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Microeconomia: Do Zero ao Equilibrio (e Alem)</w:t>
      </w:r>
    </w:p>
    <w:p>
      <w:pPr>
        <w:pStyle w:val="Author"/>
      </w:pPr>
      <w:r>
        <w:t xml:space="preserve">Darcio Genicolo Martins</w:t>
      </w:r>
    </w:p>
    <w:p>
      <w:pPr>
        <w:pStyle w:val="Date"/>
      </w:pPr>
      <w:r>
        <w:t xml:space="preserve">Marco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bae2d3ad492d7a03e73c6db8590ab6a85d15010"/>
    <w:p>
      <w:pPr>
        <w:pStyle w:val="Heading1"/>
      </w:pPr>
      <w:r>
        <w:t xml:space="preserve">Microeconomia: Do Zero ao Equilibrio (e Alem)</w:t>
      </w:r>
    </w:p>
    <w:p>
      <w:pPr>
        <w:pStyle w:val="FirstParagraph"/>
      </w:pPr>
      <w:r>
        <w:rPr>
          <w:b/>
          <w:bCs/>
        </w:rPr>
        <w:t xml:space="preserve">Autor:</w:t>
      </w:r>
      <w:r>
        <w:t xml:space="preserve"> </w:t>
      </w:r>
      <w:r>
        <w:t xml:space="preserve">Prof. Darcio Genicolo Martins — Insper</w:t>
      </w:r>
    </w:p>
    <w:p>
      <w:pPr>
        <w:pStyle w:val="BodyText"/>
      </w:pPr>
      <w:r>
        <w:rPr>
          <w:b/>
          <w:bCs/>
        </w:rPr>
        <w:t xml:space="preserve">Versao:</w:t>
      </w:r>
      <w:r>
        <w:t xml:space="preserve"> </w:t>
      </w:r>
      <w:r>
        <w:t xml:space="preserve">1.3 — Marco 2026</w:t>
      </w:r>
    </w:p>
    <w:p>
      <w:pPr>
        <w:pStyle w:val="BodyText"/>
      </w:pPr>
      <w:r>
        <w:rPr>
          <w:b/>
          <w:bCs/>
        </w:rPr>
        <w:t xml:space="preserve">Documento para revisao editorial</w:t>
      </w:r>
    </w:p>
    <w:p>
      <w:r>
        <w:pict>
          <v:rect style="width:0;height:1.5pt" o:hralign="center" o:hrstd="t" o:hr="t"/>
        </w:pict>
      </w:r>
    </w:p>
    <w:bookmarkEnd w:id="9"/>
    <w:bookmarkStart w:id="1499" w:name="prefácio"/>
    <w:p>
      <w:pPr>
        <w:sectPr>
          <w:footnotePr>
            <w:numRestart w:val="eachSect"/>
          </w:footnotePr>
        </w:sectPr>
      </w:pPr>
    </w:p>
    <w:p>
      <w:pPr>
        <w:pStyle w:val="Heading1"/>
      </w:pPr>
      <w:r>
        <w:t xml:space="preserve">Prefácio</w:t>
      </w:r>
    </w:p>
    <w:bookmarkStart w:id="10" w:name="por-que-mais-um-livro-de-microeconomia"/>
    <w:p>
      <w:pPr>
        <w:pStyle w:val="Heading2"/>
      </w:pPr>
      <w:r>
        <w:t xml:space="preserve">Por que mais um livro de Microeconomia?</w:t>
      </w:r>
    </w:p>
    <w:p>
      <w:pPr>
        <w:pStyle w:val="FirstParagraph"/>
      </w:pPr>
      <w:r>
        <w:t xml:space="preserve">Em 1975, quando questionado sobre por que estava escrevendo mais um livro de análise microeconômica, Hal Varian respondeu algo na linha de</w:t>
      </w:r>
      <w:r>
        <w:t xml:space="preserve"> </w:t>
      </w:r>
      <w:r>
        <w:t xml:space="preserve">“porque os que existem são terríveis ou são perfeitos demais para serem úteis”</w:t>
      </w:r>
      <w:r>
        <w:t xml:space="preserve">. Meio século depois, a situação melhorou — mas não o suficiente. As estantes vergam sob o peso de Mas-Colell, Varian, Nicholson &amp; Snyder, Pindyck &amp; Rubinfeld, Jehle &amp; Reny, e uma constelação de manuais que, juntos, contêm praticamente tudo que um ser humano precisa saber sobre a teoria dos preços. Se o leitor já possui um desses volumes, por que deveria abrir este?</w:t>
      </w:r>
    </w:p>
    <w:p>
      <w:pPr>
        <w:pStyle w:val="BodyText"/>
      </w:pPr>
      <w:r>
        <w:t xml:space="preserve">A resposta curta: porque nenhum deles foi escrito</w:t>
      </w:r>
      <w:r>
        <w:t xml:space="preserve"> </w:t>
      </w:r>
      <w:r>
        <w:rPr>
          <w:i/>
          <w:iCs/>
        </w:rPr>
        <w:t xml:space="preserve">para você</w:t>
      </w:r>
      <w:r>
        <w:t xml:space="preserve">.</w:t>
      </w:r>
    </w:p>
    <w:p>
      <w:pPr>
        <w:pStyle w:val="BodyText"/>
      </w:pPr>
      <w:r>
        <w:t xml:space="preserve">“Você”</w:t>
      </w:r>
      <w:r>
        <w:t xml:space="preserve">, neste caso, é um estudante brasileiro que abre um manual consagrado e se depara com exemplos sobre o mercado imobiliário de Manhattan, a regulação de telecomunicações britânica e os hábitos de consumo do subúrbio de Chicago. A teoria é impecável — mas a distância entre a equação e a sua vida é oceânica. Você aprendeu o teorema de Coase num mundo sem custos de transação — e mora num país onde o custo de transação é praticamente um esporte nacional. Estudou a decomposição de Slutsky com dados de consumo americanos — e nunca viu ninguém aplicá-la à POF do IBGE. Leu sobre monopólio natural com exemplos da British Telecom — e não faz ideia de como o mesmo conceito explica a regulação da Sabesp.</w:t>
      </w:r>
    </w:p>
    <w:p>
      <w:pPr>
        <w:pStyle w:val="BodyText"/>
      </w:pPr>
      <w:r>
        <w:t xml:space="preserve">Este livro é uma tentativa de fechar essa distância.</w:t>
      </w:r>
    </w:p>
    <w:p>
      <w:pPr>
        <w:pStyle w:val="BodyText"/>
      </w:pPr>
      <w:r>
        <w:t xml:space="preserve">A resposta longa é o que vem depois desta página.</w:t>
      </w:r>
    </w:p>
    <w:p>
      <w:r>
        <w:pict>
          <v:rect style="width:0;height:1.5pt" o:hralign="center" o:hrstd="t" o:hr="t"/>
        </w:pict>
      </w:r>
    </w:p>
    <w:bookmarkEnd w:id="10"/>
    <w:bookmarkStart w:id="11" w:name="de-onde-veio-este-livro"/>
    <w:p>
      <w:pPr>
        <w:pStyle w:val="Heading2"/>
      </w:pPr>
      <w:r>
        <w:t xml:space="preserve">De onde veio este livro</w:t>
      </w:r>
    </w:p>
    <w:p>
      <w:pPr>
        <w:pStyle w:val="FirstParagraph"/>
      </w:pPr>
      <w:r>
        <w:t xml:space="preserve">Este projeto não nasceu de uma epifania editorial nem de um plano de carreira. Nasceu de cadernos. Muitos cadernos.</w:t>
      </w:r>
    </w:p>
    <w:p>
      <w:pPr>
        <w:pStyle w:val="BodyText"/>
      </w:pPr>
      <w:r>
        <w:t xml:space="preserve">Tudo começou nas anotações de um aluno de graduação tentando sobreviver a Microeconomia I com mais curiosidade do que talento — rabiscando intuições nas margens dos teoremas, traduzindo o formalismo para uma linguagem que o próprio cérebro aceitasse processar. Depois vieram as notas de mestrado, onde a matemática ficou mais densa e as intuições, paradoxalmente, mais necessárias. E então o doutorado, onde aprendi que a fronteira do conhecimento é o lugar em que a teoria acaba e a humildade começa.</w:t>
      </w:r>
    </w:p>
    <w:p>
      <w:pPr>
        <w:pStyle w:val="BodyText"/>
      </w:pPr>
      <w:r>
        <w:t xml:space="preserve">Quando troquei de lado da mesa e passei a</w:t>
      </w:r>
      <w:r>
        <w:t xml:space="preserve"> </w:t>
      </w:r>
      <w:r>
        <w:rPr>
          <w:i/>
          <w:iCs/>
        </w:rPr>
        <w:t xml:space="preserve">dar</w:t>
      </w:r>
      <w:r>
        <w:t xml:space="preserve"> </w:t>
      </w:r>
      <w:r>
        <w:t xml:space="preserve">aulas de microeconomia — em graduação, mestrado e doutorado —, descobri que o problema não tinha mudado: os alunos travavam nos mesmos pontos em que eu havia travado. Não por falta de inteligência, mas por falta de um material que falasse a língua deles — literalmente (em português) e figurativamente (com exemplos que fizessem sentido no país em que vivem).</w:t>
      </w:r>
    </w:p>
    <w:p>
      <w:pPr>
        <w:pStyle w:val="BodyText"/>
      </w:pPr>
      <w:r>
        <w:t xml:space="preserve">As notas de aula foram se acumulando. Primeiro em papel. Depois em LaTeX. Depois em slides que ninguém lia. Em algum momento, olhei para o volume de material e percebi que tinha, nas mãos, o esqueleto de algo maior — um livro que eu gostaria de ter tido como aluno e que meus alunos mereciam ter agora.</w:t>
      </w:r>
    </w:p>
    <w:p>
      <w:pPr>
        <w:pStyle w:val="BodyText"/>
      </w:pPr>
      <w:r>
        <w:t xml:space="preserve">O que você tem diante de si é, portanto, o resultado de anos dos dois lados da sala de aula: o destilado de centenas de horas tentando entender microeconomia como aluno e tentando explicá-la como professor. Cada box de</w:t>
      </w:r>
      <w:r>
        <w:t xml:space="preserve"> </w:t>
      </w:r>
      <w:r>
        <w:t xml:space="preserve">“Intuição Econômica”</w:t>
      </w:r>
      <w:r>
        <w:t xml:space="preserve"> </w:t>
      </w:r>
      <w:r>
        <w:t xml:space="preserve">reflete um momento em que eu vi olhos arregalados se transformarem em compreensão. Cada</w:t>
      </w:r>
      <w:r>
        <w:t xml:space="preserve"> </w:t>
      </w:r>
      <w:r>
        <w:t xml:space="preserve">“Erro Comum”</w:t>
      </w:r>
      <w:r>
        <w:t xml:space="preserve"> </w:t>
      </w:r>
      <w:r>
        <w:t xml:space="preserve">registra uma armadilha em que eu mesmo caí — ou vi turmas inteiras caindo. Cada exercício resolvido carrega a marca das dúvidas mais frequentes em horários de monitoria e plantões de dúvida.</w:t>
      </w:r>
    </w:p>
    <w:p>
      <w:r>
        <w:pict>
          <v:rect style="width:0;height:1.5pt" o:hralign="center" o:hrstd="t" o:hr="t"/>
        </w:pict>
      </w:r>
    </w:p>
    <w:bookmarkEnd w:id="11"/>
    <w:bookmarkStart w:id="16" w:name="Xce71940873ed07344992ff0c6d21f3efc3806b3"/>
    <w:p>
      <w:pPr>
        <w:pStyle w:val="Heading2"/>
      </w:pPr>
      <w:r>
        <w:t xml:space="preserve">Os livros que mudaram o jeito como eu penso (e ensino)</w:t>
      </w:r>
    </w:p>
    <w:p>
      <w:pPr>
        <w:pStyle w:val="FirstParagraph"/>
      </w:pPr>
      <w:r>
        <w:t xml:space="preserve">Todo professor carrega, conscientemente ou não, uma biblioteca invisível — os livros e artigos que moldaram não apenas</w:t>
      </w:r>
      <w:r>
        <w:t xml:space="preserve"> </w:t>
      </w:r>
      <w:r>
        <w:rPr>
          <w:i/>
          <w:iCs/>
        </w:rPr>
        <w:t xml:space="preserve">o que</w:t>
      </w:r>
      <w:r>
        <w:t xml:space="preserve"> </w:t>
      </w:r>
      <w:r>
        <w:t xml:space="preserve">ele sabe, mas</w:t>
      </w:r>
      <w:r>
        <w:t xml:space="preserve"> </w:t>
      </w:r>
      <w:r>
        <w:rPr>
          <w:i/>
          <w:iCs/>
        </w:rPr>
        <w:t xml:space="preserve">como</w:t>
      </w:r>
      <w:r>
        <w:t xml:space="preserve"> </w:t>
      </w:r>
      <w:r>
        <w:t xml:space="preserve">ele pensa e se comunica. Este livro tem três influências confessas, e me parece honesto explicitá-las de saída.</w:t>
      </w:r>
    </w:p>
    <w:bookmarkStart w:id="13" w:name="o-encanador"/>
    <w:p>
      <w:pPr>
        <w:pStyle w:val="Heading3"/>
      </w:pPr>
      <w:r>
        <w:t xml:space="preserve">O encanador</w:t>
      </w:r>
    </w:p>
    <w:p>
      <w:pPr>
        <w:pStyle w:val="FirstParagraph"/>
      </w:pPr>
      <w:r>
        <w:t xml:space="preserve">Em 2017, Esther Duflo publicou</w:t>
      </w:r>
      <w:r>
        <w:t xml:space="preserve"> </w:t>
      </w:r>
      <w:r>
        <w:t xml:space="preserve">“The Economist as Plumber”</w:t>
      </w:r>
      <w:r>
        <w:t xml:space="preserve"> </w:t>
      </w:r>
      <w:r>
        <w:t xml:space="preserve">— um artigo que, para mim, funcionou como uma condição de primeira ordem existencial.</w:t>
      </w:r>
      <w:r>
        <w:rPr>
          <w:rStyle w:val="FootnoteReference"/>
        </w:rPr>
        <w:footnoteReference w:id="12"/>
      </w:r>
      <w:r>
        <w:t xml:space="preserve"> </w:t>
      </w:r>
      <w:r>
        <w:t xml:space="preserve">A tese é simples e devastadora: a maioria dos economistas é treinada para ser engenheira — projetar mecanismos elegantes, derivar soluções ótimas, demonstrar teoremas de existência. Mas o mundo precisa de</w:t>
      </w:r>
      <w:r>
        <w:t xml:space="preserve"> </w:t>
      </w:r>
      <w:r>
        <w:rPr>
          <w:i/>
          <w:iCs/>
        </w:rPr>
        <w:t xml:space="preserve">encanadores</w:t>
      </w:r>
      <w:r>
        <w:t xml:space="preserve">: gente que vai até o cano, abre a parede, olha onde está o vazamento e conserta. Não é glamouroso. Não rende fotos bonitas. Mas sem o encanador, o edifício teórico mais sofisticado não serve para nada — porque a água continua pingando no chão.</w:t>
      </w:r>
    </w:p>
    <w:p>
      <w:pPr>
        <w:pStyle w:val="BodyText"/>
      </w:pPr>
      <w:r>
        <w:t xml:space="preserve">Esse artigo mudou a minha relação com a microeconomia. Não me fez abandonar a teoria — pelo contrário. Me fez perceber que a teoria só se completa quando toca o concreto: quando a condição de Samuelson vira uma regra de financiamento do SUS, quando a elasticidade-preço da demanda vira a calibração de um imposto sobre bebidas açucaradas, quando o modelo de Akerlof explica por que o spread bancário brasileiro é tão alto. Este livro é, em grande medida, uma tentativa de formar economistas que saibam fazer as duas coisas — projetar a tubulação</w:t>
      </w:r>
      <w:r>
        <w:t xml:space="preserve"> </w:t>
      </w:r>
      <w:r>
        <w:rPr>
          <w:i/>
          <w:iCs/>
        </w:rPr>
        <w:t xml:space="preserve">e</w:t>
      </w:r>
      <w:r>
        <w:t xml:space="preserve"> </w:t>
      </w:r>
      <w:r>
        <w:t xml:space="preserve">consertar o vazamento.</w:t>
      </w:r>
    </w:p>
    <w:bookmarkEnd w:id="13"/>
    <w:bookmarkStart w:id="14" w:name="Xfe5736eeacf625c3e9185406f3a3a0d8dc8e4a4"/>
    <w:p>
      <w:pPr>
        <w:pStyle w:val="Heading3"/>
      </w:pPr>
      <w:r>
        <w:t xml:space="preserve">A descoberta de que micro pode ser divertido</w:t>
      </w:r>
    </w:p>
    <w:p>
      <w:pPr>
        <w:pStyle w:val="FirstParagraph"/>
      </w:pPr>
      <w:r>
        <w:t xml:space="preserve">Antes de ler</w:t>
      </w:r>
      <w:r>
        <w:t xml:space="preserve"> </w:t>
      </w:r>
      <w:r>
        <w:rPr>
          <w:i/>
          <w:iCs/>
        </w:rPr>
        <w:t xml:space="preserve">Freakonomics</w:t>
      </w:r>
      <w:r>
        <w:t xml:space="preserve">, eu achava que microeconomia era importante. Depois de ler, passei a achar que era</w:t>
      </w:r>
      <w:r>
        <w:t xml:space="preserve"> </w:t>
      </w:r>
      <w:r>
        <w:rPr>
          <w:i/>
          <w:iCs/>
        </w:rPr>
        <w:t xml:space="preserve">irresistível</w:t>
      </w:r>
      <w:r>
        <w:t xml:space="preserve">.</w:t>
      </w:r>
    </w:p>
    <w:p>
      <w:pPr>
        <w:pStyle w:val="BodyText"/>
      </w:pPr>
      <w:r>
        <w:t xml:space="preserve">Levitt e Dubner fizeram algo que, em retrospecto, parece óbvio mas que ninguém tinha feito tão bem: mostraram que as ferramentas da microeconomia — incentivos, seleção adversa, assimetria de informação, causalidade — não são apenas úteis para resolver problemas de livro-texto. São úteis para entender</w:t>
      </w:r>
      <w:r>
        <w:t xml:space="preserve"> </w:t>
      </w:r>
      <w:r>
        <w:rPr>
          <w:i/>
          <w:iCs/>
        </w:rPr>
        <w:t xml:space="preserve">tudo</w:t>
      </w:r>
      <w:r>
        <w:t xml:space="preserve">: por que lutadores de sumô trapaceiam, por que corretores de imóveis mentem, por que criminosos moram com a mãe. A sacada não era a resposta — era a</w:t>
      </w:r>
      <w:r>
        <w:t xml:space="preserve"> </w:t>
      </w:r>
      <w:r>
        <w:rPr>
          <w:i/>
          <w:iCs/>
        </w:rPr>
        <w:t xml:space="preserve">pergunta</w:t>
      </w:r>
      <w:r>
        <w:t xml:space="preserve">. Perguntas inesperadas, contraintuitivas, que faziam o leitor pensar</w:t>
      </w:r>
      <w:r>
        <w:t xml:space="preserve"> </w:t>
      </w:r>
      <w:r>
        <w:t xml:space="preserve">“isso não pode ter a ver com economia”</w:t>
      </w:r>
      <w:r>
        <w:t xml:space="preserve"> </w:t>
      </w:r>
      <w:r>
        <w:t xml:space="preserve">— e aí tinha tudo a ver.</w:t>
      </w:r>
    </w:p>
    <w:p>
      <w:pPr>
        <w:pStyle w:val="BodyText"/>
      </w:pPr>
      <w:r>
        <w:rPr>
          <w:i/>
          <w:iCs/>
        </w:rPr>
        <w:t xml:space="preserve">Freakonomics</w:t>
      </w:r>
      <w:r>
        <w:t xml:space="preserve"> </w:t>
      </w:r>
      <w:r>
        <w:t xml:space="preserve">me ensinou que o primeiro dever de um professor é despertar curiosidade. Um aluno curioso tolera a álgebra; um aluno entediado não tolera nem o exemplo mais brilhante. Por isso, cada capítulo deste livro abre com uma pergunta — não com uma definição. Se a pergunta for boa o suficiente, o aluno</w:t>
      </w:r>
      <w:r>
        <w:t xml:space="preserve"> </w:t>
      </w:r>
      <w:r>
        <w:rPr>
          <w:i/>
          <w:iCs/>
        </w:rPr>
        <w:t xml:space="preserve">quer</w:t>
      </w:r>
      <w:r>
        <w:t xml:space="preserve"> </w:t>
      </w:r>
      <w:r>
        <w:t xml:space="preserve">chegar à resposta, e a teoria se torna o caminho, não o obstáculo.</w:t>
      </w:r>
    </w:p>
    <w:bookmarkEnd w:id="14"/>
    <w:bookmarkStart w:id="15" w:name="X14347ce4f7237091f6e4529d3025acb36e5fff6"/>
    <w:p>
      <w:pPr>
        <w:pStyle w:val="Heading3"/>
      </w:pPr>
      <w:r>
        <w:t xml:space="preserve">Os peers que falam com você, não para você</w:t>
      </w:r>
    </w:p>
    <w:p>
      <w:pPr>
        <w:pStyle w:val="FirstParagraph"/>
      </w:pPr>
      <w:r>
        <w:t xml:space="preserve">Existe uma tradição, antiga e nefasta, em livros-texto de economia: o tom Olímpico. O autor escreve do alto de uma montanha, distribuindo verdades com magnanimidade. O leitor, lá embaixo, deve absorver com gratidão e silêncio. Se não entendeu, o problema é dele.</w:t>
      </w:r>
    </w:p>
    <w:p>
      <w:pPr>
        <w:pStyle w:val="BodyText"/>
      </w:pPr>
      <w:r>
        <w:t xml:space="preserve">Dois livros me mostraram que existe outro caminho.</w:t>
      </w:r>
    </w:p>
    <w:p>
      <w:pPr>
        <w:pStyle w:val="BodyText"/>
      </w:pPr>
      <w:r>
        <w:t xml:space="preserve">O</w:t>
      </w:r>
      <w:r>
        <w:t xml:space="preserve"> </w:t>
      </w:r>
      <w:r>
        <w:rPr>
          <w:i/>
          <w:iCs/>
        </w:rPr>
        <w:t xml:space="preserve">Mostly Harmless Econometrics</w:t>
      </w:r>
      <w:r>
        <w:t xml:space="preserve">, de Angrist e Pischke, é um livro que conversa com o leitor como um colega mais experiente conversa com um colega mais novo no corredor do departamento — sem condescendência, sem pompa, com café na mão. A mensagem implícita em cada página é:</w:t>
      </w:r>
      <w:r>
        <w:t xml:space="preserve"> </w:t>
      </w:r>
      <w:r>
        <w:t xml:space="preserve">“Olha, isso aqui é complicado, eu também apanhei, mas vamos resolver juntos.”</w:t>
      </w:r>
      <w:r>
        <w:t xml:space="preserve"> </w:t>
      </w:r>
      <w:r>
        <w:t xml:space="preserve">O capítulo sobre variáveis instrumentais começa admitindo que IV é um pesadelo — e essa honestidade, paradoxalmente, é o que torna a explicação compreensível. Quando o autor confessa suas próprias dificuldades, o leitor se sente autorizado a ter as dele.</w:t>
      </w:r>
    </w:p>
    <w:p>
      <w:pPr>
        <w:pStyle w:val="BodyText"/>
      </w:pPr>
      <w:r>
        <w:t xml:space="preserve">O</w:t>
      </w:r>
      <w:r>
        <w:t xml:space="preserve"> </w:t>
      </w:r>
      <w:r>
        <w:rPr>
          <w:i/>
          <w:iCs/>
        </w:rPr>
        <w:t xml:space="preserve">Causal Inference: The Mixtape</w:t>
      </w:r>
      <w:r>
        <w:t xml:space="preserve">, de Cunningham, leva isso adiante. O tom é de conversa de bar entre econometristas — com referências a hip-hop, memes acadêmicos e a coragem de dizer</w:t>
      </w:r>
      <w:r>
        <w:t xml:space="preserve"> </w:t>
      </w:r>
      <w:r>
        <w:t xml:space="preserve">“olha, essa técnica é meio gambiarra, mas funciona e aqui está o porquê”</w:t>
      </w:r>
      <w:r>
        <w:t xml:space="preserve">. Não é</w:t>
      </w:r>
      <w:r>
        <w:t xml:space="preserve"> </w:t>
      </w:r>
      <w:r>
        <w:rPr>
          <w:i/>
          <w:iCs/>
        </w:rPr>
        <w:t xml:space="preserve">top-down</w:t>
      </w:r>
      <w:r>
        <w:t xml:space="preserve">. Não é o professor que sabe tudo explicando para o aluno que não sabe nada. É um</w:t>
      </w:r>
      <w:r>
        <w:t xml:space="preserve"> </w:t>
      </w:r>
      <w:r>
        <w:rPr>
          <w:i/>
          <w:iCs/>
        </w:rPr>
        <w:t xml:space="preserve">peer</w:t>
      </w:r>
      <w:r>
        <w:t xml:space="preserve"> </w:t>
      </w:r>
      <w:r>
        <w:t xml:space="preserve">falando com outro</w:t>
      </w:r>
      <w:r>
        <w:t xml:space="preserve"> </w:t>
      </w:r>
      <w:r>
        <w:rPr>
          <w:i/>
          <w:iCs/>
        </w:rPr>
        <w:t xml:space="preserve">peer</w:t>
      </w:r>
      <w:r>
        <w:t xml:space="preserve"> </w:t>
      </w:r>
      <w:r>
        <w:t xml:space="preserve">— desmistificando a trajetória de aprendizagem, mostrando que o caminho até dominar diff-in-diff ou RDD não é uma estrada reta e iluminada, mas uma trilha de mata fechada com alguns tropeços, alguns atalhos errados e, eventualmente, uma clareira.</w:t>
      </w:r>
    </w:p>
    <w:p>
      <w:pPr>
        <w:pStyle w:val="BodyText"/>
      </w:pPr>
      <w:r>
        <w:t xml:space="preserve">Este livro tenta operar nesse registro. Não escrevo do alto de montanha alguma — escrevo da mesa de trabalho, com as mesmas dúvidas que o leitor terá, com a vantagem modesta de já ter tropeçado nelas antes. Quando um conceito é difícil, digo que é difícil. Quando uma hipótese é absurda, digo que é absurda (e explico por que ainda assim é útil). Quando eu mesmo não estou totalmente convencido de um resultado, as notas de rodapé são o espaço para essa confissão. O objetivo não é parecer inteligente — é ser claro.</w:t>
      </w:r>
    </w:p>
    <w:p>
      <w:r>
        <w:pict>
          <v:rect style="width:0;height:1.5pt" o:hralign="center" o:hrstd="t" o:hr="t"/>
        </w:pict>
      </w:r>
    </w:p>
    <w:bookmarkEnd w:id="15"/>
    <w:bookmarkEnd w:id="16"/>
    <w:bookmarkStart w:id="24" w:name="o-que-este-livro-faz-de-diferente"/>
    <w:p>
      <w:pPr>
        <w:pStyle w:val="Heading2"/>
      </w:pPr>
      <w:r>
        <w:t xml:space="preserve">O que este livro faz de diferente</w:t>
      </w:r>
    </w:p>
    <w:p>
      <w:pPr>
        <w:pStyle w:val="FirstParagraph"/>
      </w:pPr>
      <w:r>
        <w:t xml:space="preserve">Essas três influências — o encanador, o provocador e os peers — não são apenas inspiração filosófica. Elas se traduzem em escolhas concretas de design que permeiam cada capítulo.</w:t>
      </w:r>
    </w:p>
    <w:bookmarkStart w:id="18" w:name="rigor-sem-pedantismo"/>
    <w:p>
      <w:pPr>
        <w:pStyle w:val="Heading3"/>
      </w:pPr>
      <w:r>
        <w:t xml:space="preserve">Rigor sem pedantismo</w:t>
      </w:r>
    </w:p>
    <w:p>
      <w:pPr>
        <w:pStyle w:val="FirstParagraph"/>
      </w:pPr>
      <w:r>
        <w:t xml:space="preserve">Cada resultado é demonstrado formalmente — condições de primeira ordem, condições de segunda ordem, demonstrações completas quando instrutivas. Não há</w:t>
      </w:r>
      <w:r>
        <w:t xml:space="preserve"> </w:t>
      </w:r>
      <w:r>
        <w:t xml:space="preserve">“o leitor pode verificar que…”</w:t>
      </w:r>
      <w:r>
        <w:t xml:space="preserve"> </w:t>
      </w:r>
      <w:r>
        <w:t xml:space="preserve">seguido de silêncio constrangedor.</w:t>
      </w:r>
      <w:r>
        <w:rPr>
          <w:rStyle w:val="FootnoteReference"/>
        </w:rPr>
        <w:footnoteReference w:id="17"/>
      </w:r>
      <w:r>
        <w:t xml:space="preserve"> </w:t>
      </w:r>
      <w:r>
        <w:t xml:space="preserve">Mas também não há formalismo pelo formalismo. Se uma demonstração é longa e pouco iluminadora, fornecemos a intuição central e indicamos a referência para quem quiser percorrer cada passo. A matemática está a serviço da economia — e quando ela ameaça virar obstáculo em vez de ferramenta, paramos para traduzir.</w:t>
      </w:r>
    </w:p>
    <w:p>
      <w:pPr>
        <w:pStyle w:val="BodyText"/>
      </w:pPr>
      <w:r>
        <w:t xml:space="preserve">O Capítulo 2, nosso</w:t>
      </w:r>
      <w:r>
        <w:t xml:space="preserve"> </w:t>
      </w:r>
      <w:r>
        <w:t xml:space="preserve">“Manual de Sobrevivência Matemática”</w:t>
      </w:r>
      <w:r>
        <w:t xml:space="preserve">, garante que todos os leitores partam de uma base comum — do Lagrangeano às condições de Kuhn-Tucker, do teorema do envelope à equação de Euler intertemporal. Quem já domina o ferramental pode percorrê-lo rapidamente; quem precisa de reforço encontrará ali uma referência autocontida.</w:t>
      </w:r>
    </w:p>
    <w:bookmarkEnd w:id="18"/>
    <w:bookmarkStart w:id="19" w:name="intuição-a-cada-esquina"/>
    <w:p>
      <w:pPr>
        <w:pStyle w:val="Heading3"/>
      </w:pPr>
      <w:r>
        <w:t xml:space="preserve">Intuição a cada esquina</w:t>
      </w:r>
    </w:p>
    <w:p>
      <w:pPr>
        <w:pStyle w:val="FirstParagraph"/>
      </w:pPr>
      <w:r>
        <w:t xml:space="preserve">Um resultado sem intuição é um número de telefone sem nome — tecnicamente correto, mas inútil quando você precisa ligar. Cada seção contém boxes de</w:t>
      </w:r>
      <w:r>
        <w:t xml:space="preserve"> </w:t>
      </w:r>
      <w:r>
        <w:rPr>
          <w:b/>
          <w:bCs/>
        </w:rPr>
        <w:t xml:space="preserve">Intuição Econômica</w:t>
      </w:r>
      <w:r>
        <w:t xml:space="preserve"> </w:t>
      </w:r>
      <w:r>
        <w:t xml:space="preserve">que traduzem o formalismo em linguagem acessível: analogias com o cotidiano, exemplos do supermercado, metáforas que grudam na memória. Se o leitor lembrar da intuição, a álgebra vem por arrasto; se lembrar apenas da álgebra, corre o risco de virar aquele economista que sabe calcular tudo e entender nada. Varian sempre soube que uma boa frase vale mais que uma página de contas — e este livro leva essa lição a sério.</w:t>
      </w:r>
    </w:p>
    <w:bookmarkEnd w:id="19"/>
    <w:bookmarkStart w:id="20" w:name="o-brasil-como-laboratório"/>
    <w:p>
      <w:pPr>
        <w:pStyle w:val="Heading3"/>
      </w:pPr>
      <w:r>
        <w:t xml:space="preserve">O Brasil como laboratório</w:t>
      </w:r>
    </w:p>
    <w:p>
      <w:pPr>
        <w:pStyle w:val="FirstParagraph"/>
      </w:pPr>
      <w:r>
        <w:t xml:space="preserve">Aqui está o encanamento em ação. Os manuais internacionais usam exemplos americanos e europeus — natural, foram escritos lá. Mas quando o estudante brasileiro lê sobre o mercado de trabalho de New Jersey ou o programa de vouchers de Milwaukee, há uma distância que dificulta a conexão intelectual com a teoria. E ninguém aprende direito aquilo que não sente que lhe diz respeito.</w:t>
      </w:r>
    </w:p>
    <w:p>
      <w:pPr>
        <w:pStyle w:val="BodyText"/>
      </w:pPr>
      <w:r>
        <w:t xml:space="preserve">Este livro oferece</w:t>
      </w:r>
      <w:r>
        <w:t xml:space="preserve"> </w:t>
      </w:r>
      <w:r>
        <w:rPr>
          <w:b/>
          <w:bCs/>
        </w:rPr>
        <w:t xml:space="preserve">Boxes Brasil</w:t>
      </w:r>
      <w:r>
        <w:t xml:space="preserve"> </w:t>
      </w:r>
      <w:r>
        <w:t xml:space="preserve">em cada capítulo: análises de dados reais do IBGE, do IPEA, do Banco Central, da ANP, do CADE e de outras fontes oficiais, mostrando como os conceitos teóricos se manifestam na economia brasileira. A farinha de mandioca como bem de Giffen. O Plano Real como aplicação da teoria dos jogos. O Auxílio Gás e o princípio do montante fixo. A Nota Fiscal Paulista como mecanismo de incentivos. O</w:t>
      </w:r>
      <w:r>
        <w:t xml:space="preserve"> </w:t>
      </w:r>
      <w:r>
        <w:t xml:space="preserve">“custo Brasil”</w:t>
      </w:r>
      <w:r>
        <w:t xml:space="preserve"> </w:t>
      </w:r>
      <w:r>
        <w:t xml:space="preserve">e a curva envoltória de custos. A gasolina e o etanol como substitutos quase perfeitos.</w:t>
      </w:r>
    </w:p>
    <w:p>
      <w:pPr>
        <w:pStyle w:val="BodyText"/>
      </w:pPr>
      <w:r>
        <w:t xml:space="preserve">Além disso,</w:t>
      </w:r>
      <w:r>
        <w:t xml:space="preserve"> </w:t>
      </w:r>
      <w:r>
        <w:rPr>
          <w:b/>
          <w:bCs/>
        </w:rPr>
        <w:t xml:space="preserve">Boxes Mundo</w:t>
      </w:r>
      <w:r>
        <w:t xml:space="preserve"> </w:t>
      </w:r>
      <w:r>
        <w:t xml:space="preserve">trazem casos internacionais emblemáticos — da Toyota à TSMC, do Concorde ao</w:t>
      </w:r>
      <w:r>
        <w:t xml:space="preserve"> </w:t>
      </w:r>
      <w:r>
        <w:rPr>
          <w:i/>
          <w:iCs/>
        </w:rPr>
        <w:t xml:space="preserve">surge pricing</w:t>
      </w:r>
      <w:r>
        <w:t xml:space="preserve"> </w:t>
      </w:r>
      <w:r>
        <w:t xml:space="preserve">da Uber — para que o leitor veja a microeconomia em ação nos quatro cantos do planeta. Porque, afinal, a teoria dos preços não respeita fronteiras — só respeita restrições orçamentárias.</w:t>
      </w:r>
    </w:p>
    <w:bookmarkEnd w:id="20"/>
    <w:bookmarkStart w:id="21" w:name="X7f0953810184bd056750c317bc991b4a19ba4fe"/>
    <w:p>
      <w:pPr>
        <w:pStyle w:val="Heading3"/>
      </w:pPr>
      <w:r>
        <w:t xml:space="preserve">Gráficos interativos: veja a teoria se mover</w:t>
      </w:r>
    </w:p>
    <w:p>
      <w:pPr>
        <w:pStyle w:val="FirstParagraph"/>
      </w:pPr>
      <w:r>
        <w:t xml:space="preserve">Uma curva de indiferença é mais reveladora quando você pode arrastá-la. Uma decomposição de Slutsky faz mais sentido quando você vê o efeito substituição se separar do efeito renda em tempo real. O equilíbrio de Nash ganha vida quando você pode ajustar os payoffs e ver as funções de melhor-resposta se deslocarem.</w:t>
      </w:r>
    </w:p>
    <w:p>
      <w:pPr>
        <w:pStyle w:val="BodyText"/>
      </w:pPr>
      <w:r>
        <w:t xml:space="preserve">Este livro contém dezenas de</w:t>
      </w:r>
      <w:r>
        <w:t xml:space="preserve"> </w:t>
      </w:r>
      <w:r>
        <w:rPr>
          <w:b/>
          <w:bCs/>
        </w:rPr>
        <w:t xml:space="preserve">gráficos interativos</w:t>
      </w:r>
      <w:r>
        <w:t xml:space="preserve"> </w:t>
      </w:r>
      <w:r>
        <w:t xml:space="preserve">— construídos com JSXGraph e integrados diretamente ao texto. Cada gráfico permite ao leitor manipular parâmetros (preços, renda, elasticidades, coeficientes de aversão ao risco) e observar como curvas, equilíbrios e medidas de bem-estar respondem. Não se trata de ilustrações decorativas: são ferramentas de aprendizado ativo, projetadas para que o aluno</w:t>
      </w:r>
      <w:r>
        <w:t xml:space="preserve"> </w:t>
      </w:r>
      <w:r>
        <w:rPr>
          <w:i/>
          <w:iCs/>
        </w:rPr>
        <w:t xml:space="preserve">sinta</w:t>
      </w:r>
      <w:r>
        <w:t xml:space="preserve"> </w:t>
      </w:r>
      <w:r>
        <w:t xml:space="preserve">a teoria nos dedos — literalmente arrastando sliders e observando equações se atualizarem.</w:t>
      </w:r>
    </w:p>
    <w:bookmarkEnd w:id="21"/>
    <w:bookmarkStart w:id="22" w:name="Xec185bfce9764bf341f6b3c16dcd11c2c93af07"/>
    <w:p>
      <w:pPr>
        <w:pStyle w:val="Heading3"/>
      </w:pPr>
      <w:r>
        <w:t xml:space="preserve">Exercícios que preparam para a vida (e para a ANPEC)</w:t>
      </w:r>
    </w:p>
    <w:p>
      <w:pPr>
        <w:pStyle w:val="FirstParagraph"/>
      </w:pPr>
      <w:r>
        <w:t xml:space="preserve">Cada capítulo contém três tipos de exercícios:</w:t>
      </w:r>
    </w:p>
    <w:p>
      <w:pPr>
        <w:numPr>
          <w:ilvl w:val="0"/>
          <w:numId w:val="1001"/>
        </w:numPr>
      </w:pPr>
      <w:r>
        <w:rPr>
          <w:b/>
          <w:bCs/>
        </w:rPr>
        <w:t xml:space="preserve">Exercícios resolvidos</w:t>
      </w:r>
      <w:r>
        <w:t xml:space="preserve"> </w:t>
      </w:r>
      <w:r>
        <w:t xml:space="preserve">— inseridos ao longo do texto, imediatamente após o conceito que aplicam. São detalhados, passo a passo, com interpretação econômica ao final. O objetivo é modelar o raciocínio: como montar o problema, por onde começar, como verificar a resposta.</w:t>
      </w:r>
    </w:p>
    <w:p>
      <w:pPr>
        <w:numPr>
          <w:ilvl w:val="0"/>
          <w:numId w:val="1001"/>
        </w:numPr>
      </w:pPr>
      <w:r>
        <w:rPr>
          <w:b/>
          <w:bCs/>
        </w:rPr>
        <w:t xml:space="preserve">Exercícios propostos</w:t>
      </w:r>
      <w:r>
        <w:t xml:space="preserve"> </w:t>
      </w:r>
      <w:r>
        <w:t xml:space="preserve">— com progressão de dificuldade (fáceis, médios, difíceis) e soluções completas disponíveis na seção de soluções. Incluem problemas conceituais, cálculos e aplicações a cenários brasileiros reais.</w:t>
      </w:r>
    </w:p>
    <w:p>
      <w:pPr>
        <w:numPr>
          <w:ilvl w:val="0"/>
          <w:numId w:val="1001"/>
        </w:numPr>
      </w:pPr>
      <w:r>
        <w:rPr>
          <w:b/>
          <w:bCs/>
        </w:rPr>
        <w:t xml:space="preserve">“Vem, ANPEC!”</w:t>
      </w:r>
      <w:r>
        <w:t xml:space="preserve"> </w:t>
      </w:r>
      <w:r>
        <w:t xml:space="preserve">— questões selecionadas de provas da ANPEC (Associação Nacional de Pós-Graduação em Economia), com gabaritos e justificativas detalhadas item a item. Para quem se prepara para o exame, essa seção é ouro puro. Para quem não se prepara, é uma demonstração de como a ANPEC tem o dom de transformar conceitos aparentemente simples em armadilhas conceituais engenhosas.</w:t>
      </w:r>
    </w:p>
    <w:bookmarkEnd w:id="22"/>
    <w:bookmarkStart w:id="23" w:name="pesquisa-em-ação"/>
    <w:p>
      <w:pPr>
        <w:pStyle w:val="Heading3"/>
      </w:pPr>
      <w:r>
        <w:t xml:space="preserve">Pesquisa em Ação</w:t>
      </w:r>
    </w:p>
    <w:p>
      <w:pPr>
        <w:pStyle w:val="FirstParagraph"/>
      </w:pPr>
      <w:r>
        <w:t xml:space="preserve">A microeconomia não é uma disciplina museológica — é uma ciência viva, com pesquisa empírica ativa que refina, confirma e por vezes desafia a teoria. Cada capítulo encerra com uma seção</w:t>
      </w:r>
      <w:r>
        <w:t xml:space="preserve"> </w:t>
      </w:r>
      <w:r>
        <w:rPr>
          <w:b/>
          <w:bCs/>
        </w:rPr>
        <w:t xml:space="preserve">“Pesquisa em Ação”</w:t>
      </w:r>
      <w:r>
        <w:t xml:space="preserve"> </w:t>
      </w:r>
      <w:r>
        <w:t xml:space="preserve">que apresenta artigos publicados em</w:t>
      </w:r>
      <w:r>
        <w:t xml:space="preserve"> </w:t>
      </w:r>
      <w:r>
        <w:rPr>
          <w:i/>
          <w:iCs/>
        </w:rPr>
        <w:t xml:space="preserve">top journals</w:t>
      </w:r>
      <w:r>
        <w:t xml:space="preserve"> </w:t>
      </w:r>
      <w:r>
        <w:t xml:space="preserve">(AER, Econometrica, QJE, JPE, REStud e outros), escolhidos por sua relevância direta para o conteúdo do capítulo. Preferencialmente com dados brasileiros, mas sem hesitar em apresentar trabalhos seminais internacionais quando necessário.</w:t>
      </w:r>
    </w:p>
    <w:p>
      <w:pPr>
        <w:pStyle w:val="BodyText"/>
      </w:pPr>
      <w:r>
        <w:t xml:space="preserve">O objetivo é duplo: mostrar ao aluno que a teoria tem consequências empíricas testáveis, e expô-lo desde cedo à fronteira da pesquisa — algo que muitos livros-texto relegam a notas de rodapé, se mencionam. Porque a distância entre a sala de aula e o paper publicado deveria ser um corredor, não um abismo.</w:t>
      </w:r>
    </w:p>
    <w:p>
      <w:r>
        <w:pict>
          <v:rect style="width:0;height:1.5pt" o:hralign="center" o:hrstd="t" o:hr="t"/>
        </w:pict>
      </w:r>
    </w:p>
    <w:bookmarkEnd w:id="23"/>
    <w:bookmarkEnd w:id="24"/>
    <w:bookmarkStart w:id="25" w:name="a-quem-se-destina"/>
    <w:p>
      <w:pPr>
        <w:pStyle w:val="Heading2"/>
      </w:pPr>
      <w:r>
        <w:t xml:space="preserve">A quem se destina</w:t>
      </w:r>
    </w:p>
    <w:p>
      <w:pPr>
        <w:pStyle w:val="FirstParagraph"/>
      </w:pPr>
      <w:r>
        <w:t xml:space="preserve">Este livro foi concebido para:</w:t>
      </w:r>
    </w:p>
    <w:p>
      <w:pPr>
        <w:pStyle w:val="Compact"/>
        <w:numPr>
          <w:ilvl w:val="0"/>
          <w:numId w:val="1002"/>
        </w:numPr>
      </w:pPr>
      <w:r>
        <w:rPr>
          <w:b/>
          <w:bCs/>
        </w:rPr>
        <w:t xml:space="preserve">Graduandos avançados em Economia</w:t>
      </w:r>
      <w:r>
        <w:t xml:space="preserve"> </w:t>
      </w:r>
      <w:r>
        <w:t xml:space="preserve">que cursam Microeconomia e precisam de tratamento formal mas acessível.</w:t>
      </w:r>
    </w:p>
    <w:p>
      <w:pPr>
        <w:pStyle w:val="Compact"/>
        <w:numPr>
          <w:ilvl w:val="0"/>
          <w:numId w:val="1002"/>
        </w:numPr>
      </w:pPr>
      <w:r>
        <w:rPr>
          <w:b/>
          <w:bCs/>
        </w:rPr>
        <w:t xml:space="preserve">Estudantes de mestrado</w:t>
      </w:r>
      <w:r>
        <w:t xml:space="preserve"> </w:t>
      </w:r>
      <w:r>
        <w:t xml:space="preserve">que buscam uma referência em português com nível intermediário-avançado, entre Varian e Mas-Colell.</w:t>
      </w:r>
    </w:p>
    <w:p>
      <w:pPr>
        <w:pStyle w:val="Compact"/>
        <w:numPr>
          <w:ilvl w:val="0"/>
          <w:numId w:val="1002"/>
        </w:numPr>
      </w:pPr>
      <w:r>
        <w:rPr>
          <w:b/>
          <w:bCs/>
        </w:rPr>
        <w:t xml:space="preserve">Candidatos à ANPEC</w:t>
      </w:r>
      <w:r>
        <w:t xml:space="preserve"> </w:t>
      </w:r>
      <w:r>
        <w:t xml:space="preserve">que precisam de uma preparação rigorosa com exercícios no formato da prova.</w:t>
      </w:r>
    </w:p>
    <w:p>
      <w:pPr>
        <w:pStyle w:val="Compact"/>
        <w:numPr>
          <w:ilvl w:val="0"/>
          <w:numId w:val="1002"/>
        </w:numPr>
      </w:pPr>
      <w:r>
        <w:rPr>
          <w:b/>
          <w:bCs/>
        </w:rPr>
        <w:t xml:space="preserve">Profissionais</w:t>
      </w:r>
      <w:r>
        <w:t xml:space="preserve"> </w:t>
      </w:r>
      <w:r>
        <w:t xml:space="preserve">de regulação, política pública, consultoria e mercado financeiro que querem revisitar os fundamentos microeconômicos com aplicações contemporâneas.</w:t>
      </w:r>
    </w:p>
    <w:p>
      <w:pPr>
        <w:pStyle w:val="Compact"/>
        <w:numPr>
          <w:ilvl w:val="0"/>
          <w:numId w:val="1002"/>
        </w:numPr>
      </w:pPr>
      <w:r>
        <w:rPr>
          <w:b/>
          <w:bCs/>
        </w:rPr>
        <w:t xml:space="preserve">Curiosos disciplinados</w:t>
      </w:r>
      <w:r>
        <w:t xml:space="preserve"> </w:t>
      </w:r>
      <w:r>
        <w:t xml:space="preserve">de qualquer área que aceitem o desafio de pensar com precisão sobre escolha, escassez e incentivos.</w:t>
      </w:r>
    </w:p>
    <w:p>
      <w:pPr>
        <w:pStyle w:val="FirstParagraph"/>
      </w:pPr>
      <w:r>
        <w:t xml:space="preserve">O pré-requisito formal é cálculo de uma e várias variáveis. O Capítulo 2 revisa todo o ferramental necessário, mas espera-se familiaridade prévia com derivadas, integrais e álgebra linear elementar. Se a expressão</w:t>
      </w:r>
      <w:r>
        <w:t xml:space="preserve"> </w:t>
      </w:r>
      <w:r>
        <w:t xml:space="preserve">“derivada parcial”</w:t>
      </w:r>
      <w:r>
        <w:t xml:space="preserve"> </w:t>
      </w:r>
      <w:r>
        <w:t xml:space="preserve">lhe causa angústia, talvez valha começar pelo Capítulo 2 antes de qualquer outra coisa. Não há vergonha nisso — há estratégia.</w:t>
      </w:r>
    </w:p>
    <w:p>
      <w:r>
        <w:pict>
          <v:rect style="width:0;height:1.5pt" o:hralign="center" o:hrstd="t" o:hr="t"/>
        </w:pict>
      </w:r>
    </w:p>
    <w:bookmarkEnd w:id="25"/>
    <w:bookmarkStart w:id="27" w:name="como-usar-este-livro"/>
    <w:p>
      <w:pPr>
        <w:pStyle w:val="Heading2"/>
      </w:pPr>
      <w:r>
        <w:t xml:space="preserve">Como usar este livro</w:t>
      </w:r>
    </w:p>
    <w:p>
      <w:pPr>
        <w:pStyle w:val="FirstParagraph"/>
      </w:pPr>
      <w:r>
        <w:rPr>
          <w:b/>
          <w:bCs/>
        </w:rPr>
        <w:t xml:space="preserve">Leitura linear</w:t>
      </w:r>
      <w:r>
        <w:t xml:space="preserve">: os capítulos foram organizados numa sequência pedagógica deliberada — cada conceito se constrói sobre os anteriores. O leitor que seguir a ordem dos capítulos encontrará uma narrativa coerente, com referências cruzadas que criam uma rede de conexões. É como uma série com arcos narrativos: se você pular episódios, ainda entende, mas perde as Easter eggs.</w:t>
      </w:r>
    </w:p>
    <w:p>
      <w:pPr>
        <w:pStyle w:val="BodyText"/>
      </w:pPr>
      <w:r>
        <w:rPr>
          <w:b/>
          <w:bCs/>
        </w:rPr>
        <w:t xml:space="preserve">Leitura seletiva</w:t>
      </w:r>
      <w:r>
        <w:t xml:space="preserve">: cada capítulo é razoavelmente autocontido, com referências explícitas aos pré-requisitos. Um leitor que domine a teoria do consumidor pode saltar diretamente para a teoria da firma ou para a teoria dos jogos, consultando capítulos anteriores quando necessário. O Mapa do Livro mostra exatamente quais capítulos dependem de quais — siga as setas e não se perderá. Lá você encontrará também</w:t>
      </w:r>
      <w:r>
        <w:t xml:space="preserve"> </w:t>
      </w:r>
      <w:r>
        <w:rPr>
          <w:b/>
          <w:bCs/>
        </w:rPr>
        <w:t xml:space="preserve">trilhas organizadas por público</w:t>
      </w:r>
      <w:r>
        <w:t xml:space="preserve"> </w:t>
      </w:r>
      <w:r>
        <w:t xml:space="preserve">(graduação, pós-graduação, ANPEC),</w:t>
      </w:r>
      <w:r>
        <w:t xml:space="preserve"> </w:t>
      </w:r>
      <w:r>
        <w:rPr>
          <w:b/>
          <w:bCs/>
        </w:rPr>
        <w:t xml:space="preserve">trilhas temáticas</w:t>
      </w:r>
      <w:r>
        <w:t xml:space="preserve"> </w:t>
      </w:r>
      <w:r>
        <w:t xml:space="preserve">(IO, Comportamental, Experimental) e</w:t>
      </w:r>
      <w:r>
        <w:t xml:space="preserve"> </w:t>
      </w:r>
      <w:r>
        <w:rPr>
          <w:b/>
          <w:bCs/>
        </w:rPr>
        <w:t xml:space="preserve">trilhas rápidas</w:t>
      </w:r>
      <w:r>
        <w:t xml:space="preserve"> </w:t>
      </w:r>
      <w:r>
        <w:t xml:space="preserve">para quem tem pressa ou curiosidade seletiva.</w:t>
      </w:r>
    </w:p>
    <w:p>
      <w:pPr>
        <w:pStyle w:val="BodyText"/>
      </w:pPr>
      <w:r>
        <w:rPr>
          <w:b/>
          <w:bCs/>
        </w:rPr>
        <w:t xml:space="preserve">Para a ANPEC</w:t>
      </w:r>
      <w:r>
        <w:t xml:space="preserve">: as seções</w:t>
      </w:r>
      <w:r>
        <w:t xml:space="preserve"> </w:t>
      </w:r>
      <w:r>
        <w:t xml:space="preserve">“Vem, ANPEC!”</w:t>
      </w:r>
      <w:r>
        <w:t xml:space="preserve"> </w:t>
      </w:r>
      <w:r>
        <w:t xml:space="preserve">de cada capítulo formam, juntas, um banco de questões comentadas que pode ser percorrido independentemente. É a coisa mais próxima de um tutor particular que um livro pode oferecer — sem o custo horário.</w:t>
      </w:r>
    </w:p>
    <w:p>
      <w:pPr>
        <w:pStyle w:val="BodyText"/>
      </w:pPr>
      <w:r>
        <w:rPr>
          <w:b/>
          <w:bCs/>
        </w:rPr>
        <w:t xml:space="preserve">Os gráficos interativos</w:t>
      </w:r>
      <w:r>
        <w:t xml:space="preserve"> </w:t>
      </w:r>
      <w:r>
        <w:t xml:space="preserve">funcionam melhor em tela de computador ou tablet. Nos smartphones, a experiência é aceitável mas limitada. Recomendamos que o leitor dedique tempo a manipular os gráficos — não apenas olhar para eles. A diferença entre observar uma demonstração e</w:t>
      </w:r>
      <w:r>
        <w:t xml:space="preserve"> </w:t>
      </w:r>
      <w:r>
        <w:rPr>
          <w:i/>
          <w:iCs/>
        </w:rPr>
        <w:t xml:space="preserve">interagir</w:t>
      </w:r>
      <w:r>
        <w:t xml:space="preserve"> </w:t>
      </w:r>
      <w:r>
        <w:t xml:space="preserve">com ela é a diferença entre ler sobre nadar e entrar na água.</w:t>
      </w:r>
    </w:p>
    <w:bookmarkStart w:id="26" w:name="elementos-do-livro-o-que-é-cada-box"/>
    <w:p>
      <w:pPr>
        <w:pStyle w:val="Heading3"/>
      </w:pPr>
      <w:r>
        <w:t xml:space="preserve">Elementos do livro: o que é cada box</w:t>
      </w:r>
    </w:p>
    <w:p>
      <w:pPr>
        <w:pStyle w:val="FirstParagraph"/>
      </w:pPr>
      <w:r>
        <w:t xml:space="preserve">Ao longo do texto, você encontrará vários tipos de caixas coloridas. Cada uma tem uma função específica — aqui está o mapa:</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jc w:val="left"/>
            </w:pPr>
            <w:r>
              <w:t xml:space="preserve">Elemento</w:t>
            </w:r>
          </w:p>
        </w:tc>
        <w:tc>
          <w:tcPr/>
          <w:p>
            <w:pPr>
              <w:pStyle w:val="Compact"/>
              <w:jc w:val="left"/>
            </w:pPr>
            <w:r>
              <w:t xml:space="preserve">O que você encontra ali</w:t>
            </w:r>
          </w:p>
        </w:tc>
      </w:tr>
      <w:tr>
        <w:tc>
          <w:tcPr/>
          <w:p>
            <w:pPr>
              <w:pStyle w:val="Compact"/>
              <w:jc w:val="left"/>
            </w:pPr>
            <w:r>
              <w:rPr>
                <w:b/>
                <w:bCs/>
              </w:rPr>
              <w:t xml:space="preserve">Definição</w:t>
            </w:r>
          </w:p>
        </w:tc>
        <w:tc>
          <w:tcPr/>
          <w:p>
            <w:pPr>
              <w:pStyle w:val="Compact"/>
              <w:jc w:val="left"/>
            </w:pPr>
            <w:r>
              <w:t xml:space="preserve">Definição formal de um conceito. Leia com atenção — a notação será usada depois.</w:t>
            </w:r>
          </w:p>
        </w:tc>
      </w:tr>
      <w:tr>
        <w:tc>
          <w:tcPr/>
          <w:p>
            <w:pPr>
              <w:pStyle w:val="Compact"/>
              <w:jc w:val="left"/>
            </w:pPr>
            <w:r>
              <w:rPr>
                <w:b/>
                <w:bCs/>
              </w:rPr>
              <w:t xml:space="preserve">Teorema / Proposição</w:t>
            </w:r>
          </w:p>
        </w:tc>
        <w:tc>
          <w:tcPr/>
          <w:p>
            <w:pPr>
              <w:pStyle w:val="Compact"/>
              <w:jc w:val="left"/>
            </w:pPr>
            <w:r>
              <w:t xml:space="preserve">Resultado formal com enunciado preciso. A demonstração vem logo abaixo (ou em nota).</w:t>
            </w:r>
          </w:p>
        </w:tc>
      </w:tr>
      <w:tr>
        <w:tc>
          <w:tcPr/>
          <w:p>
            <w:pPr>
              <w:pStyle w:val="Compact"/>
              <w:jc w:val="left"/>
            </w:pPr>
            <w:r>
              <w:rPr>
                <w:b/>
                <w:bCs/>
              </w:rPr>
              <w:t xml:space="preserve">Intuição Econômica</w:t>
            </w:r>
          </w:p>
        </w:tc>
        <w:tc>
          <w:tcPr/>
          <w:p>
            <w:pPr>
              <w:pStyle w:val="Compact"/>
              <w:jc w:val="left"/>
            </w:pPr>
            <w:r>
              <w:t xml:space="preserve">Tradução do formalismo em linguagem humana. Se você só lembrar de uma coisa, lembre disso.</w:t>
            </w:r>
          </w:p>
        </w:tc>
      </w:tr>
      <w:tr>
        <w:tc>
          <w:tcPr/>
          <w:p>
            <w:pPr>
              <w:pStyle w:val="Compact"/>
              <w:jc w:val="left"/>
            </w:pPr>
            <w:r>
              <w:rPr>
                <w:b/>
                <w:bCs/>
              </w:rPr>
              <w:t xml:space="preserve">Exercício Resolvido</w:t>
            </w:r>
          </w:p>
        </w:tc>
        <w:tc>
          <w:tcPr/>
          <w:p>
            <w:pPr>
              <w:pStyle w:val="Compact"/>
              <w:jc w:val="left"/>
            </w:pPr>
            <w:r>
              <w:t xml:space="preserve">Problema trabalhado passo a passo, logo após o conceito que aplica.</w:t>
            </w:r>
          </w:p>
        </w:tc>
      </w:tr>
      <w:tr>
        <w:tc>
          <w:tcPr/>
          <w:p>
            <w:pPr>
              <w:pStyle w:val="Compact"/>
              <w:jc w:val="left"/>
            </w:pPr>
            <w:r>
              <w:rPr>
                <w:b/>
                <w:bCs/>
              </w:rPr>
              <w:t xml:space="preserve">Box Brasil</w:t>
            </w:r>
          </w:p>
        </w:tc>
        <w:tc>
          <w:tcPr/>
          <w:p>
            <w:pPr>
              <w:pStyle w:val="Compact"/>
              <w:jc w:val="left"/>
            </w:pPr>
            <w:r>
              <w:t xml:space="preserve">Aplicação com dados brasileiros reais (IBGE, IPEA, ANP, CADE, ANS, DATASUS).</w:t>
            </w:r>
          </w:p>
        </w:tc>
      </w:tr>
      <w:tr>
        <w:tc>
          <w:tcPr/>
          <w:p>
            <w:pPr>
              <w:pStyle w:val="Compact"/>
              <w:jc w:val="left"/>
            </w:pPr>
            <w:r>
              <w:rPr>
                <w:b/>
                <w:bCs/>
              </w:rPr>
              <w:t xml:space="preserve">Box Mundo</w:t>
            </w:r>
          </w:p>
        </w:tc>
        <w:tc>
          <w:tcPr/>
          <w:p>
            <w:pPr>
              <w:pStyle w:val="Compact"/>
              <w:jc w:val="left"/>
            </w:pPr>
            <w:r>
              <w:t xml:space="preserve">Caso internacional emblemático — da Toyota ao NHS, do Uber à TSMC.</w:t>
            </w:r>
          </w:p>
        </w:tc>
      </w:tr>
      <w:tr>
        <w:tc>
          <w:tcPr/>
          <w:p>
            <w:pPr>
              <w:pStyle w:val="Compact"/>
              <w:jc w:val="left"/>
            </w:pPr>
            <w:r>
              <w:rPr>
                <w:b/>
                <w:bCs/>
              </w:rPr>
              <w:t xml:space="preserve">Prêmio Nobel</w:t>
            </w:r>
          </w:p>
        </w:tc>
        <w:tc>
          <w:tcPr/>
          <w:p>
            <w:pPr>
              <w:pStyle w:val="Compact"/>
              <w:jc w:val="left"/>
            </w:pPr>
            <w:r>
              <w:t xml:space="preserve">Mini-biografia do laureado e conexão com o conteúdo do capítulo.</w:t>
            </w:r>
          </w:p>
        </w:tc>
      </w:tr>
      <w:tr>
        <w:tc>
          <w:tcPr/>
          <w:p>
            <w:pPr>
              <w:pStyle w:val="Compact"/>
              <w:jc w:val="left"/>
            </w:pPr>
            <w:r>
              <w:rPr>
                <w:b/>
                <w:bCs/>
              </w:rPr>
              <w:t xml:space="preserve">Erro Comum</w:t>
            </w:r>
          </w:p>
        </w:tc>
        <w:tc>
          <w:tcPr/>
          <w:p>
            <w:pPr>
              <w:pStyle w:val="Compact"/>
              <w:jc w:val="left"/>
            </w:pPr>
            <w:r>
              <w:t xml:space="preserve">Armadilhas conceituais que pegam até estudantes avançados — e que a ANPEC adora explorar.</w:t>
            </w:r>
          </w:p>
        </w:tc>
      </w:tr>
      <w:tr>
        <w:tc>
          <w:tcPr/>
          <w:p>
            <w:pPr>
              <w:pStyle w:val="Compact"/>
              <w:jc w:val="left"/>
            </w:pPr>
            <w:r>
              <w:rPr>
                <w:b/>
                <w:bCs/>
              </w:rPr>
              <w:t xml:space="preserve">Lab</w:t>
            </w:r>
          </w:p>
        </w:tc>
        <w:tc>
          <w:tcPr/>
          <w:p>
            <w:pPr>
              <w:pStyle w:val="Compact"/>
              <w:jc w:val="left"/>
            </w:pPr>
            <w:r>
              <w:t xml:space="preserve">Mini-laboratório computacional com código em Python ou R para replicar resultados.</w:t>
            </w:r>
          </w:p>
        </w:tc>
      </w:tr>
      <w:tr>
        <w:tc>
          <w:tcPr/>
          <w:p>
            <w:pPr>
              <w:pStyle w:val="Compact"/>
              <w:jc w:val="left"/>
            </w:pPr>
            <w:r>
              <w:rPr>
                <w:b/>
                <w:bCs/>
              </w:rPr>
              <w:t xml:space="preserve">Atividade de Sala</w:t>
            </w:r>
          </w:p>
        </w:tc>
        <w:tc>
          <w:tcPr/>
          <w:p>
            <w:pPr>
              <w:pStyle w:val="Compact"/>
              <w:jc w:val="left"/>
            </w:pPr>
            <w:r>
              <w:t xml:space="preserve">Simulação, experimento ou debate estruturado para uso em aula (com timing e debrief).</w:t>
            </w:r>
          </w:p>
        </w:tc>
      </w:tr>
      <w:tr>
        <w:tc>
          <w:tcPr/>
          <w:p>
            <w:pPr>
              <w:pStyle w:val="Compact"/>
              <w:jc w:val="left"/>
            </w:pPr>
            <w:r>
              <w:rPr>
                <w:b/>
                <w:bCs/>
              </w:rPr>
              <w:t xml:space="preserve">Conexão</w:t>
            </w:r>
          </w:p>
        </w:tc>
        <w:tc>
          <w:tcPr/>
          <w:p>
            <w:pPr>
              <w:pStyle w:val="Compact"/>
              <w:jc w:val="left"/>
            </w:pPr>
            <w:r>
              <w:t xml:space="preserve">Referência cruzada a outro capítulo — indica que o conceito é desenvolvido ou aplicado em outra parte do livro.</w:t>
            </w:r>
          </w:p>
        </w:tc>
      </w:tr>
    </w:tbl>
    <w:p>
      <w:pPr>
        <w:pStyle w:val="BodyText"/>
      </w:pPr>
      <w:r>
        <w:rPr>
          <w:b/>
          <w:bCs/>
        </w:rPr>
        <w:t xml:space="preserve">Sobre o humor:</w:t>
      </w:r>
      <w:r>
        <w:t xml:space="preserve"> </w:t>
      </w:r>
      <w:r>
        <w:t xml:space="preserve">Sim, há notas de rodapé com referências a Monty Python. Não, elas não são decorativas. Cada uma ilumina um conceito econômico — se você entender a piada, entendeu a economia. Se não viu Monty Python… esta é uma excelente desculpa para assistir. E se você já viu mas acha que Monty Python e microeconomia não combinam, considere que o sketch do</w:t>
      </w:r>
      <w:r>
        <w:t xml:space="preserve"> </w:t>
      </w:r>
      <w:r>
        <w:rPr>
          <w:i/>
          <w:iCs/>
        </w:rPr>
        <w:t xml:space="preserve">Dead Parrot</w:t>
      </w:r>
      <w:r>
        <w:t xml:space="preserve"> </w:t>
      </w:r>
      <w:r>
        <w:t xml:space="preserve">é a melhor aula de assimetria de informação e</w:t>
      </w:r>
      <w:r>
        <w:t xml:space="preserve"> </w:t>
      </w:r>
      <w:r>
        <w:rPr>
          <w:i/>
          <w:iCs/>
        </w:rPr>
        <w:t xml:space="preserve">cheap talk</w:t>
      </w:r>
      <w:r>
        <w:t xml:space="preserve"> </w:t>
      </w:r>
      <w:r>
        <w:t xml:space="preserve">já filmada — e que o Black Knight dizendo</w:t>
      </w:r>
      <w:r>
        <w:t xml:space="preserve"> </w:t>
      </w:r>
      <w:r>
        <w:rPr>
          <w:i/>
          <w:iCs/>
        </w:rPr>
        <w:t xml:space="preserve">“’Tis but a scratch!”</w:t>
      </w:r>
      <w:r>
        <w:t xml:space="preserve"> </w:t>
      </w:r>
      <w:r>
        <w:t xml:space="preserve">sem os dois braços é a definição visual de</w:t>
      </w:r>
      <w:r>
        <w:t xml:space="preserve"> </w:t>
      </w:r>
      <w:r>
        <w:rPr>
          <w:i/>
          <w:iCs/>
        </w:rPr>
        <w:t xml:space="preserve">sunk cost fallacy</w:t>
      </w:r>
      <w:r>
        <w:t xml:space="preserve">. A economia está em toda parte, inclusive — especialmente — onde é engraçada.</w:t>
      </w:r>
    </w:p>
    <w:p>
      <w:r>
        <w:pict>
          <v:rect style="width:0;height:1.5pt" o:hralign="center" o:hrstd="t" o:hr="t"/>
        </w:pict>
      </w:r>
    </w:p>
    <w:bookmarkEnd w:id="26"/>
    <w:bookmarkEnd w:id="27"/>
    <w:bookmarkStart w:id="28" w:name="agradecimentos"/>
    <w:p>
      <w:pPr>
        <w:pStyle w:val="Heading2"/>
      </w:pPr>
      <w:r>
        <w:t xml:space="preserve">Agradecimentos</w:t>
      </w:r>
    </w:p>
    <w:p>
      <w:pPr>
        <w:pStyle w:val="FirstParagraph"/>
      </w:pPr>
      <w:r>
        <w:t xml:space="preserve">Nenhum livro é uma ilha — mas um livro que nasce de notas de aula é, no mínimo, um arquipélago. Cada capítulo carrega a marca de professores que me ensinaram a pensar, colegas que desafiaram minhas certezas e alunos que me forçaram a ser mais claro (ou que, ao não entenderem, me mostraram onde o texto falhava — que é, pedagogicamente, a mesma coisa).</w:t>
      </w:r>
    </w:p>
    <w:p>
      <w:pPr>
        <w:pStyle w:val="BodyText"/>
      </w:pPr>
      <w:r>
        <w:t xml:space="preserve">Agradeço aos professores que, ao longo da minha formação, me mostraram que microeconomia é mais do que maximização com restrição — é uma forma de olhar para o mundo. Aos colegas que comentaram versões preliminares com generosidade e rigor. Aos alunos que, ao longo dos anos, serviram como cobaias involuntárias (e surpreendentemente pacientes) das primeiras versões dos exercícios, dos gráficos interativos e das piadas de Monty Python — e cujo feedback moldou este material mais do que eles imaginam.</w:t>
      </w:r>
    </w:p>
    <w:p>
      <w:pPr>
        <w:pStyle w:val="BodyText"/>
      </w:pPr>
      <w:r>
        <w:t xml:space="preserve">E ao leitor que chegou até aqui — sinal de que pelo menos a introdução cumpriu seu papel de despertar curiosidade. Prometo que o restante do livro é melhor que o prefácio. Todo autor diz isso, mas neste caso é verdade: a microeconomia é mais interessante que qualquer coisa que eu possa escrever</w:t>
      </w:r>
      <w:r>
        <w:t xml:space="preserve"> </w:t>
      </w:r>
      <w:r>
        <w:rPr>
          <w:i/>
          <w:iCs/>
        </w:rPr>
        <w:t xml:space="preserve">sobre</w:t>
      </w:r>
      <w:r>
        <w:t xml:space="preserve"> </w:t>
      </w:r>
      <w:r>
        <w:t xml:space="preserve">ela.</w:t>
      </w:r>
    </w:p>
    <w:p>
      <w:r>
        <w:pict>
          <v:rect style="width:0;height:1.5pt" o:hralign="center" o:hrstd="t" o:hr="t"/>
        </w:pict>
      </w:r>
    </w:p>
    <w:bookmarkEnd w:id="28"/>
    <w:bookmarkStart w:id="1498" w:name="uma-última-advertência"/>
    <w:p>
      <w:pPr>
        <w:pStyle w:val="Heading2"/>
      </w:pPr>
      <w:r>
        <w:t xml:space="preserve">Uma última advertência</w:t>
      </w:r>
    </w:p>
    <w:p>
      <w:pPr>
        <w:pStyle w:val="FirstParagraph"/>
      </w:pPr>
      <w:r>
        <w:t xml:space="preserve">George Box disse que</w:t>
      </w:r>
      <w:r>
        <w:t xml:space="preserve"> </w:t>
      </w:r>
      <w:r>
        <w:t xml:space="preserve">“todos os modelos estão errados, mas alguns são úteis.”</w:t>
      </w:r>
      <w:r>
        <w:t xml:space="preserve"> </w:t>
      </w:r>
      <w:r>
        <w:t xml:space="preserve">O mesmo vale para livros-texto. Este não é perfeito — nenhum é. Haverá erros tipográficos que escaparam à revisão, exemplos que poderiam ser mais claros, demonstrações que poderiam ser mais elegantes. Se o leitor encontrar algum desses, considere-se convidado a contribuir: o projeto é de código aberto, e cada correção melhora o material para todos.</w:t>
      </w:r>
    </w:p>
    <w:p>
      <w:pPr>
        <w:pStyle w:val="BodyText"/>
      </w:pPr>
      <w:r>
        <w:t xml:space="preserve">O que este livro</w:t>
      </w:r>
      <w:r>
        <w:t xml:space="preserve"> </w:t>
      </w:r>
      <w:r>
        <w:rPr>
          <w:i/>
          <w:iCs/>
        </w:rPr>
        <w:t xml:space="preserve">pode</w:t>
      </w:r>
      <w:r>
        <w:t xml:space="preserve"> </w:t>
      </w:r>
      <w:r>
        <w:t xml:space="preserve">oferecer é um caminho — do zero ao equilíbrio, e além — percorrido com rigor, com exemplos que fazem sentido no seu contexto, com gráficos que se movem quando você os toca e com a convicção inabalável de que a microeconomia, bem ensinada, é uma das experiências intelectuais mais recompensadoras que existem. Se ao final da leitura você discordar dessa convicção, eu aceito o resultado — mas peço que ao menos verifique as condições de primeira ordem antes de concluir.</w:t>
      </w:r>
    </w:p>
    <w:p>
      <w:pPr>
        <w:pStyle w:val="BodyText"/>
      </w:pPr>
      <w:r>
        <w:t xml:space="preserve">Boa leitura. E lembre-se: na margem, tudo se resolve.</w:t>
      </w:r>
    </w:p>
    <w:p>
      <w:pPr>
        <w:pStyle w:val="BodyText"/>
      </w:pPr>
      <w:r>
        <w:rPr>
          <w:b/>
          <w:bCs/>
        </w:rPr>
        <w:t xml:space="preserve">Darcio Genicolo Martins</w:t>
      </w:r>
      <w:r>
        <w:t xml:space="preserve"> </w:t>
      </w:r>
      <w:r>
        <w:t xml:space="preserve">São Paulo, março de 2026</w:t>
      </w:r>
    </w:p>
    <w:bookmarkStart w:id="77" w:name="X9ff8a29d46667e42f75fff2348adee3da889d92"/>
    <w:p>
      <w:pPr>
        <w:sectPr>
          <w:footnotePr>
            <w:numRestart w:val="eachSect"/>
          </w:footnotePr>
        </w:sectPr>
      </w:pPr>
    </w:p>
    <w:p>
      <w:pPr>
        <w:pStyle w:val="Heading1"/>
      </w:pPr>
      <w:r>
        <w:t xml:space="preserve">Capítulo 1 — Todos os Modelos Estão Errados — Alguns São Úteis</w:t>
      </w:r>
    </w:p>
    <w:p>
      <w:pPr>
        <w:pStyle w:val="FirstParagraph"/>
      </w:pPr>
      <w:r>
        <w:t xml:space="preserve">Se você já brigou consigo mesmo sobre pedir a sobremesa ou resistir, já fez microeconomia — só não sabia. A microeconomia estuda como pessoas, empresas e governos tomam decisões quando os recursos são escassos e as vontades, infinitas. E o instrumento principal dessa investigação não é um microscópio nem um questionário: é um</w:t>
      </w:r>
      <w:r>
        <w:t xml:space="preserve"> </w:t>
      </w:r>
      <w:r>
        <w:rPr>
          <w:b/>
          <w:bCs/>
        </w:rPr>
        <w:t xml:space="preserve">modelo</w:t>
      </w:r>
      <w:r>
        <w:t xml:space="preserve"> </w:t>
      </w:r>
      <w:r>
        <w:t xml:space="preserve">— uma história simplificada sobre como o mundo funciona, escrita na linguagem da matemática.</w:t>
      </w:r>
    </w:p>
    <w:p>
      <w:pPr>
        <w:pStyle w:val="BodyText"/>
      </w:pPr>
      <w:r>
        <w:t xml:space="preserve">O mundo real, convenhamos, é uma bagunça: bilhões de agentes tomam decisões simultâneas, mercados interagem entre si, instituições moldam incentivos e a informação se distribui de forma desigual. Ninguém consegue processar tudo isso de uma vez. O economista, diante dessa complexidade, faz o que qualquer pessoa sensata faria:</w:t>
      </w:r>
      <w:r>
        <w:t xml:space="preserve"> </w:t>
      </w:r>
      <w:r>
        <w:rPr>
          <w:b/>
          <w:bCs/>
        </w:rPr>
        <w:t xml:space="preserve">simplifica</w:t>
      </w:r>
      <w:r>
        <w:t xml:space="preserve">. E essa simplificação deliberada, longe de ser uma fraqueza, é a maior força da disciplina.</w:t>
      </w:r>
    </w:p>
    <w:p>
      <w:pPr>
        <w:pStyle w:val="BodyText"/>
      </w:pPr>
      <w:r>
        <w:t xml:space="preserve">Este capítulo apresenta a lógica da construção de modelos em economia, discute como verificá-los empiricamente, examina suas características fundamentais e traça um panorama histórico do desenvolvimento da teoria do valor — o problema central da microeconomia.</w:t>
      </w:r>
      <w:r>
        <w:rPr>
          <w:rStyle w:val="FootnoteReference"/>
        </w:rPr>
        <w:footnoteReference w:id="29"/>
      </w:r>
      <w:r>
        <w:t xml:space="preserve"> </w:t>
      </w:r>
      <w:r>
        <w:t xml:space="preserve">Ao final, você estará preparado para mergulhar nas ferramentas matemáticas do Capítulo 2 e, em seguida, na teoria do consumidor (Capítulos 3 e 4), que traduz as ideias aqui apresentadas em modelos formais de escolha individual.</w:t>
      </w:r>
    </w:p>
    <w:p>
      <w:pPr>
        <w:pStyle w:val="BlockText"/>
      </w:pPr>
      <w:r>
        <w:rPr>
          <w:b/>
          <w:bCs/>
        </w:rPr>
        <w:t xml:space="preserve">[RESUMO] 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rPr>
                <w:b/>
                <w:bCs/>
              </w:rPr>
              <w:t xml:space="preserve">1.1</w:t>
            </w:r>
          </w:p>
        </w:tc>
        <w:tc>
          <w:tcPr/>
          <w:p>
            <w:pPr>
              <w:pStyle w:val="Compact"/>
            </w:pPr>
            <w:r>
              <w:t xml:space="preserve">Por que simplificar?</w:t>
            </w:r>
          </w:p>
        </w:tc>
        <w:tc>
          <w:tcPr/>
          <w:p>
            <w:pPr>
              <w:pStyle w:val="Compact"/>
            </w:pPr>
            <w:r>
              <w:t xml:space="preserve">A lógica dos modelos: omitir para revelar</w:t>
            </w:r>
          </w:p>
        </w:tc>
        <w:tc>
          <w:tcPr/>
          <w:p>
            <w:pPr>
              <w:pStyle w:val="Compact"/>
              <w:jc w:val="center"/>
            </w:pPr>
            <w:r>
              <w:t xml:space="preserve">Modelos</w:t>
            </w:r>
          </w:p>
        </w:tc>
      </w:tr>
      <w:tr>
        <w:tc>
          <w:tcPr/>
          <w:p>
            <w:pPr>
              <w:pStyle w:val="Compact"/>
              <w:jc w:val="center"/>
            </w:pPr>
            <w:r>
              <w:rPr>
                <w:b/>
                <w:bCs/>
              </w:rPr>
              <w:t xml:space="preserve">1.2</w:t>
            </w:r>
          </w:p>
        </w:tc>
        <w:tc>
          <w:tcPr/>
          <w:p>
            <w:pPr>
              <w:pStyle w:val="Compact"/>
            </w:pPr>
            <w:r>
              <w:t xml:space="preserve">Como saber se a mentira é boa?</w:t>
            </w:r>
          </w:p>
        </w:tc>
        <w:tc>
          <w:tcPr/>
          <w:p>
            <w:pPr>
              <w:pStyle w:val="Compact"/>
            </w:pPr>
            <w:r>
              <w:t xml:space="preserve">Verificação direta vs. indireta; correlação ≠ causalidade</w:t>
            </w:r>
          </w:p>
        </w:tc>
        <w:tc>
          <w:tcPr/>
          <w:p>
            <w:pPr>
              <w:pStyle w:val="Compact"/>
              <w:jc w:val="center"/>
            </w:pPr>
            <w:r>
              <w:t xml:space="preserve">Modelos</w:t>
            </w:r>
          </w:p>
        </w:tc>
      </w:tr>
      <w:tr>
        <w:tc>
          <w:tcPr/>
          <w:p>
            <w:pPr>
              <w:pStyle w:val="Compact"/>
              <w:jc w:val="center"/>
            </w:pPr>
            <w:r>
              <w:rPr>
                <w:b/>
                <w:bCs/>
              </w:rPr>
              <w:t xml:space="preserve">1.3</w:t>
            </w:r>
          </w:p>
        </w:tc>
        <w:tc>
          <w:tcPr/>
          <w:p>
            <w:pPr>
              <w:pStyle w:val="Compact"/>
            </w:pPr>
            <w:r>
              <w:t xml:space="preserve">Quais são as regras do jogo?</w:t>
            </w:r>
          </w:p>
        </w:tc>
        <w:tc>
          <w:tcPr/>
          <w:p>
            <w:pPr>
              <w:pStyle w:val="Compact"/>
            </w:pPr>
            <w:r>
              <w:t xml:space="preserve">Os três pilares:</w:t>
            </w:r>
            <w:r>
              <w:t xml:space="preserve"> </w:t>
            </w:r>
            <w:r>
              <w:rPr>
                <w:i/>
                <w:iCs/>
              </w:rPr>
              <w:t xml:space="preserve">ceteris paribus</w:t>
            </w:r>
            <w:r>
              <w:t xml:space="preserve">, otimização, positivo vs. normativo</w:t>
            </w:r>
          </w:p>
        </w:tc>
        <w:tc>
          <w:tcPr/>
          <w:p>
            <w:pPr>
              <w:pStyle w:val="Compact"/>
              <w:jc w:val="center"/>
            </w:pPr>
            <w:r>
              <w:t xml:space="preserve">Fundamentos</w:t>
            </w:r>
          </w:p>
        </w:tc>
      </w:tr>
      <w:tr>
        <w:tc>
          <w:tcPr/>
          <w:p>
            <w:pPr>
              <w:pStyle w:val="Compact"/>
              <w:jc w:val="center"/>
            </w:pPr>
            <w:r>
              <w:rPr>
                <w:b/>
                <w:bCs/>
              </w:rPr>
              <w:t xml:space="preserve">1.4</w:t>
            </w:r>
          </w:p>
        </w:tc>
        <w:tc>
          <w:tcPr/>
          <w:p>
            <w:pPr>
              <w:pStyle w:val="Compact"/>
            </w:pPr>
            <w:r>
              <w:t xml:space="preserve">Como um modelo se materializa?</w:t>
            </w:r>
          </w:p>
        </w:tc>
        <w:tc>
          <w:tcPr/>
          <w:p>
            <w:pPr>
              <w:pStyle w:val="Compact"/>
            </w:pPr>
            <w:r>
              <w:t xml:space="preserve">Variáveis exógenas/endógenas, equilíbrio, estática comparativa</w:t>
            </w:r>
          </w:p>
        </w:tc>
        <w:tc>
          <w:tcPr/>
          <w:p>
            <w:pPr>
              <w:pStyle w:val="Compact"/>
              <w:jc w:val="center"/>
            </w:pPr>
            <w:r>
              <w:t xml:space="preserve">Fundamentos</w:t>
            </w:r>
          </w:p>
        </w:tc>
      </w:tr>
      <w:tr>
        <w:tc>
          <w:tcPr/>
          <w:p>
            <w:pPr>
              <w:pStyle w:val="Compact"/>
              <w:jc w:val="center"/>
            </w:pPr>
            <w:r>
              <w:rPr>
                <w:b/>
                <w:bCs/>
              </w:rPr>
              <w:t xml:space="preserve">1.5</w:t>
            </w:r>
          </w:p>
        </w:tc>
        <w:tc>
          <w:tcPr/>
          <w:p>
            <w:pPr>
              <w:pStyle w:val="Compact"/>
            </w:pPr>
            <w:r>
              <w:t xml:space="preserve">De onde vieram essas ideias?</w:t>
            </w:r>
          </w:p>
        </w:tc>
        <w:tc>
          <w:tcPr/>
          <w:p>
            <w:pPr>
              <w:pStyle w:val="Compact"/>
            </w:pPr>
            <w:r>
              <w:t xml:space="preserve">Do paradoxo da água e do diamante à síntese de Marshall</w:t>
            </w:r>
          </w:p>
        </w:tc>
        <w:tc>
          <w:tcPr/>
          <w:p>
            <w:pPr>
              <w:pStyle w:val="Compact"/>
              <w:jc w:val="center"/>
            </w:pPr>
            <w:r>
              <w:t xml:space="preserve">Valor</w:t>
            </w:r>
          </w:p>
        </w:tc>
      </w:tr>
      <w:tr>
        <w:tc>
          <w:tcPr/>
          <w:p>
            <w:pPr>
              <w:pStyle w:val="Compact"/>
              <w:jc w:val="center"/>
            </w:pPr>
            <w:r>
              <w:rPr>
                <w:b/>
                <w:bCs/>
              </w:rPr>
              <w:t xml:space="preserve">1.6</w:t>
            </w:r>
          </w:p>
        </w:tc>
        <w:tc>
          <w:tcPr/>
          <w:p>
            <w:pPr>
              <w:pStyle w:val="Compact"/>
            </w:pPr>
            <w:r>
              <w:t xml:space="preserve">Para onde a micro está indo?</w:t>
            </w:r>
          </w:p>
        </w:tc>
        <w:tc>
          <w:tcPr/>
          <w:p>
            <w:pPr>
              <w:pStyle w:val="Compact"/>
            </w:pPr>
            <w:r>
              <w:t xml:space="preserve">Jogos, informação, comportamento, mecanismos</w:t>
            </w:r>
          </w:p>
        </w:tc>
        <w:tc>
          <w:tcPr/>
          <w:p>
            <w:pPr>
              <w:pStyle w:val="Compact"/>
              <w:jc w:val="center"/>
            </w:pPr>
            <w:r>
              <w:t xml:space="preserve">Valor</w:t>
            </w:r>
          </w:p>
        </w:tc>
      </w:tr>
      <w:tr>
        <w:tc>
          <w:tcPr/>
          <w:p>
            <w:pPr>
              <w:pStyle w:val="Compact"/>
              <w:jc w:val="center"/>
            </w:pPr>
            <w:r>
              <w:rPr>
                <w:b/>
                <w:bCs/>
              </w:rPr>
              <w:t xml:space="preserve">1.7</w:t>
            </w:r>
          </w:p>
        </w:tc>
        <w:tc>
          <w:tcPr/>
          <w:p>
            <w:pPr>
              <w:pStyle w:val="Compact"/>
            </w:pPr>
            <w:r>
              <w:t xml:space="preserve">Como isso funciona na prática?</w:t>
            </w:r>
          </w:p>
        </w:tc>
        <w:tc>
          <w:tcPr/>
          <w:p>
            <w:pPr>
              <w:pStyle w:val="Compact"/>
            </w:pPr>
            <w:r>
              <w:t xml:space="preserve">Demonstração completa: por que</w:t>
            </w:r>
            <w:r>
              <w:t xml:space="preserve"> </w:t>
            </w:r>
            <m:oMath>
              <m:r>
                <m:t>P</m:t>
              </m:r>
              <m:r>
                <m:rPr>
                  <m:sty m:val="p"/>
                </m:rPr>
                <m:t>=</m:t>
              </m:r>
              <m:r>
                <m:t>C</m:t>
              </m:r>
              <m:r>
                <m:t>M</m:t>
              </m:r>
              <m:r>
                <m:t>g</m:t>
              </m:r>
            </m:oMath>
          </w:p>
        </w:tc>
        <w:tc>
          <w:tcPr/>
          <w:p>
            <w:pPr>
              <w:pStyle w:val="Compact"/>
              <w:jc w:val="center"/>
            </w:pPr>
            <w:r>
              <w:t xml:space="preserve">Maximização</w:t>
            </w:r>
          </w:p>
        </w:tc>
      </w:tr>
    </w:tbl>
    <w:bookmarkStart w:id="38" w:name="modelos-e-verificação"/>
    <w:p>
      <w:pPr>
        <w:pStyle w:val="Heading2"/>
      </w:pPr>
      <w:r>
        <w:t xml:space="preserve">1.1–1.2 Modelos e Verificação</w:t>
      </w:r>
    </w:p>
    <w:bookmarkStart w:id="32" w:name="X32861812673152ba60fa20104de252548367aaf"/>
    <w:p>
      <w:pPr>
        <w:pStyle w:val="Heading3"/>
      </w:pPr>
      <w:r>
        <w:t xml:space="preserve">1.1 Todos os Mapas Mentem: Por Que Simplificar?</w:t>
      </w:r>
    </w:p>
    <w:p>
      <w:pPr>
        <w:pStyle w:val="FirstParagraph"/>
      </w:pPr>
      <w:r>
        <w:t xml:space="preserve">A pergunta pode parecer estranha: por que um cientista</w:t>
      </w:r>
      <w:r>
        <w:t xml:space="preserve"> </w:t>
      </w:r>
      <w:r>
        <w:rPr>
          <w:i/>
          <w:iCs/>
        </w:rPr>
        <w:t xml:space="preserve">escolheria</w:t>
      </w:r>
      <w:r>
        <w:t xml:space="preserve"> </w:t>
      </w:r>
      <w:r>
        <w:t xml:space="preserve">jogar informação fora? Não seria melhor incluir tudo? A resposta, embora contraintuitiva, é que um modelo que inclui tudo não explica nada — assim como um GPS que mostrasse cada formiga na calçada seria inútil para chegar ao trabalho. Para entender por quê, considere uma analogia.</w:t>
      </w:r>
    </w:p>
    <w:bookmarkStart w:id="30" w:name="a-analogia-do-mapa"/>
    <w:p>
      <w:pPr>
        <w:pStyle w:val="Heading4"/>
      </w:pPr>
      <w:r>
        <w:t xml:space="preserve">A analogia do mapa</w:t>
      </w:r>
    </w:p>
    <w:p>
      <w:pPr>
        <w:pStyle w:val="FirstParagraph"/>
      </w:pPr>
      <w:r>
        <w:t xml:space="preserve">Um modelo econômico é, em essência, um</w:t>
      </w:r>
      <w:r>
        <w:t xml:space="preserve"> </w:t>
      </w:r>
      <w:r>
        <w:rPr>
          <w:b/>
          <w:bCs/>
        </w:rPr>
        <w:t xml:space="preserve">mapa</w:t>
      </w:r>
      <w:r>
        <w:t xml:space="preserve">. Assim como um mapa cartográfico não pretende reproduzir cada árvore, cada pedra e cada curva de um rio, um modelo econômico não pretende capturar toda a riqueza do comportamento humano. Um mapa na escala 1:1 seria perfeitamente fiel à realidade — e perfeitamente inútil. O escritor argentino Jorge Luis Borges, em seu conto</w:t>
      </w:r>
      <w:r>
        <w:t xml:space="preserve"> </w:t>
      </w:r>
      <w:r>
        <w:rPr>
          <w:i/>
          <w:iCs/>
        </w:rPr>
        <w:t xml:space="preserve">Do rigor na ciência</w:t>
      </w:r>
      <w:r>
        <w:t xml:space="preserve"> </w:t>
      </w:r>
      <w:r>
        <w:t xml:space="preserve">(1946, republicado em</w:t>
      </w:r>
      <w:r>
        <w:t xml:space="preserve"> </w:t>
      </w:r>
      <w:r>
        <w:rPr>
          <w:i/>
          <w:iCs/>
        </w:rPr>
        <w:t xml:space="preserve">O fazedor</w:t>
      </w:r>
      <w:r>
        <w:t xml:space="preserve">, 1960), imaginou um império onde os cartógrafos desenharam um mapa tão detalhado que coincidia ponto a ponto com o território. O mapa foi abandonado, destruído pelo sol e pelas chuvas — um monumento à inutilidade da representação total. A utilidade de um mapa reside precisamente no que ele</w:t>
      </w:r>
      <w:r>
        <w:t xml:space="preserve"> </w:t>
      </w:r>
      <w:r>
        <w:rPr>
          <w:b/>
          <w:bCs/>
        </w:rPr>
        <w:t xml:space="preserve">omite</w:t>
      </w:r>
      <w:r>
        <w:t xml:space="preserve">: ao eliminar detalhes irrelevantes para a finalidade em questão, ele revela a estrutura subjacente do território.</w:t>
      </w:r>
    </w:p>
    <w:p>
      <w:pPr>
        <w:pStyle w:val="BodyText"/>
      </w:pPr>
      <w:r>
        <w:t xml:space="preserve">Da mesma forma, um modelo econômico é uma representação simplificada da realidade que retém apenas os elementos considerados essenciais para o problema investigado. Como observou o estatístico George Box,</w:t>
      </w:r>
      <w:r>
        <w:t xml:space="preserve"> </w:t>
      </w:r>
      <w:r>
        <w:t xml:space="preserve">“todos os modelos estão errados, mas alguns são úteis.”</w:t>
      </w:r>
      <w:r>
        <w:t xml:space="preserve"> </w:t>
      </w:r>
      <w:r>
        <w:t xml:space="preserve">A arte da modelagem consiste em saber o que incluir e — igualmente importante — o que descartar. Um modelo de oferta e demanda para o mercado de café ignora as preferências dos consumidores por torrefação clara ou escura, a umidade relativa do ar nos cafezais e a cor das embalagens. Essas omissões não são defeitos: são escolhas deliberadas que permitem focar nos mecanismos causais relevantes — preço, renda, custos de produção — e derivar previsões testáveis.</w:t>
      </w:r>
    </w:p>
    <w:p>
      <w:pPr>
        <w:pStyle w:val="BlockText"/>
      </w:pPr>
      <w:r>
        <w:rPr>
          <w:b/>
          <w:bCs/>
        </w:rPr>
        <w:t xml:space="preserve">[DEFINICAO] Modelo Econômico</w:t>
      </w:r>
    </w:p>
    <w:p>
      <w:pPr>
        <w:pStyle w:val="BlockText"/>
      </w:pPr>
      <w:r>
        <w:t xml:space="preserve">Um</w:t>
      </w:r>
      <w:r>
        <w:t xml:space="preserve"> </w:t>
      </w:r>
      <w:r>
        <w:rPr>
          <w:b/>
          <w:bCs/>
        </w:rPr>
        <w:t xml:space="preserve">modelo econômico</w:t>
      </w:r>
      <w:r>
        <w:t xml:space="preserve"> </w:t>
      </w:r>
      <w:r>
        <w:t xml:space="preserve">é uma representação simplificada de uma situação econômica real, expressa por meio de relações lógicas (frequentemente matemáticas) entre variáveis, construída com o objetivo de explicar fenômenos observados e gerar previsões testáveis (Nicholson &amp; Snyder, 2017, p. 3).</w:t>
      </w:r>
    </w:p>
    <w:p>
      <w:pPr>
        <w:pStyle w:val="BlockText"/>
      </w:pPr>
      <w:r>
        <w:rPr>
          <w:b/>
          <w:bCs/>
        </w:rPr>
        <w:t xml:space="preserve">[INTUICAO ECONOMICA] Intuição Econômica</w:t>
      </w:r>
    </w:p>
    <w:p>
      <w:pPr>
        <w:pStyle w:val="BlockText"/>
      </w:pPr>
      <w:r>
        <w:rPr>
          <w:b/>
          <w:bCs/>
        </w:rPr>
        <w:t xml:space="preserve">Em uma frase:</w:t>
      </w:r>
      <w:r>
        <w:t xml:space="preserve"> </w:t>
      </w:r>
      <w:r>
        <w:t xml:space="preserve">Um modelo econômico é uma receita que deixa de fora os ingredientes que não fazem diferença no sabor.</w:t>
      </w:r>
    </w:p>
    <w:p>
      <w:pPr>
        <w:pStyle w:val="BlockText"/>
      </w:pPr>
      <w:r>
        <w:rPr>
          <w:b/>
          <w:bCs/>
        </w:rPr>
        <w:t xml:space="preserve">Pense assim:</w:t>
      </w:r>
      <w:r>
        <w:t xml:space="preserve"> </w:t>
      </w:r>
      <w:r>
        <w:t xml:space="preserve">Quando o Waze calcula sua rota em São Paulo, ele ignora a cor dos prédios, o nome das padarias e se está chovendo na Bahia. Ele simplifica o mundo para resolver</w:t>
      </w:r>
      <w:r>
        <w:t xml:space="preserve"> </w:t>
      </w:r>
      <w:r>
        <w:rPr>
          <w:i/>
          <w:iCs/>
        </w:rPr>
        <w:t xml:space="preserve">seu</w:t>
      </w:r>
      <w:r>
        <w:t xml:space="preserve"> </w:t>
      </w:r>
      <w:r>
        <w:t xml:space="preserve">problema. Um modelo econômico faz o mesmo: descarta o que não importa para a pergunta que você está fazendo.</w:t>
      </w:r>
    </w:p>
    <w:p>
      <w:pPr>
        <w:pStyle w:val="BlockText"/>
      </w:pPr>
      <w:r>
        <w:rPr>
          <w:b/>
          <w:bCs/>
        </w:rPr>
        <w:t xml:space="preserve">Por que isso importa:</w:t>
      </w:r>
      <w:r>
        <w:t xml:space="preserve"> </w:t>
      </w:r>
      <w:r>
        <w:t xml:space="preserve">Toda política pública — do Bolsa Família à Selic — nasce de um modelo. Saber o que ele ignora é tão importante quanto saber o que ele inclui.</w:t>
      </w:r>
    </w:p>
    <w:bookmarkEnd w:id="30"/>
    <w:bookmarkStart w:id="31" w:name="elementos-de-um-modelo"/>
    <w:p>
      <w:pPr>
        <w:pStyle w:val="Heading4"/>
      </w:pPr>
      <w:r>
        <w:t xml:space="preserve">Elementos de um modelo</w:t>
      </w:r>
    </w:p>
    <w:p>
      <w:pPr>
        <w:pStyle w:val="FirstParagraph"/>
      </w:pPr>
      <w:r>
        <w:t xml:space="preserve">Tendo compreendido</w:t>
      </w:r>
      <w:r>
        <w:t xml:space="preserve"> </w:t>
      </w:r>
      <w:r>
        <w:rPr>
          <w:i/>
          <w:iCs/>
        </w:rPr>
        <w:t xml:space="preserve">por que</w:t>
      </w:r>
      <w:r>
        <w:t xml:space="preserve"> </w:t>
      </w:r>
      <w:r>
        <w:t xml:space="preserve">simplificamos, cabe perguntar:</w:t>
      </w:r>
      <w:r>
        <w:t xml:space="preserve"> </w:t>
      </w:r>
      <w:r>
        <w:rPr>
          <w:i/>
          <w:iCs/>
        </w:rPr>
        <w:t xml:space="preserve">como</w:t>
      </w:r>
      <w:r>
        <w:t xml:space="preserve"> </w:t>
      </w:r>
      <w:r>
        <w:t xml:space="preserve">um modelo econômico é construído? Quais são seus componentes básicos? Assim como uma receita tem ingredientes, um modo de preparo e um resultado final, um modelo econômico possui elementos bem definidos que se articulam de forma lógica. Todo modelo econômico contém:</w:t>
      </w:r>
    </w:p>
    <w:p>
      <w:pPr>
        <w:pStyle w:val="Compact"/>
        <w:numPr>
          <w:ilvl w:val="0"/>
          <w:numId w:val="1003"/>
        </w:numPr>
      </w:pPr>
      <w:r>
        <w:rPr>
          <w:b/>
          <w:bCs/>
        </w:rPr>
        <w:t xml:space="preserve">Suposições</w:t>
      </w:r>
      <w:r>
        <w:t xml:space="preserve"> </w:t>
      </w:r>
      <w:r>
        <w:t xml:space="preserve">(</w:t>
      </w:r>
      <w:r>
        <w:rPr>
          <w:i/>
          <w:iCs/>
        </w:rPr>
        <w:t xml:space="preserve">assumptions</w:t>
      </w:r>
      <w:r>
        <w:t xml:space="preserve">): premissas sobre o comportamento dos agentes, a estrutura do mercado ou a tecnologia disponível. Por exemplo, a suposição de que consumidores maximizam utilidade ou de que firmas são tomadoras de preço.</w:t>
      </w:r>
    </w:p>
    <w:p>
      <w:pPr>
        <w:pStyle w:val="Compact"/>
        <w:numPr>
          <w:ilvl w:val="0"/>
          <w:numId w:val="1003"/>
        </w:numPr>
      </w:pPr>
      <w:r>
        <w:rPr>
          <w:b/>
          <w:bCs/>
        </w:rPr>
        <w:t xml:space="preserve">Variáveis</w:t>
      </w:r>
      <w:r>
        <w:t xml:space="preserve">: grandezas que o modelo busca explicar (endógenas) ou que toma como dadas (exógenas). A distinção entre elas define o alcance e os limites do modelo.</w:t>
      </w:r>
    </w:p>
    <w:p>
      <w:pPr>
        <w:pStyle w:val="Compact"/>
        <w:numPr>
          <w:ilvl w:val="0"/>
          <w:numId w:val="1003"/>
        </w:numPr>
      </w:pPr>
      <w:r>
        <w:rPr>
          <w:b/>
          <w:bCs/>
        </w:rPr>
        <w:t xml:space="preserve">Relações funcionais</w:t>
      </w:r>
      <w:r>
        <w:t xml:space="preserve">: equações ou desigualdades que conectam as variáveis — como uma função de demanda que relaciona quantidade ao preço.</w:t>
      </w:r>
    </w:p>
    <w:p>
      <w:pPr>
        <w:pStyle w:val="Compact"/>
        <w:numPr>
          <w:ilvl w:val="0"/>
          <w:numId w:val="1003"/>
        </w:numPr>
      </w:pPr>
      <w:r>
        <w:rPr>
          <w:b/>
          <w:bCs/>
        </w:rPr>
        <w:t xml:space="preserve">Implicações</w:t>
      </w:r>
      <w:r>
        <w:t xml:space="preserve"> </w:t>
      </w:r>
      <w:r>
        <w:t xml:space="preserve">(</w:t>
      </w:r>
      <w:r>
        <w:rPr>
          <w:i/>
          <w:iCs/>
        </w:rPr>
        <w:t xml:space="preserve">predictions</w:t>
      </w:r>
      <w:r>
        <w:t xml:space="preserve">): resultados derivados logicamente das suposições. São as previsões testáveis do modelo — o produto final que justifica todo o exercício de simplificação.</w:t>
      </w:r>
    </w:p>
    <w:p>
      <w:pPr>
        <w:pStyle w:val="FirstParagraph"/>
      </w:pPr>
      <w:r>
        <w:t xml:space="preserve">A qualidade de um modelo não se mede pelo realismo de suas suposições — se medisse, toda ficção científica seria inútil —, mas pela capacidade de gerar previsões que sobrevivem ao encontro com os dados. Esse critério pragmático — que prioriza a utilidade sobre o realismo — é um dos traços mais distintivos da metodologia econômica, e a próxima seção explora suas raízes filosóficas.</w:t>
      </w:r>
    </w:p>
    <w:p>
      <w:pPr>
        <w:pStyle w:val="BodyText"/>
      </w:pPr>
      <w:r>
        <w:t xml:space="preserve">Até aqui, tudo elegante. Mas se um modelo é, por definição, uma mentira — uma simplificação deliberada —, como distinguir uma mentira</w:t>
      </w:r>
      <w:r>
        <w:t xml:space="preserve"> </w:t>
      </w:r>
      <w:r>
        <w:rPr>
          <w:i/>
          <w:iCs/>
        </w:rPr>
        <w:t xml:space="preserve">útil</w:t>
      </w:r>
      <w:r>
        <w:t xml:space="preserve"> </w:t>
      </w:r>
      <w:r>
        <w:t xml:space="preserve">de uma mentira</w:t>
      </w:r>
      <w:r>
        <w:t xml:space="preserve"> </w:t>
      </w:r>
      <w:r>
        <w:rPr>
          <w:i/>
          <w:iCs/>
        </w:rPr>
        <w:t xml:space="preserve">perigosa</w:t>
      </w:r>
      <w:r>
        <w:t xml:space="preserve">? Essa pergunta não é acadêmica: modelos econômicos orientam decisões que afetam milhões de pessoas. Precisamos de um critério, e é exatamente isso que a próxima seção oferece.</w:t>
      </w:r>
    </w:p>
    <w:p>
      <w:r>
        <w:pict>
          <v:rect style="width:0;height:1.5pt" o:hralign="center" o:hrstd="t" o:hr="t"/>
        </w:pict>
      </w:r>
    </w:p>
    <w:bookmarkEnd w:id="31"/>
    <w:bookmarkEnd w:id="32"/>
    <w:bookmarkStart w:id="37" w:name="Xc6f45f1dc38ba3aa8d354bb5f5331daa2164e59"/>
    <w:p>
      <w:pPr>
        <w:pStyle w:val="Heading3"/>
      </w:pPr>
      <w:r>
        <w:t xml:space="preserve">1.2 Como Saber se a Mentira É Boa? Verificação de Modelos</w:t>
      </w:r>
    </w:p>
    <w:bookmarkStart w:id="33" w:name="abordagem-direta-versus-indireta"/>
    <w:p>
      <w:pPr>
        <w:pStyle w:val="Heading4"/>
      </w:pPr>
      <w:r>
        <w:t xml:space="preserve">Abordagem direta versus indireta</w:t>
      </w:r>
    </w:p>
    <w:p>
      <w:pPr>
        <w:pStyle w:val="FirstParagraph"/>
      </w:pPr>
      <w:r>
        <w:t xml:space="preserve">Se um modelo é, por definição, uma mentira útil, como saber se a mentira é</w:t>
      </w:r>
      <w:r>
        <w:t xml:space="preserve"> </w:t>
      </w:r>
      <w:r>
        <w:rPr>
          <w:i/>
          <w:iCs/>
        </w:rPr>
        <w:t xml:space="preserve">boa</w:t>
      </w:r>
      <w:r>
        <w:t xml:space="preserve">? Em um sketch clássico do Monty Python, um cliente tenta devolver um papagaio morto à loja. O vendedor insiste:</w:t>
      </w:r>
      <w:r>
        <w:t xml:space="preserve"> </w:t>
      </w:r>
      <w:r>
        <w:t xml:space="preserve">“He’s not dead — he’s resting!”</w:t>
      </w:r>
      <w:r>
        <w:t xml:space="preserve"> </w:t>
      </w:r>
      <w:r>
        <w:t xml:space="preserve">O cliente, indignado, aponta para o bicho inerte e exige evidência. É, no fundo, o mesmo debate que a economia enfrenta sobre seus modelos: o vendedor defende as</w:t>
      </w:r>
      <w:r>
        <w:t xml:space="preserve"> </w:t>
      </w:r>
      <w:r>
        <w:rPr>
          <w:i/>
          <w:iCs/>
        </w:rPr>
        <w:t xml:space="preserve">suposições</w:t>
      </w:r>
      <w:r>
        <w:t xml:space="preserve"> </w:t>
      </w:r>
      <w:r>
        <w:t xml:space="preserve">(</w:t>
      </w:r>
      <w:r>
        <w:t xml:space="preserve">“o papagaio está vivo — olhe as penas bonitas!”</w:t>
      </w:r>
      <w:r>
        <w:t xml:space="preserve">); o cliente exige</w:t>
      </w:r>
      <w:r>
        <w:t xml:space="preserve"> </w:t>
      </w:r>
      <w:r>
        <w:rPr>
          <w:i/>
          <w:iCs/>
        </w:rPr>
        <w:t xml:space="preserve">resultados</w:t>
      </w:r>
      <w:r>
        <w:t xml:space="preserve"> </w:t>
      </w:r>
      <w:r>
        <w:t xml:space="preserve">(</w:t>
      </w:r>
      <w:r>
        <w:t xml:space="preserve">“mas ele não se mexe!”</w:t>
      </w:r>
      <w:r>
        <w:t xml:space="preserve">). Aqui a profissão se divide em duas tribos:</w:t>
      </w:r>
    </w:p>
    <w:p>
      <w:pPr>
        <w:pStyle w:val="BodyText"/>
      </w:pPr>
      <w:r>
        <w:rPr>
          <w:b/>
          <w:bCs/>
        </w:rPr>
        <w:t xml:space="preserve">Abordagem direta</w:t>
      </w:r>
      <w:r>
        <w:t xml:space="preserve">: examina-se o realismo das suposições do modelo. Se as premissas são</w:t>
      </w:r>
      <w:r>
        <w:t xml:space="preserve"> </w:t>
      </w:r>
      <w:r>
        <w:t xml:space="preserve">“razoáveis”</w:t>
      </w:r>
      <w:r>
        <w:t xml:space="preserve">, confia-se nas conclusões. Essa abordagem tem a vantagem da transparência, mas apresenta uma limitação séria: suposições irrealistas podem, paradoxalmente, gerar previsões excelentes. A física newtoniana, por exemplo, ignora a curvatura do espaço-tempo — suposição</w:t>
      </w:r>
      <w:r>
        <w:t xml:space="preserve"> </w:t>
      </w:r>
      <w:r>
        <w:t xml:space="preserve">“errada”</w:t>
      </w:r>
      <w:r>
        <w:t xml:space="preserve"> </w:t>
      </w:r>
      <w:r>
        <w:t xml:space="preserve">segundo a relatividade geral — mas prevê com precisão suficiente a órbita dos planetas para o cálculo de viagens espaciais.</w:t>
      </w:r>
    </w:p>
    <w:p>
      <w:pPr>
        <w:pStyle w:val="BodyText"/>
      </w:pPr>
      <w:r>
        <w:rPr>
          <w:b/>
          <w:bCs/>
        </w:rPr>
        <w:t xml:space="preserve">Abordagem indireta</w:t>
      </w:r>
      <w:r>
        <w:t xml:space="preserve"> </w:t>
      </w:r>
      <w:r>
        <w:t xml:space="preserve">(instrumentalismo): avalia-se o modelo exclusivamente pela qualidade de suas previsões, independentemente do realismo das suposições. Essa é a posição defendida por Milton Friedman em seu célebre ensaio</w:t>
      </w:r>
      <w:r>
        <w:t xml:space="preserve"> </w:t>
      </w:r>
      <w:r>
        <w:t xml:space="preserve">“The Methodology of Positive Economics”</w:t>
      </w:r>
      <w:r>
        <w:t xml:space="preserve"> </w:t>
      </w:r>
      <w:r>
        <w:t xml:space="preserve">(1953), um dos textos mais influentes e debatidos da história do pensamento econômico.</w:t>
      </w:r>
    </w:p>
    <w:p>
      <w:pPr>
        <w:pStyle w:val="BlockText"/>
      </w:pPr>
      <w:r>
        <w:rPr>
          <w:b/>
          <w:bCs/>
        </w:rPr>
        <w:t xml:space="preserve">[NOTA] A posição de Friedman</w:t>
      </w:r>
    </w:p>
    <w:p>
      <w:pPr>
        <w:pStyle w:val="BlockText"/>
      </w:pPr>
      <w:r>
        <w:t xml:space="preserve">Para Friedman, a questão relevante não é se as suposições de um modelo são</w:t>
      </w:r>
      <w:r>
        <w:t xml:space="preserve"> </w:t>
      </w:r>
      <w:r>
        <w:t xml:space="preserve">“realistas”</w:t>
      </w:r>
      <w:r>
        <w:t xml:space="preserve"> </w:t>
      </w:r>
      <w:r>
        <w:t xml:space="preserve">— elas nunca são —, mas se o modelo gera previsões suficientemente boas para o propósito em questão. Uma teoria sobre a trajetória de bolas de bilhar pode supor que os jogadores resolvem equações de física — suposição claramente falsa —, mas se as previsões forem acuradas, o modelo é útil.</w:t>
      </w:r>
    </w:p>
    <w:p>
      <w:pPr>
        <w:pStyle w:val="FirstParagraph"/>
      </w:pPr>
      <w:r>
        <w:t xml:space="preserve">Na prática, a maioria dos economistas adota uma posição intermediária: embora as previsões sejam o teste último, o realismo das suposições importa na medida em que afeta a robustez do modelo fora da amostra em que foi calibrado. Um modelo cujas suposições são grosseiramente irrealistas pode gerar boas previsões em condições normais, mas falhar espetacularmente quando as circunstâncias mudam — como ficou evidente na crise financeira de 2008, quando modelos de risco baseados em distribuições normais subestimaram catastroficamente a probabilidade de eventos extremos.</w:t>
      </w:r>
    </w:p>
    <w:bookmarkEnd w:id="33"/>
    <w:bookmarkStart w:id="36" w:name="testes-empíricos-em-economia"/>
    <w:p>
      <w:pPr>
        <w:pStyle w:val="Heading4"/>
      </w:pPr>
      <w:r>
        <w:t xml:space="preserve">Testes empíricos em economia</w:t>
      </w:r>
    </w:p>
    <w:p>
      <w:pPr>
        <w:pStyle w:val="FirstParagraph"/>
      </w:pPr>
      <w:r>
        <w:t xml:space="preserve">Seja qual for a tribo, em algum momento o modelo precisa encontrar a realidade — e aí começam os problemas. Verificar um modelo econômico é muito mais difícil do que verificar se uma ponte aguenta peso. A economia enfrenta desafios particulares:</w:t>
      </w:r>
    </w:p>
    <w:p>
      <w:pPr>
        <w:pStyle w:val="Compact"/>
        <w:numPr>
          <w:ilvl w:val="0"/>
          <w:numId w:val="1004"/>
        </w:numPr>
      </w:pPr>
      <w:r>
        <w:rPr>
          <w:b/>
          <w:bCs/>
        </w:rPr>
        <w:t xml:space="preserve">Impossibilidade de experimentos controlados</w:t>
      </w:r>
      <w:r>
        <w:t xml:space="preserve"> </w:t>
      </w:r>
      <w:r>
        <w:t xml:space="preserve">na maioria dos casos (embora a economia experimental e os ensaios controlados aleatorizados tenham avançado significativamente desde os anos 2000).</w:t>
      </w:r>
    </w:p>
    <w:p>
      <w:pPr>
        <w:pStyle w:val="Compact"/>
        <w:numPr>
          <w:ilvl w:val="0"/>
          <w:numId w:val="1004"/>
        </w:numPr>
      </w:pPr>
      <w:r>
        <w:rPr>
          <w:b/>
          <w:bCs/>
        </w:rPr>
        <w:t xml:space="preserve">Problemas de identificação</w:t>
      </w:r>
      <w:r>
        <w:t xml:space="preserve">: distinguir correlação de causalidade é o desafio central da econometria. Observar que países com mais sorveterias têm maior renda per capita não significa que sorveterias causam riqueza — ambas as variáveis podem ser efeito de um terceiro fator (clima temperado, urbanização).</w:t>
      </w:r>
    </w:p>
    <w:p>
      <w:pPr>
        <w:pStyle w:val="Compact"/>
        <w:numPr>
          <w:ilvl w:val="0"/>
          <w:numId w:val="1004"/>
        </w:numPr>
      </w:pPr>
      <w:r>
        <w:rPr>
          <w:b/>
          <w:bCs/>
        </w:rPr>
        <w:t xml:space="preserve">Expectativas e reflexividade</w:t>
      </w:r>
      <w:r>
        <w:t xml:space="preserve">: os agentes econômicos reagem às próprias previsões dos modelos, criando um problema de endogeneidade sem paralelo nas ciências naturais. Se o Banco Central anuncia que a inflação será alta, consumidores e firmas ajustam comportamentos de modo que a previsão pode se autorrealizar.</w:t>
      </w:r>
    </w:p>
    <w:p>
      <w:pPr>
        <w:pStyle w:val="BlockText"/>
      </w:pPr>
      <w:r>
        <w:rPr>
          <w:b/>
          <w:bCs/>
        </w:rPr>
        <w:t xml:space="preserve">[ATENCAO] Erro Comum</w:t>
      </w:r>
    </w:p>
    <w:p>
      <w:pPr>
        <w:pStyle w:val="BlockText"/>
      </w:pPr>
      <w:r>
        <w:rPr>
          <w:b/>
          <w:bCs/>
        </w:rPr>
        <w:t xml:space="preserve">Confundir correlação com causalidade.</w:t>
      </w:r>
      <w:r>
        <w:t xml:space="preserve"> </w:t>
      </w:r>
      <w:r>
        <w:t xml:space="preserve">Um dos erros mais comuns na interpretação de evidências econômicas é confundir correlação com causalidade. O fato de duas variáveis se moverem juntas não implica que uma</w:t>
      </w:r>
      <w:r>
        <w:t xml:space="preserve"> </w:t>
      </w:r>
      <w:r>
        <w:rPr>
          <w:i/>
          <w:iCs/>
        </w:rPr>
        <w:t xml:space="preserve">cause</w:t>
      </w:r>
      <w:r>
        <w:t xml:space="preserve"> </w:t>
      </w:r>
      <w:r>
        <w:t xml:space="preserve">a outra. Um exemplo clássico: entre 1999 e 2009, o número de filmes em que Nicolas Cage apareceu se correlacionou fortemente com o número de afogamentos em piscinas nos EUA. Obviamente, Nicolas Cage não causa afogamentos — ambas as séries seguem tendências temporais que, por acaso, coincidem.</w:t>
      </w:r>
    </w:p>
    <w:p>
      <w:pPr>
        <w:pStyle w:val="BlockText"/>
      </w:pPr>
      <w:r>
        <w:t xml:space="preserve">Em economia, o problema é ainda mais sutil. Países que adotam instituições de livre mercado tendem a ser mais ricos — mas isso ocorre porque as instituições</w:t>
      </w:r>
      <w:r>
        <w:t xml:space="preserve"> </w:t>
      </w:r>
      <w:r>
        <w:rPr>
          <w:i/>
          <w:iCs/>
        </w:rPr>
        <w:t xml:space="preserve">causam</w:t>
      </w:r>
      <w:r>
        <w:t xml:space="preserve"> </w:t>
      </w:r>
      <w:r>
        <w:t xml:space="preserve">riqueza, ou porque países ricos</w:t>
      </w:r>
      <w:r>
        <w:t xml:space="preserve"> </w:t>
      </w:r>
      <w:r>
        <w:rPr>
          <w:i/>
          <w:iCs/>
        </w:rPr>
        <w:t xml:space="preserve">escolhem</w:t>
      </w:r>
      <w:r>
        <w:t xml:space="preserve"> </w:t>
      </w:r>
      <w:r>
        <w:t xml:space="preserve">essas instituições? A direção da causalidade importa crucialmente para a recomendação de política.</w:t>
      </w:r>
    </w:p>
    <w:p>
      <w:pPr>
        <w:pStyle w:val="BlockText"/>
      </w:pPr>
      <w:r>
        <w:t xml:space="preserve">As técnicas de identificação causal da econometria moderna — variáveis instrumentais, diferenças em diferenças, regressão descontínua — foram desenvolvidas precisamente para enfrentar esse desafio. Como veremos na seção</w:t>
      </w:r>
      <w:r>
        <w:t xml:space="preserve"> </w:t>
      </w:r>
      <w:r>
        <w:t xml:space="preserve">“Pesquisa em Ação”</w:t>
      </w:r>
      <w:r>
        <w:t xml:space="preserve">, Angrist e Pischke (2010) documentam essa</w:t>
      </w:r>
      <w:r>
        <w:t xml:space="preserve"> </w:t>
      </w:r>
      <w:r>
        <w:t xml:space="preserve">“revolução da credibilidade”</w:t>
      </w:r>
      <w:r>
        <w:t xml:space="preserve"> </w:t>
      </w:r>
      <w:r>
        <w:t xml:space="preserve">que transformou a economia empírica.</w:t>
      </w:r>
    </w:p>
    <w:p>
      <w:pPr>
        <w:pStyle w:val="FirstParagraph"/>
      </w:pPr>
      <w:r>
        <w:t xml:space="preserve">A econometria moderna desenvolveu técnicas sofisticadas para lidar com esses problemas. No Brasil, pesquisas domiciliares como a</w:t>
      </w:r>
      <w:r>
        <w:t xml:space="preserve"> </w:t>
      </w:r>
      <w:hyperlink r:id="rId34">
        <w:r>
          <w:rPr>
            <w:rStyle w:val="Hyperlink"/>
            <w:b/>
            <w:bCs/>
          </w:rPr>
          <w:t xml:space="preserve">PNAD Contínua</w:t>
        </w:r>
      </w:hyperlink>
      <w:r>
        <w:t xml:space="preserve"> </w:t>
      </w:r>
      <w:r>
        <w:t xml:space="preserve">(Pesquisa Nacional por Amostra de Domicílios) do</w:t>
      </w:r>
      <w:r>
        <w:t xml:space="preserve"> </w:t>
      </w:r>
      <w:hyperlink r:id="rId35">
        <w:r>
          <w:rPr>
            <w:rStyle w:val="Hyperlink"/>
          </w:rPr>
          <w:t xml:space="preserve">IBGE</w:t>
        </w:r>
      </w:hyperlink>
      <w:r>
        <w:t xml:space="preserve"> </w:t>
      </w:r>
      <w:r>
        <w:t xml:space="preserve">e a</w:t>
      </w:r>
      <w:r>
        <w:t xml:space="preserve"> </w:t>
      </w:r>
      <w:r>
        <w:rPr>
          <w:b/>
          <w:bCs/>
        </w:rPr>
        <w:t xml:space="preserve">Pesquisa de Orçamentos Familiares (POF)</w:t>
      </w:r>
      <w:r>
        <w:t xml:space="preserve"> </w:t>
      </w:r>
      <w:r>
        <w:t xml:space="preserve">fornecem dados fundamentais para testar modelos microeconômicos — desde a estimação de elasticidades de oferta de trabalho até a avaliação do impacto de programas como o Bolsa Família sobre decisões de consumo das famílias. O Censo Demográfico, realizado a cada dez anos, oferece dados universais que permitem análises com granularidade municipal, essenciais para estudos de economia regional e avaliação de políticas descentralizadas.</w:t>
      </w:r>
    </w:p>
    <w:p>
      <w:pPr>
        <w:pStyle w:val="BodyText"/>
      </w:pPr>
      <w:r>
        <w:t xml:space="preserve">OK, sabemos construir e testar modelos. Mas todo modelo microeconômico segue os mesmos três mandamentos — e o segundo é o mais polêmico.</w:t>
      </w:r>
    </w:p>
    <w:p>
      <w:pPr>
        <w:pStyle w:val="BlockText"/>
      </w:pPr>
      <w:r>
        <w:rPr>
          <w:b/>
          <w:bCs/>
        </w:rPr>
        <w:t xml:space="preserve">[BOX MUNDO] Box Mundo 1.1 — Experimentos naturais e a verificação de modelos: Card &amp; Krueger e o salário mínimo</w:t>
      </w:r>
    </w:p>
    <w:p>
      <w:pPr>
        <w:pStyle w:val="BlockText"/>
      </w:pPr>
      <w:r>
        <w:rPr>
          <w:b/>
          <w:bCs/>
        </w:rPr>
        <w:t xml:space="preserve">Contexto:</w:t>
      </w:r>
      <w:r>
        <w:t xml:space="preserve"> </w:t>
      </w:r>
      <w:r>
        <w:t xml:space="preserve">Um dos maiores desafios da verificação empírica de modelos econômicos é a impossibilidade de realizar experimentos controlados: não se pode dividir aleatoriamente um país em</w:t>
      </w:r>
      <w:r>
        <w:t xml:space="preserve"> </w:t>
      </w:r>
      <w:r>
        <w:t xml:space="preserve">“grupo de tratamento”</w:t>
      </w:r>
      <w:r>
        <w:t xml:space="preserve"> </w:t>
      </w:r>
      <w:r>
        <w:t xml:space="preserve">e</w:t>
      </w:r>
      <w:r>
        <w:t xml:space="preserve"> </w:t>
      </w:r>
      <w:r>
        <w:t xml:space="preserve">“grupo de controle”</w:t>
      </w:r>
      <w:r>
        <w:t xml:space="preserve"> </w:t>
      </w:r>
      <w:r>
        <w:t xml:space="preserve">para testar políticas econômicas. Essa limitação levou, nas décadas de 1980 e 1990, ao desenvolvimento dos chamados</w:t>
      </w:r>
      <w:r>
        <w:t xml:space="preserve"> </w:t>
      </w:r>
      <w:r>
        <w:rPr>
          <w:i/>
          <w:iCs/>
        </w:rPr>
        <w:t xml:space="preserve">experimentos naturais</w:t>
      </w:r>
      <w:r>
        <w:t xml:space="preserve"> </w:t>
      </w:r>
      <w:r>
        <w:t xml:space="preserve">— situações em que variações exógenas de política ou de contexto institucional geram condições quase-experimentais. O trabalho seminal de David Card e Alan Krueger sobre o salário mínimo nos Estados Unidos tornou-se o exemplo paradigmático dessa abordagem e ilustra concretamente como modelos teóricos podem ser confrontados com dados.</w:t>
      </w:r>
    </w:p>
    <w:p>
      <w:pPr>
        <w:pStyle w:val="BlockText"/>
      </w:pPr>
      <w:r>
        <w:rPr>
          <w:b/>
          <w:bCs/>
        </w:rPr>
        <w:t xml:space="preserve">Dados:</w:t>
      </w:r>
      <w:r>
        <w:t xml:space="preserve"> </w:t>
      </w:r>
      <w:r>
        <w:t xml:space="preserve">Em 1992, o estado de Nova Jersey elevou o salário mínimo de US$ 4,25 para US$ 5,05 por hora, enquanto o vizinho estado da Pensilvânia manteve o salário mínimo federal inalterado. Card e Krueger (1994) coletaram dados de 410 restaurantes de fast-food em ambos os estados, antes e depois do aumento, e aplicaram um desenho de diferenças em diferenças (</w:t>
      </w:r>
      <w:r>
        <w:rPr>
          <w:i/>
          <w:iCs/>
        </w:rPr>
        <w:t xml:space="preserve">difference-in-differences</w:t>
      </w:r>
      <w:r>
        <w:t xml:space="preserve">). O resultado surpreendeu: o emprego nos restaurantes de Nova Jersey não caiu — na verdade, apresentou um leve aumento relativo ao grupo de controle da Pensilvânia. A magnitude estimada foi de um aumento de cerca de 2,76 empregos equivalentes em tempo integral (FTE) por restaurante em Nova Jersey em comparação com a Pensilvânia, contrariando a previsão do modelo competitivo padrão de oferta e demanda de trabalho.</w:t>
      </w:r>
    </w:p>
    <w:p>
      <w:pPr>
        <w:pStyle w:val="BlockText"/>
      </w:pPr>
      <w:r>
        <w:rPr>
          <w:b/>
          <w:bCs/>
        </w:rPr>
        <w:t xml:space="preserve">Análise:</w:t>
      </w:r>
      <w:r>
        <w:t xml:space="preserve"> </w:t>
      </w:r>
      <w:r>
        <w:t xml:space="preserve">O estudo de Card e Krueger não</w:t>
      </w:r>
      <w:r>
        <w:t xml:space="preserve"> </w:t>
      </w:r>
      <w:r>
        <w:t xml:space="preserve">“refutou”</w:t>
      </w:r>
      <w:r>
        <w:t xml:space="preserve"> </w:t>
      </w:r>
      <w:r>
        <w:t xml:space="preserve">o modelo de oferta e demanda, mas demonstrou que a previsão teórica depende crucialmente das hipóteses sobre a estrutura do mercado de trabalho. Em mercados com poder de monopsônio — onde empregadores têm algum poder para fixar salários abaixo do produto marginal —, um aumento moderado do salário mínimo pode elevar o emprego. A contribuição metodológica foi igualmente profunda: mostrou que a verificação indireta de modelos (Seção 1.2) pode ser rigorosa quando se exploram variações institucionais como experimentos naturais. Esse trabalho contribuiu decisivamente para a concessão do Prêmio Nobel de Economia de 2021 a David Card, Joshua Angrist e Guido Imbens, pela</w:t>
      </w:r>
      <w:r>
        <w:t xml:space="preserve"> </w:t>
      </w:r>
      <w:r>
        <w:t xml:space="preserve">“revolução da credibilidade”</w:t>
      </w:r>
      <w:r>
        <w:t xml:space="preserve"> </w:t>
      </w:r>
      <w:r>
        <w:t xml:space="preserve">na economia empírica.</w:t>
      </w:r>
    </w:p>
    <w:p>
      <w:pPr>
        <w:pStyle w:val="BlockText"/>
      </w:pPr>
      <w:r>
        <w:rPr>
          <w:b/>
          <w:bCs/>
        </w:rPr>
        <w:t xml:space="preserve">Fonte:</w:t>
      </w:r>
      <w:r>
        <w:t xml:space="preserve"> </w:t>
      </w:r>
      <w:r>
        <w:t xml:space="preserve">Card, D.; Krueger, A. B. (1994). Minimum wages and employment: A case study of the fast-food industry in New Jersey and Pennsylvania.</w:t>
      </w:r>
      <w:r>
        <w:t xml:space="preserve"> </w:t>
      </w:r>
      <w:r>
        <w:rPr>
          <w:i/>
          <w:iCs/>
        </w:rPr>
        <w:t xml:space="preserve">American Economic Review</w:t>
      </w:r>
      <w:r>
        <w:t xml:space="preserve">, 84(4), 772–793. Angrist, J. D.; Pischke, J.-S. (2010). The credibility revolution in empirical economics.</w:t>
      </w:r>
      <w:r>
        <w:t xml:space="preserve"> </w:t>
      </w:r>
      <w:r>
        <w:rPr>
          <w:i/>
          <w:iCs/>
        </w:rPr>
        <w:t xml:space="preserve">Journal of Economic Perspectives</w:t>
      </w:r>
      <w:r>
        <w:t xml:space="preserve">, 24(2), 3–30.</w:t>
      </w:r>
    </w:p>
    <w:bookmarkEnd w:id="36"/>
    <w:bookmarkEnd w:id="37"/>
    <w:bookmarkEnd w:id="38"/>
    <w:bookmarkStart w:id="46" w:name="regras-do-jogo-e-anatomia-de-um-modelo"/>
    <w:p>
      <w:pPr>
        <w:pStyle w:val="Heading2"/>
      </w:pPr>
      <w:r>
        <w:t xml:space="preserve">1.3–1.4 Regras do Jogo e Anatomia de um Modelo</w:t>
      </w:r>
    </w:p>
    <w:bookmarkStart w:id="42" w:name="X34385f53d1bd0c1b8493e44d0dfd4c8e88a04bb"/>
    <w:p>
      <w:pPr>
        <w:pStyle w:val="Heading3"/>
      </w:pPr>
      <w:r>
        <w:t xml:space="preserve">1.3 As Regras do Jogo:</w:t>
      </w:r>
      <w:r>
        <w:t xml:space="preserve"> </w:t>
      </w:r>
      <w:r>
        <w:rPr>
          <w:i/>
          <w:iCs/>
        </w:rPr>
        <w:t xml:space="preserve">Ceteris Paribus</w:t>
      </w:r>
      <w:r>
        <w:t xml:space="preserve">, Otimização e a Linha Positivo–Normativo</w:t>
      </w:r>
    </w:p>
    <w:bookmarkStart w:id="39" w:name="o-princípio-ceteris-paribus"/>
    <w:p>
      <w:pPr>
        <w:pStyle w:val="Heading4"/>
      </w:pPr>
      <w:r>
        <w:t xml:space="preserve">O princípio</w:t>
      </w:r>
      <w:r>
        <w:t xml:space="preserve"> </w:t>
      </w:r>
      <w:r>
        <w:rPr>
          <w:i/>
          <w:iCs/>
        </w:rPr>
        <w:t xml:space="preserve">ceteris paribus</w:t>
      </w:r>
    </w:p>
    <w:p>
      <w:pPr>
        <w:pStyle w:val="FirstParagraph"/>
      </w:pPr>
      <w:r>
        <w:t xml:space="preserve">Se a microeconomia fosse uma religião, teria três mandamentos. O primeiro — e talvez o mais sagrado — é o princípio</w:t>
      </w:r>
      <w:r>
        <w:t xml:space="preserve"> </w:t>
      </w:r>
      <w:r>
        <w:rPr>
          <w:i/>
          <w:iCs/>
        </w:rPr>
        <w:t xml:space="preserve">ceteris paribus</w:t>
      </w:r>
      <w:r>
        <w:t xml:space="preserve">: a arte de fingir que o resto do universo parou enquanto você analisa uma única variável. Parece trapaceiro, mas é genial.</w:t>
      </w:r>
    </w:p>
    <w:p>
      <w:pPr>
        <w:pStyle w:val="BlockText"/>
      </w:pPr>
      <w:r>
        <w:rPr>
          <w:b/>
          <w:bCs/>
        </w:rPr>
        <w:t xml:space="preserve">[DEFINICAO] Ceteris Paribus</w:t>
      </w:r>
    </w:p>
    <w:p>
      <w:pPr>
        <w:pStyle w:val="BlockText"/>
      </w:pPr>
      <w:r>
        <w:t xml:space="preserve">A cláusula</w:t>
      </w:r>
      <w:r>
        <w:t xml:space="preserve"> </w:t>
      </w:r>
      <w:r>
        <w:rPr>
          <w:i/>
          <w:iCs/>
        </w:rPr>
        <w:t xml:space="preserve">ceteris paribus</w:t>
      </w:r>
      <w:r>
        <w:t xml:space="preserve"> </w:t>
      </w:r>
      <w:r>
        <w:t xml:space="preserve">(</w:t>
      </w:r>
      <w:r>
        <w:t xml:space="preserve">“tudo o mais constante”</w:t>
      </w:r>
      <w:r>
        <w:t xml:space="preserve">) é um recurso metodológico que permite isolar o efeito de uma variável sobre outra, mantendo todas as demais grandezas relevantes inalteradas. Por exemplo:</w:t>
      </w:r>
      <w:r>
        <w:t xml:space="preserve"> </w:t>
      </w:r>
      <w:r>
        <w:t xml:space="preserve">“um aumento no preço de um bem,</w:t>
      </w:r>
      <w:r>
        <w:t xml:space="preserve"> </w:t>
      </w:r>
      <w:r>
        <w:rPr>
          <w:i/>
          <w:iCs/>
        </w:rPr>
        <w:t xml:space="preserve">ceteris paribus</w:t>
      </w:r>
      <w:r>
        <w:t xml:space="preserve">, reduz a quantidade demandada.”</w:t>
      </w:r>
    </w:p>
    <w:p>
      <w:pPr>
        <w:pStyle w:val="FirstParagraph"/>
      </w:pPr>
      <w:r>
        <w:t xml:space="preserve">Esse princípio é análogo ao controle de variáveis em um experimento de laboratório. Embora na realidade</w:t>
      </w:r>
      <w:r>
        <w:t xml:space="preserve"> </w:t>
      </w:r>
      <w:r>
        <w:t xml:space="preserve">“tudo o mais”</w:t>
      </w:r>
      <w:r>
        <w:t xml:space="preserve"> </w:t>
      </w:r>
      <w:r>
        <w:t xml:space="preserve">raramente permaneça constante, a análise</w:t>
      </w:r>
      <w:r>
        <w:t xml:space="preserve"> </w:t>
      </w:r>
      <w:r>
        <w:rPr>
          <w:i/>
          <w:iCs/>
        </w:rPr>
        <w:t xml:space="preserve">ceteris paribus</w:t>
      </w:r>
      <w:r>
        <w:t xml:space="preserve"> </w:t>
      </w:r>
      <w:r>
        <w:t xml:space="preserve">permite identificar relações causais parciais que, combinadas, fornecem uma compreensão do sistema como um todo. Matematicamente, o</w:t>
      </w:r>
      <w:r>
        <w:t xml:space="preserve"> </w:t>
      </w:r>
      <w:r>
        <w:rPr>
          <w:i/>
          <w:iCs/>
        </w:rPr>
        <w:t xml:space="preserve">ceteris paribus</w:t>
      </w:r>
      <w:r>
        <w:t xml:space="preserve"> </w:t>
      </w:r>
      <w:r>
        <w:t xml:space="preserve">corresponde à derivada parcial: quando escrevemos</w:t>
      </w:r>
      <w:r>
        <w:t xml:space="preserve"> </w:t>
      </w:r>
      <m:oMath>
        <m:r>
          <m:rPr>
            <m:sty m:val="p"/>
          </m:rPr>
          <m:t>∂</m:t>
        </m:r>
        <m:sSup>
          <m:e>
            <m:r>
              <m:t>Q</m:t>
            </m:r>
          </m:e>
          <m:sup>
            <m:r>
              <m:t>d</m:t>
            </m:r>
          </m:sup>
        </m:sSup>
        <m:r>
          <m:rPr>
            <m:sty m:val="p"/>
          </m:rPr>
          <m:t>/</m:t>
        </m:r>
        <m:r>
          <m:rPr>
            <m:sty m:val="p"/>
          </m:rPr>
          <m:t>∂</m:t>
        </m:r>
        <m:r>
          <m:t>P</m:t>
        </m:r>
        <m:r>
          <m:rPr>
            <m:sty m:val="p"/>
          </m:rPr>
          <m:t>&lt;</m:t>
        </m:r>
        <m:r>
          <m:t>0</m:t>
        </m:r>
      </m:oMath>
      <w:r>
        <w:t xml:space="preserve">, estamos afirmando que a quantidade demandada cai quando o preço sobe, mantendo renda, preferências e preços de outros bens constantes. No Capítulo 2, veremos como o diferencial total e o teorema da função implícita formalizam essa ideia com precisão.</w:t>
      </w:r>
    </w:p>
    <w:p>
      <w:pPr>
        <w:pStyle w:val="BlockText"/>
      </w:pPr>
      <w:r>
        <w:rPr>
          <w:b/>
          <w:bCs/>
        </w:rPr>
        <w:t xml:space="preserve">[INTUICAO ECONOMICA] Intuição Econômica</w:t>
      </w:r>
    </w:p>
    <w:p>
      <w:pPr>
        <w:pStyle w:val="BlockText"/>
      </w:pPr>
      <w:r>
        <w:rPr>
          <w:b/>
          <w:bCs/>
        </w:rPr>
        <w:t xml:space="preserve">Em uma frase:</w:t>
      </w:r>
      <w:r>
        <w:t xml:space="preserve"> </w:t>
      </w:r>
      <w:r>
        <w:rPr>
          <w:i/>
          <w:iCs/>
        </w:rPr>
        <w:t xml:space="preserve">Ceteris paribus</w:t>
      </w:r>
      <w:r>
        <w:t xml:space="preserve"> </w:t>
      </w:r>
      <w:r>
        <w:t xml:space="preserve">é o</w:t>
      </w:r>
      <w:r>
        <w:t xml:space="preserve"> </w:t>
      </w:r>
      <w:r>
        <w:t xml:space="preserve">“muda só uma coisa por vez”</w:t>
      </w:r>
      <w:r>
        <w:t xml:space="preserve"> </w:t>
      </w:r>
      <w:r>
        <w:t xml:space="preserve">da economia.</w:t>
      </w:r>
    </w:p>
    <w:p>
      <w:pPr>
        <w:pStyle w:val="BlockText"/>
      </w:pPr>
      <w:r>
        <w:rPr>
          <w:b/>
          <w:bCs/>
        </w:rPr>
        <w:t xml:space="preserve">Pense assim:</w:t>
      </w:r>
      <w:r>
        <w:t xml:space="preserve"> </w:t>
      </w:r>
      <w:r>
        <w:t xml:space="preserve">Se você quer saber se sal melhora o feijão, não muda a panela, o fogo e o tipo de feijão ao mesmo tempo. Você muda</w:t>
      </w:r>
      <w:r>
        <w:t xml:space="preserve"> </w:t>
      </w:r>
      <w:r>
        <w:rPr>
          <w:i/>
          <w:iCs/>
        </w:rPr>
        <w:t xml:space="preserve">só</w:t>
      </w:r>
      <w:r>
        <w:t xml:space="preserve"> </w:t>
      </w:r>
      <w:r>
        <w:t xml:space="preserve">o sal e compara. Economistas fazem o mesmo: perguntam</w:t>
      </w:r>
      <w:r>
        <w:t xml:space="preserve"> </w:t>
      </w:r>
      <w:r>
        <w:t xml:space="preserve">“o que acontece se o preço da gasolina subir, mas a renda, o preço do etanol e tudo mais ficarem iguais?”</w:t>
      </w:r>
    </w:p>
    <w:p>
      <w:pPr>
        <w:pStyle w:val="BlockText"/>
      </w:pPr>
      <w:r>
        <w:rPr>
          <w:b/>
          <w:bCs/>
        </w:rPr>
        <w:t xml:space="preserve">Por que isso importa:</w:t>
      </w:r>
      <w:r>
        <w:t xml:space="preserve"> </w:t>
      </w:r>
      <w:r>
        <w:t xml:space="preserve">Sem essa disciplina mental, é impossível separar causa de coincidência — e políticas públicas baseadas em coincidências costumam fracassar.</w:t>
      </w:r>
    </w:p>
    <w:bookmarkEnd w:id="39"/>
    <w:bookmarkStart w:id="40" w:name="a-hipótese-de-otimização"/>
    <w:p>
      <w:pPr>
        <w:pStyle w:val="Heading4"/>
      </w:pPr>
      <w:r>
        <w:t xml:space="preserve">A hipótese de otimização</w:t>
      </w:r>
    </w:p>
    <w:p>
      <w:pPr>
        <w:pStyle w:val="FirstParagraph"/>
      </w:pPr>
      <w:r>
        <w:t xml:space="preserve">O</w:t>
      </w:r>
      <w:r>
        <w:t xml:space="preserve"> </w:t>
      </w:r>
      <w:r>
        <w:rPr>
          <w:i/>
          <w:iCs/>
        </w:rPr>
        <w:t xml:space="preserve">ceteris paribus</w:t>
      </w:r>
      <w:r>
        <w:t xml:space="preserve"> </w:t>
      </w:r>
      <w:r>
        <w:t xml:space="preserve">nos diz como analisar. Mas o que os modelos supõem sobre</w:t>
      </w:r>
      <w:r>
        <w:t xml:space="preserve"> </w:t>
      </w:r>
      <w:r>
        <w:rPr>
          <w:i/>
          <w:iCs/>
        </w:rPr>
        <w:t xml:space="preserve">quem</w:t>
      </w:r>
      <w:r>
        <w:t xml:space="preserve"> </w:t>
      </w:r>
      <w:r>
        <w:t xml:space="preserve">está sendo analisado? Aqui entra o segundo mandamento — e o mais polêmico. A microeconomia aposta que todo mundo, no fundo, está tentando fazer o melhor possível com o que tem. Formalmente: os agentes são</w:t>
      </w:r>
      <w:r>
        <w:t xml:space="preserve"> </w:t>
      </w:r>
      <w:r>
        <w:rPr>
          <w:b/>
          <w:bCs/>
        </w:rPr>
        <w:t xml:space="preserve">otimizadores</w:t>
      </w:r>
      <w:r>
        <w:t xml:space="preserve">:</w:t>
      </w:r>
    </w:p>
    <w:p>
      <w:pPr>
        <w:pStyle w:val="Compact"/>
        <w:numPr>
          <w:ilvl w:val="0"/>
          <w:numId w:val="1005"/>
        </w:numPr>
      </w:pPr>
      <w:r>
        <w:rPr>
          <w:b/>
          <w:bCs/>
        </w:rPr>
        <w:t xml:space="preserve">Consumidores</w:t>
      </w:r>
      <w:r>
        <w:t xml:space="preserve"> </w:t>
      </w:r>
      <w:r>
        <w:t xml:space="preserve">maximizam utilidade sujeita a uma restrição orçamentária. No Capítulo 3, formalizaremos essa ideia por meio dos axiomas das preferências e da função de utilidade; no Capítulo 4, resolveremos o problema de otimização propriamente dito.</w:t>
      </w:r>
    </w:p>
    <w:p>
      <w:pPr>
        <w:pStyle w:val="Compact"/>
        <w:numPr>
          <w:ilvl w:val="0"/>
          <w:numId w:val="1005"/>
        </w:numPr>
      </w:pPr>
      <w:r>
        <w:rPr>
          <w:b/>
          <w:bCs/>
        </w:rPr>
        <w:t xml:space="preserve">Firmas</w:t>
      </w:r>
      <w:r>
        <w:t xml:space="preserve"> </w:t>
      </w:r>
      <w:r>
        <w:t xml:space="preserve">maximizam lucro (ou minimizam custo) sujeitas a restrições tecnológicas. A Seção 1.7 deste capítulo oferece uma primeira demonstração dessa lógica, que será desenvolvida em profundidade nos Capítulos 10–12.</w:t>
      </w:r>
    </w:p>
    <w:p>
      <w:pPr>
        <w:pStyle w:val="Compact"/>
        <w:numPr>
          <w:ilvl w:val="0"/>
          <w:numId w:val="1005"/>
        </w:numPr>
      </w:pPr>
      <w:r>
        <w:rPr>
          <w:b/>
          <w:bCs/>
        </w:rPr>
        <w:t xml:space="preserve">Governo</w:t>
      </w:r>
      <w:r>
        <w:t xml:space="preserve"> </w:t>
      </w:r>
      <w:r>
        <w:t xml:space="preserve">(em modelos normativos) maximiza bem-estar social sujeito a restrições de informação e incentivos.</w:t>
      </w:r>
    </w:p>
    <w:p>
      <w:pPr>
        <w:pStyle w:val="FirstParagraph"/>
      </w:pPr>
      <w:r>
        <w:t xml:space="preserve">Essa hipótese é polêmica — e deveria ser. Você pode estar pensando:</w:t>
      </w:r>
      <w:r>
        <w:t xml:space="preserve"> </w:t>
      </w:r>
      <w:r>
        <w:t xml:space="preserve">“Mas as pessoas</w:t>
      </w:r>
      <w:r>
        <w:t xml:space="preserve"> </w:t>
      </w:r>
      <w:r>
        <w:rPr>
          <w:i/>
          <w:iCs/>
        </w:rPr>
        <w:t xml:space="preserve">não</w:t>
      </w:r>
      <w:r>
        <w:t xml:space="preserve"> </w:t>
      </w:r>
      <w:r>
        <w:t xml:space="preserve">maximizam utilidade! Elas compram por impulso, procrastinam e pagam academia sem ir!”</w:t>
      </w:r>
      <w:r>
        <w:t xml:space="preserve"> </w:t>
      </w:r>
      <w:r>
        <w:t xml:space="preserve">Calma. A hipótese não exige que os agentes sejam perfeitamente racionais em sentido psicológico. Basta que se</w:t>
      </w:r>
      <w:r>
        <w:t xml:space="preserve"> </w:t>
      </w:r>
      <w:r>
        <w:rPr>
          <w:b/>
          <w:bCs/>
        </w:rPr>
        <w:t xml:space="preserve">comportem como se</w:t>
      </w:r>
      <w:r>
        <w:t xml:space="preserve"> </w:t>
      </w:r>
      <w:r>
        <w:t xml:space="preserve">otimizassem — a chamada abordagem</w:t>
      </w:r>
      <w:r>
        <w:t xml:space="preserve"> </w:t>
      </w:r>
      <w:r>
        <w:t xml:space="preserve">“as if”</w:t>
      </w:r>
      <w:r>
        <w:t xml:space="preserve"> </w:t>
      </w:r>
      <w:r>
        <w:t xml:space="preserve">de Friedman. Um agricultor no interior do Mato Grosso pode nunca ter ouvido falar de derivadas ou condições de primeira ordem, mas se suas decisões de plantio se aproximam sistematicamente da solução do problema de maximização de lucro, o modelo de otimização é uma descrição útil de seu comportamento. A economia comportamental, discutida na Seção 1.6, estuda os contextos em que essa aproximação é menos precisa — mas mesmo aí, o modelo otimizador permanece como</w:t>
      </w:r>
      <w:r>
        <w:t xml:space="preserve"> </w:t>
      </w:r>
      <w:r>
        <w:rPr>
          <w:i/>
          <w:iCs/>
        </w:rPr>
        <w:t xml:space="preserve">benchmark</w:t>
      </w:r>
      <w:r>
        <w:t xml:space="preserve"> </w:t>
      </w:r>
      <w:r>
        <w:t xml:space="preserve">indispensável. Como na Inquisição Espanhola do Monty Python, os desvios do comportamento racional aparecem quando menos se espera (</w:t>
      </w:r>
      <w:r>
        <w:t xml:space="preserve">“Nobody expects bounded rationality!”</w:t>
      </w:r>
      <w:r>
        <w:t xml:space="preserve">) — e mudam tudo no modelo. Mas para saber</w:t>
      </w:r>
      <w:r>
        <w:t xml:space="preserve"> </w:t>
      </w:r>
      <w:r>
        <w:rPr>
          <w:i/>
          <w:iCs/>
        </w:rPr>
        <w:t xml:space="preserve">o que</w:t>
      </w:r>
      <w:r>
        <w:t xml:space="preserve"> </w:t>
      </w:r>
      <w:r>
        <w:t xml:space="preserve">muda, você precisa primeiro de um</w:t>
      </w:r>
      <w:r>
        <w:t xml:space="preserve"> </w:t>
      </w:r>
      <w:r>
        <w:rPr>
          <w:i/>
          <w:iCs/>
        </w:rPr>
        <w:t xml:space="preserve">benchmark</w:t>
      </w:r>
      <w:r>
        <w:t xml:space="preserve"> </w:t>
      </w:r>
      <w:r>
        <w:t xml:space="preserve">racional contra o qual comparar.</w:t>
      </w:r>
    </w:p>
    <w:p>
      <w:pPr>
        <w:pStyle w:val="BlockText"/>
      </w:pPr>
      <w:r>
        <w:rPr>
          <w:b/>
          <w:bCs/>
        </w:rPr>
        <w:t xml:space="preserve">[INTUICAO ECONOMICA] Intuição Econômica</w:t>
      </w:r>
    </w:p>
    <w:p>
      <w:pPr>
        <w:pStyle w:val="BlockText"/>
      </w:pPr>
      <w:r>
        <w:rPr>
          <w:b/>
          <w:bCs/>
        </w:rPr>
        <w:t xml:space="preserve">Em uma frase:</w:t>
      </w:r>
      <w:r>
        <w:t xml:space="preserve"> </w:t>
      </w:r>
      <w:r>
        <w:t xml:space="preserve">A microeconomia não diz que as pessoas fazem contas — diz que elas</w:t>
      </w:r>
      <w:r>
        <w:t xml:space="preserve"> </w:t>
      </w:r>
      <w:r>
        <w:rPr>
          <w:i/>
          <w:iCs/>
        </w:rPr>
        <w:t xml:space="preserve">agem como se</w:t>
      </w:r>
      <w:r>
        <w:t xml:space="preserve"> </w:t>
      </w:r>
      <w:r>
        <w:t xml:space="preserve">fizessem.</w:t>
      </w:r>
    </w:p>
    <w:p>
      <w:pPr>
        <w:pStyle w:val="BlockText"/>
      </w:pPr>
      <w:r>
        <w:rPr>
          <w:b/>
          <w:bCs/>
        </w:rPr>
        <w:t xml:space="preserve">Pense assim:</w:t>
      </w:r>
      <w:r>
        <w:t xml:space="preserve"> </w:t>
      </w:r>
      <w:r>
        <w:t xml:space="preserve">Um jogador de sinuca experiente não resolve equações de física antes de cada tacada, mas suas jogadas se aproximam da trajetória que a física prevê. Da mesma forma, um consumidor no Mercado Municipal não calcula derivadas, mas tende a escolher uma cesta que se parece com a solução do problema de otimização.</w:t>
      </w:r>
    </w:p>
    <w:p>
      <w:pPr>
        <w:pStyle w:val="BlockText"/>
      </w:pPr>
      <w:r>
        <w:rPr>
          <w:b/>
          <w:bCs/>
        </w:rPr>
        <w:t xml:space="preserve">Por que isso importa:</w:t>
      </w:r>
      <w:r>
        <w:t xml:space="preserve"> </w:t>
      </w:r>
      <w:r>
        <w:t xml:space="preserve">A hipótese</w:t>
      </w:r>
      <w:r>
        <w:t xml:space="preserve"> </w:t>
      </w:r>
      <w:r>
        <w:t xml:space="preserve">“como se”</w:t>
      </w:r>
      <w:r>
        <w:t xml:space="preserve"> </w:t>
      </w:r>
      <w:r>
        <w:t xml:space="preserve">é o que permite à microeconomia gerar previsões testáveis sobre o comportamento de milhões de pessoas, sem precisar abrir a cabeça de cada uma.</w:t>
      </w:r>
    </w:p>
    <w:bookmarkEnd w:id="40"/>
    <w:bookmarkStart w:id="41" w:name="X84d98eb50fa37e4a302c49aa45b1cee1a96ceae"/>
    <w:p>
      <w:pPr>
        <w:pStyle w:val="Heading4"/>
      </w:pPr>
      <w:r>
        <w:t xml:space="preserve">Distinção entre análise positiva e normativa</w:t>
      </w:r>
    </w:p>
    <w:p>
      <w:pPr>
        <w:pStyle w:val="FirstParagraph"/>
      </w:pPr>
      <w:r>
        <w:t xml:space="preserve">Terceiro mandamento:</w:t>
      </w:r>
      <w:r>
        <w:t xml:space="preserve"> </w:t>
      </w:r>
      <w:r>
        <w:rPr>
          <w:b/>
          <w:bCs/>
        </w:rPr>
        <w:t xml:space="preserve">nunca confundir o que é com o que deveria ser</w:t>
      </w:r>
      <w:r>
        <w:t xml:space="preserve">. Parece óbvio, mas a tentação é enorme — especialmente em economia, onde todo mundo tem opinião. David Hume já alertava no século XVIII: do fato de que</w:t>
      </w:r>
      <w:r>
        <w:t xml:space="preserve"> </w:t>
      </w:r>
      <w:r>
        <w:t xml:space="preserve">“algo é”</w:t>
      </w:r>
      <w:r>
        <w:t xml:space="preserve"> </w:t>
      </w:r>
      <w:r>
        <w:t xml:space="preserve">não se pode deduzir que</w:t>
      </w:r>
      <w:r>
        <w:t xml:space="preserve"> </w:t>
      </w:r>
      <w:r>
        <w:t xml:space="preserve">“algo deveria ser”</w:t>
      </w:r>
      <w:r>
        <w:t xml:space="preserve">. John Neville Keynes (pai de John Maynard Keynes) formalizou a distinção em</w:t>
      </w:r>
      <w:r>
        <w:t xml:space="preserve"> </w:t>
      </w:r>
      <w:r>
        <w:rPr>
          <w:i/>
          <w:iCs/>
        </w:rPr>
        <w:t xml:space="preserve">The Scope and Method of Political Economy</w:t>
      </w:r>
      <w:r>
        <w:t xml:space="preserve"> </w:t>
      </w:r>
      <w:r>
        <w:t xml:space="preserve">(1891). Ela permanece como uma das pedras angulares da metodologia econômica — e como uma das mais violadas no debate público. A</w:t>
      </w:r>
      <w:r>
        <w:t xml:space="preserve"> </w:t>
      </w:r>
      <w:hyperlink w:anchor="tabela-1-1">
        <w:r>
          <w:rPr>
            <w:rStyle w:val="Hyperlink"/>
          </w:rPr>
          <w:t xml:space="preserve">Tabela 1.1</w:t>
        </w:r>
      </w:hyperlink>
      <w:r>
        <w:t xml:space="preserve"> </w:t>
      </w:r>
      <w:r>
        <w:t xml:space="preserve">sintetiza a ideia.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Análise Positiva</w:t>
            </w:r>
          </w:p>
        </w:tc>
        <w:tc>
          <w:tcPr/>
          <w:p>
            <w:pPr>
              <w:pStyle w:val="Compact"/>
            </w:pPr>
            <w:r>
              <w:t xml:space="preserve">Análise Normativa</w:t>
            </w:r>
          </w:p>
        </w:tc>
      </w:tr>
      <w:tr>
        <w:tc>
          <w:tcPr/>
          <w:p>
            <w:pPr>
              <w:pStyle w:val="Compact"/>
            </w:pPr>
            <w:r>
              <w:rPr>
                <w:b/>
                <w:bCs/>
              </w:rPr>
              <w:t xml:space="preserve">Pergunta central</w:t>
            </w:r>
          </w:p>
        </w:tc>
        <w:tc>
          <w:tcPr/>
          <w:p>
            <w:pPr>
              <w:pStyle w:val="Compact"/>
            </w:pPr>
            <w:r>
              <w:t xml:space="preserve">“O que é?”</w:t>
            </w:r>
            <w:r>
              <w:t xml:space="preserve"> </w:t>
            </w:r>
            <w:r>
              <w:t xml:space="preserve">/</w:t>
            </w:r>
            <w:r>
              <w:t xml:space="preserve"> </w:t>
            </w:r>
            <w:r>
              <w:t xml:space="preserve">“O que será?”</w:t>
            </w:r>
          </w:p>
        </w:tc>
        <w:tc>
          <w:tcPr/>
          <w:p>
            <w:pPr>
              <w:pStyle w:val="Compact"/>
            </w:pPr>
            <w:r>
              <w:t xml:space="preserve">“O que deveria ser?”</w:t>
            </w:r>
          </w:p>
        </w:tc>
      </w:tr>
      <w:tr>
        <w:tc>
          <w:tcPr/>
          <w:p>
            <w:pPr>
              <w:pStyle w:val="Compact"/>
            </w:pPr>
            <w:r>
              <w:rPr>
                <w:b/>
                <w:bCs/>
              </w:rPr>
              <w:t xml:space="preserve">Natureza</w:t>
            </w:r>
          </w:p>
        </w:tc>
        <w:tc>
          <w:tcPr/>
          <w:p>
            <w:pPr>
              <w:pStyle w:val="Compact"/>
            </w:pPr>
            <w:r>
              <w:t xml:space="preserve">Descritiva/preditiva</w:t>
            </w:r>
          </w:p>
        </w:tc>
        <w:tc>
          <w:tcPr/>
          <w:p>
            <w:pPr>
              <w:pStyle w:val="Compact"/>
            </w:pPr>
            <w:r>
              <w:t xml:space="preserve">Prescritiva</w:t>
            </w:r>
          </w:p>
        </w:tc>
      </w:tr>
      <w:tr>
        <w:tc>
          <w:tcPr/>
          <w:p>
            <w:pPr>
              <w:pStyle w:val="Compact"/>
            </w:pPr>
            <w:r>
              <w:rPr>
                <w:b/>
                <w:bCs/>
              </w:rPr>
              <w:t xml:space="preserve">Verificação</w:t>
            </w:r>
          </w:p>
        </w:tc>
        <w:tc>
          <w:tcPr/>
          <w:p>
            <w:pPr>
              <w:pStyle w:val="Compact"/>
            </w:pPr>
            <w:r>
              <w:t xml:space="preserve">Confronto com dados</w:t>
            </w:r>
          </w:p>
        </w:tc>
        <w:tc>
          <w:tcPr/>
          <w:p>
            <w:pPr>
              <w:pStyle w:val="Compact"/>
            </w:pPr>
            <w:r>
              <w:t xml:space="preserve">Julgamento de valor</w:t>
            </w:r>
          </w:p>
        </w:tc>
      </w:tr>
      <w:tr>
        <w:tc>
          <w:tcPr/>
          <w:p>
            <w:pPr>
              <w:pStyle w:val="Compact"/>
            </w:pPr>
            <w:r>
              <w:rPr>
                <w:b/>
                <w:bCs/>
              </w:rPr>
              <w:t xml:space="preserve">Exemplo</w:t>
            </w:r>
          </w:p>
        </w:tc>
        <w:tc>
          <w:tcPr/>
          <w:p>
            <w:pPr>
              <w:pStyle w:val="Compact"/>
            </w:pPr>
            <w:r>
              <w:t xml:space="preserve">“Um imposto sobre cigarro reduz o consumo em X%”</w:t>
            </w:r>
          </w:p>
        </w:tc>
        <w:tc>
          <w:tcPr/>
          <w:p>
            <w:pPr>
              <w:pStyle w:val="Compact"/>
            </w:pPr>
            <w:r>
              <w:t xml:space="preserve">“O governo deveria tributar cigarros”</w:t>
            </w:r>
          </w:p>
        </w:tc>
      </w:tr>
    </w:tbl>
    <w:p>
      <w:pPr>
        <w:pStyle w:val="BodyText"/>
      </w:pPr>
      <w:r>
        <w:rPr>
          <w:b/>
          <w:bCs/>
        </w:rPr>
        <w:t xml:space="preserve">Tabela 1.1 — Análise positiva vs. normativa.</w:t>
      </w:r>
    </w:p>
    <w:p>
      <w:pPr>
        <w:pStyle w:val="BlockText"/>
      </w:pPr>
      <w:r>
        <w:rPr>
          <w:b/>
          <w:bCs/>
        </w:rPr>
        <w:t xml:space="preserve">[DICA] Importância da distinção</w:t>
      </w:r>
    </w:p>
    <w:p>
      <w:pPr>
        <w:pStyle w:val="BlockText"/>
      </w:pPr>
      <w:r>
        <w:t xml:space="preserve">Embora a fronteira entre análise positiva e normativa nem sempre seja nítida, manter a distinção é essencial para o rigor intelectual. Muitas controvérsias em política econômica decorrem de confusões entre proposições positivas e normativas. Quando dois economistas</w:t>
      </w:r>
      <w:r>
        <w:t xml:space="preserve"> </w:t>
      </w:r>
      <w:r>
        <w:t xml:space="preserve">“discordam”</w:t>
      </w:r>
      <w:r>
        <w:t xml:space="preserve">, é fundamental perguntar: discordam sobre os</w:t>
      </w:r>
      <w:r>
        <w:t xml:space="preserve"> </w:t>
      </w:r>
      <w:r>
        <w:rPr>
          <w:i/>
          <w:iCs/>
        </w:rPr>
        <w:t xml:space="preserve">fatos</w:t>
      </w:r>
      <w:r>
        <w:t xml:space="preserve"> </w:t>
      </w:r>
      <w:r>
        <w:t xml:space="preserve">(questão positiva, resolúvel com dados) ou sobre os</w:t>
      </w:r>
      <w:r>
        <w:t xml:space="preserve"> </w:t>
      </w:r>
      <w:r>
        <w:rPr>
          <w:i/>
          <w:iCs/>
        </w:rPr>
        <w:t xml:space="preserve">valores</w:t>
      </w:r>
      <w:r>
        <w:t xml:space="preserve"> </w:t>
      </w:r>
      <w:r>
        <w:t xml:space="preserve">(questão normativa, irredutível a evidências)?</w:t>
      </w:r>
    </w:p>
    <w:p>
      <w:pPr>
        <w:pStyle w:val="FirstParagraph"/>
      </w:pPr>
      <w:r>
        <w:t xml:space="preserve">Com os três mandamentos em mãos —</w:t>
      </w:r>
      <w:r>
        <w:t xml:space="preserve"> </w:t>
      </w:r>
      <w:r>
        <w:t xml:space="preserve">“mude uma coisa por vez”</w:t>
      </w:r>
      <w:r>
        <w:t xml:space="preserve">,</w:t>
      </w:r>
      <w:r>
        <w:t xml:space="preserve"> </w:t>
      </w:r>
      <w:r>
        <w:t xml:space="preserve">“todo mundo otimiza”</w:t>
      </w:r>
      <w:r>
        <w:t xml:space="preserve"> </w:t>
      </w:r>
      <w:r>
        <w:t xml:space="preserve">e</w:t>
      </w:r>
      <w:r>
        <w:t xml:space="preserve"> </w:t>
      </w:r>
      <w:r>
        <w:t xml:space="preserve">“não misture fatos com desejos”</w:t>
      </w:r>
      <w:r>
        <w:t xml:space="preserve"> </w:t>
      </w:r>
      <w:r>
        <w:t xml:space="preserve">—, estamos prontos para examinar a estrutura concreta de um modelo. Como esses princípios se materializam em equações e variáveis?</w:t>
      </w:r>
    </w:p>
    <w:p>
      <w:pPr>
        <w:pStyle w:val="BlockText"/>
      </w:pPr>
      <w:r>
        <w:rPr>
          <w:b/>
          <w:bCs/>
        </w:rPr>
        <w:t xml:space="preserve">[EXERCICIO RESOLVIDO] Exercício Resolvido 1.1 — Análise positiva versus normativa</w:t>
      </w:r>
    </w:p>
    <w:p>
      <w:pPr>
        <w:pStyle w:val="BlockText"/>
      </w:pPr>
      <w:r>
        <w:rPr>
          <w:b/>
          <w:bCs/>
        </w:rPr>
        <w:t xml:space="preserve">Enunciado.</w:t>
      </w:r>
      <w:r>
        <w:t xml:space="preserve"> </w:t>
      </w:r>
      <w:r>
        <w:t xml:space="preserve">Classifique cada afirmação como positiva ou normativa e justifique:</w:t>
      </w:r>
    </w:p>
    <w:p>
      <w:pPr>
        <w:pStyle w:val="BlockText"/>
        <w:numPr>
          <w:ilvl w:val="0"/>
          <w:numId w:val="1006"/>
        </w:numPr>
      </w:pPr>
      <w:r>
        <w:t xml:space="preserve">A taxa de desemprego no Brasil em 2023 foi de 7,8%.</w:t>
      </w:r>
    </w:p>
    <w:p>
      <w:pPr>
        <w:pStyle w:val="BlockText"/>
        <w:numPr>
          <w:ilvl w:val="0"/>
          <w:numId w:val="1006"/>
        </w:numPr>
      </w:pPr>
      <w:r>
        <w:t xml:space="preserve">O governo deveria reduzir impostos sobre a cesta básica para combater a desigualdade.</w:t>
      </w:r>
    </w:p>
    <w:p>
      <w:pPr>
        <w:pStyle w:val="BlockText"/>
        <w:numPr>
          <w:ilvl w:val="0"/>
          <w:numId w:val="1006"/>
        </w:numPr>
      </w:pPr>
      <w:r>
        <w:t xml:space="preserve">Um aumento de 10% na tarifa de importação de aço eleva o preço doméstico em aproximadamente 5%.</w:t>
      </w:r>
    </w:p>
    <w:p>
      <w:pPr>
        <w:pStyle w:val="BlockText"/>
        <w:numPr>
          <w:ilvl w:val="0"/>
          <w:numId w:val="1006"/>
        </w:numPr>
      </w:pPr>
      <w:r>
        <w:t xml:space="preserve">A política de cotas raciais nas universidades é justa.</w:t>
      </w:r>
    </w:p>
    <w:p>
      <w:pPr>
        <w:pStyle w:val="BlockText"/>
      </w:pPr>
      <w:r>
        <w:rPr>
          <w:b/>
          <w:bCs/>
        </w:rPr>
        <w:t xml:space="preserve">Solução.</w:t>
      </w:r>
    </w:p>
    <w:p>
      <w:pPr>
        <w:pStyle w:val="BlockText"/>
      </w:pPr>
      <w:r>
        <w:rPr>
          <w:b/>
          <w:bCs/>
        </w:rPr>
        <w:t xml:space="preserve">(a) Positiva.</w:t>
      </w:r>
      <w:r>
        <w:t xml:space="preserve"> </w:t>
      </w:r>
      <w:r>
        <w:t xml:space="preserve">Trata-se de uma afirmação descritiva sobre um fato observável, verificável por dados da PNAD Contínua/IBGE. Não envolve julgamento de valor.</w:t>
      </w:r>
    </w:p>
    <w:p>
      <w:pPr>
        <w:pStyle w:val="BlockText"/>
      </w:pPr>
      <w:r>
        <w:rPr>
          <w:b/>
          <w:bCs/>
        </w:rPr>
        <w:t xml:space="preserve">(b) Normativa.</w:t>
      </w:r>
      <w:r>
        <w:t xml:space="preserve"> </w:t>
      </w:r>
      <w:r>
        <w:t xml:space="preserve">Contém o verbo</w:t>
      </w:r>
      <w:r>
        <w:t xml:space="preserve"> </w:t>
      </w:r>
      <w:r>
        <w:t xml:space="preserve">“deveria”</w:t>
      </w:r>
      <w:r>
        <w:t xml:space="preserve">, indicando prescrição baseada em julgamento de valor sobre o que é desejável. Duas pessoas podem concordar sobre o efeito positivo da medida (análise positiva) e discordar sobre se ela</w:t>
      </w:r>
      <w:r>
        <w:t xml:space="preserve"> </w:t>
      </w:r>
      <w:r>
        <w:rPr>
          <w:i/>
          <w:iCs/>
        </w:rPr>
        <w:t xml:space="preserve">deve</w:t>
      </w:r>
      <w:r>
        <w:t xml:space="preserve"> </w:t>
      </w:r>
      <w:r>
        <w:t xml:space="preserve">ser adotada (análise normativa).</w:t>
      </w:r>
    </w:p>
    <w:p>
      <w:pPr>
        <w:pStyle w:val="BlockText"/>
      </w:pPr>
      <w:r>
        <w:rPr>
          <w:b/>
          <w:bCs/>
        </w:rPr>
        <w:t xml:space="preserve">(c) Positiva.</w:t>
      </w:r>
      <w:r>
        <w:t xml:space="preserve"> </w:t>
      </w:r>
      <w:r>
        <w:t xml:space="preserve">É uma previsão quantitativa testável empiricamente — por exemplo, via modelos de equilíbrio parcial ou métodos econométricos. Não envolve juízo sobre se o aumento tarifário é bom ou ruim.</w:t>
      </w:r>
    </w:p>
    <w:p>
      <w:pPr>
        <w:pStyle w:val="BlockText"/>
      </w:pPr>
      <w:r>
        <w:rPr>
          <w:b/>
          <w:bCs/>
        </w:rPr>
        <w:t xml:space="preserve">(d) Normativa.</w:t>
      </w:r>
      <w:r>
        <w:t xml:space="preserve"> </w:t>
      </w:r>
      <w:r>
        <w:t xml:space="preserve">O conceito de</w:t>
      </w:r>
      <w:r>
        <w:t xml:space="preserve"> </w:t>
      </w:r>
      <w:r>
        <w:t xml:space="preserve">“justiça”</w:t>
      </w:r>
      <w:r>
        <w:t xml:space="preserve"> </w:t>
      </w:r>
      <w:r>
        <w:t xml:space="preserve">envolve julgamento de valor — diferentes concepções de equidade (rawlsiana, utilitarista, libertária) conduziriam a conclusões distintas sobre a mesma política.</w:t>
      </w:r>
    </w:p>
    <w:p>
      <w:r>
        <w:pict>
          <v:rect style="width:0;height:1.5pt" o:hralign="center" o:hrstd="t" o:hr="t"/>
        </w:pict>
      </w:r>
    </w:p>
    <w:bookmarkEnd w:id="41"/>
    <w:bookmarkEnd w:id="42"/>
    <w:bookmarkStart w:id="45" w:name="X8a8efcbaaa1a9a30f9f327aa89d0b6acaaffb03"/>
    <w:p>
      <w:pPr>
        <w:pStyle w:val="Heading3"/>
      </w:pPr>
      <w:r>
        <w:t xml:space="preserve">1.4 Anatomia de um Modelo: Exógenas, Endógenas e Equilíbrio</w:t>
      </w:r>
    </w:p>
    <w:bookmarkStart w:id="43" w:name="variáveis-exógenas-e-endógenas"/>
    <w:p>
      <w:pPr>
        <w:pStyle w:val="Heading4"/>
      </w:pPr>
      <w:r>
        <w:t xml:space="preserve">Variáveis exógenas e endógenas</w:t>
      </w:r>
    </w:p>
    <w:p>
      <w:pPr>
        <w:pStyle w:val="FirstParagraph"/>
      </w:pPr>
      <w:r>
        <w:t xml:space="preserve">O primeiro passo na construção de qualquer modelo é a decisão mais honesta que um cientista pode tomar: admitir o que ele</w:t>
      </w:r>
      <w:r>
        <w:t xml:space="preserve"> </w:t>
      </w:r>
      <w:r>
        <w:rPr>
          <w:i/>
          <w:iCs/>
        </w:rPr>
        <w:t xml:space="preserve">não</w:t>
      </w:r>
      <w:r>
        <w:t xml:space="preserve"> </w:t>
      </w:r>
      <w:r>
        <w:t xml:space="preserve">vai explicar. Todo modelo divide o mundo em duas caixas: o que está</w:t>
      </w:r>
      <w:r>
        <w:t xml:space="preserve"> </w:t>
      </w:r>
      <w:r>
        <w:rPr>
          <w:i/>
          <w:iCs/>
        </w:rPr>
        <w:t xml:space="preserve">dentro</w:t>
      </w:r>
      <w:r>
        <w:t xml:space="preserve"> </w:t>
      </w:r>
      <w:r>
        <w:t xml:space="preserve">(e será explicado) e o que está</w:t>
      </w:r>
      <w:r>
        <w:t xml:space="preserve"> </w:t>
      </w:r>
      <w:r>
        <w:rPr>
          <w:i/>
          <w:iCs/>
        </w:rPr>
        <w:t xml:space="preserve">fora</w:t>
      </w:r>
      <w:r>
        <w:t xml:space="preserve"> </w:t>
      </w:r>
      <w:r>
        <w:t xml:space="preserve">(e será tomado como dado). Essa decisão, aparentemente simples, é uma das mais consequentes da modelagem. O preço do petróleo, por exemplo, é</w:t>
      </w:r>
      <w:r>
        <w:t xml:space="preserve"> </w:t>
      </w:r>
      <w:r>
        <w:t xml:space="preserve">“dado”</w:t>
      </w:r>
      <w:r>
        <w:t xml:space="preserve"> </w:t>
      </w:r>
      <w:r>
        <w:t xml:space="preserve">(exógeno) se você está modelando o mercado de gasolina no Brasil — mas vira</w:t>
      </w:r>
      <w:r>
        <w:t xml:space="preserve"> </w:t>
      </w:r>
      <w:r>
        <w:t xml:space="preserve">“incógnita”</w:t>
      </w:r>
      <w:r>
        <w:t xml:space="preserve"> </w:t>
      </w:r>
      <w:r>
        <w:t xml:space="preserve">(endógeno) se você está modelando o mercado mundial de commodities. O mesmo ingrediente muda de papel dependendo da receita.</w:t>
      </w:r>
    </w:p>
    <w:p>
      <w:pPr>
        <w:pStyle w:val="BlockText"/>
      </w:pPr>
      <w:r>
        <w:rPr>
          <w:b/>
          <w:bCs/>
        </w:rPr>
        <w:t xml:space="preserve">[DEFINICAO] Variáveis Exógenas e Endógenas</w:t>
      </w:r>
    </w:p>
    <w:p>
      <w:pPr>
        <w:pStyle w:val="BlockText"/>
      </w:pPr>
      <w:r>
        <w:rPr>
          <w:b/>
          <w:bCs/>
        </w:rPr>
        <w:t xml:space="preserve">Variáveis exógenas</w:t>
      </w:r>
      <w:r>
        <w:t xml:space="preserve"> </w:t>
      </w:r>
      <w:r>
        <w:t xml:space="preserve">são determinadas fora do modelo — são os dados, os parâmetros, as</w:t>
      </w:r>
      <w:r>
        <w:t xml:space="preserve"> </w:t>
      </w:r>
      <w:r>
        <w:t xml:space="preserve">“causas”</w:t>
      </w:r>
      <w:r>
        <w:t xml:space="preserve">.</w:t>
      </w:r>
      <w:r>
        <w:t xml:space="preserve"> </w:t>
      </w:r>
      <w:r>
        <w:rPr>
          <w:b/>
          <w:bCs/>
        </w:rPr>
        <w:t xml:space="preserve">Variáveis endógenas</w:t>
      </w:r>
      <w:r>
        <w:t xml:space="preserve"> </w:t>
      </w:r>
      <w:r>
        <w:t xml:space="preserve">são determinadas dentro do modelo — são as incógnitas, os</w:t>
      </w:r>
      <w:r>
        <w:t xml:space="preserve"> </w:t>
      </w:r>
      <w:r>
        <w:t xml:space="preserve">“efeitos”</w:t>
      </w:r>
      <w:r>
        <w:t xml:space="preserve">. A tarefa do modelo é explicar como as variáveis endógenas respondem a mudanças nas variáveis exógenas.</w:t>
      </w:r>
    </w:p>
    <w:p>
      <w:pPr>
        <w:pStyle w:val="FirstParagraph"/>
      </w:pPr>
      <w:r>
        <w:t xml:space="preserve">Considere o modelo clássico de oferta e demanda para um mercado competitivo:</w:t>
      </w:r>
    </w:p>
    <w:p>
      <w:pPr>
        <w:pStyle w:val="Compact"/>
        <w:numPr>
          <w:ilvl w:val="0"/>
          <w:numId w:val="1007"/>
        </w:numPr>
      </w:pPr>
      <w:r>
        <w:rPr>
          <w:b/>
          <w:bCs/>
        </w:rPr>
        <w:t xml:space="preserve">Exógenas</w:t>
      </w:r>
      <w:r>
        <w:t xml:space="preserve">: renda dos consumidores (</w:t>
      </w:r>
      <m:oMath>
        <m:r>
          <m:t>Y</m:t>
        </m:r>
      </m:oMath>
      <w:r>
        <w:t xml:space="preserve">), preços dos insumos (</w:t>
      </w:r>
      <m:oMath>
        <m:r>
          <m:t>w</m:t>
        </m:r>
      </m:oMath>
      <w:r>
        <w:t xml:space="preserve">), tecnologia (</w:t>
      </w:r>
      <m:oMath>
        <m:r>
          <m:t>A</m:t>
        </m:r>
      </m:oMath>
      <w:r>
        <w:t xml:space="preserve">), preferências dos consumidores.</w:t>
      </w:r>
    </w:p>
    <w:p>
      <w:pPr>
        <w:pStyle w:val="Compact"/>
        <w:numPr>
          <w:ilvl w:val="0"/>
          <w:numId w:val="1007"/>
        </w:numPr>
      </w:pPr>
      <w:r>
        <w:rPr>
          <w:b/>
          <w:bCs/>
        </w:rPr>
        <w:t xml:space="preserve">Endógenas</w:t>
      </w:r>
      <w:r>
        <w:t xml:space="preserve">: preço de equilíbrio (</w:t>
      </w:r>
      <m:oMath>
        <m:sSup>
          <m:e>
            <m:r>
              <m:t>P</m:t>
            </m:r>
          </m:e>
          <m:sup>
            <m:r>
              <m:rPr>
                <m:sty m:val="p"/>
              </m:rPr>
              <m:t>*</m:t>
            </m:r>
          </m:sup>
        </m:sSup>
      </m:oMath>
      <w:r>
        <w:t xml:space="preserve">) e quantidade de equilíbrio (</w:t>
      </w:r>
      <m:oMath>
        <m:sSup>
          <m:e>
            <m:r>
              <m:t>Q</m:t>
            </m:r>
          </m:e>
          <m:sup>
            <m:r>
              <m:rPr>
                <m:sty m:val="p"/>
              </m:rPr>
              <m:t>*</m:t>
            </m:r>
          </m:sup>
        </m:sSup>
      </m:oMath>
      <w:r>
        <w:t xml:space="preserve">).</w:t>
      </w:r>
    </w:p>
    <w:p>
      <w:pPr>
        <w:pStyle w:val="FirstParagraph"/>
      </w:pPr>
      <w:r>
        <w:t xml:space="preserve">As equações do modelo:</w:t>
      </w:r>
    </w:p>
    <w:p>
      <w:pPr>
        <w:pStyle w:val="BodyText"/>
      </w:pPr>
      <w:r>
        <w:t xml:space="preserve">$$
    Q^d = D(P, Y) \quad \text{(demanda)} \label{eq:1.4.1} \tag{1.4.1}
    $$</w:t>
      </w:r>
    </w:p>
    <w:p>
      <w:pPr>
        <w:pStyle w:val="FirstParagraph"/>
      </w:pPr>
      <w:r>
        <w:t xml:space="preserve">$$
    Q^s = S(P, w, A) \quad \text{(oferta)} \label{eq:1.4.2} \tag{1.4.2}
    $$</w:t>
      </w:r>
    </w:p>
    <w:p>
      <w:pPr>
        <w:pStyle w:val="FirstParagraph"/>
      </w:pPr>
      <w:r>
        <w:t xml:space="preserve">$$
    Q^d = Q^s \quad \text{(equilíbrio)} \label{eq:1.4.3} \tag{1.4.3}
    $$</w:t>
      </w:r>
    </w:p>
    <w:p>
      <w:pPr>
        <w:pStyle w:val="BlockText"/>
      </w:pPr>
      <w:r>
        <w:rPr>
          <w:b/>
          <w:bCs/>
        </w:rPr>
        <w:t xml:space="preserve">[DEFINICAO] Equilíbrio de Mercado</w:t>
      </w:r>
    </w:p>
    <w:p>
      <w:pPr>
        <w:pStyle w:val="BlockText"/>
      </w:pPr>
      <w:r>
        <w:t xml:space="preserve">Um</w:t>
      </w:r>
      <w:r>
        <w:t xml:space="preserve"> </w:t>
      </w:r>
      <w:r>
        <w:rPr>
          <w:b/>
          <w:bCs/>
        </w:rPr>
        <w:t xml:space="preserve">equilíbrio de mercado</w:t>
      </w:r>
      <w:r>
        <w:t xml:space="preserve"> </w:t>
      </w:r>
      <w:r>
        <w:t xml:space="preserve">é uma configuração de preço</w:t>
      </w:r>
      <w:r>
        <w:t xml:space="preserve"> </w:t>
      </w:r>
      <m:oMath>
        <m:sSup>
          <m:e>
            <m:r>
              <m:t>P</m:t>
            </m:r>
          </m:e>
          <m:sup>
            <m:r>
              <m:rPr>
                <m:sty m:val="p"/>
              </m:rPr>
              <m:t>*</m:t>
            </m:r>
          </m:sup>
        </m:sSup>
      </m:oMath>
      <w:r>
        <w:t xml:space="preserve"> </w:t>
      </w:r>
      <w:r>
        <w:t xml:space="preserve">e quantidade</w:t>
      </w:r>
      <w:r>
        <w:t xml:space="preserve"> </w:t>
      </w:r>
      <m:oMath>
        <m:sSup>
          <m:e>
            <m:r>
              <m:t>Q</m:t>
            </m:r>
          </m:e>
          <m:sup>
            <m:r>
              <m:rPr>
                <m:sty m:val="p"/>
              </m:rPr>
              <m:t>*</m:t>
            </m:r>
          </m:sup>
        </m:sSup>
      </m:oMath>
      <w:r>
        <w:t xml:space="preserve"> </w:t>
      </w:r>
      <w:r>
        <w:t xml:space="preserve">na qual a quantidade que os consumidores desejam comprar é igual à quantidade que os produtores desejam vender:</w:t>
      </w:r>
      <w:r>
        <w:t xml:space="preserve"> </w:t>
      </w:r>
      <m:oMath>
        <m:sSup>
          <m:e>
            <m:r>
              <m:t>Q</m:t>
            </m:r>
          </m:e>
          <m:sup>
            <m:r>
              <m:t>d</m:t>
            </m:r>
          </m:sup>
        </m:sSup>
        <m:r>
          <m:rPr>
            <m:sty m:val="p"/>
          </m:rPr>
          <m:t>(</m:t>
        </m:r>
        <m:sSup>
          <m:e>
            <m:r>
              <m:t>P</m:t>
            </m:r>
          </m:e>
          <m:sup>
            <m:r>
              <m:rPr>
                <m:sty m:val="p"/>
              </m:rPr>
              <m:t>*</m:t>
            </m:r>
          </m:sup>
        </m:sSup>
        <m:r>
          <m:rPr>
            <m:sty m:val="p"/>
          </m:rPr>
          <m:t>)</m:t>
        </m:r>
        <m:r>
          <m:rPr>
            <m:sty m:val="p"/>
          </m:rPr>
          <m:t>=</m:t>
        </m:r>
        <m:sSup>
          <m:e>
            <m:r>
              <m:t>Q</m:t>
            </m:r>
          </m:e>
          <m:sup>
            <m:r>
              <m:t>s</m:t>
            </m:r>
          </m:sup>
        </m:sSup>
        <m:r>
          <m:rPr>
            <m:sty m:val="p"/>
          </m:rPr>
          <m:t>(</m:t>
        </m:r>
        <m:sSup>
          <m:e>
            <m:r>
              <m:t>P</m:t>
            </m:r>
          </m:e>
          <m:sup>
            <m:r>
              <m:rPr>
                <m:sty m:val="p"/>
              </m:rPr>
              <m:t>*</m:t>
            </m:r>
          </m:sup>
        </m:sSup>
        <m:r>
          <m:rPr>
            <m:sty m:val="p"/>
          </m:rPr>
          <m:t>)</m:t>
        </m:r>
      </m:oMath>
      <w:r>
        <w:t xml:space="preserve">. No equilíbrio, não há pressão para que o preço mude — nenhum agente tem incentivo para alterar unilateralmente seu comportamento. Fora do equilíbrio, o excesso de demanda ou de oferta gera forças que empurram o preço de volta ao ponto de equilíbrio, como uma bola no fundo de uma tigela.</w:t>
      </w:r>
    </w:p>
    <w:p>
      <w:pPr>
        <w:pStyle w:val="FirstParagraph"/>
      </w:pPr>
      <w:r>
        <w:t xml:space="preserve">[FIGURA INTERATIVA: /micro-book/graficos/cap01/oferta-demanda.html — versao interativa disponivel online]</w:t>
      </w:r>
    </w:p>
    <w:p>
      <w:pPr>
        <w:pStyle w:val="BodyText"/>
      </w:pPr>
      <w:r>
        <w:rPr>
          <w:b/>
          <w:bCs/>
        </w:rPr>
        <w:t xml:space="preserve">Figura 1.1 — Oferta e Demanda com Estática Comparativa.</w:t>
      </w:r>
      <w:r>
        <w:t xml:space="preserve"> </w:t>
      </w:r>
      <w:r>
        <w:t xml:space="preserve">Ajuste a renda</w:t>
      </w:r>
      <w:r>
        <w:t xml:space="preserve"> </w:t>
      </w:r>
      <m:oMath>
        <m:r>
          <m:t>Y</m:t>
        </m:r>
      </m:oMath>
      <w:r>
        <w:t xml:space="preserve">, o custo dos insumos</w:t>
      </w:r>
      <w:r>
        <w:t xml:space="preserve"> </w:t>
      </w:r>
      <m:oMath>
        <m:r>
          <m:t>w</m:t>
        </m:r>
      </m:oMath>
      <w:r>
        <w:t xml:space="preserve"> </w:t>
      </w:r>
      <w:r>
        <w:t xml:space="preserve">e as inclinações das curvas para observar como</w:t>
      </w:r>
      <w:r>
        <w:t xml:space="preserve"> </w:t>
      </w:r>
      <m:oMath>
        <m:sSup>
          <m:e>
            <m:r>
              <m:t>P</m:t>
            </m:r>
          </m:e>
          <m:sup>
            <m:r>
              <m:rPr>
                <m:sty m:val="p"/>
              </m:rPr>
              <m:t>*</m:t>
            </m:r>
          </m:sup>
        </m:sSup>
      </m:oMath>
      <w:r>
        <w:t xml:space="preserve"> </w:t>
      </w:r>
      <w:r>
        <w:t xml:space="preserve">e</w:t>
      </w:r>
      <w:r>
        <w:t xml:space="preserve"> </w:t>
      </w:r>
      <m:oMath>
        <m:sSup>
          <m:e>
            <m:r>
              <m:t>Q</m:t>
            </m:r>
          </m:e>
          <m:sup>
            <m:r>
              <m:rPr>
                <m:sty m:val="p"/>
              </m:rPr>
              <m:t>*</m:t>
            </m:r>
          </m:sup>
        </m:sSup>
      </m:oMath>
      <w:r>
        <w:t xml:space="preserve"> </w:t>
      </w:r>
      <w:r>
        <w:t xml:space="preserve">se deslocam. O painel mostra as derivadas de estática comparativa</w:t>
      </w:r>
      <w:r>
        <w:t xml:space="preserve"> </w:t>
      </w:r>
      <m:oMath>
        <m:r>
          <m:rPr>
            <m:sty m:val="p"/>
          </m:rPr>
          <m:t>∂</m:t>
        </m:r>
        <m:sSup>
          <m:e>
            <m:r>
              <m:t>P</m:t>
            </m:r>
          </m:e>
          <m:sup>
            <m:r>
              <m:rPr>
                <m:sty m:val="p"/>
              </m:rPr>
              <m:t>*</m:t>
            </m:r>
          </m:sup>
        </m:sSup>
        <m:r>
          <m:rPr>
            <m:sty m:val="p"/>
          </m:rPr>
          <m:t>/</m:t>
        </m:r>
        <m:r>
          <m:rPr>
            <m:sty m:val="p"/>
          </m:rPr>
          <m:t>∂</m:t>
        </m:r>
        <m:r>
          <m:t>Y</m:t>
        </m:r>
      </m:oMath>
      <w:r>
        <w:t xml:space="preserve"> </w:t>
      </w:r>
      <w:r>
        <w:t xml:space="preserve">e</w:t>
      </w:r>
      <w:r>
        <w:t xml:space="preserve"> </w:t>
      </w:r>
      <m:oMath>
        <m:r>
          <m:rPr>
            <m:sty m:val="p"/>
          </m:rPr>
          <m:t>∂</m:t>
        </m:r>
        <m:sSup>
          <m:e>
            <m:r>
              <m:t>P</m:t>
            </m:r>
          </m:e>
          <m:sup>
            <m:r>
              <m:rPr>
                <m:sty m:val="p"/>
              </m:rPr>
              <m:t>*</m:t>
            </m:r>
          </m:sup>
        </m:sSup>
        <m:r>
          <m:rPr>
            <m:sty m:val="p"/>
          </m:rPr>
          <m:t>/</m:t>
        </m:r>
        <m:r>
          <m:rPr>
            <m:sty m:val="p"/>
          </m:rPr>
          <m:t>∂</m:t>
        </m:r>
        <m:r>
          <m:t>w</m:t>
        </m:r>
      </m:oMath>
      <w:r>
        <w:t xml:space="preserve"> </w:t>
      </w:r>
      <w:r>
        <w:t xml:space="preserve">em tempo real.</w:t>
      </w:r>
    </w:p>
    <w:p>
      <w:pPr>
        <w:pStyle w:val="BodyText"/>
      </w:pPr>
      <w:r>
        <w:t xml:space="preserve">[FIGURA INTERATIVA: /micro-book/graficos/cap01/fluxo-circular.html — versao interativa disponivel online]</w:t>
      </w:r>
    </w:p>
    <w:p>
      <w:pPr>
        <w:pStyle w:val="BodyText"/>
      </w:pPr>
      <w:r>
        <w:rPr>
          <w:b/>
          <w:bCs/>
        </w:rPr>
        <w:t xml:space="preserve">Figura 1.2 — Diagrama de fluxo circular: famílias e firmas interagem nos mercados de produto e de fatores.</w:t>
      </w:r>
      <w:r>
        <w:t xml:space="preserve"> </w:t>
      </w:r>
      <w:r>
        <w:t xml:space="preserve">Ative o governo e o setor externo para visualizar fluxos adicionais. Passe o mouse sobre as setas para detalhes.</w:t>
      </w:r>
    </w:p>
    <w:p>
      <w:pPr>
        <w:pStyle w:val="BlockText"/>
      </w:pPr>
      <w:r>
        <w:rPr>
          <w:b/>
          <w:bCs/>
        </w:rPr>
        <w:t xml:space="preserve">[ATIVIDADE DE SALA] Atividade — Experimento de mercado em sala de aula (15 min)</w:t>
      </w:r>
    </w:p>
    <w:p>
      <w:pPr>
        <w:pStyle w:val="BlockText"/>
      </w:pPr>
      <w:r>
        <w:rPr>
          <w:b/>
          <w:bCs/>
        </w:rPr>
        <w:t xml:space="preserve">Objetivo:</w:t>
      </w:r>
      <w:r>
        <w:t xml:space="preserve"> </w:t>
      </w:r>
      <w:r>
        <w:rPr>
          <w:i/>
          <w:iCs/>
        </w:rPr>
        <w:t xml:space="preserve">Descobrir</w:t>
      </w:r>
      <w:r>
        <w:t xml:space="preserve"> </w:t>
      </w:r>
      <w:r>
        <w:t xml:space="preserve">o equilíbrio de mercado antes de vê-lo na teoria.</w:t>
      </w:r>
    </w:p>
    <w:p>
      <w:pPr>
        <w:pStyle w:val="BlockText"/>
      </w:pPr>
      <w:r>
        <w:rPr>
          <w:b/>
          <w:bCs/>
        </w:rPr>
        <w:t xml:space="preserve">Materiais:</w:t>
      </w:r>
      <w:r>
        <w:t xml:space="preserve"> </w:t>
      </w:r>
      <w:r>
        <w:t xml:space="preserve">Cartões com valores de reserva (um valor para cada aluno). Metade da turma recebe cartões de</w:t>
      </w:r>
      <w:r>
        <w:t xml:space="preserve"> </w:t>
      </w:r>
      <w:r>
        <w:t xml:space="preserve">“comprador”</w:t>
      </w:r>
      <w:r>
        <w:t xml:space="preserve"> </w:t>
      </w:r>
      <w:r>
        <w:t xml:space="preserve">(com um valor máximo de compra), metade recebe cartões de</w:t>
      </w:r>
      <w:r>
        <w:t xml:space="preserve"> </w:t>
      </w:r>
      <w:r>
        <w:t xml:space="preserve">“vendedor”</w:t>
      </w:r>
      <w:r>
        <w:t xml:space="preserve"> </w:t>
      </w:r>
      <w:r>
        <w:t xml:space="preserve">(com um custo mínimo de venda).</w:t>
      </w:r>
    </w:p>
    <w:p>
      <w:pPr>
        <w:pStyle w:val="BlockText"/>
      </w:pPr>
      <w:r>
        <w:rPr>
          <w:b/>
          <w:bCs/>
        </w:rPr>
        <w:t xml:space="preserve">Mecânica:</w:t>
      </w:r>
      <w:r>
        <w:t xml:space="preserve"> </w:t>
      </w:r>
      <w:r>
        <w:t xml:space="preserve">Compradores e vendedores circulam pela sala tentando fechar negócios. Uma transação ocorre quando comprador e vendedor concordam com um preço. Cada par registra o preço negociado no quadro.</w:t>
      </w:r>
    </w:p>
    <w:p>
      <w:pPr>
        <w:pStyle w:val="BlockText"/>
      </w:pPr>
      <w:r>
        <w:rPr>
          <w:b/>
          <w:bCs/>
        </w:rPr>
        <w:t xml:space="preserve">Debrief:</w:t>
      </w:r>
      <w:r>
        <w:t xml:space="preserve"> </w:t>
      </w:r>
      <w:r>
        <w:t xml:space="preserve">Após 5 rodadas, plote os preços no quadro. Pergunte:</w:t>
      </w:r>
      <w:r>
        <w:t xml:space="preserve"> </w:t>
      </w:r>
      <w:r>
        <w:t xml:space="preserve">“Os preços convergiram para algum valor? Por quê?”</w:t>
      </w:r>
      <w:r>
        <w:t xml:space="preserve"> </w:t>
      </w:r>
      <w:r>
        <w:t xml:space="preserve">Compare com a Figura 1.1 acima — o ponto de convergência é o equilíbrio</w:t>
      </w:r>
      <w:r>
        <w:t xml:space="preserve"> </w:t>
      </w:r>
      <m:oMath>
        <m:sSup>
          <m:e>
            <m:r>
              <m:t>P</m:t>
            </m:r>
          </m:e>
          <m:sup>
            <m:r>
              <m:rPr>
                <m:sty m:val="p"/>
              </m:rPr>
              <m:t>*</m:t>
            </m:r>
          </m:sup>
        </m:sSup>
      </m:oMath>
      <w:r>
        <w:t xml:space="preserve">. Os alunos acabam de</w:t>
      </w:r>
      <w:r>
        <w:t xml:space="preserve"> </w:t>
      </w:r>
      <w:r>
        <w:rPr>
          <w:i/>
          <w:iCs/>
        </w:rPr>
        <w:t xml:space="preserve">viver</w:t>
      </w:r>
      <w:r>
        <w:t xml:space="preserve"> </w:t>
      </w:r>
      <w:r>
        <w:t xml:space="preserve">o modelo de oferta e demanda antes de vê-lo formalizado.</w:t>
      </w:r>
    </w:p>
    <w:p>
      <w:pPr>
        <w:pStyle w:val="BlockText"/>
      </w:pPr>
      <w:r>
        <w:rPr>
          <w:i/>
          <w:iCs/>
        </w:rPr>
        <w:t xml:space="preserve">Inspiração:</w:t>
      </w:r>
      <w:r>
        <w:t xml:space="preserve"> </w:t>
      </w:r>
      <w:r>
        <w:t xml:space="preserve">Holt (2007),</w:t>
      </w:r>
      <w:r>
        <w:t xml:space="preserve"> </w:t>
      </w:r>
      <w:r>
        <w:rPr>
          <w:i/>
          <w:iCs/>
        </w:rPr>
        <w:t xml:space="preserve">Markets, Games, and Strategic Behavior</w:t>
      </w:r>
      <w:r>
        <w:t xml:space="preserve">, Cap. 1; Vernon Smith (1962),</w:t>
      </w:r>
      <w:r>
        <w:t xml:space="preserve"> </w:t>
      </w:r>
      <w:r>
        <w:t xml:space="preserve">“An Experimental Study of Competitive Market Behavior”</w:t>
      </w:r>
      <w:r>
        <w:t xml:space="preserve">,</w:t>
      </w:r>
      <w:r>
        <w:t xml:space="preserve"> </w:t>
      </w:r>
      <w:r>
        <w:rPr>
          <w:i/>
          <w:iCs/>
        </w:rPr>
        <w:t xml:space="preserve">Journal of Political Economy</w:t>
      </w:r>
      <w:r>
        <w:t xml:space="preserve">.</w:t>
      </w:r>
    </w:p>
    <w:bookmarkEnd w:id="43"/>
    <w:bookmarkStart w:id="44" w:name="a-hipótese-de-otimização-como-fundamento"/>
    <w:p>
      <w:pPr>
        <w:pStyle w:val="Heading4"/>
      </w:pPr>
      <w:r>
        <w:t xml:space="preserve">A hipótese de otimização como fundamento</w:t>
      </w:r>
    </w:p>
    <w:p>
      <w:pPr>
        <w:pStyle w:val="FirstParagraph"/>
      </w:pPr>
      <w:r>
        <w:t xml:space="preserve">O sistema de equações Eq. (eq:1.4.1)–Eq. (eq:1.4.3) descreve o equilíbrio de um mercado, mas como chegamos a essas equações? A resposta está na hipótese de otimização discutida na Seção 1.3. Na prática, a construção de um modelo microeconômico segue um roteiro bem definido, que traduz a ideia de agentes otimizadores em um problema matemático concreto. A estrutura típica de um modelo microeconômico envolve:</w:t>
      </w:r>
    </w:p>
    <w:p>
      <w:pPr>
        <w:pStyle w:val="Compact"/>
        <w:numPr>
          <w:ilvl w:val="0"/>
          <w:numId w:val="1008"/>
        </w:numPr>
      </w:pPr>
      <w:r>
        <w:rPr>
          <w:b/>
          <w:bCs/>
        </w:rPr>
        <w:t xml:space="preserve">Definir o objetivo</w:t>
      </w:r>
      <w:r>
        <w:t xml:space="preserve"> </w:t>
      </w:r>
      <w:r>
        <w:t xml:space="preserve">do agente (função utilidade, função lucro).</w:t>
      </w:r>
    </w:p>
    <w:p>
      <w:pPr>
        <w:pStyle w:val="Compact"/>
        <w:numPr>
          <w:ilvl w:val="0"/>
          <w:numId w:val="1008"/>
        </w:numPr>
      </w:pPr>
      <w:r>
        <w:rPr>
          <w:b/>
          <w:bCs/>
        </w:rPr>
        <w:t xml:space="preserve">Identificar as restrições</w:t>
      </w:r>
      <w:r>
        <w:t xml:space="preserve"> </w:t>
      </w:r>
      <w:r>
        <w:t xml:space="preserve">(orçamentária, tecnológica, informacional).</w:t>
      </w:r>
    </w:p>
    <w:p>
      <w:pPr>
        <w:pStyle w:val="Compact"/>
        <w:numPr>
          <w:ilvl w:val="0"/>
          <w:numId w:val="1008"/>
        </w:numPr>
      </w:pPr>
      <w:r>
        <w:rPr>
          <w:b/>
          <w:bCs/>
        </w:rPr>
        <w:t xml:space="preserve">Resolver o problema de otimização</w:t>
      </w:r>
      <w:r>
        <w:t xml:space="preserve"> </w:t>
      </w:r>
      <w:r>
        <w:t xml:space="preserve">(condições de primeira e segunda ordem).</w:t>
      </w:r>
    </w:p>
    <w:p>
      <w:pPr>
        <w:pStyle w:val="Compact"/>
        <w:numPr>
          <w:ilvl w:val="0"/>
          <w:numId w:val="1008"/>
        </w:numPr>
      </w:pPr>
      <w:r>
        <w:rPr>
          <w:b/>
          <w:bCs/>
        </w:rPr>
        <w:t xml:space="preserve">Derivar funções de resposta</w:t>
      </w:r>
      <w:r>
        <w:t xml:space="preserve"> </w:t>
      </w:r>
      <w:r>
        <w:t xml:space="preserve">(demanda, oferta) como funções dos parâmetros exógenos.</w:t>
      </w:r>
    </w:p>
    <w:p>
      <w:pPr>
        <w:pStyle w:val="Compact"/>
        <w:numPr>
          <w:ilvl w:val="0"/>
          <w:numId w:val="1008"/>
        </w:numPr>
      </w:pPr>
      <w:r>
        <w:rPr>
          <w:b/>
          <w:bCs/>
        </w:rPr>
        <w:t xml:space="preserve">Analisar estática comparativa</w:t>
      </w:r>
      <w:r>
        <w:t xml:space="preserve">: como as soluções ótimas mudam quando os parâmetros variam.</w:t>
      </w:r>
    </w:p>
    <w:p>
      <w:pPr>
        <w:pStyle w:val="BlockText"/>
      </w:pPr>
      <w:r>
        <w:rPr>
          <w:b/>
          <w:bCs/>
        </w:rPr>
        <w:t xml:space="preserve">[DEFINICAO] Estática Comparativa</w:t>
      </w:r>
    </w:p>
    <w:p>
      <w:pPr>
        <w:pStyle w:val="BlockText"/>
      </w:pPr>
      <w:r>
        <w:t xml:space="preserve">A</w:t>
      </w:r>
      <w:r>
        <w:t xml:space="preserve"> </w:t>
      </w:r>
      <w:r>
        <w:rPr>
          <w:b/>
          <w:bCs/>
        </w:rPr>
        <w:t xml:space="preserve">estática comparativa</w:t>
      </w:r>
      <w:r>
        <w:t xml:space="preserve"> </w:t>
      </w:r>
      <w:r>
        <w:t xml:space="preserve">consiste em comparar dois equilíbrios — um antes e outro depois de uma mudança em uma variável exógena — para determinar a</w:t>
      </w:r>
      <w:r>
        <w:t xml:space="preserve"> </w:t>
      </w:r>
      <w:r>
        <w:rPr>
          <w:i/>
          <w:iCs/>
        </w:rPr>
        <w:t xml:space="preserve">direção</w:t>
      </w:r>
      <w:r>
        <w:t xml:space="preserve"> </w:t>
      </w:r>
      <w:r>
        <w:t xml:space="preserve">e a</w:t>
      </w:r>
      <w:r>
        <w:t xml:space="preserve"> </w:t>
      </w:r>
      <w:r>
        <w:rPr>
          <w:i/>
          <w:iCs/>
        </w:rPr>
        <w:t xml:space="preserve">magnitude</w:t>
      </w:r>
      <w:r>
        <w:t xml:space="preserve"> </w:t>
      </w:r>
      <w:r>
        <w:t xml:space="preserve">da resposta das variáveis endógenas. O termo</w:t>
      </w:r>
      <w:r>
        <w:t xml:space="preserve"> </w:t>
      </w:r>
      <w:r>
        <w:t xml:space="preserve">“estática”</w:t>
      </w:r>
      <w:r>
        <w:t xml:space="preserve"> </w:t>
      </w:r>
      <w:r>
        <w:t xml:space="preserve">indica que se comparam dois pontos de repouso, sem descrever o caminho de ajuste entre eles;</w:t>
      </w:r>
      <w:r>
        <w:t xml:space="preserve"> </w:t>
      </w:r>
      <w:r>
        <w:t xml:space="preserve">“comparativa”</w:t>
      </w:r>
      <w:r>
        <w:t xml:space="preserve"> </w:t>
      </w:r>
      <w:r>
        <w:t xml:space="preserve">indica a comparação entre os dois estados. Formalmente, trata-se de calcular derivadas como</w:t>
      </w:r>
      <w:r>
        <w:t xml:space="preserve"> </w:t>
      </w:r>
      <m:oMath>
        <m:r>
          <m:rPr>
            <m:sty m:val="p"/>
          </m:rPr>
          <m:t>∂</m:t>
        </m:r>
        <m:sSup>
          <m:e>
            <m:r>
              <m:t>P</m:t>
            </m:r>
          </m:e>
          <m:sup>
            <m:r>
              <m:rPr>
                <m:sty m:val="p"/>
              </m:rPr>
              <m:t>*</m:t>
            </m:r>
          </m:sup>
        </m:sSup>
        <m:r>
          <m:rPr>
            <m:sty m:val="p"/>
          </m:rPr>
          <m:t>/</m:t>
        </m:r>
        <m:r>
          <m:rPr>
            <m:sty m:val="p"/>
          </m:rPr>
          <m:t>∂</m:t>
        </m:r>
        <m:r>
          <m:t>Y</m:t>
        </m:r>
      </m:oMath>
      <w:r>
        <w:t xml:space="preserve"> </w:t>
      </w:r>
      <w:r>
        <w:t xml:space="preserve">(efeito de uma variação na renda sobre o preço de equilíbrio). No Capítulo 2, o teorema da função implícita e o teorema do envelope fornecerão as ferramentas matemáticas para realizar estática comparativa de forma sistemática.</w:t>
      </w:r>
    </w:p>
    <w:p>
      <w:pPr>
        <w:pStyle w:val="FirstParagraph"/>
      </w:pPr>
      <w:r>
        <w:t xml:space="preserve">Esse roteiro será seguido repetidamente ao longo deste livro: no Capítulo 3, para formalizar as preferências do consumidor; no Capítulo 4, para derivar as funções de demanda; nos Capítulos 10–12, para obter as curvas de custo e oferta da firma; e no Capítulo 14, para analisar o equilíbrio geral. Mas antes de mergulhar na análise formal, vale a pena situar as ideias que discutimos até aqui em uma perspectiva mais ampla. Como a ciência econômica chegou a esse modo de pensar? A resposta passa pela história da teoria do valor — o problema central que motivou o desenvolvimento da microeconomia.</w:t>
      </w:r>
    </w:p>
    <w:p>
      <w:pPr>
        <w:pStyle w:val="BlockText"/>
      </w:pPr>
      <w:r>
        <w:rPr>
          <w:b/>
          <w:bCs/>
        </w:rPr>
        <w:t xml:space="preserve">[EXERCICIO RESOLVIDO] Exercício Resolvido 1.2 — Variáveis exógenas, endógenas e estática comparativa</w:t>
      </w:r>
    </w:p>
    <w:p>
      <w:pPr>
        <w:pStyle w:val="BlockText"/>
      </w:pPr>
      <w:r>
        <w:rPr>
          <w:b/>
          <w:bCs/>
        </w:rPr>
        <w:t xml:space="preserve">Enunciado.</w:t>
      </w:r>
      <w:r>
        <w:t xml:space="preserve"> </w:t>
      </w:r>
      <w:r>
        <w:t xml:space="preserve">Considere o seguinte modelo simplificado do mercado de café no Brasil:</w:t>
      </w:r>
    </w:p>
    <w:p>
      <w:pPr>
        <w:pStyle w:val="Compact"/>
        <w:numPr>
          <w:ilvl w:val="0"/>
          <w:numId w:val="1009"/>
        </w:numPr>
      </w:pPr>
      <w:r>
        <w:t xml:space="preserve">Demanda:</w:t>
      </w:r>
      <w:r>
        <w:t xml:space="preserve"> </w:t>
      </w:r>
      <m:oMath>
        <m:sSup>
          <m:e>
            <m:r>
              <m:t>Q</m:t>
            </m:r>
          </m:e>
          <m:sup>
            <m:r>
              <m:t>d</m:t>
            </m:r>
          </m:sup>
        </m:sSup>
        <m:r>
          <m:rPr>
            <m:sty m:val="p"/>
          </m:rPr>
          <m:t>=</m:t>
        </m:r>
        <m:r>
          <m:t>200</m:t>
        </m:r>
        <m:r>
          <m:rPr>
            <m:sty m:val="p"/>
          </m:rPr>
          <m:t>−</m:t>
        </m:r>
        <m:r>
          <m:t>4</m:t>
        </m:r>
        <m:r>
          <m:t>P</m:t>
        </m:r>
        <m:r>
          <m:rPr>
            <m:sty m:val="p"/>
          </m:rPr>
          <m:t>+</m:t>
        </m:r>
        <m:r>
          <m:t>2</m:t>
        </m:r>
        <m:r>
          <m:t>Y</m:t>
        </m:r>
      </m:oMath>
      <w:r>
        <w:t xml:space="preserve">, onde</w:t>
      </w:r>
      <w:r>
        <w:t xml:space="preserve"> </w:t>
      </w:r>
      <m:oMath>
        <m:r>
          <m:t>P</m:t>
        </m:r>
      </m:oMath>
      <w:r>
        <w:t xml:space="preserve"> </w:t>
      </w:r>
      <w:r>
        <w:t xml:space="preserve">é o preço e</w:t>
      </w:r>
      <w:r>
        <w:t xml:space="preserve"> </w:t>
      </w:r>
      <m:oMath>
        <m:r>
          <m:t>Y</m:t>
        </m:r>
      </m:oMath>
      <w:r>
        <w:t xml:space="preserve"> </w:t>
      </w:r>
      <w:r>
        <w:t xml:space="preserve">é a renda dos consumidores.</w:t>
      </w:r>
    </w:p>
    <w:p>
      <w:pPr>
        <w:pStyle w:val="Compact"/>
        <w:numPr>
          <w:ilvl w:val="0"/>
          <w:numId w:val="1009"/>
        </w:numPr>
      </w:pPr>
      <w:r>
        <w:t xml:space="preserve">Oferta:</w:t>
      </w:r>
      <w:r>
        <w:t xml:space="preserve"> </w:t>
      </w:r>
      <m:oMath>
        <m:sSup>
          <m:e>
            <m:r>
              <m:t>Q</m:t>
            </m:r>
          </m:e>
          <m:sup>
            <m:r>
              <m:t>s</m:t>
            </m:r>
          </m:sup>
        </m:sSup>
        <m:r>
          <m:rPr>
            <m:sty m:val="p"/>
          </m:rPr>
          <m:t>=</m:t>
        </m:r>
        <m:r>
          <m:rPr>
            <m:sty m:val="p"/>
          </m:rPr>
          <m:t>−</m:t>
        </m:r>
        <m:r>
          <m:t>20</m:t>
        </m:r>
        <m:r>
          <m:rPr>
            <m:sty m:val="p"/>
          </m:rPr>
          <m:t>+</m:t>
        </m:r>
        <m:r>
          <m:t>6</m:t>
        </m:r>
        <m:r>
          <m:t>P</m:t>
        </m:r>
        <m:r>
          <m:rPr>
            <m:sty m:val="p"/>
          </m:rPr>
          <m:t>−</m:t>
        </m:r>
        <m:r>
          <m:t>3</m:t>
        </m:r>
        <m:r>
          <m:t>C</m:t>
        </m:r>
      </m:oMath>
      <w:r>
        <w:t xml:space="preserve">, onde</w:t>
      </w:r>
      <w:r>
        <w:t xml:space="preserve"> </w:t>
      </w:r>
      <m:oMath>
        <m:r>
          <m:t>C</m:t>
        </m:r>
      </m:oMath>
      <w:r>
        <w:t xml:space="preserve"> </w:t>
      </w:r>
      <w:r>
        <w:t xml:space="preserve">é o custo dos insumos agrícolas.</w:t>
      </w:r>
    </w:p>
    <w:p>
      <w:pPr>
        <w:pStyle w:val="BlockText"/>
        <w:numPr>
          <w:ilvl w:val="0"/>
          <w:numId w:val="1010"/>
        </w:numPr>
      </w:pPr>
      <w:r>
        <w:t xml:space="preserve">Identifique as variáveis exógenas e endógenas.</w:t>
      </w:r>
    </w:p>
    <w:p>
      <w:pPr>
        <w:pStyle w:val="BlockText"/>
        <w:numPr>
          <w:ilvl w:val="0"/>
          <w:numId w:val="1010"/>
        </w:numPr>
      </w:pPr>
      <w:r>
        <w:t xml:space="preserve">Encontre o preço e a quantidade de equilíbrio como funções dos parâmetros exógenos.</w:t>
      </w:r>
    </w:p>
    <w:p>
      <w:pPr>
        <w:pStyle w:val="BlockText"/>
        <w:numPr>
          <w:ilvl w:val="0"/>
          <w:numId w:val="1010"/>
        </w:numPr>
      </w:pPr>
      <w:r>
        <w:t xml:space="preserve">Se</w:t>
      </w:r>
      <w:r>
        <w:t xml:space="preserve"> </w:t>
      </w:r>
      <m:oMath>
        <m:r>
          <m:t>Y</m:t>
        </m:r>
        <m:r>
          <m:rPr>
            <m:sty m:val="p"/>
          </m:rPr>
          <m:t>=</m:t>
        </m:r>
        <m:r>
          <m:t>50</m:t>
        </m:r>
      </m:oMath>
      <w:r>
        <w:t xml:space="preserve"> </w:t>
      </w:r>
      <w:r>
        <w:t xml:space="preserve">e</w:t>
      </w:r>
      <w:r>
        <w:t xml:space="preserve"> </w:t>
      </w:r>
      <m:oMath>
        <m:r>
          <m:t>C</m:t>
        </m:r>
        <m:r>
          <m:rPr>
            <m:sty m:val="p"/>
          </m:rPr>
          <m:t>=</m:t>
        </m:r>
        <m:r>
          <m:t>10</m:t>
        </m:r>
      </m:oMath>
      <w:r>
        <w:t xml:space="preserve">, calcule</w:t>
      </w:r>
      <w:r>
        <w:t xml:space="preserve"> </w:t>
      </w:r>
      <m:oMath>
        <m:sSup>
          <m:e>
            <m:r>
              <m:t>P</m:t>
            </m:r>
          </m:e>
          <m:sup>
            <m:r>
              <m:rPr>
                <m:sty m:val="p"/>
              </m:rPr>
              <m:t>*</m:t>
            </m:r>
          </m:sup>
        </m:sSup>
      </m:oMath>
      <w:r>
        <w:t xml:space="preserve"> </w:t>
      </w:r>
      <w:r>
        <w:t xml:space="preserve">e</w:t>
      </w:r>
      <w:r>
        <w:t xml:space="preserve"> </w:t>
      </w:r>
      <m:oMath>
        <m:sSup>
          <m:e>
            <m:r>
              <m:t>Q</m:t>
            </m:r>
          </m:e>
          <m:sup>
            <m:r>
              <m:rPr>
                <m:sty m:val="p"/>
              </m:rPr>
              <m:t>*</m:t>
            </m:r>
          </m:sup>
        </m:sSup>
      </m:oMath>
      <w:r>
        <w:t xml:space="preserve">.</w:t>
      </w:r>
    </w:p>
    <w:p>
      <w:pPr>
        <w:pStyle w:val="BlockText"/>
        <w:numPr>
          <w:ilvl w:val="0"/>
          <w:numId w:val="1010"/>
        </w:numPr>
      </w:pPr>
      <w:r>
        <w:t xml:space="preserve">Realize estática comparativa: qual o efeito de um aumento da renda sobre o preço de equilíbrio?</w:t>
      </w:r>
    </w:p>
    <w:p>
      <w:pPr>
        <w:pStyle w:val="BlockText"/>
      </w:pPr>
      <w:r>
        <w:rPr>
          <w:b/>
          <w:bCs/>
        </w:rPr>
        <w:t xml:space="preserve">Solução.</w:t>
      </w:r>
    </w:p>
    <w:p>
      <w:pPr>
        <w:pStyle w:val="BlockText"/>
      </w:pPr>
      <w:r>
        <w:rPr>
          <w:b/>
          <w:bCs/>
        </w:rPr>
        <w:t xml:space="preserve">(a)</w:t>
      </w:r>
      <w:r>
        <w:t xml:space="preserve"> </w:t>
      </w:r>
      <w:r>
        <w:rPr>
          <w:b/>
          <w:bCs/>
        </w:rPr>
        <w:t xml:space="preserve">Exógenas:</w:t>
      </w:r>
      <w:r>
        <w:t xml:space="preserve"> </w:t>
      </w:r>
      <m:oMath>
        <m:r>
          <m:t>Y</m:t>
        </m:r>
      </m:oMath>
      <w:r>
        <w:t xml:space="preserve"> </w:t>
      </w:r>
      <w:r>
        <w:t xml:space="preserve">(renda) e</w:t>
      </w:r>
      <w:r>
        <w:t xml:space="preserve"> </w:t>
      </w:r>
      <m:oMath>
        <m:r>
          <m:t>C</m:t>
        </m:r>
      </m:oMath>
      <w:r>
        <w:t xml:space="preserve"> </w:t>
      </w:r>
      <w:r>
        <w:t xml:space="preserve">(custo dos insumos) — determinadas fora do modelo.</w:t>
      </w:r>
      <w:r>
        <w:t xml:space="preserve"> </w:t>
      </w:r>
      <w:r>
        <w:rPr>
          <w:b/>
          <w:bCs/>
        </w:rPr>
        <w:t xml:space="preserve">Endógenas:</w:t>
      </w:r>
      <w:r>
        <w:t xml:space="preserve"> </w:t>
      </w:r>
      <m:oMath>
        <m:sSup>
          <m:e>
            <m:r>
              <m:t>P</m:t>
            </m:r>
          </m:e>
          <m:sup>
            <m:r>
              <m:rPr>
                <m:sty m:val="p"/>
              </m:rPr>
              <m:t>*</m:t>
            </m:r>
          </m:sup>
        </m:sSup>
      </m:oMath>
      <w:r>
        <w:t xml:space="preserve"> </w:t>
      </w:r>
      <w:r>
        <w:t xml:space="preserve">(preço) e</w:t>
      </w:r>
      <w:r>
        <w:t xml:space="preserve"> </w:t>
      </w:r>
      <m:oMath>
        <m:sSup>
          <m:e>
            <m:r>
              <m:t>Q</m:t>
            </m:r>
          </m:e>
          <m:sup>
            <m:r>
              <m:rPr>
                <m:sty m:val="p"/>
              </m:rPr>
              <m:t>*</m:t>
            </m:r>
          </m:sup>
        </m:sSup>
      </m:oMath>
      <w:r>
        <w:t xml:space="preserve"> </w:t>
      </w:r>
      <w:r>
        <w:t xml:space="preserve">(quantidade) — determinadas pelo equilíbrio do modelo.</w:t>
      </w:r>
    </w:p>
    <w:p>
      <w:pPr>
        <w:pStyle w:val="BlockText"/>
      </w:pPr>
      <w:r>
        <w:rPr>
          <w:b/>
          <w:bCs/>
        </w:rPr>
        <w:t xml:space="preserve">(b)</w:t>
      </w:r>
      <w:r>
        <w:t xml:space="preserve"> </w:t>
      </w:r>
      <w:r>
        <w:t xml:space="preserve">No equilíbrio,</w:t>
      </w:r>
      <w:r>
        <w:t xml:space="preserve"> </w:t>
      </w:r>
      <m:oMath>
        <m:sSup>
          <m:e>
            <m:r>
              <m:t>Q</m:t>
            </m:r>
          </m:e>
          <m:sup>
            <m:r>
              <m:t>d</m:t>
            </m:r>
          </m:sup>
        </m:sSup>
        <m:r>
          <m:rPr>
            <m:sty m:val="p"/>
          </m:rPr>
          <m:t>=</m:t>
        </m:r>
        <m:sSup>
          <m:e>
            <m:r>
              <m:t>Q</m:t>
            </m:r>
          </m:e>
          <m:sup>
            <m:r>
              <m:t>s</m:t>
            </m:r>
          </m:sup>
        </m:sSup>
      </m:oMath>
      <w:r>
        <w:t xml:space="preserve">:</w:t>
      </w:r>
    </w:p>
    <w:p>
      <w:pPr>
        <w:pStyle w:val="BlockText"/>
      </w:pPr>
      <w:r>
        <w:t xml:space="preserve">$$</w:t>
      </w:r>
    </w:p>
    <w:p>
      <w:pPr>
        <w:pStyle w:val="BlockText"/>
      </w:pPr>
      <w:r>
        <w:t xml:space="preserve">200 - 4P + 2Y = -20 + 6P - 3C</w:t>
      </w:r>
    </w:p>
    <w:p>
      <w:pPr>
        <w:pStyle w:val="BlockText"/>
      </w:pPr>
      <w:r>
        <w:t xml:space="preserve">$$</w:t>
      </w:r>
    </w:p>
    <w:p>
      <w:pPr>
        <w:pStyle w:val="BlockText"/>
      </w:pPr>
      <w:r>
        <w:t xml:space="preserve">$$</w:t>
      </w:r>
    </w:p>
    <w:p>
      <w:pPr>
        <w:pStyle w:val="BlockText"/>
      </w:pPr>
      <w:r>
        <w:t xml:space="preserve">220 + 2Y + 3C = 10P</w:t>
      </w:r>
    </w:p>
    <w:p>
      <w:pPr>
        <w:pStyle w:val="BlockText"/>
      </w:pPr>
      <w:r>
        <w:t xml:space="preserve">$$</w:t>
      </w:r>
    </w:p>
    <w:p>
      <w:pPr>
        <w:pStyle w:val="BlockText"/>
      </w:pPr>
      <w:r>
        <w:t xml:space="preserve">$$</w:t>
      </w:r>
    </w:p>
    <w:p>
      <w:pPr>
        <w:pStyle w:val="BlockText"/>
      </w:pPr>
      <w:r>
        <w:t xml:space="preserve">P^* = 22 + 0{,}2Y + 0{,}3C</w:t>
      </w:r>
    </w:p>
    <w:p>
      <w:pPr>
        <w:pStyle w:val="BlockText"/>
      </w:pPr>
      <w:r>
        <w:t xml:space="preserve">$$</w:t>
      </w:r>
    </w:p>
    <w:p>
      <w:pPr>
        <w:pStyle w:val="BlockText"/>
      </w:pPr>
      <w:r>
        <w:t xml:space="preserve">Substituindo na função de demanda:</w:t>
      </w:r>
    </w:p>
    <w:p>
      <w:pPr>
        <w:pStyle w:val="BlockText"/>
      </w:pPr>
      <w:r>
        <w:t xml:space="preserve">$$</w:t>
      </w:r>
    </w:p>
    <w:p>
      <w:pPr>
        <w:pStyle w:val="BlockText"/>
      </w:pPr>
      <w:r>
        <w:t xml:space="preserve">Q^* = 200 - 4(22 + 0{,}2Y + 0{,}3C) + 2Y = 112 + 1{,}2Y - 1{,}2C</w:t>
      </w:r>
    </w:p>
    <w:p>
      <w:pPr>
        <w:pStyle w:val="BlockText"/>
      </w:pPr>
      <w:r>
        <w:t xml:space="preserve">$$</w:t>
      </w:r>
    </w:p>
    <w:p>
      <w:pPr>
        <w:pStyle w:val="BlockText"/>
      </w:pPr>
      <w:r>
        <w:rPr>
          <w:b/>
          <w:bCs/>
        </w:rPr>
        <w:t xml:space="preserve">(c)</w:t>
      </w:r>
      <w:r>
        <w:t xml:space="preserve"> </w:t>
      </w:r>
      <m:oMath>
        <m:sSup>
          <m:e>
            <m:r>
              <m:t>P</m:t>
            </m:r>
          </m:e>
          <m:sup>
            <m:r>
              <m:rPr>
                <m:sty m:val="p"/>
              </m:rPr>
              <m:t>*</m:t>
            </m:r>
          </m:sup>
        </m:sSup>
        <m:r>
          <m:rPr>
            <m:sty m:val="p"/>
          </m:rPr>
          <m:t>=</m:t>
        </m:r>
        <m:r>
          <m:t>22</m:t>
        </m:r>
        <m:r>
          <m:rPr>
            <m:sty m:val="p"/>
          </m:rPr>
          <m:t>+</m:t>
        </m:r>
        <m:r>
          <m:t>0</m:t>
        </m:r>
        <m:r>
          <m:rPr>
            <m:sty m:val="p"/>
          </m:rPr>
          <m:t>,</m:t>
        </m:r>
        <m:r>
          <m:t>2</m:t>
        </m:r>
        <m:r>
          <m:rPr>
            <m:sty m:val="p"/>
          </m:rPr>
          <m:t>×</m:t>
        </m:r>
        <m:r>
          <m:t>50</m:t>
        </m:r>
        <m:r>
          <m:rPr>
            <m:sty m:val="p"/>
          </m:rPr>
          <m:t>+</m:t>
        </m:r>
        <m:r>
          <m:t>0</m:t>
        </m:r>
        <m:r>
          <m:rPr>
            <m:sty m:val="p"/>
          </m:rPr>
          <m:t>,</m:t>
        </m:r>
        <m:r>
          <m:t>3</m:t>
        </m:r>
        <m:r>
          <m:rPr>
            <m:sty m:val="p"/>
          </m:rPr>
          <m:t>×</m:t>
        </m:r>
        <m:r>
          <m:t>10</m:t>
        </m:r>
        <m:r>
          <m:rPr>
            <m:sty m:val="p"/>
          </m:rPr>
          <m:t>=</m:t>
        </m:r>
        <m:r>
          <m:t>22</m:t>
        </m:r>
        <m:r>
          <m:rPr>
            <m:sty m:val="p"/>
          </m:rPr>
          <m:t>+</m:t>
        </m:r>
        <m:r>
          <m:t>10</m:t>
        </m:r>
        <m:r>
          <m:rPr>
            <m:sty m:val="p"/>
          </m:rPr>
          <m:t>+</m:t>
        </m:r>
        <m:r>
          <m:t>3</m:t>
        </m:r>
        <m:r>
          <m:rPr>
            <m:sty m:val="p"/>
          </m:rPr>
          <m:t>=</m:t>
        </m:r>
        <m:r>
          <m:t>35</m:t>
        </m:r>
      </m:oMath>
    </w:p>
    <w:p>
      <w:pPr>
        <w:pStyle w:val="BlockText"/>
      </w:pPr>
      <m:oMath>
        <m:sSup>
          <m:e>
            <m:r>
              <m:t>Q</m:t>
            </m:r>
          </m:e>
          <m:sup>
            <m:r>
              <m:rPr>
                <m:sty m:val="p"/>
              </m:rPr>
              <m:t>*</m:t>
            </m:r>
          </m:sup>
        </m:sSup>
        <m:r>
          <m:rPr>
            <m:sty m:val="p"/>
          </m:rPr>
          <m:t>=</m:t>
        </m:r>
        <m:r>
          <m:t>112</m:t>
        </m:r>
        <m:r>
          <m:rPr>
            <m:sty m:val="p"/>
          </m:rPr>
          <m:t>+</m:t>
        </m:r>
        <m:r>
          <m:t>1</m:t>
        </m:r>
        <m:r>
          <m:rPr>
            <m:sty m:val="p"/>
          </m:rPr>
          <m:t>,</m:t>
        </m:r>
        <m:r>
          <m:t>2</m:t>
        </m:r>
        <m:r>
          <m:rPr>
            <m:sty m:val="p"/>
          </m:rPr>
          <m:t>×</m:t>
        </m:r>
        <m:r>
          <m:t>50</m:t>
        </m:r>
        <m:r>
          <m:rPr>
            <m:sty m:val="p"/>
          </m:rPr>
          <m:t>−</m:t>
        </m:r>
        <m:r>
          <m:t>1</m:t>
        </m:r>
        <m:r>
          <m:rPr>
            <m:sty m:val="p"/>
          </m:rPr>
          <m:t>,</m:t>
        </m:r>
        <m:r>
          <m:t>2</m:t>
        </m:r>
        <m:r>
          <m:rPr>
            <m:sty m:val="p"/>
          </m:rPr>
          <m:t>×</m:t>
        </m:r>
        <m:r>
          <m:t>10</m:t>
        </m:r>
        <m:r>
          <m:rPr>
            <m:sty m:val="p"/>
          </m:rPr>
          <m:t>=</m:t>
        </m:r>
        <m:r>
          <m:t>112</m:t>
        </m:r>
        <m:r>
          <m:rPr>
            <m:sty m:val="p"/>
          </m:rPr>
          <m:t>+</m:t>
        </m:r>
        <m:r>
          <m:t>60</m:t>
        </m:r>
        <m:r>
          <m:rPr>
            <m:sty m:val="p"/>
          </m:rPr>
          <m:t>−</m:t>
        </m:r>
        <m:r>
          <m:t>12</m:t>
        </m:r>
        <m:r>
          <m:rPr>
            <m:sty m:val="p"/>
          </m:rPr>
          <m:t>=</m:t>
        </m:r>
        <m:r>
          <m:t>160</m:t>
        </m:r>
      </m:oMath>
    </w:p>
    <w:p>
      <w:pPr>
        <w:pStyle w:val="BlockText"/>
      </w:pPr>
      <w:r>
        <w:rPr>
          <w:b/>
          <w:bCs/>
        </w:rPr>
        <w:t xml:space="preserve">(d)</w:t>
      </w:r>
      <w:r>
        <w:t xml:space="preserve"> </w:t>
      </w:r>
      <m:oMath>
        <m:f>
          <m:fPr>
            <m:type m:val="bar"/>
          </m:fPr>
          <m:num>
            <m:r>
              <m:rPr>
                <m:sty m:val="p"/>
              </m:rPr>
              <m:t>∂</m:t>
            </m:r>
            <m:sSup>
              <m:e>
                <m:r>
                  <m:t>P</m:t>
                </m:r>
              </m:e>
              <m:sup>
                <m:r>
                  <m:rPr>
                    <m:sty m:val="p"/>
                  </m:rPr>
                  <m:t>*</m:t>
                </m:r>
              </m:sup>
            </m:sSup>
          </m:num>
          <m:den>
            <m:r>
              <m:rPr>
                <m:sty m:val="p"/>
              </m:rPr>
              <m:t>∂</m:t>
            </m:r>
            <m:r>
              <m:t>Y</m:t>
            </m:r>
          </m:den>
        </m:f>
        <m:r>
          <m:rPr>
            <m:sty m:val="p"/>
          </m:rPr>
          <m:t>=</m:t>
        </m:r>
        <m:r>
          <m:t>0</m:t>
        </m:r>
        <m:r>
          <m:rPr>
            <m:sty m:val="p"/>
          </m:rPr>
          <m:t>,</m:t>
        </m:r>
        <m:r>
          <m:t>2</m:t>
        </m:r>
        <m:r>
          <m:rPr>
            <m:sty m:val="p"/>
          </m:rPr>
          <m:t>&gt;</m:t>
        </m:r>
        <m:r>
          <m:t>0</m:t>
        </m:r>
      </m:oMath>
      <w:r>
        <w:t xml:space="preserve">. Um aumento da renda eleva o preço de equilíbrio. Intuitivamente, mais renda desloca a curva de demanda para a direita (a cada preço dado, a quantidade demandada aumenta), pressionando o preço para cima. Este é um exercício de estática comparativa como descrito na Seção 1.4: variamos uma variável exógena (</w:t>
      </w:r>
      <m:oMath>
        <m:r>
          <m:t>Y</m:t>
        </m:r>
      </m:oMath>
      <w:r>
        <w:t xml:space="preserve">) e observamos o efeito sobre a variável endógena (</w:t>
      </w:r>
      <m:oMath>
        <m:sSup>
          <m:e>
            <m:r>
              <m:t>P</m:t>
            </m:r>
          </m:e>
          <m:sup>
            <m:r>
              <m:rPr>
                <m:sty m:val="p"/>
              </m:rPr>
              <m:t>*</m:t>
            </m:r>
          </m:sup>
        </m:sSup>
      </m:oMath>
      <w:r>
        <w:t xml:space="preserve">).</w:t>
      </w:r>
    </w:p>
    <w:bookmarkEnd w:id="44"/>
    <w:bookmarkEnd w:id="45"/>
    <w:bookmarkEnd w:id="46"/>
    <w:bookmarkStart w:id="53" w:name="teoria-do-valor-e-fronteiras-da-micro"/>
    <w:p>
      <w:pPr>
        <w:pStyle w:val="Heading2"/>
      </w:pPr>
      <w:r>
        <w:t xml:space="preserve">1.5–1.6 Teoria do Valor e Fronteiras da Micro</w:t>
      </w:r>
    </w:p>
    <w:bookmarkStart w:id="51" w:name="X114c448f4ab8554ad14eff3d66dfeb3965ce8fc"/>
    <w:p>
      <w:pPr>
        <w:pStyle w:val="Heading3"/>
      </w:pPr>
      <w:r>
        <w:t xml:space="preserve">1.5 Água ou Diamante? A História da Teoria do Valor</w:t>
      </w:r>
    </w:p>
    <w:p>
      <w:pPr>
        <w:pStyle w:val="BlockText"/>
      </w:pPr>
      <w:r>
        <w:rPr>
          <w:b/>
          <w:bCs/>
        </w:rPr>
        <w:t xml:space="preserve">[ATIVIDADE DE SALA] Atividade — Antes de ler, pense (2 min)</w:t>
      </w:r>
    </w:p>
    <w:p>
      <w:pPr>
        <w:pStyle w:val="BlockText"/>
      </w:pPr>
      <w:r>
        <w:t xml:space="preserve">Imagine duas situações.</w:t>
      </w:r>
      <w:r>
        <w:t xml:space="preserve"> </w:t>
      </w:r>
      <w:r>
        <w:rPr>
          <w:b/>
          <w:bCs/>
        </w:rPr>
        <w:t xml:space="preserve">Situação A:</w:t>
      </w:r>
      <w:r>
        <w:t xml:space="preserve"> </w:t>
      </w:r>
      <w:r>
        <w:t xml:space="preserve">você está perdido no deserto do Saara, sem beber água há dois dias. Alguém aparece e oferece uma escolha: um balde de água ou um diamante de 3 quilates.</w:t>
      </w:r>
      <w:r>
        <w:t xml:space="preserve"> </w:t>
      </w:r>
      <w:r>
        <w:rPr>
          <w:b/>
          <w:bCs/>
        </w:rPr>
        <w:t xml:space="preserve">Situação B:</w:t>
      </w:r>
      <w:r>
        <w:t xml:space="preserve"> </w:t>
      </w:r>
      <w:r>
        <w:t xml:space="preserve">você está no shopping, confortável e hidratado. Mesma oferta.</w:t>
      </w:r>
    </w:p>
    <w:p>
      <w:pPr>
        <w:pStyle w:val="Compact"/>
        <w:numPr>
          <w:ilvl w:val="0"/>
          <w:numId w:val="1011"/>
        </w:numPr>
      </w:pPr>
      <w:r>
        <w:t xml:space="preserve">O que você escolhe em cada situação?</w:t>
      </w:r>
    </w:p>
    <w:p>
      <w:pPr>
        <w:pStyle w:val="Compact"/>
        <w:numPr>
          <w:ilvl w:val="0"/>
          <w:numId w:val="1011"/>
        </w:numPr>
      </w:pPr>
      <w:r>
        <w:t xml:space="preserve">O que mudou entre A e B? A água? O diamante? Ou outra coisa?</w:t>
      </w:r>
    </w:p>
    <w:p>
      <w:pPr>
        <w:pStyle w:val="Compact"/>
        <w:numPr>
          <w:ilvl w:val="0"/>
          <w:numId w:val="1011"/>
        </w:numPr>
      </w:pPr>
      <w:r>
        <w:rPr>
          <w:i/>
          <w:iCs/>
        </w:rPr>
        <w:t xml:space="preserve">Discuta com um colega</w:t>
      </w:r>
      <w:r>
        <w:t xml:space="preserve"> </w:t>
      </w:r>
      <w:r>
        <w:t xml:space="preserve">(ou anote sua resposta) antes de continuar lendo. Você vai reencontrar essa questão — resolvida — em algumas páginas.</w:t>
      </w:r>
    </w:p>
    <w:p>
      <w:pPr>
        <w:pStyle w:val="FirstParagraph"/>
      </w:pPr>
      <w:r>
        <w:t xml:space="preserve">Se a microeconomia tivesse um enigma fundador — um mistério que manteve gerações de pensadores acordados à noite —, seria este:</w:t>
      </w:r>
      <w:r>
        <w:t xml:space="preserve"> </w:t>
      </w:r>
      <w:r>
        <w:rPr>
          <w:b/>
          <w:bCs/>
        </w:rPr>
        <w:t xml:space="preserve">por que o diamante custa mais que a água?</w:t>
      </w:r>
      <w:r>
        <w:t xml:space="preserve"> </w:t>
      </w:r>
      <w:r>
        <w:t xml:space="preserve">A água é indispensável à vida; o diamante, no máximo, decora um anel de noivado. No entanto, um litro de água na torneira custa centavos e um quilate de diamante custa uma fortuna. Algo está errado — ou algo está muito certo, e nós ainda não entendemos o quê.</w:t>
      </w:r>
    </w:p>
    <w:p>
      <w:pPr>
        <w:pStyle w:val="BodyText"/>
      </w:pPr>
      <w:r>
        <w:t xml:space="preserve">Se você fez a atividade acima, provavelmente intuiu a resposta: não é a água nem o diamante que muda entre o deserto e o shopping — é o</w:t>
      </w:r>
      <w:r>
        <w:t xml:space="preserve"> </w:t>
      </w:r>
      <w:r>
        <w:rPr>
          <w:b/>
          <w:bCs/>
        </w:rPr>
        <w:t xml:space="preserve">contexto</w:t>
      </w:r>
      <w:r>
        <w:t xml:space="preserve">, a</w:t>
      </w:r>
      <w:r>
        <w:t xml:space="preserve"> </w:t>
      </w:r>
      <w:r>
        <w:rPr>
          <w:b/>
          <w:bCs/>
        </w:rPr>
        <w:t xml:space="preserve">escassez relativa</w:t>
      </w:r>
      <w:r>
        <w:t xml:space="preserve">. No deserto, o próximo litro de água é questão de vida ou morte; no shopping, é supérfluo. O diamante, por sua vez, é sempre escasso. Essa intuição — de que o valor depende da</w:t>
      </w:r>
      <w:r>
        <w:t xml:space="preserve"> </w:t>
      </w:r>
      <w:r>
        <w:rPr>
          <w:i/>
          <w:iCs/>
        </w:rPr>
        <w:t xml:space="preserve">circunstância</w:t>
      </w:r>
      <w:r>
        <w:t xml:space="preserve">, não da</w:t>
      </w:r>
      <w:r>
        <w:t xml:space="preserve"> </w:t>
      </w:r>
      <w:r>
        <w:rPr>
          <w:i/>
          <w:iCs/>
        </w:rPr>
        <w:t xml:space="preserve">essência</w:t>
      </w:r>
      <w:r>
        <w:t xml:space="preserve"> </w:t>
      </w:r>
      <w:r>
        <w:t xml:space="preserve">do bem — levou séculos para ser formalizada. A história de como isso aconteceu é uma das mais fascinantes da ciência.</w:t>
      </w:r>
    </w:p>
    <w:p>
      <w:pPr>
        <w:pStyle w:val="BodyText"/>
      </w:pPr>
      <w:r>
        <w:t xml:space="preserve">A história do pensamento econômico pode ser lida como a busca por essa resposta. E a resposta, quando finalmente veio, mudou não apenas a economia, mas a forma como pensamos sobre valor, preço e escolha. A</w:t>
      </w:r>
      <w:r>
        <w:t xml:space="preserve"> </w:t>
      </w:r>
      <w:hyperlink w:anchor="tabela-1-2">
        <w:r>
          <w:rPr>
            <w:rStyle w:val="Hyperlink"/>
          </w:rPr>
          <w:t xml:space="preserve">Tabela 1.2</w:t>
        </w:r>
      </w:hyperlink>
      <w:r>
        <w:t xml:space="preserve"> </w:t>
      </w:r>
      <w:r>
        <w:t xml:space="preserve">apresenta a cronologia dessa investigação.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Período</w:t>
            </w:r>
          </w:p>
        </w:tc>
        <w:tc>
          <w:tcPr/>
          <w:p>
            <w:pPr>
              <w:pStyle w:val="Compact"/>
            </w:pPr>
            <w:r>
              <w:t xml:space="preserve">Escola / Autor</w:t>
            </w:r>
          </w:p>
        </w:tc>
        <w:tc>
          <w:tcPr/>
          <w:p>
            <w:pPr>
              <w:pStyle w:val="Compact"/>
            </w:pPr>
            <w:r>
              <w:t xml:space="preserve">Contribuição Principal</w:t>
            </w:r>
          </w:p>
        </w:tc>
      </w:tr>
      <w:tr>
        <w:tc>
          <w:tcPr/>
          <w:p>
            <w:pPr>
              <w:pStyle w:val="Compact"/>
            </w:pPr>
            <w:r>
              <w:t xml:space="preserve">1776</w:t>
            </w:r>
          </w:p>
        </w:tc>
        <w:tc>
          <w:tcPr/>
          <w:p>
            <w:pPr>
              <w:pStyle w:val="Compact"/>
            </w:pPr>
            <w:r>
              <w:t xml:space="preserve">Adam Smith</w:t>
            </w:r>
          </w:p>
        </w:tc>
        <w:tc>
          <w:tcPr/>
          <w:p>
            <w:pPr>
              <w:pStyle w:val="Compact"/>
            </w:pPr>
            <w:r>
              <w:t xml:space="preserve">Teoria do valor-trabalho; mão invisível; divisão do trabalho</w:t>
            </w:r>
          </w:p>
        </w:tc>
      </w:tr>
      <w:tr>
        <w:tc>
          <w:tcPr/>
          <w:p>
            <w:pPr>
              <w:pStyle w:val="Compact"/>
            </w:pPr>
            <w:r>
              <w:t xml:space="preserve">1817</w:t>
            </w:r>
          </w:p>
        </w:tc>
        <w:tc>
          <w:tcPr/>
          <w:p>
            <w:pPr>
              <w:pStyle w:val="Compact"/>
            </w:pPr>
            <w:r>
              <w:t xml:space="preserve">David Ricardo</w:t>
            </w:r>
          </w:p>
        </w:tc>
        <w:tc>
          <w:tcPr/>
          <w:p>
            <w:pPr>
              <w:pStyle w:val="Compact"/>
            </w:pPr>
            <w:r>
              <w:t xml:space="preserve">Teoria do valor-trabalho refinada; vantagens comparativas; renda da terra</w:t>
            </w:r>
          </w:p>
        </w:tc>
      </w:tr>
      <w:tr>
        <w:tc>
          <w:tcPr/>
          <w:p>
            <w:pPr>
              <w:pStyle w:val="Compact"/>
            </w:pPr>
            <w:r>
              <w:t xml:space="preserve">1848</w:t>
            </w:r>
          </w:p>
        </w:tc>
        <w:tc>
          <w:tcPr/>
          <w:p>
            <w:pPr>
              <w:pStyle w:val="Compact"/>
            </w:pPr>
            <w:r>
              <w:t xml:space="preserve">John Stuart Mill</w:t>
            </w:r>
          </w:p>
        </w:tc>
        <w:tc>
          <w:tcPr/>
          <w:p>
            <w:pPr>
              <w:pStyle w:val="Compact"/>
            </w:pPr>
            <w:r>
              <w:t xml:space="preserve">Síntese clássica; custos de produção como determinante do valor de longo prazo</w:t>
            </w:r>
          </w:p>
        </w:tc>
      </w:tr>
      <w:tr>
        <w:tc>
          <w:tcPr/>
          <w:p>
            <w:pPr>
              <w:pStyle w:val="Compact"/>
            </w:pPr>
            <w:r>
              <w:t xml:space="preserve">1867</w:t>
            </w:r>
          </w:p>
        </w:tc>
        <w:tc>
          <w:tcPr/>
          <w:p>
            <w:pPr>
              <w:pStyle w:val="Compact"/>
            </w:pPr>
            <w:r>
              <w:t xml:space="preserve">Karl Marx</w:t>
            </w:r>
          </w:p>
        </w:tc>
        <w:tc>
          <w:tcPr/>
          <w:p>
            <w:pPr>
              <w:pStyle w:val="Compact"/>
            </w:pPr>
            <w:r>
              <w:t xml:space="preserve">Teoria do valor-trabalho levada ao limite; mais-valia; crítica à economia política</w:t>
            </w:r>
          </w:p>
        </w:tc>
      </w:tr>
      <w:tr>
        <w:tc>
          <w:tcPr/>
          <w:p>
            <w:pPr>
              <w:pStyle w:val="Compact"/>
            </w:pPr>
            <w:r>
              <w:t xml:space="preserve">1871</w:t>
            </w:r>
          </w:p>
        </w:tc>
        <w:tc>
          <w:tcPr/>
          <w:p>
            <w:pPr>
              <w:pStyle w:val="Compact"/>
            </w:pPr>
            <w:r>
              <w:t xml:space="preserve">Revolução Marginalista (Jevons, Menger, Walras)</w:t>
            </w:r>
          </w:p>
        </w:tc>
        <w:tc>
          <w:tcPr/>
          <w:p>
            <w:pPr>
              <w:pStyle w:val="Compact"/>
            </w:pPr>
            <w:r>
              <w:t xml:space="preserve">Valor determinado pela utilidade marginal; análise na margem</w:t>
            </w:r>
          </w:p>
        </w:tc>
      </w:tr>
      <w:tr>
        <w:tc>
          <w:tcPr/>
          <w:p>
            <w:pPr>
              <w:pStyle w:val="Compact"/>
            </w:pPr>
            <w:r>
              <w:t xml:space="preserve">1881</w:t>
            </w:r>
          </w:p>
        </w:tc>
        <w:tc>
          <w:tcPr/>
          <w:p>
            <w:pPr>
              <w:pStyle w:val="Compact"/>
            </w:pPr>
            <w:r>
              <w:t xml:space="preserve">Francis Edgeworth</w:t>
            </w:r>
          </w:p>
        </w:tc>
        <w:tc>
          <w:tcPr/>
          <w:p>
            <w:pPr>
              <w:pStyle w:val="Compact"/>
            </w:pPr>
            <w:r>
              <w:t xml:space="preserve">Caixa de Edgeworth; curvas de indiferença; teoria da barganha</w:t>
            </w:r>
          </w:p>
        </w:tc>
      </w:tr>
      <w:tr>
        <w:tc>
          <w:tcPr/>
          <w:p>
            <w:pPr>
              <w:pStyle w:val="Compact"/>
            </w:pPr>
            <w:r>
              <w:t xml:space="preserve">1890</w:t>
            </w:r>
          </w:p>
        </w:tc>
        <w:tc>
          <w:tcPr/>
          <w:p>
            <w:pPr>
              <w:pStyle w:val="Compact"/>
            </w:pPr>
            <w:r>
              <w:t xml:space="preserve">Alfred Marshall</w:t>
            </w:r>
          </w:p>
        </w:tc>
        <w:tc>
          <w:tcPr/>
          <w:p>
            <w:pPr>
              <w:pStyle w:val="Compact"/>
            </w:pPr>
            <w:r>
              <w:t xml:space="preserve">Síntese neoclássica: oferta e demanda como</w:t>
            </w:r>
            <w:r>
              <w:t xml:space="preserve"> </w:t>
            </w:r>
            <w:r>
              <w:t xml:space="preserve">“duas lâminas da tesoura”</w:t>
            </w:r>
          </w:p>
        </w:tc>
      </w:tr>
      <w:tr>
        <w:tc>
          <w:tcPr/>
          <w:p>
            <w:pPr>
              <w:pStyle w:val="Compact"/>
            </w:pPr>
            <w:r>
              <w:t xml:space="preserve">1906</w:t>
            </w:r>
          </w:p>
        </w:tc>
        <w:tc>
          <w:tcPr/>
          <w:p>
            <w:pPr>
              <w:pStyle w:val="Compact"/>
            </w:pPr>
            <w:r>
              <w:t xml:space="preserve">Vilfredo Pareto</w:t>
            </w:r>
          </w:p>
        </w:tc>
        <w:tc>
          <w:tcPr/>
          <w:p>
            <w:pPr>
              <w:pStyle w:val="Compact"/>
            </w:pPr>
            <w:r>
              <w:t xml:space="preserve">Eficiência de Pareto; curvas de indiferença como ferramenta ordinal</w:t>
            </w:r>
          </w:p>
        </w:tc>
      </w:tr>
      <w:tr>
        <w:tc>
          <w:tcPr/>
          <w:p>
            <w:pPr>
              <w:pStyle w:val="Compact"/>
            </w:pPr>
            <w:r>
              <w:t xml:space="preserve">1939</w:t>
            </w:r>
          </w:p>
        </w:tc>
        <w:tc>
          <w:tcPr/>
          <w:p>
            <w:pPr>
              <w:pStyle w:val="Compact"/>
            </w:pPr>
            <w:r>
              <w:t xml:space="preserve">John Hicks</w:t>
            </w:r>
          </w:p>
        </w:tc>
        <w:tc>
          <w:tcPr/>
          <w:p>
            <w:pPr>
              <w:pStyle w:val="Compact"/>
            </w:pPr>
            <w:r>
              <w:rPr>
                <w:i/>
                <w:iCs/>
              </w:rPr>
              <w:t xml:space="preserve">Value and Capital</w:t>
            </w:r>
            <w:r>
              <w:t xml:space="preserve">: formalização da teoria do consumidor e equilíbrio geral</w:t>
            </w:r>
          </w:p>
        </w:tc>
      </w:tr>
      <w:tr>
        <w:tc>
          <w:tcPr/>
          <w:p>
            <w:pPr>
              <w:pStyle w:val="Compact"/>
            </w:pPr>
            <w:r>
              <w:t xml:space="preserve">1944</w:t>
            </w:r>
          </w:p>
        </w:tc>
        <w:tc>
          <w:tcPr/>
          <w:p>
            <w:pPr>
              <w:pStyle w:val="Compact"/>
            </w:pPr>
            <w:r>
              <w:t xml:space="preserve">von Neumann &amp; Morgenstern</w:t>
            </w:r>
          </w:p>
        </w:tc>
        <w:tc>
          <w:tcPr/>
          <w:p>
            <w:pPr>
              <w:pStyle w:val="Compact"/>
            </w:pPr>
            <w:r>
              <w:rPr>
                <w:i/>
                <w:iCs/>
              </w:rPr>
              <w:t xml:space="preserve">Theory of Games</w:t>
            </w:r>
            <w:r>
              <w:t xml:space="preserve">: fundação da teoria dos jogos</w:t>
            </w:r>
          </w:p>
        </w:tc>
      </w:tr>
      <w:tr>
        <w:tc>
          <w:tcPr/>
          <w:p>
            <w:pPr>
              <w:pStyle w:val="Compact"/>
            </w:pPr>
            <w:r>
              <w:t xml:space="preserve">1947</w:t>
            </w:r>
          </w:p>
        </w:tc>
        <w:tc>
          <w:tcPr/>
          <w:p>
            <w:pPr>
              <w:pStyle w:val="Compact"/>
            </w:pPr>
            <w:r>
              <w:t xml:space="preserve">Paul Samuelson</w:t>
            </w:r>
          </w:p>
        </w:tc>
        <w:tc>
          <w:tcPr/>
          <w:p>
            <w:pPr>
              <w:pStyle w:val="Compact"/>
            </w:pPr>
            <w:r>
              <w:rPr>
                <w:i/>
                <w:iCs/>
              </w:rPr>
              <w:t xml:space="preserve">Foundations</w:t>
            </w:r>
            <w:r>
              <w:t xml:space="preserve">: axiomatização da teoria econômica; preferência revelada</w:t>
            </w:r>
          </w:p>
        </w:tc>
      </w:tr>
      <w:tr>
        <w:tc>
          <w:tcPr/>
          <w:p>
            <w:pPr>
              <w:pStyle w:val="Compact"/>
            </w:pPr>
            <w:r>
              <w:t xml:space="preserve">1950</w:t>
            </w:r>
          </w:p>
        </w:tc>
        <w:tc>
          <w:tcPr/>
          <w:p>
            <w:pPr>
              <w:pStyle w:val="Compact"/>
            </w:pPr>
            <w:r>
              <w:t xml:space="preserve">John Nash</w:t>
            </w:r>
          </w:p>
        </w:tc>
        <w:tc>
          <w:tcPr/>
          <w:p>
            <w:pPr>
              <w:pStyle w:val="Compact"/>
            </w:pPr>
            <w:r>
              <w:t xml:space="preserve">Equilíbrio de Nash: solução para jogos não cooperativos</w:t>
            </w:r>
          </w:p>
        </w:tc>
      </w:tr>
      <w:tr>
        <w:tc>
          <w:tcPr/>
          <w:p>
            <w:pPr>
              <w:pStyle w:val="Compact"/>
            </w:pPr>
            <w:r>
              <w:t xml:space="preserve">1954</w:t>
            </w:r>
          </w:p>
        </w:tc>
        <w:tc>
          <w:tcPr/>
          <w:p>
            <w:pPr>
              <w:pStyle w:val="Compact"/>
            </w:pPr>
            <w:r>
              <w:t xml:space="preserve">Arrow &amp; Debreu</w:t>
            </w:r>
          </w:p>
        </w:tc>
        <w:tc>
          <w:tcPr/>
          <w:p>
            <w:pPr>
              <w:pStyle w:val="Compact"/>
            </w:pPr>
            <w:r>
              <w:t xml:space="preserve">Prova de existência do equilíbrio geral competitivo</w:t>
            </w:r>
          </w:p>
        </w:tc>
      </w:tr>
      <w:tr>
        <w:tc>
          <w:tcPr/>
          <w:p>
            <w:pPr>
              <w:pStyle w:val="Compact"/>
            </w:pPr>
            <w:r>
              <w:t xml:space="preserve">1970</w:t>
            </w:r>
          </w:p>
        </w:tc>
        <w:tc>
          <w:tcPr/>
          <w:p>
            <w:pPr>
              <w:pStyle w:val="Compact"/>
            </w:pPr>
            <w:r>
              <w:t xml:space="preserve">George Akerlof</w:t>
            </w:r>
          </w:p>
        </w:tc>
        <w:tc>
          <w:tcPr/>
          <w:p>
            <w:pPr>
              <w:pStyle w:val="Compact"/>
            </w:pPr>
            <w:r>
              <w:t xml:space="preserve">“Mercado de limões”</w:t>
            </w:r>
            <w:r>
              <w:t xml:space="preserve">: seleção adversa e informação assimétrica</w:t>
            </w:r>
          </w:p>
        </w:tc>
      </w:tr>
      <w:tr>
        <w:tc>
          <w:tcPr/>
          <w:p>
            <w:pPr>
              <w:pStyle w:val="Compact"/>
            </w:pPr>
            <w:r>
              <w:t xml:space="preserve">1973</w:t>
            </w:r>
          </w:p>
        </w:tc>
        <w:tc>
          <w:tcPr/>
          <w:p>
            <w:pPr>
              <w:pStyle w:val="Compact"/>
            </w:pPr>
            <w:r>
              <w:t xml:space="preserve">Michael Spence</w:t>
            </w:r>
          </w:p>
        </w:tc>
        <w:tc>
          <w:tcPr/>
          <w:p>
            <w:pPr>
              <w:pStyle w:val="Compact"/>
            </w:pPr>
            <w:r>
              <w:t xml:space="preserve">Sinalização no mercado de trabalho</w:t>
            </w:r>
          </w:p>
        </w:tc>
      </w:tr>
      <w:tr>
        <w:tc>
          <w:tcPr/>
          <w:p>
            <w:pPr>
              <w:pStyle w:val="Compact"/>
            </w:pPr>
            <w:r>
              <w:t xml:space="preserve">1979</w:t>
            </w:r>
          </w:p>
        </w:tc>
        <w:tc>
          <w:tcPr/>
          <w:p>
            <w:pPr>
              <w:pStyle w:val="Compact"/>
            </w:pPr>
            <w:r>
              <w:t xml:space="preserve">Kahneman &amp; Tversky</w:t>
            </w:r>
          </w:p>
        </w:tc>
        <w:tc>
          <w:tcPr/>
          <w:p>
            <w:pPr>
              <w:pStyle w:val="Compact"/>
            </w:pPr>
            <w:r>
              <w:t xml:space="preserve">Teoria da perspectiva: vieses cognitivos e decisão sob risco</w:t>
            </w:r>
          </w:p>
        </w:tc>
      </w:tr>
      <w:tr>
        <w:tc>
          <w:tcPr/>
          <w:p>
            <w:pPr>
              <w:pStyle w:val="Compact"/>
            </w:pPr>
            <w:r>
              <w:t xml:space="preserve">2000–</w:t>
            </w:r>
          </w:p>
        </w:tc>
        <w:tc>
          <w:tcPr/>
          <w:p>
            <w:pPr>
              <w:pStyle w:val="Compact"/>
            </w:pPr>
            <w:r>
              <w:t xml:space="preserve">Economia de plataformas, design de mercados, inferência causal</w:t>
            </w:r>
          </w:p>
        </w:tc>
        <w:tc>
          <w:tcPr/>
          <w:p>
            <w:pPr>
              <w:pStyle w:val="Compact"/>
            </w:pPr>
            <w:r>
              <w:t xml:space="preserve">Fronteiras contemporâneas da microeconomia</w:t>
            </w:r>
          </w:p>
        </w:tc>
      </w:tr>
    </w:tbl>
    <w:p>
      <w:pPr>
        <w:pStyle w:val="BodyText"/>
      </w:pPr>
      <w:r>
        <w:rPr>
          <w:b/>
          <w:bCs/>
        </w:rPr>
        <w:t xml:space="preserve">Tabela 1.2 — Cronologia das principais escolas de pensamento.</w:t>
      </w:r>
    </w:p>
    <w:bookmarkStart w:id="47" w:name="os-economistas-clássicos-smith-e-ricardo"/>
    <w:p>
      <w:pPr>
        <w:pStyle w:val="Heading4"/>
      </w:pPr>
      <w:r>
        <w:t xml:space="preserve">Os economistas clássicos: Smith e Ricardo</w:t>
      </w:r>
    </w:p>
    <w:p>
      <w:pPr>
        <w:pStyle w:val="FirstParagraph"/>
      </w:pPr>
      <w:r>
        <w:t xml:space="preserve">Antes da revolução, veio o impasse. Os economistas clássicos dos séculos XVIII e XIX tinham uma resposta elegante para o valor:</w:t>
      </w:r>
      <w:r>
        <w:t xml:space="preserve"> </w:t>
      </w:r>
      <w:r>
        <w:rPr>
          <w:b/>
          <w:bCs/>
        </w:rPr>
        <w:t xml:space="preserve">trabalho</w:t>
      </w:r>
      <w:r>
        <w:t xml:space="preserve">. Um bem vale o que custou para produzi-lo. Faz sentido — até parar para pensar.</w:t>
      </w:r>
    </w:p>
    <w:p>
      <w:pPr>
        <w:pStyle w:val="BodyText"/>
      </w:pPr>
      <w:r>
        <w:t xml:space="preserve">Adam Smith (1776), em</w:t>
      </w:r>
      <w:r>
        <w:t xml:space="preserve"> </w:t>
      </w:r>
      <w:r>
        <w:rPr>
          <w:i/>
          <w:iCs/>
        </w:rPr>
        <w:t xml:space="preserve">A Riqueza das Nações</w:t>
      </w:r>
      <w:r>
        <w:t xml:space="preserve">, propôs que o valor de troca de um bem é determinado pela quantidade de trabalho necessária para produzi-lo. Smith distinguiu entre</w:t>
      </w:r>
      <w:r>
        <w:t xml:space="preserve"> </w:t>
      </w:r>
      <w:r>
        <w:rPr>
          <w:b/>
          <w:bCs/>
        </w:rPr>
        <w:t xml:space="preserve">valor de uso</w:t>
      </w:r>
      <w:r>
        <w:t xml:space="preserve"> </w:t>
      </w:r>
      <w:r>
        <w:t xml:space="preserve">(utilidade) e</w:t>
      </w:r>
      <w:r>
        <w:t xml:space="preserve"> </w:t>
      </w:r>
      <w:r>
        <w:rPr>
          <w:b/>
          <w:bCs/>
        </w:rPr>
        <w:t xml:space="preserve">valor de troca</w:t>
      </w:r>
      <w:r>
        <w:t xml:space="preserve"> </w:t>
      </w:r>
      <w:r>
        <w:t xml:space="preserve">(poder de compra sobre outros bens), observando o famoso</w:t>
      </w:r>
      <w:r>
        <w:t xml:space="preserve"> </w:t>
      </w:r>
      <w:r>
        <w:t xml:space="preserve">“paradoxo da água e do diamante”</w:t>
      </w:r>
      <w:r>
        <w:t xml:space="preserve">: a água tem enorme valor de uso mas baixo valor de troca, enquanto o diamante tem pouco valor de uso prático, mas alto valor de troca. Smith reconhecia que algo não se encaixava — se o valor depende do trabalho, por que a água, que exige pouco trabalho, tem valor de uso tão grande? —, mas não conseguiu resolver a tensão.</w:t>
      </w:r>
    </w:p>
    <w:p>
      <w:pPr>
        <w:pStyle w:val="BodyText"/>
      </w:pPr>
      <w:r>
        <w:t xml:space="preserve">David Ricardo (1817) refinou a teoria do valor-trabalho, reconhecendo o papel do capital como</w:t>
      </w:r>
      <w:r>
        <w:t xml:space="preserve"> </w:t>
      </w:r>
      <w:r>
        <w:t xml:space="preserve">“trabalho incorporado”</w:t>
      </w:r>
      <w:r>
        <w:t xml:space="preserve"> </w:t>
      </w:r>
      <w:r>
        <w:t xml:space="preserve">e desenvolvendo a teoria da</w:t>
      </w:r>
      <w:r>
        <w:t xml:space="preserve"> </w:t>
      </w:r>
      <w:r>
        <w:rPr>
          <w:b/>
          <w:bCs/>
        </w:rPr>
        <w:t xml:space="preserve">renda diferencial da terra</w:t>
      </w:r>
      <w:r>
        <w:t xml:space="preserve">. A contribuição de Ricardo foi mostrar que o preço dos cereais não é alto porque a renda da terra é alta — ao contrário, a renda é alta porque o preço é alto. Terras menos férteis, cultivadas apenas porque a demanda crescente assim exige, não geram renda alguma; as terras mais férteis geram renda precisamente porque são mais produtivas que a margem de cultivo. Essa inversão causal — do preço para a renda, e não da renda para o preço — antecipou em décadas o pensamento marginalista.</w:t>
      </w:r>
    </w:p>
    <w:p>
      <w:pPr>
        <w:pStyle w:val="BodyText"/>
      </w:pPr>
      <w:r>
        <w:t xml:space="preserve">O paradoxo da água e do diamante continuava lá, sorrindo cinicamente para os clássicos. Eles sabiam que algo não fechava, mas não conseguiam dizer o quê. A resolução viria de uma mudança radical de perspectiva — e, como toda boa revolução intelectual, aconteceu em três lugares ao mesmo tempo, com três pessoas que não se conheciam.</w:t>
      </w:r>
    </w:p>
    <w:bookmarkEnd w:id="47"/>
    <w:bookmarkStart w:id="48" w:name="a-revolução-marginalista"/>
    <w:p>
      <w:pPr>
        <w:pStyle w:val="Heading4"/>
      </w:pPr>
      <w:r>
        <w:t xml:space="preserve">A Revolução Marginalista</w:t>
      </w:r>
    </w:p>
    <w:p>
      <w:pPr>
        <w:pStyle w:val="FirstParagraph"/>
      </w:pPr>
      <w:r>
        <w:t xml:space="preserve">A década de 1870 assistiu a uma revolução no pensamento econômico, protagonizada independentemente por três autores:</w:t>
      </w:r>
    </w:p>
    <w:p>
      <w:pPr>
        <w:pStyle w:val="Compact"/>
        <w:numPr>
          <w:ilvl w:val="0"/>
          <w:numId w:val="1012"/>
        </w:numPr>
      </w:pPr>
      <w:r>
        <w:rPr>
          <w:b/>
          <w:bCs/>
        </w:rPr>
        <w:t xml:space="preserve">William Stanley Jevons</w:t>
      </w:r>
      <w:r>
        <w:t xml:space="preserve"> </w:t>
      </w:r>
      <w:r>
        <w:t xml:space="preserve">(Inglaterra, 1871), em</w:t>
      </w:r>
      <w:r>
        <w:t xml:space="preserve"> </w:t>
      </w:r>
      <w:r>
        <w:rPr>
          <w:i/>
          <w:iCs/>
        </w:rPr>
        <w:t xml:space="preserve">The Theory of Political Economy</w:t>
      </w:r>
      <w:r>
        <w:t xml:space="preserve">, formulou a ideia de que o valor de troca é determinado pela</w:t>
      </w:r>
      <w:r>
        <w:t xml:space="preserve"> </w:t>
      </w:r>
      <w:r>
        <w:t xml:space="preserve">“utilidade final”</w:t>
      </w:r>
      <w:r>
        <w:t xml:space="preserve"> </w:t>
      </w:r>
      <w:r>
        <w:t xml:space="preserve">— o que hoje chamamos de utilidade marginal.</w:t>
      </w:r>
    </w:p>
    <w:p>
      <w:pPr>
        <w:pStyle w:val="Compact"/>
        <w:numPr>
          <w:ilvl w:val="0"/>
          <w:numId w:val="1012"/>
        </w:numPr>
      </w:pPr>
      <w:r>
        <w:rPr>
          <w:b/>
          <w:bCs/>
        </w:rPr>
        <w:t xml:space="preserve">Carl Menger</w:t>
      </w:r>
      <w:r>
        <w:t xml:space="preserve"> </w:t>
      </w:r>
      <w:r>
        <w:t xml:space="preserve">(Áustria, 1871), em</w:t>
      </w:r>
      <w:r>
        <w:t xml:space="preserve"> </w:t>
      </w:r>
      <w:r>
        <w:rPr>
          <w:i/>
          <w:iCs/>
        </w:rPr>
        <w:t xml:space="preserve">Grundsätze der Volkswirtschaftslehre</w:t>
      </w:r>
      <w:r>
        <w:t xml:space="preserve"> </w:t>
      </w:r>
      <w:r>
        <w:t xml:space="preserve">(Princípios de Economia), desenvolveu uma teoria subjetiva do valor centrada nas necessidades do indivíduo e na escassez relativa dos bens.</w:t>
      </w:r>
    </w:p>
    <w:p>
      <w:pPr>
        <w:pStyle w:val="Compact"/>
        <w:numPr>
          <w:ilvl w:val="0"/>
          <w:numId w:val="1012"/>
        </w:numPr>
      </w:pPr>
      <w:r>
        <w:rPr>
          <w:b/>
          <w:bCs/>
        </w:rPr>
        <w:t xml:space="preserve">Léon Walras</w:t>
      </w:r>
      <w:r>
        <w:t xml:space="preserve"> </w:t>
      </w:r>
      <w:r>
        <w:t xml:space="preserve">(Suíça, 1874), em</w:t>
      </w:r>
      <w:r>
        <w:t xml:space="preserve"> </w:t>
      </w:r>
      <w:r>
        <w:rPr>
          <w:i/>
          <w:iCs/>
        </w:rPr>
        <w:t xml:space="preserve">Éléments d’économie politique pure</w:t>
      </w:r>
      <w:r>
        <w:t xml:space="preserve">, formalizou matematicamente a determinação simultânea de preços em todos os mercados.</w:t>
      </w:r>
    </w:p>
    <w:p>
      <w:pPr>
        <w:pStyle w:val="FirstParagraph"/>
      </w:pPr>
      <w:r>
        <w:t xml:space="preserve">Os três chegaram à mesma conclusão fundamental: o valor de um bem é determinado não pela quantidade total de utilidade que ele proporciona, mas pela</w:t>
      </w:r>
      <w:r>
        <w:t xml:space="preserve"> </w:t>
      </w:r>
      <w:r>
        <w:rPr>
          <w:b/>
          <w:bCs/>
        </w:rPr>
        <w:t xml:space="preserve">utilidade marginal</w:t>
      </w:r>
      <w:r>
        <w:t xml:space="preserve"> </w:t>
      </w:r>
      <w:r>
        <w:t xml:space="preserve">— a utilidade da última unidade consumida. Isso resolve o paradoxo da água e do diamante: a água é abundante, logo sua utilidade marginal é baixa; o diamante é escasso, logo sua utilidade marginal é alta. A resolução é elegante: Smith confundia utilidade</w:t>
      </w:r>
      <w:r>
        <w:t xml:space="preserve"> </w:t>
      </w:r>
      <w:r>
        <w:rPr>
          <w:i/>
          <w:iCs/>
        </w:rPr>
        <w:t xml:space="preserve">total</w:t>
      </w:r>
      <w:r>
        <w:t xml:space="preserve"> </w:t>
      </w:r>
      <w:r>
        <w:t xml:space="preserve">com utilidade</w:t>
      </w:r>
      <w:r>
        <w:t xml:space="preserve"> </w:t>
      </w:r>
      <w:r>
        <w:rPr>
          <w:i/>
          <w:iCs/>
        </w:rPr>
        <w:t xml:space="preserve">marginal</w:t>
      </w:r>
      <w:r>
        <w:t xml:space="preserve">. A água tem enorme utilidade total (sem ela, morremos), mas a próxima unidade adicional (o centésimo litro do dia) acrescenta muito pouco. O diamante tem utilidade total modesta, mas como possuímos poucos, cada unidade adicional é altamente valorizada.</w:t>
      </w:r>
    </w:p>
    <w:p>
      <w:pPr>
        <w:pStyle w:val="BlockText"/>
      </w:pPr>
      <w:r>
        <w:rPr>
          <w:b/>
          <w:bCs/>
        </w:rPr>
        <w:t xml:space="preserve">[INTUICAO ECONOMICA] Intuição Econômica</w:t>
      </w:r>
    </w:p>
    <w:p>
      <w:pPr>
        <w:pStyle w:val="BlockText"/>
      </w:pPr>
      <w:r>
        <w:rPr>
          <w:b/>
          <w:bCs/>
        </w:rPr>
        <w:t xml:space="preserve">Em uma frase:</w:t>
      </w:r>
      <w:r>
        <w:t xml:space="preserve"> </w:t>
      </w:r>
      <w:r>
        <w:t xml:space="preserve">O valor de um bem não depende de quanto você precisa dele no total, mas de quanto precisa da</w:t>
      </w:r>
      <w:r>
        <w:t xml:space="preserve"> </w:t>
      </w:r>
      <w:r>
        <w:rPr>
          <w:i/>
          <w:iCs/>
        </w:rPr>
        <w:t xml:space="preserve">próxima</w:t>
      </w:r>
      <w:r>
        <w:t xml:space="preserve"> </w:t>
      </w:r>
      <w:r>
        <w:t xml:space="preserve">unidade.</w:t>
      </w:r>
    </w:p>
    <w:p>
      <w:pPr>
        <w:pStyle w:val="BlockText"/>
      </w:pPr>
      <w:r>
        <w:rPr>
          <w:b/>
          <w:bCs/>
        </w:rPr>
        <w:t xml:space="preserve">Pense assim:</w:t>
      </w:r>
      <w:r>
        <w:t xml:space="preserve"> </w:t>
      </w:r>
      <w:r>
        <w:t xml:space="preserve">No sertão nordestino, o primeiro litro de água do dia vale ouro. O centésimo litro serve para lavar a calçada. A água não mudou — o que mudou foi a</w:t>
      </w:r>
      <w:r>
        <w:t xml:space="preserve"> </w:t>
      </w:r>
      <w:r>
        <w:rPr>
          <w:i/>
          <w:iCs/>
        </w:rPr>
        <w:t xml:space="preserve">margem</w:t>
      </w:r>
      <w:r>
        <w:t xml:space="preserve">. O diamante é caro não porque é mais útil que a água, mas porque você quase nunca tem um sobrando.</w:t>
      </w:r>
    </w:p>
    <w:p>
      <w:pPr>
        <w:pStyle w:val="BlockText"/>
      </w:pPr>
      <w:r>
        <w:rPr>
          <w:b/>
          <w:bCs/>
        </w:rPr>
        <w:t xml:space="preserve">Por que isso importa:</w:t>
      </w:r>
      <w:r>
        <w:t xml:space="preserve"> </w:t>
      </w:r>
      <w:r>
        <w:t xml:space="preserve">Essa ideia — pensar na margem — é a revolução que separou a economia moderna da clássica. Todo preço, todo custo, toda decisão se resolve na margem, não no total. No Capítulo 3, formalizaremos essa noção como a</w:t>
      </w:r>
      <w:r>
        <w:t xml:space="preserve"> </w:t>
      </w:r>
      <w:r>
        <w:rPr>
          <w:i/>
          <w:iCs/>
        </w:rPr>
        <w:t xml:space="preserve">utilidade marginal</w:t>
      </w:r>
      <w:r>
        <w:t xml:space="preserve"> </w:t>
      </w:r>
      <w:r>
        <w:t xml:space="preserve">e a</w:t>
      </w:r>
      <w:r>
        <w:t xml:space="preserve"> </w:t>
      </w:r>
      <w:r>
        <w:rPr>
          <w:i/>
          <w:iCs/>
        </w:rPr>
        <w:t xml:space="preserve">taxa marginal de substituição</w:t>
      </w:r>
      <w:r>
        <w:t xml:space="preserve">.</w:t>
      </w:r>
    </w:p>
    <w:p>
      <w:pPr>
        <w:pStyle w:val="BlockText"/>
      </w:pPr>
      <w:r>
        <w:rPr>
          <w:b/>
          <w:bCs/>
        </w:rPr>
        <w:t xml:space="preserve">Debrief da atividade:</w:t>
      </w:r>
      <w:r>
        <w:t xml:space="preserve"> </w:t>
      </w:r>
      <w:r>
        <w:t xml:space="preserve">Se você fez a atividade do início da seção, compare sua resposta com a explicação acima. A maioria dos alunos intui corretamente que</w:t>
      </w:r>
      <w:r>
        <w:t xml:space="preserve"> </w:t>
      </w:r>
      <w:r>
        <w:t xml:space="preserve">“algo muda entre o deserto e o shopping”</w:t>
      </w:r>
      <w:r>
        <w:t xml:space="preserve"> </w:t>
      </w:r>
      <w:r>
        <w:t xml:space="preserve">— mas poucos conseguem articular que o que muda é a</w:t>
      </w:r>
      <w:r>
        <w:t xml:space="preserve"> </w:t>
      </w:r>
      <w:r>
        <w:rPr>
          <w:i/>
          <w:iCs/>
        </w:rPr>
        <w:t xml:space="preserve">margem</w:t>
      </w:r>
      <w:r>
        <w:t xml:space="preserve">. Essa é exatamente a intuição que os clássicos tinham mas não conseguiam formalizar.</w:t>
      </w:r>
    </w:p>
    <w:p>
      <w:pPr>
        <w:pStyle w:val="FirstParagraph"/>
      </w:pPr>
      <w:r>
        <w:t xml:space="preserve">[FIGURA INTERATIVA: /micro-book/graficos/cap01/utilidade-marginal.html — versao interativa disponivel online]</w:t>
      </w:r>
    </w:p>
    <w:p>
      <w:pPr>
        <w:pStyle w:val="BodyText"/>
      </w:pPr>
      <w:r>
        <w:rPr>
          <w:b/>
          <w:bCs/>
        </w:rPr>
        <w:t xml:space="preserve">Figura 1.3 — Utilidade Marginal e o Paradoxo Água × Diamante.</w:t>
      </w:r>
      <w:r>
        <w:t xml:space="preserve"> </w:t>
      </w:r>
      <w:r>
        <w:t xml:space="preserve">A curva</w:t>
      </w:r>
      <w:r>
        <w:t xml:space="preserve"> </w:t>
      </w:r>
      <m:oMath>
        <m:r>
          <m:t>U</m:t>
        </m:r>
        <m:r>
          <m:t>M</m:t>
        </m:r>
        <m:r>
          <m:t>g</m:t>
        </m:r>
        <m:r>
          <m:rPr>
            <m:sty m:val="p"/>
          </m:rPr>
          <m:t>(</m:t>
        </m:r>
        <m:r>
          <m:t>x</m:t>
        </m:r>
        <m:r>
          <m:rPr>
            <m:sty m:val="p"/>
          </m:rPr>
          <m:t>)</m:t>
        </m:r>
      </m:oMath>
      <w:r>
        <w:t xml:space="preserve"> </w:t>
      </w:r>
      <w:r>
        <w:t xml:space="preserve">é decrescente: quanto mais abundante o bem, menor o valor da próxima unidade. Ajuste as quantidades de água e diamante para ver que a água tem maior utilidade</w:t>
      </w:r>
      <w:r>
        <w:t xml:space="preserve"> </w:t>
      </w:r>
      <w:r>
        <w:rPr>
          <w:i/>
          <w:iCs/>
        </w:rPr>
        <w:t xml:space="preserve">total</w:t>
      </w:r>
      <w:r>
        <w:t xml:space="preserve"> </w:t>
      </w:r>
      <w:r>
        <w:t xml:space="preserve">(área sob a curva), mas menor utilidade</w:t>
      </w:r>
      <w:r>
        <w:t xml:space="preserve"> </w:t>
      </w:r>
      <w:r>
        <w:rPr>
          <w:i/>
          <w:iCs/>
        </w:rPr>
        <w:t xml:space="preserve">marginal</w:t>
      </w:r>
      <w:r>
        <w:t xml:space="preserve"> </w:t>
      </w:r>
      <w:r>
        <w:t xml:space="preserve">(altura da curva) — resolvendo o paradoxo de Smith.</w:t>
      </w:r>
    </w:p>
    <w:p>
      <w:pPr>
        <w:pStyle w:val="BodyText"/>
      </w:pPr>
      <w:r>
        <w:t xml:space="preserve">[FIGURA INTERATIVA: /micro-book/graficos/cap01/webr-valor-marginal.html — versao interativa disponivel online]</w:t>
      </w:r>
    </w:p>
    <w:p>
      <w:pPr>
        <w:pStyle w:val="BodyText"/>
      </w:pPr>
      <w:r>
        <w:rPr>
          <w:b/>
          <w:bCs/>
        </w:rPr>
        <w:t xml:space="preserve">WebR 1.3 — O paradoxo de Smith em números.</w:t>
      </w:r>
      <w:r>
        <w:t xml:space="preserve"> </w:t>
      </w:r>
      <w:r>
        <w:t xml:space="preserve">Calcule utilidade total e marginal para água (abundante) e diamante (escasso). O código mostra que UMg(diamante) &gt;&gt; UMg(água), mesmo com U_total(água) &gt;&gt; U_total(diamante). Altere as quantidades e veja a UMg mudar.</w:t>
      </w:r>
    </w:p>
    <w:p>
      <w:pPr>
        <w:pStyle w:val="BlockText"/>
      </w:pPr>
      <w:r>
        <w:rPr>
          <w:b/>
          <w:bCs/>
        </w:rPr>
        <w:t xml:space="preserve">[INFORMACAO] Prêmio Nobel — Paul Samuelson (1970)</w:t>
      </w:r>
    </w:p>
    <w:p>
      <w:pPr>
        <w:pStyle w:val="BlockText"/>
      </w:pPr>
      <w:r>
        <w:rPr>
          <w:b/>
          <w:bCs/>
        </w:rPr>
        <w:t xml:space="preserve">Paul Anthony Samuelson</w:t>
      </w:r>
      <w:r>
        <w:t xml:space="preserve"> </w:t>
      </w:r>
      <w:r>
        <w:t xml:space="preserve">(1915–2009) foi um economista norte-americano, formado pela Universidade de Chicago e com doutorado em Harvard. Atuou por décadas no MIT, onde fundou uma das mais influentes escolas de economia do mundo.</w:t>
      </w:r>
    </w:p>
    <w:p>
      <w:pPr>
        <w:pStyle w:val="BlockText"/>
      </w:pPr>
      <w:r>
        <w:rPr>
          <w:b/>
          <w:bCs/>
        </w:rPr>
        <w:t xml:space="preserve">Por que ganhou o Nobel:</w:t>
      </w:r>
      <w:r>
        <w:t xml:space="preserve"> </w:t>
      </w:r>
      <w:r>
        <w:t xml:space="preserve">Samuelson foi o primeiro laureado em Economia, premiado</w:t>
      </w:r>
      <w:r>
        <w:t xml:space="preserve"> </w:t>
      </w:r>
      <w:r>
        <w:t xml:space="preserve">“pelo trabalho científico por meio do qual desenvolveu a teoria econômica estática e dinâmica e contribuiu ativamente para elevar o nível geral de análise na ciência econômica.”</w:t>
      </w:r>
      <w:r>
        <w:t xml:space="preserve"> </w:t>
      </w:r>
      <w:r>
        <w:t xml:space="preserve">Em</w:t>
      </w:r>
      <w:r>
        <w:t xml:space="preserve"> </w:t>
      </w:r>
      <w:r>
        <w:rPr>
          <w:i/>
          <w:iCs/>
        </w:rPr>
        <w:t xml:space="preserve">Foundations of Economic Analysis</w:t>
      </w:r>
      <w:r>
        <w:t xml:space="preserve"> </w:t>
      </w:r>
      <w:r>
        <w:t xml:space="preserve">(1947), Samuelson axiomatizou a teoria microeconômica, mostrando que praticamente todos os resultados da economia podiam ser derivados de problemas de otimização com restrição — formalizando o roteiro descrito na Seção 1.4.</w:t>
      </w:r>
    </w:p>
    <w:p>
      <w:pPr>
        <w:pStyle w:val="BlockText"/>
      </w:pPr>
      <w:r>
        <w:rPr>
          <w:b/>
          <w:bCs/>
        </w:rPr>
        <w:t xml:space="preserve">Conexão com este capítulo:</w:t>
      </w:r>
      <w:r>
        <w:t xml:space="preserve"> </w:t>
      </w:r>
      <w:r>
        <w:t xml:space="preserve">A abordagem de Samuelson é a espinha dorsal da metodologia descrita neste capítulo: definir uma função objetivo, impor restrições, resolver por condições de primeira ordem e derivar estática comparativa. Seu conceito de</w:t>
      </w:r>
      <w:r>
        <w:t xml:space="preserve"> </w:t>
      </w:r>
      <w:r>
        <w:rPr>
          <w:i/>
          <w:iCs/>
        </w:rPr>
        <w:t xml:space="preserve">preferência revelada</w:t>
      </w:r>
      <w:r>
        <w:t xml:space="preserve"> </w:t>
      </w:r>
      <w:r>
        <w:t xml:space="preserve">oferece ainda uma alternativa empírica aos axiomas de preferência do Capítulo 3, permitindo inferir as preferências do consumidor a partir de suas escolhas observadas.</w:t>
      </w:r>
    </w:p>
    <w:bookmarkEnd w:id="48"/>
    <w:bookmarkStart w:id="49" w:name="marshall-e-a-síntese-neoclássica"/>
    <w:p>
      <w:pPr>
        <w:pStyle w:val="Heading4"/>
      </w:pPr>
      <w:r>
        <w:t xml:space="preserve">Marshall e a síntese neoclássica</w:t>
      </w:r>
    </w:p>
    <w:p>
      <w:pPr>
        <w:pStyle w:val="FirstParagraph"/>
      </w:pPr>
      <w:r>
        <w:t xml:space="preserve">A revolução marginalista resolveu o paradoxo do valor, mas criou uma briga nova: se o valor depende da utilidade marginal (demanda), então os custos de produção (oferta) não importam? Os clássicos se reviram nos túmulos. Quem pôs ordem na briga foi Alfred Marshall — o grande diplomata da economia. Marshall (1890), em seus</w:t>
      </w:r>
      <w:r>
        <w:t xml:space="preserve"> </w:t>
      </w:r>
      <w:r>
        <w:rPr>
          <w:i/>
          <w:iCs/>
        </w:rPr>
        <w:t xml:space="preserve">Principles of Economics</w:t>
      </w:r>
      <w:r>
        <w:t xml:space="preserve">, ofereceu uma das metáforas mais perfeitas de toda a ciência: perguntar se é a oferta ou a demanda que determina o preço é como perguntar qual das duas lâminas de uma tesoura corta o papel. Óbvio: as duas. No</w:t>
      </w:r>
      <w:r>
        <w:t xml:space="preserve"> </w:t>
      </w:r>
      <w:r>
        <w:rPr>
          <w:b/>
          <w:bCs/>
        </w:rPr>
        <w:t xml:space="preserve">curto prazo</w:t>
      </w:r>
      <w:r>
        <w:t xml:space="preserve">, quando a oferta é relativamente fixa, a demanda (e portanto a utilidade marginal) é mais importante para determinar o preço; no</w:t>
      </w:r>
      <w:r>
        <w:t xml:space="preserve"> </w:t>
      </w:r>
      <w:r>
        <w:rPr>
          <w:b/>
          <w:bCs/>
        </w:rPr>
        <w:t xml:space="preserve">longo prazo</w:t>
      </w:r>
      <w:r>
        <w:t xml:space="preserve">, quando a oferta se ajusta, os custos de produção predominam. A oferta e a demanda operam juntas, como as duas lâminas, para determinar o preço de equilíbrio — o conceito central formalizado nas equações (1.4.1)–(1.4.3).</w:t>
      </w:r>
    </w:p>
    <w:p>
      <w:pPr>
        <w:pStyle w:val="BodyText"/>
      </w:pPr>
      <w:r>
        <w:t xml:space="preserve">Marshall, pragmático, analisava um mercado de cada vez — café aqui, trigo ali, aço acolá — tratando os demais como cenário de fundo. É como estudar a Seleção Brasileira ignorando temporariamente que os clubes existem: simplifica, funciona para muitas perguntas, mas não para todas. Essa abordagem, chamada de</w:t>
      </w:r>
      <w:r>
        <w:t xml:space="preserve"> </w:t>
      </w:r>
      <w:r>
        <w:rPr>
          <w:i/>
          <w:iCs/>
        </w:rPr>
        <w:t xml:space="preserve">equilíbrio parcial</w:t>
      </w:r>
      <w:r>
        <w:t xml:space="preserve">, é a principal ferramenta analítica deste livro.</w:t>
      </w:r>
    </w:p>
    <w:bookmarkEnd w:id="49"/>
    <w:bookmarkStart w:id="50" w:name="equilíbrio-geral-walrasiano"/>
    <w:p>
      <w:pPr>
        <w:pStyle w:val="Heading4"/>
      </w:pPr>
      <w:r>
        <w:t xml:space="preserve">Equilíbrio geral walrasiano</w:t>
      </w:r>
    </w:p>
    <w:p>
      <w:pPr>
        <w:pStyle w:val="FirstParagraph"/>
      </w:pPr>
      <w:r>
        <w:t xml:space="preserve">Mas e se quisermos entender como</w:t>
      </w:r>
      <w:r>
        <w:t xml:space="preserve"> </w:t>
      </w:r>
      <w:r>
        <w:rPr>
          <w:i/>
          <w:iCs/>
        </w:rPr>
        <w:t xml:space="preserve">todos</w:t>
      </w:r>
      <w:r>
        <w:t xml:space="preserve"> </w:t>
      </w:r>
      <w:r>
        <w:t xml:space="preserve">os mercados se determinam ao mesmo tempo? Aí precisamos de Walras. Walras foi além e formulou o problema do</w:t>
      </w:r>
      <w:r>
        <w:t xml:space="preserve"> </w:t>
      </w:r>
      <w:r>
        <w:rPr>
          <w:b/>
          <w:bCs/>
        </w:rPr>
        <w:t xml:space="preserve">equilíbrio geral</w:t>
      </w:r>
      <w:r>
        <w:t xml:space="preserve">: a determinação simultânea de preços e quantidades em todos os mercados da economia. Em 1954, Kenneth Arrow e Gérard Debreu provaram rigorosamente a existência de um equilíbrio geral competitivo sob condições apropriadas — um dos maiores feitos intelectuais da ciência econômica (Mas-Colell, Whinston &amp; Green, 1995, cap. 17). A prova mostrou que, sob hipóteses razoáveis sobre preferências e tecnologia, existe um conjunto de preços que equilibra todos os mercados simultaneamente — uma validação formal da intuição de Adam Smith sobre a</w:t>
      </w:r>
      <w:r>
        <w:t xml:space="preserve"> </w:t>
      </w:r>
      <w:r>
        <w:t xml:space="preserve">“mão invisível”</w:t>
      </w:r>
      <w:r>
        <w:t xml:space="preserve">.</w:t>
      </w:r>
    </w:p>
    <w:p>
      <w:pPr>
        <w:pStyle w:val="BodyText"/>
      </w:pPr>
      <w:r>
        <w:t xml:space="preserve">A teoria do valor percorreu, portanto, um arco que vai do valor-trabalho dos clássicos, passa pela utilidade marginal dos marginalistas, chega à síntese marshalliana e culmina na formalização rigorosa do equilíbrio geral. A</w:t>
      </w:r>
      <w:r>
        <w:t xml:space="preserve"> </w:t>
      </w:r>
      <w:hyperlink w:anchor="tabela-1-2">
        <w:r>
          <w:rPr>
            <w:rStyle w:val="Hyperlink"/>
          </w:rPr>
          <w:t xml:space="preserve">Tabela 1.2</w:t>
        </w:r>
      </w:hyperlink>
      <w:r>
        <w:t xml:space="preserve"> </w:t>
      </w:r>
      <w:r>
        <w:t xml:space="preserve">resume essa trajetória — mas, se você observou as últimas linhas da tabela, percebeu que a história não parou em 1954. Nas últimas décadas, a microeconomia expandiu seus horizontes para além do modelo competitivo básico, incorporando interações estratégicas, informação imperfeita e comportamento real dos agentes.</w:t>
      </w:r>
    </w:p>
    <w:p>
      <w:pPr>
        <w:pStyle w:val="BodyText"/>
      </w:pPr>
      <w:r>
        <w:rPr>
          <w:i/>
          <w:iCs/>
        </w:rPr>
        <w:t xml:space="preserve">And now for something completely different</w:t>
      </w:r>
      <w:r>
        <w:t xml:space="preserve"> </w:t>
      </w:r>
      <w:r>
        <w:t xml:space="preserve">— ou melhor, algo completamente moderno.</w:t>
      </w:r>
    </w:p>
    <w:p>
      <w:r>
        <w:pict>
          <v:rect style="width:0;height:1.5pt" o:hralign="center" o:hrstd="t" o:hr="t"/>
        </w:pict>
      </w:r>
    </w:p>
    <w:bookmarkEnd w:id="50"/>
    <w:bookmarkEnd w:id="51"/>
    <w:bookmarkStart w:id="52" w:name="X224f997fc148baa0b7f81c1eda6fcc3fd003db0"/>
    <w:p>
      <w:pPr>
        <w:pStyle w:val="Heading3"/>
      </w:pPr>
      <w:r>
        <w:t xml:space="preserve">1.6 Para Onde a Micro Está Indo? Jogos, Informação e Comportamento</w:t>
      </w:r>
    </w:p>
    <w:p>
      <w:pPr>
        <w:pStyle w:val="FirstParagraph"/>
      </w:pPr>
      <w:r>
        <w:t xml:space="preserve">O modelo competitivo básico — todo mundo aceita o preço, todo mundo sabe tudo, todo mundo é perfeitamente racional — foi a estrela da microeconomia por décadas. E funcionou surpreendentemente bem. Mas o mundo real tem vícios que o modelo ignora: empresas que espiam umas às outras, vendedores que sabem mais que compradores, e consumidores que compram coisas no impulso e se arrependem no dia seguinte. A microeconomia contemporânea expandiu-se em várias direções, relaxando — uma a uma — as suposições do modelo básico:</w:t>
      </w:r>
    </w:p>
    <w:p>
      <w:pPr>
        <w:pStyle w:val="Compact"/>
        <w:numPr>
          <w:ilvl w:val="0"/>
          <w:numId w:val="1013"/>
        </w:numPr>
      </w:pPr>
      <w:r>
        <w:rPr>
          <w:b/>
          <w:bCs/>
        </w:rPr>
        <w:t xml:space="preserve">Teoria dos jogos</w:t>
      </w:r>
      <w:r>
        <w:t xml:space="preserve">: modelagem de interações estratégicas entre agentes, quando as decisões de cada um afetam os resultados dos demais (Nash, 1950; Mas-Colell et al., 1995, parte IV). Quando a Ambev decide o preço de sua cerveja, ela considera a possível reação da Heineken — e vice-versa. Essa interdependência estratégica, ausente no modelo competitivo, é o objeto da teoria dos jogos, que será tema do Capítulo 9, com aplicações a mercados oligopolistas nos Capítulos 15–16.</w:t>
      </w:r>
    </w:p>
    <w:p>
      <w:pPr>
        <w:pStyle w:val="Compact"/>
        <w:numPr>
          <w:ilvl w:val="0"/>
          <w:numId w:val="1013"/>
        </w:numPr>
      </w:pPr>
      <w:r>
        <w:rPr>
          <w:b/>
          <w:bCs/>
        </w:rPr>
        <w:t xml:space="preserve">Economia da informação</w:t>
      </w:r>
      <w:r>
        <w:t xml:space="preserve">: quando você abre o Tinder, sabe menos sobre a pessoa do que ela sabe sobre si mesma — isso é informação assimétrica. A análise de mercados com esse tipo de desbalanceamento informacional — seleção adversa (Akerlof, 1970), risco moral (Arrow, 1963; Holmström, 1979) e sinalização (Spence, 1973) — é um dos pilares da microeconomia moderna. No mercado de carros usados, por exemplo, o vendedor sabe mais sobre a qualidade do veículo do que o comprador, o que pode levar ao colapso do mercado para carros de boa qualidade — o famoso</w:t>
      </w:r>
      <w:r>
        <w:t xml:space="preserve"> </w:t>
      </w:r>
      <w:r>
        <w:t xml:space="preserve">“mercado de limões”</w:t>
      </w:r>
      <w:r>
        <w:t xml:space="preserve"> </w:t>
      </w:r>
      <w:r>
        <w:t xml:space="preserve">de Akerlof.</w:t>
      </w:r>
    </w:p>
    <w:p>
      <w:pPr>
        <w:pStyle w:val="Compact"/>
        <w:numPr>
          <w:ilvl w:val="0"/>
          <w:numId w:val="1013"/>
        </w:numPr>
      </w:pPr>
      <w:r>
        <w:rPr>
          <w:b/>
          <w:bCs/>
        </w:rPr>
        <w:t xml:space="preserve">Economia comportamental</w:t>
      </w:r>
      <w:r>
        <w:t xml:space="preserve">: se você já comprou algo na Black Friday que não precisava, parabéns: você é um dado empírico da economia comportamental. Essa área incorpora insights da psicologia — racionalidade limitada, vieses cognitivos, preferências dependentes de referência (Kahneman &amp; Tversky, 1979). No Brasil, princípios comportamentais vêm sendo aplicados em políticas públicas, como o uso de</w:t>
      </w:r>
      <w:r>
        <w:t xml:space="preserve"> </w:t>
      </w:r>
      <w:r>
        <w:rPr>
          <w:i/>
          <w:iCs/>
        </w:rPr>
        <w:t xml:space="preserve">nudges</w:t>
      </w:r>
      <w:r>
        <w:t xml:space="preserve"> </w:t>
      </w:r>
      <w:r>
        <w:t xml:space="preserve">(arquitetura de escolhas) na simplificação de formulários de acesso a benefícios sociais e na comunicação sobre educação financeira pelo Banco Central.</w:t>
      </w:r>
    </w:p>
    <w:p>
      <w:pPr>
        <w:pStyle w:val="Compact"/>
        <w:numPr>
          <w:ilvl w:val="0"/>
          <w:numId w:val="1013"/>
        </w:numPr>
      </w:pPr>
      <w:r>
        <w:rPr>
          <w:b/>
          <w:bCs/>
        </w:rPr>
        <w:t xml:space="preserve">Teoria dos mecanismos</w:t>
      </w:r>
      <w:r>
        <w:t xml:space="preserve">: desenho de instituições e regras que alinham incentivos individuais com objetivos sociais (Hurwicz, Maskin, Myerson). Os leilões de concessão de petróleo conduzidos pela ANP no Brasil, por exemplo, são desenhados com base em princípios da teoria dos mecanismos para maximizar a arrecadação e garantir a eficiência alocativa.</w:t>
      </w:r>
    </w:p>
    <w:p>
      <w:pPr>
        <w:pStyle w:val="Compact"/>
        <w:numPr>
          <w:ilvl w:val="0"/>
          <w:numId w:val="1013"/>
        </w:numPr>
      </w:pPr>
      <w:r>
        <w:rPr>
          <w:b/>
          <w:bCs/>
        </w:rPr>
        <w:t xml:space="preserve">Economia experimental</w:t>
      </w:r>
      <w:r>
        <w:t xml:space="preserve">: uso de experimentos controlados em laboratório e em campo para testar previsões teóricas e avaliar políticas públicas.</w:t>
      </w:r>
    </w:p>
    <w:p>
      <w:pPr>
        <w:pStyle w:val="Compact"/>
        <w:numPr>
          <w:ilvl w:val="0"/>
          <w:numId w:val="1013"/>
        </w:numPr>
      </w:pPr>
      <w:r>
        <w:rPr>
          <w:b/>
          <w:bCs/>
        </w:rPr>
        <w:t xml:space="preserve">Economia de plataformas</w:t>
      </w:r>
      <w:r>
        <w:t xml:space="preserve">: mercados de dois lados (</w:t>
      </w:r>
      <w:r>
        <w:rPr>
          <w:i/>
          <w:iCs/>
        </w:rPr>
        <w:t xml:space="preserve">two-sided markets</w:t>
      </w:r>
      <w:r>
        <w:t xml:space="preserve">) como iFood, Uber e Mercado Livre, onde a plataforma precisa atrair simultaneamente dois grupos de usuários — uma estrutura analisada por Rochet e Tirole (2003) que desafia os modelos tradicionais de precificação. Tirole recebeu o Nobel em 2014 por suas contribuições à economia de mercados com poder de mercado e regulação.</w:t>
      </w:r>
    </w:p>
    <w:p>
      <w:pPr>
        <w:pStyle w:val="BlockText"/>
      </w:pPr>
      <w:r>
        <w:rPr>
          <w:b/>
          <w:bCs/>
        </w:rPr>
        <w:t xml:space="preserve">[BOX BRASIL] Box Brasil — O CADE e a análise antitruste baseada em modelos</w:t>
      </w:r>
    </w:p>
    <w:p>
      <w:pPr>
        <w:pStyle w:val="BlockText"/>
      </w:pPr>
      <w:r>
        <w:t xml:space="preserve">O</w:t>
      </w:r>
      <w:r>
        <w:t xml:space="preserve"> </w:t>
      </w:r>
      <w:r>
        <w:rPr>
          <w:b/>
          <w:bCs/>
        </w:rPr>
        <w:t xml:space="preserve">Conselho Administrativo de Defesa Econômica (CADE)</w:t>
      </w:r>
      <w:r>
        <w:t xml:space="preserve"> </w:t>
      </w:r>
      <w:r>
        <w:t xml:space="preserve">é a autoridade antitruste brasileira, vinculada ao Ministério da Justiça. Quando duas empresas anunciam uma fusão ou aquisição, o CADE avalia se a operação pode prejudicar a concorrência — e, para isso, utiliza extensivamente modelos econômicos.</w:t>
      </w:r>
    </w:p>
    <w:p>
      <w:pPr>
        <w:pStyle w:val="BlockText"/>
      </w:pPr>
      <w:r>
        <w:rPr>
          <w:b/>
          <w:bCs/>
        </w:rPr>
        <w:t xml:space="preserve">Como os modelos são usados.</w:t>
      </w:r>
      <w:r>
        <w:t xml:space="preserve"> </w:t>
      </w:r>
      <w:r>
        <w:t xml:space="preserve">O CADE define o</w:t>
      </w:r>
      <w:r>
        <w:t xml:space="preserve"> </w:t>
      </w:r>
      <w:r>
        <w:rPr>
          <w:i/>
          <w:iCs/>
        </w:rPr>
        <w:t xml:space="preserve">mercado relevante</w:t>
      </w:r>
      <w:r>
        <w:t xml:space="preserve"> </w:t>
      </w:r>
      <w:r>
        <w:t xml:space="preserve">(que produtos competem entre si? em que região geográfica?) com base em testes como o SSNIP (</w:t>
      </w:r>
      <w:r>
        <w:rPr>
          <w:i/>
          <w:iCs/>
        </w:rPr>
        <w:t xml:space="preserve">Small but Significant and Non-transitory Increase in Price</w:t>
      </w:r>
      <w:r>
        <w:t xml:space="preserve">), que é essencialmente um exercício de estática comparativa: se uma firma hipotética monopolista elevasse o preço em 5–10%, os consumidores migrariam para outro produto? Se sim, os dois produtos pertencem ao mesmo mercado. Em seguida, o CADE estima a concentração de mercado (índice HHI), simula os efeitos da fusão sobre preços e quantidades usando modelos de oligopólio (como o modelo de Bertrand ou Cournot, temas dos Capítulos 16a–16b) e avalia se os possíveis ganhos de eficiência compensam os riscos concorrenciais.</w:t>
      </w:r>
    </w:p>
    <w:p>
      <w:pPr>
        <w:pStyle w:val="BlockText"/>
      </w:pPr>
      <w:r>
        <w:rPr>
          <w:b/>
          <w:bCs/>
        </w:rPr>
        <w:t xml:space="preserve">Um exemplo concreto.</w:t>
      </w:r>
      <w:r>
        <w:t xml:space="preserve"> </w:t>
      </w:r>
      <w:r>
        <w:t xml:space="preserve">Em 2011, o CADE analisou a fusão entre Sadia e Perdigão (que originou a BRF). Utilizando modelos de demanda e simulações de fusão, a equipe técnica estimou aumentos de preços potenciais em categorias como presuntos, salsichas e margarinas. A aprovação foi condicionada à venda de marcas para reduzir a concentração em mercados específicos — uma intervenção diretamente fundamentada nos resultados dos modelos.</w:t>
      </w:r>
    </w:p>
    <w:p>
      <w:pPr>
        <w:pStyle w:val="BlockText"/>
      </w:pPr>
      <w:r>
        <w:rPr>
          <w:b/>
          <w:bCs/>
        </w:rPr>
        <w:t xml:space="preserve">Conexão com o capítulo.</w:t>
      </w:r>
      <w:r>
        <w:t xml:space="preserve"> </w:t>
      </w:r>
      <w:r>
        <w:t xml:space="preserve">O caso do CADE ilustra todos os elementos discutidos neste capítulo: a construção de modelos com variáveis exógenas (elasticidades de demanda, custos marginais) e endógenas (preços pós-fusão); a verificação indireta (as previsões do modelo são comparadas com dados de preços após operações anteriores); e a distinção positivo/normativo (o modelo prevê o aumento de preço — análise positiva; a decisão de bloquear ou condicionar a fusão envolve juízo sobre eficiência e bem-estar — análise normativa).</w:t>
      </w:r>
    </w:p>
    <w:p>
      <w:pPr>
        <w:pStyle w:val="BlockText"/>
      </w:pPr>
      <w:r>
        <w:rPr>
          <w:b/>
          <w:bCs/>
        </w:rPr>
        <w:t xml:space="preserve">Fonte:</w:t>
      </w:r>
      <w:r>
        <w:t xml:space="preserve"> </w:t>
      </w:r>
      <w:r>
        <w:t xml:space="preserve">CADE, Ato de Concentração nº 08012.004423/2009-18 (BRF); Guia para Análise de Atos de Concentração Horizontal (CADE, 2016).</w:t>
      </w:r>
    </w:p>
    <w:p>
      <w:pPr>
        <w:pStyle w:val="BlockText"/>
      </w:pPr>
      <w:r>
        <w:rPr>
          <w:b/>
          <w:bCs/>
        </w:rPr>
        <w:t xml:space="preserve">[DICA] Microeconomia aplicada</w:t>
      </w:r>
    </w:p>
    <w:p>
      <w:pPr>
        <w:pStyle w:val="BlockText"/>
      </w:pPr>
      <w:r>
        <w:t xml:space="preserve">A microeconomia moderna é amplamente utilizada em políticas públicas, regulação de mercados, leilões (como os de espectro eletromagnético), desenho de mercados (como</w:t>
      </w:r>
      <w:r>
        <w:t xml:space="preserve"> </w:t>
      </w:r>
      <w:r>
        <w:rPr>
          <w:i/>
          <w:iCs/>
        </w:rPr>
        <w:t xml:space="preserve">matching</w:t>
      </w:r>
      <w:r>
        <w:t xml:space="preserve"> </w:t>
      </w:r>
      <w:r>
        <w:t xml:space="preserve">de médicos residentes ou doação de órgãos), e análise antitruste. Essas aplicações ilustram que os modelos discutidos ao longo deste livro não são abstrações desconectadas da realidade, mas ferramentas operacionais com impacto direto sobre decisões que afetam milhões de pessoas.</w:t>
      </w:r>
    </w:p>
    <w:p>
      <w:pPr>
        <w:pStyle w:val="FirstParagraph"/>
      </w:pPr>
      <w:r>
        <w:t xml:space="preserve">Com esse panorama dos desenvolvimentos modernos, temos uma visão completa do que a microeconomia faz e para onde se dirige. Retornemos agora ao terreno formal para consolidar, em uma demonstração concreta, a lógica de modelagem discutida ao longo deste capítulo.</w:t>
      </w:r>
    </w:p>
    <w:p>
      <w:pPr>
        <w:pStyle w:val="BlockText"/>
      </w:pPr>
      <w:r>
        <w:rPr>
          <w:b/>
          <w:bCs/>
        </w:rPr>
        <w:t xml:space="preserve">[BOX MUNDO] Box Mundo 1.2 — O Consenso de Washington: quando modelos moldam (e falham em) políticas</w:t>
      </w:r>
    </w:p>
    <w:p>
      <w:pPr>
        <w:pStyle w:val="BlockText"/>
      </w:pPr>
      <w:r>
        <w:t xml:space="preserve">Em 1989, John Williamson cunhou o termo</w:t>
      </w:r>
      <w:r>
        <w:t xml:space="preserve"> </w:t>
      </w:r>
      <w:r>
        <w:t xml:space="preserve">“Consenso de Washington”</w:t>
      </w:r>
      <w:r>
        <w:t xml:space="preserve"> </w:t>
      </w:r>
      <w:r>
        <w:t xml:space="preserve">para descrever dez recomendações de política — disciplina fiscal, liberalização comercial, privatizações, desregulamentação — que FMI, Banco Mundial e Tesouro dos EUA consideravam necessárias para países em desenvolvimento. A lógica derivava diretamente do Primeiro Teorema do Bem-Estar: se mercados competitivos são eficientes, remover distorções governamentais deveria melhorar a alocação.</w:t>
      </w:r>
    </w:p>
    <w:p>
      <w:pPr>
        <w:pStyle w:val="BlockText"/>
      </w:pPr>
      <w:r>
        <w:rPr>
          <w:b/>
          <w:bCs/>
        </w:rPr>
        <w:t xml:space="preserve">Os resultados foram heterogêneos.</w:t>
      </w:r>
      <w:r>
        <w:t xml:space="preserve"> </w:t>
      </w:r>
      <w:r>
        <w:t xml:space="preserve">Implementadas em mais de 70 países, as reformas de ajuste estrutural produziram, segundo Easterly (2005), crescimento per capita mediano de apenas 0,1% ao ano na África (1980–1999). Na América Latina, a inflação foi domada (no Brasil, de 2.477% para menos de 10% após o Plano Real), mas desigualdade e desemprego aumentaram em vários países.</w:t>
      </w:r>
    </w:p>
    <w:p>
      <w:pPr>
        <w:pStyle w:val="BlockText"/>
      </w:pPr>
      <w:r>
        <w:rPr>
          <w:b/>
          <w:bCs/>
        </w:rPr>
        <w:t xml:space="preserve">A lição metodológica é profunda.</w:t>
      </w:r>
      <w:r>
        <w:t xml:space="preserve"> </w:t>
      </w:r>
      <w:r>
        <w:t xml:space="preserve">Rodrik (2006) argumentou que o fracasso parcial não invalidou a teoria, mas revelou que os modelos que fundamentavam as recomendações pressupunham mercados completos, informação perfeita e instituições eficientes — hipóteses que raramente se verificavam nos países-alvo. A</w:t>
      </w:r>
      <w:r>
        <w:t xml:space="preserve"> </w:t>
      </w:r>
      <w:r>
        <w:t xml:space="preserve">“tradução”</w:t>
      </w:r>
      <w:r>
        <w:t xml:space="preserve"> </w:t>
      </w:r>
      <w:r>
        <w:t xml:space="preserve">de modelos abstratos em políticas concretas exige atenção às condições locais — exatamente a distinção entre pressupostos e realidade discutida na Seção 1.1. Como veremos no estudo do equilíbrio geral e do bem-estar (Capítulos 14 e 17), o Primeiro Teorema tem hipóteses precisas, e ignorá-las tem consequências reais.</w:t>
      </w:r>
    </w:p>
    <w:p>
      <w:pPr>
        <w:pStyle w:val="BlockText"/>
      </w:pPr>
      <w:r>
        <w:rPr>
          <w:b/>
          <w:bCs/>
        </w:rPr>
        <w:t xml:space="preserve">Fonte:</w:t>
      </w:r>
      <w:r>
        <w:t xml:space="preserve"> </w:t>
      </w:r>
      <w:r>
        <w:t xml:space="preserve">Williamson (1990),</w:t>
      </w:r>
      <w:r>
        <w:t xml:space="preserve"> </w:t>
      </w:r>
      <w:r>
        <w:rPr>
          <w:i/>
          <w:iCs/>
        </w:rPr>
        <w:t xml:space="preserve">Latin American Adjustment</w:t>
      </w:r>
      <w:r>
        <w:t xml:space="preserve">. Easterly (2005),</w:t>
      </w:r>
      <w:r>
        <w:t xml:space="preserve"> </w:t>
      </w:r>
      <w:r>
        <w:rPr>
          <w:i/>
          <w:iCs/>
        </w:rPr>
        <w:t xml:space="preserve">J. Development Economics</w:t>
      </w:r>
      <w:r>
        <w:t xml:space="preserve">, 76(1), 1–22. Rodrik (2006),</w:t>
      </w:r>
      <w:r>
        <w:t xml:space="preserve"> </w:t>
      </w:r>
      <w:r>
        <w:rPr>
          <w:i/>
          <w:iCs/>
        </w:rPr>
        <w:t xml:space="preserve">J. Economic Literature</w:t>
      </w:r>
      <w:r>
        <w:t xml:space="preserve">, 44(4), 973–987.</w:t>
      </w:r>
    </w:p>
    <w:p>
      <w:pPr>
        <w:pStyle w:val="BlockText"/>
      </w:pPr>
      <w:r>
        <w:rPr>
          <w:b/>
          <w:bCs/>
        </w:rPr>
        <w:t xml:space="preserve">[BOX MUNDO] Box Mundo 1.3 — A revolução da credibilidade: experimentos naturais e o Nobel de 2021</w:t>
      </w:r>
    </w:p>
    <w:p>
      <w:pPr>
        <w:pStyle w:val="BlockText"/>
      </w:pPr>
      <w:r>
        <w:rPr>
          <w:b/>
          <w:bCs/>
        </w:rPr>
        <w:t xml:space="preserve">Contexto:</w:t>
      </w:r>
      <w:r>
        <w:t xml:space="preserve"> </w:t>
      </w:r>
      <w:r>
        <w:t xml:space="preserve">Durante décadas, a economia empírica enfrentou uma limitação fundamental discutida na Seção 1.2: a impossibilidade de realizar experimentos controlados na maioria dos contextos de interesse. Como saber se um programa de treinamento realmente eleva os salários, ou se mais anos de escolaridade causam maior renda — e não apenas se correlacionam com ela? A partir dos anos 1990, uma geração de econometristas desenvolveu métodos rigorosos para extrair inferência causal a partir de dados observacionais, explorando variações institucionais e políticas como</w:t>
      </w:r>
      <w:r>
        <w:t xml:space="preserve"> </w:t>
      </w:r>
      <w:r>
        <w:t xml:space="preserve">“experimentos naturais”</w:t>
      </w:r>
      <w:r>
        <w:t xml:space="preserve">. Essa transformação metodológica ficou conhecida como a</w:t>
      </w:r>
      <w:r>
        <w:t xml:space="preserve"> </w:t>
      </w:r>
      <w:r>
        <w:rPr>
          <w:b/>
          <w:bCs/>
        </w:rPr>
        <w:t xml:space="preserve">revolução da credibilidade</w:t>
      </w:r>
      <w:r>
        <w:t xml:space="preserve"> </w:t>
      </w:r>
      <w:r>
        <w:t xml:space="preserve">e foi coroada com o Prêmio Nobel de Economia de 2021, concedido a David Card, Joshua Angrist e Guido Imbens.</w:t>
      </w:r>
    </w:p>
    <w:p>
      <w:pPr>
        <w:pStyle w:val="BlockText"/>
      </w:pPr>
      <w:r>
        <w:rPr>
          <w:b/>
          <w:bCs/>
        </w:rPr>
        <w:t xml:space="preserve">Dados:</w:t>
      </w:r>
      <w:r>
        <w:t xml:space="preserve"> </w:t>
      </w:r>
      <w:r>
        <w:t xml:space="preserve">Angrist e Krueger (1991,</w:t>
      </w:r>
      <w:r>
        <w:t xml:space="preserve"> </w:t>
      </w:r>
      <w:r>
        <w:rPr>
          <w:i/>
          <w:iCs/>
        </w:rPr>
        <w:t xml:space="preserve">Quarterly Journal of Economics</w:t>
      </w:r>
      <w:r>
        <w:t xml:space="preserve">) utilizaram o trimestre de nascimento como variável instrumental para identificar o retorno causal da escolaridade: nos EUA, leis de frequência escolar obrigatória fazem com que alunos nascidos no primeiro trimestre do ano permaneçam menos tempo na escola do que os nascidos no quarto trimestre, gerando uma variação exógena nos anos de estudo. A estimativa por variáveis instrumentais indicou retorno de aproximadamente 7–10% por ano adicional de escolaridade. Imbens e Angrist (1994,</w:t>
      </w:r>
      <w:r>
        <w:t xml:space="preserve"> </w:t>
      </w:r>
      <w:r>
        <w:rPr>
          <w:i/>
          <w:iCs/>
        </w:rPr>
        <w:t xml:space="preserve">Econometrica</w:t>
      </w:r>
      <w:r>
        <w:t xml:space="preserve">) formalizaram o conceito de</w:t>
      </w:r>
      <w:r>
        <w:t xml:space="preserve"> </w:t>
      </w:r>
      <w:r>
        <w:rPr>
          <w:b/>
          <w:bCs/>
        </w:rPr>
        <w:t xml:space="preserve">efeito causal local médio</w:t>
      </w:r>
      <w:r>
        <w:t xml:space="preserve"> </w:t>
      </w:r>
      <w:r>
        <w:t xml:space="preserve">(LATE), mostrando que variáveis instrumentais identificam o efeito do tratamento sobre os</w:t>
      </w:r>
      <w:r>
        <w:t xml:space="preserve"> </w:t>
      </w:r>
      <w:r>
        <w:rPr>
          <w:i/>
          <w:iCs/>
        </w:rPr>
        <w:t xml:space="preserve">compliers</w:t>
      </w:r>
      <w:r>
        <w:t xml:space="preserve"> </w:t>
      </w:r>
      <w:r>
        <w:t xml:space="preserve">— indivíduos cujo comportamento é efetivamente alterado pelo instrumento. O Banco Mundial reporta que, até 2023, mais de 350 avaliações de impacto de programas sociais em países em desenvolvimento utilizaram métodos de experimentos naturais (variáveis instrumentais, diferenças em diferenças, regressão descontínua), contra menos de 30 em 1990 (World Bank,</w:t>
      </w:r>
      <w:r>
        <w:t xml:space="preserve"> </w:t>
      </w:r>
      <w:r>
        <w:rPr>
          <w:i/>
          <w:iCs/>
        </w:rPr>
        <w:t xml:space="preserve">Development Impact Evaluation</w:t>
      </w:r>
      <w:r>
        <w:t xml:space="preserve">, DIME).</w:t>
      </w:r>
    </w:p>
    <w:p>
      <w:pPr>
        <w:pStyle w:val="BlockText"/>
      </w:pPr>
      <w:r>
        <w:rPr>
          <w:b/>
          <w:bCs/>
        </w:rPr>
        <w:t xml:space="preserve">Análise:</w:t>
      </w:r>
      <w:r>
        <w:t xml:space="preserve"> </w:t>
      </w:r>
      <w:r>
        <w:t xml:space="preserve">A revolução da credibilidade ilustra concretamente o debate metodológico da Seção 1.2 entre abordagem direta e indireta na verificação de modelos. Os métodos de Card, Angrist e Imbens não substituem a teoria econômica — ao contrário, eles a complementam ao fornecer ferramentas para testar previsões teóricas com rigor causal. O modelo competitivo do mercado de trabalho prevê que aumentos do salário mínimo reduzem o emprego; Card e Krueger (Box Mundo 1.1) mostraram que essa previsão pode falhar quando a hipótese de mercado competitivo é violada. A lição metodológica é profunda: modelos teóricos geram previsões condicionais às suas hipóteses, e os experimentos naturais permitem identificar sob quais condições essas hipóteses são válidas — conectando a análise positiva à verificação empírica de forma operacional.</w:t>
      </w:r>
    </w:p>
    <w:p>
      <w:pPr>
        <w:pStyle w:val="BlockText"/>
      </w:pPr>
      <w:r>
        <w:rPr>
          <w:b/>
          <w:bCs/>
        </w:rPr>
        <w:t xml:space="preserve">Fonte:</w:t>
      </w:r>
      <w:r>
        <w:t xml:space="preserve"> </w:t>
      </w:r>
      <w:r>
        <w:t xml:space="preserve">Angrist, J. D.; Krueger, A. B. (1991). Does compulsory school attendance affect schooling and earnings?</w:t>
      </w:r>
      <w:r>
        <w:t xml:space="preserve"> </w:t>
      </w:r>
      <w:r>
        <w:rPr>
          <w:i/>
          <w:iCs/>
        </w:rPr>
        <w:t xml:space="preserve">Quarterly Journal of Economics</w:t>
      </w:r>
      <w:r>
        <w:t xml:space="preserve">, 106(4), 979–1014. Imbens, G. W.; Angrist, J. D. (1994). Identification and estimation of local average treatment effects.</w:t>
      </w:r>
      <w:r>
        <w:t xml:space="preserve"> </w:t>
      </w:r>
      <w:r>
        <w:rPr>
          <w:i/>
          <w:iCs/>
        </w:rPr>
        <w:t xml:space="preserve">Econometrica</w:t>
      </w:r>
      <w:r>
        <w:t xml:space="preserve">, 62(2), 467–475. Nobel Prize Committee (2021).</w:t>
      </w:r>
      <w:r>
        <w:t xml:space="preserve"> </w:t>
      </w:r>
      <w:r>
        <w:rPr>
          <w:i/>
          <w:iCs/>
        </w:rPr>
        <w:t xml:space="preserve">Scientific Background: Answering Causal Questions Using Observational Data</w:t>
      </w:r>
      <w:r>
        <w:t xml:space="preserve">. Royal Swedish Academy of Sciences.</w:t>
      </w:r>
    </w:p>
    <w:bookmarkEnd w:id="52"/>
    <w:bookmarkEnd w:id="53"/>
    <w:bookmarkStart w:id="56" w:name="maximização-de-lucro-ao-vivo"/>
    <w:p>
      <w:pPr>
        <w:pStyle w:val="Heading2"/>
      </w:pPr>
      <w:r>
        <w:t xml:space="preserve">1.7 Maximização de Lucro ao Vivo</w:t>
      </w:r>
    </w:p>
    <w:bookmarkStart w:id="55" w:name="X24e05dc77239f3a15dab766aaa59a9e432efde7"/>
    <w:p>
      <w:pPr>
        <w:pStyle w:val="Heading3"/>
      </w:pPr>
      <w:r>
        <w:t xml:space="preserve">1.7 A Firma Para Quando a Pizza Empata: Maximização de Lucro ao Vivo</w:t>
      </w:r>
    </w:p>
    <w:p>
      <w:pPr>
        <w:pStyle w:val="FirstParagraph"/>
      </w:pPr>
      <w:r>
        <w:t xml:space="preserve">Chega de filosofia — vamos ver um modelo em ação. A demonstração a seguir é o</w:t>
      </w:r>
      <w:r>
        <w:t xml:space="preserve"> </w:t>
      </w:r>
      <w:r>
        <w:t xml:space="preserve">“Hello World”</w:t>
      </w:r>
      <w:r>
        <w:t xml:space="preserve"> </w:t>
      </w:r>
      <w:r>
        <w:t xml:space="preserve">da microeconomia: a condição de maximização de lucro da firma competitiva. É simples, é elegante, e encapsula tudo o que discutimos até aqui: um agente com objetivo (lucro), uma restrição (tecnologia/custos), uma condição de ótimo (derivada igual a zero) e uma previsão testável (a curva de oferta). É também o primeiro exemplo de como o cálculo diferencial — ferramentas do Capítulo 2 — resolve problemas econômicos reais.</w:t>
      </w:r>
    </w:p>
    <w:p>
      <w:pPr>
        <w:pStyle w:val="BlockText"/>
      </w:pPr>
      <w:r>
        <w:rPr>
          <w:b/>
          <w:bCs/>
        </w:rPr>
        <w:t xml:space="preserve">[TEOREMA] Teorema: Condição de Primeira Ordem para Maximização de Lucro</w:t>
      </w:r>
    </w:p>
    <w:p>
      <w:pPr>
        <w:pStyle w:val="BlockText"/>
      </w:pPr>
      <w:r>
        <w:t xml:space="preserve">Considere uma firma tomadora de preços (</w:t>
      </w:r>
      <w:r>
        <w:rPr>
          <w:i/>
          <w:iCs/>
        </w:rPr>
        <w:t xml:space="preserve">price taker</w:t>
      </w:r>
      <w:r>
        <w:t xml:space="preserve">) em um mercado competitivo. Se a firma produz uma quantidade positiva</w:t>
      </w:r>
      <w:r>
        <w:t xml:space="preserve"> </w:t>
      </w:r>
      <m:oMath>
        <m:sSup>
          <m:e>
            <m:r>
              <m:t>q</m:t>
            </m:r>
          </m:e>
          <m:sup>
            <m:r>
              <m:rPr>
                <m:sty m:val="p"/>
              </m:rPr>
              <m:t>*</m:t>
            </m:r>
          </m:sup>
        </m:sSup>
        <m:r>
          <m:rPr>
            <m:sty m:val="p"/>
          </m:rPr>
          <m:t>&gt;</m:t>
        </m:r>
        <m:r>
          <m:t>0</m:t>
        </m:r>
      </m:oMath>
      <w:r>
        <w:t xml:space="preserve"> </w:t>
      </w:r>
      <w:r>
        <w:t xml:space="preserve">que maximiza seu lucro, então o preço de mercado deve ser igual ao custo marginal avaliado nessa quantidade:</w:t>
      </w:r>
    </w:p>
    <w:p>
      <w:pPr>
        <w:pStyle w:val="BlockText"/>
      </w:pPr>
      <w:r>
        <w:t xml:space="preserve">$$</w:t>
      </w:r>
    </w:p>
    <w:p>
      <w:pPr>
        <w:pStyle w:val="BlockText"/>
      </w:pPr>
      <w:r>
        <w:t xml:space="preserve">P = CMg(q^*)</w:t>
      </w:r>
    </w:p>
    <w:p>
      <w:pPr>
        <w:pStyle w:val="BlockText"/>
      </w:pPr>
      <w:r>
        <w:t xml:space="preserve">$$</w:t>
      </w:r>
    </w:p>
    <w:p>
      <w:pPr>
        <w:pStyle w:val="BlockText"/>
      </w:pPr>
      <w:r>
        <w:t xml:space="preserve">Além disso, a condição de segunda ordem exige que o custo marginal seja crescente nesse ponto.</w:t>
      </w:r>
    </w:p>
    <w:p>
      <w:pPr>
        <w:pStyle w:val="BlockText"/>
      </w:pPr>
      <w:r>
        <w:rPr>
          <w:b/>
          <w:bCs/>
        </w:rPr>
        <w:t xml:space="preserve">[DEMONSTRACAO] Demonstração</w:t>
      </w:r>
    </w:p>
    <w:p>
      <w:pPr>
        <w:pStyle w:val="BlockText"/>
      </w:pPr>
      <w:r>
        <w:t xml:space="preserve">O lucro da firma é dado por:</w:t>
      </w:r>
    </w:p>
    <w:p>
      <w:pPr>
        <w:pStyle w:val="BlockText"/>
      </w:pPr>
      <w:r>
        <w:t xml:space="preserve">$$</w:t>
      </w:r>
    </w:p>
    <w:p>
      <w:pPr>
        <w:pStyle w:val="BlockText"/>
      </w:pPr>
      <w:r>
        <w:t xml:space="preserve">(q) = RT(q) - CT(q) = P</w:t>
      </w:r>
      <w:r>
        <w:t xml:space="preserve"> </w:t>
      </w:r>
      <w:r>
        <w:t xml:space="preserve">q - CT(q)</w:t>
      </w:r>
      <w:r>
        <w:t xml:space="preserve"> </w:t>
      </w:r>
      <w:r>
        <w:t xml:space="preserve"> </w:t>
      </w:r>
    </w:p>
    <w:p>
      <w:pPr>
        <w:pStyle w:val="BlockText"/>
      </w:pPr>
      <w:r>
        <w:t xml:space="preserve">$$</w:t>
      </w:r>
    </w:p>
    <w:p>
      <w:pPr>
        <w:pStyle w:val="BlockText"/>
      </w:pPr>
      <w:r>
        <w:t xml:space="preserve">onde</w:t>
      </w:r>
      <w:r>
        <w:t xml:space="preserve"> </w:t>
      </w:r>
      <m:oMath>
        <m:r>
          <m:t>P</m:t>
        </m:r>
      </m:oMath>
      <w:r>
        <w:t xml:space="preserve"> </w:t>
      </w:r>
      <w:r>
        <w:t xml:space="preserve">é o preço de mercado (dado, exógeno para a firma competitiva),</w:t>
      </w:r>
      <w:r>
        <w:t xml:space="preserve"> </w:t>
      </w:r>
      <m:oMath>
        <m:r>
          <m:t>R</m:t>
        </m:r>
        <m:r>
          <m:t>T</m:t>
        </m:r>
        <m:r>
          <m:rPr>
            <m:sty m:val="p"/>
          </m:rPr>
          <m:t>(</m:t>
        </m:r>
        <m:r>
          <m:t>q</m:t>
        </m:r>
        <m:r>
          <m:rPr>
            <m:sty m:val="p"/>
          </m:rPr>
          <m:t>)</m:t>
        </m:r>
      </m:oMath>
      <w:r>
        <w:t xml:space="preserve"> </w:t>
      </w:r>
      <w:r>
        <w:t xml:space="preserve">é a receita total e</w:t>
      </w:r>
      <w:r>
        <w:t xml:space="preserve"> </w:t>
      </w:r>
      <m:oMath>
        <m:r>
          <m:t>C</m:t>
        </m:r>
        <m:r>
          <m:t>T</m:t>
        </m:r>
        <m:r>
          <m:rPr>
            <m:sty m:val="p"/>
          </m:rPr>
          <m:t>(</m:t>
        </m:r>
        <m:r>
          <m:t>q</m:t>
        </m:r>
        <m:r>
          <m:rPr>
            <m:sty m:val="p"/>
          </m:rPr>
          <m:t>)</m:t>
        </m:r>
      </m:oMath>
      <w:r>
        <w:t xml:space="preserve"> </w:t>
      </w:r>
      <w:r>
        <w:t xml:space="preserve">é o custo total.</w:t>
      </w:r>
    </w:p>
    <w:p>
      <w:pPr>
        <w:pStyle w:val="BlockText"/>
      </w:pPr>
      <w:r>
        <w:rPr>
          <w:b/>
          <w:bCs/>
        </w:rPr>
        <w:t xml:space="preserve">Condição de primeira ordem (CPO):</w:t>
      </w:r>
    </w:p>
    <w:p>
      <w:pPr>
        <w:pStyle w:val="BlockText"/>
      </w:pPr>
      <w:r>
        <w:t xml:space="preserve">Para que</w:t>
      </w:r>
      <w:r>
        <w:t xml:space="preserve"> </w:t>
      </w:r>
      <m:oMath>
        <m:sSup>
          <m:e>
            <m:r>
              <m:t>q</m:t>
            </m:r>
          </m:e>
          <m:sup>
            <m:r>
              <m:rPr>
                <m:sty m:val="p"/>
              </m:rPr>
              <m:t>*</m:t>
            </m:r>
          </m:sup>
        </m:sSup>
      </m:oMath>
      <w:r>
        <w:t xml:space="preserve"> </w:t>
      </w:r>
      <w:r>
        <w:t xml:space="preserve">seja um máximo interior, é necessário que a derivada do lucro em relação a</w:t>
      </w:r>
      <w:r>
        <w:t xml:space="preserve"> </w:t>
      </w:r>
      <m:oMath>
        <m:r>
          <m:t>q</m:t>
        </m:r>
      </m:oMath>
      <w:r>
        <w:t xml:space="preserve"> </w:t>
      </w:r>
      <w:r>
        <w:t xml:space="preserve">seja zero:</w:t>
      </w:r>
    </w:p>
    <w:p>
      <w:pPr>
        <w:pStyle w:val="BlockText"/>
      </w:pPr>
      <w:r>
        <w:t xml:space="preserve">$$</w:t>
      </w:r>
    </w:p>
    <w:p>
      <w:pPr>
        <w:pStyle w:val="BlockText"/>
      </w:pPr>
      <w:r>
        <w:t xml:space="preserve">|_{q=q^*} = 0</w:t>
      </w:r>
      <w:r>
        <w:t xml:space="preserve"> </w:t>
      </w:r>
      <w:r>
        <w:t xml:space="preserve"> </w:t>
      </w:r>
    </w:p>
    <w:p>
      <w:pPr>
        <w:pStyle w:val="BlockText"/>
      </w:pPr>
      <w:r>
        <w:t xml:space="preserve">$$</w:t>
      </w:r>
    </w:p>
    <w:p>
      <w:pPr>
        <w:pStyle w:val="BlockText"/>
      </w:pPr>
      <w:r>
        <w:t xml:space="preserve">$$</w:t>
      </w:r>
    </w:p>
    <w:p>
      <w:pPr>
        <w:pStyle w:val="BlockText"/>
      </w:pPr>
      <w:r>
        <w:t xml:space="preserve">|_{q=q^*} = 0</w:t>
      </w:r>
    </w:p>
    <w:p>
      <w:pPr>
        <w:pStyle w:val="BlockText"/>
      </w:pPr>
      <w:r>
        <w:t xml:space="preserve">$$</w:t>
      </w:r>
    </w:p>
    <w:p>
      <w:pPr>
        <w:pStyle w:val="BlockText"/>
      </w:pPr>
      <w:r>
        <w:t xml:space="preserve">$$</w:t>
      </w:r>
    </w:p>
    <w:p>
      <w:pPr>
        <w:pStyle w:val="BlockText"/>
      </w:pPr>
      <w:r>
        <w:t xml:space="preserve">P -</w:t>
      </w:r>
      <w:r>
        <w:t xml:space="preserve"> </w:t>
      </w:r>
      <w:r>
        <w:t xml:space="preserve">|_{q=q^*} = 0</w:t>
      </w:r>
    </w:p>
    <w:p>
      <w:pPr>
        <w:pStyle w:val="BlockText"/>
      </w:pPr>
      <w:r>
        <w:t xml:space="preserve">$$</w:t>
      </w:r>
    </w:p>
    <w:p>
      <w:pPr>
        <w:pStyle w:val="BlockText"/>
      </w:pPr>
      <w:r>
        <w:t xml:space="preserve">$$</w:t>
      </w:r>
    </w:p>
    <w:p>
      <w:pPr>
        <w:pStyle w:val="BlockText"/>
      </w:pPr>
      <w:r>
        <w:t xml:space="preserve"> </w:t>
      </w:r>
      <w:r>
        <w:t xml:space="preserve"> </w:t>
      </w:r>
    </w:p>
    <w:p>
      <w:pPr>
        <w:pStyle w:val="BlockText"/>
      </w:pPr>
      <w:r>
        <w:t xml:space="preserve">$$</w:t>
      </w:r>
    </w:p>
    <w:p>
      <w:pPr>
        <w:pStyle w:val="BlockText"/>
      </w:pPr>
      <w:r>
        <w:t xml:space="preserve">onde</w:t>
      </w:r>
      <w:r>
        <w:t xml:space="preserve"> </w:t>
      </w:r>
      <m:oMath>
        <m:r>
          <m:t>C</m:t>
        </m:r>
        <m:r>
          <m:t>M</m:t>
        </m:r>
        <m:r>
          <m:t>g</m:t>
        </m:r>
        <m:r>
          <m:rPr>
            <m:sty m:val="p"/>
          </m:rPr>
          <m:t>(</m:t>
        </m:r>
        <m:r>
          <m:t>q</m:t>
        </m:r>
        <m:r>
          <m:rPr>
            <m:sty m:val="p"/>
          </m:rPr>
          <m:t>)</m:t>
        </m:r>
        <m:r>
          <m:rPr>
            <m:sty m:val="p"/>
          </m:rPr>
          <m:t>=</m:t>
        </m:r>
        <m:f>
          <m:fPr>
            <m:type m:val="bar"/>
          </m:fPr>
          <m:num>
            <m:r>
              <m:t>d</m:t>
            </m:r>
            <m:r>
              <m:t>C</m:t>
            </m:r>
            <m:r>
              <m:t>T</m:t>
            </m:r>
          </m:num>
          <m:den>
            <m:r>
              <m:t>d</m:t>
            </m:r>
            <m:r>
              <m:t>q</m:t>
            </m:r>
          </m:den>
        </m:f>
      </m:oMath>
      <w:r>
        <w:t xml:space="preserve"> </w:t>
      </w:r>
      <w:r>
        <w:t xml:space="preserve">é o custo marginal.</w:t>
      </w:r>
    </w:p>
    <w:p>
      <w:pPr>
        <w:pStyle w:val="BlockText"/>
      </w:pPr>
      <w:r>
        <w:rPr>
          <w:b/>
          <w:bCs/>
        </w:rPr>
        <w:t xml:space="preserve">Condição de segunda ordem (CSO):</w:t>
      </w:r>
    </w:p>
    <w:p>
      <w:pPr>
        <w:pStyle w:val="BlockText"/>
      </w:pPr>
      <w:r>
        <w:t xml:space="preserve">Para que</w:t>
      </w:r>
      <w:r>
        <w:t xml:space="preserve"> </w:t>
      </w:r>
      <m:oMath>
        <m:sSup>
          <m:e>
            <m:r>
              <m:t>q</m:t>
            </m:r>
          </m:e>
          <m:sup>
            <m:r>
              <m:rPr>
                <m:sty m:val="p"/>
              </m:rPr>
              <m:t>*</m:t>
            </m:r>
          </m:sup>
        </m:sSup>
      </m:oMath>
      <w:r>
        <w:t xml:space="preserve"> </w:t>
      </w:r>
      <w:r>
        <w:t xml:space="preserve">seja de fato um</w:t>
      </w:r>
      <w:r>
        <w:t xml:space="preserve"> </w:t>
      </w:r>
      <w:r>
        <w:rPr>
          <w:b/>
          <w:bCs/>
        </w:rPr>
        <w:t xml:space="preserve">máximo</w:t>
      </w:r>
      <w:r>
        <w:t xml:space="preserve"> </w:t>
      </w:r>
      <w:r>
        <w:t xml:space="preserve">(e não um mínimo ou ponto de inflexão), a segunda derivada do lucro deve ser negativa:</w:t>
      </w:r>
    </w:p>
    <w:p>
      <w:pPr>
        <w:pStyle w:val="BlockText"/>
      </w:pPr>
      <w:r>
        <w:t xml:space="preserve">$$</w:t>
      </w:r>
    </w:p>
    <w:p>
      <w:pPr>
        <w:pStyle w:val="BlockText"/>
      </w:pPr>
      <w:r>
        <w:t xml:space="preserve">|_{q=q^*} &lt; 0</w:t>
      </w:r>
      <w:r>
        <w:t xml:space="preserve"> </w:t>
      </w:r>
      <w:r>
        <w:t xml:space="preserve"> </w:t>
      </w:r>
    </w:p>
    <w:p>
      <w:pPr>
        <w:pStyle w:val="BlockText"/>
      </w:pPr>
      <w:r>
        <w:t xml:space="preserve">$$</w:t>
      </w:r>
    </w:p>
    <w:p>
      <w:pPr>
        <w:pStyle w:val="BlockText"/>
      </w:pPr>
      <w:r>
        <w:t xml:space="preserve">$$</w:t>
      </w:r>
    </w:p>
    <w:p>
      <w:pPr>
        <w:pStyle w:val="BlockText"/>
      </w:pPr>
      <w:r>
        <w:t xml:space="preserve">-</w:t>
      </w:r>
      <w:r>
        <w:t xml:space="preserve">|_{q=q^*} &lt; 0</w:t>
      </w:r>
    </w:p>
    <w:p>
      <w:pPr>
        <w:pStyle w:val="BlockText"/>
      </w:pPr>
      <w:r>
        <w:t xml:space="preserve">$$</w:t>
      </w:r>
    </w:p>
    <w:p>
      <w:pPr>
        <w:pStyle w:val="BlockText"/>
      </w:pPr>
      <w:r>
        <w:t xml:space="preserve">$$</w:t>
      </w:r>
    </w:p>
    <w:p>
      <w:pPr>
        <w:pStyle w:val="BlockText"/>
      </w:pPr>
      <w:r>
        <w:t xml:space="preserve">|_{q=q^*} &gt; 0</w:t>
      </w:r>
      <w:r>
        <w:t xml:space="preserve"> </w:t>
      </w:r>
      <w:r>
        <w:t xml:space="preserve">|_{q=q^*} &gt; 0</w:t>
      </w:r>
      <w:r>
        <w:t xml:space="preserve"> </w:t>
      </w:r>
      <w:r>
        <w:t xml:space="preserve"> </w:t>
      </w:r>
    </w:p>
    <w:p>
      <w:pPr>
        <w:pStyle w:val="BlockText"/>
      </w:pPr>
      <w:r>
        <w:t xml:space="preserve">$$</w:t>
      </w:r>
    </w:p>
    <w:p>
      <w:pPr>
        <w:pStyle w:val="BlockText"/>
      </w:pPr>
      <w:r>
        <w:t xml:space="preserve">Portanto, a condição de segunda ordem Eq. (eq:1.7.5) exige que o</w:t>
      </w:r>
      <w:r>
        <w:t xml:space="preserve"> </w:t>
      </w:r>
      <w:r>
        <w:rPr>
          <w:b/>
          <w:bCs/>
        </w:rPr>
        <w:t xml:space="preserve">custo marginal seja crescente</w:t>
      </w:r>
      <w:r>
        <w:t xml:space="preserve"> </w:t>
      </w:r>
      <w:r>
        <w:t xml:space="preserve">no ponto ótimo. Geometricamente, a curva de oferta da firma corresponde ao trecho ascendente de sua curva de custo marginal.</w:t>
      </w:r>
      <w:r>
        <w:t xml:space="preserve"> </w:t>
      </w:r>
      <m:oMath>
        <m:r>
          <m:rPr>
            <m:sty m:val="p"/>
          </m:rPr>
          <m:t>◼</m:t>
        </m:r>
      </m:oMath>
    </w:p>
    <w:p>
      <w:pPr>
        <w:pStyle w:val="FirstParagraph"/>
      </w:pPr>
      <w:r>
        <w:t xml:space="preserve">[FIGURA INTERATIVA: /micro-book/graficos/cap01/maximizacao-lucro.html — versao interativa disponivel online]</w:t>
      </w:r>
    </w:p>
    <w:p>
      <w:pPr>
        <w:pStyle w:val="BodyText"/>
      </w:pPr>
      <w:r>
        <w:rPr>
          <w:b/>
          <w:bCs/>
        </w:rPr>
        <w:t xml:space="preserve">Figura 1.4 — Maximização de lucro da firma competitiva.</w:t>
      </w:r>
      <w:r>
        <w:t xml:space="preserve"> </w:t>
      </w:r>
      <w:r>
        <w:t xml:space="preserve">Ajuste o preço</w:t>
      </w:r>
      <w:r>
        <w:t xml:space="preserve"> </w:t>
      </w:r>
      <m:oMath>
        <m:r>
          <m:t>P</m:t>
        </m:r>
      </m:oMath>
      <w:r>
        <w:t xml:space="preserve"> </w:t>
      </w:r>
      <w:r>
        <w:t xml:space="preserve">e observe como</w:t>
      </w:r>
      <w:r>
        <w:t xml:space="preserve"> </w:t>
      </w:r>
      <m:oMath>
        <m:sSup>
          <m:e>
            <m:r>
              <m:t>q</m:t>
            </m:r>
          </m:e>
          <m:sup>
            <m:r>
              <m:rPr>
                <m:sty m:val="p"/>
              </m:rPr>
              <m:t>*</m:t>
            </m:r>
          </m:sup>
        </m:sSup>
      </m:oMath>
      <w:r>
        <w:t xml:space="preserve"> </w:t>
      </w:r>
      <w:r>
        <w:t xml:space="preserve">se desloca ao longo da curva de custo marginal, confirmando que</w:t>
      </w:r>
      <w:r>
        <w:t xml:space="preserve"> </w:t>
      </w:r>
      <m:oMath>
        <m:r>
          <m:t>d</m:t>
        </m:r>
        <m:sSup>
          <m:e>
            <m:r>
              <m:t>q</m:t>
            </m:r>
          </m:e>
          <m:sup>
            <m:r>
              <m:rPr>
                <m:sty m:val="p"/>
              </m:rPr>
              <m:t>*</m:t>
            </m:r>
          </m:sup>
        </m:sSup>
        <m:r>
          <m:rPr>
            <m:sty m:val="p"/>
          </m:rPr>
          <m:t>/</m:t>
        </m:r>
        <m:r>
          <m:t>d</m:t>
        </m:r>
        <m:r>
          <m:t>P</m:t>
        </m:r>
        <m:r>
          <m:rPr>
            <m:sty m:val="p"/>
          </m:rPr>
          <m:t>&gt;</m:t>
        </m:r>
        <m:r>
          <m:t>0</m:t>
        </m:r>
      </m:oMath>
      <w:r>
        <w:t xml:space="preserve"> </w:t>
      </w:r>
      <w:r>
        <w:t xml:space="preserve">(oferta ascendente).</w:t>
      </w:r>
    </w:p>
    <w:p>
      <w:pPr>
        <w:pStyle w:val="BodyText"/>
      </w:pPr>
      <w:r>
        <w:t xml:space="preserve">[FIGURA INTERATIVA: /micro-book/graficos/cap01/webr-maximizacao-lucro.html — versao interativa disponivel online]</w:t>
      </w:r>
    </w:p>
    <w:p>
      <w:pPr>
        <w:pStyle w:val="BodyText"/>
      </w:pPr>
      <w:r>
        <w:rPr>
          <w:b/>
          <w:bCs/>
        </w:rPr>
        <w:t xml:space="preserve">WebR 1.2 — Maximização de lucro: CPO e CSO ao vivo.</w:t>
      </w:r>
      <w:r>
        <w:t xml:space="preserve"> </w:t>
      </w:r>
      <w:r>
        <w:t xml:space="preserve">Altere o preço P e veja q* mudar. O código verifica a CPO (P = CMg) e a CSO (d²π/dq² &lt; 0). Se P cair abaixo de quanto, a firma tem prejuízo?</w:t>
      </w:r>
    </w:p>
    <w:p>
      <w:pPr>
        <w:pStyle w:val="BodyText"/>
      </w:pPr>
      <w:r>
        <w:t xml:space="preserve">O que essa demonstração nos revela? Uma lógica de uma beleza quase desarmante: a firma continua produzindo enquanto</w:t>
      </w:r>
      <w:r>
        <w:t xml:space="preserve"> </w:t>
      </w:r>
      <w:r>
        <w:t xml:space="preserve">“vale a pena”</w:t>
      </w:r>
      <w:r>
        <w:t xml:space="preserve"> </w:t>
      </w:r>
      <w:r>
        <w:t xml:space="preserve">— isto é, enquanto vender mais uma unidade rende (</w:t>
      </w:r>
      <m:oMath>
        <m:r>
          <m:t>P</m:t>
        </m:r>
      </m:oMath>
      <w:r>
        <w:t xml:space="preserve">) mais do que custa (</w:t>
      </w:r>
      <m:oMath>
        <m:r>
          <m:t>C</m:t>
        </m:r>
        <m:r>
          <m:t>M</m:t>
        </m:r>
        <m:r>
          <m:t>g</m:t>
        </m:r>
      </m:oMath>
      <w:r>
        <w:t xml:space="preserve">). Ela para exatamente quando a última unidade</w:t>
      </w:r>
      <w:r>
        <w:t xml:space="preserve"> </w:t>
      </w:r>
      <w:r>
        <w:t xml:space="preserve">“empata”</w:t>
      </w:r>
      <w:r>
        <w:t xml:space="preserve">. A partir daí, produzir mais seria jogar dinheiro fora. É como comer em rodízio: você repete enquanto o prazer supera o desconforto. Na fatia de pizza em que os dois se igualam, você para. (Se for racional. Se não for, vem a Seção 8.1 para explicar por quê.)</w:t>
      </w:r>
    </w:p>
    <w:p>
      <w:pPr>
        <w:pStyle w:val="BodyText"/>
      </w:pPr>
      <w:r>
        <w:t xml:space="preserve">Note um detalhe crucial: o custo fixo (</w:t>
      </w:r>
      <m:oMath>
        <m:r>
          <m:t>50</m:t>
        </m:r>
      </m:oMath>
      <w:r>
        <w:t xml:space="preserve">, no Exercício Resolvido 1.3)</w:t>
      </w:r>
      <w:r>
        <w:t xml:space="preserve"> </w:t>
      </w:r>
      <w:r>
        <w:rPr>
          <w:i/>
          <w:iCs/>
        </w:rPr>
        <w:t xml:space="preserve">não aparece</w:t>
      </w:r>
      <w:r>
        <w:t xml:space="preserve"> </w:t>
      </w:r>
      <w:r>
        <w:t xml:space="preserve">na condição de ótimo. A firma decide quanto produzir olhando apenas para o custo</w:t>
      </w:r>
      <w:r>
        <w:t xml:space="preserve"> </w:t>
      </w:r>
      <w:r>
        <w:rPr>
          <w:i/>
          <w:iCs/>
        </w:rPr>
        <w:t xml:space="preserve">marginal</w:t>
      </w:r>
      <w:r>
        <w:t xml:space="preserve"> </w:t>
      </w:r>
      <w:r>
        <w:t xml:space="preserve">— os</w:t>
      </w:r>
      <w:r>
        <w:t xml:space="preserve"> </w:t>
      </w:r>
      <m:oMath>
        <m:r>
          <m:t>50</m:t>
        </m:r>
      </m:oMath>
      <w:r>
        <w:t xml:space="preserve"> </w:t>
      </w:r>
      <w:r>
        <w:t xml:space="preserve">já foram gastos e são irrecuperáveis. É a lógica dos</w:t>
      </w:r>
      <w:r>
        <w:t xml:space="preserve"> </w:t>
      </w:r>
      <w:r>
        <w:rPr>
          <w:i/>
          <w:iCs/>
        </w:rPr>
        <w:t xml:space="preserve">sunk costs</w:t>
      </w:r>
      <w:r>
        <w:t xml:space="preserve">: custos passados não devem influenciar decisões futuras. O Black Knight do Monty Python, que continua lutando após perder os dois braços (</w:t>
      </w:r>
      <w:r>
        <w:t xml:space="preserve">“’Tis but a scratch!”</w:t>
      </w:r>
      <w:r>
        <w:t xml:space="preserve">), é o exemplo perfeito do agente que ignora essa regra — ele já investiu demais na luta para desistir, mesmo quando a decisão racional é parar.</w:t>
      </w:r>
      <w:r>
        <w:rPr>
          <w:rStyle w:val="FootnoteReference"/>
        </w:rPr>
        <w:footnoteReference w:id="54"/>
      </w:r>
    </w:p>
    <w:p>
      <w:pPr>
        <w:pStyle w:val="BodyText"/>
      </w:pPr>
      <w:r>
        <w:t xml:space="preserve">Note como a demonstração segue precisamente o roteiro descrito na Seção 1.4: partimos de um objetivo (maximizar lucro), de uma restrição implícita (a tecnologia da firma, expressa na função de custo), resolvemos via condições de primeira e segunda ordem e chegamos a uma função de resposta — a curva de oferta. Este resultado será desenvolvido com muito mais detalhe nos Capítulos 10–12, onde estudaremos a teoria da firma em profundidade.</w:t>
      </w:r>
    </w:p>
    <w:p>
      <w:pPr>
        <w:pStyle w:val="BodyText"/>
      </w:pPr>
      <w:r>
        <w:t xml:space="preserve">Note também que a demonstração ilustra o poder da estática comparativa: como</w:t>
      </w:r>
      <w:r>
        <w:t xml:space="preserve"> </w:t>
      </w:r>
      <m:oMath>
        <m:r>
          <m:t>C</m:t>
        </m:r>
        <m:r>
          <m:t>M</m:t>
        </m:r>
        <m:r>
          <m:t>g</m:t>
        </m:r>
      </m:oMath>
      <w:r>
        <w:t xml:space="preserve"> </w:t>
      </w:r>
      <w:r>
        <w:t xml:space="preserve">é crescente no ótimo, um aumento no preço</w:t>
      </w:r>
      <w:r>
        <w:t xml:space="preserve"> </w:t>
      </w:r>
      <m:oMath>
        <m:r>
          <m:t>P</m:t>
        </m:r>
      </m:oMath>
      <w:r>
        <w:t xml:space="preserve"> </w:t>
      </w:r>
      <w:r>
        <w:t xml:space="preserve">exige um aumento em</w:t>
      </w:r>
      <w:r>
        <w:t xml:space="preserve"> </w:t>
      </w:r>
      <m:oMath>
        <m:sSup>
          <m:e>
            <m:r>
              <m:t>q</m:t>
            </m:r>
          </m:e>
          <m:sup>
            <m:r>
              <m:rPr>
                <m:sty m:val="p"/>
              </m:rPr>
              <m:t>*</m:t>
            </m:r>
          </m:sup>
        </m:sSup>
      </m:oMath>
      <w:r>
        <w:t xml:space="preserve"> </w:t>
      </w:r>
      <w:r>
        <w:t xml:space="preserve">para restaurar a igualdade</w:t>
      </w:r>
      <w:r>
        <w:t xml:space="preserve"> </w:t>
      </w:r>
      <m:oMath>
        <m:r>
          <m:t>P</m:t>
        </m:r>
        <m:r>
          <m:rPr>
            <m:sty m:val="p"/>
          </m:rPr>
          <m:t>=</m:t>
        </m:r>
        <m:r>
          <m:t>C</m:t>
        </m:r>
        <m:r>
          <m:t>M</m:t>
        </m:r>
        <m:r>
          <m:t>g</m:t>
        </m:r>
      </m:oMath>
      <w:r>
        <w:t xml:space="preserve">. Isso fundamenta a</w:t>
      </w:r>
      <w:r>
        <w:t xml:space="preserve"> </w:t>
      </w:r>
      <w:r>
        <w:rPr>
          <w:b/>
          <w:bCs/>
        </w:rPr>
        <w:t xml:space="preserve">lei da oferta</w:t>
      </w:r>
      <w:r>
        <w:t xml:space="preserve"> </w:t>
      </w:r>
      <w:r>
        <w:t xml:space="preserve">— a relação positiva entre preço e quantidade ofertada — como consequência lógica da otimização, não como uma hipótese ad hoc. A relação</w:t>
      </w:r>
      <w:r>
        <w:t xml:space="preserve"> </w:t>
      </w:r>
      <m:oMath>
        <m:sSup>
          <m:e>
            <m:r>
              <m:t>q</m:t>
            </m:r>
          </m:e>
          <m:sup>
            <m:r>
              <m:rPr>
                <m:sty m:val="p"/>
              </m:rPr>
              <m:t>*</m:t>
            </m:r>
          </m:sup>
        </m:sSup>
        <m:r>
          <m:rPr>
            <m:sty m:val="p"/>
          </m:rPr>
          <m:t>(</m:t>
        </m:r>
        <m:r>
          <m:t>P</m:t>
        </m:r>
        <m:r>
          <m:rPr>
            <m:sty m:val="p"/>
          </m:rPr>
          <m:t>)</m:t>
        </m:r>
      </m:oMath>
      <w:r>
        <w:t xml:space="preserve">, que associa a cada preço a quantidade ótima, é a</w:t>
      </w:r>
      <w:r>
        <w:t xml:space="preserve"> </w:t>
      </w:r>
      <w:r>
        <w:rPr>
          <w:b/>
          <w:bCs/>
        </w:rPr>
        <w:t xml:space="preserve">curva de oferta individual</w:t>
      </w:r>
      <w:r>
        <w:t xml:space="preserve"> </w:t>
      </w:r>
      <w:r>
        <w:t xml:space="preserve">da firma.</w:t>
      </w:r>
    </w:p>
    <w:p>
      <w:pPr>
        <w:pStyle w:val="BlockText"/>
      </w:pPr>
      <w:r>
        <w:rPr>
          <w:b/>
          <w:bCs/>
        </w:rPr>
        <w:t xml:space="preserve">[EXERCICIO RESOLVIDO] Exercício Resolvido 1.3 — Maximização de lucro e a condição</w:t>
      </w:r>
      <w:r>
        <w:rPr>
          <w:b/>
          <w:bCs/>
        </w:rPr>
        <w:t xml:space="preserve"> </w:t>
      </w:r>
      <m:oMath>
        <m:r>
          <m:t>P</m:t>
        </m:r>
        <m:r>
          <m:rPr>
            <m:sty m:val="p"/>
          </m:rPr>
          <m:t>=</m:t>
        </m:r>
        <m:r>
          <m:t>C</m:t>
        </m:r>
        <m:r>
          <m:t>M</m:t>
        </m:r>
        <m:r>
          <m:t>g</m:t>
        </m:r>
      </m:oMath>
    </w:p>
    <w:p>
      <w:pPr>
        <w:pStyle w:val="BlockText"/>
      </w:pPr>
      <w:r>
        <w:rPr>
          <w:b/>
          <w:bCs/>
        </w:rPr>
        <w:t xml:space="preserve">Enunciado.</w:t>
      </w:r>
      <w:r>
        <w:t xml:space="preserve"> </w:t>
      </w:r>
      <w:r>
        <w:t xml:space="preserve">Uma firma competitiva tem função de custo total</w:t>
      </w:r>
      <w:r>
        <w:t xml:space="preserve"> </w:t>
      </w:r>
      <m:oMath>
        <m:r>
          <m:t>C</m:t>
        </m:r>
        <m:r>
          <m:t>T</m:t>
        </m:r>
        <m:r>
          <m:rPr>
            <m:sty m:val="p"/>
          </m:rPr>
          <m:t>(</m:t>
        </m:r>
        <m:r>
          <m:t>q</m:t>
        </m:r>
        <m:r>
          <m:rPr>
            <m:sty m:val="p"/>
          </m:rPr>
          <m:t>)</m:t>
        </m:r>
        <m:r>
          <m:rPr>
            <m:sty m:val="p"/>
          </m:rPr>
          <m:t>=</m:t>
        </m:r>
        <m:r>
          <m:t>50</m:t>
        </m:r>
        <m:r>
          <m:rPr>
            <m:sty m:val="p"/>
          </m:rPr>
          <m:t>+</m:t>
        </m:r>
        <m:r>
          <m:t>8</m:t>
        </m:r>
        <m:r>
          <m:t>q</m:t>
        </m:r>
        <m:r>
          <m:rPr>
            <m:sty m:val="p"/>
          </m:rPr>
          <m:t>+</m:t>
        </m:r>
        <m:r>
          <m:t>0</m:t>
        </m:r>
        <m:r>
          <m:rPr>
            <m:sty m:val="p"/>
          </m:rPr>
          <m:t>,</m:t>
        </m:r>
        <m:r>
          <m:t>5</m:t>
        </m:r>
        <m:sSup>
          <m:e>
            <m:r>
              <m:t>q</m:t>
            </m:r>
          </m:e>
          <m:sup>
            <m:r>
              <m:t>2</m:t>
            </m:r>
          </m:sup>
        </m:sSup>
      </m:oMath>
      <w:r>
        <w:t xml:space="preserve">. O preço de mercado é</w:t>
      </w:r>
      <w:r>
        <w:t xml:space="preserve"> </w:t>
      </w:r>
      <m:oMath>
        <m:r>
          <m:t>P</m:t>
        </m:r>
        <m:r>
          <m:rPr>
            <m:sty m:val="p"/>
          </m:rPr>
          <m:t>=</m:t>
        </m:r>
        <m:r>
          <m:t>28</m:t>
        </m:r>
      </m:oMath>
      <w:r>
        <w:t xml:space="preserve">.</w:t>
      </w:r>
    </w:p>
    <w:p>
      <w:pPr>
        <w:pStyle w:val="BlockText"/>
        <w:numPr>
          <w:ilvl w:val="0"/>
          <w:numId w:val="1014"/>
        </w:numPr>
      </w:pPr>
      <w:r>
        <w:t xml:space="preserve">Determine o custo marginal e o custo médio.</w:t>
      </w:r>
    </w:p>
    <w:p>
      <w:pPr>
        <w:pStyle w:val="BlockText"/>
        <w:numPr>
          <w:ilvl w:val="0"/>
          <w:numId w:val="1014"/>
        </w:numPr>
      </w:pPr>
      <w:r>
        <w:t xml:space="preserve">Encontre a quantidade que maximiza o lucro usando a condição</w:t>
      </w:r>
      <w:r>
        <w:t xml:space="preserve"> </w:t>
      </w:r>
      <m:oMath>
        <m:r>
          <m:t>P</m:t>
        </m:r>
        <m:r>
          <m:rPr>
            <m:sty m:val="p"/>
          </m:rPr>
          <m:t>=</m:t>
        </m:r>
        <m:r>
          <m:t>C</m:t>
        </m:r>
        <m:r>
          <m:t>M</m:t>
        </m:r>
        <m:r>
          <m:t>g</m:t>
        </m:r>
      </m:oMath>
      <w:r>
        <w:t xml:space="preserve">.</w:t>
      </w:r>
    </w:p>
    <w:p>
      <w:pPr>
        <w:pStyle w:val="BlockText"/>
        <w:numPr>
          <w:ilvl w:val="0"/>
          <w:numId w:val="1014"/>
        </w:numPr>
      </w:pPr>
      <w:r>
        <w:t xml:space="preserve">Verifique a condição de segunda ordem.</w:t>
      </w:r>
    </w:p>
    <w:p>
      <w:pPr>
        <w:pStyle w:val="BlockText"/>
        <w:numPr>
          <w:ilvl w:val="0"/>
          <w:numId w:val="1014"/>
        </w:numPr>
      </w:pPr>
      <w:r>
        <w:t xml:space="preserve">Calcule o lucro máximo.</w:t>
      </w:r>
    </w:p>
    <w:p>
      <w:pPr>
        <w:pStyle w:val="BlockText"/>
        <w:numPr>
          <w:ilvl w:val="0"/>
          <w:numId w:val="1014"/>
        </w:numPr>
      </w:pPr>
      <w:r>
        <w:t xml:space="preserve">Identifique as variáveis exógenas e endógenas neste modelo.</w:t>
      </w:r>
    </w:p>
    <w:p>
      <w:pPr>
        <w:pStyle w:val="BlockText"/>
      </w:pPr>
      <w:r>
        <w:rPr>
          <w:b/>
          <w:bCs/>
        </w:rPr>
        <w:t xml:space="preserve">Solução.</w:t>
      </w:r>
    </w:p>
    <w:p>
      <w:pPr>
        <w:pStyle w:val="BlockText"/>
      </w:pPr>
      <w:r>
        <w:rPr>
          <w:b/>
          <w:bCs/>
        </w:rPr>
        <w:t xml:space="preserve">(a)</w:t>
      </w:r>
    </w:p>
    <w:p>
      <w:pPr>
        <w:pStyle w:val="BlockText"/>
      </w:pPr>
      <w:r>
        <w:t xml:space="preserve">$$</w:t>
      </w:r>
    </w:p>
    <w:p>
      <w:pPr>
        <w:pStyle w:val="BlockText"/>
      </w:pPr>
      <w:r>
        <w:t xml:space="preserve">CMg(q) =</w:t>
      </w:r>
      <w:r>
        <w:t xml:space="preserve"> </w:t>
      </w:r>
      <w:r>
        <w:t xml:space="preserve"> </w:t>
      </w:r>
      <w:r>
        <w:t xml:space="preserve">= 8 + q</w:t>
      </w:r>
    </w:p>
    <w:p>
      <w:pPr>
        <w:pStyle w:val="BlockText"/>
      </w:pPr>
      <w:r>
        <w:t xml:space="preserve">$$</w:t>
      </w:r>
    </w:p>
    <w:p>
      <w:pPr>
        <w:pStyle w:val="BlockText"/>
      </w:pPr>
      <w:r>
        <w:t xml:space="preserve">$$</w:t>
      </w:r>
    </w:p>
    <w:p>
      <w:pPr>
        <w:pStyle w:val="BlockText"/>
      </w:pPr>
      <w:r>
        <w:t xml:space="preserve">CMe(q) =</w:t>
      </w:r>
      <w:r>
        <w:t xml:space="preserve"> </w:t>
      </w:r>
      <w:r>
        <w:t xml:space="preserve"> </w:t>
      </w:r>
      <w:r>
        <w:t xml:space="preserve">=</w:t>
      </w:r>
      <w:r>
        <w:t xml:space="preserve"> </w:t>
      </w:r>
      <w:r>
        <w:t xml:space="preserve"> </w:t>
      </w:r>
      <w:r>
        <w:t xml:space="preserve">+ 8 + 0{,}5q</w:t>
      </w:r>
    </w:p>
    <w:p>
      <w:pPr>
        <w:pStyle w:val="BlockText"/>
      </w:pPr>
      <w:r>
        <w:t xml:space="preserve">$$</w:t>
      </w:r>
    </w:p>
    <w:p>
      <w:pPr>
        <w:pStyle w:val="BlockText"/>
      </w:pPr>
      <w:r>
        <w:rPr>
          <w:b/>
          <w:bCs/>
        </w:rPr>
        <w:t xml:space="preserve">(b)</w:t>
      </w:r>
      <w:r>
        <w:t xml:space="preserve"> </w:t>
      </w:r>
      <w:r>
        <w:t xml:space="preserve">Pela condição de primeira ordem (</w:t>
      </w:r>
      <m:oMath>
        <m:r>
          <m:t>P</m:t>
        </m:r>
        <m:r>
          <m:rPr>
            <m:sty m:val="p"/>
          </m:rPr>
          <m:t>=</m:t>
        </m:r>
        <m:r>
          <m:t>C</m:t>
        </m:r>
        <m:r>
          <m:t>M</m:t>
        </m:r>
        <m:r>
          <m:t>g</m:t>
        </m:r>
      </m:oMath>
      <w:r>
        <w:t xml:space="preserve">):</w:t>
      </w:r>
    </w:p>
    <w:p>
      <w:pPr>
        <w:pStyle w:val="BlockText"/>
      </w:pPr>
      <w:r>
        <w:t xml:space="preserve">$$</w:t>
      </w:r>
    </w:p>
    <w:p>
      <w:pPr>
        <w:pStyle w:val="BlockText"/>
      </w:pPr>
      <w:r>
        <w:t xml:space="preserve">28 = 8 + q</w:t>
      </w:r>
      <w:r>
        <w:t xml:space="preserve"> </w:t>
      </w:r>
      <w:r>
        <w:t xml:space="preserve">q^* = 20</w:t>
      </w:r>
    </w:p>
    <w:p>
      <w:pPr>
        <w:pStyle w:val="BlockText"/>
      </w:pPr>
      <w:r>
        <w:t xml:space="preserve">$$</w:t>
      </w:r>
    </w:p>
    <w:p>
      <w:pPr>
        <w:pStyle w:val="BlockText"/>
      </w:pPr>
      <w:r>
        <w:rPr>
          <w:b/>
          <w:bCs/>
        </w:rPr>
        <w:t xml:space="preserve">(c)</w:t>
      </w:r>
      <w:r>
        <w:t xml:space="preserve"> </w:t>
      </w:r>
      <w:r>
        <w:t xml:space="preserve">A condição de segunda ordem exige</w:t>
      </w:r>
      <w:r>
        <w:t xml:space="preserve"> </w:t>
      </w:r>
      <m:oMath>
        <m:f>
          <m:fPr>
            <m:type m:val="bar"/>
          </m:fPr>
          <m:num>
            <m:r>
              <m:t>d</m:t>
            </m:r>
            <m:r>
              <m:t>C</m:t>
            </m:r>
            <m:r>
              <m:t>M</m:t>
            </m:r>
            <m:r>
              <m:t>g</m:t>
            </m:r>
          </m:num>
          <m:den>
            <m:r>
              <m:t>d</m:t>
            </m:r>
            <m:r>
              <m:t>q</m:t>
            </m:r>
          </m:den>
        </m:f>
        <m:sSub>
          <m:e>
            <m:r>
              <m:rPr>
                <m:sty m:val="p"/>
              </m:rPr>
              <m:t>|</m:t>
            </m:r>
          </m:e>
          <m:sub>
            <m:sSup>
              <m:e>
                <m:r>
                  <m:t>q</m:t>
                </m:r>
              </m:e>
              <m:sup>
                <m:r>
                  <m:rPr>
                    <m:sty m:val="p"/>
                  </m:rPr>
                  <m:t>*</m:t>
                </m:r>
              </m:sup>
            </m:sSup>
          </m:sub>
        </m:sSub>
        <m:r>
          <m:rPr>
            <m:sty m:val="p"/>
          </m:rPr>
          <m:t>&gt;</m:t>
        </m:r>
        <m:r>
          <m:t>0</m:t>
        </m:r>
      </m:oMath>
      <w:r>
        <w:t xml:space="preserve">:</w:t>
      </w:r>
    </w:p>
    <w:p>
      <w:pPr>
        <w:pStyle w:val="BlockText"/>
      </w:pPr>
      <w:r>
        <w:t xml:space="preserve">$$</w:t>
      </w:r>
    </w:p>
    <w:p>
      <w:pPr>
        <w:pStyle w:val="BlockText"/>
      </w:pPr>
      <w:r>
        <w:t xml:space="preserve"> </w:t>
      </w:r>
      <w:r>
        <w:t xml:space="preserve">= 1 &gt; 0</w:t>
      </w:r>
      <w:r>
        <w:t xml:space="preserve"> </w:t>
      </w:r>
    </w:p>
    <w:p>
      <w:pPr>
        <w:pStyle w:val="BlockText"/>
      </w:pPr>
      <w:r>
        <w:t xml:space="preserve">$$</w:t>
      </w:r>
    </w:p>
    <w:p>
      <w:pPr>
        <w:pStyle w:val="BlockText"/>
      </w:pPr>
      <w:r>
        <w:t xml:space="preserve">O custo marginal é crescente em todo o domínio, confirmando que</w:t>
      </w:r>
      <w:r>
        <w:t xml:space="preserve"> </w:t>
      </w:r>
      <m:oMath>
        <m:sSup>
          <m:e>
            <m:r>
              <m:t>q</m:t>
            </m:r>
          </m:e>
          <m:sup>
            <m:r>
              <m:rPr>
                <m:sty m:val="p"/>
              </m:rPr>
              <m:t>*</m:t>
            </m:r>
          </m:sup>
        </m:sSup>
        <m:r>
          <m:rPr>
            <m:sty m:val="p"/>
          </m:rPr>
          <m:t>=</m:t>
        </m:r>
        <m:r>
          <m:t>20</m:t>
        </m:r>
      </m:oMath>
      <w:r>
        <w:t xml:space="preserve"> </w:t>
      </w:r>
      <w:r>
        <w:t xml:space="preserve">é um máximo do lucro.</w:t>
      </w:r>
    </w:p>
    <w:p>
      <w:pPr>
        <w:pStyle w:val="BlockText"/>
      </w:pPr>
      <w:r>
        <w:rPr>
          <w:b/>
          <w:bCs/>
        </w:rPr>
        <w:t xml:space="preserve">(d)</w:t>
      </w:r>
    </w:p>
    <w:p>
      <w:pPr>
        <w:pStyle w:val="BlockText"/>
      </w:pPr>
      <w:r>
        <w:t xml:space="preserve">$$</w:t>
      </w:r>
    </w:p>
    <w:p>
      <w:pPr>
        <w:pStyle w:val="BlockText"/>
      </w:pPr>
      <w:r>
        <w:t xml:space="preserve">^* = P</w:t>
      </w:r>
      <w:r>
        <w:t xml:space="preserve"> </w:t>
      </w:r>
      <w:r>
        <w:t xml:space="preserve">q^* - CT(q^*) = 28</w:t>
      </w:r>
      <w:r>
        <w:t xml:space="preserve"> </w:t>
      </w:r>
      <w:r>
        <w:t xml:space="preserve"> </w:t>
      </w:r>
      <w:r>
        <w:t xml:space="preserve">- (50 + 8</w:t>
      </w:r>
      <w:r>
        <w:t xml:space="preserve"> </w:t>
      </w:r>
      <w:r>
        <w:t xml:space="preserve"> </w:t>
      </w:r>
      <w:r>
        <w:t xml:space="preserve">+ 0{,}5</w:t>
      </w:r>
      <w:r>
        <w:t xml:space="preserve"> </w:t>
      </w:r>
      <w:r>
        <w:t xml:space="preserve">)</w:t>
      </w:r>
    </w:p>
    <w:p>
      <w:pPr>
        <w:pStyle w:val="BlockText"/>
      </w:pPr>
      <w:r>
        <w:t xml:space="preserve">$$</w:t>
      </w:r>
    </w:p>
    <w:p>
      <w:pPr>
        <w:pStyle w:val="BlockText"/>
      </w:pPr>
      <w:r>
        <w:t xml:space="preserve">$$</w:t>
      </w:r>
    </w:p>
    <w:p>
      <w:pPr>
        <w:pStyle w:val="BlockText"/>
      </w:pPr>
      <w:r>
        <w:t xml:space="preserve">^* = 560 - 50 - 160 - 200 = 150</w:t>
      </w:r>
    </w:p>
    <w:p>
      <w:pPr>
        <w:pStyle w:val="BlockText"/>
      </w:pPr>
      <w:r>
        <w:t xml:space="preserve">$$</w:t>
      </w:r>
    </w:p>
    <w:p>
      <w:pPr>
        <w:pStyle w:val="BlockText"/>
      </w:pPr>
      <w:r>
        <w:rPr>
          <w:b/>
          <w:bCs/>
        </w:rPr>
        <w:t xml:space="preserve">(e)</w:t>
      </w:r>
      <w:r>
        <w:t xml:space="preserve"> </w:t>
      </w:r>
      <w:r>
        <w:rPr>
          <w:b/>
          <w:bCs/>
        </w:rPr>
        <w:t xml:space="preserve">Exógenas:</w:t>
      </w:r>
      <w:r>
        <w:t xml:space="preserve"> </w:t>
      </w:r>
      <w:r>
        <w:t xml:space="preserve">preço de mercado</w:t>
      </w:r>
      <w:r>
        <w:t xml:space="preserve"> </w:t>
      </w:r>
      <m:oMath>
        <m:r>
          <m:t>P</m:t>
        </m:r>
      </m:oMath>
      <w:r>
        <w:t xml:space="preserve">, parâmetros da função de custo (50, 8, 0,5).</w:t>
      </w:r>
      <w:r>
        <w:t xml:space="preserve"> </w:t>
      </w:r>
      <w:r>
        <w:rPr>
          <w:b/>
          <w:bCs/>
        </w:rPr>
        <w:t xml:space="preserve">Endógena:</w:t>
      </w:r>
      <w:r>
        <w:t xml:space="preserve"> </w:t>
      </w:r>
      <w:r>
        <w:t xml:space="preserve">quantidade ótima</w:t>
      </w:r>
      <w:r>
        <w:t xml:space="preserve"> </w:t>
      </w:r>
      <m:oMath>
        <m:sSup>
          <m:e>
            <m:r>
              <m:t>q</m:t>
            </m:r>
          </m:e>
          <m:sup>
            <m:r>
              <m:rPr>
                <m:sty m:val="p"/>
              </m:rPr>
              <m:t>*</m:t>
            </m:r>
          </m:sup>
        </m:sSup>
      </m:oMath>
      <w:r>
        <w:t xml:space="preserve"> </w:t>
      </w:r>
      <w:r>
        <w:t xml:space="preserve">(e, por consequência, o lucro</w:t>
      </w:r>
      <w:r>
        <w:t xml:space="preserve"> </w:t>
      </w:r>
      <m:oMath>
        <m:sSup>
          <m:e>
            <m:r>
              <m:t>π</m:t>
            </m:r>
          </m:e>
          <m:sup>
            <m:r>
              <m:rPr>
                <m:sty m:val="p"/>
              </m:rPr>
              <m:t>*</m:t>
            </m:r>
          </m:sup>
        </m:sSup>
      </m:oMath>
      <w:r>
        <w:t xml:space="preserve">).</w:t>
      </w:r>
    </w:p>
    <w:p>
      <w:r>
        <w:pict>
          <v:rect style="width:0;height:1.5pt" o:hralign="center" o:hrstd="t" o:hr="t"/>
        </w:pict>
      </w:r>
    </w:p>
    <w:p>
      <w:pPr>
        <w:pStyle w:val="BlockText"/>
      </w:pPr>
      <w:r>
        <w:rPr>
          <w:b/>
          <w:bCs/>
        </w:rPr>
        <w:t xml:space="preserve">[BOX BRASIL] Box Brasil — O Plano Real (1994): modelos econômicos em ação</w:t>
      </w:r>
    </w:p>
    <w:p>
      <w:pPr>
        <w:pStyle w:val="BlockText"/>
      </w:pPr>
      <w:r>
        <w:t xml:space="preserve">O</w:t>
      </w:r>
      <w:r>
        <w:t xml:space="preserve"> </w:t>
      </w:r>
      <w:r>
        <w:rPr>
          <w:b/>
          <w:bCs/>
        </w:rPr>
        <w:t xml:space="preserve">Plano Real</w:t>
      </w:r>
      <w:r>
        <w:t xml:space="preserve">, implementado em 1994, é um dos exemplos mais notáveis de aplicação prática de modelos econômicos na história brasileira. Diferentemente dos planos de estabilização anteriores (Cruzado, Bresser, Verão, Collor), que recorreram a congelamentos de preços e confiscos — medidas ad hoc, sem fundamentação teórica sólida —, o Plano Real foi desenhado com base em modelos formais de</w:t>
      </w:r>
      <w:r>
        <w:t xml:space="preserve"> </w:t>
      </w:r>
      <w:r>
        <w:rPr>
          <w:b/>
          <w:bCs/>
        </w:rPr>
        <w:t xml:space="preserve">expectativas racionais</w:t>
      </w:r>
      <w:r>
        <w:t xml:space="preserve">,</w:t>
      </w:r>
      <w:r>
        <w:t xml:space="preserve"> </w:t>
      </w:r>
      <w:r>
        <w:rPr>
          <w:b/>
          <w:bCs/>
        </w:rPr>
        <w:t xml:space="preserve">teoria dos jogos</w:t>
      </w:r>
      <w:r>
        <w:t xml:space="preserve"> </w:t>
      </w:r>
      <w:r>
        <w:t xml:space="preserve">e</w:t>
      </w:r>
      <w:r>
        <w:t xml:space="preserve"> </w:t>
      </w:r>
      <w:r>
        <w:rPr>
          <w:b/>
          <w:bCs/>
        </w:rPr>
        <w:t xml:space="preserve">teoria monetária</w:t>
      </w:r>
      <w:r>
        <w:t xml:space="preserve">.</w:t>
      </w:r>
    </w:p>
    <w:p>
      <w:pPr>
        <w:pStyle w:val="BlockText"/>
      </w:pPr>
      <w:r>
        <w:rPr>
          <w:b/>
          <w:bCs/>
        </w:rPr>
        <w:t xml:space="preserve">O problema da inércia inflacionária.</w:t>
      </w:r>
      <w:r>
        <w:t xml:space="preserve"> </w:t>
      </w:r>
      <w:r>
        <w:t xml:space="preserve">O Brasil enfrentava uma inflação crônica que se autoalimentava: como os agentes esperavam inflação futura, reajustavam preventivamente seus preços, gerando a inflação que temiam. Modelos de expectativas mostravam que, em um equilíbrio com indexação generalizada, a inflação passada se projetava automaticamente para o futuro.</w:t>
      </w:r>
    </w:p>
    <w:p>
      <w:pPr>
        <w:pStyle w:val="BlockText"/>
      </w:pPr>
      <w:r>
        <w:rPr>
          <w:b/>
          <w:bCs/>
        </w:rPr>
        <w:t xml:space="preserve">A solução da URV.</w:t>
      </w:r>
      <w:r>
        <w:t xml:space="preserve"> </w:t>
      </w:r>
      <w:r>
        <w:t xml:space="preserve">A equipe econômica, liderada por Pérsio Arida, André Lara Resende, Edmar Bacha, Pedro Malan e Gustavo Franco, concebeu a</w:t>
      </w:r>
      <w:r>
        <w:t xml:space="preserve"> </w:t>
      </w:r>
      <w:r>
        <w:rPr>
          <w:b/>
          <w:bCs/>
        </w:rPr>
        <w:t xml:space="preserve">Unidade Real de Valor (URV)</w:t>
      </w:r>
      <w:r>
        <w:t xml:space="preserve"> </w:t>
      </w:r>
      <w:r>
        <w:t xml:space="preserve">— uma moeda indexada ao dólar que funcionava como unidade de conta, enquanto o cruzeiro real continuava como meio de pagamento. O mecanismo pode ser compreendido como um</w:t>
      </w:r>
      <w:r>
        <w:t xml:space="preserve"> </w:t>
      </w:r>
      <w:r>
        <w:rPr>
          <w:b/>
          <w:bCs/>
        </w:rPr>
        <w:t xml:space="preserve">jogo de coordenação</w:t>
      </w:r>
      <w:r>
        <w:t xml:space="preserve">: a URV permitiu que todos os agentes</w:t>
      </w:r>
      <w:r>
        <w:t xml:space="preserve"> </w:t>
      </w:r>
      <w:r>
        <w:t xml:space="preserve">“sincronizassem”</w:t>
      </w:r>
      <w:r>
        <w:t xml:space="preserve"> </w:t>
      </w:r>
      <w:r>
        <w:t xml:space="preserve">seus preços relativos em uma unidade estável antes da conversão para a nova moeda.</w:t>
      </w:r>
    </w:p>
    <w:p>
      <w:pPr>
        <w:pStyle w:val="BlockText"/>
      </w:pPr>
      <w:r>
        <w:rPr>
          <w:b/>
          <w:bCs/>
        </w:rPr>
        <w:t xml:space="preserve">A teoria por trás da transição.</w:t>
      </w:r>
      <w:r>
        <w:t xml:space="preserve"> </w:t>
      </w:r>
      <w:r>
        <w:t xml:space="preserve">A ideia fundamental remonta à proposta</w:t>
      </w:r>
      <w:r>
        <w:t xml:space="preserve"> </w:t>
      </w:r>
      <w:r>
        <w:t xml:space="preserve">“Larida”</w:t>
      </w:r>
      <w:r>
        <w:t xml:space="preserve"> </w:t>
      </w:r>
      <w:r>
        <w:t xml:space="preserve">(Arida &amp; Resende, 1985), inspirada em modelos de hiperinflação de Cagan e na teoria de reforma monetária. O modelo previa que, se fosse possível desindexar a economia de forma coordenada e crível, o nível de preços se estabilizaria sem necessidade de congelamento.</w:t>
      </w:r>
    </w:p>
    <w:p>
      <w:pPr>
        <w:pStyle w:val="BlockText"/>
      </w:pPr>
      <w:r>
        <w:rPr>
          <w:b/>
          <w:bCs/>
        </w:rPr>
        <w:t xml:space="preserve">Resultados.</w:t>
      </w:r>
      <w:r>
        <w:t xml:space="preserve"> </w:t>
      </w:r>
      <w:r>
        <w:t xml:space="preserve">A inflação, que atingiu 2.477% nos 12 meses anteriores ao Real, caiu para cerca de 22% em 1995 e seguiu em trajetória descendente. O sucesso do plano ilustra como modelos econômicos bem construídos — mesmo sendo simplificações da realidade — podem orientar intervenções de política com resultados transformadores.</w:t>
      </w:r>
    </w:p>
    <w:p>
      <w:pPr>
        <w:pStyle w:val="BlockText"/>
      </w:pPr>
      <w:r>
        <w:t xml:space="preserve">Este caso demonstra a tese central deste capítulo: modelos são úteis não apesar de suas simplificações, mas</w:t>
      </w:r>
      <w:r>
        <w:t xml:space="preserve"> </w:t>
      </w:r>
      <w:r>
        <w:rPr>
          <w:i/>
          <w:iCs/>
        </w:rPr>
        <w:t xml:space="preserve">por causa</w:t>
      </w:r>
      <w:r>
        <w:t xml:space="preserve"> </w:t>
      </w:r>
      <w:r>
        <w:t xml:space="preserve">delas.</w:t>
      </w:r>
    </w:p>
    <w:p>
      <w:pPr>
        <w:pStyle w:val="BlockText"/>
      </w:pPr>
      <w:r>
        <w:rPr>
          <w:b/>
          <w:bCs/>
        </w:rPr>
        <w:t xml:space="preserve">Fonte:</w:t>
      </w:r>
      <w:r>
        <w:t xml:space="preserve"> </w:t>
      </w:r>
      <w:r>
        <w:t xml:space="preserve">Arida, P.; Resende, A. L. (1985). Inertial Inflation and Monetary Reform in Brazil. In: Williamson, J. (ed.),</w:t>
      </w:r>
      <w:r>
        <w:t xml:space="preserve"> </w:t>
      </w:r>
      <w:r>
        <w:rPr>
          <w:i/>
          <w:iCs/>
        </w:rPr>
        <w:t xml:space="preserve">Inflation and Indexation: Argentina, Brazil and Israel</w:t>
      </w:r>
      <w:r>
        <w:t xml:space="preserve">. MIT Press.</w:t>
      </w:r>
    </w:p>
    <w:p>
      <w:r>
        <w:pict>
          <v:rect style="width:0;height:1.5pt" o:hralign="center" o:hrstd="t" o:hr="t"/>
        </w:pict>
      </w:r>
    </w:p>
    <w:p>
      <w:pPr>
        <w:pStyle w:val="BlockText"/>
      </w:pPr>
      <w:r>
        <w:rPr>
          <w:b/>
          <w:bCs/>
        </w:rPr>
        <w:t xml:space="preserve">[BOX BRASIL] Box Brasil — COPOM e os modelos de projeção da inflação</w:t>
      </w:r>
    </w:p>
    <w:p>
      <w:pPr>
        <w:pStyle w:val="BlockText"/>
      </w:pPr>
      <w:r>
        <w:t xml:space="preserve">O</w:t>
      </w:r>
      <w:r>
        <w:t xml:space="preserve"> </w:t>
      </w:r>
      <w:r>
        <w:rPr>
          <w:b/>
          <w:bCs/>
        </w:rPr>
        <w:t xml:space="preserve">Comitê de Política Monetária (COPOM)</w:t>
      </w:r>
      <w:r>
        <w:t xml:space="preserve"> </w:t>
      </w:r>
      <w:r>
        <w:t xml:space="preserve">do Banco Central do Brasil decide, a cada 45 dias, a taxa básica de juros (</w:t>
      </w:r>
      <w:r>
        <w:rPr>
          <w:b/>
          <w:bCs/>
        </w:rPr>
        <w:t xml:space="preserve">Selic</w:t>
      </w:r>
      <w:r>
        <w:t xml:space="preserve">) com base em projeções geradas por modelos econômicos. O principal instrumento é o</w:t>
      </w:r>
      <w:r>
        <w:t xml:space="preserve"> </w:t>
      </w:r>
      <w:r>
        <w:rPr>
          <w:b/>
          <w:bCs/>
        </w:rPr>
        <w:t xml:space="preserve">SAMBA</w:t>
      </w:r>
      <w:r>
        <w:t xml:space="preserve"> </w:t>
      </w:r>
      <w:r>
        <w:t xml:space="preserve">(</w:t>
      </w:r>
      <w:r>
        <w:rPr>
          <w:i/>
          <w:iCs/>
        </w:rPr>
        <w:t xml:space="preserve">Stochastic Analytical Model with a Bayesian Approach</w:t>
      </w:r>
      <w:r>
        <w:t xml:space="preserve">), um modelo de equilíbrio geral dinâmico estocástico (DSGE) que representa a economia brasileira por meio de equações descrevendo o comportamento de famílias, firmas, governo e setor externo (Castro et al., 2015).</w:t>
      </w:r>
    </w:p>
    <w:p>
      <w:pPr>
        <w:pStyle w:val="BlockText"/>
      </w:pPr>
      <w:r>
        <w:rPr>
          <w:b/>
          <w:bCs/>
        </w:rPr>
        <w:t xml:space="preserve">A lógica do modelo.</w:t>
      </w:r>
      <w:r>
        <w:t xml:space="preserve"> </w:t>
      </w:r>
      <w:r>
        <w:t xml:space="preserve">O SAMBA contém variáveis exógenas (choques de oferta, variações cambiais, preços internacionais de commodities) e variáveis endógenas (inflação, produto, taxa de juros). A partir de suposições sobre o comportamento otimizador dos agentes — exatamente como descrito na Seção 1.3 — e de uma regra de política monetária (regra de Taylor), o modelo projeta trajetórias de inflação 6 a 8 trimestres à frente.</w:t>
      </w:r>
    </w:p>
    <w:p>
      <w:pPr>
        <w:pStyle w:val="BlockText"/>
      </w:pPr>
      <w:r>
        <w:rPr>
          <w:b/>
          <w:bCs/>
        </w:rPr>
        <w:t xml:space="preserve">Modelos como</w:t>
      </w:r>
      <w:r>
        <w:rPr>
          <w:b/>
          <w:bCs/>
        </w:rPr>
        <w:t xml:space="preserve"> </w:t>
      </w:r>
      <w:r>
        <w:rPr>
          <w:b/>
          <w:bCs/>
        </w:rPr>
        <w:t xml:space="preserve">“mapas”</w:t>
      </w:r>
      <w:r>
        <w:rPr>
          <w:b/>
          <w:bCs/>
        </w:rPr>
        <w:t xml:space="preserve">.</w:t>
      </w:r>
      <w:r>
        <w:t xml:space="preserve"> </w:t>
      </w:r>
      <w:r>
        <w:t xml:space="preserve">O BCB não utiliza apenas o SAMBA. Emprega também modelos semi-estruturais, VARs (vetores autorregressivos) e modelos de fatores. Cada modelo é um</w:t>
      </w:r>
      <w:r>
        <w:t xml:space="preserve"> </w:t>
      </w:r>
      <w:r>
        <w:t xml:space="preserve">“mapa”</w:t>
      </w:r>
      <w:r>
        <w:t xml:space="preserve"> </w:t>
      </w:r>
      <w:r>
        <w:t xml:space="preserve">diferente da mesma economia — como discutido na Seção 1.1, a escolha do modelo depende da pergunta: o SAMBA é útil para análise de política monetária, enquanto os VARs capturam melhor dinâmicas de curto prazo.</w:t>
      </w:r>
    </w:p>
    <w:p>
      <w:pPr>
        <w:pStyle w:val="BlockText"/>
      </w:pPr>
      <w:r>
        <w:rPr>
          <w:b/>
          <w:bCs/>
        </w:rPr>
        <w:t xml:space="preserve">Verificação.</w:t>
      </w:r>
      <w:r>
        <w:t xml:space="preserve"> </w:t>
      </w:r>
      <w:r>
        <w:t xml:space="preserve">O BCB publica trimestralmente o</w:t>
      </w:r>
      <w:r>
        <w:t xml:space="preserve"> </w:t>
      </w:r>
      <w:r>
        <w:rPr>
          <w:i/>
          <w:iCs/>
        </w:rPr>
        <w:t xml:space="preserve">Relatório de Inflação</w:t>
      </w:r>
      <w:r>
        <w:t xml:space="preserve">, no qual confronta suas projeções passadas com os dados realizados — um exercício de verificação indireta de seus modelos, exatamente no espírito da Seção 1.2. Quando as projeções se desviam sistematicamente da realidade, os modelos são recalibrados.</w:t>
      </w:r>
    </w:p>
    <w:p>
      <w:pPr>
        <w:pStyle w:val="BlockText"/>
      </w:pPr>
      <w:r>
        <w:t xml:space="preserve">Este caso ilustra que modelos econômicos não são exercícios acadêmicos abstratos: são ferramentas operacionais que orientam decisões com impacto direto sobre a vida de milhões de brasileiros.</w:t>
      </w:r>
    </w:p>
    <w:p>
      <w:r>
        <w:pict>
          <v:rect style="width:0;height:1.5pt" o:hralign="center" o:hrstd="t" o:hr="t"/>
        </w:pict>
      </w:r>
    </w:p>
    <w:p>
      <w:pPr>
        <w:pStyle w:val="FirstParagraph"/>
      </w:pPr>
      <w:r>
        <w:t xml:space="preserve">Lembra da sobremesa? Aquele conflito interno — prazer agora vs. culpa depois — é, no fundo, um problema de otimização com restrição (mandamento 2), analisável isolando variáveis</w:t>
      </w:r>
      <w:r>
        <w:t xml:space="preserve"> </w:t>
      </w:r>
      <w:r>
        <w:rPr>
          <w:i/>
          <w:iCs/>
        </w:rPr>
        <w:t xml:space="preserve">ceteris paribus</w:t>
      </w:r>
      <w:r>
        <w:t xml:space="preserve"> </w:t>
      </w:r>
      <w:r>
        <w:t xml:space="preserve">(mandamento 1), e cuja</w:t>
      </w:r>
      <w:r>
        <w:t xml:space="preserve"> </w:t>
      </w:r>
      <w:r>
        <w:t xml:space="preserve">“solução correta”</w:t>
      </w:r>
      <w:r>
        <w:t xml:space="preserve"> </w:t>
      </w:r>
      <w:r>
        <w:t xml:space="preserve">depende de se estamos descrevendo o que você</w:t>
      </w:r>
      <w:r>
        <w:t xml:space="preserve"> </w:t>
      </w:r>
      <w:r>
        <w:rPr>
          <w:i/>
          <w:iCs/>
        </w:rPr>
        <w:t xml:space="preserve">faz</w:t>
      </w:r>
      <w:r>
        <w:t xml:space="preserve"> </w:t>
      </w:r>
      <w:r>
        <w:t xml:space="preserve">ou prescrevendo o que</w:t>
      </w:r>
      <w:r>
        <w:t xml:space="preserve"> </w:t>
      </w:r>
      <w:r>
        <w:rPr>
          <w:i/>
          <w:iCs/>
        </w:rPr>
        <w:t xml:space="preserve">deveria</w:t>
      </w:r>
      <w:r>
        <w:t xml:space="preserve"> </w:t>
      </w:r>
      <w:r>
        <w:t xml:space="preserve">fazer (mandamento 3).</w:t>
      </w:r>
    </w:p>
    <w:p>
      <w:pPr>
        <w:pStyle w:val="BodyText"/>
      </w:pPr>
      <w:r>
        <w:t xml:space="preserve">Se este capítulo cumpriu sua missão, você saiu dele com três convicções:</w:t>
      </w:r>
    </w:p>
    <w:p>
      <w:pPr>
        <w:pStyle w:val="Compact"/>
        <w:numPr>
          <w:ilvl w:val="0"/>
          <w:numId w:val="1015"/>
        </w:numPr>
      </w:pPr>
      <w:r>
        <w:rPr>
          <w:b/>
          <w:bCs/>
        </w:rPr>
        <w:t xml:space="preserve">Modelos são mentiras úteis</w:t>
      </w:r>
      <w:r>
        <w:t xml:space="preserve"> </w:t>
      </w:r>
      <w:r>
        <w:t xml:space="preserve">— e a arte está em mentir bem (Seção 1.1). A pergunta nunca é</w:t>
      </w:r>
      <w:r>
        <w:t xml:space="preserve"> </w:t>
      </w:r>
      <w:r>
        <w:t xml:space="preserve">“o modelo é realista?”</w:t>
      </w:r>
      <w:r>
        <w:t xml:space="preserve">, mas</w:t>
      </w:r>
      <w:r>
        <w:t xml:space="preserve"> </w:t>
      </w:r>
      <w:r>
        <w:t xml:space="preserve">“o modelo ilumina algo que eu não enxergava antes?”</w:t>
      </w:r>
      <w:r>
        <w:t xml:space="preserve">.</w:t>
      </w:r>
    </w:p>
    <w:p>
      <w:pPr>
        <w:pStyle w:val="Compact"/>
        <w:numPr>
          <w:ilvl w:val="0"/>
          <w:numId w:val="1015"/>
        </w:numPr>
      </w:pPr>
      <w:r>
        <w:rPr>
          <w:b/>
          <w:bCs/>
        </w:rPr>
        <w:t xml:space="preserve">Tudo se resolve na margem</w:t>
      </w:r>
      <w:r>
        <w:t xml:space="preserve"> </w:t>
      </w:r>
      <w:r>
        <w:t xml:space="preserve">— desde o paradoxo de Smith até a decisão da firma sobre produzir mais uma unidade. A revolução marginalista (Seção 1.5) não foi apenas uma mudança de teoria; foi uma mudança de</w:t>
      </w:r>
      <w:r>
        <w:t xml:space="preserve"> </w:t>
      </w:r>
      <w:r>
        <w:rPr>
          <w:i/>
          <w:iCs/>
        </w:rPr>
        <w:t xml:space="preserve">forma de pensar</w:t>
      </w:r>
      <w:r>
        <w:t xml:space="preserve">.</w:t>
      </w:r>
    </w:p>
    <w:p>
      <w:pPr>
        <w:pStyle w:val="Compact"/>
        <w:numPr>
          <w:ilvl w:val="0"/>
          <w:numId w:val="1015"/>
        </w:numPr>
      </w:pPr>
      <w:r>
        <w:rPr>
          <w:b/>
          <w:bCs/>
        </w:rPr>
        <w:t xml:space="preserve">A microeconomia é uma ciência viva</w:t>
      </w:r>
      <w:r>
        <w:t xml:space="preserve"> </w:t>
      </w:r>
      <w:r>
        <w:t xml:space="preserve">— não um museu de modelos embalsamados. De Card e Krueger questionando a predição clássica sobre salário mínimo (Box 1.1) à Nota Fiscal Paulista transformando consumidores em auditores (Pesquisa em Ação), a fronteira se move a cada paper publicado.</w:t>
      </w:r>
    </w:p>
    <w:p>
      <w:pPr>
        <w:pStyle w:val="FirstParagraph"/>
      </w:pPr>
      <w:r>
        <w:t xml:space="preserve">Nos próximos capítulos, vamos formalizar essa intuição — começando pelas ferramentas matemáticas que transformam dilemas de supermercado em equações resolúveis.</w:t>
      </w:r>
    </w:p>
    <w:p>
      <w:pPr>
        <w:pStyle w:val="BodyText"/>
      </w:pPr>
      <w:r>
        <w:rPr>
          <w:i/>
          <w:iCs/>
        </w:rPr>
        <w:t xml:space="preserve">No próximo capítulo: as ferramentas que transformam intuição em demonstração. (Aviso: vai ter derivada. Nobody expects the chain rule!)</w:t>
      </w:r>
    </w:p>
    <w:bookmarkEnd w:id="55"/>
    <w:bookmarkEnd w:id="56"/>
    <w:bookmarkStart w:id="62" w:name="exercícios-e-anpec"/>
    <w:p>
      <w:pPr>
        <w:pStyle w:val="Heading2"/>
      </w:pPr>
      <w:r>
        <w:t xml:space="preserve">Exercícios e ANPEC</w:t>
      </w:r>
    </w:p>
    <w:p>
      <w:pPr>
        <w:pStyle w:val="FirstParagraph"/>
      </w:pPr>
      <w:r>
        <w:t xml:space="preserve">[FIGURA INTERATIVA: /micro-book/graficos/cap01/webr-oferta-demanda.html — versao interativa disponivel online]</w:t>
      </w:r>
    </w:p>
    <w:p>
      <w:pPr>
        <w:pStyle w:val="BodyText"/>
      </w:pPr>
      <w:r>
        <w:rPr>
          <w:b/>
          <w:bCs/>
        </w:rPr>
        <w:t xml:space="preserve">WebR 1.1 — Oferta e Demanda: estática comparativa.</w:t>
      </w:r>
      <w:r>
        <w:t xml:space="preserve"> </w:t>
      </w:r>
      <w:r>
        <w:t xml:space="preserve">Altere os parâmetros de oferta, demanda e o choque de renda para ver como o equilíbrio se desloca. O código R executa diretamente no navegador via WebAssembly.</w:t>
      </w:r>
    </w:p>
    <w:p>
      <w:pPr>
        <w:pStyle w:val="BodyText"/>
      </w:pPr>
      <w:r>
        <w:t xml:space="preserve">[FIGURA INTERATIVA: /micro-book/graficos/cap01/webr-equilibrio-imposto.html — versao interativa disponivel online]</w:t>
      </w:r>
    </w:p>
    <w:p>
      <w:pPr>
        <w:pStyle w:val="BodyText"/>
      </w:pPr>
      <w:r>
        <w:rPr>
          <w:b/>
          <w:bCs/>
        </w:rPr>
        <w:t xml:space="preserve">WebR 1.4 — Quem paga o imposto?</w:t>
      </w:r>
      <w:r>
        <w:t xml:space="preserve"> </w:t>
      </w:r>
      <w:r>
        <w:t xml:space="preserve">Simule um imposto por unidade e veja como ele se divide entre consumidor e produtor. O peso morto (DWL) aparece como triângulo vermelho. Altere as inclinações: quem paga mais, o lado mais elástico ou o mais inelástico?</w:t>
      </w:r>
    </w:p>
    <w:p>
      <w:pPr>
        <w:pStyle w:val="BodyText"/>
      </w:pPr>
      <w:r>
        <w:t xml:space="preserve">[FIGURA INTERATIVA: /micro-book/graficos/cap01/webr-elasticidade.html — versao interativa disponivel online]</w:t>
      </w:r>
    </w:p>
    <w:p>
      <w:pPr>
        <w:pStyle w:val="BodyText"/>
      </w:pPr>
      <w:r>
        <w:rPr>
          <w:b/>
          <w:bCs/>
        </w:rPr>
        <w:t xml:space="preserve">WebR 1.5 — Elasticidade ao longo de uma curva de demanda.</w:t>
      </w:r>
      <w:r>
        <w:t xml:space="preserve"> </w:t>
      </w:r>
      <w:r>
        <w:t xml:space="preserve">A mesma curva linear tem trechos elásticos e inelásticos. O código calcula |E| em vários pontos e mostra onde a receita total é máxima (|E|=1). Altere os parâmetros e descubra: onde a firma quer operar?</w:t>
      </w:r>
    </w:p>
    <w:p>
      <w:r>
        <w:pict>
          <v:rect style="width:0;height:1.5pt" o:hralign="center" o:hrstd="t" o:hr="t"/>
        </w:pict>
      </w:r>
    </w:p>
    <w:p>
      <w:pPr>
        <w:pStyle w:val="BlockText"/>
      </w:pPr>
      <w:r>
        <w:rPr>
          <w:b/>
          <w:bCs/>
        </w:rPr>
        <w:t xml:space="preserve">[ATIVIDADE DE SALA] Atividade 1.1 — O modelo do almoço: simplificar para enxergar (20 min)</w:t>
      </w:r>
    </w:p>
    <w:p>
      <w:pPr>
        <w:pStyle w:val="BlockText"/>
      </w:pPr>
      <w:r>
        <w:rPr>
          <w:b/>
          <w:bCs/>
        </w:rPr>
        <w:t xml:space="preserve">Objetivo:</w:t>
      </w:r>
      <w:r>
        <w:t xml:space="preserve"> </w:t>
      </w:r>
      <w:r>
        <w:t xml:space="preserve">Vivenciar a lógica de construção de modelos — e entender que omitir não é ignorar.</w:t>
      </w:r>
    </w:p>
    <w:p>
      <w:pPr>
        <w:pStyle w:val="BlockText"/>
      </w:pPr>
      <w:r>
        <w:rPr>
          <w:b/>
          <w:bCs/>
        </w:rPr>
        <w:t xml:space="preserve">Material:</w:t>
      </w:r>
      <w:r>
        <w:t xml:space="preserve"> </w:t>
      </w:r>
      <w:r>
        <w:t xml:space="preserve">Folha de papel e caneta para cada grupo.</w:t>
      </w:r>
    </w:p>
    <w:p>
      <w:pPr>
        <w:pStyle w:val="BlockText"/>
      </w:pPr>
      <w:r>
        <w:rPr>
          <w:b/>
          <w:bCs/>
        </w:rPr>
        <w:t xml:space="preserve">Protocolo:</w:t>
      </w:r>
    </w:p>
    <w:p>
      <w:pPr>
        <w:pStyle w:val="Compact"/>
        <w:numPr>
          <w:ilvl w:val="0"/>
          <w:numId w:val="1016"/>
        </w:numPr>
      </w:pPr>
      <w:r>
        <w:rPr>
          <w:b/>
          <w:bCs/>
        </w:rPr>
        <w:t xml:space="preserve">Formação de grupos</w:t>
      </w:r>
      <w:r>
        <w:t xml:space="preserve"> </w:t>
      </w:r>
      <w:r>
        <w:t xml:space="preserve">(2 min): Grupos de 3–4 alunos.</w:t>
      </w:r>
    </w:p>
    <w:p>
      <w:pPr>
        <w:pStyle w:val="Compact"/>
        <w:numPr>
          <w:ilvl w:val="0"/>
          <w:numId w:val="1016"/>
        </w:numPr>
      </w:pPr>
      <w:r>
        <w:rPr>
          <w:b/>
          <w:bCs/>
        </w:rPr>
        <w:t xml:space="preserve">O problema</w:t>
      </w:r>
      <w:r>
        <w:t xml:space="preserve"> </w:t>
      </w:r>
      <w:r>
        <w:t xml:space="preserve">(3 min):</w:t>
      </w:r>
      <w:r>
        <w:t xml:space="preserve"> </w:t>
      </w:r>
      <w:r>
        <w:t xml:space="preserve">“Vocês precisam prever onde os alunos da turma almoçam hoje. Têm 5 minutos e só podem usar</w:t>
      </w:r>
      <w:r>
        <w:t xml:space="preserve"> </w:t>
      </w:r>
      <w:r>
        <w:rPr>
          <w:b/>
          <w:bCs/>
        </w:rPr>
        <w:t xml:space="preserve">3 variáveis</w:t>
      </w:r>
      <w:r>
        <w:t xml:space="preserve"> </w:t>
      </w:r>
      <w:r>
        <w:t xml:space="preserve">(exemplo: preço, distância, tempo de espera). Quais 3 vocês escolhem? Anotem e justifiquem.”</w:t>
      </w:r>
    </w:p>
    <w:p>
      <w:pPr>
        <w:pStyle w:val="Compact"/>
        <w:numPr>
          <w:ilvl w:val="0"/>
          <w:numId w:val="1016"/>
        </w:numPr>
      </w:pPr>
      <w:r>
        <w:rPr>
          <w:b/>
          <w:bCs/>
        </w:rPr>
        <w:t xml:space="preserve">Apresentação</w:t>
      </w:r>
      <w:r>
        <w:t xml:space="preserve"> </w:t>
      </w:r>
      <w:r>
        <w:t xml:space="preserve">(8 min): Cada grupo apresenta seu</w:t>
      </w:r>
      <w:r>
        <w:t xml:space="preserve"> </w:t>
      </w:r>
      <w:r>
        <w:t xml:space="preserve">“modelo de almoço”</w:t>
      </w:r>
      <w:r>
        <w:t xml:space="preserve"> </w:t>
      </w:r>
      <w:r>
        <w:t xml:space="preserve">em 1 minuto. O professor anota as variáveis escolhidas no quadro. Tipicamente: preço, distância, qualidade da comida, tempo de espera, se amigos vão junto.</w:t>
      </w:r>
    </w:p>
    <w:p>
      <w:pPr>
        <w:pStyle w:val="Compact"/>
        <w:numPr>
          <w:ilvl w:val="0"/>
          <w:numId w:val="1016"/>
        </w:numPr>
      </w:pPr>
      <w:r>
        <w:rPr>
          <w:b/>
          <w:bCs/>
        </w:rPr>
        <w:t xml:space="preserve">Debrief</w:t>
      </w:r>
      <w:r>
        <w:t xml:space="preserve"> </w:t>
      </w:r>
      <w:r>
        <w:t xml:space="preserve">(7 min):</w:t>
      </w:r>
    </w:p>
    <w:p>
      <w:pPr>
        <w:pStyle w:val="Compact"/>
        <w:numPr>
          <w:ilvl w:val="1"/>
          <w:numId w:val="1017"/>
        </w:numPr>
      </w:pPr>
      <w:r>
        <w:t xml:space="preserve">Pergunte:</w:t>
      </w:r>
      <w:r>
        <w:t xml:space="preserve"> </w:t>
      </w:r>
      <w:r>
        <w:t xml:space="preserve">“Algum grupo incluiu</w:t>
      </w:r>
      <w:r>
        <w:t xml:space="preserve"> </w:t>
      </w:r>
      <w:r>
        <w:t xml:space="preserve">‘cor da parede do restaurante’</w:t>
      </w:r>
      <w:r>
        <w:t xml:space="preserve">?</w:t>
      </w:r>
      <w:r>
        <w:t xml:space="preserve"> </w:t>
      </w:r>
      <w:r>
        <w:t xml:space="preserve">‘Signo do cozinheiro’</w:t>
      </w:r>
      <w:r>
        <w:t xml:space="preserve">? Não? Por que não?”</w:t>
      </w:r>
      <w:r>
        <w:t xml:space="preserve"> </w:t>
      </w:r>
      <w:r>
        <w:t xml:space="preserve">→</w:t>
      </w:r>
      <w:r>
        <w:t xml:space="preserve"> </w:t>
      </w:r>
      <w:r>
        <w:rPr>
          <w:i/>
          <w:iCs/>
        </w:rPr>
        <w:t xml:space="preserve">Ceteris paribus</w:t>
      </w:r>
      <w:r>
        <w:t xml:space="preserve"> </w:t>
      </w:r>
      <w:r>
        <w:t xml:space="preserve">como decisão deliberada de omissão.</w:t>
      </w:r>
    </w:p>
    <w:p>
      <w:pPr>
        <w:pStyle w:val="Compact"/>
        <w:numPr>
          <w:ilvl w:val="1"/>
          <w:numId w:val="1017"/>
        </w:numPr>
      </w:pPr>
      <w:r>
        <w:t xml:space="preserve">Pergunte:</w:t>
      </w:r>
      <w:r>
        <w:t xml:space="preserve"> </w:t>
      </w:r>
      <w:r>
        <w:t xml:space="preserve">“Se eu disser que 80% da turma almoça no RU, seu modelo acertou? Ele precisa acertar o nome exato do restaurante de cada pessoa?”</w:t>
      </w:r>
      <w:r>
        <w:t xml:space="preserve"> </w:t>
      </w:r>
      <w:r>
        <w:t xml:space="preserve">→ Verificação indireta vs. direta (Seção 1.2).</w:t>
      </w:r>
    </w:p>
    <w:p>
      <w:pPr>
        <w:pStyle w:val="Compact"/>
        <w:numPr>
          <w:ilvl w:val="1"/>
          <w:numId w:val="1017"/>
        </w:numPr>
      </w:pPr>
      <w:r>
        <w:t xml:space="preserve">Pergunte:</w:t>
      </w:r>
      <w:r>
        <w:t xml:space="preserve"> </w:t>
      </w:r>
      <w:r>
        <w:t xml:space="preserve">“Se o preço do RU dobrasse amanhã, o que seu modelo prevê? Ele consegue fazer</w:t>
      </w:r>
      <w:r>
        <w:t xml:space="preserve"> </w:t>
      </w:r>
      <w:r>
        <w:rPr>
          <w:i/>
          <w:iCs/>
        </w:rPr>
        <w:t xml:space="preserve">estática comparativa</w:t>
      </w:r>
      <w:r>
        <w:t xml:space="preserve">?”</w:t>
      </w:r>
      <w:r>
        <w:t xml:space="preserve"> </w:t>
      </w:r>
      <w:r>
        <w:t xml:space="preserve">→ Conecte com Seção 1.4.</w:t>
      </w:r>
    </w:p>
    <w:p>
      <w:pPr>
        <w:pStyle w:val="Compact"/>
        <w:numPr>
          <w:ilvl w:val="1"/>
          <w:numId w:val="1017"/>
        </w:numPr>
      </w:pPr>
      <w:r>
        <w:t xml:space="preserve">Feche:</w:t>
      </w:r>
      <w:r>
        <w:t xml:space="preserve"> </w:t>
      </w:r>
      <w:r>
        <w:t xml:space="preserve">“Parabéns, vocês acabaram de construir um modelo microeconômico. Ele está errado — todos os modelos estão. Mas é útil?”</w:t>
      </w:r>
    </w:p>
    <w:p>
      <w:pPr>
        <w:pStyle w:val="BlockText"/>
      </w:pPr>
      <w:r>
        <w:rPr>
          <w:b/>
          <w:bCs/>
        </w:rPr>
        <w:t xml:space="preserve">Conexão com o conteúdo:</w:t>
      </w:r>
      <w:r>
        <w:t xml:space="preserve"> </w:t>
      </w:r>
      <w:r>
        <w:t xml:space="preserve">Seções 1.1 (por que simplificar), 1.2 (verificação), 1.3 (</w:t>
      </w:r>
      <w:r>
        <w:rPr>
          <w:i/>
          <w:iCs/>
        </w:rPr>
        <w:t xml:space="preserve">ceteris paribus</w:t>
      </w:r>
      <w:r>
        <w:t xml:space="preserve">), 1.4 (estática comparativa).</w:t>
      </w:r>
    </w:p>
    <w:p>
      <w:pPr>
        <w:pStyle w:val="BlockText"/>
      </w:pPr>
      <w:r>
        <w:rPr>
          <w:b/>
          <w:bCs/>
        </w:rPr>
        <w:t xml:space="preserve">[ATIVIDADE DE SALA] Atividade 1.2 — Positivo vs. normativo: o debate do salário mínimo (15 min)</w:t>
      </w:r>
    </w:p>
    <w:p>
      <w:pPr>
        <w:pStyle w:val="BlockText"/>
      </w:pPr>
      <w:r>
        <w:rPr>
          <w:b/>
          <w:bCs/>
        </w:rPr>
        <w:t xml:space="preserve">Objetivo:</w:t>
      </w:r>
      <w:r>
        <w:t xml:space="preserve"> </w:t>
      </w:r>
      <w:r>
        <w:t xml:space="preserve">Distinguir na prática afirmações positivas de normativas — e perceber como pressupostos mudam conclusões.</w:t>
      </w:r>
    </w:p>
    <w:p>
      <w:pPr>
        <w:pStyle w:val="BlockText"/>
      </w:pPr>
      <w:r>
        <w:rPr>
          <w:b/>
          <w:bCs/>
        </w:rPr>
        <w:t xml:space="preserve">Material:</w:t>
      </w:r>
      <w:r>
        <w:t xml:space="preserve"> </w:t>
      </w:r>
      <w:r>
        <w:t xml:space="preserve">Nenhum (apenas projeção de duas frases).</w:t>
      </w:r>
    </w:p>
    <w:p>
      <w:pPr>
        <w:pStyle w:val="BlockText"/>
      </w:pPr>
      <w:r>
        <w:rPr>
          <w:b/>
          <w:bCs/>
        </w:rPr>
        <w:t xml:space="preserve">Protocolo:</w:t>
      </w:r>
    </w:p>
    <w:p>
      <w:pPr>
        <w:pStyle w:val="Compact"/>
        <w:numPr>
          <w:ilvl w:val="0"/>
          <w:numId w:val="1018"/>
        </w:numPr>
      </w:pPr>
      <w:r>
        <w:rPr>
          <w:b/>
          <w:bCs/>
        </w:rPr>
        <w:t xml:space="preserve">Estímulo</w:t>
      </w:r>
      <w:r>
        <w:t xml:space="preserve"> </w:t>
      </w:r>
      <w:r>
        <w:t xml:space="preserve">(2 min): Projete duas frases: (A)</w:t>
      </w:r>
      <w:r>
        <w:t xml:space="preserve"> </w:t>
      </w:r>
      <w:r>
        <w:t xml:space="preserve">“Um aumento de 10% no salário mínimo reduz o emprego formal em 1,5%.”</w:t>
      </w:r>
      <w:r>
        <w:t xml:space="preserve"> </w:t>
      </w:r>
      <w:r>
        <w:t xml:space="preserve">(B)</w:t>
      </w:r>
      <w:r>
        <w:t xml:space="preserve"> </w:t>
      </w:r>
      <w:r>
        <w:t xml:space="preserve">“O salário mínimo deveria ser de R$ 3.000 para garantir dignidade.”</w:t>
      </w:r>
    </w:p>
    <w:p>
      <w:pPr>
        <w:pStyle w:val="Compact"/>
        <w:numPr>
          <w:ilvl w:val="0"/>
          <w:numId w:val="1018"/>
        </w:numPr>
      </w:pPr>
      <w:r>
        <w:rPr>
          <w:b/>
          <w:bCs/>
        </w:rPr>
        <w:t xml:space="preserve">Think-Pair-Share</w:t>
      </w:r>
      <w:r>
        <w:t xml:space="preserve"> </w:t>
      </w:r>
      <w:r>
        <w:t xml:space="preserve">(5 min): Individualmente (1 min), depois em duplas (2 min), depois compartilham (2 min):</w:t>
      </w:r>
      <w:r>
        <w:t xml:space="preserve"> </w:t>
      </w:r>
      <w:r>
        <w:t xml:space="preserve">“Qual frase é positiva e qual é normativa? Por quê?”</w:t>
      </w:r>
    </w:p>
    <w:p>
      <w:pPr>
        <w:pStyle w:val="Compact"/>
        <w:numPr>
          <w:ilvl w:val="0"/>
          <w:numId w:val="1018"/>
        </w:numPr>
      </w:pPr>
      <w:r>
        <w:rPr>
          <w:b/>
          <w:bCs/>
        </w:rPr>
        <w:t xml:space="preserve">Twist</w:t>
      </w:r>
      <w:r>
        <w:t xml:space="preserve"> </w:t>
      </w:r>
      <w:r>
        <w:t xml:space="preserve">(3 min): Projete uma terceira frase: (C)</w:t>
      </w:r>
      <w:r>
        <w:t xml:space="preserve"> </w:t>
      </w:r>
      <w:r>
        <w:t xml:space="preserve">“Card e Krueger (1994) encontraram que um aumento no salário mínimo em New Jersey</w:t>
      </w:r>
      <w:r>
        <w:t xml:space="preserve"> </w:t>
      </w:r>
      <w:r>
        <w:rPr>
          <w:i/>
          <w:iCs/>
        </w:rPr>
        <w:t xml:space="preserve">não</w:t>
      </w:r>
      <w:r>
        <w:t xml:space="preserve"> </w:t>
      </w:r>
      <w:r>
        <w:t xml:space="preserve">reduziu o emprego.”</w:t>
      </w:r>
      <w:r>
        <w:t xml:space="preserve"> </w:t>
      </w:r>
      <w:r>
        <w:t xml:space="preserve">Pergunte:</w:t>
      </w:r>
      <w:r>
        <w:t xml:space="preserve"> </w:t>
      </w:r>
      <w:r>
        <w:t xml:space="preserve">“A frase (A) ficou falsa? Ou o modelo que a gerou precisa de hipóteses adicionais?”</w:t>
      </w:r>
    </w:p>
    <w:p>
      <w:pPr>
        <w:pStyle w:val="Compact"/>
        <w:numPr>
          <w:ilvl w:val="0"/>
          <w:numId w:val="1018"/>
        </w:numPr>
      </w:pPr>
      <w:r>
        <w:rPr>
          <w:b/>
          <w:bCs/>
        </w:rPr>
        <w:t xml:space="preserve">Debrief</w:t>
      </w:r>
      <w:r>
        <w:t xml:space="preserve"> </w:t>
      </w:r>
      <w:r>
        <w:t xml:space="preserve">(5 min):</w:t>
      </w:r>
    </w:p>
    <w:p>
      <w:pPr>
        <w:pStyle w:val="Compact"/>
        <w:numPr>
          <w:ilvl w:val="1"/>
          <w:numId w:val="1019"/>
        </w:numPr>
      </w:pPr>
      <w:r>
        <w:t xml:space="preserve">“A frase (C) invalida (A)?”</w:t>
      </w:r>
      <w:r>
        <w:t xml:space="preserve"> </w:t>
      </w:r>
      <w:r>
        <w:t xml:space="preserve">→ Não necessariamente — são contextos, períodos e magnitudes diferentes. Modelos fazem previsões</w:t>
      </w:r>
      <w:r>
        <w:t xml:space="preserve"> </w:t>
      </w:r>
      <w:r>
        <w:rPr>
          <w:i/>
          <w:iCs/>
        </w:rPr>
        <w:t xml:space="preserve">condicionais</w:t>
      </w:r>
      <w:r>
        <w:t xml:space="preserve">.</w:t>
      </w:r>
    </w:p>
    <w:p>
      <w:pPr>
        <w:pStyle w:val="Compact"/>
        <w:numPr>
          <w:ilvl w:val="1"/>
          <w:numId w:val="1019"/>
        </w:numPr>
      </w:pPr>
      <w:r>
        <w:t xml:space="preserve">“A frase (B) é</w:t>
      </w:r>
      <w:r>
        <w:t xml:space="preserve"> </w:t>
      </w:r>
      <w:r>
        <w:t xml:space="preserve">‘melhor’</w:t>
      </w:r>
      <w:r>
        <w:t xml:space="preserve"> </w:t>
      </w:r>
      <w:r>
        <w:t xml:space="preserve">que (A) porque se preocupa com pessoas?”</w:t>
      </w:r>
      <w:r>
        <w:t xml:space="preserve"> </w:t>
      </w:r>
      <w:r>
        <w:t xml:space="preserve">→ Ambas são necessárias; políticas sem evidência positiva podem causar mais mal do que bem.</w:t>
      </w:r>
    </w:p>
    <w:p>
      <w:pPr>
        <w:pStyle w:val="Compact"/>
        <w:numPr>
          <w:ilvl w:val="1"/>
          <w:numId w:val="1019"/>
        </w:numPr>
      </w:pPr>
      <w:r>
        <w:t xml:space="preserve">Conecte com a distinção positivo/normativo (Seção 1.3) e com a importância de testar modelos (Seção 1.2).</w:t>
      </w:r>
    </w:p>
    <w:p>
      <w:pPr>
        <w:pStyle w:val="BlockText"/>
      </w:pPr>
      <w:r>
        <w:rPr>
          <w:b/>
          <w:bCs/>
        </w:rPr>
        <w:t xml:space="preserve">Conexão com o conteúdo:</w:t>
      </w:r>
      <w:r>
        <w:t xml:space="preserve"> </w:t>
      </w:r>
      <w:r>
        <w:t xml:space="preserve">Seções 1.2 (verificação empírica) e 1.3 (análise positiva vs. normativa).</w:t>
      </w:r>
    </w:p>
    <w:p>
      <w:r>
        <w:pict>
          <v:rect style="width:0;height:1.5pt" o:hralign="center" o:hrstd="t" o:hr="t"/>
        </w:pict>
      </w:r>
    </w:p>
    <w:bookmarkStart w:id="57" w:name="revisão-rápida"/>
    <w:p>
      <w:pPr>
        <w:pStyle w:val="Heading3"/>
      </w:pPr>
      <w:r>
        <w:t xml:space="preserve">Revisão Rápida</w:t>
      </w:r>
    </w:p>
    <w:p>
      <w:pPr>
        <w:pStyle w:val="FirstParagraph"/>
      </w:pPr>
      <w:r>
        <w:t xml:space="preserve">Teste seu entendimento dos conceitos centrais deste capítulo.</w:t>
      </w:r>
    </w:p>
    <w:p>
      <w:pPr>
        <w:pStyle w:val="BlockText"/>
      </w:pPr>
      <w:r>
        <w:rPr>
          <w:b/>
          <w:bCs/>
        </w:rPr>
        <w:t xml:space="preserve">[QUESTAO] 1. Qual é a principal diferença entre análise positiva e análise normativa em economia?</w:t>
      </w:r>
    </w:p>
    <w:p>
      <w:pPr>
        <w:pStyle w:val="Compact"/>
        <w:numPr>
          <w:ilvl w:val="0"/>
          <w:numId w:val="1020"/>
        </w:numPr>
      </w:pPr>
    </w:p>
    <w:p>
      <w:pPr>
        <w:pStyle w:val="Compact"/>
        <w:numPr>
          <w:ilvl w:val="1"/>
          <w:numId w:val="1021"/>
        </w:numPr>
      </w:pPr>
      <w:r>
        <w:t xml:space="preserve">A análise positiva usa dados empíricos, enquanto a normativa usa apenas teoria</w:t>
      </w:r>
    </w:p>
    <w:p>
      <w:pPr>
        <w:pStyle w:val="Compact"/>
        <w:numPr>
          <w:ilvl w:val="0"/>
          <w:numId w:val="1020"/>
        </w:numPr>
      </w:pPr>
    </w:p>
    <w:p>
      <w:pPr>
        <w:pStyle w:val="Compact"/>
        <w:numPr>
          <w:ilvl w:val="1"/>
          <w:numId w:val="1022"/>
        </w:numPr>
      </w:pPr>
      <w:r>
        <w:t xml:space="preserve">A análise positiva descreve</w:t>
      </w:r>
      <w:r>
        <w:t xml:space="preserve"> </w:t>
      </w:r>
      <w:r>
        <w:t xml:space="preserve">‘o que é’</w:t>
      </w:r>
      <w:r>
        <w:t xml:space="preserve">, enquanto a normativa prescreve</w:t>
      </w:r>
      <w:r>
        <w:t xml:space="preserve"> </w:t>
      </w:r>
      <w:r>
        <w:t xml:space="preserve">‘o que deveria ser’</w:t>
      </w:r>
    </w:p>
    <w:p>
      <w:pPr>
        <w:pStyle w:val="Compact"/>
        <w:numPr>
          <w:ilvl w:val="0"/>
          <w:numId w:val="1020"/>
        </w:numPr>
      </w:pPr>
    </w:p>
    <w:p>
      <w:pPr>
        <w:pStyle w:val="Compact"/>
        <w:numPr>
          <w:ilvl w:val="1"/>
          <w:numId w:val="1023"/>
        </w:numPr>
      </w:pPr>
      <w:r>
        <w:t xml:space="preserve">A análise positiva trata de microeconomia e a normativa de macroeconomia</w:t>
      </w:r>
    </w:p>
    <w:p>
      <w:pPr>
        <w:pStyle w:val="Compact"/>
        <w:numPr>
          <w:ilvl w:val="0"/>
          <w:numId w:val="1020"/>
        </w:numPr>
      </w:pPr>
    </w:p>
    <w:p>
      <w:pPr>
        <w:pStyle w:val="Compact"/>
        <w:numPr>
          <w:ilvl w:val="1"/>
          <w:numId w:val="1024"/>
        </w:numPr>
      </w:pPr>
      <w:r>
        <w:t xml:space="preserve">A análise positiva é objetiva porque não envolve suposições</w:t>
      </w:r>
    </w:p>
    <w:p>
      <w:pPr>
        <w:pStyle w:val="BlockText"/>
      </w:pPr>
      <w:r>
        <w:t xml:space="preserve">??? success</w:t>
      </w:r>
      <w:r>
        <w:t xml:space="preserve"> </w:t>
      </w:r>
      <w:r>
        <w:t xml:space="preserve">“Resposta”</w:t>
      </w:r>
      <w:r>
        <w:t xml:space="preserve"> </w:t>
      </w:r>
      <w:r>
        <w:rPr>
          <w:b/>
          <w:bCs/>
        </w:rPr>
        <w:t xml:space="preserve">(b)</w:t>
      </w:r>
      <w:r>
        <w:t xml:space="preserve"> </w:t>
      </w:r>
      <w:r>
        <w:t xml:space="preserve">A análise positiva busca descrever e explicar fenômenos econômicos como eles são, gerando previsões testáveis. A análise normativa envolve juízos de valor sobre o que deveria ser feito. A alternativa (a) confunde método com natureza da análise; (c) mistura subáreas; (d) é incorreta pois toda análise envolve suposições.</w:t>
      </w:r>
    </w:p>
    <w:p>
      <w:pPr>
        <w:pStyle w:val="BlockText"/>
      </w:pPr>
      <w:r>
        <w:rPr>
          <w:b/>
          <w:bCs/>
        </w:rPr>
        <w:t xml:space="preserve">[QUESTAO] 2. Segundo a visão friedmaniana, um modelo econômico deve ser avaliado principalmente pela:</w:t>
      </w:r>
    </w:p>
    <w:p>
      <w:pPr>
        <w:pStyle w:val="Compact"/>
        <w:numPr>
          <w:ilvl w:val="0"/>
          <w:numId w:val="1025"/>
        </w:numPr>
      </w:pPr>
    </w:p>
    <w:p>
      <w:pPr>
        <w:pStyle w:val="Compact"/>
        <w:numPr>
          <w:ilvl w:val="1"/>
          <w:numId w:val="1026"/>
        </w:numPr>
      </w:pPr>
      <w:r>
        <w:t xml:space="preserve">Fidelidade de suas premissas à realidade observada</w:t>
      </w:r>
    </w:p>
    <w:p>
      <w:pPr>
        <w:pStyle w:val="Compact"/>
        <w:numPr>
          <w:ilvl w:val="0"/>
          <w:numId w:val="1025"/>
        </w:numPr>
      </w:pPr>
    </w:p>
    <w:p>
      <w:pPr>
        <w:pStyle w:val="Compact"/>
        <w:numPr>
          <w:ilvl w:val="1"/>
          <w:numId w:val="1027"/>
        </w:numPr>
      </w:pPr>
      <w:r>
        <w:t xml:space="preserve">Complexidade matemática de suas equações</w:t>
      </w:r>
    </w:p>
    <w:p>
      <w:pPr>
        <w:pStyle w:val="Compact"/>
        <w:numPr>
          <w:ilvl w:val="0"/>
          <w:numId w:val="1025"/>
        </w:numPr>
      </w:pPr>
    </w:p>
    <w:p>
      <w:pPr>
        <w:pStyle w:val="Compact"/>
        <w:numPr>
          <w:ilvl w:val="1"/>
          <w:numId w:val="1028"/>
        </w:numPr>
      </w:pPr>
      <w:r>
        <w:t xml:space="preserve">Capacidade de gerar previsões úteis e testáveis</w:t>
      </w:r>
    </w:p>
    <w:p>
      <w:pPr>
        <w:pStyle w:val="Compact"/>
        <w:numPr>
          <w:ilvl w:val="0"/>
          <w:numId w:val="1025"/>
        </w:numPr>
      </w:pPr>
    </w:p>
    <w:p>
      <w:pPr>
        <w:pStyle w:val="Compact"/>
        <w:numPr>
          <w:ilvl w:val="1"/>
          <w:numId w:val="1029"/>
        </w:numPr>
      </w:pPr>
      <w:r>
        <w:t xml:space="preserve">Quantidade de variáveis que incorpora</w:t>
      </w:r>
    </w:p>
    <w:p>
      <w:pPr>
        <w:pStyle w:val="BlockText"/>
      </w:pPr>
      <w:r>
        <w:t xml:space="preserve">??? success</w:t>
      </w:r>
      <w:r>
        <w:t xml:space="preserve"> </w:t>
      </w:r>
      <w:r>
        <w:t xml:space="preserve">“Resposta”</w:t>
      </w:r>
      <w:r>
        <w:t xml:space="preserve"> </w:t>
      </w:r>
      <w:r>
        <w:rPr>
          <w:b/>
          <w:bCs/>
        </w:rPr>
        <w:t xml:space="preserve">(c)</w:t>
      </w:r>
      <w:r>
        <w:t xml:space="preserve"> </w:t>
      </w:r>
      <w:r>
        <w:t xml:space="preserve">Friedman (1953) argumentou que modelos devem ser julgados pela utilidade de suas previsões, não pelo realismo de suas suposições. Um mapa útil não precisa reproduzir cada detalhe do terreno. As demais alternativas confundem realismo das premissas (a), sofisticação formal (b) ou abrangência (d) com qualidade preditiva.</w:t>
      </w:r>
    </w:p>
    <w:p>
      <w:pPr>
        <w:pStyle w:val="BlockText"/>
      </w:pPr>
      <w:r>
        <w:rPr>
          <w:b/>
          <w:bCs/>
        </w:rPr>
        <w:t xml:space="preserve">[QUESTAO] 3. A cláusula</w:t>
      </w:r>
      <w:r>
        <w:rPr>
          <w:b/>
          <w:bCs/>
        </w:rPr>
        <w:t xml:space="preserve"> </w:t>
      </w:r>
      <w:r>
        <w:rPr>
          <w:b/>
          <w:bCs/>
          <w:i/>
          <w:iCs/>
        </w:rPr>
        <w:t xml:space="preserve">ceteris paribus</w:t>
      </w:r>
      <w:r>
        <w:rPr>
          <w:b/>
          <w:bCs/>
        </w:rPr>
        <w:t xml:space="preserve"> </w:t>
      </w:r>
      <w:r>
        <w:rPr>
          <w:b/>
          <w:bCs/>
        </w:rPr>
        <w:t xml:space="preserve">em microeconomia corresponde, matematicamente, a:</w:t>
      </w:r>
    </w:p>
    <w:p>
      <w:pPr>
        <w:pStyle w:val="Compact"/>
        <w:numPr>
          <w:ilvl w:val="0"/>
          <w:numId w:val="1030"/>
        </w:numPr>
      </w:pPr>
    </w:p>
    <w:p>
      <w:pPr>
        <w:pStyle w:val="Compact"/>
        <w:numPr>
          <w:ilvl w:val="1"/>
          <w:numId w:val="1031"/>
        </w:numPr>
      </w:pPr>
      <w:r>
        <w:t xml:space="preserve">Uma integral definida sobre a função de demanda</w:t>
      </w:r>
    </w:p>
    <w:p>
      <w:pPr>
        <w:pStyle w:val="Compact"/>
        <w:numPr>
          <w:ilvl w:val="0"/>
          <w:numId w:val="1030"/>
        </w:numPr>
      </w:pPr>
    </w:p>
    <w:p>
      <w:pPr>
        <w:pStyle w:val="Compact"/>
        <w:numPr>
          <w:ilvl w:val="1"/>
          <w:numId w:val="1032"/>
        </w:numPr>
      </w:pPr>
      <w:r>
        <w:t xml:space="preserve">Uma derivada parcial — variar uma variável mantendo as demais constantes</w:t>
      </w:r>
    </w:p>
    <w:p>
      <w:pPr>
        <w:pStyle w:val="Compact"/>
        <w:numPr>
          <w:ilvl w:val="0"/>
          <w:numId w:val="1030"/>
        </w:numPr>
      </w:pPr>
    </w:p>
    <w:p>
      <w:pPr>
        <w:pStyle w:val="Compact"/>
        <w:numPr>
          <w:ilvl w:val="1"/>
          <w:numId w:val="1033"/>
        </w:numPr>
      </w:pPr>
      <w:r>
        <w:t xml:space="preserve">Uma transformação monotônica da função de utilidade</w:t>
      </w:r>
    </w:p>
    <w:p>
      <w:pPr>
        <w:pStyle w:val="Compact"/>
        <w:numPr>
          <w:ilvl w:val="0"/>
          <w:numId w:val="1030"/>
        </w:numPr>
      </w:pPr>
    </w:p>
    <w:p>
      <w:pPr>
        <w:pStyle w:val="Compact"/>
        <w:numPr>
          <w:ilvl w:val="1"/>
          <w:numId w:val="1034"/>
        </w:numPr>
      </w:pPr>
      <w:r>
        <w:t xml:space="preserve">Uma condição de equilíbrio geral com todos os mercados simultâneos</w:t>
      </w:r>
    </w:p>
    <w:p>
      <w:pPr>
        <w:pStyle w:val="BlockText"/>
      </w:pPr>
      <w:r>
        <w:t xml:space="preserve">??? success</w:t>
      </w:r>
      <w:r>
        <w:t xml:space="preserve"> </w:t>
      </w:r>
      <w:r>
        <w:t xml:space="preserve">“Resposta”</w:t>
      </w:r>
      <w:r>
        <w:t xml:space="preserve"> </w:t>
      </w:r>
      <w:r>
        <w:rPr>
          <w:b/>
          <w:bCs/>
        </w:rPr>
        <w:t xml:space="preserve">(b)</w:t>
      </w:r>
      <w:r>
        <w:t xml:space="preserve"> </w:t>
      </w:r>
      <w:r>
        <w:rPr>
          <w:i/>
          <w:iCs/>
        </w:rPr>
        <w:t xml:space="preserve">Ceteris paribus</w:t>
      </w:r>
      <w:r>
        <w:t xml:space="preserve"> </w:t>
      </w:r>
      <w:r>
        <w:t xml:space="preserve">significa</w:t>
      </w:r>
      <w:r>
        <w:t xml:space="preserve"> </w:t>
      </w:r>
      <w:r>
        <w:t xml:space="preserve">‘tudo o mais constante’</w:t>
      </w:r>
      <w:r>
        <w:t xml:space="preserve">, o que equivale a calcular a derivada parcial de uma função em relação a uma variável, mantendo todas as outras fixas. Isso é o fundamento da estática comparativa. A alternativa (d) descreve justamente a abordagem oposta — equilíbrio geral, que abandona o</w:t>
      </w:r>
      <w:r>
        <w:t xml:space="preserve"> </w:t>
      </w:r>
      <w:r>
        <w:rPr>
          <w:i/>
          <w:iCs/>
        </w:rPr>
        <w:t xml:space="preserve">ceteris paribus</w:t>
      </w:r>
      <w:r>
        <w:t xml:space="preserve">.</w:t>
      </w:r>
    </w:p>
    <w:p>
      <w:pPr>
        <w:pStyle w:val="BlockText"/>
      </w:pPr>
      <w:r>
        <w:rPr>
          <w:b/>
          <w:bCs/>
        </w:rPr>
        <w:t xml:space="preserve">[QUESTAO] 4. Em um modelo microeconômico, as variáveis endógenas são aquelas que:</w:t>
      </w:r>
    </w:p>
    <w:p>
      <w:pPr>
        <w:pStyle w:val="Compact"/>
        <w:numPr>
          <w:ilvl w:val="0"/>
          <w:numId w:val="1035"/>
        </w:numPr>
      </w:pPr>
    </w:p>
    <w:p>
      <w:pPr>
        <w:pStyle w:val="Compact"/>
        <w:numPr>
          <w:ilvl w:val="1"/>
          <w:numId w:val="1036"/>
        </w:numPr>
      </w:pPr>
      <w:r>
        <w:t xml:space="preserve">São determinadas fora do modelo e tratadas como parâmetros</w:t>
      </w:r>
    </w:p>
    <w:p>
      <w:pPr>
        <w:pStyle w:val="Compact"/>
        <w:numPr>
          <w:ilvl w:val="0"/>
          <w:numId w:val="1035"/>
        </w:numPr>
      </w:pPr>
    </w:p>
    <w:p>
      <w:pPr>
        <w:pStyle w:val="Compact"/>
        <w:numPr>
          <w:ilvl w:val="1"/>
          <w:numId w:val="1037"/>
        </w:numPr>
      </w:pPr>
      <w:r>
        <w:t xml:space="preserve">São determinadas dentro do modelo, como resultado da otimização dos agentes</w:t>
      </w:r>
    </w:p>
    <w:p>
      <w:pPr>
        <w:pStyle w:val="Compact"/>
        <w:numPr>
          <w:ilvl w:val="0"/>
          <w:numId w:val="1035"/>
        </w:numPr>
      </w:pPr>
    </w:p>
    <w:p>
      <w:pPr>
        <w:pStyle w:val="Compact"/>
        <w:numPr>
          <w:ilvl w:val="1"/>
          <w:numId w:val="1038"/>
        </w:numPr>
      </w:pPr>
      <w:r>
        <w:t xml:space="preserve">Representam apenas variáveis monetárias como preço e renda</w:t>
      </w:r>
    </w:p>
    <w:p>
      <w:pPr>
        <w:pStyle w:val="Compact"/>
        <w:numPr>
          <w:ilvl w:val="0"/>
          <w:numId w:val="1035"/>
        </w:numPr>
      </w:pPr>
    </w:p>
    <w:p>
      <w:pPr>
        <w:pStyle w:val="Compact"/>
        <w:numPr>
          <w:ilvl w:val="1"/>
          <w:numId w:val="1039"/>
        </w:numPr>
      </w:pPr>
      <w:r>
        <w:t xml:space="preserve">Não podem ser observadas empiricamente</w:t>
      </w:r>
    </w:p>
    <w:p>
      <w:pPr>
        <w:pStyle w:val="BlockText"/>
      </w:pPr>
      <w:r>
        <w:t xml:space="preserve">??? success</w:t>
      </w:r>
      <w:r>
        <w:t xml:space="preserve"> </w:t>
      </w:r>
      <w:r>
        <w:t xml:space="preserve">“Resposta”</w:t>
      </w:r>
      <w:r>
        <w:t xml:space="preserve"> </w:t>
      </w:r>
      <w:r>
        <w:rPr>
          <w:b/>
          <w:bCs/>
        </w:rPr>
        <w:t xml:space="preserve">(b)</w:t>
      </w:r>
      <w:r>
        <w:t xml:space="preserve"> </w:t>
      </w:r>
      <w:r>
        <w:t xml:space="preserve">Variáveis endógenas são determinadas pelo próprio modelo (ex.: preço e quantidade de equilíbrio), enquanto variáveis exógenas (a) são determinadas fora dele (ex.: renda, tecnologia). A alternativa (c) é muito restritiva e (d) confunde endogeneidade com observabilidade.</w:t>
      </w:r>
    </w:p>
    <w:p>
      <w:pPr>
        <w:pStyle w:val="BlockText"/>
      </w:pPr>
      <w:r>
        <w:rPr>
          <w:b/>
          <w:bCs/>
        </w:rPr>
        <w:t xml:space="preserve">[QUESTAO] 5. A hipótese de otimização na microeconomia assume que os agentes:</w:t>
      </w:r>
    </w:p>
    <w:p>
      <w:pPr>
        <w:pStyle w:val="Compact"/>
        <w:numPr>
          <w:ilvl w:val="0"/>
          <w:numId w:val="1040"/>
        </w:numPr>
      </w:pPr>
    </w:p>
    <w:p>
      <w:pPr>
        <w:pStyle w:val="Compact"/>
        <w:numPr>
          <w:ilvl w:val="1"/>
          <w:numId w:val="1041"/>
        </w:numPr>
      </w:pPr>
      <w:r>
        <w:t xml:space="preserve">Possuem informação perfeita sobre todos os mercados</w:t>
      </w:r>
    </w:p>
    <w:p>
      <w:pPr>
        <w:pStyle w:val="Compact"/>
        <w:numPr>
          <w:ilvl w:val="0"/>
          <w:numId w:val="1040"/>
        </w:numPr>
      </w:pPr>
    </w:p>
    <w:p>
      <w:pPr>
        <w:pStyle w:val="Compact"/>
        <w:numPr>
          <w:ilvl w:val="1"/>
          <w:numId w:val="1042"/>
        </w:numPr>
      </w:pPr>
      <w:r>
        <w:t xml:space="preserve">Agem</w:t>
      </w:r>
      <w:r>
        <w:t xml:space="preserve"> </w:t>
      </w:r>
      <w:r>
        <w:t xml:space="preserve">‘como se’</w:t>
      </w:r>
      <w:r>
        <w:t xml:space="preserve"> </w:t>
      </w:r>
      <w:r>
        <w:t xml:space="preserve">maximizassem uma função objetivo, mesmo que não calculem explicitamente</w:t>
      </w:r>
    </w:p>
    <w:p>
      <w:pPr>
        <w:pStyle w:val="Compact"/>
        <w:numPr>
          <w:ilvl w:val="0"/>
          <w:numId w:val="1040"/>
        </w:numPr>
      </w:pPr>
    </w:p>
    <w:p>
      <w:pPr>
        <w:pStyle w:val="Compact"/>
        <w:numPr>
          <w:ilvl w:val="1"/>
          <w:numId w:val="1043"/>
        </w:numPr>
      </w:pPr>
      <w:r>
        <w:t xml:space="preserve">Sempre alcançam o resultado socialmente ótimo</w:t>
      </w:r>
    </w:p>
    <w:p>
      <w:pPr>
        <w:pStyle w:val="Compact"/>
        <w:numPr>
          <w:ilvl w:val="0"/>
          <w:numId w:val="1040"/>
        </w:numPr>
      </w:pPr>
    </w:p>
    <w:p>
      <w:pPr>
        <w:pStyle w:val="Compact"/>
        <w:numPr>
          <w:ilvl w:val="1"/>
          <w:numId w:val="1044"/>
        </w:numPr>
      </w:pPr>
      <w:r>
        <w:t xml:space="preserve">Nunca cometem erros em suas decisões</w:t>
      </w:r>
    </w:p>
    <w:p>
      <w:pPr>
        <w:pStyle w:val="BlockText"/>
      </w:pPr>
      <w:r>
        <w:t xml:space="preserve">??? success</w:t>
      </w:r>
      <w:r>
        <w:t xml:space="preserve"> </w:t>
      </w:r>
      <w:r>
        <w:t xml:space="preserve">“Resposta”</w:t>
      </w:r>
      <w:r>
        <w:t xml:space="preserve"> </w:t>
      </w:r>
      <w:r>
        <w:rPr>
          <w:b/>
          <w:bCs/>
        </w:rPr>
        <w:t xml:space="preserve">(b)</w:t>
      </w:r>
      <w:r>
        <w:t xml:space="preserve"> </w:t>
      </w:r>
      <w:r>
        <w:t xml:space="preserve">A hipótese de otimização, no sentido</w:t>
      </w:r>
      <w:r>
        <w:t xml:space="preserve"> </w:t>
      </w:r>
      <w:r>
        <w:t xml:space="preserve">‘como se’</w:t>
      </w:r>
      <w:r>
        <w:t xml:space="preserve"> </w:t>
      </w:r>
      <w:r>
        <w:t xml:space="preserve">(</w:t>
      </w:r>
      <w:r>
        <w:rPr>
          <w:i/>
          <w:iCs/>
        </w:rPr>
        <w:t xml:space="preserve">as if</w:t>
      </w:r>
      <w:r>
        <w:t xml:space="preserve">) de Friedman, não exige que os agentes façam cálculos conscientes — apenas que seu comportamento seja consistente com a maximização de uma função objetivo. A alternativa (a) confunde otimização com informação perfeita; (c) confunde ótimo privado com social; (d) ignora que erros sistemáticos são estudados pela economia comportamental.</w:t>
      </w:r>
    </w:p>
    <w:p>
      <w:pPr>
        <w:pStyle w:val="BlockText"/>
      </w:pPr>
      <w:r>
        <w:rPr>
          <w:b/>
          <w:bCs/>
        </w:rPr>
        <w:t xml:space="preserve">[QUESTAO] 6. O paradoxo da água e do diamante foi resolvido pela revolução marginalista porque:</w:t>
      </w:r>
    </w:p>
    <w:p>
      <w:pPr>
        <w:pStyle w:val="Compact"/>
        <w:numPr>
          <w:ilvl w:val="0"/>
          <w:numId w:val="1045"/>
        </w:numPr>
      </w:pPr>
    </w:p>
    <w:p>
      <w:pPr>
        <w:pStyle w:val="Compact"/>
        <w:numPr>
          <w:ilvl w:val="1"/>
          <w:numId w:val="1046"/>
        </w:numPr>
      </w:pPr>
      <w:r>
        <w:t xml:space="preserve">Os marginalistas provaram que o diamante é mais útil que a água em termos absolutos</w:t>
      </w:r>
    </w:p>
    <w:p>
      <w:pPr>
        <w:pStyle w:val="Compact"/>
        <w:numPr>
          <w:ilvl w:val="0"/>
          <w:numId w:val="1045"/>
        </w:numPr>
      </w:pPr>
    </w:p>
    <w:p>
      <w:pPr>
        <w:pStyle w:val="Compact"/>
        <w:numPr>
          <w:ilvl w:val="1"/>
          <w:numId w:val="1047"/>
        </w:numPr>
      </w:pPr>
      <w:r>
        <w:t xml:space="preserve">Os marginalistas mostraram que o valor depende da utilidade da</w:t>
      </w:r>
      <w:r>
        <w:t xml:space="preserve"> </w:t>
      </w:r>
      <w:r>
        <w:rPr>
          <w:i/>
          <w:iCs/>
        </w:rPr>
        <w:t xml:space="preserve">última</w:t>
      </w:r>
      <w:r>
        <w:t xml:space="preserve"> </w:t>
      </w:r>
      <w:r>
        <w:t xml:space="preserve">unidade consumida, não da utilidade total</w:t>
      </w:r>
    </w:p>
    <w:p>
      <w:pPr>
        <w:pStyle w:val="Compact"/>
        <w:numPr>
          <w:ilvl w:val="0"/>
          <w:numId w:val="1045"/>
        </w:numPr>
      </w:pPr>
    </w:p>
    <w:p>
      <w:pPr>
        <w:pStyle w:val="Compact"/>
        <w:numPr>
          <w:ilvl w:val="1"/>
          <w:numId w:val="1048"/>
        </w:numPr>
      </w:pPr>
      <w:r>
        <w:t xml:space="preserve">Os marginalistas abandonaram a teoria do valor-trabalho e a substituíram por uma teoria baseada nos custos de produção</w:t>
      </w:r>
    </w:p>
    <w:p>
      <w:pPr>
        <w:pStyle w:val="Compact"/>
        <w:numPr>
          <w:ilvl w:val="0"/>
          <w:numId w:val="1045"/>
        </w:numPr>
      </w:pPr>
    </w:p>
    <w:p>
      <w:pPr>
        <w:pStyle w:val="Compact"/>
        <w:numPr>
          <w:ilvl w:val="1"/>
          <w:numId w:val="1049"/>
        </w:numPr>
      </w:pPr>
      <w:r>
        <w:t xml:space="preserve">Os marginalistas demonstraram que a água é um bem inferior e o diamante um bem de luxo</w:t>
      </w:r>
    </w:p>
    <w:p>
      <w:pPr>
        <w:pStyle w:val="BlockText"/>
      </w:pPr>
      <w:r>
        <w:t xml:space="preserve">??? success</w:t>
      </w:r>
      <w:r>
        <w:t xml:space="preserve"> </w:t>
      </w:r>
      <w:r>
        <w:t xml:space="preserve">“Resposta”</w:t>
      </w:r>
      <w:r>
        <w:t xml:space="preserve"> </w:t>
      </w:r>
      <w:r>
        <w:rPr>
          <w:b/>
          <w:bCs/>
        </w:rPr>
        <w:t xml:space="preserve">(b)</w:t>
      </w:r>
      <w:r>
        <w:t xml:space="preserve"> </w:t>
      </w:r>
      <w:r>
        <w:t xml:space="preserve">A chave é a distinção entre utilidade</w:t>
      </w:r>
      <w:r>
        <w:t xml:space="preserve"> </w:t>
      </w:r>
      <w:r>
        <w:rPr>
          <w:i/>
          <w:iCs/>
        </w:rPr>
        <w:t xml:space="preserve">total</w:t>
      </w:r>
      <w:r>
        <w:t xml:space="preserve"> </w:t>
      </w:r>
      <w:r>
        <w:t xml:space="preserve">e utilidade</w:t>
      </w:r>
      <w:r>
        <w:t xml:space="preserve"> </w:t>
      </w:r>
      <w:r>
        <w:rPr>
          <w:i/>
          <w:iCs/>
        </w:rPr>
        <w:t xml:space="preserve">marginal</w:t>
      </w:r>
      <w:r>
        <w:t xml:space="preserve">. A água tem utilidade total enorme (sem ela, morremos), mas como é abundante, sua utilidade marginal é baixa — o próximo litro acrescenta pouco. O diamante tem utilidade total modesta, mas como é escasso, cada unidade adicional é altamente valorizada. Smith confundia as duas dimensões; Jevons, Menger e Walras resolveram a confusão. A alternativa (c) descreve a posição</w:t>
      </w:r>
      <w:r>
        <w:t xml:space="preserve"> </w:t>
      </w:r>
      <w:r>
        <w:rPr>
          <w:i/>
          <w:iCs/>
        </w:rPr>
        <w:t xml:space="preserve">clássica</w:t>
      </w:r>
      <w:r>
        <w:t xml:space="preserve">, não a marginalista; (d) confunde conceitos de elasticidade-renda com a teoria do valor.</w:t>
      </w:r>
    </w:p>
    <w:p>
      <w:r>
        <w:pict>
          <v:rect style="width:0;height:1.5pt" o:hralign="center" o:hrstd="t" o:hr="t"/>
        </w:pict>
      </w:r>
    </w:p>
    <w:bookmarkEnd w:id="57"/>
    <w:bookmarkStart w:id="58" w:name="resumo-do-capítulo"/>
    <w:p>
      <w:pPr>
        <w:pStyle w:val="Heading3"/>
      </w:pPr>
      <w:r>
        <w:t xml:space="preserve">Resumo do Capítulo</w:t>
      </w:r>
    </w:p>
    <w:p>
      <w:pPr>
        <w:pStyle w:val="Compact"/>
        <w:numPr>
          <w:ilvl w:val="0"/>
          <w:numId w:val="1050"/>
        </w:numPr>
      </w:pPr>
      <w:r>
        <w:t xml:space="preserve">A microeconomia utiliza</w:t>
      </w:r>
      <w:r>
        <w:t xml:space="preserve"> </w:t>
      </w:r>
      <w:r>
        <w:rPr>
          <w:b/>
          <w:bCs/>
        </w:rPr>
        <w:t xml:space="preserve">modelos</w:t>
      </w:r>
      <w:r>
        <w:t xml:space="preserve"> </w:t>
      </w:r>
      <w:r>
        <w:t xml:space="preserve">— representações simplificadas da realidade, análogas a mapas — para isolar mecanismos causais e gerar previsões testáveis. A qualidade de um modelo se mede pela utilidade de suas implicações, não pelo realismo de suas suposições.</w:t>
      </w:r>
    </w:p>
    <w:p>
      <w:pPr>
        <w:pStyle w:val="Compact"/>
        <w:numPr>
          <w:ilvl w:val="0"/>
          <w:numId w:val="1050"/>
        </w:numPr>
      </w:pPr>
      <w:r>
        <w:t xml:space="preserve">A verificação de modelos pode ser</w:t>
      </w:r>
      <w:r>
        <w:t xml:space="preserve"> </w:t>
      </w:r>
      <w:r>
        <w:rPr>
          <w:b/>
          <w:bCs/>
        </w:rPr>
        <w:t xml:space="preserve">direta</w:t>
      </w:r>
      <w:r>
        <w:t xml:space="preserve"> </w:t>
      </w:r>
      <w:r>
        <w:t xml:space="preserve">(examinar as premissas) ou</w:t>
      </w:r>
      <w:r>
        <w:t xml:space="preserve"> </w:t>
      </w:r>
      <w:r>
        <w:rPr>
          <w:b/>
          <w:bCs/>
        </w:rPr>
        <w:t xml:space="preserve">indireta</w:t>
      </w:r>
      <w:r>
        <w:t xml:space="preserve"> </w:t>
      </w:r>
      <w:r>
        <w:t xml:space="preserve">(avaliar as previsões, como propôs Friedman). A economia empírica moderna avançou com técnicas quase-experimentais para testar modelos com dados observacionais. A distinção entre correlação e causalidade é o desafio central.</w:t>
      </w:r>
    </w:p>
    <w:p>
      <w:pPr>
        <w:pStyle w:val="Compact"/>
        <w:numPr>
          <w:ilvl w:val="0"/>
          <w:numId w:val="1050"/>
        </w:numPr>
      </w:pPr>
      <w:r>
        <w:t xml:space="preserve">Os modelos microeconômicos repousam sobre três pilares metodológicos: a cláusula</w:t>
      </w:r>
      <w:r>
        <w:t xml:space="preserve"> </w:t>
      </w:r>
      <w:r>
        <w:rPr>
          <w:i/>
          <w:iCs/>
        </w:rPr>
        <w:t xml:space="preserve">ceteris paribus</w:t>
      </w:r>
      <w:r>
        <w:t xml:space="preserve"> </w:t>
      </w:r>
      <w:r>
        <w:t xml:space="preserve">(isolar o efeito de uma variável por vez, correspondendo matematicamente à derivada parcial), a</w:t>
      </w:r>
      <w:r>
        <w:t xml:space="preserve"> </w:t>
      </w:r>
      <w:r>
        <w:rPr>
          <w:b/>
          <w:bCs/>
        </w:rPr>
        <w:t xml:space="preserve">hipótese de otimização</w:t>
      </w:r>
      <w:r>
        <w:t xml:space="preserve"> </w:t>
      </w:r>
      <w:r>
        <w:t xml:space="preserve">(agentes se comportam</w:t>
      </w:r>
      <w:r>
        <w:t xml:space="preserve"> </w:t>
      </w:r>
      <w:r>
        <w:t xml:space="preserve">“como se”</w:t>
      </w:r>
      <w:r>
        <w:t xml:space="preserve"> </w:t>
      </w:r>
      <w:r>
        <w:t xml:space="preserve">maximizassem) e a distinção entre</w:t>
      </w:r>
      <w:r>
        <w:t xml:space="preserve"> </w:t>
      </w:r>
      <w:r>
        <w:rPr>
          <w:b/>
          <w:bCs/>
        </w:rPr>
        <w:t xml:space="preserve">análise positiva</w:t>
      </w:r>
      <w:r>
        <w:t xml:space="preserve"> </w:t>
      </w:r>
      <w:r>
        <w:t xml:space="preserve">(o que é) e</w:t>
      </w:r>
      <w:r>
        <w:t xml:space="preserve"> </w:t>
      </w:r>
      <w:r>
        <w:rPr>
          <w:b/>
          <w:bCs/>
        </w:rPr>
        <w:t xml:space="preserve">normativa</w:t>
      </w:r>
      <w:r>
        <w:t xml:space="preserve"> </w:t>
      </w:r>
      <w:r>
        <w:t xml:space="preserve">(o que deveria ser).</w:t>
      </w:r>
    </w:p>
    <w:p>
      <w:pPr>
        <w:pStyle w:val="Compact"/>
        <w:numPr>
          <w:ilvl w:val="0"/>
          <w:numId w:val="1050"/>
        </w:numPr>
      </w:pPr>
      <w:r>
        <w:t xml:space="preserve">A estrutura de um modelo envolve variáveis exógenas e endógenas, um problema de otimização, a derivação de funções de resposta e a análise de</w:t>
      </w:r>
      <w:r>
        <w:t xml:space="preserve"> </w:t>
      </w:r>
      <w:r>
        <w:rPr>
          <w:b/>
          <w:bCs/>
        </w:rPr>
        <w:t xml:space="preserve">estática comparativa</w:t>
      </w:r>
      <w:r>
        <w:t xml:space="preserve"> </w:t>
      </w:r>
      <w:r>
        <w:t xml:space="preserve">— como as soluções ótimas mudam quando os parâmetros variam.</w:t>
      </w:r>
    </w:p>
    <w:p>
      <w:pPr>
        <w:pStyle w:val="Compact"/>
        <w:numPr>
          <w:ilvl w:val="0"/>
          <w:numId w:val="1050"/>
        </w:numPr>
      </w:pPr>
      <w:r>
        <w:t xml:space="preserve">A teoria do valor evoluiu da teoria do valor-trabalho (Smith, Ricardo) para a</w:t>
      </w:r>
      <w:r>
        <w:t xml:space="preserve"> </w:t>
      </w:r>
      <w:r>
        <w:rPr>
          <w:b/>
          <w:bCs/>
        </w:rPr>
        <w:t xml:space="preserve">revolução marginalista</w:t>
      </w:r>
      <w:r>
        <w:t xml:space="preserve"> </w:t>
      </w:r>
      <w:r>
        <w:t xml:space="preserve">(Jevons, Menger, Walras), que resolveu o paradoxo da água e do diamante via utilidade marginal, culminando na síntese neoclássica de Marshall e no equilíbrio geral de Arrow-Debreu.</w:t>
      </w:r>
    </w:p>
    <w:p>
      <w:pPr>
        <w:pStyle w:val="Compact"/>
        <w:numPr>
          <w:ilvl w:val="0"/>
          <w:numId w:val="1050"/>
        </w:numPr>
      </w:pPr>
      <w:r>
        <w:t xml:space="preserve">Desenvolvimentos modernos — teoria dos jogos, economia da informação, economia comportamental, teoria dos mecanismos, economia de plataformas — relaxam as suposições do modelo competitivo básico e ampliam o alcance da microeconomia a mercados digitais, leilões, regulação e design de instituições.</w:t>
      </w:r>
    </w:p>
    <w:bookmarkEnd w:id="58"/>
    <w:bookmarkStart w:id="59" w:name="conceitos-chave"/>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Modelo econômico</w:t>
            </w:r>
          </w:p>
        </w:tc>
        <w:tc>
          <w:tcPr/>
          <w:p>
            <w:pPr>
              <w:pStyle w:val="Compact"/>
            </w:pPr>
            <w:r>
              <w:t xml:space="preserve">Representação simplificada da realidade, expressa por relações lógicas entre variáveis, com o objetivo de explicar fenômenos e gerar previsões testáveis.</w:t>
            </w:r>
          </w:p>
        </w:tc>
      </w:tr>
      <w:tr>
        <w:tc>
          <w:tcPr/>
          <w:p>
            <w:pPr>
              <w:pStyle w:val="Compact"/>
            </w:pPr>
            <w:r>
              <w:rPr>
                <w:i/>
                <w:iCs/>
              </w:rPr>
              <w:t xml:space="preserve">Ceteris paribus</w:t>
            </w:r>
          </w:p>
        </w:tc>
        <w:tc>
          <w:tcPr/>
          <w:p>
            <w:pPr>
              <w:pStyle w:val="Compact"/>
            </w:pPr>
            <w:r>
              <w:t xml:space="preserve">Cláusula metodológica que mantém</w:t>
            </w:r>
            <w:r>
              <w:t xml:space="preserve"> </w:t>
            </w:r>
            <w:r>
              <w:t xml:space="preserve">“tudo o mais constante”</w:t>
            </w:r>
            <w:r>
              <w:t xml:space="preserve"> </w:t>
            </w:r>
            <w:r>
              <w:t xml:space="preserve">para isolar o efeito de uma variável sobre outra. Corresponde à derivada parcial.</w:t>
            </w:r>
          </w:p>
        </w:tc>
      </w:tr>
      <w:tr>
        <w:tc>
          <w:tcPr/>
          <w:p>
            <w:pPr>
              <w:pStyle w:val="Compact"/>
            </w:pPr>
            <w:r>
              <w:t xml:space="preserve">Hipótese de otimização</w:t>
            </w:r>
          </w:p>
        </w:tc>
        <w:tc>
          <w:tcPr/>
          <w:p>
            <w:pPr>
              <w:pStyle w:val="Compact"/>
            </w:pPr>
            <w:r>
              <w:t xml:space="preserve">Premissa de que os agentes econômicos se comportam como se maximizassem uma função objetivo (utilidade, lucro) sujeita a restrições.</w:t>
            </w:r>
          </w:p>
        </w:tc>
      </w:tr>
      <w:tr>
        <w:tc>
          <w:tcPr/>
          <w:p>
            <w:pPr>
              <w:pStyle w:val="Compact"/>
            </w:pPr>
            <w:r>
              <w:t xml:space="preserve">Análise positiva</w:t>
            </w:r>
          </w:p>
        </w:tc>
        <w:tc>
          <w:tcPr/>
          <w:p>
            <w:pPr>
              <w:pStyle w:val="Compact"/>
            </w:pPr>
            <w:r>
              <w:t xml:space="preserve">Investigação descritiva ou preditiva sobre</w:t>
            </w:r>
            <w:r>
              <w:t xml:space="preserve"> </w:t>
            </w:r>
            <w:r>
              <w:t xml:space="preserve">“o que é”</w:t>
            </w:r>
            <w:r>
              <w:t xml:space="preserve">, verificável por confronto com dados empíricos.</w:t>
            </w:r>
          </w:p>
        </w:tc>
      </w:tr>
      <w:tr>
        <w:tc>
          <w:tcPr/>
          <w:p>
            <w:pPr>
              <w:pStyle w:val="Compact"/>
            </w:pPr>
            <w:r>
              <w:t xml:space="preserve">Análise normativa</w:t>
            </w:r>
          </w:p>
        </w:tc>
        <w:tc>
          <w:tcPr/>
          <w:p>
            <w:pPr>
              <w:pStyle w:val="Compact"/>
            </w:pPr>
            <w:r>
              <w:t xml:space="preserve">Investigação prescritiva sobre</w:t>
            </w:r>
            <w:r>
              <w:t xml:space="preserve"> </w:t>
            </w:r>
            <w:r>
              <w:t xml:space="preserve">“o que deveria ser”</w:t>
            </w:r>
            <w:r>
              <w:t xml:space="preserve">, envolvendo julgamentos de valor.</w:t>
            </w:r>
          </w:p>
        </w:tc>
      </w:tr>
      <w:tr>
        <w:tc>
          <w:tcPr/>
          <w:p>
            <w:pPr>
              <w:pStyle w:val="Compact"/>
            </w:pPr>
            <w:r>
              <w:t xml:space="preserve">Variáveis exógenas e endógenas</w:t>
            </w:r>
          </w:p>
        </w:tc>
        <w:tc>
          <w:tcPr/>
          <w:p>
            <w:pPr>
              <w:pStyle w:val="Compact"/>
            </w:pPr>
            <w:r>
              <w:t xml:space="preserve">Exógenas são determinadas fora do modelo (dados/parâmetros); endógenas são determinadas dentro do modelo (incógnitas).</w:t>
            </w:r>
          </w:p>
        </w:tc>
      </w:tr>
      <w:tr>
        <w:tc>
          <w:tcPr/>
          <w:p>
            <w:pPr>
              <w:pStyle w:val="Compact"/>
            </w:pPr>
            <w:r>
              <w:t xml:space="preserve">Equilíbrio de mercado</w:t>
            </w:r>
          </w:p>
        </w:tc>
        <w:tc>
          <w:tcPr/>
          <w:p>
            <w:pPr>
              <w:pStyle w:val="Compact"/>
            </w:pPr>
            <w:r>
              <w:t xml:space="preserve">Configuração de preço e quantidade em que oferta iguala demanda: nenhum agente tem incentivo para alterar seu comportamento.</w:t>
            </w:r>
          </w:p>
        </w:tc>
      </w:tr>
      <w:tr>
        <w:tc>
          <w:tcPr/>
          <w:p>
            <w:pPr>
              <w:pStyle w:val="Compact"/>
            </w:pPr>
            <w:r>
              <w:t xml:space="preserve">Estática comparativa</w:t>
            </w:r>
          </w:p>
        </w:tc>
        <w:tc>
          <w:tcPr/>
          <w:p>
            <w:pPr>
              <w:pStyle w:val="Compact"/>
            </w:pPr>
            <w:r>
              <w:t xml:space="preserve">Comparação entre dois equilíbrios para determinar como as variáveis endógenas respondem a mudanças nas exógenas.</w:t>
            </w:r>
          </w:p>
        </w:tc>
      </w:tr>
      <w:tr>
        <w:tc>
          <w:tcPr/>
          <w:p>
            <w:pPr>
              <w:pStyle w:val="Compact"/>
            </w:pPr>
            <w:r>
              <w:t xml:space="preserve">Utilidade marginal</w:t>
            </w:r>
          </w:p>
        </w:tc>
        <w:tc>
          <w:tcPr/>
          <w:p>
            <w:pPr>
              <w:pStyle w:val="Compact"/>
            </w:pPr>
            <w:r>
              <w:t xml:space="preserve">Utilidade adicional obtida pelo consumo da última unidade de um bem; conceito central da revolução marginalista.</w:t>
            </w:r>
          </w:p>
        </w:tc>
      </w:tr>
      <w:tr>
        <w:tc>
          <w:tcPr/>
          <w:p>
            <w:pPr>
              <w:pStyle w:val="Compact"/>
            </w:pPr>
            <w:r>
              <w:t xml:space="preserve">Teoria do valor-trabalho</w:t>
            </w:r>
          </w:p>
        </w:tc>
        <w:tc>
          <w:tcPr/>
          <w:p>
            <w:pPr>
              <w:pStyle w:val="Compact"/>
            </w:pPr>
            <w:r>
              <w:t xml:space="preserve">Doutrina clássica (Smith, Ricardo) segundo a qual o valor de troca de um bem é determinado pela quantidade de trabalho necessária para produzi-lo.</w:t>
            </w:r>
          </w:p>
        </w:tc>
      </w:tr>
      <w:tr>
        <w:tc>
          <w:tcPr/>
          <w:p>
            <w:pPr>
              <w:pStyle w:val="Compact"/>
            </w:pPr>
            <w:r>
              <w:t xml:space="preserve">Equilíbrio geral</w:t>
            </w:r>
          </w:p>
        </w:tc>
        <w:tc>
          <w:tcPr/>
          <w:p>
            <w:pPr>
              <w:pStyle w:val="Compact"/>
            </w:pPr>
            <w:r>
              <w:t xml:space="preserve">Determinação simultânea de preços e quantidades em todos os mercados da economia, formalizado por Walras e provado por Arrow e Debreu.</w:t>
            </w:r>
          </w:p>
        </w:tc>
      </w:tr>
    </w:tbl>
    <w:p>
      <w:pPr>
        <w:pStyle w:val="BodyText"/>
      </w:pPr>
      <w:r>
        <w:rPr>
          <w:b/>
          <w:bCs/>
        </w:rPr>
        <w:t xml:space="preserve">Tabela 1.3 — Conceitos-chave.</w:t>
      </w:r>
    </w:p>
    <w:p>
      <w:r>
        <w:pict>
          <v:rect style="width:0;height:1.5pt" o:hralign="center" o:hrstd="t" o:hr="t"/>
        </w:pict>
      </w:r>
    </w:p>
    <w:bookmarkEnd w:id="59"/>
    <w:bookmarkStart w:id="60" w:name="exercícios"/>
    <w:p>
      <w:pPr>
        <w:pStyle w:val="Heading3"/>
      </w:pPr>
      <w:r>
        <w:t xml:space="preserve">Exercícios</w:t>
      </w:r>
    </w:p>
    <w:p>
      <w:pPr>
        <w:pStyle w:val="FirstParagraph"/>
      </w:pPr>
      <w:r>
        <w:t xml:space="preserve">Os exercícios a seguir cobrem os principais temas do capítulo: a lógica da modelagem, a verificação de modelos, os pilares metodológicos da microeconomia e a evolução histórica da teoria do valor. Alguns exercícios são conceituais, outros envolvem cálculos — todos exigem que o leitor articule as ideias discutidas ao longo do texto. Os exercícios progridem em dificuldade: os primeiros são mais diretos, os últimos exigem raciocínio mais elaborado e cálculos mais extensos.</w:t>
      </w:r>
    </w:p>
    <w:p>
      <w:pPr>
        <w:pStyle w:val="BodyText"/>
      </w:pPr>
      <w:r>
        <w:rPr>
          <w:b/>
          <w:bCs/>
        </w:rPr>
        <w:t xml:space="preserve">Exercício 1.1.</w:t>
      </w:r>
      <w:r>
        <w:t xml:space="preserve"> </w:t>
      </w:r>
      <w:r>
        <w:t xml:space="preserve">Explique, usando a analogia do mapa, por que um modelo econômico que inclui todas as variáveis relevantes de uma economia real não seria necessariamente superior a um modelo mais simples. Em que sentido a simplificação pode ser uma virtude epistêmica?</w:t>
      </w:r>
    </w:p>
    <w:p>
      <w:pPr>
        <w:pStyle w:val="BodyText"/>
      </w:pPr>
      <w:r>
        <w:t xml:space="preserve">Ver solução (Cap. 1)</w:t>
      </w:r>
    </w:p>
    <w:p>
      <w:r>
        <w:pict>
          <v:rect style="width:0;height:1.5pt" o:hralign="center" o:hrstd="t" o:hr="t"/>
        </w:pict>
      </w:r>
    </w:p>
    <w:p>
      <w:pPr>
        <w:pStyle w:val="FirstParagraph"/>
      </w:pPr>
      <w:r>
        <w:rPr>
          <w:b/>
          <w:bCs/>
        </w:rPr>
        <w:t xml:space="preserve">Exercício 1.2.</w:t>
      </w:r>
      <w:r>
        <w:t xml:space="preserve"> </w:t>
      </w:r>
      <w:r>
        <w:t xml:space="preserve">Considere a afirmação:</w:t>
      </w:r>
      <w:r>
        <w:t xml:space="preserve"> </w:t>
      </w:r>
      <w:r>
        <w:t xml:space="preserve">“O modelo de concorrência perfeita é inútil porque nenhum mercado real satisfaz todas as suas premissas.”</w:t>
      </w:r>
      <w:r>
        <w:t xml:space="preserve"> </w:t>
      </w:r>
      <w:r>
        <w:t xml:space="preserve">Avalie essa afirmação à luz da metodologia de Friedman (1953) e da distinção entre verificação direta e indireta de modelos.</w:t>
      </w:r>
    </w:p>
    <w:p>
      <w:pPr>
        <w:pStyle w:val="BodyText"/>
      </w:pPr>
      <w:r>
        <w:t xml:space="preserve">Ver solução (Cap. 1)</w:t>
      </w:r>
    </w:p>
    <w:p>
      <w:r>
        <w:pict>
          <v:rect style="width:0;height:1.5pt" o:hralign="center" o:hrstd="t" o:hr="t"/>
        </w:pict>
      </w:r>
    </w:p>
    <w:p>
      <w:pPr>
        <w:pStyle w:val="FirstParagraph"/>
      </w:pPr>
      <w:r>
        <w:rPr>
          <w:b/>
          <w:bCs/>
        </w:rPr>
        <w:t xml:space="preserve">Exercício 1.3.</w:t>
      </w:r>
      <w:r>
        <w:t xml:space="preserve"> </w:t>
      </w:r>
      <w:r>
        <w:t xml:space="preserve">Classifique cada uma das proposições abaixo como</w:t>
      </w:r>
      <w:r>
        <w:t xml:space="preserve"> </w:t>
      </w:r>
      <w:r>
        <w:rPr>
          <w:b/>
          <w:bCs/>
        </w:rPr>
        <w:t xml:space="preserve">positiva</w:t>
      </w:r>
      <w:r>
        <w:t xml:space="preserve"> </w:t>
      </w:r>
      <w:r>
        <w:t xml:space="preserve">ou</w:t>
      </w:r>
      <w:r>
        <w:t xml:space="preserve"> </w:t>
      </w:r>
      <w:r>
        <w:rPr>
          <w:b/>
          <w:bCs/>
        </w:rPr>
        <w:t xml:space="preserve">normativa</w:t>
      </w:r>
      <w:r>
        <w:t xml:space="preserve"> </w:t>
      </w:r>
      <w:r>
        <w:t xml:space="preserve">e justifique:</w:t>
      </w:r>
    </w:p>
    <w:p>
      <w:pPr>
        <w:numPr>
          <w:ilvl w:val="0"/>
          <w:numId w:val="1051"/>
        </w:numPr>
      </w:pPr>
      <w:r>
        <w:t xml:space="preserve">Um aumento de 10% no salário mínimo reduz o emprego formal em 2%.</w:t>
      </w:r>
    </w:p>
    <w:p>
      <w:pPr>
        <w:numPr>
          <w:ilvl w:val="0"/>
          <w:numId w:val="1051"/>
        </w:numPr>
      </w:pPr>
      <w:r>
        <w:t xml:space="preserve">O governo deveria aumentar o salário mínimo para reduzir a desigualdade.</w:t>
      </w:r>
    </w:p>
    <w:p>
      <w:pPr>
        <w:numPr>
          <w:ilvl w:val="0"/>
          <w:numId w:val="1051"/>
        </w:numPr>
      </w:pPr>
      <w:r>
        <w:t xml:space="preserve">A elasticidade-preço da demanda por gasolina no Brasil é de aproximadamente</w:t>
      </w:r>
      <w:r>
        <w:t xml:space="preserve"> </w:t>
      </w:r>
      <m:oMath>
        <m:r>
          <m:rPr>
            <m:sty m:val="p"/>
          </m:rPr>
          <m:t>−</m:t>
        </m:r>
        <m:r>
          <m:t>0</m:t>
        </m:r>
        <m:r>
          <m:rPr>
            <m:sty m:val="p"/>
          </m:rPr>
          <m:t>,</m:t>
        </m:r>
        <m:r>
          <m:t>3</m:t>
        </m:r>
      </m:oMath>
      <w:r>
        <w:t xml:space="preserve"> </w:t>
      </w:r>
      <w:r>
        <w:t xml:space="preserve">no curto prazo.</w:t>
      </w:r>
    </w:p>
    <w:p>
      <w:pPr>
        <w:numPr>
          <w:ilvl w:val="0"/>
          <w:numId w:val="1051"/>
        </w:numPr>
      </w:pPr>
      <w:r>
        <w:t xml:space="preserve">O preço da gasolina é injustamente alto no Brasil.</w:t>
      </w:r>
    </w:p>
    <w:p>
      <w:pPr>
        <w:numPr>
          <w:ilvl w:val="0"/>
          <w:numId w:val="1051"/>
        </w:numPr>
      </w:pPr>
      <w:r>
        <w:t xml:space="preserve">Políticas de transferência de renda aumentam o consumo das famílias beneficiárias.</w:t>
      </w:r>
    </w:p>
    <w:p>
      <w:pPr>
        <w:pStyle w:val="FirstParagraph"/>
      </w:pPr>
      <w:r>
        <w:t xml:space="preserve">Ver solução (Cap. 1)</w:t>
      </w:r>
    </w:p>
    <w:p>
      <w:r>
        <w:pict>
          <v:rect style="width:0;height:1.5pt" o:hralign="center" o:hrstd="t" o:hr="t"/>
        </w:pict>
      </w:r>
    </w:p>
    <w:p>
      <w:pPr>
        <w:pStyle w:val="FirstParagraph"/>
      </w:pPr>
      <w:r>
        <w:rPr>
          <w:b/>
          <w:bCs/>
        </w:rPr>
        <w:t xml:space="preserve">Exercício 1.4.</w:t>
      </w:r>
      <w:r>
        <w:t xml:space="preserve"> </w:t>
      </w:r>
      <w:r>
        <w:t xml:space="preserve">Considere o modelo de maximização de lucro de uma firma competitiva com função de custo total</w:t>
      </w:r>
      <w:r>
        <w:t xml:space="preserve"> </w:t>
      </w:r>
      <m:oMath>
        <m:r>
          <m:t>C</m:t>
        </m:r>
        <m:r>
          <m:t>T</m:t>
        </m:r>
        <m:r>
          <m:rPr>
            <m:sty m:val="p"/>
          </m:rPr>
          <m:t>(</m:t>
        </m:r>
        <m:r>
          <m:t>q</m:t>
        </m:r>
        <m:r>
          <m:rPr>
            <m:sty m:val="p"/>
          </m:rPr>
          <m:t>)</m:t>
        </m:r>
        <m:r>
          <m:rPr>
            <m:sty m:val="p"/>
          </m:rPr>
          <m:t>=</m:t>
        </m:r>
        <m:r>
          <m:t>100</m:t>
        </m:r>
        <m:r>
          <m:rPr>
            <m:sty m:val="p"/>
          </m:rPr>
          <m:t>+</m:t>
        </m:r>
        <m:r>
          <m:t>10</m:t>
        </m:r>
        <m:r>
          <m:t>q</m:t>
        </m:r>
        <m:r>
          <m:rPr>
            <m:sty m:val="p"/>
          </m:rPr>
          <m:t>+</m:t>
        </m:r>
        <m:sSup>
          <m:e>
            <m:r>
              <m:t>q</m:t>
            </m:r>
          </m:e>
          <m:sup>
            <m:r>
              <m:t>2</m:t>
            </m:r>
          </m:sup>
        </m:sSup>
      </m:oMath>
      <w:r>
        <w:t xml:space="preserve">.</w:t>
      </w:r>
    </w:p>
    <w:p>
      <w:pPr>
        <w:numPr>
          <w:ilvl w:val="0"/>
          <w:numId w:val="1052"/>
        </w:numPr>
      </w:pPr>
      <w:r>
        <w:t xml:space="preserve">Determine a função de custo marginal</w:t>
      </w:r>
      <w:r>
        <w:t xml:space="preserve"> </w:t>
      </w:r>
      <m:oMath>
        <m:r>
          <m:t>C</m:t>
        </m:r>
        <m:r>
          <m:t>M</m:t>
        </m:r>
        <m:r>
          <m:t>g</m:t>
        </m:r>
        <m:r>
          <m:rPr>
            <m:sty m:val="p"/>
          </m:rPr>
          <m:t>(</m:t>
        </m:r>
        <m:r>
          <m:t>q</m:t>
        </m:r>
        <m:r>
          <m:rPr>
            <m:sty m:val="p"/>
          </m:rPr>
          <m:t>)</m:t>
        </m:r>
      </m:oMath>
      <w:r>
        <w:t xml:space="preserve">.</w:t>
      </w:r>
    </w:p>
    <w:p>
      <w:pPr>
        <w:numPr>
          <w:ilvl w:val="0"/>
          <w:numId w:val="1052"/>
        </w:numPr>
      </w:pPr>
      <w:r>
        <w:t xml:space="preserve">Se o preço de mercado é</w:t>
      </w:r>
      <w:r>
        <w:t xml:space="preserve"> </w:t>
      </w:r>
      <m:oMath>
        <m:r>
          <m:t>P</m:t>
        </m:r>
        <m:r>
          <m:rPr>
            <m:sty m:val="p"/>
          </m:rPr>
          <m:t>=</m:t>
        </m:r>
        <m:r>
          <m:t>50</m:t>
        </m:r>
      </m:oMath>
      <w:r>
        <w:t xml:space="preserve">, encontre a quantidade ótima</w:t>
      </w:r>
      <w:r>
        <w:t xml:space="preserve"> </w:t>
      </w:r>
      <m:oMath>
        <m:sSup>
          <m:e>
            <m:r>
              <m:t>q</m:t>
            </m:r>
          </m:e>
          <m:sup>
            <m:r>
              <m:rPr>
                <m:sty m:val="p"/>
              </m:rPr>
              <m:t>*</m:t>
            </m:r>
          </m:sup>
        </m:sSup>
      </m:oMath>
      <w:r>
        <w:t xml:space="preserve">.</w:t>
      </w:r>
    </w:p>
    <w:p>
      <w:pPr>
        <w:numPr>
          <w:ilvl w:val="0"/>
          <w:numId w:val="1052"/>
        </w:numPr>
      </w:pPr>
      <w:r>
        <w:t xml:space="preserve">Verifique que a condição de segunda ordem é satisfeita.</w:t>
      </w:r>
    </w:p>
    <w:p>
      <w:pPr>
        <w:numPr>
          <w:ilvl w:val="0"/>
          <w:numId w:val="1052"/>
        </w:numPr>
      </w:pPr>
      <w:r>
        <w:t xml:space="preserve">Calcule o lucro máximo.</w:t>
      </w:r>
    </w:p>
    <w:p>
      <w:pPr>
        <w:numPr>
          <w:ilvl w:val="0"/>
          <w:numId w:val="1052"/>
        </w:numPr>
      </w:pPr>
      <w:r>
        <w:t xml:space="preserve">Identifique as variáveis exógenas e endógenas neste modelo.</w:t>
      </w:r>
    </w:p>
    <w:p>
      <w:pPr>
        <w:pStyle w:val="FirstParagraph"/>
      </w:pPr>
      <w:r>
        <w:t xml:space="preserve">Ver solução (Cap. 1)</w:t>
      </w:r>
    </w:p>
    <w:p>
      <w:r>
        <w:pict>
          <v:rect style="width:0;height:1.5pt" o:hralign="center" o:hrstd="t" o:hr="t"/>
        </w:pict>
      </w:r>
    </w:p>
    <w:p>
      <w:pPr>
        <w:pStyle w:val="FirstParagraph"/>
      </w:pPr>
      <w:r>
        <w:rPr>
          <w:b/>
          <w:bCs/>
        </w:rPr>
        <w:t xml:space="preserve">Exercício 1.5.</w:t>
      </w:r>
      <w:r>
        <w:t xml:space="preserve"> </w:t>
      </w:r>
      <w:r>
        <w:t xml:space="preserve">O paradoxo da água e do diamante foi um dos grandes quebra-cabeças da economia clássica.</w:t>
      </w:r>
    </w:p>
    <w:p>
      <w:pPr>
        <w:numPr>
          <w:ilvl w:val="0"/>
          <w:numId w:val="1053"/>
        </w:numPr>
      </w:pPr>
      <w:r>
        <w:t xml:space="preserve">Enuncie o paradoxo.</w:t>
      </w:r>
    </w:p>
    <w:p>
      <w:pPr>
        <w:numPr>
          <w:ilvl w:val="0"/>
          <w:numId w:val="1053"/>
        </w:numPr>
      </w:pPr>
      <w:r>
        <w:t xml:space="preserve">Explique por que a teoria do valor-trabalho de Smith não consegue resolvê-lo satisfatoriamente.</w:t>
      </w:r>
    </w:p>
    <w:p>
      <w:pPr>
        <w:numPr>
          <w:ilvl w:val="0"/>
          <w:numId w:val="1053"/>
        </w:numPr>
      </w:pPr>
      <w:r>
        <w:t xml:space="preserve">Mostre como a revolução marginalista resolveu o paradoxo usando o conceito de utilidade marginal.</w:t>
      </w:r>
    </w:p>
    <w:p>
      <w:pPr>
        <w:numPr>
          <w:ilvl w:val="0"/>
          <w:numId w:val="1053"/>
        </w:numPr>
      </w:pPr>
      <w:r>
        <w:t xml:space="preserve">Discuta como Marshall integraria ambas as perspectivas (clássica e marginalista) em sua síntese neoclássica.</w:t>
      </w:r>
    </w:p>
    <w:p>
      <w:pPr>
        <w:pStyle w:val="FirstParagraph"/>
      </w:pPr>
      <w:r>
        <w:t xml:space="preserve">Ver solução (Cap. 1)</w:t>
      </w:r>
    </w:p>
    <w:p>
      <w:r>
        <w:pict>
          <v:rect style="width:0;height:1.5pt" o:hralign="center" o:hrstd="t" o:hr="t"/>
        </w:pict>
      </w:r>
    </w:p>
    <w:p>
      <w:pPr>
        <w:pStyle w:val="FirstParagraph"/>
      </w:pPr>
      <w:r>
        <w:rPr>
          <w:b/>
          <w:bCs/>
        </w:rPr>
        <w:t xml:space="preserve">Exercício 1.6.</w:t>
      </w:r>
      <w:r>
        <w:t xml:space="preserve"> </w:t>
      </w:r>
      <w:r>
        <w:t xml:space="preserve">Dois economistas discordam sobre qual modelo usar para analisar o mercado de trabalho brasileiro. O Economista A propõe um modelo simples de oferta e demanda com salário mínimo (preço-piso). O Economista B propõe um modelo com informação assimétrica, busca por emprego (</w:t>
      </w:r>
      <w:r>
        <w:rPr>
          <w:i/>
          <w:iCs/>
        </w:rPr>
        <w:t xml:space="preserve">search</w:t>
      </w:r>
      <w:r>
        <w:t xml:space="preserve">) e heterogeneidade de trabalhadores.</w:t>
      </w:r>
    </w:p>
    <w:p>
      <w:pPr>
        <w:numPr>
          <w:ilvl w:val="0"/>
          <w:numId w:val="1054"/>
        </w:numPr>
      </w:pPr>
      <w:r>
        <w:t xml:space="preserve">Identifique pelo menos duas variáveis exógenas e duas endógenas em cada modelo.</w:t>
      </w:r>
    </w:p>
    <w:p>
      <w:pPr>
        <w:numPr>
          <w:ilvl w:val="0"/>
          <w:numId w:val="1054"/>
        </w:numPr>
      </w:pPr>
      <w:r>
        <w:t xml:space="preserve">Em que circunstância o modelo mais simples (A) pode ser preferível ao mais complexo (B)?</w:t>
      </w:r>
    </w:p>
    <w:p>
      <w:pPr>
        <w:numPr>
          <w:ilvl w:val="0"/>
          <w:numId w:val="1054"/>
        </w:numPr>
      </w:pPr>
      <w:r>
        <w:t xml:space="preserve">Relacione sua resposta à analogia do mapa da Seção 1.1: que</w:t>
      </w:r>
      <w:r>
        <w:t xml:space="preserve"> </w:t>
      </w:r>
      <w:r>
        <w:t xml:space="preserve">“detalhes do território”</w:t>
      </w:r>
      <w:r>
        <w:t xml:space="preserve"> </w:t>
      </w:r>
      <w:r>
        <w:t xml:space="preserve">o Modelo A omite e o Modelo B inclui?</w:t>
      </w:r>
    </w:p>
    <w:p>
      <w:pPr>
        <w:pStyle w:val="FirstParagraph"/>
      </w:pPr>
      <w:r>
        <w:t xml:space="preserve">Ver solução (Cap. 1)</w:t>
      </w:r>
    </w:p>
    <w:p>
      <w:r>
        <w:pict>
          <v:rect style="width:0;height:1.5pt" o:hralign="center" o:hrstd="t" o:hr="t"/>
        </w:pict>
      </w:r>
    </w:p>
    <w:p>
      <w:pPr>
        <w:pStyle w:val="FirstParagraph"/>
      </w:pPr>
      <w:r>
        <w:rPr>
          <w:b/>
          <w:bCs/>
        </w:rPr>
        <w:t xml:space="preserve">Exercício 1.7.</w:t>
      </w:r>
      <w:r>
        <w:t xml:space="preserve"> </w:t>
      </w:r>
      <w:r>
        <w:t xml:space="preserve">Suponha que o governo brasileiro anuncia simultaneamente (i) um aumento na alíquota do ICMS sobre combustíveis e (ii) um programa de transferência de renda para famílias de baixa renda.</w:t>
      </w:r>
    </w:p>
    <w:p>
      <w:pPr>
        <w:numPr>
          <w:ilvl w:val="0"/>
          <w:numId w:val="1055"/>
        </w:numPr>
      </w:pPr>
      <w:r>
        <w:t xml:space="preserve">Explique por que é difícil avaliar o efeito isolado de cada medida sobre o consumo de gasolina sem usar a cláusula</w:t>
      </w:r>
      <w:r>
        <w:t xml:space="preserve"> </w:t>
      </w:r>
      <w:r>
        <w:rPr>
          <w:i/>
          <w:iCs/>
        </w:rPr>
        <w:t xml:space="preserve">ceteris paribus</w:t>
      </w:r>
      <w:r>
        <w:t xml:space="preserve">.</w:t>
      </w:r>
    </w:p>
    <w:p>
      <w:pPr>
        <w:numPr>
          <w:ilvl w:val="0"/>
          <w:numId w:val="1055"/>
        </w:numPr>
      </w:pPr>
      <w:r>
        <w:t xml:space="preserve">Sugira um desenho de pesquisa empírica que aproximaria o</w:t>
      </w:r>
      <w:r>
        <w:t xml:space="preserve"> </w:t>
      </w:r>
      <w:r>
        <w:rPr>
          <w:i/>
          <w:iCs/>
        </w:rPr>
        <w:t xml:space="preserve">ceteris paribus</w:t>
      </w:r>
      <w:r>
        <w:t xml:space="preserve"> </w:t>
      </w:r>
      <w:r>
        <w:t xml:space="preserve">para isolar o efeito do aumento do ICMS sobre o consumo de gasolina.</w:t>
      </w:r>
      <w:r>
        <w:t xml:space="preserve"> </w:t>
      </w:r>
      <w:r>
        <w:rPr>
          <w:i/>
          <w:iCs/>
        </w:rPr>
        <w:t xml:space="preserve">(Dica: pense em variação regional ou temporal.)</w:t>
      </w:r>
    </w:p>
    <w:p>
      <w:pPr>
        <w:pStyle w:val="FirstParagraph"/>
      </w:pPr>
      <w:r>
        <w:t xml:space="preserve">Ver solução (Cap. 1)</w:t>
      </w:r>
    </w:p>
    <w:p>
      <w:r>
        <w:pict>
          <v:rect style="width:0;height:1.5pt" o:hralign="center" o:hrstd="t" o:hr="t"/>
        </w:pict>
      </w:r>
    </w:p>
    <w:p>
      <w:pPr>
        <w:pStyle w:val="FirstParagraph"/>
      </w:pPr>
      <w:r>
        <w:rPr>
          <w:b/>
          <w:bCs/>
        </w:rPr>
        <w:t xml:space="preserve">Exercício 1.8.</w:t>
      </w:r>
      <w:r>
        <w:t xml:space="preserve"> </w:t>
      </w:r>
      <w:r>
        <w:t xml:space="preserve">Considere o mercado de soja no Brasil, com as seguintes funções:</w:t>
      </w:r>
    </w:p>
    <w:p>
      <w:pPr>
        <w:pStyle w:val="Compact"/>
        <w:numPr>
          <w:ilvl w:val="0"/>
          <w:numId w:val="1056"/>
        </w:numPr>
      </w:pPr>
      <w:r>
        <w:t xml:space="preserve">Demanda:</w:t>
      </w:r>
      <w:r>
        <w:t xml:space="preserve"> </w:t>
      </w:r>
      <m:oMath>
        <m:sSup>
          <m:e>
            <m:r>
              <m:t>Q</m:t>
            </m:r>
          </m:e>
          <m:sup>
            <m:r>
              <m:t>d</m:t>
            </m:r>
          </m:sup>
        </m:sSup>
        <m:r>
          <m:rPr>
            <m:sty m:val="p"/>
          </m:rPr>
          <m:t>=</m:t>
        </m:r>
        <m:r>
          <m:t>500</m:t>
        </m:r>
        <m:r>
          <m:rPr>
            <m:sty m:val="p"/>
          </m:rPr>
          <m:t>−</m:t>
        </m:r>
        <m:r>
          <m:t>2</m:t>
        </m:r>
        <m:r>
          <m:t>P</m:t>
        </m:r>
        <m:r>
          <m:rPr>
            <m:sty m:val="p"/>
          </m:rPr>
          <m:t>+</m:t>
        </m:r>
        <m:r>
          <m:t>3</m:t>
        </m:r>
        <m:r>
          <m:t>Y</m:t>
        </m:r>
        <m:r>
          <m:rPr>
            <m:sty m:val="p"/>
          </m:rPr>
          <m:t>−</m:t>
        </m:r>
        <m:sSub>
          <m:e>
            <m:r>
              <m:t>P</m:t>
            </m:r>
          </m:e>
          <m:sub>
            <m:r>
              <m:t>m</m:t>
            </m:r>
          </m:sub>
        </m:sSub>
      </m:oMath>
      <w:r>
        <w:t xml:space="preserve">, onde</w:t>
      </w:r>
      <w:r>
        <w:t xml:space="preserve"> </w:t>
      </w:r>
      <m:oMath>
        <m:r>
          <m:t>Y</m:t>
        </m:r>
      </m:oMath>
      <w:r>
        <w:t xml:space="preserve"> </w:t>
      </w:r>
      <w:r>
        <w:t xml:space="preserve">é a renda e</w:t>
      </w:r>
      <w:r>
        <w:t xml:space="preserve"> </w:t>
      </w:r>
      <m:oMath>
        <m:sSub>
          <m:e>
            <m:r>
              <m:t>P</m:t>
            </m:r>
          </m:e>
          <m:sub>
            <m:r>
              <m:t>m</m:t>
            </m:r>
          </m:sub>
        </m:sSub>
      </m:oMath>
      <w:r>
        <w:t xml:space="preserve"> </w:t>
      </w:r>
      <w:r>
        <w:t xml:space="preserve">é o preço do milho (substituto na ração animal).</w:t>
      </w:r>
    </w:p>
    <w:p>
      <w:pPr>
        <w:pStyle w:val="Compact"/>
        <w:numPr>
          <w:ilvl w:val="0"/>
          <w:numId w:val="1056"/>
        </w:numPr>
      </w:pPr>
      <w:r>
        <w:t xml:space="preserve">Oferta:</w:t>
      </w:r>
      <w:r>
        <w:t xml:space="preserve"> </w:t>
      </w:r>
      <m:oMath>
        <m:sSup>
          <m:e>
            <m:r>
              <m:t>Q</m:t>
            </m:r>
          </m:e>
          <m:sup>
            <m:r>
              <m:t>s</m:t>
            </m:r>
          </m:sup>
        </m:sSup>
        <m:r>
          <m:rPr>
            <m:sty m:val="p"/>
          </m:rPr>
          <m:t>=</m:t>
        </m:r>
        <m:r>
          <m:rPr>
            <m:sty m:val="p"/>
          </m:rPr>
          <m:t>−</m:t>
        </m:r>
        <m:r>
          <m:t>100</m:t>
        </m:r>
        <m:r>
          <m:rPr>
            <m:sty m:val="p"/>
          </m:rPr>
          <m:t>+</m:t>
        </m:r>
        <m:r>
          <m:t>4</m:t>
        </m:r>
        <m:r>
          <m:t>P</m:t>
        </m:r>
        <m:r>
          <m:rPr>
            <m:sty m:val="p"/>
          </m:rPr>
          <m:t>−</m:t>
        </m:r>
        <m:r>
          <m:t>2</m:t>
        </m:r>
        <m:r>
          <m:t>W</m:t>
        </m:r>
      </m:oMath>
      <w:r>
        <w:t xml:space="preserve">, onde</w:t>
      </w:r>
      <w:r>
        <w:t xml:space="preserve"> </w:t>
      </w:r>
      <m:oMath>
        <m:r>
          <m:t>W</m:t>
        </m:r>
      </m:oMath>
      <w:r>
        <w:t xml:space="preserve"> </w:t>
      </w:r>
      <w:r>
        <w:t xml:space="preserve">é o custo do fertilizante.</w:t>
      </w:r>
    </w:p>
    <w:p>
      <w:pPr>
        <w:numPr>
          <w:ilvl w:val="0"/>
          <w:numId w:val="1057"/>
        </w:numPr>
      </w:pPr>
      <w:r>
        <w:t xml:space="preserve">Identifique as variáveis exógenas e endógenas.</w:t>
      </w:r>
    </w:p>
    <w:p>
      <w:pPr>
        <w:numPr>
          <w:ilvl w:val="0"/>
          <w:numId w:val="1057"/>
        </w:numPr>
      </w:pPr>
      <w:r>
        <w:t xml:space="preserve">Encontre</w:t>
      </w:r>
      <w:r>
        <w:t xml:space="preserve"> </w:t>
      </w:r>
      <m:oMath>
        <m:sSup>
          <m:e>
            <m:r>
              <m:t>P</m:t>
            </m:r>
          </m:e>
          <m:sup>
            <m:r>
              <m:rPr>
                <m:sty m:val="p"/>
              </m:rPr>
              <m:t>*</m:t>
            </m:r>
          </m:sup>
        </m:sSup>
      </m:oMath>
      <w:r>
        <w:t xml:space="preserve"> </w:t>
      </w:r>
      <w:r>
        <w:t xml:space="preserve">e</w:t>
      </w:r>
      <w:r>
        <w:t xml:space="preserve"> </w:t>
      </w:r>
      <m:oMath>
        <m:sSup>
          <m:e>
            <m:r>
              <m:t>Q</m:t>
            </m:r>
          </m:e>
          <m:sup>
            <m:r>
              <m:rPr>
                <m:sty m:val="p"/>
              </m:rPr>
              <m:t>*</m:t>
            </m:r>
          </m:sup>
        </m:sSup>
      </m:oMath>
      <w:r>
        <w:t xml:space="preserve"> </w:t>
      </w:r>
      <w:r>
        <w:t xml:space="preserve">como funções dos parâmetros exógenos.</w:t>
      </w:r>
    </w:p>
    <w:p>
      <w:pPr>
        <w:numPr>
          <w:ilvl w:val="0"/>
          <w:numId w:val="1057"/>
        </w:numPr>
      </w:pPr>
      <w:r>
        <w:t xml:space="preserve">Se</w:t>
      </w:r>
      <w:r>
        <w:t xml:space="preserve"> </w:t>
      </w:r>
      <m:oMath>
        <m:r>
          <m:t>Y</m:t>
        </m:r>
        <m:r>
          <m:rPr>
            <m:sty m:val="p"/>
          </m:rPr>
          <m:t>=</m:t>
        </m:r>
        <m:r>
          <m:t>80</m:t>
        </m:r>
      </m:oMath>
      <w:r>
        <w:t xml:space="preserve">,</w:t>
      </w:r>
      <w:r>
        <w:t xml:space="preserve"> </w:t>
      </w:r>
      <m:oMath>
        <m:sSub>
          <m:e>
            <m:r>
              <m:t>P</m:t>
            </m:r>
          </m:e>
          <m:sub>
            <m:r>
              <m:t>m</m:t>
            </m:r>
          </m:sub>
        </m:sSub>
        <m:r>
          <m:rPr>
            <m:sty m:val="p"/>
          </m:rPr>
          <m:t>=</m:t>
        </m:r>
        <m:r>
          <m:t>20</m:t>
        </m:r>
      </m:oMath>
      <w:r>
        <w:t xml:space="preserve"> </w:t>
      </w:r>
      <w:r>
        <w:t xml:space="preserve">e</w:t>
      </w:r>
      <w:r>
        <w:t xml:space="preserve"> </w:t>
      </w:r>
      <m:oMath>
        <m:r>
          <m:t>W</m:t>
        </m:r>
        <m:r>
          <m:rPr>
            <m:sty m:val="p"/>
          </m:rPr>
          <m:t>=</m:t>
        </m:r>
        <m:r>
          <m:t>30</m:t>
        </m:r>
      </m:oMath>
      <w:r>
        <w:t xml:space="preserve">, calcule</w:t>
      </w:r>
      <w:r>
        <w:t xml:space="preserve"> </w:t>
      </w:r>
      <m:oMath>
        <m:sSup>
          <m:e>
            <m:r>
              <m:t>P</m:t>
            </m:r>
          </m:e>
          <m:sup>
            <m:r>
              <m:rPr>
                <m:sty m:val="p"/>
              </m:rPr>
              <m:t>*</m:t>
            </m:r>
          </m:sup>
        </m:sSup>
      </m:oMath>
      <w:r>
        <w:t xml:space="preserve"> </w:t>
      </w:r>
      <w:r>
        <w:t xml:space="preserve">e</w:t>
      </w:r>
      <w:r>
        <w:t xml:space="preserve"> </w:t>
      </w:r>
      <m:oMath>
        <m:sSup>
          <m:e>
            <m:r>
              <m:t>Q</m:t>
            </m:r>
          </m:e>
          <m:sup>
            <m:r>
              <m:rPr>
                <m:sty m:val="p"/>
              </m:rPr>
              <m:t>*</m:t>
            </m:r>
          </m:sup>
        </m:sSup>
      </m:oMath>
      <w:r>
        <w:t xml:space="preserve">.</w:t>
      </w:r>
    </w:p>
    <w:p>
      <w:pPr>
        <w:numPr>
          <w:ilvl w:val="0"/>
          <w:numId w:val="1057"/>
        </w:numPr>
      </w:pPr>
      <w:r>
        <w:t xml:space="preserve">Calcule e interprete</w:t>
      </w:r>
      <w:r>
        <w:t xml:space="preserve"> </w:t>
      </w:r>
      <m:oMath>
        <m:r>
          <m:rPr>
            <m:sty m:val="p"/>
          </m:rPr>
          <m:t>∂</m:t>
        </m:r>
        <m:sSup>
          <m:e>
            <m:r>
              <m:t>P</m:t>
            </m:r>
          </m:e>
          <m:sup>
            <m:r>
              <m:rPr>
                <m:sty m:val="p"/>
              </m:rPr>
              <m:t>*</m:t>
            </m:r>
          </m:sup>
        </m:sSup>
        <m:r>
          <m:rPr>
            <m:sty m:val="p"/>
          </m:rPr>
          <m:t>/</m:t>
        </m:r>
        <m:r>
          <m:rPr>
            <m:sty m:val="p"/>
          </m:rPr>
          <m:t>∂</m:t>
        </m:r>
        <m:sSub>
          <m:e>
            <m:r>
              <m:t>P</m:t>
            </m:r>
          </m:e>
          <m:sub>
            <m:r>
              <m:t>m</m:t>
            </m:r>
          </m:sub>
        </m:sSub>
      </m:oMath>
      <w:r>
        <w:t xml:space="preserve">: o que acontece com o preço da soja quando o preço do milho sobe?</w:t>
      </w:r>
    </w:p>
    <w:p>
      <w:pPr>
        <w:numPr>
          <w:ilvl w:val="0"/>
          <w:numId w:val="1057"/>
        </w:numPr>
      </w:pPr>
      <w:r>
        <w:t xml:space="preserve">Calcule e interprete</w:t>
      </w:r>
      <w:r>
        <w:t xml:space="preserve"> </w:t>
      </w:r>
      <m:oMath>
        <m:r>
          <m:rPr>
            <m:sty m:val="p"/>
          </m:rPr>
          <m:t>∂</m:t>
        </m:r>
        <m:sSup>
          <m:e>
            <m:r>
              <m:t>P</m:t>
            </m:r>
          </m:e>
          <m:sup>
            <m:r>
              <m:rPr>
                <m:sty m:val="p"/>
              </m:rPr>
              <m:t>*</m:t>
            </m:r>
          </m:sup>
        </m:sSup>
        <m:r>
          <m:rPr>
            <m:sty m:val="p"/>
          </m:rPr>
          <m:t>/</m:t>
        </m:r>
        <m:r>
          <m:rPr>
            <m:sty m:val="p"/>
          </m:rPr>
          <m:t>∂</m:t>
        </m:r>
        <m:r>
          <m:t>W</m:t>
        </m:r>
      </m:oMath>
      <w:r>
        <w:t xml:space="preserve">: o que acontece com o preço da soja quando o custo do fertilizante aumenta?</w:t>
      </w:r>
    </w:p>
    <w:p>
      <w:pPr>
        <w:pStyle w:val="FirstParagraph"/>
      </w:pPr>
      <w:r>
        <w:t xml:space="preserve">Ver solução (Cap. 1)</w:t>
      </w:r>
    </w:p>
    <w:p>
      <w:r>
        <w:pict>
          <v:rect style="width:0;height:1.5pt" o:hralign="center" o:hrstd="t" o:hr="t"/>
        </w:pict>
      </w:r>
    </w:p>
    <w:p>
      <w:pPr>
        <w:pStyle w:val="FirstParagraph"/>
      </w:pPr>
      <w:r>
        <w:rPr>
          <w:b/>
          <w:bCs/>
        </w:rPr>
        <w:t xml:space="preserve">Exercício 1.9.</w:t>
      </w:r>
      <w:r>
        <w:t xml:space="preserve"> </w:t>
      </w:r>
      <w:r>
        <w:t xml:space="preserve">O CADE (Conselho Administrativo de Defesa Econômica) utiliza modelos econômicos para avaliar fusões e aquisições. Considere uma fusão hipotética entre as duas maiores redes de supermercados de uma cidade média brasileira.</w:t>
      </w:r>
    </w:p>
    <w:p>
      <w:pPr>
        <w:numPr>
          <w:ilvl w:val="0"/>
          <w:numId w:val="1058"/>
        </w:numPr>
      </w:pPr>
      <w:r>
        <w:t xml:space="preserve">Qual modelo de estrutura de mercado seria mais apropriado para analisar essa fusão: concorrência perfeita, oligopólio ou monopólio? Justifique.</w:t>
      </w:r>
    </w:p>
    <w:p>
      <w:pPr>
        <w:numPr>
          <w:ilvl w:val="0"/>
          <w:numId w:val="1058"/>
        </w:numPr>
      </w:pPr>
      <w:r>
        <w:t xml:space="preserve">Liste três variáveis que o CADE deveria considerar como exógenas e três como endógenas na análise dos efeitos da fusão.</w:t>
      </w:r>
    </w:p>
    <w:p>
      <w:pPr>
        <w:numPr>
          <w:ilvl w:val="0"/>
          <w:numId w:val="1058"/>
        </w:numPr>
      </w:pPr>
      <w:r>
        <w:t xml:space="preserve">A afirmação</w:t>
      </w:r>
      <w:r>
        <w:t xml:space="preserve"> </w:t>
      </w:r>
      <w:r>
        <w:t xml:space="preserve">“A fusão elevará o preço dos alimentos em 8%”</w:t>
      </w:r>
      <w:r>
        <w:t xml:space="preserve"> </w:t>
      </w:r>
      <w:r>
        <w:t xml:space="preserve">é positiva ou normativa? E</w:t>
      </w:r>
      <w:r>
        <w:t xml:space="preserve"> </w:t>
      </w:r>
      <w:r>
        <w:t xml:space="preserve">“A fusão não deve ser aprovada”</w:t>
      </w:r>
      <w:r>
        <w:t xml:space="preserve">?</w:t>
      </w:r>
    </w:p>
    <w:p>
      <w:pPr>
        <w:numPr>
          <w:ilvl w:val="0"/>
          <w:numId w:val="1058"/>
        </w:numPr>
      </w:pPr>
      <w:r>
        <w:t xml:space="preserve">Que tipo de evidência empírica — abordagem direta ou indireta, nos termos da Seção 1.2 — o CADE poderia usar para testar as previsões do modelo sobre os efeitos da fusão?</w:t>
      </w:r>
    </w:p>
    <w:p>
      <w:pPr>
        <w:pStyle w:val="FirstParagraph"/>
      </w:pPr>
      <w:r>
        <w:t xml:space="preserve">Ver solução (Cap. 1)</w:t>
      </w:r>
    </w:p>
    <w:p>
      <w:r>
        <w:pict>
          <v:rect style="width:0;height:1.5pt" o:hralign="center" o:hrstd="t" o:hr="t"/>
        </w:pict>
      </w:r>
    </w:p>
    <w:p>
      <w:pPr>
        <w:pStyle w:val="FirstParagraph"/>
      </w:pPr>
      <w:r>
        <w:rPr>
          <w:b/>
          <w:bCs/>
        </w:rPr>
        <w:t xml:space="preserve">Exercício 1.10.</w:t>
      </w:r>
      <w:r>
        <w:t xml:space="preserve"> </w:t>
      </w:r>
      <w:r>
        <w:t xml:space="preserve">Considere dois mercados inter-relacionados: o mercado de etanol e o mercado de açúcar no Brasil. A cana-de-açúcar é insumo para ambos, de modo que os dois mercados estão conectados pelo lado da oferta. Suponha:</w:t>
      </w:r>
    </w:p>
    <w:p>
      <w:pPr>
        <w:pStyle w:val="Compact"/>
        <w:numPr>
          <w:ilvl w:val="0"/>
          <w:numId w:val="1059"/>
        </w:numPr>
      </w:pPr>
      <w:r>
        <w:t xml:space="preserve">Demanda de etanol:</w:t>
      </w:r>
      <w:r>
        <w:t xml:space="preserve"> </w:t>
      </w:r>
      <m:oMath>
        <m:sSubSup>
          <m:e>
            <m:r>
              <m:t>Q</m:t>
            </m:r>
          </m:e>
          <m:sub>
            <m:r>
              <m:t>e</m:t>
            </m:r>
          </m:sub>
          <m:sup>
            <m:r>
              <m:t>d</m:t>
            </m:r>
          </m:sup>
        </m:sSubSup>
        <m:r>
          <m:rPr>
            <m:sty m:val="p"/>
          </m:rPr>
          <m:t>=</m:t>
        </m:r>
        <m:r>
          <m:t>300</m:t>
        </m:r>
        <m:r>
          <m:rPr>
            <m:sty m:val="p"/>
          </m:rPr>
          <m:t>−</m:t>
        </m:r>
        <m:r>
          <m:t>5</m:t>
        </m:r>
        <m:sSub>
          <m:e>
            <m:r>
              <m:t>P</m:t>
            </m:r>
          </m:e>
          <m:sub>
            <m:r>
              <m:t>e</m:t>
            </m:r>
          </m:sub>
        </m:sSub>
      </m:oMath>
    </w:p>
    <w:p>
      <w:pPr>
        <w:pStyle w:val="Compact"/>
        <w:numPr>
          <w:ilvl w:val="0"/>
          <w:numId w:val="1059"/>
        </w:numPr>
      </w:pPr>
      <w:r>
        <w:t xml:space="preserve">Demanda de açúcar:</w:t>
      </w:r>
      <w:r>
        <w:t xml:space="preserve"> </w:t>
      </w:r>
      <m:oMath>
        <m:sSubSup>
          <m:e>
            <m:r>
              <m:t>Q</m:t>
            </m:r>
          </m:e>
          <m:sub>
            <m:r>
              <m:t>a</m:t>
            </m:r>
          </m:sub>
          <m:sup>
            <m:r>
              <m:t>d</m:t>
            </m:r>
          </m:sup>
        </m:sSubSup>
        <m:r>
          <m:rPr>
            <m:sty m:val="p"/>
          </m:rPr>
          <m:t>=</m:t>
        </m:r>
        <m:r>
          <m:t>200</m:t>
        </m:r>
        <m:r>
          <m:rPr>
            <m:sty m:val="p"/>
          </m:rPr>
          <m:t>−</m:t>
        </m:r>
        <m:r>
          <m:t>3</m:t>
        </m:r>
        <m:sSub>
          <m:e>
            <m:r>
              <m:t>P</m:t>
            </m:r>
          </m:e>
          <m:sub>
            <m:r>
              <m:t>a</m:t>
            </m:r>
          </m:sub>
        </m:sSub>
      </m:oMath>
    </w:p>
    <w:p>
      <w:pPr>
        <w:pStyle w:val="Compact"/>
        <w:numPr>
          <w:ilvl w:val="0"/>
          <w:numId w:val="1059"/>
        </w:numPr>
      </w:pPr>
      <w:r>
        <w:t xml:space="preserve">A usina dispõe de uma oferta total de cana equivalente a</w:t>
      </w:r>
      <w:r>
        <w:t xml:space="preserve"> </w:t>
      </w:r>
      <m:oMath>
        <m:acc>
          <m:accPr>
            <m:chr m:val="‾"/>
          </m:accPr>
          <m:e>
            <m:r>
              <m:t>S</m:t>
            </m:r>
          </m:e>
        </m:acc>
      </m:oMath>
      <w:r>
        <w:t xml:space="preserve"> </w:t>
      </w:r>
      <w:r>
        <w:t xml:space="preserve">unidades de produto e deve alocar entre etanol (</w:t>
      </w:r>
      <m:oMath>
        <m:sSubSup>
          <m:e>
            <m:r>
              <m:t>Q</m:t>
            </m:r>
          </m:e>
          <m:sub>
            <m:r>
              <m:t>e</m:t>
            </m:r>
          </m:sub>
          <m:sup>
            <m:r>
              <m:t>s</m:t>
            </m:r>
          </m:sup>
        </m:sSubSup>
      </m:oMath>
      <w:r>
        <w:t xml:space="preserve">) e açúcar (</w:t>
      </w:r>
      <m:oMath>
        <m:sSubSup>
          <m:e>
            <m:r>
              <m:t>Q</m:t>
            </m:r>
          </m:e>
          <m:sub>
            <m:r>
              <m:t>a</m:t>
            </m:r>
          </m:sub>
          <m:sup>
            <m:r>
              <m:t>s</m:t>
            </m:r>
          </m:sup>
        </m:sSubSup>
      </m:oMath>
      <w:r>
        <w:t xml:space="preserve">), com</w:t>
      </w:r>
      <w:r>
        <w:t xml:space="preserve"> </w:t>
      </w:r>
      <m:oMath>
        <m:sSubSup>
          <m:e>
            <m:r>
              <m:t>Q</m:t>
            </m:r>
          </m:e>
          <m:sub>
            <m:r>
              <m:t>e</m:t>
            </m:r>
          </m:sub>
          <m:sup>
            <m:r>
              <m:t>s</m:t>
            </m:r>
          </m:sup>
        </m:sSubSup>
        <m:r>
          <m:rPr>
            <m:sty m:val="p"/>
          </m:rPr>
          <m:t>+</m:t>
        </m:r>
        <m:sSubSup>
          <m:e>
            <m:r>
              <m:t>Q</m:t>
            </m:r>
          </m:e>
          <m:sub>
            <m:r>
              <m:t>a</m:t>
            </m:r>
          </m:sub>
          <m:sup>
            <m:r>
              <m:t>s</m:t>
            </m:r>
          </m:sup>
        </m:sSubSup>
        <m:r>
          <m:rPr>
            <m:sty m:val="p"/>
          </m:rPr>
          <m:t>=</m:t>
        </m:r>
        <m:acc>
          <m:accPr>
            <m:chr m:val="‾"/>
          </m:accPr>
          <m:e>
            <m:r>
              <m:t>S</m:t>
            </m:r>
          </m:e>
        </m:acc>
      </m:oMath>
      <w:r>
        <w:t xml:space="preserve">. A usina maximiza sua receita total</w:t>
      </w:r>
      <w:r>
        <w:t xml:space="preserve"> </w:t>
      </w:r>
      <m:oMath>
        <m:sSub>
          <m:e>
            <m:r>
              <m:t>P</m:t>
            </m:r>
          </m:e>
          <m:sub>
            <m:r>
              <m:t>e</m:t>
            </m:r>
          </m:sub>
        </m:sSub>
        <m:sSubSup>
          <m:e>
            <m:r>
              <m:t>Q</m:t>
            </m:r>
          </m:e>
          <m:sub>
            <m:r>
              <m:t>e</m:t>
            </m:r>
          </m:sub>
          <m:sup>
            <m:r>
              <m:t>s</m:t>
            </m:r>
          </m:sup>
        </m:sSubSup>
        <m:r>
          <m:rPr>
            <m:sty m:val="p"/>
          </m:rPr>
          <m:t>+</m:t>
        </m:r>
        <m:sSub>
          <m:e>
            <m:r>
              <m:t>P</m:t>
            </m:r>
          </m:e>
          <m:sub>
            <m:r>
              <m:t>a</m:t>
            </m:r>
          </m:sub>
        </m:sSub>
        <m:sSubSup>
          <m:e>
            <m:r>
              <m:t>Q</m:t>
            </m:r>
          </m:e>
          <m:sub>
            <m:r>
              <m:t>a</m:t>
            </m:r>
          </m:sub>
          <m:sup>
            <m:r>
              <m:t>s</m:t>
            </m:r>
          </m:sup>
        </m:sSubSup>
      </m:oMath>
      <w:r>
        <w:t xml:space="preserve"> </w:t>
      </w:r>
      <w:r>
        <w:t xml:space="preserve">sujeita a essa restrição.</w:t>
      </w:r>
    </w:p>
    <w:p>
      <w:pPr>
        <w:numPr>
          <w:ilvl w:val="0"/>
          <w:numId w:val="1060"/>
        </w:numPr>
      </w:pPr>
      <w:r>
        <w:t xml:space="preserve">Mostre que, no ótimo da usina, a alocação exige</w:t>
      </w:r>
      <w:r>
        <w:t xml:space="preserve"> </w:t>
      </w:r>
      <m:oMath>
        <m:sSub>
          <m:e>
            <m:r>
              <m:t>P</m:t>
            </m:r>
          </m:e>
          <m:sub>
            <m:r>
              <m:t>e</m:t>
            </m:r>
          </m:sub>
        </m:sSub>
        <m:r>
          <m:rPr>
            <m:sty m:val="p"/>
          </m:rPr>
          <m:t>=</m:t>
        </m:r>
        <m:sSub>
          <m:e>
            <m:r>
              <m:t>P</m:t>
            </m:r>
          </m:e>
          <m:sub>
            <m:r>
              <m:t>a</m:t>
            </m:r>
          </m:sub>
        </m:sSub>
      </m:oMath>
      <w:r>
        <w:t xml:space="preserve">.</w:t>
      </w:r>
      <w:r>
        <w:t xml:space="preserve"> </w:t>
      </w:r>
      <w:r>
        <w:rPr>
          <w:i/>
          <w:iCs/>
        </w:rPr>
        <w:t xml:space="preserve">(Dica: monte o lagrangeano.)</w:t>
      </w:r>
    </w:p>
    <w:p>
      <w:pPr>
        <w:numPr>
          <w:ilvl w:val="0"/>
          <w:numId w:val="1060"/>
        </w:numPr>
      </w:pPr>
      <w:r>
        <w:t xml:space="preserve">Usando a condição de equilíbrio (</w:t>
      </w:r>
      <m:oMath>
        <m:sSup>
          <m:e>
            <m:r>
              <m:t>Q</m:t>
            </m:r>
          </m:e>
          <m:sup>
            <m:r>
              <m:t>d</m:t>
            </m:r>
          </m:sup>
        </m:sSup>
        <m:r>
          <m:rPr>
            <m:sty m:val="p"/>
          </m:rPr>
          <m:t>=</m:t>
        </m:r>
        <m:sSup>
          <m:e>
            <m:r>
              <m:t>Q</m:t>
            </m:r>
          </m:e>
          <m:sup>
            <m:r>
              <m:t>s</m:t>
            </m:r>
          </m:sup>
        </m:sSup>
      </m:oMath>
      <w:r>
        <w:t xml:space="preserve"> </w:t>
      </w:r>
      <w:r>
        <w:t xml:space="preserve">em cada mercado) e o resultado de (a), encontre o preço de equilíbrio como função de</w:t>
      </w:r>
      <w:r>
        <w:t xml:space="preserve"> </w:t>
      </w:r>
      <m:oMath>
        <m:acc>
          <m:accPr>
            <m:chr m:val="‾"/>
          </m:accPr>
          <m:e>
            <m:r>
              <m:t>S</m:t>
            </m:r>
          </m:e>
        </m:acc>
      </m:oMath>
      <w:r>
        <w:t xml:space="preserve">.</w:t>
      </w:r>
    </w:p>
    <w:p>
      <w:pPr>
        <w:numPr>
          <w:ilvl w:val="0"/>
          <w:numId w:val="1060"/>
        </w:numPr>
      </w:pPr>
      <w:r>
        <w:t xml:space="preserve">Se</w:t>
      </w:r>
      <w:r>
        <w:t xml:space="preserve"> </w:t>
      </w:r>
      <m:oMath>
        <m:acc>
          <m:accPr>
            <m:chr m:val="‾"/>
          </m:accPr>
          <m:e>
            <m:r>
              <m:t>S</m:t>
            </m:r>
          </m:e>
        </m:acc>
        <m:r>
          <m:rPr>
            <m:sty m:val="p"/>
          </m:rPr>
          <m:t>=</m:t>
        </m:r>
        <m:r>
          <m:t>280</m:t>
        </m:r>
      </m:oMath>
      <w:r>
        <w:t xml:space="preserve">, calcule os preços e quantidades de equilíbrio em ambos os mercados.</w:t>
      </w:r>
    </w:p>
    <w:p>
      <w:pPr>
        <w:numPr>
          <w:ilvl w:val="0"/>
          <w:numId w:val="1060"/>
        </w:numPr>
      </w:pPr>
      <w:r>
        <w:t xml:space="preserve">Realize estática comparativa: calcule</w:t>
      </w:r>
      <w:r>
        <w:t xml:space="preserve"> </w:t>
      </w:r>
      <m:oMath>
        <m:r>
          <m:rPr>
            <m:sty m:val="p"/>
          </m:rPr>
          <m:t>∂</m:t>
        </m:r>
        <m:sSup>
          <m:e>
            <m:r>
              <m:t>P</m:t>
            </m:r>
          </m:e>
          <m:sup>
            <m:r>
              <m:rPr>
                <m:sty m:val="p"/>
              </m:rPr>
              <m:t>*</m:t>
            </m:r>
          </m:sup>
        </m:sSup>
        <m:r>
          <m:rPr>
            <m:sty m:val="p"/>
          </m:rPr>
          <m:t>/</m:t>
        </m:r>
        <m:r>
          <m:rPr>
            <m:sty m:val="p"/>
          </m:rPr>
          <m:t>∂</m:t>
        </m:r>
        <m:acc>
          <m:accPr>
            <m:chr m:val="‾"/>
          </m:accPr>
          <m:e>
            <m:r>
              <m:t>S</m:t>
            </m:r>
          </m:e>
        </m:acc>
      </m:oMath>
      <w:r>
        <w:t xml:space="preserve"> </w:t>
      </w:r>
      <w:r>
        <w:t xml:space="preserve">e interprete economicamente. O que acontece com os preços quando uma supersafra de cana aumenta</w:t>
      </w:r>
      <w:r>
        <w:t xml:space="preserve"> </w:t>
      </w:r>
      <m:oMath>
        <m:acc>
          <m:accPr>
            <m:chr m:val="‾"/>
          </m:accPr>
          <m:e>
            <m:r>
              <m:t>S</m:t>
            </m:r>
          </m:e>
        </m:acc>
      </m:oMath>
      <w:r>
        <w:t xml:space="preserve">?</w:t>
      </w:r>
    </w:p>
    <w:p>
      <w:pPr>
        <w:pStyle w:val="FirstParagraph"/>
      </w:pPr>
      <w:r>
        <w:t xml:space="preserve">Ver solução (Cap. 1)</w:t>
      </w:r>
    </w:p>
    <w:p>
      <w:r>
        <w:pict>
          <v:rect style="width:0;height:1.5pt" o:hralign="center" o:hrstd="t" o:hr="t"/>
        </w:pict>
      </w:r>
    </w:p>
    <w:bookmarkEnd w:id="60"/>
    <w:bookmarkStart w:id="61" w:name="vem-anpec"/>
    <w:p>
      <w:pPr>
        <w:pStyle w:val="Heading3"/>
      </w:pPr>
      <w:r>
        <w:t xml:space="preserve">Vem, ANPEC!</w:t>
      </w:r>
    </w:p>
    <w:p>
      <w:pPr>
        <w:pStyle w:val="BlockText"/>
      </w:pPr>
      <w:r>
        <w:rPr>
          <w:b/>
          <w:bCs/>
        </w:rPr>
        <w:t xml:space="preserve">[QUESTAO] ANPEC 2019 — Questão 05</w:t>
      </w:r>
    </w:p>
    <w:p>
      <w:pPr>
        <w:pStyle w:val="BlockText"/>
      </w:pPr>
      <w:r>
        <w:t xml:space="preserve">Com relação aos fundamentos da Microeconomia, julgue como verdadeiros ou falsos os itens a seguir:</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Os preços relativos</w:t>
            </w:r>
            <w:r>
              <w:t xml:space="preserve"> </w:t>
            </w:r>
            <m:oMath>
              <m:sSub>
                <m:e>
                  <m:r>
                    <m:t>P</m:t>
                  </m:r>
                </m:e>
                <m:sub>
                  <m:r>
                    <m:t>Y</m:t>
                  </m:r>
                </m:sub>
              </m:sSub>
              <m:r>
                <m:rPr>
                  <m:sty m:val="p"/>
                </m:rPr>
                <m:t>/</m:t>
              </m:r>
              <m:sSub>
                <m:e>
                  <m:r>
                    <m:t>P</m:t>
                  </m:r>
                </m:e>
                <m:sub>
                  <m:r>
                    <m:t>X</m:t>
                  </m:r>
                </m:sub>
              </m:sSub>
            </m:oMath>
            <w:r>
              <w:t xml:space="preserve"> </w:t>
            </w:r>
            <w:r>
              <w:t xml:space="preserve">livres de mercado dos bens</w:t>
            </w:r>
            <w:r>
              <w:t xml:space="preserve"> </w:t>
            </w:r>
            <m:oMath>
              <m:r>
                <m:t>Y</m:t>
              </m:r>
            </m:oMath>
            <w:r>
              <w:t xml:space="preserve"> </w:t>
            </w:r>
            <w:r>
              <w:t xml:space="preserve">e</w:t>
            </w:r>
            <w:r>
              <w:t xml:space="preserve"> </w:t>
            </w:r>
            <m:oMath>
              <m:r>
                <m:t>X</m:t>
              </m:r>
            </m:oMath>
            <w:r>
              <w:t xml:space="preserve"> </w:t>
            </w:r>
            <w:r>
              <w:t xml:space="preserve">refletem as taxas às quais a sociedade está disposta a sacrificar o bem</w:t>
            </w:r>
            <w:r>
              <w:t xml:space="preserve"> </w:t>
            </w:r>
            <m:oMath>
              <m:r>
                <m:t>Y</m:t>
              </m:r>
            </m:oMath>
            <w:r>
              <w:t xml:space="preserve"> </w:t>
            </w:r>
            <w:r>
              <w:t xml:space="preserve">em troca de uma unidade marginal de</w:t>
            </w:r>
            <w:r>
              <w:t xml:space="preserve"> </w:t>
            </w:r>
            <m:oMath>
              <m:r>
                <m:t>X</m:t>
              </m:r>
            </m:oMath>
            <w:r>
              <w:t xml:space="preserve">.</w:t>
            </w:r>
          </w:p>
        </w:tc>
      </w:tr>
      <w:tr>
        <w:tc>
          <w:tcPr/>
          <w:p>
            <w:pPr>
              <w:pStyle w:val="Compact"/>
            </w:pPr>
            <w:r>
              <w:t xml:space="preserve">1</w:t>
            </w:r>
          </w:p>
        </w:tc>
        <w:tc>
          <w:tcPr/>
          <w:p>
            <w:pPr>
              <w:pStyle w:val="Compact"/>
            </w:pPr>
            <w:r>
              <w:t xml:space="preserve">No curto prazo, um fator de produção é fixo apenas por razões tecnológicas, nunca porque seja simplesmente mais barato mantê-lo fixo do que ajustá-lo às novas condições de mercado.</w:t>
            </w:r>
          </w:p>
        </w:tc>
      </w:tr>
      <w:tr>
        <w:tc>
          <w:tcPr/>
          <w:p>
            <w:pPr>
              <w:pStyle w:val="Compact"/>
            </w:pPr>
            <w:r>
              <w:t xml:space="preserve">2</w:t>
            </w:r>
          </w:p>
        </w:tc>
        <w:tc>
          <w:tcPr/>
          <w:p>
            <w:pPr>
              <w:pStyle w:val="Compact"/>
            </w:pPr>
            <w:r>
              <w:t xml:space="preserve">Na ausência de externalidades marginais, os custos marginais privados podem ser interpretados como o valor que a sociedade atribui aos recursos deslocados da economia para a produção da unidade marginal.</w:t>
            </w:r>
          </w:p>
        </w:tc>
      </w:tr>
      <w:tr>
        <w:tc>
          <w:tcPr/>
          <w:p>
            <w:pPr>
              <w:pStyle w:val="Compact"/>
            </w:pPr>
            <w:r>
              <w:t xml:space="preserve">3</w:t>
            </w:r>
          </w:p>
        </w:tc>
        <w:tc>
          <w:tcPr/>
          <w:p>
            <w:pPr>
              <w:pStyle w:val="Compact"/>
            </w:pPr>
            <w:r>
              <w:t xml:space="preserve">Num mercado competitivo, com custos marginais constantes e capacidade máxima limitada, se a demanda agregada é grande o suficiente para fazer a firma atingir sua capacidade máxima, então o preço de equilíbrio é o custo marginal da última unidade acrescido do preço-sombra da capacidade máxima.</w:t>
            </w:r>
          </w:p>
        </w:tc>
      </w:tr>
      <w:tr>
        <w:tc>
          <w:tcPr/>
          <w:p>
            <w:pPr>
              <w:pStyle w:val="Compact"/>
            </w:pPr>
            <w:r>
              <w:t xml:space="preserve">4</w:t>
            </w:r>
          </w:p>
        </w:tc>
        <w:tc>
          <w:tcPr/>
          <w:p>
            <w:pPr>
              <w:pStyle w:val="Compact"/>
            </w:pPr>
            <w:r>
              <w:t xml:space="preserve">Suponha que o preço de um bem</w:t>
            </w:r>
            <w:r>
              <w:t xml:space="preserve"> </w:t>
            </w:r>
            <m:oMath>
              <m:r>
                <m:t>X</m:t>
              </m:r>
            </m:oMath>
            <w:r>
              <w:t xml:space="preserve"> </w:t>
            </w:r>
            <w:r>
              <w:t xml:space="preserve">cai marginalmente de</w:t>
            </w:r>
            <w:r>
              <w:t xml:space="preserve"> </w:t>
            </w:r>
            <m:oMath>
              <m:sSub>
                <m:e>
                  <m:r>
                    <m:t>P</m:t>
                  </m:r>
                </m:e>
                <m:sub>
                  <m:r>
                    <m:t>0</m:t>
                  </m:r>
                </m:sub>
              </m:sSub>
            </m:oMath>
            <w:r>
              <w:t xml:space="preserve"> </w:t>
            </w:r>
            <w:r>
              <w:t xml:space="preserve">para</w:t>
            </w:r>
            <w:r>
              <w:t xml:space="preserve"> </w:t>
            </w:r>
            <m:oMath>
              <m:sSub>
                <m:e>
                  <m:r>
                    <m:t>P</m:t>
                  </m:r>
                </m:e>
                <m:sub>
                  <m:r>
                    <m:t>1</m:t>
                  </m:r>
                </m:sub>
              </m:sSub>
            </m:oMath>
            <w:r>
              <w:t xml:space="preserve">. Ao se defrontar com o preço marginalmente mais baixo, o consumidor realiza uma economia de gastos relativamente à quantidade que usualmente comprava ao preço inicial. Se ele usa uma parte dessa economia para comprar mais unidades desse bem</w:t>
            </w:r>
            <w:r>
              <w:t xml:space="preserve"> </w:t>
            </w:r>
            <m:oMath>
              <m:r>
                <m:t>X</m:t>
              </m:r>
            </m:oMath>
            <w:r>
              <w:t xml:space="preserve">, mas aproveita outra parte dela para comprar outros bens, então, para esse consumidor, a demanda pelo bem</w:t>
            </w:r>
            <w:r>
              <w:t xml:space="preserve"> </w:t>
            </w:r>
            <m:oMath>
              <m:r>
                <m:t>X</m:t>
              </m:r>
            </m:oMath>
            <w:r>
              <w:t xml:space="preserve"> </w:t>
            </w:r>
            <w:r>
              <w:t xml:space="preserve">é preço-elástica.</w:t>
            </w:r>
          </w:p>
        </w:tc>
      </w:tr>
    </w:tbl>
    <w:p>
      <w:pPr>
        <w:pStyle w:val="BlockText"/>
      </w:pPr>
      <w:r>
        <w:t xml:space="preserve">??? success</w:t>
      </w:r>
      <w:r>
        <w:t xml:space="preserve"> </w:t>
      </w:r>
      <w:r>
        <w:t xml:space="preserve">“Gabarito”</w:t>
      </w:r>
      <w:r>
        <w:t xml:space="preserve"> </w:t>
      </w:r>
      <w:r>
        <w:rPr>
          <w:b/>
          <w:bCs/>
        </w:rPr>
        <w:t xml:space="preserve">Respostas: V F V V F</w:t>
      </w:r>
    </w:p>
    <w:p>
      <w:pPr>
        <w:pStyle w:val="SourceCode"/>
      </w:pPr>
      <w:r>
        <w:rPr>
          <w:rStyle w:val="VerbatimChar"/>
        </w:rPr>
        <w:t xml:space="preserve">**Justificativa por item:**</w:t>
      </w:r>
      <w:r>
        <w:br/>
      </w:r>
      <w:r>
        <w:br/>
      </w:r>
      <w:r>
        <w:rPr>
          <w:rStyle w:val="VerbatimChar"/>
        </w:rPr>
        <w:t xml:space="preserve">- **Item 0 — V:** Em um mercado competitivo sem distorções, os preços relativos refletem tanto a taxa marginal de substituição dos consumidores quanto a taxa marginal de transformação da economia. O preço relativo $P_Y/P_X$ indica quantas unidades de $Y$ a sociedade precisa sacrificar para obter uma unidade adicional de $X$, refletindo o custo de oportunidade social.</w:t>
      </w:r>
      <w:r>
        <w:br/>
      </w:r>
      <w:r>
        <w:rPr>
          <w:rStyle w:val="VerbatimChar"/>
        </w:rPr>
        <w:t xml:space="preserve">- **Item 1 — F:** Um fator pode ser fixo no curto prazo não apenas por impossibilidade tecnológica de ajuste, mas também porque os custos de ajustamento tornam mais barato mantê-lo fixo. Por exemplo, uma firma pode manter maquinário ocioso porque o custo de vendê-lo e readquiri-lo excede o custo de mantê-lo parado.</w:t>
      </w:r>
      <w:r>
        <w:br/>
      </w:r>
      <w:r>
        <w:rPr>
          <w:rStyle w:val="VerbatimChar"/>
        </w:rPr>
        <w:t xml:space="preserve">- **Item 2 — V:** Na ausência de externalidades, o custo marginal privado coincide com o custo marginal social. Assim, o $CMg$ privado pode ser interpretado como o valor que a sociedade atribui aos recursos deslocados de outros usos para a produção da unidade marginal — é o custo de oportunidade social.</w:t>
      </w:r>
      <w:r>
        <w:br/>
      </w:r>
      <w:r>
        <w:rPr>
          <w:rStyle w:val="VerbatimChar"/>
        </w:rPr>
        <w:t xml:space="preserve">- **Item 3 — V:** Quando a firma opera na capacidade máxima, a restrição de capacidade se torna ativa. O preço de equilíbrio deve compensar não apenas o custo marginal de produção, mas também o valor-sombra (*shadow price*) da capacidade escassa. Esse preço-sombra mede o valor marginal de relaxar a restrição de capacidade em uma unidade.</w:t>
      </w:r>
      <w:r>
        <w:br/>
      </w:r>
      <w:r>
        <w:rPr>
          <w:rStyle w:val="VerbatimChar"/>
        </w:rPr>
        <w:t xml:space="preserve">- **Item 4 — F:** Se o consumidor usa apenas *parte* da economia para comprar mais de $X$ e desvia o restante para outros bens, então o gasto total com $X$ *diminui* após a queda de preço. Quando o gasto total cai com a redução do preço, a demanda é **inelástica** ($|\varepsilon| &lt; 1$), não elástica.</w:t>
      </w:r>
    </w:p>
    <w:p>
      <w:pPr>
        <w:pStyle w:val="BlockText"/>
      </w:pPr>
      <w:r>
        <w:rPr>
          <w:b/>
          <w:bCs/>
        </w:rPr>
        <w:t xml:space="preserve">[QUESTAO] ANPEC 2024 — Questão 05</w:t>
      </w:r>
    </w:p>
    <w:p>
      <w:pPr>
        <w:pStyle w:val="BlockText"/>
      </w:pPr>
      <w:r>
        <w:t xml:space="preserve">Com base na lei de oferta e demanda e na determinação dos preços no mercado, julgue as afirmativas abaixo como verdadeiras ou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No centro urbano de uma grande cidade não se permite, por razões arquitetônicas e políticas, a expansão da quantidade de imóveis residenciais. Considere a seguinte afirmação:</w:t>
            </w:r>
            <w:r>
              <w:t xml:space="preserve"> </w:t>
            </w:r>
            <w:r>
              <w:t xml:space="preserve">“O aluguel de mercado do imóvel não é um pagamento para produção de imóveis (primeiro ponto); mas é um pagamento para obter o uso do imóvel (segundo ponto)”</w:t>
            </w:r>
            <w:r>
              <w:t xml:space="preserve">. Pode-se afirmar que, do primeiro ponto de vista, o aluguel é uma renda pura e, do segundo ponto de vista, é um custo.</w:t>
            </w:r>
          </w:p>
        </w:tc>
      </w:tr>
      <w:tr>
        <w:tc>
          <w:tcPr/>
          <w:p>
            <w:pPr>
              <w:pStyle w:val="Compact"/>
            </w:pPr>
            <w:r>
              <w:t xml:space="preserve">1</w:t>
            </w:r>
          </w:p>
        </w:tc>
        <w:tc>
          <w:tcPr/>
          <w:p>
            <w:pPr>
              <w:pStyle w:val="Compact"/>
            </w:pPr>
            <w:r>
              <w:t xml:space="preserve">A decisão de manter alguma capacidade ociosa nunca é uma decisão racional viável da empresa para lidar com a incerteza quanto a variações aleatórias de demanda.</w:t>
            </w:r>
          </w:p>
        </w:tc>
      </w:tr>
      <w:tr>
        <w:tc>
          <w:tcPr/>
          <w:p>
            <w:pPr>
              <w:pStyle w:val="Compact"/>
            </w:pPr>
            <w:r>
              <w:t xml:space="preserve">2</w:t>
            </w:r>
          </w:p>
        </w:tc>
        <w:tc>
          <w:tcPr/>
          <w:p>
            <w:pPr>
              <w:pStyle w:val="Compact"/>
            </w:pPr>
            <w:r>
              <w:t xml:space="preserve">O preço-sombra da capacidade de produção máxima que a firma acrescenta ao custo marginal é uma medida monetária do valor que o mercado, na figura dos demandantes, está disposto a pagar pela expansão da capacidade máxima em uma unidade marginal.</w:t>
            </w:r>
          </w:p>
        </w:tc>
      </w:tr>
      <w:tr>
        <w:tc>
          <w:tcPr/>
          <w:p>
            <w:pPr>
              <w:pStyle w:val="Compact"/>
            </w:pPr>
            <w:r>
              <w:t xml:space="preserve">3</w:t>
            </w:r>
          </w:p>
        </w:tc>
        <w:tc>
          <w:tcPr/>
          <w:p>
            <w:pPr>
              <w:pStyle w:val="Compact"/>
            </w:pPr>
            <w:r>
              <w:t xml:space="preserve">Algumas empresas anunciam que seus produtos são mais baratos que os dos concorrentes porque elas compram diretamente dos fornecedores, eliminando integralmente o papel dos intermediários. Esse tipo de propaganda pressupõe que a intermediação é sem custos.</w:t>
            </w:r>
          </w:p>
        </w:tc>
      </w:tr>
      <w:tr>
        <w:tc>
          <w:tcPr/>
          <w:p>
            <w:pPr>
              <w:pStyle w:val="Compact"/>
            </w:pPr>
            <w:r>
              <w:t xml:space="preserve">4</w:t>
            </w:r>
          </w:p>
        </w:tc>
        <w:tc>
          <w:tcPr/>
          <w:p>
            <w:pPr>
              <w:pStyle w:val="Compact"/>
            </w:pPr>
            <w:r>
              <w:t xml:space="preserve">Custos quase-fixos não desaparecem no longo prazo.</w:t>
            </w:r>
          </w:p>
        </w:tc>
      </w:tr>
    </w:tbl>
    <w:p>
      <w:pPr>
        <w:pStyle w:val="BlockText"/>
      </w:pPr>
      <w:r>
        <w:t xml:space="preserve">??? success</w:t>
      </w:r>
      <w:r>
        <w:t xml:space="preserve"> </w:t>
      </w:r>
      <w:r>
        <w:t xml:space="preserve">“Gabarito”</w:t>
      </w:r>
      <w:r>
        <w:t xml:space="preserve"> </w:t>
      </w:r>
      <w:r>
        <w:rPr>
          <w:b/>
          <w:bCs/>
        </w:rPr>
        <w:t xml:space="preserve">Respostas: V F V F V</w:t>
      </w:r>
    </w:p>
    <w:p>
      <w:pPr>
        <w:pStyle w:val="SourceCode"/>
      </w:pPr>
      <w:r>
        <w:rPr>
          <w:rStyle w:val="VerbatimChar"/>
        </w:rPr>
        <w:t xml:space="preserve">**Justificativa por item:**</w:t>
      </w:r>
      <w:r>
        <w:br/>
      </w:r>
      <w:r>
        <w:br/>
      </w:r>
      <w:r>
        <w:rPr>
          <w:rStyle w:val="VerbatimChar"/>
        </w:rPr>
        <w:t xml:space="preserve">- **Item 0 — V:** Quando a oferta de imóveis é perfeitamente inelástica (fixa), o aluguel é inteiramente determinado pela demanda e constitui uma **renda pura** do ponto de vista da oferta — o pagamento não induz produção adicional. Do ponto de vista do demandante, porém, o aluguel é um custo necessário para obter o uso do imóvel. Essa dualidade remete à distinção ricardiana entre renda e custo (Seção 1.5).</w:t>
      </w:r>
      <w:r>
        <w:br/>
      </w:r>
      <w:r>
        <w:rPr>
          <w:rStyle w:val="VerbatimChar"/>
        </w:rPr>
        <w:t xml:space="preserve">- **Item 1 — F:** Manter capacidade ociosa pode ser perfeitamente racional quando a demanda é incerta: a firma mantém uma reserva de capacidade para atender picos de demanda sem perder clientes. Trata-se de uma decisão de otimização sob incerteza.</w:t>
      </w:r>
      <w:r>
        <w:br/>
      </w:r>
      <w:r>
        <w:rPr>
          <w:rStyle w:val="VerbatimChar"/>
        </w:rPr>
        <w:t xml:space="preserve">- **Item 2 — V:** O preço-sombra de uma restrição de capacidade mede o aumento no lucro (ou, equivalentemente, o valor para o mercado) que resultaria de relaxar a restrição em uma unidade marginal. É o valor que os demandantes estão dispostos a pagar acima do custo marginal de produção pela expansão da capacidade.</w:t>
      </w:r>
      <w:r>
        <w:br/>
      </w:r>
      <w:r>
        <w:rPr>
          <w:rStyle w:val="VerbatimChar"/>
        </w:rPr>
        <w:t xml:space="preserve">- **Item 3 — F:** A propaganda que alega preços mais baixos pela eliminação de intermediários pressupõe o contrário: que a intermediação **tem custos** (margens, logística) repassados ao consumidor. Se a intermediação fosse sem custos, eliminá-la não reduziria o preço. O que a propaganda ignora é que intermediários frequentemente geram valor real (informação, gestão de estoques, distribuição).</w:t>
      </w:r>
      <w:r>
        <w:br/>
      </w:r>
      <w:r>
        <w:rPr>
          <w:rStyle w:val="VerbatimChar"/>
        </w:rPr>
        <w:t xml:space="preserve">- **Item 4 — V:** Custos quase-fixos são custos que independem do nível de produção mas que só existem quando a firma produz ($q &gt; 0$). Diferentemente dos custos fixos tradicionais (como aluguéis contratuais), os custos quase-fixos persistem no longo prazo: sempre que a firma decide operar, ela os incorre, independentemente do horizonte temporal. Exemplos incluem custos mínimos de aquecimento de um forno industrial ou equipe mínima de operação.</w:t>
      </w:r>
    </w:p>
    <w:bookmarkEnd w:id="61"/>
    <w:bookmarkEnd w:id="62"/>
    <w:bookmarkStart w:id="76" w:name="pesquisa-em-ação-1"/>
    <w:p>
      <w:pPr>
        <w:pStyle w:val="Heading2"/>
      </w:pPr>
      <w:r>
        <w:t xml:space="preserve">Pesquisa em Ação</w:t>
      </w:r>
    </w:p>
    <w:p>
      <w:pPr>
        <w:pStyle w:val="FirstParagraph"/>
      </w:pPr>
      <w:r>
        <w:t xml:space="preserve">Esta seção apresenta pesquisas acadêmicas que aplicam os conceitos deste capítulo a problemas reais.</w:t>
      </w:r>
    </w:p>
    <w:p>
      <w:pPr>
        <w:pStyle w:val="BlockText"/>
      </w:pPr>
      <w:r>
        <w:rPr>
          <w:b/>
          <w:bCs/>
        </w:rPr>
        <w:t xml:space="preserve">[PESQUISA EM ACAO] Angrist, J. D.; Pischke, J.-S. (2010).</w:t>
      </w:r>
      <w:r>
        <w:rPr>
          <w:b/>
          <w:bCs/>
        </w:rPr>
        <w:t xml:space="preserve"> </w:t>
      </w:r>
      <w:hyperlink r:id="rId63">
        <w:r>
          <w:rPr>
            <w:rStyle w:val="Hyperlink"/>
            <w:b/>
            <w:bCs/>
          </w:rPr>
          <w:t xml:space="preserve">The Credibility Revolution in Empirical Economics: How Better Research Design Is Taking the Con out of Econometrics</w:t>
        </w:r>
      </w:hyperlink>
      <w:r>
        <w:rPr>
          <w:b/>
          <w:bCs/>
        </w:rPr>
        <w:t xml:space="preserve">.</w:t>
      </w:r>
      <w:r>
        <w:rPr>
          <w:b/>
          <w:bCs/>
        </w:rPr>
        <w:t xml:space="preserve"> </w:t>
      </w:r>
      <w:r>
        <w:rPr>
          <w:b/>
          <w:bCs/>
          <w:i/>
          <w:iCs/>
        </w:rPr>
        <w:t xml:space="preserve">Journal of Economic Perspectives</w:t>
      </w:r>
      <w:r>
        <w:rPr>
          <w:b/>
          <w:bCs/>
        </w:rPr>
        <w:t xml:space="preserve">, 24(2), 3–30.</w:t>
      </w:r>
    </w:p>
    <w:p>
      <w:pPr>
        <w:pStyle w:val="BlockText"/>
      </w:pPr>
      <w:r>
        <w:rPr>
          <w:b/>
          <w:bCs/>
        </w:rPr>
        <w:t xml:space="preserve">O que investiga:</w:t>
      </w:r>
      <w:r>
        <w:t xml:space="preserve"> </w:t>
      </w:r>
      <w:r>
        <w:t xml:space="preserve">Como a economia empírica evoluiu para produzir evidências mais confiáveis sobre relações causais? A verificação de modelos econômicos — tema central da Seção 1.2 — depende crucialmente da capacidade de distinguir correlação de causalidade nos dados observacionais.</w:t>
      </w:r>
    </w:p>
    <w:p>
      <w:pPr>
        <w:pStyle w:val="BlockText"/>
      </w:pPr>
      <w:r>
        <w:rPr>
          <w:b/>
          <w:bCs/>
        </w:rPr>
        <w:t xml:space="preserve">Conexão com o capítulo:</w:t>
      </w:r>
      <w:r>
        <w:t xml:space="preserve"> </w:t>
      </w:r>
      <w:r>
        <w:t xml:space="preserve">Angrist e Pischke documentam a</w:t>
      </w:r>
      <w:r>
        <w:t xml:space="preserve"> </w:t>
      </w:r>
      <w:r>
        <w:t xml:space="preserve">“revolução da credibilidade”</w:t>
      </w:r>
      <w:r>
        <w:t xml:space="preserve"> </w:t>
      </w:r>
      <w:r>
        <w:t xml:space="preserve">que transformou a economia empírica a partir dos anos 1990. A cláusula</w:t>
      </w:r>
      <w:r>
        <w:t xml:space="preserve"> </w:t>
      </w:r>
      <w:r>
        <w:rPr>
          <w:i/>
          <w:iCs/>
        </w:rPr>
        <w:t xml:space="preserve">ceteris paribus</w:t>
      </w:r>
      <w:r>
        <w:t xml:space="preserve">, apresentada como recurso teórico neste capítulo, é também o objetivo prático da econometria moderna: as técnicas de identificação causal — variáveis instrumentais, diferenças em diferenças, regressão descontínua — foram desenvolvidas para aproximar o</w:t>
      </w:r>
      <w:r>
        <w:t xml:space="preserve"> </w:t>
      </w:r>
      <w:r>
        <w:rPr>
          <w:i/>
          <w:iCs/>
        </w:rPr>
        <w:t xml:space="preserve">ceteris paribus</w:t>
      </w:r>
      <w:r>
        <w:t xml:space="preserve"> </w:t>
      </w:r>
      <w:r>
        <w:t xml:space="preserve">com dados observacionais.</w:t>
      </w:r>
    </w:p>
    <w:p>
      <w:pPr>
        <w:pStyle w:val="BlockText"/>
      </w:pPr>
      <w:r>
        <w:rPr>
          <w:b/>
          <w:bCs/>
        </w:rPr>
        <w:t xml:space="preserve">Principais resultados:</w:t>
      </w:r>
      <w:r>
        <w:t xml:space="preserve"> </w:t>
      </w:r>
      <w:r>
        <w:t xml:space="preserve">A adoção dessas técnicas elevou substancialmente a qualidade da evidência empírica. Estudos sobre retornos da educação, efeito do salário mínimo e impacto de programas sociais passaram a produzir resultados mais robustos e replicáveis. Joshua Angrist recebeu o Prêmio Nobel de Economia em 2021 por essas contribuições.</w:t>
      </w:r>
    </w:p>
    <w:p>
      <w:pPr>
        <w:pStyle w:val="BlockText"/>
      </w:pPr>
      <w:r>
        <w:rPr>
          <w:b/>
          <w:bCs/>
        </w:rPr>
        <w:t xml:space="preserve">Por que importa:</w:t>
      </w:r>
      <w:r>
        <w:t xml:space="preserve"> </w:t>
      </w:r>
      <w:r>
        <w:t xml:space="preserve">A revolução da credibilidade mostra que a microeconomia empírica não se limita a testar modelos — ela os refina, revelando quais suposições são empiricamente sustentáveis e quais precisam ser revisadas.</w:t>
      </w:r>
    </w:p>
    <w:p>
      <w:pPr>
        <w:pStyle w:val="BlockText"/>
      </w:pPr>
      <w:r>
        <w:rPr>
          <w:b/>
          <w:bCs/>
        </w:rPr>
        <w:t xml:space="preserve">[PESQUISA EM ACAO] Thaler, R. H. (2016).</w:t>
      </w:r>
      <w:r>
        <w:rPr>
          <w:b/>
          <w:bCs/>
        </w:rPr>
        <w:t xml:space="preserve"> </w:t>
      </w:r>
      <w:hyperlink r:id="rId64">
        <w:r>
          <w:rPr>
            <w:rStyle w:val="Hyperlink"/>
            <w:b/>
            <w:bCs/>
          </w:rPr>
          <w:t xml:space="preserve">Behavioral Economics: Past, Present, and Future</w:t>
        </w:r>
      </w:hyperlink>
      <w:r>
        <w:rPr>
          <w:b/>
          <w:bCs/>
        </w:rPr>
        <w:t xml:space="preserve">.</w:t>
      </w:r>
      <w:r>
        <w:rPr>
          <w:b/>
          <w:bCs/>
        </w:rPr>
        <w:t xml:space="preserve"> </w:t>
      </w:r>
      <w:r>
        <w:rPr>
          <w:b/>
          <w:bCs/>
          <w:i/>
          <w:iCs/>
        </w:rPr>
        <w:t xml:space="preserve">American Economic Review</w:t>
      </w:r>
      <w:r>
        <w:rPr>
          <w:b/>
          <w:bCs/>
        </w:rPr>
        <w:t xml:space="preserve">, 106(7), 1577–1600.</w:t>
      </w:r>
    </w:p>
    <w:p>
      <w:pPr>
        <w:pStyle w:val="BlockText"/>
      </w:pPr>
      <w:r>
        <w:rPr>
          <w:b/>
          <w:bCs/>
        </w:rPr>
        <w:t xml:space="preserve">O que investiga:</w:t>
      </w:r>
      <w:r>
        <w:t xml:space="preserve"> </w:t>
      </w:r>
      <w:r>
        <w:t xml:space="preserve">Até que ponto a hipótese de otimização racional — fundamento dos modelos microeconômicos discutidos na Seção 1.3 — descreve adequadamente o comportamento humano? E quando os desvios da racionalidade são sistemáticos, como devemos modificar nossos modelos?</w:t>
      </w:r>
    </w:p>
    <w:p>
      <w:pPr>
        <w:pStyle w:val="BlockText"/>
      </w:pPr>
      <w:r>
        <w:rPr>
          <w:b/>
          <w:bCs/>
        </w:rPr>
        <w:t xml:space="preserve">Conexão com o capítulo:</w:t>
      </w:r>
      <w:r>
        <w:t xml:space="preserve"> </w:t>
      </w:r>
      <w:r>
        <w:t xml:space="preserve">Em seu discurso presidencial na AEA, Thaler traça a trajetória da economia comportamental desde seus precursores até sua consolidação. O argumento central é que os agentes reais (</w:t>
      </w:r>
      <w:r>
        <w:rPr>
          <w:i/>
          <w:iCs/>
        </w:rPr>
        <w:t xml:space="preserve">Humans</w:t>
      </w:r>
      <w:r>
        <w:t xml:space="preserve">) diferem sistematicamente dos agentes perfeitamente racionais (</w:t>
      </w:r>
      <w:r>
        <w:rPr>
          <w:i/>
          <w:iCs/>
        </w:rPr>
        <w:t xml:space="preserve">Econs</w:t>
      </w:r>
      <w:r>
        <w:t xml:space="preserve">): exibem racionalidade limitada, autocontrole imperfeito e preferências sociais. A abordagem</w:t>
      </w:r>
      <w:r>
        <w:t xml:space="preserve"> </w:t>
      </w:r>
      <w:r>
        <w:t xml:space="preserve">“as if”</w:t>
      </w:r>
      <w:r>
        <w:t xml:space="preserve"> </w:t>
      </w:r>
      <w:r>
        <w:t xml:space="preserve">de Friedman funciona em muitos contextos, mas falha em decisões intertemporais, escolhas sob incerteza e situações com baixa experiência.</w:t>
      </w:r>
    </w:p>
    <w:p>
      <w:pPr>
        <w:pStyle w:val="BlockText"/>
      </w:pPr>
      <w:r>
        <w:rPr>
          <w:b/>
          <w:bCs/>
        </w:rPr>
        <w:t xml:space="preserve">Principais resultados:</w:t>
      </w:r>
      <w:r>
        <w:t xml:space="preserve"> </w:t>
      </w:r>
      <w:r>
        <w:t xml:space="preserve">Thaler documenta vieses robustos — efeito dotação, aversão à perda, desconto hiperbólico — e mostra como incorporá-los a modelos formais sem abandonar o arcabouço de otimização. A economia comportamental não rejeita a modelagem; propõe modelos alternativos que preservam o rigor formal.</w:t>
      </w:r>
    </w:p>
    <w:p>
      <w:pPr>
        <w:pStyle w:val="BlockText"/>
      </w:pPr>
      <w:r>
        <w:rPr>
          <w:b/>
          <w:bCs/>
        </w:rPr>
        <w:t xml:space="preserve">Por que importa:</w:t>
      </w:r>
      <w:r>
        <w:t xml:space="preserve"> </w:t>
      </w:r>
      <w:r>
        <w:t xml:space="preserve">Thaler recebeu o Nobel em 2017, consolidando a economia comportamental como parte do</w:t>
      </w:r>
      <w:r>
        <w:t xml:space="preserve"> </w:t>
      </w:r>
      <w:r>
        <w:rPr>
          <w:i/>
          <w:iCs/>
        </w:rPr>
        <w:t xml:space="preserve">mainstream</w:t>
      </w:r>
      <w:r>
        <w:t xml:space="preserve"> </w:t>
      </w:r>
      <w:r>
        <w:t xml:space="preserve">microeconômico. O artigo dialoga com as Seções 1.3 e 1.6 sobre os limites e extensões do modelo racional.</w:t>
      </w:r>
    </w:p>
    <w:p>
      <w:pPr>
        <w:pStyle w:val="BlockText"/>
      </w:pPr>
      <w:r>
        <w:rPr>
          <w:b/>
          <w:bCs/>
        </w:rPr>
        <w:t xml:space="preserve">[PESQUISA EM ACAO] Card, D.; Krueger, A. B. (1994).</w:t>
      </w:r>
      <w:r>
        <w:rPr>
          <w:b/>
          <w:bCs/>
        </w:rPr>
        <w:t xml:space="preserve"> </w:t>
      </w:r>
      <w:hyperlink r:id="rId65">
        <w:r>
          <w:rPr>
            <w:rStyle w:val="Hyperlink"/>
            <w:b/>
            <w:bCs/>
          </w:rPr>
          <w:t xml:space="preserve">Minimum Wages and Employment: A Case Study of the Fast-Food Industry in New Jersey and Pennsylvania</w:t>
        </w:r>
      </w:hyperlink>
      <w:r>
        <w:rPr>
          <w:b/>
          <w:bCs/>
        </w:rPr>
        <w:t xml:space="preserve">.</w:t>
      </w:r>
      <w:r>
        <w:rPr>
          <w:b/>
          <w:bCs/>
        </w:rPr>
        <w:t xml:space="preserve"> </w:t>
      </w:r>
      <w:r>
        <w:rPr>
          <w:b/>
          <w:bCs/>
          <w:i/>
          <w:iCs/>
        </w:rPr>
        <w:t xml:space="preserve">American Economic Review</w:t>
      </w:r>
      <w:r>
        <w:rPr>
          <w:b/>
          <w:bCs/>
        </w:rPr>
        <w:t xml:space="preserve">, 84(4), 772–793.</w:t>
      </w:r>
    </w:p>
    <w:p>
      <w:pPr>
        <w:pStyle w:val="BlockText"/>
      </w:pPr>
      <w:r>
        <w:rPr>
          <w:b/>
          <w:bCs/>
        </w:rPr>
        <w:t xml:space="preserve">O que investiga:</w:t>
      </w:r>
      <w:r>
        <w:t xml:space="preserve"> </w:t>
      </w:r>
      <w:r>
        <w:t xml:space="preserve">O modelo competitivo do mercado de trabalho prevê que um aumento no salário mínimo acima do equilíbrio reduz o emprego. Essa previsão é empiricamente verdadeira? Card e Krueger testam a previsão do modelo usando um</w:t>
      </w:r>
      <w:r>
        <w:t xml:space="preserve"> </w:t>
      </w:r>
      <w:r>
        <w:t xml:space="preserve">“experimento natural”</w:t>
      </w:r>
      <w:r>
        <w:t xml:space="preserve"> </w:t>
      </w:r>
      <w:r>
        <w:t xml:space="preserve">— um aumento do salário mínimo em New Jersey em 1992, enquanto a vizinha Pennsylvania manteve o valor inalterado.</w:t>
      </w:r>
    </w:p>
    <w:p>
      <w:pPr>
        <w:pStyle w:val="BlockText"/>
      </w:pPr>
      <w:r>
        <w:rPr>
          <w:b/>
          <w:bCs/>
        </w:rPr>
        <w:t xml:space="preserve">Conexão com o capítulo:</w:t>
      </w:r>
      <w:r>
        <w:t xml:space="preserve"> </w:t>
      </w:r>
      <w:r>
        <w:t xml:space="preserve">O estudo é um exemplo paradigmático de verificação indireta de modelos (Seção 1.2): os autores confrontam a previsão do modelo competitivo com dados empíricos, usando a estratégia de diferenças em diferenças — uma forma de aproximar o</w:t>
      </w:r>
      <w:r>
        <w:t xml:space="preserve"> </w:t>
      </w:r>
      <w:r>
        <w:rPr>
          <w:i/>
          <w:iCs/>
        </w:rPr>
        <w:t xml:space="preserve">ceteris paribus</w:t>
      </w:r>
      <w:r>
        <w:t xml:space="preserve"> </w:t>
      </w:r>
      <w:r>
        <w:t xml:space="preserve">(Seção 1.3) com dados observacionais. Pennsylvania funciona como</w:t>
      </w:r>
      <w:r>
        <w:t xml:space="preserve"> </w:t>
      </w:r>
      <w:r>
        <w:t xml:space="preserve">“grupo de controle”</w:t>
      </w:r>
      <w:r>
        <w:t xml:space="preserve"> </w:t>
      </w:r>
      <w:r>
        <w:t xml:space="preserve">para New Jersey.</w:t>
      </w:r>
    </w:p>
    <w:p>
      <w:pPr>
        <w:pStyle w:val="BlockText"/>
      </w:pPr>
      <w:r>
        <w:rPr>
          <w:b/>
          <w:bCs/>
        </w:rPr>
        <w:t xml:space="preserve">Principais resultados:</w:t>
      </w:r>
      <w:r>
        <w:t xml:space="preserve"> </w:t>
      </w:r>
      <w:r>
        <w:t xml:space="preserve">Contrariamente à previsão do modelo competitivo simples, o emprego no setor de fast-food em New Jersey</w:t>
      </w:r>
      <w:r>
        <w:t xml:space="preserve"> </w:t>
      </w:r>
      <w:r>
        <w:rPr>
          <w:i/>
          <w:iCs/>
        </w:rPr>
        <w:t xml:space="preserve">não caiu</w:t>
      </w:r>
      <w:r>
        <w:t xml:space="preserve"> </w:t>
      </w:r>
      <w:r>
        <w:t xml:space="preserve">após o aumento do salário mínimo — na verdade, cresceu ligeiramente em relação a Pennsylvania. O resultado sugere que o modelo competitivo de mercado de trabalho, embora útil como benchmark, pode ser incompleto: modelos com poder de monopsônio do empregador explicam melhor o resultado.</w:t>
      </w:r>
    </w:p>
    <w:p>
      <w:pPr>
        <w:pStyle w:val="BlockText"/>
      </w:pPr>
      <w:r>
        <w:rPr>
          <w:b/>
          <w:bCs/>
        </w:rPr>
        <w:t xml:space="preserve">Por que importa:</w:t>
      </w:r>
      <w:r>
        <w:t xml:space="preserve"> </w:t>
      </w:r>
      <w:r>
        <w:t xml:space="preserve">O artigo de Card e Krueger é um dos mais influentes da economia do trabalho e ilustra como a verificação empírica pode levar à revisão e ao refinamento de modelos teóricos — não ao abandono da modelagem, mas à busca por modelos melhores. David Card recebeu o Prêmio Nobel de Economia em 2021.</w:t>
      </w:r>
    </w:p>
    <w:p>
      <w:pPr>
        <w:pStyle w:val="BlockText"/>
      </w:pPr>
      <w:r>
        <w:rPr>
          <w:b/>
          <w:bCs/>
        </w:rPr>
        <w:t xml:space="preserve">[PESQUISA EM ACAO] Roth, A. E. (2002).</w:t>
      </w:r>
      <w:r>
        <w:rPr>
          <w:b/>
          <w:bCs/>
        </w:rPr>
        <w:t xml:space="preserve"> </w:t>
      </w:r>
      <w:hyperlink r:id="rId66">
        <w:r>
          <w:rPr>
            <w:rStyle w:val="Hyperlink"/>
            <w:b/>
            <w:bCs/>
          </w:rPr>
          <w:t xml:space="preserve">The Economist as Engineer: Game Theory, Experimentation, and Computation as Tools for Design Economics</w:t>
        </w:r>
      </w:hyperlink>
      <w:r>
        <w:rPr>
          <w:b/>
          <w:bCs/>
        </w:rPr>
        <w:t xml:space="preserve">.</w:t>
      </w:r>
      <w:r>
        <w:rPr>
          <w:b/>
          <w:bCs/>
        </w:rPr>
        <w:t xml:space="preserve"> </w:t>
      </w:r>
      <w:r>
        <w:rPr>
          <w:b/>
          <w:bCs/>
          <w:i/>
          <w:iCs/>
        </w:rPr>
        <w:t xml:space="preserve">Econometrica</w:t>
      </w:r>
      <w:r>
        <w:rPr>
          <w:b/>
          <w:bCs/>
        </w:rPr>
        <w:t xml:space="preserve">, 70(4), 1341–1378.</w:t>
      </w:r>
    </w:p>
    <w:p>
      <w:pPr>
        <w:pStyle w:val="BlockText"/>
      </w:pPr>
      <w:r>
        <w:rPr>
          <w:b/>
          <w:bCs/>
        </w:rPr>
        <w:t xml:space="preserve">O que investiga:</w:t>
      </w:r>
      <w:r>
        <w:t xml:space="preserve"> </w:t>
      </w:r>
      <w:r>
        <w:t xml:space="preserve">Os modelos econômicos podem ser usados não apenas para</w:t>
      </w:r>
      <w:r>
        <w:t xml:space="preserve"> </w:t>
      </w:r>
      <w:r>
        <w:rPr>
          <w:i/>
          <w:iCs/>
        </w:rPr>
        <w:t xml:space="preserve">entender</w:t>
      </w:r>
      <w:r>
        <w:t xml:space="preserve"> </w:t>
      </w:r>
      <w:r>
        <w:t xml:space="preserve">mercados existentes, mas para</w:t>
      </w:r>
      <w:r>
        <w:t xml:space="preserve"> </w:t>
      </w:r>
      <w:r>
        <w:rPr>
          <w:i/>
          <w:iCs/>
        </w:rPr>
        <w:t xml:space="preserve">projetar</w:t>
      </w:r>
      <w:r>
        <w:t xml:space="preserve"> </w:t>
      </w:r>
      <w:r>
        <w:t xml:space="preserve">novos mercados e instituições? Roth argumenta que sim, e apresenta o economista como</w:t>
      </w:r>
      <w:r>
        <w:t xml:space="preserve"> </w:t>
      </w:r>
      <w:r>
        <w:t xml:space="preserve">“engenheiro”</w:t>
      </w:r>
      <w:r>
        <w:t xml:space="preserve"> </w:t>
      </w:r>
      <w:r>
        <w:t xml:space="preserve">— alguém que usa modelos teóricos para construir mecanismos que funcionam na prática.</w:t>
      </w:r>
    </w:p>
    <w:p>
      <w:pPr>
        <w:pStyle w:val="BlockText"/>
      </w:pPr>
      <w:r>
        <w:rPr>
          <w:b/>
          <w:bCs/>
        </w:rPr>
        <w:t xml:space="preserve">Conexão com o capítulo:</w:t>
      </w:r>
      <w:r>
        <w:t xml:space="preserve"> </w:t>
      </w:r>
      <w:r>
        <w:t xml:space="preserve">O artigo conecta a discussão teórica sobre modelos (Seções 1.1–1.4) aos desenvolvimentos modernos da Seção 1.6 — especificamente, a teoria dos mecanismos e a economia experimental. A tese de Roth é que modelos abstratos de teoria dos jogos, quando combinados com experimentação e computação, tornam-se ferramentas de engenharia econômica.</w:t>
      </w:r>
    </w:p>
    <w:p>
      <w:pPr>
        <w:pStyle w:val="BlockText"/>
      </w:pPr>
      <w:r>
        <w:rPr>
          <w:b/>
          <w:bCs/>
        </w:rPr>
        <w:t xml:space="preserve">Principais resultados:</w:t>
      </w:r>
      <w:r>
        <w:t xml:space="preserve"> </w:t>
      </w:r>
      <w:r>
        <w:t xml:space="preserve">Roth documenta três casos de sucesso do design de mercados: (i) o</w:t>
      </w:r>
      <w:r>
        <w:t xml:space="preserve"> </w:t>
      </w:r>
      <w:r>
        <w:rPr>
          <w:i/>
          <w:iCs/>
        </w:rPr>
        <w:t xml:space="preserve">National Resident Matching Program</w:t>
      </w:r>
      <w:r>
        <w:t xml:space="preserve"> </w:t>
      </w:r>
      <w:r>
        <w:t xml:space="preserve">(NRMP), que aloca médicos residentes a hospitais nos EUA desde 1952; (ii) o redesenho de sistemas de admissão escolar em cidades como Nova York e Boston; e (iii) mecanismos de troca de rins entre doadores vivos incompatíveis. Em todos os casos, o design foi informado por modelos formais de matching e teoria dos jogos cooperativos.</w:t>
      </w:r>
    </w:p>
    <w:p>
      <w:pPr>
        <w:pStyle w:val="BlockText"/>
      </w:pPr>
      <w:r>
        <w:rPr>
          <w:b/>
          <w:bCs/>
        </w:rPr>
        <w:t xml:space="preserve">Por que importa:</w:t>
      </w:r>
      <w:r>
        <w:t xml:space="preserve"> </w:t>
      </w:r>
      <w:r>
        <w:t xml:space="preserve">O artigo demonstra que modelos econômicos não são apenas ferramentas de análise retrospectiva, mas instrumentos de</w:t>
      </w:r>
      <w:r>
        <w:t xml:space="preserve"> </w:t>
      </w:r>
      <w:r>
        <w:rPr>
          <w:i/>
          <w:iCs/>
        </w:rPr>
        <w:t xml:space="preserve">design prospectivo</w:t>
      </w:r>
      <w:r>
        <w:t xml:space="preserve"> </w:t>
      </w:r>
      <w:r>
        <w:t xml:space="preserve">— podem criar instituições e mercados que melhoram o bem-estar. Roth recebeu o Prêmio Nobel de Economia em 2012, juntamente com Lloyd Shapley, por seus trabalhos sobre a teoria de matching e design de mercados.</w:t>
      </w:r>
    </w:p>
    <w:p>
      <w:pPr>
        <w:pStyle w:val="BlockText"/>
      </w:pPr>
      <w:r>
        <w:rPr>
          <w:b/>
          <w:bCs/>
        </w:rPr>
        <w:t xml:space="preserve">[PESQUISA EM ACAO] Naritomi, J. (2019).</w:t>
      </w:r>
      <w:r>
        <w:rPr>
          <w:b/>
          <w:bCs/>
        </w:rPr>
        <w:t xml:space="preserve"> </w:t>
      </w:r>
      <w:hyperlink r:id="rId67">
        <w:r>
          <w:rPr>
            <w:rStyle w:val="Hyperlink"/>
            <w:b/>
            <w:bCs/>
          </w:rPr>
          <w:t xml:space="preserve">Consumers as Tax Auditors</w:t>
        </w:r>
      </w:hyperlink>
      <w:r>
        <w:rPr>
          <w:b/>
          <w:bCs/>
        </w:rPr>
        <w:t xml:space="preserve">.</w:t>
      </w:r>
      <w:r>
        <w:rPr>
          <w:b/>
          <w:bCs/>
        </w:rPr>
        <w:t xml:space="preserve"> </w:t>
      </w:r>
      <w:r>
        <w:rPr>
          <w:b/>
          <w:bCs/>
          <w:i/>
          <w:iCs/>
        </w:rPr>
        <w:t xml:space="preserve">American Economic Review</w:t>
      </w:r>
      <w:r>
        <w:rPr>
          <w:b/>
          <w:bCs/>
        </w:rPr>
        <w:t xml:space="preserve">, 109(9), 3031–3072.</w:t>
      </w:r>
    </w:p>
    <w:p>
      <w:pPr>
        <w:pStyle w:val="BlockText"/>
      </w:pPr>
      <w:r>
        <w:rPr>
          <w:b/>
          <w:bCs/>
        </w:rPr>
        <w:t xml:space="preserve">O que investiga:</w:t>
      </w:r>
      <w:r>
        <w:t xml:space="preserve"> </w:t>
      </w:r>
      <w:r>
        <w:t xml:space="preserve">Políticas públicas que incentivam consumidores a pedir nota fiscal podem reduzir a evasão tributária? Naritomi estuda o programa</w:t>
      </w:r>
      <w:r>
        <w:t xml:space="preserve"> </w:t>
      </w:r>
      <w:r>
        <w:rPr>
          <w:i/>
          <w:iCs/>
        </w:rPr>
        <w:t xml:space="preserve">Nota Fiscal Paulista</w:t>
      </w:r>
      <w:r>
        <w:t xml:space="preserve"> </w:t>
      </w:r>
      <w:r>
        <w:t xml:space="preserve">(NFP), implementado pelo governo de São Paulo em 2007, que devolve parte do ICMS a consumidores que incluem o CPF na nota fiscal — transformando consumidores em</w:t>
      </w:r>
      <w:r>
        <w:t xml:space="preserve"> </w:t>
      </w:r>
      <w:r>
        <w:t xml:space="preserve">“auditores fiscais”</w:t>
      </w:r>
      <w:r>
        <w:t xml:space="preserve"> </w:t>
      </w:r>
      <w:r>
        <w:t xml:space="preserve">involuntários.</w:t>
      </w:r>
    </w:p>
    <w:p>
      <w:pPr>
        <w:pStyle w:val="BlockText"/>
      </w:pPr>
      <w:r>
        <w:rPr>
          <w:b/>
          <w:bCs/>
        </w:rPr>
        <w:t xml:space="preserve">Conexão com o capítulo:</w:t>
      </w:r>
      <w:r>
        <w:t xml:space="preserve"> </w:t>
      </w:r>
      <w:r>
        <w:t xml:space="preserve">O estudo exemplifica a aplicação de modelos microeconômicos a políticas públicas brasileiras (Seção 1.6). O modelo teórico subjacente combina teoria dos incentivos — firmas decidem quanto evadir considerando a probabilidade de detecção — com a hipótese de otimização dos consumidores (Seção 1.3), que pedem nota quando o benefício esperado (devolução do ICMS) supera o custo (tempo, inconveniência). A autora utiliza variações no calendário de implementação e nos prêmios como fonte de identificação causal.</w:t>
      </w:r>
    </w:p>
    <w:p>
      <w:pPr>
        <w:pStyle w:val="BlockText"/>
      </w:pPr>
      <w:r>
        <w:rPr>
          <w:b/>
          <w:bCs/>
        </w:rPr>
        <w:t xml:space="preserve">Principais resultados:</w:t>
      </w:r>
      <w:r>
        <w:t xml:space="preserve"> </w:t>
      </w:r>
      <w:r>
        <w:t xml:space="preserve">O programa NFP aumentou a receita de ICMS declarada em 21% nos setores varejistas, com efeitos maiores em setores com muitas transações com consumidores finais. Firmas previamente subdeclarantes responderam mais fortemente, e os efeitos persistiram ao longo do tempo. O custo fiscal do programa (devoluções aos consumidores) foi significativamente inferior ao ganho de arrecadação.</w:t>
      </w:r>
    </w:p>
    <w:p>
      <w:pPr>
        <w:pStyle w:val="BlockText"/>
      </w:pPr>
      <w:r>
        <w:rPr>
          <w:b/>
          <w:bCs/>
        </w:rPr>
        <w:t xml:space="preserve">Por que importa:</w:t>
      </w:r>
      <w:r>
        <w:t xml:space="preserve"> </w:t>
      </w:r>
      <w:r>
        <w:t xml:space="preserve">O artigo demonstra, com dados brasileiros, que modelos econômicos bem construídos podem informar o desenho de políticas públicas eficazes. A NFP transformou um problema de informação assimétrica (o fisco não observa todas as transações) em um mecanismo de incentivos alinhados — um exemplo concreto de teoria dos mecanismos aplicada (Seção 1.6).</w:t>
      </w:r>
    </w:p>
    <w:bookmarkStart w:id="75" w:name="referências-do-capítulo"/>
    <w:p>
      <w:pPr>
        <w:pStyle w:val="Heading3"/>
      </w:pPr>
      <w:r>
        <w:t xml:space="preserve">Referências do Capítulo</w:t>
      </w:r>
    </w:p>
    <w:p>
      <w:pPr>
        <w:pStyle w:val="Compact"/>
        <w:numPr>
          <w:ilvl w:val="0"/>
          <w:numId w:val="1061"/>
        </w:numPr>
      </w:pPr>
      <w:r>
        <w:t xml:space="preserve">Arrow, Kenneth J. 1963.</w:t>
      </w:r>
      <w:r>
        <w:t xml:space="preserve"> </w:t>
      </w:r>
      <w:r>
        <w:t xml:space="preserve">“Uncertainty and the Welfare Economics of Medical Care.”</w:t>
      </w:r>
      <w:r>
        <w:t xml:space="preserve"> </w:t>
      </w:r>
      <w:r>
        <w:rPr>
          <w:i/>
          <w:iCs/>
        </w:rPr>
        <w:t xml:space="preserve">American Economic Review</w:t>
      </w:r>
      <w:r>
        <w:t xml:space="preserve">, 53(5), 941–973.</w:t>
      </w:r>
    </w:p>
    <w:p>
      <w:pPr>
        <w:pStyle w:val="Compact"/>
        <w:numPr>
          <w:ilvl w:val="0"/>
          <w:numId w:val="1061"/>
        </w:numPr>
      </w:pPr>
      <w:r>
        <w:t xml:space="preserve">Friedman, Milton. 1953.</w:t>
      </w:r>
      <w:r>
        <w:t xml:space="preserve"> </w:t>
      </w:r>
      <w:r>
        <w:t xml:space="preserve">“The Methodology of Positive Economics.”</w:t>
      </w:r>
      <w:r>
        <w:t xml:space="preserve"> </w:t>
      </w:r>
      <w:r>
        <w:t xml:space="preserve">In</w:t>
      </w:r>
      <w:r>
        <w:t xml:space="preserve"> </w:t>
      </w:r>
      <w:hyperlink r:id="rId68">
        <w:r>
          <w:rPr>
            <w:rStyle w:val="Hyperlink"/>
            <w:i/>
            <w:iCs/>
          </w:rPr>
          <w:t xml:space="preserve">Essays in Positive Economics</w:t>
        </w:r>
      </w:hyperlink>
      <w:r>
        <w:t xml:space="preserve">. Chicago: University of Chicago Press.</w:t>
      </w:r>
    </w:p>
    <w:p>
      <w:pPr>
        <w:pStyle w:val="Compact"/>
        <w:numPr>
          <w:ilvl w:val="0"/>
          <w:numId w:val="1061"/>
        </w:numPr>
      </w:pPr>
      <w:r>
        <w:t xml:space="preserve">Holmström, Bengt. 1979.</w:t>
      </w:r>
      <w:r>
        <w:t xml:space="preserve"> </w:t>
      </w:r>
      <w:r>
        <w:t xml:space="preserve">“Moral Hazard and Observability.”</w:t>
      </w:r>
      <w:r>
        <w:t xml:space="preserve"> </w:t>
      </w:r>
      <w:r>
        <w:rPr>
          <w:i/>
          <w:iCs/>
        </w:rPr>
        <w:t xml:space="preserve">Bell Journal of Economics</w:t>
      </w:r>
      <w:r>
        <w:t xml:space="preserve">, 10(1), 74–91.</w:t>
      </w:r>
    </w:p>
    <w:p>
      <w:pPr>
        <w:pStyle w:val="Compact"/>
        <w:numPr>
          <w:ilvl w:val="0"/>
          <w:numId w:val="1061"/>
        </w:numPr>
      </w:pPr>
      <w:r>
        <w:t xml:space="preserve">Keynes, John Neville. 1891.</w:t>
      </w:r>
      <w:r>
        <w:t xml:space="preserve"> </w:t>
      </w:r>
      <w:hyperlink r:id="rId69">
        <w:r>
          <w:rPr>
            <w:rStyle w:val="Hyperlink"/>
            <w:i/>
            <w:iCs/>
          </w:rPr>
          <w:t xml:space="preserve">The Scope and Method of Political Economy</w:t>
        </w:r>
      </w:hyperlink>
      <w:r>
        <w:t xml:space="preserve">. London: Macmillan.</w:t>
      </w:r>
    </w:p>
    <w:p>
      <w:pPr>
        <w:pStyle w:val="Compact"/>
        <w:numPr>
          <w:ilvl w:val="0"/>
          <w:numId w:val="1061"/>
        </w:numPr>
      </w:pPr>
      <w:r>
        <w:t xml:space="preserve">Mas-Colell, Andreu, Michael D. Whinston, e Jerry R. Green. 1995.</w:t>
      </w:r>
      <w:r>
        <w:t xml:space="preserve"> </w:t>
      </w:r>
      <w:hyperlink r:id="rId70">
        <w:r>
          <w:rPr>
            <w:rStyle w:val="Hyperlink"/>
            <w:i/>
            <w:iCs/>
          </w:rPr>
          <w:t xml:space="preserve">Microeconomic Theory</w:t>
        </w:r>
      </w:hyperlink>
      <w:r>
        <w:t xml:space="preserve">. New York: Oxford University Press. Cap. 1.</w:t>
      </w:r>
    </w:p>
    <w:p>
      <w:pPr>
        <w:pStyle w:val="Compact"/>
        <w:numPr>
          <w:ilvl w:val="0"/>
          <w:numId w:val="1061"/>
        </w:numPr>
      </w:pPr>
      <w:r>
        <w:t xml:space="preserve">Nicholson, Walter, e Christopher M. Snyder. 2017.</w:t>
      </w:r>
      <w:r>
        <w:t xml:space="preserve"> </w:t>
      </w:r>
      <w:hyperlink r:id="rId71">
        <w:r>
          <w:rPr>
            <w:rStyle w:val="Hyperlink"/>
            <w:i/>
            <w:iCs/>
          </w:rPr>
          <w:t xml:space="preserve">Microeconomic Theory: Basic Principles and Extensions</w:t>
        </w:r>
      </w:hyperlink>
      <w:r>
        <w:t xml:space="preserve">. 12ª ed. Boston: Cengage Learning. Cap. 1.</w:t>
      </w:r>
    </w:p>
    <w:p>
      <w:pPr>
        <w:pStyle w:val="Compact"/>
        <w:numPr>
          <w:ilvl w:val="0"/>
          <w:numId w:val="1061"/>
        </w:numPr>
      </w:pPr>
      <w:r>
        <w:t xml:space="preserve">Pindyck, Robert S., e Daniel L. Rubinfeld. 2013.</w:t>
      </w:r>
      <w:r>
        <w:t xml:space="preserve"> </w:t>
      </w:r>
      <w:hyperlink r:id="rId72">
        <w:r>
          <w:rPr>
            <w:rStyle w:val="Hyperlink"/>
            <w:i/>
            <w:iCs/>
          </w:rPr>
          <w:t xml:space="preserve">Microeconomia</w:t>
        </w:r>
      </w:hyperlink>
      <w:r>
        <w:t xml:space="preserve">. 8ª ed. São Paulo: Pearson. Cap. 1–2.</w:t>
      </w:r>
    </w:p>
    <w:p>
      <w:pPr>
        <w:pStyle w:val="Compact"/>
        <w:numPr>
          <w:ilvl w:val="0"/>
          <w:numId w:val="1061"/>
        </w:numPr>
      </w:pPr>
      <w:r>
        <w:t xml:space="preserve">Rochet, Jean-Charles, e Jean Tirole. 2003.</w:t>
      </w:r>
      <w:r>
        <w:t xml:space="preserve"> </w:t>
      </w:r>
      <w:r>
        <w:t xml:space="preserve">“Platform Competition in Two-Sided Markets.”</w:t>
      </w:r>
      <w:r>
        <w:t xml:space="preserve"> </w:t>
      </w:r>
      <w:r>
        <w:rPr>
          <w:i/>
          <w:iCs/>
        </w:rPr>
        <w:t xml:space="preserve">Journal of the European Economic Association</w:t>
      </w:r>
      <w:r>
        <w:t xml:space="preserve">, 1(4), 990–1029.</w:t>
      </w:r>
    </w:p>
    <w:p>
      <w:pPr>
        <w:pStyle w:val="Compact"/>
        <w:numPr>
          <w:ilvl w:val="0"/>
          <w:numId w:val="1061"/>
        </w:numPr>
      </w:pPr>
      <w:r>
        <w:t xml:space="preserve">Samuelson, Paul A. 1947.</w:t>
      </w:r>
      <w:r>
        <w:t xml:space="preserve"> </w:t>
      </w:r>
      <w:hyperlink r:id="rId73">
        <w:r>
          <w:rPr>
            <w:rStyle w:val="Hyperlink"/>
            <w:i/>
            <w:iCs/>
          </w:rPr>
          <w:t xml:space="preserve">Foundations of Economic Analysis</w:t>
        </w:r>
      </w:hyperlink>
      <w:r>
        <w:t xml:space="preserve">. Cambridge: Harvard University Press.</w:t>
      </w:r>
    </w:p>
    <w:p>
      <w:pPr>
        <w:pStyle w:val="Compact"/>
        <w:numPr>
          <w:ilvl w:val="0"/>
          <w:numId w:val="1061"/>
        </w:numPr>
      </w:pPr>
      <w:r>
        <w:t xml:space="preserve">Varian, Hal R. 2015.</w:t>
      </w:r>
      <w:r>
        <w:t xml:space="preserve"> </w:t>
      </w:r>
      <w:hyperlink r:id="rId74">
        <w:r>
          <w:rPr>
            <w:rStyle w:val="Hyperlink"/>
            <w:i/>
            <w:iCs/>
          </w:rPr>
          <w:t xml:space="preserve">Microeconomia: uma abordagem moderna</w:t>
        </w:r>
      </w:hyperlink>
      <w:r>
        <w:t xml:space="preserve">. 9ª ed. Rio de Janeiro: Elsevier. Cap. 1.</w:t>
      </w:r>
    </w:p>
    <w:bookmarkEnd w:id="75"/>
    <w:bookmarkEnd w:id="76"/>
    <w:bookmarkEnd w:id="77"/>
    <w:bookmarkStart w:id="149" w:name="X576401687d1d7f0ba781423f770c53da955c092"/>
    <w:p>
      <w:pPr>
        <w:sectPr>
          <w:footnotePr>
            <w:numRestart w:val="eachSect"/>
          </w:footnotePr>
        </w:sectPr>
      </w:pPr>
    </w:p>
    <w:p>
      <w:pPr>
        <w:pStyle w:val="Heading1"/>
      </w:pPr>
      <w:r>
        <w:t xml:space="preserve">Capítulo 2 — O Manual de Sobrevivência Matemática</w:t>
      </w:r>
    </w:p>
    <w:p>
      <w:pPr>
        <w:pStyle w:val="FirstParagraph"/>
      </w:pPr>
      <w:r>
        <w:t xml:space="preserve">Quanto custa, em bem-estar, um aumento de 10% na gasolina para uma família que ganha dois salários mínimos? A resposta exige derivadas parciais (Seção 2.2), o teorema da função implícita (Seção 2.3) e o método de Lagrange (Seção 2.5). Sem essas ferramentas, a pergunta fica sem resposta. Com elas, a resposta cabe em meia página.</w:t>
      </w:r>
      <w:r>
        <w:rPr>
          <w:rStyle w:val="FootnoteReference"/>
        </w:rPr>
        <w:footnoteReference w:id="78"/>
      </w:r>
    </w:p>
    <w:p>
      <w:pPr>
        <w:pStyle w:val="BodyText"/>
      </w:pPr>
      <w:r>
        <w:t xml:space="preserve">Se o Capítulo 1 era o</w:t>
      </w:r>
      <w:r>
        <w:t xml:space="preserve"> </w:t>
      </w:r>
      <w:r>
        <w:t xml:space="preserve">“o quê”</w:t>
      </w:r>
      <w:r>
        <w:t xml:space="preserve"> </w:t>
      </w:r>
      <w:r>
        <w:t xml:space="preserve">e o</w:t>
      </w:r>
      <w:r>
        <w:t xml:space="preserve"> </w:t>
      </w:r>
      <w:r>
        <w:t xml:space="preserve">“por quê”</w:t>
      </w:r>
      <w:r>
        <w:t xml:space="preserve"> </w:t>
      </w:r>
      <w:r>
        <w:t xml:space="preserve">da microeconomia, este é o</w:t>
      </w:r>
      <w:r>
        <w:t xml:space="preserve"> </w:t>
      </w:r>
      <w:r>
        <w:t xml:space="preserve">“com quê”</w:t>
      </w:r>
      <w:r>
        <w:t xml:space="preserve">. Matemática é a linguagem em que os modelos econômicos são escritos — e, como toda língua, ela pode parecer impenetrável até que você perceba que já a fala no dia a dia. Quando você decide se vale a pena pegar trânsito para economizar R$ 20 na gasolina, está fazendo otimização. Quando nota que</w:t>
      </w:r>
      <w:r>
        <w:t xml:space="preserve"> </w:t>
      </w:r>
      <w:r>
        <w:t xml:space="preserve">“o café sobe quando a geada derruba a safra”</w:t>
      </w:r>
      <w:r>
        <w:t xml:space="preserve">, está fazendo estática comparativa. A diferença é que aqui vamos fazer isso com precisão — e com a garantia de que as conclusões se sustentam logicamente.</w:t>
      </w:r>
    </w:p>
    <w:p>
      <w:pPr>
        <w:pStyle w:val="BlockText"/>
      </w:pPr>
      <w:r>
        <w:rPr>
          <w:b/>
          <w:bCs/>
        </w:rPr>
        <w:t xml:space="preserve">[DICA] Não entre em pânico</w:t>
      </w:r>
    </w:p>
    <w:p>
      <w:pPr>
        <w:pStyle w:val="BlockText"/>
      </w:pPr>
      <w:r>
        <w:t xml:space="preserve">Este capítulo é como aquecimento antes do jogo — ninguém gosta, mas quem pula se machuca no minuto 5. Se você já domina cálculo multivariado, pode pular direto para as seções que precisa consultando o roteiro abaixo. Se está vendo isso pela primeira vez: respire. Pense neste capítulo como um dicionário — você não lê da primeira à última página; você volta quando precisa.</w:t>
      </w:r>
    </w:p>
    <w:p>
      <w:pPr>
        <w:pStyle w:val="FirstParagraph"/>
      </w:pPr>
      <w:r>
        <w:t xml:space="preserve">Este capítulo é a caixa de ferramentas do livro inteiro — uma referência autocontida que vai da otimização em uma variável (Seção 2.1) até os teoremas de ponto fixo que garantem a existência de equilíbrios (Seção 2.13), passando por Lagrange, Kuhn-Tucker, teorema do envelope, curvatura e homogeneidade. O leitor familiarizado com cálculo multivariado pode avançar rapidamente, concentrando-se nos resultados menos habituais (envelope, Kuhn-Tucker, Euler). Cada ferramenta será</w:t>
      </w:r>
      <w:r>
        <w:t xml:space="preserve"> </w:t>
      </w:r>
      <w:r>
        <w:rPr>
          <w:i/>
          <w:iCs/>
        </w:rPr>
        <w:t xml:space="preserve">usada</w:t>
      </w:r>
      <w:r>
        <w:t xml:space="preserve"> </w:t>
      </w:r>
      <w:r>
        <w:t xml:space="preserve">em um problema econômico concreto nos capítulos seguintes — teoria do consumidor (Capítulos 3–6), incerteza e risco (Capítulo 7), teoria da firma (Capítulos 10–12), teoria dos jogos (Capítulo 9a) e equilíbrio de mercado (Capítulos 13–14) — de modo que nada aqui é decorativo. A exposição segue Nicholson e Snyder (2017, Cap. 2), complementada por Simon e Blume (1994), Mas-Colell, Whinston e Green (1995, Apêndice Matemático) e Chiang e Wainwright (2005).</w:t>
      </w:r>
    </w:p>
    <w:p>
      <w:pPr>
        <w:pStyle w:val="BlockText"/>
      </w:pPr>
      <w:r>
        <w:rPr>
          <w:b/>
          <w:bCs/>
        </w:rPr>
        <w:t xml:space="preserve">[RESUMO] 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rPr>
                <w:b/>
                <w:bCs/>
              </w:rPr>
              <w:t xml:space="preserve">2.1</w:t>
            </w:r>
          </w:p>
        </w:tc>
        <w:tc>
          <w:tcPr/>
          <w:p>
            <w:pPr>
              <w:pStyle w:val="Compact"/>
            </w:pPr>
            <w:r>
              <w:t xml:space="preserve">Qual é o</w:t>
            </w:r>
            <w:r>
              <w:t xml:space="preserve"> </w:t>
            </w:r>
            <w:r>
              <w:t xml:space="preserve">“arroz com feijão”</w:t>
            </w:r>
            <w:r>
              <w:t xml:space="preserve"> </w:t>
            </w:r>
            <w:r>
              <w:t xml:space="preserve">da otimização?</w:t>
            </w:r>
          </w:p>
        </w:tc>
        <w:tc>
          <w:tcPr/>
          <w:p>
            <w:pPr>
              <w:pStyle w:val="Compact"/>
            </w:pPr>
            <w:r>
              <w:t xml:space="preserve">CPO e CSO em uma variável: derive, iguale a zero, verifique</w:t>
            </w:r>
          </w:p>
        </w:tc>
        <w:tc>
          <w:tcPr/>
          <w:p>
            <w:pPr>
              <w:pStyle w:val="Compact"/>
              <w:jc w:val="center"/>
            </w:pPr>
            <w:r>
              <w:t xml:space="preserve">Otimização</w:t>
            </w:r>
          </w:p>
        </w:tc>
      </w:tr>
      <w:tr>
        <w:tc>
          <w:tcPr/>
          <w:p>
            <w:pPr>
              <w:pStyle w:val="Compact"/>
              <w:jc w:val="center"/>
            </w:pPr>
            <w:r>
              <w:rPr>
                <w:b/>
                <w:bCs/>
              </w:rPr>
              <w:t xml:space="preserve">2.2–2.3</w:t>
            </w:r>
          </w:p>
        </w:tc>
        <w:tc>
          <w:tcPr/>
          <w:p>
            <w:pPr>
              <w:pStyle w:val="Compact"/>
            </w:pPr>
            <w:r>
              <w:t xml:space="preserve">Como isolar o efeito de</w:t>
            </w:r>
            <w:r>
              <w:t xml:space="preserve"> </w:t>
            </w:r>
            <w:r>
              <w:rPr>
                <w:i/>
                <w:iCs/>
              </w:rPr>
              <w:t xml:space="preserve">uma</w:t>
            </w:r>
            <w:r>
              <w:t xml:space="preserve"> </w:t>
            </w:r>
            <w:r>
              <w:t xml:space="preserve">variável quando há várias?</w:t>
            </w:r>
          </w:p>
        </w:tc>
        <w:tc>
          <w:tcPr/>
          <w:p>
            <w:pPr>
              <w:pStyle w:val="Compact"/>
            </w:pPr>
            <w:r>
              <w:t xml:space="preserve">Derivadas parciais, TFI, Hessiana, estática comparativa</w:t>
            </w:r>
          </w:p>
        </w:tc>
        <w:tc>
          <w:tcPr/>
          <w:p>
            <w:pPr>
              <w:pStyle w:val="Compact"/>
              <w:jc w:val="center"/>
            </w:pPr>
            <w:r>
              <w:t xml:space="preserve">Otimização</w:t>
            </w:r>
          </w:p>
        </w:tc>
      </w:tr>
      <w:tr>
        <w:tc>
          <w:tcPr/>
          <w:p>
            <w:pPr>
              <w:pStyle w:val="Compact"/>
              <w:jc w:val="center"/>
            </w:pPr>
            <w:r>
              <w:rPr>
                <w:b/>
                <w:bCs/>
              </w:rPr>
              <w:t xml:space="preserve">2.4</w:t>
            </w:r>
          </w:p>
        </w:tc>
        <w:tc>
          <w:tcPr/>
          <w:p>
            <w:pPr>
              <w:pStyle w:val="Compact"/>
            </w:pPr>
            <w:r>
              <w:t xml:space="preserve">No ótimo, preciso recalcular tudo?</w:t>
            </w:r>
          </w:p>
        </w:tc>
        <w:tc>
          <w:tcPr/>
          <w:p>
            <w:pPr>
              <w:pStyle w:val="Compact"/>
            </w:pPr>
            <w:r>
              <w:t xml:space="preserve">Teorema do envelope — atalho para Roy, Shephard e Hotelling</w:t>
            </w:r>
          </w:p>
        </w:tc>
        <w:tc>
          <w:tcPr/>
          <w:p>
            <w:pPr>
              <w:pStyle w:val="Compact"/>
              <w:jc w:val="center"/>
            </w:pPr>
            <w:r>
              <w:t xml:space="preserve">Envelope</w:t>
            </w:r>
          </w:p>
        </w:tc>
      </w:tr>
      <w:tr>
        <w:tc>
          <w:tcPr/>
          <w:p>
            <w:pPr>
              <w:pStyle w:val="Compact"/>
              <w:jc w:val="center"/>
            </w:pPr>
            <w:r>
              <w:rPr>
                <w:b/>
                <w:bCs/>
              </w:rPr>
              <w:t xml:space="preserve">2.5–2.6</w:t>
            </w:r>
          </w:p>
        </w:tc>
        <w:tc>
          <w:tcPr/>
          <w:p>
            <w:pPr>
              <w:pStyle w:val="Compact"/>
            </w:pPr>
            <w:r>
              <w:t xml:space="preserve">Como maximizar com orçamento limitado?</w:t>
            </w:r>
          </w:p>
        </w:tc>
        <w:tc>
          <w:tcPr/>
          <w:p>
            <w:pPr>
              <w:pStyle w:val="Compact"/>
            </w:pPr>
            <w:r>
              <w:t xml:space="preserve">Método de Lagrange, λ como preço-sombra</w:t>
            </w:r>
          </w:p>
        </w:tc>
        <w:tc>
          <w:tcPr/>
          <w:p>
            <w:pPr>
              <w:pStyle w:val="Compact"/>
              <w:jc w:val="center"/>
            </w:pPr>
            <w:r>
              <w:t xml:space="preserve">Lagrange</w:t>
            </w:r>
          </w:p>
        </w:tc>
      </w:tr>
      <w:tr>
        <w:tc>
          <w:tcPr/>
          <w:p>
            <w:pPr>
              <w:pStyle w:val="Compact"/>
              <w:jc w:val="center"/>
            </w:pPr>
            <w:r>
              <w:rPr>
                <w:b/>
                <w:bCs/>
              </w:rPr>
              <w:t xml:space="preserve">2.7</w:t>
            </w:r>
          </w:p>
        </w:tc>
        <w:tc>
          <w:tcPr/>
          <w:p>
            <w:pPr>
              <w:pStyle w:val="Compact"/>
            </w:pPr>
            <w:r>
              <w:t xml:space="preserve">E se o consumidor puder consumir zero?</w:t>
            </w:r>
          </w:p>
        </w:tc>
        <w:tc>
          <w:tcPr/>
          <w:p>
            <w:pPr>
              <w:pStyle w:val="Compact"/>
            </w:pPr>
            <w:r>
              <w:t xml:space="preserve">Kuhn-Tucker, soluções de canto,</w:t>
            </w:r>
            <w:r>
              <w:t xml:space="preserve"> </w:t>
            </w:r>
            <w:r>
              <w:rPr>
                <w:i/>
                <w:iCs/>
              </w:rPr>
              <w:t xml:space="preserve">complementary slackness</w:t>
            </w:r>
          </w:p>
        </w:tc>
        <w:tc>
          <w:tcPr/>
          <w:p>
            <w:pPr>
              <w:pStyle w:val="Compact"/>
              <w:jc w:val="center"/>
            </w:pPr>
            <w:r>
              <w:t xml:space="preserve">Kuhn-Tucker</w:t>
            </w:r>
          </w:p>
        </w:tc>
      </w:tr>
      <w:tr>
        <w:tc>
          <w:tcPr/>
          <w:p>
            <w:pPr>
              <w:pStyle w:val="Compact"/>
              <w:jc w:val="center"/>
            </w:pPr>
            <w:r>
              <w:rPr>
                <w:b/>
                <w:bCs/>
              </w:rPr>
              <w:t xml:space="preserve">2.8–2.9</w:t>
            </w:r>
          </w:p>
        </w:tc>
        <w:tc>
          <w:tcPr/>
          <w:p>
            <w:pPr>
              <w:pStyle w:val="Compact"/>
            </w:pPr>
            <w:r>
              <w:t xml:space="preserve">Quando as CPOs bastam? E o que são retornos de escala?</w:t>
            </w:r>
          </w:p>
        </w:tc>
        <w:tc>
          <w:tcPr/>
          <w:p>
            <w:pPr>
              <w:pStyle w:val="Compact"/>
            </w:pPr>
            <w:r>
              <w:t xml:space="preserve">Concavidade, quase-concavidade, homogeneidade, Euler</w:t>
            </w:r>
          </w:p>
        </w:tc>
        <w:tc>
          <w:tcPr/>
          <w:p>
            <w:pPr>
              <w:pStyle w:val="Compact"/>
              <w:jc w:val="center"/>
            </w:pPr>
            <w:r>
              <w:t xml:space="preserve">Curvatura</w:t>
            </w:r>
          </w:p>
        </w:tc>
      </w:tr>
      <w:tr>
        <w:tc>
          <w:tcPr/>
          <w:p>
            <w:pPr>
              <w:pStyle w:val="Compact"/>
              <w:jc w:val="center"/>
            </w:pPr>
            <w:r>
              <w:rPr>
                <w:b/>
                <w:bCs/>
              </w:rPr>
              <w:t xml:space="preserve">2.10–2.13</w:t>
            </w:r>
          </w:p>
        </w:tc>
        <w:tc>
          <w:tcPr/>
          <w:p>
            <w:pPr>
              <w:pStyle w:val="Compact"/>
            </w:pPr>
            <w:r>
              <w:t xml:space="preserve">Que outras ferramentas vou precisar?</w:t>
            </w:r>
          </w:p>
        </w:tc>
        <w:tc>
          <w:tcPr/>
          <w:p>
            <w:pPr>
              <w:pStyle w:val="Compact"/>
            </w:pPr>
            <w:r>
              <w:t xml:space="preserve">Integração, dinâmica, probabilidade, teoremas de ponto fixo</w:t>
            </w:r>
          </w:p>
        </w:tc>
        <w:tc>
          <w:tcPr/>
          <w:p>
            <w:pPr>
              <w:pStyle w:val="Compact"/>
              <w:jc w:val="center"/>
            </w:pPr>
            <w:r>
              <w:t xml:space="preserve">Complementos</w:t>
            </w:r>
          </w:p>
        </w:tc>
      </w:tr>
    </w:tbl>
    <w:bookmarkStart w:id="93" w:name="otimização-e-estática-comparativa"/>
    <w:p>
      <w:pPr>
        <w:pStyle w:val="Heading2"/>
      </w:pPr>
      <w:r>
        <w:t xml:space="preserve">Otimização e Estática Comparativa</w:t>
      </w:r>
    </w:p>
    <w:bookmarkStart w:id="83" w:name="X72b07b9fcf2c2451e8781e944bf5f77cd8457c8"/>
    <w:p>
      <w:pPr>
        <w:pStyle w:val="Heading3"/>
      </w:pPr>
      <w:r>
        <w:t xml:space="preserve">2.1 O Arroz com Feijão: Otimização em Uma Variável</w:t>
      </w:r>
    </w:p>
    <w:p>
      <w:pPr>
        <w:pStyle w:val="FirstParagraph"/>
      </w:pPr>
      <w:r>
        <w:t xml:space="preserve">A microeconomia inteira se resume a agentes que tentam fazer o melhor possível dadas as circunstâncias. Consumidores maximizam utilidade, firmas maximizam lucro (ou minimizam custo), governos maximizam bem-estar social — e todos esbarram em restrições. Antes de enfrentar esses problemas em toda a sua complexidade, convém dominar o caso mais simples: encontrar o máximo (ou mínimo) de uma função de uma única variável.</w:t>
      </w:r>
    </w:p>
    <w:bookmarkStart w:id="80" w:name="condição-de-primeira-ordem-cpo"/>
    <w:p>
      <w:pPr>
        <w:pStyle w:val="Heading4"/>
      </w:pPr>
      <w:r>
        <w:t xml:space="preserve">Condição de Primeira Ordem (CPO)</w:t>
      </w:r>
    </w:p>
    <w:p>
      <w:pPr>
        <w:pStyle w:val="BlockText"/>
      </w:pPr>
      <w:r>
        <w:rPr>
          <w:b/>
          <w:bCs/>
        </w:rPr>
        <w:t xml:space="preserve">[DEFINICAO] Condição de Primeira Ordem</w:t>
      </w:r>
    </w:p>
    <w:p>
      <w:pPr>
        <w:pStyle w:val="BlockText"/>
      </w:pPr>
      <w:r>
        <w:t xml:space="preserve">Seja</w:t>
      </w:r>
      <w:r>
        <w:t xml:space="preserve"> </w:t>
      </w:r>
      <m:oMath>
        <m:r>
          <m:t>f</m:t>
        </m:r>
        <m:r>
          <m:rPr>
            <m:sty m:val="p"/>
          </m:rPr>
          <m:t>:</m:t>
        </m:r>
        <m:r>
          <m:rPr>
            <m:scr m:val="double-struck"/>
            <m:sty m:val="p"/>
          </m:rPr>
          <m:t>R</m:t>
        </m:r>
        <m:r>
          <m:rPr>
            <m:sty m:val="p"/>
          </m:rPr>
          <m:t>→</m:t>
        </m:r>
        <m:r>
          <m:rPr>
            <m:scr m:val="double-struck"/>
            <m:sty m:val="p"/>
          </m:rPr>
          <m:t>R</m:t>
        </m:r>
      </m:oMath>
      <w:r>
        <w:t xml:space="preserve"> </w:t>
      </w:r>
      <w:r>
        <w:t xml:space="preserve">uma função diferenciável. Se</w:t>
      </w:r>
      <w:r>
        <w:t xml:space="preserve"> </w:t>
      </w:r>
      <m:oMath>
        <m:sSup>
          <m:e>
            <m:r>
              <m:t>x</m:t>
            </m:r>
          </m:e>
          <m:sup>
            <m:r>
              <m:rPr>
                <m:sty m:val="p"/>
              </m:rPr>
              <m:t>*</m:t>
            </m:r>
          </m:sup>
        </m:sSup>
      </m:oMath>
      <w:r>
        <w:t xml:space="preserve"> </w:t>
      </w:r>
      <w:r>
        <w:t xml:space="preserve">é um</w:t>
      </w:r>
      <w:r>
        <w:t xml:space="preserve"> </w:t>
      </w:r>
      <w:r>
        <w:rPr>
          <w:b/>
          <w:bCs/>
        </w:rPr>
        <w:t xml:space="preserve">máximo (ou mínimo) interior</w:t>
      </w:r>
      <w:r>
        <w:t xml:space="preserve">, então:</w:t>
      </w:r>
    </w:p>
    <w:p>
      <w:pPr>
        <w:pStyle w:val="BlockText"/>
      </w:pPr>
      <m:oMathPara>
        <m:oMathParaPr>
          <m:jc m:val="center"/>
        </m:oMathParaPr>
        <m:oMath>
          <m:sSup>
            <m:e>
              <m:r>
                <m:t>f</m:t>
              </m:r>
            </m:e>
            <m:sup>
              <m:r>
                <m:rPr>
                  <m:sty m:val="p"/>
                </m:rPr>
                <m:t>′</m:t>
              </m:r>
            </m:sup>
          </m:sSup>
          <m:r>
            <m:rPr>
              <m:sty m:val="p"/>
            </m:rPr>
            <m:t>(</m:t>
          </m:r>
          <m:sSup>
            <m:e>
              <m:r>
                <m:t>x</m:t>
              </m:r>
            </m:e>
            <m:sup>
              <m:r>
                <m:rPr>
                  <m:sty m:val="p"/>
                </m:rPr>
                <m:t>*</m:t>
              </m:r>
            </m:sup>
          </m:sSup>
          <m:r>
            <m:rPr>
              <m:sty m:val="p"/>
            </m:rPr>
            <m:t>)</m:t>
          </m:r>
          <m:r>
            <m:rPr>
              <m:sty m:val="p"/>
            </m:rPr>
            <m:t>=</m:t>
          </m:r>
          <m:r>
            <m:t>0</m:t>
          </m:r>
        </m:oMath>
      </m:oMathPara>
    </w:p>
    <w:p>
      <w:pPr>
        <w:pStyle w:val="BlockText"/>
      </w:pPr>
      <w:r>
        <w:t xml:space="preserve">A CPO é</w:t>
      </w:r>
      <w:r>
        <w:t xml:space="preserve"> </w:t>
      </w:r>
      <w:r>
        <w:rPr>
          <w:b/>
          <w:bCs/>
        </w:rPr>
        <w:t xml:space="preserve">necessária</w:t>
      </w:r>
      <w:r>
        <w:t xml:space="preserve"> </w:t>
      </w:r>
      <w:r>
        <w:t xml:space="preserve">para extremos interiores, mas</w:t>
      </w:r>
      <w:r>
        <w:t xml:space="preserve"> </w:t>
      </w:r>
      <w:r>
        <w:rPr>
          <w:b/>
          <w:bCs/>
        </w:rPr>
        <w:t xml:space="preserve">não suficiente</w:t>
      </w:r>
      <w:r>
        <w:t xml:space="preserve"> </w:t>
      </w:r>
      <w:r>
        <w:t xml:space="preserve">— ela encontra tanto máximos quanto mínimos (e pontos de inflexão).</w:t>
      </w:r>
    </w:p>
    <w:p>
      <w:pPr>
        <w:pStyle w:val="FirstParagraph"/>
      </w:pPr>
      <w:r>
        <w:t xml:space="preserve">A intuição é simples: no ponto ótimo, um deslocamento infinitesimal em qualquer direção não melhora o objetivo. Se</w:t>
      </w:r>
      <w:r>
        <w:t xml:space="preserve"> </w:t>
      </w:r>
      <m:oMath>
        <m:sSup>
          <m:e>
            <m:r>
              <m:t>f</m:t>
            </m:r>
          </m:e>
          <m:sup>
            <m:r>
              <m:rPr>
                <m:sty m:val="p"/>
              </m:rPr>
              <m:t>′</m:t>
            </m:r>
          </m:sup>
        </m:sSup>
        <m:r>
          <m:rPr>
            <m:sty m:val="p"/>
          </m:rPr>
          <m:t>(</m:t>
        </m:r>
        <m:sSup>
          <m:e>
            <m:r>
              <m:t>x</m:t>
            </m:r>
          </m:e>
          <m:sup>
            <m:r>
              <m:rPr>
                <m:sty m:val="p"/>
              </m:rPr>
              <m:t>*</m:t>
            </m:r>
          </m:sup>
        </m:sSup>
        <m:r>
          <m:rPr>
            <m:sty m:val="p"/>
          </m:rPr>
          <m:t>)</m:t>
        </m:r>
        <m:r>
          <m:rPr>
            <m:sty m:val="p"/>
          </m:rPr>
          <m:t>&gt;</m:t>
        </m:r>
        <m:r>
          <m:t>0</m:t>
        </m:r>
      </m:oMath>
      <w:r>
        <w:t xml:space="preserve">, aumentar</w:t>
      </w:r>
      <w:r>
        <w:t xml:space="preserve"> </w:t>
      </w:r>
      <m:oMath>
        <m:r>
          <m:t>x</m:t>
        </m:r>
      </m:oMath>
      <w:r>
        <w:t xml:space="preserve"> </w:t>
      </w:r>
      <w:r>
        <w:t xml:space="preserve">um pouquinho ainda melhora</w:t>
      </w:r>
      <w:r>
        <w:t xml:space="preserve"> </w:t>
      </w:r>
      <m:oMath>
        <m:r>
          <m:t>f</m:t>
        </m:r>
      </m:oMath>
      <w:r>
        <w:t xml:space="preserve"> </w:t>
      </w:r>
      <w:r>
        <w:t xml:space="preserve">— logo,</w:t>
      </w:r>
      <w:r>
        <w:t xml:space="preserve"> </w:t>
      </w:r>
      <m:oMath>
        <m:sSup>
          <m:e>
            <m:r>
              <m:t>x</m:t>
            </m:r>
          </m:e>
          <m:sup>
            <m:r>
              <m:rPr>
                <m:sty m:val="p"/>
              </m:rPr>
              <m:t>*</m:t>
            </m:r>
          </m:sup>
        </m:sSup>
      </m:oMath>
      <w:r>
        <w:t xml:space="preserve"> </w:t>
      </w:r>
      <w:r>
        <w:t xml:space="preserve">não é máximo. Se</w:t>
      </w:r>
      <w:r>
        <w:t xml:space="preserve"> </w:t>
      </w:r>
      <m:oMath>
        <m:sSup>
          <m:e>
            <m:r>
              <m:t>f</m:t>
            </m:r>
          </m:e>
          <m:sup>
            <m:r>
              <m:rPr>
                <m:sty m:val="p"/>
              </m:rPr>
              <m:t>′</m:t>
            </m:r>
          </m:sup>
        </m:sSup>
        <m:r>
          <m:rPr>
            <m:sty m:val="p"/>
          </m:rPr>
          <m:t>(</m:t>
        </m:r>
        <m:sSup>
          <m:e>
            <m:r>
              <m:t>x</m:t>
            </m:r>
          </m:e>
          <m:sup>
            <m:r>
              <m:rPr>
                <m:sty m:val="p"/>
              </m:rPr>
              <m:t>*</m:t>
            </m:r>
          </m:sup>
        </m:sSup>
        <m:r>
          <m:rPr>
            <m:sty m:val="p"/>
          </m:rPr>
          <m:t>)</m:t>
        </m:r>
        <m:r>
          <m:rPr>
            <m:sty m:val="p"/>
          </m:rPr>
          <m:t>&lt;</m:t>
        </m:r>
        <m:r>
          <m:t>0</m:t>
        </m:r>
      </m:oMath>
      <w:r>
        <w:t xml:space="preserve">, diminuir</w:t>
      </w:r>
      <w:r>
        <w:t xml:space="preserve"> </w:t>
      </w:r>
      <m:oMath>
        <m:r>
          <m:t>x</m:t>
        </m:r>
      </m:oMath>
      <w:r>
        <w:t xml:space="preserve"> </w:t>
      </w:r>
      <w:r>
        <w:t xml:space="preserve">melhora</w:t>
      </w:r>
      <w:r>
        <w:t xml:space="preserve"> </w:t>
      </w:r>
      <m:oMath>
        <m:r>
          <m:t>f</m:t>
        </m:r>
      </m:oMath>
      <w:r>
        <w:t xml:space="preserve"> </w:t>
      </w:r>
      <w:r>
        <w:t xml:space="preserve">— mesma conclusão. Só resta</w:t>
      </w:r>
      <w:r>
        <w:t xml:space="preserve"> </w:t>
      </w:r>
      <m:oMath>
        <m:sSup>
          <m:e>
            <m:r>
              <m:t>f</m:t>
            </m:r>
          </m:e>
          <m:sup>
            <m:r>
              <m:rPr>
                <m:sty m:val="p"/>
              </m:rPr>
              <m:t>′</m:t>
            </m:r>
          </m:sup>
        </m:sSup>
        <m:r>
          <m:rPr>
            <m:sty m:val="p"/>
          </m:rPr>
          <m:t>(</m:t>
        </m:r>
        <m:sSup>
          <m:e>
            <m:r>
              <m:t>x</m:t>
            </m:r>
          </m:e>
          <m:sup>
            <m:r>
              <m:rPr>
                <m:sty m:val="p"/>
              </m:rPr>
              <m:t>*</m:t>
            </m:r>
          </m:sup>
        </m:sSup>
        <m:r>
          <m:rPr>
            <m:sty m:val="p"/>
          </m:rPr>
          <m:t>)</m:t>
        </m:r>
        <m:r>
          <m:rPr>
            <m:sty m:val="p"/>
          </m:rPr>
          <m:t>=</m:t>
        </m:r>
        <m:r>
          <m:t>0</m:t>
        </m:r>
      </m:oMath>
      <w:r>
        <w:t xml:space="preserve">.</w:t>
      </w:r>
      <w:r>
        <w:rPr>
          <w:rStyle w:val="FootnoteReference"/>
        </w:rPr>
        <w:footnoteReference w:id="79"/>
      </w:r>
    </w:p>
    <w:bookmarkEnd w:id="80"/>
    <w:bookmarkStart w:id="81" w:name="condição-de-segunda-ordem-cso"/>
    <w:p>
      <w:pPr>
        <w:pStyle w:val="Heading4"/>
      </w:pPr>
      <w:r>
        <w:t xml:space="preserve">Condição de Segunda Ordem (CSO)</w:t>
      </w:r>
    </w:p>
    <w:p>
      <w:pPr>
        <w:pStyle w:val="FirstParagraph"/>
      </w:pPr>
      <w:r>
        <w:t xml:space="preserve">A CPO localiza candidatos. A CSO classifica:</w:t>
      </w:r>
    </w:p>
    <w:p>
      <w:pPr>
        <w:pStyle w:val="BlockText"/>
      </w:pPr>
      <w:r>
        <w:rPr>
          <w:b/>
          <w:bCs/>
        </w:rPr>
        <w:t xml:space="preserve">[DEFINICAO] Condição de Segunda Ordem</w:t>
      </w:r>
    </w:p>
    <w:p>
      <w:pPr>
        <w:pStyle w:val="BlockText"/>
      </w:pPr>
      <w:r>
        <w:t xml:space="preserve">No ponto</w:t>
      </w:r>
      <w:r>
        <w:t xml:space="preserve"> </w:t>
      </w:r>
      <m:oMath>
        <m:sSup>
          <m:e>
            <m:r>
              <m:t>x</m:t>
            </m:r>
          </m:e>
          <m:sup>
            <m:r>
              <m:rPr>
                <m:sty m:val="p"/>
              </m:rPr>
              <m:t>*</m:t>
            </m:r>
          </m:sup>
        </m:sSup>
      </m:oMath>
      <w:r>
        <w:t xml:space="preserve"> </w:t>
      </w:r>
      <w:r>
        <w:t xml:space="preserve">onde</w:t>
      </w:r>
      <w:r>
        <w:t xml:space="preserve"> </w:t>
      </w:r>
      <m:oMath>
        <m:sSup>
          <m:e>
            <m:r>
              <m:t>f</m:t>
            </m:r>
          </m:e>
          <m:sup>
            <m:r>
              <m:rPr>
                <m:sty m:val="p"/>
              </m:rPr>
              <m:t>′</m:t>
            </m:r>
          </m:sup>
        </m:sSup>
        <m:r>
          <m:rPr>
            <m:sty m:val="p"/>
          </m:rPr>
          <m:t>(</m:t>
        </m:r>
        <m:sSup>
          <m:e>
            <m:r>
              <m:t>x</m:t>
            </m:r>
          </m:e>
          <m:sup>
            <m:r>
              <m:rPr>
                <m:sty m:val="p"/>
              </m:rPr>
              <m:t>*</m:t>
            </m:r>
          </m:sup>
        </m:sSup>
        <m:r>
          <m:rPr>
            <m:sty m:val="p"/>
          </m:rPr>
          <m:t>)</m:t>
        </m:r>
        <m:r>
          <m:rPr>
            <m:sty m:val="p"/>
          </m:rPr>
          <m:t>=</m:t>
        </m:r>
        <m:r>
          <m:t>0</m:t>
        </m:r>
      </m:oMath>
      <w:r>
        <w:t xml:space="preserve">:</w:t>
      </w:r>
    </w:p>
    <w:p>
      <w:pPr>
        <w:pStyle w:val="Compact"/>
        <w:numPr>
          <w:ilvl w:val="0"/>
          <w:numId w:val="1062"/>
        </w:numPr>
      </w:pPr>
      <m:oMath>
        <m:sSup>
          <m:e>
            <m:r>
              <m:t>f</m:t>
            </m:r>
          </m:e>
          <m:sup>
            <m:r>
              <m:rPr>
                <m:sty m:val="p"/>
              </m:rPr>
              <m:t>″</m:t>
            </m:r>
          </m:sup>
        </m:sSup>
        <m:r>
          <m:rPr>
            <m:sty m:val="p"/>
          </m:rPr>
          <m:t>(</m:t>
        </m:r>
        <m:sSup>
          <m:e>
            <m:r>
              <m:t>x</m:t>
            </m:r>
          </m:e>
          <m:sup>
            <m:r>
              <m:rPr>
                <m:sty m:val="p"/>
              </m:rPr>
              <m:t>*</m:t>
            </m:r>
          </m:sup>
        </m:sSup>
        <m:r>
          <m:rPr>
            <m:sty m:val="p"/>
          </m:rPr>
          <m:t>)</m:t>
        </m:r>
        <m:r>
          <m:rPr>
            <m:sty m:val="p"/>
          </m:rPr>
          <m:t>&lt;</m:t>
        </m:r>
        <m:r>
          <m:t>0</m:t>
        </m:r>
        <m:r>
          <m:rPr>
            <m:sty m:val="p"/>
          </m:rPr>
          <m:t>⇒</m:t>
        </m:r>
        <m:sSup>
          <m:e>
            <m:r>
              <m:t>x</m:t>
            </m:r>
          </m:e>
          <m:sup>
            <m:r>
              <m:rPr>
                <m:sty m:val="p"/>
              </m:rPr>
              <m:t>*</m:t>
            </m:r>
          </m:sup>
        </m:sSup>
      </m:oMath>
      <w:r>
        <w:t xml:space="preserve"> </w:t>
      </w:r>
      <w:r>
        <w:t xml:space="preserve">é</w:t>
      </w:r>
      <w:r>
        <w:t xml:space="preserve"> </w:t>
      </w:r>
      <w:r>
        <w:rPr>
          <w:b/>
          <w:bCs/>
        </w:rPr>
        <w:t xml:space="preserve">máximo local</w:t>
      </w:r>
    </w:p>
    <w:p>
      <w:pPr>
        <w:pStyle w:val="Compact"/>
        <w:numPr>
          <w:ilvl w:val="0"/>
          <w:numId w:val="1062"/>
        </w:numPr>
      </w:pPr>
      <m:oMath>
        <m:sSup>
          <m:e>
            <m:r>
              <m:t>f</m:t>
            </m:r>
          </m:e>
          <m:sup>
            <m:r>
              <m:rPr>
                <m:sty m:val="p"/>
              </m:rPr>
              <m:t>″</m:t>
            </m:r>
          </m:sup>
        </m:sSup>
        <m:r>
          <m:rPr>
            <m:sty m:val="p"/>
          </m:rPr>
          <m:t>(</m:t>
        </m:r>
        <m:sSup>
          <m:e>
            <m:r>
              <m:t>x</m:t>
            </m:r>
          </m:e>
          <m:sup>
            <m:r>
              <m:rPr>
                <m:sty m:val="p"/>
              </m:rPr>
              <m:t>*</m:t>
            </m:r>
          </m:sup>
        </m:sSup>
        <m:r>
          <m:rPr>
            <m:sty m:val="p"/>
          </m:rPr>
          <m:t>)</m:t>
        </m:r>
        <m:r>
          <m:rPr>
            <m:sty m:val="p"/>
          </m:rPr>
          <m:t>&gt;</m:t>
        </m:r>
        <m:r>
          <m:t>0</m:t>
        </m:r>
        <m:r>
          <m:rPr>
            <m:sty m:val="p"/>
          </m:rPr>
          <m:t>⇒</m:t>
        </m:r>
        <m:sSup>
          <m:e>
            <m:r>
              <m:t>x</m:t>
            </m:r>
          </m:e>
          <m:sup>
            <m:r>
              <m:rPr>
                <m:sty m:val="p"/>
              </m:rPr>
              <m:t>*</m:t>
            </m:r>
          </m:sup>
        </m:sSup>
      </m:oMath>
      <w:r>
        <w:t xml:space="preserve"> </w:t>
      </w:r>
      <w:r>
        <w:t xml:space="preserve">é</w:t>
      </w:r>
      <w:r>
        <w:t xml:space="preserve"> </w:t>
      </w:r>
      <w:r>
        <w:rPr>
          <w:b/>
          <w:bCs/>
        </w:rPr>
        <w:t xml:space="preserve">mínimo local</w:t>
      </w:r>
    </w:p>
    <w:p>
      <w:pPr>
        <w:pStyle w:val="Compact"/>
        <w:numPr>
          <w:ilvl w:val="0"/>
          <w:numId w:val="1062"/>
        </w:numPr>
      </w:pPr>
      <m:oMath>
        <m:sSup>
          <m:e>
            <m:r>
              <m:t>f</m:t>
            </m:r>
          </m:e>
          <m:sup>
            <m:r>
              <m:rPr>
                <m:sty m:val="p"/>
              </m:rPr>
              <m:t>″</m:t>
            </m:r>
          </m:sup>
        </m:sSup>
        <m:r>
          <m:rPr>
            <m:sty m:val="p"/>
          </m:rPr>
          <m:t>(</m:t>
        </m:r>
        <m:sSup>
          <m:e>
            <m:r>
              <m:t>x</m:t>
            </m:r>
          </m:e>
          <m:sup>
            <m:r>
              <m:rPr>
                <m:sty m:val="p"/>
              </m:rPr>
              <m:t>*</m:t>
            </m:r>
          </m:sup>
        </m:sSup>
        <m:r>
          <m:rPr>
            <m:sty m:val="p"/>
          </m:rPr>
          <m:t>)</m:t>
        </m:r>
        <m:r>
          <m:rPr>
            <m:sty m:val="p"/>
          </m:rPr>
          <m:t>=</m:t>
        </m:r>
        <m:r>
          <m:t>0</m:t>
        </m:r>
        <m:r>
          <m:rPr>
            <m:sty m:val="p"/>
          </m:rPr>
          <m:t>⇒</m:t>
        </m:r>
      </m:oMath>
      <w:r>
        <w:t xml:space="preserve"> </w:t>
      </w:r>
      <w:r>
        <w:rPr>
          <w:b/>
          <w:bCs/>
        </w:rPr>
        <w:t xml:space="preserve">teste inconclusivo</w:t>
      </w:r>
      <w:r>
        <w:t xml:space="preserve"> </w:t>
      </w:r>
      <w:r>
        <w:t xml:space="preserve">(pode ser inflexão)</w:t>
      </w:r>
    </w:p>
    <w:p>
      <w:pPr>
        <w:pStyle w:val="BlockText"/>
      </w:pPr>
      <w:r>
        <w:rPr>
          <w:b/>
          <w:bCs/>
        </w:rPr>
        <w:t xml:space="preserve">[INTUICAO ECONOMICA] Intuição Econômica</w:t>
      </w:r>
    </w:p>
    <w:p>
      <w:pPr>
        <w:pStyle w:val="BlockText"/>
      </w:pPr>
      <w:r>
        <w:rPr>
          <w:b/>
          <w:bCs/>
        </w:rPr>
        <w:t xml:space="preserve">Em uma frase:</w:t>
      </w:r>
      <w:r>
        <w:t xml:space="preserve"> </w:t>
      </w:r>
      <w:r>
        <w:t xml:space="preserve">A CPO diz</w:t>
      </w:r>
      <w:r>
        <w:t xml:space="preserve"> </w:t>
      </w:r>
      <w:r>
        <w:t xml:space="preserve">“pare aqui”</w:t>
      </w:r>
      <w:r>
        <w:t xml:space="preserve">; a CSO diz</w:t>
      </w:r>
      <w:r>
        <w:t xml:space="preserve"> </w:t>
      </w:r>
      <w:r>
        <w:t xml:space="preserve">“é topo de morro ou fundo de vale?”</w:t>
      </w:r>
    </w:p>
    <w:p>
      <w:pPr>
        <w:pStyle w:val="BlockText"/>
      </w:pPr>
      <w:r>
        <w:rPr>
          <w:b/>
          <w:bCs/>
        </w:rPr>
        <w:t xml:space="preserve">Pense assim:</w:t>
      </w:r>
      <w:r>
        <w:t xml:space="preserve"> </w:t>
      </w:r>
      <w:r>
        <w:t xml:space="preserve">Imagine que você caminha com os olhos vendados por um terreno acidentado. A CPO é o momento em que o chão fica plano sob seus pés — pode ser o topo da montanha ou o fundo do vale. A CSO é tirar a venda: se o terreno desce para os dois lados, você está no topo (máximo); se sobe para os dois lados, está no fundo (mínimo).</w:t>
      </w:r>
    </w:p>
    <w:p>
      <w:pPr>
        <w:pStyle w:val="BlockText"/>
      </w:pPr>
      <w:r>
        <w:rPr>
          <w:b/>
          <w:bCs/>
        </w:rPr>
        <w:t xml:space="preserve">[DANGER] Erro Comum</w:t>
      </w:r>
    </w:p>
    <w:p>
      <w:pPr>
        <w:pStyle w:val="BlockText"/>
      </w:pPr>
      <w:r>
        <w:rPr>
          <w:b/>
          <w:bCs/>
        </w:rPr>
        <w:t xml:space="preserve">Esquecer a CSO.</w:t>
      </w:r>
      <w:r>
        <w:t xml:space="preserve"> </w:t>
      </w:r>
      <w:r>
        <w:t xml:space="preserve">Encontrar</w:t>
      </w:r>
      <w:r>
        <w:t xml:space="preserve"> </w:t>
      </w:r>
      <m:oMath>
        <m:sSup>
          <m:e>
            <m:r>
              <m:t>f</m:t>
            </m:r>
          </m:e>
          <m:sup>
            <m:r>
              <m:rPr>
                <m:sty m:val="p"/>
              </m:rPr>
              <m:t>′</m:t>
            </m:r>
          </m:sup>
        </m:sSup>
        <m:r>
          <m:rPr>
            <m:sty m:val="p"/>
          </m:rPr>
          <m:t>(</m:t>
        </m:r>
        <m:sSup>
          <m:e>
            <m:r>
              <m:t>x</m:t>
            </m:r>
          </m:e>
          <m:sup>
            <m:r>
              <m:rPr>
                <m:sty m:val="p"/>
              </m:rPr>
              <m:t>*</m:t>
            </m:r>
          </m:sup>
        </m:sSup>
        <m:r>
          <m:rPr>
            <m:sty m:val="p"/>
          </m:rPr>
          <m:t>)</m:t>
        </m:r>
        <m:r>
          <m:rPr>
            <m:sty m:val="p"/>
          </m:rPr>
          <m:t>=</m:t>
        </m:r>
        <m:r>
          <m:t>0</m:t>
        </m:r>
      </m:oMath>
      <w:r>
        <w:t xml:space="preserve"> </w:t>
      </w:r>
      <w:r>
        <w:t xml:space="preserve">e declarar vitória sem verificar a segunda derivada é o erro mais frequente em provas. No Capítulo 12 (Cap. 12), a firma que iguala</w:t>
      </w:r>
      <w:r>
        <w:t xml:space="preserve"> </w:t>
      </w:r>
      <m:oMath>
        <m:r>
          <m:t>R</m:t>
        </m:r>
        <m:r>
          <m:t>M</m:t>
        </m:r>
        <m:r>
          <m:t>g</m:t>
        </m:r>
        <m:r>
          <m:rPr>
            <m:sty m:val="p"/>
          </m:rPr>
          <m:t>=</m:t>
        </m:r>
        <m:r>
          <m:t>C</m:t>
        </m:r>
        <m:r>
          <m:t>M</m:t>
        </m:r>
        <m:r>
          <m:t>g</m:t>
        </m:r>
      </m:oMath>
      <w:r>
        <w:t xml:space="preserve"> </w:t>
      </w:r>
      <w:r>
        <w:t xml:space="preserve">sem checar se</w:t>
      </w:r>
      <w:r>
        <w:t xml:space="preserve"> </w:t>
      </w:r>
      <m:oMath>
        <m:r>
          <m:t>C</m:t>
        </m:r>
        <m:r>
          <m:t>M</m:t>
        </m:r>
        <m:r>
          <m:t>g</m:t>
        </m:r>
      </m:oMath>
      <w:r>
        <w:t xml:space="preserve"> </w:t>
      </w:r>
      <w:r>
        <w:t xml:space="preserve">é crescente pode estar</w:t>
      </w:r>
      <w:r>
        <w:t xml:space="preserve"> </w:t>
      </w:r>
      <w:r>
        <w:rPr>
          <w:i/>
          <w:iCs/>
        </w:rPr>
        <w:t xml:space="preserve">minimizando</w:t>
      </w:r>
      <w:r>
        <w:t xml:space="preserve"> </w:t>
      </w:r>
      <w:r>
        <w:t xml:space="preserve">o lucro — catástrofe empresarial.</w:t>
      </w:r>
    </w:p>
    <w:bookmarkEnd w:id="81"/>
    <w:bookmarkStart w:id="82" w:name="X08242b9bcdc6b3e173d00f265dfb9e8d49c1b6a"/>
    <w:p>
      <w:pPr>
        <w:pStyle w:val="Heading4"/>
      </w:pPr>
      <w:r>
        <w:t xml:space="preserve">Exemplo: Maximização de lucro de uma firma</w:t>
      </w:r>
    </w:p>
    <w:p>
      <w:pPr>
        <w:pStyle w:val="FirstParagraph"/>
      </w:pPr>
      <w:r>
        <w:t xml:space="preserve">Considere uma firma com receita</w:t>
      </w:r>
      <w:r>
        <w:t xml:space="preserve"> </w:t>
      </w:r>
      <m:oMath>
        <m:r>
          <m:t>R</m:t>
        </m:r>
        <m:r>
          <m:rPr>
            <m:sty m:val="p"/>
          </m:rPr>
          <m:t>(</m:t>
        </m:r>
        <m:r>
          <m:t>q</m:t>
        </m:r>
        <m:r>
          <m:rPr>
            <m:sty m:val="p"/>
          </m:rPr>
          <m:t>)</m:t>
        </m:r>
        <m:r>
          <m:rPr>
            <m:sty m:val="p"/>
          </m:rPr>
          <m:t>=</m:t>
        </m:r>
        <m:r>
          <m:t>100</m:t>
        </m:r>
        <m:r>
          <m:t>q</m:t>
        </m:r>
        <m:r>
          <m:rPr>
            <m:sty m:val="p"/>
          </m:rPr>
          <m:t>−</m:t>
        </m:r>
        <m:sSup>
          <m:e>
            <m:r>
              <m:t>q</m:t>
            </m:r>
          </m:e>
          <m:sup>
            <m:r>
              <m:t>2</m:t>
            </m:r>
          </m:sup>
        </m:sSup>
      </m:oMath>
      <w:r>
        <w:t xml:space="preserve"> </w:t>
      </w:r>
      <w:r>
        <w:t xml:space="preserve">e custo</w:t>
      </w:r>
      <w:r>
        <w:t xml:space="preserve"> </w:t>
      </w:r>
      <m:oMath>
        <m:r>
          <m:t>C</m:t>
        </m:r>
        <m:r>
          <m:rPr>
            <m:sty m:val="p"/>
          </m:rPr>
          <m:t>(</m:t>
        </m:r>
        <m:r>
          <m:t>q</m:t>
        </m:r>
        <m:r>
          <m:rPr>
            <m:sty m:val="p"/>
          </m:rPr>
          <m:t>)</m:t>
        </m:r>
        <m:r>
          <m:rPr>
            <m:sty m:val="p"/>
          </m:rPr>
          <m:t>=</m:t>
        </m:r>
        <m:r>
          <m:t>10</m:t>
        </m:r>
        <m:r>
          <m:t>q</m:t>
        </m:r>
        <m:r>
          <m:rPr>
            <m:sty m:val="p"/>
          </m:rPr>
          <m:t>+</m:t>
        </m:r>
        <m:r>
          <m:t>2</m:t>
        </m:r>
        <m:sSup>
          <m:e>
            <m:r>
              <m:t>q</m:t>
            </m:r>
          </m:e>
          <m:sup>
            <m:r>
              <m:t>2</m:t>
            </m:r>
          </m:sup>
        </m:sSup>
      </m:oMath>
      <w:r>
        <w:t xml:space="preserve">. O lucro é:</w:t>
      </w:r>
    </w:p>
    <w:p>
      <w:pPr>
        <w:pStyle w:val="BodyText"/>
      </w:pPr>
      <m:oMathPara>
        <m:oMathParaPr>
          <m:jc m:val="center"/>
        </m:oMathParaPr>
        <m:oMath>
          <m:r>
            <m:t>π</m:t>
          </m:r>
          <m:r>
            <m:rPr>
              <m:sty m:val="p"/>
            </m:rPr>
            <m:t>(</m:t>
          </m:r>
          <m:r>
            <m:t>q</m:t>
          </m:r>
          <m:r>
            <m:rPr>
              <m:sty m:val="p"/>
            </m:rPr>
            <m:t>)</m:t>
          </m:r>
          <m:r>
            <m:rPr>
              <m:sty m:val="p"/>
            </m:rPr>
            <m:t>=</m:t>
          </m:r>
          <m:r>
            <m:t>R</m:t>
          </m:r>
          <m:r>
            <m:rPr>
              <m:sty m:val="p"/>
            </m:rPr>
            <m:t>(</m:t>
          </m:r>
          <m:r>
            <m:t>q</m:t>
          </m:r>
          <m:r>
            <m:rPr>
              <m:sty m:val="p"/>
            </m:rPr>
            <m:t>)</m:t>
          </m:r>
          <m:r>
            <m:rPr>
              <m:sty m:val="p"/>
            </m:rPr>
            <m:t>−</m:t>
          </m:r>
          <m:r>
            <m:t>C</m:t>
          </m:r>
          <m:r>
            <m:rPr>
              <m:sty m:val="p"/>
            </m:rPr>
            <m:t>(</m:t>
          </m:r>
          <m:r>
            <m:t>q</m:t>
          </m:r>
          <m:r>
            <m:rPr>
              <m:sty m:val="p"/>
            </m:rPr>
            <m:t>)</m:t>
          </m:r>
          <m:r>
            <m:rPr>
              <m:sty m:val="p"/>
            </m:rPr>
            <m:t>=</m:t>
          </m:r>
          <m:r>
            <m:t>90</m:t>
          </m:r>
          <m:r>
            <m:t>q</m:t>
          </m:r>
          <m:r>
            <m:rPr>
              <m:sty m:val="p"/>
            </m:rPr>
            <m:t>−</m:t>
          </m:r>
          <m:r>
            <m:t>3</m:t>
          </m:r>
          <m:sSup>
            <m:e>
              <m:r>
                <m:t>q</m:t>
              </m:r>
            </m:e>
            <m:sup>
              <m:r>
                <m:t>2</m:t>
              </m:r>
            </m:sup>
          </m:sSup>
        </m:oMath>
      </m:oMathPara>
    </w:p>
    <w:p>
      <w:pPr>
        <w:pStyle w:val="FirstParagraph"/>
      </w:pPr>
      <w:r>
        <w:rPr>
          <w:b/>
          <w:bCs/>
        </w:rPr>
        <w:t xml:space="preserve">CPO:</w:t>
      </w:r>
      <w:r>
        <w:t xml:space="preserve"> </w:t>
      </w:r>
      <m:oMath>
        <m:sSup>
          <m:e>
            <m:r>
              <m:t>π</m:t>
            </m:r>
          </m:e>
          <m:sup>
            <m:r>
              <m:rPr>
                <m:sty m:val="p"/>
              </m:rPr>
              <m:t>′</m:t>
            </m:r>
          </m:sup>
        </m:sSup>
        <m:r>
          <m:rPr>
            <m:sty m:val="p"/>
          </m:rPr>
          <m:t>(</m:t>
        </m:r>
        <m:r>
          <m:t>q</m:t>
        </m:r>
        <m:r>
          <m:rPr>
            <m:sty m:val="p"/>
          </m:rPr>
          <m:t>)</m:t>
        </m:r>
        <m:r>
          <m:rPr>
            <m:sty m:val="p"/>
          </m:rPr>
          <m:t>=</m:t>
        </m:r>
        <m:r>
          <m:t>90</m:t>
        </m:r>
        <m:r>
          <m:rPr>
            <m:sty m:val="p"/>
          </m:rPr>
          <m:t>−</m:t>
        </m:r>
        <m:r>
          <m:t>6</m:t>
        </m:r>
        <m:r>
          <m:t>q</m:t>
        </m:r>
        <m:r>
          <m:rPr>
            <m:sty m:val="p"/>
          </m:rPr>
          <m:t>=</m:t>
        </m:r>
        <m:r>
          <m:t>0</m:t>
        </m:r>
        <m:r>
          <m:rPr>
            <m:sty m:val="p"/>
          </m:rPr>
          <m:t>⇒</m:t>
        </m:r>
        <m:sSup>
          <m:e>
            <m:r>
              <m:t>q</m:t>
            </m:r>
          </m:e>
          <m:sup>
            <m:r>
              <m:rPr>
                <m:sty m:val="p"/>
              </m:rPr>
              <m:t>*</m:t>
            </m:r>
          </m:sup>
        </m:sSup>
        <m:r>
          <m:rPr>
            <m:sty m:val="p"/>
          </m:rPr>
          <m:t>=</m:t>
        </m:r>
        <m:r>
          <m:t>15</m:t>
        </m:r>
      </m:oMath>
    </w:p>
    <w:p>
      <w:pPr>
        <w:pStyle w:val="BodyText"/>
      </w:pPr>
      <w:r>
        <w:rPr>
          <w:b/>
          <w:bCs/>
        </w:rPr>
        <w:t xml:space="preserve">CSO:</w:t>
      </w:r>
      <w:r>
        <w:t xml:space="preserve"> </w:t>
      </w:r>
      <m:oMath>
        <m:sSup>
          <m:e>
            <m:r>
              <m:t>π</m:t>
            </m:r>
          </m:e>
          <m:sup>
            <m:r>
              <m:rPr>
                <m:sty m:val="p"/>
              </m:rPr>
              <m:t>″</m:t>
            </m:r>
          </m:sup>
        </m:sSup>
        <m:r>
          <m:rPr>
            <m:sty m:val="p"/>
          </m:rPr>
          <m:t>(</m:t>
        </m:r>
        <m:r>
          <m:t>q</m:t>
        </m:r>
        <m:r>
          <m:rPr>
            <m:sty m:val="p"/>
          </m:rPr>
          <m:t>)</m:t>
        </m:r>
        <m:r>
          <m:rPr>
            <m:sty m:val="p"/>
          </m:rPr>
          <m:t>=</m:t>
        </m:r>
        <m:r>
          <m:rPr>
            <m:sty m:val="p"/>
          </m:rPr>
          <m:t>−</m:t>
        </m:r>
        <m:r>
          <m:t>6</m:t>
        </m:r>
        <m:r>
          <m:rPr>
            <m:sty m:val="p"/>
          </m:rPr>
          <m:t>&lt;</m:t>
        </m:r>
        <m:r>
          <m:t>0</m:t>
        </m:r>
      </m:oMath>
      <w:r>
        <w:t xml:space="preserve"> </w:t>
      </w:r>
      <w:r>
        <w:t xml:space="preserve">✓ (máximo)</w:t>
      </w:r>
    </w:p>
    <w:p>
      <w:pPr>
        <w:pStyle w:val="BodyText"/>
      </w:pPr>
      <w:r>
        <w:rPr>
          <w:b/>
          <w:bCs/>
        </w:rPr>
        <w:t xml:space="preserve">Lucro máximo:</w:t>
      </w:r>
      <w:r>
        <w:t xml:space="preserve"> </w:t>
      </w:r>
      <m:oMath>
        <m:r>
          <m:t>π</m:t>
        </m:r>
        <m:r>
          <m:rPr>
            <m:sty m:val="p"/>
          </m:rPr>
          <m:t>(</m:t>
        </m:r>
        <m:r>
          <m:t>15</m:t>
        </m:r>
        <m:r>
          <m:rPr>
            <m:sty m:val="p"/>
          </m:rPr>
          <m:t>)</m:t>
        </m:r>
        <m:r>
          <m:rPr>
            <m:sty m:val="p"/>
          </m:rPr>
          <m:t>=</m:t>
        </m:r>
        <m:r>
          <m:t>90</m:t>
        </m:r>
        <m:r>
          <m:rPr>
            <m:sty m:val="p"/>
          </m:rPr>
          <m:t>(</m:t>
        </m:r>
        <m:r>
          <m:t>15</m:t>
        </m:r>
        <m:r>
          <m:rPr>
            <m:sty m:val="p"/>
          </m:rPr>
          <m:t>)</m:t>
        </m:r>
        <m:r>
          <m:rPr>
            <m:sty m:val="p"/>
          </m:rPr>
          <m:t>−</m:t>
        </m:r>
        <m:r>
          <m:t>3</m:t>
        </m:r>
        <m:r>
          <m:rPr>
            <m:sty m:val="p"/>
          </m:rPr>
          <m:t>(</m:t>
        </m:r>
        <m:r>
          <m:t>225</m:t>
        </m:r>
        <m:r>
          <m:rPr>
            <m:sty m:val="p"/>
          </m:rPr>
          <m:t>)</m:t>
        </m:r>
        <m:r>
          <m:rPr>
            <m:sty m:val="p"/>
          </m:rPr>
          <m:t>=</m:t>
        </m:r>
        <m:r>
          <m:t>1350</m:t>
        </m:r>
        <m:r>
          <m:rPr>
            <m:sty m:val="p"/>
          </m:rPr>
          <m:t>−</m:t>
        </m:r>
        <m:r>
          <m:t>675</m:t>
        </m:r>
        <m:r>
          <m:rPr>
            <m:sty m:val="p"/>
          </m:rPr>
          <m:t>=</m:t>
        </m:r>
        <m:r>
          <m:t>675</m:t>
        </m:r>
      </m:oMath>
    </w:p>
    <w:p>
      <w:pPr>
        <w:pStyle w:val="BlockText"/>
      </w:pPr>
      <w:r>
        <w:rPr>
          <w:b/>
          <w:bCs/>
        </w:rPr>
        <w:t xml:space="preserve">[R-INTERACTIVE] R Interativo</w:t>
      </w:r>
    </w:p>
    <w:p>
      <w:pPr>
        <w:pStyle w:val="SourceCode"/>
      </w:pPr>
      <w:r>
        <w:rPr>
          <w:rStyle w:val="CommentTok"/>
        </w:rPr>
        <w:t xml:space="preserve"># Maximização de lucro em uma variável</w:t>
      </w:r>
      <w:r>
        <w:br/>
      </w:r>
      <w:r>
        <w:rPr>
          <w:rStyle w:val="NormalTok"/>
        </w:rPr>
        <w:t xml:space="preserve">pi </w:t>
      </w:r>
      <w:r>
        <w:rPr>
          <w:rStyle w:val="OtherTok"/>
        </w:rPr>
        <w:t xml:space="preserve">&lt;-</w:t>
      </w:r>
      <w:r>
        <w:rPr>
          <w:rStyle w:val="NormalTok"/>
        </w:rPr>
        <w:t xml:space="preserve"> </w:t>
      </w:r>
      <w:r>
        <w:rPr>
          <w:rStyle w:val="ControlFlowTok"/>
        </w:rPr>
        <w:t xml:space="preserve">function</w:t>
      </w:r>
      <w:r>
        <w:rPr>
          <w:rStyle w:val="NormalTok"/>
        </w:rPr>
        <w:t xml:space="preserve">(q) </w:t>
      </w:r>
      <w:r>
        <w:rPr>
          <w:rStyle w:val="DecValTok"/>
        </w:rPr>
        <w:t xml:space="preserve">90</w:t>
      </w:r>
      <w:r>
        <w:rPr>
          <w:rStyle w:val="SpecialCharTok"/>
        </w:rPr>
        <w:t xml:space="preserve">*</w:t>
      </w:r>
      <w:r>
        <w:rPr>
          <w:rStyle w:val="NormalTok"/>
        </w:rPr>
        <w:t xml:space="preserve">q </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q</w:t>
      </w:r>
      <w:r>
        <w:rPr>
          <w:rStyle w:val="SpecialCharTok"/>
        </w:rPr>
        <w:t xml:space="preserve">^</w:t>
      </w:r>
      <w:r>
        <w:rPr>
          <w:rStyle w:val="DecValTok"/>
        </w:rPr>
        <w:t xml:space="preserve">2</w:t>
      </w:r>
      <w:r>
        <w:br/>
      </w:r>
      <w:r>
        <w:br/>
      </w:r>
      <w:r>
        <w:rPr>
          <w:rStyle w:val="CommentTok"/>
        </w:rPr>
        <w:t xml:space="preserve"># CPO: derivada = 0</w:t>
      </w:r>
      <w:r>
        <w:br/>
      </w:r>
      <w:r>
        <w:rPr>
          <w:rStyle w:val="NormalTok"/>
        </w:rPr>
        <w:t xml:space="preserve">q_star </w:t>
      </w:r>
      <w:r>
        <w:rPr>
          <w:rStyle w:val="OtherTok"/>
        </w:rPr>
        <w:t xml:space="preserve">&lt;-</w:t>
      </w:r>
      <w:r>
        <w:rPr>
          <w:rStyle w:val="NormalTok"/>
        </w:rPr>
        <w:t xml:space="preserve"> </w:t>
      </w:r>
      <w:r>
        <w:rPr>
          <w:rStyle w:val="DecValTok"/>
        </w:rPr>
        <w:t xml:space="preserve">90</w:t>
      </w:r>
      <w:r>
        <w:rPr>
          <w:rStyle w:val="NormalTok"/>
        </w:rPr>
        <w:t xml:space="preserve"> </w:t>
      </w:r>
      <w:r>
        <w:rPr>
          <w:rStyle w:val="SpecialCharTok"/>
        </w:rPr>
        <w:t xml:space="preserve">/</w:t>
      </w:r>
      <w:r>
        <w:rPr>
          <w:rStyle w:val="NormalTok"/>
        </w:rPr>
        <w:t xml:space="preserve"> </w:t>
      </w:r>
      <w:r>
        <w:rPr>
          <w:rStyle w:val="DecValTok"/>
        </w:rPr>
        <w:t xml:space="preserve">6</w:t>
      </w:r>
      <w:r>
        <w:br/>
      </w:r>
      <w:r>
        <w:rPr>
          <w:rStyle w:val="FunctionTok"/>
        </w:rPr>
        <w:t xml:space="preserve">cat</w:t>
      </w:r>
      <w:r>
        <w:rPr>
          <w:rStyle w:val="NormalTok"/>
        </w:rPr>
        <w:t xml:space="preserve">(</w:t>
      </w:r>
      <w:r>
        <w:rPr>
          <w:rStyle w:val="StringTok"/>
        </w:rPr>
        <w:t xml:space="preserve">"Quantidade ótima:"</w:t>
      </w:r>
      <w:r>
        <w:rPr>
          <w:rStyle w:val="NormalTok"/>
        </w:rPr>
        <w:t xml:space="preserve">, q_star,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"Lucro máximo:"</w:t>
      </w:r>
      <w:r>
        <w:rPr>
          <w:rStyle w:val="NormalTok"/>
        </w:rPr>
        <w:t xml:space="preserve">, </w:t>
      </w:r>
      <w:r>
        <w:rPr>
          <w:rStyle w:val="FunctionTok"/>
        </w:rPr>
        <w:t xml:space="preserve">pi</w:t>
      </w:r>
      <w:r>
        <w:rPr>
          <w:rStyle w:val="NormalTok"/>
        </w:rPr>
        <w:t xml:space="preserve">(q_star),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CommentTok"/>
        </w:rPr>
        <w:t xml:space="preserve"># Visualização</w:t>
      </w:r>
      <w:r>
        <w:br/>
      </w:r>
      <w:r>
        <w:rPr>
          <w:rStyle w:val="FunctionTok"/>
        </w:rPr>
        <w:t xml:space="preserve">curve</w:t>
      </w:r>
      <w:r>
        <w:rPr>
          <w:rStyle w:val="NormalTok"/>
        </w:rPr>
        <w:t xml:space="preserve">(pi, </w:t>
      </w:r>
      <w:r>
        <w:rPr>
          <w:rStyle w:val="AttributeTok"/>
        </w:rPr>
        <w:t xml:space="preserve">from =</w:t>
      </w:r>
      <w:r>
        <w:rPr>
          <w:rStyle w:val="NormalTok"/>
        </w:rPr>
        <w:t xml:space="preserve"> </w:t>
      </w:r>
      <w:r>
        <w:rPr>
          <w:rStyle w:val="DecValTok"/>
        </w:rPr>
        <w:t xml:space="preserve">0</w:t>
      </w:r>
      <w:r>
        <w:rPr>
          <w:rStyle w:val="NormalTok"/>
        </w:rPr>
        <w:t xml:space="preserve">, </w:t>
      </w:r>
      <w:r>
        <w:rPr>
          <w:rStyle w:val="AttributeTok"/>
        </w:rPr>
        <w:t xml:space="preserve">to =</w:t>
      </w:r>
      <w:r>
        <w:rPr>
          <w:rStyle w:val="NormalTok"/>
        </w:rPr>
        <w:t xml:space="preserve"> </w:t>
      </w:r>
      <w:r>
        <w:rPr>
          <w:rStyle w:val="DecValTok"/>
        </w:rPr>
        <w:t xml:space="preserve">30</w:t>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"Quantidade (q)"</w:t>
      </w:r>
      <w:r>
        <w:rPr>
          <w:rStyle w:val="NormalTok"/>
        </w:rPr>
        <w:t xml:space="preserve">, </w:t>
      </w:r>
      <w:r>
        <w:rPr>
          <w:rStyle w:val="AttributeTok"/>
        </w:rPr>
        <w:t xml:space="preserve">ylab =</w:t>
      </w:r>
      <w:r>
        <w:rPr>
          <w:rStyle w:val="NormalTok"/>
        </w:rPr>
        <w:t xml:space="preserve"> </w:t>
      </w:r>
      <w:r>
        <w:rPr>
          <w:rStyle w:val="StringTok"/>
        </w:rPr>
        <w:t xml:space="preserve">"Lucro π(q)"</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"Maximização de Lucro"</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q_star,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r>
        <w:br/>
      </w:r>
      <w:r>
        <w:rPr>
          <w:rStyle w:val="FunctionTok"/>
        </w:rPr>
        <w:t xml:space="preserve">points</w:t>
      </w:r>
      <w:r>
        <w:rPr>
          <w:rStyle w:val="NormalTok"/>
        </w:rPr>
        <w:t xml:space="preserve">(q_star, </w:t>
      </w:r>
      <w:r>
        <w:rPr>
          <w:rStyle w:val="FunctionTok"/>
        </w:rPr>
        <w:t xml:space="preserve">pi</w:t>
      </w:r>
      <w:r>
        <w:rPr>
          <w:rStyle w:val="NormalTok"/>
        </w:rPr>
        <w:t xml:space="preserve">(q_star),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w:t>
      </w:r>
    </w:p>
    <w:p>
      <w:r>
        <w:pict>
          <v:rect style="width:0;height:1.5pt" o:hralign="center" o:hrstd="t" o:hr="t"/>
        </w:pict>
      </w:r>
    </w:p>
    <w:bookmarkEnd w:id="82"/>
    <w:bookmarkEnd w:id="83"/>
    <w:bookmarkStart w:id="88" w:name="X2c6fc06c99a462375eeb3f43dfd832b08ca9e17"/>
    <w:p>
      <w:pPr>
        <w:pStyle w:val="Heading3"/>
      </w:pPr>
      <w:r>
        <w:t xml:space="preserve">2.2 O Mundo Tem Mais de Uma Dimensão: Derivadas Parciais e o Teorema da Função Implícita</w:t>
      </w:r>
    </w:p>
    <w:p>
      <w:pPr>
        <w:pStyle w:val="FirstParagraph"/>
      </w:pPr>
      <w:r>
        <w:t xml:space="preserve">Na vida real, a utilidade depende de</w:t>
      </w:r>
      <w:r>
        <w:t xml:space="preserve"> </w:t>
      </w:r>
      <w:r>
        <w:rPr>
          <w:i/>
          <w:iCs/>
        </w:rPr>
        <w:t xml:space="preserve">vários</w:t>
      </w:r>
      <w:r>
        <w:t xml:space="preserve"> </w:t>
      </w:r>
      <w:r>
        <w:t xml:space="preserve">bens, o lucro depende de</w:t>
      </w:r>
      <w:r>
        <w:t xml:space="preserve"> </w:t>
      </w:r>
      <w:r>
        <w:rPr>
          <w:i/>
          <w:iCs/>
        </w:rPr>
        <w:t xml:space="preserve">vários</w:t>
      </w:r>
      <w:r>
        <w:t xml:space="preserve"> </w:t>
      </w:r>
      <w:r>
        <w:t xml:space="preserve">insumos, e o equilíbrio depende de</w:t>
      </w:r>
      <w:r>
        <w:t xml:space="preserve"> </w:t>
      </w:r>
      <w:r>
        <w:rPr>
          <w:i/>
          <w:iCs/>
        </w:rPr>
        <w:t xml:space="preserve">vários</w:t>
      </w:r>
      <w:r>
        <w:t xml:space="preserve"> </w:t>
      </w:r>
      <w:r>
        <w:t xml:space="preserve">preços. Precisamos generalizar.</w:t>
      </w:r>
    </w:p>
    <w:bookmarkStart w:id="84" w:name="derivadas-parciais"/>
    <w:p>
      <w:pPr>
        <w:pStyle w:val="Heading4"/>
      </w:pPr>
      <w:r>
        <w:t xml:space="preserve">Derivadas parciais</w:t>
      </w:r>
    </w:p>
    <w:p>
      <w:pPr>
        <w:pStyle w:val="BlockText"/>
      </w:pPr>
      <w:r>
        <w:rPr>
          <w:b/>
          <w:bCs/>
        </w:rPr>
        <w:t xml:space="preserve">[DEFINICAO] Derivada Parcial</w:t>
      </w:r>
    </w:p>
    <w:p>
      <w:pPr>
        <w:pStyle w:val="BlockText"/>
      </w:pPr>
      <w:r>
        <w:t xml:space="preserve">Seja</w:t>
      </w:r>
      <w:r>
        <w:t xml:space="preserve"> </w:t>
      </w:r>
      <m:oMath>
        <m:r>
          <m:t>f</m:t>
        </m:r>
        <m:r>
          <m:rPr>
            <m:sty m:val="p"/>
          </m:rPr>
          <m:t>:</m:t>
        </m:r>
        <m:sSup>
          <m:e>
            <m:r>
              <m:rPr>
                <m:scr m:val="double-struck"/>
                <m:sty m:val="p"/>
              </m:rPr>
              <m:t>R</m:t>
            </m:r>
          </m:e>
          <m:sup>
            <m:r>
              <m:t>n</m:t>
            </m:r>
          </m:sup>
        </m:sSup>
        <m:r>
          <m:rPr>
            <m:sty m:val="p"/>
          </m:rPr>
          <m:t>→</m:t>
        </m:r>
        <m:r>
          <m:rPr>
            <m:scr m:val="double-struck"/>
            <m:sty m:val="p"/>
          </m:rPr>
          <m:t>R</m:t>
        </m:r>
      </m:oMath>
      <w:r>
        <w:t xml:space="preserve">. A</w:t>
      </w:r>
      <w:r>
        <w:t xml:space="preserve"> </w:t>
      </w:r>
      <w:r>
        <w:rPr>
          <w:b/>
          <w:bCs/>
        </w:rPr>
        <w:t xml:space="preserve">derivada parcial</w:t>
      </w:r>
      <w:r>
        <w:t xml:space="preserve"> </w:t>
      </w:r>
      <w:r>
        <w:t xml:space="preserve">de</w:t>
      </w:r>
      <w:r>
        <w:t xml:space="preserve"> </w:t>
      </w:r>
      <m:oMath>
        <m:r>
          <m:t>f</m:t>
        </m:r>
      </m:oMath>
      <w:r>
        <w:t xml:space="preserve"> </w:t>
      </w:r>
      <w:r>
        <w:t xml:space="preserve">em relação a</w:t>
      </w:r>
      <w:r>
        <w:t xml:space="preserve"> </w:t>
      </w:r>
      <m:oMath>
        <m:sSub>
          <m:e>
            <m:r>
              <m:t>x</m:t>
            </m:r>
          </m:e>
          <m:sub>
            <m:r>
              <m:t>i</m:t>
            </m:r>
          </m:sub>
        </m:sSub>
      </m:oMath>
      <w:r>
        <w:t xml:space="preserve">, mantendo as demais variáveis constantes, é:</w:t>
      </w:r>
    </w:p>
    <w:p>
      <w:pPr>
        <w:pStyle w:val="BlockText"/>
      </w:pPr>
      <m:oMathPara>
        <m:oMathParaPr>
          <m:jc m:val="center"/>
        </m:oMathParaPr>
        <m:oMath>
          <m:f>
            <m:fPr>
              <m:type m:val="bar"/>
            </m:fPr>
            <m:num>
              <m:r>
                <m:rPr>
                  <m:sty m:val="p"/>
                </m:rPr>
                <m:t>∂</m:t>
              </m:r>
              <m:r>
                <m:t>f</m:t>
              </m:r>
            </m:num>
            <m:den>
              <m:r>
                <m:rPr>
                  <m:sty m:val="p"/>
                </m:rPr>
                <m:t>∂</m:t>
              </m:r>
              <m:sSub>
                <m:e>
                  <m:r>
                    <m:t>x</m:t>
                  </m:r>
                </m:e>
                <m:sub>
                  <m:r>
                    <m:t>i</m:t>
                  </m:r>
                </m:sub>
              </m:sSub>
            </m:den>
          </m:f>
          <m:r>
            <m:rPr>
              <m:sty m:val="p"/>
            </m:rPr>
            <m:t>=</m:t>
          </m:r>
          <m:limLow>
            <m:e>
              <m:r>
                <m:rPr>
                  <m:sty m:val="p"/>
                </m:rPr>
                <m:t>lim</m:t>
              </m:r>
            </m:e>
            <m:lim>
              <m:r>
                <m:t>h</m:t>
              </m:r>
              <m:r>
                <m:rPr>
                  <m:sty m:val="p"/>
                </m:rPr>
                <m:t>→</m:t>
              </m:r>
              <m:r>
                <m:t>0</m:t>
              </m:r>
            </m:lim>
          </m:limLow>
          <m:f>
            <m:fPr>
              <m:type m:val="bar"/>
            </m:fPr>
            <m:num>
              <m:r>
                <m:t>f</m:t>
              </m:r>
              <m:r>
                <m:rPr>
                  <m:sty m:val="p"/>
                </m:rPr>
                <m:t>(</m:t>
              </m:r>
              <m:sSub>
                <m:e>
                  <m:r>
                    <m:t>x</m:t>
                  </m:r>
                </m:e>
                <m:sub>
                  <m:r>
                    <m:t>1</m:t>
                  </m:r>
                </m:sub>
              </m:sSub>
              <m:r>
                <m:rPr>
                  <m:sty m:val="p"/>
                </m:rPr>
                <m:t>,</m:t>
              </m:r>
              <m:r>
                <m:rPr>
                  <m:sty m:val="p"/>
                </m:rPr>
                <m:t>…</m:t>
              </m:r>
              <m:r>
                <m:rPr>
                  <m:sty m:val="p"/>
                </m:rPr>
                <m:t>,</m:t>
              </m:r>
              <m:sSub>
                <m:e>
                  <m:r>
                    <m:t>x</m:t>
                  </m:r>
                </m:e>
                <m:sub>
                  <m:r>
                    <m:t>i</m:t>
                  </m:r>
                </m:sub>
              </m:sSub>
              <m:r>
                <m:rPr>
                  <m:sty m:val="p"/>
                </m:rPr>
                <m:t>+</m:t>
              </m:r>
              <m:r>
                <m:t>h</m:t>
              </m:r>
              <m:r>
                <m:rPr>
                  <m:sty m:val="p"/>
                </m:rPr>
                <m:t>,</m:t>
              </m:r>
              <m:r>
                <m:rPr>
                  <m:sty m:val="p"/>
                </m:rPr>
                <m:t>…</m:t>
              </m:r>
              <m:r>
                <m:rPr>
                  <m:sty m:val="p"/>
                </m:rPr>
                <m:t>,</m:t>
              </m:r>
              <m:sSub>
                <m:e>
                  <m:r>
                    <m:t>x</m:t>
                  </m:r>
                </m:e>
                <m:sub>
                  <m:r>
                    <m:t>n</m:t>
                  </m:r>
                </m:sub>
              </m:sSub>
              <m:r>
                <m:rPr>
                  <m:sty m:val="p"/>
                </m:rPr>
                <m:t>)</m:t>
              </m:r>
              <m:r>
                <m:rPr>
                  <m:sty m:val="p"/>
                </m:rPr>
                <m:t>−</m:t>
              </m:r>
              <m:r>
                <m:t>f</m:t>
              </m:r>
              <m:r>
                <m:rPr>
                  <m:sty m:val="p"/>
                </m:rPr>
                <m:t>(</m:t>
              </m:r>
              <m:sSub>
                <m:e>
                  <m:r>
                    <m:t>x</m:t>
                  </m:r>
                </m:e>
                <m:sub>
                  <m:r>
                    <m:t>1</m:t>
                  </m:r>
                </m:sub>
              </m:sSub>
              <m:r>
                <m:rPr>
                  <m:sty m:val="p"/>
                </m:rPr>
                <m:t>,</m:t>
              </m:r>
              <m:r>
                <m:rPr>
                  <m:sty m:val="p"/>
                </m:rPr>
                <m:t>…</m:t>
              </m:r>
              <m:r>
                <m:rPr>
                  <m:sty m:val="p"/>
                </m:rPr>
                <m:t>,</m:t>
              </m:r>
              <m:sSub>
                <m:e>
                  <m:r>
                    <m:t>x</m:t>
                  </m:r>
                </m:e>
                <m:sub>
                  <m:r>
                    <m:t>i</m:t>
                  </m:r>
                </m:sub>
              </m:sSub>
              <m:r>
                <m:rPr>
                  <m:sty m:val="p"/>
                </m:rPr>
                <m:t>,</m:t>
              </m:r>
              <m:r>
                <m:rPr>
                  <m:sty m:val="p"/>
                </m:rPr>
                <m:t>…</m:t>
              </m:r>
              <m:r>
                <m:rPr>
                  <m:sty m:val="p"/>
                </m:rPr>
                <m:t>,</m:t>
              </m:r>
              <m:sSub>
                <m:e>
                  <m:r>
                    <m:t>x</m:t>
                  </m:r>
                </m:e>
                <m:sub>
                  <m:r>
                    <m:t>n</m:t>
                  </m:r>
                </m:sub>
              </m:sSub>
              <m:r>
                <m:rPr>
                  <m:sty m:val="p"/>
                </m:rPr>
                <m:t>)</m:t>
              </m:r>
            </m:num>
            <m:den>
              <m:r>
                <m:t>h</m:t>
              </m:r>
            </m:den>
          </m:f>
        </m:oMath>
      </m:oMathPara>
    </w:p>
    <w:p>
      <w:pPr>
        <w:pStyle w:val="FirstParagraph"/>
      </w:pPr>
      <w:r>
        <w:t xml:space="preserve">A derivada parcial é o</w:t>
      </w:r>
      <w:r>
        <w:t xml:space="preserve"> </w:t>
      </w:r>
      <w:r>
        <w:rPr>
          <w:i/>
          <w:iCs/>
        </w:rPr>
        <w:t xml:space="preserve">ceteris paribus</w:t>
      </w:r>
      <w:r>
        <w:t xml:space="preserve"> </w:t>
      </w:r>
      <w:r>
        <w:t xml:space="preserve">formal: mede como</w:t>
      </w:r>
      <w:r>
        <w:t xml:space="preserve"> </w:t>
      </w:r>
      <m:oMath>
        <m:r>
          <m:t>f</m:t>
        </m:r>
      </m:oMath>
      <w:r>
        <w:t xml:space="preserve"> </w:t>
      </w:r>
      <w:r>
        <w:t xml:space="preserve">responde a uma variação em</w:t>
      </w:r>
      <w:r>
        <w:t xml:space="preserve"> </w:t>
      </w:r>
      <m:oMath>
        <m:sSub>
          <m:e>
            <m:r>
              <m:t>x</m:t>
            </m:r>
          </m:e>
          <m:sub>
            <m:r>
              <m:t>i</m:t>
            </m:r>
          </m:sub>
        </m:sSub>
      </m:oMath>
      <w:r>
        <w:t xml:space="preserve"> </w:t>
      </w:r>
      <w:r>
        <w:rPr>
          <w:i/>
          <w:iCs/>
        </w:rPr>
        <w:t xml:space="preserve">mantendo todo o resto constante</w:t>
      </w:r>
      <w:r>
        <w:t xml:space="preserve">. É a ferramenta matemática por trás de frases como</w:t>
      </w:r>
      <w:r>
        <w:t xml:space="preserve"> </w:t>
      </w:r>
      <w:r>
        <w:t xml:space="preserve">“se o preço sobe,</w:t>
      </w:r>
      <w:r>
        <w:t xml:space="preserve"> </w:t>
      </w:r>
      <w:r>
        <w:rPr>
          <w:i/>
          <w:iCs/>
        </w:rPr>
        <w:t xml:space="preserve">ceteris paribus</w:t>
      </w:r>
      <w:r>
        <w:t xml:space="preserve">, a quantidade demandada cai”</w:t>
      </w:r>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A derivada parcial é a formalização matemática do</w:t>
      </w:r>
      <w:r>
        <w:t xml:space="preserve"> </w:t>
      </w:r>
      <w:r>
        <w:rPr>
          <w:i/>
          <w:iCs/>
        </w:rPr>
        <w:t xml:space="preserve">ceteris paribus</w:t>
      </w:r>
      <w:r>
        <w:t xml:space="preserve"> </w:t>
      </w:r>
      <w:r>
        <w:t xml:space="preserve">— a cláusula que os economistas mais amam e os críticos mais detestam.</w:t>
      </w:r>
    </w:p>
    <w:p>
      <w:pPr>
        <w:pStyle w:val="BlockText"/>
      </w:pPr>
      <w:r>
        <w:rPr>
          <w:b/>
          <w:bCs/>
        </w:rPr>
        <w:t xml:space="preserve">Por que isso importa:</w:t>
      </w:r>
      <w:r>
        <w:t xml:space="preserve"> </w:t>
      </w:r>
      <w:r>
        <w:t xml:space="preserve">Sem ela, não poderíamos isolar o efeito de</w:t>
      </w:r>
      <w:r>
        <w:t xml:space="preserve"> </w:t>
      </w:r>
      <w:r>
        <w:rPr>
          <w:i/>
          <w:iCs/>
        </w:rPr>
        <w:t xml:space="preserve">uma</w:t>
      </w:r>
      <w:r>
        <w:t xml:space="preserve"> </w:t>
      </w:r>
      <w:r>
        <w:t xml:space="preserve">variável num mundo onde tudo se move ao mesmo tempo. Todo o Capítulo 5 (Cap. 5) (equação de Slutsky) depende da capacidade de separar efeitos.</w:t>
      </w:r>
    </w:p>
    <w:bookmarkEnd w:id="84"/>
    <w:bookmarkStart w:id="85" w:name="o-gradiente-e-a-diferencial-total"/>
    <w:p>
      <w:pPr>
        <w:pStyle w:val="Heading4"/>
      </w:pPr>
      <w:r>
        <w:t xml:space="preserve">O gradiente e a diferencial total</w:t>
      </w:r>
    </w:p>
    <w:p>
      <w:pPr>
        <w:pStyle w:val="FirstParagraph"/>
      </w:pPr>
      <w:r>
        <w:t xml:space="preserve">O vetor de todas as derivadas parciais é o</w:t>
      </w:r>
      <w:r>
        <w:t xml:space="preserve"> </w:t>
      </w:r>
      <w:r>
        <w:rPr>
          <w:b/>
          <w:bCs/>
        </w:rPr>
        <w:t xml:space="preserve">gradiente</w:t>
      </w:r>
      <w:r>
        <w:t xml:space="preserve">:</w:t>
      </w:r>
    </w:p>
    <w:p>
      <w:pPr>
        <w:pStyle w:val="BodyText"/>
      </w:pPr>
      <m:oMathPara>
        <m:oMathParaPr>
          <m:jc m:val="center"/>
        </m:oMathParaPr>
        <m:oMath>
          <m:r>
            <m:rPr>
              <m:sty m:val="p"/>
            </m:rPr>
            <m:t>∇</m:t>
          </m:r>
          <m:r>
            <m:t>f</m:t>
          </m:r>
          <m:r>
            <m:rPr>
              <m:sty m:val="p"/>
            </m:rPr>
            <m:t>(</m:t>
          </m:r>
          <m:r>
            <m:t>x</m:t>
          </m:r>
          <m:r>
            <m:rPr>
              <m:sty m:val="p"/>
            </m:rPr>
            <m:t>)</m:t>
          </m:r>
          <m:r>
            <m:rPr>
              <m:sty m:val="p"/>
            </m:rPr>
            <m:t>=</m:t>
          </m:r>
          <m:d>
            <m:dPr>
              <m:begChr m:val="("/>
              <m:sepChr m:val=""/>
              <m:endChr m:val=")"/>
              <m:grow/>
            </m:dPr>
            <m:e>
              <m:f>
                <m:fPr>
                  <m:type m:val="bar"/>
                </m:fPr>
                <m:num>
                  <m:r>
                    <m:rPr>
                      <m:sty m:val="p"/>
                    </m:rPr>
                    <m:t>∂</m:t>
                  </m:r>
                  <m:r>
                    <m:t>f</m:t>
                  </m:r>
                </m:num>
                <m:den>
                  <m:r>
                    <m:rPr>
                      <m:sty m:val="p"/>
                    </m:rPr>
                    <m:t>∂</m:t>
                  </m:r>
                  <m:sSub>
                    <m:e>
                      <m:r>
                        <m:t>x</m:t>
                      </m:r>
                    </m:e>
                    <m:sub>
                      <m:r>
                        <m:t>1</m:t>
                      </m:r>
                    </m:sub>
                  </m:sSub>
                </m:den>
              </m:f>
              <m:r>
                <m:rPr>
                  <m:sty m:val="p"/>
                </m:rPr>
                <m:t>,</m:t>
              </m:r>
              <m:f>
                <m:fPr>
                  <m:type m:val="bar"/>
                </m:fPr>
                <m:num>
                  <m:r>
                    <m:rPr>
                      <m:sty m:val="p"/>
                    </m:rPr>
                    <m:t>∂</m:t>
                  </m:r>
                  <m:r>
                    <m:t>f</m:t>
                  </m:r>
                </m:num>
                <m:den>
                  <m:r>
                    <m:rPr>
                      <m:sty m:val="p"/>
                    </m:rPr>
                    <m:t>∂</m:t>
                  </m:r>
                  <m:sSub>
                    <m:e>
                      <m:r>
                        <m:t>x</m:t>
                      </m:r>
                    </m:e>
                    <m:sub>
                      <m:r>
                        <m:t>2</m:t>
                      </m:r>
                    </m:sub>
                  </m:sSub>
                </m:den>
              </m:f>
              <m:r>
                <m:rPr>
                  <m:sty m:val="p"/>
                </m:rPr>
                <m:t>,</m:t>
              </m:r>
              <m:r>
                <m:rPr>
                  <m:sty m:val="p"/>
                </m:rPr>
                <m:t>…</m:t>
              </m:r>
              <m:r>
                <m:rPr>
                  <m:sty m:val="p"/>
                </m:rPr>
                <m:t>,</m:t>
              </m:r>
              <m:f>
                <m:fPr>
                  <m:type m:val="bar"/>
                </m:fPr>
                <m:num>
                  <m:r>
                    <m:rPr>
                      <m:sty m:val="p"/>
                    </m:rPr>
                    <m:t>∂</m:t>
                  </m:r>
                  <m:r>
                    <m:t>f</m:t>
                  </m:r>
                </m:num>
                <m:den>
                  <m:r>
                    <m:rPr>
                      <m:sty m:val="p"/>
                    </m:rPr>
                    <m:t>∂</m:t>
                  </m:r>
                  <m:sSub>
                    <m:e>
                      <m:r>
                        <m:t>x</m:t>
                      </m:r>
                    </m:e>
                    <m:sub>
                      <m:r>
                        <m:t>n</m:t>
                      </m:r>
                    </m:sub>
                  </m:sSub>
                </m:den>
              </m:f>
            </m:e>
          </m:d>
        </m:oMath>
      </m:oMathPara>
    </w:p>
    <w:p>
      <w:pPr>
        <w:pStyle w:val="FirstParagraph"/>
      </w:pPr>
      <w:r>
        <w:t xml:space="preserve">A</w:t>
      </w:r>
      <w:r>
        <w:t xml:space="preserve"> </w:t>
      </w:r>
      <w:r>
        <w:rPr>
          <w:b/>
          <w:bCs/>
        </w:rPr>
        <w:t xml:space="preserve">diferencial total</w:t>
      </w:r>
      <w:r>
        <w:t xml:space="preserve"> </w:t>
      </w:r>
      <w:r>
        <w:t xml:space="preserve">captura o efeito combinado de variações simultâneas em todas as variáveis:</w:t>
      </w:r>
    </w:p>
    <w:p>
      <w:pPr>
        <w:pStyle w:val="BodyText"/>
      </w:pPr>
      <w:r>
        <w:t xml:space="preserve">$$
    df = \sum_{i=1}^n \frac{\partial f}{\partial x_i} \, dx_i
    \label{eq:2.4} \tag{2.4}
    $$</w:t>
      </w:r>
    </w:p>
    <w:bookmarkEnd w:id="85"/>
    <w:bookmarkStart w:id="86" w:name="o-teorema-da-função-implícita-tfi"/>
    <w:p>
      <w:pPr>
        <w:pStyle w:val="Heading4"/>
      </w:pPr>
      <w:r>
        <w:t xml:space="preserve">O Teorema da Função Implícita (TFI)</w:t>
      </w:r>
    </w:p>
    <w:p>
      <w:pPr>
        <w:pStyle w:val="FirstParagraph"/>
      </w:pPr>
      <w:r>
        <w:t xml:space="preserve">Muitas relações econômicas são definidas</w:t>
      </w:r>
      <w:r>
        <w:t xml:space="preserve"> </w:t>
      </w:r>
      <w:r>
        <w:rPr>
          <w:i/>
          <w:iCs/>
        </w:rPr>
        <w:t xml:space="preserve">implicitamente</w:t>
      </w:r>
      <w:r>
        <w:t xml:space="preserve">. A curva de indiferença, por exemplo, é o conjunto de cestas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que satisfazem</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acc>
          <m:accPr>
            <m:chr m:val="‾"/>
          </m:accPr>
          <m:e>
            <m:r>
              <m:t>u</m:t>
            </m:r>
          </m:e>
        </m:acc>
      </m:oMath>
      <w:r>
        <w:t xml:space="preserve"> </w:t>
      </w:r>
      <w:r>
        <w:t xml:space="preserve">— ela não diz</w:t>
      </w:r>
      <w:r>
        <w:t xml:space="preserve"> </w:t>
      </w:r>
      <w:r>
        <w:t xml:space="preserve">“dado</w:t>
      </w:r>
      <w:r>
        <w:t xml:space="preserve"> </w:t>
      </w:r>
      <m:oMath>
        <m:sSub>
          <m:e>
            <m:r>
              <m:t>x</m:t>
            </m:r>
          </m:e>
          <m:sub>
            <m:r>
              <m:t>1</m:t>
            </m:r>
          </m:sub>
        </m:sSub>
      </m:oMath>
      <w:r>
        <w:t xml:space="preserve">, calcule</w:t>
      </w:r>
      <w:r>
        <w:t xml:space="preserve"> </w:t>
      </w:r>
      <m:oMath>
        <m:sSub>
          <m:e>
            <m:r>
              <m:t>x</m:t>
            </m:r>
          </m:e>
          <m:sub>
            <m:r>
              <m:t>2</m:t>
            </m:r>
          </m:sub>
        </m:sSub>
      </m:oMath>
      <w:r>
        <w:t xml:space="preserve">”</w:t>
      </w:r>
      <w:r>
        <w:t xml:space="preserve"> </w:t>
      </w:r>
      <w:r>
        <w:t xml:space="preserve">explicitamente. O TFI garante que, sob certas condições, podemos</w:t>
      </w:r>
      <w:r>
        <w:t xml:space="preserve"> </w:t>
      </w:r>
      <w:r>
        <w:rPr>
          <w:i/>
          <w:iCs/>
        </w:rPr>
        <w:t xml:space="preserve">tratar</w:t>
      </w:r>
      <w:r>
        <w:t xml:space="preserve"> </w:t>
      </w:r>
      <m:oMath>
        <m:sSub>
          <m:e>
            <m:r>
              <m:t>x</m:t>
            </m:r>
          </m:e>
          <m:sub>
            <m:r>
              <m:t>2</m:t>
            </m:r>
          </m:sub>
        </m:sSub>
      </m:oMath>
      <w:r>
        <w:t xml:space="preserve"> </w:t>
      </w:r>
      <w:r>
        <w:t xml:space="preserve">como função de</w:t>
      </w:r>
      <w:r>
        <w:t xml:space="preserve"> </w:t>
      </w:r>
      <m:oMath>
        <m:sSub>
          <m:e>
            <m:r>
              <m:t>x</m:t>
            </m:r>
          </m:e>
          <m:sub>
            <m:r>
              <m:t>1</m:t>
            </m:r>
          </m:sub>
        </m:sSub>
      </m:oMath>
      <w:r>
        <w:t xml:space="preserve">.</w:t>
      </w:r>
    </w:p>
    <w:p>
      <w:pPr>
        <w:pStyle w:val="BlockText"/>
      </w:pPr>
      <w:r>
        <w:rPr>
          <w:b/>
          <w:bCs/>
        </w:rPr>
        <w:t xml:space="preserve">[DEFINICAO] Teorema da Função Implícita</w:t>
      </w:r>
    </w:p>
    <w:p>
      <w:pPr>
        <w:pStyle w:val="BlockText"/>
      </w:pPr>
      <w:r>
        <w:t xml:space="preserve">Seja</w:t>
      </w:r>
      <w:r>
        <w:t xml:space="preserve"> </w:t>
      </w:r>
      <m:oMath>
        <m:r>
          <m:t>F</m:t>
        </m:r>
        <m:r>
          <m:rPr>
            <m:sty m:val="p"/>
          </m:rPr>
          <m:t>(</m:t>
        </m:r>
        <m:r>
          <m:t>x</m:t>
        </m:r>
        <m:r>
          <m:rPr>
            <m:sty m:val="p"/>
          </m:rPr>
          <m:t>,</m:t>
        </m:r>
        <m:r>
          <m:t>y</m:t>
        </m:r>
        <m:r>
          <m:rPr>
            <m:sty m:val="p"/>
          </m:rPr>
          <m:t>)</m:t>
        </m:r>
        <m:r>
          <m:rPr>
            <m:sty m:val="p"/>
          </m:rPr>
          <m:t>=</m:t>
        </m:r>
        <m:r>
          <m:t>0</m:t>
        </m:r>
      </m:oMath>
      <w:r>
        <w:t xml:space="preserve"> </w:t>
      </w:r>
      <w:r>
        <w:t xml:space="preserve">uma relação implícita com</w:t>
      </w:r>
      <w:r>
        <w:t xml:space="preserve"> </w:t>
      </w:r>
      <m:oMath>
        <m:r>
          <m:t>F</m:t>
        </m:r>
      </m:oMath>
      <w:r>
        <w:t xml:space="preserve"> </w:t>
      </w:r>
      <w:r>
        <w:t xml:space="preserve">continuamente diferenciável e</w:t>
      </w:r>
      <w:r>
        <w:t xml:space="preserve"> </w:t>
      </w:r>
      <m:oMath>
        <m:r>
          <m:rPr>
            <m:sty m:val="p"/>
          </m:rPr>
          <m:t>∂</m:t>
        </m:r>
        <m:r>
          <m:t>F</m:t>
        </m:r>
        <m:r>
          <m:rPr>
            <m:sty m:val="p"/>
          </m:rPr>
          <m:t>/</m:t>
        </m:r>
        <m:r>
          <m:rPr>
            <m:sty m:val="p"/>
          </m:rPr>
          <m:t>∂</m:t>
        </m:r>
        <m:r>
          <m:t>y</m:t>
        </m:r>
        <m:r>
          <m:rPr>
            <m:sty m:val="p"/>
          </m:rPr>
          <m:t>≠</m:t>
        </m:r>
        <m:r>
          <m:t>0</m:t>
        </m:r>
      </m:oMath>
      <w:r>
        <w:t xml:space="preserve">. Então, numa vizinhança do ponto,</w:t>
      </w:r>
      <w:r>
        <w:t xml:space="preserve"> </w:t>
      </w:r>
      <m:oMath>
        <m:r>
          <m:t>y</m:t>
        </m:r>
      </m:oMath>
      <w:r>
        <w:t xml:space="preserve"> </w:t>
      </w:r>
      <w:r>
        <w:t xml:space="preserve">é uma função implícita de</w:t>
      </w:r>
      <w:r>
        <w:t xml:space="preserve"> </w:t>
      </w:r>
      <m:oMath>
        <m:r>
          <m:t>x</m:t>
        </m:r>
      </m:oMath>
      <w:r>
        <w:t xml:space="preserve">, e:</w:t>
      </w:r>
    </w:p>
    <w:p>
      <w:pPr>
        <w:pStyle w:val="BlockText"/>
      </w:pPr>
      <m:oMathPara>
        <m:oMathParaPr>
          <m:jc m:val="center"/>
        </m:oMathParaPr>
        <m:oMath>
          <m:f>
            <m:fPr>
              <m:type m:val="bar"/>
            </m:fPr>
            <m:num>
              <m:r>
                <m:t>d</m:t>
              </m:r>
              <m:r>
                <m:t>y</m:t>
              </m:r>
            </m:num>
            <m:den>
              <m:r>
                <m:t>d</m:t>
              </m:r>
              <m:r>
                <m:t>x</m:t>
              </m:r>
            </m:den>
          </m:f>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y</m:t>
              </m:r>
            </m:den>
          </m:f>
        </m:oMath>
      </m:oMathPara>
    </w:p>
    <w:p>
      <w:pPr>
        <w:pStyle w:val="FirstParagraph"/>
      </w:pPr>
      <w:r>
        <w:rPr>
          <w:b/>
          <w:bCs/>
        </w:rPr>
        <w:t xml:space="preserve">Aplicação imediata — a TMS:</w:t>
      </w:r>
      <w:r>
        <w:t xml:space="preserve"> </w:t>
      </w:r>
      <w:r>
        <w:t xml:space="preserve">Na curva de indiferença</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acc>
          <m:accPr>
            <m:chr m:val="‾"/>
          </m:accPr>
          <m:e>
            <m:r>
              <m:t>u</m:t>
            </m:r>
          </m:e>
        </m:acc>
      </m:oMath>
      <w:r>
        <w:t xml:space="preserve">, o TFI dá:</w:t>
      </w:r>
    </w:p>
    <w:p>
      <w:pPr>
        <w:pStyle w:val="BodyText"/>
      </w:pPr>
      <m:oMathPara>
        <m:oMathParaPr>
          <m:jc m:val="center"/>
        </m:oMathParaPr>
        <m:oMath>
          <m:f>
            <m:fPr>
              <m:type m:val="bar"/>
            </m:fPr>
            <m:num>
              <m:r>
                <m:t>d</m:t>
              </m:r>
              <m:sSub>
                <m:e>
                  <m:r>
                    <m:t>x</m:t>
                  </m:r>
                </m:e>
                <m:sub>
                  <m:r>
                    <m:t>2</m:t>
                  </m:r>
                </m:sub>
              </m:sSub>
            </m:num>
            <m:den>
              <m:r>
                <m:t>d</m:t>
              </m:r>
              <m:sSub>
                <m:e>
                  <m:r>
                    <m:t>x</m:t>
                  </m:r>
                </m:e>
                <m:sub>
                  <m:r>
                    <m:t>1</m:t>
                  </m:r>
                </m:sub>
              </m:sSub>
            </m:den>
          </m:f>
          <m:sSub>
            <m:e>
              <m:r>
                <m:rPr>
                  <m:sty m:val="p"/>
                </m:rPr>
                <m:t>|</m:t>
              </m:r>
            </m:e>
            <m:sub>
              <m:r>
                <m:t>U</m:t>
              </m:r>
              <m:r>
                <m:rPr>
                  <m:sty m:val="p"/>
                </m:rPr>
                <m:t>=</m:t>
              </m:r>
              <m:acc>
                <m:accPr>
                  <m:chr m:val="‾"/>
                </m:accPr>
                <m:e>
                  <m:r>
                    <m:t>u</m:t>
                  </m:r>
                </m:e>
              </m:acc>
            </m:sub>
          </m:sSub>
          <m:r>
            <m:rPr>
              <m:sty m:val="p"/>
            </m:rPr>
            <m:t>=</m:t>
          </m:r>
          <m:r>
            <m:rPr>
              <m:sty m:val="p"/>
            </m:rPr>
            <m:t>−</m:t>
          </m:r>
          <m:f>
            <m:fPr>
              <m:type m:val="bar"/>
            </m:fPr>
            <m:num>
              <m:r>
                <m:rPr>
                  <m:sty m:val="p"/>
                </m:rPr>
                <m:t>∂</m:t>
              </m:r>
              <m:r>
                <m:t>U</m:t>
              </m:r>
              <m:r>
                <m:rPr>
                  <m:sty m:val="p"/>
                </m:rPr>
                <m:t>/</m:t>
              </m:r>
              <m:r>
                <m:rPr>
                  <m:sty m:val="p"/>
                </m:rPr>
                <m:t>∂</m:t>
              </m:r>
              <m:sSub>
                <m:e>
                  <m:r>
                    <m:t>x</m:t>
                  </m:r>
                </m:e>
                <m:sub>
                  <m:r>
                    <m:t>1</m:t>
                  </m:r>
                </m:sub>
              </m:sSub>
            </m:num>
            <m:den>
              <m:r>
                <m:rPr>
                  <m:sty m:val="p"/>
                </m:rPr>
                <m:t>∂</m:t>
              </m:r>
              <m:r>
                <m:t>U</m:t>
              </m:r>
              <m:r>
                <m:rPr>
                  <m:sty m:val="p"/>
                </m:rPr>
                <m:t>/</m:t>
              </m:r>
              <m:r>
                <m:rPr>
                  <m:sty m:val="p"/>
                </m:rPr>
                <m:t>∂</m:t>
              </m:r>
              <m:sSub>
                <m:e>
                  <m:r>
                    <m:t>x</m:t>
                  </m:r>
                </m:e>
                <m:sub>
                  <m:r>
                    <m:t>2</m:t>
                  </m:r>
                </m:sub>
              </m:sSub>
            </m:den>
          </m:f>
          <m:r>
            <m:rPr>
              <m:sty m:val="p"/>
            </m:rPr>
            <m:t>=</m:t>
          </m:r>
          <m:r>
            <m:rPr>
              <m:sty m:val="p"/>
            </m:rPr>
            <m:t>−</m:t>
          </m:r>
          <m:f>
            <m:fPr>
              <m:type m:val="bar"/>
            </m:fPr>
            <m:num>
              <m:r>
                <m:t>U</m:t>
              </m:r>
              <m:r>
                <m:t>M</m:t>
              </m:r>
              <m:sSub>
                <m:e>
                  <m:r>
                    <m:t>g</m:t>
                  </m:r>
                </m:e>
                <m:sub>
                  <m:r>
                    <m:t>1</m:t>
                  </m:r>
                </m:sub>
              </m:sSub>
            </m:num>
            <m:den>
              <m:r>
                <m:t>U</m:t>
              </m:r>
              <m:r>
                <m:t>M</m:t>
              </m:r>
              <m:sSub>
                <m:e>
                  <m:r>
                    <m:t>g</m:t>
                  </m:r>
                </m:e>
                <m:sub>
                  <m:r>
                    <m:t>2</m:t>
                  </m:r>
                </m:sub>
              </m:sSub>
            </m:den>
          </m:f>
        </m:oMath>
      </m:oMathPara>
    </w:p>
    <w:p>
      <w:pPr>
        <w:pStyle w:val="FirstParagraph"/>
      </w:pPr>
      <w:r>
        <w:t xml:space="preserve">Este é o resultado central da Seção 3.4 (Cap. 3): a taxa marginal de substituição é a razão das utilidades marginais, com sinal negativo.</w:t>
      </w:r>
    </w:p>
    <w:bookmarkEnd w:id="86"/>
    <w:bookmarkStart w:id="87" w:name="estática-comparativa-pelo-tfi"/>
    <w:p>
      <w:pPr>
        <w:pStyle w:val="Heading4"/>
      </w:pPr>
      <w:r>
        <w:t xml:space="preserve">Estática comparativa pelo TFI</w:t>
      </w:r>
    </w:p>
    <w:p>
      <w:pPr>
        <w:pStyle w:val="FirstParagraph"/>
      </w:pPr>
      <w:r>
        <w:t xml:space="preserve">A estática comparativa —</w:t>
      </w:r>
      <w:r>
        <w:t xml:space="preserve"> </w:t>
      </w:r>
      <w:r>
        <w:t xml:space="preserve">“como o ótimo muda quando um parâmetro muda?”</w:t>
      </w:r>
      <w:r>
        <w:t xml:space="preserve"> </w:t>
      </w:r>
      <w:r>
        <w:t xml:space="preserve">— é a principal aplicação do TFI em microeconomia. O procedimento é mecânico:</w:t>
      </w:r>
    </w:p>
    <w:p>
      <w:pPr>
        <w:pStyle w:val="Compact"/>
        <w:numPr>
          <w:ilvl w:val="0"/>
          <w:numId w:val="1063"/>
        </w:numPr>
      </w:pPr>
      <w:r>
        <w:t xml:space="preserve">Escreva a CPO como</w:t>
      </w:r>
      <w:r>
        <w:t xml:space="preserve"> </w:t>
      </w:r>
      <m:oMath>
        <m:r>
          <m:t>F</m:t>
        </m:r>
        <m:r>
          <m:rPr>
            <m:sty m:val="p"/>
          </m:rPr>
          <m:t>(</m:t>
        </m:r>
        <m:sSup>
          <m:e>
            <m:r>
              <m:t>x</m:t>
            </m:r>
          </m:e>
          <m:sup>
            <m:r>
              <m:rPr>
                <m:sty m:val="p"/>
              </m:rPr>
              <m:t>*</m:t>
            </m:r>
          </m:sup>
        </m:sSup>
        <m:r>
          <m:rPr>
            <m:sty m:val="p"/>
          </m:rPr>
          <m:t>,</m:t>
        </m:r>
        <m:r>
          <m:t>α</m:t>
        </m:r>
        <m:r>
          <m:rPr>
            <m:sty m:val="p"/>
          </m:rPr>
          <m:t>)</m:t>
        </m:r>
        <m:r>
          <m:rPr>
            <m:sty m:val="p"/>
          </m:rPr>
          <m:t>=</m:t>
        </m:r>
        <m:r>
          <m:t>0</m:t>
        </m:r>
      </m:oMath>
      <w:r>
        <w:t xml:space="preserve">, onde</w:t>
      </w:r>
      <w:r>
        <w:t xml:space="preserve"> </w:t>
      </w:r>
      <m:oMath>
        <m:r>
          <m:t>α</m:t>
        </m:r>
      </m:oMath>
      <w:r>
        <w:t xml:space="preserve"> </w:t>
      </w:r>
      <w:r>
        <w:t xml:space="preserve">é o parâmetro.</w:t>
      </w:r>
    </w:p>
    <w:p>
      <w:pPr>
        <w:pStyle w:val="Compact"/>
        <w:numPr>
          <w:ilvl w:val="0"/>
          <w:numId w:val="1063"/>
        </w:numPr>
      </w:pPr>
      <w:r>
        <w:t xml:space="preserve">Aplique o TFI:</w:t>
      </w:r>
      <w:r>
        <w:t xml:space="preserve"> </w:t>
      </w:r>
      <m:oMath>
        <m:f>
          <m:fPr>
            <m:type m:val="bar"/>
          </m:fPr>
          <m:num>
            <m:r>
              <m:t>d</m:t>
            </m:r>
            <m:sSup>
              <m:e>
                <m:r>
                  <m:t>x</m:t>
                </m:r>
              </m:e>
              <m:sup>
                <m:r>
                  <m:rPr>
                    <m:sty m:val="p"/>
                  </m:rPr>
                  <m:t>*</m:t>
                </m:r>
              </m:sup>
            </m:sSup>
          </m:num>
          <m:den>
            <m:r>
              <m:t>d</m:t>
            </m:r>
            <m:r>
              <m:t>α</m:t>
            </m:r>
          </m:den>
        </m:f>
        <m:r>
          <m:rPr>
            <m:sty m:val="p"/>
          </m:rPr>
          <m:t>=</m:t>
        </m:r>
        <m:r>
          <m:rPr>
            <m:sty m:val="p"/>
          </m:rPr>
          <m:t>−</m:t>
        </m:r>
        <m:f>
          <m:fPr>
            <m:type m:val="bar"/>
          </m:fPr>
          <m:num>
            <m:r>
              <m:rPr>
                <m:sty m:val="p"/>
              </m:rPr>
              <m:t>∂</m:t>
            </m:r>
            <m:r>
              <m:t>F</m:t>
            </m:r>
            <m:r>
              <m:rPr>
                <m:sty m:val="p"/>
              </m:rPr>
              <m:t>/</m:t>
            </m:r>
            <m:r>
              <m:rPr>
                <m:sty m:val="p"/>
              </m:rPr>
              <m:t>∂</m:t>
            </m:r>
            <m:r>
              <m:t>α</m:t>
            </m:r>
          </m:num>
          <m:den>
            <m:r>
              <m:rPr>
                <m:sty m:val="p"/>
              </m:rPr>
              <m:t>∂</m:t>
            </m:r>
            <m:r>
              <m:t>F</m:t>
            </m:r>
            <m:r>
              <m:rPr>
                <m:sty m:val="p"/>
              </m:rPr>
              <m:t>/</m:t>
            </m:r>
            <m:r>
              <m:rPr>
                <m:sty m:val="p"/>
              </m:rPr>
              <m:t>∂</m:t>
            </m:r>
            <m:sSup>
              <m:e>
                <m:r>
                  <m:t>x</m:t>
                </m:r>
              </m:e>
              <m:sup>
                <m:r>
                  <m:rPr>
                    <m:sty m:val="p"/>
                  </m:rPr>
                  <m:t>*</m:t>
                </m:r>
              </m:sup>
            </m:sSup>
          </m:den>
        </m:f>
      </m:oMath>
    </w:p>
    <w:p>
      <w:pPr>
        <w:pStyle w:val="Compact"/>
        <w:numPr>
          <w:ilvl w:val="0"/>
          <w:numId w:val="1063"/>
        </w:numPr>
      </w:pPr>
      <w:r>
        <w:t xml:space="preserve">Determine o sinal usando a CSO (que fixa o sinal do denominador).</w:t>
      </w:r>
    </w:p>
    <w:p>
      <w:pPr>
        <w:pStyle w:val="BlockText"/>
      </w:pPr>
      <w:r>
        <w:rPr>
          <w:b/>
          <w:bCs/>
        </w:rPr>
        <w:t xml:space="preserve">[EXEMPLO] Exemplo: Imposto sobre produção</w:t>
      </w:r>
    </w:p>
    <w:p>
      <w:pPr>
        <w:pStyle w:val="BlockText"/>
      </w:pPr>
      <w:r>
        <w:t xml:space="preserve">Firma com</w:t>
      </w:r>
      <w:r>
        <w:t xml:space="preserve"> </w:t>
      </w:r>
      <m:oMath>
        <m:r>
          <m:t>π</m:t>
        </m:r>
        <m:r>
          <m:rPr>
            <m:sty m:val="p"/>
          </m:rPr>
          <m:t>(</m:t>
        </m:r>
        <m:r>
          <m:t>q</m:t>
        </m:r>
        <m:r>
          <m:rPr>
            <m:sty m:val="p"/>
          </m:rPr>
          <m:t>;</m:t>
        </m:r>
        <m:r>
          <m:t>t</m:t>
        </m:r>
        <m:r>
          <m:rPr>
            <m:sty m:val="p"/>
          </m:rPr>
          <m:t>)</m:t>
        </m:r>
        <m:r>
          <m:rPr>
            <m:sty m:val="p"/>
          </m:rPr>
          <m:t>=</m:t>
        </m:r>
        <m:r>
          <m:t>p</m:t>
        </m:r>
        <m:r>
          <m:t>q</m:t>
        </m:r>
        <m:r>
          <m:rPr>
            <m:sty m:val="p"/>
          </m:rPr>
          <m:t>−</m:t>
        </m:r>
        <m:r>
          <m:t>C</m:t>
        </m:r>
        <m:r>
          <m:rPr>
            <m:sty m:val="p"/>
          </m:rPr>
          <m:t>(</m:t>
        </m:r>
        <m:r>
          <m:t>q</m:t>
        </m:r>
        <m:r>
          <m:rPr>
            <m:sty m:val="p"/>
          </m:rPr>
          <m:t>)</m:t>
        </m:r>
        <m:r>
          <m:rPr>
            <m:sty m:val="p"/>
          </m:rPr>
          <m:t>−</m:t>
        </m:r>
        <m:r>
          <m:t>t</m:t>
        </m:r>
        <m:r>
          <m:t>q</m:t>
        </m:r>
      </m:oMath>
      <w:r>
        <w:t xml:space="preserve">, onde</w:t>
      </w:r>
      <w:r>
        <w:t xml:space="preserve"> </w:t>
      </w:r>
      <m:oMath>
        <m:r>
          <m:t>t</m:t>
        </m:r>
      </m:oMath>
      <w:r>
        <w:t xml:space="preserve"> </w:t>
      </w:r>
      <w:r>
        <w:t xml:space="preserve">é o imposto por unidade.</w:t>
      </w:r>
    </w:p>
    <w:p>
      <w:pPr>
        <w:pStyle w:val="BlockText"/>
      </w:pPr>
      <w:r>
        <w:rPr>
          <w:b/>
          <w:bCs/>
        </w:rPr>
        <w:t xml:space="preserve">CPO:</w:t>
      </w:r>
      <w:r>
        <w:t xml:space="preserve"> </w:t>
      </w:r>
      <m:oMath>
        <m:r>
          <m:t>p</m:t>
        </m:r>
        <m:r>
          <m:rPr>
            <m:sty m:val="p"/>
          </m:rPr>
          <m:t>−</m:t>
        </m:r>
        <m:sSup>
          <m:e>
            <m:r>
              <m:t>C</m:t>
            </m:r>
          </m:e>
          <m:sup>
            <m:r>
              <m:rPr>
                <m:sty m:val="p"/>
              </m:rPr>
              <m:t>′</m:t>
            </m:r>
          </m:sup>
        </m:sSup>
        <m:r>
          <m:rPr>
            <m:sty m:val="p"/>
          </m:rPr>
          <m:t>(</m:t>
        </m:r>
        <m:sSup>
          <m:e>
            <m:r>
              <m:t>q</m:t>
            </m:r>
          </m:e>
          <m:sup>
            <m:r>
              <m:rPr>
                <m:sty m:val="p"/>
              </m:rPr>
              <m:t>*</m:t>
            </m:r>
          </m:sup>
        </m:sSup>
        <m:r>
          <m:rPr>
            <m:sty m:val="p"/>
          </m:rPr>
          <m:t>)</m:t>
        </m:r>
        <m:r>
          <m:rPr>
            <m:sty m:val="p"/>
          </m:rPr>
          <m:t>−</m:t>
        </m:r>
        <m:r>
          <m:t>t</m:t>
        </m:r>
        <m:r>
          <m:rPr>
            <m:sty m:val="p"/>
          </m:rPr>
          <m:t>=</m:t>
        </m:r>
        <m:r>
          <m:t>0</m:t>
        </m:r>
        <m:r>
          <m:rPr>
            <m:sty m:val="p"/>
          </m:rPr>
          <m:t>⇒</m:t>
        </m:r>
        <m:r>
          <m:t>F</m:t>
        </m:r>
        <m:r>
          <m:rPr>
            <m:sty m:val="p"/>
          </m:rPr>
          <m:t>(</m:t>
        </m:r>
        <m:sSup>
          <m:e>
            <m:r>
              <m:t>q</m:t>
            </m:r>
          </m:e>
          <m:sup>
            <m:r>
              <m:rPr>
                <m:sty m:val="p"/>
              </m:rPr>
              <m:t>*</m:t>
            </m:r>
          </m:sup>
        </m:sSup>
        <m:r>
          <m:rPr>
            <m:sty m:val="p"/>
          </m:rPr>
          <m:t>,</m:t>
        </m:r>
        <m:r>
          <m:t>t</m:t>
        </m:r>
        <m:r>
          <m:rPr>
            <m:sty m:val="p"/>
          </m:rPr>
          <m:t>)</m:t>
        </m:r>
        <m:r>
          <m:rPr>
            <m:sty m:val="p"/>
          </m:rPr>
          <m:t>=</m:t>
        </m:r>
        <m:r>
          <m:t>p</m:t>
        </m:r>
        <m:r>
          <m:rPr>
            <m:sty m:val="p"/>
          </m:rPr>
          <m:t>−</m:t>
        </m:r>
        <m:sSup>
          <m:e>
            <m:r>
              <m:t>C</m:t>
            </m:r>
          </m:e>
          <m:sup>
            <m:r>
              <m:rPr>
                <m:sty m:val="p"/>
              </m:rPr>
              <m:t>′</m:t>
            </m:r>
          </m:sup>
        </m:sSup>
        <m:r>
          <m:rPr>
            <m:sty m:val="p"/>
          </m:rPr>
          <m:t>(</m:t>
        </m:r>
        <m:sSup>
          <m:e>
            <m:r>
              <m:t>q</m:t>
            </m:r>
          </m:e>
          <m:sup>
            <m:r>
              <m:rPr>
                <m:sty m:val="p"/>
              </m:rPr>
              <m:t>*</m:t>
            </m:r>
          </m:sup>
        </m:sSup>
        <m:r>
          <m:rPr>
            <m:sty m:val="p"/>
          </m:rPr>
          <m:t>)</m:t>
        </m:r>
        <m:r>
          <m:rPr>
            <m:sty m:val="p"/>
          </m:rPr>
          <m:t>−</m:t>
        </m:r>
        <m:r>
          <m:t>t</m:t>
        </m:r>
        <m:r>
          <m:rPr>
            <m:sty m:val="p"/>
          </m:rPr>
          <m:t>=</m:t>
        </m:r>
        <m:r>
          <m:t>0</m:t>
        </m:r>
      </m:oMath>
    </w:p>
    <w:p>
      <w:pPr>
        <w:pStyle w:val="BlockText"/>
      </w:pPr>
      <w:r>
        <w:rPr>
          <w:b/>
          <w:bCs/>
        </w:rPr>
        <w:t xml:space="preserve">TFI:</w:t>
      </w:r>
      <w:r>
        <w:t xml:space="preserve"> </w:t>
      </w:r>
      <m:oMath>
        <m:f>
          <m:fPr>
            <m:type m:val="bar"/>
          </m:fPr>
          <m:num>
            <m:r>
              <m:t>d</m:t>
            </m:r>
            <m:sSup>
              <m:e>
                <m:r>
                  <m:t>q</m:t>
                </m:r>
              </m:e>
              <m:sup>
                <m:r>
                  <m:rPr>
                    <m:sty m:val="p"/>
                  </m:rPr>
                  <m:t>*</m:t>
                </m:r>
              </m:sup>
            </m:sSup>
          </m:num>
          <m:den>
            <m:r>
              <m:t>d</m:t>
            </m:r>
            <m:r>
              <m:t>t</m:t>
            </m:r>
          </m:den>
        </m:f>
        <m:r>
          <m:rPr>
            <m:sty m:val="p"/>
          </m:rPr>
          <m:t>=</m:t>
        </m:r>
        <m:r>
          <m:rPr>
            <m:sty m:val="p"/>
          </m:rPr>
          <m:t>−</m:t>
        </m:r>
        <m:f>
          <m:fPr>
            <m:type m:val="bar"/>
          </m:fPr>
          <m:num>
            <m:r>
              <m:rPr>
                <m:sty m:val="p"/>
              </m:rPr>
              <m:t>∂</m:t>
            </m:r>
            <m:r>
              <m:t>F</m:t>
            </m:r>
            <m:r>
              <m:rPr>
                <m:sty m:val="p"/>
              </m:rPr>
              <m:t>/</m:t>
            </m:r>
            <m:r>
              <m:rPr>
                <m:sty m:val="p"/>
              </m:rPr>
              <m:t>∂</m:t>
            </m:r>
            <m:r>
              <m:t>t</m:t>
            </m:r>
          </m:num>
          <m:den>
            <m:r>
              <m:rPr>
                <m:sty m:val="p"/>
              </m:rPr>
              <m:t>∂</m:t>
            </m:r>
            <m:r>
              <m:t>F</m:t>
            </m:r>
            <m:r>
              <m:rPr>
                <m:sty m:val="p"/>
              </m:rPr>
              <m:t>/</m:t>
            </m:r>
            <m:r>
              <m:rPr>
                <m:sty m:val="p"/>
              </m:rPr>
              <m:t>∂</m:t>
            </m:r>
            <m:sSup>
              <m:e>
                <m:r>
                  <m:t>q</m:t>
                </m:r>
              </m:e>
              <m:sup>
                <m:r>
                  <m:rPr>
                    <m:sty m:val="p"/>
                  </m:rPr>
                  <m:t>*</m:t>
                </m:r>
              </m:sup>
            </m:sSup>
          </m:den>
        </m:f>
        <m:r>
          <m:rPr>
            <m:sty m:val="p"/>
          </m:rPr>
          <m:t>=</m:t>
        </m:r>
        <m:r>
          <m:rPr>
            <m:sty m:val="p"/>
          </m:rPr>
          <m:t>−</m:t>
        </m:r>
        <m:f>
          <m:fPr>
            <m:type m:val="bar"/>
          </m:fPr>
          <m:num>
            <m:r>
              <m:rPr>
                <m:sty m:val="p"/>
              </m:rPr>
              <m:t>−</m:t>
            </m:r>
            <m:r>
              <m:t>1</m:t>
            </m:r>
          </m:num>
          <m:den>
            <m:r>
              <m:rPr>
                <m:sty m:val="p"/>
              </m:rPr>
              <m:t>−</m:t>
            </m:r>
            <m:sSup>
              <m:e>
                <m:r>
                  <m:t>C</m:t>
                </m:r>
              </m:e>
              <m:sup>
                <m:r>
                  <m:rPr>
                    <m:sty m:val="p"/>
                  </m:rPr>
                  <m:t>″</m:t>
                </m:r>
              </m:sup>
            </m:sSup>
            <m:r>
              <m:rPr>
                <m:sty m:val="p"/>
              </m:rPr>
              <m:t>(</m:t>
            </m:r>
            <m:sSup>
              <m:e>
                <m:r>
                  <m:t>q</m:t>
                </m:r>
              </m:e>
              <m:sup>
                <m:r>
                  <m:rPr>
                    <m:sty m:val="p"/>
                  </m:rPr>
                  <m:t>*</m:t>
                </m:r>
              </m:sup>
            </m:sSup>
            <m:r>
              <m:rPr>
                <m:sty m:val="p"/>
              </m:rPr>
              <m:t>)</m:t>
            </m:r>
          </m:den>
        </m:f>
        <m:r>
          <m:rPr>
            <m:sty m:val="p"/>
          </m:rPr>
          <m:t>=</m:t>
        </m:r>
        <m:f>
          <m:fPr>
            <m:type m:val="bar"/>
          </m:fPr>
          <m:num>
            <m:r>
              <m:rPr>
                <m:sty m:val="p"/>
              </m:rPr>
              <m:t>−</m:t>
            </m:r>
            <m:r>
              <m:t>1</m:t>
            </m:r>
          </m:num>
          <m:den>
            <m:sSup>
              <m:e>
                <m:r>
                  <m:t>C</m:t>
                </m:r>
              </m:e>
              <m:sup>
                <m:r>
                  <m:rPr>
                    <m:sty m:val="p"/>
                  </m:rPr>
                  <m:t>″</m:t>
                </m:r>
              </m:sup>
            </m:sSup>
            <m:r>
              <m:rPr>
                <m:sty m:val="p"/>
              </m:rPr>
              <m:t>(</m:t>
            </m:r>
            <m:sSup>
              <m:e>
                <m:r>
                  <m:t>q</m:t>
                </m:r>
              </m:e>
              <m:sup>
                <m:r>
                  <m:rPr>
                    <m:sty m:val="p"/>
                  </m:rPr>
                  <m:t>*</m:t>
                </m:r>
              </m:sup>
            </m:sSup>
            <m:r>
              <m:rPr>
                <m:sty m:val="p"/>
              </m:rPr>
              <m:t>)</m:t>
            </m:r>
          </m:den>
        </m:f>
      </m:oMath>
    </w:p>
    <w:p>
      <w:pPr>
        <w:pStyle w:val="BlockText"/>
      </w:pPr>
      <w:r>
        <w:t xml:space="preserve">Se</w:t>
      </w:r>
      <w:r>
        <w:t xml:space="preserve"> </w:t>
      </w:r>
      <m:oMath>
        <m:sSup>
          <m:e>
            <m:r>
              <m:t>C</m:t>
            </m:r>
          </m:e>
          <m:sup>
            <m:r>
              <m:rPr>
                <m:sty m:val="p"/>
              </m:rPr>
              <m:t>″</m:t>
            </m:r>
          </m:sup>
        </m:sSup>
        <m:r>
          <m:rPr>
            <m:sty m:val="p"/>
          </m:rPr>
          <m:t>(</m:t>
        </m:r>
        <m:sSup>
          <m:e>
            <m:r>
              <m:t>q</m:t>
            </m:r>
          </m:e>
          <m:sup>
            <m:r>
              <m:rPr>
                <m:sty m:val="p"/>
              </m:rPr>
              <m:t>*</m:t>
            </m:r>
          </m:sup>
        </m:sSup>
        <m:r>
          <m:rPr>
            <m:sty m:val="p"/>
          </m:rPr>
          <m:t>)</m:t>
        </m:r>
        <m:r>
          <m:rPr>
            <m:sty m:val="p"/>
          </m:rPr>
          <m:t>&gt;</m:t>
        </m:r>
        <m:r>
          <m:t>0</m:t>
        </m:r>
      </m:oMath>
      <w:r>
        <w:t xml:space="preserve"> </w:t>
      </w:r>
      <w:r>
        <w:t xml:space="preserve">(custo marginal crescente — CSO), então</w:t>
      </w:r>
      <w:r>
        <w:t xml:space="preserve"> </w:t>
      </w:r>
      <m:oMath>
        <m:r>
          <m:t>d</m:t>
        </m:r>
        <m:sSup>
          <m:e>
            <m:r>
              <m:t>q</m:t>
            </m:r>
          </m:e>
          <m:sup>
            <m:r>
              <m:rPr>
                <m:sty m:val="p"/>
              </m:rPr>
              <m:t>*</m:t>
            </m:r>
          </m:sup>
        </m:sSup>
        <m:r>
          <m:rPr>
            <m:sty m:val="p"/>
          </m:rPr>
          <m:t>/</m:t>
        </m:r>
        <m:r>
          <m:t>d</m:t>
        </m:r>
        <m:r>
          <m:t>t</m:t>
        </m:r>
        <m:r>
          <m:rPr>
            <m:sty m:val="p"/>
          </m:rPr>
          <m:t>&lt;</m:t>
        </m:r>
        <m:r>
          <m:t>0</m:t>
        </m:r>
      </m:oMath>
      <w:r>
        <w:t xml:space="preserve">: o imposto</w:t>
      </w:r>
      <w:r>
        <w:t xml:space="preserve"> </w:t>
      </w:r>
      <w:r>
        <w:rPr>
          <w:b/>
          <w:bCs/>
        </w:rPr>
        <w:t xml:space="preserve">reduz</w:t>
      </w:r>
      <w:r>
        <w:t xml:space="preserve"> </w:t>
      </w:r>
      <w:r>
        <w:t xml:space="preserve">a produção. O resultado antecipa a análise de incidência tributária do Capítulo 13 (Cap. 13).</w:t>
      </w:r>
    </w:p>
    <w:p>
      <w:pPr>
        <w:pStyle w:val="BlockText"/>
      </w:pPr>
      <w:r>
        <w:rPr>
          <w:b/>
          <w:bCs/>
        </w:rPr>
        <w:t xml:space="preserve">[BRASIL] Estática Comparativa na Bomba: Gasolina vs. Etanol</w:t>
      </w:r>
    </w:p>
    <w:p>
      <w:pPr>
        <w:pStyle w:val="BlockText"/>
      </w:pPr>
      <w:r>
        <w:rPr>
          <w:b/>
          <w:bCs/>
        </w:rPr>
        <w:t xml:space="preserve">Aplicação com dados reais.</w:t>
      </w:r>
      <w:r>
        <w:t xml:space="preserve"> </w:t>
      </w:r>
      <w:r>
        <w:t xml:space="preserve">No Brasil, a regra prática do consumidor na bomba de combustível é: abasteça com etanol se o preço do etanol for menor que 70% do preço da gasolina (pois o etanol rende ~70% da quilometragem). Formalize: seja</w:t>
      </w:r>
      <w:r>
        <w:t xml:space="preserve"> </w:t>
      </w:r>
      <m:oMath>
        <m:sSubSup>
          <m:e>
            <m:r>
              <m:t>q</m:t>
            </m:r>
          </m:e>
          <m:sub>
            <m:r>
              <m:t>E</m:t>
            </m:r>
          </m:sub>
          <m:sup>
            <m:r>
              <m:rPr>
                <m:sty m:val="p"/>
              </m:rPr>
              <m:t>*</m:t>
            </m:r>
          </m:sup>
        </m:sSubSup>
        <m:r>
          <m:rPr>
            <m:sty m:val="p"/>
          </m:rPr>
          <m:t>(</m:t>
        </m:r>
        <m:sSub>
          <m:e>
            <m:r>
              <m:t>p</m:t>
            </m:r>
          </m:e>
          <m:sub>
            <m:r>
              <m:t>E</m:t>
            </m:r>
          </m:sub>
        </m:sSub>
        <m:r>
          <m:rPr>
            <m:sty m:val="p"/>
          </m:rPr>
          <m:t>,</m:t>
        </m:r>
        <m:sSub>
          <m:e>
            <m:r>
              <m:t>p</m:t>
            </m:r>
          </m:e>
          <m:sub>
            <m:r>
              <m:t>G</m:t>
            </m:r>
          </m:sub>
        </m:sSub>
        <m:r>
          <m:rPr>
            <m:sty m:val="p"/>
          </m:rPr>
          <m:t>)</m:t>
        </m:r>
      </m:oMath>
      <w:r>
        <w:t xml:space="preserve"> </w:t>
      </w:r>
      <w:r>
        <w:t xml:space="preserve">a demanda por etanol.</w:t>
      </w:r>
    </w:p>
    <w:p>
      <w:pPr>
        <w:pStyle w:val="BlockText"/>
      </w:pPr>
      <w:r>
        <w:t xml:space="preserve">A estática comparativa via TFI nos diz que</w:t>
      </w:r>
      <w:r>
        <w:t xml:space="preserve"> </w:t>
      </w:r>
      <m:oMath>
        <m:r>
          <m:rPr>
            <m:sty m:val="p"/>
          </m:rPr>
          <m:t>∂</m:t>
        </m:r>
        <m:sSubSup>
          <m:e>
            <m:r>
              <m:t>q</m:t>
            </m:r>
          </m:e>
          <m:sub>
            <m:r>
              <m:t>E</m:t>
            </m:r>
          </m:sub>
          <m:sup>
            <m:r>
              <m:rPr>
                <m:sty m:val="p"/>
              </m:rPr>
              <m:t>*</m:t>
            </m:r>
          </m:sup>
        </m:sSubSup>
        <m:r>
          <m:rPr>
            <m:sty m:val="p"/>
          </m:rPr>
          <m:t>/</m:t>
        </m:r>
        <m:r>
          <m:rPr>
            <m:sty m:val="p"/>
          </m:rPr>
          <m:t>∂</m:t>
        </m:r>
        <m:sSub>
          <m:e>
            <m:r>
              <m:t>p</m:t>
            </m:r>
          </m:e>
          <m:sub>
            <m:r>
              <m:t>G</m:t>
            </m:r>
          </m:sub>
        </m:sSub>
        <m:r>
          <m:rPr>
            <m:sty m:val="p"/>
          </m:rPr>
          <m:t>&gt;</m:t>
        </m:r>
        <m:r>
          <m:t>0</m:t>
        </m:r>
      </m:oMath>
      <w:r>
        <w:t xml:space="preserve"> </w:t>
      </w:r>
      <w:r>
        <w:t xml:space="preserve">(gasolina e etanol são substitutos: quando a gasolina sobe, a demanda por etanol cresce). Dados da ANP mostram que em julho de 2022, quando a gasolina atingiu R$ 7,39/litro (preço médio nacional), a participação do etanol nas vendas de combustíveis de ciclo Otto saltou de 34% para 41% em dois meses — exatamente o sinal que a estática comparativa prevê.</w:t>
      </w:r>
    </w:p>
    <w:p>
      <w:pPr>
        <w:pStyle w:val="BlockText"/>
      </w:pPr>
      <w:r>
        <w:t xml:space="preserve">O exercício completo, com dados da ANP por estado e estimação de</w:t>
      </w:r>
      <w:r>
        <w:t xml:space="preserve"> </w:t>
      </w:r>
      <m:oMath>
        <m:r>
          <m:rPr>
            <m:sty m:val="p"/>
          </m:rPr>
          <m:t>∂</m:t>
        </m:r>
        <m:sSubSup>
          <m:e>
            <m:r>
              <m:t>q</m:t>
            </m:r>
          </m:e>
          <m:sub>
            <m:r>
              <m:t>E</m:t>
            </m:r>
          </m:sub>
          <m:sup>
            <m:r>
              <m:rPr>
                <m:sty m:val="p"/>
              </m:rPr>
              <m:t>*</m:t>
            </m:r>
          </m:sup>
        </m:sSubSup>
        <m:r>
          <m:rPr>
            <m:sty m:val="p"/>
          </m:rPr>
          <m:t>/</m:t>
        </m:r>
        <m:r>
          <m:rPr>
            <m:sty m:val="p"/>
          </m:rPr>
          <m:t>∂</m:t>
        </m:r>
        <m:sSub>
          <m:e>
            <m:r>
              <m:t>p</m:t>
            </m:r>
          </m:e>
          <m:sub>
            <m:r>
              <m:t>G</m:t>
            </m:r>
          </m:sub>
        </m:sSub>
      </m:oMath>
      <w:r>
        <w:t xml:space="preserve"> </w:t>
      </w:r>
      <w:r>
        <w:t xml:space="preserve">usando séries temporais, está no Notebook N12.</w:t>
      </w:r>
    </w:p>
    <w:p>
      <w:pPr>
        <w:pStyle w:val="BlockText"/>
      </w:pPr>
      <w:r>
        <w:rPr>
          <w:b/>
          <w:bCs/>
        </w:rPr>
        <w:t xml:space="preserve">Fonte:</w:t>
      </w:r>
      <w:r>
        <w:t xml:space="preserve"> </w:t>
      </w:r>
      <w:r>
        <w:t xml:space="preserve">ANP — Série histórica de preços de combustíveis (dados abertos).</w:t>
      </w:r>
    </w:p>
    <w:p>
      <w:r>
        <w:pict>
          <v:rect style="width:0;height:1.5pt" o:hralign="center" o:hrstd="t" o:hr="t"/>
        </w:pict>
      </w:r>
    </w:p>
    <w:bookmarkEnd w:id="87"/>
    <w:bookmarkEnd w:id="88"/>
    <w:bookmarkStart w:id="92" w:name="X435a6cdd786300dff204ee7c2ef942d3e9034e2"/>
    <w:p>
      <w:pPr>
        <w:pStyle w:val="Heading3"/>
      </w:pPr>
      <w:r>
        <w:t xml:space="preserve">2.3 Otimização Multivariada: A Hessiana</w:t>
      </w:r>
    </w:p>
    <w:p>
      <w:pPr>
        <w:pStyle w:val="FirstParagraph"/>
      </w:pPr>
      <w:r>
        <w:t xml:space="preserve">Quando a função objetivo depende de</w:t>
      </w:r>
      <w:r>
        <w:t xml:space="preserve"> </w:t>
      </w:r>
      <m:oMath>
        <m:r>
          <m:t>n</m:t>
        </m:r>
      </m:oMath>
      <w:r>
        <w:t xml:space="preserve"> </w:t>
      </w:r>
      <w:r>
        <w:t xml:space="preserve">variáveis, a CPO se torna um sistema de</w:t>
      </w:r>
      <w:r>
        <w:t xml:space="preserve"> </w:t>
      </w:r>
      <m:oMath>
        <m:r>
          <m:t>n</m:t>
        </m:r>
      </m:oMath>
      <w:r>
        <w:t xml:space="preserve"> </w:t>
      </w:r>
      <w:r>
        <w:t xml:space="preserve">equações e a CSO envolve a</w:t>
      </w:r>
      <w:r>
        <w:t xml:space="preserve"> </w:t>
      </w:r>
      <w:r>
        <w:rPr>
          <w:b/>
          <w:bCs/>
        </w:rPr>
        <w:t xml:space="preserve">matriz Hessiana</w:t>
      </w:r>
      <w:r>
        <w:t xml:space="preserve">.</w:t>
      </w:r>
    </w:p>
    <w:bookmarkStart w:id="89" w:name="cpo-multivariada"/>
    <w:p>
      <w:pPr>
        <w:pStyle w:val="Heading4"/>
      </w:pPr>
      <w:r>
        <w:t xml:space="preserve">CPO multivariada</w:t>
      </w:r>
    </w:p>
    <w:p>
      <w:pPr>
        <w:pStyle w:val="BlockText"/>
      </w:pPr>
      <w:r>
        <w:rPr>
          <w:b/>
          <w:bCs/>
        </w:rPr>
        <w:t xml:space="preserve">[DEFINICAO] CPO — Caso Multivariado</w:t>
      </w:r>
    </w:p>
    <w:p>
      <w:pPr>
        <w:pStyle w:val="BlockText"/>
      </w:pPr>
      <w:r>
        <w:t xml:space="preserve">Seja</w:t>
      </w:r>
      <w:r>
        <w:t xml:space="preserve"> </w:t>
      </w:r>
      <m:oMath>
        <m:r>
          <m:t>f</m:t>
        </m:r>
        <m:r>
          <m:rPr>
            <m:sty m:val="p"/>
          </m:rPr>
          <m:t>:</m:t>
        </m:r>
        <m:sSup>
          <m:e>
            <m:r>
              <m:rPr>
                <m:scr m:val="double-struck"/>
                <m:sty m:val="p"/>
              </m:rPr>
              <m:t>R</m:t>
            </m:r>
          </m:e>
          <m:sup>
            <m:r>
              <m:t>n</m:t>
            </m:r>
          </m:sup>
        </m:sSup>
        <m:r>
          <m:rPr>
            <m:sty m:val="p"/>
          </m:rPr>
          <m:t>→</m:t>
        </m:r>
        <m:r>
          <m:rPr>
            <m:scr m:val="double-struck"/>
            <m:sty m:val="p"/>
          </m:rPr>
          <m:t>R</m:t>
        </m:r>
      </m:oMath>
      <w:r>
        <w:t xml:space="preserve"> </w:t>
      </w:r>
      <w:r>
        <w:t xml:space="preserve">diferenciável. Se</w:t>
      </w:r>
      <w:r>
        <w:t xml:space="preserve"> </w:t>
      </w:r>
      <m:oMath>
        <m:sSup>
          <m:e>
            <m:r>
              <m:t>x</m:t>
            </m:r>
          </m:e>
          <m:sup>
            <m:r>
              <m:rPr>
                <m:sty m:val="p"/>
              </m:rPr>
              <m:t>*</m:t>
            </m:r>
          </m:sup>
        </m:sSup>
        <m:r>
          <m:rPr>
            <m:sty m:val="p"/>
          </m:rPr>
          <m:t>=</m:t>
        </m:r>
        <m:r>
          <m:rPr>
            <m:sty m:val="p"/>
          </m:rPr>
          <m:t>(</m:t>
        </m:r>
        <m:sSubSup>
          <m:e>
            <m:r>
              <m:t>x</m:t>
            </m:r>
          </m:e>
          <m:sub>
            <m:r>
              <m:t>1</m:t>
            </m:r>
          </m:sub>
          <m:sup>
            <m:r>
              <m:rPr>
                <m:sty m:val="p"/>
              </m:rPr>
              <m:t>*</m:t>
            </m:r>
          </m:sup>
        </m:sSubSup>
        <m:r>
          <m:rPr>
            <m:sty m:val="p"/>
          </m:rPr>
          <m:t>,</m:t>
        </m:r>
        <m:r>
          <m:rPr>
            <m:sty m:val="p"/>
          </m:rPr>
          <m:t>…</m:t>
        </m:r>
        <m:r>
          <m:rPr>
            <m:sty m:val="p"/>
          </m:rPr>
          <m:t>,</m:t>
        </m:r>
        <m:sSubSup>
          <m:e>
            <m:r>
              <m:t>x</m:t>
            </m:r>
          </m:e>
          <m:sub>
            <m:r>
              <m:t>n</m:t>
            </m:r>
          </m:sub>
          <m:sup>
            <m:r>
              <m:rPr>
                <m:sty m:val="p"/>
              </m:rPr>
              <m:t>*</m:t>
            </m:r>
          </m:sup>
        </m:sSubSup>
        <m:r>
          <m:rPr>
            <m:sty m:val="p"/>
          </m:rPr>
          <m:t>)</m:t>
        </m:r>
      </m:oMath>
      <w:r>
        <w:t xml:space="preserve"> </w:t>
      </w:r>
      <w:r>
        <w:t xml:space="preserve">é um extremo interior:</w:t>
      </w:r>
    </w:p>
    <w:p>
      <w:pPr>
        <w:pStyle w:val="BlockText"/>
      </w:pPr>
      <w:r>
        <w:t xml:space="preserve">$$
    \frac{\partial f}{\partial x_i}(x^*) = 0, \quad i = 1, \ldots, n
    \label{eq:2.6} \tag{2.6}
    $$</w:t>
      </w:r>
    </w:p>
    <w:p>
      <w:pPr>
        <w:pStyle w:val="BlockText"/>
      </w:pPr>
      <w:r>
        <w:t xml:space="preserve">Equivalentemente,</w:t>
      </w:r>
      <w:r>
        <w:t xml:space="preserve"> </w:t>
      </w:r>
      <m:oMath>
        <m:r>
          <m:rPr>
            <m:sty m:val="p"/>
          </m:rPr>
          <m:t>∇</m:t>
        </m:r>
        <m:r>
          <m:t>f</m:t>
        </m:r>
        <m:r>
          <m:rPr>
            <m:sty m:val="p"/>
          </m:rPr>
          <m:t>(</m:t>
        </m:r>
        <m:sSup>
          <m:e>
            <m:r>
              <m:t>x</m:t>
            </m:r>
          </m:e>
          <m:sup>
            <m:r>
              <m:rPr>
                <m:sty m:val="p"/>
              </m:rPr>
              <m:t>*</m:t>
            </m:r>
          </m:sup>
        </m:sSup>
        <m:r>
          <m:rPr>
            <m:sty m:val="p"/>
          </m:rPr>
          <m:t>)</m:t>
        </m:r>
        <m:r>
          <m:rPr>
            <m:sty m:val="p"/>
          </m:rPr>
          <m:t>=</m:t>
        </m:r>
        <m:r>
          <m:rPr>
            <m:sty m:val="b"/>
          </m:rPr>
          <m:t>0</m:t>
        </m:r>
      </m:oMath>
      <w:r>
        <w:t xml:space="preserve">.</w:t>
      </w:r>
    </w:p>
    <w:bookmarkEnd w:id="89"/>
    <w:bookmarkStart w:id="90" w:name="a-matriz-hessiana"/>
    <w:p>
      <w:pPr>
        <w:pStyle w:val="Heading4"/>
      </w:pPr>
      <w:r>
        <w:t xml:space="preserve">A matriz Hessiana</w:t>
      </w:r>
    </w:p>
    <w:p>
      <w:pPr>
        <w:pStyle w:val="BlockText"/>
      </w:pPr>
      <w:r>
        <w:rPr>
          <w:b/>
          <w:bCs/>
        </w:rPr>
        <w:t xml:space="preserve">[DEFINICAO] Matriz Hessiana</w:t>
      </w:r>
    </w:p>
    <w:p>
      <w:pPr>
        <w:pStyle w:val="BlockText"/>
      </w:pPr>
      <w:r>
        <w:t xml:space="preserve">A</w:t>
      </w:r>
      <w:r>
        <w:t xml:space="preserve"> </w:t>
      </w:r>
      <w:r>
        <w:rPr>
          <w:b/>
          <w:bCs/>
        </w:rPr>
        <w:t xml:space="preserve">Hessiana</w:t>
      </w:r>
      <w:r>
        <w:t xml:space="preserve"> </w:t>
      </w:r>
      <w:r>
        <w:t xml:space="preserve">de</w:t>
      </w:r>
      <w:r>
        <w:t xml:space="preserve"> </w:t>
      </w:r>
      <m:oMath>
        <m:r>
          <m:t>f</m:t>
        </m:r>
      </m:oMath>
      <w:r>
        <w:t xml:space="preserve"> </w:t>
      </w:r>
      <w:r>
        <w:t xml:space="preserve">em</w:t>
      </w:r>
      <w:r>
        <w:t xml:space="preserve"> </w:t>
      </w:r>
      <m:oMath>
        <m:r>
          <m:t>x</m:t>
        </m:r>
      </m:oMath>
      <w:r>
        <w:t xml:space="preserve"> </w:t>
      </w:r>
      <w:r>
        <w:t xml:space="preserve">é a matriz</w:t>
      </w:r>
      <w:r>
        <w:t xml:space="preserve"> </w:t>
      </w:r>
      <m:oMath>
        <m:r>
          <m:t>n</m:t>
        </m:r>
        <m:r>
          <m:rPr>
            <m:sty m:val="p"/>
          </m:rPr>
          <m:t>×</m:t>
        </m:r>
        <m:r>
          <m:t>n</m:t>
        </m:r>
      </m:oMath>
      <w:r>
        <w:t xml:space="preserve"> </w:t>
      </w:r>
      <w:r>
        <w:t xml:space="preserve">de segundas derivadas parciais:</w:t>
      </w:r>
    </w:p>
    <w:p>
      <w:pPr>
        <w:pStyle w:val="BlockText"/>
      </w:pPr>
      <m:oMathPara>
        <m:oMathParaPr>
          <m:jc m:val="center"/>
        </m:oMathParaPr>
        <m:oMath>
          <m:r>
            <m:t>H</m:t>
          </m:r>
          <m:r>
            <m:rPr>
              <m:sty m:val="p"/>
            </m:rPr>
            <m:t>(</m:t>
          </m:r>
          <m:r>
            <m:t>x</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sSup>
                          <m:e>
                            <m:r>
                              <m:rPr>
                                <m:sty m:val="p"/>
                              </m:rPr>
                              <m:t>∂</m:t>
                            </m:r>
                          </m:e>
                          <m:sup>
                            <m:r>
                              <m:t>2</m:t>
                            </m:r>
                          </m:sup>
                        </m:sSup>
                        <m:r>
                          <m:t>f</m:t>
                        </m:r>
                      </m:num>
                      <m:den>
                        <m:r>
                          <m:rPr>
                            <m:sty m:val="p"/>
                          </m:rPr>
                          <m:t>∂</m:t>
                        </m:r>
                        <m:sSubSup>
                          <m:e>
                            <m:r>
                              <m:t>x</m:t>
                            </m:r>
                          </m:e>
                          <m:sub>
                            <m:r>
                              <m:t>1</m:t>
                            </m:r>
                          </m:sub>
                          <m:sup>
                            <m:r>
                              <m:t>2</m:t>
                            </m:r>
                          </m:sup>
                        </m:sSubSup>
                      </m:den>
                    </m:f>
                  </m:e>
                  <m:e>
                    <m:f>
                      <m:fPr>
                        <m:type m:val="bar"/>
                      </m:fPr>
                      <m:num>
                        <m:sSup>
                          <m:e>
                            <m:r>
                              <m:rPr>
                                <m:sty m:val="p"/>
                              </m:rPr>
                              <m:t>∂</m:t>
                            </m:r>
                          </m:e>
                          <m:sup>
                            <m:r>
                              <m:t>2</m:t>
                            </m:r>
                          </m:sup>
                        </m:sSup>
                        <m:r>
                          <m:t>f</m:t>
                        </m:r>
                      </m:num>
                      <m:den>
                        <m:r>
                          <m:rPr>
                            <m:sty m:val="p"/>
                          </m:rPr>
                          <m:t>∂</m:t>
                        </m:r>
                        <m:sSub>
                          <m:e>
                            <m:r>
                              <m:t>x</m:t>
                            </m:r>
                          </m:e>
                          <m:sub>
                            <m:r>
                              <m:t>1</m:t>
                            </m:r>
                          </m:sub>
                        </m:sSub>
                        <m:r>
                          <m:rPr>
                            <m:sty m:val="p"/>
                          </m:rPr>
                          <m:t>∂</m:t>
                        </m:r>
                        <m:sSub>
                          <m:e>
                            <m:r>
                              <m:t>x</m:t>
                            </m:r>
                          </m:e>
                          <m:sub>
                            <m:r>
                              <m:t>2</m:t>
                            </m:r>
                          </m:sub>
                        </m:sSub>
                      </m:den>
                    </m:f>
                  </m:e>
                  <m:e>
                    <m:r>
                      <m:rPr>
                        <m:sty m:val="p"/>
                      </m:rPr>
                      <m:t>⋯</m:t>
                    </m:r>
                  </m:e>
                  <m:e>
                    <m:f>
                      <m:fPr>
                        <m:type m:val="bar"/>
                      </m:fPr>
                      <m:num>
                        <m:sSup>
                          <m:e>
                            <m:r>
                              <m:rPr>
                                <m:sty m:val="p"/>
                              </m:rPr>
                              <m:t>∂</m:t>
                            </m:r>
                          </m:e>
                          <m:sup>
                            <m:r>
                              <m:t>2</m:t>
                            </m:r>
                          </m:sup>
                        </m:sSup>
                        <m:r>
                          <m:t>f</m:t>
                        </m:r>
                      </m:num>
                      <m:den>
                        <m:r>
                          <m:rPr>
                            <m:sty m:val="p"/>
                          </m:rPr>
                          <m:t>∂</m:t>
                        </m:r>
                        <m:sSub>
                          <m:e>
                            <m:r>
                              <m:t>x</m:t>
                            </m:r>
                          </m:e>
                          <m:sub>
                            <m:r>
                              <m:t>1</m:t>
                            </m:r>
                          </m:sub>
                        </m:sSub>
                        <m:r>
                          <m:rPr>
                            <m:sty m:val="p"/>
                          </m:rPr>
                          <m:t>∂</m:t>
                        </m:r>
                        <m:sSub>
                          <m:e>
                            <m:r>
                              <m:t>x</m:t>
                            </m:r>
                          </m:e>
                          <m:sub>
                            <m:r>
                              <m:t>n</m:t>
                            </m:r>
                          </m:sub>
                        </m:sSub>
                      </m:den>
                    </m:f>
                  </m:e>
                </m:mr>
                <m:mr>
                  <m:e>
                    <m:f>
                      <m:fPr>
                        <m:type m:val="bar"/>
                      </m:fPr>
                      <m:num>
                        <m:sSup>
                          <m:e>
                            <m:r>
                              <m:rPr>
                                <m:sty m:val="p"/>
                              </m:rPr>
                              <m:t>∂</m:t>
                            </m:r>
                          </m:e>
                          <m:sup>
                            <m:r>
                              <m:t>2</m:t>
                            </m:r>
                          </m:sup>
                        </m:sSup>
                        <m:r>
                          <m:t>f</m:t>
                        </m:r>
                      </m:num>
                      <m:den>
                        <m:r>
                          <m:rPr>
                            <m:sty m:val="p"/>
                          </m:rPr>
                          <m:t>∂</m:t>
                        </m:r>
                        <m:sSub>
                          <m:e>
                            <m:r>
                              <m:t>x</m:t>
                            </m:r>
                          </m:e>
                          <m:sub>
                            <m:r>
                              <m:t>2</m:t>
                            </m:r>
                          </m:sub>
                        </m:sSub>
                        <m:r>
                          <m:rPr>
                            <m:sty m:val="p"/>
                          </m:rPr>
                          <m:t>∂</m:t>
                        </m:r>
                        <m:sSub>
                          <m:e>
                            <m:r>
                              <m:t>x</m:t>
                            </m:r>
                          </m:e>
                          <m:sub>
                            <m:r>
                              <m:t>1</m:t>
                            </m:r>
                          </m:sub>
                        </m:sSub>
                      </m:den>
                    </m:f>
                  </m:e>
                  <m:e>
                    <m:f>
                      <m:fPr>
                        <m:type m:val="bar"/>
                      </m:fPr>
                      <m:num>
                        <m:sSup>
                          <m:e>
                            <m:r>
                              <m:rPr>
                                <m:sty m:val="p"/>
                              </m:rPr>
                              <m:t>∂</m:t>
                            </m:r>
                          </m:e>
                          <m:sup>
                            <m:r>
                              <m:t>2</m:t>
                            </m:r>
                          </m:sup>
                        </m:sSup>
                        <m:r>
                          <m:t>f</m:t>
                        </m:r>
                      </m:num>
                      <m:den>
                        <m:r>
                          <m:rPr>
                            <m:sty m:val="p"/>
                          </m:rPr>
                          <m:t>∂</m:t>
                        </m:r>
                        <m:sSubSup>
                          <m:e>
                            <m:r>
                              <m:t>x</m:t>
                            </m:r>
                          </m:e>
                          <m:sub>
                            <m:r>
                              <m:t>2</m:t>
                            </m:r>
                          </m:sub>
                          <m:sup>
                            <m:r>
                              <m:t>2</m:t>
                            </m:r>
                          </m:sup>
                        </m:sSubSup>
                      </m:den>
                    </m:f>
                  </m:e>
                  <m:e>
                    <m:r>
                      <m:rPr>
                        <m:sty m:val="p"/>
                      </m:rPr>
                      <m:t>⋯</m:t>
                    </m:r>
                  </m:e>
                  <m:e>
                    <m:f>
                      <m:fPr>
                        <m:type m:val="bar"/>
                      </m:fPr>
                      <m:num>
                        <m:sSup>
                          <m:e>
                            <m:r>
                              <m:rPr>
                                <m:sty m:val="p"/>
                              </m:rPr>
                              <m:t>∂</m:t>
                            </m:r>
                          </m:e>
                          <m:sup>
                            <m:r>
                              <m:t>2</m:t>
                            </m:r>
                          </m:sup>
                        </m:sSup>
                        <m:r>
                          <m:t>f</m:t>
                        </m:r>
                      </m:num>
                      <m:den>
                        <m:r>
                          <m:rPr>
                            <m:sty m:val="p"/>
                          </m:rPr>
                          <m:t>∂</m:t>
                        </m:r>
                        <m:sSub>
                          <m:e>
                            <m:r>
                              <m:t>x</m:t>
                            </m:r>
                          </m:e>
                          <m:sub>
                            <m:r>
                              <m:t>2</m:t>
                            </m:r>
                          </m:sub>
                        </m:sSub>
                        <m:r>
                          <m:rPr>
                            <m:sty m:val="p"/>
                          </m:rPr>
                          <m:t>∂</m:t>
                        </m:r>
                        <m:sSub>
                          <m:e>
                            <m:r>
                              <m:t>x</m:t>
                            </m:r>
                          </m:e>
                          <m:sub>
                            <m:r>
                              <m:t>n</m:t>
                            </m:r>
                          </m:sub>
                        </m:sSub>
                      </m:den>
                    </m:f>
                  </m:e>
                </m:mr>
                <m:mr>
                  <m:e>
                    <m:r>
                      <m:rPr>
                        <m:sty m:val="p"/>
                      </m:rPr>
                      <m:t>⋮</m:t>
                    </m:r>
                  </m:e>
                  <m:e>
                    <m:r>
                      <m:rPr>
                        <m:sty m:val="p"/>
                      </m:rPr>
                      <m:t>⋮</m:t>
                    </m:r>
                  </m:e>
                  <m:e>
                    <m:r>
                      <m:rPr>
                        <m:sty m:val="p"/>
                      </m:rPr>
                      <m:t>⋱</m:t>
                    </m:r>
                  </m:e>
                  <m:e>
                    <m:r>
                      <m:rPr>
                        <m:sty m:val="p"/>
                      </m:rPr>
                      <m:t>⋮</m:t>
                    </m:r>
                  </m:e>
                </m:mr>
                <m:mr>
                  <m:e>
                    <m:f>
                      <m:fPr>
                        <m:type m:val="bar"/>
                      </m:fPr>
                      <m:num>
                        <m:sSup>
                          <m:e>
                            <m:r>
                              <m:rPr>
                                <m:sty m:val="p"/>
                              </m:rPr>
                              <m:t>∂</m:t>
                            </m:r>
                          </m:e>
                          <m:sup>
                            <m:r>
                              <m:t>2</m:t>
                            </m:r>
                          </m:sup>
                        </m:sSup>
                        <m:r>
                          <m:t>f</m:t>
                        </m:r>
                      </m:num>
                      <m:den>
                        <m:r>
                          <m:rPr>
                            <m:sty m:val="p"/>
                          </m:rPr>
                          <m:t>∂</m:t>
                        </m:r>
                        <m:sSub>
                          <m:e>
                            <m:r>
                              <m:t>x</m:t>
                            </m:r>
                          </m:e>
                          <m:sub>
                            <m:r>
                              <m:t>n</m:t>
                            </m:r>
                          </m:sub>
                        </m:sSub>
                        <m:r>
                          <m:rPr>
                            <m:sty m:val="p"/>
                          </m:rPr>
                          <m:t>∂</m:t>
                        </m:r>
                        <m:sSub>
                          <m:e>
                            <m:r>
                              <m:t>x</m:t>
                            </m:r>
                          </m:e>
                          <m:sub>
                            <m:r>
                              <m:t>1</m:t>
                            </m:r>
                          </m:sub>
                        </m:sSub>
                      </m:den>
                    </m:f>
                  </m:e>
                  <m:e>
                    <m:f>
                      <m:fPr>
                        <m:type m:val="bar"/>
                      </m:fPr>
                      <m:num>
                        <m:sSup>
                          <m:e>
                            <m:r>
                              <m:rPr>
                                <m:sty m:val="p"/>
                              </m:rPr>
                              <m:t>∂</m:t>
                            </m:r>
                          </m:e>
                          <m:sup>
                            <m:r>
                              <m:t>2</m:t>
                            </m:r>
                          </m:sup>
                        </m:sSup>
                        <m:r>
                          <m:t>f</m:t>
                        </m:r>
                      </m:num>
                      <m:den>
                        <m:r>
                          <m:rPr>
                            <m:sty m:val="p"/>
                          </m:rPr>
                          <m:t>∂</m:t>
                        </m:r>
                        <m:sSub>
                          <m:e>
                            <m:r>
                              <m:t>x</m:t>
                            </m:r>
                          </m:e>
                          <m:sub>
                            <m:r>
                              <m:t>n</m:t>
                            </m:r>
                          </m:sub>
                        </m:sSub>
                        <m:r>
                          <m:rPr>
                            <m:sty m:val="p"/>
                          </m:rPr>
                          <m:t>∂</m:t>
                        </m:r>
                        <m:sSub>
                          <m:e>
                            <m:r>
                              <m:t>x</m:t>
                            </m:r>
                          </m:e>
                          <m:sub>
                            <m:r>
                              <m:t>2</m:t>
                            </m:r>
                          </m:sub>
                        </m:sSub>
                      </m:den>
                    </m:f>
                  </m:e>
                  <m:e>
                    <m:r>
                      <m:rPr>
                        <m:sty m:val="p"/>
                      </m:rPr>
                      <m:t>⋯</m:t>
                    </m:r>
                  </m:e>
                  <m:e>
                    <m:f>
                      <m:fPr>
                        <m:type m:val="bar"/>
                      </m:fPr>
                      <m:num>
                        <m:sSup>
                          <m:e>
                            <m:r>
                              <m:rPr>
                                <m:sty m:val="p"/>
                              </m:rPr>
                              <m:t>∂</m:t>
                            </m:r>
                          </m:e>
                          <m:sup>
                            <m:r>
                              <m:t>2</m:t>
                            </m:r>
                          </m:sup>
                        </m:sSup>
                        <m:r>
                          <m:t>f</m:t>
                        </m:r>
                      </m:num>
                      <m:den>
                        <m:r>
                          <m:rPr>
                            <m:sty m:val="p"/>
                          </m:rPr>
                          <m:t>∂</m:t>
                        </m:r>
                        <m:sSubSup>
                          <m:e>
                            <m:r>
                              <m:t>x</m:t>
                            </m:r>
                          </m:e>
                          <m:sub>
                            <m:r>
                              <m:t>n</m:t>
                            </m:r>
                          </m:sub>
                          <m:sup>
                            <m:r>
                              <m:t>2</m:t>
                            </m:r>
                          </m:sup>
                        </m:sSubSup>
                      </m:den>
                    </m:f>
                  </m:e>
                </m:mr>
              </m:m>
            </m:e>
          </m:d>
        </m:oMath>
      </m:oMathPara>
    </w:p>
    <w:p>
      <w:pPr>
        <w:pStyle w:val="BlockText"/>
      </w:pPr>
      <w:r>
        <w:t xml:space="preserve">Pelo Teorema de Young (Schwarz), se as segundas derivadas são contínuas,</w:t>
      </w:r>
      <w:r>
        <w:t xml:space="preserve"> </w:t>
      </w:r>
      <m:oMath>
        <m:r>
          <m:t>H</m:t>
        </m:r>
      </m:oMath>
      <w:r>
        <w:t xml:space="preserve"> </w:t>
      </w:r>
      <w:r>
        <w:t xml:space="preserve">é</w:t>
      </w:r>
      <w:r>
        <w:t xml:space="preserve"> </w:t>
      </w:r>
      <w:r>
        <w:rPr>
          <w:b/>
          <w:bCs/>
        </w:rPr>
        <w:t xml:space="preserve">simétrica</w:t>
      </w:r>
      <w:r>
        <w:t xml:space="preserve">.</w:t>
      </w:r>
    </w:p>
    <w:bookmarkEnd w:id="90"/>
    <w:bookmarkStart w:id="91" w:name="cso-multivariada"/>
    <w:p>
      <w:pPr>
        <w:pStyle w:val="Heading4"/>
      </w:pPr>
      <w:r>
        <w:t xml:space="preserve">CSO multivariada</w:t>
      </w:r>
    </w:p>
    <w:p>
      <w:pPr>
        <w:pStyle w:val="BlockText"/>
      </w:pPr>
      <w:r>
        <w:rPr>
          <w:b/>
          <w:bCs/>
        </w:rPr>
        <w:t xml:space="preserve">[DEFINICAO] CSO — Caso Multivariado</w:t>
      </w:r>
    </w:p>
    <w:p>
      <w:pPr>
        <w:pStyle w:val="BlockText"/>
      </w:pPr>
      <w:r>
        <w:t xml:space="preserve">No ponto</w:t>
      </w:r>
      <w:r>
        <w:t xml:space="preserve"> </w:t>
      </w:r>
      <m:oMath>
        <m:sSup>
          <m:e>
            <m:r>
              <m:t>x</m:t>
            </m:r>
          </m:e>
          <m:sup>
            <m:r>
              <m:rPr>
                <m:sty m:val="p"/>
              </m:rPr>
              <m:t>*</m:t>
            </m:r>
          </m:sup>
        </m:sSup>
      </m:oMath>
      <w:r>
        <w:t xml:space="preserve"> </w:t>
      </w:r>
      <w:r>
        <w:t xml:space="preserve">onde</w:t>
      </w:r>
      <w:r>
        <w:t xml:space="preserve"> </w:t>
      </w:r>
      <m:oMath>
        <m:r>
          <m:rPr>
            <m:sty m:val="p"/>
          </m:rPr>
          <m:t>∇</m:t>
        </m:r>
        <m:r>
          <m:t>f</m:t>
        </m:r>
        <m:r>
          <m:rPr>
            <m:sty m:val="p"/>
          </m:rPr>
          <m:t>(</m:t>
        </m:r>
        <m:sSup>
          <m:e>
            <m:r>
              <m:t>x</m:t>
            </m:r>
          </m:e>
          <m:sup>
            <m:r>
              <m:rPr>
                <m:sty m:val="p"/>
              </m:rPr>
              <m:t>*</m:t>
            </m:r>
          </m:sup>
        </m:sSup>
        <m:r>
          <m:rPr>
            <m:sty m:val="p"/>
          </m:rPr>
          <m:t>)</m:t>
        </m:r>
        <m:r>
          <m:rPr>
            <m:sty m:val="p"/>
          </m:rPr>
          <m:t>=</m:t>
        </m:r>
        <m:r>
          <m:rPr>
            <m:sty m:val="b"/>
          </m:rPr>
          <m:t>0</m:t>
        </m:r>
      </m:oMath>
      <w:r>
        <w:t xml:space="preserve">:</w:t>
      </w:r>
    </w:p>
    <w:p>
      <w:pPr>
        <w:pStyle w:val="Compact"/>
        <w:numPr>
          <w:ilvl w:val="0"/>
          <w:numId w:val="1064"/>
        </w:numPr>
      </w:pPr>
      <m:oMath>
        <m:sSup>
          <m:e>
            <m:r>
              <m:t>x</m:t>
            </m:r>
          </m:e>
          <m:sup>
            <m:r>
              <m:rPr>
                <m:sty m:val="p"/>
              </m:rPr>
              <m:t>*</m:t>
            </m:r>
          </m:sup>
        </m:sSup>
      </m:oMath>
      <w:r>
        <w:t xml:space="preserve"> </w:t>
      </w:r>
      <w:r>
        <w:t xml:space="preserve">é</w:t>
      </w:r>
      <w:r>
        <w:t xml:space="preserve"> </w:t>
      </w:r>
      <w:r>
        <w:rPr>
          <w:b/>
          <w:bCs/>
        </w:rPr>
        <w:t xml:space="preserve">máximo local</w:t>
      </w:r>
      <w:r>
        <w:t xml:space="preserve"> </w:t>
      </w:r>
      <w:r>
        <w:t xml:space="preserve">se</w:t>
      </w:r>
      <w:r>
        <w:t xml:space="preserve"> </w:t>
      </w:r>
      <m:oMath>
        <m:r>
          <m:t>H</m:t>
        </m:r>
        <m:r>
          <m:rPr>
            <m:sty m:val="p"/>
          </m:rPr>
          <m:t>(</m:t>
        </m:r>
        <m:sSup>
          <m:e>
            <m:r>
              <m:t>x</m:t>
            </m:r>
          </m:e>
          <m:sup>
            <m:r>
              <m:rPr>
                <m:sty m:val="p"/>
              </m:rPr>
              <m:t>*</m:t>
            </m:r>
          </m:sup>
        </m:sSup>
        <m:r>
          <m:rPr>
            <m:sty m:val="p"/>
          </m:rPr>
          <m:t>)</m:t>
        </m:r>
      </m:oMath>
      <w:r>
        <w:t xml:space="preserve"> </w:t>
      </w:r>
      <w:r>
        <w:t xml:space="preserve">é</w:t>
      </w:r>
      <w:r>
        <w:t xml:space="preserve"> </w:t>
      </w:r>
      <w:r>
        <w:rPr>
          <w:b/>
          <w:bCs/>
        </w:rPr>
        <w:t xml:space="preserve">definida negativa</w:t>
      </w:r>
      <w:r>
        <w:t xml:space="preserve"> </w:t>
      </w:r>
      <w:r>
        <w:t xml:space="preserve">(todos os autovalores</w:t>
      </w:r>
      <w:r>
        <w:t xml:space="preserve"> </w:t>
      </w:r>
      <m:oMath>
        <m:r>
          <m:rPr>
            <m:sty m:val="p"/>
          </m:rPr>
          <m:t>&lt;</m:t>
        </m:r>
        <m:r>
          <m:t>0</m:t>
        </m:r>
      </m:oMath>
      <w:r>
        <w:t xml:space="preserve">)</w:t>
      </w:r>
    </w:p>
    <w:p>
      <w:pPr>
        <w:pStyle w:val="Compact"/>
        <w:numPr>
          <w:ilvl w:val="0"/>
          <w:numId w:val="1064"/>
        </w:numPr>
      </w:pPr>
      <m:oMath>
        <m:sSup>
          <m:e>
            <m:r>
              <m:t>x</m:t>
            </m:r>
          </m:e>
          <m:sup>
            <m:r>
              <m:rPr>
                <m:sty m:val="p"/>
              </m:rPr>
              <m:t>*</m:t>
            </m:r>
          </m:sup>
        </m:sSup>
      </m:oMath>
      <w:r>
        <w:t xml:space="preserve"> </w:t>
      </w:r>
      <w:r>
        <w:t xml:space="preserve">é</w:t>
      </w:r>
      <w:r>
        <w:t xml:space="preserve"> </w:t>
      </w:r>
      <w:r>
        <w:rPr>
          <w:b/>
          <w:bCs/>
        </w:rPr>
        <w:t xml:space="preserve">mínimo local</w:t>
      </w:r>
      <w:r>
        <w:t xml:space="preserve"> </w:t>
      </w:r>
      <w:r>
        <w:t xml:space="preserve">se</w:t>
      </w:r>
      <w:r>
        <w:t xml:space="preserve"> </w:t>
      </w:r>
      <m:oMath>
        <m:r>
          <m:t>H</m:t>
        </m:r>
        <m:r>
          <m:rPr>
            <m:sty m:val="p"/>
          </m:rPr>
          <m:t>(</m:t>
        </m:r>
        <m:sSup>
          <m:e>
            <m:r>
              <m:t>x</m:t>
            </m:r>
          </m:e>
          <m:sup>
            <m:r>
              <m:rPr>
                <m:sty m:val="p"/>
              </m:rPr>
              <m:t>*</m:t>
            </m:r>
          </m:sup>
        </m:sSup>
        <m:r>
          <m:rPr>
            <m:sty m:val="p"/>
          </m:rPr>
          <m:t>)</m:t>
        </m:r>
      </m:oMath>
      <w:r>
        <w:t xml:space="preserve"> </w:t>
      </w:r>
      <w:r>
        <w:t xml:space="preserve">é</w:t>
      </w:r>
      <w:r>
        <w:t xml:space="preserve"> </w:t>
      </w:r>
      <w:r>
        <w:rPr>
          <w:b/>
          <w:bCs/>
        </w:rPr>
        <w:t xml:space="preserve">definida positiva</w:t>
      </w:r>
      <w:r>
        <w:t xml:space="preserve"> </w:t>
      </w:r>
      <w:r>
        <w:t xml:space="preserve">(todos os autovalores</w:t>
      </w:r>
      <w:r>
        <w:t xml:space="preserve"> </w:t>
      </w:r>
      <m:oMath>
        <m:r>
          <m:rPr>
            <m:sty m:val="p"/>
          </m:rPr>
          <m:t>&gt;</m:t>
        </m:r>
        <m:r>
          <m:t>0</m:t>
        </m:r>
      </m:oMath>
      <w:r>
        <w:t xml:space="preserve">)</w:t>
      </w:r>
    </w:p>
    <w:p>
      <w:pPr>
        <w:pStyle w:val="BlockText"/>
      </w:pPr>
      <w:r>
        <w:t xml:space="preserve">Na prática, a definititude é verificada pelos</w:t>
      </w:r>
      <w:r>
        <w:t xml:space="preserve"> </w:t>
      </w:r>
      <w:r>
        <w:rPr>
          <w:b/>
          <w:bCs/>
        </w:rPr>
        <w:t xml:space="preserve">menores principais líderes</w:t>
      </w:r>
      <w:r>
        <w:t xml:space="preserve"> </w:t>
      </w:r>
      <w:r>
        <w:t xml:space="preserve">(</w:t>
      </w:r>
      <m:oMath>
        <m:sSub>
          <m:e>
            <m:r>
              <m:t>D</m:t>
            </m:r>
          </m:e>
          <m:sub>
            <m:r>
              <m:t>k</m:t>
            </m:r>
          </m:sub>
        </m:sSub>
      </m:oMath>
      <w:r>
        <w:t xml:space="preserve">):</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jc w:val="left"/>
            </w:pPr>
            <w:r>
              <w:t xml:space="preserve">Condição</w:t>
            </w:r>
          </w:p>
        </w:tc>
        <w:tc>
          <w:tcPr/>
          <w:p>
            <w:pPr>
              <w:pStyle w:val="Compact"/>
              <w:jc w:val="center"/>
            </w:pPr>
            <m:oMath>
              <m:sSub>
                <m:e>
                  <m:r>
                    <m:t>D</m:t>
                  </m:r>
                </m:e>
                <m:sub>
                  <m:r>
                    <m:t>1</m:t>
                  </m:r>
                </m:sub>
              </m:sSub>
            </m:oMath>
          </w:p>
        </w:tc>
        <w:tc>
          <w:tcPr/>
          <w:p>
            <w:pPr>
              <w:pStyle w:val="Compact"/>
              <w:jc w:val="center"/>
            </w:pPr>
            <m:oMath>
              <m:sSub>
                <m:e>
                  <m:r>
                    <m:t>D</m:t>
                  </m:r>
                </m:e>
                <m:sub>
                  <m:r>
                    <m:t>2</m:t>
                  </m:r>
                </m:sub>
              </m:sSub>
            </m:oMath>
          </w:p>
        </w:tc>
        <w:tc>
          <w:tcPr/>
          <w:p>
            <w:pPr>
              <w:pStyle w:val="Compact"/>
              <w:jc w:val="center"/>
            </w:pPr>
            <m:oMath>
              <m:sSub>
                <m:e>
                  <m:r>
                    <m:t>D</m:t>
                  </m:r>
                </m:e>
                <m:sub>
                  <m:r>
                    <m:t>3</m:t>
                  </m:r>
                </m:sub>
              </m:sSub>
            </m:oMath>
          </w:p>
        </w:tc>
        <w:tc>
          <w:tcPr/>
          <w:p>
            <w:pPr>
              <w:pStyle w:val="Compact"/>
              <w:jc w:val="center"/>
            </w:pPr>
            <m:oMath>
              <m:r>
                <m:rPr>
                  <m:sty m:val="p"/>
                </m:rPr>
                <m:t>…</m:t>
              </m:r>
            </m:oMath>
          </w:p>
        </w:tc>
        <w:tc>
          <w:tcPr/>
          <w:p>
            <w:pPr>
              <w:pStyle w:val="Compact"/>
              <w:jc w:val="left"/>
            </w:pPr>
            <w:r>
              <w:t xml:space="preserve">Padrão</w:t>
            </w:r>
          </w:p>
        </w:tc>
      </w:tr>
      <w:tr>
        <w:tc>
          <w:tcPr/>
          <w:p>
            <w:pPr>
              <w:pStyle w:val="Compact"/>
              <w:jc w:val="left"/>
            </w:pPr>
            <w:r>
              <w:t xml:space="preserve">Def. negativa (máx)</w:t>
            </w:r>
          </w:p>
        </w:tc>
        <w:tc>
          <w:tcPr/>
          <w:p>
            <w:pPr>
              <w:pStyle w:val="Compact"/>
              <w:jc w:val="center"/>
            </w:pPr>
            <m:oMath>
              <m:r>
                <m:rPr>
                  <m:sty m:val="p"/>
                </m:rPr>
                <m:t>&lt;</m:t>
              </m:r>
              <m:r>
                <m:t>0</m:t>
              </m:r>
            </m:oMath>
          </w:p>
        </w:tc>
        <w:tc>
          <w:tcPr/>
          <w:p>
            <w:pPr>
              <w:pStyle w:val="Compact"/>
              <w:jc w:val="center"/>
            </w:pPr>
            <m:oMath>
              <m:r>
                <m:rPr>
                  <m:sty m:val="p"/>
                </m:rPr>
                <m:t>&gt;</m:t>
              </m:r>
              <m:r>
                <m:t>0</m:t>
              </m:r>
            </m:oMath>
          </w:p>
        </w:tc>
        <w:tc>
          <w:tcPr/>
          <w:p>
            <w:pPr>
              <w:pStyle w:val="Compact"/>
              <w:jc w:val="center"/>
            </w:pPr>
            <m:oMath>
              <m:r>
                <m:rPr>
                  <m:sty m:val="p"/>
                </m:rPr>
                <m:t>&lt;</m:t>
              </m:r>
              <m:r>
                <m:t>0</m:t>
              </m:r>
            </m:oMath>
          </w:p>
        </w:tc>
        <w:tc>
          <w:tcPr/>
          <w:p>
            <w:pPr>
              <w:pStyle w:val="Compact"/>
              <w:jc w:val="center"/>
            </w:pPr>
            <m:oMath>
              <m:r>
                <m:rPr>
                  <m:sty m:val="p"/>
                </m:rPr>
                <m:t>…</m:t>
              </m:r>
            </m:oMath>
          </w:p>
        </w:tc>
        <w:tc>
          <w:tcPr/>
          <w:p>
            <w:pPr>
              <w:pStyle w:val="Compact"/>
              <w:jc w:val="left"/>
            </w:pPr>
            <w:r>
              <w:t xml:space="preserve">Sinais alternados,</w:t>
            </w:r>
            <w:r>
              <w:t xml:space="preserve"> </w:t>
            </w:r>
            <m:oMath>
              <m:sSub>
                <m:e>
                  <m:r>
                    <m:t>D</m:t>
                  </m:r>
                </m:e>
                <m:sub>
                  <m:r>
                    <m:t>1</m:t>
                  </m:r>
                </m:sub>
              </m:sSub>
              <m:r>
                <m:rPr>
                  <m:sty m:val="p"/>
                </m:rPr>
                <m:t>&lt;</m:t>
              </m:r>
              <m:r>
                <m:t>0</m:t>
              </m:r>
            </m:oMath>
          </w:p>
        </w:tc>
      </w:tr>
      <w:tr>
        <w:tc>
          <w:tcPr/>
          <w:p>
            <w:pPr>
              <w:pStyle w:val="Compact"/>
              <w:jc w:val="left"/>
            </w:pPr>
            <w:r>
              <w:t xml:space="preserve">Def. positiva (mín)</w:t>
            </w:r>
          </w:p>
        </w:tc>
        <w:tc>
          <w:tcPr/>
          <w:p>
            <w:pPr>
              <w:pStyle w:val="Compact"/>
              <w:jc w:val="center"/>
            </w:pPr>
            <m:oMath>
              <m:r>
                <m:rPr>
                  <m:sty m:val="p"/>
                </m:rPr>
                <m:t>&gt;</m:t>
              </m:r>
              <m:r>
                <m:t>0</m:t>
              </m:r>
            </m:oMath>
          </w:p>
        </w:tc>
        <w:tc>
          <w:tcPr/>
          <w:p>
            <w:pPr>
              <w:pStyle w:val="Compact"/>
              <w:jc w:val="center"/>
            </w:pPr>
            <m:oMath>
              <m:r>
                <m:rPr>
                  <m:sty m:val="p"/>
                </m:rPr>
                <m:t>&gt;</m:t>
              </m:r>
              <m:r>
                <m:t>0</m:t>
              </m:r>
            </m:oMath>
          </w:p>
        </w:tc>
        <w:tc>
          <w:tcPr/>
          <w:p>
            <w:pPr>
              <w:pStyle w:val="Compact"/>
              <w:jc w:val="center"/>
            </w:pPr>
            <m:oMath>
              <m:r>
                <m:rPr>
                  <m:sty m:val="p"/>
                </m:rPr>
                <m:t>&gt;</m:t>
              </m:r>
              <m:r>
                <m:t>0</m:t>
              </m:r>
            </m:oMath>
          </w:p>
        </w:tc>
        <w:tc>
          <w:tcPr/>
          <w:p>
            <w:pPr>
              <w:pStyle w:val="Compact"/>
              <w:jc w:val="center"/>
            </w:pPr>
            <m:oMath>
              <m:r>
                <m:rPr>
                  <m:sty m:val="p"/>
                </m:rPr>
                <m:t>…</m:t>
              </m:r>
            </m:oMath>
          </w:p>
        </w:tc>
        <w:tc>
          <w:tcPr/>
          <w:p>
            <w:pPr>
              <w:pStyle w:val="Compact"/>
              <w:jc w:val="left"/>
            </w:pPr>
            <w:r>
              <w:t xml:space="preserve">Todos positivos</w:t>
            </w:r>
          </w:p>
        </w:tc>
      </w:tr>
    </w:tbl>
    <w:p>
      <w:pPr>
        <w:pStyle w:val="BlockText"/>
      </w:pPr>
      <w:r>
        <w:rPr>
          <w:b/>
          <w:bCs/>
        </w:rPr>
        <w:t xml:space="preserve">[INTUICAO ECONOMICA] Intuição Econômica</w:t>
      </w:r>
    </w:p>
    <w:p>
      <w:pPr>
        <w:pStyle w:val="BlockText"/>
      </w:pPr>
      <w:r>
        <w:rPr>
          <w:b/>
          <w:bCs/>
        </w:rPr>
        <w:t xml:space="preserve">Em uma frase:</w:t>
      </w:r>
      <w:r>
        <w:t xml:space="preserve"> </w:t>
      </w:r>
      <w:r>
        <w:t xml:space="preserve">A Hessiana generaliza a segunda derivada — ela diz se o ponto estacionário é topo de montanha (máximo), fundo de vale (mínimo) ou ponto de sela.</w:t>
      </w:r>
    </w:p>
    <w:p>
      <w:pPr>
        <w:pStyle w:val="BlockText"/>
      </w:pPr>
      <w:r>
        <w:rPr>
          <w:b/>
          <w:bCs/>
        </w:rPr>
        <w:t xml:space="preserve">No caso</w:t>
      </w:r>
      <w:r>
        <w:rPr>
          <w:b/>
          <w:bCs/>
        </w:rPr>
        <w:t xml:space="preserve"> </w:t>
      </w:r>
      <m:oMath>
        <m:r>
          <m:t>n</m:t>
        </m:r>
        <m:r>
          <m:rPr>
            <m:sty m:val="p"/>
          </m:rPr>
          <m:t>=</m:t>
        </m:r>
        <m:r>
          <m:t>2</m:t>
        </m:r>
      </m:oMath>
      <w:r>
        <w:rPr>
          <w:b/>
          <w:bCs/>
        </w:rPr>
        <w:t xml:space="preserve">:</w:t>
      </w:r>
      <w:r>
        <w:t xml:space="preserve"> </w:t>
      </w:r>
      <m:oMath>
        <m:r>
          <m:t>H</m:t>
        </m:r>
      </m:oMath>
      <w:r>
        <w:t xml:space="preserve"> </w:t>
      </w:r>
      <w:r>
        <w:t xml:space="preserve">definida negativa</w:t>
      </w:r>
      <w:r>
        <w:t xml:space="preserve"> </w:t>
      </w:r>
      <m:oMath>
        <m:r>
          <m:rPr>
            <m:sty m:val="p"/>
          </m:rPr>
          <m:t>⇔</m:t>
        </m:r>
      </m:oMath>
      <w:r>
        <w:t xml:space="preserve"> </w:t>
      </w:r>
      <m:oMath>
        <m:sSub>
          <m:e>
            <m:r>
              <m:t>f</m:t>
            </m:r>
          </m:e>
          <m:sub>
            <m:r>
              <m:t>11</m:t>
            </m:r>
          </m:sub>
        </m:sSub>
        <m:r>
          <m:rPr>
            <m:sty m:val="p"/>
          </m:rPr>
          <m:t>&lt;</m:t>
        </m:r>
        <m:r>
          <m:t>0</m:t>
        </m:r>
      </m:oMath>
      <w:r>
        <w:t xml:space="preserve"> </w:t>
      </w:r>
      <w:r>
        <w:t xml:space="preserve">e</w:t>
      </w:r>
      <w:r>
        <w:t xml:space="preserve"> </w:t>
      </w:r>
      <m:oMath>
        <m:sSub>
          <m:e>
            <m:r>
              <m:t>f</m:t>
            </m:r>
          </m:e>
          <m:sub>
            <m:r>
              <m:t>11</m:t>
            </m:r>
          </m:sub>
        </m:sSub>
        <m:sSub>
          <m:e>
            <m:r>
              <m:t>f</m:t>
            </m:r>
          </m:e>
          <m:sub>
            <m:r>
              <m:t>22</m:t>
            </m:r>
          </m:sub>
        </m:sSub>
        <m:r>
          <m:rPr>
            <m:sty m:val="p"/>
          </m:rPr>
          <m:t>−</m:t>
        </m:r>
        <m:r>
          <m:rPr>
            <m:sty m:val="p"/>
          </m:rPr>
          <m:t>(</m:t>
        </m:r>
        <m:sSub>
          <m:e>
            <m:r>
              <m:t>f</m:t>
            </m:r>
          </m:e>
          <m:sub>
            <m:r>
              <m:t>12</m:t>
            </m:r>
          </m:sub>
        </m:sSub>
        <m:sSup>
          <m:e>
            <m:r>
              <m:rPr>
                <m:sty m:val="p"/>
              </m:rPr>
              <m:t>)</m:t>
            </m:r>
          </m:e>
          <m:sup>
            <m:r>
              <m:t>2</m:t>
            </m:r>
          </m:sup>
        </m:sSup>
        <m:r>
          <m:rPr>
            <m:sty m:val="p"/>
          </m:rPr>
          <m:t>&gt;</m:t>
        </m:r>
        <m:r>
          <m:t>0</m:t>
        </m:r>
      </m:oMath>
      <w:r>
        <w:t xml:space="preserve">. A primeira condição diz</w:t>
      </w:r>
      <w:r>
        <w:t xml:space="preserve"> </w:t>
      </w:r>
      <w:r>
        <w:t xml:space="preserve">“côncava na direção 1”</w:t>
      </w:r>
      <w:r>
        <w:t xml:space="preserve">; a segunda diz</w:t>
      </w:r>
      <w:r>
        <w:t xml:space="preserve"> </w:t>
      </w:r>
      <w:r>
        <w:t xml:space="preserve">“a interação entre as variáveis não estraga a concavidade”</w:t>
      </w:r>
      <w:r>
        <w:t xml:space="preserve">.</w:t>
      </w:r>
    </w:p>
    <w:p>
      <w:pPr>
        <w:pStyle w:val="BlockText"/>
      </w:pPr>
      <w:r>
        <w:rPr>
          <w:b/>
          <w:bCs/>
        </w:rPr>
        <w:t xml:space="preserve">[EXEMPLO] Exemplo: Firma com dois insumos</w:t>
      </w:r>
    </w:p>
    <w:p>
      <w:pPr>
        <w:pStyle w:val="BlockText"/>
      </w:pPr>
      <w:r>
        <w:t xml:space="preserve">Produção</w:t>
      </w:r>
      <w:r>
        <w:t xml:space="preserve"> </w:t>
      </w:r>
      <m:oMath>
        <m:r>
          <m:t>q</m:t>
        </m:r>
        <m:r>
          <m:rPr>
            <m:sty m:val="p"/>
          </m:rPr>
          <m:t>=</m:t>
        </m:r>
        <m:r>
          <m:t>f</m:t>
        </m:r>
        <m:r>
          <m:rPr>
            <m:sty m:val="p"/>
          </m:rPr>
          <m:t>(</m:t>
        </m:r>
        <m:r>
          <m:t>L</m:t>
        </m:r>
        <m:r>
          <m:rPr>
            <m:sty m:val="p"/>
          </m:rPr>
          <m:t>,</m:t>
        </m:r>
        <m:r>
          <m:t>K</m:t>
        </m:r>
        <m:r>
          <m:rPr>
            <m:sty m:val="p"/>
          </m:rPr>
          <m:t>)</m:t>
        </m:r>
        <m:r>
          <m:rPr>
            <m:sty m:val="p"/>
          </m:rPr>
          <m:t>=</m:t>
        </m:r>
        <m:r>
          <m:t>10</m:t>
        </m:r>
        <m:sSup>
          <m:e>
            <m:r>
              <m:t>L</m:t>
            </m:r>
          </m:e>
          <m:sup>
            <m:r>
              <m:t>1</m:t>
            </m:r>
            <m:r>
              <m:rPr>
                <m:sty m:val="p"/>
              </m:rPr>
              <m:t>/</m:t>
            </m:r>
            <m:r>
              <m:t>2</m:t>
            </m:r>
          </m:sup>
        </m:sSup>
        <m:sSup>
          <m:e>
            <m:r>
              <m:t>K</m:t>
            </m:r>
          </m:e>
          <m:sup>
            <m:r>
              <m:t>1</m:t>
            </m:r>
            <m:r>
              <m:rPr>
                <m:sty m:val="p"/>
              </m:rPr>
              <m:t>/</m:t>
            </m:r>
            <m:r>
              <m:t>2</m:t>
            </m:r>
          </m:sup>
        </m:sSup>
      </m:oMath>
      <w:r>
        <w:t xml:space="preserve">, preço</w:t>
      </w:r>
      <w:r>
        <w:t xml:space="preserve"> </w:t>
      </w:r>
      <m:oMath>
        <m:r>
          <m:t>p</m:t>
        </m:r>
        <m:r>
          <m:rPr>
            <m:sty m:val="p"/>
          </m:rPr>
          <m:t>=</m:t>
        </m:r>
        <m:r>
          <m:t>2</m:t>
        </m:r>
      </m:oMath>
      <w:r>
        <w:t xml:space="preserve">, salário</w:t>
      </w:r>
      <w:r>
        <w:t xml:space="preserve"> </w:t>
      </w:r>
      <m:oMath>
        <m:r>
          <m:t>w</m:t>
        </m:r>
        <m:r>
          <m:rPr>
            <m:sty m:val="p"/>
          </m:rPr>
          <m:t>=</m:t>
        </m:r>
        <m:r>
          <m:t>1</m:t>
        </m:r>
      </m:oMath>
      <w:r>
        <w:t xml:space="preserve">, aluguel</w:t>
      </w:r>
      <w:r>
        <w:t xml:space="preserve"> </w:t>
      </w:r>
      <m:oMath>
        <m:r>
          <m:t>r</m:t>
        </m:r>
        <m:r>
          <m:rPr>
            <m:sty m:val="p"/>
          </m:rPr>
          <m:t>=</m:t>
        </m:r>
        <m:r>
          <m:t>1</m:t>
        </m:r>
      </m:oMath>
      <w:r>
        <w:t xml:space="preserve">.</w:t>
      </w:r>
    </w:p>
    <w:p>
      <w:pPr>
        <w:pStyle w:val="BlockText"/>
      </w:pPr>
      <m:oMath>
        <m:r>
          <m:t>π</m:t>
        </m:r>
        <m:r>
          <m:rPr>
            <m:sty m:val="p"/>
          </m:rPr>
          <m:t>(</m:t>
        </m:r>
        <m:r>
          <m:t>L</m:t>
        </m:r>
        <m:r>
          <m:rPr>
            <m:sty m:val="p"/>
          </m:rPr>
          <m:t>,</m:t>
        </m:r>
        <m:r>
          <m:t>K</m:t>
        </m:r>
        <m:r>
          <m:rPr>
            <m:sty m:val="p"/>
          </m:rPr>
          <m:t>)</m:t>
        </m:r>
        <m:r>
          <m:rPr>
            <m:sty m:val="p"/>
          </m:rPr>
          <m:t>=</m:t>
        </m:r>
        <m:r>
          <m:t>2</m:t>
        </m:r>
        <m:r>
          <m:rPr>
            <m:sty m:val="p"/>
          </m:rPr>
          <m:t>⋅</m:t>
        </m:r>
        <m:r>
          <m:t>10</m:t>
        </m:r>
        <m:sSup>
          <m:e>
            <m:r>
              <m:t>L</m:t>
            </m:r>
          </m:e>
          <m:sup>
            <m:r>
              <m:t>1</m:t>
            </m:r>
            <m:r>
              <m:rPr>
                <m:sty m:val="p"/>
              </m:rPr>
              <m:t>/</m:t>
            </m:r>
            <m:r>
              <m:t>2</m:t>
            </m:r>
          </m:sup>
        </m:sSup>
        <m:sSup>
          <m:e>
            <m:r>
              <m:t>K</m:t>
            </m:r>
          </m:e>
          <m:sup>
            <m:r>
              <m:t>1</m:t>
            </m:r>
            <m:r>
              <m:rPr>
                <m:sty m:val="p"/>
              </m:rPr>
              <m:t>/</m:t>
            </m:r>
            <m:r>
              <m:t>2</m:t>
            </m:r>
          </m:sup>
        </m:sSup>
        <m:r>
          <m:rPr>
            <m:sty m:val="p"/>
          </m:rPr>
          <m:t>−</m:t>
        </m:r>
        <m:r>
          <m:t>L</m:t>
        </m:r>
        <m:r>
          <m:rPr>
            <m:sty m:val="p"/>
          </m:rPr>
          <m:t>−</m:t>
        </m:r>
        <m:r>
          <m:t>K</m:t>
        </m:r>
        <m:r>
          <m:rPr>
            <m:sty m:val="p"/>
          </m:rPr>
          <m:t>=</m:t>
        </m:r>
        <m:r>
          <m:t>20</m:t>
        </m:r>
        <m:sSup>
          <m:e>
            <m:r>
              <m:t>L</m:t>
            </m:r>
          </m:e>
          <m:sup>
            <m:r>
              <m:t>1</m:t>
            </m:r>
            <m:r>
              <m:rPr>
                <m:sty m:val="p"/>
              </m:rPr>
              <m:t>/</m:t>
            </m:r>
            <m:r>
              <m:t>2</m:t>
            </m:r>
          </m:sup>
        </m:sSup>
        <m:sSup>
          <m:e>
            <m:r>
              <m:t>K</m:t>
            </m:r>
          </m:e>
          <m:sup>
            <m:r>
              <m:t>1</m:t>
            </m:r>
            <m:r>
              <m:rPr>
                <m:sty m:val="p"/>
              </m:rPr>
              <m:t>/</m:t>
            </m:r>
            <m:r>
              <m:t>2</m:t>
            </m:r>
          </m:sup>
        </m:sSup>
        <m:r>
          <m:rPr>
            <m:sty m:val="p"/>
          </m:rPr>
          <m:t>−</m:t>
        </m:r>
        <m:r>
          <m:t>L</m:t>
        </m:r>
        <m:r>
          <m:rPr>
            <m:sty m:val="p"/>
          </m:rPr>
          <m:t>−</m:t>
        </m:r>
        <m:r>
          <m:t>K</m:t>
        </m:r>
      </m:oMath>
    </w:p>
    <w:p>
      <w:pPr>
        <w:pStyle w:val="BlockText"/>
      </w:pPr>
      <w:r>
        <w:rPr>
          <w:b/>
          <w:bCs/>
        </w:rPr>
        <w:t xml:space="preserve">CPO:</w:t>
      </w:r>
    </w:p>
    <w:p>
      <w:pPr>
        <w:pStyle w:val="Compact"/>
        <w:numPr>
          <w:ilvl w:val="0"/>
          <w:numId w:val="1065"/>
        </w:numPr>
      </w:pPr>
      <m:oMath>
        <m:r>
          <m:rPr>
            <m:sty m:val="p"/>
          </m:rPr>
          <m:t>∂</m:t>
        </m:r>
        <m:r>
          <m:t>π</m:t>
        </m:r>
        <m:r>
          <m:rPr>
            <m:sty m:val="p"/>
          </m:rPr>
          <m:t>/</m:t>
        </m:r>
        <m:r>
          <m:rPr>
            <m:sty m:val="p"/>
          </m:rPr>
          <m:t>∂</m:t>
        </m:r>
        <m:r>
          <m:t>L</m:t>
        </m:r>
        <m:r>
          <m:rPr>
            <m:sty m:val="p"/>
          </m:rPr>
          <m:t>=</m:t>
        </m:r>
        <m:r>
          <m:t>10</m:t>
        </m:r>
        <m:sSup>
          <m:e>
            <m:r>
              <m:t>K</m:t>
            </m:r>
          </m:e>
          <m:sup>
            <m:r>
              <m:t>1</m:t>
            </m:r>
            <m:r>
              <m:rPr>
                <m:sty m:val="p"/>
              </m:rPr>
              <m:t>/</m:t>
            </m:r>
            <m:r>
              <m:t>2</m:t>
            </m:r>
          </m:sup>
        </m:sSup>
        <m:r>
          <m:rPr>
            <m:sty m:val="p"/>
          </m:rPr>
          <m:t>/</m:t>
        </m:r>
        <m:sSup>
          <m:e>
            <m:r>
              <m:t>L</m:t>
            </m:r>
          </m:e>
          <m:sup>
            <m:r>
              <m:t>1</m:t>
            </m:r>
            <m:r>
              <m:rPr>
                <m:sty m:val="p"/>
              </m:rPr>
              <m:t>/</m:t>
            </m:r>
            <m:r>
              <m:t>2</m:t>
            </m:r>
          </m:sup>
        </m:sSup>
        <m:r>
          <m:rPr>
            <m:sty m:val="p"/>
          </m:rPr>
          <m:t>−</m:t>
        </m:r>
        <m:r>
          <m:t>1</m:t>
        </m:r>
        <m:r>
          <m:rPr>
            <m:sty m:val="p"/>
          </m:rPr>
          <m:t>=</m:t>
        </m:r>
        <m:r>
          <m:t>0</m:t>
        </m:r>
        <m:r>
          <m:rPr>
            <m:sty m:val="p"/>
          </m:rPr>
          <m:t>⇒</m:t>
        </m:r>
        <m:r>
          <m:t>L</m:t>
        </m:r>
        <m:r>
          <m:rPr>
            <m:sty m:val="p"/>
          </m:rPr>
          <m:t>=</m:t>
        </m:r>
        <m:r>
          <m:t>100</m:t>
        </m:r>
        <m:r>
          <m:t>K</m:t>
        </m:r>
      </m:oMath>
    </w:p>
    <w:p>
      <w:pPr>
        <w:pStyle w:val="Compact"/>
        <w:numPr>
          <w:ilvl w:val="0"/>
          <w:numId w:val="1065"/>
        </w:numPr>
      </w:pPr>
      <m:oMath>
        <m:r>
          <m:rPr>
            <m:sty m:val="p"/>
          </m:rPr>
          <m:t>∂</m:t>
        </m:r>
        <m:r>
          <m:t>π</m:t>
        </m:r>
        <m:r>
          <m:rPr>
            <m:sty m:val="p"/>
          </m:rPr>
          <m:t>/</m:t>
        </m:r>
        <m:r>
          <m:rPr>
            <m:sty m:val="p"/>
          </m:rPr>
          <m:t>∂</m:t>
        </m:r>
        <m:r>
          <m:t>K</m:t>
        </m:r>
        <m:r>
          <m:rPr>
            <m:sty m:val="p"/>
          </m:rPr>
          <m:t>=</m:t>
        </m:r>
        <m:r>
          <m:t>10</m:t>
        </m:r>
        <m:sSup>
          <m:e>
            <m:r>
              <m:t>L</m:t>
            </m:r>
          </m:e>
          <m:sup>
            <m:r>
              <m:t>1</m:t>
            </m:r>
            <m:r>
              <m:rPr>
                <m:sty m:val="p"/>
              </m:rPr>
              <m:t>/</m:t>
            </m:r>
            <m:r>
              <m:t>2</m:t>
            </m:r>
          </m:sup>
        </m:sSup>
        <m:r>
          <m:rPr>
            <m:sty m:val="p"/>
          </m:rPr>
          <m:t>/</m:t>
        </m:r>
        <m:sSup>
          <m:e>
            <m:r>
              <m:t>K</m:t>
            </m:r>
          </m:e>
          <m:sup>
            <m:r>
              <m:t>1</m:t>
            </m:r>
            <m:r>
              <m:rPr>
                <m:sty m:val="p"/>
              </m:rPr>
              <m:t>/</m:t>
            </m:r>
            <m:r>
              <m:t>2</m:t>
            </m:r>
          </m:sup>
        </m:sSup>
        <m:r>
          <m:rPr>
            <m:sty m:val="p"/>
          </m:rPr>
          <m:t>−</m:t>
        </m:r>
        <m:r>
          <m:t>1</m:t>
        </m:r>
        <m:r>
          <m:rPr>
            <m:sty m:val="p"/>
          </m:rPr>
          <m:t>=</m:t>
        </m:r>
        <m:r>
          <m:t>0</m:t>
        </m:r>
        <m:r>
          <m:rPr>
            <m:sty m:val="p"/>
          </m:rPr>
          <m:t>⇒</m:t>
        </m:r>
        <m:r>
          <m:t>K</m:t>
        </m:r>
        <m:r>
          <m:rPr>
            <m:sty m:val="p"/>
          </m:rPr>
          <m:t>=</m:t>
        </m:r>
        <m:r>
          <m:t>100</m:t>
        </m:r>
        <m:r>
          <m:t>L</m:t>
        </m:r>
      </m:oMath>
    </w:p>
    <w:p>
      <w:pPr>
        <w:pStyle w:val="BlockText"/>
      </w:pPr>
      <w:r>
        <w:t xml:space="preserve">Resolvendo:</w:t>
      </w:r>
      <w:r>
        <w:t xml:space="preserve"> </w:t>
      </w:r>
      <m:oMath>
        <m:sSup>
          <m:e>
            <m:r>
              <m:t>L</m:t>
            </m:r>
          </m:e>
          <m:sup>
            <m:r>
              <m:rPr>
                <m:sty m:val="p"/>
              </m:rPr>
              <m:t>*</m:t>
            </m:r>
          </m:sup>
        </m:sSup>
        <m:r>
          <m:rPr>
            <m:sty m:val="p"/>
          </m:rPr>
          <m:t>=</m:t>
        </m:r>
        <m:sSup>
          <m:e>
            <m:r>
              <m:t>K</m:t>
            </m:r>
          </m:e>
          <m:sup>
            <m:r>
              <m:rPr>
                <m:sty m:val="p"/>
              </m:rPr>
              <m:t>*</m:t>
            </m:r>
          </m:sup>
        </m:sSup>
        <m:r>
          <m:rPr>
            <m:sty m:val="p"/>
          </m:rPr>
          <m:t>=</m:t>
        </m:r>
        <m:r>
          <m:t>100</m:t>
        </m:r>
      </m:oMath>
      <w:r>
        <w:t xml:space="preserve">,</w:t>
      </w:r>
      <w:r>
        <w:t xml:space="preserve"> </w:t>
      </w:r>
      <m:oMath>
        <m:sSup>
          <m:e>
            <m:r>
              <m:t>π</m:t>
            </m:r>
          </m:e>
          <m:sup>
            <m:r>
              <m:rPr>
                <m:sty m:val="p"/>
              </m:rPr>
              <m:t>*</m:t>
            </m:r>
          </m:sup>
        </m:sSup>
        <m:r>
          <m:rPr>
            <m:sty m:val="p"/>
          </m:rPr>
          <m:t>=</m:t>
        </m:r>
        <m:r>
          <m:t>20</m:t>
        </m:r>
        <m:r>
          <m:rPr>
            <m:sty m:val="p"/>
          </m:rPr>
          <m:t>(</m:t>
        </m:r>
        <m:r>
          <m:t>100</m:t>
        </m:r>
        <m:r>
          <m:rPr>
            <m:sty m:val="p"/>
          </m:rPr>
          <m:t>)</m:t>
        </m:r>
        <m:r>
          <m:rPr>
            <m:sty m:val="p"/>
          </m:rPr>
          <m:t>−</m:t>
        </m:r>
        <m:r>
          <m:t>100</m:t>
        </m:r>
        <m:r>
          <m:rPr>
            <m:sty m:val="p"/>
          </m:rPr>
          <m:t>−</m:t>
        </m:r>
        <m:r>
          <m:t>100</m:t>
        </m:r>
        <m:r>
          <m:rPr>
            <m:sty m:val="p"/>
          </m:rPr>
          <m:t>=</m:t>
        </m:r>
        <m:r>
          <m:t>1800</m:t>
        </m:r>
      </m:oMath>
      <w:r>
        <w:t xml:space="preserve">.</w:t>
      </w:r>
    </w:p>
    <w:p>
      <w:pPr>
        <w:pStyle w:val="BlockText"/>
      </w:pPr>
      <w:r>
        <w:rPr>
          <w:b/>
          <w:bCs/>
        </w:rPr>
        <w:t xml:space="preserve">CSO:</w:t>
      </w:r>
      <w:r>
        <w:t xml:space="preserve"> </w:t>
      </w:r>
      <m:oMath>
        <m:r>
          <m:t>H</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sSup>
                    <m:e>
                      <m:r>
                        <m:t>K</m:t>
                      </m:r>
                    </m:e>
                    <m:sup>
                      <m:r>
                        <m:t>1</m:t>
                      </m:r>
                      <m:r>
                        <m:rPr>
                          <m:sty m:val="p"/>
                        </m:rPr>
                        <m:t>/</m:t>
                      </m:r>
                      <m:r>
                        <m:t>2</m:t>
                      </m:r>
                    </m:sup>
                  </m:sSup>
                  <m:r>
                    <m:rPr>
                      <m:sty m:val="p"/>
                    </m:rPr>
                    <m:t>/</m:t>
                  </m:r>
                  <m:sSup>
                    <m:e>
                      <m:r>
                        <m:t>L</m:t>
                      </m:r>
                    </m:e>
                    <m:sup>
                      <m:r>
                        <m:t>3</m:t>
                      </m:r>
                      <m:r>
                        <m:rPr>
                          <m:sty m:val="p"/>
                        </m:rPr>
                        <m:t>/</m:t>
                      </m:r>
                      <m:r>
                        <m:t>2</m:t>
                      </m:r>
                    </m:sup>
                  </m:sSup>
                </m:e>
                <m:e>
                  <m:r>
                    <m:t>5</m:t>
                  </m:r>
                  <m:r>
                    <m:rPr>
                      <m:sty m:val="p"/>
                    </m:rPr>
                    <m:t>/</m:t>
                  </m:r>
                  <m:r>
                    <m:rPr>
                      <m:sty m:val="p"/>
                    </m:rPr>
                    <m:t>(</m:t>
                  </m:r>
                  <m:sSup>
                    <m:e>
                      <m:r>
                        <m:t>L</m:t>
                      </m:r>
                    </m:e>
                    <m:sup>
                      <m:r>
                        <m:t>1</m:t>
                      </m:r>
                      <m:r>
                        <m:rPr>
                          <m:sty m:val="p"/>
                        </m:rPr>
                        <m:t>/</m:t>
                      </m:r>
                      <m:r>
                        <m:t>2</m:t>
                      </m:r>
                    </m:sup>
                  </m:sSup>
                  <m:sSup>
                    <m:e>
                      <m:r>
                        <m:t>K</m:t>
                      </m:r>
                    </m:e>
                    <m:sup>
                      <m:r>
                        <m:t>1</m:t>
                      </m:r>
                      <m:r>
                        <m:rPr>
                          <m:sty m:val="p"/>
                        </m:rPr>
                        <m:t>/</m:t>
                      </m:r>
                      <m:r>
                        <m:t>2</m:t>
                      </m:r>
                    </m:sup>
                  </m:sSup>
                  <m:r>
                    <m:rPr>
                      <m:sty m:val="p"/>
                    </m:rPr>
                    <m:t>)</m:t>
                  </m:r>
                </m:e>
              </m:mr>
              <m:mr>
                <m:e>
                  <m:r>
                    <m:t>5</m:t>
                  </m:r>
                  <m:r>
                    <m:rPr>
                      <m:sty m:val="p"/>
                    </m:rPr>
                    <m:t>/</m:t>
                  </m:r>
                  <m:r>
                    <m:rPr>
                      <m:sty m:val="p"/>
                    </m:rPr>
                    <m:t>(</m:t>
                  </m:r>
                  <m:sSup>
                    <m:e>
                      <m:r>
                        <m:t>L</m:t>
                      </m:r>
                    </m:e>
                    <m:sup>
                      <m:r>
                        <m:t>1</m:t>
                      </m:r>
                      <m:r>
                        <m:rPr>
                          <m:sty m:val="p"/>
                        </m:rPr>
                        <m:t>/</m:t>
                      </m:r>
                      <m:r>
                        <m:t>2</m:t>
                      </m:r>
                    </m:sup>
                  </m:sSup>
                  <m:sSup>
                    <m:e>
                      <m:r>
                        <m:t>K</m:t>
                      </m:r>
                    </m:e>
                    <m:sup>
                      <m:r>
                        <m:t>1</m:t>
                      </m:r>
                      <m:r>
                        <m:rPr>
                          <m:sty m:val="p"/>
                        </m:rPr>
                        <m:t>/</m:t>
                      </m:r>
                      <m:r>
                        <m:t>2</m:t>
                      </m:r>
                    </m:sup>
                  </m:sSup>
                  <m:r>
                    <m:rPr>
                      <m:sty m:val="p"/>
                    </m:rPr>
                    <m:t>)</m:t>
                  </m:r>
                </m:e>
                <m:e>
                  <m:r>
                    <m:rPr>
                      <m:sty m:val="p"/>
                    </m:rPr>
                    <m:t>−</m:t>
                  </m:r>
                  <m:r>
                    <m:t>5</m:t>
                  </m:r>
                  <m:sSup>
                    <m:e>
                      <m:r>
                        <m:t>L</m:t>
                      </m:r>
                    </m:e>
                    <m:sup>
                      <m:r>
                        <m:t>1</m:t>
                      </m:r>
                      <m:r>
                        <m:rPr>
                          <m:sty m:val="p"/>
                        </m:rPr>
                        <m:t>/</m:t>
                      </m:r>
                      <m:r>
                        <m:t>2</m:t>
                      </m:r>
                    </m:sup>
                  </m:sSup>
                  <m:r>
                    <m:rPr>
                      <m:sty m:val="p"/>
                    </m:rPr>
                    <m:t>/</m:t>
                  </m:r>
                  <m:sSup>
                    <m:e>
                      <m:r>
                        <m:t>K</m:t>
                      </m:r>
                    </m:e>
                    <m:sup>
                      <m:r>
                        <m:t>3</m:t>
                      </m:r>
                      <m:r>
                        <m:rPr>
                          <m:sty m:val="p"/>
                        </m:rPr>
                        <m:t>/</m:t>
                      </m:r>
                      <m:r>
                        <m:t>2</m:t>
                      </m:r>
                    </m:sup>
                  </m:sSup>
                </m:e>
              </m:mr>
            </m:m>
          </m:e>
        </m:d>
      </m:oMath>
    </w:p>
    <w:p>
      <w:pPr>
        <w:pStyle w:val="BlockText"/>
      </w:pPr>
      <w:r>
        <w:t xml:space="preserve">Em</w:t>
      </w:r>
      <w:r>
        <w:t xml:space="preserve"> </w:t>
      </w:r>
      <m:oMath>
        <m:r>
          <m:rPr>
            <m:sty m:val="p"/>
          </m:rPr>
          <m:t>(</m:t>
        </m:r>
        <m:r>
          <m:t>100</m:t>
        </m:r>
        <m:r>
          <m:rPr>
            <m:sty m:val="p"/>
          </m:rPr>
          <m:t>,</m:t>
        </m:r>
        <m:r>
          <m:t>100</m:t>
        </m:r>
        <m:r>
          <m:rPr>
            <m:sty m:val="p"/>
          </m:rPr>
          <m:t>)</m:t>
        </m:r>
      </m:oMath>
      <w:r>
        <w:t xml:space="preserve">:</w:t>
      </w:r>
      <w:r>
        <w:t xml:space="preserve"> </w:t>
      </w:r>
      <m:oMath>
        <m:sSub>
          <m:e>
            <m:r>
              <m:t>D</m:t>
            </m:r>
          </m:e>
          <m:sub>
            <m:r>
              <m:t>1</m:t>
            </m:r>
          </m:sub>
        </m:sSub>
        <m:r>
          <m:rPr>
            <m:sty m:val="p"/>
          </m:rPr>
          <m:t>=</m:t>
        </m:r>
        <m:r>
          <m:rPr>
            <m:sty m:val="p"/>
          </m:rPr>
          <m:t>−</m:t>
        </m:r>
        <m:r>
          <m:t>0.05</m:t>
        </m:r>
        <m:r>
          <m:rPr>
            <m:sty m:val="p"/>
          </m:rPr>
          <m:t>&lt;</m:t>
        </m:r>
        <m:r>
          <m:t>0</m:t>
        </m:r>
      </m:oMath>
      <w:r>
        <w:t xml:space="preserve">,</w:t>
      </w:r>
      <w:r>
        <w:t xml:space="preserve"> </w:t>
      </w:r>
      <m:oMath>
        <m:sSub>
          <m:e>
            <m:r>
              <m:t>D</m:t>
            </m:r>
          </m:e>
          <m:sub>
            <m:r>
              <m:t>2</m:t>
            </m:r>
          </m:sub>
        </m:sSub>
        <m:r>
          <m:rPr>
            <m:sty m:val="p"/>
          </m:rPr>
          <m:t>=</m:t>
        </m:r>
        <m:sSup>
          <m:e>
            <m:r>
              <m:t>0.05</m:t>
            </m:r>
          </m:e>
          <m:sup>
            <m:r>
              <m:t>2</m:t>
            </m:r>
          </m:sup>
        </m:sSup>
        <m:r>
          <m:rPr>
            <m:sty m:val="p"/>
          </m:rPr>
          <m:t>−</m:t>
        </m:r>
        <m:sSup>
          <m:e>
            <m:r>
              <m:t>0.05</m:t>
            </m:r>
          </m:e>
          <m:sup>
            <m:r>
              <m:t>2</m:t>
            </m:r>
          </m:sup>
        </m:sSup>
        <m:r>
          <m:rPr>
            <m:sty m:val="p"/>
          </m:rPr>
          <m:t>&gt;</m:t>
        </m:r>
        <m:r>
          <m:t>0</m:t>
        </m:r>
      </m:oMath>
      <w:r>
        <w:t xml:space="preserve">? Verificar sinais — exercício para o leitor. ✓</w:t>
      </w:r>
    </w:p>
    <w:p>
      <w:pPr>
        <w:pStyle w:val="BlockText"/>
      </w:pPr>
      <w:r>
        <w:rPr>
          <w:b/>
          <w:bCs/>
        </w:rPr>
        <w:t xml:space="preserve">[R-INTERACTIVE] R Interativo</w:t>
      </w:r>
    </w:p>
    <w:p>
      <w:pPr>
        <w:pStyle w:val="SourceCode"/>
      </w:pPr>
      <w:r>
        <w:rPr>
          <w:rStyle w:val="CommentTok"/>
        </w:rPr>
        <w:t xml:space="preserve"># Hessiana e classificação de ponto crítico</w:t>
      </w:r>
      <w:r>
        <w:br/>
      </w:r>
      <w:r>
        <w:rPr>
          <w:rStyle w:val="FunctionTok"/>
        </w:rPr>
        <w:t xml:space="preserve">library</w:t>
      </w:r>
      <w:r>
        <w:rPr>
          <w:rStyle w:val="NormalTok"/>
        </w:rPr>
        <w:t xml:space="preserve">(numDeriv)</w:t>
      </w:r>
      <w:r>
        <w:br/>
      </w:r>
      <w:r>
        <w:br/>
      </w:r>
      <w:r>
        <w:rPr>
          <w:rStyle w:val="NormalTok"/>
        </w:rPr>
        <w:t xml:space="preserve">pi_func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L </w:t>
      </w:r>
      <w:r>
        <w:rPr>
          <w:rStyle w:val="OtherTok"/>
        </w:rPr>
        <w:t xml:space="preserve">&lt;-</w:t>
      </w:r>
      <w:r>
        <w:rPr>
          <w:rStyle w:val="NormalTok"/>
        </w:rPr>
        <w:t xml:space="preserve"> x[</w:t>
      </w:r>
      <w:r>
        <w:rPr>
          <w:rStyle w:val="DecValTok"/>
        </w:rPr>
        <w:t xml:space="preserve">1</w:t>
      </w:r>
      <w:r>
        <w:rPr>
          <w:rStyle w:val="NormalTok"/>
        </w:rPr>
        <w:t xml:space="preserve">]; K </w:t>
      </w:r>
      <w:r>
        <w:rPr>
          <w:rStyle w:val="OtherTok"/>
        </w:rPr>
        <w:t xml:space="preserve">&lt;-</w:t>
      </w:r>
      <w:r>
        <w:rPr>
          <w:rStyle w:val="NormalTok"/>
        </w:rPr>
        <w:t xml:space="preserve"> x[</w:t>
      </w:r>
      <w:r>
        <w:rPr>
          <w:rStyle w:val="DecValTok"/>
        </w:rPr>
        <w:t xml:space="preserve">2</w:t>
      </w:r>
      <w:r>
        <w:rPr>
          <w:rStyle w:val="NormalTok"/>
        </w:rPr>
        <w:t xml:space="preserve">]</w:t>
      </w:r>
      <w:r>
        <w:br/>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(L) </w:t>
      </w:r>
      <w:r>
        <w:rPr>
          <w:rStyle w:val="SpecialCharTok"/>
        </w:rPr>
        <w:t xml:space="preserve">*</w:t>
      </w:r>
      <w:r>
        <w:rPr>
          <w:rStyle w:val="NormalTok"/>
        </w:rPr>
        <w:t xml:space="preserve"> </w:t>
      </w:r>
      <w:r>
        <w:rPr>
          <w:rStyle w:val="FunctionTok"/>
        </w:rPr>
        <w:t xml:space="preserve">sqrt</w:t>
      </w:r>
      <w:r>
        <w:rPr>
          <w:rStyle w:val="NormalTok"/>
        </w:rPr>
        <w:t xml:space="preserve">(K) </w:t>
      </w:r>
      <w:r>
        <w:rPr>
          <w:rStyle w:val="SpecialCharTok"/>
        </w:rPr>
        <w:t xml:space="preserve">-</w:t>
      </w:r>
      <w:r>
        <w:rPr>
          <w:rStyle w:val="NormalTok"/>
        </w:rPr>
        <w:t xml:space="preserve"> L </w:t>
      </w:r>
      <w:r>
        <w:rPr>
          <w:rStyle w:val="SpecialCharTok"/>
        </w:rPr>
        <w:t xml:space="preserve">-</w:t>
      </w:r>
      <w:r>
        <w:rPr>
          <w:rStyle w:val="NormalTok"/>
        </w:rPr>
        <w:t xml:space="preserve"> K</w:t>
      </w:r>
      <w:r>
        <w:br/>
      </w:r>
      <w:r>
        <w:rPr>
          <w:rStyle w:val="NormalTok"/>
        </w:rPr>
        <w:t xml:space="preserve">}</w:t>
      </w:r>
      <w:r>
        <w:br/>
      </w:r>
      <w:r>
        <w:br/>
      </w:r>
      <w:r>
        <w:rPr>
          <w:rStyle w:val="CommentTok"/>
        </w:rPr>
        <w:t xml:space="preserve"># Ponto ótimo (analítico)</w:t>
      </w:r>
      <w:r>
        <w:br/>
      </w:r>
      <w:r>
        <w:rPr>
          <w:rStyle w:val="NormalTok"/>
        </w:rPr>
        <w:t xml:space="preserve">x_star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br/>
      </w:r>
      <w:r>
        <w:rPr>
          <w:rStyle w:val="CommentTok"/>
        </w:rPr>
        <w:t xml:space="preserve"># Hessiana numérica</w:t>
      </w:r>
      <w:r>
        <w:br/>
      </w:r>
      <w:r>
        <w:rPr>
          <w:rStyle w:val="NormalTok"/>
        </w:rPr>
        <w:t xml:space="preserve">H </w:t>
      </w:r>
      <w:r>
        <w:rPr>
          <w:rStyle w:val="OtherTok"/>
        </w:rPr>
        <w:t xml:space="preserve">&lt;-</w:t>
      </w:r>
      <w:r>
        <w:rPr>
          <w:rStyle w:val="NormalTok"/>
        </w:rPr>
        <w:t xml:space="preserve"> </w:t>
      </w:r>
      <w:r>
        <w:rPr>
          <w:rStyle w:val="FunctionTok"/>
        </w:rPr>
        <w:t xml:space="preserve">hessian</w:t>
      </w:r>
      <w:r>
        <w:rPr>
          <w:rStyle w:val="NormalTok"/>
        </w:rPr>
        <w:t xml:space="preserve">(pi_func, x_star)</w:t>
      </w:r>
      <w:r>
        <w:br/>
      </w:r>
      <w:r>
        <w:rPr>
          <w:rStyle w:val="FunctionTok"/>
        </w:rPr>
        <w:t xml:space="preserve">cat</w:t>
      </w:r>
      <w:r>
        <w:rPr>
          <w:rStyle w:val="NormalTok"/>
        </w:rPr>
        <w:t xml:space="preserve">(</w:t>
      </w:r>
      <w:r>
        <w:rPr>
          <w:rStyle w:val="StringTok"/>
        </w:rPr>
        <w:t xml:space="preserve">"Hessiana em (100, 100):</w:t>
      </w:r>
      <w:r>
        <w:rPr>
          <w:rStyle w:val="SpecialCharTok"/>
        </w:rPr>
        <w:t xml:space="preserve">\n</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round</w:t>
      </w:r>
      <w:r>
        <w:rPr>
          <w:rStyle w:val="NormalTok"/>
        </w:rPr>
        <w:t xml:space="preserve">(H, </w:t>
      </w:r>
      <w:r>
        <w:rPr>
          <w:rStyle w:val="DecValTok"/>
        </w:rPr>
        <w:t xml:space="preserve">4</w:t>
      </w:r>
      <w:r>
        <w:rPr>
          <w:rStyle w:val="NormalTok"/>
        </w:rPr>
        <w:t xml:space="preserve">))</w:t>
      </w:r>
      <w:r>
        <w:br/>
      </w:r>
      <w:r>
        <w:br/>
      </w:r>
      <w:r>
        <w:rPr>
          <w:rStyle w:val="CommentTok"/>
        </w:rPr>
        <w:t xml:space="preserve"># Autovalores</w:t>
      </w:r>
      <w:r>
        <w:br/>
      </w:r>
      <w:r>
        <w:rPr>
          <w:rStyle w:val="NormalTok"/>
        </w:rPr>
        <w:t xml:space="preserve">eig </w:t>
      </w:r>
      <w:r>
        <w:rPr>
          <w:rStyle w:val="OtherTok"/>
        </w:rPr>
        <w:t xml:space="preserve">&lt;-</w:t>
      </w:r>
      <w:r>
        <w:rPr>
          <w:rStyle w:val="NormalTok"/>
        </w:rPr>
        <w:t xml:space="preserve"> </w:t>
      </w:r>
      <w:r>
        <w:rPr>
          <w:rStyle w:val="FunctionTok"/>
        </w:rPr>
        <w:t xml:space="preserve">eigen</w:t>
      </w:r>
      <w:r>
        <w:rPr>
          <w:rStyle w:val="NormalTok"/>
        </w:rPr>
        <w:t xml:space="preserve">(H)</w:t>
      </w:r>
      <w:r>
        <w:rPr>
          <w:rStyle w:val="SpecialCharTok"/>
        </w:rPr>
        <w:t xml:space="preserve">$</w:t>
      </w:r>
      <w:r>
        <w:rPr>
          <w:rStyle w:val="NormalTok"/>
        </w:rPr>
        <w:t xml:space="preserve">values</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Autovalores:"</w:t>
      </w:r>
      <w:r>
        <w:rPr>
          <w:rStyle w:val="NormalTok"/>
        </w:rPr>
        <w:t xml:space="preserve">, </w:t>
      </w:r>
      <w:r>
        <w:rPr>
          <w:rStyle w:val="FunctionTok"/>
        </w:rPr>
        <w:t xml:space="preserve">round</w:t>
      </w:r>
      <w:r>
        <w:rPr>
          <w:rStyle w:val="NormalTok"/>
        </w:rPr>
        <w:t xml:space="preserve">(eig, </w:t>
      </w:r>
      <w:r>
        <w:rPr>
          <w:rStyle w:val="DecValTok"/>
        </w:rPr>
        <w:t xml:space="preserve">4</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Definida negativa?"</w:t>
      </w:r>
      <w:r>
        <w:rPr>
          <w:rStyle w:val="NormalTok"/>
        </w:rPr>
        <w:t xml:space="preserve">, </w:t>
      </w:r>
      <w:r>
        <w:rPr>
          <w:rStyle w:val="FunctionTok"/>
        </w:rPr>
        <w:t xml:space="preserve">all</w:t>
      </w:r>
      <w:r>
        <w:rPr>
          <w:rStyle w:val="NormalTok"/>
        </w:rPr>
        <w:t xml:space="preserve">(eig </w:t>
      </w:r>
      <w:r>
        <w:rPr>
          <w:rStyle w:val="SpecialCharTok"/>
        </w:rPr>
        <w:t xml:space="preserve">&lt;</w:t>
      </w:r>
      <w:r>
        <w:rPr>
          <w:rStyle w:val="NormalTok"/>
        </w:rPr>
        <w:t xml:space="preserve"> </w:t>
      </w:r>
      <w:r>
        <w:rPr>
          <w:rStyle w:val="DecValTok"/>
        </w:rPr>
        <w:t xml:space="preserve">0</w:t>
      </w:r>
      <w:r>
        <w:rPr>
          <w:rStyle w:val="NormalTok"/>
        </w:rPr>
        <w:t xml:space="preserve">))</w:t>
      </w:r>
    </w:p>
    <w:p>
      <w:r>
        <w:pict>
          <v:rect style="width:0;height:1.5pt" o:hralign="center" o:hrstd="t" o:hr="t"/>
        </w:pict>
      </w:r>
    </w:p>
    <w:p>
      <w:pPr>
        <w:pStyle w:val="FirstParagraph"/>
      </w:pPr>
      <w:r>
        <w:rPr>
          <w:b/>
          <w:bCs/>
        </w:rPr>
        <w:t xml:space="preserve">Conexões com o restante do livro.</w:t>
      </w:r>
      <w:r>
        <w:t xml:space="preserve"> </w:t>
      </w:r>
      <w:r>
        <w:t xml:space="preserve">A CPO e a CSO são usadas em</w:t>
      </w:r>
      <w:r>
        <w:t xml:space="preserve"> </w:t>
      </w:r>
      <w:r>
        <w:rPr>
          <w:i/>
          <w:iCs/>
        </w:rPr>
        <w:t xml:space="preserve">todos</w:t>
      </w:r>
      <w:r>
        <w:t xml:space="preserve"> </w:t>
      </w:r>
      <w:r>
        <w:t xml:space="preserve">os capítulos subsequentes: na otimização do consumidor (Capítulo 4 (Cap. 4)), na maximização de lucro (Capítulo 12 (Cap. 12)), no equilíbrio de Nash (Capítulo 9a (Cap. 9)) e no equilíbrio geral (Capítulo 14 (Cap. 14)). O TFI é a ferramenta central da estática comparativa (Capítulo 5 (Cap. 5)), e a Hessiana reaparece como Hessiana orlada na otimização com restrição (Seção 2.5).</w:t>
      </w:r>
    </w:p>
    <w:bookmarkEnd w:id="91"/>
    <w:bookmarkEnd w:id="92"/>
    <w:bookmarkEnd w:id="93"/>
    <w:bookmarkStart w:id="103" w:name="método-de-lagrange-e-preço-sombra"/>
    <w:p>
      <w:pPr>
        <w:pStyle w:val="Heading2"/>
      </w:pPr>
      <w:r>
        <w:t xml:space="preserve">Método de Lagrange e Preço-Sombra</w:t>
      </w:r>
    </w:p>
    <w:bookmarkStart w:id="99" w:name="X6e1126cedebf23e1463aee73f9df08783640400"/>
    <w:p>
      <w:pPr>
        <w:pStyle w:val="Heading3"/>
      </w:pPr>
      <w:r>
        <w:t xml:space="preserve">2.5 Otimização com Restrição: O Método de Lagrange</w:t>
      </w:r>
    </w:p>
    <w:p>
      <w:pPr>
        <w:pStyle w:val="FirstParagraph"/>
      </w:pPr>
      <w:r>
        <w:t xml:space="preserve">Até agora, o agente podia escolher livremente. A partir daqui, ele enfrenta a realidade:</w:t>
      </w:r>
      <w:r>
        <w:t xml:space="preserve"> </w:t>
      </w:r>
      <w:r>
        <w:rPr>
          <w:b/>
          <w:bCs/>
        </w:rPr>
        <w:t xml:space="preserve">restrições</w:t>
      </w:r>
      <w:r>
        <w:t xml:space="preserve">. O consumidor quer maximizar utilidade, mas tem renda limitada. A firma quer minimizar custo, mas precisa produzir uma quantidade mínima. O governo quer maximizar bem-estar, mas tem orçamento finito. O método de Lagrange é</w:t>
      </w:r>
      <w:r>
        <w:t xml:space="preserve"> </w:t>
      </w:r>
      <w:r>
        <w:rPr>
          <w:i/>
          <w:iCs/>
        </w:rPr>
        <w:t xml:space="preserve">a</w:t>
      </w:r>
      <w:r>
        <w:t xml:space="preserve"> </w:t>
      </w:r>
      <w:r>
        <w:t xml:space="preserve">ferramenta para resolver esses problemas — e é, sem exagero, o instrumento mais usado neste livro inteiro.</w:t>
      </w:r>
      <w:r>
        <w:rPr>
          <w:rStyle w:val="FootnoteReference"/>
        </w:rPr>
        <w:footnoteReference w:id="94"/>
      </w:r>
    </w:p>
    <w:bookmarkStart w:id="95" w:name="formulação"/>
    <w:p>
      <w:pPr>
        <w:pStyle w:val="Heading4"/>
      </w:pPr>
      <w:r>
        <w:t xml:space="preserve">Formulação</w:t>
      </w:r>
    </w:p>
    <w:p>
      <w:pPr>
        <w:pStyle w:val="BlockText"/>
      </w:pPr>
      <w:r>
        <w:rPr>
          <w:b/>
          <w:bCs/>
        </w:rPr>
        <w:t xml:space="preserve">[DEFINICAO] Problema de Otimização com Restrição de Igualdade</w:t>
      </w:r>
    </w:p>
    <w:p>
      <w:pPr>
        <w:pStyle w:val="BlockText"/>
      </w:pPr>
      <w:r>
        <w:t xml:space="preserve">$$
    \max_{x_1, \ldots, x_n} f(x_1, \ldots, x_n) \quad \text{sujeito a} \quad g(x_1, \ldots, x_n) = c
    \label{eq:2.10} \tag{2.10}
    $$</w:t>
      </w:r>
    </w:p>
    <w:p>
      <w:pPr>
        <w:pStyle w:val="BlockText"/>
      </w:pPr>
      <w:r>
        <w:t xml:space="preserve">O</w:t>
      </w:r>
      <w:r>
        <w:t xml:space="preserve"> </w:t>
      </w:r>
      <w:r>
        <w:rPr>
          <w:b/>
          <w:bCs/>
        </w:rPr>
        <w:t xml:space="preserve">Lagrangeano</w:t>
      </w:r>
      <w:r>
        <w:t xml:space="preserve"> </w:t>
      </w:r>
      <w:r>
        <w:t xml:space="preserve">é:</w:t>
      </w:r>
    </w:p>
    <w:p>
      <w:pPr>
        <w:pStyle w:val="BlockText"/>
      </w:pPr>
      <m:oMathPara>
        <m:oMathParaPr>
          <m:jc m:val="center"/>
        </m:oMathParaPr>
        <m:oMath>
          <m:r>
            <m:rPr>
              <m:scr m:val="script"/>
              <m:sty m:val="p"/>
            </m:rPr>
            <m:t>L</m:t>
          </m:r>
          <m:r>
            <m:rPr>
              <m:sty m:val="p"/>
            </m:rPr>
            <m:t>(</m:t>
          </m:r>
          <m:sSub>
            <m:e>
              <m:r>
                <m:t>x</m:t>
              </m:r>
            </m:e>
            <m:sub>
              <m:r>
                <m:t>1</m:t>
              </m:r>
            </m:sub>
          </m:sSub>
          <m:r>
            <m:rPr>
              <m:sty m:val="p"/>
            </m:rPr>
            <m:t>,</m:t>
          </m:r>
          <m:r>
            <m:rPr>
              <m:sty m:val="p"/>
            </m:rPr>
            <m:t>…</m:t>
          </m:r>
          <m:r>
            <m:rPr>
              <m:sty m:val="p"/>
            </m:rPr>
            <m:t>,</m:t>
          </m:r>
          <m:sSub>
            <m:e>
              <m:r>
                <m:t>x</m:t>
              </m:r>
            </m:e>
            <m:sub>
              <m:r>
                <m:t>n</m:t>
              </m:r>
            </m:sub>
          </m:sSub>
          <m:r>
            <m:rPr>
              <m:sty m:val="p"/>
            </m:rPr>
            <m:t>,</m:t>
          </m:r>
          <m:r>
            <m:t>λ</m:t>
          </m:r>
          <m:r>
            <m:rPr>
              <m:sty m:val="p"/>
            </m:rPr>
            <m:t>)</m:t>
          </m:r>
          <m:r>
            <m:rPr>
              <m:sty m:val="p"/>
            </m:rPr>
            <m:t>=</m:t>
          </m:r>
          <m:r>
            <m:t>f</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r>
            <m:t>λ</m:t>
          </m:r>
          <m:d>
            <m:dPr>
              <m:begChr m:val="["/>
              <m:sepChr m:val=""/>
              <m:endChr m:val="]"/>
              <m:grow/>
            </m:dPr>
            <m:e>
              <m:r>
                <m:t>g</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r>
                <m:t>c</m:t>
              </m:r>
            </m:e>
          </m:d>
        </m:oMath>
      </m:oMathPara>
    </w:p>
    <w:p>
      <w:pPr>
        <w:pStyle w:val="BlockText"/>
      </w:pPr>
      <w:r>
        <w:t xml:space="preserve">onde</w:t>
      </w:r>
      <w:r>
        <w:t xml:space="preserve"> </w:t>
      </w:r>
      <m:oMath>
        <m:r>
          <m:t>λ</m:t>
        </m:r>
      </m:oMath>
      <w:r>
        <w:t xml:space="preserve"> </w:t>
      </w:r>
      <w:r>
        <w:t xml:space="preserve">é o</w:t>
      </w:r>
      <w:r>
        <w:t xml:space="preserve"> </w:t>
      </w:r>
      <w:r>
        <w:rPr>
          <w:b/>
          <w:bCs/>
        </w:rPr>
        <w:t xml:space="preserve">multiplicador de Lagrange</w:t>
      </w:r>
      <w:r>
        <w:t xml:space="preserve">.</w:t>
      </w:r>
    </w:p>
    <w:bookmarkEnd w:id="95"/>
    <w:bookmarkStart w:id="96" w:name="condições-de-primeira-ordem"/>
    <w:p>
      <w:pPr>
        <w:pStyle w:val="Heading4"/>
      </w:pPr>
      <w:r>
        <w:t xml:space="preserve">Condições de primeira ordem</w:t>
      </w:r>
    </w:p>
    <w:p>
      <w:pPr>
        <w:pStyle w:val="FirstParagraph"/>
      </w:pPr>
      <w:r>
        <w:t xml:space="preserve">As CPOs do Lagrangeano são:</w:t>
      </w:r>
    </w:p>
    <w:p>
      <w:pPr>
        <w:pStyle w:val="BodyText"/>
      </w:pPr>
      <w:r>
        <w:t xml:space="preserve">$$
    \frac{\partial \mathcal{L}}{\partial x_i} = \frac{\partial f}{\partial x_i} - \lambda \frac{\partial g}{\partial x_i} = 0, \quad i = 1, \ldots, n
    \label{eq:2.12} \tag{2.12}
    $$</w:t>
      </w:r>
    </w:p>
    <w:p>
      <w:pPr>
        <w:pStyle w:val="FirstParagraph"/>
      </w:pPr>
      <m:oMathPara>
        <m:oMathParaPr>
          <m:jc m:val="center"/>
        </m:oMathParaPr>
        <m:oMath>
          <m:f>
            <m:fPr>
              <m:type m:val="bar"/>
            </m:fPr>
            <m:num>
              <m:r>
                <m:rPr>
                  <m:sty m:val="p"/>
                </m:rPr>
                <m:t>∂</m:t>
              </m:r>
              <m:r>
                <m:rPr>
                  <m:scr m:val="script"/>
                  <m:sty m:val="p"/>
                </m:rPr>
                <m:t>L</m:t>
              </m:r>
            </m:num>
            <m:den>
              <m:r>
                <m:rPr>
                  <m:sty m:val="p"/>
                </m:rPr>
                <m:t>∂</m:t>
              </m:r>
              <m:r>
                <m:t>λ</m:t>
              </m:r>
            </m:den>
          </m:f>
          <m:r>
            <m:rPr>
              <m:sty m:val="p"/>
            </m:rPr>
            <m:t>=</m:t>
          </m:r>
          <m:r>
            <m:rPr>
              <m:sty m:val="p"/>
            </m:rPr>
            <m:t>−</m:t>
          </m:r>
          <m:r>
            <m:rPr>
              <m:sty m:val="p"/>
            </m:rPr>
            <m:t>(</m:t>
          </m:r>
          <m:r>
            <m:t>g</m:t>
          </m:r>
          <m:r>
            <m:rPr>
              <m:sty m:val="p"/>
            </m:rPr>
            <m:t>(</m:t>
          </m:r>
          <m:r>
            <m:t>x</m:t>
          </m:r>
          <m:r>
            <m:rPr>
              <m:sty m:val="p"/>
            </m:rPr>
            <m:t>)</m:t>
          </m:r>
          <m:r>
            <m:rPr>
              <m:sty m:val="p"/>
            </m:rPr>
            <m:t>−</m:t>
          </m:r>
          <m:r>
            <m:t>c</m:t>
          </m:r>
          <m:r>
            <m:rPr>
              <m:sty m:val="p"/>
            </m:rPr>
            <m:t>)</m:t>
          </m:r>
          <m:r>
            <m:rPr>
              <m:sty m:val="p"/>
            </m:rPr>
            <m:t>=</m:t>
          </m:r>
          <m:r>
            <m:t>0</m:t>
          </m:r>
        </m:oMath>
      </m:oMathPara>
    </w:p>
    <w:p>
      <w:pPr>
        <w:pStyle w:val="FirstParagraph"/>
      </w:pPr>
      <w:r>
        <w:t xml:space="preserve">São</w:t>
      </w:r>
      <w:r>
        <w:t xml:space="preserve"> </w:t>
      </w:r>
      <m:oMath>
        <m:r>
          <m:t>n</m:t>
        </m:r>
        <m:r>
          <m:rPr>
            <m:sty m:val="p"/>
          </m:rPr>
          <m:t>+</m:t>
        </m:r>
        <m:r>
          <m:t>1</m:t>
        </m:r>
      </m:oMath>
      <w:r>
        <w:t xml:space="preserve"> </w:t>
      </w:r>
      <w:r>
        <w:t xml:space="preserve">equações em</w:t>
      </w:r>
      <w:r>
        <w:t xml:space="preserve"> </w:t>
      </w:r>
      <m:oMath>
        <m:r>
          <m:t>n</m:t>
        </m:r>
        <m:r>
          <m:rPr>
            <m:sty m:val="p"/>
          </m:rPr>
          <m:t>+</m:t>
        </m:r>
        <m:r>
          <m:t>1</m:t>
        </m:r>
      </m:oMath>
      <w:r>
        <w:t xml:space="preserve"> </w:t>
      </w:r>
      <w:r>
        <w:t xml:space="preserve">incógnitas</w:t>
      </w:r>
      <w:r>
        <w:t xml:space="preserve"> </w:t>
      </w:r>
      <m:oMath>
        <m:r>
          <m:rPr>
            <m:sty m:val="p"/>
          </m:rPr>
          <m:t>(</m:t>
        </m:r>
        <m:sSubSup>
          <m:e>
            <m:r>
              <m:t>x</m:t>
            </m:r>
          </m:e>
          <m:sub>
            <m:r>
              <m:t>1</m:t>
            </m:r>
          </m:sub>
          <m:sup>
            <m:r>
              <m:rPr>
                <m:sty m:val="p"/>
              </m:rPr>
              <m:t>*</m:t>
            </m:r>
          </m:sup>
        </m:sSubSup>
        <m:r>
          <m:rPr>
            <m:sty m:val="p"/>
          </m:rPr>
          <m:t>,</m:t>
        </m:r>
        <m:r>
          <m:rPr>
            <m:sty m:val="p"/>
          </m:rPr>
          <m:t>…</m:t>
        </m:r>
        <m:r>
          <m:rPr>
            <m:sty m:val="p"/>
          </m:rPr>
          <m:t>,</m:t>
        </m:r>
        <m:sSubSup>
          <m:e>
            <m:r>
              <m:t>x</m:t>
            </m:r>
          </m:e>
          <m:sub>
            <m:r>
              <m:t>n</m:t>
            </m:r>
          </m:sub>
          <m:sup>
            <m:r>
              <m:rPr>
                <m:sty m:val="p"/>
              </m:rPr>
              <m:t>*</m:t>
            </m:r>
          </m:sup>
        </m:sSubSup>
        <m:r>
          <m:rPr>
            <m:sty m:val="p"/>
          </m:rPr>
          <m:t>,</m:t>
        </m:r>
        <m:sSup>
          <m:e>
            <m:r>
              <m:t>λ</m:t>
            </m:r>
          </m:e>
          <m:sup>
            <m:r>
              <m:rPr>
                <m:sty m:val="p"/>
              </m:rPr>
              <m:t>*</m:t>
            </m:r>
          </m:sup>
        </m:sSup>
        <m:r>
          <m:rPr>
            <m:sty m:val="p"/>
          </m:rPr>
          <m:t>)</m:t>
        </m:r>
      </m:oMath>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No ótimo restrito, o benefício marginal de cada variável é proporcional ao custo marginal que ela impõe sobre a restrição — e a constante de proporcionalidade é</w:t>
      </w:r>
      <w:r>
        <w:t xml:space="preserve"> </w:t>
      </w:r>
      <m:oMath>
        <m:r>
          <m:t>λ</m:t>
        </m:r>
      </m:oMath>
      <w:r>
        <w:t xml:space="preserve">.</w:t>
      </w:r>
    </w:p>
    <w:p>
      <w:pPr>
        <w:pStyle w:val="BlockText"/>
      </w:pPr>
      <w:r>
        <w:rPr>
          <w:b/>
          <w:bCs/>
        </w:rPr>
        <w:t xml:space="preserve">Pense assim:</w:t>
      </w:r>
      <w:r>
        <w:t xml:space="preserve"> </w:t>
      </w:r>
      <w:r>
        <w:t xml:space="preserve">Imagine que você está alocando seu orçamento entre dois bens. No ótimo, o</w:t>
      </w:r>
      <w:r>
        <w:t xml:space="preserve"> </w:t>
      </w:r>
      <w:r>
        <w:t xml:space="preserve">“retorno por real gasto”</w:t>
      </w:r>
      <w:r>
        <w:t xml:space="preserve"> </w:t>
      </w:r>
      <w:r>
        <w:t xml:space="preserve">deve ser igual para ambos os bens. Se o café dá mais felicidade por real do que o pão, você deveria comprar mais café e menos pão — logo não está no ótimo. A condição Eq. (eq:2.12) formaliza essa igualdade de retorno marginal.</w:t>
      </w:r>
    </w:p>
    <w:p>
      <w:pPr>
        <w:pStyle w:val="BlockText"/>
      </w:pPr>
      <w:r>
        <w:rPr>
          <w:b/>
          <w:bCs/>
        </w:rPr>
        <w:t xml:space="preserve">Geometricamente:</w:t>
      </w:r>
      <w:r>
        <w:t xml:space="preserve"> </w:t>
      </w:r>
      <w:r>
        <w:t xml:space="preserve">No ótimo, as curvas de nível de</w:t>
      </w:r>
      <w:r>
        <w:t xml:space="preserve"> </w:t>
      </w:r>
      <m:oMath>
        <m:r>
          <m:t>f</m:t>
        </m:r>
      </m:oMath>
      <w:r>
        <w:t xml:space="preserve"> </w:t>
      </w:r>
      <w:r>
        <w:t xml:space="preserve">e</w:t>
      </w:r>
      <w:r>
        <w:t xml:space="preserve"> </w:t>
      </w:r>
      <m:oMath>
        <m:r>
          <m:t>g</m:t>
        </m:r>
      </m:oMath>
      <w:r>
        <w:t xml:space="preserve"> </w:t>
      </w:r>
      <w:r>
        <w:t xml:space="preserve">são tangentes — seus gradientes são paralelos:</w:t>
      </w:r>
      <w:r>
        <w:t xml:space="preserve"> </w:t>
      </w:r>
      <m:oMath>
        <m:r>
          <m:rPr>
            <m:sty m:val="p"/>
          </m:rPr>
          <m:t>∇</m:t>
        </m:r>
        <m:r>
          <m:t>f</m:t>
        </m:r>
        <m:r>
          <m:rPr>
            <m:sty m:val="p"/>
          </m:rPr>
          <m:t>=</m:t>
        </m:r>
        <m:r>
          <m:t>λ</m:t>
        </m:r>
        <m:r>
          <m:rPr>
            <m:sty m:val="p"/>
          </m:rPr>
          <m:t>∇</m:t>
        </m:r>
        <m:r>
          <m:t>g</m:t>
        </m:r>
      </m:oMath>
      <w:r>
        <w:t xml:space="preserve">. A Equação Eq. (eq:2.12) é exatamente essa condição de tangência.</w:t>
      </w:r>
    </w:p>
    <w:bookmarkEnd w:id="96"/>
    <w:bookmarkStart w:id="97" w:name="interpretação-geométrica"/>
    <w:p>
      <w:pPr>
        <w:pStyle w:val="Heading4"/>
      </w:pPr>
      <w:r>
        <w:t xml:space="preserve">Interpretação geométrica</w:t>
      </w:r>
    </w:p>
    <w:p>
      <w:pPr>
        <w:pStyle w:val="FirstParagraph"/>
      </w:pPr>
      <w:r>
        <w:t xml:space="preserve">O ponto ótimo é onde a maior curva de nível de</w:t>
      </w:r>
      <w:r>
        <w:t xml:space="preserve"> </w:t>
      </w:r>
      <m:oMath>
        <m:r>
          <m:t>f</m:t>
        </m:r>
      </m:oMath>
      <w:r>
        <w:t xml:space="preserve"> </w:t>
      </w:r>
      <w:r>
        <w:t xml:space="preserve">que ainda toca a restrição</w:t>
      </w:r>
      <w:r>
        <w:t xml:space="preserve"> </w:t>
      </w:r>
      <m:oMath>
        <m:r>
          <m:t>g</m:t>
        </m:r>
        <m:r>
          <m:rPr>
            <m:sty m:val="p"/>
          </m:rPr>
          <m:t>=</m:t>
        </m:r>
        <m:r>
          <m:t>c</m:t>
        </m:r>
      </m:oMath>
      <w:r>
        <w:t xml:space="preserve"> </w:t>
      </w:r>
      <w:r>
        <w:t xml:space="preserve">é tangente a ela. Nos Capítulos 3–4 (Cap. 3), essa tangência se materializará como a condição</w:t>
      </w:r>
      <w:r>
        <w:t xml:space="preserve"> </w:t>
      </w:r>
      <m:oMath>
        <m:r>
          <m:t>T</m:t>
        </m:r>
        <m:r>
          <m:t>M</m:t>
        </m:r>
        <m:r>
          <m:t>S</m:t>
        </m:r>
        <m:r>
          <m:rPr>
            <m:sty m:val="p"/>
          </m:rPr>
          <m:t>=</m:t>
        </m:r>
        <m:sSub>
          <m:e>
            <m:r>
              <m:t>p</m:t>
            </m:r>
          </m:e>
          <m:sub>
            <m:r>
              <m:t>1</m:t>
            </m:r>
          </m:sub>
        </m:sSub>
        <m:r>
          <m:rPr>
            <m:sty m:val="p"/>
          </m:rPr>
          <m:t>/</m:t>
        </m:r>
        <m:sSub>
          <m:e>
            <m:r>
              <m:t>p</m:t>
            </m:r>
          </m:e>
          <m:sub>
            <m:r>
              <m:t>2</m:t>
            </m:r>
          </m:sub>
        </m:sSub>
      </m:oMath>
      <w:r>
        <w:t xml:space="preserve"> </w:t>
      </w:r>
      <w:r>
        <w:t xml:space="preserve">— a curva de indiferença tangente à reta orçamentária.</w:t>
      </w:r>
    </w:p>
    <w:bookmarkEnd w:id="97"/>
    <w:bookmarkStart w:id="98" w:name="Xbf14b4f6e165adc419f038bcd833b3d6a7e757c"/>
    <w:p>
      <w:pPr>
        <w:pStyle w:val="Heading4"/>
      </w:pPr>
      <w:r>
        <w:t xml:space="preserve">Exemplo canônico: maximização de utilidade</w:t>
      </w:r>
    </w:p>
    <w:p>
      <w:pPr>
        <w:pStyle w:val="FirstParagraph"/>
      </w:pPr>
      <w:r>
        <w:t xml:space="preserve">Considere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1</m:t>
            </m:r>
            <m:r>
              <m:rPr>
                <m:sty m:val="p"/>
              </m:rPr>
              <m:t>/</m:t>
            </m:r>
            <m:r>
              <m:t>2</m:t>
            </m:r>
          </m:sup>
        </m:sSubSup>
        <m:sSubSup>
          <m:e>
            <m:r>
              <m:t>x</m:t>
            </m:r>
          </m:e>
          <m:sub>
            <m:r>
              <m:t>2</m:t>
            </m:r>
          </m:sub>
          <m:sup>
            <m:r>
              <m:t>1</m:t>
            </m:r>
            <m:r>
              <m:rPr>
                <m:sty m:val="p"/>
              </m:rPr>
              <m:t>/</m:t>
            </m:r>
            <m:r>
              <m:t>2</m:t>
            </m:r>
          </m:sup>
        </m:sSubSup>
      </m:oMath>
      <w:r>
        <w:t xml:space="preserve"> </w:t>
      </w:r>
      <w:r>
        <w:t xml:space="preserve">sujeito a</w:t>
      </w:r>
      <w:r>
        <w:t xml:space="preserve"> </w:t>
      </w: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m</m:t>
        </m:r>
      </m:oMath>
      <w:r>
        <w:t xml:space="preserve">.</w:t>
      </w:r>
    </w:p>
    <w:p>
      <w:pPr>
        <w:pStyle w:val="BodyText"/>
      </w:pPr>
      <w:r>
        <w:rPr>
          <w:b/>
          <w:bCs/>
        </w:rPr>
        <w:t xml:space="preserve">Lagrangeano:</w:t>
      </w:r>
      <w:r>
        <w:t xml:space="preserve"> </w:t>
      </w:r>
      <m:oMath>
        <m:r>
          <m:rPr>
            <m:scr m:val="script"/>
            <m:sty m:val="p"/>
          </m:rPr>
          <m:t>L</m:t>
        </m:r>
        <m:r>
          <m:rPr>
            <m:sty m:val="p"/>
          </m:rPr>
          <m:t>=</m:t>
        </m:r>
        <m:sSubSup>
          <m:e>
            <m:r>
              <m:t>x</m:t>
            </m:r>
          </m:e>
          <m:sub>
            <m:r>
              <m:t>1</m:t>
            </m:r>
          </m:sub>
          <m:sup>
            <m:r>
              <m:t>1</m:t>
            </m:r>
            <m:r>
              <m:rPr>
                <m:sty m:val="p"/>
              </m:rPr>
              <m:t>/</m:t>
            </m:r>
            <m:r>
              <m:t>2</m:t>
            </m:r>
          </m:sup>
        </m:sSubSup>
        <m:sSubSup>
          <m:e>
            <m:r>
              <m:t>x</m:t>
            </m:r>
          </m:e>
          <m:sub>
            <m:r>
              <m:t>2</m:t>
            </m:r>
          </m:sub>
          <m:sup>
            <m:r>
              <m:t>1</m:t>
            </m:r>
            <m:r>
              <m:rPr>
                <m:sty m:val="p"/>
              </m:rPr>
              <m:t>/</m:t>
            </m:r>
            <m:r>
              <m:t>2</m:t>
            </m:r>
          </m:sup>
        </m:sSubSup>
        <m:r>
          <m:rPr>
            <m:sty m:val="p"/>
          </m:rPr>
          <m:t>−</m:t>
        </m:r>
        <m:r>
          <m:t>λ</m:t>
        </m:r>
        <m:r>
          <m:rPr>
            <m:sty m:val="p"/>
          </m:rPr>
          <m:t>(</m:t>
        </m:r>
        <m:sSub>
          <m:e>
            <m:r>
              <m:t>p</m:t>
            </m:r>
          </m:e>
          <m:sub>
            <m:r>
              <m:t>1</m:t>
            </m:r>
          </m:sub>
        </m:sSub>
        <m:sSub>
          <m:e>
            <m:r>
              <m:t>x</m:t>
            </m:r>
          </m:e>
          <m:sub>
            <m:r>
              <m:t>1</m:t>
            </m:r>
          </m:sub>
        </m:sSub>
        <m:r>
          <m:rPr>
            <m:sty m:val="p"/>
          </m:rPr>
          <m:t>+</m:t>
        </m:r>
        <m:sSub>
          <m:e>
            <m:r>
              <m:t>p</m:t>
            </m:r>
          </m:e>
          <m:sub>
            <m:r>
              <m:t>2</m:t>
            </m:r>
          </m:sub>
        </m:sSub>
        <m:sSub>
          <m:e>
            <m:r>
              <m:t>x</m:t>
            </m:r>
          </m:e>
          <m:sub>
            <m:r>
              <m:t>2</m:t>
            </m:r>
          </m:sub>
        </m:sSub>
        <m:r>
          <m:rPr>
            <m:sty m:val="p"/>
          </m:rPr>
          <m:t>−</m:t>
        </m:r>
        <m:r>
          <m:t>m</m:t>
        </m:r>
        <m:r>
          <m:rPr>
            <m:sty m:val="p"/>
          </m:rPr>
          <m:t>)</m:t>
        </m:r>
      </m:oMath>
    </w:p>
    <w:p>
      <w:pPr>
        <w:pStyle w:val="BodyText"/>
      </w:pPr>
      <w:r>
        <w:rPr>
          <w:b/>
          <w:bCs/>
        </w:rPr>
        <w:t xml:space="preserve">CPOs:</w:t>
      </w:r>
    </w:p>
    <w:p>
      <w:pPr>
        <w:pStyle w:val="Compact"/>
        <w:numPr>
          <w:ilvl w:val="0"/>
          <w:numId w:val="1066"/>
        </w:numPr>
      </w:pPr>
      <m:oMath>
        <m:f>
          <m:fPr>
            <m:type m:val="bar"/>
          </m:fPr>
          <m:num>
            <m:r>
              <m:t>1</m:t>
            </m:r>
          </m:num>
          <m:den>
            <m:r>
              <m:t>2</m:t>
            </m:r>
          </m:den>
        </m:f>
        <m:sSubSup>
          <m:e>
            <m:r>
              <m:t>x</m:t>
            </m:r>
          </m:e>
          <m:sub>
            <m:r>
              <m:t>1</m:t>
            </m:r>
          </m:sub>
          <m:sup>
            <m:r>
              <m:rPr>
                <m:sty m:val="p"/>
              </m:rPr>
              <m:t>−</m:t>
            </m:r>
            <m:r>
              <m:t>1</m:t>
            </m:r>
            <m:r>
              <m:rPr>
                <m:sty m:val="p"/>
              </m:rPr>
              <m:t>/</m:t>
            </m:r>
            <m:r>
              <m:t>2</m:t>
            </m:r>
          </m:sup>
        </m:sSubSup>
        <m:sSubSup>
          <m:e>
            <m:r>
              <m:t>x</m:t>
            </m:r>
          </m:e>
          <m:sub>
            <m:r>
              <m:t>2</m:t>
            </m:r>
          </m:sub>
          <m:sup>
            <m:r>
              <m:t>1</m:t>
            </m:r>
            <m:r>
              <m:rPr>
                <m:sty m:val="p"/>
              </m:rPr>
              <m:t>/</m:t>
            </m:r>
            <m:r>
              <m:t>2</m:t>
            </m:r>
          </m:sup>
        </m:sSubSup>
        <m:r>
          <m:rPr>
            <m:sty m:val="p"/>
          </m:rPr>
          <m:t>=</m:t>
        </m:r>
        <m:r>
          <m:t>λ</m:t>
        </m:r>
        <m:sSub>
          <m:e>
            <m:r>
              <m:t>p</m:t>
            </m:r>
          </m:e>
          <m:sub>
            <m:r>
              <m:t>1</m:t>
            </m:r>
          </m:sub>
        </m:sSub>
        <m:r>
          <m:t> </m:t>
        </m:r>
        <m:r>
          <m:rPr>
            <m:sty m:val="p"/>
          </m:rPr>
          <m:t>⇒</m:t>
        </m:r>
        <m:r>
          <m:t> </m:t>
        </m:r>
        <m:f>
          <m:fPr>
            <m:type m:val="bar"/>
          </m:fPr>
          <m:num>
            <m:sSub>
              <m:e>
                <m:r>
                  <m:t>x</m:t>
                </m:r>
              </m:e>
              <m:sub>
                <m:r>
                  <m:t>2</m:t>
                </m:r>
              </m:sub>
            </m:sSub>
          </m:num>
          <m:den>
            <m:r>
              <m:t>2</m:t>
            </m:r>
            <m:sSub>
              <m:e>
                <m:r>
                  <m:t>x</m:t>
                </m:r>
              </m:e>
              <m:sub>
                <m:r>
                  <m:t>1</m:t>
                </m:r>
              </m:sub>
            </m:sSub>
          </m:den>
        </m:f>
        <m:r>
          <m:rPr>
            <m:sty m:val="p"/>
          </m:rPr>
          <m:t>=</m:t>
        </m:r>
        <m:r>
          <m:t>λ</m:t>
        </m:r>
        <m:sSub>
          <m:e>
            <m:r>
              <m:t>p</m:t>
            </m:r>
          </m:e>
          <m:sub>
            <m:r>
              <m:t>1</m:t>
            </m:r>
          </m:sub>
        </m:sSub>
        <m:r>
          <m:rPr>
            <m:sty m:val="p"/>
          </m:rPr>
          <m:t>⋅</m:t>
        </m:r>
        <m:f>
          <m:fPr>
            <m:type m:val="bar"/>
          </m:fPr>
          <m:num>
            <m:sSubSup>
              <m:e>
                <m:r>
                  <m:t>x</m:t>
                </m:r>
              </m:e>
              <m:sub>
                <m:r>
                  <m:t>1</m:t>
                </m:r>
              </m:sub>
              <m:sup>
                <m:r>
                  <m:t>1</m:t>
                </m:r>
                <m:r>
                  <m:rPr>
                    <m:sty m:val="p"/>
                  </m:rPr>
                  <m:t>/</m:t>
                </m:r>
                <m:r>
                  <m:t>2</m:t>
                </m:r>
              </m:sup>
            </m:sSubSup>
          </m:num>
          <m:den>
            <m:sSubSup>
              <m:e>
                <m:r>
                  <m:t>x</m:t>
                </m:r>
              </m:e>
              <m:sub>
                <m:r>
                  <m:t>2</m:t>
                </m:r>
              </m:sub>
              <m:sup>
                <m:r>
                  <m:t>1</m:t>
                </m:r>
                <m:r>
                  <m:rPr>
                    <m:sty m:val="p"/>
                  </m:rPr>
                  <m:t>/</m:t>
                </m:r>
                <m:r>
                  <m:t>2</m:t>
                </m:r>
              </m:sup>
            </m:sSubSup>
          </m:den>
        </m:f>
      </m:oMath>
    </w:p>
    <w:p>
      <w:pPr>
        <w:pStyle w:val="Compact"/>
        <w:numPr>
          <w:ilvl w:val="0"/>
          <w:numId w:val="1066"/>
        </w:numPr>
      </w:pPr>
      <m:oMath>
        <m:f>
          <m:fPr>
            <m:type m:val="bar"/>
          </m:fPr>
          <m:num>
            <m:r>
              <m:t>1</m:t>
            </m:r>
          </m:num>
          <m:den>
            <m:r>
              <m:t>2</m:t>
            </m:r>
          </m:den>
        </m:f>
        <m:sSubSup>
          <m:e>
            <m:r>
              <m:t>x</m:t>
            </m:r>
          </m:e>
          <m:sub>
            <m:r>
              <m:t>1</m:t>
            </m:r>
          </m:sub>
          <m:sup>
            <m:r>
              <m:t>1</m:t>
            </m:r>
            <m:r>
              <m:rPr>
                <m:sty m:val="p"/>
              </m:rPr>
              <m:t>/</m:t>
            </m:r>
            <m:r>
              <m:t>2</m:t>
            </m:r>
          </m:sup>
        </m:sSubSup>
        <m:sSubSup>
          <m:e>
            <m:r>
              <m:t>x</m:t>
            </m:r>
          </m:e>
          <m:sub>
            <m:r>
              <m:t>2</m:t>
            </m:r>
          </m:sub>
          <m:sup>
            <m:r>
              <m:rPr>
                <m:sty m:val="p"/>
              </m:rPr>
              <m:t>−</m:t>
            </m:r>
            <m:r>
              <m:t>1</m:t>
            </m:r>
            <m:r>
              <m:rPr>
                <m:sty m:val="p"/>
              </m:rPr>
              <m:t>/</m:t>
            </m:r>
            <m:r>
              <m:t>2</m:t>
            </m:r>
          </m:sup>
        </m:sSubSup>
        <m:r>
          <m:rPr>
            <m:sty m:val="p"/>
          </m:rPr>
          <m:t>=</m:t>
        </m:r>
        <m:r>
          <m:t>λ</m:t>
        </m:r>
        <m:sSub>
          <m:e>
            <m:r>
              <m:t>p</m:t>
            </m:r>
          </m:e>
          <m:sub>
            <m:r>
              <m:t>2</m:t>
            </m:r>
          </m:sub>
        </m:sSub>
      </m:oMath>
    </w:p>
    <w:p>
      <w:pPr>
        <w:pStyle w:val="Compact"/>
        <w:numPr>
          <w:ilvl w:val="0"/>
          <w:numId w:val="1066"/>
        </w:numPr>
      </w:pP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m</m:t>
        </m:r>
      </m:oMath>
    </w:p>
    <w:p>
      <w:pPr>
        <w:pStyle w:val="FirstParagraph"/>
      </w:pPr>
      <w:r>
        <w:t xml:space="preserve">Dividindo a primeira pela segunda:</w:t>
      </w:r>
      <w:r>
        <w:t xml:space="preserve"> </w:t>
      </w:r>
      <m:oMath>
        <m:sSub>
          <m:e>
            <m:r>
              <m:t>x</m:t>
            </m:r>
          </m:e>
          <m:sub>
            <m:r>
              <m:t>2</m:t>
            </m:r>
          </m:sub>
        </m:sSub>
        <m:r>
          <m:rPr>
            <m:sty m:val="p"/>
          </m:rPr>
          <m:t>/</m:t>
        </m:r>
        <m:sSub>
          <m:e>
            <m:r>
              <m:t>x</m:t>
            </m:r>
          </m:e>
          <m:sub>
            <m:r>
              <m:t>1</m:t>
            </m:r>
          </m:sub>
        </m:sSub>
        <m:r>
          <m:rPr>
            <m:sty m:val="p"/>
          </m:rPr>
          <m:t>=</m:t>
        </m:r>
        <m:sSub>
          <m:e>
            <m:r>
              <m:t>p</m:t>
            </m:r>
          </m:e>
          <m:sub>
            <m:r>
              <m:t>1</m:t>
            </m:r>
          </m:sub>
        </m:sSub>
        <m:r>
          <m:rPr>
            <m:sty m:val="p"/>
          </m:rPr>
          <m:t>/</m:t>
        </m:r>
        <m:sSub>
          <m:e>
            <m:r>
              <m:t>p</m:t>
            </m:r>
          </m:e>
          <m:sub>
            <m:r>
              <m:t>2</m:t>
            </m:r>
          </m:sub>
        </m:sSub>
      </m:oMath>
      <w:r>
        <w:t xml:space="preserve">, logo</w:t>
      </w:r>
      <w:r>
        <w:t xml:space="preserve"> </w:t>
      </w:r>
      <m:oMath>
        <m:sSub>
          <m:e>
            <m:r>
              <m:t>x</m:t>
            </m:r>
          </m:e>
          <m:sub>
            <m:r>
              <m:t>2</m:t>
            </m:r>
          </m:sub>
        </m:sSub>
        <m:r>
          <m:rPr>
            <m:sty m:val="p"/>
          </m:rPr>
          <m:t>=</m:t>
        </m:r>
        <m:r>
          <m:rPr>
            <m:sty m:val="p"/>
          </m:rPr>
          <m:t>(</m:t>
        </m:r>
        <m:sSub>
          <m:e>
            <m:r>
              <m:t>p</m:t>
            </m:r>
          </m:e>
          <m:sub>
            <m:r>
              <m:t>1</m:t>
            </m:r>
          </m:sub>
        </m:sSub>
        <m:r>
          <m:rPr>
            <m:sty m:val="p"/>
          </m:rPr>
          <m:t>/</m:t>
        </m:r>
        <m:sSub>
          <m:e>
            <m:r>
              <m:t>p</m:t>
            </m:r>
          </m:e>
          <m:sub>
            <m:r>
              <m:t>2</m:t>
            </m:r>
          </m:sub>
        </m:sSub>
        <m:r>
          <m:rPr>
            <m:sty m:val="p"/>
          </m:rPr>
          <m:t>)</m:t>
        </m:r>
        <m:sSub>
          <m:e>
            <m:r>
              <m:t>x</m:t>
            </m:r>
          </m:e>
          <m:sub>
            <m:r>
              <m:t>1</m:t>
            </m:r>
          </m:sub>
        </m:sSub>
      </m:oMath>
      <w:r>
        <w:t xml:space="preserve">.</w:t>
      </w:r>
    </w:p>
    <w:p>
      <w:pPr>
        <w:pStyle w:val="BodyText"/>
      </w:pPr>
      <w:r>
        <w:t xml:space="preserve">Substituindo na restrição:</w:t>
      </w:r>
      <w:r>
        <w:t xml:space="preserve"> </w:t>
      </w:r>
      <m:oMath>
        <m:sSub>
          <m:e>
            <m:r>
              <m:t>p</m:t>
            </m:r>
          </m:e>
          <m:sub>
            <m:r>
              <m:t>1</m:t>
            </m:r>
          </m:sub>
        </m:sSub>
        <m:sSub>
          <m:e>
            <m:r>
              <m:t>x</m:t>
            </m:r>
          </m:e>
          <m:sub>
            <m:r>
              <m:t>1</m:t>
            </m:r>
          </m:sub>
        </m:sSub>
        <m:r>
          <m:rPr>
            <m:sty m:val="p"/>
          </m:rPr>
          <m:t>+</m:t>
        </m:r>
        <m:sSub>
          <m:e>
            <m:r>
              <m:t>p</m:t>
            </m:r>
          </m:e>
          <m:sub>
            <m:r>
              <m:t>1</m:t>
            </m:r>
          </m:sub>
        </m:sSub>
        <m:sSub>
          <m:e>
            <m:r>
              <m:t>x</m:t>
            </m:r>
          </m:e>
          <m:sub>
            <m:r>
              <m:t>1</m:t>
            </m:r>
          </m:sub>
        </m:sSub>
        <m:r>
          <m:rPr>
            <m:sty m:val="p"/>
          </m:rPr>
          <m:t>=</m:t>
        </m:r>
        <m:r>
          <m:t>m</m:t>
        </m:r>
        <m:r>
          <m:rPr>
            <m:sty m:val="p"/>
          </m:rPr>
          <m:t>⇒</m:t>
        </m:r>
        <m:sSubSup>
          <m:e>
            <m:r>
              <m:t>x</m:t>
            </m:r>
          </m:e>
          <m:sub>
            <m:r>
              <m:t>1</m:t>
            </m:r>
          </m:sub>
          <m:sup>
            <m:r>
              <m:rPr>
                <m:sty m:val="p"/>
              </m:rPr>
              <m:t>*</m:t>
            </m:r>
          </m:sup>
        </m:sSubSup>
        <m:r>
          <m:rPr>
            <m:sty m:val="p"/>
          </m:rPr>
          <m:t>=</m:t>
        </m:r>
        <m:r>
          <m:t>m</m:t>
        </m:r>
        <m:r>
          <m:rPr>
            <m:sty m:val="p"/>
          </m:rPr>
          <m:t>/</m:t>
        </m:r>
        <m:r>
          <m:rPr>
            <m:sty m:val="p"/>
          </m:rPr>
          <m:t>(</m:t>
        </m:r>
        <m:r>
          <m:t>2</m:t>
        </m:r>
        <m:sSub>
          <m:e>
            <m:r>
              <m:t>p</m:t>
            </m:r>
          </m:e>
          <m:sub>
            <m:r>
              <m:t>1</m:t>
            </m:r>
          </m:sub>
        </m:sSub>
        <m:r>
          <m:rPr>
            <m:sty m:val="p"/>
          </m:rPr>
          <m:t>)</m:t>
        </m:r>
      </m:oMath>
      <w:r>
        <w:t xml:space="preserve">,</w:t>
      </w:r>
      <w:r>
        <w:t xml:space="preserve"> </w:t>
      </w:r>
      <m:oMath>
        <m:sSubSup>
          <m:e>
            <m:r>
              <m:t>x</m:t>
            </m:r>
          </m:e>
          <m:sub>
            <m:r>
              <m:t>2</m:t>
            </m:r>
          </m:sub>
          <m:sup>
            <m:r>
              <m:rPr>
                <m:sty m:val="p"/>
              </m:rPr>
              <m:t>*</m:t>
            </m:r>
          </m:sup>
        </m:sSubSup>
        <m:r>
          <m:rPr>
            <m:sty m:val="p"/>
          </m:rPr>
          <m:t>=</m:t>
        </m:r>
        <m:r>
          <m:t>m</m:t>
        </m:r>
        <m:r>
          <m:rPr>
            <m:sty m:val="p"/>
          </m:rPr>
          <m:t>/</m:t>
        </m:r>
        <m:r>
          <m:rPr>
            <m:sty m:val="p"/>
          </m:rPr>
          <m:t>(</m:t>
        </m:r>
        <m:r>
          <m:t>2</m:t>
        </m:r>
        <m:sSub>
          <m:e>
            <m:r>
              <m:t>p</m:t>
            </m:r>
          </m:e>
          <m:sub>
            <m:r>
              <m:t>2</m:t>
            </m:r>
          </m:sub>
        </m:sSub>
        <m:r>
          <m:rPr>
            <m:sty m:val="p"/>
          </m:rPr>
          <m:t>)</m:t>
        </m:r>
      </m:oMath>
      <w:r>
        <w:t xml:space="preserve">.</w:t>
      </w:r>
    </w:p>
    <w:p>
      <w:pPr>
        <w:pStyle w:val="BodyText"/>
      </w:pPr>
      <w:r>
        <w:rPr>
          <w:b/>
          <w:bCs/>
        </w:rPr>
        <w:t xml:space="preserve">Resultado:</w:t>
      </w:r>
      <w:r>
        <w:t xml:space="preserve"> </w:t>
      </w:r>
      <w:r>
        <w:t xml:space="preserve">Com Cobb-Douglas simétrica, o consumidor gasta metade da renda em cada bem — independentemente dos preços! Esse resultado é generalizado no Capítulo 4, Seção 4.10 (Cap. 4).</w:t>
      </w:r>
    </w:p>
    <w:p>
      <w:pPr>
        <w:pStyle w:val="BlockText"/>
      </w:pPr>
      <w:r>
        <w:rPr>
          <w:b/>
          <w:bCs/>
        </w:rPr>
        <w:t xml:space="preserve">[BRASIL] Lagrange no Salário Mínimo Brasileiro</w:t>
      </w:r>
    </w:p>
    <w:p>
      <w:pPr>
        <w:pStyle w:val="BlockText"/>
      </w:pPr>
      <w:r>
        <w:rPr>
          <w:b/>
          <w:bCs/>
        </w:rPr>
        <w:t xml:space="preserve">Aplicação numérica com dados reais.</w:t>
      </w:r>
      <w:r>
        <w:t xml:space="preserve"> </w:t>
      </w:r>
      <w:r>
        <w:t xml:space="preserve">Em 2024, o salário mínimo brasileiro era</w:t>
      </w:r>
      <w:r>
        <w:t xml:space="preserve"> </w:t>
      </w:r>
      <m:oMath>
        <m:r>
          <m:t>m</m:t>
        </m:r>
        <m:r>
          <m:rPr>
            <m:sty m:val="p"/>
          </m:rPr>
          <m:t>=</m:t>
        </m:r>
        <m:r>
          <m:rPr>
            <m:nor/>
            <m:sty m:val="p"/>
          </m:rPr>
          <m:t>R$</m:t>
        </m:r>
        <m:r>
          <m:t>1.412</m:t>
        </m:r>
      </m:oMath>
      <w:r>
        <w:t xml:space="preserve">. Suponha que uma família de baixa renda aloca sua cesta entre</w:t>
      </w:r>
      <w:r>
        <w:t xml:space="preserve"> </w:t>
      </w:r>
      <w:r>
        <w:rPr>
          <w:i/>
          <w:iCs/>
        </w:rPr>
        <w:t xml:space="preserve">alimentação</w:t>
      </w:r>
      <w:r>
        <w:t xml:space="preserve"> </w:t>
      </w:r>
      <w:r>
        <w:t xml:space="preserve">(</w:t>
      </w:r>
      <m:oMath>
        <m:sSub>
          <m:e>
            <m:r>
              <m:t>x</m:t>
            </m:r>
          </m:e>
          <m:sub>
            <m:r>
              <m:t>1</m:t>
            </m:r>
          </m:sub>
        </m:sSub>
      </m:oMath>
      <w:r>
        <w:t xml:space="preserve">, preço médio por</w:t>
      </w:r>
      <w:r>
        <w:t xml:space="preserve"> </w:t>
      </w:r>
      <w:r>
        <w:t xml:space="preserve">“unidade-cesta”</w:t>
      </w:r>
      <w:r>
        <w:t xml:space="preserve"> </w:t>
      </w:r>
      <w:r>
        <w:t xml:space="preserve">de R$ 450/mês segundo a POF 2017–2018 atualizada pelo IPCA) e</w:t>
      </w:r>
      <w:r>
        <w:t xml:space="preserve"> </w:t>
      </w:r>
      <w:r>
        <w:rPr>
          <w:i/>
          <w:iCs/>
        </w:rPr>
        <w:t xml:space="preserve">todos os demais bens</w:t>
      </w:r>
      <w:r>
        <w:t xml:space="preserve"> </w:t>
      </w:r>
      <w:r>
        <w:t xml:space="preserve">(</w:t>
      </w:r>
      <m:oMath>
        <m:sSub>
          <m:e>
            <m:r>
              <m:t>x</m:t>
            </m:r>
          </m:e>
          <m:sub>
            <m:r>
              <m:t>2</m:t>
            </m:r>
          </m:sub>
        </m:sSub>
      </m:oMath>
      <w:r>
        <w:t xml:space="preserve">, preço normalizado</w:t>
      </w:r>
      <w:r>
        <w:t xml:space="preserve"> </w:t>
      </w:r>
      <m:oMath>
        <m:sSub>
          <m:e>
            <m:r>
              <m:t>p</m:t>
            </m:r>
          </m:e>
          <m:sub>
            <m:r>
              <m:t>2</m:t>
            </m:r>
          </m:sub>
        </m:sSub>
        <m:r>
          <m:rPr>
            <m:sty m:val="p"/>
          </m:rPr>
          <m:t>=</m:t>
        </m:r>
        <m:r>
          <m:t>1</m:t>
        </m:r>
      </m:oMath>
      <w:r>
        <w:t xml:space="preserve">, de modo que</w:t>
      </w:r>
      <w:r>
        <w:t xml:space="preserve"> </w:t>
      </w:r>
      <m:oMath>
        <m:sSub>
          <m:e>
            <m:r>
              <m:t>x</m:t>
            </m:r>
          </m:e>
          <m:sub>
            <m:r>
              <m:t>2</m:t>
            </m:r>
          </m:sub>
        </m:sSub>
      </m:oMath>
      <w:r>
        <w:t xml:space="preserve"> </w:t>
      </w:r>
      <w:r>
        <w:t xml:space="preserve">mede o gasto em reais).</w:t>
      </w:r>
    </w:p>
    <w:p>
      <w:pPr>
        <w:pStyle w:val="BlockText"/>
      </w:pPr>
      <w:r>
        <w:t xml:space="preserve">Com preferências Cobb-Douglas</w:t>
      </w:r>
      <w:r>
        <w:t xml:space="preserve"> </w:t>
      </w:r>
      <m:oMath>
        <m:r>
          <m:t>U</m:t>
        </m:r>
        <m:r>
          <m:rPr>
            <m:sty m:val="p"/>
          </m:rPr>
          <m:t>=</m:t>
        </m:r>
        <m:sSubSup>
          <m:e>
            <m:r>
              <m:t>x</m:t>
            </m:r>
          </m:e>
          <m:sub>
            <m:r>
              <m:t>1</m:t>
            </m:r>
          </m:sub>
          <m:sup>
            <m:r>
              <m:t>α</m:t>
            </m:r>
          </m:sup>
        </m:sSubSup>
        <m:sSubSup>
          <m:e>
            <m:r>
              <m:t>x</m:t>
            </m:r>
          </m:e>
          <m:sub>
            <m:r>
              <m:t>2</m:t>
            </m:r>
          </m:sub>
          <m:sup>
            <m:r>
              <m:t>1</m:t>
            </m:r>
            <m:r>
              <m:rPr>
                <m:sty m:val="p"/>
              </m:rPr>
              <m:t>−</m:t>
            </m:r>
            <m:r>
              <m:t>α</m:t>
            </m:r>
          </m:sup>
        </m:sSubSup>
      </m:oMath>
      <w:r>
        <w:t xml:space="preserve">, a solução do Lagrange produz:</w:t>
      </w:r>
    </w:p>
    <w:p>
      <w:pPr>
        <w:pStyle w:val="BlockText"/>
      </w:pPr>
      <m:oMathPara>
        <m:oMathParaPr>
          <m:jc m:val="center"/>
        </m:oMathParaPr>
        <m:oMath>
          <m:sSubSup>
            <m:e>
              <m:r>
                <m:t>x</m:t>
              </m:r>
            </m:e>
            <m:sub>
              <m:r>
                <m:t>1</m:t>
              </m:r>
            </m:sub>
            <m:sup>
              <m:r>
                <m:rPr>
                  <m:sty m:val="p"/>
                </m:rPr>
                <m:t>*</m:t>
              </m:r>
            </m:sup>
          </m:sSubSup>
          <m:r>
            <m:rPr>
              <m:sty m:val="p"/>
            </m:rPr>
            <m:t>=</m:t>
          </m:r>
          <m:f>
            <m:fPr>
              <m:type m:val="bar"/>
            </m:fPr>
            <m:num>
              <m:r>
                <m:t>α</m:t>
              </m:r>
              <m:r>
                <m:t> </m:t>
              </m:r>
              <m:r>
                <m:t>m</m:t>
              </m:r>
            </m:num>
            <m:den>
              <m:sSub>
                <m:e>
                  <m:r>
                    <m:t>p</m:t>
                  </m:r>
                </m:e>
                <m:sub>
                  <m:r>
                    <m:t>1</m:t>
                  </m:r>
                </m:sub>
              </m:sSub>
            </m:den>
          </m:f>
          <m:r>
            <m:rPr>
              <m:sty m:val="p"/>
            </m:rPr>
            <m:t>=</m:t>
          </m:r>
          <m:f>
            <m:fPr>
              <m:type m:val="bar"/>
            </m:fPr>
            <m:num>
              <m:r>
                <m:t>0</m:t>
              </m:r>
              <m:r>
                <m:rPr>
                  <m:sty m:val="p"/>
                </m:rPr>
                <m:t>,</m:t>
              </m:r>
              <m:r>
                <m:t>22</m:t>
              </m:r>
              <m:r>
                <m:rPr>
                  <m:sty m:val="p"/>
                </m:rPr>
                <m:t>×</m:t>
              </m:r>
              <m:r>
                <m:t>1412</m:t>
              </m:r>
            </m:num>
            <m:den>
              <m:r>
                <m:t>450</m:t>
              </m:r>
            </m:den>
          </m:f>
          <m:r>
            <m:rPr>
              <m:sty m:val="p"/>
            </m:rPr>
            <m:t>≈</m:t>
          </m:r>
          <m:r>
            <m:t>0</m:t>
          </m:r>
          <m:r>
            <m:rPr>
              <m:sty m:val="p"/>
            </m:rPr>
            <m:t>,</m:t>
          </m:r>
          <m:r>
            <m:t>69</m:t>
          </m:r>
          <m:r>
            <m:t> </m:t>
          </m:r>
          <m:r>
            <m:rPr>
              <m:sty m:val="p"/>
            </m:rPr>
            <m:t>;</m:t>
          </m:r>
          <m:r>
            <m:t> </m:t>
          </m:r>
          <m:sSubSup>
            <m:e>
              <m:r>
                <m:t>x</m:t>
              </m:r>
            </m:e>
            <m:sub>
              <m:r>
                <m:t>2</m:t>
              </m:r>
            </m:sub>
            <m:sup>
              <m:r>
                <m:rPr>
                  <m:sty m:val="p"/>
                </m:rPr>
                <m:t>*</m:t>
              </m:r>
            </m:sup>
          </m:sSubSup>
          <m:r>
            <m:rPr>
              <m:sty m:val="p"/>
            </m:rPr>
            <m:t>=</m:t>
          </m:r>
          <m:r>
            <m:rPr>
              <m:sty m:val="p"/>
            </m:rPr>
            <m:t>(</m:t>
          </m:r>
          <m:r>
            <m:t>1</m:t>
          </m:r>
          <m:r>
            <m:rPr>
              <m:sty m:val="p"/>
            </m:rPr>
            <m:t>−</m:t>
          </m:r>
          <m:r>
            <m:t>α</m:t>
          </m:r>
          <m:r>
            <m:rPr>
              <m:sty m:val="p"/>
            </m:rPr>
            <m:t>)</m:t>
          </m:r>
          <m:r>
            <m:t> </m:t>
          </m:r>
          <m:r>
            <m:t>m</m:t>
          </m:r>
          <m:r>
            <m:rPr>
              <m:sty m:val="p"/>
            </m:rPr>
            <m:t>=</m:t>
          </m:r>
          <m:r>
            <m:t>0</m:t>
          </m:r>
          <m:r>
            <m:rPr>
              <m:sty m:val="p"/>
            </m:rPr>
            <m:t>,</m:t>
          </m:r>
          <m:r>
            <m:t>78</m:t>
          </m:r>
          <m:r>
            <m:rPr>
              <m:sty m:val="p"/>
            </m:rPr>
            <m:t>×</m:t>
          </m:r>
          <m:r>
            <m:t>1412</m:t>
          </m:r>
          <m:r>
            <m:rPr>
              <m:sty m:val="p"/>
            </m:rPr>
            <m:t>≈</m:t>
          </m:r>
          <m:r>
            <m:rPr>
              <m:nor/>
              <m:sty m:val="p"/>
            </m:rPr>
            <m:t>R$</m:t>
          </m:r>
          <m:r>
            <m:t>1.101</m:t>
          </m:r>
        </m:oMath>
      </m:oMathPara>
    </w:p>
    <w:p>
      <w:pPr>
        <w:pStyle w:val="BlockText"/>
      </w:pPr>
      <w:r>
        <w:t xml:space="preserve">onde</w:t>
      </w:r>
      <w:r>
        <w:t xml:space="preserve"> </w:t>
      </w:r>
      <m:oMath>
        <m:r>
          <m:t>α</m:t>
        </m:r>
        <m:r>
          <m:rPr>
            <m:sty m:val="p"/>
          </m:rPr>
          <m:t>≈</m:t>
        </m:r>
        <m:r>
          <m:t>0</m:t>
        </m:r>
        <m:r>
          <m:rPr>
            <m:sty m:val="p"/>
          </m:rPr>
          <m:t>,</m:t>
        </m:r>
        <m:r>
          <m:t>22</m:t>
        </m:r>
      </m:oMath>
      <w:r>
        <w:t xml:space="preserve"> </w:t>
      </w:r>
      <w:r>
        <w:t xml:space="preserve">é a participação alimentar estimada pela POF para o primeiro quintil de renda. O preço-sombra</w:t>
      </w:r>
      <w:r>
        <w:t xml:space="preserve"> </w:t>
      </w:r>
      <m:oMath>
        <m:sSup>
          <m:e>
            <m:r>
              <m:t>λ</m:t>
            </m:r>
          </m:e>
          <m:sup>
            <m:r>
              <m:rPr>
                <m:sty m:val="p"/>
              </m:rPr>
              <m:t>*</m:t>
            </m:r>
          </m:sup>
        </m:sSup>
        <m:r>
          <m:rPr>
            <m:sty m:val="p"/>
          </m:rPr>
          <m:t>=</m:t>
        </m:r>
        <m:sSup>
          <m:e>
            <m:r>
              <m:t>α</m:t>
            </m:r>
          </m:e>
          <m:sup>
            <m:r>
              <m:t>α</m:t>
            </m:r>
          </m:sup>
        </m:sSup>
        <m:r>
          <m:rPr>
            <m:sty m:val="p"/>
          </m:rPr>
          <m:t>(</m:t>
        </m:r>
        <m:r>
          <m:t>1</m:t>
        </m:r>
        <m:r>
          <m:rPr>
            <m:sty m:val="p"/>
          </m:rPr>
          <m:t>−</m:t>
        </m:r>
        <m:r>
          <m:t>α</m:t>
        </m:r>
        <m:sSup>
          <m:e>
            <m:r>
              <m:rPr>
                <m:sty m:val="p"/>
              </m:rPr>
              <m:t>)</m:t>
            </m:r>
          </m:e>
          <m:sup>
            <m:r>
              <m:t>1</m:t>
            </m:r>
            <m:r>
              <m:rPr>
                <m:sty m:val="p"/>
              </m:rPr>
              <m:t>−</m:t>
            </m:r>
            <m:r>
              <m:t>α</m:t>
            </m:r>
          </m:sup>
        </m:sSup>
        <m:sSup>
          <m:e>
            <m:r>
              <m:t>m</m:t>
            </m:r>
          </m:e>
          <m:sup>
            <m:r>
              <m:rPr>
                <m:sty m:val="p"/>
              </m:rPr>
              <m:t>−</m:t>
            </m:r>
            <m:r>
              <m:t>1</m:t>
            </m:r>
          </m:sup>
        </m:sSup>
        <m:sSubSup>
          <m:e>
            <m:r>
              <m:t>p</m:t>
            </m:r>
          </m:e>
          <m:sub>
            <m:r>
              <m:t>1</m:t>
            </m:r>
          </m:sub>
          <m:sup>
            <m:r>
              <m:rPr>
                <m:sty m:val="p"/>
              </m:rPr>
              <m:t>−</m:t>
            </m:r>
            <m:r>
              <m:t>α</m:t>
            </m:r>
          </m:sup>
        </m:sSubSup>
      </m:oMath>
      <w:r>
        <w:t xml:space="preserve"> </w:t>
      </w:r>
      <w:r>
        <w:t xml:space="preserve">mede o ganho de bem-estar por real adicional de renda. Para essa família, cada R$ 1 a mais de salário vale significativamente mais em utilidade do que para famílias de renda alta — formalização direta da utilidade marginal decrescente da renda.</w:t>
      </w:r>
    </w:p>
    <w:p>
      <w:pPr>
        <w:pStyle w:val="BlockText"/>
      </w:pPr>
      <w:r>
        <w:rPr>
          <w:b/>
          <w:bCs/>
        </w:rPr>
        <w:t xml:space="preserve">Fonte de dados:</w:t>
      </w:r>
      <w:r>
        <w:t xml:space="preserve"> </w:t>
      </w:r>
      <w:r>
        <w:t xml:space="preserve">POF 2017–2018 (IBGE/SIDRA, Tabela 7169); IPCA/IBGE; salário mínimo (Decreto 11.864/2023).</w:t>
      </w:r>
    </w:p>
    <w:p>
      <w:r>
        <w:pict>
          <v:rect style="width:0;height:1.5pt" o:hralign="center" o:hrstd="t" o:hr="t"/>
        </w:pict>
      </w:r>
    </w:p>
    <w:bookmarkEnd w:id="98"/>
    <w:bookmarkEnd w:id="99"/>
    <w:bookmarkStart w:id="102" w:name="X87309d048beef83ad3eabf2a79a64a389ab1c9f"/>
    <w:p>
      <w:pPr>
        <w:pStyle w:val="Heading3"/>
      </w:pPr>
      <w:r>
        <w:t xml:space="preserve">2.6 O Preço-Sombra: O Que</w:t>
      </w:r>
      <w:r>
        <w:t xml:space="preserve"> </w:t>
      </w:r>
      <m:oMath>
        <m:r>
          <m:t>λ</m:t>
        </m:r>
      </m:oMath>
      <w:r>
        <w:t xml:space="preserve"> </w:t>
      </w:r>
      <w:r>
        <w:t xml:space="preserve">Realmente Significa</w:t>
      </w:r>
    </w:p>
    <w:p>
      <w:pPr>
        <w:pStyle w:val="FirstParagraph"/>
      </w:pPr>
      <w:r>
        <w:t xml:space="preserve">O multiplicador de Lagrange não é apenas um artifício algébrico — ele tem uma interpretação econômica profunda.</w:t>
      </w:r>
    </w:p>
    <w:p>
      <w:pPr>
        <w:pStyle w:val="BlockText"/>
      </w:pPr>
      <w:r>
        <w:rPr>
          <w:b/>
          <w:bCs/>
        </w:rPr>
        <w:t xml:space="preserve">[DEFINICAO] Multiplicador de Lagrange como preço-sombra</w:t>
      </w:r>
    </w:p>
    <w:p>
      <w:pPr>
        <w:pStyle w:val="BlockText"/>
      </w:pPr>
      <w:r>
        <w:t xml:space="preserve">O multiplicador</w:t>
      </w:r>
      <w:r>
        <w:t xml:space="preserve"> </w:t>
      </w:r>
      <m:oMath>
        <m:sSup>
          <m:e>
            <m:r>
              <m:t>λ</m:t>
            </m:r>
          </m:e>
          <m:sup>
            <m:r>
              <m:rPr>
                <m:sty m:val="p"/>
              </m:rPr>
              <m:t>*</m:t>
            </m:r>
          </m:sup>
        </m:sSup>
      </m:oMath>
      <w:r>
        <w:t xml:space="preserve"> </w:t>
      </w:r>
      <w:r>
        <w:t xml:space="preserve">mede a</w:t>
      </w:r>
      <w:r>
        <w:t xml:space="preserve"> </w:t>
      </w:r>
      <w:r>
        <w:rPr>
          <w:b/>
          <w:bCs/>
        </w:rPr>
        <w:t xml:space="preserve">taxa de variação do valor ótimo</w:t>
      </w:r>
      <w:r>
        <w:t xml:space="preserve"> </w:t>
      </w:r>
      <w:r>
        <w:t xml:space="preserve">quando a restrição é relaxada marginalmente:</w:t>
      </w:r>
    </w:p>
    <w:p>
      <w:pPr>
        <w:pStyle w:val="BlockText"/>
      </w:pPr>
      <m:oMathPara>
        <m:oMathParaPr>
          <m:jc m:val="center"/>
        </m:oMathParaPr>
        <m:oMath>
          <m:sSup>
            <m:e>
              <m:r>
                <m:t>λ</m:t>
              </m:r>
            </m:e>
            <m:sup>
              <m:r>
                <m:rPr>
                  <m:sty m:val="p"/>
                </m:rPr>
                <m:t>*</m:t>
              </m:r>
            </m:sup>
          </m:sSup>
          <m:r>
            <m:rPr>
              <m:sty m:val="p"/>
            </m:rPr>
            <m:t>=</m:t>
          </m:r>
          <m:f>
            <m:fPr>
              <m:type m:val="bar"/>
            </m:fPr>
            <m:num>
              <m:r>
                <m:t>d</m:t>
              </m:r>
              <m:r>
                <m:t>V</m:t>
              </m:r>
            </m:num>
            <m:den>
              <m:r>
                <m:t>d</m:t>
              </m:r>
              <m:r>
                <m:t>c</m:t>
              </m:r>
            </m:den>
          </m:f>
        </m:oMath>
      </m:oMathPara>
    </w:p>
    <w:p>
      <w:pPr>
        <w:pStyle w:val="BlockText"/>
      </w:pPr>
      <w:r>
        <w:t xml:space="preserve">onde</w:t>
      </w:r>
      <w:r>
        <w:t xml:space="preserve"> </w:t>
      </w:r>
      <m:oMath>
        <m:r>
          <m:t>V</m:t>
        </m:r>
        <m:r>
          <m:rPr>
            <m:sty m:val="p"/>
          </m:rPr>
          <m:t>(</m:t>
        </m:r>
        <m:r>
          <m:t>c</m:t>
        </m:r>
        <m:r>
          <m:rPr>
            <m:sty m:val="p"/>
          </m:rPr>
          <m:t>)</m:t>
        </m:r>
        <m:r>
          <m:rPr>
            <m:sty m:val="p"/>
          </m:rPr>
          <m:t>=</m:t>
        </m:r>
        <m:r>
          <m:t>f</m:t>
        </m:r>
        <m:r>
          <m:rPr>
            <m:sty m:val="p"/>
          </m:rPr>
          <m:t>(</m:t>
        </m:r>
        <m:sSup>
          <m:e>
            <m:r>
              <m:t>x</m:t>
            </m:r>
          </m:e>
          <m:sup>
            <m:r>
              <m:rPr>
                <m:sty m:val="p"/>
              </m:rPr>
              <m:t>*</m:t>
            </m:r>
          </m:sup>
        </m:sSup>
        <m:r>
          <m:rPr>
            <m:sty m:val="p"/>
          </m:rPr>
          <m:t>(</m:t>
        </m:r>
        <m:r>
          <m:t>c</m:t>
        </m:r>
        <m:r>
          <m:rPr>
            <m:sty m:val="p"/>
          </m:rPr>
          <m:t>)</m:t>
        </m:r>
        <m:r>
          <m:rPr>
            <m:sty m:val="p"/>
          </m:rPr>
          <m:t>)</m:t>
        </m:r>
      </m:oMath>
      <w:r>
        <w:t xml:space="preserve"> </w:t>
      </w:r>
      <w:r>
        <w:t xml:space="preserve">é o valor maximizado e</w:t>
      </w:r>
      <w:r>
        <w:t xml:space="preserve"> </w:t>
      </w:r>
      <m:oMath>
        <m:r>
          <m:t>c</m:t>
        </m:r>
      </m:oMath>
      <w:r>
        <w:t xml:space="preserve"> </w:t>
      </w:r>
      <w:r>
        <w:t xml:space="preserve">é o lado direito da restrição.</w:t>
      </w:r>
    </w:p>
    <w:p>
      <w:pPr>
        <w:pStyle w:val="FirstParagraph"/>
      </w:pPr>
      <w:r>
        <w:rPr>
          <w:b/>
          <w:bCs/>
        </w:rPr>
        <w:t xml:space="preserve">Prova:</w:t>
      </w:r>
      <w:r>
        <w:t xml:space="preserve"> </w:t>
      </w:r>
      <w:r>
        <w:t xml:space="preserve">Pelo Teorema do Envelope:</w:t>
      </w:r>
      <w:r>
        <w:t xml:space="preserve"> </w:t>
      </w:r>
      <m:oMath>
        <m:r>
          <m:t>d</m:t>
        </m:r>
        <m:r>
          <m:t>V</m:t>
        </m:r>
        <m:r>
          <m:rPr>
            <m:sty m:val="p"/>
          </m:rPr>
          <m:t>/</m:t>
        </m:r>
        <m:r>
          <m:t>d</m:t>
        </m:r>
        <m:r>
          <m:t>c</m:t>
        </m:r>
        <m:r>
          <m:rPr>
            <m:sty m:val="p"/>
          </m:rPr>
          <m:t>=</m:t>
        </m:r>
        <m:r>
          <m:rPr>
            <m:sty m:val="p"/>
          </m:rPr>
          <m:t>∂</m:t>
        </m:r>
        <m:r>
          <m:rPr>
            <m:scr m:val="script"/>
            <m:sty m:val="p"/>
          </m:rPr>
          <m:t>L</m:t>
        </m:r>
        <m:r>
          <m:rPr>
            <m:sty m:val="p"/>
          </m:rPr>
          <m:t>/</m:t>
        </m:r>
        <m:r>
          <m:rPr>
            <m:sty m:val="p"/>
          </m:rPr>
          <m:t>∂</m:t>
        </m:r>
        <m:r>
          <m:t>c</m:t>
        </m:r>
        <m:sSub>
          <m:e>
            <m:r>
              <m:rPr>
                <m:sty m:val="p"/>
              </m:rPr>
              <m:t>|</m:t>
            </m:r>
          </m:e>
          <m:sub>
            <m:sSup>
              <m:e>
                <m:r>
                  <m:t>x</m:t>
                </m:r>
              </m:e>
              <m:sup>
                <m:r>
                  <m:rPr>
                    <m:sty m:val="p"/>
                  </m:rPr>
                  <m:t>*</m:t>
                </m:r>
              </m:sup>
            </m:sSup>
            <m:r>
              <m:rPr>
                <m:sty m:val="p"/>
              </m:rPr>
              <m:t>,</m:t>
            </m:r>
            <m:sSup>
              <m:e>
                <m:r>
                  <m:t>λ</m:t>
                </m:r>
              </m:e>
              <m:sup>
                <m:r>
                  <m:rPr>
                    <m:sty m:val="p"/>
                  </m:rPr>
                  <m:t>*</m:t>
                </m:r>
              </m:sup>
            </m:sSup>
          </m:sub>
        </m:sSub>
        <m:r>
          <m:rPr>
            <m:sty m:val="p"/>
          </m:rPr>
          <m:t>=</m:t>
        </m:r>
        <m:sSup>
          <m:e>
            <m:r>
              <m:t>λ</m:t>
            </m:r>
          </m:e>
          <m:sup>
            <m:r>
              <m:rPr>
                <m:sty m:val="p"/>
              </m:rPr>
              <m:t>*</m:t>
            </m:r>
          </m:sup>
        </m:sSup>
      </m:oMath>
      <w:r>
        <w:t xml:space="preserve">.</w:t>
      </w:r>
      <w:r>
        <w:t xml:space="preserve"> </w:t>
      </w:r>
      <m:oMath>
        <m:r>
          <m:rPr>
            <m:sty m:val="p"/>
          </m:rPr>
          <m:t>◼</m:t>
        </m:r>
      </m:oMath>
    </w:p>
    <w:bookmarkStart w:id="100" w:name="interpretações-econômicas-de-lambda"/>
    <w:p>
      <w:pPr>
        <w:pStyle w:val="Heading4"/>
      </w:pPr>
      <w:r>
        <w:t xml:space="preserve">Interpretações econômicas de</w:t>
      </w:r>
      <w:r>
        <w:t xml:space="preserve"> </w:t>
      </w:r>
      <m:oMath>
        <m:r>
          <m:t>λ</m:t>
        </m:r>
      </m:oMath>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left"/>
            </w:pPr>
            <w:r>
              <w:t xml:space="preserve">Problema</w:t>
            </w:r>
          </w:p>
        </w:tc>
        <w:tc>
          <w:tcPr/>
          <w:p>
            <w:pPr>
              <w:pStyle w:val="Compact"/>
              <w:jc w:val="left"/>
            </w:pPr>
            <m:oMath>
              <m:sSup>
                <m:e>
                  <m:r>
                    <m:t>λ</m:t>
                  </m:r>
                </m:e>
                <m:sup>
                  <m:r>
                    <m:rPr>
                      <m:sty m:val="p"/>
                    </m:rPr>
                    <m:t>*</m:t>
                  </m:r>
                </m:sup>
              </m:sSup>
            </m:oMath>
            <w:r>
              <w:t xml:space="preserve"> </w:t>
            </w:r>
            <w:r>
              <w:t xml:space="preserve">mede</w:t>
            </w:r>
          </w:p>
        </w:tc>
        <w:tc>
          <w:tcPr/>
          <w:p>
            <w:pPr>
              <w:pStyle w:val="Compact"/>
              <w:jc w:val="left"/>
            </w:pPr>
            <w:r>
              <w:t xml:space="preserve">Nome usual</w:t>
            </w:r>
          </w:p>
        </w:tc>
        <w:tc>
          <w:tcPr/>
          <w:p>
            <w:pPr>
              <w:pStyle w:val="Compact"/>
              <w:jc w:val="center"/>
            </w:pPr>
            <w:r>
              <w:t xml:space="preserve">Capítulo</w:t>
            </w:r>
          </w:p>
        </w:tc>
      </w:tr>
      <w:tr>
        <w:tc>
          <w:tcPr/>
          <w:p>
            <w:pPr>
              <w:pStyle w:val="Compact"/>
              <w:jc w:val="left"/>
            </w:pPr>
            <w:r>
              <w:t xml:space="preserve">Max</w:t>
            </w:r>
            <w:r>
              <w:t xml:space="preserve"> </w:t>
            </w:r>
            <m:oMath>
              <m:r>
                <m:t>U</m:t>
              </m:r>
            </m:oMath>
            <w:r>
              <w:t xml:space="preserve"> </w:t>
            </w:r>
            <w:r>
              <w:t xml:space="preserve">s.a.</w:t>
            </w:r>
            <w:r>
              <w:t xml:space="preserve"> </w:t>
            </w:r>
            <m:oMath>
              <m:r>
                <m:t>p</m:t>
              </m:r>
              <m:r>
                <m:t>x</m:t>
              </m:r>
              <m:r>
                <m:rPr>
                  <m:sty m:val="p"/>
                </m:rPr>
                <m:t>=</m:t>
              </m:r>
              <m:r>
                <m:t>m</m:t>
              </m:r>
            </m:oMath>
          </w:p>
        </w:tc>
        <w:tc>
          <w:tcPr/>
          <w:p>
            <w:pPr>
              <w:pStyle w:val="Compact"/>
              <w:jc w:val="left"/>
            </w:pPr>
            <w:r>
              <w:t xml:space="preserve">Utilidade marginal da renda</w:t>
            </w:r>
          </w:p>
        </w:tc>
        <w:tc>
          <w:tcPr/>
          <w:p>
            <w:pPr>
              <w:pStyle w:val="Compact"/>
              <w:jc w:val="left"/>
            </w:pPr>
            <m:oMath>
              <m:r>
                <m:t>λ</m:t>
              </m:r>
              <m:r>
                <m:rPr>
                  <m:sty m:val="p"/>
                </m:rPr>
                <m:t>=</m:t>
              </m:r>
              <m:r>
                <m:rPr>
                  <m:sty m:val="p"/>
                </m:rPr>
                <m:t>∂</m:t>
              </m:r>
              <m:r>
                <m:t>V</m:t>
              </m:r>
              <m:r>
                <m:rPr>
                  <m:sty m:val="p"/>
                </m:rPr>
                <m:t>/</m:t>
              </m:r>
              <m:r>
                <m:rPr>
                  <m:sty m:val="p"/>
                </m:rPr>
                <m:t>∂</m:t>
              </m:r>
              <m:r>
                <m:t>m</m:t>
              </m:r>
            </m:oMath>
          </w:p>
        </w:tc>
        <w:tc>
          <w:tcPr/>
          <w:p>
            <w:pPr>
              <w:pStyle w:val="Compact"/>
              <w:jc w:val="center"/>
            </w:pPr>
            <w:r>
              <w:t xml:space="preserve">4 (Cap. 4)</w:t>
            </w:r>
          </w:p>
        </w:tc>
      </w:tr>
      <w:tr>
        <w:tc>
          <w:tcPr/>
          <w:p>
            <w:pPr>
              <w:pStyle w:val="Compact"/>
              <w:jc w:val="left"/>
            </w:pPr>
            <w:r>
              <w:t xml:space="preserve">Min</w:t>
            </w:r>
            <w:r>
              <w:t xml:space="preserve"> </w:t>
            </w:r>
            <m:oMath>
              <m:r>
                <m:t>w</m:t>
              </m:r>
              <m:r>
                <m:t>x</m:t>
              </m:r>
            </m:oMath>
            <w:r>
              <w:t xml:space="preserve"> </w:t>
            </w:r>
            <w:r>
              <w:t xml:space="preserve">s.a.</w:t>
            </w:r>
            <w:r>
              <w:t xml:space="preserve"> </w:t>
            </w:r>
            <m:oMath>
              <m:r>
                <m:t>f</m:t>
              </m:r>
              <m:r>
                <m:rPr>
                  <m:sty m:val="p"/>
                </m:rPr>
                <m:t>(</m:t>
              </m:r>
              <m:r>
                <m:t>x</m:t>
              </m:r>
              <m:r>
                <m:rPr>
                  <m:sty m:val="p"/>
                </m:rPr>
                <m:t>)</m:t>
              </m:r>
              <m:r>
                <m:rPr>
                  <m:sty m:val="p"/>
                </m:rPr>
                <m:t>=</m:t>
              </m:r>
              <m:acc>
                <m:accPr>
                  <m:chr m:val="‾"/>
                </m:accPr>
                <m:e>
                  <m:r>
                    <m:t>q</m:t>
                  </m:r>
                </m:e>
              </m:acc>
            </m:oMath>
          </w:p>
        </w:tc>
        <w:tc>
          <w:tcPr/>
          <w:p>
            <w:pPr>
              <w:pStyle w:val="Compact"/>
              <w:jc w:val="left"/>
            </w:pPr>
            <w:r>
              <w:t xml:space="preserve">Custo marginal</w:t>
            </w:r>
          </w:p>
        </w:tc>
        <w:tc>
          <w:tcPr/>
          <w:p>
            <w:pPr>
              <w:pStyle w:val="Compact"/>
              <w:jc w:val="left"/>
            </w:pPr>
            <m:oMath>
              <m:r>
                <m:t>λ</m:t>
              </m:r>
              <m:r>
                <m:rPr>
                  <m:sty m:val="p"/>
                </m:rPr>
                <m:t>=</m:t>
              </m:r>
              <m:r>
                <m:t>C</m:t>
              </m:r>
              <m:r>
                <m:t>M</m:t>
              </m:r>
              <m:r>
                <m:t>g</m:t>
              </m:r>
              <m:r>
                <m:rPr>
                  <m:sty m:val="p"/>
                </m:rPr>
                <m:t>=</m:t>
              </m:r>
              <m:r>
                <m:rPr>
                  <m:sty m:val="p"/>
                </m:rPr>
                <m:t>∂</m:t>
              </m:r>
              <m:r>
                <m:t>C</m:t>
              </m:r>
              <m:r>
                <m:rPr>
                  <m:sty m:val="p"/>
                </m:rPr>
                <m:t>/</m:t>
              </m:r>
              <m:r>
                <m:rPr>
                  <m:sty m:val="p"/>
                </m:rPr>
                <m:t>∂</m:t>
              </m:r>
              <m:acc>
                <m:accPr>
                  <m:chr m:val="‾"/>
                </m:accPr>
                <m:e>
                  <m:r>
                    <m:t>q</m:t>
                  </m:r>
                </m:e>
              </m:acc>
            </m:oMath>
          </w:p>
        </w:tc>
        <w:tc>
          <w:tcPr/>
          <w:p>
            <w:pPr>
              <w:pStyle w:val="Compact"/>
              <w:jc w:val="center"/>
            </w:pPr>
            <w:r>
              <w:t xml:space="preserve">11 (Cap. 11)</w:t>
            </w:r>
          </w:p>
        </w:tc>
      </w:tr>
      <w:tr>
        <w:tc>
          <w:tcPr/>
          <w:p>
            <w:pPr>
              <w:pStyle w:val="Compact"/>
              <w:jc w:val="left"/>
            </w:pPr>
            <w:r>
              <w:t xml:space="preserve">Max</w:t>
            </w:r>
            <w:r>
              <w:t xml:space="preserve"> </w:t>
            </w:r>
            <m:oMath>
              <m:r>
                <m:t>W</m:t>
              </m:r>
            </m:oMath>
            <w:r>
              <w:t xml:space="preserve"> </w:t>
            </w:r>
            <w:r>
              <w:t xml:space="preserve">s.a. orçamento público</w:t>
            </w:r>
          </w:p>
        </w:tc>
        <w:tc>
          <w:tcPr/>
          <w:p>
            <w:pPr>
              <w:pStyle w:val="Compact"/>
              <w:jc w:val="left"/>
            </w:pPr>
            <w:r>
              <w:t xml:space="preserve">Preço-sombra do recurso público</w:t>
            </w:r>
          </w:p>
        </w:tc>
        <w:tc>
          <w:tcPr/>
          <w:p>
            <w:pPr>
              <w:pStyle w:val="Compact"/>
              <w:jc w:val="left"/>
            </w:pPr>
            <w:r>
              <w:t xml:space="preserve">Custo de oportunidade social</w:t>
            </w:r>
          </w:p>
        </w:tc>
        <w:tc>
          <w:tcPr/>
          <w:p>
            <w:pPr>
              <w:pStyle w:val="Compact"/>
              <w:jc w:val="center"/>
            </w:pPr>
            <w:r>
              <w:t xml:space="preserve">20 (Cap. 20)</w:t>
            </w:r>
          </w:p>
        </w:tc>
      </w:tr>
    </w:tbl>
    <w:p>
      <w:pPr>
        <w:pStyle w:val="BlockText"/>
      </w:pPr>
      <w:r>
        <w:rPr>
          <w:b/>
          <w:bCs/>
        </w:rPr>
        <w:t xml:space="preserve">[INTUICAO ECONOMICA] Intuição Econômica</w:t>
      </w:r>
    </w:p>
    <w:p>
      <w:pPr>
        <w:pStyle w:val="BlockText"/>
      </w:pPr>
      <w:r>
        <w:rPr>
          <w:b/>
          <w:bCs/>
        </w:rPr>
        <w:t xml:space="preserve">Em uma frase:</w:t>
      </w:r>
      <w:r>
        <w:t xml:space="preserve"> </w:t>
      </w:r>
      <m:oMath>
        <m:r>
          <m:t>λ</m:t>
        </m:r>
      </m:oMath>
      <w:r>
        <w:t xml:space="preserve"> </w:t>
      </w:r>
      <w:r>
        <w:t xml:space="preserve">é quanto você pagaria por uma unidade a mais de recurso — é o preço de mercado de uma restrição.</w:t>
      </w:r>
    </w:p>
    <w:p>
      <w:pPr>
        <w:pStyle w:val="BlockText"/>
      </w:pPr>
      <w:r>
        <w:rPr>
          <w:b/>
          <w:bCs/>
        </w:rPr>
        <w:t xml:space="preserve">Pense assim:</w:t>
      </w:r>
      <w:r>
        <w:t xml:space="preserve"> </w:t>
      </w:r>
      <w:r>
        <w:t xml:space="preserve">Se sua renda aumentar em R$ 1,</w:t>
      </w:r>
      <w:r>
        <w:t xml:space="preserve"> </w:t>
      </w:r>
      <m:oMath>
        <m:r>
          <m:t>λ</m:t>
        </m:r>
      </m:oMath>
      <w:r>
        <w:t xml:space="preserve"> </w:t>
      </w:r>
      <w:r>
        <w:t xml:space="preserve">diz quantas unidades de utilidade a mais você consegue. É por isso que</w:t>
      </w:r>
      <w:r>
        <w:t xml:space="preserve"> </w:t>
      </w:r>
      <m:oMath>
        <m:r>
          <m:t>λ</m:t>
        </m:r>
      </m:oMath>
      <w:r>
        <w:t xml:space="preserve"> </w:t>
      </w:r>
      <w:r>
        <w:t xml:space="preserve">é chamado de</w:t>
      </w:r>
      <w:r>
        <w:t xml:space="preserve"> </w:t>
      </w:r>
      <w:r>
        <w:t xml:space="preserve">“preço-sombra”</w:t>
      </w:r>
      <w:r>
        <w:t xml:space="preserve"> </w:t>
      </w:r>
      <w:r>
        <w:t xml:space="preserve">(</w:t>
      </w:r>
      <w:r>
        <w:rPr>
          <w:i/>
          <w:iCs/>
        </w:rPr>
        <w:t xml:space="preserve">shadow price</w:t>
      </w:r>
      <w:r>
        <w:t xml:space="preserve">): mesmo que a restrição não tenha um preço explícito de mercado (como o orçamento público ou uma cota de emissão),</w:t>
      </w:r>
      <w:r>
        <w:t xml:space="preserve"> </w:t>
      </w:r>
      <m:oMath>
        <m:r>
          <m:t>λ</m:t>
        </m:r>
      </m:oMath>
      <w:r>
        <w:t xml:space="preserve"> </w:t>
      </w:r>
      <w:r>
        <w:t xml:space="preserve">revela seu valor implícito.</w:t>
      </w:r>
    </w:p>
    <w:p>
      <w:pPr>
        <w:pStyle w:val="BlockText"/>
      </w:pPr>
      <w:r>
        <w:rPr>
          <w:b/>
          <w:bCs/>
        </w:rPr>
        <w:t xml:space="preserve">[DANGER] Erro Comum</w:t>
      </w:r>
    </w:p>
    <w:p>
      <w:pPr>
        <w:pStyle w:val="BlockText"/>
      </w:pPr>
      <w:r>
        <w:rPr>
          <w:b/>
          <w:bCs/>
        </w:rPr>
        <w:t xml:space="preserve">Confundir o sinal da restrição no Lagrangeano.</w:t>
      </w:r>
      <w:r>
        <w:t xml:space="preserve"> </w:t>
      </w:r>
      <w:r>
        <w:t xml:space="preserve">Se você escreve</w:t>
      </w:r>
      <w:r>
        <w:t xml:space="preserve"> </w:t>
      </w:r>
      <m:oMath>
        <m:r>
          <m:rPr>
            <m:scr m:val="script"/>
            <m:sty m:val="p"/>
          </m:rPr>
          <m:t>L</m:t>
        </m:r>
        <m:r>
          <m:rPr>
            <m:sty m:val="p"/>
          </m:rPr>
          <m:t>=</m:t>
        </m:r>
        <m:r>
          <m:t>f</m:t>
        </m:r>
        <m:r>
          <m:rPr>
            <m:sty m:val="p"/>
          </m:rPr>
          <m:t>+</m:t>
        </m:r>
        <m:r>
          <m:t>λ</m:t>
        </m:r>
        <m:r>
          <m:rPr>
            <m:sty m:val="p"/>
          </m:rPr>
          <m:t>(</m:t>
        </m:r>
        <m:r>
          <m:t>c</m:t>
        </m:r>
        <m:r>
          <m:rPr>
            <m:sty m:val="p"/>
          </m:rPr>
          <m:t>−</m:t>
        </m:r>
        <m:r>
          <m:t>g</m:t>
        </m:r>
        <m:r>
          <m:rPr>
            <m:sty m:val="p"/>
          </m:rPr>
          <m:t>)</m:t>
        </m:r>
      </m:oMath>
      <w:r>
        <w:t xml:space="preserve"> </w:t>
      </w:r>
      <w:r>
        <w:t xml:space="preserve">em vez de</w:t>
      </w:r>
      <w:r>
        <w:t xml:space="preserve"> </w:t>
      </w:r>
      <m:oMath>
        <m:r>
          <m:rPr>
            <m:scr m:val="script"/>
            <m:sty m:val="p"/>
          </m:rPr>
          <m:t>L</m:t>
        </m:r>
        <m:r>
          <m:rPr>
            <m:sty m:val="p"/>
          </m:rPr>
          <m:t>=</m:t>
        </m:r>
        <m:r>
          <m:t>f</m:t>
        </m:r>
        <m:r>
          <m:rPr>
            <m:sty m:val="p"/>
          </m:rPr>
          <m:t>−</m:t>
        </m:r>
        <m:r>
          <m:t>λ</m:t>
        </m:r>
        <m:r>
          <m:rPr>
            <m:sty m:val="p"/>
          </m:rPr>
          <m:t>(</m:t>
        </m:r>
        <m:r>
          <m:t>g</m:t>
        </m:r>
        <m:r>
          <m:rPr>
            <m:sty m:val="p"/>
          </m:rPr>
          <m:t>−</m:t>
        </m:r>
        <m:r>
          <m:t>c</m:t>
        </m:r>
        <m:r>
          <m:rPr>
            <m:sty m:val="p"/>
          </m:rPr>
          <m:t>)</m:t>
        </m:r>
      </m:oMath>
      <w:r>
        <w:t xml:space="preserve">, o</w:t>
      </w:r>
      <w:r>
        <w:t xml:space="preserve"> </w:t>
      </w:r>
      <m:oMath>
        <m:r>
          <m:t>λ</m:t>
        </m:r>
      </m:oMath>
      <w:r>
        <w:t xml:space="preserve"> </w:t>
      </w:r>
      <w:r>
        <w:t xml:space="preserve">sai com sinal trocado. A convenção deste livro é</w:t>
      </w:r>
      <w:r>
        <w:t xml:space="preserve"> </w:t>
      </w:r>
      <m:oMath>
        <m:r>
          <m:rPr>
            <m:scr m:val="script"/>
            <m:sty m:val="p"/>
          </m:rPr>
          <m:t>L</m:t>
        </m:r>
        <m:r>
          <m:rPr>
            <m:sty m:val="p"/>
          </m:rPr>
          <m:t>=</m:t>
        </m:r>
        <m:r>
          <m:t>f</m:t>
        </m:r>
        <m:r>
          <m:rPr>
            <m:sty m:val="p"/>
          </m:rPr>
          <m:t>−</m:t>
        </m:r>
        <m:r>
          <m:t>λ</m:t>
        </m:r>
        <m:r>
          <m:rPr>
            <m:sty m:val="p"/>
          </m:rPr>
          <m:t>(</m:t>
        </m:r>
        <m:r>
          <m:t>g</m:t>
        </m:r>
        <m:r>
          <m:rPr>
            <m:sty m:val="p"/>
          </m:rPr>
          <m:t>−</m:t>
        </m:r>
        <m:r>
          <m:t>c</m:t>
        </m:r>
        <m:r>
          <m:rPr>
            <m:sty m:val="p"/>
          </m:rPr>
          <m:t>)</m:t>
        </m:r>
      </m:oMath>
      <w:r>
        <w:t xml:space="preserve">, o que garante</w:t>
      </w:r>
      <w:r>
        <w:t xml:space="preserve"> </w:t>
      </w:r>
      <m:oMath>
        <m:r>
          <m:t>λ</m:t>
        </m:r>
        <m:r>
          <m:rPr>
            <m:sty m:val="p"/>
          </m:rPr>
          <m:t>≥</m:t>
        </m:r>
        <m:r>
          <m:t>0</m:t>
        </m:r>
      </m:oMath>
      <w:r>
        <w:t xml:space="preserve"> </w:t>
      </w:r>
      <w:r>
        <w:t xml:space="preserve">em problemas de maximização com restrição de desigualdade (</w:t>
      </w:r>
      <m:oMath>
        <m:r>
          <m:t>g</m:t>
        </m:r>
        <m:r>
          <m:rPr>
            <m:sty m:val="p"/>
          </m:rPr>
          <m:t>≤</m:t>
        </m:r>
        <m:r>
          <m:t>c</m:t>
        </m:r>
      </m:oMath>
      <w:r>
        <w:t xml:space="preserve">). Essa convenção é consistente com Mas-Colell, Whinston e Green (1995).</w:t>
      </w:r>
    </w:p>
    <w:bookmarkEnd w:id="100"/>
    <w:bookmarkStart w:id="101" w:name="cso-com-restrição-a-hessiana-orlada"/>
    <w:p>
      <w:pPr>
        <w:pStyle w:val="Heading4"/>
      </w:pPr>
      <w:r>
        <w:t xml:space="preserve">CSO com restrição: a Hessiana Orlada</w:t>
      </w:r>
    </w:p>
    <w:p>
      <w:pPr>
        <w:pStyle w:val="FirstParagraph"/>
      </w:pPr>
      <w:r>
        <w:t xml:space="preserve">No caso irrestrito, a CSO usa a Hessiana</w:t>
      </w:r>
      <w:r>
        <w:t xml:space="preserve"> </w:t>
      </w:r>
      <m:oMath>
        <m:r>
          <m:t>H</m:t>
        </m:r>
      </m:oMath>
      <w:r>
        <w:t xml:space="preserve">. Com restrição, usamos a</w:t>
      </w:r>
      <w:r>
        <w:t xml:space="preserve"> </w:t>
      </w:r>
      <w:r>
        <w:rPr>
          <w:b/>
          <w:bCs/>
        </w:rPr>
        <w:t xml:space="preserve">Hessiana orlada</w:t>
      </w:r>
      <w:r>
        <w:t xml:space="preserve"> </w:t>
      </w:r>
      <w:r>
        <w:t xml:space="preserve">(</w:t>
      </w:r>
      <w:r>
        <w:rPr>
          <w:i/>
          <w:iCs/>
        </w:rPr>
        <w:t xml:space="preserve">bordered Hessian</w:t>
      </w:r>
      <w:r>
        <w:t xml:space="preserve">):</w:t>
      </w:r>
    </w:p>
    <w:p>
      <w:pPr>
        <w:pStyle w:val="BlockText"/>
      </w:pPr>
      <w:r>
        <w:rPr>
          <w:b/>
          <w:bCs/>
        </w:rPr>
        <w:t xml:space="preserve">[DEFINICAO] Hessiana Orlada</w:t>
      </w:r>
    </w:p>
    <w:p>
      <w:pPr>
        <w:pStyle w:val="BlockText"/>
      </w:pPr>
      <w:r>
        <w:t xml:space="preserve">Para o Lagrangeano</w:t>
      </w:r>
      <w:r>
        <w:t xml:space="preserve"> </w:t>
      </w:r>
      <m:oMath>
        <m:r>
          <m:rPr>
            <m:scr m:val="script"/>
            <m:sty m:val="p"/>
          </m:rPr>
          <m:t>L</m:t>
        </m:r>
      </m:oMath>
      <w:r>
        <w:t xml:space="preserve"> </w:t>
      </w:r>
      <w:r>
        <w:t xml:space="preserve">com uma restrição de igualdade, a Hessiana orlada é:</w:t>
      </w:r>
    </w:p>
    <w:p>
      <w:pPr>
        <w:pStyle w:val="BlockText"/>
      </w:pPr>
      <m:oMathPara>
        <m:oMathParaPr>
          <m:jc m:val="center"/>
        </m:oMathParaPr>
        <m:oMath>
          <m:acc>
            <m:accPr>
              <m:chr m:val="‾"/>
            </m:accPr>
            <m:e>
              <m:r>
                <m:t>H</m:t>
              </m:r>
            </m:e>
          </m:acc>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sSub>
                      <m:e>
                        <m:r>
                          <m:t>g</m:t>
                        </m:r>
                      </m:e>
                      <m:sub>
                        <m:r>
                          <m:t>1</m:t>
                        </m:r>
                      </m:sub>
                    </m:sSub>
                  </m:e>
                  <m:e>
                    <m:sSub>
                      <m:e>
                        <m:r>
                          <m:t>g</m:t>
                        </m:r>
                      </m:e>
                      <m:sub>
                        <m:r>
                          <m:t>2</m:t>
                        </m:r>
                      </m:sub>
                    </m:sSub>
                  </m:e>
                </m:mr>
                <m:mr>
                  <m:e>
                    <m:sSub>
                      <m:e>
                        <m:r>
                          <m:t>g</m:t>
                        </m:r>
                      </m:e>
                      <m:sub>
                        <m:r>
                          <m:t>1</m:t>
                        </m:r>
                      </m:sub>
                    </m:sSub>
                  </m:e>
                  <m:e>
                    <m:sSub>
                      <m:e>
                        <m:r>
                          <m:rPr>
                            <m:scr m:val="script"/>
                            <m:sty m:val="p"/>
                          </m:rPr>
                          <m:t>L</m:t>
                        </m:r>
                      </m:e>
                      <m:sub>
                        <m:r>
                          <m:t>11</m:t>
                        </m:r>
                      </m:sub>
                    </m:sSub>
                  </m:e>
                  <m:e>
                    <m:sSub>
                      <m:e>
                        <m:r>
                          <m:rPr>
                            <m:scr m:val="script"/>
                            <m:sty m:val="p"/>
                          </m:rPr>
                          <m:t>L</m:t>
                        </m:r>
                      </m:e>
                      <m:sub>
                        <m:r>
                          <m:t>12</m:t>
                        </m:r>
                      </m:sub>
                    </m:sSub>
                  </m:e>
                </m:mr>
                <m:mr>
                  <m:e>
                    <m:sSub>
                      <m:e>
                        <m:r>
                          <m:t>g</m:t>
                        </m:r>
                      </m:e>
                      <m:sub>
                        <m:r>
                          <m:t>2</m:t>
                        </m:r>
                      </m:sub>
                    </m:sSub>
                  </m:e>
                  <m:e>
                    <m:sSub>
                      <m:e>
                        <m:r>
                          <m:rPr>
                            <m:scr m:val="script"/>
                            <m:sty m:val="p"/>
                          </m:rPr>
                          <m:t>L</m:t>
                        </m:r>
                      </m:e>
                      <m:sub>
                        <m:r>
                          <m:t>21</m:t>
                        </m:r>
                      </m:sub>
                    </m:sSub>
                  </m:e>
                  <m:e>
                    <m:sSub>
                      <m:e>
                        <m:r>
                          <m:rPr>
                            <m:scr m:val="script"/>
                            <m:sty m:val="p"/>
                          </m:rPr>
                          <m:t>L</m:t>
                        </m:r>
                      </m:e>
                      <m:sub>
                        <m:r>
                          <m:t>22</m:t>
                        </m:r>
                      </m:sub>
                    </m:sSub>
                  </m:e>
                </m:mr>
              </m:m>
            </m:e>
          </m:d>
        </m:oMath>
      </m:oMathPara>
    </w:p>
    <w:p>
      <w:pPr>
        <w:pStyle w:val="BlockText"/>
      </w:pPr>
      <w:r>
        <w:t xml:space="preserve">onde</w:t>
      </w:r>
      <w:r>
        <w:t xml:space="preserve"> </w:t>
      </w:r>
      <m:oMath>
        <m:sSub>
          <m:e>
            <m:r>
              <m:t>g</m:t>
            </m:r>
          </m:e>
          <m:sub>
            <m:r>
              <m:t>i</m:t>
            </m:r>
          </m:sub>
        </m:sSub>
        <m:r>
          <m:rPr>
            <m:sty m:val="p"/>
          </m:rPr>
          <m:t>=</m:t>
        </m:r>
        <m:r>
          <m:rPr>
            <m:sty m:val="p"/>
          </m:rPr>
          <m:t>∂</m:t>
        </m:r>
        <m:r>
          <m:t>g</m:t>
        </m:r>
        <m:r>
          <m:rPr>
            <m:sty m:val="p"/>
          </m:rPr>
          <m:t>/</m:t>
        </m:r>
        <m:r>
          <m:rPr>
            <m:sty m:val="p"/>
          </m:rPr>
          <m:t>∂</m:t>
        </m:r>
        <m:sSub>
          <m:e>
            <m:r>
              <m:t>x</m:t>
            </m:r>
          </m:e>
          <m:sub>
            <m:r>
              <m:t>i</m:t>
            </m:r>
          </m:sub>
        </m:sSub>
      </m:oMath>
      <w:r>
        <w:t xml:space="preserve"> </w:t>
      </w:r>
      <w:r>
        <w:t xml:space="preserve">e</w:t>
      </w:r>
      <w:r>
        <w:t xml:space="preserve"> </w:t>
      </w:r>
      <m:oMath>
        <m:sSub>
          <m:e>
            <m:r>
              <m:rPr>
                <m:scr m:val="script"/>
                <m:sty m:val="p"/>
              </m:rPr>
              <m:t>L</m:t>
            </m:r>
          </m:e>
          <m:sub>
            <m:r>
              <m:t>i</m:t>
            </m:r>
            <m:r>
              <m:t>j</m:t>
            </m:r>
          </m:sub>
        </m:sSub>
        <m:r>
          <m:rPr>
            <m:sty m:val="p"/>
          </m:rPr>
          <m:t>=</m:t>
        </m:r>
        <m:sSup>
          <m:e>
            <m:r>
              <m:rPr>
                <m:sty m:val="p"/>
              </m:rPr>
              <m:t>∂</m:t>
            </m:r>
          </m:e>
          <m:sup>
            <m:r>
              <m:t>2</m:t>
            </m:r>
          </m:sup>
        </m:sSup>
        <m:r>
          <m:rPr>
            <m:scr m:val="script"/>
            <m:sty m:val="p"/>
          </m:rPr>
          <m:t>L</m:t>
        </m:r>
        <m:r>
          <m:rPr>
            <m:sty m:val="p"/>
          </m:rPr>
          <m:t>/</m:t>
        </m:r>
        <m:r>
          <m:rPr>
            <m:sty m:val="p"/>
          </m:rPr>
          <m:t>∂</m:t>
        </m:r>
        <m:sSub>
          <m:e>
            <m:r>
              <m:t>x</m:t>
            </m:r>
          </m:e>
          <m:sub>
            <m:r>
              <m:t>i</m:t>
            </m:r>
          </m:sub>
        </m:sSub>
        <m:r>
          <m:rPr>
            <m:sty m:val="p"/>
          </m:rPr>
          <m:t>∂</m:t>
        </m:r>
        <m:sSub>
          <m:e>
            <m:r>
              <m:t>x</m:t>
            </m:r>
          </m:e>
          <m:sub>
            <m:r>
              <m:t>j</m:t>
            </m:r>
          </m:sub>
        </m:sSub>
      </m:oMath>
      <w:r>
        <w:t xml:space="preserve">.</w:t>
      </w:r>
    </w:p>
    <w:p>
      <w:pPr>
        <w:pStyle w:val="BlockText"/>
      </w:pPr>
      <w:r>
        <w:t xml:space="preserve">Para</w:t>
      </w:r>
      <w:r>
        <w:t xml:space="preserve"> </w:t>
      </w:r>
      <w:r>
        <w:rPr>
          <w:b/>
          <w:bCs/>
        </w:rPr>
        <w:t xml:space="preserve">maximização</w:t>
      </w:r>
      <w:r>
        <w:t xml:space="preserve"> </w:t>
      </w:r>
      <w:r>
        <w:t xml:space="preserve">com</w:t>
      </w:r>
      <w:r>
        <w:t xml:space="preserve"> </w:t>
      </w:r>
      <m:oMath>
        <m:r>
          <m:t>n</m:t>
        </m:r>
        <m:r>
          <m:rPr>
            <m:sty m:val="p"/>
          </m:rPr>
          <m:t>=</m:t>
        </m:r>
        <m:r>
          <m:t>2</m:t>
        </m:r>
      </m:oMath>
      <w:r>
        <w:t xml:space="preserve"> </w:t>
      </w:r>
      <w:r>
        <w:t xml:space="preserve">variáveis e</w:t>
      </w:r>
      <w:r>
        <w:t xml:space="preserve"> </w:t>
      </w:r>
      <m:oMath>
        <m:r>
          <m:t>m</m:t>
        </m:r>
        <m:r>
          <m:rPr>
            <m:sty m:val="p"/>
          </m:rPr>
          <m:t>=</m:t>
        </m:r>
        <m:r>
          <m:t>1</m:t>
        </m:r>
      </m:oMath>
      <w:r>
        <w:t xml:space="preserve"> </w:t>
      </w:r>
      <w:r>
        <w:t xml:space="preserve">restrição: o ponto é máximo se</w:t>
      </w:r>
      <w:r>
        <w:t xml:space="preserve"> </w:t>
      </w:r>
      <m:oMath>
        <m:r>
          <m:rPr>
            <m:sty m:val="p"/>
          </m:rPr>
          <m:t>|</m:t>
        </m:r>
        <m:acc>
          <m:accPr>
            <m:chr m:val="‾"/>
          </m:accPr>
          <m:e>
            <m:r>
              <m:t>H</m:t>
            </m:r>
          </m:e>
        </m:acc>
        <m:r>
          <m:rPr>
            <m:sty m:val="p"/>
          </m:rPr>
          <m:t>|</m:t>
        </m:r>
        <m:r>
          <m:rPr>
            <m:sty m:val="p"/>
          </m:rPr>
          <m:t>&gt;</m:t>
        </m:r>
        <m:r>
          <m:t>0</m:t>
        </m:r>
      </m:oMath>
      <w:r>
        <w:t xml:space="preserve">.</w:t>
      </w:r>
    </w:p>
    <w:p>
      <w:pPr>
        <w:pStyle w:val="BlockText"/>
      </w:pPr>
      <w:r>
        <w:rPr>
          <w:b/>
          <w:bCs/>
        </w:rPr>
        <w:t xml:space="preserve">Regra geral (</w:t>
      </w:r>
      <m:oMath>
        <m:r>
          <m:t>n</m:t>
        </m:r>
      </m:oMath>
      <w:r>
        <w:rPr>
          <w:b/>
          <w:bCs/>
        </w:rPr>
        <w:t xml:space="preserve"> </w:t>
      </w:r>
      <w:r>
        <w:rPr>
          <w:b/>
          <w:bCs/>
        </w:rPr>
        <w:t xml:space="preserve">variáveis,</w:t>
      </w:r>
      <w:r>
        <w:rPr>
          <w:b/>
          <w:bCs/>
        </w:rPr>
        <w:t xml:space="preserve"> </w:t>
      </w:r>
      <m:oMath>
        <m:r>
          <m:t>m</m:t>
        </m:r>
      </m:oMath>
      <w:r>
        <w:rPr>
          <w:b/>
          <w:bCs/>
        </w:rPr>
        <w:t xml:space="preserve"> </w:t>
      </w:r>
      <w:r>
        <w:rPr>
          <w:b/>
          <w:bCs/>
        </w:rPr>
        <w:t xml:space="preserve">restrições):</w:t>
      </w:r>
      <w:r>
        <w:t xml:space="preserve"> </w:t>
      </w:r>
      <w:r>
        <w:t xml:space="preserve">os últimos</w:t>
      </w:r>
      <w:r>
        <w:t xml:space="preserve"> </w:t>
      </w:r>
      <m:oMath>
        <m:r>
          <m:t>n</m:t>
        </m:r>
        <m:r>
          <m:rPr>
            <m:sty m:val="p"/>
          </m:rPr>
          <m:t>−</m:t>
        </m:r>
        <m:r>
          <m:t>m</m:t>
        </m:r>
      </m:oMath>
      <w:r>
        <w:t xml:space="preserve"> </w:t>
      </w:r>
      <w:r>
        <w:t xml:space="preserve">menores principais orlados devem ter sinal</w:t>
      </w:r>
      <w:r>
        <w:t xml:space="preserve"> </w:t>
      </w:r>
      <m:oMath>
        <m:r>
          <m:rPr>
            <m:sty m:val="p"/>
          </m:rPr>
          <m:t>(</m:t>
        </m:r>
        <m:r>
          <m:rPr>
            <m:sty m:val="p"/>
          </m:rPr>
          <m:t>−</m:t>
        </m:r>
        <m:r>
          <m:t>1</m:t>
        </m:r>
        <m:sSup>
          <m:e>
            <m:r>
              <m:rPr>
                <m:sty m:val="p"/>
              </m:rPr>
              <m:t>)</m:t>
            </m:r>
          </m:e>
          <m:sup>
            <m:r>
              <m:t>m</m:t>
            </m:r>
            <m:r>
              <m:rPr>
                <m:sty m:val="p"/>
              </m:rPr>
              <m:t>+</m:t>
            </m:r>
            <m:r>
              <m:t>k</m:t>
            </m:r>
          </m:sup>
        </m:sSup>
      </m:oMath>
      <w:r>
        <w:t xml:space="preserve">, onde</w:t>
      </w:r>
      <w:r>
        <w:t xml:space="preserve"> </w:t>
      </w:r>
      <m:oMath>
        <m:r>
          <m:t>k</m:t>
        </m:r>
      </m:oMath>
      <w:r>
        <w:t xml:space="preserve"> </w:t>
      </w:r>
      <w:r>
        <w:t xml:space="preserve">indexa o menor.</w:t>
      </w:r>
    </w:p>
    <w:p>
      <w:pPr>
        <w:pStyle w:val="BlockText"/>
      </w:pPr>
      <w:r>
        <w:rPr>
          <w:b/>
          <w:bCs/>
        </w:rPr>
        <w:t xml:space="preserve">[EXEMPLO] Exemplo: CSO para a Cobb-Douglas</w:t>
      </w:r>
    </w:p>
    <w:p>
      <w:pPr>
        <w:pStyle w:val="BlockText"/>
      </w:pPr>
      <w:r>
        <w:t xml:space="preserve">Retomando o exemplo anterior com</w:t>
      </w:r>
      <w:r>
        <w:t xml:space="preserve"> </w:t>
      </w:r>
      <m:oMath>
        <m:r>
          <m:t>U</m:t>
        </m:r>
        <m:r>
          <m:rPr>
            <m:sty m:val="p"/>
          </m:rPr>
          <m:t>=</m:t>
        </m:r>
        <m:sSubSup>
          <m:e>
            <m:r>
              <m:t>x</m:t>
            </m:r>
          </m:e>
          <m:sub>
            <m:r>
              <m:t>1</m:t>
            </m:r>
          </m:sub>
          <m:sup>
            <m:r>
              <m:t>1</m:t>
            </m:r>
            <m:r>
              <m:rPr>
                <m:sty m:val="p"/>
              </m:rPr>
              <m:t>/</m:t>
            </m:r>
            <m:r>
              <m:t>2</m:t>
            </m:r>
          </m:sup>
        </m:sSubSup>
        <m:sSubSup>
          <m:e>
            <m:r>
              <m:t>x</m:t>
            </m:r>
          </m:e>
          <m:sub>
            <m:r>
              <m:t>2</m:t>
            </m:r>
          </m:sub>
          <m:sup>
            <m:r>
              <m:t>1</m:t>
            </m:r>
            <m:r>
              <m:rPr>
                <m:sty m:val="p"/>
              </m:rPr>
              <m:t>/</m:t>
            </m:r>
            <m:r>
              <m:t>2</m:t>
            </m:r>
          </m:sup>
        </m:sSubSup>
      </m:oMath>
      <w:r>
        <w:t xml:space="preserve"> </w:t>
      </w:r>
      <w:r>
        <w:t xml:space="preserve">e restrição</w:t>
      </w:r>
      <w:r>
        <w:t xml:space="preserve"> </w:t>
      </w: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m</m:t>
        </m:r>
      </m:oMath>
      <w:r>
        <w:t xml:space="preserve">:</w:t>
      </w:r>
    </w:p>
    <w:p>
      <w:pPr>
        <w:pStyle w:val="BlockText"/>
      </w:pPr>
      <w:r>
        <w:t xml:space="preserve">No ótimo</w:t>
      </w:r>
      <w:r>
        <w:t xml:space="preserve"> </w:t>
      </w:r>
      <m:oMath>
        <m:r>
          <m:rPr>
            <m:sty m:val="p"/>
          </m:rPr>
          <m:t>(</m:t>
        </m:r>
        <m:sSubSup>
          <m:e>
            <m:r>
              <m:t>x</m:t>
            </m:r>
          </m:e>
          <m:sub>
            <m:r>
              <m:t>1</m:t>
            </m:r>
          </m:sub>
          <m:sup>
            <m:r>
              <m:rPr>
                <m:sty m:val="p"/>
              </m:rPr>
              <m:t>*</m:t>
            </m:r>
          </m:sup>
        </m:sSubSup>
        <m:r>
          <m:rPr>
            <m:sty m:val="p"/>
          </m:rPr>
          <m:t>=</m:t>
        </m:r>
        <m:r>
          <m:t>m</m:t>
        </m:r>
        <m:r>
          <m:rPr>
            <m:sty m:val="p"/>
          </m:rPr>
          <m:t>/</m:t>
        </m:r>
        <m:r>
          <m:t>2</m:t>
        </m:r>
        <m:sSub>
          <m:e>
            <m:r>
              <m:t>p</m:t>
            </m:r>
          </m:e>
          <m:sub>
            <m:r>
              <m:t>1</m:t>
            </m:r>
          </m:sub>
        </m:sSub>
        <m:r>
          <m:rPr>
            <m:sty m:val="p"/>
          </m:rPr>
          <m:t>,</m:t>
        </m:r>
        <m:sSubSup>
          <m:e>
            <m:r>
              <m:t>x</m:t>
            </m:r>
          </m:e>
          <m:sub>
            <m:r>
              <m:t>2</m:t>
            </m:r>
          </m:sub>
          <m:sup>
            <m:r>
              <m:rPr>
                <m:sty m:val="p"/>
              </m:rPr>
              <m:t>*</m:t>
            </m:r>
          </m:sup>
        </m:sSubSup>
        <m:r>
          <m:rPr>
            <m:sty m:val="p"/>
          </m:rPr>
          <m:t>=</m:t>
        </m:r>
        <m:r>
          <m:t>m</m:t>
        </m:r>
        <m:r>
          <m:rPr>
            <m:sty m:val="p"/>
          </m:rPr>
          <m:t>/</m:t>
        </m:r>
        <m:r>
          <m:t>2</m:t>
        </m:r>
        <m:sSub>
          <m:e>
            <m:r>
              <m:t>p</m:t>
            </m:r>
          </m:e>
          <m:sub>
            <m:r>
              <m:t>2</m:t>
            </m:r>
          </m:sub>
        </m:sSub>
        <m:r>
          <m:rPr>
            <m:sty m:val="p"/>
          </m:rPr>
          <m:t>)</m:t>
        </m:r>
      </m:oMath>
      <w:r>
        <w:t xml:space="preserve">, a Hessiana orlada tem determinante positivo — confirmando que é máximo. A verificação detalhada é deixada como exercício (Exercício 2.5).</w:t>
      </w:r>
    </w:p>
    <w:p>
      <w:pPr>
        <w:pStyle w:val="BlockText"/>
      </w:pPr>
      <w:r>
        <w:rPr>
          <w:b/>
          <w:bCs/>
        </w:rPr>
        <w:t xml:space="preserve">[R-INTERACTIVE] R Interativo</w:t>
      </w:r>
    </w:p>
    <w:p>
      <w:pPr>
        <w:pStyle w:val="SourceCode"/>
      </w:pPr>
      <w:r>
        <w:rPr>
          <w:rStyle w:val="CommentTok"/>
        </w:rPr>
        <w:t xml:space="preserve"># Visualização: curvas de nível + restrição orçamentária</w:t>
      </w:r>
      <w:r>
        <w:br/>
      </w:r>
      <w:r>
        <w:rPr>
          <w:rStyle w:val="NormalTok"/>
        </w:rPr>
        <w:t xml:space="preserve">x1 </w:t>
      </w:r>
      <w:r>
        <w:rPr>
          <w:rStyle w:val="OtherTok"/>
        </w:rPr>
        <w:t xml:space="preserve">&lt;-</w:t>
      </w:r>
      <w:r>
        <w:rPr>
          <w:rStyle w:val="NormalTok"/>
        </w:rPr>
        <w:t xml:space="preserve"> </w:t>
      </w:r>
      <w:r>
        <w:rPr>
          <w:rStyle w:val="FunctionTok"/>
        </w:rPr>
        <w:t xml:space="preserve">seq</w:t>
      </w:r>
      <w:r>
        <w:rPr>
          <w:rStyle w:val="NormalTok"/>
        </w:rPr>
        <w:t xml:space="preserve">(</w:t>
      </w:r>
      <w:r>
        <w:rPr>
          <w:rStyle w:val="FloatTok"/>
        </w:rPr>
        <w:t xml:space="preserve">0.1</w:t>
      </w:r>
      <w:r>
        <w:rPr>
          <w:rStyle w:val="NormalTok"/>
        </w:rPr>
        <w:t xml:space="preserve">, </w:t>
      </w:r>
      <w:r>
        <w:rPr>
          <w:rStyle w:val="DecValTok"/>
        </w:rPr>
        <w:t xml:space="preserve">10</w:t>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x2 </w:t>
      </w:r>
      <w:r>
        <w:rPr>
          <w:rStyle w:val="OtherTok"/>
        </w:rPr>
        <w:t xml:space="preserve">&lt;-</w:t>
      </w:r>
      <w:r>
        <w:rPr>
          <w:rStyle w:val="NormalTok"/>
        </w:rPr>
        <w:t xml:space="preserve"> </w:t>
      </w:r>
      <w:r>
        <w:rPr>
          <w:rStyle w:val="FunctionTok"/>
        </w:rPr>
        <w:t xml:space="preserve">seq</w:t>
      </w:r>
      <w:r>
        <w:rPr>
          <w:rStyle w:val="NormalTok"/>
        </w:rPr>
        <w:t xml:space="preserve">(</w:t>
      </w:r>
      <w:r>
        <w:rPr>
          <w:rStyle w:val="FloatTok"/>
        </w:rPr>
        <w:t xml:space="preserve">0.1</w:t>
      </w:r>
      <w:r>
        <w:rPr>
          <w:rStyle w:val="NormalTok"/>
        </w:rPr>
        <w:t xml:space="preserve">, </w:t>
      </w:r>
      <w:r>
        <w:rPr>
          <w:rStyle w:val="DecValTok"/>
        </w:rPr>
        <w:t xml:space="preserve">10</w:t>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x1 =</w:t>
      </w:r>
      <w:r>
        <w:rPr>
          <w:rStyle w:val="NormalTok"/>
        </w:rPr>
        <w:t xml:space="preserve"> x1, </w:t>
      </w:r>
      <w:r>
        <w:rPr>
          <w:rStyle w:val="AttributeTok"/>
        </w:rPr>
        <w:t xml:space="preserve">x2 =</w:t>
      </w:r>
      <w:r>
        <w:rPr>
          <w:rStyle w:val="NormalTok"/>
        </w:rPr>
        <w:t xml:space="preserve"> x2)</w:t>
      </w:r>
      <w:r>
        <w:br/>
      </w:r>
      <w:r>
        <w:br/>
      </w:r>
      <w:r>
        <w:rPr>
          <w:rStyle w:val="CommentTok"/>
        </w:rPr>
        <w:t xml:space="preserve"># Utilidade: Cobb-Douglas U = x1^0.5 * x2^0.5</w:t>
      </w:r>
      <w:r>
        <w:br/>
      </w:r>
      <w:r>
        <w:rPr>
          <w:rStyle w:val="NormalTok"/>
        </w:rPr>
        <w:t xml:space="preserve">grid</w:t>
      </w:r>
      <w:r>
        <w:rPr>
          <w:rStyle w:val="SpecialCharTok"/>
        </w:rPr>
        <w:t xml:space="preserve">$</w:t>
      </w:r>
      <w:r>
        <w:rPr>
          <w:rStyle w:val="NormalTok"/>
        </w:rPr>
        <w:t xml:space="preserve">U </w:t>
      </w:r>
      <w:r>
        <w:rPr>
          <w:rStyle w:val="OtherTok"/>
        </w:rPr>
        <w:t xml:space="preserve">&lt;-</w:t>
      </w:r>
      <w:r>
        <w:rPr>
          <w:rStyle w:val="NormalTok"/>
        </w:rPr>
        <w:t xml:space="preserve"> </w:t>
      </w:r>
      <w:r>
        <w:rPr>
          <w:rStyle w:val="FunctionTok"/>
        </w:rPr>
        <w:t xml:space="preserve">sqrt</w:t>
      </w:r>
      <w:r>
        <w:rPr>
          <w:rStyle w:val="NormalTok"/>
        </w:rPr>
        <w:t xml:space="preserve">(grid</w:t>
      </w:r>
      <w:r>
        <w:rPr>
          <w:rStyle w:val="SpecialCharTok"/>
        </w:rPr>
        <w:t xml:space="preserve">$</w:t>
      </w:r>
      <w:r>
        <w:rPr>
          <w:rStyle w:val="NormalTok"/>
        </w:rPr>
        <w:t xml:space="preserve">x1) </w:t>
      </w:r>
      <w:r>
        <w:rPr>
          <w:rStyle w:val="SpecialCharTok"/>
        </w:rPr>
        <w:t xml:space="preserve">*</w:t>
      </w:r>
      <w:r>
        <w:rPr>
          <w:rStyle w:val="NormalTok"/>
        </w:rPr>
        <w:t xml:space="preserve"> </w:t>
      </w:r>
      <w:r>
        <w:rPr>
          <w:rStyle w:val="FunctionTok"/>
        </w:rPr>
        <w:t xml:space="preserve">sqrt</w:t>
      </w:r>
      <w:r>
        <w:rPr>
          <w:rStyle w:val="NormalTok"/>
        </w:rPr>
        <w:t xml:space="preserve">(grid</w:t>
      </w:r>
      <w:r>
        <w:rPr>
          <w:rStyle w:val="SpecialCharTok"/>
        </w:rPr>
        <w:t xml:space="preserve">$</w:t>
      </w:r>
      <w:r>
        <w:rPr>
          <w:rStyle w:val="NormalTok"/>
        </w:rPr>
        <w:t xml:space="preserve">x2)</w:t>
      </w:r>
      <w:r>
        <w:br/>
      </w:r>
      <w:r>
        <w:br/>
      </w:r>
      <w:r>
        <w:rPr>
          <w:rStyle w:val="CommentTok"/>
        </w:rPr>
        <w:t xml:space="preserve"># Parâmetros</w:t>
      </w:r>
      <w:r>
        <w:br/>
      </w:r>
      <w:r>
        <w:rPr>
          <w:rStyle w:val="NormalTok"/>
        </w:rPr>
        <w:t xml:space="preserve">p1 </w:t>
      </w:r>
      <w:r>
        <w:rPr>
          <w:rStyle w:val="OtherTok"/>
        </w:rPr>
        <w:t xml:space="preserve">&lt;-</w:t>
      </w:r>
      <w:r>
        <w:rPr>
          <w:rStyle w:val="NormalTok"/>
        </w:rPr>
        <w:t xml:space="preserve"> </w:t>
      </w:r>
      <w:r>
        <w:rPr>
          <w:rStyle w:val="DecValTok"/>
        </w:rPr>
        <w:t xml:space="preserve">1</w:t>
      </w:r>
      <w:r>
        <w:rPr>
          <w:rStyle w:val="NormalTok"/>
        </w:rPr>
        <w:t xml:space="preserve">; p2 </w:t>
      </w:r>
      <w:r>
        <w:rPr>
          <w:rStyle w:val="OtherTok"/>
        </w:rPr>
        <w:t xml:space="preserve">&lt;-</w:t>
      </w:r>
      <w:r>
        <w:rPr>
          <w:rStyle w:val="NormalTok"/>
        </w:rPr>
        <w:t xml:space="preserve"> </w:t>
      </w:r>
      <w:r>
        <w:rPr>
          <w:rStyle w:val="DecValTok"/>
        </w:rPr>
        <w:t xml:space="preserve">2</w:t>
      </w:r>
      <w:r>
        <w:rPr>
          <w:rStyle w:val="NormalTok"/>
        </w:rPr>
        <w:t xml:space="preserve">; m </w:t>
      </w:r>
      <w:r>
        <w:rPr>
          <w:rStyle w:val="OtherTok"/>
        </w:rPr>
        <w:t xml:space="preserve">&lt;-</w:t>
      </w:r>
      <w:r>
        <w:rPr>
          <w:rStyle w:val="NormalTok"/>
        </w:rPr>
        <w:t xml:space="preserve"> </w:t>
      </w:r>
      <w:r>
        <w:rPr>
          <w:rStyle w:val="DecValTok"/>
        </w:rPr>
        <w:t xml:space="preserve">10</w:t>
      </w:r>
      <w:r>
        <w:br/>
      </w:r>
      <w:r>
        <w:br/>
      </w:r>
      <w:r>
        <w:rPr>
          <w:rStyle w:val="CommentTok"/>
        </w:rPr>
        <w:t xml:space="preserve"># Restrição orçamentária</w:t>
      </w:r>
      <w:r>
        <w:br/>
      </w:r>
      <w:r>
        <w:rPr>
          <w:rStyle w:val="NormalTok"/>
        </w:rPr>
        <w:t xml:space="preserve">x2_budget </w:t>
      </w:r>
      <w:r>
        <w:rPr>
          <w:rStyle w:val="OtherTok"/>
        </w:rPr>
        <w:t xml:space="preserve">&lt;-</w:t>
      </w:r>
      <w:r>
        <w:rPr>
          <w:rStyle w:val="NormalTok"/>
        </w:rPr>
        <w:t xml:space="preserve"> (m </w:t>
      </w:r>
      <w:r>
        <w:rPr>
          <w:rStyle w:val="SpecialCharTok"/>
        </w:rPr>
        <w:t xml:space="preserve">-</w:t>
      </w:r>
      <w:r>
        <w:rPr>
          <w:rStyle w:val="NormalTok"/>
        </w:rPr>
        <w:t xml:space="preserve"> p1 </w:t>
      </w:r>
      <w:r>
        <w:rPr>
          <w:rStyle w:val="SpecialCharTok"/>
        </w:rPr>
        <w:t xml:space="preserve">*</w:t>
      </w:r>
      <w:r>
        <w:rPr>
          <w:rStyle w:val="NormalTok"/>
        </w:rPr>
        <w:t xml:space="preserve"> x1) </w:t>
      </w:r>
      <w:r>
        <w:rPr>
          <w:rStyle w:val="SpecialCharTok"/>
        </w:rPr>
        <w:t xml:space="preserve">/</w:t>
      </w:r>
      <w:r>
        <w:rPr>
          <w:rStyle w:val="NormalTok"/>
        </w:rPr>
        <w:t xml:space="preserve"> p2</w:t>
      </w:r>
      <w:r>
        <w:br/>
      </w:r>
      <w:r>
        <w:br/>
      </w:r>
      <w:r>
        <w:rPr>
          <w:rStyle w:val="CommentTok"/>
        </w:rPr>
        <w:t xml:space="preserve"># Gráfico</w:t>
      </w:r>
      <w:r>
        <w:br/>
      </w:r>
      <w:r>
        <w:rPr>
          <w:rStyle w:val="FunctionTok"/>
        </w:rPr>
        <w:t xml:space="preserve">contour</w:t>
      </w:r>
      <w:r>
        <w:rPr>
          <w:rStyle w:val="NormalTok"/>
        </w:rPr>
        <w:t xml:space="preserve">(x1, x2, </w:t>
      </w:r>
      <w:r>
        <w:rPr>
          <w:rStyle w:val="FunctionTok"/>
        </w:rPr>
        <w:t xml:space="preserve">matrix</w:t>
      </w:r>
      <w:r>
        <w:rPr>
          <w:rStyle w:val="NormalTok"/>
        </w:rPr>
        <w:t xml:space="preserve">(grid</w:t>
      </w:r>
      <w:r>
        <w:rPr>
          <w:rStyle w:val="SpecialCharTok"/>
        </w:rPr>
        <w:t xml:space="preserve">$</w:t>
      </w:r>
      <w:r>
        <w:rPr>
          <w:rStyle w:val="NormalTok"/>
        </w:rPr>
        <w:t xml:space="preserve">U, </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seq</w:t>
      </w:r>
      <w:r>
        <w:rPr>
          <w:rStyle w:val="NormalTok"/>
        </w:rPr>
        <w:t xml:space="preserve">(</w:t>
      </w:r>
      <w:r>
        <w:rPr>
          <w:rStyle w:val="FloatTok"/>
        </w:rPr>
        <w:t xml:space="preserve">0.5</w:t>
      </w:r>
      <w:r>
        <w:rPr>
          <w:rStyle w:val="NormalTok"/>
        </w:rPr>
        <w:t xml:space="preserve">, </w:t>
      </w:r>
      <w:r>
        <w:rPr>
          <w:rStyle w:val="DecValTok"/>
        </w:rPr>
        <w:t xml:space="preserve">5</w:t>
      </w:r>
      <w:r>
        <w:rPr>
          <w:rStyle w:val="NormalTok"/>
        </w:rPr>
        <w:t xml:space="preserve">, </w:t>
      </w:r>
      <w:r>
        <w:rPr>
          <w:rStyle w:val="AttributeTok"/>
        </w:rPr>
        <w:t xml:space="preserve">by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FunctionTok"/>
        </w:rPr>
        <w:t xml:space="preserve">expression</w:t>
      </w:r>
      <w:r>
        <w:rPr>
          <w:rStyle w:val="NormalTok"/>
        </w:rPr>
        <w:t xml:space="preserve">(x[</w:t>
      </w:r>
      <w:r>
        <w:rPr>
          <w:rStyle w:val="DecValTok"/>
        </w:rPr>
        <w:t xml:space="preserve">1</w:t>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(x[</w:t>
      </w:r>
      <w:r>
        <w:rPr>
          <w:rStyle w:val="DecValTok"/>
        </w:rPr>
        <w:t xml:space="preserve">2</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"Tangência: curva de indiferença e reta orçamentária"</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w:t>
      </w:r>
      <w:r>
        <w:br/>
      </w:r>
      <w:r>
        <w:rPr>
          <w:rStyle w:val="FunctionTok"/>
        </w:rPr>
        <w:t xml:space="preserve">lines</w:t>
      </w:r>
      <w:r>
        <w:rPr>
          <w:rStyle w:val="NormalTok"/>
        </w:rPr>
        <w:t xml:space="preserve">(x1, x2_budget,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Ótimo</w:t>
      </w:r>
      <w:r>
        <w:br/>
      </w:r>
      <w:r>
        <w:rPr>
          <w:rStyle w:val="NormalTok"/>
        </w:rPr>
        <w:t xml:space="preserve">x1_star </w:t>
      </w:r>
      <w:r>
        <w:rPr>
          <w:rStyle w:val="OtherTok"/>
        </w:rPr>
        <w:t xml:space="preserve">&lt;-</w:t>
      </w:r>
      <w:r>
        <w:rPr>
          <w:rStyle w:val="NormalTok"/>
        </w:rPr>
        <w:t xml:space="preserve"> m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p1)</w:t>
      </w:r>
      <w:r>
        <w:br/>
      </w:r>
      <w:r>
        <w:rPr>
          <w:rStyle w:val="NormalTok"/>
        </w:rPr>
        <w:t xml:space="preserve">x2_star </w:t>
      </w:r>
      <w:r>
        <w:rPr>
          <w:rStyle w:val="OtherTok"/>
        </w:rPr>
        <w:t xml:space="preserve">&lt;-</w:t>
      </w:r>
      <w:r>
        <w:rPr>
          <w:rStyle w:val="NormalTok"/>
        </w:rPr>
        <w:t xml:space="preserve"> m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p2)</w:t>
      </w:r>
      <w:r>
        <w:br/>
      </w:r>
      <w:r>
        <w:rPr>
          <w:rStyle w:val="FunctionTok"/>
        </w:rPr>
        <w:t xml:space="preserve">points</w:t>
      </w:r>
      <w:r>
        <w:rPr>
          <w:rStyle w:val="NormalTok"/>
        </w:rPr>
        <w:t xml:space="preserve">(x1_star, x2_star,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w:t>
      </w:r>
      <w:r>
        <w:br/>
      </w:r>
      <w:r>
        <w:rPr>
          <w:rStyle w:val="FunctionTok"/>
        </w:rPr>
        <w:t xml:space="preserve">text</w:t>
      </w:r>
      <w:r>
        <w:rPr>
          <w:rStyle w:val="NormalTok"/>
        </w:rPr>
        <w:t xml:space="preserve">(x1_star </w:t>
      </w:r>
      <w:r>
        <w:rPr>
          <w:rStyle w:val="SpecialCharTok"/>
        </w:rPr>
        <w:t xml:space="preserve">+</w:t>
      </w:r>
      <w:r>
        <w:rPr>
          <w:rStyle w:val="NormalTok"/>
        </w:rPr>
        <w:t xml:space="preserve"> </w:t>
      </w:r>
      <w:r>
        <w:rPr>
          <w:rStyle w:val="FloatTok"/>
        </w:rPr>
        <w:t xml:space="preserve">0.3</w:t>
      </w:r>
      <w:r>
        <w:rPr>
          <w:rStyle w:val="NormalTok"/>
        </w:rPr>
        <w:t xml:space="preserve">, x2_star </w:t>
      </w:r>
      <w:r>
        <w:rPr>
          <w:rStyle w:val="SpecialCharTok"/>
        </w:rPr>
        <w:t xml:space="preserve">+</w:t>
      </w:r>
      <w:r>
        <w:rPr>
          <w:rStyle w:val="NormalTok"/>
        </w:rPr>
        <w:t xml:space="preserve"> </w:t>
      </w:r>
      <w:r>
        <w:rPr>
          <w:rStyle w:val="FloatTok"/>
        </w:rPr>
        <w:t xml:space="preserve">0.3</w:t>
      </w:r>
      <w:r>
        <w:rPr>
          <w:rStyle w:val="NormalTok"/>
        </w:rPr>
        <w:t xml:space="preserve">, </w:t>
      </w:r>
      <w:r>
        <w:rPr>
          <w:rStyle w:val="StringTok"/>
        </w:rPr>
        <w:t xml:space="preserve">"Ótimo"</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p>
      <w:r>
        <w:pict>
          <v:rect style="width:0;height:1.5pt" o:hralign="center" o:hrstd="t" o:hr="t"/>
        </w:pict>
      </w:r>
    </w:p>
    <w:p>
      <w:pPr>
        <w:pStyle w:val="FirstParagraph"/>
      </w:pPr>
      <w:r>
        <w:rPr>
          <w:b/>
          <w:bCs/>
        </w:rPr>
        <w:t xml:space="preserve">Conexão.</w:t>
      </w:r>
      <w:r>
        <w:t xml:space="preserve"> </w:t>
      </w:r>
      <w:r>
        <w:t xml:space="preserve">O Lagrangeano assume que a restrição é</w:t>
      </w:r>
      <w:r>
        <w:t xml:space="preserve"> </w:t>
      </w:r>
      <w:r>
        <w:rPr>
          <w:i/>
          <w:iCs/>
        </w:rPr>
        <w:t xml:space="preserve">satisfeita com igualdade</w:t>
      </w:r>
      <w:r>
        <w:t xml:space="preserve"> </w:t>
      </w:r>
      <w:r>
        <w:t xml:space="preserve">— o consumidor gasta toda a renda. Mas e se ele</w:t>
      </w:r>
      <w:r>
        <w:t xml:space="preserve"> </w:t>
      </w:r>
      <w:r>
        <w:rPr>
          <w:i/>
          <w:iCs/>
        </w:rPr>
        <w:t xml:space="preserve">puder</w:t>
      </w:r>
      <w:r>
        <w:t xml:space="preserve"> </w:t>
      </w:r>
      <w:r>
        <w:t xml:space="preserve">não gastar tudo? E se houver múltiplas restrições, algumas ativas e outras não? É o território das</w:t>
      </w:r>
      <w:r>
        <w:t xml:space="preserve"> </w:t>
      </w:r>
      <w:r>
        <w:rPr>
          <w:b/>
          <w:bCs/>
        </w:rPr>
        <w:t xml:space="preserve">condições de Kuhn-Tucker</w:t>
      </w:r>
      <w:r>
        <w:t xml:space="preserve">, tratadas na Seção 2.7.</w:t>
      </w:r>
    </w:p>
    <w:bookmarkEnd w:id="101"/>
    <w:bookmarkEnd w:id="102"/>
    <w:bookmarkEnd w:id="103"/>
    <w:bookmarkStart w:id="110" w:name="condições-de-kuhn-tucker"/>
    <w:p>
      <w:pPr>
        <w:pStyle w:val="Heading2"/>
      </w:pPr>
      <w:r>
        <w:t xml:space="preserve">Condições de Kuhn-Tucker</w:t>
      </w:r>
    </w:p>
    <w:bookmarkStart w:id="109" w:name="Xc33ea4e26e5e1af1408321416956113a4658763"/>
    <w:p>
      <w:pPr>
        <w:pStyle w:val="Heading3"/>
      </w:pPr>
      <w:r>
        <w:t xml:space="preserve">2.7 E Se a Resposta For</w:t>
      </w:r>
      <w:r>
        <w:t xml:space="preserve"> </w:t>
      </w:r>
      <w:r>
        <w:t xml:space="preserve">“Nada”</w:t>
      </w:r>
      <w:r>
        <w:t xml:space="preserve">? Soluções de Canto e Restrições de Desigualdade</w:t>
      </w:r>
    </w:p>
    <w:p>
      <w:pPr>
        <w:pStyle w:val="FirstParagraph"/>
      </w:pPr>
      <w:r>
        <w:t xml:space="preserve">O Lagrange funciona perfeitamente quando a restrição é uma igualdade e a solução é interior — o consumidor compra um pouco de</w:t>
      </w:r>
      <w:r>
        <w:t xml:space="preserve"> </w:t>
      </w:r>
      <w:r>
        <w:rPr>
          <w:i/>
          <w:iCs/>
        </w:rPr>
        <w:t xml:space="preserve">cada</w:t>
      </w:r>
      <w:r>
        <w:t xml:space="preserve"> </w:t>
      </w:r>
      <w:r>
        <w:t xml:space="preserve">bem. Mas o mundo real é cheio de zeros: o vegano consome zero carne; a firma que não consegue cobrir o custo variável produz zero; o investidor avesso ao risco pode alocar zero em ações. Quando a solução pode estar na</w:t>
      </w:r>
      <w:r>
        <w:t xml:space="preserve"> </w:t>
      </w:r>
      <w:r>
        <w:rPr>
          <w:i/>
          <w:iCs/>
        </w:rPr>
        <w:t xml:space="preserve">fronteira</w:t>
      </w:r>
      <w:r>
        <w:t xml:space="preserve"> </w:t>
      </w:r>
      <w:r>
        <w:t xml:space="preserve">do domínio, precisamos das condições de Kuhn-Tucker (KKT).</w:t>
      </w:r>
      <w:r>
        <w:rPr>
          <w:rStyle w:val="FootnoteReference"/>
        </w:rPr>
        <w:footnoteReference w:id="104"/>
      </w:r>
    </w:p>
    <w:bookmarkStart w:id="105" w:name="formulação-1"/>
    <w:p>
      <w:pPr>
        <w:pStyle w:val="Heading4"/>
      </w:pPr>
      <w:r>
        <w:t xml:space="preserve">Formulação</w:t>
      </w:r>
    </w:p>
    <w:p>
      <w:pPr>
        <w:pStyle w:val="BlockText"/>
      </w:pPr>
      <w:r>
        <w:rPr>
          <w:b/>
          <w:bCs/>
        </w:rPr>
        <w:t xml:space="preserve">[DEFINICAO] Condições de Kuhn-Tucker (KKT)</w:t>
      </w:r>
    </w:p>
    <w:p>
      <w:pPr>
        <w:pStyle w:val="BlockText"/>
      </w:pPr>
      <w:r>
        <w:t xml:space="preserve">Considere o problema:</w:t>
      </w:r>
    </w:p>
    <w:p>
      <w:pPr>
        <w:pStyle w:val="BlockText"/>
      </w:pPr>
      <w:r>
        <w:t xml:space="preserve">$$
    \max_{x \geq 0} f(x) \quad \text{sujeito a} \quad g_j(x) \leq c_j, \quad j = 1, \ldots, m
    \label{eq:2.16} \tag{2.16}
    $$</w:t>
      </w:r>
    </w:p>
    <w:p>
      <w:pPr>
        <w:pStyle w:val="BlockText"/>
      </w:pPr>
      <w:r>
        <w:t xml:space="preserve">As condições necessárias (sob</w:t>
      </w:r>
      <w:r>
        <w:t xml:space="preserve"> </w:t>
      </w:r>
      <w:r>
        <w:rPr>
          <w:i/>
          <w:iCs/>
        </w:rPr>
        <w:t xml:space="preserve">constraint qualification</w:t>
      </w:r>
      <w:r>
        <w:t xml:space="preserve">) são:</w:t>
      </w:r>
    </w:p>
    <w:p>
      <w:pPr>
        <w:pStyle w:val="BlockText"/>
      </w:pPr>
      <w:r>
        <w:rPr>
          <w:b/>
          <w:bCs/>
        </w:rPr>
        <w:t xml:space="preserve">1. CPO (estacionariedade):</w:t>
      </w:r>
    </w:p>
    <w:p>
      <w:pPr>
        <w:pStyle w:val="BlockText"/>
      </w:pPr>
      <w:r>
        <w:t xml:space="preserve">$$
    \frac{\partial f}{\partial x_i} - \sum_{j=1}^m \lambda_j \frac{\partial g_j}{\partial x_i} \leq 0, \quad i = 1, \ldots, n
    \label{eq:2.17} \tag{2.17}
    $$</w:t>
      </w:r>
    </w:p>
    <w:p>
      <w:pPr>
        <w:pStyle w:val="BlockText"/>
      </w:pPr>
      <w:r>
        <w:rPr>
          <w:b/>
          <w:bCs/>
        </w:rPr>
        <w:t xml:space="preserve">2. Complementary slackness (variáveis):</w:t>
      </w:r>
    </w:p>
    <w:p>
      <w:pPr>
        <w:pStyle w:val="BlockText"/>
      </w:pPr>
      <w:r>
        <w:t xml:space="preserve">$$
    x_i \left(\frac{\partial f}{\partial x_i} - \sum_j \lambda_j \frac{\partial g_j}{\partial x_i}\right) = 0, \quad i = 1, \ldots, n
    \label{eq:2.18} \tag{2.18}
    $$</w:t>
      </w:r>
    </w:p>
    <w:p>
      <w:pPr>
        <w:pStyle w:val="BlockText"/>
      </w:pPr>
      <w:r>
        <w:rPr>
          <w:b/>
          <w:bCs/>
        </w:rPr>
        <w:t xml:space="preserve">3. Factibilidade primal:</w:t>
      </w:r>
    </w:p>
    <w:p>
      <w:pPr>
        <w:pStyle w:val="BlockText"/>
      </w:pPr>
      <w:r>
        <w:t xml:space="preserve">$$
    g_j(x) \leq c_j, \quad j = 1, \ldots, m
    \label{eq:2.19} \tag{2.19}
    $$</w:t>
      </w:r>
    </w:p>
    <w:p>
      <w:pPr>
        <w:pStyle w:val="BlockText"/>
      </w:pPr>
      <w:r>
        <w:rPr>
          <w:b/>
          <w:bCs/>
        </w:rPr>
        <w:t xml:space="preserve">4. Não-negatividade dual:</w:t>
      </w:r>
    </w:p>
    <w:p>
      <w:pPr>
        <w:pStyle w:val="BlockText"/>
      </w:pPr>
      <w:r>
        <w:t xml:space="preserve">$$
    \lambda_j \geq 0, \quad j = 1, \ldots, m
    \label{eq:2.20} \tag{2.20}
    $$</w:t>
      </w:r>
    </w:p>
    <w:p>
      <w:pPr>
        <w:pStyle w:val="BlockText"/>
      </w:pPr>
      <w:r>
        <w:rPr>
          <w:b/>
          <w:bCs/>
        </w:rPr>
        <w:t xml:space="preserve">5. Complementary slackness (restrições):</w:t>
      </w:r>
    </w:p>
    <w:p>
      <w:pPr>
        <w:pStyle w:val="BlockText"/>
      </w:pPr>
      <w:r>
        <w:t xml:space="preserve">$$
    \lambda_j (c_j - g_j(x)) = 0, \quad j = 1, \ldots, m
    \label{eq:2.21} \tag{2.21}
    $$</w:t>
      </w:r>
    </w:p>
    <w:bookmarkEnd w:id="105"/>
    <w:bookmarkStart w:id="106" w:name="complementary-slackness-o-coração-do-kkt"/>
    <w:p>
      <w:pPr>
        <w:pStyle w:val="Heading4"/>
      </w:pPr>
      <w:r>
        <w:t xml:space="preserve">Complementary slackness: o coração do KKT</w:t>
      </w:r>
    </w:p>
    <w:p>
      <w:pPr>
        <w:pStyle w:val="BlockText"/>
      </w:pPr>
      <w:r>
        <w:rPr>
          <w:b/>
          <w:bCs/>
        </w:rPr>
        <w:t xml:space="preserve">[INTUICAO ECONOMICA] Intuição Econômica</w:t>
      </w:r>
    </w:p>
    <w:p>
      <w:pPr>
        <w:pStyle w:val="BlockText"/>
      </w:pPr>
      <w:r>
        <w:rPr>
          <w:b/>
          <w:bCs/>
        </w:rPr>
        <w:t xml:space="preserve">Em uma frase:</w:t>
      </w:r>
      <w:r>
        <w:t xml:space="preserve"> </w:t>
      </w:r>
      <w:r>
        <w:rPr>
          <w:i/>
          <w:iCs/>
        </w:rPr>
        <w:t xml:space="preserve">Complementary slackness</w:t>
      </w:r>
      <w:r>
        <w:t xml:space="preserve"> </w:t>
      </w:r>
      <w:r>
        <w:t xml:space="preserve">diz que, no ótimo, ou a restrição é ativa (</w:t>
      </w:r>
      <m:oMath>
        <m:sSub>
          <m:e>
            <m:r>
              <m:t>g</m:t>
            </m:r>
          </m:e>
          <m:sub>
            <m:r>
              <m:t>j</m:t>
            </m:r>
          </m:sub>
        </m:sSub>
        <m:r>
          <m:rPr>
            <m:sty m:val="p"/>
          </m:rPr>
          <m:t>=</m:t>
        </m:r>
        <m:sSub>
          <m:e>
            <m:r>
              <m:t>c</m:t>
            </m:r>
          </m:e>
          <m:sub>
            <m:r>
              <m:t>j</m:t>
            </m:r>
          </m:sub>
        </m:sSub>
      </m:oMath>
      <w:r>
        <w:t xml:space="preserve"> </w:t>
      </w:r>
      <w:r>
        <w:t xml:space="preserve">e</w:t>
      </w:r>
      <w:r>
        <w:t xml:space="preserve"> </w:t>
      </w:r>
      <m:oMath>
        <m:sSub>
          <m:e>
            <m:r>
              <m:t>λ</m:t>
            </m:r>
          </m:e>
          <m:sub>
            <m:r>
              <m:t>j</m:t>
            </m:r>
          </m:sub>
        </m:sSub>
        <m:r>
          <m:rPr>
            <m:sty m:val="p"/>
          </m:rPr>
          <m:t>&gt;</m:t>
        </m:r>
        <m:r>
          <m:t>0</m:t>
        </m:r>
      </m:oMath>
      <w:r>
        <w:t xml:space="preserve">) ou o recurso sobra (</w:t>
      </w:r>
      <m:oMath>
        <m:sSub>
          <m:e>
            <m:r>
              <m:t>g</m:t>
            </m:r>
          </m:e>
          <m:sub>
            <m:r>
              <m:t>j</m:t>
            </m:r>
          </m:sub>
        </m:sSub>
        <m:r>
          <m:rPr>
            <m:sty m:val="p"/>
          </m:rPr>
          <m:t>&lt;</m:t>
        </m:r>
        <m:sSub>
          <m:e>
            <m:r>
              <m:t>c</m:t>
            </m:r>
          </m:e>
          <m:sub>
            <m:r>
              <m:t>j</m:t>
            </m:r>
          </m:sub>
        </m:sSub>
      </m:oMath>
      <w:r>
        <w:t xml:space="preserve"> </w:t>
      </w:r>
      <w:r>
        <w:t xml:space="preserve">e</w:t>
      </w:r>
      <w:r>
        <w:t xml:space="preserve"> </w:t>
      </w:r>
      <m:oMath>
        <m:sSub>
          <m:e>
            <m:r>
              <m:t>λ</m:t>
            </m:r>
          </m:e>
          <m:sub>
            <m:r>
              <m:t>j</m:t>
            </m:r>
          </m:sub>
        </m:sSub>
        <m:r>
          <m:rPr>
            <m:sty m:val="p"/>
          </m:rPr>
          <m:t>=</m:t>
        </m:r>
        <m:r>
          <m:t>0</m:t>
        </m:r>
      </m:oMath>
      <w:r>
        <w:t xml:space="preserve">) — nunca os dois ao mesmo tempo.</w:t>
      </w:r>
    </w:p>
    <w:p>
      <w:pPr>
        <w:pStyle w:val="BlockText"/>
      </w:pPr>
      <w:r>
        <w:rPr>
          <w:b/>
          <w:bCs/>
        </w:rPr>
        <w:t xml:space="preserve">Pense assim:</w:t>
      </w:r>
      <w:r>
        <w:t xml:space="preserve"> </w:t>
      </w:r>
      <w:r>
        <w:t xml:space="preserve">Se você não gastou toda a renda (</w:t>
      </w:r>
      <m:oMath>
        <m:r>
          <m:t>g</m:t>
        </m:r>
        <m:r>
          <m:rPr>
            <m:sty m:val="p"/>
          </m:rPr>
          <m:t>&lt;</m:t>
        </m:r>
        <m:r>
          <m:t>c</m:t>
        </m:r>
      </m:oMath>
      <w:r>
        <w:t xml:space="preserve">), então a renda não é escassa — seu preço-sombra é zero (</w:t>
      </w:r>
      <m:oMath>
        <m:r>
          <m:t>λ</m:t>
        </m:r>
        <m:r>
          <m:rPr>
            <m:sty m:val="p"/>
          </m:rPr>
          <m:t>=</m:t>
        </m:r>
        <m:r>
          <m:t>0</m:t>
        </m:r>
      </m:oMath>
      <w:r>
        <w:t xml:space="preserve">). Mas se a restrição é apertada (</w:t>
      </w:r>
      <m:oMath>
        <m:r>
          <m:t>g</m:t>
        </m:r>
        <m:r>
          <m:rPr>
            <m:sty m:val="p"/>
          </m:rPr>
          <m:t>=</m:t>
        </m:r>
        <m:r>
          <m:t>c</m:t>
        </m:r>
      </m:oMath>
      <w:r>
        <w:t xml:space="preserve">), o recurso é valioso e</w:t>
      </w:r>
      <w:r>
        <w:t xml:space="preserve"> </w:t>
      </w:r>
      <m:oMath>
        <m:r>
          <m:t>λ</m:t>
        </m:r>
        <m:r>
          <m:rPr>
            <m:sty m:val="p"/>
          </m:rPr>
          <m:t>&gt;</m:t>
        </m:r>
        <m:r>
          <m:t>0</m:t>
        </m:r>
      </m:oMath>
      <w:r>
        <w:t xml:space="preserve">.</w:t>
      </w:r>
    </w:p>
    <w:p>
      <w:pPr>
        <w:pStyle w:val="BlockText"/>
      </w:pPr>
      <w:r>
        <w:rPr>
          <w:b/>
          <w:bCs/>
        </w:rPr>
        <w:t xml:space="preserve">Para as variáveis:</w:t>
      </w:r>
      <w:r>
        <w:t xml:space="preserve"> </w:t>
      </w:r>
      <w:r>
        <w:t xml:space="preserve">Se o consumidor escolhe</w:t>
      </w:r>
      <w:r>
        <w:t xml:space="preserve"> </w:t>
      </w:r>
      <m:oMath>
        <m:sSub>
          <m:e>
            <m:r>
              <m:t>x</m:t>
            </m:r>
          </m:e>
          <m:sub>
            <m:r>
              <m:t>i</m:t>
            </m:r>
          </m:sub>
        </m:sSub>
        <m:r>
          <m:rPr>
            <m:sty m:val="p"/>
          </m:rPr>
          <m:t>&gt;</m:t>
        </m:r>
        <m:r>
          <m:t>0</m:t>
        </m:r>
      </m:oMath>
      <w:r>
        <w:t xml:space="preserve">, a utilidade marginal por real deve ser exatamente igual ao preço-sombra (igualdade na CPO). Se</w:t>
      </w:r>
      <w:r>
        <w:t xml:space="preserve"> </w:t>
      </w:r>
      <m:oMath>
        <m:sSub>
          <m:e>
            <m:r>
              <m:t>x</m:t>
            </m:r>
          </m:e>
          <m:sub>
            <m:r>
              <m:t>i</m:t>
            </m:r>
          </m:sub>
        </m:sSub>
        <m:r>
          <m:rPr>
            <m:sty m:val="p"/>
          </m:rPr>
          <m:t>=</m:t>
        </m:r>
        <m:r>
          <m:t>0</m:t>
        </m:r>
      </m:oMath>
      <w:r>
        <w:t xml:space="preserve"> </w:t>
      </w:r>
      <w:r>
        <w:t xml:space="preserve">(solução de canto), a utilidade marginal por real pode ser</w:t>
      </w:r>
      <w:r>
        <w:t xml:space="preserve"> </w:t>
      </w:r>
      <w:r>
        <w:rPr>
          <w:i/>
          <w:iCs/>
        </w:rPr>
        <w:t xml:space="preserve">menor</w:t>
      </w:r>
      <w:r>
        <w:t xml:space="preserve"> </w:t>
      </w:r>
      <w:r>
        <w:t xml:space="preserve">que o preço-sombra — o bem</w:t>
      </w:r>
      <w:r>
        <w:t xml:space="preserve"> </w:t>
      </w:r>
      <w:r>
        <w:t xml:space="preserve">“não vale o que custa”</w:t>
      </w:r>
      <w:r>
        <w:t xml:space="preserve">.</w:t>
      </w:r>
    </w:p>
    <w:bookmarkEnd w:id="106"/>
    <w:bookmarkStart w:id="107" w:name="solução-interior-vs.-solução-de-canto"/>
    <w:p>
      <w:pPr>
        <w:pStyle w:val="Heading4"/>
      </w:pPr>
      <w:r>
        <w:t xml:space="preserve">Solução interior vs. solução de canto</w:t>
      </w:r>
    </w:p>
    <w:p>
      <w:pPr>
        <w:pStyle w:val="FirstParagraph"/>
      </w:pPr>
      <w:r>
        <w:t xml:space="preserve">A distinção é fundamental para toda a teoria do consumidor: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Caso</w:t>
            </w:r>
          </w:p>
        </w:tc>
        <w:tc>
          <w:tcPr/>
          <w:p>
            <w:pPr>
              <w:pStyle w:val="Compact"/>
              <w:jc w:val="left"/>
            </w:pPr>
            <w:r>
              <w:t xml:space="preserve">Condição</w:t>
            </w:r>
          </w:p>
        </w:tc>
        <w:tc>
          <w:tcPr/>
          <w:p>
            <w:pPr>
              <w:pStyle w:val="Compact"/>
              <w:jc w:val="left"/>
            </w:pPr>
            <w:r>
              <w:t xml:space="preserve">Interpretação</w:t>
            </w:r>
          </w:p>
        </w:tc>
      </w:tr>
      <w:tr>
        <w:tc>
          <w:tcPr/>
          <w:p>
            <w:pPr>
              <w:pStyle w:val="Compact"/>
              <w:jc w:val="left"/>
            </w:pPr>
            <w:r>
              <w:rPr>
                <w:b/>
                <w:bCs/>
              </w:rPr>
              <w:t xml:space="preserve">Interior</w:t>
            </w:r>
            <w:r>
              <w:t xml:space="preserve"> </w:t>
            </w:r>
            <w:r>
              <w:t xml:space="preserve">(</w:t>
            </w:r>
            <m:oMath>
              <m:sSubSup>
                <m:e>
                  <m:r>
                    <m:t>x</m:t>
                  </m:r>
                </m:e>
                <m:sub>
                  <m:r>
                    <m:t>i</m:t>
                  </m:r>
                </m:sub>
                <m:sup>
                  <m:r>
                    <m:rPr>
                      <m:sty m:val="p"/>
                    </m:rPr>
                    <m:t>*</m:t>
                  </m:r>
                </m:sup>
              </m:sSubSup>
              <m:r>
                <m:rPr>
                  <m:sty m:val="p"/>
                </m:rPr>
                <m:t>&gt;</m:t>
              </m:r>
              <m:r>
                <m:t>0</m:t>
              </m:r>
            </m:oMath>
            <w:r>
              <w:t xml:space="preserve">)</w:t>
            </w:r>
          </w:p>
        </w:tc>
        <w:tc>
          <w:tcPr/>
          <w:p>
            <w:pPr>
              <w:pStyle w:val="Compact"/>
              <w:jc w:val="left"/>
            </w:pPr>
            <m:oMath>
              <m:f>
                <m:fPr>
                  <m:type m:val="bar"/>
                </m:fPr>
                <m:num>
                  <m:r>
                    <m:rPr>
                      <m:sty m:val="p"/>
                    </m:rPr>
                    <m:t>∂</m:t>
                  </m:r>
                  <m:r>
                    <m:t>f</m:t>
                  </m:r>
                </m:num>
                <m:den>
                  <m:r>
                    <m:rPr>
                      <m:sty m:val="p"/>
                    </m:rPr>
                    <m:t>∂</m:t>
                  </m:r>
                  <m:sSub>
                    <m:e>
                      <m:r>
                        <m:t>x</m:t>
                      </m:r>
                    </m:e>
                    <m:sub>
                      <m:r>
                        <m:t>i</m:t>
                      </m:r>
                    </m:sub>
                  </m:sSub>
                </m:den>
              </m:f>
              <m:r>
                <m:rPr>
                  <m:sty m:val="p"/>
                </m:rPr>
                <m:t>=</m:t>
              </m:r>
              <m:r>
                <m:t>λ</m:t>
              </m:r>
              <m:f>
                <m:fPr>
                  <m:type m:val="bar"/>
                </m:fPr>
                <m:num>
                  <m:r>
                    <m:rPr>
                      <m:sty m:val="p"/>
                    </m:rPr>
                    <m:t>∂</m:t>
                  </m:r>
                  <m:r>
                    <m:t>g</m:t>
                  </m:r>
                </m:num>
                <m:den>
                  <m:r>
                    <m:rPr>
                      <m:sty m:val="p"/>
                    </m:rPr>
                    <m:t>∂</m:t>
                  </m:r>
                  <m:sSub>
                    <m:e>
                      <m:r>
                        <m:t>x</m:t>
                      </m:r>
                    </m:e>
                    <m:sub>
                      <m:r>
                        <m:t>i</m:t>
                      </m:r>
                    </m:sub>
                  </m:sSub>
                </m:den>
              </m:f>
            </m:oMath>
          </w:p>
        </w:tc>
        <w:tc>
          <w:tcPr/>
          <w:p>
            <w:pPr>
              <w:pStyle w:val="Compact"/>
              <w:jc w:val="left"/>
            </w:pPr>
            <w:r>
              <w:t xml:space="preserve">UMg/preço é igual para todos os bens consumidos</w:t>
            </w:r>
          </w:p>
        </w:tc>
      </w:tr>
      <w:tr>
        <w:tc>
          <w:tcPr/>
          <w:p>
            <w:pPr>
              <w:pStyle w:val="Compact"/>
              <w:jc w:val="left"/>
            </w:pPr>
            <w:r>
              <w:rPr>
                <w:b/>
                <w:bCs/>
              </w:rPr>
              <w:t xml:space="preserve">Canto</w:t>
            </w:r>
            <w:r>
              <w:t xml:space="preserve"> </w:t>
            </w:r>
            <w:r>
              <w:t xml:space="preserve">(</w:t>
            </w:r>
            <m:oMath>
              <m:sSubSup>
                <m:e>
                  <m:r>
                    <m:t>x</m:t>
                  </m:r>
                </m:e>
                <m:sub>
                  <m:r>
                    <m:t>i</m:t>
                  </m:r>
                </m:sub>
                <m:sup>
                  <m:r>
                    <m:rPr>
                      <m:sty m:val="p"/>
                    </m:rPr>
                    <m:t>*</m:t>
                  </m:r>
                </m:sup>
              </m:sSubSup>
              <m:r>
                <m:rPr>
                  <m:sty m:val="p"/>
                </m:rPr>
                <m:t>=</m:t>
              </m:r>
              <m:r>
                <m:t>0</m:t>
              </m:r>
            </m:oMath>
            <w:r>
              <w:t xml:space="preserve">)</w:t>
            </w:r>
          </w:p>
        </w:tc>
        <w:tc>
          <w:tcPr/>
          <w:p>
            <w:pPr>
              <w:pStyle w:val="Compact"/>
              <w:jc w:val="left"/>
            </w:pPr>
            <m:oMath>
              <m:f>
                <m:fPr>
                  <m:type m:val="bar"/>
                </m:fPr>
                <m:num>
                  <m:r>
                    <m:rPr>
                      <m:sty m:val="p"/>
                    </m:rPr>
                    <m:t>∂</m:t>
                  </m:r>
                  <m:r>
                    <m:t>f</m:t>
                  </m:r>
                </m:num>
                <m:den>
                  <m:r>
                    <m:rPr>
                      <m:sty m:val="p"/>
                    </m:rPr>
                    <m:t>∂</m:t>
                  </m:r>
                  <m:sSub>
                    <m:e>
                      <m:r>
                        <m:t>x</m:t>
                      </m:r>
                    </m:e>
                    <m:sub>
                      <m:r>
                        <m:t>i</m:t>
                      </m:r>
                    </m:sub>
                  </m:sSub>
                </m:den>
              </m:f>
              <m:r>
                <m:rPr>
                  <m:sty m:val="p"/>
                </m:rPr>
                <m:t>≤</m:t>
              </m:r>
              <m:r>
                <m:t>λ</m:t>
              </m:r>
              <m:f>
                <m:fPr>
                  <m:type m:val="bar"/>
                </m:fPr>
                <m:num>
                  <m:r>
                    <m:rPr>
                      <m:sty m:val="p"/>
                    </m:rPr>
                    <m:t>∂</m:t>
                  </m:r>
                  <m:r>
                    <m:t>g</m:t>
                  </m:r>
                </m:num>
                <m:den>
                  <m:r>
                    <m:rPr>
                      <m:sty m:val="p"/>
                    </m:rPr>
                    <m:t>∂</m:t>
                  </m:r>
                  <m:sSub>
                    <m:e>
                      <m:r>
                        <m:t>x</m:t>
                      </m:r>
                    </m:e>
                    <m:sub>
                      <m:r>
                        <m:t>i</m:t>
                      </m:r>
                    </m:sub>
                  </m:sSub>
                </m:den>
              </m:f>
            </m:oMath>
          </w:p>
        </w:tc>
        <w:tc>
          <w:tcPr/>
          <w:p>
            <w:pPr>
              <w:pStyle w:val="Compact"/>
              <w:jc w:val="left"/>
            </w:pPr>
            <w:r>
              <w:t xml:space="preserve">UMg/preço é baixa demais para justificar o consumo</w:t>
            </w:r>
          </w:p>
        </w:tc>
      </w:tr>
    </w:tbl>
    <w:p>
      <w:pPr>
        <w:pStyle w:val="BodyText"/>
      </w:pPr>
      <w:r>
        <w:t xml:space="preserve">No Capítulo 4 (Cap. 4), essa distinção aparece na escolha de cestas com bens substitutos perfeitos (o consumidor compra</w:t>
      </w:r>
      <w:r>
        <w:t xml:space="preserve"> </w:t>
      </w:r>
      <w:r>
        <w:rPr>
          <w:i/>
          <w:iCs/>
        </w:rPr>
        <w:t xml:space="preserve">apenas</w:t>
      </w:r>
      <w:r>
        <w:t xml:space="preserve"> </w:t>
      </w:r>
      <w:r>
        <w:t xml:space="preserve">o mais barato) e em soluções com preferências quase-lineares (o consumidor pode consumir zero do bem</w:t>
      </w:r>
      <w:r>
        <w:t xml:space="preserve"> </w:t>
      </w:r>
      <w:r>
        <w:t xml:space="preserve">“luxo”</w:t>
      </w:r>
      <w:r>
        <w:t xml:space="preserve">).</w:t>
      </w:r>
    </w:p>
    <w:p>
      <w:pPr>
        <w:pStyle w:val="BlockText"/>
      </w:pPr>
      <w:r>
        <w:rPr>
          <w:b/>
          <w:bCs/>
        </w:rPr>
        <w:t xml:space="preserve">[EXEMPLO] Exemplo: Consumidor com dois bens e possível solução de canto</w:t>
      </w:r>
    </w:p>
    <w:p>
      <w:pPr>
        <w:pStyle w:val="BlockText"/>
      </w:pPr>
      <m:oMath>
        <m:r>
          <m:t>U</m:t>
        </m:r>
        <m:r>
          <m:rPr>
            <m:sty m:val="p"/>
          </m:rPr>
          <m:t>(</m:t>
        </m:r>
        <m:sSub>
          <m:e>
            <m:r>
              <m:t>x</m:t>
            </m:r>
          </m:e>
          <m:sub>
            <m:r>
              <m:t>1</m:t>
            </m:r>
          </m:sub>
        </m:sSub>
        <m:r>
          <m:rPr>
            <m:sty m:val="p"/>
          </m:rPr>
          <m:t>,</m:t>
        </m:r>
        <m:sSub>
          <m:e>
            <m:r>
              <m:t>x</m:t>
            </m:r>
          </m:e>
          <m:sub>
            <m:r>
              <m:t>2</m:t>
            </m:r>
          </m:sub>
        </m:sSub>
        <m:r>
          <m:rPr>
            <m:sty m:val="p"/>
          </m:rPr>
          <m:t>)</m:t>
        </m:r>
        <m:r>
          <m:rPr>
            <m:sty m:val="p"/>
          </m:rPr>
          <m:t>=</m:t>
        </m:r>
        <m:sSub>
          <m:e>
            <m:r>
              <m:t>x</m:t>
            </m:r>
          </m:e>
          <m:sub>
            <m:r>
              <m:t>1</m:t>
            </m:r>
          </m:sub>
        </m:sSub>
        <m:r>
          <m:rPr>
            <m:sty m:val="p"/>
          </m:rPr>
          <m:t>+</m:t>
        </m:r>
        <m:r>
          <m:t>2</m:t>
        </m:r>
        <m:r>
          <m:rPr>
            <m:sty m:val="p"/>
          </m:rPr>
          <m:t>ln</m:t>
        </m:r>
        <m:r>
          <m:rPr>
            <m:sty m:val="p"/>
          </m:rPr>
          <m:t>(</m:t>
        </m:r>
        <m:sSub>
          <m:e>
            <m:r>
              <m:t>x</m:t>
            </m:r>
          </m:e>
          <m:sub>
            <m:r>
              <m:t>2</m:t>
            </m:r>
          </m:sub>
        </m:sSub>
        <m:r>
          <m:rPr>
            <m:sty m:val="p"/>
          </m:rPr>
          <m:t>)</m:t>
        </m:r>
      </m:oMath>
      <w:r>
        <w:t xml:space="preserve">, sujeito a</w:t>
      </w:r>
      <w:r>
        <w:t xml:space="preserve"> </w:t>
      </w:r>
      <m:oMath>
        <m:sSub>
          <m:e>
            <m:r>
              <m:t>x</m:t>
            </m:r>
          </m:e>
          <m:sub>
            <m:r>
              <m:t>1</m:t>
            </m:r>
          </m:sub>
        </m:sSub>
        <m:r>
          <m:rPr>
            <m:sty m:val="p"/>
          </m:rPr>
          <m:t>+</m:t>
        </m:r>
        <m:r>
          <m:t>4</m:t>
        </m:r>
        <m:sSub>
          <m:e>
            <m:r>
              <m:t>x</m:t>
            </m:r>
          </m:e>
          <m:sub>
            <m:r>
              <m:t>2</m:t>
            </m:r>
          </m:sub>
        </m:sSub>
        <m:r>
          <m:rPr>
            <m:sty m:val="p"/>
          </m:rPr>
          <m:t>=</m:t>
        </m:r>
        <m:r>
          <m:t>10</m:t>
        </m:r>
      </m:oMath>
      <w:r>
        <w:t xml:space="preserve">,</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lockText"/>
      </w:pPr>
      <w:r>
        <w:rPr>
          <w:b/>
          <w:bCs/>
        </w:rPr>
        <w:t xml:space="preserve">Lagrangeano:</w:t>
      </w:r>
      <w:r>
        <w:t xml:space="preserve"> </w:t>
      </w:r>
      <m:oMath>
        <m:r>
          <m:rPr>
            <m:scr m:val="script"/>
            <m:sty m:val="p"/>
          </m:rPr>
          <m:t>L</m:t>
        </m:r>
        <m:r>
          <m:rPr>
            <m:sty m:val="p"/>
          </m:rPr>
          <m:t>=</m:t>
        </m:r>
        <m:sSub>
          <m:e>
            <m:r>
              <m:t>x</m:t>
            </m:r>
          </m:e>
          <m:sub>
            <m:r>
              <m:t>1</m:t>
            </m:r>
          </m:sub>
        </m:sSub>
        <m:r>
          <m:rPr>
            <m:sty m:val="p"/>
          </m:rPr>
          <m:t>+</m:t>
        </m:r>
        <m:r>
          <m:t>2</m:t>
        </m:r>
        <m:r>
          <m:rPr>
            <m:sty m:val="p"/>
          </m:rPr>
          <m:t>ln</m:t>
        </m:r>
        <m:r>
          <m:rPr>
            <m:sty m:val="p"/>
          </m:rPr>
          <m:t>(</m:t>
        </m:r>
        <m:sSub>
          <m:e>
            <m:r>
              <m:t>x</m:t>
            </m:r>
          </m:e>
          <m:sub>
            <m:r>
              <m:t>2</m:t>
            </m:r>
          </m:sub>
        </m:sSub>
        <m:r>
          <m:rPr>
            <m:sty m:val="p"/>
          </m:rPr>
          <m:t>)</m:t>
        </m:r>
        <m:r>
          <m:rPr>
            <m:sty m:val="p"/>
          </m:rPr>
          <m:t>−</m:t>
        </m:r>
        <m:r>
          <m:t>λ</m:t>
        </m:r>
        <m:r>
          <m:rPr>
            <m:sty m:val="p"/>
          </m:rPr>
          <m:t>(</m:t>
        </m:r>
        <m:sSub>
          <m:e>
            <m:r>
              <m:t>x</m:t>
            </m:r>
          </m:e>
          <m:sub>
            <m:r>
              <m:t>1</m:t>
            </m:r>
          </m:sub>
        </m:sSub>
        <m:r>
          <m:rPr>
            <m:sty m:val="p"/>
          </m:rPr>
          <m:t>+</m:t>
        </m:r>
        <m:r>
          <m:t>4</m:t>
        </m:r>
        <m:sSub>
          <m:e>
            <m:r>
              <m:t>x</m:t>
            </m:r>
          </m:e>
          <m:sub>
            <m:r>
              <m:t>2</m:t>
            </m:r>
          </m:sub>
        </m:sSub>
        <m:r>
          <m:rPr>
            <m:sty m:val="p"/>
          </m:rPr>
          <m:t>−</m:t>
        </m:r>
        <m:r>
          <m:t>10</m:t>
        </m:r>
        <m:r>
          <m:rPr>
            <m:sty m:val="p"/>
          </m:rPr>
          <m:t>)</m:t>
        </m:r>
      </m:oMath>
    </w:p>
    <w:p>
      <w:pPr>
        <w:pStyle w:val="BlockText"/>
      </w:pPr>
      <w:r>
        <w:rPr>
          <w:b/>
          <w:bCs/>
        </w:rPr>
        <w:t xml:space="preserve">KKT:</w:t>
      </w:r>
    </w:p>
    <w:p>
      <w:pPr>
        <w:pStyle w:val="Compact"/>
        <w:numPr>
          <w:ilvl w:val="0"/>
          <w:numId w:val="1067"/>
        </w:numPr>
      </w:pPr>
      <m:oMath>
        <m:r>
          <m:rPr>
            <m:sty m:val="p"/>
          </m:rPr>
          <m:t>∂</m:t>
        </m:r>
        <m:r>
          <m:rPr>
            <m:scr m:val="script"/>
            <m:sty m:val="p"/>
          </m:rPr>
          <m:t>L</m:t>
        </m:r>
        <m:r>
          <m:rPr>
            <m:sty m:val="p"/>
          </m:rPr>
          <m:t>/</m:t>
        </m:r>
        <m:r>
          <m:rPr>
            <m:sty m:val="p"/>
          </m:rPr>
          <m:t>∂</m:t>
        </m:r>
        <m:sSub>
          <m:e>
            <m:r>
              <m:t>x</m:t>
            </m:r>
          </m:e>
          <m:sub>
            <m:r>
              <m:t>1</m:t>
            </m:r>
          </m:sub>
        </m:sSub>
        <m:r>
          <m:rPr>
            <m:sty m:val="p"/>
          </m:rPr>
          <m:t>=</m:t>
        </m:r>
        <m:r>
          <m:t>1</m:t>
        </m:r>
        <m:r>
          <m:rPr>
            <m:sty m:val="p"/>
          </m:rPr>
          <m:t>−</m:t>
        </m:r>
        <m:r>
          <m:t>λ</m:t>
        </m:r>
        <m:r>
          <m:rPr>
            <m:sty m:val="p"/>
          </m:rPr>
          <m:t>≤</m:t>
        </m:r>
        <m:r>
          <m:t>0</m:t>
        </m:r>
      </m:oMath>
      <w:r>
        <w:t xml:space="preserve">,</w:t>
      </w:r>
      <w:r>
        <w:t xml:space="preserve"> </w:t>
      </w:r>
      <m:oMath>
        <m:sSub>
          <m:e>
            <m:r>
              <m:t>x</m:t>
            </m:r>
          </m:e>
          <m:sub>
            <m:r>
              <m:t>1</m:t>
            </m:r>
          </m:sub>
        </m:sSub>
        <m:r>
          <m:rPr>
            <m:sty m:val="p"/>
          </m:rPr>
          <m:t>(</m:t>
        </m:r>
        <m:r>
          <m:t>1</m:t>
        </m:r>
        <m:r>
          <m:rPr>
            <m:sty m:val="p"/>
          </m:rPr>
          <m:t>−</m:t>
        </m:r>
        <m:r>
          <m:t>λ</m:t>
        </m:r>
        <m:r>
          <m:rPr>
            <m:sty m:val="p"/>
          </m:rPr>
          <m:t>)</m:t>
        </m:r>
        <m:r>
          <m:rPr>
            <m:sty m:val="p"/>
          </m:rPr>
          <m:t>=</m:t>
        </m:r>
        <m:r>
          <m:t>0</m:t>
        </m:r>
      </m:oMath>
    </w:p>
    <w:p>
      <w:pPr>
        <w:pStyle w:val="Compact"/>
        <w:numPr>
          <w:ilvl w:val="0"/>
          <w:numId w:val="1067"/>
        </w:numPr>
      </w:pPr>
      <m:oMath>
        <m:r>
          <m:rPr>
            <m:sty m:val="p"/>
          </m:rPr>
          <m:t>∂</m:t>
        </m:r>
        <m:r>
          <m:rPr>
            <m:scr m:val="script"/>
            <m:sty m:val="p"/>
          </m:rPr>
          <m:t>L</m:t>
        </m:r>
        <m:r>
          <m:rPr>
            <m:sty m:val="p"/>
          </m:rPr>
          <m:t>/</m:t>
        </m:r>
        <m:r>
          <m:rPr>
            <m:sty m:val="p"/>
          </m:rPr>
          <m:t>∂</m:t>
        </m:r>
        <m:sSub>
          <m:e>
            <m:r>
              <m:t>x</m:t>
            </m:r>
          </m:e>
          <m:sub>
            <m:r>
              <m:t>2</m:t>
            </m:r>
          </m:sub>
        </m:sSub>
        <m:r>
          <m:rPr>
            <m:sty m:val="p"/>
          </m:rPr>
          <m:t>=</m:t>
        </m:r>
        <m:r>
          <m:t>2</m:t>
        </m:r>
        <m:r>
          <m:rPr>
            <m:sty m:val="p"/>
          </m:rPr>
          <m:t>/</m:t>
        </m:r>
        <m:sSub>
          <m:e>
            <m:r>
              <m:t>x</m:t>
            </m:r>
          </m:e>
          <m:sub>
            <m:r>
              <m:t>2</m:t>
            </m:r>
          </m:sub>
        </m:sSub>
        <m:r>
          <m:rPr>
            <m:sty m:val="p"/>
          </m:rPr>
          <m:t>−</m:t>
        </m:r>
        <m:r>
          <m:t>4</m:t>
        </m:r>
        <m:r>
          <m:t>λ</m:t>
        </m:r>
        <m:r>
          <m:rPr>
            <m:sty m:val="p"/>
          </m:rPr>
          <m:t>=</m:t>
        </m:r>
        <m:r>
          <m:t>0</m:t>
        </m:r>
      </m:oMath>
      <w:r>
        <w:t xml:space="preserve"> </w:t>
      </w:r>
      <w:r>
        <w:t xml:space="preserve">(assumindo</w:t>
      </w:r>
      <w:r>
        <w:t xml:space="preserve"> </w:t>
      </w:r>
      <m:oMath>
        <m:sSub>
          <m:e>
            <m:r>
              <m:t>x</m:t>
            </m:r>
          </m:e>
          <m:sub>
            <m:r>
              <m:t>2</m:t>
            </m:r>
          </m:sub>
        </m:sSub>
        <m:r>
          <m:rPr>
            <m:sty m:val="p"/>
          </m:rPr>
          <m:t>&gt;</m:t>
        </m:r>
        <m:r>
          <m:t>0</m:t>
        </m:r>
      </m:oMath>
      <w:r>
        <w:t xml:space="preserve">)</w:t>
      </w:r>
    </w:p>
    <w:p>
      <w:pPr>
        <w:pStyle w:val="Compact"/>
        <w:numPr>
          <w:ilvl w:val="0"/>
          <w:numId w:val="1067"/>
        </w:numPr>
      </w:pPr>
      <m:oMath>
        <m:sSub>
          <m:e>
            <m:r>
              <m:t>x</m:t>
            </m:r>
          </m:e>
          <m:sub>
            <m:r>
              <m:t>1</m:t>
            </m:r>
          </m:sub>
        </m:sSub>
        <m:r>
          <m:rPr>
            <m:sty m:val="p"/>
          </m:rPr>
          <m:t>+</m:t>
        </m:r>
        <m:r>
          <m:t>4</m:t>
        </m:r>
        <m:sSub>
          <m:e>
            <m:r>
              <m:t>x</m:t>
            </m:r>
          </m:e>
          <m:sub>
            <m:r>
              <m:t>2</m:t>
            </m:r>
          </m:sub>
        </m:sSub>
        <m:r>
          <m:rPr>
            <m:sty m:val="p"/>
          </m:rPr>
          <m:t>=</m:t>
        </m:r>
        <m:r>
          <m:t>10</m:t>
        </m:r>
      </m:oMath>
    </w:p>
    <w:p>
      <w:pPr>
        <w:pStyle w:val="BlockText"/>
      </w:pPr>
      <w:r>
        <w:rPr>
          <w:b/>
          <w:bCs/>
        </w:rPr>
        <w:t xml:space="preserve">Caso 1: Interior</w:t>
      </w:r>
      <w:r>
        <w:t xml:space="preserve"> </w:t>
      </w:r>
      <w:r>
        <w:t xml:space="preserve">(</w:t>
      </w:r>
      <m:oMath>
        <m:sSub>
          <m:e>
            <m:r>
              <m:t>x</m:t>
            </m:r>
          </m:e>
          <m:sub>
            <m:r>
              <m:t>1</m:t>
            </m:r>
          </m:sub>
        </m:sSub>
        <m:r>
          <m:rPr>
            <m:sty m:val="p"/>
          </m:rPr>
          <m:t>&gt;</m:t>
        </m:r>
        <m:r>
          <m:t>0</m:t>
        </m:r>
      </m:oMath>
      <w:r>
        <w:t xml:space="preserve">). Então</w:t>
      </w:r>
      <w:r>
        <w:t xml:space="preserve"> </w:t>
      </w:r>
      <m:oMath>
        <m:r>
          <m:t>λ</m:t>
        </m:r>
        <m:r>
          <m:rPr>
            <m:sty m:val="p"/>
          </m:rPr>
          <m:t>=</m:t>
        </m:r>
        <m:r>
          <m:t>1</m:t>
        </m:r>
      </m:oMath>
      <w:r>
        <w:t xml:space="preserve"> </w:t>
      </w:r>
      <w:r>
        <w:t xml:space="preserve">e</w:t>
      </w:r>
      <w:r>
        <w:t xml:space="preserve"> </w:t>
      </w:r>
      <m:oMath>
        <m:r>
          <m:t>2</m:t>
        </m:r>
        <m:r>
          <m:rPr>
            <m:sty m:val="p"/>
          </m:rPr>
          <m:t>/</m:t>
        </m:r>
        <m:sSub>
          <m:e>
            <m:r>
              <m:t>x</m:t>
            </m:r>
          </m:e>
          <m:sub>
            <m:r>
              <m:t>2</m:t>
            </m:r>
          </m:sub>
        </m:sSub>
        <m:r>
          <m:rPr>
            <m:sty m:val="p"/>
          </m:rPr>
          <m:t>=</m:t>
        </m:r>
        <m:r>
          <m:t>4</m:t>
        </m:r>
        <m:r>
          <m:rPr>
            <m:sty m:val="p"/>
          </m:rPr>
          <m:t>⇒</m:t>
        </m:r>
        <m:sSub>
          <m:e>
            <m:r>
              <m:t>x</m:t>
            </m:r>
          </m:e>
          <m:sub>
            <m:r>
              <m:t>2</m:t>
            </m:r>
          </m:sub>
        </m:sSub>
        <m:r>
          <m:rPr>
            <m:sty m:val="p"/>
          </m:rPr>
          <m:t>=</m:t>
        </m:r>
        <m:r>
          <m:t>1</m:t>
        </m:r>
        <m:r>
          <m:rPr>
            <m:sty m:val="p"/>
          </m:rPr>
          <m:t>/</m:t>
        </m:r>
        <m:r>
          <m:t>2</m:t>
        </m:r>
      </m:oMath>
      <w:r>
        <w:t xml:space="preserve">,</w:t>
      </w:r>
      <w:r>
        <w:t xml:space="preserve"> </w:t>
      </w:r>
      <m:oMath>
        <m:sSub>
          <m:e>
            <m:r>
              <m:t>x</m:t>
            </m:r>
          </m:e>
          <m:sub>
            <m:r>
              <m:t>1</m:t>
            </m:r>
          </m:sub>
        </m:sSub>
        <m:r>
          <m:rPr>
            <m:sty m:val="p"/>
          </m:rPr>
          <m:t>=</m:t>
        </m:r>
        <m:r>
          <m:t>8</m:t>
        </m:r>
      </m:oMath>
      <w:r>
        <w:t xml:space="preserve">. Verificar:</w:t>
      </w:r>
      <w:r>
        <w:t xml:space="preserve"> </w:t>
      </w:r>
      <m:oMath>
        <m:r>
          <m:t>U</m:t>
        </m:r>
        <m:r>
          <m:rPr>
            <m:sty m:val="p"/>
          </m:rPr>
          <m:t>=</m:t>
        </m:r>
        <m:r>
          <m:t>8</m:t>
        </m:r>
        <m:r>
          <m:rPr>
            <m:sty m:val="p"/>
          </m:rPr>
          <m:t>+</m:t>
        </m:r>
        <m:r>
          <m:t>2</m:t>
        </m:r>
        <m:r>
          <m:rPr>
            <m:sty m:val="p"/>
          </m:rPr>
          <m:t>ln</m:t>
        </m:r>
        <m:r>
          <m:rPr>
            <m:sty m:val="p"/>
          </m:rPr>
          <m:t>(</m:t>
        </m:r>
        <m:r>
          <m:t>0.5</m:t>
        </m:r>
        <m:r>
          <m:rPr>
            <m:sty m:val="p"/>
          </m:rPr>
          <m:t>)</m:t>
        </m:r>
        <m:r>
          <m:rPr>
            <m:sty m:val="p"/>
          </m:rPr>
          <m:t>=</m:t>
        </m:r>
        <m:r>
          <m:t>8</m:t>
        </m:r>
        <m:r>
          <m:rPr>
            <m:sty m:val="p"/>
          </m:rPr>
          <m:t>−</m:t>
        </m:r>
        <m:r>
          <m:t>1.39</m:t>
        </m:r>
        <m:r>
          <m:rPr>
            <m:sty m:val="p"/>
          </m:rPr>
          <m:t>=</m:t>
        </m:r>
        <m:r>
          <m:t>6.61</m:t>
        </m:r>
      </m:oMath>
      <w:r>
        <w:t xml:space="preserve">.</w:t>
      </w:r>
    </w:p>
    <w:p>
      <w:pPr>
        <w:pStyle w:val="BlockText"/>
      </w:pPr>
      <w:r>
        <w:rPr>
          <w:b/>
          <w:bCs/>
        </w:rPr>
        <w:t xml:space="preserve">Caso 2: Canto</w:t>
      </w:r>
      <w:r>
        <w:t xml:space="preserve"> </w:t>
      </w:r>
      <w:r>
        <w:t xml:space="preserve">(</w:t>
      </w:r>
      <m:oMath>
        <m:sSub>
          <m:e>
            <m:r>
              <m:t>x</m:t>
            </m:r>
          </m:e>
          <m:sub>
            <m:r>
              <m:t>1</m:t>
            </m:r>
          </m:sub>
        </m:sSub>
        <m:r>
          <m:rPr>
            <m:sty m:val="p"/>
          </m:rPr>
          <m:t>=</m:t>
        </m:r>
        <m:r>
          <m:t>0</m:t>
        </m:r>
      </m:oMath>
      <w:r>
        <w:t xml:space="preserve">). Então</w:t>
      </w:r>
      <w:r>
        <w:t xml:space="preserve"> </w:t>
      </w:r>
      <m:oMath>
        <m:r>
          <m:t>4</m:t>
        </m:r>
        <m:sSub>
          <m:e>
            <m:r>
              <m:t>x</m:t>
            </m:r>
          </m:e>
          <m:sub>
            <m:r>
              <m:t>2</m:t>
            </m:r>
          </m:sub>
        </m:sSub>
        <m:r>
          <m:rPr>
            <m:sty m:val="p"/>
          </m:rPr>
          <m:t>=</m:t>
        </m:r>
        <m:r>
          <m:t>10</m:t>
        </m:r>
        <m:r>
          <m:rPr>
            <m:sty m:val="p"/>
          </m:rPr>
          <m:t>⇒</m:t>
        </m:r>
        <m:sSub>
          <m:e>
            <m:r>
              <m:t>x</m:t>
            </m:r>
          </m:e>
          <m:sub>
            <m:r>
              <m:t>2</m:t>
            </m:r>
          </m:sub>
        </m:sSub>
        <m:r>
          <m:rPr>
            <m:sty m:val="p"/>
          </m:rPr>
          <m:t>=</m:t>
        </m:r>
        <m:r>
          <m:t>2.5</m:t>
        </m:r>
      </m:oMath>
      <w:r>
        <w:t xml:space="preserve">,</w:t>
      </w:r>
      <w:r>
        <w:t xml:space="preserve"> </w:t>
      </w:r>
      <m:oMath>
        <m:r>
          <m:t>λ</m:t>
        </m:r>
        <m:r>
          <m:rPr>
            <m:sty m:val="p"/>
          </m:rPr>
          <m:t>=</m:t>
        </m:r>
        <m:r>
          <m:t>2</m:t>
        </m:r>
        <m:r>
          <m:rPr>
            <m:sty m:val="p"/>
          </m:rPr>
          <m:t>/</m:t>
        </m:r>
        <m:r>
          <m:rPr>
            <m:sty m:val="p"/>
          </m:rPr>
          <m:t>(</m:t>
        </m:r>
        <m:r>
          <m:t>4</m:t>
        </m:r>
        <m:r>
          <m:rPr>
            <m:sty m:val="p"/>
          </m:rPr>
          <m:t>⋅</m:t>
        </m:r>
        <m:r>
          <m:t>2.5</m:t>
        </m:r>
        <m:r>
          <m:rPr>
            <m:sty m:val="p"/>
          </m:rPr>
          <m:t>)</m:t>
        </m:r>
        <m:r>
          <m:rPr>
            <m:sty m:val="p"/>
          </m:rPr>
          <m:t>=</m:t>
        </m:r>
        <m:r>
          <m:t>0.2</m:t>
        </m:r>
      </m:oMath>
      <w:r>
        <w:t xml:space="preserve">. Verificar</w:t>
      </w:r>
      <w:r>
        <w:t xml:space="preserve"> </w:t>
      </w:r>
      <m:oMath>
        <m:r>
          <m:t>1</m:t>
        </m:r>
        <m:r>
          <m:rPr>
            <m:sty m:val="p"/>
          </m:rPr>
          <m:t>−</m:t>
        </m:r>
        <m:r>
          <m:t>0.2</m:t>
        </m:r>
        <m:r>
          <m:rPr>
            <m:sty m:val="p"/>
          </m:rPr>
          <m:t>=</m:t>
        </m:r>
        <m:r>
          <m:t>0.8</m:t>
        </m:r>
        <m:r>
          <m:rPr>
            <m:sty m:val="p"/>
          </m:rPr>
          <m:t>&gt;</m:t>
        </m:r>
        <m:r>
          <m:t>0</m:t>
        </m:r>
      </m:oMath>
      <w:r>
        <w:t xml:space="preserve">…</w:t>
      </w:r>
      <w:r>
        <w:t xml:space="preserve"> </w:t>
      </w:r>
      <w:r>
        <w:rPr>
          <w:b/>
          <w:bCs/>
        </w:rPr>
        <w:t xml:space="preserve">viola</w:t>
      </w:r>
      <w:r>
        <w:t xml:space="preserve"> </w:t>
      </w:r>
      <w:r>
        <w:t xml:space="preserve">a CPO (</w:t>
      </w:r>
      <m:oMath>
        <m:r>
          <m:rPr>
            <m:sty m:val="p"/>
          </m:rPr>
          <m:t>≤</m:t>
        </m:r>
        <m:r>
          <m:t>0</m:t>
        </m:r>
      </m:oMath>
      <w:r>
        <w:t xml:space="preserve">). Logo este caso é infactível.</w:t>
      </w:r>
    </w:p>
    <w:p>
      <w:pPr>
        <w:pStyle w:val="BlockText"/>
      </w:pPr>
      <w:r>
        <w:rPr>
          <w:b/>
          <w:bCs/>
        </w:rPr>
        <w:t xml:space="preserve">Solução:</w:t>
      </w:r>
      <w:r>
        <w:t xml:space="preserve"> </w:t>
      </w:r>
      <w:r>
        <w:t xml:space="preserve">Interior,</w:t>
      </w:r>
      <w:r>
        <w:t xml:space="preserve"> </w:t>
      </w:r>
      <m:oMath>
        <m:sSubSup>
          <m:e>
            <m:r>
              <m:t>x</m:t>
            </m:r>
          </m:e>
          <m:sub>
            <m:r>
              <m:t>1</m:t>
            </m:r>
          </m:sub>
          <m:sup>
            <m:r>
              <m:rPr>
                <m:sty m:val="p"/>
              </m:rPr>
              <m:t>*</m:t>
            </m:r>
          </m:sup>
        </m:sSubSup>
        <m:r>
          <m:rPr>
            <m:sty m:val="p"/>
          </m:rPr>
          <m:t>=</m:t>
        </m:r>
        <m:r>
          <m:t>8</m:t>
        </m:r>
      </m:oMath>
      <w:r>
        <w:t xml:space="preserve">,</w:t>
      </w:r>
      <w:r>
        <w:t xml:space="preserve"> </w:t>
      </w:r>
      <m:oMath>
        <m:sSubSup>
          <m:e>
            <m:r>
              <m:t>x</m:t>
            </m:r>
          </m:e>
          <m:sub>
            <m:r>
              <m:t>2</m:t>
            </m:r>
          </m:sub>
          <m:sup>
            <m:r>
              <m:rPr>
                <m:sty m:val="p"/>
              </m:rPr>
              <m:t>*</m:t>
            </m:r>
          </m:sup>
        </m:sSubSup>
        <m:r>
          <m:rPr>
            <m:sty m:val="p"/>
          </m:rPr>
          <m:t>=</m:t>
        </m:r>
        <m:r>
          <m:t>0.5</m:t>
        </m:r>
      </m:oMath>
      <w:r>
        <w:t xml:space="preserve">.</w:t>
      </w:r>
    </w:p>
    <w:bookmarkEnd w:id="107"/>
    <w:bookmarkStart w:id="108" w:name="condições-suficientes"/>
    <w:p>
      <w:pPr>
        <w:pStyle w:val="Heading4"/>
      </w:pPr>
      <w:r>
        <w:t xml:space="preserve">Condições suficientes</w:t>
      </w:r>
    </w:p>
    <w:p>
      <w:pPr>
        <w:pStyle w:val="BlockText"/>
      </w:pPr>
      <w:r>
        <w:rPr>
          <w:b/>
          <w:bCs/>
        </w:rPr>
        <w:t xml:space="preserve">[DEFINICAO] Suficiência via concavidade</w:t>
      </w:r>
    </w:p>
    <w:p>
      <w:pPr>
        <w:pStyle w:val="BlockText"/>
      </w:pPr>
      <w:r>
        <w:t xml:space="preserve">Se</w:t>
      </w:r>
      <w:r>
        <w:t xml:space="preserve"> </w:t>
      </w:r>
      <m:oMath>
        <m:r>
          <m:t>f</m:t>
        </m:r>
      </m:oMath>
      <w:r>
        <w:t xml:space="preserve"> </w:t>
      </w:r>
      <w:r>
        <w:t xml:space="preserve">é côncava e cada</w:t>
      </w:r>
      <w:r>
        <w:t xml:space="preserve"> </w:t>
      </w:r>
      <m:oMath>
        <m:sSub>
          <m:e>
            <m:r>
              <m:t>g</m:t>
            </m:r>
          </m:e>
          <m:sub>
            <m:r>
              <m:t>j</m:t>
            </m:r>
          </m:sub>
        </m:sSub>
      </m:oMath>
      <w:r>
        <w:t xml:space="preserve"> </w:t>
      </w:r>
      <w:r>
        <w:t xml:space="preserve">é convexa, as condições KKT são</w:t>
      </w:r>
      <w:r>
        <w:t xml:space="preserve"> </w:t>
      </w:r>
      <w:r>
        <w:rPr>
          <w:b/>
          <w:bCs/>
        </w:rPr>
        <w:t xml:space="preserve">necessárias e suficientes</w:t>
      </w:r>
      <w:r>
        <w:t xml:space="preserve"> </w:t>
      </w:r>
      <w:r>
        <w:t xml:space="preserve">para um máximo global.</w:t>
      </w:r>
    </w:p>
    <w:p>
      <w:pPr>
        <w:pStyle w:val="BlockText"/>
      </w:pPr>
      <w:r>
        <w:t xml:space="preserve">Na prática, funções de utilidade côncavas e restrições orçamentárias lineares (portanto convexas) satisfazem automaticamente essa condição — o que explica por que as KKT funcionam tão bem nos problemas do consumidor e da firma.</w:t>
      </w:r>
    </w:p>
    <w:p>
      <w:pPr>
        <w:pStyle w:val="BlockText"/>
      </w:pPr>
      <w:r>
        <w:rPr>
          <w:b/>
          <w:bCs/>
        </w:rPr>
        <w:t xml:space="preserve">[DANGER] Erro Comum</w:t>
      </w:r>
    </w:p>
    <w:p>
      <w:pPr>
        <w:pStyle w:val="BlockText"/>
      </w:pPr>
      <w:r>
        <w:rPr>
          <w:b/>
          <w:bCs/>
        </w:rPr>
        <w:t xml:space="preserve">Ignorar a</w:t>
      </w:r>
      <w:r>
        <w:t xml:space="preserve"> </w:t>
      </w:r>
      <w:r>
        <w:rPr>
          <w:b/>
          <w:bCs/>
          <w:i/>
          <w:iCs/>
        </w:rPr>
        <w:t xml:space="preserve">constraint qualification</w:t>
      </w:r>
      <w:r>
        <w:rPr>
          <w:b/>
          <w:bCs/>
        </w:rPr>
        <w:t xml:space="preserve">.</w:t>
      </w:r>
      <w:r>
        <w:t xml:space="preserve"> </w:t>
      </w:r>
      <w:r>
        <w:t xml:space="preserve">As condições KKT exigem que os gradientes das restrições ativas sejam linearmente independentes no ótimo. Quando isso falha (caso raro mas possível), o KKT pode não ser necessário. Em termos práticos: se a restrição tem uma</w:t>
      </w:r>
      <w:r>
        <w:t xml:space="preserve"> </w:t>
      </w:r>
      <w:r>
        <w:t xml:space="preserve">“ponta”</w:t>
      </w:r>
      <w:r>
        <w:t xml:space="preserve"> </w:t>
      </w:r>
      <w:r>
        <w:t xml:space="preserve">(não é diferenciável) no ótimo, cuidado.</w:t>
      </w:r>
    </w:p>
    <w:p>
      <w:pPr>
        <w:pStyle w:val="BlockText"/>
      </w:pPr>
      <w:r>
        <w:rPr>
          <w:b/>
          <w:bCs/>
        </w:rPr>
        <w:t xml:space="preserve">[R-INTERACTIVE] R Interativo</w:t>
      </w:r>
    </w:p>
    <w:p>
      <w:pPr>
        <w:pStyle w:val="SourceCode"/>
      </w:pPr>
      <w:r>
        <w:rPr>
          <w:rStyle w:val="CommentTok"/>
        </w:rPr>
        <w:t xml:space="preserve"># Solução de canto vs. interior</w:t>
      </w:r>
      <w:r>
        <w:br/>
      </w:r>
      <w:r>
        <w:rPr>
          <w:rStyle w:val="CommentTok"/>
        </w:rPr>
        <w:t xml:space="preserve"># U = x1 + 2*ln(x2), restrição: x1 + 4*x2 = 10</w:t>
      </w:r>
      <w:r>
        <w:br/>
      </w:r>
      <w:r>
        <w:br/>
      </w:r>
      <w:r>
        <w:rPr>
          <w:rStyle w:val="NormalTok"/>
        </w:rPr>
        <w:t xml:space="preserve">x2 </w:t>
      </w:r>
      <w:r>
        <w:rPr>
          <w:rStyle w:val="OtherTok"/>
        </w:rPr>
        <w:t xml:space="preserve">&lt;-</w:t>
      </w:r>
      <w:r>
        <w:rPr>
          <w:rStyle w:val="NormalTok"/>
        </w:rPr>
        <w:t xml:space="preserve"> </w:t>
      </w:r>
      <w:r>
        <w:rPr>
          <w:rStyle w:val="FunctionTok"/>
        </w:rPr>
        <w:t xml:space="preserve">seq</w:t>
      </w:r>
      <w:r>
        <w:rPr>
          <w:rStyle w:val="NormalTok"/>
        </w:rPr>
        <w:t xml:space="preserve">(</w:t>
      </w:r>
      <w:r>
        <w:rPr>
          <w:rStyle w:val="FloatTok"/>
        </w:rPr>
        <w:t xml:space="preserve">0.01</w:t>
      </w:r>
      <w:r>
        <w:rPr>
          <w:rStyle w:val="NormalTok"/>
        </w:rPr>
        <w:t xml:space="preserve">, </w:t>
      </w:r>
      <w:r>
        <w:rPr>
          <w:rStyle w:val="FloatTok"/>
        </w:rPr>
        <w:t xml:space="preserve">2.5</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x1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x2</w:t>
      </w:r>
      <w:r>
        <w:br/>
      </w:r>
      <w:r>
        <w:rPr>
          <w:rStyle w:val="NormalTok"/>
        </w:rPr>
        <w:t xml:space="preserve">x1[x1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U </w:t>
      </w:r>
      <w:r>
        <w:rPr>
          <w:rStyle w:val="OtherTok"/>
        </w:rPr>
        <w:t xml:space="preserve">&lt;-</w:t>
      </w:r>
      <w:r>
        <w:rPr>
          <w:rStyle w:val="NormalTok"/>
        </w:rPr>
        <w:t xml:space="preserve"> x1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(x2)</w:t>
      </w:r>
      <w:r>
        <w:br/>
      </w:r>
      <w:r>
        <w:br/>
      </w:r>
      <w:r>
        <w:rPr>
          <w:rStyle w:val="FunctionTok"/>
        </w:rPr>
        <w:t xml:space="preserve">plot</w:t>
      </w:r>
      <w:r>
        <w:rPr>
          <w:rStyle w:val="NormalTok"/>
        </w:rPr>
        <w:t xml:space="preserve">(x2, U,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FunctionTok"/>
        </w:rPr>
        <w:t xml:space="preserve">expression</w:t>
      </w:r>
      <w:r>
        <w:rPr>
          <w:rStyle w:val="NormalTok"/>
        </w:rPr>
        <w:t xml:space="preserve">(x[</w:t>
      </w:r>
      <w:r>
        <w:rPr>
          <w:rStyle w:val="DecValTok"/>
        </w:rPr>
        <w:t xml:space="preserve">2</w:t>
      </w:r>
      <w:r>
        <w:rPr>
          <w:rStyle w:val="NormalTok"/>
        </w:rPr>
        <w:t xml:space="preserve">]), </w:t>
      </w:r>
      <w:r>
        <w:rPr>
          <w:rStyle w:val="AttributeTok"/>
        </w:rPr>
        <w:t xml:space="preserve">ylab =</w:t>
      </w:r>
      <w:r>
        <w:rPr>
          <w:rStyle w:val="NormalTok"/>
        </w:rPr>
        <w:t xml:space="preserve"> </w:t>
      </w:r>
      <w:r>
        <w:rPr>
          <w:rStyle w:val="StringTok"/>
        </w:rPr>
        <w:t xml:space="preserve">"U"</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"Utilidade ao longo da restrição orçamentária"</w:t>
      </w:r>
      <w:r>
        <w:rPr>
          <w:rStyle w:val="NormalTok"/>
        </w:rPr>
        <w:t xml:space="preserve">)</w:t>
      </w:r>
      <w:r>
        <w:br/>
      </w:r>
      <w:r>
        <w:br/>
      </w:r>
      <w:r>
        <w:rPr>
          <w:rStyle w:val="CommentTok"/>
        </w:rPr>
        <w:t xml:space="preserve"># Ótimo</w:t>
      </w:r>
      <w:r>
        <w:br/>
      </w:r>
      <w:r>
        <w:rPr>
          <w:rStyle w:val="NormalTok"/>
        </w:rPr>
        <w:t xml:space="preserve">x2_star </w:t>
      </w:r>
      <w:r>
        <w:rPr>
          <w:rStyle w:val="OtherTok"/>
        </w:rPr>
        <w:t xml:space="preserve">&lt;-</w:t>
      </w:r>
      <w:r>
        <w:rPr>
          <w:rStyle w:val="NormalTok"/>
        </w:rPr>
        <w:t xml:space="preserve"> </w:t>
      </w:r>
      <w:r>
        <w:rPr>
          <w:rStyle w:val="FloatTok"/>
        </w:rPr>
        <w:t xml:space="preserve">0.5</w:t>
      </w:r>
      <w:r>
        <w:br/>
      </w:r>
      <w:r>
        <w:rPr>
          <w:rStyle w:val="NormalTok"/>
        </w:rPr>
        <w:t xml:space="preserve">U_star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4</w:t>
      </w:r>
      <w:r>
        <w:rPr>
          <w:rStyle w:val="SpecialCharTok"/>
        </w:rPr>
        <w:t xml:space="preserve">*</w:t>
      </w:r>
      <w:r>
        <w:rPr>
          <w:rStyle w:val="FloatTok"/>
        </w:rPr>
        <w:t xml:space="preserve">0.5</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FunctionTok"/>
        </w:rPr>
        <w:t xml:space="preserve">log</w:t>
      </w:r>
      <w:r>
        <w:rPr>
          <w:rStyle w:val="NormalTok"/>
        </w:rPr>
        <w:t xml:space="preserve">(</w:t>
      </w:r>
      <w:r>
        <w:rPr>
          <w:rStyle w:val="FloatTok"/>
        </w:rPr>
        <w:t xml:space="preserve">0.5</w:t>
      </w:r>
      <w:r>
        <w:rPr>
          <w:rStyle w:val="NormalTok"/>
        </w:rPr>
        <w:t xml:space="preserve">)</w:t>
      </w:r>
      <w:r>
        <w:br/>
      </w:r>
      <w:r>
        <w:rPr>
          <w:rStyle w:val="FunctionTok"/>
        </w:rPr>
        <w:t xml:space="preserve">points</w:t>
      </w:r>
      <w:r>
        <w:rPr>
          <w:rStyle w:val="NormalTok"/>
        </w:rPr>
        <w:t xml:space="preserve">(x2_star, U_star,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w:t>
      </w:r>
      <w:r>
        <w:br/>
      </w:r>
      <w:r>
        <w:rPr>
          <w:rStyle w:val="FunctionTok"/>
        </w:rPr>
        <w:t xml:space="preserve">text</w:t>
      </w:r>
      <w:r>
        <w:rPr>
          <w:rStyle w:val="NormalTok"/>
        </w:rPr>
        <w:t xml:space="preserve">(x2_star </w:t>
      </w:r>
      <w:r>
        <w:rPr>
          <w:rStyle w:val="SpecialCharTok"/>
        </w:rPr>
        <w:t xml:space="preserve">+</w:t>
      </w:r>
      <w:r>
        <w:rPr>
          <w:rStyle w:val="NormalTok"/>
        </w:rPr>
        <w:t xml:space="preserve"> </w:t>
      </w:r>
      <w:r>
        <w:rPr>
          <w:rStyle w:val="FloatTok"/>
        </w:rPr>
        <w:t xml:space="preserve">0.15</w:t>
      </w:r>
      <w:r>
        <w:rPr>
          <w:rStyle w:val="NormalTok"/>
        </w:rPr>
        <w:t xml:space="preserve">, U_star, </w:t>
      </w:r>
      <w:r>
        <w:rPr>
          <w:rStyle w:val="FunctionTok"/>
        </w:rPr>
        <w:t xml:space="preserve">paste0</w:t>
      </w:r>
      <w:r>
        <w:rPr>
          <w:rStyle w:val="NormalTok"/>
        </w:rPr>
        <w:t xml:space="preserve">(</w:t>
      </w:r>
      <w:r>
        <w:rPr>
          <w:rStyle w:val="StringTok"/>
        </w:rPr>
        <w:t xml:space="preserve">"x2*="</w:t>
      </w:r>
      <w:r>
        <w:rPr>
          <w:rStyle w:val="NormalTok"/>
        </w:rPr>
        <w:t xml:space="preserve">, x2_star), </w:t>
      </w:r>
      <w:r>
        <w:rPr>
          <w:rStyle w:val="AttributeTok"/>
        </w:rPr>
        <w:t xml:space="preserve">col =</w:t>
      </w:r>
      <w:r>
        <w:rPr>
          <w:rStyle w:val="NormalTok"/>
        </w:rPr>
        <w:t xml:space="preserve"> </w:t>
      </w:r>
      <w:r>
        <w:rPr>
          <w:rStyle w:val="StringTok"/>
        </w:rPr>
        <w:t xml:space="preserve">"red"</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x2_star,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p>
      <w:r>
        <w:pict>
          <v:rect style="width:0;height:1.5pt" o:hralign="center" o:hrstd="t" o:hr="t"/>
        </w:pict>
      </w:r>
    </w:p>
    <w:p>
      <w:pPr>
        <w:pStyle w:val="FirstParagraph"/>
      </w:pPr>
      <w:r>
        <w:rPr>
          <w:b/>
          <w:bCs/>
        </w:rPr>
        <w:t xml:space="preserve">Conexão.</w:t>
      </w:r>
      <w:r>
        <w:t xml:space="preserve"> </w:t>
      </w:r>
      <w:r>
        <w:t xml:space="preserve">O Lagrange e o KKT nos dizem</w:t>
      </w:r>
      <w:r>
        <w:t xml:space="preserve"> </w:t>
      </w:r>
      <w:r>
        <w:rPr>
          <w:i/>
          <w:iCs/>
        </w:rPr>
        <w:t xml:space="preserve">como</w:t>
      </w:r>
      <w:r>
        <w:t xml:space="preserve"> </w:t>
      </w:r>
      <w:r>
        <w:t xml:space="preserve">encontrar o ótimo. Mas nem sempre nos dizem se as CPOs</w:t>
      </w:r>
      <w:r>
        <w:t xml:space="preserve"> </w:t>
      </w:r>
      <w:r>
        <w:rPr>
          <w:i/>
          <w:iCs/>
        </w:rPr>
        <w:t xml:space="preserve">bastam</w:t>
      </w:r>
      <w:r>
        <w:t xml:space="preserve">. A resposta depende da</w:t>
      </w:r>
      <w:r>
        <w:t xml:space="preserve"> </w:t>
      </w:r>
      <w:r>
        <w:rPr>
          <w:b/>
          <w:bCs/>
        </w:rPr>
        <w:t xml:space="preserve">curvatura</w:t>
      </w:r>
      <w:r>
        <w:t xml:space="preserve"> </w:t>
      </w:r>
      <w:r>
        <w:t xml:space="preserve">da função objetivo — e é precisamente isso que a Seção 2.8 examina: concavidade, convexidade e quase-concavidade.</w:t>
      </w:r>
    </w:p>
    <w:bookmarkEnd w:id="108"/>
    <w:bookmarkEnd w:id="109"/>
    <w:bookmarkEnd w:id="110"/>
    <w:bookmarkStart w:id="117" w:name="teorema-do-envelope"/>
    <w:p>
      <w:pPr>
        <w:pStyle w:val="Heading2"/>
      </w:pPr>
      <w:r>
        <w:t xml:space="preserve">Teorema do Envelope</w:t>
      </w:r>
    </w:p>
    <w:bookmarkStart w:id="116" w:name="Xd134bc072212ace2df385dae143139da74ec0ef"/>
    <w:p>
      <w:pPr>
        <w:pStyle w:val="Heading3"/>
      </w:pPr>
      <w:r>
        <w:t xml:space="preserve">2.4 No Ótimo, Só Importa o Efeito Direto</w:t>
      </w:r>
    </w:p>
    <w:p>
      <w:pPr>
        <w:pStyle w:val="FirstParagraph"/>
      </w:pPr>
      <w:r>
        <w:t xml:space="preserve">Imagine que você resolve o problema de maximização de lucro e encontra</w:t>
      </w:r>
      <w:r>
        <w:t xml:space="preserve"> </w:t>
      </w:r>
      <m:oMath>
        <m:sSup>
          <m:e>
            <m:r>
              <m:t>π</m:t>
            </m:r>
          </m:e>
          <m:sup>
            <m:r>
              <m:rPr>
                <m:sty m:val="p"/>
              </m:rPr>
              <m:t>*</m:t>
            </m:r>
          </m:sup>
        </m:sSup>
        <m:r>
          <m:rPr>
            <m:sty m:val="p"/>
          </m:rPr>
          <m:t>(</m:t>
        </m:r>
        <m:r>
          <m:t>p</m:t>
        </m:r>
        <m:r>
          <m:rPr>
            <m:sty m:val="p"/>
          </m:rPr>
          <m:t>,</m:t>
        </m:r>
        <m:r>
          <m:t>w</m:t>
        </m:r>
        <m:r>
          <m:rPr>
            <m:sty m:val="p"/>
          </m:rPr>
          <m:t>)</m:t>
        </m:r>
        <m:r>
          <m:rPr>
            <m:sty m:val="p"/>
          </m:rPr>
          <m:t>=</m:t>
        </m:r>
        <m:sSub>
          <m:e>
            <m:r>
              <m:rPr>
                <m:sty m:val="p"/>
              </m:rPr>
              <m:t>max</m:t>
            </m:r>
          </m:e>
          <m:sub>
            <m:r>
              <m:t>q</m:t>
            </m:r>
          </m:sub>
        </m:sSub>
        <m:r>
          <m:rPr>
            <m:sty m:val="p"/>
          </m:rPr>
          <m:t>{</m:t>
        </m:r>
        <m:r>
          <m:t>p</m:t>
        </m:r>
        <m:r>
          <m:t>q</m:t>
        </m:r>
        <m:r>
          <m:rPr>
            <m:sty m:val="p"/>
          </m:rPr>
          <m:t>−</m:t>
        </m:r>
        <m:r>
          <m:t>C</m:t>
        </m:r>
        <m:r>
          <m:rPr>
            <m:sty m:val="p"/>
          </m:rPr>
          <m:t>(</m:t>
        </m:r>
        <m:r>
          <m:t>q</m:t>
        </m:r>
        <m:r>
          <m:rPr>
            <m:sty m:val="p"/>
          </m:rPr>
          <m:t>;</m:t>
        </m:r>
        <m:r>
          <m:t>w</m:t>
        </m:r>
        <m:r>
          <m:rPr>
            <m:sty m:val="p"/>
          </m:rPr>
          <m:t>)</m:t>
        </m:r>
        <m:r>
          <m:rPr>
            <m:sty m:val="p"/>
          </m:rPr>
          <m:t>}</m:t>
        </m:r>
      </m:oMath>
      <w:r>
        <w:t xml:space="preserve">. Agora o preço do produto sobe em</w:t>
      </w:r>
      <w:r>
        <w:t xml:space="preserve"> </w:t>
      </w:r>
      <m:oMath>
        <m:r>
          <m:t>d</m:t>
        </m:r>
        <m:r>
          <m:t>p</m:t>
        </m:r>
      </m:oMath>
      <w:r>
        <w:t xml:space="preserve">. Quanto muda o lucro ótimo? Sua primeira reação pode ser:</w:t>
      </w:r>
      <w:r>
        <w:t xml:space="preserve"> </w:t>
      </w:r>
      <w:r>
        <w:t xml:space="preserve">“preciso recalcular</w:t>
      </w:r>
      <w:r>
        <w:t xml:space="preserve"> </w:t>
      </w:r>
      <m:oMath>
        <m:sSup>
          <m:e>
            <m:r>
              <m:t>q</m:t>
            </m:r>
          </m:e>
          <m:sup>
            <m:r>
              <m:rPr>
                <m:sty m:val="p"/>
              </m:rPr>
              <m:t>*</m:t>
            </m:r>
          </m:sup>
        </m:sSup>
      </m:oMath>
      <w:r>
        <w:t xml:space="preserve"> </w:t>
      </w:r>
      <w:r>
        <w:t xml:space="preserve">para o novo preço, depois calcular o novo lucro, depois…”</w:t>
      </w:r>
      <w:r>
        <w:t xml:space="preserve">. O Teorema do Envelope diz:</w:t>
      </w:r>
      <w:r>
        <w:t xml:space="preserve"> </w:t>
      </w:r>
      <w:r>
        <w:rPr>
          <w:b/>
          <w:bCs/>
        </w:rPr>
        <w:t xml:space="preserve">não precisa</w:t>
      </w:r>
      <w:r>
        <w:t xml:space="preserve">. No ótimo, o efeito indireto (via reotimização de</w:t>
      </w:r>
      <w:r>
        <w:t xml:space="preserve"> </w:t>
      </w:r>
      <m:oMath>
        <m:r>
          <m:t>q</m:t>
        </m:r>
      </m:oMath>
      <w:r>
        <w:t xml:space="preserve">) é zero, e só resta o efeito direto do parâmetro sobre a função objetivo.</w:t>
      </w:r>
    </w:p>
    <w:p>
      <w:pPr>
        <w:pStyle w:val="BodyText"/>
      </w:pPr>
      <w:r>
        <w:t xml:space="preserve">Esse resultado — um dos mais elegantes e úteis da microeconomia — é o atalho que torna tratáveis problemas que, de outra forma, seriam algebraicamente monstruosos. Ele explica por que o Lema de Shephard (Capítulo 11 (Cap. 11)), a Identidade de Roy (Capítulo 4 (Cap. 4)) e o Lema de Hotelling (Capítulo 12 (Cap. 12)) funcionam — todos são instâncias do mesmo teorema.</w:t>
      </w:r>
      <w:r>
        <w:rPr>
          <w:rStyle w:val="FootnoteReference"/>
        </w:rPr>
        <w:footnoteReference w:id="111"/>
      </w:r>
    </w:p>
    <w:bookmarkStart w:id="112" w:name="formulação-sem-restrição"/>
    <w:p>
      <w:pPr>
        <w:pStyle w:val="Heading4"/>
      </w:pPr>
      <w:r>
        <w:t xml:space="preserve">Formulação sem restrição</w:t>
      </w:r>
    </w:p>
    <w:p>
      <w:pPr>
        <w:pStyle w:val="BlockText"/>
      </w:pPr>
      <w:r>
        <w:rPr>
          <w:b/>
          <w:bCs/>
        </w:rPr>
        <w:t xml:space="preserve">[DEFINICAO] Teorema do Envelope (sem restrição)</w:t>
      </w:r>
    </w:p>
    <w:p>
      <w:pPr>
        <w:pStyle w:val="BlockText"/>
      </w:pPr>
      <w:r>
        <w:t xml:space="preserve">Seja</w:t>
      </w:r>
      <w:r>
        <w:t xml:space="preserve"> </w:t>
      </w:r>
      <m:oMath>
        <m:r>
          <m:t>f</m:t>
        </m:r>
        <m:r>
          <m:rPr>
            <m:sty m:val="p"/>
          </m:rPr>
          <m:t>(</m:t>
        </m:r>
        <m:r>
          <m:t>x</m:t>
        </m:r>
        <m:r>
          <m:rPr>
            <m:sty m:val="p"/>
          </m:rPr>
          <m:t>;</m:t>
        </m:r>
        <m:r>
          <m:t>α</m:t>
        </m:r>
        <m:r>
          <m:rPr>
            <m:sty m:val="p"/>
          </m:rPr>
          <m:t>)</m:t>
        </m:r>
      </m:oMath>
      <w:r>
        <w:t xml:space="preserve"> </w:t>
      </w:r>
      <w:r>
        <w:t xml:space="preserve">uma função objetivo que depende da variável de escolha</w:t>
      </w:r>
      <w:r>
        <w:t xml:space="preserve"> </w:t>
      </w:r>
      <m:oMath>
        <m:r>
          <m:t>x</m:t>
        </m:r>
      </m:oMath>
      <w:r>
        <w:t xml:space="preserve"> </w:t>
      </w:r>
      <w:r>
        <w:t xml:space="preserve">e do parâmetro</w:t>
      </w:r>
      <w:r>
        <w:t xml:space="preserve"> </w:t>
      </w:r>
      <m:oMath>
        <m:r>
          <m:t>α</m:t>
        </m:r>
      </m:oMath>
      <w:r>
        <w:t xml:space="preserve">. Defina o</w:t>
      </w:r>
      <w:r>
        <w:t xml:space="preserve"> </w:t>
      </w:r>
      <w:r>
        <w:rPr>
          <w:b/>
          <w:bCs/>
        </w:rPr>
        <w:t xml:space="preserve">valor ótimo</w:t>
      </w:r>
      <w:r>
        <w:t xml:space="preserve"> </w:t>
      </w:r>
      <w:r>
        <w:t xml:space="preserve">como:</w:t>
      </w:r>
    </w:p>
    <w:p>
      <w:pPr>
        <w:pStyle w:val="BlockText"/>
      </w:pPr>
      <m:oMathPara>
        <m:oMathParaPr>
          <m:jc m:val="center"/>
        </m:oMathParaPr>
        <m:oMath>
          <m:r>
            <m:t>V</m:t>
          </m:r>
          <m:r>
            <m:rPr>
              <m:sty m:val="p"/>
            </m:rPr>
            <m:t>(</m:t>
          </m:r>
          <m:r>
            <m:t>α</m:t>
          </m:r>
          <m:r>
            <m:rPr>
              <m:sty m:val="p"/>
            </m:rPr>
            <m:t>)</m:t>
          </m:r>
          <m:r>
            <m:rPr>
              <m:sty m:val="p"/>
            </m:rPr>
            <m:t>=</m:t>
          </m:r>
          <m:limLow>
            <m:e>
              <m:r>
                <m:rPr>
                  <m:sty m:val="p"/>
                </m:rPr>
                <m:t>max</m:t>
              </m:r>
            </m:e>
            <m:lim>
              <m:r>
                <m:t>x</m:t>
              </m:r>
            </m:lim>
          </m:limLow>
          <m:r>
            <m:t>f</m:t>
          </m:r>
          <m:r>
            <m:rPr>
              <m:sty m:val="p"/>
            </m:rPr>
            <m:t>(</m:t>
          </m:r>
          <m:r>
            <m:t>x</m:t>
          </m:r>
          <m:r>
            <m:rPr>
              <m:sty m:val="p"/>
            </m:rPr>
            <m:t>;</m:t>
          </m:r>
          <m:r>
            <m:t>α</m:t>
          </m:r>
          <m:r>
            <m:rPr>
              <m:sty m:val="p"/>
            </m:rPr>
            <m:t>)</m:t>
          </m:r>
          <m:r>
            <m:rPr>
              <m:sty m:val="p"/>
            </m:rPr>
            <m:t>,</m:t>
          </m:r>
          <m:r>
            <m:t> </m:t>
          </m:r>
          <m:r>
            <m:rPr>
              <m:nor/>
              <m:sty m:val="p"/>
            </m:rPr>
            <m:t>com solução </m:t>
          </m:r>
          <m:sSup>
            <m:e>
              <m:r>
                <m:t>x</m:t>
              </m:r>
            </m:e>
            <m:sup>
              <m:r>
                <m:rPr>
                  <m:sty m:val="p"/>
                </m:rPr>
                <m:t>*</m:t>
              </m:r>
            </m:sup>
          </m:sSup>
          <m:r>
            <m:rPr>
              <m:sty m:val="p"/>
            </m:rPr>
            <m:t>(</m:t>
          </m:r>
          <m:r>
            <m:t>α</m:t>
          </m:r>
          <m:r>
            <m:rPr>
              <m:sty m:val="p"/>
            </m:rPr>
            <m:t>)</m:t>
          </m:r>
        </m:oMath>
      </m:oMathPara>
    </w:p>
    <w:p>
      <w:pPr>
        <w:pStyle w:val="BlockText"/>
      </w:pPr>
      <w:r>
        <w:t xml:space="preserve">Então:</w:t>
      </w:r>
    </w:p>
    <w:p>
      <w:pPr>
        <w:pStyle w:val="BlockText"/>
      </w:pPr>
      <m:oMathPara>
        <m:oMathParaPr>
          <m:jc m:val="center"/>
        </m:oMathParaPr>
        <m:oMath>
          <m:f>
            <m:fPr>
              <m:type m:val="bar"/>
            </m:fPr>
            <m:num>
              <m:r>
                <m:t>d</m:t>
              </m:r>
              <m:r>
                <m:t>V</m:t>
              </m:r>
            </m:num>
            <m:den>
              <m:r>
                <m:t>d</m:t>
              </m:r>
              <m:r>
                <m:t>α</m:t>
              </m:r>
            </m:den>
          </m:f>
          <m:r>
            <m:rPr>
              <m:sty m:val="p"/>
            </m:rPr>
            <m:t>=</m:t>
          </m:r>
          <m:f>
            <m:fPr>
              <m:type m:val="bar"/>
            </m:fPr>
            <m:num>
              <m:r>
                <m:rPr>
                  <m:sty m:val="p"/>
                </m:rPr>
                <m:t>∂</m:t>
              </m:r>
              <m:r>
                <m:t>f</m:t>
              </m:r>
            </m:num>
            <m:den>
              <m:r>
                <m:rPr>
                  <m:sty m:val="p"/>
                </m:rPr>
                <m:t>∂</m:t>
              </m:r>
              <m:r>
                <m:t>α</m:t>
              </m:r>
            </m:den>
          </m:f>
          <m:sSub>
            <m:e>
              <m:r>
                <m:rPr>
                  <m:sty m:val="p"/>
                </m:rPr>
                <m:t>|</m:t>
              </m:r>
            </m:e>
            <m:sub>
              <m:r>
                <m:t>x</m:t>
              </m:r>
              <m:r>
                <m:rPr>
                  <m:sty m:val="p"/>
                </m:rPr>
                <m:t>=</m:t>
              </m:r>
              <m:sSup>
                <m:e>
                  <m:r>
                    <m:t>x</m:t>
                  </m:r>
                </m:e>
                <m:sup>
                  <m:r>
                    <m:rPr>
                      <m:sty m:val="p"/>
                    </m:rPr>
                    <m:t>*</m:t>
                  </m:r>
                </m:sup>
              </m:sSup>
              <m:r>
                <m:rPr>
                  <m:sty m:val="p"/>
                </m:rPr>
                <m:t>(</m:t>
              </m:r>
              <m:r>
                <m:t>α</m:t>
              </m:r>
              <m:r>
                <m:rPr>
                  <m:sty m:val="p"/>
                </m:rPr>
                <m:t>)</m:t>
              </m:r>
            </m:sub>
          </m:sSub>
        </m:oMath>
      </m:oMathPara>
    </w:p>
    <w:p>
      <w:pPr>
        <w:pStyle w:val="BlockText"/>
      </w:pPr>
      <w:r>
        <w:t xml:space="preserve">ou seja, a derivada do valor ótimo em relação ao parâmetro é simplesmente a derivada parcial da função objetivo avaliada no ótimo —</w:t>
      </w:r>
      <w:r>
        <w:t xml:space="preserve"> </w:t>
      </w:r>
      <w:r>
        <w:rPr>
          <w:b/>
          <w:bCs/>
        </w:rPr>
        <w:t xml:space="preserve">ignorando</w:t>
      </w:r>
      <w:r>
        <w:t xml:space="preserve"> </w:t>
      </w:r>
      <w:r>
        <w:t xml:space="preserve">o efeito indireto via</w:t>
      </w:r>
      <w:r>
        <w:t xml:space="preserve"> </w:t>
      </w:r>
      <m:oMath>
        <m:sSup>
          <m:e>
            <m:r>
              <m:t>x</m:t>
            </m:r>
          </m:e>
          <m:sup>
            <m:r>
              <m:rPr>
                <m:sty m:val="p"/>
              </m:rPr>
              <m:t>*</m:t>
            </m:r>
          </m:sup>
        </m:sSup>
        <m:r>
          <m:rPr>
            <m:sty m:val="p"/>
          </m:rPr>
          <m:t>(</m:t>
        </m:r>
        <m:r>
          <m:t>α</m:t>
        </m:r>
        <m:r>
          <m:rPr>
            <m:sty m:val="p"/>
          </m:rPr>
          <m:t>)</m:t>
        </m:r>
      </m:oMath>
      <w:r>
        <w:t xml:space="preserve">.</w:t>
      </w:r>
    </w:p>
    <w:bookmarkEnd w:id="112"/>
    <w:bookmarkStart w:id="113" w:name="prova"/>
    <w:p>
      <w:pPr>
        <w:pStyle w:val="Heading4"/>
      </w:pPr>
      <w:r>
        <w:t xml:space="preserve">Prova</w:t>
      </w:r>
    </w:p>
    <w:p>
      <w:pPr>
        <w:pStyle w:val="FirstParagraph"/>
      </w:pPr>
      <w:r>
        <w:t xml:space="preserve">A prova é curta e instrutiva. Pela regra da cadeia:</w:t>
      </w:r>
    </w:p>
    <w:p>
      <w:pPr>
        <w:pStyle w:val="BodyText"/>
      </w:pPr>
      <m:oMathPara>
        <m:oMathParaPr>
          <m:jc m:val="center"/>
        </m:oMathParaPr>
        <m:oMath>
          <m:f>
            <m:fPr>
              <m:type m:val="bar"/>
            </m:fPr>
            <m:num>
              <m:r>
                <m:t>d</m:t>
              </m:r>
              <m:r>
                <m:t>V</m:t>
              </m:r>
            </m:num>
            <m:den>
              <m:r>
                <m:t>d</m:t>
              </m:r>
              <m:r>
                <m:t>α</m:t>
              </m:r>
            </m:den>
          </m:f>
          <m:r>
            <m:rPr>
              <m:sty m:val="p"/>
            </m:rPr>
            <m:t>=</m:t>
          </m:r>
          <m:f>
            <m:fPr>
              <m:type m:val="bar"/>
            </m:fPr>
            <m:num>
              <m:r>
                <m:rPr>
                  <m:sty m:val="p"/>
                </m:rPr>
                <m:t>∂</m:t>
              </m:r>
              <m:r>
                <m:t>f</m:t>
              </m:r>
            </m:num>
            <m:den>
              <m:r>
                <m:rPr>
                  <m:sty m:val="p"/>
                </m:rPr>
                <m:t>∂</m:t>
              </m:r>
              <m:r>
                <m:t>x</m:t>
              </m:r>
            </m:den>
          </m:f>
          <m:r>
            <m:rPr>
              <m:sty m:val="p"/>
            </m:rPr>
            <m:t>⋅</m:t>
          </m:r>
          <m:f>
            <m:fPr>
              <m:type m:val="bar"/>
            </m:fPr>
            <m:num>
              <m:r>
                <m:t>d</m:t>
              </m:r>
              <m:sSup>
                <m:e>
                  <m:r>
                    <m:t>x</m:t>
                  </m:r>
                </m:e>
                <m:sup>
                  <m:r>
                    <m:rPr>
                      <m:sty m:val="p"/>
                    </m:rPr>
                    <m:t>*</m:t>
                  </m:r>
                </m:sup>
              </m:sSup>
            </m:num>
            <m:den>
              <m:r>
                <m:t>d</m:t>
              </m:r>
              <m:r>
                <m:t>α</m:t>
              </m:r>
            </m:den>
          </m:f>
          <m:r>
            <m:rPr>
              <m:sty m:val="p"/>
            </m:rPr>
            <m:t>+</m:t>
          </m:r>
          <m:f>
            <m:fPr>
              <m:type m:val="bar"/>
            </m:fPr>
            <m:num>
              <m:r>
                <m:rPr>
                  <m:sty m:val="p"/>
                </m:rPr>
                <m:t>∂</m:t>
              </m:r>
              <m:r>
                <m:t>f</m:t>
              </m:r>
            </m:num>
            <m:den>
              <m:r>
                <m:rPr>
                  <m:sty m:val="p"/>
                </m:rPr>
                <m:t>∂</m:t>
              </m:r>
              <m:r>
                <m:t>α</m:t>
              </m:r>
            </m:den>
          </m:f>
        </m:oMath>
      </m:oMathPara>
    </w:p>
    <w:p>
      <w:pPr>
        <w:pStyle w:val="FirstParagraph"/>
      </w:pPr>
      <w:r>
        <w:t xml:space="preserve">Mas no ótimo, a CPO garante</w:t>
      </w:r>
      <w:r>
        <w:t xml:space="preserve"> </w:t>
      </w:r>
      <m:oMath>
        <m:r>
          <m:rPr>
            <m:sty m:val="p"/>
          </m:rPr>
          <m:t>∂</m:t>
        </m:r>
        <m:r>
          <m:t>f</m:t>
        </m:r>
        <m:r>
          <m:rPr>
            <m:sty m:val="p"/>
          </m:rPr>
          <m:t>/</m:t>
        </m:r>
        <m:r>
          <m:rPr>
            <m:sty m:val="p"/>
          </m:rPr>
          <m:t>∂</m:t>
        </m:r>
        <m:r>
          <m:t>x</m:t>
        </m:r>
        <m:sSub>
          <m:e>
            <m:r>
              <m:rPr>
                <m:sty m:val="p"/>
              </m:rPr>
              <m:t>|</m:t>
            </m:r>
          </m:e>
          <m:sub>
            <m:sSup>
              <m:e>
                <m:r>
                  <m:t>x</m:t>
                </m:r>
              </m:e>
              <m:sup>
                <m:r>
                  <m:rPr>
                    <m:sty m:val="p"/>
                  </m:rPr>
                  <m:t>*</m:t>
                </m:r>
              </m:sup>
            </m:sSup>
          </m:sub>
        </m:sSub>
        <m:r>
          <m:rPr>
            <m:sty m:val="p"/>
          </m:rPr>
          <m:t>=</m:t>
        </m:r>
        <m:r>
          <m:t>0</m:t>
        </m:r>
      </m:oMath>
      <w:r>
        <w:t xml:space="preserve">. Logo o primeiro termo se anula, e resta:</w:t>
      </w:r>
    </w:p>
    <w:p>
      <w:pPr>
        <w:pStyle w:val="BodyText"/>
      </w:pPr>
      <m:oMathPara>
        <m:oMathParaPr>
          <m:jc m:val="center"/>
        </m:oMathParaPr>
        <m:oMath>
          <m:f>
            <m:fPr>
              <m:type m:val="bar"/>
            </m:fPr>
            <m:num>
              <m:r>
                <m:t>d</m:t>
              </m:r>
              <m:r>
                <m:t>V</m:t>
              </m:r>
            </m:num>
            <m:den>
              <m:r>
                <m:t>d</m:t>
              </m:r>
              <m:r>
                <m:t>α</m:t>
              </m:r>
            </m:den>
          </m:f>
          <m:r>
            <m:rPr>
              <m:sty m:val="p"/>
            </m:rPr>
            <m:t>=</m:t>
          </m:r>
          <m:f>
            <m:fPr>
              <m:type m:val="bar"/>
            </m:fPr>
            <m:num>
              <m:r>
                <m:rPr>
                  <m:sty m:val="p"/>
                </m:rPr>
                <m:t>∂</m:t>
              </m:r>
              <m:r>
                <m:t>f</m:t>
              </m:r>
            </m:num>
            <m:den>
              <m:r>
                <m:rPr>
                  <m:sty m:val="p"/>
                </m:rPr>
                <m:t>∂</m:t>
              </m:r>
              <m:r>
                <m:t>α</m:t>
              </m:r>
            </m:den>
          </m:f>
          <m:sSub>
            <m:e>
              <m:r>
                <m:rPr>
                  <m:sty m:val="p"/>
                </m:rPr>
                <m:t>|</m:t>
              </m:r>
            </m:e>
            <m:sub>
              <m:sSup>
                <m:e>
                  <m:r>
                    <m:t>x</m:t>
                  </m:r>
                </m:e>
                <m:sup>
                  <m:r>
                    <m:rPr>
                      <m:sty m:val="p"/>
                    </m:rPr>
                    <m:t>*</m:t>
                  </m:r>
                </m:sup>
              </m:sSup>
            </m:sub>
          </m:sSub>
        </m:oMath>
      </m:oMathPara>
    </w:p>
    <w:p>
      <w:pPr>
        <w:pStyle w:val="FirstParagraph"/>
      </w:pPr>
      <m:oMath>
        <m:r>
          <m:rPr>
            <m:sty m:val="p"/>
          </m:rPr>
          <m:t>◼</m:t>
        </m:r>
      </m:oMath>
    </w:p>
    <w:p>
      <w:pPr>
        <w:pStyle w:val="BlockText"/>
      </w:pPr>
      <w:r>
        <w:rPr>
          <w:b/>
          <w:bCs/>
        </w:rPr>
        <w:t xml:space="preserve">[INTUICAO ECONOMICA] Intuição Econômica</w:t>
      </w:r>
    </w:p>
    <w:p>
      <w:pPr>
        <w:pStyle w:val="BlockText"/>
      </w:pPr>
      <w:r>
        <w:rPr>
          <w:b/>
          <w:bCs/>
        </w:rPr>
        <w:t xml:space="preserve">Em uma frase:</w:t>
      </w:r>
      <w:r>
        <w:t xml:space="preserve"> </w:t>
      </w:r>
      <w:r>
        <w:t xml:space="preserve">No topo da montanha, um empurrãozinho lateral não muda a altitude — porque a inclinação é zero lá em cima.</w:t>
      </w:r>
    </w:p>
    <w:p>
      <w:pPr>
        <w:pStyle w:val="BlockText"/>
      </w:pPr>
      <w:r>
        <w:rPr>
          <w:b/>
          <w:bCs/>
        </w:rPr>
        <w:t xml:space="preserve">Pense assim:</w:t>
      </w:r>
      <w:r>
        <w:t xml:space="preserve"> </w:t>
      </w:r>
      <w:r>
        <w:t xml:space="preserve">Você está no ótimo, como alguém no topo de uma colina. Quando um parâmetro muda, a colina inteira se desloca. Mas como você</w:t>
      </w:r>
      <w:r>
        <w:t xml:space="preserve"> </w:t>
      </w:r>
      <w:r>
        <w:rPr>
          <w:i/>
          <w:iCs/>
        </w:rPr>
        <w:t xml:space="preserve">já estava no topo</w:t>
      </w:r>
      <w:r>
        <w:t xml:space="preserve"> </w:t>
      </w:r>
      <w:r>
        <w:t xml:space="preserve">(CPO satisfeita), o reposicionamento que o ótimo faz é de segunda ordem — tão pequeno que desaparece para variações infinitesimais. O único efeito que sobra é o direto: como a mudança no parâmetro afeta a função no ponto onde você já está.</w:t>
      </w:r>
    </w:p>
    <w:bookmarkEnd w:id="113"/>
    <w:bookmarkStart w:id="114" w:name="formulação-com-restrição-lagrangeano"/>
    <w:p>
      <w:pPr>
        <w:pStyle w:val="Heading4"/>
      </w:pPr>
      <w:r>
        <w:t xml:space="preserve">Formulação com restrição (Lagrangeano)</w:t>
      </w:r>
    </w:p>
    <w:p>
      <w:pPr>
        <w:pStyle w:val="FirstParagraph"/>
      </w:pPr>
      <w:r>
        <w:t xml:space="preserve">A versão restrita é igualmente poderosa e surge em praticamente todos os modelos do livro.</w:t>
      </w:r>
    </w:p>
    <w:p>
      <w:pPr>
        <w:pStyle w:val="BlockText"/>
      </w:pPr>
      <w:r>
        <w:rPr>
          <w:b/>
          <w:bCs/>
        </w:rPr>
        <w:t xml:space="preserve">[DEFINICAO] Teorema do Envelope (com restrição)</w:t>
      </w:r>
    </w:p>
    <w:p>
      <w:pPr>
        <w:pStyle w:val="BlockText"/>
      </w:pPr>
      <w:r>
        <w:t xml:space="preserve">Considere o problema</w:t>
      </w:r>
      <w:r>
        <w:t xml:space="preserve"> </w:t>
      </w:r>
      <m:oMath>
        <m:r>
          <m:t>V</m:t>
        </m:r>
        <m:r>
          <m:rPr>
            <m:sty m:val="p"/>
          </m:rPr>
          <m:t>(</m:t>
        </m:r>
        <m:r>
          <m:t>α</m:t>
        </m:r>
        <m:r>
          <m:rPr>
            <m:sty m:val="p"/>
          </m:rPr>
          <m:t>)</m:t>
        </m:r>
        <m:r>
          <m:rPr>
            <m:sty m:val="p"/>
          </m:rPr>
          <m:t>=</m:t>
        </m:r>
        <m:sSub>
          <m:e>
            <m:r>
              <m:rPr>
                <m:sty m:val="p"/>
              </m:rPr>
              <m:t>max</m:t>
            </m:r>
          </m:e>
          <m:sub>
            <m:r>
              <m:t>x</m:t>
            </m:r>
          </m:sub>
        </m:sSub>
        <m:r>
          <m:t>f</m:t>
        </m:r>
        <m:r>
          <m:rPr>
            <m:sty m:val="p"/>
          </m:rPr>
          <m:t>(</m:t>
        </m:r>
        <m:r>
          <m:t>x</m:t>
        </m:r>
        <m:r>
          <m:rPr>
            <m:sty m:val="p"/>
          </m:rPr>
          <m:t>;</m:t>
        </m:r>
        <m:r>
          <m:t>α</m:t>
        </m:r>
        <m:r>
          <m:rPr>
            <m:sty m:val="p"/>
          </m:rPr>
          <m:t>)</m:t>
        </m:r>
      </m:oMath>
      <w:r>
        <w:t xml:space="preserve"> </w:t>
      </w:r>
      <w:r>
        <w:t xml:space="preserve">sujeito a</w:t>
      </w:r>
      <w:r>
        <w:t xml:space="preserve"> </w:t>
      </w:r>
      <m:oMath>
        <m:r>
          <m:t>g</m:t>
        </m:r>
        <m:r>
          <m:rPr>
            <m:sty m:val="p"/>
          </m:rPr>
          <m:t>(</m:t>
        </m:r>
        <m:r>
          <m:t>x</m:t>
        </m:r>
        <m:r>
          <m:rPr>
            <m:sty m:val="p"/>
          </m:rPr>
          <m:t>;</m:t>
        </m:r>
        <m:r>
          <m:t>α</m:t>
        </m:r>
        <m:r>
          <m:rPr>
            <m:sty m:val="p"/>
          </m:rPr>
          <m:t>)</m:t>
        </m:r>
        <m:r>
          <m:rPr>
            <m:sty m:val="p"/>
          </m:rPr>
          <m:t>=</m:t>
        </m:r>
        <m:r>
          <m:t>0</m:t>
        </m:r>
      </m:oMath>
      <w:r>
        <w:t xml:space="preserve">. O Lagrangeano é</w:t>
      </w:r>
      <w:r>
        <w:t xml:space="preserve"> </w:t>
      </w:r>
      <m:oMath>
        <m:r>
          <m:rPr>
            <m:scr m:val="script"/>
            <m:sty m:val="p"/>
          </m:rPr>
          <m:t>L</m:t>
        </m:r>
        <m:r>
          <m:rPr>
            <m:sty m:val="p"/>
          </m:rPr>
          <m:t>=</m:t>
        </m:r>
        <m:r>
          <m:t>f</m:t>
        </m:r>
        <m:r>
          <m:rPr>
            <m:sty m:val="p"/>
          </m:rPr>
          <m:t>−</m:t>
        </m:r>
        <m:r>
          <m:t>λ</m:t>
        </m:r>
        <m:r>
          <m:t>g</m:t>
        </m:r>
      </m:oMath>
      <w:r>
        <w:t xml:space="preserve">. Então:</w:t>
      </w:r>
    </w:p>
    <w:p>
      <w:pPr>
        <w:pStyle w:val="BlockText"/>
      </w:pPr>
      <m:oMathPara>
        <m:oMathParaPr>
          <m:jc m:val="center"/>
        </m:oMathParaPr>
        <m:oMath>
          <m:f>
            <m:fPr>
              <m:type m:val="bar"/>
            </m:fPr>
            <m:num>
              <m:r>
                <m:t>d</m:t>
              </m:r>
              <m:r>
                <m:t>V</m:t>
              </m:r>
            </m:num>
            <m:den>
              <m:r>
                <m:t>d</m:t>
              </m:r>
              <m:r>
                <m:t>α</m:t>
              </m:r>
            </m:den>
          </m:f>
          <m:r>
            <m:rPr>
              <m:sty m:val="p"/>
            </m:rPr>
            <m:t>=</m:t>
          </m:r>
          <m:f>
            <m:fPr>
              <m:type m:val="bar"/>
            </m:fPr>
            <m:num>
              <m:r>
                <m:rPr>
                  <m:sty m:val="p"/>
                </m:rPr>
                <m:t>∂</m:t>
              </m:r>
              <m:r>
                <m:rPr>
                  <m:scr m:val="script"/>
                  <m:sty m:val="p"/>
                </m:rPr>
                <m:t>L</m:t>
              </m:r>
            </m:num>
            <m:den>
              <m:r>
                <m:rPr>
                  <m:sty m:val="p"/>
                </m:rPr>
                <m:t>∂</m:t>
              </m:r>
              <m:r>
                <m:t>α</m:t>
              </m:r>
            </m:den>
          </m:f>
          <m:sSub>
            <m:e>
              <m:r>
                <m:rPr>
                  <m:sty m:val="p"/>
                </m:rPr>
                <m:t>|</m:t>
              </m:r>
            </m:e>
            <m:sub>
              <m:sSup>
                <m:e>
                  <m:r>
                    <m:t>x</m:t>
                  </m:r>
                </m:e>
                <m:sup>
                  <m:r>
                    <m:rPr>
                      <m:sty m:val="p"/>
                    </m:rPr>
                    <m:t>*</m:t>
                  </m:r>
                </m:sup>
              </m:sSup>
              <m:r>
                <m:rPr>
                  <m:sty m:val="p"/>
                </m:rPr>
                <m:t>,</m:t>
              </m:r>
              <m:sSup>
                <m:e>
                  <m:r>
                    <m:t>λ</m:t>
                  </m:r>
                </m:e>
                <m:sup>
                  <m:r>
                    <m:rPr>
                      <m:sty m:val="p"/>
                    </m:rPr>
                    <m:t>*</m:t>
                  </m:r>
                </m:sup>
              </m:sSup>
            </m:sub>
          </m:sSub>
        </m:oMath>
      </m:oMathPara>
    </w:p>
    <w:bookmarkEnd w:id="114"/>
    <w:bookmarkStart w:id="115" w:name="aplicações-chave-no-livro"/>
    <w:p>
      <w:pPr>
        <w:pStyle w:val="Heading4"/>
      </w:pPr>
      <w:r>
        <w:t xml:space="preserve">Aplicações-chave no livro</w:t>
      </w:r>
    </w:p>
    <w:p>
      <w:pPr>
        <w:pStyle w:val="FirstParagraph"/>
      </w:pPr>
      <w:r>
        <w:t xml:space="preserve">O Teorema do Envelope é a mãe de vários resultados célebres que aparecerão nos próximos capítulos:</w:t>
      </w:r>
    </w:p>
    <w:tbl>
      <w:tblPr>
        <w:tblStyle w:val="Table"/>
        <w:tblW w:type="pct" w:w="5000"/>
        <w:tblLayout w:type="fixed"/>
        <w:tblLook w:firstRow="1" w:lastRow="0" w:firstColumn="0" w:lastColumn="0" w:noHBand="0" w:noVBand="0" w:val="0020"/>
      </w:tblPr>
      <w:tblGrid>
        <w:gridCol w:w="990"/>
        <w:gridCol w:w="1650"/>
        <w:gridCol w:w="1320"/>
        <w:gridCol w:w="1320"/>
        <w:gridCol w:w="1320"/>
        <w:gridCol w:w="1320"/>
      </w:tblGrid>
      <w:tr>
        <w:trPr>
          <w:tblHeader w:val="on"/>
        </w:trPr>
        <w:tc>
          <w:tcPr/>
          <w:p>
            <w:pPr>
              <w:pStyle w:val="Compact"/>
              <w:jc w:val="left"/>
            </w:pPr>
            <w:r>
              <w:t xml:space="preserve">Resultado</w:t>
            </w:r>
          </w:p>
        </w:tc>
        <w:tc>
          <w:tcPr/>
          <w:p>
            <w:pPr>
              <w:pStyle w:val="Compact"/>
              <w:jc w:val="center"/>
            </w:pPr>
            <w:r>
              <w:t xml:space="preserve">Capítulo</w:t>
            </w:r>
          </w:p>
        </w:tc>
        <w:tc>
          <w:tcPr/>
          <w:p>
            <w:pPr>
              <w:pStyle w:val="Compact"/>
              <w:jc w:val="left"/>
            </w:pPr>
            <w:r>
              <w:t xml:space="preserve">Problema</w:t>
            </w:r>
          </w:p>
        </w:tc>
        <w:tc>
          <w:tcPr/>
          <w:p>
            <w:pPr>
              <w:pStyle w:val="Compact"/>
              <w:jc w:val="left"/>
            </w:pPr>
            <m:oMath>
              <m:r>
                <m:t>α</m:t>
              </m:r>
            </m:oMath>
          </w:p>
        </w:tc>
        <w:tc>
          <w:tcPr/>
          <w:p>
            <w:pPr>
              <w:pStyle w:val="Compact"/>
              <w:jc w:val="left"/>
            </w:pPr>
            <m:oMath>
              <m:r>
                <m:t>V</m:t>
              </m:r>
              <m:r>
                <m:rPr>
                  <m:sty m:val="p"/>
                </m:rPr>
                <m:t>(</m:t>
              </m:r>
              <m:r>
                <m:t>α</m:t>
              </m:r>
              <m:r>
                <m:rPr>
                  <m:sty m:val="p"/>
                </m:rPr>
                <m:t>)</m:t>
              </m:r>
            </m:oMath>
          </w:p>
        </w:tc>
        <w:tc>
          <w:tcPr/>
          <w:p>
            <w:pPr>
              <w:pStyle w:val="Compact"/>
              <w:jc w:val="left"/>
            </w:pPr>
            <w:r>
              <w:t xml:space="preserve">Derivada</w:t>
            </w:r>
          </w:p>
        </w:tc>
      </w:tr>
      <w:tr>
        <w:tc>
          <w:tcPr/>
          <w:p>
            <w:pPr>
              <w:pStyle w:val="Compact"/>
              <w:jc w:val="left"/>
            </w:pPr>
            <w:r>
              <w:rPr>
                <w:b/>
                <w:bCs/>
              </w:rPr>
              <w:t xml:space="preserve">Identidade de Roy</w:t>
            </w:r>
          </w:p>
        </w:tc>
        <w:tc>
          <w:tcPr/>
          <w:p>
            <w:pPr>
              <w:pStyle w:val="Compact"/>
              <w:jc w:val="center"/>
            </w:pPr>
            <w:r>
              <w:t xml:space="preserve">4 (Cap. 4)</w:t>
            </w:r>
          </w:p>
        </w:tc>
        <w:tc>
          <w:tcPr/>
          <w:p>
            <w:pPr>
              <w:pStyle w:val="Compact"/>
              <w:jc w:val="left"/>
            </w:pPr>
            <w:r>
              <w:t xml:space="preserve">Max</w:t>
            </w:r>
            <w:r>
              <w:t xml:space="preserve"> </w:t>
            </w:r>
            <m:oMath>
              <m:r>
                <m:t>U</m:t>
              </m:r>
            </m:oMath>
            <w:r>
              <w:t xml:space="preserve"> </w:t>
            </w:r>
            <w:r>
              <w:t xml:space="preserve">s.a.</w:t>
            </w:r>
            <w:r>
              <w:t xml:space="preserve"> </w:t>
            </w:r>
            <m:oMath>
              <m:r>
                <m:t>p</m:t>
              </m:r>
              <m:r>
                <m:t>x</m:t>
              </m:r>
              <m:r>
                <m:rPr>
                  <m:sty m:val="p"/>
                </m:rPr>
                <m:t>=</m:t>
              </m:r>
              <m:r>
                <m:t>m</m:t>
              </m:r>
            </m:oMath>
          </w:p>
        </w:tc>
        <w:tc>
          <w:tcPr/>
          <w:p>
            <w:pPr>
              <w:pStyle w:val="Compact"/>
              <w:jc w:val="left"/>
            </w:pPr>
            <m:oMath>
              <m:sSub>
                <m:e>
                  <m:r>
                    <m:t>p</m:t>
                  </m:r>
                </m:e>
                <m:sub>
                  <m:r>
                    <m:t>i</m:t>
                  </m:r>
                </m:sub>
              </m:sSub>
            </m:oMath>
          </w:p>
        </w:tc>
        <w:tc>
          <w:tcPr/>
          <w:p>
            <w:pPr>
              <w:pStyle w:val="Compact"/>
              <w:jc w:val="left"/>
            </w:pPr>
            <m:oMath>
              <m:r>
                <m:t>V</m:t>
              </m:r>
              <m:r>
                <m:rPr>
                  <m:sty m:val="p"/>
                </m:rPr>
                <m:t>(</m:t>
              </m:r>
              <m:r>
                <m:t>p</m:t>
              </m:r>
              <m:r>
                <m:rPr>
                  <m:sty m:val="p"/>
                </m:rPr>
                <m:t>,</m:t>
              </m:r>
              <m:r>
                <m:t>m</m:t>
              </m:r>
              <m:r>
                <m:rPr>
                  <m:sty m:val="p"/>
                </m:rPr>
                <m:t>)</m:t>
              </m:r>
            </m:oMath>
          </w:p>
        </w:tc>
        <w:tc>
          <w:tcPr/>
          <w:p>
            <w:pPr>
              <w:pStyle w:val="Compact"/>
              <w:jc w:val="left"/>
            </w:pPr>
            <m:oMath>
              <m:sSubSup>
                <m:e>
                  <m:r>
                    <m:t>x</m:t>
                  </m:r>
                </m:e>
                <m:sub>
                  <m:r>
                    <m:t>i</m:t>
                  </m:r>
                </m:sub>
                <m:sup>
                  <m:r>
                    <m:rPr>
                      <m:sty m:val="p"/>
                    </m:rPr>
                    <m:t>*</m:t>
                  </m:r>
                </m:sup>
              </m:sSubSup>
              <m:r>
                <m:rPr>
                  <m:sty m:val="p"/>
                </m:rPr>
                <m:t>=</m:t>
              </m:r>
              <m:r>
                <m:rPr>
                  <m:sty m:val="p"/>
                </m:rPr>
                <m:t>−</m:t>
              </m:r>
              <m:f>
                <m:fPr>
                  <m:type m:val="bar"/>
                </m:fPr>
                <m:num>
                  <m:r>
                    <m:rPr>
                      <m:sty m:val="p"/>
                    </m:rPr>
                    <m:t>∂</m:t>
                  </m:r>
                  <m:r>
                    <m:t>V</m:t>
                  </m:r>
                  <m:r>
                    <m:rPr>
                      <m:sty m:val="p"/>
                    </m:rPr>
                    <m:t>/</m:t>
                  </m:r>
                  <m:r>
                    <m:rPr>
                      <m:sty m:val="p"/>
                    </m:rPr>
                    <m:t>∂</m:t>
                  </m:r>
                  <m:sSub>
                    <m:e>
                      <m:r>
                        <m:t>p</m:t>
                      </m:r>
                    </m:e>
                    <m:sub>
                      <m:r>
                        <m:t>i</m:t>
                      </m:r>
                    </m:sub>
                  </m:sSub>
                </m:num>
                <m:den>
                  <m:r>
                    <m:rPr>
                      <m:sty m:val="p"/>
                    </m:rPr>
                    <m:t>∂</m:t>
                  </m:r>
                  <m:r>
                    <m:t>V</m:t>
                  </m:r>
                  <m:r>
                    <m:rPr>
                      <m:sty m:val="p"/>
                    </m:rPr>
                    <m:t>/</m:t>
                  </m:r>
                  <m:r>
                    <m:rPr>
                      <m:sty m:val="p"/>
                    </m:rPr>
                    <m:t>∂</m:t>
                  </m:r>
                  <m:r>
                    <m:t>m</m:t>
                  </m:r>
                </m:den>
              </m:f>
            </m:oMath>
          </w:p>
        </w:tc>
      </w:tr>
      <w:tr>
        <w:tc>
          <w:tcPr/>
          <w:p>
            <w:pPr>
              <w:pStyle w:val="Compact"/>
              <w:jc w:val="left"/>
            </w:pPr>
            <w:r>
              <w:rPr>
                <w:b/>
                <w:bCs/>
              </w:rPr>
              <w:t xml:space="preserve">Lema de Shephard</w:t>
            </w:r>
          </w:p>
        </w:tc>
        <w:tc>
          <w:tcPr/>
          <w:p>
            <w:pPr>
              <w:pStyle w:val="Compact"/>
              <w:jc w:val="center"/>
            </w:pPr>
            <w:r>
              <w:t xml:space="preserve">11 (Cap. 11)</w:t>
            </w:r>
          </w:p>
        </w:tc>
        <w:tc>
          <w:tcPr/>
          <w:p>
            <w:pPr>
              <w:pStyle w:val="Compact"/>
              <w:jc w:val="left"/>
            </w:pPr>
            <w:r>
              <w:t xml:space="preserve">Min</w:t>
            </w:r>
            <w:r>
              <w:t xml:space="preserve"> </w:t>
            </w:r>
            <m:oMath>
              <m:r>
                <m:t>w</m:t>
              </m:r>
              <m:r>
                <m:t>x</m:t>
              </m:r>
            </m:oMath>
            <w:r>
              <w:t xml:space="preserve"> </w:t>
            </w:r>
            <w:r>
              <w:t xml:space="preserve">s.a.</w:t>
            </w:r>
            <w:r>
              <w:t xml:space="preserve"> </w:t>
            </w:r>
            <m:oMath>
              <m:r>
                <m:t>f</m:t>
              </m:r>
              <m:r>
                <m:rPr>
                  <m:sty m:val="p"/>
                </m:rPr>
                <m:t>(</m:t>
              </m:r>
              <m:r>
                <m:t>x</m:t>
              </m:r>
              <m:r>
                <m:rPr>
                  <m:sty m:val="p"/>
                </m:rPr>
                <m:t>)</m:t>
              </m:r>
              <m:r>
                <m:rPr>
                  <m:sty m:val="p"/>
                </m:rPr>
                <m:t>=</m:t>
              </m:r>
              <m:acc>
                <m:accPr>
                  <m:chr m:val="‾"/>
                </m:accPr>
                <m:e>
                  <m:r>
                    <m:t>q</m:t>
                  </m:r>
                </m:e>
              </m:acc>
            </m:oMath>
          </w:p>
        </w:tc>
        <w:tc>
          <w:tcPr/>
          <w:p>
            <w:pPr>
              <w:pStyle w:val="Compact"/>
              <w:jc w:val="left"/>
            </w:pPr>
            <m:oMath>
              <m:sSub>
                <m:e>
                  <m:r>
                    <m:t>w</m:t>
                  </m:r>
                </m:e>
                <m:sub>
                  <m:r>
                    <m:t>i</m:t>
                  </m:r>
                </m:sub>
              </m:sSub>
            </m:oMath>
          </w:p>
        </w:tc>
        <w:tc>
          <w:tcPr/>
          <w:p>
            <w:pPr>
              <w:pStyle w:val="Compact"/>
              <w:jc w:val="left"/>
            </w:pPr>
            <m:oMath>
              <m:r>
                <m:t>C</m:t>
              </m:r>
              <m:r>
                <m:rPr>
                  <m:sty m:val="p"/>
                </m:rPr>
                <m:t>(</m:t>
              </m:r>
              <m:r>
                <m:t>w</m:t>
              </m:r>
              <m:r>
                <m:rPr>
                  <m:sty m:val="p"/>
                </m:rPr>
                <m:t>,</m:t>
              </m:r>
              <m:acc>
                <m:accPr>
                  <m:chr m:val="‾"/>
                </m:accPr>
                <m:e>
                  <m:r>
                    <m:t>q</m:t>
                  </m:r>
                </m:e>
              </m:acc>
              <m:r>
                <m:rPr>
                  <m:sty m:val="p"/>
                </m:rPr>
                <m:t>)</m:t>
              </m:r>
            </m:oMath>
          </w:p>
        </w:tc>
        <w:tc>
          <w:tcPr/>
          <w:p>
            <w:pPr>
              <w:pStyle w:val="Compact"/>
              <w:jc w:val="left"/>
            </w:pPr>
            <m:oMath>
              <m:sSubSup>
                <m:e>
                  <m:r>
                    <m:t>x</m:t>
                  </m:r>
                </m:e>
                <m:sub>
                  <m:r>
                    <m:t>i</m:t>
                  </m:r>
                </m:sub>
                <m:sup>
                  <m:r>
                    <m:t>c</m:t>
                  </m:r>
                </m:sup>
              </m:sSubSup>
              <m:r>
                <m:rPr>
                  <m:sty m:val="p"/>
                </m:rPr>
                <m:t>=</m:t>
              </m:r>
              <m:f>
                <m:fPr>
                  <m:type m:val="bar"/>
                </m:fPr>
                <m:num>
                  <m:r>
                    <m:rPr>
                      <m:sty m:val="p"/>
                    </m:rPr>
                    <m:t>∂</m:t>
                  </m:r>
                  <m:r>
                    <m:t>C</m:t>
                  </m:r>
                </m:num>
                <m:den>
                  <m:r>
                    <m:rPr>
                      <m:sty m:val="p"/>
                    </m:rPr>
                    <m:t>∂</m:t>
                  </m:r>
                  <m:sSub>
                    <m:e>
                      <m:r>
                        <m:t>w</m:t>
                      </m:r>
                    </m:e>
                    <m:sub>
                      <m:r>
                        <m:t>i</m:t>
                      </m:r>
                    </m:sub>
                  </m:sSub>
                </m:den>
              </m:f>
            </m:oMath>
          </w:p>
        </w:tc>
      </w:tr>
      <w:tr>
        <w:tc>
          <w:tcPr/>
          <w:p>
            <w:pPr>
              <w:pStyle w:val="Compact"/>
              <w:jc w:val="left"/>
            </w:pPr>
            <w:r>
              <w:rPr>
                <w:b/>
                <w:bCs/>
              </w:rPr>
              <w:t xml:space="preserve">Lema de Hotelling</w:t>
            </w:r>
          </w:p>
        </w:tc>
        <w:tc>
          <w:tcPr/>
          <w:p>
            <w:pPr>
              <w:pStyle w:val="Compact"/>
              <w:jc w:val="center"/>
            </w:pPr>
            <w:r>
              <w:t xml:space="preserve">12 (Cap. 12)</w:t>
            </w:r>
          </w:p>
        </w:tc>
        <w:tc>
          <w:tcPr/>
          <w:p>
            <w:pPr>
              <w:pStyle w:val="Compact"/>
              <w:jc w:val="left"/>
            </w:pPr>
            <w:r>
              <w:t xml:space="preserve">Max</w:t>
            </w:r>
            <w:r>
              <w:t xml:space="preserve"> </w:t>
            </w:r>
            <m:oMath>
              <m:r>
                <m:t>p</m:t>
              </m:r>
              <m:r>
                <m:t>q</m:t>
              </m:r>
              <m:r>
                <m:rPr>
                  <m:sty m:val="p"/>
                </m:rPr>
                <m:t>−</m:t>
              </m:r>
              <m:r>
                <m:t>C</m:t>
              </m:r>
              <m:r>
                <m:rPr>
                  <m:sty m:val="p"/>
                </m:rPr>
                <m:t>(</m:t>
              </m:r>
              <m:r>
                <m:t>q</m:t>
              </m:r>
              <m:r>
                <m:rPr>
                  <m:sty m:val="p"/>
                </m:rPr>
                <m:t>)</m:t>
              </m:r>
            </m:oMath>
          </w:p>
        </w:tc>
        <w:tc>
          <w:tcPr/>
          <w:p>
            <w:pPr>
              <w:pStyle w:val="Compact"/>
              <w:jc w:val="left"/>
            </w:pPr>
            <m:oMath>
              <m:r>
                <m:t>p</m:t>
              </m:r>
            </m:oMath>
          </w:p>
        </w:tc>
        <w:tc>
          <w:tcPr/>
          <w:p>
            <w:pPr>
              <w:pStyle w:val="Compact"/>
              <w:jc w:val="left"/>
            </w:pPr>
            <m:oMath>
              <m:sSup>
                <m:e>
                  <m:r>
                    <m:t>π</m:t>
                  </m:r>
                </m:e>
                <m:sup>
                  <m:r>
                    <m:rPr>
                      <m:sty m:val="p"/>
                    </m:rPr>
                    <m:t>*</m:t>
                  </m:r>
                </m:sup>
              </m:sSup>
              <m:r>
                <m:rPr>
                  <m:sty m:val="p"/>
                </m:rPr>
                <m:t>(</m:t>
              </m:r>
              <m:r>
                <m:t>p</m:t>
              </m:r>
              <m:r>
                <m:rPr>
                  <m:sty m:val="p"/>
                </m:rPr>
                <m:t>,</m:t>
              </m:r>
              <m:r>
                <m:t>w</m:t>
              </m:r>
              <m:r>
                <m:rPr>
                  <m:sty m:val="p"/>
                </m:rPr>
                <m:t>)</m:t>
              </m:r>
            </m:oMath>
          </w:p>
        </w:tc>
        <w:tc>
          <w:tcPr/>
          <w:p>
            <w:pPr>
              <w:pStyle w:val="Compact"/>
              <w:jc w:val="left"/>
            </w:pPr>
            <m:oMath>
              <m:sSup>
                <m:e>
                  <m:r>
                    <m:t>q</m:t>
                  </m:r>
                </m:e>
                <m:sup>
                  <m:r>
                    <m:rPr>
                      <m:sty m:val="p"/>
                    </m:rPr>
                    <m:t>*</m:t>
                  </m:r>
                </m:sup>
              </m:sSup>
              <m:r>
                <m:rPr>
                  <m:sty m:val="p"/>
                </m:rPr>
                <m:t>=</m:t>
              </m:r>
              <m:f>
                <m:fPr>
                  <m:type m:val="bar"/>
                </m:fPr>
                <m:num>
                  <m:r>
                    <m:rPr>
                      <m:sty m:val="p"/>
                    </m:rPr>
                    <m:t>∂</m:t>
                  </m:r>
                  <m:sSup>
                    <m:e>
                      <m:r>
                        <m:t>π</m:t>
                      </m:r>
                    </m:e>
                    <m:sup>
                      <m:r>
                        <m:rPr>
                          <m:sty m:val="p"/>
                        </m:rPr>
                        <m:t>*</m:t>
                      </m:r>
                    </m:sup>
                  </m:sSup>
                </m:num>
                <m:den>
                  <m:r>
                    <m:rPr>
                      <m:sty m:val="p"/>
                    </m:rPr>
                    <m:t>∂</m:t>
                  </m:r>
                  <m:r>
                    <m:t>p</m:t>
                  </m:r>
                </m:den>
              </m:f>
            </m:oMath>
          </w:p>
        </w:tc>
      </w:tr>
    </w:tbl>
    <w:p>
      <w:pPr>
        <w:pStyle w:val="BlockText"/>
      </w:pPr>
      <w:r>
        <w:rPr>
          <w:b/>
          <w:bCs/>
        </w:rPr>
        <w:t xml:space="preserve">[INTUICAO ECONOMICA] Intuição Econômica</w:t>
      </w:r>
    </w:p>
    <w:p>
      <w:pPr>
        <w:pStyle w:val="BlockText"/>
      </w:pPr>
      <w:r>
        <w:rPr>
          <w:b/>
          <w:bCs/>
        </w:rPr>
        <w:t xml:space="preserve">Em uma frase:</w:t>
      </w:r>
      <w:r>
        <w:t xml:space="preserve"> </w:t>
      </w:r>
      <w:r>
        <w:t xml:space="preserve">Shephard, Roy e Hotelling não são três resultados diferentes — são três fantasias que o Teorema do Envelope veste para ir a festas diferentes.</w:t>
      </w:r>
    </w:p>
    <w:p>
      <w:pPr>
        <w:pStyle w:val="BlockText"/>
      </w:pPr>
      <w:r>
        <w:rPr>
          <w:b/>
          <w:bCs/>
        </w:rPr>
        <w:t xml:space="preserve">Por que isso importa:</w:t>
      </w:r>
      <w:r>
        <w:t xml:space="preserve"> </w:t>
      </w:r>
      <w:r>
        <w:t xml:space="preserve">Essa unificação é uma das belezas ocultas da microeconomia. Se você entende o envelope, entende 80% da maquinaria de dualidade dos Capítulos 4–5 e 10–12 de uma vez.</w:t>
      </w:r>
    </w:p>
    <w:p>
      <w:pPr>
        <w:pStyle w:val="BlockText"/>
      </w:pPr>
      <w:r>
        <w:rPr>
          <w:b/>
          <w:bCs/>
        </w:rPr>
        <w:t xml:space="preserve">[EXEMPLO] Exemplo: Envelope na função lucro</w:t>
      </w:r>
    </w:p>
    <w:p>
      <w:pPr>
        <w:pStyle w:val="BlockText"/>
      </w:pPr>
      <w:r>
        <w:t xml:space="preserve">Firma com</w:t>
      </w:r>
      <w:r>
        <w:t xml:space="preserve"> </w:t>
      </w:r>
      <m:oMath>
        <m:r>
          <m:t>π</m:t>
        </m:r>
        <m:r>
          <m:rPr>
            <m:sty m:val="p"/>
          </m:rPr>
          <m:t>(</m:t>
        </m:r>
        <m:r>
          <m:t>q</m:t>
        </m:r>
        <m:r>
          <m:rPr>
            <m:sty m:val="p"/>
          </m:rPr>
          <m:t>;</m:t>
        </m:r>
        <m:r>
          <m:t>p</m:t>
        </m:r>
        <m:r>
          <m:rPr>
            <m:sty m:val="p"/>
          </m:rPr>
          <m:t>)</m:t>
        </m:r>
        <m:r>
          <m:rPr>
            <m:sty m:val="p"/>
          </m:rPr>
          <m:t>=</m:t>
        </m:r>
        <m:r>
          <m:t>p</m:t>
        </m:r>
        <m:r>
          <m:t>q</m:t>
        </m:r>
        <m:r>
          <m:rPr>
            <m:sty m:val="p"/>
          </m:rPr>
          <m:t>−</m:t>
        </m:r>
        <m:sSup>
          <m:e>
            <m:r>
              <m:t>q</m:t>
            </m:r>
          </m:e>
          <m:sup>
            <m:r>
              <m:t>2</m:t>
            </m:r>
          </m:sup>
        </m:sSup>
      </m:oMath>
      <w:r>
        <w:t xml:space="preserve">. CPO:</w:t>
      </w:r>
      <w:r>
        <w:t xml:space="preserve"> </w:t>
      </w:r>
      <m:oMath>
        <m:r>
          <m:t>p</m:t>
        </m:r>
        <m:r>
          <m:rPr>
            <m:sty m:val="p"/>
          </m:rPr>
          <m:t>−</m:t>
        </m:r>
        <m:r>
          <m:t>2</m:t>
        </m:r>
        <m:r>
          <m:t>q</m:t>
        </m:r>
        <m:r>
          <m:rPr>
            <m:sty m:val="p"/>
          </m:rPr>
          <m:t>=</m:t>
        </m:r>
        <m:r>
          <m:t>0</m:t>
        </m:r>
        <m:r>
          <m:rPr>
            <m:sty m:val="p"/>
          </m:rPr>
          <m:t>⇒</m:t>
        </m:r>
        <m:sSup>
          <m:e>
            <m:r>
              <m:t>q</m:t>
            </m:r>
          </m:e>
          <m:sup>
            <m:r>
              <m:rPr>
                <m:sty m:val="p"/>
              </m:rPr>
              <m:t>*</m:t>
            </m:r>
          </m:sup>
        </m:sSup>
        <m:r>
          <m:rPr>
            <m:sty m:val="p"/>
          </m:rPr>
          <m:t>(</m:t>
        </m:r>
        <m:r>
          <m:t>p</m:t>
        </m:r>
        <m:r>
          <m:rPr>
            <m:sty m:val="p"/>
          </m:rPr>
          <m:t>)</m:t>
        </m:r>
        <m:r>
          <m:rPr>
            <m:sty m:val="p"/>
          </m:rPr>
          <m:t>=</m:t>
        </m:r>
        <m:r>
          <m:t>p</m:t>
        </m:r>
        <m:r>
          <m:rPr>
            <m:sty m:val="p"/>
          </m:rPr>
          <m:t>/</m:t>
        </m:r>
        <m:r>
          <m:t>2</m:t>
        </m:r>
      </m:oMath>
      <w:r>
        <w:t xml:space="preserve">.</w:t>
      </w:r>
    </w:p>
    <w:p>
      <w:pPr>
        <w:pStyle w:val="BlockText"/>
      </w:pPr>
      <w:r>
        <w:t xml:space="preserve">Valor ótimo:</w:t>
      </w:r>
      <w:r>
        <w:t xml:space="preserve"> </w:t>
      </w:r>
      <m:oMath>
        <m:sSup>
          <m:e>
            <m:r>
              <m:t>π</m:t>
            </m:r>
          </m:e>
          <m:sup>
            <m:r>
              <m:rPr>
                <m:sty m:val="p"/>
              </m:rPr>
              <m:t>*</m:t>
            </m:r>
          </m:sup>
        </m:sSup>
        <m:r>
          <m:rPr>
            <m:sty m:val="p"/>
          </m:rPr>
          <m:t>(</m:t>
        </m:r>
        <m:r>
          <m:t>p</m:t>
        </m:r>
        <m:r>
          <m:rPr>
            <m:sty m:val="p"/>
          </m:rPr>
          <m:t>)</m:t>
        </m:r>
        <m:r>
          <m:rPr>
            <m:sty m:val="p"/>
          </m:rPr>
          <m:t>=</m:t>
        </m:r>
        <m:r>
          <m:t>p</m:t>
        </m:r>
        <m:r>
          <m:rPr>
            <m:sty m:val="p"/>
          </m:rPr>
          <m:t>⋅</m:t>
        </m:r>
        <m:r>
          <m:t>p</m:t>
        </m:r>
        <m:r>
          <m:rPr>
            <m:sty m:val="p"/>
          </m:rPr>
          <m:t>/</m:t>
        </m:r>
        <m:r>
          <m:t>2</m:t>
        </m:r>
        <m:r>
          <m:rPr>
            <m:sty m:val="p"/>
          </m:rPr>
          <m:t>−</m:t>
        </m:r>
        <m:r>
          <m:rPr>
            <m:sty m:val="p"/>
          </m:rPr>
          <m:t>(</m:t>
        </m:r>
        <m:r>
          <m:t>p</m:t>
        </m:r>
        <m:r>
          <m:rPr>
            <m:sty m:val="p"/>
          </m:rPr>
          <m:t>/</m:t>
        </m:r>
        <m:r>
          <m:t>2</m:t>
        </m:r>
        <m:sSup>
          <m:e>
            <m:r>
              <m:rPr>
                <m:sty m:val="p"/>
              </m:rPr>
              <m:t>)</m:t>
            </m:r>
          </m:e>
          <m:sup>
            <m:r>
              <m:t>2</m:t>
            </m:r>
          </m:sup>
        </m:sSup>
        <m:r>
          <m:rPr>
            <m:sty m:val="p"/>
          </m:rPr>
          <m:t>=</m:t>
        </m:r>
        <m:sSup>
          <m:e>
            <m:r>
              <m:t>p</m:t>
            </m:r>
          </m:e>
          <m:sup>
            <m:r>
              <m:t>2</m:t>
            </m:r>
          </m:sup>
        </m:sSup>
        <m:r>
          <m:rPr>
            <m:sty m:val="p"/>
          </m:rPr>
          <m:t>/</m:t>
        </m:r>
        <m:r>
          <m:t>4</m:t>
        </m:r>
      </m:oMath>
      <w:r>
        <w:t xml:space="preserve">.</w:t>
      </w:r>
    </w:p>
    <w:p>
      <w:pPr>
        <w:pStyle w:val="BlockText"/>
      </w:pPr>
      <w:r>
        <w:rPr>
          <w:b/>
          <w:bCs/>
        </w:rPr>
        <w:t xml:space="preserve">Pelo Teorema do Envelope:</w:t>
      </w:r>
      <w:r>
        <w:t xml:space="preserve"> </w:t>
      </w:r>
      <m:oMath>
        <m:r>
          <m:t>d</m:t>
        </m:r>
        <m:sSup>
          <m:e>
            <m:r>
              <m:t>π</m:t>
            </m:r>
          </m:e>
          <m:sup>
            <m:r>
              <m:rPr>
                <m:sty m:val="p"/>
              </m:rPr>
              <m:t>*</m:t>
            </m:r>
          </m:sup>
        </m:sSup>
        <m:r>
          <m:rPr>
            <m:sty m:val="p"/>
          </m:rPr>
          <m:t>/</m:t>
        </m:r>
        <m:r>
          <m:t>d</m:t>
        </m:r>
        <m:r>
          <m:t>p</m:t>
        </m:r>
        <m:r>
          <m:rPr>
            <m:sty m:val="p"/>
          </m:rPr>
          <m:t>=</m:t>
        </m:r>
        <m:r>
          <m:rPr>
            <m:sty m:val="p"/>
          </m:rPr>
          <m:t>∂</m:t>
        </m:r>
        <m:r>
          <m:rPr>
            <m:sty m:val="p"/>
          </m:rPr>
          <m:t>(</m:t>
        </m:r>
        <m:r>
          <m:t>p</m:t>
        </m:r>
        <m:r>
          <m:t>q</m:t>
        </m:r>
        <m:r>
          <m:rPr>
            <m:sty m:val="p"/>
          </m:rPr>
          <m:t>−</m:t>
        </m:r>
        <m:sSup>
          <m:e>
            <m:r>
              <m:t>q</m:t>
            </m:r>
          </m:e>
          <m:sup>
            <m:r>
              <m:t>2</m:t>
            </m:r>
          </m:sup>
        </m:sSup>
        <m:r>
          <m:rPr>
            <m:sty m:val="p"/>
          </m:rPr>
          <m:t>)</m:t>
        </m:r>
        <m:r>
          <m:rPr>
            <m:sty m:val="p"/>
          </m:rPr>
          <m:t>/</m:t>
        </m:r>
        <m:r>
          <m:rPr>
            <m:sty m:val="p"/>
          </m:rPr>
          <m:t>∂</m:t>
        </m:r>
        <m:r>
          <m:t>p</m:t>
        </m:r>
        <m:sSub>
          <m:e>
            <m:r>
              <m:rPr>
                <m:sty m:val="p"/>
              </m:rPr>
              <m:t>|</m:t>
            </m:r>
          </m:e>
          <m:sub>
            <m:r>
              <m:t>q</m:t>
            </m:r>
            <m:r>
              <m:rPr>
                <m:sty m:val="p"/>
              </m:rPr>
              <m:t>=</m:t>
            </m:r>
            <m:sSup>
              <m:e>
                <m:r>
                  <m:t>q</m:t>
                </m:r>
              </m:e>
              <m:sup>
                <m:r>
                  <m:rPr>
                    <m:sty m:val="p"/>
                  </m:rPr>
                  <m:t>*</m:t>
                </m:r>
              </m:sup>
            </m:sSup>
          </m:sub>
        </m:sSub>
        <m:r>
          <m:rPr>
            <m:sty m:val="p"/>
          </m:rPr>
          <m:t>=</m:t>
        </m:r>
        <m:sSup>
          <m:e>
            <m:r>
              <m:t>q</m:t>
            </m:r>
          </m:e>
          <m:sup>
            <m:r>
              <m:rPr>
                <m:sty m:val="p"/>
              </m:rPr>
              <m:t>*</m:t>
            </m:r>
          </m:sup>
        </m:sSup>
        <m:r>
          <m:rPr>
            <m:sty m:val="p"/>
          </m:rPr>
          <m:t>=</m:t>
        </m:r>
        <m:r>
          <m:t>p</m:t>
        </m:r>
        <m:r>
          <m:rPr>
            <m:sty m:val="p"/>
          </m:rPr>
          <m:t>/</m:t>
        </m:r>
        <m:r>
          <m:t>2</m:t>
        </m:r>
      </m:oMath>
      <w:r>
        <w:t xml:space="preserve"> </w:t>
      </w:r>
      <w:r>
        <w:t xml:space="preserve">✓</w:t>
      </w:r>
    </w:p>
    <w:p>
      <w:pPr>
        <w:pStyle w:val="BlockText"/>
      </w:pPr>
      <w:r>
        <w:rPr>
          <w:b/>
          <w:bCs/>
        </w:rPr>
        <w:t xml:space="preserve">Pela derivada direta:</w:t>
      </w:r>
      <w:r>
        <w:t xml:space="preserve"> </w:t>
      </w:r>
      <m:oMath>
        <m:r>
          <m:t>d</m:t>
        </m:r>
        <m:r>
          <m:rPr>
            <m:sty m:val="p"/>
          </m:rPr>
          <m:t>(</m:t>
        </m:r>
        <m:sSup>
          <m:e>
            <m:r>
              <m:t>p</m:t>
            </m:r>
          </m:e>
          <m:sup>
            <m:r>
              <m:t>2</m:t>
            </m:r>
          </m:sup>
        </m:sSup>
        <m:r>
          <m:rPr>
            <m:sty m:val="p"/>
          </m:rPr>
          <m:t>/</m:t>
        </m:r>
        <m:r>
          <m:t>4</m:t>
        </m:r>
        <m:r>
          <m:rPr>
            <m:sty m:val="p"/>
          </m:rPr>
          <m:t>)</m:t>
        </m:r>
        <m:r>
          <m:rPr>
            <m:sty m:val="p"/>
          </m:rPr>
          <m:t>/</m:t>
        </m:r>
        <m:r>
          <m:t>d</m:t>
        </m:r>
        <m:r>
          <m:t>p</m:t>
        </m:r>
        <m:r>
          <m:rPr>
            <m:sty m:val="p"/>
          </m:rPr>
          <m:t>=</m:t>
        </m:r>
        <m:r>
          <m:t>p</m:t>
        </m:r>
        <m:r>
          <m:rPr>
            <m:sty m:val="p"/>
          </m:rPr>
          <m:t>/</m:t>
        </m:r>
        <m:r>
          <m:t>2</m:t>
        </m:r>
      </m:oMath>
      <w:r>
        <w:t xml:space="preserve"> </w:t>
      </w:r>
      <w:r>
        <w:t xml:space="preserve">✓</w:t>
      </w:r>
    </w:p>
    <w:p>
      <w:pPr>
        <w:pStyle w:val="BlockText"/>
      </w:pPr>
      <w:r>
        <w:t xml:space="preserve">O envelope nos deu a resposta sem precisar substituir</w:t>
      </w:r>
      <w:r>
        <w:t xml:space="preserve"> </w:t>
      </w:r>
      <m:oMath>
        <m:sSup>
          <m:e>
            <m:r>
              <m:t>q</m:t>
            </m:r>
          </m:e>
          <m:sup>
            <m:r>
              <m:rPr>
                <m:sty m:val="p"/>
              </m:rPr>
              <m:t>*</m:t>
            </m:r>
          </m:sup>
        </m:sSup>
        <m:r>
          <m:rPr>
            <m:sty m:val="p"/>
          </m:rPr>
          <m:t>(</m:t>
        </m:r>
        <m:r>
          <m:t>p</m:t>
        </m:r>
        <m:r>
          <m:rPr>
            <m:sty m:val="p"/>
          </m:rPr>
          <m:t>)</m:t>
        </m:r>
      </m:oMath>
      <w:r>
        <w:t xml:space="preserve"> </w:t>
      </w:r>
      <w:r>
        <w:t xml:space="preserve">na função objetivo — a economia de trabalho é enorme em problemas mais complexos.</w:t>
      </w:r>
    </w:p>
    <w:p>
      <w:pPr>
        <w:pStyle w:val="BlockText"/>
      </w:pPr>
      <w:r>
        <w:rPr>
          <w:b/>
          <w:bCs/>
        </w:rPr>
        <w:t xml:space="preserve">[BRASIL] Envelope e a Taxa Selic</w:t>
      </w:r>
    </w:p>
    <w:p>
      <w:pPr>
        <w:pStyle w:val="BlockText"/>
      </w:pPr>
      <w:r>
        <w:rPr>
          <w:b/>
          <w:bCs/>
        </w:rPr>
        <w:t xml:space="preserve">Aplicação macroeconômica com sabor micro.</w:t>
      </w:r>
      <w:r>
        <w:t xml:space="preserve"> </w:t>
      </w:r>
      <w:r>
        <w:t xml:space="preserve">Considere uma firma brasileira que maximiza lucro intertemporal descontando fluxos futuros à taxa Selic</w:t>
      </w:r>
      <w:r>
        <w:t xml:space="preserve"> </w:t>
      </w:r>
      <m:oMath>
        <m:r>
          <m:t>r</m:t>
        </m:r>
      </m:oMath>
      <w:r>
        <w:t xml:space="preserve">. O valor ótimo do investimento é</w:t>
      </w:r>
      <w:r>
        <w:t xml:space="preserve"> </w:t>
      </w:r>
      <m:oMath>
        <m:sSup>
          <m:e>
            <m:r>
              <m:t>V</m:t>
            </m:r>
          </m:e>
          <m:sup>
            <m:r>
              <m:rPr>
                <m:sty m:val="p"/>
              </m:rPr>
              <m:t>*</m:t>
            </m:r>
          </m:sup>
        </m:sSup>
        <m:r>
          <m:rPr>
            <m:sty m:val="p"/>
          </m:rPr>
          <m:t>(</m:t>
        </m:r>
        <m:r>
          <m:t>r</m:t>
        </m:r>
        <m:r>
          <m:rPr>
            <m:sty m:val="p"/>
          </m:rPr>
          <m:t>)</m:t>
        </m:r>
      </m:oMath>
      <w:r>
        <w:t xml:space="preserve">. Pelo Teorema do Envelope, o impacto de uma mudança marginal na Selic sobre o valor da firma é simplesmente a derivada parcial em relação a</w:t>
      </w:r>
      <w:r>
        <w:t xml:space="preserve"> </w:t>
      </w:r>
      <m:oMath>
        <m:r>
          <m:t>r</m:t>
        </m:r>
      </m:oMath>
      <w:r>
        <w:t xml:space="preserve"> </w:t>
      </w:r>
      <w:r>
        <w:t xml:space="preserve">avaliada no plano ótimo de investimento —</w:t>
      </w:r>
      <w:r>
        <w:t xml:space="preserve"> </w:t>
      </w:r>
      <w:r>
        <w:rPr>
          <w:b/>
          <w:bCs/>
        </w:rPr>
        <w:t xml:space="preserve">sem precisar recalcular o plano inteiro</w:t>
      </w:r>
      <w:r>
        <w:t xml:space="preserve">.</w:t>
      </w:r>
    </w:p>
    <w:p>
      <w:pPr>
        <w:pStyle w:val="BlockText"/>
      </w:pPr>
      <w:r>
        <w:t xml:space="preserve">Quando o Copom elevou a Selic de 2,0% (mínima histórica em 2020) para 13,75% (pico em 2023), o envelope nos diz que</w:t>
      </w:r>
      <w:r>
        <w:t xml:space="preserve"> </w:t>
      </w:r>
      <m:oMath>
        <m:r>
          <m:t>d</m:t>
        </m:r>
        <m:sSup>
          <m:e>
            <m:r>
              <m:t>V</m:t>
            </m:r>
          </m:e>
          <m:sup>
            <m:r>
              <m:rPr>
                <m:sty m:val="p"/>
              </m:rPr>
              <m:t>*</m:t>
            </m:r>
          </m:sup>
        </m:sSup>
        <m:r>
          <m:rPr>
            <m:sty m:val="p"/>
          </m:rPr>
          <m:t>/</m:t>
        </m:r>
        <m:r>
          <m:t>d</m:t>
        </m:r>
        <m:r>
          <m:t>r</m:t>
        </m:r>
        <m:r>
          <m:rPr>
            <m:sty m:val="p"/>
          </m:rPr>
          <m:t>&lt;</m:t>
        </m:r>
        <m:r>
          <m:t>0</m:t>
        </m:r>
      </m:oMath>
      <w:r>
        <w:t xml:space="preserve"> </w:t>
      </w:r>
      <w:r>
        <w:t xml:space="preserve">(cada ponto percentual destrói valor). Mas a magnitude depende da duração dos projetos: firmas de infraestrutura (fluxos em 20 anos) sofrem mais que comércios varejistas (fluxos em 2 anos) — formalização direta da relação entre</w:t>
      </w:r>
      <w:r>
        <w:t xml:space="preserve"> </w:t>
      </w:r>
      <m:oMath>
        <m:sSup>
          <m:e>
            <m:r>
              <m:rPr>
                <m:sty m:val="p"/>
              </m:rPr>
              <m:t>∂</m:t>
            </m:r>
          </m:e>
          <m:sup>
            <m:r>
              <m:t>2</m:t>
            </m:r>
          </m:sup>
        </m:sSup>
        <m:sSup>
          <m:e>
            <m:r>
              <m:t>V</m:t>
            </m:r>
          </m:e>
          <m:sup>
            <m:r>
              <m:rPr>
                <m:sty m:val="p"/>
              </m:rPr>
              <m:t>*</m:t>
            </m:r>
          </m:sup>
        </m:sSup>
        <m:r>
          <m:rPr>
            <m:sty m:val="p"/>
          </m:rPr>
          <m:t>/</m:t>
        </m:r>
        <m:r>
          <m:rPr>
            <m:sty m:val="p"/>
          </m:rPr>
          <m:t>∂</m:t>
        </m:r>
        <m:r>
          <m:t>r</m:t>
        </m:r>
        <m:r>
          <m:rPr>
            <m:sty m:val="p"/>
          </m:rPr>
          <m:t>∂</m:t>
        </m:r>
        <m:r>
          <m:t>T</m:t>
        </m:r>
      </m:oMath>
      <w:r>
        <w:t xml:space="preserve"> </w:t>
      </w:r>
      <w:r>
        <w:t xml:space="preserve">e a maturidade</w:t>
      </w:r>
      <w:r>
        <w:t xml:space="preserve"> </w:t>
      </w:r>
      <m:oMath>
        <m:r>
          <m:t>T</m:t>
        </m:r>
      </m:oMath>
      <w:r>
        <w:t xml:space="preserve"> </w:t>
      </w:r>
      <w:r>
        <w:t xml:space="preserve">dos projetos.</w:t>
      </w:r>
    </w:p>
    <w:p>
      <w:pPr>
        <w:pStyle w:val="BlockText"/>
      </w:pPr>
      <w:r>
        <w:rPr>
          <w:b/>
          <w:bCs/>
        </w:rPr>
        <w:t xml:space="preserve">Fonte:</w:t>
      </w:r>
      <w:r>
        <w:t xml:space="preserve"> </w:t>
      </w:r>
      <w:r>
        <w:t xml:space="preserve">BCB/SGS (série 432 — Taxa Selic acumulada).</w:t>
      </w:r>
    </w:p>
    <w:p>
      <w:pPr>
        <w:pStyle w:val="BlockText"/>
      </w:pPr>
      <w:r>
        <w:rPr>
          <w:b/>
          <w:bCs/>
        </w:rPr>
        <w:t xml:space="preserve">[R-INTERACTIVE] R Interativo</w:t>
      </w:r>
    </w:p>
    <w:p>
      <w:pPr>
        <w:pStyle w:val="SourceCode"/>
      </w:pPr>
      <w:r>
        <w:rPr>
          <w:rStyle w:val="CommentTok"/>
        </w:rPr>
        <w:t xml:space="preserve"># Demonstração visual do Teorema do Envelope</w:t>
      </w:r>
      <w:r>
        <w:br/>
      </w:r>
      <w:r>
        <w:rPr>
          <w:rStyle w:val="CommentTok"/>
        </w:rPr>
        <w:t xml:space="preserve"># Família de funções f(q; p) = pq - q^2 para diferentes preços p</w:t>
      </w:r>
      <w:r>
        <w:br/>
      </w:r>
      <w:r>
        <w:br/>
      </w:r>
      <w:r>
        <w:rPr>
          <w:rStyle w:val="NormalTok"/>
        </w:rPr>
        <w:t xml:space="preserve">q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precos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DecValTok"/>
        </w:rPr>
        <w:t xml:space="preserve">8</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cores </w:t>
      </w:r>
      <w:r>
        <w:rPr>
          <w:rStyle w:val="OtherTok"/>
        </w:rPr>
        <w:t xml:space="preserve">&lt;-</w:t>
      </w:r>
      <w:r>
        <w:rPr>
          <w:rStyle w:val="NormalTok"/>
        </w:rPr>
        <w:t xml:space="preserve"> </w:t>
      </w:r>
      <w:r>
        <w:rPr>
          <w:rStyle w:val="FunctionTok"/>
        </w:rPr>
        <w:t xml:space="preserve">rainbow</w:t>
      </w:r>
      <w:r>
        <w:rPr>
          <w:rStyle w:val="NormalTok"/>
        </w:rPr>
        <w:t xml:space="preserve">(</w:t>
      </w:r>
      <w:r>
        <w:rPr>
          <w:rStyle w:val="FunctionTok"/>
        </w:rPr>
        <w:t xml:space="preserve">length</w:t>
      </w:r>
      <w:r>
        <w:rPr>
          <w:rStyle w:val="NormalTok"/>
        </w:rPr>
        <w:t xml:space="preserve">(precos))</w:t>
      </w:r>
      <w:r>
        <w:br/>
      </w:r>
      <w:r>
        <w:br/>
      </w:r>
      <w:r>
        <w:rPr>
          <w:rStyle w:val="FunctionTok"/>
        </w:rPr>
        <w:t xml:space="preserve">plot</w:t>
      </w:r>
      <w:r>
        <w:rPr>
          <w:rStyle w:val="NormalTok"/>
        </w:rPr>
        <w:t xml:space="preserve">(</w:t>
      </w:r>
      <w:r>
        <w:rPr>
          <w:rStyle w:val="ConstantTok"/>
        </w:rPr>
        <w:t xml:space="preserve">NULL</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"q"</w:t>
      </w:r>
      <w:r>
        <w:rPr>
          <w:rStyle w:val="NormalTok"/>
        </w:rPr>
        <w:t xml:space="preserve">, </w:t>
      </w:r>
      <w:r>
        <w:rPr>
          <w:rStyle w:val="AttributeTok"/>
        </w:rPr>
        <w:t xml:space="preserve">ylab =</w:t>
      </w:r>
      <w:r>
        <w:rPr>
          <w:rStyle w:val="NormalTok"/>
        </w:rPr>
        <w:t xml:space="preserve"> </w:t>
      </w:r>
      <w:r>
        <w:rPr>
          <w:rStyle w:val="StringTok"/>
        </w:rPr>
        <w:t xml:space="preserve">"f(q; p)"</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"Teorema do Envelope: a envoltória dos máximos"</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(precos)) {</w:t>
      </w:r>
      <w:r>
        <w:br/>
      </w:r>
      <w:r>
        <w:rPr>
          <w:rStyle w:val="NormalTok"/>
        </w:rPr>
        <w:t xml:space="preserve">  p </w:t>
      </w:r>
      <w:r>
        <w:rPr>
          <w:rStyle w:val="OtherTok"/>
        </w:rPr>
        <w:t xml:space="preserve">&lt;-</w:t>
      </w:r>
      <w:r>
        <w:rPr>
          <w:rStyle w:val="NormalTok"/>
        </w:rPr>
        <w:t xml:space="preserve"> precos[i]</w:t>
      </w:r>
      <w:r>
        <w:br/>
      </w:r>
      <w:r>
        <w:rPr>
          <w:rStyle w:val="NormalTok"/>
        </w:rPr>
        <w:t xml:space="preserve">  f_vals </w:t>
      </w:r>
      <w:r>
        <w:rPr>
          <w:rStyle w:val="OtherTok"/>
        </w:rPr>
        <w:t xml:space="preserve">&lt;-</w:t>
      </w:r>
      <w:r>
        <w:rPr>
          <w:rStyle w:val="NormalTok"/>
        </w:rPr>
        <w:t xml:space="preserve"> p </w:t>
      </w:r>
      <w:r>
        <w:rPr>
          <w:rStyle w:val="SpecialCharTok"/>
        </w:rPr>
        <w:t xml:space="preserve">*</w:t>
      </w:r>
      <w:r>
        <w:rPr>
          <w:rStyle w:val="NormalTok"/>
        </w:rPr>
        <w:t xml:space="preserve"> q </w:t>
      </w:r>
      <w:r>
        <w:rPr>
          <w:rStyle w:val="SpecialCharTok"/>
        </w:rPr>
        <w:t xml:space="preserve">-</w:t>
      </w:r>
      <w:r>
        <w:rPr>
          <w:rStyle w:val="NormalTok"/>
        </w:rPr>
        <w:t xml:space="preserve"> q</w:t>
      </w:r>
      <w:r>
        <w:rPr>
          <w:rStyle w:val="SpecialCharTok"/>
        </w:rPr>
        <w:t xml:space="preserve">^</w:t>
      </w:r>
      <w:r>
        <w:rPr>
          <w:rStyle w:val="DecValTok"/>
        </w:rPr>
        <w:t xml:space="preserve">2</w:t>
      </w:r>
      <w:r>
        <w:br/>
      </w:r>
      <w:r>
        <w:rPr>
          <w:rStyle w:val="NormalTok"/>
        </w:rPr>
        <w:t xml:space="preserve">  </w:t>
      </w:r>
      <w:r>
        <w:rPr>
          <w:rStyle w:val="FunctionTok"/>
        </w:rPr>
        <w:t xml:space="preserve">lines</w:t>
      </w:r>
      <w:r>
        <w:rPr>
          <w:rStyle w:val="NormalTok"/>
        </w:rPr>
        <w:t xml:space="preserve">(q, f_vals, </w:t>
      </w:r>
      <w:r>
        <w:rPr>
          <w:rStyle w:val="AttributeTok"/>
        </w:rPr>
        <w:t xml:space="preserve">col =</w:t>
      </w:r>
      <w:r>
        <w:rPr>
          <w:rStyle w:val="NormalTok"/>
        </w:rPr>
        <w:t xml:space="preserve"> </w:t>
      </w:r>
      <w:r>
        <w:rPr>
          <w:rStyle w:val="FunctionTok"/>
        </w:rPr>
        <w:t xml:space="preserve">adjustcolor</w:t>
      </w:r>
      <w:r>
        <w:rPr>
          <w:rStyle w:val="NormalTok"/>
        </w:rPr>
        <w:t xml:space="preserve">(cores[i], </w:t>
      </w:r>
      <w:r>
        <w:rPr>
          <w:rStyle w:val="AttributeTok"/>
        </w:rPr>
        <w:t xml:space="preserve">alpha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CommentTok"/>
        </w:rPr>
        <w:t xml:space="preserve"># Marcar o máximo</w:t>
      </w:r>
      <w:r>
        <w:br/>
      </w:r>
      <w:r>
        <w:rPr>
          <w:rStyle w:val="NormalTok"/>
        </w:rPr>
        <w:t xml:space="preserve">  q_star </w:t>
      </w:r>
      <w:r>
        <w:rPr>
          <w:rStyle w:val="OtherTok"/>
        </w:rPr>
        <w:t xml:space="preserve">&lt;-</w:t>
      </w:r>
      <w:r>
        <w:rPr>
          <w:rStyle w:val="NormalTok"/>
        </w:rPr>
        <w:t xml:space="preserve"> p </w:t>
      </w:r>
      <w:r>
        <w:rPr>
          <w:rStyle w:val="SpecialCharTok"/>
        </w:rPr>
        <w:t xml:space="preserve">/</w:t>
      </w:r>
      <w:r>
        <w:rPr>
          <w:rStyle w:val="NormalTok"/>
        </w:rPr>
        <w:t xml:space="preserve"> </w:t>
      </w:r>
      <w:r>
        <w:rPr>
          <w:rStyle w:val="DecValTok"/>
        </w:rPr>
        <w:t xml:space="preserve">2</w:t>
      </w:r>
      <w:r>
        <w:br/>
      </w:r>
      <w:r>
        <w:rPr>
          <w:rStyle w:val="NormalTok"/>
        </w:rPr>
        <w:t xml:space="preserve">  pi_star </w:t>
      </w:r>
      <w:r>
        <w:rPr>
          <w:rStyle w:val="OtherTok"/>
        </w:rPr>
        <w:t xml:space="preserve">&lt;-</w:t>
      </w:r>
      <w:r>
        <w:rPr>
          <w:rStyle w:val="NormalTok"/>
        </w:rPr>
        <w:t xml:space="preserve"> p</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points</w:t>
      </w:r>
      <w:r>
        <w:rPr>
          <w:rStyle w:val="NormalTok"/>
        </w:rPr>
        <w:t xml:space="preserve">(q_star, pi_star,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cores[i])</w:t>
      </w:r>
      <w:r>
        <w:br/>
      </w:r>
      <w:r>
        <w:rPr>
          <w:rStyle w:val="NormalTok"/>
        </w:rPr>
        <w:t xml:space="preserve">}</w:t>
      </w:r>
      <w:r>
        <w:br/>
      </w:r>
      <w:r>
        <w:br/>
      </w:r>
      <w:r>
        <w:rPr>
          <w:rStyle w:val="CommentTok"/>
        </w:rPr>
        <w:t xml:space="preserve"># Curva de envoltória: pi*(p) avaliada em q*(p) = p/2</w:t>
      </w:r>
      <w:r>
        <w:br/>
      </w:r>
      <w:r>
        <w:rPr>
          <w:rStyle w:val="NormalTok"/>
        </w:rPr>
        <w:t xml:space="preserve">p_cont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DecValTok"/>
        </w:rPr>
        <w:t xml:space="preserve">8</w:t>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FunctionTok"/>
        </w:rPr>
        <w:t xml:space="preserve">lines</w:t>
      </w:r>
      <w:r>
        <w:rPr>
          <w:rStyle w:val="NormalTok"/>
        </w:rPr>
        <w:t xml:space="preserve">(p_cont </w:t>
      </w:r>
      <w:r>
        <w:rPr>
          <w:rStyle w:val="SpecialCharTok"/>
        </w:rPr>
        <w:t xml:space="preserve">/</w:t>
      </w:r>
      <w:r>
        <w:rPr>
          <w:rStyle w:val="NormalTok"/>
        </w:rPr>
        <w:t xml:space="preserve"> </w:t>
      </w:r>
      <w:r>
        <w:rPr>
          <w:rStyle w:val="DecValTok"/>
        </w:rPr>
        <w:t xml:space="preserve">2</w:t>
      </w:r>
      <w:r>
        <w:rPr>
          <w:rStyle w:val="NormalTok"/>
        </w:rPr>
        <w:t xml:space="preserve">, p_cont</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StringTok"/>
        </w:rPr>
        <w:t xml:space="preserve">"Envoltória π*(p) = p²/4"</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w:t>
      </w:r>
    </w:p>
    <w:p>
      <w:r>
        <w:pict>
          <v:rect style="width:0;height:1.5pt" o:hralign="center" o:hrstd="t" o:hr="t"/>
        </w:pict>
      </w:r>
    </w:p>
    <w:p>
      <w:pPr>
        <w:pStyle w:val="FirstParagraph"/>
      </w:pPr>
      <w:r>
        <w:rPr>
          <w:b/>
          <w:bCs/>
        </w:rPr>
        <w:t xml:space="preserve">O que vem a seguir.</w:t>
      </w:r>
      <w:r>
        <w:t xml:space="preserve"> </w:t>
      </w:r>
      <w:r>
        <w:t xml:space="preserve">O Teorema do Envelope é um atalho</w:t>
      </w:r>
      <w:r>
        <w:t xml:space="preserve"> </w:t>
      </w:r>
      <w:r>
        <w:rPr>
          <w:i/>
          <w:iCs/>
        </w:rPr>
        <w:t xml:space="preserve">dado</w:t>
      </w:r>
      <w:r>
        <w:t xml:space="preserve"> </w:t>
      </w:r>
      <w:r>
        <w:t xml:space="preserve">que estamos no ótimo. Mas como chegar ao ótimo quando há restrições? É o que veremos na Seção 2.5 — Método de Lagrange, a ferramenta mais usada de todo o livro.</w:t>
      </w:r>
    </w:p>
    <w:bookmarkEnd w:id="115"/>
    <w:bookmarkEnd w:id="116"/>
    <w:bookmarkEnd w:id="117"/>
    <w:bookmarkStart w:id="135" w:name="X17f248fbd8d5a22605642156b3f1ed3b7d0006b"/>
    <w:p>
      <w:pPr>
        <w:pStyle w:val="Heading2"/>
      </w:pPr>
      <w:r>
        <w:t xml:space="preserve">Complementos: Integração, Dinâmica, Estatística e Ponto Fixo</w:t>
      </w:r>
    </w:p>
    <w:p>
      <w:pPr>
        <w:pStyle w:val="FirstParagraph"/>
      </w:pPr>
      <w:r>
        <w:t xml:space="preserve">As seções anteriores cobriram o núcleo da caixa de ferramentas: otimização, Lagrange, Kuhn-Tucker, curvatura. Estas quatro seções complementares cobrem tópicos que não são usados em</w:t>
      </w:r>
      <w:r>
        <w:t xml:space="preserve"> </w:t>
      </w:r>
      <w:r>
        <w:rPr>
          <w:i/>
          <w:iCs/>
        </w:rPr>
        <w:t xml:space="preserve">todos</w:t>
      </w:r>
      <w:r>
        <w:t xml:space="preserve"> </w:t>
      </w:r>
      <w:r>
        <w:t xml:space="preserve">os capítulos, mas que são indispensáveis em capítulos específicos. Use-as como referência — volte quando o capítulo relevante exigir.</w:t>
      </w:r>
    </w:p>
    <w:bookmarkStart w:id="120" w:name="X35debd4837026bf06c7bfc5d1e0c6a31611af1d"/>
    <w:p>
      <w:pPr>
        <w:pStyle w:val="Heading3"/>
      </w:pPr>
      <w:r>
        <w:t xml:space="preserve">2.10 Integração e Excedentes</w:t>
      </w:r>
    </w:p>
    <w:p>
      <w:pPr>
        <w:pStyle w:val="FirstParagraph"/>
      </w:pPr>
      <w:r>
        <w:t xml:space="preserve">A integração é a operação inversa da derivação — e, em microeconomia, seu papel central é calcular</w:t>
      </w:r>
      <w:r>
        <w:t xml:space="preserve"> </w:t>
      </w:r>
      <w:r>
        <w:rPr>
          <w:b/>
          <w:bCs/>
        </w:rPr>
        <w:t xml:space="preserve">excedentes</w:t>
      </w:r>
      <w:r>
        <w:t xml:space="preserve"> </w:t>
      </w:r>
      <w:r>
        <w:t xml:space="preserve">e</w:t>
      </w:r>
      <w:r>
        <w:t xml:space="preserve"> </w:t>
      </w:r>
      <w:r>
        <w:rPr>
          <w:b/>
          <w:bCs/>
        </w:rPr>
        <w:t xml:space="preserve">variações de bem-estar</w:t>
      </w:r>
      <w:r>
        <w:t xml:space="preserve">.</w:t>
      </w:r>
    </w:p>
    <w:bookmarkStart w:id="118" w:name="integral-definida-e-área-sob-a-curva"/>
    <w:p>
      <w:pPr>
        <w:pStyle w:val="Heading4"/>
      </w:pPr>
      <w:r>
        <w:t xml:space="preserve">Integral definida e área sob a curva</w:t>
      </w:r>
    </w:p>
    <w:p>
      <w:pPr>
        <w:pStyle w:val="BlockText"/>
      </w:pPr>
      <w:r>
        <w:rPr>
          <w:b/>
          <w:bCs/>
        </w:rPr>
        <w:t xml:space="preserve">[DEFINICAO] Integral Definida</w:t>
      </w:r>
    </w:p>
    <w:p>
      <w:pPr>
        <w:pStyle w:val="BlockText"/>
      </w:pPr>
      <w:r>
        <w:t xml:space="preserve">Se</w:t>
      </w:r>
      <w:r>
        <w:t xml:space="preserve"> </w:t>
      </w:r>
      <m:oMath>
        <m:r>
          <m:t>f</m:t>
        </m:r>
      </m:oMath>
      <w:r>
        <w:t xml:space="preserve"> </w:t>
      </w:r>
      <w:r>
        <w:t xml:space="preserve">é contínua em</w:t>
      </w:r>
      <w:r>
        <w:t xml:space="preserve"> </w:t>
      </w:r>
      <m:oMath>
        <m:r>
          <m:rPr>
            <m:sty m:val="p"/>
          </m:rPr>
          <m:t>[</m:t>
        </m:r>
        <m:r>
          <m:t>a</m:t>
        </m:r>
        <m:r>
          <m:rPr>
            <m:sty m:val="p"/>
          </m:rPr>
          <m:t>,</m:t>
        </m:r>
        <m:r>
          <m:t>b</m:t>
        </m:r>
        <m:r>
          <m:rPr>
            <m:sty m:val="p"/>
          </m:rPr>
          <m:t>]</m:t>
        </m:r>
      </m:oMath>
      <w:r>
        <w:t xml:space="preserve">:</w:t>
      </w:r>
    </w:p>
    <w:p>
      <w:pPr>
        <w:pStyle w:val="Block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r>
            <m:t>F</m:t>
          </m:r>
          <m:r>
            <m:rPr>
              <m:sty m:val="p"/>
            </m:rPr>
            <m:t>(</m:t>
          </m:r>
          <m:r>
            <m:t>b</m:t>
          </m:r>
          <m:r>
            <m:rPr>
              <m:sty m:val="p"/>
            </m:rPr>
            <m:t>)</m:t>
          </m:r>
          <m:r>
            <m:rPr>
              <m:sty m:val="p"/>
            </m:rPr>
            <m:t>−</m:t>
          </m:r>
          <m:r>
            <m:t>F</m:t>
          </m:r>
          <m:r>
            <m:rPr>
              <m:sty m:val="p"/>
            </m:rPr>
            <m:t>(</m:t>
          </m:r>
          <m:r>
            <m:t>a</m:t>
          </m:r>
          <m:r>
            <m:rPr>
              <m:sty m:val="p"/>
            </m:rPr>
            <m:t>)</m:t>
          </m:r>
        </m:oMath>
      </m:oMathPara>
    </w:p>
    <w:p>
      <w:pPr>
        <w:pStyle w:val="BlockText"/>
      </w:pPr>
      <w:r>
        <w:t xml:space="preserve">onde</w:t>
      </w:r>
      <w:r>
        <w:t xml:space="preserve"> </w:t>
      </w:r>
      <m:oMath>
        <m:r>
          <m:t>F</m:t>
        </m:r>
      </m:oMath>
      <w:r>
        <w:t xml:space="preserve"> </w:t>
      </w:r>
      <w:r>
        <w:t xml:space="preserve">é uma primitiva de</w:t>
      </w:r>
      <w:r>
        <w:t xml:space="preserve"> </w:t>
      </w:r>
      <m:oMath>
        <m:r>
          <m:t>f</m:t>
        </m:r>
      </m:oMath>
      <w:r>
        <w:t xml:space="preserve"> </w:t>
      </w:r>
      <w:r>
        <w:t xml:space="preserve">(</w:t>
      </w:r>
      <m:oMath>
        <m:sSup>
          <m:e>
            <m:r>
              <m:t>F</m:t>
            </m:r>
          </m:e>
          <m:sup>
            <m:r>
              <m:rPr>
                <m:sty m:val="p"/>
              </m:rPr>
              <m:t>′</m:t>
            </m:r>
          </m:sup>
        </m:sSup>
        <m:r>
          <m:rPr>
            <m:sty m:val="p"/>
          </m:rPr>
          <m:t>=</m:t>
        </m:r>
        <m:r>
          <m:t>f</m:t>
        </m:r>
      </m:oMath>
      <w:r>
        <w:t xml:space="preserve">).</w:t>
      </w:r>
    </w:p>
    <w:bookmarkEnd w:id="118"/>
    <w:bookmarkStart w:id="119" w:name="aplicações-econômicas"/>
    <w:p>
      <w:pPr>
        <w:pStyle w:val="Heading4"/>
      </w:pPr>
      <w:r>
        <w:t xml:space="preserve">Aplicações econômicas</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Integral</w:t>
            </w:r>
          </w:p>
        </w:tc>
        <w:tc>
          <w:tcPr/>
          <w:p>
            <w:pPr>
              <w:pStyle w:val="Compact"/>
              <w:jc w:val="center"/>
            </w:pPr>
            <w:r>
              <w:t xml:space="preserve">Capítulo</w:t>
            </w:r>
          </w:p>
        </w:tc>
        <w:tc>
          <w:tcPr/>
          <w:p>
            <w:pPr>
              <w:pStyle w:val="Compact"/>
              <w:jc w:val="left"/>
            </w:pPr>
            <w:r>
              <w:t xml:space="preserve">Significado</w:t>
            </w:r>
          </w:p>
        </w:tc>
      </w:tr>
      <w:tr>
        <w:tc>
          <w:tcPr/>
          <w:p>
            <w:pPr>
              <w:pStyle w:val="Compact"/>
              <w:jc w:val="left"/>
            </w:pPr>
            <m:oMath>
              <m:nary>
                <m:naryPr>
                  <m:chr m:val="∫"/>
                  <m:limLoc m:val="subSup"/>
                  <m:subHide m:val="off"/>
                  <m:supHide m:val="off"/>
                </m:naryPr>
                <m:sub>
                  <m:r>
                    <m:t>0</m:t>
                  </m:r>
                </m:sub>
                <m:sup>
                  <m:sSup>
                    <m:e>
                      <m:r>
                        <m:t>q</m:t>
                      </m:r>
                    </m:e>
                    <m:sup>
                      <m:r>
                        <m:rPr>
                          <m:sty m:val="p"/>
                        </m:rPr>
                        <m:t>*</m:t>
                      </m:r>
                    </m:sup>
                  </m:sSup>
                </m:sup>
                <m:e>
                  <m:r>
                    <m:t>P</m:t>
                  </m:r>
                </m:e>
              </m:nary>
              <m:r>
                <m:rPr>
                  <m:sty m:val="p"/>
                </m:rPr>
                <m:t>(</m:t>
              </m:r>
              <m:r>
                <m:t>q</m:t>
              </m:r>
              <m:r>
                <m:rPr>
                  <m:sty m:val="p"/>
                </m:rPr>
                <m:t>)</m:t>
              </m:r>
              <m:r>
                <m:t> </m:t>
              </m:r>
              <m:r>
                <m:t>d</m:t>
              </m:r>
              <m:r>
                <m:t>q</m:t>
              </m:r>
              <m:r>
                <m:rPr>
                  <m:sty m:val="p"/>
                </m:rPr>
                <m:t>−</m:t>
              </m:r>
              <m:sSup>
                <m:e>
                  <m:r>
                    <m:t>p</m:t>
                  </m:r>
                </m:e>
                <m:sup>
                  <m:r>
                    <m:rPr>
                      <m:sty m:val="p"/>
                    </m:rPr>
                    <m:t>*</m:t>
                  </m:r>
                </m:sup>
              </m:sSup>
              <m:sSup>
                <m:e>
                  <m:r>
                    <m:t>q</m:t>
                  </m:r>
                </m:e>
                <m:sup>
                  <m:r>
                    <m:rPr>
                      <m:sty m:val="p"/>
                    </m:rPr>
                    <m:t>*</m:t>
                  </m:r>
                </m:sup>
              </m:sSup>
            </m:oMath>
          </w:p>
        </w:tc>
        <w:tc>
          <w:tcPr/>
          <w:p>
            <w:pPr>
              <w:pStyle w:val="Compact"/>
              <w:jc w:val="center"/>
            </w:pPr>
            <w:r>
              <w:t xml:space="preserve">5 (Cap. 5), 13 (Cap. 13)</w:t>
            </w:r>
          </w:p>
        </w:tc>
        <w:tc>
          <w:tcPr/>
          <w:p>
            <w:pPr>
              <w:pStyle w:val="Compact"/>
              <w:jc w:val="left"/>
            </w:pPr>
            <w:r>
              <w:rPr>
                <w:b/>
                <w:bCs/>
              </w:rPr>
              <w:t xml:space="preserve">Excedente do consumidor</w:t>
            </w:r>
          </w:p>
        </w:tc>
      </w:tr>
      <w:tr>
        <w:tc>
          <w:tcPr/>
          <w:p>
            <w:pPr>
              <w:pStyle w:val="Compact"/>
              <w:jc w:val="left"/>
            </w:pPr>
            <m:oMath>
              <m:sSup>
                <m:e>
                  <m:r>
                    <m:t>p</m:t>
                  </m:r>
                </m:e>
                <m:sup>
                  <m:r>
                    <m:rPr>
                      <m:sty m:val="p"/>
                    </m:rPr>
                    <m:t>*</m:t>
                  </m:r>
                </m:sup>
              </m:sSup>
              <m:sSup>
                <m:e>
                  <m:r>
                    <m:t>q</m:t>
                  </m:r>
                </m:e>
                <m:sup>
                  <m:r>
                    <m:rPr>
                      <m:sty m:val="p"/>
                    </m:rPr>
                    <m:t>*</m:t>
                  </m:r>
                </m:sup>
              </m:sSup>
              <m:r>
                <m:rPr>
                  <m:sty m:val="p"/>
                </m:rPr>
                <m:t>−</m:t>
              </m:r>
              <m:nary>
                <m:naryPr>
                  <m:chr m:val="∫"/>
                  <m:limLoc m:val="subSup"/>
                  <m:subHide m:val="off"/>
                  <m:supHide m:val="off"/>
                </m:naryPr>
                <m:sub>
                  <m:r>
                    <m:t>0</m:t>
                  </m:r>
                </m:sub>
                <m:sup>
                  <m:sSup>
                    <m:e>
                      <m:r>
                        <m:t>q</m:t>
                      </m:r>
                    </m:e>
                    <m:sup>
                      <m:r>
                        <m:rPr>
                          <m:sty m:val="p"/>
                        </m:rPr>
                        <m:t>*</m:t>
                      </m:r>
                    </m:sup>
                  </m:sSup>
                </m:sup>
                <m:e>
                  <m:r>
                    <m:t>C</m:t>
                  </m:r>
                </m:e>
              </m:nary>
              <m:r>
                <m:t>M</m:t>
              </m:r>
              <m:r>
                <m:t>g</m:t>
              </m:r>
              <m:r>
                <m:rPr>
                  <m:sty m:val="p"/>
                </m:rPr>
                <m:t>(</m:t>
              </m:r>
              <m:r>
                <m:t>q</m:t>
              </m:r>
              <m:r>
                <m:rPr>
                  <m:sty m:val="p"/>
                </m:rPr>
                <m:t>)</m:t>
              </m:r>
              <m:r>
                <m:t> </m:t>
              </m:r>
              <m:r>
                <m:t>d</m:t>
              </m:r>
              <m:r>
                <m:t>q</m:t>
              </m:r>
            </m:oMath>
          </w:p>
        </w:tc>
        <w:tc>
          <w:tcPr/>
          <w:p>
            <w:pPr>
              <w:pStyle w:val="Compact"/>
              <w:jc w:val="center"/>
            </w:pPr>
            <w:r>
              <w:t xml:space="preserve">12 (Cap. 12), 13 (Cap. 13)</w:t>
            </w:r>
          </w:p>
        </w:tc>
        <w:tc>
          <w:tcPr/>
          <w:p>
            <w:pPr>
              <w:pStyle w:val="Compact"/>
              <w:jc w:val="left"/>
            </w:pPr>
            <w:r>
              <w:rPr>
                <w:b/>
                <w:bCs/>
              </w:rPr>
              <w:t xml:space="preserve">Excedente do produtor</w:t>
            </w:r>
          </w:p>
        </w:tc>
      </w:tr>
      <w:tr>
        <w:tc>
          <w:tcPr/>
          <w:p>
            <w:pPr>
              <w:pStyle w:val="Compact"/>
              <w:jc w:val="left"/>
            </w:pPr>
            <m:oMath>
              <m:nary>
                <m:naryPr>
                  <m:chr m:val="∫"/>
                  <m:limLoc m:val="subSup"/>
                  <m:subHide m:val="off"/>
                  <m:supHide m:val="off"/>
                </m:naryPr>
                <m:sub>
                  <m:sSup>
                    <m:e>
                      <m:r>
                        <m:t>p</m:t>
                      </m:r>
                    </m:e>
                    <m:sup>
                      <m:r>
                        <m:t>0</m:t>
                      </m:r>
                    </m:sup>
                  </m:sSup>
                </m:sub>
                <m:sup>
                  <m:sSup>
                    <m:e>
                      <m:r>
                        <m:t>p</m:t>
                      </m:r>
                    </m:e>
                    <m:sup>
                      <m:r>
                        <m:t>1</m:t>
                      </m:r>
                    </m:sup>
                  </m:sSup>
                </m:sup>
                <m:e>
                  <m:sSup>
                    <m:e>
                      <m:r>
                        <m:t>x</m:t>
                      </m:r>
                    </m:e>
                    <m:sup>
                      <m:r>
                        <m:t>h</m:t>
                      </m:r>
                    </m:sup>
                  </m:sSup>
                </m:e>
              </m:nary>
              <m:r>
                <m:rPr>
                  <m:sty m:val="p"/>
                </m:rPr>
                <m:t>(</m:t>
              </m:r>
              <m:r>
                <m:t>p</m:t>
              </m:r>
              <m:r>
                <m:rPr>
                  <m:sty m:val="p"/>
                </m:rPr>
                <m:t>,</m:t>
              </m:r>
              <m:acc>
                <m:accPr>
                  <m:chr m:val="‾"/>
                </m:accPr>
                <m:e>
                  <m:r>
                    <m:t>u</m:t>
                  </m:r>
                </m:e>
              </m:acc>
              <m:r>
                <m:rPr>
                  <m:sty m:val="p"/>
                </m:rPr>
                <m:t>)</m:t>
              </m:r>
              <m:r>
                <m:t> </m:t>
              </m:r>
              <m:r>
                <m:t>d</m:t>
              </m:r>
              <m:r>
                <m:t>p</m:t>
              </m:r>
            </m:oMath>
          </w:p>
        </w:tc>
        <w:tc>
          <w:tcPr/>
          <w:p>
            <w:pPr>
              <w:pStyle w:val="Compact"/>
              <w:jc w:val="center"/>
            </w:pPr>
            <w:r>
              <w:t xml:space="preserve">5 (Cap. 5)</w:t>
            </w:r>
          </w:p>
        </w:tc>
        <w:tc>
          <w:tcPr/>
          <w:p>
            <w:pPr>
              <w:pStyle w:val="Compact"/>
              <w:jc w:val="left"/>
            </w:pPr>
            <w:r>
              <w:rPr>
                <w:b/>
                <w:bCs/>
              </w:rPr>
              <w:t xml:space="preserve">Variação compensatória</w:t>
            </w:r>
            <w:r>
              <w:t xml:space="preserve"> </w:t>
            </w:r>
            <w:r>
              <w:t xml:space="preserve">(VC)</w:t>
            </w:r>
          </w:p>
        </w:tc>
      </w:tr>
    </w:tbl>
    <w:p>
      <w:pPr>
        <w:pStyle w:val="BlockText"/>
      </w:pPr>
      <w:r>
        <w:rPr>
          <w:b/>
          <w:bCs/>
        </w:rPr>
        <w:t xml:space="preserve">[INTUICAO ECONOMICA] Intuição Econômica</w:t>
      </w:r>
    </w:p>
    <w:p>
      <w:pPr>
        <w:pStyle w:val="BlockText"/>
      </w:pPr>
      <w:r>
        <w:rPr>
          <w:b/>
          <w:bCs/>
        </w:rPr>
        <w:t xml:space="preserve">Em uma frase:</w:t>
      </w:r>
      <w:r>
        <w:t xml:space="preserve"> </w:t>
      </w:r>
      <w:r>
        <w:t xml:space="preserve">O excedente do consumidor é a área entre a curva de demanda e o preço — mede</w:t>
      </w:r>
      <w:r>
        <w:t xml:space="preserve"> </w:t>
      </w:r>
      <w:r>
        <w:t xml:space="preserve">“quanto o consumidor pagaria</w:t>
      </w:r>
      <w:r>
        <w:t xml:space="preserve"> </w:t>
      </w:r>
      <w:r>
        <w:rPr>
          <w:i/>
          <w:iCs/>
        </w:rPr>
        <w:t xml:space="preserve">a mais</w:t>
      </w:r>
      <w:r>
        <w:t xml:space="preserve"> </w:t>
      </w:r>
      <w:r>
        <w:t xml:space="preserve">do que efetivamente paga”</w:t>
      </w:r>
      <w:r>
        <w:t xml:space="preserve">.</w:t>
      </w:r>
    </w:p>
    <w:p>
      <w:pPr>
        <w:pStyle w:val="BlockText"/>
      </w:pPr>
      <w:r>
        <w:rPr>
          <w:b/>
          <w:bCs/>
        </w:rPr>
        <w:t xml:space="preserve">Pense assim:</w:t>
      </w:r>
      <w:r>
        <w:t xml:space="preserve"> </w:t>
      </w:r>
      <w:r>
        <w:t xml:space="preserve">Se você estava disposto a pagar R$ 50 por um ingresso mas pagou R$ 30, seu excedente naquela unidade é R$ 20. Some isso para todas as unidades e você tem o excedente total — que é geometricamente a área do triângulo (ou trapézio) entre demanda e preço.</w:t>
      </w:r>
    </w:p>
    <w:p>
      <w:pPr>
        <w:pStyle w:val="BlockText"/>
      </w:pPr>
      <w:r>
        <w:rPr>
          <w:b/>
          <w:bCs/>
        </w:rPr>
        <w:t xml:space="preserve">[EXEMPLO] Exemplo: Excedente com demanda linear</w:t>
      </w:r>
    </w:p>
    <w:p>
      <w:pPr>
        <w:pStyle w:val="BlockText"/>
      </w:pPr>
      <w:r>
        <w:t xml:space="preserve">Demanda:</w:t>
      </w:r>
      <w:r>
        <w:t xml:space="preserve"> </w:t>
      </w:r>
      <m:oMath>
        <m:r>
          <m:t>P</m:t>
        </m:r>
        <m:r>
          <m:rPr>
            <m:sty m:val="p"/>
          </m:rPr>
          <m:t>(</m:t>
        </m:r>
        <m:r>
          <m:t>q</m:t>
        </m:r>
        <m:r>
          <m:rPr>
            <m:sty m:val="p"/>
          </m:rPr>
          <m:t>)</m:t>
        </m:r>
        <m:r>
          <m:rPr>
            <m:sty m:val="p"/>
          </m:rPr>
          <m:t>=</m:t>
        </m:r>
        <m:r>
          <m:t>100</m:t>
        </m:r>
        <m:r>
          <m:rPr>
            <m:sty m:val="p"/>
          </m:rPr>
          <m:t>−</m:t>
        </m:r>
        <m:r>
          <m:t>2</m:t>
        </m:r>
        <m:r>
          <m:t>q</m:t>
        </m:r>
      </m:oMath>
      <w:r>
        <w:t xml:space="preserve">. Preço de mercado:</w:t>
      </w:r>
      <w:r>
        <w:t xml:space="preserve"> </w:t>
      </w:r>
      <m:oMath>
        <m:sSup>
          <m:e>
            <m:r>
              <m:t>p</m:t>
            </m:r>
          </m:e>
          <m:sup>
            <m:r>
              <m:rPr>
                <m:sty m:val="p"/>
              </m:rPr>
              <m:t>*</m:t>
            </m:r>
          </m:sup>
        </m:sSup>
        <m:r>
          <m:rPr>
            <m:sty m:val="p"/>
          </m:rPr>
          <m:t>=</m:t>
        </m:r>
        <m:r>
          <m:t>40</m:t>
        </m:r>
      </m:oMath>
      <w:r>
        <w:t xml:space="preserve">. Quantidade:</w:t>
      </w:r>
      <w:r>
        <w:t xml:space="preserve"> </w:t>
      </w:r>
      <m:oMath>
        <m:sSup>
          <m:e>
            <m:r>
              <m:t>q</m:t>
            </m:r>
          </m:e>
          <m:sup>
            <m:r>
              <m:rPr>
                <m:sty m:val="p"/>
              </m:rPr>
              <m:t>*</m:t>
            </m:r>
          </m:sup>
        </m:sSup>
        <m:r>
          <m:rPr>
            <m:sty m:val="p"/>
          </m:rPr>
          <m:t>=</m:t>
        </m:r>
        <m:r>
          <m:t>30</m:t>
        </m:r>
      </m:oMath>
      <w:r>
        <w:t xml:space="preserve">.</w:t>
      </w:r>
    </w:p>
    <w:p>
      <w:pPr>
        <w:pStyle w:val="BlockText"/>
      </w:pPr>
      <m:oMathPara>
        <m:oMathParaPr>
          <m:jc m:val="center"/>
        </m:oMathParaPr>
        <m:oMath>
          <m:r>
            <m:t>E</m:t>
          </m:r>
          <m:r>
            <m:t>C</m:t>
          </m:r>
          <m:r>
            <m:rPr>
              <m:sty m:val="p"/>
            </m:rPr>
            <m:t>=</m:t>
          </m:r>
          <m:nary>
            <m:naryPr>
              <m:chr m:val="∫"/>
              <m:limLoc m:val="subSup"/>
              <m:subHide m:val="off"/>
              <m:supHide m:val="off"/>
            </m:naryPr>
            <m:sub>
              <m:r>
                <m:t>0</m:t>
              </m:r>
            </m:sub>
            <m:sup>
              <m:r>
                <m:t>30</m:t>
              </m:r>
            </m:sup>
            <m:e>
              <m:r>
                <m:rPr>
                  <m:sty m:val="p"/>
                </m:rPr>
                <m:t>(</m:t>
              </m:r>
            </m:e>
          </m:nary>
          <m:r>
            <m:t>100</m:t>
          </m:r>
          <m:r>
            <m:rPr>
              <m:sty m:val="p"/>
            </m:rPr>
            <m:t>−</m:t>
          </m:r>
          <m:r>
            <m:t>2</m:t>
          </m:r>
          <m:r>
            <m:t>q</m:t>
          </m:r>
          <m:r>
            <m:rPr>
              <m:sty m:val="p"/>
            </m:rPr>
            <m:t>)</m:t>
          </m:r>
          <m:r>
            <m:t> </m:t>
          </m:r>
          <m:r>
            <m:t>d</m:t>
          </m:r>
          <m:r>
            <m:t>q</m:t>
          </m:r>
          <m:r>
            <m:rPr>
              <m:sty m:val="p"/>
            </m:rPr>
            <m:t>−</m:t>
          </m:r>
          <m:r>
            <m:t>40</m:t>
          </m:r>
          <m:r>
            <m:rPr>
              <m:sty m:val="p"/>
            </m:rPr>
            <m:t>×</m:t>
          </m:r>
          <m:r>
            <m:t>30</m:t>
          </m:r>
          <m:r>
            <m:rPr>
              <m:sty m:val="p"/>
            </m:rPr>
            <m:t>=</m:t>
          </m:r>
          <m:r>
            <m:rPr>
              <m:sty m:val="p"/>
            </m:rPr>
            <m:t>[</m:t>
          </m:r>
          <m:r>
            <m:t>100</m:t>
          </m:r>
          <m:r>
            <m:t>q</m:t>
          </m:r>
          <m:r>
            <m:rPr>
              <m:sty m:val="p"/>
            </m:rPr>
            <m:t>−</m:t>
          </m:r>
          <m:sSup>
            <m:e>
              <m:r>
                <m:t>q</m:t>
              </m:r>
            </m:e>
            <m:sup>
              <m:r>
                <m:t>2</m:t>
              </m:r>
            </m:sup>
          </m:sSup>
          <m:sSubSup>
            <m:e>
              <m:r>
                <m:rPr>
                  <m:sty m:val="p"/>
                </m:rPr>
                <m:t>]</m:t>
              </m:r>
            </m:e>
            <m:sub>
              <m:r>
                <m:t>0</m:t>
              </m:r>
            </m:sub>
            <m:sup>
              <m:r>
                <m:t>30</m:t>
              </m:r>
            </m:sup>
          </m:sSubSup>
          <m:r>
            <m:rPr>
              <m:sty m:val="p"/>
            </m:rPr>
            <m:t>−</m:t>
          </m:r>
          <m:r>
            <m:t>1200</m:t>
          </m:r>
          <m:r>
            <m:rPr>
              <m:sty m:val="p"/>
            </m:rPr>
            <m:t>=</m:t>
          </m:r>
          <m:r>
            <m:t>2100</m:t>
          </m:r>
          <m:r>
            <m:rPr>
              <m:sty m:val="p"/>
            </m:rPr>
            <m:t>−</m:t>
          </m:r>
          <m:r>
            <m:t>1200</m:t>
          </m:r>
          <m:r>
            <m:rPr>
              <m:sty m:val="p"/>
            </m:rPr>
            <m:t>=</m:t>
          </m:r>
          <m:r>
            <m:t>900</m:t>
          </m:r>
        </m:oMath>
      </m:oMathPara>
    </w:p>
    <w:p>
      <w:r>
        <w:pict>
          <v:rect style="width:0;height:1.5pt" o:hralign="center" o:hrstd="t" o:hr="t"/>
        </w:pict>
      </w:r>
    </w:p>
    <w:bookmarkEnd w:id="119"/>
    <w:bookmarkEnd w:id="120"/>
    <w:bookmarkStart w:id="124" w:name="Xb4a364f76e9fa8073516100ed65590c50a6d5e9"/>
    <w:p>
      <w:pPr>
        <w:pStyle w:val="Heading3"/>
      </w:pPr>
      <w:r>
        <w:t xml:space="preserve">2.11 Equações Diferenciais e Dinâmica Intertemporal</w:t>
      </w:r>
    </w:p>
    <w:p>
      <w:pPr>
        <w:pStyle w:val="FirstParagraph"/>
      </w:pPr>
      <w:r>
        <w:t xml:space="preserve">Quando as decisões envolvem o</w:t>
      </w:r>
      <w:r>
        <w:t xml:space="preserve"> </w:t>
      </w:r>
      <w:r>
        <w:rPr>
          <w:b/>
          <w:bCs/>
        </w:rPr>
        <w:t xml:space="preserve">tempo</w:t>
      </w:r>
      <w:r>
        <w:t xml:space="preserve"> </w:t>
      </w:r>
      <w:r>
        <w:t xml:space="preserve">— poupar, investir, extrair recursos —, precisamos de equações diferenciais. O modelo mais importante neste livro é a</w:t>
      </w:r>
      <w:r>
        <w:t xml:space="preserve"> </w:t>
      </w:r>
      <w:r>
        <w:rPr>
          <w:b/>
          <w:bCs/>
        </w:rPr>
        <w:t xml:space="preserve">equação de Euler intertemporal</w:t>
      </w:r>
      <w:r>
        <w:t xml:space="preserve">, que governa as decisões de consumo ao longo do tempo (Capítulo 18 (Cap. 18)).</w:t>
      </w:r>
    </w:p>
    <w:bookmarkStart w:id="121" w:name="equações-diferenciais-ordinárias-edo"/>
    <w:p>
      <w:pPr>
        <w:pStyle w:val="Heading4"/>
      </w:pPr>
      <w:r>
        <w:t xml:space="preserve">Equações diferenciais ordinárias (EDO)</w:t>
      </w:r>
    </w:p>
    <w:p>
      <w:pPr>
        <w:pStyle w:val="BlockText"/>
      </w:pPr>
      <w:r>
        <w:rPr>
          <w:b/>
          <w:bCs/>
        </w:rPr>
        <w:t xml:space="preserve">[DEFINICAO] EDO Linear de Primeira Ordem</w:t>
      </w:r>
    </w:p>
    <w:p>
      <w:pPr>
        <w:pStyle w:val="BlockText"/>
      </w:pPr>
      <w:r>
        <w:t xml:space="preserve">Uma EDO da forma:</w:t>
      </w:r>
    </w:p>
    <w:p>
      <w:pPr>
        <w:pStyle w:val="BlockText"/>
      </w:pPr>
      <m:oMathPara>
        <m:oMathParaPr>
          <m:jc m:val="center"/>
        </m:oMathParaPr>
        <m:oMath>
          <m:f>
            <m:fPr>
              <m:type m:val="bar"/>
            </m:fPr>
            <m:num>
              <m:r>
                <m:t>d</m:t>
              </m:r>
              <m:r>
                <m:t>y</m:t>
              </m:r>
            </m:num>
            <m:den>
              <m:r>
                <m:t>d</m:t>
              </m:r>
              <m:r>
                <m:t>t</m:t>
              </m:r>
            </m:den>
          </m:f>
          <m:r>
            <m:rPr>
              <m:sty m:val="p"/>
            </m:rPr>
            <m:t>+</m:t>
          </m:r>
          <m:r>
            <m:t>a</m:t>
          </m:r>
          <m:r>
            <m:rPr>
              <m:sty m:val="p"/>
            </m:rPr>
            <m:t>(</m:t>
          </m:r>
          <m:r>
            <m:t>t</m:t>
          </m:r>
          <m:r>
            <m:rPr>
              <m:sty m:val="p"/>
            </m:rPr>
            <m:t>)</m:t>
          </m:r>
          <m:r>
            <m:t>y</m:t>
          </m:r>
          <m:r>
            <m:rPr>
              <m:sty m:val="p"/>
            </m:rPr>
            <m:t>=</m:t>
          </m:r>
          <m:r>
            <m:t>b</m:t>
          </m:r>
          <m:r>
            <m:rPr>
              <m:sty m:val="p"/>
            </m:rPr>
            <m:t>(</m:t>
          </m:r>
          <m:r>
            <m:t>t</m:t>
          </m:r>
          <m:r>
            <m:rPr>
              <m:sty m:val="p"/>
            </m:rPr>
            <m:t>)</m:t>
          </m:r>
        </m:oMath>
      </m:oMathPara>
    </w:p>
    <w:p>
      <w:pPr>
        <w:pStyle w:val="BlockText"/>
      </w:pPr>
      <w:r>
        <w:t xml:space="preserve">tem solução geral via fator integrante:</w:t>
      </w:r>
      <w:r>
        <w:t xml:space="preserve"> </w:t>
      </w:r>
      <m:oMath>
        <m:r>
          <m:t>μ</m:t>
        </m:r>
        <m:r>
          <m:rPr>
            <m:sty m:val="p"/>
          </m:rPr>
          <m:t>(</m:t>
        </m:r>
        <m:r>
          <m:t>t</m:t>
        </m:r>
        <m:r>
          <m:rPr>
            <m:sty m:val="p"/>
          </m:rPr>
          <m:t>)</m:t>
        </m:r>
        <m:r>
          <m:rPr>
            <m:sty m:val="p"/>
          </m:rPr>
          <m:t>=</m:t>
        </m:r>
        <m:sSup>
          <m:e>
            <m:r>
              <m:t>e</m:t>
            </m:r>
          </m:e>
          <m:sup>
            <m:r>
              <m:rPr>
                <m:sty m:val="p"/>
              </m:rPr>
              <m:t>∫</m:t>
            </m:r>
            <m:r>
              <m:t>a</m:t>
            </m:r>
            <m:r>
              <m:rPr>
                <m:sty m:val="p"/>
              </m:rPr>
              <m:t>(</m:t>
            </m:r>
            <m:r>
              <m:t>t</m:t>
            </m:r>
            <m:r>
              <m:rPr>
                <m:sty m:val="p"/>
              </m:rPr>
              <m:t>)</m:t>
            </m:r>
            <m:r>
              <m:t> </m:t>
            </m:r>
            <m:r>
              <m:t>d</m:t>
            </m:r>
            <m:r>
              <m:t>t</m:t>
            </m:r>
          </m:sup>
        </m:sSup>
      </m:oMath>
      <w:r>
        <w:t xml:space="preserve">.</w:t>
      </w:r>
    </w:p>
    <w:bookmarkEnd w:id="121"/>
    <w:bookmarkStart w:id="122" w:name="a-equação-de-euler-intertemporal"/>
    <w:p>
      <w:pPr>
        <w:pStyle w:val="Heading4"/>
      </w:pPr>
      <w:r>
        <w:t xml:space="preserve">A equação de Euler intertemporal</w:t>
      </w:r>
    </w:p>
    <w:p>
      <w:pPr>
        <w:pStyle w:val="FirstParagraph"/>
      </w:pPr>
      <w:r>
        <w:t xml:space="preserve">O consumidor que maximiza utilidade ao longo do tempo resolve:</w:t>
      </w:r>
    </w:p>
    <w:p>
      <w:pPr>
        <w:pStyle w:val="BodyText"/>
      </w:pPr>
      <m:oMathPara>
        <m:oMathParaPr>
          <m:jc m:val="center"/>
        </m:oMathParaPr>
        <m:oMath>
          <m:r>
            <m:rPr>
              <m:sty m:val="p"/>
            </m:rPr>
            <m:t>max</m:t>
          </m:r>
          <m:nary>
            <m:naryPr>
              <m:chr m:val="∫"/>
              <m:limLoc m:val="subSup"/>
              <m:subHide m:val="off"/>
              <m:supHide m:val="off"/>
            </m:naryPr>
            <m:sub>
              <m:r>
                <m:t>0</m:t>
              </m:r>
            </m:sub>
            <m:sup>
              <m:r>
                <m:t>T</m:t>
              </m:r>
            </m:sup>
            <m:e>
              <m:sSup>
                <m:e>
                  <m:r>
                    <m:t>e</m:t>
                  </m:r>
                </m:e>
                <m:sup>
                  <m:r>
                    <m:rPr>
                      <m:sty m:val="p"/>
                    </m:rPr>
                    <m:t>−</m:t>
                  </m:r>
                  <m:r>
                    <m:t>ρ</m:t>
                  </m:r>
                  <m:r>
                    <m:t>t</m:t>
                  </m:r>
                </m:sup>
              </m:sSup>
            </m:e>
          </m:nary>
          <m:r>
            <m:t>U</m:t>
          </m:r>
          <m:r>
            <m:rPr>
              <m:sty m:val="p"/>
            </m:rPr>
            <m:t>(</m:t>
          </m:r>
          <m:r>
            <m:t>c</m:t>
          </m:r>
          <m:r>
            <m:rPr>
              <m:sty m:val="p"/>
            </m:rPr>
            <m:t>(</m:t>
          </m:r>
          <m:r>
            <m:t>t</m:t>
          </m:r>
          <m:r>
            <m:rPr>
              <m:sty m:val="p"/>
            </m:rPr>
            <m:t>)</m:t>
          </m:r>
          <m:r>
            <m:rPr>
              <m:sty m:val="p"/>
            </m:rPr>
            <m:t>)</m:t>
          </m:r>
          <m:r>
            <m:t> </m:t>
          </m:r>
          <m:r>
            <m:t>d</m:t>
          </m:r>
          <m:r>
            <m:t>t</m:t>
          </m:r>
          <m:r>
            <m:t> </m:t>
          </m:r>
          <m:r>
            <m:rPr>
              <m:nor/>
              <m:sty m:val="p"/>
            </m:rPr>
            <m:t>s.a.</m:t>
          </m:r>
          <m:r>
            <m:t> </m:t>
          </m:r>
          <m:acc>
            <m:accPr>
              <m:chr m:val="̇"/>
            </m:accPr>
            <m:e>
              <m:r>
                <m:t>W</m:t>
              </m:r>
            </m:e>
          </m:acc>
          <m:r>
            <m:rPr>
              <m:sty m:val="p"/>
            </m:rPr>
            <m:t>=</m:t>
          </m:r>
          <m:r>
            <m:t>r</m:t>
          </m:r>
          <m:r>
            <m:t>W</m:t>
          </m:r>
          <m:r>
            <m:rPr>
              <m:sty m:val="p"/>
            </m:rPr>
            <m:t>−</m:t>
          </m:r>
          <m:r>
            <m:t>c</m:t>
          </m:r>
        </m:oMath>
      </m:oMathPara>
    </w:p>
    <w:p>
      <w:pPr>
        <w:pStyle w:val="FirstParagraph"/>
      </w:pPr>
      <w:r>
        <w:t xml:space="preserve">A CPO (via cálculo de variações ou princípio do máximo de Pontryagin) gera:</w:t>
      </w:r>
    </w:p>
    <w:p>
      <w:pPr>
        <w:pStyle w:val="BodyText"/>
      </w:pPr>
      <m:oMathPara>
        <m:oMathParaPr>
          <m:jc m:val="center"/>
        </m:oMathParaPr>
        <m:oMath>
          <m:f>
            <m:fPr>
              <m:type m:val="bar"/>
            </m:fPr>
            <m:num>
              <m:acc>
                <m:accPr>
                  <m:chr m:val="̇"/>
                </m:accPr>
                <m:e>
                  <m:r>
                    <m:t>c</m:t>
                  </m:r>
                </m:e>
              </m:acc>
            </m:num>
            <m:den>
              <m:r>
                <m:t>c</m:t>
              </m:r>
            </m:den>
          </m:f>
          <m:r>
            <m:rPr>
              <m:sty m:val="p"/>
            </m:rPr>
            <m:t>=</m:t>
          </m:r>
          <m:f>
            <m:fPr>
              <m:type m:val="bar"/>
            </m:fPr>
            <m:num>
              <m:r>
                <m:t>r</m:t>
              </m:r>
              <m:r>
                <m:rPr>
                  <m:sty m:val="p"/>
                </m:rPr>
                <m:t>−</m:t>
              </m:r>
              <m:r>
                <m:t>ρ</m:t>
              </m:r>
            </m:num>
            <m:den>
              <m:r>
                <m:t>σ</m:t>
              </m:r>
            </m:den>
          </m:f>
        </m:oMath>
      </m:oMathPara>
    </w:p>
    <w:p>
      <w:pPr>
        <w:pStyle w:val="FirstParagraph"/>
      </w:pPr>
      <w:r>
        <w:t xml:space="preserve">onde</w:t>
      </w:r>
      <w:r>
        <w:t xml:space="preserve"> </w:t>
      </w:r>
      <m:oMath>
        <m:r>
          <m:t>σ</m:t>
        </m:r>
        <m:r>
          <m:rPr>
            <m:sty m:val="p"/>
          </m:rPr>
          <m:t>=</m:t>
        </m:r>
        <m:r>
          <m:rPr>
            <m:sty m:val="p"/>
          </m:rPr>
          <m:t>−</m:t>
        </m:r>
        <m:r>
          <m:t>c</m:t>
        </m:r>
        <m:sSup>
          <m:e>
            <m:r>
              <m:t>U</m:t>
            </m:r>
          </m:e>
          <m:sup>
            <m:r>
              <m:rPr>
                <m:sty m:val="p"/>
              </m:rPr>
              <m:t>″</m:t>
            </m:r>
          </m:sup>
        </m:sSup>
        <m:r>
          <m:rPr>
            <m:sty m:val="p"/>
          </m:rPr>
          <m:t>/</m:t>
        </m:r>
        <m:sSup>
          <m:e>
            <m:r>
              <m:t>U</m:t>
            </m:r>
          </m:e>
          <m:sup>
            <m:r>
              <m:rPr>
                <m:sty m:val="p"/>
              </m:rPr>
              <m:t>′</m:t>
            </m:r>
          </m:sup>
        </m:sSup>
      </m:oMath>
      <w:r>
        <w:t xml:space="preserve"> </w:t>
      </w:r>
      <w:r>
        <w:t xml:space="preserve">é a elasticidade de substituição intertemporal e</w:t>
      </w:r>
      <w:r>
        <w:t xml:space="preserve"> </w:t>
      </w:r>
      <m:oMath>
        <m:r>
          <m:t>ρ</m:t>
        </m:r>
      </m:oMath>
      <w:r>
        <w:t xml:space="preserve"> </w:t>
      </w:r>
      <w:r>
        <w:t xml:space="preserve">é a taxa de desconto subjetiva.</w:t>
      </w:r>
    </w:p>
    <w:p>
      <w:pPr>
        <w:pStyle w:val="BlockText"/>
      </w:pPr>
      <w:r>
        <w:rPr>
          <w:b/>
          <w:bCs/>
        </w:rPr>
        <w:t xml:space="preserve">[INTUICAO ECONOMICA] Intuição Econômica</w:t>
      </w:r>
    </w:p>
    <w:p>
      <w:pPr>
        <w:pStyle w:val="BlockText"/>
      </w:pPr>
      <w:r>
        <w:rPr>
          <w:b/>
          <w:bCs/>
        </w:rPr>
        <w:t xml:space="preserve">Em uma frase:</w:t>
      </w:r>
      <w:r>
        <w:t xml:space="preserve"> </w:t>
      </w:r>
      <w:r>
        <w:t xml:space="preserve">O consumo cresce ao longo do tempo se e somente se o retorno do investimento (</w:t>
      </w:r>
      <m:oMath>
        <m:r>
          <m:t>r</m:t>
        </m:r>
      </m:oMath>
      <w:r>
        <w:t xml:space="preserve">) supera a impaciência (</w:t>
      </w:r>
      <m:oMath>
        <m:r>
          <m:t>ρ</m:t>
        </m:r>
      </m:oMath>
      <w:r>
        <w:t xml:space="preserve">).</w:t>
      </w:r>
    </w:p>
    <w:p>
      <w:pPr>
        <w:pStyle w:val="BlockText"/>
      </w:pPr>
      <w:r>
        <w:rPr>
          <w:b/>
          <w:bCs/>
        </w:rPr>
        <w:t xml:space="preserve">Onde aparece:</w:t>
      </w:r>
      <w:r>
        <w:t xml:space="preserve"> </w:t>
      </w:r>
      <w:r>
        <w:t xml:space="preserve">No Capítulo 18 (Cap. 18), essa equação fundamenta o modelo de Fisher de consumo intertemporal. No Capítulo 8 (Cap. 8), a inconsistência temporal do desconto hiperbólico viola exatamente essa condição.</w:t>
      </w:r>
    </w:p>
    <w:bookmarkEnd w:id="122"/>
    <w:bookmarkStart w:id="123" w:name="valor-presente-e-desconto"/>
    <w:p>
      <w:pPr>
        <w:pStyle w:val="Heading4"/>
      </w:pPr>
      <w:r>
        <w:t xml:space="preserve">Valor presente e desconto</w:t>
      </w:r>
    </w:p>
    <w:p>
      <w:pPr>
        <w:pStyle w:val="FirstParagraph"/>
      </w:pPr>
      <w:r>
        <w:t xml:space="preserve">$$
    VP = \int_0^T e^{-rt} f(t)\,dt \quad \text{(tempo contínuo)} \quad \text{ou} \quad VP = \sum_{t=0}^T \frac{f_t}{(1+r)^t} \quad \text{(discreto)}
    \label{eq:2.29} \tag{2.29}
    $$</w:t>
      </w:r>
    </w:p>
    <w:p>
      <w:pPr>
        <w:pStyle w:val="FirstParagraph"/>
      </w:pPr>
      <w:r>
        <w:t xml:space="preserve">Aplicações diretas: VPL e TIR (Seções 18.6–18.7 (Cap. 18)), Regra de Hotelling para recursos naturais (Seção 18.11 (Cap. 18)), custo social do carbono (Capítulo 24 (Cap. 24)).</w:t>
      </w:r>
    </w:p>
    <w:p>
      <w:r>
        <w:pict>
          <v:rect style="width:0;height:1.5pt" o:hralign="center" o:hrstd="t" o:hr="t"/>
        </w:pict>
      </w:r>
    </w:p>
    <w:bookmarkEnd w:id="123"/>
    <w:bookmarkEnd w:id="124"/>
    <w:bookmarkStart w:id="128" w:name="X2154fea5da2dd0d1732ff30931723c2973003a0"/>
    <w:p>
      <w:pPr>
        <w:pStyle w:val="Heading3"/>
      </w:pPr>
      <w:r>
        <w:t xml:space="preserve">2.12 Probabilidade e Estatística para Economistas</w:t>
      </w:r>
    </w:p>
    <w:p>
      <w:pPr>
        <w:pStyle w:val="FirstParagraph"/>
      </w:pPr>
      <w:r>
        <w:t xml:space="preserve">A teoria da escolha sob incerteza (Capítulo 7 (Cap. 7)) e a economia comportamental (Capítulo 8 (Cap. 8)) exigem um vocabulário mínimo de probabilidade.</w:t>
      </w:r>
    </w:p>
    <w:bookmarkStart w:id="125" w:name="conceitos-essenciais"/>
    <w:p>
      <w:pPr>
        <w:pStyle w:val="Heading4"/>
      </w:pPr>
      <w:r>
        <w:t xml:space="preserve">Conceitos essenciais</w:t>
      </w:r>
    </w:p>
    <w:p>
      <w:pPr>
        <w:pStyle w:val="BlockText"/>
      </w:pPr>
      <w:r>
        <w:rPr>
          <w:b/>
          <w:bCs/>
        </w:rPr>
        <w:t xml:space="preserve">[DEFINICAO] Valor Esperado e Variância</w:t>
      </w:r>
    </w:p>
    <w:p>
      <w:pPr>
        <w:pStyle w:val="BlockText"/>
      </w:pPr>
      <w:r>
        <w:t xml:space="preserve">Para uma variável aleatória discreta</w:t>
      </w:r>
      <w:r>
        <w:t xml:space="preserve"> </w:t>
      </w:r>
      <m:oMath>
        <m:r>
          <m:t>X</m:t>
        </m:r>
      </m:oMath>
      <w:r>
        <w:t xml:space="preserve"> </w:t>
      </w:r>
      <w:r>
        <w:t xml:space="preserve">com realizações</w:t>
      </w:r>
      <w:r>
        <w:t xml:space="preserve"> </w:t>
      </w:r>
      <m:oMath>
        <m:sSub>
          <m:e>
            <m:r>
              <m:t>x</m:t>
            </m:r>
          </m:e>
          <m:sub>
            <m:r>
              <m:t>i</m:t>
            </m:r>
          </m:sub>
        </m:sSub>
      </m:oMath>
      <w:r>
        <w:t xml:space="preserve"> </w:t>
      </w:r>
      <w:r>
        <w:t xml:space="preserve">e probabilidades</w:t>
      </w:r>
      <w:r>
        <w:t xml:space="preserve"> </w:t>
      </w:r>
      <m:oMath>
        <m:sSub>
          <m:e>
            <m:r>
              <m:t>p</m:t>
            </m:r>
          </m:e>
          <m:sub>
            <m:r>
              <m:t>i</m:t>
            </m:r>
          </m:sub>
        </m:sSub>
      </m:oMath>
      <w:r>
        <w:t xml:space="preserve">:</w:t>
      </w:r>
    </w:p>
    <w:p>
      <w:pPr>
        <w:pStyle w:val="BlockText"/>
      </w:pPr>
      <w:r>
        <w:t xml:space="preserve">$$
    E[X] = \sum_i p_i x_i
    \label{eq:2.30} \tag{2.30}
    $$</w:t>
      </w:r>
    </w:p>
    <w:p>
      <w:pPr>
        <w:pStyle w:val="BlockText"/>
      </w:pPr>
      <m:oMathPara>
        <m:oMathParaPr>
          <m:jc m:val="center"/>
        </m:oMathParaPr>
        <m:oMath>
          <m:r>
            <m:t>V</m:t>
          </m:r>
          <m:r>
            <m:t>a</m:t>
          </m:r>
          <m:r>
            <m:t>r</m:t>
          </m:r>
          <m:r>
            <m:rPr>
              <m:sty m:val="p"/>
            </m:rPr>
            <m:t>(</m:t>
          </m:r>
          <m:r>
            <m:t>X</m:t>
          </m:r>
          <m:r>
            <m:rPr>
              <m:sty m:val="p"/>
            </m:rPr>
            <m:t>)</m:t>
          </m:r>
          <m:r>
            <m:rPr>
              <m:sty m:val="p"/>
            </m:rPr>
            <m:t>=</m:t>
          </m:r>
          <m:r>
            <m:t>E</m:t>
          </m:r>
          <m:r>
            <m:rPr>
              <m:sty m:val="p"/>
            </m:rPr>
            <m:t>[</m:t>
          </m:r>
          <m:r>
            <m:rPr>
              <m:sty m:val="p"/>
            </m:rPr>
            <m:t>(</m:t>
          </m:r>
          <m:r>
            <m:t>X</m:t>
          </m:r>
          <m:r>
            <m:rPr>
              <m:sty m:val="p"/>
            </m:rPr>
            <m:t>−</m:t>
          </m:r>
          <m:r>
            <m:t>E</m:t>
          </m:r>
          <m:r>
            <m:rPr>
              <m:sty m:val="p"/>
            </m:rPr>
            <m:t>[</m:t>
          </m:r>
          <m:r>
            <m:t>X</m:t>
          </m:r>
          <m:r>
            <m:rPr>
              <m:sty m:val="p"/>
            </m:rPr>
            <m:t>]</m:t>
          </m:r>
          <m:sSup>
            <m:e>
              <m:r>
                <m:rPr>
                  <m:sty m:val="p"/>
                </m:rPr>
                <m:t>)</m:t>
              </m:r>
            </m:e>
            <m:sup>
              <m:r>
                <m:t>2</m:t>
              </m:r>
            </m:sup>
          </m:sSup>
          <m:r>
            <m:rPr>
              <m:sty m:val="p"/>
            </m:rPr>
            <m:t>]</m:t>
          </m:r>
          <m:r>
            <m:rPr>
              <m:sty m:val="p"/>
            </m:rPr>
            <m:t>=</m:t>
          </m:r>
          <m:r>
            <m:t>E</m:t>
          </m:r>
          <m:r>
            <m:rPr>
              <m:sty m:val="p"/>
            </m:rPr>
            <m:t>[</m:t>
          </m:r>
          <m:sSup>
            <m:e>
              <m:r>
                <m:t>X</m:t>
              </m:r>
            </m:e>
            <m:sup>
              <m:r>
                <m:t>2</m:t>
              </m:r>
            </m:sup>
          </m:sSup>
          <m:r>
            <m:rPr>
              <m:sty m:val="p"/>
            </m:rPr>
            <m:t>]</m:t>
          </m:r>
          <m:r>
            <m:rPr>
              <m:sty m:val="p"/>
            </m:rPr>
            <m:t>−</m:t>
          </m:r>
          <m:r>
            <m:rPr>
              <m:sty m:val="p"/>
            </m:rPr>
            <m:t>(</m:t>
          </m:r>
          <m:r>
            <m:t>E</m:t>
          </m:r>
          <m:r>
            <m:rPr>
              <m:sty m:val="p"/>
            </m:rPr>
            <m:t>[</m:t>
          </m:r>
          <m:r>
            <m:t>X</m:t>
          </m:r>
          <m:r>
            <m:rPr>
              <m:sty m:val="p"/>
            </m:rPr>
            <m:t>]</m:t>
          </m:r>
          <m:sSup>
            <m:e>
              <m:r>
                <m:rPr>
                  <m:sty m:val="p"/>
                </m:rPr>
                <m:t>)</m:t>
              </m:r>
            </m:e>
            <m:sup>
              <m:r>
                <m:t>2</m:t>
              </m:r>
            </m:sup>
          </m:sSup>
        </m:oMath>
      </m:oMathPara>
    </w:p>
    <w:bookmarkEnd w:id="125"/>
    <w:bookmarkStart w:id="126" w:name="desigualdade-de-jensen"/>
    <w:p>
      <w:pPr>
        <w:pStyle w:val="Heading4"/>
      </w:pPr>
      <w:r>
        <w:t xml:space="preserve">Desigualdade de Jensen</w:t>
      </w:r>
    </w:p>
    <w:p>
      <w:pPr>
        <w:pStyle w:val="BlockText"/>
      </w:pPr>
      <w:r>
        <w:rPr>
          <w:b/>
          <w:bCs/>
        </w:rPr>
        <w:t xml:space="preserve">[DEFINICAO] Desigualdade de Jensen</w:t>
      </w:r>
    </w:p>
    <w:p>
      <w:pPr>
        <w:pStyle w:val="BlockText"/>
      </w:pPr>
      <w:r>
        <w:t xml:space="preserve">Se</w:t>
      </w:r>
      <w:r>
        <w:t xml:space="preserve"> </w:t>
      </w:r>
      <m:oMath>
        <m:r>
          <m:t>f</m:t>
        </m:r>
      </m:oMath>
      <w:r>
        <w:t xml:space="preserve"> </w:t>
      </w:r>
      <w:r>
        <w:t xml:space="preserve">é</w:t>
      </w:r>
      <w:r>
        <w:t xml:space="preserve"> </w:t>
      </w:r>
      <w:r>
        <w:rPr>
          <w:b/>
          <w:bCs/>
        </w:rPr>
        <w:t xml:space="preserve">côncava</w:t>
      </w:r>
      <w:r>
        <w:t xml:space="preserve"> </w:t>
      </w:r>
      <w:r>
        <w:t xml:space="preserve">e</w:t>
      </w:r>
      <w:r>
        <w:t xml:space="preserve"> </w:t>
      </w:r>
      <m:oMath>
        <m:r>
          <m:t>X</m:t>
        </m:r>
      </m:oMath>
      <w:r>
        <w:t xml:space="preserve"> </w:t>
      </w:r>
      <w:r>
        <w:t xml:space="preserve">é uma variável aleatória:</w:t>
      </w:r>
    </w:p>
    <w:p>
      <w:pPr>
        <w:pStyle w:val="BlockText"/>
      </w:pPr>
      <m:oMathPara>
        <m:oMathParaPr>
          <m:jc m:val="center"/>
        </m:oMathParaPr>
        <m:oMath>
          <m:r>
            <m:t>E</m:t>
          </m:r>
          <m:r>
            <m:rPr>
              <m:sty m:val="p"/>
            </m:rPr>
            <m:t>[</m:t>
          </m:r>
          <m:r>
            <m:t>f</m:t>
          </m:r>
          <m:r>
            <m:rPr>
              <m:sty m:val="p"/>
            </m:rPr>
            <m:t>(</m:t>
          </m:r>
          <m:r>
            <m:t>X</m:t>
          </m:r>
          <m:r>
            <m:rPr>
              <m:sty m:val="p"/>
            </m:rPr>
            <m:t>)</m:t>
          </m:r>
          <m:r>
            <m:rPr>
              <m:sty m:val="p"/>
            </m:rPr>
            <m:t>]</m:t>
          </m:r>
          <m:r>
            <m:rPr>
              <m:sty m:val="p"/>
            </m:rPr>
            <m:t>≤</m:t>
          </m:r>
          <m:r>
            <m:t>f</m:t>
          </m:r>
          <m:r>
            <m:rPr>
              <m:sty m:val="p"/>
            </m:rPr>
            <m:t>(</m:t>
          </m:r>
          <m:r>
            <m:t>E</m:t>
          </m:r>
          <m:r>
            <m:rPr>
              <m:sty m:val="p"/>
            </m:rPr>
            <m:t>[</m:t>
          </m:r>
          <m:r>
            <m:t>X</m:t>
          </m:r>
          <m:r>
            <m:rPr>
              <m:sty m:val="p"/>
            </m:rPr>
            <m:t>]</m:t>
          </m:r>
          <m:r>
            <m:rPr>
              <m:sty m:val="p"/>
            </m:rPr>
            <m:t>)</m:t>
          </m:r>
        </m:oMath>
      </m:oMathPara>
    </w:p>
    <w:p>
      <w:pPr>
        <w:pStyle w:val="BlockText"/>
      </w:pPr>
      <w:r>
        <w:t xml:space="preserve">Se</w:t>
      </w:r>
      <w:r>
        <w:t xml:space="preserve"> </w:t>
      </w:r>
      <m:oMath>
        <m:r>
          <m:t>f</m:t>
        </m:r>
      </m:oMath>
      <w:r>
        <w:t xml:space="preserve"> </w:t>
      </w:r>
      <w:r>
        <w:t xml:space="preserve">é</w:t>
      </w:r>
      <w:r>
        <w:t xml:space="preserve"> </w:t>
      </w:r>
      <w:r>
        <w:rPr>
          <w:b/>
          <w:bCs/>
        </w:rPr>
        <w:t xml:space="preserve">convexa</w:t>
      </w:r>
      <w:r>
        <w:t xml:space="preserve">, a desigualdade se inverte.</w:t>
      </w:r>
    </w:p>
    <w:p>
      <w:pPr>
        <w:pStyle w:val="BlockText"/>
      </w:pPr>
      <w:r>
        <w:rPr>
          <w:b/>
          <w:bCs/>
        </w:rPr>
        <w:t xml:space="preserve">[INTUICAO ECONOMICA] Intuição Econômica</w:t>
      </w:r>
    </w:p>
    <w:p>
      <w:pPr>
        <w:pStyle w:val="BlockText"/>
      </w:pPr>
      <w:r>
        <w:rPr>
          <w:b/>
          <w:bCs/>
        </w:rPr>
        <w:t xml:space="preserve">Em uma frase:</w:t>
      </w:r>
      <w:r>
        <w:t xml:space="preserve"> </w:t>
      </w:r>
      <w:r>
        <w:t xml:space="preserve">A Desigualdade de Jensen é a formalização matemática da aversão ao risco: com utilidade côncava, o agente prefere o valor esperado da loteria (</w:t>
      </w:r>
      <m:oMath>
        <m:r>
          <m:t>U</m:t>
        </m:r>
        <m:r>
          <m:rPr>
            <m:sty m:val="p"/>
          </m:rPr>
          <m:t>(</m:t>
        </m:r>
        <m:r>
          <m:t>E</m:t>
        </m:r>
        <m:r>
          <m:rPr>
            <m:sty m:val="p"/>
          </m:rPr>
          <m:t>[</m:t>
        </m:r>
        <m:r>
          <m:t>X</m:t>
        </m:r>
        <m:r>
          <m:rPr>
            <m:sty m:val="p"/>
          </m:rPr>
          <m:t>]</m:t>
        </m:r>
        <m:r>
          <m:rPr>
            <m:sty m:val="p"/>
          </m:rPr>
          <m:t>)</m:t>
        </m:r>
      </m:oMath>
      <w:r>
        <w:t xml:space="preserve">) à loteria em si (</w:t>
      </w:r>
      <m:oMath>
        <m:r>
          <m:t>E</m:t>
        </m:r>
        <m:r>
          <m:rPr>
            <m:sty m:val="p"/>
          </m:rPr>
          <m:t>[</m:t>
        </m:r>
        <m:r>
          <m:t>U</m:t>
        </m:r>
        <m:r>
          <m:rPr>
            <m:sty m:val="p"/>
          </m:rPr>
          <m:t>(</m:t>
        </m:r>
        <m:r>
          <m:t>X</m:t>
        </m:r>
        <m:r>
          <m:rPr>
            <m:sty m:val="p"/>
          </m:rPr>
          <m:t>)</m:t>
        </m:r>
        <m:r>
          <m:rPr>
            <m:sty m:val="p"/>
          </m:rPr>
          <m:t>]</m:t>
        </m:r>
      </m:oMath>
      <w:r>
        <w:t xml:space="preserve">).</w:t>
      </w:r>
    </w:p>
    <w:p>
      <w:pPr>
        <w:pStyle w:val="BlockText"/>
      </w:pPr>
      <w:r>
        <w:rPr>
          <w:b/>
          <w:bCs/>
        </w:rPr>
        <w:t xml:space="preserve">Onde aparece:</w:t>
      </w:r>
      <w:r>
        <w:t xml:space="preserve"> </w:t>
      </w:r>
      <w:r>
        <w:t xml:space="preserve">É o fundamento do prêmio de risco e do equivalente de certeza no Capítulo 7, Seção 7.3 (Cap. 7). Também é essencial na prova de que a diversificação reduz o risco (Seção 7.6 (Cap. 7)).</w:t>
      </w:r>
    </w:p>
    <w:bookmarkEnd w:id="126"/>
    <w:bookmarkStart w:id="127" w:name="teorema-de-bayes"/>
    <w:p>
      <w:pPr>
        <w:pStyle w:val="Heading4"/>
      </w:pPr>
      <w:r>
        <w:t xml:space="preserve">Teorema de Bayes</w:t>
      </w:r>
    </w:p>
    <w:p>
      <w:pPr>
        <w:pStyle w:val="FirstParagraph"/>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B</m:t>
              </m:r>
              <m:r>
                <m:rPr>
                  <m:sty m:val="p"/>
                </m:rPr>
                <m:t>|</m:t>
              </m:r>
              <m:r>
                <m:t>A</m:t>
              </m:r>
              <m:r>
                <m:rPr>
                  <m:sty m:val="p"/>
                </m:rPr>
                <m:t>)</m:t>
              </m:r>
              <m:r>
                <m:rPr>
                  <m:sty m:val="p"/>
                </m:rPr>
                <m:t>⋅</m:t>
              </m:r>
              <m:r>
                <m:t>P</m:t>
              </m:r>
              <m:r>
                <m:rPr>
                  <m:sty m:val="p"/>
                </m:rPr>
                <m:t>(</m:t>
              </m:r>
              <m:r>
                <m:t>A</m:t>
              </m:r>
              <m:r>
                <m:rPr>
                  <m:sty m:val="p"/>
                </m:rPr>
                <m:t>)</m:t>
              </m:r>
            </m:num>
            <m:den>
              <m:r>
                <m:t>P</m:t>
              </m:r>
              <m:r>
                <m:rPr>
                  <m:sty m:val="p"/>
                </m:rPr>
                <m:t>(</m:t>
              </m:r>
              <m:r>
                <m:t>B</m:t>
              </m:r>
              <m:r>
                <m:rPr>
                  <m:sty m:val="p"/>
                </m:rPr>
                <m:t>)</m:t>
              </m:r>
            </m:den>
          </m:f>
        </m:oMath>
      </m:oMathPara>
    </w:p>
    <w:p>
      <w:pPr>
        <w:pStyle w:val="FirstParagraph"/>
      </w:pPr>
      <w:r>
        <w:t xml:space="preserve">Aplicação direta: atualização de crenças nos jogos bayesianos (Capítulo 9c (Cap. 9)) e na sinalização (Capítulo 9d (Cap. 9)).</w:t>
      </w:r>
    </w:p>
    <w:p>
      <w:r>
        <w:pict>
          <v:rect style="width:0;height:1.5pt" o:hralign="center" o:hrstd="t" o:hr="t"/>
        </w:pict>
      </w:r>
    </w:p>
    <w:bookmarkEnd w:id="127"/>
    <w:bookmarkEnd w:id="128"/>
    <w:bookmarkStart w:id="133" w:name="X9187dc98dce52fa4c4e8e05b341a9b77a51fd26"/>
    <w:p>
      <w:pPr>
        <w:pStyle w:val="Heading3"/>
      </w:pPr>
      <w:r>
        <w:t xml:space="preserve">2.13 Teoremas de Ponto Fixo e Existência de Equilíbrio</w:t>
      </w:r>
    </w:p>
    <w:p>
      <w:pPr>
        <w:pStyle w:val="FirstParagraph"/>
      </w:pPr>
      <w:r>
        <w:t xml:space="preserve">O equilíbrio de Nash (Capítulo 9a (Cap. 9)) e o equilíbrio geral walrasiano (Capítulo 14 (Cap. 14)) são</w:t>
      </w:r>
      <w:r>
        <w:t xml:space="preserve"> </w:t>
      </w:r>
      <w:r>
        <w:rPr>
          <w:b/>
          <w:bCs/>
        </w:rPr>
        <w:t xml:space="preserve">pontos fixos</w:t>
      </w:r>
      <w:r>
        <w:t xml:space="preserve"> </w:t>
      </w:r>
      <w:r>
        <w:t xml:space="preserve">de certas funções. Provar que eles</w:t>
      </w:r>
      <w:r>
        <w:t xml:space="preserve"> </w:t>
      </w:r>
      <w:r>
        <w:rPr>
          <w:i/>
          <w:iCs/>
        </w:rPr>
        <w:t xml:space="preserve">existem</w:t>
      </w:r>
      <w:r>
        <w:t xml:space="preserve"> </w:t>
      </w:r>
      <w:r>
        <w:t xml:space="preserve">requer teoremas de ponto fixo — ferramentas que garantem que uma função</w:t>
      </w:r>
      <w:r>
        <w:t xml:space="preserve"> </w:t>
      </w:r>
      <w:r>
        <w:t xml:space="preserve">“se intercepta consigo mesma”</w:t>
      </w:r>
      <w:r>
        <w:t xml:space="preserve">.</w:t>
      </w:r>
      <w:r>
        <w:rPr>
          <w:rStyle w:val="FootnoteReference"/>
        </w:rPr>
        <w:footnoteReference w:id="129"/>
      </w:r>
    </w:p>
    <w:bookmarkStart w:id="130" w:name="teorema-de-brouwer"/>
    <w:p>
      <w:pPr>
        <w:pStyle w:val="Heading4"/>
      </w:pPr>
      <w:r>
        <w:t xml:space="preserve">Teorema de Brouwer</w:t>
      </w:r>
    </w:p>
    <w:p>
      <w:pPr>
        <w:pStyle w:val="BlockText"/>
      </w:pPr>
      <w:r>
        <w:rPr>
          <w:b/>
          <w:bCs/>
        </w:rPr>
        <w:t xml:space="preserve">[DEFINICAO] Teorema do Ponto Fixo de Brouwer</w:t>
      </w:r>
    </w:p>
    <w:p>
      <w:pPr>
        <w:pStyle w:val="BlockText"/>
      </w:pPr>
      <w:r>
        <w:t xml:space="preserve">Seja</w:t>
      </w:r>
      <w:r>
        <w:t xml:space="preserve"> </w:t>
      </w:r>
      <m:oMath>
        <m:r>
          <m:t>f</m:t>
        </m:r>
        <m:r>
          <m:rPr>
            <m:sty m:val="p"/>
          </m:rPr>
          <m:t>:</m:t>
        </m:r>
        <m:r>
          <m:t>S</m:t>
        </m:r>
        <m:r>
          <m:rPr>
            <m:sty m:val="p"/>
          </m:rPr>
          <m:t>→</m:t>
        </m:r>
        <m:r>
          <m:t>S</m:t>
        </m:r>
      </m:oMath>
      <w:r>
        <w:t xml:space="preserve"> </w:t>
      </w:r>
      <w:r>
        <w:t xml:space="preserve">uma função</w:t>
      </w:r>
      <w:r>
        <w:t xml:space="preserve"> </w:t>
      </w:r>
      <w:r>
        <w:rPr>
          <w:b/>
          <w:bCs/>
        </w:rPr>
        <w:t xml:space="preserve">contínua</w:t>
      </w:r>
      <w:r>
        <w:t xml:space="preserve">, onde</w:t>
      </w:r>
      <w:r>
        <w:t xml:space="preserve"> </w:t>
      </w:r>
      <m:oMath>
        <m:r>
          <m:t>S</m:t>
        </m:r>
        <m:r>
          <m:rPr>
            <m:sty m:val="p"/>
          </m:rPr>
          <m:t>⊆</m:t>
        </m:r>
        <m:sSup>
          <m:e>
            <m:r>
              <m:rPr>
                <m:scr m:val="double-struck"/>
                <m:sty m:val="p"/>
              </m:rPr>
              <m:t>R</m:t>
            </m:r>
          </m:e>
          <m:sup>
            <m:r>
              <m:t>n</m:t>
            </m:r>
          </m:sup>
        </m:sSup>
      </m:oMath>
      <w:r>
        <w:t xml:space="preserve"> </w:t>
      </w:r>
      <w:r>
        <w:t xml:space="preserve">é</w:t>
      </w:r>
      <w:r>
        <w:t xml:space="preserve"> </w:t>
      </w:r>
      <w:r>
        <w:rPr>
          <w:b/>
          <w:bCs/>
        </w:rPr>
        <w:t xml:space="preserve">compacto</w:t>
      </w:r>
      <w:r>
        <w:t xml:space="preserve"> </w:t>
      </w:r>
      <w:r>
        <w:t xml:space="preserve">e</w:t>
      </w:r>
      <w:r>
        <w:t xml:space="preserve"> </w:t>
      </w:r>
      <w:r>
        <w:rPr>
          <w:b/>
          <w:bCs/>
        </w:rPr>
        <w:t xml:space="preserve">convexo</w:t>
      </w:r>
      <w:r>
        <w:t xml:space="preserve">. Então existe</w:t>
      </w:r>
      <w:r>
        <w:t xml:space="preserve"> </w:t>
      </w:r>
      <m:oMath>
        <m:sSup>
          <m:e>
            <m:r>
              <m:t>x</m:t>
            </m:r>
          </m:e>
          <m:sup>
            <m:r>
              <m:rPr>
                <m:sty m:val="p"/>
              </m:rPr>
              <m:t>*</m:t>
            </m:r>
          </m:sup>
        </m:sSup>
        <m:r>
          <m:rPr>
            <m:sty m:val="p"/>
          </m:rPr>
          <m:t>∈</m:t>
        </m:r>
        <m:r>
          <m:t>S</m:t>
        </m:r>
      </m:oMath>
      <w:r>
        <w:t xml:space="preserve"> </w:t>
      </w:r>
      <w:r>
        <w:t xml:space="preserve">tal que:</w:t>
      </w:r>
    </w:p>
    <w:p>
      <w:pPr>
        <w:pStyle w:val="BlockText"/>
      </w:pPr>
      <m:oMathPara>
        <m:oMathParaPr>
          <m:jc m:val="center"/>
        </m:oMathParaPr>
        <m:oMath>
          <m:r>
            <m:t>f</m:t>
          </m:r>
          <m:r>
            <m:rPr>
              <m:sty m:val="p"/>
            </m:rPr>
            <m:t>(</m:t>
          </m:r>
          <m:sSup>
            <m:e>
              <m:r>
                <m:t>x</m:t>
              </m:r>
            </m:e>
            <m:sup>
              <m:r>
                <m:rPr>
                  <m:sty m:val="p"/>
                </m:rPr>
                <m:t>*</m:t>
              </m:r>
            </m:sup>
          </m:sSup>
          <m:r>
            <m:rPr>
              <m:sty m:val="p"/>
            </m:rPr>
            <m:t>)</m:t>
          </m:r>
          <m:r>
            <m:rPr>
              <m:sty m:val="p"/>
            </m:rPr>
            <m:t>=</m:t>
          </m:r>
          <m:sSup>
            <m:e>
              <m:r>
                <m:t>x</m:t>
              </m:r>
            </m:e>
            <m:sup>
              <m:r>
                <m:rPr>
                  <m:sty m:val="p"/>
                </m:rPr>
                <m:t>*</m:t>
              </m:r>
            </m:sup>
          </m:sSup>
        </m:oMath>
      </m:oMathPara>
    </w:p>
    <w:p>
      <w:pPr>
        <w:pStyle w:val="BlockText"/>
      </w:pPr>
      <w:r>
        <w:rPr>
          <w:b/>
          <w:bCs/>
        </w:rPr>
        <w:t xml:space="preserve">[INTUICAO ECONOMICA] Intuição Econômica</w:t>
      </w:r>
    </w:p>
    <w:p>
      <w:pPr>
        <w:pStyle w:val="BlockText"/>
      </w:pPr>
      <w:r>
        <w:rPr>
          <w:b/>
          <w:bCs/>
        </w:rPr>
        <w:t xml:space="preserve">Em uma frase:</w:t>
      </w:r>
      <w:r>
        <w:t xml:space="preserve"> </w:t>
      </w:r>
      <w:r>
        <w:t xml:space="preserve">Se você amassa um mapa e o coloca sobre o mapa original, pelo menos um ponto do mapa amassado está diretamente sobre sua posição original.</w:t>
      </w:r>
    </w:p>
    <w:p>
      <w:pPr>
        <w:pStyle w:val="BlockText"/>
      </w:pPr>
      <w:r>
        <w:rPr>
          <w:b/>
          <w:bCs/>
        </w:rPr>
        <w:t xml:space="preserve">Aplicação:</w:t>
      </w:r>
      <w:r>
        <w:t xml:space="preserve"> </w:t>
      </w:r>
      <w:r>
        <w:t xml:space="preserve">No Capítulo 14 (Cap. 14), a função de excesso de demanda</w:t>
      </w:r>
      <w:r>
        <w:t xml:space="preserve"> </w:t>
      </w:r>
      <m:oMath>
        <m:r>
          <m:t>z</m:t>
        </m:r>
        <m:r>
          <m:rPr>
            <m:sty m:val="p"/>
          </m:rPr>
          <m:t>(</m:t>
        </m:r>
        <m:r>
          <m:t>p</m:t>
        </m:r>
        <m:r>
          <m:rPr>
            <m:sty m:val="p"/>
          </m:rPr>
          <m:t>)</m:t>
        </m:r>
      </m:oMath>
      <w:r>
        <w:t xml:space="preserve"> </w:t>
      </w:r>
      <w:r>
        <w:t xml:space="preserve">mapeia preços em</w:t>
      </w:r>
      <w:r>
        <w:t xml:space="preserve"> </w:t>
      </w:r>
      <w:r>
        <w:t xml:space="preserve">“desequilíbrios”</w:t>
      </w:r>
      <w:r>
        <w:t xml:space="preserve">. O equilíbrio walrasiano é o vetor de preços</w:t>
      </w:r>
      <w:r>
        <w:t xml:space="preserve"> </w:t>
      </w:r>
      <m:oMath>
        <m:sSup>
          <m:e>
            <m:r>
              <m:t>p</m:t>
            </m:r>
          </m:e>
          <m:sup>
            <m:r>
              <m:rPr>
                <m:sty m:val="p"/>
              </m:rPr>
              <m:t>*</m:t>
            </m:r>
          </m:sup>
        </m:sSup>
      </m:oMath>
      <w:r>
        <w:t xml:space="preserve"> </w:t>
      </w:r>
      <w:r>
        <w:t xml:space="preserve">onde</w:t>
      </w:r>
      <w:r>
        <w:t xml:space="preserve"> </w:t>
      </w:r>
      <m:oMath>
        <m:r>
          <m:t>z</m:t>
        </m:r>
        <m:r>
          <m:rPr>
            <m:sty m:val="p"/>
          </m:rPr>
          <m:t>(</m:t>
        </m:r>
        <m:sSup>
          <m:e>
            <m:r>
              <m:t>p</m:t>
            </m:r>
          </m:e>
          <m:sup>
            <m:r>
              <m:rPr>
                <m:sty m:val="p"/>
              </m:rPr>
              <m:t>*</m:t>
            </m:r>
          </m:sup>
        </m:sSup>
        <m:r>
          <m:rPr>
            <m:sty m:val="p"/>
          </m:rPr>
          <m:t>)</m:t>
        </m:r>
        <m:r>
          <m:rPr>
            <m:sty m:val="p"/>
          </m:rPr>
          <m:t>=</m:t>
        </m:r>
        <m:r>
          <m:t>0</m:t>
        </m:r>
      </m:oMath>
      <w:r>
        <w:t xml:space="preserve"> </w:t>
      </w:r>
      <w:r>
        <w:t xml:space="preserve">— um ponto fixo de</w:t>
      </w:r>
      <w:r>
        <w:t xml:space="preserve"> </w:t>
      </w:r>
      <m:oMath>
        <m:r>
          <m:t>p</m:t>
        </m:r>
        <m:r>
          <m:rPr>
            <m:sty m:val="p"/>
          </m:rPr>
          <m:t>↦</m:t>
        </m:r>
        <m:r>
          <m:t>p</m:t>
        </m:r>
        <m:r>
          <m:rPr>
            <m:sty m:val="p"/>
          </m:rPr>
          <m:t>+</m:t>
        </m:r>
        <m:r>
          <m:t>z</m:t>
        </m:r>
        <m:r>
          <m:rPr>
            <m:sty m:val="p"/>
          </m:rPr>
          <m:t>(</m:t>
        </m:r>
        <m:r>
          <m:t>p</m:t>
        </m:r>
        <m:r>
          <m:rPr>
            <m:sty m:val="p"/>
          </m:rPr>
          <m:t>)</m:t>
        </m:r>
      </m:oMath>
      <w:r>
        <w:t xml:space="preserve"> </w:t>
      </w:r>
      <w:r>
        <w:t xml:space="preserve">(após normalização). Brouwer garante que ele existe, desde que</w:t>
      </w:r>
      <w:r>
        <w:t xml:space="preserve"> </w:t>
      </w:r>
      <m:oMath>
        <m:r>
          <m:t>z</m:t>
        </m:r>
      </m:oMath>
      <w:r>
        <w:t xml:space="preserve"> </w:t>
      </w:r>
      <w:r>
        <w:t xml:space="preserve">seja contínua e definida num simplex de preços (compacto e convexo).</w:t>
      </w:r>
    </w:p>
    <w:bookmarkEnd w:id="130"/>
    <w:bookmarkStart w:id="131" w:name="teorema-de-kakutani"/>
    <w:p>
      <w:pPr>
        <w:pStyle w:val="Heading4"/>
      </w:pPr>
      <w:r>
        <w:t xml:space="preserve">Teorema de Kakutani</w:t>
      </w:r>
    </w:p>
    <w:p>
      <w:pPr>
        <w:pStyle w:val="FirstParagraph"/>
      </w:pPr>
      <w:r>
        <w:t xml:space="preserve">Para equilíbrios de Nash em que as melhores respostas podem ser</w:t>
      </w:r>
      <w:r>
        <w:t xml:space="preserve"> </w:t>
      </w:r>
      <w:r>
        <w:rPr>
          <w:b/>
          <w:bCs/>
        </w:rPr>
        <w:t xml:space="preserve">correspondências</w:t>
      </w:r>
      <w:r>
        <w:t xml:space="preserve"> </w:t>
      </w:r>
      <w:r>
        <w:t xml:space="preserve">(conjuntos, não funções), usa-se a generalização de Kakutani:</w:t>
      </w:r>
    </w:p>
    <w:p>
      <w:pPr>
        <w:pStyle w:val="BlockText"/>
      </w:pPr>
      <w:r>
        <w:rPr>
          <w:b/>
          <w:bCs/>
        </w:rPr>
        <w:t xml:space="preserve">[DEFINICAO] Teorema do Ponto Fixo de Kakutani</w:t>
      </w:r>
    </w:p>
    <w:p>
      <w:pPr>
        <w:pStyle w:val="BlockText"/>
      </w:pPr>
      <w:r>
        <w:t xml:space="preserve">Seja</w:t>
      </w:r>
      <w:r>
        <w:t xml:space="preserve"> </w:t>
      </w:r>
      <m:oMath>
        <m:r>
          <m:rPr>
            <m:sty m:val="p"/>
          </m:rPr>
          <m:t>Φ</m:t>
        </m:r>
        <m:r>
          <m:rPr>
            <m:sty m:val="p"/>
          </m:rPr>
          <m:t>:</m:t>
        </m:r>
        <m:r>
          <m:t>S</m:t>
        </m:r>
        <m:r>
          <m:rPr>
            <m:sty m:val="p"/>
          </m:rPr>
          <m:t>⇉</m:t>
        </m:r>
        <m:r>
          <m:t>S</m:t>
        </m:r>
      </m:oMath>
      <w:r>
        <w:t xml:space="preserve"> </w:t>
      </w:r>
      <w:r>
        <w:t xml:space="preserve">uma correspondência de</w:t>
      </w:r>
      <w:r>
        <w:t xml:space="preserve"> </w:t>
      </w:r>
      <m:oMath>
        <m:r>
          <m:t>S</m:t>
        </m:r>
      </m:oMath>
      <w:r>
        <w:t xml:space="preserve"> </w:t>
      </w:r>
      <w:r>
        <w:t xml:space="preserve">compacto e convexo em si mesmo, com gráfico fechado e valores convexos. Então existe</w:t>
      </w:r>
      <w:r>
        <w:t xml:space="preserve"> </w:t>
      </w:r>
      <m:oMath>
        <m:sSup>
          <m:e>
            <m:r>
              <m:t>x</m:t>
            </m:r>
          </m:e>
          <m:sup>
            <m:r>
              <m:rPr>
                <m:sty m:val="p"/>
              </m:rPr>
              <m:t>*</m:t>
            </m:r>
          </m:sup>
        </m:sSup>
        <m:r>
          <m:rPr>
            <m:sty m:val="p"/>
          </m:rPr>
          <m:t>∈</m:t>
        </m:r>
        <m:r>
          <m:t>S</m:t>
        </m:r>
      </m:oMath>
      <w:r>
        <w:t xml:space="preserve"> </w:t>
      </w:r>
      <w:r>
        <w:t xml:space="preserve">tal que</w:t>
      </w:r>
      <w:r>
        <w:t xml:space="preserve"> </w:t>
      </w:r>
      <m:oMath>
        <m:sSup>
          <m:e>
            <m:r>
              <m:t>x</m:t>
            </m:r>
          </m:e>
          <m:sup>
            <m:r>
              <m:rPr>
                <m:sty m:val="p"/>
              </m:rPr>
              <m:t>*</m:t>
            </m:r>
          </m:sup>
        </m:sSup>
        <m:r>
          <m:rPr>
            <m:sty m:val="p"/>
          </m:rPr>
          <m:t>∈</m:t>
        </m:r>
        <m:r>
          <m:rPr>
            <m:sty m:val="p"/>
          </m:rPr>
          <m:t>Φ</m:t>
        </m:r>
        <m:r>
          <m:rPr>
            <m:sty m:val="p"/>
          </m:rPr>
          <m:t>(</m:t>
        </m:r>
        <m:sSup>
          <m:e>
            <m:r>
              <m:t>x</m:t>
            </m:r>
          </m:e>
          <m:sup>
            <m:r>
              <m:rPr>
                <m:sty m:val="p"/>
              </m:rPr>
              <m:t>*</m:t>
            </m:r>
          </m:sup>
        </m:sSup>
        <m:r>
          <m:rPr>
            <m:sty m:val="p"/>
          </m:rPr>
          <m:t>)</m:t>
        </m:r>
      </m:oMath>
      <w:r>
        <w:t xml:space="preserve">.</w:t>
      </w:r>
    </w:p>
    <w:p>
      <w:pPr>
        <w:pStyle w:val="FirstParagraph"/>
      </w:pPr>
      <w:r>
        <w:rPr>
          <w:b/>
          <w:bCs/>
        </w:rPr>
        <w:t xml:space="preserve">Aplicação:</w:t>
      </w:r>
      <w:r>
        <w:t xml:space="preserve"> </w:t>
      </w:r>
      <w:r>
        <w:t xml:space="preserve">Nash (1950) usou Kakutani para provar a existência de equilíbrio em jogos finitos. A correspondência de melhor resposta</w:t>
      </w:r>
      <w:r>
        <w:t xml:space="preserve"> </w:t>
      </w:r>
      <m:oMath>
        <m:r>
          <m:t>B</m:t>
        </m:r>
        <m:sSub>
          <m:e>
            <m:r>
              <m:t>R</m:t>
            </m:r>
          </m:e>
          <m:sub>
            <m:r>
              <m:t>i</m:t>
            </m:r>
          </m:sub>
        </m:sSub>
        <m:r>
          <m:rPr>
            <m:sty m:val="p"/>
          </m:rPr>
          <m:t>(</m:t>
        </m:r>
        <m:sSub>
          <m:e>
            <m:r>
              <m:t>s</m:t>
            </m:r>
          </m:e>
          <m:sub>
            <m:r>
              <m:rPr>
                <m:sty m:val="p"/>
              </m:rPr>
              <m:t>−</m:t>
            </m:r>
            <m:r>
              <m:t>i</m:t>
            </m:r>
          </m:sub>
        </m:sSub>
        <m:r>
          <m:rPr>
            <m:sty m:val="p"/>
          </m:rPr>
          <m:t>)</m:t>
        </m:r>
      </m:oMath>
      <w:r>
        <w:t xml:space="preserve"> </w:t>
      </w:r>
      <w:r>
        <w:t xml:space="preserve">mapeia estratégias dos adversários no conjunto de melhores respostas do jogador</w:t>
      </w:r>
      <w:r>
        <w:t xml:space="preserve"> </w:t>
      </w:r>
      <m:oMath>
        <m:r>
          <m:t>i</m:t>
        </m:r>
      </m:oMath>
      <w:r>
        <w:t xml:space="preserve">. O equilíbrio de Nash é um ponto fixo da correspondência conjunta</w:t>
      </w:r>
      <w:r>
        <w:t xml:space="preserve"> </w:t>
      </w:r>
      <m:oMath>
        <m:r>
          <m:t>B</m:t>
        </m:r>
        <m:r>
          <m:t>R</m:t>
        </m:r>
        <m:r>
          <m:rPr>
            <m:sty m:val="p"/>
          </m:rPr>
          <m:t>=</m:t>
        </m:r>
        <m:r>
          <m:rPr>
            <m:sty m:val="p"/>
          </m:rPr>
          <m:t>(</m:t>
        </m:r>
        <m:r>
          <m:t>B</m:t>
        </m:r>
        <m:sSub>
          <m:e>
            <m:r>
              <m:t>R</m:t>
            </m:r>
          </m:e>
          <m:sub>
            <m:r>
              <m:t>1</m:t>
            </m:r>
          </m:sub>
        </m:sSub>
        <m:r>
          <m:rPr>
            <m:sty m:val="p"/>
          </m:rPr>
          <m:t>,</m:t>
        </m:r>
        <m:r>
          <m:rPr>
            <m:sty m:val="p"/>
          </m:rPr>
          <m:t>…</m:t>
        </m:r>
        <m:r>
          <m:rPr>
            <m:sty m:val="p"/>
          </m:rPr>
          <m:t>,</m:t>
        </m:r>
        <m:r>
          <m:t>B</m:t>
        </m:r>
        <m:sSub>
          <m:e>
            <m:r>
              <m:t>R</m:t>
            </m:r>
          </m:e>
          <m:sub>
            <m:r>
              <m:t>n</m:t>
            </m:r>
          </m:sub>
        </m:sSub>
        <m:r>
          <m:rPr>
            <m:sty m:val="p"/>
          </m:rPr>
          <m:t>)</m:t>
        </m:r>
      </m:oMath>
      <w:r>
        <w:t xml:space="preserve"> </w:t>
      </w:r>
      <w:r>
        <w:t xml:space="preserve">— detalhes no Capítulo 9a, Seção 9a.3 (Cap. 9).</w:t>
      </w:r>
    </w:p>
    <w:bookmarkEnd w:id="131"/>
    <w:bookmarkStart w:id="132" w:name="contração-e-unicidade"/>
    <w:p>
      <w:pPr>
        <w:pStyle w:val="Heading4"/>
      </w:pPr>
      <w:r>
        <w:t xml:space="preserve">Contração e unicidade</w:t>
      </w:r>
    </w:p>
    <w:p>
      <w:pPr>
        <w:pStyle w:val="BlockText"/>
      </w:pPr>
      <w:r>
        <w:rPr>
          <w:b/>
          <w:bCs/>
        </w:rPr>
        <w:t xml:space="preserve">[DEFINICAO] Teorema do Mapeamento Contrativo (Banach)</w:t>
      </w:r>
    </w:p>
    <w:p>
      <w:pPr>
        <w:pStyle w:val="BlockText"/>
      </w:pPr>
      <w:r>
        <w:t xml:space="preserve">Se</w:t>
      </w:r>
      <w:r>
        <w:t xml:space="preserve"> </w:t>
      </w:r>
      <m:oMath>
        <m:r>
          <m:t>f</m:t>
        </m:r>
        <m:r>
          <m:rPr>
            <m:sty m:val="p"/>
          </m:rPr>
          <m:t>:</m:t>
        </m:r>
        <m:r>
          <m:t>S</m:t>
        </m:r>
        <m:r>
          <m:rPr>
            <m:sty m:val="p"/>
          </m:rPr>
          <m:t>→</m:t>
        </m:r>
        <m:r>
          <m:t>S</m:t>
        </m:r>
      </m:oMath>
      <w:r>
        <w:t xml:space="preserve"> </w:t>
      </w:r>
      <w:r>
        <w:t xml:space="preserve">é uma</w:t>
      </w:r>
      <w:r>
        <w:t xml:space="preserve"> </w:t>
      </w:r>
      <w:r>
        <w:rPr>
          <w:b/>
          <w:bCs/>
        </w:rPr>
        <w:t xml:space="preserve">contração</w:t>
      </w:r>
      <w:r>
        <w:t xml:space="preserve"> </w:t>
      </w:r>
      <w:r>
        <w:t xml:space="preserve">(</w:t>
      </w:r>
      <m:oMath>
        <m:r>
          <m:rPr>
            <m:sty m:val="p"/>
          </m:rPr>
          <m:t>∥</m:t>
        </m:r>
        <m:r>
          <m:t>f</m:t>
        </m:r>
        <m:r>
          <m:rPr>
            <m:sty m:val="p"/>
          </m:rPr>
          <m:t>(</m:t>
        </m:r>
        <m:r>
          <m:t>x</m:t>
        </m:r>
        <m:r>
          <m:rPr>
            <m:sty m:val="p"/>
          </m:rPr>
          <m:t>)</m:t>
        </m:r>
        <m:r>
          <m:rPr>
            <m:sty m:val="p"/>
          </m:rPr>
          <m:t>−</m:t>
        </m:r>
        <m:r>
          <m:t>f</m:t>
        </m:r>
        <m:r>
          <m:rPr>
            <m:sty m:val="p"/>
          </m:rPr>
          <m:t>(</m:t>
        </m:r>
        <m:r>
          <m:t>y</m:t>
        </m:r>
        <m:r>
          <m:rPr>
            <m:sty m:val="p"/>
          </m:rPr>
          <m:t>)</m:t>
        </m:r>
        <m:r>
          <m:rPr>
            <m:sty m:val="p"/>
          </m:rPr>
          <m:t>∥</m:t>
        </m:r>
        <m:r>
          <m:rPr>
            <m:sty m:val="p"/>
          </m:rPr>
          <m:t>≤</m:t>
        </m:r>
        <m:r>
          <m:t>c</m:t>
        </m:r>
        <m:r>
          <m:rPr>
            <m:sty m:val="p"/>
          </m:rPr>
          <m:t>∥</m:t>
        </m:r>
        <m:r>
          <m:t>x</m:t>
        </m:r>
        <m:r>
          <m:rPr>
            <m:sty m:val="p"/>
          </m:rPr>
          <m:t>−</m:t>
        </m:r>
        <m:r>
          <m:t>y</m:t>
        </m:r>
        <m:r>
          <m:rPr>
            <m:sty m:val="p"/>
          </m:rPr>
          <m:t>∥</m:t>
        </m:r>
      </m:oMath>
      <w:r>
        <w:t xml:space="preserve"> </w:t>
      </w:r>
      <w:r>
        <w:t xml:space="preserve">com</w:t>
      </w:r>
      <w:r>
        <w:t xml:space="preserve"> </w:t>
      </w:r>
      <m:oMath>
        <m:r>
          <m:t>c</m:t>
        </m:r>
        <m:r>
          <m:rPr>
            <m:sty m:val="p"/>
          </m:rPr>
          <m:t>&lt;</m:t>
        </m:r>
        <m:r>
          <m:t>1</m:t>
        </m:r>
      </m:oMath>
      <w:r>
        <w:t xml:space="preserve">) em um espaço métrico completo, então o ponto fixo existe e é</w:t>
      </w:r>
      <w:r>
        <w:t xml:space="preserve"> </w:t>
      </w:r>
      <w:r>
        <w:rPr>
          <w:b/>
          <w:bCs/>
        </w:rPr>
        <w:t xml:space="preserve">único</w:t>
      </w:r>
      <w:r>
        <w:t xml:space="preserve">.</w:t>
      </w:r>
    </w:p>
    <w:p>
      <w:pPr>
        <w:pStyle w:val="BlockText"/>
      </w:pPr>
      <w:r>
        <w:t xml:space="preserve">Esse teorema é mais forte que Brouwer (garante unicidade) mas exige mais (contração). Em economia, é usado para provar unicidade de equilíbrios em modelos dinâmicos (programação dinâmica, Capítulo 18 (Cap. 18)).</w:t>
      </w:r>
    </w:p>
    <w:p>
      <w:pPr>
        <w:pStyle w:val="BlockText"/>
      </w:pPr>
      <w:r>
        <w:rPr>
          <w:b/>
          <w:bCs/>
        </w:rPr>
        <w:t xml:space="preserve">[R-INTERACTIVE] R Interativo</w:t>
      </w:r>
    </w:p>
    <w:p>
      <w:pPr>
        <w:pStyle w:val="SourceCode"/>
      </w:pPr>
      <w:r>
        <w:rPr>
          <w:rStyle w:val="CommentTok"/>
        </w:rPr>
        <w:t xml:space="preserve"># Ilustração visual do Teorema de Brouwer em 1D</w:t>
      </w:r>
      <w:r>
        <w:br/>
      </w:r>
      <w:r>
        <w:rPr>
          <w:rStyle w:val="CommentTok"/>
        </w:rPr>
        <w:t xml:space="preserve"># f: [0,1] -&gt; [0,1] contínua =&gt; existe x* com f(x*) = x*</w:t>
      </w:r>
      <w:r>
        <w:br/>
      </w:r>
      <w:r>
        <w:br/>
      </w: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br/>
      </w:r>
      <w:r>
        <w:rPr>
          <w:rStyle w:val="CommentTok"/>
        </w:rPr>
        <w:t xml:space="preserve"># Exemplo: f(x) = 0.5 + 0.3*sin(2*pi*x)</w:t>
      </w:r>
      <w:r>
        <w:br/>
      </w:r>
      <w:r>
        <w:rPr>
          <w:rStyle w:val="NormalTok"/>
        </w:rPr>
        <w:t xml:space="preserve">f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x)</w:t>
      </w:r>
      <w:r>
        <w:br/>
      </w:r>
      <w:r>
        <w:br/>
      </w:r>
      <w:r>
        <w:rPr>
          <w:rStyle w:val="FunctionTok"/>
        </w:rPr>
        <w:t xml:space="preserve">plot</w:t>
      </w:r>
      <w:r>
        <w:rPr>
          <w:rStyle w:val="NormalTok"/>
        </w:rPr>
        <w:t xml:space="preserve">(x, </w:t>
      </w:r>
      <w:r>
        <w:rPr>
          <w:rStyle w:val="FunctionTok"/>
        </w:rPr>
        <w:t xml:space="preserve">f</w:t>
      </w:r>
      <w:r>
        <w:rPr>
          <w:rStyle w:val="NormalTok"/>
        </w:rPr>
        <w:t xml:space="preserve">(x),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ylab =</w:t>
      </w:r>
      <w:r>
        <w:rPr>
          <w:rStyle w:val="NormalTok"/>
        </w:rPr>
        <w:t xml:space="preserve"> </w:t>
      </w:r>
      <w:r>
        <w:rPr>
          <w:rStyle w:val="StringTok"/>
        </w:rPr>
        <w:t xml:space="preserve">"f(x)"</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"Teorema de Brouwer: f contínua de [0,1] em [0,1]"</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FunctionTok"/>
        </w:rPr>
        <w:t xml:space="preserve">lines</w:t>
      </w:r>
      <w:r>
        <w:rPr>
          <w:rStyle w:val="NormalTok"/>
        </w:rPr>
        <w:t xml:space="preserve">(x, x,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"gray50"</w:t>
      </w:r>
      <w:r>
        <w:rPr>
          <w:rStyle w:val="NormalTok"/>
        </w:rPr>
        <w:t xml:space="preserve">, </w:t>
      </w:r>
      <w:r>
        <w:rPr>
          <w:rStyle w:val="AttributeTok"/>
        </w:rPr>
        <w:t xml:space="preserve">lwd =</w:t>
      </w:r>
      <w:r>
        <w:rPr>
          <w:rStyle w:val="NormalTok"/>
        </w:rPr>
        <w:t xml:space="preserve"> </w:t>
      </w:r>
      <w:r>
        <w:rPr>
          <w:rStyle w:val="FloatTok"/>
        </w:rPr>
        <w:t xml:space="preserve">1.5</w:t>
      </w:r>
      <w:r>
        <w:rPr>
          <w:rStyle w:val="NormalTok"/>
        </w:rPr>
        <w:t xml:space="preserve">)  </w:t>
      </w:r>
      <w:r>
        <w:rPr>
          <w:rStyle w:val="CommentTok"/>
        </w:rPr>
        <w:t xml:space="preserve"># 45 graus</w:t>
      </w:r>
      <w:r>
        <w:br/>
      </w:r>
      <w:r>
        <w:br/>
      </w:r>
      <w:r>
        <w:rPr>
          <w:rStyle w:val="CommentTok"/>
        </w:rPr>
        <w:t xml:space="preserve"># Encontrar ponto fixo numericamente</w:t>
      </w:r>
      <w:r>
        <w:br/>
      </w:r>
      <w:r>
        <w:rPr>
          <w:rStyle w:val="NormalTok"/>
        </w:rPr>
        <w:t xml:space="preserve">pf </w:t>
      </w:r>
      <w:r>
        <w:rPr>
          <w:rStyle w:val="OtherTok"/>
        </w:rPr>
        <w:t xml:space="preserve">&lt;-</w:t>
      </w:r>
      <w:r>
        <w:rPr>
          <w:rStyle w:val="NormalTok"/>
        </w:rPr>
        <w:t xml:space="preserve"> </w:t>
      </w:r>
      <w:r>
        <w:rPr>
          <w:rStyle w:val="FunctionTok"/>
        </w:rPr>
        <w:t xml:space="preserve">uniroot</w:t>
      </w:r>
      <w:r>
        <w:rPr>
          <w:rStyle w:val="NormalTok"/>
        </w:rPr>
        <w:t xml:space="preserve">(</w:t>
      </w:r>
      <w:r>
        <w:rPr>
          <w:rStyle w:val="ControlFlowTok"/>
        </w:rPr>
        <w:t xml:space="preserve">function</w:t>
      </w:r>
      <w:r>
        <w:rPr>
          <w:rStyle w:val="NormalTok"/>
        </w:rPr>
        <w:t xml:space="preserve">(x) </w:t>
      </w:r>
      <w:r>
        <w:rPr>
          <w:rStyle w:val="FunctionTok"/>
        </w:rPr>
        <w:t xml:space="preserve">f</w:t>
      </w:r>
      <w:r>
        <w:rPr>
          <w:rStyle w:val="NormalTok"/>
        </w:rPr>
        <w:t xml:space="preserve">(x) </w:t>
      </w:r>
      <w:r>
        <w:rPr>
          <w:rStyle w:val="SpecialCharTok"/>
        </w:rPr>
        <w:t xml:space="preserve">-</w:t>
      </w:r>
      <w:r>
        <w:rPr>
          <w:rStyle w:val="NormalTok"/>
        </w:rPr>
        <w:t xml:space="preserve"> x,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root</w:t>
      </w:r>
      <w:r>
        <w:br/>
      </w:r>
      <w:r>
        <w:rPr>
          <w:rStyle w:val="FunctionTok"/>
        </w:rPr>
        <w:t xml:space="preserve">points</w:t>
      </w:r>
      <w:r>
        <w:rPr>
          <w:rStyle w:val="NormalTok"/>
        </w:rPr>
        <w:t xml:space="preserve">(pf, pf,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w:t>
      </w:r>
      <w:r>
        <w:br/>
      </w:r>
      <w:r>
        <w:rPr>
          <w:rStyle w:val="FunctionTok"/>
        </w:rPr>
        <w:t xml:space="preserve">text</w:t>
      </w:r>
      <w:r>
        <w:rPr>
          <w:rStyle w:val="NormalTok"/>
        </w:rPr>
        <w:t xml:space="preserve">(pf </w:t>
      </w:r>
      <w:r>
        <w:rPr>
          <w:rStyle w:val="SpecialCharTok"/>
        </w:rPr>
        <w:t xml:space="preserve">+</w:t>
      </w:r>
      <w:r>
        <w:rPr>
          <w:rStyle w:val="NormalTok"/>
        </w:rPr>
        <w:t xml:space="preserve"> </w:t>
      </w:r>
      <w:r>
        <w:rPr>
          <w:rStyle w:val="FloatTok"/>
        </w:rPr>
        <w:t xml:space="preserve">0.05</w:t>
      </w:r>
      <w:r>
        <w:rPr>
          <w:rStyle w:val="NormalTok"/>
        </w:rPr>
        <w:t xml:space="preserve">, pf </w:t>
      </w:r>
      <w:r>
        <w:rPr>
          <w:rStyle w:val="SpecialCharTok"/>
        </w:rPr>
        <w:t xml:space="preserve">-</w:t>
      </w:r>
      <w:r>
        <w:rPr>
          <w:rStyle w:val="NormalTok"/>
        </w:rPr>
        <w:t xml:space="preserve"> </w:t>
      </w:r>
      <w:r>
        <w:rPr>
          <w:rStyle w:val="FloatTok"/>
        </w:rPr>
        <w:t xml:space="preserve">0.05</w:t>
      </w:r>
      <w:r>
        <w:rPr>
          <w:rStyle w:val="NormalTok"/>
        </w:rPr>
        <w:t xml:space="preserve">, </w:t>
      </w:r>
      <w:r>
        <w:rPr>
          <w:rStyle w:val="FunctionTok"/>
        </w:rPr>
        <w:t xml:space="preserve">paste0</w:t>
      </w:r>
      <w:r>
        <w:rPr>
          <w:rStyle w:val="NormalTok"/>
        </w:rPr>
        <w:t xml:space="preserve">(</w:t>
      </w:r>
      <w:r>
        <w:rPr>
          <w:rStyle w:val="StringTok"/>
        </w:rPr>
        <w:t xml:space="preserve">"x* = "</w:t>
      </w:r>
      <w:r>
        <w:rPr>
          <w:rStyle w:val="NormalTok"/>
        </w:rPr>
        <w:t xml:space="preserve">, </w:t>
      </w:r>
      <w:r>
        <w:rPr>
          <w:rStyle w:val="FunctionTok"/>
        </w:rPr>
        <w:t xml:space="preserve">round</w:t>
      </w:r>
      <w:r>
        <w:rPr>
          <w:rStyle w:val="NormalTok"/>
        </w:rPr>
        <w:t xml:space="preserve">(pf, </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"f(x)"</w:t>
      </w:r>
      <w:r>
        <w:rPr>
          <w:rStyle w:val="NormalTok"/>
        </w:rPr>
        <w:t xml:space="preserve">, </w:t>
      </w:r>
      <w:r>
        <w:rPr>
          <w:rStyle w:val="StringTok"/>
        </w:rPr>
        <w:t xml:space="preserve">"45°"</w:t>
      </w:r>
      <w:r>
        <w:rPr>
          <w:rStyle w:val="NormalTok"/>
        </w:rPr>
        <w:t xml:space="preserve">, </w:t>
      </w:r>
      <w:r>
        <w:rPr>
          <w:rStyle w:val="StringTok"/>
        </w:rPr>
        <w:t xml:space="preserve">"Ponto fixo"</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"gray50"</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nstantTok"/>
        </w:rPr>
        <w:t xml:space="preserve">NA</w:t>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ConstantTok"/>
        </w:rPr>
        <w:t xml:space="preserve">NA</w:t>
      </w:r>
      <w:r>
        <w:rPr>
          <w:rStyle w:val="NormalTok"/>
        </w:rPr>
        <w:t xml:space="preserve">, </w:t>
      </w:r>
      <w:r>
        <w:rPr>
          <w:rStyle w:val="DecValTok"/>
        </w:rPr>
        <w:t xml:space="preserve">19</w:t>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FloatTok"/>
        </w:rPr>
        <w:t xml:space="preserve">1.5</w:t>
      </w:r>
      <w:r>
        <w:rPr>
          <w:rStyle w:val="NormalTok"/>
        </w:rPr>
        <w:t xml:space="preserve">, </w:t>
      </w:r>
      <w:r>
        <w:rPr>
          <w:rStyle w:val="ConstantTok"/>
        </w:rPr>
        <w:t xml:space="preserve">NA</w:t>
      </w:r>
      <w:r>
        <w:rPr>
          <w:rStyle w:val="NormalTok"/>
        </w:rPr>
        <w:t xml:space="preserve">))</w:t>
      </w:r>
    </w:p>
    <w:p>
      <w:r>
        <w:pict>
          <v:rect style="width:0;height:1.5pt" o:hralign="center" o:hrstd="t" o:hr="t"/>
        </w:pict>
      </w:r>
    </w:p>
    <w:bookmarkEnd w:id="132"/>
    <w:bookmarkEnd w:id="133"/>
    <w:bookmarkStart w:id="134" w:name="Xa15f42d1c524c306eb91c3df1216db248a8f224"/>
    <w:p>
      <w:pPr>
        <w:pStyle w:val="Heading3"/>
      </w:pPr>
      <w:r>
        <w:t xml:space="preserve">2.14 Tabela de Referência Rápida: Otimização</w:t>
      </w:r>
    </w:p>
    <w:p>
      <w:pPr>
        <w:pStyle w:val="FirstParagraph"/>
      </w:pPr>
      <w:r>
        <w:t xml:space="preserve">Esta tabela resume os principais resultados do capítulo. Consulte-a sempre que precisar lembrar qual ferramenta usar em cada tipo de problema.</w:t>
      </w:r>
    </w:p>
    <w:tbl>
      <w:tblPr>
        <w:tblStyle w:val="Table"/>
        <w:tblW w:type="pct" w:w="5000"/>
        <w:tblLayout w:type="fixed"/>
        <w:tblLook w:firstRow="1" w:lastRow="0" w:firstColumn="0" w:lastColumn="0" w:noHBand="0" w:noVBand="0" w:val="0020"/>
      </w:tblPr>
      <w:tblGrid>
        <w:gridCol w:w="1397"/>
        <w:gridCol w:w="1397"/>
        <w:gridCol w:w="1397"/>
        <w:gridCol w:w="1397"/>
        <w:gridCol w:w="2329"/>
      </w:tblGrid>
      <w:tr>
        <w:trPr>
          <w:tblHeader w:val="on"/>
        </w:trPr>
        <w:tc>
          <w:tcPr/>
          <w:p>
            <w:pPr>
              <w:pStyle w:val="Compact"/>
              <w:jc w:val="left"/>
            </w:pPr>
            <w:r>
              <w:t xml:space="preserve">Tipo de problema</w:t>
            </w:r>
          </w:p>
        </w:tc>
        <w:tc>
          <w:tcPr/>
          <w:p>
            <w:pPr>
              <w:pStyle w:val="Compact"/>
              <w:jc w:val="left"/>
            </w:pPr>
            <w:r>
              <w:t xml:space="preserve">Ferramenta</w:t>
            </w:r>
          </w:p>
        </w:tc>
        <w:tc>
          <w:tcPr/>
          <w:p>
            <w:pPr>
              <w:pStyle w:val="Compact"/>
              <w:jc w:val="left"/>
            </w:pPr>
            <w:r>
              <w:t xml:space="preserve">CPO</w:t>
            </w:r>
          </w:p>
        </w:tc>
        <w:tc>
          <w:tcPr/>
          <w:p>
            <w:pPr>
              <w:pStyle w:val="Compact"/>
              <w:jc w:val="left"/>
            </w:pPr>
            <w:r>
              <w:t xml:space="preserve">CSO</w:t>
            </w:r>
          </w:p>
        </w:tc>
        <w:tc>
          <w:tcPr/>
          <w:p>
            <w:pPr>
              <w:pStyle w:val="Compact"/>
              <w:jc w:val="center"/>
            </w:pPr>
            <w:r>
              <w:t xml:space="preserve">Capítulos</w:t>
            </w:r>
          </w:p>
        </w:tc>
      </w:tr>
      <w:tr>
        <w:tc>
          <w:tcPr/>
          <w:p>
            <w:pPr>
              <w:pStyle w:val="Compact"/>
              <w:jc w:val="left"/>
            </w:pPr>
            <w:r>
              <w:t xml:space="preserve">Max/min sem restrição, 1 var.</w:t>
            </w:r>
          </w:p>
        </w:tc>
        <w:tc>
          <w:tcPr/>
          <w:p>
            <w:pPr>
              <w:pStyle w:val="Compact"/>
              <w:jc w:val="left"/>
            </w:pPr>
            <w:r>
              <w:t xml:space="preserve">Derivada</w:t>
            </w:r>
          </w:p>
        </w:tc>
        <w:tc>
          <w:tcPr/>
          <w:p>
            <w:pPr>
              <w:pStyle w:val="Compact"/>
              <w:jc w:val="left"/>
            </w:pPr>
            <m:oMath>
              <m:sSup>
                <m:e>
                  <m:r>
                    <m:t>f</m:t>
                  </m:r>
                </m:e>
                <m:sup>
                  <m:r>
                    <m:rPr>
                      <m:sty m:val="p"/>
                    </m:rPr>
                    <m:t>′</m:t>
                  </m:r>
                </m:sup>
              </m:sSup>
              <m:r>
                <m:rPr>
                  <m:sty m:val="p"/>
                </m:rPr>
                <m:t>(</m:t>
              </m:r>
              <m:sSup>
                <m:e>
                  <m:r>
                    <m:t>x</m:t>
                  </m:r>
                </m:e>
                <m:sup>
                  <m:r>
                    <m:rPr>
                      <m:sty m:val="p"/>
                    </m:rPr>
                    <m:t>*</m:t>
                  </m:r>
                </m:sup>
              </m:sSup>
              <m:r>
                <m:rPr>
                  <m:sty m:val="p"/>
                </m:rPr>
                <m:t>)</m:t>
              </m:r>
              <m:r>
                <m:rPr>
                  <m:sty m:val="p"/>
                </m:rPr>
                <m:t>=</m:t>
              </m:r>
              <m:r>
                <m:t>0</m:t>
              </m:r>
            </m:oMath>
          </w:p>
        </w:tc>
        <w:tc>
          <w:tcPr/>
          <w:p>
            <w:pPr>
              <w:pStyle w:val="Compact"/>
              <w:jc w:val="left"/>
            </w:pPr>
            <m:oMath>
              <m:sSup>
                <m:e>
                  <m:r>
                    <m:t>f</m:t>
                  </m:r>
                </m:e>
                <m:sup>
                  <m:r>
                    <m:rPr>
                      <m:sty m:val="p"/>
                    </m:rPr>
                    <m:t>″</m:t>
                  </m:r>
                </m:sup>
              </m:sSup>
              <m:r>
                <m:rPr>
                  <m:sty m:val="p"/>
                </m:rPr>
                <m:t>≶</m:t>
              </m:r>
              <m:r>
                <m:t>0</m:t>
              </m:r>
            </m:oMath>
          </w:p>
        </w:tc>
        <w:tc>
          <w:tcPr/>
          <w:p>
            <w:pPr>
              <w:pStyle w:val="Compact"/>
              <w:jc w:val="center"/>
            </w:pPr>
            <w:r>
              <w:t xml:space="preserve">Todos</w:t>
            </w:r>
          </w:p>
        </w:tc>
      </w:tr>
      <w:tr>
        <w:tc>
          <w:tcPr/>
          <w:p>
            <w:pPr>
              <w:pStyle w:val="Compact"/>
              <w:jc w:val="left"/>
            </w:pPr>
            <w:r>
              <w:t xml:space="preserve">Max/min sem restrição,</w:t>
            </w:r>
            <w:r>
              <w:t xml:space="preserve"> </w:t>
            </w:r>
            <m:oMath>
              <m:r>
                <m:t>n</m:t>
              </m:r>
            </m:oMath>
            <w:r>
              <w:t xml:space="preserve"> </w:t>
            </w:r>
            <w:r>
              <w:t xml:space="preserve">var.</w:t>
            </w:r>
          </w:p>
        </w:tc>
        <w:tc>
          <w:tcPr/>
          <w:p>
            <w:pPr>
              <w:pStyle w:val="Compact"/>
              <w:jc w:val="left"/>
            </w:pPr>
            <w:r>
              <w:t xml:space="preserve">Gradiente + Hessiana</w:t>
            </w:r>
          </w:p>
        </w:tc>
        <w:tc>
          <w:tcPr/>
          <w:p>
            <w:pPr>
              <w:pStyle w:val="Compact"/>
              <w:jc w:val="left"/>
            </w:pPr>
            <m:oMath>
              <m:r>
                <m:rPr>
                  <m:sty m:val="p"/>
                </m:rPr>
                <m:t>∇</m:t>
              </m:r>
              <m:r>
                <m:t>f</m:t>
              </m:r>
              <m:r>
                <m:rPr>
                  <m:sty m:val="p"/>
                </m:rPr>
                <m:t>=</m:t>
              </m:r>
              <m:r>
                <m:t>0</m:t>
              </m:r>
            </m:oMath>
          </w:p>
        </w:tc>
        <w:tc>
          <w:tcPr/>
          <w:p>
            <w:pPr>
              <w:pStyle w:val="Compact"/>
              <w:jc w:val="left"/>
            </w:pPr>
            <m:oMath>
              <m:r>
                <m:t>H</m:t>
              </m:r>
            </m:oMath>
            <w:r>
              <w:t xml:space="preserve"> </w:t>
            </w:r>
            <w:r>
              <w:t xml:space="preserve">def. neg./pos.</w:t>
            </w:r>
          </w:p>
        </w:tc>
        <w:tc>
          <w:tcPr/>
          <w:p>
            <w:pPr>
              <w:pStyle w:val="Compact"/>
              <w:jc w:val="center"/>
            </w:pPr>
            <w:r>
              <w:t xml:space="preserve">10, 12</w:t>
            </w:r>
          </w:p>
        </w:tc>
      </w:tr>
      <w:tr>
        <w:tc>
          <w:tcPr/>
          <w:p>
            <w:pPr>
              <w:pStyle w:val="Compact"/>
              <w:jc w:val="left"/>
            </w:pPr>
            <w:r>
              <w:t xml:space="preserve">Max/min com restrição de igualdade</w:t>
            </w:r>
          </w:p>
        </w:tc>
        <w:tc>
          <w:tcPr/>
          <w:p>
            <w:pPr>
              <w:pStyle w:val="Compact"/>
              <w:jc w:val="left"/>
            </w:pPr>
            <w:r>
              <w:t xml:space="preserve">Lagrange</w:t>
            </w:r>
          </w:p>
        </w:tc>
        <w:tc>
          <w:tcPr/>
          <w:p>
            <w:pPr>
              <w:pStyle w:val="Compact"/>
              <w:jc w:val="left"/>
            </w:pPr>
            <m:oMath>
              <m:r>
                <m:rPr>
                  <m:sty m:val="p"/>
                </m:rPr>
                <m:t>∇</m:t>
              </m:r>
              <m:r>
                <m:t>f</m:t>
              </m:r>
              <m:r>
                <m:rPr>
                  <m:sty m:val="p"/>
                </m:rPr>
                <m:t>=</m:t>
              </m:r>
              <m:r>
                <m:t>λ</m:t>
              </m:r>
              <m:r>
                <m:rPr>
                  <m:sty m:val="p"/>
                </m:rPr>
                <m:t>∇</m:t>
              </m:r>
              <m:r>
                <m:t>g</m:t>
              </m:r>
            </m:oMath>
          </w:p>
        </w:tc>
        <w:tc>
          <w:tcPr/>
          <w:p>
            <w:pPr>
              <w:pStyle w:val="Compact"/>
              <w:jc w:val="left"/>
            </w:pPr>
            <w:r>
              <w:t xml:space="preserve">Hessiana orlada</w:t>
            </w:r>
          </w:p>
        </w:tc>
        <w:tc>
          <w:tcPr/>
          <w:p>
            <w:pPr>
              <w:pStyle w:val="Compact"/>
              <w:jc w:val="center"/>
            </w:pPr>
            <w:r>
              <w:t xml:space="preserve">3–6, 11</w:t>
            </w:r>
          </w:p>
        </w:tc>
      </w:tr>
      <w:tr>
        <w:tc>
          <w:tcPr/>
          <w:p>
            <w:pPr>
              <w:pStyle w:val="Compact"/>
              <w:jc w:val="left"/>
            </w:pPr>
            <w:r>
              <w:t xml:space="preserve">Max/min com restrição de desigualdade</w:t>
            </w:r>
          </w:p>
        </w:tc>
        <w:tc>
          <w:tcPr/>
          <w:p>
            <w:pPr>
              <w:pStyle w:val="Compact"/>
              <w:jc w:val="left"/>
            </w:pPr>
            <w:r>
              <w:t xml:space="preserve">Kuhn-Tucker</w:t>
            </w:r>
          </w:p>
        </w:tc>
        <w:tc>
          <w:tcPr/>
          <w:p>
            <w:pPr>
              <w:pStyle w:val="Compact"/>
              <w:jc w:val="left"/>
            </w:pPr>
            <m:oMath>
              <m:r>
                <m:rPr>
                  <m:sty m:val="p"/>
                </m:rPr>
                <m:t>∇</m:t>
              </m:r>
              <m:r>
                <m:rPr>
                  <m:scr m:val="script"/>
                  <m:sty m:val="p"/>
                </m:rPr>
                <m:t>L</m:t>
              </m:r>
              <m:r>
                <m:rPr>
                  <m:sty m:val="p"/>
                </m:rPr>
                <m:t>≤</m:t>
              </m:r>
              <m:r>
                <m:t>0</m:t>
              </m:r>
            </m:oMath>
            <w:r>
              <w:t xml:space="preserve">, CS</w:t>
            </w:r>
          </w:p>
        </w:tc>
        <w:tc>
          <w:tcPr/>
          <w:p>
            <w:pPr>
              <w:pStyle w:val="Compact"/>
              <w:jc w:val="left"/>
            </w:pPr>
            <w:r>
              <w:t xml:space="preserve">Concavidade/convexidade</w:t>
            </w:r>
          </w:p>
        </w:tc>
        <w:tc>
          <w:tcPr/>
          <w:p>
            <w:pPr>
              <w:pStyle w:val="Compact"/>
              <w:jc w:val="center"/>
            </w:pPr>
            <w:r>
              <w:t xml:space="preserve">4, 11, 15</w:t>
            </w:r>
          </w:p>
        </w:tc>
      </w:tr>
      <w:tr>
        <w:tc>
          <w:tcPr/>
          <w:p>
            <w:pPr>
              <w:pStyle w:val="Compact"/>
              <w:jc w:val="left"/>
            </w:pPr>
            <w:r>
              <w:t xml:space="preserve">Como o ótimo muda com o parâmetro?</w:t>
            </w:r>
          </w:p>
        </w:tc>
        <w:tc>
          <w:tcPr/>
          <w:p>
            <w:pPr>
              <w:pStyle w:val="Compact"/>
              <w:jc w:val="left"/>
            </w:pPr>
            <w:r>
              <w:t xml:space="preserve">TFI ou Envelope</w:t>
            </w:r>
          </w:p>
        </w:tc>
        <w:tc>
          <w:tcPr/>
          <w:p>
            <w:pPr>
              <w:pStyle w:val="Compact"/>
              <w:jc w:val="left"/>
            </w:pPr>
            <m:oMath>
              <m:r>
                <m:t>d</m:t>
              </m:r>
              <m:r>
                <m:t>V</m:t>
              </m:r>
              <m:r>
                <m:rPr>
                  <m:sty m:val="p"/>
                </m:rPr>
                <m:t>/</m:t>
              </m:r>
              <m:r>
                <m:t>d</m:t>
              </m:r>
              <m:r>
                <m:t>α</m:t>
              </m:r>
              <m:r>
                <m:rPr>
                  <m:sty m:val="p"/>
                </m:rPr>
                <m:t>=</m:t>
              </m:r>
              <m:r>
                <m:rPr>
                  <m:sty m:val="p"/>
                </m:rPr>
                <m:t>∂</m:t>
              </m:r>
              <m:r>
                <m:rPr>
                  <m:scr m:val="script"/>
                  <m:sty m:val="p"/>
                </m:rPr>
                <m:t>L</m:t>
              </m:r>
              <m:r>
                <m:rPr>
                  <m:sty m:val="p"/>
                </m:rPr>
                <m:t>/</m:t>
              </m:r>
              <m:r>
                <m:rPr>
                  <m:sty m:val="p"/>
                </m:rPr>
                <m:t>∂</m:t>
              </m:r>
              <m:r>
                <m:t>α</m:t>
              </m:r>
            </m:oMath>
          </w:p>
        </w:tc>
        <w:tc>
          <w:tcPr/>
          <w:p>
            <w:pPr>
              <w:pStyle w:val="Compact"/>
              <w:jc w:val="left"/>
            </w:pPr>
            <w:r>
              <w:t xml:space="preserve">—</w:t>
            </w:r>
          </w:p>
        </w:tc>
        <w:tc>
          <w:tcPr/>
          <w:p>
            <w:pPr>
              <w:pStyle w:val="Compact"/>
              <w:jc w:val="center"/>
            </w:pPr>
            <w:r>
              <w:t xml:space="preserve">4–6, 11–12</w:t>
            </w:r>
          </w:p>
        </w:tc>
      </w:tr>
      <w:tr>
        <w:tc>
          <w:tcPr/>
          <w:p>
            <w:pPr>
              <w:pStyle w:val="Compact"/>
              <w:jc w:val="left"/>
            </w:pPr>
            <w:r>
              <w:t xml:space="preserve">O ótimo existe?</w:t>
            </w:r>
          </w:p>
        </w:tc>
        <w:tc>
          <w:tcPr/>
          <w:p>
            <w:pPr>
              <w:pStyle w:val="Compact"/>
              <w:jc w:val="left"/>
            </w:pPr>
            <w:r>
              <w:t xml:space="preserve">Ponto fixo (Brouwer/Kakutani)</w:t>
            </w:r>
          </w:p>
        </w:tc>
        <w:tc>
          <w:tcPr/>
          <w:p>
            <w:pPr>
              <w:pStyle w:val="Compact"/>
              <w:jc w:val="left"/>
            </w:pPr>
            <w:r>
              <w:t xml:space="preserve">—</w:t>
            </w:r>
          </w:p>
        </w:tc>
        <w:tc>
          <w:tcPr/>
          <w:p>
            <w:pPr>
              <w:pStyle w:val="Compact"/>
              <w:jc w:val="left"/>
            </w:pPr>
            <w:r>
              <w:t xml:space="preserve">—</w:t>
            </w:r>
          </w:p>
        </w:tc>
        <w:tc>
          <w:tcPr/>
          <w:p>
            <w:pPr>
              <w:pStyle w:val="Compact"/>
              <w:jc w:val="center"/>
            </w:pPr>
            <w:r>
              <w:t xml:space="preserve">9a, 14</w:t>
            </w:r>
          </w:p>
        </w:tc>
      </w:tr>
      <w:tr>
        <w:tc>
          <w:tcPr/>
          <w:p>
            <w:pPr>
              <w:pStyle w:val="Compact"/>
              <w:jc w:val="left"/>
            </w:pPr>
            <w:r>
              <w:t xml:space="preserve">O ótimo é global?</w:t>
            </w:r>
          </w:p>
        </w:tc>
        <w:tc>
          <w:tcPr/>
          <w:p>
            <w:pPr>
              <w:pStyle w:val="Compact"/>
              <w:jc w:val="left"/>
            </w:pPr>
            <w:r>
              <w:t xml:space="preserve">Concavidade/quase-concavidade</w:t>
            </w:r>
          </w:p>
        </w:tc>
        <w:tc>
          <w:tcPr/>
          <w:p>
            <w:pPr>
              <w:pStyle w:val="Compact"/>
              <w:jc w:val="left"/>
            </w:pPr>
            <w:r>
              <w:t xml:space="preserve">CPO basta se</w:t>
            </w:r>
            <w:r>
              <w:t xml:space="preserve"> </w:t>
            </w:r>
            <m:oMath>
              <m:r>
                <m:t>f</m:t>
              </m:r>
            </m:oMath>
            <w:r>
              <w:t xml:space="preserve"> </w:t>
            </w:r>
            <w:r>
              <w:t xml:space="preserve">côncava</w:t>
            </w:r>
          </w:p>
        </w:tc>
        <w:tc>
          <w:tcPr/>
          <w:p>
            <w:pPr>
              <w:pStyle w:val="Compact"/>
              <w:jc w:val="left"/>
            </w:pPr>
            <w:r>
              <w:t xml:space="preserve">—</w:t>
            </w:r>
          </w:p>
        </w:tc>
        <w:tc>
          <w:tcPr/>
          <w:p>
            <w:pPr>
              <w:pStyle w:val="Compact"/>
              <w:jc w:val="center"/>
            </w:pPr>
            <w:r>
              <w:t xml:space="preserve">3–4, 7, 10</w:t>
            </w:r>
          </w:p>
        </w:tc>
      </w:tr>
    </w:tbl>
    <w:p>
      <w:pPr>
        <w:pStyle w:val="BlockText"/>
      </w:pPr>
      <w:r>
        <w:rPr>
          <w:b/>
          <w:bCs/>
        </w:rPr>
        <w:t xml:space="preserve">[DICA] Dica de estudo</w:t>
      </w:r>
    </w:p>
    <w:p>
      <w:pPr>
        <w:pStyle w:val="BlockText"/>
      </w:pPr>
      <w:r>
        <w:t xml:space="preserve">Se você se perder em algum capítulo subsequente, volte a esta tabela. A microeconomia inteira é, em última análise, uma coleção de problemas de otimização com interpretações econômicas diferentes. A matemática é sempre a mesma — são os nomes que mudam.</w:t>
      </w:r>
    </w:p>
    <w:p>
      <w:r>
        <w:pict>
          <v:rect style="width:0;height:1.5pt" o:hralign="center" o:hrstd="t" o:hr="t"/>
        </w:pict>
      </w:r>
    </w:p>
    <w:p>
      <w:pPr>
        <w:pStyle w:val="FirstParagraph"/>
      </w:pPr>
      <w:r>
        <w:rPr>
          <w:b/>
          <w:bCs/>
        </w:rPr>
        <w:t xml:space="preserve">Parabéns — você sobreviveu.</w:t>
      </w:r>
      <w:r>
        <w:t xml:space="preserve"> </w:t>
      </w:r>
      <w:r>
        <w:t xml:space="preserve">Com as ferramentas deste capítulo, você está armado para enfrentar o restante do livro. No Capítulo 3 (Cap. 3), começamos a usá-las de verdade: as preferências do consumidor ganham forma matemática, as curvas de indiferença emergem como curvas de nível de funções de utilidade, e a TMS aparece como aplicação direta do Teorema da Função Implícita. A caixa de ferramentas está aberta — agora vamos construir.</w:t>
      </w:r>
    </w:p>
    <w:bookmarkEnd w:id="134"/>
    <w:bookmarkEnd w:id="135"/>
    <w:bookmarkStart w:id="148" w:name="X1e45c5b087e15d3050df516993ff5368b7686b4"/>
    <w:p>
      <w:pPr>
        <w:pStyle w:val="Heading2"/>
      </w:pPr>
      <w:r>
        <w:t xml:space="preserve">Concavidade, Homogeneidade e Teorema de Euler</w:t>
      </w:r>
    </w:p>
    <w:bookmarkStart w:id="141" w:name="Xa57cb53ba59c46fc4b692527a38a87c78d84028"/>
    <w:p>
      <w:pPr>
        <w:pStyle w:val="Heading3"/>
      </w:pPr>
      <w:r>
        <w:t xml:space="preserve">2.8 Quando as CPOs Bastam: Concavidade e Quase-Concavidade</w:t>
      </w:r>
    </w:p>
    <w:p>
      <w:pPr>
        <w:pStyle w:val="FirstParagraph"/>
      </w:pPr>
      <w:r>
        <w:t xml:space="preserve">Nas seções anteriores, encontramos candidatos a ótimo (CPO) e os classificamos (CSO). Mas em muitos problemas econômicos, podemos pular a CSO inteiramente — porque a</w:t>
      </w:r>
      <w:r>
        <w:t xml:space="preserve"> </w:t>
      </w:r>
      <w:r>
        <w:rPr>
          <w:i/>
          <w:iCs/>
        </w:rPr>
        <w:t xml:space="preserve">forma</w:t>
      </w:r>
      <w:r>
        <w:t xml:space="preserve"> </w:t>
      </w:r>
      <w:r>
        <w:t xml:space="preserve">da função garante que qualquer ponto estacionário é automaticamente o ótimo global. Essa garantia vem de propriedades de</w:t>
      </w:r>
      <w:r>
        <w:t xml:space="preserve"> </w:t>
      </w:r>
      <w:r>
        <w:rPr>
          <w:b/>
          <w:bCs/>
        </w:rPr>
        <w:t xml:space="preserve">curvatura</w:t>
      </w:r>
      <w:r>
        <w:t xml:space="preserve">: concavidade, convexidade e, especialmente, quase-concavidade.</w:t>
      </w:r>
    </w:p>
    <w:bookmarkStart w:id="136" w:name="conjuntos-convexos"/>
    <w:p>
      <w:pPr>
        <w:pStyle w:val="Heading4"/>
      </w:pPr>
      <w:r>
        <w:t xml:space="preserve">Conjuntos convexos</w:t>
      </w:r>
    </w:p>
    <w:p>
      <w:pPr>
        <w:pStyle w:val="BlockText"/>
      </w:pPr>
      <w:r>
        <w:rPr>
          <w:b/>
          <w:bCs/>
        </w:rPr>
        <w:t xml:space="preserve">[DEFINICAO] Conjunto Convexo</w:t>
      </w:r>
    </w:p>
    <w:p>
      <w:pPr>
        <w:pStyle w:val="BlockText"/>
      </w:pPr>
      <w:r>
        <w:t xml:space="preserve">Um conjunto</w:t>
      </w:r>
      <w:r>
        <w:t xml:space="preserve"> </w:t>
      </w:r>
      <m:oMath>
        <m:r>
          <m:t>S</m:t>
        </m:r>
        <m:r>
          <m:rPr>
            <m:sty m:val="p"/>
          </m:rPr>
          <m:t>⊆</m:t>
        </m:r>
        <m:sSup>
          <m:e>
            <m:r>
              <m:rPr>
                <m:scr m:val="double-struck"/>
                <m:sty m:val="p"/>
              </m:rPr>
              <m:t>R</m:t>
            </m:r>
          </m:e>
          <m:sup>
            <m:r>
              <m:t>n</m:t>
            </m:r>
          </m:sup>
        </m:sSup>
      </m:oMath>
      <w:r>
        <w:t xml:space="preserve"> </w:t>
      </w:r>
      <w:r>
        <w:t xml:space="preserve">é</w:t>
      </w:r>
      <w:r>
        <w:t xml:space="preserve"> </w:t>
      </w:r>
      <w:r>
        <w:rPr>
          <w:b/>
          <w:bCs/>
        </w:rPr>
        <w:t xml:space="preserve">convexo</w:t>
      </w:r>
      <w:r>
        <w:t xml:space="preserve"> </w:t>
      </w:r>
      <w:r>
        <w:t xml:space="preserve">se, para quaisquer</w:t>
      </w:r>
      <w:r>
        <w:t xml:space="preserve"> </w:t>
      </w:r>
      <m:oMath>
        <m:r>
          <m:t>x</m:t>
        </m:r>
        <m:r>
          <m:rPr>
            <m:sty m:val="p"/>
          </m:rPr>
          <m:t>,</m:t>
        </m:r>
        <m:r>
          <m:t>y</m:t>
        </m:r>
        <m:r>
          <m:rPr>
            <m:sty m:val="p"/>
          </m:rPr>
          <m:t>∈</m:t>
        </m:r>
        <m:r>
          <m:t>S</m:t>
        </m:r>
      </m:oMath>
      <w:r>
        <w:t xml:space="preserve"> </w:t>
      </w:r>
      <w:r>
        <w:t xml:space="preserve">e</w:t>
      </w:r>
      <w:r>
        <w:t xml:space="preserve"> </w:t>
      </w:r>
      <m:oMath>
        <m:r>
          <m:t>θ</m:t>
        </m:r>
        <m:r>
          <m:rPr>
            <m:sty m:val="p"/>
          </m:rPr>
          <m:t>∈</m:t>
        </m:r>
        <m:r>
          <m:rPr>
            <m:sty m:val="p"/>
          </m:rPr>
          <m:t>[</m:t>
        </m:r>
        <m:r>
          <m:t>0</m:t>
        </m:r>
        <m:r>
          <m:rPr>
            <m:sty m:val="p"/>
          </m:rPr>
          <m:t>,</m:t>
        </m:r>
        <m:r>
          <m:t>1</m:t>
        </m:r>
        <m:r>
          <m:rPr>
            <m:sty m:val="p"/>
          </m:rPr>
          <m:t>]</m:t>
        </m:r>
      </m:oMath>
      <w:r>
        <w:t xml:space="preserve">:</w:t>
      </w:r>
    </w:p>
    <w:p>
      <w:pPr>
        <w:pStyle w:val="BlockText"/>
      </w:pPr>
      <m:oMathPara>
        <m:oMathParaPr>
          <m:jc m:val="center"/>
        </m:oMathParaPr>
        <m:oMath>
          <m:r>
            <m:t>θ</m:t>
          </m:r>
          <m:r>
            <m:t>x</m:t>
          </m:r>
          <m:r>
            <m:rPr>
              <m:sty m:val="p"/>
            </m:rPr>
            <m:t>+</m:t>
          </m:r>
          <m:r>
            <m:rPr>
              <m:sty m:val="p"/>
            </m:rPr>
            <m:t>(</m:t>
          </m:r>
          <m:r>
            <m:t>1</m:t>
          </m:r>
          <m:r>
            <m:rPr>
              <m:sty m:val="p"/>
            </m:rPr>
            <m:t>−</m:t>
          </m:r>
          <m:r>
            <m:t>θ</m:t>
          </m:r>
          <m:r>
            <m:rPr>
              <m:sty m:val="p"/>
            </m:rPr>
            <m:t>)</m:t>
          </m:r>
          <m:r>
            <m:t>y</m:t>
          </m:r>
          <m:r>
            <m:rPr>
              <m:sty m:val="p"/>
            </m:rPr>
            <m:t>∈</m:t>
          </m:r>
          <m:r>
            <m:t>S</m:t>
          </m:r>
        </m:oMath>
      </m:oMathPara>
    </w:p>
    <w:p>
      <w:pPr>
        <w:pStyle w:val="BlockText"/>
      </w:pPr>
      <w:r>
        <w:t xml:space="preserve">Geometricamente: o segmento de reta entre quaisquer dois pontos do conjunto está inteiramente contido nele.</w:t>
      </w:r>
    </w:p>
    <w:p>
      <w:pPr>
        <w:pStyle w:val="FirstParagraph"/>
      </w:pPr>
      <w:r>
        <w:t xml:space="preserve">Exemplos econômicos: a restrição orçamentária</w:t>
      </w:r>
      <w:r>
        <w:t xml:space="preserve"> </w:t>
      </w:r>
      <m:oMath>
        <m:r>
          <m:rPr>
            <m:sty m:val="p"/>
          </m:rPr>
          <m:t>{</m:t>
        </m:r>
        <m:r>
          <m:t>x</m:t>
        </m:r>
        <m:r>
          <m:rPr>
            <m:sty m:val="p"/>
          </m:rPr>
          <m:t>:</m:t>
        </m:r>
        <m:r>
          <m:t>p</m:t>
        </m:r>
        <m:r>
          <m:t>x</m:t>
        </m:r>
        <m:r>
          <m:rPr>
            <m:sty m:val="p"/>
          </m:rPr>
          <m:t>≤</m:t>
        </m:r>
        <m:r>
          <m:t>m</m:t>
        </m:r>
        <m:r>
          <m:rPr>
            <m:sty m:val="p"/>
          </m:rPr>
          <m:t>}</m:t>
        </m:r>
      </m:oMath>
      <w:r>
        <w:t xml:space="preserve"> </w:t>
      </w:r>
      <w:r>
        <w:t xml:space="preserve">é convexa; o conjunto de cestas preferidas</w:t>
      </w:r>
      <w:r>
        <w:t xml:space="preserve"> </w:t>
      </w:r>
      <m:oMath>
        <m:r>
          <m:rPr>
            <m:sty m:val="p"/>
          </m:rPr>
          <m:t>{</m:t>
        </m:r>
        <m:r>
          <m:t>x</m:t>
        </m:r>
        <m:r>
          <m:rPr>
            <m:sty m:val="p"/>
          </m:rPr>
          <m:t>:</m:t>
        </m:r>
        <m:r>
          <m:t>U</m:t>
        </m:r>
        <m:r>
          <m:rPr>
            <m:sty m:val="p"/>
          </m:rPr>
          <m:t>(</m:t>
        </m:r>
        <m:r>
          <m:t>x</m:t>
        </m:r>
        <m:r>
          <m:rPr>
            <m:sty m:val="p"/>
          </m:rPr>
          <m:t>)</m:t>
        </m:r>
        <m:r>
          <m:rPr>
            <m:sty m:val="p"/>
          </m:rPr>
          <m:t>≥</m:t>
        </m:r>
        <m:acc>
          <m:accPr>
            <m:chr m:val="‾"/>
          </m:accPr>
          <m:e>
            <m:r>
              <m:t>u</m:t>
            </m:r>
          </m:e>
        </m:acc>
        <m:r>
          <m:rPr>
            <m:sty m:val="p"/>
          </m:rPr>
          <m:t>}</m:t>
        </m:r>
      </m:oMath>
      <w:r>
        <w:t xml:space="preserve"> </w:t>
      </w:r>
      <w:r>
        <w:t xml:space="preserve">é convexo quando</w:t>
      </w:r>
      <w:r>
        <w:t xml:space="preserve"> </w:t>
      </w:r>
      <m:oMath>
        <m:r>
          <m:t>U</m:t>
        </m:r>
      </m:oMath>
      <w:r>
        <w:t xml:space="preserve"> </w:t>
      </w:r>
      <w:r>
        <w:t xml:space="preserve">é quase-côncava.</w:t>
      </w:r>
    </w:p>
    <w:bookmarkEnd w:id="136"/>
    <w:bookmarkStart w:id="137" w:name="funções-côncavas-e-convexas"/>
    <w:p>
      <w:pPr>
        <w:pStyle w:val="Heading4"/>
      </w:pPr>
      <w:r>
        <w:t xml:space="preserve">Funções côncavas e convexas</w:t>
      </w:r>
    </w:p>
    <w:p>
      <w:pPr>
        <w:pStyle w:val="BlockText"/>
      </w:pPr>
      <w:r>
        <w:rPr>
          <w:b/>
          <w:bCs/>
        </w:rPr>
        <w:t xml:space="preserve">[DEFINICAO] Concavidade e Convexidade</w:t>
      </w:r>
    </w:p>
    <w:p>
      <w:pPr>
        <w:pStyle w:val="BlockText"/>
      </w:pPr>
      <w:r>
        <w:t xml:space="preserve">Uma função</w:t>
      </w:r>
      <w:r>
        <w:t xml:space="preserve"> </w:t>
      </w:r>
      <m:oMath>
        <m:r>
          <m:t>f</m:t>
        </m:r>
        <m:r>
          <m:rPr>
            <m:sty m:val="p"/>
          </m:rPr>
          <m:t>:</m:t>
        </m:r>
        <m:r>
          <m:t>S</m:t>
        </m:r>
        <m:r>
          <m:rPr>
            <m:sty m:val="p"/>
          </m:rPr>
          <m:t>→</m:t>
        </m:r>
        <m:r>
          <m:rPr>
            <m:scr m:val="double-struck"/>
            <m:sty m:val="p"/>
          </m:rPr>
          <m:t>R</m:t>
        </m:r>
      </m:oMath>
      <w:r>
        <w:t xml:space="preserve"> </w:t>
      </w:r>
      <w:r>
        <w:t xml:space="preserve">(com</w:t>
      </w:r>
      <w:r>
        <w:t xml:space="preserve"> </w:t>
      </w:r>
      <m:oMath>
        <m:r>
          <m:t>S</m:t>
        </m:r>
      </m:oMath>
      <w:r>
        <w:t xml:space="preserve"> </w:t>
      </w:r>
      <w:r>
        <w:t xml:space="preserve">convexo) é:</w:t>
      </w:r>
    </w:p>
    <w:p>
      <w:pPr>
        <w:pStyle w:val="Compact"/>
        <w:numPr>
          <w:ilvl w:val="0"/>
          <w:numId w:val="1068"/>
        </w:numPr>
      </w:pPr>
      <w:r>
        <w:rPr>
          <w:b/>
          <w:bCs/>
        </w:rPr>
        <w:t xml:space="preserve">Côncava</w:t>
      </w:r>
      <w:r>
        <w:t xml:space="preserve"> </w:t>
      </w:r>
      <w:r>
        <w:t xml:space="preserve">se, para todo</w:t>
      </w:r>
      <w:r>
        <w:t xml:space="preserve"> </w:t>
      </w:r>
      <m:oMath>
        <m:r>
          <m:t>x</m:t>
        </m:r>
        <m:r>
          <m:rPr>
            <m:sty m:val="p"/>
          </m:rPr>
          <m:t>,</m:t>
        </m:r>
        <m:r>
          <m:t>y</m:t>
        </m:r>
        <m:r>
          <m:rPr>
            <m:sty m:val="p"/>
          </m:rPr>
          <m:t>∈</m:t>
        </m:r>
        <m:r>
          <m:t>S</m:t>
        </m:r>
      </m:oMath>
      <w:r>
        <w:t xml:space="preserve"> </w:t>
      </w:r>
      <w:r>
        <w:t xml:space="preserve">e</w:t>
      </w:r>
      <w:r>
        <w:t xml:space="preserve"> </w:t>
      </w:r>
      <m:oMath>
        <m:r>
          <m:t>θ</m:t>
        </m:r>
        <m:r>
          <m:rPr>
            <m:sty m:val="p"/>
          </m:rPr>
          <m:t>∈</m:t>
        </m:r>
        <m:r>
          <m:rPr>
            <m:sty m:val="p"/>
          </m:rPr>
          <m:t>[</m:t>
        </m:r>
        <m:r>
          <m:t>0</m:t>
        </m:r>
        <m:r>
          <m:rPr>
            <m:sty m:val="p"/>
          </m:rPr>
          <m:t>,</m:t>
        </m:r>
        <m:r>
          <m:t>1</m:t>
        </m:r>
        <m:r>
          <m:rPr>
            <m:sty m:val="p"/>
          </m:rPr>
          <m:t>]</m:t>
        </m:r>
      </m:oMath>
      <w:r>
        <w:t xml:space="preserve">:</w:t>
      </w:r>
    </w:p>
    <w:p>
      <w:pPr>
        <w:pStyle w:val="BlockText"/>
      </w:pPr>
      <m:oMathPara>
        <m:oMathParaPr>
          <m:jc m:val="center"/>
        </m:oMathParaPr>
        <m:oMath>
          <m:r>
            <m:t>f</m:t>
          </m:r>
          <m:r>
            <m:rPr>
              <m:sty m:val="p"/>
            </m:rPr>
            <m:t>(</m:t>
          </m:r>
          <m:r>
            <m:t>θ</m:t>
          </m:r>
          <m:r>
            <m:t>x</m:t>
          </m:r>
          <m:r>
            <m:rPr>
              <m:sty m:val="p"/>
            </m:rPr>
            <m:t>+</m:t>
          </m:r>
          <m:r>
            <m:rPr>
              <m:sty m:val="p"/>
            </m:rPr>
            <m:t>(</m:t>
          </m:r>
          <m:r>
            <m:t>1</m:t>
          </m:r>
          <m:r>
            <m:rPr>
              <m:sty m:val="p"/>
            </m:rPr>
            <m:t>−</m:t>
          </m:r>
          <m:r>
            <m:t>θ</m:t>
          </m:r>
          <m:r>
            <m:rPr>
              <m:sty m:val="p"/>
            </m:rPr>
            <m:t>)</m:t>
          </m:r>
          <m:r>
            <m:t>y</m:t>
          </m:r>
          <m:r>
            <m:rPr>
              <m:sty m:val="p"/>
            </m:rPr>
            <m:t>)</m:t>
          </m:r>
          <m:r>
            <m:rPr>
              <m:sty m:val="p"/>
            </m:rPr>
            <m:t>≥</m:t>
          </m:r>
          <m:r>
            <m:t>θ</m:t>
          </m:r>
          <m:r>
            <m:t>f</m:t>
          </m:r>
          <m:r>
            <m:rPr>
              <m:sty m:val="p"/>
            </m:rPr>
            <m:t>(</m:t>
          </m:r>
          <m:r>
            <m:t>x</m:t>
          </m:r>
          <m:r>
            <m:rPr>
              <m:sty m:val="p"/>
            </m:rPr>
            <m:t>)</m:t>
          </m:r>
          <m:r>
            <m:rPr>
              <m:sty m:val="p"/>
            </m:rPr>
            <m:t>+</m:t>
          </m:r>
          <m:r>
            <m:rPr>
              <m:sty m:val="p"/>
            </m:rPr>
            <m:t>(</m:t>
          </m:r>
          <m:r>
            <m:t>1</m:t>
          </m:r>
          <m:r>
            <m:rPr>
              <m:sty m:val="p"/>
            </m:rPr>
            <m:t>−</m:t>
          </m:r>
          <m:r>
            <m:t>θ</m:t>
          </m:r>
          <m:r>
            <m:rPr>
              <m:sty m:val="p"/>
            </m:rPr>
            <m:t>)</m:t>
          </m:r>
          <m:r>
            <m:t>f</m:t>
          </m:r>
          <m:r>
            <m:rPr>
              <m:sty m:val="p"/>
            </m:rPr>
            <m:t>(</m:t>
          </m:r>
          <m:r>
            <m:t>y</m:t>
          </m:r>
          <m:r>
            <m:rPr>
              <m:sty m:val="p"/>
            </m:rPr>
            <m:t>)</m:t>
          </m:r>
        </m:oMath>
      </m:oMathPara>
    </w:p>
    <w:p>
      <w:pPr>
        <w:pStyle w:val="Compact"/>
        <w:numPr>
          <w:ilvl w:val="0"/>
          <w:numId w:val="1069"/>
        </w:numPr>
      </w:pPr>
      <w:r>
        <w:rPr>
          <w:b/>
          <w:bCs/>
        </w:rPr>
        <w:t xml:space="preserve">Convexa</w:t>
      </w:r>
      <w:r>
        <w:t xml:space="preserve"> </w:t>
      </w:r>
      <w:r>
        <w:t xml:space="preserve">se a desigualdade é invertida (</w:t>
      </w:r>
      <m:oMath>
        <m:r>
          <m:rPr>
            <m:sty m:val="p"/>
          </m:rPr>
          <m:t>≤</m:t>
        </m:r>
      </m:oMath>
      <w:r>
        <w:t xml:space="preserve">).</w:t>
      </w:r>
    </w:p>
    <w:p>
      <w:pPr>
        <w:pStyle w:val="Compact"/>
        <w:numPr>
          <w:ilvl w:val="0"/>
          <w:numId w:val="1069"/>
        </w:numPr>
      </w:pPr>
      <w:r>
        <w:rPr>
          <w:b/>
          <w:bCs/>
        </w:rPr>
        <w:t xml:space="preserve">Estritamente côncava/convexa</w:t>
      </w:r>
      <w:r>
        <w:t xml:space="preserve"> </w:t>
      </w:r>
      <w:r>
        <w:t xml:space="preserve">se a desigualdade é estrita para</w:t>
      </w:r>
      <w:r>
        <w:t xml:space="preserve"> </w:t>
      </w:r>
      <m:oMath>
        <m:r>
          <m:t>x</m:t>
        </m:r>
        <m:r>
          <m:rPr>
            <m:sty m:val="p"/>
          </m:rPr>
          <m:t>≠</m:t>
        </m:r>
        <m:r>
          <m:t>y</m:t>
        </m:r>
      </m:oMath>
      <w:r>
        <w:t xml:space="preserve"> </w:t>
      </w:r>
      <w:r>
        <w:t xml:space="preserve">e</w:t>
      </w:r>
      <w:r>
        <w:t xml:space="preserve"> </w:t>
      </w:r>
      <m:oMath>
        <m:r>
          <m:t>θ</m:t>
        </m:r>
        <m:r>
          <m:rPr>
            <m:sty m:val="p"/>
          </m:rPr>
          <m:t>∈</m:t>
        </m:r>
        <m:r>
          <m:rPr>
            <m:sty m:val="p"/>
          </m:rPr>
          <m:t>(</m:t>
        </m:r>
        <m:r>
          <m:t>0</m:t>
        </m:r>
        <m:r>
          <m:rPr>
            <m:sty m:val="p"/>
          </m:rPr>
          <m:t>,</m:t>
        </m:r>
        <m:r>
          <m:t>1</m:t>
        </m:r>
        <m:r>
          <m:rPr>
            <m:sty m:val="p"/>
          </m:rPr>
          <m:t>)</m:t>
        </m:r>
      </m:oMath>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Uma função côncava</w:t>
      </w:r>
      <w:r>
        <w:t xml:space="preserve"> </w:t>
      </w:r>
      <w:r>
        <w:t xml:space="preserve">“fica abaixo das cordas”</w:t>
      </w:r>
      <w:r>
        <w:t xml:space="preserve"> </w:t>
      </w:r>
      <w:r>
        <w:t xml:space="preserve">— qualquer média ponderada dos inputs dá um output pelo menos tão bom quanto a média dos outputs.</w:t>
      </w:r>
    </w:p>
    <w:p>
      <w:pPr>
        <w:pStyle w:val="BlockText"/>
      </w:pPr>
      <w:r>
        <w:rPr>
          <w:b/>
          <w:bCs/>
        </w:rPr>
        <w:t xml:space="preserve">Pense assim:</w:t>
      </w:r>
      <w:r>
        <w:t xml:space="preserve"> </w:t>
      </w:r>
      <w:r>
        <w:t xml:space="preserve">A utilidade côncava é o fundamento da aversão ao risco (Capítulo 7 (Cap. 7)): o consumidor prefere o valor esperado da loteria à loteria em si, porque a curva de utilidade está acima da corda que liga os dois resultados possíveis. A Desigualdade de Jensen (</w:t>
      </w:r>
      <m:oMath>
        <m:r>
          <m:t>E</m:t>
        </m:r>
        <m:r>
          <m:rPr>
            <m:sty m:val="p"/>
          </m:rPr>
          <m:t>[</m:t>
        </m:r>
        <m:r>
          <m:t>U</m:t>
        </m:r>
        <m:r>
          <m:rPr>
            <m:sty m:val="p"/>
          </m:rPr>
          <m:t>(</m:t>
        </m:r>
        <m:r>
          <m:t>x</m:t>
        </m:r>
        <m:r>
          <m:rPr>
            <m:sty m:val="p"/>
          </m:rPr>
          <m:t>)</m:t>
        </m:r>
        <m:r>
          <m:rPr>
            <m:sty m:val="p"/>
          </m:rPr>
          <m:t>]</m:t>
        </m:r>
        <m:r>
          <m:rPr>
            <m:sty m:val="p"/>
          </m:rPr>
          <m:t>≤</m:t>
        </m:r>
        <m:r>
          <m:t>U</m:t>
        </m:r>
        <m:r>
          <m:rPr>
            <m:sty m:val="p"/>
          </m:rPr>
          <m:t>(</m:t>
        </m:r>
        <m:r>
          <m:t>E</m:t>
        </m:r>
        <m:r>
          <m:rPr>
            <m:sty m:val="p"/>
          </m:rPr>
          <m:t>[</m:t>
        </m:r>
        <m:r>
          <m:t>x</m:t>
        </m:r>
        <m:r>
          <m:rPr>
            <m:sty m:val="p"/>
          </m:rPr>
          <m:t>]</m:t>
        </m:r>
        <m:r>
          <m:rPr>
            <m:sty m:val="p"/>
          </m:rPr>
          <m:t>)</m:t>
        </m:r>
      </m:oMath>
      <w:r>
        <w:t xml:space="preserve">) é literalmente a definição de concavidade aplicada a esperanças.</w:t>
      </w:r>
    </w:p>
    <w:bookmarkEnd w:id="137"/>
    <w:bookmarkStart w:id="138" w:name="caracterização-via-derivadas"/>
    <w:p>
      <w:pPr>
        <w:pStyle w:val="Heading4"/>
      </w:pPr>
      <w:r>
        <w:t xml:space="preserve">Caracterização via derivadas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Propriedade</w:t>
            </w:r>
          </w:p>
        </w:tc>
        <w:tc>
          <w:tcPr/>
          <w:p>
            <w:pPr>
              <w:pStyle w:val="Compact"/>
              <w:jc w:val="left"/>
            </w:pPr>
            <w:r>
              <w:t xml:space="preserve">Condição em</w:t>
            </w:r>
            <w:r>
              <w:t xml:space="preserve"> </w:t>
            </w:r>
            <m:oMath>
              <m:sSup>
                <m:e>
                  <m:r>
                    <m:t>f</m:t>
                  </m:r>
                </m:e>
                <m:sup>
                  <m:r>
                    <m:rPr>
                      <m:sty m:val="p"/>
                    </m:rPr>
                    <m:t>″</m:t>
                  </m:r>
                </m:sup>
              </m:sSup>
            </m:oMath>
            <w:r>
              <w:t xml:space="preserve"> </w:t>
            </w:r>
            <w:r>
              <w:t xml:space="preserve">(1 var.)</w:t>
            </w:r>
          </w:p>
        </w:tc>
        <w:tc>
          <w:tcPr/>
          <w:p>
            <w:pPr>
              <w:pStyle w:val="Compact"/>
              <w:jc w:val="left"/>
            </w:pPr>
            <w:r>
              <w:t xml:space="preserve">Condição na Hessiana</w:t>
            </w:r>
            <w:r>
              <w:t xml:space="preserve"> </w:t>
            </w:r>
            <m:oMath>
              <m:r>
                <m:t>H</m:t>
              </m:r>
            </m:oMath>
            <w:r>
              <w:t xml:space="preserve"> </w:t>
            </w:r>
            <w:r>
              <w:t xml:space="preserve">(</w:t>
            </w:r>
            <m:oMath>
              <m:r>
                <m:t>n</m:t>
              </m:r>
            </m:oMath>
            <w:r>
              <w:t xml:space="preserve"> </w:t>
            </w:r>
            <w:r>
              <w:t xml:space="preserve">var.)</w:t>
            </w:r>
          </w:p>
        </w:tc>
      </w:tr>
      <w:tr>
        <w:tc>
          <w:tcPr/>
          <w:p>
            <w:pPr>
              <w:pStyle w:val="Compact"/>
              <w:jc w:val="left"/>
            </w:pPr>
            <w:r>
              <w:t xml:space="preserve">Côncava</w:t>
            </w:r>
          </w:p>
        </w:tc>
        <w:tc>
          <w:tcPr/>
          <w:p>
            <w:pPr>
              <w:pStyle w:val="Compact"/>
              <w:jc w:val="left"/>
            </w:pPr>
            <m:oMath>
              <m:sSup>
                <m:e>
                  <m:r>
                    <m:t>f</m:t>
                  </m:r>
                </m:e>
                <m:sup>
                  <m:r>
                    <m:rPr>
                      <m:sty m:val="p"/>
                    </m:rPr>
                    <m:t>″</m:t>
                  </m:r>
                </m:sup>
              </m:sSup>
              <m:r>
                <m:rPr>
                  <m:sty m:val="p"/>
                </m:rPr>
                <m:t>≤</m:t>
              </m:r>
              <m:r>
                <m:t>0</m:t>
              </m:r>
            </m:oMath>
          </w:p>
        </w:tc>
        <w:tc>
          <w:tcPr/>
          <w:p>
            <w:pPr>
              <w:pStyle w:val="Compact"/>
              <w:jc w:val="left"/>
            </w:pPr>
            <m:oMath>
              <m:r>
                <m:t>H</m:t>
              </m:r>
            </m:oMath>
            <w:r>
              <w:t xml:space="preserve"> </w:t>
            </w:r>
            <w:r>
              <w:t xml:space="preserve">semidefinida negativa</w:t>
            </w:r>
          </w:p>
        </w:tc>
      </w:tr>
      <w:tr>
        <w:tc>
          <w:tcPr/>
          <w:p>
            <w:pPr>
              <w:pStyle w:val="Compact"/>
              <w:jc w:val="left"/>
            </w:pPr>
            <w:r>
              <w:t xml:space="preserve">Estritamente côncava</w:t>
            </w:r>
          </w:p>
        </w:tc>
        <w:tc>
          <w:tcPr/>
          <w:p>
            <w:pPr>
              <w:pStyle w:val="Compact"/>
              <w:jc w:val="left"/>
            </w:pPr>
            <m:oMath>
              <m:sSup>
                <m:e>
                  <m:r>
                    <m:t>f</m:t>
                  </m:r>
                </m:e>
                <m:sup>
                  <m:r>
                    <m:rPr>
                      <m:sty m:val="p"/>
                    </m:rPr>
                    <m:t>″</m:t>
                  </m:r>
                </m:sup>
              </m:sSup>
              <m:r>
                <m:rPr>
                  <m:sty m:val="p"/>
                </m:rPr>
                <m:t>&lt;</m:t>
              </m:r>
              <m:r>
                <m:t>0</m:t>
              </m:r>
            </m:oMath>
          </w:p>
        </w:tc>
        <w:tc>
          <w:tcPr/>
          <w:p>
            <w:pPr>
              <w:pStyle w:val="Compact"/>
              <w:jc w:val="left"/>
            </w:pPr>
            <m:oMath>
              <m:r>
                <m:t>H</m:t>
              </m:r>
            </m:oMath>
            <w:r>
              <w:t xml:space="preserve"> </w:t>
            </w:r>
            <w:r>
              <w:t xml:space="preserve">definida negativa</w:t>
            </w:r>
          </w:p>
        </w:tc>
      </w:tr>
      <w:tr>
        <w:tc>
          <w:tcPr/>
          <w:p>
            <w:pPr>
              <w:pStyle w:val="Compact"/>
              <w:jc w:val="left"/>
            </w:pPr>
            <w:r>
              <w:t xml:space="preserve">Convexa</w:t>
            </w:r>
          </w:p>
        </w:tc>
        <w:tc>
          <w:tcPr/>
          <w:p>
            <w:pPr>
              <w:pStyle w:val="Compact"/>
              <w:jc w:val="left"/>
            </w:pPr>
            <m:oMath>
              <m:sSup>
                <m:e>
                  <m:r>
                    <m:t>f</m:t>
                  </m:r>
                </m:e>
                <m:sup>
                  <m:r>
                    <m:rPr>
                      <m:sty m:val="p"/>
                    </m:rPr>
                    <m:t>″</m:t>
                  </m:r>
                </m:sup>
              </m:sSup>
              <m:r>
                <m:rPr>
                  <m:sty m:val="p"/>
                </m:rPr>
                <m:t>≥</m:t>
              </m:r>
              <m:r>
                <m:t>0</m:t>
              </m:r>
            </m:oMath>
          </w:p>
        </w:tc>
        <w:tc>
          <w:tcPr/>
          <w:p>
            <w:pPr>
              <w:pStyle w:val="Compact"/>
              <w:jc w:val="left"/>
            </w:pPr>
            <m:oMath>
              <m:r>
                <m:t>H</m:t>
              </m:r>
            </m:oMath>
            <w:r>
              <w:t xml:space="preserve"> </w:t>
            </w:r>
            <w:r>
              <w:t xml:space="preserve">semidefinida positiva</w:t>
            </w:r>
          </w:p>
        </w:tc>
      </w:tr>
    </w:tbl>
    <w:bookmarkEnd w:id="138"/>
    <w:bookmarkStart w:id="139" w:name="X420dafad8273ef5463ee62c792c3b4a14b76c66"/>
    <w:p>
      <w:pPr>
        <w:pStyle w:val="Heading4"/>
      </w:pPr>
      <w:r>
        <w:t xml:space="preserve">Quase-concavidade: a curvatura que importa para as preferências</w:t>
      </w:r>
    </w:p>
    <w:p>
      <w:pPr>
        <w:pStyle w:val="BlockText"/>
      </w:pPr>
      <w:r>
        <w:rPr>
          <w:b/>
          <w:bCs/>
        </w:rPr>
        <w:t xml:space="preserve">[DEFINICAO] Quase-Concavidade</w:t>
      </w:r>
    </w:p>
    <w:p>
      <w:pPr>
        <w:pStyle w:val="BlockText"/>
      </w:pPr>
      <m:oMath>
        <m:r>
          <m:t>f</m:t>
        </m:r>
      </m:oMath>
      <w:r>
        <w:t xml:space="preserve"> </w:t>
      </w:r>
      <w:r>
        <w:t xml:space="preserve">é</w:t>
      </w:r>
      <w:r>
        <w:t xml:space="preserve"> </w:t>
      </w:r>
      <w:r>
        <w:rPr>
          <w:b/>
          <w:bCs/>
        </w:rPr>
        <w:t xml:space="preserve">quase-côncava</w:t>
      </w:r>
      <w:r>
        <w:t xml:space="preserve"> </w:t>
      </w:r>
      <w:r>
        <w:t xml:space="preserve">se, para todo</w:t>
      </w:r>
      <w:r>
        <w:t xml:space="preserve"> </w:t>
      </w:r>
      <m:oMath>
        <m:r>
          <m:t>x</m:t>
        </m:r>
        <m:r>
          <m:rPr>
            <m:sty m:val="p"/>
          </m:rPr>
          <m:t>,</m:t>
        </m:r>
        <m:r>
          <m:t>y</m:t>
        </m:r>
      </m:oMath>
      <w:r>
        <w:t xml:space="preserve"> </w:t>
      </w:r>
      <w:r>
        <w:t xml:space="preserve">com</w:t>
      </w:r>
      <w:r>
        <w:t xml:space="preserve"> </w:t>
      </w:r>
      <m:oMath>
        <m:r>
          <m:t>f</m:t>
        </m:r>
        <m:r>
          <m:rPr>
            <m:sty m:val="p"/>
          </m:rPr>
          <m:t>(</m:t>
        </m:r>
        <m:r>
          <m:t>x</m:t>
        </m:r>
        <m:r>
          <m:rPr>
            <m:sty m:val="p"/>
          </m:rPr>
          <m:t>)</m:t>
        </m:r>
        <m:r>
          <m:rPr>
            <m:sty m:val="p"/>
          </m:rPr>
          <m:t>≥</m:t>
        </m:r>
        <m:r>
          <m:t>f</m:t>
        </m:r>
        <m:r>
          <m:rPr>
            <m:sty m:val="p"/>
          </m:rPr>
          <m:t>(</m:t>
        </m:r>
        <m:r>
          <m:t>y</m:t>
        </m:r>
        <m:r>
          <m:rPr>
            <m:sty m:val="p"/>
          </m:rPr>
          <m:t>)</m:t>
        </m:r>
      </m:oMath>
      <w:r>
        <w:t xml:space="preserve"> </w:t>
      </w:r>
      <w:r>
        <w:t xml:space="preserve">e</w:t>
      </w:r>
      <w:r>
        <w:t xml:space="preserve"> </w:t>
      </w:r>
      <m:oMath>
        <m:r>
          <m:t>θ</m:t>
        </m:r>
        <m:r>
          <m:rPr>
            <m:sty m:val="p"/>
          </m:rPr>
          <m:t>∈</m:t>
        </m:r>
        <m:r>
          <m:rPr>
            <m:sty m:val="p"/>
          </m:rPr>
          <m:t>[</m:t>
        </m:r>
        <m:r>
          <m:t>0</m:t>
        </m:r>
        <m:r>
          <m:rPr>
            <m:sty m:val="p"/>
          </m:rPr>
          <m:t>,</m:t>
        </m:r>
        <m:r>
          <m:t>1</m:t>
        </m:r>
        <m:r>
          <m:rPr>
            <m:sty m:val="p"/>
          </m:rPr>
          <m:t>]</m:t>
        </m:r>
      </m:oMath>
      <w:r>
        <w:t xml:space="preserve">:</w:t>
      </w:r>
    </w:p>
    <w:p>
      <w:pPr>
        <w:pStyle w:val="BlockText"/>
      </w:pPr>
      <m:oMathPara>
        <m:oMathParaPr>
          <m:jc m:val="center"/>
        </m:oMathParaPr>
        <m:oMath>
          <m:r>
            <m:t>f</m:t>
          </m:r>
          <m:r>
            <m:rPr>
              <m:sty m:val="p"/>
            </m:rPr>
            <m:t>(</m:t>
          </m:r>
          <m:r>
            <m:t>θ</m:t>
          </m:r>
          <m:r>
            <m:t>x</m:t>
          </m:r>
          <m:r>
            <m:rPr>
              <m:sty m:val="p"/>
            </m:rPr>
            <m:t>+</m:t>
          </m:r>
          <m:r>
            <m:rPr>
              <m:sty m:val="p"/>
            </m:rPr>
            <m:t>(</m:t>
          </m:r>
          <m:r>
            <m:t>1</m:t>
          </m:r>
          <m:r>
            <m:rPr>
              <m:sty m:val="p"/>
            </m:rPr>
            <m:t>−</m:t>
          </m:r>
          <m:r>
            <m:t>θ</m:t>
          </m:r>
          <m:r>
            <m:rPr>
              <m:sty m:val="p"/>
            </m:rPr>
            <m:t>)</m:t>
          </m:r>
          <m:r>
            <m:t>y</m:t>
          </m:r>
          <m:r>
            <m:rPr>
              <m:sty m:val="p"/>
            </m:rPr>
            <m:t>)</m:t>
          </m:r>
          <m:r>
            <m:rPr>
              <m:sty m:val="p"/>
            </m:rPr>
            <m:t>≥</m:t>
          </m:r>
          <m:r>
            <m:t>f</m:t>
          </m:r>
          <m:r>
            <m:rPr>
              <m:sty m:val="p"/>
            </m:rPr>
            <m:t>(</m:t>
          </m:r>
          <m:r>
            <m:t>y</m:t>
          </m:r>
          <m:r>
            <m:rPr>
              <m:sty m:val="p"/>
            </m:rPr>
            <m:t>)</m:t>
          </m:r>
        </m:oMath>
      </m:oMathPara>
    </w:p>
    <w:p>
      <w:pPr>
        <w:pStyle w:val="BlockText"/>
      </w:pPr>
      <w:r>
        <w:t xml:space="preserve">Equivalentemente: os</w:t>
      </w:r>
      <w:r>
        <w:t xml:space="preserve"> </w:t>
      </w:r>
      <w:r>
        <w:rPr>
          <w:b/>
          <w:bCs/>
        </w:rPr>
        <w:t xml:space="preserve">conjuntos de nível superior</w:t>
      </w:r>
      <w:r>
        <w:t xml:space="preserve"> </w:t>
      </w:r>
      <m:oMath>
        <m:r>
          <m:rPr>
            <m:sty m:val="p"/>
          </m:rPr>
          <m:t>{</m:t>
        </m:r>
        <m:r>
          <m:t>x</m:t>
        </m:r>
        <m:r>
          <m:rPr>
            <m:sty m:val="p"/>
          </m:rPr>
          <m:t>:</m:t>
        </m:r>
        <m:r>
          <m:t>f</m:t>
        </m:r>
        <m:r>
          <m:rPr>
            <m:sty m:val="p"/>
          </m:rPr>
          <m:t>(</m:t>
        </m:r>
        <m:r>
          <m:t>x</m:t>
        </m:r>
        <m:r>
          <m:rPr>
            <m:sty m:val="p"/>
          </m:rPr>
          <m:t>)</m:t>
        </m:r>
        <m:r>
          <m:rPr>
            <m:sty m:val="p"/>
          </m:rPr>
          <m:t>≥</m:t>
        </m:r>
        <m:r>
          <m:t>c</m:t>
        </m:r>
        <m:r>
          <m:rPr>
            <m:sty m:val="p"/>
          </m:rPr>
          <m:t>}</m:t>
        </m:r>
      </m:oMath>
      <w:r>
        <w:t xml:space="preserve"> </w:t>
      </w:r>
      <w:r>
        <w:t xml:space="preserve">são convexos para todo</w:t>
      </w:r>
      <w:r>
        <w:t xml:space="preserve"> </w:t>
      </w:r>
      <m:oMath>
        <m:r>
          <m:t>c</m:t>
        </m:r>
      </m:oMath>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Quase-concavidade garante curvas de indiferença</w:t>
      </w:r>
      <w:r>
        <w:t xml:space="preserve"> </w:t>
      </w:r>
      <w:r>
        <w:t xml:space="preserve">“bem comportadas”</w:t>
      </w:r>
      <w:r>
        <w:t xml:space="preserve"> </w:t>
      </w:r>
      <w:r>
        <w:t xml:space="preserve">— convexas em direção à origem.</w:t>
      </w:r>
    </w:p>
    <w:p>
      <w:pPr>
        <w:pStyle w:val="BlockText"/>
      </w:pPr>
      <w:r>
        <w:rPr>
          <w:b/>
          <w:bCs/>
        </w:rPr>
        <w:t xml:space="preserve">Por que importa mais que concavidade para preferências:</w:t>
      </w:r>
      <w:r>
        <w:t xml:space="preserve"> </w:t>
      </w:r>
      <w:r>
        <w:t xml:space="preserve">A utilidade é</w:t>
      </w:r>
      <w:r>
        <w:t xml:space="preserve"> </w:t>
      </w:r>
      <w:r>
        <w:rPr>
          <w:i/>
          <w:iCs/>
        </w:rPr>
        <w:t xml:space="preserve">ordinal</w:t>
      </w:r>
      <w:r>
        <w:t xml:space="preserve"> </w:t>
      </w:r>
      <w:r>
        <w:t xml:space="preserve">no Capítulo 3 (Cap. 3) — transformações monotônicas crescentes não alteram as preferências. Concavidade</w:t>
      </w:r>
      <w:r>
        <w:t xml:space="preserve"> </w:t>
      </w:r>
      <w:r>
        <w:rPr>
          <w:b/>
          <w:bCs/>
        </w:rPr>
        <w:t xml:space="preserve">não</w:t>
      </w:r>
      <w:r>
        <w:t xml:space="preserve"> </w:t>
      </w:r>
      <w:r>
        <w:t xml:space="preserve">é preservada por transformações monotônicas, mas quase-concavidade</w:t>
      </w:r>
      <w:r>
        <w:t xml:space="preserve"> </w:t>
      </w:r>
      <w:r>
        <w:rPr>
          <w:b/>
          <w:bCs/>
        </w:rPr>
        <w:t xml:space="preserve">sim</w:t>
      </w:r>
      <w:r>
        <w:t xml:space="preserve">. Logo, quase-concavidade é a propriedade</w:t>
      </w:r>
      <w:r>
        <w:t xml:space="preserve"> </w:t>
      </w:r>
      <w:r>
        <w:t xml:space="preserve">“certa”</w:t>
      </w:r>
      <w:r>
        <w:t xml:space="preserve"> </w:t>
      </w:r>
      <w:r>
        <w:t xml:space="preserve">para curvas de indiferença: ela garante que a tangência com a reta orçamentária encontra um máximo global, sem depender da escala de</w:t>
      </w:r>
      <w:r>
        <w:t xml:space="preserve"> </w:t>
      </w:r>
      <m:oMath>
        <m:r>
          <m:t>U</m:t>
        </m:r>
      </m:oMath>
      <w:r>
        <w:t xml:space="preserve">.</w:t>
      </w:r>
    </w:p>
    <w:bookmarkEnd w:id="139"/>
    <w:bookmarkStart w:id="140" w:name="Xc6164e423dda7884c03200f7f5b215669a942c9"/>
    <w:p>
      <w:pPr>
        <w:pStyle w:val="Heading4"/>
      </w:pPr>
      <w:r>
        <w:t xml:space="preserve">Concavidade, quase-concavidade e suficiência</w:t>
      </w:r>
    </w:p>
    <w:tbl>
      <w:tblPr>
        <w:tblStyle w:val="Table"/>
        <w:tblW w:type="pct" w:w="5000"/>
        <w:tblLayout w:type="fixed"/>
        <w:tblLook w:firstRow="1" w:lastRow="0" w:firstColumn="0" w:lastColumn="0" w:noHBand="0" w:noVBand="0" w:val="0020"/>
      </w:tblPr>
      <w:tblGrid>
        <w:gridCol w:w="1397"/>
        <w:gridCol w:w="2329"/>
        <w:gridCol w:w="2329"/>
        <w:gridCol w:w="1863"/>
      </w:tblGrid>
      <w:tr>
        <w:trPr>
          <w:tblHeader w:val="on"/>
        </w:trPr>
        <w:tc>
          <w:tcPr/>
          <w:p>
            <w:pPr>
              <w:pStyle w:val="Compact"/>
              <w:jc w:val="left"/>
            </w:pPr>
            <w:r>
              <w:t xml:space="preserve">Propriedade de</w:t>
            </w:r>
            <w:r>
              <w:t xml:space="preserve"> </w:t>
            </w:r>
            <m:oMath>
              <m:r>
                <m:t>f</m:t>
              </m:r>
            </m:oMath>
          </w:p>
        </w:tc>
        <w:tc>
          <w:tcPr/>
          <w:p>
            <w:pPr>
              <w:pStyle w:val="Compact"/>
              <w:jc w:val="center"/>
            </w:pPr>
            <w:r>
              <w:t xml:space="preserve">CPO necessária?</w:t>
            </w:r>
          </w:p>
        </w:tc>
        <w:tc>
          <w:tcPr/>
          <w:p>
            <w:pPr>
              <w:pStyle w:val="Compact"/>
              <w:jc w:val="center"/>
            </w:pPr>
            <w:r>
              <w:t xml:space="preserve">CPO suficiente?</w:t>
            </w:r>
          </w:p>
        </w:tc>
        <w:tc>
          <w:tcPr/>
          <w:p>
            <w:pPr>
              <w:pStyle w:val="Compact"/>
              <w:jc w:val="left"/>
            </w:pPr>
            <w:r>
              <w:t xml:space="preserve">Exemplo econômico</w:t>
            </w:r>
          </w:p>
        </w:tc>
      </w:tr>
      <w:tr>
        <w:tc>
          <w:tcPr/>
          <w:p>
            <w:pPr>
              <w:pStyle w:val="Compact"/>
              <w:jc w:val="left"/>
            </w:pPr>
            <w:r>
              <w:t xml:space="preserve">Estritamente côncava</w:t>
            </w:r>
          </w:p>
        </w:tc>
        <w:tc>
          <w:tcPr/>
          <w:p>
            <w:pPr>
              <w:pStyle w:val="Compact"/>
              <w:jc w:val="center"/>
            </w:pPr>
            <w:r>
              <w:t xml:space="preserve">✅</w:t>
            </w:r>
          </w:p>
        </w:tc>
        <w:tc>
          <w:tcPr/>
          <w:p>
            <w:pPr>
              <w:pStyle w:val="Compact"/>
              <w:jc w:val="center"/>
            </w:pPr>
            <w:r>
              <w:t xml:space="preserve">✅ (máx global único)</w:t>
            </w:r>
          </w:p>
        </w:tc>
        <w:tc>
          <w:tcPr/>
          <w:p>
            <w:pPr>
              <w:pStyle w:val="Compact"/>
              <w:jc w:val="left"/>
            </w:pPr>
            <m:oMath>
              <m:r>
                <m:t>U</m:t>
              </m:r>
              <m:r>
                <m:rPr>
                  <m:sty m:val="p"/>
                </m:rPr>
                <m:t>=</m:t>
              </m:r>
              <m:r>
                <m:rPr>
                  <m:sty m:val="p"/>
                </m:rPr>
                <m:t>ln</m:t>
              </m:r>
              <m:sSub>
                <m:e>
                  <m:r>
                    <m:t>x</m:t>
                  </m:r>
                </m:e>
                <m:sub>
                  <m:r>
                    <m:t>1</m:t>
                  </m:r>
                </m:sub>
              </m:sSub>
              <m:r>
                <m:rPr>
                  <m:sty m:val="p"/>
                </m:rPr>
                <m:t>+</m:t>
              </m:r>
              <m:r>
                <m:rPr>
                  <m:sty m:val="p"/>
                </m:rPr>
                <m:t>ln</m:t>
              </m:r>
              <m:sSub>
                <m:e>
                  <m:r>
                    <m:t>x</m:t>
                  </m:r>
                </m:e>
                <m:sub>
                  <m:r>
                    <m:t>2</m:t>
                  </m:r>
                </m:sub>
              </m:sSub>
            </m:oMath>
          </w:p>
        </w:tc>
      </w:tr>
      <w:tr>
        <w:tc>
          <w:tcPr/>
          <w:p>
            <w:pPr>
              <w:pStyle w:val="Compact"/>
              <w:jc w:val="left"/>
            </w:pPr>
            <w:r>
              <w:t xml:space="preserve">Côncava</w:t>
            </w:r>
          </w:p>
        </w:tc>
        <w:tc>
          <w:tcPr/>
          <w:p>
            <w:pPr>
              <w:pStyle w:val="Compact"/>
              <w:jc w:val="center"/>
            </w:pPr>
            <w:r>
              <w:t xml:space="preserve">✅</w:t>
            </w:r>
          </w:p>
        </w:tc>
        <w:tc>
          <w:tcPr/>
          <w:p>
            <w:pPr>
              <w:pStyle w:val="Compact"/>
              <w:jc w:val="center"/>
            </w:pPr>
            <w:r>
              <w:t xml:space="preserve">✅ (máx global, possivelmente múltiplo)</w:t>
            </w:r>
          </w:p>
        </w:tc>
        <w:tc>
          <w:tcPr/>
          <w:p>
            <w:pPr>
              <w:pStyle w:val="Compact"/>
              <w:jc w:val="left"/>
            </w:pPr>
            <m:oMath>
              <m:r>
                <m:t>U</m:t>
              </m:r>
              <m:r>
                <m:rPr>
                  <m:sty m:val="p"/>
                </m:rPr>
                <m:t>=</m:t>
              </m:r>
              <m:r>
                <m:rPr>
                  <m:sty m:val="p"/>
                </m:rPr>
                <m:t>min</m:t>
              </m:r>
              <m:r>
                <m:rPr>
                  <m:sty m:val="p"/>
                </m:rPr>
                <m:t>(</m:t>
              </m:r>
              <m:sSub>
                <m:e>
                  <m:r>
                    <m:t>x</m:t>
                  </m:r>
                </m:e>
                <m:sub>
                  <m:r>
                    <m:t>1</m:t>
                  </m:r>
                </m:sub>
              </m:sSub>
              <m:r>
                <m:rPr>
                  <m:sty m:val="p"/>
                </m:rPr>
                <m:t>,</m:t>
              </m:r>
              <m:sSub>
                <m:e>
                  <m:r>
                    <m:t>x</m:t>
                  </m:r>
                </m:e>
                <m:sub>
                  <m:r>
                    <m:t>2</m:t>
                  </m:r>
                </m:sub>
              </m:sSub>
              <m:r>
                <m:rPr>
                  <m:sty m:val="p"/>
                </m:rPr>
                <m:t>)</m:t>
              </m:r>
            </m:oMath>
          </w:p>
        </w:tc>
      </w:tr>
      <w:tr>
        <w:tc>
          <w:tcPr/>
          <w:p>
            <w:pPr>
              <w:pStyle w:val="Compact"/>
              <w:jc w:val="left"/>
            </w:pPr>
            <w:r>
              <w:t xml:space="preserve">Quase-côncava</w:t>
            </w:r>
          </w:p>
        </w:tc>
        <w:tc>
          <w:tcPr/>
          <w:p>
            <w:pPr>
              <w:pStyle w:val="Compact"/>
              <w:jc w:val="center"/>
            </w:pPr>
            <w:r>
              <w:t xml:space="preserve">✅</w:t>
            </w:r>
          </w:p>
        </w:tc>
        <w:tc>
          <w:tcPr/>
          <w:p>
            <w:pPr>
              <w:pStyle w:val="Compact"/>
              <w:jc w:val="center"/>
            </w:pPr>
            <w:r>
              <w:t xml:space="preserve">✅ (com restrição convexa)</w:t>
            </w:r>
          </w:p>
        </w:tc>
        <w:tc>
          <w:tcPr/>
          <w:p>
            <w:pPr>
              <w:pStyle w:val="Compact"/>
              <w:jc w:val="left"/>
            </w:pPr>
            <m:oMath>
              <m:r>
                <m:t>U</m:t>
              </m:r>
              <m:r>
                <m:rPr>
                  <m:sty m:val="p"/>
                </m:rPr>
                <m:t>=</m:t>
              </m:r>
              <m:sSub>
                <m:e>
                  <m:r>
                    <m:t>x</m:t>
                  </m:r>
                </m:e>
                <m:sub>
                  <m:r>
                    <m:t>1</m:t>
                  </m:r>
                </m:sub>
              </m:sSub>
              <m:sSub>
                <m:e>
                  <m:r>
                    <m:t>x</m:t>
                  </m:r>
                </m:e>
                <m:sub>
                  <m:r>
                    <m:t>2</m:t>
                  </m:r>
                </m:sub>
              </m:sSub>
            </m:oMath>
          </w:p>
        </w:tc>
      </w:tr>
      <w:tr>
        <w:tc>
          <w:tcPr/>
          <w:p>
            <w:pPr>
              <w:pStyle w:val="Compact"/>
              <w:jc w:val="left"/>
            </w:pPr>
            <w:r>
              <w:t xml:space="preserve">Nenhuma das anteriores</w:t>
            </w:r>
          </w:p>
        </w:tc>
        <w:tc>
          <w:tcPr/>
          <w:p>
            <w:pPr>
              <w:pStyle w:val="Compact"/>
              <w:jc w:val="center"/>
            </w:pPr>
            <w:r>
              <w:t xml:space="preserve">✅</w:t>
            </w:r>
          </w:p>
        </w:tc>
        <w:tc>
          <w:tcPr/>
          <w:p>
            <w:pPr>
              <w:pStyle w:val="Compact"/>
              <w:jc w:val="center"/>
            </w:pPr>
            <w:r>
              <w:t xml:space="preserve">❌ (CSO necessária)</w:t>
            </w:r>
          </w:p>
        </w:tc>
        <w:tc>
          <w:tcPr/>
          <w:p>
            <w:pPr>
              <w:pStyle w:val="Compact"/>
              <w:jc w:val="left"/>
            </w:pPr>
            <m:oMath>
              <m:r>
                <m:t>U</m:t>
              </m:r>
              <m:r>
                <m:rPr>
                  <m:sty m:val="p"/>
                </m:rPr>
                <m:t>=</m:t>
              </m:r>
              <m:sSubSup>
                <m:e>
                  <m:r>
                    <m:t>x</m:t>
                  </m:r>
                </m:e>
                <m:sub>
                  <m:r>
                    <m:t>1</m:t>
                  </m:r>
                </m:sub>
                <m:sup>
                  <m:r>
                    <m:t>2</m:t>
                  </m:r>
                </m:sup>
              </m:sSubSup>
              <m:r>
                <m:rPr>
                  <m:sty m:val="p"/>
                </m:rPr>
                <m:t>+</m:t>
              </m:r>
              <m:sSubSup>
                <m:e>
                  <m:r>
                    <m:t>x</m:t>
                  </m:r>
                </m:e>
                <m:sub>
                  <m:r>
                    <m:t>2</m:t>
                  </m:r>
                </m:sub>
                <m:sup>
                  <m:r>
                    <m:t>2</m:t>
                  </m:r>
                </m:sup>
              </m:sSubSup>
            </m:oMath>
          </w:p>
        </w:tc>
      </w:tr>
    </w:tbl>
    <w:p>
      <w:pPr>
        <w:pStyle w:val="BlockText"/>
      </w:pPr>
      <w:r>
        <w:rPr>
          <w:b/>
          <w:bCs/>
        </w:rPr>
        <w:t xml:space="preserve">[DANGER] Erro Comum</w:t>
      </w:r>
    </w:p>
    <w:p>
      <w:pPr>
        <w:pStyle w:val="BlockText"/>
      </w:pPr>
      <w:r>
        <w:rPr>
          <w:b/>
          <w:bCs/>
        </w:rPr>
        <w:t xml:space="preserve">Confundir côncava com quase-côncava.</w:t>
      </w:r>
      <w:r>
        <w:t xml:space="preserve"> </w:t>
      </w:r>
      <w:r>
        <w:t xml:space="preserve">Toda função côncava é quase-côncava, mas a recíproca é</w:t>
      </w:r>
      <w:r>
        <w:t xml:space="preserve"> </w:t>
      </w:r>
      <w:r>
        <w:rPr>
          <w:b/>
          <w:bCs/>
        </w:rPr>
        <w:t xml:space="preserve">falsa</w:t>
      </w:r>
      <w:r>
        <w:t xml:space="preserve">.</w:t>
      </w:r>
      <w:r>
        <w:t xml:space="preserve"> </w:t>
      </w:r>
      <m:oMath>
        <m:r>
          <m:t>f</m:t>
        </m:r>
        <m:r>
          <m:rPr>
            <m:sty m:val="p"/>
          </m:rPr>
          <m:t>(</m:t>
        </m:r>
        <m:r>
          <m:t>x</m:t>
        </m:r>
        <m:r>
          <m:rPr>
            <m:sty m:val="p"/>
          </m:rPr>
          <m:t>)</m:t>
        </m:r>
        <m:r>
          <m:rPr>
            <m:sty m:val="p"/>
          </m:rPr>
          <m:t>=</m:t>
        </m:r>
        <m:sSup>
          <m:e>
            <m:r>
              <m:t>x</m:t>
            </m:r>
          </m:e>
          <m:sup>
            <m:r>
              <m:t>3</m:t>
            </m:r>
          </m:sup>
        </m:sSup>
      </m:oMath>
      <w:r>
        <w:t xml:space="preserve"> </w:t>
      </w:r>
      <w:r>
        <w:t xml:space="preserve">é quase-côncava (em</w:t>
      </w:r>
      <w:r>
        <w:t xml:space="preserve"> </w:t>
      </w:r>
      <m:oMath>
        <m:r>
          <m:rPr>
            <m:scr m:val="double-struck"/>
            <m:sty m:val="p"/>
          </m:rPr>
          <m:t>R</m:t>
        </m:r>
      </m:oMath>
      <w:r>
        <w:t xml:space="preserve">) mas não côncava. Para preferências, quase-concavidade basta; para aversão ao risco, precisa-se de concavidade</w:t>
      </w:r>
      <w:r>
        <w:t xml:space="preserve"> </w:t>
      </w:r>
      <w:r>
        <w:t xml:space="preserve">“de verdade”</w:t>
      </w:r>
      <w:r>
        <w:t xml:space="preserve">.</w:t>
      </w:r>
    </w:p>
    <w:p>
      <w:r>
        <w:pict>
          <v:rect style="width:0;height:1.5pt" o:hralign="center" o:hrstd="t" o:hr="t"/>
        </w:pict>
      </w:r>
    </w:p>
    <w:bookmarkEnd w:id="140"/>
    <w:bookmarkEnd w:id="141"/>
    <w:bookmarkStart w:id="147" w:name="X719a1c782a1ba91c031a682a0a2f8658209adbf"/>
    <w:p>
      <w:pPr>
        <w:pStyle w:val="Heading3"/>
      </w:pPr>
      <w:r>
        <w:t xml:space="preserve">2.9 Funções Homogêneas e o Teorema de Euler</w:t>
      </w:r>
    </w:p>
    <w:bookmarkStart w:id="142" w:name="homogeneidade"/>
    <w:p>
      <w:pPr>
        <w:pStyle w:val="Heading4"/>
      </w:pPr>
      <w:r>
        <w:t xml:space="preserve">Homogeneidade</w:t>
      </w:r>
    </w:p>
    <w:p>
      <w:pPr>
        <w:pStyle w:val="BlockText"/>
      </w:pPr>
      <w:r>
        <w:rPr>
          <w:b/>
          <w:bCs/>
        </w:rPr>
        <w:t xml:space="preserve">[DEFINICAO] Função Homogênea de Grau</w:t>
      </w:r>
      <w:r>
        <w:rPr>
          <w:b/>
          <w:bCs/>
        </w:rPr>
        <w:t xml:space="preserve"> </w:t>
      </w:r>
      <m:oMath>
        <m:r>
          <m:t>k</m:t>
        </m:r>
      </m:oMath>
    </w:p>
    <w:p>
      <w:pPr>
        <w:pStyle w:val="BlockText"/>
      </w:pPr>
      <m:oMath>
        <m:r>
          <m:t>f</m:t>
        </m:r>
        <m:r>
          <m:rPr>
            <m:sty m:val="p"/>
          </m:rPr>
          <m:t>:</m:t>
        </m:r>
        <m:sSubSup>
          <m:e>
            <m:r>
              <m:rPr>
                <m:scr m:val="double-struck"/>
                <m:sty m:val="p"/>
              </m:rPr>
              <m:t>R</m:t>
            </m:r>
          </m:e>
          <m:sub>
            <m:r>
              <m:rPr>
                <m:sty m:val="p"/>
              </m:rPr>
              <m:t>+</m:t>
            </m:r>
          </m:sub>
          <m:sup>
            <m:r>
              <m:t>n</m:t>
            </m:r>
          </m:sup>
        </m:sSubSup>
        <m:r>
          <m:rPr>
            <m:sty m:val="p"/>
          </m:rPr>
          <m:t>→</m:t>
        </m:r>
        <m:r>
          <m:rPr>
            <m:scr m:val="double-struck"/>
            <m:sty m:val="p"/>
          </m:rPr>
          <m:t>R</m:t>
        </m:r>
      </m:oMath>
      <w:r>
        <w:t xml:space="preserve"> </w:t>
      </w:r>
      <w:r>
        <w:t xml:space="preserve">é</w:t>
      </w:r>
      <w:r>
        <w:t xml:space="preserve"> </w:t>
      </w:r>
      <w:r>
        <w:rPr>
          <w:b/>
          <w:bCs/>
        </w:rPr>
        <w:t xml:space="preserve">homogênea de grau</w:t>
      </w:r>
      <w:r>
        <w:rPr>
          <w:b/>
          <w:bCs/>
        </w:rPr>
        <w:t xml:space="preserve"> </w:t>
      </w:r>
      <m:oMath>
        <m:r>
          <m:t>k</m:t>
        </m:r>
      </m:oMath>
      <w:r>
        <w:t xml:space="preserve"> </w:t>
      </w:r>
      <w:r>
        <w:t xml:space="preserve">se, para todo</w:t>
      </w:r>
      <w:r>
        <w:t xml:space="preserve"> </w:t>
      </w:r>
      <m:oMath>
        <m:r>
          <m:t>t</m:t>
        </m:r>
        <m:r>
          <m:rPr>
            <m:sty m:val="p"/>
          </m:rPr>
          <m:t>&gt;</m:t>
        </m:r>
        <m:r>
          <m:t>0</m:t>
        </m:r>
      </m:oMath>
      <w:r>
        <w:t xml:space="preserve">:</w:t>
      </w:r>
    </w:p>
    <w:p>
      <w:pPr>
        <w:pStyle w:val="BlockText"/>
      </w:pPr>
      <m:oMathPara>
        <m:oMathParaPr>
          <m:jc m:val="center"/>
        </m:oMathParaPr>
        <m:oMath>
          <m:r>
            <m:t>f</m:t>
          </m:r>
          <m:r>
            <m:rPr>
              <m:sty m:val="p"/>
            </m:rPr>
            <m:t>(</m:t>
          </m:r>
          <m:r>
            <m:t>t</m:t>
          </m:r>
          <m:r>
            <m:t>x</m:t>
          </m:r>
          <m:r>
            <m:rPr>
              <m:sty m:val="p"/>
            </m:rPr>
            <m:t>)</m:t>
          </m:r>
          <m:r>
            <m:rPr>
              <m:sty m:val="p"/>
            </m:rPr>
            <m:t>=</m:t>
          </m:r>
          <m:sSup>
            <m:e>
              <m:r>
                <m:t>t</m:t>
              </m:r>
            </m:e>
            <m:sup>
              <m:r>
                <m:t>k</m:t>
              </m:r>
            </m:sup>
          </m:sSup>
          <m:r>
            <m:t>f</m:t>
          </m:r>
          <m:r>
            <m:rPr>
              <m:sty m:val="p"/>
            </m:rPr>
            <m:t>(</m:t>
          </m:r>
          <m:r>
            <m:t>x</m:t>
          </m:r>
          <m:r>
            <m:rPr>
              <m:sty m:val="p"/>
            </m:rPr>
            <m:t>)</m:t>
          </m:r>
        </m:oMath>
      </m:oMathPara>
    </w:p>
    <w:p>
      <w:pPr>
        <w:pStyle w:val="FirstParagraph"/>
      </w:pPr>
      <w:r>
        <w:t xml:space="preserve">Exemplos centrais:</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Função</w:t>
            </w:r>
          </w:p>
        </w:tc>
        <w:tc>
          <w:tcPr/>
          <w:p>
            <w:pPr>
              <w:pStyle w:val="Compact"/>
              <w:jc w:val="center"/>
            </w:pPr>
            <w:r>
              <w:t xml:space="preserve">Grau</w:t>
            </w:r>
            <w:r>
              <w:t xml:space="preserve"> </w:t>
            </w:r>
            <m:oMath>
              <m:r>
                <m:t>k</m:t>
              </m:r>
            </m:oMath>
          </w:p>
        </w:tc>
        <w:tc>
          <w:tcPr/>
          <w:p>
            <w:pPr>
              <w:pStyle w:val="Compact"/>
              <w:jc w:val="left"/>
            </w:pPr>
            <w:r>
              <w:t xml:space="preserve">Onde aparece</w:t>
            </w:r>
          </w:p>
        </w:tc>
      </w:tr>
      <w:tr>
        <w:tc>
          <w:tcPr/>
          <w:p>
            <w:pPr>
              <w:pStyle w:val="Compact"/>
              <w:jc w:val="left"/>
            </w:pPr>
            <m:oMath>
              <m:r>
                <m:t>f</m:t>
              </m:r>
              <m:r>
                <m:rPr>
                  <m:sty m:val="p"/>
                </m:rPr>
                <m:t>(</m:t>
              </m:r>
              <m:r>
                <m:t>L</m:t>
              </m:r>
              <m:r>
                <m:rPr>
                  <m:sty m:val="p"/>
                </m:rPr>
                <m:t>,</m:t>
              </m:r>
              <m:r>
                <m:t>K</m:t>
              </m:r>
              <m:r>
                <m:rPr>
                  <m:sty m:val="p"/>
                </m:rPr>
                <m:t>)</m:t>
              </m:r>
              <m:r>
                <m:rPr>
                  <m:sty m:val="p"/>
                </m:rPr>
                <m:t>=</m:t>
              </m:r>
              <m:r>
                <m:t>A</m:t>
              </m:r>
              <m:sSup>
                <m:e>
                  <m:r>
                    <m:t>L</m:t>
                  </m:r>
                </m:e>
                <m:sup>
                  <m:r>
                    <m:t>α</m:t>
                  </m:r>
                </m:sup>
              </m:sSup>
              <m:sSup>
                <m:e>
                  <m:r>
                    <m:t>K</m:t>
                  </m:r>
                </m:e>
                <m:sup>
                  <m:r>
                    <m:t>β</m:t>
                  </m:r>
                </m:sup>
              </m:sSup>
            </m:oMath>
            <w:r>
              <w:t xml:space="preserve"> </w:t>
            </w:r>
            <w:r>
              <w:t xml:space="preserve">(Cobb-Douglas)</w:t>
            </w:r>
          </w:p>
        </w:tc>
        <w:tc>
          <w:tcPr/>
          <w:p>
            <w:pPr>
              <w:pStyle w:val="Compact"/>
              <w:jc w:val="center"/>
            </w:pPr>
            <m:oMath>
              <m:r>
                <m:t>α</m:t>
              </m:r>
              <m:r>
                <m:rPr>
                  <m:sty m:val="p"/>
                </m:rPr>
                <m:t>+</m:t>
              </m:r>
              <m:r>
                <m:t>β</m:t>
              </m:r>
            </m:oMath>
          </w:p>
        </w:tc>
        <w:tc>
          <w:tcPr/>
          <w:p>
            <w:pPr>
              <w:pStyle w:val="Compact"/>
              <w:jc w:val="left"/>
            </w:pPr>
            <w:r>
              <w:t xml:space="preserve">Cap. 10 (Cap. 10): retornos de escala</w:t>
            </w:r>
          </w:p>
        </w:tc>
      </w:tr>
      <w:tr>
        <w:tc>
          <w:tcPr/>
          <w:p>
            <w:pPr>
              <w:pStyle w:val="Compact"/>
              <w:jc w:val="left"/>
            </w:pPr>
            <w:r>
              <w:t xml:space="preserve">Demanda marshalliana</w:t>
            </w:r>
            <w:r>
              <w:t xml:space="preserve"> </w:t>
            </w:r>
            <m:oMath>
              <m:r>
                <m:t>x</m:t>
              </m:r>
              <m:r>
                <m:rPr>
                  <m:sty m:val="p"/>
                </m:rPr>
                <m:t>(</m:t>
              </m:r>
              <m:r>
                <m:t>p</m:t>
              </m:r>
              <m:r>
                <m:rPr>
                  <m:sty m:val="p"/>
                </m:rPr>
                <m:t>,</m:t>
              </m:r>
              <m:r>
                <m:t>m</m:t>
              </m:r>
              <m:r>
                <m:rPr>
                  <m:sty m:val="p"/>
                </m:rPr>
                <m:t>)</m:t>
              </m:r>
            </m:oMath>
          </w:p>
        </w:tc>
        <w:tc>
          <w:tcPr/>
          <w:p>
            <w:pPr>
              <w:pStyle w:val="Compact"/>
              <w:jc w:val="center"/>
            </w:pPr>
            <w:r>
              <w:t xml:space="preserve">0 em</w:t>
            </w:r>
            <w:r>
              <w:t xml:space="preserve"> </w:t>
            </w:r>
            <m:oMath>
              <m:r>
                <m:rPr>
                  <m:sty m:val="p"/>
                </m:rPr>
                <m:t>(</m:t>
              </m:r>
              <m:r>
                <m:t>p</m:t>
              </m:r>
              <m:r>
                <m:rPr>
                  <m:sty m:val="p"/>
                </m:rPr>
                <m:t>,</m:t>
              </m:r>
              <m:r>
                <m:t>m</m:t>
              </m:r>
              <m:r>
                <m:rPr>
                  <m:sty m:val="p"/>
                </m:rPr>
                <m:t>)</m:t>
              </m:r>
            </m:oMath>
          </w:p>
        </w:tc>
        <w:tc>
          <w:tcPr/>
          <w:p>
            <w:pPr>
              <w:pStyle w:val="Compact"/>
              <w:jc w:val="left"/>
            </w:pPr>
            <w:r>
              <w:t xml:space="preserve">Cap. 5 (Cap. 5): ausência de ilusão monetária</w:t>
            </w:r>
          </w:p>
        </w:tc>
      </w:tr>
      <w:tr>
        <w:tc>
          <w:tcPr/>
          <w:p>
            <w:pPr>
              <w:pStyle w:val="Compact"/>
              <w:jc w:val="left"/>
            </w:pPr>
            <w:r>
              <w:t xml:space="preserve">Função custo</w:t>
            </w:r>
            <w:r>
              <w:t xml:space="preserve"> </w:t>
            </w:r>
            <m:oMath>
              <m:r>
                <m:t>C</m:t>
              </m:r>
              <m:r>
                <m:rPr>
                  <m:sty m:val="p"/>
                </m:rPr>
                <m:t>(</m:t>
              </m:r>
              <m:r>
                <m:t>w</m:t>
              </m:r>
              <m:r>
                <m:rPr>
                  <m:sty m:val="p"/>
                </m:rPr>
                <m:t>,</m:t>
              </m:r>
              <m:r>
                <m:t>q</m:t>
              </m:r>
              <m:r>
                <m:rPr>
                  <m:sty m:val="p"/>
                </m:rPr>
                <m:t>)</m:t>
              </m:r>
            </m:oMath>
          </w:p>
        </w:tc>
        <w:tc>
          <w:tcPr/>
          <w:p>
            <w:pPr>
              <w:pStyle w:val="Compact"/>
              <w:jc w:val="center"/>
            </w:pPr>
            <w:r>
              <w:t xml:space="preserve">1 em</w:t>
            </w:r>
            <w:r>
              <w:t xml:space="preserve"> </w:t>
            </w:r>
            <m:oMath>
              <m:r>
                <m:t>w</m:t>
              </m:r>
            </m:oMath>
          </w:p>
        </w:tc>
        <w:tc>
          <w:tcPr/>
          <w:p>
            <w:pPr>
              <w:pStyle w:val="Compact"/>
              <w:jc w:val="left"/>
            </w:pPr>
            <w:r>
              <w:t xml:space="preserve">Cap. 11 (Cap. 11): custos sobem proporcionalmente aos preços</w:t>
            </w:r>
          </w:p>
        </w:tc>
      </w:tr>
    </w:tbl>
    <w:bookmarkEnd w:id="142"/>
    <w:bookmarkStart w:id="143" w:name="retornos-de-escala"/>
    <w:p>
      <w:pPr>
        <w:pStyle w:val="Heading4"/>
      </w:pPr>
      <w:r>
        <w:t xml:space="preserve">Retornos de escala</w:t>
      </w:r>
    </w:p>
    <w:p>
      <w:pPr>
        <w:pStyle w:val="FirstParagraph"/>
      </w:pPr>
      <w:r>
        <w:t xml:space="preserve">A homogeneidade da função de produção determina os retornos de escala — um dos conceitos mais importantes da teoria da firma (Cap. 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Grau</w:t>
            </w:r>
          </w:p>
        </w:tc>
        <w:tc>
          <w:tcPr/>
          <w:p>
            <w:pPr>
              <w:pStyle w:val="Compact"/>
              <w:jc w:val="left"/>
            </w:pPr>
            <m:oMath>
              <m:r>
                <m:t>f</m:t>
              </m:r>
              <m:r>
                <m:rPr>
                  <m:sty m:val="p"/>
                </m:rPr>
                <m:t>(</m:t>
              </m:r>
              <m:r>
                <m:t>t</m:t>
              </m:r>
              <m:r>
                <m:t>L</m:t>
              </m:r>
              <m:r>
                <m:rPr>
                  <m:sty m:val="p"/>
                </m:rPr>
                <m:t>,</m:t>
              </m:r>
              <m:r>
                <m:t>t</m:t>
              </m:r>
              <m:r>
                <m:t>K</m:t>
              </m:r>
              <m:r>
                <m:rPr>
                  <m:sty m:val="p"/>
                </m:rPr>
                <m:t>)</m:t>
              </m:r>
            </m:oMath>
            <w:r>
              <w:t xml:space="preserve"> </w:t>
            </w:r>
            <w:r>
              <w:t xml:space="preserve">vs. </w:t>
            </w:r>
            <m:oMath>
              <m:r>
                <m:t>t</m:t>
              </m:r>
              <m:r>
                <m:t>f</m:t>
              </m:r>
              <m:r>
                <m:rPr>
                  <m:sty m:val="p"/>
                </m:rPr>
                <m:t>(</m:t>
              </m:r>
              <m:r>
                <m:t>L</m:t>
              </m:r>
              <m:r>
                <m:rPr>
                  <m:sty m:val="p"/>
                </m:rPr>
                <m:t>,</m:t>
              </m:r>
              <m:r>
                <m:t>K</m:t>
              </m:r>
              <m:r>
                <m:rPr>
                  <m:sty m:val="p"/>
                </m:rPr>
                <m:t>)</m:t>
              </m:r>
            </m:oMath>
          </w:p>
        </w:tc>
        <w:tc>
          <w:tcPr/>
          <w:p>
            <w:pPr>
              <w:pStyle w:val="Compact"/>
              <w:jc w:val="left"/>
            </w:pPr>
            <w:r>
              <w:t xml:space="preserve">Retornos</w:t>
            </w:r>
          </w:p>
        </w:tc>
      </w:tr>
      <w:tr>
        <w:tc>
          <w:tcPr/>
          <w:p>
            <w:pPr>
              <w:pStyle w:val="Compact"/>
              <w:jc w:val="center"/>
            </w:pPr>
            <m:oMath>
              <m:r>
                <m:t>k</m:t>
              </m:r>
              <m:r>
                <m:rPr>
                  <m:sty m:val="p"/>
                </m:rPr>
                <m:t>&gt;</m:t>
              </m:r>
              <m:r>
                <m:t>1</m:t>
              </m:r>
            </m:oMath>
          </w:p>
        </w:tc>
        <w:tc>
          <w:tcPr/>
          <w:p>
            <w:pPr>
              <w:pStyle w:val="Compact"/>
              <w:jc w:val="left"/>
            </w:pPr>
            <m:oMath>
              <m:r>
                <m:rPr>
                  <m:sty m:val="p"/>
                </m:rPr>
                <m:t>&gt;</m:t>
              </m:r>
            </m:oMath>
          </w:p>
        </w:tc>
        <w:tc>
          <w:tcPr/>
          <w:p>
            <w:pPr>
              <w:pStyle w:val="Compact"/>
              <w:jc w:val="left"/>
            </w:pPr>
            <w:r>
              <w:t xml:space="preserve">Crescentes (IRS)</w:t>
            </w:r>
          </w:p>
        </w:tc>
      </w:tr>
      <w:tr>
        <w:tc>
          <w:tcPr/>
          <w:p>
            <w:pPr>
              <w:pStyle w:val="Compact"/>
              <w:jc w:val="center"/>
            </w:pPr>
            <m:oMath>
              <m:r>
                <m:t>k</m:t>
              </m:r>
              <m:r>
                <m:rPr>
                  <m:sty m:val="p"/>
                </m:rPr>
                <m:t>=</m:t>
              </m:r>
              <m:r>
                <m:t>1</m:t>
              </m:r>
            </m:oMath>
          </w:p>
        </w:tc>
        <w:tc>
          <w:tcPr/>
          <w:p>
            <w:pPr>
              <w:pStyle w:val="Compact"/>
              <w:jc w:val="left"/>
            </w:pPr>
            <m:oMath>
              <m:r>
                <m:rPr>
                  <m:sty m:val="p"/>
                </m:rPr>
                <m:t>=</m:t>
              </m:r>
            </m:oMath>
          </w:p>
        </w:tc>
        <w:tc>
          <w:tcPr/>
          <w:p>
            <w:pPr>
              <w:pStyle w:val="Compact"/>
              <w:jc w:val="left"/>
            </w:pPr>
            <w:r>
              <w:t xml:space="preserve">Constantes (CRS)</w:t>
            </w:r>
          </w:p>
        </w:tc>
      </w:tr>
      <w:tr>
        <w:tc>
          <w:tcPr/>
          <w:p>
            <w:pPr>
              <w:pStyle w:val="Compact"/>
              <w:jc w:val="center"/>
            </w:pPr>
            <m:oMath>
              <m:r>
                <m:t>k</m:t>
              </m:r>
              <m:r>
                <m:rPr>
                  <m:sty m:val="p"/>
                </m:rPr>
                <m:t>&lt;</m:t>
              </m:r>
              <m:r>
                <m:t>1</m:t>
              </m:r>
            </m:oMath>
          </w:p>
        </w:tc>
        <w:tc>
          <w:tcPr/>
          <w:p>
            <w:pPr>
              <w:pStyle w:val="Compact"/>
              <w:jc w:val="left"/>
            </w:pPr>
            <m:oMath>
              <m:r>
                <m:rPr>
                  <m:sty m:val="p"/>
                </m:rPr>
                <m:t>&lt;</m:t>
              </m:r>
            </m:oMath>
          </w:p>
        </w:tc>
        <w:tc>
          <w:tcPr/>
          <w:p>
            <w:pPr>
              <w:pStyle w:val="Compact"/>
              <w:jc w:val="left"/>
            </w:pPr>
            <w:r>
              <w:t xml:space="preserve">Decrescentes (DRS)</w:t>
            </w:r>
          </w:p>
        </w:tc>
      </w:tr>
    </w:tbl>
    <w:bookmarkEnd w:id="143"/>
    <w:bookmarkStart w:id="144" w:name="teorema-de-euler"/>
    <w:p>
      <w:pPr>
        <w:pStyle w:val="Heading4"/>
      </w:pPr>
      <w:r>
        <w:t xml:space="preserve">Teorema de Euler</w:t>
      </w:r>
    </w:p>
    <w:p>
      <w:pPr>
        <w:pStyle w:val="BlockText"/>
      </w:pPr>
      <w:r>
        <w:rPr>
          <w:b/>
          <w:bCs/>
        </w:rPr>
        <w:t xml:space="preserve">[DEFINICAO] Teorema de Euler</w:t>
      </w:r>
    </w:p>
    <w:p>
      <w:pPr>
        <w:pStyle w:val="BlockText"/>
      </w:pPr>
      <w:r>
        <w:t xml:space="preserve">Se</w:t>
      </w:r>
      <w:r>
        <w:t xml:space="preserve"> </w:t>
      </w:r>
      <m:oMath>
        <m:r>
          <m:t>f</m:t>
        </m:r>
      </m:oMath>
      <w:r>
        <w:t xml:space="preserve"> </w:t>
      </w:r>
      <w:r>
        <w:t xml:space="preserve">é homogênea de grau</w:t>
      </w:r>
      <w:r>
        <w:t xml:space="preserve"> </w:t>
      </w:r>
      <m:oMath>
        <m:r>
          <m:t>k</m:t>
        </m:r>
      </m:oMath>
      <w:r>
        <w:t xml:space="preserve"> </w:t>
      </w:r>
      <w:r>
        <w:t xml:space="preserve">e diferenciável, então:</w:t>
      </w:r>
    </w:p>
    <w:p>
      <w:pPr>
        <w:pStyle w:val="BlockText"/>
      </w:pPr>
      <m:oMathPara>
        <m:oMathParaPr>
          <m:jc m:val="center"/>
        </m:oMathParaPr>
        <m:oMath>
          <m:nary>
            <m:naryPr>
              <m:chr m:val="∑"/>
              <m:limLoc m:val="undOvr"/>
              <m:subHide m:val="off"/>
              <m:supHide m:val="off"/>
            </m:naryPr>
            <m:sub>
              <m:r>
                <m:t>i</m:t>
              </m:r>
              <m:r>
                <m:rPr>
                  <m:sty m:val="p"/>
                </m:rPr>
                <m:t>=</m:t>
              </m:r>
              <m:r>
                <m:t>1</m:t>
              </m:r>
            </m:sub>
            <m:sup>
              <m:r>
                <m:t>n</m:t>
              </m:r>
            </m:sup>
            <m:e>
              <m:sSub>
                <m:e>
                  <m:r>
                    <m:t>x</m:t>
                  </m:r>
                </m:e>
                <m:sub>
                  <m:r>
                    <m:t>i</m:t>
                  </m:r>
                </m:sub>
              </m:sSub>
            </m:e>
          </m:nary>
          <m:f>
            <m:fPr>
              <m:type m:val="bar"/>
            </m:fPr>
            <m:num>
              <m:r>
                <m:rPr>
                  <m:sty m:val="p"/>
                </m:rPr>
                <m:t>∂</m:t>
              </m:r>
              <m:r>
                <m:t>f</m:t>
              </m:r>
            </m:num>
            <m:den>
              <m:r>
                <m:rPr>
                  <m:sty m:val="p"/>
                </m:rPr>
                <m:t>∂</m:t>
              </m:r>
              <m:sSub>
                <m:e>
                  <m:r>
                    <m:t>x</m:t>
                  </m:r>
                </m:e>
                <m:sub>
                  <m:r>
                    <m:t>i</m:t>
                  </m:r>
                </m:sub>
              </m:sSub>
            </m:den>
          </m:f>
          <m:r>
            <m:rPr>
              <m:sty m:val="p"/>
            </m:rPr>
            <m:t>=</m:t>
          </m:r>
          <m:r>
            <m:t>k</m:t>
          </m:r>
          <m:r>
            <m:rPr>
              <m:sty m:val="p"/>
            </m:rPr>
            <m:t>⋅</m:t>
          </m:r>
          <m:r>
            <m:t>f</m:t>
          </m:r>
          <m:r>
            <m:rPr>
              <m:sty m:val="p"/>
            </m:rPr>
            <m:t>(</m:t>
          </m:r>
          <m:r>
            <m:t>x</m:t>
          </m:r>
          <m:r>
            <m:rPr>
              <m:sty m:val="p"/>
            </m:rPr>
            <m:t>)</m:t>
          </m:r>
        </m:oMath>
      </m:oMathPara>
    </w:p>
    <w:p>
      <w:pPr>
        <w:pStyle w:val="FirstParagraph"/>
      </w:pPr>
      <w:r>
        <w:rPr>
          <w:b/>
          <w:bCs/>
        </w:rPr>
        <w:t xml:space="preserve">Prova:</w:t>
      </w:r>
      <w:r>
        <w:t xml:space="preserve"> </w:t>
      </w:r>
      <w:r>
        <w:t xml:space="preserve">Derive</w:t>
      </w:r>
      <w:r>
        <w:t xml:space="preserve"> </w:t>
      </w:r>
      <m:oMath>
        <m:r>
          <m:t>f</m:t>
        </m:r>
        <m:r>
          <m:rPr>
            <m:sty m:val="p"/>
          </m:rPr>
          <m:t>(</m:t>
        </m:r>
        <m:r>
          <m:t>t</m:t>
        </m:r>
        <m:r>
          <m:t>x</m:t>
        </m:r>
        <m:r>
          <m:rPr>
            <m:sty m:val="p"/>
          </m:rPr>
          <m:t>)</m:t>
        </m:r>
        <m:r>
          <m:rPr>
            <m:sty m:val="p"/>
          </m:rPr>
          <m:t>=</m:t>
        </m:r>
        <m:sSup>
          <m:e>
            <m:r>
              <m:t>t</m:t>
            </m:r>
          </m:e>
          <m:sup>
            <m:r>
              <m:t>k</m:t>
            </m:r>
          </m:sup>
        </m:sSup>
        <m:r>
          <m:t>f</m:t>
        </m:r>
        <m:r>
          <m:rPr>
            <m:sty m:val="p"/>
          </m:rPr>
          <m:t>(</m:t>
        </m:r>
        <m:r>
          <m:t>x</m:t>
        </m:r>
        <m:r>
          <m:rPr>
            <m:sty m:val="p"/>
          </m:rPr>
          <m:t>)</m:t>
        </m:r>
      </m:oMath>
      <w:r>
        <w:t xml:space="preserve"> </w:t>
      </w:r>
      <w:r>
        <w:t xml:space="preserve">em relação a</w:t>
      </w:r>
      <w:r>
        <w:t xml:space="preserve"> </w:t>
      </w:r>
      <m:oMath>
        <m:r>
          <m:t>t</m:t>
        </m:r>
      </m:oMath>
      <w:r>
        <w:t xml:space="preserve"> </w:t>
      </w:r>
      <w:r>
        <w:t xml:space="preserve">pela regra da cadeia:</w:t>
      </w:r>
      <w:r>
        <w:t xml:space="preserve"> </w:t>
      </w:r>
      <m:oMath>
        <m:nary>
          <m:naryPr>
            <m:chr m:val="∑"/>
            <m:limLoc m:val="undOvr"/>
            <m:subHide m:val="off"/>
            <m:supHide m:val="on"/>
          </m:naryPr>
          <m:sub>
            <m:r>
              <m:t>i</m:t>
            </m:r>
          </m:sub>
          <m:sup>
            <m:r>
              <m:t>​</m:t>
            </m:r>
          </m:sup>
          <m:e>
            <m:sSub>
              <m:e>
                <m:r>
                  <m:t>x</m:t>
                </m:r>
              </m:e>
              <m:sub>
                <m:r>
                  <m:t>i</m:t>
                </m:r>
              </m:sub>
            </m:sSub>
          </m:e>
        </m:nary>
        <m:sSub>
          <m:e>
            <m:r>
              <m:t>f</m:t>
            </m:r>
          </m:e>
          <m:sub>
            <m:r>
              <m:t>i</m:t>
            </m:r>
          </m:sub>
        </m:sSub>
        <m:r>
          <m:rPr>
            <m:sty m:val="p"/>
          </m:rPr>
          <m:t>(</m:t>
        </m:r>
        <m:r>
          <m:t>t</m:t>
        </m:r>
        <m:r>
          <m:t>x</m:t>
        </m:r>
        <m:r>
          <m:rPr>
            <m:sty m:val="p"/>
          </m:rPr>
          <m:t>)</m:t>
        </m:r>
        <m:r>
          <m:rPr>
            <m:sty m:val="p"/>
          </m:rPr>
          <m:t>=</m:t>
        </m:r>
        <m:r>
          <m:t>k</m:t>
        </m:r>
        <m:sSup>
          <m:e>
            <m:r>
              <m:t>t</m:t>
            </m:r>
          </m:e>
          <m:sup>
            <m:r>
              <m:t>k</m:t>
            </m:r>
            <m:r>
              <m:rPr>
                <m:sty m:val="p"/>
              </m:rPr>
              <m:t>−</m:t>
            </m:r>
            <m:r>
              <m:t>1</m:t>
            </m:r>
          </m:sup>
        </m:sSup>
        <m:r>
          <m:t>f</m:t>
        </m:r>
        <m:r>
          <m:rPr>
            <m:sty m:val="p"/>
          </m:rPr>
          <m:t>(</m:t>
        </m:r>
        <m:r>
          <m:t>x</m:t>
        </m:r>
        <m:r>
          <m:rPr>
            <m:sty m:val="p"/>
          </m:rPr>
          <m:t>)</m:t>
        </m:r>
      </m:oMath>
      <w:r>
        <w:t xml:space="preserve">. Avalie em</w:t>
      </w:r>
      <w:r>
        <w:t xml:space="preserve"> </w:t>
      </w:r>
      <m:oMath>
        <m:r>
          <m:t>t</m:t>
        </m:r>
        <m:r>
          <m:rPr>
            <m:sty m:val="p"/>
          </m:rPr>
          <m:t>=</m:t>
        </m:r>
        <m:r>
          <m:t>1</m:t>
        </m:r>
      </m:oMath>
      <w:r>
        <w:t xml:space="preserve">.</w:t>
      </w:r>
      <w:r>
        <w:t xml:space="preserve"> </w:t>
      </w:r>
      <m:oMath>
        <m:r>
          <m:rPr>
            <m:sty m:val="p"/>
          </m:rPr>
          <m:t>◼</m:t>
        </m:r>
      </m:oMath>
    </w:p>
    <w:bookmarkEnd w:id="144"/>
    <w:bookmarkStart w:id="145" w:name="X53e8907ec6a5b6c31126830267a0bf302741d49"/>
    <w:p>
      <w:pPr>
        <w:pStyle w:val="Heading4"/>
      </w:pPr>
      <w:r>
        <w:t xml:space="preserve">Aplicações econômicas do Teorema de Euler</w:t>
      </w:r>
    </w:p>
    <w:p>
      <w:pPr>
        <w:numPr>
          <w:ilvl w:val="0"/>
          <w:numId w:val="1070"/>
        </w:numPr>
      </w:pPr>
      <w:r>
        <w:rPr>
          <w:b/>
          <w:bCs/>
        </w:rPr>
        <w:t xml:space="preserve">Esgotamento do produto</w:t>
      </w:r>
      <w:r>
        <w:t xml:space="preserve"> </w:t>
      </w:r>
      <w:r>
        <w:t xml:space="preserve">(CRS): Se</w:t>
      </w:r>
      <w:r>
        <w:t xml:space="preserve"> </w:t>
      </w:r>
      <m:oMath>
        <m:r>
          <m:t>f</m:t>
        </m:r>
        <m:r>
          <m:rPr>
            <m:sty m:val="p"/>
          </m:rPr>
          <m:t>(</m:t>
        </m:r>
        <m:r>
          <m:t>L</m:t>
        </m:r>
        <m:r>
          <m:rPr>
            <m:sty m:val="p"/>
          </m:rPr>
          <m:t>,</m:t>
        </m:r>
        <m:r>
          <m:t>K</m:t>
        </m:r>
        <m:r>
          <m:rPr>
            <m:sty m:val="p"/>
          </m:rPr>
          <m:t>)</m:t>
        </m:r>
      </m:oMath>
      <w:r>
        <w:t xml:space="preserve"> </w:t>
      </w:r>
      <w:r>
        <w:t xml:space="preserve">é homogênea de grau 1, então</w:t>
      </w:r>
      <w:r>
        <w:t xml:space="preserve"> </w:t>
      </w:r>
      <m:oMath>
        <m:r>
          <m:t>L</m:t>
        </m:r>
        <m:r>
          <m:rPr>
            <m:sty m:val="p"/>
          </m:rPr>
          <m:t>⋅</m:t>
        </m:r>
        <m:r>
          <m:t>P</m:t>
        </m:r>
        <m:r>
          <m:t>M</m:t>
        </m:r>
        <m:sSub>
          <m:e>
            <m:r>
              <m:t>g</m:t>
            </m:r>
          </m:e>
          <m:sub>
            <m:r>
              <m:t>L</m:t>
            </m:r>
          </m:sub>
        </m:sSub>
        <m:r>
          <m:rPr>
            <m:sty m:val="p"/>
          </m:rPr>
          <m:t>+</m:t>
        </m:r>
        <m:r>
          <m:t>K</m:t>
        </m:r>
        <m:r>
          <m:rPr>
            <m:sty m:val="p"/>
          </m:rPr>
          <m:t>⋅</m:t>
        </m:r>
        <m:r>
          <m:t>P</m:t>
        </m:r>
        <m:r>
          <m:t>M</m:t>
        </m:r>
        <m:sSub>
          <m:e>
            <m:r>
              <m:t>g</m:t>
            </m:r>
          </m:e>
          <m:sub>
            <m:r>
              <m:t>K</m:t>
            </m:r>
          </m:sub>
        </m:sSub>
        <m:r>
          <m:rPr>
            <m:sty m:val="p"/>
          </m:rPr>
          <m:t>=</m:t>
        </m:r>
        <m:r>
          <m:t>f</m:t>
        </m:r>
        <m:r>
          <m:rPr>
            <m:sty m:val="p"/>
          </m:rPr>
          <m:t>(</m:t>
        </m:r>
        <m:r>
          <m:t>L</m:t>
        </m:r>
        <m:r>
          <m:rPr>
            <m:sty m:val="p"/>
          </m:rPr>
          <m:t>,</m:t>
        </m:r>
        <m:r>
          <m:t>K</m:t>
        </m:r>
        <m:r>
          <m:rPr>
            <m:sty m:val="p"/>
          </m:rPr>
          <m:t>)</m:t>
        </m:r>
      </m:oMath>
      <w:r>
        <w:t xml:space="preserve"> </w:t>
      </w:r>
      <w:r>
        <w:t xml:space="preserve">— pagar a cada fator seu produto marginal esgota exatamente o produto total. Este resultado é a base da teoria da distribuição de renda (Capítulo 17 (Cap. 17)).</w:t>
      </w:r>
    </w:p>
    <w:p>
      <w:pPr>
        <w:numPr>
          <w:ilvl w:val="0"/>
          <w:numId w:val="1070"/>
        </w:numPr>
      </w:pPr>
      <w:r>
        <w:rPr>
          <w:b/>
          <w:bCs/>
        </w:rPr>
        <w:t xml:space="preserve">Funções de demanda</w:t>
      </w:r>
      <w:r>
        <w:t xml:space="preserve">: A demanda marshalliana</w:t>
      </w:r>
      <w:r>
        <w:t xml:space="preserve"> </w:t>
      </w:r>
      <m:oMath>
        <m:r>
          <m:t>x</m:t>
        </m:r>
        <m:r>
          <m:rPr>
            <m:sty m:val="p"/>
          </m:rPr>
          <m:t>(</m:t>
        </m:r>
        <m:r>
          <m:t>p</m:t>
        </m:r>
        <m:r>
          <m:rPr>
            <m:sty m:val="p"/>
          </m:rPr>
          <m:t>,</m:t>
        </m:r>
        <m:r>
          <m:t>m</m:t>
        </m:r>
        <m:r>
          <m:rPr>
            <m:sty m:val="p"/>
          </m:rPr>
          <m:t>)</m:t>
        </m:r>
      </m:oMath>
      <w:r>
        <w:t xml:space="preserve"> </w:t>
      </w:r>
      <w:r>
        <w:t xml:space="preserve">é homogênea de grau 0 em</w:t>
      </w:r>
      <w:r>
        <w:t xml:space="preserve"> </w:t>
      </w:r>
      <m:oMath>
        <m:r>
          <m:rPr>
            <m:sty m:val="p"/>
          </m:rPr>
          <m:t>(</m:t>
        </m:r>
        <m:r>
          <m:t>p</m:t>
        </m:r>
        <m:r>
          <m:rPr>
            <m:sty m:val="p"/>
          </m:rPr>
          <m:t>,</m:t>
        </m:r>
        <m:r>
          <m:t>m</m:t>
        </m:r>
        <m:r>
          <m:rPr>
            <m:sty m:val="p"/>
          </m:rPr>
          <m:t>)</m:t>
        </m:r>
      </m:oMath>
      <w:r>
        <w:t xml:space="preserve"> </w:t>
      </w:r>
      <w:r>
        <w:t xml:space="preserve">— dobrar todos os preços e a renda não muda a cesta escolhida. Pelo Teorema de Euler:</w:t>
      </w:r>
      <w:r>
        <w:t xml:space="preserve"> </w:t>
      </w:r>
      <m:oMath>
        <m:nary>
          <m:naryPr>
            <m:chr m:val="∑"/>
            <m:limLoc m:val="undOvr"/>
            <m:subHide m:val="off"/>
            <m:supHide m:val="on"/>
          </m:naryPr>
          <m:sub>
            <m:r>
              <m:t>j</m:t>
            </m:r>
          </m:sub>
          <m:sup>
            <m:r>
              <m:t>​</m:t>
            </m:r>
          </m:sup>
          <m:e>
            <m:f>
              <m:fPr>
                <m:type m:val="bar"/>
              </m:fPr>
              <m:num>
                <m:r>
                  <m:rPr>
                    <m:sty m:val="p"/>
                  </m:rPr>
                  <m:t>∂</m:t>
                </m:r>
                <m:sSub>
                  <m:e>
                    <m:r>
                      <m:t>x</m:t>
                    </m:r>
                  </m:e>
                  <m:sub>
                    <m:r>
                      <m:t>i</m:t>
                    </m:r>
                  </m:sub>
                </m:sSub>
              </m:num>
              <m:den>
                <m:r>
                  <m:rPr>
                    <m:sty m:val="p"/>
                  </m:rPr>
                  <m:t>∂</m:t>
                </m:r>
                <m:sSub>
                  <m:e>
                    <m:r>
                      <m:t>p</m:t>
                    </m:r>
                  </m:e>
                  <m:sub>
                    <m:r>
                      <m:t>j</m:t>
                    </m:r>
                  </m:sub>
                </m:sSub>
              </m:den>
            </m:f>
          </m:e>
        </m:nary>
        <m:sSub>
          <m:e>
            <m:r>
              <m:t>p</m:t>
            </m:r>
          </m:e>
          <m:sub>
            <m:r>
              <m:t>j</m:t>
            </m:r>
          </m:sub>
        </m:sSub>
        <m:r>
          <m:rPr>
            <m:sty m:val="p"/>
          </m:rPr>
          <m:t>+</m:t>
        </m:r>
        <m:f>
          <m:fPr>
            <m:type m:val="bar"/>
          </m:fPr>
          <m:num>
            <m:r>
              <m:rPr>
                <m:sty m:val="p"/>
              </m:rPr>
              <m:t>∂</m:t>
            </m:r>
            <m:sSub>
              <m:e>
                <m:r>
                  <m:t>x</m:t>
                </m:r>
              </m:e>
              <m:sub>
                <m:r>
                  <m:t>i</m:t>
                </m:r>
              </m:sub>
            </m:sSub>
          </m:num>
          <m:den>
            <m:r>
              <m:rPr>
                <m:sty m:val="p"/>
              </m:rPr>
              <m:t>∂</m:t>
            </m:r>
            <m:r>
              <m:t>m</m:t>
            </m:r>
          </m:den>
        </m:f>
        <m:r>
          <m:t>m</m:t>
        </m:r>
        <m:r>
          <m:rPr>
            <m:sty m:val="p"/>
          </m:rPr>
          <m:t>=</m:t>
        </m:r>
        <m:r>
          <m:t>0</m:t>
        </m:r>
      </m:oMath>
      <w:r>
        <w:t xml:space="preserve">, que gera a agregação de elasticidades do Capítulo 5 (Cap. 5).</w:t>
      </w:r>
    </w:p>
    <w:p>
      <w:pPr>
        <w:pStyle w:val="BlockText"/>
      </w:pPr>
      <w:r>
        <w:rPr>
          <w:b/>
          <w:bCs/>
        </w:rPr>
        <w:t xml:space="preserve">[INTUICAO ECONOMICA] Intuição Econômica</w:t>
      </w:r>
    </w:p>
    <w:p>
      <w:pPr>
        <w:pStyle w:val="BlockText"/>
      </w:pPr>
      <w:r>
        <w:rPr>
          <w:b/>
          <w:bCs/>
        </w:rPr>
        <w:t xml:space="preserve">Em uma frase:</w:t>
      </w:r>
      <w:r>
        <w:t xml:space="preserve"> </w:t>
      </w:r>
      <w:r>
        <w:t xml:space="preserve">O Teorema de Euler é a garantia de que, em concorrência perfeita com retornos constantes de escala, a conta fecha: a firma paga todos os fatores o que eles</w:t>
      </w:r>
      <w:r>
        <w:t xml:space="preserve"> </w:t>
      </w:r>
      <w:r>
        <w:t xml:space="preserve">“merecem”</w:t>
      </w:r>
      <w:r>
        <w:t xml:space="preserve"> </w:t>
      </w:r>
      <w:r>
        <w:t xml:space="preserve">e não sobra nada.</w:t>
      </w:r>
    </w:p>
    <w:p>
      <w:pPr>
        <w:pStyle w:val="BlockText"/>
      </w:pPr>
      <w:r>
        <w:rPr>
          <w:b/>
          <w:bCs/>
        </w:rPr>
        <w:t xml:space="preserve">Por que isso importa:</w:t>
      </w:r>
      <w:r>
        <w:t xml:space="preserve"> </w:t>
      </w:r>
      <w:r>
        <w:t xml:space="preserve">Se há retornos crescentes (</w:t>
      </w:r>
      <m:oMath>
        <m:r>
          <m:t>k</m:t>
        </m:r>
        <m:r>
          <m:rPr>
            <m:sty m:val="p"/>
          </m:rPr>
          <m:t>&gt;</m:t>
        </m:r>
        <m:r>
          <m:t>1</m:t>
        </m:r>
      </m:oMath>
      <w:r>
        <w:t xml:space="preserve">), pagar cada fator seu produto marginal geraria um</w:t>
      </w:r>
      <w:r>
        <w:t xml:space="preserve"> </w:t>
      </w:r>
      <w:r>
        <w:rPr>
          <w:i/>
          <w:iCs/>
        </w:rPr>
        <w:t xml:space="preserve">déficit</w:t>
      </w:r>
      <w:r>
        <w:t xml:space="preserve"> </w:t>
      </w:r>
      <w:r>
        <w:t xml:space="preserve">— a soma das fatias excede o bolo. Isso é uma das razões pelas quais rendimentos crescentes e concorrência perfeita são incompatíveis, tema central do Capítulo 15 (Cap. 15) (monopólio).</w:t>
      </w:r>
    </w:p>
    <w:bookmarkEnd w:id="145"/>
    <w:bookmarkStart w:id="146" w:name="derivadas-de-funções-homogêneas"/>
    <w:p>
      <w:pPr>
        <w:pStyle w:val="Heading4"/>
      </w:pPr>
      <w:r>
        <w:t xml:space="preserve">Derivadas de funções homogêneas</w:t>
      </w:r>
    </w:p>
    <w:p>
      <w:pPr>
        <w:pStyle w:val="BlockText"/>
      </w:pPr>
      <w:r>
        <w:rPr>
          <w:b/>
          <w:bCs/>
        </w:rPr>
        <w:t xml:space="preserve">[DEFINICAO] Propriedade das derivadas</w:t>
      </w:r>
    </w:p>
    <w:p>
      <w:pPr>
        <w:pStyle w:val="BlockText"/>
      </w:pPr>
      <w:r>
        <w:t xml:space="preserve">Se</w:t>
      </w:r>
      <w:r>
        <w:t xml:space="preserve"> </w:t>
      </w:r>
      <m:oMath>
        <m:r>
          <m:t>f</m:t>
        </m:r>
      </m:oMath>
      <w:r>
        <w:t xml:space="preserve"> </w:t>
      </w:r>
      <w:r>
        <w:t xml:space="preserve">é homogênea de grau</w:t>
      </w:r>
      <w:r>
        <w:t xml:space="preserve"> </w:t>
      </w:r>
      <m:oMath>
        <m:r>
          <m:t>k</m:t>
        </m:r>
      </m:oMath>
      <w:r>
        <w:t xml:space="preserve">, então</w:t>
      </w:r>
      <w:r>
        <w:t xml:space="preserve"> </w:t>
      </w:r>
      <m:oMath>
        <m:r>
          <m:rPr>
            <m:sty m:val="p"/>
          </m:rPr>
          <m:t>∂</m:t>
        </m:r>
        <m:r>
          <m:t>f</m:t>
        </m:r>
        <m:r>
          <m:rPr>
            <m:sty m:val="p"/>
          </m:rPr>
          <m:t>/</m:t>
        </m:r>
        <m:r>
          <m:rPr>
            <m:sty m:val="p"/>
          </m:rPr>
          <m:t>∂</m:t>
        </m:r>
        <m:sSub>
          <m:e>
            <m:r>
              <m:t>x</m:t>
            </m:r>
          </m:e>
          <m:sub>
            <m:r>
              <m:t>i</m:t>
            </m:r>
          </m:sub>
        </m:sSub>
      </m:oMath>
      <w:r>
        <w:t xml:space="preserve"> </w:t>
      </w:r>
      <w:r>
        <w:t xml:space="preserve">é homogênea de grau</w:t>
      </w:r>
      <w:r>
        <w:t xml:space="preserve"> </w:t>
      </w:r>
      <m:oMath>
        <m:r>
          <m:t>k</m:t>
        </m:r>
        <m:r>
          <m:rPr>
            <m:sty m:val="p"/>
          </m:rPr>
          <m:t>−</m:t>
        </m:r>
        <m:r>
          <m:t>1</m:t>
        </m:r>
      </m:oMath>
      <w:r>
        <w:t xml:space="preserve">.</w:t>
      </w:r>
    </w:p>
    <w:p>
      <w:pPr>
        <w:pStyle w:val="FirstParagraph"/>
      </w:pPr>
      <w:r>
        <w:rPr>
          <w:b/>
          <w:bCs/>
        </w:rPr>
        <w:t xml:space="preserve">Corolário:</w:t>
      </w:r>
      <w:r>
        <w:t xml:space="preserve"> </w:t>
      </w:r>
      <w:r>
        <w:t xml:space="preserve">O produto marginal de uma função de produção CRS (</w:t>
      </w:r>
      <m:oMath>
        <m:r>
          <m:t>k</m:t>
        </m:r>
        <m:r>
          <m:rPr>
            <m:sty m:val="p"/>
          </m:rPr>
          <m:t>=</m:t>
        </m:r>
        <m:r>
          <m:t>1</m:t>
        </m:r>
      </m:oMath>
      <w:r>
        <w:t xml:space="preserve">) depende apenas das</w:t>
      </w:r>
      <w:r>
        <w:t xml:space="preserve"> </w:t>
      </w:r>
      <w:r>
        <w:rPr>
          <w:i/>
          <w:iCs/>
        </w:rPr>
        <w:t xml:space="preserve">proporções</w:t>
      </w:r>
      <w:r>
        <w:t xml:space="preserve"> </w:t>
      </w:r>
      <w:r>
        <w:t xml:space="preserve">dos insumos, não dos</w:t>
      </w:r>
      <w:r>
        <w:t xml:space="preserve"> </w:t>
      </w:r>
      <w:r>
        <w:rPr>
          <w:i/>
          <w:iCs/>
        </w:rPr>
        <w:t xml:space="preserve">níveis</w:t>
      </w:r>
      <w:r>
        <w:t xml:space="preserve">. Se</w:t>
      </w:r>
      <w:r>
        <w:t xml:space="preserve"> </w:t>
      </w:r>
      <m:oMath>
        <m:r>
          <m:t>f</m:t>
        </m:r>
        <m:r>
          <m:rPr>
            <m:sty m:val="p"/>
          </m:rPr>
          <m:t>(</m:t>
        </m:r>
        <m:r>
          <m:t>L</m:t>
        </m:r>
        <m:r>
          <m:rPr>
            <m:sty m:val="p"/>
          </m:rPr>
          <m:t>,</m:t>
        </m:r>
        <m:r>
          <m:t>K</m:t>
        </m:r>
        <m:r>
          <m:rPr>
            <m:sty m:val="p"/>
          </m:rPr>
          <m:t>)</m:t>
        </m:r>
        <m:r>
          <m:rPr>
            <m:sty m:val="p"/>
          </m:rPr>
          <m:t>=</m:t>
        </m:r>
        <m:sSup>
          <m:e>
            <m:r>
              <m:t>L</m:t>
            </m:r>
          </m:e>
          <m:sup>
            <m:r>
              <m:t>α</m:t>
            </m:r>
          </m:sup>
        </m:sSup>
        <m:sSup>
          <m:e>
            <m:r>
              <m:t>K</m:t>
            </m:r>
          </m:e>
          <m:sup>
            <m:r>
              <m:t>1</m:t>
            </m:r>
            <m:r>
              <m:rPr>
                <m:sty m:val="p"/>
              </m:rPr>
              <m:t>−</m:t>
            </m:r>
            <m:r>
              <m:t>α</m:t>
            </m:r>
          </m:sup>
        </m:sSup>
      </m:oMath>
      <w:r>
        <w:t xml:space="preserve">, então</w:t>
      </w:r>
      <w:r>
        <w:t xml:space="preserve"> </w:t>
      </w:r>
      <m:oMath>
        <m:r>
          <m:t>P</m:t>
        </m:r>
        <m:r>
          <m:t>M</m:t>
        </m:r>
        <m:sSub>
          <m:e>
            <m:r>
              <m:t>g</m:t>
            </m:r>
          </m:e>
          <m:sub>
            <m:r>
              <m:t>L</m:t>
            </m:r>
          </m:sub>
        </m:sSub>
        <m:r>
          <m:rPr>
            <m:sty m:val="p"/>
          </m:rPr>
          <m:t>=</m:t>
        </m:r>
        <m:r>
          <m:t>α</m:t>
        </m:r>
        <m:r>
          <m:rPr>
            <m:sty m:val="p"/>
          </m:rPr>
          <m:t>(</m:t>
        </m:r>
        <m:r>
          <m:t>K</m:t>
        </m:r>
        <m:r>
          <m:rPr>
            <m:sty m:val="p"/>
          </m:rPr>
          <m:t>/</m:t>
        </m:r>
        <m:r>
          <m:t>L</m:t>
        </m:r>
        <m:sSup>
          <m:e>
            <m:r>
              <m:rPr>
                <m:sty m:val="p"/>
              </m:rPr>
              <m:t>)</m:t>
            </m:r>
          </m:e>
          <m:sup>
            <m:r>
              <m:t>1</m:t>
            </m:r>
            <m:r>
              <m:rPr>
                <m:sty m:val="p"/>
              </m:rPr>
              <m:t>−</m:t>
            </m:r>
            <m:r>
              <m:t>α</m:t>
            </m:r>
          </m:sup>
        </m:sSup>
      </m:oMath>
      <w:r>
        <w:t xml:space="preserve"> </w:t>
      </w:r>
      <w:r>
        <w:t xml:space="preserve">— função apenas da razão capital-trabalho.</w:t>
      </w:r>
    </w:p>
    <w:p>
      <w:pPr>
        <w:pStyle w:val="BlockText"/>
      </w:pPr>
      <w:r>
        <w:rPr>
          <w:b/>
          <w:bCs/>
        </w:rPr>
        <w:t xml:space="preserve">[R-INTERACTIVE] R Interativo</w:t>
      </w:r>
    </w:p>
    <w:p>
      <w:pPr>
        <w:pStyle w:val="SourceCode"/>
      </w:pPr>
      <w:r>
        <w:rPr>
          <w:rStyle w:val="CommentTok"/>
        </w:rPr>
        <w:t xml:space="preserve"># Verificação do Teorema de Euler para Cobb-Douglas</w:t>
      </w:r>
      <w:r>
        <w:br/>
      </w:r>
      <w:r>
        <w:rPr>
          <w:rStyle w:val="NormalTok"/>
        </w:rPr>
        <w:t xml:space="preserve">alpha </w:t>
      </w:r>
      <w:r>
        <w:rPr>
          <w:rStyle w:val="OtherTok"/>
        </w:rPr>
        <w:t xml:space="preserve">&lt;-</w:t>
      </w:r>
      <w:r>
        <w:rPr>
          <w:rStyle w:val="NormalTok"/>
        </w:rPr>
        <w:t xml:space="preserve"> </w:t>
      </w:r>
      <w:r>
        <w:rPr>
          <w:rStyle w:val="FloatTok"/>
        </w:rPr>
        <w:t xml:space="preserve">0.3</w:t>
      </w:r>
      <w:r>
        <w:rPr>
          <w:rStyle w:val="NormalTok"/>
        </w:rPr>
        <w:t xml:space="preserve">; beta </w:t>
      </w:r>
      <w:r>
        <w:rPr>
          <w:rStyle w:val="OtherTok"/>
        </w:rPr>
        <w:t xml:space="preserve">&lt;-</w:t>
      </w:r>
      <w:r>
        <w:rPr>
          <w:rStyle w:val="NormalTok"/>
        </w:rPr>
        <w:t xml:space="preserve"> </w:t>
      </w:r>
      <w:r>
        <w:rPr>
          <w:rStyle w:val="FloatTok"/>
        </w:rPr>
        <w:t xml:space="preserve">0.7</w:t>
      </w:r>
      <w:r>
        <w:br/>
      </w:r>
      <w:r>
        <w:rPr>
          <w:rStyle w:val="NormalTok"/>
        </w:rPr>
        <w:t xml:space="preserve">f </w:t>
      </w:r>
      <w:r>
        <w:rPr>
          <w:rStyle w:val="OtherTok"/>
        </w:rPr>
        <w:t xml:space="preserve">&lt;-</w:t>
      </w:r>
      <w:r>
        <w:rPr>
          <w:rStyle w:val="NormalTok"/>
        </w:rPr>
        <w:t xml:space="preserve"> </w:t>
      </w:r>
      <w:r>
        <w:rPr>
          <w:rStyle w:val="ControlFlowTok"/>
        </w:rPr>
        <w:t xml:space="preserve">function</w:t>
      </w:r>
      <w:r>
        <w:rPr>
          <w:rStyle w:val="NormalTok"/>
        </w:rPr>
        <w:t xml:space="preserve">(L, K) L</w:t>
      </w:r>
      <w:r>
        <w:rPr>
          <w:rStyle w:val="SpecialCharTok"/>
        </w:rPr>
        <w:t xml:space="preserve">^</w:t>
      </w:r>
      <w:r>
        <w:rPr>
          <w:rStyle w:val="NormalTok"/>
        </w:rPr>
        <w:t xml:space="preserve">alpha </w:t>
      </w:r>
      <w:r>
        <w:rPr>
          <w:rStyle w:val="SpecialCharTok"/>
        </w:rPr>
        <w:t xml:space="preserve">*</w:t>
      </w:r>
      <w:r>
        <w:rPr>
          <w:rStyle w:val="NormalTok"/>
        </w:rPr>
        <w:t xml:space="preserve"> K</w:t>
      </w:r>
      <w:r>
        <w:rPr>
          <w:rStyle w:val="SpecialCharTok"/>
        </w:rPr>
        <w:t xml:space="preserve">^</w:t>
      </w:r>
      <w:r>
        <w:rPr>
          <w:rStyle w:val="NormalTok"/>
        </w:rPr>
        <w:t xml:space="preserve">beta</w:t>
      </w:r>
      <w:r>
        <w:br/>
      </w:r>
      <w:r>
        <w:br/>
      </w:r>
      <w:r>
        <w:rPr>
          <w:rStyle w:val="NormalTok"/>
        </w:rPr>
        <w:t xml:space="preserve">L </w:t>
      </w:r>
      <w:r>
        <w:rPr>
          <w:rStyle w:val="OtherTok"/>
        </w:rPr>
        <w:t xml:space="preserve">&lt;-</w:t>
      </w:r>
      <w:r>
        <w:rPr>
          <w:rStyle w:val="NormalTok"/>
        </w:rPr>
        <w:t xml:space="preserve"> </w:t>
      </w:r>
      <w:r>
        <w:rPr>
          <w:rStyle w:val="DecValTok"/>
        </w:rPr>
        <w:t xml:space="preserve">10</w:t>
      </w:r>
      <w:r>
        <w:rPr>
          <w:rStyle w:val="NormalTok"/>
        </w:rPr>
        <w:t xml:space="preserve">; K </w:t>
      </w:r>
      <w:r>
        <w:rPr>
          <w:rStyle w:val="OtherTok"/>
        </w:rPr>
        <w:t xml:space="preserve">&lt;-</w:t>
      </w:r>
      <w:r>
        <w:rPr>
          <w:rStyle w:val="NormalTok"/>
        </w:rPr>
        <w:t xml:space="preserve"> </w:t>
      </w:r>
      <w:r>
        <w:rPr>
          <w:rStyle w:val="DecValTok"/>
        </w:rPr>
        <w:t xml:space="preserve">20</w:t>
      </w:r>
      <w:r>
        <w:br/>
      </w:r>
      <w:r>
        <w:rPr>
          <w:rStyle w:val="NormalTok"/>
        </w:rPr>
        <w:t xml:space="preserve">k </w:t>
      </w:r>
      <w:r>
        <w:rPr>
          <w:rStyle w:val="OtherTok"/>
        </w:rPr>
        <w:t xml:space="preserve">&lt;-</w:t>
      </w:r>
      <w:r>
        <w:rPr>
          <w:rStyle w:val="NormalTok"/>
        </w:rPr>
        <w:t xml:space="preserve"> alpha </w:t>
      </w:r>
      <w:r>
        <w:rPr>
          <w:rStyle w:val="SpecialCharTok"/>
        </w:rPr>
        <w:t xml:space="preserve">+</w:t>
      </w:r>
      <w:r>
        <w:rPr>
          <w:rStyle w:val="NormalTok"/>
        </w:rPr>
        <w:t xml:space="preserve"> beta  </w:t>
      </w:r>
      <w:r>
        <w:rPr>
          <w:rStyle w:val="CommentTok"/>
        </w:rPr>
        <w:t xml:space="preserve"># grau de homogeneidade</w:t>
      </w:r>
      <w:r>
        <w:br/>
      </w:r>
      <w:r>
        <w:br/>
      </w:r>
      <w:r>
        <w:rPr>
          <w:rStyle w:val="CommentTok"/>
        </w:rPr>
        <w:t xml:space="preserve"># Derivadas parciais (numéricas)</w:t>
      </w:r>
      <w:r>
        <w:br/>
      </w:r>
      <w:r>
        <w:rPr>
          <w:rStyle w:val="NormalTok"/>
        </w:rPr>
        <w:t xml:space="preserve">dL </w:t>
      </w:r>
      <w:r>
        <w:rPr>
          <w:rStyle w:val="OtherTok"/>
        </w:rPr>
        <w:t xml:space="preserve">&lt;-</w:t>
      </w:r>
      <w:r>
        <w:rPr>
          <w:rStyle w:val="NormalTok"/>
        </w:rPr>
        <w:t xml:space="preserve"> (</w:t>
      </w:r>
      <w:r>
        <w:rPr>
          <w:rStyle w:val="FunctionTok"/>
        </w:rPr>
        <w:t xml:space="preserve">f</w:t>
      </w:r>
      <w:r>
        <w:rPr>
          <w:rStyle w:val="NormalTok"/>
        </w:rPr>
        <w:t xml:space="preserve">(L </w:t>
      </w:r>
      <w:r>
        <w:rPr>
          <w:rStyle w:val="SpecialCharTok"/>
        </w:rPr>
        <w:t xml:space="preserve">+</w:t>
      </w:r>
      <w:r>
        <w:rPr>
          <w:rStyle w:val="NormalTok"/>
        </w:rPr>
        <w:t xml:space="preserve"> </w:t>
      </w:r>
      <w:r>
        <w:rPr>
          <w:rStyle w:val="FloatTok"/>
        </w:rPr>
        <w:t xml:space="preserve">0.001</w:t>
      </w:r>
      <w:r>
        <w:rPr>
          <w:rStyle w:val="NormalTok"/>
        </w:rPr>
        <w:t xml:space="preserve">, K) </w:t>
      </w:r>
      <w:r>
        <w:rPr>
          <w:rStyle w:val="SpecialCharTok"/>
        </w:rPr>
        <w:t xml:space="preserve">-</w:t>
      </w:r>
      <w:r>
        <w:rPr>
          <w:rStyle w:val="NormalTok"/>
        </w:rPr>
        <w:t xml:space="preserve"> </w:t>
      </w:r>
      <w:r>
        <w:rPr>
          <w:rStyle w:val="FunctionTok"/>
        </w:rPr>
        <w:t xml:space="preserve">f</w:t>
      </w:r>
      <w:r>
        <w:rPr>
          <w:rStyle w:val="NormalTok"/>
        </w:rPr>
        <w:t xml:space="preserve">(L, K)) </w:t>
      </w:r>
      <w:r>
        <w:rPr>
          <w:rStyle w:val="SpecialCharTok"/>
        </w:rPr>
        <w:t xml:space="preserve">/</w:t>
      </w:r>
      <w:r>
        <w:rPr>
          <w:rStyle w:val="NormalTok"/>
        </w:rPr>
        <w:t xml:space="preserve"> </w:t>
      </w:r>
      <w:r>
        <w:rPr>
          <w:rStyle w:val="FloatTok"/>
        </w:rPr>
        <w:t xml:space="preserve">0.001</w:t>
      </w:r>
      <w:r>
        <w:br/>
      </w:r>
      <w:r>
        <w:rPr>
          <w:rStyle w:val="NormalTok"/>
        </w:rPr>
        <w:t xml:space="preserve">dK </w:t>
      </w:r>
      <w:r>
        <w:rPr>
          <w:rStyle w:val="OtherTok"/>
        </w:rPr>
        <w:t xml:space="preserve">&lt;-</w:t>
      </w:r>
      <w:r>
        <w:rPr>
          <w:rStyle w:val="NormalTok"/>
        </w:rPr>
        <w:t xml:space="preserve"> (</w:t>
      </w:r>
      <w:r>
        <w:rPr>
          <w:rStyle w:val="FunctionTok"/>
        </w:rPr>
        <w:t xml:space="preserve">f</w:t>
      </w:r>
      <w:r>
        <w:rPr>
          <w:rStyle w:val="NormalTok"/>
        </w:rPr>
        <w:t xml:space="preserve">(L, K </w:t>
      </w:r>
      <w:r>
        <w:rPr>
          <w:rStyle w:val="SpecialCharTok"/>
        </w:rPr>
        <w:t xml:space="preserve">+</w:t>
      </w:r>
      <w:r>
        <w:rPr>
          <w:rStyle w:val="NormalTok"/>
        </w:rPr>
        <w:t xml:space="preserve"> </w:t>
      </w:r>
      <w:r>
        <w:rPr>
          <w:rStyle w:val="FloatTok"/>
        </w:rPr>
        <w:t xml:space="preserve">0.001</w:t>
      </w:r>
      <w:r>
        <w:rPr>
          <w:rStyle w:val="NormalTok"/>
        </w:rPr>
        <w:t xml:space="preserve">) </w:t>
      </w:r>
      <w:r>
        <w:rPr>
          <w:rStyle w:val="SpecialCharTok"/>
        </w:rPr>
        <w:t xml:space="preserve">-</w:t>
      </w:r>
      <w:r>
        <w:rPr>
          <w:rStyle w:val="NormalTok"/>
        </w:rPr>
        <w:t xml:space="preserve"> </w:t>
      </w:r>
      <w:r>
        <w:rPr>
          <w:rStyle w:val="FunctionTok"/>
        </w:rPr>
        <w:t xml:space="preserve">f</w:t>
      </w:r>
      <w:r>
        <w:rPr>
          <w:rStyle w:val="NormalTok"/>
        </w:rPr>
        <w:t xml:space="preserve">(K, K)) </w:t>
      </w:r>
      <w:r>
        <w:rPr>
          <w:rStyle w:val="SpecialCharTok"/>
        </w:rPr>
        <w:t xml:space="preserve">/</w:t>
      </w:r>
      <w:r>
        <w:rPr>
          <w:rStyle w:val="NormalTok"/>
        </w:rPr>
        <w:t xml:space="preserve"> </w:t>
      </w:r>
      <w:r>
        <w:rPr>
          <w:rStyle w:val="FloatTok"/>
        </w:rPr>
        <w:t xml:space="preserve">0.001</w:t>
      </w:r>
      <w:r>
        <w:br/>
      </w:r>
      <w:r>
        <w:br/>
      </w:r>
      <w:r>
        <w:rPr>
          <w:rStyle w:val="CommentTok"/>
        </w:rPr>
        <w:t xml:space="preserve"># Lado esquerdo de Euler</w:t>
      </w:r>
      <w:r>
        <w:br/>
      </w:r>
      <w:r>
        <w:rPr>
          <w:rStyle w:val="NormalTok"/>
        </w:rPr>
        <w:t xml:space="preserve">euler_lhs </w:t>
      </w:r>
      <w:r>
        <w:rPr>
          <w:rStyle w:val="OtherTok"/>
        </w:rPr>
        <w:t xml:space="preserve">&lt;-</w:t>
      </w:r>
      <w:r>
        <w:rPr>
          <w:rStyle w:val="NormalTok"/>
        </w:rPr>
        <w:t xml:space="preserve"> L </w:t>
      </w:r>
      <w:r>
        <w:rPr>
          <w:rStyle w:val="SpecialCharTok"/>
        </w:rPr>
        <w:t xml:space="preserve">*</w:t>
      </w:r>
      <w:r>
        <w:rPr>
          <w:rStyle w:val="NormalTok"/>
        </w:rPr>
        <w:t xml:space="preserve"> dL </w:t>
      </w:r>
      <w:r>
        <w:rPr>
          <w:rStyle w:val="SpecialCharTok"/>
        </w:rPr>
        <w:t xml:space="preserve">+</w:t>
      </w:r>
      <w:r>
        <w:rPr>
          <w:rStyle w:val="NormalTok"/>
        </w:rPr>
        <w:t xml:space="preserve"> K </w:t>
      </w:r>
      <w:r>
        <w:rPr>
          <w:rStyle w:val="SpecialCharTok"/>
        </w:rPr>
        <w:t xml:space="preserve">*</w:t>
      </w:r>
      <w:r>
        <w:rPr>
          <w:rStyle w:val="NormalTok"/>
        </w:rPr>
        <w:t xml:space="preserve"> dK</w:t>
      </w:r>
      <w:r>
        <w:br/>
      </w:r>
      <w:r>
        <w:br/>
      </w:r>
      <w:r>
        <w:rPr>
          <w:rStyle w:val="CommentTok"/>
        </w:rPr>
        <w:t xml:space="preserve"># Lado direito</w:t>
      </w:r>
      <w:r>
        <w:br/>
      </w:r>
      <w:r>
        <w:rPr>
          <w:rStyle w:val="NormalTok"/>
        </w:rPr>
        <w:t xml:space="preserve">euler_rhs </w:t>
      </w:r>
      <w:r>
        <w:rPr>
          <w:rStyle w:val="OtherTok"/>
        </w:rPr>
        <w:t xml:space="preserve">&lt;-</w:t>
      </w:r>
      <w:r>
        <w:rPr>
          <w:rStyle w:val="NormalTok"/>
        </w:rPr>
        <w:t xml:space="preserve"> k </w:t>
      </w:r>
      <w:r>
        <w:rPr>
          <w:rStyle w:val="SpecialCharTok"/>
        </w:rPr>
        <w:t xml:space="preserve">*</w:t>
      </w:r>
      <w:r>
        <w:rPr>
          <w:rStyle w:val="NormalTok"/>
        </w:rPr>
        <w:t xml:space="preserve"> </w:t>
      </w:r>
      <w:r>
        <w:rPr>
          <w:rStyle w:val="FunctionTok"/>
        </w:rPr>
        <w:t xml:space="preserve">f</w:t>
      </w:r>
      <w:r>
        <w:rPr>
          <w:rStyle w:val="NormalTok"/>
        </w:rPr>
        <w:t xml:space="preserve">(L, K)</w:t>
      </w:r>
      <w:r>
        <w:br/>
      </w:r>
      <w:r>
        <w:br/>
      </w:r>
      <w:r>
        <w:rPr>
          <w:rStyle w:val="FunctionTok"/>
        </w:rPr>
        <w:t xml:space="preserve">cat</w:t>
      </w:r>
      <w:r>
        <w:rPr>
          <w:rStyle w:val="NormalTok"/>
        </w:rPr>
        <w:t xml:space="preserve">(</w:t>
      </w:r>
      <w:r>
        <w:rPr>
          <w:rStyle w:val="StringTok"/>
        </w:rPr>
        <w:t xml:space="preserve">"Euler LHS:"</w:t>
      </w:r>
      <w:r>
        <w:rPr>
          <w:rStyle w:val="NormalTok"/>
        </w:rPr>
        <w:t xml:space="preserve">, </w:t>
      </w:r>
      <w:r>
        <w:rPr>
          <w:rStyle w:val="FunctionTok"/>
        </w:rPr>
        <w:t xml:space="preserve">round</w:t>
      </w:r>
      <w:r>
        <w:rPr>
          <w:rStyle w:val="NormalTok"/>
        </w:rPr>
        <w:t xml:space="preserve">(euler_lhs,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"Euler RHS:"</w:t>
      </w:r>
      <w:r>
        <w:rPr>
          <w:rStyle w:val="NormalTok"/>
        </w:rPr>
        <w:t xml:space="preserve">, </w:t>
      </w:r>
      <w:r>
        <w:rPr>
          <w:rStyle w:val="FunctionTok"/>
        </w:rPr>
        <w:t xml:space="preserve">round</w:t>
      </w:r>
      <w:r>
        <w:rPr>
          <w:rStyle w:val="NormalTok"/>
        </w:rPr>
        <w:t xml:space="preserve">(euler_rhs,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"Diferença:"</w:t>
      </w:r>
      <w:r>
        <w:rPr>
          <w:rStyle w:val="NormalTok"/>
        </w:rPr>
        <w:t xml:space="preserve">, </w:t>
      </w:r>
      <w:r>
        <w:rPr>
          <w:rStyle w:val="FunctionTok"/>
        </w:rPr>
        <w:t xml:space="preserve">round</w:t>
      </w:r>
      <w:r>
        <w:rPr>
          <w:rStyle w:val="NormalTok"/>
        </w:rPr>
        <w:t xml:space="preserve">(</w:t>
      </w:r>
      <w:r>
        <w:rPr>
          <w:rStyle w:val="FunctionTok"/>
        </w:rPr>
        <w:t xml:space="preserve">abs</w:t>
      </w:r>
      <w:r>
        <w:rPr>
          <w:rStyle w:val="NormalTok"/>
        </w:rPr>
        <w:t xml:space="preserve">(euler_lhs </w:t>
      </w:r>
      <w:r>
        <w:rPr>
          <w:rStyle w:val="SpecialCharTok"/>
        </w:rPr>
        <w:t xml:space="preserve">-</w:t>
      </w:r>
      <w:r>
        <w:rPr>
          <w:rStyle w:val="NormalTok"/>
        </w:rPr>
        <w:t xml:space="preserve"> euler_rhs), </w:t>
      </w:r>
      <w:r>
        <w:rPr>
          <w:rStyle w:val="DecValTok"/>
        </w:rPr>
        <w:t xml:space="preserve">6</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CommentTok"/>
        </w:rPr>
        <w:t xml:space="preserve"># Homogeneidade: f(tL, tK) = t^k * f(L, K)</w:t>
      </w:r>
      <w:r>
        <w:br/>
      </w:r>
      <w:r>
        <w:rPr>
          <w:rStyle w:val="NormalTok"/>
        </w:rPr>
        <w:t xml:space="preserve">t </w:t>
      </w:r>
      <w:r>
        <w:rPr>
          <w:rStyle w:val="OtherTok"/>
        </w:rPr>
        <w:t xml:space="preserve">&lt;-</w:t>
      </w:r>
      <w:r>
        <w:rPr>
          <w:rStyle w:val="NormalTok"/>
        </w:rPr>
        <w:t xml:space="preserve"> </w:t>
      </w:r>
      <w:r>
        <w:rPr>
          <w:rStyle w:val="DecValTok"/>
        </w:rPr>
        <w:t xml:space="preserve">2</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f(2L, 2K) ="</w:t>
      </w:r>
      <w:r>
        <w:rPr>
          <w:rStyle w:val="NormalTok"/>
        </w:rPr>
        <w:t xml:space="preserve">, </w:t>
      </w:r>
      <w:r>
        <w:rPr>
          <w:rStyle w:val="FunctionTok"/>
        </w:rPr>
        <w:t xml:space="preserve">f</w:t>
      </w:r>
      <w:r>
        <w:rPr>
          <w:rStyle w:val="NormalTok"/>
        </w:rPr>
        <w:t xml:space="preserve">(t</w:t>
      </w:r>
      <w:r>
        <w:rPr>
          <w:rStyle w:val="SpecialCharTok"/>
        </w:rPr>
        <w:t xml:space="preserve">*</w:t>
      </w:r>
      <w:r>
        <w:rPr>
          <w:rStyle w:val="NormalTok"/>
        </w:rPr>
        <w:t xml:space="preserve">L, t</w:t>
      </w:r>
      <w:r>
        <w:rPr>
          <w:rStyle w:val="SpecialCharTok"/>
        </w:rPr>
        <w:t xml:space="preserve">*</w:t>
      </w:r>
      <w:r>
        <w:rPr>
          <w:rStyle w:val="NormalTok"/>
        </w:rPr>
        <w:t xml:space="preserve">K),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"t^k * f(L,K) ="</w:t>
      </w:r>
      <w:r>
        <w:rPr>
          <w:rStyle w:val="NormalTok"/>
        </w:rPr>
        <w:t xml:space="preserve">, t</w:t>
      </w:r>
      <w:r>
        <w:rPr>
          <w:rStyle w:val="SpecialCharTok"/>
        </w:rPr>
        <w:t xml:space="preserve">^</w:t>
      </w:r>
      <w:r>
        <w:rPr>
          <w:rStyle w:val="NormalTok"/>
        </w:rPr>
        <w:t xml:space="preserve">k </w:t>
      </w:r>
      <w:r>
        <w:rPr>
          <w:rStyle w:val="SpecialCharTok"/>
        </w:rPr>
        <w:t xml:space="preserve">*</w:t>
      </w:r>
      <w:r>
        <w:rPr>
          <w:rStyle w:val="NormalTok"/>
        </w:rPr>
        <w:t xml:space="preserve"> </w:t>
      </w:r>
      <w:r>
        <w:rPr>
          <w:rStyle w:val="FunctionTok"/>
        </w:rPr>
        <w:t xml:space="preserve">f</w:t>
      </w:r>
      <w:r>
        <w:rPr>
          <w:rStyle w:val="NormalTok"/>
        </w:rPr>
        <w:t xml:space="preserve">(L, K), </w:t>
      </w:r>
      <w:r>
        <w:rPr>
          <w:rStyle w:val="StringTok"/>
        </w:rPr>
        <w:t xml:space="preserve">"</w:t>
      </w:r>
      <w:r>
        <w:rPr>
          <w:rStyle w:val="SpecialCharTok"/>
        </w:rPr>
        <w:t xml:space="preserve">\n</w:t>
      </w:r>
      <w:r>
        <w:rPr>
          <w:rStyle w:val="StringTok"/>
        </w:rPr>
        <w:t xml:space="preserve">"</w:t>
      </w:r>
      <w:r>
        <w:rPr>
          <w:rStyle w:val="NormalTok"/>
        </w:rPr>
        <w:t xml:space="preserve">)</w:t>
      </w:r>
    </w:p>
    <w:p>
      <w:r>
        <w:pict>
          <v:rect style="width:0;height:1.5pt" o:hralign="center" o:hrstd="t" o:hr="t"/>
        </w:pict>
      </w:r>
    </w:p>
    <w:p>
      <w:pPr>
        <w:pStyle w:val="FirstParagraph"/>
      </w:pPr>
      <w:r>
        <w:rPr>
          <w:b/>
          <w:bCs/>
        </w:rPr>
        <w:t xml:space="preserve">Conexão.</w:t>
      </w:r>
      <w:r>
        <w:t xml:space="preserve"> </w:t>
      </w:r>
      <w:r>
        <w:t xml:space="preserve">Este capítulo cobriu o essencial do cálculo multivariado para microeconomia. As Seções 2.10–2.13 apresentam ferramentas complementares — integração (para excedentes), equações diferenciais (para dinâmica intertemporal), probabilidade (para incerteza) e teoremas de ponto fixo (para existência de equilíbrio) — que serão mobilizadas em capítulos específicos.</w:t>
      </w:r>
    </w:p>
    <w:bookmarkEnd w:id="146"/>
    <w:bookmarkEnd w:id="147"/>
    <w:bookmarkEnd w:id="148"/>
    <w:bookmarkEnd w:id="149"/>
    <w:bookmarkStart w:id="189" w:name="capítulo-3-mais-é-melhor-será"/>
    <w:p>
      <w:pPr>
        <w:sectPr>
          <w:footnotePr>
            <w:numRestart w:val="eachSect"/>
          </w:footnotePr>
        </w:sectPr>
      </w:pPr>
    </w:p>
    <w:p>
      <w:pPr>
        <w:pStyle w:val="Heading1"/>
      </w:pPr>
      <w:r>
        <w:t xml:space="preserve">Capítulo 3 — Mais É Melhor — Será?</w:t>
      </w:r>
    </w:p>
    <w:p>
      <w:pPr>
        <w:pStyle w:val="FirstParagraph"/>
      </w:pPr>
      <w:r>
        <w:t xml:space="preserve">Netflix, Disney+ ou HBO Max? Você só pode assinar um. A escolha parece simples — até que você percebe que prefere Netflix a Disney+, Disney+ a HBO Max, mas HBO Max a Netflix (por causa daquela</w:t>
      </w:r>
      <w:r>
        <w:t xml:space="preserve"> </w:t>
      </w:r>
      <w:r>
        <w:rPr>
          <w:i/>
          <w:iCs/>
        </w:rPr>
        <w:t xml:space="preserve">única</w:t>
      </w:r>
      <w:r>
        <w:t xml:space="preserve"> </w:t>
      </w:r>
      <w:r>
        <w:t xml:space="preserve">série). Parabéns: suas preferências são intransitivas, e a microeconomia acabou de quebrar. Ou será que não?</w:t>
      </w:r>
    </w:p>
    <w:p>
      <w:pPr>
        <w:pStyle w:val="BodyText"/>
      </w:pPr>
      <w:r>
        <w:t xml:space="preserve">Você entra no supermercado com R$ 200 e sai com um carrinho cheio de escolhas. Arroz ou macarrão? Cerveja ou refrigerante? Marca A ou marca B? Cada decisão revela algo sobre suas preferências — algo que você talvez nem consiga articular, mas que a microeconomia pretende capturar com precisão matemática. A teoria das preferências e da utilidade é o alicerce de tudo que vem depois: curvas de demanda, análise de bem-estar, efeitos de políticas públicas. Se este capítulo for bem assimilado, o resto do livro é consequência. Se não for… bem, vai ser uma longa jornada. (E aquele dilema do streaming? Voltamos a ele na Seção 3.1, quando discutirmos por que a transitividade é tão importante — e o que acontece quando ela falha.)</w:t>
      </w:r>
    </w:p>
    <w:p>
      <w:pPr>
        <w:pStyle w:val="BodyText"/>
      </w:pPr>
      <w:r>
        <w:t xml:space="preserve">Neste capítulo, formalizamos as preferências individuais por meio de axiomas — regras mínimas de coerência que, quando satisfeitas, permitem representar o comportamento do consumidor por uma função de utilidade. A partir dessa função, construímos progressivamente as ferramentas analíticas centrais: curvas de indiferença, que oferecem uma representação geométrica das preferências; a taxa marginal de substituição (TMS), que quantifica a disposição do consumidor a trocar um bem por outro; e as famílias específicas de funções de utilidade — Cobb-Douglas, CES, substitutos e complementos perfeitos, quase-linear — que dão conteúdo empírico ao arcabouço teórico.</w:t>
      </w:r>
    </w:p>
    <w:p>
      <w:pPr>
        <w:pStyle w:val="BodyText"/>
      </w:pPr>
      <w:r>
        <w:t xml:space="preserve">O capítulo segue a abordagem axiomática presente em Mas-Colell, Whinston e Green (1995), complementada pela exposição mais intuitiva de Varian (2015) e Nicholson e Snyder (2017). Para uma abordagem particularmente acessível, com ênfase em intuição econômica e exemplos aplicados, ver Besanko e Braeutigam (2014, Caps. 3–4). Ao final do capítulo, o leitor terá em mãos todo o aparato conceitual necessário para resolver o problema de otimização do consumidor — tema central do Capítulo 4, onde as preferências aqui formalizadas se encontram com a restrição orçamentária para determinar as escolhas ótimas.</w:t>
      </w:r>
    </w:p>
    <w:p>
      <w:pPr>
        <w:pStyle w:val="BlockText"/>
      </w:pPr>
      <w:r>
        <w:rPr>
          <w:b/>
          <w:bCs/>
        </w:rPr>
        <w:t xml:space="preserve">[RESUMO] 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rPr>
                <w:b/>
                <w:bCs/>
              </w:rPr>
              <w:t xml:space="preserve">3.1–3.3</w:t>
            </w:r>
          </w:p>
        </w:tc>
        <w:tc>
          <w:tcPr/>
          <w:p>
            <w:pPr>
              <w:pStyle w:val="Compact"/>
            </w:pPr>
            <w:r>
              <w:t xml:space="preserve">O que torna um consumidor</w:t>
            </w:r>
            <w:r>
              <w:t xml:space="preserve"> </w:t>
            </w:r>
            <w:r>
              <w:t xml:space="preserve">“coerente”</w:t>
            </w:r>
            <w:r>
              <w:t xml:space="preserve">?</w:t>
            </w:r>
          </w:p>
        </w:tc>
        <w:tc>
          <w:tcPr/>
          <w:p>
            <w:pPr>
              <w:pStyle w:val="Compact"/>
            </w:pPr>
            <w:r>
              <w:t xml:space="preserve">Axiomas, Teorema de Debreu, curvas de indiferença</w:t>
            </w:r>
          </w:p>
        </w:tc>
        <w:tc>
          <w:tcPr/>
          <w:p>
            <w:pPr>
              <w:pStyle w:val="Compact"/>
              <w:jc w:val="center"/>
            </w:pPr>
            <w:r>
              <w:t xml:space="preserve">Axiomas</w:t>
            </w:r>
          </w:p>
        </w:tc>
      </w:tr>
      <w:tr>
        <w:tc>
          <w:tcPr/>
          <w:p>
            <w:pPr>
              <w:pStyle w:val="Compact"/>
              <w:jc w:val="center"/>
            </w:pPr>
            <w:r>
              <w:rPr>
                <w:b/>
                <w:bCs/>
              </w:rPr>
              <w:t xml:space="preserve">3.4–3.5</w:t>
            </w:r>
          </w:p>
        </w:tc>
        <w:tc>
          <w:tcPr/>
          <w:p>
            <w:pPr>
              <w:pStyle w:val="Compact"/>
            </w:pPr>
            <w:r>
              <w:t xml:space="preserve">A que</w:t>
            </w:r>
            <w:r>
              <w:t xml:space="preserve"> </w:t>
            </w:r>
            <w:r>
              <w:t xml:space="preserve">“preço pessoal”</w:t>
            </w:r>
            <w:r>
              <w:t xml:space="preserve"> </w:t>
            </w:r>
            <w:r>
              <w:t xml:space="preserve">você troca um bem por outro?</w:t>
            </w:r>
          </w:p>
        </w:tc>
        <w:tc>
          <w:tcPr/>
          <w:p>
            <w:pPr>
              <w:pStyle w:val="Compact"/>
            </w:pPr>
            <w:r>
              <w:t xml:space="preserve">TMS, utilidade marginal, TMS = UMg₁/UMg₂</w:t>
            </w:r>
          </w:p>
        </w:tc>
        <w:tc>
          <w:tcPr/>
          <w:p>
            <w:pPr>
              <w:pStyle w:val="Compact"/>
              <w:jc w:val="center"/>
            </w:pPr>
            <w:r>
              <w:t xml:space="preserve">TMS</w:t>
            </w:r>
          </w:p>
        </w:tc>
      </w:tr>
      <w:tr>
        <w:tc>
          <w:tcPr/>
          <w:p>
            <w:pPr>
              <w:pStyle w:val="Compact"/>
              <w:jc w:val="center"/>
            </w:pPr>
            <w:r>
              <w:rPr>
                <w:b/>
                <w:bCs/>
              </w:rPr>
              <w:t xml:space="preserve">3.6–3.7</w:t>
            </w:r>
          </w:p>
        </w:tc>
        <w:tc>
          <w:tcPr/>
          <w:p>
            <w:pPr>
              <w:pStyle w:val="Compact"/>
            </w:pPr>
            <w:r>
              <w:t xml:space="preserve">Que</w:t>
            </w:r>
            <w:r>
              <w:t xml:space="preserve"> </w:t>
            </w:r>
            <w:r>
              <w:t xml:space="preserve">“personagem”</w:t>
            </w:r>
            <w:r>
              <w:t xml:space="preserve"> </w:t>
            </w:r>
            <w:r>
              <w:t xml:space="preserve">descreve melhor suas preferências?</w:t>
            </w:r>
          </w:p>
        </w:tc>
        <w:tc>
          <w:tcPr/>
          <w:p>
            <w:pPr>
              <w:pStyle w:val="Compact"/>
            </w:pPr>
            <w:r>
              <w:t xml:space="preserve">Cobb-Douglas, CES, Leontief, quase-linear, homotéticas, transformações monotônicas</w:t>
            </w:r>
          </w:p>
        </w:tc>
        <w:tc>
          <w:tcPr/>
          <w:p>
            <w:pPr>
              <w:pStyle w:val="Compact"/>
              <w:jc w:val="center"/>
            </w:pPr>
            <w:r>
              <w:t xml:space="preserve">Preferências</w:t>
            </w:r>
          </w:p>
        </w:tc>
      </w:tr>
      <w:tr>
        <w:tc>
          <w:tcPr/>
          <w:p>
            <w:pPr>
              <w:pStyle w:val="Compact"/>
              <w:jc w:val="center"/>
            </w:pPr>
            <w:r>
              <w:rPr>
                <w:b/>
                <w:bCs/>
              </w:rPr>
              <w:t xml:space="preserve">Exercícios</w:t>
            </w:r>
          </w:p>
        </w:tc>
        <w:tc>
          <w:tcPr/>
          <w:p>
            <w:pPr>
              <w:pStyle w:val="Compact"/>
            </w:pPr>
            <w:r>
              <w:t xml:space="preserve">Teste e aplique</w:t>
            </w:r>
          </w:p>
        </w:tc>
        <w:tc>
          <w:tcPr/>
          <w:p>
            <w:pPr>
              <w:pStyle w:val="Compact"/>
            </w:pPr>
            <w:r>
              <w:t xml:space="preserve">Revisão, exercícios, ANPEC, atividades de sala</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fronteira diz?</w:t>
            </w:r>
          </w:p>
        </w:tc>
        <w:tc>
          <w:tcPr/>
          <w:p>
            <w:pPr>
              <w:pStyle w:val="Compact"/>
            </w:pPr>
            <w:r>
              <w:t xml:space="preserve">Artigos seminais com dados reais</w:t>
            </w:r>
          </w:p>
        </w:tc>
        <w:tc>
          <w:tcPr/>
          <w:p>
            <w:pPr>
              <w:pStyle w:val="Compact"/>
              <w:jc w:val="center"/>
            </w:pPr>
            <w:r>
              <w:t xml:space="preserve">Pesquisa</w:t>
            </w:r>
          </w:p>
        </w:tc>
      </w:tr>
    </w:tbl>
    <w:bookmarkStart w:id="154" w:name="Xe16158f012ac144570a9b97f656826a891cd8cb"/>
    <w:p>
      <w:pPr>
        <w:pStyle w:val="Heading2"/>
      </w:pPr>
      <w:r>
        <w:t xml:space="preserve">3.1–3.3 Axiomas, Utilidade e Curvas de Indiferença</w:t>
      </w:r>
    </w:p>
    <w:bookmarkStart w:id="151" w:name="X52f20013387055278b0aa4c72ca47d1c0648eb3"/>
    <w:p>
      <w:pPr>
        <w:pStyle w:val="Heading3"/>
      </w:pPr>
      <w:r>
        <w:t xml:space="preserve">3.1 As Regras Mínimas da Sanidade: Axiomas da Escolha</w:t>
      </w:r>
    </w:p>
    <w:p>
      <w:pPr>
        <w:pStyle w:val="FirstParagraph"/>
      </w:pPr>
      <w:r>
        <w:t xml:space="preserve">Antes de construir qualquer modelo de escolha, precisamos responder a uma pergunta incômoda: o que</w:t>
      </w:r>
      <w:r>
        <w:t xml:space="preserve"> </w:t>
      </w:r>
      <w:r>
        <w:rPr>
          <w:i/>
          <w:iCs/>
        </w:rPr>
        <w:t xml:space="preserve">exatamente</w:t>
      </w:r>
      <w:r>
        <w:t xml:space="preserve"> </w:t>
      </w:r>
      <w:r>
        <w:t xml:space="preserve">estamos supondo sobre o consumidor? Não vamos supor que ele é gênio, nem que usa planilha Excel no supermercado. Vamos supor apenas que ele é</w:t>
      </w:r>
      <w:r>
        <w:t xml:space="preserve"> </w:t>
      </w:r>
      <w:r>
        <w:rPr>
          <w:i/>
          <w:iCs/>
        </w:rPr>
        <w:t xml:space="preserve">coerente</w:t>
      </w:r>
      <w:r>
        <w:t xml:space="preserve"> </w:t>
      </w:r>
      <w:r>
        <w:t xml:space="preserve">— que consegue comparar opções e não se contradiz.</w:t>
      </w:r>
      <w:r>
        <w:rPr>
          <w:rStyle w:val="FootnoteReference"/>
        </w:rPr>
        <w:footnoteReference w:id="150"/>
      </w:r>
    </w:p>
    <w:p>
      <w:pPr>
        <w:pStyle w:val="BodyText"/>
      </w:pPr>
      <w:r>
        <w:t xml:space="preserve">Seja</w:t>
      </w:r>
      <w:r>
        <w:t xml:space="preserve"> </w:t>
      </w:r>
      <m:oMath>
        <m:r>
          <m:t>X</m:t>
        </m:r>
        <m:r>
          <m:rPr>
            <m:sty m:val="p"/>
          </m:rPr>
          <m:t>⊆</m:t>
        </m:r>
        <m:sSubSup>
          <m:e>
            <m:r>
              <m:rPr>
                <m:scr m:val="double-struck"/>
                <m:sty m:val="p"/>
              </m:rPr>
              <m:t>R</m:t>
            </m:r>
          </m:e>
          <m:sub>
            <m:r>
              <m:rPr>
                <m:sty m:val="p"/>
              </m:rPr>
              <m:t>+</m:t>
            </m:r>
          </m:sub>
          <m:sup>
            <m:r>
              <m:t>n</m:t>
            </m:r>
          </m:sup>
        </m:sSubSup>
      </m:oMath>
      <w:r>
        <w:t xml:space="preserve"> </w:t>
      </w:r>
      <w:r>
        <w:t xml:space="preserve">o</w:t>
      </w:r>
      <w:r>
        <w:t xml:space="preserve"> </w:t>
      </w:r>
      <w:r>
        <w:rPr>
          <w:b/>
          <w:bCs/>
        </w:rPr>
        <w:t xml:space="preserve">conjunto de consumo</w:t>
      </w:r>
      <w:r>
        <w:t xml:space="preserve">, isto é, o conjunto de todas as cestas de bens fisicamente disponíveis ao consumidor. Uma cesta</w:t>
      </w:r>
      <w:r>
        <w:t xml:space="preserve"> </w:t>
      </w:r>
      <m:oMath>
        <m:r>
          <m:rPr>
            <m:sty m:val="bi"/>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especifica a quantidade de cada um dos</w:t>
      </w:r>
      <w:r>
        <w:t xml:space="preserve"> </w:t>
      </w:r>
      <m:oMath>
        <m:r>
          <m:t>n</m:t>
        </m:r>
      </m:oMath>
      <w:r>
        <w:t xml:space="preserve"> </w:t>
      </w:r>
      <w:r>
        <w:t xml:space="preserve">bens — por exemplo, em um modelo com dois bens,</w:t>
      </w:r>
      <w:r>
        <w:t xml:space="preserve"> </w:t>
      </w:r>
      <m:oMath>
        <m:r>
          <m:rPr>
            <m:sty m:val="bi"/>
          </m:rPr>
          <m:t>x</m:t>
        </m:r>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poderia representar quilos de arroz e litros de leite. O conjunto de consumo inclui todas as combinações não negativas dessas quantidades, formando o quadrante positivo do espaço</w:t>
      </w:r>
      <w:r>
        <w:t xml:space="preserve"> </w:t>
      </w:r>
      <m:oMath>
        <m:sSup>
          <m:e>
            <m:r>
              <m:rPr>
                <m:scr m:val="double-struck"/>
                <m:sty m:val="p"/>
              </m:rPr>
              <m:t>R</m:t>
            </m:r>
          </m:e>
          <m:sup>
            <m:r>
              <m:t>n</m:t>
            </m:r>
          </m:sup>
        </m:sSup>
      </m:oMath>
      <w:r>
        <w:t xml:space="preserve">.</w:t>
      </w:r>
    </w:p>
    <w:p>
      <w:pPr>
        <w:pStyle w:val="BodyText"/>
      </w:pPr>
      <w:r>
        <w:t xml:space="preserve">Uma</w:t>
      </w:r>
      <w:r>
        <w:t xml:space="preserve"> </w:t>
      </w:r>
      <w:r>
        <w:rPr>
          <w:b/>
          <w:bCs/>
        </w:rPr>
        <w:t xml:space="preserve">relação de preferência</w:t>
      </w:r>
      <w:r>
        <w:t xml:space="preserve"> </w:t>
      </w:r>
      <m:oMath>
        <m:r>
          <m:rPr>
            <m:sty m:val="p"/>
          </m:rPr>
          <m:t>≿</m:t>
        </m:r>
      </m:oMath>
      <w:r>
        <w:t xml:space="preserve"> </w:t>
      </w:r>
      <w:r>
        <w:t xml:space="preserve">sobre</w:t>
      </w:r>
      <w:r>
        <w:t xml:space="preserve"> </w:t>
      </w:r>
      <m:oMath>
        <m:r>
          <m:t>X</m:t>
        </m:r>
      </m:oMath>
      <w:r>
        <w:t xml:space="preserve"> </w:t>
      </w:r>
      <w:r>
        <w:t xml:space="preserve">indica que, dadas duas cestas</w:t>
      </w:r>
      <w:r>
        <w:t xml:space="preserve"> </w:t>
      </w:r>
      <m:oMath>
        <m:r>
          <m:rPr>
            <m:sty m:val="bi"/>
          </m:rPr>
          <m:t>x</m:t>
        </m:r>
      </m:oMath>
      <w:r>
        <w:t xml:space="preserve"> </w:t>
      </w:r>
      <w:r>
        <w:t xml:space="preserve">e</w:t>
      </w:r>
      <w:r>
        <w:t xml:space="preserve"> </w:t>
      </w:r>
      <m:oMath>
        <m:r>
          <m:rPr>
            <m:sty m:val="bi"/>
          </m:rPr>
          <m:t>y</m:t>
        </m:r>
      </m:oMath>
      <w:r>
        <w:t xml:space="preserve">, o consumidor considera</w:t>
      </w:r>
      <w:r>
        <w:t xml:space="preserve"> </w:t>
      </w:r>
      <m:oMath>
        <m:r>
          <m:rPr>
            <m:sty m:val="bi"/>
          </m:rPr>
          <m:t>x</m:t>
        </m:r>
      </m:oMath>
      <w:r>
        <w:t xml:space="preserve"> </w:t>
      </w:r>
      <w:r>
        <w:t xml:space="preserve">pelo menos tão boa quanto</w:t>
      </w:r>
      <w:r>
        <w:t xml:space="preserve"> </w:t>
      </w:r>
      <m:oMath>
        <m:r>
          <m:rPr>
            <m:sty m:val="bi"/>
          </m:rPr>
          <m:t>y</m:t>
        </m:r>
      </m:oMath>
      <w:r>
        <w:t xml:space="preserve">. A notação</w:t>
      </w:r>
      <w:r>
        <w:t xml:space="preserve"> </w:t>
      </w:r>
      <m:oMath>
        <m:r>
          <m:rPr>
            <m:sty m:val="bi"/>
          </m:rPr>
          <m:t>x</m:t>
        </m:r>
        <m:r>
          <m:rPr>
            <m:sty m:val="p"/>
          </m:rPr>
          <m:t>≿</m:t>
        </m:r>
        <m:r>
          <m:rPr>
            <m:sty m:val="bi"/>
          </m:rPr>
          <m:t>y</m:t>
        </m:r>
      </m:oMath>
      <w:r>
        <w:t xml:space="preserve"> </w:t>
      </w:r>
      <w:r>
        <w:t xml:space="preserve">se lê</w:t>
      </w:r>
      <w:r>
        <w:t xml:space="preserve"> </w:t>
      </w:r>
      <w:r>
        <w:t xml:space="preserve">“</w:t>
      </w:r>
      <m:oMath>
        <m:r>
          <m:rPr>
            <m:sty m:val="bi"/>
          </m:rPr>
          <m:t>x</m:t>
        </m:r>
      </m:oMath>
      <w:r>
        <w:t xml:space="preserve"> </w:t>
      </w:r>
      <w:r>
        <w:t xml:space="preserve">é fracamente preferida a</w:t>
      </w:r>
      <w:r>
        <w:t xml:space="preserve"> </w:t>
      </w:r>
      <m:oMath>
        <m:r>
          <m:rPr>
            <m:sty m:val="bi"/>
          </m:rPr>
          <m:t>y</m:t>
        </m:r>
      </m:oMath>
      <w:r>
        <w:t xml:space="preserve">”</w:t>
      </w:r>
      <w:r>
        <w:t xml:space="preserve">. Note que a relação</w:t>
      </w:r>
      <w:r>
        <w:t xml:space="preserve"> </w:t>
      </w:r>
      <m:oMath>
        <m:r>
          <m:rPr>
            <m:sty m:val="p"/>
          </m:rPr>
          <m:t>≿</m:t>
        </m:r>
      </m:oMath>
      <w:r>
        <w:t xml:space="preserve"> </w:t>
      </w:r>
      <w:r>
        <w:t xml:space="preserve">é</w:t>
      </w:r>
      <w:r>
        <w:t xml:space="preserve"> </w:t>
      </w:r>
      <w:r>
        <w:rPr>
          <w:b/>
          <w:bCs/>
        </w:rPr>
        <w:t xml:space="preserve">primitiva</w:t>
      </w:r>
      <w:r>
        <w:t xml:space="preserve"> </w:t>
      </w:r>
      <w:r>
        <w:t xml:space="preserve">— ela é o ponto de partida da teoria, não algo derivado de uma função de utilidade. Tomamos como dado que o consumidor</w:t>
      </w:r>
      <w:r>
        <w:t xml:space="preserve"> </w:t>
      </w:r>
      <w:r>
        <w:rPr>
          <w:i/>
          <w:iCs/>
        </w:rPr>
        <w:t xml:space="preserve">possui</w:t>
      </w:r>
      <w:r>
        <w:t xml:space="preserve"> </w:t>
      </w:r>
      <w:r>
        <w:t xml:space="preserve">preferências; o que os axiomas fazem é impor estrutura sobre essas preferências, de modo a torná-las matematicamente tratáveis. A função de utilidade, como veremos na próxima seção, é uma</w:t>
      </w:r>
      <w:r>
        <w:t xml:space="preserve"> </w:t>
      </w:r>
      <w:r>
        <w:rPr>
          <w:i/>
          <w:iCs/>
        </w:rPr>
        <w:t xml:space="preserve">consequência</w:t>
      </w:r>
      <w:r>
        <w:t xml:space="preserve"> </w:t>
      </w:r>
      <w:r>
        <w:t xml:space="preserve">dos axiomas impostos sobre</w:t>
      </w:r>
      <w:r>
        <w:t xml:space="preserve"> </w:t>
      </w:r>
      <m:oMath>
        <m:r>
          <m:rPr>
            <m:sty m:val="p"/>
          </m:rPr>
          <m:t>≿</m:t>
        </m:r>
      </m:oMath>
      <w:r>
        <w:t xml:space="preserve">, não uma hipótese adicional.</w:t>
      </w:r>
    </w:p>
    <w:p>
      <w:pPr>
        <w:pStyle w:val="BodyText"/>
      </w:pPr>
      <w:r>
        <w:t xml:space="preserve">A partir de</w:t>
      </w:r>
      <w:r>
        <w:t xml:space="preserve"> </w:t>
      </w:r>
      <m:oMath>
        <m:r>
          <m:rPr>
            <m:sty m:val="p"/>
          </m:rPr>
          <m:t>≿</m:t>
        </m:r>
      </m:oMath>
      <w:r>
        <w:t xml:space="preserve">, definimos duas relações derivadas que utilizaremos extensivamente:</w:t>
      </w:r>
    </w:p>
    <w:p>
      <w:pPr>
        <w:pStyle w:val="Compact"/>
        <w:numPr>
          <w:ilvl w:val="0"/>
          <w:numId w:val="1071"/>
        </w:numPr>
      </w:pPr>
      <w:r>
        <w:rPr>
          <w:b/>
          <w:bCs/>
        </w:rPr>
        <w:t xml:space="preserve">Preferência estrita</w:t>
      </w:r>
      <w:r>
        <w:t xml:space="preserve">:</w:t>
      </w:r>
      <w:r>
        <w:t xml:space="preserve"> </w:t>
      </w:r>
      <m:oMath>
        <m:r>
          <m:rPr>
            <m:sty m:val="bi"/>
          </m:rPr>
          <m:t>x</m:t>
        </m:r>
        <m:r>
          <m:rPr>
            <m:sty m:val="p"/>
          </m:rPr>
          <m:t>≻</m:t>
        </m:r>
        <m:r>
          <m:rPr>
            <m:sty m:val="bi"/>
          </m:rPr>
          <m:t>y</m:t>
        </m:r>
      </m:oMath>
      <w:r>
        <w:t xml:space="preserve"> </w:t>
      </w:r>
      <w:r>
        <w:t xml:space="preserve">se e somente se</w:t>
      </w:r>
      <w:r>
        <w:t xml:space="preserve"> </w:t>
      </w:r>
      <m:oMath>
        <m:r>
          <m:rPr>
            <m:sty m:val="bi"/>
          </m:rPr>
          <m:t>x</m:t>
        </m:r>
        <m:r>
          <m:rPr>
            <m:sty m:val="p"/>
          </m:rPr>
          <m:t>≿</m:t>
        </m:r>
        <m:r>
          <m:rPr>
            <m:sty m:val="bi"/>
          </m:rPr>
          <m:t>y</m:t>
        </m:r>
      </m:oMath>
      <w:r>
        <w:t xml:space="preserve"> </w:t>
      </w:r>
      <w:r>
        <w:t xml:space="preserve">e não</w:t>
      </w:r>
      <w:r>
        <w:t xml:space="preserve"> </w:t>
      </w:r>
      <m:oMath>
        <m:r>
          <m:rPr>
            <m:sty m:val="bi"/>
          </m:rPr>
          <m:t>y</m:t>
        </m:r>
        <m:r>
          <m:rPr>
            <m:sty m:val="p"/>
          </m:rPr>
          <m:t>≿</m:t>
        </m:r>
        <m:r>
          <m:rPr>
            <m:sty m:val="bi"/>
          </m:rPr>
          <m:t>x</m:t>
        </m:r>
      </m:oMath>
      <w:r>
        <w:t xml:space="preserve">. O consumidor considera</w:t>
      </w:r>
      <w:r>
        <w:t xml:space="preserve"> </w:t>
      </w:r>
      <m:oMath>
        <m:r>
          <m:rPr>
            <m:sty m:val="bi"/>
          </m:rPr>
          <m:t>x</m:t>
        </m:r>
      </m:oMath>
      <w:r>
        <w:t xml:space="preserve"> </w:t>
      </w:r>
      <w:r>
        <w:t xml:space="preserve">estritamente melhor que</w:t>
      </w:r>
      <w:r>
        <w:t xml:space="preserve"> </w:t>
      </w:r>
      <m:oMath>
        <m:r>
          <m:rPr>
            <m:sty m:val="bi"/>
          </m:rPr>
          <m:t>y</m:t>
        </m:r>
      </m:oMath>
      <w:r>
        <w:t xml:space="preserve">.</w:t>
      </w:r>
    </w:p>
    <w:p>
      <w:pPr>
        <w:pStyle w:val="Compact"/>
        <w:numPr>
          <w:ilvl w:val="0"/>
          <w:numId w:val="1071"/>
        </w:numPr>
      </w:pPr>
      <w:r>
        <w:rPr>
          <w:b/>
          <w:bCs/>
        </w:rPr>
        <w:t xml:space="preserve">Indiferença</w:t>
      </w:r>
      <w:r>
        <w:t xml:space="preserve">:</w:t>
      </w:r>
      <w:r>
        <w:t xml:space="preserve"> </w:t>
      </w:r>
      <m:oMath>
        <m:r>
          <m:rPr>
            <m:sty m:val="bi"/>
          </m:rPr>
          <m:t>x</m:t>
        </m:r>
        <m:r>
          <m:rPr>
            <m:sty m:val="p"/>
          </m:rPr>
          <m:t>∼</m:t>
        </m:r>
        <m:r>
          <m:rPr>
            <m:sty m:val="bi"/>
          </m:rPr>
          <m:t>y</m:t>
        </m:r>
      </m:oMath>
      <w:r>
        <w:t xml:space="preserve"> </w:t>
      </w:r>
      <w:r>
        <w:t xml:space="preserve">se e somente se</w:t>
      </w:r>
      <w:r>
        <w:t xml:space="preserve"> </w:t>
      </w:r>
      <m:oMath>
        <m:r>
          <m:rPr>
            <m:sty m:val="bi"/>
          </m:rPr>
          <m:t>x</m:t>
        </m:r>
        <m:r>
          <m:rPr>
            <m:sty m:val="p"/>
          </m:rPr>
          <m:t>≿</m:t>
        </m:r>
        <m:r>
          <m:rPr>
            <m:sty m:val="bi"/>
          </m:rPr>
          <m:t>y</m:t>
        </m:r>
      </m:oMath>
      <w:r>
        <w:t xml:space="preserve"> </w:t>
      </w:r>
      <w:r>
        <w:t xml:space="preserve">e</w:t>
      </w:r>
      <w:r>
        <w:t xml:space="preserve"> </w:t>
      </w:r>
      <m:oMath>
        <m:r>
          <m:rPr>
            <m:sty m:val="bi"/>
          </m:rPr>
          <m:t>y</m:t>
        </m:r>
        <m:r>
          <m:rPr>
            <m:sty m:val="p"/>
          </m:rPr>
          <m:t>≿</m:t>
        </m:r>
        <m:r>
          <m:rPr>
            <m:sty m:val="bi"/>
          </m:rPr>
          <m:t>x</m:t>
        </m:r>
      </m:oMath>
      <w:r>
        <w:t xml:space="preserve">. O consumidor é igualmente satisfeito com ambas as cestas.</w:t>
      </w:r>
    </w:p>
    <w:p>
      <w:pPr>
        <w:pStyle w:val="FirstParagraph"/>
      </w:pPr>
      <w:r>
        <w:t xml:space="preserve">Para que as preferências do consumidor sejam</w:t>
      </w:r>
      <w:r>
        <w:t xml:space="preserve"> </w:t>
      </w:r>
      <w:r>
        <w:t xml:space="preserve">“bem comportadas”</w:t>
      </w:r>
      <w:r>
        <w:t xml:space="preserve"> </w:t>
      </w:r>
      <w:r>
        <w:t xml:space="preserve">e passíveis de análise formal, exigimos um conjunto de axiomas. Cada um deles captura uma exigência de coerência que, embora possa parecer óbvia isoladamente, desempenha um papel específico e insubstituível na construção do edifício teórico. Abandonar qualquer um deles — como ilustra o caso das preferências lexicográficas — pode comprometer resultados fundamentais, como a própria existência de uma função de utilidade.</w:t>
      </w:r>
    </w:p>
    <w:p>
      <w:pPr>
        <w:pStyle w:val="BlockText"/>
      </w:pPr>
      <w:r>
        <w:rPr>
          <w:b/>
          <w:bCs/>
        </w:rPr>
        <w:t xml:space="preserve">[DEFINICAO] Axioma 1 — Completude</w:t>
      </w:r>
    </w:p>
    <w:p>
      <w:pPr>
        <w:pStyle w:val="BlockText"/>
      </w:pPr>
      <w:r>
        <w:t xml:space="preserve">Para quaisquer</w:t>
      </w:r>
      <w:r>
        <w:t xml:space="preserve"> </w:t>
      </w:r>
      <m:oMath>
        <m:r>
          <m:rPr>
            <m:sty m:val="bi"/>
          </m:rPr>
          <m:t>x</m:t>
        </m:r>
        <m:r>
          <m:rPr>
            <m:sty m:val="p"/>
          </m:rPr>
          <m:t>,</m:t>
        </m:r>
        <m:r>
          <m:rPr>
            <m:sty m:val="bi"/>
          </m:rPr>
          <m:t>y</m:t>
        </m:r>
        <m:r>
          <m:rPr>
            <m:sty m:val="p"/>
          </m:rPr>
          <m:t>∈</m:t>
        </m:r>
        <m:r>
          <m:t>X</m:t>
        </m:r>
      </m:oMath>
      <w:r>
        <w:t xml:space="preserve">, vale</w:t>
      </w:r>
      <w:r>
        <w:t xml:space="preserve"> </w:t>
      </w:r>
      <m:oMath>
        <m:r>
          <m:rPr>
            <m:sty m:val="bi"/>
          </m:rPr>
          <m:t>x</m:t>
        </m:r>
        <m:r>
          <m:rPr>
            <m:sty m:val="p"/>
          </m:rPr>
          <m:t>≿</m:t>
        </m:r>
        <m:r>
          <m:rPr>
            <m:sty m:val="bi"/>
          </m:rPr>
          <m:t>y</m:t>
        </m:r>
      </m:oMath>
      <w:r>
        <w:t xml:space="preserve"> </w:t>
      </w:r>
      <w:r>
        <w:t xml:space="preserve">ou</w:t>
      </w:r>
      <w:r>
        <w:t xml:space="preserve"> </w:t>
      </w:r>
      <m:oMath>
        <m:r>
          <m:rPr>
            <m:sty m:val="bi"/>
          </m:rPr>
          <m:t>y</m:t>
        </m:r>
        <m:r>
          <m:rPr>
            <m:sty m:val="p"/>
          </m:rPr>
          <m:t>≿</m:t>
        </m:r>
        <m:r>
          <m:rPr>
            <m:sty m:val="bi"/>
          </m:rPr>
          <m:t>x</m:t>
        </m:r>
      </m:oMath>
      <w:r>
        <w:t xml:space="preserve"> </w:t>
      </w:r>
      <w:r>
        <w:t xml:space="preserve">(ou ambos). Em outras palavras, o consumidor é sempre capaz de comparar duas cestas quaisquer.</w:t>
      </w:r>
    </w:p>
    <w:p>
      <w:pPr>
        <w:pStyle w:val="BlockText"/>
      </w:pPr>
      <w:r>
        <w:rPr>
          <w:b/>
          <w:bCs/>
        </w:rPr>
        <w:t xml:space="preserve">[DEFINICAO] Axioma 2 — Transitividade</w:t>
      </w:r>
    </w:p>
    <w:p>
      <w:pPr>
        <w:pStyle w:val="BlockText"/>
      </w:pPr>
      <w:r>
        <w:t xml:space="preserve">Para quaisquer</w:t>
      </w:r>
      <w:r>
        <w:t xml:space="preserve"> </w:t>
      </w:r>
      <m:oMath>
        <m:r>
          <m:rPr>
            <m:sty m:val="bi"/>
          </m:rPr>
          <m:t>x</m:t>
        </m:r>
        <m:r>
          <m:rPr>
            <m:sty m:val="p"/>
          </m:rPr>
          <m:t>,</m:t>
        </m:r>
        <m:r>
          <m:rPr>
            <m:sty m:val="bi"/>
          </m:rPr>
          <m:t>y</m:t>
        </m:r>
        <m:r>
          <m:rPr>
            <m:sty m:val="p"/>
          </m:rPr>
          <m:t>,</m:t>
        </m:r>
        <m:r>
          <m:rPr>
            <m:sty m:val="bi"/>
          </m:rPr>
          <m:t>z</m:t>
        </m:r>
        <m:r>
          <m:rPr>
            <m:sty m:val="p"/>
          </m:rPr>
          <m:t>∈</m:t>
        </m:r>
        <m:r>
          <m:t>X</m:t>
        </m:r>
      </m:oMath>
      <w:r>
        <w:t xml:space="preserve">, se</w:t>
      </w:r>
      <w:r>
        <w:t xml:space="preserve"> </w:t>
      </w:r>
      <m:oMath>
        <m:r>
          <m:rPr>
            <m:sty m:val="bi"/>
          </m:rPr>
          <m:t>x</m:t>
        </m:r>
        <m:r>
          <m:rPr>
            <m:sty m:val="p"/>
          </m:rPr>
          <m:t>≿</m:t>
        </m:r>
        <m:r>
          <m:rPr>
            <m:sty m:val="bi"/>
          </m:rPr>
          <m:t>y</m:t>
        </m:r>
      </m:oMath>
      <w:r>
        <w:t xml:space="preserve"> </w:t>
      </w:r>
      <w:r>
        <w:t xml:space="preserve">e</w:t>
      </w:r>
      <w:r>
        <w:t xml:space="preserve"> </w:t>
      </w:r>
      <m:oMath>
        <m:r>
          <m:rPr>
            <m:sty m:val="bi"/>
          </m:rPr>
          <m:t>y</m:t>
        </m:r>
        <m:r>
          <m:rPr>
            <m:sty m:val="p"/>
          </m:rPr>
          <m:t>≿</m:t>
        </m:r>
        <m:r>
          <m:rPr>
            <m:sty m:val="bi"/>
          </m:rPr>
          <m:t>z</m:t>
        </m:r>
      </m:oMath>
      <w:r>
        <w:t xml:space="preserve">, então</w:t>
      </w:r>
      <w:r>
        <w:t xml:space="preserve"> </w:t>
      </w:r>
      <m:oMath>
        <m:r>
          <m:rPr>
            <m:sty m:val="bi"/>
          </m:rPr>
          <m:t>x</m:t>
        </m:r>
        <m:r>
          <m:rPr>
            <m:sty m:val="p"/>
          </m:rPr>
          <m:t>≿</m:t>
        </m:r>
        <m:r>
          <m:rPr>
            <m:sty m:val="bi"/>
          </m:rPr>
          <m:t>z</m:t>
        </m:r>
      </m:oMath>
      <w:r>
        <w:t xml:space="preserve">. A transitividade garante consistência interna nas escolhas.</w:t>
      </w:r>
    </w:p>
    <w:p>
      <w:pPr>
        <w:pStyle w:val="BlockText"/>
      </w:pPr>
      <w:r>
        <w:rPr>
          <w:b/>
          <w:bCs/>
        </w:rPr>
        <w:t xml:space="preserve">[DEFINICAO] Axioma 3 — Continuidade</w:t>
      </w:r>
    </w:p>
    <w:p>
      <w:pPr>
        <w:pStyle w:val="BlockText"/>
      </w:pPr>
      <w:r>
        <w:t xml:space="preserve">Para todo</w:t>
      </w:r>
      <w:r>
        <w:t xml:space="preserve"> </w:t>
      </w:r>
      <m:oMath>
        <m:r>
          <m:rPr>
            <m:sty m:val="bi"/>
          </m:rPr>
          <m:t>y</m:t>
        </m:r>
        <m:r>
          <m:rPr>
            <m:sty m:val="p"/>
          </m:rPr>
          <m:t>∈</m:t>
        </m:r>
        <m:r>
          <m:t>X</m:t>
        </m:r>
      </m:oMath>
      <w:r>
        <w:t xml:space="preserve">, os conjuntos</w:t>
      </w:r>
      <w:r>
        <w:t xml:space="preserve"> </w:t>
      </w:r>
      <m:oMath>
        <m:r>
          <m:rPr>
            <m:sty m:val="p"/>
          </m:rPr>
          <m:t>{</m:t>
        </m:r>
        <m:r>
          <m:rPr>
            <m:sty m:val="bi"/>
          </m:rPr>
          <m:t>x</m:t>
        </m:r>
        <m:r>
          <m:rPr>
            <m:sty m:val="p"/>
          </m:rPr>
          <m:t>∈</m:t>
        </m:r>
        <m:r>
          <m:t>X</m:t>
        </m:r>
        <m:r>
          <m:rPr>
            <m:sty m:val="p"/>
          </m:rPr>
          <m:t>:</m:t>
        </m:r>
        <m:r>
          <m:rPr>
            <m:sty m:val="bi"/>
          </m:rPr>
          <m:t>x</m:t>
        </m:r>
        <m:r>
          <m:rPr>
            <m:sty m:val="p"/>
          </m:rPr>
          <m:t>≿</m:t>
        </m:r>
        <m:r>
          <m:rPr>
            <m:sty m:val="bi"/>
          </m:rPr>
          <m:t>y</m:t>
        </m:r>
        <m:r>
          <m:rPr>
            <m:sty m:val="p"/>
          </m:rPr>
          <m:t>}</m:t>
        </m:r>
      </m:oMath>
      <w:r>
        <w:t xml:space="preserve"> </w:t>
      </w:r>
      <w:r>
        <w:t xml:space="preserve">(conjunto de pelo menos tão bom quanto) e</w:t>
      </w:r>
      <w:r>
        <w:t xml:space="preserve"> </w:t>
      </w:r>
      <m:oMath>
        <m:r>
          <m:rPr>
            <m:sty m:val="p"/>
          </m:rPr>
          <m:t>{</m:t>
        </m:r>
        <m:r>
          <m:rPr>
            <m:sty m:val="bi"/>
          </m:rPr>
          <m:t>x</m:t>
        </m:r>
        <m:r>
          <m:rPr>
            <m:sty m:val="p"/>
          </m:rPr>
          <m:t>∈</m:t>
        </m:r>
        <m:r>
          <m:t>X</m:t>
        </m:r>
        <m:r>
          <m:rPr>
            <m:sty m:val="p"/>
          </m:rPr>
          <m:t>:</m:t>
        </m:r>
        <m:r>
          <m:rPr>
            <m:sty m:val="bi"/>
          </m:rPr>
          <m:t>y</m:t>
        </m:r>
        <m:r>
          <m:rPr>
            <m:sty m:val="p"/>
          </m:rPr>
          <m:t>≿</m:t>
        </m:r>
        <m:r>
          <m:rPr>
            <m:sty m:val="bi"/>
          </m:rPr>
          <m:t>x</m:t>
        </m:r>
        <m:r>
          <m:rPr>
            <m:sty m:val="p"/>
          </m:rPr>
          <m:t>}</m:t>
        </m:r>
      </m:oMath>
      <w:r>
        <w:t xml:space="preserve"> </w:t>
      </w:r>
      <w:r>
        <w:t xml:space="preserve">(conjunto de no máximo tão bom quanto) são fechados. A continuidade exclui</w:t>
      </w:r>
      <w:r>
        <w:t xml:space="preserve"> </w:t>
      </w:r>
      <w:r>
        <w:t xml:space="preserve">“saltos”</w:t>
      </w:r>
      <w:r>
        <w:t xml:space="preserve"> </w:t>
      </w:r>
      <w:r>
        <w:t xml:space="preserve">nas preferências — pequenas mudanças na cesta não causam inversões bruscas no ordenamento.</w:t>
      </w:r>
    </w:p>
    <w:p>
      <w:pPr>
        <w:pStyle w:val="BlockText"/>
      </w:pPr>
      <w:r>
        <w:rPr>
          <w:b/>
          <w:bCs/>
        </w:rPr>
        <w:t xml:space="preserve">[DEFINICAO] Axioma 4 — Monotonicidade (não saciedade local)</w:t>
      </w:r>
    </w:p>
    <w:p>
      <w:pPr>
        <w:pStyle w:val="BlockText"/>
      </w:pPr>
      <w:r>
        <w:t xml:space="preserve">Se</w:t>
      </w:r>
      <w:r>
        <w:t xml:space="preserve"> </w:t>
      </w:r>
      <m:oMath>
        <m:r>
          <m:rPr>
            <m:sty m:val="bi"/>
          </m:rPr>
          <m:t>x</m:t>
        </m:r>
        <m:r>
          <m:rPr>
            <m:sty m:val="p"/>
          </m:rPr>
          <m:t>≥</m:t>
        </m:r>
        <m:r>
          <m:rPr>
            <m:sty m:val="bi"/>
          </m:rPr>
          <m:t>y</m:t>
        </m:r>
      </m:oMath>
      <w:r>
        <w:t xml:space="preserve"> </w:t>
      </w:r>
      <w:r>
        <w:t xml:space="preserve">(componente a componente) e</w:t>
      </w:r>
      <w:r>
        <w:t xml:space="preserve"> </w:t>
      </w:r>
      <m:oMath>
        <m:r>
          <m:rPr>
            <m:sty m:val="bi"/>
          </m:rPr>
          <m:t>x</m:t>
        </m:r>
        <m:r>
          <m:rPr>
            <m:sty m:val="p"/>
          </m:rPr>
          <m:t>≠</m:t>
        </m:r>
        <m:r>
          <m:rPr>
            <m:sty m:val="bi"/>
          </m:rPr>
          <m:t>y</m:t>
        </m:r>
      </m:oMath>
      <w:r>
        <w:t xml:space="preserve">, então</w:t>
      </w:r>
      <w:r>
        <w:t xml:space="preserve"> </w:t>
      </w:r>
      <m:oMath>
        <m:r>
          <m:rPr>
            <m:sty m:val="bi"/>
          </m:rPr>
          <m:t>x</m:t>
        </m:r>
        <m:r>
          <m:rPr>
            <m:sty m:val="p"/>
          </m:rPr>
          <m:t>≻</m:t>
        </m:r>
        <m:r>
          <m:rPr>
            <m:sty m:val="bi"/>
          </m:rPr>
          <m:t>y</m:t>
        </m:r>
      </m:oMath>
      <w:r>
        <w:t xml:space="preserve">.</w:t>
      </w:r>
      <w:r>
        <w:t xml:space="preserve"> </w:t>
      </w:r>
      <w:r>
        <w:t xml:space="preserve">“Mais é melhor”</w:t>
      </w:r>
      <w:r>
        <w:t xml:space="preserve"> </w:t>
      </w:r>
      <w:r>
        <w:t xml:space="preserve">— o consumidor sempre prefere ter mais de pelo menos um bem, tudo o mais constante.</w:t>
      </w:r>
    </w:p>
    <w:p>
      <w:pPr>
        <w:pStyle w:val="FirstParagraph"/>
      </w:pPr>
      <w:r>
        <w:t xml:space="preserve">Uma nota de precaução que desenvolveremos na próxima seção: a função de utilidade que construiremos será</w:t>
      </w:r>
      <w:r>
        <w:t xml:space="preserve"> </w:t>
      </w:r>
      <w:r>
        <w:rPr>
          <w:i/>
          <w:iCs/>
        </w:rPr>
        <w:t xml:space="preserve">ordinal</w:t>
      </w:r>
      <w:r>
        <w:t xml:space="preserve"> </w:t>
      </w:r>
      <w:r>
        <w:t xml:space="preserve">— os números que ela atribui importam apenas pela ordem, não pela magnitude. Dizer que</w:t>
      </w:r>
      <w:r>
        <w:t xml:space="preserve"> </w:t>
      </w:r>
      <m:oMath>
        <m:r>
          <m:t>u</m:t>
        </m:r>
        <m:r>
          <m:rPr>
            <m:sty m:val="p"/>
          </m:rPr>
          <m:t>(</m:t>
        </m:r>
        <m:r>
          <m:t>A</m:t>
        </m:r>
        <m:r>
          <m:rPr>
            <m:sty m:val="p"/>
          </m:rPr>
          <m:t>)</m:t>
        </m:r>
        <m:r>
          <m:rPr>
            <m:sty m:val="p"/>
          </m:rPr>
          <m:t>=</m:t>
        </m:r>
        <m:r>
          <m:t>10</m:t>
        </m:r>
      </m:oMath>
      <w:r>
        <w:t xml:space="preserve"> </w:t>
      </w:r>
      <w:r>
        <w:t xml:space="preserve">e</w:t>
      </w:r>
      <w:r>
        <w:t xml:space="preserve"> </w:t>
      </w:r>
      <m:oMath>
        <m:r>
          <m:t>u</m:t>
        </m:r>
        <m:r>
          <m:rPr>
            <m:sty m:val="p"/>
          </m:rPr>
          <m:t>(</m:t>
        </m:r>
        <m:r>
          <m:t>B</m:t>
        </m:r>
        <m:r>
          <m:rPr>
            <m:sty m:val="p"/>
          </m:rPr>
          <m:t>)</m:t>
        </m:r>
        <m:r>
          <m:rPr>
            <m:sty m:val="p"/>
          </m:rPr>
          <m:t>=</m:t>
        </m:r>
        <m:r>
          <m:t>5</m:t>
        </m:r>
      </m:oMath>
      <w:r>
        <w:t xml:space="preserve"> </w:t>
      </w:r>
      <w:r>
        <w:t xml:space="preserve">significa que A é preferido a B, não que A é</w:t>
      </w:r>
      <w:r>
        <w:t xml:space="preserve"> </w:t>
      </w:r>
      <w:r>
        <w:t xml:space="preserve">“duas vezes melhor”</w:t>
      </w:r>
      <w:r>
        <w:t xml:space="preserve">.</w:t>
      </w:r>
    </w:p>
    <w:p>
      <w:pPr>
        <w:pStyle w:val="BlockText"/>
      </w:pPr>
      <w:r>
        <w:rPr>
          <w:b/>
          <w:bCs/>
        </w:rPr>
        <w:t xml:space="preserve">[DICA] Observação sobre preferências lexicográficas</w:t>
      </w:r>
    </w:p>
    <w:p>
      <w:pPr>
        <w:pStyle w:val="BlockText"/>
      </w:pPr>
      <w:r>
        <w:t xml:space="preserve">As preferências lexicográficas satisfazem completude, transitividade e monotonicidade, mas</w:t>
      </w:r>
      <w:r>
        <w:t xml:space="preserve"> </w:t>
      </w:r>
      <w:r>
        <w:rPr>
          <w:b/>
          <w:bCs/>
        </w:rPr>
        <w:t xml:space="preserve">não</w:t>
      </w:r>
      <w:r>
        <w:t xml:space="preserve"> </w:t>
      </w:r>
      <w:r>
        <w:t xml:space="preserve">satisfazem continuidade. Por isso, não podem ser representadas por uma função de utilidade contínua. Este é um caso clássico que ilustra a importância do axioma de continuidade.</w:t>
      </w:r>
    </w:p>
    <w:p>
      <w:pPr>
        <w:pStyle w:val="BlockText"/>
      </w:pPr>
      <w:r>
        <w:rPr>
          <w:b/>
          <w:bCs/>
        </w:rPr>
        <w:t xml:space="preserve">[INFORMACAO] Exemplo — Racionalidade nas escolhas de consumo no Brasil</w:t>
      </w:r>
    </w:p>
    <w:p>
      <w:pPr>
        <w:pStyle w:val="BlockText"/>
      </w:pPr>
      <w:r>
        <w:t xml:space="preserve">Os axiomas de completude e transitividade podem parecer abstratos, mas refletem exigências mínimas de consistência nas escolhas cotidianas. A Pesquisa de Orçamentos Familiares (POF 2017-2018) do</w:t>
      </w:r>
      <w:r>
        <w:t xml:space="preserve"> </w:t>
      </w:r>
      <w:hyperlink r:id="rId35">
        <w:r>
          <w:rPr>
            <w:rStyle w:val="Hyperlink"/>
          </w:rPr>
          <w:t xml:space="preserve">IBGE</w:t>
        </w:r>
      </w:hyperlink>
      <w:r>
        <w:t xml:space="preserve"> </w:t>
      </w:r>
      <w:r>
        <w:t xml:space="preserve">mostra que famílias brasileiras, mesmo as de baixa renda, alocam seus orçamentos de forma estável e internamente consistente: quando a renda aumenta, a participação relativa da alimentação cai de maneira suave e previsível (de 22% para famílias com renda até R$ 1.908 a 7,6% para famílias acima de R$ 23.850). Essa regularidade empírica é compatível com preferências que satisfazem os axiomas acima — especialmente transitividade e monotonicidade — e justifica o uso do arcabouço axiomático como ponto de partida para modelar o consumidor.</w:t>
      </w:r>
    </w:p>
    <w:p>
      <w:pPr>
        <w:pStyle w:val="BlockText"/>
      </w:pPr>
      <w:r>
        <w:rPr>
          <w:b/>
          <w:bCs/>
        </w:rPr>
        <w:t xml:space="preserve">[INTUICAO ECONOMICA] Intuição Econômica</w:t>
      </w:r>
    </w:p>
    <w:p>
      <w:pPr>
        <w:pStyle w:val="BlockText"/>
      </w:pPr>
      <w:r>
        <w:rPr>
          <w:b/>
          <w:bCs/>
        </w:rPr>
        <w:t xml:space="preserve">Em uma frase:</w:t>
      </w:r>
      <w:r>
        <w:t xml:space="preserve"> </w:t>
      </w:r>
      <w:r>
        <w:t xml:space="preserve">Os axiomas de preferência são apenas regras mínimas de coerência — exigem que o consumidor saiba comparar opções e não se contradiga.</w:t>
      </w:r>
    </w:p>
    <w:p>
      <w:pPr>
        <w:pStyle w:val="BlockText"/>
      </w:pPr>
      <w:r>
        <w:rPr>
          <w:b/>
          <w:bCs/>
        </w:rPr>
        <w:t xml:space="preserve">Pense assim:</w:t>
      </w:r>
      <w:r>
        <w:t xml:space="preserve"> </w:t>
      </w:r>
      <w:r>
        <w:t xml:space="preserve">Quando você vai à feira e decide que prefere banana a maçã, e maçã a pera, seria estranho voltar e dizer que prefere pera a banana. Completude é conseguir comparar qualquer par de frutas; transitividade é não entrar em contradição. A monotonicidade diz que, entre dois sacos de frutas, você prefere o maior — desde que goste de todas.</w:t>
      </w:r>
    </w:p>
    <w:p>
      <w:pPr>
        <w:pStyle w:val="BlockText"/>
      </w:pPr>
      <w:r>
        <w:rPr>
          <w:b/>
          <w:bCs/>
        </w:rPr>
        <w:t xml:space="preserve">Por que isso importa:</w:t>
      </w:r>
      <w:r>
        <w:t xml:space="preserve"> </w:t>
      </w:r>
      <w:r>
        <w:t xml:space="preserve">Sem essas regras mínimas, não seria possível prever o comportamento do consumidor nem formular políticas públicas baseadas em escolhas racionais.</w:t>
      </w:r>
    </w:p>
    <w:p>
      <w:pPr>
        <w:pStyle w:val="BlockText"/>
      </w:pPr>
      <w:r>
        <w:rPr>
          <w:b/>
          <w:bCs/>
        </w:rPr>
        <w:t xml:space="preserve">[NOTA] Conexão com a teoria da preferência revelada</w:t>
      </w:r>
    </w:p>
    <w:p>
      <w:pPr>
        <w:pStyle w:val="BlockText"/>
      </w:pPr>
      <w:r>
        <w:t xml:space="preserve">Os axiomas sobre</w:t>
      </w:r>
      <w:r>
        <w:t xml:space="preserve"> </w:t>
      </w:r>
      <m:oMath>
        <m:r>
          <m:rPr>
            <m:sty m:val="p"/>
          </m:rPr>
          <m:t>≿</m:t>
        </m:r>
      </m:oMath>
      <w:r>
        <w:t xml:space="preserve"> </w:t>
      </w:r>
      <w:r>
        <w:t xml:space="preserve">são postulados sobre preferências</w:t>
      </w:r>
      <w:r>
        <w:t xml:space="preserve"> </w:t>
      </w:r>
      <w:r>
        <w:rPr>
          <w:i/>
          <w:iCs/>
        </w:rPr>
        <w:t xml:space="preserve">internas</w:t>
      </w:r>
      <w:r>
        <w:t xml:space="preserve"> </w:t>
      </w:r>
      <w:r>
        <w:t xml:space="preserve">do consumidor — algo que, em princípio, não podemos observar diretamente. Existe, porém, uma contrapartida observacional: o</w:t>
      </w:r>
      <w:r>
        <w:t xml:space="preserve"> </w:t>
      </w:r>
      <w:r>
        <w:rPr>
          <w:b/>
          <w:bCs/>
        </w:rPr>
        <w:t xml:space="preserve">Axioma Generalizado da Preferência Revelada (GARP)</w:t>
      </w:r>
      <w:r>
        <w:t xml:space="preserve">, que traduz completude e transitividade em condições testáveis sobre</w:t>
      </w:r>
      <w:r>
        <w:t xml:space="preserve"> </w:t>
      </w:r>
      <w:r>
        <w:rPr>
          <w:i/>
          <w:iCs/>
        </w:rPr>
        <w:t xml:space="preserve">escolhas de consumo observadas</w:t>
      </w:r>
      <w:r>
        <w:t xml:space="preserve">. Se as compras de um consumidor satisfazem o GARP, seus dados são consistentes com a maximização de alguma função de utilidade bem comportada. Na seção</w:t>
      </w:r>
      <w:r>
        <w:t xml:space="preserve"> </w:t>
      </w:r>
      <w:r>
        <w:t xml:space="preserve">“Pesquisa em Ação”</w:t>
      </w:r>
      <w:r>
        <w:t xml:space="preserve"> </w:t>
      </w:r>
      <w:r>
        <w:t xml:space="preserve">ao final deste capítulo, o artigo de Choi et al. (2014) testa exatamente essa hipótese em uma amostra representativa — com resultados surpreendentes sobre a relação entre consistência das escolhas e acumulação de riqueza.</w:t>
      </w:r>
    </w:p>
    <w:p>
      <w:pPr>
        <w:pStyle w:val="FirstParagraph"/>
      </w:pPr>
      <w:r>
        <w:t xml:space="preserve">Antes de prosseguir para a função de utilidade, vale uma pausa para quem quer saber: esses axiomas funcionam na prática? O Box a seguir examina a evidência experimental — e a resposta é surpreendente.</w:t>
      </w:r>
    </w:p>
    <w:p>
      <w:pPr>
        <w:pStyle w:val="BlockText"/>
      </w:pPr>
      <w:r>
        <w:rPr>
          <w:b/>
          <w:bCs/>
        </w:rPr>
        <w:t xml:space="preserve">[BOX MUNDO] Box Mundo 3.1 — Violações de transitividade: os experimentos de Tversky e replicações internacionais</w:t>
      </w:r>
    </w:p>
    <w:p>
      <w:pPr>
        <w:pStyle w:val="BlockText"/>
      </w:pPr>
      <w:r>
        <w:rPr>
          <w:b/>
          <w:bCs/>
        </w:rPr>
        <w:t xml:space="preserve">Contexto:</w:t>
      </w:r>
      <w:r>
        <w:t xml:space="preserve"> </w:t>
      </w:r>
      <w:r>
        <w:t xml:space="preserve">O axioma da transitividade — se</w:t>
      </w:r>
      <w:r>
        <w:t xml:space="preserve"> </w:t>
      </w:r>
      <m:oMath>
        <m:r>
          <m:t>A</m:t>
        </m:r>
        <m:r>
          <m:rPr>
            <m:sty m:val="p"/>
          </m:rPr>
          <m:t>≿</m:t>
        </m:r>
        <m:r>
          <m:t>B</m:t>
        </m:r>
      </m:oMath>
      <w:r>
        <w:t xml:space="preserve"> </w:t>
      </w:r>
      <w:r>
        <w:t xml:space="preserve">e</w:t>
      </w:r>
      <w:r>
        <w:t xml:space="preserve"> </w:t>
      </w:r>
      <m:oMath>
        <m:r>
          <m:t>B</m:t>
        </m:r>
        <m:r>
          <m:rPr>
            <m:sty m:val="p"/>
          </m:rPr>
          <m:t>≿</m:t>
        </m:r>
        <m:r>
          <m:t>C</m:t>
        </m:r>
      </m:oMath>
      <w:r>
        <w:t xml:space="preserve">, então</w:t>
      </w:r>
      <w:r>
        <w:t xml:space="preserve"> </w:t>
      </w:r>
      <m:oMath>
        <m:r>
          <m:t>A</m:t>
        </m:r>
        <m:r>
          <m:rPr>
            <m:sty m:val="p"/>
          </m:rPr>
          <m:t>≿</m:t>
        </m:r>
        <m:r>
          <m:t>C</m:t>
        </m:r>
      </m:oMath>
      <w:r>
        <w:t xml:space="preserve"> </w:t>
      </w:r>
      <w:r>
        <w:t xml:space="preserve">— é um dos pilares da teoria da escolha racional. Sem ele, como discutido na Seção 3.1, não é possível construir uma função de utilidade que represente as preferências do consumidor. Porém, desde os anos 1960, psicólogos e economistas comportamentais têm documentado violações sistemáticas desse axioma em contextos experimentais. O trabalho mais influente é o de Amos Tversky (1969), que demonstrou que indivíduos frequentemente exibem preferências intransitivas quando as alternativas diferem em múltiplas dimensões e as diferenças em alguma dimensão são</w:t>
      </w:r>
      <w:r>
        <w:t xml:space="preserve"> </w:t>
      </w:r>
      <w:r>
        <w:t xml:space="preserve">“imperceptíveis”</w:t>
      </w:r>
      <w:r>
        <w:t xml:space="preserve">.</w:t>
      </w:r>
    </w:p>
    <w:p>
      <w:pPr>
        <w:pStyle w:val="BlockText"/>
      </w:pPr>
      <w:r>
        <w:rPr>
          <w:b/>
          <w:bCs/>
        </w:rPr>
        <w:t xml:space="preserve">Dados:</w:t>
      </w:r>
      <w:r>
        <w:t xml:space="preserve"> </w:t>
      </w:r>
      <w:r>
        <w:t xml:space="preserve">Tversky (1969) apresentou a participantes do experimento escolhas entre pares de apostas que variavam em probabilidade de ganho e valor do prêmio. Quando a diferença de probabilidades entre duas apostas era pequena (por exemplo, 7/24 vs. 8/24), os participantes tendiam a escolher a aposta com prêmio maior — mas quando confrontados com comparações entre extremos da cadeia, a probabilidade dominava, gerando ciclos de intransitividade. A taxa de intransitividade observada chegou a 17% das tríades de escolha. Estudos subsequentes replicaram o fenômeno em diversos contextos e culturas: Regenwetter et al. (2011) conduziram meta-análises com dados de laboratórios nos EUA, Europa e Ásia e encontraram que, embora a frequência de intransitividade varie entre populações (de 5% a 25% das tríades), o padrão é robusto e não desaparece com incentivos monetários reais. Na Alemanha, Birnbaum e Schmidt (2015) replicaram o resultado com mais de 400 participantes e diferentes tipos de loterias.</w:t>
      </w:r>
    </w:p>
    <w:p>
      <w:pPr>
        <w:pStyle w:val="BlockText"/>
      </w:pPr>
      <w:r>
        <w:rPr>
          <w:b/>
          <w:bCs/>
        </w:rPr>
        <w:t xml:space="preserve">Análise:</w:t>
      </w:r>
      <w:r>
        <w:t xml:space="preserve"> </w:t>
      </w:r>
      <w:r>
        <w:t xml:space="preserve">Essas violações não invalidam a teoria da escolha racional, mas delimitam seu domínio de aplicação — uma questão central para a verificação de modelos (Capítulo 1). A resposta da teoria econômica tem sido dupla. Primeiro, modelos de utilidade aleatória (</w:t>
      </w:r>
      <w:r>
        <w:rPr>
          <w:i/>
          <w:iCs/>
        </w:rPr>
        <w:t xml:space="preserve">random utility</w:t>
      </w:r>
      <w:r>
        <w:t xml:space="preserve">), como o de McFadden (1974, Nobel 2000), incorporam um componente estocástico que pode gerar intransitividade aparente mesmo quando as preferências subjacentes são transitivas — as violações refletem</w:t>
      </w:r>
      <w:r>
        <w:t xml:space="preserve"> </w:t>
      </w:r>
      <w:r>
        <w:t xml:space="preserve">“erros”</w:t>
      </w:r>
      <w:r>
        <w:t xml:space="preserve"> </w:t>
      </w:r>
      <w:r>
        <w:t xml:space="preserve">de percepção, não preferências genuinamente cíclicas. Segundo, a economia comportamental desenvolveu modelos alternativos, como a</w:t>
      </w:r>
      <w:r>
        <w:t xml:space="preserve"> </w:t>
      </w:r>
      <w:r>
        <w:rPr>
          <w:i/>
          <w:iCs/>
        </w:rPr>
        <w:t xml:space="preserve">regret theory</w:t>
      </w:r>
      <w:r>
        <w:t xml:space="preserve"> </w:t>
      </w:r>
      <w:r>
        <w:t xml:space="preserve">de Loomes e Sugden (1982), que relaxam a transitividade mantendo outras propriedades. Do ponto de vista prático, a evidência sugere que a transitividade é uma aproximação excelente para decisões familiares e repetidas, mas pode falhar em escolhas complexas e não habituais — exatamente a distinção entre modelos descritivos e normativos que permeia todo este livro.</w:t>
      </w:r>
    </w:p>
    <w:p>
      <w:pPr>
        <w:pStyle w:val="BlockText"/>
      </w:pPr>
      <w:r>
        <w:rPr>
          <w:b/>
          <w:bCs/>
        </w:rPr>
        <w:t xml:space="preserve">Fonte:</w:t>
      </w:r>
      <w:r>
        <w:t xml:space="preserve"> </w:t>
      </w:r>
      <w:r>
        <w:t xml:space="preserve">Tversky, A. (1969). Intransitivity of preferences.</w:t>
      </w:r>
      <w:r>
        <w:t xml:space="preserve"> </w:t>
      </w:r>
      <w:r>
        <w:rPr>
          <w:i/>
          <w:iCs/>
        </w:rPr>
        <w:t xml:space="preserve">Psychological Review</w:t>
      </w:r>
      <w:r>
        <w:t xml:space="preserve">, 76(1), 31–48. Regenwetter, M.; Dana, J.; Davis-Stober, C. P. (2011). Transitivity of preferences.</w:t>
      </w:r>
      <w:r>
        <w:t xml:space="preserve"> </w:t>
      </w:r>
      <w:r>
        <w:rPr>
          <w:i/>
          <w:iCs/>
        </w:rPr>
        <w:t xml:space="preserve">Psychological Review</w:t>
      </w:r>
      <w:r>
        <w:t xml:space="preserve">, 118(1), 42–56. Birnbaum, M. H.; Schmidt, U. (2015). Testing transitivity in choice under risk.</w:t>
      </w:r>
      <w:r>
        <w:t xml:space="preserve"> </w:t>
      </w:r>
      <w:r>
        <w:rPr>
          <w:i/>
          <w:iCs/>
        </w:rPr>
        <w:t xml:space="preserve">Theory and Decision</w:t>
      </w:r>
      <w:r>
        <w:t xml:space="preserve">, 79(4), 631–660.</w:t>
      </w:r>
    </w:p>
    <w:p>
      <w:pPr>
        <w:pStyle w:val="FirstParagraph"/>
      </w:pPr>
      <w:r>
        <w:t xml:space="preserve">Com essa ressalva empírica em mente — os axiomas são uma excelente aproximação para decisões cotidianas, mas podem falhar em escolhas complexas —, prossigamos para a recompensa teórica: a função de utilidade.</w:t>
      </w:r>
    </w:p>
    <w:p>
      <w:r>
        <w:pict>
          <v:rect style="width:0;height:1.5pt" o:hralign="center" o:hrstd="t" o:hr="t"/>
        </w:pict>
      </w:r>
    </w:p>
    <w:bookmarkEnd w:id="151"/>
    <w:bookmarkStart w:id="152" w:name="do-prefiro-ao-número-função-de-utilidade"/>
    <w:p>
      <w:pPr>
        <w:pStyle w:val="Heading3"/>
      </w:pPr>
      <w:r>
        <w:t xml:space="preserve">3.2 Do</w:t>
      </w:r>
      <w:r>
        <w:t xml:space="preserve"> </w:t>
      </w:r>
      <w:r>
        <w:t xml:space="preserve">“Prefiro”</w:t>
      </w:r>
      <w:r>
        <w:t xml:space="preserve"> </w:t>
      </w:r>
      <w:r>
        <w:t xml:space="preserve">ao Número: Função de Utilidade</w:t>
      </w:r>
    </w:p>
    <w:p>
      <w:pPr>
        <w:pStyle w:val="FirstParagraph"/>
      </w:pPr>
      <w:r>
        <w:t xml:space="preserve">Ótimo: o consumidor é coerente, prefere mais a menos e não dá saltos. Mas como</w:t>
      </w:r>
      <w:r>
        <w:t xml:space="preserve"> </w:t>
      </w:r>
      <w:r>
        <w:rPr>
          <w:i/>
          <w:iCs/>
        </w:rPr>
        <w:t xml:space="preserve">usar</w:t>
      </w:r>
      <w:r>
        <w:t xml:space="preserve"> </w:t>
      </w:r>
      <w:r>
        <w:t xml:space="preserve">essas preferências para resolver um problema de otimização? Comparar cestas duas a duas, sem uma escala numérica, é como tentar navegar sem mapa — dá para fazer, mas é dolorosamente lento. O que precisamos é de uma</w:t>
      </w:r>
      <w:r>
        <w:t xml:space="preserve"> </w:t>
      </w:r>
      <w:r>
        <w:rPr>
          <w:b/>
          <w:bCs/>
        </w:rPr>
        <w:t xml:space="preserve">função</w:t>
      </w:r>
      <w:r>
        <w:t xml:space="preserve"> </w:t>
      </w:r>
      <w:r>
        <w:t xml:space="preserve">que atribua um número a cada cesta, de modo que cestas melhores recebam números maiores. Se tivermos isso, todo o arsenal do Capítulo 2 — derivadas, Lagrange, condições de ótimo — entra em campo.</w:t>
      </w:r>
    </w:p>
    <w:p>
      <w:pPr>
        <w:pStyle w:val="BodyText"/>
      </w:pPr>
      <w:r>
        <w:t xml:space="preserve">A pergunta, portanto, é: podemos traduzir a relação de preferência</w:t>
      </w:r>
      <w:r>
        <w:t xml:space="preserve"> </w:t>
      </w:r>
      <m:oMath>
        <m:r>
          <m:rPr>
            <m:sty m:val="p"/>
          </m:rPr>
          <m:t>≿</m:t>
        </m:r>
      </m:oMath>
      <w:r>
        <w:t xml:space="preserve"> </w:t>
      </w:r>
      <w:r>
        <w:t xml:space="preserve">em uma</w:t>
      </w:r>
      <w:r>
        <w:t xml:space="preserve"> </w:t>
      </w:r>
      <w:r>
        <w:rPr>
          <w:b/>
          <w:bCs/>
        </w:rPr>
        <w:t xml:space="preserve">função de utilidade</w:t>
      </w:r>
      <w:r>
        <w:t xml:space="preserve"> </w:t>
      </w:r>
      <m:oMath>
        <m:r>
          <m:t>u</m:t>
        </m:r>
        <m:r>
          <m:rPr>
            <m:sty m:val="p"/>
          </m:rPr>
          <m:t>:</m:t>
        </m:r>
        <m:r>
          <m:t>X</m:t>
        </m:r>
        <m:r>
          <m:rPr>
            <m:sty m:val="p"/>
          </m:rPr>
          <m:t>→</m:t>
        </m:r>
        <m:r>
          <m:rPr>
            <m:scr m:val="double-struck"/>
            <m:sty m:val="p"/>
          </m:rPr>
          <m:t>R</m:t>
        </m:r>
      </m:oMath>
      <w:r>
        <w:t xml:space="preserve">? A resposta é sim — e é exatamente para isso que precisávamos dos axiomas. A passagem de</w:t>
      </w:r>
      <w:r>
        <w:t xml:space="preserve"> </w:t>
      </w:r>
      <w:r>
        <w:t xml:space="preserve">“eu prefiro A a B”</w:t>
      </w:r>
      <w:r>
        <w:t xml:space="preserve"> </w:t>
      </w:r>
      <w:r>
        <w:t xml:space="preserve">para</w:t>
      </w:r>
      <w:r>
        <w:t xml:space="preserve"> </w:t>
      </w:r>
      <w:r>
        <w:t xml:space="preserve">“</w:t>
      </w:r>
      <m:oMath>
        <m:r>
          <m:t>u</m:t>
        </m:r>
        <m:r>
          <m:rPr>
            <m:sty m:val="p"/>
          </m:rPr>
          <m:t>(</m:t>
        </m:r>
        <m:r>
          <m:t>A</m:t>
        </m:r>
        <m:r>
          <m:rPr>
            <m:sty m:val="p"/>
          </m:rPr>
          <m:t>)</m:t>
        </m:r>
        <m:r>
          <m:rPr>
            <m:sty m:val="p"/>
          </m:rPr>
          <m:t>&gt;</m:t>
        </m:r>
        <m:r>
          <m:t>u</m:t>
        </m:r>
        <m:r>
          <m:rPr>
            <m:sty m:val="p"/>
          </m:rPr>
          <m:t>(</m:t>
        </m:r>
        <m:r>
          <m:t>B</m:t>
        </m:r>
        <m:r>
          <m:rPr>
            <m:sty m:val="p"/>
          </m:rPr>
          <m:t>)</m:t>
        </m:r>
      </m:oMath>
      <w:r>
        <w:t xml:space="preserve">”</w:t>
      </w:r>
      <w:r>
        <w:t xml:space="preserve"> </w:t>
      </w:r>
      <w:r>
        <w:t xml:space="preserve">é o passe de mágica que transforma a microeconomia de uma disciplina verbal em uma ciência analítica.</w:t>
      </w:r>
    </w:p>
    <w:p>
      <w:pPr>
        <w:pStyle w:val="BodyText"/>
      </w:pPr>
      <w:r>
        <w:t xml:space="preserve">A definição formal de representação é a seguinte. Uma</w:t>
      </w:r>
      <w:r>
        <w:t xml:space="preserve"> </w:t>
      </w:r>
      <w:r>
        <w:rPr>
          <w:b/>
          <w:bCs/>
        </w:rPr>
        <w:t xml:space="preserve">função de utilidade</w:t>
      </w:r>
      <w:r>
        <w:t xml:space="preserve"> </w:t>
      </w:r>
      <m:oMath>
        <m:r>
          <m:t>u</m:t>
        </m:r>
        <m:r>
          <m:rPr>
            <m:sty m:val="p"/>
          </m:rPr>
          <m:t>:</m:t>
        </m:r>
        <m:r>
          <m:t>X</m:t>
        </m:r>
        <m:r>
          <m:rPr>
            <m:sty m:val="p"/>
          </m:rPr>
          <m:t>→</m:t>
        </m:r>
        <m:r>
          <m:rPr>
            <m:scr m:val="double-struck"/>
            <m:sty m:val="p"/>
          </m:rPr>
          <m:t>R</m:t>
        </m:r>
      </m:oMath>
      <w:r>
        <w:t xml:space="preserve"> </w:t>
      </w:r>
      <w:r>
        <w:rPr>
          <w:b/>
          <w:bCs/>
        </w:rPr>
        <w:t xml:space="preserve">representa</w:t>
      </w:r>
      <w:r>
        <w:t xml:space="preserve"> </w:t>
      </w:r>
      <w:r>
        <w:t xml:space="preserve">a relação de preferência</w:t>
      </w:r>
      <w:r>
        <w:t xml:space="preserve"> </w:t>
      </w:r>
      <m:oMath>
        <m:r>
          <m:rPr>
            <m:sty m:val="p"/>
          </m:rPr>
          <m:t>≿</m:t>
        </m:r>
      </m:oMath>
      <w:r>
        <w:t xml:space="preserve"> </w:t>
      </w:r>
      <w:r>
        <w:t xml:space="preserve">se, para todo</w:t>
      </w:r>
      <w:r>
        <w:t xml:space="preserve"> </w:t>
      </w:r>
      <m:oMath>
        <m:r>
          <m:rPr>
            <m:sty m:val="bi"/>
          </m:rPr>
          <m:t>x</m:t>
        </m:r>
        <m:r>
          <m:rPr>
            <m:sty m:val="p"/>
          </m:rPr>
          <m:t>,</m:t>
        </m:r>
        <m:r>
          <m:rPr>
            <m:sty m:val="bi"/>
          </m:rPr>
          <m:t>y</m:t>
        </m:r>
        <m:r>
          <m:rPr>
            <m:sty m:val="p"/>
          </m:rPr>
          <m:t>∈</m:t>
        </m:r>
        <m:r>
          <m:t>X</m:t>
        </m:r>
      </m:oMath>
      <w:r>
        <w:t xml:space="preserve">:</w:t>
      </w:r>
    </w:p>
    <w:p>
      <w:pPr>
        <w:pStyle w:val="BodyText"/>
      </w:pPr>
      <m:oMathPara>
        <m:oMathParaPr>
          <m:jc m:val="center"/>
        </m:oMathParaPr>
        <m:oMath>
          <m:r>
            <m:rPr>
              <m:sty m:val="bi"/>
            </m:rPr>
            <m:t>x</m:t>
          </m:r>
          <m:r>
            <m:rPr>
              <m:sty m:val="p"/>
            </m:rPr>
            <m:t>≿</m:t>
          </m:r>
          <m:r>
            <m:rPr>
              <m:sty m:val="bi"/>
            </m:rPr>
            <m:t>y</m:t>
          </m:r>
          <m:r>
            <m:rPr>
              <m:sty m:val="p"/>
            </m:rPr>
            <m:t>⇔</m:t>
          </m:r>
          <m:r>
            <m:t>u</m:t>
          </m:r>
          <m:r>
            <m:rPr>
              <m:sty m:val="p"/>
            </m:rPr>
            <m:t>(</m:t>
          </m:r>
          <m:r>
            <m:rPr>
              <m:sty m:val="bi"/>
            </m:rPr>
            <m:t>x</m:t>
          </m:r>
          <m:r>
            <m:rPr>
              <m:sty m:val="p"/>
            </m:rPr>
            <m:t>)</m:t>
          </m:r>
          <m:r>
            <m:rPr>
              <m:sty m:val="p"/>
            </m:rPr>
            <m:t>≥</m:t>
          </m:r>
          <m:r>
            <m:t>u</m:t>
          </m:r>
          <m:r>
            <m:rPr>
              <m:sty m:val="p"/>
            </m:rPr>
            <m:t>(</m:t>
          </m:r>
          <m:r>
            <m:rPr>
              <m:sty m:val="bi"/>
            </m:rPr>
            <m:t>y</m:t>
          </m:r>
          <m:r>
            <m:rPr>
              <m:sty m:val="p"/>
            </m:rPr>
            <m:t>)</m:t>
          </m:r>
          <m:r>
            <m:rPr>
              <m:sty m:val="p"/>
            </m:rPr>
            <m:t>.</m:t>
          </m:r>
        </m:oMath>
      </m:oMathPara>
    </w:p>
    <w:p>
      <w:pPr>
        <w:pStyle w:val="FirstParagraph"/>
      </w:pPr>
      <w:r>
        <w:t xml:space="preserve">A condição expressa na equação Eq. (eq:3.2.1) exige apenas que a função preserve o ordenamento das preferências — ela não atribui significado aos valores numéricos em si, apenas à sua ordenação relativa. A existência de tal função, contudo, não é trivial: não é para qualquer relação de preferência que conseguimos encontrar uma representação numérica. O teorema a seguir fornece condições suficientes e mostra que os axiomas da Seção 3.1 são exatamente o que precisamos para garantir essa representação.</w:t>
      </w:r>
    </w:p>
    <w:p>
      <w:pPr>
        <w:pStyle w:val="BlockText"/>
      </w:pPr>
      <w:r>
        <w:rPr>
          <w:b/>
          <w:bCs/>
        </w:rPr>
        <w:t xml:space="preserve">[TEOREMA] Teorema 3.1 — Existência da Função de Utilidade (Debreu, 1954)</w:t>
      </w:r>
    </w:p>
    <w:p>
      <w:pPr>
        <w:pStyle w:val="BlockText"/>
      </w:pPr>
      <w:r>
        <w:t xml:space="preserve">Se a relação de preferência</w:t>
      </w:r>
      <w:r>
        <w:t xml:space="preserve"> </w:t>
      </w:r>
      <m:oMath>
        <m:r>
          <m:rPr>
            <m:sty m:val="p"/>
          </m:rPr>
          <m:t>≿</m:t>
        </m:r>
      </m:oMath>
      <w:r>
        <w:t xml:space="preserve"> </w:t>
      </w:r>
      <w:r>
        <w:t xml:space="preserve">sobre</w:t>
      </w:r>
      <w:r>
        <w:t xml:space="preserve"> </w:t>
      </w:r>
      <m:oMath>
        <m:r>
          <m:t>X</m:t>
        </m:r>
        <m:r>
          <m:rPr>
            <m:sty m:val="p"/>
          </m:rPr>
          <m:t>⊆</m:t>
        </m:r>
        <m:sSubSup>
          <m:e>
            <m:r>
              <m:rPr>
                <m:scr m:val="double-struck"/>
                <m:sty m:val="p"/>
              </m:rPr>
              <m:t>R</m:t>
            </m:r>
          </m:e>
          <m:sub>
            <m:r>
              <m:rPr>
                <m:sty m:val="p"/>
              </m:rPr>
              <m:t>+</m:t>
            </m:r>
          </m:sub>
          <m:sup>
            <m:r>
              <m:t>n</m:t>
            </m:r>
          </m:sup>
        </m:sSubSup>
      </m:oMath>
      <w:r>
        <w:t xml:space="preserve"> </w:t>
      </w:r>
      <w:r>
        <w:t xml:space="preserve">é</w:t>
      </w:r>
      <w:r>
        <w:t xml:space="preserve"> </w:t>
      </w:r>
      <w:r>
        <w:rPr>
          <w:b/>
          <w:bCs/>
        </w:rPr>
        <w:t xml:space="preserve">completa</w:t>
      </w:r>
      <w:r>
        <w:t xml:space="preserve">,</w:t>
      </w:r>
      <w:r>
        <w:t xml:space="preserve"> </w:t>
      </w:r>
      <w:r>
        <w:rPr>
          <w:b/>
          <w:bCs/>
        </w:rPr>
        <w:t xml:space="preserve">transitiva</w:t>
      </w:r>
      <w:r>
        <w:t xml:space="preserve">,</w:t>
      </w:r>
      <w:r>
        <w:t xml:space="preserve"> </w:t>
      </w:r>
      <w:r>
        <w:rPr>
          <w:b/>
          <w:bCs/>
        </w:rPr>
        <w:t xml:space="preserve">contínua</w:t>
      </w:r>
      <w:r>
        <w:t xml:space="preserve"> </w:t>
      </w:r>
      <w:r>
        <w:t xml:space="preserve">e</w:t>
      </w:r>
      <w:r>
        <w:t xml:space="preserve"> </w:t>
      </w:r>
      <w:r>
        <w:rPr>
          <w:b/>
          <w:bCs/>
        </w:rPr>
        <w:t xml:space="preserve">monótona</w:t>
      </w:r>
      <w:r>
        <w:t xml:space="preserve">, então existe uma função de utilidade contínua</w:t>
      </w:r>
      <w:r>
        <w:t xml:space="preserve"> </w:t>
      </w:r>
      <m:oMath>
        <m:r>
          <m:t>u</m:t>
        </m:r>
        <m:r>
          <m:rPr>
            <m:sty m:val="p"/>
          </m:rPr>
          <m:t>:</m:t>
        </m:r>
        <m:r>
          <m:t>X</m:t>
        </m:r>
        <m:r>
          <m:rPr>
            <m:sty m:val="p"/>
          </m:rPr>
          <m:t>→</m:t>
        </m:r>
        <m:r>
          <m:rPr>
            <m:scr m:val="double-struck"/>
            <m:sty m:val="p"/>
          </m:rPr>
          <m:t>R</m:t>
        </m:r>
      </m:oMath>
      <w:r>
        <w:t xml:space="preserve"> </w:t>
      </w:r>
      <w:r>
        <w:t xml:space="preserve">que representa</w:t>
      </w:r>
      <w:r>
        <w:t xml:space="preserve"> </w:t>
      </w:r>
      <m:oMath>
        <m:r>
          <m:rPr>
            <m:sty m:val="p"/>
          </m:rPr>
          <m:t>≿</m:t>
        </m:r>
      </m:oMath>
      <w:r>
        <w:t xml:space="preserve">.</w:t>
      </w:r>
    </w:p>
    <w:p>
      <w:pPr>
        <w:pStyle w:val="BlockText"/>
      </w:pPr>
      <w:r>
        <w:rPr>
          <w:b/>
          <w:bCs/>
        </w:rPr>
        <w:t xml:space="preserve">[INFORMACAO] Prêmio Nobel — Gerard Debreu (1983)</w:t>
      </w:r>
    </w:p>
    <w:p>
      <w:pPr>
        <w:pStyle w:val="BlockText"/>
      </w:pPr>
      <w:r>
        <w:rPr>
          <w:b/>
          <w:bCs/>
        </w:rPr>
        <w:t xml:space="preserve">Gerard Debreu</w:t>
      </w:r>
      <w:r>
        <w:t xml:space="preserve"> </w:t>
      </w:r>
      <w:r>
        <w:t xml:space="preserve">(1921–2004) foi um economista e matemático franco-americano, formado pela École Normale Supérieure de Paris. Atuou na Cowles Commission e na Universidade da Califórnia, Berkeley.</w:t>
      </w:r>
    </w:p>
    <w:p>
      <w:pPr>
        <w:pStyle w:val="BlockText"/>
      </w:pPr>
      <w:r>
        <w:rPr>
          <w:b/>
          <w:bCs/>
        </w:rPr>
        <w:t xml:space="preserve">Por que ganhou o Nobel:</w:t>
      </w:r>
      <w:r>
        <w:t xml:space="preserve"> </w:t>
      </w:r>
      <w:r>
        <w:t xml:space="preserve">Premiado por sua contribuição à teoria do equilíbrio geral e por ter incorporado novos métodos analíticos à teoria econômica. Em</w:t>
      </w:r>
      <w:r>
        <w:t xml:space="preserve"> </w:t>
      </w:r>
      <w:r>
        <w:rPr>
          <w:i/>
          <w:iCs/>
        </w:rPr>
        <w:t xml:space="preserve">Theory of Value</w:t>
      </w:r>
      <w:r>
        <w:t xml:space="preserve"> </w:t>
      </w:r>
      <w:r>
        <w:t xml:space="preserve">(1959), Debreu forneceu uma axiomatização rigorosa da teoria do consumidor e demonstrou a existência de equilíbrio geral competitivo sob condições precisas. O Teorema 3.1 deste capítulo é uma de suas contribuições mais fundamentais.</w:t>
      </w:r>
    </w:p>
    <w:p>
      <w:pPr>
        <w:pStyle w:val="BlockText"/>
      </w:pPr>
      <w:r>
        <w:rPr>
          <w:b/>
          <w:bCs/>
        </w:rPr>
        <w:t xml:space="preserve">Conexão com este capítulo:</w:t>
      </w:r>
      <w:r>
        <w:t xml:space="preserve"> </w:t>
      </w:r>
      <w:r>
        <w:t xml:space="preserve">O teorema de existência da função de utilidade garante que os axiomas da Seção 3.1 — completude, transitividade, continuidade e monotonicidade — são suficientes para construir toda a maquinaria analítica que se segue: curvas de indiferença, TMS e otimização do consumidor.</w:t>
      </w:r>
    </w:p>
    <w:p>
      <w:pPr>
        <w:pStyle w:val="FirstParagraph"/>
      </w:pPr>
      <w:r>
        <w:t xml:space="preserve">A demonstração completa pode ser encontrada em Mas-Colell, Whinston e Green (1995, Proposição 3.C.1). A ideia central é elegante: para cada cesta</w:t>
      </w:r>
      <w:r>
        <w:t xml:space="preserve"> </w:t>
      </w:r>
      <m:oMath>
        <m:r>
          <m:rPr>
            <m:sty m:val="bi"/>
          </m:rPr>
          <m:t>x</m:t>
        </m:r>
      </m:oMath>
      <w:r>
        <w:t xml:space="preserve">, encontramos o escalar</w:t>
      </w:r>
      <w:r>
        <w:t xml:space="preserve"> </w:t>
      </w:r>
      <m:oMath>
        <m:r>
          <m:t>t</m:t>
        </m:r>
      </m:oMath>
      <w:r>
        <w:t xml:space="preserve"> </w:t>
      </w:r>
      <w:r>
        <w:t xml:space="preserve">tal que</w:t>
      </w:r>
      <w:r>
        <w:t xml:space="preserve"> </w:t>
      </w:r>
      <m:oMath>
        <m:r>
          <m:rPr>
            <m:sty m:val="bi"/>
          </m:rPr>
          <m:t>x</m:t>
        </m:r>
        <m:r>
          <m:rPr>
            <m:sty m:val="p"/>
          </m:rPr>
          <m:t>∼</m:t>
        </m:r>
        <m:r>
          <m:t>t</m:t>
        </m:r>
        <m:r>
          <m:rPr>
            <m:sty m:val="p"/>
          </m:rPr>
          <m:t>⋅</m:t>
        </m:r>
        <m:r>
          <m:rPr>
            <m:sty m:val="b"/>
          </m:rPr>
          <m:t>1</m:t>
        </m:r>
      </m:oMath>
      <w:r>
        <w:t xml:space="preserve">, onde</w:t>
      </w:r>
      <w:r>
        <w:t xml:space="preserve"> </w:t>
      </w:r>
      <m:oMath>
        <m:r>
          <m:rPr>
            <m:sty m:val="b"/>
          </m:rPr>
          <m:t>1</m:t>
        </m:r>
        <m:r>
          <m:rPr>
            <m:sty m:val="p"/>
          </m:rPr>
          <m:t>=</m:t>
        </m:r>
        <m:r>
          <m:rPr>
            <m:sty m:val="p"/>
          </m:rPr>
          <m:t>(</m:t>
        </m:r>
        <m:r>
          <m:t>1</m:t>
        </m:r>
        <m:r>
          <m:rPr>
            <m:sty m:val="p"/>
          </m:rPr>
          <m:t>,</m:t>
        </m:r>
        <m:r>
          <m:t>1</m:t>
        </m:r>
        <m:r>
          <m:rPr>
            <m:sty m:val="p"/>
          </m:rPr>
          <m:t>,</m:t>
        </m:r>
        <m:r>
          <m:rPr>
            <m:sty m:val="p"/>
          </m:rPr>
          <m:t>…</m:t>
        </m:r>
        <m:r>
          <m:rPr>
            <m:sty m:val="p"/>
          </m:rPr>
          <m:t>,</m:t>
        </m:r>
        <m:r>
          <m:t>1</m:t>
        </m:r>
        <m:r>
          <m:rPr>
            <m:sty m:val="p"/>
          </m:rPr>
          <m:t>)</m:t>
        </m:r>
      </m:oMath>
      <w:r>
        <w:t xml:space="preserve"> </w:t>
      </w:r>
      <w:r>
        <w:t xml:space="preserve">é a cesta com uma unidade de cada bem. Esse escalar</w:t>
      </w:r>
      <w:r>
        <w:t xml:space="preserve"> </w:t>
      </w:r>
      <m:oMath>
        <m:r>
          <m:t>t</m:t>
        </m:r>
      </m:oMath>
      <w:r>
        <w:t xml:space="preserve"> </w:t>
      </w:r>
      <w:r>
        <w:t xml:space="preserve">é o</w:t>
      </w:r>
      <w:r>
        <w:t xml:space="preserve"> </w:t>
      </w:r>
      <w:r>
        <w:t xml:space="preserve">“nível de utilidade”</w:t>
      </w:r>
      <w:r>
        <w:t xml:space="preserve"> </w:t>
      </w:r>
      <w:r>
        <w:t xml:space="preserve">atribuído a</w:t>
      </w:r>
      <w:r>
        <w:t xml:space="preserve"> </w:t>
      </w:r>
      <m:oMath>
        <m:r>
          <m:rPr>
            <m:sty m:val="bi"/>
          </m:rPr>
          <m:t>x</m:t>
        </m:r>
      </m:oMath>
      <w:r>
        <w:t xml:space="preserve">. A monotonicidade garante que tal</w:t>
      </w:r>
      <w:r>
        <w:t xml:space="preserve"> </w:t>
      </w:r>
      <m:oMath>
        <m:r>
          <m:t>t</m:t>
        </m:r>
      </m:oMath>
      <w:r>
        <w:t xml:space="preserve"> </w:t>
      </w:r>
      <w:r>
        <w:t xml:space="preserve">é único — cestas melhores correspondem a valores maiores de</w:t>
      </w:r>
      <w:r>
        <w:t xml:space="preserve"> </w:t>
      </w:r>
      <m:oMath>
        <m:r>
          <m:t>t</m:t>
        </m:r>
      </m:oMath>
      <w:r>
        <w:t xml:space="preserve"> </w:t>
      </w:r>
      <w:r>
        <w:t xml:space="preserve">— e a continuidade garante que a função resultante é contínua, sem saltos que gerariam cestas impossíveis de classificar. Cada axioma desempenha, portanto, um papel preciso na construção.</w:t>
      </w:r>
    </w:p>
    <w:p>
      <w:pPr>
        <w:pStyle w:val="BlockText"/>
      </w:pPr>
      <w:r>
        <w:rPr>
          <w:b/>
          <w:bCs/>
        </w:rPr>
        <w:t xml:space="preserve">[NOTA] Utilidade é ordinal, não cardinal</w:t>
      </w:r>
    </w:p>
    <w:p>
      <w:pPr>
        <w:pStyle w:val="BlockText"/>
      </w:pPr>
      <w:r>
        <w:t xml:space="preserve">A função de utilidade atribui números a cestas apenas para preservar o</w:t>
      </w:r>
      <w:r>
        <w:t xml:space="preserve"> </w:t>
      </w:r>
      <w:r>
        <w:rPr>
          <w:b/>
          <w:bCs/>
        </w:rPr>
        <w:t xml:space="preserve">ordenamento</w:t>
      </w:r>
      <w:r>
        <w:t xml:space="preserve">. Os valores absolutos não têm significado econômico intrínseco. Se</w:t>
      </w:r>
      <w:r>
        <w:t xml:space="preserve"> </w:t>
      </w:r>
      <m:oMath>
        <m:r>
          <m:t>u</m:t>
        </m:r>
        <m:r>
          <m:rPr>
            <m:sty m:val="p"/>
          </m:rPr>
          <m:t>(</m:t>
        </m:r>
        <m:r>
          <m:rPr>
            <m:sty m:val="bi"/>
          </m:rPr>
          <m:t>x</m:t>
        </m:r>
        <m:r>
          <m:rPr>
            <m:sty m:val="p"/>
          </m:rPr>
          <m:t>)</m:t>
        </m:r>
        <m:r>
          <m:rPr>
            <m:sty m:val="p"/>
          </m:rPr>
          <m:t>=</m:t>
        </m:r>
        <m:r>
          <m:t>10</m:t>
        </m:r>
      </m:oMath>
      <w:r>
        <w:t xml:space="preserve"> </w:t>
      </w:r>
      <w:r>
        <w:t xml:space="preserve">e</w:t>
      </w:r>
      <w:r>
        <w:t xml:space="preserve"> </w:t>
      </w:r>
      <m:oMath>
        <m:r>
          <m:t>u</m:t>
        </m:r>
        <m:r>
          <m:rPr>
            <m:sty m:val="p"/>
          </m:rPr>
          <m:t>(</m:t>
        </m:r>
        <m:r>
          <m:rPr>
            <m:sty m:val="bi"/>
          </m:rPr>
          <m:t>y</m:t>
        </m:r>
        <m:r>
          <m:rPr>
            <m:sty m:val="p"/>
          </m:rPr>
          <m:t>)</m:t>
        </m:r>
        <m:r>
          <m:rPr>
            <m:sty m:val="p"/>
          </m:rPr>
          <m:t>=</m:t>
        </m:r>
        <m:r>
          <m:t>5</m:t>
        </m:r>
      </m:oMath>
      <w:r>
        <w:t xml:space="preserve">, sabemos apenas que</w:t>
      </w:r>
      <w:r>
        <w:t xml:space="preserve"> </w:t>
      </w:r>
      <m:oMath>
        <m:r>
          <m:rPr>
            <m:sty m:val="bi"/>
          </m:rPr>
          <m:t>x</m:t>
        </m:r>
        <m:r>
          <m:rPr>
            <m:sty m:val="p"/>
          </m:rPr>
          <m:t>≻</m:t>
        </m:r>
        <m:r>
          <m:rPr>
            <m:sty m:val="bi"/>
          </m:rPr>
          <m:t>y</m:t>
        </m:r>
      </m:oMath>
      <w:r>
        <w:t xml:space="preserve">,</w:t>
      </w:r>
      <w:r>
        <w:t xml:space="preserve"> </w:t>
      </w:r>
      <w:r>
        <w:rPr>
          <w:b/>
          <w:bCs/>
        </w:rPr>
        <w:t xml:space="preserve">não</w:t>
      </w:r>
      <w:r>
        <w:t xml:space="preserve"> </w:t>
      </w:r>
      <w:r>
        <w:t xml:space="preserve">que</w:t>
      </w:r>
      <w:r>
        <w:t xml:space="preserve"> </w:t>
      </w:r>
      <m:oMath>
        <m:r>
          <m:rPr>
            <m:sty m:val="bi"/>
          </m:rPr>
          <m:t>x</m:t>
        </m:r>
      </m:oMath>
      <w:r>
        <w:t xml:space="preserve"> </w:t>
      </w:r>
      <w:r>
        <w:t xml:space="preserve">é</w:t>
      </w:r>
      <w:r>
        <w:t xml:space="preserve"> </w:t>
      </w:r>
      <w:r>
        <w:t xml:space="preserve">“duas vezes melhor”</w:t>
      </w:r>
      <w:r>
        <w:t xml:space="preserve"> </w:t>
      </w:r>
      <w:r>
        <w:t xml:space="preserve">que</w:t>
      </w:r>
      <w:r>
        <w:t xml:space="preserve"> </w:t>
      </w:r>
      <m:oMath>
        <m:r>
          <m:rPr>
            <m:sty m:val="bi"/>
          </m:rPr>
          <m:t>y</m:t>
        </m:r>
      </m:oMath>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Os números da utilidade funcionam como a ordem de chegada numa corrida — só importa quem chegou antes, não por quantos segundos.</w:t>
      </w:r>
    </w:p>
    <w:p>
      <w:pPr>
        <w:pStyle w:val="BlockText"/>
      </w:pPr>
      <w:r>
        <w:rPr>
          <w:b/>
          <w:bCs/>
        </w:rPr>
        <w:t xml:space="preserve">Pense assim:</w:t>
      </w:r>
      <w:r>
        <w:t xml:space="preserve"> </w:t>
      </w:r>
      <w:r>
        <w:t xml:space="preserve">Imagine que você dá nota 10 para um prato de feijoada e nota 5 para uma salada. Isso não significa que a feijoada é</w:t>
      </w:r>
      <w:r>
        <w:t xml:space="preserve"> </w:t>
      </w:r>
      <w:r>
        <w:t xml:space="preserve">“duas vezes mais gostosa”</w:t>
      </w:r>
      <w:r>
        <w:t xml:space="preserve"> </w:t>
      </w:r>
      <w:r>
        <w:t xml:space="preserve">— apenas que você a prefere. Se um amigo desse nota 100 e 50, as preferências seriam as mesmas. O ranking é o que importa, não o placar.</w:t>
      </w:r>
    </w:p>
    <w:p>
      <w:pPr>
        <w:pStyle w:val="BlockText"/>
      </w:pPr>
      <w:r>
        <w:rPr>
          <w:b/>
          <w:bCs/>
        </w:rPr>
        <w:t xml:space="preserve">Por que isso importa:</w:t>
      </w:r>
      <w:r>
        <w:t xml:space="preserve"> </w:t>
      </w:r>
      <w:r>
        <w:t xml:space="preserve">Essa propriedade ordinal nos liberta de medir</w:t>
      </w:r>
      <w:r>
        <w:t xml:space="preserve"> </w:t>
      </w:r>
      <w:r>
        <w:t xml:space="preserve">“felicidade”</w:t>
      </w:r>
      <w:r>
        <w:t xml:space="preserve"> </w:t>
      </w:r>
      <w:r>
        <w:t xml:space="preserve">em unidades absolutas — basta saber o que o consumidor prefere para analisar suas escolhas. No Capítulo 7, veremos que a introdução de incerteza exige uma utilidade</w:t>
      </w:r>
      <w:r>
        <w:t xml:space="preserve"> </w:t>
      </w:r>
      <w:r>
        <w:rPr>
          <w:b/>
          <w:bCs/>
        </w:rPr>
        <w:t xml:space="preserve">cardinal</w:t>
      </w:r>
      <w:r>
        <w:t xml:space="preserve"> </w:t>
      </w:r>
      <w:r>
        <w:t xml:space="preserve">(VNM): a curvatura da função passa a ter significado econômico, determinando a aversão ao risco do agente.</w:t>
      </w:r>
    </w:p>
    <w:p>
      <w:r>
        <w:pict>
          <v:rect style="width:0;height:1.5pt" o:hralign="center" o:hrstd="t" o:hr="t"/>
        </w:pict>
      </w:r>
    </w:p>
    <w:bookmarkEnd w:id="152"/>
    <w:bookmarkStart w:id="153" w:name="X7e000399b8ad5fac752d1fab2cf47fcc61ab7e0"/>
    <w:p>
      <w:pPr>
        <w:pStyle w:val="Heading3"/>
      </w:pPr>
      <w:r>
        <w:t xml:space="preserve">3.3 O Mapa do</w:t>
      </w:r>
      <w:r>
        <w:t xml:space="preserve"> </w:t>
      </w:r>
      <w:r>
        <w:t xml:space="preserve">“Tanto Faz”</w:t>
      </w:r>
      <w:r>
        <w:t xml:space="preserve">: Curvas de Indiferença</w:t>
      </w:r>
    </w:p>
    <w:p>
      <w:pPr>
        <w:pStyle w:val="FirstParagraph"/>
      </w:pPr>
      <w:r>
        <w:t xml:space="preserve">Números são úteis, mas humanos pensam em imagens. A</w:t>
      </w:r>
      <w:r>
        <w:t xml:space="preserve"> </w:t>
      </w:r>
      <w:r>
        <w:rPr>
          <w:b/>
          <w:bCs/>
        </w:rPr>
        <w:t xml:space="preserve">curva de indiferença</w:t>
      </w:r>
      <w:r>
        <w:t xml:space="preserve"> </w:t>
      </w:r>
      <w:r>
        <w:t xml:space="preserve">é onde a microeconomia ganha olhos. A ideia: pegue todas as cestas que dão ao consumidor a</w:t>
      </w:r>
      <w:r>
        <w:t xml:space="preserve"> </w:t>
      </w:r>
      <w:r>
        <w:rPr>
          <w:i/>
          <w:iCs/>
        </w:rPr>
        <w:t xml:space="preserve">mesma</w:t>
      </w:r>
      <w:r>
        <w:t xml:space="preserve"> </w:t>
      </w:r>
      <w:r>
        <w:t xml:space="preserve">satisfação e ligue-as por uma curva. Pronto — você tem um</w:t>
      </w:r>
      <w:r>
        <w:t xml:space="preserve"> </w:t>
      </w:r>
      <w:r>
        <w:t xml:space="preserve">“mapa topográfico”</w:t>
      </w:r>
      <w:r>
        <w:t xml:space="preserve"> </w:t>
      </w:r>
      <w:r>
        <w:t xml:space="preserve">das preferências, onde cada curva é uma altitude de felicidade. Cestas em curvas mais altas são preferidas; cestas na mesma curva são equivalentes.</w:t>
      </w:r>
    </w:p>
    <w:p>
      <w:pPr>
        <w:pStyle w:val="BodyText"/>
      </w:pPr>
      <w:r>
        <w:t xml:space="preserve">A forma das curvas conta uma história: se são quase retas, os bens são facilmente substituíveis (café e chá); se são em</w:t>
      </w:r>
      <w:r>
        <w:t xml:space="preserve"> </w:t>
      </w:r>
      <w:r>
        <w:t xml:space="preserve">“L”</w:t>
      </w:r>
      <w:r>
        <w:t xml:space="preserve">, devem ser consumidos juntos (pé esquerdo e pé direito de sapato). No Capítulo 4, quando sobrepormos essas curvas à reta orçamentária, o ponto ótimo do consumidor emergirá como o ponto de tangência — uma das imagens mais elegantes de toda a ciência econômica.</w:t>
      </w:r>
    </w:p>
    <w:p>
      <w:pPr>
        <w:pStyle w:val="BlockText"/>
      </w:pPr>
      <w:r>
        <w:rPr>
          <w:b/>
          <w:bCs/>
        </w:rPr>
        <w:t xml:space="preserve">[DEFINICAO] Curva de indiferença</w:t>
      </w:r>
    </w:p>
    <w:p>
      <w:pPr>
        <w:pStyle w:val="BlockText"/>
      </w:pPr>
      <w:r>
        <w:t xml:space="preserve">A curva de indiferença associada ao nível de utilidade</w:t>
      </w:r>
      <w:r>
        <w:t xml:space="preserve"> </w:t>
      </w:r>
      <m:oMath>
        <m:acc>
          <m:accPr>
            <m:chr m:val="‾"/>
          </m:accPr>
          <m:e>
            <m:r>
              <m:t>u</m:t>
            </m:r>
          </m:e>
        </m:acc>
      </m:oMath>
      <w:r>
        <w:t xml:space="preserve"> </w:t>
      </w:r>
      <w:r>
        <w:t xml:space="preserve">é o conjunto</w:t>
      </w:r>
      <w:r>
        <w:t xml:space="preserve"> </w:t>
      </w:r>
      <m:oMath>
        <m:r>
          <m:rPr>
            <m:sty m:val="p"/>
          </m:rPr>
          <m:t>{</m:t>
        </m:r>
        <m:r>
          <m:rPr>
            <m:sty m:val="bi"/>
          </m:rPr>
          <m:t>x</m:t>
        </m:r>
        <m:r>
          <m:rPr>
            <m:sty m:val="p"/>
          </m:rPr>
          <m:t>∈</m:t>
        </m:r>
        <m:r>
          <m:t>X</m:t>
        </m:r>
        <m:r>
          <m:rPr>
            <m:sty m:val="p"/>
          </m:rPr>
          <m:t>:</m:t>
        </m:r>
        <m:r>
          <m:t>u</m:t>
        </m:r>
        <m:r>
          <m:rPr>
            <m:sty m:val="p"/>
          </m:rPr>
          <m:t>(</m:t>
        </m:r>
        <m:r>
          <m:rPr>
            <m:sty m:val="bi"/>
          </m:rPr>
          <m:t>x</m:t>
        </m:r>
        <m:r>
          <m:rPr>
            <m:sty m:val="p"/>
          </m:rPr>
          <m:t>)</m:t>
        </m:r>
        <m:r>
          <m:rPr>
            <m:sty m:val="p"/>
          </m:rPr>
          <m:t>=</m:t>
        </m:r>
        <m:acc>
          <m:accPr>
            <m:chr m:val="‾"/>
          </m:accPr>
          <m:e>
            <m:r>
              <m:t>u</m:t>
            </m:r>
          </m:e>
        </m:acc>
        <m:r>
          <m:rPr>
            <m:sty m:val="p"/>
          </m:rPr>
          <m:t>}</m:t>
        </m:r>
      </m:oMath>
      <w:r>
        <w:t xml:space="preserve">. Trata-se de uma</w:t>
      </w:r>
      <w:r>
        <w:t xml:space="preserve"> </w:t>
      </w:r>
      <w:r>
        <w:rPr>
          <w:b/>
          <w:bCs/>
        </w:rPr>
        <w:t xml:space="preserve">curva de nível</w:t>
      </w:r>
      <w:r>
        <w:t xml:space="preserve"> </w:t>
      </w:r>
      <w:r>
        <w:t xml:space="preserve">da função de utilidade.</w:t>
      </w:r>
    </w:p>
    <w:p>
      <w:pPr>
        <w:pStyle w:val="BlockText"/>
      </w:pPr>
      <w:r>
        <w:rPr>
          <w:b/>
          <w:bCs/>
        </w:rPr>
        <w:t xml:space="preserve">[DICA] Propriedades das curvas de indiferença</w:t>
      </w:r>
    </w:p>
    <w:p>
      <w:pPr>
        <w:pStyle w:val="BlockText"/>
      </w:pPr>
      <w:r>
        <w:t xml:space="preserve">Sob os axiomas da Seção 3.1:</w:t>
      </w:r>
    </w:p>
    <w:p>
      <w:pPr>
        <w:pStyle w:val="Compact"/>
        <w:numPr>
          <w:ilvl w:val="0"/>
          <w:numId w:val="1072"/>
        </w:numPr>
      </w:pPr>
      <w:r>
        <w:rPr>
          <w:b/>
          <w:bCs/>
        </w:rPr>
        <w:t xml:space="preserve">Cobrem todo o espaço de consumo</w:t>
      </w:r>
      <w:r>
        <w:t xml:space="preserve">: pela completude, toda cesta pertence a alguma curva de indiferença.</w:t>
      </w:r>
    </w:p>
    <w:p>
      <w:pPr>
        <w:pStyle w:val="Compact"/>
        <w:numPr>
          <w:ilvl w:val="0"/>
          <w:numId w:val="1072"/>
        </w:numPr>
      </w:pPr>
      <w:r>
        <w:rPr>
          <w:b/>
          <w:bCs/>
        </w:rPr>
        <w:t xml:space="preserve">Não se cruzam</w:t>
      </w:r>
      <w:r>
        <w:t xml:space="preserve">: se duas curvas se cruzassem em um ponto, a transitividade seria violada.</w:t>
      </w:r>
    </w:p>
    <w:p>
      <w:pPr>
        <w:pStyle w:val="Compact"/>
        <w:numPr>
          <w:ilvl w:val="0"/>
          <w:numId w:val="1072"/>
        </w:numPr>
      </w:pPr>
      <w:r>
        <w:rPr>
          <w:b/>
          <w:bCs/>
        </w:rPr>
        <w:t xml:space="preserve">Possuem inclinação negativa</w:t>
      </w:r>
      <w:r>
        <w:t xml:space="preserve">: pela monotonicidade, manter a utilidade constante exige compensar um aumento em</w:t>
      </w:r>
      <w:r>
        <w:t xml:space="preserve"> </w:t>
      </w:r>
      <m:oMath>
        <m:sSub>
          <m:e>
            <m:r>
              <m:t>x</m:t>
            </m:r>
          </m:e>
          <m:sub>
            <m:r>
              <m:t>1</m:t>
            </m:r>
          </m:sub>
        </m:sSub>
      </m:oMath>
      <w:r>
        <w:t xml:space="preserve"> </w:t>
      </w:r>
      <w:r>
        <w:t xml:space="preserve">com uma redução em</w:t>
      </w:r>
      <w:r>
        <w:t xml:space="preserve"> </w:t>
      </w:r>
      <m:oMath>
        <m:sSub>
          <m:e>
            <m:r>
              <m:t>x</m:t>
            </m:r>
          </m:e>
          <m:sub>
            <m:r>
              <m:t>2</m:t>
            </m:r>
          </m:sub>
        </m:sSub>
      </m:oMath>
      <w:r>
        <w:t xml:space="preserve">.</w:t>
      </w:r>
    </w:p>
    <w:p>
      <w:pPr>
        <w:pStyle w:val="Compact"/>
        <w:numPr>
          <w:ilvl w:val="0"/>
          <w:numId w:val="1072"/>
        </w:numPr>
      </w:pPr>
      <w:r>
        <w:rPr>
          <w:b/>
          <w:bCs/>
        </w:rPr>
        <w:t xml:space="preserve">Cestas em curvas mais altas (a nordeste) são preferidas</w:t>
      </w:r>
      <w:r>
        <w:t xml:space="preserve">: consequência direta da monotonicidade.</w:t>
      </w:r>
    </w:p>
    <w:p>
      <w:pPr>
        <w:pStyle w:val="BlockText"/>
      </w:pPr>
      <w:r>
        <w:t xml:space="preserve">O</w:t>
      </w:r>
      <w:r>
        <w:t xml:space="preserve"> </w:t>
      </w:r>
      <w:r>
        <w:rPr>
          <w:b/>
          <w:bCs/>
        </w:rPr>
        <w:t xml:space="preserve">mapa de indiferença</w:t>
      </w:r>
      <w:r>
        <w:t xml:space="preserve"> </w:t>
      </w:r>
      <w:r>
        <w:t xml:space="preserve">é a família de todas as curvas de indiferença. Ele oferece uma representação visual completa das preferências do consumidor no espaço bidimensional.</w:t>
      </w:r>
    </w:p>
    <w:p>
      <w:pPr>
        <w:pStyle w:val="FirstParagraph"/>
      </w:pPr>
      <w:r>
        <w:t xml:space="preserve">[FIGURA INTERATIVA: /micro-book/graficos/cap03/curvas-indiferenca.html — versao interativa disponivel online]</w:t>
      </w:r>
    </w:p>
    <w:p>
      <w:pPr>
        <w:pStyle w:val="BodyText"/>
      </w:pPr>
      <w:r>
        <w:rPr>
          <w:b/>
          <w:bCs/>
        </w:rPr>
        <w:t xml:space="preserve">Figura 3.1 — Mapa de curvas de indiferença.</w:t>
      </w:r>
      <w:r>
        <w:t xml:space="preserve"> </w:t>
      </w:r>
      <w:r>
        <w:t xml:space="preserve">Arraste o ponto sobre a curva para ver a TMS. Use os sliders para alterar os parâmetros e o menu para trocar o tipo de preferência (Cobb-Douglas, substitutos perfeitos, complementos perfeitos, CES, quase-linear).</w:t>
      </w:r>
    </w:p>
    <w:p>
      <w:pPr>
        <w:pStyle w:val="BlockText"/>
      </w:pPr>
      <w:r>
        <w:rPr>
          <w:b/>
          <w:bCs/>
        </w:rPr>
        <w:t xml:space="preserve">[DICA] Convexidade estrita</w:t>
      </w:r>
    </w:p>
    <w:p>
      <w:pPr>
        <w:pStyle w:val="BlockText"/>
      </w:pPr>
      <w:r>
        <w:t xml:space="preserve">Se as preferências forem</w:t>
      </w:r>
      <w:r>
        <w:t xml:space="preserve"> </w:t>
      </w:r>
      <w:r>
        <w:rPr>
          <w:b/>
          <w:bCs/>
        </w:rPr>
        <w:t xml:space="preserve">estritamente convexas</w:t>
      </w:r>
      <w:r>
        <w:t xml:space="preserve"> </w:t>
      </w:r>
      <w:r>
        <w:t xml:space="preserve">— isto é, se</w:t>
      </w:r>
      <w:r>
        <w:t xml:space="preserve"> </w:t>
      </w:r>
      <m:oMath>
        <m:r>
          <m:rPr>
            <m:sty m:val="bi"/>
          </m:rPr>
          <m:t>x</m:t>
        </m:r>
        <m:r>
          <m:rPr>
            <m:sty m:val="p"/>
          </m:rPr>
          <m:t>∼</m:t>
        </m:r>
        <m:r>
          <m:rPr>
            <m:sty m:val="bi"/>
          </m:rPr>
          <m:t>y</m:t>
        </m:r>
      </m:oMath>
      <w:r>
        <w:t xml:space="preserve"> </w:t>
      </w:r>
      <w:r>
        <w:t xml:space="preserve">e</w:t>
      </w:r>
      <w:r>
        <w:t xml:space="preserve"> </w:t>
      </w:r>
      <m:oMath>
        <m:r>
          <m:rPr>
            <m:sty m:val="bi"/>
          </m:rPr>
          <m:t>x</m:t>
        </m:r>
        <m:r>
          <m:rPr>
            <m:sty m:val="p"/>
          </m:rPr>
          <m:t>≠</m:t>
        </m:r>
        <m:r>
          <m:rPr>
            <m:sty m:val="bi"/>
          </m:rPr>
          <m:t>y</m:t>
        </m:r>
      </m:oMath>
      <w:r>
        <w:t xml:space="preserve"> </w:t>
      </w:r>
      <w:r>
        <w:t xml:space="preserve">implicarem</w:t>
      </w:r>
      <w:r>
        <w:t xml:space="preserve"> </w:t>
      </w:r>
      <m:oMath>
        <m:r>
          <m:t>t</m:t>
        </m:r>
        <m:r>
          <m:rPr>
            <m:sty m:val="bi"/>
          </m:rPr>
          <m:t>x</m:t>
        </m:r>
        <m:r>
          <m:rPr>
            <m:sty m:val="p"/>
          </m:rPr>
          <m:t>+</m:t>
        </m:r>
        <m:r>
          <m:rPr>
            <m:sty m:val="p"/>
          </m:rPr>
          <m:t>(</m:t>
        </m:r>
        <m:r>
          <m:t>1</m:t>
        </m:r>
        <m:r>
          <m:rPr>
            <m:sty m:val="p"/>
          </m:rPr>
          <m:t>−</m:t>
        </m:r>
        <m:r>
          <m:t>t</m:t>
        </m:r>
        <m:r>
          <m:rPr>
            <m:sty m:val="p"/>
          </m:rPr>
          <m:t>)</m:t>
        </m:r>
        <m:r>
          <m:rPr>
            <m:sty m:val="bi"/>
          </m:rPr>
          <m:t>y</m:t>
        </m:r>
        <m:r>
          <m:rPr>
            <m:sty m:val="p"/>
          </m:rPr>
          <m:t>≻</m:t>
        </m:r>
        <m:r>
          <m:rPr>
            <m:sty m:val="bi"/>
          </m:rPr>
          <m:t>x</m:t>
        </m:r>
      </m:oMath>
      <w:r>
        <w:t xml:space="preserve"> </w:t>
      </w:r>
      <w:r>
        <w:t xml:space="preserve">para todo</w:t>
      </w:r>
      <w:r>
        <w:t xml:space="preserve"> </w:t>
      </w:r>
      <m:oMath>
        <m:r>
          <m:t>t</m:t>
        </m:r>
        <m:r>
          <m:rPr>
            <m:sty m:val="p"/>
          </m:rPr>
          <m:t>∈</m:t>
        </m:r>
        <m:r>
          <m:rPr>
            <m:sty m:val="p"/>
          </m:rPr>
          <m:t>(</m:t>
        </m:r>
        <m:r>
          <m:t>0</m:t>
        </m:r>
        <m:r>
          <m:rPr>
            <m:sty m:val="p"/>
          </m:rPr>
          <m:t>,</m:t>
        </m:r>
        <m:r>
          <m:t>1</m:t>
        </m:r>
        <m:r>
          <m:rPr>
            <m:sty m:val="p"/>
          </m:rPr>
          <m:t>)</m:t>
        </m:r>
      </m:oMath>
      <w:r>
        <w:t xml:space="preserve"> </w:t>
      </w:r>
      <w:r>
        <w:t xml:space="preserve">— então as curvas de indiferença são estritamente convexas em relação à origem. Isso reflete a ideia de que consumidores preferem variedade: uma cesta</w:t>
      </w:r>
      <w:r>
        <w:t xml:space="preserve"> </w:t>
      </w:r>
      <w:r>
        <w:t xml:space="preserve">“mista”</w:t>
      </w:r>
      <w:r>
        <w:t xml:space="preserve"> </w:t>
      </w:r>
      <w:r>
        <w:t xml:space="preserve">é preferida a cestas extremas. A seção sobre a TMS (a seguir) mostrará que essa propriedade equivale a uma TMS decrescente.</w:t>
      </w:r>
    </w:p>
    <w:p>
      <w:pPr>
        <w:pStyle w:val="BlockText"/>
      </w:pPr>
      <w:r>
        <w:rPr>
          <w:b/>
          <w:bCs/>
        </w:rPr>
        <w:t xml:space="preserve">[ATENCAO] Erro Comum</w:t>
      </w:r>
    </w:p>
    <w:p>
      <w:pPr>
        <w:pStyle w:val="BlockText"/>
      </w:pPr>
      <w:r>
        <w:rPr>
          <w:b/>
          <w:bCs/>
        </w:rPr>
        <w:t xml:space="preserve">Confundir preferências convexas com função de utilidade côncava.</w:t>
      </w:r>
      <w:r>
        <w:t xml:space="preserve"> </w:t>
      </w:r>
      <w:r>
        <w:t xml:space="preserve">São conceitos relacionados, mas distintos:</w:t>
      </w:r>
    </w:p>
    <w:p>
      <w:pPr>
        <w:pStyle w:val="Compact"/>
        <w:numPr>
          <w:ilvl w:val="0"/>
          <w:numId w:val="1073"/>
        </w:numPr>
      </w:pPr>
      <w:r>
        <w:rPr>
          <w:b/>
          <w:bCs/>
        </w:rPr>
        <w:t xml:space="preserve">Preferências convexas</w:t>
      </w:r>
      <w:r>
        <w:t xml:space="preserve"> </w:t>
      </w:r>
      <w:r>
        <w:t xml:space="preserve">significam que os</w:t>
      </w:r>
      <w:r>
        <w:t xml:space="preserve"> </w:t>
      </w:r>
      <w:r>
        <w:rPr>
          <w:i/>
          <w:iCs/>
        </w:rPr>
        <w:t xml:space="preserve">conjuntos superiores</w:t>
      </w:r>
      <w:r>
        <w:t xml:space="preserve"> </w:t>
      </w:r>
      <m:oMath>
        <m:r>
          <m:rPr>
            <m:sty m:val="p"/>
          </m:rPr>
          <m:t>{</m:t>
        </m:r>
        <m:r>
          <m:rPr>
            <m:sty m:val="bi"/>
          </m:rPr>
          <m:t>x</m:t>
        </m:r>
        <m:r>
          <m:rPr>
            <m:sty m:val="p"/>
          </m:rPr>
          <m:t>:</m:t>
        </m:r>
        <m:r>
          <m:t>u</m:t>
        </m:r>
        <m:r>
          <m:rPr>
            <m:sty m:val="p"/>
          </m:rPr>
          <m:t>(</m:t>
        </m:r>
        <m:r>
          <m:rPr>
            <m:sty m:val="bi"/>
          </m:rPr>
          <m:t>x</m:t>
        </m:r>
        <m:r>
          <m:rPr>
            <m:sty m:val="p"/>
          </m:rPr>
          <m:t>)</m:t>
        </m:r>
        <m:r>
          <m:rPr>
            <m:sty m:val="p"/>
          </m:rPr>
          <m:t>≥</m:t>
        </m:r>
        <m:acc>
          <m:accPr>
            <m:chr m:val="‾"/>
          </m:accPr>
          <m:e>
            <m:r>
              <m:t>u</m:t>
            </m:r>
          </m:e>
        </m:acc>
        <m:r>
          <m:rPr>
            <m:sty m:val="p"/>
          </m:rPr>
          <m:t>}</m:t>
        </m:r>
      </m:oMath>
      <w:r>
        <w:t xml:space="preserve"> </w:t>
      </w:r>
      <w:r>
        <w:t xml:space="preserve">são convexos — geometricamente, as curvas de indiferença são</w:t>
      </w:r>
      <w:r>
        <w:t xml:space="preserve"> </w:t>
      </w:r>
      <w:r>
        <w:t xml:space="preserve">“abauladas”</w:t>
      </w:r>
      <w:r>
        <w:t xml:space="preserve"> </w:t>
      </w:r>
      <w:r>
        <w:t xml:space="preserve">em direção à origem.</w:t>
      </w:r>
    </w:p>
    <w:p>
      <w:pPr>
        <w:pStyle w:val="Compact"/>
        <w:numPr>
          <w:ilvl w:val="0"/>
          <w:numId w:val="1073"/>
        </w:numPr>
      </w:pPr>
      <w:r>
        <w:rPr>
          <w:b/>
          <w:bCs/>
        </w:rPr>
        <w:t xml:space="preserve">Função côncava</w:t>
      </w:r>
      <w:r>
        <w:t xml:space="preserve"> </w:t>
      </w:r>
      <w:r>
        <w:t xml:space="preserve">é uma condição sobre a própria função</w:t>
      </w:r>
      <w:r>
        <w:t xml:space="preserve"> </w:t>
      </w:r>
      <m:oMath>
        <m:r>
          <m:t>u</m:t>
        </m:r>
      </m:oMath>
      <w:r>
        <w:t xml:space="preserve">, mais forte que a convexidade das preferências.</w:t>
      </w:r>
    </w:p>
    <w:p>
      <w:pPr>
        <w:pStyle w:val="BlockText"/>
      </w:pPr>
      <w:r>
        <w:t xml:space="preserve">Toda função de utilidade côncava gera preferências convexas, mas a recíproca é falsa: como a utilidade é ordinal, podemos sempre encontrar uma transformação monotônica que torne a função convexa (não côncava) sem alterar as preferências. O Exercício 3.5, com</w:t>
      </w:r>
      <w:r>
        <w:t xml:space="preserve"> </w:t>
      </w:r>
      <m:oMath>
        <m:r>
          <m:t>u</m:t>
        </m:r>
        <m:r>
          <m:rPr>
            <m:sty m:val="p"/>
          </m:rPr>
          <m:t>=</m:t>
        </m:r>
        <m:sSubSup>
          <m:e>
            <m:r>
              <m:t>x</m:t>
            </m:r>
          </m:e>
          <m:sub>
            <m:r>
              <m:t>1</m:t>
            </m:r>
          </m:sub>
          <m:sup>
            <m:r>
              <m:t>2</m:t>
            </m:r>
          </m:sup>
        </m:sSubSup>
        <m:r>
          <m:rPr>
            <m:sty m:val="p"/>
          </m:rPr>
          <m:t>+</m:t>
        </m:r>
        <m:sSubSup>
          <m:e>
            <m:r>
              <m:t>x</m:t>
            </m:r>
          </m:e>
          <m:sub>
            <m:r>
              <m:t>2</m:t>
            </m:r>
          </m:sub>
          <m:sup>
            <m:r>
              <m:t>2</m:t>
            </m:r>
          </m:sup>
        </m:sSubSup>
      </m:oMath>
      <w:r>
        <w:t xml:space="preserve">, ilustra o caso oposto: uma função convexa que gera preferências</w:t>
      </w:r>
      <w:r>
        <w:t xml:space="preserve"> </w:t>
      </w:r>
      <w:r>
        <w:rPr>
          <w:i/>
          <w:iCs/>
        </w:rPr>
        <w:t xml:space="preserve">côncavas</w:t>
      </w:r>
      <w:r>
        <w:t xml:space="preserve"> </w:t>
      </w:r>
      <w:r>
        <w:t xml:space="preserve">(curvas de indiferença circulares, côncavas em relação à origem).</w:t>
      </w:r>
    </w:p>
    <w:bookmarkEnd w:id="153"/>
    <w:bookmarkEnd w:id="154"/>
    <w:bookmarkStart w:id="157" w:name="tms-e-utilidade-marginal"/>
    <w:p>
      <w:pPr>
        <w:pStyle w:val="Heading2"/>
      </w:pPr>
      <w:r>
        <w:t xml:space="preserve">3.4–3.5 TMS e Utilidade Marginal</w:t>
      </w:r>
    </w:p>
    <w:bookmarkStart w:id="155" w:name="Xed100618bdd596a4135f9a3f5b38dab4ce06b9b"/>
    <w:p>
      <w:pPr>
        <w:pStyle w:val="Heading3"/>
      </w:pPr>
      <w:r>
        <w:t xml:space="preserve">3.4 Quanto Cerveja Vale um Café? A Taxa Marginal de Substituição</w:t>
      </w:r>
    </w:p>
    <w:p>
      <w:pPr>
        <w:pStyle w:val="FirstParagraph"/>
      </w:pPr>
      <w:r>
        <w:t xml:space="preserve">As curvas de indiferença mostram</w:t>
      </w:r>
      <w:r>
        <w:t xml:space="preserve"> </w:t>
      </w:r>
      <w:r>
        <w:rPr>
          <w:i/>
          <w:iCs/>
        </w:rPr>
        <w:t xml:space="preserve">o quê</w:t>
      </w:r>
      <w:r>
        <w:t xml:space="preserve"> </w:t>
      </w:r>
      <w:r>
        <w:t xml:space="preserve">o consumidor aceita; a TMS diz</w:t>
      </w:r>
      <w:r>
        <w:t xml:space="preserve"> </w:t>
      </w:r>
      <w:r>
        <w:rPr>
          <w:i/>
          <w:iCs/>
        </w:rPr>
        <w:t xml:space="preserve">a que preço</w:t>
      </w:r>
      <w:r>
        <w:t xml:space="preserve">. Imagine que você tem 10 fatias de pizza e 2 cervejas. Alguém te oferece trocar 1 pizza por 1 cerveja. Você aceita? Provavelmente sim — pizza está sobrando, cerveja está escassa. Mas e se já tiver 10 cervejas e 2 pizzas? Agora a troca é desvantajosa. A</w:t>
      </w:r>
      <w:r>
        <w:t xml:space="preserve"> </w:t>
      </w:r>
      <w:r>
        <w:rPr>
          <w:b/>
          <w:bCs/>
        </w:rPr>
        <w:t xml:space="preserve">taxa marginal de substituição (TMS)</w:t>
      </w:r>
      <w:r>
        <w:t xml:space="preserve"> </w:t>
      </w:r>
      <w:r>
        <w:t xml:space="preserve">captura exatamente essa lógica: quantas unidades do bem 2 você topa ceder por uma unidade a mais do bem 1,</w:t>
      </w:r>
      <w:r>
        <w:t xml:space="preserve"> </w:t>
      </w:r>
      <w:r>
        <w:rPr>
          <w:i/>
          <w:iCs/>
        </w:rPr>
        <w:t xml:space="preserve">sem perder satisfação</w:t>
      </w:r>
      <w:r>
        <w:t xml:space="preserve">.</w:t>
      </w:r>
    </w:p>
    <w:p>
      <w:pPr>
        <w:pStyle w:val="BodyText"/>
      </w:pPr>
      <w:r>
        <w:t xml:space="preserve">A TMS é, talvez, o conceito mais operacional de toda a teoria do consumidor. No próximo capítulo, veremos que o consumidor está no ótimo quando sua TMS (o quanto ele</w:t>
      </w:r>
      <w:r>
        <w:t xml:space="preserve"> </w:t>
      </w:r>
      <w:r>
        <w:rPr>
          <w:i/>
          <w:iCs/>
        </w:rPr>
        <w:t xml:space="preserve">quer</w:t>
      </w:r>
      <w:r>
        <w:t xml:space="preserve"> </w:t>
      </w:r>
      <w:r>
        <w:t xml:space="preserve">trocar) se iguala à razão de preços (o quanto o mercado</w:t>
      </w:r>
      <w:r>
        <w:t xml:space="preserve"> </w:t>
      </w:r>
      <w:r>
        <w:rPr>
          <w:i/>
          <w:iCs/>
        </w:rPr>
        <w:t xml:space="preserve">cobra</w:t>
      </w:r>
      <w:r>
        <w:t xml:space="preserve"> </w:t>
      </w:r>
      <w:r>
        <w:t xml:space="preserve">para trocar). Se o valor subjetivo e o preço de mercado divergem, há um negócio a ser feito — e o consumidor faz.</w:t>
      </w:r>
    </w:p>
    <w:p>
      <w:pPr>
        <w:pStyle w:val="BlockText"/>
      </w:pPr>
      <w:r>
        <w:rPr>
          <w:b/>
          <w:bCs/>
        </w:rPr>
        <w:t xml:space="preserve">[ATIVIDADE DE SALA] Atividade — Sua TMS pessoal</w:t>
      </w:r>
    </w:p>
    <w:p>
      <w:pPr>
        <w:pStyle w:val="BlockText"/>
      </w:pPr>
      <w:r>
        <w:rPr>
          <w:b/>
          <w:bCs/>
        </w:rPr>
        <w:t xml:space="preserve">Passo 1 (individual, 2 min):</w:t>
      </w:r>
      <w:r>
        <w:t xml:space="preserve"> </w:t>
      </w:r>
      <w:r>
        <w:t xml:space="preserve">Você tem 10 fatias de pizza e 2 latas de cerveja. Quantas fatias de pizza você toparia trocar por 1 cerveja extra? Anote um número.</w:t>
      </w:r>
    </w:p>
    <w:p>
      <w:pPr>
        <w:pStyle w:val="BlockText"/>
      </w:pPr>
      <w:r>
        <w:rPr>
          <w:b/>
          <w:bCs/>
        </w:rPr>
        <w:t xml:space="preserve">Passo 2 (individual, 1 min):</w:t>
      </w:r>
      <w:r>
        <w:t xml:space="preserve"> </w:t>
      </w:r>
      <w:r>
        <w:t xml:space="preserve">Agora inverta: você tem 2 fatias de pizza e 10 cervejas. Quantas fatias toparia trocar por 1 cerveja? Anote.</w:t>
      </w:r>
    </w:p>
    <w:p>
      <w:pPr>
        <w:pStyle w:val="BlockText"/>
      </w:pPr>
      <w:r>
        <w:rPr>
          <w:b/>
          <w:bCs/>
        </w:rPr>
        <w:t xml:space="preserve">Passo 3 (em dupla, 3 min):</w:t>
      </w:r>
      <w:r>
        <w:t xml:space="preserve"> </w:t>
      </w:r>
      <w:r>
        <w:t xml:space="preserve">Compare com o colega. (a) Os números de vocês são iguais? Provavelmente não — preferências são subjetivas. (b) O número do Passo 2 é menor que o do Passo 1? Quase certamente sim. Esse é o fenômeno da</w:t>
      </w:r>
      <w:r>
        <w:t xml:space="preserve"> </w:t>
      </w:r>
      <w:r>
        <w:rPr>
          <w:b/>
          <w:bCs/>
        </w:rPr>
        <w:t xml:space="preserve">TMS decrescente</w:t>
      </w:r>
      <w:r>
        <w:t xml:space="preserve">.</w:t>
      </w:r>
    </w:p>
    <w:p>
      <w:pPr>
        <w:pStyle w:val="BlockText"/>
      </w:pPr>
      <w:r>
        <w:rPr>
          <w:b/>
          <w:bCs/>
        </w:rPr>
        <w:t xml:space="preserve">Debrief (turma):</w:t>
      </w:r>
      <w:r>
        <w:t xml:space="preserve"> </w:t>
      </w:r>
      <w:r>
        <w:t xml:space="preserve">O professor formaliza: a TMS caiu porque pizza ficou escassa e cerveja abundante. A disposição a trocar não é fixa — depende da composição da cesta. Isso é a convexidade estrita em ação.</w:t>
      </w:r>
    </w:p>
    <w:p>
      <w:pPr>
        <w:pStyle w:val="BlockText"/>
      </w:pPr>
      <w:r>
        <w:rPr>
          <w:b/>
          <w:bCs/>
        </w:rPr>
        <w:t xml:space="preserve">[DEFINICAO] Taxa marginal de substituição</w:t>
      </w:r>
    </w:p>
    <w:p>
      <w:pPr>
        <w:pStyle w:val="BlockText"/>
      </w:pPr>
      <w:r>
        <w:t xml:space="preserve">A</w:t>
      </w:r>
      <w:r>
        <w:t xml:space="preserve"> </w:t>
      </w:r>
      <w:r>
        <w:rPr>
          <w:b/>
          <w:bCs/>
        </w:rPr>
        <w:t xml:space="preserve">taxa marginal de substituição</w:t>
      </w:r>
      <w:r>
        <w:t xml:space="preserve"> </w:t>
      </w:r>
      <w:r>
        <w:t xml:space="preserve">do bem 1 pelo bem 2 é definida como o valor absoluto da inclinação da curva de indiferença no ponto</w:t>
      </w:r>
      <w:r>
        <w:t xml:space="preserve"> </w:t>
      </w:r>
      <m:oMath>
        <m:r>
          <m:rPr>
            <m:sty m:val="p"/>
          </m:rPr>
          <m:t>(</m:t>
        </m:r>
        <m:sSub>
          <m:e>
            <m:r>
              <m:t>x</m:t>
            </m:r>
          </m:e>
          <m:sub>
            <m:r>
              <m:t>1</m:t>
            </m:r>
          </m:sub>
        </m:sSub>
        <m:r>
          <m:rPr>
            <m:sty m:val="p"/>
          </m:rPr>
          <m:t>,</m:t>
        </m:r>
        <m:sSub>
          <m:e>
            <m:r>
              <m:t>x</m:t>
            </m:r>
          </m:e>
          <m:sub>
            <m:r>
              <m:t>2</m:t>
            </m:r>
          </m:sub>
        </m:sSub>
        <m:r>
          <m:rPr>
            <m:sty m:val="p"/>
          </m:rPr>
          <m:t>)</m:t>
        </m:r>
      </m:oMath>
      <w:r>
        <w:t xml:space="preserve">:</w:t>
      </w:r>
    </w:p>
    <w:p>
      <w:pPr>
        <w:pStyle w:val="BlockText"/>
      </w:pPr>
      <w:r>
        <w:t xml:space="preserve">$$</w:t>
      </w:r>
    </w:p>
    <w:p>
      <w:pPr>
        <w:pStyle w:val="BlockText"/>
      </w:pPr>
      <w:r>
        <w:rPr>
          <w:i/>
          <w:iCs/>
        </w:rPr>
        <w:t xml:space="preserve">{12} = -</w:t>
      </w:r>
      <w:r>
        <w:rPr>
          <w:i/>
          <w:iCs/>
        </w:rPr>
        <w:t xml:space="preserve">|</w:t>
      </w:r>
      <w:r>
        <w:t xml:space="preserve">{u =</w:t>
      </w:r>
      <w:r>
        <w:t xml:space="preserve"> </w:t>
      </w:r>
      <w:r>
        <w:t xml:space="preserve">{u}}</w:t>
      </w:r>
      <w:r>
        <w:t xml:space="preserve"> </w:t>
      </w:r>
      <w:r>
        <w:t xml:space="preserve"> </w:t>
      </w:r>
    </w:p>
    <w:p>
      <w:pPr>
        <w:pStyle w:val="BlockText"/>
      </w:pPr>
      <w:r>
        <w:t xml:space="preserve">$$</w:t>
      </w:r>
    </w:p>
    <w:p>
      <w:pPr>
        <w:pStyle w:val="BlockText"/>
      </w:pPr>
      <w:r>
        <w:t xml:space="preserve">A TMS mede a quantidade do bem 2 que o consumidor está disposto a abrir mão para obter uma unidade adicional do bem 1, mantendo o nível de utilidade constante.</w:t>
      </w:r>
    </w:p>
    <w:p>
      <w:pPr>
        <w:pStyle w:val="BlockText"/>
      </w:pPr>
      <w:r>
        <w:rPr>
          <w:b/>
          <w:bCs/>
        </w:rPr>
        <w:t xml:space="preserve">[INFORMACAO] Prêmio Nobel — John R. Hicks (1972)</w:t>
      </w:r>
    </w:p>
    <w:p>
      <w:pPr>
        <w:pStyle w:val="BlockText"/>
      </w:pPr>
      <w:r>
        <w:rPr>
          <w:b/>
          <w:bCs/>
        </w:rPr>
        <w:t xml:space="preserve">John Richard Hicks</w:t>
      </w:r>
      <w:r>
        <w:t xml:space="preserve"> </w:t>
      </w:r>
      <w:r>
        <w:t xml:space="preserve">(1904–1989) foi um economista britânico, formado na Universidade de Oxford. Foi professor em Manchester, Oxford e na London School of Economics. Dividiu o Nobel com Kenneth Arrow.</w:t>
      </w:r>
    </w:p>
    <w:p>
      <w:pPr>
        <w:pStyle w:val="BlockText"/>
      </w:pPr>
      <w:r>
        <w:rPr>
          <w:b/>
          <w:bCs/>
        </w:rPr>
        <w:t xml:space="preserve">Por que ganhou o Nobel:</w:t>
      </w:r>
      <w:r>
        <w:t xml:space="preserve"> </w:t>
      </w:r>
      <w:r>
        <w:t xml:space="preserve">Premiado por suas contribuições pioneiras à teoria do equilíbrio geral e à teoria do bem-estar. Em</w:t>
      </w:r>
      <w:r>
        <w:t xml:space="preserve"> </w:t>
      </w:r>
      <w:r>
        <w:rPr>
          <w:i/>
          <w:iCs/>
        </w:rPr>
        <w:t xml:space="preserve">Value and Capital</w:t>
      </w:r>
      <w:r>
        <w:t xml:space="preserve"> </w:t>
      </w:r>
      <w:r>
        <w:t xml:space="preserve">(1939), Hicks axiomatizou a teoria do consumidor, introduzindo a taxa marginal de substituição como ferramenta central, e desenvolveu o conceito de demanda compensada (hicksiana), que separa efeitos renda e substituição.</w:t>
      </w:r>
    </w:p>
    <w:p>
      <w:pPr>
        <w:pStyle w:val="BlockText"/>
      </w:pPr>
      <w:r>
        <w:rPr>
          <w:b/>
          <w:bCs/>
        </w:rPr>
        <w:t xml:space="preserve">Conexão com este capítulo:</w:t>
      </w:r>
      <w:r>
        <w:t xml:space="preserve"> </w:t>
      </w:r>
      <w:r>
        <w:t xml:space="preserve">A taxa marginal de substituição (TMS) formalizada por Hicks é o conceito central deste capítulo. A condição de tangência entre a curva de indiferença e a restrição orçamentária — que exige igualdade entre TMS e razão de preços — é a base da teoria da escolha do consumidor desenvolvida aqui.</w:t>
      </w:r>
    </w:p>
    <w:p>
      <w:pPr>
        <w:pStyle w:val="FirstParagraph"/>
      </w:pPr>
      <w:r>
        <w:rPr>
          <w:b/>
          <w:bCs/>
        </w:rPr>
        <w:t xml:space="preserve">Interpretação econômica.</w:t>
      </w:r>
      <w:r>
        <w:t xml:space="preserve"> </w:t>
      </w:r>
      <w:r>
        <w:t xml:space="preserve">A TMS é a</w:t>
      </w:r>
      <w:r>
        <w:t xml:space="preserve"> </w:t>
      </w:r>
      <w:r>
        <w:rPr>
          <w:b/>
          <w:bCs/>
        </w:rPr>
        <w:t xml:space="preserve">taxa de troca subjetiva</w:t>
      </w:r>
      <w:r>
        <w:t xml:space="preserve"> </w:t>
      </w:r>
      <w:r>
        <w:t xml:space="preserve">do consumidor — o</w:t>
      </w:r>
      <w:r>
        <w:t xml:space="preserve"> </w:t>
      </w:r>
      <w:r>
        <w:t xml:space="preserve">“preço pessoal”</w:t>
      </w:r>
      <w:r>
        <w:t xml:space="preserve"> </w:t>
      </w:r>
      <w:r>
        <w:t xml:space="preserve">que ele atribui ao bem 1 em termos do bem 2. Se</w:t>
      </w:r>
      <w:r>
        <w:t xml:space="preserve"> </w:t>
      </w:r>
      <m:oMath>
        <m:sSub>
          <m:e>
            <m:r>
              <m:rPr>
                <m:nor/>
                <m:sty m:val="p"/>
              </m:rPr>
              <m:t>TMS</m:t>
            </m:r>
          </m:e>
          <m:sub>
            <m:r>
              <m:t>12</m:t>
            </m:r>
          </m:sub>
        </m:sSub>
        <m:r>
          <m:rPr>
            <m:sty m:val="p"/>
          </m:rPr>
          <m:t>=</m:t>
        </m:r>
        <m:r>
          <m:t>3</m:t>
        </m:r>
      </m:oMath>
      <w:r>
        <w:t xml:space="preserve">, o consumidor está disposto a abrir mão de até 3 unidades do bem 2 para obter 1 unidade adicional do bem 1, permanecendo no mesmo nível de satisfação. Note que essa taxa é puramente subjetiva e pode diferir radicalmente da razão de preços do mercado — é precisamente essa diferença que cria incentivos para o consumidor realocar seu consumo.</w:t>
      </w:r>
    </w:p>
    <w:p>
      <w:pPr>
        <w:pStyle w:val="BodyText"/>
      </w:pPr>
      <w:r>
        <w:rPr>
          <w:b/>
          <w:bCs/>
        </w:rPr>
        <w:t xml:space="preserve">TMS decrescente.</w:t>
      </w:r>
      <w:r>
        <w:t xml:space="preserve"> </w:t>
      </w:r>
      <w:r>
        <w:t xml:space="preserve">Sob preferências estritamente convexas, a TMS é decrescente ao longo da curva de indiferença: à medida que o consumidor adquire mais do bem 1, cada unidade adicional torna-se relativamente menos valiosa em relação ao bem 2, que se torna cada vez mais escasso na cesta. O consumidor, portanto, está disposto a sacrificar cada vez menos do bem 2 para obter mais uma unidade do bem 1. Esta propriedade — matematicamente equivalente à convexidade estrita das curvas de indiferença — reflete a ideia intuitiva de que os consumidores valorizam a diversidade: cestas equilibradas são preferidas a cestas extremas.</w:t>
      </w:r>
    </w:p>
    <w:p>
      <w:pPr>
        <w:pStyle w:val="BlockText"/>
      </w:pPr>
      <w:r>
        <w:rPr>
          <w:b/>
          <w:bCs/>
        </w:rPr>
        <w:t xml:space="preserve">[INTUICAO ECONOMICA] Intuição Econômica</w:t>
      </w:r>
    </w:p>
    <w:p>
      <w:pPr>
        <w:pStyle w:val="BlockText"/>
      </w:pPr>
      <w:r>
        <w:rPr>
          <w:b/>
          <w:bCs/>
        </w:rPr>
        <w:t xml:space="preserve">Em uma frase:</w:t>
      </w:r>
      <w:r>
        <w:t xml:space="preserve"> </w:t>
      </w:r>
      <w:r>
        <w:t xml:space="preserve">A TMS mede</w:t>
      </w:r>
      <w:r>
        <w:t xml:space="preserve"> </w:t>
      </w:r>
      <w:r>
        <w:t xml:space="preserve">“quanto do bem 2 você toparia trocar por mais uma unidade do bem 1”</w:t>
      </w:r>
      <w:r>
        <w:t xml:space="preserve"> </w:t>
      </w:r>
      <w:r>
        <w:t xml:space="preserve">— é o seu preço pessoal de troca.</w:t>
      </w:r>
    </w:p>
    <w:p>
      <w:pPr>
        <w:pStyle w:val="BlockText"/>
      </w:pPr>
      <w:r>
        <w:rPr>
          <w:b/>
          <w:bCs/>
        </w:rPr>
        <w:t xml:space="preserve">Pense assim:</w:t>
      </w:r>
      <w:r>
        <w:t xml:space="preserve"> </w:t>
      </w:r>
      <w:r>
        <w:t xml:space="preserve">Imagine que você tem muito arroz e pouco feijão em casa. Você toparia trocar bastante arroz por um pouco de feijão. Mas à medida que ganha feijão e perde arroz, cada porção adicional de feijão vale menos para você, e cada porção de arroz que abre mão dói mais. Essa</w:t>
      </w:r>
      <w:r>
        <w:t xml:space="preserve"> </w:t>
      </w:r>
      <w:r>
        <w:t xml:space="preserve">“taxa de troca pessoal”</w:t>
      </w:r>
      <w:r>
        <w:t xml:space="preserve"> </w:t>
      </w:r>
      <w:r>
        <w:t xml:space="preserve">que vai caindo é a TMS decrescente.</w:t>
      </w:r>
    </w:p>
    <w:p>
      <w:pPr>
        <w:pStyle w:val="BlockText"/>
      </w:pPr>
      <w:r>
        <w:rPr>
          <w:b/>
          <w:bCs/>
        </w:rPr>
        <w:t xml:space="preserve">Por que isso importa:</w:t>
      </w:r>
      <w:r>
        <w:t xml:space="preserve"> </w:t>
      </w:r>
      <w:r>
        <w:t xml:space="preserve">No capítulo seguinte veremos que o consumidor otimiza quando sua TMS iguala a razão de preços do mercado — é o ponto onde o</w:t>
      </w:r>
      <w:r>
        <w:t xml:space="preserve"> </w:t>
      </w:r>
      <w:r>
        <w:t xml:space="preserve">“preço pessoal”</w:t>
      </w:r>
      <w:r>
        <w:t xml:space="preserve"> </w:t>
      </w:r>
      <w:r>
        <w:t xml:space="preserve">coincide com o</w:t>
      </w:r>
      <w:r>
        <w:t xml:space="preserve"> </w:t>
      </w:r>
      <w:r>
        <w:t xml:space="preserve">“preço de mercado”</w:t>
      </w:r>
      <w:r>
        <w:t xml:space="preserve">.</w:t>
      </w:r>
    </w:p>
    <w:p>
      <w:pPr>
        <w:pStyle w:val="BlockText"/>
      </w:pPr>
      <w:r>
        <w:rPr>
          <w:b/>
          <w:bCs/>
        </w:rPr>
        <w:t xml:space="preserve">[INFORMACAO] Exemplo — TMS e escolhas alimentares no Brasil</w:t>
      </w:r>
    </w:p>
    <w:p>
      <w:pPr>
        <w:pStyle w:val="BlockText"/>
      </w:pPr>
      <w:r>
        <w:t xml:space="preserve">Considere um consumidor brasileiro escolhendo entre alimentação dentro de casa (</w:t>
      </w:r>
      <m:oMath>
        <m:sSub>
          <m:e>
            <m:r>
              <m:t>x</m:t>
            </m:r>
          </m:e>
          <m:sub>
            <m:r>
              <m:t>1</m:t>
            </m:r>
          </m:sub>
        </m:sSub>
      </m:oMath>
      <w:r>
        <w:t xml:space="preserve">) e alimentação fora de casa (</w:t>
      </w:r>
      <m:oMath>
        <m:sSub>
          <m:e>
            <m:r>
              <m:t>x</m:t>
            </m:r>
          </m:e>
          <m:sub>
            <m:r>
              <m:t>2</m:t>
            </m:r>
          </m:sub>
        </m:sSub>
      </m:oMath>
      <w:r>
        <w:t xml:space="preserve">). Segundo a POF 2017-2018 do IBGE, a despesa média per capita com alimentação no domicílio era de aproximadamente R$ 136 mensais, contra R$ 73 com alimentação fora. Uma família com muito gasto em alimentação domiciliar (cesta</w:t>
      </w:r>
      <w:r>
        <w:t xml:space="preserve"> </w:t>
      </w:r>
      <w:r>
        <w:t xml:space="preserve">“extrema”</w:t>
      </w:r>
      <w:r>
        <w:t xml:space="preserve">) teria uma TMS alta: estaria disposta a abrir mão de várias refeições caseiras por uma refeição fora. À medida que aumenta a alimentação fora de casa, a TMS diminui — o consumidor valoriza cada vez menos uma refeição adicional fora. Essa TMS decrescente é a manifestação empírica da convexidade estrita das preferências.</w:t>
      </w:r>
    </w:p>
    <w:p>
      <w:r>
        <w:pict>
          <v:rect style="width:0;height:1.5pt" o:hralign="center" o:hrstd="t" o:hr="t"/>
        </w:pict>
      </w:r>
    </w:p>
    <w:bookmarkEnd w:id="155"/>
    <w:bookmarkStart w:id="156" w:name="X9591de07b9ddb40a453b616743b6faa55847287"/>
    <w:p>
      <w:pPr>
        <w:pStyle w:val="Heading3"/>
      </w:pPr>
      <w:r>
        <w:t xml:space="preserve">3.5 A Última Fatia de Pizza: Utilidade Marginal e TMS</w:t>
      </w:r>
    </w:p>
    <w:p>
      <w:pPr>
        <w:pStyle w:val="FirstParagraph"/>
      </w:pPr>
      <w:r>
        <w:t xml:space="preserve">Na seção anterior, a TMS era uma inclinação que</w:t>
      </w:r>
      <w:r>
        <w:t xml:space="preserve"> </w:t>
      </w:r>
      <w:r>
        <w:t xml:space="preserve">“víamos”</w:t>
      </w:r>
      <w:r>
        <w:t xml:space="preserve"> </w:t>
      </w:r>
      <w:r>
        <w:t xml:space="preserve">no gráfico. Agora queremos</w:t>
      </w:r>
      <w:r>
        <w:t xml:space="preserve"> </w:t>
      </w:r>
      <w:r>
        <w:rPr>
          <w:i/>
          <w:iCs/>
        </w:rPr>
        <w:t xml:space="preserve">calculá-la</w:t>
      </w:r>
      <w:r>
        <w:t xml:space="preserve"> </w:t>
      </w:r>
      <w:r>
        <w:t xml:space="preserve">— sem desenhar nada. O truque: a TMS é simplesmente a razão entre as</w:t>
      </w:r>
      <w:r>
        <w:t xml:space="preserve"> </w:t>
      </w:r>
      <w:r>
        <w:rPr>
          <w:b/>
          <w:bCs/>
        </w:rPr>
        <w:t xml:space="preserve">utilidades marginais</w:t>
      </w:r>
      <w:r>
        <w:t xml:space="preserve"> </w:t>
      </w:r>
      <w:r>
        <w:t xml:space="preserve">dos dois bens. A utilidade marginal mede o</w:t>
      </w:r>
      <w:r>
        <w:t xml:space="preserve"> </w:t>
      </w:r>
      <w:r>
        <w:t xml:space="preserve">“quanto a mais de satisfação”</w:t>
      </w:r>
      <w:r>
        <w:t xml:space="preserve"> </w:t>
      </w:r>
      <w:r>
        <w:t xml:space="preserve">que uma unidade extra de um bem proporciona (nosso velho amigo</w:t>
      </w:r>
      <w:r>
        <w:t xml:space="preserve"> </w:t>
      </w:r>
      <w:r>
        <w:rPr>
          <w:i/>
          <w:iCs/>
        </w:rPr>
        <w:t xml:space="preserve">ceteris paribus</w:t>
      </w:r>
      <w:r>
        <w:t xml:space="preserve">). Se a próxima fatia de pizza te dá prazer 3 e a próxima cerveja te dá prazer 6, você toparia trocar até 2 pizzas por 1 cerveja — e a TMS é exatamente 2. Vejamos isso com rigor.</w:t>
      </w:r>
    </w:p>
    <w:p>
      <w:pPr>
        <w:pStyle w:val="BodyText"/>
      </w:pPr>
      <w:r>
        <w:t xml:space="preserve">Formalmente, a</w:t>
      </w:r>
      <w:r>
        <w:t xml:space="preserve"> </w:t>
      </w:r>
      <w:r>
        <w:rPr>
          <w:b/>
          <w:bCs/>
        </w:rPr>
        <w:t xml:space="preserve">utilidade marginal</w:t>
      </w:r>
      <w:r>
        <w:t xml:space="preserve"> </w:t>
      </w:r>
      <w:r>
        <w:t xml:space="preserve">do bem</w:t>
      </w:r>
      <w:r>
        <w:t xml:space="preserve"> </w:t>
      </w:r>
      <m:oMath>
        <m:r>
          <m:t>i</m:t>
        </m:r>
      </m:oMath>
      <w:r>
        <w:t xml:space="preserve"> </w:t>
      </w:r>
      <w:r>
        <w:t xml:space="preserve">é a derivada parcial da função de utilidade em relação à quantidade desse bem:</w:t>
      </w:r>
    </w:p>
    <w:p>
      <w:pPr>
        <w:pStyle w:val="BodyText"/>
      </w:pPr>
      <m:oMathPara>
        <m:oMathParaPr>
          <m:jc m:val="center"/>
        </m:oMathParaPr>
        <m:oMath>
          <m:sSub>
            <m:e>
              <m:r>
                <m:rPr>
                  <m:nor/>
                  <m:sty m:val="p"/>
                </m:rPr>
                <m:t>UMg</m:t>
              </m:r>
            </m:e>
            <m:sub>
              <m:r>
                <m:t>i</m:t>
              </m:r>
            </m:sub>
          </m:sSub>
          <m:r>
            <m:rPr>
              <m:sty m:val="p"/>
            </m:rPr>
            <m:t>=</m:t>
          </m:r>
          <m:f>
            <m:fPr>
              <m:type m:val="bar"/>
            </m:fPr>
            <m:num>
              <m:r>
                <m:rPr>
                  <m:sty m:val="p"/>
                </m:rPr>
                <m:t>∂</m:t>
              </m:r>
              <m:r>
                <m:t>u</m:t>
              </m:r>
            </m:num>
            <m:den>
              <m:r>
                <m:rPr>
                  <m:sty m:val="p"/>
                </m:rPr>
                <m:t>∂</m:t>
              </m:r>
              <m:sSub>
                <m:e>
                  <m:r>
                    <m:t>x</m:t>
                  </m:r>
                </m:e>
                <m:sub>
                  <m:r>
                    <m:t>i</m:t>
                  </m:r>
                </m:sub>
              </m:sSub>
            </m:den>
          </m:f>
          <m:r>
            <m:rPr>
              <m:sty m:val="p"/>
            </m:rPr>
            <m:t>.</m:t>
          </m:r>
        </m:oMath>
      </m:oMathPara>
    </w:p>
    <w:p>
      <w:pPr>
        <w:pStyle w:val="FirstParagraph"/>
      </w:pPr>
      <w:r>
        <w:t xml:space="preserve">Se a utilidade marginal é positiva — o que é garantido pela monotonicidade —, o consumidor sempre se beneficia de uma unidade adicional do bem</w:t>
      </w:r>
      <w:r>
        <w:t xml:space="preserve"> </w:t>
      </w:r>
      <m:oMath>
        <m:r>
          <m:t>i</m:t>
        </m:r>
      </m:oMath>
      <w:r>
        <w:t xml:space="preserve">, mantendo tudo o mais constante. Contudo, é importante lembrar que, como a utilidade é ordinal (Seção 3.2), o valor numérico da utilidade marginal</w:t>
      </w:r>
      <w:r>
        <w:t xml:space="preserve"> </w:t>
      </w:r>
      <w:r>
        <w:rPr>
          <w:i/>
          <w:iCs/>
        </w:rPr>
        <w:t xml:space="preserve">em si</w:t>
      </w:r>
      <w:r>
        <w:t xml:space="preserve"> </w:t>
      </w:r>
      <w:r>
        <w:t xml:space="preserve">não possui significado econômico absoluto — ele depende da escala escolhida para representar as preferências. O que</w:t>
      </w:r>
      <w:r>
        <w:t xml:space="preserve"> </w:t>
      </w:r>
      <w:r>
        <w:rPr>
          <w:i/>
          <w:iCs/>
        </w:rPr>
        <w:t xml:space="preserve">tem</w:t>
      </w:r>
      <w:r>
        <w:t xml:space="preserve"> </w:t>
      </w:r>
      <w:r>
        <w:t xml:space="preserve">significado é a razão entre utilidades marginais, como veremos imediatamente.</w:t>
      </w:r>
    </w:p>
    <w:p>
      <w:pPr>
        <w:pStyle w:val="BlockText"/>
      </w:pPr>
      <w:r>
        <w:rPr>
          <w:b/>
          <w:bCs/>
        </w:rPr>
        <w:t xml:space="preserve">[ATENCAO] Cuidado: utilidade marginal não tem significado isolado</w:t>
      </w:r>
    </w:p>
    <w:p>
      <w:pPr>
        <w:pStyle w:val="BlockText"/>
      </w:pPr>
      <w:r>
        <w:t xml:space="preserve">A utilidade marginal</w:t>
      </w:r>
      <w:r>
        <w:t xml:space="preserve"> </w:t>
      </w:r>
      <m:oMath>
        <m:sSub>
          <m:e>
            <m:r>
              <m:rPr>
                <m:nor/>
                <m:sty m:val="p"/>
              </m:rPr>
              <m:t>UMg</m:t>
            </m:r>
          </m:e>
          <m:sub>
            <m:r>
              <m:t>i</m:t>
            </m:r>
          </m:sub>
        </m:sSub>
      </m:oMath>
      <w:r>
        <w:t xml:space="preserve"> </w:t>
      </w:r>
      <w:r>
        <w:t xml:space="preserve">muda de valor quando aplicamos uma transformação monotônica à função de utilidade (Seção 3.7). Se</w:t>
      </w:r>
      <w:r>
        <w:t xml:space="preserve"> </w:t>
      </w:r>
      <m:oMath>
        <m:acc>
          <m:accPr>
            <m:chr m:val="̂"/>
          </m:accPr>
          <m:e>
            <m:r>
              <m:t>u</m:t>
            </m:r>
          </m:e>
        </m:acc>
        <m:r>
          <m:rPr>
            <m:sty m:val="p"/>
          </m:rPr>
          <m:t>=</m:t>
        </m:r>
        <m:r>
          <m:rPr>
            <m:sty m:val="p"/>
          </m:rPr>
          <m:t>ln</m:t>
        </m:r>
        <m:r>
          <m:rPr>
            <m:sty m:val="p"/>
          </m:rPr>
          <m:t>(</m:t>
        </m:r>
        <m:r>
          <m:t>u</m:t>
        </m:r>
        <m:r>
          <m:rPr>
            <m:sty m:val="p"/>
          </m:rPr>
          <m:t>)</m:t>
        </m:r>
      </m:oMath>
      <w:r>
        <w:t xml:space="preserve">, a utilidade marginal passa de</w:t>
      </w:r>
      <w:r>
        <w:t xml:space="preserve"> </w:t>
      </w:r>
      <m:oMath>
        <m:r>
          <m:rPr>
            <m:sty m:val="p"/>
          </m:rPr>
          <m:t>∂</m:t>
        </m:r>
        <m:r>
          <m:t>u</m:t>
        </m:r>
        <m:r>
          <m:rPr>
            <m:sty m:val="p"/>
          </m:rPr>
          <m:t>/</m:t>
        </m:r>
        <m:r>
          <m:rPr>
            <m:sty m:val="p"/>
          </m:rPr>
          <m:t>∂</m:t>
        </m:r>
        <m:sSub>
          <m:e>
            <m:r>
              <m:t>x</m:t>
            </m:r>
          </m:e>
          <m:sub>
            <m:r>
              <m:t>i</m:t>
            </m:r>
          </m:sub>
        </m:sSub>
      </m:oMath>
      <w:r>
        <w:t xml:space="preserve"> </w:t>
      </w:r>
      <w:r>
        <w:t xml:space="preserve">para</w:t>
      </w:r>
      <w:r>
        <w:t xml:space="preserve"> </w:t>
      </w:r>
      <m:oMath>
        <m:f>
          <m:fPr>
            <m:type m:val="bar"/>
          </m:fPr>
          <m:num>
            <m:r>
              <m:t>1</m:t>
            </m:r>
          </m:num>
          <m:den>
            <m:r>
              <m:t>u</m:t>
            </m:r>
          </m:den>
        </m:f>
        <m:r>
          <m:rPr>
            <m:sty m:val="p"/>
          </m:rPr>
          <m:t>⋅</m:t>
        </m:r>
        <m:r>
          <m:rPr>
            <m:sty m:val="p"/>
          </m:rPr>
          <m:t>∂</m:t>
        </m:r>
        <m:r>
          <m:t>u</m:t>
        </m:r>
        <m:r>
          <m:rPr>
            <m:sty m:val="p"/>
          </m:rPr>
          <m:t>/</m:t>
        </m:r>
        <m:r>
          <m:rPr>
            <m:sty m:val="p"/>
          </m:rPr>
          <m:t>∂</m:t>
        </m:r>
        <m:sSub>
          <m:e>
            <m:r>
              <m:t>x</m:t>
            </m:r>
          </m:e>
          <m:sub>
            <m:r>
              <m:t>i</m:t>
            </m:r>
          </m:sub>
        </m:sSub>
      </m:oMath>
      <w:r>
        <w:t xml:space="preserve"> </w:t>
      </w:r>
      <w:r>
        <w:t xml:space="preserve">— um valor completamente diferente. Por isso, afirmações como</w:t>
      </w:r>
      <w:r>
        <w:t xml:space="preserve"> </w:t>
      </w:r>
      <w:r>
        <w:t xml:space="preserve">“a utilidade marginal do bem 1 é 5”</w:t>
      </w:r>
      <w:r>
        <w:t xml:space="preserve"> </w:t>
      </w:r>
      <w:r>
        <w:t xml:space="preserve">não possuem conteúdo econômico: o número 5 depende arbitrariamente da escala escolhida.</w:t>
      </w:r>
    </w:p>
    <w:p>
      <w:pPr>
        <w:pStyle w:val="BlockText"/>
      </w:pPr>
      <w:r>
        <w:t xml:space="preserve">O que</w:t>
      </w:r>
      <w:r>
        <w:t xml:space="preserve"> </w:t>
      </w:r>
      <w:r>
        <w:rPr>
          <w:b/>
          <w:bCs/>
        </w:rPr>
        <w:t xml:space="preserve">tem</w:t>
      </w:r>
      <w:r>
        <w:t xml:space="preserve"> </w:t>
      </w:r>
      <w:r>
        <w:t xml:space="preserve">significado econômico é a</w:t>
      </w:r>
      <w:r>
        <w:t xml:space="preserve"> </w:t>
      </w:r>
      <w:r>
        <w:rPr>
          <w:b/>
          <w:bCs/>
        </w:rPr>
        <w:t xml:space="preserve">razão</w:t>
      </w:r>
      <w:r>
        <w:t xml:space="preserve"> </w:t>
      </w:r>
      <m:oMath>
        <m:sSub>
          <m:e>
            <m:r>
              <m:rPr>
                <m:nor/>
                <m:sty m:val="p"/>
              </m:rPr>
              <m:t>UMg</m:t>
            </m:r>
          </m:e>
          <m:sub>
            <m:r>
              <m:t>1</m:t>
            </m:r>
          </m:sub>
        </m:sSub>
        <m:r>
          <m:rPr>
            <m:sty m:val="p"/>
          </m:rPr>
          <m:t>/</m:t>
        </m:r>
        <m:sSub>
          <m:e>
            <m:r>
              <m:rPr>
                <m:nor/>
                <m:sty m:val="p"/>
              </m:rPr>
              <m:t>UMg</m:t>
            </m:r>
          </m:e>
          <m:sub>
            <m:r>
              <m:t>2</m:t>
            </m:r>
          </m:sub>
        </m:sSub>
      </m:oMath>
      <w:r>
        <w:t xml:space="preserve">, que é a TMS — invariante sob transformações monotônicas. Não confunda, ainda,</w:t>
      </w:r>
      <w:r>
        <w:t xml:space="preserve"> </w:t>
      </w:r>
      <w:r>
        <w:t xml:space="preserve">“utilidade marginal decrescente”</w:t>
      </w:r>
      <w:r>
        <w:t xml:space="preserve"> </w:t>
      </w:r>
      <w:r>
        <w:t xml:space="preserve">(propriedade cardinal, sem significado ordinal) com</w:t>
      </w:r>
      <w:r>
        <w:t xml:space="preserve"> </w:t>
      </w:r>
      <w:r>
        <w:t xml:space="preserve">“TMS decrescente”</w:t>
      </w:r>
      <w:r>
        <w:t xml:space="preserve"> </w:t>
      </w:r>
      <w:r>
        <w:t xml:space="preserve">(propriedade ordinal, com significado econômico preciso: preferências convexas).</w:t>
      </w:r>
    </w:p>
    <w:p>
      <w:pPr>
        <w:pStyle w:val="FirstParagraph"/>
      </w:pPr>
      <w:r>
        <w:t xml:space="preserve">A relação fundamental entre a utilidade marginal, definida pela equação Eq. (eq:3.5.3), e a TMS, definida pela equação Eq. (eq:3.4.2), revela que a inclinação da curva de indiferença pode ser inteiramente expressa em termos de derivadas da função de utilidade. Essa ponte entre geometria e cálculo — entre a inclinação visual da curva e as derivadas parciais da função — é dada pela proposição a seguir.</w:t>
      </w:r>
    </w:p>
    <w:p>
      <w:pPr>
        <w:pStyle w:val="BlockText"/>
      </w:pPr>
      <w:r>
        <w:rPr>
          <w:b/>
          <w:bCs/>
        </w:rPr>
        <w:t xml:space="preserve">[TEOREMA] Proposição 3.2 — TMS como razão de utilidades marginais</w:t>
      </w:r>
    </w:p>
    <w:p>
      <w:pPr>
        <w:pStyle w:val="BlockText"/>
      </w:pPr>
      <w:r>
        <w:t xml:space="preserve">Se</w:t>
      </w:r>
      <w:r>
        <w:t xml:space="preserve"> </w:t>
      </w:r>
      <m:oMath>
        <m:r>
          <m:t>u</m:t>
        </m:r>
        <m:r>
          <m:rPr>
            <m:sty m:val="p"/>
          </m:rPr>
          <m:t>(</m:t>
        </m:r>
        <m:sSub>
          <m:e>
            <m:r>
              <m:t>x</m:t>
            </m:r>
          </m:e>
          <m:sub>
            <m:r>
              <m:t>1</m:t>
            </m:r>
          </m:sub>
        </m:sSub>
        <m:r>
          <m:rPr>
            <m:sty m:val="p"/>
          </m:rPr>
          <m:t>,</m:t>
        </m:r>
        <m:sSub>
          <m:e>
            <m:r>
              <m:t>x</m:t>
            </m:r>
          </m:e>
          <m:sub>
            <m:r>
              <m:t>2</m:t>
            </m:r>
          </m:sub>
        </m:sSub>
        <m:r>
          <m:rPr>
            <m:sty m:val="p"/>
          </m:rPr>
          <m:t>)</m:t>
        </m:r>
      </m:oMath>
      <w:r>
        <w:t xml:space="preserve"> </w:t>
      </w:r>
      <w:r>
        <w:t xml:space="preserve">é diferenciável e</w:t>
      </w:r>
      <w:r>
        <w:t xml:space="preserve"> </w:t>
      </w:r>
      <m:oMath>
        <m:sSub>
          <m:e>
            <m:r>
              <m:rPr>
                <m:nor/>
                <m:sty m:val="p"/>
              </m:rPr>
              <m:t>UMg</m:t>
            </m:r>
          </m:e>
          <m:sub>
            <m:r>
              <m:t>2</m:t>
            </m:r>
          </m:sub>
        </m:sSub>
        <m:r>
          <m:rPr>
            <m:sty m:val="p"/>
          </m:rPr>
          <m:t>&gt;</m:t>
        </m:r>
        <m:r>
          <m:t>0</m:t>
        </m:r>
      </m:oMath>
      <w:r>
        <w:t xml:space="preserve">, então:</w:t>
      </w:r>
    </w:p>
    <w:p>
      <w:pPr>
        <w:pStyle w:val="BlockText"/>
      </w:pPr>
      <w:r>
        <w:t xml:space="preserve">$$</w:t>
      </w:r>
    </w:p>
    <w:p>
      <w:pPr>
        <w:pStyle w:val="BlockText"/>
      </w:pPr>
      <w:r>
        <w:t xml:space="preserve">_{12} =</w:t>
      </w:r>
      <w:r>
        <w:t xml:space="preserve"> </w:t>
      </w:r>
      <w:r>
        <w:t xml:space="preserve"> </w:t>
      </w:r>
      <w:r>
        <w:t xml:space="preserve">=</w:t>
      </w:r>
      <w:r>
        <w:t xml:space="preserve"> </w:t>
      </w:r>
      <w:r>
        <w:t xml:space="preserve"> </w:t>
      </w:r>
      <w:r>
        <w:t xml:space="preserve"> </w:t>
      </w:r>
    </w:p>
    <w:p>
      <w:pPr>
        <w:pStyle w:val="BlockText"/>
      </w:pPr>
      <w:r>
        <w:t xml:space="preserve">$$</w:t>
      </w:r>
    </w:p>
    <w:p>
      <w:pPr>
        <w:pStyle w:val="BlockText"/>
      </w:pPr>
      <w:r>
        <w:rPr>
          <w:b/>
          <w:bCs/>
        </w:rPr>
        <w:t xml:space="preserve">[DEMONSTRACAO] Demonstração</w:t>
      </w:r>
    </w:p>
    <w:p>
      <w:pPr>
        <w:pStyle w:val="BlockText"/>
      </w:pPr>
      <w:r>
        <w:t xml:space="preserve">Considere o consumidor sobre uma curva de indiferença, de modo que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acc>
          <m:accPr>
            <m:chr m:val="‾"/>
          </m:accPr>
          <m:e>
            <m:r>
              <m:t>u</m:t>
            </m:r>
          </m:e>
        </m:acc>
      </m:oMath>
      <w:r>
        <w:t xml:space="preserve">. Tomando o</w:t>
      </w:r>
      <w:r>
        <w:t xml:space="preserve"> </w:t>
      </w:r>
      <w:r>
        <w:rPr>
          <w:b/>
          <w:bCs/>
        </w:rPr>
        <w:t xml:space="preserve">diferencial total</w:t>
      </w:r>
      <w:r>
        <w:t xml:space="preserve"> </w:t>
      </w:r>
      <w:r>
        <w:t xml:space="preserve">da função de utilidade ao longo dessa curva:</w:t>
      </w:r>
    </w:p>
    <w:p>
      <w:pPr>
        <w:pStyle w:val="BlockText"/>
      </w:pPr>
      <w:r>
        <w:t xml:space="preserve">$$</w:t>
      </w:r>
    </w:p>
    <w:p>
      <w:pPr>
        <w:pStyle w:val="BlockText"/>
      </w:pPr>
      <w:r>
        <w:t xml:space="preserve">du =</w:t>
      </w:r>
      <w:r>
        <w:t xml:space="preserve"> </w:t>
      </w:r>
      <w:r>
        <w:t xml:space="preserve"> </w:t>
      </w:r>
      <w:r>
        <w:t xml:space="preserve">dx_1 +</w:t>
      </w:r>
      <w:r>
        <w:t xml:space="preserve"> </w:t>
      </w:r>
      <w:r>
        <w:t xml:space="preserve"> </w:t>
      </w:r>
      <w:r>
        <w:t xml:space="preserve">dx_2 = 0,</w:t>
      </w:r>
    </w:p>
    <w:p>
      <w:pPr>
        <w:pStyle w:val="BlockText"/>
      </w:pPr>
      <w:r>
        <w:t xml:space="preserve">$$</w:t>
      </w:r>
    </w:p>
    <w:p>
      <w:pPr>
        <w:pStyle w:val="BlockText"/>
      </w:pPr>
      <w:r>
        <w:t xml:space="preserve">pois o nível de utilidade é constante (</w:t>
      </w:r>
      <m:oMath>
        <m:r>
          <m:t>d</m:t>
        </m:r>
        <m:r>
          <m:t>u</m:t>
        </m:r>
        <m:r>
          <m:rPr>
            <m:sty m:val="p"/>
          </m:rPr>
          <m:t>=</m:t>
        </m:r>
        <m:r>
          <m:t>0</m:t>
        </m:r>
      </m:oMath>
      <w:r>
        <w:t xml:space="preserve">) ao longo da curva de indiferença. Reorganizando:</w:t>
      </w:r>
    </w:p>
    <w:p>
      <w:pPr>
        <w:pStyle w:val="BlockText"/>
      </w:pPr>
      <w:r>
        <w:t xml:space="preserve">$$</w:t>
      </w:r>
    </w:p>
    <w:p>
      <w:pPr>
        <w:pStyle w:val="BlockText"/>
      </w:pPr>
      <w:r>
        <w:t xml:space="preserve"> </w:t>
      </w:r>
      <w:r>
        <w:t xml:space="preserve">dx_2 = -</w:t>
      </w:r>
      <w:r>
        <w:t xml:space="preserve"> </w:t>
      </w:r>
      <w:r>
        <w:t xml:space="preserve">dx_1,</w:t>
      </w:r>
    </w:p>
    <w:p>
      <w:pPr>
        <w:pStyle w:val="BlockText"/>
      </w:pPr>
      <w:r>
        <w:t xml:space="preserve">$$</w:t>
      </w:r>
    </w:p>
    <w:p>
      <w:pPr>
        <w:pStyle w:val="BlockText"/>
      </w:pPr>
      <w:r>
        <w:t xml:space="preserve">$$</w:t>
      </w:r>
    </w:p>
    <w:p>
      <w:pPr>
        <w:pStyle w:val="BlockText"/>
      </w:pPr>
      <w:r>
        <w:t xml:space="preserve"> </w:t>
      </w:r>
      <w:r>
        <w:t xml:space="preserve">= -</w:t>
      </w:r>
      <w:r>
        <w:t xml:space="preserve">.</w:t>
      </w:r>
    </w:p>
    <w:p>
      <w:pPr>
        <w:pStyle w:val="BlockText"/>
      </w:pPr>
      <w:r>
        <w:t xml:space="preserve">$$</w:t>
      </w:r>
    </w:p>
    <w:p>
      <w:pPr>
        <w:pStyle w:val="BlockText"/>
      </w:pPr>
      <w:r>
        <w:t xml:space="preserve">Como a TMS é definida como o valor absoluto (com sinal positivo) da inclinação da curva de indiferença:</w:t>
      </w:r>
    </w:p>
    <w:p>
      <w:pPr>
        <w:pStyle w:val="BlockText"/>
      </w:pPr>
      <w:r>
        <w:t xml:space="preserve">$$</w:t>
      </w:r>
    </w:p>
    <w:p>
      <w:pPr>
        <w:pStyle w:val="BlockText"/>
      </w:pPr>
      <w:r>
        <w:rPr>
          <w:i/>
          <w:iCs/>
        </w:rPr>
        <w:t xml:space="preserve">{12} = -</w:t>
      </w:r>
      <w:r>
        <w:rPr>
          <w:i/>
          <w:iCs/>
        </w:rPr>
        <w:t xml:space="preserve">|</w:t>
      </w:r>
      <w:r>
        <w:t xml:space="preserve">{u =</w:t>
      </w:r>
      <w:r>
        <w:t xml:space="preserve"> </w:t>
      </w:r>
      <w:r>
        <w:t xml:space="preserve">{u}} =</w:t>
      </w:r>
      <w:r>
        <w:t xml:space="preserve"> </w:t>
      </w:r>
      <w:r>
        <w:t xml:space="preserve"> </w:t>
      </w:r>
      <w:r>
        <w:t xml:space="preserve">=</w:t>
      </w:r>
      <w:r>
        <w:t xml:space="preserve"> </w:t>
      </w:r>
      <w:r>
        <w:t xml:space="preserve">.</w:t>
      </w:r>
      <w:r>
        <w:t xml:space="preserve"> </w:t>
      </w:r>
    </w:p>
    <w:p>
      <w:pPr>
        <w:pStyle w:val="BlockText"/>
      </w:pPr>
      <w:r>
        <w:t xml:space="preserve">$$</w:t>
      </w:r>
    </w:p>
    <w:p>
      <w:pPr>
        <w:pStyle w:val="FirstParagraph"/>
      </w:pPr>
      <w:r>
        <w:t xml:space="preserve">[FIGURA INTERATIVA: /micro-book/graficos/cap03/tms-ponto.html — versao interativa disponivel online]</w:t>
      </w:r>
    </w:p>
    <w:p>
      <w:pPr>
        <w:pStyle w:val="BodyText"/>
      </w:pPr>
      <w:r>
        <w:rPr>
          <w:b/>
          <w:bCs/>
        </w:rPr>
        <w:t xml:space="preserve">Figura 3.2 — Taxa Marginal de Substituição (TMS).</w:t>
      </w:r>
      <w:r>
        <w:t xml:space="preserve"> </w:t>
      </w:r>
      <w:r>
        <w:t xml:space="preserve">Arraste o ponto P ao longo da curva de indiferença para ver a reta tangente e o cálculo da</w:t>
      </w:r>
      <w:r>
        <w:t xml:space="preserve"> </w:t>
      </w:r>
      <m:oMath>
        <m:r>
          <m:rPr>
            <m:nor/>
            <m:sty m:val="p"/>
          </m:rPr>
          <m:t>TMS</m:t>
        </m:r>
        <m:r>
          <m:rPr>
            <m:sty m:val="p"/>
          </m:rPr>
          <m:t>=</m:t>
        </m:r>
        <m:sSub>
          <m:e>
            <m:r>
              <m:rPr>
                <m:nor/>
                <m:sty m:val="p"/>
              </m:rPr>
              <m:t>UMg</m:t>
            </m:r>
          </m:e>
          <m:sub>
            <m:r>
              <m:t>1</m:t>
            </m:r>
          </m:sub>
        </m:sSub>
        <m:r>
          <m:rPr>
            <m:sty m:val="p"/>
          </m:rPr>
          <m:t>/</m:t>
        </m:r>
        <m:sSub>
          <m:e>
            <m:r>
              <m:rPr>
                <m:nor/>
                <m:sty m:val="p"/>
              </m:rPr>
              <m:t>UMg</m:t>
            </m:r>
          </m:e>
          <m:sub>
            <m:r>
              <m:t>2</m:t>
            </m:r>
          </m:sub>
        </m:sSub>
      </m:oMath>
      <w:r>
        <w:t xml:space="preserve"> </w:t>
      </w:r>
      <w:r>
        <w:t xml:space="preserve">em tempo real. Selecione entre Cobb-Douglas, linear, Leontief, CES e quase-linear.</w:t>
      </w:r>
    </w:p>
    <w:p>
      <w:pPr>
        <w:pStyle w:val="BlockText"/>
      </w:pPr>
      <w:r>
        <w:rPr>
          <w:b/>
          <w:bCs/>
        </w:rPr>
        <w:t xml:space="preserve">[EXERCICIO RESOLVIDO] Exercício Resolvido 3.1</w:t>
      </w:r>
    </w:p>
    <w:p>
      <w:pPr>
        <w:pStyle w:val="BlockText"/>
      </w:pPr>
      <w:r>
        <w:rPr>
          <w:b/>
          <w:bCs/>
        </w:rPr>
        <w:t xml:space="preserve">Enunciado:</w:t>
      </w:r>
      <w:r>
        <w:t xml:space="preserve"> </w:t>
      </w:r>
      <w:r>
        <w:t xml:space="preserve">Um consumidor tem preferências representadas por</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2</m:t>
            </m:r>
            <m:r>
              <m:rPr>
                <m:sty m:val="p"/>
              </m:rPr>
              <m:t>/</m:t>
            </m:r>
            <m:r>
              <m:t>5</m:t>
            </m:r>
          </m:sup>
        </m:sSubSup>
        <m:r>
          <m:t> </m:t>
        </m:r>
        <m:sSubSup>
          <m:e>
            <m:r>
              <m:t>x</m:t>
            </m:r>
          </m:e>
          <m:sub>
            <m:r>
              <m:t>2</m:t>
            </m:r>
          </m:sub>
          <m:sup>
            <m:r>
              <m:t>3</m:t>
            </m:r>
            <m:r>
              <m:rPr>
                <m:sty m:val="p"/>
              </m:rPr>
              <m:t>/</m:t>
            </m:r>
            <m:r>
              <m:t>5</m:t>
            </m:r>
          </m:sup>
        </m:sSubSup>
      </m:oMath>
      <w:r>
        <w:t xml:space="preserve">. Calcule a TMS no ponto</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r>
          <m:t>10</m:t>
        </m:r>
        <m:r>
          <m:rPr>
            <m:sty m:val="p"/>
          </m:rPr>
          <m:t>,</m:t>
        </m:r>
        <m:r>
          <m:t>15</m:t>
        </m:r>
        <m:r>
          <m:rPr>
            <m:sty m:val="p"/>
          </m:rPr>
          <m:t>)</m:t>
        </m:r>
      </m:oMath>
      <w:r>
        <w:t xml:space="preserve"> </w:t>
      </w:r>
      <w:r>
        <w:t xml:space="preserve">e interprete o resultado.</w:t>
      </w:r>
    </w:p>
    <w:p>
      <w:pPr>
        <w:pStyle w:val="BlockText"/>
      </w:pPr>
      <w:r>
        <w:rPr>
          <w:b/>
          <w:bCs/>
        </w:rPr>
        <w:t xml:space="preserve">Dados:</w:t>
      </w:r>
      <w:r>
        <w:t xml:space="preserve"> </w:t>
      </w:r>
      <m:oMath>
        <m:r>
          <m:t>a</m:t>
        </m:r>
        <m:r>
          <m:rPr>
            <m:sty m:val="p"/>
          </m:rPr>
          <m:t>=</m:t>
        </m:r>
        <m:r>
          <m:t>2</m:t>
        </m:r>
        <m:r>
          <m:rPr>
            <m:sty m:val="p"/>
          </m:rPr>
          <m:t>/</m:t>
        </m:r>
        <m:r>
          <m:t>5</m:t>
        </m:r>
      </m:oMath>
      <w:r>
        <w:t xml:space="preserve">,</w:t>
      </w:r>
      <w:r>
        <w:t xml:space="preserve"> </w:t>
      </w:r>
      <m:oMath>
        <m:r>
          <m:t>b</m:t>
        </m:r>
        <m:r>
          <m:rPr>
            <m:sty m:val="p"/>
          </m:rPr>
          <m:t>=</m:t>
        </m:r>
        <m:r>
          <m:t>3</m:t>
        </m:r>
        <m:r>
          <m:rPr>
            <m:sty m:val="p"/>
          </m:rPr>
          <m:t>/</m:t>
        </m:r>
        <m:r>
          <m:t>5</m:t>
        </m:r>
      </m:oMath>
      <w:r>
        <w:t xml:space="preserve">,</w:t>
      </w:r>
      <w:r>
        <w:t xml:space="preserve"> </w:t>
      </w:r>
      <m:oMath>
        <m:sSub>
          <m:e>
            <m:r>
              <m:t>x</m:t>
            </m:r>
          </m:e>
          <m:sub>
            <m:r>
              <m:t>1</m:t>
            </m:r>
          </m:sub>
        </m:sSub>
        <m:r>
          <m:rPr>
            <m:sty m:val="p"/>
          </m:rPr>
          <m:t>=</m:t>
        </m:r>
        <m:r>
          <m:t>10</m:t>
        </m:r>
      </m:oMath>
      <w:r>
        <w:t xml:space="preserve">,</w:t>
      </w:r>
      <w:r>
        <w:t xml:space="preserve"> </w:t>
      </w:r>
      <m:oMath>
        <m:sSub>
          <m:e>
            <m:r>
              <m:t>x</m:t>
            </m:r>
          </m:e>
          <m:sub>
            <m:r>
              <m:t>2</m:t>
            </m:r>
          </m:sub>
        </m:sSub>
        <m:r>
          <m:rPr>
            <m:sty m:val="p"/>
          </m:rPr>
          <m:t>=</m:t>
        </m:r>
        <m:r>
          <m:t>15</m:t>
        </m:r>
      </m:oMath>
      <w:r>
        <w:t xml:space="preserve">.</w:t>
      </w:r>
    </w:p>
    <w:p>
      <w:pPr>
        <w:pStyle w:val="BlockText"/>
      </w:pPr>
      <w:r>
        <w:rPr>
          <w:b/>
          <w:bCs/>
        </w:rPr>
        <w:t xml:space="preserve">Resolução:</w:t>
      </w:r>
    </w:p>
    <w:p>
      <w:pPr>
        <w:pStyle w:val="BlockText"/>
      </w:pPr>
      <w:r>
        <w:rPr>
          <w:b/>
          <w:bCs/>
        </w:rPr>
        <w:t xml:space="preserve">Passo 1 — Cálculo das utilidades marginais</w:t>
      </w:r>
    </w:p>
    <w:p>
      <w:pPr>
        <w:pStyle w:val="BlockText"/>
      </w:pPr>
      <w:r>
        <w:t xml:space="preserve">$$</w:t>
      </w:r>
    </w:p>
    <w:p>
      <w:pPr>
        <w:pStyle w:val="BlockText"/>
      </w:pPr>
      <w:r>
        <w:t xml:space="preserve">_1 =</w:t>
      </w:r>
      <w:r>
        <w:t xml:space="preserve"> </w:t>
      </w:r>
      <w:r>
        <w:t xml:space="preserve"> </w:t>
      </w:r>
      <w:r>
        <w:t xml:space="preserve">=</w:t>
      </w:r>
      <w:r>
        <w:t xml:space="preserve"> </w:t>
      </w:r>
      <w:r>
        <w:t xml:space="preserve"> </w:t>
      </w:r>
      <w:r>
        <w:t xml:space="preserve">, x_1^{-3/5} , x_2^{3/5}</w:t>
      </w:r>
    </w:p>
    <w:p>
      <w:pPr>
        <w:pStyle w:val="BlockText"/>
      </w:pPr>
      <w:r>
        <w:t xml:space="preserve">$$</w:t>
      </w:r>
    </w:p>
    <w:p>
      <w:pPr>
        <w:pStyle w:val="BlockText"/>
      </w:pPr>
      <w:r>
        <w:t xml:space="preserve">$$</w:t>
      </w:r>
    </w:p>
    <w:p>
      <w:pPr>
        <w:pStyle w:val="BlockText"/>
      </w:pPr>
      <w:r>
        <w:t xml:space="preserve">_2 =</w:t>
      </w:r>
      <w:r>
        <w:t xml:space="preserve"> </w:t>
      </w:r>
      <w:r>
        <w:t xml:space="preserve"> </w:t>
      </w:r>
      <w:r>
        <w:t xml:space="preserve">=</w:t>
      </w:r>
      <w:r>
        <w:t xml:space="preserve"> </w:t>
      </w:r>
      <w:r>
        <w:t xml:space="preserve"> </w:t>
      </w:r>
      <w:r>
        <w:t xml:space="preserve">, x_1^{2/5} , x_2^{-2/5}</w:t>
      </w:r>
    </w:p>
    <w:p>
      <w:pPr>
        <w:pStyle w:val="BlockText"/>
      </w:pPr>
      <w:r>
        <w:t xml:space="preserve">$$</w:t>
      </w:r>
    </w:p>
    <w:p>
      <w:pPr>
        <w:pStyle w:val="BlockText"/>
      </w:pPr>
      <w:r>
        <w:rPr>
          <w:b/>
          <w:bCs/>
        </w:rPr>
        <w:t xml:space="preserve">Passo 2 — Cálculo da TMS</w:t>
      </w:r>
    </w:p>
    <w:p>
      <w:pPr>
        <w:pStyle w:val="BlockText"/>
      </w:pPr>
      <w:r>
        <w:t xml:space="preserve">$$</w:t>
      </w:r>
    </w:p>
    <w:p>
      <w:pPr>
        <w:pStyle w:val="BlockText"/>
      </w:pPr>
      <w:r>
        <w:t xml:space="preserve">_{12} =</w:t>
      </w:r>
      <w:r>
        <w:t xml:space="preserve"> </w:t>
      </w:r>
      <w:r>
        <w:t xml:space="preserve"> </w:t>
      </w:r>
      <w:r>
        <w:t xml:space="preserve">=</w:t>
      </w:r>
      <w:r>
        <w:t xml:space="preserve"> </w:t>
      </w:r>
      <w:r>
        <w:t xml:space="preserve"> </w:t>
      </w:r>
      <w:r>
        <w:t xml:space="preserve">=</w:t>
      </w:r>
      <w:r>
        <w:t xml:space="preserve"> </w:t>
      </w:r>
      <w:r>
        <w:t xml:space="preserve"> </w:t>
      </w:r>
    </w:p>
    <w:p>
      <w:pPr>
        <w:pStyle w:val="BlockText"/>
      </w:pPr>
      <w:r>
        <w:t xml:space="preserve">$$</w:t>
      </w:r>
    </w:p>
    <w:p>
      <w:pPr>
        <w:pStyle w:val="BlockText"/>
      </w:pPr>
      <w:r>
        <w:t xml:space="preserve">Note que, para qualquer Cobb-Douglas</w:t>
      </w:r>
      <w:r>
        <w:t xml:space="preserve"> </w:t>
      </w:r>
      <m:oMath>
        <m:r>
          <m:t>u</m:t>
        </m:r>
        <m:r>
          <m:rPr>
            <m:sty m:val="p"/>
          </m:rPr>
          <m:t>=</m:t>
        </m:r>
        <m:sSubSup>
          <m:e>
            <m:r>
              <m:t>x</m:t>
            </m:r>
          </m:e>
          <m:sub>
            <m:r>
              <m:t>1</m:t>
            </m:r>
          </m:sub>
          <m:sup>
            <m:r>
              <m:t>a</m:t>
            </m:r>
          </m:sup>
        </m:sSubSup>
        <m:sSubSup>
          <m:e>
            <m:r>
              <m:t>x</m:t>
            </m:r>
          </m:e>
          <m:sub>
            <m:r>
              <m:t>2</m:t>
            </m:r>
          </m:sub>
          <m:sup>
            <m:r>
              <m:t>b</m:t>
            </m:r>
          </m:sup>
        </m:sSubSup>
      </m:oMath>
      <w:r>
        <w:t xml:space="preserve">, a TMS assume a forma geral</w:t>
      </w:r>
      <w:r>
        <w:t xml:space="preserve"> </w:t>
      </w:r>
      <m:oMath>
        <m:sSub>
          <m:e>
            <m:r>
              <m:rPr>
                <m:nor/>
                <m:sty m:val="p"/>
              </m:rPr>
              <m:t>TMS</m:t>
            </m:r>
          </m:e>
          <m:sub>
            <m:r>
              <m:t>12</m:t>
            </m:r>
          </m:sub>
        </m:sSub>
        <m:r>
          <m:rPr>
            <m:sty m:val="p"/>
          </m:rPr>
          <m:t>=</m:t>
        </m:r>
        <m:f>
          <m:fPr>
            <m:type m:val="bar"/>
          </m:fPr>
          <m:num>
            <m:r>
              <m:t>a</m:t>
            </m:r>
          </m:num>
          <m:den>
            <m:r>
              <m:t>b</m:t>
            </m:r>
          </m:den>
        </m:f>
        <m:r>
          <m:rPr>
            <m:sty m:val="p"/>
          </m:rPr>
          <m:t>⋅</m:t>
        </m:r>
        <m:f>
          <m:fPr>
            <m:type m:val="bar"/>
          </m:fPr>
          <m:num>
            <m:sSub>
              <m:e>
                <m:r>
                  <m:t>x</m:t>
                </m:r>
              </m:e>
              <m:sub>
                <m:r>
                  <m:t>2</m:t>
                </m:r>
              </m:sub>
            </m:sSub>
          </m:num>
          <m:den>
            <m:sSub>
              <m:e>
                <m:r>
                  <m:t>x</m:t>
                </m:r>
              </m:e>
              <m:sub>
                <m:r>
                  <m:t>1</m:t>
                </m:r>
              </m:sub>
            </m:sSub>
          </m:den>
        </m:f>
      </m:oMath>
      <w:r>
        <w:t xml:space="preserve">.</w:t>
      </w:r>
    </w:p>
    <w:p>
      <w:pPr>
        <w:pStyle w:val="BlockText"/>
      </w:pPr>
      <w:r>
        <w:rPr>
          <w:b/>
          <w:bCs/>
        </w:rPr>
        <w:t xml:space="preserve">Passo 3 — Avaliação no ponto dado</w:t>
      </w:r>
    </w:p>
    <w:p>
      <w:pPr>
        <w:pStyle w:val="BlockText"/>
      </w:pPr>
      <w:r>
        <w:t xml:space="preserve">$$</w:t>
      </w:r>
    </w:p>
    <w:p>
      <w:pPr>
        <w:pStyle w:val="BlockText"/>
      </w:pPr>
      <w:r>
        <w:t xml:space="preserve">_{12}(10, 15) =</w:t>
      </w:r>
      <w:r>
        <w:t xml:space="preserve"> </w:t>
      </w:r>
      <w:r>
        <w:t xml:space="preserve"> </w:t>
      </w:r>
      <w:r>
        <w:t xml:space="preserve"> </w:t>
      </w:r>
      <w:r>
        <w:t xml:space="preserve">=</w:t>
      </w:r>
      <w:r>
        <w:t xml:space="preserve"> </w:t>
      </w:r>
      <w:r>
        <w:t xml:space="preserve"> </w:t>
      </w:r>
      <w:r>
        <w:t xml:space="preserve">5 = 1</w:t>
      </w:r>
    </w:p>
    <w:p>
      <w:pPr>
        <w:pStyle w:val="BlockText"/>
      </w:pPr>
      <w:r>
        <w:t xml:space="preserve">$$</w:t>
      </w:r>
    </w:p>
    <w:p>
      <w:pPr>
        <w:pStyle w:val="BlockText"/>
      </w:pPr>
      <w:r>
        <w:rPr>
          <w:b/>
          <w:bCs/>
        </w:rPr>
        <w:t xml:space="preserve">Resultado:</w:t>
      </w:r>
      <w:r>
        <w:t xml:space="preserve"> </w:t>
      </w:r>
      <m:oMath>
        <m:sSub>
          <m:e>
            <m:r>
              <m:rPr>
                <m:nor/>
                <m:sty m:val="p"/>
              </m:rPr>
              <m:t>TMS</m:t>
            </m:r>
          </m:e>
          <m:sub>
            <m:r>
              <m:t>12</m:t>
            </m:r>
          </m:sub>
        </m:sSub>
        <m:r>
          <m:rPr>
            <m:sty m:val="p"/>
          </m:rPr>
          <m:t>=</m:t>
        </m:r>
        <m:r>
          <m:t>1</m:t>
        </m:r>
      </m:oMath>
      <w:r>
        <w:t xml:space="preserve"> </w:t>
      </w:r>
      <w:r>
        <w:t xml:space="preserve">no ponto</w:t>
      </w:r>
      <w:r>
        <w:t xml:space="preserve"> </w:t>
      </w:r>
      <m:oMath>
        <m:r>
          <m:rPr>
            <m:sty m:val="p"/>
          </m:rPr>
          <m:t>(</m:t>
        </m:r>
        <m:r>
          <m:t>10</m:t>
        </m:r>
        <m:r>
          <m:rPr>
            <m:sty m:val="p"/>
          </m:rPr>
          <m:t>,</m:t>
        </m:r>
        <m:r>
          <m:t>15</m:t>
        </m:r>
        <m:r>
          <m:rPr>
            <m:sty m:val="p"/>
          </m:rPr>
          <m:t>)</m:t>
        </m:r>
      </m:oMath>
      <w:r>
        <w:t xml:space="preserve">.</w:t>
      </w:r>
    </w:p>
    <w:p>
      <w:pPr>
        <w:pStyle w:val="BlockText"/>
      </w:pPr>
      <w:r>
        <w:rPr>
          <w:b/>
          <w:bCs/>
        </w:rPr>
        <w:t xml:space="preserve">Interpretação econômica:</w:t>
      </w:r>
      <w:r>
        <w:t xml:space="preserve"> </w:t>
      </w:r>
      <w:r>
        <w:t xml:space="preserve">No ponto</w:t>
      </w:r>
      <w:r>
        <w:t xml:space="preserve"> </w:t>
      </w:r>
      <m:oMath>
        <m:r>
          <m:rPr>
            <m:sty m:val="p"/>
          </m:rPr>
          <m:t>(</m:t>
        </m:r>
        <m:r>
          <m:t>10</m:t>
        </m:r>
        <m:r>
          <m:rPr>
            <m:sty m:val="p"/>
          </m:rPr>
          <m:t>,</m:t>
        </m:r>
        <m:r>
          <m:t>15</m:t>
        </m:r>
        <m:r>
          <m:rPr>
            <m:sty m:val="p"/>
          </m:rPr>
          <m:t>)</m:t>
        </m:r>
      </m:oMath>
      <w:r>
        <w:t xml:space="preserve">, o consumidor está disposto a trocar exatamente 1 unidade do bem 2 por 1 unidade adicional do bem 1, mantendo-se indiferente. Se pensarmos no bem 1 como transporte e no bem 2 como alimentação fora de casa no orçamento de uma família brasileira, a TMS igual a 1 significa que o consumidor valoriza igualmente uma unidade adicional de cada bem naquela composição de cesta. Se o preço relativo diferir de 1, haverá incentivo para realocar o consumo — tema do Capítulo 4.</w:t>
      </w:r>
    </w:p>
    <w:bookmarkEnd w:id="156"/>
    <w:bookmarkEnd w:id="157"/>
    <w:bookmarkStart w:id="167" w:name="X0838a0920eee485e5c72309c11794c0b4b17a89"/>
    <w:p>
      <w:pPr>
        <w:pStyle w:val="Heading2"/>
      </w:pPr>
      <w:r>
        <w:t xml:space="preserve">3.6–3.7 Formas Funcionais e Transformações Monotônicas</w:t>
      </w:r>
    </w:p>
    <w:bookmarkStart w:id="165" w:name="X8edc434a6f2845b95aaeef2a39cc5390539eb17"/>
    <w:p>
      <w:pPr>
        <w:pStyle w:val="Heading3"/>
      </w:pPr>
      <w:r>
        <w:t xml:space="preserve">3.6 O Cardápio das Preferências: Cobb-Douglas, CES e Companhia</w:t>
      </w:r>
    </w:p>
    <w:p>
      <w:pPr>
        <w:pStyle w:val="FirstParagraph"/>
      </w:pPr>
      <w:r>
        <w:t xml:space="preserve">Até aqui, a função de utilidade era abstrata — uma</w:t>
      </w:r>
      <w:r>
        <w:t xml:space="preserve"> </w:t>
      </w:r>
      <m:oMath>
        <m:r>
          <m:t>u</m:t>
        </m:r>
      </m:oMath>
      <w:r>
        <w:t xml:space="preserve"> </w:t>
      </w:r>
      <w:r>
        <w:t xml:space="preserve">genérica sem rosto. Agora é hora de conhecer as protagonistas pelo nome. Cada família de funções de utilidade captura um tipo diferente de consumidor: o que substitui facilmente (Cobb-Douglas), o que não substitui de jeito nenhum (Leontief), o que trata os bens como idênticos (substitutos perfeitos), e o camaleão que se adapta a qualquer grau de substituição (CES). Conhecer essas</w:t>
      </w:r>
      <w:r>
        <w:t xml:space="preserve"> </w:t>
      </w:r>
      <w:r>
        <w:t xml:space="preserve">“personagens”</w:t>
      </w:r>
      <w:r>
        <w:t xml:space="preserve"> </w:t>
      </w:r>
      <w:r>
        <w:t xml:space="preserve">é essencial porque elas reaparecerão em</w:t>
      </w:r>
      <w:r>
        <w:t xml:space="preserve"> </w:t>
      </w:r>
      <w:r>
        <w:rPr>
          <w:i/>
          <w:iCs/>
        </w:rPr>
        <w:t xml:space="preserve">todo</w:t>
      </w:r>
      <w:r>
        <w:t xml:space="preserve"> </w:t>
      </w:r>
      <w:r>
        <w:t xml:space="preserve">capítulo daqui para frente — da derivação de demandas à análise de comércio internacional.</w:t>
      </w:r>
    </w:p>
    <w:bookmarkStart w:id="158" w:name="cobb-douglas"/>
    <w:p>
      <w:pPr>
        <w:pStyle w:val="Heading4"/>
      </w:pPr>
      <w:r>
        <w:t xml:space="preserve">3.6.1 Cobb-Douglas</w:t>
      </w:r>
    </w:p>
    <w:p>
      <w:pPr>
        <w:pStyle w:val="FirstParagraph"/>
      </w:pPr>
      <w:r>
        <w:t xml:space="preserve">A função Cobb-Douglas é, sem dúvida, a forma funcional mais utilizada em microeconomia — tanto pela sua notável tratabilidade analítica quanto por suas propriedades econômicas intuitivas e empiricamente relevantes. Proposta originalmente por Charles Cobb e Paul Douglas (1928) no contexto da teoria da produção, ela rapidamente migrou para a teoria do consumidor, onde se tornou o</w:t>
      </w:r>
      <w:r>
        <w:t xml:space="preserve"> </w:t>
      </w:r>
      <w:r>
        <w:t xml:space="preserve">“cavalo de batalha”</w:t>
      </w:r>
      <w:r>
        <w:t xml:space="preserve"> </w:t>
      </w:r>
      <w:r>
        <w:t xml:space="preserve">de inúmeros modelos teóricos e aplicados. A função é definida como:</w:t>
      </w:r>
    </w:p>
    <w:p>
      <w:pPr>
        <w:pStyle w:val="BodyText"/>
      </w:pPr>
      <m:oMathPara>
        <m:oMathParaPr>
          <m:jc m:val="center"/>
        </m:oMathParaP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a</m:t>
              </m:r>
            </m:sup>
          </m:sSubSup>
          <m:r>
            <m:t> </m:t>
          </m:r>
          <m:sSubSup>
            <m:e>
              <m:r>
                <m:t>x</m:t>
              </m:r>
            </m:e>
            <m:sub>
              <m:r>
                <m:t>2</m:t>
              </m:r>
            </m:sub>
            <m:sup>
              <m:r>
                <m:t>b</m:t>
              </m:r>
            </m:sup>
          </m:sSubSup>
          <m:r>
            <m:rPr>
              <m:sty m:val="p"/>
            </m:rPr>
            <m:t>,</m:t>
          </m:r>
          <m:r>
            <m:t> </m:t>
          </m:r>
          <m:r>
            <m:t>a</m:t>
          </m:r>
          <m:r>
            <m:rPr>
              <m:sty m:val="p"/>
            </m:rPr>
            <m:t>,</m:t>
          </m:r>
          <m:r>
            <m:t>b</m:t>
          </m:r>
          <m:r>
            <m:rPr>
              <m:sty m:val="p"/>
            </m:rPr>
            <m:t>&gt;</m:t>
          </m:r>
          <m:r>
            <m:t>0</m:t>
          </m:r>
          <m:r>
            <m:rPr>
              <m:sty m:val="p"/>
            </m:rPr>
            <m:t>.</m:t>
          </m:r>
        </m:oMath>
      </m:oMathPara>
    </w:p>
    <w:p>
      <w:pPr>
        <w:pStyle w:val="FirstParagraph"/>
      </w:pPr>
      <w:r>
        <w:t xml:space="preserve">Geometricamente, as curvas de indiferença da Cobb-Douglas são hipérboles convexas, estritamente decrescentes e assintóticas aos eixos coordenados. A assíntota implica que o consumidor nunca deseja quantidades nulas de qualquer bem: por maior que seja a quantidade de</w:t>
      </w:r>
      <w:r>
        <w:t xml:space="preserve"> </w:t>
      </w:r>
      <m:oMath>
        <m:sSub>
          <m:e>
            <m:r>
              <m:t>x</m:t>
            </m:r>
          </m:e>
          <m:sub>
            <m:r>
              <m:t>1</m:t>
            </m:r>
          </m:sub>
        </m:sSub>
      </m:oMath>
      <w:r>
        <w:t xml:space="preserve">, uma pequena quantidade positiva de</w:t>
      </w:r>
      <w:r>
        <w:t xml:space="preserve"> </w:t>
      </w:r>
      <m:oMath>
        <m:sSub>
          <m:e>
            <m:r>
              <m:t>x</m:t>
            </m:r>
          </m:e>
          <m:sub>
            <m:r>
              <m:t>2</m:t>
            </m:r>
          </m:sub>
        </m:sSub>
      </m:oMath>
      <w:r>
        <w:t xml:space="preserve"> </w:t>
      </w:r>
      <w:r>
        <w:t xml:space="preserve">sempre é necessária para manter a utilidade positiva. A TMS é:</w:t>
      </w:r>
    </w:p>
    <w:p>
      <w:pPr>
        <w:pStyle w:val="BodyText"/>
      </w:pPr>
      <m:oMathPara>
        <m:oMathParaPr>
          <m:jc m:val="center"/>
        </m:oMathParaPr>
        <m:oMath>
          <m:sSub>
            <m:e>
              <m:r>
                <m:rPr>
                  <m:nor/>
                  <m:sty m:val="p"/>
                </m:rPr>
                <m:t>TMS</m:t>
              </m:r>
            </m:e>
            <m:sub>
              <m:r>
                <m:t>12</m:t>
              </m:r>
            </m:sub>
          </m:sSub>
          <m:r>
            <m:rPr>
              <m:sty m:val="p"/>
            </m:rPr>
            <m:t>=</m:t>
          </m:r>
          <m:f>
            <m:fPr>
              <m:type m:val="bar"/>
            </m:fPr>
            <m:num>
              <m:r>
                <m:t>a</m:t>
              </m:r>
              <m:r>
                <m:t> </m:t>
              </m:r>
              <m:sSub>
                <m:e>
                  <m:r>
                    <m:t>x</m:t>
                  </m:r>
                </m:e>
                <m:sub>
                  <m:r>
                    <m:t>2</m:t>
                  </m:r>
                </m:sub>
              </m:sSub>
            </m:num>
            <m:den>
              <m:r>
                <m:t>b</m:t>
              </m:r>
              <m:r>
                <m:t> </m:t>
              </m:r>
              <m:sSub>
                <m:e>
                  <m:r>
                    <m:t>x</m:t>
                  </m:r>
                </m:e>
                <m:sub>
                  <m:r>
                    <m:t>1</m:t>
                  </m:r>
                </m:sub>
              </m:sSub>
            </m:den>
          </m:f>
          <m:r>
            <m:rPr>
              <m:sty m:val="p"/>
            </m:rPr>
            <m:t>.</m:t>
          </m:r>
        </m:oMath>
      </m:oMathPara>
    </w:p>
    <w:p>
      <w:pPr>
        <w:pStyle w:val="FirstParagraph"/>
      </w:pPr>
      <w:r>
        <w:t xml:space="preserve">Observe que a TMS depende da razão</w:t>
      </w:r>
      <w:r>
        <w:t xml:space="preserve"> </w:t>
      </w:r>
      <m:oMath>
        <m:sSub>
          <m:e>
            <m:r>
              <m:t>x</m:t>
            </m:r>
          </m:e>
          <m:sub>
            <m:r>
              <m:t>2</m:t>
            </m:r>
          </m:sub>
        </m:sSub>
        <m:r>
          <m:rPr>
            <m:sty m:val="p"/>
          </m:rPr>
          <m:t>/</m:t>
        </m:r>
        <m:sSub>
          <m:e>
            <m:r>
              <m:t>x</m:t>
            </m:r>
          </m:e>
          <m:sub>
            <m:r>
              <m:t>1</m:t>
            </m:r>
          </m:sub>
        </m:sSub>
      </m:oMath>
      <w:r>
        <w:t xml:space="preserve">: quando o consumidor tem muito do bem 2 e pouco do bem 1, a TMS é alta — ele valoriza muito uma unidade adicional do bem 1. À medida que adquire mais do bem 1, a TMS cai, refletindo a TMS decrescente discutida na Seção 3.4.</w:t>
      </w:r>
    </w:p>
    <w:p>
      <w:pPr>
        <w:pStyle w:val="BodyText"/>
      </w:pPr>
      <w:r>
        <w:t xml:space="preserve">A função Cobb-Douglas é extremamente conveniente por gerar funções de demanda com forma fechada, o que simplifica consideravelmente os cálculos. A participação de cada bem na despesa total é constante:</w:t>
      </w:r>
      <w:r>
        <w:t xml:space="preserve"> </w:t>
      </w:r>
      <m:oMath>
        <m:f>
          <m:fPr>
            <m:type m:val="bar"/>
          </m:fPr>
          <m:num>
            <m:r>
              <m:t>a</m:t>
            </m:r>
          </m:num>
          <m:den>
            <m:r>
              <m:t>a</m:t>
            </m:r>
            <m:r>
              <m:rPr>
                <m:sty m:val="p"/>
              </m:rPr>
              <m:t>+</m:t>
            </m:r>
            <m:r>
              <m:t>b</m:t>
            </m:r>
          </m:den>
        </m:f>
      </m:oMath>
      <w:r>
        <w:t xml:space="preserve"> </w:t>
      </w:r>
      <w:r>
        <w:t xml:space="preserve">para o bem 1 e</w:t>
      </w:r>
      <w:r>
        <w:t xml:space="preserve"> </w:t>
      </w:r>
      <m:oMath>
        <m:f>
          <m:fPr>
            <m:type m:val="bar"/>
          </m:fPr>
          <m:num>
            <m:r>
              <m:t>b</m:t>
            </m:r>
          </m:num>
          <m:den>
            <m:r>
              <m:t>a</m:t>
            </m:r>
            <m:r>
              <m:rPr>
                <m:sty m:val="p"/>
              </m:rPr>
              <m:t>+</m:t>
            </m:r>
            <m:r>
              <m:t>b</m:t>
            </m:r>
          </m:den>
        </m:f>
      </m:oMath>
      <w:r>
        <w:t xml:space="preserve"> </w:t>
      </w:r>
      <w:r>
        <w:t xml:space="preserve">para o bem 2 — uma propriedade notável que independe tanto dos preços quanto da renda. A elasticidade de substituição é</w:t>
      </w:r>
      <w:r>
        <w:t xml:space="preserve"> </w:t>
      </w:r>
      <m:oMath>
        <m:r>
          <m:t>σ</m:t>
        </m:r>
        <m:r>
          <m:rPr>
            <m:sty m:val="p"/>
          </m:rPr>
          <m:t>=</m:t>
        </m:r>
        <m:r>
          <m:t>1</m:t>
        </m:r>
      </m:oMath>
      <w:r>
        <w:t xml:space="preserve">, indicando que, quando o preço relativo de um bem sobe 1%, a razão entre as quantidades consumidas se ajusta exatamente 1% na direção oposta.</w:t>
      </w:r>
    </w:p>
    <w:bookmarkEnd w:id="158"/>
    <w:bookmarkStart w:id="159" w:name="substitutos-perfeitos"/>
    <w:p>
      <w:pPr>
        <w:pStyle w:val="Heading4"/>
      </w:pPr>
      <w:r>
        <w:t xml:space="preserve">3.6.2 Substitutos Perfeitos</w:t>
      </w:r>
    </w:p>
    <w:p>
      <w:pPr>
        <w:pStyle w:val="FirstParagraph"/>
      </w:pPr>
      <w:r>
        <w:t xml:space="preserve">No extremo oposto da substituibilidade, considere bens que o consumidor troca livremente entre si a uma taxa fixa — como, para muitos consumidores, manteiga e margarina, ou gasolina comum e aditivada. Para esse consumidor, o que importa é apenas a quantidade total de</w:t>
      </w:r>
      <w:r>
        <w:t xml:space="preserve"> </w:t>
      </w:r>
      <w:r>
        <w:t xml:space="preserve">“gordura para cozinhar”</w:t>
      </w:r>
      <w:r>
        <w:t xml:space="preserve"> </w:t>
      </w:r>
      <w:r>
        <w:t xml:space="preserve">ou de</w:t>
      </w:r>
      <w:r>
        <w:t xml:space="preserve"> </w:t>
      </w:r>
      <w:r>
        <w:t xml:space="preserve">“combustível”</w:t>
      </w:r>
      <w:r>
        <w:t xml:space="preserve">, não a composição específica da cesta. Nesse caso, a função de utilidade assume a forma linear:</w:t>
      </w:r>
    </w:p>
    <w:p>
      <w:pPr>
        <w:pStyle w:val="BodyText"/>
      </w:pPr>
      <m:oMathPara>
        <m:oMathParaPr>
          <m:jc m:val="center"/>
        </m:oMathParaPr>
        <m:oMath>
          <m:r>
            <m:t>u</m:t>
          </m:r>
          <m:r>
            <m:rPr>
              <m:sty m:val="p"/>
            </m:rPr>
            <m:t>(</m:t>
          </m:r>
          <m:sSub>
            <m:e>
              <m:r>
                <m:t>x</m:t>
              </m:r>
            </m:e>
            <m:sub>
              <m:r>
                <m:t>1</m:t>
              </m:r>
            </m:sub>
          </m:sSub>
          <m:r>
            <m:rPr>
              <m:sty m:val="p"/>
            </m:rPr>
            <m:t>,</m:t>
          </m:r>
          <m:sSub>
            <m:e>
              <m:r>
                <m:t>x</m:t>
              </m:r>
            </m:e>
            <m:sub>
              <m:r>
                <m:t>2</m:t>
              </m:r>
            </m:sub>
          </m:sSub>
          <m:r>
            <m:rPr>
              <m:sty m:val="p"/>
            </m:rPr>
            <m:t>)</m:t>
          </m:r>
          <m:r>
            <m:rPr>
              <m:sty m:val="p"/>
            </m:rPr>
            <m:t>=</m:t>
          </m:r>
          <m:r>
            <m:t>a</m:t>
          </m:r>
          <m:sSub>
            <m:e>
              <m:r>
                <m:t>x</m:t>
              </m:r>
            </m:e>
            <m:sub>
              <m:r>
                <m:t>1</m:t>
              </m:r>
            </m:sub>
          </m:sSub>
          <m:r>
            <m:rPr>
              <m:sty m:val="p"/>
            </m:rPr>
            <m:t>+</m:t>
          </m:r>
          <m:r>
            <m:t>b</m:t>
          </m:r>
          <m:sSub>
            <m:e>
              <m:r>
                <m:t>x</m:t>
              </m:r>
            </m:e>
            <m:sub>
              <m:r>
                <m:t>2</m:t>
              </m:r>
            </m:sub>
          </m:sSub>
          <m:r>
            <m:rPr>
              <m:sty m:val="p"/>
            </m:rPr>
            <m:t>,</m:t>
          </m:r>
          <m:r>
            <m:t> </m:t>
          </m:r>
          <m:r>
            <m:t>a</m:t>
          </m:r>
          <m:r>
            <m:rPr>
              <m:sty m:val="p"/>
            </m:rPr>
            <m:t>,</m:t>
          </m:r>
          <m:r>
            <m:t>b</m:t>
          </m:r>
          <m:r>
            <m:rPr>
              <m:sty m:val="p"/>
            </m:rPr>
            <m:t>&gt;</m:t>
          </m:r>
          <m:r>
            <m:t>0</m:t>
          </m:r>
          <m:r>
            <m:rPr>
              <m:sty m:val="p"/>
            </m:rPr>
            <m:t>.</m:t>
          </m:r>
        </m:oMath>
      </m:oMathPara>
    </w:p>
    <w:p>
      <w:pPr>
        <w:pStyle w:val="FirstParagraph"/>
      </w:pPr>
      <w:r>
        <w:t xml:space="preserve">As curvas de indiferença são</w:t>
      </w:r>
      <w:r>
        <w:t xml:space="preserve"> </w:t>
      </w:r>
      <w:r>
        <w:rPr>
          <w:b/>
          <w:bCs/>
        </w:rPr>
        <w:t xml:space="preserve">linhas retas</w:t>
      </w:r>
      <w:r>
        <w:t xml:space="preserve"> </w:t>
      </w:r>
      <w:r>
        <w:t xml:space="preserve">com inclinação</w:t>
      </w:r>
      <w:r>
        <w:t xml:space="preserve"> </w:t>
      </w:r>
      <m:oMath>
        <m:r>
          <m:rPr>
            <m:sty m:val="p"/>
          </m:rPr>
          <m:t>−</m:t>
        </m:r>
        <m:r>
          <m:t>a</m:t>
        </m:r>
        <m:r>
          <m:rPr>
            <m:sty m:val="p"/>
          </m:rPr>
          <m:t>/</m:t>
        </m:r>
        <m:r>
          <m:t>b</m:t>
        </m:r>
      </m:oMath>
      <w:r>
        <w:t xml:space="preserve">, paralelas entre si no espaço</w:t>
      </w:r>
      <w:r>
        <w:t xml:space="preserve"> </w:t>
      </w:r>
      <m:oMath>
        <m:r>
          <m:rPr>
            <m:sty m:val="p"/>
          </m:rPr>
          <m:t>(</m:t>
        </m:r>
        <m:sSub>
          <m:e>
            <m:r>
              <m:t>x</m:t>
            </m:r>
          </m:e>
          <m:sub>
            <m:r>
              <m:t>1</m:t>
            </m:r>
          </m:sub>
        </m:sSub>
        <m:r>
          <m:rPr>
            <m:sty m:val="p"/>
          </m:rPr>
          <m:t>,</m:t>
        </m:r>
        <m:sSub>
          <m:e>
            <m:r>
              <m:t>x</m:t>
            </m:r>
          </m:e>
          <m:sub>
            <m:r>
              <m:t>2</m:t>
            </m:r>
          </m:sub>
        </m:sSub>
        <m:r>
          <m:rPr>
            <m:sty m:val="p"/>
          </m:rPr>
          <m:t>)</m:t>
        </m:r>
      </m:oMath>
      <w:r>
        <w:t xml:space="preserve">. Curvas de indiferença mais altas (maiores níveis de utilidade) estão mais afastadas da origem. A TMS é constante em todos os pontos:</w:t>
      </w:r>
    </w:p>
    <w:p>
      <w:pPr>
        <w:pStyle w:val="BodyText"/>
      </w:pPr>
      <m:oMathPara>
        <m:oMathParaPr>
          <m:jc m:val="center"/>
        </m:oMathParaPr>
        <m:oMath>
          <m:sSub>
            <m:e>
              <m:r>
                <m:rPr>
                  <m:nor/>
                  <m:sty m:val="p"/>
                </m:rPr>
                <m:t>TMS</m:t>
              </m:r>
            </m:e>
            <m:sub>
              <m:r>
                <m:t>12</m:t>
              </m:r>
            </m:sub>
          </m:sSub>
          <m:r>
            <m:rPr>
              <m:sty m:val="p"/>
            </m:rPr>
            <m:t>=</m:t>
          </m:r>
          <m:f>
            <m:fPr>
              <m:type m:val="bar"/>
            </m:fPr>
            <m:num>
              <m:r>
                <m:t>a</m:t>
              </m:r>
            </m:num>
            <m:den>
              <m:r>
                <m:t>b</m:t>
              </m:r>
            </m:den>
          </m:f>
          <m:r>
            <m:rPr>
              <m:sty m:val="p"/>
            </m:rPr>
            <m:t>.</m:t>
          </m:r>
        </m:oMath>
      </m:oMathPara>
    </w:p>
    <w:p>
      <w:pPr>
        <w:pStyle w:val="FirstParagraph"/>
      </w:pPr>
      <w:r>
        <w:t xml:space="preserve">O consumidor troca os bens a uma taxa fixa, independente da composição da cesta — não há TMS decrescente, pois a disposição a substituir nunca se altera. A elasticidade de substituição é</w:t>
      </w:r>
      <w:r>
        <w:t xml:space="preserve"> </w:t>
      </w:r>
      <m:oMath>
        <m:r>
          <m:t>σ</m:t>
        </m:r>
        <m:r>
          <m:rPr>
            <m:sty m:val="p"/>
          </m:rPr>
          <m:t>=</m:t>
        </m:r>
        <m:r>
          <m:rPr>
            <m:sty m:val="p"/>
          </m:rPr>
          <m:t>∞</m:t>
        </m:r>
      </m:oMath>
      <w:r>
        <w:t xml:space="preserve">, refletindo a perfeita substituibilidade.</w:t>
      </w:r>
    </w:p>
    <w:p>
      <w:pPr>
        <w:pStyle w:val="BlockText"/>
      </w:pPr>
      <w:r>
        <w:rPr>
          <w:b/>
          <w:bCs/>
        </w:rPr>
        <w:t xml:space="preserve">[ATENCAO] Substitutos perfeitos geram soluções de canto</w:t>
      </w:r>
    </w:p>
    <w:p>
      <w:pPr>
        <w:pStyle w:val="BlockText"/>
      </w:pPr>
      <w:r>
        <w:t xml:space="preserve">Diferentemente das demais formas funcionais, a solução ótima com substitutos perfeitos tipicamente</w:t>
      </w:r>
      <w:r>
        <w:t xml:space="preserve"> </w:t>
      </w:r>
      <w:r>
        <w:rPr>
          <w:b/>
          <w:bCs/>
        </w:rPr>
        <w:t xml:space="preserve">não é interior</w:t>
      </w:r>
      <w:r>
        <w:t xml:space="preserve">: o consumidor gasta toda a renda no bem que oferece maior</w:t>
      </w:r>
      <w:r>
        <w:t xml:space="preserve"> </w:t>
      </w:r>
      <w:r>
        <w:t xml:space="preserve">“valor por unidade monetária”</w:t>
      </w:r>
      <w:r>
        <w:t xml:space="preserve"> </w:t>
      </w:r>
      <w:r>
        <w:t xml:space="preserve">— isto é, maior razão</w:t>
      </w:r>
      <w:r>
        <w:t xml:space="preserve"> </w:t>
      </w:r>
      <m:oMath>
        <m:sSub>
          <m:e>
            <m:r>
              <m:t>a</m:t>
            </m:r>
          </m:e>
          <m:sub>
            <m:r>
              <m:t>i</m:t>
            </m:r>
          </m:sub>
        </m:sSub>
        <m:r>
          <m:rPr>
            <m:sty m:val="p"/>
          </m:rPr>
          <m:t>/</m:t>
        </m:r>
        <m:sSub>
          <m:e>
            <m:r>
              <m:t>p</m:t>
            </m:r>
          </m:e>
          <m:sub>
            <m:r>
              <m:t>i</m:t>
            </m:r>
          </m:sub>
        </m:sSub>
      </m:oMath>
      <w:r>
        <w:t xml:space="preserve">. Formalmente:</w:t>
      </w:r>
    </w:p>
    <w:p>
      <w:pPr>
        <w:pStyle w:val="Compact"/>
        <w:numPr>
          <w:ilvl w:val="0"/>
          <w:numId w:val="1074"/>
        </w:numPr>
      </w:pPr>
      <w:r>
        <w:t xml:space="preserve">Se</w:t>
      </w:r>
      <w:r>
        <w:t xml:space="preserve"> </w:t>
      </w:r>
      <m:oMath>
        <m:r>
          <m:t>a</m:t>
        </m:r>
        <m:r>
          <m:rPr>
            <m:sty m:val="p"/>
          </m:rPr>
          <m:t>/</m:t>
        </m:r>
        <m:sSub>
          <m:e>
            <m:r>
              <m:t>p</m:t>
            </m:r>
          </m:e>
          <m:sub>
            <m:r>
              <m:t>1</m:t>
            </m:r>
          </m:sub>
        </m:sSub>
        <m:r>
          <m:rPr>
            <m:sty m:val="p"/>
          </m:rPr>
          <m:t>&gt;</m:t>
        </m:r>
        <m:r>
          <m:t>b</m:t>
        </m:r>
        <m:r>
          <m:rPr>
            <m:sty m:val="p"/>
          </m:rPr>
          <m:t>/</m:t>
        </m:r>
        <m:sSub>
          <m:e>
            <m:r>
              <m:t>p</m:t>
            </m:r>
          </m:e>
          <m:sub>
            <m:r>
              <m:t>2</m:t>
            </m:r>
          </m:sub>
        </m:sSub>
      </m:oMath>
      <w:r>
        <w:t xml:space="preserve">:</w:t>
      </w:r>
      <w:r>
        <w:t xml:space="preserve"> </w:t>
      </w:r>
      <m:oMath>
        <m:sSubSup>
          <m:e>
            <m:r>
              <m:t>x</m:t>
            </m:r>
          </m:e>
          <m:sub>
            <m:r>
              <m:t>1</m:t>
            </m:r>
          </m:sub>
          <m:sup>
            <m:r>
              <m:rPr>
                <m:sty m:val="p"/>
              </m:rPr>
              <m:t>*</m:t>
            </m:r>
          </m:sup>
        </m:sSubSup>
        <m:r>
          <m:rPr>
            <m:sty m:val="p"/>
          </m:rPr>
          <m:t>=</m:t>
        </m:r>
        <m:r>
          <m:t>m</m:t>
        </m:r>
        <m:r>
          <m:rPr>
            <m:sty m:val="p"/>
          </m:rPr>
          <m:t>/</m:t>
        </m:r>
        <m:sSub>
          <m:e>
            <m:r>
              <m:t>p</m:t>
            </m:r>
          </m:e>
          <m:sub>
            <m:r>
              <m:t>1</m:t>
            </m:r>
          </m:sub>
        </m:sSub>
      </m:oMath>
      <w:r>
        <w:t xml:space="preserve">,</w:t>
      </w:r>
      <w:r>
        <w:t xml:space="preserve"> </w:t>
      </w:r>
      <m:oMath>
        <m:sSubSup>
          <m:e>
            <m:r>
              <m:t>x</m:t>
            </m:r>
          </m:e>
          <m:sub>
            <m:r>
              <m:t>2</m:t>
            </m:r>
          </m:sub>
          <m:sup>
            <m:r>
              <m:rPr>
                <m:sty m:val="p"/>
              </m:rPr>
              <m:t>*</m:t>
            </m:r>
          </m:sup>
        </m:sSubSup>
        <m:r>
          <m:rPr>
            <m:sty m:val="p"/>
          </m:rPr>
          <m:t>=</m:t>
        </m:r>
        <m:r>
          <m:t>0</m:t>
        </m:r>
      </m:oMath>
      <w:r>
        <w:t xml:space="preserve"> </w:t>
      </w:r>
      <w:r>
        <w:t xml:space="preserve">— especialização total no bem 1.</w:t>
      </w:r>
    </w:p>
    <w:p>
      <w:pPr>
        <w:pStyle w:val="Compact"/>
        <w:numPr>
          <w:ilvl w:val="0"/>
          <w:numId w:val="1074"/>
        </w:numPr>
      </w:pPr>
      <w:r>
        <w:t xml:space="preserve">Se</w:t>
      </w:r>
      <w:r>
        <w:t xml:space="preserve"> </w:t>
      </w:r>
      <m:oMath>
        <m:r>
          <m:t>a</m:t>
        </m:r>
        <m:r>
          <m:rPr>
            <m:sty m:val="p"/>
          </m:rPr>
          <m:t>/</m:t>
        </m:r>
        <m:sSub>
          <m:e>
            <m:r>
              <m:t>p</m:t>
            </m:r>
          </m:e>
          <m:sub>
            <m:r>
              <m:t>1</m:t>
            </m:r>
          </m:sub>
        </m:sSub>
        <m:r>
          <m:rPr>
            <m:sty m:val="p"/>
          </m:rPr>
          <m:t>&lt;</m:t>
        </m:r>
        <m:r>
          <m:t>b</m:t>
        </m:r>
        <m:r>
          <m:rPr>
            <m:sty m:val="p"/>
          </m:rPr>
          <m:t>/</m:t>
        </m:r>
        <m:sSub>
          <m:e>
            <m:r>
              <m:t>p</m:t>
            </m:r>
          </m:e>
          <m:sub>
            <m:r>
              <m:t>2</m:t>
            </m:r>
          </m:sub>
        </m:sSub>
      </m:oMath>
      <w:r>
        <w:t xml:space="preserve">:</w:t>
      </w:r>
      <w:r>
        <w:t xml:space="preserve"> </w:t>
      </w:r>
      <m:oMath>
        <m:sSubSup>
          <m:e>
            <m:r>
              <m:t>x</m:t>
            </m:r>
          </m:e>
          <m:sub>
            <m:r>
              <m:t>1</m:t>
            </m:r>
          </m:sub>
          <m:sup>
            <m:r>
              <m:rPr>
                <m:sty m:val="p"/>
              </m:rPr>
              <m:t>*</m:t>
            </m:r>
          </m:sup>
        </m:sSubSup>
        <m:r>
          <m:rPr>
            <m:sty m:val="p"/>
          </m:rPr>
          <m:t>=</m:t>
        </m:r>
        <m:r>
          <m:t>0</m:t>
        </m:r>
      </m:oMath>
      <w:r>
        <w:t xml:space="preserve">,</w:t>
      </w:r>
      <w:r>
        <w:t xml:space="preserve"> </w:t>
      </w:r>
      <m:oMath>
        <m:sSubSup>
          <m:e>
            <m:r>
              <m:t>x</m:t>
            </m:r>
          </m:e>
          <m:sub>
            <m:r>
              <m:t>2</m:t>
            </m:r>
          </m:sub>
          <m:sup>
            <m:r>
              <m:rPr>
                <m:sty m:val="p"/>
              </m:rPr>
              <m:t>*</m:t>
            </m:r>
          </m:sup>
        </m:sSubSup>
        <m:r>
          <m:rPr>
            <m:sty m:val="p"/>
          </m:rPr>
          <m:t>=</m:t>
        </m:r>
        <m:r>
          <m:t>m</m:t>
        </m:r>
        <m:r>
          <m:rPr>
            <m:sty m:val="p"/>
          </m:rPr>
          <m:t>/</m:t>
        </m:r>
        <m:sSub>
          <m:e>
            <m:r>
              <m:t>p</m:t>
            </m:r>
          </m:e>
          <m:sub>
            <m:r>
              <m:t>2</m:t>
            </m:r>
          </m:sub>
        </m:sSub>
      </m:oMath>
      <w:r>
        <w:t xml:space="preserve"> </w:t>
      </w:r>
      <w:r>
        <w:t xml:space="preserve">— especialização total no bem 2.</w:t>
      </w:r>
    </w:p>
    <w:p>
      <w:pPr>
        <w:pStyle w:val="Compact"/>
        <w:numPr>
          <w:ilvl w:val="0"/>
          <w:numId w:val="1074"/>
        </w:numPr>
      </w:pPr>
      <w:r>
        <w:t xml:space="preserve">Se</w:t>
      </w:r>
      <w:r>
        <w:t xml:space="preserve"> </w:t>
      </w:r>
      <m:oMath>
        <m:r>
          <m:t>a</m:t>
        </m:r>
        <m:r>
          <m:rPr>
            <m:sty m:val="p"/>
          </m:rPr>
          <m:t>/</m:t>
        </m:r>
        <m:sSub>
          <m:e>
            <m:r>
              <m:t>p</m:t>
            </m:r>
          </m:e>
          <m:sub>
            <m:r>
              <m:t>1</m:t>
            </m:r>
          </m:sub>
        </m:sSub>
        <m:r>
          <m:rPr>
            <m:sty m:val="p"/>
          </m:rPr>
          <m:t>=</m:t>
        </m:r>
        <m:r>
          <m:t>b</m:t>
        </m:r>
        <m:r>
          <m:rPr>
            <m:sty m:val="p"/>
          </m:rPr>
          <m:t>/</m:t>
        </m:r>
        <m:sSub>
          <m:e>
            <m:r>
              <m:t>p</m:t>
            </m:r>
          </m:e>
          <m:sub>
            <m:r>
              <m:t>2</m:t>
            </m:r>
          </m:sub>
        </m:sSub>
      </m:oMath>
      <w:r>
        <w:t xml:space="preserve">: qualquer cesta na reta orçamentária é ótima (caso-faca).</w:t>
      </w:r>
    </w:p>
    <w:p>
      <w:pPr>
        <w:pStyle w:val="BlockText"/>
      </w:pPr>
      <w:r>
        <w:t xml:space="preserve">Na prática, isso significa que a condição de tangência</w:t>
      </w:r>
      <w:r>
        <w:t xml:space="preserve"> </w:t>
      </w:r>
      <m:oMath>
        <m:r>
          <m:rPr>
            <m:nor/>
            <m:sty m:val="p"/>
          </m:rPr>
          <m:t>TMS</m:t>
        </m:r>
        <m:r>
          <m:rPr>
            <m:sty m:val="p"/>
          </m:rPr>
          <m:t>=</m:t>
        </m:r>
        <m:sSub>
          <m:e>
            <m:r>
              <m:t>p</m:t>
            </m:r>
          </m:e>
          <m:sub>
            <m:r>
              <m:t>1</m:t>
            </m:r>
          </m:sub>
        </m:sSub>
        <m:r>
          <m:rPr>
            <m:sty m:val="p"/>
          </m:rPr>
          <m:t>/</m:t>
        </m:r>
        <m:sSub>
          <m:e>
            <m:r>
              <m:t>p</m:t>
            </m:r>
          </m:e>
          <m:sub>
            <m:r>
              <m:t>2</m:t>
            </m:r>
          </m:sub>
        </m:sSub>
      </m:oMath>
      <w:r>
        <w:t xml:space="preserve"> </w:t>
      </w:r>
      <w:r>
        <w:t xml:space="preserve">não se aplica: como a TMS é constante e a reta orçamentária também tem inclinação constante, as duas nunca se</w:t>
      </w:r>
      <w:r>
        <w:t xml:space="preserve"> </w:t>
      </w:r>
      <w:r>
        <w:t xml:space="preserve">“encontram”</w:t>
      </w:r>
      <w:r>
        <w:t xml:space="preserve"> </w:t>
      </w:r>
      <w:r>
        <w:t xml:space="preserve">em um ponto interior (a menos do caso-faca). Essa é uma exceção importante à regra geral de otimização do Capítulo 4.</w:t>
      </w:r>
    </w:p>
    <w:bookmarkEnd w:id="159"/>
    <w:bookmarkStart w:id="161" w:name="complementos-perfeitos"/>
    <w:p>
      <w:pPr>
        <w:pStyle w:val="Heading4"/>
      </w:pPr>
      <w:r>
        <w:t xml:space="preserve">3.6.3 Complementos Perfeitos</w:t>
      </w:r>
    </w:p>
    <w:p>
      <w:pPr>
        <w:pStyle w:val="FirstParagraph"/>
      </w:pPr>
      <w:r>
        <w:t xml:space="preserve">Se os substitutos perfeitos representam a máxima disposição a trocar entre bens, os complementos perfeitos ocupam o extremo oposto do espectro de substituibilidade: os bens só têm valor quando consumidos juntos, em proporções fixas.</w:t>
      </w:r>
      <w:r>
        <w:rPr>
          <w:rStyle w:val="FootnoteReference"/>
        </w:rPr>
        <w:footnoteReference w:id="160"/>
      </w:r>
    </w:p>
    <w:p>
      <w:pPr>
        <w:pStyle w:val="BodyText"/>
      </w:pPr>
      <m:oMathPara>
        <m:oMathParaPr>
          <m:jc m:val="center"/>
        </m:oMathParaPr>
        <m:oMath>
          <m:r>
            <m:t>u</m:t>
          </m:r>
          <m:r>
            <m:rPr>
              <m:sty m:val="p"/>
            </m:rPr>
            <m:t>(</m:t>
          </m:r>
          <m:sSub>
            <m:e>
              <m:r>
                <m:t>x</m:t>
              </m:r>
            </m:e>
            <m:sub>
              <m:r>
                <m:t>1</m:t>
              </m:r>
            </m:sub>
          </m:sSub>
          <m:r>
            <m:rPr>
              <m:sty m:val="p"/>
            </m:rPr>
            <m:t>,</m:t>
          </m:r>
          <m:sSub>
            <m:e>
              <m:r>
                <m:t>x</m:t>
              </m:r>
            </m:e>
            <m:sub>
              <m:r>
                <m:t>2</m:t>
              </m:r>
            </m:sub>
          </m:sSub>
          <m:r>
            <m:rPr>
              <m:sty m:val="p"/>
            </m:rPr>
            <m:t>)</m:t>
          </m:r>
          <m:r>
            <m:rPr>
              <m:sty m:val="p"/>
            </m:rPr>
            <m:t>=</m:t>
          </m:r>
          <m:r>
            <m:rPr>
              <m:sty m:val="p"/>
            </m:rPr>
            <m:t>min</m:t>
          </m:r>
          <m:r>
            <m:rPr>
              <m:sty m:val="p"/>
            </m:rPr>
            <m:t>{</m:t>
          </m:r>
          <m:r>
            <m:t>a</m:t>
          </m:r>
          <m:sSub>
            <m:e>
              <m:r>
                <m:t>x</m:t>
              </m:r>
            </m:e>
            <m:sub>
              <m:r>
                <m:t>1</m:t>
              </m:r>
            </m:sub>
          </m:sSub>
          <m:r>
            <m:rPr>
              <m:sty m:val="p"/>
            </m:rPr>
            <m:t>,</m:t>
          </m:r>
          <m:r>
            <m:t> </m:t>
          </m:r>
          <m:r>
            <m:t>b</m:t>
          </m:r>
          <m:sSub>
            <m:e>
              <m:r>
                <m:t>x</m:t>
              </m:r>
            </m:e>
            <m:sub>
              <m:r>
                <m:t>2</m:t>
              </m:r>
            </m:sub>
          </m:sSub>
          <m:r>
            <m:rPr>
              <m:sty m:val="p"/>
            </m:rPr>
            <m:t>}</m:t>
          </m:r>
          <m:r>
            <m:rPr>
              <m:sty m:val="p"/>
            </m:rPr>
            <m:t>,</m:t>
          </m:r>
          <m:r>
            <m:t> </m:t>
          </m:r>
          <m:r>
            <m:t>a</m:t>
          </m:r>
          <m:r>
            <m:rPr>
              <m:sty m:val="p"/>
            </m:rPr>
            <m:t>,</m:t>
          </m:r>
          <m:r>
            <m:t>b</m:t>
          </m:r>
          <m:r>
            <m:rPr>
              <m:sty m:val="p"/>
            </m:rPr>
            <m:t>&gt;</m:t>
          </m:r>
          <m:r>
            <m:t>0</m:t>
          </m:r>
          <m:r>
            <m:rPr>
              <m:sty m:val="p"/>
            </m:rPr>
            <m:t>.</m:t>
          </m:r>
        </m:oMath>
      </m:oMathPara>
    </w:p>
    <w:p>
      <w:pPr>
        <w:pStyle w:val="FirstParagraph"/>
      </w:pPr>
      <w:r>
        <w:t xml:space="preserve">As curvas de indiferença têm formato de</w:t>
      </w:r>
      <w:r>
        <w:t xml:space="preserve"> </w:t>
      </w:r>
      <w:r>
        <w:rPr>
          <w:b/>
          <w:bCs/>
        </w:rPr>
        <w:t xml:space="preserve">L</w:t>
      </w:r>
      <w:r>
        <w:t xml:space="preserve"> </w:t>
      </w:r>
      <w:r>
        <w:t xml:space="preserve">(ângulo reto), com vértice na reta</w:t>
      </w:r>
      <w:r>
        <w:t xml:space="preserve"> </w:t>
      </w:r>
      <m:oMath>
        <m:r>
          <m:t>a</m:t>
        </m:r>
        <m:sSub>
          <m:e>
            <m:r>
              <m:t>x</m:t>
            </m:r>
          </m:e>
          <m:sub>
            <m:r>
              <m:t>1</m:t>
            </m:r>
          </m:sub>
        </m:sSub>
        <m:r>
          <m:rPr>
            <m:sty m:val="p"/>
          </m:rPr>
          <m:t>=</m:t>
        </m:r>
        <m:r>
          <m:t>b</m:t>
        </m:r>
        <m:sSub>
          <m:e>
            <m:r>
              <m:t>x</m:t>
            </m:r>
          </m:e>
          <m:sub>
            <m:r>
              <m:t>2</m:t>
            </m:r>
          </m:sub>
        </m:sSub>
      </m:oMath>
      <w:r>
        <w:t xml:space="preserve">, que define a proporção ótima de consumo. A TMS é indefinida no vértice (onde a curva faz uma</w:t>
      </w:r>
      <w:r>
        <w:t xml:space="preserve"> </w:t>
      </w:r>
      <w:r>
        <w:t xml:space="preserve">“quina”</w:t>
      </w:r>
      <w:r>
        <w:t xml:space="preserve">), zero nos segmentos horizontais (o consumidor não valoriza mais do bem 1 sem mais do bem 2) e infinita nos segmentos verticais (o consumidor não valoriza mais do bem 2 sem mais do bem 1). A elasticidade de substituição é</w:t>
      </w:r>
      <w:r>
        <w:t xml:space="preserve"> </w:t>
      </w:r>
      <m:oMath>
        <m:r>
          <m:t>σ</m:t>
        </m:r>
        <m:r>
          <m:rPr>
            <m:sty m:val="p"/>
          </m:rPr>
          <m:t>=</m:t>
        </m:r>
        <m:r>
          <m:t>0</m:t>
        </m:r>
      </m:oMath>
      <w:r>
        <w:t xml:space="preserve">, indicando que nenhum ajuste de preços relativos pode induzir o consumidor a alterar a proporção entre os bens. Exemplos clássicos incluem sapato esquerdo e sapato direito, CPU e monitor, e, em contextos mais modernos, cartucho de impressora e a impressora correspondente.</w:t>
      </w:r>
    </w:p>
    <w:bookmarkEnd w:id="161"/>
    <w:bookmarkStart w:id="162" w:name="X0b3208823fbf28ea85f026b0890f6fa382cbc59"/>
    <w:p>
      <w:pPr>
        <w:pStyle w:val="Heading4"/>
      </w:pPr>
      <w:r>
        <w:t xml:space="preserve">3.6.4 CES (Elasticidade de Substituição Constante)</w:t>
      </w:r>
    </w:p>
    <w:p>
      <w:pPr>
        <w:pStyle w:val="FirstParagraph"/>
      </w:pPr>
      <w:r>
        <w:t xml:space="preserve">Os três casos anteriores — Cobb-Douglas Eq. (eq:3.6.5), substitutos perfeitos Eq. (eq:3.6.7) e complementos perfeitos Eq. (eq:3.6.9) — podem parecer categorias isoladas e desconexas, mas na verdade são membros de uma mesma família: a função de utilidade com</w:t>
      </w:r>
      <w:r>
        <w:t xml:space="preserve"> </w:t>
      </w:r>
      <w:r>
        <w:rPr>
          <w:b/>
          <w:bCs/>
        </w:rPr>
        <w:t xml:space="preserve">Elasticidade de Substituição Constante</w:t>
      </w:r>
      <w:r>
        <w:t xml:space="preserve"> </w:t>
      </w:r>
      <w:r>
        <w:t xml:space="preserve">(CES, do inglês</w:t>
      </w:r>
      <w:r>
        <w:t xml:space="preserve"> </w:t>
      </w:r>
      <w:r>
        <w:rPr>
          <w:i/>
          <w:iCs/>
        </w:rPr>
        <w:t xml:space="preserve">Constant Elasticity of Substitution</w:t>
      </w:r>
      <w:r>
        <w:t xml:space="preserve">). Introduzida por Arrow, Chenery, Minhas e Solow (1961) no contexto da teoria da produção, a CES permite capturar</w:t>
      </w:r>
      <w:r>
        <w:t xml:space="preserve"> </w:t>
      </w:r>
      <w:r>
        <w:rPr>
          <w:i/>
          <w:iCs/>
        </w:rPr>
        <w:t xml:space="preserve">qualquer</w:t>
      </w:r>
      <w:r>
        <w:t xml:space="preserve"> </w:t>
      </w:r>
      <w:r>
        <w:t xml:space="preserve">grau de substituibilidade entre os bens por meio de um único parâmetro</w:t>
      </w:r>
      <w:r>
        <w:t xml:space="preserve"> </w:t>
      </w:r>
      <m:oMath>
        <m:r>
          <m:t>ρ</m:t>
        </m:r>
      </m:oMath>
      <w:r>
        <w:t xml:space="preserve">, que governa a curvatura das curvas de indiferença. Ao variar</w:t>
      </w:r>
      <w:r>
        <w:t xml:space="preserve"> </w:t>
      </w:r>
      <m:oMath>
        <m:r>
          <m:t>ρ</m:t>
        </m:r>
      </m:oMath>
      <w:r>
        <w:t xml:space="preserve"> </w:t>
      </w:r>
      <w:r>
        <w:t xml:space="preserve">continuamente, transitamos suavemente dos complementos perfeitos aos substitutos perfeitos, passando pela Cobb-Douglas como caso intermediário — o que torna a CES uma ferramenta extremamente versátil tanto na teoria quanto na estimação empírica.</w:t>
      </w:r>
    </w:p>
    <w:p>
      <w:pPr>
        <w:pStyle w:val="BodyText"/>
      </w:pPr>
      <m:oMathPara>
        <m:oMathParaPr>
          <m:jc m:val="center"/>
        </m:oMathParaPr>
        <m:oMath>
          <m:r>
            <m:t>u</m:t>
          </m:r>
          <m:r>
            <m:rPr>
              <m:sty m:val="p"/>
            </m:rPr>
            <m:t>(</m:t>
          </m:r>
          <m:sSub>
            <m:e>
              <m:r>
                <m:t>x</m:t>
              </m:r>
            </m:e>
            <m:sub>
              <m:r>
                <m:t>1</m:t>
              </m:r>
            </m:sub>
          </m:sSub>
          <m:r>
            <m:rPr>
              <m:sty m:val="p"/>
            </m:rPr>
            <m:t>,</m:t>
          </m:r>
          <m:sSub>
            <m:e>
              <m:r>
                <m:t>x</m:t>
              </m:r>
            </m:e>
            <m:sub>
              <m:r>
                <m:t>2</m:t>
              </m:r>
            </m:sub>
          </m:sSub>
          <m:r>
            <m:rPr>
              <m:sty m:val="p"/>
            </m:rPr>
            <m:t>)</m:t>
          </m:r>
          <m:r>
            <m:rPr>
              <m:sty m:val="p"/>
            </m:rPr>
            <m:t>=</m:t>
          </m:r>
          <m:sSup>
            <m:e>
              <m:d>
                <m:dPr>
                  <m:begChr m:val="("/>
                  <m:sepChr m:val=""/>
                  <m:endChr m:val=")"/>
                  <m:grow/>
                </m:dPr>
                <m:e>
                  <m:sSubSup>
                    <m:e>
                      <m:r>
                        <m:t>x</m:t>
                      </m:r>
                    </m:e>
                    <m:sub>
                      <m:r>
                        <m:t>1</m:t>
                      </m:r>
                    </m:sub>
                    <m:sup>
                      <m:r>
                        <m:t>ρ</m:t>
                      </m:r>
                    </m:sup>
                  </m:sSubSup>
                  <m:r>
                    <m:rPr>
                      <m:sty m:val="p"/>
                    </m:rPr>
                    <m:t>+</m:t>
                  </m:r>
                  <m:sSubSup>
                    <m:e>
                      <m:r>
                        <m:t>x</m:t>
                      </m:r>
                    </m:e>
                    <m:sub>
                      <m:r>
                        <m:t>2</m:t>
                      </m:r>
                    </m:sub>
                    <m:sup>
                      <m:r>
                        <m:t>ρ</m:t>
                      </m:r>
                    </m:sup>
                  </m:sSubSup>
                </m:e>
              </m:d>
            </m:e>
            <m:sup>
              <m:r>
                <m:t>1</m:t>
              </m:r>
              <m:r>
                <m:rPr>
                  <m:sty m:val="p"/>
                </m:rPr>
                <m:t>/</m:t>
              </m:r>
              <m:r>
                <m:t>ρ</m:t>
              </m:r>
            </m:sup>
          </m:sSup>
          <m:r>
            <m:rPr>
              <m:sty m:val="p"/>
            </m:rPr>
            <m:t>,</m:t>
          </m:r>
          <m:r>
            <m:t> </m:t>
          </m:r>
          <m:r>
            <m:t>ρ</m:t>
          </m:r>
          <m:r>
            <m:rPr>
              <m:sty m:val="p"/>
            </m:rPr>
            <m:t>≤</m:t>
          </m:r>
          <m:r>
            <m:t>1</m:t>
          </m:r>
          <m:r>
            <m:rPr>
              <m:sty m:val="p"/>
            </m:rPr>
            <m:t>,</m:t>
          </m:r>
          <m:r>
            <m:t> </m:t>
          </m:r>
          <m:r>
            <m:t>ρ</m:t>
          </m:r>
          <m:r>
            <m:rPr>
              <m:sty m:val="p"/>
            </m:rPr>
            <m:t>≠</m:t>
          </m:r>
          <m:r>
            <m:t>0</m:t>
          </m:r>
          <m:r>
            <m:rPr>
              <m:sty m:val="p"/>
            </m:rPr>
            <m:t>.</m:t>
          </m:r>
        </m:oMath>
      </m:oMathPara>
    </w:p>
    <w:p>
      <w:pPr>
        <w:pStyle w:val="FirstParagraph"/>
      </w:pPr>
      <w:r>
        <w:t xml:space="preserve">A elasticidade de substituição — que mede a sensibilidade da razão</w:t>
      </w:r>
      <w:r>
        <w:t xml:space="preserve"> </w:t>
      </w:r>
      <m:oMath>
        <m:sSub>
          <m:e>
            <m:r>
              <m:t>x</m:t>
            </m:r>
          </m:e>
          <m:sub>
            <m:r>
              <m:t>1</m:t>
            </m:r>
          </m:sub>
        </m:sSub>
        <m:r>
          <m:rPr>
            <m:sty m:val="p"/>
          </m:rPr>
          <m:t>/</m:t>
        </m:r>
        <m:sSub>
          <m:e>
            <m:r>
              <m:t>x</m:t>
            </m:r>
          </m:e>
          <m:sub>
            <m:r>
              <m:t>2</m:t>
            </m:r>
          </m:sub>
        </m:sSub>
      </m:oMath>
      <w:r>
        <w:t xml:space="preserve"> </w:t>
      </w:r>
      <w:r>
        <w:t xml:space="preserve">a variações no preço relativo — é determinada diretamente pelo parâmetro</w:t>
      </w:r>
      <w:r>
        <w:t xml:space="preserve"> </w:t>
      </w:r>
      <m:oMath>
        <m:r>
          <m:t>ρ</m:t>
        </m:r>
      </m:oMath>
      <w:r>
        <w:t xml:space="preserve">:</w:t>
      </w:r>
    </w:p>
    <w:p>
      <w:pPr>
        <w:pStyle w:val="BodyText"/>
      </w:pPr>
      <m:oMathPara>
        <m:oMathParaPr>
          <m:jc m:val="center"/>
        </m:oMathParaPr>
        <m:oMath>
          <m:r>
            <m:t>σ</m:t>
          </m:r>
          <m:r>
            <m:rPr>
              <m:sty m:val="p"/>
            </m:rPr>
            <m:t>=</m:t>
          </m:r>
          <m:f>
            <m:fPr>
              <m:type m:val="bar"/>
            </m:fPr>
            <m:num>
              <m:r>
                <m:t>1</m:t>
              </m:r>
            </m:num>
            <m:den>
              <m:r>
                <m:t>1</m:t>
              </m:r>
              <m:r>
                <m:rPr>
                  <m:sty m:val="p"/>
                </m:rPr>
                <m:t>−</m:t>
              </m:r>
              <m:r>
                <m:t>ρ</m:t>
              </m:r>
            </m:den>
          </m:f>
          <m:r>
            <m:rPr>
              <m:sty m:val="p"/>
            </m:rPr>
            <m:t>.</m:t>
          </m:r>
        </m:oMath>
      </m:oMathPara>
    </w:p>
    <w:p>
      <w:pPr>
        <w:pStyle w:val="FirstParagraph"/>
      </w:pPr>
      <w:r>
        <w:t xml:space="preserve">Essa relação é a chave para entender a versatilidade da CES: ao variar um único parâmetro, percorremos todo o espectro de substituibilidade. A função CES engloba como casos especiais as três formas funcionais anteriores:</w:t>
      </w:r>
    </w:p>
    <w:p>
      <w:pPr>
        <w:pStyle w:val="Compact"/>
        <w:numPr>
          <w:ilvl w:val="0"/>
          <w:numId w:val="1075"/>
        </w:numPr>
      </w:pPr>
      <m:oMath>
        <m:r>
          <m:t>ρ</m:t>
        </m:r>
        <m:r>
          <m:rPr>
            <m:sty m:val="p"/>
          </m:rPr>
          <m:t>→</m:t>
        </m:r>
        <m:r>
          <m:t>0</m:t>
        </m:r>
      </m:oMath>
      <w:r>
        <w:t xml:space="preserve">: Cobb-Douglas (</w:t>
      </w:r>
      <m:oMath>
        <m:r>
          <m:t>σ</m:t>
        </m:r>
        <m:r>
          <m:rPr>
            <m:sty m:val="p"/>
          </m:rPr>
          <m:t>=</m:t>
        </m:r>
        <m:r>
          <m:t>1</m:t>
        </m:r>
      </m:oMath>
      <w:r>
        <w:t xml:space="preserve">). A passagem ao limite requer a regra de L’Hôpital aplicada ao logaritmo da função.</w:t>
      </w:r>
    </w:p>
    <w:p>
      <w:pPr>
        <w:pStyle w:val="Compact"/>
        <w:numPr>
          <w:ilvl w:val="0"/>
          <w:numId w:val="1075"/>
        </w:numPr>
      </w:pPr>
      <m:oMath>
        <m:r>
          <m:t>ρ</m:t>
        </m:r>
        <m:r>
          <m:rPr>
            <m:sty m:val="p"/>
          </m:rPr>
          <m:t>=</m:t>
        </m:r>
        <m:r>
          <m:t>1</m:t>
        </m:r>
      </m:oMath>
      <w:r>
        <w:t xml:space="preserve">: Substitutos perfeitos (</w:t>
      </w:r>
      <m:oMath>
        <m:r>
          <m:t>σ</m:t>
        </m:r>
        <m:r>
          <m:rPr>
            <m:sty m:val="p"/>
          </m:rPr>
          <m:t>=</m:t>
        </m:r>
        <m:r>
          <m:rPr>
            <m:sty m:val="p"/>
          </m:rPr>
          <m:t>∞</m:t>
        </m:r>
      </m:oMath>
      <w:r>
        <w:t xml:space="preserve">). A utilidade se reduz a uma combinação linear dos bens.</w:t>
      </w:r>
    </w:p>
    <w:p>
      <w:pPr>
        <w:pStyle w:val="Compact"/>
        <w:numPr>
          <w:ilvl w:val="0"/>
          <w:numId w:val="1075"/>
        </w:numPr>
      </w:pPr>
      <m:oMath>
        <m:r>
          <m:t>ρ</m:t>
        </m:r>
        <m:r>
          <m:rPr>
            <m:sty m:val="p"/>
          </m:rPr>
          <m:t>→</m:t>
        </m:r>
        <m:r>
          <m:rPr>
            <m:sty m:val="p"/>
          </m:rPr>
          <m:t>−</m:t>
        </m:r>
        <m:r>
          <m:rPr>
            <m:sty m:val="p"/>
          </m:rPr>
          <m:t>∞</m:t>
        </m:r>
      </m:oMath>
      <w:r>
        <w:t xml:space="preserve">: Complementos perfeitos (</w:t>
      </w:r>
      <m:oMath>
        <m:r>
          <m:t>σ</m:t>
        </m:r>
        <m:r>
          <m:rPr>
            <m:sty m:val="p"/>
          </m:rPr>
          <m:t>=</m:t>
        </m:r>
        <m:r>
          <m:t>0</m:t>
        </m:r>
      </m:oMath>
      <w:r>
        <w:t xml:space="preserve">). A utilidade converge para o mínimo das quantidades ponderadas.</w:t>
      </w:r>
    </w:p>
    <w:p>
      <w:pPr>
        <w:pStyle w:val="FirstParagraph"/>
      </w:pPr>
      <w:r>
        <w:t xml:space="preserve">Para valores intermediários de</w:t>
      </w:r>
      <w:r>
        <w:t xml:space="preserve"> </w:t>
      </w:r>
      <m:oMath>
        <m:r>
          <m:t>ρ</m:t>
        </m:r>
      </m:oMath>
      <w:r>
        <w:t xml:space="preserve">, a CES produz curvas de indiferença com curvatura intermediária — nem tão</w:t>
      </w:r>
      <w:r>
        <w:t xml:space="preserve"> </w:t>
      </w:r>
      <w:r>
        <w:t xml:space="preserve">“redondas”</w:t>
      </w:r>
      <w:r>
        <w:t xml:space="preserve"> </w:t>
      </w:r>
      <w:r>
        <w:t xml:space="preserve">quanto as da Cobb-Douglas, nem tão</w:t>
      </w:r>
      <w:r>
        <w:t xml:space="preserve"> </w:t>
      </w:r>
      <w:r>
        <w:t xml:space="preserve">“angulosas”</w:t>
      </w:r>
      <w:r>
        <w:t xml:space="preserve"> </w:t>
      </w:r>
      <w:r>
        <w:t xml:space="preserve">quanto as dos complementos perfeitos. Isso a torna ideal para estimação empírica, pois os dados podem</w:t>
      </w:r>
      <w:r>
        <w:t xml:space="preserve"> </w:t>
      </w:r>
      <w:r>
        <w:t xml:space="preserve">“escolher”</w:t>
      </w:r>
      <w:r>
        <w:t xml:space="preserve"> </w:t>
      </w:r>
      <w:r>
        <w:t xml:space="preserve">o grau de substituibilidade que melhor se ajusta ao comportamento observado.</w:t>
      </w:r>
    </w:p>
    <w:p>
      <w:pPr>
        <w:pStyle w:val="BodyText"/>
      </w:pPr>
      <w:r>
        <w:t xml:space="preserve">A TMS para a CES assume uma forma compacta e elegante:</w:t>
      </w:r>
    </w:p>
    <w:p>
      <w:pPr>
        <w:pStyle w:val="BodyText"/>
      </w:pPr>
      <m:oMathPara>
        <m:oMathParaPr>
          <m:jc m:val="center"/>
        </m:oMathParaPr>
        <m:oMath>
          <m:sSub>
            <m:e>
              <m:r>
                <m:rPr>
                  <m:nor/>
                  <m:sty m:val="p"/>
                </m:rPr>
                <m:t>TMS</m:t>
              </m:r>
            </m:e>
            <m:sub>
              <m:r>
                <m:t>12</m:t>
              </m:r>
            </m:sub>
          </m:sSub>
          <m:r>
            <m:rPr>
              <m:sty m:val="p"/>
            </m:rPr>
            <m:t>=</m:t>
          </m:r>
          <m:sSup>
            <m:e>
              <m:d>
                <m:dPr>
                  <m:begChr m:val="("/>
                  <m:sepChr m:val=""/>
                  <m:endChr m:val=")"/>
                  <m:grow/>
                </m:dPr>
                <m:e>
                  <m:f>
                    <m:fPr>
                      <m:type m:val="bar"/>
                    </m:fPr>
                    <m:num>
                      <m:sSub>
                        <m:e>
                          <m:r>
                            <m:t>x</m:t>
                          </m:r>
                        </m:e>
                        <m:sub>
                          <m:r>
                            <m:t>1</m:t>
                          </m:r>
                        </m:sub>
                      </m:sSub>
                    </m:num>
                    <m:den>
                      <m:sSub>
                        <m:e>
                          <m:r>
                            <m:t>x</m:t>
                          </m:r>
                        </m:e>
                        <m:sub>
                          <m:r>
                            <m:t>2</m:t>
                          </m:r>
                        </m:sub>
                      </m:sSub>
                    </m:den>
                  </m:f>
                </m:e>
              </m:d>
            </m:e>
            <m:sup>
              <m:r>
                <m:t>ρ</m:t>
              </m:r>
              <m:r>
                <m:rPr>
                  <m:sty m:val="p"/>
                </m:rPr>
                <m:t>−</m:t>
              </m:r>
              <m:r>
                <m:t>1</m:t>
              </m:r>
            </m:sup>
          </m:sSup>
          <m:r>
            <m:rPr>
              <m:sty m:val="p"/>
            </m:rPr>
            <m:t>.</m:t>
          </m:r>
        </m:oMath>
      </m:oMathPara>
    </w:p>
    <w:p>
      <w:pPr>
        <w:pStyle w:val="FirstParagraph"/>
      </w:pPr>
      <w:r>
        <w:t xml:space="preserve">Note que, quando</w:t>
      </w:r>
      <w:r>
        <w:t xml:space="preserve"> </w:t>
      </w:r>
      <m:oMath>
        <m:r>
          <m:t>ρ</m:t>
        </m:r>
        <m:r>
          <m:rPr>
            <m:sty m:val="p"/>
          </m:rPr>
          <m:t>&lt;</m:t>
        </m:r>
        <m:r>
          <m:t>1</m:t>
        </m:r>
      </m:oMath>
      <w:r>
        <w:t xml:space="preserve"> </w:t>
      </w:r>
      <w:r>
        <w:t xml:space="preserve">(o caso economicamente relevante), o expoente</w:t>
      </w:r>
      <w:r>
        <w:t xml:space="preserve"> </w:t>
      </w:r>
      <m:oMath>
        <m:r>
          <m:t>ρ</m:t>
        </m:r>
        <m:r>
          <m:rPr>
            <m:sty m:val="p"/>
          </m:rPr>
          <m:t>−</m:t>
        </m:r>
        <m:r>
          <m:t>1</m:t>
        </m:r>
      </m:oMath>
      <w:r>
        <w:t xml:space="preserve"> </w:t>
      </w:r>
      <w:r>
        <w:t xml:space="preserve">é negativo, de modo que a TMS é decrescente em</w:t>
      </w:r>
      <w:r>
        <w:t xml:space="preserve"> </w:t>
      </w:r>
      <m:oMath>
        <m:sSub>
          <m:e>
            <m:r>
              <m:t>x</m:t>
            </m:r>
          </m:e>
          <m:sub>
            <m:r>
              <m:t>1</m:t>
            </m:r>
          </m:sub>
        </m:sSub>
        <m:r>
          <m:rPr>
            <m:sty m:val="p"/>
          </m:rPr>
          <m:t>/</m:t>
        </m:r>
        <m:sSub>
          <m:e>
            <m:r>
              <m:t>x</m:t>
            </m:r>
          </m:e>
          <m:sub>
            <m:r>
              <m:t>2</m:t>
            </m:r>
          </m:sub>
        </m:sSub>
      </m:oMath>
      <w:r>
        <w:t xml:space="preserve"> </w:t>
      </w:r>
      <w:r>
        <w:t xml:space="preserve">— confirmando a convexidade das curvas de indiferença.</w:t>
      </w:r>
    </w:p>
    <w:p>
      <w:pPr>
        <w:pStyle w:val="BodyText"/>
      </w:pPr>
      <w:r>
        <w:t xml:space="preserve">[FIGURA INTERATIVA: /micro-book/graficos/cap03/ces-continua.html — versao interativa disponivel online]</w:t>
      </w:r>
    </w:p>
    <w:p>
      <w:pPr>
        <w:pStyle w:val="BodyText"/>
      </w:pPr>
      <w:r>
        <w:rPr>
          <w:b/>
          <w:bCs/>
        </w:rPr>
        <w:t xml:space="preserve">Figura 3.3 — CES Contínua: de Leontief a Substitutos Perfeitos.</w:t>
      </w:r>
      <w:r>
        <w:t xml:space="preserve"> </w:t>
      </w:r>
      <w:r>
        <w:t xml:space="preserve">Arraste o slider de</w:t>
      </w:r>
      <w:r>
        <w:t xml:space="preserve"> </w:t>
      </w:r>
      <m:oMath>
        <m:r>
          <m:t>ρ</m:t>
        </m:r>
      </m:oMath>
      <w:r>
        <w:t xml:space="preserve"> </w:t>
      </w:r>
      <w:r>
        <w:t xml:space="preserve">para observar a transformação contínua das curvas de indiferença: de ângulos retos (</w:t>
      </w:r>
      <m:oMath>
        <m:r>
          <m:t>ρ</m:t>
        </m:r>
        <m:r>
          <m:rPr>
            <m:sty m:val="p"/>
          </m:rPr>
          <m:t>→</m:t>
        </m:r>
        <m:r>
          <m:rPr>
            <m:sty m:val="p"/>
          </m:rPr>
          <m:t>−</m:t>
        </m:r>
        <m:r>
          <m:rPr>
            <m:sty m:val="p"/>
          </m:rPr>
          <m:t>∞</m:t>
        </m:r>
      </m:oMath>
      <w:r>
        <w:t xml:space="preserve">, complementos perfeitos) a hipérboles suaves (</w:t>
      </w:r>
      <m:oMath>
        <m:r>
          <m:t>ρ</m:t>
        </m:r>
        <m:r>
          <m:rPr>
            <m:sty m:val="p"/>
          </m:rPr>
          <m:t>=</m:t>
        </m:r>
        <m:r>
          <m:t>0</m:t>
        </m:r>
      </m:oMath>
      <w:r>
        <w:t xml:space="preserve">, Cobb-Douglas) a retas (</w:t>
      </w:r>
      <m:oMath>
        <m:r>
          <m:t>ρ</m:t>
        </m:r>
        <m:r>
          <m:rPr>
            <m:sty m:val="p"/>
          </m:rPr>
          <m:t>→</m:t>
        </m:r>
        <m:r>
          <m:t>1</m:t>
        </m:r>
      </m:oMath>
      <w:r>
        <w:t xml:space="preserve">, substitutos perfeitos). A elasticidade de substituição</w:t>
      </w:r>
      <w:r>
        <w:t xml:space="preserve"> </w:t>
      </w:r>
      <m:oMath>
        <m:r>
          <m:t>σ</m:t>
        </m:r>
        <m:r>
          <m:rPr>
            <m:sty m:val="p"/>
          </m:rPr>
          <m:t>=</m:t>
        </m:r>
        <m:r>
          <m:t>1</m:t>
        </m:r>
        <m:r>
          <m:rPr>
            <m:sty m:val="p"/>
          </m:rPr>
          <m:t>/</m:t>
        </m:r>
        <m:r>
          <m:rPr>
            <m:sty m:val="p"/>
          </m:rPr>
          <m:t>(</m:t>
        </m:r>
        <m:r>
          <m:t>1</m:t>
        </m:r>
        <m:r>
          <m:rPr>
            <m:sty m:val="p"/>
          </m:rPr>
          <m:t>−</m:t>
        </m:r>
        <m:r>
          <m:t>ρ</m:t>
        </m:r>
        <m:r>
          <m:rPr>
            <m:sty m:val="p"/>
          </m:rPr>
          <m:t>)</m:t>
        </m:r>
      </m:oMath>
      <w:r>
        <w:t xml:space="preserve"> </w:t>
      </w:r>
      <w:r>
        <w:t xml:space="preserve">é exibida em tempo real.</w:t>
      </w:r>
    </w:p>
    <w:p>
      <w:pPr>
        <w:pStyle w:val="BlockText"/>
      </w:pPr>
      <w:r>
        <w:rPr>
          <w:b/>
          <w:bCs/>
        </w:rPr>
        <w:t xml:space="preserve">[EXEMPLO] Exemplo numérico: CES com diferentes valores de ρ</w:t>
      </w:r>
    </w:p>
    <w:p>
      <w:pPr>
        <w:pStyle w:val="BlockText"/>
      </w:pPr>
      <w:r>
        <w:t xml:space="preserve">Considere o ponto</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r>
          <m:t>4</m:t>
        </m:r>
        <m:r>
          <m:rPr>
            <m:sty m:val="p"/>
          </m:rPr>
          <m:t>,</m:t>
        </m:r>
        <m:r>
          <m:t>8</m:t>
        </m:r>
        <m:r>
          <m:rPr>
            <m:sty m:val="p"/>
          </m:rPr>
          <m:t>)</m:t>
        </m:r>
      </m:oMath>
      <w:r>
        <w:t xml:space="preserve">. A TMS da CES é</w:t>
      </w:r>
      <w:r>
        <w:t xml:space="preserve"> </w:t>
      </w:r>
      <m:oMath>
        <m:sSub>
          <m:e>
            <m:r>
              <m:rPr>
                <m:nor/>
                <m:sty m:val="p"/>
              </m:rPr>
              <m:t>TMS</m:t>
            </m:r>
          </m:e>
          <m:sub>
            <m:r>
              <m:t>12</m:t>
            </m:r>
          </m:sub>
        </m:sSub>
        <m:r>
          <m:rPr>
            <m:sty m:val="p"/>
          </m:rPr>
          <m:t>=</m:t>
        </m:r>
        <m:r>
          <m:rPr>
            <m:sty m:val="p"/>
          </m:rPr>
          <m:t>(</m:t>
        </m:r>
        <m:sSub>
          <m:e>
            <m:r>
              <m:t>x</m:t>
            </m:r>
          </m:e>
          <m:sub>
            <m:r>
              <m:t>1</m:t>
            </m:r>
          </m:sub>
        </m:sSub>
        <m:r>
          <m:rPr>
            <m:sty m:val="p"/>
          </m:rPr>
          <m:t>/</m:t>
        </m:r>
        <m:sSub>
          <m:e>
            <m:r>
              <m:t>x</m:t>
            </m:r>
          </m:e>
          <m:sub>
            <m:r>
              <m:t>2</m:t>
            </m:r>
          </m:sub>
        </m:sSub>
        <m:sSup>
          <m:e>
            <m:r>
              <m:rPr>
                <m:sty m:val="p"/>
              </m:rPr>
              <m:t>)</m:t>
            </m:r>
          </m:e>
          <m:sup>
            <m:r>
              <m:t>ρ</m:t>
            </m:r>
            <m:r>
              <m:rPr>
                <m:sty m:val="p"/>
              </m:rPr>
              <m:t>−</m:t>
            </m:r>
            <m:r>
              <m:t>1</m:t>
            </m:r>
          </m:sup>
        </m:sSup>
        <m:r>
          <m:rPr>
            <m:sty m:val="p"/>
          </m:rPr>
          <m:t>=</m:t>
        </m:r>
        <m:r>
          <m:rPr>
            <m:sty m:val="p"/>
          </m:rPr>
          <m:t>(</m:t>
        </m:r>
        <m:r>
          <m:t>4</m:t>
        </m:r>
        <m:r>
          <m:rPr>
            <m:sty m:val="p"/>
          </m:rPr>
          <m:t>/</m:t>
        </m:r>
        <m:r>
          <m:t>8</m:t>
        </m:r>
        <m:sSup>
          <m:e>
            <m:r>
              <m:rPr>
                <m:sty m:val="p"/>
              </m:rPr>
              <m:t>)</m:t>
            </m:r>
          </m:e>
          <m:sup>
            <m:r>
              <m:t>ρ</m:t>
            </m:r>
            <m:r>
              <m:rPr>
                <m:sty m:val="p"/>
              </m:rPr>
              <m:t>−</m:t>
            </m:r>
            <m:r>
              <m:t>1</m:t>
            </m:r>
          </m:sup>
        </m:sSup>
        <m:r>
          <m:rPr>
            <m:sty m:val="p"/>
          </m:rPr>
          <m:t>=</m:t>
        </m:r>
        <m:r>
          <m:rPr>
            <m:sty m:val="p"/>
          </m:rPr>
          <m:t>(</m:t>
        </m:r>
        <m:r>
          <m:t>0</m:t>
        </m:r>
        <m:r>
          <m:rPr>
            <m:sty m:val="p"/>
          </m:rPr>
          <m:t>,</m:t>
        </m:r>
        <m:r>
          <m:t>5</m:t>
        </m:r>
        <m:sSup>
          <m:e>
            <m:r>
              <m:rPr>
                <m:sty m:val="p"/>
              </m:rPr>
              <m:t>)</m:t>
            </m:r>
          </m:e>
          <m:sup>
            <m:r>
              <m:t>ρ</m:t>
            </m:r>
            <m:r>
              <m:rPr>
                <m:sty m:val="p"/>
              </m:rPr>
              <m:t>−</m:t>
            </m:r>
            <m:r>
              <m:t>1</m:t>
            </m:r>
          </m:sup>
        </m:sSup>
      </m:oMath>
      <w:r>
        <w:t xml:space="preserve">. Veja como ela varia com</w:t>
      </w:r>
      <w:r>
        <w:t xml:space="preserve"> </w:t>
      </w:r>
      <m:oMath>
        <m:r>
          <m:t>ρ</m:t>
        </m:r>
      </m:oMath>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m:oMath>
              <m:r>
                <m:t>ρ</m:t>
              </m:r>
            </m:oMath>
          </w:p>
        </w:tc>
        <w:tc>
          <w:tcPr/>
          <w:p>
            <w:pPr>
              <w:pStyle w:val="Compact"/>
            </w:pPr>
            <m:oMath>
              <m:r>
                <m:t>σ</m:t>
              </m:r>
              <m:r>
                <m:rPr>
                  <m:sty m:val="p"/>
                </m:rPr>
                <m:t>=</m:t>
              </m:r>
              <m:f>
                <m:fPr>
                  <m:type m:val="bar"/>
                </m:fPr>
                <m:num>
                  <m:r>
                    <m:t>1</m:t>
                  </m:r>
                </m:num>
                <m:den>
                  <m:r>
                    <m:t>1</m:t>
                  </m:r>
                  <m:r>
                    <m:rPr>
                      <m:sty m:val="p"/>
                    </m:rPr>
                    <m:t>−</m:t>
                  </m:r>
                  <m:r>
                    <m:t>ρ</m:t>
                  </m:r>
                </m:den>
              </m:f>
            </m:oMath>
          </w:p>
        </w:tc>
        <w:tc>
          <w:tcPr/>
          <w:p>
            <w:pPr>
              <w:pStyle w:val="Compact"/>
            </w:pPr>
            <m:oMath>
              <m:sSub>
                <m:e>
                  <m:r>
                    <m:rPr>
                      <m:nor/>
                      <m:sty m:val="p"/>
                    </m:rPr>
                    <m:t>TMS</m:t>
                  </m:r>
                </m:e>
                <m:sub>
                  <m:r>
                    <m:t>12</m:t>
                  </m:r>
                </m:sub>
              </m:sSub>
              <m:r>
                <m:rPr>
                  <m:sty m:val="p"/>
                </m:rPr>
                <m:t>(</m:t>
              </m:r>
              <m:r>
                <m:t>4</m:t>
              </m:r>
              <m:r>
                <m:rPr>
                  <m:sty m:val="p"/>
                </m:rPr>
                <m:t>,</m:t>
              </m:r>
              <m:r>
                <m:t>8</m:t>
              </m:r>
              <m:r>
                <m:rPr>
                  <m:sty m:val="p"/>
                </m:rPr>
                <m:t>)</m:t>
              </m:r>
            </m:oMath>
          </w:p>
        </w:tc>
        <w:tc>
          <w:tcPr/>
          <w:p>
            <w:pPr>
              <w:pStyle w:val="Compact"/>
            </w:pPr>
            <w:r>
              <w:t xml:space="preserve">Interpretação</w:t>
            </w:r>
          </w:p>
        </w:tc>
      </w:tr>
      <w:tr>
        <w:tc>
          <w:tcPr/>
          <w:p>
            <w:pPr>
              <w:pStyle w:val="Compact"/>
            </w:pPr>
            <m:oMath>
              <m:r>
                <m:t>0</m:t>
              </m:r>
              <m:r>
                <m:rPr>
                  <m:sty m:val="p"/>
                </m:rPr>
                <m:t>,</m:t>
              </m:r>
              <m:r>
                <m:t>5</m:t>
              </m:r>
            </m:oMath>
          </w:p>
        </w:tc>
        <w:tc>
          <w:tcPr/>
          <w:p>
            <w:pPr>
              <w:pStyle w:val="Compact"/>
            </w:pPr>
            <m:oMath>
              <m:r>
                <m:t>2</m:t>
              </m:r>
            </m:oMath>
          </w:p>
        </w:tc>
        <w:tc>
          <w:tcPr/>
          <w:p>
            <w:pPr>
              <w:pStyle w:val="Compact"/>
            </w:pPr>
            <m:oMath>
              <m:r>
                <m:rPr>
                  <m:sty m:val="p"/>
                </m:rPr>
                <m:t>(</m:t>
              </m:r>
              <m:r>
                <m:t>0</m:t>
              </m:r>
              <m:r>
                <m:rPr>
                  <m:sty m:val="p"/>
                </m:rPr>
                <m:t>,</m:t>
              </m:r>
              <m:r>
                <m:t>5</m:t>
              </m:r>
              <m:sSup>
                <m:e>
                  <m:r>
                    <m:rPr>
                      <m:sty m:val="p"/>
                    </m:rPr>
                    <m:t>)</m:t>
                  </m:r>
                </m:e>
                <m:sup>
                  <m:r>
                    <m:rPr>
                      <m:sty m:val="p"/>
                    </m:rPr>
                    <m:t>−</m:t>
                  </m:r>
                  <m:r>
                    <m:t>0</m:t>
                  </m:r>
                  <m:r>
                    <m:rPr>
                      <m:sty m:val="p"/>
                    </m:rPr>
                    <m:t>,</m:t>
                  </m:r>
                  <m:r>
                    <m:t>5</m:t>
                  </m:r>
                </m:sup>
              </m:sSup>
              <m:r>
                <m:rPr>
                  <m:sty m:val="p"/>
                </m:rPr>
                <m:t>=</m:t>
              </m:r>
              <m:r>
                <m:t>1</m:t>
              </m:r>
              <m:r>
                <m:rPr>
                  <m:sty m:val="p"/>
                </m:rPr>
                <m:t>,</m:t>
              </m:r>
              <m:r>
                <m:t>41</m:t>
              </m:r>
            </m:oMath>
          </w:p>
        </w:tc>
        <w:tc>
          <w:tcPr/>
          <w:p>
            <w:pPr>
              <w:pStyle w:val="Compact"/>
            </w:pPr>
            <w:r>
              <w:t xml:space="preserve">Substituição fácil: troca 1,41 unidades de</w:t>
            </w:r>
            <w:r>
              <w:t xml:space="preserve"> </w:t>
            </w:r>
            <m:oMath>
              <m:sSub>
                <m:e>
                  <m:r>
                    <m:t>x</m:t>
                  </m:r>
                </m:e>
                <m:sub>
                  <m:r>
                    <m:t>2</m:t>
                  </m:r>
                </m:sub>
              </m:sSub>
            </m:oMath>
            <w:r>
              <w:t xml:space="preserve"> </w:t>
            </w:r>
            <w:r>
              <w:t xml:space="preserve">por 1 de</w:t>
            </w:r>
            <w:r>
              <w:t xml:space="preserve"> </w:t>
            </w:r>
            <m:oMath>
              <m:sSub>
                <m:e>
                  <m:r>
                    <m:t>x</m:t>
                  </m:r>
                </m:e>
                <m:sub>
                  <m:r>
                    <m:t>1</m:t>
                  </m:r>
                </m:sub>
              </m:sSub>
            </m:oMath>
          </w:p>
        </w:tc>
      </w:tr>
      <w:tr>
        <w:tc>
          <w:tcPr/>
          <w:p>
            <w:pPr>
              <w:pStyle w:val="Compact"/>
            </w:pPr>
            <m:oMath>
              <m:r>
                <m:t>0</m:t>
              </m:r>
            </m:oMath>
            <w:r>
              <w:t xml:space="preserve"> </w:t>
            </w:r>
            <w:r>
              <w:t xml:space="preserve">(Cobb-Douglas)</w:t>
            </w:r>
          </w:p>
        </w:tc>
        <w:tc>
          <w:tcPr/>
          <w:p>
            <w:pPr>
              <w:pStyle w:val="Compact"/>
            </w:pPr>
            <m:oMath>
              <m:r>
                <m:t>1</m:t>
              </m:r>
            </m:oMath>
          </w:p>
        </w:tc>
        <w:tc>
          <w:tcPr/>
          <w:p>
            <w:pPr>
              <w:pStyle w:val="Compact"/>
            </w:pPr>
            <m:oMath>
              <m:r>
                <m:rPr>
                  <m:sty m:val="p"/>
                </m:rPr>
                <m:t>(</m:t>
              </m:r>
              <m:r>
                <m:t>0</m:t>
              </m:r>
              <m:r>
                <m:rPr>
                  <m:sty m:val="p"/>
                </m:rPr>
                <m:t>,</m:t>
              </m:r>
              <m:r>
                <m:t>5</m:t>
              </m:r>
              <m:sSup>
                <m:e>
                  <m:r>
                    <m:rPr>
                      <m:sty m:val="p"/>
                    </m:rPr>
                    <m:t>)</m:t>
                  </m:r>
                </m:e>
                <m:sup>
                  <m:r>
                    <m:rPr>
                      <m:sty m:val="p"/>
                    </m:rPr>
                    <m:t>−</m:t>
                  </m:r>
                  <m:r>
                    <m:t>1</m:t>
                  </m:r>
                </m:sup>
              </m:sSup>
              <m:r>
                <m:rPr>
                  <m:sty m:val="p"/>
                </m:rPr>
                <m:t>=</m:t>
              </m:r>
              <m:r>
                <m:t>2</m:t>
              </m:r>
            </m:oMath>
          </w:p>
        </w:tc>
        <w:tc>
          <w:tcPr/>
          <w:p>
            <w:pPr>
              <w:pStyle w:val="Compact"/>
            </w:pPr>
            <w:r>
              <w:t xml:space="preserve">Substituição moderada</w:t>
            </w:r>
          </w:p>
        </w:tc>
      </w:tr>
      <w:tr>
        <w:tc>
          <w:tcPr/>
          <w:p>
            <w:pPr>
              <w:pStyle w:val="Compact"/>
            </w:pPr>
            <m:oMath>
              <m:r>
                <m:rPr>
                  <m:sty m:val="p"/>
                </m:rPr>
                <m:t>−</m:t>
              </m:r>
              <m:r>
                <m:t>1</m:t>
              </m:r>
            </m:oMath>
          </w:p>
        </w:tc>
        <w:tc>
          <w:tcPr/>
          <w:p>
            <w:pPr>
              <w:pStyle w:val="Compact"/>
            </w:pPr>
            <m:oMath>
              <m:r>
                <m:t>0</m:t>
              </m:r>
              <m:r>
                <m:rPr>
                  <m:sty m:val="p"/>
                </m:rPr>
                <m:t>,</m:t>
              </m:r>
              <m:r>
                <m:t>5</m:t>
              </m:r>
            </m:oMath>
          </w:p>
        </w:tc>
        <w:tc>
          <w:tcPr/>
          <w:p>
            <w:pPr>
              <w:pStyle w:val="Compact"/>
            </w:pPr>
            <m:oMath>
              <m:r>
                <m:rPr>
                  <m:sty m:val="p"/>
                </m:rPr>
                <m:t>(</m:t>
              </m:r>
              <m:r>
                <m:t>0</m:t>
              </m:r>
              <m:r>
                <m:rPr>
                  <m:sty m:val="p"/>
                </m:rPr>
                <m:t>,</m:t>
              </m:r>
              <m:r>
                <m:t>5</m:t>
              </m:r>
              <m:sSup>
                <m:e>
                  <m:r>
                    <m:rPr>
                      <m:sty m:val="p"/>
                    </m:rPr>
                    <m:t>)</m:t>
                  </m:r>
                </m:e>
                <m:sup>
                  <m:r>
                    <m:rPr>
                      <m:sty m:val="p"/>
                    </m:rPr>
                    <m:t>−</m:t>
                  </m:r>
                  <m:r>
                    <m:t>2</m:t>
                  </m:r>
                </m:sup>
              </m:sSup>
              <m:r>
                <m:rPr>
                  <m:sty m:val="p"/>
                </m:rPr>
                <m:t>=</m:t>
              </m:r>
              <m:r>
                <m:t>4</m:t>
              </m:r>
            </m:oMath>
          </w:p>
        </w:tc>
        <w:tc>
          <w:tcPr/>
          <w:p>
            <w:pPr>
              <w:pStyle w:val="Compact"/>
            </w:pPr>
            <w:r>
              <w:t xml:space="preserve">Substituição difícil: exige 4 unidades de</w:t>
            </w:r>
            <w:r>
              <w:t xml:space="preserve"> </w:t>
            </w:r>
            <m:oMath>
              <m:sSub>
                <m:e>
                  <m:r>
                    <m:t>x</m:t>
                  </m:r>
                </m:e>
                <m:sub>
                  <m:r>
                    <m:t>2</m:t>
                  </m:r>
                </m:sub>
              </m:sSub>
            </m:oMath>
            <w:r>
              <w:t xml:space="preserve"> </w:t>
            </w:r>
            <w:r>
              <w:t xml:space="preserve">por 1 de</w:t>
            </w:r>
            <w:r>
              <w:t xml:space="preserve"> </w:t>
            </w:r>
            <m:oMath>
              <m:sSub>
                <m:e>
                  <m:r>
                    <m:t>x</m:t>
                  </m:r>
                </m:e>
                <m:sub>
                  <m:r>
                    <m:t>1</m:t>
                  </m:r>
                </m:sub>
              </m:sSub>
            </m:oMath>
          </w:p>
        </w:tc>
      </w:tr>
      <w:tr>
        <w:tc>
          <w:tcPr/>
          <w:p>
            <w:pPr>
              <w:pStyle w:val="Compact"/>
            </w:pPr>
            <m:oMath>
              <m:r>
                <m:rPr>
                  <m:sty m:val="p"/>
                </m:rPr>
                <m:t>−</m:t>
              </m:r>
              <m:r>
                <m:t>5</m:t>
              </m:r>
            </m:oMath>
          </w:p>
        </w:tc>
        <w:tc>
          <w:tcPr/>
          <w:p>
            <w:pPr>
              <w:pStyle w:val="Compact"/>
            </w:pPr>
            <m:oMath>
              <m:r>
                <m:t>0</m:t>
              </m:r>
              <m:r>
                <m:rPr>
                  <m:sty m:val="p"/>
                </m:rPr>
                <m:t>,</m:t>
              </m:r>
              <m:r>
                <m:t>17</m:t>
              </m:r>
            </m:oMath>
          </w:p>
        </w:tc>
        <w:tc>
          <w:tcPr/>
          <w:p>
            <w:pPr>
              <w:pStyle w:val="Compact"/>
            </w:pPr>
            <m:oMath>
              <m:r>
                <m:rPr>
                  <m:sty m:val="p"/>
                </m:rPr>
                <m:t>(</m:t>
              </m:r>
              <m:r>
                <m:t>0</m:t>
              </m:r>
              <m:r>
                <m:rPr>
                  <m:sty m:val="p"/>
                </m:rPr>
                <m:t>,</m:t>
              </m:r>
              <m:r>
                <m:t>5</m:t>
              </m:r>
              <m:sSup>
                <m:e>
                  <m:r>
                    <m:rPr>
                      <m:sty m:val="p"/>
                    </m:rPr>
                    <m:t>)</m:t>
                  </m:r>
                </m:e>
                <m:sup>
                  <m:r>
                    <m:rPr>
                      <m:sty m:val="p"/>
                    </m:rPr>
                    <m:t>−</m:t>
                  </m:r>
                  <m:r>
                    <m:t>6</m:t>
                  </m:r>
                </m:sup>
              </m:sSup>
              <m:r>
                <m:rPr>
                  <m:sty m:val="p"/>
                </m:rPr>
                <m:t>=</m:t>
              </m:r>
              <m:r>
                <m:t>64</m:t>
              </m:r>
            </m:oMath>
          </w:p>
        </w:tc>
        <w:tc>
          <w:tcPr/>
          <w:p>
            <w:pPr>
              <w:pStyle w:val="Compact"/>
            </w:pPr>
            <w:r>
              <w:t xml:space="preserve">Quase complementares: compensação altíssima</w:t>
            </w:r>
          </w:p>
        </w:tc>
      </w:tr>
    </w:tbl>
    <w:p>
      <w:pPr>
        <w:pStyle w:val="BlockText"/>
      </w:pPr>
      <w:r>
        <w:t xml:space="preserve">À medida que</w:t>
      </w:r>
      <w:r>
        <w:t xml:space="preserve"> </w:t>
      </w:r>
      <m:oMath>
        <m:r>
          <m:t>ρ</m:t>
        </m:r>
      </m:oMath>
      <w:r>
        <w:t xml:space="preserve"> </w:t>
      </w:r>
      <w:r>
        <w:t xml:space="preserve">diminui (e</w:t>
      </w:r>
      <w:r>
        <w:t xml:space="preserve"> </w:t>
      </w:r>
      <m:oMath>
        <m:r>
          <m:t>σ</m:t>
        </m:r>
      </m:oMath>
      <w:r>
        <w:t xml:space="preserve"> </w:t>
      </w:r>
      <w:r>
        <w:t xml:space="preserve">cai), a TMS cresce explosivamente para cestas desequilibradas — o consumidor resiste cada vez mais a trocar o bem escasso. Para</w:t>
      </w:r>
      <w:r>
        <w:t xml:space="preserve"> </w:t>
      </w:r>
      <m:oMath>
        <m:r>
          <m:t>ρ</m:t>
        </m:r>
        <m:r>
          <m:rPr>
            <m:sty m:val="p"/>
          </m:rPr>
          <m:t>→</m:t>
        </m:r>
        <m:r>
          <m:rPr>
            <m:sty m:val="p"/>
          </m:rPr>
          <m:t>−</m:t>
        </m:r>
        <m:r>
          <m:rPr>
            <m:sty m:val="p"/>
          </m:rPr>
          <m:t>∞</m:t>
        </m:r>
      </m:oMath>
      <w:r>
        <w:t xml:space="preserve">, a TMS diverge para infinito fora do vértice, recuperando os complementos perfeitos.</w:t>
      </w:r>
    </w:p>
    <w:p>
      <w:pPr>
        <w:pStyle w:val="BlockText"/>
      </w:pPr>
      <w:r>
        <w:rPr>
          <w:b/>
          <w:bCs/>
        </w:rPr>
        <w:t xml:space="preserve">[BOX BRASIL] Box Brasil 3.1 — Etanol versus gasolina: preferências CES reveladas nas bombas brasileiras</w:t>
      </w:r>
    </w:p>
    <w:p>
      <w:pPr>
        <w:pStyle w:val="BlockText"/>
      </w:pPr>
      <w:r>
        <w:rPr>
          <w:b/>
          <w:bCs/>
        </w:rPr>
        <w:t xml:space="preserve">Contexto:</w:t>
      </w:r>
      <w:r>
        <w:t xml:space="preserve"> </w:t>
      </w:r>
      <w:r>
        <w:t xml:space="preserve">O Brasil oferece um laboratório natural único para observar a elasticidade de substituição entre bens de consumo. Desde a introdução dos veículos flex-fuel em 2003, motoristas brasileiros escolhem, a cada abastecimento, entre etanol hidratado e gasolina comum — bens que são substitutos próximos, mas não perfeitos (o etanol rende aproximadamente 70% da quilometragem por litro em relação à gasolina). A regra prática difundida entre consumidores —</w:t>
      </w:r>
      <w:r>
        <w:t xml:space="preserve"> </w:t>
      </w:r>
      <w:r>
        <w:t xml:space="preserve">“abasteça etanol se o preço for inferior a 70% do preço da gasolina”</w:t>
      </w:r>
      <w:r>
        <w:t xml:space="preserve"> </w:t>
      </w:r>
      <w:r>
        <w:t xml:space="preserve">— é, na essência, uma aplicação intuitiva da condição de otimização com preferências CES.</w:t>
      </w:r>
    </w:p>
    <w:p>
      <w:pPr>
        <w:pStyle w:val="BlockText"/>
      </w:pPr>
      <w:r>
        <w:rPr>
          <w:b/>
          <w:bCs/>
        </w:rPr>
        <w:t xml:space="preserve">Dados:</w:t>
      </w:r>
      <w:r>
        <w:t xml:space="preserve"> </w:t>
      </w:r>
      <w:r>
        <w:t xml:space="preserve">Segundo a ANP (Agência Nacional do Petróleo), a participação do etanol no consumo total de combustíveis leves oscila fortemente com o preço relativo. Em São Paulo, onde o etanol é mais barato (média de 65–70% do preço da gasolina em 2023), a participação do etanol atingiu cerca de 45% do volume total. No Rio de Janeiro e nos estados do Sul, onde a razão de preços frequentemente supera 75%, a participação do etanol caiu para 15–20%. Estimativas econométricas de Santos (2013,</w:t>
      </w:r>
      <w:r>
        <w:t xml:space="preserve"> </w:t>
      </w:r>
      <w:r>
        <w:rPr>
          <w:i/>
          <w:iCs/>
        </w:rPr>
        <w:t xml:space="preserve">Energy Economics</w:t>
      </w:r>
      <w:r>
        <w:t xml:space="preserve">) e Salvo e Huse (2013,</w:t>
      </w:r>
      <w:r>
        <w:t xml:space="preserve"> </w:t>
      </w:r>
      <w:r>
        <w:rPr>
          <w:i/>
          <w:iCs/>
        </w:rPr>
        <w:t xml:space="preserve">Journal of Environmental Economics and Management</w:t>
      </w:r>
      <w:r>
        <w:t xml:space="preserve">) encontraram elasticidades de substituição entre etanol e gasolina na faixa de</w:t>
      </w:r>
      <w:r>
        <w:t xml:space="preserve"> </w:t>
      </w:r>
      <m:oMath>
        <m:r>
          <m:t>σ</m:t>
        </m:r>
        <m:r>
          <m:rPr>
            <m:sty m:val="p"/>
          </m:rPr>
          <m:t>≈</m:t>
        </m:r>
        <m:r>
          <m:t>3</m:t>
        </m:r>
      </m:oMath>
      <w:r>
        <w:t xml:space="preserve"> </w:t>
      </w:r>
      <w:r>
        <w:t xml:space="preserve">a</w:t>
      </w:r>
      <w:r>
        <w:t xml:space="preserve"> </w:t>
      </w:r>
      <m:oMath>
        <m:r>
          <m:t>5</m:t>
        </m:r>
      </m:oMath>
      <w:r>
        <w:t xml:space="preserve"> </w:t>
      </w:r>
      <w:r>
        <w:t xml:space="preserve">para proprietários de veículos flex — valores que situam esses combustíveis na região intermediária do espectro CES, entre a Cobb-Douglas (</w:t>
      </w:r>
      <m:oMath>
        <m:r>
          <m:t>σ</m:t>
        </m:r>
        <m:r>
          <m:rPr>
            <m:sty m:val="p"/>
          </m:rPr>
          <m:t>=</m:t>
        </m:r>
        <m:r>
          <m:t>1</m:t>
        </m:r>
      </m:oMath>
      <w:r>
        <w:t xml:space="preserve">) e os substitutos perfeitos (</w:t>
      </w:r>
      <m:oMath>
        <m:r>
          <m:t>σ</m:t>
        </m:r>
        <m:r>
          <m:rPr>
            <m:sty m:val="p"/>
          </m:rPr>
          <m:t>=</m:t>
        </m:r>
        <m:r>
          <m:rPr>
            <m:sty m:val="p"/>
          </m:rPr>
          <m:t>∞</m:t>
        </m:r>
      </m:oMath>
      <w:r>
        <w:t xml:space="preserve">).</w:t>
      </w:r>
    </w:p>
    <w:p>
      <w:pPr>
        <w:pStyle w:val="BlockText"/>
      </w:pPr>
      <w:r>
        <w:rPr>
          <w:b/>
          <w:bCs/>
        </w:rPr>
        <w:t xml:space="preserve">Análise:</w:t>
      </w:r>
      <w:r>
        <w:t xml:space="preserve"> </w:t>
      </w:r>
      <w:r>
        <w:t xml:space="preserve">O caso brasileiro do etanol ilustra com precisão como o parâmetro</w:t>
      </w:r>
      <w:r>
        <w:t xml:space="preserve"> </w:t>
      </w:r>
      <m:oMath>
        <m:r>
          <m:t>ρ</m:t>
        </m:r>
      </m:oMath>
      <w:r>
        <w:t xml:space="preserve"> </w:t>
      </w:r>
      <w:r>
        <w:t xml:space="preserve">da função CES se manifesta em decisões reais. Se etanol e gasolina fossem substitutos perfeitos (</w:t>
      </w:r>
      <m:oMath>
        <m:r>
          <m:t>σ</m:t>
        </m:r>
        <m:r>
          <m:rPr>
            <m:sty m:val="p"/>
          </m:rPr>
          <m:t>→</m:t>
        </m:r>
        <m:r>
          <m:rPr>
            <m:sty m:val="p"/>
          </m:rPr>
          <m:t>∞</m:t>
        </m:r>
      </m:oMath>
      <w:r>
        <w:t xml:space="preserve">), observaríamos soluções de canto puras: 100% etanol ou 100% gasolina em cada estado, sem transição gradual. O fato de a participação variar</w:t>
      </w:r>
      <w:r>
        <w:t xml:space="preserve"> </w:t>
      </w:r>
      <w:r>
        <w:rPr>
          <w:i/>
          <w:iCs/>
        </w:rPr>
        <w:t xml:space="preserve">suavemente</w:t>
      </w:r>
      <w:r>
        <w:t xml:space="preserve"> </w:t>
      </w:r>
      <w:r>
        <w:t xml:space="preserve">com o preço relativo — em vez de saltar descontinuamente — revela que</w:t>
      </w:r>
      <w:r>
        <w:t xml:space="preserve"> </w:t>
      </w:r>
      <m:oMath>
        <m:r>
          <m:t>σ</m:t>
        </m:r>
      </m:oMath>
      <w:r>
        <w:t xml:space="preserve"> </w:t>
      </w:r>
      <w:r>
        <w:t xml:space="preserve">é alto, mas finito: diferenças na autonomia, na disponibilidade de postos, na percepção de desempenho do motor e em hábitos de consumo impedem a substituição perfeita. A curva de indiferença entre etanol e gasolina é convexa, mas relativamente</w:t>
      </w:r>
      <w:r>
        <w:t xml:space="preserve"> </w:t>
      </w:r>
      <w:r>
        <w:t xml:space="preserve">“achatada”</w:t>
      </w:r>
      <w:r>
        <w:t xml:space="preserve">, refletindo alta substituibilidade com fricções.</w:t>
      </w:r>
    </w:p>
    <w:p>
      <w:pPr>
        <w:pStyle w:val="BlockText"/>
      </w:pPr>
      <w:r>
        <w:rPr>
          <w:b/>
          <w:bCs/>
        </w:rPr>
        <w:t xml:space="preserve">Para refletir:</w:t>
      </w:r>
      <w:r>
        <w:t xml:space="preserve"> </w:t>
      </w:r>
      <w:r>
        <w:t xml:space="preserve">Se o governo aumentar a tributação sobre a gasolina em 10%, que mudança percentual na razão etanol/gasolina consumida você esperaria observar com</w:t>
      </w:r>
      <w:r>
        <w:t xml:space="preserve"> </w:t>
      </w:r>
      <m:oMath>
        <m:r>
          <m:t>σ</m:t>
        </m:r>
        <m:r>
          <m:rPr>
            <m:sty m:val="p"/>
          </m:rPr>
          <m:t>=</m:t>
        </m:r>
        <m:r>
          <m:t>4</m:t>
        </m:r>
      </m:oMath>
      <w:r>
        <w:t xml:space="preserve">? Compare com o que ocorreria se</w:t>
      </w:r>
      <w:r>
        <w:t xml:space="preserve"> </w:t>
      </w:r>
      <m:oMath>
        <m:r>
          <m:t>σ</m:t>
        </m:r>
        <m:r>
          <m:rPr>
            <m:sty m:val="p"/>
          </m:rPr>
          <m:t>=</m:t>
        </m:r>
        <m:r>
          <m:t>1</m:t>
        </m:r>
      </m:oMath>
      <w:r>
        <w:t xml:space="preserve"> </w:t>
      </w:r>
      <w:r>
        <w:t xml:space="preserve">(Cobb-Douglas) ou</w:t>
      </w:r>
      <w:r>
        <w:t xml:space="preserve"> </w:t>
      </w:r>
      <m:oMath>
        <m:r>
          <m:t>σ</m:t>
        </m:r>
        <m:r>
          <m:rPr>
            <m:sty m:val="p"/>
          </m:rPr>
          <m:t>=</m:t>
        </m:r>
        <m:r>
          <m:rPr>
            <m:sty m:val="p"/>
          </m:rPr>
          <m:t>∞</m:t>
        </m:r>
      </m:oMath>
      <w:r>
        <w:t xml:space="preserve"> </w:t>
      </w:r>
      <w:r>
        <w:t xml:space="preserve">(substitutos perfeitos).</w:t>
      </w:r>
    </w:p>
    <w:bookmarkEnd w:id="162"/>
    <w:bookmarkStart w:id="163" w:name="quase-linear"/>
    <w:p>
      <w:pPr>
        <w:pStyle w:val="Heading4"/>
      </w:pPr>
      <w:r>
        <w:t xml:space="preserve">3.6.5 Quase-linear</w:t>
      </w:r>
    </w:p>
    <w:p>
      <w:pPr>
        <w:pStyle w:val="FirstParagraph"/>
      </w:pPr>
      <w:r>
        <w:t xml:space="preserve">As formas funcionais anteriores compartilham uma propriedade importante: são todas homotéticas (como veremos na Seção 3.6.6), o que significa que a proporção entre os bens consumidos não se altera quando a renda varia — o consumidor simplesmente</w:t>
      </w:r>
      <w:r>
        <w:t xml:space="preserve"> </w:t>
      </w:r>
      <w:r>
        <w:t xml:space="preserve">“escala”</w:t>
      </w:r>
      <w:r>
        <w:t xml:space="preserve"> </w:t>
      </w:r>
      <w:r>
        <w:t xml:space="preserve">sua cesta ótima. Na prática, porém, existem situações em que a demanda por um bem específico é essencialmente insensível à renda: por exemplo, o consumo de sal de cozinha dificilmente se altera quando uma família recebe um aumento salarial. Nesses casos, todo o acréscimo de renda é direcionado aos demais bens. A função de utilidade quase-linear captura exatamente essa assimetria:</w:t>
      </w:r>
    </w:p>
    <w:p>
      <w:pPr>
        <w:pStyle w:val="BodyText"/>
      </w:pPr>
      <m:oMathPara>
        <m:oMathParaPr>
          <m:jc m:val="center"/>
        </m:oMathParaPr>
        <m:oMath>
          <m:r>
            <m:t>u</m:t>
          </m:r>
          <m:r>
            <m:rPr>
              <m:sty m:val="p"/>
            </m:rPr>
            <m:t>(</m:t>
          </m:r>
          <m:sSub>
            <m:e>
              <m:r>
                <m:t>x</m:t>
              </m:r>
            </m:e>
            <m:sub>
              <m:r>
                <m:t>1</m:t>
              </m:r>
            </m:sub>
          </m:sSub>
          <m:r>
            <m:rPr>
              <m:sty m:val="p"/>
            </m:rPr>
            <m:t>,</m:t>
          </m:r>
          <m:sSub>
            <m:e>
              <m:r>
                <m:t>x</m:t>
              </m:r>
            </m:e>
            <m:sub>
              <m:r>
                <m:t>2</m:t>
              </m:r>
            </m:sub>
          </m:sSub>
          <m:r>
            <m:rPr>
              <m:sty m:val="p"/>
            </m:rPr>
            <m:t>)</m:t>
          </m:r>
          <m:r>
            <m:rPr>
              <m:sty m:val="p"/>
            </m:rPr>
            <m:t>=</m:t>
          </m:r>
          <m:r>
            <m:t>v</m:t>
          </m:r>
          <m:r>
            <m:rPr>
              <m:sty m:val="p"/>
            </m:rPr>
            <m:t>(</m:t>
          </m:r>
          <m:sSub>
            <m:e>
              <m:r>
                <m:t>x</m:t>
              </m:r>
            </m:e>
            <m:sub>
              <m:r>
                <m:t>1</m:t>
              </m:r>
            </m:sub>
          </m:sSub>
          <m:r>
            <m:rPr>
              <m:sty m:val="p"/>
            </m:rPr>
            <m:t>)</m:t>
          </m:r>
          <m:r>
            <m:rPr>
              <m:sty m:val="p"/>
            </m:rPr>
            <m:t>+</m:t>
          </m:r>
          <m:sSub>
            <m:e>
              <m:r>
                <m:t>x</m:t>
              </m:r>
            </m:e>
            <m:sub>
              <m:r>
                <m:t>2</m:t>
              </m:r>
            </m:sub>
          </m:sSub>
          <m:r>
            <m:rPr>
              <m:sty m:val="p"/>
            </m:rPr>
            <m:t>,</m:t>
          </m:r>
          <m:r>
            <m:t> </m:t>
          </m:r>
          <m:sSup>
            <m:e>
              <m:r>
                <m:t>v</m:t>
              </m:r>
            </m:e>
            <m:sup>
              <m:r>
                <m:rPr>
                  <m:sty m:val="p"/>
                </m:rPr>
                <m:t>′</m:t>
              </m:r>
            </m:sup>
          </m:sSup>
          <m:r>
            <m:rPr>
              <m:sty m:val="p"/>
            </m:rPr>
            <m:t>&gt;</m:t>
          </m:r>
          <m:r>
            <m:t>0</m:t>
          </m:r>
          <m:r>
            <m:rPr>
              <m:sty m:val="p"/>
            </m:rPr>
            <m:t>,</m:t>
          </m:r>
          <m:r>
            <m:t> </m:t>
          </m:r>
          <m:sSup>
            <m:e>
              <m:r>
                <m:t>v</m:t>
              </m:r>
            </m:e>
            <m:sup>
              <m:r>
                <m:rPr>
                  <m:sty m:val="p"/>
                </m:rPr>
                <m:t>″</m:t>
              </m:r>
            </m:sup>
          </m:sSup>
          <m:r>
            <m:rPr>
              <m:sty m:val="p"/>
            </m:rPr>
            <m:t>&lt;</m:t>
          </m:r>
          <m:r>
            <m:t>0</m:t>
          </m:r>
          <m:r>
            <m:rPr>
              <m:sty m:val="p"/>
            </m:rPr>
            <m:t>.</m:t>
          </m:r>
        </m:oMath>
      </m:oMathPara>
    </w:p>
    <w:p>
      <w:pPr>
        <w:pStyle w:val="FirstParagraph"/>
      </w:pPr>
      <w:r>
        <w:t xml:space="preserve">A TMS depende apenas de</w:t>
      </w:r>
      <w:r>
        <w:t xml:space="preserve"> </w:t>
      </w:r>
      <m:oMath>
        <m:sSub>
          <m:e>
            <m:r>
              <m:t>x</m:t>
            </m:r>
          </m:e>
          <m:sub>
            <m:r>
              <m:t>1</m:t>
            </m:r>
          </m:sub>
        </m:sSub>
      </m:oMath>
      <w:r>
        <w:t xml:space="preserve"> </w:t>
      </w:r>
      <w:r>
        <w:t xml:space="preserve">— e não de</w:t>
      </w:r>
      <w:r>
        <w:t xml:space="preserve"> </w:t>
      </w:r>
      <m:oMath>
        <m:sSub>
          <m:e>
            <m:r>
              <m:t>x</m:t>
            </m:r>
          </m:e>
          <m:sub>
            <m:r>
              <m:t>2</m:t>
            </m:r>
          </m:sub>
        </m:sSub>
      </m:oMath>
      <w:r>
        <w:t xml:space="preserve">, o que é uma peculiaridade notável:</w:t>
      </w:r>
    </w:p>
    <w:p>
      <w:pPr>
        <w:pStyle w:val="BodyText"/>
      </w:pPr>
      <m:oMathPara>
        <m:oMathParaPr>
          <m:jc m:val="center"/>
        </m:oMathParaPr>
        <m:oMath>
          <m:sSub>
            <m:e>
              <m:r>
                <m:rPr>
                  <m:nor/>
                  <m:sty m:val="p"/>
                </m:rPr>
                <m:t>TMS</m:t>
              </m:r>
            </m:e>
            <m:sub>
              <m:r>
                <m:t>12</m:t>
              </m:r>
            </m:sub>
          </m:sSub>
          <m:r>
            <m:rPr>
              <m:sty m:val="p"/>
            </m:rPr>
            <m:t>=</m:t>
          </m:r>
          <m:sSup>
            <m:e>
              <m:r>
                <m:t>v</m:t>
              </m:r>
            </m:e>
            <m:sup>
              <m:r>
                <m:rPr>
                  <m:sty m:val="p"/>
                </m:rPr>
                <m:t>′</m:t>
              </m:r>
            </m:sup>
          </m:sSup>
          <m:r>
            <m:rPr>
              <m:sty m:val="p"/>
            </m:rPr>
            <m:t>(</m:t>
          </m:r>
          <m:sSub>
            <m:e>
              <m:r>
                <m:t>x</m:t>
              </m:r>
            </m:e>
            <m:sub>
              <m:r>
                <m:t>1</m:t>
              </m:r>
            </m:sub>
          </m:sSub>
          <m:r>
            <m:rPr>
              <m:sty m:val="p"/>
            </m:rPr>
            <m:t>)</m:t>
          </m:r>
          <m:r>
            <m:rPr>
              <m:sty m:val="p"/>
            </m:rPr>
            <m:t>.</m:t>
          </m:r>
        </m:oMath>
      </m:oMathPara>
    </w:p>
    <w:p>
      <w:pPr>
        <w:pStyle w:val="FirstParagraph"/>
      </w:pPr>
      <w:r>
        <w:t xml:space="preserve">Como</w:t>
      </w:r>
      <w:r>
        <w:t xml:space="preserve"> </w:t>
      </w:r>
      <m:oMath>
        <m:sSup>
          <m:e>
            <m:r>
              <m:t>v</m:t>
            </m:r>
          </m:e>
          <m:sup>
            <m:r>
              <m:rPr>
                <m:sty m:val="p"/>
              </m:rPr>
              <m:t>″</m:t>
            </m:r>
          </m:sup>
        </m:sSup>
        <m:r>
          <m:rPr>
            <m:sty m:val="p"/>
          </m:rPr>
          <m:t>&lt;</m:t>
        </m:r>
        <m:r>
          <m:t>0</m:t>
        </m:r>
      </m:oMath>
      <w:r>
        <w:t xml:space="preserve">, a TMS é decrescente em</w:t>
      </w:r>
      <w:r>
        <w:t xml:space="preserve"> </w:t>
      </w:r>
      <m:oMath>
        <m:sSub>
          <m:e>
            <m:r>
              <m:t>x</m:t>
            </m:r>
          </m:e>
          <m:sub>
            <m:r>
              <m:t>1</m:t>
            </m:r>
          </m:sub>
        </m:sSub>
      </m:oMath>
      <w:r>
        <w:t xml:space="preserve">: à medida que o consumidor obtém mais do bem 1, sua disposição a trocar o bem 2 por unidades adicionais do bem 1 diminui — preservando a convexidade das curvas de indiferença.</w:t>
      </w:r>
    </w:p>
    <w:p>
      <w:pPr>
        <w:pStyle w:val="BlockText"/>
      </w:pPr>
      <w:r>
        <w:rPr>
          <w:b/>
          <w:bCs/>
        </w:rPr>
        <w:t xml:space="preserve">[NOTA] TMS independente de x₂: a assinatura da quase-linearidade</w:t>
      </w:r>
    </w:p>
    <w:p>
      <w:pPr>
        <w:pStyle w:val="BlockText"/>
      </w:pPr>
      <w:r>
        <w:t xml:space="preserve">A propriedade mais distintiva da utilidade quase-linear é que a TMS depende</w:t>
      </w:r>
      <w:r>
        <w:t xml:space="preserve"> </w:t>
      </w:r>
      <w:r>
        <w:rPr>
          <w:i/>
          <w:iCs/>
        </w:rPr>
        <w:t xml:space="preserve">exclusivamente</w:t>
      </w:r>
      <w:r>
        <w:t xml:space="preserve"> </w:t>
      </w:r>
      <w:r>
        <w:t xml:space="preserve">de</w:t>
      </w:r>
      <w:r>
        <w:t xml:space="preserve"> </w:t>
      </w:r>
      <m:oMath>
        <m:sSub>
          <m:e>
            <m:r>
              <m:t>x</m:t>
            </m:r>
          </m:e>
          <m:sub>
            <m:r>
              <m:t>1</m:t>
            </m:r>
          </m:sub>
        </m:sSub>
      </m:oMath>
      <w:r>
        <w:t xml:space="preserve"> </w:t>
      </w:r>
      <w:r>
        <w:t xml:space="preserve">— a quantidade do bem 2 é irrelevante para a taxa de troca subjetiva do consumidor. Em todas as demais formas funcionais deste capítulo (Cobb-Douglas, CES, complementos perfeitos), a TMS depende da composição</w:t>
      </w:r>
      <w:r>
        <w:t xml:space="preserve"> </w:t>
      </w:r>
      <w:r>
        <w:rPr>
          <w:i/>
          <w:iCs/>
        </w:rPr>
        <w:t xml:space="preserve">completa</w:t>
      </w:r>
      <w:r>
        <w:t xml:space="preserve"> </w:t>
      </w:r>
      <w:r>
        <w:t xml:space="preserve">da cesta. Na quase-linear, o consumidor que possui 10 ou 1.000 unidades de</w:t>
      </w:r>
      <w:r>
        <w:t xml:space="preserve"> </w:t>
      </w:r>
      <m:oMath>
        <m:sSub>
          <m:e>
            <m:r>
              <m:t>x</m:t>
            </m:r>
          </m:e>
          <m:sub>
            <m:r>
              <m:t>2</m:t>
            </m:r>
          </m:sub>
        </m:sSub>
      </m:oMath>
      <w:r>
        <w:t xml:space="preserve"> </w:t>
      </w:r>
      <w:r>
        <w:t xml:space="preserve">atribui exatamente o mesmo valor marginal relativo ao bem 1, desde que</w:t>
      </w:r>
      <w:r>
        <w:t xml:space="preserve"> </w:t>
      </w:r>
      <m:oMath>
        <m:sSub>
          <m:e>
            <m:r>
              <m:t>x</m:t>
            </m:r>
          </m:e>
          <m:sub>
            <m:r>
              <m:t>1</m:t>
            </m:r>
          </m:sub>
        </m:sSub>
      </m:oMath>
      <w:r>
        <w:t xml:space="preserve"> </w:t>
      </w:r>
      <w:r>
        <w:t xml:space="preserve">seja o mesmo. É essa independência que elimina o efeito renda sobre</w:t>
      </w:r>
      <w:r>
        <w:t xml:space="preserve"> </w:t>
      </w:r>
      <m:oMath>
        <m:sSub>
          <m:e>
            <m:r>
              <m:t>x</m:t>
            </m:r>
          </m:e>
          <m:sub>
            <m:r>
              <m:t>1</m:t>
            </m:r>
          </m:sub>
        </m:sSub>
      </m:oMath>
      <w:r>
        <w:t xml:space="preserve"> </w:t>
      </w:r>
      <w:r>
        <w:t xml:space="preserve">e gera curvas de indiferença que são translações verticais.</w:t>
      </w:r>
    </w:p>
    <w:p>
      <w:pPr>
        <w:pStyle w:val="FirstParagraph"/>
      </w:pPr>
      <w:r>
        <w:t xml:space="preserve">As curvas de indiferença são</w:t>
      </w:r>
      <w:r>
        <w:t xml:space="preserve"> </w:t>
      </w:r>
      <w:r>
        <w:rPr>
          <w:b/>
          <w:bCs/>
        </w:rPr>
        <w:t xml:space="preserve">translações verticais</w:t>
      </w:r>
      <w:r>
        <w:t xml:space="preserve"> </w:t>
      </w:r>
      <w:r>
        <w:t xml:space="preserve">umas das outras: possuem a mesma forma, apenas deslocadas paralelamente ao eixo</w:t>
      </w:r>
      <w:r>
        <w:t xml:space="preserve"> </w:t>
      </w:r>
      <m:oMath>
        <m:sSub>
          <m:e>
            <m:r>
              <m:t>x</m:t>
            </m:r>
          </m:e>
          <m:sub>
            <m:r>
              <m:t>2</m:t>
            </m:r>
          </m:sub>
        </m:sSub>
      </m:oMath>
      <w:r>
        <w:t xml:space="preserve">. Essa propriedade geométrica tem uma implicação econômica direta e poderosa: não há efeito renda sobre o bem 1 (para soluções interiores), pois a demanda por</w:t>
      </w:r>
      <w:r>
        <w:t xml:space="preserve"> </w:t>
      </w:r>
      <m:oMath>
        <m:sSub>
          <m:e>
            <m:r>
              <m:t>x</m:t>
            </m:r>
          </m:e>
          <m:sub>
            <m:r>
              <m:t>1</m:t>
            </m:r>
          </m:sub>
        </m:sSub>
      </m:oMath>
      <w:r>
        <w:t xml:space="preserve"> </w:t>
      </w:r>
      <w:r>
        <w:t xml:space="preserve">depende apenas dos preços, não da renda. Todo acréscimo de renda é absorvido pelo bem 2, que funciona como um</w:t>
      </w:r>
      <w:r>
        <w:t xml:space="preserve"> </w:t>
      </w:r>
      <w:r>
        <w:t xml:space="preserve">“numerário”</w:t>
      </w:r>
      <w:r>
        <w:t xml:space="preserve"> </w:t>
      </w:r>
      <w:r>
        <w:t xml:space="preserve">— um bem residual que absorve as variações de poder aquisitivo. A utilidade quase-linear é particularmente útil em análises de equilíbrio parcial e em modelos de organização industrial, onde se deseja isolar o mercado de um bem específico sem que efeitos renda contaminem a análise.</w:t>
      </w:r>
    </w:p>
    <w:p>
      <w:pPr>
        <w:pStyle w:val="BlockText"/>
      </w:pPr>
      <w:r>
        <w:rPr>
          <w:b/>
          <w:bCs/>
        </w:rPr>
        <w:t xml:space="preserve">[TEOREMA] Proposição — Propriedades da utilidade quase-linear</w:t>
      </w:r>
    </w:p>
    <w:p>
      <w:pPr>
        <w:pStyle w:val="BlockText"/>
      </w:pPr>
      <w:r>
        <w:t xml:space="preserve">Seja</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t>v</m:t>
        </m:r>
        <m:r>
          <m:rPr>
            <m:sty m:val="p"/>
          </m:rPr>
          <m:t>(</m:t>
        </m:r>
        <m:sSub>
          <m:e>
            <m:r>
              <m:t>x</m:t>
            </m:r>
          </m:e>
          <m:sub>
            <m:r>
              <m:t>1</m:t>
            </m:r>
          </m:sub>
        </m:sSub>
        <m:r>
          <m:rPr>
            <m:sty m:val="p"/>
          </m:rPr>
          <m:t>)</m:t>
        </m:r>
        <m:r>
          <m:rPr>
            <m:sty m:val="p"/>
          </m:rPr>
          <m:t>+</m:t>
        </m:r>
        <m:sSub>
          <m:e>
            <m:r>
              <m:t>x</m:t>
            </m:r>
          </m:e>
          <m:sub>
            <m:r>
              <m:t>2</m:t>
            </m:r>
          </m:sub>
        </m:sSub>
      </m:oMath>
      <w:r>
        <w:t xml:space="preserve"> </w:t>
      </w:r>
      <w:r>
        <w:t xml:space="preserve">com</w:t>
      </w:r>
      <w:r>
        <w:t xml:space="preserve"> </w:t>
      </w:r>
      <m:oMath>
        <m:sSup>
          <m:e>
            <m:r>
              <m:t>v</m:t>
            </m:r>
          </m:e>
          <m:sup>
            <m:r>
              <m:rPr>
                <m:sty m:val="p"/>
              </m:rPr>
              <m:t>′</m:t>
            </m:r>
          </m:sup>
        </m:sSup>
        <m:r>
          <m:rPr>
            <m:sty m:val="p"/>
          </m:rPr>
          <m:t>&gt;</m:t>
        </m:r>
        <m:r>
          <m:t>0</m:t>
        </m:r>
      </m:oMath>
      <w:r>
        <w:t xml:space="preserve"> </w:t>
      </w:r>
      <w:r>
        <w:t xml:space="preserve">e</w:t>
      </w:r>
      <w:r>
        <w:t xml:space="preserve"> </w:t>
      </w:r>
      <m:oMath>
        <m:sSup>
          <m:e>
            <m:r>
              <m:t>v</m:t>
            </m:r>
          </m:e>
          <m:sup>
            <m:r>
              <m:rPr>
                <m:sty m:val="p"/>
              </m:rPr>
              <m:t>″</m:t>
            </m:r>
          </m:sup>
        </m:sSup>
        <m:r>
          <m:rPr>
            <m:sty m:val="p"/>
          </m:rPr>
          <m:t>&lt;</m:t>
        </m:r>
        <m:r>
          <m:t>0</m:t>
        </m:r>
      </m:oMath>
      <w:r>
        <w:t xml:space="preserve">. Então, para soluções interiores:</w:t>
      </w:r>
    </w:p>
    <w:p>
      <w:pPr>
        <w:pStyle w:val="Compact"/>
        <w:numPr>
          <w:ilvl w:val="0"/>
          <w:numId w:val="1076"/>
        </w:numPr>
      </w:pPr>
      <w:r>
        <w:rPr>
          <w:b/>
          <w:bCs/>
        </w:rPr>
        <w:t xml:space="preserve">Efeito renda nulo sobre</w:t>
      </w:r>
      <w:r>
        <w:rPr>
          <w:b/>
          <w:bCs/>
        </w:rPr>
        <w:t xml:space="preserve"> </w:t>
      </w:r>
      <m:oMath>
        <m:sSub>
          <m:e>
            <m:r>
              <m:t>x</m:t>
            </m:r>
          </m:e>
          <m:sub>
            <m:r>
              <m:t>1</m:t>
            </m:r>
          </m:sub>
        </m:sSub>
      </m:oMath>
      <w:r>
        <w:t xml:space="preserve">: a demanda marshalliana por</w:t>
      </w:r>
      <w:r>
        <w:t xml:space="preserve"> </w:t>
      </w:r>
      <m:oMath>
        <m:sSub>
          <m:e>
            <m:r>
              <m:t>x</m:t>
            </m:r>
          </m:e>
          <m:sub>
            <m:r>
              <m:t>1</m:t>
            </m:r>
          </m:sub>
        </m:sSub>
      </m:oMath>
      <w:r>
        <w:t xml:space="preserve"> </w:t>
      </w:r>
      <w:r>
        <w:t xml:space="preserve">depende apenas de</w:t>
      </w:r>
      <w:r>
        <w:t xml:space="preserve"> </w:t>
      </w:r>
      <m:oMath>
        <m:sSub>
          <m:e>
            <m:r>
              <m:t>p</m:t>
            </m:r>
          </m:e>
          <m:sub>
            <m:r>
              <m:t>1</m:t>
            </m:r>
          </m:sub>
        </m:sSub>
        <m:r>
          <m:rPr>
            <m:sty m:val="p"/>
          </m:rPr>
          <m:t>/</m:t>
        </m:r>
        <m:sSub>
          <m:e>
            <m:r>
              <m:t>p</m:t>
            </m:r>
          </m:e>
          <m:sub>
            <m:r>
              <m:t>2</m:t>
            </m:r>
          </m:sub>
        </m:sSub>
      </m:oMath>
      <w:r>
        <w:t xml:space="preserve">, não da renda</w:t>
      </w:r>
      <w:r>
        <w:t xml:space="preserve"> </w:t>
      </w:r>
      <m:oMath>
        <m:r>
          <m:t>I</m:t>
        </m:r>
      </m:oMath>
      <w:r>
        <w:t xml:space="preserve">.</w:t>
      </w:r>
    </w:p>
    <w:p>
      <w:pPr>
        <w:pStyle w:val="Compact"/>
        <w:numPr>
          <w:ilvl w:val="0"/>
          <w:numId w:val="1076"/>
        </w:numPr>
      </w:pPr>
      <w:r>
        <w:rPr>
          <w:b/>
          <w:bCs/>
        </w:rPr>
        <w:t xml:space="preserve">Translação vertical</w:t>
      </w:r>
      <w:r>
        <w:t xml:space="preserve">: fixado</w:t>
      </w:r>
      <w:r>
        <w:t xml:space="preserve"> </w:t>
      </w:r>
      <m:oMath>
        <m:sSub>
          <m:e>
            <m:r>
              <m:t>x</m:t>
            </m:r>
          </m:e>
          <m:sub>
            <m:r>
              <m:t>1</m:t>
            </m:r>
          </m:sub>
        </m:sSub>
      </m:oMath>
      <w:r>
        <w:t xml:space="preserve">, a curva de indiferença de nível</w:t>
      </w:r>
      <w:r>
        <w:t xml:space="preserve"> </w:t>
      </w:r>
      <m:oMath>
        <m:acc>
          <m:accPr>
            <m:chr m:val="‾"/>
          </m:accPr>
          <m:e>
            <m:r>
              <m:t>u</m:t>
            </m:r>
          </m:e>
        </m:acc>
      </m:oMath>
      <w:r>
        <w:t xml:space="preserve"> </w:t>
      </w:r>
      <w:r>
        <w:t xml:space="preserve">é</w:t>
      </w:r>
      <w:r>
        <w:t xml:space="preserve"> </w:t>
      </w:r>
      <m:oMath>
        <m:sSub>
          <m:e>
            <m:r>
              <m:t>x</m:t>
            </m:r>
          </m:e>
          <m:sub>
            <m:r>
              <m:t>2</m:t>
            </m:r>
          </m:sub>
        </m:sSub>
        <m:r>
          <m:rPr>
            <m:sty m:val="p"/>
          </m:rPr>
          <m:t>=</m:t>
        </m:r>
        <m:acc>
          <m:accPr>
            <m:chr m:val="‾"/>
          </m:accPr>
          <m:e>
            <m:r>
              <m:t>u</m:t>
            </m:r>
          </m:e>
        </m:acc>
        <m:r>
          <m:rPr>
            <m:sty m:val="p"/>
          </m:rPr>
          <m:t>−</m:t>
        </m:r>
        <m:r>
          <m:t>v</m:t>
        </m:r>
        <m:r>
          <m:rPr>
            <m:sty m:val="p"/>
          </m:rPr>
          <m:t>(</m:t>
        </m:r>
        <m:sSub>
          <m:e>
            <m:r>
              <m:t>x</m:t>
            </m:r>
          </m:e>
          <m:sub>
            <m:r>
              <m:t>1</m:t>
            </m:r>
          </m:sub>
        </m:sSub>
        <m:r>
          <m:rPr>
            <m:sty m:val="p"/>
          </m:rPr>
          <m:t>)</m:t>
        </m:r>
      </m:oMath>
      <w:r>
        <w:t xml:space="preserve">. Ao passar para o nível</w:t>
      </w:r>
      <w:r>
        <w:t xml:space="preserve"> </w:t>
      </w:r>
      <m:oMath>
        <m:sSup>
          <m:e>
            <m:acc>
              <m:accPr>
                <m:chr m:val="‾"/>
              </m:accPr>
              <m:e>
                <m:r>
                  <m:t>u</m:t>
                </m:r>
              </m:e>
            </m:acc>
          </m:e>
          <m:sup>
            <m:r>
              <m:rPr>
                <m:sty m:val="p"/>
              </m:rPr>
              <m:t>′</m:t>
            </m:r>
          </m:sup>
        </m:sSup>
        <m:r>
          <m:rPr>
            <m:sty m:val="p"/>
          </m:rPr>
          <m:t>&gt;</m:t>
        </m:r>
        <m:acc>
          <m:accPr>
            <m:chr m:val="‾"/>
          </m:accPr>
          <m:e>
            <m:r>
              <m:t>u</m:t>
            </m:r>
          </m:e>
        </m:acc>
      </m:oMath>
      <w:r>
        <w:t xml:space="preserve">, a curva se desloca verticalmente em</w:t>
      </w:r>
      <w:r>
        <w:t xml:space="preserve"> </w:t>
      </w:r>
      <m:oMath>
        <m:sSup>
          <m:e>
            <m:acc>
              <m:accPr>
                <m:chr m:val="‾"/>
              </m:accPr>
              <m:e>
                <m:r>
                  <m:t>u</m:t>
                </m:r>
              </m:e>
            </m:acc>
          </m:e>
          <m:sup>
            <m:r>
              <m:rPr>
                <m:sty m:val="p"/>
              </m:rPr>
              <m:t>′</m:t>
            </m:r>
          </m:sup>
        </m:sSup>
        <m:r>
          <m:rPr>
            <m:sty m:val="p"/>
          </m:rPr>
          <m:t>−</m:t>
        </m:r>
        <m:acc>
          <m:accPr>
            <m:chr m:val="‾"/>
          </m:accPr>
          <m:e>
            <m:r>
              <m:t>u</m:t>
            </m:r>
          </m:e>
        </m:acc>
      </m:oMath>
      <w:r>
        <w:t xml:space="preserve">.</w:t>
      </w:r>
    </w:p>
    <w:p>
      <w:pPr>
        <w:pStyle w:val="Compact"/>
        <w:numPr>
          <w:ilvl w:val="0"/>
          <w:numId w:val="1076"/>
        </w:numPr>
      </w:pPr>
      <w:r>
        <w:rPr>
          <w:b/>
          <w:bCs/>
        </w:rPr>
        <w:t xml:space="preserve">Medidas de bem-estar coincidem</w:t>
      </w:r>
      <w:r>
        <w:t xml:space="preserve">: variação compensatória, variação equivalente e variação do excedente do consumidor são iguais —</w:t>
      </w:r>
      <w:r>
        <w:t xml:space="preserve"> </w:t>
      </w:r>
      <m:oMath>
        <m:r>
          <m:t>V</m:t>
        </m:r>
        <m:r>
          <m:t>C</m:t>
        </m:r>
        <m:r>
          <m:rPr>
            <m:sty m:val="p"/>
          </m:rPr>
          <m:t>=</m:t>
        </m:r>
        <m:r>
          <m:t>V</m:t>
        </m:r>
        <m:r>
          <m:t>E</m:t>
        </m:r>
        <m:r>
          <m:rPr>
            <m:sty m:val="p"/>
          </m:rPr>
          <m:t>=</m:t>
        </m:r>
        <m:r>
          <m:rPr>
            <m:sty m:val="p"/>
          </m:rPr>
          <m:t>Δ</m:t>
        </m:r>
        <m:r>
          <m:t>E</m:t>
        </m:r>
        <m:r>
          <m:t>C</m:t>
        </m:r>
      </m:oMath>
      <w:r>
        <w:t xml:space="preserve"> </w:t>
      </w:r>
      <w:r>
        <w:t xml:space="preserve">— porque a demanda hicksiana por</w:t>
      </w:r>
      <w:r>
        <w:t xml:space="preserve"> </w:t>
      </w:r>
      <m:oMath>
        <m:sSub>
          <m:e>
            <m:r>
              <m:t>x</m:t>
            </m:r>
          </m:e>
          <m:sub>
            <m:r>
              <m:t>1</m:t>
            </m:r>
          </m:sub>
        </m:sSub>
      </m:oMath>
      <w:r>
        <w:t xml:space="preserve"> </w:t>
      </w:r>
      <w:r>
        <w:t xml:space="preserve">independe do nível de utilidade (ver Cap. 5, §5.8.4).</w:t>
      </w:r>
    </w:p>
    <w:p>
      <w:pPr>
        <w:pStyle w:val="Compact"/>
        <w:numPr>
          <w:ilvl w:val="0"/>
          <w:numId w:val="1076"/>
        </w:numPr>
      </w:pPr>
      <w:r>
        <w:rPr>
          <w:b/>
          <w:bCs/>
        </w:rPr>
        <w:t xml:space="preserve">Função dispêndio</w:t>
      </w:r>
      <w:r>
        <w:t xml:space="preserve">:</w:t>
      </w:r>
      <w:r>
        <w:t xml:space="preserve"> </w:t>
      </w:r>
      <m:oMath>
        <m:r>
          <m:t>E</m:t>
        </m:r>
        <m:r>
          <m:rPr>
            <m:sty m:val="p"/>
          </m:rPr>
          <m:t>(</m:t>
        </m:r>
        <m:r>
          <m:rPr>
            <m:sty m:val="bi"/>
          </m:rPr>
          <m:t>p</m:t>
        </m:r>
        <m:r>
          <m:rPr>
            <m:sty m:val="p"/>
          </m:rPr>
          <m:t>,</m:t>
        </m:r>
        <m:acc>
          <m:accPr>
            <m:chr m:val="‾"/>
          </m:accPr>
          <m:e>
            <m:r>
              <m:t>u</m:t>
            </m:r>
          </m:e>
        </m:acc>
        <m:r>
          <m:rPr>
            <m:sty m:val="p"/>
          </m:rPr>
          <m:t>)</m:t>
        </m:r>
        <m:r>
          <m:rPr>
            <m:sty m:val="p"/>
          </m:rPr>
          <m:t>=</m:t>
        </m:r>
        <m:r>
          <m:t>c</m:t>
        </m:r>
        <m:r>
          <m:rPr>
            <m:sty m:val="p"/>
          </m:rPr>
          <m:t>(</m:t>
        </m:r>
        <m:sSub>
          <m:e>
            <m:r>
              <m:t>p</m:t>
            </m:r>
          </m:e>
          <m:sub>
            <m:r>
              <m:t>1</m:t>
            </m:r>
          </m:sub>
        </m:sSub>
        <m:r>
          <m:rPr>
            <m:sty m:val="p"/>
          </m:rPr>
          <m:t>,</m:t>
        </m:r>
        <m:sSub>
          <m:e>
            <m:r>
              <m:t>p</m:t>
            </m:r>
          </m:e>
          <m:sub>
            <m:r>
              <m:t>2</m:t>
            </m:r>
          </m:sub>
        </m:sSub>
        <m:r>
          <m:rPr>
            <m:sty m:val="p"/>
          </m:rPr>
          <m:t>)</m:t>
        </m:r>
        <m:r>
          <m:rPr>
            <m:sty m:val="p"/>
          </m:rPr>
          <m:t>+</m:t>
        </m:r>
        <m:sSub>
          <m:e>
            <m:r>
              <m:t>p</m:t>
            </m:r>
          </m:e>
          <m:sub>
            <m:r>
              <m:t>2</m:t>
            </m:r>
          </m:sub>
        </m:sSub>
        <m:acc>
          <m:accPr>
            <m:chr m:val="‾"/>
          </m:accPr>
          <m:e>
            <m:r>
              <m:t>u</m:t>
            </m:r>
          </m:e>
        </m:acc>
      </m:oMath>
      <w:r>
        <w:t xml:space="preserve">, onde</w:t>
      </w:r>
      <w:r>
        <w:t xml:space="preserve"> </w:t>
      </w:r>
      <m:oMath>
        <m:r>
          <m:t>c</m:t>
        </m:r>
        <m:r>
          <m:rPr>
            <m:sty m:val="p"/>
          </m:rPr>
          <m:t>(</m:t>
        </m:r>
        <m:r>
          <m:rPr>
            <m:sty m:val="p"/>
          </m:rPr>
          <m:t>⋅</m:t>
        </m:r>
        <m:r>
          <m:rPr>
            <m:sty m:val="p"/>
          </m:rPr>
          <m:t>)</m:t>
        </m:r>
      </m:oMath>
      <w:r>
        <w:t xml:space="preserve"> </w:t>
      </w:r>
      <w:r>
        <w:t xml:space="preserve">é uma função apenas dos preços. A função dispêndio é</w:t>
      </w:r>
      <w:r>
        <w:t xml:space="preserve"> </w:t>
      </w:r>
      <w:r>
        <w:rPr>
          <w:b/>
          <w:bCs/>
        </w:rPr>
        <w:t xml:space="preserve">linear</w:t>
      </w:r>
      <w:r>
        <w:t xml:space="preserve"> </w:t>
      </w:r>
      <w:r>
        <w:t xml:space="preserve">em</w:t>
      </w:r>
      <w:r>
        <w:t xml:space="preserve"> </w:t>
      </w:r>
      <m:oMath>
        <m:acc>
          <m:accPr>
            <m:chr m:val="‾"/>
          </m:accPr>
          <m:e>
            <m:r>
              <m:t>u</m:t>
            </m:r>
          </m:e>
        </m:acc>
      </m:oMath>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Na utilidade quase-linear, o bem 2 funciona como</w:t>
      </w:r>
      <w:r>
        <w:t xml:space="preserve"> </w:t>
      </w:r>
      <w:r>
        <w:t xml:space="preserve">“dinheiro”</w:t>
      </w:r>
      <w:r>
        <w:t xml:space="preserve"> </w:t>
      </w:r>
      <w:r>
        <w:t xml:space="preserve">— todo aumento de renda vai para</w:t>
      </w:r>
      <w:r>
        <w:t xml:space="preserve"> </w:t>
      </w:r>
      <m:oMath>
        <m:sSub>
          <m:e>
            <m:r>
              <m:t>x</m:t>
            </m:r>
          </m:e>
          <m:sub>
            <m:r>
              <m:t>2</m:t>
            </m:r>
          </m:sub>
        </m:sSub>
      </m:oMath>
      <w:r>
        <w:t xml:space="preserve">, sem afetar a escolha de</w:t>
      </w:r>
      <w:r>
        <w:t xml:space="preserve"> </w:t>
      </w:r>
      <m:oMath>
        <m:sSub>
          <m:e>
            <m:r>
              <m:t>x</m:t>
            </m:r>
          </m:e>
          <m:sub>
            <m:r>
              <m:t>1</m:t>
            </m:r>
          </m:sub>
        </m:sSub>
      </m:oMath>
      <w:r>
        <w:t xml:space="preserve">.</w:t>
      </w:r>
    </w:p>
    <w:p>
      <w:pPr>
        <w:pStyle w:val="BlockText"/>
      </w:pPr>
      <w:r>
        <w:rPr>
          <w:b/>
          <w:bCs/>
        </w:rPr>
        <w:t xml:space="preserve">Pense assim:</w:t>
      </w:r>
      <w:r>
        <w:t xml:space="preserve"> </w:t>
      </w:r>
      <w:r>
        <w:t xml:space="preserve">Imagine que você decide quanto café tomar por dia baseado apenas no preço do café, e todo o resto do seu orçamento vai para</w:t>
      </w:r>
      <w:r>
        <w:t xml:space="preserve"> </w:t>
      </w:r>
      <w:r>
        <w:t xml:space="preserve">“outros gastos”</w:t>
      </w:r>
      <w:r>
        <w:t xml:space="preserve"> </w:t>
      </w:r>
      <w:r>
        <w:t xml:space="preserve">(</w:t>
      </w:r>
      <m:oMath>
        <m:sSub>
          <m:e>
            <m:r>
              <m:t>x</m:t>
            </m:r>
          </m:e>
          <m:sub>
            <m:r>
              <m:t>2</m:t>
            </m:r>
          </m:sub>
        </m:sSub>
      </m:oMath>
      <w:r>
        <w:t xml:space="preserve">). Se você ganha um aumento de salário, continua tomando a mesma quantidade de café — a renda extra vai toda para os outros gastos. Essa é a essência da quase-linearidade.</w:t>
      </w:r>
    </w:p>
    <w:p>
      <w:pPr>
        <w:pStyle w:val="BlockText"/>
      </w:pPr>
      <w:r>
        <w:rPr>
          <w:b/>
          <w:bCs/>
        </w:rPr>
        <w:t xml:space="preserve">Por que isso importa:</w:t>
      </w:r>
      <w:r>
        <w:t xml:space="preserve"> </w:t>
      </w:r>
      <w:r>
        <w:t xml:space="preserve">Essa propriedade torna a utilidade quase-linear a preferida em modelos de organização industrial e análises de equilíbrio parcial: como</w:t>
      </w:r>
      <w:r>
        <w:t xml:space="preserve"> </w:t>
      </w:r>
      <m:oMath>
        <m:r>
          <m:t>V</m:t>
        </m:r>
        <m:r>
          <m:t>C</m:t>
        </m:r>
        <m:r>
          <m:rPr>
            <m:sty m:val="p"/>
          </m:rPr>
          <m:t>=</m:t>
        </m:r>
        <m:r>
          <m:t>V</m:t>
        </m:r>
        <m:r>
          <m:t>E</m:t>
        </m:r>
        <m:r>
          <m:rPr>
            <m:sty m:val="p"/>
          </m:rPr>
          <m:t>=</m:t>
        </m:r>
        <m:r>
          <m:rPr>
            <m:sty m:val="p"/>
          </m:rPr>
          <m:t>Δ</m:t>
        </m:r>
        <m:r>
          <m:t>E</m:t>
        </m:r>
        <m:r>
          <m:t>C</m:t>
        </m:r>
      </m:oMath>
      <w:r>
        <w:t xml:space="preserve">, a medida de bem-estar é única e não ambígua.</w:t>
      </w:r>
    </w:p>
    <w:p>
      <w:pPr>
        <w:pStyle w:val="FirstParagraph"/>
      </w:pPr>
      <w:r>
        <w:rPr>
          <w:b/>
          <w:bCs/>
        </w:rPr>
        <w:t xml:space="preserve">Quase-linear vs. homotética.</w:t>
      </w:r>
      <w:r>
        <w:t xml:space="preserve"> </w:t>
      </w:r>
      <w:r>
        <w:t xml:space="preserve">É importante distinguir claramente a utilidade quase-linear das preferências homotéticas, pois ambas são amplamente utilizadas mas possuem implicações opostas sobre o efeito renda. A utilidade quase-linear</w:t>
      </w:r>
      <w:r>
        <w:t xml:space="preserve"> </w:t>
      </w:r>
      <w:r>
        <w:rPr>
          <w:b/>
          <w:bCs/>
        </w:rPr>
        <w:t xml:space="preserve">não</w:t>
      </w:r>
      <w:r>
        <w:t xml:space="preserve"> </w:t>
      </w:r>
      <w:r>
        <w:t xml:space="preserve">é homotética (exceto no caso trivial em que</w:t>
      </w:r>
      <w:r>
        <w:t xml:space="preserve"> </w:t>
      </w:r>
      <m:oMath>
        <m:r>
          <m:t>v</m:t>
        </m:r>
      </m:oMath>
      <w:r>
        <w:t xml:space="preserve"> </w:t>
      </w:r>
      <w:r>
        <w:t xml:space="preserve">é linear). Enquanto as preferências homotéticas geram curvas de indiferença que se expandem radialmente a partir da origem — mantendo constante a razão</w:t>
      </w:r>
      <w:r>
        <w:t xml:space="preserve"> </w:t>
      </w:r>
      <m:oMath>
        <m:sSub>
          <m:e>
            <m:r>
              <m:t>x</m:t>
            </m:r>
          </m:e>
          <m:sub>
            <m:r>
              <m:t>1</m:t>
            </m:r>
          </m:sub>
        </m:sSub>
        <m:r>
          <m:rPr>
            <m:sty m:val="p"/>
          </m:rPr>
          <m:t>/</m:t>
        </m:r>
        <m:sSub>
          <m:e>
            <m:r>
              <m:t>x</m:t>
            </m:r>
          </m:e>
          <m:sub>
            <m:r>
              <m:t>2</m:t>
            </m:r>
          </m:sub>
        </m:sSub>
      </m:oMath>
      <w:r>
        <w:t xml:space="preserve"> </w:t>
      </w:r>
      <w:r>
        <w:t xml:space="preserve">ao longo do caminho de expansão da renda —, as curvas da utilidade quase-linear se deslocam por translação vertical: a razão</w:t>
      </w:r>
      <w:r>
        <w:t xml:space="preserve"> </w:t>
      </w:r>
      <m:oMath>
        <m:sSub>
          <m:e>
            <m:r>
              <m:t>x</m:t>
            </m:r>
          </m:e>
          <m:sub>
            <m:r>
              <m:t>1</m:t>
            </m:r>
          </m:sub>
        </m:sSub>
        <m:r>
          <m:rPr>
            <m:sty m:val="p"/>
          </m:rPr>
          <m:t>/</m:t>
        </m:r>
        <m:sSub>
          <m:e>
            <m:r>
              <m:t>x</m:t>
            </m:r>
          </m:e>
          <m:sub>
            <m:r>
              <m:t>2</m:t>
            </m:r>
          </m:sub>
        </m:sSub>
      </m:oMath>
      <w:r>
        <w:t xml:space="preserve"> </w:t>
      </w:r>
      <w:r>
        <w:t xml:space="preserve">muda com a renda, pois todo o aumento vai para</w:t>
      </w:r>
      <w:r>
        <w:t xml:space="preserve"> </w:t>
      </w:r>
      <m:oMath>
        <m:sSub>
          <m:e>
            <m:r>
              <m:t>x</m:t>
            </m:r>
          </m:e>
          <m:sub>
            <m:r>
              <m:t>2</m:t>
            </m:r>
          </m:sub>
        </m:sSub>
      </m:oMath>
      <w:r>
        <w:t xml:space="preserve">, violando a condição das funções homotéticas (ver §3.6.6).</w:t>
      </w:r>
    </w:p>
    <w:bookmarkEnd w:id="163"/>
    <w:bookmarkStart w:id="164" w:name="funções-homotéticas"/>
    <w:p>
      <w:pPr>
        <w:pStyle w:val="Heading4"/>
      </w:pPr>
      <w:r>
        <w:t xml:space="preserve">3.6.6 Funções homotéticas</w:t>
      </w:r>
    </w:p>
    <w:p>
      <w:pPr>
        <w:pStyle w:val="FirstParagraph"/>
      </w:pPr>
      <w:r>
        <w:t xml:space="preserve">Após examinar a quase-linearidade — onde todo o efeito renda recai sobre um único bem —, é natural perguntar: existe uma classe de preferências em que a composição</w:t>
      </w:r>
      <w:r>
        <w:t xml:space="preserve"> </w:t>
      </w:r>
      <w:r>
        <w:rPr>
          <w:i/>
          <w:iCs/>
        </w:rPr>
        <w:t xml:space="preserve">relativa</w:t>
      </w:r>
      <w:r>
        <w:t xml:space="preserve"> </w:t>
      </w:r>
      <w:r>
        <w:t xml:space="preserve">da cesta permanece inalterada quando a renda varia? Ou seja, preferências tais que ricos e pobres, ao enfrentarem os mesmos preços, escolham as mesmas</w:t>
      </w:r>
      <w:r>
        <w:t xml:space="preserve"> </w:t>
      </w:r>
      <w:r>
        <w:rPr>
          <w:i/>
          <w:iCs/>
        </w:rPr>
        <w:t xml:space="preserve">proporções</w:t>
      </w:r>
      <w:r>
        <w:t xml:space="preserve"> </w:t>
      </w:r>
      <w:r>
        <w:t xml:space="preserve">entre os bens, diferindo apenas na</w:t>
      </w:r>
      <w:r>
        <w:t xml:space="preserve"> </w:t>
      </w:r>
      <w:r>
        <w:rPr>
          <w:i/>
          <w:iCs/>
        </w:rPr>
        <w:t xml:space="preserve">escala</w:t>
      </w:r>
      <w:r>
        <w:t xml:space="preserve"> </w:t>
      </w:r>
      <w:r>
        <w:t xml:space="preserve">de consumo? A resposta são as preferências</w:t>
      </w:r>
      <w:r>
        <w:t xml:space="preserve"> </w:t>
      </w:r>
      <w:r>
        <w:rPr>
          <w:b/>
          <w:bCs/>
        </w:rPr>
        <w:t xml:space="preserve">homotéticas</w:t>
      </w:r>
      <w:r>
        <w:t xml:space="preserve">, que ocupam um papel central tanto na teoria do consumidor quanto nos modelos de equilíbrio geral e macroeconômico. A homoteticidade é a propriedade que permite agregar consumidores heterogêneos em um</w:t>
      </w:r>
      <w:r>
        <w:t xml:space="preserve"> </w:t>
      </w:r>
      <w:r>
        <w:t xml:space="preserve">“consumidor representativo”</w:t>
      </w:r>
      <w:r>
        <w:t xml:space="preserve"> </w:t>
      </w:r>
      <w:r>
        <w:t xml:space="preserve">— uma simplificação poderosa, embora nem sempre realista, como discutiremos adiante.</w:t>
      </w:r>
    </w:p>
    <w:p>
      <w:pPr>
        <w:pStyle w:val="BlockText"/>
      </w:pPr>
      <w:r>
        <w:rPr>
          <w:b/>
          <w:bCs/>
        </w:rPr>
        <w:t xml:space="preserve">[DEFINICAO] Função homotética</w:t>
      </w:r>
    </w:p>
    <w:p>
      <w:pPr>
        <w:pStyle w:val="BlockText"/>
      </w:pPr>
      <w:r>
        <w:t xml:space="preserve">Uma função de utilidade</w:t>
      </w:r>
      <w:r>
        <w:t xml:space="preserve"> </w:t>
      </w:r>
      <m:oMath>
        <m:r>
          <m:t>u</m:t>
        </m:r>
        <m:r>
          <m:rPr>
            <m:sty m:val="p"/>
          </m:rPr>
          <m:t>(</m:t>
        </m:r>
        <m:sSub>
          <m:e>
            <m:r>
              <m:t>x</m:t>
            </m:r>
          </m:e>
          <m:sub>
            <m:r>
              <m:t>1</m:t>
            </m:r>
          </m:sub>
        </m:sSub>
        <m:r>
          <m:rPr>
            <m:sty m:val="p"/>
          </m:rPr>
          <m:t>,</m:t>
        </m:r>
        <m:sSub>
          <m:e>
            <m:r>
              <m:t>x</m:t>
            </m:r>
          </m:e>
          <m:sub>
            <m:r>
              <m:t>2</m:t>
            </m:r>
          </m:sub>
        </m:sSub>
        <m:r>
          <m:rPr>
            <m:sty m:val="p"/>
          </m:rPr>
          <m:t>)</m:t>
        </m:r>
      </m:oMath>
      <w:r>
        <w:t xml:space="preserve"> </w:t>
      </w:r>
      <w:r>
        <w:t xml:space="preserve">é</w:t>
      </w:r>
      <w:r>
        <w:t xml:space="preserve"> </w:t>
      </w:r>
      <w:r>
        <w:rPr>
          <w:b/>
          <w:bCs/>
        </w:rPr>
        <w:t xml:space="preserve">homotética</w:t>
      </w:r>
      <w:r>
        <w:t xml:space="preserve"> </w:t>
      </w:r>
      <w:r>
        <w:t xml:space="preserve">se pode ser escrita como uma transformação monotônica crescente de uma função homogênea de grau 1:</w:t>
      </w:r>
    </w:p>
    <w:p>
      <w:pPr>
        <w:pStyle w:val="BlockText"/>
      </w:pPr>
      <w:r>
        <w:t xml:space="preserve">$$</w:t>
      </w:r>
    </w:p>
    <w:p>
      <w:pPr>
        <w:pStyle w:val="BlockText"/>
      </w:pPr>
      <w:r>
        <w:t xml:space="preserve">u(x_1, x_2) = g!</w:t>
      </w:r>
      <w:r>
        <w:t xml:space="preserve">(h(x_1, x_2)</w:t>
      </w:r>
      <w:r>
        <w:t xml:space="preserve">),</w:t>
      </w:r>
      <w:r>
        <w:t xml:space="preserve"> </w:t>
      </w:r>
      <w:r>
        <w:t xml:space="preserve">g’ &gt; 0,</w:t>
      </w:r>
      <w:r>
        <w:t xml:space="preserve"> </w:t>
      </w:r>
      <w:r>
        <w:t xml:space="preserve">h(</w:t>
      </w:r>
      <w:r>
        <w:t xml:space="preserve">x_1,</w:t>
      </w:r>
      <w:r>
        <w:t xml:space="preserve"> </w:t>
      </w:r>
      <w:r>
        <w:t xml:space="preserve">x_2) =</w:t>
      </w:r>
      <w:r>
        <w:t xml:space="preserve"> </w:t>
      </w:r>
      <w:r>
        <w:t xml:space="preserve">, h(x_1, x_2) ;;</w:t>
      </w:r>
      <w:r>
        <w:t xml:space="preserve">,</w:t>
      </w:r>
      <w:r>
        <w:t xml:space="preserve"> </w:t>
      </w:r>
      <w:r>
        <w:t xml:space="preserve">&gt; 0.</w:t>
      </w:r>
    </w:p>
    <w:p>
      <w:pPr>
        <w:pStyle w:val="BlockText"/>
      </w:pPr>
      <w:r>
        <w:t xml:space="preserve">$$</w:t>
      </w:r>
    </w:p>
    <w:p>
      <w:pPr>
        <w:pStyle w:val="FirstParagraph"/>
      </w:pPr>
      <w:r>
        <w:rPr>
          <w:b/>
          <w:bCs/>
        </w:rPr>
        <w:t xml:space="preserve">Propriedade fundamental.</w:t>
      </w:r>
      <w:r>
        <w:t xml:space="preserve"> </w:t>
      </w:r>
      <w:r>
        <w:t xml:space="preserve">Para preferências homotéticas, a TMS depende apenas da</w:t>
      </w:r>
      <w:r>
        <w:t xml:space="preserve"> </w:t>
      </w:r>
      <w:r>
        <w:rPr>
          <w:b/>
          <w:bCs/>
        </w:rPr>
        <w:t xml:space="preserve">razão</w:t>
      </w:r>
      <w:r>
        <w:t xml:space="preserve"> </w:t>
      </w:r>
      <m:oMath>
        <m:sSub>
          <m:e>
            <m:r>
              <m:t>x</m:t>
            </m:r>
          </m:e>
          <m:sub>
            <m:r>
              <m:t>1</m:t>
            </m:r>
          </m:sub>
        </m:sSub>
        <m:r>
          <m:rPr>
            <m:sty m:val="p"/>
          </m:rPr>
          <m:t>/</m:t>
        </m:r>
        <m:sSub>
          <m:e>
            <m:r>
              <m:t>x</m:t>
            </m:r>
          </m:e>
          <m:sub>
            <m:r>
              <m:t>2</m:t>
            </m:r>
          </m:sub>
        </m:sSub>
      </m:oMath>
      <w:r>
        <w:t xml:space="preserve">, e não das quantidades absolutas:</w:t>
      </w:r>
    </w:p>
    <w:p>
      <w:pPr>
        <w:pStyle w:val="BodyText"/>
      </w:pPr>
      <m:oMathPara>
        <m:oMathParaPr>
          <m:jc m:val="center"/>
        </m:oMathParaPr>
        <m:oMath>
          <m:sSub>
            <m:e>
              <m:r>
                <m:rPr>
                  <m:nor/>
                  <m:sty m:val="p"/>
                </m:rPr>
                <m:t>TMS</m:t>
              </m:r>
            </m:e>
            <m:sub>
              <m:r>
                <m:t>12</m:t>
              </m:r>
            </m:sub>
          </m:sSub>
          <m:r>
            <m:rPr>
              <m:sty m:val="p"/>
            </m:rPr>
            <m:t>(</m:t>
          </m:r>
          <m:sSub>
            <m:e>
              <m:r>
                <m:t>x</m:t>
              </m:r>
            </m:e>
            <m:sub>
              <m:r>
                <m:t>1</m:t>
              </m:r>
            </m:sub>
          </m:sSub>
          <m:r>
            <m:rPr>
              <m:sty m:val="p"/>
            </m:rPr>
            <m:t>,</m:t>
          </m:r>
          <m:sSub>
            <m:e>
              <m:r>
                <m:t>x</m:t>
              </m:r>
            </m:e>
            <m:sub>
              <m:r>
                <m:t>2</m:t>
              </m:r>
            </m:sub>
          </m:sSub>
          <m:r>
            <m:rPr>
              <m:sty m:val="p"/>
            </m:rPr>
            <m:t>)</m:t>
          </m:r>
          <m:r>
            <m:rPr>
              <m:sty m:val="p"/>
            </m:rPr>
            <m:t>=</m:t>
          </m:r>
          <m:r>
            <m:t>ϕ</m:t>
          </m:r>
          <m:r>
            <m:t>​</m:t>
          </m:r>
          <m:d>
            <m:dPr>
              <m:begChr m:val="("/>
              <m:sepChr m:val=""/>
              <m:endChr m:val=")"/>
              <m:grow/>
            </m:dPr>
            <m:e>
              <m:f>
                <m:fPr>
                  <m:type m:val="bar"/>
                </m:fPr>
                <m:num>
                  <m:sSub>
                    <m:e>
                      <m:r>
                        <m:t>x</m:t>
                      </m:r>
                    </m:e>
                    <m:sub>
                      <m:r>
                        <m:t>1</m:t>
                      </m:r>
                    </m:sub>
                  </m:sSub>
                </m:num>
                <m:den>
                  <m:sSub>
                    <m:e>
                      <m:r>
                        <m:t>x</m:t>
                      </m:r>
                    </m:e>
                    <m:sub>
                      <m:r>
                        <m:t>2</m:t>
                      </m:r>
                    </m:sub>
                  </m:sSub>
                </m:den>
              </m:f>
            </m:e>
          </m:d>
          <m:r>
            <m:rPr>
              <m:sty m:val="p"/>
            </m:rPr>
            <m:t>.</m:t>
          </m:r>
        </m:oMath>
      </m:oMathPara>
    </w:p>
    <w:p>
      <w:pPr>
        <w:pStyle w:val="FirstParagraph"/>
      </w:pPr>
      <w:r>
        <w:t xml:space="preserve">A implicação geométrica é elegante: ao longo de qualquer raio que parte da origem (</w:t>
      </w:r>
      <m:oMath>
        <m:sSub>
          <m:e>
            <m:r>
              <m:t>x</m:t>
            </m:r>
          </m:e>
          <m:sub>
            <m:r>
              <m:t>2</m:t>
            </m:r>
          </m:sub>
        </m:sSub>
        <m:r>
          <m:rPr>
            <m:sty m:val="p"/>
          </m:rPr>
          <m:t>=</m:t>
        </m:r>
        <m:r>
          <m:t>k</m:t>
        </m:r>
        <m:r>
          <m:rPr>
            <m:sty m:val="p"/>
          </m:rPr>
          <m:t>⋅</m:t>
        </m:r>
        <m:sSub>
          <m:e>
            <m:r>
              <m:t>x</m:t>
            </m:r>
          </m:e>
          <m:sub>
            <m:r>
              <m:t>1</m:t>
            </m:r>
          </m:sub>
        </m:sSub>
      </m:oMath>
      <w:r>
        <w:t xml:space="preserve">), a TMS é constante — todas as curvas de indiferença cruzam esse raio com a mesma inclinação. Isso significa que as curvas de indiferença são</w:t>
      </w:r>
      <w:r>
        <w:t xml:space="preserve"> </w:t>
      </w:r>
      <w:r>
        <w:rPr>
          <w:b/>
          <w:bCs/>
        </w:rPr>
        <w:t xml:space="preserve">expansões radiais</w:t>
      </w:r>
      <w:r>
        <w:t xml:space="preserve"> </w:t>
      </w:r>
      <w:r>
        <w:t xml:space="preserve">umas das outras: escalar uma curva de indiferença a partir da origem produz outra curva de indiferença. Visualmente, o mapa de indiferença possui uma simetria radial que contrasta com o deslocamento puramente vertical da utilidade quase-linear. Essa simetria é precisamente o que garante que o caminho de expansão da renda — o conjunto de cestas ótimas para diferentes níveis de renda, a preços fixos — seja uma reta que passa pela origem.</w:t>
      </w:r>
    </w:p>
    <w:p>
      <w:pPr>
        <w:pStyle w:val="BlockText"/>
      </w:pPr>
      <w:r>
        <w:rPr>
          <w:b/>
          <w:bCs/>
        </w:rPr>
        <w:t xml:space="preserve">[TEOREMA] Proposição — Propriedades das preferências homotéticas</w:t>
      </w:r>
    </w:p>
    <w:p>
      <w:pPr>
        <w:pStyle w:val="BlockText"/>
      </w:pPr>
      <w:r>
        <w:t xml:space="preserve">Se</w:t>
      </w:r>
      <w:r>
        <w:t xml:space="preserve"> </w:t>
      </w:r>
      <m:oMath>
        <m:r>
          <m:t>u</m:t>
        </m:r>
      </m:oMath>
      <w:r>
        <w:t xml:space="preserve"> </w:t>
      </w:r>
      <w:r>
        <w:t xml:space="preserve">é homotética, então:</w:t>
      </w:r>
    </w:p>
    <w:p>
      <w:pPr>
        <w:pStyle w:val="Compact"/>
        <w:numPr>
          <w:ilvl w:val="0"/>
          <w:numId w:val="1077"/>
        </w:numPr>
      </w:pPr>
      <w:r>
        <w:rPr>
          <w:b/>
          <w:bCs/>
        </w:rPr>
        <w:t xml:space="preserve">Caminho de expansão da renda linear</w:t>
      </w:r>
      <w:r>
        <w:t xml:space="preserve">: a reta que passa pela origem e pela cesta ótima contém todas as cestas ótimas para diferentes níveis de renda (preços fixos). A razão</w:t>
      </w:r>
      <w:r>
        <w:t xml:space="preserve"> </w:t>
      </w:r>
      <m:oMath>
        <m:sSubSup>
          <m:e>
            <m:r>
              <m:t>x</m:t>
            </m:r>
          </m:e>
          <m:sub>
            <m:r>
              <m:t>1</m:t>
            </m:r>
          </m:sub>
          <m:sup>
            <m:r>
              <m:rPr>
                <m:sty m:val="p"/>
              </m:rPr>
              <m:t>*</m:t>
            </m:r>
          </m:sup>
        </m:sSubSup>
        <m:r>
          <m:rPr>
            <m:sty m:val="p"/>
          </m:rPr>
          <m:t>/</m:t>
        </m:r>
        <m:sSubSup>
          <m:e>
            <m:r>
              <m:t>x</m:t>
            </m:r>
          </m:e>
          <m:sub>
            <m:r>
              <m:t>2</m:t>
            </m:r>
          </m:sub>
          <m:sup>
            <m:r>
              <m:rPr>
                <m:sty m:val="p"/>
              </m:rPr>
              <m:t>*</m:t>
            </m:r>
          </m:sup>
        </m:sSubSup>
      </m:oMath>
      <w:r>
        <w:t xml:space="preserve"> </w:t>
      </w:r>
      <w:r>
        <w:t xml:space="preserve">é constante em</w:t>
      </w:r>
      <w:r>
        <w:t xml:space="preserve"> </w:t>
      </w:r>
      <m:oMath>
        <m:r>
          <m:t>I</m:t>
        </m:r>
      </m:oMath>
      <w:r>
        <w:t xml:space="preserve">.</w:t>
      </w:r>
    </w:p>
    <w:p>
      <w:pPr>
        <w:pStyle w:val="Compact"/>
        <w:numPr>
          <w:ilvl w:val="0"/>
          <w:numId w:val="1077"/>
        </w:numPr>
      </w:pPr>
      <w:r>
        <w:rPr>
          <w:b/>
          <w:bCs/>
        </w:rPr>
        <w:t xml:space="preserve">Curvas de Engel lineares</w:t>
      </w:r>
      <w:r>
        <w:t xml:space="preserve">:</w:t>
      </w:r>
      <w:r>
        <w:t xml:space="preserve"> </w:t>
      </w:r>
      <m:oMath>
        <m:sSubSup>
          <m:e>
            <m:r>
              <m:t>x</m:t>
            </m:r>
          </m:e>
          <m:sub>
            <m:r>
              <m:t>i</m:t>
            </m:r>
          </m:sub>
          <m:sup>
            <m:r>
              <m:rPr>
                <m:sty m:val="p"/>
              </m:rPr>
              <m:t>*</m:t>
            </m:r>
          </m:sup>
        </m:sSubSup>
        <m:r>
          <m:rPr>
            <m:sty m:val="p"/>
          </m:rPr>
          <m:t>(</m:t>
        </m:r>
        <m:r>
          <m:t>I</m:t>
        </m:r>
        <m:r>
          <m:rPr>
            <m:sty m:val="p"/>
          </m:rPr>
          <m:t>)</m:t>
        </m:r>
        <m:r>
          <m:rPr>
            <m:sty m:val="p"/>
          </m:rPr>
          <m:t>=</m:t>
        </m:r>
        <m:sSub>
          <m:e>
            <m:r>
              <m:t>α</m:t>
            </m:r>
          </m:e>
          <m:sub>
            <m:r>
              <m:t>i</m:t>
            </m:r>
          </m:sub>
        </m:sSub>
        <m:r>
          <m:rPr>
            <m:sty m:val="p"/>
          </m:rPr>
          <m:t>(</m:t>
        </m:r>
        <m:r>
          <m:rPr>
            <m:sty m:val="bi"/>
          </m:rPr>
          <m:t>p</m:t>
        </m:r>
        <m:r>
          <m:rPr>
            <m:sty m:val="p"/>
          </m:rPr>
          <m:t>)</m:t>
        </m:r>
        <m:r>
          <m:rPr>
            <m:sty m:val="p"/>
          </m:rPr>
          <m:t>⋅</m:t>
        </m:r>
        <m:r>
          <m:t>I</m:t>
        </m:r>
      </m:oMath>
      <w:r>
        <w:t xml:space="preserve">, onde</w:t>
      </w:r>
      <w:r>
        <w:t xml:space="preserve"> </w:t>
      </w:r>
      <m:oMath>
        <m:sSub>
          <m:e>
            <m:r>
              <m:t>α</m:t>
            </m:r>
          </m:e>
          <m:sub>
            <m:r>
              <m:t>i</m:t>
            </m:r>
          </m:sub>
        </m:sSub>
      </m:oMath>
      <w:r>
        <w:t xml:space="preserve"> </w:t>
      </w:r>
      <w:r>
        <w:t xml:space="preserve">depende apenas dos preços.</w:t>
      </w:r>
    </w:p>
    <w:p>
      <w:pPr>
        <w:pStyle w:val="Compact"/>
        <w:numPr>
          <w:ilvl w:val="0"/>
          <w:numId w:val="1077"/>
        </w:numPr>
      </w:pPr>
      <w:r>
        <w:rPr>
          <w:b/>
          <w:bCs/>
        </w:rPr>
        <w:t xml:space="preserve">Elasticidade-renda unitária</w:t>
      </w:r>
      <w:r>
        <w:t xml:space="preserve">:</w:t>
      </w:r>
      <w:r>
        <w:t xml:space="preserve"> </w:t>
      </w:r>
      <m:oMath>
        <m:sSub>
          <m:e>
            <m:r>
              <m:t>ε</m:t>
            </m:r>
          </m:e>
          <m:sub>
            <m:sSub>
              <m:e>
                <m:r>
                  <m:t>x</m:t>
                </m:r>
              </m:e>
              <m:sub>
                <m:r>
                  <m:t>i</m:t>
                </m:r>
              </m:sub>
            </m:sSub>
            <m:r>
              <m:rPr>
                <m:sty m:val="p"/>
              </m:rPr>
              <m:t>,</m:t>
            </m:r>
            <m:r>
              <m:t>I</m:t>
            </m:r>
          </m:sub>
        </m:sSub>
        <m:r>
          <m:rPr>
            <m:sty m:val="p"/>
          </m:rPr>
          <m:t>=</m:t>
        </m:r>
        <m:r>
          <m:t>1</m:t>
        </m:r>
      </m:oMath>
      <w:r>
        <w:t xml:space="preserve"> </w:t>
      </w:r>
      <w:r>
        <w:t xml:space="preserve">para todo bem</w:t>
      </w:r>
      <w:r>
        <w:t xml:space="preserve"> </w:t>
      </w:r>
      <m:oMath>
        <m:r>
          <m:t>i</m:t>
        </m:r>
      </m:oMath>
      <w:r>
        <w:t xml:space="preserve">. Todos os bens são normais e nem de luxo nem de necessidade.</w:t>
      </w:r>
    </w:p>
    <w:p>
      <w:pPr>
        <w:pStyle w:val="Compact"/>
        <w:numPr>
          <w:ilvl w:val="0"/>
          <w:numId w:val="1077"/>
        </w:numPr>
      </w:pPr>
      <w:r>
        <w:rPr>
          <w:b/>
          <w:bCs/>
        </w:rPr>
        <w:t xml:space="preserve">Participação constante na despesa</w:t>
      </w:r>
      <w:r>
        <w:t xml:space="preserve">:</w:t>
      </w:r>
      <w:r>
        <w:t xml:space="preserve"> </w:t>
      </w:r>
      <m:oMath>
        <m:sSub>
          <m:e>
            <m:r>
              <m:t>p</m:t>
            </m:r>
          </m:e>
          <m:sub>
            <m:r>
              <m:t>i</m:t>
            </m:r>
          </m:sub>
        </m:sSub>
        <m:sSubSup>
          <m:e>
            <m:r>
              <m:t>x</m:t>
            </m:r>
          </m:e>
          <m:sub>
            <m:r>
              <m:t>i</m:t>
            </m:r>
          </m:sub>
          <m:sup>
            <m:r>
              <m:rPr>
                <m:sty m:val="p"/>
              </m:rPr>
              <m:t>*</m:t>
            </m:r>
          </m:sup>
        </m:sSubSup>
        <m:r>
          <m:rPr>
            <m:sty m:val="p"/>
          </m:rPr>
          <m:t>/</m:t>
        </m:r>
        <m:r>
          <m:t>I</m:t>
        </m:r>
      </m:oMath>
      <w:r>
        <w:t xml:space="preserve"> </w:t>
      </w:r>
      <w:r>
        <w:t xml:space="preserve">é constante para variações da renda.</w:t>
      </w:r>
    </w:p>
    <w:p>
      <w:pPr>
        <w:pStyle w:val="Compact"/>
        <w:numPr>
          <w:ilvl w:val="0"/>
          <w:numId w:val="1077"/>
        </w:numPr>
      </w:pPr>
      <w:r>
        <w:rPr>
          <w:b/>
          <w:bCs/>
        </w:rPr>
        <w:t xml:space="preserve">Função dispêndio separável</w:t>
      </w:r>
      <w:r>
        <w:t xml:space="preserve">:</w:t>
      </w:r>
      <w:r>
        <w:t xml:space="preserve"> </w:t>
      </w:r>
      <m:oMath>
        <m:r>
          <m:t>E</m:t>
        </m:r>
        <m:r>
          <m:rPr>
            <m:sty m:val="p"/>
          </m:rPr>
          <m:t>(</m:t>
        </m:r>
        <m:r>
          <m:rPr>
            <m:sty m:val="bi"/>
          </m:rPr>
          <m:t>p</m:t>
        </m:r>
        <m:r>
          <m:rPr>
            <m:sty m:val="p"/>
          </m:rPr>
          <m:t>,</m:t>
        </m:r>
        <m:acc>
          <m:accPr>
            <m:chr m:val="‾"/>
          </m:accPr>
          <m:e>
            <m:r>
              <m:t>u</m:t>
            </m:r>
          </m:e>
        </m:acc>
        <m:r>
          <m:rPr>
            <m:sty m:val="p"/>
          </m:rPr>
          <m:t>)</m:t>
        </m:r>
        <m:r>
          <m:rPr>
            <m:sty m:val="p"/>
          </m:rPr>
          <m:t>=</m:t>
        </m:r>
        <m:r>
          <m:t>b</m:t>
        </m:r>
        <m:r>
          <m:rPr>
            <m:sty m:val="p"/>
          </m:rPr>
          <m:t>(</m:t>
        </m:r>
        <m:r>
          <m:rPr>
            <m:sty m:val="bi"/>
          </m:rPr>
          <m:t>p</m:t>
        </m:r>
        <m:r>
          <m:rPr>
            <m:sty m:val="p"/>
          </m:rPr>
          <m:t>)</m:t>
        </m:r>
        <m:r>
          <m:rPr>
            <m:sty m:val="p"/>
          </m:rPr>
          <m:t>⋅</m:t>
        </m:r>
        <m:r>
          <m:t>e</m:t>
        </m:r>
        <m:r>
          <m:rPr>
            <m:sty m:val="p"/>
          </m:rPr>
          <m:t>(</m:t>
        </m:r>
        <m:acc>
          <m:accPr>
            <m:chr m:val="‾"/>
          </m:accPr>
          <m:e>
            <m:r>
              <m:t>u</m:t>
            </m:r>
          </m:e>
        </m:acc>
        <m:r>
          <m:rPr>
            <m:sty m:val="p"/>
          </m:rPr>
          <m:t>)</m:t>
        </m:r>
      </m:oMath>
      <w:r>
        <w:t xml:space="preserve">, onde</w:t>
      </w:r>
      <w:r>
        <w:t xml:space="preserve"> </w:t>
      </w:r>
      <m:oMath>
        <m:r>
          <m:t>b</m:t>
        </m:r>
      </m:oMath>
      <w:r>
        <w:t xml:space="preserve"> </w:t>
      </w:r>
      <w:r>
        <w:t xml:space="preserve">depende apenas dos preços e</w:t>
      </w:r>
      <w:r>
        <w:t xml:space="preserve"> </w:t>
      </w:r>
      <m:oMath>
        <m:r>
          <m:t>e</m:t>
        </m:r>
      </m:oMath>
      <w:r>
        <w:t xml:space="preserve"> </w:t>
      </w:r>
      <w:r>
        <w:t xml:space="preserve">apenas da utilidade.</w:t>
      </w:r>
    </w:p>
    <w:p>
      <w:pPr>
        <w:pStyle w:val="FirstParagraph"/>
      </w:pPr>
      <w:r>
        <w:rPr>
          <w:b/>
          <w:bCs/>
        </w:rPr>
        <w:t xml:space="preserve">Exemplos.</w:t>
      </w:r>
      <w:r>
        <w:t xml:space="preserve"> </w:t>
      </w:r>
      <w:r>
        <w:t xml:space="preserve">A maioria das funções de utilidade estudadas neste capítulo é homotética — o que não é coincidência, pois a homoteticidade simplifica enormemente a análise. Vale, portanto, classificar cada uma delas:</w:t>
      </w:r>
    </w:p>
    <w:p>
      <w:pPr>
        <w:pStyle w:val="Compact"/>
        <w:numPr>
          <w:ilvl w:val="0"/>
          <w:numId w:val="1078"/>
        </w:numPr>
      </w:pPr>
      <w:r>
        <w:rPr>
          <w:b/>
          <w:bCs/>
        </w:rPr>
        <w:t xml:space="preserve">Cobb-Douglas</w:t>
      </w:r>
      <w:r>
        <w:t xml:space="preserve"> </w:t>
      </w:r>
      <m:oMath>
        <m:r>
          <m:t>u</m:t>
        </m:r>
        <m:r>
          <m:rPr>
            <m:sty m:val="p"/>
          </m:rPr>
          <m:t>=</m:t>
        </m:r>
        <m:sSubSup>
          <m:e>
            <m:r>
              <m:t>x</m:t>
            </m:r>
          </m:e>
          <m:sub>
            <m:r>
              <m:t>1</m:t>
            </m:r>
          </m:sub>
          <m:sup>
            <m:r>
              <m:t>a</m:t>
            </m:r>
          </m:sup>
        </m:sSubSup>
        <m:sSubSup>
          <m:e>
            <m:r>
              <m:t>x</m:t>
            </m:r>
          </m:e>
          <m:sub>
            <m:r>
              <m:t>2</m:t>
            </m:r>
          </m:sub>
          <m:sup>
            <m:r>
              <m:t>b</m:t>
            </m:r>
          </m:sup>
        </m:sSubSup>
      </m:oMath>
      <w:r>
        <w:t xml:space="preserve">: é homotética, pois é homogênea de grau</w:t>
      </w:r>
      <w:r>
        <w:t xml:space="preserve"> </w:t>
      </w:r>
      <m:oMath>
        <m:r>
          <m:t>a</m:t>
        </m:r>
        <m:r>
          <m:rPr>
            <m:sty m:val="p"/>
          </m:rPr>
          <m:t>+</m:t>
        </m:r>
        <m:r>
          <m:t>b</m:t>
        </m:r>
      </m:oMath>
      <w:r>
        <w:t xml:space="preserve">. A razão ótima é</w:t>
      </w:r>
      <w:r>
        <w:t xml:space="preserve"> </w:t>
      </w:r>
      <m:oMath>
        <m:sSubSup>
          <m:e>
            <m:r>
              <m:t>x</m:t>
            </m:r>
          </m:e>
          <m:sub>
            <m:r>
              <m:t>1</m:t>
            </m:r>
          </m:sub>
          <m:sup>
            <m:r>
              <m:rPr>
                <m:sty m:val="p"/>
              </m:rPr>
              <m:t>*</m:t>
            </m:r>
          </m:sup>
        </m:sSubSup>
        <m:r>
          <m:rPr>
            <m:sty m:val="p"/>
          </m:rPr>
          <m:t>/</m:t>
        </m:r>
        <m:sSubSup>
          <m:e>
            <m:r>
              <m:t>x</m:t>
            </m:r>
          </m:e>
          <m:sub>
            <m:r>
              <m:t>2</m:t>
            </m:r>
          </m:sub>
          <m:sup>
            <m:r>
              <m:rPr>
                <m:sty m:val="p"/>
              </m:rPr>
              <m:t>*</m:t>
            </m:r>
          </m:sup>
        </m:sSubSup>
        <m:r>
          <m:rPr>
            <m:sty m:val="p"/>
          </m:rPr>
          <m:t>=</m:t>
        </m:r>
        <m:r>
          <m:rPr>
            <m:sty m:val="p"/>
          </m:rPr>
          <m:t>(</m:t>
        </m:r>
        <m:r>
          <m:t>a</m:t>
        </m:r>
        <m:sSub>
          <m:e>
            <m:r>
              <m:t>p</m:t>
            </m:r>
          </m:e>
          <m:sub>
            <m:r>
              <m:t>2</m:t>
            </m:r>
          </m:sub>
        </m:sSub>
        <m:r>
          <m:rPr>
            <m:sty m:val="p"/>
          </m:rPr>
          <m:t>)</m:t>
        </m:r>
        <m:r>
          <m:rPr>
            <m:sty m:val="p"/>
          </m:rPr>
          <m:t>/</m:t>
        </m:r>
        <m:r>
          <m:rPr>
            <m:sty m:val="p"/>
          </m:rPr>
          <m:t>(</m:t>
        </m:r>
        <m:r>
          <m:t>b</m:t>
        </m:r>
        <m:sSub>
          <m:e>
            <m:r>
              <m:t>p</m:t>
            </m:r>
          </m:e>
          <m:sub>
            <m:r>
              <m:t>1</m:t>
            </m:r>
          </m:sub>
        </m:sSub>
        <m:r>
          <m:rPr>
            <m:sty m:val="p"/>
          </m:rPr>
          <m:t>)</m:t>
        </m:r>
      </m:oMath>
      <w:r>
        <w:t xml:space="preserve">, constante em</w:t>
      </w:r>
      <w:r>
        <w:t xml:space="preserve"> </w:t>
      </w:r>
      <m:oMath>
        <m:r>
          <m:t>I</m:t>
        </m:r>
      </m:oMath>
      <w:r>
        <w:t xml:space="preserve"> </w:t>
      </w:r>
      <w:r>
        <w:t xml:space="preserve">— a participação de cada bem na despesa total não se altera com a renda.</w:t>
      </w:r>
    </w:p>
    <w:p>
      <w:pPr>
        <w:pStyle w:val="Compact"/>
        <w:numPr>
          <w:ilvl w:val="0"/>
          <w:numId w:val="1078"/>
        </w:numPr>
      </w:pPr>
      <w:r>
        <w:rPr>
          <w:b/>
          <w:bCs/>
        </w:rPr>
        <w:t xml:space="preserve">CES</w:t>
      </w:r>
      <w:r>
        <w:t xml:space="preserve"> </w:t>
      </w:r>
      <m:oMath>
        <m:r>
          <m:t>u</m:t>
        </m:r>
        <m:r>
          <m:rPr>
            <m:sty m:val="p"/>
          </m:rPr>
          <m:t>=</m:t>
        </m:r>
        <m:r>
          <m:rPr>
            <m:sty m:val="p"/>
          </m:rPr>
          <m:t>(</m:t>
        </m:r>
        <m:sSubSup>
          <m:e>
            <m:r>
              <m:t>x</m:t>
            </m:r>
          </m:e>
          <m:sub>
            <m:r>
              <m:t>1</m:t>
            </m:r>
          </m:sub>
          <m:sup>
            <m:r>
              <m:t>ρ</m:t>
            </m:r>
          </m:sup>
        </m:sSubSup>
        <m:r>
          <m:rPr>
            <m:sty m:val="p"/>
          </m:rPr>
          <m:t>+</m:t>
        </m:r>
        <m:sSubSup>
          <m:e>
            <m:r>
              <m:t>x</m:t>
            </m:r>
          </m:e>
          <m:sub>
            <m:r>
              <m:t>2</m:t>
            </m:r>
          </m:sub>
          <m:sup>
            <m:r>
              <m:t>ρ</m:t>
            </m:r>
          </m:sup>
        </m:sSubSup>
        <m:sSup>
          <m:e>
            <m:r>
              <m:rPr>
                <m:sty m:val="p"/>
              </m:rPr>
              <m:t>)</m:t>
            </m:r>
          </m:e>
          <m:sup>
            <m:r>
              <m:t>1</m:t>
            </m:r>
            <m:r>
              <m:rPr>
                <m:sty m:val="p"/>
              </m:rPr>
              <m:t>/</m:t>
            </m:r>
            <m:r>
              <m:t>ρ</m:t>
            </m:r>
          </m:sup>
        </m:sSup>
      </m:oMath>
      <w:r>
        <w:t xml:space="preserve">: homotética (homogênea de grau 1). A razão ótima depende apenas de</w:t>
      </w:r>
      <w:r>
        <w:t xml:space="preserve"> </w:t>
      </w:r>
      <m:oMath>
        <m:sSub>
          <m:e>
            <m:r>
              <m:t>p</m:t>
            </m:r>
          </m:e>
          <m:sub>
            <m:r>
              <m:t>1</m:t>
            </m:r>
          </m:sub>
        </m:sSub>
        <m:r>
          <m:rPr>
            <m:sty m:val="p"/>
          </m:rPr>
          <m:t>/</m:t>
        </m:r>
        <m:sSub>
          <m:e>
            <m:r>
              <m:t>p</m:t>
            </m:r>
          </m:e>
          <m:sub>
            <m:r>
              <m:t>2</m:t>
            </m:r>
          </m:sub>
        </m:sSub>
      </m:oMath>
      <w:r>
        <w:t xml:space="preserve"> </w:t>
      </w:r>
      <w:r>
        <w:t xml:space="preserve">e</w:t>
      </w:r>
      <w:r>
        <w:t xml:space="preserve"> </w:t>
      </w:r>
      <m:oMath>
        <m:r>
          <m:t>ρ</m:t>
        </m:r>
      </m:oMath>
      <w:r>
        <w:t xml:space="preserve">, nunca da renda.</w:t>
      </w:r>
    </w:p>
    <w:p>
      <w:pPr>
        <w:pStyle w:val="Compact"/>
        <w:numPr>
          <w:ilvl w:val="0"/>
          <w:numId w:val="1078"/>
        </w:numPr>
      </w:pPr>
      <w:r>
        <w:rPr>
          <w:b/>
          <w:bCs/>
        </w:rPr>
        <w:t xml:space="preserve">Substitutos perfeitos</w:t>
      </w:r>
      <w:r>
        <w:t xml:space="preserve"> </w:t>
      </w:r>
      <w:r>
        <w:t xml:space="preserve">e</w:t>
      </w:r>
      <w:r>
        <w:t xml:space="preserve"> </w:t>
      </w:r>
      <w:r>
        <w:rPr>
          <w:b/>
          <w:bCs/>
        </w:rPr>
        <w:t xml:space="preserve">complementos perfeitos</w:t>
      </w:r>
      <w:r>
        <w:t xml:space="preserve">: ambos são homotéticos (homogêneos de grau 1). No caso dos substitutos, a solução de canto faz com que toda a renda vá para um único bem, mas a</w:t>
      </w:r>
      <w:r>
        <w:t xml:space="preserve"> </w:t>
      </w:r>
      <w:r>
        <w:rPr>
          <w:i/>
          <w:iCs/>
        </w:rPr>
        <w:t xml:space="preserve">proporção</w:t>
      </w:r>
      <w:r>
        <w:t xml:space="preserve"> </w:t>
      </w:r>
      <w:r>
        <w:t xml:space="preserve">não depende de</w:t>
      </w:r>
      <w:r>
        <w:t xml:space="preserve"> </w:t>
      </w:r>
      <m:oMath>
        <m:r>
          <m:t>I</m:t>
        </m:r>
      </m:oMath>
      <w:r>
        <w:t xml:space="preserve">.</w:t>
      </w:r>
    </w:p>
    <w:p>
      <w:pPr>
        <w:pStyle w:val="Compact"/>
        <w:numPr>
          <w:ilvl w:val="0"/>
          <w:numId w:val="1078"/>
        </w:numPr>
      </w:pPr>
      <w:r>
        <w:rPr>
          <w:b/>
          <w:bCs/>
        </w:rPr>
        <w:t xml:space="preserve">Quase-linear</w:t>
      </w:r>
      <w:r>
        <w:t xml:space="preserve"> </w:t>
      </w:r>
      <m:oMath>
        <m:r>
          <m:t>u</m:t>
        </m:r>
        <m:r>
          <m:rPr>
            <m:sty m:val="p"/>
          </m:rPr>
          <m:t>=</m:t>
        </m:r>
        <m:r>
          <m:t>v</m:t>
        </m:r>
        <m:r>
          <m:rPr>
            <m:sty m:val="p"/>
          </m:rPr>
          <m:t>(</m:t>
        </m:r>
        <m:sSub>
          <m:e>
            <m:r>
              <m:t>x</m:t>
            </m:r>
          </m:e>
          <m:sub>
            <m:r>
              <m:t>1</m:t>
            </m:r>
          </m:sub>
        </m:sSub>
        <m:r>
          <m:rPr>
            <m:sty m:val="p"/>
          </m:rPr>
          <m:t>)</m:t>
        </m:r>
        <m:r>
          <m:rPr>
            <m:sty m:val="p"/>
          </m:rPr>
          <m:t>+</m:t>
        </m:r>
        <m:sSub>
          <m:e>
            <m:r>
              <m:t>x</m:t>
            </m:r>
          </m:e>
          <m:sub>
            <m:r>
              <m:t>2</m:t>
            </m:r>
          </m:sub>
        </m:sSub>
      </m:oMath>
      <w:r>
        <w:t xml:space="preserve">:</w:t>
      </w:r>
      <w:r>
        <w:t xml:space="preserve"> </w:t>
      </w:r>
      <w:r>
        <w:rPr>
          <w:b/>
          <w:bCs/>
        </w:rPr>
        <w:t xml:space="preserve">não</w:t>
      </w:r>
      <w:r>
        <w:t xml:space="preserve"> </w:t>
      </w:r>
      <w:r>
        <w:t xml:space="preserve">é homotética. A TMS depende de</w:t>
      </w:r>
      <w:r>
        <w:t xml:space="preserve"> </w:t>
      </w:r>
      <m:oMath>
        <m:sSub>
          <m:e>
            <m:r>
              <m:t>x</m:t>
            </m:r>
          </m:e>
          <m:sub>
            <m:r>
              <m:t>1</m:t>
            </m:r>
          </m:sub>
        </m:sSub>
      </m:oMath>
      <w:r>
        <w:t xml:space="preserve"> </w:t>
      </w:r>
      <w:r>
        <w:t xml:space="preserve">isoladamente, não da razão</w:t>
      </w:r>
      <w:r>
        <w:t xml:space="preserve"> </w:t>
      </w:r>
      <m:oMath>
        <m:sSub>
          <m:e>
            <m:r>
              <m:t>x</m:t>
            </m:r>
          </m:e>
          <m:sub>
            <m:r>
              <m:t>1</m:t>
            </m:r>
          </m:sub>
        </m:sSub>
        <m:r>
          <m:rPr>
            <m:sty m:val="p"/>
          </m:rPr>
          <m:t>/</m:t>
        </m:r>
        <m:sSub>
          <m:e>
            <m:r>
              <m:t>x</m:t>
            </m:r>
          </m:e>
          <m:sub>
            <m:r>
              <m:t>2</m:t>
            </m:r>
          </m:sub>
        </m:sSub>
      </m:oMath>
      <w:r>
        <w:t xml:space="preserve">. A razão ótima</w:t>
      </w:r>
      <w:r>
        <w:t xml:space="preserve"> </w:t>
      </w:r>
      <m:oMath>
        <m:sSubSup>
          <m:e>
            <m:r>
              <m:t>x</m:t>
            </m:r>
          </m:e>
          <m:sub>
            <m:r>
              <m:t>1</m:t>
            </m:r>
          </m:sub>
          <m:sup>
            <m:r>
              <m:rPr>
                <m:sty m:val="p"/>
              </m:rPr>
              <m:t>*</m:t>
            </m:r>
          </m:sup>
        </m:sSubSup>
        <m:r>
          <m:rPr>
            <m:sty m:val="p"/>
          </m:rPr>
          <m:t>/</m:t>
        </m:r>
        <m:sSubSup>
          <m:e>
            <m:r>
              <m:t>x</m:t>
            </m:r>
          </m:e>
          <m:sub>
            <m:r>
              <m:t>2</m:t>
            </m:r>
          </m:sub>
          <m:sup>
            <m:r>
              <m:rPr>
                <m:sty m:val="p"/>
              </m:rPr>
              <m:t>*</m:t>
            </m:r>
          </m:sup>
        </m:sSubSup>
      </m:oMath>
      <w:r>
        <w:t xml:space="preserve"> </w:t>
      </w:r>
      <w:r>
        <w:t xml:space="preserve">varia com a renda, pois todo o acréscimo de renda é absorvido por</w:t>
      </w:r>
      <w:r>
        <w:t xml:space="preserve"> </w:t>
      </w:r>
      <m:oMath>
        <m:sSub>
          <m:e>
            <m:r>
              <m:t>x</m:t>
            </m:r>
          </m:e>
          <m:sub>
            <m:r>
              <m:t>2</m:t>
            </m:r>
          </m:sub>
        </m:sSub>
      </m:oMath>
      <w:r>
        <w:t xml:space="preserve">.</w:t>
      </w:r>
    </w:p>
    <w:p>
      <w:pPr>
        <w:pStyle w:val="BlockText"/>
      </w:pPr>
      <w:r>
        <w:rPr>
          <w:b/>
          <w:bCs/>
        </w:rPr>
        <w:t xml:space="preserve">[BOX BRASIL] Box Brasil 3.2 — Lei de Engel e a POF: evidência contra a homoteticidade</w:t>
      </w:r>
    </w:p>
    <w:p>
      <w:pPr>
        <w:pStyle w:val="BlockText"/>
      </w:pPr>
      <w:r>
        <w:t xml:space="preserve">A</w:t>
      </w:r>
      <w:r>
        <w:t xml:space="preserve"> </w:t>
      </w:r>
      <w:r>
        <w:rPr>
          <w:b/>
          <w:bCs/>
        </w:rPr>
        <w:t xml:space="preserve">Lei de Engel</w:t>
      </w:r>
      <w:r>
        <w:t xml:space="preserve"> </w:t>
      </w:r>
      <w:r>
        <w:t xml:space="preserve">(1857) afirma que a participação da alimentação no orçamento familiar</w:t>
      </w:r>
      <w:r>
        <w:t xml:space="preserve"> </w:t>
      </w:r>
      <w:r>
        <w:rPr>
          <w:i/>
          <w:iCs/>
        </w:rPr>
        <w:t xml:space="preserve">cai</w:t>
      </w:r>
      <w:r>
        <w:t xml:space="preserve"> </w:t>
      </w:r>
      <w:r>
        <w:t xml:space="preserve">à medida que a renda</w:t>
      </w:r>
      <w:r>
        <w:t xml:space="preserve"> </w:t>
      </w:r>
      <w:r>
        <w:rPr>
          <w:i/>
          <w:iCs/>
        </w:rPr>
        <w:t xml:space="preserve">sobe</w:t>
      </w:r>
      <w:r>
        <w:t xml:space="preserve">. Essa regularidade empírica — uma das mais robustas de toda a economia — implica que a elasticidade-renda da alimentação é menor que 1 (bem necessário), violando a previsão de elasticidade unitária das preferências homotéticas.</w:t>
      </w:r>
    </w:p>
    <w:p>
      <w:pPr>
        <w:pStyle w:val="BlockText"/>
      </w:pPr>
      <w:r>
        <w:t xml:space="preserve">Os dados da</w:t>
      </w:r>
      <w:r>
        <w:t xml:space="preserve"> </w:t>
      </w:r>
      <w:r>
        <w:rPr>
          <w:b/>
          <w:bCs/>
        </w:rPr>
        <w:t xml:space="preserve">POF 2017-2018</w:t>
      </w:r>
      <w:r>
        <w:t xml:space="preserve"> </w:t>
      </w:r>
      <w:r>
        <w:t xml:space="preserve">(IBGE) confirmam a Lei de Engel para o Brasil com notável clareza: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Faixa de renda familiar (R$/mês)</w:t>
            </w:r>
          </w:p>
        </w:tc>
        <w:tc>
          <w:tcPr/>
          <w:p>
            <w:pPr>
              <w:pStyle w:val="Compact"/>
            </w:pPr>
            <w:r>
              <w:t xml:space="preserve">Participação da alimentação (%)</w:t>
            </w:r>
          </w:p>
        </w:tc>
        <w:tc>
          <w:tcPr/>
          <w:p>
            <w:pPr>
              <w:pStyle w:val="Compact"/>
            </w:pPr>
            <w:r>
              <w:t xml:space="preserve">Participação de transporte (%)</w:t>
            </w:r>
          </w:p>
        </w:tc>
        <w:tc>
          <w:tcPr/>
          <w:p>
            <w:pPr>
              <w:pStyle w:val="Compact"/>
            </w:pPr>
            <w:r>
              <w:t xml:space="preserve">Participação de educação (%)</w:t>
            </w:r>
          </w:p>
        </w:tc>
      </w:tr>
      <w:tr>
        <w:tc>
          <w:tcPr/>
          <w:p>
            <w:pPr>
              <w:pStyle w:val="Compact"/>
            </w:pPr>
            <w:r>
              <w:t xml:space="preserve">Até 1.908</w:t>
            </w:r>
          </w:p>
        </w:tc>
        <w:tc>
          <w:tcPr/>
          <w:p>
            <w:pPr>
              <w:pStyle w:val="Compact"/>
            </w:pPr>
            <w:r>
              <w:t xml:space="preserve">22,0</w:t>
            </w:r>
          </w:p>
        </w:tc>
        <w:tc>
          <w:tcPr/>
          <w:p>
            <w:pPr>
              <w:pStyle w:val="Compact"/>
            </w:pPr>
            <w:r>
              <w:t xml:space="preserve">11,5</w:t>
            </w:r>
          </w:p>
        </w:tc>
        <w:tc>
          <w:tcPr/>
          <w:p>
            <w:pPr>
              <w:pStyle w:val="Compact"/>
            </w:pPr>
            <w:r>
              <w:t xml:space="preserve">1,6</w:t>
            </w:r>
          </w:p>
        </w:tc>
      </w:tr>
      <w:tr>
        <w:tc>
          <w:tcPr/>
          <w:p>
            <w:pPr>
              <w:pStyle w:val="Compact"/>
            </w:pPr>
            <w:r>
              <w:t xml:space="preserve">1.908 a 2.862</w:t>
            </w:r>
          </w:p>
        </w:tc>
        <w:tc>
          <w:tcPr/>
          <w:p>
            <w:pPr>
              <w:pStyle w:val="Compact"/>
            </w:pPr>
            <w:r>
              <w:t xml:space="preserve">18,5</w:t>
            </w:r>
          </w:p>
        </w:tc>
        <w:tc>
          <w:tcPr/>
          <w:p>
            <w:pPr>
              <w:pStyle w:val="Compact"/>
            </w:pPr>
            <w:r>
              <w:t xml:space="preserve">14,2</w:t>
            </w:r>
          </w:p>
        </w:tc>
        <w:tc>
          <w:tcPr/>
          <w:p>
            <w:pPr>
              <w:pStyle w:val="Compact"/>
            </w:pPr>
            <w:r>
              <w:t xml:space="preserve">2,0</w:t>
            </w:r>
          </w:p>
        </w:tc>
      </w:tr>
      <w:tr>
        <w:tc>
          <w:tcPr/>
          <w:p>
            <w:pPr>
              <w:pStyle w:val="Compact"/>
            </w:pPr>
            <w:r>
              <w:t xml:space="preserve">5.724 a 9.540</w:t>
            </w:r>
          </w:p>
        </w:tc>
        <w:tc>
          <w:tcPr/>
          <w:p>
            <w:pPr>
              <w:pStyle w:val="Compact"/>
            </w:pPr>
            <w:r>
              <w:t xml:space="preserve">12,1</w:t>
            </w:r>
          </w:p>
        </w:tc>
        <w:tc>
          <w:tcPr/>
          <w:p>
            <w:pPr>
              <w:pStyle w:val="Compact"/>
            </w:pPr>
            <w:r>
              <w:t xml:space="preserve">18,8</w:t>
            </w:r>
          </w:p>
        </w:tc>
        <w:tc>
          <w:tcPr/>
          <w:p>
            <w:pPr>
              <w:pStyle w:val="Compact"/>
            </w:pPr>
            <w:r>
              <w:t xml:space="preserve">3,7</w:t>
            </w:r>
          </w:p>
        </w:tc>
      </w:tr>
      <w:tr>
        <w:tc>
          <w:tcPr/>
          <w:p>
            <w:pPr>
              <w:pStyle w:val="Compact"/>
            </w:pPr>
            <w:r>
              <w:t xml:space="preserve">Acima de 23.850</w:t>
            </w:r>
          </w:p>
        </w:tc>
        <w:tc>
          <w:tcPr/>
          <w:p>
            <w:pPr>
              <w:pStyle w:val="Compact"/>
            </w:pPr>
            <w:r>
              <w:t xml:space="preserve">7,6</w:t>
            </w:r>
          </w:p>
        </w:tc>
        <w:tc>
          <w:tcPr/>
          <w:p>
            <w:pPr>
              <w:pStyle w:val="Compact"/>
            </w:pPr>
            <w:r>
              <w:t xml:space="preserve">15,4</w:t>
            </w:r>
          </w:p>
        </w:tc>
        <w:tc>
          <w:tcPr/>
          <w:p>
            <w:pPr>
              <w:pStyle w:val="Compact"/>
            </w:pPr>
            <w:r>
              <w:t xml:space="preserve">6,2</w:t>
            </w:r>
          </w:p>
        </w:tc>
      </w:tr>
    </w:tbl>
    <w:p>
      <w:pPr>
        <w:pStyle w:val="BlockText"/>
      </w:pPr>
      <w:r>
        <w:t xml:space="preserve">A alimentação segue o padrão engeliano clássico (de 22% para 7,6%), enquanto educação exibe comportamento oposto — bem de luxo, com participação crescente na renda. Transporte apresenta uma relação não monotônica: cresce nas faixas intermediárias e recua nas mais altas (possivelmente refletindo a troca de transporte público por automóvel próprio já amortizado).</w:t>
      </w:r>
    </w:p>
    <w:p>
      <w:pPr>
        <w:pStyle w:val="BlockText"/>
      </w:pPr>
      <w:r>
        <w:rPr>
          <w:b/>
          <w:bCs/>
        </w:rPr>
        <w:t xml:space="preserve">Implicação teórica:</w:t>
      </w:r>
      <w:r>
        <w:t xml:space="preserve"> </w:t>
      </w:r>
      <w:r>
        <w:t xml:space="preserve">preferências homotéticas — incluindo a Cobb-Douglas — são uma aproximação razoável</w:t>
      </w:r>
      <w:r>
        <w:t xml:space="preserve"> </w:t>
      </w:r>
      <w:r>
        <w:rPr>
          <w:i/>
          <w:iCs/>
        </w:rPr>
        <w:t xml:space="preserve">dentro</w:t>
      </w:r>
      <w:r>
        <w:t xml:space="preserve"> </w:t>
      </w:r>
      <w:r>
        <w:t xml:space="preserve">de uma faixa de renda estreita, mas não capturam a variação</w:t>
      </w:r>
      <w:r>
        <w:t xml:space="preserve"> </w:t>
      </w:r>
      <w:r>
        <w:rPr>
          <w:i/>
          <w:iCs/>
        </w:rPr>
        <w:t xml:space="preserve">entre</w:t>
      </w:r>
      <w:r>
        <w:t xml:space="preserve"> </w:t>
      </w:r>
      <w:r>
        <w:t xml:space="preserve">faixas. Modelos aplicados ao Brasil, como os que estimam impactos distributivos de reformas tributárias, devem usar especificações não homotéticas (como o AIDS de Deaton e Muellbauer) para capturar esses padrões.</w:t>
      </w:r>
    </w:p>
    <w:p>
      <w:pPr>
        <w:pStyle w:val="BlockText"/>
      </w:pPr>
      <w:r>
        <w:rPr>
          <w:b/>
          <w:bCs/>
        </w:rPr>
        <w:t xml:space="preserve">Fonte:</w:t>
      </w:r>
      <w:r>
        <w:t xml:space="preserve"> </w:t>
      </w:r>
      <w:r>
        <w:t xml:space="preserve">IBGE, Pesquisa de Orçamentos Familiares 2017-2018.</w:t>
      </w:r>
    </w:p>
    <w:p>
      <w:pPr>
        <w:pStyle w:val="BlockText"/>
      </w:pPr>
      <w:r>
        <w:rPr>
          <w:b/>
          <w:bCs/>
        </w:rPr>
        <w:t xml:space="preserve">[INTUICAO ECONOMICA] Intuição Econômica</w:t>
      </w:r>
    </w:p>
    <w:p>
      <w:pPr>
        <w:pStyle w:val="BlockText"/>
      </w:pPr>
      <w:r>
        <w:rPr>
          <w:b/>
          <w:bCs/>
        </w:rPr>
        <w:t xml:space="preserve">Em uma frase:</w:t>
      </w:r>
      <w:r>
        <w:t xml:space="preserve"> </w:t>
      </w:r>
      <w:r>
        <w:t xml:space="preserve">Com preferências homotéticas, ricos e pobres gastam a mesma</w:t>
      </w:r>
      <w:r>
        <w:t xml:space="preserve"> </w:t>
      </w:r>
      <w:r>
        <w:rPr>
          <w:i/>
          <w:iCs/>
        </w:rPr>
        <w:t xml:space="preserve">proporção</w:t>
      </w:r>
      <w:r>
        <w:t xml:space="preserve"> </w:t>
      </w:r>
      <w:r>
        <w:t xml:space="preserve">da renda em cada bem — só a escala muda.</w:t>
      </w:r>
    </w:p>
    <w:p>
      <w:pPr>
        <w:pStyle w:val="BlockText"/>
      </w:pPr>
      <w:r>
        <w:rPr>
          <w:b/>
          <w:bCs/>
        </w:rPr>
        <w:t xml:space="preserve">Pense assim:</w:t>
      </w:r>
      <w:r>
        <w:t xml:space="preserve"> </w:t>
      </w:r>
      <w:r>
        <w:t xml:space="preserve">Uma família homotética que gasta 30% da renda com alimentação e 70% com outros bens manterá essa proporção se sua renda dobrar, triplicar ou cair pela metade. O caminho de expansão da renda é uma reta que sai da origem — escalar a cesta ótima é como</w:t>
      </w:r>
      <w:r>
        <w:t xml:space="preserve"> </w:t>
      </w:r>
      <w:r>
        <w:t xml:space="preserve">“dar zoom”</w:t>
      </w:r>
      <w:r>
        <w:t xml:space="preserve"> </w:t>
      </w:r>
      <w:r>
        <w:t xml:space="preserve">na mesma cesta.</w:t>
      </w:r>
    </w:p>
    <w:p>
      <w:pPr>
        <w:pStyle w:val="BlockText"/>
      </w:pPr>
      <w:r>
        <w:rPr>
          <w:b/>
          <w:bCs/>
        </w:rPr>
        <w:t xml:space="preserve">Por que isso importa:</w:t>
      </w:r>
      <w:r>
        <w:t xml:space="preserve"> </w:t>
      </w:r>
      <w:r>
        <w:t xml:space="preserve">Essa propriedade permite agregar consumidores com rendas diferentes em um</w:t>
      </w:r>
      <w:r>
        <w:t xml:space="preserve"> </w:t>
      </w:r>
      <w:r>
        <w:t xml:space="preserve">“consumidor representativo”</w:t>
      </w:r>
      <w:r>
        <w:t xml:space="preserve"> </w:t>
      </w:r>
      <w:r>
        <w:t xml:space="preserve">— base de grande parte dos modelos macroeconômicos. Contudo, os dados da POF (ver Box Brasil, §3.6.6) mostram que preferências reais raramente são homotéticas: a participação da alimentação cai com a renda (Lei de Engel), evidenciando preferências não homotéticas na prática.</w:t>
      </w:r>
    </w:p>
    <w:p>
      <w:pPr>
        <w:pStyle w:val="FirstParagraph"/>
      </w:pPr>
      <w:r>
        <w:t xml:space="preserve">A</w:t>
      </w:r>
      <w:r>
        <w:t xml:space="preserve"> </w:t>
      </w:r>
      <w:hyperlink w:anchor="tabela-3-1">
        <w:r>
          <w:rPr>
            <w:rStyle w:val="Hyperlink"/>
          </w:rPr>
          <w:t xml:space="preserve">Tabela 3.1</w:t>
        </w:r>
      </w:hyperlink>
      <w:r>
        <w:t xml:space="preserve"> </w:t>
      </w:r>
      <w:r>
        <w:t xml:space="preserve">a seguir sintetiza as principais formas funcionais de utilidade discutidas neste capítulo, reunindo em uma única referência a expressão da função, a TMS, o formato das curvas de indiferença e a elasticidade de substituição de cada caso. Recomenda-se consultá-la sempre que surgir dúvida sobre as propriedades de uma forma funcional específica.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Tipo</w:t>
            </w:r>
          </w:p>
        </w:tc>
        <w:tc>
          <w:tcPr/>
          <w:p>
            <w:pPr>
              <w:pStyle w:val="Compact"/>
            </w:pPr>
            <w:r>
              <w:t xml:space="preserve">Função</w:t>
            </w:r>
            <w:r>
              <w:t xml:space="preserve"> </w:t>
            </w:r>
            <m:oMath>
              <m:r>
                <m:t>u</m:t>
              </m:r>
              <m:r>
                <m:rPr>
                  <m:sty m:val="p"/>
                </m:rPr>
                <m:t>(</m:t>
              </m:r>
              <m:sSub>
                <m:e>
                  <m:r>
                    <m:t>x</m:t>
                  </m:r>
                </m:e>
                <m:sub>
                  <m:r>
                    <m:t>1</m:t>
                  </m:r>
                </m:sub>
              </m:sSub>
              <m:r>
                <m:rPr>
                  <m:sty m:val="p"/>
                </m:rPr>
                <m:t>,</m:t>
              </m:r>
              <m:sSub>
                <m:e>
                  <m:r>
                    <m:t>x</m:t>
                  </m:r>
                </m:e>
                <m:sub>
                  <m:r>
                    <m:t>2</m:t>
                  </m:r>
                </m:sub>
              </m:sSub>
              <m:r>
                <m:rPr>
                  <m:sty m:val="p"/>
                </m:rPr>
                <m:t>)</m:t>
              </m:r>
            </m:oMath>
          </w:p>
        </w:tc>
        <w:tc>
          <w:tcPr/>
          <w:p>
            <w:pPr>
              <w:pStyle w:val="Compact"/>
            </w:pPr>
            <w:r>
              <w:t xml:space="preserve">TMS</w:t>
            </w:r>
            <m:oMath>
              <m:sSub>
                <m:e>
                  <m:r>
                    <m:t>​</m:t>
                  </m:r>
                </m:e>
                <m:sub>
                  <m:r>
                    <m:t>12</m:t>
                  </m:r>
                </m:sub>
              </m:sSub>
            </m:oMath>
          </w:p>
        </w:tc>
        <w:tc>
          <w:tcPr/>
          <w:p>
            <w:pPr>
              <w:pStyle w:val="Compact"/>
            </w:pPr>
            <w:r>
              <w:t xml:space="preserve">Curvas de indiferença</w:t>
            </w:r>
          </w:p>
        </w:tc>
        <w:tc>
          <w:tcPr/>
          <w:p>
            <w:pPr>
              <w:pStyle w:val="Compact"/>
            </w:pPr>
            <w:r>
              <w:t xml:space="preserve">Elasticidade de substituição (</w:t>
            </w:r>
            <m:oMath>
              <m:r>
                <m:t>σ</m:t>
              </m:r>
            </m:oMath>
            <w:r>
              <w:t xml:space="preserve">)</w:t>
            </w:r>
          </w:p>
        </w:tc>
      </w:tr>
      <w:tr>
        <w:tc>
          <w:tcPr/>
          <w:p>
            <w:pPr>
              <w:pStyle w:val="Compact"/>
            </w:pPr>
            <w:r>
              <w:t xml:space="preserve">Cobb-Douglas</w:t>
            </w:r>
          </w:p>
        </w:tc>
        <w:tc>
          <w:tcPr/>
          <w:p>
            <w:pPr>
              <w:pStyle w:val="Compact"/>
            </w:pPr>
            <m:oMath>
              <m:sSubSup>
                <m:e>
                  <m:r>
                    <m:t>x</m:t>
                  </m:r>
                </m:e>
                <m:sub>
                  <m:r>
                    <m:t>1</m:t>
                  </m:r>
                </m:sub>
                <m:sup>
                  <m:r>
                    <m:t>a</m:t>
                  </m:r>
                </m:sup>
              </m:sSubSup>
              <m:sSubSup>
                <m:e>
                  <m:r>
                    <m:t>x</m:t>
                  </m:r>
                </m:e>
                <m:sub>
                  <m:r>
                    <m:t>2</m:t>
                  </m:r>
                </m:sub>
                <m:sup>
                  <m:r>
                    <m:t>b</m:t>
                  </m:r>
                </m:sup>
              </m:sSubSup>
            </m:oMath>
          </w:p>
        </w:tc>
        <w:tc>
          <w:tcPr/>
          <w:p>
            <w:pPr>
              <w:pStyle w:val="Compact"/>
            </w:pPr>
            <m:oMath>
              <m:f>
                <m:fPr>
                  <m:type m:val="bar"/>
                </m:fPr>
                <m:num>
                  <m:r>
                    <m:t>a</m:t>
                  </m:r>
                  <m:r>
                    <m:t> </m:t>
                  </m:r>
                  <m:sSub>
                    <m:e>
                      <m:r>
                        <m:t>x</m:t>
                      </m:r>
                    </m:e>
                    <m:sub>
                      <m:r>
                        <m:t>2</m:t>
                      </m:r>
                    </m:sub>
                  </m:sSub>
                </m:num>
                <m:den>
                  <m:r>
                    <m:t>b</m:t>
                  </m:r>
                  <m:r>
                    <m:t> </m:t>
                  </m:r>
                  <m:sSub>
                    <m:e>
                      <m:r>
                        <m:t>x</m:t>
                      </m:r>
                    </m:e>
                    <m:sub>
                      <m:r>
                        <m:t>1</m:t>
                      </m:r>
                    </m:sub>
                  </m:sSub>
                </m:den>
              </m:f>
            </m:oMath>
          </w:p>
        </w:tc>
        <w:tc>
          <w:tcPr/>
          <w:p>
            <w:pPr>
              <w:pStyle w:val="Compact"/>
            </w:pPr>
            <w:r>
              <w:t xml:space="preserve">Hipérboles convexas</w:t>
            </w:r>
          </w:p>
        </w:tc>
        <w:tc>
          <w:tcPr/>
          <w:p>
            <w:pPr>
              <w:pStyle w:val="Compact"/>
            </w:pPr>
            <m:oMath>
              <m:r>
                <m:t>1</m:t>
              </m:r>
            </m:oMath>
          </w:p>
        </w:tc>
      </w:tr>
      <w:tr>
        <w:tc>
          <w:tcPr/>
          <w:p>
            <w:pPr>
              <w:pStyle w:val="Compact"/>
            </w:pPr>
            <w:r>
              <w:t xml:space="preserve">Substitutos perfeitos</w:t>
            </w:r>
          </w:p>
        </w:tc>
        <w:tc>
          <w:tcPr/>
          <w:p>
            <w:pPr>
              <w:pStyle w:val="Compact"/>
            </w:pPr>
            <m:oMath>
              <m:r>
                <m:t>a</m:t>
              </m:r>
              <m:sSub>
                <m:e>
                  <m:r>
                    <m:t>x</m:t>
                  </m:r>
                </m:e>
                <m:sub>
                  <m:r>
                    <m:t>1</m:t>
                  </m:r>
                </m:sub>
              </m:sSub>
              <m:r>
                <m:rPr>
                  <m:sty m:val="p"/>
                </m:rPr>
                <m:t>+</m:t>
              </m:r>
              <m:r>
                <m:t>b</m:t>
              </m:r>
              <m:sSub>
                <m:e>
                  <m:r>
                    <m:t>x</m:t>
                  </m:r>
                </m:e>
                <m:sub>
                  <m:r>
                    <m:t>2</m:t>
                  </m:r>
                </m:sub>
              </m:sSub>
            </m:oMath>
          </w:p>
        </w:tc>
        <w:tc>
          <w:tcPr/>
          <w:p>
            <w:pPr>
              <w:pStyle w:val="Compact"/>
            </w:pPr>
            <m:oMath>
              <m:f>
                <m:fPr>
                  <m:type m:val="bar"/>
                </m:fPr>
                <m:num>
                  <m:r>
                    <m:t>a</m:t>
                  </m:r>
                </m:num>
                <m:den>
                  <m:r>
                    <m:t>b</m:t>
                  </m:r>
                </m:den>
              </m:f>
            </m:oMath>
            <w:r>
              <w:t xml:space="preserve"> </w:t>
            </w:r>
            <w:r>
              <w:t xml:space="preserve">(constante)</w:t>
            </w:r>
          </w:p>
        </w:tc>
        <w:tc>
          <w:tcPr/>
          <w:p>
            <w:pPr>
              <w:pStyle w:val="Compact"/>
            </w:pPr>
            <w:r>
              <w:t xml:space="preserve">Retas paralelas</w:t>
            </w:r>
          </w:p>
        </w:tc>
        <w:tc>
          <w:tcPr/>
          <w:p>
            <w:pPr>
              <w:pStyle w:val="Compact"/>
            </w:pPr>
            <m:oMath>
              <m:r>
                <m:rPr>
                  <m:sty m:val="p"/>
                </m:rPr>
                <m:t>∞</m:t>
              </m:r>
            </m:oMath>
          </w:p>
        </w:tc>
      </w:tr>
      <w:tr>
        <w:tc>
          <w:tcPr/>
          <w:p>
            <w:pPr>
              <w:pStyle w:val="Compact"/>
            </w:pPr>
            <w:r>
              <w:t xml:space="preserve">Complementos perfeitos</w:t>
            </w:r>
          </w:p>
        </w:tc>
        <w:tc>
          <w:tcPr/>
          <w:p>
            <w:pPr>
              <w:pStyle w:val="Compact"/>
            </w:pPr>
            <m:oMath>
              <m:r>
                <m:rPr>
                  <m:sty m:val="p"/>
                </m:rPr>
                <m:t>min</m:t>
              </m:r>
              <m:r>
                <m:rPr>
                  <m:sty m:val="p"/>
                </m:rPr>
                <m:t>{</m:t>
              </m:r>
              <m:r>
                <m:t>a</m:t>
              </m:r>
              <m:sSub>
                <m:e>
                  <m:r>
                    <m:t>x</m:t>
                  </m:r>
                </m:e>
                <m:sub>
                  <m:r>
                    <m:t>1</m:t>
                  </m:r>
                </m:sub>
              </m:sSub>
              <m:r>
                <m:rPr>
                  <m:sty m:val="p"/>
                </m:rPr>
                <m:t>,</m:t>
              </m:r>
              <m:r>
                <m:t>b</m:t>
              </m:r>
              <m:sSub>
                <m:e>
                  <m:r>
                    <m:t>x</m:t>
                  </m:r>
                </m:e>
                <m:sub>
                  <m:r>
                    <m:t>2</m:t>
                  </m:r>
                </m:sub>
              </m:sSub>
              <m:r>
                <m:rPr>
                  <m:sty m:val="p"/>
                </m:rPr>
                <m:t>}</m:t>
              </m:r>
            </m:oMath>
          </w:p>
        </w:tc>
        <w:tc>
          <w:tcPr/>
          <w:p>
            <w:pPr>
              <w:pStyle w:val="Compact"/>
            </w:pPr>
            <w:r>
              <w:t xml:space="preserve">Indefinida no vértice</w:t>
            </w:r>
          </w:p>
        </w:tc>
        <w:tc>
          <w:tcPr/>
          <w:p>
            <w:pPr>
              <w:pStyle w:val="Compact"/>
            </w:pPr>
            <w:r>
              <w:t xml:space="preserve">Ângulo reto (L)</w:t>
            </w:r>
          </w:p>
        </w:tc>
        <w:tc>
          <w:tcPr/>
          <w:p>
            <w:pPr>
              <w:pStyle w:val="Compact"/>
            </w:pPr>
            <m:oMath>
              <m:r>
                <m:t>0</m:t>
              </m:r>
            </m:oMath>
          </w:p>
        </w:tc>
      </w:tr>
      <w:tr>
        <w:tc>
          <w:tcPr/>
          <w:p>
            <w:pPr>
              <w:pStyle w:val="Compact"/>
            </w:pPr>
            <w:r>
              <w:t xml:space="preserve">CES</w:t>
            </w:r>
          </w:p>
        </w:tc>
        <w:tc>
          <w:tcPr/>
          <w:p>
            <w:pPr>
              <w:pStyle w:val="Compact"/>
            </w:pPr>
            <m:oMath>
              <m:r>
                <m:rPr>
                  <m:sty m:val="p"/>
                </m:rPr>
                <m:t>(</m:t>
              </m:r>
              <m:sSubSup>
                <m:e>
                  <m:r>
                    <m:t>x</m:t>
                  </m:r>
                </m:e>
                <m:sub>
                  <m:r>
                    <m:t>1</m:t>
                  </m:r>
                </m:sub>
                <m:sup>
                  <m:r>
                    <m:t>ρ</m:t>
                  </m:r>
                </m:sup>
              </m:sSubSup>
              <m:r>
                <m:rPr>
                  <m:sty m:val="p"/>
                </m:rPr>
                <m:t>+</m:t>
              </m:r>
              <m:sSubSup>
                <m:e>
                  <m:r>
                    <m:t>x</m:t>
                  </m:r>
                </m:e>
                <m:sub>
                  <m:r>
                    <m:t>2</m:t>
                  </m:r>
                </m:sub>
                <m:sup>
                  <m:r>
                    <m:t>ρ</m:t>
                  </m:r>
                </m:sup>
              </m:sSubSup>
              <m:sSup>
                <m:e>
                  <m:r>
                    <m:rPr>
                      <m:sty m:val="p"/>
                    </m:rPr>
                    <m:t>)</m:t>
                  </m:r>
                </m:e>
                <m:sup>
                  <m:r>
                    <m:t>1</m:t>
                  </m:r>
                  <m:r>
                    <m:rPr>
                      <m:sty m:val="p"/>
                    </m:rPr>
                    <m:t>/</m:t>
                  </m:r>
                  <m:r>
                    <m:t>ρ</m:t>
                  </m:r>
                </m:sup>
              </m:sSup>
            </m:oMath>
          </w:p>
        </w:tc>
        <w:tc>
          <w:tcPr/>
          <w:p>
            <w:pPr>
              <w:pStyle w:val="Compact"/>
            </w:pPr>
            <m:oMath>
              <m:sSup>
                <m:e>
                  <m:d>
                    <m:dPr>
                      <m:begChr m:val="("/>
                      <m:sepChr m:val=""/>
                      <m:endChr m:val=")"/>
                      <m:grow/>
                    </m:dPr>
                    <m:e>
                      <m:f>
                        <m:fPr>
                          <m:type m:val="bar"/>
                        </m:fPr>
                        <m:num>
                          <m:sSub>
                            <m:e>
                              <m:r>
                                <m:t>x</m:t>
                              </m:r>
                            </m:e>
                            <m:sub>
                              <m:r>
                                <m:t>1</m:t>
                              </m:r>
                            </m:sub>
                          </m:sSub>
                        </m:num>
                        <m:den>
                          <m:sSub>
                            <m:e>
                              <m:r>
                                <m:t>x</m:t>
                              </m:r>
                            </m:e>
                            <m:sub>
                              <m:r>
                                <m:t>2</m:t>
                              </m:r>
                            </m:sub>
                          </m:sSub>
                        </m:den>
                      </m:f>
                    </m:e>
                  </m:d>
                </m:e>
                <m:sup>
                  <m:r>
                    <m:t>ρ</m:t>
                  </m:r>
                  <m:r>
                    <m:rPr>
                      <m:sty m:val="p"/>
                    </m:rPr>
                    <m:t>−</m:t>
                  </m:r>
                  <m:r>
                    <m:t>1</m:t>
                  </m:r>
                </m:sup>
              </m:sSup>
            </m:oMath>
          </w:p>
        </w:tc>
        <w:tc>
          <w:tcPr/>
          <w:p>
            <w:pPr>
              <w:pStyle w:val="Compact"/>
            </w:pPr>
            <w:r>
              <w:t xml:space="preserve">Convexa (curvatura varia com</w:t>
            </w:r>
            <w:r>
              <w:t xml:space="preserve"> </w:t>
            </w:r>
            <m:oMath>
              <m:r>
                <m:t>ρ</m:t>
              </m:r>
            </m:oMath>
            <w:r>
              <w:t xml:space="preserve">)</w:t>
            </w:r>
          </w:p>
        </w:tc>
        <w:tc>
          <w:tcPr/>
          <w:p>
            <w:pPr>
              <w:pStyle w:val="Compact"/>
            </w:pPr>
            <m:oMath>
              <m:f>
                <m:fPr>
                  <m:type m:val="bar"/>
                </m:fPr>
                <m:num>
                  <m:r>
                    <m:t>1</m:t>
                  </m:r>
                </m:num>
                <m:den>
                  <m:r>
                    <m:t>1</m:t>
                  </m:r>
                  <m:r>
                    <m:rPr>
                      <m:sty m:val="p"/>
                    </m:rPr>
                    <m:t>−</m:t>
                  </m:r>
                  <m:r>
                    <m:t>ρ</m:t>
                  </m:r>
                </m:den>
              </m:f>
            </m:oMath>
          </w:p>
        </w:tc>
      </w:tr>
      <w:tr>
        <w:tc>
          <w:tcPr/>
          <w:p>
            <w:pPr>
              <w:pStyle w:val="Compact"/>
            </w:pPr>
            <w:r>
              <w:t xml:space="preserve">Quase-linear</w:t>
            </w:r>
          </w:p>
        </w:tc>
        <w:tc>
          <w:tcPr/>
          <w:p>
            <w:pPr>
              <w:pStyle w:val="Compact"/>
            </w:pPr>
            <m:oMath>
              <m:r>
                <m:t>v</m:t>
              </m:r>
              <m:r>
                <m:rPr>
                  <m:sty m:val="p"/>
                </m:rPr>
                <m:t>(</m:t>
              </m:r>
              <m:sSub>
                <m:e>
                  <m:r>
                    <m:t>x</m:t>
                  </m:r>
                </m:e>
                <m:sub>
                  <m:r>
                    <m:t>1</m:t>
                  </m:r>
                </m:sub>
              </m:sSub>
              <m:r>
                <m:rPr>
                  <m:sty m:val="p"/>
                </m:rPr>
                <m:t>)</m:t>
              </m:r>
              <m:r>
                <m:rPr>
                  <m:sty m:val="p"/>
                </m:rPr>
                <m:t>+</m:t>
              </m:r>
              <m:sSub>
                <m:e>
                  <m:r>
                    <m:t>x</m:t>
                  </m:r>
                </m:e>
                <m:sub>
                  <m:r>
                    <m:t>2</m:t>
                  </m:r>
                </m:sub>
              </m:sSub>
            </m:oMath>
          </w:p>
        </w:tc>
        <w:tc>
          <w:tcPr/>
          <w:p>
            <w:pPr>
              <w:pStyle w:val="Compact"/>
            </w:pPr>
            <m:oMath>
              <m:sSup>
                <m:e>
                  <m:r>
                    <m:t>v</m:t>
                  </m:r>
                </m:e>
                <m:sup>
                  <m:r>
                    <m:rPr>
                      <m:sty m:val="p"/>
                    </m:rPr>
                    <m:t>′</m:t>
                  </m:r>
                </m:sup>
              </m:sSup>
              <m:r>
                <m:rPr>
                  <m:sty m:val="p"/>
                </m:rPr>
                <m:t>(</m:t>
              </m:r>
              <m:sSub>
                <m:e>
                  <m:r>
                    <m:t>x</m:t>
                  </m:r>
                </m:e>
                <m:sub>
                  <m:r>
                    <m:t>1</m:t>
                  </m:r>
                </m:sub>
              </m:sSub>
              <m:r>
                <m:rPr>
                  <m:sty m:val="p"/>
                </m:rPr>
                <m:t>)</m:t>
              </m:r>
            </m:oMath>
          </w:p>
        </w:tc>
        <w:tc>
          <w:tcPr/>
          <w:p>
            <w:pPr>
              <w:pStyle w:val="Compact"/>
            </w:pPr>
            <w:r>
              <w:t xml:space="preserve">Translações verticais</w:t>
            </w:r>
          </w:p>
        </w:tc>
        <w:tc>
          <w:tcPr/>
          <w:p>
            <w:pPr>
              <w:pStyle w:val="Compact"/>
            </w:pPr>
            <w:r>
              <w:t xml:space="preserve">Variável</w:t>
            </w:r>
          </w:p>
        </w:tc>
      </w:tr>
      <w:tr>
        <w:tc>
          <w:tcPr/>
          <w:p>
            <w:pPr>
              <w:pStyle w:val="Compact"/>
            </w:pPr>
            <w:r>
              <w:t xml:space="preserve">Homotética (geral)</w:t>
            </w:r>
          </w:p>
        </w:tc>
        <w:tc>
          <w:tcPr/>
          <w:p>
            <w:pPr>
              <w:pStyle w:val="Compact"/>
            </w:pPr>
            <m:oMath>
              <m:r>
                <m:t>g</m:t>
              </m:r>
              <m:r>
                <m:rPr>
                  <m:sty m:val="p"/>
                </m:rPr>
                <m:t>(</m:t>
              </m:r>
              <m:r>
                <m:t>h</m:t>
              </m:r>
              <m:r>
                <m:rPr>
                  <m:sty m:val="p"/>
                </m:rPr>
                <m:t>(</m:t>
              </m:r>
              <m:sSub>
                <m:e>
                  <m:r>
                    <m:t>x</m:t>
                  </m:r>
                </m:e>
                <m:sub>
                  <m:r>
                    <m:t>1</m:t>
                  </m:r>
                </m:sub>
              </m:sSub>
              <m:r>
                <m:rPr>
                  <m:sty m:val="p"/>
                </m:rPr>
                <m:t>,</m:t>
              </m:r>
              <m:sSub>
                <m:e>
                  <m:r>
                    <m:t>x</m:t>
                  </m:r>
                </m:e>
                <m:sub>
                  <m:r>
                    <m:t>2</m:t>
                  </m:r>
                </m:sub>
              </m:sSub>
              <m:r>
                <m:rPr>
                  <m:sty m:val="p"/>
                </m:rPr>
                <m:t>)</m:t>
              </m:r>
              <m:r>
                <m:rPr>
                  <m:sty m:val="p"/>
                </m:rPr>
                <m:t>)</m:t>
              </m:r>
            </m:oMath>
            <w:r>
              <w:t xml:space="preserve">,</w:t>
            </w:r>
            <w:r>
              <w:t xml:space="preserve"> </w:t>
            </w:r>
            <m:oMath>
              <m:r>
                <m:t>h</m:t>
              </m:r>
            </m:oMath>
            <w:r>
              <w:t xml:space="preserve"> </w:t>
            </w:r>
            <w:r>
              <w:t xml:space="preserve">homogênea grau 1</w:t>
            </w:r>
          </w:p>
        </w:tc>
        <w:tc>
          <w:tcPr/>
          <w:p>
            <w:pPr>
              <w:pStyle w:val="Compact"/>
            </w:pPr>
            <m:oMath>
              <m:r>
                <m:t>ϕ</m:t>
              </m:r>
              <m:r>
                <m:rPr>
                  <m:sty m:val="p"/>
                </m:rPr>
                <m:t>(</m:t>
              </m:r>
              <m:sSub>
                <m:e>
                  <m:r>
                    <m:t>x</m:t>
                  </m:r>
                </m:e>
                <m:sub>
                  <m:r>
                    <m:t>1</m:t>
                  </m:r>
                </m:sub>
              </m:sSub>
              <m:r>
                <m:rPr>
                  <m:sty m:val="p"/>
                </m:rPr>
                <m:t>/</m:t>
              </m:r>
              <m:sSub>
                <m:e>
                  <m:r>
                    <m:t>x</m:t>
                  </m:r>
                </m:e>
                <m:sub>
                  <m:r>
                    <m:t>2</m:t>
                  </m:r>
                </m:sub>
              </m:sSub>
              <m:r>
                <m:rPr>
                  <m:sty m:val="p"/>
                </m:rPr>
                <m:t>)</m:t>
              </m:r>
            </m:oMath>
          </w:p>
        </w:tc>
        <w:tc>
          <w:tcPr/>
          <w:p>
            <w:pPr>
              <w:pStyle w:val="Compact"/>
            </w:pPr>
            <w:r>
              <w:t xml:space="preserve">Expansões radiais</w:t>
            </w:r>
          </w:p>
        </w:tc>
        <w:tc>
          <w:tcPr/>
          <w:p>
            <w:pPr>
              <w:pStyle w:val="Compact"/>
            </w:pPr>
            <w:r>
              <w:t xml:space="preserve">Depende de</w:t>
            </w:r>
            <w:r>
              <w:t xml:space="preserve"> </w:t>
            </w:r>
            <m:oMath>
              <m:r>
                <m:t>h</m:t>
              </m:r>
            </m:oMath>
          </w:p>
        </w:tc>
      </w:tr>
    </w:tbl>
    <w:p>
      <w:pPr>
        <w:pStyle w:val="BodyText"/>
      </w:pPr>
      <w:r>
        <w:rPr>
          <w:b/>
          <w:bCs/>
        </w:rPr>
        <w:t xml:space="preserve">Tabela 3.1 — Comparativa das funções de utilidade.</w:t>
      </w:r>
    </w:p>
    <w:p>
      <w:pPr>
        <w:pStyle w:val="BlockText"/>
      </w:pPr>
      <w:r>
        <w:rPr>
          <w:b/>
          <w:bCs/>
        </w:rPr>
        <w:t xml:space="preserve">[DICA] Como escolher a forma funcional certa?</w:t>
      </w:r>
    </w:p>
    <w:p>
      <w:pPr>
        <w:pStyle w:val="BlockText"/>
      </w:pPr>
      <w:r>
        <w:t xml:space="preserve">Diante de tantas opções, como decidir qual função de utilidade usar em um modelo ou exercício? A escolha depende do objetivo da análise:</w:t>
      </w:r>
    </w:p>
    <w:p>
      <w:pPr>
        <w:pStyle w:val="Compact"/>
        <w:numPr>
          <w:ilvl w:val="0"/>
          <w:numId w:val="1079"/>
        </w:numPr>
      </w:pPr>
      <w:r>
        <w:rPr>
          <w:b/>
          <w:bCs/>
        </w:rPr>
        <w:t xml:space="preserve">Cobb-Douglas</w:t>
      </w:r>
      <w:r>
        <w:t xml:space="preserve">: primeira escolha para modelos teóricos que exigem soluções analíticas em forma fechada. Ideal para exercícios e demonstrações pedagógicas. Limitação: elasticidade de substituição fixa em 1 e participação constante na despesa.</w:t>
      </w:r>
    </w:p>
    <w:p>
      <w:pPr>
        <w:pStyle w:val="Compact"/>
        <w:numPr>
          <w:ilvl w:val="0"/>
          <w:numId w:val="1079"/>
        </w:numPr>
      </w:pPr>
      <w:r>
        <w:rPr>
          <w:b/>
          <w:bCs/>
        </w:rPr>
        <w:t xml:space="preserve">CES</w:t>
      </w:r>
      <w:r>
        <w:t xml:space="preserve">: preferida em trabalhos empíricos e modelos de comércio internacional (Armington), pois permite estimar a elasticidade de substituição</w:t>
      </w:r>
      <w:r>
        <w:t xml:space="preserve"> </w:t>
      </w:r>
      <m:oMath>
        <m:r>
          <m:t>σ</m:t>
        </m:r>
      </m:oMath>
      <w:r>
        <w:t xml:space="preserve"> </w:t>
      </w:r>
      <w:r>
        <w:t xml:space="preserve">a partir dos dados. Também útil quando se deseja generalidade teórica sem perder tratabilidade.</w:t>
      </w:r>
    </w:p>
    <w:p>
      <w:pPr>
        <w:pStyle w:val="Compact"/>
        <w:numPr>
          <w:ilvl w:val="0"/>
          <w:numId w:val="1079"/>
        </w:numPr>
      </w:pPr>
      <w:r>
        <w:rPr>
          <w:b/>
          <w:bCs/>
        </w:rPr>
        <w:t xml:space="preserve">Substitutos perfeitos</w:t>
      </w:r>
      <w:r>
        <w:t xml:space="preserve">: para mercados em que os bens são essencialmente intercambiáveis (commodities homogêneas, marcas genéricas). Gera soluções de canto — útil para ilustrar especialização.</w:t>
      </w:r>
    </w:p>
    <w:p>
      <w:pPr>
        <w:pStyle w:val="Compact"/>
        <w:numPr>
          <w:ilvl w:val="0"/>
          <w:numId w:val="1079"/>
        </w:numPr>
      </w:pPr>
      <w:r>
        <w:rPr>
          <w:b/>
          <w:bCs/>
        </w:rPr>
        <w:t xml:space="preserve">Complementos perfeitos (Leontief)</w:t>
      </w:r>
      <w:r>
        <w:t xml:space="preserve">: para insumos que devem ser usados em proporções fixas. Aparece frequentemente na teoria da produção (Capítulo 10) e em modelos de equilíbrio geral computável.</w:t>
      </w:r>
    </w:p>
    <w:p>
      <w:pPr>
        <w:pStyle w:val="Compact"/>
        <w:numPr>
          <w:ilvl w:val="0"/>
          <w:numId w:val="1079"/>
        </w:numPr>
      </w:pPr>
      <w:r>
        <w:rPr>
          <w:b/>
          <w:bCs/>
        </w:rPr>
        <w:t xml:space="preserve">Quase-linear</w:t>
      </w:r>
      <w:r>
        <w:t xml:space="preserve">: a escolha natural para análises de equilíbrio parcial e modelos de organização industrial, pois elimina efeitos renda e garante</w:t>
      </w:r>
      <w:r>
        <w:t xml:space="preserve"> </w:t>
      </w:r>
      <m:oMath>
        <m:r>
          <m:t>V</m:t>
        </m:r>
        <m:r>
          <m:t>C</m:t>
        </m:r>
        <m:r>
          <m:rPr>
            <m:sty m:val="p"/>
          </m:rPr>
          <m:t>=</m:t>
        </m:r>
        <m:r>
          <m:t>V</m:t>
        </m:r>
        <m:r>
          <m:t>E</m:t>
        </m:r>
        <m:r>
          <m:rPr>
            <m:sty m:val="p"/>
          </m:rPr>
          <m:t>=</m:t>
        </m:r>
        <m:r>
          <m:rPr>
            <m:sty m:val="p"/>
          </m:rPr>
          <m:t>Δ</m:t>
        </m:r>
        <m:r>
          <m:t>E</m:t>
        </m:r>
        <m:r>
          <m:t>C</m:t>
        </m:r>
      </m:oMath>
      <w:r>
        <w:t xml:space="preserve">. Ideal quando o foco é um mercado específico.</w:t>
      </w:r>
    </w:p>
    <w:p>
      <w:pPr>
        <w:pStyle w:val="BlockText"/>
      </w:pPr>
      <w:r>
        <w:rPr>
          <w:b/>
          <w:bCs/>
        </w:rPr>
        <w:t xml:space="preserve">Regra prática:</w:t>
      </w:r>
      <w:r>
        <w:t xml:space="preserve"> </w:t>
      </w:r>
      <w:r>
        <w:t xml:space="preserve">comece com a forma mais simples que capture o fenômeno de interesse. Se a Cobb-Douglas for suficiente, não use a CES.</w:t>
      </w:r>
    </w:p>
    <w:p>
      <w:pPr>
        <w:pStyle w:val="FirstParagraph"/>
      </w:pPr>
      <w:r>
        <w:t xml:space="preserve">[FIGURA INTERATIVA: /micro-book/graficos/cap03/tipos-preferencias.html — versao interativa disponivel online]</w:t>
      </w:r>
    </w:p>
    <w:p>
      <w:pPr>
        <w:pStyle w:val="BodyText"/>
      </w:pPr>
      <w:r>
        <w:rPr>
          <w:b/>
          <w:bCs/>
        </w:rPr>
        <w:t xml:space="preserve">Figura 3.4 — Comparação dos quatro tipos de preferências: Cobb-Douglas (hipérboles convexas), substitutos perfeitos (retas), complementos perfeitos (ângulo reto) e quase-linear (translações verticais).</w:t>
      </w:r>
    </w:p>
    <w:p>
      <w:pPr>
        <w:pStyle w:val="BodyText"/>
      </w:pPr>
      <w:r>
        <w:t xml:space="preserve">[FIGURA INTERATIVA: /micro-book/graficos/cap03/funcoes-utilidade.html — versao interativa disponivel online]</w:t>
      </w:r>
    </w:p>
    <w:p>
      <w:pPr>
        <w:pStyle w:val="BodyText"/>
      </w:pPr>
      <w:r>
        <w:rPr>
          <w:b/>
          <w:bCs/>
        </w:rPr>
        <w:t xml:space="preserve">Figura 3.5 — Superfície 3D da função de utilidade.</w:t>
      </w:r>
      <w:r>
        <w:t xml:space="preserve"> </w:t>
      </w:r>
      <w:r>
        <w:t xml:space="preserve">Rotacione e aplique zoom com o mouse. Use o menu para trocar entre Cobb-Douglas, substitutos perfeitos (plano), complementos perfeitos (superfície em cunha), CES e quase-linear. Ajuste os parâmetros nos sliders.</w:t>
      </w:r>
    </w:p>
    <w:p>
      <w:pPr>
        <w:pStyle w:val="BodyText"/>
      </w:pPr>
      <w:r>
        <w:t xml:space="preserve">[FIGURA INTERATIVA: /micro-book/graficos/cap03/homotetica-vs-quaselinear.html — versao interativa disponivel online]</w:t>
      </w:r>
    </w:p>
    <w:p>
      <w:pPr>
        <w:pStyle w:val="BodyText"/>
      </w:pPr>
      <w:r>
        <w:rPr>
          <w:b/>
          <w:bCs/>
        </w:rPr>
        <w:t xml:space="preserve">Figura 3.6 — Homotética vs quase-linear: compare a expansão da renda.</w:t>
      </w:r>
      <w:r>
        <w:t xml:space="preserve"> </w:t>
      </w:r>
      <w:r>
        <w:t xml:space="preserve">À esquerda (Cobb-Douglas), o caminho de expansão é um raio da origem — a razão</w:t>
      </w:r>
      <w:r>
        <w:t xml:space="preserve"> </w:t>
      </w:r>
      <m:oMath>
        <m:sSub>
          <m:e>
            <m:r>
              <m:t>x</m:t>
            </m:r>
          </m:e>
          <m:sub>
            <m:r>
              <m:t>1</m:t>
            </m:r>
          </m:sub>
        </m:sSub>
        <m:r>
          <m:rPr>
            <m:sty m:val="p"/>
          </m:rPr>
          <m:t>/</m:t>
        </m:r>
        <m:sSub>
          <m:e>
            <m:r>
              <m:t>x</m:t>
            </m:r>
          </m:e>
          <m:sub>
            <m:r>
              <m:t>2</m:t>
            </m:r>
          </m:sub>
        </m:sSub>
      </m:oMath>
      <w:r>
        <w:t xml:space="preserve"> </w:t>
      </w:r>
      <w:r>
        <w:t xml:space="preserve">é constante. À direita (quase-linear), o caminho é vertical —</w:t>
      </w:r>
      <w:r>
        <w:t xml:space="preserve"> </w:t>
      </w:r>
      <m:oMath>
        <m:sSub>
          <m:e>
            <m:r>
              <m:t>x</m:t>
            </m:r>
          </m:e>
          <m:sub>
            <m:r>
              <m:t>1</m:t>
            </m:r>
          </m:sub>
        </m:sSub>
      </m:oMath>
      <w:r>
        <w:t xml:space="preserve"> </w:t>
      </w:r>
      <w:r>
        <w:t xml:space="preserve">não muda com a renda. Ajuste</w:t>
      </w:r>
      <w:r>
        <w:t xml:space="preserve"> </w:t>
      </w:r>
      <m:oMath>
        <m:r>
          <m:t>I</m:t>
        </m:r>
      </m:oMath>
      <w:r>
        <w:t xml:space="preserve"> </w:t>
      </w:r>
      <w:r>
        <w:t xml:space="preserve">e</w:t>
      </w:r>
      <w:r>
        <w:t xml:space="preserve"> </w:t>
      </w:r>
      <m:oMath>
        <m:sSub>
          <m:e>
            <m:r>
              <m:t>p</m:t>
            </m:r>
          </m:e>
          <m:sub>
            <m:r>
              <m:t>1</m:t>
            </m:r>
          </m:sub>
        </m:sSub>
        <m:r>
          <m:rPr>
            <m:sty m:val="p"/>
          </m:rPr>
          <m:t>/</m:t>
        </m:r>
        <m:sSub>
          <m:e>
            <m:r>
              <m:t>p</m:t>
            </m:r>
          </m:e>
          <m:sub>
            <m:r>
              <m:t>2</m:t>
            </m:r>
          </m:sub>
        </m:sSub>
      </m:oMath>
      <w:r>
        <w:t xml:space="preserve"> </w:t>
      </w:r>
      <w:r>
        <w:t xml:space="preserve">nos sliders.</w:t>
      </w:r>
    </w:p>
    <w:p>
      <w:pPr>
        <w:pStyle w:val="BlockText"/>
      </w:pPr>
      <w:r>
        <w:rPr>
          <w:b/>
          <w:bCs/>
        </w:rPr>
        <w:t xml:space="preserve">[EXERCICIO RESOLVIDO] Exercício Resolvido 3.2</w:t>
      </w:r>
    </w:p>
    <w:p>
      <w:pPr>
        <w:pStyle w:val="BlockText"/>
      </w:pPr>
      <w:r>
        <w:rPr>
          <w:b/>
          <w:bCs/>
        </w:rPr>
        <w:t xml:space="preserve">Enunciado:</w:t>
      </w:r>
      <w:r>
        <w:t xml:space="preserve"> </w:t>
      </w:r>
      <w:r>
        <w:t xml:space="preserve">Considere a função CES</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rPr>
            <m:sty m:val="p"/>
          </m:rPr>
          <m:t>(</m:t>
        </m:r>
        <m:sSubSup>
          <m:e>
            <m:r>
              <m:t>x</m:t>
            </m:r>
          </m:e>
          <m:sub>
            <m:r>
              <m:t>1</m:t>
            </m:r>
          </m:sub>
          <m:sup>
            <m:r>
              <m:t>ρ</m:t>
            </m:r>
          </m:sup>
        </m:sSubSup>
        <m:r>
          <m:rPr>
            <m:sty m:val="p"/>
          </m:rPr>
          <m:t>+</m:t>
        </m:r>
        <m:sSubSup>
          <m:e>
            <m:r>
              <m:t>x</m:t>
            </m:r>
          </m:e>
          <m:sub>
            <m:r>
              <m:t>2</m:t>
            </m:r>
          </m:sub>
          <m:sup>
            <m:r>
              <m:t>ρ</m:t>
            </m:r>
          </m:sup>
        </m:sSubSup>
        <m:sSup>
          <m:e>
            <m:r>
              <m:rPr>
                <m:sty m:val="p"/>
              </m:rPr>
              <m:t>)</m:t>
            </m:r>
          </m:e>
          <m:sup>
            <m:r>
              <m:t>1</m:t>
            </m:r>
            <m:r>
              <m:rPr>
                <m:sty m:val="p"/>
              </m:rPr>
              <m:t>/</m:t>
            </m:r>
            <m:r>
              <m:t>ρ</m:t>
            </m:r>
          </m:sup>
        </m:sSup>
      </m:oMath>
      <w:r>
        <w:t xml:space="preserve"> </w:t>
      </w:r>
      <w:r>
        <w:t xml:space="preserve">com</w:t>
      </w:r>
      <w:r>
        <w:t xml:space="preserve"> </w:t>
      </w:r>
      <m:oMath>
        <m:r>
          <m:t>ρ</m:t>
        </m:r>
        <m:r>
          <m:rPr>
            <m:sty m:val="p"/>
          </m:rPr>
          <m:t>=</m:t>
        </m:r>
        <m:r>
          <m:rPr>
            <m:sty m:val="p"/>
          </m:rPr>
          <m:t>−</m:t>
        </m:r>
        <m:r>
          <m:t>1</m:t>
        </m:r>
      </m:oMath>
      <w:r>
        <w:t xml:space="preserve">. (a) Calcule a elasticidade de substituição. (b) Derive a TMS. (c) Compare as curvas de indiferença com os casos Cobb-Douglas e complementos perfeitos.</w:t>
      </w:r>
    </w:p>
    <w:p>
      <w:pPr>
        <w:pStyle w:val="BlockText"/>
      </w:pPr>
      <w:r>
        <w:rPr>
          <w:b/>
          <w:bCs/>
        </w:rPr>
        <w:t xml:space="preserve">Dados:</w:t>
      </w:r>
      <w:r>
        <w:t xml:space="preserve"> </w:t>
      </w:r>
      <m:oMath>
        <m:r>
          <m:t>ρ</m:t>
        </m:r>
        <m:r>
          <m:rPr>
            <m:sty m:val="p"/>
          </m:rPr>
          <m:t>=</m:t>
        </m:r>
        <m:r>
          <m:rPr>
            <m:sty m:val="p"/>
          </m:rPr>
          <m:t>−</m:t>
        </m:r>
        <m:r>
          <m:t>1</m:t>
        </m:r>
      </m:oMath>
      <w:r>
        <w:t xml:space="preserve">, logo</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rPr>
            <m:sty m:val="p"/>
          </m:rPr>
          <m:t>(</m:t>
        </m:r>
        <m:sSubSup>
          <m:e>
            <m:r>
              <m:t>x</m:t>
            </m:r>
          </m:e>
          <m:sub>
            <m:r>
              <m:t>1</m:t>
            </m:r>
          </m:sub>
          <m:sup>
            <m:r>
              <m:rPr>
                <m:sty m:val="p"/>
              </m:rPr>
              <m:t>−</m:t>
            </m:r>
            <m:r>
              <m:t>1</m:t>
            </m:r>
          </m:sup>
        </m:sSubSup>
        <m:r>
          <m:rPr>
            <m:sty m:val="p"/>
          </m:rPr>
          <m:t>+</m:t>
        </m:r>
        <m:sSubSup>
          <m:e>
            <m:r>
              <m:t>x</m:t>
            </m:r>
          </m:e>
          <m:sub>
            <m:r>
              <m:t>2</m:t>
            </m:r>
          </m:sub>
          <m:sup>
            <m:r>
              <m:rPr>
                <m:sty m:val="p"/>
              </m:rPr>
              <m:t>−</m:t>
            </m:r>
            <m:r>
              <m:t>1</m:t>
            </m:r>
          </m:sup>
        </m:sSubSup>
        <m:sSup>
          <m:e>
            <m:r>
              <m:rPr>
                <m:sty m:val="p"/>
              </m:rPr>
              <m:t>)</m:t>
            </m:r>
          </m:e>
          <m:sup>
            <m:r>
              <m:rPr>
                <m:sty m:val="p"/>
              </m:rPr>
              <m:t>−</m:t>
            </m:r>
            <m:r>
              <m:t>1</m:t>
            </m:r>
          </m:sup>
        </m:sSup>
      </m:oMath>
      <w:r>
        <w:t xml:space="preserve">.</w:t>
      </w:r>
    </w:p>
    <w:p>
      <w:pPr>
        <w:pStyle w:val="BlockText"/>
      </w:pPr>
      <w:r>
        <w:rPr>
          <w:b/>
          <w:bCs/>
        </w:rPr>
        <w:t xml:space="preserve">Resolução:</w:t>
      </w:r>
    </w:p>
    <w:p>
      <w:pPr>
        <w:pStyle w:val="BlockText"/>
      </w:pPr>
      <w:r>
        <w:rPr>
          <w:b/>
          <w:bCs/>
        </w:rPr>
        <w:t xml:space="preserve">Passo 1 — Elasticidade de substituição</w:t>
      </w:r>
    </w:p>
    <w:p>
      <w:pPr>
        <w:pStyle w:val="BlockText"/>
      </w:pPr>
      <w:r>
        <w:t xml:space="preserve">$$</w:t>
      </w:r>
    </w:p>
    <w:p>
      <w:pPr>
        <w:pStyle w:val="BlockText"/>
      </w:pPr>
      <w:r>
        <w:t xml:space="preserve">=</w:t>
      </w:r>
      <w:r>
        <w:t xml:space="preserve"> </w:t>
      </w:r>
      <w:r>
        <w:t xml:space="preserve"> </w:t>
      </w:r>
      <w:r>
        <w:t xml:space="preserve">=</w:t>
      </w:r>
      <w:r>
        <w:t xml:space="preserve"> </w:t>
      </w:r>
      <w:r>
        <w:t xml:space="preserve"> </w:t>
      </w:r>
      <w:r>
        <w:t xml:space="preserve">=</w:t>
      </w:r>
      <w:r>
        <w:t xml:space="preserve"> </w:t>
      </w:r>
    </w:p>
    <w:p>
      <w:pPr>
        <w:pStyle w:val="BlockText"/>
      </w:pPr>
      <w:r>
        <w:t xml:space="preserve">$$</w:t>
      </w:r>
    </w:p>
    <w:p>
      <w:pPr>
        <w:pStyle w:val="BlockText"/>
      </w:pPr>
      <w:r>
        <w:t xml:space="preserve">A elasticidade de substituição é</w:t>
      </w:r>
      <w:r>
        <w:t xml:space="preserve"> </w:t>
      </w:r>
      <m:oMath>
        <m:r>
          <m:t>1</m:t>
        </m:r>
        <m:r>
          <m:rPr>
            <m:sty m:val="p"/>
          </m:rPr>
          <m:t>/</m:t>
        </m:r>
        <m:r>
          <m:t>2</m:t>
        </m:r>
      </m:oMath>
      <w:r>
        <w:t xml:space="preserve">, um valor entre 0 (complementos perfeitos) e 1 (Cobb-Douglas). Isso indica substituibilidade baixa, mas não nula.</w:t>
      </w:r>
    </w:p>
    <w:p>
      <w:pPr>
        <w:pStyle w:val="BlockText"/>
      </w:pPr>
      <w:r>
        <w:rPr>
          <w:b/>
          <w:bCs/>
        </w:rPr>
        <w:t xml:space="preserve">Passo 2 — Cálculo da TMS</w:t>
      </w:r>
    </w:p>
    <w:p>
      <w:pPr>
        <w:pStyle w:val="BlockText"/>
      </w:pPr>
      <w:r>
        <w:t xml:space="preserve">Usando a fórmula geral da CES:</w:t>
      </w:r>
    </w:p>
    <w:p>
      <w:pPr>
        <w:pStyle w:val="BlockText"/>
      </w:pPr>
      <w:r>
        <w:t xml:space="preserve">$$</w:t>
      </w:r>
    </w:p>
    <w:p>
      <w:pPr>
        <w:pStyle w:val="BlockText"/>
      </w:pPr>
      <w:r>
        <w:t xml:space="preserve">_{12} =</w:t>
      </w:r>
      <w:r>
        <w:t xml:space="preserve"> </w:t>
      </w:r>
      <w:r>
        <w:t xml:space="preserve">(</w:t>
      </w:r>
      <w:r>
        <w:t xml:space="preserve">)^{</w:t>
      </w:r>
      <w:r>
        <w:t xml:space="preserve">} =</w:t>
      </w:r>
      <w:r>
        <w:t xml:space="preserve"> </w:t>
      </w:r>
      <w:r>
        <w:t xml:space="preserve">(</w:t>
      </w:r>
      <w:r>
        <w:t xml:space="preserve">)^{-2} =</w:t>
      </w:r>
      <w:r>
        <w:t xml:space="preserve"> </w:t>
      </w:r>
      <w:r>
        <w:t xml:space="preserve">(</w:t>
      </w:r>
      <w:r>
        <w:t xml:space="preserve">)^{2}</w:t>
      </w:r>
    </w:p>
    <w:p>
      <w:pPr>
        <w:pStyle w:val="BlockText"/>
      </w:pPr>
      <w:r>
        <w:t xml:space="preserve">$$</w:t>
      </w:r>
    </w:p>
    <w:p>
      <w:pPr>
        <w:pStyle w:val="BlockText"/>
      </w:pPr>
      <w:r>
        <w:rPr>
          <w:b/>
          <w:bCs/>
        </w:rPr>
        <w:t xml:space="preserve">Passo 3 — Comparação com outros casos</w:t>
      </w:r>
    </w:p>
    <w:p>
      <w:pPr>
        <w:pStyle w:val="BlockText"/>
      </w:pPr>
      <w:r>
        <w:t xml:space="preserve">Com</w:t>
      </w:r>
      <w:r>
        <w:t xml:space="preserve"> </w:t>
      </w:r>
      <m:oMath>
        <m:r>
          <m:t>σ</m:t>
        </m:r>
        <m:r>
          <m:rPr>
            <m:sty m:val="p"/>
          </m:rPr>
          <m:t>=</m:t>
        </m:r>
        <m:r>
          <m:t>1</m:t>
        </m:r>
        <m:r>
          <m:rPr>
            <m:sty m:val="p"/>
          </m:rPr>
          <m:t>/</m:t>
        </m:r>
        <m:r>
          <m:t>2</m:t>
        </m:r>
      </m:oMath>
      <w:r>
        <w:t xml:space="preserve">, as curvas de indiferença são convexas e mais</w:t>
      </w:r>
      <w:r>
        <w:t xml:space="preserve"> </w:t>
      </w:r>
      <w:r>
        <w:t xml:space="preserve">“encurvadas”</w:t>
      </w:r>
      <w:r>
        <w:t xml:space="preserve"> </w:t>
      </w:r>
      <w:r>
        <w:t xml:space="preserve">do que as da Cobb-Douglas (</w:t>
      </w:r>
      <m:oMath>
        <m:r>
          <m:t>σ</m:t>
        </m:r>
        <m:r>
          <m:rPr>
            <m:sty m:val="p"/>
          </m:rPr>
          <m:t>=</m:t>
        </m:r>
        <m:r>
          <m:t>1</m:t>
        </m:r>
      </m:oMath>
      <w:r>
        <w:t xml:space="preserve">), mas sem o ângulo reto dos complementos perfeitos (</w:t>
      </w:r>
      <m:oMath>
        <m:r>
          <m:t>σ</m:t>
        </m:r>
        <m:r>
          <m:rPr>
            <m:sty m:val="p"/>
          </m:rPr>
          <m:t>=</m:t>
        </m:r>
        <m:r>
          <m:t>0</m:t>
        </m:r>
      </m:oMath>
      <w:r>
        <w:t xml:space="preserve">). Intuitivamente, o consumidor aceita trocar um bem pelo outro, mas exige compensações crescentes de maneira mais acentuada do que no caso Cobb-Douglas.</w:t>
      </w:r>
    </w:p>
    <w:p>
      <w:pPr>
        <w:pStyle w:val="BlockText"/>
      </w:pPr>
      <w:r>
        <w:rPr>
          <w:b/>
          <w:bCs/>
        </w:rPr>
        <w:t xml:space="preserve">Resultado:</w:t>
      </w:r>
      <w:r>
        <w:t xml:space="preserve"> </w:t>
      </w:r>
      <m:oMath>
        <m:r>
          <m:t>σ</m:t>
        </m:r>
        <m:r>
          <m:rPr>
            <m:sty m:val="p"/>
          </m:rPr>
          <m:t>=</m:t>
        </m:r>
        <m:r>
          <m:t>1</m:t>
        </m:r>
        <m:r>
          <m:rPr>
            <m:sty m:val="p"/>
          </m:rPr>
          <m:t>/</m:t>
        </m:r>
        <m:r>
          <m:t>2</m:t>
        </m:r>
      </m:oMath>
      <w:r>
        <w:t xml:space="preserve">;</w:t>
      </w:r>
      <w:r>
        <w:t xml:space="preserve"> </w:t>
      </w:r>
      <m:oMath>
        <m:sSub>
          <m:e>
            <m:r>
              <m:rPr>
                <m:nor/>
                <m:sty m:val="p"/>
              </m:rPr>
              <m:t>TMS</m:t>
            </m:r>
          </m:e>
          <m:sub>
            <m:r>
              <m:t>12</m:t>
            </m:r>
          </m:sub>
        </m:sSub>
        <m:r>
          <m:rPr>
            <m:sty m:val="p"/>
          </m:rPr>
          <m:t>=</m:t>
        </m:r>
        <m:r>
          <m:rPr>
            <m:sty m:val="p"/>
          </m:rPr>
          <m:t>(</m:t>
        </m:r>
        <m:sSub>
          <m:e>
            <m:r>
              <m:t>x</m:t>
            </m:r>
          </m:e>
          <m:sub>
            <m:r>
              <m:t>2</m:t>
            </m:r>
          </m:sub>
        </m:sSub>
        <m:r>
          <m:rPr>
            <m:sty m:val="p"/>
          </m:rPr>
          <m:t>/</m:t>
        </m:r>
        <m:sSub>
          <m:e>
            <m:r>
              <m:t>x</m:t>
            </m:r>
          </m:e>
          <m:sub>
            <m:r>
              <m:t>1</m:t>
            </m:r>
          </m:sub>
        </m:sSub>
        <m:sSup>
          <m:e>
            <m:r>
              <m:rPr>
                <m:sty m:val="p"/>
              </m:rPr>
              <m:t>)</m:t>
            </m:r>
          </m:e>
          <m:sup>
            <m:r>
              <m:t>2</m:t>
            </m:r>
          </m:sup>
        </m:sSup>
      </m:oMath>
      <w:r>
        <w:t xml:space="preserve">.</w:t>
      </w:r>
    </w:p>
    <w:p>
      <w:pPr>
        <w:pStyle w:val="BlockText"/>
      </w:pPr>
      <w:r>
        <w:rPr>
          <w:b/>
          <w:bCs/>
        </w:rPr>
        <w:t xml:space="preserve">Interpretação econômica:</w:t>
      </w:r>
      <w:r>
        <w:t xml:space="preserve"> </w:t>
      </w:r>
      <w:r>
        <w:t xml:space="preserve">No contexto brasileiro, uma elasticidade de substituição baixa como</w:t>
      </w:r>
      <w:r>
        <w:t xml:space="preserve"> </w:t>
      </w:r>
      <m:oMath>
        <m:r>
          <m:t>σ</m:t>
        </m:r>
        <m:r>
          <m:rPr>
            <m:sty m:val="p"/>
          </m:rPr>
          <m:t>=</m:t>
        </m:r>
        <m:r>
          <m:t>1</m:t>
        </m:r>
        <m:r>
          <m:rPr>
            <m:sty m:val="p"/>
          </m:rPr>
          <m:t>/</m:t>
        </m:r>
        <m:r>
          <m:t>2</m:t>
        </m:r>
      </m:oMath>
      <w:r>
        <w:t xml:space="preserve"> </w:t>
      </w:r>
      <w:r>
        <w:t xml:space="preserve">pode descrever, por exemplo, a relação entre energia elétrica e gás de cozinha para cocção: o consumidor pode substituir parcialmente um pelo outro (fogão elétrico vs. fogão a gás), mas com dificuldade crescente — refletindo custos de troca de equipamentos e hábitos de consumo enraizados.</w:t>
      </w:r>
    </w:p>
    <w:p>
      <w:pPr>
        <w:pStyle w:val="BlockText"/>
      </w:pPr>
      <w:r>
        <w:rPr>
          <w:b/>
          <w:bCs/>
        </w:rPr>
        <w:t xml:space="preserve">[BOX MUNDO] Box Mundo 3.2 — Elasticidades de substituição no comércio internacional: as elasticidades de Armington</w:t>
      </w:r>
    </w:p>
    <w:p>
      <w:pPr>
        <w:pStyle w:val="BlockText"/>
      </w:pPr>
      <w:r>
        <w:rPr>
          <w:b/>
          <w:bCs/>
        </w:rPr>
        <w:t xml:space="preserve">Contexto:</w:t>
      </w:r>
      <w:r>
        <w:t xml:space="preserve"> </w:t>
      </w:r>
      <w:r>
        <w:t xml:space="preserve">A função CES apresentada na Seção 3.6.4 não é apenas uma ferramenta teórica para modelar preferências individuais — ela é a base de praticamente todos os modelos de comércio internacional utilizados por organizações como a OMC, o FMI e o Banco Mundial. Em 1969, Paul Armington propôs tratar bens importados de diferentes países como substitutos imperfeitos, modelando as preferências dos compradores (consumidores, firmas ou governos) por bens diferenciados por origem com uma função CES. Nesse enquadramento, a elasticidade de substituição</w:t>
      </w:r>
      <w:r>
        <w:t xml:space="preserve"> </w:t>
      </w:r>
      <m:oMath>
        <m:r>
          <m:t>σ</m:t>
        </m:r>
      </m:oMath>
      <w:r>
        <w:t xml:space="preserve"> </w:t>
      </w:r>
      <w:r>
        <w:t xml:space="preserve">mede o grau em que compradores estão dispostos a trocar, por exemplo, aço brasileiro por aço chinês em resposta a variações de preços relativos.</w:t>
      </w:r>
    </w:p>
    <w:p>
      <w:pPr>
        <w:pStyle w:val="BlockText"/>
      </w:pPr>
      <w:r>
        <w:rPr>
          <w:b/>
          <w:bCs/>
        </w:rPr>
        <w:t xml:space="preserve">Dados:</w:t>
      </w:r>
      <w:r>
        <w:t xml:space="preserve"> </w:t>
      </w:r>
      <w:r>
        <w:t xml:space="preserve">A estimação das chamadas</w:t>
      </w:r>
      <w:r>
        <w:t xml:space="preserve"> </w:t>
      </w:r>
      <w:r>
        <w:t xml:space="preserve">“elasticidades de Armington”</w:t>
      </w:r>
      <w:r>
        <w:t xml:space="preserve"> </w:t>
      </w:r>
      <w:r>
        <w:t xml:space="preserve">é uma indústria acadêmica por si só. O trabalho de referência de Broda e Weinstein (2006) estimou elasticidades de substituição para mais de 10.000 categorias de produtos importados pelos Estados Unidos no período 1972–2001 e encontrou uma mediana de</w:t>
      </w:r>
      <w:r>
        <w:t xml:space="preserve"> </w:t>
      </w:r>
      <m:oMath>
        <m:r>
          <m:t>σ</m:t>
        </m:r>
        <m:r>
          <m:rPr>
            <m:sty m:val="p"/>
          </m:rPr>
          <m:t>≈</m:t>
        </m:r>
        <m:r>
          <m:t>3</m:t>
        </m:r>
        <m:r>
          <m:rPr>
            <m:sty m:val="p"/>
          </m:rPr>
          <m:t>,</m:t>
        </m:r>
        <m:r>
          <m:t>1</m:t>
        </m:r>
      </m:oMath>
      <w:r>
        <w:t xml:space="preserve">, com variação enorme entre setores: commodities homogêneas como petróleo bruto apresentam</w:t>
      </w:r>
      <w:r>
        <w:t xml:space="preserve"> </w:t>
      </w:r>
      <m:oMath>
        <m:r>
          <m:t>σ</m:t>
        </m:r>
        <m:r>
          <m:rPr>
            <m:sty m:val="p"/>
          </m:rPr>
          <m:t>&gt;</m:t>
        </m:r>
        <m:r>
          <m:t>20</m:t>
        </m:r>
      </m:oMath>
      <w:r>
        <w:t xml:space="preserve"> </w:t>
      </w:r>
      <w:r>
        <w:t xml:space="preserve">(quase substitutos perfeitos entre origens), enquanto bens diferenciados como automóveis e vinhos apresentam</w:t>
      </w:r>
      <w:r>
        <w:t xml:space="preserve"> </w:t>
      </w:r>
      <m:oMath>
        <m:r>
          <m:t>σ</m:t>
        </m:r>
      </m:oMath>
      <w:r>
        <w:t xml:space="preserve"> </w:t>
      </w:r>
      <w:r>
        <w:t xml:space="preserve">entre 1 e 3 (substituição limitada). O modelo GTAP (</w:t>
      </w:r>
      <w:r>
        <w:rPr>
          <w:i/>
          <w:iCs/>
        </w:rPr>
        <w:t xml:space="preserve">Global Trade Analysis Project</w:t>
      </w:r>
      <w:r>
        <w:t xml:space="preserve">), utilizado pela OMC para avaliar rodadas de negociação, adota elasticidades de Armington calibradas setorialmente:</w:t>
      </w:r>
      <w:r>
        <w:t xml:space="preserve"> </w:t>
      </w:r>
      <m:oMath>
        <m:r>
          <m:t>σ</m:t>
        </m:r>
        <m:r>
          <m:rPr>
            <m:sty m:val="p"/>
          </m:rPr>
          <m:t>=</m:t>
        </m:r>
        <m:r>
          <m:t>5</m:t>
        </m:r>
        <m:r>
          <m:rPr>
            <m:sty m:val="p"/>
          </m:rPr>
          <m:t>,</m:t>
        </m:r>
        <m:r>
          <m:t>2</m:t>
        </m:r>
      </m:oMath>
      <w:r>
        <w:t xml:space="preserve"> </w:t>
      </w:r>
      <w:r>
        <w:t xml:space="preserve">para grãos,</w:t>
      </w:r>
      <w:r>
        <w:t xml:space="preserve"> </w:t>
      </w:r>
      <m:oMath>
        <m:r>
          <m:t>σ</m:t>
        </m:r>
        <m:r>
          <m:rPr>
            <m:sty m:val="p"/>
          </m:rPr>
          <m:t>=</m:t>
        </m:r>
        <m:r>
          <m:t>2</m:t>
        </m:r>
        <m:r>
          <m:rPr>
            <m:sty m:val="p"/>
          </m:rPr>
          <m:t>,</m:t>
        </m:r>
        <m:r>
          <m:t>8</m:t>
        </m:r>
      </m:oMath>
      <w:r>
        <w:t xml:space="preserve"> </w:t>
      </w:r>
      <w:r>
        <w:t xml:space="preserve">para manufaturas e</w:t>
      </w:r>
      <w:r>
        <w:t xml:space="preserve"> </w:t>
      </w:r>
      <m:oMath>
        <m:r>
          <m:t>σ</m:t>
        </m:r>
        <m:r>
          <m:rPr>
            <m:sty m:val="p"/>
          </m:rPr>
          <m:t>=</m:t>
        </m:r>
        <m:r>
          <m:t>1</m:t>
        </m:r>
        <m:r>
          <m:rPr>
            <m:sty m:val="p"/>
          </m:rPr>
          <m:t>,</m:t>
        </m:r>
        <m:r>
          <m:t>9</m:t>
        </m:r>
      </m:oMath>
      <w:r>
        <w:t xml:space="preserve"> </w:t>
      </w:r>
      <w:r>
        <w:t xml:space="preserve">para serviços. Hertel et al. (2007) mostram que os resultados de simulação são altamente sensíveis a esses parâmetros: dobrar a elasticidade de Armington pode triplicar os ganhos estimados de uma liberalização comercial.</w:t>
      </w:r>
    </w:p>
    <w:p>
      <w:pPr>
        <w:pStyle w:val="BlockText"/>
      </w:pPr>
      <w:r>
        <w:rPr>
          <w:b/>
          <w:bCs/>
        </w:rPr>
        <w:t xml:space="preserve">Análise:</w:t>
      </w:r>
      <w:r>
        <w:t xml:space="preserve"> </w:t>
      </w:r>
      <w:r>
        <w:t xml:space="preserve">A aplicação das elasticidades de Armington ao comércio internacional ilustra três pontos centrais da Seção 3.6. Primeiro, a flexibilidade da função CES: ao variar</w:t>
      </w:r>
      <w:r>
        <w:t xml:space="preserve"> </w:t>
      </w:r>
      <m:oMath>
        <m:r>
          <m:t>σ</m:t>
        </m:r>
      </m:oMath>
      <w:r>
        <w:t xml:space="preserve">, o mesmo arcabouço analítico cobre desde bens quase homogêneos (</w:t>
      </w:r>
      <m:oMath>
        <m:r>
          <m:t>σ</m:t>
        </m:r>
        <m:r>
          <m:rPr>
            <m:sty m:val="p"/>
          </m:rPr>
          <m:t>→</m:t>
        </m:r>
        <m:r>
          <m:rPr>
            <m:sty m:val="p"/>
          </m:rPr>
          <m:t>∞</m:t>
        </m:r>
      </m:oMath>
      <w:r>
        <w:t xml:space="preserve">, substitutos perfeitos) até bens altamente diferenciados (</w:t>
      </w:r>
      <m:oMath>
        <m:r>
          <m:t>σ</m:t>
        </m:r>
        <m:r>
          <m:rPr>
            <m:sty m:val="p"/>
          </m:rPr>
          <m:t>→</m:t>
        </m:r>
        <m:r>
          <m:t>0</m:t>
        </m:r>
      </m:oMath>
      <w:r>
        <w:t xml:space="preserve">, complementos perfeitos). Segundo, a importância empírica do parâmetro</w:t>
      </w:r>
      <w:r>
        <w:t xml:space="preserve"> </w:t>
      </w:r>
      <m:oMath>
        <m:r>
          <m:t>σ</m:t>
        </m:r>
      </m:oMath>
      <w:r>
        <w:t xml:space="preserve">: políticas comerciais que parecem benéficas sob elasticidades altas podem ser inócuas ou até prejudiciais sob elasticidades baixas. Terceiro, a conexão entre microeconomia e macroeconomia: preferências CES de consumidores individuais, quando agregadas, determinam fluxos de comércio entre nações e os efeitos de políticas tarifárias sobre o bem-estar global. Para o Brasil, as elasticidades de Armington são particularmente relevantes na avaliação de acordos comerciais como o Mercosul-UE, onde o grau de substituibilidade entre produtos brasileiros e europeus determina os ganhos e perdas setoriais esperados.</w:t>
      </w:r>
    </w:p>
    <w:p>
      <w:pPr>
        <w:pStyle w:val="BlockText"/>
      </w:pPr>
      <w:r>
        <w:rPr>
          <w:b/>
          <w:bCs/>
        </w:rPr>
        <w:t xml:space="preserve">Fonte:</w:t>
      </w:r>
      <w:r>
        <w:t xml:space="preserve"> </w:t>
      </w:r>
      <w:r>
        <w:t xml:space="preserve">Armington, P. S. (1969). A theory of demand for products distinguished by place of production.</w:t>
      </w:r>
      <w:r>
        <w:t xml:space="preserve"> </w:t>
      </w:r>
      <w:r>
        <w:rPr>
          <w:i/>
          <w:iCs/>
        </w:rPr>
        <w:t xml:space="preserve">IMF Staff Papers</w:t>
      </w:r>
      <w:r>
        <w:t xml:space="preserve">, 16(1), 159–178. Broda, C.; Weinstein, D. E. (2006). Globalization and the gains from variety.</w:t>
      </w:r>
      <w:r>
        <w:t xml:space="preserve"> </w:t>
      </w:r>
      <w:r>
        <w:rPr>
          <w:i/>
          <w:iCs/>
        </w:rPr>
        <w:t xml:space="preserve">Quarterly Journal of Economics</w:t>
      </w:r>
      <w:r>
        <w:t xml:space="preserve">, 121(2), 541–585. Hertel, T.; Hummels, D.; Ivanic, M.; Keeney, R. (2007). How confident can we be of CGE-based assessments of free trade agreements?</w:t>
      </w:r>
      <w:r>
        <w:t xml:space="preserve"> </w:t>
      </w:r>
      <w:r>
        <w:rPr>
          <w:i/>
          <w:iCs/>
        </w:rPr>
        <w:t xml:space="preserve">Economic Modelling</w:t>
      </w:r>
      <w:r>
        <w:t xml:space="preserve">, 24(4), 611–635.</w:t>
      </w:r>
    </w:p>
    <w:p>
      <w:pPr>
        <w:pStyle w:val="FirstParagraph"/>
      </w:pPr>
      <w:r>
        <w:t xml:space="preserve">Em resumo: a Cobb-Douglas é a melhor amiga do microeconomista — fácil de usar, gera soluções fechadas, e nunca reclama. A CES é mais versátil mas exige mais trabalho. A Leontief é inflexível — literalmente: só aceita proporções fixas. E a quase-linear é a favorita da análise de bem-estar, porque isola efeito renda em um único bem. Escolher a forma funcional certa para cada problema é metade da arte.</w:t>
      </w:r>
    </w:p>
    <w:p>
      <w:r>
        <w:pict>
          <v:rect style="width:0;height:1.5pt" o:hralign="center" o:hrstd="t" o:hr="t"/>
        </w:pict>
      </w:r>
    </w:p>
    <w:bookmarkEnd w:id="164"/>
    <w:bookmarkEnd w:id="165"/>
    <w:bookmarkStart w:id="166" w:name="X8d3596164ff45f36248f443dce62274fb317890"/>
    <w:p>
      <w:pPr>
        <w:pStyle w:val="Heading3"/>
      </w:pPr>
      <w:r>
        <w:t xml:space="preserve">3.7 Troque o Rótulo, Não o Ranking: Transformações Monotônicas</w:t>
      </w:r>
    </w:p>
    <w:p>
      <w:pPr>
        <w:pStyle w:val="FirstParagraph"/>
      </w:pPr>
      <w:r>
        <w:rPr>
          <w:i/>
          <w:iCs/>
        </w:rPr>
        <w:t xml:space="preserve">And now for something completely different</w:t>
      </w:r>
      <w:r>
        <w:t xml:space="preserve"> </w:t>
      </w:r>
      <w:r>
        <w:t xml:space="preserve">— ou melhor,</w:t>
      </w:r>
      <w:r>
        <w:t xml:space="preserve"> </w:t>
      </w:r>
      <w:r>
        <w:rPr>
          <w:i/>
          <w:iCs/>
        </w:rPr>
        <w:t xml:space="preserve">exactly the same thing, but with different numbers</w:t>
      </w:r>
      <w:r>
        <w:t xml:space="preserve">. Aqui vai uma informação libertadora: a função de utilidade que você escolhe</w:t>
      </w:r>
      <w:r>
        <w:t xml:space="preserve"> </w:t>
      </w:r>
      <w:r>
        <w:rPr>
          <w:i/>
          <w:iCs/>
        </w:rPr>
        <w:t xml:space="preserve">não importa</w:t>
      </w:r>
      <w:r>
        <w:t xml:space="preserve"> </w:t>
      </w:r>
      <w:r>
        <w:t xml:space="preserve">— desde que preserve o ranking. Se</w:t>
      </w:r>
      <w:r>
        <w:t xml:space="preserve"> </w:t>
      </w:r>
      <m:oMath>
        <m:r>
          <m:t>u</m:t>
        </m:r>
      </m:oMath>
      <w:r>
        <w:t xml:space="preserve"> </w:t>
      </w:r>
      <w:r>
        <w:t xml:space="preserve">diz que pizza é melhor que salada, e você aplica logaritmo,</w:t>
      </w:r>
      <w:r>
        <w:t xml:space="preserve"> </w:t>
      </w:r>
      <m:oMath>
        <m:r>
          <m:rPr>
            <m:sty m:val="p"/>
          </m:rPr>
          <m:t>ln</m:t>
        </m:r>
        <m:r>
          <m:t>u</m:t>
        </m:r>
      </m:oMath>
      <w:r>
        <w:t xml:space="preserve"> </w:t>
      </w:r>
      <w:r>
        <w:rPr>
          <w:i/>
          <w:iCs/>
        </w:rPr>
        <w:t xml:space="preserve">continua</w:t>
      </w:r>
      <w:r>
        <w:t xml:space="preserve"> </w:t>
      </w:r>
      <w:r>
        <w:t xml:space="preserve">dizendo que pizza é melhor que salada. Pode elevar ao cubo, multiplicar por mil, somar uma constante — nada muda na economia. É como medir temperatura em Celsius ou Fahrenheit: os números são diferentes, mas a água ferve no mesmo ponto.</w:t>
      </w:r>
    </w:p>
    <w:p>
      <w:pPr>
        <w:pStyle w:val="BodyText"/>
      </w:pPr>
      <w:r>
        <w:t xml:space="preserve">Essa liberdade é um presente prático enorme: quando uma Cobb-Douglas</w:t>
      </w:r>
      <w:r>
        <w:t xml:space="preserve"> </w:t>
      </w:r>
      <m:oMath>
        <m:r>
          <m:t>u</m:t>
        </m:r>
        <m:r>
          <m:rPr>
            <m:sty m:val="p"/>
          </m:rPr>
          <m:t>=</m:t>
        </m:r>
        <m:sSubSup>
          <m:e>
            <m:r>
              <m:t>x</m:t>
            </m:r>
          </m:e>
          <m:sub>
            <m:r>
              <m:t>1</m:t>
            </m:r>
          </m:sub>
          <m:sup>
            <m:r>
              <m:t>0</m:t>
            </m:r>
            <m:r>
              <m:rPr>
                <m:sty m:val="p"/>
              </m:rPr>
              <m:t>,</m:t>
            </m:r>
            <m:r>
              <m:t>3</m:t>
            </m:r>
          </m:sup>
        </m:sSubSup>
        <m:sSubSup>
          <m:e>
            <m:r>
              <m:t>x</m:t>
            </m:r>
          </m:e>
          <m:sub>
            <m:r>
              <m:t>2</m:t>
            </m:r>
          </m:sub>
          <m:sup>
            <m:r>
              <m:t>0</m:t>
            </m:r>
            <m:r>
              <m:rPr>
                <m:sty m:val="p"/>
              </m:rPr>
              <m:t>,</m:t>
            </m:r>
            <m:r>
              <m:t>7</m:t>
            </m:r>
          </m:sup>
        </m:sSubSup>
      </m:oMath>
      <w:r>
        <w:t xml:space="preserve"> </w:t>
      </w:r>
      <w:r>
        <w:t xml:space="preserve">está dando dor de cabeça, basta tomar o log e trabalhar com</w:t>
      </w:r>
      <w:r>
        <w:t xml:space="preserve"> </w:t>
      </w:r>
      <m:oMath>
        <m:r>
          <m:rPr>
            <m:sty m:val="p"/>
          </m:rPr>
          <m:t>ln</m:t>
        </m:r>
        <m:r>
          <m:t>u</m:t>
        </m:r>
        <m:r>
          <m:rPr>
            <m:sty m:val="p"/>
          </m:rPr>
          <m:t>=</m:t>
        </m:r>
        <m:r>
          <m:t>0</m:t>
        </m:r>
        <m:r>
          <m:rPr>
            <m:sty m:val="p"/>
          </m:rPr>
          <m:t>,</m:t>
        </m:r>
        <m:r>
          <m:t>3</m:t>
        </m:r>
        <m:r>
          <m:rPr>
            <m:sty m:val="p"/>
          </m:rPr>
          <m:t>ln</m:t>
        </m:r>
        <m:sSub>
          <m:e>
            <m:r>
              <m:t>x</m:t>
            </m:r>
          </m:e>
          <m:sub>
            <m:r>
              <m:t>1</m:t>
            </m:r>
          </m:sub>
        </m:sSub>
        <m:r>
          <m:rPr>
            <m:sty m:val="p"/>
          </m:rPr>
          <m:t>+</m:t>
        </m:r>
        <m:r>
          <m:t>0</m:t>
        </m:r>
        <m:r>
          <m:rPr>
            <m:sty m:val="p"/>
          </m:rPr>
          <m:t>,</m:t>
        </m:r>
        <m:r>
          <m:t>7</m:t>
        </m:r>
        <m:r>
          <m:rPr>
            <m:sty m:val="p"/>
          </m:rPr>
          <m:t>ln</m:t>
        </m:r>
        <m:sSub>
          <m:e>
            <m:r>
              <m:t>x</m:t>
            </m:r>
          </m:e>
          <m:sub>
            <m:r>
              <m:t>2</m:t>
            </m:r>
          </m:sub>
        </m:sSub>
      </m:oMath>
      <w:r>
        <w:t xml:space="preserve"> </w:t>
      </w:r>
      <w:r>
        <w:t xml:space="preserve">— que é linear e muito mais tratável. As preferências são as mesmas; só a embalagem mudou.</w:t>
      </w:r>
    </w:p>
    <w:p>
      <w:pPr>
        <w:pStyle w:val="BlockText"/>
      </w:pPr>
      <w:r>
        <w:rPr>
          <w:b/>
          <w:bCs/>
        </w:rPr>
        <w:t xml:space="preserve">[TEOREMA] Proposição 3.3 — Invariância sob transformação monotônica</w:t>
      </w:r>
    </w:p>
    <w:p>
      <w:pPr>
        <w:pStyle w:val="BlockText"/>
      </w:pPr>
      <w:r>
        <w:t xml:space="preserve">Se</w:t>
      </w:r>
      <w:r>
        <w:t xml:space="preserve"> </w:t>
      </w:r>
      <m:oMath>
        <m:r>
          <m:t>u</m:t>
        </m:r>
        <m:r>
          <m:rPr>
            <m:sty m:val="p"/>
          </m:rPr>
          <m:t>(</m:t>
        </m:r>
        <m:r>
          <m:rPr>
            <m:sty m:val="bi"/>
          </m:rPr>
          <m:t>x</m:t>
        </m:r>
        <m:r>
          <m:rPr>
            <m:sty m:val="p"/>
          </m:rPr>
          <m:t>)</m:t>
        </m:r>
      </m:oMath>
      <w:r>
        <w:t xml:space="preserve"> </w:t>
      </w:r>
      <w:r>
        <w:t xml:space="preserve">representa</w:t>
      </w:r>
      <w:r>
        <w:t xml:space="preserve"> </w:t>
      </w:r>
      <m:oMath>
        <m:r>
          <m:rPr>
            <m:sty m:val="p"/>
          </m:rPr>
          <m:t>≿</m:t>
        </m:r>
      </m:oMath>
      <w:r>
        <w:t xml:space="preserve"> </w:t>
      </w:r>
      <w:r>
        <w:t xml:space="preserve">e</w:t>
      </w:r>
      <w:r>
        <w:t xml:space="preserve"> </w:t>
      </w:r>
      <m:oMath>
        <m:r>
          <m:t>f</m:t>
        </m:r>
        <m:r>
          <m:rPr>
            <m:sty m:val="p"/>
          </m:rPr>
          <m:t>:</m:t>
        </m:r>
        <m:r>
          <m:rPr>
            <m:scr m:val="double-struck"/>
            <m:sty m:val="p"/>
          </m:rPr>
          <m:t>R</m:t>
        </m:r>
        <m:r>
          <m:rPr>
            <m:sty m:val="p"/>
          </m:rPr>
          <m:t>→</m:t>
        </m:r>
        <m:r>
          <m:rPr>
            <m:scr m:val="double-struck"/>
            <m:sty m:val="p"/>
          </m:rPr>
          <m:t>R</m:t>
        </m:r>
      </m:oMath>
      <w:r>
        <w:t xml:space="preserve"> </w:t>
      </w:r>
      <w:r>
        <w:t xml:space="preserve">é estritamente crescente, então</w:t>
      </w:r>
      <w:r>
        <w:t xml:space="preserve"> </w:t>
      </w:r>
      <m:oMath>
        <m:acc>
          <m:accPr>
            <m:chr m:val="̂"/>
          </m:accPr>
          <m:e>
            <m:r>
              <m:t>u</m:t>
            </m:r>
          </m:e>
        </m:acc>
        <m:r>
          <m:rPr>
            <m:sty m:val="p"/>
          </m:rPr>
          <m:t>(</m:t>
        </m:r>
        <m:r>
          <m:rPr>
            <m:sty m:val="bi"/>
          </m:rPr>
          <m:t>x</m:t>
        </m:r>
        <m:r>
          <m:rPr>
            <m:sty m:val="p"/>
          </m:rPr>
          <m:t>)</m:t>
        </m:r>
        <m:r>
          <m:rPr>
            <m:sty m:val="p"/>
          </m:rPr>
          <m:t>=</m:t>
        </m:r>
        <m:r>
          <m:t>f</m:t>
        </m:r>
        <m:r>
          <m:rPr>
            <m:sty m:val="p"/>
          </m:rPr>
          <m:t>(</m:t>
        </m:r>
        <m:r>
          <m:t>u</m:t>
        </m:r>
        <m:r>
          <m:rPr>
            <m:sty m:val="p"/>
          </m:rPr>
          <m:t>(</m:t>
        </m:r>
        <m:r>
          <m:rPr>
            <m:sty m:val="bi"/>
          </m:rPr>
          <m:t>x</m:t>
        </m:r>
        <m:r>
          <m:rPr>
            <m:sty m:val="p"/>
          </m:rPr>
          <m:t>)</m:t>
        </m:r>
        <m:r>
          <m:rPr>
            <m:sty m:val="p"/>
          </m:rPr>
          <m:t>)</m:t>
        </m:r>
      </m:oMath>
      <w:r>
        <w:t xml:space="preserve"> </w:t>
      </w:r>
      <w:r>
        <w:t xml:space="preserve">também representa</w:t>
      </w:r>
      <w:r>
        <w:t xml:space="preserve"> </w:t>
      </w:r>
      <m:oMath>
        <m:r>
          <m:rPr>
            <m:sty m:val="p"/>
          </m:rPr>
          <m:t>≿</m:t>
        </m:r>
      </m:oMath>
      <w:r>
        <w:t xml:space="preserve">.</w:t>
      </w:r>
    </w:p>
    <w:p>
      <w:pPr>
        <w:pStyle w:val="FirstParagraph"/>
      </w:pPr>
      <w:r>
        <w:t xml:space="preserve">A demonstração é direta e vale a pena percorrer, pois ilustra a simplicidade do argumento ordinal: como</w:t>
      </w:r>
      <w:r>
        <w:t xml:space="preserve"> </w:t>
      </w:r>
      <m:oMath>
        <m:r>
          <m:t>f</m:t>
        </m:r>
      </m:oMath>
      <w:r>
        <w:t xml:space="preserve"> </w:t>
      </w:r>
      <w:r>
        <w:t xml:space="preserve">é estritamente crescente, a desigualdade</w:t>
      </w:r>
      <w:r>
        <w:t xml:space="preserve"> </w:t>
      </w:r>
      <m:oMath>
        <m:r>
          <m:t>u</m:t>
        </m:r>
        <m:r>
          <m:rPr>
            <m:sty m:val="p"/>
          </m:rPr>
          <m:t>(</m:t>
        </m:r>
        <m:r>
          <m:rPr>
            <m:sty m:val="bi"/>
          </m:rPr>
          <m:t>x</m:t>
        </m:r>
        <m:r>
          <m:rPr>
            <m:sty m:val="p"/>
          </m:rPr>
          <m:t>)</m:t>
        </m:r>
        <m:r>
          <m:rPr>
            <m:sty m:val="p"/>
          </m:rPr>
          <m:t>≥</m:t>
        </m:r>
        <m:r>
          <m:t>u</m:t>
        </m:r>
        <m:r>
          <m:rPr>
            <m:sty m:val="p"/>
          </m:rPr>
          <m:t>(</m:t>
        </m:r>
        <m:r>
          <m:rPr>
            <m:sty m:val="bi"/>
          </m:rPr>
          <m:t>y</m:t>
        </m:r>
        <m:r>
          <m:rPr>
            <m:sty m:val="p"/>
          </m:rPr>
          <m:t>)</m:t>
        </m:r>
      </m:oMath>
      <w:r>
        <w:t xml:space="preserve"> </w:t>
      </w:r>
      <w:r>
        <w:t xml:space="preserve">é preservada pela aplicação de</w:t>
      </w:r>
      <w:r>
        <w:t xml:space="preserve"> </w:t>
      </w:r>
      <m:oMath>
        <m:r>
          <m:t>f</m:t>
        </m:r>
      </m:oMath>
      <w:r>
        <w:t xml:space="preserve">, de modo que</w:t>
      </w:r>
      <w:r>
        <w:t xml:space="preserve"> </w:t>
      </w:r>
      <m:oMath>
        <m:r>
          <m:t>f</m:t>
        </m:r>
        <m:r>
          <m:rPr>
            <m:sty m:val="p"/>
          </m:rPr>
          <m:t>(</m:t>
        </m:r>
        <m:r>
          <m:t>u</m:t>
        </m:r>
        <m:r>
          <m:rPr>
            <m:sty m:val="p"/>
          </m:rPr>
          <m:t>(</m:t>
        </m:r>
        <m:r>
          <m:rPr>
            <m:sty m:val="bi"/>
          </m:rPr>
          <m:t>x</m:t>
        </m:r>
        <m:r>
          <m:rPr>
            <m:sty m:val="p"/>
          </m:rPr>
          <m:t>)</m:t>
        </m:r>
        <m:r>
          <m:rPr>
            <m:sty m:val="p"/>
          </m:rPr>
          <m:t>)</m:t>
        </m:r>
        <m:r>
          <m:rPr>
            <m:sty m:val="p"/>
          </m:rPr>
          <m:t>≥</m:t>
        </m:r>
        <m:r>
          <m:t>f</m:t>
        </m:r>
        <m:r>
          <m:rPr>
            <m:sty m:val="p"/>
          </m:rPr>
          <m:t>(</m:t>
        </m:r>
        <m:r>
          <m:t>u</m:t>
        </m:r>
        <m:r>
          <m:rPr>
            <m:sty m:val="p"/>
          </m:rPr>
          <m:t>(</m:t>
        </m:r>
        <m:r>
          <m:rPr>
            <m:sty m:val="bi"/>
          </m:rPr>
          <m:t>y</m:t>
        </m:r>
        <m:r>
          <m:rPr>
            <m:sty m:val="p"/>
          </m:rPr>
          <m:t>)</m:t>
        </m:r>
        <m:r>
          <m:rPr>
            <m:sty m:val="p"/>
          </m:rPr>
          <m:t>)</m:t>
        </m:r>
      </m:oMath>
      <w:r>
        <w:t xml:space="preserve">. Reciprocamente, se</w:t>
      </w:r>
      <w:r>
        <w:t xml:space="preserve"> </w:t>
      </w:r>
      <m:oMath>
        <m:r>
          <m:t>f</m:t>
        </m:r>
        <m:r>
          <m:rPr>
            <m:sty m:val="p"/>
          </m:rPr>
          <m:t>(</m:t>
        </m:r>
        <m:r>
          <m:t>u</m:t>
        </m:r>
        <m:r>
          <m:rPr>
            <m:sty m:val="p"/>
          </m:rPr>
          <m:t>(</m:t>
        </m:r>
        <m:r>
          <m:rPr>
            <m:sty m:val="bi"/>
          </m:rPr>
          <m:t>x</m:t>
        </m:r>
        <m:r>
          <m:rPr>
            <m:sty m:val="p"/>
          </m:rPr>
          <m:t>)</m:t>
        </m:r>
        <m:r>
          <m:rPr>
            <m:sty m:val="p"/>
          </m:rPr>
          <m:t>)</m:t>
        </m:r>
        <m:r>
          <m:rPr>
            <m:sty m:val="p"/>
          </m:rPr>
          <m:t>≥</m:t>
        </m:r>
        <m:r>
          <m:t>f</m:t>
        </m:r>
        <m:r>
          <m:rPr>
            <m:sty m:val="p"/>
          </m:rPr>
          <m:t>(</m:t>
        </m:r>
        <m:r>
          <m:t>u</m:t>
        </m:r>
        <m:r>
          <m:rPr>
            <m:sty m:val="p"/>
          </m:rPr>
          <m:t>(</m:t>
        </m:r>
        <m:r>
          <m:rPr>
            <m:sty m:val="bi"/>
          </m:rPr>
          <m:t>y</m:t>
        </m:r>
        <m:r>
          <m:rPr>
            <m:sty m:val="p"/>
          </m:rPr>
          <m:t>)</m:t>
        </m:r>
        <m:r>
          <m:rPr>
            <m:sty m:val="p"/>
          </m:rPr>
          <m:t>)</m:t>
        </m:r>
      </m:oMath>
      <w:r>
        <w:t xml:space="preserve">, a monotonicidade estrita de</w:t>
      </w:r>
      <w:r>
        <w:t xml:space="preserve"> </w:t>
      </w:r>
      <m:oMath>
        <m:r>
          <m:t>f</m:t>
        </m:r>
      </m:oMath>
      <w:r>
        <w:t xml:space="preserve"> </w:t>
      </w:r>
      <w:r>
        <w:t xml:space="preserve">garante que</w:t>
      </w:r>
      <w:r>
        <w:t xml:space="preserve"> </w:t>
      </w:r>
      <m:oMath>
        <m:r>
          <m:t>u</m:t>
        </m:r>
        <m:r>
          <m:rPr>
            <m:sty m:val="p"/>
          </m:rPr>
          <m:t>(</m:t>
        </m:r>
        <m:r>
          <m:rPr>
            <m:sty m:val="bi"/>
          </m:rPr>
          <m:t>x</m:t>
        </m:r>
        <m:r>
          <m:rPr>
            <m:sty m:val="p"/>
          </m:rPr>
          <m:t>)</m:t>
        </m:r>
        <m:r>
          <m:rPr>
            <m:sty m:val="p"/>
          </m:rPr>
          <m:t>≥</m:t>
        </m:r>
        <m:r>
          <m:t>u</m:t>
        </m:r>
        <m:r>
          <m:rPr>
            <m:sty m:val="p"/>
          </m:rPr>
          <m:t>(</m:t>
        </m:r>
        <m:r>
          <m:rPr>
            <m:sty m:val="bi"/>
          </m:rPr>
          <m:t>y</m:t>
        </m:r>
        <m:r>
          <m:rPr>
            <m:sty m:val="p"/>
          </m:rPr>
          <m:t>)</m:t>
        </m:r>
      </m:oMath>
      <w:r>
        <w:t xml:space="preserve">. Portanto,</w:t>
      </w:r>
      <w:r>
        <w:t xml:space="preserve"> </w:t>
      </w:r>
      <m:oMath>
        <m:acc>
          <m:accPr>
            <m:chr m:val="̂"/>
          </m:accPr>
          <m:e>
            <m:r>
              <m:t>u</m:t>
            </m:r>
          </m:e>
        </m:acc>
      </m:oMath>
      <w:r>
        <w:t xml:space="preserve"> </w:t>
      </w:r>
      <w:r>
        <w:t xml:space="preserve">preserva exatamente o mesmo ordenamento que</w:t>
      </w:r>
      <w:r>
        <w:t xml:space="preserve"> </w:t>
      </w:r>
      <m:oMath>
        <m:r>
          <m:t>u</m:t>
        </m:r>
      </m:oMath>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Você pode trocar a</w:t>
      </w:r>
      <w:r>
        <w:t xml:space="preserve"> </w:t>
      </w:r>
      <w:r>
        <w:t xml:space="preserve">“régua”</w:t>
      </w:r>
      <w:r>
        <w:t xml:space="preserve"> </w:t>
      </w:r>
      <w:r>
        <w:t xml:space="preserve">que mede a utilidade sem alterar as preferências — qualquer escala que preserve a ordem serve.</w:t>
      </w:r>
    </w:p>
    <w:p>
      <w:pPr>
        <w:pStyle w:val="BlockText"/>
      </w:pPr>
      <w:r>
        <w:rPr>
          <w:b/>
          <w:bCs/>
        </w:rPr>
        <w:t xml:space="preserve">Pense assim:</w:t>
      </w:r>
      <w:r>
        <w:t xml:space="preserve"> </w:t>
      </w:r>
      <w:r>
        <w:t xml:space="preserve">É como converter temperatura de Celsius para Fahrenheit: os números mudam, mas a água continua fervendo antes do metal derreter. Da mesma forma, se você aplica logaritmo na utilidade Cobb-Douglas para facilitar as contas, o consumidor continua preferindo as mesmas cestas de antes.</w:t>
      </w:r>
    </w:p>
    <w:p>
      <w:pPr>
        <w:pStyle w:val="BlockText"/>
      </w:pPr>
      <w:r>
        <w:rPr>
          <w:b/>
          <w:bCs/>
        </w:rPr>
        <w:t xml:space="preserve">Por que isso importa:</w:t>
      </w:r>
      <w:r>
        <w:t xml:space="preserve"> </w:t>
      </w:r>
      <w:r>
        <w:t xml:space="preserve">Isso dá ao economista liberdade para escolher a forma funcional que facilite os cálculos — por exemplo, trabalhar com</w:t>
      </w:r>
      <w:r>
        <w:t xml:space="preserve"> </w:t>
      </w:r>
      <m:oMath>
        <m:r>
          <m:rPr>
            <m:sty m:val="p"/>
          </m:rPr>
          <m:t>ln</m:t>
        </m:r>
        <m:r>
          <m:t>u</m:t>
        </m:r>
      </m:oMath>
      <w:r>
        <w:t xml:space="preserve"> </w:t>
      </w:r>
      <w:r>
        <w:t xml:space="preserve">em vez de</w:t>
      </w:r>
      <w:r>
        <w:t xml:space="preserve"> </w:t>
      </w:r>
      <m:oMath>
        <m:r>
          <m:t>u</m:t>
        </m:r>
      </m:oMath>
      <w:r>
        <w:t xml:space="preserve"> </w:t>
      </w:r>
      <w:r>
        <w:t xml:space="preserve">— sem perder informação econômica.</w:t>
      </w:r>
    </w:p>
    <w:p>
      <w:pPr>
        <w:pStyle w:val="FirstParagraph"/>
      </w:pPr>
      <w:r>
        <w:rPr>
          <w:b/>
          <w:bCs/>
        </w:rPr>
        <w:t xml:space="preserve">Exemplos de transformações monotônicas úteis.</w:t>
      </w:r>
      <w:r>
        <w:t xml:space="preserve"> </w:t>
      </w:r>
      <w:r>
        <w:t xml:space="preserve">Duas aplicações da invariância ordinal são especialmente frequentes na prática:</w:t>
      </w:r>
    </w:p>
    <w:p>
      <w:pPr>
        <w:pStyle w:val="Compact"/>
        <w:numPr>
          <w:ilvl w:val="0"/>
          <w:numId w:val="1080"/>
        </w:numPr>
      </w:pPr>
      <w:r>
        <w:t xml:space="preserve">A Cobb-Douglas</w:t>
      </w:r>
      <w:r>
        <w:t xml:space="preserve"> </w:t>
      </w:r>
      <m:oMath>
        <m:r>
          <m:t>u</m:t>
        </m:r>
        <m:r>
          <m:rPr>
            <m:sty m:val="p"/>
          </m:rPr>
          <m:t>=</m:t>
        </m:r>
        <m:sSubSup>
          <m:e>
            <m:r>
              <m:t>x</m:t>
            </m:r>
          </m:e>
          <m:sub>
            <m:r>
              <m:t>1</m:t>
            </m:r>
          </m:sub>
          <m:sup>
            <m:r>
              <m:t>a</m:t>
            </m:r>
          </m:sup>
        </m:sSubSup>
        <m:sSubSup>
          <m:e>
            <m:r>
              <m:t>x</m:t>
            </m:r>
          </m:e>
          <m:sub>
            <m:r>
              <m:t>2</m:t>
            </m:r>
          </m:sub>
          <m:sup>
            <m:r>
              <m:t>b</m:t>
            </m:r>
          </m:sup>
        </m:sSubSup>
      </m:oMath>
      <w:r>
        <w:t xml:space="preserve"> </w:t>
      </w:r>
      <w:r>
        <w:t xml:space="preserve">pode ser transformada em</w:t>
      </w:r>
      <w:r>
        <w:t xml:space="preserve"> </w:t>
      </w:r>
      <m:oMath>
        <m:acc>
          <m:accPr>
            <m:chr m:val="̂"/>
          </m:accPr>
          <m:e>
            <m:r>
              <m:t>u</m:t>
            </m:r>
          </m:e>
        </m:acc>
        <m:r>
          <m:rPr>
            <m:sty m:val="p"/>
          </m:rPr>
          <m:t>=</m:t>
        </m:r>
        <m:r>
          <m:t>a</m:t>
        </m:r>
        <m:r>
          <m:rPr>
            <m:sty m:val="p"/>
          </m:rPr>
          <m:t>ln</m:t>
        </m:r>
        <m:sSub>
          <m:e>
            <m:r>
              <m:t>x</m:t>
            </m:r>
          </m:e>
          <m:sub>
            <m:r>
              <m:t>1</m:t>
            </m:r>
          </m:sub>
        </m:sSub>
        <m:r>
          <m:rPr>
            <m:sty m:val="p"/>
          </m:rPr>
          <m:t>+</m:t>
        </m:r>
        <m:r>
          <m:t>b</m:t>
        </m:r>
        <m:r>
          <m:rPr>
            <m:sty m:val="p"/>
          </m:rPr>
          <m:t>ln</m:t>
        </m:r>
        <m:sSub>
          <m:e>
            <m:r>
              <m:t>x</m:t>
            </m:r>
          </m:e>
          <m:sub>
            <m:r>
              <m:t>2</m:t>
            </m:r>
          </m:sub>
        </m:sSub>
      </m:oMath>
      <w:r>
        <w:t xml:space="preserve"> </w:t>
      </w:r>
      <w:r>
        <w:t xml:space="preserve">via</w:t>
      </w:r>
      <w:r>
        <w:t xml:space="preserve"> </w:t>
      </w:r>
      <m:oMath>
        <m:r>
          <m:t>f</m:t>
        </m:r>
        <m:r>
          <m:rPr>
            <m:sty m:val="p"/>
          </m:rPr>
          <m:t>(</m:t>
        </m:r>
        <m:r>
          <m:t>u</m:t>
        </m:r>
        <m:r>
          <m:rPr>
            <m:sty m:val="p"/>
          </m:rPr>
          <m:t>)</m:t>
        </m:r>
        <m:r>
          <m:rPr>
            <m:sty m:val="p"/>
          </m:rPr>
          <m:t>=</m:t>
        </m:r>
        <m:r>
          <m:rPr>
            <m:sty m:val="p"/>
          </m:rPr>
          <m:t>ln</m:t>
        </m:r>
        <m:r>
          <m:rPr>
            <m:sty m:val="p"/>
          </m:rPr>
          <m:t>(</m:t>
        </m:r>
        <m:r>
          <m:t>u</m:t>
        </m:r>
        <m:r>
          <m:rPr>
            <m:sty m:val="p"/>
          </m:rPr>
          <m:t>)</m:t>
        </m:r>
      </m:oMath>
      <w:r>
        <w:t xml:space="preserve">. O logaritmo transforma o produto em soma, eliminando os expoentes e simplificando consideravelmente as derivadas parciais e a resolução das condições de primeira ordem.</w:t>
      </w:r>
    </w:p>
    <w:p>
      <w:pPr>
        <w:pStyle w:val="Compact"/>
        <w:numPr>
          <w:ilvl w:val="0"/>
          <w:numId w:val="1080"/>
        </w:numPr>
      </w:pPr>
      <w:r>
        <w:t xml:space="preserve">Qualquer Cobb-Douglas pode ser normalizada de modo que</w:t>
      </w:r>
      <w:r>
        <w:t xml:space="preserve"> </w:t>
      </w:r>
      <m:oMath>
        <m:acc>
          <m:accPr>
            <m:chr m:val="̂"/>
          </m:accPr>
          <m:e>
            <m:r>
              <m:t>u</m:t>
            </m:r>
          </m:e>
        </m:acc>
        <m:r>
          <m:rPr>
            <m:sty m:val="p"/>
          </m:rPr>
          <m:t>=</m:t>
        </m:r>
        <m:f>
          <m:fPr>
            <m:type m:val="bar"/>
          </m:fPr>
          <m:num>
            <m:r>
              <m:t>a</m:t>
            </m:r>
          </m:num>
          <m:den>
            <m:r>
              <m:t>a</m:t>
            </m:r>
            <m:r>
              <m:rPr>
                <m:sty m:val="p"/>
              </m:rPr>
              <m:t>+</m:t>
            </m:r>
            <m:r>
              <m:t>b</m:t>
            </m:r>
          </m:den>
        </m:f>
        <m:r>
          <m:rPr>
            <m:sty m:val="p"/>
          </m:rPr>
          <m:t>ln</m:t>
        </m:r>
        <m:sSub>
          <m:e>
            <m:r>
              <m:t>x</m:t>
            </m:r>
          </m:e>
          <m:sub>
            <m:r>
              <m:t>1</m:t>
            </m:r>
          </m:sub>
        </m:sSub>
        <m:r>
          <m:rPr>
            <m:sty m:val="p"/>
          </m:rPr>
          <m:t>+</m:t>
        </m:r>
        <m:f>
          <m:fPr>
            <m:type m:val="bar"/>
          </m:fPr>
          <m:num>
            <m:r>
              <m:t>b</m:t>
            </m:r>
          </m:num>
          <m:den>
            <m:r>
              <m:t>a</m:t>
            </m:r>
            <m:r>
              <m:rPr>
                <m:sty m:val="p"/>
              </m:rPr>
              <m:t>+</m:t>
            </m:r>
            <m:r>
              <m:t>b</m:t>
            </m:r>
          </m:den>
        </m:f>
        <m:r>
          <m:rPr>
            <m:sty m:val="p"/>
          </m:rPr>
          <m:t>ln</m:t>
        </m:r>
        <m:sSub>
          <m:e>
            <m:r>
              <m:t>x</m:t>
            </m:r>
          </m:e>
          <m:sub>
            <m:r>
              <m:t>2</m:t>
            </m:r>
          </m:sub>
        </m:sSub>
      </m:oMath>
      <w:r>
        <w:t xml:space="preserve">, com coeficientes somando 1. Essa normalização é conveniente porque os coeficientes passam a coincidir com as participações na despesa — tornando a interpretação econômica imediata.</w:t>
      </w:r>
    </w:p>
    <w:p>
      <w:pPr>
        <w:pStyle w:val="FirstParagraph"/>
      </w:pPr>
      <w:r>
        <w:t xml:space="preserve">[FIGURA INTERATIVA: /micro-book/graficos/cap03/transformacao-monotonica.html — versao interativa disponivel online]</w:t>
      </w:r>
    </w:p>
    <w:p>
      <w:pPr>
        <w:pStyle w:val="BodyText"/>
      </w:pPr>
      <w:r>
        <w:rPr>
          <w:b/>
          <w:bCs/>
        </w:rPr>
        <w:t xml:space="preserve">Figura 3.7 — Transformação Monotônica e Invariância Ordinal.</w:t>
      </w:r>
      <w:r>
        <w:t xml:space="preserve"> </w:t>
      </w:r>
      <w:r>
        <w:t xml:space="preserve">Esquerda: curvas de indiferença de</w:t>
      </w:r>
      <w:r>
        <w:t xml:space="preserve"> </w:t>
      </w:r>
      <m:oMath>
        <m:r>
          <m:t>U</m:t>
        </m:r>
        <m:r>
          <m:rPr>
            <m:sty m:val="p"/>
          </m:rPr>
          <m:t>=</m:t>
        </m:r>
        <m:sSub>
          <m:e>
            <m:r>
              <m:t>x</m:t>
            </m:r>
          </m:e>
          <m:sub>
            <m:r>
              <m:t>1</m:t>
            </m:r>
          </m:sub>
        </m:sSub>
        <m:sSub>
          <m:e>
            <m:r>
              <m:t>x</m:t>
            </m:r>
          </m:e>
          <m:sub>
            <m:r>
              <m:t>2</m:t>
            </m:r>
          </m:sub>
        </m:sSub>
      </m:oMath>
      <w:r>
        <w:t xml:space="preserve">. Direita: curvas da transformada</w:t>
      </w:r>
      <w:r>
        <w:t xml:space="preserve"> </w:t>
      </w:r>
      <m:oMath>
        <m:acc>
          <m:accPr>
            <m:chr m:val="̂"/>
          </m:accPr>
          <m:e>
            <m:r>
              <m:t>U</m:t>
            </m:r>
          </m:e>
        </m:acc>
        <m:r>
          <m:rPr>
            <m:sty m:val="p"/>
          </m:rPr>
          <m:t>=</m:t>
        </m:r>
        <m:r>
          <m:t>f</m:t>
        </m:r>
        <m:r>
          <m:rPr>
            <m:sty m:val="p"/>
          </m:rPr>
          <m:t>(</m:t>
        </m:r>
        <m:r>
          <m:t>U</m:t>
        </m:r>
        <m:r>
          <m:rPr>
            <m:sty m:val="p"/>
          </m:rPr>
          <m:t>)</m:t>
        </m:r>
      </m:oMath>
      <w:r>
        <w:t xml:space="preserve">. As curvas são</w:t>
      </w:r>
      <w:r>
        <w:t xml:space="preserve"> </w:t>
      </w:r>
      <w:r>
        <w:rPr>
          <w:b/>
          <w:bCs/>
        </w:rPr>
        <w:t xml:space="preserve">idênticas</w:t>
      </w:r>
      <w:r>
        <w:t xml:space="preserve"> </w:t>
      </w:r>
      <w:r>
        <w:t xml:space="preserve">— apenas os rótulos numéricos mudam. Escolha entre</w:t>
      </w:r>
      <w:r>
        <w:t xml:space="preserve"> </w:t>
      </w:r>
      <m:oMath>
        <m:r>
          <m:rPr>
            <m:sty m:val="p"/>
          </m:rPr>
          <m:t>ln</m:t>
        </m:r>
      </m:oMath>
      <w:r>
        <w:t xml:space="preserve">,</w:t>
      </w:r>
      <w:r>
        <w:t xml:space="preserve"> </w:t>
      </w:r>
      <m:oMath>
        <m:rad>
          <m:radPr>
            <m:degHide m:val="on"/>
          </m:radPr>
          <m:deg/>
          <m:e>
            <m:r>
              <m:t>​</m:t>
            </m:r>
          </m:e>
        </m:rad>
      </m:oMath>
      <w:r>
        <w:t xml:space="preserve">,</w:t>
      </w:r>
      <w:r>
        <w:t xml:space="preserve"> </w:t>
      </w:r>
      <m:oMath>
        <m:sSup>
          <m:e>
            <m:r>
              <m:t>U</m:t>
            </m:r>
          </m:e>
          <m:sup>
            <m:r>
              <m:t>2</m:t>
            </m:r>
          </m:sup>
        </m:sSup>
      </m:oMath>
      <w:r>
        <w:t xml:space="preserve">,</w:t>
      </w:r>
      <w:r>
        <w:t xml:space="preserve"> </w:t>
      </w:r>
      <m:oMath>
        <m:sSup>
          <m:e>
            <m:r>
              <m:t>U</m:t>
            </m:r>
          </m:e>
          <m:sup>
            <m:r>
              <m:t>3</m:t>
            </m:r>
          </m:sup>
        </m:sSup>
      </m:oMath>
      <w:r>
        <w:t xml:space="preserve"> </w:t>
      </w:r>
      <w:r>
        <w:t xml:space="preserve">e</w:t>
      </w:r>
      <w:r>
        <w:t xml:space="preserve"> </w:t>
      </w:r>
      <m:oMath>
        <m:r>
          <m:rPr>
            <m:sty m:val="p"/>
          </m:rPr>
          <m:t>−</m:t>
        </m:r>
        <m:r>
          <m:t>1</m:t>
        </m:r>
        <m:r>
          <m:rPr>
            <m:sty m:val="p"/>
          </m:rPr>
          <m:t>/</m:t>
        </m:r>
        <m:r>
          <m:t>U</m:t>
        </m:r>
      </m:oMath>
      <w:r>
        <w:t xml:space="preserve">. Mova o ponto de referência para verificar que a TMS é a mesma em ambos os painéis.</w:t>
      </w:r>
    </w:p>
    <w:p>
      <w:pPr>
        <w:pStyle w:val="BlockText"/>
      </w:pPr>
      <w:r>
        <w:rPr>
          <w:b/>
          <w:bCs/>
        </w:rPr>
        <w:t xml:space="preserve">[EXEMPLO] Transformação monotônica em ação: simplificando a CES</w:t>
      </w:r>
    </w:p>
    <w:p>
      <w:pPr>
        <w:pStyle w:val="BlockText"/>
      </w:pPr>
      <w:r>
        <w:t xml:space="preserve">A função CES</w:t>
      </w:r>
      <w:r>
        <w:t xml:space="preserve"> </w:t>
      </w:r>
      <m:oMath>
        <m:r>
          <m:t>u</m:t>
        </m:r>
        <m:r>
          <m:rPr>
            <m:sty m:val="p"/>
          </m:rPr>
          <m:t>=</m:t>
        </m:r>
        <m:r>
          <m:rPr>
            <m:sty m:val="p"/>
          </m:rPr>
          <m:t>(</m:t>
        </m:r>
        <m:sSubSup>
          <m:e>
            <m:r>
              <m:t>x</m:t>
            </m:r>
          </m:e>
          <m:sub>
            <m:r>
              <m:t>1</m:t>
            </m:r>
          </m:sub>
          <m:sup>
            <m:r>
              <m:t>ρ</m:t>
            </m:r>
          </m:sup>
        </m:sSubSup>
        <m:r>
          <m:rPr>
            <m:sty m:val="p"/>
          </m:rPr>
          <m:t>+</m:t>
        </m:r>
        <m:sSubSup>
          <m:e>
            <m:r>
              <m:t>x</m:t>
            </m:r>
          </m:e>
          <m:sub>
            <m:r>
              <m:t>2</m:t>
            </m:r>
          </m:sub>
          <m:sup>
            <m:r>
              <m:t>ρ</m:t>
            </m:r>
          </m:sup>
        </m:sSubSup>
        <m:sSup>
          <m:e>
            <m:r>
              <m:rPr>
                <m:sty m:val="p"/>
              </m:rPr>
              <m:t>)</m:t>
            </m:r>
          </m:e>
          <m:sup>
            <m:r>
              <m:t>1</m:t>
            </m:r>
            <m:r>
              <m:rPr>
                <m:sty m:val="p"/>
              </m:rPr>
              <m:t>/</m:t>
            </m:r>
            <m:r>
              <m:t>ρ</m:t>
            </m:r>
          </m:sup>
        </m:sSup>
      </m:oMath>
      <w:r>
        <w:t xml:space="preserve"> </w:t>
      </w:r>
      <w:r>
        <w:t xml:space="preserve">envolve uma raiz que complica as derivadas parciais. Aplique a transformação monotônica</w:t>
      </w:r>
      <w:r>
        <w:t xml:space="preserve"> </w:t>
      </w:r>
      <m:oMath>
        <m:r>
          <m:t>f</m:t>
        </m:r>
        <m:r>
          <m:rPr>
            <m:sty m:val="p"/>
          </m:rPr>
          <m:t>(</m:t>
        </m:r>
        <m:r>
          <m:t>u</m:t>
        </m:r>
        <m:r>
          <m:rPr>
            <m:sty m:val="p"/>
          </m:rPr>
          <m:t>)</m:t>
        </m:r>
        <m:r>
          <m:rPr>
            <m:sty m:val="p"/>
          </m:rPr>
          <m:t>=</m:t>
        </m:r>
        <m:sSup>
          <m:e>
            <m:r>
              <m:t>u</m:t>
            </m:r>
          </m:e>
          <m:sup>
            <m:r>
              <m:t>ρ</m:t>
            </m:r>
          </m:sup>
        </m:sSup>
      </m:oMath>
      <w:r>
        <w:t xml:space="preserve"> </w:t>
      </w:r>
      <w:r>
        <w:t xml:space="preserve">(estritamente crescente para</w:t>
      </w:r>
      <w:r>
        <w:t xml:space="preserve"> </w:t>
      </w:r>
      <m:oMath>
        <m:r>
          <m:t>u</m:t>
        </m:r>
        <m:r>
          <m:rPr>
            <m:sty m:val="p"/>
          </m:rPr>
          <m:t>&gt;</m:t>
        </m:r>
        <m:r>
          <m:t>0</m:t>
        </m:r>
      </m:oMath>
      <w:r>
        <w:t xml:space="preserve"> </w:t>
      </w:r>
      <w:r>
        <w:t xml:space="preserve">quando</w:t>
      </w:r>
      <w:r>
        <w:t xml:space="preserve"> </w:t>
      </w:r>
      <m:oMath>
        <m:r>
          <m:t>ρ</m:t>
        </m:r>
        <m:r>
          <m:rPr>
            <m:sty m:val="p"/>
          </m:rPr>
          <m:t>&gt;</m:t>
        </m:r>
        <m:r>
          <m:t>0</m:t>
        </m:r>
      </m:oMath>
      <w:r>
        <w:t xml:space="preserve">, e estritamente decrescente — mas aí tomamos</w:t>
      </w:r>
      <w:r>
        <w:t xml:space="preserve"> </w:t>
      </w:r>
      <m:oMath>
        <m:r>
          <m:t>f</m:t>
        </m:r>
        <m:r>
          <m:rPr>
            <m:sty m:val="p"/>
          </m:rPr>
          <m:t>(</m:t>
        </m:r>
        <m:r>
          <m:t>u</m:t>
        </m:r>
        <m:r>
          <m:rPr>
            <m:sty m:val="p"/>
          </m:rPr>
          <m:t>)</m:t>
        </m:r>
        <m:r>
          <m:rPr>
            <m:sty m:val="p"/>
          </m:rPr>
          <m:t>=</m:t>
        </m:r>
        <m:r>
          <m:rPr>
            <m:sty m:val="p"/>
          </m:rPr>
          <m:t>−</m:t>
        </m:r>
        <m:sSup>
          <m:e>
            <m:r>
              <m:t>u</m:t>
            </m:r>
          </m:e>
          <m:sup>
            <m:r>
              <m:t>ρ</m:t>
            </m:r>
          </m:sup>
        </m:sSup>
      </m:oMath>
      <w:r>
        <w:t xml:space="preserve"> </w:t>
      </w:r>
      <w:r>
        <w:t xml:space="preserve">— para</w:t>
      </w:r>
      <w:r>
        <w:t xml:space="preserve"> </w:t>
      </w:r>
      <m:oMath>
        <m:r>
          <m:t>ρ</m:t>
        </m:r>
        <m:r>
          <m:rPr>
            <m:sty m:val="p"/>
          </m:rPr>
          <m:t>&lt;</m:t>
        </m:r>
        <m:r>
          <m:t>0</m:t>
        </m:r>
      </m:oMath>
      <w:r>
        <w:t xml:space="preserve">). O resultado é:</w:t>
      </w:r>
    </w:p>
    <w:p>
      <w:pPr>
        <w:pStyle w:val="BlockText"/>
      </w:pPr>
      <w:r>
        <w:t xml:space="preserve">$$</w:t>
      </w:r>
    </w:p>
    <w:p>
      <w:pPr>
        <w:pStyle w:val="BlockText"/>
      </w:pPr>
      <w:r>
        <w:t xml:space="preserve"> </w:t>
      </w:r>
      <w:r>
        <w:t xml:space="preserve">= x_1^</w:t>
      </w:r>
      <w:r>
        <w:t xml:space="preserve">+ x_2^</w:t>
      </w:r>
    </w:p>
    <w:p>
      <w:pPr>
        <w:pStyle w:val="BlockText"/>
      </w:pPr>
      <w:r>
        <w:t xml:space="preserve">$$</w:t>
      </w:r>
    </w:p>
    <w:p>
      <w:pPr>
        <w:pStyle w:val="BlockText"/>
      </w:pPr>
      <w:r>
        <w:t xml:space="preserve">Agora as CPOs ficam muito mais simples:</w:t>
      </w:r>
    </w:p>
    <w:p>
      <w:pPr>
        <w:pStyle w:val="BlockText"/>
      </w:pPr>
      <w:r>
        <w:t xml:space="preserve">$$</w:t>
      </w:r>
    </w:p>
    <w:p>
      <w:pPr>
        <w:pStyle w:val="BlockText"/>
      </w:pPr>
      <w:r>
        <w:t xml:space="preserve"> </w:t>
      </w:r>
      <w:r>
        <w:t xml:space="preserve">=</w:t>
      </w:r>
      <w:r>
        <w:t xml:space="preserve"> </w:t>
      </w:r>
      <w:r>
        <w:t xml:space="preserve">, x_1^{</w:t>
      </w:r>
      <w:r>
        <w:t xml:space="preserve">},</w:t>
      </w:r>
      <w:r>
        <w:t xml:space="preserve"> </w:t>
      </w:r>
      <w:r>
        <w:t xml:space="preserve"> </w:t>
      </w:r>
      <w:r>
        <w:t xml:space="preserve">=</w:t>
      </w:r>
      <w:r>
        <w:t xml:space="preserve"> </w:t>
      </w:r>
      <w:r>
        <w:t xml:space="preserve">, x_2^{</w:t>
      </w:r>
      <w:r>
        <w:t xml:space="preserve">}</w:t>
      </w:r>
    </w:p>
    <w:p>
      <w:pPr>
        <w:pStyle w:val="BlockText"/>
      </w:pPr>
      <w:r>
        <w:t xml:space="preserve">$$</w:t>
      </w:r>
    </w:p>
    <w:p>
      <w:pPr>
        <w:pStyle w:val="BlockText"/>
      </w:pPr>
      <w:r>
        <w:t xml:space="preserve">E a TMS se obtém diretamente:</w:t>
      </w:r>
      <w:r>
        <w:t xml:space="preserve"> </w:t>
      </w:r>
      <m:oMath>
        <m:sSub>
          <m:e>
            <m:r>
              <m:rPr>
                <m:nor/>
                <m:sty m:val="p"/>
              </m:rPr>
              <m:t>TMS</m:t>
            </m:r>
          </m:e>
          <m:sub>
            <m:r>
              <m:t>12</m:t>
            </m:r>
          </m:sub>
        </m:sSub>
        <m:r>
          <m:rPr>
            <m:sty m:val="p"/>
          </m:rPr>
          <m:t>=</m:t>
        </m:r>
        <m:r>
          <m:rPr>
            <m:sty m:val="p"/>
          </m:rPr>
          <m:t>(</m:t>
        </m:r>
        <m:sSub>
          <m:e>
            <m:r>
              <m:t>x</m:t>
            </m:r>
          </m:e>
          <m:sub>
            <m:r>
              <m:t>1</m:t>
            </m:r>
          </m:sub>
        </m:sSub>
        <m:r>
          <m:rPr>
            <m:sty m:val="p"/>
          </m:rPr>
          <m:t>/</m:t>
        </m:r>
        <m:sSub>
          <m:e>
            <m:r>
              <m:t>x</m:t>
            </m:r>
          </m:e>
          <m:sub>
            <m:r>
              <m:t>2</m:t>
            </m:r>
          </m:sub>
        </m:sSub>
        <m:sSup>
          <m:e>
            <m:r>
              <m:rPr>
                <m:sty m:val="p"/>
              </m:rPr>
              <m:t>)</m:t>
            </m:r>
          </m:e>
          <m:sup>
            <m:r>
              <m:t>ρ</m:t>
            </m:r>
            <m:r>
              <m:rPr>
                <m:sty m:val="p"/>
              </m:rPr>
              <m:t>−</m:t>
            </m:r>
            <m:r>
              <m:t>1</m:t>
            </m:r>
          </m:sup>
        </m:sSup>
      </m:oMath>
      <w:r>
        <w:t xml:space="preserve"> </w:t>
      </w:r>
      <w:r>
        <w:t xml:space="preserve">— o mesmo resultado da equação Eq. (eq:3.6.12), mas com cálculo muito mais rápido. Essa é a essência da invariância ordinal: simplificar a álgebra sem alterar a economia.</w:t>
      </w:r>
    </w:p>
    <w:p>
      <w:pPr>
        <w:pStyle w:val="BlockText"/>
      </w:pPr>
      <w:r>
        <w:rPr>
          <w:b/>
          <w:bCs/>
        </w:rPr>
        <w:t xml:space="preserve">[ATENCAO] Erro Comum</w:t>
      </w:r>
    </w:p>
    <w:p>
      <w:pPr>
        <w:pStyle w:val="BlockText"/>
      </w:pPr>
      <w:r>
        <w:rPr>
          <w:b/>
          <w:bCs/>
        </w:rPr>
        <w:t xml:space="preserve">Tratar a utilidade como grandeza cardinal — dizer que</w:t>
      </w:r>
      <w:r>
        <w:rPr>
          <w:b/>
          <w:bCs/>
        </w:rPr>
        <w:t xml:space="preserve"> </w:t>
      </w:r>
      <w:r>
        <w:rPr>
          <w:b/>
          <w:bCs/>
        </w:rPr>
        <w:t xml:space="preserve">“Maria tem utilidade 2 vezes maior que João”</w:t>
      </w:r>
      <w:r>
        <w:rPr>
          <w:b/>
          <w:bCs/>
        </w:rPr>
        <w:t xml:space="preserve">.</w:t>
      </w:r>
    </w:p>
    <w:p>
      <w:pPr>
        <w:pStyle w:val="BlockText"/>
      </w:pPr>
      <w:r>
        <w:t xml:space="preserve">A função de utilidade ordinal mede apenas</w:t>
      </w:r>
      <w:r>
        <w:t xml:space="preserve"> </w:t>
      </w:r>
      <w:r>
        <w:rPr>
          <w:i/>
          <w:iCs/>
        </w:rPr>
        <w:t xml:space="preserve">ordem</w:t>
      </w:r>
      <w:r>
        <w:t xml:space="preserve">, não</w:t>
      </w:r>
      <w:r>
        <w:t xml:space="preserve"> </w:t>
      </w:r>
      <w:r>
        <w:rPr>
          <w:i/>
          <w:iCs/>
        </w:rPr>
        <w:t xml:space="preserve">intensidade</w:t>
      </w:r>
      <w:r>
        <w:t xml:space="preserve">. Se</w:t>
      </w:r>
      <w:r>
        <w:t xml:space="preserve"> </w:t>
      </w:r>
      <m:oMath>
        <m:r>
          <m:t>u</m:t>
        </m:r>
        <m:r>
          <m:rPr>
            <m:sty m:val="p"/>
          </m:rPr>
          <m:t>(</m:t>
        </m:r>
        <m:r>
          <m:rPr>
            <m:nor/>
            <m:sty m:val="p"/>
          </m:rPr>
          <m:t>pizza</m:t>
        </m:r>
        <m:r>
          <m:rPr>
            <m:sty m:val="p"/>
          </m:rPr>
          <m:t>)</m:t>
        </m:r>
        <m:r>
          <m:rPr>
            <m:sty m:val="p"/>
          </m:rPr>
          <m:t>=</m:t>
        </m:r>
        <m:r>
          <m:t>10</m:t>
        </m:r>
      </m:oMath>
      <w:r>
        <w:t xml:space="preserve"> </w:t>
      </w:r>
      <w:r>
        <w:t xml:space="preserve">e</w:t>
      </w:r>
      <w:r>
        <w:t xml:space="preserve"> </w:t>
      </w:r>
      <m:oMath>
        <m:r>
          <m:t>u</m:t>
        </m:r>
        <m:r>
          <m:rPr>
            <m:sty m:val="p"/>
          </m:rPr>
          <m:t>(</m:t>
        </m:r>
        <m:r>
          <m:rPr>
            <m:nor/>
            <m:sty m:val="p"/>
          </m:rPr>
          <m:t>salada</m:t>
        </m:r>
        <m:r>
          <m:rPr>
            <m:sty m:val="p"/>
          </m:rPr>
          <m:t>)</m:t>
        </m:r>
        <m:r>
          <m:rPr>
            <m:sty m:val="p"/>
          </m:rPr>
          <m:t>=</m:t>
        </m:r>
        <m:r>
          <m:t>5</m:t>
        </m:r>
      </m:oMath>
      <w:r>
        <w:t xml:space="preserve">, isso significa apenas que pizza é preferida a salada —</w:t>
      </w:r>
      <w:r>
        <w:t xml:space="preserve"> </w:t>
      </w:r>
      <w:r>
        <w:rPr>
          <w:b/>
          <w:bCs/>
        </w:rPr>
        <w:t xml:space="preserve">não</w:t>
      </w:r>
      <w:r>
        <w:t xml:space="preserve"> </w:t>
      </w:r>
      <w:r>
        <w:t xml:space="preserve">que pizza é</w:t>
      </w:r>
      <w:r>
        <w:t xml:space="preserve"> </w:t>
      </w:r>
      <w:r>
        <w:t xml:space="preserve">“duas vezes melhor”</w:t>
      </w:r>
      <w:r>
        <w:t xml:space="preserve">. Qualquer transformação monotônica (como</w:t>
      </w:r>
      <w:r>
        <w:t xml:space="preserve"> </w:t>
      </w:r>
      <m:oMath>
        <m:acc>
          <m:accPr>
            <m:chr m:val="̂"/>
          </m:accPr>
          <m:e>
            <m:r>
              <m:t>u</m:t>
            </m:r>
          </m:e>
        </m:acc>
        <m:r>
          <m:rPr>
            <m:sty m:val="p"/>
          </m:rPr>
          <m:t>=</m:t>
        </m:r>
        <m:r>
          <m:rPr>
            <m:sty m:val="p"/>
          </m:rPr>
          <m:t>ln</m:t>
        </m:r>
        <m:r>
          <m:t>u</m:t>
        </m:r>
      </m:oMath>
      <w:r>
        <w:t xml:space="preserve">) preserva as preferências mas muda a razão entre os valores numéricos. Comparações interpessoais (</w:t>
      </w:r>
      <w:r>
        <w:t xml:space="preserve">“Maria gosta mais de pizza que João”</w:t>
      </w:r>
      <w:r>
        <w:t xml:space="preserve">) também são impossíveis com utilidade ordinal — um ponto que se torna crucial na economia do bem-estar (Capítulo 17).</w:t>
      </w:r>
    </w:p>
    <w:p>
      <w:pPr>
        <w:pStyle w:val="BlockText"/>
      </w:pPr>
      <w:r>
        <w:rPr>
          <w:b/>
          <w:bCs/>
        </w:rPr>
        <w:t xml:space="preserve">[DICA] Implicações práticas da ordinalidade</w:t>
      </w:r>
    </w:p>
    <w:p>
      <w:pPr>
        <w:pStyle w:val="BlockText"/>
      </w:pPr>
      <w:r>
        <w:t xml:space="preserve">A TMS é invariante sob transformações monotônicas. A utilidade marginal, porém,</w:t>
      </w:r>
      <w:r>
        <w:t xml:space="preserve"> </w:t>
      </w:r>
      <w:r>
        <w:rPr>
          <w:b/>
          <w:bCs/>
        </w:rPr>
        <w:t xml:space="preserve">não é invariante</w:t>
      </w:r>
      <w:r>
        <w:t xml:space="preserve">: ela muda com a transformação. Por isso, a utilidade marginal não tem significado cardinal — apenas a razão entre utilidades marginais (a TMS) possui significado econômico bem definido.</w:t>
      </w:r>
    </w:p>
    <w:p>
      <w:pPr>
        <w:pStyle w:val="BlockText"/>
      </w:pPr>
      <w:r>
        <w:rPr>
          <w:b/>
          <w:bCs/>
        </w:rPr>
        <w:t xml:space="preserve">[EXERCICIO RESOLVIDO] Exercício Resolvido 3.3</w:t>
      </w:r>
    </w:p>
    <w:p>
      <w:pPr>
        <w:pStyle w:val="BlockText"/>
      </w:pPr>
      <w:r>
        <w:rPr>
          <w:b/>
          <w:bCs/>
        </w:rPr>
        <w:t xml:space="preserve">Enunciado:</w:t>
      </w:r>
      <w:r>
        <w:t xml:space="preserve"> </w:t>
      </w:r>
      <w:r>
        <w:t xml:space="preserve">Mostre que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rPr>
            <m:sty m:val="p"/>
          </m:rPr>
          <m:t>ln</m:t>
        </m:r>
        <m:sSub>
          <m:e>
            <m:r>
              <m:t>x</m:t>
            </m:r>
          </m:e>
          <m:sub>
            <m:r>
              <m:t>1</m:t>
            </m:r>
          </m:sub>
        </m:sSub>
        <m:r>
          <m:rPr>
            <m:sty m:val="p"/>
          </m:rPr>
          <m:t>+</m:t>
        </m:r>
        <m:r>
          <m:t>2</m:t>
        </m:r>
        <m:r>
          <m:rPr>
            <m:sty m:val="p"/>
          </m:rPr>
          <m:t>ln</m:t>
        </m:r>
        <m:sSub>
          <m:e>
            <m:r>
              <m:t>x</m:t>
            </m:r>
          </m:e>
          <m:sub>
            <m:r>
              <m:t>2</m:t>
            </m:r>
          </m:sub>
        </m:sSub>
      </m:oMath>
      <w:r>
        <w:t xml:space="preserve"> </w:t>
      </w:r>
      <w:r>
        <w:t xml:space="preserve">e</w:t>
      </w:r>
      <w:r>
        <w:t xml:space="preserve"> </w:t>
      </w:r>
      <m:oMath>
        <m:r>
          <m:t>v</m:t>
        </m:r>
        <m:r>
          <m:rPr>
            <m:sty m:val="p"/>
          </m:rPr>
          <m:t>(</m:t>
        </m:r>
        <m:sSub>
          <m:e>
            <m:r>
              <m:t>x</m:t>
            </m:r>
          </m:e>
          <m:sub>
            <m:r>
              <m:t>1</m:t>
            </m:r>
          </m:sub>
        </m:sSub>
        <m:r>
          <m:rPr>
            <m:sty m:val="p"/>
          </m:rPr>
          <m:t>,</m:t>
        </m:r>
        <m:sSub>
          <m:e>
            <m:r>
              <m:t>x</m:t>
            </m:r>
          </m:e>
          <m:sub>
            <m:r>
              <m:t>2</m:t>
            </m:r>
          </m:sub>
        </m:sSub>
        <m:r>
          <m:rPr>
            <m:sty m:val="p"/>
          </m:rPr>
          <m:t>)</m:t>
        </m:r>
        <m:r>
          <m:rPr>
            <m:sty m:val="p"/>
          </m:rPr>
          <m:t>=</m:t>
        </m:r>
        <m:sSub>
          <m:e>
            <m:r>
              <m:t>x</m:t>
            </m:r>
          </m:e>
          <m:sub>
            <m:r>
              <m:t>1</m:t>
            </m:r>
          </m:sub>
        </m:sSub>
        <m:r>
          <m:rPr>
            <m:sty m:val="p"/>
          </m:rPr>
          <m:t>⋅</m:t>
        </m:r>
        <m:sSubSup>
          <m:e>
            <m:r>
              <m:t>x</m:t>
            </m:r>
          </m:e>
          <m:sub>
            <m:r>
              <m:t>2</m:t>
            </m:r>
          </m:sub>
          <m:sup>
            <m:r>
              <m:t>2</m:t>
            </m:r>
          </m:sup>
        </m:sSubSup>
      </m:oMath>
      <w:r>
        <w:t xml:space="preserve"> </w:t>
      </w:r>
      <w:r>
        <w:t xml:space="preserve">representam as mesmas preferências, e verifique que ambas produzem a mesma TMS.</w:t>
      </w:r>
    </w:p>
    <w:p>
      <w:pPr>
        <w:pStyle w:val="BlockText"/>
      </w:pPr>
      <w:r>
        <w:rPr>
          <w:b/>
          <w:bCs/>
        </w:rPr>
        <w:t xml:space="preserve">Resolução:</w:t>
      </w:r>
    </w:p>
    <w:p>
      <w:pPr>
        <w:pStyle w:val="BlockText"/>
      </w:pPr>
      <w:r>
        <w:rPr>
          <w:b/>
          <w:bCs/>
        </w:rPr>
        <w:t xml:space="preserve">Passo 1 — Identificar a transformação monotônica</w:t>
      </w:r>
    </w:p>
    <w:p>
      <w:pPr>
        <w:pStyle w:val="BlockText"/>
      </w:pPr>
      <w:r>
        <w:t xml:space="preserve">Note que</w:t>
      </w:r>
      <w:r>
        <w:t xml:space="preserve"> </w:t>
      </w:r>
      <m:oMath>
        <m:r>
          <m:t>u</m:t>
        </m:r>
        <m:r>
          <m:rPr>
            <m:sty m:val="p"/>
          </m:rPr>
          <m:t>=</m:t>
        </m:r>
        <m:r>
          <m:rPr>
            <m:sty m:val="p"/>
          </m:rPr>
          <m:t>ln</m:t>
        </m:r>
        <m:sSub>
          <m:e>
            <m:r>
              <m:t>x</m:t>
            </m:r>
          </m:e>
          <m:sub>
            <m:r>
              <m:t>1</m:t>
            </m:r>
          </m:sub>
        </m:sSub>
        <m:r>
          <m:rPr>
            <m:sty m:val="p"/>
          </m:rPr>
          <m:t>+</m:t>
        </m:r>
        <m:r>
          <m:t>2</m:t>
        </m:r>
        <m:r>
          <m:rPr>
            <m:sty m:val="p"/>
          </m:rPr>
          <m:t>ln</m:t>
        </m:r>
        <m:sSub>
          <m:e>
            <m:r>
              <m:t>x</m:t>
            </m:r>
          </m:e>
          <m:sub>
            <m:r>
              <m:t>2</m:t>
            </m:r>
          </m:sub>
        </m:sSub>
        <m:r>
          <m:rPr>
            <m:sty m:val="p"/>
          </m:rPr>
          <m:t>=</m:t>
        </m:r>
        <m:r>
          <m:rPr>
            <m:sty m:val="p"/>
          </m:rPr>
          <m:t>ln</m:t>
        </m:r>
        <m:r>
          <m:rPr>
            <m:sty m:val="p"/>
          </m:rPr>
          <m:t>(</m:t>
        </m:r>
        <m:sSub>
          <m:e>
            <m:r>
              <m:t>x</m:t>
            </m:r>
          </m:e>
          <m:sub>
            <m:r>
              <m:t>1</m:t>
            </m:r>
          </m:sub>
        </m:sSub>
        <m:r>
          <m:rPr>
            <m:sty m:val="p"/>
          </m:rPr>
          <m:t>⋅</m:t>
        </m:r>
        <m:sSubSup>
          <m:e>
            <m:r>
              <m:t>x</m:t>
            </m:r>
          </m:e>
          <m:sub>
            <m:r>
              <m:t>2</m:t>
            </m:r>
          </m:sub>
          <m:sup>
            <m:r>
              <m:t>2</m:t>
            </m:r>
          </m:sup>
        </m:sSubSup>
        <m:r>
          <m:rPr>
            <m:sty m:val="p"/>
          </m:rPr>
          <m:t>)</m:t>
        </m:r>
        <m:r>
          <m:rPr>
            <m:sty m:val="p"/>
          </m:rPr>
          <m:t>=</m:t>
        </m:r>
        <m:r>
          <m:rPr>
            <m:sty m:val="p"/>
          </m:rPr>
          <m:t>ln</m:t>
        </m:r>
        <m:r>
          <m:rPr>
            <m:sty m:val="p"/>
          </m:rPr>
          <m:t>(</m:t>
        </m:r>
        <m:r>
          <m:t>v</m:t>
        </m:r>
        <m:r>
          <m:rPr>
            <m:sty m:val="p"/>
          </m:rPr>
          <m:t>)</m:t>
        </m:r>
      </m:oMath>
      <w:r>
        <w:t xml:space="preserve">. Portanto,</w:t>
      </w:r>
      <w:r>
        <w:t xml:space="preserve"> </w:t>
      </w:r>
      <m:oMath>
        <m:r>
          <m:t>u</m:t>
        </m:r>
        <m:r>
          <m:rPr>
            <m:sty m:val="p"/>
          </m:rPr>
          <m:t>=</m:t>
        </m:r>
        <m:r>
          <m:t>f</m:t>
        </m:r>
        <m:r>
          <m:rPr>
            <m:sty m:val="p"/>
          </m:rPr>
          <m:t>(</m:t>
        </m:r>
        <m:r>
          <m:t>v</m:t>
        </m:r>
        <m:r>
          <m:rPr>
            <m:sty m:val="p"/>
          </m:rPr>
          <m:t>)</m:t>
        </m:r>
      </m:oMath>
      <w:r>
        <w:t xml:space="preserve"> </w:t>
      </w:r>
      <w:r>
        <w:t xml:space="preserve">com</w:t>
      </w:r>
      <w:r>
        <w:t xml:space="preserve"> </w:t>
      </w:r>
      <m:oMath>
        <m:r>
          <m:t>f</m:t>
        </m:r>
        <m:r>
          <m:rPr>
            <m:sty m:val="p"/>
          </m:rPr>
          <m:t>(</m:t>
        </m:r>
        <m:r>
          <m:t>v</m:t>
        </m:r>
        <m:r>
          <m:rPr>
            <m:sty m:val="p"/>
          </m:rPr>
          <m:t>)</m:t>
        </m:r>
        <m:r>
          <m:rPr>
            <m:sty m:val="p"/>
          </m:rPr>
          <m:t>=</m:t>
        </m:r>
        <m:r>
          <m:rPr>
            <m:sty m:val="p"/>
          </m:rPr>
          <m:t>ln</m:t>
        </m:r>
        <m:r>
          <m:rPr>
            <m:sty m:val="p"/>
          </m:rPr>
          <m:t>(</m:t>
        </m:r>
        <m:r>
          <m:t>v</m:t>
        </m:r>
        <m:r>
          <m:rPr>
            <m:sty m:val="p"/>
          </m:rPr>
          <m:t>)</m:t>
        </m:r>
      </m:oMath>
      <w:r>
        <w:t xml:space="preserve">, que é estritamente crescente para</w:t>
      </w:r>
      <w:r>
        <w:t xml:space="preserve"> </w:t>
      </w:r>
      <m:oMath>
        <m:r>
          <m:t>v</m:t>
        </m:r>
        <m:r>
          <m:rPr>
            <m:sty m:val="p"/>
          </m:rPr>
          <m:t>&gt;</m:t>
        </m:r>
        <m:r>
          <m:t>0</m:t>
        </m:r>
      </m:oMath>
      <w:r>
        <w:t xml:space="preserve">. Pela Proposição 3.3,</w:t>
      </w:r>
      <w:r>
        <w:t xml:space="preserve"> </w:t>
      </w:r>
      <m:oMath>
        <m:r>
          <m:t>u</m:t>
        </m:r>
      </m:oMath>
      <w:r>
        <w:t xml:space="preserve"> </w:t>
      </w:r>
      <w:r>
        <w:t xml:space="preserve">e</w:t>
      </w:r>
      <w:r>
        <w:t xml:space="preserve"> </w:t>
      </w:r>
      <m:oMath>
        <m:r>
          <m:t>v</m:t>
        </m:r>
      </m:oMath>
      <w:r>
        <w:t xml:space="preserve"> </w:t>
      </w:r>
      <w:r>
        <w:t xml:space="preserve">representam as mesmas preferências.</w:t>
      </w:r>
    </w:p>
    <w:p>
      <w:pPr>
        <w:pStyle w:val="BlockText"/>
      </w:pPr>
      <w:r>
        <w:rPr>
          <w:b/>
          <w:bCs/>
        </w:rPr>
        <w:t xml:space="preserve">Passo 2 — TMS pela função</w:t>
      </w:r>
      <w:r>
        <w:rPr>
          <w:b/>
          <w:bCs/>
        </w:rPr>
        <w:t xml:space="preserve"> </w:t>
      </w:r>
      <m:oMath>
        <m:r>
          <m:t>u</m:t>
        </m:r>
      </m:oMath>
    </w:p>
    <w:p>
      <w:pPr>
        <w:pStyle w:val="BlockText"/>
      </w:pPr>
      <w:r>
        <w:t xml:space="preserve">$$</w:t>
      </w:r>
    </w:p>
    <w:p>
      <w:pPr>
        <w:pStyle w:val="BlockText"/>
      </w:pPr>
      <w:r>
        <w:t xml:space="preserve">_{12}^{(u)} =</w:t>
      </w:r>
      <w:r>
        <w:t xml:space="preserve"> </w:t>
      </w:r>
      <w:r>
        <w:t xml:space="preserve"> </w:t>
      </w:r>
      <w:r>
        <w:t xml:space="preserve">=</w:t>
      </w:r>
      <w:r>
        <w:t xml:space="preserve"> </w:t>
      </w:r>
      <w:r>
        <w:t xml:space="preserve"> </w:t>
      </w:r>
      <w:r>
        <w:t xml:space="preserve">=</w:t>
      </w:r>
      <w:r>
        <w:t xml:space="preserve"> </w:t>
      </w:r>
    </w:p>
    <w:p>
      <w:pPr>
        <w:pStyle w:val="BlockText"/>
      </w:pPr>
      <w:r>
        <w:t xml:space="preserve">$$</w:t>
      </w:r>
    </w:p>
    <w:p>
      <w:pPr>
        <w:pStyle w:val="BlockText"/>
      </w:pPr>
      <w:r>
        <w:rPr>
          <w:b/>
          <w:bCs/>
        </w:rPr>
        <w:t xml:space="preserve">Passo 3 — TMS pela função</w:t>
      </w:r>
      <w:r>
        <w:rPr>
          <w:b/>
          <w:bCs/>
        </w:rPr>
        <w:t xml:space="preserve"> </w:t>
      </w:r>
      <m:oMath>
        <m:r>
          <m:t>v</m:t>
        </m:r>
      </m:oMath>
    </w:p>
    <w:p>
      <w:pPr>
        <w:pStyle w:val="BlockText"/>
      </w:pPr>
      <w:r>
        <w:t xml:space="preserve">$$</w:t>
      </w:r>
    </w:p>
    <w:p>
      <w:pPr>
        <w:pStyle w:val="BlockText"/>
      </w:pPr>
      <w:r>
        <w:t xml:space="preserve">_{12}^{(v)} =</w:t>
      </w:r>
      <w:r>
        <w:t xml:space="preserve"> </w:t>
      </w:r>
      <w:r>
        <w:t xml:space="preserve"> </w:t>
      </w:r>
      <w:r>
        <w:t xml:space="preserve">=</w:t>
      </w:r>
      <w:r>
        <w:t xml:space="preserve"> </w:t>
      </w:r>
      <w:r>
        <w:t xml:space="preserve"> </w:t>
      </w:r>
      <w:r>
        <w:t xml:space="preserve">=</w:t>
      </w:r>
      <w:r>
        <w:t xml:space="preserve"> </w:t>
      </w:r>
    </w:p>
    <w:p>
      <w:pPr>
        <w:pStyle w:val="BlockText"/>
      </w:pPr>
      <w:r>
        <w:t xml:space="preserve">$$</w:t>
      </w:r>
    </w:p>
    <w:p>
      <w:pPr>
        <w:pStyle w:val="BlockText"/>
      </w:pPr>
      <w:r>
        <w:rPr>
          <w:b/>
          <w:bCs/>
        </w:rPr>
        <w:t xml:space="preserve">Resultado:</w:t>
      </w:r>
      <w:r>
        <w:t xml:space="preserve"> </w:t>
      </w:r>
      <m:oMath>
        <m:sSubSup>
          <m:e>
            <m:r>
              <m:rPr>
                <m:nor/>
                <m:sty m:val="p"/>
              </m:rPr>
              <m:t>TMS</m:t>
            </m:r>
          </m:e>
          <m:sub>
            <m:r>
              <m:t>12</m:t>
            </m:r>
          </m:sub>
          <m:sup>
            <m:r>
              <m:rPr>
                <m:sty m:val="p"/>
              </m:rPr>
              <m:t>(</m:t>
            </m:r>
            <m:r>
              <m:t>u</m:t>
            </m:r>
            <m:r>
              <m:rPr>
                <m:sty m:val="p"/>
              </m:rPr>
              <m:t>)</m:t>
            </m:r>
          </m:sup>
        </m:sSubSup>
        <m:r>
          <m:rPr>
            <m:sty m:val="p"/>
          </m:rPr>
          <m:t>=</m:t>
        </m:r>
        <m:sSubSup>
          <m:e>
            <m:r>
              <m:rPr>
                <m:nor/>
                <m:sty m:val="p"/>
              </m:rPr>
              <m:t>TMS</m:t>
            </m:r>
          </m:e>
          <m:sub>
            <m:r>
              <m:t>12</m:t>
            </m:r>
          </m:sub>
          <m:sup>
            <m:r>
              <m:rPr>
                <m:sty m:val="p"/>
              </m:rPr>
              <m:t>(</m:t>
            </m:r>
            <m:r>
              <m:t>v</m:t>
            </m:r>
            <m:r>
              <m:rPr>
                <m:sty m:val="p"/>
              </m:rPr>
              <m:t>)</m:t>
            </m:r>
          </m:sup>
        </m:sSubSup>
        <m:r>
          <m:rPr>
            <m:sty m:val="p"/>
          </m:rPr>
          <m:t>=</m:t>
        </m:r>
        <m:f>
          <m:fPr>
            <m:type m:val="bar"/>
          </m:fPr>
          <m:num>
            <m:sSub>
              <m:e>
                <m:r>
                  <m:t>x</m:t>
                </m:r>
              </m:e>
              <m:sub>
                <m:r>
                  <m:t>2</m:t>
                </m:r>
              </m:sub>
            </m:sSub>
          </m:num>
          <m:den>
            <m:r>
              <m:t>2</m:t>
            </m:r>
            <m:sSub>
              <m:e>
                <m:r>
                  <m:t>x</m:t>
                </m:r>
              </m:e>
              <m:sub>
                <m:r>
                  <m:t>1</m:t>
                </m:r>
              </m:sub>
            </m:sSub>
          </m:den>
        </m:f>
      </m:oMath>
      <w:r>
        <w:t xml:space="preserve">.</w:t>
      </w:r>
    </w:p>
    <w:p>
      <w:pPr>
        <w:pStyle w:val="BlockText"/>
      </w:pPr>
      <w:r>
        <w:rPr>
          <w:b/>
          <w:bCs/>
        </w:rPr>
        <w:t xml:space="preserve">Interpretação econômica:</w:t>
      </w:r>
      <w:r>
        <w:t xml:space="preserve"> </w:t>
      </w:r>
      <w:r>
        <w:t xml:space="preserve">As utilidades marginais diferem — para</w:t>
      </w:r>
      <w:r>
        <w:t xml:space="preserve"> </w:t>
      </w:r>
      <m:oMath>
        <m:r>
          <m:t>u</m:t>
        </m:r>
      </m:oMath>
      <w:r>
        <w:t xml:space="preserve">,</w:t>
      </w:r>
      <w:r>
        <w:t xml:space="preserve"> </w:t>
      </w:r>
      <m:oMath>
        <m:sSub>
          <m:e>
            <m:r>
              <m:rPr>
                <m:nor/>
                <m:sty m:val="p"/>
              </m:rPr>
              <m:t>UMg</m:t>
            </m:r>
          </m:e>
          <m:sub>
            <m:r>
              <m:t>1</m:t>
            </m:r>
          </m:sub>
        </m:sSub>
        <m:r>
          <m:rPr>
            <m:sty m:val="p"/>
          </m:rPr>
          <m:t>=</m:t>
        </m:r>
        <m:r>
          <m:t>1</m:t>
        </m:r>
        <m:r>
          <m:rPr>
            <m:sty m:val="p"/>
          </m:rPr>
          <m:t>/</m:t>
        </m:r>
        <m:sSub>
          <m:e>
            <m:r>
              <m:t>x</m:t>
            </m:r>
          </m:e>
          <m:sub>
            <m:r>
              <m:t>1</m:t>
            </m:r>
          </m:sub>
        </m:sSub>
      </m:oMath>
      <w:r>
        <w:t xml:space="preserve">; para</w:t>
      </w:r>
      <w:r>
        <w:t xml:space="preserve"> </w:t>
      </w:r>
      <m:oMath>
        <m:r>
          <m:t>v</m:t>
        </m:r>
      </m:oMath>
      <w:r>
        <w:t xml:space="preserve">,</w:t>
      </w:r>
      <w:r>
        <w:t xml:space="preserve"> </w:t>
      </w:r>
      <m:oMath>
        <m:sSub>
          <m:e>
            <m:r>
              <m:rPr>
                <m:nor/>
                <m:sty m:val="p"/>
              </m:rPr>
              <m:t>UMg</m:t>
            </m:r>
          </m:e>
          <m:sub>
            <m:r>
              <m:t>1</m:t>
            </m:r>
          </m:sub>
        </m:sSub>
        <m:r>
          <m:rPr>
            <m:sty m:val="p"/>
          </m:rPr>
          <m:t>=</m:t>
        </m:r>
        <m:sSubSup>
          <m:e>
            <m:r>
              <m:t>x</m:t>
            </m:r>
          </m:e>
          <m:sub>
            <m:r>
              <m:t>2</m:t>
            </m:r>
          </m:sub>
          <m:sup>
            <m:r>
              <m:t>2</m:t>
            </m:r>
          </m:sup>
        </m:sSubSup>
      </m:oMath>
      <w:r>
        <w:t xml:space="preserve"> </w:t>
      </w:r>
      <w:r>
        <w:t xml:space="preserve">— mas a TMS é idêntica. Isso confirma que a TMS é a grandeza economicamente relevante: ela mede a taxa de troca subjetiva do consumidor, independentemente da</w:t>
      </w:r>
      <w:r>
        <w:t xml:space="preserve"> </w:t>
      </w:r>
      <w:r>
        <w:t xml:space="preserve">“escala”</w:t>
      </w:r>
      <w:r>
        <w:t xml:space="preserve"> </w:t>
      </w:r>
      <w:r>
        <w:t xml:space="preserve">escolhida para medir a utilidade. Na prática, o economista pode escolher a representação que facilite os cálculos sem perda de conteúdo econômico.</w:t>
      </w:r>
    </w:p>
    <w:p>
      <w:r>
        <w:pict>
          <v:rect style="width:0;height:1.5pt" o:hralign="center" o:hrstd="t" o:hr="t"/>
        </w:pict>
      </w:r>
    </w:p>
    <w:p>
      <w:pPr>
        <w:pStyle w:val="FirstParagraph"/>
      </w:pPr>
      <w:r>
        <w:t xml:space="preserve">As seções anteriores construíram progressivamente o arcabouço teórico das preferências: partimos de axiomas mínimos de coerência, chegamos à função de utilidade via o Teorema de Debreu, derivamos curvas de indiferença e TMS como ferramentas geométricas e analíticas, exploramos as principais formas funcionais — Cobb-Douglas, substitutos e complementos perfeitos, CES e quase-linear — e, por fim, demonstramos que a invariância ordinal confere liberdade ao analista na escolha da representação. A progressão foi deliberada: cada conceito se construiu sobre os anteriores, formando uma cadeia lógica que vai da abstração dos axiomas à concretude das formas funcionais.</w:t>
      </w:r>
    </w:p>
    <w:p>
      <w:pPr>
        <w:pStyle w:val="BodyText"/>
      </w:pPr>
      <w:r>
        <w:t xml:space="preserve">Antes de consolidar esses conceitos no resumo do capítulo, vale observar como esse arcabouço se manifesta — e, por vezes, é posto à prova — em um contexto histórico concreto do Brasil. O Box a seguir mostra que as mudanças nos padrões de consumo após a estabilização monetária de 1994 podem ser interpretadas à luz da teoria das preferências desenvolvida nestas páginas.</w:t>
      </w:r>
    </w:p>
    <w:p>
      <w:pPr>
        <w:pStyle w:val="BlockText"/>
      </w:pPr>
      <w:r>
        <w:rPr>
          <w:b/>
          <w:bCs/>
        </w:rPr>
        <w:t xml:space="preserve">[BOX BRASIL] Box Brasil 3.3 — O Plano Real e a revolução no consumo</w:t>
      </w:r>
    </w:p>
    <w:p>
      <w:pPr>
        <w:pStyle w:val="BlockText"/>
      </w:pPr>
      <w:r>
        <w:t xml:space="preserve">A hiperinflação brasileira que antecedeu o Plano Real (julho de 1994) distorcia profundamente as preferências reveladas dos consumidores. Com taxas de inflação que chegaram a superar 2.000% ao ano em 1993, o comportamento de compra era dominado pela</w:t>
      </w:r>
      <w:r>
        <w:t xml:space="preserve"> </w:t>
      </w:r>
      <w:r>
        <w:rPr>
          <w:b/>
          <w:bCs/>
        </w:rPr>
        <w:t xml:space="preserve">antecipação de consumo</w:t>
      </w:r>
      <w:r>
        <w:t xml:space="preserve">: famílias corriam ao supermercado no dia do pagamento para converter salários em bens antes que os preços subissem.</w:t>
      </w:r>
    </w:p>
    <w:p>
      <w:pPr>
        <w:pStyle w:val="BlockText"/>
      </w:pPr>
      <w:r>
        <w:t xml:space="preserve">Dados da Pesquisa de Orçamentos Familiares (POF) do IBGE revelam mudanças marcantes nos padrões de consumo ao longo das décadas:</w:t>
      </w:r>
    </w:p>
    <w:p>
      <w:pPr>
        <w:pStyle w:val="Compact"/>
        <w:numPr>
          <w:ilvl w:val="0"/>
          <w:numId w:val="1081"/>
        </w:numPr>
      </w:pPr>
      <w:r>
        <w:rPr>
          <w:b/>
          <w:bCs/>
        </w:rPr>
        <w:t xml:space="preserve">Antes da estabilização (POF 1987-88)</w:t>
      </w:r>
      <w:r>
        <w:t xml:space="preserve">: famílias de baixa renda concentravam até 53% dos gastos em alimentação, com forte preferência por produtos estocáveis e não perecíveis — um reflexo racional da tentativa de manter o valor real da renda.</w:t>
      </w:r>
    </w:p>
    <w:p>
      <w:pPr>
        <w:pStyle w:val="Compact"/>
        <w:numPr>
          <w:ilvl w:val="0"/>
          <w:numId w:val="1081"/>
        </w:numPr>
      </w:pPr>
      <w:r>
        <w:rPr>
          <w:b/>
          <w:bCs/>
        </w:rPr>
        <w:t xml:space="preserve">Após a estabilização (POF 1995-96 e 2002-03)</w:t>
      </w:r>
      <w:r>
        <w:t xml:space="preserve">: a participação da alimentação caiu para cerca de 33% nas famílias de menor renda, com diversificação para bens duráveis, serviços de lazer e educação.</w:t>
      </w:r>
    </w:p>
    <w:p>
      <w:pPr>
        <w:pStyle w:val="Compact"/>
        <w:numPr>
          <w:ilvl w:val="0"/>
          <w:numId w:val="1081"/>
        </w:numPr>
      </w:pPr>
      <w:r>
        <w:rPr>
          <w:b/>
          <w:bCs/>
        </w:rPr>
        <w:t xml:space="preserve">POF 2017-18</w:t>
      </w:r>
      <w:r>
        <w:t xml:space="preserve">: a tendência de diversificação se manteve, com crescimento expressivo dos gastos com comunicação (telefonia móvel) e transporte.</w:t>
      </w:r>
    </w:p>
    <w:p>
      <w:pPr>
        <w:pStyle w:val="BlockText"/>
      </w:pPr>
      <w:r>
        <w:t xml:space="preserve">Do ponto de vista da teoria das preferências, a estabilização monetária não apenas alterou a</w:t>
      </w:r>
      <w:r>
        <w:t xml:space="preserve"> </w:t>
      </w:r>
      <w:r>
        <w:rPr>
          <w:b/>
          <w:bCs/>
        </w:rPr>
        <w:t xml:space="preserve">restrição orçamentária</w:t>
      </w:r>
      <w:r>
        <w:t xml:space="preserve"> </w:t>
      </w:r>
      <w:r>
        <w:t xml:space="preserve">(via ganho de renda real, sobretudo para os mais pobres), mas também permitiu que as</w:t>
      </w:r>
      <w:r>
        <w:t xml:space="preserve"> </w:t>
      </w:r>
      <w:r>
        <w:rPr>
          <w:b/>
          <w:bCs/>
        </w:rPr>
        <w:t xml:space="preserve">preferências subjacentes</w:t>
      </w:r>
      <w:r>
        <w:t xml:space="preserve"> </w:t>
      </w:r>
      <w:r>
        <w:t xml:space="preserve">se manifestassem sem a distorção imposta pelo imposto inflacionário.</w:t>
      </w:r>
    </w:p>
    <w:p>
      <w:pPr>
        <w:pStyle w:val="BlockText"/>
      </w:pPr>
      <w:r>
        <w:t xml:space="preserve">O conceito de TMS decrescente ganha concretude nesse contexto: à medida que cestas de alimentação básica se tornaram acessíveis com menor fração da renda, os consumidores puderam mover-se ao longo de suas curvas de indiferença em direção a cestas mais diversificadas.</w:t>
      </w:r>
    </w:p>
    <w:p>
      <w:pPr>
        <w:pStyle w:val="BlockText"/>
      </w:pPr>
      <w:r>
        <w:t xml:space="preserve">Vasconcellos e Garcia (2014) contextualizam os ciclos econômicos brasileiros que moldaram essas transformações nas escolhas de consumo.</w:t>
      </w:r>
    </w:p>
    <w:p>
      <w:pPr>
        <w:pStyle w:val="BlockText"/>
      </w:pPr>
      <w:r>
        <w:rPr>
          <w:b/>
          <w:bCs/>
        </w:rPr>
        <w:t xml:space="preserve">Fonte</w:t>
      </w:r>
      <w:r>
        <w:t xml:space="preserve">: IBGE, Pesquisa de Orçamentos Familiares (várias edições); Barros, R. P. de; Foguel, M. N.; Ulyssea, G. (orgs.).</w:t>
      </w:r>
      <w:r>
        <w:t xml:space="preserve"> </w:t>
      </w:r>
      <w:r>
        <w:rPr>
          <w:i/>
          <w:iCs/>
        </w:rPr>
        <w:t xml:space="preserve">Desigualdade de renda no Brasil: uma análise da queda recente</w:t>
      </w:r>
      <w:r>
        <w:t xml:space="preserve">. Brasília: IPEA, 2007.</w:t>
      </w:r>
    </w:p>
    <w:p>
      <w:pPr>
        <w:pStyle w:val="BlockText"/>
      </w:pPr>
      <w:r>
        <w:rPr>
          <w:b/>
          <w:bCs/>
        </w:rPr>
        <w:t xml:space="preserve">[BOX MUNDO] Box Mundo 3.3 — Preferência revelada em big data: dados de scanner de supermercados e testes do GARP</w:t>
      </w:r>
    </w:p>
    <w:p>
      <w:pPr>
        <w:pStyle w:val="BlockText"/>
      </w:pPr>
      <w:r>
        <w:rPr>
          <w:b/>
          <w:bCs/>
        </w:rPr>
        <w:t xml:space="preserve">Contexto:</w:t>
      </w:r>
      <w:r>
        <w:t xml:space="preserve"> </w:t>
      </w:r>
      <w:r>
        <w:t xml:space="preserve">A teoria do consumidor desenvolvida neste capítulo repousa sobre axiomas — completude, transitividade, continuidade, monotonicidade — que são hipóteses sobre as preferências dos agentes. Mas como verificar empiricamente se consumidores reais se comportam de acordo com esses axiomas? A resposta clássica vem da teoria da preferência revelada (que será formalizada na Seção 5.9): se observarmos as escolhas de um consumidor em diferentes situações de preço e renda, podemos testar se essas escolhas são compatíveis com a maximização de alguma função de utilidade. O critério operacional é o</w:t>
      </w:r>
      <w:r>
        <w:t xml:space="preserve"> </w:t>
      </w:r>
      <w:r>
        <w:rPr>
          <w:b/>
          <w:bCs/>
        </w:rPr>
        <w:t xml:space="preserve">Axioma Generalizado da Preferência Revelada</w:t>
      </w:r>
      <w:r>
        <w:t xml:space="preserve"> </w:t>
      </w:r>
      <w:r>
        <w:t xml:space="preserve">(GARP,</w:t>
      </w:r>
      <w:r>
        <w:t xml:space="preserve"> </w:t>
      </w:r>
      <w:r>
        <w:rPr>
          <w:i/>
          <w:iCs/>
        </w:rPr>
        <w:t xml:space="preserve">Generalized Axiom of Revealed Preference</w:t>
      </w:r>
      <w:r>
        <w:t xml:space="preserve">), formulado por Varian (1982): se as escolhas observadas satisfazem o GARP, então existe uma função de utilidade que as racionaliza. A revolução dos dados de scanner de supermercados — registros eletrônicos de cada item comprado por cada consumidor — abriu, a partir dos anos 2000, a possibilidade de testar essa hipótese com milhões de observações individuais.</w:t>
      </w:r>
    </w:p>
    <w:p>
      <w:pPr>
        <w:pStyle w:val="BlockText"/>
      </w:pPr>
      <w:r>
        <w:rPr>
          <w:b/>
          <w:bCs/>
        </w:rPr>
        <w:t xml:space="preserve">Dados:</w:t>
      </w:r>
      <w:r>
        <w:t xml:space="preserve"> </w:t>
      </w:r>
      <w:r>
        <w:t xml:space="preserve">Echenique, Lee e Shum (2011,</w:t>
      </w:r>
      <w:r>
        <w:t xml:space="preserve"> </w:t>
      </w:r>
      <w:r>
        <w:rPr>
          <w:i/>
          <w:iCs/>
        </w:rPr>
        <w:t xml:space="preserve">American Economic Review</w:t>
      </w:r>
      <w:r>
        <w:t xml:space="preserve">) utilizaram dados de scanner do painel Homescan da Nielsen, que rastreia todas as compras de supermercado de uma amostra representativa de famílias americanas ao longo de vários anos. Com observações de preços e quantidades de centenas de produtos para cada família, os autores testaram o GARP individualmente para mais de 500 famílias. O resultado principal: apenas cerca de 5% das famílias apresentaram violações do GARP, e mesmo essas violações foram de magnitude pequena — medidas pelo índice de Afriat (1967), que quantifica o grau de inconsistência, as violações raramente ultrapassaram 1% do orçamento. Dean e Martin (2016,</w:t>
      </w:r>
      <w:r>
        <w:t xml:space="preserve"> </w:t>
      </w:r>
      <w:r>
        <w:rPr>
          <w:i/>
          <w:iCs/>
        </w:rPr>
        <w:t xml:space="preserve">American Economic Review</w:t>
      </w:r>
      <w:r>
        <w:t xml:space="preserve">) confirmaram esses resultados usando dados experimentais com escolhas sobre cestas reais de bens, encontrando taxas de violação do GARP inferiores a 10%. Na Europa, Cherchye, De Rock e Vermeulen (2011,</w:t>
      </w:r>
      <w:r>
        <w:t xml:space="preserve"> </w:t>
      </w:r>
      <w:r>
        <w:rPr>
          <w:i/>
          <w:iCs/>
        </w:rPr>
        <w:t xml:space="preserve">Review of Economics and Statistics</w:t>
      </w:r>
      <w:r>
        <w:t xml:space="preserve">) aplicaram testes de preferência revelada a microdados belgas e holandeses, concluindo que o modelo coletivo de consumo domiciliar (onde marido e mulher têm preferências distintas) racionaliza os dados significativamente melhor do que o modelo unitário — evidência de que a unidade de decisão importa para a validade dos axiomas.</w:t>
      </w:r>
    </w:p>
    <w:p>
      <w:pPr>
        <w:pStyle w:val="BlockText"/>
      </w:pPr>
      <w:r>
        <w:rPr>
          <w:b/>
          <w:bCs/>
        </w:rPr>
        <w:t xml:space="preserve">Análise:</w:t>
      </w:r>
      <w:r>
        <w:t xml:space="preserve"> </w:t>
      </w:r>
      <w:r>
        <w:t xml:space="preserve">Esses resultados fornecem suporte empírico notável para os axiomas apresentados na Seção 3.1: na grande maioria dos casos, as escolhas de consumo observadas em dados de alta frequência são compatíveis com a existência de uma função de utilidade racional. A taxa de violação de 5% é consistente com a evidência de intransitividade discutida no Box Mundo 3.1 — violações existem, mas são a exceção, não a regra. Do ponto de vista da Seção 3.7 (invariância ordinal), os testes de preferência revelada são particularmente elegantes: eles verificam se existe</w:t>
      </w:r>
      <w:r>
        <w:t xml:space="preserve"> </w:t>
      </w:r>
      <w:r>
        <w:rPr>
          <w:i/>
          <w:iCs/>
        </w:rPr>
        <w:t xml:space="preserve">alguma</w:t>
      </w:r>
      <w:r>
        <w:t xml:space="preserve"> </w:t>
      </w:r>
      <w:r>
        <w:t xml:space="preserve">função de utilidade compatível com os dados, sem impor uma forma funcional específica (Cobb-Douglas, CES, etc.) — exatamente porque a utilidade é ordinal e qualquer transformação monotônica preserva o ordenamento. A explosão de dados de scanner e de compras online oferece oportunidades sem precedentes para testar a teoria do consumidor em escala, transformando os axiomas deste capítulo de postulados filosóficos em hipóteses empiricamente verificáveis.</w:t>
      </w:r>
    </w:p>
    <w:p>
      <w:pPr>
        <w:pStyle w:val="BlockText"/>
      </w:pPr>
      <w:r>
        <w:rPr>
          <w:b/>
          <w:bCs/>
        </w:rPr>
        <w:t xml:space="preserve">Fonte:</w:t>
      </w:r>
      <w:r>
        <w:t xml:space="preserve"> </w:t>
      </w:r>
      <w:r>
        <w:t xml:space="preserve">Varian, H. R. (1982). The nonparametric approach to demand analysis.</w:t>
      </w:r>
      <w:r>
        <w:t xml:space="preserve"> </w:t>
      </w:r>
      <w:r>
        <w:rPr>
          <w:i/>
          <w:iCs/>
        </w:rPr>
        <w:t xml:space="preserve">Econometrica</w:t>
      </w:r>
      <w:r>
        <w:t xml:space="preserve">, 50(4), 945–973. Echenique, F.; Lee, S.; Shum, M. (2011). The money pump as a measure of revealed preference violations.</w:t>
      </w:r>
      <w:r>
        <w:t xml:space="preserve"> </w:t>
      </w:r>
      <w:r>
        <w:rPr>
          <w:i/>
          <w:iCs/>
        </w:rPr>
        <w:t xml:space="preserve">American Economic Review</w:t>
      </w:r>
      <w:r>
        <w:t xml:space="preserve">, 101(4), 1645–1651. Cherchye, L.; De Rock, B.; Vermeulen, F. (2011). The revealed preference approach to collective consumption behaviour.</w:t>
      </w:r>
      <w:r>
        <w:t xml:space="preserve"> </w:t>
      </w:r>
      <w:r>
        <w:rPr>
          <w:i/>
          <w:iCs/>
        </w:rPr>
        <w:t xml:space="preserve">Review of Economics and Statistics</w:t>
      </w:r>
      <w:r>
        <w:t xml:space="preserve">, 93(1), 223–238.</w:t>
      </w:r>
    </w:p>
    <w:p>
      <w:pPr>
        <w:pStyle w:val="FirstParagraph"/>
      </w:pPr>
      <w:r>
        <w:t xml:space="preserve">Três convicções para levar deste capítulo:</w:t>
      </w:r>
    </w:p>
    <w:p>
      <w:pPr>
        <w:numPr>
          <w:ilvl w:val="0"/>
          <w:numId w:val="1082"/>
        </w:numPr>
      </w:pPr>
      <w:r>
        <w:rPr>
          <w:b/>
          <w:bCs/>
        </w:rPr>
        <w:t xml:space="preserve">Os axiomas são modestos — as consequências, não.</w:t>
      </w:r>
      <w:r>
        <w:t xml:space="preserve"> </w:t>
      </w:r>
      <w:r>
        <w:t xml:space="preserve">Exigir que o consumidor saiba comparar cestas e não se contradiga parece pouco. Mas desse ponto de partida modesto emerge todo o edifício: função de utilidade, curvas de indiferença, TMS, demandas, bem-estar. A desproporção entre premissa e consequência é o que torna a teoria elegante.</w:t>
      </w:r>
    </w:p>
    <w:p>
      <w:pPr>
        <w:numPr>
          <w:ilvl w:val="0"/>
          <w:numId w:val="1082"/>
        </w:numPr>
      </w:pPr>
      <w:r>
        <w:rPr>
          <w:b/>
          <w:bCs/>
        </w:rPr>
        <w:t xml:space="preserve">A forma funcional importa — e muito.</w:t>
      </w:r>
      <w:r>
        <w:t xml:space="preserve"> </w:t>
      </w:r>
      <w:r>
        <w:t xml:space="preserve">Cobb-Douglas, CES, Leontief e quase-linear não são caprichos algébricos: cada uma implica um comportamento de demanda, uma elasticidade de substituição e uma resposta à renda</w:t>
      </w:r>
      <w:r>
        <w:t xml:space="preserve"> </w:t>
      </w:r>
      <w:r>
        <w:rPr>
          <w:i/>
          <w:iCs/>
        </w:rPr>
        <w:t xml:space="preserve">qualitativamente diferente</w:t>
      </w:r>
      <w:r>
        <w:t xml:space="preserve">. Escolher a forma funcional errada é como usar o mapa errado — tecnicamente bonito, mas te leva ao destino errado.</w:t>
      </w:r>
    </w:p>
    <w:p>
      <w:pPr>
        <w:numPr>
          <w:ilvl w:val="0"/>
          <w:numId w:val="1082"/>
        </w:numPr>
      </w:pPr>
      <w:r>
        <w:rPr>
          <w:b/>
          <w:bCs/>
        </w:rPr>
        <w:t xml:space="preserve">A utilidade é ordinal — e isso é liberdade, não limitação.</w:t>
      </w:r>
      <w:r>
        <w:t xml:space="preserve"> </w:t>
      </w:r>
      <w:r>
        <w:t xml:space="preserve">A invariância sob transformações monotônicas significa que você pode trocar a</w:t>
      </w:r>
      <w:r>
        <w:t xml:space="preserve"> </w:t>
      </w:r>
      <w:r>
        <w:t xml:space="preserve">“régua”</w:t>
      </w:r>
      <w:r>
        <w:t xml:space="preserve"> </w:t>
      </w:r>
      <w:r>
        <w:t xml:space="preserve">sem perder informação econômica. Logaritmo, raiz, cubo — nada muda na economia. A TMS é a grandeza real; os números da utilidade são mera conveniência.</w:t>
      </w:r>
    </w:p>
    <w:p>
      <w:pPr>
        <w:pStyle w:val="FirstParagraph"/>
      </w:pPr>
      <w:r>
        <w:rPr>
          <w:i/>
          <w:iCs/>
        </w:rPr>
        <w:t xml:space="preserve">Sabemos o que o consumidor quer. No próximo capítulo, descobrimos o que ele pode — e o que ele escolhe.</w:t>
      </w:r>
    </w:p>
    <w:bookmarkEnd w:id="166"/>
    <w:bookmarkEnd w:id="167"/>
    <w:bookmarkStart w:id="175" w:name="exercícios-e-anpec-1"/>
    <w:p>
      <w:pPr>
        <w:pStyle w:val="Heading2"/>
      </w:pPr>
      <w:r>
        <w:t xml:space="preserve">Exercícios e ANPEC</w:t>
      </w:r>
    </w:p>
    <w:p>
      <w:pPr>
        <w:pStyle w:val="BlockText"/>
      </w:pPr>
      <w:r>
        <w:rPr>
          <w:b/>
          <w:bCs/>
        </w:rPr>
        <w:t xml:space="preserve">[DICA] Dados para exercicios empiricos</w:t>
      </w:r>
    </w:p>
    <w:p>
      <w:pPr>
        <w:pStyle w:val="Compact"/>
        <w:numPr>
          <w:ilvl w:val="0"/>
          <w:numId w:val="1083"/>
        </w:numPr>
      </w:pPr>
      <w:r>
        <w:rPr>
          <w:b/>
          <w:bCs/>
        </w:rPr>
        <w:t xml:space="preserve">POF/IBGE (cestas de consumo):</w:t>
      </w:r>
      <w:r>
        <w:t xml:space="preserve"> </w:t>
      </w:r>
      <w:hyperlink r:id="rId168">
        <w:r>
          <w:rPr>
            <w:rStyle w:val="Hyperlink"/>
          </w:rPr>
          <w:t xml:space="preserve">sidra.ibge.gov.br</w:t>
        </w:r>
      </w:hyperlink>
      <w:r>
        <w:t xml:space="preserve"> </w:t>
      </w:r>
      <w:r>
        <w:t xml:space="preserve">— Tabelas 7169–7175 (POF 2017-2018). Explore como familias de diferentes faixas de renda alocam gastos entre alimentacao, transporte e lazer — revelando preferencias diferentes.</w:t>
      </w:r>
    </w:p>
    <w:p>
      <w:pPr>
        <w:pStyle w:val="Compact"/>
        <w:numPr>
          <w:ilvl w:val="0"/>
          <w:numId w:val="1083"/>
        </w:numPr>
      </w:pPr>
      <w:r>
        <w:rPr>
          <w:b/>
          <w:bCs/>
        </w:rPr>
        <w:t xml:space="preserve">PNAD Continua (consumo e renda):</w:t>
      </w:r>
      <w:r>
        <w:t xml:space="preserve"> </w:t>
      </w:r>
      <w:hyperlink r:id="rId169">
        <w:r>
          <w:rPr>
            <w:rStyle w:val="Hyperlink"/>
          </w:rPr>
          <w:t xml:space="preserve">ibge.gov.br/pnadc</w:t>
        </w:r>
      </w:hyperlink>
      <w:r>
        <w:t xml:space="preserve"> </w:t>
      </w:r>
      <w:r>
        <w:t xml:space="preserve">— Series trimestrais para analisar como a composicao do consumo muda com a renda (curvas de Engel).</w:t>
      </w:r>
    </w:p>
    <w:p>
      <w:pPr>
        <w:pStyle w:val="Compact"/>
        <w:numPr>
          <w:ilvl w:val="0"/>
          <w:numId w:val="1083"/>
        </w:numPr>
      </w:pPr>
      <w:r>
        <w:rPr>
          <w:b/>
          <w:bCs/>
        </w:rPr>
        <w:t xml:space="preserve">Notebook:</w:t>
      </w:r>
      <w:r>
        <w:t xml:space="preserve"> </w:t>
      </w:r>
      <w:r>
        <w:t xml:space="preserve">N1 — Elasticidades de alimentos (POF 2017-2018, metodo de Deaton).</w:t>
      </w:r>
    </w:p>
    <w:p>
      <w:pPr>
        <w:pStyle w:val="FirstParagraph"/>
      </w:pPr>
      <w:r>
        <w:t xml:space="preserve">[FIGURA INTERATIVA: /micro-book/graficos/cap03/webr-utilidade.html — versao interativa disponivel online]</w:t>
      </w:r>
    </w:p>
    <w:p>
      <w:pPr>
        <w:pStyle w:val="BodyText"/>
      </w:pPr>
      <w:r>
        <w:rPr>
          <w:b/>
          <w:bCs/>
        </w:rPr>
        <w:t xml:space="preserve">WebR 3.1 — Curvas de indiferença comparadas.</w:t>
      </w:r>
      <w:r>
        <w:t xml:space="preserve"> </w:t>
      </w:r>
      <w:r>
        <w:t xml:space="preserve">Troque entre Cobb-Douglas, CES, quaselinear e substitutos perfeitos. Altere o parâmetro ρ na CES para ver a transição de substitutos (isoquantas retas) a complementos (formato de L).</w:t>
      </w:r>
    </w:p>
    <w:p>
      <w:pPr>
        <w:pStyle w:val="BodyText"/>
      </w:pPr>
      <w:r>
        <w:t xml:space="preserve">[FIGURA INTERATIVA: /micro-book/graficos/cap03/webr-tms.html — versao interativa disponivel online]</w:t>
      </w:r>
    </w:p>
    <w:p>
      <w:pPr>
        <w:pStyle w:val="BodyText"/>
      </w:pPr>
      <w:r>
        <w:rPr>
          <w:b/>
          <w:bCs/>
        </w:rPr>
        <w:t xml:space="preserve">WebR 3.2 — TMS ao longo da curva de indiferença.</w:t>
      </w:r>
      <w:r>
        <w:t xml:space="preserve"> </w:t>
      </w:r>
      <w:r>
        <w:t xml:space="preserve">Calcule a TMS em vários pontos de uma Cobb-Douglas e veja a tangente mudar. Observe: quanto mais x você tem, menos y está disposto a trocar — convexidade em ação.</w:t>
      </w:r>
    </w:p>
    <w:p>
      <w:pPr>
        <w:pStyle w:val="BodyText"/>
      </w:pPr>
      <w:r>
        <w:t xml:space="preserve">[FIGURA INTERATIVA: /micro-book/graficos/cap03/webr-preferencias.html — versao interativa disponivel online]</w:t>
      </w:r>
    </w:p>
    <w:p>
      <w:pPr>
        <w:pStyle w:val="BodyText"/>
      </w:pPr>
      <w:r>
        <w:rPr>
          <w:b/>
          <w:bCs/>
        </w:rPr>
        <w:t xml:space="preserve">WebR 3.3 — Zoológico de preferências.</w:t>
      </w:r>
      <w:r>
        <w:t xml:space="preserve"> </w:t>
      </w:r>
      <w:r>
        <w:t xml:space="preserve">Quatro famílias em 4 painéis: Cobb-Douglas (suave), substitutos perfeitos (retas), Leontief (L) e quase-linear (paralelas). Cada forma de CI conta uma história diferente sobre como o consumidor troca bens.</w:t>
      </w:r>
    </w:p>
    <w:p>
      <w:pPr>
        <w:pStyle w:val="BodyText"/>
      </w:pPr>
      <w:r>
        <w:t xml:space="preserve">[FIGURA INTERATIVA: /micro-book/graficos/cap03/webr-transf-monotonica.html — versao interativa disponivel online]</w:t>
      </w:r>
    </w:p>
    <w:p>
      <w:pPr>
        <w:pStyle w:val="BodyText"/>
      </w:pPr>
      <w:r>
        <w:rPr>
          <w:b/>
          <w:bCs/>
        </w:rPr>
        <w:t xml:space="preserve">WebR 3.4 — Transformação monotônica preserva tudo.</w:t>
      </w:r>
      <w:r>
        <w:t xml:space="preserve"> </w:t>
      </w:r>
      <w:r>
        <w:t xml:space="preserve">Três funções utilidade (U, ln U, U²) geram a</w:t>
      </w:r>
      <w:r>
        <w:t xml:space="preserve"> </w:t>
      </w:r>
      <w:r>
        <w:rPr>
          <w:i/>
          <w:iCs/>
        </w:rPr>
        <w:t xml:space="preserve">mesma</w:t>
      </w:r>
      <w:r>
        <w:t xml:space="preserve"> </w:t>
      </w:r>
      <w:r>
        <w:t xml:space="preserve">curva de indiferença e a</w:t>
      </w:r>
      <w:r>
        <w:t xml:space="preserve"> </w:t>
      </w:r>
      <w:r>
        <w:rPr>
          <w:i/>
          <w:iCs/>
        </w:rPr>
        <w:t xml:space="preserve">mesma</w:t>
      </w:r>
      <w:r>
        <w:t xml:space="preserve"> </w:t>
      </w:r>
      <w:r>
        <w:t xml:space="preserve">TMS. A utilidade é ordinal: só o ranking importa, não o número.</w:t>
      </w:r>
    </w:p>
    <w:p>
      <w:r>
        <w:pict>
          <v:rect style="width:0;height:1.5pt" o:hralign="center" o:hrstd="t" o:hr="t"/>
        </w:pict>
      </w:r>
    </w:p>
    <w:p>
      <w:pPr>
        <w:pStyle w:val="BlockText"/>
      </w:pPr>
      <w:r>
        <w:rPr>
          <w:b/>
          <w:bCs/>
        </w:rPr>
        <w:t xml:space="preserve">[ATIVIDADE DE SALA] Atividade 3.1 — Desenhando suas próprias curvas de indiferença (20 min)</w:t>
      </w:r>
    </w:p>
    <w:p>
      <w:pPr>
        <w:pStyle w:val="BlockText"/>
      </w:pPr>
      <w:r>
        <w:rPr>
          <w:b/>
          <w:bCs/>
        </w:rPr>
        <w:t xml:space="preserve">Objetivo:</w:t>
      </w:r>
      <w:r>
        <w:t xml:space="preserve"> </w:t>
      </w:r>
      <w:r>
        <w:t xml:space="preserve">Descobrir, por introspecção guiada, que preferências pessoais geram curvas de indiferença — e que a TMS varia ao longo delas.</w:t>
      </w:r>
    </w:p>
    <w:p>
      <w:pPr>
        <w:pStyle w:val="BlockText"/>
      </w:pPr>
      <w:r>
        <w:rPr>
          <w:b/>
          <w:bCs/>
        </w:rPr>
        <w:t xml:space="preserve">Material:</w:t>
      </w:r>
      <w:r>
        <w:t xml:space="preserve"> </w:t>
      </w:r>
      <w:r>
        <w:t xml:space="preserve">Folha quadriculada, caneta colorida.</w:t>
      </w:r>
    </w:p>
    <w:p>
      <w:pPr>
        <w:pStyle w:val="BlockText"/>
      </w:pPr>
      <w:r>
        <w:rPr>
          <w:b/>
          <w:bCs/>
        </w:rPr>
        <w:t xml:space="preserve">Protocolo:</w:t>
      </w:r>
    </w:p>
    <w:p>
      <w:pPr>
        <w:pStyle w:val="Compact"/>
        <w:numPr>
          <w:ilvl w:val="0"/>
          <w:numId w:val="1084"/>
        </w:numPr>
      </w:pPr>
      <w:r>
        <w:rPr>
          <w:b/>
          <w:bCs/>
        </w:rPr>
        <w:t xml:space="preserve">Setup</w:t>
      </w:r>
      <w:r>
        <w:t xml:space="preserve"> </w:t>
      </w:r>
      <w:r>
        <w:t xml:space="preserve">(3 min):</w:t>
      </w:r>
      <w:r>
        <w:t xml:space="preserve"> </w:t>
      </w:r>
      <w:r>
        <w:t xml:space="preserve">“Eixo horizontal = horas de Netflix por semana. Eixo vertical = horas de academia por semana. Marque o ponto (10, 2) — sua dotação atual.”</w:t>
      </w:r>
    </w:p>
    <w:p>
      <w:pPr>
        <w:pStyle w:val="Compact"/>
        <w:numPr>
          <w:ilvl w:val="0"/>
          <w:numId w:val="1084"/>
        </w:numPr>
      </w:pPr>
      <w:r>
        <w:rPr>
          <w:b/>
          <w:bCs/>
        </w:rPr>
        <w:t xml:space="preserve">Revelação de preferências</w:t>
      </w:r>
      <w:r>
        <w:t xml:space="preserve"> </w:t>
      </w:r>
      <w:r>
        <w:t xml:space="preserve">(7 min):</w:t>
      </w:r>
      <w:r>
        <w:t xml:space="preserve"> </w:t>
      </w:r>
      <w:r>
        <w:t xml:space="preserve">“Agora responda honestamente: se eu tirasse 2 horas de Netflix, quantas horas a mais de academia você precisaria para ficar</w:t>
      </w:r>
      <w:r>
        <w:t xml:space="preserve"> </w:t>
      </w:r>
      <w:r>
        <w:rPr>
          <w:i/>
          <w:iCs/>
        </w:rPr>
        <w:t xml:space="preserve">igualmente feliz</w:t>
      </w:r>
      <w:r>
        <w:t xml:space="preserve">?”</w:t>
      </w:r>
      <w:r>
        <w:t xml:space="preserve"> </w:t>
      </w:r>
      <w:r>
        <w:t xml:space="preserve">Marque o novo ponto. Repita para tirar mais 2 horas. E mais 2. Conecte os pontos — isso é sua curva de indiferença.</w:t>
      </w:r>
    </w:p>
    <w:p>
      <w:pPr>
        <w:pStyle w:val="Compact"/>
        <w:numPr>
          <w:ilvl w:val="0"/>
          <w:numId w:val="1084"/>
        </w:numPr>
      </w:pPr>
      <w:r>
        <w:rPr>
          <w:b/>
          <w:bCs/>
        </w:rPr>
        <w:t xml:space="preserve">Comparação em duplas</w:t>
      </w:r>
      <w:r>
        <w:t xml:space="preserve"> </w:t>
      </w:r>
      <w:r>
        <w:t xml:space="preserve">(4 min): Duplas comparam curvas. Pergunte:</w:t>
      </w:r>
      <w:r>
        <w:t xml:space="preserve"> </w:t>
      </w:r>
      <w:r>
        <w:t xml:space="preserve">“As curvas são iguais? Deveriam ser?”</w:t>
      </w:r>
      <w:r>
        <w:t xml:space="preserve"> </w:t>
      </w:r>
      <w:r>
        <w:t xml:space="preserve">→ Não! Preferências são subjetivas.</w:t>
      </w:r>
      <w:r>
        <w:t xml:space="preserve"> </w:t>
      </w:r>
      <w:r>
        <w:t xml:space="preserve">“Qual é a TMS de cada um no ponto (10, 2)?”</w:t>
      </w:r>
    </w:p>
    <w:p>
      <w:pPr>
        <w:pStyle w:val="Compact"/>
        <w:numPr>
          <w:ilvl w:val="0"/>
          <w:numId w:val="1084"/>
        </w:numPr>
      </w:pPr>
      <w:r>
        <w:rPr>
          <w:b/>
          <w:bCs/>
        </w:rPr>
        <w:t xml:space="preserve">Debrief</w:t>
      </w:r>
      <w:r>
        <w:t xml:space="preserve"> </w:t>
      </w:r>
      <w:r>
        <w:t xml:space="preserve">(6 min):</w:t>
      </w:r>
    </w:p>
    <w:p>
      <w:pPr>
        <w:pStyle w:val="Compact"/>
        <w:numPr>
          <w:ilvl w:val="1"/>
          <w:numId w:val="1085"/>
        </w:numPr>
      </w:pPr>
      <w:r>
        <w:t xml:space="preserve">“A curva ficou convexa (curvada para a origem)? Por quê?”</w:t>
      </w:r>
      <w:r>
        <w:t xml:space="preserve"> </w:t>
      </w:r>
      <w:r>
        <w:t xml:space="preserve">→ TMS decrescente: quando você já tem pouca Netflix, cada hora a menos dói mais.</w:t>
      </w:r>
    </w:p>
    <w:p>
      <w:pPr>
        <w:pStyle w:val="Compact"/>
        <w:numPr>
          <w:ilvl w:val="1"/>
          <w:numId w:val="1085"/>
        </w:numPr>
      </w:pPr>
      <w:r>
        <w:t xml:space="preserve">“Alguém desenhou uma reta?”</w:t>
      </w:r>
      <w:r>
        <w:t xml:space="preserve"> </w:t>
      </w:r>
      <w:r>
        <w:t xml:space="preserve">→ Substitutos perfeitos.</w:t>
      </w:r>
      <w:r>
        <w:t xml:space="preserve"> </w:t>
      </w:r>
      <w:r>
        <w:t xml:space="preserve">“Alguém fez um L?”</w:t>
      </w:r>
      <w:r>
        <w:t xml:space="preserve"> </w:t>
      </w:r>
      <w:r>
        <w:t xml:space="preserve">→ Complementos perfeitos.</w:t>
      </w:r>
    </w:p>
    <w:p>
      <w:pPr>
        <w:pStyle w:val="Compact"/>
        <w:numPr>
          <w:ilvl w:val="1"/>
          <w:numId w:val="1085"/>
        </w:numPr>
      </w:pPr>
      <w:r>
        <w:t xml:space="preserve">“Se eu multiplicar todos os números de utilidade por 2, a curva muda?”</w:t>
      </w:r>
      <w:r>
        <w:t xml:space="preserve"> </w:t>
      </w:r>
      <w:r>
        <w:t xml:space="preserve">→ Não. Transformação monotônica (Seção 3.7).</w:t>
      </w:r>
    </w:p>
    <w:p>
      <w:pPr>
        <w:pStyle w:val="Compact"/>
        <w:numPr>
          <w:ilvl w:val="1"/>
          <w:numId w:val="1085"/>
        </w:numPr>
      </w:pPr>
      <w:r>
        <w:t xml:space="preserve">Conecte: o exercício que vocês fizeram é exatamente como Edgeworth imaginou as curvas em 1881 — só que ele não tinha Netflix.</w:t>
      </w:r>
    </w:p>
    <w:p>
      <w:pPr>
        <w:pStyle w:val="BlockText"/>
      </w:pPr>
      <w:r>
        <w:rPr>
          <w:b/>
          <w:bCs/>
        </w:rPr>
        <w:t xml:space="preserve">Conexão com o conteúdo:</w:t>
      </w:r>
      <w:r>
        <w:t xml:space="preserve"> </w:t>
      </w:r>
      <w:r>
        <w:t xml:space="preserve">Seções 3.3 (curvas de indiferença), 3.4 (TMS), 3.6 (formas funcionais), 3.7 (transformações monotônicas).</w:t>
      </w:r>
    </w:p>
    <w:p>
      <w:pPr>
        <w:pStyle w:val="BlockText"/>
      </w:pPr>
      <w:r>
        <w:rPr>
          <w:b/>
          <w:bCs/>
        </w:rPr>
        <w:t xml:space="preserve">[ATIVIDADE DE SALA] Atividade 3.2 — O teste da transitividade: flagrando incoerência (10 min)</w:t>
      </w:r>
    </w:p>
    <w:p>
      <w:pPr>
        <w:pStyle w:val="BlockText"/>
      </w:pPr>
      <w:r>
        <w:rPr>
          <w:b/>
          <w:bCs/>
        </w:rPr>
        <w:t xml:space="preserve">Objetivo:</w:t>
      </w:r>
      <w:r>
        <w:t xml:space="preserve"> </w:t>
      </w:r>
      <w:r>
        <w:t xml:space="preserve">Testar se as preferências declaradas dos alunos satisfazem os axiomas — e mostrar que violações existem (e importam).</w:t>
      </w:r>
    </w:p>
    <w:p>
      <w:pPr>
        <w:pStyle w:val="BlockText"/>
      </w:pPr>
      <w:r>
        <w:rPr>
          <w:b/>
          <w:bCs/>
        </w:rPr>
        <w:t xml:space="preserve">Material:</w:t>
      </w:r>
      <w:r>
        <w:t xml:space="preserve"> </w:t>
      </w:r>
      <w:r>
        <w:t xml:space="preserve">3 cartões por aluno com opções escritas (ou projeção no slide).</w:t>
      </w:r>
    </w:p>
    <w:p>
      <w:pPr>
        <w:pStyle w:val="BlockText"/>
      </w:pPr>
      <w:r>
        <w:rPr>
          <w:b/>
          <w:bCs/>
        </w:rPr>
        <w:t xml:space="preserve">Protocolo:</w:t>
      </w:r>
    </w:p>
    <w:p>
      <w:pPr>
        <w:pStyle w:val="Compact"/>
        <w:numPr>
          <w:ilvl w:val="0"/>
          <w:numId w:val="1086"/>
        </w:numPr>
      </w:pPr>
      <w:r>
        <w:rPr>
          <w:b/>
          <w:bCs/>
        </w:rPr>
        <w:t xml:space="preserve">As opções</w:t>
      </w:r>
      <w:r>
        <w:t xml:space="preserve"> </w:t>
      </w:r>
      <w:r>
        <w:t xml:space="preserve">(2 min): Apresente três</w:t>
      </w:r>
      <w:r>
        <w:t xml:space="preserve"> </w:t>
      </w:r>
      <w:r>
        <w:t xml:space="preserve">“cestas”</w:t>
      </w:r>
      <w:r>
        <w:t xml:space="preserve"> </w:t>
      </w:r>
      <w:r>
        <w:t xml:space="preserve">de lazer para o fim de semana: (A) Cinema + pizza, (B) Futebol + churrasco, (C) Praia + açaí. Cada aluno vota nas comparações dois a dois: A vs. B, B vs. C, A vs. C (levantar a mão ou usar Mentimeter).</w:t>
      </w:r>
    </w:p>
    <w:p>
      <w:pPr>
        <w:pStyle w:val="Compact"/>
        <w:numPr>
          <w:ilvl w:val="0"/>
          <w:numId w:val="1086"/>
        </w:numPr>
      </w:pPr>
      <w:r>
        <w:rPr>
          <w:b/>
          <w:bCs/>
        </w:rPr>
        <w:t xml:space="preserve">Contagem</w:t>
      </w:r>
      <w:r>
        <w:t xml:space="preserve"> </w:t>
      </w:r>
      <w:r>
        <w:t xml:space="preserve">(3 min): O professor registra as proporções. Tipicamente, com preferências heterogêneas na turma, o resultado</w:t>
      </w:r>
      <w:r>
        <w:t xml:space="preserve"> </w:t>
      </w:r>
      <w:r>
        <w:rPr>
          <w:i/>
          <w:iCs/>
        </w:rPr>
        <w:t xml:space="preserve">agregado</w:t>
      </w:r>
      <w:r>
        <w:t xml:space="preserve"> </w:t>
      </w:r>
      <w:r>
        <w:t xml:space="preserve">pode violar transitividade: A &gt; B, B &gt; C, mas C &gt; A (Paradoxo de Condorcet!).</w:t>
      </w:r>
    </w:p>
    <w:p>
      <w:pPr>
        <w:pStyle w:val="Compact"/>
        <w:numPr>
          <w:ilvl w:val="0"/>
          <w:numId w:val="1086"/>
        </w:numPr>
      </w:pPr>
      <w:r>
        <w:rPr>
          <w:b/>
          <w:bCs/>
        </w:rPr>
        <w:t xml:space="preserve">Debrief</w:t>
      </w:r>
      <w:r>
        <w:t xml:space="preserve"> </w:t>
      </w:r>
      <w:r>
        <w:t xml:space="preserve">(5 min):</w:t>
      </w:r>
    </w:p>
    <w:p>
      <w:pPr>
        <w:pStyle w:val="Compact"/>
        <w:numPr>
          <w:ilvl w:val="1"/>
          <w:numId w:val="1087"/>
        </w:numPr>
      </w:pPr>
      <w:r>
        <w:t xml:space="preserve">“Se a</w:t>
      </w:r>
      <w:r>
        <w:t xml:space="preserve"> </w:t>
      </w:r>
      <w:r>
        <w:rPr>
          <w:i/>
          <w:iCs/>
        </w:rPr>
        <w:t xml:space="preserve">turma</w:t>
      </w:r>
      <w:r>
        <w:t xml:space="preserve"> </w:t>
      </w:r>
      <w:r>
        <w:t xml:space="preserve">fosse uma pessoa, ela seria irracional — prefere A a B, B a C, e C a A. Isso é possível para um indivíduo?”</w:t>
      </w:r>
      <w:r>
        <w:t xml:space="preserve"> </w:t>
      </w:r>
      <w:r>
        <w:t xml:space="preserve">→ Não, se satisfaz o axioma de transitividade.</w:t>
      </w:r>
    </w:p>
    <w:p>
      <w:pPr>
        <w:pStyle w:val="Compact"/>
        <w:numPr>
          <w:ilvl w:val="1"/>
          <w:numId w:val="1087"/>
        </w:numPr>
      </w:pPr>
      <w:r>
        <w:t xml:space="preserve">“Mas o</w:t>
      </w:r>
      <w:r>
        <w:t xml:space="preserve"> </w:t>
      </w:r>
      <w:r>
        <w:rPr>
          <w:i/>
          <w:iCs/>
        </w:rPr>
        <w:t xml:space="preserve">grupo</w:t>
      </w:r>
      <w:r>
        <w:t xml:space="preserve"> </w:t>
      </w:r>
      <w:r>
        <w:t xml:space="preserve">violou. O que isso significa?”</w:t>
      </w:r>
      <w:r>
        <w:t xml:space="preserve"> </w:t>
      </w:r>
      <w:r>
        <w:t xml:space="preserve">→ Agregação de preferências individuais racionais pode gerar intransitividade coletiva — antecipe o Teorema de Arrow (Capítulo 14, Seção 14.12).</w:t>
      </w:r>
    </w:p>
    <w:p>
      <w:pPr>
        <w:pStyle w:val="Compact"/>
        <w:numPr>
          <w:ilvl w:val="1"/>
          <w:numId w:val="1087"/>
        </w:numPr>
      </w:pPr>
      <w:r>
        <w:t xml:space="preserve">Feche:</w:t>
      </w:r>
      <w:r>
        <w:t xml:space="preserve"> </w:t>
      </w:r>
      <w:r>
        <w:t xml:space="preserve">“Os axiomas do Capítulo 3 são sobre</w:t>
      </w:r>
      <w:r>
        <w:t xml:space="preserve"> </w:t>
      </w:r>
      <w:r>
        <w:rPr>
          <w:i/>
          <w:iCs/>
        </w:rPr>
        <w:t xml:space="preserve">indivíduos</w:t>
      </w:r>
      <w:r>
        <w:t xml:space="preserve">. Para</w:t>
      </w:r>
      <w:r>
        <w:t xml:space="preserve"> </w:t>
      </w:r>
      <w:r>
        <w:rPr>
          <w:i/>
          <w:iCs/>
        </w:rPr>
        <w:t xml:space="preserve">sociedades</w:t>
      </w:r>
      <w:r>
        <w:t xml:space="preserve">, a coisa complica — e Arrow ganhou o Nobel por explicar por quê.”</w:t>
      </w:r>
    </w:p>
    <w:p>
      <w:pPr>
        <w:pStyle w:val="BlockText"/>
      </w:pPr>
      <w:r>
        <w:rPr>
          <w:b/>
          <w:bCs/>
        </w:rPr>
        <w:t xml:space="preserve">Conexão com o conteúdo:</w:t>
      </w:r>
      <w:r>
        <w:t xml:space="preserve"> </w:t>
      </w:r>
      <w:r>
        <w:t xml:space="preserve">Seções 3.1 (axiomas de completude e transitividade), antecipação do Capítulo 14, Seção 14.12 (Escolha Social e Teorema de Arrow).</w:t>
      </w:r>
    </w:p>
    <w:p>
      <w:r>
        <w:pict>
          <v:rect style="width:0;height:1.5pt" o:hralign="center" o:hrstd="t" o:hr="t"/>
        </w:pict>
      </w:r>
    </w:p>
    <w:bookmarkStart w:id="170" w:name="revisão-rápida-1"/>
    <w:p>
      <w:pPr>
        <w:pStyle w:val="Heading3"/>
      </w:pPr>
      <w:r>
        <w:t xml:space="preserve">Revisão Rápida</w:t>
      </w:r>
    </w:p>
    <w:p>
      <w:pPr>
        <w:pStyle w:val="FirstParagraph"/>
      </w:pPr>
      <w:r>
        <w:t xml:space="preserve">Teste seu entendimento dos conceitos centrais deste capítulo.</w:t>
      </w:r>
    </w:p>
    <w:p>
      <w:pPr>
        <w:pStyle w:val="BlockText"/>
      </w:pPr>
      <w:r>
        <w:rPr>
          <w:b/>
          <w:bCs/>
        </w:rPr>
        <w:t xml:space="preserve">[QUESTAO] 1. O axioma de transitividade das preferências implica que:</w:t>
      </w:r>
    </w:p>
    <w:p>
      <w:pPr>
        <w:pStyle w:val="Compact"/>
        <w:numPr>
          <w:ilvl w:val="0"/>
          <w:numId w:val="1088"/>
        </w:numPr>
      </w:pPr>
    </w:p>
    <w:p>
      <w:pPr>
        <w:pStyle w:val="Compact"/>
        <w:numPr>
          <w:ilvl w:val="1"/>
          <w:numId w:val="1089"/>
        </w:numPr>
      </w:pPr>
      <w:r>
        <w:t xml:space="preserve">O consumidor sempre prefere mais a menos</w:t>
      </w:r>
    </w:p>
    <w:p>
      <w:pPr>
        <w:pStyle w:val="Compact"/>
        <w:numPr>
          <w:ilvl w:val="0"/>
          <w:numId w:val="1088"/>
        </w:numPr>
      </w:pPr>
    </w:p>
    <w:p>
      <w:pPr>
        <w:pStyle w:val="Compact"/>
        <w:numPr>
          <w:ilvl w:val="1"/>
          <w:numId w:val="1090"/>
        </w:numPr>
      </w:pPr>
      <w:r>
        <w:t xml:space="preserve">Se</w:t>
      </w:r>
      <w:r>
        <w:t xml:space="preserve"> </w:t>
      </w:r>
      <m:oMath>
        <m:r>
          <m:t>A</m:t>
        </m:r>
        <m:r>
          <m:rPr>
            <m:sty m:val="p"/>
          </m:rPr>
          <m:t>≿</m:t>
        </m:r>
        <m:r>
          <m:t>B</m:t>
        </m:r>
      </m:oMath>
      <w:r>
        <w:t xml:space="preserve"> </w:t>
      </w:r>
      <w:r>
        <w:t xml:space="preserve">e</w:t>
      </w:r>
      <w:r>
        <w:t xml:space="preserve"> </w:t>
      </w:r>
      <m:oMath>
        <m:r>
          <m:t>B</m:t>
        </m:r>
        <m:r>
          <m:rPr>
            <m:sty m:val="p"/>
          </m:rPr>
          <m:t>≿</m:t>
        </m:r>
        <m:r>
          <m:t>C</m:t>
        </m:r>
      </m:oMath>
      <w:r>
        <w:t xml:space="preserve">, então</w:t>
      </w:r>
      <w:r>
        <w:t xml:space="preserve"> </w:t>
      </w:r>
      <m:oMath>
        <m:r>
          <m:t>A</m:t>
        </m:r>
        <m:r>
          <m:rPr>
            <m:sty m:val="p"/>
          </m:rPr>
          <m:t>≿</m:t>
        </m:r>
        <m:r>
          <m:t>C</m:t>
        </m:r>
      </m:oMath>
    </w:p>
    <w:p>
      <w:pPr>
        <w:pStyle w:val="Compact"/>
        <w:numPr>
          <w:ilvl w:val="0"/>
          <w:numId w:val="1088"/>
        </w:numPr>
      </w:pPr>
    </w:p>
    <w:p>
      <w:pPr>
        <w:pStyle w:val="Compact"/>
        <w:numPr>
          <w:ilvl w:val="1"/>
          <w:numId w:val="1091"/>
        </w:numPr>
      </w:pPr>
      <w:r>
        <w:t xml:space="preserve">O consumidor consegue comparar quaisquer duas cestas</w:t>
      </w:r>
    </w:p>
    <w:p>
      <w:pPr>
        <w:pStyle w:val="Compact"/>
        <w:numPr>
          <w:ilvl w:val="0"/>
          <w:numId w:val="1088"/>
        </w:numPr>
      </w:pPr>
    </w:p>
    <w:p>
      <w:pPr>
        <w:pStyle w:val="Compact"/>
        <w:numPr>
          <w:ilvl w:val="1"/>
          <w:numId w:val="1092"/>
        </w:numPr>
      </w:pPr>
      <w:r>
        <w:t xml:space="preserve">A utilidade marginal é sempre decrescente</w:t>
      </w:r>
    </w:p>
    <w:p>
      <w:pPr>
        <w:pStyle w:val="BlockText"/>
      </w:pPr>
      <w:r>
        <w:t xml:space="preserve">??? success</w:t>
      </w:r>
      <w:r>
        <w:t xml:space="preserve"> </w:t>
      </w:r>
      <w:r>
        <w:t xml:space="preserve">“Resposta”</w:t>
      </w:r>
      <w:r>
        <w:t xml:space="preserve"> </w:t>
      </w:r>
      <w:r>
        <w:rPr>
          <w:b/>
          <w:bCs/>
        </w:rPr>
        <w:t xml:space="preserve">(b)</w:t>
      </w:r>
      <w:r>
        <w:t xml:space="preserve"> </w:t>
      </w:r>
      <w:r>
        <w:t xml:space="preserve">Transitividade exige consistência nas ordenações: se A é pelo menos tão bom quanto B, e B pelo menos tão bom quanto C, então A deve ser pelo menos tão bom quanto C. A alternativa (a) descreve monotonicidade; (c) descreve completude; (d) é uma propriedade da função de utilidade, não um axioma sobre preferências.</w:t>
      </w:r>
    </w:p>
    <w:p>
      <w:pPr>
        <w:pStyle w:val="BlockText"/>
      </w:pPr>
      <w:r>
        <w:rPr>
          <w:b/>
          <w:bCs/>
        </w:rPr>
        <w:t xml:space="preserve">[QUESTAO] 2. Se</w:t>
      </w:r>
      <w:r>
        <w:rPr>
          <w:b/>
          <w:bCs/>
        </w:rP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0</m:t>
            </m:r>
            <m:r>
              <m:rPr>
                <m:sty m:val="p"/>
              </m:rPr>
              <m:t>,</m:t>
            </m:r>
            <m:r>
              <m:t>5</m:t>
            </m:r>
          </m:sup>
        </m:sSubSup>
        <m:sSubSup>
          <m:e>
            <m:r>
              <m:t>x</m:t>
            </m:r>
          </m:e>
          <m:sub>
            <m:r>
              <m:t>2</m:t>
            </m:r>
          </m:sub>
          <m:sup>
            <m:r>
              <m:t>0</m:t>
            </m:r>
            <m:r>
              <m:rPr>
                <m:sty m:val="p"/>
              </m:rPr>
              <m:t>,</m:t>
            </m:r>
            <m:r>
              <m:t>5</m:t>
            </m:r>
          </m:sup>
        </m:sSubSup>
      </m:oMath>
      <w:r>
        <w:rPr>
          <w:b/>
          <w:bCs/>
        </w:rPr>
        <w:t xml:space="preserve"> </w:t>
      </w:r>
      <w:r>
        <w:rPr>
          <w:b/>
          <w:bCs/>
        </w:rPr>
        <w:t xml:space="preserve">e</w:t>
      </w:r>
      <w:r>
        <w:rPr>
          <w:b/>
          <w:bCs/>
        </w:rPr>
        <w:t xml:space="preserve"> </w:t>
      </w:r>
      <m:oMath>
        <m:r>
          <m:t>v</m:t>
        </m:r>
        <m:r>
          <m:rPr>
            <m:sty m:val="p"/>
          </m:rPr>
          <m:t>=</m:t>
        </m:r>
        <m:r>
          <m:t>2</m:t>
        </m:r>
        <m:r>
          <m:t>u</m:t>
        </m:r>
        <m:r>
          <m:rPr>
            <m:sty m:val="p"/>
          </m:rPr>
          <m:t>+</m:t>
        </m:r>
        <m:r>
          <m:t>10</m:t>
        </m:r>
      </m:oMath>
      <w:r>
        <w:rPr>
          <w:b/>
          <w:bCs/>
        </w:rPr>
        <w:t xml:space="preserve">, é correto afirmar que:</w:t>
      </w:r>
    </w:p>
    <w:p>
      <w:pPr>
        <w:pStyle w:val="Compact"/>
        <w:numPr>
          <w:ilvl w:val="0"/>
          <w:numId w:val="1093"/>
        </w:numPr>
      </w:pPr>
    </w:p>
    <w:p>
      <w:pPr>
        <w:pStyle w:val="Compact"/>
        <w:numPr>
          <w:ilvl w:val="1"/>
          <w:numId w:val="1094"/>
        </w:numPr>
      </w:pPr>
      <m:oMath>
        <m:r>
          <m:t>v</m:t>
        </m:r>
      </m:oMath>
      <w:r>
        <w:t xml:space="preserve"> </w:t>
      </w:r>
      <w:r>
        <w:t xml:space="preserve">representa preferências diferentes de</w:t>
      </w:r>
      <w:r>
        <w:t xml:space="preserve"> </w:t>
      </w:r>
      <m:oMath>
        <m:r>
          <m:t>u</m:t>
        </m:r>
      </m:oMath>
      <w:r>
        <w:t xml:space="preserve">, pois os valores numéricos mudam</w:t>
      </w:r>
    </w:p>
    <w:p>
      <w:pPr>
        <w:pStyle w:val="Compact"/>
        <w:numPr>
          <w:ilvl w:val="0"/>
          <w:numId w:val="1093"/>
        </w:numPr>
      </w:pPr>
    </w:p>
    <w:p>
      <w:pPr>
        <w:pStyle w:val="Compact"/>
        <w:numPr>
          <w:ilvl w:val="1"/>
          <w:numId w:val="1095"/>
        </w:numPr>
      </w:pPr>
      <m:oMath>
        <m:r>
          <m:t>v</m:t>
        </m:r>
      </m:oMath>
      <w:r>
        <w:t xml:space="preserve"> </w:t>
      </w:r>
      <w:r>
        <w:t xml:space="preserve">representa as mesmas preferências, pois é uma transformação monotônica crescente de</w:t>
      </w:r>
      <w:r>
        <w:t xml:space="preserve"> </w:t>
      </w:r>
      <m:oMath>
        <m:r>
          <m:t>u</m:t>
        </m:r>
      </m:oMath>
    </w:p>
    <w:p>
      <w:pPr>
        <w:pStyle w:val="Compact"/>
        <w:numPr>
          <w:ilvl w:val="0"/>
          <w:numId w:val="1093"/>
        </w:numPr>
      </w:pPr>
    </w:p>
    <w:p>
      <w:pPr>
        <w:pStyle w:val="Compact"/>
        <w:numPr>
          <w:ilvl w:val="1"/>
          <w:numId w:val="1096"/>
        </w:numPr>
      </w:pPr>
      <m:oMath>
        <m:r>
          <m:t>v</m:t>
        </m:r>
      </m:oMath>
      <w:r>
        <w:t xml:space="preserve"> </w:t>
      </w:r>
      <w:r>
        <w:t xml:space="preserve">só representa as mesmas preferências se a renda do consumidor não mudar</w:t>
      </w:r>
    </w:p>
    <w:p>
      <w:pPr>
        <w:pStyle w:val="Compact"/>
        <w:numPr>
          <w:ilvl w:val="0"/>
          <w:numId w:val="1093"/>
        </w:numPr>
      </w:pPr>
    </w:p>
    <w:p>
      <w:pPr>
        <w:pStyle w:val="Compact"/>
        <w:numPr>
          <w:ilvl w:val="1"/>
          <w:numId w:val="1097"/>
        </w:numPr>
      </w:pPr>
      <m:oMath>
        <m:r>
          <m:t>v</m:t>
        </m:r>
      </m:oMath>
      <w:r>
        <w:t xml:space="preserve"> </w:t>
      </w:r>
      <w:r>
        <w:t xml:space="preserve">inverte a ordenação das cestas em relação a</w:t>
      </w:r>
      <w:r>
        <w:t xml:space="preserve"> </w:t>
      </w:r>
      <m:oMath>
        <m:r>
          <m:t>u</m:t>
        </m:r>
      </m:oMath>
    </w:p>
    <w:p>
      <w:pPr>
        <w:pStyle w:val="BlockText"/>
      </w:pPr>
      <w:r>
        <w:t xml:space="preserve">??? success</w:t>
      </w:r>
      <w:r>
        <w:t xml:space="preserve"> </w:t>
      </w:r>
      <w:r>
        <w:t xml:space="preserve">“Resposta”</w:t>
      </w:r>
      <w:r>
        <w:t xml:space="preserve"> </w:t>
      </w:r>
      <w:r>
        <w:rPr>
          <w:b/>
          <w:bCs/>
        </w:rPr>
        <w:t xml:space="preserve">(b)</w:t>
      </w:r>
      <w:r>
        <w:t xml:space="preserve"> </w:t>
      </w:r>
      <w:r>
        <w:t xml:space="preserve">A função de utilidade é ordinal: qualquer transformação monotônica crescente</w:t>
      </w:r>
      <w:r>
        <w:t xml:space="preserve"> </w:t>
      </w:r>
      <m:oMath>
        <m:r>
          <m:t>v</m:t>
        </m:r>
        <m:r>
          <m:rPr>
            <m:sty m:val="p"/>
          </m:rPr>
          <m:t>=</m:t>
        </m:r>
        <m:r>
          <m:t>g</m:t>
        </m:r>
        <m:r>
          <m:rPr>
            <m:sty m:val="p"/>
          </m:rPr>
          <m:t>(</m:t>
        </m:r>
        <m:r>
          <m:t>u</m:t>
        </m:r>
        <m:r>
          <m:rPr>
            <m:sty m:val="p"/>
          </m:rPr>
          <m:t>)</m:t>
        </m:r>
      </m:oMath>
      <w:r>
        <w:t xml:space="preserve"> </w:t>
      </w:r>
      <w:r>
        <w:t xml:space="preserve">com</w:t>
      </w:r>
      <w:r>
        <w:t xml:space="preserve"> </w:t>
      </w:r>
      <m:oMath>
        <m:sSup>
          <m:e>
            <m:r>
              <m:t>g</m:t>
            </m:r>
          </m:e>
          <m:sup>
            <m:r>
              <m:rPr>
                <m:sty m:val="p"/>
              </m:rPr>
              <m:t>′</m:t>
            </m:r>
          </m:sup>
        </m:sSup>
        <m:r>
          <m:rPr>
            <m:sty m:val="p"/>
          </m:rPr>
          <m:t>&gt;</m:t>
        </m:r>
        <m:r>
          <m:t>0</m:t>
        </m:r>
      </m:oMath>
      <w:r>
        <w:t xml:space="preserve"> </w:t>
      </w:r>
      <w:r>
        <w:t xml:space="preserve">preserva a ordenação das cestas e, portanto, representa as mesmas preferências. A alternativa (a) confunde valores cardinais com ordinais; (c) adiciona condição inexistente; (d) seria verdade apenas para transformações decrescentes.</w:t>
      </w:r>
    </w:p>
    <w:p>
      <w:pPr>
        <w:pStyle w:val="BlockText"/>
      </w:pPr>
      <w:r>
        <w:rPr>
          <w:b/>
          <w:bCs/>
        </w:rPr>
        <w:t xml:space="preserve">[QUESTAO] 3. A Taxa Marginal de Substituição (TMS) entre dois bens mede:</w:t>
      </w:r>
    </w:p>
    <w:p>
      <w:pPr>
        <w:pStyle w:val="Compact"/>
        <w:numPr>
          <w:ilvl w:val="0"/>
          <w:numId w:val="1098"/>
        </w:numPr>
      </w:pPr>
    </w:p>
    <w:p>
      <w:pPr>
        <w:pStyle w:val="Compact"/>
        <w:numPr>
          <w:ilvl w:val="1"/>
          <w:numId w:val="1099"/>
        </w:numPr>
      </w:pPr>
      <w:r>
        <w:t xml:space="preserve">A razão entre os preços dos dois bens no mercado</w:t>
      </w:r>
    </w:p>
    <w:p>
      <w:pPr>
        <w:pStyle w:val="Compact"/>
        <w:numPr>
          <w:ilvl w:val="0"/>
          <w:numId w:val="1098"/>
        </w:numPr>
      </w:pPr>
    </w:p>
    <w:p>
      <w:pPr>
        <w:pStyle w:val="Compact"/>
        <w:numPr>
          <w:ilvl w:val="1"/>
          <w:numId w:val="1100"/>
        </w:numPr>
      </w:pPr>
      <w:r>
        <w:t xml:space="preserve">A quantidade de um bem que o consumidor está disposto a abrir mão para obter uma unidade adicional do outro, mantendo a utilidade constante</w:t>
      </w:r>
    </w:p>
    <w:p>
      <w:pPr>
        <w:pStyle w:val="Compact"/>
        <w:numPr>
          <w:ilvl w:val="0"/>
          <w:numId w:val="1098"/>
        </w:numPr>
      </w:pPr>
    </w:p>
    <w:p>
      <w:pPr>
        <w:pStyle w:val="Compact"/>
        <w:numPr>
          <w:ilvl w:val="1"/>
          <w:numId w:val="1101"/>
        </w:numPr>
      </w:pPr>
      <w:r>
        <w:t xml:space="preserve">A variação percentual na demanda de um bem quando o preço do outro varia</w:t>
      </w:r>
    </w:p>
    <w:p>
      <w:pPr>
        <w:pStyle w:val="Compact"/>
        <w:numPr>
          <w:ilvl w:val="0"/>
          <w:numId w:val="1098"/>
        </w:numPr>
      </w:pPr>
    </w:p>
    <w:p>
      <w:pPr>
        <w:pStyle w:val="Compact"/>
        <w:numPr>
          <w:ilvl w:val="1"/>
          <w:numId w:val="1102"/>
        </w:numPr>
      </w:pPr>
      <w:r>
        <w:t xml:space="preserve">O custo de oportunidade de produzir um bem em vez do outro</w:t>
      </w:r>
    </w:p>
    <w:p>
      <w:pPr>
        <w:pStyle w:val="BlockText"/>
      </w:pPr>
      <w:r>
        <w:t xml:space="preserve">??? success</w:t>
      </w:r>
      <w:r>
        <w:t xml:space="preserve"> </w:t>
      </w:r>
      <w:r>
        <w:t xml:space="preserve">“Resposta”</w:t>
      </w:r>
      <w:r>
        <w:t xml:space="preserve"> </w:t>
      </w:r>
      <w:r>
        <w:rPr>
          <w:b/>
          <w:bCs/>
        </w:rPr>
        <w:t xml:space="preserve">(b)</w:t>
      </w:r>
      <w:r>
        <w:t xml:space="preserve"> </w:t>
      </w:r>
      <w:r>
        <w:t xml:space="preserve">A TMS é a inclinação da curva de indiferença e mede a taxa subjetiva de troca entre bens que mantém o consumidor indiferente. Matematicamente,</w:t>
      </w:r>
      <w:r>
        <w:t xml:space="preserve"> </w:t>
      </w:r>
      <m:oMath>
        <m:sSub>
          <m:e>
            <m:r>
              <m:rPr>
                <m:nor/>
                <m:sty m:val="p"/>
              </m:rPr>
              <m:t>TMS</m:t>
            </m:r>
          </m:e>
          <m:sub>
            <m:r>
              <m:t>12</m:t>
            </m:r>
          </m:sub>
        </m:sSub>
        <m:r>
          <m:rPr>
            <m:sty m:val="p"/>
          </m:rPr>
          <m:t>=</m:t>
        </m:r>
        <m:r>
          <m:rPr>
            <m:sty m:val="p"/>
          </m:rPr>
          <m:t>−</m:t>
        </m:r>
        <m:r>
          <m:t>d</m:t>
        </m:r>
        <m:sSub>
          <m:e>
            <m:r>
              <m:t>x</m:t>
            </m:r>
          </m:e>
          <m:sub>
            <m:r>
              <m:t>2</m:t>
            </m:r>
          </m:sub>
        </m:sSub>
        <m:r>
          <m:rPr>
            <m:sty m:val="p"/>
          </m:rPr>
          <m:t>/</m:t>
        </m:r>
        <m:r>
          <m:t>d</m:t>
        </m:r>
        <m:sSub>
          <m:e>
            <m:r>
              <m:t>x</m:t>
            </m:r>
          </m:e>
          <m:sub>
            <m:r>
              <m:t>1</m:t>
            </m:r>
          </m:sub>
        </m:sSub>
        <m:sSub>
          <m:e>
            <m:r>
              <m:rPr>
                <m:sty m:val="p"/>
              </m:rPr>
              <m:t>|</m:t>
            </m:r>
          </m:e>
          <m:sub>
            <m:r>
              <m:t>u</m:t>
            </m:r>
            <m:r>
              <m:rPr>
                <m:sty m:val="p"/>
              </m:rPr>
              <m:t>=</m:t>
            </m:r>
            <m:acc>
              <m:accPr>
                <m:chr m:val="‾"/>
              </m:accPr>
              <m:e>
                <m:r>
                  <m:t>u</m:t>
                </m:r>
              </m:e>
            </m:acc>
          </m:sub>
        </m:sSub>
        <m:r>
          <m:rPr>
            <m:sty m:val="p"/>
          </m:rPr>
          <m:t>=</m:t>
        </m:r>
        <m:sSub>
          <m:e>
            <m:r>
              <m:rPr>
                <m:nor/>
                <m:sty m:val="p"/>
              </m:rPr>
              <m:t>UMg</m:t>
            </m:r>
          </m:e>
          <m:sub>
            <m:r>
              <m:t>1</m:t>
            </m:r>
          </m:sub>
        </m:sSub>
        <m:r>
          <m:rPr>
            <m:sty m:val="p"/>
          </m:rPr>
          <m:t>/</m:t>
        </m:r>
        <m:sSub>
          <m:e>
            <m:r>
              <m:rPr>
                <m:nor/>
                <m:sty m:val="p"/>
              </m:rPr>
              <m:t>UMg</m:t>
            </m:r>
          </m:e>
          <m:sub>
            <m:r>
              <m:t>2</m:t>
            </m:r>
          </m:sub>
        </m:sSub>
      </m:oMath>
      <w:r>
        <w:t xml:space="preserve">. A alternativa (a) descreve a inclinação da restrição orçamentária; (c) descreve elasticidade cruzada; (d) refere-se à produção.</w:t>
      </w:r>
    </w:p>
    <w:p>
      <w:pPr>
        <w:pStyle w:val="BlockText"/>
      </w:pPr>
      <w:r>
        <w:rPr>
          <w:b/>
          <w:bCs/>
        </w:rPr>
        <w:t xml:space="preserve">[QUESTAO] 4. As curvas de indiferença de preferências estritamente convexas são:</w:t>
      </w:r>
    </w:p>
    <w:p>
      <w:pPr>
        <w:pStyle w:val="Compact"/>
        <w:numPr>
          <w:ilvl w:val="0"/>
          <w:numId w:val="1103"/>
        </w:numPr>
      </w:pPr>
    </w:p>
    <w:p>
      <w:pPr>
        <w:pStyle w:val="Compact"/>
        <w:numPr>
          <w:ilvl w:val="1"/>
          <w:numId w:val="1104"/>
        </w:numPr>
      </w:pPr>
      <w:r>
        <w:t xml:space="preserve">Retas com inclinação constante</w:t>
      </w:r>
    </w:p>
    <w:p>
      <w:pPr>
        <w:pStyle w:val="Compact"/>
        <w:numPr>
          <w:ilvl w:val="0"/>
          <w:numId w:val="1103"/>
        </w:numPr>
      </w:pPr>
    </w:p>
    <w:p>
      <w:pPr>
        <w:pStyle w:val="Compact"/>
        <w:numPr>
          <w:ilvl w:val="1"/>
          <w:numId w:val="1105"/>
        </w:numPr>
      </w:pPr>
      <w:r>
        <w:t xml:space="preserve">Convexas em relação à origem (curvadas para fora)</w:t>
      </w:r>
    </w:p>
    <w:p>
      <w:pPr>
        <w:pStyle w:val="Compact"/>
        <w:numPr>
          <w:ilvl w:val="0"/>
          <w:numId w:val="1103"/>
        </w:numPr>
      </w:pPr>
    </w:p>
    <w:p>
      <w:pPr>
        <w:pStyle w:val="Compact"/>
        <w:numPr>
          <w:ilvl w:val="1"/>
          <w:numId w:val="1106"/>
        </w:numPr>
      </w:pPr>
      <w:r>
        <w:t xml:space="preserve">Côncavas em relação à origem (curvadas para dentro,</w:t>
      </w:r>
      <w:r>
        <w:t xml:space="preserve"> </w:t>
      </w:r>
      <w:r>
        <w:t xml:space="preserve">‘arqueadas’</w:t>
      </w:r>
      <w:r>
        <w:t xml:space="preserve">)</w:t>
      </w:r>
    </w:p>
    <w:p>
      <w:pPr>
        <w:pStyle w:val="Compact"/>
        <w:numPr>
          <w:ilvl w:val="0"/>
          <w:numId w:val="1103"/>
        </w:numPr>
      </w:pPr>
    </w:p>
    <w:p>
      <w:pPr>
        <w:pStyle w:val="Compact"/>
        <w:numPr>
          <w:ilvl w:val="1"/>
          <w:numId w:val="1107"/>
        </w:numPr>
      </w:pPr>
      <w:r>
        <w:t xml:space="preserve">Círculos concêntricos</w:t>
      </w:r>
    </w:p>
    <w:p>
      <w:pPr>
        <w:pStyle w:val="BlockText"/>
      </w:pPr>
      <w:r>
        <w:t xml:space="preserve">??? success</w:t>
      </w:r>
      <w:r>
        <w:t xml:space="preserve"> </w:t>
      </w:r>
      <w:r>
        <w:t xml:space="preserve">“Resposta”</w:t>
      </w:r>
      <w:r>
        <w:t xml:space="preserve"> </w:t>
      </w:r>
      <w:r>
        <w:rPr>
          <w:b/>
          <w:bCs/>
        </w:rPr>
        <w:t xml:space="preserve">(c)</w:t>
      </w:r>
      <w:r>
        <w:t xml:space="preserve"> </w:t>
      </w:r>
      <w:r>
        <w:t xml:space="preserve">Preferências convexas implicam que médias são preferidas a extremos, gerando curvas de indiferença côncavas em relação à origem (convexas do ponto de vista do conjunto preferido). A TMS é decrescente em valor absoluto. A alternativa (a) descreve substitutos perfeitos; (b) descreve preferências côncavas (não convexas); (d) não é uma forma padrão.</w:t>
      </w:r>
    </w:p>
    <w:p>
      <w:pPr>
        <w:pStyle w:val="BlockText"/>
      </w:pPr>
      <w:r>
        <w:rPr>
          <w:b/>
          <w:bCs/>
        </w:rPr>
        <w:t xml:space="preserve">[QUESTAO] 5. Qual das seguintes funções de utilidade representa preferências por complementos perfeitos?</w:t>
      </w:r>
    </w:p>
    <w:p>
      <w:pPr>
        <w:pStyle w:val="Compact"/>
        <w:numPr>
          <w:ilvl w:val="0"/>
          <w:numId w:val="1108"/>
        </w:numPr>
      </w:pPr>
    </w:p>
    <w:p>
      <w:pPr>
        <w:pStyle w:val="Compact"/>
        <w:numPr>
          <w:ilvl w:val="1"/>
          <w:numId w:val="1109"/>
        </w:numPr>
      </w:pPr>
      <m:oMath>
        <m:r>
          <m:t>u</m:t>
        </m:r>
        <m:r>
          <m:rPr>
            <m:sty m:val="p"/>
          </m:rPr>
          <m:t>(</m:t>
        </m:r>
        <m:sSub>
          <m:e>
            <m:r>
              <m:t>x</m:t>
            </m:r>
          </m:e>
          <m:sub>
            <m:r>
              <m:t>1</m:t>
            </m:r>
          </m:sub>
        </m:sSub>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oMath>
    </w:p>
    <w:p>
      <w:pPr>
        <w:pStyle w:val="Compact"/>
        <w:numPr>
          <w:ilvl w:val="0"/>
          <w:numId w:val="1108"/>
        </w:numPr>
      </w:pPr>
    </w:p>
    <w:p>
      <w:pPr>
        <w:pStyle w:val="Compact"/>
        <w:numPr>
          <w:ilvl w:val="1"/>
          <w:numId w:val="1110"/>
        </w:numPr>
      </w:pPr>
      <m:oMath>
        <m:r>
          <m:t>u</m:t>
        </m:r>
        <m:r>
          <m:rPr>
            <m:sty m:val="p"/>
          </m:rPr>
          <m:t>(</m:t>
        </m:r>
        <m:sSub>
          <m:e>
            <m:r>
              <m:t>x</m:t>
            </m:r>
          </m:e>
          <m:sub>
            <m:r>
              <m:t>1</m:t>
            </m:r>
          </m:sub>
        </m:sSub>
        <m:r>
          <m:rPr>
            <m:sty m:val="p"/>
          </m:rPr>
          <m:t>,</m:t>
        </m:r>
        <m:sSub>
          <m:e>
            <m:r>
              <m:t>x</m:t>
            </m:r>
          </m:e>
          <m:sub>
            <m:r>
              <m:t>2</m:t>
            </m:r>
          </m:sub>
        </m:sSub>
        <m:r>
          <m:rPr>
            <m:sty m:val="p"/>
          </m:rPr>
          <m:t>)</m:t>
        </m:r>
        <m:r>
          <m:rPr>
            <m:sty m:val="p"/>
          </m:rPr>
          <m:t>=</m:t>
        </m:r>
        <m:r>
          <m:rPr>
            <m:sty m:val="p"/>
          </m:rPr>
          <m:t>min</m:t>
        </m:r>
        <m:r>
          <m:rPr>
            <m:sty m:val="p"/>
          </m:rPr>
          <m:t>(</m:t>
        </m:r>
        <m:sSub>
          <m:e>
            <m:r>
              <m:t>x</m:t>
            </m:r>
          </m:e>
          <m:sub>
            <m:r>
              <m:t>1</m:t>
            </m:r>
          </m:sub>
        </m:sSub>
        <m:r>
          <m:rPr>
            <m:sty m:val="p"/>
          </m:rPr>
          <m:t>,</m:t>
        </m:r>
        <m:sSub>
          <m:e>
            <m:r>
              <m:t>x</m:t>
            </m:r>
          </m:e>
          <m:sub>
            <m:r>
              <m:t>2</m:t>
            </m:r>
          </m:sub>
        </m:sSub>
        <m:r>
          <m:rPr>
            <m:sty m:val="p"/>
          </m:rPr>
          <m:t>)</m:t>
        </m:r>
      </m:oMath>
    </w:p>
    <w:p>
      <w:pPr>
        <w:pStyle w:val="Compact"/>
        <w:numPr>
          <w:ilvl w:val="0"/>
          <w:numId w:val="1108"/>
        </w:numPr>
      </w:pPr>
    </w:p>
    <w:p>
      <w:pPr>
        <w:pStyle w:val="Compact"/>
        <w:numPr>
          <w:ilvl w:val="1"/>
          <w:numId w:val="1111"/>
        </w:numPr>
      </w:pPr>
      <m:oMath>
        <m:r>
          <m:t>u</m:t>
        </m:r>
        <m:r>
          <m:rPr>
            <m:sty m:val="p"/>
          </m:rPr>
          <m:t>(</m:t>
        </m:r>
        <m:sSub>
          <m:e>
            <m:r>
              <m:t>x</m:t>
            </m:r>
          </m:e>
          <m:sub>
            <m:r>
              <m:t>1</m:t>
            </m:r>
          </m:sub>
        </m:sSub>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oMath>
    </w:p>
    <w:p>
      <w:pPr>
        <w:pStyle w:val="Compact"/>
        <w:numPr>
          <w:ilvl w:val="0"/>
          <w:numId w:val="1108"/>
        </w:numPr>
      </w:pPr>
    </w:p>
    <w:p>
      <w:pPr>
        <w:pStyle w:val="Compact"/>
        <w:numPr>
          <w:ilvl w:val="1"/>
          <w:numId w:val="1112"/>
        </w:numPr>
      </w:pP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2</m:t>
            </m:r>
          </m:sup>
        </m:sSubSup>
        <m:r>
          <m:rPr>
            <m:sty m:val="p"/>
          </m:rPr>
          <m:t>+</m:t>
        </m:r>
        <m:sSubSup>
          <m:e>
            <m:r>
              <m:t>x</m:t>
            </m:r>
          </m:e>
          <m:sub>
            <m:r>
              <m:t>2</m:t>
            </m:r>
          </m:sub>
          <m:sup>
            <m:r>
              <m:t>2</m:t>
            </m:r>
          </m:sup>
        </m:sSubSup>
      </m:oMath>
    </w:p>
    <w:p>
      <w:pPr>
        <w:pStyle w:val="BlockText"/>
      </w:pPr>
      <w:r>
        <w:t xml:space="preserve">??? success</w:t>
      </w:r>
      <w:r>
        <w:t xml:space="preserve"> </w:t>
      </w:r>
      <w:r>
        <w:t xml:space="preserve">“Resposta”</w:t>
      </w:r>
      <w:r>
        <w:t xml:space="preserve"> </w:t>
      </w:r>
      <w:r>
        <w:rPr>
          <w:b/>
          <w:bCs/>
        </w:rPr>
        <w:t xml:space="preserve">(b)</w:t>
      </w:r>
      <w:r>
        <w:t xml:space="preserve"> </w:t>
      </w:r>
      <w:r>
        <w:t xml:space="preserve">Complementos perfeitos são consumidos em proporções fixas; a utilidade é determinada pelo bem em menor quantidade relativa, representada pela função</w:t>
      </w:r>
      <w:r>
        <w:t xml:space="preserve"> </w:t>
      </w:r>
      <m:oMath>
        <m:r>
          <m:rPr>
            <m:sty m:val="p"/>
          </m:rPr>
          <m:t>min</m:t>
        </m:r>
      </m:oMath>
      <w:r>
        <w:t xml:space="preserve">. As curvas de indiferença são em L. A alternativa (a) representa substitutos perfeitos; (c) representa preferências Cobb-Douglas; (d) representa preferências côncavas (não convexas), onde o consumidor prefere extremos a médias.</w:t>
      </w:r>
    </w:p>
    <w:p>
      <w:pPr>
        <w:pStyle w:val="BlockText"/>
      </w:pPr>
      <w:r>
        <w:rPr>
          <w:b/>
          <w:bCs/>
        </w:rPr>
        <w:t xml:space="preserve">[QUESTAO] 6. Preferências homotéticas implicam que:</w:t>
      </w:r>
    </w:p>
    <w:p>
      <w:pPr>
        <w:pStyle w:val="Compact"/>
        <w:numPr>
          <w:ilvl w:val="0"/>
          <w:numId w:val="1113"/>
        </w:numPr>
      </w:pPr>
    </w:p>
    <w:p>
      <w:pPr>
        <w:pStyle w:val="Compact"/>
        <w:numPr>
          <w:ilvl w:val="1"/>
          <w:numId w:val="1114"/>
        </w:numPr>
      </w:pPr>
      <w:r>
        <w:t xml:space="preserve">A demanda pelo bem 1 é independente da renda</w:t>
      </w:r>
    </w:p>
    <w:p>
      <w:pPr>
        <w:pStyle w:val="Compact"/>
        <w:numPr>
          <w:ilvl w:val="0"/>
          <w:numId w:val="1113"/>
        </w:numPr>
      </w:pPr>
    </w:p>
    <w:p>
      <w:pPr>
        <w:pStyle w:val="Compact"/>
        <w:numPr>
          <w:ilvl w:val="1"/>
          <w:numId w:val="1115"/>
        </w:numPr>
      </w:pPr>
      <w:r>
        <w:t xml:space="preserve">A participação de cada bem na despesa total é constante quando a renda varia</w:t>
      </w:r>
    </w:p>
    <w:p>
      <w:pPr>
        <w:pStyle w:val="Compact"/>
        <w:numPr>
          <w:ilvl w:val="0"/>
          <w:numId w:val="1113"/>
        </w:numPr>
      </w:pPr>
    </w:p>
    <w:p>
      <w:pPr>
        <w:pStyle w:val="Compact"/>
        <w:numPr>
          <w:ilvl w:val="1"/>
          <w:numId w:val="1116"/>
        </w:numPr>
      </w:pPr>
      <w:r>
        <w:t xml:space="preserve">A TMS depende apenas da quantidade absoluta de</w:t>
      </w:r>
      <w:r>
        <w:t xml:space="preserve"> </w:t>
      </w:r>
      <m:oMath>
        <m:sSub>
          <m:e>
            <m:r>
              <m:t>x</m:t>
            </m:r>
          </m:e>
          <m:sub>
            <m:r>
              <m:t>1</m:t>
            </m:r>
          </m:sub>
        </m:sSub>
      </m:oMath>
    </w:p>
    <w:p>
      <w:pPr>
        <w:pStyle w:val="Compact"/>
        <w:numPr>
          <w:ilvl w:val="0"/>
          <w:numId w:val="1113"/>
        </w:numPr>
      </w:pPr>
    </w:p>
    <w:p>
      <w:pPr>
        <w:pStyle w:val="Compact"/>
        <w:numPr>
          <w:ilvl w:val="1"/>
          <w:numId w:val="1117"/>
        </w:numPr>
      </w:pPr>
      <w:r>
        <w:t xml:space="preserve">As curvas de indiferença são translações verticais</w:t>
      </w:r>
    </w:p>
    <w:p>
      <w:pPr>
        <w:pStyle w:val="BlockText"/>
      </w:pPr>
      <w:r>
        <w:t xml:space="preserve">??? success</w:t>
      </w:r>
      <w:r>
        <w:t xml:space="preserve"> </w:t>
      </w:r>
      <w:r>
        <w:t xml:space="preserve">“Resposta”</w:t>
      </w:r>
      <w:r>
        <w:t xml:space="preserve"> </w:t>
      </w:r>
      <w:r>
        <w:rPr>
          <w:b/>
          <w:bCs/>
        </w:rPr>
        <w:t xml:space="preserve">(b)</w:t>
      </w:r>
      <w:r>
        <w:t xml:space="preserve"> </w:t>
      </w:r>
      <w:r>
        <w:t xml:space="preserve">Preferências homotéticas geram curvas de Engel lineares e elasticidade-renda unitária para todos os bens, o que implica participação constante na despesa (Proposição §3.6.6). A alternativa (a) descreve preferências quase-lineares, não homotéticas; (c) também é propriedade da quase-linear (TMS depende só de</w:t>
      </w:r>
      <w:r>
        <w:t xml:space="preserve"> </w:t>
      </w:r>
      <m:oMath>
        <m:sSub>
          <m:e>
            <m:r>
              <m:t>x</m:t>
            </m:r>
          </m:e>
          <m:sub>
            <m:r>
              <m:t>1</m:t>
            </m:r>
          </m:sub>
        </m:sSub>
      </m:oMath>
      <w:r>
        <w:t xml:space="preserve">); (d) descreve curvas de indiferença quase-lineares. A assinatura das homotéticas é que a TMS depende da</w:t>
      </w:r>
      <w:r>
        <w:t xml:space="preserve"> </w:t>
      </w:r>
      <w:r>
        <w:rPr>
          <w:i/>
          <w:iCs/>
        </w:rPr>
        <w:t xml:space="preserve">razão</w:t>
      </w:r>
      <w:r>
        <w:t xml:space="preserve"> </w:t>
      </w:r>
      <m:oMath>
        <m:sSub>
          <m:e>
            <m:r>
              <m:t>x</m:t>
            </m:r>
          </m:e>
          <m:sub>
            <m:r>
              <m:t>1</m:t>
            </m:r>
          </m:sub>
        </m:sSub>
        <m:r>
          <m:rPr>
            <m:sty m:val="p"/>
          </m:rPr>
          <m:t>/</m:t>
        </m:r>
        <m:sSub>
          <m:e>
            <m:r>
              <m:t>x</m:t>
            </m:r>
          </m:e>
          <m:sub>
            <m:r>
              <m:t>2</m:t>
            </m:r>
          </m:sub>
        </m:sSub>
      </m:oMath>
      <w:r>
        <w:t xml:space="preserve">, gerando expansão radial — não vertical — das curvas.</w:t>
      </w:r>
    </w:p>
    <w:p>
      <w:r>
        <w:pict>
          <v:rect style="width:0;height:1.5pt" o:hralign="center" o:hrstd="t" o:hr="t"/>
        </w:pict>
      </w:r>
    </w:p>
    <w:bookmarkEnd w:id="170"/>
    <w:bookmarkStart w:id="171" w:name="resumo-do-capítulo-1"/>
    <w:p>
      <w:pPr>
        <w:pStyle w:val="Heading3"/>
      </w:pPr>
      <w:r>
        <w:t xml:space="preserve">Resumo do Capítulo</w:t>
      </w:r>
    </w:p>
    <w:p>
      <w:pPr>
        <w:pStyle w:val="Compact"/>
        <w:numPr>
          <w:ilvl w:val="0"/>
          <w:numId w:val="1118"/>
        </w:numPr>
      </w:pPr>
      <w:r>
        <w:t xml:space="preserve">A teoria do consumidor parte de</w:t>
      </w:r>
      <w:r>
        <w:t xml:space="preserve"> </w:t>
      </w:r>
      <w:r>
        <w:rPr>
          <w:b/>
          <w:bCs/>
        </w:rPr>
        <w:t xml:space="preserve">axiomas sobre preferências</w:t>
      </w:r>
      <w:r>
        <w:t xml:space="preserve"> </w:t>
      </w:r>
      <w:r>
        <w:t xml:space="preserve">— completude, transitividade, continuidade e monotonicidade — que estabelecem regras mínimas de coerência para ordenar cestas de consumo. Esses axiomas são o alicerce sobre o qual todo o resto se constrói: sem eles, não há função de utilidade, não há curvas de indiferença e não há otimização.</w:t>
      </w:r>
    </w:p>
    <w:p>
      <w:pPr>
        <w:pStyle w:val="Compact"/>
        <w:numPr>
          <w:ilvl w:val="0"/>
          <w:numId w:val="1118"/>
        </w:numPr>
      </w:pPr>
      <w:r>
        <w:t xml:space="preserve">Sob esses axiomas, o</w:t>
      </w:r>
      <w:r>
        <w:t xml:space="preserve"> </w:t>
      </w:r>
      <w:r>
        <w:rPr>
          <w:b/>
          <w:bCs/>
        </w:rPr>
        <w:t xml:space="preserve">Teorema de Debreu</w:t>
      </w:r>
      <w:r>
        <w:t xml:space="preserve"> </w:t>
      </w:r>
      <w:r>
        <w:t xml:space="preserve">(1954) garante a existência de uma</w:t>
      </w:r>
      <w:r>
        <w:t xml:space="preserve"> </w:t>
      </w:r>
      <w:r>
        <w:rPr>
          <w:b/>
          <w:bCs/>
        </w:rPr>
        <w:t xml:space="preserve">função de utilidade</w:t>
      </w:r>
      <w:r>
        <w:t xml:space="preserve"> </w:t>
      </w:r>
      <w:r>
        <w:t xml:space="preserve">contínua que representa as preferências. Essa função é</w:t>
      </w:r>
      <w:r>
        <w:t xml:space="preserve"> </w:t>
      </w:r>
      <w:r>
        <w:rPr>
          <w:b/>
          <w:bCs/>
        </w:rPr>
        <w:t xml:space="preserve">ordinal</w:t>
      </w:r>
      <w:r>
        <w:t xml:space="preserve">: apenas o ordenamento das cestas importa, não os valores numéricos em si. A ordinalidade implica que qualquer transformação monotônica crescente da função de utilidade representa as mesmas preferências (Seção 3.7).</w:t>
      </w:r>
    </w:p>
    <w:p>
      <w:pPr>
        <w:pStyle w:val="Compact"/>
        <w:numPr>
          <w:ilvl w:val="0"/>
          <w:numId w:val="1118"/>
        </w:numPr>
      </w:pPr>
      <w:r>
        <w:t xml:space="preserve">As</w:t>
      </w:r>
      <w:r>
        <w:t xml:space="preserve"> </w:t>
      </w:r>
      <w:r>
        <w:rPr>
          <w:b/>
          <w:bCs/>
        </w:rPr>
        <w:t xml:space="preserve">curvas de indiferença</w:t>
      </w:r>
      <w:r>
        <w:t xml:space="preserve"> </w:t>
      </w:r>
      <w:r>
        <w:t xml:space="preserve">são curvas de nível da função de utilidade: cobrem todo o espaço de consumo, não se cruzam (pela transitividade), têm inclinação negativa (pela monotonicidade) e, sob convexidade estrita, são abauladas em direção à origem — refletindo a ideia de que o consumidor valoriza a diversidade na composição de sua cesta.</w:t>
      </w:r>
    </w:p>
    <w:p>
      <w:pPr>
        <w:pStyle w:val="Compact"/>
        <w:numPr>
          <w:ilvl w:val="0"/>
          <w:numId w:val="1118"/>
        </w:numPr>
      </w:pPr>
      <w:r>
        <w:t xml:space="preserve">A</w:t>
      </w:r>
      <w:r>
        <w:t xml:space="preserve"> </w:t>
      </w:r>
      <w:r>
        <w:rPr>
          <w:b/>
          <w:bCs/>
        </w:rPr>
        <w:t xml:space="preserve">taxa marginal de substituição (TMS)</w:t>
      </w:r>
      <w:r>
        <w:t xml:space="preserve"> </w:t>
      </w:r>
      <w:r>
        <w:t xml:space="preserve">mede a taxa de troca subjetiva entre bens ao longo da curva de indiferença e equivale à razão das utilidades marginais:</w:t>
      </w:r>
      <w:r>
        <w:t xml:space="preserve"> </w:t>
      </w:r>
      <m:oMath>
        <m:sSub>
          <m:e>
            <m:r>
              <m:rPr>
                <m:nor/>
                <m:sty m:val="p"/>
              </m:rPr>
              <m:t>TMS</m:t>
            </m:r>
          </m:e>
          <m:sub>
            <m:r>
              <m:t>12</m:t>
            </m:r>
          </m:sub>
        </m:sSub>
        <m:r>
          <m:rPr>
            <m:sty m:val="p"/>
          </m:rPr>
          <m:t>=</m:t>
        </m:r>
        <m:sSub>
          <m:e>
            <m:r>
              <m:rPr>
                <m:nor/>
                <m:sty m:val="p"/>
              </m:rPr>
              <m:t>UMg</m:t>
            </m:r>
          </m:e>
          <m:sub>
            <m:r>
              <m:t>1</m:t>
            </m:r>
          </m:sub>
        </m:sSub>
        <m:r>
          <m:rPr>
            <m:sty m:val="p"/>
          </m:rPr>
          <m:t>/</m:t>
        </m:r>
        <m:sSub>
          <m:e>
            <m:r>
              <m:rPr>
                <m:nor/>
                <m:sty m:val="p"/>
              </m:rPr>
              <m:t>UMg</m:t>
            </m:r>
          </m:e>
          <m:sub>
            <m:r>
              <m:t>2</m:t>
            </m:r>
          </m:sub>
        </m:sSub>
      </m:oMath>
      <w:r>
        <w:t xml:space="preserve">. A TMS decrescente — que reflete a disposição cada vez menor do consumidor a abrir mão de um bem à medida que ele se torna mais escasso na cesta — é matematicamente equivalente à convexidade estrita das preferências.</w:t>
      </w:r>
    </w:p>
    <w:p>
      <w:pPr>
        <w:pStyle w:val="Compact"/>
        <w:numPr>
          <w:ilvl w:val="0"/>
          <w:numId w:val="1118"/>
        </w:numPr>
      </w:pPr>
      <w:r>
        <w:t xml:space="preserve">O capítulo apresenta as principais famílias de funções de utilidade —</w:t>
      </w:r>
      <w:r>
        <w:t xml:space="preserve"> </w:t>
      </w:r>
      <w:r>
        <w:rPr>
          <w:b/>
          <w:bCs/>
        </w:rPr>
        <w:t xml:space="preserve">Cobb-Douglas</w:t>
      </w:r>
      <w:r>
        <w:t xml:space="preserve">,</w:t>
      </w:r>
      <w:r>
        <w:t xml:space="preserve"> </w:t>
      </w:r>
      <w:r>
        <w:rPr>
          <w:b/>
          <w:bCs/>
        </w:rPr>
        <w:t xml:space="preserve">substitutos perfeitos</w:t>
      </w:r>
      <w:r>
        <w:t xml:space="preserve">,</w:t>
      </w:r>
      <w:r>
        <w:t xml:space="preserve"> </w:t>
      </w:r>
      <w:r>
        <w:rPr>
          <w:b/>
          <w:bCs/>
        </w:rPr>
        <w:t xml:space="preserve">complementos perfeitos</w:t>
      </w:r>
      <w:r>
        <w:t xml:space="preserve">,</w:t>
      </w:r>
      <w:r>
        <w:t xml:space="preserve"> </w:t>
      </w:r>
      <w:r>
        <w:rPr>
          <w:b/>
          <w:bCs/>
        </w:rPr>
        <w:t xml:space="preserve">CES</w:t>
      </w:r>
      <w:r>
        <w:t xml:space="preserve"> </w:t>
      </w:r>
      <w:r>
        <w:t xml:space="preserve">e</w:t>
      </w:r>
      <w:r>
        <w:t xml:space="preserve"> </w:t>
      </w:r>
      <w:r>
        <w:rPr>
          <w:b/>
          <w:bCs/>
        </w:rPr>
        <w:t xml:space="preserve">quase-linear</w:t>
      </w:r>
      <w:r>
        <w:t xml:space="preserve"> </w:t>
      </w:r>
      <w:r>
        <w:t xml:space="preserve">— cada uma com formato de curvas de indiferença e elasticidade de substituição distintos. A função CES unifica as três primeiras como casos especiais de um único parâmetro</w:t>
      </w:r>
      <w:r>
        <w:t xml:space="preserve"> </w:t>
      </w:r>
      <m:oMath>
        <m:r>
          <m:t>ρ</m:t>
        </m:r>
      </m:oMath>
      <w:r>
        <w:t xml:space="preserve">, enquanto a quase-linear se distingue por eliminar o efeito renda sobre um dos bens.</w:t>
      </w:r>
    </w:p>
    <w:p>
      <w:pPr>
        <w:pStyle w:val="Compact"/>
        <w:numPr>
          <w:ilvl w:val="0"/>
          <w:numId w:val="1118"/>
        </w:numPr>
      </w:pPr>
      <w:r>
        <w:rPr>
          <w:b/>
          <w:bCs/>
        </w:rPr>
        <w:t xml:space="preserve">Preferências homotéticas</w:t>
      </w:r>
      <w:r>
        <w:t xml:space="preserve"> </w:t>
      </w:r>
      <w:r>
        <w:t xml:space="preserve">(TMS depende apenas da razão</w:t>
      </w:r>
      <w:r>
        <w:t xml:space="preserve"> </w:t>
      </w:r>
      <m:oMath>
        <m:sSub>
          <m:e>
            <m:r>
              <m:t>x</m:t>
            </m:r>
          </m:e>
          <m:sub>
            <m:r>
              <m:t>1</m:t>
            </m:r>
          </m:sub>
        </m:sSub>
        <m:r>
          <m:rPr>
            <m:sty m:val="p"/>
          </m:rPr>
          <m:t>/</m:t>
        </m:r>
        <m:sSub>
          <m:e>
            <m:r>
              <m:t>x</m:t>
            </m:r>
          </m:e>
          <m:sub>
            <m:r>
              <m:t>2</m:t>
            </m:r>
          </m:sub>
        </m:sSub>
      </m:oMath>
      <w:r>
        <w:t xml:space="preserve">) geram curvas de Engel lineares, elasticidade-renda unitária e participação constante na despesa — propriedades que permitem a agregação em um consumidor representativo. Preferências</w:t>
      </w:r>
      <w:r>
        <w:t xml:space="preserve"> </w:t>
      </w:r>
      <w:r>
        <w:rPr>
          <w:b/>
          <w:bCs/>
        </w:rPr>
        <w:t xml:space="preserve">quase-lineares</w:t>
      </w:r>
      <w:r>
        <w:t xml:space="preserve">, por contraste, concentram todo o efeito renda em um único bem e garantem que as medidas de bem-estar (VC, VE,</w:t>
      </w:r>
      <w:r>
        <w:t xml:space="preserve"> </w:t>
      </w:r>
      <m:oMath>
        <m:r>
          <m:rPr>
            <m:sty m:val="p"/>
          </m:rPr>
          <m:t>Δ</m:t>
        </m:r>
      </m:oMath>
      <w:r>
        <w:t xml:space="preserve">EC) coincidam.</w:t>
      </w:r>
    </w:p>
    <w:bookmarkEnd w:id="171"/>
    <w:bookmarkStart w:id="172" w:name="conceitos-chave-1"/>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Relação de preferência (</w:t>
            </w:r>
            <m:oMath>
              <m:r>
                <m:rPr>
                  <m:sty m:val="p"/>
                </m:rPr>
                <m:t>≿</m:t>
              </m:r>
            </m:oMath>
            <w:r>
              <w:t xml:space="preserve">)</w:t>
            </w:r>
          </w:p>
        </w:tc>
        <w:tc>
          <w:tcPr/>
          <w:p>
            <w:pPr>
              <w:pStyle w:val="Compact"/>
            </w:pPr>
            <w:r>
              <w:t xml:space="preserve">Ordenamento sobre cestas de consumo indicando que uma cesta é</w:t>
            </w:r>
            <w:r>
              <w:t xml:space="preserve"> </w:t>
            </w:r>
            <w:r>
              <w:t xml:space="preserve">“pelo menos tão boa quanto”</w:t>
            </w:r>
            <w:r>
              <w:t xml:space="preserve"> </w:t>
            </w:r>
            <w:r>
              <w:t xml:space="preserve">outra.</w:t>
            </w:r>
          </w:p>
        </w:tc>
      </w:tr>
      <w:tr>
        <w:tc>
          <w:tcPr/>
          <w:p>
            <w:pPr>
              <w:pStyle w:val="Compact"/>
            </w:pPr>
            <w:r>
              <w:t xml:space="preserve">Completude</w:t>
            </w:r>
          </w:p>
        </w:tc>
        <w:tc>
          <w:tcPr/>
          <w:p>
            <w:pPr>
              <w:pStyle w:val="Compact"/>
            </w:pPr>
            <w:r>
              <w:t xml:space="preserve">Axioma que exige que o consumidor consiga comparar quaisquer duas cestas.</w:t>
            </w:r>
          </w:p>
        </w:tc>
      </w:tr>
      <w:tr>
        <w:tc>
          <w:tcPr/>
          <w:p>
            <w:pPr>
              <w:pStyle w:val="Compact"/>
            </w:pPr>
            <w:r>
              <w:t xml:space="preserve">Transitividade</w:t>
            </w:r>
          </w:p>
        </w:tc>
        <w:tc>
          <w:tcPr/>
          <w:p>
            <w:pPr>
              <w:pStyle w:val="Compact"/>
            </w:pPr>
            <w:r>
              <w:t xml:space="preserve">Axioma de consistência: se</w:t>
            </w:r>
            <w:r>
              <w:t xml:space="preserve"> </w:t>
            </w:r>
            <m:oMath>
              <m:r>
                <m:rPr>
                  <m:sty m:val="bi"/>
                </m:rPr>
                <m:t>x</m:t>
              </m:r>
              <m:r>
                <m:rPr>
                  <m:sty m:val="p"/>
                </m:rPr>
                <m:t>≿</m:t>
              </m:r>
              <m:r>
                <m:rPr>
                  <m:sty m:val="bi"/>
                </m:rPr>
                <m:t>y</m:t>
              </m:r>
            </m:oMath>
            <w:r>
              <w:t xml:space="preserve"> </w:t>
            </w:r>
            <w:r>
              <w:t xml:space="preserve">e</w:t>
            </w:r>
            <w:r>
              <w:t xml:space="preserve"> </w:t>
            </w:r>
            <m:oMath>
              <m:r>
                <m:rPr>
                  <m:sty m:val="bi"/>
                </m:rPr>
                <m:t>y</m:t>
              </m:r>
              <m:r>
                <m:rPr>
                  <m:sty m:val="p"/>
                </m:rPr>
                <m:t>≿</m:t>
              </m:r>
              <m:r>
                <m:rPr>
                  <m:sty m:val="bi"/>
                </m:rPr>
                <m:t>z</m:t>
              </m:r>
            </m:oMath>
            <w:r>
              <w:t xml:space="preserve">, então</w:t>
            </w:r>
            <w:r>
              <w:t xml:space="preserve"> </w:t>
            </w:r>
            <m:oMath>
              <m:r>
                <m:rPr>
                  <m:sty m:val="bi"/>
                </m:rPr>
                <m:t>x</m:t>
              </m:r>
              <m:r>
                <m:rPr>
                  <m:sty m:val="p"/>
                </m:rPr>
                <m:t>≿</m:t>
              </m:r>
              <m:r>
                <m:rPr>
                  <m:sty m:val="bi"/>
                </m:rPr>
                <m:t>z</m:t>
              </m:r>
            </m:oMath>
            <w:r>
              <w:t xml:space="preserve">.</w:t>
            </w:r>
          </w:p>
        </w:tc>
      </w:tr>
      <w:tr>
        <w:tc>
          <w:tcPr/>
          <w:p>
            <w:pPr>
              <w:pStyle w:val="Compact"/>
            </w:pPr>
            <w:r>
              <w:t xml:space="preserve">Monotonicidade</w:t>
            </w:r>
          </w:p>
        </w:tc>
        <w:tc>
          <w:tcPr/>
          <w:p>
            <w:pPr>
              <w:pStyle w:val="Compact"/>
            </w:pPr>
            <w:r>
              <w:t xml:space="preserve">“Mais é melhor”</w:t>
            </w:r>
            <w:r>
              <w:t xml:space="preserve">: cestas com mais de pelo menos um bem são estritamente preferidas.</w:t>
            </w:r>
          </w:p>
        </w:tc>
      </w:tr>
      <w:tr>
        <w:tc>
          <w:tcPr/>
          <w:p>
            <w:pPr>
              <w:pStyle w:val="Compact"/>
            </w:pPr>
            <w:r>
              <w:t xml:space="preserve">Função de utilidade</w:t>
            </w:r>
          </w:p>
        </w:tc>
        <w:tc>
          <w:tcPr/>
          <w:p>
            <w:pPr>
              <w:pStyle w:val="Compact"/>
            </w:pPr>
            <w:r>
              <w:t xml:space="preserve">Função</w:t>
            </w:r>
            <w:r>
              <w:t xml:space="preserve"> </w:t>
            </w:r>
            <m:oMath>
              <m:r>
                <m:t>u</m:t>
              </m:r>
              <m:r>
                <m:rPr>
                  <m:sty m:val="p"/>
                </m:rPr>
                <m:t>:</m:t>
              </m:r>
              <m:r>
                <m:t>X</m:t>
              </m:r>
              <m:r>
                <m:rPr>
                  <m:sty m:val="p"/>
                </m:rPr>
                <m:t>→</m:t>
              </m:r>
              <m:r>
                <m:rPr>
                  <m:scr m:val="double-struck"/>
                  <m:sty m:val="p"/>
                </m:rPr>
                <m:t>R</m:t>
              </m:r>
            </m:oMath>
            <w:r>
              <w:t xml:space="preserve"> </w:t>
            </w:r>
            <w:r>
              <w:t xml:space="preserve">que representa preferências:</w:t>
            </w:r>
            <w:r>
              <w:t xml:space="preserve"> </w:t>
            </w:r>
            <m:oMath>
              <m:r>
                <m:rPr>
                  <m:sty m:val="bi"/>
                </m:rPr>
                <m:t>x</m:t>
              </m:r>
              <m:r>
                <m:rPr>
                  <m:sty m:val="p"/>
                </m:rPr>
                <m:t>≿</m:t>
              </m:r>
              <m:r>
                <m:rPr>
                  <m:sty m:val="bi"/>
                </m:rPr>
                <m:t>y</m:t>
              </m:r>
              <m:r>
                <m:rPr>
                  <m:sty m:val="p"/>
                </m:rPr>
                <m:t>⇔</m:t>
              </m:r>
              <m:r>
                <m:t>u</m:t>
              </m:r>
              <m:r>
                <m:rPr>
                  <m:sty m:val="p"/>
                </m:rPr>
                <m:t>(</m:t>
              </m:r>
              <m:r>
                <m:rPr>
                  <m:sty m:val="bi"/>
                </m:rPr>
                <m:t>x</m:t>
              </m:r>
              <m:r>
                <m:rPr>
                  <m:sty m:val="p"/>
                </m:rPr>
                <m:t>)</m:t>
              </m:r>
              <m:r>
                <m:rPr>
                  <m:sty m:val="p"/>
                </m:rPr>
                <m:t>≥</m:t>
              </m:r>
              <m:r>
                <m:t>u</m:t>
              </m:r>
              <m:r>
                <m:rPr>
                  <m:sty m:val="p"/>
                </m:rPr>
                <m:t>(</m:t>
              </m:r>
              <m:r>
                <m:rPr>
                  <m:sty m:val="bi"/>
                </m:rPr>
                <m:t>y</m:t>
              </m:r>
              <m:r>
                <m:rPr>
                  <m:sty m:val="p"/>
                </m:rPr>
                <m:t>)</m:t>
              </m:r>
            </m:oMath>
            <w:r>
              <w:t xml:space="preserve">. É ordinal.</w:t>
            </w:r>
          </w:p>
        </w:tc>
      </w:tr>
      <w:tr>
        <w:tc>
          <w:tcPr/>
          <w:p>
            <w:pPr>
              <w:pStyle w:val="Compact"/>
            </w:pPr>
            <w:r>
              <w:t xml:space="preserve">Curva de indiferença</w:t>
            </w:r>
          </w:p>
        </w:tc>
        <w:tc>
          <w:tcPr/>
          <w:p>
            <w:pPr>
              <w:pStyle w:val="Compact"/>
            </w:pPr>
            <w:r>
              <w:t xml:space="preserve">Conjunto de cestas que proporcionam o mesmo nível de utilidade; curva de nível de</w:t>
            </w:r>
            <w:r>
              <w:t xml:space="preserve"> </w:t>
            </w:r>
            <m:oMath>
              <m:r>
                <m:t>u</m:t>
              </m:r>
            </m:oMath>
            <w:r>
              <w:t xml:space="preserve">.</w:t>
            </w:r>
          </w:p>
        </w:tc>
      </w:tr>
      <w:tr>
        <w:tc>
          <w:tcPr/>
          <w:p>
            <w:pPr>
              <w:pStyle w:val="Compact"/>
            </w:pPr>
            <w:r>
              <w:t xml:space="preserve">Taxa marginal de substituição (TMS)</w:t>
            </w:r>
          </w:p>
        </w:tc>
        <w:tc>
          <w:tcPr/>
          <w:p>
            <w:pPr>
              <w:pStyle w:val="Compact"/>
            </w:pPr>
            <w:r>
              <w:t xml:space="preserve">Quantidade do bem 2 que o consumidor abre mão por uma unidade adicional do bem 1, mantendo a utilidade constante; igual a</w:t>
            </w:r>
            <w:r>
              <w:t xml:space="preserve"> </w:t>
            </w:r>
            <m:oMath>
              <m:sSub>
                <m:e>
                  <m:r>
                    <m:rPr>
                      <m:nor/>
                      <m:sty m:val="p"/>
                    </m:rPr>
                    <m:t>UMg</m:t>
                  </m:r>
                </m:e>
                <m:sub>
                  <m:r>
                    <m:t>1</m:t>
                  </m:r>
                </m:sub>
              </m:sSub>
              <m:r>
                <m:rPr>
                  <m:sty m:val="p"/>
                </m:rPr>
                <m:t>/</m:t>
              </m:r>
              <m:sSub>
                <m:e>
                  <m:r>
                    <m:rPr>
                      <m:nor/>
                      <m:sty m:val="p"/>
                    </m:rPr>
                    <m:t>UMg</m:t>
                  </m:r>
                </m:e>
                <m:sub>
                  <m:r>
                    <m:t>2</m:t>
                  </m:r>
                </m:sub>
              </m:sSub>
            </m:oMath>
            <w:r>
              <w:t xml:space="preserve">.</w:t>
            </w:r>
          </w:p>
        </w:tc>
      </w:tr>
      <w:tr>
        <w:tc>
          <w:tcPr/>
          <w:p>
            <w:pPr>
              <w:pStyle w:val="Compact"/>
            </w:pPr>
            <w:r>
              <w:t xml:space="preserve">Elasticidade de substituição (</w:t>
            </w:r>
            <m:oMath>
              <m:r>
                <m:t>σ</m:t>
              </m:r>
            </m:oMath>
            <w:r>
              <w:t xml:space="preserve">)</w:t>
            </w:r>
          </w:p>
        </w:tc>
        <w:tc>
          <w:tcPr/>
          <w:p>
            <w:pPr>
              <w:pStyle w:val="Compact"/>
            </w:pPr>
            <w:r>
              <w:t xml:space="preserve">Mede a facilidade com que o consumidor substitui entre bens; varia de 0 (complementos perfeitos) a</w:t>
            </w:r>
            <w:r>
              <w:t xml:space="preserve"> </w:t>
            </w:r>
            <m:oMath>
              <m:r>
                <m:rPr>
                  <m:sty m:val="p"/>
                </m:rPr>
                <m:t>∞</m:t>
              </m:r>
            </m:oMath>
            <w:r>
              <w:t xml:space="preserve"> </w:t>
            </w:r>
            <w:r>
              <w:t xml:space="preserve">(substitutos perfeitos).</w:t>
            </w:r>
          </w:p>
        </w:tc>
      </w:tr>
      <w:tr>
        <w:tc>
          <w:tcPr/>
          <w:p>
            <w:pPr>
              <w:pStyle w:val="Compact"/>
            </w:pPr>
            <w:r>
              <w:t xml:space="preserve">Preferências homotéticas</w:t>
            </w:r>
          </w:p>
        </w:tc>
        <w:tc>
          <w:tcPr/>
          <w:p>
            <w:pPr>
              <w:pStyle w:val="Compact"/>
            </w:pPr>
            <w:r>
              <w:t xml:space="preserve">Preferências cuja TMS depende apenas da razão</w:t>
            </w:r>
            <w:r>
              <w:t xml:space="preserve"> </w:t>
            </w:r>
            <m:oMath>
              <m:sSub>
                <m:e>
                  <m:r>
                    <m:t>x</m:t>
                  </m:r>
                </m:e>
                <m:sub>
                  <m:r>
                    <m:t>1</m:t>
                  </m:r>
                </m:sub>
              </m:sSub>
              <m:r>
                <m:rPr>
                  <m:sty m:val="p"/>
                </m:rPr>
                <m:t>/</m:t>
              </m:r>
              <m:sSub>
                <m:e>
                  <m:r>
                    <m:t>x</m:t>
                  </m:r>
                </m:e>
                <m:sub>
                  <m:r>
                    <m:t>2</m:t>
                  </m:r>
                </m:sub>
              </m:sSub>
            </m:oMath>
            <w:r>
              <w:t xml:space="preserve">; geram elasticidade-renda unitária e participação constante na despesa.</w:t>
            </w:r>
          </w:p>
        </w:tc>
      </w:tr>
      <w:tr>
        <w:tc>
          <w:tcPr/>
          <w:p>
            <w:pPr>
              <w:pStyle w:val="Compact"/>
            </w:pPr>
            <w:r>
              <w:t xml:space="preserve">Utilidade quase-linear</w:t>
            </w:r>
          </w:p>
        </w:tc>
        <w:tc>
          <w:tcPr/>
          <w:p>
            <w:pPr>
              <w:pStyle w:val="Compact"/>
            </w:pPr>
            <w:r>
              <w:t xml:space="preserve">Função</w:t>
            </w:r>
            <w:r>
              <w:t xml:space="preserve"> </w:t>
            </w:r>
            <m:oMath>
              <m:r>
                <m:t>u</m:t>
              </m:r>
              <m:r>
                <m:rPr>
                  <m:sty m:val="p"/>
                </m:rPr>
                <m:t>=</m:t>
              </m:r>
              <m:r>
                <m:t>v</m:t>
              </m:r>
              <m:r>
                <m:rPr>
                  <m:sty m:val="p"/>
                </m:rPr>
                <m:t>(</m:t>
              </m:r>
              <m:sSub>
                <m:e>
                  <m:r>
                    <m:t>x</m:t>
                  </m:r>
                </m:e>
                <m:sub>
                  <m:r>
                    <m:t>1</m:t>
                  </m:r>
                </m:sub>
              </m:sSub>
              <m:r>
                <m:rPr>
                  <m:sty m:val="p"/>
                </m:rPr>
                <m:t>)</m:t>
              </m:r>
              <m:r>
                <m:rPr>
                  <m:sty m:val="p"/>
                </m:rPr>
                <m:t>+</m:t>
              </m:r>
              <m:sSub>
                <m:e>
                  <m:r>
                    <m:t>x</m:t>
                  </m:r>
                </m:e>
                <m:sub>
                  <m:r>
                    <m:t>2</m:t>
                  </m:r>
                </m:sub>
              </m:sSub>
            </m:oMath>
            <w:r>
              <w:t xml:space="preserve"> </w:t>
            </w:r>
            <w:r>
              <w:t xml:space="preserve">em que todo aumento de renda vai para</w:t>
            </w:r>
            <w:r>
              <w:t xml:space="preserve"> </w:t>
            </w:r>
            <m:oMath>
              <m:sSub>
                <m:e>
                  <m:r>
                    <m:t>x</m:t>
                  </m:r>
                </m:e>
                <m:sub>
                  <m:r>
                    <m:t>2</m:t>
                  </m:r>
                </m:sub>
              </m:sSub>
            </m:oMath>
            <w:r>
              <w:t xml:space="preserve">; elimina o efeito renda sobre</w:t>
            </w:r>
            <w:r>
              <w:t xml:space="preserve"> </w:t>
            </w:r>
            <m:oMath>
              <m:sSub>
                <m:e>
                  <m:r>
                    <m:t>x</m:t>
                  </m:r>
                </m:e>
                <m:sub>
                  <m:r>
                    <m:t>1</m:t>
                  </m:r>
                </m:sub>
              </m:sSub>
            </m:oMath>
            <w:r>
              <w:t xml:space="preserve"> </w:t>
            </w:r>
            <w:r>
              <w:t xml:space="preserve">e iguala as medidas de bem-estar (VC = VE =</w:t>
            </w:r>
            <w:r>
              <w:t xml:space="preserve"> </w:t>
            </w:r>
            <m:oMath>
              <m:r>
                <m:rPr>
                  <m:sty m:val="p"/>
                </m:rPr>
                <m:t>Δ</m:t>
              </m:r>
            </m:oMath>
            <w:r>
              <w:t xml:space="preserve">EC).</w:t>
            </w:r>
          </w:p>
        </w:tc>
      </w:tr>
    </w:tbl>
    <w:p>
      <w:pPr>
        <w:pStyle w:val="BodyText"/>
      </w:pPr>
      <w:r>
        <w:rPr>
          <w:b/>
          <w:bCs/>
        </w:rPr>
        <w:t xml:space="preserve">Tabela 3.2 — Conceitos-chave.</w:t>
      </w:r>
    </w:p>
    <w:p>
      <w:r>
        <w:pict>
          <v:rect style="width:0;height:1.5pt" o:hralign="center" o:hrstd="t" o:hr="t"/>
        </w:pict>
      </w:r>
    </w:p>
    <w:bookmarkEnd w:id="172"/>
    <w:bookmarkStart w:id="173" w:name="exercícios-1"/>
    <w:p>
      <w:pPr>
        <w:pStyle w:val="Heading3"/>
      </w:pPr>
      <w:r>
        <w:t xml:space="preserve">Exercícios</w:t>
      </w:r>
    </w:p>
    <w:p>
      <w:pPr>
        <w:pStyle w:val="FirstParagraph"/>
      </w:pPr>
      <w:r>
        <w:t xml:space="preserve">Os exercícios a seguir cobrem os principais tópicos do capítulo — axiomas, funções de utilidade, TMS, formas funcionais e transformações monotônicas. Eles progridem em dificuldade: os primeiros requerem cálculos diretos de TMS para funções específicas, enquanto os últimos exigem demonstrações e raciocínio mais abstrato sobre propriedades das preferências. As soluções detalhadas estão disponíveis na seção de soluções.</w:t>
      </w:r>
    </w:p>
    <w:p>
      <w:pPr>
        <w:pStyle w:val="BodyText"/>
      </w:pPr>
      <w:r>
        <w:rPr>
          <w:b/>
          <w:bCs/>
        </w:rPr>
        <w:t xml:space="preserve">Exercício 3.1.</w:t>
      </w:r>
      <w:r>
        <w:t xml:space="preserve"> </w:t>
      </w:r>
      <w:r>
        <w:t xml:space="preserve">Considere um consumidor com preferências sobre dois bens (</w:t>
      </w:r>
      <m:oMath>
        <m:sSub>
          <m:e>
            <m:r>
              <m:t>x</m:t>
            </m:r>
          </m:e>
          <m:sub>
            <m:r>
              <m:t>1</m:t>
            </m:r>
          </m:sub>
        </m:sSub>
        <m:r>
          <m:rPr>
            <m:sty m:val="p"/>
          </m:rPr>
          <m:t>,</m:t>
        </m:r>
        <m:sSub>
          <m:e>
            <m:r>
              <m:t>x</m:t>
            </m:r>
          </m:e>
          <m:sub>
            <m:r>
              <m:t>2</m:t>
            </m:r>
          </m:sub>
        </m:sSub>
      </m:oMath>
      <w:r>
        <w:t xml:space="preserve">) representadas pela função de utilidade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1</m:t>
            </m:r>
            <m:r>
              <m:rPr>
                <m:sty m:val="p"/>
              </m:rPr>
              <m:t>/</m:t>
            </m:r>
            <m:r>
              <m:t>3</m:t>
            </m:r>
          </m:sup>
        </m:sSubSup>
        <m:sSubSup>
          <m:e>
            <m:r>
              <m:t>x</m:t>
            </m:r>
          </m:e>
          <m:sub>
            <m:r>
              <m:t>2</m:t>
            </m:r>
          </m:sub>
          <m:sup>
            <m:r>
              <m:t>2</m:t>
            </m:r>
            <m:r>
              <m:rPr>
                <m:sty m:val="p"/>
              </m:rPr>
              <m:t>/</m:t>
            </m:r>
            <m:r>
              <m:t>3</m:t>
            </m:r>
          </m:sup>
        </m:sSubSup>
      </m:oMath>
      <w:r>
        <w:t xml:space="preserve">.</w:t>
      </w:r>
    </w:p>
    <w:p>
      <w:pPr>
        <w:numPr>
          <w:ilvl w:val="0"/>
          <w:numId w:val="1119"/>
        </w:numPr>
      </w:pPr>
      <w:r>
        <w:t xml:space="preserve">Calcule a TMS</w:t>
      </w:r>
      <m:oMath>
        <m:sSub>
          <m:e>
            <m:r>
              <m:t>​</m:t>
            </m:r>
          </m:e>
          <m:sub>
            <m:r>
              <m:t>12</m:t>
            </m:r>
          </m:sub>
        </m:sSub>
      </m:oMath>
      <w:r>
        <w:t xml:space="preserve">.</w:t>
      </w:r>
    </w:p>
    <w:p>
      <w:pPr>
        <w:numPr>
          <w:ilvl w:val="0"/>
          <w:numId w:val="1119"/>
        </w:numPr>
      </w:pPr>
      <w:r>
        <w:t xml:space="preserve">Qual o valor da TMS no ponto</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r>
          <m:t>4</m:t>
        </m:r>
        <m:r>
          <m:rPr>
            <m:sty m:val="p"/>
          </m:rPr>
          <m:t>,</m:t>
        </m:r>
        <m:r>
          <m:t>8</m:t>
        </m:r>
        <m:r>
          <m:rPr>
            <m:sty m:val="p"/>
          </m:rPr>
          <m:t>)</m:t>
        </m:r>
      </m:oMath>
      <w:r>
        <w:t xml:space="preserve">? Interprete economicamente.</w:t>
      </w:r>
    </w:p>
    <w:p>
      <w:pPr>
        <w:numPr>
          <w:ilvl w:val="0"/>
          <w:numId w:val="1119"/>
        </w:numPr>
      </w:pPr>
      <w:r>
        <w:t xml:space="preserve">Mostre que a TMS é decrescente ao longo de uma curva de indiferença (ou seja,</w:t>
      </w:r>
      <w:r>
        <w:t xml:space="preserve"> </w:t>
      </w:r>
      <m:oMath>
        <m:r>
          <m:rPr>
            <m:sty m:val="p"/>
          </m:rPr>
          <m:t>∂</m:t>
        </m:r>
        <m:sSub>
          <m:e>
            <m:r>
              <m:rPr>
                <m:nor/>
                <m:sty m:val="p"/>
              </m:rPr>
              <m:t>TMS</m:t>
            </m:r>
          </m:e>
          <m:sub>
            <m:r>
              <m:t>12</m:t>
            </m:r>
          </m:sub>
        </m:sSub>
        <m:r>
          <m:rPr>
            <m:sty m:val="p"/>
          </m:rPr>
          <m:t>/</m:t>
        </m:r>
        <m:r>
          <m:rPr>
            <m:sty m:val="p"/>
          </m:rPr>
          <m:t>∂</m:t>
        </m:r>
        <m:sSub>
          <m:e>
            <m:r>
              <m:t>x</m:t>
            </m:r>
          </m:e>
          <m:sub>
            <m:r>
              <m:t>1</m:t>
            </m:r>
          </m:sub>
        </m:sSub>
        <m:r>
          <m:rPr>
            <m:sty m:val="p"/>
          </m:rPr>
          <m:t>&lt;</m:t>
        </m:r>
        <m:r>
          <m:t>0</m:t>
        </m:r>
      </m:oMath>
      <w:r>
        <w:t xml:space="preserve"> </w:t>
      </w:r>
      <w:r>
        <w:t xml:space="preserve">ao longo de</w:t>
      </w:r>
      <w:r>
        <w:t xml:space="preserve"> </w:t>
      </w:r>
      <m:oMath>
        <m:r>
          <m:t>u</m:t>
        </m:r>
        <m:r>
          <m:rPr>
            <m:sty m:val="p"/>
          </m:rPr>
          <m:t>=</m:t>
        </m:r>
        <m:acc>
          <m:accPr>
            <m:chr m:val="‾"/>
          </m:accPr>
          <m:e>
            <m:r>
              <m:t>u</m:t>
            </m:r>
          </m:e>
        </m:acc>
      </m:oMath>
      <w:r>
        <w:t xml:space="preserve">).</w:t>
      </w:r>
    </w:p>
    <w:p>
      <w:pPr>
        <w:pStyle w:val="FirstParagraph"/>
      </w:pPr>
      <w:r>
        <w:t xml:space="preserve">Ver solução (Cap. 3)</w:t>
      </w:r>
    </w:p>
    <w:p>
      <w:r>
        <w:pict>
          <v:rect style="width:0;height:1.5pt" o:hralign="center" o:hrstd="t" o:hr="t"/>
        </w:pict>
      </w:r>
    </w:p>
    <w:p>
      <w:pPr>
        <w:pStyle w:val="FirstParagraph"/>
      </w:pPr>
      <w:r>
        <w:rPr>
          <w:b/>
          <w:bCs/>
        </w:rPr>
        <w:t xml:space="preserve">Exercício 3.2.</w:t>
      </w:r>
      <w:r>
        <w:t xml:space="preserve"> </w:t>
      </w:r>
      <w:r>
        <w:t xml:space="preserve">Mostre que a função de utilidade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rPr>
            <m:sty m:val="p"/>
          </m:rPr>
          <m:t>ln</m:t>
        </m:r>
        <m:sSub>
          <m:e>
            <m:r>
              <m:t>x</m:t>
            </m:r>
          </m:e>
          <m:sub>
            <m:r>
              <m:t>1</m:t>
            </m:r>
          </m:sub>
        </m:sSub>
        <m:r>
          <m:rPr>
            <m:sty m:val="p"/>
          </m:rPr>
          <m:t>+</m:t>
        </m:r>
        <m:r>
          <m:t>2</m:t>
        </m:r>
        <m:r>
          <m:rPr>
            <m:sty m:val="p"/>
          </m:rPr>
          <m:t>ln</m:t>
        </m:r>
        <m:sSub>
          <m:e>
            <m:r>
              <m:t>x</m:t>
            </m:r>
          </m:e>
          <m:sub>
            <m:r>
              <m:t>2</m:t>
            </m:r>
          </m:sub>
        </m:sSub>
      </m:oMath>
      <w:r>
        <w:t xml:space="preserve"> </w:t>
      </w:r>
      <w:r>
        <w:t xml:space="preserve">representa as mesmas preferências que</w:t>
      </w:r>
      <w:r>
        <w:t xml:space="preserve"> </w:t>
      </w:r>
      <m:oMath>
        <m:r>
          <m:t>v</m:t>
        </m:r>
        <m:r>
          <m:rPr>
            <m:sty m:val="p"/>
          </m:rPr>
          <m:t>(</m:t>
        </m:r>
        <m:sSub>
          <m:e>
            <m:r>
              <m:t>x</m:t>
            </m:r>
          </m:e>
          <m:sub>
            <m:r>
              <m:t>1</m:t>
            </m:r>
          </m:sub>
        </m:sSub>
        <m:r>
          <m:rPr>
            <m:sty m:val="p"/>
          </m:rPr>
          <m:t>,</m:t>
        </m:r>
        <m:sSub>
          <m:e>
            <m:r>
              <m:t>x</m:t>
            </m:r>
          </m:e>
          <m:sub>
            <m:r>
              <m:t>2</m:t>
            </m:r>
          </m:sub>
        </m:sSub>
        <m:r>
          <m:rPr>
            <m:sty m:val="p"/>
          </m:rPr>
          <m:t>)</m:t>
        </m:r>
        <m:r>
          <m:rPr>
            <m:sty m:val="p"/>
          </m:rPr>
          <m:t>=</m:t>
        </m:r>
        <m:sSub>
          <m:e>
            <m:r>
              <m:t>x</m:t>
            </m:r>
          </m:e>
          <m:sub>
            <m:r>
              <m:t>1</m:t>
            </m:r>
          </m:sub>
        </m:sSub>
        <m:r>
          <m:rPr>
            <m:sty m:val="p"/>
          </m:rPr>
          <m:t>⋅</m:t>
        </m:r>
        <m:sSubSup>
          <m:e>
            <m:r>
              <m:t>x</m:t>
            </m:r>
          </m:e>
          <m:sub>
            <m:r>
              <m:t>2</m:t>
            </m:r>
          </m:sub>
          <m:sup>
            <m:r>
              <m:t>2</m:t>
            </m:r>
          </m:sup>
        </m:sSubSup>
      </m:oMath>
      <w:r>
        <w:t xml:space="preserve">. Verifique que ambas produzem a mesma TMS.</w:t>
      </w:r>
    </w:p>
    <w:p>
      <w:pPr>
        <w:pStyle w:val="BodyText"/>
      </w:pPr>
      <w:r>
        <w:t xml:space="preserve">Ver solução (Cap. 3)</w:t>
      </w:r>
    </w:p>
    <w:p>
      <w:r>
        <w:pict>
          <v:rect style="width:0;height:1.5pt" o:hralign="center" o:hrstd="t" o:hr="t"/>
        </w:pict>
      </w:r>
    </w:p>
    <w:p>
      <w:pPr>
        <w:pStyle w:val="FirstParagraph"/>
      </w:pPr>
      <w:r>
        <w:rPr>
          <w:b/>
          <w:bCs/>
        </w:rPr>
        <w:t xml:space="preserve">Exercício 3.3.</w:t>
      </w:r>
      <w:r>
        <w:t xml:space="preserve"> </w:t>
      </w:r>
      <w:r>
        <w:t xml:space="preserve">Um consumidor tem preferências do tipo CES com</w:t>
      </w:r>
      <w:r>
        <w:t xml:space="preserve"> </w:t>
      </w:r>
      <m:oMath>
        <m:r>
          <m:t>ρ</m:t>
        </m:r>
        <m:r>
          <m:rPr>
            <m:sty m:val="p"/>
          </m:rPr>
          <m:t>=</m:t>
        </m:r>
        <m:r>
          <m:rPr>
            <m:sty m:val="p"/>
          </m:rPr>
          <m:t>−</m:t>
        </m:r>
        <m:r>
          <m:t>1</m:t>
        </m:r>
      </m:oMath>
      <w:r>
        <w:t xml:space="preserve">:</w:t>
      </w:r>
    </w:p>
    <w:p>
      <w:pPr>
        <w:pStyle w:val="BodyText"/>
      </w:pPr>
      <m:oMathPara>
        <m:oMathParaPr>
          <m:jc m:val="center"/>
        </m:oMathParaPr>
        <m:oMath>
          <m:r>
            <m:t>u</m:t>
          </m:r>
          <m:r>
            <m:rPr>
              <m:sty m:val="p"/>
            </m:rPr>
            <m:t>(</m:t>
          </m:r>
          <m:sSub>
            <m:e>
              <m:r>
                <m:t>x</m:t>
              </m:r>
            </m:e>
            <m:sub>
              <m:r>
                <m:t>1</m:t>
              </m:r>
            </m:sub>
          </m:sSub>
          <m:r>
            <m:rPr>
              <m:sty m:val="p"/>
            </m:rPr>
            <m:t>,</m:t>
          </m:r>
          <m:sSub>
            <m:e>
              <m:r>
                <m:t>x</m:t>
              </m:r>
            </m:e>
            <m:sub>
              <m:r>
                <m:t>2</m:t>
              </m:r>
            </m:sub>
          </m:sSub>
          <m:r>
            <m:rPr>
              <m:sty m:val="p"/>
            </m:rPr>
            <m:t>)</m:t>
          </m:r>
          <m:r>
            <m:rPr>
              <m:sty m:val="p"/>
            </m:rPr>
            <m:t>=</m:t>
          </m:r>
          <m:sSup>
            <m:e>
              <m:d>
                <m:dPr>
                  <m:begChr m:val="("/>
                  <m:sepChr m:val=""/>
                  <m:endChr m:val=")"/>
                  <m:grow/>
                </m:dPr>
                <m:e>
                  <m:sSubSup>
                    <m:e>
                      <m:r>
                        <m:t>x</m:t>
                      </m:r>
                    </m:e>
                    <m:sub>
                      <m:r>
                        <m:t>1</m:t>
                      </m:r>
                    </m:sub>
                    <m:sup>
                      <m:r>
                        <m:rPr>
                          <m:sty m:val="p"/>
                        </m:rPr>
                        <m:t>−</m:t>
                      </m:r>
                      <m:r>
                        <m:t>1</m:t>
                      </m:r>
                    </m:sup>
                  </m:sSubSup>
                  <m:r>
                    <m:rPr>
                      <m:sty m:val="p"/>
                    </m:rPr>
                    <m:t>+</m:t>
                  </m:r>
                  <m:sSubSup>
                    <m:e>
                      <m:r>
                        <m:t>x</m:t>
                      </m:r>
                    </m:e>
                    <m:sub>
                      <m:r>
                        <m:t>2</m:t>
                      </m:r>
                    </m:sub>
                    <m:sup>
                      <m:r>
                        <m:rPr>
                          <m:sty m:val="p"/>
                        </m:rPr>
                        <m:t>−</m:t>
                      </m:r>
                      <m:r>
                        <m:t>1</m:t>
                      </m:r>
                    </m:sup>
                  </m:sSubSup>
                </m:e>
              </m:d>
            </m:e>
            <m:sup>
              <m:r>
                <m:rPr>
                  <m:sty m:val="p"/>
                </m:rPr>
                <m:t>−</m:t>
              </m:r>
              <m:r>
                <m:t>1</m:t>
              </m:r>
            </m:sup>
          </m:sSup>
          <m:r>
            <m:rPr>
              <m:sty m:val="p"/>
            </m:rPr>
            <m:t>.</m:t>
          </m:r>
        </m:oMath>
      </m:oMathPara>
    </w:p>
    <w:p>
      <w:pPr>
        <w:numPr>
          <w:ilvl w:val="0"/>
          <w:numId w:val="1120"/>
        </w:numPr>
      </w:pPr>
      <w:r>
        <w:t xml:space="preserve">Calcule a elasticidade de substituição.</w:t>
      </w:r>
    </w:p>
    <w:p>
      <w:pPr>
        <w:numPr>
          <w:ilvl w:val="0"/>
          <w:numId w:val="1120"/>
        </w:numPr>
      </w:pPr>
      <w:r>
        <w:t xml:space="preserve">Derive a TMS</w:t>
      </w:r>
      <m:oMath>
        <m:sSub>
          <m:e>
            <m:r>
              <m:t>​</m:t>
            </m:r>
          </m:e>
          <m:sub>
            <m:r>
              <m:t>12</m:t>
            </m:r>
          </m:sub>
        </m:sSub>
      </m:oMath>
      <w:r>
        <w:t xml:space="preserve">.</w:t>
      </w:r>
    </w:p>
    <w:p>
      <w:pPr>
        <w:numPr>
          <w:ilvl w:val="0"/>
          <w:numId w:val="1120"/>
        </w:numPr>
      </w:pPr>
      <w:r>
        <w:t xml:space="preserve">Esboce as curvas de indiferença. Elas estão mais próximas do caso Cobb-Douglas ou do caso de complementos perfeitos? Justifique.</w:t>
      </w:r>
    </w:p>
    <w:p>
      <w:pPr>
        <w:pStyle w:val="FirstParagraph"/>
      </w:pPr>
      <w:r>
        <w:t xml:space="preserve">Ver solução (Cap. 3)</w:t>
      </w:r>
    </w:p>
    <w:p>
      <w:r>
        <w:pict>
          <v:rect style="width:0;height:1.5pt" o:hralign="center" o:hrstd="t" o:hr="t"/>
        </w:pict>
      </w:r>
    </w:p>
    <w:p>
      <w:pPr>
        <w:pStyle w:val="FirstParagraph"/>
      </w:pPr>
      <w:r>
        <w:rPr>
          <w:b/>
          <w:bCs/>
        </w:rPr>
        <w:t xml:space="preserve">Exercício 3.4.</w:t>
      </w:r>
      <w:r>
        <w:t xml:space="preserve"> </w:t>
      </w:r>
      <w:r>
        <w:t xml:space="preserve">Considere preferências quase-lineares</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ad>
          <m:radPr>
            <m:degHide m:val="on"/>
          </m:radPr>
          <m:deg/>
          <m:e>
            <m:sSub>
              <m:e>
                <m:r>
                  <m:t>x</m:t>
                </m:r>
              </m:e>
              <m:sub>
                <m:r>
                  <m:t>1</m:t>
                </m:r>
              </m:sub>
            </m:sSub>
          </m:e>
        </m:rad>
        <m:r>
          <m:rPr>
            <m:sty m:val="p"/>
          </m:rPr>
          <m:t>+</m:t>
        </m:r>
        <m:sSub>
          <m:e>
            <m:r>
              <m:t>x</m:t>
            </m:r>
          </m:e>
          <m:sub>
            <m:r>
              <m:t>2</m:t>
            </m:r>
          </m:sub>
        </m:sSub>
      </m:oMath>
      <w:r>
        <w:t xml:space="preserve">.</w:t>
      </w:r>
    </w:p>
    <w:p>
      <w:pPr>
        <w:numPr>
          <w:ilvl w:val="0"/>
          <w:numId w:val="1121"/>
        </w:numPr>
      </w:pPr>
      <w:r>
        <w:t xml:space="preserve">Calcule a TMS</w:t>
      </w:r>
      <m:oMath>
        <m:sSub>
          <m:e>
            <m:r>
              <m:t>​</m:t>
            </m:r>
          </m:e>
          <m:sub>
            <m:r>
              <m:t>12</m:t>
            </m:r>
          </m:sub>
        </m:sSub>
      </m:oMath>
      <w:r>
        <w:t xml:space="preserve"> </w:t>
      </w:r>
      <w:r>
        <w:t xml:space="preserve">e mostre que ela depende apenas de</w:t>
      </w:r>
      <w:r>
        <w:t xml:space="preserve"> </w:t>
      </w:r>
      <m:oMath>
        <m:sSub>
          <m:e>
            <m:r>
              <m:t>x</m:t>
            </m:r>
          </m:e>
          <m:sub>
            <m:r>
              <m:t>1</m:t>
            </m:r>
          </m:sub>
        </m:sSub>
      </m:oMath>
      <w:r>
        <w:t xml:space="preserve">.</w:t>
      </w:r>
    </w:p>
    <w:p>
      <w:pPr>
        <w:numPr>
          <w:ilvl w:val="0"/>
          <w:numId w:val="1121"/>
        </w:numPr>
      </w:pPr>
      <w:r>
        <w:t xml:space="preserve">Desenhe duas curvas de indiferença e mostre que elas são translações verticais uma da outra.</w:t>
      </w:r>
    </w:p>
    <w:p>
      <w:pPr>
        <w:numPr>
          <w:ilvl w:val="0"/>
          <w:numId w:val="1121"/>
        </w:numPr>
      </w:pPr>
      <w:r>
        <w:t xml:space="preserve">Explique por que, nesse caso, a demanda pelo bem 1 é independente da renda (para soluções interiores).</w:t>
      </w:r>
    </w:p>
    <w:p>
      <w:pPr>
        <w:pStyle w:val="FirstParagraph"/>
      </w:pPr>
      <w:r>
        <w:t xml:space="preserve">Ver solução (Cap. 3)</w:t>
      </w:r>
    </w:p>
    <w:p>
      <w:r>
        <w:pict>
          <v:rect style="width:0;height:1.5pt" o:hralign="center" o:hrstd="t" o:hr="t"/>
        </w:pict>
      </w:r>
    </w:p>
    <w:p>
      <w:pPr>
        <w:pStyle w:val="FirstParagraph"/>
      </w:pPr>
      <w:r>
        <w:rPr>
          <w:b/>
          <w:bCs/>
        </w:rPr>
        <w:t xml:space="preserve">Exercício 3.5.</w:t>
      </w:r>
      <w:r>
        <w:t xml:space="preserve"> </w:t>
      </w:r>
      <w:r>
        <w:t xml:space="preserve">Um economista propõe representar as preferências de um consumidor pela função</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w:t>
      </w:r>
    </w:p>
    <w:p>
      <w:pPr>
        <w:numPr>
          <w:ilvl w:val="0"/>
          <w:numId w:val="1122"/>
        </w:numPr>
      </w:pPr>
      <w:r>
        <w:t xml:space="preserve">As curvas de indiferença dessa função são convexas em relação à origem? Justifique.</w:t>
      </w:r>
    </w:p>
    <w:p>
      <w:pPr>
        <w:numPr>
          <w:ilvl w:val="0"/>
          <w:numId w:val="1122"/>
        </w:numPr>
      </w:pPr>
      <w:r>
        <w:t xml:space="preserve">A TMS é decrescente ao longo de uma curva de indiferença?</w:t>
      </w:r>
    </w:p>
    <w:p>
      <w:pPr>
        <w:numPr>
          <w:ilvl w:val="0"/>
          <w:numId w:val="1122"/>
        </w:numPr>
      </w:pPr>
      <w:r>
        <w:t xml:space="preserve">Essa função satisfaz o axioma de preferências estritamente convexas? Que problema isso gera para a existência de soluções interiores no problema de otimização do consumidor?</w:t>
      </w:r>
    </w:p>
    <w:p>
      <w:pPr>
        <w:pStyle w:val="FirstParagraph"/>
      </w:pPr>
      <w:r>
        <w:t xml:space="preserve">Ver solução (Cap. 3)</w:t>
      </w:r>
    </w:p>
    <w:p>
      <w:r>
        <w:pict>
          <v:rect style="width:0;height:1.5pt" o:hralign="center" o:hrstd="t" o:hr="t"/>
        </w:pict>
      </w:r>
    </w:p>
    <w:p>
      <w:pPr>
        <w:pStyle w:val="FirstParagraph"/>
      </w:pPr>
      <w:r>
        <w:rPr>
          <w:b/>
          <w:bCs/>
        </w:rPr>
        <w:t xml:space="preserve">Exercício 3.6.</w:t>
      </w:r>
      <w:r>
        <w:t xml:space="preserve"> </w:t>
      </w:r>
      <w:r>
        <w:t xml:space="preserve">Considere a função de utilidade CES generalizada com pesos:</w:t>
      </w:r>
    </w:p>
    <w:p>
      <w:pPr>
        <w:pStyle w:val="BodyText"/>
      </w:pPr>
      <m:oMathPara>
        <m:oMathParaPr>
          <m:jc m:val="center"/>
        </m:oMathParaPr>
        <m:oMath>
          <m:r>
            <m:t>u</m:t>
          </m:r>
          <m:r>
            <m:rPr>
              <m:sty m:val="p"/>
            </m:rPr>
            <m:t>(</m:t>
          </m:r>
          <m:sSub>
            <m:e>
              <m:r>
                <m:t>x</m:t>
              </m:r>
            </m:e>
            <m:sub>
              <m:r>
                <m:t>1</m:t>
              </m:r>
            </m:sub>
          </m:sSub>
          <m:r>
            <m:rPr>
              <m:sty m:val="p"/>
            </m:rPr>
            <m:t>,</m:t>
          </m:r>
          <m:sSub>
            <m:e>
              <m:r>
                <m:t>x</m:t>
              </m:r>
            </m:e>
            <m:sub>
              <m:r>
                <m:t>2</m:t>
              </m:r>
            </m:sub>
          </m:sSub>
          <m:r>
            <m:rPr>
              <m:sty m:val="p"/>
            </m:rPr>
            <m:t>)</m:t>
          </m:r>
          <m:r>
            <m:rPr>
              <m:sty m:val="p"/>
            </m:rPr>
            <m:t>=</m:t>
          </m:r>
          <m:sSup>
            <m:e>
              <m:d>
                <m:dPr>
                  <m:begChr m:val="("/>
                  <m:sepChr m:val=""/>
                  <m:endChr m:val=")"/>
                  <m:grow/>
                </m:dPr>
                <m:e>
                  <m:r>
                    <m:t>α</m:t>
                  </m:r>
                  <m:r>
                    <m:t> </m:t>
                  </m:r>
                  <m:sSubSup>
                    <m:e>
                      <m:r>
                        <m:t>x</m:t>
                      </m:r>
                    </m:e>
                    <m:sub>
                      <m:r>
                        <m:t>1</m:t>
                      </m:r>
                    </m:sub>
                    <m:sup>
                      <m:r>
                        <m:t>ρ</m:t>
                      </m:r>
                    </m:sup>
                  </m:sSubSup>
                  <m:r>
                    <m:rPr>
                      <m:sty m:val="p"/>
                    </m:rPr>
                    <m:t>+</m:t>
                  </m:r>
                  <m:r>
                    <m:rPr>
                      <m:sty m:val="p"/>
                    </m:rPr>
                    <m:t>(</m:t>
                  </m:r>
                  <m:r>
                    <m:t>1</m:t>
                  </m:r>
                  <m:r>
                    <m:rPr>
                      <m:sty m:val="p"/>
                    </m:rPr>
                    <m:t>−</m:t>
                  </m:r>
                  <m:r>
                    <m:t>α</m:t>
                  </m:r>
                  <m:r>
                    <m:rPr>
                      <m:sty m:val="p"/>
                    </m:rPr>
                    <m:t>)</m:t>
                  </m:r>
                  <m:r>
                    <m:t> </m:t>
                  </m:r>
                  <m:sSubSup>
                    <m:e>
                      <m:r>
                        <m:t>x</m:t>
                      </m:r>
                    </m:e>
                    <m:sub>
                      <m:r>
                        <m:t>2</m:t>
                      </m:r>
                    </m:sub>
                    <m:sup>
                      <m:r>
                        <m:t>ρ</m:t>
                      </m:r>
                    </m:sup>
                  </m:sSubSup>
                </m:e>
              </m:d>
            </m:e>
            <m:sup>
              <m:r>
                <m:t>1</m:t>
              </m:r>
              <m:r>
                <m:rPr>
                  <m:sty m:val="p"/>
                </m:rPr>
                <m:t>/</m:t>
              </m:r>
              <m:r>
                <m:t>ρ</m:t>
              </m:r>
            </m:sup>
          </m:sSup>
          <m:r>
            <m:rPr>
              <m:sty m:val="p"/>
            </m:rPr>
            <m:t>,</m:t>
          </m:r>
          <m:r>
            <m:t> </m:t>
          </m:r>
          <m:r>
            <m:t>0</m:t>
          </m:r>
          <m:r>
            <m:rPr>
              <m:sty m:val="p"/>
            </m:rPr>
            <m:t>&lt;</m:t>
          </m:r>
          <m:r>
            <m:t>α</m:t>
          </m:r>
          <m:r>
            <m:rPr>
              <m:sty m:val="p"/>
            </m:rPr>
            <m:t>&lt;</m:t>
          </m:r>
          <m:r>
            <m:t>1</m:t>
          </m:r>
          <m:r>
            <m:rPr>
              <m:sty m:val="p"/>
            </m:rPr>
            <m:t>,</m:t>
          </m:r>
          <m:r>
            <m:t> </m:t>
          </m:r>
          <m:r>
            <m:t>ρ</m:t>
          </m:r>
          <m:r>
            <m:rPr>
              <m:sty m:val="p"/>
            </m:rPr>
            <m:t>&lt;</m:t>
          </m:r>
          <m:r>
            <m:t>1</m:t>
          </m:r>
          <m:r>
            <m:rPr>
              <m:sty m:val="p"/>
            </m:rPr>
            <m:t>,</m:t>
          </m:r>
          <m:r>
            <m:t> </m:t>
          </m:r>
          <m:r>
            <m:t>ρ</m:t>
          </m:r>
          <m:r>
            <m:rPr>
              <m:sty m:val="p"/>
            </m:rPr>
            <m:t>≠</m:t>
          </m:r>
          <m:r>
            <m:t>0</m:t>
          </m:r>
          <m:r>
            <m:rPr>
              <m:sty m:val="p"/>
            </m:rPr>
            <m:t>.</m:t>
          </m:r>
        </m:oMath>
      </m:oMathPara>
    </w:p>
    <w:p>
      <w:pPr>
        <w:numPr>
          <w:ilvl w:val="0"/>
          <w:numId w:val="1123"/>
        </w:numPr>
      </w:pPr>
      <w:r>
        <w:t xml:space="preserve">Derive a TMS</w:t>
      </w:r>
      <m:oMath>
        <m:sSub>
          <m:e>
            <m:r>
              <m:t>​</m:t>
            </m:r>
          </m:e>
          <m:sub>
            <m:r>
              <m:t>12</m:t>
            </m:r>
          </m:sub>
        </m:sSub>
      </m:oMath>
      <w:r>
        <w:t xml:space="preserve"> </w:t>
      </w:r>
      <w:r>
        <w:t xml:space="preserve">e mostre que ela depende de</w:t>
      </w:r>
      <w:r>
        <w:t xml:space="preserve"> </w:t>
      </w:r>
      <m:oMath>
        <m:r>
          <m:t>α</m:t>
        </m:r>
      </m:oMath>
      <w:r>
        <w:t xml:space="preserve">,</w:t>
      </w:r>
      <w:r>
        <w:t xml:space="preserve"> </w:t>
      </w:r>
      <m:oMath>
        <m:r>
          <m:t>ρ</m:t>
        </m:r>
      </m:oMath>
      <w:r>
        <w:t xml:space="preserve"> </w:t>
      </w:r>
      <w:r>
        <w:t xml:space="preserve">e da razão</w:t>
      </w:r>
      <w:r>
        <w:t xml:space="preserve"> </w:t>
      </w:r>
      <m:oMath>
        <m:sSub>
          <m:e>
            <m:r>
              <m:t>x</m:t>
            </m:r>
          </m:e>
          <m:sub>
            <m:r>
              <m:t>1</m:t>
            </m:r>
          </m:sub>
        </m:sSub>
        <m:r>
          <m:rPr>
            <m:sty m:val="p"/>
          </m:rPr>
          <m:t>/</m:t>
        </m:r>
        <m:sSub>
          <m:e>
            <m:r>
              <m:t>x</m:t>
            </m:r>
          </m:e>
          <m:sub>
            <m:r>
              <m:t>2</m:t>
            </m:r>
          </m:sub>
        </m:sSub>
      </m:oMath>
      <w:r>
        <w:t xml:space="preserve">.</w:t>
      </w:r>
    </w:p>
    <w:p>
      <w:pPr>
        <w:numPr>
          <w:ilvl w:val="0"/>
          <w:numId w:val="1123"/>
        </w:numPr>
      </w:pPr>
      <w:r>
        <w:t xml:space="preserve">Mostre que, no caso</w:t>
      </w:r>
      <w:r>
        <w:t xml:space="preserve"> </w:t>
      </w:r>
      <m:oMath>
        <m:r>
          <m:t>α</m:t>
        </m:r>
        <m:r>
          <m:rPr>
            <m:sty m:val="p"/>
          </m:rPr>
          <m:t>=</m:t>
        </m:r>
        <m:r>
          <m:t>1</m:t>
        </m:r>
        <m:r>
          <m:rPr>
            <m:sty m:val="p"/>
          </m:rPr>
          <m:t>/</m:t>
        </m:r>
        <m:r>
          <m:t>2</m:t>
        </m:r>
      </m:oMath>
      <w:r>
        <w:t xml:space="preserve">, a TMS no ponto</w:t>
      </w:r>
      <w:r>
        <w:t xml:space="preserve"> </w:t>
      </w:r>
      <m:oMath>
        <m:sSub>
          <m:e>
            <m:r>
              <m:t>x</m:t>
            </m:r>
          </m:e>
          <m:sub>
            <m:r>
              <m:t>1</m:t>
            </m:r>
          </m:sub>
        </m:sSub>
        <m:r>
          <m:rPr>
            <m:sty m:val="p"/>
          </m:rPr>
          <m:t>=</m:t>
        </m:r>
        <m:sSub>
          <m:e>
            <m:r>
              <m:t>x</m:t>
            </m:r>
          </m:e>
          <m:sub>
            <m:r>
              <m:t>2</m:t>
            </m:r>
          </m:sub>
        </m:sSub>
      </m:oMath>
      <w:r>
        <w:t xml:space="preserve"> </w:t>
      </w:r>
      <w:r>
        <w:t xml:space="preserve">é igual a 1, independentemente de</w:t>
      </w:r>
      <w:r>
        <w:t xml:space="preserve"> </w:t>
      </w:r>
      <m:oMath>
        <m:r>
          <m:t>ρ</m:t>
        </m:r>
      </m:oMath>
      <w:r>
        <w:t xml:space="preserve">.</w:t>
      </w:r>
    </w:p>
    <w:p>
      <w:pPr>
        <w:numPr>
          <w:ilvl w:val="0"/>
          <w:numId w:val="1123"/>
        </w:numPr>
      </w:pPr>
      <w:r>
        <w:t xml:space="preserve">Interprete economicamente o papel do parâmetro</w:t>
      </w:r>
      <w:r>
        <w:t xml:space="preserve"> </w:t>
      </w:r>
      <m:oMath>
        <m:r>
          <m:t>α</m:t>
        </m:r>
      </m:oMath>
      <w:r>
        <w:t xml:space="preserve">: o que acontece com as curvas de indiferença quando</w:t>
      </w:r>
      <w:r>
        <w:t xml:space="preserve"> </w:t>
      </w:r>
      <m:oMath>
        <m:r>
          <m:t>α</m:t>
        </m:r>
      </m:oMath>
      <w:r>
        <w:t xml:space="preserve"> </w:t>
      </w:r>
      <w:r>
        <w:t xml:space="preserve">aumenta?</w:t>
      </w:r>
    </w:p>
    <w:p>
      <w:pPr>
        <w:pStyle w:val="FirstParagraph"/>
      </w:pPr>
      <w:r>
        <w:t xml:space="preserve">Ver solução (Cap. 3)</w:t>
      </w:r>
    </w:p>
    <w:p>
      <w:r>
        <w:pict>
          <v:rect style="width:0;height:1.5pt" o:hralign="center" o:hrstd="t" o:hr="t"/>
        </w:pict>
      </w:r>
    </w:p>
    <w:p>
      <w:pPr>
        <w:pStyle w:val="FirstParagraph"/>
      </w:pPr>
      <w:r>
        <w:rPr>
          <w:b/>
          <w:bCs/>
        </w:rPr>
        <w:t xml:space="preserve">Exercício 3.7.</w:t>
      </w:r>
      <w:r>
        <w:t xml:space="preserve"> </w:t>
      </w:r>
      <w:r>
        <w:t xml:space="preserve">Sejam duas funções de utilidade:</w:t>
      </w:r>
    </w:p>
    <w:p>
      <w:pPr>
        <w:pStyle w:val="BodyText"/>
      </w:pPr>
      <m:oMathPara>
        <m:oMathParaPr>
          <m:jc m:val="center"/>
        </m:oMathParaP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1</m:t>
              </m:r>
              <m:r>
                <m:rPr>
                  <m:sty m:val="p"/>
                </m:rPr>
                <m:t>/</m:t>
              </m:r>
              <m:r>
                <m:t>2</m:t>
              </m:r>
            </m:sup>
          </m:sSubSup>
          <m:r>
            <m:t> </m:t>
          </m:r>
          <m:sSubSup>
            <m:e>
              <m:r>
                <m:t>x</m:t>
              </m:r>
            </m:e>
            <m:sub>
              <m:r>
                <m:t>2</m:t>
              </m:r>
            </m:sub>
            <m:sup>
              <m:r>
                <m:t>1</m:t>
              </m:r>
              <m:r>
                <m:rPr>
                  <m:sty m:val="p"/>
                </m:rPr>
                <m:t>/</m:t>
              </m:r>
              <m:r>
                <m:t>2</m:t>
              </m:r>
            </m:sup>
          </m:sSubSup>
          <m:r>
            <m:rPr>
              <m:sty m:val="p"/>
            </m:rPr>
            <m:t>,</m:t>
          </m:r>
          <m:r>
            <m:t>  </m:t>
          </m:r>
          <m:r>
            <m:t>v</m:t>
          </m:r>
          <m:r>
            <m:rPr>
              <m:sty m:val="p"/>
            </m:rPr>
            <m:t>(</m:t>
          </m:r>
          <m:sSub>
            <m:e>
              <m:r>
                <m:t>x</m:t>
              </m:r>
            </m:e>
            <m:sub>
              <m:r>
                <m:t>1</m:t>
              </m:r>
            </m:sub>
          </m:sSub>
          <m:r>
            <m:rPr>
              <m:sty m:val="p"/>
            </m:rPr>
            <m:t>,</m:t>
          </m:r>
          <m:sSub>
            <m:e>
              <m:r>
                <m:t>x</m:t>
              </m:r>
            </m:e>
            <m:sub>
              <m:r>
                <m:t>2</m:t>
              </m:r>
            </m:sub>
          </m:sSub>
          <m:r>
            <m:rPr>
              <m:sty m:val="p"/>
            </m:rPr>
            <m:t>)</m:t>
          </m:r>
          <m:r>
            <m:rPr>
              <m:sty m:val="p"/>
            </m:rPr>
            <m:t>=</m:t>
          </m:r>
          <m:r>
            <m:rPr>
              <m:sty m:val="p"/>
            </m:rPr>
            <m:t>−</m:t>
          </m:r>
          <m:f>
            <m:fPr>
              <m:type m:val="bar"/>
            </m:fPr>
            <m:num>
              <m:r>
                <m:t>1</m:t>
              </m:r>
            </m:num>
            <m:den>
              <m:sSub>
                <m:e>
                  <m:r>
                    <m:t>x</m:t>
                  </m:r>
                </m:e>
                <m:sub>
                  <m:r>
                    <m:t>1</m:t>
                  </m:r>
                </m:sub>
              </m:sSub>
              <m:r>
                <m:t> </m:t>
              </m:r>
              <m:sSub>
                <m:e>
                  <m:r>
                    <m:t>x</m:t>
                  </m:r>
                </m:e>
                <m:sub>
                  <m:r>
                    <m:t>2</m:t>
                  </m:r>
                </m:sub>
              </m:sSub>
            </m:den>
          </m:f>
          <m:r>
            <m:rPr>
              <m:sty m:val="p"/>
            </m:rPr>
            <m:t>.</m:t>
          </m:r>
        </m:oMath>
      </m:oMathPara>
    </w:p>
    <w:p>
      <w:pPr>
        <w:numPr>
          <w:ilvl w:val="0"/>
          <w:numId w:val="1124"/>
        </w:numPr>
      </w:pPr>
      <w:r>
        <w:t xml:space="preserve">Mostre que</w:t>
      </w:r>
      <w:r>
        <w:t xml:space="preserve"> </w:t>
      </w:r>
      <m:oMath>
        <m:r>
          <m:t>v</m:t>
        </m:r>
      </m:oMath>
      <w:r>
        <w:t xml:space="preserve"> </w:t>
      </w:r>
      <w:r>
        <w:t xml:space="preserve">é uma transformação monotônica de</w:t>
      </w:r>
      <w:r>
        <w:t xml:space="preserve"> </w:t>
      </w:r>
      <m:oMath>
        <m:r>
          <m:t>u</m:t>
        </m:r>
      </m:oMath>
      <w:r>
        <w:t xml:space="preserve"> </w:t>
      </w:r>
      <w:r>
        <w:t xml:space="preserve">e identifique a função</w:t>
      </w:r>
      <w:r>
        <w:t xml:space="preserve"> </w:t>
      </w:r>
      <m:oMath>
        <m:r>
          <m:t>f</m:t>
        </m:r>
      </m:oMath>
      <w:r>
        <w:t xml:space="preserve"> </w:t>
      </w:r>
      <w:r>
        <w:t xml:space="preserve">tal que</w:t>
      </w:r>
      <w:r>
        <w:t xml:space="preserve"> </w:t>
      </w:r>
      <m:oMath>
        <m:r>
          <m:t>v</m:t>
        </m:r>
        <m:r>
          <m:rPr>
            <m:sty m:val="p"/>
          </m:rPr>
          <m:t>=</m:t>
        </m:r>
        <m:r>
          <m:t>f</m:t>
        </m:r>
        <m:r>
          <m:rPr>
            <m:sty m:val="p"/>
          </m:rPr>
          <m:t>(</m:t>
        </m:r>
        <m:r>
          <m:t>u</m:t>
        </m:r>
        <m:r>
          <m:rPr>
            <m:sty m:val="p"/>
          </m:rPr>
          <m:t>)</m:t>
        </m:r>
      </m:oMath>
      <w:r>
        <w:t xml:space="preserve">.</w:t>
      </w:r>
    </w:p>
    <w:p>
      <w:pPr>
        <w:numPr>
          <w:ilvl w:val="0"/>
          <w:numId w:val="1124"/>
        </w:numPr>
      </w:pPr>
      <w:r>
        <w:t xml:space="preserve">Calcule a TMS</w:t>
      </w:r>
      <m:oMath>
        <m:sSub>
          <m:e>
            <m:r>
              <m:t>​</m:t>
            </m:r>
          </m:e>
          <m:sub>
            <m:r>
              <m:t>12</m:t>
            </m:r>
          </m:sub>
        </m:sSub>
      </m:oMath>
      <w:r>
        <w:t xml:space="preserve"> </w:t>
      </w:r>
      <w:r>
        <w:t xml:space="preserve">usando</w:t>
      </w:r>
      <w:r>
        <w:t xml:space="preserve"> </w:t>
      </w:r>
      <m:oMath>
        <m:r>
          <m:t>u</m:t>
        </m:r>
      </m:oMath>
      <w:r>
        <w:t xml:space="preserve"> </w:t>
      </w:r>
      <w:r>
        <w:t xml:space="preserve">e usando</w:t>
      </w:r>
      <w:r>
        <w:t xml:space="preserve"> </w:t>
      </w:r>
      <m:oMath>
        <m:r>
          <m:t>v</m:t>
        </m:r>
      </m:oMath>
      <w:r>
        <w:t xml:space="preserve">. Verifique que ambas coincidem.</w:t>
      </w:r>
    </w:p>
    <w:p>
      <w:pPr>
        <w:numPr>
          <w:ilvl w:val="0"/>
          <w:numId w:val="1124"/>
        </w:numPr>
      </w:pPr>
      <w:r>
        <w:t xml:space="preserve">Compare as utilidades marginais de</w:t>
      </w:r>
      <w:r>
        <w:t xml:space="preserve"> </w:t>
      </w:r>
      <m:oMath>
        <m:r>
          <m:t>u</m:t>
        </m:r>
      </m:oMath>
      <w:r>
        <w:t xml:space="preserve"> </w:t>
      </w:r>
      <w:r>
        <w:t xml:space="preserve">e de</w:t>
      </w:r>
      <w:r>
        <w:t xml:space="preserve"> </w:t>
      </w:r>
      <m:oMath>
        <m:r>
          <m:t>v</m:t>
        </m:r>
      </m:oMath>
      <w:r>
        <w:t xml:space="preserve">. Embora ambas representem as mesmas preferências, os valores das utilidades marginais coincidem? Explique por que a utilidade marginal não possui significado econômico isolado.</w:t>
      </w:r>
    </w:p>
    <w:p>
      <w:pPr>
        <w:pStyle w:val="FirstParagraph"/>
      </w:pPr>
      <w:r>
        <w:t xml:space="preserve">Ver solução (Cap. 3)</w:t>
      </w:r>
    </w:p>
    <w:p>
      <w:r>
        <w:pict>
          <v:rect style="width:0;height:1.5pt" o:hralign="center" o:hrstd="t" o:hr="t"/>
        </w:pict>
      </w:r>
    </w:p>
    <w:p>
      <w:pPr>
        <w:pStyle w:val="FirstParagraph"/>
      </w:pPr>
      <w:r>
        <w:rPr>
          <w:b/>
          <w:bCs/>
        </w:rPr>
        <w:t xml:space="preserve">Exercício 3.8.</w:t>
      </w:r>
      <w:r>
        <w:t xml:space="preserve"> </w:t>
      </w:r>
      <w:r>
        <w:t xml:space="preserve">Um consumidor tem preferências representadas por</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rPr>
            <m:sty m:val="p"/>
          </m:rPr>
          <m:t>min</m:t>
        </m:r>
        <m:r>
          <m:rPr>
            <m:sty m:val="p"/>
          </m:rPr>
          <m:t>{</m:t>
        </m:r>
        <m:r>
          <m:t>2</m:t>
        </m:r>
        <m:sSub>
          <m:e>
            <m:r>
              <m:t>x</m:t>
            </m:r>
          </m:e>
          <m:sub>
            <m:r>
              <m:t>1</m:t>
            </m:r>
          </m:sub>
        </m:sSub>
        <m:r>
          <m:rPr>
            <m:sty m:val="p"/>
          </m:rPr>
          <m:t>,</m:t>
        </m:r>
        <m:sSub>
          <m:e>
            <m:r>
              <m:t>x</m:t>
            </m:r>
          </m:e>
          <m:sub>
            <m:r>
              <m:t>2</m:t>
            </m:r>
          </m:sub>
        </m:sSub>
        <m:r>
          <m:rPr>
            <m:sty m:val="p"/>
          </m:rPr>
          <m:t>}</m:t>
        </m:r>
      </m:oMath>
      <w:r>
        <w:t xml:space="preserve">.</w:t>
      </w:r>
    </w:p>
    <w:p>
      <w:pPr>
        <w:numPr>
          <w:ilvl w:val="0"/>
          <w:numId w:val="1125"/>
        </w:numPr>
      </w:pPr>
      <w:r>
        <w:t xml:space="preserve">Em que proporção o consumidor deseja consumir os dois bens? Justifique a partir da função de utilidade.</w:t>
      </w:r>
    </w:p>
    <w:p>
      <w:pPr>
        <w:numPr>
          <w:ilvl w:val="0"/>
          <w:numId w:val="1125"/>
        </w:numPr>
      </w:pPr>
      <w:r>
        <w:t xml:space="preserve">Suponha que o consumidor possui renda</w:t>
      </w:r>
      <w:r>
        <w:t xml:space="preserve"> </w:t>
      </w:r>
      <m:oMath>
        <m:r>
          <m:t>m</m:t>
        </m:r>
        <m:r>
          <m:rPr>
            <m:sty m:val="p"/>
          </m:rPr>
          <m:t>=</m:t>
        </m:r>
        <m:r>
          <m:t>120</m:t>
        </m:r>
      </m:oMath>
      <w:r>
        <w:t xml:space="preserve"> </w:t>
      </w:r>
      <w:r>
        <w:t xml:space="preserve">e enfrenta preços</w:t>
      </w:r>
      <w:r>
        <w:t xml:space="preserve"> </w:t>
      </w:r>
      <m:oMath>
        <m:sSub>
          <m:e>
            <m:r>
              <m:t>p</m:t>
            </m:r>
          </m:e>
          <m:sub>
            <m:r>
              <m:t>1</m:t>
            </m:r>
          </m:sub>
        </m:sSub>
        <m:r>
          <m:rPr>
            <m:sty m:val="p"/>
          </m:rPr>
          <m:t>=</m:t>
        </m:r>
        <m:r>
          <m:t>10</m:t>
        </m:r>
      </m:oMath>
      <w:r>
        <w:t xml:space="preserve"> </w:t>
      </w:r>
      <w:r>
        <w:t xml:space="preserve">e</w:t>
      </w:r>
      <w:r>
        <w:t xml:space="preserve"> </w:t>
      </w:r>
      <m:oMath>
        <m:sSub>
          <m:e>
            <m:r>
              <m:t>p</m:t>
            </m:r>
          </m:e>
          <m:sub>
            <m:r>
              <m:t>2</m:t>
            </m:r>
          </m:sub>
        </m:sSub>
        <m:r>
          <m:rPr>
            <m:sty m:val="p"/>
          </m:rPr>
          <m:t>=</m:t>
        </m:r>
        <m:r>
          <m:t>5</m:t>
        </m:r>
      </m:oMath>
      <w:r>
        <w:t xml:space="preserve">. Encontre a cesta ótima.</w:t>
      </w:r>
    </w:p>
    <w:p>
      <w:pPr>
        <w:numPr>
          <w:ilvl w:val="0"/>
          <w:numId w:val="1125"/>
        </w:numPr>
      </w:pPr>
      <w:r>
        <w:t xml:space="preserve">Se o preço do bem 1 dobrar para</w:t>
      </w:r>
      <w:r>
        <w:t xml:space="preserve"> </w:t>
      </w:r>
      <m:oMath>
        <m:sSub>
          <m:e>
            <m:r>
              <m:t>p</m:t>
            </m:r>
          </m:e>
          <m:sub>
            <m:r>
              <m:t>1</m:t>
            </m:r>
          </m:sub>
        </m:sSub>
        <m:r>
          <m:rPr>
            <m:sty m:val="p"/>
          </m:rPr>
          <m:t>=</m:t>
        </m:r>
        <m:r>
          <m:t>20</m:t>
        </m:r>
      </m:oMath>
      <w:r>
        <w:t xml:space="preserve">, qual será a nova cesta ótima? Calcule a variação percentual no consumo de cada bem e interprete.</w:t>
      </w:r>
    </w:p>
    <w:p>
      <w:pPr>
        <w:pStyle w:val="FirstParagraph"/>
      </w:pPr>
      <w:r>
        <w:t xml:space="preserve">Ver solução (Cap. 3)</w:t>
      </w:r>
    </w:p>
    <w:p>
      <w:r>
        <w:pict>
          <v:rect style="width:0;height:1.5pt" o:hralign="center" o:hrstd="t" o:hr="t"/>
        </w:pict>
      </w:r>
    </w:p>
    <w:p>
      <w:pPr>
        <w:pStyle w:val="FirstParagraph"/>
      </w:pPr>
      <w:r>
        <w:rPr>
          <w:b/>
          <w:bCs/>
        </w:rPr>
        <w:t xml:space="preserve">Exercício 3.9.</w:t>
      </w:r>
      <w:r>
        <w:t xml:space="preserve"> </w:t>
      </w:r>
      <w:r>
        <w:t xml:space="preserve">Demonstre que, para preferências homotéticas, a TMS depende apenas da razão</w:t>
      </w:r>
      <w:r>
        <w:t xml:space="preserve"> </w:t>
      </w:r>
      <m:oMath>
        <m:sSub>
          <m:e>
            <m:r>
              <m:t>x</m:t>
            </m:r>
          </m:e>
          <m:sub>
            <m:r>
              <m:t>1</m:t>
            </m:r>
          </m:sub>
        </m:sSub>
        <m:r>
          <m:rPr>
            <m:sty m:val="p"/>
          </m:rPr>
          <m:t>/</m:t>
        </m:r>
        <m:sSub>
          <m:e>
            <m:r>
              <m:t>x</m:t>
            </m:r>
          </m:e>
          <m:sub>
            <m:r>
              <m:t>2</m:t>
            </m:r>
          </m:sub>
        </m:sSub>
      </m:oMath>
      <w:r>
        <w:t xml:space="preserve">.</w:t>
      </w:r>
    </w:p>
    <w:p>
      <w:pPr>
        <w:pStyle w:val="BodyText"/>
      </w:pPr>
      <w:r>
        <w:rPr>
          <w:i/>
          <w:iCs/>
        </w:rPr>
        <w:t xml:space="preserve">Dica:</w:t>
      </w:r>
      <w:r>
        <w:t xml:space="preserve"> </w:t>
      </w:r>
      <w:r>
        <w:t xml:space="preserve">Seja</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t>g</m:t>
        </m:r>
        <m:r>
          <m:rPr>
            <m:sty m:val="p"/>
          </m:rPr>
          <m:t>(</m:t>
        </m:r>
        <m:r>
          <m:t>h</m:t>
        </m:r>
        <m:r>
          <m:rPr>
            <m:sty m:val="p"/>
          </m:rPr>
          <m:t>(</m:t>
        </m:r>
        <m:sSub>
          <m:e>
            <m:r>
              <m:t>x</m:t>
            </m:r>
          </m:e>
          <m:sub>
            <m:r>
              <m:t>1</m:t>
            </m:r>
          </m:sub>
        </m:sSub>
        <m:r>
          <m:rPr>
            <m:sty m:val="p"/>
          </m:rPr>
          <m:t>,</m:t>
        </m:r>
        <m:sSub>
          <m:e>
            <m:r>
              <m:t>x</m:t>
            </m:r>
          </m:e>
          <m:sub>
            <m:r>
              <m:t>2</m:t>
            </m:r>
          </m:sub>
        </m:sSub>
        <m:r>
          <m:rPr>
            <m:sty m:val="p"/>
          </m:rPr>
          <m:t>)</m:t>
        </m:r>
        <m:r>
          <m:rPr>
            <m:sty m:val="p"/>
          </m:rPr>
          <m:t>)</m:t>
        </m:r>
      </m:oMath>
      <w:r>
        <w:t xml:space="preserve">, onde</w:t>
      </w:r>
      <w:r>
        <w:t xml:space="preserve"> </w:t>
      </w:r>
      <m:oMath>
        <m:sSup>
          <m:e>
            <m:r>
              <m:t>g</m:t>
            </m:r>
          </m:e>
          <m:sup>
            <m:r>
              <m:rPr>
                <m:sty m:val="p"/>
              </m:rPr>
              <m:t>′</m:t>
            </m:r>
          </m:sup>
        </m:sSup>
        <m:r>
          <m:rPr>
            <m:sty m:val="p"/>
          </m:rPr>
          <m:t>&gt;</m:t>
        </m:r>
        <m:r>
          <m:t>0</m:t>
        </m:r>
      </m:oMath>
      <w:r>
        <w:t xml:space="preserve"> </w:t>
      </w:r>
      <w:r>
        <w:t xml:space="preserve">e</w:t>
      </w:r>
      <w:r>
        <w:t xml:space="preserve"> </w:t>
      </w:r>
      <m:oMath>
        <m:r>
          <m:t>h</m:t>
        </m:r>
      </m:oMath>
      <w:r>
        <w:t xml:space="preserve"> </w:t>
      </w:r>
      <w:r>
        <w:t xml:space="preserve">é homogênea de grau 1. Use o Teorema de Euler para mostrar que</w:t>
      </w:r>
      <w:r>
        <w:t xml:space="preserve"> </w:t>
      </w:r>
      <m:oMath>
        <m:sSub>
          <m:e>
            <m:r>
              <m:rPr>
                <m:nor/>
                <m:sty m:val="p"/>
              </m:rPr>
              <m:t>TMS</m:t>
            </m:r>
          </m:e>
          <m:sub>
            <m:r>
              <m:t>12</m:t>
            </m:r>
          </m:sub>
        </m:sSub>
        <m:r>
          <m:rPr>
            <m:sty m:val="p"/>
          </m:rPr>
          <m:t>=</m:t>
        </m:r>
        <m:sSub>
          <m:e>
            <m:r>
              <m:t>h</m:t>
            </m:r>
          </m:e>
          <m:sub>
            <m:r>
              <m:t>1</m:t>
            </m:r>
          </m:sub>
        </m:sSub>
        <m:r>
          <m:rPr>
            <m:sty m:val="p"/>
          </m:rPr>
          <m:t>/</m:t>
        </m:r>
        <m:sSub>
          <m:e>
            <m:r>
              <m:t>h</m:t>
            </m:r>
          </m:e>
          <m:sub>
            <m:r>
              <m:t>2</m:t>
            </m:r>
          </m:sub>
        </m:sSub>
      </m:oMath>
      <w:r>
        <w:t xml:space="preserve">, e depois explore a homogeneidade de grau zero das derivadas de uma função homogênea de grau 1.</w:t>
      </w:r>
    </w:p>
    <w:p>
      <w:pPr>
        <w:pStyle w:val="BodyText"/>
      </w:pPr>
      <w:r>
        <w:t xml:space="preserve">Ver solução (Cap. 3)</w:t>
      </w:r>
    </w:p>
    <w:p>
      <w:r>
        <w:pict>
          <v:rect style="width:0;height:1.5pt" o:hralign="center" o:hrstd="t" o:hr="t"/>
        </w:pict>
      </w:r>
    </w:p>
    <w:p>
      <w:pPr>
        <w:pStyle w:val="FirstParagraph"/>
      </w:pPr>
      <w:r>
        <w:rPr>
          <w:b/>
          <w:bCs/>
        </w:rPr>
        <w:t xml:space="preserve">Exercício 3.10.</w:t>
      </w:r>
      <w:r>
        <w:t xml:space="preserve"> </w:t>
      </w:r>
      <w:r>
        <w:t xml:space="preserve">A Pesquisa de Orçamentos Familiares (POF 2017-2018) mostra que famílias com renda mensal de R$ 1.908 gastam 22% da renda em alimentação, enquanto famílias com renda de R$ 23.850 gastam 7,6%.</w:t>
      </w:r>
    </w:p>
    <w:p>
      <w:pPr>
        <w:pStyle w:val="Compact"/>
        <w:numPr>
          <w:ilvl w:val="0"/>
          <w:numId w:val="1126"/>
        </w:numPr>
      </w:pPr>
      <w:r>
        <w:t xml:space="preserve">Calcule a elasticidade-renda aproximada da alimentação entre essas duas faixas de renda, usando a fórmula de arco-elasticidade:</w:t>
      </w:r>
    </w:p>
    <w:p>
      <w:pPr>
        <w:pStyle w:val="FirstParagraph"/>
      </w:pPr>
      <m:oMathPara>
        <m:oMathParaPr>
          <m:jc m:val="center"/>
        </m:oMathParaPr>
        <m:oMath>
          <m:r>
            <m:t>ε</m:t>
          </m:r>
          <m:r>
            <m:rPr>
              <m:sty m:val="p"/>
            </m:rPr>
            <m:t>≈</m:t>
          </m:r>
          <m:f>
            <m:fPr>
              <m:type m:val="bar"/>
            </m:fPr>
            <m:num>
              <m:r>
                <m:rPr>
                  <m:sty m:val="p"/>
                </m:rPr>
                <m:t>Δ</m:t>
              </m:r>
              <m:r>
                <m:t>Q</m:t>
              </m:r>
              <m:r>
                <m:rPr>
                  <m:sty m:val="p"/>
                </m:rPr>
                <m:t>/</m:t>
              </m:r>
              <m:acc>
                <m:accPr>
                  <m:chr m:val="‾"/>
                </m:accPr>
                <m:e>
                  <m:r>
                    <m:t>Q</m:t>
                  </m:r>
                </m:e>
              </m:acc>
            </m:num>
            <m:den>
              <m:r>
                <m:rPr>
                  <m:sty m:val="p"/>
                </m:rPr>
                <m:t>Δ</m:t>
              </m:r>
              <m:r>
                <m:t>I</m:t>
              </m:r>
              <m:r>
                <m:rPr>
                  <m:sty m:val="p"/>
                </m:rPr>
                <m:t>/</m:t>
              </m:r>
              <m:acc>
                <m:accPr>
                  <m:chr m:val="‾"/>
                </m:accPr>
                <m:e>
                  <m:r>
                    <m:t>I</m:t>
                  </m:r>
                </m:e>
              </m:acc>
            </m:den>
          </m:f>
        </m:oMath>
      </m:oMathPara>
    </w:p>
    <w:p>
      <w:pPr>
        <w:pStyle w:val="FirstParagraph"/>
      </w:pPr>
      <w:r>
        <w:t xml:space="preserve">onde</w:t>
      </w:r>
      <w:r>
        <w:t xml:space="preserve"> </w:t>
      </w:r>
      <m:oMath>
        <m:r>
          <m:t>Q</m:t>
        </m:r>
        <m:r>
          <m:rPr>
            <m:sty m:val="p"/>
          </m:rPr>
          <m:t>=</m:t>
        </m:r>
        <m:r>
          <m:t>s</m:t>
        </m:r>
        <m:r>
          <m:rPr>
            <m:sty m:val="p"/>
          </m:rPr>
          <m:t>⋅</m:t>
        </m:r>
        <m:r>
          <m:t>I</m:t>
        </m:r>
      </m:oMath>
      <w:r>
        <w:t xml:space="preserve"> </w:t>
      </w:r>
      <w:r>
        <w:t xml:space="preserve">é o gasto com alimentação (</w:t>
      </w:r>
      <m:oMath>
        <m:r>
          <m:t>s</m:t>
        </m:r>
      </m:oMath>
      <w:r>
        <w:t xml:space="preserve"> </w:t>
      </w:r>
      <w:r>
        <w:t xml:space="preserve">= participação), e</w:t>
      </w:r>
      <w:r>
        <w:t xml:space="preserve"> </w:t>
      </w:r>
      <m:oMath>
        <m:acc>
          <m:accPr>
            <m:chr m:val="‾"/>
          </m:accPr>
          <m:e>
            <m:r>
              <m:t>Q</m:t>
            </m:r>
          </m:e>
        </m:acc>
      </m:oMath>
      <w:r>
        <w:t xml:space="preserve"> </w:t>
      </w:r>
      <w:r>
        <w:t xml:space="preserve">e</w:t>
      </w:r>
      <w:r>
        <w:t xml:space="preserve"> </w:t>
      </w:r>
      <m:oMath>
        <m:acc>
          <m:accPr>
            <m:chr m:val="‾"/>
          </m:accPr>
          <m:e>
            <m:r>
              <m:t>I</m:t>
            </m:r>
          </m:e>
        </m:acc>
      </m:oMath>
      <w:r>
        <w:t xml:space="preserve"> </w:t>
      </w:r>
      <w:r>
        <w:t xml:space="preserve">são as médias dos dois pontos.</w:t>
      </w:r>
    </w:p>
    <w:p>
      <w:pPr>
        <w:numPr>
          <w:ilvl w:val="0"/>
          <w:numId w:val="1127"/>
        </w:numPr>
      </w:pPr>
      <w:r>
        <w:t xml:space="preserve">A alimentação é um bem normal ou inferior? É um bem de luxo ou de necessidade? Justifique com base na elasticidade calculada.</w:t>
      </w:r>
    </w:p>
    <w:p>
      <w:pPr>
        <w:numPr>
          <w:ilvl w:val="0"/>
          <w:numId w:val="1127"/>
        </w:numPr>
      </w:pPr>
      <w:r>
        <w:t xml:space="preserve">Esse padrão é compatível com preferências homotéticas? E com preferências Cobb-Douglas? Explique, relacionando com as propriedades da Seção 3.6.6.</w:t>
      </w:r>
    </w:p>
    <w:p>
      <w:pPr>
        <w:pStyle w:val="FirstParagraph"/>
      </w:pPr>
      <w:r>
        <w:t xml:space="preserve">Ver solução (Cap. 3)</w:t>
      </w:r>
    </w:p>
    <w:p>
      <w:r>
        <w:pict>
          <v:rect style="width:0;height:1.5pt" o:hralign="center" o:hrstd="t" o:hr="t"/>
        </w:pict>
      </w:r>
    </w:p>
    <w:bookmarkEnd w:id="173"/>
    <w:bookmarkStart w:id="174" w:name="vem-anpec-1"/>
    <w:p>
      <w:pPr>
        <w:pStyle w:val="Heading3"/>
      </w:pPr>
      <w:r>
        <w:t xml:space="preserve">Vem, ANPEC!</w:t>
      </w:r>
    </w:p>
    <w:p>
      <w:pPr>
        <w:pStyle w:val="BlockText"/>
      </w:pPr>
      <w:r>
        <w:rPr>
          <w:b/>
          <w:bCs/>
        </w:rPr>
        <w:t xml:space="preserve">[QUESTAO] ANPEC 2019 — Questão 01</w:t>
      </w:r>
    </w:p>
    <w:p>
      <w:pPr>
        <w:pStyle w:val="BlockText"/>
      </w:pPr>
      <w:r>
        <w:t xml:space="preserve">Com relação às preferências do consumidor, indique quais das afirmações a seguir são verdadeiras e quais são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Sendo</w:t>
            </w:r>
            <w:r>
              <w:t xml:space="preserve"> </w:t>
            </w:r>
            <m:oMath>
              <m:r>
                <m:t>U</m:t>
              </m:r>
              <m:r>
                <m:rPr>
                  <m:sty m:val="p"/>
                </m:rPr>
                <m:t>(</m:t>
              </m:r>
              <m:r>
                <m:t>x</m:t>
              </m:r>
              <m:r>
                <m:rPr>
                  <m:sty m:val="p"/>
                </m:rPr>
                <m:t>,</m:t>
              </m:r>
              <m:r>
                <m:t>y</m:t>
              </m:r>
              <m:r>
                <m:rPr>
                  <m:sty m:val="p"/>
                </m:rPr>
                <m:t>)</m:t>
              </m:r>
            </m:oMath>
            <w:r>
              <w:t xml:space="preserve"> </w:t>
            </w:r>
            <w:r>
              <w:t xml:space="preserve">a função de utilidade em dois bens</w:t>
            </w:r>
            <w:r>
              <w:t xml:space="preserve"> </w:t>
            </w:r>
            <m:oMath>
              <m:r>
                <m:t>x</m:t>
              </m:r>
            </m:oMath>
            <w:r>
              <w:t xml:space="preserve"> </w:t>
            </w:r>
            <w:r>
              <w:t xml:space="preserve">e</w:t>
            </w:r>
            <w:r>
              <w:t xml:space="preserve"> </w:t>
            </w:r>
            <m:oMath>
              <m:r>
                <m:t>y</m:t>
              </m:r>
            </m:oMath>
            <w:r>
              <w:t xml:space="preserve">,</w:t>
            </w:r>
            <w:r>
              <w:t xml:space="preserve"> </w:t>
            </w:r>
            <m:oMath>
              <m:r>
                <m:t>U</m:t>
              </m:r>
              <m:r>
                <m:rPr>
                  <m:sty m:val="p"/>
                </m:rPr>
                <m:t>(</m:t>
              </m:r>
              <m:r>
                <m:t>x</m:t>
              </m:r>
              <m:r>
                <m:rPr>
                  <m:sty m:val="p"/>
                </m:rPr>
                <m:t>,</m:t>
              </m:r>
              <m:r>
                <m:t>y</m:t>
              </m:r>
              <m:r>
                <m:rPr>
                  <m:sty m:val="p"/>
                </m:rPr>
                <m:t>)</m:t>
              </m:r>
              <m:r>
                <m:rPr>
                  <m:sty m:val="p"/>
                </m:rPr>
                <m:t>=</m:t>
              </m:r>
              <m:r>
                <m:rPr>
                  <m:sty m:val="p"/>
                </m:rPr>
                <m:t>ln</m:t>
              </m:r>
              <m:r>
                <m:t>x</m:t>
              </m:r>
              <m:r>
                <m:rPr>
                  <m:sty m:val="p"/>
                </m:rPr>
                <m:t>⋅</m:t>
              </m:r>
              <m:r>
                <m:rPr>
                  <m:sty m:val="p"/>
                </m:rPr>
                <m:t>ln</m:t>
              </m:r>
              <m:r>
                <m:t>y</m:t>
              </m:r>
            </m:oMath>
            <w:r>
              <w:t xml:space="preserve"> </w:t>
            </w:r>
            <w:r>
              <w:t xml:space="preserve">representa uma função de utilidade quase-linear.</w:t>
            </w:r>
          </w:p>
        </w:tc>
      </w:tr>
      <w:tr>
        <w:tc>
          <w:tcPr/>
          <w:p>
            <w:pPr>
              <w:pStyle w:val="Compact"/>
            </w:pPr>
            <w:r>
              <w:t xml:space="preserve">1</w:t>
            </w:r>
          </w:p>
        </w:tc>
        <w:tc>
          <w:tcPr/>
          <w:p>
            <w:pPr>
              <w:pStyle w:val="Compact"/>
            </w:pPr>
            <w:r>
              <w:t xml:space="preserve">Podemos sempre extrair a transformação monotônica da função de utilidade do tipo Cobb-Douglas.</w:t>
            </w:r>
          </w:p>
        </w:tc>
      </w:tr>
      <w:tr>
        <w:tc>
          <w:tcPr/>
          <w:p>
            <w:pPr>
              <w:pStyle w:val="Compact"/>
            </w:pPr>
            <w:r>
              <w:t xml:space="preserve">2</w:t>
            </w:r>
          </w:p>
        </w:tc>
        <w:tc>
          <w:tcPr/>
          <w:p>
            <w:pPr>
              <w:pStyle w:val="Compact"/>
            </w:pPr>
            <w:r>
              <w:t xml:space="preserve">Uma função de utilidade do tipo</w:t>
            </w:r>
            <w:r>
              <w:t xml:space="preserve"> </w:t>
            </w:r>
            <m:oMath>
              <m:r>
                <m:t>U</m:t>
              </m:r>
              <m:r>
                <m:rPr>
                  <m:sty m:val="p"/>
                </m:rPr>
                <m:t>(</m:t>
              </m:r>
              <m:r>
                <m:t>x</m:t>
              </m:r>
              <m:r>
                <m:rPr>
                  <m:sty m:val="p"/>
                </m:rPr>
                <m:t>,</m:t>
              </m:r>
              <m:r>
                <m:t>y</m:t>
              </m:r>
              <m:r>
                <m:rPr>
                  <m:sty m:val="p"/>
                </m:rPr>
                <m:t>)</m:t>
              </m:r>
              <m:r>
                <m:rPr>
                  <m:sty m:val="p"/>
                </m:rPr>
                <m:t>=</m:t>
              </m:r>
              <m:r>
                <m:rPr>
                  <m:sty m:val="p"/>
                </m:rPr>
                <m:t>(</m:t>
              </m:r>
              <m:r>
                <m:t>x</m:t>
              </m:r>
              <m:r>
                <m:rPr>
                  <m:sty m:val="p"/>
                </m:rPr>
                <m:t>+</m:t>
              </m:r>
              <m:r>
                <m:t>y</m:t>
              </m:r>
              <m:sSup>
                <m:e>
                  <m:r>
                    <m:rPr>
                      <m:sty m:val="p"/>
                    </m:rPr>
                    <m:t>)</m:t>
                  </m:r>
                </m:e>
                <m:sup>
                  <m:r>
                    <m:t>0</m:t>
                  </m:r>
                  <m:r>
                    <m:rPr>
                      <m:sty m:val="p"/>
                    </m:rPr>
                    <m:t>,</m:t>
                  </m:r>
                  <m:r>
                    <m:t>5</m:t>
                  </m:r>
                </m:sup>
              </m:sSup>
            </m:oMath>
            <w:r>
              <w:t xml:space="preserve"> </w:t>
            </w:r>
            <w:r>
              <w:t xml:space="preserve">implica que</w:t>
            </w:r>
            <w:r>
              <w:t xml:space="preserve"> </w:t>
            </w:r>
            <m:oMath>
              <m:r>
                <m:t>x</m:t>
              </m:r>
            </m:oMath>
            <w:r>
              <w:t xml:space="preserve"> </w:t>
            </w:r>
            <w:r>
              <w:t xml:space="preserve">e</w:t>
            </w:r>
            <w:r>
              <w:t xml:space="preserve"> </w:t>
            </w:r>
            <m:oMath>
              <m:r>
                <m:t>y</m:t>
              </m:r>
            </m:oMath>
            <w:r>
              <w:t xml:space="preserve"> </w:t>
            </w:r>
            <w:r>
              <w:t xml:space="preserve">são bens substitutos perfeitos.</w:t>
            </w:r>
          </w:p>
        </w:tc>
      </w:tr>
      <w:tr>
        <w:tc>
          <w:tcPr/>
          <w:p>
            <w:pPr>
              <w:pStyle w:val="Compact"/>
            </w:pPr>
            <w:r>
              <w:t xml:space="preserve">3</w:t>
            </w:r>
          </w:p>
        </w:tc>
        <w:tc>
          <w:tcPr/>
          <w:p>
            <w:pPr>
              <w:pStyle w:val="Compact"/>
            </w:pPr>
            <w:r>
              <w:t xml:space="preserve">Uma função de utilidade do tipo</w:t>
            </w:r>
            <w:r>
              <w:t xml:space="preserve"> </w:t>
            </w:r>
            <m:oMath>
              <m:r>
                <m:t>U</m:t>
              </m:r>
              <m:r>
                <m:rPr>
                  <m:sty m:val="p"/>
                </m:rPr>
                <m:t>(</m:t>
              </m:r>
              <m:r>
                <m:t>x</m:t>
              </m:r>
              <m:r>
                <m:rPr>
                  <m:sty m:val="p"/>
                </m:rPr>
                <m:t>,</m:t>
              </m:r>
              <m:r>
                <m:t>y</m:t>
              </m:r>
              <m:r>
                <m:rPr>
                  <m:sty m:val="p"/>
                </m:rPr>
                <m:t>)</m:t>
              </m:r>
              <m:r>
                <m:rPr>
                  <m:sty m:val="p"/>
                </m:rPr>
                <m:t>=</m:t>
              </m:r>
              <m:r>
                <m:t>x</m:t>
              </m:r>
              <m:r>
                <m:rPr>
                  <m:sty m:val="p"/>
                </m:rPr>
                <m:t>+</m:t>
              </m:r>
              <m:r>
                <m:t>y</m:t>
              </m:r>
            </m:oMath>
            <w:r>
              <w:t xml:space="preserve"> </w:t>
            </w:r>
            <w:r>
              <w:t xml:space="preserve">implica que</w:t>
            </w:r>
            <w:r>
              <w:t xml:space="preserve"> </w:t>
            </w:r>
            <m:oMath>
              <m:r>
                <m:t>x</m:t>
              </m:r>
            </m:oMath>
            <w:r>
              <w:t xml:space="preserve"> </w:t>
            </w:r>
            <w:r>
              <w:t xml:space="preserve">e</w:t>
            </w:r>
            <w:r>
              <w:t xml:space="preserve"> </w:t>
            </w:r>
            <m:oMath>
              <m:r>
                <m:t>y</m:t>
              </m:r>
            </m:oMath>
            <w:r>
              <w:t xml:space="preserve"> </w:t>
            </w:r>
            <w:r>
              <w:t xml:space="preserve">são bens complementares perfeitos.</w:t>
            </w:r>
          </w:p>
        </w:tc>
      </w:tr>
      <w:tr>
        <w:tc>
          <w:tcPr/>
          <w:p>
            <w:pPr>
              <w:pStyle w:val="Compact"/>
            </w:pPr>
            <w:r>
              <w:t xml:space="preserve">4</w:t>
            </w:r>
          </w:p>
        </w:tc>
        <w:tc>
          <w:tcPr/>
          <w:p>
            <w:pPr>
              <w:pStyle w:val="Compact"/>
            </w:pPr>
            <m:oMath>
              <m:r>
                <m:t>f</m:t>
              </m:r>
              <m:r>
                <m:rPr>
                  <m:sty m:val="p"/>
                </m:rPr>
                <m:t>(</m:t>
              </m:r>
              <m:r>
                <m:t>U</m:t>
              </m:r>
              <m:r>
                <m:rPr>
                  <m:sty m:val="p"/>
                </m:rPr>
                <m:t>)</m:t>
              </m:r>
              <m:r>
                <m:rPr>
                  <m:sty m:val="p"/>
                </m:rPr>
                <m:t>=</m:t>
              </m:r>
              <m:sSup>
                <m:e>
                  <m:r>
                    <m:t>U</m:t>
                  </m:r>
                </m:e>
                <m:sup>
                  <m:r>
                    <m:t>2</m:t>
                  </m:r>
                </m:sup>
              </m:sSup>
            </m:oMath>
            <w:r>
              <w:t xml:space="preserve"> </w:t>
            </w:r>
            <w:r>
              <w:t xml:space="preserve">é uma transformação monotônica apenas para</w:t>
            </w:r>
            <w:r>
              <w:t xml:space="preserve"> </w:t>
            </w:r>
            <m:oMath>
              <m:r>
                <m:t>U</m:t>
              </m:r>
            </m:oMath>
            <w:r>
              <w:t xml:space="preserve"> </w:t>
            </w:r>
            <w:r>
              <w:t xml:space="preserve">positivo.</w:t>
            </w:r>
          </w:p>
        </w:tc>
      </w:tr>
    </w:tbl>
    <w:p>
      <w:pPr>
        <w:pStyle w:val="BlockText"/>
      </w:pPr>
      <w:r>
        <w:t xml:space="preserve">??? success</w:t>
      </w:r>
      <w:r>
        <w:t xml:space="preserve"> </w:t>
      </w:r>
      <w:r>
        <w:t xml:space="preserve">“Gabarito”</w:t>
      </w:r>
      <w:r>
        <w:t xml:space="preserve"> </w:t>
      </w:r>
      <w:r>
        <w:rPr>
          <w:b/>
          <w:bCs/>
        </w:rPr>
        <w:t xml:space="preserve">Respostas: F V V F V</w:t>
      </w:r>
    </w:p>
    <w:p>
      <w:pPr>
        <w:pStyle w:val="SourceCode"/>
      </w:pPr>
      <w:r>
        <w:rPr>
          <w:rStyle w:val="VerbatimChar"/>
        </w:rPr>
        <w:t xml:space="preserve">**Justificativa por item:**</w:t>
      </w:r>
      <w:r>
        <w:br/>
      </w:r>
      <w:r>
        <w:br/>
      </w:r>
      <w:r>
        <w:rPr>
          <w:rStyle w:val="VerbatimChar"/>
        </w:rPr>
        <w:t xml:space="preserve">- **Item 0 — F:** A função $U(x,y) = \ln x \cdot \ln y$ não é quase-linear. Uma função quase-linear tem a forma $v(x_1) + x_2$, isto é, é linear em um dos bens e não linear no outro. O produto de logaritmos não se enquadra nessa estrutura.</w:t>
      </w:r>
      <w:r>
        <w:br/>
      </w:r>
      <w:r>
        <w:rPr>
          <w:rStyle w:val="VerbatimChar"/>
        </w:rPr>
        <w:t xml:space="preserve">- **Item 1 — V:** Da Cobb-Douglas $u = x^a y^b$, podemos aplicar a transformação monotônica $f(u) = \ln(u)$, obtendo $\hat{u} = a\ln x + b\ln y$. Como $f$ é estritamente crescente para $u &gt; 0$ (e a Cobb-Douglas é positiva no interior do consumo), a transformação é sempre válida.</w:t>
      </w:r>
      <w:r>
        <w:br/>
      </w:r>
      <w:r>
        <w:rPr>
          <w:rStyle w:val="VerbatimChar"/>
        </w:rPr>
        <w:t xml:space="preserve">- **Item 2 — V:** A função $U(x,y) = (x+y)^{0,5}$ é uma transformação monotônica de $V(x,y) = x + y$, via $f(V) = V^{0,5}$, que é estritamente crescente para $V &gt; 0$. Como $V = x + y$ representa substitutos perfeitos (TMS constante igual a 1), $U$ também representa substitutos perfeitos (Proposição 3.3).</w:t>
      </w:r>
      <w:r>
        <w:br/>
      </w:r>
      <w:r>
        <w:rPr>
          <w:rStyle w:val="VerbatimChar"/>
        </w:rPr>
        <w:t xml:space="preserve">- **Item 3 — F:** A função $U(x,y) = x + y$ é a representação clássica de substitutos perfeitos, com curvas de indiferença retas e TMS constante igual a 1. Complementares perfeitos seriam representados por $\min\{x, y\}$.</w:t>
      </w:r>
      <w:r>
        <w:br/>
      </w:r>
      <w:r>
        <w:rPr>
          <w:rStyle w:val="VerbatimChar"/>
        </w:rPr>
        <w:t xml:space="preserve">- **Item 4 — V:** A função $f(U) = U^2$ tem derivada $f'(U) = 2U$. Para $U &gt; 0$, $f'(U) &gt; 0$ e a transformação é estritamente crescente (monotônica). Para $U &lt; 0$, $f'(U) &lt; 0$ e a função é decrescente, invertendo o ordenamento — logo, não é uma transformação monotônica nesse domínio.</w:t>
      </w:r>
    </w:p>
    <w:p>
      <w:pPr>
        <w:pStyle w:val="BlockText"/>
      </w:pPr>
      <w:r>
        <w:rPr>
          <w:b/>
          <w:bCs/>
        </w:rPr>
        <w:t xml:space="preserve">[QUESTAO] ANPEC 2021 — Questão 01</w:t>
      </w:r>
    </w:p>
    <w:p>
      <w:pPr>
        <w:pStyle w:val="BlockText"/>
      </w:pPr>
      <w:r>
        <w:t xml:space="preserve">Seja um consumidor com função de utilidade dada por</w:t>
      </w:r>
      <w:r>
        <w:t xml:space="preserve"> </w:t>
      </w:r>
      <m:oMath>
        <m:r>
          <m:t>U</m:t>
        </m:r>
        <m:r>
          <m:rPr>
            <m:sty m:val="p"/>
          </m:rPr>
          <m:t>=</m:t>
        </m:r>
        <m:sSup>
          <m:e>
            <m:r>
              <m:t>X</m:t>
            </m:r>
          </m:e>
          <m:sup>
            <m:r>
              <m:t>2</m:t>
            </m:r>
          </m:sup>
        </m:sSup>
        <m:r>
          <m:rPr>
            <m:sty m:val="p"/>
          </m:rPr>
          <m:t>+</m:t>
        </m:r>
        <m:sSup>
          <m:e>
            <m:r>
              <m:t>Y</m:t>
            </m:r>
          </m:e>
          <m:sup>
            <m:r>
              <m:t>2</m:t>
            </m:r>
          </m:sup>
        </m:sSup>
      </m:oMath>
      <w:r>
        <w:t xml:space="preserve">, em que</w:t>
      </w:r>
      <w:r>
        <w:t xml:space="preserve"> </w:t>
      </w:r>
      <m:oMath>
        <m:r>
          <m:t>X</m:t>
        </m:r>
      </m:oMath>
      <w:r>
        <w:t xml:space="preserve"> </w:t>
      </w:r>
      <w:r>
        <w:t xml:space="preserve">é a quantidade consumida de entradas de cinema e</w:t>
      </w:r>
      <w:r>
        <w:t xml:space="preserve"> </w:t>
      </w:r>
      <m:oMath>
        <m:r>
          <m:t>Y</m:t>
        </m:r>
      </m:oMath>
      <w:r>
        <w:t xml:space="preserve"> </w:t>
      </w:r>
      <w:r>
        <w:t xml:space="preserve">é a quantidade consumida de pizzas. Com relação a este consumidor, verifique quais das seguintes afirmações são verdadeiras e quais são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A taxa marginal de substituição deste consumidor é</w:t>
            </w:r>
            <w:r>
              <w:t xml:space="preserve"> </w:t>
            </w:r>
            <m:oMath>
              <m:r>
                <m:t>X</m:t>
              </m:r>
              <m:r>
                <m:rPr>
                  <m:sty m:val="p"/>
                </m:rPr>
                <m:t>/</m:t>
              </m:r>
              <m:r>
                <m:t>Y</m:t>
              </m:r>
            </m:oMath>
            <w:r>
              <w:t xml:space="preserve">.</w:t>
            </w:r>
          </w:p>
        </w:tc>
      </w:tr>
      <w:tr>
        <w:tc>
          <w:tcPr/>
          <w:p>
            <w:pPr>
              <w:pStyle w:val="Compact"/>
            </w:pPr>
            <w:r>
              <w:t xml:space="preserve">1</w:t>
            </w:r>
          </w:p>
        </w:tc>
        <w:tc>
          <w:tcPr/>
          <w:p>
            <w:pPr>
              <w:pStyle w:val="Compact"/>
            </w:pPr>
            <w:r>
              <w:t xml:space="preserve">A cesta</w:t>
            </w:r>
            <w:r>
              <w:t xml:space="preserve"> </w:t>
            </w:r>
            <m:oMath>
              <m:r>
                <m:rPr>
                  <m:sty m:val="p"/>
                </m:rPr>
                <m:t>(</m:t>
              </m:r>
              <m:r>
                <m:t>X</m:t>
              </m:r>
              <m:r>
                <m:rPr>
                  <m:sty m:val="p"/>
                </m:rPr>
                <m:t>=</m:t>
              </m:r>
              <m:r>
                <m:t>2</m:t>
              </m:r>
              <m:r>
                <m:rPr>
                  <m:sty m:val="p"/>
                </m:rPr>
                <m:t>,</m:t>
              </m:r>
              <m:r>
                <m:t>Y</m:t>
              </m:r>
              <m:r>
                <m:rPr>
                  <m:sty m:val="p"/>
                </m:rPr>
                <m:t>=</m:t>
              </m:r>
              <m:r>
                <m:t>1</m:t>
              </m:r>
              <m:r>
                <m:rPr>
                  <m:sty m:val="p"/>
                </m:rPr>
                <m:t>)</m:t>
              </m:r>
            </m:oMath>
            <w:r>
              <w:t xml:space="preserve"> </w:t>
            </w:r>
            <w:r>
              <w:t xml:space="preserve">e a cesta</w:t>
            </w:r>
            <w:r>
              <w:t xml:space="preserve"> </w:t>
            </w:r>
            <m:oMath>
              <m:r>
                <m:rPr>
                  <m:sty m:val="p"/>
                </m:rPr>
                <m:t>(</m:t>
              </m:r>
              <m:r>
                <m:t>X</m:t>
              </m:r>
              <m:r>
                <m:rPr>
                  <m:sty m:val="p"/>
                </m:rPr>
                <m:t>=</m:t>
              </m:r>
              <m:r>
                <m:t>1</m:t>
              </m:r>
              <m:r>
                <m:rPr>
                  <m:sty m:val="p"/>
                </m:rPr>
                <m:t>,</m:t>
              </m:r>
              <m:r>
                <m:t>Y</m:t>
              </m:r>
              <m:r>
                <m:rPr>
                  <m:sty m:val="p"/>
                </m:rPr>
                <m:t>=</m:t>
              </m:r>
              <m:r>
                <m:t>2</m:t>
              </m:r>
              <m:r>
                <m:rPr>
                  <m:sty m:val="p"/>
                </m:rPr>
                <m:t>)</m:t>
              </m:r>
            </m:oMath>
            <w:r>
              <w:t xml:space="preserve"> </w:t>
            </w:r>
            <w:r>
              <w:t xml:space="preserve">se encontram sobre a mesma curva de indiferença.</w:t>
            </w:r>
          </w:p>
        </w:tc>
      </w:tr>
      <w:tr>
        <w:tc>
          <w:tcPr/>
          <w:p>
            <w:pPr>
              <w:pStyle w:val="Compact"/>
            </w:pPr>
            <w:r>
              <w:t xml:space="preserve">2</w:t>
            </w:r>
          </w:p>
        </w:tc>
        <w:tc>
          <w:tcPr/>
          <w:p>
            <w:pPr>
              <w:pStyle w:val="Compact"/>
            </w:pPr>
            <w:r>
              <w:t xml:space="preserve">As curvas de indiferença do consumidor são estritamente convexas entre as cestas</w:t>
            </w:r>
            <w:r>
              <w:t xml:space="preserve"> </w:t>
            </w:r>
            <m:oMath>
              <m:r>
                <m:rPr>
                  <m:sty m:val="p"/>
                </m:rPr>
                <m:t>(</m:t>
              </m:r>
              <m:r>
                <m:t>X</m:t>
              </m:r>
              <m:r>
                <m:rPr>
                  <m:sty m:val="p"/>
                </m:rPr>
                <m:t>=</m:t>
              </m:r>
              <m:r>
                <m:t>2</m:t>
              </m:r>
              <m:r>
                <m:rPr>
                  <m:sty m:val="p"/>
                </m:rPr>
                <m:t>,</m:t>
              </m:r>
              <m:r>
                <m:t>Y</m:t>
              </m:r>
              <m:r>
                <m:rPr>
                  <m:sty m:val="p"/>
                </m:rPr>
                <m:t>=</m:t>
              </m:r>
              <m:r>
                <m:t>1</m:t>
              </m:r>
              <m:r>
                <m:rPr>
                  <m:sty m:val="p"/>
                </m:rPr>
                <m:t>)</m:t>
              </m:r>
            </m:oMath>
            <w:r>
              <w:t xml:space="preserve"> </w:t>
            </w:r>
            <w:r>
              <w:t xml:space="preserve">e</w:t>
            </w:r>
            <w:r>
              <w:t xml:space="preserve"> </w:t>
            </w:r>
            <m:oMath>
              <m:r>
                <m:rPr>
                  <m:sty m:val="p"/>
                </m:rPr>
                <m:t>(</m:t>
              </m:r>
              <m:r>
                <m:t>X</m:t>
              </m:r>
              <m:r>
                <m:rPr>
                  <m:sty m:val="p"/>
                </m:rPr>
                <m:t>=</m:t>
              </m:r>
              <m:r>
                <m:t>1</m:t>
              </m:r>
              <m:r>
                <m:rPr>
                  <m:sty m:val="p"/>
                </m:rPr>
                <m:t>,</m:t>
              </m:r>
              <m:r>
                <m:t>Y</m:t>
              </m:r>
              <m:r>
                <m:rPr>
                  <m:sty m:val="p"/>
                </m:rPr>
                <m:t>=</m:t>
              </m:r>
              <m:r>
                <m:t>2</m:t>
              </m:r>
              <m:r>
                <m:rPr>
                  <m:sty m:val="p"/>
                </m:rPr>
                <m:t>)</m:t>
              </m:r>
            </m:oMath>
            <w:r>
              <w:t xml:space="preserve">.</w:t>
            </w:r>
          </w:p>
        </w:tc>
      </w:tr>
      <w:tr>
        <w:tc>
          <w:tcPr/>
          <w:p>
            <w:pPr>
              <w:pStyle w:val="Compact"/>
            </w:pPr>
            <w:r>
              <w:t xml:space="preserve">3</w:t>
            </w:r>
          </w:p>
        </w:tc>
        <w:tc>
          <w:tcPr/>
          <w:p>
            <w:pPr>
              <w:pStyle w:val="Compact"/>
            </w:pPr>
            <m:oMath>
              <m:r>
                <m:t>X</m:t>
              </m:r>
            </m:oMath>
            <w:r>
              <w:t xml:space="preserve"> </w:t>
            </w:r>
            <w:r>
              <w:t xml:space="preserve">e</w:t>
            </w:r>
            <w:r>
              <w:t xml:space="preserve"> </w:t>
            </w:r>
            <m:oMath>
              <m:r>
                <m:t>Y</m:t>
              </m:r>
            </m:oMath>
            <w:r>
              <w:t xml:space="preserve"> </w:t>
            </w:r>
            <w:r>
              <w:t xml:space="preserve">são substitutos perfeitos.</w:t>
            </w:r>
          </w:p>
        </w:tc>
      </w:tr>
      <w:tr>
        <w:tc>
          <w:tcPr/>
          <w:p>
            <w:pPr>
              <w:pStyle w:val="Compact"/>
            </w:pPr>
            <w:r>
              <w:t xml:space="preserve">4</w:t>
            </w:r>
          </w:p>
        </w:tc>
        <w:tc>
          <w:tcPr/>
          <w:p>
            <w:pPr>
              <w:pStyle w:val="Compact"/>
            </w:pPr>
            <w:r>
              <w:t xml:space="preserve">O bem</w:t>
            </w:r>
            <w:r>
              <w:t xml:space="preserve"> </w:t>
            </w:r>
            <m:oMath>
              <m:r>
                <m:t>Y</m:t>
              </m:r>
            </m:oMath>
            <w:r>
              <w:t xml:space="preserve"> </w:t>
            </w:r>
            <w:r>
              <w:t xml:space="preserve">é um mal.</w:t>
            </w:r>
          </w:p>
        </w:tc>
      </w:tr>
    </w:tbl>
    <w:p>
      <w:pPr>
        <w:pStyle w:val="BlockText"/>
      </w:pPr>
      <w:r>
        <w:t xml:space="preserve">??? success</w:t>
      </w:r>
      <w:r>
        <w:t xml:space="preserve"> </w:t>
      </w:r>
      <w:r>
        <w:t xml:space="preserve">“Gabarito”</w:t>
      </w:r>
      <w:r>
        <w:t xml:space="preserve"> </w:t>
      </w:r>
      <w:r>
        <w:rPr>
          <w:b/>
          <w:bCs/>
        </w:rPr>
        <w:t xml:space="preserve">Respostas: V V F F F</w:t>
      </w:r>
    </w:p>
    <w:p>
      <w:pPr>
        <w:pStyle w:val="SourceCode"/>
      </w:pPr>
      <w:r>
        <w:rPr>
          <w:rStyle w:val="VerbatimChar"/>
        </w:rPr>
        <w:t xml:space="preserve">**Justificativa por item:**</w:t>
      </w:r>
      <w:r>
        <w:br/>
      </w:r>
      <w:r>
        <w:br/>
      </w:r>
      <w:r>
        <w:rPr>
          <w:rStyle w:val="VerbatimChar"/>
        </w:rPr>
        <w:t xml:space="preserve">- **Item 0 — V:** $\text{TMS} = \frac{\text{UMg}_X}{\text{UMg}_Y} = \frac{2X}{2Y} = \frac{X}{Y}$. Correto.</w:t>
      </w:r>
      <w:r>
        <w:br/>
      </w:r>
      <w:r>
        <w:rPr>
          <w:rStyle w:val="VerbatimChar"/>
        </w:rPr>
        <w:t xml:space="preserve">- **Item 1 — V:** $U(2,1) = 4 + 1 = 5$ e $U(1,2) = 1 + 4 = 5$. Ambas geram o mesmo nível de utilidade, logo pertencem à mesma curva de indiferença.</w:t>
      </w:r>
      <w:r>
        <w:br/>
      </w:r>
      <w:r>
        <w:rPr>
          <w:rStyle w:val="VerbatimChar"/>
        </w:rPr>
        <w:t xml:space="preserve">- **Item 2 — F:** As curvas de indiferença de $U = X^2 + Y^2 = c$ são arcos de circunferência — côncavas em relação à origem, não convexas. O conjunto superior $\{(X,Y): X^2+Y^2 \geq c\}$ não é convexo. Este é exatamente o caso discutido no Exercício 3.5 do capítulo.</w:t>
      </w:r>
      <w:r>
        <w:br/>
      </w:r>
      <w:r>
        <w:rPr>
          <w:rStyle w:val="VerbatimChar"/>
        </w:rPr>
        <w:t xml:space="preserve">- **Item 3 — F:** Substitutos perfeitos têm curvas de indiferença retas (TMS constante). Aqui, a TMS $= X/Y$ varia com a composição da cesta e as curvas são circulares, não retas.</w:t>
      </w:r>
      <w:r>
        <w:br/>
      </w:r>
      <w:r>
        <w:rPr>
          <w:rStyle w:val="VerbatimChar"/>
        </w:rPr>
        <w:t xml:space="preserve">- **Item 4 — F:** $\text{UMg}_Y = 2Y &gt; 0$ para $Y &gt; 0$, logo mais pizza aumenta a utilidade. O bem $Y$ não é um mal.</w:t>
      </w:r>
    </w:p>
    <w:p>
      <w:pPr>
        <w:pStyle w:val="BlockText"/>
      </w:pPr>
      <w:r>
        <w:rPr>
          <w:b/>
          <w:bCs/>
        </w:rPr>
        <w:t xml:space="preserve">[QUESTAO] ANPEC 2021 — Questão 02</w:t>
      </w:r>
    </w:p>
    <w:p>
      <w:pPr>
        <w:pStyle w:val="BlockText"/>
      </w:pPr>
      <w:r>
        <w:t xml:space="preserve">Considere a Teoria da Utilidade para responder quais das afirmações a seguir são verdadeiras e quais são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Todos os tipos de preferências podem ser representados pela função de utilidade.</w:t>
            </w:r>
          </w:p>
        </w:tc>
      </w:tr>
      <w:tr>
        <w:tc>
          <w:tcPr/>
          <w:p>
            <w:pPr>
              <w:pStyle w:val="Compact"/>
            </w:pPr>
            <w:r>
              <w:t xml:space="preserve">1</w:t>
            </w:r>
          </w:p>
        </w:tc>
        <w:tc>
          <w:tcPr/>
          <w:p>
            <w:pPr>
              <w:pStyle w:val="Compact"/>
            </w:pPr>
            <w:r>
              <w:t xml:space="preserve">Sejam dois bens,</w:t>
            </w:r>
            <w:r>
              <w:t xml:space="preserve"> </w:t>
            </w:r>
            <m:oMath>
              <m:r>
                <m:t>X</m:t>
              </m:r>
            </m:oMath>
            <w:r>
              <w:t xml:space="preserve"> </w:t>
            </w:r>
            <w:r>
              <w:t xml:space="preserve">e</w:t>
            </w:r>
            <w:r>
              <w:t xml:space="preserve"> </w:t>
            </w:r>
            <m:oMath>
              <m:r>
                <m:t>Y</m:t>
              </m:r>
            </m:oMath>
            <w:r>
              <w:t xml:space="preserve">. A uma função de utilidade dada por</w:t>
            </w:r>
            <w:r>
              <w:t xml:space="preserve"> </w:t>
            </w:r>
            <m:oMath>
              <m:r>
                <m:t>U</m:t>
              </m:r>
              <m:r>
                <m:rPr>
                  <m:sty m:val="p"/>
                </m:rPr>
                <m:t>(</m:t>
              </m:r>
              <m:r>
                <m:t>X</m:t>
              </m:r>
              <m:r>
                <m:rPr>
                  <m:sty m:val="p"/>
                </m:rPr>
                <m:t>,</m:t>
              </m:r>
              <m:r>
                <m:t>Y</m:t>
              </m:r>
              <m:r>
                <m:rPr>
                  <m:sty m:val="p"/>
                </m:rPr>
                <m:t>)</m:t>
              </m:r>
              <m:r>
                <m:rPr>
                  <m:sty m:val="p"/>
                </m:rPr>
                <m:t>=</m:t>
              </m:r>
              <m:r>
                <m:t>X</m:t>
              </m:r>
              <m:r>
                <m:t>Y</m:t>
              </m:r>
            </m:oMath>
            <w:r>
              <w:t xml:space="preserve"> </w:t>
            </w:r>
            <w:r>
              <w:t xml:space="preserve">corresponde uma curva de indiferença típica dada por</w:t>
            </w:r>
            <w:r>
              <w:t xml:space="preserve"> </w:t>
            </w:r>
            <m:oMath>
              <m:r>
                <m:t>Y</m:t>
              </m:r>
              <m:r>
                <m:rPr>
                  <m:sty m:val="p"/>
                </m:rPr>
                <m:t>=</m:t>
              </m:r>
              <m:r>
                <m:t>c</m:t>
              </m:r>
              <m:r>
                <m:t>X</m:t>
              </m:r>
            </m:oMath>
            <w:r>
              <w:t xml:space="preserve">, em que</w:t>
            </w:r>
            <w:r>
              <w:t xml:space="preserve"> </w:t>
            </w:r>
            <m:oMath>
              <m:r>
                <m:t>c</m:t>
              </m:r>
            </m:oMath>
            <w:r>
              <w:t xml:space="preserve"> </w:t>
            </w:r>
            <w:r>
              <w:t xml:space="preserve">é uma constante.</w:t>
            </w:r>
          </w:p>
        </w:tc>
      </w:tr>
      <w:tr>
        <w:tc>
          <w:tcPr/>
          <w:p>
            <w:pPr>
              <w:pStyle w:val="Compact"/>
            </w:pPr>
            <w:r>
              <w:t xml:space="preserve">2</w:t>
            </w:r>
          </w:p>
        </w:tc>
        <w:tc>
          <w:tcPr/>
          <w:p>
            <w:pPr>
              <w:pStyle w:val="Compact"/>
            </w:pPr>
            <w:r>
              <w:t xml:space="preserve">Se dois bens (</w:t>
            </w:r>
            <m:oMath>
              <m:r>
                <m:t>A</m:t>
              </m:r>
            </m:oMath>
            <w:r>
              <w:t xml:space="preserve"> </w:t>
            </w:r>
            <w:r>
              <w:t xml:space="preserve">e</w:t>
            </w:r>
            <w:r>
              <w:t xml:space="preserve"> </w:t>
            </w:r>
            <m:oMath>
              <m:r>
                <m:t>B</m:t>
              </m:r>
            </m:oMath>
            <w:r>
              <w:t xml:space="preserve">) forem substitutos perfeitos, pode-se, em geral, representar sua função de utilidade na forma</w:t>
            </w:r>
            <w:r>
              <w:t xml:space="preserve"> </w:t>
            </w:r>
            <m:oMath>
              <m:r>
                <m:t>U</m:t>
              </m:r>
              <m:r>
                <m:rPr>
                  <m:sty m:val="p"/>
                </m:rPr>
                <m:t>(</m:t>
              </m:r>
              <m:r>
                <m:t>A</m:t>
              </m:r>
              <m:r>
                <m:rPr>
                  <m:sty m:val="p"/>
                </m:rPr>
                <m:t>,</m:t>
              </m:r>
              <m:r>
                <m:t>B</m:t>
              </m:r>
              <m:r>
                <m:rPr>
                  <m:sty m:val="p"/>
                </m:rPr>
                <m:t>)</m:t>
              </m:r>
              <m:r>
                <m:rPr>
                  <m:sty m:val="p"/>
                </m:rPr>
                <m:t>=</m:t>
              </m:r>
              <m:sSub>
                <m:e>
                  <m:r>
                    <m:t>c</m:t>
                  </m:r>
                </m:e>
                <m:sub>
                  <m:r>
                    <m:t>1</m:t>
                  </m:r>
                </m:sub>
              </m:sSub>
              <m:r>
                <m:t>A</m:t>
              </m:r>
              <m:r>
                <m:rPr>
                  <m:sty m:val="p"/>
                </m:rPr>
                <m:t>+</m:t>
              </m:r>
              <m:sSub>
                <m:e>
                  <m:r>
                    <m:t>c</m:t>
                  </m:r>
                </m:e>
                <m:sub>
                  <m:r>
                    <m:t>2</m:t>
                  </m:r>
                </m:sub>
              </m:sSub>
              <m:r>
                <m:t>B</m:t>
              </m:r>
            </m:oMath>
            <w:r>
              <w:t xml:space="preserve">, em que</w:t>
            </w:r>
            <w:r>
              <w:t xml:space="preserve"> </w:t>
            </w:r>
            <m:oMath>
              <m:sSub>
                <m:e>
                  <m:r>
                    <m:t>c</m:t>
                  </m:r>
                </m:e>
                <m:sub>
                  <m:r>
                    <m:t>1</m:t>
                  </m:r>
                </m:sub>
              </m:sSub>
            </m:oMath>
            <w:r>
              <w:t xml:space="preserve"> </w:t>
            </w:r>
            <w:r>
              <w:t xml:space="preserve">e</w:t>
            </w:r>
            <w:r>
              <w:t xml:space="preserve"> </w:t>
            </w:r>
            <m:oMath>
              <m:sSub>
                <m:e>
                  <m:r>
                    <m:t>c</m:t>
                  </m:r>
                </m:e>
                <m:sub>
                  <m:r>
                    <m:t>2</m:t>
                  </m:r>
                </m:sub>
              </m:sSub>
            </m:oMath>
            <w:r>
              <w:t xml:space="preserve"> </w:t>
            </w:r>
            <w:r>
              <w:t xml:space="preserve">são constantes positivas.</w:t>
            </w:r>
          </w:p>
        </w:tc>
      </w:tr>
      <w:tr>
        <w:tc>
          <w:tcPr/>
          <w:p>
            <w:pPr>
              <w:pStyle w:val="Compact"/>
            </w:pPr>
            <w:r>
              <w:t xml:space="preserve">3</w:t>
            </w:r>
          </w:p>
        </w:tc>
        <w:tc>
          <w:tcPr/>
          <w:p>
            <w:pPr>
              <w:pStyle w:val="Compact"/>
            </w:pPr>
            <w:r>
              <w:t xml:space="preserve">A inclinação de uma curva de indiferença típica da função de utilidade</w:t>
            </w:r>
            <w:r>
              <w:t xml:space="preserve"> </w:t>
            </w:r>
            <m:oMath>
              <m:r>
                <m:t>U</m:t>
              </m:r>
              <m:r>
                <m:rPr>
                  <m:sty m:val="p"/>
                </m:rPr>
                <m:t>(</m:t>
              </m:r>
              <m:r>
                <m:t>A</m:t>
              </m:r>
              <m:r>
                <m:rPr>
                  <m:sty m:val="p"/>
                </m:rPr>
                <m:t>,</m:t>
              </m:r>
              <m:r>
                <m:t>B</m:t>
              </m:r>
              <m:r>
                <m:rPr>
                  <m:sty m:val="p"/>
                </m:rPr>
                <m:t>)</m:t>
              </m:r>
              <m:r>
                <m:rPr>
                  <m:sty m:val="p"/>
                </m:rPr>
                <m:t>=</m:t>
              </m:r>
              <m:sSub>
                <m:e>
                  <m:r>
                    <m:t>c</m:t>
                  </m:r>
                </m:e>
                <m:sub>
                  <m:r>
                    <m:t>1</m:t>
                  </m:r>
                </m:sub>
              </m:sSub>
              <m:r>
                <m:t>A</m:t>
              </m:r>
              <m:r>
                <m:rPr>
                  <m:sty m:val="p"/>
                </m:rPr>
                <m:t>+</m:t>
              </m:r>
              <m:sSub>
                <m:e>
                  <m:r>
                    <m:t>c</m:t>
                  </m:r>
                </m:e>
                <m:sub>
                  <m:r>
                    <m:t>2</m:t>
                  </m:r>
                </m:sub>
              </m:sSub>
              <m:r>
                <m:t>B</m:t>
              </m:r>
            </m:oMath>
            <w:r>
              <w:t xml:space="preserve">, em que</w:t>
            </w:r>
            <w:r>
              <w:t xml:space="preserve"> </w:t>
            </w:r>
            <m:oMath>
              <m:sSub>
                <m:e>
                  <m:r>
                    <m:t>c</m:t>
                  </m:r>
                </m:e>
                <m:sub>
                  <m:r>
                    <m:t>1</m:t>
                  </m:r>
                </m:sub>
              </m:sSub>
            </m:oMath>
            <w:r>
              <w:t xml:space="preserve"> </w:t>
            </w:r>
            <w:r>
              <w:t xml:space="preserve">e</w:t>
            </w:r>
            <w:r>
              <w:t xml:space="preserve"> </w:t>
            </w:r>
            <m:oMath>
              <m:sSub>
                <m:e>
                  <m:r>
                    <m:t>c</m:t>
                  </m:r>
                </m:e>
                <m:sub>
                  <m:r>
                    <m:t>2</m:t>
                  </m:r>
                </m:sub>
              </m:sSub>
            </m:oMath>
            <w:r>
              <w:t xml:space="preserve"> </w:t>
            </w:r>
            <w:r>
              <w:t xml:space="preserve">são constantes positivas, é</w:t>
            </w:r>
            <w:r>
              <w:t xml:space="preserve"> </w:t>
            </w:r>
            <m:oMath>
              <m:r>
                <m:rPr>
                  <m:sty m:val="p"/>
                </m:rPr>
                <m:t>−</m:t>
              </m:r>
              <m:sSub>
                <m:e>
                  <m:r>
                    <m:t>c</m:t>
                  </m:r>
                </m:e>
                <m:sub>
                  <m:r>
                    <m:t>1</m:t>
                  </m:r>
                </m:sub>
              </m:sSub>
              <m:r>
                <m:rPr>
                  <m:sty m:val="p"/>
                </m:rPr>
                <m:t>/</m:t>
              </m:r>
              <m:sSub>
                <m:e>
                  <m:r>
                    <m:t>c</m:t>
                  </m:r>
                </m:e>
                <m:sub>
                  <m:r>
                    <m:t>2</m:t>
                  </m:r>
                </m:sub>
              </m:sSub>
            </m:oMath>
            <w:r>
              <w:t xml:space="preserve">.</w:t>
            </w:r>
          </w:p>
        </w:tc>
      </w:tr>
      <w:tr>
        <w:tc>
          <w:tcPr/>
          <w:p>
            <w:pPr>
              <w:pStyle w:val="Compact"/>
            </w:pPr>
            <w:r>
              <w:t xml:space="preserve">4</w:t>
            </w:r>
          </w:p>
        </w:tc>
        <w:tc>
          <w:tcPr/>
          <w:p>
            <w:pPr>
              <w:pStyle w:val="Compact"/>
            </w:pPr>
            <w:r>
              <w:t xml:space="preserve">A transformação monotônica de uma função de utilidade não altera a taxa marginal de substituição (TMS), porque a TMS é medida ao longo de uma curva de indiferença, e a utilidade permanece constante ao longo da curva de indiferença.</w:t>
            </w:r>
          </w:p>
        </w:tc>
      </w:tr>
    </w:tbl>
    <w:p>
      <w:pPr>
        <w:pStyle w:val="BlockText"/>
      </w:pPr>
      <w:r>
        <w:t xml:space="preserve">??? success</w:t>
      </w:r>
      <w:r>
        <w:t xml:space="preserve"> </w:t>
      </w:r>
      <w:r>
        <w:t xml:space="preserve">“Gabarito”</w:t>
      </w:r>
      <w:r>
        <w:t xml:space="preserve"> </w:t>
      </w:r>
      <w:r>
        <w:rPr>
          <w:b/>
          <w:bCs/>
        </w:rPr>
        <w:t xml:space="preserve">Respostas: F F V V V</w:t>
      </w:r>
    </w:p>
    <w:p>
      <w:pPr>
        <w:pStyle w:val="SourceCode"/>
      </w:pPr>
      <w:r>
        <w:rPr>
          <w:rStyle w:val="VerbatimChar"/>
        </w:rPr>
        <w:t xml:space="preserve">**Justificativa por item:**</w:t>
      </w:r>
      <w:r>
        <w:br/>
      </w:r>
      <w:r>
        <w:br/>
      </w:r>
      <w:r>
        <w:rPr>
          <w:rStyle w:val="VerbatimChar"/>
        </w:rPr>
        <w:t xml:space="preserve">- **Item 0 — F:** Nem todos os tipos de preferências admitem representação por função de utilidade. As preferências lexicográficas, por exemplo, são completas e transitivas mas violam o axioma de continuidade — e, conforme discutido na Seção 3.1, sem continuidade não se garante a existência de uma função de utilidade contínua (Teorema 3.1).</w:t>
      </w:r>
      <w:r>
        <w:br/>
      </w:r>
      <w:r>
        <w:rPr>
          <w:rStyle w:val="VerbatimChar"/>
        </w:rPr>
        <w:t xml:space="preserve">- **Item 1 — F:** Para $U(X,Y) = XY$, as curvas de indiferença são $XY = k$, ou seja, $Y = k/X$ — hipérboles retangulares, não retas pela origem. A equação $Y = cX$ descreveria retas, o que é incorreto.</w:t>
      </w:r>
      <w:r>
        <w:br/>
      </w:r>
      <w:r>
        <w:rPr>
          <w:rStyle w:val="VerbatimChar"/>
        </w:rPr>
        <w:t xml:space="preserve">- **Item 2 — V:** A função $U(A,B) = c_1 A + c_2 B$, com $c_1, c_2 &gt; 0$, gera curvas de indiferença retas com TMS constante $= c_1/c_2$, que é a definição de substitutos perfeitos.</w:t>
      </w:r>
      <w:r>
        <w:br/>
      </w:r>
      <w:r>
        <w:rPr>
          <w:rStyle w:val="VerbatimChar"/>
        </w:rPr>
        <w:t xml:space="preserve">- **Item 3 — V:** A inclinação da curva de indiferença é $dB/dA|_{U=\bar{u}} = -c_1/c_2$. Correto, conforme a Seção 3.6.2.</w:t>
      </w:r>
      <w:r>
        <w:br/>
      </w:r>
      <w:r>
        <w:rPr>
          <w:rStyle w:val="VerbatimChar"/>
        </w:rPr>
        <w:t xml:space="preserve">- **Item 4 — V:** Uma transformação monotônica $\hat{u} = f(u)$ preserva as curvas de indiferença (mesmos conjuntos de nível, apenas com rótulos diferentes). Como a TMS depende apenas da inclinação da curva de indiferença, ela é invariante (Proposição 3.3 e Seção 3.7).</w:t>
      </w:r>
    </w:p>
    <w:p>
      <w:pPr>
        <w:pStyle w:val="BlockText"/>
      </w:pPr>
      <w:r>
        <w:rPr>
          <w:b/>
          <w:bCs/>
        </w:rPr>
        <w:t xml:space="preserve">[QUESTAO] ANPEC 2023 — Questão 03</w:t>
      </w:r>
    </w:p>
    <w:p>
      <w:pPr>
        <w:pStyle w:val="BlockText"/>
      </w:pPr>
      <w:r>
        <w:t xml:space="preserve">Com relação à Teoria do Consumidor, julgue as afirmações abaixo: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Se</w:t>
            </w:r>
            <w:r>
              <w:t xml:space="preserve"> </w:t>
            </w:r>
            <m:oMath>
              <m:r>
                <m:t>U</m:t>
              </m:r>
              <m:r>
                <m:rPr>
                  <m:sty m:val="p"/>
                </m:rPr>
                <m:t>(</m:t>
              </m:r>
              <m:r>
                <m:t>X</m:t>
              </m:r>
              <m:r>
                <m:rPr>
                  <m:sty m:val="p"/>
                </m:rPr>
                <m:t>,</m:t>
              </m:r>
              <m:r>
                <m:t>Y</m:t>
              </m:r>
              <m:r>
                <m:rPr>
                  <m:sty m:val="p"/>
                </m:rPr>
                <m:t>)</m:t>
              </m:r>
              <m:r>
                <m:rPr>
                  <m:sty m:val="p"/>
                </m:rPr>
                <m:t>=</m:t>
              </m:r>
              <m:rad>
                <m:radPr>
                  <m:degHide m:val="on"/>
                </m:radPr>
                <m:deg/>
                <m:e>
                  <m:r>
                    <m:t>X</m:t>
                  </m:r>
                </m:e>
              </m:rad>
              <m:r>
                <m:rPr>
                  <m:sty m:val="p"/>
                </m:rPr>
                <m:t>+</m:t>
              </m:r>
              <m:rad>
                <m:radPr>
                  <m:degHide m:val="on"/>
                </m:radPr>
                <m:deg/>
                <m:e>
                  <m:r>
                    <m:t>Y</m:t>
                  </m:r>
                </m:e>
              </m:rad>
            </m:oMath>
            <w:r>
              <w:t xml:space="preserve">, então a elasticidade de substituição é igual a 2.</w:t>
            </w:r>
          </w:p>
        </w:tc>
      </w:tr>
      <w:tr>
        <w:tc>
          <w:tcPr/>
          <w:p>
            <w:pPr>
              <w:pStyle w:val="Compact"/>
            </w:pPr>
            <w:r>
              <w:t xml:space="preserve">1</w:t>
            </w:r>
          </w:p>
        </w:tc>
        <w:tc>
          <w:tcPr/>
          <w:p>
            <w:pPr>
              <w:pStyle w:val="Compact"/>
            </w:pPr>
            <w:r>
              <w:t xml:space="preserve">Se</w:t>
            </w:r>
            <w:r>
              <w:t xml:space="preserve"> </w:t>
            </w:r>
            <m:oMath>
              <m:r>
                <m:t>U</m:t>
              </m:r>
              <m:r>
                <m:rPr>
                  <m:sty m:val="p"/>
                </m:rPr>
                <m:t>(</m:t>
              </m:r>
              <m:r>
                <m:t>X</m:t>
              </m:r>
              <m:r>
                <m:rPr>
                  <m:sty m:val="p"/>
                </m:rPr>
                <m:t>,</m:t>
              </m:r>
              <m:r>
                <m:t>Y</m:t>
              </m:r>
              <m:r>
                <m:rPr>
                  <m:sty m:val="p"/>
                </m:rPr>
                <m:t>)</m:t>
              </m:r>
            </m:oMath>
            <w:r>
              <w:t xml:space="preserve"> </w:t>
            </w:r>
            <w:r>
              <w:t xml:space="preserve">é uma função de utilidade diferenciável homogênea de grau</w:t>
            </w:r>
            <w:r>
              <w:t xml:space="preserve"> </w:t>
            </w:r>
            <m:oMath>
              <m:r>
                <m:t>k</m:t>
              </m:r>
            </m:oMath>
            <w:r>
              <w:t xml:space="preserve">, com</w:t>
            </w:r>
            <w:r>
              <w:t xml:space="preserve"> </w:t>
            </w:r>
            <m:oMath>
              <m:r>
                <m:t>U</m:t>
              </m:r>
              <m:r>
                <m:rPr>
                  <m:sty m:val="p"/>
                </m:rPr>
                <m:t>(</m:t>
              </m:r>
              <m:r>
                <m:t>X</m:t>
              </m:r>
              <m:r>
                <m:rPr>
                  <m:sty m:val="p"/>
                </m:rPr>
                <m:t>,</m:t>
              </m:r>
              <m:r>
                <m:t>Y</m:t>
              </m:r>
              <m:r>
                <m:rPr>
                  <m:sty m:val="p"/>
                </m:rPr>
                <m:t>)</m:t>
              </m:r>
              <m:r>
                <m:rPr>
                  <m:sty m:val="p"/>
                </m:rPr>
                <m:t>≠</m:t>
              </m:r>
              <m:r>
                <m:t>0</m:t>
              </m:r>
            </m:oMath>
            <w:r>
              <w:t xml:space="preserve">, e se</w:t>
            </w:r>
            <w:r>
              <w:t xml:space="preserve"> </w:t>
            </w:r>
            <m:oMath>
              <m:sSub>
                <m:e>
                  <m:r>
                    <m:t>η</m:t>
                  </m:r>
                </m:e>
                <m:sub>
                  <m:r>
                    <m:t>X</m:t>
                  </m:r>
                </m:sub>
              </m:sSub>
              <m:r>
                <m:rPr>
                  <m:sty m:val="p"/>
                </m:rPr>
                <m:t>(</m:t>
              </m:r>
              <m:r>
                <m:t>X</m:t>
              </m:r>
              <m:r>
                <m:rPr>
                  <m:sty m:val="p"/>
                </m:rPr>
                <m:t>,</m:t>
              </m:r>
              <m:r>
                <m:t>Y</m:t>
              </m:r>
              <m:r>
                <m:rPr>
                  <m:sty m:val="p"/>
                </m:rPr>
                <m:t>)</m:t>
              </m:r>
            </m:oMath>
            <w:r>
              <w:t xml:space="preserve"> </w:t>
            </w:r>
            <w:r>
              <w:t xml:space="preserve">e</w:t>
            </w:r>
            <w:r>
              <w:t xml:space="preserve"> </w:t>
            </w:r>
            <m:oMath>
              <m:sSub>
                <m:e>
                  <m:r>
                    <m:t>η</m:t>
                  </m:r>
                </m:e>
                <m:sub>
                  <m:r>
                    <m:t>Y</m:t>
                  </m:r>
                </m:sub>
              </m:sSub>
              <m:r>
                <m:rPr>
                  <m:sty m:val="p"/>
                </m:rPr>
                <m:t>(</m:t>
              </m:r>
              <m:r>
                <m:t>X</m:t>
              </m:r>
              <m:r>
                <m:rPr>
                  <m:sty m:val="p"/>
                </m:rPr>
                <m:t>,</m:t>
              </m:r>
              <m:r>
                <m:t>Y</m:t>
              </m:r>
              <m:r>
                <m:rPr>
                  <m:sty m:val="p"/>
                </m:rPr>
                <m:t>)</m:t>
              </m:r>
            </m:oMath>
            <w:r>
              <w:t xml:space="preserve"> </w:t>
            </w:r>
            <w:r>
              <w:t xml:space="preserve">denotam a elasticidade de</w:t>
            </w:r>
            <w:r>
              <w:t xml:space="preserve"> </w:t>
            </w:r>
            <m:oMath>
              <m:r>
                <m:t>U</m:t>
              </m:r>
            </m:oMath>
            <w:r>
              <w:t xml:space="preserve"> </w:t>
            </w:r>
            <w:r>
              <w:t xml:space="preserve">relativamente a</w:t>
            </w:r>
            <w:r>
              <w:t xml:space="preserve"> </w:t>
            </w:r>
            <m:oMath>
              <m:r>
                <m:t>X</m:t>
              </m:r>
            </m:oMath>
            <w:r>
              <w:t xml:space="preserve"> </w:t>
            </w:r>
            <w:r>
              <w:t xml:space="preserve">e</w:t>
            </w:r>
            <w:r>
              <w:t xml:space="preserve"> </w:t>
            </w:r>
            <m:oMath>
              <m:r>
                <m:t>Y</m:t>
              </m:r>
            </m:oMath>
            <w:r>
              <w:t xml:space="preserve">, respectivamente, então</w:t>
            </w:r>
            <w:r>
              <w:t xml:space="preserve"> </w:t>
            </w:r>
            <m:oMath>
              <m:sSub>
                <m:e>
                  <m:r>
                    <m:t>η</m:t>
                  </m:r>
                </m:e>
                <m:sub>
                  <m:r>
                    <m:t>X</m:t>
                  </m:r>
                </m:sub>
              </m:sSub>
              <m:r>
                <m:rPr>
                  <m:sty m:val="p"/>
                </m:rPr>
                <m:t>(</m:t>
              </m:r>
              <m:r>
                <m:t>X</m:t>
              </m:r>
              <m:r>
                <m:rPr>
                  <m:sty m:val="p"/>
                </m:rPr>
                <m:t>,</m:t>
              </m:r>
              <m:r>
                <m:t>Y</m:t>
              </m:r>
              <m:r>
                <m:rPr>
                  <m:sty m:val="p"/>
                </m:rPr>
                <m:t>)</m:t>
              </m:r>
              <m:r>
                <m:rPr>
                  <m:sty m:val="p"/>
                </m:rPr>
                <m:t>+</m:t>
              </m:r>
              <m:sSub>
                <m:e>
                  <m:r>
                    <m:t>η</m:t>
                  </m:r>
                </m:e>
                <m:sub>
                  <m:r>
                    <m:t>Y</m:t>
                  </m:r>
                </m:sub>
              </m:sSub>
              <m:r>
                <m:rPr>
                  <m:sty m:val="p"/>
                </m:rPr>
                <m:t>(</m:t>
              </m:r>
              <m:r>
                <m:t>X</m:t>
              </m:r>
              <m:r>
                <m:rPr>
                  <m:sty m:val="p"/>
                </m:rPr>
                <m:t>,</m:t>
              </m:r>
              <m:r>
                <m:t>Y</m:t>
              </m:r>
              <m:r>
                <m:rPr>
                  <m:sty m:val="p"/>
                </m:rPr>
                <m:t>)</m:t>
              </m:r>
              <m:r>
                <m:rPr>
                  <m:sty m:val="p"/>
                </m:rPr>
                <m:t>=</m:t>
              </m:r>
              <m:r>
                <m:t>k</m:t>
              </m:r>
            </m:oMath>
            <w:r>
              <w:t xml:space="preserve">.</w:t>
            </w:r>
          </w:p>
        </w:tc>
      </w:tr>
      <w:tr>
        <w:tc>
          <w:tcPr/>
          <w:p>
            <w:pPr>
              <w:pStyle w:val="Compact"/>
            </w:pPr>
            <w:r>
              <w:t xml:space="preserve">2</w:t>
            </w:r>
          </w:p>
        </w:tc>
        <w:tc>
          <w:tcPr/>
          <w:p>
            <w:pPr>
              <w:pStyle w:val="Compact"/>
            </w:pPr>
            <w:r>
              <w:t xml:space="preserve">Considere o conjunto</w:t>
            </w:r>
            <w:r>
              <w:t xml:space="preserve"> </w:t>
            </w:r>
            <m:oMath>
              <m:r>
                <m:t>X</m:t>
              </m:r>
              <m:r>
                <m:rPr>
                  <m:sty m:val="p"/>
                </m:rPr>
                <m:t>=</m:t>
              </m:r>
              <m:sSubSup>
                <m:e>
                  <m:r>
                    <m:rPr>
                      <m:sty m:val="p"/>
                    </m:rPr>
                    <m:t>⋃</m:t>
                  </m:r>
                </m:e>
                <m:sub>
                  <m:r>
                    <m:t>n</m:t>
                  </m:r>
                  <m:r>
                    <m:rPr>
                      <m:sty m:val="p"/>
                    </m:rPr>
                    <m:t>=</m:t>
                  </m:r>
                  <m:r>
                    <m:t>1</m:t>
                  </m:r>
                </m:sub>
                <m:sup>
                  <m:r>
                    <m:rPr>
                      <m:sty m:val="p"/>
                    </m:rPr>
                    <m:t>∞</m:t>
                  </m:r>
                </m:sup>
              </m:sSubSup>
              <m:r>
                <m:rPr>
                  <m:sty m:val="p"/>
                </m:rPr>
                <m:t>{</m:t>
              </m:r>
              <m:r>
                <m:t>1</m:t>
              </m:r>
              <m:r>
                <m:rPr>
                  <m:sty m:val="p"/>
                </m:rPr>
                <m:t>−</m:t>
              </m:r>
              <m:r>
                <m:t>1</m:t>
              </m:r>
              <m:r>
                <m:rPr>
                  <m:sty m:val="p"/>
                </m:rPr>
                <m:t>/</m:t>
              </m:r>
              <m:r>
                <m:t>n</m:t>
              </m:r>
              <m:r>
                <m:rPr>
                  <m:sty m:val="p"/>
                </m:rPr>
                <m:t>}</m:t>
              </m:r>
            </m:oMath>
            <w:r>
              <w:t xml:space="preserve"> </w:t>
            </w:r>
            <w:r>
              <w:t xml:space="preserve">e defina</w:t>
            </w:r>
            <w:r>
              <w:t xml:space="preserve"> </w:t>
            </w:r>
            <m:oMath>
              <m:r>
                <m:rPr>
                  <m:sty m:val="p"/>
                </m:rPr>
                <m:t>≿</m:t>
              </m:r>
            </m:oMath>
            <w:r>
              <w:t xml:space="preserve"> </w:t>
            </w:r>
            <w:r>
              <w:t xml:space="preserve">sobre</w:t>
            </w:r>
            <w:r>
              <w:t xml:space="preserve"> </w:t>
            </w:r>
            <m:oMath>
              <m:r>
                <m:t>X</m:t>
              </m:r>
            </m:oMath>
            <w:r>
              <w:t xml:space="preserve"> </w:t>
            </w:r>
            <w:r>
              <w:t xml:space="preserve">por:</w:t>
            </w:r>
            <w:r>
              <w:t xml:space="preserve"> </w:t>
            </w:r>
            <m:oMath>
              <m:r>
                <m:t>x</m:t>
              </m:r>
              <m:r>
                <m:rPr>
                  <m:sty m:val="p"/>
                </m:rPr>
                <m:t>≿</m:t>
              </m:r>
              <m:r>
                <m:t>y</m:t>
              </m:r>
            </m:oMath>
            <w:r>
              <w:t xml:space="preserve"> </w:t>
            </w:r>
            <w:r>
              <w:t xml:space="preserve">se, e somente se,</w:t>
            </w:r>
            <w:r>
              <w:t xml:space="preserve"> </w:t>
            </w:r>
            <m:oMath>
              <m:r>
                <m:rPr>
                  <m:sty m:val="p"/>
                </m:rPr>
                <m:t>|</m:t>
              </m:r>
              <m:r>
                <m:t>x</m:t>
              </m:r>
              <m:r>
                <m:rPr>
                  <m:sty m:val="p"/>
                </m:rPr>
                <m:t>−</m:t>
              </m:r>
              <m:r>
                <m:t>1</m:t>
              </m:r>
              <m:r>
                <m:rPr>
                  <m:sty m:val="p"/>
                </m:rPr>
                <m:t>/</m:t>
              </m:r>
              <m:r>
                <m:t>2</m:t>
              </m:r>
              <m:r>
                <m:rPr>
                  <m:sty m:val="p"/>
                </m:rPr>
                <m:t>|</m:t>
              </m:r>
              <m:r>
                <m:rPr>
                  <m:sty m:val="p"/>
                </m:rPr>
                <m:t>≥</m:t>
              </m:r>
              <m:r>
                <m:rPr>
                  <m:sty m:val="p"/>
                </m:rPr>
                <m:t>|</m:t>
              </m:r>
              <m:r>
                <m:t>y</m:t>
              </m:r>
              <m:r>
                <m:rPr>
                  <m:sty m:val="p"/>
                </m:rPr>
                <m:t>−</m:t>
              </m:r>
              <m:r>
                <m:t>1</m:t>
              </m:r>
              <m:r>
                <m:rPr>
                  <m:sty m:val="p"/>
                </m:rPr>
                <m:t>/</m:t>
              </m:r>
              <m:r>
                <m:t>2</m:t>
              </m:r>
              <m:r>
                <m:rPr>
                  <m:sty m:val="p"/>
                </m:rPr>
                <m:t>|</m:t>
              </m:r>
            </m:oMath>
            <w:r>
              <w:t xml:space="preserve">. Então</w:t>
            </w:r>
            <w:r>
              <w:t xml:space="preserve"> </w:t>
            </w:r>
            <m:oMath>
              <m:r>
                <m:rPr>
                  <m:sty m:val="p"/>
                </m:rPr>
                <m:t>≿</m:t>
              </m:r>
            </m:oMath>
            <w:r>
              <w:t xml:space="preserve"> </w:t>
            </w:r>
            <w:r>
              <w:t xml:space="preserve">é contínua.</w:t>
            </w:r>
          </w:p>
        </w:tc>
      </w:tr>
      <w:tr>
        <w:tc>
          <w:tcPr/>
          <w:p>
            <w:pPr>
              <w:pStyle w:val="Compact"/>
            </w:pPr>
            <w:r>
              <w:t xml:space="preserve">3</w:t>
            </w:r>
          </w:p>
        </w:tc>
        <w:tc>
          <w:tcPr/>
          <w:p>
            <w:pPr>
              <w:pStyle w:val="Compact"/>
            </w:pPr>
            <w:r>
              <w:t xml:space="preserve">Considere o conjunto</w:t>
            </w:r>
            <w:r>
              <w:t xml:space="preserve"> </w:t>
            </w:r>
            <m:oMath>
              <m:r>
                <m:t>X</m:t>
              </m:r>
              <m:r>
                <m:rPr>
                  <m:sty m:val="p"/>
                </m:rPr>
                <m:t>=</m:t>
              </m:r>
              <m:r>
                <m:rPr>
                  <m:sty m:val="p"/>
                </m:rPr>
                <m:t>[</m:t>
              </m:r>
              <m:r>
                <m:t>0</m:t>
              </m:r>
              <m:r>
                <m:rPr>
                  <m:sty m:val="p"/>
                </m:rPr>
                <m:t>,</m:t>
              </m:r>
              <m:r>
                <m:t>2</m:t>
              </m:r>
              <m:r>
                <m:rPr>
                  <m:sty m:val="p"/>
                </m:rPr>
                <m:t>]</m:t>
              </m:r>
              <m:r>
                <m:rPr>
                  <m:sty m:val="p"/>
                </m:rPr>
                <m:t>×</m:t>
              </m:r>
              <m:r>
                <m:rPr>
                  <m:sty m:val="p"/>
                </m:rPr>
                <m:t>[</m:t>
              </m:r>
              <m:r>
                <m:t>0</m:t>
              </m:r>
              <m:r>
                <m:rPr>
                  <m:sty m:val="p"/>
                </m:rPr>
                <m:t>,</m:t>
              </m:r>
              <m:r>
                <m:t>2</m:t>
              </m:r>
              <m:r>
                <m:rPr>
                  <m:sty m:val="p"/>
                </m:rPr>
                <m:t>]</m:t>
              </m:r>
            </m:oMath>
            <w:r>
              <w:t xml:space="preserve"> </w:t>
            </w:r>
            <w:r>
              <w:t xml:space="preserve">e defina</w:t>
            </w:r>
            <w:r>
              <w:t xml:space="preserve"> </w:t>
            </w:r>
            <m:oMath>
              <m:r>
                <m:rPr>
                  <m:sty m:val="p"/>
                </m:rPr>
                <m:t>≿</m:t>
              </m:r>
            </m:oMath>
            <w:r>
              <w:t xml:space="preserve"> </w:t>
            </w:r>
            <w:r>
              <w:t xml:space="preserve">sobre</w:t>
            </w:r>
            <w:r>
              <w:t xml:space="preserve"> </w:t>
            </w:r>
            <m:oMath>
              <m:r>
                <m:t>X</m:t>
              </m:r>
            </m:oMath>
            <w:r>
              <w:t xml:space="preserve"> </w:t>
            </w:r>
            <w:r>
              <w:t xml:space="preserve">por:</w:t>
            </w:r>
            <w:r>
              <w:t xml:space="preserve"> </w:t>
            </w:r>
            <m:oMath>
              <m:r>
                <m:rPr>
                  <m:sty m:val="p"/>
                </m:rPr>
                <m:t>(</m:t>
              </m:r>
              <m:r>
                <m:t>x</m:t>
              </m:r>
              <m:r>
                <m:rPr>
                  <m:sty m:val="p"/>
                </m:rPr>
                <m:t>,</m:t>
              </m:r>
              <m:r>
                <m:t>y</m:t>
              </m:r>
              <m:r>
                <m:rPr>
                  <m:sty m:val="p"/>
                </m:rPr>
                <m:t>)</m:t>
              </m:r>
              <m:r>
                <m:rPr>
                  <m:sty m:val="p"/>
                </m:rPr>
                <m:t>≿</m:t>
              </m:r>
              <m:r>
                <m:rPr>
                  <m:sty m:val="p"/>
                </m:rPr>
                <m:t>(</m:t>
              </m:r>
              <m:r>
                <m:t>z</m:t>
              </m:r>
              <m:r>
                <m:rPr>
                  <m:sty m:val="p"/>
                </m:rPr>
                <m:t>,</m:t>
              </m:r>
              <m:r>
                <m:t>w</m:t>
              </m:r>
              <m:r>
                <m:rPr>
                  <m:sty m:val="p"/>
                </m:rPr>
                <m:t>)</m:t>
              </m:r>
            </m:oMath>
            <w:r>
              <w:t xml:space="preserve"> </w:t>
            </w:r>
            <w:r>
              <w:t xml:space="preserve">se, e somente se,</w:t>
            </w:r>
            <w:r>
              <w:t xml:space="preserve"> </w:t>
            </w:r>
            <m:oMath>
              <m:d>
                <m:dPr>
                  <m:begChr m:val="‖"/>
                  <m:sepChr m:val=""/>
                  <m:endChr m:val="‖"/>
                  <m:grow/>
                </m:dPr>
                <m:e>
                  <m:r>
                    <m:rPr>
                      <m:sty m:val="p"/>
                    </m:rPr>
                    <m:t>(</m:t>
                  </m:r>
                  <m:r>
                    <m:t>x</m:t>
                  </m:r>
                  <m:r>
                    <m:rPr>
                      <m:sty m:val="p"/>
                    </m:rPr>
                    <m:t>,</m:t>
                  </m:r>
                  <m:r>
                    <m:t>y</m:t>
                  </m:r>
                  <m:r>
                    <m:rPr>
                      <m:sty m:val="p"/>
                    </m:rPr>
                    <m:t>)</m:t>
                  </m:r>
                  <m:r>
                    <m:rPr>
                      <m:sty m:val="p"/>
                    </m:rPr>
                    <m:t>−</m:t>
                  </m:r>
                  <m:r>
                    <m:rPr>
                      <m:sty m:val="p"/>
                    </m:rPr>
                    <m:t>(</m:t>
                  </m:r>
                  <m:r>
                    <m:t>1</m:t>
                  </m:r>
                  <m:r>
                    <m:rPr>
                      <m:sty m:val="p"/>
                    </m:rPr>
                    <m:t>,</m:t>
                  </m:r>
                  <m:r>
                    <m:t>1</m:t>
                  </m:r>
                  <m:r>
                    <m:rPr>
                      <m:sty m:val="p"/>
                    </m:rPr>
                    <m:t>)</m:t>
                  </m:r>
                </m:e>
              </m:d>
              <m:r>
                <m:rPr>
                  <m:sty m:val="p"/>
                </m:rPr>
                <m:t>≥</m:t>
              </m:r>
              <m:d>
                <m:dPr>
                  <m:begChr m:val="‖"/>
                  <m:sepChr m:val=""/>
                  <m:endChr m:val="‖"/>
                  <m:grow/>
                </m:dPr>
                <m:e>
                  <m:r>
                    <m:rPr>
                      <m:sty m:val="p"/>
                    </m:rPr>
                    <m:t>(</m:t>
                  </m:r>
                  <m:r>
                    <m:t>z</m:t>
                  </m:r>
                  <m:r>
                    <m:rPr>
                      <m:sty m:val="p"/>
                    </m:rPr>
                    <m:t>,</m:t>
                  </m:r>
                  <m:r>
                    <m:t>w</m:t>
                  </m:r>
                  <m:r>
                    <m:rPr>
                      <m:sty m:val="p"/>
                    </m:rPr>
                    <m:t>)</m:t>
                  </m:r>
                  <m:r>
                    <m:rPr>
                      <m:sty m:val="p"/>
                    </m:rPr>
                    <m:t>−</m:t>
                  </m:r>
                  <m:r>
                    <m:rPr>
                      <m:sty m:val="p"/>
                    </m:rPr>
                    <m:t>(</m:t>
                  </m:r>
                  <m:r>
                    <m:t>1</m:t>
                  </m:r>
                  <m:r>
                    <m:rPr>
                      <m:sty m:val="p"/>
                    </m:rPr>
                    <m:t>,</m:t>
                  </m:r>
                  <m:r>
                    <m:t>1</m:t>
                  </m:r>
                  <m:r>
                    <m:rPr>
                      <m:sty m:val="p"/>
                    </m:rPr>
                    <m:t>)</m:t>
                  </m:r>
                </m:e>
              </m:d>
            </m:oMath>
            <w:r>
              <w:t xml:space="preserve">. Então</w:t>
            </w:r>
            <w:r>
              <w:t xml:space="preserve"> </w:t>
            </w:r>
            <m:oMath>
              <m:r>
                <m:rPr>
                  <m:sty m:val="p"/>
                </m:rPr>
                <m:t>(</m:t>
              </m:r>
              <m:r>
                <m:t>0</m:t>
              </m:r>
              <m:r>
                <m:rPr>
                  <m:sty m:val="p"/>
                </m:rPr>
                <m:t>,</m:t>
              </m:r>
              <m:r>
                <m:t>0</m:t>
              </m:r>
              <m:r>
                <m:rPr>
                  <m:sty m:val="p"/>
                </m:rPr>
                <m:t>)</m:t>
              </m:r>
            </m:oMath>
            <w:r>
              <w:t xml:space="preserve"> </w:t>
            </w:r>
            <w:r>
              <w:t xml:space="preserve">é um elemento maximal.</w:t>
            </w:r>
          </w:p>
        </w:tc>
      </w:tr>
      <w:tr>
        <w:tc>
          <w:tcPr/>
          <w:p>
            <w:pPr>
              <w:pStyle w:val="Compact"/>
            </w:pPr>
            <w:r>
              <w:t xml:space="preserve">4</w:t>
            </w:r>
          </w:p>
        </w:tc>
        <w:tc>
          <w:tcPr/>
          <w:p>
            <w:pPr>
              <w:pStyle w:val="Compact"/>
            </w:pPr>
            <w:r>
              <w:t xml:space="preserve">A ordem lexicográfica é contínua.</w:t>
            </w:r>
          </w:p>
        </w:tc>
      </w:tr>
    </w:tbl>
    <w:p>
      <w:pPr>
        <w:pStyle w:val="BlockText"/>
      </w:pPr>
      <w:r>
        <w:t xml:space="preserve">??? success</w:t>
      </w:r>
      <w:r>
        <w:t xml:space="preserve"> </w:t>
      </w:r>
      <w:r>
        <w:t xml:space="preserve">“Gabarito”</w:t>
      </w:r>
      <w:r>
        <w:t xml:space="preserve"> </w:t>
      </w:r>
      <w:r>
        <w:rPr>
          <w:b/>
          <w:bCs/>
        </w:rPr>
        <w:t xml:space="preserve">Respostas: V V F V F</w:t>
      </w:r>
    </w:p>
    <w:p>
      <w:pPr>
        <w:pStyle w:val="SourceCode"/>
      </w:pPr>
      <w:r>
        <w:rPr>
          <w:rStyle w:val="VerbatimChar"/>
        </w:rPr>
        <w:t xml:space="preserve">**Justificativa por item:**</w:t>
      </w:r>
      <w:r>
        <w:br/>
      </w:r>
      <w:r>
        <w:br/>
      </w:r>
      <w:r>
        <w:rPr>
          <w:rStyle w:val="VerbatimChar"/>
        </w:rPr>
        <w:t xml:space="preserve">- **Item 0 — V:** A função $U = X^{1/2} + Y^{1/2}$ é uma CES com $\rho = 1/2$. A elasticidade de substituição é $\sigma = \frac{1}{1-\rho} = \frac{1}{1-1/2} = 2$. Correto — ver Seção 3.6.4.</w:t>
      </w:r>
      <w:r>
        <w:br/>
      </w:r>
      <w:r>
        <w:rPr>
          <w:rStyle w:val="VerbatimChar"/>
        </w:rPr>
        <w:t xml:space="preserve">- **Item 1 — V:** Pelo teorema de Euler para funções homogêneas de grau $k$: $X \frac{\partial U}{\partial X} + Y \frac{\partial U}{\partial Y} = kU$. Dividindo ambos os lados por $U \neq 0$: $\eta_X + \eta_Y = k$, onde $\eta_i = \frac{x_i}{U}\frac{\partial U}{\partial x_i}$ é a elasticidade de $U$ em relação ao bem $i$.</w:t>
      </w:r>
      <w:r>
        <w:br/>
      </w:r>
      <w:r>
        <w:rPr>
          <w:rStyle w:val="VerbatimChar"/>
        </w:rPr>
        <w:t xml:space="preserve">- **Item 2 — F:** A relação $\succsim$ definida pela distância a $1/2$ não satisfaz a propriedade de continuidade nesse conjunto. O conjunto $X = \{0, 1/2, 2/3, 3/4, \ldots\}$ acumula em $1 \notin X$, e a "utilidade" $|x - 1/2|$ converge para $1/2$ ao longo da sequência $x_n = 1 - 1/n$ sem nunca atingir esse supremo em $X$, o que compromete o fechamento dos conjuntos de contorno superiores quando se considera a topologia induzida pela reta real.</w:t>
      </w:r>
      <w:r>
        <w:br/>
      </w:r>
      <w:r>
        <w:rPr>
          <w:rStyle w:val="VerbatimChar"/>
        </w:rPr>
        <w:t xml:space="preserve">- **Item 3 — V:** A relação ordena cestas pela distância à cesta $(1,1)$: quanto **maior** a distância, melhor. A cesta $(0,0)$ tem distância $\lVert(0,0)-(1,1)\rVert = \sqrt{2}$, que é a distância máxima possível em $[0,2] \times [0,2]$ a partir de $(1,1)$ (empatando com $(2,2)$, $(0,2)$ e $(2,0)$). Logo, $(0,0)$ é maximal.</w:t>
      </w:r>
      <w:r>
        <w:br/>
      </w:r>
      <w:r>
        <w:rPr>
          <w:rStyle w:val="VerbatimChar"/>
        </w:rPr>
        <w:t xml:space="preserve">- **Item 4 — F:** A ordem lexicográfica não é contínua — este é o exemplo clássico discutido na Seção 3.1. Os conjuntos de contorno superior não são fechados, o que impede a representação por função de utilidade contínua (Teorema 3.1).</w:t>
      </w:r>
    </w:p>
    <w:bookmarkEnd w:id="174"/>
    <w:bookmarkEnd w:id="175"/>
    <w:bookmarkStart w:id="188" w:name="pesquisa-em-ação-2"/>
    <w:p>
      <w:pPr>
        <w:pStyle w:val="Heading2"/>
      </w:pPr>
      <w:r>
        <w:t xml:space="preserve">Pesquisa em Ação</w:t>
      </w:r>
    </w:p>
    <w:p>
      <w:pPr>
        <w:pStyle w:val="BlockText"/>
      </w:pPr>
      <w:r>
        <w:rPr>
          <w:b/>
          <w:bCs/>
        </w:rPr>
        <w:t xml:space="preserve">[PESQUISA EM ACAO] Falk, A.; Becker, A.; Dohmen, T.; Enke, B.; Huffman, D.; Sunde, U. (2018).</w:t>
      </w:r>
      <w:r>
        <w:rPr>
          <w:b/>
          <w:bCs/>
        </w:rPr>
        <w:t xml:space="preserve"> </w:t>
      </w:r>
      <w:hyperlink r:id="rId176">
        <w:r>
          <w:rPr>
            <w:rStyle w:val="Hyperlink"/>
            <w:b/>
            <w:bCs/>
          </w:rPr>
          <w:t xml:space="preserve">Global Evidence on Economic Preferences</w:t>
        </w:r>
      </w:hyperlink>
      <w:r>
        <w:rPr>
          <w:b/>
          <w:bCs/>
        </w:rPr>
        <w:t xml:space="preserve">.</w:t>
      </w:r>
      <w:r>
        <w:rPr>
          <w:b/>
          <w:bCs/>
        </w:rPr>
        <w:t xml:space="preserve"> </w:t>
      </w:r>
      <w:r>
        <w:rPr>
          <w:b/>
          <w:bCs/>
          <w:i/>
          <w:iCs/>
        </w:rPr>
        <w:t xml:space="preserve">Quarterly Journal of Economics</w:t>
      </w:r>
      <w:r>
        <w:rPr>
          <w:b/>
          <w:bCs/>
        </w:rPr>
        <w:t xml:space="preserve">, 133(4), 1645–1692.</w:t>
      </w:r>
    </w:p>
    <w:p>
      <w:pPr>
        <w:pStyle w:val="BlockText"/>
      </w:pPr>
      <w:r>
        <w:rPr>
          <w:b/>
          <w:bCs/>
        </w:rPr>
        <w:t xml:space="preserve">Pergunta central:</w:t>
      </w:r>
      <w:r>
        <w:t xml:space="preserve"> </w:t>
      </w:r>
      <w:r>
        <w:t xml:space="preserve">Os axiomas de preferência apresentados na Seção 3.1 são abstrações teóricas — mas como as preferências reais dos indivíduos variam entre países e dentro de cada sociedade? Existem padrões sistemáticos que conectem preferências a características demográficas, culturais e econômicas? Este artigo é o maior esforço empírico já realizado para responder a essas perguntas.</w:t>
      </w:r>
    </w:p>
    <w:p>
      <w:pPr>
        <w:pStyle w:val="BlockText"/>
      </w:pPr>
      <w:r>
        <w:rPr>
          <w:b/>
          <w:bCs/>
        </w:rPr>
        <w:t xml:space="preserve">Método:</w:t>
      </w:r>
      <w:r>
        <w:t xml:space="preserve"> </w:t>
      </w:r>
      <w:r>
        <w:t xml:space="preserve">Falk e coautores construíram o</w:t>
      </w:r>
      <w:r>
        <w:t xml:space="preserve"> </w:t>
      </w:r>
      <w:r>
        <w:rPr>
          <w:i/>
          <w:iCs/>
        </w:rPr>
        <w:t xml:space="preserve">Global Preference Survey</w:t>
      </w:r>
      <w:r>
        <w:t xml:space="preserve"> </w:t>
      </w:r>
      <w:r>
        <w:t xml:space="preserve">(GPS), um instrumento de pesquisa experimentalmente validado, aplicado a amostras representativas de 80.000 pessoas em 76 países — incluindo o Brasil. O GPS mede seis dimensões de preferências: paciência (preferência temporal), disposição a assumir riscos, reciprocidade positiva e negativa, altruísmo e confiança. A validação experimental foi realizada comparando as respostas da pesquisa com escolhas em experimentos com incentivos monetários reais.</w:t>
      </w:r>
    </w:p>
    <w:p>
      <w:pPr>
        <w:pStyle w:val="BlockText"/>
      </w:pPr>
      <w:r>
        <w:rPr>
          <w:b/>
          <w:bCs/>
        </w:rPr>
        <w:t xml:space="preserve">Resultado principal:</w:t>
      </w:r>
      <w:r>
        <w:t xml:space="preserve"> </w:t>
      </w:r>
      <w:r>
        <w:t xml:space="preserve">Há substancial heterogeneidade de preferências entre países, mas a variação</w:t>
      </w:r>
      <w:r>
        <w:t xml:space="preserve"> </w:t>
      </w:r>
      <w:r>
        <w:rPr>
          <w:i/>
          <w:iCs/>
        </w:rPr>
        <w:t xml:space="preserve">dentro</w:t>
      </w:r>
      <w:r>
        <w:t xml:space="preserve"> </w:t>
      </w:r>
      <w:r>
        <w:t xml:space="preserve">de cada país é ainda maior. Globalmente, preferências variam sistematicamente com idade, gênero e habilidade cognitiva — porém essas relações são parcialmente específicas de cada país. O Brasil apresenta níveis intermediários de paciência e disposição ao risco na comparação internacional, com heterogeneidade interna significativa — consistente com a elevada desigualdade socioeconômica do país.</w:t>
      </w:r>
    </w:p>
    <w:p>
      <w:pPr>
        <w:pStyle w:val="BlockText"/>
      </w:pPr>
      <w:r>
        <w:rPr>
          <w:b/>
          <w:bCs/>
        </w:rPr>
        <w:t xml:space="preserve">Por que isso importa:</w:t>
      </w:r>
      <w:r>
        <w:t xml:space="preserve"> </w:t>
      </w:r>
      <w:r>
        <w:t xml:space="preserve">O estudo demonstra que as preferências — fundamento de toda a teoria do consumidor — não são uniformes nem entre nem dentro de países. Diferenças de preferência ajudam a explicar variações em poupança, investimento em educação e comportamento de consumo, complementando os modelos baseados apenas em diferenças de renda e preços.</w:t>
      </w:r>
    </w:p>
    <w:p>
      <w:pPr>
        <w:pStyle w:val="BlockText"/>
      </w:pPr>
      <w:r>
        <w:rPr>
          <w:b/>
          <w:bCs/>
        </w:rPr>
        <w:t xml:space="preserve">Relevância para o capítulo:</w:t>
      </w:r>
      <w:r>
        <w:t xml:space="preserve"> </w:t>
      </w:r>
      <w:r>
        <w:t xml:space="preserve">O artigo conecta diretamente os axiomas da Seção 3.1 com evidências empíricas: se as preferências variam sistematicamente entre indivíduos, as funções de utilidade que as representam também diferem — o que justifica a diversidade de formas funcionais apresentadas na Seção 3.6. Além disso, a heterogeneidade de preferências dentro do Brasil reforça a importância de modelos que permitam diferenças individuais, como a análise por faixa de renda da POF discutida no Box Brasil sobre Cobb-Douglas.</w:t>
      </w:r>
    </w:p>
    <w:p>
      <w:pPr>
        <w:pStyle w:val="BlockText"/>
      </w:pPr>
      <w:r>
        <w:rPr>
          <w:b/>
          <w:bCs/>
        </w:rPr>
        <w:t xml:space="preserve">[PESQUISA EM ACAO] Choi, S.; Kariv, S.; Müller, W.; Silverman, D. (2014).</w:t>
      </w:r>
      <w:r>
        <w:rPr>
          <w:b/>
          <w:bCs/>
        </w:rPr>
        <w:t xml:space="preserve"> </w:t>
      </w:r>
      <w:hyperlink r:id="rId177">
        <w:r>
          <w:rPr>
            <w:rStyle w:val="Hyperlink"/>
            <w:b/>
            <w:bCs/>
          </w:rPr>
          <w:t xml:space="preserve">Who Is (More) Rational?</w:t>
        </w:r>
      </w:hyperlink>
      <w:r>
        <w:rPr>
          <w:b/>
          <w:bCs/>
        </w:rPr>
        <w:t xml:space="preserve"> </w:t>
      </w:r>
      <w:r>
        <w:rPr>
          <w:b/>
          <w:bCs/>
          <w:i/>
          <w:iCs/>
        </w:rPr>
        <w:t xml:space="preserve">American Economic Review</w:t>
      </w:r>
      <w:r>
        <w:rPr>
          <w:b/>
          <w:bCs/>
        </w:rPr>
        <w:t xml:space="preserve">, 104(6), 1518–1550.</w:t>
      </w:r>
    </w:p>
    <w:p>
      <w:pPr>
        <w:pStyle w:val="BlockText"/>
      </w:pPr>
      <w:r>
        <w:rPr>
          <w:b/>
          <w:bCs/>
        </w:rPr>
        <w:t xml:space="preserve">Pergunta central:</w:t>
      </w:r>
      <w:r>
        <w:t xml:space="preserve"> </w:t>
      </w:r>
      <w:r>
        <w:t xml:space="preserve">Os axiomas de preferência — especialmente a transitividade e a completude — são</w:t>
      </w:r>
      <w:r>
        <w:t xml:space="preserve"> </w:t>
      </w:r>
      <w:r>
        <w:rPr>
          <w:i/>
          <w:iCs/>
        </w:rPr>
        <w:t xml:space="preserve">de fato</w:t>
      </w:r>
      <w:r>
        <w:t xml:space="preserve"> </w:t>
      </w:r>
      <w:r>
        <w:t xml:space="preserve">satisfeitos pelas escolhas dos consumidores reais? E se houver variação na</w:t>
      </w:r>
      <w:r>
        <w:t xml:space="preserve"> </w:t>
      </w:r>
      <w:r>
        <w:t xml:space="preserve">“racionalidade”</w:t>
      </w:r>
      <w:r>
        <w:t xml:space="preserve"> </w:t>
      </w:r>
      <w:r>
        <w:t xml:space="preserve">das decisões, ela está correlacionada com resultados econômicos importantes, como a acumulação de riqueza?</w:t>
      </w:r>
    </w:p>
    <w:p>
      <w:pPr>
        <w:pStyle w:val="BlockText"/>
      </w:pPr>
      <w:r>
        <w:rPr>
          <w:b/>
          <w:bCs/>
        </w:rPr>
        <w:t xml:space="preserve">Método:</w:t>
      </w:r>
      <w:r>
        <w:t xml:space="preserve"> </w:t>
      </w:r>
      <w:r>
        <w:t xml:space="preserve">Choi e coautores conduziram um experimento em larga escala com uma amostra representativa da população holandesa (painel CentERpanel). Cada participante tomou 25 decisões de alocação entre dois bens sob restrições orçamentárias variadas. Os autores testaram se as escolhas observadas satisfazem o GARP (</w:t>
      </w:r>
      <w:r>
        <w:rPr>
          <w:i/>
          <w:iCs/>
        </w:rPr>
        <w:t xml:space="preserve">Generalized Axiom of Revealed Preference</w:t>
      </w:r>
      <w:r>
        <w:t xml:space="preserve">) — a condição necessária e suficiente para que os dados sejam consistentes com a maximização de alguma função de utilidade bem comportada (Teorema 3.1).</w:t>
      </w:r>
    </w:p>
    <w:p>
      <w:pPr>
        <w:pStyle w:val="BlockText"/>
      </w:pPr>
      <w:r>
        <w:rPr>
          <w:b/>
          <w:bCs/>
        </w:rPr>
        <w:t xml:space="preserve">Resultado principal:</w:t>
      </w:r>
      <w:r>
        <w:t xml:space="preserve"> </w:t>
      </w:r>
      <w:r>
        <w:t xml:space="preserve">A consistência com GARP varia substancialmente entre indivíduos: enquanto muitos participantes fazem escolhas quase perfeitamente racionais, outros violam sistematicamente os axiomas. Crucialmente, a consistência com a maximização de utilidade está fortemente correlacionada com a riqueza: um aumento de um desvio-padrão na consistência está associado a 15-19% a mais de riqueza acumulada. Essa associação é robusta mesmo controlando para renda, educação e outras variáveis.</w:t>
      </w:r>
    </w:p>
    <w:p>
      <w:pPr>
        <w:pStyle w:val="BlockText"/>
      </w:pPr>
      <w:r>
        <w:rPr>
          <w:b/>
          <w:bCs/>
        </w:rPr>
        <w:t xml:space="preserve">Por que isso importa:</w:t>
      </w:r>
      <w:r>
        <w:t xml:space="preserve"> </w:t>
      </w:r>
      <w:r>
        <w:t xml:space="preserve">O resultado sugere que a capacidade de tomar decisões consistentes com uma função de utilidade — ou seja, de satisfazer os axiomas da Seção 3.1 na prática — não é apenas uma abstração teórica, mas uma habilidade com consequências econômicas reais e mensuráveis.</w:t>
      </w:r>
    </w:p>
    <w:p>
      <w:pPr>
        <w:pStyle w:val="BlockText"/>
      </w:pPr>
      <w:r>
        <w:rPr>
          <w:b/>
          <w:bCs/>
        </w:rPr>
        <w:t xml:space="preserve">Relevância para o capítulo:</w:t>
      </w:r>
      <w:r>
        <w:t xml:space="preserve"> </w:t>
      </w:r>
      <w:r>
        <w:t xml:space="preserve">Este artigo testa empiricamente os fundamentos do Capítulo 3. O GARP é a tradução operacional dos axiomas de completude e transitividade para dados de consumo observados. Os resultados mostram que, embora a maioria dos consumidores se comporte de forma aproximadamente consistente com os axiomas, há variação significativa — o que justifica tanto o uso do arcabouço axiomático como ponto de partida quanto a atenção a seus limites, discutidos na observação sobre preferências lexicográficas (Seção 3.1).</w:t>
      </w:r>
    </w:p>
    <w:p>
      <w:pPr>
        <w:pStyle w:val="BlockText"/>
      </w:pPr>
      <w:r>
        <w:rPr>
          <w:b/>
          <w:bCs/>
        </w:rPr>
        <w:t xml:space="preserve">[PESQUISA EM ACAO] Atkin, D. (2013).</w:t>
      </w:r>
      <w:r>
        <w:rPr>
          <w:b/>
          <w:bCs/>
        </w:rPr>
        <w:t xml:space="preserve"> </w:t>
      </w:r>
      <w:hyperlink r:id="rId178">
        <w:r>
          <w:rPr>
            <w:rStyle w:val="Hyperlink"/>
            <w:b/>
            <w:bCs/>
          </w:rPr>
          <w:t xml:space="preserve">Trade, Tastes, and Nutrition in India</w:t>
        </w:r>
      </w:hyperlink>
      <w:r>
        <w:rPr>
          <w:b/>
          <w:bCs/>
        </w:rPr>
        <w:t xml:space="preserve">.</w:t>
      </w:r>
      <w:r>
        <w:rPr>
          <w:b/>
          <w:bCs/>
        </w:rPr>
        <w:t xml:space="preserve"> </w:t>
      </w:r>
      <w:r>
        <w:rPr>
          <w:b/>
          <w:bCs/>
          <w:i/>
          <w:iCs/>
        </w:rPr>
        <w:t xml:space="preserve">American Economic Review</w:t>
      </w:r>
      <w:r>
        <w:rPr>
          <w:b/>
          <w:bCs/>
        </w:rPr>
        <w:t xml:space="preserve">, 103(5), 1629–1663.</w:t>
      </w:r>
    </w:p>
    <w:p>
      <w:pPr>
        <w:pStyle w:val="BlockText"/>
      </w:pPr>
      <w:r>
        <w:rPr>
          <w:b/>
          <w:bCs/>
        </w:rPr>
        <w:t xml:space="preserve">Pergunta central:</w:t>
      </w:r>
      <w:r>
        <w:t xml:space="preserve"> </w:t>
      </w:r>
      <w:r>
        <w:t xml:space="preserve">As preferências dos consumidores — que a Seção 3.1 trata como dadas e estáveis — podem ser moldadas por forças econômicas como a abertura comercial? E, se as preferências mudam, quais são as consequências para o bem-estar, especialmente em dimensões como a nutrição?</w:t>
      </w:r>
    </w:p>
    <w:p>
      <w:pPr>
        <w:pStyle w:val="BlockText"/>
      </w:pPr>
      <w:r>
        <w:rPr>
          <w:b/>
          <w:bCs/>
        </w:rPr>
        <w:t xml:space="preserve">Método:</w:t>
      </w:r>
      <w:r>
        <w:t xml:space="preserve"> </w:t>
      </w:r>
      <w:r>
        <w:t xml:space="preserve">Atkin explora a liberalização comercial na Índia a partir de 1991 para investigar como a queda nos preços relativos de certos alimentos afetou não apenas as quantidades consumidas, mas os</w:t>
      </w:r>
      <w:r>
        <w:t xml:space="preserve"> </w:t>
      </w:r>
      <w:r>
        <w:rPr>
          <w:i/>
          <w:iCs/>
        </w:rPr>
        <w:t xml:space="preserve">hábitos alimentares</w:t>
      </w:r>
      <w:r>
        <w:t xml:space="preserve"> </w:t>
      </w:r>
      <w:r>
        <w:t xml:space="preserve">de longo prazo. Utilizando dados de consumo domiciliar de mais de 500.000 observações ao longo de duas décadas, o autor estima um modelo estrutural de demanda que permite distinguir entre movimentos</w:t>
      </w:r>
      <w:r>
        <w:t xml:space="preserve"> </w:t>
      </w:r>
      <w:r>
        <w:rPr>
          <w:i/>
          <w:iCs/>
        </w:rPr>
        <w:t xml:space="preserve">ao longo</w:t>
      </w:r>
      <w:r>
        <w:t xml:space="preserve"> </w:t>
      </w:r>
      <w:r>
        <w:t xml:space="preserve">de curvas de indiferença (substituição padrão) e</w:t>
      </w:r>
      <w:r>
        <w:t xml:space="preserve"> </w:t>
      </w:r>
      <w:r>
        <w:rPr>
          <w:i/>
          <w:iCs/>
        </w:rPr>
        <w:t xml:space="preserve">deslocamentos</w:t>
      </w:r>
      <w:r>
        <w:t xml:space="preserve"> </w:t>
      </w:r>
      <w:r>
        <w:t xml:space="preserve">das próprias curvas (mudança de preferências — formação de hábitos).</w:t>
      </w:r>
    </w:p>
    <w:p>
      <w:pPr>
        <w:pStyle w:val="BlockText"/>
      </w:pPr>
      <w:r>
        <w:rPr>
          <w:b/>
          <w:bCs/>
        </w:rPr>
        <w:t xml:space="preserve">Resultado principal:</w:t>
      </w:r>
      <w:r>
        <w:t xml:space="preserve"> </w:t>
      </w:r>
      <w:r>
        <w:t xml:space="preserve">A abertura comercial reduziu os preços de calorias, mas parte dos ganhos calóricos potenciais foi dissipada por mudanças nos gostos: consumidores expostos a preços mais baixos de certos alimentos desenvolveram preferências por esses alimentos que persistiram mesmo após os preços retornarem. O efeito-hábito reduziu em até 10% os ganhos nutricionais da liberalização, especialmente entre os mais pobres.</w:t>
      </w:r>
    </w:p>
    <w:p>
      <w:pPr>
        <w:pStyle w:val="BlockText"/>
      </w:pPr>
      <w:r>
        <w:rPr>
          <w:b/>
          <w:bCs/>
        </w:rPr>
        <w:t xml:space="preserve">Relevância para o capítulo:</w:t>
      </w:r>
      <w:r>
        <w:t xml:space="preserve"> </w:t>
      </w:r>
      <w:r>
        <w:t xml:space="preserve">O artigo questiona a hipótese de preferências estáveis que sustenta o arcabouço axiomático da Seção 3.1. Se as preferências são endógenas aos preços (via formação de hábitos), a função de utilidade</w:t>
      </w:r>
      <w:r>
        <w:t xml:space="preserve"> </w:t>
      </w:r>
      <m:oMath>
        <m:r>
          <m:t>u</m:t>
        </m:r>
        <m:r>
          <m:rPr>
            <m:sty m:val="p"/>
          </m:rPr>
          <m:t>(</m:t>
        </m:r>
        <m:r>
          <m:rPr>
            <m:sty m:val="bi"/>
          </m:rPr>
          <m:t>x</m:t>
        </m:r>
        <m:r>
          <m:rPr>
            <m:sty m:val="p"/>
          </m:rPr>
          <m:t>)</m:t>
        </m:r>
      </m:oMath>
      <w:r>
        <w:t xml:space="preserve"> </w:t>
      </w:r>
      <w:r>
        <w:t xml:space="preserve">não é fixa — ela se desloca com o histórico de consumo. Isso tem implicações diretas para a interpretação das curvas de indiferença e da TMS: a</w:t>
      </w:r>
      <w:r>
        <w:t xml:space="preserve"> </w:t>
      </w:r>
      <w:r>
        <w:t xml:space="preserve">“taxa de troca subjetiva”</w:t>
      </w:r>
      <w:r>
        <w:t xml:space="preserve"> </w:t>
      </w:r>
      <w:r>
        <w:t xml:space="preserve">de hoje pode diferir da de amanhã, não por mudança de preços, mas por mudança nos próprios gostos. O resultado é especialmente relevante para países em desenvolvimento como o Brasil, onde mudanças estruturais rápidas (como o Plano Real, discutido no Box Brasil §3.7) alteram simultaneamente preços e hábitos.</w:t>
      </w:r>
    </w:p>
    <w:p>
      <w:pPr>
        <w:pStyle w:val="BlockText"/>
      </w:pPr>
      <w:r>
        <w:rPr>
          <w:b/>
          <w:bCs/>
        </w:rPr>
        <w:t xml:space="preserve">[PESQUISA EM ACAO] Aguiar, M.; Bils, M. (2015).</w:t>
      </w:r>
      <w:r>
        <w:rPr>
          <w:b/>
          <w:bCs/>
        </w:rPr>
        <w:t xml:space="preserve"> </w:t>
      </w:r>
      <w:hyperlink r:id="rId179">
        <w:r>
          <w:rPr>
            <w:rStyle w:val="Hyperlink"/>
            <w:b/>
            <w:bCs/>
          </w:rPr>
          <w:t xml:space="preserve">Has Consumption Inequality Mirrored Income Inequality?</w:t>
        </w:r>
      </w:hyperlink>
      <w:r>
        <w:rPr>
          <w:b/>
          <w:bCs/>
        </w:rPr>
        <w:t xml:space="preserve"> </w:t>
      </w:r>
      <w:r>
        <w:rPr>
          <w:b/>
          <w:bCs/>
          <w:i/>
          <w:iCs/>
        </w:rPr>
        <w:t xml:space="preserve">American Economic Review</w:t>
      </w:r>
      <w:r>
        <w:rPr>
          <w:b/>
          <w:bCs/>
        </w:rPr>
        <w:t xml:space="preserve">, 105(9), 2725–2756.</w:t>
      </w:r>
    </w:p>
    <w:p>
      <w:pPr>
        <w:pStyle w:val="BlockText"/>
      </w:pPr>
      <w:r>
        <w:rPr>
          <w:b/>
          <w:bCs/>
        </w:rPr>
        <w:t xml:space="preserve">Pergunta central:</w:t>
      </w:r>
      <w:r>
        <w:t xml:space="preserve"> </w:t>
      </w:r>
      <w:r>
        <w:t xml:space="preserve">A desigualdade de consumo acompanhou o aumento da desigualdade de renda nos Estados Unidos nas últimas décadas? Se as preferências são homotéticas (Seção 3.6.6), a resposta deveria ser sim — mas os dados contam uma história mais complexa.</w:t>
      </w:r>
    </w:p>
    <w:p>
      <w:pPr>
        <w:pStyle w:val="BlockText"/>
      </w:pPr>
      <w:r>
        <w:rPr>
          <w:b/>
          <w:bCs/>
        </w:rPr>
        <w:t xml:space="preserve">Método:</w:t>
      </w:r>
      <w:r>
        <w:t xml:space="preserve"> </w:t>
      </w:r>
      <w:r>
        <w:t xml:space="preserve">Aguiar e Bils utilizam dados da</w:t>
      </w:r>
      <w:r>
        <w:t xml:space="preserve"> </w:t>
      </w:r>
      <w:r>
        <w:rPr>
          <w:i/>
          <w:iCs/>
        </w:rPr>
        <w:t xml:space="preserve">Consumer Expenditure Survey</w:t>
      </w:r>
      <w:r>
        <w:t xml:space="preserve"> </w:t>
      </w:r>
      <w:r>
        <w:t xml:space="preserve">(CEX) e da</w:t>
      </w:r>
      <w:r>
        <w:t xml:space="preserve"> </w:t>
      </w:r>
      <w:r>
        <w:rPr>
          <w:i/>
          <w:iCs/>
        </w:rPr>
        <w:t xml:space="preserve">Nielsen Homescan</w:t>
      </w:r>
      <w:r>
        <w:t xml:space="preserve"> </w:t>
      </w:r>
      <w:r>
        <w:t xml:space="preserve">para construir medidas de desigualdade de consumo que corrigem problemas de mensuração nos dados de pesquisas domiciliares. A estratégia empírica central explora a Lei de Engel: bens com alta elasticidade-renda (bens de luxo) servem como</w:t>
      </w:r>
      <w:r>
        <w:t xml:space="preserve"> </w:t>
      </w:r>
      <w:r>
        <w:t xml:space="preserve">“indicadores”</w:t>
      </w:r>
      <w:r>
        <w:t xml:space="preserve"> </w:t>
      </w:r>
      <w:r>
        <w:t xml:space="preserve">de renda permanente, permitindo inferir desigualdade de consumo a partir da composição das cestas — e não apenas dos valores totais declarados, que sofrem viés de subdeclaração.</w:t>
      </w:r>
    </w:p>
    <w:p>
      <w:pPr>
        <w:pStyle w:val="BlockText"/>
      </w:pPr>
      <w:r>
        <w:rPr>
          <w:b/>
          <w:bCs/>
        </w:rPr>
        <w:t xml:space="preserve">Resultado principal:</w:t>
      </w:r>
      <w:r>
        <w:t xml:space="preserve"> </w:t>
      </w:r>
      <w:r>
        <w:t xml:space="preserve">Contrariamente a estudos anteriores que sugeriam estabilidade, a desigualdade de consumo</w:t>
      </w:r>
      <w:r>
        <w:t xml:space="preserve"> </w:t>
      </w:r>
      <w:r>
        <w:rPr>
          <w:i/>
          <w:iCs/>
        </w:rPr>
        <w:t xml:space="preserve">cresceu significativamente</w:t>
      </w:r>
      <w:r>
        <w:t xml:space="preserve"> </w:t>
      </w:r>
      <w:r>
        <w:t xml:space="preserve">entre 1980 e 2010, acompanhando de perto a desigualdade de renda. A chave metodológica foi usar a composição das cestas (participações engelianas) em vez de valores totais. As famílias mais ricas deslocaram seu consumo fortemente para bens de luxo (educação, lazer, serviços), enquanto as mais pobres mantiveram alta participação em necessidades (alimentação, moradia).</w:t>
      </w:r>
    </w:p>
    <w:p>
      <w:pPr>
        <w:pStyle w:val="BlockText"/>
      </w:pPr>
      <w:r>
        <w:rPr>
          <w:b/>
          <w:bCs/>
        </w:rPr>
        <w:t xml:space="preserve">Relevância para o capítulo:</w:t>
      </w:r>
      <w:r>
        <w:t xml:space="preserve"> </w:t>
      </w:r>
      <w:r>
        <w:t xml:space="preserve">O artigo mobiliza diretamente dois conceitos centrais do capítulo: a</w:t>
      </w:r>
      <w:r>
        <w:t xml:space="preserve"> </w:t>
      </w:r>
      <w:r>
        <w:rPr>
          <w:b/>
          <w:bCs/>
        </w:rPr>
        <w:t xml:space="preserve">Lei de Engel</w:t>
      </w:r>
      <w:r>
        <w:t xml:space="preserve"> </w:t>
      </w:r>
      <w:r>
        <w:t xml:space="preserve">(discutida no Box Brasil sobre homoteticidade, §3.6.6) e a distinção entre</w:t>
      </w:r>
      <w:r>
        <w:t xml:space="preserve"> </w:t>
      </w:r>
      <w:r>
        <w:rPr>
          <w:b/>
          <w:bCs/>
        </w:rPr>
        <w:t xml:space="preserve">preferências homotéticas e não homotéticas</w:t>
      </w:r>
      <w:r>
        <w:t xml:space="preserve">. Se as preferências fossem homotéticas, a composição das cestas seria idêntica entre ricos e pobres — e a estratégia de identificação dos autores não funcionaria. O fato de que a estratégia é bem-sucedida é, em si, evidência empírica contra a homoteticidade. O resultado reforça a importância de modelos não homotéticos (como o AIDS) para análises distributivas — inclusive no contexto brasileiro, onde a POF revela padrões engelianos ainda mais pronunciados.</w:t>
      </w:r>
    </w:p>
    <w:p>
      <w:pPr>
        <w:pStyle w:val="BlockText"/>
      </w:pPr>
      <w:r>
        <w:rPr>
          <w:b/>
          <w:bCs/>
        </w:rPr>
        <w:t xml:space="preserve">[PESQUISA EM ACAO] Thomas, D.; Strauss, J.; Henriques, M. H. (1991).</w:t>
      </w:r>
      <w:r>
        <w:rPr>
          <w:b/>
          <w:bCs/>
        </w:rPr>
        <w:t xml:space="preserve"> </w:t>
      </w:r>
      <w:hyperlink r:id="rId180">
        <w:r>
          <w:rPr>
            <w:rStyle w:val="Hyperlink"/>
            <w:b/>
            <w:bCs/>
          </w:rPr>
          <w:t xml:space="preserve">How Does Mother’s Education Affect Child Height?</w:t>
        </w:r>
      </w:hyperlink>
      <w:r>
        <w:rPr>
          <w:b/>
          <w:bCs/>
        </w:rPr>
        <w:t xml:space="preserve"> </w:t>
      </w:r>
      <w:r>
        <w:rPr>
          <w:b/>
          <w:bCs/>
          <w:i/>
          <w:iCs/>
        </w:rPr>
        <w:t xml:space="preserve">Journal of Human Resources</w:t>
      </w:r>
      <w:r>
        <w:rPr>
          <w:b/>
          <w:bCs/>
        </w:rPr>
        <w:t xml:space="preserve">, 26(2), 183–211.</w:t>
      </w:r>
    </w:p>
    <w:p>
      <w:pPr>
        <w:pStyle w:val="BlockText"/>
      </w:pPr>
      <w:r>
        <w:rPr>
          <w:b/>
          <w:bCs/>
        </w:rPr>
        <w:t xml:space="preserve">Pergunta central:</w:t>
      </w:r>
      <w:r>
        <w:t xml:space="preserve"> </w:t>
      </w:r>
      <w:r>
        <w:t xml:space="preserve">A educação materna afeta a nutrição infantil por meio de mudanças nas</w:t>
      </w:r>
      <w:r>
        <w:t xml:space="preserve"> </w:t>
      </w:r>
      <w:r>
        <w:rPr>
          <w:i/>
          <w:iCs/>
        </w:rPr>
        <w:t xml:space="preserve">preferências</w:t>
      </w:r>
      <w:r>
        <w:t xml:space="preserve"> </w:t>
      </w:r>
      <w:r>
        <w:t xml:space="preserve">(função de utilidade) ou apenas por mudanças na</w:t>
      </w:r>
      <w:r>
        <w:t xml:space="preserve"> </w:t>
      </w:r>
      <w:r>
        <w:rPr>
          <w:i/>
          <w:iCs/>
        </w:rPr>
        <w:t xml:space="preserve">restrição orçamentária</w:t>
      </w:r>
      <w:r>
        <w:t xml:space="preserve"> </w:t>
      </w:r>
      <w:r>
        <w:t xml:space="preserve">(renda e preços)? Utilizando dados brasileiros, este artigo seminal testa se mães mais educadas fazem escolhas alimentares qualitativamente diferentes para seus filhos — e não apenas quantitativamente maiores.</w:t>
      </w:r>
    </w:p>
    <w:p>
      <w:pPr>
        <w:pStyle w:val="BlockText"/>
      </w:pPr>
      <w:r>
        <w:rPr>
          <w:b/>
          <w:bCs/>
        </w:rPr>
        <w:t xml:space="preserve">Método:</w:t>
      </w:r>
      <w:r>
        <w:t xml:space="preserve"> </w:t>
      </w:r>
      <w:r>
        <w:t xml:space="preserve">Thomas, Strauss e Henriques utilizam microdados do</w:t>
      </w:r>
      <w:r>
        <w:t xml:space="preserve"> </w:t>
      </w:r>
      <w:r>
        <w:rPr>
          <w:b/>
          <w:bCs/>
        </w:rPr>
        <w:t xml:space="preserve">ENDEF</w:t>
      </w:r>
      <w:r>
        <w:t xml:space="preserve"> </w:t>
      </w:r>
      <w:r>
        <w:t xml:space="preserve">(</w:t>
      </w:r>
      <w:r>
        <w:rPr>
          <w:i/>
          <w:iCs/>
        </w:rPr>
        <w:t xml:space="preserve">Estudo Nacional da Despesa Familiar</w:t>
      </w:r>
      <w:r>
        <w:t xml:space="preserve">) de 1974-75, com informações antropométricas de crianças e características socioeconômicas de mais de 50.000 domicílios brasileiros. O modelo estima o efeito da educação materna sobre a estatura infantil (</w:t>
      </w:r>
      <w:r>
        <w:rPr>
          <w:i/>
          <w:iCs/>
        </w:rPr>
        <w:t xml:space="preserve">height-for-age</w:t>
      </w:r>
      <w:r>
        <w:t xml:space="preserve">), controlando para renda familiar, preços locais, acesso a serviços de saúde e região geográfica. A estratégia de identificação compara crianças dentro de faixas de renda similares, isolando o efeito da educação que opera</w:t>
      </w:r>
      <w:r>
        <w:t xml:space="preserve"> </w:t>
      </w:r>
      <w:r>
        <w:rPr>
          <w:i/>
          <w:iCs/>
        </w:rPr>
        <w:t xml:space="preserve">via preferências</w:t>
      </w:r>
      <w:r>
        <w:t xml:space="preserve"> </w:t>
      </w:r>
      <w:r>
        <w:t xml:space="preserve">(escolha de alimentos mais nutritivos, práticas de higiene) do efeito que opera</w:t>
      </w:r>
      <w:r>
        <w:t xml:space="preserve"> </w:t>
      </w:r>
      <w:r>
        <w:rPr>
          <w:i/>
          <w:iCs/>
        </w:rPr>
        <w:t xml:space="preserve">via renda</w:t>
      </w:r>
      <w:r>
        <w:t xml:space="preserve">.</w:t>
      </w:r>
    </w:p>
    <w:p>
      <w:pPr>
        <w:pStyle w:val="BlockText"/>
      </w:pPr>
      <w:r>
        <w:rPr>
          <w:b/>
          <w:bCs/>
        </w:rPr>
        <w:t xml:space="preserve">Resultado principal:</w:t>
      </w:r>
      <w:r>
        <w:t xml:space="preserve"> </w:t>
      </w:r>
      <w:r>
        <w:t xml:space="preserve">A educação materna tem um efeito forte e robusto sobre a nutrição infantil, mesmo após controlar para renda: um ano adicional de escolaridade da mãe aumenta a estatura da criança em 0,3-0,5 cm. Crucialmente, o efeito é muito maior para a educação da</w:t>
      </w:r>
      <w:r>
        <w:t xml:space="preserve"> </w:t>
      </w:r>
      <w:r>
        <w:rPr>
          <w:i/>
          <w:iCs/>
        </w:rPr>
        <w:t xml:space="preserve">mãe</w:t>
      </w:r>
      <w:r>
        <w:t xml:space="preserve"> </w:t>
      </w:r>
      <w:r>
        <w:t xml:space="preserve">do que para a do</w:t>
      </w:r>
      <w:r>
        <w:t xml:space="preserve"> </w:t>
      </w:r>
      <w:r>
        <w:rPr>
          <w:i/>
          <w:iCs/>
        </w:rPr>
        <w:t xml:space="preserve">pai</w:t>
      </w:r>
      <w:r>
        <w:t xml:space="preserve">, sugerindo que o canal relevante não é apenas renda (ambos os pais contribuem para a renda), mas a forma como a mãe</w:t>
      </w:r>
      <w:r>
        <w:t xml:space="preserve"> </w:t>
      </w:r>
      <w:r>
        <w:rPr>
          <w:i/>
          <w:iCs/>
        </w:rPr>
        <w:t xml:space="preserve">aloca</w:t>
      </w:r>
      <w:r>
        <w:t xml:space="preserve"> </w:t>
      </w:r>
      <w:r>
        <w:t xml:space="preserve">os recursos do domicílio entre as diferentes categorias de consumo — alimentação nutritiva, cuidados de saúde, saneamento.</w:t>
      </w:r>
    </w:p>
    <w:p>
      <w:pPr>
        <w:pStyle w:val="BlockText"/>
      </w:pPr>
      <w:r>
        <w:rPr>
          <w:b/>
          <w:bCs/>
        </w:rPr>
        <w:t xml:space="preserve">Relevância para o capítulo:</w:t>
      </w:r>
      <w:r>
        <w:t xml:space="preserve"> </w:t>
      </w:r>
      <w:r>
        <w:t xml:space="preserve">O artigo ilustra, com dados brasileiros, que a</w:t>
      </w:r>
      <w:r>
        <w:t xml:space="preserve"> </w:t>
      </w:r>
      <w:r>
        <w:rPr>
          <w:i/>
          <w:iCs/>
        </w:rPr>
        <w:t xml:space="preserve">forma</w:t>
      </w:r>
      <w:r>
        <w:t xml:space="preserve"> </w:t>
      </w:r>
      <w:r>
        <w:t xml:space="preserve">da função de utilidade — não apenas a restrição orçamentária — é determinante para os resultados de consumo. Nos termos do capítulo, mães com diferentes níveis de educação possuem</w:t>
      </w:r>
      <w:r>
        <w:t xml:space="preserve"> </w:t>
      </w:r>
      <w:r>
        <w:rPr>
          <w:i/>
          <w:iCs/>
        </w:rPr>
        <w:t xml:space="preserve">curvas de indiferença</w:t>
      </w:r>
      <w:r>
        <w:t xml:space="preserve"> </w:t>
      </w:r>
      <w:r>
        <w:t xml:space="preserve">com formatos distintos: mães mais educadas atribuem TMS mais alta a alimentos nutritivos em relação a outros bens, mesmo quando enfrentam os mesmos preços e a mesma renda. Isso reforça a mensagem do artigo de Falk et al. (2018) sobre a heterogeneidade de preferências e conecta-se à discussão sobre a Lei de Engel (Box Brasil §3.6.6): a composição da cesta depende não apenas de quanto se ganha, mas de</w:t>
      </w:r>
      <w:r>
        <w:t xml:space="preserve"> </w:t>
      </w:r>
      <w:r>
        <w:rPr>
          <w:i/>
          <w:iCs/>
        </w:rPr>
        <w:t xml:space="preserve">quem</w:t>
      </w:r>
      <w:r>
        <w:t xml:space="preserve"> </w:t>
      </w:r>
      <w:r>
        <w:t xml:space="preserve">decide como gastar.</w:t>
      </w:r>
    </w:p>
    <w:bookmarkStart w:id="187" w:name="referências-do-capítulo-1"/>
    <w:p>
      <w:pPr>
        <w:pStyle w:val="Heading3"/>
      </w:pPr>
      <w:r>
        <w:t xml:space="preserve">Referências do Capítulo</w:t>
      </w:r>
    </w:p>
    <w:p>
      <w:pPr>
        <w:pStyle w:val="Compact"/>
        <w:numPr>
          <w:ilvl w:val="0"/>
          <w:numId w:val="1128"/>
        </w:numPr>
      </w:pPr>
      <w:r>
        <w:t xml:space="preserve">Aguiar, Mark, e Mark Bils. 2015.</w:t>
      </w:r>
      <w:r>
        <w:t xml:space="preserve"> </w:t>
      </w:r>
      <w:r>
        <w:t xml:space="preserve">“</w:t>
      </w:r>
      <w:hyperlink r:id="rId179">
        <w:r>
          <w:rPr>
            <w:rStyle w:val="Hyperlink"/>
          </w:rPr>
          <w:t xml:space="preserve">Has Consumption Inequality Mirrored Income Inequality?</w:t>
        </w:r>
      </w:hyperlink>
      <w:r>
        <w:t xml:space="preserve">”</w:t>
      </w:r>
      <w:r>
        <w:t xml:space="preserve"> </w:t>
      </w:r>
      <w:r>
        <w:rPr>
          <w:i/>
          <w:iCs/>
        </w:rPr>
        <w:t xml:space="preserve">American Economic Review</w:t>
      </w:r>
      <w:r>
        <w:t xml:space="preserve"> </w:t>
      </w:r>
      <w:r>
        <w:t xml:space="preserve">105 (9): 2725–2756.</w:t>
      </w:r>
    </w:p>
    <w:p>
      <w:pPr>
        <w:pStyle w:val="Compact"/>
        <w:numPr>
          <w:ilvl w:val="0"/>
          <w:numId w:val="1128"/>
        </w:numPr>
      </w:pPr>
      <w:r>
        <w:t xml:space="preserve">Arrow, Kenneth J., Hollis B. Chenery, Bagicha S. Minhas, e Robert M. Solow. 1961.</w:t>
      </w:r>
      <w:r>
        <w:t xml:space="preserve"> </w:t>
      </w:r>
      <w:r>
        <w:t xml:space="preserve">“</w:t>
      </w:r>
      <w:hyperlink r:id="rId181">
        <w:r>
          <w:rPr>
            <w:rStyle w:val="Hyperlink"/>
          </w:rPr>
          <w:t xml:space="preserve">Capital-Labor Substitution and Economic Efficiency.</w:t>
        </w:r>
      </w:hyperlink>
      <w:r>
        <w:t xml:space="preserve">”</w:t>
      </w:r>
      <w:r>
        <w:t xml:space="preserve"> </w:t>
      </w:r>
      <w:r>
        <w:rPr>
          <w:i/>
          <w:iCs/>
        </w:rPr>
        <w:t xml:space="preserve">Review of Economics and Statistics</w:t>
      </w:r>
      <w:r>
        <w:t xml:space="preserve"> </w:t>
      </w:r>
      <w:r>
        <w:t xml:space="preserve">43 (3): 225–250.</w:t>
      </w:r>
    </w:p>
    <w:p>
      <w:pPr>
        <w:pStyle w:val="Compact"/>
        <w:numPr>
          <w:ilvl w:val="0"/>
          <w:numId w:val="1128"/>
        </w:numPr>
      </w:pPr>
      <w:r>
        <w:t xml:space="preserve">Atkin, David. 2013.</w:t>
      </w:r>
      <w:r>
        <w:t xml:space="preserve"> </w:t>
      </w:r>
      <w:r>
        <w:t xml:space="preserve">“</w:t>
      </w:r>
      <w:hyperlink r:id="rId178">
        <w:r>
          <w:rPr>
            <w:rStyle w:val="Hyperlink"/>
          </w:rPr>
          <w:t xml:space="preserve">Trade, Tastes, and Nutrition in India.</w:t>
        </w:r>
      </w:hyperlink>
      <w:r>
        <w:t xml:space="preserve">”</w:t>
      </w:r>
      <w:r>
        <w:t xml:space="preserve"> </w:t>
      </w:r>
      <w:r>
        <w:rPr>
          <w:i/>
          <w:iCs/>
        </w:rPr>
        <w:t xml:space="preserve">American Economic Review</w:t>
      </w:r>
      <w:r>
        <w:t xml:space="preserve"> </w:t>
      </w:r>
      <w:r>
        <w:t xml:space="preserve">103 (5): 1629–1663.</w:t>
      </w:r>
    </w:p>
    <w:p>
      <w:pPr>
        <w:pStyle w:val="Compact"/>
        <w:numPr>
          <w:ilvl w:val="0"/>
          <w:numId w:val="1128"/>
        </w:numPr>
      </w:pPr>
      <w:r>
        <w:t xml:space="preserve">Barros, Ricardo Paes de, Miguel Nathan Foguel, e Gabriel Ulyssea, orgs. 2007.</w:t>
      </w:r>
      <w:r>
        <w:t xml:space="preserve"> </w:t>
      </w:r>
      <w:hyperlink r:id="rId182">
        <w:r>
          <w:rPr>
            <w:rStyle w:val="Hyperlink"/>
            <w:i/>
            <w:iCs/>
          </w:rPr>
          <w:t xml:space="preserve">Desigualdade de renda no Brasil: uma análise da queda recente</w:t>
        </w:r>
      </w:hyperlink>
      <w:r>
        <w:t xml:space="preserve">. Brasília: IPEA.</w:t>
      </w:r>
    </w:p>
    <w:p>
      <w:pPr>
        <w:pStyle w:val="Compact"/>
        <w:numPr>
          <w:ilvl w:val="0"/>
          <w:numId w:val="1128"/>
        </w:numPr>
      </w:pPr>
      <w:r>
        <w:t xml:space="preserve">Besanko, David, e Ronald R. Braeutigam. 2014.</w:t>
      </w:r>
      <w:r>
        <w:t xml:space="preserve"> </w:t>
      </w:r>
      <w:hyperlink r:id="rId183">
        <w:r>
          <w:rPr>
            <w:rStyle w:val="Hyperlink"/>
            <w:i/>
            <w:iCs/>
          </w:rPr>
          <w:t xml:space="preserve">Microeconomics</w:t>
        </w:r>
      </w:hyperlink>
      <w:r>
        <w:t xml:space="preserve">. 5ª ed. Hoboken: Wiley. Capítulos 3–4.</w:t>
      </w:r>
    </w:p>
    <w:p>
      <w:pPr>
        <w:pStyle w:val="Compact"/>
        <w:numPr>
          <w:ilvl w:val="0"/>
          <w:numId w:val="1128"/>
        </w:numPr>
      </w:pPr>
      <w:r>
        <w:t xml:space="preserve">Choi, Syngjoo, Shachar Kariv, Wieland Müller, e Dan Silverman. 2014.</w:t>
      </w:r>
      <w:r>
        <w:t xml:space="preserve"> </w:t>
      </w:r>
      <w:r>
        <w:t xml:space="preserve">“</w:t>
      </w:r>
      <w:hyperlink r:id="rId177">
        <w:r>
          <w:rPr>
            <w:rStyle w:val="Hyperlink"/>
          </w:rPr>
          <w:t xml:space="preserve">Who Is (More) Rational?</w:t>
        </w:r>
      </w:hyperlink>
      <w:r>
        <w:t xml:space="preserve">”</w:t>
      </w:r>
      <w:r>
        <w:t xml:space="preserve"> </w:t>
      </w:r>
      <w:r>
        <w:rPr>
          <w:i/>
          <w:iCs/>
        </w:rPr>
        <w:t xml:space="preserve">American Economic Review</w:t>
      </w:r>
      <w:r>
        <w:t xml:space="preserve"> </w:t>
      </w:r>
      <w:r>
        <w:t xml:space="preserve">104 (6): 1518–1550.</w:t>
      </w:r>
    </w:p>
    <w:p>
      <w:pPr>
        <w:pStyle w:val="Compact"/>
        <w:numPr>
          <w:ilvl w:val="0"/>
          <w:numId w:val="1128"/>
        </w:numPr>
      </w:pPr>
      <w:r>
        <w:t xml:space="preserve">Debreu, Gerard. 1954.</w:t>
      </w:r>
      <w:r>
        <w:t xml:space="preserve"> </w:t>
      </w:r>
      <w:r>
        <w:t xml:space="preserve">“</w:t>
      </w:r>
      <w:hyperlink r:id="rId184">
        <w:r>
          <w:rPr>
            <w:rStyle w:val="Hyperlink"/>
          </w:rPr>
          <w:t xml:space="preserve">Representation of a preference ordering by a numerical function</w:t>
        </w:r>
      </w:hyperlink>
      <w:r>
        <w:t xml:space="preserve">.”</w:t>
      </w:r>
      <w:r>
        <w:t xml:space="preserve"> </w:t>
      </w:r>
      <w:r>
        <w:t xml:space="preserve">In</w:t>
      </w:r>
      <w:r>
        <w:t xml:space="preserve"> </w:t>
      </w:r>
      <w:r>
        <w:rPr>
          <w:i/>
          <w:iCs/>
        </w:rPr>
        <w:t xml:space="preserve">Decision Processes</w:t>
      </w:r>
      <w:r>
        <w:t xml:space="preserve">, editado por Robert M. Thrall, Clyde H. Coombs, e Robert L. Davis, 159–165. New York: Wiley.</w:t>
      </w:r>
    </w:p>
    <w:p>
      <w:pPr>
        <w:pStyle w:val="Compact"/>
        <w:numPr>
          <w:ilvl w:val="0"/>
          <w:numId w:val="1128"/>
        </w:numPr>
      </w:pPr>
      <w:r>
        <w:t xml:space="preserve">Falk, Armin, Anke Becker, Thomas Dohmen, Benjamin Enke, David Huffman, e Uwe Sunde. 2018.</w:t>
      </w:r>
      <w:r>
        <w:t xml:space="preserve"> </w:t>
      </w:r>
      <w:r>
        <w:t xml:space="preserve">“</w:t>
      </w:r>
      <w:hyperlink r:id="rId176">
        <w:r>
          <w:rPr>
            <w:rStyle w:val="Hyperlink"/>
          </w:rPr>
          <w:t xml:space="preserve">Global Evidence on Economic Preferences.</w:t>
        </w:r>
      </w:hyperlink>
      <w:r>
        <w:t xml:space="preserve">”</w:t>
      </w:r>
      <w:r>
        <w:t xml:space="preserve"> </w:t>
      </w:r>
      <w:r>
        <w:rPr>
          <w:i/>
          <w:iCs/>
        </w:rPr>
        <w:t xml:space="preserve">Quarterly Journal of Economics</w:t>
      </w:r>
      <w:r>
        <w:t xml:space="preserve"> </w:t>
      </w:r>
      <w:r>
        <w:t xml:space="preserve">133 (4): 1645–1692.</w:t>
      </w:r>
    </w:p>
    <w:p>
      <w:pPr>
        <w:pStyle w:val="Compact"/>
        <w:numPr>
          <w:ilvl w:val="0"/>
          <w:numId w:val="1128"/>
        </w:numPr>
      </w:pPr>
      <w:r>
        <w:t xml:space="preserve">IBGE — Instituto Brasileiro de Geografia e Estatística. 2019.</w:t>
      </w:r>
      <w:r>
        <w:t xml:space="preserve"> </w:t>
      </w:r>
      <w:hyperlink r:id="rId185">
        <w:r>
          <w:rPr>
            <w:rStyle w:val="Hyperlink"/>
            <w:i/>
            <w:iCs/>
          </w:rPr>
          <w:t xml:space="preserve">Pesquisa de Orçamentos Familiares (POF) 2017–2018: Primeiros Resultados</w:t>
        </w:r>
      </w:hyperlink>
      <w:r>
        <w:t xml:space="preserve">. Rio de Janeiro: IBGE.</w:t>
      </w:r>
    </w:p>
    <w:p>
      <w:pPr>
        <w:pStyle w:val="Compact"/>
        <w:numPr>
          <w:ilvl w:val="0"/>
          <w:numId w:val="1128"/>
        </w:numPr>
      </w:pPr>
      <w:r>
        <w:t xml:space="preserve">Mas-Colell, Andreu, Michael D. Whinston, e Jerry R. Green. 1995.</w:t>
      </w:r>
      <w:r>
        <w:t xml:space="preserve"> </w:t>
      </w:r>
      <w:hyperlink r:id="rId70">
        <w:r>
          <w:rPr>
            <w:rStyle w:val="Hyperlink"/>
            <w:i/>
            <w:iCs/>
          </w:rPr>
          <w:t xml:space="preserve">Microeconomic Theory</w:t>
        </w:r>
      </w:hyperlink>
      <w:r>
        <w:t xml:space="preserve">. New York: Oxford University Press. Capítulo 3.</w:t>
      </w:r>
    </w:p>
    <w:p>
      <w:pPr>
        <w:pStyle w:val="Compact"/>
        <w:numPr>
          <w:ilvl w:val="0"/>
          <w:numId w:val="1128"/>
        </w:numPr>
      </w:pPr>
      <w:r>
        <w:t xml:space="preserve">Thomas, Duncan, John Strauss, e Maria-Helena Henriques. 1991.</w:t>
      </w:r>
      <w:r>
        <w:t xml:space="preserve"> </w:t>
      </w:r>
      <w:r>
        <w:t xml:space="preserve">“</w:t>
      </w:r>
      <w:hyperlink r:id="rId180">
        <w:r>
          <w:rPr>
            <w:rStyle w:val="Hyperlink"/>
          </w:rPr>
          <w:t xml:space="preserve">How Does Mother’s Education Affect Child Height?</w:t>
        </w:r>
      </w:hyperlink>
      <w:r>
        <w:t xml:space="preserve">”</w:t>
      </w:r>
      <w:r>
        <w:t xml:space="preserve"> </w:t>
      </w:r>
      <w:r>
        <w:rPr>
          <w:i/>
          <w:iCs/>
        </w:rPr>
        <w:t xml:space="preserve">Journal of Human Resources</w:t>
      </w:r>
      <w:r>
        <w:t xml:space="preserve"> </w:t>
      </w:r>
      <w:r>
        <w:t xml:space="preserve">26 (2): 183–211.</w:t>
      </w:r>
    </w:p>
    <w:p>
      <w:pPr>
        <w:pStyle w:val="Compact"/>
        <w:numPr>
          <w:ilvl w:val="0"/>
          <w:numId w:val="1128"/>
        </w:numPr>
      </w:pPr>
      <w:r>
        <w:t xml:space="preserve">Nicholson, Walter, e Christopher M. Snyder. 2017.</w:t>
      </w:r>
      <w:r>
        <w:t xml:space="preserve"> </w:t>
      </w:r>
      <w:hyperlink r:id="rId71">
        <w:r>
          <w:rPr>
            <w:rStyle w:val="Hyperlink"/>
            <w:i/>
            <w:iCs/>
          </w:rPr>
          <w:t xml:space="preserve">Microeconomic Theory</w:t>
        </w:r>
      </w:hyperlink>
      <w:r>
        <w:t xml:space="preserve">. 12ª ed. Boston: Cengage Learning. Capítulo 3.</w:t>
      </w:r>
    </w:p>
    <w:p>
      <w:pPr>
        <w:pStyle w:val="Compact"/>
        <w:numPr>
          <w:ilvl w:val="0"/>
          <w:numId w:val="1128"/>
        </w:numPr>
      </w:pPr>
      <w:r>
        <w:t xml:space="preserve">Vasconcellos, Marco Antonio Sandoval de, e Manuel Enriquez Garcia. 2014.</w:t>
      </w:r>
      <w:r>
        <w:t xml:space="preserve"> </w:t>
      </w:r>
      <w:hyperlink r:id="rId186">
        <w:r>
          <w:rPr>
            <w:rStyle w:val="Hyperlink"/>
            <w:i/>
            <w:iCs/>
          </w:rPr>
          <w:t xml:space="preserve">Fundamentos de economia</w:t>
        </w:r>
      </w:hyperlink>
      <w:r>
        <w:t xml:space="preserve">. 5ª ed. São Paulo: Saraiva.</w:t>
      </w:r>
    </w:p>
    <w:p>
      <w:pPr>
        <w:pStyle w:val="Compact"/>
        <w:numPr>
          <w:ilvl w:val="0"/>
          <w:numId w:val="1128"/>
        </w:numPr>
      </w:pPr>
      <w:r>
        <w:t xml:space="preserve">Varian, Hal R. 2015.</w:t>
      </w:r>
      <w:r>
        <w:t xml:space="preserve"> </w:t>
      </w:r>
      <w:hyperlink r:id="rId74">
        <w:r>
          <w:rPr>
            <w:rStyle w:val="Hyperlink"/>
            <w:i/>
            <w:iCs/>
          </w:rPr>
          <w:t xml:space="preserve">Microeconomia: uma abordagem moderna</w:t>
        </w:r>
      </w:hyperlink>
      <w:r>
        <w:t xml:space="preserve">. 9ª ed. Rio de Janeiro: Elsevier. Capítulos 3–5.</w:t>
      </w:r>
    </w:p>
    <w:bookmarkEnd w:id="187"/>
    <w:bookmarkEnd w:id="188"/>
    <w:bookmarkEnd w:id="189"/>
    <w:bookmarkStart w:id="235" w:name="capítulo-4-você-quer-tudo.-mas-não-pode."/>
    <w:p>
      <w:pPr>
        <w:sectPr>
          <w:footnotePr>
            <w:numRestart w:val="eachSect"/>
          </w:footnotePr>
        </w:sectPr>
      </w:pPr>
    </w:p>
    <w:p>
      <w:pPr>
        <w:pStyle w:val="Heading1"/>
      </w:pPr>
      <w:r>
        <w:t xml:space="preserve">Capítulo 4 — Você Quer Tudo. Mas Não Pode.</w:t>
      </w:r>
    </w:p>
    <w:p>
      <w:pPr>
        <w:pStyle w:val="FirstParagraph"/>
      </w:pPr>
      <w:r>
        <w:t xml:space="preserve">O Capítulo 3 respondeu</w:t>
      </w:r>
      <w:r>
        <w:t xml:space="preserve"> </w:t>
      </w:r>
      <w:r>
        <w:t xml:space="preserve">“o que o consumidor quer?”</w:t>
      </w:r>
      <w:r>
        <w:t xml:space="preserve"> </w:t>
      </w:r>
      <w:r>
        <w:t xml:space="preserve">— mais de tudo, obrigado. Este capítulo enfrenta a resposta do universo:</w:t>
      </w:r>
      <w:r>
        <w:t xml:space="preserve"> </w:t>
      </w:r>
      <w:r>
        <w:t xml:space="preserve">“com que dinheiro?”</w:t>
      </w:r>
    </w:p>
    <w:p>
      <w:pPr>
        <w:pStyle w:val="BodyText"/>
      </w:pPr>
      <w:r>
        <w:t xml:space="preserve">Aqui está o conflito central da microeconomia — e, convenhamos, da vida adulta: desejos ilimitados versus recursos limitados. O consumidor quer maximizar sua felicidade, mas o bolso tem fundo. O resultado é um problema de otimização com restrição — e se você dominou o Lagrange da Seção 2.5, já tem a ferramenta. O que este capítulo acrescenta é a</w:t>
      </w:r>
      <w:r>
        <w:t xml:space="preserve"> </w:t>
      </w:r>
      <w:r>
        <w:rPr>
          <w:i/>
          <w:iCs/>
        </w:rPr>
        <w:t xml:space="preserve">interpretação econômica</w:t>
      </w:r>
      <w:r>
        <w:t xml:space="preserve">: cada multiplicador, cada condição de ótimo, cada derivada vai ganhar um nome e um significado que você usará pelo resto do livro.</w:t>
      </w:r>
    </w:p>
    <w:p>
      <w:pPr>
        <w:pStyle w:val="BodyText"/>
      </w:pPr>
      <w:r>
        <w:t xml:space="preserve">Este capítulo desenvolve as ferramentas analíticas fundamentais da teoria do consumidor: a demanda marshalliana (ou walrasiana), a função de utilidade indireta, o problema dual de minimização do dispêndio, a função dispêndio, a demanda hicksiana (ou compensada) e os resultados de dualidade que conectam essas funções. A Identidade de Roy e o Lema de Shephard aparecem como consequências naturais dessa estrutura dual.</w:t>
      </w:r>
    </w:p>
    <w:p>
      <w:pPr>
        <w:pStyle w:val="BodyText"/>
      </w:pPr>
      <w:r>
        <w:t xml:space="preserve">A exposição segue Nicholson e Snyder (2017, Cap. 4), complementada por Varian (2015, Caps. 5–7) e Mas-Colell, Whinston e Green (1995, Caps. 2–3). Perloff (2017, Caps. 3–5) oferece equilíbrio entre rigor matemático e aplicações empíricas, sendo referência complementar para a Equação de Slutsky e suas implicações.</w:t>
      </w:r>
    </w:p>
    <w:p>
      <w:pPr>
        <w:pStyle w:val="BodyText"/>
      </w:pPr>
      <w:r>
        <w:t xml:space="preserve">O capítulo segue uma progressão deliberada: partimos da formulação do problema (Seções 4.1–4.3), passamos à função de utilidade indireta e ao princípio do montante fixo (Seções 4.4–4.5), desenvolvemos o problema dual e a dualidade (Seções 4.6–4.8), derivamos as identidades de Roy e Shephard (Seção 4.9), e aplicamos toda a maquinaria às principais formas funcionais (Seções 4.10–4.11). Ao final, o leitor disporá das ferramentas necessárias para o Capítulo 5, onde decomporemos os efeitos de variações de preços em efeitos substituição e renda — a célebre equação de Slutsky.</w:t>
      </w:r>
    </w:p>
    <w:p>
      <w:pPr>
        <w:pStyle w:val="BlockText"/>
      </w:pPr>
      <w:r>
        <w:rPr>
          <w:b/>
          <w:bCs/>
        </w:rPr>
        <w:t xml:space="preserve">[RESUMO] 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rPr>
                <w:b/>
                <w:bCs/>
              </w:rPr>
              <w:t xml:space="preserve">4.1–4.3</w:t>
            </w:r>
          </w:p>
        </w:tc>
        <w:tc>
          <w:tcPr/>
          <w:p>
            <w:pPr>
              <w:pStyle w:val="Compact"/>
            </w:pPr>
            <w:r>
              <w:t xml:space="preserve">Dado um orçamento, como o consumidor escolhe?</w:t>
            </w:r>
          </w:p>
        </w:tc>
        <w:tc>
          <w:tcPr/>
          <w:p>
            <w:pPr>
              <w:pStyle w:val="Compact"/>
            </w:pPr>
            <w:r>
              <w:t xml:space="preserve">Problema do consumidor, tangência, Lagrangeano, demanda marshalliana</w:t>
            </w:r>
          </w:p>
        </w:tc>
        <w:tc>
          <w:tcPr/>
          <w:p>
            <w:pPr>
              <w:pStyle w:val="Compact"/>
              <w:jc w:val="center"/>
            </w:pPr>
            <w:r>
              <w:t xml:space="preserve">Problema</w:t>
            </w:r>
          </w:p>
        </w:tc>
      </w:tr>
      <w:tr>
        <w:tc>
          <w:tcPr/>
          <w:p>
            <w:pPr>
              <w:pStyle w:val="Compact"/>
              <w:jc w:val="center"/>
            </w:pPr>
            <w:r>
              <w:rPr>
                <w:b/>
                <w:bCs/>
              </w:rPr>
              <w:t xml:space="preserve">4.4–4.5</w:t>
            </w:r>
          </w:p>
        </w:tc>
        <w:tc>
          <w:tcPr/>
          <w:p>
            <w:pPr>
              <w:pStyle w:val="Compact"/>
            </w:pPr>
            <w:r>
              <w:t xml:space="preserve">Quão feliz o dinheiro o deixa? E por que impostos distorcem?</w:t>
            </w:r>
          </w:p>
        </w:tc>
        <w:tc>
          <w:tcPr/>
          <w:p>
            <w:pPr>
              <w:pStyle w:val="Compact"/>
            </w:pPr>
            <w:r>
              <w:t xml:space="preserve">Utilidade indireta, princípio</w:t>
            </w:r>
            <w:r>
              <w:t xml:space="preserve"> </w:t>
            </w:r>
            <w:r>
              <w:rPr>
                <w:i/>
                <w:iCs/>
              </w:rPr>
              <w:t xml:space="preserve">lump sum</w:t>
            </w:r>
          </w:p>
        </w:tc>
        <w:tc>
          <w:tcPr/>
          <w:p>
            <w:pPr>
              <w:pStyle w:val="Compact"/>
              <w:jc w:val="center"/>
            </w:pPr>
            <w:r>
              <w:t xml:space="preserve">Utilidade Indireta</w:t>
            </w:r>
          </w:p>
        </w:tc>
      </w:tr>
      <w:tr>
        <w:tc>
          <w:tcPr/>
          <w:p>
            <w:pPr>
              <w:pStyle w:val="Compact"/>
              <w:jc w:val="center"/>
            </w:pPr>
            <w:r>
              <w:rPr>
                <w:b/>
                <w:bCs/>
              </w:rPr>
              <w:t xml:space="preserve">4.6–4.9</w:t>
            </w:r>
          </w:p>
        </w:tc>
        <w:tc>
          <w:tcPr/>
          <w:p>
            <w:pPr>
              <w:pStyle w:val="Compact"/>
            </w:pPr>
            <w:r>
              <w:t xml:space="preserve">Quanto custa ser feliz? E como V e E se conectam?</w:t>
            </w:r>
          </w:p>
        </w:tc>
        <w:tc>
          <w:tcPr/>
          <w:p>
            <w:pPr>
              <w:pStyle w:val="Compact"/>
            </w:pPr>
            <w:r>
              <w:t xml:space="preserve">Problema dual, função dispêndio, dualidade, Identidade de Roy</w:t>
            </w:r>
          </w:p>
        </w:tc>
        <w:tc>
          <w:tcPr/>
          <w:p>
            <w:pPr>
              <w:pStyle w:val="Compact"/>
              <w:jc w:val="center"/>
            </w:pPr>
            <w:r>
              <w:t xml:space="preserve">Dualidade</w:t>
            </w:r>
          </w:p>
        </w:tc>
      </w:tr>
      <w:tr>
        <w:tc>
          <w:tcPr/>
          <w:p>
            <w:pPr>
              <w:pStyle w:val="Compact"/>
              <w:jc w:val="center"/>
            </w:pPr>
            <w:r>
              <w:rPr>
                <w:b/>
                <w:bCs/>
              </w:rPr>
              <w:t xml:space="preserve">4.10–4.11</w:t>
            </w:r>
          </w:p>
        </w:tc>
        <w:tc>
          <w:tcPr/>
          <w:p>
            <w:pPr>
              <w:pStyle w:val="Compact"/>
            </w:pPr>
            <w:r>
              <w:t xml:space="preserve">Cada preferência gera que demanda?</w:t>
            </w:r>
          </w:p>
        </w:tc>
        <w:tc>
          <w:tcPr/>
          <w:p>
            <w:pPr>
              <w:pStyle w:val="Compact"/>
            </w:pPr>
            <w:r>
              <w:t xml:space="preserve">Cobb-Douglas, substitutos, Leontief, CES, quase-linear — catálogo completo</w:t>
            </w:r>
          </w:p>
        </w:tc>
        <w:tc>
          <w:tcPr/>
          <w:p>
            <w:pPr>
              <w:pStyle w:val="Compact"/>
              <w:jc w:val="center"/>
            </w:pPr>
            <w:r>
              <w:t xml:space="preserve">Catálogo</w:t>
            </w:r>
          </w:p>
        </w:tc>
      </w:tr>
      <w:tr>
        <w:tc>
          <w:tcPr/>
          <w:p>
            <w:pPr>
              <w:pStyle w:val="Compact"/>
              <w:jc w:val="center"/>
            </w:pPr>
            <w:r>
              <w:rPr>
                <w:b/>
                <w:bCs/>
              </w:rPr>
              <w:t xml:space="preserve">Exercícios</w:t>
            </w:r>
          </w:p>
        </w:tc>
        <w:tc>
          <w:tcPr/>
          <w:p>
            <w:pPr>
              <w:pStyle w:val="Compact"/>
            </w:pPr>
            <w:r>
              <w:t xml:space="preserve">Teste e aplique</w:t>
            </w:r>
          </w:p>
        </w:tc>
        <w:tc>
          <w:tcPr/>
          <w:p>
            <w:pPr>
              <w:pStyle w:val="Compact"/>
            </w:pPr>
            <w:r>
              <w:t xml:space="preserve">WebR, atividades, 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fronteira diz?</w:t>
            </w:r>
          </w:p>
        </w:tc>
        <w:tc>
          <w:tcPr/>
          <w:p>
            <w:pPr>
              <w:pStyle w:val="Compact"/>
            </w:pPr>
            <w:r>
              <w:t xml:space="preserve">Artigos seminais com dados reais</w:t>
            </w:r>
          </w:p>
        </w:tc>
        <w:tc>
          <w:tcPr/>
          <w:p>
            <w:pPr>
              <w:pStyle w:val="Compact"/>
              <w:jc w:val="center"/>
            </w:pPr>
            <w:r>
              <w:t xml:space="preserve">Pesquisa</w:t>
            </w:r>
          </w:p>
        </w:tc>
      </w:tr>
    </w:tbl>
    <w:bookmarkStart w:id="195" w:name="o-problema-do-consumidor"/>
    <w:p>
      <w:pPr>
        <w:pStyle w:val="Heading2"/>
      </w:pPr>
      <w:r>
        <w:t xml:space="preserve">4.1–4.3 O Problema do Consumidor</w:t>
      </w:r>
    </w:p>
    <w:bookmarkStart w:id="191" w:name="Xb8f2c715ceb79a7dcbfd7d67b60f2720761763b"/>
    <w:p>
      <w:pPr>
        <w:pStyle w:val="Heading3"/>
      </w:pPr>
      <w:r>
        <w:t xml:space="preserve">4.1 A Conta Que Não Fecha: O Problema do Consumidor</w:t>
      </w:r>
    </w:p>
    <w:p>
      <w:pPr>
        <w:pStyle w:val="FirstParagraph"/>
      </w:pPr>
      <w:r>
        <w:t xml:space="preserve">O problema central da teoria do consumidor pode ser enunciado de forma surpreendentemente simples: dado um orçamento limitado, como o consumidor distribui seus gastos para obter a maior satisfação possível? Essa pergunta, formulada pela primeira vez de modo rigoroso por Alfred Marshall (1890) e formalizada por John Hicks (1939) e Paul Samuelson (1947), é o ponto de partida de toda a análise de demanda.</w:t>
      </w:r>
    </w:p>
    <w:p>
      <w:pPr>
        <w:pStyle w:val="BodyText"/>
      </w:pPr>
      <w:r>
        <w:t xml:space="preserve">A ideia visual é simples e vale antecipar: o consumidor busca a curva de indiferença mais alta que ainda cabe dentro do triângulo orçamentário. O ponto ótimo é onde a curva</w:t>
      </w:r>
      <w:r>
        <w:t xml:space="preserve"> </w:t>
      </w:r>
      <w:r>
        <w:rPr>
          <w:i/>
          <w:iCs/>
        </w:rPr>
        <w:t xml:space="preserve">tangencia</w:t>
      </w:r>
      <w:r>
        <w:t xml:space="preserve"> </w:t>
      </w:r>
      <w:r>
        <w:t xml:space="preserve">a reta — nem acima (impossível), nem abaixo (desperdício). A Seção 4.2 desenvolve essa intuição graficamente; aqui, traduzimos a mesma ideia em equações.</w:t>
      </w:r>
    </w:p>
    <w:p>
      <w:pPr>
        <w:pStyle w:val="BodyText"/>
      </w:pPr>
      <w:r>
        <w:t xml:space="preserve">O consumidor resolve o seguinte problema de</w:t>
      </w:r>
      <w:r>
        <w:t xml:space="preserve"> </w:t>
      </w:r>
      <w:r>
        <w:rPr>
          <w:b/>
          <w:bCs/>
        </w:rPr>
        <w:t xml:space="preserve">maximização da utilidade</w:t>
      </w:r>
      <w:r>
        <w:t xml:space="preserve">:</w:t>
      </w:r>
    </w:p>
    <w:p>
      <w:pPr>
        <w:pStyle w:val="BodyText"/>
      </w:pPr>
      <m:oMathPara>
        <m:oMathParaPr>
          <m:jc m:val="center"/>
        </m:oMathParaPr>
        <m:oMath>
          <m:limLow>
            <m:e>
              <m:r>
                <m:rPr>
                  <m:sty m:val="p"/>
                </m:rPr>
                <m:t>max</m:t>
              </m:r>
            </m:e>
            <m:lim>
              <m:sSub>
                <m:e>
                  <m:r>
                    <m:t>x</m:t>
                  </m:r>
                </m:e>
                <m:sub>
                  <m:r>
                    <m:t>1</m:t>
                  </m:r>
                </m:sub>
              </m:sSub>
              <m:r>
                <m:rPr>
                  <m:sty m:val="p"/>
                </m:rPr>
                <m:t>,</m:t>
              </m:r>
              <m:sSub>
                <m:e>
                  <m:r>
                    <m:t>x</m:t>
                  </m:r>
                </m:e>
                <m:sub>
                  <m:r>
                    <m:t>2</m:t>
                  </m:r>
                </m:sub>
              </m:sSub>
            </m:lim>
          </m:limLow>
          <m:r>
            <m:t> </m:t>
          </m:r>
          <m:r>
            <m:t>u</m:t>
          </m:r>
          <m:r>
            <m:rPr>
              <m:sty m:val="p"/>
            </m:rPr>
            <m:t>(</m:t>
          </m:r>
          <m:sSub>
            <m:e>
              <m:r>
                <m:t>x</m:t>
              </m:r>
            </m:e>
            <m:sub>
              <m:r>
                <m:t>1</m:t>
              </m:r>
            </m:sub>
          </m:sSub>
          <m:r>
            <m:rPr>
              <m:sty m:val="p"/>
            </m:rPr>
            <m:t>,</m:t>
          </m:r>
          <m:sSub>
            <m:e>
              <m:r>
                <m:t>x</m:t>
              </m:r>
            </m:e>
            <m:sub>
              <m:r>
                <m:t>2</m:t>
              </m:r>
            </m:sub>
          </m:sSub>
          <m:r>
            <m:rPr>
              <m:sty m:val="p"/>
            </m:rPr>
            <m:t>)</m:t>
          </m:r>
          <m:r>
            <m:t> </m:t>
          </m:r>
          <m:r>
            <m:rPr>
              <m:nor/>
              <m:sty m:val="p"/>
            </m:rPr>
            <m:t>sujeito a</m:t>
          </m:r>
          <m:r>
            <m:t> </m:t>
          </m:r>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r>
            <m:rPr>
              <m:sty m:val="p"/>
            </m:rPr>
            <m:t>,</m:t>
          </m:r>
          <m:r>
            <m:t> </m:t>
          </m:r>
          <m:sSub>
            <m:e>
              <m:r>
                <m:t>x</m:t>
              </m:r>
            </m:e>
            <m:sub>
              <m:r>
                <m:t>1</m:t>
              </m:r>
            </m:sub>
          </m:sSub>
          <m:r>
            <m:rPr>
              <m:sty m:val="p"/>
            </m:rPr>
            <m:t>≥</m:t>
          </m:r>
          <m:r>
            <m:t>0</m:t>
          </m:r>
          <m:r>
            <m:rPr>
              <m:sty m:val="p"/>
            </m:rPr>
            <m:t>,</m:t>
          </m:r>
          <m:r>
            <m:t> </m:t>
          </m:r>
          <m:sSub>
            <m:e>
              <m:r>
                <m:t>x</m:t>
              </m:r>
            </m:e>
            <m:sub>
              <m:r>
                <m:t>2</m:t>
              </m:r>
            </m:sub>
          </m:sSub>
          <m:r>
            <m:rPr>
              <m:sty m:val="p"/>
            </m:rPr>
            <m:t>≥</m:t>
          </m:r>
          <m:r>
            <m:t>0</m:t>
          </m:r>
          <m:r>
            <m:rPr>
              <m:sty m:val="p"/>
            </m:rPr>
            <m:t>,</m:t>
          </m:r>
        </m:oMath>
      </m:oMathPara>
    </w:p>
    <w:p>
      <w:pPr>
        <w:pStyle w:val="FirstParagraph"/>
      </w:pPr>
      <w:r>
        <w:t xml:space="preserve">onde</w:t>
      </w:r>
      <w:r>
        <w:t xml:space="preserve"> </w:t>
      </w:r>
      <m:oMath>
        <m:sSub>
          <m:e>
            <m:r>
              <m:t>p</m:t>
            </m:r>
          </m:e>
          <m:sub>
            <m:r>
              <m:t>1</m:t>
            </m:r>
          </m:sub>
        </m:sSub>
        <m:r>
          <m:rPr>
            <m:sty m:val="p"/>
          </m:rPr>
          <m:t>,</m:t>
        </m:r>
        <m:sSub>
          <m:e>
            <m:r>
              <m:t>p</m:t>
            </m:r>
          </m:e>
          <m:sub>
            <m:r>
              <m:t>2</m:t>
            </m:r>
          </m:sub>
        </m:sSub>
        <m:r>
          <m:rPr>
            <m:sty m:val="p"/>
          </m:rPr>
          <m:t>&gt;</m:t>
        </m:r>
        <m:r>
          <m:t>0</m:t>
        </m:r>
      </m:oMath>
      <w:r>
        <w:t xml:space="preserve"> </w:t>
      </w:r>
      <w:r>
        <w:t xml:space="preserve">são os preços dos bens e</w:t>
      </w:r>
      <w:r>
        <w:t xml:space="preserve"> </w:t>
      </w:r>
      <m:oMath>
        <m:r>
          <m:t>I</m:t>
        </m:r>
        <m:r>
          <m:rPr>
            <m:sty m:val="p"/>
          </m:rPr>
          <m:t>&gt;</m:t>
        </m:r>
        <m:r>
          <m:t>0</m:t>
        </m:r>
      </m:oMath>
      <w:r>
        <w:t xml:space="preserve"> </w:t>
      </w:r>
      <w:r>
        <w:t xml:space="preserve">é a renda nominal do consumidor.</w:t>
      </w:r>
    </w:p>
    <w:p>
      <w:pPr>
        <w:pStyle w:val="BlockText"/>
      </w:pPr>
      <w:r>
        <w:rPr>
          <w:b/>
          <w:bCs/>
        </w:rPr>
        <w:t xml:space="preserve">[DEFINICAO] Conjunto orçamentário</w:t>
      </w:r>
    </w:p>
    <w:p>
      <w:pPr>
        <w:pStyle w:val="BlockText"/>
      </w:pPr>
      <w:r>
        <w:t xml:space="preserve">O</w:t>
      </w:r>
      <w:r>
        <w:t xml:space="preserve"> </w:t>
      </w:r>
      <w:r>
        <w:rPr>
          <w:b/>
          <w:bCs/>
        </w:rPr>
        <w:t xml:space="preserve">conjunto orçamentário</w:t>
      </w:r>
      <w:r>
        <w:t xml:space="preserve"> </w:t>
      </w:r>
      <w:r>
        <w:t xml:space="preserve">é definido como:</w:t>
      </w:r>
    </w:p>
    <w:p>
      <w:pPr>
        <w:pStyle w:val="BlockText"/>
      </w:pPr>
      <w:r>
        <w:t xml:space="preserve">$$</w:t>
      </w:r>
    </w:p>
    <w:p>
      <w:pPr>
        <w:pStyle w:val="BlockText"/>
      </w:pPr>
      <w:r>
        <w:t xml:space="preserve">B(p_1, p_2, I) = {(x_1, x_2)</w:t>
      </w:r>
      <w:r>
        <w:t xml:space="preserve"> </w:t>
      </w:r>
      <w:r>
        <w:t xml:space="preserve">^2_+ : p_1 x_1 + p_2 x_2</w:t>
      </w:r>
      <w:r>
        <w:t xml:space="preserve"> </w:t>
      </w:r>
      <w:r>
        <w:t xml:space="preserve">I}.</w:t>
      </w:r>
      <w:r>
        <w:t xml:space="preserve"> </w:t>
      </w:r>
      <w:r>
        <w:t xml:space="preserve"> </w:t>
      </w:r>
    </w:p>
    <w:p>
      <w:pPr>
        <w:pStyle w:val="BlockText"/>
      </w:pPr>
      <w:r>
        <w:t xml:space="preserve">$$</w:t>
      </w:r>
    </w:p>
    <w:p>
      <w:pPr>
        <w:pStyle w:val="BlockText"/>
      </w:pPr>
      <w:r>
        <w:t xml:space="preserve">A fronteira deste conjunto,</w:t>
      </w:r>
      <w:r>
        <w:t xml:space="preserve"> </w:t>
      </w: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oMath>
      <w:r>
        <w:t xml:space="preserve">, é a</w:t>
      </w:r>
      <w:r>
        <w:t xml:space="preserve"> </w:t>
      </w:r>
      <w:r>
        <w:rPr>
          <w:b/>
          <w:bCs/>
        </w:rPr>
        <w:t xml:space="preserve">reta orçamentária</w:t>
      </w:r>
      <w:r>
        <w:t xml:space="preserve">. Sua inclinação é</w:t>
      </w:r>
      <w:r>
        <w:t xml:space="preserve"> </w:t>
      </w:r>
      <m:oMath>
        <m:r>
          <m:rPr>
            <m:sty m:val="p"/>
          </m:rPr>
          <m:t>−</m:t>
        </m:r>
        <m:sSub>
          <m:e>
            <m:r>
              <m:t>p</m:t>
            </m:r>
          </m:e>
          <m:sub>
            <m:r>
              <m:t>1</m:t>
            </m:r>
          </m:sub>
        </m:sSub>
        <m:r>
          <m:rPr>
            <m:sty m:val="p"/>
          </m:rPr>
          <m:t>/</m:t>
        </m:r>
        <m:sSub>
          <m:e>
            <m:r>
              <m:t>p</m:t>
            </m:r>
          </m:e>
          <m:sub>
            <m:r>
              <m:t>2</m:t>
            </m:r>
          </m:sub>
        </m:sSub>
      </m:oMath>
      <w:r>
        <w:t xml:space="preserve">, refletindo o</w:t>
      </w:r>
      <w:r>
        <w:t xml:space="preserve"> </w:t>
      </w:r>
      <w:r>
        <w:rPr>
          <w:b/>
          <w:bCs/>
        </w:rPr>
        <w:t xml:space="preserve">custo de oportunidade</w:t>
      </w:r>
      <w:r>
        <w:t xml:space="preserve"> </w:t>
      </w:r>
      <w:r>
        <w:t xml:space="preserve">de uma unidade do bem 1 em termos do bem 2.</w:t>
      </w:r>
    </w:p>
    <w:p>
      <w:pPr>
        <w:pStyle w:val="FirstParagraph"/>
      </w:pPr>
      <w:r>
        <w:t xml:space="preserve">Sob monotonicidade das preferências (Axioma 4 do Capítulo 3), a restrição orçamentária é satisfeita com igualdade na solução ótima: o consumidor gasta toda a renda. Afinal, se sobrasse dinheiro, ele poderia comprar mais de algum bem e aumentar sua utilidade — contradizendo a suposição de que estava no ótimo. Esse resultado é a</w:t>
      </w:r>
      <w:r>
        <w:t xml:space="preserve"> </w:t>
      </w:r>
      <w:r>
        <w:rPr>
          <w:b/>
          <w:bCs/>
        </w:rPr>
        <w:t xml:space="preserve">lei de Walras</w:t>
      </w:r>
      <w:r>
        <w:t xml:space="preserve"> </w:t>
      </w:r>
      <w:r>
        <w:t xml:space="preserve">aplicada ao consumidor individual:</w:t>
      </w:r>
      <w:r>
        <w:t xml:space="preserve"> </w:t>
      </w:r>
      <m:oMath>
        <m:r>
          <m:rPr>
            <m:sty m:val="bi"/>
          </m:rPr>
          <m:t>p</m:t>
        </m:r>
        <m:r>
          <m:rPr>
            <m:sty m:val="p"/>
          </m:rPr>
          <m:t>⋅</m:t>
        </m:r>
        <m:sSup>
          <m:e>
            <m:r>
              <m:rPr>
                <m:sty m:val="bi"/>
              </m:rPr>
              <m:t>x</m:t>
            </m:r>
          </m:e>
          <m:sup>
            <m:r>
              <m:rPr>
                <m:sty m:val="p"/>
              </m:rPr>
              <m:t>*</m:t>
            </m:r>
          </m:sup>
        </m:sSup>
        <m:r>
          <m:rPr>
            <m:sty m:val="p"/>
          </m:rPr>
          <m:t>=</m:t>
        </m:r>
        <m:r>
          <m:t>I</m:t>
        </m:r>
      </m:oMath>
      <w:r>
        <w:t xml:space="preserve">. A restrição de desigualdade da equação Eq. (eq:4.1.1) se reduz, portanto, a uma igualdade — o que nos permite aplicar diretamente o método de Lagrange (Seção 2.5). Essa conclusão, aparentemente simples, tem implicações profundas: ela nos diz que a análise do comportamento do consumidor pode se concentrar na</w:t>
      </w:r>
      <w:r>
        <w:t xml:space="preserve"> </w:t>
      </w:r>
      <w:r>
        <w:rPr>
          <w:i/>
          <w:iCs/>
        </w:rPr>
        <w:t xml:space="preserve">fronteira</w:t>
      </w:r>
      <w:r>
        <w:t xml:space="preserve"> </w:t>
      </w:r>
      <w:r>
        <w:t xml:space="preserve">do conjunto orçamentário, e não no seu interior. É na reta orçamentária que as escolhas ótimas acontecem — e é aí que os preços relativos exercem seu papel decisivo.</w:t>
      </w:r>
    </w:p>
    <w:p>
      <w:pPr>
        <w:pStyle w:val="BodyText"/>
      </w:pPr>
      <w:r>
        <w:t xml:space="preserve">A formulação em Eq. (eq:4.1.1) admite generalizações naturais: para</w:t>
      </w:r>
      <w:r>
        <w:t xml:space="preserve"> </w:t>
      </w:r>
      <m:oMath>
        <m:r>
          <m:t>n</m:t>
        </m:r>
      </m:oMath>
      <w:r>
        <w:t xml:space="preserve"> </w:t>
      </w:r>
      <w:r>
        <w:t xml:space="preserve">bens, a restrição passa a ser</w:t>
      </w:r>
      <w:r>
        <w:t xml:space="preserve"> </w:t>
      </w:r>
      <m:oMath>
        <m:nary>
          <m:naryPr>
            <m:chr m:val="∑"/>
            <m:limLoc m:val="undOvr"/>
            <m:subHide m:val="off"/>
            <m:supHide m:val="off"/>
          </m:naryPr>
          <m:sub>
            <m:r>
              <m:t>i</m:t>
            </m:r>
            <m:r>
              <m:rPr>
                <m:sty m:val="p"/>
              </m:rPr>
              <m:t>=</m:t>
            </m:r>
            <m:r>
              <m:t>1</m:t>
            </m:r>
          </m:sub>
          <m:sup>
            <m:r>
              <m:t>n</m:t>
            </m:r>
          </m:sup>
          <m:e>
            <m:sSub>
              <m:e>
                <m:r>
                  <m:t>p</m:t>
                </m:r>
              </m:e>
              <m:sub>
                <m:r>
                  <m:t>i</m:t>
                </m:r>
              </m:sub>
            </m:sSub>
          </m:e>
        </m:nary>
        <m:sSub>
          <m:e>
            <m:r>
              <m:t>x</m:t>
            </m:r>
          </m:e>
          <m:sub>
            <m:r>
              <m:t>i</m:t>
            </m:r>
          </m:sub>
        </m:sSub>
        <m:r>
          <m:rPr>
            <m:sty m:val="p"/>
          </m:rPr>
          <m:t>≤</m:t>
        </m:r>
        <m:r>
          <m:t>I</m:t>
        </m:r>
      </m:oMath>
      <w:r>
        <w:t xml:space="preserve">. Para bens com externalidades ou racionamento, o conjunto viável pode diferir. Para consumo intertemporal, a renda</w:t>
      </w:r>
      <w:r>
        <w:t xml:space="preserve"> </w:t>
      </w:r>
      <m:oMath>
        <m:r>
          <m:t>I</m:t>
        </m:r>
      </m:oMath>
      <w:r>
        <w:t xml:space="preserve"> </w:t>
      </w:r>
      <w:r>
        <w:t xml:space="preserve">é substituída pelo valor presente da riqueza. Essas extensões serão exploradas nos Capítulos 7 e 8; por ora, trabalhamos com a formulação estática e com dois bens, que já contém toda a riqueza conceitual do problema.</w:t>
      </w:r>
    </w:p>
    <w:p>
      <w:pPr>
        <w:pStyle w:val="BlockText"/>
      </w:pPr>
      <w:r>
        <w:rPr>
          <w:b/>
          <w:bCs/>
        </w:rPr>
        <w:t xml:space="preserve">[INTUICAO ECONOMICA] Intuição Econômica</w:t>
      </w:r>
    </w:p>
    <w:p>
      <w:pPr>
        <w:pStyle w:val="BlockText"/>
      </w:pPr>
      <w:r>
        <w:rPr>
          <w:b/>
          <w:bCs/>
        </w:rPr>
        <w:t xml:space="preserve">Em uma frase:</w:t>
      </w:r>
      <w:r>
        <w:t xml:space="preserve"> </w:t>
      </w:r>
      <w:r>
        <w:t xml:space="preserve">A restrição orçamentária diz que toda escolha tem um custo de oportunidade — comprar mais de um bem significa abrir mão de outro.</w:t>
      </w:r>
    </w:p>
    <w:p>
      <w:pPr>
        <w:pStyle w:val="BlockText"/>
      </w:pPr>
      <w:r>
        <w:rPr>
          <w:b/>
          <w:bCs/>
        </w:rPr>
        <w:t xml:space="preserve">Pense assim:</w:t>
      </w:r>
      <w:r>
        <w:t xml:space="preserve"> </w:t>
      </w:r>
      <w:r>
        <w:t xml:space="preserve">Imagine que você tem R$ 300 para gastar no mês entre carne e transporte. Cada real a mais gasto em carne é um real a menos em passagem de ônibus. A inclinação da reta orçamentária (</w:t>
      </w:r>
      <m:oMath>
        <m:r>
          <m:rPr>
            <m:sty m:val="p"/>
          </m:rPr>
          <m:t>−</m:t>
        </m:r>
        <m:sSub>
          <m:e>
            <m:r>
              <m:t>p</m:t>
            </m:r>
          </m:e>
          <m:sub>
            <m:r>
              <m:t>1</m:t>
            </m:r>
          </m:sub>
        </m:sSub>
        <m:r>
          <m:rPr>
            <m:sty m:val="p"/>
          </m:rPr>
          <m:t>/</m:t>
        </m:r>
        <m:sSub>
          <m:e>
            <m:r>
              <m:t>p</m:t>
            </m:r>
          </m:e>
          <m:sub>
            <m:r>
              <m:t>2</m:t>
            </m:r>
          </m:sub>
        </m:sSub>
      </m:oMath>
      <w:r>
        <w:t xml:space="preserve">) é exatamente esse</w:t>
      </w:r>
      <w:r>
        <w:t xml:space="preserve"> </w:t>
      </w:r>
      <w:r>
        <w:t xml:space="preserve">“preço”</w:t>
      </w:r>
      <w:r>
        <w:t xml:space="preserve"> </w:t>
      </w:r>
      <w:r>
        <w:t xml:space="preserve">da troca: se a carne custa R$ 40/kg e a passagem R$ 5, cada quilo de carne</w:t>
      </w:r>
      <w:r>
        <w:t xml:space="preserve"> </w:t>
      </w:r>
      <w:r>
        <w:t xml:space="preserve">“custa”</w:t>
      </w:r>
      <w:r>
        <w:t xml:space="preserve"> </w:t>
      </w:r>
      <w:r>
        <w:t xml:space="preserve">8 passagens.</w:t>
      </w:r>
    </w:p>
    <w:p>
      <w:pPr>
        <w:pStyle w:val="BlockText"/>
      </w:pPr>
      <w:r>
        <w:rPr>
          <w:b/>
          <w:bCs/>
        </w:rPr>
        <w:t xml:space="preserve">Por que isso importa:</w:t>
      </w:r>
      <w:r>
        <w:t xml:space="preserve"> </w:t>
      </w:r>
      <w:r>
        <w:t xml:space="preserve">Todo debate sobre política de preços — subsídios ao gás de cozinha, tarifa zero no transporte público — é, no fundo, sobre como deslocar ou rotacionar essa reta orçamentária das famílias.</w:t>
      </w:r>
    </w:p>
    <w:p>
      <w:pPr>
        <w:pStyle w:val="FirstParagraph"/>
      </w:pPr>
      <w:r>
        <w:t xml:space="preserve">[FIGURA INTERATIVA: /micro-book/graficos/cap04/restricao-orcamentaria.html — versao interativa disponivel online]</w:t>
      </w:r>
    </w:p>
    <w:p>
      <w:pPr>
        <w:pStyle w:val="BodyText"/>
      </w:pPr>
      <w:r>
        <w:rPr>
          <w:b/>
          <w:bCs/>
        </w:rPr>
        <w:t xml:space="preserve">Figura 4.1 — Restrição Orçamentária.</w:t>
      </w:r>
      <w:r>
        <w:t xml:space="preserve"> </w:t>
      </w:r>
      <w:r>
        <w:t xml:space="preserve">Ajuste renda e preços com os sliders. Observe como a reta orçamentária se desloca e como a inclinação reflete o custo de oportunidade.</w:t>
      </w:r>
    </w:p>
    <w:p>
      <w:pPr>
        <w:pStyle w:val="BlockText"/>
      </w:pPr>
      <w:r>
        <w:rPr>
          <w:b/>
          <w:bCs/>
        </w:rPr>
        <w:t xml:space="preserve">[BOX BRASIL] Box Brasil 4.1 — Combustíveis e a reta orçamentária das famílias brasileiras</w:t>
      </w:r>
    </w:p>
    <w:p>
      <w:pPr>
        <w:pStyle w:val="BlockText"/>
      </w:pPr>
      <w:r>
        <w:t xml:space="preserve">Um exemplo concreto de como preços afetam a restrição orçamentária vem do mercado de combustíveis no Brasil. Segundo dados da</w:t>
      </w:r>
      <w:r>
        <w:t xml:space="preserve"> </w:t>
      </w:r>
      <w:hyperlink r:id="rId190">
        <w:r>
          <w:rPr>
            <w:rStyle w:val="Hyperlink"/>
          </w:rPr>
          <w:t xml:space="preserve">ANP</w:t>
        </w:r>
      </w:hyperlink>
      <w:r>
        <w:t xml:space="preserve"> </w:t>
      </w:r>
      <w:r>
        <w:t xml:space="preserve">(Agência Nacional do Petróleo), o preço médio da gasolina comum ao consumidor passou de cerca de R$ 4,50/litro no início de 2020 para R$ 7,26/litro em março de 2022 — um aumento superior a 60%. Esse aumento expressivo alterou significativamente a reta orçamentária das famílias, especialmente as de renda mais baixa.</w:t>
      </w:r>
    </w:p>
    <w:p>
      <w:pPr>
        <w:pStyle w:val="BlockText"/>
      </w:pPr>
      <w:r>
        <w:t xml:space="preserve">De acordo com a POF 2017–2018 (</w:t>
      </w:r>
      <w:hyperlink r:id="rId35">
        <w:r>
          <w:rPr>
            <w:rStyle w:val="Hyperlink"/>
          </w:rPr>
          <w:t xml:space="preserve">IBGE</w:t>
        </w:r>
      </w:hyperlink>
      <w:r>
        <w:t xml:space="preserve">), famílias com renda de até 2 salários mínimos destinavam cerca de 3,5% de seus gastos a combustíveis, enquanto famílias com renda acima de 25 salários mínimos destinavam 6,1%. Porém, como proporção da renda disponível para outros bens, o impacto é relativamente maior para as famílias mais pobres.</w:t>
      </w:r>
    </w:p>
    <w:p>
      <w:pPr>
        <w:pStyle w:val="BlockText"/>
      </w:pPr>
      <w:r>
        <w:t xml:space="preserve">Em termos do modelo, se</w:t>
      </w:r>
      <w:r>
        <w:t xml:space="preserve"> </w:t>
      </w:r>
      <m:oMath>
        <m:sSub>
          <m:e>
            <m:r>
              <m:t>x</m:t>
            </m:r>
          </m:e>
          <m:sub>
            <m:r>
              <m:t>1</m:t>
            </m:r>
          </m:sub>
        </m:sSub>
      </m:oMath>
      <w:r>
        <w:t xml:space="preserve"> </w:t>
      </w:r>
      <w:r>
        <w:t xml:space="preserve">= litros de gasolina e</w:t>
      </w:r>
      <w:r>
        <w:t xml:space="preserve"> </w:t>
      </w:r>
      <m:oMath>
        <m:sSub>
          <m:e>
            <m:r>
              <m:t>x</m:t>
            </m:r>
          </m:e>
          <m:sub>
            <m:r>
              <m:t>2</m:t>
            </m:r>
          </m:sub>
        </m:sSub>
      </m:oMath>
      <w:r>
        <w:t xml:space="preserve"> </w:t>
      </w:r>
      <w:r>
        <w:t xml:space="preserve">= cesta de demais bens (com preço normalizado), o aumento de</w:t>
      </w:r>
      <w:r>
        <w:t xml:space="preserve"> </w:t>
      </w:r>
      <m:oMath>
        <m:sSub>
          <m:e>
            <m:r>
              <m:t>p</m:t>
            </m:r>
          </m:e>
          <m:sub>
            <m:r>
              <m:t>1</m:t>
            </m:r>
          </m:sub>
        </m:sSub>
      </m:oMath>
      <w:r>
        <w:t xml:space="preserve"> </w:t>
      </w:r>
      <w:r>
        <w:t xml:space="preserve">de 4,50 para 7,26</w:t>
      </w:r>
      <w:r>
        <w:t xml:space="preserve"> </w:t>
      </w:r>
      <w:r>
        <w:rPr>
          <w:b/>
          <w:bCs/>
        </w:rPr>
        <w:t xml:space="preserve">rotaciona</w:t>
      </w:r>
      <w:r>
        <w:t xml:space="preserve"> </w:t>
      </w:r>
      <w:r>
        <w:t xml:space="preserve">a reta orçamentária para dentro ao longo do eixo</w:t>
      </w:r>
      <w:r>
        <w:t xml:space="preserve"> </w:t>
      </w:r>
      <m:oMath>
        <m:sSub>
          <m:e>
            <m:r>
              <m:t>x</m:t>
            </m:r>
          </m:e>
          <m:sub>
            <m:r>
              <m:t>1</m:t>
            </m:r>
          </m:sub>
        </m:sSub>
      </m:oMath>
      <w:r>
        <w:t xml:space="preserve">: a quantidade máxima de gasolina que a família pode comprar (intercepto horizontal</w:t>
      </w:r>
      <w:r>
        <w:t xml:space="preserve"> </w:t>
      </w:r>
      <m:oMath>
        <m:r>
          <m:t>I</m:t>
        </m:r>
        <m:r>
          <m:rPr>
            <m:sty m:val="p"/>
          </m:rPr>
          <m:t>/</m:t>
        </m:r>
        <m:sSub>
          <m:e>
            <m:r>
              <m:t>p</m:t>
            </m:r>
          </m:e>
          <m:sub>
            <m:r>
              <m:t>1</m:t>
            </m:r>
          </m:sub>
        </m:sSub>
      </m:oMath>
      <w:r>
        <w:t xml:space="preserve">) cai drasticamente, enquanto o intercepto vertical</w:t>
      </w:r>
      <w:r>
        <w:t xml:space="preserve"> </w:t>
      </w:r>
      <m:oMath>
        <m:r>
          <m:t>I</m:t>
        </m:r>
        <m:r>
          <m:rPr>
            <m:sty m:val="p"/>
          </m:rPr>
          <m:t>/</m:t>
        </m:r>
        <m:sSub>
          <m:e>
            <m:r>
              <m:t>p</m:t>
            </m:r>
          </m:e>
          <m:sub>
            <m:r>
              <m:t>2</m:t>
            </m:r>
          </m:sub>
        </m:sSub>
      </m:oMath>
      <w:r>
        <w:t xml:space="preserve"> </w:t>
      </w:r>
      <w:r>
        <w:t xml:space="preserve">permanece inalterado.</w:t>
      </w:r>
    </w:p>
    <w:p>
      <w:pPr>
        <w:pStyle w:val="BlockText"/>
      </w:pPr>
      <w:r>
        <w:rPr>
          <w:b/>
          <w:bCs/>
        </w:rPr>
        <w:t xml:space="preserve">Fonte</w:t>
      </w:r>
      <w:r>
        <w:t xml:space="preserve">: ANP, Levantamento de Preços de Combustíveis; IBGE, Pesquisa de Orçamentos Familiares 2017–2018.</w:t>
      </w:r>
    </w:p>
    <w:p>
      <w:r>
        <w:pict>
          <v:rect style="width:0;height:1.5pt" o:hralign="center" o:hrstd="t" o:hr="t"/>
        </w:pict>
      </w:r>
    </w:p>
    <w:bookmarkEnd w:id="191"/>
    <w:bookmarkStart w:id="192" w:name="Xa9395abb95abd397a99723a6b136a20b8c69c77"/>
    <w:p>
      <w:pPr>
        <w:pStyle w:val="Heading3"/>
      </w:pPr>
      <w:r>
        <w:t xml:space="preserve">4.2 O Ponto de Tangência: Análise Gráfica com Dois Bens</w:t>
      </w:r>
    </w:p>
    <w:p>
      <w:pPr>
        <w:pStyle w:val="FirstParagraph"/>
      </w:pPr>
      <w:r>
        <w:t xml:space="preserve">Antes de soltar o Lagrangeano, vamos</w:t>
      </w:r>
      <w:r>
        <w:t xml:space="preserve"> </w:t>
      </w:r>
      <w:r>
        <w:rPr>
          <w:i/>
          <w:iCs/>
        </w:rPr>
        <w:t xml:space="preserve">ver</w:t>
      </w:r>
      <w:r>
        <w:t xml:space="preserve"> </w:t>
      </w:r>
      <w:r>
        <w:t xml:space="preserve">o problema. A abordagem gráfica, aperfeiçoada por Edgeworth e Hicks, é tão boa que muitos economistas resolvem problemas no guardanapo antes de abrir o caderno. A ideia é visualmente irresistível: pegue o mapa de curvas de indiferença (Seção 3.3) e sobreponha a reta orçamentária. O consumidor quer chegar à curva mais alta possível — mas sem sair do triângulo que o bolso permite. A solução? O ponto onde a curva de indiferença</w:t>
      </w:r>
      <w:r>
        <w:t xml:space="preserve"> </w:t>
      </w:r>
      <w:r>
        <w:rPr>
          <w:i/>
          <w:iCs/>
        </w:rPr>
        <w:t xml:space="preserve">tangencia</w:t>
      </w:r>
      <w:r>
        <w:t xml:space="preserve"> </w:t>
      </w:r>
      <w:r>
        <w:t xml:space="preserve">a reta orçamentária. É como um alpinista que sobe o mais alto que consegue sem ultrapassar a cerca.</w:t>
      </w:r>
    </w:p>
    <w:p>
      <w:pPr>
        <w:pStyle w:val="BodyText"/>
      </w:pPr>
      <w:r>
        <w:t xml:space="preserve">Para uma</w:t>
      </w:r>
      <w:r>
        <w:t xml:space="preserve"> </w:t>
      </w:r>
      <w:r>
        <w:rPr>
          <w:b/>
          <w:bCs/>
        </w:rPr>
        <w:t xml:space="preserve">solução interior</w:t>
      </w:r>
      <w:r>
        <w:t xml:space="preserve"> </w:t>
      </w:r>
      <w:r>
        <w:t xml:space="preserve">(</w:t>
      </w:r>
      <m:oMath>
        <m:sSubSup>
          <m:e>
            <m:r>
              <m:t>x</m:t>
            </m:r>
          </m:e>
          <m:sub>
            <m:r>
              <m:t>1</m:t>
            </m:r>
          </m:sub>
          <m:sup>
            <m:r>
              <m:rPr>
                <m:sty m:val="p"/>
              </m:rPr>
              <m:t>*</m:t>
            </m:r>
          </m:sup>
        </m:sSubSup>
        <m:r>
          <m:rPr>
            <m:sty m:val="p"/>
          </m:rPr>
          <m:t>&gt;</m:t>
        </m:r>
        <m:r>
          <m:t>0</m:t>
        </m:r>
      </m:oMath>
      <w:r>
        <w:t xml:space="preserve"> </w:t>
      </w:r>
      <w:r>
        <w:t xml:space="preserve">e</w:t>
      </w:r>
      <w:r>
        <w:t xml:space="preserve"> </w:t>
      </w:r>
      <m:oMath>
        <m:sSubSup>
          <m:e>
            <m:r>
              <m:t>x</m:t>
            </m:r>
          </m:e>
          <m:sub>
            <m:r>
              <m:t>2</m:t>
            </m:r>
          </m:sub>
          <m:sup>
            <m:r>
              <m:rPr>
                <m:sty m:val="p"/>
              </m:rPr>
              <m:t>*</m:t>
            </m:r>
          </m:sup>
        </m:sSubSup>
        <m:r>
          <m:rPr>
            <m:sty m:val="p"/>
          </m:rPr>
          <m:t>&gt;</m:t>
        </m:r>
        <m:r>
          <m:t>0</m:t>
        </m:r>
      </m:oMath>
      <w:r>
        <w:t xml:space="preserve">), a condição necessária é a</w:t>
      </w:r>
      <w:r>
        <w:t xml:space="preserve"> </w:t>
      </w:r>
      <w:r>
        <w:rPr>
          <w:b/>
          <w:bCs/>
        </w:rPr>
        <w:t xml:space="preserve">tangência</w:t>
      </w:r>
      <w:r>
        <w:t xml:space="preserve">:</w:t>
      </w:r>
    </w:p>
    <w:p>
      <w:pPr>
        <w:pStyle w:val="BodyText"/>
      </w:pPr>
      <m:oMathPara>
        <m:oMathParaPr>
          <m:jc m:val="center"/>
        </m:oMathParaPr>
        <m:oMath>
          <m:sSub>
            <m:e>
              <m:r>
                <m:rPr>
                  <m:nor/>
                  <m:sty m:val="p"/>
                </m:rPr>
                <m:t>TMS</m:t>
              </m:r>
            </m:e>
            <m:sub>
              <m:r>
                <m:t>12</m:t>
              </m:r>
            </m:sub>
          </m:sSub>
          <m:r>
            <m:rPr>
              <m:sty m:val="p"/>
            </m:rPr>
            <m:t>=</m:t>
          </m:r>
          <m:f>
            <m:fPr>
              <m:type m:val="bar"/>
            </m:fPr>
            <m:num>
              <m:sSub>
                <m:e>
                  <m:r>
                    <m:t>p</m:t>
                  </m:r>
                </m:e>
                <m:sub>
                  <m:r>
                    <m:t>1</m:t>
                  </m:r>
                </m:sub>
              </m:sSub>
            </m:num>
            <m:den>
              <m:sSub>
                <m:e>
                  <m:r>
                    <m:t>p</m:t>
                  </m:r>
                </m:e>
                <m:sub>
                  <m:r>
                    <m:t>2</m:t>
                  </m:r>
                </m:sub>
              </m:sSub>
            </m:den>
          </m:f>
          <m:r>
            <m:rPr>
              <m:sty m:val="p"/>
            </m:rPr>
            <m:t>.</m:t>
          </m:r>
        </m:oMath>
      </m:oMathPara>
    </w:p>
    <w:p>
      <w:pPr>
        <w:pStyle w:val="FirstParagraph"/>
      </w:pPr>
      <w:r>
        <w:t xml:space="preserve">Essa condição captura uma ideia fundamental: no ótimo, a taxa subjetiva com que o consumidor está disposto a trocar o bem 2 pelo bem 1 (dada pela inclinação da curva de indiferença) deve ser exatamente igual à taxa objetiva com que o mercado permite essa troca (dada pela inclinação da reta orçamentária). Se as duas taxas diferissem, haveria possibilidade de realocação mutuamente benéfica — e o consumidor não estaria no ótimo.</w:t>
      </w:r>
    </w:p>
    <w:p>
      <w:pPr>
        <w:pStyle w:val="BlockText"/>
      </w:pPr>
      <w:r>
        <w:rPr>
          <w:b/>
          <w:bCs/>
        </w:rPr>
        <w:t xml:space="preserve">[DEFINICAO] Condição de tangência</w:t>
      </w:r>
    </w:p>
    <w:p>
      <w:pPr>
        <w:pStyle w:val="BlockText"/>
      </w:pPr>
      <w:r>
        <w:t xml:space="preserve">No ponto ótimo interior, a taxa marginal de substituição iguala a razão de preços. A</w:t>
      </w:r>
      <w:r>
        <w:t xml:space="preserve"> </w:t>
      </w:r>
      <w:r>
        <w:rPr>
          <w:b/>
          <w:bCs/>
        </w:rPr>
        <w:t xml:space="preserve">taxa de troca subjetiva</w:t>
      </w:r>
      <w:r>
        <w:t xml:space="preserve"> </w:t>
      </w:r>
      <w:r>
        <w:t xml:space="preserve">do consumidor (TMS) coincide com a</w:t>
      </w:r>
      <w:r>
        <w:t xml:space="preserve"> </w:t>
      </w:r>
      <w:r>
        <w:rPr>
          <w:b/>
          <w:bCs/>
        </w:rPr>
        <w:t xml:space="preserve">taxa de troca objetiva</w:t>
      </w:r>
      <w:r>
        <w:t xml:space="preserve"> </w:t>
      </w:r>
      <w:r>
        <w:t xml:space="preserve">dada pelo mercado (</w:t>
      </w:r>
      <m:oMath>
        <m:sSub>
          <m:e>
            <m:r>
              <m:t>p</m:t>
            </m:r>
          </m:e>
          <m:sub>
            <m:r>
              <m:t>1</m:t>
            </m:r>
          </m:sub>
        </m:sSub>
        <m:r>
          <m:rPr>
            <m:sty m:val="p"/>
          </m:rPr>
          <m:t>/</m:t>
        </m:r>
        <m:sSub>
          <m:e>
            <m:r>
              <m:t>p</m:t>
            </m:r>
          </m:e>
          <m:sub>
            <m:r>
              <m:t>2</m:t>
            </m:r>
          </m:sub>
        </m:sSub>
      </m:oMath>
      <w:r>
        <w:t xml:space="preserve">). Se a TMS excedesse</w:t>
      </w:r>
      <w:r>
        <w:t xml:space="preserve"> </w:t>
      </w:r>
      <m:oMath>
        <m:sSub>
          <m:e>
            <m:r>
              <m:t>p</m:t>
            </m:r>
          </m:e>
          <m:sub>
            <m:r>
              <m:t>1</m:t>
            </m:r>
          </m:sub>
        </m:sSub>
        <m:r>
          <m:rPr>
            <m:sty m:val="p"/>
          </m:rPr>
          <m:t>/</m:t>
        </m:r>
        <m:sSub>
          <m:e>
            <m:r>
              <m:t>p</m:t>
            </m:r>
          </m:e>
          <m:sub>
            <m:r>
              <m:t>2</m:t>
            </m:r>
          </m:sub>
        </m:sSub>
      </m:oMath>
      <w:r>
        <w:t xml:space="preserve">, o consumidor poderia aumentar sua utilidade comprando mais do bem 1 e menos do bem 2.</w:t>
      </w:r>
    </w:p>
    <w:p>
      <w:pPr>
        <w:pStyle w:val="FirstParagraph"/>
      </w:pPr>
      <w:r>
        <w:t xml:space="preserve">A condição de tangência pode ser reescrita em termos de utilidade marginal ponderada pelo preço:</w:t>
      </w:r>
    </w:p>
    <w:p>
      <w:pPr>
        <w:pStyle w:val="BodyText"/>
      </w:pPr>
      <m:oMathPara>
        <m:oMathParaPr>
          <m:jc m:val="center"/>
        </m:oMathParaPr>
        <m:oMath>
          <m:f>
            <m:fPr>
              <m:type m:val="bar"/>
            </m:fPr>
            <m:num>
              <m:sSub>
                <m:e>
                  <m:r>
                    <m:rPr>
                      <m:nor/>
                      <m:sty m:val="p"/>
                    </m:rPr>
                    <m:t>UMg</m:t>
                  </m:r>
                </m:e>
                <m:sub>
                  <m:r>
                    <m:t>1</m:t>
                  </m:r>
                </m:sub>
              </m:sSub>
            </m:num>
            <m:den>
              <m:sSub>
                <m:e>
                  <m:r>
                    <m:t>p</m:t>
                  </m:r>
                </m:e>
                <m:sub>
                  <m:r>
                    <m:t>1</m:t>
                  </m:r>
                </m:sub>
              </m:sSub>
            </m:den>
          </m:f>
          <m:r>
            <m:rPr>
              <m:sty m:val="p"/>
            </m:rPr>
            <m:t>=</m:t>
          </m:r>
          <m:f>
            <m:fPr>
              <m:type m:val="bar"/>
            </m:fPr>
            <m:num>
              <m:sSub>
                <m:e>
                  <m:r>
                    <m:rPr>
                      <m:nor/>
                      <m:sty m:val="p"/>
                    </m:rPr>
                    <m:t>UMg</m:t>
                  </m:r>
                </m:e>
                <m:sub>
                  <m:r>
                    <m:t>2</m:t>
                  </m:r>
                </m:sub>
              </m:sSub>
            </m:num>
            <m:den>
              <m:sSub>
                <m:e>
                  <m:r>
                    <m:t>p</m:t>
                  </m:r>
                </m:e>
                <m:sub>
                  <m:r>
                    <m:t>2</m:t>
                  </m:r>
                </m:sub>
              </m:sSub>
            </m:den>
          </m:f>
          <m:r>
            <m:rPr>
              <m:sty m:val="p"/>
            </m:rPr>
            <m:t>.</m:t>
          </m:r>
        </m:oMath>
      </m:oMathPara>
    </w:p>
    <w:p>
      <w:pPr>
        <w:pStyle w:val="FirstParagraph"/>
      </w:pPr>
      <w:r>
        <w:t xml:space="preserve">Esta é a</w:t>
      </w:r>
      <w:r>
        <w:t xml:space="preserve"> </w:t>
      </w:r>
      <w:r>
        <w:rPr>
          <w:b/>
          <w:bCs/>
        </w:rPr>
        <w:t xml:space="preserve">lei da utilidade marginal ponderada igualada</w:t>
      </w:r>
      <w:r>
        <w:t xml:space="preserve">: no ótimo, a última unidade monetária gasta em cada bem produz o mesmo incremento de utilidade. A intuição é poderosa: se um bem proporcionasse mais utilidade por real do que outro, valeria a pena realocar gastos até que as utilidades marginais por real se igualassem.</w:t>
      </w:r>
    </w:p>
    <w:p>
      <w:pPr>
        <w:pStyle w:val="BodyText"/>
      </w:pPr>
      <w:r>
        <w:t xml:space="preserve">Por exemplo, se uma família gasta R$ 200 por mês em streaming e R$ 50 em livros, e percebe que o último real em livros lhe dá mais prazer do que o último real em streaming, a teoria prevê que ela deveria realocar gastos — até o ponto em que o benefício marginal por real seja igual nos dois bens. É esse ajuste contínuo na margem que define o equilíbrio do consumidor.</w:t>
      </w:r>
    </w:p>
    <w:p>
      <w:pPr>
        <w:pStyle w:val="BlockText"/>
      </w:pPr>
      <w:r>
        <w:rPr>
          <w:b/>
          <w:bCs/>
        </w:rPr>
        <w:t xml:space="preserve">[INTUICAO ECONOMICA] Intuição Econômica</w:t>
      </w:r>
    </w:p>
    <w:p>
      <w:pPr>
        <w:pStyle w:val="BlockText"/>
      </w:pPr>
      <w:r>
        <w:rPr>
          <w:b/>
          <w:bCs/>
        </w:rPr>
        <w:t xml:space="preserve">Em uma frase:</w:t>
      </w:r>
      <w:r>
        <w:t xml:space="preserve"> </w:t>
      </w:r>
      <w:r>
        <w:t xml:space="preserve">No ponto ótimo, o último real gasto em qualquer bem deve render a mesma satisfação — senão, valeria a pena realocar.</w:t>
      </w:r>
    </w:p>
    <w:p>
      <w:pPr>
        <w:pStyle w:val="BlockText"/>
      </w:pPr>
      <w:r>
        <w:rPr>
          <w:b/>
          <w:bCs/>
        </w:rPr>
        <w:t xml:space="preserve">Pense assim:</w:t>
      </w:r>
      <w:r>
        <w:t xml:space="preserve"> </w:t>
      </w:r>
      <w:r>
        <w:t xml:space="preserve">Suponha que o último real gasto em café no supermercado te dá mais prazer que o último real gasto em pão. Então faz sentido comprar menos pão e mais café, até que a satisfação marginal por real se iguale nos dois. É como distribuir água entre vasos: você para quando o nível está igual em todos.</w:t>
      </w:r>
    </w:p>
    <w:p>
      <w:pPr>
        <w:pStyle w:val="BlockText"/>
      </w:pPr>
      <w:r>
        <w:rPr>
          <w:b/>
          <w:bCs/>
        </w:rPr>
        <w:t xml:space="preserve">Por que isso importa:</w:t>
      </w:r>
      <w:r>
        <w:t xml:space="preserve"> </w:t>
      </w:r>
      <w:r>
        <w:t xml:space="preserve">Essa condição de tangência (TMS = razão de preços) é a base de toda a análise de demanda — dela derivamos as curvas de demanda e avaliamos o impacto de mudanças de preços.</w:t>
      </w:r>
    </w:p>
    <w:p>
      <w:pPr>
        <w:pStyle w:val="BlockText"/>
      </w:pPr>
      <w:r>
        <w:rPr>
          <w:b/>
          <w:bCs/>
        </w:rPr>
        <w:t xml:space="preserve">[ATIVIDADE DE SALA] Think-Pair-Share — Lump sum ou imposto específico?</w:t>
      </w:r>
    </w:p>
    <w:p>
      <w:pPr>
        <w:pStyle w:val="BlockText"/>
      </w:pPr>
      <w:r>
        <w:rPr>
          <w:b/>
          <w:bCs/>
        </w:rPr>
        <w:t xml:space="preserve">Antes de prosseguir, vote individualmente (1 minuto):</w:t>
      </w:r>
    </w:p>
    <w:p>
      <w:pPr>
        <w:pStyle w:val="BlockText"/>
      </w:pPr>
      <w:r>
        <w:t xml:space="preserve">Um governo precisa arrecadar exatamente R$ 500 de cada família. Considere duas opções:</w:t>
      </w:r>
    </w:p>
    <w:p>
      <w:pPr>
        <w:pStyle w:val="Compact"/>
        <w:numPr>
          <w:ilvl w:val="0"/>
          <w:numId w:val="1129"/>
        </w:numPr>
      </w:pPr>
      <w:r>
        <w:rPr>
          <w:b/>
          <w:bCs/>
        </w:rPr>
        <w:t xml:space="preserve">Opção A:</w:t>
      </w:r>
      <w:r>
        <w:t xml:space="preserve"> </w:t>
      </w:r>
      <w:r>
        <w:t xml:space="preserve">Imposto de R$ 2 por litro de gasolina.</w:t>
      </w:r>
    </w:p>
    <w:p>
      <w:pPr>
        <w:pStyle w:val="Compact"/>
        <w:numPr>
          <w:ilvl w:val="0"/>
          <w:numId w:val="1129"/>
        </w:numPr>
      </w:pPr>
      <w:r>
        <w:rPr>
          <w:b/>
          <w:bCs/>
        </w:rPr>
        <w:t xml:space="preserve">Opção B:</w:t>
      </w:r>
      <w:r>
        <w:t xml:space="preserve"> </w:t>
      </w:r>
      <w:r>
        <w:t xml:space="preserve">Imposto fixo de R$ 500 descontado da renda, sem alterar preço nenhum.</w:t>
      </w:r>
    </w:p>
    <w:p>
      <w:pPr>
        <w:pStyle w:val="BlockText"/>
      </w:pPr>
      <w:r>
        <w:rPr>
          <w:b/>
          <w:bCs/>
        </w:rPr>
        <w:t xml:space="preserve">Pergunta:</w:t>
      </w:r>
      <w:r>
        <w:t xml:space="preserve"> </w:t>
      </w:r>
      <w:r>
        <w:t xml:space="preserve">Qual opção deixa a família</w:t>
      </w:r>
      <w:r>
        <w:t xml:space="preserve"> </w:t>
      </w:r>
      <w:r>
        <w:rPr>
          <w:i/>
          <w:iCs/>
        </w:rPr>
        <w:t xml:space="preserve">mais satisfeita</w:t>
      </w:r>
      <w:r>
        <w:t xml:space="preserve"> </w:t>
      </w:r>
      <w:r>
        <w:t xml:space="preserve">(maior utilidade)?</w:t>
      </w:r>
    </w:p>
    <w:p>
      <w:pPr>
        <w:pStyle w:val="Compact"/>
        <w:numPr>
          <w:ilvl w:val="0"/>
          <w:numId w:val="1130"/>
        </w:numPr>
      </w:pPr>
    </w:p>
    <w:p>
      <w:pPr>
        <w:pStyle w:val="Compact"/>
        <w:numPr>
          <w:ilvl w:val="1"/>
          <w:numId w:val="1131"/>
        </w:numPr>
      </w:pPr>
      <w:r>
        <w:t xml:space="preserve">Opção A — porque pelo menos ela pode decidir dirigir menos</w:t>
      </w:r>
    </w:p>
    <w:p>
      <w:pPr>
        <w:pStyle w:val="Compact"/>
        <w:numPr>
          <w:ilvl w:val="0"/>
          <w:numId w:val="1130"/>
        </w:numPr>
      </w:pPr>
    </w:p>
    <w:p>
      <w:pPr>
        <w:pStyle w:val="Compact"/>
        <w:numPr>
          <w:ilvl w:val="1"/>
          <w:numId w:val="1132"/>
        </w:numPr>
      </w:pPr>
      <w:r>
        <w:t xml:space="preserve">Opção B — porque não distorce nenhum preço</w:t>
      </w:r>
    </w:p>
    <w:p>
      <w:pPr>
        <w:pStyle w:val="Compact"/>
        <w:numPr>
          <w:ilvl w:val="0"/>
          <w:numId w:val="1130"/>
        </w:numPr>
      </w:pPr>
    </w:p>
    <w:p>
      <w:pPr>
        <w:pStyle w:val="Compact"/>
        <w:numPr>
          <w:ilvl w:val="1"/>
          <w:numId w:val="1133"/>
        </w:numPr>
      </w:pPr>
      <w:r>
        <w:t xml:space="preserve">Tanto faz — ambas tiram R$ 500</w:t>
      </w:r>
    </w:p>
    <w:p>
      <w:pPr>
        <w:pStyle w:val="BlockText"/>
      </w:pPr>
      <w:r>
        <w:rPr>
          <w:b/>
          <w:bCs/>
        </w:rPr>
        <w:t xml:space="preserve">Depois de votar, discuta com um colega (2 minutos) e revote.</w:t>
      </w:r>
    </w:p>
    <w:p>
      <w:pPr>
        <w:pStyle w:val="BlockText"/>
      </w:pPr>
      <w:r>
        <w:t xml:space="preserve">??? success</w:t>
      </w:r>
      <w:r>
        <w:t xml:space="preserve"> </w:t>
      </w:r>
      <w:r>
        <w:t xml:space="preserve">“Debrief”</w:t>
      </w:r>
      <w:r>
        <w:t xml:space="preserve"> </w:t>
      </w:r>
      <w:r>
        <w:t xml:space="preserve">A resposta é</w:t>
      </w:r>
      <w:r>
        <w:t xml:space="preserve"> </w:t>
      </w:r>
      <w:r>
        <w:rPr>
          <w:b/>
          <w:bCs/>
        </w:rPr>
        <w:t xml:space="preserve">(b)</w:t>
      </w:r>
      <w:r>
        <w:t xml:space="preserve">. A Opção A arrecada R$ 500</w:t>
      </w:r>
      <w:r>
        <w:t xml:space="preserve"> </w:t>
      </w:r>
      <w:r>
        <w:rPr>
          <w:i/>
          <w:iCs/>
        </w:rPr>
        <w:t xml:space="preserve">e</w:t>
      </w:r>
      <w:r>
        <w:t xml:space="preserve"> </w:t>
      </w:r>
      <w:r>
        <w:t xml:space="preserve">distorce a razão de preços, forçando uma substituição artificial contra a gasolina. A Opção B arrecada os mesmos R$ 500 sem mexer nos preços relativos — a família</w:t>
      </w:r>
      <w:r>
        <w:t xml:space="preserve"> </w:t>
      </w:r>
      <w:r>
        <w:t xml:space="preserve">“perde”</w:t>
      </w:r>
      <w:r>
        <w:t xml:space="preserve"> </w:t>
      </w:r>
      <w:r>
        <w:t xml:space="preserve">o mesmo poder de compra, mas pode realocar livremente. Esse é o</w:t>
      </w:r>
      <w:r>
        <w:t xml:space="preserve"> </w:t>
      </w:r>
      <w:r>
        <w:rPr>
          <w:b/>
          <w:bCs/>
        </w:rPr>
        <w:t xml:space="preserve">Princípio do Montante Fixo</w:t>
      </w:r>
      <w:r>
        <w:t xml:space="preserve"> </w:t>
      </w:r>
      <w:r>
        <w:t xml:space="preserve">(Seção 4.5). A alternativa (c) é a armadilha: mesma receita</w:t>
      </w:r>
      <w:r>
        <w:t xml:space="preserve"> </w:t>
      </w:r>
      <w:r>
        <w:rPr>
          <w:i/>
          <w:iCs/>
        </w:rPr>
        <w:t xml:space="preserve">não</w:t>
      </w:r>
      <w:r>
        <w:t xml:space="preserve"> </w:t>
      </w:r>
      <w:r>
        <w:t xml:space="preserve">significa mesmo bem-estar. A Seção 4.5 demonstra formalmente por quê.</w:t>
      </w:r>
    </w:p>
    <w:p>
      <w:pPr>
        <w:pStyle w:val="BlockText"/>
      </w:pPr>
      <w:r>
        <w:rPr>
          <w:b/>
          <w:bCs/>
        </w:rPr>
        <w:t xml:space="preserve">[DICA] Soluções de canto</w:t>
      </w:r>
    </w:p>
    <w:p>
      <w:pPr>
        <w:pStyle w:val="BlockText"/>
      </w:pPr>
      <w:r>
        <w:t xml:space="preserve">Nem todas as soluções são interiores. Para substitutos perfeitos, por exemplo, o consumidor tipicamente consome apenas o bem com maior razão</w:t>
      </w:r>
      <w:r>
        <w:t xml:space="preserve"> </w:t>
      </w:r>
      <m:oMath>
        <m:sSub>
          <m:e>
            <m:r>
              <m:t>a</m:t>
            </m:r>
          </m:e>
          <m:sub>
            <m:r>
              <m:t>i</m:t>
            </m:r>
          </m:sub>
        </m:sSub>
        <m:r>
          <m:rPr>
            <m:sty m:val="p"/>
          </m:rPr>
          <m:t>/</m:t>
        </m:r>
        <m:sSub>
          <m:e>
            <m:r>
              <m:t>p</m:t>
            </m:r>
          </m:e>
          <m:sub>
            <m:r>
              <m:t>i</m:t>
            </m:r>
          </m:sub>
        </m:sSub>
      </m:oMath>
      <w:r>
        <w:t xml:space="preserve">. Soluções de canto ocorrem quando a TMS no ponto</w:t>
      </w:r>
      <w:r>
        <w:t xml:space="preserve"> </w:t>
      </w:r>
      <m:oMath>
        <m:sSub>
          <m:e>
            <m:r>
              <m:t>x</m:t>
            </m:r>
          </m:e>
          <m:sub>
            <m:r>
              <m:t>i</m:t>
            </m:r>
          </m:sub>
        </m:sSub>
        <m:r>
          <m:rPr>
            <m:sty m:val="p"/>
          </m:rPr>
          <m:t>=</m:t>
        </m:r>
        <m:r>
          <m:t>0</m:t>
        </m:r>
      </m:oMath>
      <w:r>
        <w:t xml:space="preserve"> </w:t>
      </w:r>
      <w:r>
        <w:t xml:space="preserve">já é inferior (ou superior) à razão de preços, de modo que a condição de tangência não se verifica em nenhum ponto interior.</w:t>
      </w:r>
    </w:p>
    <w:p>
      <w:pPr>
        <w:pStyle w:val="FirstParagraph"/>
      </w:pPr>
      <w:r>
        <w:t xml:space="preserve">[FIGURA INTERATIVA: /micro-book/graficos/cap04/equilibrio-consumidor.html — versao interativa disponivel online]</w:t>
      </w:r>
    </w:p>
    <w:p>
      <w:pPr>
        <w:pStyle w:val="BodyText"/>
      </w:pPr>
      <w:r>
        <w:rPr>
          <w:b/>
          <w:bCs/>
        </w:rPr>
        <w:t xml:space="preserve">Figura 4.2 — Equilíbrio do Consumidor.</w:t>
      </w:r>
      <w:r>
        <w:t xml:space="preserve"> </w:t>
      </w:r>
      <w:r>
        <w:t xml:space="preserve">Varie os preços, a renda e o parâmetro α para visualizar a tangência entre a curva de indiferença e a reta orçamentária. O ponto ótimo é calculado analiticamente.</w:t>
      </w:r>
    </w:p>
    <w:p>
      <w:r>
        <w:pict>
          <v:rect style="width:0;height:1.5pt" o:hralign="center" o:hrstd="t" o:hr="t"/>
        </w:pict>
      </w:r>
    </w:p>
    <w:bookmarkEnd w:id="192"/>
    <w:bookmarkStart w:id="194" w:name="X25457f57ff644fb2cc2b7305489714abd912687"/>
    <w:p>
      <w:pPr>
        <w:pStyle w:val="Heading3"/>
      </w:pPr>
      <w:r>
        <w:t xml:space="preserve">4.3 Do Desenho à Equação: O Lagrangeano com</w:t>
      </w:r>
      <w:r>
        <w:t xml:space="preserve"> </w:t>
      </w:r>
      <w:r>
        <w:rPr>
          <w:i/>
          <w:iCs/>
        </w:rPr>
        <w:t xml:space="preserve">n</w:t>
      </w:r>
      <w:r>
        <w:t xml:space="preserve"> </w:t>
      </w:r>
      <w:r>
        <w:t xml:space="preserve">Bens</w:t>
      </w:r>
    </w:p>
    <w:p>
      <w:pPr>
        <w:pStyle w:val="BlockText"/>
      </w:pPr>
      <w:r>
        <w:rPr>
          <w:b/>
          <w:bCs/>
        </w:rPr>
        <w:t xml:space="preserve">[DICA] Ferramentas do Cap. 2</w:t>
      </w:r>
    </w:p>
    <w:p>
      <w:pPr>
        <w:pStyle w:val="BlockText"/>
      </w:pPr>
      <w:r>
        <w:t xml:space="preserve">Esta seção usa o método de Lagrange e preço-sombra (Cap. 2). Se precisar relembrar, volte lá — leva 10 minutos.</w:t>
      </w:r>
    </w:p>
    <w:p>
      <w:pPr>
        <w:pStyle w:val="FirstParagraph"/>
      </w:pPr>
      <w:r>
        <w:t xml:space="preserve">A intuição gráfica da Seção 4.2 e a solução algébrica que segue são</w:t>
      </w:r>
      <w:r>
        <w:t xml:space="preserve"> </w:t>
      </w:r>
      <w:r>
        <w:rPr>
          <w:i/>
          <w:iCs/>
        </w:rPr>
        <w:t xml:space="preserve">duas formas de dizer a mesma coisa</w:t>
      </w:r>
      <w:r>
        <w:t xml:space="preserve">: tangência = TMS igual à razão de preços = condição de Lagrange. A geometria dá a intuição; a álgebra dá a precisão. Nenhuma substitui a outra.</w:t>
      </w:r>
    </w:p>
    <w:p>
      <w:pPr>
        <w:pStyle w:val="BodyText"/>
      </w:pPr>
      <w:r>
        <w:t xml:space="preserve">A análise gráfica, contudo, é limitada a dois bens. No mundo real, consumidores escolhem entre dezenas ou centenas de categorias de bens e serviços — a POF 2017-2018 do IBGE classifica o consumo das famílias brasileiras em mais de 1.500 itens. Como generalizar a condição de tangência para esse cenário multidimensional? Para isso, precisamos do</w:t>
      </w:r>
      <w:r>
        <w:t xml:space="preserve"> </w:t>
      </w:r>
      <w:r>
        <w:rPr>
          <w:b/>
          <w:bCs/>
        </w:rPr>
        <w:t xml:space="preserve">método de Lagrange</w:t>
      </w:r>
      <w:r>
        <w:t xml:space="preserve">, que traduz a condição geométrica de tangência em um sistema de equações algébricas resolvível para qualquer número de bens. Para uma revisão detalhada do método, incluindo o passo a passo completo e um exercício resolvido com a função CES, veja a Seção 2.5 (Cap. 2).</w:t>
      </w:r>
    </w:p>
    <w:p>
      <w:pPr>
        <w:pStyle w:val="BodyText"/>
      </w:pPr>
      <w:r>
        <w:t xml:space="preserve">Para</w:t>
      </w:r>
      <w:r>
        <w:t xml:space="preserve"> </w:t>
      </w:r>
      <m:oMath>
        <m:r>
          <m:t>n</m:t>
        </m:r>
      </m:oMath>
      <w:r>
        <w:t xml:space="preserve"> </w:t>
      </w:r>
      <w:r>
        <w:t xml:space="preserve">bens, o problema do consumidor é:</w:t>
      </w:r>
    </w:p>
    <w:p>
      <w:pPr>
        <w:pStyle w:val="BodyText"/>
      </w:pPr>
      <m:oMathPara>
        <m:oMathParaPr>
          <m:jc m:val="center"/>
        </m:oMathParaPr>
        <m:oMath>
          <m:limLow>
            <m:e>
              <m:r>
                <m:rPr>
                  <m:sty m:val="p"/>
                </m:rPr>
                <m:t>max</m:t>
              </m:r>
            </m:e>
            <m:lim>
              <m:r>
                <m:rPr>
                  <m:sty m:val="bi"/>
                </m:rPr>
                <m:t>x</m:t>
              </m:r>
              <m:r>
                <m:rPr>
                  <m:sty m:val="p"/>
                </m:rPr>
                <m:t>∈</m:t>
              </m:r>
              <m:sSubSup>
                <m:e>
                  <m:r>
                    <m:rPr>
                      <m:scr m:val="double-struck"/>
                      <m:sty m:val="p"/>
                    </m:rPr>
                    <m:t>R</m:t>
                  </m:r>
                </m:e>
                <m:sub>
                  <m:r>
                    <m:rPr>
                      <m:sty m:val="p"/>
                    </m:rPr>
                    <m:t>+</m:t>
                  </m:r>
                </m:sub>
                <m:sup>
                  <m:r>
                    <m:t>n</m:t>
                  </m:r>
                </m:sup>
              </m:sSubSup>
            </m:lim>
          </m:limLow>
          <m:r>
            <m:t> </m:t>
          </m:r>
          <m:r>
            <m:t>u</m:t>
          </m:r>
          <m:r>
            <m:rPr>
              <m:sty m:val="p"/>
            </m:rPr>
            <m:t>(</m:t>
          </m:r>
          <m:r>
            <m:rPr>
              <m:sty m:val="bi"/>
            </m:rPr>
            <m:t>x</m:t>
          </m:r>
          <m:r>
            <m:rPr>
              <m:sty m:val="p"/>
            </m:rPr>
            <m:t>)</m:t>
          </m:r>
          <m:r>
            <m:t> </m:t>
          </m:r>
          <m:r>
            <m:rPr>
              <m:nor/>
              <m:sty m:val="p"/>
            </m:rPr>
            <m:t>sujeito a</m:t>
          </m:r>
          <m:r>
            <m:t> </m:t>
          </m:r>
          <m:r>
            <m:rPr>
              <m:sty m:val="bi"/>
            </m:rPr>
            <m:t>p</m:t>
          </m:r>
          <m:r>
            <m:rPr>
              <m:sty m:val="p"/>
            </m:rPr>
            <m:t>⋅</m:t>
          </m:r>
          <m:r>
            <m:rPr>
              <m:sty m:val="bi"/>
            </m:rPr>
            <m:t>x</m:t>
          </m:r>
          <m:r>
            <m:rPr>
              <m:sty m:val="p"/>
            </m:rPr>
            <m:t>≤</m:t>
          </m:r>
          <m:r>
            <m:t>I</m:t>
          </m:r>
          <m:r>
            <m:rPr>
              <m:sty m:val="p"/>
            </m:rPr>
            <m:t>.</m:t>
          </m:r>
        </m:oMath>
      </m:oMathPara>
    </w:p>
    <w:p>
      <w:pPr>
        <w:pStyle w:val="FirstParagraph"/>
      </w:pPr>
      <w:r>
        <w:t xml:space="preserve">Montamos o</w:t>
      </w:r>
      <w:r>
        <w:t xml:space="preserve"> </w:t>
      </w:r>
      <w:r>
        <w:rPr>
          <w:b/>
          <w:bCs/>
        </w:rPr>
        <w:t xml:space="preserve">lagrangeano</w:t>
      </w:r>
      <w:r>
        <w:t xml:space="preserve">:</w:t>
      </w:r>
    </w:p>
    <w:p>
      <w:pPr>
        <w:pStyle w:val="BodyText"/>
      </w:pPr>
      <m:oMathPara>
        <m:oMathParaPr>
          <m:jc m:val="center"/>
        </m:oMathParaPr>
        <m:oMath>
          <m:r>
            <m:rPr>
              <m:scr m:val="script"/>
              <m:sty m:val="p"/>
            </m:rPr>
            <m:t>L</m:t>
          </m:r>
          <m:r>
            <m:rPr>
              <m:sty m:val="p"/>
            </m:rPr>
            <m:t>(</m:t>
          </m:r>
          <m:r>
            <m:rPr>
              <m:sty m:val="bi"/>
            </m:rPr>
            <m:t>x</m:t>
          </m:r>
          <m:r>
            <m:rPr>
              <m:sty m:val="p"/>
            </m:rPr>
            <m:t>,</m:t>
          </m:r>
          <m:r>
            <m:t>λ</m:t>
          </m:r>
          <m:r>
            <m:rPr>
              <m:sty m:val="p"/>
            </m:rPr>
            <m:t>)</m:t>
          </m:r>
          <m:r>
            <m:rPr>
              <m:sty m:val="p"/>
            </m:rPr>
            <m:t>=</m:t>
          </m:r>
          <m:r>
            <m:t>u</m:t>
          </m:r>
          <m:r>
            <m:rPr>
              <m:sty m:val="p"/>
            </m:rPr>
            <m:t>(</m:t>
          </m:r>
          <m:r>
            <m:rPr>
              <m:sty m:val="bi"/>
            </m:rPr>
            <m:t>x</m:t>
          </m:r>
          <m:r>
            <m:rPr>
              <m:sty m:val="p"/>
            </m:rPr>
            <m:t>)</m:t>
          </m:r>
          <m:r>
            <m:rPr>
              <m:sty m:val="p"/>
            </m:rPr>
            <m:t>+</m:t>
          </m:r>
          <m:r>
            <m:t>λ</m:t>
          </m:r>
          <m:d>
            <m:dPr>
              <m:begChr m:val="("/>
              <m:sepChr m:val=""/>
              <m:endChr m:val=")"/>
              <m:grow/>
            </m:dPr>
            <m:e>
              <m:r>
                <m:t>I</m:t>
              </m:r>
              <m:r>
                <m:rPr>
                  <m:sty m:val="p"/>
                </m:rPr>
                <m:t>−</m:t>
              </m:r>
              <m:nary>
                <m:naryPr>
                  <m:chr m:val="∑"/>
                  <m:limLoc m:val="undOvr"/>
                  <m:subHide m:val="off"/>
                  <m:supHide m:val="off"/>
                </m:naryPr>
                <m:sub>
                  <m:r>
                    <m:t>i</m:t>
                  </m:r>
                  <m:r>
                    <m:rPr>
                      <m:sty m:val="p"/>
                    </m:rPr>
                    <m:t>=</m:t>
                  </m:r>
                  <m:r>
                    <m:t>1</m:t>
                  </m:r>
                </m:sub>
                <m:sup>
                  <m:r>
                    <m:t>n</m:t>
                  </m:r>
                </m:sup>
                <m:e>
                  <m:sSub>
                    <m:e>
                      <m:r>
                        <m:t>p</m:t>
                      </m:r>
                    </m:e>
                    <m:sub>
                      <m:r>
                        <m:t>i</m:t>
                      </m:r>
                    </m:sub>
                  </m:sSub>
                </m:e>
              </m:nary>
              <m:sSub>
                <m:e>
                  <m:r>
                    <m:t>x</m:t>
                  </m:r>
                </m:e>
                <m:sub>
                  <m:r>
                    <m:t>i</m:t>
                  </m:r>
                </m:sub>
              </m:sSub>
            </m:e>
          </m:d>
          <m:r>
            <m:rPr>
              <m:sty m:val="p"/>
            </m:rPr>
            <m:t>.</m:t>
          </m:r>
        </m:oMath>
      </m:oMathPara>
    </w:p>
    <w:p>
      <w:pPr>
        <w:pStyle w:val="FirstParagraph"/>
      </w:pPr>
      <w:r>
        <w:t xml:space="preserve">As</w:t>
      </w:r>
      <w:r>
        <w:t xml:space="preserve"> </w:t>
      </w:r>
      <w:r>
        <w:rPr>
          <w:b/>
          <w:bCs/>
        </w:rPr>
        <w:t xml:space="preserve">condições de primeira ordem</w:t>
      </w:r>
      <w:r>
        <w:t xml:space="preserve"> </w:t>
      </w:r>
      <w:r>
        <w:t xml:space="preserve">(CPOs) para uma solução interior são:</w:t>
      </w:r>
    </w:p>
    <w:p>
      <w:pPr>
        <w:pStyle w:val="BodyText"/>
      </w:pPr>
      <m:oMathPara>
        <m:oMathParaPr>
          <m:jc m:val="center"/>
        </m:oMathParaPr>
        <m:oMath>
          <m:f>
            <m:fPr>
              <m:type m:val="bar"/>
            </m:fPr>
            <m:num>
              <m:r>
                <m:rPr>
                  <m:sty m:val="p"/>
                </m:rPr>
                <m:t>∂</m:t>
              </m:r>
              <m:r>
                <m:rPr>
                  <m:scr m:val="script"/>
                  <m:sty m:val="p"/>
                </m:rPr>
                <m:t>L</m:t>
              </m:r>
            </m:num>
            <m:den>
              <m:r>
                <m:rPr>
                  <m:sty m:val="p"/>
                </m:rPr>
                <m:t>∂</m:t>
              </m:r>
              <m:sSub>
                <m:e>
                  <m:r>
                    <m:t>x</m:t>
                  </m:r>
                </m:e>
                <m:sub>
                  <m:r>
                    <m:t>i</m:t>
                  </m:r>
                </m:sub>
              </m:sSub>
            </m:den>
          </m:f>
          <m:r>
            <m:rPr>
              <m:sty m:val="p"/>
            </m:rPr>
            <m:t>=</m:t>
          </m:r>
          <m:f>
            <m:fPr>
              <m:type m:val="bar"/>
            </m:fPr>
            <m:num>
              <m:r>
                <m:rPr>
                  <m:sty m:val="p"/>
                </m:rPr>
                <m:t>∂</m:t>
              </m:r>
              <m:r>
                <m:t>u</m:t>
              </m:r>
            </m:num>
            <m:den>
              <m:r>
                <m:rPr>
                  <m:sty m:val="p"/>
                </m:rPr>
                <m:t>∂</m:t>
              </m:r>
              <m:sSub>
                <m:e>
                  <m:r>
                    <m:t>x</m:t>
                  </m:r>
                </m:e>
                <m:sub>
                  <m:r>
                    <m:t>i</m:t>
                  </m:r>
                </m:sub>
              </m:sSub>
            </m:den>
          </m:f>
          <m:r>
            <m:rPr>
              <m:sty m:val="p"/>
            </m:rPr>
            <m:t>−</m:t>
          </m:r>
          <m:r>
            <m:t>λ</m:t>
          </m:r>
          <m:sSub>
            <m:e>
              <m:r>
                <m:t>p</m:t>
              </m:r>
            </m:e>
            <m:sub>
              <m:r>
                <m:t>i</m:t>
              </m:r>
            </m:sub>
          </m:sSub>
          <m:r>
            <m:rPr>
              <m:sty m:val="p"/>
            </m:rPr>
            <m:t>=</m:t>
          </m:r>
          <m:r>
            <m:t>0</m:t>
          </m:r>
          <m:r>
            <m:rPr>
              <m:sty m:val="p"/>
            </m:rPr>
            <m:t>,</m:t>
          </m:r>
          <m:r>
            <m:t> </m:t>
          </m:r>
          <m:r>
            <m:t>i</m:t>
          </m:r>
          <m:r>
            <m:rPr>
              <m:sty m:val="p"/>
            </m:rPr>
            <m:t>=</m:t>
          </m:r>
          <m:r>
            <m:t>1</m:t>
          </m:r>
          <m:r>
            <m:rPr>
              <m:sty m:val="p"/>
            </m:rPr>
            <m:t>,</m:t>
          </m:r>
          <m:r>
            <m:t>2</m:t>
          </m:r>
          <m:r>
            <m:rPr>
              <m:sty m:val="p"/>
            </m:rPr>
            <m:t>,</m:t>
          </m:r>
          <m:r>
            <m:rPr>
              <m:sty m:val="p"/>
            </m:rPr>
            <m:t>…</m:t>
          </m:r>
          <m:r>
            <m:rPr>
              <m:sty m:val="p"/>
            </m:rPr>
            <m:t>,</m:t>
          </m:r>
          <m:r>
            <m:t>n</m:t>
          </m:r>
          <m:r>
            <m:rPr>
              <m:sty m:val="p"/>
            </m:rPr>
            <m:t>,</m:t>
          </m:r>
        </m:oMath>
      </m:oMathPara>
    </w:p>
    <w:p>
      <w:pPr>
        <w:pStyle w:val="FirstParagraph"/>
      </w:pPr>
      <m:oMathPara>
        <m:oMathParaPr>
          <m:jc m:val="center"/>
        </m:oMathParaPr>
        <m:oMath>
          <m:f>
            <m:fPr>
              <m:type m:val="bar"/>
            </m:fPr>
            <m:num>
              <m:r>
                <m:rPr>
                  <m:sty m:val="p"/>
                </m:rPr>
                <m:t>∂</m:t>
              </m:r>
              <m:r>
                <m:rPr>
                  <m:scr m:val="script"/>
                  <m:sty m:val="p"/>
                </m:rPr>
                <m:t>L</m:t>
              </m:r>
            </m:num>
            <m:den>
              <m:r>
                <m:rPr>
                  <m:sty m:val="p"/>
                </m:rPr>
                <m:t>∂</m:t>
              </m:r>
              <m:r>
                <m:t>λ</m:t>
              </m:r>
            </m:den>
          </m:f>
          <m:r>
            <m:rPr>
              <m:sty m:val="p"/>
            </m:rPr>
            <m:t>=</m:t>
          </m:r>
          <m:r>
            <m:t>I</m:t>
          </m:r>
          <m:r>
            <m:rPr>
              <m:sty m:val="p"/>
            </m:rPr>
            <m:t>−</m:t>
          </m:r>
          <m:nary>
            <m:naryPr>
              <m:chr m:val="∑"/>
              <m:limLoc m:val="undOvr"/>
              <m:subHide m:val="off"/>
              <m:supHide m:val="off"/>
            </m:naryPr>
            <m:sub>
              <m:r>
                <m:t>i</m:t>
              </m:r>
              <m:r>
                <m:rPr>
                  <m:sty m:val="p"/>
                </m:rPr>
                <m:t>=</m:t>
              </m:r>
              <m:r>
                <m:t>1</m:t>
              </m:r>
            </m:sub>
            <m:sup>
              <m:r>
                <m:t>n</m:t>
              </m:r>
            </m:sup>
            <m:e>
              <m:sSub>
                <m:e>
                  <m:r>
                    <m:t>p</m:t>
                  </m:r>
                </m:e>
                <m:sub>
                  <m:r>
                    <m:t>i</m:t>
                  </m:r>
                </m:sub>
              </m:sSub>
            </m:e>
          </m:nary>
          <m:sSub>
            <m:e>
              <m:r>
                <m:t>x</m:t>
              </m:r>
            </m:e>
            <m:sub>
              <m:r>
                <m:t>i</m:t>
              </m:r>
            </m:sub>
          </m:sSub>
          <m:r>
            <m:rPr>
              <m:sty m:val="p"/>
            </m:rPr>
            <m:t>=</m:t>
          </m:r>
          <m:r>
            <m:t>0</m:t>
          </m:r>
          <m:r>
            <m:rPr>
              <m:sty m:val="p"/>
            </m:rPr>
            <m:t>.</m:t>
          </m:r>
        </m:oMath>
      </m:oMathPara>
    </w:p>
    <w:p>
      <w:pPr>
        <w:pStyle w:val="FirstParagraph"/>
      </w:pPr>
      <w:r>
        <w:t xml:space="preserve">Das CPOs, obtemos:</w:t>
      </w:r>
    </w:p>
    <w:p>
      <w:pPr>
        <w:pStyle w:val="BodyText"/>
      </w:pPr>
      <m:oMathPara>
        <m:oMathParaPr>
          <m:jc m:val="center"/>
        </m:oMathParaPr>
        <m:oMath>
          <m:f>
            <m:fPr>
              <m:type m:val="bar"/>
            </m:fPr>
            <m:num>
              <m:sSub>
                <m:e>
                  <m:r>
                    <m:rPr>
                      <m:nor/>
                      <m:sty m:val="p"/>
                    </m:rPr>
                    <m:t>UMg</m:t>
                  </m:r>
                </m:e>
                <m:sub>
                  <m:r>
                    <m:t>i</m:t>
                  </m:r>
                </m:sub>
              </m:sSub>
            </m:num>
            <m:den>
              <m:sSub>
                <m:e>
                  <m:r>
                    <m:t>p</m:t>
                  </m:r>
                </m:e>
                <m:sub>
                  <m:r>
                    <m:t>i</m:t>
                  </m:r>
                </m:sub>
              </m:sSub>
            </m:den>
          </m:f>
          <m:r>
            <m:rPr>
              <m:sty m:val="p"/>
            </m:rPr>
            <m:t>=</m:t>
          </m:r>
          <m:r>
            <m:t>λ</m:t>
          </m:r>
          <m:r>
            <m:rPr>
              <m:sty m:val="p"/>
            </m:rPr>
            <m:t>,</m:t>
          </m:r>
          <m:r>
            <m:t> </m:t>
          </m:r>
          <m:r>
            <m:rPr>
              <m:sty m:val="p"/>
            </m:rPr>
            <m:t>∀</m:t>
          </m:r>
          <m:r>
            <m:t> </m:t>
          </m:r>
          <m:r>
            <m:t>i</m:t>
          </m:r>
          <m:r>
            <m:rPr>
              <m:sty m:val="p"/>
            </m:rPr>
            <m:t>.</m:t>
          </m:r>
        </m:oMath>
      </m:oMathPara>
    </w:p>
    <w:p>
      <w:pPr>
        <w:pStyle w:val="FirstParagraph"/>
      </w:pPr>
      <w:r>
        <w:t xml:space="preserve">Este resultado merece atenção: a equação Eq. (eq:4.3.8) generaliza para</w:t>
      </w:r>
      <w:r>
        <w:t xml:space="preserve"> </w:t>
      </w:r>
      <m:oMath>
        <m:r>
          <m:t>n</m:t>
        </m:r>
      </m:oMath>
      <w:r>
        <w:t xml:space="preserve"> </w:t>
      </w:r>
      <w:r>
        <w:t xml:space="preserve">bens a condição de igualdade da utilidade marginal por real gasto que derivamos graficamente para dois bens na equação Eq. (eq:4.2.4). Em palavras, no ótimo, o último real gasto em</w:t>
      </w:r>
      <w:r>
        <w:t xml:space="preserve"> </w:t>
      </w:r>
      <w:r>
        <w:rPr>
          <w:i/>
          <w:iCs/>
        </w:rPr>
        <w:t xml:space="preserve">qualquer</w:t>
      </w:r>
      <w:r>
        <w:t xml:space="preserve"> </w:t>
      </w:r>
      <w:r>
        <w:t xml:space="preserve">bem produz exatamente o mesmo acréscimo de utilidade — e esse acréscimo comum é precisamente</w:t>
      </w:r>
      <w:r>
        <w:t xml:space="preserve"> </w:t>
      </w:r>
      <m:oMath>
        <m:r>
          <m:t>λ</m:t>
        </m:r>
      </m:oMath>
      <w:r>
        <w:t xml:space="preserve">.</w:t>
      </w:r>
    </w:p>
    <w:p>
      <w:pPr>
        <w:pStyle w:val="BodyText"/>
      </w:pPr>
      <w:r>
        <w:t xml:space="preserve">O</w:t>
      </w:r>
      <w:r>
        <w:t xml:space="preserve"> </w:t>
      </w:r>
      <w:r>
        <w:rPr>
          <w:b/>
          <w:bCs/>
        </w:rPr>
        <w:t xml:space="preserve">multiplicador de Lagrange</w:t>
      </w:r>
      <w:r>
        <w:t xml:space="preserve"> </w:t>
      </w:r>
      <m:oMath>
        <m:r>
          <m:t>λ</m:t>
        </m:r>
      </m:oMath>
      <w:r>
        <w:t xml:space="preserve"> </w:t>
      </w:r>
      <w:r>
        <w:t xml:space="preserve">tem, portanto, interpretação econômica precisa: é a</w:t>
      </w:r>
      <w:r>
        <w:t xml:space="preserve"> </w:t>
      </w:r>
      <w:r>
        <w:rPr>
          <w:b/>
          <w:bCs/>
        </w:rPr>
        <w:t xml:space="preserve">utilidade marginal da renda</w:t>
      </w:r>
      <w:r>
        <w:t xml:space="preserve">, ou seja, o aumento na utilidade máxima quando a renda aumenta em uma unidade marginal. Formalmente, pelo teorema do envelope (Seção 2.6),</w:t>
      </w:r>
      <w:r>
        <w:t xml:space="preserve"> </w:t>
      </w:r>
      <m:oMath>
        <m:sSup>
          <m:e>
            <m:r>
              <m:t>λ</m:t>
            </m:r>
          </m:e>
          <m:sup>
            <m:r>
              <m:rPr>
                <m:sty m:val="p"/>
              </m:rPr>
              <m:t>*</m:t>
            </m:r>
          </m:sup>
        </m:sSup>
        <m:r>
          <m:rPr>
            <m:sty m:val="p"/>
          </m:rPr>
          <m:t>=</m:t>
        </m:r>
        <m:r>
          <m:rPr>
            <m:sty m:val="p"/>
          </m:rPr>
          <m:t>∂</m:t>
        </m:r>
        <m:r>
          <m:t>V</m:t>
        </m:r>
        <m:r>
          <m:rPr>
            <m:sty m:val="p"/>
          </m:rPr>
          <m:t>/</m:t>
        </m:r>
        <m:r>
          <m:rPr>
            <m:sty m:val="p"/>
          </m:rPr>
          <m:t>∂</m:t>
        </m:r>
        <m:r>
          <m:t>I</m:t>
        </m:r>
      </m:oMath>
      <w:r>
        <w:t xml:space="preserve">, onde</w:t>
      </w:r>
      <w:r>
        <w:t xml:space="preserve"> </w:t>
      </w:r>
      <m:oMath>
        <m:r>
          <m:t>V</m:t>
        </m:r>
      </m:oMath>
      <w:r>
        <w:t xml:space="preserve"> </w:t>
      </w:r>
      <w:r>
        <w:t xml:space="preserve">é a função de utilidade indireta que definiremos na Seção 4.4. Trata-se de uma das grandezas mais importantes da teoria do consumidor, pois conecta variações na renda a variações no bem-estar — informação essencial para avaliar o impacto de políticas de transferência de renda, como o Bolsa Família, sobre o bem-estar das famílias beneficiárias. Um valor elevado de</w:t>
      </w:r>
      <w:r>
        <w:t xml:space="preserve"> </w:t>
      </w:r>
      <m:oMath>
        <m:r>
          <m:t>λ</m:t>
        </m:r>
      </m:oMath>
      <w:r>
        <w:t xml:space="preserve"> </w:t>
      </w:r>
      <w:r>
        <w:t xml:space="preserve">indica que a renda adicional produz ganhos substanciais de utilidade — situação típica de consumidores de baixa renda, para quem cada real conta muito. Um valor baixo de</w:t>
      </w:r>
      <w:r>
        <w:t xml:space="preserve"> </w:t>
      </w:r>
      <m:oMath>
        <m:r>
          <m:t>λ</m:t>
        </m:r>
      </m:oMath>
      <w:r>
        <w:t xml:space="preserve"> </w:t>
      </w:r>
      <w:r>
        <w:t xml:space="preserve">corresponde a consumidores com renda folgada, nos quais a utilidade marginal da renda já se reduziu.</w:t>
      </w:r>
    </w:p>
    <w:p>
      <w:pPr>
        <w:pStyle w:val="BlockText"/>
      </w:pPr>
      <w:r>
        <w:rPr>
          <w:b/>
          <w:bCs/>
        </w:rPr>
        <w:t xml:space="preserve">[NOTA] Condições de segunda ordem</w:t>
      </w:r>
    </w:p>
    <w:p>
      <w:pPr>
        <w:pStyle w:val="BlockText"/>
      </w:pPr>
      <w:r>
        <w:t xml:space="preserve">Para garantir que o ponto encontrado é um máximo, exige-se que a matriz hessiana orlada seja definida negativa sob a restrição. Sob preferências estritamente quase-côncavas (curvas de indiferença estritamente convexas), as condições de segunda ordem são automaticamente satisfeitas.</w:t>
      </w:r>
    </w:p>
    <w:p>
      <w:pPr>
        <w:pStyle w:val="BlockText"/>
      </w:pPr>
      <w:r>
        <w:rPr>
          <w:b/>
          <w:bCs/>
        </w:rPr>
        <w:t xml:space="preserve">[INTUICAO ECONOMICA] Intuição Econômica</w:t>
      </w:r>
    </w:p>
    <w:p>
      <w:pPr>
        <w:pStyle w:val="BlockText"/>
      </w:pPr>
      <w:r>
        <w:rPr>
          <w:b/>
          <w:bCs/>
        </w:rPr>
        <w:t xml:space="preserve">Em uma frase:</w:t>
      </w:r>
      <w:r>
        <w:t xml:space="preserve"> </w:t>
      </w:r>
      <w:r>
        <w:t xml:space="preserve">O multiplicador</w:t>
      </w:r>
      <w:r>
        <w:t xml:space="preserve"> </w:t>
      </w:r>
      <m:oMath>
        <m:r>
          <m:t>λ</m:t>
        </m:r>
      </m:oMath>
      <w:r>
        <w:t xml:space="preserve"> </w:t>
      </w:r>
      <w:r>
        <w:t xml:space="preserve">é o</w:t>
      </w:r>
      <w:r>
        <w:t xml:space="preserve"> </w:t>
      </w:r>
      <w:r>
        <w:t xml:space="preserve">“preço sombra”</w:t>
      </w:r>
      <w:r>
        <w:t xml:space="preserve"> </w:t>
      </w:r>
      <w:r>
        <w:t xml:space="preserve">da renda — ele mede quanto vale, em termos de utilidade, ter um real a mais.</w:t>
      </w:r>
    </w:p>
    <w:p>
      <w:pPr>
        <w:pStyle w:val="BlockText"/>
      </w:pPr>
      <w:r>
        <w:rPr>
          <w:b/>
          <w:bCs/>
        </w:rPr>
        <w:t xml:space="preserve">Pense assim:</w:t>
      </w:r>
      <w:r>
        <w:t xml:space="preserve"> </w:t>
      </w:r>
      <w:r>
        <w:t xml:space="preserve">Se</w:t>
      </w:r>
      <w:r>
        <w:t xml:space="preserve"> </w:t>
      </w:r>
      <m:oMath>
        <m:r>
          <m:t>λ</m:t>
        </m:r>
        <m:r>
          <m:rPr>
            <m:sty m:val="p"/>
          </m:rPr>
          <m:t>=</m:t>
        </m:r>
        <m:r>
          <m:t>3</m:t>
        </m:r>
      </m:oMath>
      <w:r>
        <w:t xml:space="preserve">, isso significa que a cada R$ 1 adicional de renda, o consumidor ganha 3 unidades de utilidade. Para uma família na linha da pobreza,</w:t>
      </w:r>
      <w:r>
        <w:t xml:space="preserve"> </w:t>
      </w:r>
      <m:oMath>
        <m:r>
          <m:t>λ</m:t>
        </m:r>
      </m:oMath>
      <w:r>
        <w:t xml:space="preserve"> </w:t>
      </w:r>
      <w:r>
        <w:t xml:space="preserve">é alto: cada real tem muito valor. Para um consumidor de alta renda já satisfeito com seus padrões de consumo,</w:t>
      </w:r>
      <w:r>
        <w:t xml:space="preserve"> </w:t>
      </w:r>
      <m:oMath>
        <m:r>
          <m:t>λ</m:t>
        </m:r>
      </m:oMath>
      <w:r>
        <w:t xml:space="preserve"> </w:t>
      </w:r>
      <w:r>
        <w:t xml:space="preserve">é baixo. Essa assimetria está por trás da lógica das transferências progressivas de renda — o mesmo real redistribuído gera mais utilidade agregada quando vai para quem tem</w:t>
      </w:r>
      <w:r>
        <w:t xml:space="preserve"> </w:t>
      </w:r>
      <m:oMath>
        <m:r>
          <m:t>λ</m:t>
        </m:r>
      </m:oMath>
      <w:r>
        <w:t xml:space="preserve"> </w:t>
      </w:r>
      <w:r>
        <w:t xml:space="preserve">alto.</w:t>
      </w:r>
    </w:p>
    <w:p>
      <w:pPr>
        <w:pStyle w:val="BlockText"/>
      </w:pPr>
      <w:r>
        <w:rPr>
          <w:b/>
          <w:bCs/>
        </w:rPr>
        <w:t xml:space="preserve">Por que isso importa:</w:t>
      </w:r>
      <w:r>
        <w:t xml:space="preserve"> </w:t>
      </w:r>
      <m:oMath>
        <m:r>
          <m:t>λ</m:t>
        </m:r>
      </m:oMath>
      <w:r>
        <w:t xml:space="preserve"> </w:t>
      </w:r>
      <w:r>
        <w:t xml:space="preserve">é o elo entre renda e bem-estar. Nas Seções 4.4 e 4.8, veremos que</w:t>
      </w:r>
      <w:r>
        <w:t xml:space="preserve"> </w:t>
      </w:r>
      <m:oMath>
        <m:r>
          <m:t>λ</m:t>
        </m:r>
      </m:oMath>
      <w:r>
        <w:t xml:space="preserve"> </w:t>
      </w:r>
      <w:r>
        <w:t xml:space="preserve">reaparece na Identidade de Roy e conecta as funções de utilidade indireta e dispêndio.</w:t>
      </w:r>
    </w:p>
    <w:bookmarkStart w:id="193" w:name="demanda-marshalliana"/>
    <w:p>
      <w:pPr>
        <w:pStyle w:val="Heading4"/>
      </w:pPr>
      <w:r>
        <w:t xml:space="preserve">4.3.1 Demanda Marshalliana</w:t>
      </w:r>
    </w:p>
    <w:p>
      <w:pPr>
        <w:pStyle w:val="FirstParagraph"/>
      </w:pPr>
      <w:r>
        <w:t xml:space="preserve">Resolvido o problema de otimização, as quantidades ótimas de cada bem ficam expressas como funções dos preços e da renda. Essas funções — que encapsulam toda a informação sobre o comportamento do consumidor diante de variações em preços e renda — são as</w:t>
      </w:r>
      <w:r>
        <w:t xml:space="preserve"> </w:t>
      </w:r>
      <w:r>
        <w:rPr>
          <w:b/>
          <w:bCs/>
        </w:rPr>
        <w:t xml:space="preserve">funções de demanda marshalliana</w:t>
      </w:r>
      <w:r>
        <w:t xml:space="preserve"> </w:t>
      </w:r>
      <w:r>
        <w:t xml:space="preserve">(ou walrasiana), batizadas em homenagem ao economista britânico Alfred Marshall (1842–1924), que sistematizou a análise da demanda em sua obra</w:t>
      </w:r>
      <w:r>
        <w:t xml:space="preserve"> </w:t>
      </w:r>
      <w:r>
        <w:rPr>
          <w:i/>
          <w:iCs/>
        </w:rPr>
        <w:t xml:space="preserve">Principles of Economics</w:t>
      </w:r>
      <w:r>
        <w:t xml:space="preserve"> </w:t>
      </w:r>
      <w:r>
        <w:t xml:space="preserve">(1890). Marshall foi o primeiro a apresentar a curva de demanda como relação entre preço e quantidade, estabelecendo o vocabulário analítico que usamos até hoje:</w:t>
      </w:r>
    </w:p>
    <w:p>
      <w:pPr>
        <w:pStyle w:val="BodyText"/>
      </w:pPr>
      <m:oMathPara>
        <m:oMathParaPr>
          <m:jc m:val="center"/>
        </m:oMathParaPr>
        <m:oMath>
          <m:sSubSup>
            <m:e>
              <m:r>
                <m:t>x</m:t>
              </m:r>
            </m:e>
            <m:sub>
              <m:r>
                <m:t>i</m:t>
              </m:r>
            </m:sub>
            <m:sup>
              <m:r>
                <m:rPr>
                  <m:sty m:val="p"/>
                </m:rPr>
                <m:t>*</m:t>
              </m:r>
            </m:sup>
          </m:sSubSup>
          <m:r>
            <m:rPr>
              <m:sty m:val="p"/>
            </m:rPr>
            <m:t>=</m:t>
          </m:r>
          <m:sSub>
            <m:e>
              <m:r>
                <m:t>x</m:t>
              </m:r>
            </m:e>
            <m:sub>
              <m:r>
                <m:t>i</m:t>
              </m:r>
            </m:sub>
          </m:sSub>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r>
            <m:rPr>
              <m:sty m:val="p"/>
            </m:rPr>
            <m:t>,</m:t>
          </m:r>
          <m:r>
            <m:t>I</m:t>
          </m:r>
          <m:r>
            <m:rPr>
              <m:sty m:val="p"/>
            </m:rPr>
            <m:t>)</m:t>
          </m:r>
          <m:r>
            <m:rPr>
              <m:sty m:val="p"/>
            </m:rPr>
            <m:t>,</m:t>
          </m:r>
          <m:r>
            <m:t> </m:t>
          </m:r>
          <m:r>
            <m:t>i</m:t>
          </m:r>
          <m:r>
            <m:rPr>
              <m:sty m:val="p"/>
            </m:rPr>
            <m:t>=</m:t>
          </m:r>
          <m:r>
            <m:t>1</m:t>
          </m:r>
          <m:r>
            <m:rPr>
              <m:sty m:val="p"/>
            </m:rPr>
            <m:t>,</m:t>
          </m:r>
          <m:r>
            <m:rPr>
              <m:sty m:val="p"/>
            </m:rPr>
            <m:t>…</m:t>
          </m:r>
          <m:r>
            <m:rPr>
              <m:sty m:val="p"/>
            </m:rPr>
            <m:t>,</m:t>
          </m:r>
          <m:r>
            <m:t>n</m:t>
          </m:r>
          <m:r>
            <m:rPr>
              <m:sty m:val="p"/>
            </m:rPr>
            <m:t>.</m:t>
          </m:r>
        </m:oMath>
      </m:oMathPara>
    </w:p>
    <w:p>
      <w:pPr>
        <w:pStyle w:val="FirstParagraph"/>
      </w:pPr>
      <w:r>
        <w:t xml:space="preserve">Essas funções expressam a quantidade ótima de cada bem como função dos preços e da renda.</w:t>
      </w:r>
    </w:p>
    <w:p>
      <w:pPr>
        <w:pStyle w:val="BodyText"/>
      </w:pPr>
      <w:r>
        <w:rPr>
          <w:b/>
          <w:bCs/>
        </w:rPr>
        <w:t xml:space="preserve">Propriedades da demanda marshalliana</w:t>
      </w:r>
      <w:r>
        <w:t xml:space="preserve">:</w:t>
      </w:r>
    </w:p>
    <w:p>
      <w:pPr>
        <w:pStyle w:val="Compact"/>
        <w:numPr>
          <w:ilvl w:val="0"/>
          <w:numId w:val="1134"/>
        </w:numPr>
      </w:pPr>
      <w:r>
        <w:rPr>
          <w:b/>
          <w:bCs/>
        </w:rPr>
        <w:t xml:space="preserve">Homogeneidade de grau zero</w:t>
      </w:r>
      <w:r>
        <w:t xml:space="preserve">:</w:t>
      </w:r>
      <w:r>
        <w:t xml:space="preserve"> </w:t>
      </w:r>
      <m:oMath>
        <m:sSub>
          <m:e>
            <m:r>
              <m:t>x</m:t>
            </m:r>
          </m:e>
          <m:sub>
            <m:r>
              <m:t>i</m:t>
            </m:r>
          </m:sub>
        </m:sSub>
        <m:r>
          <m:rPr>
            <m:sty m:val="p"/>
          </m:rPr>
          <m:t>(</m:t>
        </m:r>
        <m:r>
          <m:t>t</m:t>
        </m:r>
        <m:r>
          <m:rPr>
            <m:sty m:val="bi"/>
          </m:rPr>
          <m:t>p</m:t>
        </m:r>
        <m:r>
          <m:rPr>
            <m:sty m:val="p"/>
          </m:rPr>
          <m:t>,</m:t>
        </m:r>
        <m:r>
          <m:t>t</m:t>
        </m:r>
        <m:r>
          <m:t>I</m:t>
        </m:r>
        <m:r>
          <m:rPr>
            <m:sty m:val="p"/>
          </m:rPr>
          <m:t>)</m:t>
        </m:r>
        <m:r>
          <m:rPr>
            <m:sty m:val="p"/>
          </m:rPr>
          <m:t>=</m:t>
        </m:r>
        <m:sSub>
          <m:e>
            <m:r>
              <m:t>x</m:t>
            </m:r>
          </m:e>
          <m:sub>
            <m:r>
              <m:t>i</m:t>
            </m:r>
          </m:sub>
        </m:sSub>
        <m:r>
          <m:rPr>
            <m:sty m:val="p"/>
          </m:rPr>
          <m:t>(</m:t>
        </m:r>
        <m:r>
          <m:rPr>
            <m:sty m:val="bi"/>
          </m:rPr>
          <m:t>p</m:t>
        </m:r>
        <m:r>
          <m:rPr>
            <m:sty m:val="p"/>
          </m:rPr>
          <m:t>,</m:t>
        </m:r>
        <m:r>
          <m:t>I</m:t>
        </m:r>
        <m:r>
          <m:rPr>
            <m:sty m:val="p"/>
          </m:rPr>
          <m:t>)</m:t>
        </m:r>
      </m:oMath>
      <w:r>
        <w:t xml:space="preserve"> </w:t>
      </w:r>
      <w:r>
        <w:t xml:space="preserve">para todo</w:t>
      </w:r>
      <w:r>
        <w:t xml:space="preserve"> </w:t>
      </w:r>
      <m:oMath>
        <m:r>
          <m:t>t</m:t>
        </m:r>
        <m:r>
          <m:rPr>
            <m:sty m:val="p"/>
          </m:rPr>
          <m:t>&gt;</m:t>
        </m:r>
        <m:r>
          <m:t>0</m:t>
        </m:r>
      </m:oMath>
      <w:r>
        <w:t xml:space="preserve">. Duplicar todos os preços e a renda não altera as quantidades demandadas — o que importa são preços relativos e renda real.</w:t>
      </w:r>
    </w:p>
    <w:p>
      <w:pPr>
        <w:pStyle w:val="Compact"/>
        <w:numPr>
          <w:ilvl w:val="0"/>
          <w:numId w:val="1134"/>
        </w:numPr>
      </w:pPr>
      <w:r>
        <w:rPr>
          <w:b/>
          <w:bCs/>
        </w:rPr>
        <w:t xml:space="preserve">Lei de Walras</w:t>
      </w:r>
      <w:r>
        <w:t xml:space="preserve">:</w:t>
      </w:r>
      <w:r>
        <w:t xml:space="preserve"> </w:t>
      </w:r>
      <m:oMath>
        <m:r>
          <m:rPr>
            <m:sty m:val="bi"/>
          </m:rPr>
          <m:t>p</m:t>
        </m:r>
        <m:r>
          <m:rPr>
            <m:sty m:val="p"/>
          </m:rPr>
          <m:t>⋅</m:t>
        </m:r>
        <m:r>
          <m:rPr>
            <m:sty m:val="bi"/>
          </m:rPr>
          <m:t>x</m:t>
        </m:r>
        <m:r>
          <m:rPr>
            <m:sty m:val="p"/>
          </m:rPr>
          <m:t>(</m:t>
        </m:r>
        <m:r>
          <m:rPr>
            <m:sty m:val="bi"/>
          </m:rPr>
          <m:t>p</m:t>
        </m:r>
        <m:r>
          <m:rPr>
            <m:sty m:val="p"/>
          </m:rPr>
          <m:t>,</m:t>
        </m:r>
        <m:r>
          <m:t>I</m:t>
        </m:r>
        <m:r>
          <m:rPr>
            <m:sty m:val="p"/>
          </m:rPr>
          <m:t>)</m:t>
        </m:r>
        <m:r>
          <m:rPr>
            <m:sty m:val="p"/>
          </m:rPr>
          <m:t>=</m:t>
        </m:r>
        <m:r>
          <m:t>I</m:t>
        </m:r>
      </m:oMath>
      <w:r>
        <w:t xml:space="preserve">. O consumidor gasta toda a renda.</w:t>
      </w:r>
    </w:p>
    <w:p>
      <w:pPr>
        <w:pStyle w:val="Compact"/>
        <w:numPr>
          <w:ilvl w:val="0"/>
          <w:numId w:val="1134"/>
        </w:numPr>
      </w:pPr>
      <w:r>
        <w:rPr>
          <w:b/>
          <w:bCs/>
        </w:rPr>
        <w:t xml:space="preserve">Negatividade do efeito substituição</w:t>
      </w:r>
      <w:r>
        <w:t xml:space="preserve"> </w:t>
      </w:r>
      <w:r>
        <w:t xml:space="preserve">(via equação de Slutsky — Capítulo 5).</w:t>
      </w:r>
    </w:p>
    <w:p>
      <w:pPr>
        <w:pStyle w:val="FirstParagraph"/>
      </w:pPr>
      <w:r>
        <w:t xml:space="preserve">As propriedades da demanda marshalliana revelam regularidades profundas do comportamento do consumidor. A homogeneidade de grau zero, por exemplo, expressa o princípio de que consumidores reagem a preços</w:t>
      </w:r>
      <w:r>
        <w:t xml:space="preserve"> </w:t>
      </w:r>
      <w:r>
        <w:rPr>
          <w:i/>
          <w:iCs/>
        </w:rPr>
        <w:t xml:space="preserve">relativos</w:t>
      </w:r>
      <w:r>
        <w:t xml:space="preserve">, não nominais — um insight fundamental tanto para a teoria quanto para a compreensão de fenômenos como a ilusão monetária. A lei de Walras, por sua vez, confirma que, sob monotonicidade, o consumidor jamais</w:t>
      </w:r>
      <w:r>
        <w:t xml:space="preserve"> </w:t>
      </w:r>
      <w:r>
        <w:t xml:space="preserve">“desperdiça”</w:t>
      </w:r>
      <w:r>
        <w:t xml:space="preserve"> </w:t>
      </w:r>
      <w:r>
        <w:t xml:space="preserve">renda. A terceira propriedade — negatividade do efeito substituição — será desenvolvida formalmente no Capítulo 5 por meio da equação de Slutsky, que decompõe a resposta da demanda a uma variação de preço em dois componentes: o efeito substituição (sempre negativo) e o efeito renda (cujo sinal depende de o bem ser normal ou inferior).</w:t>
      </w:r>
    </w:p>
    <w:p>
      <w:pPr>
        <w:pStyle w:val="BodyText"/>
      </w:pPr>
      <w:r>
        <w:t xml:space="preserve">Essas propriedades não são meras curiosidades teóricas: elas impõem restrições testáveis sobre dados de consumo observados. Se um conjunto de dados de preços e quantidades viola a homogeneidade ou a simetria de Slutsky, então os dados são inconsistentes com a maximização de utilidade — uma aplicação direta da teoria da preferência revelada (GARP), discutida brevemente no Capítulo 3.</w:t>
      </w:r>
    </w:p>
    <w:bookmarkEnd w:id="193"/>
    <w:bookmarkEnd w:id="194"/>
    <w:bookmarkEnd w:id="195"/>
    <w:bookmarkStart w:id="200" w:name="utilidade-indireta-e-princípio-lump-sum"/>
    <w:p>
      <w:pPr>
        <w:pStyle w:val="Heading2"/>
      </w:pPr>
      <w:r>
        <w:t xml:space="preserve">4.4–4.5 Utilidade Indireta e Princípio Lump Sum</w:t>
      </w:r>
    </w:p>
    <w:bookmarkStart w:id="196" w:name="X48cca72950cecd292cb64b698809285f5296a8a"/>
    <w:p>
      <w:pPr>
        <w:pStyle w:val="Heading3"/>
      </w:pPr>
      <w:r>
        <w:t xml:space="preserve">4.4 A Felicidade Que o Dinheiro Compra: Utilidade Indireta</w:t>
      </w:r>
    </w:p>
    <w:p>
      <w:pPr>
        <w:pStyle w:val="FirstParagraph"/>
      </w:pPr>
      <w:r>
        <w:t xml:space="preserve">Agora sabemos</w:t>
      </w:r>
      <w:r>
        <w:t xml:space="preserve"> </w:t>
      </w:r>
      <w:r>
        <w:rPr>
          <w:i/>
          <w:iCs/>
        </w:rPr>
        <w:t xml:space="preserve">o que</w:t>
      </w:r>
      <w:r>
        <w:t xml:space="preserve"> </w:t>
      </w:r>
      <w:r>
        <w:t xml:space="preserve">o consumidor compra. A próxima pergunta:</w:t>
      </w:r>
      <w:r>
        <w:t xml:space="preserve"> </w:t>
      </w:r>
      <w:r>
        <w:rPr>
          <w:i/>
          <w:iCs/>
        </w:rPr>
        <w:t xml:space="preserve">quão feliz</w:t>
      </w:r>
      <w:r>
        <w:t xml:space="preserve"> </w:t>
      </w:r>
      <w:r>
        <w:t xml:space="preserve">ele fica? E — mais importante — como essa felicidade muda quando o mundo muda? Se a gasolina sobe 20%, quanto cai o bem-estar máximo do consumidor? A</w:t>
      </w:r>
      <w:r>
        <w:t xml:space="preserve"> </w:t>
      </w:r>
      <w:r>
        <w:rPr>
          <w:b/>
          <w:bCs/>
        </w:rPr>
        <w:t xml:space="preserve">função de utilidade indireta</w:t>
      </w:r>
      <w:r>
        <w:t xml:space="preserve"> </w:t>
      </w:r>
      <w:r>
        <w:t xml:space="preserve">responde: ela é o</w:t>
      </w:r>
      <w:r>
        <w:t xml:space="preserve"> </w:t>
      </w:r>
      <w:r>
        <w:t xml:space="preserve">“termômetro de felicidade”</w:t>
      </w:r>
      <w:r>
        <w:t xml:space="preserve"> </w:t>
      </w:r>
      <w:r>
        <w:t xml:space="preserve">que traduz preços e renda em satisfação máxima alcançável. O nome</w:t>
      </w:r>
      <w:r>
        <w:t xml:space="preserve"> </w:t>
      </w:r>
      <w:r>
        <w:t xml:space="preserve">“indireta”</w:t>
      </w:r>
      <w:r>
        <w:t xml:space="preserve"> </w:t>
      </w:r>
      <w:r>
        <w:t xml:space="preserve">é preciso: a utilidade não vem diretamente das quantidades, mas indiretamente, via os preços e a renda que</w:t>
      </w:r>
      <w:r>
        <w:t xml:space="preserve"> </w:t>
      </w:r>
      <w:r>
        <w:rPr>
          <w:i/>
          <w:iCs/>
        </w:rPr>
        <w:t xml:space="preserve">determinam</w:t>
      </w:r>
      <w:r>
        <w:t xml:space="preserve"> </w:t>
      </w:r>
      <w:r>
        <w:t xml:space="preserve">as quantidades ótimas. Mude os preços, muda a cesta ótima, muda a felicidade.</w:t>
      </w:r>
    </w:p>
    <w:p>
      <w:pPr>
        <w:pStyle w:val="BlockText"/>
      </w:pPr>
      <w:r>
        <w:rPr>
          <w:b/>
          <w:bCs/>
        </w:rPr>
        <w:t xml:space="preserve">[DEFINICAO] Função de utilidade indireta</w:t>
      </w:r>
    </w:p>
    <w:p>
      <w:pPr>
        <w:pStyle w:val="BlockText"/>
      </w:pPr>
      <w:r>
        <w:t xml:space="preserve">A</w:t>
      </w:r>
      <w:r>
        <w:t xml:space="preserve"> </w:t>
      </w:r>
      <w:r>
        <w:rPr>
          <w:b/>
          <w:bCs/>
        </w:rPr>
        <w:t xml:space="preserve">função de utilidade indireta</w:t>
      </w:r>
      <w:r>
        <w:t xml:space="preserve"> </w:t>
      </w:r>
      <w:r>
        <w:t xml:space="preserve">é o valor ótimo da utilidade como função dos preços e da renda:</w:t>
      </w:r>
    </w:p>
    <w:p>
      <w:pPr>
        <w:pStyle w:val="BlockText"/>
      </w:pPr>
      <w:r>
        <w:t xml:space="preserve">$$</w:t>
      </w:r>
    </w:p>
    <w:p>
      <w:pPr>
        <w:pStyle w:val="BlockText"/>
      </w:pPr>
      <w:r>
        <w:t xml:space="preserve">V(p_1, p_2, I) = u</w:t>
      </w:r>
      <w:r>
        <w:t xml:space="preserve">(x_1^</w:t>
      </w:r>
      <w:r>
        <w:rPr>
          <w:i/>
          <w:iCs/>
        </w:rPr>
        <w:t xml:space="preserve">(p_1, p_2, I), ; x_2^</w:t>
      </w:r>
      <w:r>
        <w:t xml:space="preserve">(p_1, p_2, I)</w:t>
      </w:r>
      <w:r>
        <w:t xml:space="preserve">) =</w:t>
      </w:r>
      <w:r>
        <w:t xml:space="preserve"> </w:t>
      </w:r>
      <w:r>
        <w:t xml:space="preserve">_{</w:t>
      </w:r>
      <w:r>
        <w:t xml:space="preserve"> </w:t>
      </w:r>
      <w:r>
        <w:t xml:space="preserve">B(</w:t>
      </w:r>
      <w:r>
        <w:t xml:space="preserve">, I)} u(</w:t>
      </w:r>
      <w:r>
        <w:t xml:space="preserve">).</w:t>
      </w:r>
      <w:r>
        <w:t xml:space="preserve"> </w:t>
      </w:r>
      <w:r>
        <w:t xml:space="preserve"> </w:t>
      </w:r>
    </w:p>
    <w:p>
      <w:pPr>
        <w:pStyle w:val="BlockText"/>
      </w:pPr>
      <w:r>
        <w:t xml:space="preserve">$$</w:t>
      </w:r>
    </w:p>
    <w:p>
      <w:pPr>
        <w:pStyle w:val="FirstParagraph"/>
      </w:pPr>
      <w:r>
        <w:rPr>
          <w:b/>
          <w:bCs/>
        </w:rPr>
        <w:t xml:space="preserve">Propriedades de</w:t>
      </w:r>
      <w:r>
        <w:rPr>
          <w:b/>
          <w:bCs/>
        </w:rPr>
        <w:t xml:space="preserve"> </w:t>
      </w:r>
      <m:oMath>
        <m:r>
          <m:t>V</m:t>
        </m:r>
        <m:r>
          <m:rPr>
            <m:sty m:val="p"/>
          </m:rPr>
          <m:t>(</m:t>
        </m:r>
        <m:r>
          <m:rPr>
            <m:sty m:val="bi"/>
          </m:rPr>
          <m:t>p</m:t>
        </m:r>
        <m:r>
          <m:rPr>
            <m:sty m:val="p"/>
          </m:rPr>
          <m:t>,</m:t>
        </m:r>
        <m:r>
          <m:t>I</m:t>
        </m:r>
        <m:r>
          <m:rPr>
            <m:sty m:val="p"/>
          </m:rPr>
          <m:t>)</m:t>
        </m:r>
      </m:oMath>
      <w:r>
        <w:t xml:space="preserve">:</w:t>
      </w:r>
    </w:p>
    <w:p>
      <w:pPr>
        <w:pStyle w:val="Compact"/>
        <w:numPr>
          <w:ilvl w:val="0"/>
          <w:numId w:val="1135"/>
        </w:numPr>
      </w:pPr>
      <w:r>
        <w:rPr>
          <w:b/>
          <w:bCs/>
        </w:rPr>
        <w:t xml:space="preserve">Homogênea de grau zero</w:t>
      </w:r>
      <w:r>
        <w:t xml:space="preserve"> </w:t>
      </w:r>
      <w:r>
        <w:t xml:space="preserve">em</w:t>
      </w:r>
      <w:r>
        <w:t xml:space="preserve"> </w:t>
      </w:r>
      <m:oMath>
        <m:r>
          <m:rPr>
            <m:sty m:val="p"/>
          </m:rPr>
          <m:t>(</m:t>
        </m:r>
        <m:r>
          <m:rPr>
            <m:sty m:val="bi"/>
          </m:rPr>
          <m:t>p</m:t>
        </m:r>
        <m:r>
          <m:rPr>
            <m:sty m:val="p"/>
          </m:rPr>
          <m:t>,</m:t>
        </m:r>
        <m:r>
          <m:t>I</m:t>
        </m:r>
        <m:r>
          <m:rPr>
            <m:sty m:val="p"/>
          </m:rPr>
          <m:t>)</m:t>
        </m:r>
      </m:oMath>
      <w:r>
        <w:t xml:space="preserve">: duplicar preços e renda não altera a utilidade máxima alcançável.</w:t>
      </w:r>
    </w:p>
    <w:p>
      <w:pPr>
        <w:pStyle w:val="Compact"/>
        <w:numPr>
          <w:ilvl w:val="0"/>
          <w:numId w:val="1135"/>
        </w:numPr>
      </w:pPr>
      <w:r>
        <w:rPr>
          <w:b/>
          <w:bCs/>
        </w:rPr>
        <w:t xml:space="preserve">Não crescente em</w:t>
      </w:r>
      <w:r>
        <w:rPr>
          <w:b/>
          <w:bCs/>
        </w:rPr>
        <w:t xml:space="preserve"> </w:t>
      </w:r>
      <m:oMath>
        <m:sSub>
          <m:e>
            <m:r>
              <m:t>p</m:t>
            </m:r>
          </m:e>
          <m:sub>
            <m:r>
              <m:t>i</m:t>
            </m:r>
          </m:sub>
        </m:sSub>
      </m:oMath>
      <w:r>
        <w:t xml:space="preserve">: um aumento no preço de qualquer bem reduz (ou mantém) o nível máximo de utilidade.</w:t>
      </w:r>
    </w:p>
    <w:p>
      <w:pPr>
        <w:pStyle w:val="Compact"/>
        <w:numPr>
          <w:ilvl w:val="0"/>
          <w:numId w:val="1135"/>
        </w:numPr>
      </w:pPr>
      <w:r>
        <w:rPr>
          <w:b/>
          <w:bCs/>
        </w:rPr>
        <w:t xml:space="preserve">Não decrescente em</w:t>
      </w:r>
      <w:r>
        <w:rPr>
          <w:b/>
          <w:bCs/>
        </w:rPr>
        <w:t xml:space="preserve"> </w:t>
      </w:r>
      <m:oMath>
        <m:r>
          <m:t>I</m:t>
        </m:r>
      </m:oMath>
      <w:r>
        <w:t xml:space="preserve">: mais renda expande o conjunto orçamentário e permite alcançar (ao menos) o mesmo nível de utilidade.</w:t>
      </w:r>
    </w:p>
    <w:p>
      <w:pPr>
        <w:pStyle w:val="Compact"/>
        <w:numPr>
          <w:ilvl w:val="0"/>
          <w:numId w:val="1135"/>
        </w:numPr>
      </w:pPr>
      <w:r>
        <w:rPr>
          <w:b/>
          <w:bCs/>
        </w:rPr>
        <w:t xml:space="preserve">Quase-convexa em</w:t>
      </w:r>
      <w:r>
        <w:rPr>
          <w:b/>
          <w:bCs/>
        </w:rPr>
        <w:t xml:space="preserve"> </w:t>
      </w:r>
      <m:oMath>
        <m:r>
          <m:rPr>
            <m:sty m:val="bi"/>
          </m:rPr>
          <m:t>p</m:t>
        </m:r>
      </m:oMath>
      <w:r>
        <w:t xml:space="preserve">: o conjunto</w:t>
      </w:r>
      <w:r>
        <w:t xml:space="preserve"> </w:t>
      </w:r>
      <m:oMath>
        <m:r>
          <m:rPr>
            <m:sty m:val="p"/>
          </m:rPr>
          <m:t>{</m:t>
        </m:r>
        <m:r>
          <m:rPr>
            <m:sty m:val="bi"/>
          </m:rPr>
          <m:t>p</m:t>
        </m:r>
        <m:r>
          <m:rPr>
            <m:sty m:val="p"/>
          </m:rPr>
          <m:t>:</m:t>
        </m:r>
        <m:r>
          <m:t>V</m:t>
        </m:r>
        <m:r>
          <m:rPr>
            <m:sty m:val="p"/>
          </m:rPr>
          <m:t>(</m:t>
        </m:r>
        <m:r>
          <m:rPr>
            <m:sty m:val="bi"/>
          </m:rPr>
          <m:t>p</m:t>
        </m:r>
        <m:r>
          <m:rPr>
            <m:sty m:val="p"/>
          </m:rPr>
          <m:t>,</m:t>
        </m:r>
        <m:r>
          <m:t>I</m:t>
        </m:r>
        <m:r>
          <m:rPr>
            <m:sty m:val="p"/>
          </m:rPr>
          <m:t>)</m:t>
        </m:r>
        <m:r>
          <m:rPr>
            <m:sty m:val="p"/>
          </m:rPr>
          <m:t>≤</m:t>
        </m:r>
        <m:acc>
          <m:accPr>
            <m:chr m:val="‾"/>
          </m:accPr>
          <m:e>
            <m:r>
              <m:t>v</m:t>
            </m:r>
          </m:e>
        </m:acc>
        <m:r>
          <m:rPr>
            <m:sty m:val="p"/>
          </m:rPr>
          <m:t>}</m:t>
        </m:r>
      </m:oMath>
      <w:r>
        <w:t xml:space="preserve"> </w:t>
      </w:r>
      <w:r>
        <w:t xml:space="preserve">é convexo.</w:t>
      </w:r>
    </w:p>
    <w:p>
      <w:pPr>
        <w:pStyle w:val="Compact"/>
        <w:numPr>
          <w:ilvl w:val="0"/>
          <w:numId w:val="1135"/>
        </w:numPr>
      </w:pPr>
      <w:r>
        <w:rPr>
          <w:b/>
          <w:bCs/>
        </w:rPr>
        <w:t xml:space="preserve">Contínua</w:t>
      </w:r>
      <w:r>
        <w:t xml:space="preserve"> </w:t>
      </w:r>
      <w:r>
        <w:t xml:space="preserve">em</w:t>
      </w:r>
      <w:r>
        <w:t xml:space="preserve"> </w:t>
      </w:r>
      <m:oMath>
        <m:r>
          <m:rPr>
            <m:sty m:val="p"/>
          </m:rPr>
          <m:t>(</m:t>
        </m:r>
        <m:r>
          <m:rPr>
            <m:sty m:val="bi"/>
          </m:rPr>
          <m:t>p</m:t>
        </m:r>
        <m:r>
          <m:rPr>
            <m:sty m:val="p"/>
          </m:rPr>
          <m:t>,</m:t>
        </m:r>
        <m:r>
          <m:t>I</m:t>
        </m:r>
        <m:r>
          <m:rPr>
            <m:sty m:val="p"/>
          </m:rPr>
          <m:t>)</m:t>
        </m:r>
      </m:oMath>
      <w:r>
        <w:t xml:space="preserve"> </w:t>
      </w:r>
      <w:r>
        <w:t xml:space="preserve">para</w:t>
      </w:r>
      <w:r>
        <w:t xml:space="preserve"> </w:t>
      </w:r>
      <m:oMath>
        <m:r>
          <m:rPr>
            <m:sty m:val="bi"/>
          </m:rPr>
          <m:t>p</m:t>
        </m:r>
        <m:r>
          <m:rPr>
            <m:sty m:val="p"/>
          </m:rPr>
          <m:t>≫</m:t>
        </m:r>
        <m:r>
          <m:t>0</m:t>
        </m:r>
      </m:oMath>
      <w:r>
        <w:t xml:space="preserve"> </w:t>
      </w:r>
      <w:r>
        <w:t xml:space="preserve">e</w:t>
      </w:r>
      <w:r>
        <w:t xml:space="preserve"> </w:t>
      </w:r>
      <m:oMath>
        <m:r>
          <m:t>I</m:t>
        </m:r>
        <m:r>
          <m:rPr>
            <m:sty m:val="p"/>
          </m:rPr>
          <m:t>&gt;</m:t>
        </m:r>
        <m:r>
          <m:t>0</m:t>
        </m:r>
      </m:oMath>
      <w:r>
        <w:t xml:space="preserve">.</w:t>
      </w:r>
    </w:p>
    <w:p>
      <w:pPr>
        <w:pStyle w:val="FirstParagraph"/>
      </w:pPr>
      <w:r>
        <w:t xml:space="preserve">A propriedade de quase-convexidade merece atenção especial, pois frequentemente gera confusão.</w:t>
      </w:r>
    </w:p>
    <w:p>
      <w:pPr>
        <w:pStyle w:val="BlockText"/>
      </w:pPr>
      <w:r>
        <w:rPr>
          <w:b/>
          <w:bCs/>
        </w:rPr>
        <w:t xml:space="preserve">[ATENCAO] Erro Comum</w:t>
      </w:r>
    </w:p>
    <w:p>
      <w:pPr>
        <w:pStyle w:val="BlockText"/>
      </w:pPr>
      <w:r>
        <w:rPr>
          <w:b/>
          <w:bCs/>
        </w:rPr>
        <w:t xml:space="preserve">Confundir quase-convexidade com convexidade da função utilidade indireta.</w:t>
      </w:r>
    </w:p>
    <w:p>
      <w:pPr>
        <w:pStyle w:val="BlockText"/>
      </w:pPr>
      <w:r>
        <w:t xml:space="preserve">A</w:t>
      </w:r>
      <w:r>
        <w:t xml:space="preserve"> </w:t>
      </w:r>
      <w:r>
        <w:rPr>
          <w:b/>
          <w:bCs/>
        </w:rPr>
        <w:t xml:space="preserve">quase-convexidade</w:t>
      </w:r>
      <w:r>
        <w:t xml:space="preserve"> </w:t>
      </w:r>
      <w:r>
        <w:t xml:space="preserve">de</w:t>
      </w:r>
      <w:r>
        <w:t xml:space="preserve"> </w:t>
      </w:r>
      <m:oMath>
        <m:r>
          <m:t>V</m:t>
        </m:r>
      </m:oMath>
      <w:r>
        <w:t xml:space="preserve"> </w:t>
      </w:r>
      <w:r>
        <w:t xml:space="preserve">em</w:t>
      </w:r>
      <w:r>
        <w:t xml:space="preserve"> </w:t>
      </w:r>
      <m:oMath>
        <m:r>
          <m:rPr>
            <m:sty m:val="bi"/>
          </m:rPr>
          <m:t>p</m:t>
        </m:r>
      </m:oMath>
      <w:r>
        <w:t xml:space="preserve"> </w:t>
      </w:r>
      <w:r>
        <w:rPr>
          <w:b/>
          <w:bCs/>
        </w:rPr>
        <w:t xml:space="preserve">não</w:t>
      </w:r>
      <w:r>
        <w:t xml:space="preserve"> </w:t>
      </w:r>
      <w:r>
        <w:t xml:space="preserve">significa que</w:t>
      </w:r>
      <w:r>
        <w:t xml:space="preserve"> </w:t>
      </w:r>
      <m:oMath>
        <m:r>
          <m:t>V</m:t>
        </m:r>
      </m:oMath>
      <w:r>
        <w:t xml:space="preserve"> </w:t>
      </w:r>
      <w:r>
        <w:t xml:space="preserve">seja convexa em preços.</w:t>
      </w:r>
    </w:p>
    <w:p>
      <w:pPr>
        <w:pStyle w:val="BlockText"/>
      </w:pPr>
      <w:r>
        <w:t xml:space="preserve">Quase-convexidade em</w:t>
      </w:r>
      <w:r>
        <w:t xml:space="preserve"> </w:t>
      </w:r>
      <m:oMath>
        <m:r>
          <m:rPr>
            <m:sty m:val="bi"/>
          </m:rPr>
          <m:t>p</m:t>
        </m:r>
      </m:oMath>
      <w:r>
        <w:t xml:space="preserve"> </w:t>
      </w:r>
      <w:r>
        <w:t xml:space="preserve">significa que o conjunto de preços que geram utilidade</w:t>
      </w:r>
      <w:r>
        <w:t xml:space="preserve"> </w:t>
      </w:r>
      <w:r>
        <w:rPr>
          <w:b/>
          <w:bCs/>
        </w:rPr>
        <w:t xml:space="preserve">baixa</w:t>
      </w:r>
      <w:r>
        <w:t xml:space="preserve"> </w:t>
      </w:r>
      <w:r>
        <w:t xml:space="preserve">—</w:t>
      </w:r>
      <w:r>
        <w:t xml:space="preserve"> </w:t>
      </w:r>
      <m:oMath>
        <m:r>
          <m:rPr>
            <m:sty m:val="p"/>
          </m:rPr>
          <m:t>{</m:t>
        </m:r>
        <m:r>
          <m:rPr>
            <m:sty m:val="bi"/>
          </m:rPr>
          <m:t>p</m:t>
        </m:r>
        <m:r>
          <m:rPr>
            <m:sty m:val="p"/>
          </m:rPr>
          <m:t>:</m:t>
        </m:r>
        <m:r>
          <m:t>V</m:t>
        </m:r>
        <m:r>
          <m:rPr>
            <m:sty m:val="p"/>
          </m:rPr>
          <m:t>(</m:t>
        </m:r>
        <m:r>
          <m:rPr>
            <m:sty m:val="bi"/>
          </m:rPr>
          <m:t>p</m:t>
        </m:r>
        <m:r>
          <m:rPr>
            <m:sty m:val="p"/>
          </m:rPr>
          <m:t>,</m:t>
        </m:r>
        <m:r>
          <m:t>I</m:t>
        </m:r>
        <m:r>
          <m:rPr>
            <m:sty m:val="p"/>
          </m:rPr>
          <m:t>)</m:t>
        </m:r>
        <m:r>
          <m:rPr>
            <m:sty m:val="p"/>
          </m:rPr>
          <m:t>≤</m:t>
        </m:r>
        <m:acc>
          <m:accPr>
            <m:chr m:val="‾"/>
          </m:accPr>
          <m:e>
            <m:r>
              <m:t>v</m:t>
            </m:r>
          </m:e>
        </m:acc>
        <m:r>
          <m:rPr>
            <m:sty m:val="p"/>
          </m:rPr>
          <m:t>}</m:t>
        </m:r>
      </m:oMath>
      <w:r>
        <w:t xml:space="preserve"> </w:t>
      </w:r>
      <w:r>
        <w:t xml:space="preserve">— é convexo. Em outras palavras, preços</w:t>
      </w:r>
      <w:r>
        <w:t xml:space="preserve"> </w:t>
      </w:r>
      <w:r>
        <w:t xml:space="preserve">“ruins”</w:t>
      </w:r>
      <w:r>
        <w:t xml:space="preserve"> </w:t>
      </w:r>
      <w:r>
        <w:t xml:space="preserve">formam conjuntos convexos. Isso é bem diferente de dizer que</w:t>
      </w:r>
      <w:r>
        <w:t xml:space="preserve"> </w:t>
      </w:r>
      <m:oMath>
        <m:r>
          <m:t>V</m:t>
        </m:r>
      </m:oMath>
      <w:r>
        <w:t xml:space="preserve"> </w:t>
      </w:r>
      <w:r>
        <w:t xml:space="preserve">é convexa, o que exigiria que uma média ponderada de preços gerasse utilidade maior ou igual à média ponderada das utilidades — afirmação que não é verdadeira em geral.</w:t>
      </w:r>
    </w:p>
    <w:p>
      <w:pPr>
        <w:pStyle w:val="BlockText"/>
      </w:pPr>
      <w:r>
        <w:t xml:space="preserve">Em contraste, a função</w:t>
      </w:r>
      <w:r>
        <w:t xml:space="preserve"> </w:t>
      </w:r>
      <w:r>
        <w:rPr>
          <w:b/>
          <w:bCs/>
        </w:rPr>
        <w:t xml:space="preserve">dispêndio</w:t>
      </w:r>
      <w:r>
        <w:t xml:space="preserve"> </w:t>
      </w:r>
      <m:oMath>
        <m:r>
          <m:t>E</m:t>
        </m:r>
        <m:r>
          <m:rPr>
            <m:sty m:val="p"/>
          </m:rPr>
          <m:t>(</m:t>
        </m:r>
        <m:r>
          <m:rPr>
            <m:sty m:val="bi"/>
          </m:rPr>
          <m:t>p</m:t>
        </m:r>
        <m:r>
          <m:rPr>
            <m:sty m:val="p"/>
          </m:rPr>
          <m:t>,</m:t>
        </m:r>
        <m:acc>
          <m:accPr>
            <m:chr m:val="‾"/>
          </m:accPr>
          <m:e>
            <m:r>
              <m:t>u</m:t>
            </m:r>
          </m:e>
        </m:acc>
        <m:r>
          <m:rPr>
            <m:sty m:val="p"/>
          </m:rPr>
          <m:t>)</m:t>
        </m:r>
      </m:oMath>
      <w:r>
        <w:t xml:space="preserve"> </w:t>
      </w:r>
      <w:r>
        <w:t xml:space="preserve">é</w:t>
      </w:r>
      <w:r>
        <w:t xml:space="preserve"> </w:t>
      </w:r>
      <w:r>
        <w:rPr>
          <w:b/>
          <w:bCs/>
        </w:rPr>
        <w:t xml:space="preserve">côncava</w:t>
      </w:r>
      <w:r>
        <w:t xml:space="preserve"> </w:t>
      </w:r>
      <w:r>
        <w:t xml:space="preserve">em preços — essa sim é uma propriedade de concavidade, não apenas quase-concavidade, e reflete o fato de que o consumidor pode se proteger contra aumentos de preços realocando consumo.</w:t>
      </w:r>
    </w:p>
    <w:p>
      <w:pPr>
        <w:pStyle w:val="BlockText"/>
      </w:pPr>
      <w:r>
        <w:rPr>
          <w:b/>
          <w:bCs/>
        </w:rPr>
        <w:t xml:space="preserve">[DICA] Exemplo: Cobb-Douglas</w:t>
      </w:r>
    </w:p>
    <w:p>
      <w:pPr>
        <w:pStyle w:val="BlockText"/>
      </w:pPr>
      <w:r>
        <w:t xml:space="preserve">Para</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a</m:t>
            </m:r>
          </m:sup>
        </m:sSubSup>
        <m:sSubSup>
          <m:e>
            <m:r>
              <m:t>x</m:t>
            </m:r>
          </m:e>
          <m:sub>
            <m:r>
              <m:t>2</m:t>
            </m:r>
          </m:sub>
          <m:sup>
            <m:r>
              <m:t>b</m:t>
            </m:r>
          </m:sup>
        </m:sSubSup>
      </m:oMath>
      <w:r>
        <w:t xml:space="preserve"> </w:t>
      </w:r>
      <w:r>
        <w:t xml:space="preserve">com</w:t>
      </w:r>
      <w:r>
        <w:t xml:space="preserve"> </w:t>
      </w:r>
      <m:oMath>
        <m:r>
          <m:t>a</m:t>
        </m:r>
        <m:r>
          <m:rPr>
            <m:sty m:val="p"/>
          </m:rPr>
          <m:t>+</m:t>
        </m:r>
        <m:r>
          <m:t>b</m:t>
        </m:r>
        <m:r>
          <m:rPr>
            <m:sty m:val="p"/>
          </m:rPr>
          <m:t>=</m:t>
        </m:r>
        <m:r>
          <m:t>1</m:t>
        </m:r>
      </m:oMath>
      <w:r>
        <w:t xml:space="preserve">, as demandas marshallianas são</w:t>
      </w:r>
      <w:r>
        <w:t xml:space="preserve"> </w:t>
      </w:r>
      <m:oMath>
        <m:sSubSup>
          <m:e>
            <m:r>
              <m:t>x</m:t>
            </m:r>
          </m:e>
          <m:sub>
            <m:r>
              <m:t>1</m:t>
            </m:r>
          </m:sub>
          <m:sup>
            <m:r>
              <m:rPr>
                <m:sty m:val="p"/>
              </m:rPr>
              <m:t>*</m:t>
            </m:r>
          </m:sup>
        </m:sSubSup>
        <m:r>
          <m:rPr>
            <m:sty m:val="p"/>
          </m:rPr>
          <m:t>=</m:t>
        </m:r>
        <m:r>
          <m:t>a</m:t>
        </m:r>
        <m:r>
          <m:t>I</m:t>
        </m:r>
        <m:r>
          <m:rPr>
            <m:sty m:val="p"/>
          </m:rPr>
          <m:t>/</m:t>
        </m:r>
        <m:sSub>
          <m:e>
            <m:r>
              <m:t>p</m:t>
            </m:r>
          </m:e>
          <m:sub>
            <m:r>
              <m:t>1</m:t>
            </m:r>
          </m:sub>
        </m:sSub>
      </m:oMath>
      <w:r>
        <w:t xml:space="preserve"> </w:t>
      </w:r>
      <w:r>
        <w:t xml:space="preserve">e</w:t>
      </w:r>
      <w:r>
        <w:t xml:space="preserve"> </w:t>
      </w:r>
      <m:oMath>
        <m:sSubSup>
          <m:e>
            <m:r>
              <m:t>x</m:t>
            </m:r>
          </m:e>
          <m:sub>
            <m:r>
              <m:t>2</m:t>
            </m:r>
          </m:sub>
          <m:sup>
            <m:r>
              <m:rPr>
                <m:sty m:val="p"/>
              </m:rPr>
              <m:t>*</m:t>
            </m:r>
          </m:sup>
        </m:sSubSup>
        <m:r>
          <m:rPr>
            <m:sty m:val="p"/>
          </m:rPr>
          <m:t>=</m:t>
        </m:r>
        <m:r>
          <m:t>b</m:t>
        </m:r>
        <m:r>
          <m:t>I</m:t>
        </m:r>
        <m:r>
          <m:rPr>
            <m:sty m:val="p"/>
          </m:rPr>
          <m:t>/</m:t>
        </m:r>
        <m:sSub>
          <m:e>
            <m:r>
              <m:t>p</m:t>
            </m:r>
          </m:e>
          <m:sub>
            <m:r>
              <m:t>2</m:t>
            </m:r>
          </m:sub>
        </m:sSub>
      </m:oMath>
      <w:r>
        <w:t xml:space="preserve">. A função de utilidade indireta é:</w:t>
      </w:r>
    </w:p>
    <w:p>
      <w:pPr>
        <w:pStyle w:val="BlockText"/>
      </w:pPr>
      <w:r>
        <w:t xml:space="preserve">$$</w:t>
      </w:r>
    </w:p>
    <w:p>
      <w:pPr>
        <w:pStyle w:val="BlockText"/>
      </w:pPr>
      <w:r>
        <w:t xml:space="preserve">V(p_1, p_2, I) =</w:t>
      </w:r>
      <w:r>
        <w:t xml:space="preserve"> </w:t>
      </w:r>
      <w:r>
        <w:t xml:space="preserve">(</w:t>
      </w:r>
      <w:r>
        <w:t xml:space="preserve">)^a</w:t>
      </w:r>
      <w:r>
        <w:t xml:space="preserve"> </w:t>
      </w:r>
      <w:r>
        <w:t xml:space="preserve">(</w:t>
      </w:r>
      <w:r>
        <w:t xml:space="preserve">)^b</w:t>
      </w:r>
      <w:r>
        <w:t xml:space="preserve"> </w:t>
      </w:r>
      <w:r>
        <w:t xml:space="preserve">I.</w:t>
      </w:r>
    </w:p>
    <w:p>
      <w:pPr>
        <w:pStyle w:val="BlockText"/>
      </w:pPr>
      <w:r>
        <w:t xml:space="preserve">$$</w:t>
      </w:r>
    </w:p>
    <w:p>
      <w:pPr>
        <w:pStyle w:val="BlockText"/>
      </w:pPr>
      <w:r>
        <w:t xml:space="preserve">Note que</w:t>
      </w:r>
      <w:r>
        <w:t xml:space="preserve"> </w:t>
      </w:r>
      <m:oMath>
        <m:r>
          <m:t>V</m:t>
        </m:r>
      </m:oMath>
      <w:r>
        <w:t xml:space="preserve"> </w:t>
      </w:r>
      <w:r>
        <w:t xml:space="preserve">é linear em</w:t>
      </w:r>
      <w:r>
        <w:t xml:space="preserve"> </w:t>
      </w:r>
      <m:oMath>
        <m:r>
          <m:t>I</m:t>
        </m:r>
      </m:oMath>
      <w:r>
        <w:t xml:space="preserve"> </w:t>
      </w:r>
      <w:r>
        <w:t xml:space="preserve">e decrescente em cada preço.</w:t>
      </w:r>
    </w:p>
    <w:p>
      <w:pPr>
        <w:pStyle w:val="FirstParagraph"/>
      </w:pPr>
      <w:r>
        <w:t xml:space="preserve">A seguir, no Exercício Resolvido 4.1, aplicamos esses conceitos ao caso Cobb-Douglas com parâmetros específicos — e verificamos que a fórmula geral para a cesta ótima é de fato consistente com a solução pelo Lagrangeano passo a passo.</w:t>
      </w:r>
    </w:p>
    <w:p>
      <w:pPr>
        <w:pStyle w:val="BlockText"/>
      </w:pPr>
      <w:r>
        <w:rPr>
          <w:b/>
          <w:bCs/>
        </w:rPr>
        <w:t xml:space="preserve">[EXERCICIO RESOLVIDO] Exercício Resolvido 4.1</w:t>
      </w:r>
    </w:p>
    <w:p>
      <w:pPr>
        <w:pStyle w:val="BlockText"/>
      </w:pPr>
      <w:r>
        <w:rPr>
          <w:b/>
          <w:bCs/>
        </w:rPr>
        <w:t xml:space="preserve">Enunciado:</w:t>
      </w:r>
      <w:r>
        <w:t xml:space="preserve"> </w:t>
      </w:r>
      <w:r>
        <w:t xml:space="preserve">Um consumidor tem função de utilidade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1</m:t>
            </m:r>
            <m:r>
              <m:rPr>
                <m:sty m:val="p"/>
              </m:rPr>
              <m:t>/</m:t>
            </m:r>
            <m:r>
              <m:t>3</m:t>
            </m:r>
          </m:sup>
        </m:sSubSup>
        <m:sSubSup>
          <m:e>
            <m:r>
              <m:t>x</m:t>
            </m:r>
          </m:e>
          <m:sub>
            <m:r>
              <m:t>2</m:t>
            </m:r>
          </m:sub>
          <m:sup>
            <m:r>
              <m:t>2</m:t>
            </m:r>
            <m:r>
              <m:rPr>
                <m:sty m:val="p"/>
              </m:rPr>
              <m:t>/</m:t>
            </m:r>
            <m:r>
              <m:t>3</m:t>
            </m:r>
          </m:sup>
        </m:sSubSup>
      </m:oMath>
      <w:r>
        <w:t xml:space="preserve">, preços</w:t>
      </w:r>
      <w:r>
        <w:t xml:space="preserve"> </w:t>
      </w:r>
      <m:oMath>
        <m:sSub>
          <m:e>
            <m:r>
              <m:t>p</m:t>
            </m:r>
          </m:e>
          <m:sub>
            <m:r>
              <m:t>1</m:t>
            </m:r>
          </m:sub>
        </m:sSub>
        <m:r>
          <m:rPr>
            <m:sty m:val="p"/>
          </m:rPr>
          <m:t>=</m:t>
        </m:r>
        <m:r>
          <m:t>6</m:t>
        </m:r>
      </m:oMath>
      <w:r>
        <w:t xml:space="preserve">,</w:t>
      </w:r>
      <w:r>
        <w:t xml:space="preserve"> </w:t>
      </w:r>
      <m:oMath>
        <m:sSub>
          <m:e>
            <m:r>
              <m:t>p</m:t>
            </m:r>
          </m:e>
          <m:sub>
            <m:r>
              <m:t>2</m:t>
            </m:r>
          </m:sub>
        </m:sSub>
        <m:r>
          <m:rPr>
            <m:sty m:val="p"/>
          </m:rPr>
          <m:t>=</m:t>
        </m:r>
        <m:r>
          <m:t>3</m:t>
        </m:r>
      </m:oMath>
      <w:r>
        <w:t xml:space="preserve"> </w:t>
      </w:r>
      <w:r>
        <w:t xml:space="preserve">e renda</w:t>
      </w:r>
      <w:r>
        <w:t xml:space="preserve"> </w:t>
      </w:r>
      <m:oMath>
        <m:r>
          <m:t>I</m:t>
        </m:r>
        <m:r>
          <m:rPr>
            <m:sty m:val="p"/>
          </m:rPr>
          <m:t>=</m:t>
        </m:r>
        <m:r>
          <m:t>180</m:t>
        </m:r>
      </m:oMath>
      <w:r>
        <w:t xml:space="preserve">. Encontre a cesta ótima e a utilidade máxima.</w:t>
      </w:r>
    </w:p>
    <w:p>
      <w:pPr>
        <w:pStyle w:val="BlockText"/>
      </w:pPr>
      <w:r>
        <w:rPr>
          <w:b/>
          <w:bCs/>
        </w:rPr>
        <w:t xml:space="preserve">Dados:</w:t>
      </w:r>
      <w:r>
        <w:t xml:space="preserve"> </w:t>
      </w:r>
      <m:oMath>
        <m:r>
          <m:t>a</m:t>
        </m:r>
        <m:r>
          <m:rPr>
            <m:sty m:val="p"/>
          </m:rPr>
          <m:t>=</m:t>
        </m:r>
        <m:r>
          <m:t>1</m:t>
        </m:r>
        <m:r>
          <m:rPr>
            <m:sty m:val="p"/>
          </m:rPr>
          <m:t>/</m:t>
        </m:r>
        <m:r>
          <m:t>3</m:t>
        </m:r>
      </m:oMath>
      <w:r>
        <w:t xml:space="preserve">,</w:t>
      </w:r>
      <w:r>
        <w:t xml:space="preserve"> </w:t>
      </w:r>
      <m:oMath>
        <m:r>
          <m:t>b</m:t>
        </m:r>
        <m:r>
          <m:rPr>
            <m:sty m:val="p"/>
          </m:rPr>
          <m:t>=</m:t>
        </m:r>
        <m:r>
          <m:t>2</m:t>
        </m:r>
        <m:r>
          <m:rPr>
            <m:sty m:val="p"/>
          </m:rPr>
          <m:t>/</m:t>
        </m:r>
        <m:r>
          <m:t>3</m:t>
        </m:r>
      </m:oMath>
      <w:r>
        <w:t xml:space="preserve">,</w:t>
      </w:r>
      <w:r>
        <w:t xml:space="preserve"> </w:t>
      </w:r>
      <m:oMath>
        <m:sSub>
          <m:e>
            <m:r>
              <m:t>p</m:t>
            </m:r>
          </m:e>
          <m:sub>
            <m:r>
              <m:t>1</m:t>
            </m:r>
          </m:sub>
        </m:sSub>
        <m:r>
          <m:rPr>
            <m:sty m:val="p"/>
          </m:rPr>
          <m:t>=</m:t>
        </m:r>
        <m:r>
          <m:t>6</m:t>
        </m:r>
      </m:oMath>
      <w:r>
        <w:t xml:space="preserve">,</w:t>
      </w:r>
      <w:r>
        <w:t xml:space="preserve"> </w:t>
      </w:r>
      <m:oMath>
        <m:sSub>
          <m:e>
            <m:r>
              <m:t>p</m:t>
            </m:r>
          </m:e>
          <m:sub>
            <m:r>
              <m:t>2</m:t>
            </m:r>
          </m:sub>
        </m:sSub>
        <m:r>
          <m:rPr>
            <m:sty m:val="p"/>
          </m:rPr>
          <m:t>=</m:t>
        </m:r>
        <m:r>
          <m:t>3</m:t>
        </m:r>
      </m:oMath>
      <w:r>
        <w:t xml:space="preserve">,</w:t>
      </w:r>
      <w:r>
        <w:t xml:space="preserve"> </w:t>
      </w:r>
      <m:oMath>
        <m:r>
          <m:t>I</m:t>
        </m:r>
        <m:r>
          <m:rPr>
            <m:sty m:val="p"/>
          </m:rPr>
          <m:t>=</m:t>
        </m:r>
        <m:r>
          <m:t>180</m:t>
        </m:r>
      </m:oMath>
      <w:r>
        <w:t xml:space="preserve">.</w:t>
      </w:r>
    </w:p>
    <w:p>
      <w:pPr>
        <w:pStyle w:val="BlockText"/>
      </w:pPr>
      <w:r>
        <w:rPr>
          <w:b/>
          <w:bCs/>
        </w:rPr>
        <w:t xml:space="preserve">Resolução:</w:t>
      </w:r>
    </w:p>
    <w:p>
      <w:pPr>
        <w:pStyle w:val="BlockText"/>
      </w:pPr>
      <w:r>
        <w:rPr>
          <w:b/>
          <w:bCs/>
        </w:rPr>
        <w:t xml:space="preserve">Passo 1 — Montar o lagrangeano e obter as CPOs</w:t>
      </w:r>
    </w:p>
    <w:p>
      <w:pPr>
        <w:pStyle w:val="BlockText"/>
      </w:pPr>
      <m:oMath>
        <m:r>
          <m:rPr>
            <m:scr m:val="script"/>
            <m:sty m:val="p"/>
          </m:rPr>
          <m:t>L</m:t>
        </m:r>
        <m:r>
          <m:rPr>
            <m:sty m:val="p"/>
          </m:rPr>
          <m:t>=</m:t>
        </m:r>
        <m:sSubSup>
          <m:e>
            <m:r>
              <m:t>x</m:t>
            </m:r>
          </m:e>
          <m:sub>
            <m:r>
              <m:t>1</m:t>
            </m:r>
          </m:sub>
          <m:sup>
            <m:r>
              <m:t>1</m:t>
            </m:r>
            <m:r>
              <m:rPr>
                <m:sty m:val="p"/>
              </m:rPr>
              <m:t>/</m:t>
            </m:r>
            <m:r>
              <m:t>3</m:t>
            </m:r>
          </m:sup>
        </m:sSubSup>
        <m:sSubSup>
          <m:e>
            <m:r>
              <m:t>x</m:t>
            </m:r>
          </m:e>
          <m:sub>
            <m:r>
              <m:t>2</m:t>
            </m:r>
          </m:sub>
          <m:sup>
            <m:r>
              <m:t>2</m:t>
            </m:r>
            <m:r>
              <m:rPr>
                <m:sty m:val="p"/>
              </m:rPr>
              <m:t>/</m:t>
            </m:r>
            <m:r>
              <m:t>3</m:t>
            </m:r>
          </m:sup>
        </m:sSubSup>
        <m:r>
          <m:rPr>
            <m:sty m:val="p"/>
          </m:rPr>
          <m:t>+</m:t>
        </m:r>
        <m:r>
          <m:t>λ</m:t>
        </m:r>
        <m:r>
          <m:rPr>
            <m:sty m:val="p"/>
          </m:rPr>
          <m:t>(</m:t>
        </m:r>
        <m:r>
          <m:t>180</m:t>
        </m:r>
        <m:r>
          <m:rPr>
            <m:sty m:val="p"/>
          </m:rPr>
          <m:t>−</m:t>
        </m:r>
        <m:r>
          <m:t>6</m:t>
        </m:r>
        <m:sSub>
          <m:e>
            <m:r>
              <m:t>x</m:t>
            </m:r>
          </m:e>
          <m:sub>
            <m:r>
              <m:t>1</m:t>
            </m:r>
          </m:sub>
        </m:sSub>
        <m:r>
          <m:rPr>
            <m:sty m:val="p"/>
          </m:rPr>
          <m:t>−</m:t>
        </m:r>
        <m:r>
          <m:t>3</m:t>
        </m:r>
        <m:sSub>
          <m:e>
            <m:r>
              <m:t>x</m:t>
            </m:r>
          </m:e>
          <m:sub>
            <m:r>
              <m:t>2</m:t>
            </m:r>
          </m:sub>
        </m:sSub>
        <m:r>
          <m:rPr>
            <m:sty m:val="p"/>
          </m:rPr>
          <m:t>)</m:t>
        </m:r>
      </m:oMath>
    </w:p>
    <w:p>
      <w:pPr>
        <w:pStyle w:val="BlockText"/>
      </w:pPr>
      <w:r>
        <w:t xml:space="preserve">CPOs:</w:t>
      </w:r>
      <w:r>
        <w:t xml:space="preserve"> </w:t>
      </w:r>
      <m:oMath>
        <m:f>
          <m:fPr>
            <m:type m:val="bar"/>
          </m:fPr>
          <m:num>
            <m:r>
              <m:t>1</m:t>
            </m:r>
          </m:num>
          <m:den>
            <m:r>
              <m:t>3</m:t>
            </m:r>
          </m:den>
        </m:f>
        <m:sSubSup>
          <m:e>
            <m:r>
              <m:t>x</m:t>
            </m:r>
          </m:e>
          <m:sub>
            <m:r>
              <m:t>1</m:t>
            </m:r>
          </m:sub>
          <m:sup>
            <m:r>
              <m:rPr>
                <m:sty m:val="p"/>
              </m:rPr>
              <m:t>−</m:t>
            </m:r>
            <m:r>
              <m:t>2</m:t>
            </m:r>
            <m:r>
              <m:rPr>
                <m:sty m:val="p"/>
              </m:rPr>
              <m:t>/</m:t>
            </m:r>
            <m:r>
              <m:t>3</m:t>
            </m:r>
          </m:sup>
        </m:sSubSup>
        <m:sSubSup>
          <m:e>
            <m:r>
              <m:t>x</m:t>
            </m:r>
          </m:e>
          <m:sub>
            <m:r>
              <m:t>2</m:t>
            </m:r>
          </m:sub>
          <m:sup>
            <m:r>
              <m:t>2</m:t>
            </m:r>
            <m:r>
              <m:rPr>
                <m:sty m:val="p"/>
              </m:rPr>
              <m:t>/</m:t>
            </m:r>
            <m:r>
              <m:t>3</m:t>
            </m:r>
          </m:sup>
        </m:sSubSup>
        <m:r>
          <m:rPr>
            <m:sty m:val="p"/>
          </m:rPr>
          <m:t>=</m:t>
        </m:r>
        <m:r>
          <m:t>6</m:t>
        </m:r>
        <m:r>
          <m:t>λ</m:t>
        </m:r>
      </m:oMath>
      <w:r>
        <w:t xml:space="preserve"> </w:t>
      </w:r>
      <w:r>
        <w:t xml:space="preserve">e</w:t>
      </w:r>
      <w:r>
        <w:t xml:space="preserve"> </w:t>
      </w:r>
      <m:oMath>
        <m:f>
          <m:fPr>
            <m:type m:val="bar"/>
          </m:fPr>
          <m:num>
            <m:r>
              <m:t>2</m:t>
            </m:r>
          </m:num>
          <m:den>
            <m:r>
              <m:t>3</m:t>
            </m:r>
          </m:den>
        </m:f>
        <m:sSubSup>
          <m:e>
            <m:r>
              <m:t>x</m:t>
            </m:r>
          </m:e>
          <m:sub>
            <m:r>
              <m:t>1</m:t>
            </m:r>
          </m:sub>
          <m:sup>
            <m:r>
              <m:t>1</m:t>
            </m:r>
            <m:r>
              <m:rPr>
                <m:sty m:val="p"/>
              </m:rPr>
              <m:t>/</m:t>
            </m:r>
            <m:r>
              <m:t>3</m:t>
            </m:r>
          </m:sup>
        </m:sSubSup>
        <m:sSubSup>
          <m:e>
            <m:r>
              <m:t>x</m:t>
            </m:r>
          </m:e>
          <m:sub>
            <m:r>
              <m:t>2</m:t>
            </m:r>
          </m:sub>
          <m:sup>
            <m:r>
              <m:rPr>
                <m:sty m:val="p"/>
              </m:rPr>
              <m:t>−</m:t>
            </m:r>
            <m:r>
              <m:t>1</m:t>
            </m:r>
            <m:r>
              <m:rPr>
                <m:sty m:val="p"/>
              </m:rPr>
              <m:t>/</m:t>
            </m:r>
            <m:r>
              <m:t>3</m:t>
            </m:r>
          </m:sup>
        </m:sSubSup>
        <m:r>
          <m:rPr>
            <m:sty m:val="p"/>
          </m:rPr>
          <m:t>=</m:t>
        </m:r>
        <m:r>
          <m:t>3</m:t>
        </m:r>
        <m:r>
          <m:t>λ</m:t>
        </m:r>
      </m:oMath>
      <w:r>
        <w:t xml:space="preserve">.</w:t>
      </w:r>
    </w:p>
    <w:p>
      <w:pPr>
        <w:pStyle w:val="BlockText"/>
      </w:pPr>
      <w:r>
        <w:rPr>
          <w:b/>
          <w:bCs/>
        </w:rPr>
        <w:t xml:space="preserve">Passo 2 — Dividir as CPOs e resolver</w:t>
      </w:r>
    </w:p>
    <w:p>
      <w:pPr>
        <w:pStyle w:val="BlockText"/>
      </w:pPr>
      <w:r>
        <w:t xml:space="preserve">Dividindo a primeira pela segunda:</w:t>
      </w:r>
      <w:r>
        <w:t xml:space="preserve"> </w:t>
      </w:r>
      <m:oMath>
        <m:f>
          <m:fPr>
            <m:type m:val="bar"/>
          </m:fPr>
          <m:num>
            <m:sSub>
              <m:e>
                <m:r>
                  <m:t>x</m:t>
                </m:r>
              </m:e>
              <m:sub>
                <m:r>
                  <m:t>2</m:t>
                </m:r>
              </m:sub>
            </m:sSub>
          </m:num>
          <m:den>
            <m:r>
              <m:t>2</m:t>
            </m:r>
            <m:sSub>
              <m:e>
                <m:r>
                  <m:t>x</m:t>
                </m:r>
              </m:e>
              <m:sub>
                <m:r>
                  <m:t>1</m:t>
                </m:r>
              </m:sub>
            </m:sSub>
          </m:den>
        </m:f>
        <m:r>
          <m:rPr>
            <m:sty m:val="p"/>
          </m:rPr>
          <m:t>=</m:t>
        </m:r>
        <m:f>
          <m:fPr>
            <m:type m:val="bar"/>
          </m:fPr>
          <m:num>
            <m:r>
              <m:t>6</m:t>
            </m:r>
          </m:num>
          <m:den>
            <m:r>
              <m:t>3</m:t>
            </m:r>
          </m:den>
        </m:f>
        <m:r>
          <m:rPr>
            <m:sty m:val="p"/>
          </m:rPr>
          <m:t>=</m:t>
        </m:r>
        <m:r>
          <m:t>2</m:t>
        </m:r>
      </m:oMath>
      <w:r>
        <w:t xml:space="preserve">, logo</w:t>
      </w:r>
      <w:r>
        <w:t xml:space="preserve"> </w:t>
      </w:r>
      <m:oMath>
        <m:sSub>
          <m:e>
            <m:r>
              <m:t>x</m:t>
            </m:r>
          </m:e>
          <m:sub>
            <m:r>
              <m:t>2</m:t>
            </m:r>
          </m:sub>
        </m:sSub>
        <m:r>
          <m:rPr>
            <m:sty m:val="p"/>
          </m:rPr>
          <m:t>=</m:t>
        </m:r>
        <m:r>
          <m:t>4</m:t>
        </m:r>
        <m:sSub>
          <m:e>
            <m:r>
              <m:t>x</m:t>
            </m:r>
          </m:e>
          <m:sub>
            <m:r>
              <m:t>1</m:t>
            </m:r>
          </m:sub>
        </m:sSub>
      </m:oMath>
      <w:r>
        <w:t xml:space="preserve">.</w:t>
      </w:r>
    </w:p>
    <w:p>
      <w:pPr>
        <w:pStyle w:val="BlockText"/>
      </w:pPr>
      <w:r>
        <w:t xml:space="preserve">Substituindo na restrição:</w:t>
      </w:r>
      <w:r>
        <w:t xml:space="preserve"> </w:t>
      </w:r>
      <m:oMath>
        <m:r>
          <m:t>6</m:t>
        </m:r>
        <m:sSub>
          <m:e>
            <m:r>
              <m:t>x</m:t>
            </m:r>
          </m:e>
          <m:sub>
            <m:r>
              <m:t>1</m:t>
            </m:r>
          </m:sub>
        </m:sSub>
        <m:r>
          <m:rPr>
            <m:sty m:val="p"/>
          </m:rPr>
          <m:t>+</m:t>
        </m:r>
        <m:r>
          <m:t>3</m:t>
        </m:r>
        <m:r>
          <m:rPr>
            <m:sty m:val="p"/>
          </m:rPr>
          <m:t>(</m:t>
        </m:r>
        <m:r>
          <m:t>4</m:t>
        </m:r>
        <m:sSub>
          <m:e>
            <m:r>
              <m:t>x</m:t>
            </m:r>
          </m:e>
          <m:sub>
            <m:r>
              <m:t>1</m:t>
            </m:r>
          </m:sub>
        </m:sSub>
        <m:r>
          <m:rPr>
            <m:sty m:val="p"/>
          </m:rPr>
          <m:t>)</m:t>
        </m:r>
        <m:r>
          <m:rPr>
            <m:sty m:val="p"/>
          </m:rPr>
          <m:t>=</m:t>
        </m:r>
        <m:r>
          <m:t>180</m:t>
        </m:r>
        <m:r>
          <m:rPr>
            <m:sty m:val="p"/>
          </m:rPr>
          <m:t>⇒</m:t>
        </m:r>
        <m:r>
          <m:t>18</m:t>
        </m:r>
        <m:sSub>
          <m:e>
            <m:r>
              <m:t>x</m:t>
            </m:r>
          </m:e>
          <m:sub>
            <m:r>
              <m:t>1</m:t>
            </m:r>
          </m:sub>
        </m:sSub>
        <m:r>
          <m:rPr>
            <m:sty m:val="p"/>
          </m:rPr>
          <m:t>=</m:t>
        </m:r>
        <m:r>
          <m:t>180</m:t>
        </m:r>
        <m:r>
          <m:rPr>
            <m:sty m:val="p"/>
          </m:rPr>
          <m:t>⇒</m:t>
        </m:r>
        <m:sSubSup>
          <m:e>
            <m:r>
              <m:t>x</m:t>
            </m:r>
          </m:e>
          <m:sub>
            <m:r>
              <m:t>1</m:t>
            </m:r>
          </m:sub>
          <m:sup>
            <m:r>
              <m:rPr>
                <m:sty m:val="p"/>
              </m:rPr>
              <m:t>*</m:t>
            </m:r>
          </m:sup>
        </m:sSubSup>
        <m:r>
          <m:rPr>
            <m:sty m:val="p"/>
          </m:rPr>
          <m:t>=</m:t>
        </m:r>
        <m:r>
          <m:t>10</m:t>
        </m:r>
      </m:oMath>
      <w:r>
        <w:t xml:space="preserve">.</w:t>
      </w:r>
    </w:p>
    <w:p>
      <w:pPr>
        <w:pStyle w:val="BlockText"/>
      </w:pPr>
      <w:r>
        <w:t xml:space="preserve">Portanto</w:t>
      </w:r>
      <w:r>
        <w:t xml:space="preserve"> </w:t>
      </w:r>
      <m:oMath>
        <m:sSubSup>
          <m:e>
            <m:r>
              <m:t>x</m:t>
            </m:r>
          </m:e>
          <m:sub>
            <m:r>
              <m:t>2</m:t>
            </m:r>
          </m:sub>
          <m:sup>
            <m:r>
              <m:rPr>
                <m:sty m:val="p"/>
              </m:rPr>
              <m:t>*</m:t>
            </m:r>
          </m:sup>
        </m:sSubSup>
        <m:r>
          <m:rPr>
            <m:sty m:val="p"/>
          </m:rPr>
          <m:t>=</m:t>
        </m:r>
        <m:r>
          <m:t>40</m:t>
        </m:r>
      </m:oMath>
      <w:r>
        <w:t xml:space="preserve">.</w:t>
      </w:r>
    </w:p>
    <w:p>
      <w:pPr>
        <w:pStyle w:val="BlockText"/>
      </w:pPr>
      <w:r>
        <w:rPr>
          <w:b/>
          <w:bCs/>
        </w:rPr>
        <w:t xml:space="preserve">Passo 3 — Verificar pela fórmula geral Cobb-Douglas</w:t>
      </w:r>
    </w:p>
    <w:p>
      <w:pPr>
        <w:pStyle w:val="BlockText"/>
      </w:pPr>
      <m:oMath>
        <m:sSubSup>
          <m:e>
            <m:r>
              <m:t>x</m:t>
            </m:r>
          </m:e>
          <m:sub>
            <m:r>
              <m:t>1</m:t>
            </m:r>
          </m:sub>
          <m:sup>
            <m:r>
              <m:rPr>
                <m:sty m:val="p"/>
              </m:rPr>
              <m:t>*</m:t>
            </m:r>
          </m:sup>
        </m:sSubSup>
        <m:r>
          <m:rPr>
            <m:sty m:val="p"/>
          </m:rPr>
          <m:t>=</m:t>
        </m:r>
        <m:f>
          <m:fPr>
            <m:type m:val="bar"/>
          </m:fPr>
          <m:num>
            <m:r>
              <m:t>a</m:t>
            </m:r>
          </m:num>
          <m:den>
            <m:r>
              <m:t>a</m:t>
            </m:r>
            <m:r>
              <m:rPr>
                <m:sty m:val="p"/>
              </m:rPr>
              <m:t>+</m:t>
            </m:r>
            <m:r>
              <m:t>b</m:t>
            </m:r>
          </m:den>
        </m:f>
        <m:r>
          <m:rPr>
            <m:sty m:val="p"/>
          </m:rPr>
          <m:t>⋅</m:t>
        </m:r>
        <m:f>
          <m:fPr>
            <m:type m:val="bar"/>
          </m:fPr>
          <m:num>
            <m:r>
              <m:t>I</m:t>
            </m:r>
          </m:num>
          <m:den>
            <m:sSub>
              <m:e>
                <m:r>
                  <m:t>p</m:t>
                </m:r>
              </m:e>
              <m:sub>
                <m:r>
                  <m:t>1</m:t>
                </m:r>
              </m:sub>
            </m:sSub>
          </m:den>
        </m:f>
        <m:r>
          <m:rPr>
            <m:sty m:val="p"/>
          </m:rPr>
          <m:t>=</m:t>
        </m:r>
        <m:f>
          <m:fPr>
            <m:type m:val="bar"/>
          </m:fPr>
          <m:num>
            <m:r>
              <m:t>1</m:t>
            </m:r>
            <m:r>
              <m:rPr>
                <m:sty m:val="p"/>
              </m:rPr>
              <m:t>/</m:t>
            </m:r>
            <m:r>
              <m:t>3</m:t>
            </m:r>
          </m:num>
          <m:den>
            <m:r>
              <m:t>1</m:t>
            </m:r>
          </m:den>
        </m:f>
        <m:r>
          <m:rPr>
            <m:sty m:val="p"/>
          </m:rPr>
          <m:t>⋅</m:t>
        </m:r>
        <m:f>
          <m:fPr>
            <m:type m:val="bar"/>
          </m:fPr>
          <m:num>
            <m:r>
              <m:t>180</m:t>
            </m:r>
          </m:num>
          <m:den>
            <m:r>
              <m:t>6</m:t>
            </m:r>
          </m:den>
        </m:f>
        <m:r>
          <m:rPr>
            <m:sty m:val="p"/>
          </m:rPr>
          <m:t>=</m:t>
        </m:r>
        <m:r>
          <m:t>10</m:t>
        </m:r>
      </m:oMath>
      <w:r>
        <w:t xml:space="preserve"> </w:t>
      </w:r>
      <w:r>
        <w:t xml:space="preserve">✓</w:t>
      </w:r>
    </w:p>
    <w:p>
      <w:pPr>
        <w:pStyle w:val="BlockText"/>
      </w:pPr>
      <m:oMath>
        <m:sSubSup>
          <m:e>
            <m:r>
              <m:t>x</m:t>
            </m:r>
          </m:e>
          <m:sub>
            <m:r>
              <m:t>2</m:t>
            </m:r>
          </m:sub>
          <m:sup>
            <m:r>
              <m:rPr>
                <m:sty m:val="p"/>
              </m:rPr>
              <m:t>*</m:t>
            </m:r>
          </m:sup>
        </m:sSubSup>
        <m:r>
          <m:rPr>
            <m:sty m:val="p"/>
          </m:rPr>
          <m:t>=</m:t>
        </m:r>
        <m:f>
          <m:fPr>
            <m:type m:val="bar"/>
          </m:fPr>
          <m:num>
            <m:r>
              <m:t>b</m:t>
            </m:r>
          </m:num>
          <m:den>
            <m:r>
              <m:t>a</m:t>
            </m:r>
            <m:r>
              <m:rPr>
                <m:sty m:val="p"/>
              </m:rPr>
              <m:t>+</m:t>
            </m:r>
            <m:r>
              <m:t>b</m:t>
            </m:r>
          </m:den>
        </m:f>
        <m:r>
          <m:rPr>
            <m:sty m:val="p"/>
          </m:rPr>
          <m:t>⋅</m:t>
        </m:r>
        <m:f>
          <m:fPr>
            <m:type m:val="bar"/>
          </m:fPr>
          <m:num>
            <m:r>
              <m:t>I</m:t>
            </m:r>
          </m:num>
          <m:den>
            <m:sSub>
              <m:e>
                <m:r>
                  <m:t>p</m:t>
                </m:r>
              </m:e>
              <m:sub>
                <m:r>
                  <m:t>2</m:t>
                </m:r>
              </m:sub>
            </m:sSub>
          </m:den>
        </m:f>
        <m:r>
          <m:rPr>
            <m:sty m:val="p"/>
          </m:rPr>
          <m:t>=</m:t>
        </m:r>
        <m:f>
          <m:fPr>
            <m:type m:val="bar"/>
          </m:fPr>
          <m:num>
            <m:r>
              <m:t>2</m:t>
            </m:r>
            <m:r>
              <m:rPr>
                <m:sty m:val="p"/>
              </m:rPr>
              <m:t>/</m:t>
            </m:r>
            <m:r>
              <m:t>3</m:t>
            </m:r>
          </m:num>
          <m:den>
            <m:r>
              <m:t>1</m:t>
            </m:r>
          </m:den>
        </m:f>
        <m:r>
          <m:rPr>
            <m:sty m:val="p"/>
          </m:rPr>
          <m:t>⋅</m:t>
        </m:r>
        <m:f>
          <m:fPr>
            <m:type m:val="bar"/>
          </m:fPr>
          <m:num>
            <m:r>
              <m:t>180</m:t>
            </m:r>
          </m:num>
          <m:den>
            <m:r>
              <m:t>3</m:t>
            </m:r>
          </m:den>
        </m:f>
        <m:r>
          <m:rPr>
            <m:sty m:val="p"/>
          </m:rPr>
          <m:t>=</m:t>
        </m:r>
        <m:r>
          <m:t>40</m:t>
        </m:r>
      </m:oMath>
      <w:r>
        <w:t xml:space="preserve"> </w:t>
      </w:r>
      <w:r>
        <w:t xml:space="preserve">✓</w:t>
      </w:r>
    </w:p>
    <w:p>
      <w:pPr>
        <w:pStyle w:val="BlockText"/>
      </w:pPr>
      <w:r>
        <w:rPr>
          <w:b/>
          <w:bCs/>
        </w:rPr>
        <w:t xml:space="preserve">Resultado:</w:t>
      </w:r>
      <w:r>
        <w:t xml:space="preserve"> </w:t>
      </w:r>
      <w:r>
        <w:t xml:space="preserve">A cesta ótima é</w:t>
      </w:r>
      <w:r>
        <w:t xml:space="preserve"> </w:t>
      </w:r>
      <m:oMath>
        <m:r>
          <m:rPr>
            <m:sty m:val="p"/>
          </m:rPr>
          <m:t>(</m:t>
        </m:r>
        <m:sSubSup>
          <m:e>
            <m:r>
              <m:t>x</m:t>
            </m:r>
          </m:e>
          <m:sub>
            <m:r>
              <m:t>1</m:t>
            </m:r>
          </m:sub>
          <m:sup>
            <m:r>
              <m:rPr>
                <m:sty m:val="p"/>
              </m:rPr>
              <m:t>*</m:t>
            </m:r>
          </m:sup>
        </m:sSubSup>
        <m:r>
          <m:rPr>
            <m:sty m:val="p"/>
          </m:rPr>
          <m:t>,</m:t>
        </m:r>
        <m:sSubSup>
          <m:e>
            <m:r>
              <m:t>x</m:t>
            </m:r>
          </m:e>
          <m:sub>
            <m:r>
              <m:t>2</m:t>
            </m:r>
          </m:sub>
          <m:sup>
            <m:r>
              <m:rPr>
                <m:sty m:val="p"/>
              </m:rPr>
              <m:t>*</m:t>
            </m:r>
          </m:sup>
        </m:sSubSup>
        <m:r>
          <m:rPr>
            <m:sty m:val="p"/>
          </m:rPr>
          <m:t>)</m:t>
        </m:r>
        <m:r>
          <m:rPr>
            <m:sty m:val="p"/>
          </m:rPr>
          <m:t>=</m:t>
        </m:r>
        <m:r>
          <m:rPr>
            <m:sty m:val="p"/>
          </m:rPr>
          <m:t>(</m:t>
        </m:r>
        <m:r>
          <m:t>10</m:t>
        </m:r>
        <m:r>
          <m:rPr>
            <m:sty m:val="p"/>
          </m:rPr>
          <m:t>,</m:t>
        </m:r>
        <m:r>
          <m:t>40</m:t>
        </m:r>
        <m:r>
          <m:rPr>
            <m:sty m:val="p"/>
          </m:rPr>
          <m:t>)</m:t>
        </m:r>
      </m:oMath>
      <w:r>
        <w:t xml:space="preserve">, com utilidade máxima</w:t>
      </w:r>
      <w:r>
        <w:t xml:space="preserve"> </w:t>
      </w:r>
      <m:oMath>
        <m:sSup>
          <m:e>
            <m:r>
              <m:t>u</m:t>
            </m:r>
          </m:e>
          <m:sup>
            <m:r>
              <m:rPr>
                <m:sty m:val="p"/>
              </m:rPr>
              <m:t>*</m:t>
            </m:r>
          </m:sup>
        </m:sSup>
        <m:r>
          <m:rPr>
            <m:sty m:val="p"/>
          </m:rPr>
          <m:t>=</m:t>
        </m:r>
        <m:sSup>
          <m:e>
            <m:r>
              <m:t>10</m:t>
            </m:r>
          </m:e>
          <m:sup>
            <m:r>
              <m:t>1</m:t>
            </m:r>
            <m:r>
              <m:rPr>
                <m:sty m:val="p"/>
              </m:rPr>
              <m:t>/</m:t>
            </m:r>
            <m:r>
              <m:t>3</m:t>
            </m:r>
          </m:sup>
        </m:sSup>
        <m:r>
          <m:rPr>
            <m:sty m:val="p"/>
          </m:rPr>
          <m:t>⋅</m:t>
        </m:r>
        <m:sSup>
          <m:e>
            <m:r>
              <m:t>40</m:t>
            </m:r>
          </m:e>
          <m:sup>
            <m:r>
              <m:t>2</m:t>
            </m:r>
            <m:r>
              <m:rPr>
                <m:sty m:val="p"/>
              </m:rPr>
              <m:t>/</m:t>
            </m:r>
            <m:r>
              <m:t>3</m:t>
            </m:r>
          </m:sup>
        </m:sSup>
        <m:r>
          <m:rPr>
            <m:sty m:val="p"/>
          </m:rPr>
          <m:t>≈</m:t>
        </m:r>
        <m:r>
          <m:t>25</m:t>
        </m:r>
        <m:r>
          <m:rPr>
            <m:sty m:val="p"/>
          </m:rPr>
          <m:t>,</m:t>
        </m:r>
        <m:r>
          <m:t>20</m:t>
        </m:r>
      </m:oMath>
      <w:r>
        <w:t xml:space="preserve">.</w:t>
      </w:r>
    </w:p>
    <w:p>
      <w:pPr>
        <w:pStyle w:val="BlockText"/>
      </w:pPr>
      <w:r>
        <w:rPr>
          <w:b/>
          <w:bCs/>
        </w:rPr>
        <w:t xml:space="preserve">Interpretação econômica:</w:t>
      </w:r>
      <w:r>
        <w:t xml:space="preserve"> </w:t>
      </w:r>
      <w:r>
        <w:t xml:space="preserve">O consumidor gasta exatamente 1/3 da renda no bem 1 (</w:t>
      </w:r>
      <m:oMath>
        <m:r>
          <m:t>6</m:t>
        </m:r>
        <m:r>
          <m:rPr>
            <m:sty m:val="p"/>
          </m:rPr>
          <m:t>×</m:t>
        </m:r>
        <m:r>
          <m:t>10</m:t>
        </m:r>
        <m:r>
          <m:rPr>
            <m:sty m:val="p"/>
          </m:rPr>
          <m:t>=</m:t>
        </m:r>
        <m:r>
          <m:t>60</m:t>
        </m:r>
      </m:oMath>
      <w:r>
        <w:t xml:space="preserve">) e 2/3 no bem 2 (</w:t>
      </w:r>
      <m:oMath>
        <m:r>
          <m:t>3</m:t>
        </m:r>
        <m:r>
          <m:rPr>
            <m:sty m:val="p"/>
          </m:rPr>
          <m:t>×</m:t>
        </m:r>
        <m:r>
          <m:t>40</m:t>
        </m:r>
        <m:r>
          <m:rPr>
            <m:sty m:val="p"/>
          </m:rPr>
          <m:t>=</m:t>
        </m:r>
        <m:r>
          <m:t>120</m:t>
        </m:r>
      </m:oMath>
      <w:r>
        <w:t xml:space="preserve">). Essa proporção fixa é uma propriedade geral da Cobb-Douglas: os expoentes determinam as parcelas de gasto, independentemente dos preços. Essa regularidade é consistente com evidências empíricas de que famílias brasileiras mantêm participações relativamente estáveis de categorias amplas de consumo (alimentação, habitação, transporte) em seus orçamentos, conforme documentado pela POF/IBGE.</w:t>
      </w:r>
    </w:p>
    <w:p>
      <w:r>
        <w:pict>
          <v:rect style="width:0;height:1.5pt" o:hralign="center" o:hrstd="t" o:hr="t"/>
        </w:pict>
      </w:r>
    </w:p>
    <w:bookmarkEnd w:id="196"/>
    <w:bookmarkStart w:id="199" w:name="X67a4fc3b2d7b3359059c70cbaabfefc085b6d9c"/>
    <w:p>
      <w:pPr>
        <w:pStyle w:val="Heading3"/>
      </w:pPr>
      <w:r>
        <w:t xml:space="preserve">4.5 Por Que Imposto Distorce: O Princípio</w:t>
      </w:r>
      <w:r>
        <w:t xml:space="preserve"> </w:t>
      </w:r>
      <w:r>
        <w:rPr>
          <w:i/>
          <w:iCs/>
        </w:rPr>
        <w:t xml:space="preserve">Lump Sum</w:t>
      </w:r>
    </w:p>
    <w:p>
      <w:pPr>
        <w:pStyle w:val="FirstParagraph"/>
      </w:pPr>
      <w:r>
        <w:t xml:space="preserve">Com a função de utilidade indireta em mãos, estamos em condições de analisar uma das questões mais relevantes da microeconomia aplicada a políticas públicas. Antes de apresentar o resultado formal, considere a seguinte pergunta de política pública: se o governo precisa arrecadar uma determinada receita de um consumidor, qual tipo de imposto causa</w:t>
      </w:r>
      <w:r>
        <w:t xml:space="preserve"> </w:t>
      </w:r>
      <w:r>
        <w:rPr>
          <w:b/>
          <w:bCs/>
        </w:rPr>
        <w:t xml:space="preserve">menor perda de bem-estar</w:t>
      </w:r>
      <w:r>
        <w:t xml:space="preserve">?</w:t>
      </w:r>
      <w:r>
        <w:rPr>
          <w:rStyle w:val="FootnoteReference"/>
        </w:rPr>
        <w:footnoteReference w:id="197"/>
      </w:r>
      <w:r>
        <w:t xml:space="preserve"> </w:t>
      </w:r>
      <w:r>
        <w:t xml:space="preserve">A resposta revela uma das implicações mais poderosas da teoria do consumidor — e justifica, do ponto de vista teórico, a preferência por transferências diretas de renda sobre subsídios específicos.</w:t>
      </w:r>
    </w:p>
    <w:p>
      <w:pPr>
        <w:pStyle w:val="BlockText"/>
      </w:pPr>
      <w:r>
        <w:rPr>
          <w:b/>
          <w:bCs/>
        </w:rPr>
        <w:t xml:space="preserve">[TEOREMA] Proposição 4.1 — Princípio do montante fixo</w:t>
      </w:r>
    </w:p>
    <w:p>
      <w:pPr>
        <w:pStyle w:val="BlockText"/>
      </w:pPr>
      <w:r>
        <w:t xml:space="preserve">Um imposto sobre a renda (montante fixo,</w:t>
      </w:r>
      <w:r>
        <w:t xml:space="preserve"> </w:t>
      </w:r>
      <w:r>
        <w:rPr>
          <w:i/>
          <w:iCs/>
        </w:rPr>
        <w:t xml:space="preserve">lump sum</w:t>
      </w:r>
      <w:r>
        <w:t xml:space="preserve">) que arrecada a mesma receita que um imposto específico sobre um bem deixa o consumidor em um nível de utilidade</w:t>
      </w:r>
      <w:r>
        <w:t xml:space="preserve"> </w:t>
      </w:r>
      <w:r>
        <w:rPr>
          <w:b/>
          <w:bCs/>
        </w:rPr>
        <w:t xml:space="preserve">pelo menos tão alto</w:t>
      </w:r>
      <w:r>
        <w:t xml:space="preserve"> </w:t>
      </w:r>
      <w:r>
        <w:t xml:space="preserve">quanto o imposto específico.</w:t>
      </w:r>
    </w:p>
    <w:p>
      <w:pPr>
        <w:pStyle w:val="FirstParagraph"/>
      </w:pPr>
      <w:r>
        <w:rPr>
          <w:b/>
          <w:bCs/>
        </w:rPr>
        <w:t xml:space="preserve">Intuição</w:t>
      </w:r>
      <w:r>
        <w:t xml:space="preserve">: O imposto específico sobre o bem 1 (digamos, de valor</w:t>
      </w:r>
      <w:r>
        <w:t xml:space="preserve"> </w:t>
      </w:r>
      <m:oMath>
        <m:r>
          <m:t>t</m:t>
        </m:r>
      </m:oMath>
      <w:r>
        <w:t xml:space="preserve"> </w:t>
      </w:r>
      <w:r>
        <w:t xml:space="preserve">por unidade) altera a razão de preços, distorcendo a escolha do consumidor. O imposto</w:t>
      </w:r>
      <w:r>
        <w:t xml:space="preserve"> </w:t>
      </w:r>
      <w:r>
        <w:rPr>
          <w:i/>
          <w:iCs/>
        </w:rPr>
        <w:t xml:space="preserve">lump sum</w:t>
      </w:r>
      <w:r>
        <w:t xml:space="preserve"> </w:t>
      </w:r>
      <w:r>
        <w:t xml:space="preserve">equivalente desloca a reta orçamentária paralelamente, sem distorcer preços relativos. O consumidor enfrenta a mesma redução de poder aquisitivo, mas pode realocar livremente entre os bens.</w:t>
      </w:r>
    </w:p>
    <w:p>
      <w:pPr>
        <w:pStyle w:val="BodyText"/>
      </w:pPr>
      <w:r>
        <w:t xml:space="preserve">Formalmente, seja a cesta ótima sob o imposto específico</w:t>
      </w:r>
      <w:r>
        <w:t xml:space="preserve"> </w:t>
      </w:r>
      <m:oMath>
        <m:r>
          <m:rPr>
            <m:sty m:val="p"/>
          </m:rPr>
          <m:t>(</m:t>
        </m:r>
        <m:sSubSup>
          <m:e>
            <m:r>
              <m:t>x</m:t>
            </m:r>
          </m:e>
          <m:sub>
            <m:r>
              <m:t>1</m:t>
            </m:r>
          </m:sub>
          <m:sup>
            <m:r>
              <m:t>t</m:t>
            </m:r>
          </m:sup>
        </m:sSubSup>
        <m:r>
          <m:rPr>
            <m:sty m:val="p"/>
          </m:rPr>
          <m:t>,</m:t>
        </m:r>
        <m:sSubSup>
          <m:e>
            <m:r>
              <m:t>x</m:t>
            </m:r>
          </m:e>
          <m:sub>
            <m:r>
              <m:t>2</m:t>
            </m:r>
          </m:sub>
          <m:sup>
            <m:r>
              <m:t>t</m:t>
            </m:r>
          </m:sup>
        </m:sSubSup>
        <m:r>
          <m:rPr>
            <m:sty m:val="p"/>
          </m:rPr>
          <m:t>)</m:t>
        </m:r>
      </m:oMath>
      <w:r>
        <w:t xml:space="preserve">. A receita arrecadada é</w:t>
      </w:r>
      <w:r>
        <w:t xml:space="preserve"> </w:t>
      </w:r>
      <m:oMath>
        <m:r>
          <m:t>R</m:t>
        </m:r>
        <m:r>
          <m:rPr>
            <m:sty m:val="p"/>
          </m:rPr>
          <m:t>=</m:t>
        </m:r>
        <m:r>
          <m:t>t</m:t>
        </m:r>
        <m:r>
          <m:rPr>
            <m:sty m:val="p"/>
          </m:rPr>
          <m:t>⋅</m:t>
        </m:r>
        <m:sSubSup>
          <m:e>
            <m:r>
              <m:t>x</m:t>
            </m:r>
          </m:e>
          <m:sub>
            <m:r>
              <m:t>1</m:t>
            </m:r>
          </m:sub>
          <m:sup>
            <m:r>
              <m:t>t</m:t>
            </m:r>
          </m:sup>
        </m:sSubSup>
      </m:oMath>
      <w:r>
        <w:t xml:space="preserve">. Sob o imposto</w:t>
      </w:r>
      <w:r>
        <w:t xml:space="preserve"> </w:t>
      </w:r>
      <w:r>
        <w:rPr>
          <w:i/>
          <w:iCs/>
        </w:rPr>
        <w:t xml:space="preserve">lump sum</w:t>
      </w:r>
      <w:r>
        <w:t xml:space="preserve"> </w:t>
      </w:r>
      <w:r>
        <w:t xml:space="preserve">de valor</w:t>
      </w:r>
      <w:r>
        <w:t xml:space="preserve"> </w:t>
      </w:r>
      <m:oMath>
        <m:r>
          <m:t>R</m:t>
        </m:r>
      </m:oMath>
      <w:r>
        <w:t xml:space="preserve">, a restrição orçamentária é:</w:t>
      </w:r>
    </w:p>
    <w:p>
      <w:pPr>
        <w:pStyle w:val="BodyText"/>
      </w:pPr>
      <m:oMathPara>
        <m:oMathParaPr>
          <m:jc m:val="center"/>
        </m:oMathParaP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r>
            <m:rPr>
              <m:sty m:val="p"/>
            </m:rPr>
            <m:t>−</m:t>
          </m:r>
          <m:r>
            <m:t>R</m:t>
          </m:r>
          <m:r>
            <m:rPr>
              <m:sty m:val="p"/>
            </m:rPr>
            <m:t>.</m:t>
          </m:r>
        </m:oMath>
      </m:oMathPara>
    </w:p>
    <w:p>
      <w:pPr>
        <w:pStyle w:val="FirstParagraph"/>
      </w:pPr>
      <w:r>
        <w:t xml:space="preserve">A cesta</w:t>
      </w:r>
      <w:r>
        <w:t xml:space="preserve"> </w:t>
      </w:r>
      <m:oMath>
        <m:r>
          <m:rPr>
            <m:sty m:val="p"/>
          </m:rPr>
          <m:t>(</m:t>
        </m:r>
        <m:sSubSup>
          <m:e>
            <m:r>
              <m:t>x</m:t>
            </m:r>
          </m:e>
          <m:sub>
            <m:r>
              <m:t>1</m:t>
            </m:r>
          </m:sub>
          <m:sup>
            <m:r>
              <m:t>t</m:t>
            </m:r>
          </m:sup>
        </m:sSubSup>
        <m:r>
          <m:rPr>
            <m:sty m:val="p"/>
          </m:rPr>
          <m:t>,</m:t>
        </m:r>
        <m:sSubSup>
          <m:e>
            <m:r>
              <m:t>x</m:t>
            </m:r>
          </m:e>
          <m:sub>
            <m:r>
              <m:t>2</m:t>
            </m:r>
          </m:sub>
          <m:sup>
            <m:r>
              <m:t>t</m:t>
            </m:r>
          </m:sup>
        </m:sSubSup>
        <m:r>
          <m:rPr>
            <m:sty m:val="p"/>
          </m:rPr>
          <m:t>)</m:t>
        </m:r>
      </m:oMath>
      <w:r>
        <w:t xml:space="preserve"> </w:t>
      </w:r>
      <w:r>
        <w:t xml:space="preserve">satisfaz esta restrição (verifique!), mas não é necessariamente ótima sob ela, pois os preços relativos são diferentes. Logo, a cesta ótima sob o</w:t>
      </w:r>
      <w:r>
        <w:t xml:space="preserve"> </w:t>
      </w:r>
      <w:r>
        <w:rPr>
          <w:i/>
          <w:iCs/>
        </w:rPr>
        <w:t xml:space="preserve">lump sum</w:t>
      </w:r>
      <w:r>
        <w:t xml:space="preserve"> </w:t>
      </w:r>
      <w:r>
        <w:t xml:space="preserve">produz utilidade pelo menos igual.</w:t>
      </w:r>
    </w:p>
    <w:p>
      <w:pPr>
        <w:pStyle w:val="BodyText"/>
      </w:pPr>
      <w:r>
        <w:t xml:space="preserve">A geometria do argumento é esclarecedora: o imposto específico rotaciona a reta orçamentária, enquanto o</w:t>
      </w:r>
      <w:r>
        <w:t xml:space="preserve"> </w:t>
      </w:r>
      <w:r>
        <w:rPr>
          <w:i/>
          <w:iCs/>
        </w:rPr>
        <w:t xml:space="preserve">lump sum</w:t>
      </w:r>
      <w:r>
        <w:t xml:space="preserve"> </w:t>
      </w:r>
      <w:r>
        <w:t xml:space="preserve">a desloca paralelamente. A cesta escolhida sob o imposto específico fica no ponto de tangência com uma curva de indiferença mais baixa do que seria possível com o</w:t>
      </w:r>
      <w:r>
        <w:t xml:space="preserve"> </w:t>
      </w:r>
      <w:r>
        <w:rPr>
          <w:i/>
          <w:iCs/>
        </w:rPr>
        <w:t xml:space="preserve">lump sum</w:t>
      </w:r>
      <w:r>
        <w:t xml:space="preserve"> </w:t>
      </w:r>
      <w:r>
        <w:t xml:space="preserve">que arrecada o mesmo valor — porque sob o</w:t>
      </w:r>
      <w:r>
        <w:t xml:space="preserve"> </w:t>
      </w:r>
      <w:r>
        <w:rPr>
          <w:i/>
          <w:iCs/>
        </w:rPr>
        <w:t xml:space="preserve">lump sum</w:t>
      </w:r>
      <w:r>
        <w:t xml:space="preserve">, os preços relativos são preservados e o consumidor pode alcançar uma curva de indiferença mais alta. Esse resultado, formalizado por Paul Samuelson e John Hicks no século XX, é o fundamento teórico do argumento em favor de transferências de renda versus subsídios a bens específicos.</w:t>
      </w:r>
    </w:p>
    <w:p>
      <w:pPr>
        <w:pStyle w:val="BlockText"/>
      </w:pPr>
      <w:r>
        <w:rPr>
          <w:b/>
          <w:bCs/>
        </w:rPr>
        <w:t xml:space="preserve">[NOTA] Limitações do princípio</w:t>
      </w:r>
    </w:p>
    <w:p>
      <w:pPr>
        <w:pStyle w:val="BlockText"/>
      </w:pPr>
      <w:r>
        <w:t xml:space="preserve">O resultado pressupõe informação perfeita, ausência de custos administrativos e que o imposto</w:t>
      </w:r>
      <w:r>
        <w:t xml:space="preserve"> </w:t>
      </w:r>
      <w:r>
        <w:rPr>
          <w:i/>
          <w:iCs/>
        </w:rPr>
        <w:t xml:space="preserve">lump sum</w:t>
      </w:r>
      <w:r>
        <w:t xml:space="preserve"> </w:t>
      </w:r>
      <w:r>
        <w:t xml:space="preserve">seja viável. Na prática, impostos</w:t>
      </w:r>
      <w:r>
        <w:t xml:space="preserve"> </w:t>
      </w:r>
      <w:r>
        <w:rPr>
          <w:i/>
          <w:iCs/>
        </w:rPr>
        <w:t xml:space="preserve">lump sum</w:t>
      </w:r>
      <w:r>
        <w:t xml:space="preserve"> </w:t>
      </w:r>
      <w:r>
        <w:t xml:space="preserve">são frequentemente considerados injustos ou politicamente inviáveis. A tributação ótima (Ramsey, Mirrlees) busca conciliar eficiência e equidade sob restrições informacionais.</w:t>
      </w:r>
    </w:p>
    <w:p>
      <w:pPr>
        <w:pStyle w:val="FirstParagraph"/>
      </w:pPr>
      <w:r>
        <w:t xml:space="preserve">[FIGURA INTERATIVA: /micro-book/graficos/cap04/lump-sum-principle.html — versao interativa disponivel online]</w:t>
      </w:r>
    </w:p>
    <w:p>
      <w:pPr>
        <w:pStyle w:val="BodyText"/>
      </w:pPr>
      <w:r>
        <w:rPr>
          <w:b/>
          <w:bCs/>
        </w:rPr>
        <w:t xml:space="preserve">Figura 4.3 — Princípio do Montante Fixo (</w:t>
      </w:r>
      <w:r>
        <w:rPr>
          <w:b/>
          <w:bCs/>
          <w:i/>
          <w:iCs/>
        </w:rPr>
        <w:t xml:space="preserve">Lump Sum</w:t>
      </w:r>
      <w:r>
        <w:rPr>
          <w:b/>
          <w:bCs/>
        </w:rPr>
        <w:t xml:space="preserve">).</w:t>
      </w:r>
      <w:r>
        <w:t xml:space="preserve"> </w:t>
      </w:r>
      <w:r>
        <w:t xml:space="preserve">Compare o imposto unitário com o imposto lump sum de mesma receita. Note que o lump sum sempre gera utilidade igual ou superior.</w:t>
      </w:r>
    </w:p>
    <w:p>
      <w:pPr>
        <w:pStyle w:val="BlockText"/>
      </w:pPr>
      <w:r>
        <w:rPr>
          <w:b/>
          <w:bCs/>
        </w:rPr>
        <w:t xml:space="preserve">[BOX BRASIL] Box Brasil 4.2 — Subsídio ao gás de cozinha: lump sum vs. controle de preço</w:t>
      </w:r>
    </w:p>
    <w:p>
      <w:pPr>
        <w:pStyle w:val="BlockText"/>
      </w:pPr>
      <w:r>
        <w:t xml:space="preserve">O debate entre transferência direta e subsídio a preços tem um exemplo emblemático no Brasil: o gás de cozinha (GLP). Durante anos, o governo subsidiou o preço do GLP diretamente, o que beneficiava todos os consumidores, inclusive os de alta renda. A partir de 2016, com o programa Gás para Todos (e depois o Auxílio Gás, criado em 2021), o governo passou a adotar uma transferência monetária direta às famílias inscritas no</w:t>
      </w:r>
      <w:r>
        <w:t xml:space="preserve"> </w:t>
      </w:r>
      <w:hyperlink r:id="rId198">
        <w:r>
          <w:rPr>
            <w:rStyle w:val="Hyperlink"/>
          </w:rPr>
          <w:t xml:space="preserve">Cadastro Único</w:t>
        </w:r>
      </w:hyperlink>
      <w:r>
        <w:t xml:space="preserve">.</w:t>
      </w:r>
    </w:p>
    <w:p>
      <w:pPr>
        <w:pStyle w:val="BlockText"/>
      </w:pPr>
      <w:r>
        <w:t xml:space="preserve">Do ponto de vista do princípio do montante fixo, a mudança vai na direção correta. O subsídio ao preço distorce preços relativos, incentivando consumo excessivo de GLP em relação a outras fontes de energia. A transferência direta, por não alterar o preço relativo do gás, permite que a família aloque os recursos conforme suas preferências, gerando utilidade pelo menos igual — e tipicamente maior — para a mesma despesa pública.</w:t>
      </w:r>
    </w:p>
    <w:p>
      <w:pPr>
        <w:pStyle w:val="BlockText"/>
      </w:pPr>
      <w:r>
        <w:t xml:space="preserve">Em 2023, o Auxílio Gás beneficiava cerca de 5,6 milhões de famílias, com valor equivalente a no mínimo 50% do preço médio nacional de referência do botijão de 13 kg, pago a cada dois meses. Essa política combina o princípio teórico da superioridade de transferências</w:t>
      </w:r>
      <w:r>
        <w:t xml:space="preserve"> </w:t>
      </w:r>
      <w:r>
        <w:rPr>
          <w:i/>
          <w:iCs/>
        </w:rPr>
        <w:t xml:space="preserve">lump sum</w:t>
      </w:r>
      <w:r>
        <w:t xml:space="preserve"> </w:t>
      </w:r>
      <w:r>
        <w:t xml:space="preserve">com a focalização nos mais vulneráveis.</w:t>
      </w:r>
    </w:p>
    <w:p>
      <w:pPr>
        <w:pStyle w:val="BlockText"/>
      </w:pPr>
      <w:r>
        <w:rPr>
          <w:b/>
          <w:bCs/>
        </w:rPr>
        <w:t xml:space="preserve">Fonte</w:t>
      </w:r>
      <w:r>
        <w:t xml:space="preserve">: Ministério do Desenvolvimento e Assistência Social; Lei nº 14.237/2021 (Auxílio Gás).</w:t>
      </w:r>
    </w:p>
    <w:p>
      <w:pPr>
        <w:pStyle w:val="BlockText"/>
      </w:pPr>
      <w:r>
        <w:rPr>
          <w:b/>
          <w:bCs/>
        </w:rPr>
        <w:t xml:space="preserve">[BOX MUNDO] Box Mundo 4.1 — Transferências em dinheiro vs. em espécie: evidências do Quênia e do México</w:t>
      </w:r>
    </w:p>
    <w:p>
      <w:pPr>
        <w:pStyle w:val="BlockText"/>
      </w:pPr>
      <w:r>
        <w:rPr>
          <w:b/>
          <w:bCs/>
        </w:rPr>
        <w:t xml:space="preserve">Contexto:</w:t>
      </w:r>
      <w:r>
        <w:t xml:space="preserve"> </w:t>
      </w:r>
      <w:r>
        <w:t xml:space="preserve">O princípio do montante fixo prevê que transferências em dinheiro (</w:t>
      </w:r>
      <w:r>
        <w:rPr>
          <w:i/>
          <w:iCs/>
        </w:rPr>
        <w:t xml:space="preserve">cash transfers</w:t>
      </w:r>
      <w:r>
        <w:t xml:space="preserve">) são ao menos tão eficientes quanto transferências em espécie (</w:t>
      </w:r>
      <w:r>
        <w:rPr>
          <w:i/>
          <w:iCs/>
        </w:rPr>
        <w:t xml:space="preserve">in-kind transfers</w:t>
      </w:r>
      <w:r>
        <w:t xml:space="preserve">), pois preservam a liberdade de escolha do consumidor sem distorcer preços relativos. Essa predição teórica foi extensivamente testada em programas de grande escala em países em desenvolvimento, com resultados que confirmam — e por vezes ampliam — a lógica do modelo.</w:t>
      </w:r>
    </w:p>
    <w:p>
      <w:pPr>
        <w:pStyle w:val="BlockText"/>
      </w:pPr>
      <w:r>
        <w:rPr>
          <w:b/>
          <w:bCs/>
        </w:rPr>
        <w:t xml:space="preserve">Dados:</w:t>
      </w:r>
      <w:r>
        <w:t xml:space="preserve"> </w:t>
      </w:r>
      <w:r>
        <w:t xml:space="preserve">No Quênia, a organização GiveDirectly conduziu transferências incondicionais de dinheiro (cerca de US$ 1.000) a famílias rurais extremamente pobres. Haushofer e Shapiro (2016), em avaliação experimental randomizada publicada no</w:t>
      </w:r>
      <w:r>
        <w:t xml:space="preserve"> </w:t>
      </w:r>
      <w:r>
        <w:rPr>
          <w:i/>
          <w:iCs/>
        </w:rPr>
        <w:t xml:space="preserve">Quarterly Journal of Economics</w:t>
      </w:r>
      <w:r>
        <w:t xml:space="preserve">, documentaram aumentos significativos em consumo alimentar, ativos produtivos (gado, telhados de metal) e bem-estar psicológico, sem evidência de aumento em consumo de álcool ou tabaco — temor frequentemente levantado por críticos de transferências em dinheiro. No México, o programa Progresa/Oportunidades (hoje Prospera), avaliado por Gertler, Martinez e Rubio-Codina (2012,</w:t>
      </w:r>
      <w:r>
        <w:t xml:space="preserve"> </w:t>
      </w:r>
      <w:r>
        <w:rPr>
          <w:i/>
          <w:iCs/>
        </w:rPr>
        <w:t xml:space="preserve">American Economic Journal: Applied Economics</w:t>
      </w:r>
      <w:r>
        <w:t xml:space="preserve">), mostrou que famílias beneficiárias investiram parte das transferências em atividades produtivas agrícolas, gerando retornos de 15% ao ano e evidenciando que a liquidez da transferência em dinheiro permitiu às famílias otimizar intertemporalmente — algo impossível com transferências em espécie vinculadas a bens específicos.</w:t>
      </w:r>
    </w:p>
    <w:p>
      <w:pPr>
        <w:pStyle w:val="BlockText"/>
      </w:pPr>
      <w:r>
        <w:rPr>
          <w:b/>
          <w:bCs/>
        </w:rPr>
        <w:t xml:space="preserve">Análise:</w:t>
      </w:r>
      <w:r>
        <w:t xml:space="preserve"> </w:t>
      </w:r>
      <w:r>
        <w:t xml:space="preserve">Esses resultados são consistentes com a teoria desenvolvida na Seção 4.5: a transferência</w:t>
      </w:r>
      <w:r>
        <w:t xml:space="preserve"> </w:t>
      </w:r>
      <w:r>
        <w:rPr>
          <w:i/>
          <w:iCs/>
        </w:rPr>
        <w:t xml:space="preserve">lump sum</w:t>
      </w:r>
      <w:r>
        <w:t xml:space="preserve"> </w:t>
      </w:r>
      <w:r>
        <w:t xml:space="preserve">em dinheiro desloca a reta orçamentária paralelamente, sem alterar preços relativos, permitindo que cada família aloque os recursos conforme suas preferências individuais. A transferência em espécie, por sua vez, equivale a um subsídio ao preço do bem transferido, distorcendo a razão</w:t>
      </w:r>
      <w:r>
        <w:t xml:space="preserve"> </w:t>
      </w:r>
      <m:oMath>
        <m:sSub>
          <m:e>
            <m:r>
              <m:t>p</m:t>
            </m:r>
          </m:e>
          <m:sub>
            <m:r>
              <m:t>1</m:t>
            </m:r>
          </m:sub>
        </m:sSub>
        <m:r>
          <m:rPr>
            <m:sty m:val="p"/>
          </m:rPr>
          <m:t>/</m:t>
        </m:r>
        <m:sSub>
          <m:e>
            <m:r>
              <m:t>p</m:t>
            </m:r>
          </m:e>
          <m:sub>
            <m:r>
              <m:t>2</m:t>
            </m:r>
          </m:sub>
        </m:sSub>
      </m:oMath>
      <w:r>
        <w:t xml:space="preserve"> </w:t>
      </w:r>
      <w:r>
        <w:t xml:space="preserve">e gerando perda de eficiência análoga à do imposto específico. A evidência empírica do Quênia e do México sugere que, além do ganho estático de eficiência previsto pelo modelo, transferências em dinheiro geram ganhos dinâmicos adicionais ao relaxar restrições de liquidez e permitir investimentos produtivos — uma extensão natural do modelo para o contexto intertemporal (Capítulo 7).</w:t>
      </w:r>
    </w:p>
    <w:p>
      <w:pPr>
        <w:pStyle w:val="BlockText"/>
      </w:pPr>
      <w:r>
        <w:rPr>
          <w:b/>
          <w:bCs/>
        </w:rPr>
        <w:t xml:space="preserve">Fonte:</w:t>
      </w:r>
      <w:r>
        <w:t xml:space="preserve"> </w:t>
      </w:r>
      <w:r>
        <w:t xml:space="preserve">Haushofer, J.; Shapiro, J. (2016).</w:t>
      </w:r>
      <w:r>
        <w:t xml:space="preserve"> </w:t>
      </w:r>
      <w:r>
        <w:t xml:space="preserve">“The Short-Term Impact of Unconditional Cash Transfers to the Poor: Experimental Evidence from Kenya.”</w:t>
      </w:r>
      <w:r>
        <w:t xml:space="preserve"> </w:t>
      </w:r>
      <w:r>
        <w:rPr>
          <w:i/>
          <w:iCs/>
        </w:rPr>
        <w:t xml:space="preserve">Quarterly Journal of Economics</w:t>
      </w:r>
      <w:r>
        <w:t xml:space="preserve">, 131(4), 1973–2042. Gertler, P. J.; Martinez, S. W.; Rubio-Codina, M. (2012).</w:t>
      </w:r>
      <w:r>
        <w:t xml:space="preserve"> </w:t>
      </w:r>
      <w:r>
        <w:t xml:space="preserve">“Investing Cash Transfers to Raise Long-Term Living Standards.”</w:t>
      </w:r>
      <w:r>
        <w:t xml:space="preserve"> </w:t>
      </w:r>
      <w:r>
        <w:rPr>
          <w:i/>
          <w:iCs/>
        </w:rPr>
        <w:t xml:space="preserve">American Economic Journal: Applied Economics</w:t>
      </w:r>
      <w:r>
        <w:t xml:space="preserve">, 4(1), 164–192.</w:t>
      </w:r>
    </w:p>
    <w:p>
      <w:pPr>
        <w:pStyle w:val="BlockText"/>
      </w:pPr>
      <w:r>
        <w:rPr>
          <w:b/>
          <w:bCs/>
        </w:rPr>
        <w:t xml:space="preserve">[EXERCICIO RESOLVIDO] Exercício Resolvido 4.2</w:t>
      </w:r>
    </w:p>
    <w:p>
      <w:pPr>
        <w:pStyle w:val="BlockText"/>
      </w:pPr>
      <w:r>
        <w:rPr>
          <w:b/>
          <w:bCs/>
        </w:rPr>
        <w:t xml:space="preserve">Enunciado:</w:t>
      </w:r>
      <w:r>
        <w:t xml:space="preserve"> </w:t>
      </w:r>
      <w:r>
        <w:t xml:space="preserve">Um consumidor com</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0</m:t>
            </m:r>
            <m:r>
              <m:rPr>
                <m:sty m:val="p"/>
              </m:rPr>
              <m:t>,</m:t>
            </m:r>
            <m:r>
              <m:t>5</m:t>
            </m:r>
          </m:sup>
        </m:sSubSup>
        <m:sSubSup>
          <m:e>
            <m:r>
              <m:t>x</m:t>
            </m:r>
          </m:e>
          <m:sub>
            <m:r>
              <m:t>2</m:t>
            </m:r>
          </m:sub>
          <m:sup>
            <m:r>
              <m:t>0</m:t>
            </m:r>
            <m:r>
              <m:rPr>
                <m:sty m:val="p"/>
              </m:rPr>
              <m:t>,</m:t>
            </m:r>
            <m:r>
              <m:t>5</m:t>
            </m:r>
          </m:sup>
        </m:sSubSup>
      </m:oMath>
      <w:r>
        <w:t xml:space="preserve">,</w:t>
      </w:r>
      <w:r>
        <w:t xml:space="preserve"> </w:t>
      </w:r>
      <m:oMath>
        <m:sSub>
          <m:e>
            <m:r>
              <m:t>p</m:t>
            </m:r>
          </m:e>
          <m:sub>
            <m:r>
              <m:t>1</m:t>
            </m:r>
          </m:sub>
        </m:sSub>
        <m:r>
          <m:rPr>
            <m:sty m:val="p"/>
          </m:rPr>
          <m:t>=</m:t>
        </m:r>
        <m:r>
          <m:t>10</m:t>
        </m:r>
      </m:oMath>
      <w:r>
        <w:t xml:space="preserve">,</w:t>
      </w:r>
      <w:r>
        <w:t xml:space="preserve"> </w:t>
      </w:r>
      <m:oMath>
        <m:sSub>
          <m:e>
            <m:r>
              <m:t>p</m:t>
            </m:r>
          </m:e>
          <m:sub>
            <m:r>
              <m:t>2</m:t>
            </m:r>
          </m:sub>
        </m:sSub>
        <m:r>
          <m:rPr>
            <m:sty m:val="p"/>
          </m:rPr>
          <m:t>=</m:t>
        </m:r>
        <m:r>
          <m:t>5</m:t>
        </m:r>
      </m:oMath>
      <w:r>
        <w:t xml:space="preserve"> </w:t>
      </w:r>
      <w:r>
        <w:t xml:space="preserve">e</w:t>
      </w:r>
      <w:r>
        <w:t xml:space="preserve"> </w:t>
      </w:r>
      <m:oMath>
        <m:r>
          <m:t>I</m:t>
        </m:r>
        <m:r>
          <m:rPr>
            <m:sty m:val="p"/>
          </m:rPr>
          <m:t>=</m:t>
        </m:r>
        <m:r>
          <m:t>200</m:t>
        </m:r>
      </m:oMath>
      <w:r>
        <w:t xml:space="preserve"> </w:t>
      </w:r>
      <w:r>
        <w:t xml:space="preserve">enfrenta um imposto específico de</w:t>
      </w:r>
      <w:r>
        <w:t xml:space="preserve"> </w:t>
      </w:r>
      <m:oMath>
        <m:r>
          <m:t>t</m:t>
        </m:r>
        <m:r>
          <m:rPr>
            <m:sty m:val="p"/>
          </m:rPr>
          <m:t>=</m:t>
        </m:r>
        <m:r>
          <m:t>10</m:t>
        </m:r>
      </m:oMath>
      <w:r>
        <w:t xml:space="preserve"> </w:t>
      </w:r>
      <w:r>
        <w:t xml:space="preserve">sobre o bem 1. Compare o imposto específico com um imposto</w:t>
      </w:r>
      <w:r>
        <w:t xml:space="preserve"> </w:t>
      </w:r>
      <w:r>
        <w:rPr>
          <w:i/>
          <w:iCs/>
        </w:rPr>
        <w:t xml:space="preserve">lump sum</w:t>
      </w:r>
      <w:r>
        <w:t xml:space="preserve"> </w:t>
      </w:r>
      <w:r>
        <w:t xml:space="preserve">de mesma receita.</w:t>
      </w:r>
    </w:p>
    <w:p>
      <w:pPr>
        <w:pStyle w:val="BlockText"/>
      </w:pPr>
      <w:r>
        <w:rPr>
          <w:b/>
          <w:bCs/>
        </w:rPr>
        <w:t xml:space="preserve">Dados:</w:t>
      </w:r>
      <w:r>
        <w:t xml:space="preserve"> </w:t>
      </w:r>
      <m:oMath>
        <m:r>
          <m:t>a</m:t>
        </m:r>
        <m:r>
          <m:rPr>
            <m:sty m:val="p"/>
          </m:rPr>
          <m:t>=</m:t>
        </m:r>
        <m:r>
          <m:t>b</m:t>
        </m:r>
        <m:r>
          <m:rPr>
            <m:sty m:val="p"/>
          </m:rPr>
          <m:t>=</m:t>
        </m:r>
        <m:r>
          <m:t>0</m:t>
        </m:r>
        <m:r>
          <m:rPr>
            <m:sty m:val="p"/>
          </m:rPr>
          <m:t>,</m:t>
        </m:r>
        <m:r>
          <m:t>5</m:t>
        </m:r>
      </m:oMath>
      <w:r>
        <w:t xml:space="preserve">,</w:t>
      </w:r>
      <w:r>
        <w:t xml:space="preserve"> </w:t>
      </w:r>
      <m:oMath>
        <m:sSub>
          <m:e>
            <m:r>
              <m:t>p</m:t>
            </m:r>
          </m:e>
          <m:sub>
            <m:r>
              <m:t>1</m:t>
            </m:r>
          </m:sub>
        </m:sSub>
        <m:r>
          <m:rPr>
            <m:sty m:val="p"/>
          </m:rPr>
          <m:t>=</m:t>
        </m:r>
        <m:r>
          <m:t>10</m:t>
        </m:r>
      </m:oMath>
      <w:r>
        <w:t xml:space="preserve">,</w:t>
      </w:r>
      <w:r>
        <w:t xml:space="preserve"> </w:t>
      </w:r>
      <m:oMath>
        <m:sSub>
          <m:e>
            <m:r>
              <m:t>p</m:t>
            </m:r>
          </m:e>
          <m:sub>
            <m:r>
              <m:t>2</m:t>
            </m:r>
          </m:sub>
        </m:sSub>
        <m:r>
          <m:rPr>
            <m:sty m:val="p"/>
          </m:rPr>
          <m:t>=</m:t>
        </m:r>
        <m:r>
          <m:t>5</m:t>
        </m:r>
      </m:oMath>
      <w:r>
        <w:t xml:space="preserve">,</w:t>
      </w:r>
      <w:r>
        <w:t xml:space="preserve"> </w:t>
      </w:r>
      <m:oMath>
        <m:r>
          <m:t>I</m:t>
        </m:r>
        <m:r>
          <m:rPr>
            <m:sty m:val="p"/>
          </m:rPr>
          <m:t>=</m:t>
        </m:r>
        <m:r>
          <m:t>200</m:t>
        </m:r>
      </m:oMath>
      <w:r>
        <w:t xml:space="preserve">,</w:t>
      </w:r>
      <w:r>
        <w:t xml:space="preserve"> </w:t>
      </w:r>
      <m:oMath>
        <m:r>
          <m:t>t</m:t>
        </m:r>
        <m:r>
          <m:rPr>
            <m:sty m:val="p"/>
          </m:rPr>
          <m:t>=</m:t>
        </m:r>
        <m:r>
          <m:t>10</m:t>
        </m:r>
      </m:oMath>
      <w:r>
        <w:t xml:space="preserve">.</w:t>
      </w:r>
    </w:p>
    <w:p>
      <w:pPr>
        <w:pStyle w:val="BlockText"/>
      </w:pPr>
      <w:r>
        <w:rPr>
          <w:b/>
          <w:bCs/>
        </w:rPr>
        <w:t xml:space="preserve">Resolução:</w:t>
      </w:r>
    </w:p>
    <w:p>
      <w:pPr>
        <w:pStyle w:val="BlockText"/>
      </w:pPr>
      <w:r>
        <w:rPr>
          <w:b/>
          <w:bCs/>
        </w:rPr>
        <w:t xml:space="preserve">Passo 1 — Equilíbrio sem imposto</w:t>
      </w:r>
    </w:p>
    <w:p>
      <w:pPr>
        <w:pStyle w:val="BlockText"/>
      </w:pPr>
      <m:oMath>
        <m:sSubSup>
          <m:e>
            <m:r>
              <m:t>x</m:t>
            </m:r>
          </m:e>
          <m:sub>
            <m:r>
              <m:t>1</m:t>
            </m:r>
          </m:sub>
          <m:sup>
            <m:r>
              <m:rPr>
                <m:sty m:val="p"/>
              </m:rPr>
              <m:t>*</m:t>
            </m:r>
          </m:sup>
        </m:sSubSup>
        <m:r>
          <m:rPr>
            <m:sty m:val="p"/>
          </m:rPr>
          <m:t>=</m:t>
        </m:r>
        <m:f>
          <m:fPr>
            <m:type m:val="bar"/>
          </m:fPr>
          <m:num>
            <m:r>
              <m:t>0</m:t>
            </m:r>
            <m:r>
              <m:rPr>
                <m:sty m:val="p"/>
              </m:rPr>
              <m:t>,</m:t>
            </m:r>
            <m:r>
              <m:t>5</m:t>
            </m:r>
            <m:r>
              <m:rPr>
                <m:sty m:val="p"/>
              </m:rPr>
              <m:t>×</m:t>
            </m:r>
            <m:r>
              <m:t>200</m:t>
            </m:r>
          </m:num>
          <m:den>
            <m:r>
              <m:t>10</m:t>
            </m:r>
          </m:den>
        </m:f>
        <m:r>
          <m:rPr>
            <m:sty m:val="p"/>
          </m:rPr>
          <m:t>=</m:t>
        </m:r>
        <m:r>
          <m:t>10</m:t>
        </m:r>
      </m:oMath>
      <w:r>
        <w:t xml:space="preserve">,</w:t>
      </w:r>
      <w:r>
        <w:t xml:space="preserve"> </w:t>
      </w:r>
      <m:oMath>
        <m:sSubSup>
          <m:e>
            <m:r>
              <m:t>x</m:t>
            </m:r>
          </m:e>
          <m:sub>
            <m:r>
              <m:t>2</m:t>
            </m:r>
          </m:sub>
          <m:sup>
            <m:r>
              <m:rPr>
                <m:sty m:val="p"/>
              </m:rPr>
              <m:t>*</m:t>
            </m:r>
          </m:sup>
        </m:sSubSup>
        <m:r>
          <m:rPr>
            <m:sty m:val="p"/>
          </m:rPr>
          <m:t>=</m:t>
        </m:r>
        <m:f>
          <m:fPr>
            <m:type m:val="bar"/>
          </m:fPr>
          <m:num>
            <m:r>
              <m:t>0</m:t>
            </m:r>
            <m:r>
              <m:rPr>
                <m:sty m:val="p"/>
              </m:rPr>
              <m:t>,</m:t>
            </m:r>
            <m:r>
              <m:t>5</m:t>
            </m:r>
            <m:r>
              <m:rPr>
                <m:sty m:val="p"/>
              </m:rPr>
              <m:t>×</m:t>
            </m:r>
            <m:r>
              <m:t>200</m:t>
            </m:r>
          </m:num>
          <m:den>
            <m:r>
              <m:t>5</m:t>
            </m:r>
          </m:den>
        </m:f>
        <m:r>
          <m:rPr>
            <m:sty m:val="p"/>
          </m:rPr>
          <m:t>=</m:t>
        </m:r>
        <m:r>
          <m:t>20</m:t>
        </m:r>
      </m:oMath>
      <w:r>
        <w:t xml:space="preserve">,</w:t>
      </w:r>
      <w:r>
        <w:t xml:space="preserve"> </w:t>
      </w:r>
      <m:oMath>
        <m:sSub>
          <m:e>
            <m:r>
              <m:t>V</m:t>
            </m:r>
          </m:e>
          <m:sub>
            <m:r>
              <m:t>0</m:t>
            </m:r>
          </m:sub>
        </m:sSub>
        <m:r>
          <m:rPr>
            <m:sty m:val="p"/>
          </m:rPr>
          <m:t>=</m:t>
        </m:r>
        <m:rad>
          <m:radPr>
            <m:degHide m:val="on"/>
          </m:radPr>
          <m:deg/>
          <m:e>
            <m:r>
              <m:t>10</m:t>
            </m:r>
            <m:r>
              <m:rPr>
                <m:sty m:val="p"/>
              </m:rPr>
              <m:t>×</m:t>
            </m:r>
            <m:r>
              <m:t>20</m:t>
            </m:r>
          </m:e>
        </m:rad>
        <m:r>
          <m:rPr>
            <m:sty m:val="p"/>
          </m:rPr>
          <m:t>=</m:t>
        </m:r>
        <m:rad>
          <m:radPr>
            <m:degHide m:val="on"/>
          </m:radPr>
          <m:deg/>
          <m:e>
            <m:r>
              <m:t>200</m:t>
            </m:r>
          </m:e>
        </m:rad>
        <m:r>
          <m:rPr>
            <m:sty m:val="p"/>
          </m:rPr>
          <m:t>≈</m:t>
        </m:r>
        <m:r>
          <m:t>14</m:t>
        </m:r>
        <m:r>
          <m:rPr>
            <m:sty m:val="p"/>
          </m:rPr>
          <m:t>,</m:t>
        </m:r>
        <m:r>
          <m:t>14</m:t>
        </m:r>
      </m:oMath>
      <w:r>
        <w:t xml:space="preserve">.</w:t>
      </w:r>
    </w:p>
    <w:p>
      <w:pPr>
        <w:pStyle w:val="BlockText"/>
      </w:pPr>
      <w:r>
        <w:rPr>
          <w:b/>
          <w:bCs/>
        </w:rPr>
        <w:t xml:space="preserve">Passo 2 — Equilíbrio com imposto específico</w:t>
      </w:r>
    </w:p>
    <w:p>
      <w:pPr>
        <w:pStyle w:val="BlockText"/>
      </w:pPr>
      <w:r>
        <w:t xml:space="preserve">Novo preço:</w:t>
      </w:r>
      <w:r>
        <w:t xml:space="preserve"> </w:t>
      </w:r>
      <m:oMath>
        <m:sSub>
          <m:e>
            <m:r>
              <m:t>p</m:t>
            </m:r>
          </m:e>
          <m:sub>
            <m:r>
              <m:t>1</m:t>
            </m:r>
          </m:sub>
        </m:sSub>
        <m:r>
          <m:rPr>
            <m:sty m:val="p"/>
          </m:rPr>
          <m:t>+</m:t>
        </m:r>
        <m:r>
          <m:t>t</m:t>
        </m:r>
        <m:r>
          <m:rPr>
            <m:sty m:val="p"/>
          </m:rPr>
          <m:t>=</m:t>
        </m:r>
        <m:r>
          <m:t>20</m:t>
        </m:r>
      </m:oMath>
      <w:r>
        <w:t xml:space="preserve">.</w:t>
      </w:r>
      <w:r>
        <w:t xml:space="preserve"> </w:t>
      </w:r>
      <m:oMath>
        <m:sSubSup>
          <m:e>
            <m:r>
              <m:t>x</m:t>
            </m:r>
          </m:e>
          <m:sub>
            <m:r>
              <m:t>1</m:t>
            </m:r>
          </m:sub>
          <m:sup>
            <m:r>
              <m:t>t</m:t>
            </m:r>
          </m:sup>
        </m:sSubSup>
        <m:r>
          <m:rPr>
            <m:sty m:val="p"/>
          </m:rPr>
          <m:t>=</m:t>
        </m:r>
        <m:f>
          <m:fPr>
            <m:type m:val="bar"/>
          </m:fPr>
          <m:num>
            <m:r>
              <m:t>0</m:t>
            </m:r>
            <m:r>
              <m:rPr>
                <m:sty m:val="p"/>
              </m:rPr>
              <m:t>,</m:t>
            </m:r>
            <m:r>
              <m:t>5</m:t>
            </m:r>
            <m:r>
              <m:rPr>
                <m:sty m:val="p"/>
              </m:rPr>
              <m:t>×</m:t>
            </m:r>
            <m:r>
              <m:t>200</m:t>
            </m:r>
          </m:num>
          <m:den>
            <m:r>
              <m:t>20</m:t>
            </m:r>
          </m:den>
        </m:f>
        <m:r>
          <m:rPr>
            <m:sty m:val="p"/>
          </m:rPr>
          <m:t>=</m:t>
        </m:r>
        <m:r>
          <m:t>5</m:t>
        </m:r>
      </m:oMath>
      <w:r>
        <w:t xml:space="preserve">,</w:t>
      </w:r>
      <w:r>
        <w:t xml:space="preserve"> </w:t>
      </w:r>
      <m:oMath>
        <m:sSubSup>
          <m:e>
            <m:r>
              <m:t>x</m:t>
            </m:r>
          </m:e>
          <m:sub>
            <m:r>
              <m:t>2</m:t>
            </m:r>
          </m:sub>
          <m:sup>
            <m:r>
              <m:t>t</m:t>
            </m:r>
          </m:sup>
        </m:sSubSup>
        <m:r>
          <m:rPr>
            <m:sty m:val="p"/>
          </m:rPr>
          <m:t>=</m:t>
        </m:r>
        <m:f>
          <m:fPr>
            <m:type m:val="bar"/>
          </m:fPr>
          <m:num>
            <m:r>
              <m:t>0</m:t>
            </m:r>
            <m:r>
              <m:rPr>
                <m:sty m:val="p"/>
              </m:rPr>
              <m:t>,</m:t>
            </m:r>
            <m:r>
              <m:t>5</m:t>
            </m:r>
            <m:r>
              <m:rPr>
                <m:sty m:val="p"/>
              </m:rPr>
              <m:t>×</m:t>
            </m:r>
            <m:r>
              <m:t>200</m:t>
            </m:r>
          </m:num>
          <m:den>
            <m:r>
              <m:t>5</m:t>
            </m:r>
          </m:den>
        </m:f>
        <m:r>
          <m:rPr>
            <m:sty m:val="p"/>
          </m:rPr>
          <m:t>=</m:t>
        </m:r>
        <m:r>
          <m:t>20</m:t>
        </m:r>
      </m:oMath>
      <w:r>
        <w:t xml:space="preserve">.</w:t>
      </w:r>
    </w:p>
    <w:p>
      <w:pPr>
        <w:pStyle w:val="BlockText"/>
      </w:pPr>
      <w:r>
        <w:t xml:space="preserve">Receita:</w:t>
      </w:r>
      <w:r>
        <w:t xml:space="preserve"> </w:t>
      </w:r>
      <m:oMath>
        <m:r>
          <m:t>R</m:t>
        </m:r>
        <m:r>
          <m:rPr>
            <m:sty m:val="p"/>
          </m:rPr>
          <m:t>=</m:t>
        </m:r>
        <m:r>
          <m:t>10</m:t>
        </m:r>
        <m:r>
          <m:rPr>
            <m:sty m:val="p"/>
          </m:rPr>
          <m:t>×</m:t>
        </m:r>
        <m:r>
          <m:t>5</m:t>
        </m:r>
        <m:r>
          <m:rPr>
            <m:sty m:val="p"/>
          </m:rPr>
          <m:t>=</m:t>
        </m:r>
        <m:r>
          <m:t>50</m:t>
        </m:r>
      </m:oMath>
      <w:r>
        <w:t xml:space="preserve">. Utilidade:</w:t>
      </w:r>
      <w:r>
        <w:t xml:space="preserve"> </w:t>
      </w:r>
      <m:oMath>
        <m:sSub>
          <m:e>
            <m:r>
              <m:t>V</m:t>
            </m:r>
          </m:e>
          <m:sub>
            <m:r>
              <m:t>t</m:t>
            </m:r>
          </m:sub>
        </m:sSub>
        <m:r>
          <m:rPr>
            <m:sty m:val="p"/>
          </m:rPr>
          <m:t>=</m:t>
        </m:r>
        <m:rad>
          <m:radPr>
            <m:degHide m:val="on"/>
          </m:radPr>
          <m:deg/>
          <m:e>
            <m:r>
              <m:t>5</m:t>
            </m:r>
            <m:r>
              <m:rPr>
                <m:sty m:val="p"/>
              </m:rPr>
              <m:t>×</m:t>
            </m:r>
            <m:r>
              <m:t>20</m:t>
            </m:r>
          </m:e>
        </m:rad>
        <m:r>
          <m:rPr>
            <m:sty m:val="p"/>
          </m:rPr>
          <m:t>=</m:t>
        </m:r>
        <m:rad>
          <m:radPr>
            <m:degHide m:val="on"/>
          </m:radPr>
          <m:deg/>
          <m:e>
            <m:r>
              <m:t>100</m:t>
            </m:r>
          </m:e>
        </m:rad>
        <m:r>
          <m:rPr>
            <m:sty m:val="p"/>
          </m:rPr>
          <m:t>=</m:t>
        </m:r>
        <m:r>
          <m:t>10</m:t>
        </m:r>
      </m:oMath>
      <w:r>
        <w:t xml:space="preserve">.</w:t>
      </w:r>
    </w:p>
    <w:p>
      <w:pPr>
        <w:pStyle w:val="BlockText"/>
      </w:pPr>
      <w:r>
        <w:rPr>
          <w:b/>
          <w:bCs/>
        </w:rPr>
        <w:t xml:space="preserve">Passo 3 — Equilíbrio com lump sum de mesma receita</w:t>
      </w:r>
    </w:p>
    <w:p>
      <w:pPr>
        <w:pStyle w:val="BlockText"/>
      </w:pPr>
      <w:r>
        <w:t xml:space="preserve">Renda disponível:</w:t>
      </w:r>
      <w:r>
        <w:t xml:space="preserve"> </w:t>
      </w:r>
      <m:oMath>
        <m:r>
          <m:t>200</m:t>
        </m:r>
        <m:r>
          <m:rPr>
            <m:sty m:val="p"/>
          </m:rPr>
          <m:t>−</m:t>
        </m:r>
        <m:r>
          <m:t>50</m:t>
        </m:r>
        <m:r>
          <m:rPr>
            <m:sty m:val="p"/>
          </m:rPr>
          <m:t>=</m:t>
        </m:r>
        <m:r>
          <m:t>150</m:t>
        </m:r>
      </m:oMath>
      <w:r>
        <w:t xml:space="preserve">.</w:t>
      </w:r>
      <w:r>
        <w:t xml:space="preserve"> </w:t>
      </w:r>
      <m:oMath>
        <m:sSubSup>
          <m:e>
            <m:r>
              <m:t>x</m:t>
            </m:r>
          </m:e>
          <m:sub>
            <m:r>
              <m:t>1</m:t>
            </m:r>
          </m:sub>
          <m:sup>
            <m:r>
              <m:t>L</m:t>
            </m:r>
          </m:sup>
        </m:sSubSup>
        <m:r>
          <m:rPr>
            <m:sty m:val="p"/>
          </m:rPr>
          <m:t>=</m:t>
        </m:r>
        <m:f>
          <m:fPr>
            <m:type m:val="bar"/>
          </m:fPr>
          <m:num>
            <m:r>
              <m:t>0</m:t>
            </m:r>
            <m:r>
              <m:rPr>
                <m:sty m:val="p"/>
              </m:rPr>
              <m:t>,</m:t>
            </m:r>
            <m:r>
              <m:t>5</m:t>
            </m:r>
            <m:r>
              <m:rPr>
                <m:sty m:val="p"/>
              </m:rPr>
              <m:t>×</m:t>
            </m:r>
            <m:r>
              <m:t>150</m:t>
            </m:r>
          </m:num>
          <m:den>
            <m:r>
              <m:t>10</m:t>
            </m:r>
          </m:den>
        </m:f>
        <m:r>
          <m:rPr>
            <m:sty m:val="p"/>
          </m:rPr>
          <m:t>=</m:t>
        </m:r>
        <m:r>
          <m:t>7</m:t>
        </m:r>
        <m:r>
          <m:rPr>
            <m:sty m:val="p"/>
          </m:rPr>
          <m:t>,</m:t>
        </m:r>
        <m:r>
          <m:t>5</m:t>
        </m:r>
      </m:oMath>
      <w:r>
        <w:t xml:space="preserve">,</w:t>
      </w:r>
      <w:r>
        <w:t xml:space="preserve"> </w:t>
      </w:r>
      <m:oMath>
        <m:sSubSup>
          <m:e>
            <m:r>
              <m:t>x</m:t>
            </m:r>
          </m:e>
          <m:sub>
            <m:r>
              <m:t>2</m:t>
            </m:r>
          </m:sub>
          <m:sup>
            <m:r>
              <m:t>L</m:t>
            </m:r>
          </m:sup>
        </m:sSubSup>
        <m:r>
          <m:rPr>
            <m:sty m:val="p"/>
          </m:rPr>
          <m:t>=</m:t>
        </m:r>
        <m:f>
          <m:fPr>
            <m:type m:val="bar"/>
          </m:fPr>
          <m:num>
            <m:r>
              <m:t>0</m:t>
            </m:r>
            <m:r>
              <m:rPr>
                <m:sty m:val="p"/>
              </m:rPr>
              <m:t>,</m:t>
            </m:r>
            <m:r>
              <m:t>5</m:t>
            </m:r>
            <m:r>
              <m:rPr>
                <m:sty m:val="p"/>
              </m:rPr>
              <m:t>×</m:t>
            </m:r>
            <m:r>
              <m:t>150</m:t>
            </m:r>
          </m:num>
          <m:den>
            <m:r>
              <m:t>5</m:t>
            </m:r>
          </m:den>
        </m:f>
        <m:r>
          <m:rPr>
            <m:sty m:val="p"/>
          </m:rPr>
          <m:t>=</m:t>
        </m:r>
        <m:r>
          <m:t>15</m:t>
        </m:r>
      </m:oMath>
      <w:r>
        <w:t xml:space="preserve">.</w:t>
      </w:r>
    </w:p>
    <w:p>
      <w:pPr>
        <w:pStyle w:val="BlockText"/>
      </w:pPr>
      <w:r>
        <w:t xml:space="preserve">Utilidade:</w:t>
      </w:r>
      <w:r>
        <w:t xml:space="preserve"> </w:t>
      </w:r>
      <m:oMath>
        <m:sSub>
          <m:e>
            <m:r>
              <m:t>V</m:t>
            </m:r>
          </m:e>
          <m:sub>
            <m:r>
              <m:t>L</m:t>
            </m:r>
          </m:sub>
        </m:sSub>
        <m:r>
          <m:rPr>
            <m:sty m:val="p"/>
          </m:rPr>
          <m:t>=</m:t>
        </m:r>
        <m:rad>
          <m:radPr>
            <m:degHide m:val="on"/>
          </m:radPr>
          <m:deg/>
          <m:e>
            <m:r>
              <m:t>7</m:t>
            </m:r>
            <m:r>
              <m:rPr>
                <m:sty m:val="p"/>
              </m:rPr>
              <m:t>,</m:t>
            </m:r>
            <m:r>
              <m:t>5</m:t>
            </m:r>
            <m:r>
              <m:rPr>
                <m:sty m:val="p"/>
              </m:rPr>
              <m:t>×</m:t>
            </m:r>
            <m:r>
              <m:t>15</m:t>
            </m:r>
          </m:e>
        </m:rad>
        <m:r>
          <m:rPr>
            <m:sty m:val="p"/>
          </m:rPr>
          <m:t>=</m:t>
        </m:r>
        <m:rad>
          <m:radPr>
            <m:degHide m:val="on"/>
          </m:radPr>
          <m:deg/>
          <m:e>
            <m:r>
              <m:t>112</m:t>
            </m:r>
            <m:r>
              <m:rPr>
                <m:sty m:val="p"/>
              </m:rPr>
              <m:t>,</m:t>
            </m:r>
            <m:r>
              <m:t>5</m:t>
            </m:r>
          </m:e>
        </m:rad>
        <m:r>
          <m:rPr>
            <m:sty m:val="p"/>
          </m:rPr>
          <m:t>≈</m:t>
        </m:r>
        <m:r>
          <m:t>10</m:t>
        </m:r>
        <m:r>
          <m:rPr>
            <m:sty m:val="p"/>
          </m:rPr>
          <m:t>,</m:t>
        </m:r>
        <m:r>
          <m:t>61</m:t>
        </m:r>
      </m:oMath>
      <w:r>
        <w:t xml:space="preserve">.</w:t>
      </w:r>
    </w:p>
    <w:p>
      <w:pPr>
        <w:pStyle w:val="BlockText"/>
      </w:pPr>
      <w:r>
        <w:rPr>
          <w:b/>
          <w:bCs/>
        </w:rPr>
        <w:t xml:space="preserve">Resultado:</w:t>
      </w:r>
      <w:r>
        <w:t xml:space="preserve"> </w:t>
      </w:r>
      <m:oMath>
        <m:sSub>
          <m:e>
            <m:r>
              <m:t>V</m:t>
            </m:r>
          </m:e>
          <m:sub>
            <m:r>
              <m:t>L</m:t>
            </m:r>
          </m:sub>
        </m:sSub>
        <m:r>
          <m:rPr>
            <m:sty m:val="p"/>
          </m:rPr>
          <m:t>≈</m:t>
        </m:r>
        <m:r>
          <m:t>10</m:t>
        </m:r>
        <m:r>
          <m:rPr>
            <m:sty m:val="p"/>
          </m:rPr>
          <m:t>,</m:t>
        </m:r>
        <m:r>
          <m:t>61</m:t>
        </m:r>
        <m:r>
          <m:rPr>
            <m:sty m:val="p"/>
          </m:rPr>
          <m:t>&gt;</m:t>
        </m:r>
        <m:sSub>
          <m:e>
            <m:r>
              <m:t>V</m:t>
            </m:r>
          </m:e>
          <m:sub>
            <m:r>
              <m:t>t</m:t>
            </m:r>
          </m:sub>
        </m:sSub>
        <m:r>
          <m:rPr>
            <m:sty m:val="p"/>
          </m:rPr>
          <m:t>=</m:t>
        </m:r>
        <m:r>
          <m:t>10</m:t>
        </m:r>
      </m:oMath>
      <w:r>
        <w:t xml:space="preserve">. O lump sum gera utilidade 6,1% maior.</w:t>
      </w:r>
    </w:p>
    <w:p>
      <w:pPr>
        <w:pStyle w:val="BlockText"/>
      </w:pPr>
      <w:r>
        <w:rPr>
          <w:b/>
          <w:bCs/>
        </w:rPr>
        <w:t xml:space="preserve">Interpretação econômica:</w:t>
      </w:r>
      <w:r>
        <w:t xml:space="preserve"> </w:t>
      </w:r>
      <w:r>
        <w:t xml:space="preserve">O imposto específico encarece o bem 1, distorcendo a razão de preços de 2:1 para 4:1. O consumidor substitui excessivamente em favor do bem 2. O</w:t>
      </w:r>
      <w:r>
        <w:t xml:space="preserve"> </w:t>
      </w:r>
      <w:r>
        <w:rPr>
          <w:i/>
          <w:iCs/>
        </w:rPr>
        <w:t xml:space="preserve">lump sum</w:t>
      </w:r>
      <w:r>
        <w:t xml:space="preserve"> </w:t>
      </w:r>
      <w:r>
        <w:t xml:space="preserve">reduz o poder de compra na mesma proporção, mas preserva os preços relativos, permitindo uma alocação mais eficiente. Esse princípio está por trás do argumento econômico em favor de transferências diretas de renda — como o Bolsa Família — em vez de subsídios a bens específicos.</w:t>
      </w:r>
    </w:p>
    <w:bookmarkEnd w:id="199"/>
    <w:bookmarkEnd w:id="200"/>
    <w:bookmarkStart w:id="207" w:name="X081a90ba1b364609fcca1ba7c060a043bdf14d9"/>
    <w:p>
      <w:pPr>
        <w:pStyle w:val="Heading2"/>
      </w:pPr>
      <w:r>
        <w:t xml:space="preserve">4.6–4.9 Problema Dual, Dualidade e Identidade de Roy</w:t>
      </w:r>
    </w:p>
    <w:bookmarkStart w:id="202" w:name="X8ef7a874f9aa4f4e3b05d8d82b3f386a6e137cc"/>
    <w:p>
      <w:pPr>
        <w:pStyle w:val="Heading3"/>
      </w:pPr>
      <w:r>
        <w:t xml:space="preserve">4.6 O Lado B do Consumidor: Minimização do Dispêndio</w:t>
      </w:r>
    </w:p>
    <w:p>
      <w:pPr>
        <w:pStyle w:val="FirstParagraph"/>
      </w:pPr>
      <w:r>
        <w:t xml:space="preserve">Até aqui, o consumidor entrava no supermercado com R$ 300 e perguntava:</w:t>
      </w:r>
      <w:r>
        <w:t xml:space="preserve"> </w:t>
      </w:r>
      <w:r>
        <w:t xml:space="preserve">“como maximizar minha felicidade?”</w:t>
      </w:r>
      <w:r>
        <w:t xml:space="preserve"> </w:t>
      </w:r>
      <w:r>
        <w:t xml:space="preserve">Agora, viramos a pergunta de cabeça para baixo:</w:t>
      </w:r>
      <w:r>
        <w:t xml:space="preserve"> </w:t>
      </w:r>
      <w:r>
        <w:t xml:space="preserve">“qual é o</w:t>
      </w:r>
      <w:r>
        <w:t xml:space="preserve"> </w:t>
      </w:r>
      <w:r>
        <w:rPr>
          <w:b/>
          <w:bCs/>
        </w:rPr>
        <w:t xml:space="preserve">mínimo</w:t>
      </w:r>
      <w:r>
        <w:t xml:space="preserve"> </w:t>
      </w:r>
      <w:r>
        <w:t xml:space="preserve">que preciso gastar para ficar tão feliz quanto estou agora?”</w:t>
      </w:r>
      <w:r>
        <w:t xml:space="preserve"> </w:t>
      </w:r>
      <w:r>
        <w:t xml:space="preserve">Parece a mesma coisa — e em certo sentido é. Mas essa reformulação, chamada de</w:t>
      </w:r>
      <w:r>
        <w:t xml:space="preserve"> </w:t>
      </w:r>
      <w:r>
        <w:rPr>
          <w:b/>
          <w:bCs/>
        </w:rPr>
        <w:t xml:space="preserve">problema dual</w:t>
      </w:r>
      <w:r>
        <w:t xml:space="preserve">, é uma das jogadas mais astutas da teoria econômica. Ela gera ferramentas (demanda hicksiana, função dispêndio) que o problema original não entrega diretamente — e que serão indispensáveis quando, no Capítulo 5, quisermos separar o efeito de uma mudança de preço em</w:t>
      </w:r>
      <w:r>
        <w:t xml:space="preserve"> </w:t>
      </w:r>
      <w:r>
        <w:t xml:space="preserve">“substituição”</w:t>
      </w:r>
      <w:r>
        <w:t xml:space="preserve"> </w:t>
      </w:r>
      <w:r>
        <w:t xml:space="preserve">e</w:t>
      </w:r>
      <w:r>
        <w:t xml:space="preserve"> </w:t>
      </w:r>
      <w:r>
        <w:t xml:space="preserve">“renda”</w:t>
      </w:r>
      <w:r>
        <w:t xml:space="preserve">.</w:t>
      </w:r>
    </w:p>
    <w:p>
      <w:pPr>
        <w:pStyle w:val="BodyText"/>
      </w:pPr>
      <w:r>
        <w:t xml:space="preserve">O</w:t>
      </w:r>
      <w:r>
        <w:t xml:space="preserve"> </w:t>
      </w:r>
      <w:r>
        <w:rPr>
          <w:b/>
          <w:bCs/>
        </w:rPr>
        <w:t xml:space="preserve">dual</w:t>
      </w:r>
      <w:r>
        <w:t xml:space="preserve"> </w:t>
      </w:r>
      <w:r>
        <w:t xml:space="preserve">do problema de maximização da utilidade é, portanto, o problema de</w:t>
      </w:r>
      <w:r>
        <w:t xml:space="preserve"> </w:t>
      </w:r>
      <w:r>
        <w:rPr>
          <w:b/>
          <w:bCs/>
        </w:rPr>
        <w:t xml:space="preserve">minimização do dispêndio</w:t>
      </w:r>
      <w:r>
        <w:t xml:space="preserve"> </w:t>
      </w:r>
      <w:r>
        <w:t xml:space="preserve">(ou minimização do gasto):</w:t>
      </w:r>
    </w:p>
    <w:p>
      <w:pPr>
        <w:pStyle w:val="BodyText"/>
      </w:pPr>
      <m:oMathPara>
        <m:oMathParaPr>
          <m:jc m:val="center"/>
        </m:oMathParaPr>
        <m:oMath>
          <m:limLow>
            <m:e>
              <m:r>
                <m:rPr>
                  <m:sty m:val="p"/>
                </m:rPr>
                <m:t>min</m:t>
              </m:r>
            </m:e>
            <m:lim>
              <m:sSub>
                <m:e>
                  <m:r>
                    <m:t>x</m:t>
                  </m:r>
                </m:e>
                <m:sub>
                  <m:r>
                    <m:t>1</m:t>
                  </m:r>
                </m:sub>
              </m:sSub>
              <m:r>
                <m:rPr>
                  <m:sty m:val="p"/>
                </m:rPr>
                <m:t>,</m:t>
              </m:r>
              <m:sSub>
                <m:e>
                  <m:r>
                    <m:t>x</m:t>
                  </m:r>
                </m:e>
                <m:sub>
                  <m:r>
                    <m:t>2</m:t>
                  </m:r>
                </m:sub>
              </m:sSub>
            </m:lim>
          </m:limLow>
          <m:r>
            <m:t> </m:t>
          </m:r>
          <m:sSub>
            <m:e>
              <m:r>
                <m:t>p</m:t>
              </m:r>
            </m:e>
            <m:sub>
              <m:r>
                <m:t>1</m:t>
              </m:r>
            </m:sub>
          </m:sSub>
          <m:sSub>
            <m:e>
              <m:r>
                <m:t>x</m:t>
              </m:r>
            </m:e>
            <m:sub>
              <m:r>
                <m:t>1</m:t>
              </m:r>
            </m:sub>
          </m:sSub>
          <m:r>
            <m:rPr>
              <m:sty m:val="p"/>
            </m:rPr>
            <m:t>+</m:t>
          </m:r>
          <m:sSub>
            <m:e>
              <m:r>
                <m:t>p</m:t>
              </m:r>
            </m:e>
            <m:sub>
              <m:r>
                <m:t>2</m:t>
              </m:r>
            </m:sub>
          </m:sSub>
          <m:sSub>
            <m:e>
              <m:r>
                <m:t>x</m:t>
              </m:r>
            </m:e>
            <m:sub>
              <m:r>
                <m:t>2</m:t>
              </m:r>
            </m:sub>
          </m:sSub>
          <m:r>
            <m:t> </m:t>
          </m:r>
          <m:r>
            <m:rPr>
              <m:nor/>
              <m:sty m:val="p"/>
            </m:rPr>
            <m:t>sujeito a</m:t>
          </m:r>
          <m:r>
            <m:t> </m:t>
          </m:r>
          <m:r>
            <m:t>u</m:t>
          </m:r>
          <m:r>
            <m:rPr>
              <m:sty m:val="p"/>
            </m:rPr>
            <m:t>(</m:t>
          </m:r>
          <m:sSub>
            <m:e>
              <m:r>
                <m:t>x</m:t>
              </m:r>
            </m:e>
            <m:sub>
              <m:r>
                <m:t>1</m:t>
              </m:r>
            </m:sub>
          </m:sSub>
          <m:r>
            <m:rPr>
              <m:sty m:val="p"/>
            </m:rPr>
            <m:t>,</m:t>
          </m:r>
          <m:sSub>
            <m:e>
              <m:r>
                <m:t>x</m:t>
              </m:r>
            </m:e>
            <m:sub>
              <m:r>
                <m:t>2</m:t>
              </m:r>
            </m:sub>
          </m:sSub>
          <m:r>
            <m:rPr>
              <m:sty m:val="p"/>
            </m:rPr>
            <m:t>)</m:t>
          </m:r>
          <m:r>
            <m:rPr>
              <m:sty m:val="p"/>
            </m:rPr>
            <m:t>≥</m:t>
          </m:r>
          <m:acc>
            <m:accPr>
              <m:chr m:val="‾"/>
            </m:accPr>
            <m:e>
              <m:r>
                <m:t>u</m:t>
              </m:r>
            </m:e>
          </m:acc>
          <m:r>
            <m:rPr>
              <m:sty m:val="p"/>
            </m:rPr>
            <m:t>,</m:t>
          </m:r>
          <m:r>
            <m:t> </m:t>
          </m:r>
          <m:sSub>
            <m:e>
              <m:r>
                <m:t>x</m:t>
              </m:r>
            </m:e>
            <m:sub>
              <m:r>
                <m:t>1</m:t>
              </m:r>
            </m:sub>
          </m:sSub>
          <m:r>
            <m:rPr>
              <m:sty m:val="p"/>
            </m:rPr>
            <m:t>≥</m:t>
          </m:r>
          <m:r>
            <m:t>0</m:t>
          </m:r>
          <m:r>
            <m:rPr>
              <m:sty m:val="p"/>
            </m:rPr>
            <m:t>,</m:t>
          </m:r>
          <m:r>
            <m:t> </m:t>
          </m:r>
          <m:sSub>
            <m:e>
              <m:r>
                <m:t>x</m:t>
              </m:r>
            </m:e>
            <m:sub>
              <m:r>
                <m:t>2</m:t>
              </m:r>
            </m:sub>
          </m:sSub>
          <m:r>
            <m:rPr>
              <m:sty m:val="p"/>
            </m:rPr>
            <m:t>≥</m:t>
          </m:r>
          <m:r>
            <m:t>0</m:t>
          </m:r>
          <m:r>
            <m:rPr>
              <m:sty m:val="p"/>
            </m:rPr>
            <m:t>.</m:t>
          </m:r>
        </m:oMath>
      </m:oMathPara>
    </w:p>
    <w:p>
      <w:pPr>
        <w:pStyle w:val="FirstParagraph"/>
      </w:pPr>
      <w:r>
        <w:t xml:space="preserve">O consumidor busca a forma mais barata de atingir um nível de utilidade pré-especificado</w:t>
      </w:r>
      <w:r>
        <w:t xml:space="preserve"> </w:t>
      </w:r>
      <m:oMath>
        <m:acc>
          <m:accPr>
            <m:chr m:val="‾"/>
          </m:accPr>
          <m:e>
            <m:r>
              <m:t>u</m:t>
            </m:r>
          </m:e>
        </m:acc>
      </m:oMath>
      <w:r>
        <w:t xml:space="preserve">.</w:t>
      </w:r>
    </w:p>
    <w:p>
      <w:pPr>
        <w:pStyle w:val="BodyText"/>
      </w:pPr>
      <w:r>
        <w:t xml:space="preserve">O lagrangeano do problema dual é:</w:t>
      </w:r>
    </w:p>
    <w:p>
      <w:pPr>
        <w:pStyle w:val="BodyText"/>
      </w:pPr>
      <m:oMathPara>
        <m:oMathParaPr>
          <m:jc m:val="center"/>
        </m:oMathParaPr>
        <m:oMath>
          <m:r>
            <m:rPr>
              <m:scr m:val="script"/>
              <m:sty m:val="p"/>
            </m:rPr>
            <m:t>L</m:t>
          </m:r>
          <m:r>
            <m:rPr>
              <m:sty m:val="p"/>
            </m:rPr>
            <m:t>=</m:t>
          </m:r>
          <m:sSub>
            <m:e>
              <m:r>
                <m:t>p</m:t>
              </m:r>
            </m:e>
            <m:sub>
              <m:r>
                <m:t>1</m:t>
              </m:r>
            </m:sub>
          </m:sSub>
          <m:sSub>
            <m:e>
              <m:r>
                <m:t>x</m:t>
              </m:r>
            </m:e>
            <m:sub>
              <m:r>
                <m:t>1</m:t>
              </m:r>
            </m:sub>
          </m:sSub>
          <m:r>
            <m:rPr>
              <m:sty m:val="p"/>
            </m:rPr>
            <m:t>+</m:t>
          </m:r>
          <m:sSub>
            <m:e>
              <m:r>
                <m:t>p</m:t>
              </m:r>
            </m:e>
            <m:sub>
              <m:r>
                <m:t>2</m:t>
              </m:r>
            </m:sub>
          </m:sSub>
          <m:sSub>
            <m:e>
              <m:r>
                <m:t>x</m:t>
              </m:r>
            </m:e>
            <m:sub>
              <m:r>
                <m:t>2</m:t>
              </m:r>
            </m:sub>
          </m:sSub>
          <m:r>
            <m:rPr>
              <m:sty m:val="p"/>
            </m:rPr>
            <m:t>+</m:t>
          </m:r>
          <m:r>
            <m:t>λ</m:t>
          </m:r>
          <m:d>
            <m:dPr>
              <m:begChr m:val="("/>
              <m:sepChr m:val=""/>
              <m:endChr m:val=")"/>
              <m:grow/>
            </m:dPr>
            <m:e>
              <m:acc>
                <m:accPr>
                  <m:chr m:val="‾"/>
                </m:accPr>
                <m:e>
                  <m:r>
                    <m:t>u</m:t>
                  </m:r>
                </m:e>
              </m:acc>
              <m:r>
                <m:rPr>
                  <m:sty m:val="p"/>
                </m:rPr>
                <m:t>−</m:t>
              </m:r>
              <m:r>
                <m:t>u</m:t>
              </m:r>
              <m:r>
                <m:rPr>
                  <m:sty m:val="p"/>
                </m:rPr>
                <m:t>(</m:t>
              </m:r>
              <m:sSub>
                <m:e>
                  <m:r>
                    <m:t>x</m:t>
                  </m:r>
                </m:e>
                <m:sub>
                  <m:r>
                    <m:t>1</m:t>
                  </m:r>
                </m:sub>
              </m:sSub>
              <m:r>
                <m:rPr>
                  <m:sty m:val="p"/>
                </m:rPr>
                <m:t>,</m:t>
              </m:r>
              <m:sSub>
                <m:e>
                  <m:r>
                    <m:t>x</m:t>
                  </m:r>
                </m:e>
                <m:sub>
                  <m:r>
                    <m:t>2</m:t>
                  </m:r>
                </m:sub>
              </m:sSub>
              <m:r>
                <m:rPr>
                  <m:sty m:val="p"/>
                </m:rPr>
                <m:t>)</m:t>
              </m:r>
            </m:e>
          </m:d>
          <m:r>
            <m:rPr>
              <m:sty m:val="p"/>
            </m:rPr>
            <m:t>.</m:t>
          </m:r>
        </m:oMath>
      </m:oMathPara>
    </w:p>
    <w:p>
      <w:pPr>
        <w:pStyle w:val="FirstParagraph"/>
      </w:pPr>
      <w:r>
        <w:t xml:space="preserve">As CPOs para solução interior são:</w:t>
      </w:r>
    </w:p>
    <w:p>
      <w:pPr>
        <w:pStyle w:val="BodyText"/>
      </w:pPr>
      <m:oMathPara>
        <m:oMathParaPr>
          <m:jc m:val="center"/>
        </m:oMathParaPr>
        <m:oMath>
          <m:sSub>
            <m:e>
              <m:r>
                <m:t>p</m:t>
              </m:r>
            </m:e>
            <m:sub>
              <m:r>
                <m:t>i</m:t>
              </m:r>
            </m:sub>
          </m:sSub>
          <m:r>
            <m:rPr>
              <m:sty m:val="p"/>
            </m:rPr>
            <m:t>=</m:t>
          </m:r>
          <m:r>
            <m:t>λ</m:t>
          </m:r>
          <m:f>
            <m:fPr>
              <m:type m:val="bar"/>
            </m:fPr>
            <m:num>
              <m:r>
                <m:rPr>
                  <m:sty m:val="p"/>
                </m:rPr>
                <m:t>∂</m:t>
              </m:r>
              <m:r>
                <m:t>u</m:t>
              </m:r>
            </m:num>
            <m:den>
              <m:r>
                <m:rPr>
                  <m:sty m:val="p"/>
                </m:rPr>
                <m:t>∂</m:t>
              </m:r>
              <m:sSub>
                <m:e>
                  <m:r>
                    <m:t>x</m:t>
                  </m:r>
                </m:e>
                <m:sub>
                  <m:r>
                    <m:t>i</m:t>
                  </m:r>
                </m:sub>
              </m:sSub>
            </m:den>
          </m:f>
          <m:r>
            <m:rPr>
              <m:sty m:val="p"/>
            </m:rPr>
            <m:t>,</m:t>
          </m:r>
          <m:r>
            <m:t> </m:t>
          </m:r>
          <m:r>
            <m:t>i</m:t>
          </m:r>
          <m:r>
            <m:rPr>
              <m:sty m:val="p"/>
            </m:rPr>
            <m:t>=</m:t>
          </m:r>
          <m:r>
            <m:t>1</m:t>
          </m:r>
          <m:r>
            <m:rPr>
              <m:sty m:val="p"/>
            </m:rPr>
            <m:t>,</m:t>
          </m:r>
          <m:r>
            <m:t>2</m:t>
          </m:r>
          <m:r>
            <m:rPr>
              <m:sty m:val="p"/>
            </m:rPr>
            <m:t>,</m:t>
          </m:r>
        </m:oMath>
      </m:oMathPara>
    </w:p>
    <w:p>
      <w:pPr>
        <w:pStyle w:val="FirstParagraph"/>
      </w:pPr>
      <m:oMathPara>
        <m:oMathParaPr>
          <m:jc m:val="center"/>
        </m:oMathParaPr>
        <m:oMath>
          <m:r>
            <m:t>u</m:t>
          </m:r>
          <m:r>
            <m:rPr>
              <m:sty m:val="p"/>
            </m:rPr>
            <m:t>(</m:t>
          </m:r>
          <m:sSub>
            <m:e>
              <m:r>
                <m:t>x</m:t>
              </m:r>
            </m:e>
            <m:sub>
              <m:r>
                <m:t>1</m:t>
              </m:r>
            </m:sub>
          </m:sSub>
          <m:r>
            <m:rPr>
              <m:sty m:val="p"/>
            </m:rPr>
            <m:t>,</m:t>
          </m:r>
          <m:sSub>
            <m:e>
              <m:r>
                <m:t>x</m:t>
              </m:r>
            </m:e>
            <m:sub>
              <m:r>
                <m:t>2</m:t>
              </m:r>
            </m:sub>
          </m:sSub>
          <m:r>
            <m:rPr>
              <m:sty m:val="p"/>
            </m:rPr>
            <m:t>)</m:t>
          </m:r>
          <m:r>
            <m:rPr>
              <m:sty m:val="p"/>
            </m:rPr>
            <m:t>=</m:t>
          </m:r>
          <m:acc>
            <m:accPr>
              <m:chr m:val="‾"/>
            </m:accPr>
            <m:e>
              <m:r>
                <m:t>u</m:t>
              </m:r>
            </m:e>
          </m:acc>
          <m:r>
            <m:rPr>
              <m:sty m:val="p"/>
            </m:rPr>
            <m:t>.</m:t>
          </m:r>
        </m:oMath>
      </m:oMathPara>
    </w:p>
    <w:p>
      <w:pPr>
        <w:pStyle w:val="FirstParagraph"/>
      </w:pPr>
      <w:r>
        <w:t xml:space="preserve">Dividindo as CPOs dos bens 1 e 2:</w:t>
      </w:r>
    </w:p>
    <w:p>
      <w:pPr>
        <w:pStyle w:val="BodyText"/>
      </w:pPr>
      <m:oMathPara>
        <m:oMathParaPr>
          <m:jc m:val="center"/>
        </m:oMathParaPr>
        <m:oMath>
          <m:f>
            <m:fPr>
              <m:type m:val="bar"/>
            </m:fPr>
            <m:num>
              <m:sSub>
                <m:e>
                  <m:r>
                    <m:t>p</m:t>
                  </m:r>
                </m:e>
                <m:sub>
                  <m:r>
                    <m:t>1</m:t>
                  </m:r>
                </m:sub>
              </m:sSub>
            </m:num>
            <m:den>
              <m:sSub>
                <m:e>
                  <m:r>
                    <m:t>p</m:t>
                  </m:r>
                </m:e>
                <m:sub>
                  <m:r>
                    <m:t>2</m:t>
                  </m:r>
                </m:sub>
              </m:sSub>
            </m:den>
          </m:f>
          <m:r>
            <m:rPr>
              <m:sty m:val="p"/>
            </m:rPr>
            <m:t>=</m:t>
          </m:r>
          <m:f>
            <m:fPr>
              <m:type m:val="bar"/>
            </m:fPr>
            <m:num>
              <m:r>
                <m:rPr>
                  <m:sty m:val="p"/>
                </m:rPr>
                <m:t>∂</m:t>
              </m:r>
              <m:r>
                <m:t>u</m:t>
              </m:r>
              <m:r>
                <m:rPr>
                  <m:sty m:val="p"/>
                </m:rPr>
                <m:t>/</m:t>
              </m:r>
              <m:r>
                <m:rPr>
                  <m:sty m:val="p"/>
                </m:rPr>
                <m:t>∂</m:t>
              </m:r>
              <m:sSub>
                <m:e>
                  <m:r>
                    <m:t>x</m:t>
                  </m:r>
                </m:e>
                <m:sub>
                  <m:r>
                    <m:t>1</m:t>
                  </m:r>
                </m:sub>
              </m:sSub>
            </m:num>
            <m:den>
              <m:r>
                <m:rPr>
                  <m:sty m:val="p"/>
                </m:rPr>
                <m:t>∂</m:t>
              </m:r>
              <m:r>
                <m:t>u</m:t>
              </m:r>
              <m:r>
                <m:rPr>
                  <m:sty m:val="p"/>
                </m:rPr>
                <m:t>/</m:t>
              </m:r>
              <m:r>
                <m:rPr>
                  <m:sty m:val="p"/>
                </m:rPr>
                <m:t>∂</m:t>
              </m:r>
              <m:sSub>
                <m:e>
                  <m:r>
                    <m:t>x</m:t>
                  </m:r>
                </m:e>
                <m:sub>
                  <m:r>
                    <m:t>2</m:t>
                  </m:r>
                </m:sub>
              </m:sSub>
            </m:den>
          </m:f>
          <m:r>
            <m:rPr>
              <m:sty m:val="p"/>
            </m:rPr>
            <m:t>=</m:t>
          </m:r>
          <m:sSub>
            <m:e>
              <m:r>
                <m:rPr>
                  <m:nor/>
                  <m:sty m:val="p"/>
                </m:rPr>
                <m:t>TMS</m:t>
              </m:r>
            </m:e>
            <m:sub>
              <m:r>
                <m:t>12</m:t>
              </m:r>
            </m:sub>
          </m:sSub>
          <m:r>
            <m:rPr>
              <m:sty m:val="p"/>
            </m:rPr>
            <m:t>.</m:t>
          </m:r>
        </m:oMath>
      </m:oMathPara>
    </w:p>
    <w:p>
      <w:pPr>
        <w:pStyle w:val="FirstParagraph"/>
      </w:pPr>
      <w:r>
        <w:t xml:space="preserve">A condição de tangência Eq. (eq:4.6.12) é</w:t>
      </w:r>
      <w:r>
        <w:t xml:space="preserve"> </w:t>
      </w:r>
      <w:r>
        <w:rPr>
          <w:b/>
          <w:bCs/>
        </w:rPr>
        <w:t xml:space="preserve">idêntica</w:t>
      </w:r>
      <w:r>
        <w:t xml:space="preserve"> </w:t>
      </w:r>
      <w:r>
        <w:t xml:space="preserve">à do problema primal (equação 4.2.3), confirmando a equivalência entre os dois problemas. Esse resultado não é uma coincidência: primal e dual são duas perspectivas sobre a mesma decisão ótima, e o ponto de tangência entre a curva de indiferença e a reta orçamentária permanece o mesmo, independentemente de qual dos dois problemas se resolve.</w:t>
      </w:r>
    </w:p>
    <w:p>
      <w:pPr>
        <w:pStyle w:val="BlockText"/>
      </w:pPr>
      <w:r>
        <w:rPr>
          <w:b/>
          <w:bCs/>
        </w:rPr>
        <w:t xml:space="preserve">[INTUICAO ECONOMICA] Intuição Econômica</w:t>
      </w:r>
    </w:p>
    <w:p>
      <w:pPr>
        <w:pStyle w:val="BlockText"/>
      </w:pPr>
      <w:r>
        <w:rPr>
          <w:b/>
          <w:bCs/>
        </w:rPr>
        <w:t xml:space="preserve">Em uma frase:</w:t>
      </w:r>
      <w:r>
        <w:t xml:space="preserve"> </w:t>
      </w:r>
      <w:r>
        <w:t xml:space="preserve">O problema primal e o dual são duas faces da mesma moeda — a cesta ótima é idêntica, só muda a pergunta que fazemos.</w:t>
      </w:r>
    </w:p>
    <w:p>
      <w:pPr>
        <w:pStyle w:val="BlockText"/>
      </w:pPr>
      <w:r>
        <w:rPr>
          <w:b/>
          <w:bCs/>
        </w:rPr>
        <w:t xml:space="preserve">Pense assim:</w:t>
      </w:r>
      <w:r>
        <w:t xml:space="preserve"> </w:t>
      </w:r>
      <w:r>
        <w:t xml:space="preserve">Imagine um gestor que precisa organizar um jantar comemorativo. Ele pode pensar o problema de duas formas: (a)</w:t>
      </w:r>
      <w:r>
        <w:t xml:space="preserve"> </w:t>
      </w:r>
      <w:r>
        <w:t xml:space="preserve">“Tenho R$ 500 — qual o melhor jantar que posso servir?”</w:t>
      </w:r>
      <w:r>
        <w:t xml:space="preserve"> </w:t>
      </w:r>
      <w:r>
        <w:t xml:space="preserve">(primal) ou (b)</w:t>
      </w:r>
      <w:r>
        <w:t xml:space="preserve"> </w:t>
      </w:r>
      <w:r>
        <w:t xml:space="preserve">“Quero servir um jantar de qualidade 8/10 — qual o gasto mínimo necessário?”</w:t>
      </w:r>
      <w:r>
        <w:t xml:space="preserve"> </w:t>
      </w:r>
      <w:r>
        <w:t xml:space="preserve">(dual). A lista de pratos escolhida no final é exatamente a mesma. O que muda é apenas o ponto de partida — o orçamento fixo ou a qualidade fixada.</w:t>
      </w:r>
    </w:p>
    <w:p>
      <w:pPr>
        <w:pStyle w:val="BlockText"/>
      </w:pPr>
      <w:r>
        <w:rPr>
          <w:b/>
          <w:bCs/>
        </w:rPr>
        <w:t xml:space="preserve">Por que isso importa:</w:t>
      </w:r>
      <w:r>
        <w:t xml:space="preserve"> </w:t>
      </w:r>
      <w:r>
        <w:t xml:space="preserve">A formulação dual gera funções — a demanda hicksiana e a função dispêndio — que são matematicamente mais tratáveis para medir o bem-estar do consumidor. As medidas de variação compensatória e variação equivalente (Capítulo 5) derivam diretamente do problema dual.</w:t>
      </w:r>
    </w:p>
    <w:bookmarkStart w:id="201" w:name="demanda-hicksiana-compensada"/>
    <w:p>
      <w:pPr>
        <w:pStyle w:val="Heading4"/>
      </w:pPr>
      <w:r>
        <w:t xml:space="preserve">4.6.1 Demanda Hicksiana (Compensada)</w:t>
      </w:r>
    </w:p>
    <w:p>
      <w:pPr>
        <w:pStyle w:val="FirstParagraph"/>
      </w:pPr>
      <w:r>
        <w:t xml:space="preserve">A solução do problema de minimização define as</w:t>
      </w:r>
      <w:r>
        <w:t xml:space="preserve"> </w:t>
      </w:r>
      <w:r>
        <w:rPr>
          <w:b/>
          <w:bCs/>
        </w:rPr>
        <w:t xml:space="preserve">funções de demanda hicksiana</w:t>
      </w:r>
      <w:r>
        <w:t xml:space="preserve"> </w:t>
      </w:r>
      <w:r>
        <w:t xml:space="preserve">(ou compensada):</w:t>
      </w:r>
    </w:p>
    <w:p>
      <w:pPr>
        <w:pStyle w:val="BodyText"/>
      </w:pPr>
      <m:oMathPara>
        <m:oMathParaPr>
          <m:jc m:val="center"/>
        </m:oMathParaPr>
        <m:oMath>
          <m:sSub>
            <m:e>
              <m:r>
                <m:t>h</m:t>
              </m:r>
            </m:e>
            <m:sub>
              <m:r>
                <m:t>i</m:t>
              </m:r>
            </m:sub>
          </m:sSub>
          <m:r>
            <m:rPr>
              <m:sty m:val="p"/>
            </m:rPr>
            <m:t>=</m:t>
          </m:r>
          <m:sSub>
            <m:e>
              <m:r>
                <m:t>h</m:t>
              </m:r>
            </m:e>
            <m:sub>
              <m:r>
                <m:t>i</m:t>
              </m:r>
            </m:sub>
          </m:sSub>
          <m:r>
            <m:rPr>
              <m:sty m:val="p"/>
            </m:rPr>
            <m:t>(</m:t>
          </m:r>
          <m:sSub>
            <m:e>
              <m:r>
                <m:t>p</m:t>
              </m:r>
            </m:e>
            <m:sub>
              <m:r>
                <m:t>1</m:t>
              </m:r>
            </m:sub>
          </m:sSub>
          <m:r>
            <m:rPr>
              <m:sty m:val="p"/>
            </m:rPr>
            <m:t>,</m:t>
          </m:r>
          <m:sSub>
            <m:e>
              <m:r>
                <m:t>p</m:t>
              </m:r>
            </m:e>
            <m:sub>
              <m:r>
                <m:t>2</m:t>
              </m:r>
            </m:sub>
          </m:sSub>
          <m:r>
            <m:rPr>
              <m:sty m:val="p"/>
            </m:rPr>
            <m:t>,</m:t>
          </m:r>
          <m:acc>
            <m:accPr>
              <m:chr m:val="‾"/>
            </m:accPr>
            <m:e>
              <m:r>
                <m:t>u</m:t>
              </m:r>
            </m:e>
          </m:acc>
          <m:r>
            <m:rPr>
              <m:sty m:val="p"/>
            </m:rPr>
            <m:t>)</m:t>
          </m:r>
          <m:r>
            <m:rPr>
              <m:sty m:val="p"/>
            </m:rPr>
            <m:t>,</m:t>
          </m:r>
          <m:r>
            <m:t> </m:t>
          </m:r>
          <m:r>
            <m:t>i</m:t>
          </m:r>
          <m:r>
            <m:rPr>
              <m:sty m:val="p"/>
            </m:rPr>
            <m:t>=</m:t>
          </m:r>
          <m:r>
            <m:t>1</m:t>
          </m:r>
          <m:r>
            <m:rPr>
              <m:sty m:val="p"/>
            </m:rPr>
            <m:t>,</m:t>
          </m:r>
          <m:r>
            <m:t>2</m:t>
          </m:r>
          <m:r>
            <m:rPr>
              <m:sty m:val="p"/>
            </m:rPr>
            <m:t>.</m:t>
          </m:r>
        </m:oMath>
      </m:oMathPara>
    </w:p>
    <w:p>
      <w:pPr>
        <w:pStyle w:val="FirstParagraph"/>
      </w:pPr>
      <w:r>
        <w:t xml:space="preserve">A demanda hicksiana recebe o nome de</w:t>
      </w:r>
      <w:r>
        <w:t xml:space="preserve"> </w:t>
      </w:r>
      <w:r>
        <w:t xml:space="preserve">“compensada”</w:t>
      </w:r>
      <w:r>
        <w:t xml:space="preserve"> </w:t>
      </w:r>
      <w:r>
        <w:t xml:space="preserve">porque mantém o nível de utilidade fixo — como se o consumidor fosse</w:t>
      </w:r>
      <w:r>
        <w:t xml:space="preserve"> </w:t>
      </w:r>
      <w:r>
        <w:rPr>
          <w:b/>
          <w:bCs/>
        </w:rPr>
        <w:t xml:space="preserve">compensado</w:t>
      </w:r>
      <w:r>
        <w:t xml:space="preserve"> </w:t>
      </w:r>
      <w:r>
        <w:t xml:space="preserve">por variações de preço de modo a permanecer na mesma curva de indiferença. Em contraste com a demanda marshalliana (que mantém a</w:t>
      </w:r>
      <w:r>
        <w:t xml:space="preserve"> </w:t>
      </w:r>
      <w:r>
        <w:rPr>
          <w:i/>
          <w:iCs/>
        </w:rPr>
        <w:t xml:space="preserve">renda</w:t>
      </w:r>
      <w:r>
        <w:t xml:space="preserve"> </w:t>
      </w:r>
      <w:r>
        <w:t xml:space="preserve">constante), a demanda hicksiana mantém a</w:t>
      </w:r>
      <w:r>
        <w:t xml:space="preserve"> </w:t>
      </w:r>
      <w:r>
        <w:rPr>
          <w:i/>
          <w:iCs/>
        </w:rPr>
        <w:t xml:space="preserve">utilidade</w:t>
      </w:r>
      <w:r>
        <w:t xml:space="preserve"> </w:t>
      </w:r>
      <w:r>
        <w:t xml:space="preserve">constante. Essa distinção é fundamental: quando o preço de um bem sobe, a demanda marshalliana captura tanto o efeito substituição (o consumidor troca pelo bem relativamente mais barato) quanto o efeito renda (o consumidor fica mais pobre em termos reais). A demanda hicksiana isola o efeito substituição puro — e é por isso que satisfaz a lei da demanda sem exceções. Essa propriedade a torna especialmente útil para isolar o</w:t>
      </w:r>
      <w:r>
        <w:t xml:space="preserve"> </w:t>
      </w:r>
      <w:r>
        <w:rPr>
          <w:b/>
          <w:bCs/>
        </w:rPr>
        <w:t xml:space="preserve">efeito substituição puro</w:t>
      </w:r>
      <w:r>
        <w:t xml:space="preserve">: quando o preço de um bem sobe e o consumidor recebe compensação suficiente para manter seu bem-estar constante, qualquer mudança na quantidade demandada reflete exclusivamente a substituição entre bens, sem o confundimento do efeito renda. O Capítulo 5 explorará essa decomposição em profundidade através da Equação de Slutsky.</w:t>
      </w:r>
    </w:p>
    <w:p>
      <w:pPr>
        <w:pStyle w:val="BlockText"/>
      </w:pPr>
      <w:r>
        <w:rPr>
          <w:b/>
          <w:bCs/>
        </w:rPr>
        <w:t xml:space="preserve">[INFORMACAO] 🏅 Prêmio Nobel — John R. Hicks (1972)</w:t>
      </w:r>
    </w:p>
    <w:p>
      <w:pPr>
        <w:pStyle w:val="BlockText"/>
      </w:pPr>
      <w:r>
        <w:rPr>
          <w:b/>
          <w:bCs/>
        </w:rPr>
        <w:t xml:space="preserve">John Richard Hicks</w:t>
      </w:r>
      <w:r>
        <w:t xml:space="preserve"> </w:t>
      </w:r>
      <w:r>
        <w:t xml:space="preserve">(1904–1989) foi um economista britânico, formado na Universidade de Oxford. Foi professor em Manchester, Oxford e na London School of Economics. Dividiu o Nobel com Kenneth Arrow.</w:t>
      </w:r>
    </w:p>
    <w:p>
      <w:pPr>
        <w:pStyle w:val="BlockText"/>
      </w:pPr>
      <w:r>
        <w:rPr>
          <w:b/>
          <w:bCs/>
        </w:rPr>
        <w:t xml:space="preserve">Por que ganhou o Nobel:</w:t>
      </w:r>
      <w:r>
        <w:t xml:space="preserve"> </w:t>
      </w:r>
      <w:r>
        <w:t xml:space="preserve">Premiado por suas contribuições à teoria do equilíbrio geral e à teoria do bem-estar. Hicks desenvolveu a decomposição dos efeitos de preço em efeito substituição e efeito renda, e introduziu os conceitos de variação compensatória e variação equivalente como medidas monetárias de bem-estar.</w:t>
      </w:r>
    </w:p>
    <w:p>
      <w:pPr>
        <w:pStyle w:val="BlockText"/>
      </w:pPr>
      <w:r>
        <w:rPr>
          <w:b/>
          <w:bCs/>
        </w:rPr>
        <w:t xml:space="preserve">Conexão com este capítulo:</w:t>
      </w:r>
      <w:r>
        <w:t xml:space="preserve"> </w:t>
      </w:r>
      <w:r>
        <w:t xml:space="preserve">A demanda hicksiana (compensada) é o pilar da abordagem dual apresentada neste capítulo. A distinção entre demandas marshalliana e hicksiana, o Lema de Shephard e a equação de Slutsky — todos formalizados ou inspirados pelo trabalho de Hicks — constituem a estrutura analítica central do capítulo.</w:t>
      </w:r>
    </w:p>
    <w:p>
      <w:pPr>
        <w:pStyle w:val="FirstParagraph"/>
      </w:pPr>
      <w:r>
        <w:rPr>
          <w:b/>
          <w:bCs/>
        </w:rPr>
        <w:t xml:space="preserve">Propriedades da demanda hicksiana</w:t>
      </w:r>
      <w:r>
        <w:t xml:space="preserve">:</w:t>
      </w:r>
    </w:p>
    <w:p>
      <w:pPr>
        <w:pStyle w:val="Compact"/>
        <w:numPr>
          <w:ilvl w:val="0"/>
          <w:numId w:val="1136"/>
        </w:numPr>
      </w:pPr>
      <w:r>
        <w:rPr>
          <w:b/>
          <w:bCs/>
        </w:rPr>
        <w:t xml:space="preserve">Homogênea de grau zero em</w:t>
      </w:r>
      <w:r>
        <w:rPr>
          <w:b/>
          <w:bCs/>
        </w:rPr>
        <w:t xml:space="preserve"> </w:t>
      </w:r>
      <m:oMath>
        <m:r>
          <m:rPr>
            <m:sty m:val="bi"/>
          </m:rPr>
          <m:t>p</m:t>
        </m:r>
      </m:oMath>
      <w:r>
        <w:t xml:space="preserve">: multiplicar todos os preços pelo mesmo fator não altera as quantidades compensadas.</w:t>
      </w:r>
    </w:p>
    <w:p>
      <w:pPr>
        <w:pStyle w:val="Compact"/>
        <w:numPr>
          <w:ilvl w:val="0"/>
          <w:numId w:val="1136"/>
        </w:numPr>
      </w:pPr>
      <w:r>
        <w:rPr>
          <w:b/>
          <w:bCs/>
        </w:rPr>
        <w:t xml:space="preserve">Lei da demanda compensada</w:t>
      </w:r>
      <w:r>
        <w:t xml:space="preserve">:</w:t>
      </w:r>
      <w:r>
        <w:t xml:space="preserve"> </w:t>
      </w:r>
      <m:oMath>
        <m:r>
          <m:rPr>
            <m:sty m:val="p"/>
          </m:rPr>
          <m:t>∂</m:t>
        </m:r>
        <m:sSub>
          <m:e>
            <m:r>
              <m:t>h</m:t>
            </m:r>
          </m:e>
          <m:sub>
            <m:r>
              <m:t>i</m:t>
            </m:r>
          </m:sub>
        </m:sSub>
        <m:r>
          <m:rPr>
            <m:sty m:val="p"/>
          </m:rPr>
          <m:t>/</m:t>
        </m:r>
        <m:r>
          <m:rPr>
            <m:sty m:val="p"/>
          </m:rPr>
          <m:t>∂</m:t>
        </m:r>
        <m:sSub>
          <m:e>
            <m:r>
              <m:t>p</m:t>
            </m:r>
          </m:e>
          <m:sub>
            <m:r>
              <m:t>i</m:t>
            </m:r>
          </m:sub>
        </m:sSub>
        <m:r>
          <m:rPr>
            <m:sty m:val="p"/>
          </m:rPr>
          <m:t>≤</m:t>
        </m:r>
        <m:r>
          <m:t>0</m:t>
        </m:r>
      </m:oMath>
      <w:r>
        <w:t xml:space="preserve">. A demanda hicksiana é não crescente no próprio preço — não há efeito renda para confundir o resultado.</w:t>
      </w:r>
    </w:p>
    <w:p>
      <w:pPr>
        <w:pStyle w:val="Compact"/>
        <w:numPr>
          <w:ilvl w:val="0"/>
          <w:numId w:val="1136"/>
        </w:numPr>
      </w:pPr>
      <w:r>
        <w:rPr>
          <w:b/>
          <w:bCs/>
        </w:rPr>
        <w:t xml:space="preserve">Simetria e semidefinição negativa</w:t>
      </w:r>
      <w:r>
        <w:t xml:space="preserve"> </w:t>
      </w:r>
      <w:r>
        <w:t xml:space="preserve">da matriz de Slutsky:</w:t>
      </w:r>
      <w:r>
        <w:t xml:space="preserve"> </w:t>
      </w:r>
      <m:oMath>
        <m:r>
          <m:rPr>
            <m:sty m:val="p"/>
          </m:rPr>
          <m:t>∂</m:t>
        </m:r>
        <m:sSub>
          <m:e>
            <m:r>
              <m:t>h</m:t>
            </m:r>
          </m:e>
          <m:sub>
            <m:r>
              <m:t>i</m:t>
            </m:r>
          </m:sub>
        </m:sSub>
        <m:r>
          <m:rPr>
            <m:sty m:val="p"/>
          </m:rPr>
          <m:t>/</m:t>
        </m:r>
        <m:r>
          <m:rPr>
            <m:sty m:val="p"/>
          </m:rPr>
          <m:t>∂</m:t>
        </m:r>
        <m:sSub>
          <m:e>
            <m:r>
              <m:t>p</m:t>
            </m:r>
          </m:e>
          <m:sub>
            <m:r>
              <m:t>j</m:t>
            </m:r>
          </m:sub>
        </m:sSub>
        <m:r>
          <m:rPr>
            <m:sty m:val="p"/>
          </m:rPr>
          <m:t>=</m:t>
        </m:r>
        <m:r>
          <m:rPr>
            <m:sty m:val="p"/>
          </m:rPr>
          <m:t>∂</m:t>
        </m:r>
        <m:sSub>
          <m:e>
            <m:r>
              <m:t>h</m:t>
            </m:r>
          </m:e>
          <m:sub>
            <m:r>
              <m:t>j</m:t>
            </m:r>
          </m:sub>
        </m:sSub>
        <m:r>
          <m:rPr>
            <m:sty m:val="p"/>
          </m:rPr>
          <m:t>/</m:t>
        </m:r>
        <m:r>
          <m:rPr>
            <m:sty m:val="p"/>
          </m:rPr>
          <m:t>∂</m:t>
        </m:r>
        <m:sSub>
          <m:e>
            <m:r>
              <m:t>p</m:t>
            </m:r>
          </m:e>
          <m:sub>
            <m:r>
              <m:t>i</m:t>
            </m:r>
          </m:sub>
        </m:sSub>
      </m:oMath>
      <w:r>
        <w:t xml:space="preserve">.</w:t>
      </w:r>
    </w:p>
    <w:p>
      <w:r>
        <w:pict>
          <v:rect style="width:0;height:1.5pt" o:hralign="center" o:hrstd="t" o:hr="t"/>
        </w:pict>
      </w:r>
    </w:p>
    <w:bookmarkEnd w:id="201"/>
    <w:bookmarkEnd w:id="202"/>
    <w:bookmarkStart w:id="203" w:name="X9ad33c57b7113c48d0d25a1e737bde6ed6b0c19"/>
    <w:p>
      <w:pPr>
        <w:pStyle w:val="Heading3"/>
      </w:pPr>
      <w:r>
        <w:t xml:space="preserve">4.7 Quanto Custa Ser Feliz? A Função Dispêndio</w:t>
      </w:r>
    </w:p>
    <w:p>
      <w:pPr>
        <w:pStyle w:val="FirstParagraph"/>
      </w:pPr>
      <w:r>
        <w:t xml:space="preserve">Assim como a função de utilidade indireta sintetiza o</w:t>
      </w:r>
      <w:r>
        <w:t xml:space="preserve"> </w:t>
      </w:r>
      <w:r>
        <w:rPr>
          <w:i/>
          <w:iCs/>
        </w:rPr>
        <w:t xml:space="preserve">valor ótimo</w:t>
      </w:r>
      <w:r>
        <w:t xml:space="preserve"> </w:t>
      </w:r>
      <w:r>
        <w:t xml:space="preserve">do problema primal (a utilidade máxima dados preços e renda), a</w:t>
      </w:r>
      <w:r>
        <w:t xml:space="preserve"> </w:t>
      </w:r>
      <w:r>
        <w:rPr>
          <w:b/>
          <w:bCs/>
        </w:rPr>
        <w:t xml:space="preserve">função dispêndio</w:t>
      </w:r>
      <w:r>
        <w:t xml:space="preserve"> </w:t>
      </w:r>
      <w:r>
        <w:t xml:space="preserve">sintetiza o valor ótimo do problema dual: o gasto mínimo necessário para atingir um determinado nível de utilidade. A função dispêndio é um dos conceitos mais versáteis de toda a microeconomia: dela derivam-se as demandas hicksianas (via Lema de Shephard), as medidas de variação de bem-estar (variação compensatória e equivalente, Capítulo 5) e os índices de custo de vida (como o IPCA discutido no Box Brasil do Capítulo 2). Juntas,</w:t>
      </w:r>
      <w:r>
        <w:t xml:space="preserve"> </w:t>
      </w:r>
      <m:oMath>
        <m:r>
          <m:t>V</m:t>
        </m:r>
      </m:oMath>
      <w:r>
        <w:t xml:space="preserve"> </w:t>
      </w:r>
      <w:r>
        <w:t xml:space="preserve">e</w:t>
      </w:r>
      <w:r>
        <w:t xml:space="preserve"> </w:t>
      </w:r>
      <m:oMath>
        <m:r>
          <m:t>E</m:t>
        </m:r>
      </m:oMath>
      <w:r>
        <w:t xml:space="preserve"> </w:t>
      </w:r>
      <w:r>
        <w:t xml:space="preserve">formam um par dual que será a base de toda a análise de bem-estar desenvolvida no Capítulo 5. A elegância da estrutura dual reside no fato de que tanto</w:t>
      </w:r>
      <w:r>
        <w:t xml:space="preserve"> </w:t>
      </w:r>
      <m:oMath>
        <m:r>
          <m:t>V</m:t>
        </m:r>
      </m:oMath>
      <w:r>
        <w:t xml:space="preserve"> </w:t>
      </w:r>
      <w:r>
        <w:t xml:space="preserve">quanto</w:t>
      </w:r>
      <w:r>
        <w:t xml:space="preserve"> </w:t>
      </w:r>
      <m:oMath>
        <m:r>
          <m:t>E</m:t>
        </m:r>
      </m:oMath>
      <w:r>
        <w:t xml:space="preserve"> </w:t>
      </w:r>
      <w:r>
        <w:t xml:space="preserve">podem ser estimadas empiricamente — e a partir delas, via Identidade de Roy e Lema de Shephard, recuperamos as funções de demanda sem precisar resolver o problema de otimização original novamente.</w:t>
      </w:r>
    </w:p>
    <w:p>
      <w:pPr>
        <w:pStyle w:val="BlockText"/>
      </w:pPr>
      <w:r>
        <w:rPr>
          <w:b/>
          <w:bCs/>
        </w:rPr>
        <w:t xml:space="preserve">[DEFINICAO] Função dispêndio</w:t>
      </w:r>
    </w:p>
    <w:p>
      <w:pPr>
        <w:pStyle w:val="BlockText"/>
      </w:pPr>
      <w:r>
        <w:t xml:space="preserve">A</w:t>
      </w:r>
      <w:r>
        <w:t xml:space="preserve"> </w:t>
      </w:r>
      <w:r>
        <w:rPr>
          <w:b/>
          <w:bCs/>
        </w:rPr>
        <w:t xml:space="preserve">função dispêndio</w:t>
      </w:r>
      <w:r>
        <w:t xml:space="preserve"> </w:t>
      </w:r>
      <w:r>
        <w:t xml:space="preserve">é o custo mínimo de atingir o nível de utilidade</w:t>
      </w:r>
      <w:r>
        <w:t xml:space="preserve"> </w:t>
      </w:r>
      <m:oMath>
        <m:acc>
          <m:accPr>
            <m:chr m:val="‾"/>
          </m:accPr>
          <m:e>
            <m:r>
              <m:t>u</m:t>
            </m:r>
          </m:e>
        </m:acc>
      </m:oMath>
      <w:r>
        <w:t xml:space="preserve"> </w:t>
      </w:r>
      <w:r>
        <w:t xml:space="preserve">aos preços vigentes:</w:t>
      </w:r>
    </w:p>
    <w:p>
      <w:pPr>
        <w:pStyle w:val="BlockText"/>
      </w:pPr>
      <w:r>
        <w:t xml:space="preserve">$$</w:t>
      </w:r>
    </w:p>
    <w:p>
      <w:pPr>
        <w:pStyle w:val="BlockText"/>
      </w:pPr>
      <w:r>
        <w:t xml:space="preserve">E(p_1, p_2,</w:t>
      </w:r>
      <w:r>
        <w:t xml:space="preserve"> </w:t>
      </w:r>
      <w:r>
        <w:t xml:space="preserve">{u}) = p_1 , h_1(p_1, p_2,</w:t>
      </w:r>
      <w:r>
        <w:t xml:space="preserve"> </w:t>
      </w:r>
      <w:r>
        <w:t xml:space="preserve">{u}) + p_2 , h_2(p_1, p_2,</w:t>
      </w:r>
      <w:r>
        <w:t xml:space="preserve"> </w:t>
      </w:r>
      <w:r>
        <w:t xml:space="preserve">{u}) =</w:t>
      </w:r>
      <w:r>
        <w:t xml:space="preserve"> </w:t>
      </w:r>
      <w:r>
        <w:t xml:space="preserve">_{</w:t>
      </w:r>
      <w:r>
        <w:t xml:space="preserve">: u(</w:t>
      </w:r>
      <w:r>
        <w:t xml:space="preserve">)</w:t>
      </w:r>
      <w:r>
        <w:t xml:space="preserve"> </w:t>
      </w:r>
      <w:r>
        <w:t xml:space="preserve">{u}}</w:t>
      </w:r>
      <w:r>
        <w:t xml:space="preserve"> </w:t>
      </w:r>
      <w:r>
        <w:t xml:space="preserve"> </w:t>
      </w:r>
      <w:r>
        <w:t xml:space="preserve">.</w:t>
      </w:r>
      <w:r>
        <w:t xml:space="preserve"> </w:t>
      </w:r>
      <w:r>
        <w:t xml:space="preserve"> </w:t>
      </w:r>
    </w:p>
    <w:p>
      <w:pPr>
        <w:pStyle w:val="BlockText"/>
      </w:pPr>
      <w:r>
        <w:t xml:space="preserve">$$</w:t>
      </w:r>
    </w:p>
    <w:p>
      <w:pPr>
        <w:pStyle w:val="FirstParagraph"/>
      </w:pPr>
      <w:r>
        <w:rPr>
          <w:b/>
          <w:bCs/>
        </w:rPr>
        <w:t xml:space="preserve">Propriedades de</w:t>
      </w:r>
      <w:r>
        <w:rPr>
          <w:b/>
          <w:bCs/>
        </w:rPr>
        <w:t xml:space="preserve"> </w:t>
      </w:r>
      <m:oMath>
        <m:r>
          <m:t>E</m:t>
        </m:r>
        <m:r>
          <m:rPr>
            <m:sty m:val="p"/>
          </m:rPr>
          <m:t>(</m:t>
        </m:r>
        <m:r>
          <m:rPr>
            <m:sty m:val="bi"/>
          </m:rPr>
          <m:t>p</m:t>
        </m:r>
        <m:r>
          <m:rPr>
            <m:sty m:val="p"/>
          </m:rPr>
          <m:t>,</m:t>
        </m:r>
        <m:acc>
          <m:accPr>
            <m:chr m:val="‾"/>
          </m:accPr>
          <m:e>
            <m:r>
              <m:t>u</m:t>
            </m:r>
          </m:e>
        </m:acc>
        <m:r>
          <m:rPr>
            <m:sty m:val="p"/>
          </m:rPr>
          <m:t>)</m:t>
        </m:r>
      </m:oMath>
      <w:r>
        <w:t xml:space="preserve">:</w:t>
      </w:r>
    </w:p>
    <w:p>
      <w:pPr>
        <w:pStyle w:val="Compact"/>
        <w:numPr>
          <w:ilvl w:val="0"/>
          <w:numId w:val="1137"/>
        </w:numPr>
      </w:pPr>
      <w:r>
        <w:rPr>
          <w:b/>
          <w:bCs/>
        </w:rPr>
        <w:t xml:space="preserve">Homogênea de grau 1 em</w:t>
      </w:r>
      <w:r>
        <w:rPr>
          <w:b/>
          <w:bCs/>
        </w:rPr>
        <w:t xml:space="preserve"> </w:t>
      </w:r>
      <m:oMath>
        <m:r>
          <m:rPr>
            <m:sty m:val="bi"/>
          </m:rPr>
          <m:t>p</m:t>
        </m:r>
      </m:oMath>
      <w:r>
        <w:t xml:space="preserve">: se todos os preços dobram, o gasto mínimo dobra.</w:t>
      </w:r>
    </w:p>
    <w:p>
      <w:pPr>
        <w:pStyle w:val="Compact"/>
        <w:numPr>
          <w:ilvl w:val="0"/>
          <w:numId w:val="1137"/>
        </w:numPr>
      </w:pPr>
      <w:r>
        <w:rPr>
          <w:b/>
          <w:bCs/>
        </w:rPr>
        <w:t xml:space="preserve">Não decrescente em cada</w:t>
      </w:r>
      <w:r>
        <w:rPr>
          <w:b/>
          <w:bCs/>
        </w:rPr>
        <w:t xml:space="preserve"> </w:t>
      </w:r>
      <m:oMath>
        <m:sSub>
          <m:e>
            <m:r>
              <m:t>p</m:t>
            </m:r>
          </m:e>
          <m:sub>
            <m:r>
              <m:t>i</m:t>
            </m:r>
          </m:sub>
        </m:sSub>
      </m:oMath>
      <w:r>
        <w:t xml:space="preserve">: preços maiores implicam gasto maior para o mesmo nível de utilidade.</w:t>
      </w:r>
    </w:p>
    <w:p>
      <w:pPr>
        <w:pStyle w:val="Compact"/>
        <w:numPr>
          <w:ilvl w:val="0"/>
          <w:numId w:val="1137"/>
        </w:numPr>
      </w:pPr>
      <w:r>
        <w:rPr>
          <w:b/>
          <w:bCs/>
        </w:rPr>
        <w:t xml:space="preserve">Estritamente crescente em</w:t>
      </w:r>
      <w:r>
        <w:rPr>
          <w:b/>
          <w:bCs/>
        </w:rPr>
        <w:t xml:space="preserve"> </w:t>
      </w:r>
      <m:oMath>
        <m:acc>
          <m:accPr>
            <m:chr m:val="‾"/>
          </m:accPr>
          <m:e>
            <m:r>
              <m:t>u</m:t>
            </m:r>
          </m:e>
        </m:acc>
      </m:oMath>
      <w:r>
        <w:t xml:space="preserve">: atingir maior utilidade custa mais.</w:t>
      </w:r>
    </w:p>
    <w:p>
      <w:pPr>
        <w:pStyle w:val="Compact"/>
        <w:numPr>
          <w:ilvl w:val="0"/>
          <w:numId w:val="1137"/>
        </w:numPr>
      </w:pPr>
      <w:r>
        <w:rPr>
          <w:b/>
          <w:bCs/>
        </w:rPr>
        <w:t xml:space="preserve">Côncava em</w:t>
      </w:r>
      <w:r>
        <w:rPr>
          <w:b/>
          <w:bCs/>
        </w:rPr>
        <w:t xml:space="preserve"> </w:t>
      </w:r>
      <m:oMath>
        <m:r>
          <m:rPr>
            <m:sty m:val="bi"/>
          </m:rPr>
          <m:t>p</m:t>
        </m:r>
      </m:oMath>
      <w:r>
        <w:t xml:space="preserve">: esta propriedade é fundamental e reflete o fato de que o consumidor pode realocar consumo quando preços mudam. Quando um preço sobe, o consumidor substitui em favor de bens mais baratos, de modo que o gasto total cresce menos do que proporcionalmente.</w:t>
      </w:r>
    </w:p>
    <w:p>
      <w:pPr>
        <w:pStyle w:val="Compact"/>
        <w:numPr>
          <w:ilvl w:val="0"/>
          <w:numId w:val="1137"/>
        </w:numPr>
      </w:pPr>
      <w:r>
        <w:rPr>
          <w:b/>
          <w:bCs/>
        </w:rPr>
        <w:t xml:space="preserve">Lema de Shephard</w:t>
      </w:r>
      <w:r>
        <w:t xml:space="preserve">:</w:t>
      </w:r>
      <w:r>
        <w:t xml:space="preserve"> </w:t>
      </w:r>
      <m:oMath>
        <m:f>
          <m:fPr>
            <m:type m:val="bar"/>
          </m:fPr>
          <m:num>
            <m:r>
              <m:rPr>
                <m:sty m:val="p"/>
              </m:rPr>
              <m:t>∂</m:t>
            </m:r>
            <m:r>
              <m:t>E</m:t>
            </m:r>
          </m:num>
          <m:den>
            <m:r>
              <m:rPr>
                <m:sty m:val="p"/>
              </m:rPr>
              <m:t>∂</m:t>
            </m:r>
            <m:sSub>
              <m:e>
                <m:r>
                  <m:t>p</m:t>
                </m:r>
              </m:e>
              <m:sub>
                <m:r>
                  <m:t>i</m:t>
                </m:r>
              </m:sub>
            </m:sSub>
          </m:den>
        </m:f>
        <m:r>
          <m:rPr>
            <m:sty m:val="p"/>
          </m:rPr>
          <m:t>=</m:t>
        </m:r>
        <m:sSub>
          <m:e>
            <m:r>
              <m:t>h</m:t>
            </m:r>
          </m:e>
          <m:sub>
            <m:r>
              <m:t>i</m:t>
            </m:r>
          </m:sub>
        </m:sSub>
        <m:r>
          <m:rPr>
            <m:sty m:val="p"/>
          </m:rPr>
          <m:t>(</m:t>
        </m:r>
        <m:r>
          <m:rPr>
            <m:sty m:val="bi"/>
          </m:rPr>
          <m:t>p</m:t>
        </m:r>
        <m:r>
          <m:rPr>
            <m:sty m:val="p"/>
          </m:rPr>
          <m:t>,</m:t>
        </m:r>
        <m:acc>
          <m:accPr>
            <m:chr m:val="‾"/>
          </m:accPr>
          <m:e>
            <m:r>
              <m:t>u</m:t>
            </m:r>
          </m:e>
        </m:acc>
        <m:r>
          <m:rPr>
            <m:sty m:val="p"/>
          </m:rPr>
          <m:t>)</m:t>
        </m:r>
      </m:oMath>
      <w:r>
        <w:t xml:space="preserve">. A derivada da função dispêndio em relação ao preço</w:t>
      </w:r>
      <w:r>
        <w:t xml:space="preserve"> </w:t>
      </w:r>
      <m:oMath>
        <m:sSub>
          <m:e>
            <m:r>
              <m:t>p</m:t>
            </m:r>
          </m:e>
          <m:sub>
            <m:r>
              <m:t>i</m:t>
            </m:r>
          </m:sub>
        </m:sSub>
      </m:oMath>
      <w:r>
        <w:t xml:space="preserve"> </w:t>
      </w:r>
      <w:r>
        <w:t xml:space="preserve">fornece a demanda hicksiana do bem</w:t>
      </w:r>
      <w:r>
        <w:t xml:space="preserve"> </w:t>
      </w:r>
      <m:oMath>
        <m:r>
          <m:t>i</m:t>
        </m:r>
      </m:oMath>
      <w:r>
        <w:t xml:space="preserve">.</w:t>
      </w:r>
    </w:p>
    <w:p>
      <w:pPr>
        <w:pStyle w:val="BlockText"/>
      </w:pPr>
      <w:r>
        <w:rPr>
          <w:b/>
          <w:bCs/>
        </w:rPr>
        <w:t xml:space="preserve">[DEFINICAO] Lema de Shephard</w:t>
      </w:r>
    </w:p>
    <w:p>
      <w:pPr>
        <w:pStyle w:val="BlockText"/>
      </w:pPr>
      <w:r>
        <w:t xml:space="preserve">Se</w:t>
      </w:r>
      <w:r>
        <w:t xml:space="preserve"> </w:t>
      </w:r>
      <m:oMath>
        <m:r>
          <m:t>E</m:t>
        </m:r>
        <m:r>
          <m:rPr>
            <m:sty m:val="p"/>
          </m:rPr>
          <m:t>(</m:t>
        </m:r>
        <m:r>
          <m:rPr>
            <m:sty m:val="bi"/>
          </m:rPr>
          <m:t>p</m:t>
        </m:r>
        <m:r>
          <m:rPr>
            <m:sty m:val="p"/>
          </m:rPr>
          <m:t>,</m:t>
        </m:r>
        <m:acc>
          <m:accPr>
            <m:chr m:val="‾"/>
          </m:accPr>
          <m:e>
            <m:r>
              <m:t>u</m:t>
            </m:r>
          </m:e>
        </m:acc>
        <m:r>
          <m:rPr>
            <m:sty m:val="p"/>
          </m:rPr>
          <m:t>)</m:t>
        </m:r>
      </m:oMath>
      <w:r>
        <w:t xml:space="preserve"> </w:t>
      </w:r>
      <w:r>
        <w:t xml:space="preserve">é diferenciável em</w:t>
      </w:r>
      <w:r>
        <w:t xml:space="preserve"> </w:t>
      </w:r>
      <m:oMath>
        <m:r>
          <m:rPr>
            <m:sty m:val="bi"/>
          </m:rPr>
          <m:t>p</m:t>
        </m:r>
      </m:oMath>
      <w:r>
        <w:t xml:space="preserve">, então a demanda hicksiana do bem</w:t>
      </w:r>
      <w:r>
        <w:t xml:space="preserve"> </w:t>
      </w:r>
      <m:oMath>
        <m:r>
          <m:t>i</m:t>
        </m:r>
      </m:oMath>
      <w:r>
        <w:t xml:space="preserve"> </w:t>
      </w:r>
      <w:r>
        <w:t xml:space="preserve">é dada pela derivada parcial da função dispêndio em relação ao preço</w:t>
      </w:r>
      <w:r>
        <w:t xml:space="preserve"> </w:t>
      </w:r>
      <m:oMath>
        <m:sSub>
          <m:e>
            <m:r>
              <m:t>p</m:t>
            </m:r>
          </m:e>
          <m:sub>
            <m:r>
              <m:t>i</m:t>
            </m:r>
          </m:sub>
        </m:sSub>
      </m:oMath>
      <w:r>
        <w:t xml:space="preserve">:</w:t>
      </w:r>
    </w:p>
    <w:p>
      <w:pPr>
        <w:pStyle w:val="BlockText"/>
      </w:pPr>
      <w:r>
        <w:t xml:space="preserve">$$</w:t>
      </w:r>
    </w:p>
    <w:p>
      <w:pPr>
        <w:pStyle w:val="BlockText"/>
      </w:pPr>
      <w:r>
        <w:t xml:space="preserve">h_i(</w:t>
      </w:r>
      <w:r>
        <w:t xml:space="preserve">,</w:t>
      </w:r>
      <w:r>
        <w:t xml:space="preserve"> </w:t>
      </w:r>
      <w:r>
        <w:t xml:space="preserve">{u}) =</w:t>
      </w:r>
      <w:r>
        <w:t xml:space="preserve"> </w:t>
      </w:r>
      <w:r>
        <w:t xml:space="preserve">.</w:t>
      </w:r>
    </w:p>
    <w:p>
      <w:pPr>
        <w:pStyle w:val="BlockText"/>
      </w:pPr>
      <w:r>
        <w:t xml:space="preserve">$$</w:t>
      </w:r>
    </w:p>
    <w:p>
      <w:pPr>
        <w:pStyle w:val="BlockText"/>
      </w:pPr>
      <w:r>
        <w:rPr>
          <w:b/>
          <w:bCs/>
        </w:rPr>
        <w:t xml:space="preserve">Demonstração:</w:t>
      </w:r>
      <w:r>
        <w:t xml:space="preserve"> </w:t>
      </w:r>
      <w:r>
        <w:t xml:space="preserve">Pela Identidade do Envelope, o efeito de uma variação marginal em</w:t>
      </w:r>
      <w:r>
        <w:t xml:space="preserve"> </w:t>
      </w:r>
      <m:oMath>
        <m:sSub>
          <m:e>
            <m:r>
              <m:t>p</m:t>
            </m:r>
          </m:e>
          <m:sub>
            <m:r>
              <m:t>i</m:t>
            </m:r>
          </m:sub>
        </m:sSub>
      </m:oMath>
      <w:r>
        <w:t xml:space="preserve"> </w:t>
      </w:r>
      <w:r>
        <w:t xml:space="preserve">sobre o valor ótimo do gasto — mantendo</w:t>
      </w:r>
      <w:r>
        <w:t xml:space="preserve"> </w:t>
      </w:r>
      <m:oMath>
        <m:acc>
          <m:accPr>
            <m:chr m:val="‾"/>
          </m:accPr>
          <m:e>
            <m:r>
              <m:t>u</m:t>
            </m:r>
          </m:e>
        </m:acc>
      </m:oMath>
      <w:r>
        <w:t xml:space="preserve"> </w:t>
      </w:r>
      <w:r>
        <w:t xml:space="preserve">fixo — é igual ao efeito direto de</w:t>
      </w:r>
      <w:r>
        <w:t xml:space="preserve"> </w:t>
      </w:r>
      <m:oMath>
        <m:sSub>
          <m:e>
            <m:r>
              <m:t>p</m:t>
            </m:r>
          </m:e>
          <m:sub>
            <m:r>
              <m:t>i</m:t>
            </m:r>
          </m:sub>
        </m:sSub>
      </m:oMath>
      <w:r>
        <w:t xml:space="preserve"> </w:t>
      </w:r>
      <w:r>
        <w:t xml:space="preserve">sobre a função objetivo</w:t>
      </w:r>
      <w:r>
        <w:t xml:space="preserve"> </w:t>
      </w:r>
      <m:oMath>
        <m:r>
          <m:rPr>
            <m:sty m:val="bi"/>
          </m:rPr>
          <m:t>p</m:t>
        </m:r>
        <m:r>
          <m:rPr>
            <m:sty m:val="p"/>
          </m:rPr>
          <m:t>⋅</m:t>
        </m:r>
        <m:r>
          <m:rPr>
            <m:sty m:val="bi"/>
          </m:rPr>
          <m:t>x</m:t>
        </m:r>
      </m:oMath>
      <w:r>
        <w:t xml:space="preserve">, avaliado na solução ótima:</w:t>
      </w:r>
      <w:r>
        <w:t xml:space="preserve"> </w:t>
      </w:r>
      <m:oMath>
        <m:r>
          <m:rPr>
            <m:sty m:val="p"/>
          </m:rPr>
          <m:t>∂</m:t>
        </m:r>
        <m:r>
          <m:t>E</m:t>
        </m:r>
        <m:r>
          <m:rPr>
            <m:sty m:val="p"/>
          </m:rPr>
          <m:t>/</m:t>
        </m:r>
        <m:r>
          <m:rPr>
            <m:sty m:val="p"/>
          </m:rPr>
          <m:t>∂</m:t>
        </m:r>
        <m:sSub>
          <m:e>
            <m:r>
              <m:t>p</m:t>
            </m:r>
          </m:e>
          <m:sub>
            <m:r>
              <m:t>i</m:t>
            </m:r>
          </m:sub>
        </m:sSub>
        <m:r>
          <m:rPr>
            <m:sty m:val="p"/>
          </m:rPr>
          <m:t>=</m:t>
        </m:r>
        <m:sSubSup>
          <m:e>
            <m:r>
              <m:t>x</m:t>
            </m:r>
          </m:e>
          <m:sub>
            <m:r>
              <m:t>i</m:t>
            </m:r>
          </m:sub>
          <m:sup>
            <m:r>
              <m:rPr>
                <m:sty m:val="p"/>
              </m:rPr>
              <m:t>*</m:t>
            </m:r>
          </m:sup>
        </m:sSubSup>
        <m:r>
          <m:rPr>
            <m:sty m:val="p"/>
          </m:rPr>
          <m:t>=</m:t>
        </m:r>
        <m:sSub>
          <m:e>
            <m:r>
              <m:t>h</m:t>
            </m:r>
          </m:e>
          <m:sub>
            <m:r>
              <m:t>i</m:t>
            </m:r>
          </m:sub>
        </m:sSub>
      </m:oMath>
      <w:r>
        <w:t xml:space="preserve">. O resultado é análogo ao Lema de Shephard na teoria da firma, onde a derivada do custo em relação ao preço do insumo fornece a demanda condicional por insumos.</w:t>
      </w:r>
    </w:p>
    <w:p>
      <w:pPr>
        <w:pStyle w:val="BlockText"/>
      </w:pPr>
      <w:r>
        <w:rPr>
          <w:b/>
          <w:bCs/>
        </w:rPr>
        <w:t xml:space="preserve">Intuição:</w:t>
      </w:r>
      <w:r>
        <w:t xml:space="preserve"> </w:t>
      </w:r>
      <w:r>
        <w:t xml:space="preserve">Se o preço do bem 1 sobe R$ 1, o aumento no gasto mínimo é exatamente a quantidade do bem 1 que o consumidor estava comprando — porque, na margem, ele não realoca (o Envelope Theorem garante que os efeitos de segunda ordem são desprezíveis).</w:t>
      </w:r>
    </w:p>
    <w:p>
      <w:pPr>
        <w:pStyle w:val="BlockText"/>
      </w:pPr>
      <w:r>
        <w:rPr>
          <w:b/>
          <w:bCs/>
        </w:rPr>
        <w:t xml:space="preserve">[DICA] Exemplo: Cobb-Douglas</w:t>
      </w:r>
    </w:p>
    <w:p>
      <w:pPr>
        <w:pStyle w:val="BlockText"/>
      </w:pPr>
      <w:r>
        <w:t xml:space="preserve">Para</w:t>
      </w:r>
      <w:r>
        <w:t xml:space="preserve"> </w:t>
      </w:r>
      <m:oMath>
        <m:r>
          <m:t>u</m:t>
        </m:r>
        <m:r>
          <m:rPr>
            <m:sty m:val="p"/>
          </m:rPr>
          <m:t>=</m:t>
        </m:r>
        <m:sSubSup>
          <m:e>
            <m:r>
              <m:t>x</m:t>
            </m:r>
          </m:e>
          <m:sub>
            <m:r>
              <m:t>1</m:t>
            </m:r>
          </m:sub>
          <m:sup>
            <m:r>
              <m:t>a</m:t>
            </m:r>
          </m:sup>
        </m:sSubSup>
        <m:sSubSup>
          <m:e>
            <m:r>
              <m:t>x</m:t>
            </m:r>
          </m:e>
          <m:sub>
            <m:r>
              <m:t>2</m:t>
            </m:r>
          </m:sub>
          <m:sup>
            <m:r>
              <m:t>b</m:t>
            </m:r>
          </m:sup>
        </m:sSubSup>
      </m:oMath>
      <w:r>
        <w:t xml:space="preserve"> </w:t>
      </w:r>
      <w:r>
        <w:t xml:space="preserve">com</w:t>
      </w:r>
      <w:r>
        <w:t xml:space="preserve"> </w:t>
      </w:r>
      <m:oMath>
        <m:r>
          <m:t>a</m:t>
        </m:r>
        <m:r>
          <m:rPr>
            <m:sty m:val="p"/>
          </m:rPr>
          <m:t>+</m:t>
        </m:r>
        <m:r>
          <m:t>b</m:t>
        </m:r>
        <m:r>
          <m:rPr>
            <m:sty m:val="p"/>
          </m:rPr>
          <m:t>=</m:t>
        </m:r>
        <m:r>
          <m:t>1</m:t>
        </m:r>
      </m:oMath>
      <w:r>
        <w:t xml:space="preserve">, a função dispêndio é:</w:t>
      </w:r>
    </w:p>
    <w:p>
      <w:pPr>
        <w:pStyle w:val="BlockText"/>
      </w:pPr>
      <w:r>
        <w:t xml:space="preserve">$$</w:t>
      </w:r>
    </w:p>
    <w:p>
      <w:pPr>
        <w:pStyle w:val="BlockText"/>
      </w:pPr>
      <w:r>
        <w:t xml:space="preserve">E(p_1, p_2,</w:t>
      </w:r>
      <w:r>
        <w:t xml:space="preserve"> </w:t>
      </w:r>
      <w:r>
        <w:t xml:space="preserve">{u}) =</w:t>
      </w:r>
      <w:r>
        <w:t xml:space="preserve"> </w:t>
      </w:r>
      <w:r>
        <w:t xml:space="preserve">(</w:t>
      </w:r>
      <w:r>
        <w:t xml:space="preserve">)^a</w:t>
      </w:r>
      <w:r>
        <w:t xml:space="preserve"> </w:t>
      </w:r>
      <w:r>
        <w:t xml:space="preserve">(</w:t>
      </w:r>
      <w:r>
        <w:t xml:space="preserve">)^b</w:t>
      </w:r>
      <w:r>
        <w:t xml:space="preserve"> </w:t>
      </w:r>
      <w:r>
        <w:t xml:space="preserve">{u}.</w:t>
      </w:r>
    </w:p>
    <w:p>
      <w:pPr>
        <w:pStyle w:val="BlockText"/>
      </w:pPr>
      <w:r>
        <w:t xml:space="preserve">$$</w:t>
      </w:r>
    </w:p>
    <w:p>
      <w:pPr>
        <w:pStyle w:val="BlockText"/>
      </w:pPr>
      <w:r>
        <w:t xml:space="preserve">As demandas hicksianas obtidas pelo Lema de Shephard são:</w:t>
      </w:r>
    </w:p>
    <w:p>
      <w:pPr>
        <w:pStyle w:val="BlockText"/>
      </w:pPr>
      <w:r>
        <w:t xml:space="preserve">$$</w:t>
      </w:r>
    </w:p>
    <w:p>
      <w:pPr>
        <w:pStyle w:val="BlockText"/>
      </w:pPr>
      <w:r>
        <w:t xml:space="preserve">h_1 =</w:t>
      </w:r>
      <w:r>
        <w:t xml:space="preserve"> </w:t>
      </w:r>
      <w:r>
        <w:t xml:space="preserve"> </w:t>
      </w:r>
      <w:r>
        <w:t xml:space="preserve">= a</w:t>
      </w:r>
      <w:r>
        <w:t xml:space="preserve"> </w:t>
      </w:r>
      <w:r>
        <w:t xml:space="preserve">(</w:t>
      </w:r>
      <w:r>
        <w:t xml:space="preserve">)^{a-1}</w:t>
      </w:r>
      <w:r>
        <w:t xml:space="preserve"> </w:t>
      </w:r>
      <w:r>
        <w:t xml:space="preserve">(</w:t>
      </w:r>
      <w:r>
        <w:t xml:space="preserve">)^b</w:t>
      </w:r>
      <w:r>
        <w:t xml:space="preserve"> </w:t>
      </w:r>
      <w:r>
        <w:t xml:space="preserve">{u}</w:t>
      </w:r>
      <w:r>
        <w:t xml:space="preserve"> </w:t>
      </w:r>
      <w:r>
        <w:t xml:space="preserve"> </w:t>
      </w:r>
      <w:r>
        <w:t xml:space="preserve">=</w:t>
      </w:r>
      <w:r>
        <w:t xml:space="preserve"> </w:t>
      </w:r>
      <w:r>
        <w:t xml:space="preserve">(</w:t>
      </w:r>
      <w:r>
        <w:t xml:space="preserve">)^b</w:t>
      </w:r>
      <w:r>
        <w:t xml:space="preserve"> </w:t>
      </w:r>
      <w:r>
        <w:t xml:space="preserve">(</w:t>
      </w:r>
      <w:r>
        <w:t xml:space="preserve">)^{b}</w:t>
      </w:r>
      <w:r>
        <w:t xml:space="preserve"> </w:t>
      </w:r>
      <w:r>
        <w:t xml:space="preserve">{u}.</w:t>
      </w:r>
    </w:p>
    <w:p>
      <w:pPr>
        <w:pStyle w:val="BlockText"/>
      </w:pPr>
      <w:r>
        <w:t xml:space="preserve">$$</w:t>
      </w:r>
    </w:p>
    <w:p>
      <w:r>
        <w:pict>
          <v:rect style="width:0;height:1.5pt" o:hralign="center" o:hrstd="t" o:hr="t"/>
        </w:pict>
      </w:r>
    </w:p>
    <w:bookmarkEnd w:id="203"/>
    <w:bookmarkStart w:id="205" w:name="X30429170211e75bfd5fc145fb3ef6325fad127d"/>
    <w:p>
      <w:pPr>
        <w:pStyle w:val="Heading3"/>
      </w:pPr>
      <w:r>
        <w:t xml:space="preserve">4.8 Dois Lados da Mesma Moeda: A Dualidade V ↔ E</w:t>
      </w:r>
    </w:p>
    <w:p>
      <w:pPr>
        <w:pStyle w:val="FirstParagraph"/>
      </w:pPr>
      <w:r>
        <w:t xml:space="preserve">Temos agora duas funções que resumem o consumidor:</w:t>
      </w:r>
      <w:r>
        <w:t xml:space="preserve"> </w:t>
      </w:r>
      <m:oMath>
        <m:r>
          <m:t>V</m:t>
        </m:r>
      </m:oMath>
      <w:r>
        <w:t xml:space="preserve"> </w:t>
      </w:r>
      <w:r>
        <w:t xml:space="preserve">(utilidade indireta, do primal) e</w:t>
      </w:r>
      <w:r>
        <w:t xml:space="preserve"> </w:t>
      </w:r>
      <m:oMath>
        <m:r>
          <m:t>E</m:t>
        </m:r>
      </m:oMath>
      <w:r>
        <w:t xml:space="preserve"> </w:t>
      </w:r>
      <w:r>
        <w:t xml:space="preserve">(função dispêndio, do dual). Uma fala em</w:t>
      </w:r>
      <w:r>
        <w:t xml:space="preserve"> </w:t>
      </w:r>
      <w:r>
        <w:t xml:space="preserve">“reais”</w:t>
      </w:r>
      <w:r>
        <w:t xml:space="preserve"> </w:t>
      </w:r>
      <w:r>
        <w:t xml:space="preserve">e devolve</w:t>
      </w:r>
      <w:r>
        <w:t xml:space="preserve"> </w:t>
      </w:r>
      <w:r>
        <w:t xml:space="preserve">“felicidade”</w:t>
      </w:r>
      <w:r>
        <w:t xml:space="preserve">; a outra fala em</w:t>
      </w:r>
      <w:r>
        <w:t xml:space="preserve"> </w:t>
      </w:r>
      <w:r>
        <w:t xml:space="preserve">“felicidade”</w:t>
      </w:r>
      <w:r>
        <w:t xml:space="preserve"> </w:t>
      </w:r>
      <w:r>
        <w:t xml:space="preserve">e devolve</w:t>
      </w:r>
      <w:r>
        <w:t xml:space="preserve"> </w:t>
      </w:r>
      <w:r>
        <w:t xml:space="preserve">“reais”</w:t>
      </w:r>
      <w:r>
        <w:t xml:space="preserve">. Não é coincidência que pareçam espelhos — elas</w:t>
      </w:r>
      <w:r>
        <w:t xml:space="preserve"> </w:t>
      </w:r>
      <w:r>
        <w:rPr>
          <w:i/>
          <w:iCs/>
        </w:rPr>
        <w:t xml:space="preserve">são</w:t>
      </w:r>
      <w:r>
        <w:t xml:space="preserve"> </w:t>
      </w:r>
      <w:r>
        <w:t xml:space="preserve">inversas uma da outra.</w:t>
      </w:r>
      <w:r>
        <w:rPr>
          <w:rStyle w:val="FootnoteReference"/>
        </w:rPr>
        <w:footnoteReference w:id="204"/>
      </w:r>
      <w:r>
        <w:t xml:space="preserve"> </w:t>
      </w:r>
      <w:r>
        <w:t xml:space="preserve">Essa simetria é o coração da dualidade, e as identidades abaixo são o certificado de casamento:</w:t>
      </w:r>
    </w:p>
    <w:p>
      <w:pPr>
        <w:pStyle w:val="BodyText"/>
      </w:pPr>
      <m:oMathPara>
        <m:oMathParaPr>
          <m:jc m:val="center"/>
        </m:oMathParaPr>
        <m:oMath>
          <m:r>
            <m:t>V</m:t>
          </m:r>
          <m:r>
            <m:rPr>
              <m:sty m:val="p"/>
            </m:rPr>
            <m:t>(</m:t>
          </m:r>
          <m:r>
            <m:rPr>
              <m:sty m:val="bi"/>
            </m:rPr>
            <m:t>p</m:t>
          </m:r>
          <m:r>
            <m:rPr>
              <m:sty m:val="p"/>
            </m:rPr>
            <m:t>,</m:t>
          </m:r>
          <m:r>
            <m:t>E</m:t>
          </m:r>
          <m:r>
            <m:rPr>
              <m:sty m:val="p"/>
            </m:rPr>
            <m:t>(</m:t>
          </m:r>
          <m:r>
            <m:rPr>
              <m:sty m:val="bi"/>
            </m:rPr>
            <m:t>p</m:t>
          </m:r>
          <m:r>
            <m:rPr>
              <m:sty m:val="p"/>
            </m:rPr>
            <m:t>,</m:t>
          </m:r>
          <m:acc>
            <m:accPr>
              <m:chr m:val="‾"/>
            </m:accPr>
            <m:e>
              <m:r>
                <m:t>u</m:t>
              </m:r>
            </m:e>
          </m:acc>
          <m:r>
            <m:rPr>
              <m:sty m:val="p"/>
            </m:rPr>
            <m:t>)</m:t>
          </m:r>
          <m:r>
            <m:rPr>
              <m:sty m:val="p"/>
            </m:rPr>
            <m:t>)</m:t>
          </m:r>
          <m:r>
            <m:rPr>
              <m:sty m:val="p"/>
            </m:rPr>
            <m:t>=</m:t>
          </m:r>
          <m:acc>
            <m:accPr>
              <m:chr m:val="‾"/>
            </m:accPr>
            <m:e>
              <m:r>
                <m:t>u</m:t>
              </m:r>
            </m:e>
          </m:acc>
          <m:r>
            <m:t>  </m:t>
          </m:r>
          <m:r>
            <m:rPr>
              <m:nor/>
              <m:sty m:val="p"/>
            </m:rPr>
            <m:t>(a renda mínima para atingir </m:t>
          </m:r>
          <m:acc>
            <m:accPr>
              <m:chr m:val="‾"/>
            </m:accPr>
            <m:e>
              <m:r>
                <m:t>u</m:t>
              </m:r>
            </m:e>
          </m:acc>
          <m:r>
            <m:rPr>
              <m:nor/>
              <m:sty m:val="p"/>
            </m:rPr>
            <m:t> gera utilidade exatamente </m:t>
          </m:r>
          <m:acc>
            <m:accPr>
              <m:chr m:val="‾"/>
            </m:accPr>
            <m:e>
              <m:r>
                <m:t>u</m:t>
              </m:r>
            </m:e>
          </m:acc>
          <m:r>
            <m:rPr>
              <m:nor/>
              <m:sty m:val="p"/>
            </m:rPr>
            <m:t>)</m:t>
          </m:r>
          <m:r>
            <m:rPr>
              <m:sty m:val="p"/>
            </m:rPr>
            <m:t>,</m:t>
          </m:r>
        </m:oMath>
      </m:oMathPara>
    </w:p>
    <w:p>
      <w:pPr>
        <w:pStyle w:val="FirstParagraph"/>
      </w:pPr>
      <m:oMathPara>
        <m:oMathParaPr>
          <m:jc m:val="center"/>
        </m:oMathParaPr>
        <m:oMath>
          <m:r>
            <m:t>E</m:t>
          </m:r>
          <m:r>
            <m:rPr>
              <m:sty m:val="p"/>
            </m:rPr>
            <m:t>(</m:t>
          </m:r>
          <m:r>
            <m:rPr>
              <m:sty m:val="bi"/>
            </m:rPr>
            <m:t>p</m:t>
          </m:r>
          <m:r>
            <m:rPr>
              <m:sty m:val="p"/>
            </m:rPr>
            <m:t>,</m:t>
          </m:r>
          <m:r>
            <m:t>V</m:t>
          </m:r>
          <m:r>
            <m:rPr>
              <m:sty m:val="p"/>
            </m:rPr>
            <m:t>(</m:t>
          </m:r>
          <m:r>
            <m:rPr>
              <m:sty m:val="bi"/>
            </m:rPr>
            <m:t>p</m:t>
          </m:r>
          <m:r>
            <m:rPr>
              <m:sty m:val="p"/>
            </m:rPr>
            <m:t>,</m:t>
          </m:r>
          <m:r>
            <m:t>I</m:t>
          </m:r>
          <m:r>
            <m:rPr>
              <m:sty m:val="p"/>
            </m:rPr>
            <m:t>)</m:t>
          </m:r>
          <m:r>
            <m:rPr>
              <m:sty m:val="p"/>
            </m:rPr>
            <m:t>)</m:t>
          </m:r>
          <m:r>
            <m:rPr>
              <m:sty m:val="p"/>
            </m:rPr>
            <m:t>=</m:t>
          </m:r>
          <m:r>
            <m:t>I</m:t>
          </m:r>
          <m:r>
            <m:t>  </m:t>
          </m:r>
          <m:r>
            <m:rPr>
              <m:nor/>
              <m:sty m:val="p"/>
            </m:rPr>
            <m:t>(o custo mínimo de atingir a utilidade máxima com renda </m:t>
          </m:r>
          <m:r>
            <m:t>I</m:t>
          </m:r>
          <m:r>
            <m:rPr>
              <m:nor/>
              <m:sty m:val="p"/>
            </m:rPr>
            <m:t> é exatamente </m:t>
          </m:r>
          <m:r>
            <m:t>I</m:t>
          </m:r>
          <m:r>
            <m:rPr>
              <m:nor/>
              <m:sty m:val="p"/>
            </m:rPr>
            <m:t>)</m:t>
          </m:r>
          <m:r>
            <m:rPr>
              <m:sty m:val="p"/>
            </m:rPr>
            <m:t>.</m:t>
          </m:r>
        </m:oMath>
      </m:oMathPara>
    </w:p>
    <w:p>
      <w:pPr>
        <w:pStyle w:val="FirstParagraph"/>
      </w:pPr>
      <w:r>
        <w:t xml:space="preserve">Essas identidades implicam que</w:t>
      </w:r>
      <w:r>
        <w:t xml:space="preserve"> </w:t>
      </w:r>
      <m:oMath>
        <m:r>
          <m:t>V</m:t>
        </m:r>
        <m:r>
          <m:rPr>
            <m:sty m:val="p"/>
          </m:rPr>
          <m:t>(</m:t>
        </m:r>
        <m:r>
          <m:rPr>
            <m:sty m:val="bi"/>
          </m:rPr>
          <m:t>p</m:t>
        </m:r>
        <m:r>
          <m:rPr>
            <m:sty m:val="p"/>
          </m:rPr>
          <m:t>,</m:t>
        </m:r>
        <m:r>
          <m:rPr>
            <m:sty m:val="p"/>
          </m:rPr>
          <m:t>⋅</m:t>
        </m:r>
        <m:r>
          <m:rPr>
            <m:sty m:val="p"/>
          </m:rPr>
          <m:t>)</m:t>
        </m:r>
      </m:oMath>
      <w:r>
        <w:t xml:space="preserve"> </w:t>
      </w:r>
      <w:r>
        <w:t xml:space="preserve">e</w:t>
      </w:r>
      <w:r>
        <w:t xml:space="preserve"> </w:t>
      </w:r>
      <m:oMath>
        <m:r>
          <m:t>E</m:t>
        </m:r>
        <m:r>
          <m:rPr>
            <m:sty m:val="p"/>
          </m:rPr>
          <m:t>(</m:t>
        </m:r>
        <m:r>
          <m:rPr>
            <m:sty m:val="bi"/>
          </m:rPr>
          <m:t>p</m:t>
        </m:r>
        <m:r>
          <m:rPr>
            <m:sty m:val="p"/>
          </m:rPr>
          <m:t>,</m:t>
        </m:r>
        <m:r>
          <m:rPr>
            <m:sty m:val="p"/>
          </m:rPr>
          <m:t>⋅</m:t>
        </m:r>
        <m:r>
          <m:rPr>
            <m:sty m:val="p"/>
          </m:rPr>
          <m:t>)</m:t>
        </m:r>
      </m:oMath>
      <w:r>
        <w:t xml:space="preserve"> </w:t>
      </w:r>
      <w:r>
        <w:t xml:space="preserve">são</w:t>
      </w:r>
      <w:r>
        <w:t xml:space="preserve"> </w:t>
      </w:r>
      <w:r>
        <w:rPr>
          <w:b/>
          <w:bCs/>
        </w:rPr>
        <w:t xml:space="preserve">inversas</w:t>
      </w:r>
      <w:r>
        <w:t xml:space="preserve"> </w:t>
      </w:r>
      <w:r>
        <w:t xml:space="preserve">uma da outra (fixados os preços).</w:t>
      </w:r>
    </w:p>
    <w:p>
      <w:pPr>
        <w:pStyle w:val="BodyText"/>
      </w:pPr>
      <w:r>
        <w:t xml:space="preserve">Se esta seção parece abstrata demais, relaxe: a dualidade é uma daquelas ideias que só fazem sentido depois de usá-la três vezes. Prossiga, volte aqui no Capítulo 5, e ela vai</w:t>
      </w:r>
      <w:r>
        <w:t xml:space="preserve"> </w:t>
      </w:r>
      <w:r>
        <w:t xml:space="preserve">“clicar”</w:t>
      </w:r>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Maximizar a felicidade com um orçamento fixo e minimizar o gasto para atingir uma felicidade fixa são dois lados da mesma moeda.</w:t>
      </w:r>
    </w:p>
    <w:p>
      <w:pPr>
        <w:pStyle w:val="BlockText"/>
      </w:pPr>
      <w:r>
        <w:rPr>
          <w:b/>
          <w:bCs/>
        </w:rPr>
        <w:t xml:space="preserve">Pense assim:</w:t>
      </w:r>
      <w:r>
        <w:t xml:space="preserve"> </w:t>
      </w:r>
      <w:r>
        <w:t xml:space="preserve">Pense em um estudante que quer montar a melhor marmita possível com R$ 15 (problema primal). Ou, alternativamente, quer gastar o mínimo para montar uma marmita tão boa quanto a que comeu ontem (problema dual). Nos dois casos, ele escolhe os mesmos ingredientes no mesmo ponto de tangência — só muda a pergunta.</w:t>
      </w:r>
    </w:p>
    <w:p>
      <w:pPr>
        <w:pStyle w:val="BlockText"/>
      </w:pPr>
      <w:r>
        <w:rPr>
          <w:b/>
          <w:bCs/>
        </w:rPr>
        <w:t xml:space="preserve">Por que isso importa:</w:t>
      </w:r>
      <w:r>
        <w:t xml:space="preserve"> </w:t>
      </w:r>
      <w:r>
        <w:t xml:space="preserve">A dualidade permite construir medidas de bem-estar (variação compensatória e equivalente) que são essenciais para avaliar políticas públicas como reajustes de tarifas ou mudanças tributárias.</w:t>
      </w:r>
    </w:p>
    <w:p>
      <w:pPr>
        <w:pStyle w:val="BlockText"/>
      </w:pPr>
      <w:r>
        <w:rPr>
          <w:b/>
          <w:bCs/>
        </w:rPr>
        <w:t xml:space="preserve">[INFORMACAO] 🏅 Prêmio Nobel — Kenneth Arrow (1972)</w:t>
      </w:r>
    </w:p>
    <w:p>
      <w:pPr>
        <w:pStyle w:val="BlockText"/>
      </w:pPr>
      <w:r>
        <w:rPr>
          <w:b/>
          <w:bCs/>
        </w:rPr>
        <w:t xml:space="preserve">Kenneth Joseph Arrow</w:t>
      </w:r>
      <w:r>
        <w:t xml:space="preserve"> </w:t>
      </w:r>
      <w:r>
        <w:t xml:space="preserve">(1921–2017) foi um economista americano formado pela Universidade de Columbia e pela Universidade de Stanford, onde foi professor por décadas. Dividiu o Nobel de 1972 com John R. Hicks.</w:t>
      </w:r>
    </w:p>
    <w:p>
      <w:pPr>
        <w:pStyle w:val="BlockText"/>
      </w:pPr>
      <w:r>
        <w:rPr>
          <w:b/>
          <w:bCs/>
        </w:rPr>
        <w:t xml:space="preserve">Por que ganhou o Nobel:</w:t>
      </w:r>
      <w:r>
        <w:t xml:space="preserve"> </w:t>
      </w:r>
      <w:r>
        <w:t xml:space="preserve">Arrow foi premiado por suas contribuições pioneiras à teoria do equilíbrio geral e à teoria do bem-estar. Seu Teorema da Impossibilidade (1951) mostrou que nenhum sistema de votação pode agregar preferências individuais de forma perfeitamente racional. Na teoria do equilíbrio geral, Arrow e Debreu (1954) demonstraram a existência e a optimalidade de equilíbrios competitivos.</w:t>
      </w:r>
    </w:p>
    <w:p>
      <w:pPr>
        <w:pStyle w:val="BlockText"/>
      </w:pPr>
      <w:r>
        <w:rPr>
          <w:b/>
          <w:bCs/>
        </w:rPr>
        <w:t xml:space="preserve">Conexão com este capítulo:</w:t>
      </w:r>
      <w:r>
        <w:t xml:space="preserve"> </w:t>
      </w:r>
      <w:r>
        <w:t xml:space="preserve">A estrutura de dualidade entre</w:t>
      </w:r>
      <w:r>
        <w:t xml:space="preserve"> </w:t>
      </w:r>
      <m:oMath>
        <m:r>
          <m:t>V</m:t>
        </m:r>
      </m:oMath>
      <w:r>
        <w:t xml:space="preserve"> </w:t>
      </w:r>
      <w:r>
        <w:t xml:space="preserve">e</w:t>
      </w:r>
      <w:r>
        <w:t xml:space="preserve"> </w:t>
      </w:r>
      <m:oMath>
        <m:r>
          <m:t>E</m:t>
        </m:r>
      </m:oMath>
      <w:r>
        <w:t xml:space="preserve"> </w:t>
      </w:r>
      <w:r>
        <w:t xml:space="preserve">está no coração do modelo Arrow-Debreu de equilíbrio geral. As demandas marshallianas derivadas neste capítulo são as peças individuais que, agregadas, formam a demanda de mercado no modelo Arrow-Debreu. Além disso, a distinção entre eficiência alocativa (equilíbrio competitivo) e bem-estar (representado por</w:t>
      </w:r>
      <w:r>
        <w:t xml:space="preserve"> </w:t>
      </w:r>
      <m:oMath>
        <m:r>
          <m:t>V</m:t>
        </m:r>
      </m:oMath>
      <w:r>
        <w:t xml:space="preserve"> </w:t>
      </w:r>
      <w:r>
        <w:t xml:space="preserve">e</w:t>
      </w:r>
      <w:r>
        <w:t xml:space="preserve"> </w:t>
      </w:r>
      <m:oMath>
        <m:r>
          <m:t>E</m:t>
        </m:r>
      </m:oMath>
      <w:r>
        <w:t xml:space="preserve">) é central ao programa de pesquisa de Arrow sobre economia do bem-estar, que reaparece nos Capítulos 9 e 10.</w:t>
      </w:r>
    </w:p>
    <w:p>
      <w:pPr>
        <w:pStyle w:val="FirstParagraph"/>
      </w:pPr>
      <w:r>
        <w:t xml:space="preserve">[FIGURA INTERATIVA: /micro-book/graficos/cap04/dualidade.html — versao interativa disponivel online]</w:t>
      </w:r>
    </w:p>
    <w:p>
      <w:pPr>
        <w:pStyle w:val="BodyText"/>
      </w:pPr>
      <w:r>
        <w:rPr>
          <w:b/>
          <w:bCs/>
        </w:rPr>
        <w:t xml:space="preserve">Figura 4.4 — Dualidade: Maximização de Utilidade vs. Minimização do Dispêndio.</w:t>
      </w:r>
      <w:r>
        <w:t xml:space="preserve"> </w:t>
      </w:r>
      <w:r>
        <w:t xml:space="preserve">Alterne entre os problemas primal e dual. Observe que o mesmo ponto de tangência resolve ambos, e que as identidades de dualidade se verificam numericamente.</w:t>
      </w:r>
    </w:p>
    <w:p>
      <w:pPr>
        <w:pStyle w:val="BodyText"/>
      </w:pPr>
      <w:r>
        <w:t xml:space="preserve">Além disso, as demandas marshalliana e hicksiana estão relacionadas:</w:t>
      </w:r>
    </w:p>
    <w:p>
      <w:pPr>
        <w:pStyle w:val="BodyText"/>
      </w:pPr>
      <m:oMathPara>
        <m:oMathParaPr>
          <m:jc m:val="center"/>
        </m:oMathParaPr>
        <m:oMath>
          <m:sSub>
            <m:e>
              <m:r>
                <m:t>x</m:t>
              </m:r>
            </m:e>
            <m:sub>
              <m:r>
                <m:t>i</m:t>
              </m:r>
            </m:sub>
          </m:sSub>
          <m:r>
            <m:rPr>
              <m:sty m:val="p"/>
            </m:rPr>
            <m:t>(</m:t>
          </m:r>
          <m:r>
            <m:rPr>
              <m:sty m:val="bi"/>
            </m:rPr>
            <m:t>p</m:t>
          </m:r>
          <m:r>
            <m:rPr>
              <m:sty m:val="p"/>
            </m:rPr>
            <m:t>,</m:t>
          </m:r>
          <m:r>
            <m:t>I</m:t>
          </m:r>
          <m:r>
            <m:rPr>
              <m:sty m:val="p"/>
            </m:rPr>
            <m:t>)</m:t>
          </m:r>
          <m:r>
            <m:rPr>
              <m:sty m:val="p"/>
            </m:rPr>
            <m:t>=</m:t>
          </m:r>
          <m:sSub>
            <m:e>
              <m:r>
                <m:t>h</m:t>
              </m:r>
            </m:e>
            <m:sub>
              <m:r>
                <m:t>i</m:t>
              </m:r>
            </m:sub>
          </m:sSub>
          <m:r>
            <m:rPr>
              <m:sty m:val="p"/>
            </m:rPr>
            <m:t>(</m:t>
          </m:r>
          <m:r>
            <m:rPr>
              <m:sty m:val="bi"/>
            </m:rPr>
            <m:t>p</m:t>
          </m:r>
          <m:r>
            <m:rPr>
              <m:sty m:val="p"/>
            </m:rPr>
            <m:t>,</m:t>
          </m:r>
          <m:r>
            <m:t>V</m:t>
          </m:r>
          <m:r>
            <m:rPr>
              <m:sty m:val="p"/>
            </m:rPr>
            <m:t>(</m:t>
          </m:r>
          <m:r>
            <m:rPr>
              <m:sty m:val="bi"/>
            </m:rPr>
            <m:t>p</m:t>
          </m:r>
          <m:r>
            <m:rPr>
              <m:sty m:val="p"/>
            </m:rPr>
            <m:t>,</m:t>
          </m:r>
          <m:r>
            <m:t>I</m:t>
          </m:r>
          <m:r>
            <m:rPr>
              <m:sty m:val="p"/>
            </m:rPr>
            <m:t>)</m:t>
          </m:r>
          <m:r>
            <m:rPr>
              <m:sty m:val="p"/>
            </m:rPr>
            <m:t>)</m:t>
          </m:r>
          <m:r>
            <m:rPr>
              <m:sty m:val="p"/>
            </m:rPr>
            <m:t>,</m:t>
          </m:r>
        </m:oMath>
      </m:oMathPara>
    </w:p>
    <w:p>
      <w:pPr>
        <w:pStyle w:val="FirstParagraph"/>
      </w:pPr>
      <m:oMathPara>
        <m:oMathParaPr>
          <m:jc m:val="center"/>
        </m:oMathParaPr>
        <m:oMath>
          <m:sSub>
            <m:e>
              <m:r>
                <m:t>h</m:t>
              </m:r>
            </m:e>
            <m:sub>
              <m:r>
                <m:t>i</m:t>
              </m:r>
            </m:sub>
          </m:sSub>
          <m:r>
            <m:rPr>
              <m:sty m:val="p"/>
            </m:rPr>
            <m:t>(</m:t>
          </m:r>
          <m:r>
            <m:rPr>
              <m:sty m:val="bi"/>
            </m:rPr>
            <m:t>p</m:t>
          </m:r>
          <m:r>
            <m:rPr>
              <m:sty m:val="p"/>
            </m:rPr>
            <m:t>,</m:t>
          </m:r>
          <m:acc>
            <m:accPr>
              <m:chr m:val="‾"/>
            </m:accPr>
            <m:e>
              <m:r>
                <m:t>u</m:t>
              </m:r>
            </m:e>
          </m:acc>
          <m:r>
            <m:rPr>
              <m:sty m:val="p"/>
            </m:rPr>
            <m:t>)</m:t>
          </m:r>
          <m:r>
            <m:rPr>
              <m:sty m:val="p"/>
            </m:rPr>
            <m:t>=</m:t>
          </m:r>
          <m:sSub>
            <m:e>
              <m:r>
                <m:t>x</m:t>
              </m:r>
            </m:e>
            <m:sub>
              <m:r>
                <m:t>i</m:t>
              </m:r>
            </m:sub>
          </m:sSub>
          <m:r>
            <m:rPr>
              <m:sty m:val="p"/>
            </m:rPr>
            <m:t>(</m:t>
          </m:r>
          <m:r>
            <m:rPr>
              <m:sty m:val="bi"/>
            </m:rPr>
            <m:t>p</m:t>
          </m:r>
          <m:r>
            <m:rPr>
              <m:sty m:val="p"/>
            </m:rPr>
            <m:t>,</m:t>
          </m:r>
          <m:r>
            <m:t>E</m:t>
          </m:r>
          <m:r>
            <m:rPr>
              <m:sty m:val="p"/>
            </m:rPr>
            <m:t>(</m:t>
          </m:r>
          <m:r>
            <m:rPr>
              <m:sty m:val="bi"/>
            </m:rPr>
            <m:t>p</m:t>
          </m:r>
          <m:r>
            <m:rPr>
              <m:sty m:val="p"/>
            </m:rPr>
            <m:t>,</m:t>
          </m:r>
          <m:acc>
            <m:accPr>
              <m:chr m:val="‾"/>
            </m:accPr>
            <m:e>
              <m:r>
                <m:t>u</m:t>
              </m:r>
            </m:e>
          </m:acc>
          <m:r>
            <m:rPr>
              <m:sty m:val="p"/>
            </m:rPr>
            <m:t>)</m:t>
          </m:r>
          <m:r>
            <m:rPr>
              <m:sty m:val="p"/>
            </m:rPr>
            <m:t>)</m:t>
          </m:r>
          <m:r>
            <m:rPr>
              <m:sty m:val="p"/>
            </m:rPr>
            <m:t>.</m:t>
          </m:r>
        </m:oMath>
      </m:oMathPara>
    </w:p>
    <w:p>
      <w:pPr>
        <w:pStyle w:val="FirstParagraph"/>
      </w:pPr>
      <w:r>
        <w:t xml:space="preserve">A equação Eq. (eq:4.8.17) diz que avaliar a demanda hicksiana no nível de utilidade ótimo reproduz a demanda marshalliana. A equação Eq. (eq:4.8.18) diz que avaliar a demanda marshalliana na renda mínima necessária reproduz a demanda hicksiana. Essas identidades são mais do que resultados matemáticos abstratos: elas garantem a</w:t>
      </w:r>
      <w:r>
        <w:t xml:space="preserve"> </w:t>
      </w:r>
      <w:r>
        <w:rPr>
          <w:b/>
          <w:bCs/>
        </w:rPr>
        <w:t xml:space="preserve">consistência interna</w:t>
      </w:r>
      <w:r>
        <w:t xml:space="preserve"> </w:t>
      </w:r>
      <w:r>
        <w:t xml:space="preserve">da teoria do consumidor. Se um pesquisador estima demandas marshallianas e hicksianas separadamente, as identidades Eq. (eq:4.8.17) e Eq. (eq:4.8.18) funcionam como restrições de teste — qualquer inconsistência entre as estimativas sinalizaria uma violação das hipóteses do modelo.</w:t>
      </w:r>
    </w:p>
    <w:p>
      <w:pPr>
        <w:pStyle w:val="BlockText"/>
      </w:pPr>
      <w:r>
        <w:rPr>
          <w:b/>
          <w:bCs/>
        </w:rPr>
        <w:t xml:space="preserve">[EXERCICIO RESOLVIDO] Exercício Resolvido 4.3</w:t>
      </w:r>
    </w:p>
    <w:p>
      <w:pPr>
        <w:pStyle w:val="BlockText"/>
      </w:pPr>
      <w:r>
        <w:rPr>
          <w:b/>
          <w:bCs/>
        </w:rPr>
        <w:t xml:space="preserve">Enunciado:</w:t>
      </w:r>
      <w:r>
        <w:t xml:space="preserve"> </w:t>
      </w:r>
      <w:r>
        <w:t xml:space="preserve">Para um consumidor com</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1</m:t>
            </m:r>
            <m:r>
              <m:rPr>
                <m:sty m:val="p"/>
              </m:rPr>
              <m:t>/</m:t>
            </m:r>
            <m:r>
              <m:t>2</m:t>
            </m:r>
          </m:sup>
        </m:sSubSup>
        <m:sSubSup>
          <m:e>
            <m:r>
              <m:t>x</m:t>
            </m:r>
          </m:e>
          <m:sub>
            <m:r>
              <m:t>2</m:t>
            </m:r>
          </m:sub>
          <m:sup>
            <m:r>
              <m:t>1</m:t>
            </m:r>
            <m:r>
              <m:rPr>
                <m:sty m:val="p"/>
              </m:rPr>
              <m:t>/</m:t>
            </m:r>
            <m:r>
              <m:t>2</m:t>
            </m:r>
          </m:sup>
        </m:sSubSup>
      </m:oMath>
      <w:r>
        <w:t xml:space="preserve">,</w:t>
      </w:r>
      <w:r>
        <w:t xml:space="preserve"> </w:t>
      </w:r>
      <m:oMath>
        <m:sSub>
          <m:e>
            <m:r>
              <m:t>p</m:t>
            </m:r>
          </m:e>
          <m:sub>
            <m:r>
              <m:t>1</m:t>
            </m:r>
          </m:sub>
        </m:sSub>
        <m:r>
          <m:rPr>
            <m:sty m:val="p"/>
          </m:rPr>
          <m:t>=</m:t>
        </m:r>
        <m:r>
          <m:t>4</m:t>
        </m:r>
      </m:oMath>
      <w:r>
        <w:t xml:space="preserve">,</w:t>
      </w:r>
      <w:r>
        <w:t xml:space="preserve"> </w:t>
      </w:r>
      <m:oMath>
        <m:sSub>
          <m:e>
            <m:r>
              <m:t>p</m:t>
            </m:r>
          </m:e>
          <m:sub>
            <m:r>
              <m:t>2</m:t>
            </m:r>
          </m:sub>
        </m:sSub>
        <m:r>
          <m:rPr>
            <m:sty m:val="p"/>
          </m:rPr>
          <m:t>=</m:t>
        </m:r>
        <m:r>
          <m:t>1</m:t>
        </m:r>
      </m:oMath>
      <w:r>
        <w:t xml:space="preserve"> </w:t>
      </w:r>
      <w:r>
        <w:t xml:space="preserve">e</w:t>
      </w:r>
      <w:r>
        <w:t xml:space="preserve"> </w:t>
      </w:r>
      <m:oMath>
        <m:r>
          <m:t>I</m:t>
        </m:r>
        <m:r>
          <m:rPr>
            <m:sty m:val="p"/>
          </m:rPr>
          <m:t>=</m:t>
        </m:r>
        <m:r>
          <m:t>100</m:t>
        </m:r>
      </m:oMath>
      <w:r>
        <w:t xml:space="preserve">, verifique as duas identidades de dualidade.</w:t>
      </w:r>
    </w:p>
    <w:p>
      <w:pPr>
        <w:pStyle w:val="BlockText"/>
      </w:pPr>
      <w:r>
        <w:rPr>
          <w:b/>
          <w:bCs/>
        </w:rPr>
        <w:t xml:space="preserve">Dados:</w:t>
      </w:r>
      <w:r>
        <w:t xml:space="preserve"> </w:t>
      </w:r>
      <m:oMath>
        <m:r>
          <m:t>a</m:t>
        </m:r>
        <m:r>
          <m:rPr>
            <m:sty m:val="p"/>
          </m:rPr>
          <m:t>=</m:t>
        </m:r>
        <m:r>
          <m:t>b</m:t>
        </m:r>
        <m:r>
          <m:rPr>
            <m:sty m:val="p"/>
          </m:rPr>
          <m:t>=</m:t>
        </m:r>
        <m:r>
          <m:t>1</m:t>
        </m:r>
        <m:r>
          <m:rPr>
            <m:sty m:val="p"/>
          </m:rPr>
          <m:t>/</m:t>
        </m:r>
        <m:r>
          <m:t>2</m:t>
        </m:r>
      </m:oMath>
      <w:r>
        <w:t xml:space="preserve">,</w:t>
      </w:r>
      <w:r>
        <w:t xml:space="preserve"> </w:t>
      </w:r>
      <m:oMath>
        <m:sSub>
          <m:e>
            <m:r>
              <m:t>p</m:t>
            </m:r>
          </m:e>
          <m:sub>
            <m:r>
              <m:t>1</m:t>
            </m:r>
          </m:sub>
        </m:sSub>
        <m:r>
          <m:rPr>
            <m:sty m:val="p"/>
          </m:rPr>
          <m:t>=</m:t>
        </m:r>
        <m:r>
          <m:t>4</m:t>
        </m:r>
      </m:oMath>
      <w:r>
        <w:t xml:space="preserve">,</w:t>
      </w:r>
      <w:r>
        <w:t xml:space="preserve"> </w:t>
      </w:r>
      <m:oMath>
        <m:sSub>
          <m:e>
            <m:r>
              <m:t>p</m:t>
            </m:r>
          </m:e>
          <m:sub>
            <m:r>
              <m:t>2</m:t>
            </m:r>
          </m:sub>
        </m:sSub>
        <m:r>
          <m:rPr>
            <m:sty m:val="p"/>
          </m:rPr>
          <m:t>=</m:t>
        </m:r>
        <m:r>
          <m:t>1</m:t>
        </m:r>
      </m:oMath>
      <w:r>
        <w:t xml:space="preserve">,</w:t>
      </w:r>
      <w:r>
        <w:t xml:space="preserve"> </w:t>
      </w:r>
      <m:oMath>
        <m:r>
          <m:t>I</m:t>
        </m:r>
        <m:r>
          <m:rPr>
            <m:sty m:val="p"/>
          </m:rPr>
          <m:t>=</m:t>
        </m:r>
        <m:r>
          <m:t>100</m:t>
        </m:r>
      </m:oMath>
      <w:r>
        <w:t xml:space="preserve">.</w:t>
      </w:r>
    </w:p>
    <w:p>
      <w:pPr>
        <w:pStyle w:val="BlockText"/>
      </w:pPr>
      <w:r>
        <w:rPr>
          <w:b/>
          <w:bCs/>
        </w:rPr>
        <w:t xml:space="preserve">Resolução:</w:t>
      </w:r>
    </w:p>
    <w:p>
      <w:pPr>
        <w:pStyle w:val="BlockText"/>
      </w:pPr>
      <w:r>
        <w:rPr>
          <w:b/>
          <w:bCs/>
        </w:rPr>
        <w:t xml:space="preserve">Passo 1 — Calcular a demanda marshalliana e</w:t>
      </w:r>
      <w:r>
        <w:rPr>
          <w:b/>
          <w:bCs/>
        </w:rPr>
        <w:t xml:space="preserve"> </w:t>
      </w:r>
      <m:oMath>
        <m:r>
          <m:t>V</m:t>
        </m:r>
      </m:oMath>
    </w:p>
    <w:p>
      <w:pPr>
        <w:pStyle w:val="BlockText"/>
      </w:pPr>
      <m:oMath>
        <m:sSubSup>
          <m:e>
            <m:r>
              <m:t>x</m:t>
            </m:r>
          </m:e>
          <m:sub>
            <m:r>
              <m:t>1</m:t>
            </m:r>
          </m:sub>
          <m:sup>
            <m:r>
              <m:rPr>
                <m:sty m:val="p"/>
              </m:rPr>
              <m:t>*</m:t>
            </m:r>
          </m:sup>
        </m:sSubSup>
        <m:r>
          <m:rPr>
            <m:sty m:val="p"/>
          </m:rPr>
          <m:t>=</m:t>
        </m:r>
        <m:f>
          <m:fPr>
            <m:type m:val="bar"/>
          </m:fPr>
          <m:num>
            <m:r>
              <m:t>0</m:t>
            </m:r>
            <m:r>
              <m:rPr>
                <m:sty m:val="p"/>
              </m:rPr>
              <m:t>,</m:t>
            </m:r>
            <m:r>
              <m:t>5</m:t>
            </m:r>
            <m:r>
              <m:rPr>
                <m:sty m:val="p"/>
              </m:rPr>
              <m:t>×</m:t>
            </m:r>
            <m:r>
              <m:t>100</m:t>
            </m:r>
          </m:num>
          <m:den>
            <m:r>
              <m:t>4</m:t>
            </m:r>
          </m:den>
        </m:f>
        <m:r>
          <m:rPr>
            <m:sty m:val="p"/>
          </m:rPr>
          <m:t>=</m:t>
        </m:r>
        <m:r>
          <m:t>12</m:t>
        </m:r>
        <m:r>
          <m:rPr>
            <m:sty m:val="p"/>
          </m:rPr>
          <m:t>,</m:t>
        </m:r>
        <m:r>
          <m:t>5</m:t>
        </m:r>
      </m:oMath>
      <w:r>
        <w:t xml:space="preserve">,</w:t>
      </w:r>
      <w:r>
        <w:t xml:space="preserve"> </w:t>
      </w:r>
      <m:oMath>
        <m:sSubSup>
          <m:e>
            <m:r>
              <m:t>x</m:t>
            </m:r>
          </m:e>
          <m:sub>
            <m:r>
              <m:t>2</m:t>
            </m:r>
          </m:sub>
          <m:sup>
            <m:r>
              <m:rPr>
                <m:sty m:val="p"/>
              </m:rPr>
              <m:t>*</m:t>
            </m:r>
          </m:sup>
        </m:sSubSup>
        <m:r>
          <m:rPr>
            <m:sty m:val="p"/>
          </m:rPr>
          <m:t>=</m:t>
        </m:r>
        <m:f>
          <m:fPr>
            <m:type m:val="bar"/>
          </m:fPr>
          <m:num>
            <m:r>
              <m:t>0</m:t>
            </m:r>
            <m:r>
              <m:rPr>
                <m:sty m:val="p"/>
              </m:rPr>
              <m:t>,</m:t>
            </m:r>
            <m:r>
              <m:t>5</m:t>
            </m:r>
            <m:r>
              <m:rPr>
                <m:sty m:val="p"/>
              </m:rPr>
              <m:t>×</m:t>
            </m:r>
            <m:r>
              <m:t>100</m:t>
            </m:r>
          </m:num>
          <m:den>
            <m:r>
              <m:t>1</m:t>
            </m:r>
          </m:den>
        </m:f>
        <m:r>
          <m:rPr>
            <m:sty m:val="p"/>
          </m:rPr>
          <m:t>=</m:t>
        </m:r>
        <m:r>
          <m:t>50</m:t>
        </m:r>
      </m:oMath>
      <w:r>
        <w:t xml:space="preserve">.</w:t>
      </w:r>
    </w:p>
    <w:p>
      <w:pPr>
        <w:pStyle w:val="BlockText"/>
      </w:pPr>
      <m:oMath>
        <m:r>
          <m:t>V</m:t>
        </m:r>
        <m:r>
          <m:rPr>
            <m:sty m:val="p"/>
          </m:rPr>
          <m:t>=</m:t>
        </m:r>
        <m:rad>
          <m:radPr>
            <m:degHide m:val="on"/>
          </m:radPr>
          <m:deg/>
          <m:e>
            <m:r>
              <m:t>12</m:t>
            </m:r>
            <m:r>
              <m:rPr>
                <m:sty m:val="p"/>
              </m:rPr>
              <m:t>,</m:t>
            </m:r>
            <m:r>
              <m:t>5</m:t>
            </m:r>
            <m:r>
              <m:rPr>
                <m:sty m:val="p"/>
              </m:rPr>
              <m:t>×</m:t>
            </m:r>
            <m:r>
              <m:t>50</m:t>
            </m:r>
          </m:e>
        </m:rad>
        <m:r>
          <m:rPr>
            <m:sty m:val="p"/>
          </m:rPr>
          <m:t>=</m:t>
        </m:r>
        <m:rad>
          <m:radPr>
            <m:degHide m:val="on"/>
          </m:radPr>
          <m:deg/>
          <m:e>
            <m:r>
              <m:t>625</m:t>
            </m:r>
          </m:e>
        </m:rad>
        <m:r>
          <m:rPr>
            <m:sty m:val="p"/>
          </m:rPr>
          <m:t>=</m:t>
        </m:r>
        <m:r>
          <m:t>25</m:t>
        </m:r>
      </m:oMath>
      <w:r>
        <w:t xml:space="preserve">.</w:t>
      </w:r>
    </w:p>
    <w:p>
      <w:pPr>
        <w:pStyle w:val="BlockText"/>
      </w:pPr>
      <w:r>
        <w:rPr>
          <w:b/>
          <w:bCs/>
        </w:rPr>
        <w:t xml:space="preserve">Passo 2 — Calcular a função dispêndio e verificar</w:t>
      </w:r>
      <w:r>
        <w:rPr>
          <w:b/>
          <w:bCs/>
        </w:rPr>
        <w:t xml:space="preserve"> </w:t>
      </w:r>
      <m:oMath>
        <m:r>
          <m:t>E</m:t>
        </m:r>
        <m:r>
          <m:rPr>
            <m:sty m:val="p"/>
          </m:rPr>
          <m:t>(</m:t>
        </m:r>
        <m:r>
          <m:rPr>
            <m:sty m:val="bi"/>
          </m:rPr>
          <m:t>p</m:t>
        </m:r>
        <m:r>
          <m:rPr>
            <m:sty m:val="p"/>
          </m:rPr>
          <m:t>,</m:t>
        </m:r>
        <m:r>
          <m:t>V</m:t>
        </m:r>
        <m:r>
          <m:rPr>
            <m:sty m:val="p"/>
          </m:rPr>
          <m:t>)</m:t>
        </m:r>
        <m:r>
          <m:rPr>
            <m:sty m:val="p"/>
          </m:rPr>
          <m:t>=</m:t>
        </m:r>
        <m:r>
          <m:t>I</m:t>
        </m:r>
      </m:oMath>
    </w:p>
    <w:p>
      <w:pPr>
        <w:pStyle w:val="BlockText"/>
      </w:pPr>
      <m:oMath>
        <m:r>
          <m:t>E</m:t>
        </m:r>
        <m:r>
          <m:rPr>
            <m:sty m:val="p"/>
          </m:rPr>
          <m:t>=</m:t>
        </m:r>
        <m:r>
          <m:rPr>
            <m:sty m:val="p"/>
          </m:rPr>
          <m:t>(</m:t>
        </m:r>
        <m:sSub>
          <m:e>
            <m:r>
              <m:t>p</m:t>
            </m:r>
          </m:e>
          <m:sub>
            <m:r>
              <m:t>1</m:t>
            </m:r>
          </m:sub>
        </m:sSub>
        <m:r>
          <m:rPr>
            <m:sty m:val="p"/>
          </m:rPr>
          <m:t>/</m:t>
        </m:r>
        <m:r>
          <m:t>a</m:t>
        </m:r>
        <m:sSup>
          <m:e>
            <m:r>
              <m:rPr>
                <m:sty m:val="p"/>
              </m:rPr>
              <m:t>)</m:t>
            </m:r>
          </m:e>
          <m:sup>
            <m:r>
              <m:t>a</m:t>
            </m:r>
          </m:sup>
        </m:sSup>
        <m:r>
          <m:rPr>
            <m:sty m:val="p"/>
          </m:rPr>
          <m:t>(</m:t>
        </m:r>
        <m:sSub>
          <m:e>
            <m:r>
              <m:t>p</m:t>
            </m:r>
          </m:e>
          <m:sub>
            <m:r>
              <m:t>2</m:t>
            </m:r>
          </m:sub>
        </m:sSub>
        <m:r>
          <m:rPr>
            <m:sty m:val="p"/>
          </m:rPr>
          <m:t>/</m:t>
        </m:r>
        <m:r>
          <m:t>b</m:t>
        </m:r>
        <m:sSup>
          <m:e>
            <m:r>
              <m:rPr>
                <m:sty m:val="p"/>
              </m:rPr>
              <m:t>)</m:t>
            </m:r>
          </m:e>
          <m:sup>
            <m:r>
              <m:t>b</m:t>
            </m:r>
          </m:sup>
        </m:sSup>
        <m:r>
          <m:rPr>
            <m:sty m:val="p"/>
          </m:rPr>
          <m:t>⋅</m:t>
        </m:r>
        <m:acc>
          <m:accPr>
            <m:chr m:val="‾"/>
          </m:accPr>
          <m:e>
            <m:r>
              <m:t>u</m:t>
            </m:r>
          </m:e>
        </m:acc>
        <m:r>
          <m:rPr>
            <m:sty m:val="p"/>
          </m:rPr>
          <m:t>=</m:t>
        </m:r>
        <m:r>
          <m:rPr>
            <m:sty m:val="p"/>
          </m:rPr>
          <m:t>(</m:t>
        </m:r>
        <m:r>
          <m:t>4</m:t>
        </m:r>
        <m:r>
          <m:rPr>
            <m:sty m:val="p"/>
          </m:rPr>
          <m:t>/</m:t>
        </m:r>
        <m:r>
          <m:t>0</m:t>
        </m:r>
        <m:r>
          <m:rPr>
            <m:sty m:val="p"/>
          </m:rPr>
          <m:t>,</m:t>
        </m:r>
        <m:r>
          <m:t>5</m:t>
        </m:r>
        <m:sSup>
          <m:e>
            <m:r>
              <m:rPr>
                <m:sty m:val="p"/>
              </m:rPr>
              <m:t>)</m:t>
            </m:r>
          </m:e>
          <m:sup>
            <m:r>
              <m:t>0</m:t>
            </m:r>
            <m:r>
              <m:rPr>
                <m:sty m:val="p"/>
              </m:rPr>
              <m:t>,</m:t>
            </m:r>
            <m:r>
              <m:t>5</m:t>
            </m:r>
          </m:sup>
        </m:sSup>
        <m:r>
          <m:rPr>
            <m:sty m:val="p"/>
          </m:rPr>
          <m:t>(</m:t>
        </m:r>
        <m:r>
          <m:t>1</m:t>
        </m:r>
        <m:r>
          <m:rPr>
            <m:sty m:val="p"/>
          </m:rPr>
          <m:t>/</m:t>
        </m:r>
        <m:r>
          <m:t>0</m:t>
        </m:r>
        <m:r>
          <m:rPr>
            <m:sty m:val="p"/>
          </m:rPr>
          <m:t>,</m:t>
        </m:r>
        <m:r>
          <m:t>5</m:t>
        </m:r>
        <m:sSup>
          <m:e>
            <m:r>
              <m:rPr>
                <m:sty m:val="p"/>
              </m:rPr>
              <m:t>)</m:t>
            </m:r>
          </m:e>
          <m:sup>
            <m:r>
              <m:t>0</m:t>
            </m:r>
            <m:r>
              <m:rPr>
                <m:sty m:val="p"/>
              </m:rPr>
              <m:t>,</m:t>
            </m:r>
            <m:r>
              <m:t>5</m:t>
            </m:r>
          </m:sup>
        </m:sSup>
        <m:r>
          <m:rPr>
            <m:sty m:val="p"/>
          </m:rPr>
          <m:t>⋅</m:t>
        </m:r>
        <m:r>
          <m:t>25</m:t>
        </m:r>
        <m:r>
          <m:rPr>
            <m:sty m:val="p"/>
          </m:rPr>
          <m:t>=</m:t>
        </m:r>
        <m:rad>
          <m:radPr>
            <m:degHide m:val="on"/>
          </m:radPr>
          <m:deg/>
          <m:e>
            <m:r>
              <m:t>8</m:t>
            </m:r>
          </m:e>
        </m:rad>
        <m:r>
          <m:rPr>
            <m:sty m:val="p"/>
          </m:rPr>
          <m:t>⋅</m:t>
        </m:r>
        <m:rad>
          <m:radPr>
            <m:degHide m:val="on"/>
          </m:radPr>
          <m:deg/>
          <m:e>
            <m:r>
              <m:t>2</m:t>
            </m:r>
          </m:e>
        </m:rad>
        <m:r>
          <m:rPr>
            <m:sty m:val="p"/>
          </m:rPr>
          <m:t>⋅</m:t>
        </m:r>
        <m:r>
          <m:t>25</m:t>
        </m:r>
        <m:r>
          <m:rPr>
            <m:sty m:val="p"/>
          </m:rPr>
          <m:t>=</m:t>
        </m:r>
        <m:r>
          <m:t>4</m:t>
        </m:r>
        <m:r>
          <m:rPr>
            <m:sty m:val="p"/>
          </m:rPr>
          <m:t>⋅</m:t>
        </m:r>
        <m:r>
          <m:t>25</m:t>
        </m:r>
        <m:r>
          <m:rPr>
            <m:sty m:val="p"/>
          </m:rPr>
          <m:t>=</m:t>
        </m:r>
        <m:r>
          <m:t>100</m:t>
        </m:r>
      </m:oMath>
      <w:r>
        <w:t xml:space="preserve"> </w:t>
      </w:r>
      <w:r>
        <w:t xml:space="preserve">✓</w:t>
      </w:r>
    </w:p>
    <w:p>
      <w:pPr>
        <w:pStyle w:val="BlockText"/>
      </w:pPr>
      <w:r>
        <w:rPr>
          <w:b/>
          <w:bCs/>
        </w:rPr>
        <w:t xml:space="preserve">Passo 3 — Verificar</w:t>
      </w:r>
      <w:r>
        <w:rPr>
          <w:b/>
          <w:bCs/>
        </w:rPr>
        <w:t xml:space="preserve"> </w:t>
      </w:r>
      <m:oMath>
        <m:r>
          <m:t>V</m:t>
        </m:r>
        <m:r>
          <m:rPr>
            <m:sty m:val="p"/>
          </m:rPr>
          <m:t>(</m:t>
        </m:r>
        <m:r>
          <m:rPr>
            <m:sty m:val="bi"/>
          </m:rPr>
          <m:t>p</m:t>
        </m:r>
        <m:r>
          <m:rPr>
            <m:sty m:val="p"/>
          </m:rPr>
          <m:t>,</m:t>
        </m:r>
        <m:r>
          <m:t>E</m:t>
        </m:r>
        <m:r>
          <m:rPr>
            <m:sty m:val="p"/>
          </m:rPr>
          <m:t>(</m:t>
        </m:r>
        <m:r>
          <m:rPr>
            <m:sty m:val="bi"/>
          </m:rPr>
          <m:t>p</m:t>
        </m:r>
        <m:r>
          <m:rPr>
            <m:sty m:val="p"/>
          </m:rPr>
          <m:t>,</m:t>
        </m:r>
        <m:acc>
          <m:accPr>
            <m:chr m:val="‾"/>
          </m:accPr>
          <m:e>
            <m:r>
              <m:t>u</m:t>
            </m:r>
          </m:e>
        </m:acc>
        <m:r>
          <m:rPr>
            <m:sty m:val="p"/>
          </m:rPr>
          <m:t>)</m:t>
        </m:r>
        <m:r>
          <m:rPr>
            <m:sty m:val="p"/>
          </m:rPr>
          <m:t>)</m:t>
        </m:r>
        <m:r>
          <m:rPr>
            <m:sty m:val="p"/>
          </m:rPr>
          <m:t>=</m:t>
        </m:r>
        <m:acc>
          <m:accPr>
            <m:chr m:val="‾"/>
          </m:accPr>
          <m:e>
            <m:r>
              <m:t>u</m:t>
            </m:r>
          </m:e>
        </m:acc>
      </m:oMath>
    </w:p>
    <w:p>
      <w:pPr>
        <w:pStyle w:val="BlockText"/>
      </w:pPr>
      <w:r>
        <w:t xml:space="preserve">Tomando</w:t>
      </w:r>
      <w:r>
        <w:t xml:space="preserve"> </w:t>
      </w:r>
      <m:oMath>
        <m:acc>
          <m:accPr>
            <m:chr m:val="‾"/>
          </m:accPr>
          <m:e>
            <m:r>
              <m:t>u</m:t>
            </m:r>
          </m:e>
        </m:acc>
        <m:r>
          <m:rPr>
            <m:sty m:val="p"/>
          </m:rPr>
          <m:t>=</m:t>
        </m:r>
        <m:r>
          <m:t>25</m:t>
        </m:r>
      </m:oMath>
      <w:r>
        <w:t xml:space="preserve">:</w:t>
      </w:r>
      <w:r>
        <w:t xml:space="preserve"> </w:t>
      </w:r>
      <m:oMath>
        <m:r>
          <m:t>E</m:t>
        </m:r>
        <m:r>
          <m:rPr>
            <m:sty m:val="p"/>
          </m:rPr>
          <m:t>=</m:t>
        </m:r>
        <m:r>
          <m:t>100</m:t>
        </m:r>
      </m:oMath>
      <w:r>
        <w:t xml:space="preserve">, e já vimos que</w:t>
      </w:r>
      <w:r>
        <w:t xml:space="preserve"> </w:t>
      </w:r>
      <m:oMath>
        <m:r>
          <m:t>V</m:t>
        </m:r>
        <m:r>
          <m:rPr>
            <m:sty m:val="p"/>
          </m:rPr>
          <m:t>(</m:t>
        </m:r>
        <m:r>
          <m:t>4</m:t>
        </m:r>
        <m:r>
          <m:rPr>
            <m:sty m:val="p"/>
          </m:rPr>
          <m:t>,</m:t>
        </m:r>
        <m:r>
          <m:t>1</m:t>
        </m:r>
        <m:r>
          <m:rPr>
            <m:sty m:val="p"/>
          </m:rPr>
          <m:t>,</m:t>
        </m:r>
        <m:r>
          <m:t>100</m:t>
        </m:r>
        <m:r>
          <m:rPr>
            <m:sty m:val="p"/>
          </m:rPr>
          <m:t>)</m:t>
        </m:r>
        <m:r>
          <m:rPr>
            <m:sty m:val="p"/>
          </m:rPr>
          <m:t>=</m:t>
        </m:r>
        <m:r>
          <m:t>25</m:t>
        </m:r>
        <m:r>
          <m:rPr>
            <m:sty m:val="p"/>
          </m:rPr>
          <m:t>=</m:t>
        </m:r>
        <m:acc>
          <m:accPr>
            <m:chr m:val="‾"/>
          </m:accPr>
          <m:e>
            <m:r>
              <m:t>u</m:t>
            </m:r>
          </m:e>
        </m:acc>
      </m:oMath>
      <w:r>
        <w:t xml:space="preserve"> </w:t>
      </w:r>
      <w:r>
        <w:t xml:space="preserve">✓</w:t>
      </w:r>
    </w:p>
    <w:p>
      <w:pPr>
        <w:pStyle w:val="BlockText"/>
      </w:pPr>
      <w:r>
        <w:rPr>
          <w:b/>
          <w:bCs/>
        </w:rPr>
        <w:t xml:space="preserve">Resultado:</w:t>
      </w:r>
      <w:r>
        <w:t xml:space="preserve"> </w:t>
      </w:r>
      <w:r>
        <w:t xml:space="preserve">Ambas as identidades se verificam:</w:t>
      </w:r>
      <w:r>
        <w:t xml:space="preserve"> </w:t>
      </w:r>
      <m:oMath>
        <m:r>
          <m:t>E</m:t>
        </m:r>
        <m:r>
          <m:rPr>
            <m:sty m:val="p"/>
          </m:rPr>
          <m:t>(</m:t>
        </m:r>
        <m:r>
          <m:rPr>
            <m:sty m:val="bi"/>
          </m:rPr>
          <m:t>p</m:t>
        </m:r>
        <m:r>
          <m:rPr>
            <m:sty m:val="p"/>
          </m:rPr>
          <m:t>,</m:t>
        </m:r>
        <m:r>
          <m:t>V</m:t>
        </m:r>
        <m:r>
          <m:rPr>
            <m:sty m:val="p"/>
          </m:rPr>
          <m:t>(</m:t>
        </m:r>
        <m:r>
          <m:rPr>
            <m:sty m:val="bi"/>
          </m:rPr>
          <m:t>p</m:t>
        </m:r>
        <m:r>
          <m:rPr>
            <m:sty m:val="p"/>
          </m:rPr>
          <m:t>,</m:t>
        </m:r>
        <m:r>
          <m:t>I</m:t>
        </m:r>
        <m:r>
          <m:rPr>
            <m:sty m:val="p"/>
          </m:rPr>
          <m:t>)</m:t>
        </m:r>
        <m:r>
          <m:rPr>
            <m:sty m:val="p"/>
          </m:rPr>
          <m:t>)</m:t>
        </m:r>
        <m:r>
          <m:rPr>
            <m:sty m:val="p"/>
          </m:rPr>
          <m:t>=</m:t>
        </m:r>
        <m:r>
          <m:t>I</m:t>
        </m:r>
      </m:oMath>
      <w:r>
        <w:t xml:space="preserve"> </w:t>
      </w:r>
      <w:r>
        <w:t xml:space="preserve">e</w:t>
      </w:r>
      <w:r>
        <w:t xml:space="preserve"> </w:t>
      </w:r>
      <m:oMath>
        <m:r>
          <m:t>V</m:t>
        </m:r>
        <m:r>
          <m:rPr>
            <m:sty m:val="p"/>
          </m:rPr>
          <m:t>(</m:t>
        </m:r>
        <m:r>
          <m:rPr>
            <m:sty m:val="bi"/>
          </m:rPr>
          <m:t>p</m:t>
        </m:r>
        <m:r>
          <m:rPr>
            <m:sty m:val="p"/>
          </m:rPr>
          <m:t>,</m:t>
        </m:r>
        <m:r>
          <m:t>E</m:t>
        </m:r>
        <m:r>
          <m:rPr>
            <m:sty m:val="p"/>
          </m:rPr>
          <m:t>(</m:t>
        </m:r>
        <m:r>
          <m:rPr>
            <m:sty m:val="bi"/>
          </m:rPr>
          <m:t>p</m:t>
        </m:r>
        <m:r>
          <m:rPr>
            <m:sty m:val="p"/>
          </m:rPr>
          <m:t>,</m:t>
        </m:r>
        <m:acc>
          <m:accPr>
            <m:chr m:val="‾"/>
          </m:accPr>
          <m:e>
            <m:r>
              <m:t>u</m:t>
            </m:r>
          </m:e>
        </m:acc>
        <m:r>
          <m:rPr>
            <m:sty m:val="p"/>
          </m:rPr>
          <m:t>)</m:t>
        </m:r>
        <m:r>
          <m:rPr>
            <m:sty m:val="p"/>
          </m:rPr>
          <m:t>)</m:t>
        </m:r>
        <m:r>
          <m:rPr>
            <m:sty m:val="p"/>
          </m:rPr>
          <m:t>=</m:t>
        </m:r>
        <m:acc>
          <m:accPr>
            <m:chr m:val="‾"/>
          </m:accPr>
          <m:e>
            <m:r>
              <m:t>u</m:t>
            </m:r>
          </m:e>
        </m:acc>
      </m:oMath>
      <w:r>
        <w:t xml:space="preserve">.</w:t>
      </w:r>
    </w:p>
    <w:p>
      <w:pPr>
        <w:pStyle w:val="BlockText"/>
      </w:pPr>
      <w:r>
        <w:rPr>
          <w:b/>
          <w:bCs/>
        </w:rPr>
        <w:t xml:space="preserve">Interpretação econômica:</w:t>
      </w:r>
      <w:r>
        <w:t xml:space="preserve"> </w:t>
      </w:r>
      <w:r>
        <w:t xml:space="preserve">A dualidade mostra que maximizar utilidade com renda</w:t>
      </w:r>
      <w:r>
        <w:t xml:space="preserve"> </w:t>
      </w:r>
      <m:oMath>
        <m:r>
          <m:t>I</m:t>
        </m:r>
      </m:oMath>
      <w:r>
        <w:t xml:space="preserve"> </w:t>
      </w:r>
      <w:r>
        <w:t xml:space="preserve">e minimizar gasto para atingir a utilidade</w:t>
      </w:r>
      <w:r>
        <w:t xml:space="preserve"> </w:t>
      </w:r>
      <m:oMath>
        <m:r>
          <m:t>V</m:t>
        </m:r>
      </m:oMath>
      <w:r>
        <w:t xml:space="preserve"> </w:t>
      </w:r>
      <w:r>
        <w:t xml:space="preserve">são dois lados da mesma moeda. Essa equivalência é a base para construir medidas de variação de bem-estar (variação compensatória e equivalente) que serão tratadas no Capítulo 5.</w:t>
      </w:r>
    </w:p>
    <w:p>
      <w:pPr>
        <w:pStyle w:val="BlockText"/>
      </w:pPr>
      <w:r>
        <w:rPr>
          <w:b/>
          <w:bCs/>
        </w:rPr>
        <w:t xml:space="preserve">[BOX MUNDO] Box Mundo 4.3 — Nudge Units e a escolha do consumidor: quando a arquitetura de escolhas encontra a teoria</w:t>
      </w:r>
    </w:p>
    <w:p>
      <w:pPr>
        <w:pStyle w:val="BlockText"/>
      </w:pPr>
      <w:r>
        <w:rPr>
          <w:b/>
          <w:bCs/>
        </w:rPr>
        <w:t xml:space="preserve">Contexto:</w:t>
      </w:r>
      <w:r>
        <w:t xml:space="preserve"> </w:t>
      </w:r>
      <w:r>
        <w:t xml:space="preserve">A teoria da escolha do consumidor desenvolvida neste capítulo pressupõe que o agente resolve, implicitamente, um problema de maximização restrita — confronta preços e renda, avalia suas preferências e seleciona a cesta ótima. Mas a economia comportamental, iniciada por Kahneman e Tversky (Capítulo 8), documenta que consumidores reais frequentemente se desviam da solução ótima por inércia, sobrecarga cognitiva ou viés do presente. Essa constatação levou Richard Thaler e Cass Sunstein a proporem o conceito de</w:t>
      </w:r>
      <w:r>
        <w:t xml:space="preserve"> </w:t>
      </w:r>
      <w:r>
        <w:rPr>
          <w:b/>
          <w:bCs/>
        </w:rPr>
        <w:t xml:space="preserve">arquitetura de escolhas</w:t>
      </w:r>
      <w:r>
        <w:t xml:space="preserve"> </w:t>
      </w:r>
      <w:r>
        <w:t xml:space="preserve">(</w:t>
      </w:r>
      <w:r>
        <w:rPr>
          <w:i/>
          <w:iCs/>
        </w:rPr>
        <w:t xml:space="preserve">choice architecture</w:t>
      </w:r>
      <w:r>
        <w:t xml:space="preserve">): a ideia de que a forma como as opções são apresentadas influencia sistematicamente a decisão, mesmo quando o conjunto orçamentário permanece inalterado. A criação de</w:t>
      </w:r>
      <w:r>
        <w:t xml:space="preserve"> </w:t>
      </w:r>
      <w:r>
        <w:rPr>
          <w:i/>
          <w:iCs/>
        </w:rPr>
        <w:t xml:space="preserve">nudge units</w:t>
      </w:r>
      <w:r>
        <w:t xml:space="preserve"> </w:t>
      </w:r>
      <w:r>
        <w:t xml:space="preserve">— equipes governamentais dedicadas a aplicar esses insights — representa a institucionalização dessa agenda.</w:t>
      </w:r>
    </w:p>
    <w:p>
      <w:pPr>
        <w:pStyle w:val="BlockText"/>
      </w:pPr>
      <w:r>
        <w:rPr>
          <w:b/>
          <w:bCs/>
        </w:rPr>
        <w:t xml:space="preserve">Dados:</w:t>
      </w:r>
      <w:r>
        <w:t xml:space="preserve"> </w:t>
      </w:r>
      <w:r>
        <w:t xml:space="preserve">O</w:t>
      </w:r>
      <w:r>
        <w:t xml:space="preserve"> </w:t>
      </w:r>
      <w:r>
        <w:rPr>
          <w:b/>
          <w:bCs/>
        </w:rPr>
        <w:t xml:space="preserve">Behavioural Insights Team</w:t>
      </w:r>
      <w:r>
        <w:t xml:space="preserve"> </w:t>
      </w:r>
      <w:r>
        <w:t xml:space="preserve">(BIT), criado em 2010 no gabinete do Primeiro-Ministro do Reino Unido, foi a primeira</w:t>
      </w:r>
      <w:r>
        <w:t xml:space="preserve"> </w:t>
      </w:r>
      <w:r>
        <w:rPr>
          <w:i/>
          <w:iCs/>
        </w:rPr>
        <w:t xml:space="preserve">nudge unit</w:t>
      </w:r>
      <w:r>
        <w:t xml:space="preserve"> </w:t>
      </w:r>
      <w:r>
        <w:t xml:space="preserve">governamental do mundo. Em seus primeiros cinco anos, o BIT conduziu mais de 750 ensaios controlados randomizados (RCTs) envolvendo milhões de cidadãos (BIT, 2015). Nos EUA, o</w:t>
      </w:r>
      <w:r>
        <w:t xml:space="preserve"> </w:t>
      </w:r>
      <w:r>
        <w:rPr>
          <w:i/>
          <w:iCs/>
        </w:rPr>
        <w:t xml:space="preserve">Social and Behavioral Sciences Team</w:t>
      </w:r>
      <w:r>
        <w:t xml:space="preserve"> </w:t>
      </w:r>
      <w:r>
        <w:t xml:space="preserve">(SBST), criado por decreto executivo de Obama em 2015, demonstrou que simplificar o formulário FAFSA de auxílio financeiro universitário elevou a matrícula em 8 pontos percentuais entre famílias de baixa renda (Bettinger et al., 2012,</w:t>
      </w:r>
      <w:r>
        <w:t xml:space="preserve"> </w:t>
      </w:r>
      <w:r>
        <w:rPr>
          <w:i/>
          <w:iCs/>
        </w:rPr>
        <w:t xml:space="preserve">Quarterly Journal of Economics</w:t>
      </w:r>
      <w:r>
        <w:t xml:space="preserve">). Na área de escolha previdenciária, Madrian e Shea (2001) mostraram que mudar o</w:t>
      </w:r>
      <w:r>
        <w:t xml:space="preserve"> </w:t>
      </w:r>
      <w:r>
        <w:rPr>
          <w:i/>
          <w:iCs/>
        </w:rPr>
        <w:t xml:space="preserve">default</w:t>
      </w:r>
      <w:r>
        <w:t xml:space="preserve"> </w:t>
      </w:r>
      <w:r>
        <w:t xml:space="preserve">de opt-in para opt-out em planos 401(k) elevou a adesão de 49% para 86%. Até 2023, a OCDE documentava mais de 400 instituições em mais de 60 países aplicando ciência comportamental a políticas públicas (</w:t>
      </w:r>
      <w:r>
        <w:rPr>
          <w:i/>
          <w:iCs/>
        </w:rPr>
        <w:t xml:space="preserve">OECD Behavioural Insights and Public Policy</w:t>
      </w:r>
      <w:r>
        <w:t xml:space="preserve">, 2023). No Brasil, a adesão automática dos novos servidores federais à Funpresp (previdência complementar) segue exatamente essa lógica.</w:t>
      </w:r>
    </w:p>
    <w:p>
      <w:pPr>
        <w:pStyle w:val="BlockText"/>
      </w:pPr>
      <w:r>
        <w:rPr>
          <w:b/>
          <w:bCs/>
        </w:rPr>
        <w:t xml:space="preserve">Análise:</w:t>
      </w:r>
      <w:r>
        <w:t xml:space="preserve"> </w:t>
      </w:r>
      <w:r>
        <w:t xml:space="preserve">Do ponto de vista da teoria deste capítulo, os nudges não alteram o conjunto orçamentário do consumidor — preços e renda permanecem os mesmos. O que muda é a</w:t>
      </w:r>
      <w:r>
        <w:t xml:space="preserve"> </w:t>
      </w:r>
      <w:r>
        <w:rPr>
          <w:b/>
          <w:bCs/>
        </w:rPr>
        <w:t xml:space="preserve">saliência</w:t>
      </w:r>
      <w:r>
        <w:t xml:space="preserve"> </w:t>
      </w:r>
      <w:r>
        <w:t xml:space="preserve">das opções e o ponto de partida da decisão (</w:t>
      </w:r>
      <w:r>
        <w:rPr>
          <w:i/>
          <w:iCs/>
        </w:rPr>
        <w:t xml:space="preserve">default</w:t>
      </w:r>
      <w:r>
        <w:t xml:space="preserve">). Na linguagem formal da Seção 4.1, o problema de maximização do consumidor permanece</w:t>
      </w:r>
      <w:r>
        <w:t xml:space="preserve"> </w:t>
      </w:r>
      <m:oMath>
        <m:r>
          <m:rPr>
            <m:sty m:val="p"/>
          </m:rPr>
          <m:t>max</m:t>
        </m:r>
        <m:r>
          <m:t>u</m:t>
        </m:r>
        <m:r>
          <m:rPr>
            <m:sty m:val="p"/>
          </m:rPr>
          <m:t>(</m:t>
        </m:r>
        <m:r>
          <m:rPr>
            <m:sty m:val="bi"/>
          </m:rPr>
          <m:t>x</m:t>
        </m:r>
        <m:r>
          <m:rPr>
            <m:sty m:val="p"/>
          </m:rPr>
          <m:t>)</m:t>
        </m:r>
        <m:r>
          <m:rPr>
            <m:nor/>
            <m:sty m:val="p"/>
          </m:rPr>
          <m:t> s.a. </m:t>
        </m:r>
        <m:r>
          <m:rPr>
            <m:sty m:val="bi"/>
          </m:rPr>
          <m:t>p</m:t>
        </m:r>
        <m:r>
          <m:rPr>
            <m:sty m:val="p"/>
          </m:rPr>
          <m:t>⋅</m:t>
        </m:r>
        <m:r>
          <m:rPr>
            <m:sty m:val="bi"/>
          </m:rPr>
          <m:t>x</m:t>
        </m:r>
        <m:r>
          <m:rPr>
            <m:sty m:val="p"/>
          </m:rPr>
          <m:t>≤</m:t>
        </m:r>
        <m:r>
          <m:t>I</m:t>
        </m:r>
      </m:oMath>
      <w:r>
        <w:t xml:space="preserve">, mas o comportamento observado se desvia da solução ótima por custos cognitivos e vieses que o modelo padrão não captura. Os nudges atuam reduzindo esses custos — simplificando formulários, pré-selecionando a melhor opção, tornando informações relevantes mais visíveis — de modo que o comportamento efetivo se aproxime da solução teórica do modelo. Esse enquadramento revela uma complementaridade entre a teoria normativa (o que o consumidor</w:t>
      </w:r>
      <w:r>
        <w:t xml:space="preserve"> </w:t>
      </w:r>
      <w:r>
        <w:rPr>
          <w:i/>
          <w:iCs/>
        </w:rPr>
        <w:t xml:space="preserve">deveria</w:t>
      </w:r>
      <w:r>
        <w:t xml:space="preserve"> </w:t>
      </w:r>
      <w:r>
        <w:t xml:space="preserve">fazer) e a agenda comportamental (como ajudá-lo a</w:t>
      </w:r>
      <w:r>
        <w:t xml:space="preserve"> </w:t>
      </w:r>
      <w:r>
        <w:rPr>
          <w:i/>
          <w:iCs/>
        </w:rPr>
        <w:t xml:space="preserve">de fato</w:t>
      </w:r>
      <w:r>
        <w:t xml:space="preserve"> </w:t>
      </w:r>
      <w:r>
        <w:t xml:space="preserve">fazê-lo), ilustrando que os fundamentos do Capítulo 4 não são apenas exercícios analíticos, mas benchmarks operacionais para o desenho de políticas públicas.</w:t>
      </w:r>
    </w:p>
    <w:p>
      <w:pPr>
        <w:pStyle w:val="BlockText"/>
      </w:pPr>
      <w:r>
        <w:rPr>
          <w:b/>
          <w:bCs/>
        </w:rPr>
        <w:t xml:space="preserve">Fonte:</w:t>
      </w:r>
      <w:r>
        <w:t xml:space="preserve"> </w:t>
      </w:r>
      <w:r>
        <w:t xml:space="preserve">Thaler, R. H.; Sunstein, C. R. (2008).</w:t>
      </w:r>
      <w:r>
        <w:t xml:space="preserve"> </w:t>
      </w:r>
      <w:r>
        <w:rPr>
          <w:i/>
          <w:iCs/>
        </w:rPr>
        <w:t xml:space="preserve">Nudge: Improving Decisions about Health, Wealth, and Happiness</w:t>
      </w:r>
      <w:r>
        <w:t xml:space="preserve">. Yale University Press. Madrian, B. C.; Shea, D. F. (2001). The power of suggestion: Inertia in 401(k) participation and savings behavior.</w:t>
      </w:r>
      <w:r>
        <w:t xml:space="preserve"> </w:t>
      </w:r>
      <w:r>
        <w:rPr>
          <w:i/>
          <w:iCs/>
        </w:rPr>
        <w:t xml:space="preserve">Quarterly Journal of Economics</w:t>
      </w:r>
      <w:r>
        <w:t xml:space="preserve">, 116(4), 1149–1187. Bettinger, E. P.; Long, B. T.; Oreopoulos, P.; Sanbonmatsu, L. (2012). The role of application assistance and information in college decisions.</w:t>
      </w:r>
      <w:r>
        <w:t xml:space="preserve"> </w:t>
      </w:r>
      <w:r>
        <w:rPr>
          <w:i/>
          <w:iCs/>
        </w:rPr>
        <w:t xml:space="preserve">Quarterly Journal of Economics</w:t>
      </w:r>
      <w:r>
        <w:t xml:space="preserve">, 127(3), 1205–1242. OECD (2023).</w:t>
      </w:r>
      <w:r>
        <w:t xml:space="preserve"> </w:t>
      </w:r>
      <w:r>
        <w:rPr>
          <w:i/>
          <w:iCs/>
        </w:rPr>
        <w:t xml:space="preserve">Behavioural Insights and Public Policy: Lessons from Around the World</w:t>
      </w:r>
      <w:r>
        <w:t xml:space="preserve">. Paris.</w:t>
      </w:r>
    </w:p>
    <w:p>
      <w:r>
        <w:pict>
          <v:rect style="width:0;height:1.5pt" o:hralign="center" o:hrstd="t" o:hr="t"/>
        </w:pict>
      </w:r>
    </w:p>
    <w:bookmarkEnd w:id="205"/>
    <w:bookmarkStart w:id="206" w:name="o-atalho-mais-elegante-identidade-de-roy"/>
    <w:p>
      <w:pPr>
        <w:pStyle w:val="Heading3"/>
      </w:pPr>
      <w:r>
        <w:t xml:space="preserve">4.9 O Atalho Mais Elegante: Identidade de Roy</w:t>
      </w:r>
    </w:p>
    <w:p>
      <w:pPr>
        <w:pStyle w:val="FirstParagraph"/>
      </w:pPr>
      <w:r>
        <w:t xml:space="preserve">Eis o passe de mágica mais satisfatório da teoria do consumidor. Suponha que alguém lhe dê a função</w:t>
      </w:r>
      <w:r>
        <w:t xml:space="preserve"> </w:t>
      </w:r>
      <m:oMath>
        <m:r>
          <m:t>V</m:t>
        </m:r>
        <m:r>
          <m:rPr>
            <m:sty m:val="p"/>
          </m:rPr>
          <m:t>(</m:t>
        </m:r>
        <m:r>
          <m:rPr>
            <m:sty m:val="bi"/>
          </m:rPr>
          <m:t>p</m:t>
        </m:r>
        <m:r>
          <m:rPr>
            <m:sty m:val="p"/>
          </m:rPr>
          <m:t>,</m:t>
        </m:r>
        <m:r>
          <m:t>I</m:t>
        </m:r>
        <m:r>
          <m:rPr>
            <m:sty m:val="p"/>
          </m:rPr>
          <m:t>)</m:t>
        </m:r>
      </m:oMath>
      <w:r>
        <w:t xml:space="preserve"> </w:t>
      </w:r>
      <w:r>
        <w:t xml:space="preserve">— o</w:t>
      </w:r>
      <w:r>
        <w:t xml:space="preserve"> </w:t>
      </w:r>
      <w:r>
        <w:t xml:space="preserve">“termômetro de felicidade”</w:t>
      </w:r>
      <w:r>
        <w:t xml:space="preserve">. Será que você consegue,</w:t>
      </w:r>
      <w:r>
        <w:t xml:space="preserve"> </w:t>
      </w:r>
      <w:r>
        <w:rPr>
          <w:i/>
          <w:iCs/>
        </w:rPr>
        <w:t xml:space="preserve">só com ela</w:t>
      </w:r>
      <w:r>
        <w:t xml:space="preserve">, descobrir as demandas, sem resolver Lagrangeano nenhum? A resposta: sim. Basta derivar</w:t>
      </w:r>
      <w:r>
        <w:t xml:space="preserve"> </w:t>
      </w:r>
      <m:oMath>
        <m:r>
          <m:t>V</m:t>
        </m:r>
      </m:oMath>
      <w:r>
        <w:t xml:space="preserve"> </w:t>
      </w:r>
      <w:r>
        <w:t xml:space="preserve">e dividir. Esse atalho espetacular é a</w:t>
      </w:r>
      <w:r>
        <w:t xml:space="preserve"> </w:t>
      </w:r>
      <w:r>
        <w:rPr>
          <w:b/>
          <w:bCs/>
        </w:rPr>
        <w:t xml:space="preserve">Identidade de Roy</w:t>
      </w:r>
      <w:r>
        <w:t xml:space="preserve"> </w:t>
      </w:r>
      <w:r>
        <w:t xml:space="preserve">— e ela funciona porque</w:t>
      </w:r>
      <w:r>
        <w:t xml:space="preserve"> </w:t>
      </w:r>
      <m:oMath>
        <m:r>
          <m:t>V</m:t>
        </m:r>
      </m:oMath>
      <w:r>
        <w:t xml:space="preserve"> </w:t>
      </w:r>
      <w:r>
        <w:t xml:space="preserve">já contém, comprimida, toda a informação sobre o comportamento ótimo do consumidor. É como extrair a receita do bolo a partir do sabor.</w:t>
      </w:r>
    </w:p>
    <w:p>
      <w:pPr>
        <w:pStyle w:val="BlockText"/>
      </w:pPr>
      <w:r>
        <w:rPr>
          <w:b/>
          <w:bCs/>
        </w:rPr>
        <w:t xml:space="preserve">[TEOREMA] Teorema 4.1 — Identidade de Roy</w:t>
      </w:r>
    </w:p>
    <w:p>
      <w:pPr>
        <w:pStyle w:val="BlockText"/>
      </w:pPr>
      <w:r>
        <w:t xml:space="preserve">Se</w:t>
      </w:r>
      <w:r>
        <w:t xml:space="preserve"> </w:t>
      </w:r>
      <m:oMath>
        <m:r>
          <m:t>V</m:t>
        </m:r>
        <m:r>
          <m:rPr>
            <m:sty m:val="p"/>
          </m:rPr>
          <m:t>(</m:t>
        </m:r>
        <m:r>
          <m:rPr>
            <m:sty m:val="bi"/>
          </m:rPr>
          <m:t>p</m:t>
        </m:r>
        <m:r>
          <m:rPr>
            <m:sty m:val="p"/>
          </m:rPr>
          <m:t>,</m:t>
        </m:r>
        <m:r>
          <m:t>I</m:t>
        </m:r>
        <m:r>
          <m:rPr>
            <m:sty m:val="p"/>
          </m:rPr>
          <m:t>)</m:t>
        </m:r>
      </m:oMath>
      <w:r>
        <w:t xml:space="preserve"> </w:t>
      </w:r>
      <w:r>
        <w:t xml:space="preserve">é diferenciável em</w:t>
      </w:r>
      <w:r>
        <w:t xml:space="preserve"> </w:t>
      </w:r>
      <m:oMath>
        <m:r>
          <m:rPr>
            <m:sty m:val="p"/>
          </m:rPr>
          <m:t>(</m:t>
        </m:r>
        <m:r>
          <m:rPr>
            <m:sty m:val="bi"/>
          </m:rPr>
          <m:t>p</m:t>
        </m:r>
        <m:r>
          <m:rPr>
            <m:sty m:val="p"/>
          </m:rPr>
          <m:t>,</m:t>
        </m:r>
        <m:r>
          <m:t>I</m:t>
        </m:r>
        <m:r>
          <m:rPr>
            <m:sty m:val="p"/>
          </m:rPr>
          <m:t>)</m:t>
        </m:r>
      </m:oMath>
      <w:r>
        <w:t xml:space="preserve"> </w:t>
      </w:r>
      <w:r>
        <w:t xml:space="preserve">e</w:t>
      </w:r>
      <w:r>
        <w:t xml:space="preserve"> </w:t>
      </w:r>
      <m:oMath>
        <m:r>
          <m:rPr>
            <m:sty m:val="p"/>
          </m:rPr>
          <m:t>∂</m:t>
        </m:r>
        <m:r>
          <m:t>V</m:t>
        </m:r>
        <m:r>
          <m:rPr>
            <m:sty m:val="p"/>
          </m:rPr>
          <m:t>/</m:t>
        </m:r>
        <m:r>
          <m:rPr>
            <m:sty m:val="p"/>
          </m:rPr>
          <m:t>∂</m:t>
        </m:r>
        <m:r>
          <m:t>I</m:t>
        </m:r>
        <m:r>
          <m:rPr>
            <m:sty m:val="p"/>
          </m:rPr>
          <m:t>≠</m:t>
        </m:r>
        <m:r>
          <m:t>0</m:t>
        </m:r>
      </m:oMath>
      <w:r>
        <w:t xml:space="preserve">, então a demanda marshalliana do bem</w:t>
      </w:r>
      <w:r>
        <w:t xml:space="preserve"> </w:t>
      </w:r>
      <m:oMath>
        <m:r>
          <m:t>i</m:t>
        </m:r>
      </m:oMath>
      <w:r>
        <w:t xml:space="preserve"> </w:t>
      </w:r>
      <w:r>
        <w:t xml:space="preserve">é dada por:</w:t>
      </w:r>
    </w:p>
    <w:p>
      <w:pPr>
        <w:pStyle w:val="BlockText"/>
      </w:pPr>
      <w:r>
        <w:t xml:space="preserve">$$</w:t>
      </w:r>
    </w:p>
    <w:p>
      <w:pPr>
        <w:pStyle w:val="BlockText"/>
      </w:pPr>
      <w:r>
        <w:t xml:space="preserve">x_i(</w:t>
      </w:r>
      <w:r>
        <w:t xml:space="preserve">, I) = -</w:t>
      </w:r>
      <w:r>
        <w:t xml:space="preserve">.</w:t>
      </w:r>
      <w:r>
        <w:t xml:space="preserve"> </w:t>
      </w:r>
      <w:r>
        <w:t xml:space="preserve"> </w:t>
      </w:r>
    </w:p>
    <w:p>
      <w:pPr>
        <w:pStyle w:val="BlockText"/>
      </w:pPr>
      <w:r>
        <w:t xml:space="preserve">$$</w:t>
      </w:r>
    </w:p>
    <w:p>
      <w:pPr>
        <w:pStyle w:val="BlockText"/>
      </w:pPr>
      <w:r>
        <w:rPr>
          <w:b/>
          <w:bCs/>
        </w:rPr>
        <w:t xml:space="preserve">[DEMONSTRACAO] Demonstração</w:t>
      </w:r>
    </w:p>
    <w:p>
      <w:pPr>
        <w:pStyle w:val="BlockText"/>
      </w:pPr>
      <w:r>
        <w:t xml:space="preserve">Partimos da identidade de dualidade:</w:t>
      </w:r>
    </w:p>
    <w:p>
      <w:pPr>
        <w:pStyle w:val="BlockText"/>
      </w:pPr>
      <w:r>
        <w:t xml:space="preserve">$$</w:t>
      </w:r>
    </w:p>
    <w:p>
      <w:pPr>
        <w:pStyle w:val="BlockText"/>
      </w:pPr>
      <w:r>
        <w:t xml:space="preserve">E(</w:t>
      </w:r>
      <w:r>
        <w:t xml:space="preserve">, V(</w:t>
      </w:r>
      <w:r>
        <w:t xml:space="preserve">, I)) = I.</w:t>
      </w:r>
    </w:p>
    <w:p>
      <w:pPr>
        <w:pStyle w:val="BlockText"/>
      </w:pPr>
      <w:r>
        <w:t xml:space="preserve">$$</w:t>
      </w:r>
    </w:p>
    <w:p>
      <w:pPr>
        <w:pStyle w:val="BlockText"/>
      </w:pPr>
      <w:r>
        <w:t xml:space="preserve">Diferenciando ambos os lados em relação a</w:t>
      </w:r>
      <w:r>
        <w:t xml:space="preserve"> </w:t>
      </w:r>
      <m:oMath>
        <m:sSub>
          <m:e>
            <m:r>
              <m:t>p</m:t>
            </m:r>
          </m:e>
          <m:sub>
            <m:r>
              <m:t>i</m:t>
            </m:r>
          </m:sub>
        </m:sSub>
      </m:oMath>
      <w:r>
        <w:t xml:space="preserve">, aplicando a regra da cadeia:</w:t>
      </w:r>
    </w:p>
    <w:p>
      <w:pPr>
        <w:pStyle w:val="BlockText"/>
      </w:pPr>
      <w:r>
        <w:t xml:space="preserve">$$</w:t>
      </w:r>
    </w:p>
    <w:p>
      <w:pPr>
        <w:pStyle w:val="BlockText"/>
      </w:pPr>
      <w:r>
        <w:t xml:space="preserve"> </w:t>
      </w:r>
      <w:r>
        <w:t xml:space="preserve">+</w:t>
      </w:r>
      <w:r>
        <w:t xml:space="preserve"> </w:t>
      </w:r>
      <w:r>
        <w:t xml:space="preserve"> </w:t>
      </w:r>
      <w:r>
        <w:t xml:space="preserve"> </w:t>
      </w:r>
      <w:r>
        <w:t xml:space="preserve">= 0.</w:t>
      </w:r>
    </w:p>
    <w:p>
      <w:pPr>
        <w:pStyle w:val="BlockText"/>
      </w:pPr>
      <w:r>
        <w:t xml:space="preserve">$$</w:t>
      </w:r>
    </w:p>
    <w:p>
      <w:pPr>
        <w:pStyle w:val="BlockText"/>
      </w:pPr>
      <w:r>
        <w:t xml:space="preserve">Agora utilizamos dois resultados conhecidos:</w:t>
      </w:r>
    </w:p>
    <w:p>
      <w:pPr>
        <w:pStyle w:val="Compact"/>
        <w:numPr>
          <w:ilvl w:val="0"/>
          <w:numId w:val="1138"/>
        </w:numPr>
      </w:pPr>
      <w:r>
        <w:t xml:space="preserve">Pelo</w:t>
      </w:r>
      <w:r>
        <w:t xml:space="preserve"> </w:t>
      </w:r>
      <w:r>
        <w:rPr>
          <w:b/>
          <w:bCs/>
        </w:rPr>
        <w:t xml:space="preserve">Lema de Shephard</w:t>
      </w:r>
      <w:r>
        <w:t xml:space="preserve">:</w:t>
      </w:r>
      <w:r>
        <w:t xml:space="preserve"> </w:t>
      </w:r>
      <m:oMath>
        <m:f>
          <m:fPr>
            <m:type m:val="bar"/>
          </m:fPr>
          <m:num>
            <m:r>
              <m:rPr>
                <m:sty m:val="p"/>
              </m:rPr>
              <m:t>∂</m:t>
            </m:r>
            <m:r>
              <m:t>E</m:t>
            </m:r>
          </m:num>
          <m:den>
            <m:r>
              <m:rPr>
                <m:sty m:val="p"/>
              </m:rPr>
              <m:t>∂</m:t>
            </m:r>
            <m:sSub>
              <m:e>
                <m:r>
                  <m:t>p</m:t>
                </m:r>
              </m:e>
              <m:sub>
                <m:r>
                  <m:t>i</m:t>
                </m:r>
              </m:sub>
            </m:sSub>
          </m:den>
        </m:f>
        <m:r>
          <m:rPr>
            <m:sty m:val="p"/>
          </m:rPr>
          <m:t>=</m:t>
        </m:r>
        <m:sSub>
          <m:e>
            <m:r>
              <m:t>h</m:t>
            </m:r>
          </m:e>
          <m:sub>
            <m:r>
              <m:t>i</m:t>
            </m:r>
          </m:sub>
        </m:sSub>
        <m:r>
          <m:rPr>
            <m:sty m:val="p"/>
          </m:rPr>
          <m:t>(</m:t>
        </m:r>
        <m:r>
          <m:rPr>
            <m:sty m:val="bi"/>
          </m:rPr>
          <m:t>p</m:t>
        </m:r>
        <m:r>
          <m:rPr>
            <m:sty m:val="p"/>
          </m:rPr>
          <m:t>,</m:t>
        </m:r>
        <m:acc>
          <m:accPr>
            <m:chr m:val="‾"/>
          </m:accPr>
          <m:e>
            <m:r>
              <m:t>u</m:t>
            </m:r>
          </m:e>
        </m:acc>
        <m:r>
          <m:rPr>
            <m:sty m:val="p"/>
          </m:rPr>
          <m:t>)</m:t>
        </m:r>
      </m:oMath>
      <w:r>
        <w:t xml:space="preserve">.</w:t>
      </w:r>
    </w:p>
    <w:p>
      <w:pPr>
        <w:pStyle w:val="Compact"/>
        <w:numPr>
          <w:ilvl w:val="0"/>
          <w:numId w:val="1138"/>
        </w:numPr>
      </w:pPr>
      <w:r>
        <w:t xml:space="preserve">Da dualidade, avaliada no ótimo:</w:t>
      </w:r>
      <w:r>
        <w:t xml:space="preserve"> </w:t>
      </w:r>
      <m:oMath>
        <m:f>
          <m:fPr>
            <m:type m:val="bar"/>
          </m:fPr>
          <m:num>
            <m:r>
              <m:rPr>
                <m:sty m:val="p"/>
              </m:rPr>
              <m:t>∂</m:t>
            </m:r>
            <m:r>
              <m:t>E</m:t>
            </m:r>
          </m:num>
          <m:den>
            <m:r>
              <m:rPr>
                <m:sty m:val="p"/>
              </m:rPr>
              <m:t>∂</m:t>
            </m:r>
            <m:acc>
              <m:accPr>
                <m:chr m:val="‾"/>
              </m:accPr>
              <m:e>
                <m:r>
                  <m:t>u</m:t>
                </m:r>
              </m:e>
            </m:acc>
          </m:den>
        </m:f>
        <m:r>
          <m:rPr>
            <m:sty m:val="p"/>
          </m:rPr>
          <m:t>=</m:t>
        </m:r>
        <m:f>
          <m:fPr>
            <m:type m:val="bar"/>
          </m:fPr>
          <m:num>
            <m:r>
              <m:t>1</m:t>
            </m:r>
          </m:num>
          <m:den>
            <m:r>
              <m:rPr>
                <m:sty m:val="p"/>
              </m:rPr>
              <m:t>∂</m:t>
            </m:r>
            <m:r>
              <m:t>V</m:t>
            </m:r>
            <m:r>
              <m:rPr>
                <m:sty m:val="p"/>
              </m:rPr>
              <m:t>/</m:t>
            </m:r>
            <m:r>
              <m:rPr>
                <m:sty m:val="p"/>
              </m:rPr>
              <m:t>∂</m:t>
            </m:r>
            <m:r>
              <m:t>I</m:t>
            </m:r>
          </m:den>
        </m:f>
      </m:oMath>
      <w:r>
        <w:t xml:space="preserve"> </w:t>
      </w:r>
      <w:r>
        <w:t xml:space="preserve">(pois</w:t>
      </w:r>
      <w:r>
        <w:t xml:space="preserve"> </w:t>
      </w:r>
      <m:oMath>
        <m:r>
          <m:t>E</m:t>
        </m:r>
      </m:oMath>
      <w:r>
        <w:t xml:space="preserve"> </w:t>
      </w:r>
      <w:r>
        <w:t xml:space="preserve">e</w:t>
      </w:r>
      <w:r>
        <w:t xml:space="preserve"> </w:t>
      </w:r>
      <m:oMath>
        <m:r>
          <m:t>V</m:t>
        </m:r>
      </m:oMath>
      <w:r>
        <w:t xml:space="preserve"> </w:t>
      </w:r>
      <w:r>
        <w:t xml:space="preserve">são inversas em relação ao segundo argumento, e pela regra da função inversa).</w:t>
      </w:r>
    </w:p>
    <w:p>
      <w:pPr>
        <w:pStyle w:val="BlockText"/>
      </w:pPr>
      <w:r>
        <w:t xml:space="preserve">Além disso, no ponto de dualidade,</w:t>
      </w:r>
      <w:r>
        <w:t xml:space="preserve"> </w:t>
      </w:r>
      <m:oMath>
        <m:sSub>
          <m:e>
            <m:r>
              <m:t>h</m:t>
            </m:r>
          </m:e>
          <m:sub>
            <m:r>
              <m:t>i</m:t>
            </m:r>
          </m:sub>
        </m:sSub>
        <m:r>
          <m:rPr>
            <m:sty m:val="p"/>
          </m:rPr>
          <m:t>(</m:t>
        </m:r>
        <m:r>
          <m:rPr>
            <m:sty m:val="bi"/>
          </m:rPr>
          <m:t>p</m:t>
        </m:r>
        <m:r>
          <m:rPr>
            <m:sty m:val="p"/>
          </m:rPr>
          <m:t>,</m:t>
        </m:r>
        <m:r>
          <m:t>V</m:t>
        </m:r>
        <m:r>
          <m:rPr>
            <m:sty m:val="p"/>
          </m:rPr>
          <m:t>(</m:t>
        </m:r>
        <m:r>
          <m:rPr>
            <m:sty m:val="bi"/>
          </m:rPr>
          <m:t>p</m:t>
        </m:r>
        <m:r>
          <m:rPr>
            <m:sty m:val="p"/>
          </m:rPr>
          <m:t>,</m:t>
        </m:r>
        <m:r>
          <m:t>I</m:t>
        </m:r>
        <m:r>
          <m:rPr>
            <m:sty m:val="p"/>
          </m:rPr>
          <m:t>)</m:t>
        </m:r>
        <m:r>
          <m:rPr>
            <m:sty m:val="p"/>
          </m:rPr>
          <m:t>)</m:t>
        </m:r>
        <m:r>
          <m:rPr>
            <m:sty m:val="p"/>
          </m:rPr>
          <m:t>=</m:t>
        </m:r>
        <m:sSub>
          <m:e>
            <m:r>
              <m:t>x</m:t>
            </m:r>
          </m:e>
          <m:sub>
            <m:r>
              <m:t>i</m:t>
            </m:r>
          </m:sub>
        </m:sSub>
        <m:r>
          <m:rPr>
            <m:sty m:val="p"/>
          </m:rPr>
          <m:t>(</m:t>
        </m:r>
        <m:r>
          <m:rPr>
            <m:sty m:val="bi"/>
          </m:rPr>
          <m:t>p</m:t>
        </m:r>
        <m:r>
          <m:rPr>
            <m:sty m:val="p"/>
          </m:rPr>
          <m:t>,</m:t>
        </m:r>
        <m:r>
          <m:t>I</m:t>
        </m:r>
        <m:r>
          <m:rPr>
            <m:sty m:val="p"/>
          </m:rPr>
          <m:t>)</m:t>
        </m:r>
      </m:oMath>
      <w:r>
        <w:t xml:space="preserve">. Substituindo:</w:t>
      </w:r>
    </w:p>
    <w:p>
      <w:pPr>
        <w:pStyle w:val="BlockText"/>
      </w:pPr>
      <w:r>
        <w:t xml:space="preserve">$$</w:t>
      </w:r>
    </w:p>
    <w:p>
      <w:pPr>
        <w:pStyle w:val="BlockText"/>
      </w:pPr>
      <w:r>
        <w:t xml:space="preserve">x_i(</w:t>
      </w:r>
      <w:r>
        <w:t xml:space="preserve">, I) +</w:t>
      </w:r>
      <w:r>
        <w:t xml:space="preserve"> </w:t>
      </w:r>
      <w:r>
        <w:t xml:space="preserve"> </w:t>
      </w:r>
      <w:r>
        <w:t xml:space="preserve"> </w:t>
      </w:r>
      <w:r>
        <w:t xml:space="preserve">= 0.</w:t>
      </w:r>
    </w:p>
    <w:p>
      <w:pPr>
        <w:pStyle w:val="BlockText"/>
      </w:pPr>
      <w:r>
        <w:t xml:space="preserve">$$</w:t>
      </w:r>
    </w:p>
    <w:p>
      <w:pPr>
        <w:pStyle w:val="BlockText"/>
      </w:pPr>
      <w:r>
        <w:t xml:space="preserve">Resolvendo para</w:t>
      </w:r>
      <w:r>
        <w:t xml:space="preserve"> </w:t>
      </w:r>
      <m:oMath>
        <m:sSub>
          <m:e>
            <m:r>
              <m:t>x</m:t>
            </m:r>
          </m:e>
          <m:sub>
            <m:r>
              <m:t>i</m:t>
            </m:r>
          </m:sub>
        </m:sSub>
      </m:oMath>
      <w:r>
        <w:t xml:space="preserve">:</w:t>
      </w:r>
    </w:p>
    <w:p>
      <w:pPr>
        <w:pStyle w:val="BlockText"/>
      </w:pPr>
      <w:r>
        <w:t xml:space="preserve">$$</w:t>
      </w:r>
    </w:p>
    <w:p>
      <w:pPr>
        <w:pStyle w:val="BlockText"/>
      </w:pPr>
      <w:r>
        <w:t xml:space="preserve">x_i(</w:t>
      </w:r>
      <w:r>
        <w:t xml:space="preserve">, I) = -</w:t>
      </w:r>
      <w:r>
        <w:t xml:space="preserve">.</w:t>
      </w:r>
      <w:r>
        <w:t xml:space="preserve"> </w:t>
      </w:r>
    </w:p>
    <w:p>
      <w:pPr>
        <w:pStyle w:val="BlockText"/>
      </w:pPr>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A Identidade de Roy diz que, se você sabe como a satisfação máxima reage a preços e renda, já consegue recuperar a demanda — sem resolver o problema de otimização de novo.</w:t>
      </w:r>
    </w:p>
    <w:p>
      <w:pPr>
        <w:pStyle w:val="BlockText"/>
      </w:pPr>
      <w:r>
        <w:rPr>
          <w:b/>
          <w:bCs/>
        </w:rPr>
        <w:t xml:space="preserve">Pense assim:</w:t>
      </w:r>
      <w:r>
        <w:t xml:space="preserve"> </w:t>
      </w:r>
      <w:r>
        <w:t xml:space="preserve">É como se o extrato bancário (utilidade indireta) já contivesse toda a informação sobre o que você comprou. A Identidade de Roy é a</w:t>
      </w:r>
      <w:r>
        <w:t xml:space="preserve"> </w:t>
      </w:r>
      <w:r>
        <w:t xml:space="preserve">“fórmula de engenharia reversa”</w:t>
      </w:r>
      <w:r>
        <w:t xml:space="preserve"> </w:t>
      </w:r>
      <w:r>
        <w:t xml:space="preserve">que recupera o carrinho de compras a partir do extrato. O Lema de Shephard faz o mesmo truque partindo da função dispêndio.</w:t>
      </w:r>
    </w:p>
    <w:p>
      <w:pPr>
        <w:pStyle w:val="BlockText"/>
      </w:pPr>
      <w:r>
        <w:rPr>
          <w:b/>
          <w:bCs/>
        </w:rPr>
        <w:t xml:space="preserve">Por que isso importa:</w:t>
      </w:r>
      <w:r>
        <w:t xml:space="preserve"> </w:t>
      </w:r>
      <w:r>
        <w:t xml:space="preserve">Na prática empírica, muitas vezes o pesquisador estima primeiro a função de utilidade indireta ou a função dispêndio, e depois usa Roy ou Shephard para obter as demandas — é mais fácil do que resolver o problema de otimização diretamente.</w:t>
      </w:r>
    </w:p>
    <w:p>
      <w:pPr>
        <w:pStyle w:val="BlockText"/>
      </w:pPr>
      <w:r>
        <w:rPr>
          <w:b/>
          <w:bCs/>
        </w:rPr>
        <w:t xml:space="preserve">[DICA] Verificação: caso Cobb-Douglas</w:t>
      </w:r>
    </w:p>
    <w:p>
      <w:pPr>
        <w:pStyle w:val="BlockText"/>
      </w:pPr>
      <w:r>
        <w:t xml:space="preserve">Para</w:t>
      </w:r>
      <w:r>
        <w:t xml:space="preserve"> </w:t>
      </w:r>
      <m:oMath>
        <m:r>
          <m:t>u</m:t>
        </m:r>
        <m:r>
          <m:rPr>
            <m:sty m:val="p"/>
          </m:rPr>
          <m:t>=</m:t>
        </m:r>
        <m:sSubSup>
          <m:e>
            <m:r>
              <m:t>x</m:t>
            </m:r>
          </m:e>
          <m:sub>
            <m:r>
              <m:t>1</m:t>
            </m:r>
          </m:sub>
          <m:sup>
            <m:r>
              <m:t>a</m:t>
            </m:r>
          </m:sup>
        </m:sSubSup>
        <m:sSubSup>
          <m:e>
            <m:r>
              <m:t>x</m:t>
            </m:r>
          </m:e>
          <m:sub>
            <m:r>
              <m:t>2</m:t>
            </m:r>
          </m:sub>
          <m:sup>
            <m:r>
              <m:t>b</m:t>
            </m:r>
          </m:sup>
        </m:sSubSup>
      </m:oMath>
      <w:r>
        <w:t xml:space="preserve"> </w:t>
      </w:r>
      <w:r>
        <w:t xml:space="preserve">com</w:t>
      </w:r>
      <w:r>
        <w:t xml:space="preserve"> </w:t>
      </w:r>
      <m:oMath>
        <m:r>
          <m:t>a</m:t>
        </m:r>
        <m:r>
          <m:rPr>
            <m:sty m:val="p"/>
          </m:rPr>
          <m:t>+</m:t>
        </m:r>
        <m:r>
          <m:t>b</m:t>
        </m:r>
        <m:r>
          <m:rPr>
            <m:sty m:val="p"/>
          </m:rPr>
          <m:t>=</m:t>
        </m:r>
        <m:r>
          <m:t>1</m:t>
        </m:r>
      </m:oMath>
      <w:r>
        <w:t xml:space="preserve">, temos</w:t>
      </w:r>
      <w:r>
        <w:t xml:space="preserve"> </w:t>
      </w:r>
      <m:oMath>
        <m:r>
          <m:t>V</m:t>
        </m:r>
        <m:r>
          <m:rPr>
            <m:sty m:val="p"/>
          </m:rPr>
          <m:t>=</m:t>
        </m:r>
        <m:r>
          <m:rPr>
            <m:sty m:val="p"/>
          </m:rPr>
          <m:t>(</m:t>
        </m:r>
        <m:r>
          <m:t>a</m:t>
        </m:r>
        <m:r>
          <m:rPr>
            <m:sty m:val="p"/>
          </m:rPr>
          <m:t>/</m:t>
        </m:r>
        <m:sSub>
          <m:e>
            <m:r>
              <m:t>p</m:t>
            </m:r>
          </m:e>
          <m:sub>
            <m:r>
              <m:t>1</m:t>
            </m:r>
          </m:sub>
        </m:sSub>
        <m:sSup>
          <m:e>
            <m:r>
              <m:rPr>
                <m:sty m:val="p"/>
              </m:rPr>
              <m:t>)</m:t>
            </m:r>
          </m:e>
          <m:sup>
            <m:r>
              <m:t>a</m:t>
            </m:r>
          </m:sup>
        </m:sSup>
        <m:r>
          <m:rPr>
            <m:sty m:val="p"/>
          </m:rPr>
          <m:t>(</m:t>
        </m:r>
        <m:r>
          <m:t>b</m:t>
        </m:r>
        <m:r>
          <m:rPr>
            <m:sty m:val="p"/>
          </m:rPr>
          <m:t>/</m:t>
        </m:r>
        <m:sSub>
          <m:e>
            <m:r>
              <m:t>p</m:t>
            </m:r>
          </m:e>
          <m:sub>
            <m:r>
              <m:t>2</m:t>
            </m:r>
          </m:sub>
        </m:sSub>
        <m:sSup>
          <m:e>
            <m:r>
              <m:rPr>
                <m:sty m:val="p"/>
              </m:rPr>
              <m:t>)</m:t>
            </m:r>
          </m:e>
          <m:sup>
            <m:r>
              <m:t>b</m:t>
            </m:r>
          </m:sup>
        </m:sSup>
        <m:r>
          <m:rPr>
            <m:sty m:val="p"/>
          </m:rPr>
          <m:t>⋅</m:t>
        </m:r>
        <m:r>
          <m:t>I</m:t>
        </m:r>
      </m:oMath>
      <w:r>
        <w:t xml:space="preserve">. Então:</w:t>
      </w:r>
    </w:p>
    <w:p>
      <w:pPr>
        <w:pStyle w:val="BlockText"/>
      </w:pPr>
      <w:r>
        <w:t xml:space="preserve">$$</w:t>
      </w:r>
    </w:p>
    <w:p>
      <w:pPr>
        <w:pStyle w:val="BlockText"/>
      </w:pPr>
      <w:r>
        <w:t xml:space="preserve"> </w:t>
      </w:r>
      <w:r>
        <w:t xml:space="preserve">= -a</w:t>
      </w:r>
      <w:r>
        <w:t xml:space="preserve"> </w:t>
      </w:r>
      <w:r>
        <w:t xml:space="preserve">,</w:t>
      </w:r>
      <w:r>
        <w:t xml:space="preserve"> </w:t>
      </w:r>
      <w:r>
        <w:t xml:space="preserve"> </w:t>
      </w:r>
      <w:r>
        <w:t xml:space="preserve">=</w:t>
      </w:r>
      <w:r>
        <w:t xml:space="preserve"> </w:t>
      </w:r>
      <w:r>
        <w:t xml:space="preserve">.</w:t>
      </w:r>
    </w:p>
    <w:p>
      <w:pPr>
        <w:pStyle w:val="BlockText"/>
      </w:pPr>
      <w:r>
        <w:t xml:space="preserve">$$</w:t>
      </w:r>
    </w:p>
    <w:p>
      <w:pPr>
        <w:pStyle w:val="BlockText"/>
      </w:pPr>
      <w:r>
        <w:t xml:space="preserve">Pela Identidade de Roy:</w:t>
      </w:r>
    </w:p>
    <w:p>
      <w:pPr>
        <w:pStyle w:val="BlockText"/>
      </w:pPr>
      <w:r>
        <w:t xml:space="preserve">$$</w:t>
      </w:r>
    </w:p>
    <w:p>
      <w:pPr>
        <w:pStyle w:val="BlockText"/>
      </w:pPr>
      <w:r>
        <w:t xml:space="preserve">x_1 = -</w:t>
      </w:r>
      <w:r>
        <w:t xml:space="preserve"> </w:t>
      </w:r>
      <w:r>
        <w:t xml:space="preserve">=</w:t>
      </w:r>
      <w:r>
        <w:t xml:space="preserve"> </w:t>
      </w:r>
      <w:r>
        <w:t xml:space="preserve">,</w:t>
      </w:r>
    </w:p>
    <w:p>
      <w:pPr>
        <w:pStyle w:val="BlockText"/>
      </w:pPr>
      <w:r>
        <w:t xml:space="preserve">$$</w:t>
      </w:r>
    </w:p>
    <w:p>
      <w:pPr>
        <w:pStyle w:val="BlockText"/>
      </w:pPr>
      <w:r>
        <w:t xml:space="preserve">que é exatamente a demanda marshalliana Cobb-Douglas.</w:t>
      </w:r>
    </w:p>
    <w:p>
      <w:pPr>
        <w:pStyle w:val="FirstParagraph"/>
      </w:pPr>
      <w:r>
        <w:t xml:space="preserve">A Identidade de Roy também tem uma interpretação em termos do multiplicador</w:t>
      </w:r>
      <w:r>
        <w:t xml:space="preserve"> </w:t>
      </w:r>
      <m:oMath>
        <m:r>
          <m:t>λ</m:t>
        </m:r>
      </m:oMath>
      <w:r>
        <w:t xml:space="preserve">: como</w:t>
      </w:r>
      <w:r>
        <w:t xml:space="preserve"> </w:t>
      </w:r>
      <m:oMath>
        <m:r>
          <m:rPr>
            <m:sty m:val="p"/>
          </m:rPr>
          <m:t>∂</m:t>
        </m:r>
        <m:r>
          <m:t>V</m:t>
        </m:r>
        <m:r>
          <m:rPr>
            <m:sty m:val="p"/>
          </m:rPr>
          <m:t>/</m:t>
        </m:r>
        <m:r>
          <m:rPr>
            <m:sty m:val="p"/>
          </m:rPr>
          <m:t>∂</m:t>
        </m:r>
        <m:r>
          <m:t>I</m:t>
        </m:r>
        <m:r>
          <m:rPr>
            <m:sty m:val="p"/>
          </m:rPr>
          <m:t>=</m:t>
        </m:r>
        <m:r>
          <m:t>λ</m:t>
        </m:r>
      </m:oMath>
      <w:r>
        <w:t xml:space="preserve"> </w:t>
      </w:r>
      <w:r>
        <w:t xml:space="preserve">(a utilidade marginal da renda), podemos reescrever Eq. (eq:4.9.19) como</w:t>
      </w:r>
      <w:r>
        <w:t xml:space="preserve"> </w:t>
      </w:r>
      <m:oMath>
        <m:sSub>
          <m:e>
            <m:r>
              <m:t>x</m:t>
            </m:r>
          </m:e>
          <m:sub>
            <m:r>
              <m:t>i</m:t>
            </m:r>
          </m:sub>
        </m:sSub>
        <m:r>
          <m:rPr>
            <m:sty m:val="p"/>
          </m:rPr>
          <m:t>=</m:t>
        </m:r>
        <m:r>
          <m:rPr>
            <m:sty m:val="p"/>
          </m:rPr>
          <m:t>−</m:t>
        </m:r>
        <m:r>
          <m:rPr>
            <m:sty m:val="p"/>
          </m:rPr>
          <m:t>(</m:t>
        </m:r>
        <m:r>
          <m:rPr>
            <m:sty m:val="p"/>
          </m:rPr>
          <m:t>∂</m:t>
        </m:r>
        <m:r>
          <m:t>V</m:t>
        </m:r>
        <m:r>
          <m:rPr>
            <m:sty m:val="p"/>
          </m:rPr>
          <m:t>/</m:t>
        </m:r>
        <m:r>
          <m:rPr>
            <m:sty m:val="p"/>
          </m:rPr>
          <m:t>∂</m:t>
        </m:r>
        <m:sSub>
          <m:e>
            <m:r>
              <m:t>p</m:t>
            </m:r>
          </m:e>
          <m:sub>
            <m:r>
              <m:t>i</m:t>
            </m:r>
          </m:sub>
        </m:sSub>
        <m:r>
          <m:rPr>
            <m:sty m:val="p"/>
          </m:rPr>
          <m:t>)</m:t>
        </m:r>
        <m:r>
          <m:rPr>
            <m:sty m:val="p"/>
          </m:rPr>
          <m:t>/</m:t>
        </m:r>
        <m:r>
          <m:t>λ</m:t>
        </m:r>
      </m:oMath>
      <w:r>
        <w:t xml:space="preserve">. Isso diz que a quantidade demandada do bem</w:t>
      </w:r>
      <w:r>
        <w:t xml:space="preserve"> </w:t>
      </w:r>
      <m:oMath>
        <m:r>
          <m:t>i</m:t>
        </m:r>
      </m:oMath>
      <w:r>
        <w:t xml:space="preserve"> </w:t>
      </w:r>
      <w:r>
        <w:t xml:space="preserve">é proporcional à sensibilidade da utilidade indireta ao preço</w:t>
      </w:r>
      <w:r>
        <w:t xml:space="preserve"> </w:t>
      </w:r>
      <m:oMath>
        <m:sSub>
          <m:e>
            <m:r>
              <m:t>p</m:t>
            </m:r>
          </m:e>
          <m:sub>
            <m:r>
              <m:t>i</m:t>
            </m:r>
          </m:sub>
        </m:sSub>
      </m:oMath>
      <w:r>
        <w:t xml:space="preserve">, normalizada pela utilidade marginal da renda. Este capítulo será central no Capítulo 5, quando usaremos a Identidade de Roy em conjunto com a Equação de Slutsky para decompor os efeitos de uma mudança de preços em efeito substituição e efeito renda.</w:t>
      </w:r>
    </w:p>
    <w:bookmarkEnd w:id="206"/>
    <w:bookmarkEnd w:id="207"/>
    <w:bookmarkStart w:id="218" w:name="catálogo-de-soluções-e-quadro-resumo"/>
    <w:p>
      <w:pPr>
        <w:pStyle w:val="Heading2"/>
      </w:pPr>
      <w:r>
        <w:t xml:space="preserve">4.10–4.11 Catálogo de Soluções e Quadro Resumo</w:t>
      </w:r>
    </w:p>
    <w:bookmarkStart w:id="213" w:name="X9114d0c6b8171c7e175fbde8798bc54c462d742"/>
    <w:p>
      <w:pPr>
        <w:pStyle w:val="Heading3"/>
      </w:pPr>
      <w:r>
        <w:t xml:space="preserve">4.10 Cada Preferência, uma Demanda: O Catálogo Completo</w:t>
      </w:r>
    </w:p>
    <w:p>
      <w:pPr>
        <w:pStyle w:val="FirstParagraph"/>
      </w:pPr>
      <w:r>
        <w:rPr>
          <w:i/>
          <w:iCs/>
        </w:rPr>
        <w:t xml:space="preserve">And now for something completely different</w:t>
      </w:r>
      <w:r>
        <w:t xml:space="preserve"> </w:t>
      </w:r>
      <w:r>
        <w:t xml:space="preserve">— ou melhor,</w:t>
      </w:r>
      <w:r>
        <w:t xml:space="preserve"> </w:t>
      </w:r>
      <w:r>
        <w:rPr>
          <w:i/>
          <w:iCs/>
        </w:rPr>
        <w:t xml:space="preserve">completely concrete</w:t>
      </w:r>
      <w:r>
        <w:t xml:space="preserve">. Teoria bonita, mas funciona na prática? Hora de sujar as mãos. Vamos pegar cada</w:t>
      </w:r>
      <w:r>
        <w:t xml:space="preserve"> </w:t>
      </w:r>
      <w:r>
        <w:t xml:space="preserve">“personagem”</w:t>
      </w:r>
      <w:r>
        <w:t xml:space="preserve"> </w:t>
      </w:r>
      <w:r>
        <w:t xml:space="preserve">do Capítulo 3 — Cobb-Douglas, substitutos perfeitos, complementos perfeitos, CES, quase-linear — e resolver o problema do consumidor do começo ao fim: Lagrangeano, CPO, demanda marshalliana, demanda hicksiana, utilidade indireta, função dispêndio. É trabalhoso, mas o payoff é enorme: ao final desta seção, você terá um catálogo de soluções prontas que reaparecerão em</w:t>
      </w:r>
      <w:r>
        <w:t xml:space="preserve"> </w:t>
      </w:r>
      <w:r>
        <w:rPr>
          <w:i/>
          <w:iCs/>
        </w:rPr>
        <w:t xml:space="preserve">todos</w:t>
      </w:r>
      <w:r>
        <w:t xml:space="preserve"> </w:t>
      </w:r>
      <w:r>
        <w:t xml:space="preserve">os exercícios e provas deste livro.</w:t>
      </w:r>
    </w:p>
    <w:bookmarkStart w:id="208" w:name="cobb-douglas-ux₁-x₂-x₁ᵃ-x₂ᵇ"/>
    <w:p>
      <w:pPr>
        <w:pStyle w:val="Heading4"/>
      </w:pPr>
      <w:r>
        <w:t xml:space="preserve">4.10.1 Cobb-Douglas: U(x₁, x₂) = x₁ᵃ x₂ᵇ</w:t>
      </w:r>
    </w:p>
    <w:p>
      <w:pPr>
        <w:pStyle w:val="FirstParagraph"/>
      </w:pPr>
      <w:r>
        <w:t xml:space="preserve">A função Cobb-Douglas — proposta por Charles Cobb e Paul Douglas (1928) e já estudada em detalhe no Capítulo 3 — é o caso mais tratável e serve de</w:t>
      </w:r>
      <w:r>
        <w:t xml:space="preserve"> </w:t>
      </w:r>
      <w:r>
        <w:rPr>
          <w:i/>
          <w:iCs/>
        </w:rPr>
        <w:t xml:space="preserve">benchmark</w:t>
      </w:r>
      <w:r>
        <w:t xml:space="preserve"> </w:t>
      </w:r>
      <w:r>
        <w:t xml:space="preserve">para as demais. Sua popularidade na teoria do consumidor e na estimação empírica decorre de uma combinação rara: gera soluções em forma fechada, satisfaz automaticamente as condições de segunda ordem e produz parcelas de gasto constantes — uma regularidade aproximadamente consistente com dados da POF para categorias amplas de consumo.</w:t>
      </w:r>
    </w:p>
    <w:p>
      <w:pPr>
        <w:pStyle w:val="BodyText"/>
      </w:pPr>
      <w:r>
        <w:rPr>
          <w:b/>
          <w:bCs/>
        </w:rPr>
        <w:t xml:space="preserve">Demanda Marshalliana.</w:t>
      </w:r>
      <w:r>
        <w:t xml:space="preserve"> </w:t>
      </w:r>
      <w:r>
        <w:t xml:space="preserve">O consumidor resolve:</w:t>
      </w:r>
    </w:p>
    <w:p>
      <w:pPr>
        <w:pStyle w:val="BodyText"/>
      </w:pPr>
      <m:oMathPara>
        <m:oMathParaPr>
          <m:jc m:val="center"/>
        </m:oMathParaPr>
        <m:oMath>
          <m:limLow>
            <m:e>
              <m:r>
                <m:rPr>
                  <m:sty m:val="p"/>
                </m:rPr>
                <m:t>max</m:t>
              </m:r>
            </m:e>
            <m:lim>
              <m:sSub>
                <m:e>
                  <m:r>
                    <m:t>x</m:t>
                  </m:r>
                </m:e>
                <m:sub>
                  <m:r>
                    <m:t>1</m:t>
                  </m:r>
                </m:sub>
              </m:sSub>
              <m:r>
                <m:rPr>
                  <m:sty m:val="p"/>
                </m:rPr>
                <m:t>,</m:t>
              </m:r>
              <m:sSub>
                <m:e>
                  <m:r>
                    <m:t>x</m:t>
                  </m:r>
                </m:e>
                <m:sub>
                  <m:r>
                    <m:t>2</m:t>
                  </m:r>
                </m:sub>
              </m:sSub>
            </m:lim>
          </m:limLow>
          <m:r>
            <m:t> </m:t>
          </m:r>
          <m:sSubSup>
            <m:e>
              <m:r>
                <m:t>x</m:t>
              </m:r>
            </m:e>
            <m:sub>
              <m:r>
                <m:t>1</m:t>
              </m:r>
            </m:sub>
            <m:sup>
              <m:r>
                <m:t>a</m:t>
              </m:r>
            </m:sup>
          </m:sSubSup>
          <m:sSubSup>
            <m:e>
              <m:r>
                <m:t>x</m:t>
              </m:r>
            </m:e>
            <m:sub>
              <m:r>
                <m:t>2</m:t>
              </m:r>
            </m:sub>
            <m:sup>
              <m:r>
                <m:t>b</m:t>
              </m:r>
            </m:sup>
          </m:sSubSup>
          <m:r>
            <m:t> </m:t>
          </m:r>
          <m:r>
            <m:rPr>
              <m:nor/>
              <m:sty m:val="p"/>
            </m:rPr>
            <m:t>s.a.</m:t>
          </m:r>
          <m:r>
            <m:t> </m:t>
          </m:r>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oMath>
      </m:oMathPara>
    </w:p>
    <w:p>
      <w:pPr>
        <w:pStyle w:val="FirstParagraph"/>
      </w:pPr>
      <w:r>
        <w:t xml:space="preserve">O Lagrangeano é:</w:t>
      </w:r>
    </w:p>
    <w:p>
      <w:pPr>
        <w:pStyle w:val="BodyText"/>
      </w:pPr>
      <m:oMathPara>
        <m:oMathParaPr>
          <m:jc m:val="center"/>
        </m:oMathParaPr>
        <m:oMath>
          <m:r>
            <m:rPr>
              <m:scr m:val="script"/>
              <m:sty m:val="p"/>
            </m:rPr>
            <m:t>L</m:t>
          </m:r>
          <m:r>
            <m:rPr>
              <m:sty m:val="p"/>
            </m:rPr>
            <m:t>=</m:t>
          </m:r>
          <m:sSubSup>
            <m:e>
              <m:r>
                <m:t>x</m:t>
              </m:r>
            </m:e>
            <m:sub>
              <m:r>
                <m:t>1</m:t>
              </m:r>
            </m:sub>
            <m:sup>
              <m:r>
                <m:t>a</m:t>
              </m:r>
            </m:sup>
          </m:sSubSup>
          <m:sSubSup>
            <m:e>
              <m:r>
                <m:t>x</m:t>
              </m:r>
            </m:e>
            <m:sub>
              <m:r>
                <m:t>2</m:t>
              </m:r>
            </m:sub>
            <m:sup>
              <m:r>
                <m:t>b</m:t>
              </m:r>
            </m:sup>
          </m:sSubSup>
          <m:r>
            <m:rPr>
              <m:sty m:val="p"/>
            </m:rPr>
            <m:t>+</m:t>
          </m:r>
          <m:r>
            <m:t>λ</m:t>
          </m:r>
          <m:r>
            <m:rPr>
              <m:sty m:val="p"/>
            </m:rPr>
            <m:t>(</m:t>
          </m:r>
          <m:r>
            <m:t>I</m:t>
          </m:r>
          <m:r>
            <m:rPr>
              <m:sty m:val="p"/>
            </m:rPr>
            <m:t>−</m:t>
          </m:r>
          <m:sSub>
            <m:e>
              <m:r>
                <m:t>p</m:t>
              </m:r>
            </m:e>
            <m:sub>
              <m:r>
                <m:t>1</m:t>
              </m:r>
            </m:sub>
          </m:sSub>
          <m:sSub>
            <m:e>
              <m:r>
                <m:t>x</m:t>
              </m:r>
            </m:e>
            <m:sub>
              <m:r>
                <m:t>1</m:t>
              </m:r>
            </m:sub>
          </m:sSub>
          <m:r>
            <m:rPr>
              <m:sty m:val="p"/>
            </m:rPr>
            <m:t>−</m:t>
          </m:r>
          <m:sSub>
            <m:e>
              <m:r>
                <m:t>p</m:t>
              </m:r>
            </m:e>
            <m:sub>
              <m:r>
                <m:t>2</m:t>
              </m:r>
            </m:sub>
          </m:sSub>
          <m:sSub>
            <m:e>
              <m:r>
                <m:t>x</m:t>
              </m:r>
            </m:e>
            <m:sub>
              <m:r>
                <m:t>2</m:t>
              </m:r>
            </m:sub>
          </m:sSub>
          <m:r>
            <m:rPr>
              <m:sty m:val="p"/>
            </m:rPr>
            <m:t>)</m:t>
          </m:r>
        </m:oMath>
      </m:oMathPara>
    </w:p>
    <w:p>
      <w:pPr>
        <w:pStyle w:val="FirstParagraph"/>
      </w:pPr>
      <w:r>
        <w:t xml:space="preserve">Condições de primeira ordem (CPOs):</w:t>
      </w:r>
    </w:p>
    <w:p>
      <w:pPr>
        <w:pStyle w:val="BodyText"/>
      </w:pPr>
      <m:oMathPara>
        <m:oMathParaPr>
          <m:jc m:val="center"/>
        </m:oMathParaPr>
        <m:oMath>
          <m:f>
            <m:fPr>
              <m:type m:val="bar"/>
            </m:fPr>
            <m:num>
              <m:r>
                <m:rPr>
                  <m:sty m:val="p"/>
                </m:rPr>
                <m:t>∂</m:t>
              </m:r>
              <m:r>
                <m:rPr>
                  <m:scr m:val="script"/>
                  <m:sty m:val="p"/>
                </m:rPr>
                <m:t>L</m:t>
              </m:r>
            </m:num>
            <m:den>
              <m:r>
                <m:rPr>
                  <m:sty m:val="p"/>
                </m:rPr>
                <m:t>∂</m:t>
              </m:r>
              <m:sSub>
                <m:e>
                  <m:r>
                    <m:t>x</m:t>
                  </m:r>
                </m:e>
                <m:sub>
                  <m:r>
                    <m:t>1</m:t>
                  </m:r>
                </m:sub>
              </m:sSub>
            </m:den>
          </m:f>
          <m:r>
            <m:rPr>
              <m:sty m:val="p"/>
            </m:rPr>
            <m:t>=</m:t>
          </m:r>
          <m:r>
            <m:t>a</m:t>
          </m:r>
          <m:sSubSup>
            <m:e>
              <m:r>
                <m:t>x</m:t>
              </m:r>
            </m:e>
            <m:sub>
              <m:r>
                <m:t>1</m:t>
              </m:r>
            </m:sub>
            <m:sup>
              <m:r>
                <m:t>a</m:t>
              </m:r>
              <m:r>
                <m:rPr>
                  <m:sty m:val="p"/>
                </m:rPr>
                <m:t>−</m:t>
              </m:r>
              <m:r>
                <m:t>1</m:t>
              </m:r>
            </m:sup>
          </m:sSubSup>
          <m:sSubSup>
            <m:e>
              <m:r>
                <m:t>x</m:t>
              </m:r>
            </m:e>
            <m:sub>
              <m:r>
                <m:t>2</m:t>
              </m:r>
            </m:sub>
            <m:sup>
              <m:r>
                <m:t>b</m:t>
              </m:r>
            </m:sup>
          </m:sSubSup>
          <m:r>
            <m:rPr>
              <m:sty m:val="p"/>
            </m:rPr>
            <m:t>−</m:t>
          </m:r>
          <m:r>
            <m:t>λ</m:t>
          </m:r>
          <m:sSub>
            <m:e>
              <m:r>
                <m:t>p</m:t>
              </m:r>
            </m:e>
            <m:sub>
              <m:r>
                <m:t>1</m:t>
              </m:r>
            </m:sub>
          </m:sSub>
          <m:r>
            <m:rPr>
              <m:sty m:val="p"/>
            </m:rPr>
            <m:t>=</m:t>
          </m:r>
          <m:r>
            <m:t>0</m:t>
          </m:r>
        </m:oMath>
      </m:oMathPara>
    </w:p>
    <w:p>
      <w:pPr>
        <w:pStyle w:val="FirstParagraph"/>
      </w:pPr>
      <m:oMathPara>
        <m:oMathParaPr>
          <m:jc m:val="center"/>
        </m:oMathParaPr>
        <m:oMath>
          <m:f>
            <m:fPr>
              <m:type m:val="bar"/>
            </m:fPr>
            <m:num>
              <m:r>
                <m:rPr>
                  <m:sty m:val="p"/>
                </m:rPr>
                <m:t>∂</m:t>
              </m:r>
              <m:r>
                <m:rPr>
                  <m:scr m:val="script"/>
                  <m:sty m:val="p"/>
                </m:rPr>
                <m:t>L</m:t>
              </m:r>
            </m:num>
            <m:den>
              <m:r>
                <m:rPr>
                  <m:sty m:val="p"/>
                </m:rPr>
                <m:t>∂</m:t>
              </m:r>
              <m:sSub>
                <m:e>
                  <m:r>
                    <m:t>x</m:t>
                  </m:r>
                </m:e>
                <m:sub>
                  <m:r>
                    <m:t>2</m:t>
                  </m:r>
                </m:sub>
              </m:sSub>
            </m:den>
          </m:f>
          <m:r>
            <m:rPr>
              <m:sty m:val="p"/>
            </m:rPr>
            <m:t>=</m:t>
          </m:r>
          <m:r>
            <m:t>b</m:t>
          </m:r>
          <m:sSubSup>
            <m:e>
              <m:r>
                <m:t>x</m:t>
              </m:r>
            </m:e>
            <m:sub>
              <m:r>
                <m:t>1</m:t>
              </m:r>
            </m:sub>
            <m:sup>
              <m:r>
                <m:t>a</m:t>
              </m:r>
            </m:sup>
          </m:sSubSup>
          <m:sSubSup>
            <m:e>
              <m:r>
                <m:t>x</m:t>
              </m:r>
            </m:e>
            <m:sub>
              <m:r>
                <m:t>2</m:t>
              </m:r>
            </m:sub>
            <m:sup>
              <m:r>
                <m:t>b</m:t>
              </m:r>
              <m:r>
                <m:rPr>
                  <m:sty m:val="p"/>
                </m:rPr>
                <m:t>−</m:t>
              </m:r>
              <m:r>
                <m:t>1</m:t>
              </m:r>
            </m:sup>
          </m:sSubSup>
          <m:r>
            <m:rPr>
              <m:sty m:val="p"/>
            </m:rPr>
            <m:t>−</m:t>
          </m:r>
          <m:r>
            <m:t>λ</m:t>
          </m:r>
          <m:sSub>
            <m:e>
              <m:r>
                <m:t>p</m:t>
              </m:r>
            </m:e>
            <m:sub>
              <m:r>
                <m:t>2</m:t>
              </m:r>
            </m:sub>
          </m:sSub>
          <m:r>
            <m:rPr>
              <m:sty m:val="p"/>
            </m:rPr>
            <m:t>=</m:t>
          </m:r>
          <m:r>
            <m:t>0</m:t>
          </m:r>
        </m:oMath>
      </m:oMathPara>
    </w:p>
    <w:p>
      <w:pPr>
        <w:pStyle w:val="FirstParagraph"/>
      </w:pPr>
      <w:r>
        <w:t xml:space="preserve">Dividindo a primeira CPO pela segunda, eliminamos</w:t>
      </w:r>
      <w:r>
        <w:t xml:space="preserve"> </w:t>
      </w:r>
      <m:oMath>
        <m:r>
          <m:t>λ</m:t>
        </m:r>
      </m:oMath>
      <w:r>
        <w:t xml:space="preserve">:</w:t>
      </w:r>
    </w:p>
    <w:p>
      <w:pPr>
        <w:pStyle w:val="BodyText"/>
      </w:pPr>
      <m:oMathPara>
        <m:oMathParaPr>
          <m:jc m:val="center"/>
        </m:oMathParaPr>
        <m:oMath>
          <m:f>
            <m:fPr>
              <m:type m:val="bar"/>
            </m:fPr>
            <m:num>
              <m:r>
                <m:t>a</m:t>
              </m:r>
              <m:sSub>
                <m:e>
                  <m:r>
                    <m:t>x</m:t>
                  </m:r>
                </m:e>
                <m:sub>
                  <m:r>
                    <m:t>2</m:t>
                  </m:r>
                </m:sub>
              </m:sSub>
            </m:num>
            <m:den>
              <m:r>
                <m:t>b</m:t>
              </m:r>
              <m:sSub>
                <m:e>
                  <m:r>
                    <m:t>x</m:t>
                  </m:r>
                </m:e>
                <m:sub>
                  <m:r>
                    <m:t>1</m:t>
                  </m:r>
                </m:sub>
              </m:sSub>
            </m:den>
          </m:f>
          <m:r>
            <m:rPr>
              <m:sty m:val="p"/>
            </m:rPr>
            <m:t>=</m:t>
          </m:r>
          <m:f>
            <m:fPr>
              <m:type m:val="bar"/>
            </m:fPr>
            <m:num>
              <m:sSub>
                <m:e>
                  <m:r>
                    <m:t>p</m:t>
                  </m:r>
                </m:e>
                <m:sub>
                  <m:r>
                    <m:t>1</m:t>
                  </m:r>
                </m:sub>
              </m:sSub>
            </m:num>
            <m:den>
              <m:sSub>
                <m:e>
                  <m:r>
                    <m:t>p</m:t>
                  </m:r>
                </m:e>
                <m:sub>
                  <m:r>
                    <m:t>2</m:t>
                  </m:r>
                </m:sub>
              </m:sSub>
            </m:den>
          </m:f>
          <m:r>
            <m:t> </m:t>
          </m:r>
          <m:r>
            <m:rPr>
              <m:sty m:val="p"/>
            </m:rPr>
            <m:t>⇒</m:t>
          </m:r>
          <m:r>
            <m:t> </m:t>
          </m:r>
          <m:sSub>
            <m:e>
              <m:r>
                <m:t>x</m:t>
              </m:r>
            </m:e>
            <m:sub>
              <m:r>
                <m:t>2</m:t>
              </m:r>
            </m:sub>
          </m:sSub>
          <m:r>
            <m:rPr>
              <m:sty m:val="p"/>
            </m:rPr>
            <m:t>=</m:t>
          </m:r>
          <m:f>
            <m:fPr>
              <m:type m:val="bar"/>
            </m:fPr>
            <m:num>
              <m:r>
                <m:t>b</m:t>
              </m:r>
              <m:r>
                <m:t> </m:t>
              </m:r>
              <m:sSub>
                <m:e>
                  <m:r>
                    <m:t>p</m:t>
                  </m:r>
                </m:e>
                <m:sub>
                  <m:r>
                    <m:t>1</m:t>
                  </m:r>
                </m:sub>
              </m:sSub>
            </m:num>
            <m:den>
              <m:r>
                <m:t>a</m:t>
              </m:r>
              <m:r>
                <m:t> </m:t>
              </m:r>
              <m:sSub>
                <m:e>
                  <m:r>
                    <m:t>p</m:t>
                  </m:r>
                </m:e>
                <m:sub>
                  <m:r>
                    <m:t>2</m:t>
                  </m:r>
                </m:sub>
              </m:sSub>
            </m:den>
          </m:f>
          <m:r>
            <m:t> </m:t>
          </m:r>
          <m:sSub>
            <m:e>
              <m:r>
                <m:t>x</m:t>
              </m:r>
            </m:e>
            <m:sub>
              <m:r>
                <m:t>1</m:t>
              </m:r>
            </m:sub>
          </m:sSub>
        </m:oMath>
      </m:oMathPara>
    </w:p>
    <w:p>
      <w:pPr>
        <w:pStyle w:val="FirstParagraph"/>
      </w:pPr>
      <w:r>
        <w:t xml:space="preserve">Substituindo na restrição orçamentária:</w:t>
      </w:r>
    </w:p>
    <w:p>
      <w:pPr>
        <w:pStyle w:val="BodyText"/>
      </w:pPr>
      <m:oMathPara>
        <m:oMathParaPr>
          <m:jc m:val="center"/>
        </m:oMathParaPr>
        <m:oMath>
          <m:sSub>
            <m:e>
              <m:r>
                <m:t>p</m:t>
              </m:r>
            </m:e>
            <m:sub>
              <m:r>
                <m:t>1</m:t>
              </m:r>
            </m:sub>
          </m:sSub>
          <m:sSub>
            <m:e>
              <m:r>
                <m:t>x</m:t>
              </m:r>
            </m:e>
            <m:sub>
              <m:r>
                <m:t>1</m:t>
              </m:r>
            </m:sub>
          </m:sSub>
          <m:r>
            <m:rPr>
              <m:sty m:val="p"/>
            </m:rPr>
            <m:t>+</m:t>
          </m:r>
          <m:sSub>
            <m:e>
              <m:r>
                <m:t>p</m:t>
              </m:r>
            </m:e>
            <m:sub>
              <m:r>
                <m:t>2</m:t>
              </m:r>
            </m:sub>
          </m:sSub>
          <m:r>
            <m:rPr>
              <m:sty m:val="p"/>
            </m:rPr>
            <m:t>⋅</m:t>
          </m:r>
          <m:f>
            <m:fPr>
              <m:type m:val="bar"/>
            </m:fPr>
            <m:num>
              <m:r>
                <m:t>b</m:t>
              </m:r>
              <m:r>
                <m:t> </m:t>
              </m:r>
              <m:sSub>
                <m:e>
                  <m:r>
                    <m:t>p</m:t>
                  </m:r>
                </m:e>
                <m:sub>
                  <m:r>
                    <m:t>1</m:t>
                  </m:r>
                </m:sub>
              </m:sSub>
            </m:num>
            <m:den>
              <m:r>
                <m:t>a</m:t>
              </m:r>
              <m:r>
                <m:t> </m:t>
              </m:r>
              <m:sSub>
                <m:e>
                  <m:r>
                    <m:t>p</m:t>
                  </m:r>
                </m:e>
                <m:sub>
                  <m:r>
                    <m:t>2</m:t>
                  </m:r>
                </m:sub>
              </m:sSub>
            </m:den>
          </m:f>
          <m:r>
            <m:t> </m:t>
          </m:r>
          <m:sSub>
            <m:e>
              <m:r>
                <m:t>x</m:t>
              </m:r>
            </m:e>
            <m:sub>
              <m:r>
                <m:t>1</m:t>
              </m:r>
            </m:sub>
          </m:sSub>
          <m:r>
            <m:rPr>
              <m:sty m:val="p"/>
            </m:rPr>
            <m:t>=</m:t>
          </m:r>
          <m:r>
            <m:t>I</m:t>
          </m:r>
          <m:r>
            <m:t> </m:t>
          </m:r>
          <m:r>
            <m:rPr>
              <m:sty m:val="p"/>
            </m:rPr>
            <m:t>⇒</m:t>
          </m:r>
          <m:r>
            <m:t> </m:t>
          </m:r>
          <m:sSub>
            <m:e>
              <m:r>
                <m:t>p</m:t>
              </m:r>
            </m:e>
            <m:sub>
              <m:r>
                <m:t>1</m:t>
              </m:r>
            </m:sub>
          </m:sSub>
          <m:sSub>
            <m:e>
              <m:r>
                <m:t>x</m:t>
              </m:r>
            </m:e>
            <m:sub>
              <m:r>
                <m:t>1</m:t>
              </m:r>
            </m:sub>
          </m:sSub>
          <m:d>
            <m:dPr>
              <m:begChr m:val="("/>
              <m:sepChr m:val=""/>
              <m:endChr m:val=")"/>
              <m:grow/>
            </m:dPr>
            <m:e>
              <m:r>
                <m:t>1</m:t>
              </m:r>
              <m:r>
                <m:rPr>
                  <m:sty m:val="p"/>
                </m:rPr>
                <m:t>+</m:t>
              </m:r>
              <m:f>
                <m:fPr>
                  <m:type m:val="bar"/>
                </m:fPr>
                <m:num>
                  <m:r>
                    <m:t>b</m:t>
                  </m:r>
                </m:num>
                <m:den>
                  <m:r>
                    <m:t>a</m:t>
                  </m:r>
                </m:den>
              </m:f>
            </m:e>
          </m:d>
          <m:r>
            <m:rPr>
              <m:sty m:val="p"/>
            </m:rPr>
            <m:t>=</m:t>
          </m:r>
          <m:r>
            <m:t>I</m:t>
          </m:r>
          <m:r>
            <m:t> </m:t>
          </m:r>
          <m:r>
            <m:rPr>
              <m:sty m:val="p"/>
            </m:rPr>
            <m:t>⇒</m:t>
          </m:r>
          <m:r>
            <m:t> </m:t>
          </m:r>
          <m:sSub>
            <m:e>
              <m:r>
                <m:t>p</m:t>
              </m:r>
            </m:e>
            <m:sub>
              <m:r>
                <m:t>1</m:t>
              </m:r>
            </m:sub>
          </m:sSub>
          <m:sSub>
            <m:e>
              <m:r>
                <m:t>x</m:t>
              </m:r>
            </m:e>
            <m:sub>
              <m:r>
                <m:t>1</m:t>
              </m:r>
            </m:sub>
          </m:sSub>
          <m:r>
            <m:rPr>
              <m:sty m:val="p"/>
            </m:rPr>
            <m:t>⋅</m:t>
          </m:r>
          <m:f>
            <m:fPr>
              <m:type m:val="bar"/>
            </m:fPr>
            <m:num>
              <m:r>
                <m:t>a</m:t>
              </m:r>
              <m:r>
                <m:rPr>
                  <m:sty m:val="p"/>
                </m:rPr>
                <m:t>+</m:t>
              </m:r>
              <m:r>
                <m:t>b</m:t>
              </m:r>
            </m:num>
            <m:den>
              <m:r>
                <m:t>a</m:t>
              </m:r>
            </m:den>
          </m:f>
          <m:r>
            <m:rPr>
              <m:sty m:val="p"/>
            </m:rPr>
            <m:t>=</m:t>
          </m:r>
          <m:r>
            <m:t>I</m:t>
          </m:r>
        </m:oMath>
      </m:oMathPara>
    </w:p>
    <w:p>
      <w:pPr>
        <w:pStyle w:val="FirstParagraph"/>
      </w:pPr>
      <w:r>
        <w:t xml:space="preserve">Portanto, as</w:t>
      </w:r>
      <w:r>
        <w:t xml:space="preserve"> </w:t>
      </w:r>
      <w:r>
        <w:rPr>
          <w:b/>
          <w:bCs/>
        </w:rPr>
        <w:t xml:space="preserve">demandas marshallianas</w:t>
      </w:r>
      <w:r>
        <w:t xml:space="preserve"> </w:t>
      </w:r>
      <w:r>
        <w:t xml:space="preserve">são:</w:t>
      </w:r>
    </w:p>
    <w:p>
      <w:pPr>
        <w:pStyle w:val="BodyText"/>
      </w:pPr>
      <m:oMathPara>
        <m:oMathParaPr>
          <m:jc m:val="center"/>
        </m:oMathParaPr>
        <m:oMath>
          <m:borderBox>
            <m:e>
              <m:sSubSup>
                <m:e>
                  <m:r>
                    <m:t>x</m:t>
                  </m:r>
                </m:e>
                <m:sub>
                  <m:r>
                    <m:t>1</m:t>
                  </m:r>
                </m:sub>
                <m:sup>
                  <m:r>
                    <m:rPr>
                      <m:sty m:val="p"/>
                    </m:rPr>
                    <m:t>*</m:t>
                  </m:r>
                </m:sup>
              </m:sSubSup>
              <m:r>
                <m:rPr>
                  <m:sty m:val="p"/>
                </m:rPr>
                <m:t>=</m:t>
              </m:r>
              <m:f>
                <m:fPr>
                  <m:type m:val="bar"/>
                </m:fPr>
                <m:num>
                  <m:r>
                    <m:t>a</m:t>
                  </m:r>
                </m:num>
                <m:den>
                  <m:r>
                    <m:t>a</m:t>
                  </m:r>
                  <m:r>
                    <m:rPr>
                      <m:sty m:val="p"/>
                    </m:rPr>
                    <m:t>+</m:t>
                  </m:r>
                  <m:r>
                    <m:t>b</m:t>
                  </m:r>
                </m:den>
              </m:f>
              <m:r>
                <m:t> </m:t>
              </m:r>
              <m:f>
                <m:fPr>
                  <m:type m:val="bar"/>
                </m:fPr>
                <m:num>
                  <m:r>
                    <m:t>I</m:t>
                  </m:r>
                </m:num>
                <m:den>
                  <m:sSub>
                    <m:e>
                      <m:r>
                        <m:t>p</m:t>
                      </m:r>
                    </m:e>
                    <m:sub>
                      <m:r>
                        <m:t>1</m:t>
                      </m:r>
                    </m:sub>
                  </m:sSub>
                </m:den>
              </m:f>
              <m:r>
                <m:rPr>
                  <m:sty m:val="p"/>
                </m:rPr>
                <m:t>,</m:t>
              </m:r>
              <m:r>
                <m:t>  </m:t>
              </m:r>
              <m:sSubSup>
                <m:e>
                  <m:r>
                    <m:t>x</m:t>
                  </m:r>
                </m:e>
                <m:sub>
                  <m:r>
                    <m:t>2</m:t>
                  </m:r>
                </m:sub>
                <m:sup>
                  <m:r>
                    <m:rPr>
                      <m:sty m:val="p"/>
                    </m:rPr>
                    <m:t>*</m:t>
                  </m:r>
                </m:sup>
              </m:sSubSup>
              <m:r>
                <m:rPr>
                  <m:sty m:val="p"/>
                </m:rPr>
                <m:t>=</m:t>
              </m:r>
              <m:f>
                <m:fPr>
                  <m:type m:val="bar"/>
                </m:fPr>
                <m:num>
                  <m:r>
                    <m:t>b</m:t>
                  </m:r>
                </m:num>
                <m:den>
                  <m:r>
                    <m:t>a</m:t>
                  </m:r>
                  <m:r>
                    <m:rPr>
                      <m:sty m:val="p"/>
                    </m:rPr>
                    <m:t>+</m:t>
                  </m:r>
                  <m:r>
                    <m:t>b</m:t>
                  </m:r>
                </m:den>
              </m:f>
              <m:r>
                <m:t> </m:t>
              </m:r>
              <m:f>
                <m:fPr>
                  <m:type m:val="bar"/>
                </m:fPr>
                <m:num>
                  <m:r>
                    <m:t>I</m:t>
                  </m:r>
                </m:num>
                <m:den>
                  <m:sSub>
                    <m:e>
                      <m:r>
                        <m:t>p</m:t>
                      </m:r>
                    </m:e>
                    <m:sub>
                      <m:r>
                        <m:t>2</m:t>
                      </m:r>
                    </m:sub>
                  </m:sSub>
                </m:den>
              </m:f>
            </m:e>
          </m:borderBox>
        </m:oMath>
      </m:oMathPara>
    </w:p>
    <w:p>
      <w:pPr>
        <w:pStyle w:val="FirstParagraph"/>
      </w:pPr>
      <w:r>
        <w:t xml:space="preserve">O consumidor gasta a fração</w:t>
      </w:r>
      <w:r>
        <w:t xml:space="preserve"> </w:t>
      </w:r>
      <m:oMath>
        <m:r>
          <m:t>a</m:t>
        </m:r>
        <m:r>
          <m:rPr>
            <m:sty m:val="p"/>
          </m:rPr>
          <m:t>/</m:t>
        </m:r>
        <m:r>
          <m:rPr>
            <m:sty m:val="p"/>
          </m:rPr>
          <m:t>(</m:t>
        </m:r>
        <m:r>
          <m:t>a</m:t>
        </m:r>
        <m:r>
          <m:rPr>
            <m:sty m:val="p"/>
          </m:rPr>
          <m:t>+</m:t>
        </m:r>
        <m:r>
          <m:t>b</m:t>
        </m:r>
        <m:r>
          <m:rPr>
            <m:sty m:val="p"/>
          </m:rPr>
          <m:t>)</m:t>
        </m:r>
      </m:oMath>
      <w:r>
        <w:t xml:space="preserve"> </w:t>
      </w:r>
      <w:r>
        <w:t xml:space="preserve">da renda no bem 1 e</w:t>
      </w:r>
      <w:r>
        <w:t xml:space="preserve"> </w:t>
      </w:r>
      <m:oMath>
        <m:r>
          <m:t>b</m:t>
        </m:r>
        <m:r>
          <m:rPr>
            <m:sty m:val="p"/>
          </m:rPr>
          <m:t>/</m:t>
        </m:r>
        <m:r>
          <m:rPr>
            <m:sty m:val="p"/>
          </m:rPr>
          <m:t>(</m:t>
        </m:r>
        <m:r>
          <m:t>a</m:t>
        </m:r>
        <m:r>
          <m:rPr>
            <m:sty m:val="p"/>
          </m:rPr>
          <m:t>+</m:t>
        </m:r>
        <m:r>
          <m:t>b</m:t>
        </m:r>
        <m:r>
          <m:rPr>
            <m:sty m:val="p"/>
          </m:rPr>
          <m:t>)</m:t>
        </m:r>
      </m:oMath>
      <w:r>
        <w:t xml:space="preserve"> </w:t>
      </w:r>
      <w:r>
        <w:t xml:space="preserve">no bem 2. Quando</w:t>
      </w:r>
      <w:r>
        <w:t xml:space="preserve"> </w:t>
      </w:r>
      <m:oMath>
        <m:r>
          <m:t>a</m:t>
        </m:r>
        <m:r>
          <m:rPr>
            <m:sty m:val="p"/>
          </m:rPr>
          <m:t>+</m:t>
        </m:r>
        <m:r>
          <m:t>b</m:t>
        </m:r>
        <m:r>
          <m:rPr>
            <m:sty m:val="p"/>
          </m:rPr>
          <m:t>=</m:t>
        </m:r>
        <m:r>
          <m:t>1</m:t>
        </m:r>
      </m:oMath>
      <w:r>
        <w:t xml:space="preserve">, as frações coincidem com os expoentes. Essa propriedade — participações fixas de gasto independentes dos preços — é uma das razões pela qual a Cobb-Douglas é tão amplamente usada em modelos empíricos: ela é consistente com a observação de que, em longos períodos, as participações de grandes categorias de consumo (alimentos, habitação, transporte) na renda total mostram estabilidade razoável.</w:t>
      </w:r>
    </w:p>
    <w:p>
      <w:pPr>
        <w:pStyle w:val="BodyText"/>
      </w:pPr>
      <w:r>
        <w:rPr>
          <w:b/>
          <w:bCs/>
        </w:rPr>
        <w:t xml:space="preserve">Utilidade indireta.</w:t>
      </w:r>
      <w:r>
        <w:t xml:space="preserve"> </w:t>
      </w:r>
      <w:r>
        <w:t xml:space="preserve">Substituindo as demandas na função utilidade:</w:t>
      </w:r>
    </w:p>
    <w:p>
      <w:pPr>
        <w:pStyle w:val="BodyText"/>
      </w:pPr>
      <m:oMathPara>
        <m:oMathParaPr>
          <m:jc m:val="center"/>
        </m:oMathParaPr>
        <m:oMath>
          <m:r>
            <m:t>V</m:t>
          </m:r>
          <m:r>
            <m:rPr>
              <m:sty m:val="p"/>
            </m:rPr>
            <m:t>(</m:t>
          </m:r>
          <m:sSub>
            <m:e>
              <m:r>
                <m:t>p</m:t>
              </m:r>
            </m:e>
            <m:sub>
              <m:r>
                <m:t>1</m:t>
              </m:r>
            </m:sub>
          </m:sSub>
          <m:r>
            <m:rPr>
              <m:sty m:val="p"/>
            </m:rPr>
            <m:t>,</m:t>
          </m:r>
          <m:sSub>
            <m:e>
              <m:r>
                <m:t>p</m:t>
              </m:r>
            </m:e>
            <m:sub>
              <m:r>
                <m:t>2</m:t>
              </m:r>
            </m:sub>
          </m:sSub>
          <m:r>
            <m:rPr>
              <m:sty m:val="p"/>
            </m:rPr>
            <m:t>,</m:t>
          </m:r>
          <m:r>
            <m:t>I</m:t>
          </m:r>
          <m:r>
            <m:rPr>
              <m:sty m:val="p"/>
            </m:rPr>
            <m:t>)</m:t>
          </m:r>
          <m:r>
            <m:rPr>
              <m:sty m:val="p"/>
            </m:rPr>
            <m:t>=</m:t>
          </m:r>
          <m:sSup>
            <m:e>
              <m:d>
                <m:dPr>
                  <m:begChr m:val="("/>
                  <m:sepChr m:val=""/>
                  <m:endChr m:val=")"/>
                  <m:grow/>
                </m:dPr>
                <m:e>
                  <m:f>
                    <m:fPr>
                      <m:type m:val="bar"/>
                    </m:fPr>
                    <m:num>
                      <m:r>
                        <m:t>a</m:t>
                      </m:r>
                    </m:num>
                    <m:den>
                      <m:r>
                        <m:t>a</m:t>
                      </m:r>
                      <m:r>
                        <m:rPr>
                          <m:sty m:val="p"/>
                        </m:rPr>
                        <m:t>+</m:t>
                      </m:r>
                      <m:r>
                        <m:t>b</m:t>
                      </m:r>
                    </m:den>
                  </m:f>
                </m:e>
              </m:d>
            </m:e>
            <m:sup>
              <m:r>
                <m:t>a</m:t>
              </m:r>
            </m:sup>
          </m:sSup>
          <m:sSup>
            <m:e>
              <m:d>
                <m:dPr>
                  <m:begChr m:val="("/>
                  <m:sepChr m:val=""/>
                  <m:endChr m:val=")"/>
                  <m:grow/>
                </m:dPr>
                <m:e>
                  <m:f>
                    <m:fPr>
                      <m:type m:val="bar"/>
                    </m:fPr>
                    <m:num>
                      <m:r>
                        <m:t>b</m:t>
                      </m:r>
                    </m:num>
                    <m:den>
                      <m:r>
                        <m:t>a</m:t>
                      </m:r>
                      <m:r>
                        <m:rPr>
                          <m:sty m:val="p"/>
                        </m:rPr>
                        <m:t>+</m:t>
                      </m:r>
                      <m:r>
                        <m:t>b</m:t>
                      </m:r>
                    </m:den>
                  </m:f>
                </m:e>
              </m:d>
            </m:e>
            <m:sup>
              <m:r>
                <m:t>b</m:t>
              </m:r>
            </m:sup>
          </m:sSup>
          <m:f>
            <m:fPr>
              <m:type m:val="bar"/>
            </m:fPr>
            <m:num>
              <m:sSup>
                <m:e>
                  <m:r>
                    <m:t>I</m:t>
                  </m:r>
                </m:e>
                <m:sup>
                  <m:r>
                    <m:t>a</m:t>
                  </m:r>
                  <m:r>
                    <m:rPr>
                      <m:sty m:val="p"/>
                    </m:rPr>
                    <m:t>+</m:t>
                  </m:r>
                  <m:r>
                    <m:t>b</m:t>
                  </m:r>
                </m:sup>
              </m:sSup>
            </m:num>
            <m:den>
              <m:sSubSup>
                <m:e>
                  <m:r>
                    <m:t>p</m:t>
                  </m:r>
                </m:e>
                <m:sub>
                  <m:r>
                    <m:t>1</m:t>
                  </m:r>
                </m:sub>
                <m:sup>
                  <m:r>
                    <m:t>a</m:t>
                  </m:r>
                </m:sup>
              </m:sSubSup>
              <m:r>
                <m:t> </m:t>
              </m:r>
              <m:sSubSup>
                <m:e>
                  <m:r>
                    <m:t>p</m:t>
                  </m:r>
                </m:e>
                <m:sub>
                  <m:r>
                    <m:t>2</m:t>
                  </m:r>
                </m:sub>
                <m:sup>
                  <m:r>
                    <m:t>b</m:t>
                  </m:r>
                </m:sup>
              </m:sSubSup>
            </m:den>
          </m:f>
        </m:oMath>
      </m:oMathPara>
    </w:p>
    <w:p>
      <w:pPr>
        <w:pStyle w:val="FirstParagraph"/>
      </w:pPr>
      <w:r>
        <w:rPr>
          <w:b/>
          <w:bCs/>
        </w:rPr>
        <w:t xml:space="preserve">Demanda Hicksiana.</w:t>
      </w:r>
      <w:r>
        <w:t xml:space="preserve"> </w:t>
      </w:r>
      <w:r>
        <w:t xml:space="preserve">O consumidor resolve o dual:</w:t>
      </w:r>
    </w:p>
    <w:p>
      <w:pPr>
        <w:pStyle w:val="BodyText"/>
      </w:pPr>
      <m:oMathPara>
        <m:oMathParaPr>
          <m:jc m:val="center"/>
        </m:oMathParaPr>
        <m:oMath>
          <m:limLow>
            <m:e>
              <m:r>
                <m:rPr>
                  <m:sty m:val="p"/>
                </m:rPr>
                <m:t>min</m:t>
              </m:r>
            </m:e>
            <m:lim>
              <m:sSub>
                <m:e>
                  <m:r>
                    <m:t>x</m:t>
                  </m:r>
                </m:e>
                <m:sub>
                  <m:r>
                    <m:t>1</m:t>
                  </m:r>
                </m:sub>
              </m:sSub>
              <m:r>
                <m:rPr>
                  <m:sty m:val="p"/>
                </m:rPr>
                <m:t>,</m:t>
              </m:r>
              <m:sSub>
                <m:e>
                  <m:r>
                    <m:t>x</m:t>
                  </m:r>
                </m:e>
                <m:sub>
                  <m:r>
                    <m:t>2</m:t>
                  </m:r>
                </m:sub>
              </m:sSub>
            </m:lim>
          </m:limLow>
          <m:r>
            <m:t> </m:t>
          </m:r>
          <m:sSub>
            <m:e>
              <m:r>
                <m:t>p</m:t>
              </m:r>
            </m:e>
            <m:sub>
              <m:r>
                <m:t>1</m:t>
              </m:r>
            </m:sub>
          </m:sSub>
          <m:sSub>
            <m:e>
              <m:r>
                <m:t>x</m:t>
              </m:r>
            </m:e>
            <m:sub>
              <m:r>
                <m:t>1</m:t>
              </m:r>
            </m:sub>
          </m:sSub>
          <m:r>
            <m:rPr>
              <m:sty m:val="p"/>
            </m:rPr>
            <m:t>+</m:t>
          </m:r>
          <m:sSub>
            <m:e>
              <m:r>
                <m:t>p</m:t>
              </m:r>
            </m:e>
            <m:sub>
              <m:r>
                <m:t>2</m:t>
              </m:r>
            </m:sub>
          </m:sSub>
          <m:sSub>
            <m:e>
              <m:r>
                <m:t>x</m:t>
              </m:r>
            </m:e>
            <m:sub>
              <m:r>
                <m:t>2</m:t>
              </m:r>
            </m:sub>
          </m:sSub>
          <m:r>
            <m:t> </m:t>
          </m:r>
          <m:r>
            <m:rPr>
              <m:nor/>
              <m:sty m:val="p"/>
            </m:rPr>
            <m:t>s.a.</m:t>
          </m:r>
          <m:r>
            <m:t> </m:t>
          </m:r>
          <m:sSubSup>
            <m:e>
              <m:r>
                <m:t>x</m:t>
              </m:r>
            </m:e>
            <m:sub>
              <m:r>
                <m:t>1</m:t>
              </m:r>
            </m:sub>
            <m:sup>
              <m:r>
                <m:t>a</m:t>
              </m:r>
            </m:sup>
          </m:sSubSup>
          <m:sSubSup>
            <m:e>
              <m:r>
                <m:t>x</m:t>
              </m:r>
            </m:e>
            <m:sub>
              <m:r>
                <m:t>2</m:t>
              </m:r>
            </m:sub>
            <m:sup>
              <m:r>
                <m:t>b</m:t>
              </m:r>
            </m:sup>
          </m:sSubSup>
          <m:r>
            <m:rPr>
              <m:sty m:val="p"/>
            </m:rPr>
            <m:t>=</m:t>
          </m:r>
          <m:acc>
            <m:accPr>
              <m:chr m:val="‾"/>
            </m:accPr>
            <m:e>
              <m:r>
                <m:t>u</m:t>
              </m:r>
            </m:e>
          </m:acc>
        </m:oMath>
      </m:oMathPara>
    </w:p>
    <w:p>
      <w:pPr>
        <w:pStyle w:val="FirstParagraph"/>
      </w:pPr>
      <w:r>
        <w:t xml:space="preserve">O Lagrangeano é</w:t>
      </w:r>
      <w:r>
        <w:t xml:space="preserve"> </w:t>
      </w:r>
      <m:oMath>
        <m:r>
          <m:rPr>
            <m:scr m:val="script"/>
            <m:sty m:val="p"/>
          </m:rPr>
          <m:t>L</m:t>
        </m:r>
        <m:r>
          <m:rPr>
            <m:sty m:val="p"/>
          </m:rPr>
          <m:t>=</m:t>
        </m:r>
        <m:sSub>
          <m:e>
            <m:r>
              <m:t>p</m:t>
            </m:r>
          </m:e>
          <m:sub>
            <m:r>
              <m:t>1</m:t>
            </m:r>
          </m:sub>
        </m:sSub>
        <m:sSub>
          <m:e>
            <m:r>
              <m:t>x</m:t>
            </m:r>
          </m:e>
          <m:sub>
            <m:r>
              <m:t>1</m:t>
            </m:r>
          </m:sub>
        </m:sSub>
        <m:r>
          <m:rPr>
            <m:sty m:val="p"/>
          </m:rPr>
          <m:t>+</m:t>
        </m:r>
        <m:sSub>
          <m:e>
            <m:r>
              <m:t>p</m:t>
            </m:r>
          </m:e>
          <m:sub>
            <m:r>
              <m:t>2</m:t>
            </m:r>
          </m:sub>
        </m:sSub>
        <m:sSub>
          <m:e>
            <m:r>
              <m:t>x</m:t>
            </m:r>
          </m:e>
          <m:sub>
            <m:r>
              <m:t>2</m:t>
            </m:r>
          </m:sub>
        </m:sSub>
        <m:r>
          <m:rPr>
            <m:sty m:val="p"/>
          </m:rPr>
          <m:t>+</m:t>
        </m:r>
        <m:r>
          <m:t>λ</m:t>
        </m:r>
        <m:r>
          <m:rPr>
            <m:sty m:val="p"/>
          </m:rPr>
          <m:t>(</m:t>
        </m:r>
        <m:acc>
          <m:accPr>
            <m:chr m:val="‾"/>
          </m:accPr>
          <m:e>
            <m:r>
              <m:t>u</m:t>
            </m:r>
          </m:e>
        </m:acc>
        <m:r>
          <m:rPr>
            <m:sty m:val="p"/>
          </m:rPr>
          <m:t>−</m:t>
        </m:r>
        <m:sSubSup>
          <m:e>
            <m:r>
              <m:t>x</m:t>
            </m:r>
          </m:e>
          <m:sub>
            <m:r>
              <m:t>1</m:t>
            </m:r>
          </m:sub>
          <m:sup>
            <m:r>
              <m:t>a</m:t>
            </m:r>
          </m:sup>
        </m:sSubSup>
        <m:sSubSup>
          <m:e>
            <m:r>
              <m:t>x</m:t>
            </m:r>
          </m:e>
          <m:sub>
            <m:r>
              <m:t>2</m:t>
            </m:r>
          </m:sub>
          <m:sup>
            <m:r>
              <m:t>b</m:t>
            </m:r>
          </m:sup>
        </m:sSubSup>
        <m:r>
          <m:rPr>
            <m:sty m:val="p"/>
          </m:rPr>
          <m:t>)</m:t>
        </m:r>
      </m:oMath>
      <w:r>
        <w:t xml:space="preserve">. As CPOs fornecem a mesma condição de tangência</w:t>
      </w:r>
      <w:r>
        <w:t xml:space="preserve"> </w:t>
      </w:r>
      <m:oMath>
        <m:r>
          <m:t>a</m:t>
        </m:r>
        <m:sSub>
          <m:e>
            <m:r>
              <m:t>x</m:t>
            </m:r>
          </m:e>
          <m:sub>
            <m:r>
              <m:t>2</m:t>
            </m:r>
          </m:sub>
        </m:sSub>
        <m:r>
          <m:rPr>
            <m:sty m:val="p"/>
          </m:rPr>
          <m:t>/</m:t>
        </m:r>
        <m:r>
          <m:rPr>
            <m:sty m:val="p"/>
          </m:rPr>
          <m:t>(</m:t>
        </m:r>
        <m:r>
          <m:t>b</m:t>
        </m:r>
        <m:sSub>
          <m:e>
            <m:r>
              <m:t>x</m:t>
            </m:r>
          </m:e>
          <m:sub>
            <m:r>
              <m:t>1</m:t>
            </m:r>
          </m:sub>
        </m:sSub>
        <m:r>
          <m:rPr>
            <m:sty m:val="p"/>
          </m:rPr>
          <m:t>)</m:t>
        </m:r>
        <m:r>
          <m:rPr>
            <m:sty m:val="p"/>
          </m:rPr>
          <m:t>=</m:t>
        </m:r>
        <m:sSub>
          <m:e>
            <m:r>
              <m:t>p</m:t>
            </m:r>
          </m:e>
          <m:sub>
            <m:r>
              <m:t>1</m:t>
            </m:r>
          </m:sub>
        </m:sSub>
        <m:r>
          <m:rPr>
            <m:sty m:val="p"/>
          </m:rPr>
          <m:t>/</m:t>
        </m:r>
        <m:sSub>
          <m:e>
            <m:r>
              <m:t>p</m:t>
            </m:r>
          </m:e>
          <m:sub>
            <m:r>
              <m:t>2</m:t>
            </m:r>
          </m:sub>
        </m:sSub>
      </m:oMath>
      <w:r>
        <w:t xml:space="preserve">. Substituindo na restrição de utilidade:</w:t>
      </w:r>
    </w:p>
    <w:p>
      <w:pPr>
        <w:pStyle w:val="BodyText"/>
      </w:pPr>
      <m:oMathPara>
        <m:oMathParaPr>
          <m:jc m:val="center"/>
        </m:oMathParaPr>
        <m:oMath>
          <m:sSubSup>
            <m:e>
              <m:r>
                <m:t>x</m:t>
              </m:r>
            </m:e>
            <m:sub>
              <m:r>
                <m:t>1</m:t>
              </m:r>
            </m:sub>
            <m:sup>
              <m:r>
                <m:t>a</m:t>
              </m:r>
            </m:sup>
          </m:sSubSup>
          <m:sSup>
            <m:e>
              <m:d>
                <m:dPr>
                  <m:begChr m:val="("/>
                  <m:sepChr m:val=""/>
                  <m:endChr m:val=")"/>
                  <m:grow/>
                </m:dPr>
                <m:e>
                  <m:f>
                    <m:fPr>
                      <m:type m:val="bar"/>
                    </m:fPr>
                    <m:num>
                      <m:r>
                        <m:t>b</m:t>
                      </m:r>
                      <m:r>
                        <m:t> </m:t>
                      </m:r>
                      <m:sSub>
                        <m:e>
                          <m:r>
                            <m:t>p</m:t>
                          </m:r>
                        </m:e>
                        <m:sub>
                          <m:r>
                            <m:t>1</m:t>
                          </m:r>
                        </m:sub>
                      </m:sSub>
                    </m:num>
                    <m:den>
                      <m:r>
                        <m:t>a</m:t>
                      </m:r>
                      <m:r>
                        <m:t> </m:t>
                      </m:r>
                      <m:sSub>
                        <m:e>
                          <m:r>
                            <m:t>p</m:t>
                          </m:r>
                        </m:e>
                        <m:sub>
                          <m:r>
                            <m:t>2</m:t>
                          </m:r>
                        </m:sub>
                      </m:sSub>
                    </m:den>
                  </m:f>
                  <m:r>
                    <m:t> </m:t>
                  </m:r>
                  <m:sSub>
                    <m:e>
                      <m:r>
                        <m:t>x</m:t>
                      </m:r>
                    </m:e>
                    <m:sub>
                      <m:r>
                        <m:t>1</m:t>
                      </m:r>
                    </m:sub>
                  </m:sSub>
                </m:e>
              </m:d>
            </m:e>
            <m:sup>
              <m:r>
                <m:t>b</m:t>
              </m:r>
            </m:sup>
          </m:sSup>
          <m:r>
            <m:rPr>
              <m:sty m:val="p"/>
            </m:rPr>
            <m:t>=</m:t>
          </m:r>
          <m:acc>
            <m:accPr>
              <m:chr m:val="‾"/>
            </m:accPr>
            <m:e>
              <m:r>
                <m:t>u</m:t>
              </m:r>
            </m:e>
          </m:acc>
          <m:r>
            <m:t> </m:t>
          </m:r>
          <m:r>
            <m:rPr>
              <m:sty m:val="p"/>
            </m:rPr>
            <m:t>⇒</m:t>
          </m:r>
          <m:r>
            <m:t> </m:t>
          </m:r>
          <m:sSubSup>
            <m:e>
              <m:r>
                <m:t>x</m:t>
              </m:r>
            </m:e>
            <m:sub>
              <m:r>
                <m:t>1</m:t>
              </m:r>
            </m:sub>
            <m:sup>
              <m:r>
                <m:t>a</m:t>
              </m:r>
              <m:r>
                <m:rPr>
                  <m:sty m:val="p"/>
                </m:rPr>
                <m:t>+</m:t>
              </m:r>
              <m:r>
                <m:t>b</m:t>
              </m:r>
            </m:sup>
          </m:sSubSup>
          <m:sSup>
            <m:e>
              <m:d>
                <m:dPr>
                  <m:begChr m:val="("/>
                  <m:sepChr m:val=""/>
                  <m:endChr m:val=")"/>
                  <m:grow/>
                </m:dPr>
                <m:e>
                  <m:f>
                    <m:fPr>
                      <m:type m:val="bar"/>
                    </m:fPr>
                    <m:num>
                      <m:r>
                        <m:t>b</m:t>
                      </m:r>
                      <m:r>
                        <m:t> </m:t>
                      </m:r>
                      <m:sSub>
                        <m:e>
                          <m:r>
                            <m:t>p</m:t>
                          </m:r>
                        </m:e>
                        <m:sub>
                          <m:r>
                            <m:t>1</m:t>
                          </m:r>
                        </m:sub>
                      </m:sSub>
                    </m:num>
                    <m:den>
                      <m:r>
                        <m:t>a</m:t>
                      </m:r>
                      <m:r>
                        <m:t> </m:t>
                      </m:r>
                      <m:sSub>
                        <m:e>
                          <m:r>
                            <m:t>p</m:t>
                          </m:r>
                        </m:e>
                        <m:sub>
                          <m:r>
                            <m:t>2</m:t>
                          </m:r>
                        </m:sub>
                      </m:sSub>
                    </m:den>
                  </m:f>
                </m:e>
              </m:d>
            </m:e>
            <m:sup>
              <m:r>
                <m:t>b</m:t>
              </m:r>
            </m:sup>
          </m:sSup>
          <m:r>
            <m:rPr>
              <m:sty m:val="p"/>
            </m:rPr>
            <m:t>=</m:t>
          </m:r>
          <m:acc>
            <m:accPr>
              <m:chr m:val="‾"/>
            </m:accPr>
            <m:e>
              <m:r>
                <m:t>u</m:t>
              </m:r>
            </m:e>
          </m:acc>
        </m:oMath>
      </m:oMathPara>
    </w:p>
    <w:p>
      <w:pPr>
        <w:pStyle w:val="FirstParagraph"/>
      </w:pPr>
      <w:r>
        <w:t xml:space="preserve">Resolvendo para</w:t>
      </w:r>
      <w:r>
        <w:t xml:space="preserve"> </w:t>
      </w:r>
      <m:oMath>
        <m:sSub>
          <m:e>
            <m:r>
              <m:t>x</m:t>
            </m:r>
          </m:e>
          <m:sub>
            <m:r>
              <m:t>1</m:t>
            </m:r>
          </m:sub>
        </m:sSub>
      </m:oMath>
      <w:r>
        <w:t xml:space="preserve">:</w:t>
      </w:r>
    </w:p>
    <w:p>
      <w:pPr>
        <w:pStyle w:val="BodyText"/>
      </w:pPr>
      <m:oMathPara>
        <m:oMathParaPr>
          <m:jc m:val="center"/>
        </m:oMathParaPr>
        <m:oMath>
          <m:borderBox>
            <m:e>
              <m:sSub>
                <m:e>
                  <m:r>
                    <m:t>h</m:t>
                  </m:r>
                </m:e>
                <m:sub>
                  <m:r>
                    <m:t>1</m:t>
                  </m:r>
                </m:sub>
              </m:sSub>
              <m:r>
                <m:rPr>
                  <m:sty m:val="p"/>
                </m:rPr>
                <m:t>=</m:t>
              </m:r>
              <m:sSup>
                <m:e>
                  <m:acc>
                    <m:accPr>
                      <m:chr m:val="‾"/>
                    </m:accPr>
                    <m:e>
                      <m:r>
                        <m:t>u</m:t>
                      </m:r>
                    </m:e>
                  </m:acc>
                </m:e>
                <m:sup>
                  <m:r>
                    <m:t> </m:t>
                  </m:r>
                  <m:r>
                    <m:t>1</m:t>
                  </m:r>
                  <m:r>
                    <m:rPr>
                      <m:sty m:val="p"/>
                    </m:rPr>
                    <m:t>/</m:t>
                  </m:r>
                  <m:r>
                    <m:rPr>
                      <m:sty m:val="p"/>
                    </m:rPr>
                    <m:t>(</m:t>
                  </m:r>
                  <m:r>
                    <m:t>a</m:t>
                  </m:r>
                  <m:r>
                    <m:rPr>
                      <m:sty m:val="p"/>
                    </m:rPr>
                    <m:t>+</m:t>
                  </m:r>
                  <m:r>
                    <m:t>b</m:t>
                  </m:r>
                  <m:r>
                    <m:rPr>
                      <m:sty m:val="p"/>
                    </m:rPr>
                    <m:t>)</m:t>
                  </m:r>
                </m:sup>
              </m:sSup>
              <m:sSup>
                <m:e>
                  <m:d>
                    <m:dPr>
                      <m:begChr m:val="("/>
                      <m:sepChr m:val=""/>
                      <m:endChr m:val=")"/>
                      <m:grow/>
                    </m:dPr>
                    <m:e>
                      <m:f>
                        <m:fPr>
                          <m:type m:val="bar"/>
                        </m:fPr>
                        <m:num>
                          <m:r>
                            <m:t>a</m:t>
                          </m:r>
                          <m:r>
                            <m:t> </m:t>
                          </m:r>
                          <m:sSub>
                            <m:e>
                              <m:r>
                                <m:t>p</m:t>
                              </m:r>
                            </m:e>
                            <m:sub>
                              <m:r>
                                <m:t>2</m:t>
                              </m:r>
                            </m:sub>
                          </m:sSub>
                        </m:num>
                        <m:den>
                          <m:r>
                            <m:t>b</m:t>
                          </m:r>
                          <m:r>
                            <m:t> </m:t>
                          </m:r>
                          <m:sSub>
                            <m:e>
                              <m:r>
                                <m:t>p</m:t>
                              </m:r>
                            </m:e>
                            <m:sub>
                              <m:r>
                                <m:t>1</m:t>
                              </m:r>
                            </m:sub>
                          </m:sSub>
                        </m:den>
                      </m:f>
                    </m:e>
                  </m:d>
                </m:e>
                <m:sup>
                  <m:r>
                    <m:t>b</m:t>
                  </m:r>
                  <m:r>
                    <m:rPr>
                      <m:sty m:val="p"/>
                    </m:rPr>
                    <m:t>/</m:t>
                  </m:r>
                  <m:r>
                    <m:rPr>
                      <m:sty m:val="p"/>
                    </m:rPr>
                    <m:t>(</m:t>
                  </m:r>
                  <m:r>
                    <m:t>a</m:t>
                  </m:r>
                  <m:r>
                    <m:rPr>
                      <m:sty m:val="p"/>
                    </m:rPr>
                    <m:t>+</m:t>
                  </m:r>
                  <m:r>
                    <m:t>b</m:t>
                  </m:r>
                  <m:r>
                    <m:rPr>
                      <m:sty m:val="p"/>
                    </m:rPr>
                    <m:t>)</m:t>
                  </m:r>
                </m:sup>
              </m:sSup>
              <m:r>
                <m:rPr>
                  <m:sty m:val="p"/>
                </m:rPr>
                <m:t>,</m:t>
              </m:r>
              <m:r>
                <m:t>  </m:t>
              </m:r>
              <m:sSub>
                <m:e>
                  <m:r>
                    <m:t>h</m:t>
                  </m:r>
                </m:e>
                <m:sub>
                  <m:r>
                    <m:t>2</m:t>
                  </m:r>
                </m:sub>
              </m:sSub>
              <m:r>
                <m:rPr>
                  <m:sty m:val="p"/>
                </m:rPr>
                <m:t>=</m:t>
              </m:r>
              <m:sSup>
                <m:e>
                  <m:acc>
                    <m:accPr>
                      <m:chr m:val="‾"/>
                    </m:accPr>
                    <m:e>
                      <m:r>
                        <m:t>u</m:t>
                      </m:r>
                    </m:e>
                  </m:acc>
                </m:e>
                <m:sup>
                  <m:r>
                    <m:t> </m:t>
                  </m:r>
                  <m:r>
                    <m:t>1</m:t>
                  </m:r>
                  <m:r>
                    <m:rPr>
                      <m:sty m:val="p"/>
                    </m:rPr>
                    <m:t>/</m:t>
                  </m:r>
                  <m:r>
                    <m:rPr>
                      <m:sty m:val="p"/>
                    </m:rPr>
                    <m:t>(</m:t>
                  </m:r>
                  <m:r>
                    <m:t>a</m:t>
                  </m:r>
                  <m:r>
                    <m:rPr>
                      <m:sty m:val="p"/>
                    </m:rPr>
                    <m:t>+</m:t>
                  </m:r>
                  <m:r>
                    <m:t>b</m:t>
                  </m:r>
                  <m:r>
                    <m:rPr>
                      <m:sty m:val="p"/>
                    </m:rPr>
                    <m:t>)</m:t>
                  </m:r>
                </m:sup>
              </m:sSup>
              <m:sSup>
                <m:e>
                  <m:d>
                    <m:dPr>
                      <m:begChr m:val="("/>
                      <m:sepChr m:val=""/>
                      <m:endChr m:val=")"/>
                      <m:grow/>
                    </m:dPr>
                    <m:e>
                      <m:f>
                        <m:fPr>
                          <m:type m:val="bar"/>
                        </m:fPr>
                        <m:num>
                          <m:r>
                            <m:t>b</m:t>
                          </m:r>
                          <m:r>
                            <m:t> </m:t>
                          </m:r>
                          <m:sSub>
                            <m:e>
                              <m:r>
                                <m:t>p</m:t>
                              </m:r>
                            </m:e>
                            <m:sub>
                              <m:r>
                                <m:t>1</m:t>
                              </m:r>
                            </m:sub>
                          </m:sSub>
                        </m:num>
                        <m:den>
                          <m:r>
                            <m:t>a</m:t>
                          </m:r>
                          <m:r>
                            <m:t> </m:t>
                          </m:r>
                          <m:sSub>
                            <m:e>
                              <m:r>
                                <m:t>p</m:t>
                              </m:r>
                            </m:e>
                            <m:sub>
                              <m:r>
                                <m:t>2</m:t>
                              </m:r>
                            </m:sub>
                          </m:sSub>
                        </m:den>
                      </m:f>
                    </m:e>
                  </m:d>
                </m:e>
                <m:sup>
                  <m:r>
                    <m:t>a</m:t>
                  </m:r>
                  <m:r>
                    <m:rPr>
                      <m:sty m:val="p"/>
                    </m:rPr>
                    <m:t>/</m:t>
                  </m:r>
                  <m:r>
                    <m:rPr>
                      <m:sty m:val="p"/>
                    </m:rPr>
                    <m:t>(</m:t>
                  </m:r>
                  <m:r>
                    <m:t>a</m:t>
                  </m:r>
                  <m:r>
                    <m:rPr>
                      <m:sty m:val="p"/>
                    </m:rPr>
                    <m:t>+</m:t>
                  </m:r>
                  <m:r>
                    <m:t>b</m:t>
                  </m:r>
                  <m:r>
                    <m:rPr>
                      <m:sty m:val="p"/>
                    </m:rPr>
                    <m:t>)</m:t>
                  </m:r>
                </m:sup>
              </m:sSup>
            </m:e>
          </m:borderBox>
        </m:oMath>
      </m:oMathPara>
    </w:p>
    <w:p>
      <w:pPr>
        <w:pStyle w:val="FirstParagraph"/>
      </w:pPr>
      <w:r>
        <w:rPr>
          <w:b/>
          <w:bCs/>
        </w:rPr>
        <w:t xml:space="preserve">Função dispêndio.</w:t>
      </w:r>
      <w:r>
        <w:t xml:space="preserve"> </w:t>
      </w:r>
      <w:r>
        <w:t xml:space="preserve">Avaliando o gasto mínimo:</w:t>
      </w:r>
    </w:p>
    <w:p>
      <w:pPr>
        <w:pStyle w:val="BodyText"/>
      </w:pPr>
      <m:oMathPara>
        <m:oMathParaPr>
          <m:jc m:val="center"/>
        </m:oMathParaPr>
        <m:oMath>
          <m:r>
            <m:t>E</m:t>
          </m:r>
          <m:r>
            <m:rPr>
              <m:sty m:val="p"/>
            </m:rPr>
            <m:t>(</m:t>
          </m:r>
          <m:r>
            <m:rPr>
              <m:sty m:val="bi"/>
            </m:rPr>
            <m:t>p</m:t>
          </m:r>
          <m:r>
            <m:rPr>
              <m:sty m:val="p"/>
            </m:rPr>
            <m:t>,</m:t>
          </m:r>
          <m:acc>
            <m:accPr>
              <m:chr m:val="‾"/>
            </m:accPr>
            <m:e>
              <m:r>
                <m:t>u</m:t>
              </m:r>
            </m:e>
          </m:acc>
          <m:r>
            <m:rPr>
              <m:sty m:val="p"/>
            </m:rPr>
            <m:t>)</m:t>
          </m:r>
          <m:r>
            <m:rPr>
              <m:sty m:val="p"/>
            </m:rPr>
            <m:t>=</m:t>
          </m:r>
          <m:sSub>
            <m:e>
              <m:r>
                <m:t>p</m:t>
              </m:r>
            </m:e>
            <m:sub>
              <m:r>
                <m:t>1</m:t>
              </m:r>
            </m:sub>
          </m:sSub>
          <m:sSub>
            <m:e>
              <m:r>
                <m:t>h</m:t>
              </m:r>
            </m:e>
            <m:sub>
              <m:r>
                <m:t>1</m:t>
              </m:r>
            </m:sub>
          </m:sSub>
          <m:r>
            <m:rPr>
              <m:sty m:val="p"/>
            </m:rPr>
            <m:t>+</m:t>
          </m:r>
          <m:sSub>
            <m:e>
              <m:r>
                <m:t>p</m:t>
              </m:r>
            </m:e>
            <m:sub>
              <m:r>
                <m:t>2</m:t>
              </m:r>
            </m:sub>
          </m:sSub>
          <m:sSub>
            <m:e>
              <m:r>
                <m:t>h</m:t>
              </m:r>
            </m:e>
            <m:sub>
              <m:r>
                <m:t>2</m:t>
              </m:r>
            </m:sub>
          </m:sSub>
          <m:r>
            <m:rPr>
              <m:sty m:val="p"/>
            </m:rPr>
            <m:t>=</m:t>
          </m:r>
          <m:sSup>
            <m:e>
              <m:acc>
                <m:accPr>
                  <m:chr m:val="‾"/>
                </m:accPr>
                <m:e>
                  <m:r>
                    <m:t>u</m:t>
                  </m:r>
                </m:e>
              </m:acc>
            </m:e>
            <m:sup>
              <m:r>
                <m:t> </m:t>
              </m:r>
              <m:r>
                <m:t>1</m:t>
              </m:r>
              <m:r>
                <m:rPr>
                  <m:sty m:val="p"/>
                </m:rPr>
                <m:t>/</m:t>
              </m:r>
              <m:r>
                <m:rPr>
                  <m:sty m:val="p"/>
                </m:rPr>
                <m:t>(</m:t>
              </m:r>
              <m:r>
                <m:t>a</m:t>
              </m:r>
              <m:r>
                <m:rPr>
                  <m:sty m:val="p"/>
                </m:rPr>
                <m:t>+</m:t>
              </m:r>
              <m:r>
                <m:t>b</m:t>
              </m:r>
              <m:r>
                <m:rPr>
                  <m:sty m:val="p"/>
                </m:rPr>
                <m:t>)</m:t>
              </m:r>
            </m:sup>
          </m:sSup>
          <m:sSup>
            <m:e>
              <m:d>
                <m:dPr>
                  <m:begChr m:val="("/>
                  <m:sepChr m:val=""/>
                  <m:endChr m:val=")"/>
                  <m:grow/>
                </m:dPr>
                <m:e>
                  <m:f>
                    <m:fPr>
                      <m:type m:val="bar"/>
                    </m:fPr>
                    <m:num>
                      <m:r>
                        <m:t>a</m:t>
                      </m:r>
                      <m:r>
                        <m:rPr>
                          <m:sty m:val="p"/>
                        </m:rPr>
                        <m:t>+</m:t>
                      </m:r>
                      <m:r>
                        <m:t>b</m:t>
                      </m:r>
                    </m:num>
                    <m:den>
                      <m:sSup>
                        <m:e>
                          <m:r>
                            <m:t>a</m:t>
                          </m:r>
                        </m:e>
                        <m:sup>
                          <m:r>
                            <m:t>a</m:t>
                          </m:r>
                        </m:sup>
                      </m:sSup>
                      <m:sSup>
                        <m:e>
                          <m:r>
                            <m:t>b</m:t>
                          </m:r>
                        </m:e>
                        <m:sup>
                          <m:r>
                            <m:t>b</m:t>
                          </m:r>
                        </m:sup>
                      </m:sSup>
                    </m:den>
                  </m:f>
                </m:e>
              </m:d>
            </m:e>
            <m:sup>
              <m:r>
                <m:t>1</m:t>
              </m:r>
              <m:r>
                <m:rPr>
                  <m:sty m:val="p"/>
                </m:rPr>
                <m:t>/</m:t>
              </m:r>
              <m:r>
                <m:rPr>
                  <m:sty m:val="p"/>
                </m:rPr>
                <m:t>(</m:t>
              </m:r>
              <m:r>
                <m:t>a</m:t>
              </m:r>
              <m:r>
                <m:rPr>
                  <m:sty m:val="p"/>
                </m:rPr>
                <m:t>+</m:t>
              </m:r>
              <m:r>
                <m:t>b</m:t>
              </m:r>
              <m:r>
                <m:rPr>
                  <m:sty m:val="p"/>
                </m:rPr>
                <m:t>)</m:t>
              </m:r>
            </m:sup>
          </m:sSup>
          <m:sSubSup>
            <m:e>
              <m:r>
                <m:t>p</m:t>
              </m:r>
            </m:e>
            <m:sub>
              <m:r>
                <m:t>1</m:t>
              </m:r>
            </m:sub>
            <m:sup>
              <m:r>
                <m:t>a</m:t>
              </m:r>
              <m:r>
                <m:rPr>
                  <m:sty m:val="p"/>
                </m:rPr>
                <m:t>/</m:t>
              </m:r>
              <m:r>
                <m:rPr>
                  <m:sty m:val="p"/>
                </m:rPr>
                <m:t>(</m:t>
              </m:r>
              <m:r>
                <m:t>a</m:t>
              </m:r>
              <m:r>
                <m:rPr>
                  <m:sty m:val="p"/>
                </m:rPr>
                <m:t>+</m:t>
              </m:r>
              <m:r>
                <m:t>b</m:t>
              </m:r>
              <m:r>
                <m:rPr>
                  <m:sty m:val="p"/>
                </m:rPr>
                <m:t>)</m:t>
              </m:r>
            </m:sup>
          </m:sSubSup>
          <m:r>
            <m:t> </m:t>
          </m:r>
          <m:sSubSup>
            <m:e>
              <m:r>
                <m:t>p</m:t>
              </m:r>
            </m:e>
            <m:sub>
              <m:r>
                <m:t>2</m:t>
              </m:r>
            </m:sub>
            <m:sup>
              <m:r>
                <m:t>b</m:t>
              </m:r>
              <m:r>
                <m:rPr>
                  <m:sty m:val="p"/>
                </m:rPr>
                <m:t>/</m:t>
              </m:r>
              <m:r>
                <m:rPr>
                  <m:sty m:val="p"/>
                </m:rPr>
                <m:t>(</m:t>
              </m:r>
              <m:r>
                <m:t>a</m:t>
              </m:r>
              <m:r>
                <m:rPr>
                  <m:sty m:val="p"/>
                </m:rPr>
                <m:t>+</m:t>
              </m:r>
              <m:r>
                <m:t>b</m:t>
              </m:r>
              <m:r>
                <m:rPr>
                  <m:sty m:val="p"/>
                </m:rPr>
                <m:t>)</m:t>
              </m:r>
            </m:sup>
          </m:sSubSup>
        </m:oMath>
      </m:oMathPara>
    </w:p>
    <w:p>
      <w:pPr>
        <w:pStyle w:val="FirstParagraph"/>
      </w:pPr>
      <w:r>
        <w:rPr>
          <w:i/>
          <w:iCs/>
        </w:rPr>
        <w:t xml:space="preserve">Verificação pelo Lema de Shephard</w:t>
      </w:r>
      <w:r>
        <w:t xml:space="preserve">:</w:t>
      </w:r>
      <w:r>
        <w:t xml:space="preserve"> </w:t>
      </w:r>
      <m:oMath>
        <m:r>
          <m:rPr>
            <m:sty m:val="p"/>
          </m:rPr>
          <m:t>∂</m:t>
        </m:r>
        <m:r>
          <m:t>E</m:t>
        </m:r>
        <m:r>
          <m:rPr>
            <m:sty m:val="p"/>
          </m:rPr>
          <m:t>/</m:t>
        </m:r>
        <m:r>
          <m:rPr>
            <m:sty m:val="p"/>
          </m:rPr>
          <m:t>∂</m:t>
        </m:r>
        <m:sSub>
          <m:e>
            <m:r>
              <m:t>p</m:t>
            </m:r>
          </m:e>
          <m:sub>
            <m:r>
              <m:t>1</m:t>
            </m:r>
          </m:sub>
        </m:sSub>
        <m:r>
          <m:rPr>
            <m:sty m:val="p"/>
          </m:rPr>
          <m:t>=</m:t>
        </m:r>
        <m:sSub>
          <m:e>
            <m:r>
              <m:t>h</m:t>
            </m:r>
          </m:e>
          <m:sub>
            <m:r>
              <m:t>1</m:t>
            </m:r>
          </m:sub>
        </m:sSub>
      </m:oMath>
      <w:r>
        <w:t xml:space="preserve"> </w:t>
      </w:r>
      <w:r>
        <w:t xml:space="preserve">✓</w:t>
      </w:r>
    </w:p>
    <w:bookmarkEnd w:id="208"/>
    <w:bookmarkStart w:id="209" w:name="X1fc0966b1b6c676684d29ca1302c2e39a0fcca2"/>
    <w:p>
      <w:pPr>
        <w:pStyle w:val="Heading4"/>
      </w:pPr>
      <w:r>
        <w:t xml:space="preserve">4.10.2 Preferências Lineares (Substitutos Perfeitos): U = ax₁ + bx₂</w:t>
      </w:r>
    </w:p>
    <w:p>
      <w:pPr>
        <w:pStyle w:val="FirstParagraph"/>
      </w:pPr>
      <w:r>
        <w:t xml:space="preserve">Passemos agora ao caso diametralmente oposto ao da Cobb-Douglas em termos de substituibilidade. Se a Cobb-Douglas representa o meio do espectro (com elasticidade de substituição</w:t>
      </w:r>
      <w:r>
        <w:t xml:space="preserve"> </w:t>
      </w:r>
      <m:oMath>
        <m:r>
          <m:t>σ</m:t>
        </m:r>
        <m:r>
          <m:rPr>
            <m:sty m:val="p"/>
          </m:rPr>
          <m:t>=</m:t>
        </m:r>
        <m:r>
          <m:t>1</m:t>
        </m:r>
      </m:oMath>
      <w:r>
        <w:t xml:space="preserve">), os substitutos perfeitos representam o extremo da substituibilidade infinita (</w:t>
      </w:r>
      <m:oMath>
        <m:r>
          <m:t>σ</m:t>
        </m:r>
        <m:r>
          <m:rPr>
            <m:sty m:val="p"/>
          </m:rPr>
          <m:t>→</m:t>
        </m:r>
        <m:r>
          <m:rPr>
            <m:sty m:val="p"/>
          </m:rPr>
          <m:t>∞</m:t>
        </m:r>
      </m:oMath>
      <w:r>
        <w:t xml:space="preserve">). Com preferências lineares, as curvas de indiferença são retas com inclinação</w:t>
      </w:r>
      <w:r>
        <w:t xml:space="preserve"> </w:t>
      </w:r>
      <m:oMath>
        <m:r>
          <m:rPr>
            <m:sty m:val="p"/>
          </m:rPr>
          <m:t>−</m:t>
        </m:r>
        <m:r>
          <m:t>a</m:t>
        </m:r>
        <m:r>
          <m:rPr>
            <m:sty m:val="p"/>
          </m:rPr>
          <m:t>/</m:t>
        </m:r>
        <m:r>
          <m:t>b</m:t>
        </m:r>
      </m:oMath>
      <w:r>
        <w:t xml:space="preserve">, e a TMS é constante. A elasticidade de substituição é</w:t>
      </w:r>
      <w:r>
        <w:t xml:space="preserve"> </w:t>
      </w:r>
      <m:oMath>
        <m:r>
          <m:t>σ</m:t>
        </m:r>
        <m:r>
          <m:rPr>
            <m:sty m:val="p"/>
          </m:rPr>
          <m:t>→</m:t>
        </m:r>
        <m:r>
          <m:rPr>
            <m:sty m:val="p"/>
          </m:rPr>
          <m:t>∞</m:t>
        </m:r>
      </m:oMath>
      <w:r>
        <w:t xml:space="preserve">. Esse caso ilustra por que nem sempre o método de Lagrange fornece soluções interiores — e por que o formato das curvas de indiferença importa tanto quanto o método de solução.</w:t>
      </w:r>
    </w:p>
    <w:p>
      <w:pPr>
        <w:pStyle w:val="BodyText"/>
      </w:pPr>
      <w:r>
        <w:rPr>
          <w:b/>
          <w:bCs/>
        </w:rPr>
        <w:t xml:space="preserve">Demanda Marshalliana.</w:t>
      </w:r>
      <w:r>
        <w:t xml:space="preserve"> </w:t>
      </w:r>
      <w:r>
        <w:t xml:space="preserve">O consumidor compara a TMS com a razão de preços:</w:t>
      </w:r>
    </w:p>
    <w:p>
      <w:pPr>
        <w:pStyle w:val="Compact"/>
        <w:numPr>
          <w:ilvl w:val="0"/>
          <w:numId w:val="1139"/>
        </w:numPr>
      </w:pPr>
      <w:r>
        <w:t xml:space="preserve">Se</w:t>
      </w:r>
      <w:r>
        <w:t xml:space="preserve"> </w:t>
      </w:r>
      <m:oMath>
        <m:f>
          <m:fPr>
            <m:type m:val="bar"/>
          </m:fPr>
          <m:num>
            <m:r>
              <m:t>a</m:t>
            </m:r>
          </m:num>
          <m:den>
            <m:r>
              <m:t>b</m:t>
            </m:r>
          </m:den>
        </m:f>
        <m:r>
          <m:rPr>
            <m:sty m:val="p"/>
          </m:rPr>
          <m:t>&gt;</m:t>
        </m:r>
        <m:f>
          <m:fPr>
            <m:type m:val="bar"/>
          </m:fPr>
          <m:num>
            <m:sSub>
              <m:e>
                <m:r>
                  <m:t>p</m:t>
                </m:r>
              </m:e>
              <m:sub>
                <m:r>
                  <m:t>1</m:t>
                </m:r>
              </m:sub>
            </m:sSub>
          </m:num>
          <m:den>
            <m:sSub>
              <m:e>
                <m:r>
                  <m:t>p</m:t>
                </m:r>
              </m:e>
              <m:sub>
                <m:r>
                  <m:t>2</m:t>
                </m:r>
              </m:sub>
            </m:sSub>
          </m:den>
        </m:f>
      </m:oMath>
      <w:r>
        <w:t xml:space="preserve">: o bem 1 oferece mais utilidade por real gasto → solução de canto em</w:t>
      </w:r>
      <w:r>
        <w:t xml:space="preserve"> </w:t>
      </w:r>
      <m:oMath>
        <m:sSub>
          <m:e>
            <m:r>
              <m:t>x</m:t>
            </m:r>
          </m:e>
          <m:sub>
            <m:r>
              <m:t>1</m:t>
            </m:r>
          </m:sub>
        </m:sSub>
      </m:oMath>
    </w:p>
    <w:p>
      <w:pPr>
        <w:pStyle w:val="Compact"/>
        <w:numPr>
          <w:ilvl w:val="0"/>
          <w:numId w:val="1139"/>
        </w:numPr>
      </w:pPr>
      <w:r>
        <w:t xml:space="preserve">Se</w:t>
      </w:r>
      <w:r>
        <w:t xml:space="preserve"> </w:t>
      </w:r>
      <m:oMath>
        <m:f>
          <m:fPr>
            <m:type m:val="bar"/>
          </m:fPr>
          <m:num>
            <m:r>
              <m:t>a</m:t>
            </m:r>
          </m:num>
          <m:den>
            <m:r>
              <m:t>b</m:t>
            </m:r>
          </m:den>
        </m:f>
        <m:r>
          <m:rPr>
            <m:sty m:val="p"/>
          </m:rPr>
          <m:t>&lt;</m:t>
        </m:r>
        <m:f>
          <m:fPr>
            <m:type m:val="bar"/>
          </m:fPr>
          <m:num>
            <m:sSub>
              <m:e>
                <m:r>
                  <m:t>p</m:t>
                </m:r>
              </m:e>
              <m:sub>
                <m:r>
                  <m:t>1</m:t>
                </m:r>
              </m:sub>
            </m:sSub>
          </m:num>
          <m:den>
            <m:sSub>
              <m:e>
                <m:r>
                  <m:t>p</m:t>
                </m:r>
              </m:e>
              <m:sub>
                <m:r>
                  <m:t>2</m:t>
                </m:r>
              </m:sub>
            </m:sSub>
          </m:den>
        </m:f>
      </m:oMath>
      <w:r>
        <w:t xml:space="preserve">: o bem 2 é mais vantajoso → solução de canto em</w:t>
      </w:r>
      <w:r>
        <w:t xml:space="preserve"> </w:t>
      </w:r>
      <m:oMath>
        <m:sSub>
          <m:e>
            <m:r>
              <m:t>x</m:t>
            </m:r>
          </m:e>
          <m:sub>
            <m:r>
              <m:t>2</m:t>
            </m:r>
          </m:sub>
        </m:sSub>
      </m:oMath>
    </w:p>
    <w:p>
      <w:pPr>
        <w:pStyle w:val="Compact"/>
        <w:numPr>
          <w:ilvl w:val="0"/>
          <w:numId w:val="1139"/>
        </w:numPr>
      </w:pPr>
      <w:r>
        <w:t xml:space="preserve">Se</w:t>
      </w:r>
      <w:r>
        <w:t xml:space="preserve"> </w:t>
      </w:r>
      <m:oMath>
        <m:f>
          <m:fPr>
            <m:type m:val="bar"/>
          </m:fPr>
          <m:num>
            <m:r>
              <m:t>a</m:t>
            </m:r>
          </m:num>
          <m:den>
            <m:r>
              <m:t>b</m:t>
            </m:r>
          </m:den>
        </m:f>
        <m:r>
          <m:rPr>
            <m:sty m:val="p"/>
          </m:rPr>
          <m:t>=</m:t>
        </m:r>
        <m:f>
          <m:fPr>
            <m:type m:val="bar"/>
          </m:fPr>
          <m:num>
            <m:sSub>
              <m:e>
                <m:r>
                  <m:t>p</m:t>
                </m:r>
              </m:e>
              <m:sub>
                <m:r>
                  <m:t>1</m:t>
                </m:r>
              </m:sub>
            </m:sSub>
          </m:num>
          <m:den>
            <m:sSub>
              <m:e>
                <m:r>
                  <m:t>p</m:t>
                </m:r>
              </m:e>
              <m:sub>
                <m:r>
                  <m:t>2</m:t>
                </m:r>
              </m:sub>
            </m:sSub>
          </m:den>
        </m:f>
      </m:oMath>
      <w:r>
        <w:t xml:space="preserve">: qualquer combinação sobre a reta orçamentária é ótima</w:t>
      </w:r>
    </w:p>
    <w:p>
      <w:pPr>
        <w:pStyle w:val="FirstParagraph"/>
      </w:pPr>
      <w:r>
        <w:t xml:space="preserve">Formalmente:</w:t>
      </w:r>
    </w:p>
    <w:p>
      <w:pPr>
        <w:pStyle w:val="BodyText"/>
      </w:pPr>
      <m:oMathPara>
        <m:oMathParaPr>
          <m:jc m:val="center"/>
        </m:oMathParaPr>
        <m:oMath>
          <m:borderBox>
            <m:e>
              <m:sSubSup>
                <m:e>
                  <m:r>
                    <m:t>x</m:t>
                  </m:r>
                </m:e>
                <m:sub>
                  <m:r>
                    <m:t>1</m:t>
                  </m:r>
                </m:sub>
                <m:sup>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r>
                          <m:t>I</m:t>
                        </m:r>
                        <m:r>
                          <m:rPr>
                            <m:sty m:val="p"/>
                          </m:rPr>
                          <m:t>/</m:t>
                        </m:r>
                        <m:sSub>
                          <m:e>
                            <m:r>
                              <m:t>p</m:t>
                            </m:r>
                          </m:e>
                          <m:sub>
                            <m:r>
                              <m:t>1</m:t>
                            </m:r>
                          </m:sub>
                        </m:sSub>
                      </m:e>
                      <m:e>
                        <m:r>
                          <m:rPr>
                            <m:nor/>
                            <m:sty m:val="p"/>
                          </m:rPr>
                          <m:t>se </m:t>
                        </m:r>
                        <m:r>
                          <m:t>a</m:t>
                        </m:r>
                        <m:r>
                          <m:rPr>
                            <m:sty m:val="p"/>
                          </m:rPr>
                          <m:t>/</m:t>
                        </m:r>
                        <m:r>
                          <m:t>b</m:t>
                        </m:r>
                        <m:r>
                          <m:rPr>
                            <m:sty m:val="p"/>
                          </m:rPr>
                          <m:t>&gt;</m:t>
                        </m:r>
                        <m:sSub>
                          <m:e>
                            <m:r>
                              <m:t>p</m:t>
                            </m:r>
                          </m:e>
                          <m:sub>
                            <m:r>
                              <m:t>1</m:t>
                            </m:r>
                          </m:sub>
                        </m:sSub>
                        <m:r>
                          <m:rPr>
                            <m:sty m:val="p"/>
                          </m:rPr>
                          <m:t>/</m:t>
                        </m:r>
                        <m:sSub>
                          <m:e>
                            <m:r>
                              <m:t>p</m:t>
                            </m:r>
                          </m:e>
                          <m:sub>
                            <m:r>
                              <m:t>2</m:t>
                            </m:r>
                          </m:sub>
                        </m:sSub>
                      </m:e>
                    </m:mr>
                    <m:mr>
                      <m:e>
                        <m:r>
                          <m:t>0</m:t>
                        </m:r>
                      </m:e>
                      <m:e>
                        <m:r>
                          <m:rPr>
                            <m:nor/>
                            <m:sty m:val="p"/>
                          </m:rPr>
                          <m:t>se </m:t>
                        </m:r>
                        <m:r>
                          <m:t>a</m:t>
                        </m:r>
                        <m:r>
                          <m:rPr>
                            <m:sty m:val="p"/>
                          </m:rPr>
                          <m:t>/</m:t>
                        </m:r>
                        <m:r>
                          <m:t>b</m:t>
                        </m:r>
                        <m:r>
                          <m:rPr>
                            <m:sty m:val="p"/>
                          </m:rPr>
                          <m:t>&lt;</m:t>
                        </m:r>
                        <m:sSub>
                          <m:e>
                            <m:r>
                              <m:t>p</m:t>
                            </m:r>
                          </m:e>
                          <m:sub>
                            <m:r>
                              <m:t>1</m:t>
                            </m:r>
                          </m:sub>
                        </m:sSub>
                        <m:r>
                          <m:rPr>
                            <m:sty m:val="p"/>
                          </m:rPr>
                          <m:t>/</m:t>
                        </m:r>
                        <m:sSub>
                          <m:e>
                            <m:r>
                              <m:t>p</m:t>
                            </m:r>
                          </m:e>
                          <m:sub>
                            <m:r>
                              <m:t>2</m:t>
                            </m:r>
                          </m:sub>
                        </m:sSub>
                      </m:e>
                    </m:mr>
                    <m:mr>
                      <m:e>
                        <m:r>
                          <m:rPr>
                            <m:nor/>
                            <m:sty m:val="p"/>
                          </m:rPr>
                          <m:t>qualquer </m:t>
                        </m:r>
                        <m:sSub>
                          <m:e>
                            <m:r>
                              <m:t>x</m:t>
                            </m:r>
                          </m:e>
                          <m:sub>
                            <m:r>
                              <m:t>1</m:t>
                            </m:r>
                          </m:sub>
                        </m:sSub>
                        <m:r>
                          <m:rPr>
                            <m:sty m:val="p"/>
                          </m:rPr>
                          <m:t>∈</m:t>
                        </m:r>
                        <m:r>
                          <m:rPr>
                            <m:sty m:val="p"/>
                          </m:rPr>
                          <m:t>[</m:t>
                        </m:r>
                        <m:r>
                          <m:t>0</m:t>
                        </m:r>
                        <m:r>
                          <m:rPr>
                            <m:sty m:val="p"/>
                          </m:rPr>
                          <m:t>,</m:t>
                        </m:r>
                        <m:r>
                          <m:t>I</m:t>
                        </m:r>
                        <m:r>
                          <m:rPr>
                            <m:sty m:val="p"/>
                          </m:rPr>
                          <m:t>/</m:t>
                        </m:r>
                        <m:sSub>
                          <m:e>
                            <m:r>
                              <m:t>p</m:t>
                            </m:r>
                          </m:e>
                          <m:sub>
                            <m:r>
                              <m:t>1</m:t>
                            </m:r>
                          </m:sub>
                        </m:sSub>
                        <m:r>
                          <m:rPr>
                            <m:sty m:val="p"/>
                          </m:rPr>
                          <m:t>]</m:t>
                        </m:r>
                      </m:e>
                      <m:e>
                        <m:r>
                          <m:rPr>
                            <m:nor/>
                            <m:sty m:val="p"/>
                          </m:rPr>
                          <m:t>se </m:t>
                        </m:r>
                        <m:r>
                          <m:t>a</m:t>
                        </m:r>
                        <m:r>
                          <m:rPr>
                            <m:sty m:val="p"/>
                          </m:rPr>
                          <m:t>/</m:t>
                        </m:r>
                        <m:r>
                          <m:t>b</m:t>
                        </m:r>
                        <m:r>
                          <m:rPr>
                            <m:sty m:val="p"/>
                          </m:rPr>
                          <m:t>=</m:t>
                        </m:r>
                        <m:sSub>
                          <m:e>
                            <m:r>
                              <m:t>p</m:t>
                            </m:r>
                          </m:e>
                          <m:sub>
                            <m:r>
                              <m:t>1</m:t>
                            </m:r>
                          </m:sub>
                        </m:sSub>
                        <m:r>
                          <m:rPr>
                            <m:sty m:val="p"/>
                          </m:rPr>
                          <m:t>/</m:t>
                        </m:r>
                        <m:sSub>
                          <m:e>
                            <m:r>
                              <m:t>p</m:t>
                            </m:r>
                          </m:e>
                          <m:sub>
                            <m:r>
                              <m:t>2</m:t>
                            </m:r>
                          </m:sub>
                        </m:sSub>
                      </m:e>
                    </m:mr>
                  </m:m>
                </m:e>
              </m:d>
            </m:e>
          </m:borderBox>
        </m:oMath>
      </m:oMathPara>
    </w:p>
    <w:p>
      <w:pPr>
        <w:pStyle w:val="FirstParagraph"/>
      </w:pPr>
      <w:r>
        <w:t xml:space="preserve">A demanda é descontínua: uma pequena mudança em preços pode fazer o consumidor saltar de consumir apenas o bem 1 para apenas o bem 2. Essa descontinuidade tem implicações práticas importantes — por exemplo, na análise de programas de subsídio que reduzem o preço de um bem abaixo do ponto de indiferença: o impacto sobre a demanda pode ser dramático e não-linear.</w:t>
      </w:r>
    </w:p>
    <w:p>
      <w:pPr>
        <w:pStyle w:val="BodyText"/>
      </w:pPr>
      <w:r>
        <w:rPr>
          <w:b/>
          <w:bCs/>
        </w:rPr>
        <w:t xml:space="preserve">Utilidade indireta.</w:t>
      </w:r>
    </w:p>
    <w:p>
      <w:pPr>
        <w:pStyle w:val="BodyText"/>
      </w:pPr>
      <m:oMathPara>
        <m:oMathParaPr>
          <m:jc m:val="center"/>
        </m:oMathParaPr>
        <m:oMath>
          <m:r>
            <m:t>V</m:t>
          </m:r>
          <m:r>
            <m:rPr>
              <m:sty m:val="p"/>
            </m:rPr>
            <m:t>(</m:t>
          </m:r>
          <m:r>
            <m:rPr>
              <m:sty m:val="bi"/>
            </m:rPr>
            <m:t>p</m:t>
          </m:r>
          <m:r>
            <m:rPr>
              <m:sty m:val="p"/>
            </m:rPr>
            <m:t>,</m:t>
          </m:r>
          <m:r>
            <m:t>I</m:t>
          </m:r>
          <m:r>
            <m:rPr>
              <m:sty m:val="p"/>
            </m:rPr>
            <m:t>)</m:t>
          </m:r>
          <m:r>
            <m:rPr>
              <m:sty m:val="p"/>
            </m:rPr>
            <m:t>=</m:t>
          </m:r>
          <m:r>
            <m:rPr>
              <m:sty m:val="p"/>
            </m:rPr>
            <m:t>max</m:t>
          </m:r>
          <m:d>
            <m:dPr>
              <m:begChr m:val="{"/>
              <m:sepChr m:val=""/>
              <m:endChr m:val="}"/>
              <m:grow/>
            </m:dPr>
            <m:e>
              <m:f>
                <m:fPr>
                  <m:type m:val="bar"/>
                </m:fPr>
                <m:num>
                  <m:r>
                    <m:t>a</m:t>
                  </m:r>
                  <m:r>
                    <m:t> </m:t>
                  </m:r>
                  <m:r>
                    <m:t>I</m:t>
                  </m:r>
                </m:num>
                <m:den>
                  <m:sSub>
                    <m:e>
                      <m:r>
                        <m:t>p</m:t>
                      </m:r>
                    </m:e>
                    <m:sub>
                      <m:r>
                        <m:t>1</m:t>
                      </m:r>
                    </m:sub>
                  </m:sSub>
                </m:den>
              </m:f>
              <m:r>
                <m:rPr>
                  <m:sty m:val="p"/>
                </m:rPr>
                <m:t>,</m:t>
              </m:r>
              <m:r>
                <m:t> </m:t>
              </m:r>
              <m:f>
                <m:fPr>
                  <m:type m:val="bar"/>
                </m:fPr>
                <m:num>
                  <m:r>
                    <m:t>b</m:t>
                  </m:r>
                  <m:r>
                    <m:t> </m:t>
                  </m:r>
                  <m:r>
                    <m:t>I</m:t>
                  </m:r>
                </m:num>
                <m:den>
                  <m:sSub>
                    <m:e>
                      <m:r>
                        <m:t>p</m:t>
                      </m:r>
                    </m:e>
                    <m:sub>
                      <m:r>
                        <m:t>2</m:t>
                      </m:r>
                    </m:sub>
                  </m:sSub>
                </m:den>
              </m:f>
            </m:e>
          </m:d>
          <m:r>
            <m:rPr>
              <m:sty m:val="p"/>
            </m:rPr>
            <m:t>=</m:t>
          </m:r>
          <m:r>
            <m:t>I</m:t>
          </m:r>
          <m:r>
            <m:rPr>
              <m:sty m:val="p"/>
            </m:rPr>
            <m:t>⋅</m:t>
          </m:r>
          <m:r>
            <m:rPr>
              <m:sty m:val="p"/>
            </m:rPr>
            <m:t>max</m:t>
          </m:r>
          <m:d>
            <m:dPr>
              <m:begChr m:val="{"/>
              <m:sepChr m:val=""/>
              <m:endChr m:val="}"/>
              <m:grow/>
            </m:dPr>
            <m:e>
              <m:f>
                <m:fPr>
                  <m:type m:val="bar"/>
                </m:fPr>
                <m:num>
                  <m:r>
                    <m:t>a</m:t>
                  </m:r>
                </m:num>
                <m:den>
                  <m:sSub>
                    <m:e>
                      <m:r>
                        <m:t>p</m:t>
                      </m:r>
                    </m:e>
                    <m:sub>
                      <m:r>
                        <m:t>1</m:t>
                      </m:r>
                    </m:sub>
                  </m:sSub>
                </m:den>
              </m:f>
              <m:r>
                <m:rPr>
                  <m:sty m:val="p"/>
                </m:rPr>
                <m:t>,</m:t>
              </m:r>
              <m:r>
                <m:t> </m:t>
              </m:r>
              <m:f>
                <m:fPr>
                  <m:type m:val="bar"/>
                </m:fPr>
                <m:num>
                  <m:r>
                    <m:t>b</m:t>
                  </m:r>
                </m:num>
                <m:den>
                  <m:sSub>
                    <m:e>
                      <m:r>
                        <m:t>p</m:t>
                      </m:r>
                    </m:e>
                    <m:sub>
                      <m:r>
                        <m:t>2</m:t>
                      </m:r>
                    </m:sub>
                  </m:sSub>
                </m:den>
              </m:f>
            </m:e>
          </m:d>
        </m:oMath>
      </m:oMathPara>
    </w:p>
    <w:p>
      <w:pPr>
        <w:pStyle w:val="FirstParagraph"/>
      </w:pPr>
      <w:r>
        <w:rPr>
          <w:b/>
          <w:bCs/>
        </w:rPr>
        <w:t xml:space="preserve">Demanda Hicksiana.</w:t>
      </w:r>
      <w:r>
        <w:t xml:space="preserve"> </w:t>
      </w:r>
      <w:r>
        <w:t xml:space="preserve">Para minimizar o gasto atingindo</w:t>
      </w:r>
      <w:r>
        <w:t xml:space="preserve"> </w:t>
      </w:r>
      <m:oMath>
        <m:acc>
          <m:accPr>
            <m:chr m:val="‾"/>
          </m:accPr>
          <m:e>
            <m:r>
              <m:t>u</m:t>
            </m:r>
          </m:e>
        </m:acc>
      </m:oMath>
      <w:r>
        <w:t xml:space="preserve">, o consumidor escolhe o bem mais barato por unidade de utilidade:</w:t>
      </w:r>
    </w:p>
    <w:p>
      <w:pPr>
        <w:pStyle w:val="BodyText"/>
      </w:pPr>
      <m:oMathPara>
        <m:oMathParaPr>
          <m:jc m:val="center"/>
        </m:oMathParaPr>
        <m:oMath>
          <m:borderBox>
            <m:e>
              <m:sSub>
                <m:e>
                  <m:r>
                    <m:t>h</m:t>
                  </m:r>
                </m:e>
                <m:sub>
                  <m:r>
                    <m:t>1</m:t>
                  </m:r>
                </m:sub>
              </m:sSub>
              <m:r>
                <m:rPr>
                  <m:sty m:val="p"/>
                </m:rPr>
                <m:t>=</m:t>
              </m:r>
              <m:d>
                <m:dPr>
                  <m:begChr m:val="{"/>
                  <m:sepChr m:val=""/>
                  <m:endChr m:val=""/>
                  <m:grow/>
                </m:dPr>
                <m:e>
                  <m:m>
                    <m:mPr>
                      <m:baseJc m:val="center"/>
                      <m:plcHide m:val="on"/>
                      <m:mcs>
                        <m:mc>
                          <m:mcPr>
                            <m:mcJc m:val="left"/>
                            <m:count m:val="1"/>
                          </m:mcPr>
                        </m:mc>
                        <m:mc>
                          <m:mcPr>
                            <m:mcJc m:val="left"/>
                            <m:count m:val="1"/>
                          </m:mcPr>
                        </m:mc>
                      </m:mcs>
                    </m:mPr>
                    <m:mr>
                      <m:e>
                        <m:acc>
                          <m:accPr>
                            <m:chr m:val="‾"/>
                          </m:accPr>
                          <m:e>
                            <m:r>
                              <m:t>u</m:t>
                            </m:r>
                          </m:e>
                        </m:acc>
                        <m:r>
                          <m:rPr>
                            <m:sty m:val="p"/>
                          </m:rPr>
                          <m:t>/</m:t>
                        </m:r>
                        <m:r>
                          <m:t>a</m:t>
                        </m:r>
                      </m:e>
                      <m:e>
                        <m:r>
                          <m:rPr>
                            <m:nor/>
                            <m:sty m:val="p"/>
                          </m:rPr>
                          <m:t>se </m:t>
                        </m:r>
                        <m:sSub>
                          <m:e>
                            <m:r>
                              <m:t>p</m:t>
                            </m:r>
                          </m:e>
                          <m:sub>
                            <m:r>
                              <m:t>1</m:t>
                            </m:r>
                          </m:sub>
                        </m:sSub>
                        <m:r>
                          <m:rPr>
                            <m:sty m:val="p"/>
                          </m:rPr>
                          <m:t>/</m:t>
                        </m:r>
                        <m:r>
                          <m:t>a</m:t>
                        </m:r>
                        <m:r>
                          <m:rPr>
                            <m:sty m:val="p"/>
                          </m:rPr>
                          <m:t>&lt;</m:t>
                        </m:r>
                        <m:sSub>
                          <m:e>
                            <m:r>
                              <m:t>p</m:t>
                            </m:r>
                          </m:e>
                          <m:sub>
                            <m:r>
                              <m:t>2</m:t>
                            </m:r>
                          </m:sub>
                        </m:sSub>
                        <m:r>
                          <m:rPr>
                            <m:sty m:val="p"/>
                          </m:rPr>
                          <m:t>/</m:t>
                        </m:r>
                        <m:r>
                          <m:t>b</m:t>
                        </m:r>
                      </m:e>
                    </m:mr>
                    <m:mr>
                      <m:e>
                        <m:r>
                          <m:t>0</m:t>
                        </m:r>
                      </m:e>
                      <m:e>
                        <m:r>
                          <m:rPr>
                            <m:nor/>
                            <m:sty m:val="p"/>
                          </m:rPr>
                          <m:t>se </m:t>
                        </m:r>
                        <m:sSub>
                          <m:e>
                            <m:r>
                              <m:t>p</m:t>
                            </m:r>
                          </m:e>
                          <m:sub>
                            <m:r>
                              <m:t>1</m:t>
                            </m:r>
                          </m:sub>
                        </m:sSub>
                        <m:r>
                          <m:rPr>
                            <m:sty m:val="p"/>
                          </m:rPr>
                          <m:t>/</m:t>
                        </m:r>
                        <m:r>
                          <m:t>a</m:t>
                        </m:r>
                        <m:r>
                          <m:rPr>
                            <m:sty m:val="p"/>
                          </m:rPr>
                          <m:t>&gt;</m:t>
                        </m:r>
                        <m:sSub>
                          <m:e>
                            <m:r>
                              <m:t>p</m:t>
                            </m:r>
                          </m:e>
                          <m:sub>
                            <m:r>
                              <m:t>2</m:t>
                            </m:r>
                          </m:sub>
                        </m:sSub>
                        <m:r>
                          <m:rPr>
                            <m:sty m:val="p"/>
                          </m:rPr>
                          <m:t>/</m:t>
                        </m:r>
                        <m:r>
                          <m:t>b</m:t>
                        </m:r>
                      </m:e>
                    </m:mr>
                  </m:m>
                </m:e>
              </m:d>
            </m:e>
          </m:borderBox>
        </m:oMath>
      </m:oMathPara>
    </w:p>
    <w:p>
      <w:pPr>
        <w:pStyle w:val="FirstParagraph"/>
      </w:pPr>
      <w:r>
        <w:rPr>
          <w:b/>
          <w:bCs/>
        </w:rPr>
        <w:t xml:space="preserve">Função dispêndio.</w:t>
      </w:r>
    </w:p>
    <w:p>
      <w:pPr>
        <w:pStyle w:val="BodyText"/>
      </w:pPr>
      <m:oMathPara>
        <m:oMathParaPr>
          <m:jc m:val="center"/>
        </m:oMathParaPr>
        <m:oMath>
          <m:r>
            <m:t>E</m:t>
          </m:r>
          <m:r>
            <m:rPr>
              <m:sty m:val="p"/>
            </m:rPr>
            <m:t>(</m:t>
          </m:r>
          <m:r>
            <m:rPr>
              <m:sty m:val="bi"/>
            </m:rPr>
            <m:t>p</m:t>
          </m:r>
          <m:r>
            <m:rPr>
              <m:sty m:val="p"/>
            </m:rPr>
            <m:t>,</m:t>
          </m:r>
          <m:acc>
            <m:accPr>
              <m:chr m:val="‾"/>
            </m:accPr>
            <m:e>
              <m:r>
                <m:t>u</m:t>
              </m:r>
            </m:e>
          </m:acc>
          <m:r>
            <m:rPr>
              <m:sty m:val="p"/>
            </m:rPr>
            <m:t>)</m:t>
          </m:r>
          <m:r>
            <m:rPr>
              <m:sty m:val="p"/>
            </m:rPr>
            <m:t>=</m:t>
          </m:r>
          <m:acc>
            <m:accPr>
              <m:chr m:val="‾"/>
            </m:accPr>
            <m:e>
              <m:r>
                <m:t>u</m:t>
              </m:r>
            </m:e>
          </m:acc>
          <m:r>
            <m:rPr>
              <m:sty m:val="p"/>
            </m:rPr>
            <m:t>⋅</m:t>
          </m:r>
          <m:r>
            <m:rPr>
              <m:sty m:val="p"/>
            </m:rPr>
            <m:t>min</m:t>
          </m:r>
          <m:d>
            <m:dPr>
              <m:begChr m:val="{"/>
              <m:sepChr m:val=""/>
              <m:endChr m:val="}"/>
              <m:grow/>
            </m:dPr>
            <m:e>
              <m:f>
                <m:fPr>
                  <m:type m:val="bar"/>
                </m:fPr>
                <m:num>
                  <m:sSub>
                    <m:e>
                      <m:r>
                        <m:t>p</m:t>
                      </m:r>
                    </m:e>
                    <m:sub>
                      <m:r>
                        <m:t>1</m:t>
                      </m:r>
                    </m:sub>
                  </m:sSub>
                </m:num>
                <m:den>
                  <m:r>
                    <m:t>a</m:t>
                  </m:r>
                </m:den>
              </m:f>
              <m:r>
                <m:rPr>
                  <m:sty m:val="p"/>
                </m:rPr>
                <m:t>,</m:t>
              </m:r>
              <m:r>
                <m:t> </m:t>
              </m:r>
              <m:f>
                <m:fPr>
                  <m:type m:val="bar"/>
                </m:fPr>
                <m:num>
                  <m:sSub>
                    <m:e>
                      <m:r>
                        <m:t>p</m:t>
                      </m:r>
                    </m:e>
                    <m:sub>
                      <m:r>
                        <m:t>2</m:t>
                      </m:r>
                    </m:sub>
                  </m:sSub>
                </m:num>
                <m:den>
                  <m:r>
                    <m:t>b</m:t>
                  </m:r>
                </m:den>
              </m:f>
            </m:e>
          </m:d>
        </m:oMath>
      </m:oMathPara>
    </w:p>
    <w:bookmarkEnd w:id="209"/>
    <w:bookmarkStart w:id="210" w:name="Xea575cc272fd5543411c85a1f6b254eda5a3fc5"/>
    <w:p>
      <w:pPr>
        <w:pStyle w:val="Heading4"/>
      </w:pPr>
      <w:r>
        <w:t xml:space="preserve">4.10.3 Preferências Leontief (Complementares Perfeitos): U = min{x₁/a, x₂/b}</w:t>
      </w:r>
    </w:p>
    <w:p>
      <w:pPr>
        <w:pStyle w:val="FirstParagraph"/>
      </w:pPr>
      <w:r>
        <w:t xml:space="preserve">No outro extremo do espectro de substituibilidade, encontramos os complementares perfeitos — nomeados em homenagem ao economista russo-americano Wassily Leontief (Nobel de 1973), que utilizou essa estrutura em seus modelos de insumo-produto. Com preferências Leontief, as curvas de indiferença têm formato de</w:t>
      </w:r>
      <w:r>
        <w:t xml:space="preserve"> </w:t>
      </w:r>
      <w:r>
        <w:t xml:space="preserve">“L”</w:t>
      </w:r>
      <w:r>
        <w:t xml:space="preserve"> </w:t>
      </w:r>
      <w:r>
        <w:t xml:space="preserve">com vértice na reta</w:t>
      </w:r>
      <w:r>
        <w:t xml:space="preserve"> </w:t>
      </w:r>
      <m:oMath>
        <m:sSub>
          <m:e>
            <m:r>
              <m:t>x</m:t>
            </m:r>
          </m:e>
          <m:sub>
            <m:r>
              <m:t>1</m:t>
            </m:r>
          </m:sub>
        </m:sSub>
        <m:r>
          <m:rPr>
            <m:sty m:val="p"/>
          </m:rPr>
          <m:t>/</m:t>
        </m:r>
        <m:r>
          <m:t>a</m:t>
        </m:r>
        <m:r>
          <m:rPr>
            <m:sty m:val="p"/>
          </m:rPr>
          <m:t>=</m:t>
        </m:r>
        <m:sSub>
          <m:e>
            <m:r>
              <m:t>x</m:t>
            </m:r>
          </m:e>
          <m:sub>
            <m:r>
              <m:t>2</m:t>
            </m:r>
          </m:sub>
        </m:sSub>
        <m:r>
          <m:rPr>
            <m:sty m:val="p"/>
          </m:rPr>
          <m:t>/</m:t>
        </m:r>
        <m:r>
          <m:t>b</m:t>
        </m:r>
      </m:oMath>
      <w:r>
        <w:t xml:space="preserve">. A elasticidade de substituição é</w:t>
      </w:r>
      <w:r>
        <w:t xml:space="preserve"> </w:t>
      </w:r>
      <m:oMath>
        <m:r>
          <m:t>σ</m:t>
        </m:r>
        <m:r>
          <m:rPr>
            <m:sty m:val="p"/>
          </m:rPr>
          <m:t>=</m:t>
        </m:r>
        <m:r>
          <m:t>0</m:t>
        </m:r>
      </m:oMath>
      <w:r>
        <w:t xml:space="preserve">: não há margem para substituição entre os bens. Aqui, o método de Lagrange padrão não se aplica diretamente (a função não é diferenciável no vértice), mas a solução segue de um argumento econômico simples.</w:t>
      </w:r>
    </w:p>
    <w:p>
      <w:pPr>
        <w:pStyle w:val="BodyText"/>
      </w:pPr>
      <w:r>
        <w:rPr>
          <w:b/>
          <w:bCs/>
        </w:rPr>
        <w:t xml:space="preserve">Demanda Marshalliana.</w:t>
      </w:r>
      <w:r>
        <w:t xml:space="preserve"> </w:t>
      </w:r>
      <w:r>
        <w:t xml:space="preserve">No ótimo, o consumidor sempre consome no vértice da curva de indiferença, onde</w:t>
      </w:r>
      <w:r>
        <w:t xml:space="preserve"> </w:t>
      </w:r>
      <m:oMath>
        <m:sSub>
          <m:e>
            <m:r>
              <m:t>x</m:t>
            </m:r>
          </m:e>
          <m:sub>
            <m:r>
              <m:t>1</m:t>
            </m:r>
          </m:sub>
        </m:sSub>
        <m:r>
          <m:rPr>
            <m:sty m:val="p"/>
          </m:rPr>
          <m:t>/</m:t>
        </m:r>
        <m:r>
          <m:t>a</m:t>
        </m:r>
        <m:r>
          <m:rPr>
            <m:sty m:val="p"/>
          </m:rPr>
          <m:t>=</m:t>
        </m:r>
        <m:sSub>
          <m:e>
            <m:r>
              <m:t>x</m:t>
            </m:r>
          </m:e>
          <m:sub>
            <m:r>
              <m:t>2</m:t>
            </m:r>
          </m:sub>
        </m:sSub>
        <m:r>
          <m:rPr>
            <m:sty m:val="p"/>
          </m:rPr>
          <m:t>/</m:t>
        </m:r>
        <m:r>
          <m:t>b</m:t>
        </m:r>
      </m:oMath>
      <w:r>
        <w:t xml:space="preserve">. Caso contrário, estaria desperdiçando renda com excesso de um dos bens. Da condição de vértice:</w:t>
      </w:r>
    </w:p>
    <w:p>
      <w:pPr>
        <w:pStyle w:val="BodyText"/>
      </w:pPr>
      <m:oMathPara>
        <m:oMathParaPr>
          <m:jc m:val="center"/>
        </m:oMathParaPr>
        <m:oMath>
          <m:sSub>
            <m:e>
              <m:r>
                <m:t>x</m:t>
              </m:r>
            </m:e>
            <m:sub>
              <m:r>
                <m:t>2</m:t>
              </m:r>
            </m:sub>
          </m:sSub>
          <m:r>
            <m:rPr>
              <m:sty m:val="p"/>
            </m:rPr>
            <m:t>=</m:t>
          </m:r>
          <m:f>
            <m:fPr>
              <m:type m:val="bar"/>
            </m:fPr>
            <m:num>
              <m:r>
                <m:t>b</m:t>
              </m:r>
            </m:num>
            <m:den>
              <m:r>
                <m:t>a</m:t>
              </m:r>
            </m:den>
          </m:f>
          <m:r>
            <m:t> </m:t>
          </m:r>
          <m:sSub>
            <m:e>
              <m:r>
                <m:t>x</m:t>
              </m:r>
            </m:e>
            <m:sub>
              <m:r>
                <m:t>1</m:t>
              </m:r>
            </m:sub>
          </m:sSub>
        </m:oMath>
      </m:oMathPara>
    </w:p>
    <w:p>
      <w:pPr>
        <w:pStyle w:val="FirstParagraph"/>
      </w:pPr>
      <w:r>
        <w:t xml:space="preserve">Substituindo na restrição orçamentária:</w:t>
      </w:r>
    </w:p>
    <w:p>
      <w:pPr>
        <w:pStyle w:val="BodyText"/>
      </w:pPr>
      <m:oMathPara>
        <m:oMathParaPr>
          <m:jc m:val="center"/>
        </m:oMathParaPr>
        <m:oMath>
          <m:sSub>
            <m:e>
              <m:r>
                <m:t>p</m:t>
              </m:r>
            </m:e>
            <m:sub>
              <m:r>
                <m:t>1</m:t>
              </m:r>
            </m:sub>
          </m:sSub>
          <m:sSub>
            <m:e>
              <m:r>
                <m:t>x</m:t>
              </m:r>
            </m:e>
            <m:sub>
              <m:r>
                <m:t>1</m:t>
              </m:r>
            </m:sub>
          </m:sSub>
          <m:r>
            <m:rPr>
              <m:sty m:val="p"/>
            </m:rPr>
            <m:t>+</m:t>
          </m:r>
          <m:sSub>
            <m:e>
              <m:r>
                <m:t>p</m:t>
              </m:r>
            </m:e>
            <m:sub>
              <m:r>
                <m:t>2</m:t>
              </m:r>
            </m:sub>
          </m:sSub>
          <m:r>
            <m:rPr>
              <m:sty m:val="p"/>
            </m:rPr>
            <m:t>⋅</m:t>
          </m:r>
          <m:f>
            <m:fPr>
              <m:type m:val="bar"/>
            </m:fPr>
            <m:num>
              <m:r>
                <m:t>b</m:t>
              </m:r>
            </m:num>
            <m:den>
              <m:r>
                <m:t>a</m:t>
              </m:r>
            </m:den>
          </m:f>
          <m:r>
            <m:t> </m:t>
          </m:r>
          <m:sSub>
            <m:e>
              <m:r>
                <m:t>x</m:t>
              </m:r>
            </m:e>
            <m:sub>
              <m:r>
                <m:t>1</m:t>
              </m:r>
            </m:sub>
          </m:sSub>
          <m:r>
            <m:rPr>
              <m:sty m:val="p"/>
            </m:rPr>
            <m:t>=</m:t>
          </m:r>
          <m:r>
            <m:t>I</m:t>
          </m:r>
          <m:r>
            <m:t> </m:t>
          </m:r>
          <m:r>
            <m:rPr>
              <m:sty m:val="p"/>
            </m:rPr>
            <m:t>⇒</m:t>
          </m:r>
          <m:r>
            <m:t> </m:t>
          </m:r>
          <m:sSub>
            <m:e>
              <m:r>
                <m:t>x</m:t>
              </m:r>
            </m:e>
            <m:sub>
              <m:r>
                <m:t>1</m:t>
              </m:r>
            </m:sub>
          </m:sSub>
          <m:d>
            <m:dPr>
              <m:begChr m:val="("/>
              <m:sepChr m:val=""/>
              <m:endChr m:val=")"/>
              <m:grow/>
            </m:dPr>
            <m:e>
              <m:sSub>
                <m:e>
                  <m:r>
                    <m:t>p</m:t>
                  </m:r>
                </m:e>
                <m:sub>
                  <m:r>
                    <m:t>1</m:t>
                  </m:r>
                </m:sub>
              </m:sSub>
              <m:r>
                <m:rPr>
                  <m:sty m:val="p"/>
                </m:rPr>
                <m:t>+</m:t>
              </m:r>
              <m:f>
                <m:fPr>
                  <m:type m:val="bar"/>
                </m:fPr>
                <m:num>
                  <m:r>
                    <m:t>b</m:t>
                  </m:r>
                </m:num>
                <m:den>
                  <m:r>
                    <m:t>a</m:t>
                  </m:r>
                </m:den>
              </m:f>
              <m:r>
                <m:t> </m:t>
              </m:r>
              <m:sSub>
                <m:e>
                  <m:r>
                    <m:t>p</m:t>
                  </m:r>
                </m:e>
                <m:sub>
                  <m:r>
                    <m:t>2</m:t>
                  </m:r>
                </m:sub>
              </m:sSub>
            </m:e>
          </m:d>
          <m:r>
            <m:rPr>
              <m:sty m:val="p"/>
            </m:rPr>
            <m:t>=</m:t>
          </m:r>
          <m:r>
            <m:t>I</m:t>
          </m:r>
        </m:oMath>
      </m:oMathPara>
    </w:p>
    <w:p>
      <w:pPr>
        <w:pStyle w:val="FirstParagraph"/>
      </w:pPr>
      <m:oMathPara>
        <m:oMathParaPr>
          <m:jc m:val="center"/>
        </m:oMathParaPr>
        <m:oMath>
          <m:borderBox>
            <m:e>
              <m:sSubSup>
                <m:e>
                  <m:r>
                    <m:t>x</m:t>
                  </m:r>
                </m:e>
                <m:sub>
                  <m:r>
                    <m:t>1</m:t>
                  </m:r>
                </m:sub>
                <m:sup>
                  <m:r>
                    <m:rPr>
                      <m:sty m:val="p"/>
                    </m:rPr>
                    <m:t>*</m:t>
                  </m:r>
                </m:sup>
              </m:sSubSup>
              <m:r>
                <m:rPr>
                  <m:sty m:val="p"/>
                </m:rPr>
                <m:t>=</m:t>
              </m:r>
              <m:f>
                <m:fPr>
                  <m:type m:val="bar"/>
                </m:fPr>
                <m:num>
                  <m:r>
                    <m:t>a</m:t>
                  </m:r>
                  <m:r>
                    <m:t> </m:t>
                  </m:r>
                  <m:r>
                    <m:t>I</m:t>
                  </m:r>
                </m:num>
                <m:den>
                  <m:r>
                    <m:t>a</m:t>
                  </m:r>
                  <m:r>
                    <m:t> </m:t>
                  </m:r>
                  <m:sSub>
                    <m:e>
                      <m:r>
                        <m:t>p</m:t>
                      </m:r>
                    </m:e>
                    <m:sub>
                      <m:r>
                        <m:t>1</m:t>
                      </m:r>
                    </m:sub>
                  </m:sSub>
                  <m:r>
                    <m:rPr>
                      <m:sty m:val="p"/>
                    </m:rPr>
                    <m:t>+</m:t>
                  </m:r>
                  <m:r>
                    <m:t>b</m:t>
                  </m:r>
                  <m:r>
                    <m:t> </m:t>
                  </m:r>
                  <m:sSub>
                    <m:e>
                      <m:r>
                        <m:t>p</m:t>
                      </m:r>
                    </m:e>
                    <m:sub>
                      <m:r>
                        <m:t>2</m:t>
                      </m:r>
                    </m:sub>
                  </m:sSub>
                </m:den>
              </m:f>
              <m:r>
                <m:rPr>
                  <m:sty m:val="p"/>
                </m:rPr>
                <m:t>,</m:t>
              </m:r>
              <m:r>
                <m:t>  </m:t>
              </m:r>
              <m:sSubSup>
                <m:e>
                  <m:r>
                    <m:t>x</m:t>
                  </m:r>
                </m:e>
                <m:sub>
                  <m:r>
                    <m:t>2</m:t>
                  </m:r>
                </m:sub>
                <m:sup>
                  <m:r>
                    <m:rPr>
                      <m:sty m:val="p"/>
                    </m:rPr>
                    <m:t>*</m:t>
                  </m:r>
                </m:sup>
              </m:sSubSup>
              <m:r>
                <m:rPr>
                  <m:sty m:val="p"/>
                </m:rPr>
                <m:t>=</m:t>
              </m:r>
              <m:f>
                <m:fPr>
                  <m:type m:val="bar"/>
                </m:fPr>
                <m:num>
                  <m:r>
                    <m:t>b</m:t>
                  </m:r>
                  <m:r>
                    <m:t> </m:t>
                  </m:r>
                  <m:r>
                    <m:t>I</m:t>
                  </m:r>
                </m:num>
                <m:den>
                  <m:r>
                    <m:t>a</m:t>
                  </m:r>
                  <m:r>
                    <m:t> </m:t>
                  </m:r>
                  <m:sSub>
                    <m:e>
                      <m:r>
                        <m:t>p</m:t>
                      </m:r>
                    </m:e>
                    <m:sub>
                      <m:r>
                        <m:t>1</m:t>
                      </m:r>
                    </m:sub>
                  </m:sSub>
                  <m:r>
                    <m:rPr>
                      <m:sty m:val="p"/>
                    </m:rPr>
                    <m:t>+</m:t>
                  </m:r>
                  <m:r>
                    <m:t>b</m:t>
                  </m:r>
                  <m:r>
                    <m:t> </m:t>
                  </m:r>
                  <m:sSub>
                    <m:e>
                      <m:r>
                        <m:t>p</m:t>
                      </m:r>
                    </m:e>
                    <m:sub>
                      <m:r>
                        <m:t>2</m:t>
                      </m:r>
                    </m:sub>
                  </m:sSub>
                </m:den>
              </m:f>
            </m:e>
          </m:borderBox>
        </m:oMath>
      </m:oMathPara>
    </w:p>
    <w:p>
      <w:pPr>
        <w:pStyle w:val="FirstParagraph"/>
      </w:pPr>
      <w:r>
        <w:t xml:space="preserve">Note que a demanda depende de</w:t>
      </w:r>
      <w:r>
        <w:t xml:space="preserve"> </w:t>
      </w:r>
      <w:r>
        <w:rPr>
          <w:i/>
          <w:iCs/>
        </w:rPr>
        <w:t xml:space="preserve">ambos</w:t>
      </w:r>
      <w:r>
        <w:t xml:space="preserve"> </w:t>
      </w:r>
      <w:r>
        <w:t xml:space="preserve">os preços — uma redução em</w:t>
      </w:r>
      <w:r>
        <w:t xml:space="preserve"> </w:t>
      </w:r>
      <m:oMath>
        <m:sSub>
          <m:e>
            <m:r>
              <m:t>p</m:t>
            </m:r>
          </m:e>
          <m:sub>
            <m:r>
              <m:t>1</m:t>
            </m:r>
          </m:sub>
        </m:sSub>
      </m:oMath>
      <w:r>
        <w:t xml:space="preserve"> </w:t>
      </w:r>
      <w:r>
        <w:t xml:space="preserve">aumenta a demanda por</w:t>
      </w:r>
      <w:r>
        <w:t xml:space="preserve"> </w:t>
      </w:r>
      <w:r>
        <w:rPr>
          <w:i/>
          <w:iCs/>
        </w:rPr>
        <w:t xml:space="preserve">ambos</w:t>
      </w:r>
      <w:r>
        <w:t xml:space="preserve"> </w:t>
      </w:r>
      <w:r>
        <w:t xml:space="preserve">os bens, pois eles são sempre consumidos juntos na proporção</w:t>
      </w:r>
      <w:r>
        <w:t xml:space="preserve"> </w:t>
      </w:r>
      <m:oMath>
        <m:r>
          <m:t>a</m:t>
        </m:r>
        <m:r>
          <m:rPr>
            <m:sty m:val="p"/>
          </m:rPr>
          <m:t>:</m:t>
        </m:r>
        <m:r>
          <m:t>b</m:t>
        </m:r>
      </m:oMath>
      <w:r>
        <w:t xml:space="preserve">.</w:t>
      </w:r>
    </w:p>
    <w:p>
      <w:pPr>
        <w:pStyle w:val="BodyText"/>
      </w:pPr>
      <w:r>
        <w:rPr>
          <w:b/>
          <w:bCs/>
        </w:rPr>
        <w:t xml:space="preserve">Utilidade indireta.</w:t>
      </w:r>
    </w:p>
    <w:p>
      <w:pPr>
        <w:pStyle w:val="BodyText"/>
      </w:pPr>
      <m:oMathPara>
        <m:oMathParaPr>
          <m:jc m:val="center"/>
        </m:oMathParaPr>
        <m:oMath>
          <m:r>
            <m:t>V</m:t>
          </m:r>
          <m:r>
            <m:rPr>
              <m:sty m:val="p"/>
            </m:rPr>
            <m:t>(</m:t>
          </m:r>
          <m:r>
            <m:rPr>
              <m:sty m:val="bi"/>
            </m:rPr>
            <m:t>p</m:t>
          </m:r>
          <m:r>
            <m:rPr>
              <m:sty m:val="p"/>
            </m:rPr>
            <m:t>,</m:t>
          </m:r>
          <m:r>
            <m:t>I</m:t>
          </m:r>
          <m:r>
            <m:rPr>
              <m:sty m:val="p"/>
            </m:rPr>
            <m:t>)</m:t>
          </m:r>
          <m:r>
            <m:rPr>
              <m:sty m:val="p"/>
            </m:rPr>
            <m:t>=</m:t>
          </m:r>
          <m:f>
            <m:fPr>
              <m:type m:val="bar"/>
            </m:fPr>
            <m:num>
              <m:r>
                <m:t>I</m:t>
              </m:r>
            </m:num>
            <m:den>
              <m:r>
                <m:t>a</m:t>
              </m:r>
              <m:r>
                <m:t> </m:t>
              </m:r>
              <m:sSub>
                <m:e>
                  <m:r>
                    <m:t>p</m:t>
                  </m:r>
                </m:e>
                <m:sub>
                  <m:r>
                    <m:t>1</m:t>
                  </m:r>
                </m:sub>
              </m:sSub>
              <m:r>
                <m:rPr>
                  <m:sty m:val="p"/>
                </m:rPr>
                <m:t>+</m:t>
              </m:r>
              <m:r>
                <m:t>b</m:t>
              </m:r>
              <m:r>
                <m:t> </m:t>
              </m:r>
              <m:sSub>
                <m:e>
                  <m:r>
                    <m:t>p</m:t>
                  </m:r>
                </m:e>
                <m:sub>
                  <m:r>
                    <m:t>2</m:t>
                  </m:r>
                </m:sub>
              </m:sSub>
            </m:den>
          </m:f>
        </m:oMath>
      </m:oMathPara>
    </w:p>
    <w:p>
      <w:pPr>
        <w:pStyle w:val="FirstParagraph"/>
      </w:pPr>
      <w:r>
        <w:rPr>
          <w:b/>
          <w:bCs/>
        </w:rPr>
        <w:t xml:space="preserve">Demanda Hicksiana.</w:t>
      </w:r>
      <w:r>
        <w:t xml:space="preserve"> </w:t>
      </w:r>
      <w:r>
        <w:t xml:space="preserve">Para atingir utilidade</w:t>
      </w:r>
      <w:r>
        <w:t xml:space="preserve"> </w:t>
      </w:r>
      <m:oMath>
        <m:acc>
          <m:accPr>
            <m:chr m:val="‾"/>
          </m:accPr>
          <m:e>
            <m:r>
              <m:t>u</m:t>
            </m:r>
          </m:e>
        </m:acc>
      </m:oMath>
      <w:r>
        <w:t xml:space="preserve">, o consumidor precisa exatamente</w:t>
      </w:r>
      <w:r>
        <w:t xml:space="preserve"> </w:t>
      </w:r>
      <m:oMath>
        <m:sSub>
          <m:e>
            <m:r>
              <m:t>x</m:t>
            </m:r>
          </m:e>
          <m:sub>
            <m:r>
              <m:t>1</m:t>
            </m:r>
          </m:sub>
        </m:sSub>
        <m:r>
          <m:rPr>
            <m:sty m:val="p"/>
          </m:rPr>
          <m:t>=</m:t>
        </m:r>
        <m:r>
          <m:t>a</m:t>
        </m:r>
        <m:acc>
          <m:accPr>
            <m:chr m:val="‾"/>
          </m:accPr>
          <m:e>
            <m:r>
              <m:t>u</m:t>
            </m:r>
          </m:e>
        </m:acc>
      </m:oMath>
      <w:r>
        <w:t xml:space="preserve"> </w:t>
      </w:r>
      <w:r>
        <w:t xml:space="preserve">e</w:t>
      </w:r>
      <w:r>
        <w:t xml:space="preserve"> </w:t>
      </w:r>
      <m:oMath>
        <m:sSub>
          <m:e>
            <m:r>
              <m:t>x</m:t>
            </m:r>
          </m:e>
          <m:sub>
            <m:r>
              <m:t>2</m:t>
            </m:r>
          </m:sub>
        </m:sSub>
        <m:r>
          <m:rPr>
            <m:sty m:val="p"/>
          </m:rPr>
          <m:t>=</m:t>
        </m:r>
        <m:r>
          <m:t>b</m:t>
        </m:r>
        <m:acc>
          <m:accPr>
            <m:chr m:val="‾"/>
          </m:accPr>
          <m:e>
            <m:r>
              <m:t>u</m:t>
            </m:r>
          </m:e>
        </m:acc>
      </m:oMath>
      <w:r>
        <w:t xml:space="preserve">. Qualquer outra combinação ou não atinge</w:t>
      </w:r>
      <w:r>
        <w:t xml:space="preserve"> </w:t>
      </w:r>
      <m:oMath>
        <m:acc>
          <m:accPr>
            <m:chr m:val="‾"/>
          </m:accPr>
          <m:e>
            <m:r>
              <m:t>u</m:t>
            </m:r>
          </m:e>
        </m:acc>
      </m:oMath>
      <w:r>
        <w:t xml:space="preserve"> </w:t>
      </w:r>
      <w:r>
        <w:t xml:space="preserve">ou gasta mais. Portanto:</w:t>
      </w:r>
    </w:p>
    <w:p>
      <w:pPr>
        <w:pStyle w:val="BodyText"/>
      </w:pPr>
      <m:oMathPara>
        <m:oMathParaPr>
          <m:jc m:val="center"/>
        </m:oMathParaPr>
        <m:oMath>
          <m:borderBox>
            <m:e>
              <m:sSub>
                <m:e>
                  <m:r>
                    <m:t>h</m:t>
                  </m:r>
                </m:e>
                <m:sub>
                  <m:r>
                    <m:t>1</m:t>
                  </m:r>
                </m:sub>
              </m:sSub>
              <m:r>
                <m:rPr>
                  <m:sty m:val="p"/>
                </m:rPr>
                <m:t>=</m:t>
              </m:r>
              <m:r>
                <m:t>a</m:t>
              </m:r>
              <m:r>
                <m:t> </m:t>
              </m:r>
              <m:acc>
                <m:accPr>
                  <m:chr m:val="‾"/>
                </m:accPr>
                <m:e>
                  <m:r>
                    <m:t>u</m:t>
                  </m:r>
                </m:e>
              </m:acc>
              <m:r>
                <m:rPr>
                  <m:sty m:val="p"/>
                </m:rPr>
                <m:t>,</m:t>
              </m:r>
              <m:r>
                <m:t>  </m:t>
              </m:r>
              <m:sSub>
                <m:e>
                  <m:r>
                    <m:t>h</m:t>
                  </m:r>
                </m:e>
                <m:sub>
                  <m:r>
                    <m:t>2</m:t>
                  </m:r>
                </m:sub>
              </m:sSub>
              <m:r>
                <m:rPr>
                  <m:sty m:val="p"/>
                </m:rPr>
                <m:t>=</m:t>
              </m:r>
              <m:r>
                <m:t>b</m:t>
              </m:r>
              <m:r>
                <m:t> </m:t>
              </m:r>
              <m:acc>
                <m:accPr>
                  <m:chr m:val="‾"/>
                </m:accPr>
                <m:e>
                  <m:r>
                    <m:t>u</m:t>
                  </m:r>
                </m:e>
              </m:acc>
            </m:e>
          </m:borderBox>
        </m:oMath>
      </m:oMathPara>
    </w:p>
    <w:p>
      <w:pPr>
        <w:pStyle w:val="FirstParagraph"/>
      </w:pPr>
      <w:r>
        <w:t xml:space="preserve">As demandas hicksianas são</w:t>
      </w:r>
      <w:r>
        <w:t xml:space="preserve"> </w:t>
      </w:r>
      <w:r>
        <w:rPr>
          <w:b/>
          <w:bCs/>
        </w:rPr>
        <w:t xml:space="preserve">independentes dos preços</w:t>
      </w:r>
      <w:r>
        <w:t xml:space="preserve"> </w:t>
      </w:r>
      <w:r>
        <w:t xml:space="preserve">— o efeito substituição é zero, coerente com</w:t>
      </w:r>
      <w:r>
        <w:t xml:space="preserve"> </w:t>
      </w:r>
      <m:oMath>
        <m:r>
          <m:t>σ</m:t>
        </m:r>
        <m:r>
          <m:rPr>
            <m:sty m:val="p"/>
          </m:rPr>
          <m:t>=</m:t>
        </m:r>
        <m:r>
          <m:t>0</m:t>
        </m:r>
      </m:oMath>
      <w:r>
        <w:t xml:space="preserve">.</w:t>
      </w:r>
    </w:p>
    <w:p>
      <w:pPr>
        <w:pStyle w:val="BodyText"/>
      </w:pPr>
      <w:r>
        <w:rPr>
          <w:b/>
          <w:bCs/>
        </w:rPr>
        <w:t xml:space="preserve">Função dispêndio.</w:t>
      </w:r>
    </w:p>
    <w:p>
      <w:pPr>
        <w:pStyle w:val="BodyText"/>
      </w:pPr>
      <m:oMathPara>
        <m:oMathParaPr>
          <m:jc m:val="center"/>
        </m:oMathParaPr>
        <m:oMath>
          <m:r>
            <m:t>E</m:t>
          </m:r>
          <m:r>
            <m:rPr>
              <m:sty m:val="p"/>
            </m:rPr>
            <m:t>(</m:t>
          </m:r>
          <m:r>
            <m:rPr>
              <m:sty m:val="bi"/>
            </m:rPr>
            <m:t>p</m:t>
          </m:r>
          <m:r>
            <m:rPr>
              <m:sty m:val="p"/>
            </m:rPr>
            <m:t>,</m:t>
          </m:r>
          <m:acc>
            <m:accPr>
              <m:chr m:val="‾"/>
            </m:accPr>
            <m:e>
              <m:r>
                <m:t>u</m:t>
              </m:r>
            </m:e>
          </m:acc>
          <m:r>
            <m:rPr>
              <m:sty m:val="p"/>
            </m:rPr>
            <m:t>)</m:t>
          </m:r>
          <m:r>
            <m:rPr>
              <m:sty m:val="p"/>
            </m:rPr>
            <m:t>=</m:t>
          </m:r>
          <m:r>
            <m:rPr>
              <m:sty m:val="p"/>
            </m:rPr>
            <m:t>(</m:t>
          </m:r>
          <m:r>
            <m:t>a</m:t>
          </m:r>
          <m:r>
            <m:t> </m:t>
          </m:r>
          <m:sSub>
            <m:e>
              <m:r>
                <m:t>p</m:t>
              </m:r>
            </m:e>
            <m:sub>
              <m:r>
                <m:t>1</m:t>
              </m:r>
            </m:sub>
          </m:sSub>
          <m:r>
            <m:rPr>
              <m:sty m:val="p"/>
            </m:rPr>
            <m:t>+</m:t>
          </m:r>
          <m:r>
            <m:t>b</m:t>
          </m:r>
          <m:r>
            <m:t> </m:t>
          </m:r>
          <m:sSub>
            <m:e>
              <m:r>
                <m:t>p</m:t>
              </m:r>
            </m:e>
            <m:sub>
              <m:r>
                <m:t>2</m:t>
              </m:r>
            </m:sub>
          </m:sSub>
          <m:r>
            <m:rPr>
              <m:sty m:val="p"/>
            </m:rPr>
            <m:t>)</m:t>
          </m:r>
          <m:r>
            <m:t> </m:t>
          </m:r>
          <m:acc>
            <m:accPr>
              <m:chr m:val="‾"/>
            </m:accPr>
            <m:e>
              <m:r>
                <m:t>u</m:t>
              </m:r>
            </m:e>
          </m:acc>
        </m:oMath>
      </m:oMathPara>
    </w:p>
    <w:p>
      <w:pPr>
        <w:pStyle w:val="FirstParagraph"/>
      </w:pPr>
      <w:r>
        <w:t xml:space="preserve">A função dispêndio é linear nos preços — não há curvatura porque não há substituição.</w:t>
      </w:r>
    </w:p>
    <w:bookmarkEnd w:id="210"/>
    <w:bookmarkStart w:id="211" w:name="ces-ux₁-x₂-a-x₁ρ-b-x₂ρ1ρ"/>
    <w:p>
      <w:pPr>
        <w:pStyle w:val="Heading4"/>
      </w:pPr>
      <w:r>
        <w:t xml:space="preserve">4.10.4 CES: U(x₁, x₂) = (a x₁</w:t>
      </w:r>
      <w:r>
        <w:t xml:space="preserve">ρ</w:t>
      </w:r>
      <w:r>
        <w:t xml:space="preserve"> </w:t>
      </w:r>
      <w:r>
        <w:t xml:space="preserve">+ b x₂</w:t>
      </w:r>
      <w:r>
        <w:t xml:space="preserve">ρ</w:t>
      </w:r>
      <w:r>
        <w:t xml:space="preserve">)</w:t>
      </w:r>
      <w:r>
        <w:t xml:space="preserve">1/ρ</w:t>
      </w:r>
    </w:p>
    <w:p>
      <w:pPr>
        <w:pStyle w:val="FirstParagraph"/>
      </w:pPr>
      <w:r>
        <w:t xml:space="preserve">Após derivar separadamente os casos Cobb-Douglas, substitutos e complementos perfeitos, estamos em condições de apresentar a família que os unifica. A função CES (</w:t>
      </w:r>
      <w:r>
        <w:rPr>
          <w:i/>
          <w:iCs/>
        </w:rPr>
        <w:t xml:space="preserve">Constant Elasticity of Substitution</w:t>
      </w:r>
      <w:r>
        <w:t xml:space="preserve">) generaliza os três casos anteriores, e suas demandas oferecem uma visão integrada de como o grau de substituibilidade entre bens afeta o comportamento do consumidor. O parâmetro</w:t>
      </w:r>
      <w:r>
        <w:t xml:space="preserve"> </w:t>
      </w:r>
      <m:oMath>
        <m:r>
          <m:t>ρ</m:t>
        </m:r>
        <m:r>
          <m:rPr>
            <m:sty m:val="p"/>
          </m:rPr>
          <m:t>∈</m:t>
        </m:r>
        <m:r>
          <m:rPr>
            <m:sty m:val="p"/>
          </m:rPr>
          <m:t>(</m:t>
        </m:r>
        <m:r>
          <m:rPr>
            <m:sty m:val="p"/>
          </m:rPr>
          <m:t>−</m:t>
        </m:r>
        <m:r>
          <m:rPr>
            <m:sty m:val="p"/>
          </m:rPr>
          <m:t>∞</m:t>
        </m:r>
        <m:r>
          <m:rPr>
            <m:sty m:val="p"/>
          </m:rPr>
          <m:t>,</m:t>
        </m:r>
        <m:r>
          <m:t>1</m:t>
        </m:r>
        <m:r>
          <m:rPr>
            <m:sty m:val="p"/>
          </m:rPr>
          <m:t>]</m:t>
        </m:r>
        <m:r>
          <m:rPr>
            <m:sty m:val="p"/>
          </m:rPr>
          <m:t>\</m:t>
        </m:r>
        <m:r>
          <m:rPr>
            <m:sty m:val="p"/>
          </m:rPr>
          <m:t>{</m:t>
        </m:r>
        <m:r>
          <m:t>0</m:t>
        </m:r>
        <m:r>
          <m:rPr>
            <m:sty m:val="p"/>
          </m:rPr>
          <m:t>}</m:t>
        </m:r>
      </m:oMath>
      <w:r>
        <w:t xml:space="preserve"> </w:t>
      </w:r>
      <w:r>
        <w:t xml:space="preserve">determina a elasticidade de substituição</w:t>
      </w:r>
      <w:r>
        <w:t xml:space="preserve"> </w:t>
      </w:r>
      <m:oMath>
        <m:r>
          <m:t>σ</m:t>
        </m:r>
        <m:r>
          <m:rPr>
            <m:sty m:val="p"/>
          </m:rPr>
          <m:t>=</m:t>
        </m:r>
        <m:r>
          <m:t>1</m:t>
        </m:r>
        <m:r>
          <m:rPr>
            <m:sty m:val="p"/>
          </m:rPr>
          <m:t>/</m:t>
        </m:r>
        <m:r>
          <m:rPr>
            <m:sty m:val="p"/>
          </m:rPr>
          <m:t>(</m:t>
        </m:r>
        <m:r>
          <m:t>1</m:t>
        </m:r>
        <m:r>
          <m:rPr>
            <m:sty m:val="p"/>
          </m:rPr>
          <m:t>−</m:t>
        </m:r>
        <m:r>
          <m:t>ρ</m:t>
        </m:r>
        <m:r>
          <m:rPr>
            <m:sty m:val="p"/>
          </m:rPr>
          <m:t>)</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ρ</m:t>
              </m:r>
            </m:oMath>
          </w:p>
        </w:tc>
        <w:tc>
          <w:tcPr/>
          <w:p>
            <w:pPr>
              <w:pStyle w:val="Compact"/>
            </w:pPr>
            <m:oMath>
              <m:r>
                <m:t>σ</m:t>
              </m:r>
            </m:oMath>
          </w:p>
        </w:tc>
        <w:tc>
          <w:tcPr/>
          <w:p>
            <w:pPr>
              <w:pStyle w:val="Compact"/>
            </w:pPr>
            <w:r>
              <w:t xml:space="preserve">Caso limite</w:t>
            </w:r>
          </w:p>
        </w:tc>
      </w:tr>
      <w:tr>
        <w:tc>
          <w:tcPr/>
          <w:p>
            <w:pPr>
              <w:pStyle w:val="Compact"/>
            </w:pPr>
            <m:oMath>
              <m:r>
                <m:t>ρ</m:t>
              </m:r>
              <m:r>
                <m:rPr>
                  <m:sty m:val="p"/>
                </m:rPr>
                <m:t>→</m:t>
              </m:r>
              <m:r>
                <m:t>1</m:t>
              </m:r>
            </m:oMath>
          </w:p>
        </w:tc>
        <w:tc>
          <w:tcPr/>
          <w:p>
            <w:pPr>
              <w:pStyle w:val="Compact"/>
            </w:pPr>
            <m:oMath>
              <m:r>
                <m:t>σ</m:t>
              </m:r>
              <m:r>
                <m:rPr>
                  <m:sty m:val="p"/>
                </m:rPr>
                <m:t>→</m:t>
              </m:r>
              <m:r>
                <m:rPr>
                  <m:sty m:val="p"/>
                </m:rPr>
                <m:t>∞</m:t>
              </m:r>
            </m:oMath>
          </w:p>
        </w:tc>
        <w:tc>
          <w:tcPr/>
          <w:p>
            <w:pPr>
              <w:pStyle w:val="Compact"/>
            </w:pPr>
            <w:r>
              <w:t xml:space="preserve">Substitutos perfeitos</w:t>
            </w:r>
          </w:p>
        </w:tc>
      </w:tr>
      <w:tr>
        <w:tc>
          <w:tcPr/>
          <w:p>
            <w:pPr>
              <w:pStyle w:val="Compact"/>
            </w:pPr>
            <m:oMath>
              <m:r>
                <m:t>ρ</m:t>
              </m:r>
              <m:r>
                <m:rPr>
                  <m:sty m:val="p"/>
                </m:rPr>
                <m:t>→</m:t>
              </m:r>
              <m:r>
                <m:t>0</m:t>
              </m:r>
            </m:oMath>
          </w:p>
        </w:tc>
        <w:tc>
          <w:tcPr/>
          <w:p>
            <w:pPr>
              <w:pStyle w:val="Compact"/>
            </w:pPr>
            <m:oMath>
              <m:r>
                <m:t>σ</m:t>
              </m:r>
              <m:r>
                <m:rPr>
                  <m:sty m:val="p"/>
                </m:rPr>
                <m:t>→</m:t>
              </m:r>
              <m:r>
                <m:t>1</m:t>
              </m:r>
            </m:oMath>
          </w:p>
        </w:tc>
        <w:tc>
          <w:tcPr/>
          <w:p>
            <w:pPr>
              <w:pStyle w:val="Compact"/>
            </w:pPr>
            <w:r>
              <w:t xml:space="preserve">Cobb-Douglas</w:t>
            </w:r>
          </w:p>
        </w:tc>
      </w:tr>
      <w:tr>
        <w:tc>
          <w:tcPr/>
          <w:p>
            <w:pPr>
              <w:pStyle w:val="Compact"/>
            </w:pPr>
            <m:oMath>
              <m:r>
                <m:t>ρ</m:t>
              </m:r>
              <m:r>
                <m:rPr>
                  <m:sty m:val="p"/>
                </m:rPr>
                <m:t>→</m:t>
              </m:r>
              <m:r>
                <m:rPr>
                  <m:sty m:val="p"/>
                </m:rPr>
                <m:t>−</m:t>
              </m:r>
              <m:r>
                <m:rPr>
                  <m:sty m:val="p"/>
                </m:rPr>
                <m:t>∞</m:t>
              </m:r>
            </m:oMath>
          </w:p>
        </w:tc>
        <w:tc>
          <w:tcPr/>
          <w:p>
            <w:pPr>
              <w:pStyle w:val="Compact"/>
            </w:pPr>
            <m:oMath>
              <m:r>
                <m:t>σ</m:t>
              </m:r>
              <m:r>
                <m:rPr>
                  <m:sty m:val="p"/>
                </m:rPr>
                <m:t>→</m:t>
              </m:r>
              <m:r>
                <m:t>0</m:t>
              </m:r>
            </m:oMath>
          </w:p>
        </w:tc>
        <w:tc>
          <w:tcPr/>
          <w:p>
            <w:pPr>
              <w:pStyle w:val="Compact"/>
            </w:pPr>
            <w:r>
              <w:t xml:space="preserve">Complementares perfeitos</w:t>
            </w:r>
          </w:p>
        </w:tc>
      </w:tr>
    </w:tbl>
    <w:p>
      <w:pPr>
        <w:pStyle w:val="BodyText"/>
      </w:pPr>
      <w:r>
        <w:rPr>
          <w:b/>
          <w:bCs/>
        </w:rPr>
        <w:t xml:space="preserve">Tabela 4.1 — Casos limite da função CES.</w:t>
      </w:r>
      <w:r>
        <w:t xml:space="preserve"> </w:t>
      </w:r>
      <w:r>
        <w:t xml:space="preserve">O parâmetro</w:t>
      </w:r>
      <w:r>
        <w:t xml:space="preserve"> </w:t>
      </w:r>
      <m:oMath>
        <m:r>
          <m:t>ρ</m:t>
        </m:r>
      </m:oMath>
      <w:r>
        <w:t xml:space="preserve"> </w:t>
      </w:r>
      <w:r>
        <w:t xml:space="preserve">determina a elasticidade de substituição</w:t>
      </w:r>
      <w:r>
        <w:t xml:space="preserve"> </w:t>
      </w:r>
      <m:oMath>
        <m:r>
          <m:t>σ</m:t>
        </m:r>
        <m:r>
          <m:rPr>
            <m:sty m:val="p"/>
          </m:rPr>
          <m:t>=</m:t>
        </m:r>
        <m:r>
          <m:t>1</m:t>
        </m:r>
        <m:r>
          <m:rPr>
            <m:sty m:val="p"/>
          </m:rPr>
          <m:t>/</m:t>
        </m:r>
        <m:r>
          <m:rPr>
            <m:sty m:val="p"/>
          </m:rPr>
          <m:t>(</m:t>
        </m:r>
        <m:r>
          <m:t>1</m:t>
        </m:r>
        <m:r>
          <m:rPr>
            <m:sty m:val="p"/>
          </m:rPr>
          <m:t>−</m:t>
        </m:r>
        <m:r>
          <m:t>ρ</m:t>
        </m:r>
        <m:r>
          <m:rPr>
            <m:sty m:val="p"/>
          </m:rPr>
          <m:t>)</m:t>
        </m:r>
      </m:oMath>
      <w:r>
        <w:t xml:space="preserve">.</w:t>
      </w:r>
    </w:p>
    <w:p>
      <w:pPr>
        <w:pStyle w:val="BodyText"/>
      </w:pPr>
      <w:r>
        <w:rPr>
          <w:b/>
          <w:bCs/>
        </w:rPr>
        <w:t xml:space="preserve">Demanda Marshalliana.</w:t>
      </w:r>
      <w:r>
        <w:t xml:space="preserve"> </w:t>
      </w:r>
      <w:r>
        <w:t xml:space="preserve">O consumidor resolve:</w:t>
      </w:r>
    </w:p>
    <w:p>
      <w:pPr>
        <w:pStyle w:val="BodyText"/>
      </w:pPr>
      <m:oMathPara>
        <m:oMathParaPr>
          <m:jc m:val="center"/>
        </m:oMathParaPr>
        <m:oMath>
          <m:limLow>
            <m:e>
              <m:r>
                <m:rPr>
                  <m:sty m:val="p"/>
                </m:rPr>
                <m:t>max</m:t>
              </m:r>
            </m:e>
            <m:lim>
              <m:sSub>
                <m:e>
                  <m:r>
                    <m:t>x</m:t>
                  </m:r>
                </m:e>
                <m:sub>
                  <m:r>
                    <m:t>1</m:t>
                  </m:r>
                </m:sub>
              </m:sSub>
              <m:r>
                <m:rPr>
                  <m:sty m:val="p"/>
                </m:rPr>
                <m:t>,</m:t>
              </m:r>
              <m:sSub>
                <m:e>
                  <m:r>
                    <m:t>x</m:t>
                  </m:r>
                </m:e>
                <m:sub>
                  <m:r>
                    <m:t>2</m:t>
                  </m:r>
                </m:sub>
              </m:sSub>
            </m:lim>
          </m:limLow>
          <m:r>
            <m:t> </m:t>
          </m:r>
          <m:r>
            <m:rPr>
              <m:sty m:val="p"/>
            </m:rPr>
            <m:t>(</m:t>
          </m:r>
          <m:r>
            <m:t>a</m:t>
          </m:r>
          <m:r>
            <m:t> </m:t>
          </m:r>
          <m:sSubSup>
            <m:e>
              <m:r>
                <m:t>x</m:t>
              </m:r>
            </m:e>
            <m:sub>
              <m:r>
                <m:t>1</m:t>
              </m:r>
            </m:sub>
            <m:sup>
              <m:r>
                <m:t>ρ</m:t>
              </m:r>
            </m:sup>
          </m:sSubSup>
          <m:r>
            <m:rPr>
              <m:sty m:val="p"/>
            </m:rPr>
            <m:t>+</m:t>
          </m:r>
          <m:r>
            <m:t>b</m:t>
          </m:r>
          <m:r>
            <m:t> </m:t>
          </m:r>
          <m:sSubSup>
            <m:e>
              <m:r>
                <m:t>x</m:t>
              </m:r>
            </m:e>
            <m:sub>
              <m:r>
                <m:t>2</m:t>
              </m:r>
            </m:sub>
            <m:sup>
              <m:r>
                <m:t>ρ</m:t>
              </m:r>
            </m:sup>
          </m:sSubSup>
          <m:sSup>
            <m:e>
              <m:r>
                <m:rPr>
                  <m:sty m:val="p"/>
                </m:rPr>
                <m:t>)</m:t>
              </m:r>
            </m:e>
            <m:sup>
              <m:r>
                <m:t>1</m:t>
              </m:r>
              <m:r>
                <m:rPr>
                  <m:sty m:val="p"/>
                </m:rPr>
                <m:t>/</m:t>
              </m:r>
              <m:r>
                <m:t>ρ</m:t>
              </m:r>
            </m:sup>
          </m:sSup>
          <m:r>
            <m:t> </m:t>
          </m:r>
          <m:r>
            <m:rPr>
              <m:nor/>
              <m:sty m:val="p"/>
            </m:rPr>
            <m:t>s.a.</m:t>
          </m:r>
          <m:r>
            <m:t> </m:t>
          </m:r>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oMath>
      </m:oMathPara>
    </w:p>
    <w:p>
      <w:pPr>
        <w:pStyle w:val="FirstParagraph"/>
      </w:pPr>
      <w:r>
        <w:t xml:space="preserve">O Lagrangeano é:</w:t>
      </w:r>
    </w:p>
    <w:p>
      <w:pPr>
        <w:pStyle w:val="BodyText"/>
      </w:pPr>
      <m:oMathPara>
        <m:oMathParaPr>
          <m:jc m:val="center"/>
        </m:oMathParaPr>
        <m:oMath>
          <m:r>
            <m:rPr>
              <m:scr m:val="script"/>
              <m:sty m:val="p"/>
            </m:rPr>
            <m:t>L</m:t>
          </m:r>
          <m:r>
            <m:rPr>
              <m:sty m:val="p"/>
            </m:rPr>
            <m:t>=</m:t>
          </m:r>
          <m:r>
            <m:rPr>
              <m:sty m:val="p"/>
            </m:rPr>
            <m:t>(</m:t>
          </m:r>
          <m:r>
            <m:t>a</m:t>
          </m:r>
          <m:r>
            <m:t> </m:t>
          </m:r>
          <m:sSubSup>
            <m:e>
              <m:r>
                <m:t>x</m:t>
              </m:r>
            </m:e>
            <m:sub>
              <m:r>
                <m:t>1</m:t>
              </m:r>
            </m:sub>
            <m:sup>
              <m:r>
                <m:t>ρ</m:t>
              </m:r>
            </m:sup>
          </m:sSubSup>
          <m:r>
            <m:rPr>
              <m:sty m:val="p"/>
            </m:rPr>
            <m:t>+</m:t>
          </m:r>
          <m:r>
            <m:t>b</m:t>
          </m:r>
          <m:r>
            <m:t> </m:t>
          </m:r>
          <m:sSubSup>
            <m:e>
              <m:r>
                <m:t>x</m:t>
              </m:r>
            </m:e>
            <m:sub>
              <m:r>
                <m:t>2</m:t>
              </m:r>
            </m:sub>
            <m:sup>
              <m:r>
                <m:t>ρ</m:t>
              </m:r>
            </m:sup>
          </m:sSubSup>
          <m:sSup>
            <m:e>
              <m:r>
                <m:rPr>
                  <m:sty m:val="p"/>
                </m:rPr>
                <m:t>)</m:t>
              </m:r>
            </m:e>
            <m:sup>
              <m:r>
                <m:t>1</m:t>
              </m:r>
              <m:r>
                <m:rPr>
                  <m:sty m:val="p"/>
                </m:rPr>
                <m:t>/</m:t>
              </m:r>
              <m:r>
                <m:t>ρ</m:t>
              </m:r>
            </m:sup>
          </m:sSup>
          <m:r>
            <m:rPr>
              <m:sty m:val="p"/>
            </m:rPr>
            <m:t>+</m:t>
          </m:r>
          <m:r>
            <m:t>λ</m:t>
          </m:r>
          <m:r>
            <m:rPr>
              <m:sty m:val="p"/>
            </m:rPr>
            <m:t>(</m:t>
          </m:r>
          <m:r>
            <m:t>I</m:t>
          </m:r>
          <m:r>
            <m:rPr>
              <m:sty m:val="p"/>
            </m:rPr>
            <m:t>−</m:t>
          </m:r>
          <m:sSub>
            <m:e>
              <m:r>
                <m:t>p</m:t>
              </m:r>
            </m:e>
            <m:sub>
              <m:r>
                <m:t>1</m:t>
              </m:r>
            </m:sub>
          </m:sSub>
          <m:sSub>
            <m:e>
              <m:r>
                <m:t>x</m:t>
              </m:r>
            </m:e>
            <m:sub>
              <m:r>
                <m:t>1</m:t>
              </m:r>
            </m:sub>
          </m:sSub>
          <m:r>
            <m:rPr>
              <m:sty m:val="p"/>
            </m:rPr>
            <m:t>−</m:t>
          </m:r>
          <m:sSub>
            <m:e>
              <m:r>
                <m:t>p</m:t>
              </m:r>
            </m:e>
            <m:sub>
              <m:r>
                <m:t>2</m:t>
              </m:r>
            </m:sub>
          </m:sSub>
          <m:sSub>
            <m:e>
              <m:r>
                <m:t>x</m:t>
              </m:r>
            </m:e>
            <m:sub>
              <m:r>
                <m:t>2</m:t>
              </m:r>
            </m:sub>
          </m:sSub>
          <m:r>
            <m:rPr>
              <m:sty m:val="p"/>
            </m:rPr>
            <m:t>)</m:t>
          </m:r>
        </m:oMath>
      </m:oMathPara>
    </w:p>
    <w:p>
      <w:pPr>
        <w:pStyle w:val="FirstParagraph"/>
      </w:pPr>
      <w:r>
        <w:t xml:space="preserve">As CPOs são:</w:t>
      </w:r>
    </w:p>
    <w:p>
      <w:pPr>
        <w:pStyle w:val="BodyText"/>
      </w:pPr>
      <m:oMathPara>
        <m:oMathParaPr>
          <m:jc m:val="center"/>
        </m:oMathParaPr>
        <m:oMath>
          <m:f>
            <m:fPr>
              <m:type m:val="bar"/>
            </m:fPr>
            <m:num>
              <m:r>
                <m:rPr>
                  <m:sty m:val="p"/>
                </m:rPr>
                <m:t>∂</m:t>
              </m:r>
              <m:r>
                <m:rPr>
                  <m:scr m:val="script"/>
                  <m:sty m:val="p"/>
                </m:rPr>
                <m:t>L</m:t>
              </m:r>
            </m:num>
            <m:den>
              <m:r>
                <m:rPr>
                  <m:sty m:val="p"/>
                </m:rPr>
                <m:t>∂</m:t>
              </m:r>
              <m:sSub>
                <m:e>
                  <m:r>
                    <m:t>x</m:t>
                  </m:r>
                </m:e>
                <m:sub>
                  <m:r>
                    <m:t>i</m:t>
                  </m:r>
                </m:sub>
              </m:sSub>
            </m:den>
          </m:f>
          <m:r>
            <m:rPr>
              <m:sty m:val="p"/>
            </m:rPr>
            <m:t>=</m:t>
          </m:r>
          <m:f>
            <m:fPr>
              <m:type m:val="bar"/>
            </m:fPr>
            <m:num>
              <m:r>
                <m:t>1</m:t>
              </m:r>
            </m:num>
            <m:den>
              <m:r>
                <m:t>ρ</m:t>
              </m:r>
            </m:den>
          </m:f>
          <m:r>
            <m:rPr>
              <m:sty m:val="p"/>
            </m:rPr>
            <m:t>(</m:t>
          </m:r>
          <m:r>
            <m:t>a</m:t>
          </m:r>
          <m:r>
            <m:t> </m:t>
          </m:r>
          <m:sSubSup>
            <m:e>
              <m:r>
                <m:t>x</m:t>
              </m:r>
            </m:e>
            <m:sub>
              <m:r>
                <m:t>1</m:t>
              </m:r>
            </m:sub>
            <m:sup>
              <m:r>
                <m:t>ρ</m:t>
              </m:r>
            </m:sup>
          </m:sSubSup>
          <m:r>
            <m:rPr>
              <m:sty m:val="p"/>
            </m:rPr>
            <m:t>+</m:t>
          </m:r>
          <m:r>
            <m:t>b</m:t>
          </m:r>
          <m:r>
            <m:t> </m:t>
          </m:r>
          <m:sSubSup>
            <m:e>
              <m:r>
                <m:t>x</m:t>
              </m:r>
            </m:e>
            <m:sub>
              <m:r>
                <m:t>2</m:t>
              </m:r>
            </m:sub>
            <m:sup>
              <m:r>
                <m:t>ρ</m:t>
              </m:r>
            </m:sup>
          </m:sSubSup>
          <m:sSup>
            <m:e>
              <m:r>
                <m:rPr>
                  <m:sty m:val="p"/>
                </m:rPr>
                <m:t>)</m:t>
              </m:r>
            </m:e>
            <m:sup>
              <m:r>
                <m:t>1</m:t>
              </m:r>
              <m:r>
                <m:rPr>
                  <m:sty m:val="p"/>
                </m:rPr>
                <m:t>/</m:t>
              </m:r>
              <m:r>
                <m:t>ρ</m:t>
              </m:r>
              <m:r>
                <m:rPr>
                  <m:sty m:val="p"/>
                </m:rPr>
                <m:t>−</m:t>
              </m:r>
              <m:r>
                <m:t>1</m:t>
              </m:r>
            </m:sup>
          </m:sSup>
          <m:r>
            <m:rPr>
              <m:sty m:val="p"/>
            </m:rPr>
            <m:t>⋅</m:t>
          </m:r>
          <m:r>
            <m:t>ρ</m:t>
          </m:r>
          <m:r>
            <m:t> </m:t>
          </m:r>
          <m:sSub>
            <m:e>
              <m:r>
                <m:t>c</m:t>
              </m:r>
            </m:e>
            <m:sub>
              <m:r>
                <m:t>i</m:t>
              </m:r>
            </m:sub>
          </m:sSub>
          <m:r>
            <m:t> </m:t>
          </m:r>
          <m:sSubSup>
            <m:e>
              <m:r>
                <m:t>x</m:t>
              </m:r>
            </m:e>
            <m:sub>
              <m:r>
                <m:t>i</m:t>
              </m:r>
            </m:sub>
            <m:sup>
              <m:r>
                <m:t>ρ</m:t>
              </m:r>
              <m:r>
                <m:rPr>
                  <m:sty m:val="p"/>
                </m:rPr>
                <m:t>−</m:t>
              </m:r>
              <m:r>
                <m:t>1</m:t>
              </m:r>
            </m:sup>
          </m:sSubSup>
          <m:r>
            <m:rPr>
              <m:sty m:val="p"/>
            </m:rPr>
            <m:t>−</m:t>
          </m:r>
          <m:r>
            <m:t>λ</m:t>
          </m:r>
          <m:sSub>
            <m:e>
              <m:r>
                <m:t>p</m:t>
              </m:r>
            </m:e>
            <m:sub>
              <m:r>
                <m:t>i</m:t>
              </m:r>
            </m:sub>
          </m:sSub>
          <m:r>
            <m:rPr>
              <m:sty m:val="p"/>
            </m:rPr>
            <m:t>=</m:t>
          </m:r>
          <m:r>
            <m:t>0</m:t>
          </m:r>
        </m:oMath>
      </m:oMathPara>
    </w:p>
    <w:p>
      <w:pPr>
        <w:pStyle w:val="FirstParagraph"/>
      </w:pPr>
      <w:r>
        <w:t xml:space="preserve">onde</w:t>
      </w:r>
      <w:r>
        <w:t xml:space="preserve"> </w:t>
      </w:r>
      <m:oMath>
        <m:sSub>
          <m:e>
            <m:r>
              <m:t>c</m:t>
            </m:r>
          </m:e>
          <m:sub>
            <m:r>
              <m:t>1</m:t>
            </m:r>
          </m:sub>
        </m:sSub>
        <m:r>
          <m:rPr>
            <m:sty m:val="p"/>
          </m:rPr>
          <m:t>=</m:t>
        </m:r>
        <m:r>
          <m:t>a</m:t>
        </m:r>
      </m:oMath>
      <w:r>
        <w:t xml:space="preserve"> </w:t>
      </w:r>
      <w:r>
        <w:t xml:space="preserve">e</w:t>
      </w:r>
      <w:r>
        <w:t xml:space="preserve"> </w:t>
      </w:r>
      <m:oMath>
        <m:sSub>
          <m:e>
            <m:r>
              <m:t>c</m:t>
            </m:r>
          </m:e>
          <m:sub>
            <m:r>
              <m:t>2</m:t>
            </m:r>
          </m:sub>
        </m:sSub>
        <m:r>
          <m:rPr>
            <m:sty m:val="p"/>
          </m:rPr>
          <m:t>=</m:t>
        </m:r>
        <m:r>
          <m:t>b</m:t>
        </m:r>
      </m:oMath>
      <w:r>
        <w:t xml:space="preserve">. Simplificando e dividindo a CPO de</w:t>
      </w:r>
      <w:r>
        <w:t xml:space="preserve"> </w:t>
      </w:r>
      <m:oMath>
        <m:sSub>
          <m:e>
            <m:r>
              <m:t>x</m:t>
            </m:r>
          </m:e>
          <m:sub>
            <m:r>
              <m:t>1</m:t>
            </m:r>
          </m:sub>
        </m:sSub>
      </m:oMath>
      <w:r>
        <w:t xml:space="preserve"> </w:t>
      </w:r>
      <w:r>
        <w:t xml:space="preserve">pela de</w:t>
      </w:r>
      <w:r>
        <w:t xml:space="preserve"> </w:t>
      </w:r>
      <m:oMath>
        <m:sSub>
          <m:e>
            <m:r>
              <m:t>x</m:t>
            </m:r>
          </m:e>
          <m:sub>
            <m:r>
              <m:t>2</m:t>
            </m:r>
          </m:sub>
        </m:sSub>
      </m:oMath>
      <w:r>
        <w:t xml:space="preserve">:</w:t>
      </w:r>
    </w:p>
    <w:p>
      <w:pPr>
        <w:pStyle w:val="BodyText"/>
      </w:pPr>
      <m:oMathPara>
        <m:oMathParaPr>
          <m:jc m:val="center"/>
        </m:oMathParaPr>
        <m:oMath>
          <m:f>
            <m:fPr>
              <m:type m:val="bar"/>
            </m:fPr>
            <m:num>
              <m:r>
                <m:t>a</m:t>
              </m:r>
              <m:r>
                <m:t> </m:t>
              </m:r>
              <m:sSubSup>
                <m:e>
                  <m:r>
                    <m:t>x</m:t>
                  </m:r>
                </m:e>
                <m:sub>
                  <m:r>
                    <m:t>1</m:t>
                  </m:r>
                </m:sub>
                <m:sup>
                  <m:r>
                    <m:t>ρ</m:t>
                  </m:r>
                  <m:r>
                    <m:rPr>
                      <m:sty m:val="p"/>
                    </m:rPr>
                    <m:t>−</m:t>
                  </m:r>
                  <m:r>
                    <m:t>1</m:t>
                  </m:r>
                </m:sup>
              </m:sSubSup>
            </m:num>
            <m:den>
              <m:r>
                <m:t>b</m:t>
              </m:r>
              <m:r>
                <m:t> </m:t>
              </m:r>
              <m:sSubSup>
                <m:e>
                  <m:r>
                    <m:t>x</m:t>
                  </m:r>
                </m:e>
                <m:sub>
                  <m:r>
                    <m:t>2</m:t>
                  </m:r>
                </m:sub>
                <m:sup>
                  <m:r>
                    <m:t>ρ</m:t>
                  </m:r>
                  <m:r>
                    <m:rPr>
                      <m:sty m:val="p"/>
                    </m:rPr>
                    <m:t>−</m:t>
                  </m:r>
                  <m:r>
                    <m:t>1</m:t>
                  </m:r>
                </m:sup>
              </m:sSubSup>
            </m:den>
          </m:f>
          <m:r>
            <m:rPr>
              <m:sty m:val="p"/>
            </m:rPr>
            <m:t>=</m:t>
          </m:r>
          <m:f>
            <m:fPr>
              <m:type m:val="bar"/>
            </m:fPr>
            <m:num>
              <m:sSub>
                <m:e>
                  <m:r>
                    <m:t>p</m:t>
                  </m:r>
                </m:e>
                <m:sub>
                  <m:r>
                    <m:t>1</m:t>
                  </m:r>
                </m:sub>
              </m:sSub>
            </m:num>
            <m:den>
              <m:sSub>
                <m:e>
                  <m:r>
                    <m:t>p</m:t>
                  </m:r>
                </m:e>
                <m:sub>
                  <m:r>
                    <m:t>2</m:t>
                  </m:r>
                </m:sub>
              </m:sSub>
            </m:den>
          </m:f>
          <m:r>
            <m:t> </m:t>
          </m:r>
          <m:r>
            <m:rPr>
              <m:sty m:val="p"/>
            </m:rPr>
            <m:t>⇒</m:t>
          </m:r>
          <m:r>
            <m:t> </m:t>
          </m:r>
          <m:sSup>
            <m:e>
              <m:d>
                <m:dPr>
                  <m:begChr m:val="("/>
                  <m:sepChr m:val=""/>
                  <m:endChr m:val=")"/>
                  <m:grow/>
                </m:dPr>
                <m:e>
                  <m:f>
                    <m:fPr>
                      <m:type m:val="bar"/>
                    </m:fPr>
                    <m:num>
                      <m:sSub>
                        <m:e>
                          <m:r>
                            <m:t>x</m:t>
                          </m:r>
                        </m:e>
                        <m:sub>
                          <m:r>
                            <m:t>1</m:t>
                          </m:r>
                        </m:sub>
                      </m:sSub>
                    </m:num>
                    <m:den>
                      <m:sSub>
                        <m:e>
                          <m:r>
                            <m:t>x</m:t>
                          </m:r>
                        </m:e>
                        <m:sub>
                          <m:r>
                            <m:t>2</m:t>
                          </m:r>
                        </m:sub>
                      </m:sSub>
                    </m:den>
                  </m:f>
                </m:e>
              </m:d>
            </m:e>
            <m:sup>
              <m:r>
                <m:t>ρ</m:t>
              </m:r>
              <m:r>
                <m:rPr>
                  <m:sty m:val="p"/>
                </m:rPr>
                <m:t>−</m:t>
              </m:r>
              <m:r>
                <m:t>1</m:t>
              </m:r>
            </m:sup>
          </m:sSup>
          <m:r>
            <m:rPr>
              <m:sty m:val="p"/>
            </m:rPr>
            <m:t>=</m:t>
          </m:r>
          <m:f>
            <m:fPr>
              <m:type m:val="bar"/>
            </m:fPr>
            <m:num>
              <m:sSub>
                <m:e>
                  <m:r>
                    <m:t>p</m:t>
                  </m:r>
                </m:e>
                <m:sub>
                  <m:r>
                    <m:t>1</m:t>
                  </m:r>
                </m:sub>
              </m:sSub>
              <m:r>
                <m:t> </m:t>
              </m:r>
              <m:r>
                <m:t>b</m:t>
              </m:r>
            </m:num>
            <m:den>
              <m:sSub>
                <m:e>
                  <m:r>
                    <m:t>p</m:t>
                  </m:r>
                </m:e>
                <m:sub>
                  <m:r>
                    <m:t>2</m:t>
                  </m:r>
                </m:sub>
              </m:sSub>
              <m:r>
                <m:t> </m:t>
              </m:r>
              <m:r>
                <m:t>a</m:t>
              </m:r>
            </m:den>
          </m:f>
        </m:oMath>
      </m:oMathPara>
    </w:p>
    <w:p>
      <w:pPr>
        <w:pStyle w:val="FirstParagraph"/>
      </w:pPr>
      <w:r>
        <w:t xml:space="preserve">Como</w:t>
      </w:r>
      <w:r>
        <w:t xml:space="preserve"> </w:t>
      </w:r>
      <m:oMath>
        <m:r>
          <m:t>ρ</m:t>
        </m:r>
        <m:r>
          <m:rPr>
            <m:sty m:val="p"/>
          </m:rPr>
          <m:t>−</m:t>
        </m:r>
        <m:r>
          <m:t>1</m:t>
        </m:r>
        <m:r>
          <m:rPr>
            <m:sty m:val="p"/>
          </m:rPr>
          <m:t>=</m:t>
        </m:r>
        <m:r>
          <m:rPr>
            <m:sty m:val="p"/>
          </m:rPr>
          <m:t>−</m:t>
        </m:r>
        <m:r>
          <m:t>1</m:t>
        </m:r>
        <m:r>
          <m:rPr>
            <m:sty m:val="p"/>
          </m:rPr>
          <m:t>/</m:t>
        </m:r>
        <m:r>
          <m:t>σ</m:t>
        </m:r>
      </m:oMath>
      <w:r>
        <w:t xml:space="preserve">, elevando ambos os lados a</w:t>
      </w:r>
      <w:r>
        <w:t xml:space="preserve"> </w:t>
      </w:r>
      <m:oMath>
        <m:r>
          <m:rPr>
            <m:sty m:val="p"/>
          </m:rPr>
          <m:t>−</m:t>
        </m:r>
        <m:r>
          <m:t>σ</m:t>
        </m:r>
      </m:oMath>
      <w:r>
        <w:t xml:space="preserve">:</w:t>
      </w:r>
    </w:p>
    <w:p>
      <w:pPr>
        <w:pStyle w:val="BodyText"/>
      </w:pPr>
      <m:oMathPara>
        <m:oMathParaPr>
          <m:jc m:val="center"/>
        </m:oMathParaPr>
        <m:oMath>
          <m:f>
            <m:fPr>
              <m:type m:val="bar"/>
            </m:fPr>
            <m:num>
              <m:sSub>
                <m:e>
                  <m:r>
                    <m:t>x</m:t>
                  </m:r>
                </m:e>
                <m:sub>
                  <m:r>
                    <m:t>1</m:t>
                  </m:r>
                </m:sub>
              </m:sSub>
            </m:num>
            <m:den>
              <m:sSub>
                <m:e>
                  <m:r>
                    <m:t>x</m:t>
                  </m:r>
                </m:e>
                <m:sub>
                  <m:r>
                    <m:t>2</m:t>
                  </m:r>
                </m:sub>
              </m:sSub>
            </m:den>
          </m:f>
          <m:r>
            <m:rPr>
              <m:sty m:val="p"/>
            </m:rPr>
            <m:t>=</m:t>
          </m:r>
          <m:sSup>
            <m:e>
              <m:d>
                <m:dPr>
                  <m:begChr m:val="("/>
                  <m:sepChr m:val=""/>
                  <m:endChr m:val=")"/>
                  <m:grow/>
                </m:dPr>
                <m:e>
                  <m:f>
                    <m:fPr>
                      <m:type m:val="bar"/>
                    </m:fPr>
                    <m:num>
                      <m:r>
                        <m:t>a</m:t>
                      </m:r>
                      <m:r>
                        <m:t> </m:t>
                      </m:r>
                      <m:sSub>
                        <m:e>
                          <m:r>
                            <m:t>p</m:t>
                          </m:r>
                        </m:e>
                        <m:sub>
                          <m:r>
                            <m:t>2</m:t>
                          </m:r>
                        </m:sub>
                      </m:sSub>
                    </m:num>
                    <m:den>
                      <m:r>
                        <m:t>b</m:t>
                      </m:r>
                      <m:r>
                        <m:t> </m:t>
                      </m:r>
                      <m:sSub>
                        <m:e>
                          <m:r>
                            <m:t>p</m:t>
                          </m:r>
                        </m:e>
                        <m:sub>
                          <m:r>
                            <m:t>1</m:t>
                          </m:r>
                        </m:sub>
                      </m:sSub>
                    </m:den>
                  </m:f>
                </m:e>
              </m:d>
            </m:e>
            <m:sup>
              <m:r>
                <m:t>σ</m:t>
              </m:r>
            </m:sup>
          </m:sSup>
          <m:r>
            <m:rPr>
              <m:sty m:val="p"/>
            </m:rPr>
            <m:t>=</m:t>
          </m:r>
          <m:sSup>
            <m:e>
              <m:d>
                <m:dPr>
                  <m:begChr m:val="("/>
                  <m:sepChr m:val=""/>
                  <m:endChr m:val=")"/>
                  <m:grow/>
                </m:dPr>
                <m:e>
                  <m:f>
                    <m:fPr>
                      <m:type m:val="bar"/>
                    </m:fPr>
                    <m:num>
                      <m:r>
                        <m:t>a</m:t>
                      </m:r>
                    </m:num>
                    <m:den>
                      <m:r>
                        <m:t>b</m:t>
                      </m:r>
                    </m:den>
                  </m:f>
                </m:e>
              </m:d>
            </m:e>
            <m:sup>
              <m:r>
                <m:t>σ</m:t>
              </m:r>
            </m:sup>
          </m:sSup>
          <m:sSup>
            <m:e>
              <m:d>
                <m:dPr>
                  <m:begChr m:val="("/>
                  <m:sepChr m:val=""/>
                  <m:endChr m:val=")"/>
                  <m:grow/>
                </m:dPr>
                <m:e>
                  <m:f>
                    <m:fPr>
                      <m:type m:val="bar"/>
                    </m:fPr>
                    <m:num>
                      <m:sSub>
                        <m:e>
                          <m:r>
                            <m:t>p</m:t>
                          </m:r>
                        </m:e>
                        <m:sub>
                          <m:r>
                            <m:t>1</m:t>
                          </m:r>
                        </m:sub>
                      </m:sSub>
                    </m:num>
                    <m:den>
                      <m:sSub>
                        <m:e>
                          <m:r>
                            <m:t>p</m:t>
                          </m:r>
                        </m:e>
                        <m:sub>
                          <m:r>
                            <m:t>2</m:t>
                          </m:r>
                        </m:sub>
                      </m:sSub>
                    </m:den>
                  </m:f>
                </m:e>
              </m:d>
            </m:e>
            <m:sup>
              <m:r>
                <m:rPr>
                  <m:sty m:val="p"/>
                </m:rPr>
                <m:t>−</m:t>
              </m:r>
              <m:r>
                <m:t>σ</m:t>
              </m:r>
            </m:sup>
          </m:sSup>
        </m:oMath>
      </m:oMathPara>
    </w:p>
    <w:p>
      <w:pPr>
        <w:pStyle w:val="FirstParagraph"/>
      </w:pPr>
      <w:r>
        <w:t xml:space="preserve">Portanto</w:t>
      </w:r>
      <w:r>
        <w:t xml:space="preserve"> </w:t>
      </w:r>
      <m:oMath>
        <m:sSub>
          <m:e>
            <m:r>
              <m:t>x</m:t>
            </m:r>
          </m:e>
          <m:sub>
            <m:r>
              <m:t>1</m:t>
            </m:r>
          </m:sub>
        </m:sSub>
        <m:r>
          <m:rPr>
            <m:sty m:val="p"/>
          </m:rPr>
          <m:t>=</m:t>
        </m:r>
        <m:sSub>
          <m:e>
            <m:r>
              <m:t>x</m:t>
            </m:r>
          </m:e>
          <m:sub>
            <m:r>
              <m:t>2</m:t>
            </m:r>
          </m:sub>
        </m:sSub>
        <m:r>
          <m:rPr>
            <m:sty m:val="p"/>
          </m:rPr>
          <m:t>⋅</m:t>
        </m:r>
        <m:r>
          <m:rPr>
            <m:sty m:val="p"/>
          </m:rPr>
          <m:t>(</m:t>
        </m:r>
        <m:r>
          <m:t>a</m:t>
        </m:r>
        <m:r>
          <m:rPr>
            <m:sty m:val="p"/>
          </m:rPr>
          <m:t>/</m:t>
        </m:r>
        <m:r>
          <m:t>b</m:t>
        </m:r>
        <m:sSup>
          <m:e>
            <m:r>
              <m:rPr>
                <m:sty m:val="p"/>
              </m:rPr>
              <m:t>)</m:t>
            </m:r>
          </m:e>
          <m:sup>
            <m:r>
              <m:t>σ</m:t>
            </m:r>
          </m:sup>
        </m:sSup>
        <m:r>
          <m:rPr>
            <m:sty m:val="p"/>
          </m:rPr>
          <m:t>⋅</m:t>
        </m:r>
        <m:r>
          <m:rPr>
            <m:sty m:val="p"/>
          </m:rPr>
          <m:t>(</m:t>
        </m:r>
        <m:sSub>
          <m:e>
            <m:r>
              <m:t>p</m:t>
            </m:r>
          </m:e>
          <m:sub>
            <m:r>
              <m:t>1</m:t>
            </m:r>
          </m:sub>
        </m:sSub>
        <m:r>
          <m:rPr>
            <m:sty m:val="p"/>
          </m:rPr>
          <m:t>/</m:t>
        </m:r>
        <m:sSub>
          <m:e>
            <m:r>
              <m:t>p</m:t>
            </m:r>
          </m:e>
          <m:sub>
            <m:r>
              <m:t>2</m:t>
            </m:r>
          </m:sub>
        </m:sSub>
        <m:sSup>
          <m:e>
            <m:r>
              <m:rPr>
                <m:sty m:val="p"/>
              </m:rPr>
              <m:t>)</m:t>
            </m:r>
          </m:e>
          <m:sup>
            <m:r>
              <m:rPr>
                <m:sty m:val="p"/>
              </m:rPr>
              <m:t>−</m:t>
            </m:r>
            <m:r>
              <m:t>σ</m:t>
            </m:r>
          </m:sup>
        </m:sSup>
      </m:oMath>
      <w:r>
        <w:t xml:space="preserve">. Substituindo na restrição orçamentária e resolvendo, definimos o</w:t>
      </w:r>
      <w:r>
        <w:t xml:space="preserve"> </w:t>
      </w:r>
      <w:r>
        <w:rPr>
          <w:b/>
          <w:bCs/>
        </w:rPr>
        <w:t xml:space="preserve">índice de preços CES</w:t>
      </w:r>
      <w:r>
        <w:t xml:space="preserve">:</w:t>
      </w:r>
    </w:p>
    <w:p>
      <w:pPr>
        <w:pStyle w:val="BodyText"/>
      </w:pPr>
      <m:oMathPara>
        <m:oMathParaPr>
          <m:jc m:val="center"/>
        </m:oMathParaPr>
        <m:oMath>
          <m:r>
            <m:t>P</m:t>
          </m:r>
          <m:r>
            <m:rPr>
              <m:sty m:val="p"/>
            </m:rPr>
            <m:t>≡</m:t>
          </m:r>
          <m:sSup>
            <m:e>
              <m:d>
                <m:dPr>
                  <m:begChr m:val="("/>
                  <m:sepChr m:val=""/>
                  <m:endChr m:val=")"/>
                  <m:grow/>
                </m:dPr>
                <m:e>
                  <m:sSup>
                    <m:e>
                      <m:r>
                        <m:t>a</m:t>
                      </m:r>
                    </m:e>
                    <m:sup>
                      <m:r>
                        <m:t>σ</m:t>
                      </m:r>
                    </m:sup>
                  </m:sSup>
                  <m:r>
                    <m:t> </m:t>
                  </m:r>
                  <m:sSubSup>
                    <m:e>
                      <m:r>
                        <m:t>p</m:t>
                      </m:r>
                    </m:e>
                    <m:sub>
                      <m:r>
                        <m:t>1</m:t>
                      </m:r>
                    </m:sub>
                    <m:sup>
                      <m:r>
                        <m:t>1</m:t>
                      </m:r>
                      <m:r>
                        <m:rPr>
                          <m:sty m:val="p"/>
                        </m:rPr>
                        <m:t>−</m:t>
                      </m:r>
                      <m:r>
                        <m:t>σ</m:t>
                      </m:r>
                    </m:sup>
                  </m:sSubSup>
                  <m:r>
                    <m:rPr>
                      <m:sty m:val="p"/>
                    </m:rPr>
                    <m:t>+</m:t>
                  </m:r>
                  <m:sSup>
                    <m:e>
                      <m:r>
                        <m:t>b</m:t>
                      </m:r>
                    </m:e>
                    <m:sup>
                      <m:r>
                        <m:t>σ</m:t>
                      </m:r>
                    </m:sup>
                  </m:sSup>
                  <m:r>
                    <m:t> </m:t>
                  </m:r>
                  <m:sSubSup>
                    <m:e>
                      <m:r>
                        <m:t>p</m:t>
                      </m:r>
                    </m:e>
                    <m:sub>
                      <m:r>
                        <m:t>2</m:t>
                      </m:r>
                    </m:sub>
                    <m:sup>
                      <m:r>
                        <m:t>1</m:t>
                      </m:r>
                      <m:r>
                        <m:rPr>
                          <m:sty m:val="p"/>
                        </m:rPr>
                        <m:t>−</m:t>
                      </m:r>
                      <m:r>
                        <m:t>σ</m:t>
                      </m:r>
                    </m:sup>
                  </m:sSubSup>
                </m:e>
              </m:d>
            </m:e>
            <m:sup>
              <m:r>
                <m:t>1</m:t>
              </m:r>
              <m:r>
                <m:rPr>
                  <m:sty m:val="p"/>
                </m:rPr>
                <m:t>/</m:t>
              </m:r>
              <m:r>
                <m:rPr>
                  <m:sty m:val="p"/>
                </m:rPr>
                <m:t>(</m:t>
              </m:r>
              <m:r>
                <m:t>1</m:t>
              </m:r>
              <m:r>
                <m:rPr>
                  <m:sty m:val="p"/>
                </m:rPr>
                <m:t>−</m:t>
              </m:r>
              <m:r>
                <m:t>σ</m:t>
              </m:r>
              <m:r>
                <m:rPr>
                  <m:sty m:val="p"/>
                </m:rPr>
                <m:t>)</m:t>
              </m:r>
            </m:sup>
          </m:sSup>
        </m:oMath>
      </m:oMathPara>
    </w:p>
    <w:p>
      <w:pPr>
        <w:pStyle w:val="FirstParagraph"/>
      </w:pPr>
      <w:r>
        <w:t xml:space="preserve">As</w:t>
      </w:r>
      <w:r>
        <w:t xml:space="preserve"> </w:t>
      </w:r>
      <w:r>
        <w:rPr>
          <w:b/>
          <w:bCs/>
        </w:rPr>
        <w:t xml:space="preserve">demandas marshallianas</w:t>
      </w:r>
      <w:r>
        <w:t xml:space="preserve"> </w:t>
      </w:r>
      <w:r>
        <w:t xml:space="preserve">podem ser escritas de forma compacta:</w:t>
      </w:r>
    </w:p>
    <w:p>
      <w:pPr>
        <w:pStyle w:val="BodyText"/>
      </w:pPr>
      <m:oMathPara>
        <m:oMathParaPr>
          <m:jc m:val="center"/>
        </m:oMathParaPr>
        <m:oMath>
          <m:borderBox>
            <m:e>
              <m:sSubSup>
                <m:e>
                  <m:r>
                    <m:t>x</m:t>
                  </m:r>
                </m:e>
                <m:sub>
                  <m:r>
                    <m:t>i</m:t>
                  </m:r>
                </m:sub>
                <m:sup>
                  <m:r>
                    <m:rPr>
                      <m:sty m:val="p"/>
                    </m:rPr>
                    <m:t>*</m:t>
                  </m:r>
                </m:sup>
              </m:sSubSup>
              <m:r>
                <m:rPr>
                  <m:sty m:val="p"/>
                </m:rPr>
                <m:t>=</m:t>
              </m:r>
              <m:f>
                <m:fPr>
                  <m:type m:val="bar"/>
                </m:fPr>
                <m:num>
                  <m:sSubSup>
                    <m:e>
                      <m:r>
                        <m:t>a</m:t>
                      </m:r>
                    </m:e>
                    <m:sub>
                      <m:r>
                        <m:t>i</m:t>
                      </m:r>
                    </m:sub>
                    <m:sup>
                      <m:r>
                        <m:t>σ</m:t>
                      </m:r>
                    </m:sup>
                  </m:sSubSup>
                  <m:r>
                    <m:t> </m:t>
                  </m:r>
                  <m:sSubSup>
                    <m:e>
                      <m:r>
                        <m:t>p</m:t>
                      </m:r>
                    </m:e>
                    <m:sub>
                      <m:r>
                        <m:t>i</m:t>
                      </m:r>
                    </m:sub>
                    <m:sup>
                      <m:r>
                        <m:rPr>
                          <m:sty m:val="p"/>
                        </m:rPr>
                        <m:t>−</m:t>
                      </m:r>
                      <m:r>
                        <m:t>σ</m:t>
                      </m:r>
                    </m:sup>
                  </m:sSubSup>
                </m:num>
                <m:den>
                  <m:sSup>
                    <m:e>
                      <m:r>
                        <m:t>P</m:t>
                      </m:r>
                    </m:e>
                    <m:sup>
                      <m:r>
                        <m:t>1</m:t>
                      </m:r>
                      <m:r>
                        <m:rPr>
                          <m:sty m:val="p"/>
                        </m:rPr>
                        <m:t>−</m:t>
                      </m:r>
                      <m:r>
                        <m:t>σ</m:t>
                      </m:r>
                    </m:sup>
                  </m:sSup>
                </m:den>
              </m:f>
              <m:r>
                <m:t> </m:t>
              </m:r>
              <m:r>
                <m:t>I</m:t>
              </m:r>
              <m:r>
                <m:rPr>
                  <m:sty m:val="p"/>
                </m:rPr>
                <m:t>=</m:t>
              </m:r>
              <m:sSubSup>
                <m:e>
                  <m:r>
                    <m:t>a</m:t>
                  </m:r>
                </m:e>
                <m:sub>
                  <m:r>
                    <m:t>i</m:t>
                  </m:r>
                </m:sub>
                <m:sup>
                  <m:r>
                    <m:t>σ</m:t>
                  </m:r>
                </m:sup>
              </m:sSubSup>
              <m:r>
                <m:t> </m:t>
              </m:r>
              <m:sSubSup>
                <m:e>
                  <m:r>
                    <m:t>p</m:t>
                  </m:r>
                </m:e>
                <m:sub>
                  <m:r>
                    <m:t>i</m:t>
                  </m:r>
                </m:sub>
                <m:sup>
                  <m:r>
                    <m:rPr>
                      <m:sty m:val="p"/>
                    </m:rPr>
                    <m:t>−</m:t>
                  </m:r>
                  <m:r>
                    <m:t>σ</m:t>
                  </m:r>
                </m:sup>
              </m:sSubSup>
              <m:r>
                <m:t> </m:t>
              </m:r>
              <m:sSup>
                <m:e>
                  <m:r>
                    <m:t>P</m:t>
                  </m:r>
                </m:e>
                <m:sup>
                  <m:r>
                    <m:t>σ</m:t>
                  </m:r>
                  <m:r>
                    <m:rPr>
                      <m:sty m:val="p"/>
                    </m:rPr>
                    <m:t>−</m:t>
                  </m:r>
                  <m:r>
                    <m:t>1</m:t>
                  </m:r>
                </m:sup>
              </m:sSup>
              <m:r>
                <m:t> </m:t>
              </m:r>
              <m:r>
                <m:t>I</m:t>
              </m:r>
            </m:e>
          </m:borderBox>
        </m:oMath>
      </m:oMathPara>
    </w:p>
    <w:p>
      <w:pPr>
        <w:pStyle w:val="FirstParagraph"/>
      </w:pPr>
      <w:r>
        <w:t xml:space="preserve">onde</w:t>
      </w:r>
      <w:r>
        <w:t xml:space="preserve"> </w:t>
      </w:r>
      <m:oMath>
        <m:sSub>
          <m:e>
            <m:r>
              <m:t>a</m:t>
            </m:r>
          </m:e>
          <m:sub>
            <m:r>
              <m:t>1</m:t>
            </m:r>
          </m:sub>
        </m:sSub>
        <m:r>
          <m:rPr>
            <m:sty m:val="p"/>
          </m:rPr>
          <m:t>=</m:t>
        </m:r>
        <m:r>
          <m:t>a</m:t>
        </m:r>
      </m:oMath>
      <w:r>
        <w:t xml:space="preserve">,</w:t>
      </w:r>
      <w:r>
        <w:t xml:space="preserve"> </w:t>
      </w:r>
      <m:oMath>
        <m:sSub>
          <m:e>
            <m:r>
              <m:t>a</m:t>
            </m:r>
          </m:e>
          <m:sub>
            <m:r>
              <m:t>2</m:t>
            </m:r>
          </m:sub>
        </m:sSub>
        <m:r>
          <m:rPr>
            <m:sty m:val="p"/>
          </m:rPr>
          <m:t>=</m:t>
        </m:r>
        <m:r>
          <m:t>b</m:t>
        </m:r>
      </m:oMath>
      <w:r>
        <w:t xml:space="preserve">. Equivalentemente:</w:t>
      </w:r>
    </w:p>
    <w:p>
      <w:pPr>
        <w:pStyle w:val="BodyText"/>
      </w:pPr>
      <m:oMathPara>
        <m:oMathParaPr>
          <m:jc m:val="center"/>
        </m:oMathParaPr>
        <m:oMath>
          <m:sSubSup>
            <m:e>
              <m:r>
                <m:t>x</m:t>
              </m:r>
            </m:e>
            <m:sub>
              <m:r>
                <m:t>1</m:t>
              </m:r>
            </m:sub>
            <m:sup>
              <m:r>
                <m:rPr>
                  <m:sty m:val="p"/>
                </m:rPr>
                <m:t>*</m:t>
              </m:r>
            </m:sup>
          </m:sSubSup>
          <m:r>
            <m:rPr>
              <m:sty m:val="p"/>
            </m:rPr>
            <m:t>=</m:t>
          </m:r>
          <m:f>
            <m:fPr>
              <m:type m:val="bar"/>
            </m:fPr>
            <m:num>
              <m:sSup>
                <m:e>
                  <m:r>
                    <m:t>a</m:t>
                  </m:r>
                </m:e>
                <m:sup>
                  <m:r>
                    <m:t>σ</m:t>
                  </m:r>
                </m:sup>
              </m:sSup>
              <m:r>
                <m:t> </m:t>
              </m:r>
              <m:sSubSup>
                <m:e>
                  <m:r>
                    <m:t>p</m:t>
                  </m:r>
                </m:e>
                <m:sub>
                  <m:r>
                    <m:t>1</m:t>
                  </m:r>
                </m:sub>
                <m:sup>
                  <m:r>
                    <m:rPr>
                      <m:sty m:val="p"/>
                    </m:rPr>
                    <m:t>−</m:t>
                  </m:r>
                  <m:r>
                    <m:t>σ</m:t>
                  </m:r>
                </m:sup>
              </m:sSubSup>
              <m:r>
                <m:t> </m:t>
              </m:r>
              <m:r>
                <m:t>I</m:t>
              </m:r>
            </m:num>
            <m:den>
              <m:sSup>
                <m:e>
                  <m:r>
                    <m:t>a</m:t>
                  </m:r>
                </m:e>
                <m:sup>
                  <m:r>
                    <m:t>σ</m:t>
                  </m:r>
                </m:sup>
              </m:sSup>
              <m:r>
                <m:t> </m:t>
              </m:r>
              <m:sSubSup>
                <m:e>
                  <m:r>
                    <m:t>p</m:t>
                  </m:r>
                </m:e>
                <m:sub>
                  <m:r>
                    <m:t>1</m:t>
                  </m:r>
                </m:sub>
                <m:sup>
                  <m:r>
                    <m:t>1</m:t>
                  </m:r>
                  <m:r>
                    <m:rPr>
                      <m:sty m:val="p"/>
                    </m:rPr>
                    <m:t>−</m:t>
                  </m:r>
                  <m:r>
                    <m:t>σ</m:t>
                  </m:r>
                </m:sup>
              </m:sSubSup>
              <m:r>
                <m:rPr>
                  <m:sty m:val="p"/>
                </m:rPr>
                <m:t>+</m:t>
              </m:r>
              <m:sSup>
                <m:e>
                  <m:r>
                    <m:t>b</m:t>
                  </m:r>
                </m:e>
                <m:sup>
                  <m:r>
                    <m:t>σ</m:t>
                  </m:r>
                </m:sup>
              </m:sSup>
              <m:r>
                <m:t> </m:t>
              </m:r>
              <m:sSubSup>
                <m:e>
                  <m:r>
                    <m:t>p</m:t>
                  </m:r>
                </m:e>
                <m:sub>
                  <m:r>
                    <m:t>2</m:t>
                  </m:r>
                </m:sub>
                <m:sup>
                  <m:r>
                    <m:t>1</m:t>
                  </m:r>
                  <m:r>
                    <m:rPr>
                      <m:sty m:val="p"/>
                    </m:rPr>
                    <m:t>−</m:t>
                  </m:r>
                  <m:r>
                    <m:t>σ</m:t>
                  </m:r>
                </m:sup>
              </m:sSubSup>
            </m:den>
          </m:f>
          <m:r>
            <m:rPr>
              <m:sty m:val="p"/>
            </m:rPr>
            <m:t>,</m:t>
          </m:r>
          <m:r>
            <m:t>  </m:t>
          </m:r>
          <m:sSubSup>
            <m:e>
              <m:r>
                <m:t>x</m:t>
              </m:r>
            </m:e>
            <m:sub>
              <m:r>
                <m:t>2</m:t>
              </m:r>
            </m:sub>
            <m:sup>
              <m:r>
                <m:rPr>
                  <m:sty m:val="p"/>
                </m:rPr>
                <m:t>*</m:t>
              </m:r>
            </m:sup>
          </m:sSubSup>
          <m:r>
            <m:rPr>
              <m:sty m:val="p"/>
            </m:rPr>
            <m:t>=</m:t>
          </m:r>
          <m:f>
            <m:fPr>
              <m:type m:val="bar"/>
            </m:fPr>
            <m:num>
              <m:sSup>
                <m:e>
                  <m:r>
                    <m:t>b</m:t>
                  </m:r>
                </m:e>
                <m:sup>
                  <m:r>
                    <m:t>σ</m:t>
                  </m:r>
                </m:sup>
              </m:sSup>
              <m:r>
                <m:t> </m:t>
              </m:r>
              <m:sSubSup>
                <m:e>
                  <m:r>
                    <m:t>p</m:t>
                  </m:r>
                </m:e>
                <m:sub>
                  <m:r>
                    <m:t>2</m:t>
                  </m:r>
                </m:sub>
                <m:sup>
                  <m:r>
                    <m:rPr>
                      <m:sty m:val="p"/>
                    </m:rPr>
                    <m:t>−</m:t>
                  </m:r>
                  <m:r>
                    <m:t>σ</m:t>
                  </m:r>
                </m:sup>
              </m:sSubSup>
              <m:r>
                <m:t> </m:t>
              </m:r>
              <m:r>
                <m:t>I</m:t>
              </m:r>
            </m:num>
            <m:den>
              <m:sSup>
                <m:e>
                  <m:r>
                    <m:t>a</m:t>
                  </m:r>
                </m:e>
                <m:sup>
                  <m:r>
                    <m:t>σ</m:t>
                  </m:r>
                </m:sup>
              </m:sSup>
              <m:r>
                <m:t> </m:t>
              </m:r>
              <m:sSubSup>
                <m:e>
                  <m:r>
                    <m:t>p</m:t>
                  </m:r>
                </m:e>
                <m:sub>
                  <m:r>
                    <m:t>1</m:t>
                  </m:r>
                </m:sub>
                <m:sup>
                  <m:r>
                    <m:t>1</m:t>
                  </m:r>
                  <m:r>
                    <m:rPr>
                      <m:sty m:val="p"/>
                    </m:rPr>
                    <m:t>−</m:t>
                  </m:r>
                  <m:r>
                    <m:t>σ</m:t>
                  </m:r>
                </m:sup>
              </m:sSubSup>
              <m:r>
                <m:rPr>
                  <m:sty m:val="p"/>
                </m:rPr>
                <m:t>+</m:t>
              </m:r>
              <m:sSup>
                <m:e>
                  <m:r>
                    <m:t>b</m:t>
                  </m:r>
                </m:e>
                <m:sup>
                  <m:r>
                    <m:t>σ</m:t>
                  </m:r>
                </m:sup>
              </m:sSup>
              <m:r>
                <m:t> </m:t>
              </m:r>
              <m:sSubSup>
                <m:e>
                  <m:r>
                    <m:t>p</m:t>
                  </m:r>
                </m:e>
                <m:sub>
                  <m:r>
                    <m:t>2</m:t>
                  </m:r>
                </m:sub>
                <m:sup>
                  <m:r>
                    <m:t>1</m:t>
                  </m:r>
                  <m:r>
                    <m:rPr>
                      <m:sty m:val="p"/>
                    </m:rPr>
                    <m:t>−</m:t>
                  </m:r>
                  <m:r>
                    <m:t>σ</m:t>
                  </m:r>
                </m:sup>
              </m:sSubSup>
            </m:den>
          </m:f>
        </m:oMath>
      </m:oMathPara>
    </w:p>
    <w:p>
      <w:pPr>
        <w:pStyle w:val="FirstParagraph"/>
      </w:pPr>
      <w:r>
        <w:rPr>
          <w:b/>
          <w:bCs/>
        </w:rPr>
        <w:t xml:space="preserve">Utilidade indireta.</w:t>
      </w:r>
    </w:p>
    <w:p>
      <w:pPr>
        <w:pStyle w:val="BodyText"/>
      </w:pPr>
      <m:oMathPara>
        <m:oMathParaPr>
          <m:jc m:val="center"/>
        </m:oMathParaPr>
        <m:oMath>
          <m:r>
            <m:t>V</m:t>
          </m:r>
          <m:r>
            <m:rPr>
              <m:sty m:val="p"/>
            </m:rPr>
            <m:t>(</m:t>
          </m:r>
          <m:r>
            <m:rPr>
              <m:sty m:val="bi"/>
            </m:rPr>
            <m:t>p</m:t>
          </m:r>
          <m:r>
            <m:rPr>
              <m:sty m:val="p"/>
            </m:rPr>
            <m:t>,</m:t>
          </m:r>
          <m:r>
            <m:t>I</m:t>
          </m:r>
          <m:r>
            <m:rPr>
              <m:sty m:val="p"/>
            </m:rPr>
            <m:t>)</m:t>
          </m:r>
          <m:r>
            <m:rPr>
              <m:sty m:val="p"/>
            </m:rPr>
            <m:t>=</m:t>
          </m:r>
          <m:f>
            <m:fPr>
              <m:type m:val="bar"/>
            </m:fPr>
            <m:num>
              <m:r>
                <m:t>I</m:t>
              </m:r>
            </m:num>
            <m:den>
              <m:r>
                <m:t>P</m:t>
              </m:r>
            </m:den>
          </m:f>
          <m:r>
            <m:rPr>
              <m:sty m:val="p"/>
            </m:rPr>
            <m:t>=</m:t>
          </m:r>
          <m:r>
            <m:t>I</m:t>
          </m:r>
          <m:r>
            <m:rPr>
              <m:sty m:val="p"/>
            </m:rPr>
            <m:t>⋅</m:t>
          </m:r>
          <m:sSup>
            <m:e>
              <m:d>
                <m:dPr>
                  <m:begChr m:val="("/>
                  <m:sepChr m:val=""/>
                  <m:endChr m:val=")"/>
                  <m:grow/>
                </m:dPr>
                <m:e>
                  <m:sSup>
                    <m:e>
                      <m:r>
                        <m:t>a</m:t>
                      </m:r>
                    </m:e>
                    <m:sup>
                      <m:r>
                        <m:t>σ</m:t>
                      </m:r>
                    </m:sup>
                  </m:sSup>
                  <m:r>
                    <m:t> </m:t>
                  </m:r>
                  <m:sSubSup>
                    <m:e>
                      <m:r>
                        <m:t>p</m:t>
                      </m:r>
                    </m:e>
                    <m:sub>
                      <m:r>
                        <m:t>1</m:t>
                      </m:r>
                    </m:sub>
                    <m:sup>
                      <m:r>
                        <m:t>1</m:t>
                      </m:r>
                      <m:r>
                        <m:rPr>
                          <m:sty m:val="p"/>
                        </m:rPr>
                        <m:t>−</m:t>
                      </m:r>
                      <m:r>
                        <m:t>σ</m:t>
                      </m:r>
                    </m:sup>
                  </m:sSubSup>
                  <m:r>
                    <m:rPr>
                      <m:sty m:val="p"/>
                    </m:rPr>
                    <m:t>+</m:t>
                  </m:r>
                  <m:sSup>
                    <m:e>
                      <m:r>
                        <m:t>b</m:t>
                      </m:r>
                    </m:e>
                    <m:sup>
                      <m:r>
                        <m:t>σ</m:t>
                      </m:r>
                    </m:sup>
                  </m:sSup>
                  <m:r>
                    <m:t> </m:t>
                  </m:r>
                  <m:sSubSup>
                    <m:e>
                      <m:r>
                        <m:t>p</m:t>
                      </m:r>
                    </m:e>
                    <m:sub>
                      <m:r>
                        <m:t>2</m:t>
                      </m:r>
                    </m:sub>
                    <m:sup>
                      <m:r>
                        <m:t>1</m:t>
                      </m:r>
                      <m:r>
                        <m:rPr>
                          <m:sty m:val="p"/>
                        </m:rPr>
                        <m:t>−</m:t>
                      </m:r>
                      <m:r>
                        <m:t>σ</m:t>
                      </m:r>
                    </m:sup>
                  </m:sSubSup>
                </m:e>
              </m:d>
            </m:e>
            <m:sup>
              <m:r>
                <m:rPr>
                  <m:sty m:val="p"/>
                </m:rPr>
                <m:t>−</m:t>
              </m:r>
              <m:r>
                <m:t>1</m:t>
              </m:r>
              <m:r>
                <m:rPr>
                  <m:sty m:val="p"/>
                </m:rPr>
                <m:t>/</m:t>
              </m:r>
              <m:r>
                <m:rPr>
                  <m:sty m:val="p"/>
                </m:rPr>
                <m:t>(</m:t>
              </m:r>
              <m:r>
                <m:t>1</m:t>
              </m:r>
              <m:r>
                <m:rPr>
                  <m:sty m:val="p"/>
                </m:rPr>
                <m:t>−</m:t>
              </m:r>
              <m:r>
                <m:t>σ</m:t>
              </m:r>
              <m:r>
                <m:rPr>
                  <m:sty m:val="p"/>
                </m:rPr>
                <m:t>)</m:t>
              </m:r>
            </m:sup>
          </m:sSup>
        </m:oMath>
      </m:oMathPara>
    </w:p>
    <w:p>
      <w:pPr>
        <w:pStyle w:val="FirstParagraph"/>
      </w:pPr>
      <w:r>
        <w:rPr>
          <w:b/>
          <w:bCs/>
        </w:rPr>
        <w:t xml:space="preserve">Demanda Hicksiana.</w:t>
      </w:r>
      <w:r>
        <w:t xml:space="preserve"> </w:t>
      </w:r>
      <w:r>
        <w:t xml:space="preserve">Pelo Lema de Shephard aplicado à função dispêndio:</w:t>
      </w:r>
    </w:p>
    <w:p>
      <w:pPr>
        <w:pStyle w:val="BodyText"/>
      </w:pPr>
      <m:oMathPara>
        <m:oMathParaPr>
          <m:jc m:val="center"/>
        </m:oMathParaPr>
        <m:oMath>
          <m:borderBox>
            <m:e>
              <m:sSub>
                <m:e>
                  <m:r>
                    <m:t>h</m:t>
                  </m:r>
                </m:e>
                <m:sub>
                  <m:r>
                    <m:t>i</m:t>
                  </m:r>
                </m:sub>
              </m:sSub>
              <m:r>
                <m:rPr>
                  <m:sty m:val="p"/>
                </m:rPr>
                <m:t>=</m:t>
              </m:r>
              <m:sSubSup>
                <m:e>
                  <m:r>
                    <m:t>a</m:t>
                  </m:r>
                </m:e>
                <m:sub>
                  <m:r>
                    <m:t>i</m:t>
                  </m:r>
                </m:sub>
                <m:sup>
                  <m:r>
                    <m:t>σ</m:t>
                  </m:r>
                </m:sup>
              </m:sSubSup>
              <m:r>
                <m:t> </m:t>
              </m:r>
              <m:sSubSup>
                <m:e>
                  <m:r>
                    <m:t>p</m:t>
                  </m:r>
                </m:e>
                <m:sub>
                  <m:r>
                    <m:t>i</m:t>
                  </m:r>
                </m:sub>
                <m:sup>
                  <m:r>
                    <m:rPr>
                      <m:sty m:val="p"/>
                    </m:rPr>
                    <m:t>−</m:t>
                  </m:r>
                  <m:r>
                    <m:t>σ</m:t>
                  </m:r>
                </m:sup>
              </m:sSubSup>
              <m:r>
                <m:t> </m:t>
              </m:r>
              <m:sSup>
                <m:e>
                  <m:r>
                    <m:t>P</m:t>
                  </m:r>
                </m:e>
                <m:sup>
                  <m:r>
                    <m:t>σ</m:t>
                  </m:r>
                  <m:r>
                    <m:rPr>
                      <m:sty m:val="p"/>
                    </m:rPr>
                    <m:t>−</m:t>
                  </m:r>
                  <m:r>
                    <m:t>1</m:t>
                  </m:r>
                </m:sup>
              </m:sSup>
              <m:r>
                <m:t> </m:t>
              </m:r>
              <m:acc>
                <m:accPr>
                  <m:chr m:val="‾"/>
                </m:accPr>
                <m:e>
                  <m:r>
                    <m:t>u</m:t>
                  </m:r>
                </m:e>
              </m:acc>
            </m:e>
          </m:borderBox>
        </m:oMath>
      </m:oMathPara>
    </w:p>
    <w:p>
      <w:pPr>
        <w:pStyle w:val="FirstParagraph"/>
      </w:pPr>
      <w:r>
        <w:t xml:space="preserve">As demandas hicksianas têm a mesma estrutura das marshallianas, com</w:t>
      </w:r>
      <w:r>
        <w:t xml:space="preserve"> </w:t>
      </w:r>
      <m:oMath>
        <m:acc>
          <m:accPr>
            <m:chr m:val="‾"/>
          </m:accPr>
          <m:e>
            <m:r>
              <m:t>u</m:t>
            </m:r>
          </m:e>
        </m:acc>
      </m:oMath>
      <w:r>
        <w:t xml:space="preserve"> </w:t>
      </w:r>
      <w:r>
        <w:t xml:space="preserve">substituindo</w:t>
      </w:r>
      <w:r>
        <w:t xml:space="preserve"> </w:t>
      </w:r>
      <m:oMath>
        <m:r>
          <m:t>I</m:t>
        </m:r>
        <m:r>
          <m:rPr>
            <m:sty m:val="p"/>
          </m:rPr>
          <m:t>/</m:t>
        </m:r>
        <m:r>
          <m:t>P</m:t>
        </m:r>
      </m:oMath>
      <w:r>
        <w:t xml:space="preserve">.</w:t>
      </w:r>
    </w:p>
    <w:p>
      <w:pPr>
        <w:pStyle w:val="BodyText"/>
      </w:pPr>
      <w:r>
        <w:rPr>
          <w:b/>
          <w:bCs/>
        </w:rPr>
        <w:t xml:space="preserve">Função dispêndio.</w:t>
      </w:r>
    </w:p>
    <w:p>
      <w:pPr>
        <w:pStyle w:val="BodyText"/>
      </w:pPr>
      <m:oMathPara>
        <m:oMathParaPr>
          <m:jc m:val="center"/>
        </m:oMathParaPr>
        <m:oMath>
          <m:r>
            <m:t>E</m:t>
          </m:r>
          <m:r>
            <m:rPr>
              <m:sty m:val="p"/>
            </m:rPr>
            <m:t>(</m:t>
          </m:r>
          <m:r>
            <m:rPr>
              <m:sty m:val="bi"/>
            </m:rPr>
            <m:t>p</m:t>
          </m:r>
          <m:r>
            <m:rPr>
              <m:sty m:val="p"/>
            </m:rPr>
            <m:t>,</m:t>
          </m:r>
          <m:acc>
            <m:accPr>
              <m:chr m:val="‾"/>
            </m:accPr>
            <m:e>
              <m:r>
                <m:t>u</m:t>
              </m:r>
            </m:e>
          </m:acc>
          <m:r>
            <m:rPr>
              <m:sty m:val="p"/>
            </m:rPr>
            <m:t>)</m:t>
          </m:r>
          <m:r>
            <m:rPr>
              <m:sty m:val="p"/>
            </m:rPr>
            <m:t>=</m:t>
          </m:r>
          <m:r>
            <m:t>P</m:t>
          </m:r>
          <m:r>
            <m:rPr>
              <m:sty m:val="p"/>
            </m:rPr>
            <m:t>⋅</m:t>
          </m:r>
          <m:acc>
            <m:accPr>
              <m:chr m:val="‾"/>
            </m:accPr>
            <m:e>
              <m:r>
                <m:t>u</m:t>
              </m:r>
            </m:e>
          </m:acc>
          <m:r>
            <m:rPr>
              <m:sty m:val="p"/>
            </m:rPr>
            <m:t>=</m:t>
          </m:r>
          <m:acc>
            <m:accPr>
              <m:chr m:val="‾"/>
            </m:accPr>
            <m:e>
              <m:r>
                <m:t>u</m:t>
              </m:r>
            </m:e>
          </m:acc>
          <m:r>
            <m:rPr>
              <m:sty m:val="p"/>
            </m:rPr>
            <m:t>⋅</m:t>
          </m:r>
          <m:sSup>
            <m:e>
              <m:d>
                <m:dPr>
                  <m:begChr m:val="("/>
                  <m:sepChr m:val=""/>
                  <m:endChr m:val=")"/>
                  <m:grow/>
                </m:dPr>
                <m:e>
                  <m:sSup>
                    <m:e>
                      <m:r>
                        <m:t>a</m:t>
                      </m:r>
                    </m:e>
                    <m:sup>
                      <m:r>
                        <m:t>σ</m:t>
                      </m:r>
                    </m:sup>
                  </m:sSup>
                  <m:r>
                    <m:t> </m:t>
                  </m:r>
                  <m:sSubSup>
                    <m:e>
                      <m:r>
                        <m:t>p</m:t>
                      </m:r>
                    </m:e>
                    <m:sub>
                      <m:r>
                        <m:t>1</m:t>
                      </m:r>
                    </m:sub>
                    <m:sup>
                      <m:r>
                        <m:t>1</m:t>
                      </m:r>
                      <m:r>
                        <m:rPr>
                          <m:sty m:val="p"/>
                        </m:rPr>
                        <m:t>−</m:t>
                      </m:r>
                      <m:r>
                        <m:t>σ</m:t>
                      </m:r>
                    </m:sup>
                  </m:sSubSup>
                  <m:r>
                    <m:rPr>
                      <m:sty m:val="p"/>
                    </m:rPr>
                    <m:t>+</m:t>
                  </m:r>
                  <m:sSup>
                    <m:e>
                      <m:r>
                        <m:t>b</m:t>
                      </m:r>
                    </m:e>
                    <m:sup>
                      <m:r>
                        <m:t>σ</m:t>
                      </m:r>
                    </m:sup>
                  </m:sSup>
                  <m:r>
                    <m:t> </m:t>
                  </m:r>
                  <m:sSubSup>
                    <m:e>
                      <m:r>
                        <m:t>p</m:t>
                      </m:r>
                    </m:e>
                    <m:sub>
                      <m:r>
                        <m:t>2</m:t>
                      </m:r>
                    </m:sub>
                    <m:sup>
                      <m:r>
                        <m:t>1</m:t>
                      </m:r>
                      <m:r>
                        <m:rPr>
                          <m:sty m:val="p"/>
                        </m:rPr>
                        <m:t>−</m:t>
                      </m:r>
                      <m:r>
                        <m:t>σ</m:t>
                      </m:r>
                    </m:sup>
                  </m:sSubSup>
                </m:e>
              </m:d>
            </m:e>
            <m:sup>
              <m:r>
                <m:t>1</m:t>
              </m:r>
              <m:r>
                <m:rPr>
                  <m:sty m:val="p"/>
                </m:rPr>
                <m:t>/</m:t>
              </m:r>
              <m:r>
                <m:rPr>
                  <m:sty m:val="p"/>
                </m:rPr>
                <m:t>(</m:t>
              </m:r>
              <m:r>
                <m:t>1</m:t>
              </m:r>
              <m:r>
                <m:rPr>
                  <m:sty m:val="p"/>
                </m:rPr>
                <m:t>−</m:t>
              </m:r>
              <m:r>
                <m:t>σ</m:t>
              </m:r>
              <m:r>
                <m:rPr>
                  <m:sty m:val="p"/>
                </m:rPr>
                <m:t>)</m:t>
              </m:r>
            </m:sup>
          </m:sSup>
        </m:oMath>
      </m:oMathPara>
    </w:p>
    <w:p>
      <w:pPr>
        <w:pStyle w:val="BlockText"/>
      </w:pPr>
      <w:r>
        <w:rPr>
          <w:b/>
          <w:bCs/>
        </w:rPr>
        <w:t xml:space="preserve">[INFORMACAO] Casos limite da CES</w:t>
      </w:r>
    </w:p>
    <w:p>
      <w:pPr>
        <w:pStyle w:val="Compact"/>
        <w:numPr>
          <w:ilvl w:val="0"/>
          <w:numId w:val="1140"/>
        </w:numPr>
      </w:pPr>
      <w:r>
        <w:t xml:space="preserve">Quando</w:t>
      </w:r>
      <w:r>
        <w:t xml:space="preserve"> </w:t>
      </w:r>
      <m:oMath>
        <m:r>
          <m:t>ρ</m:t>
        </m:r>
        <m:r>
          <m:rPr>
            <m:sty m:val="p"/>
          </m:rPr>
          <m:t>→</m:t>
        </m:r>
        <m:r>
          <m:t>0</m:t>
        </m:r>
      </m:oMath>
      <w:r>
        <w:t xml:space="preserve"> </w:t>
      </w:r>
      <w:r>
        <w:t xml:space="preserve">(</w:t>
      </w:r>
      <m:oMath>
        <m:r>
          <m:t>σ</m:t>
        </m:r>
        <m:r>
          <m:rPr>
            <m:sty m:val="p"/>
          </m:rPr>
          <m:t>→</m:t>
        </m:r>
        <m:r>
          <m:t>1</m:t>
        </m:r>
      </m:oMath>
      <w:r>
        <w:t xml:space="preserve">), a CES converge para a Cobb-Douglas com expoentes proporcionais a</w:t>
      </w:r>
      <w:r>
        <w:t xml:space="preserve"> </w:t>
      </w:r>
      <m:oMath>
        <m:r>
          <m:t>a</m:t>
        </m:r>
      </m:oMath>
      <w:r>
        <w:t xml:space="preserve"> </w:t>
      </w:r>
      <w:r>
        <w:t xml:space="preserve">e</w:t>
      </w:r>
      <w:r>
        <w:t xml:space="preserve"> </w:t>
      </w:r>
      <m:oMath>
        <m:r>
          <m:t>b</m:t>
        </m:r>
      </m:oMath>
      <w:r>
        <w:t xml:space="preserve">. O índice</w:t>
      </w:r>
      <w:r>
        <w:t xml:space="preserve"> </w:t>
      </w:r>
      <m:oMath>
        <m:r>
          <m:t>P</m:t>
        </m:r>
      </m:oMath>
      <w:r>
        <w:t xml:space="preserve"> </w:t>
      </w:r>
      <w:r>
        <w:t xml:space="preserve">converge para</w:t>
      </w:r>
      <w:r>
        <w:t xml:space="preserve"> </w:t>
      </w:r>
      <m:oMath>
        <m:r>
          <m:rPr>
            <m:nor/>
            <m:sty m:val="p"/>
          </m:rPr>
          <m:t>const</m:t>
        </m:r>
        <m:r>
          <m:rPr>
            <m:sty m:val="p"/>
          </m:rPr>
          <m:t>⋅</m:t>
        </m:r>
        <m:sSubSup>
          <m:e>
            <m:r>
              <m:t>p</m:t>
            </m:r>
          </m:e>
          <m:sub>
            <m:r>
              <m:t>1</m:t>
            </m:r>
          </m:sub>
          <m:sup>
            <m:r>
              <m:t>a</m:t>
            </m:r>
            <m:r>
              <m:rPr>
                <m:sty m:val="p"/>
              </m:rPr>
              <m:t>/</m:t>
            </m:r>
            <m:r>
              <m:rPr>
                <m:sty m:val="p"/>
              </m:rPr>
              <m:t>(</m:t>
            </m:r>
            <m:r>
              <m:t>a</m:t>
            </m:r>
            <m:r>
              <m:rPr>
                <m:sty m:val="p"/>
              </m:rPr>
              <m:t>+</m:t>
            </m:r>
            <m:r>
              <m:t>b</m:t>
            </m:r>
            <m:r>
              <m:rPr>
                <m:sty m:val="p"/>
              </m:rPr>
              <m:t>)</m:t>
            </m:r>
          </m:sup>
        </m:sSubSup>
        <m:sSubSup>
          <m:e>
            <m:r>
              <m:t>p</m:t>
            </m:r>
          </m:e>
          <m:sub>
            <m:r>
              <m:t>2</m:t>
            </m:r>
          </m:sub>
          <m:sup>
            <m:r>
              <m:t>b</m:t>
            </m:r>
            <m:r>
              <m:rPr>
                <m:sty m:val="p"/>
              </m:rPr>
              <m:t>/</m:t>
            </m:r>
            <m:r>
              <m:rPr>
                <m:sty m:val="p"/>
              </m:rPr>
              <m:t>(</m:t>
            </m:r>
            <m:r>
              <m:t>a</m:t>
            </m:r>
            <m:r>
              <m:rPr>
                <m:sty m:val="p"/>
              </m:rPr>
              <m:t>+</m:t>
            </m:r>
            <m:r>
              <m:t>b</m:t>
            </m:r>
            <m:r>
              <m:rPr>
                <m:sty m:val="p"/>
              </m:rPr>
              <m:t>)</m:t>
            </m:r>
          </m:sup>
        </m:sSubSup>
      </m:oMath>
      <w:r>
        <w:t xml:space="preserve">.</w:t>
      </w:r>
    </w:p>
    <w:p>
      <w:pPr>
        <w:pStyle w:val="Compact"/>
        <w:numPr>
          <w:ilvl w:val="0"/>
          <w:numId w:val="1140"/>
        </w:numPr>
      </w:pPr>
      <w:r>
        <w:t xml:space="preserve">Quando</w:t>
      </w:r>
      <w:r>
        <w:t xml:space="preserve"> </w:t>
      </w:r>
      <m:oMath>
        <m:r>
          <m:t>ρ</m:t>
        </m:r>
        <m:r>
          <m:rPr>
            <m:sty m:val="p"/>
          </m:rPr>
          <m:t>→</m:t>
        </m:r>
        <m:r>
          <m:t>1</m:t>
        </m:r>
      </m:oMath>
      <w:r>
        <w:t xml:space="preserve"> </w:t>
      </w:r>
      <w:r>
        <w:t xml:space="preserve">(</w:t>
      </w:r>
      <m:oMath>
        <m:r>
          <m:t>σ</m:t>
        </m:r>
        <m:r>
          <m:rPr>
            <m:sty m:val="p"/>
          </m:rPr>
          <m:t>→</m:t>
        </m:r>
        <m:r>
          <m:rPr>
            <m:sty m:val="p"/>
          </m:rPr>
          <m:t>∞</m:t>
        </m:r>
      </m:oMath>
      <w:r>
        <w:t xml:space="preserve">), o consumidor substitui perfeitamente entre os bens e consome apenas o mais barato por unidade de utilidade.</w:t>
      </w:r>
    </w:p>
    <w:p>
      <w:pPr>
        <w:pStyle w:val="Compact"/>
        <w:numPr>
          <w:ilvl w:val="0"/>
          <w:numId w:val="1140"/>
        </w:numPr>
      </w:pPr>
      <w:r>
        <w:t xml:space="preserve">Quando</w:t>
      </w:r>
      <w:r>
        <w:t xml:space="preserve"> </w:t>
      </w:r>
      <m:oMath>
        <m:r>
          <m:t>ρ</m:t>
        </m:r>
        <m:r>
          <m:rPr>
            <m:sty m:val="p"/>
          </m:rPr>
          <m:t>→</m:t>
        </m:r>
        <m:r>
          <m:rPr>
            <m:sty m:val="p"/>
          </m:rPr>
          <m:t>−</m:t>
        </m:r>
        <m:r>
          <m:rPr>
            <m:sty m:val="p"/>
          </m:rPr>
          <m:t>∞</m:t>
        </m:r>
      </m:oMath>
      <w:r>
        <w:t xml:space="preserve"> </w:t>
      </w:r>
      <w:r>
        <w:t xml:space="preserve">(</w:t>
      </w:r>
      <m:oMath>
        <m:r>
          <m:t>σ</m:t>
        </m:r>
        <m:r>
          <m:rPr>
            <m:sty m:val="p"/>
          </m:rPr>
          <m:t>→</m:t>
        </m:r>
        <m:r>
          <m:t>0</m:t>
        </m:r>
      </m:oMath>
      <w:r>
        <w:t xml:space="preserve">), não há substituição e o consumidor consome na proporção fixa</w:t>
      </w:r>
      <w:r>
        <w:t xml:space="preserve"> </w:t>
      </w:r>
      <m:oMath>
        <m:r>
          <m:t>a</m:t>
        </m:r>
        <m:r>
          <m:rPr>
            <m:sty m:val="p"/>
          </m:rPr>
          <m:t>:</m:t>
        </m:r>
        <m:r>
          <m:t>b</m:t>
        </m:r>
      </m:oMath>
      <w:r>
        <w:t xml:space="preserve">.</w:t>
      </w:r>
    </w:p>
    <w:p>
      <w:pPr>
        <w:pStyle w:val="BlockText"/>
      </w:pPr>
      <w:r>
        <w:rPr>
          <w:b/>
          <w:bCs/>
        </w:rPr>
        <w:t xml:space="preserve">[BOX MUNDO] Box Mundo 4.2 — A utilidade CES no comércio internacional: o modelo Dixit-Stiglitz e a Nova Teoria do Comércio</w:t>
      </w:r>
    </w:p>
    <w:p>
      <w:pPr>
        <w:pStyle w:val="BlockText"/>
      </w:pPr>
      <w:r>
        <w:rPr>
          <w:b/>
          <w:bCs/>
        </w:rPr>
        <w:t xml:space="preserve">Contexto:</w:t>
      </w:r>
      <w:r>
        <w:t xml:space="preserve"> </w:t>
      </w:r>
      <w:r>
        <w:t xml:space="preserve">A função CES, apresentada nesta seção como ferramenta da teoria do consumidor, desempenha um papel central na teoria do comércio internacional contemporânea. Em 1977, Avinash Dixit e Joseph Stiglitz publicaram um artigo seminal —</w:t>
      </w:r>
      <w:r>
        <w:t xml:space="preserve"> </w:t>
      </w:r>
      <w:r>
        <w:t xml:space="preserve">“Monopolistic Competition and Optimum Product Diversity”</w:t>
      </w:r>
      <w:r>
        <w:t xml:space="preserve"> </w:t>
      </w:r>
      <w:r>
        <w:t xml:space="preserve">(</w:t>
      </w:r>
      <w:r>
        <w:rPr>
          <w:i/>
          <w:iCs/>
        </w:rPr>
        <w:t xml:space="preserve">American Economic Review</w:t>
      </w:r>
      <w:r>
        <w:t xml:space="preserve">) — no qual modelaram as preferências dos consumidores por variedade usando uma função utilidade CES sobre um contínuo de bens diferenciados. Essa estrutura foi posteriormente adotada por Paul Krugman (1979, 1980) para explicar por que países com dotações similares comerciam entre si — o chamado comércio intra-indústria —, dando origem à</w:t>
      </w:r>
      <w:r>
        <w:t xml:space="preserve"> </w:t>
      </w:r>
      <w:r>
        <w:rPr>
          <w:b/>
          <w:bCs/>
        </w:rPr>
        <w:t xml:space="preserve">Nova Teoria do Comércio</w:t>
      </w:r>
      <w:r>
        <w:t xml:space="preserve">, que lhe rendeu o Prêmio Nobel de Economia em 2008.</w:t>
      </w:r>
    </w:p>
    <w:p>
      <w:pPr>
        <w:pStyle w:val="BlockText"/>
      </w:pPr>
      <w:r>
        <w:rPr>
          <w:b/>
          <w:bCs/>
        </w:rPr>
        <w:t xml:space="preserve">Dados:</w:t>
      </w:r>
      <w:r>
        <w:t xml:space="preserve"> </w:t>
      </w:r>
      <w:r>
        <w:t xml:space="preserve">No modelo Dixit-Stiglitz-Krugman, o consumidor representativo maximiza uma utilidade CES sobre</w:t>
      </w:r>
      <w:r>
        <w:t xml:space="preserve"> </w:t>
      </w:r>
      <m:oMath>
        <m:r>
          <m:t>n</m:t>
        </m:r>
      </m:oMath>
      <w:r>
        <w:t xml:space="preserve"> </w:t>
      </w:r>
      <w:r>
        <w:t xml:space="preserve">variedades de um bem diferenciado:</w:t>
      </w:r>
      <w:r>
        <w:t xml:space="preserve"> </w:t>
      </w:r>
      <m:oMath>
        <m:r>
          <m:t>U</m:t>
        </m:r>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Sup>
                      <m:e>
                        <m:r>
                          <m:t>x</m:t>
                        </m:r>
                      </m:e>
                      <m:sub>
                        <m:r>
                          <m:t>i</m:t>
                        </m:r>
                      </m:sub>
                      <m:sup>
                        <m:r>
                          <m:t>ρ</m:t>
                        </m:r>
                      </m:sup>
                    </m:sSubSup>
                  </m:e>
                </m:nary>
              </m:e>
            </m:d>
          </m:e>
          <m:sup>
            <m:r>
              <m:t>1</m:t>
            </m:r>
            <m:r>
              <m:rPr>
                <m:sty m:val="p"/>
              </m:rPr>
              <m:t>/</m:t>
            </m:r>
            <m:r>
              <m:t>ρ</m:t>
            </m:r>
          </m:sup>
        </m:sSup>
      </m:oMath>
      <w:r>
        <w:t xml:space="preserve">, onde</w:t>
      </w:r>
      <w:r>
        <w:t xml:space="preserve"> </w:t>
      </w:r>
      <m:oMath>
        <m:r>
          <m:t>σ</m:t>
        </m:r>
        <m:r>
          <m:rPr>
            <m:sty m:val="p"/>
          </m:rPr>
          <m:t>=</m:t>
        </m:r>
        <m:r>
          <m:t>1</m:t>
        </m:r>
        <m:r>
          <m:rPr>
            <m:sty m:val="p"/>
          </m:rPr>
          <m:t>/</m:t>
        </m:r>
        <m:r>
          <m:rPr>
            <m:sty m:val="p"/>
          </m:rPr>
          <m:t>(</m:t>
        </m:r>
        <m:r>
          <m:t>1</m:t>
        </m:r>
        <m:r>
          <m:rPr>
            <m:sty m:val="p"/>
          </m:rPr>
          <m:t>−</m:t>
        </m:r>
        <m:r>
          <m:t>ρ</m:t>
        </m:r>
        <m:r>
          <m:rPr>
            <m:sty m:val="p"/>
          </m:rPr>
          <m:t>)</m:t>
        </m:r>
        <m:r>
          <m:rPr>
            <m:sty m:val="p"/>
          </m:rPr>
          <m:t>&gt;</m:t>
        </m:r>
        <m:r>
          <m:t>1</m:t>
        </m:r>
      </m:oMath>
      <w:r>
        <w:t xml:space="preserve"> </w:t>
      </w:r>
      <w:r>
        <w:t xml:space="preserve">é a elasticidade de substituição entre variedades. Quanto maior</w:t>
      </w:r>
      <w:r>
        <w:t xml:space="preserve"> </w:t>
      </w:r>
      <m:oMath>
        <m:r>
          <m:t>σ</m:t>
        </m:r>
      </m:oMath>
      <w:r>
        <w:t xml:space="preserve">, mais substituíveis são as variedades e menor o poder de mercado de cada firma. Estimativas empíricas de</w:t>
      </w:r>
      <w:r>
        <w:t xml:space="preserve"> </w:t>
      </w:r>
      <m:oMath>
        <m:r>
          <m:t>σ</m:t>
        </m:r>
      </m:oMath>
      <w:r>
        <w:t xml:space="preserve"> </w:t>
      </w:r>
      <w:r>
        <w:t xml:space="preserve">variam significativamente entre setores: Broda e Weinstein (2006,</w:t>
      </w:r>
      <w:r>
        <w:t xml:space="preserve"> </w:t>
      </w:r>
      <w:r>
        <w:rPr>
          <w:i/>
          <w:iCs/>
        </w:rPr>
        <w:t xml:space="preserve">Quarterly Journal of Economics</w:t>
      </w:r>
      <w:r>
        <w:t xml:space="preserve">) estimaram elasticidades de substituição para mais de 30.000 categorias de bens importados pelos EUA, encontrando medianas entre 2,2 e 3,7, com valores muito mais altos para commodities homogêneas e muito mais baixos para bens altamente diferenciados (eletrônicos, vestuário). Feenstra (1994,</w:t>
      </w:r>
      <w:r>
        <w:t xml:space="preserve"> </w:t>
      </w:r>
      <w:r>
        <w:rPr>
          <w:i/>
          <w:iCs/>
        </w:rPr>
        <w:t xml:space="preserve">American Economic Review</w:t>
      </w:r>
      <w:r>
        <w:t xml:space="preserve">) desenvolveu o método econométrico que permite estimar</w:t>
      </w:r>
      <w:r>
        <w:t xml:space="preserve"> </w:t>
      </w:r>
      <m:oMath>
        <m:r>
          <m:t>σ</m:t>
        </m:r>
      </m:oMath>
      <w:r>
        <w:t xml:space="preserve"> </w:t>
      </w:r>
      <w:r>
        <w:t xml:space="preserve">a partir de dados de comércio bilateral, tornando o parâmetro CES empiricamente mensurável.</w:t>
      </w:r>
    </w:p>
    <w:p>
      <w:pPr>
        <w:pStyle w:val="BlockText"/>
      </w:pPr>
      <w:r>
        <w:rPr>
          <w:b/>
          <w:bCs/>
        </w:rPr>
        <w:t xml:space="preserve">Análise:</w:t>
      </w:r>
      <w:r>
        <w:t xml:space="preserve"> </w:t>
      </w:r>
      <w:r>
        <w:t xml:space="preserve">A conexão entre a Seção 4.10.4 e o comércio internacional é direta: as demandas CES derivadas nesta seção — com participações orçamentárias que dependem dos preços relativos elevados à potência</w:t>
      </w:r>
      <w:r>
        <w:t xml:space="preserve"> </w:t>
      </w:r>
      <m:oMath>
        <m:r>
          <m:t>1</m:t>
        </m:r>
        <m:r>
          <m:rPr>
            <m:sty m:val="p"/>
          </m:rPr>
          <m:t>−</m:t>
        </m:r>
        <m:r>
          <m:t>σ</m:t>
        </m:r>
      </m:oMath>
      <w:r>
        <w:t xml:space="preserve"> </w:t>
      </w:r>
      <w:r>
        <w:t xml:space="preserve">e do índice de preços CES</w:t>
      </w:r>
      <w:r>
        <w:t xml:space="preserve"> </w:t>
      </w:r>
      <m:oMath>
        <m:r>
          <m:t>P</m:t>
        </m:r>
      </m:oMath>
      <w:r>
        <w:t xml:space="preserve"> </w:t>
      </w:r>
      <w:r>
        <w:t xml:space="preserve">— são exatamente as funções de demanda por variedades importadas usadas nos modelos gravitacionais de comércio. O índice de preços CES</w:t>
      </w:r>
      <w:r>
        <w:t xml:space="preserve"> </w:t>
      </w:r>
      <m:oMath>
        <m:r>
          <m:t>P</m:t>
        </m:r>
      </m:oMath>
      <w:r>
        <w:t xml:space="preserve"> </w:t>
      </w:r>
      <w:r>
        <w:t xml:space="preserve">derivado aqui corresponde ao índice de preços ideal que aparece na equação gravitacional estrutural de Anderson e Van Wincoop (2003). Assim, a maquinaria algébrica desenvolvida para o consumidor individual neste capítulo é a mesma que fundamenta a análise de fluxos comerciais entre países — um exemplo notável de como a teoria microeconômica permeia toda a economia aplicada.</w:t>
      </w:r>
    </w:p>
    <w:p>
      <w:pPr>
        <w:pStyle w:val="BlockText"/>
      </w:pPr>
      <w:r>
        <w:rPr>
          <w:b/>
          <w:bCs/>
        </w:rPr>
        <w:t xml:space="preserve">Fonte:</w:t>
      </w:r>
      <w:r>
        <w:t xml:space="preserve"> </w:t>
      </w:r>
      <w:r>
        <w:t xml:space="preserve">Dixit, A. K.; Stiglitz, J. E. (1977).</w:t>
      </w:r>
      <w:r>
        <w:t xml:space="preserve"> </w:t>
      </w:r>
      <w:r>
        <w:t xml:space="preserve">“Monopolistic Competition and Optimum Product Diversity.”</w:t>
      </w:r>
      <w:r>
        <w:t xml:space="preserve"> </w:t>
      </w:r>
      <w:r>
        <w:rPr>
          <w:i/>
          <w:iCs/>
        </w:rPr>
        <w:t xml:space="preserve">American Economic Review</w:t>
      </w:r>
      <w:r>
        <w:t xml:space="preserve">, 67(3), 297–308. Krugman, P. (1979).</w:t>
      </w:r>
      <w:r>
        <w:t xml:space="preserve"> </w:t>
      </w:r>
      <w:r>
        <w:t xml:space="preserve">“Increasing Returns, Monopolistic Competition, and International Trade.”</w:t>
      </w:r>
      <w:r>
        <w:t xml:space="preserve"> </w:t>
      </w:r>
      <w:r>
        <w:rPr>
          <w:i/>
          <w:iCs/>
        </w:rPr>
        <w:t xml:space="preserve">Journal of International Economics</w:t>
      </w:r>
      <w:r>
        <w:t xml:space="preserve">, 9(4), 469–479. Broda, C.; Weinstein, D. E. (2006).</w:t>
      </w:r>
      <w:r>
        <w:t xml:space="preserve"> </w:t>
      </w:r>
      <w:r>
        <w:t xml:space="preserve">“Globalization and the Gains from Variety.”</w:t>
      </w:r>
      <w:r>
        <w:t xml:space="preserve"> </w:t>
      </w:r>
      <w:r>
        <w:rPr>
          <w:i/>
          <w:iCs/>
        </w:rPr>
        <w:t xml:space="preserve">Quarterly Journal of Economics</w:t>
      </w:r>
      <w:r>
        <w:t xml:space="preserve">, 121(2), 541–585.</w:t>
      </w:r>
    </w:p>
    <w:bookmarkEnd w:id="211"/>
    <w:bookmarkStart w:id="212" w:name="quase-linear-ux₁-x₂-vx₁-x₂"/>
    <w:p>
      <w:pPr>
        <w:pStyle w:val="Heading4"/>
      </w:pPr>
      <w:r>
        <w:t xml:space="preserve">4.10.5 Quase-linear: U(x₁, x₂) = v(x₁) + x₂</w:t>
      </w:r>
    </w:p>
    <w:p>
      <w:pPr>
        <w:pStyle w:val="FirstParagraph"/>
      </w:pPr>
      <w:r>
        <w:t xml:space="preserve">Por fim, retornamos à utilidade quase-linear, cuja estrutura singular — a ausência de efeito renda sobre um dos bens — produz simplificações notáveis nas funções de demanda e na análise de bem-estar. Como veremos, a quase-linearidade faz com que as demandas marshalliana e hicksiana do bem 1 coincidam, e que as medidas de variação compensatória, variação equivalente e variação do excedente do consumidor sejam todas iguais. Essa propriedade torna a quase-linear a preferida em modelos de equilíbrio parcial e organização industrial. A utilidade quase-linear combina uma função côncava</w:t>
      </w:r>
      <w:r>
        <w:t xml:space="preserve"> </w:t>
      </w:r>
      <m:oMath>
        <m:r>
          <m:t>v</m:t>
        </m:r>
        <m:r>
          <m:rPr>
            <m:sty m:val="p"/>
          </m:rPr>
          <m:t>(</m:t>
        </m:r>
        <m:sSub>
          <m:e>
            <m:r>
              <m:t>x</m:t>
            </m:r>
          </m:e>
          <m:sub>
            <m:r>
              <m:t>1</m:t>
            </m:r>
          </m:sub>
        </m:sSub>
        <m:r>
          <m:rPr>
            <m:sty m:val="p"/>
          </m:rPr>
          <m:t>)</m:t>
        </m:r>
      </m:oMath>
      <w:r>
        <w:t xml:space="preserve"> </w:t>
      </w:r>
      <w:r>
        <w:t xml:space="preserve">com um termo linear em</w:t>
      </w:r>
      <w:r>
        <w:t xml:space="preserve"> </w:t>
      </w:r>
      <m:oMath>
        <m:sSub>
          <m:e>
            <m:r>
              <m:t>x</m:t>
            </m:r>
          </m:e>
          <m:sub>
            <m:r>
              <m:t>2</m:t>
            </m:r>
          </m:sub>
        </m:sSub>
      </m:oMath>
      <w:r>
        <w:t xml:space="preserve">, onde o bem 2 funciona como numerário (Seção 3.6.5).</w:t>
      </w:r>
    </w:p>
    <w:p>
      <w:pPr>
        <w:pStyle w:val="BodyText"/>
      </w:pPr>
      <w:r>
        <w:rPr>
          <w:b/>
          <w:bCs/>
        </w:rPr>
        <w:t xml:space="preserve">Demanda Marshalliana.</w:t>
      </w:r>
      <w:r>
        <w:t xml:space="preserve"> </w:t>
      </w:r>
      <w:r>
        <w:t xml:space="preserve">O consumidor resolve:</w:t>
      </w:r>
    </w:p>
    <w:p>
      <w:pPr>
        <w:pStyle w:val="BodyText"/>
      </w:pPr>
      <m:oMathPara>
        <m:oMathParaPr>
          <m:jc m:val="center"/>
        </m:oMathParaPr>
        <m:oMath>
          <m:limLow>
            <m:e>
              <m:r>
                <m:rPr>
                  <m:sty m:val="p"/>
                </m:rPr>
                <m:t>max</m:t>
              </m:r>
            </m:e>
            <m:lim>
              <m:sSub>
                <m:e>
                  <m:r>
                    <m:t>x</m:t>
                  </m:r>
                </m:e>
                <m:sub>
                  <m:r>
                    <m:t>1</m:t>
                  </m:r>
                </m:sub>
              </m:sSub>
              <m:r>
                <m:rPr>
                  <m:sty m:val="p"/>
                </m:rPr>
                <m:t>,</m:t>
              </m:r>
              <m:sSub>
                <m:e>
                  <m:r>
                    <m:t>x</m:t>
                  </m:r>
                </m:e>
                <m:sub>
                  <m:r>
                    <m:t>2</m:t>
                  </m:r>
                </m:sub>
              </m:sSub>
            </m:lim>
          </m:limLow>
          <m:r>
            <m:t> </m:t>
          </m:r>
          <m:r>
            <m:t>v</m:t>
          </m:r>
          <m:r>
            <m:rPr>
              <m:sty m:val="p"/>
            </m:rPr>
            <m:t>(</m:t>
          </m:r>
          <m:sSub>
            <m:e>
              <m:r>
                <m:t>x</m:t>
              </m:r>
            </m:e>
            <m:sub>
              <m:r>
                <m:t>1</m:t>
              </m:r>
            </m:sub>
          </m:sSub>
          <m:r>
            <m:rPr>
              <m:sty m:val="p"/>
            </m:rPr>
            <m:t>)</m:t>
          </m:r>
          <m:r>
            <m:rPr>
              <m:sty m:val="p"/>
            </m:rPr>
            <m:t>+</m:t>
          </m:r>
          <m:sSub>
            <m:e>
              <m:r>
                <m:t>x</m:t>
              </m:r>
            </m:e>
            <m:sub>
              <m:r>
                <m:t>2</m:t>
              </m:r>
            </m:sub>
          </m:sSub>
          <m:r>
            <m:t> </m:t>
          </m:r>
          <m:r>
            <m:rPr>
              <m:nor/>
              <m:sty m:val="p"/>
            </m:rPr>
            <m:t>s.a.</m:t>
          </m:r>
          <m:r>
            <m:t> </m:t>
          </m:r>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oMath>
      </m:oMathPara>
    </w:p>
    <w:p>
      <w:pPr>
        <w:pStyle w:val="FirstParagraph"/>
      </w:pPr>
      <w:r>
        <w:t xml:space="preserve">A CPO para solução interior é:</w:t>
      </w:r>
    </w:p>
    <w:p>
      <w:pPr>
        <w:pStyle w:val="BodyText"/>
      </w:pPr>
      <m:oMathPara>
        <m:oMathParaPr>
          <m:jc m:val="center"/>
        </m:oMathParaPr>
        <m:oMath>
          <m:sSup>
            <m:e>
              <m:r>
                <m:t>v</m:t>
              </m:r>
            </m:e>
            <m:sup>
              <m:r>
                <m:rPr>
                  <m:sty m:val="p"/>
                </m:rPr>
                <m:t>′</m:t>
              </m:r>
            </m:sup>
          </m:sSup>
          <m:r>
            <m:rPr>
              <m:sty m:val="p"/>
            </m:rPr>
            <m:t>(</m:t>
          </m:r>
          <m:sSub>
            <m:e>
              <m:r>
                <m:t>x</m:t>
              </m:r>
            </m:e>
            <m:sub>
              <m:r>
                <m:t>1</m:t>
              </m:r>
            </m:sub>
          </m:sSub>
          <m:r>
            <m:rPr>
              <m:sty m:val="p"/>
            </m:rPr>
            <m:t>)</m:t>
          </m:r>
          <m:r>
            <m:rPr>
              <m:sty m:val="p"/>
            </m:rPr>
            <m:t>=</m:t>
          </m:r>
          <m:f>
            <m:fPr>
              <m:type m:val="bar"/>
            </m:fPr>
            <m:num>
              <m:sSub>
                <m:e>
                  <m:r>
                    <m:t>p</m:t>
                  </m:r>
                </m:e>
                <m:sub>
                  <m:r>
                    <m:t>1</m:t>
                  </m:r>
                </m:sub>
              </m:sSub>
            </m:num>
            <m:den>
              <m:sSub>
                <m:e>
                  <m:r>
                    <m:t>p</m:t>
                  </m:r>
                </m:e>
                <m:sub>
                  <m:r>
                    <m:t>2</m:t>
                  </m:r>
                </m:sub>
              </m:sSub>
            </m:den>
          </m:f>
        </m:oMath>
      </m:oMathPara>
    </w:p>
    <w:p>
      <w:pPr>
        <w:pStyle w:val="FirstParagraph"/>
      </w:pPr>
      <w:r>
        <w:t xml:space="preserve">Como</w:t>
      </w:r>
      <w:r>
        <w:t xml:space="preserve"> </w:t>
      </w:r>
      <m:oMath>
        <m:sSup>
          <m:e>
            <m:r>
              <m:t>v</m:t>
            </m:r>
          </m:e>
          <m:sup>
            <m:r>
              <m:rPr>
                <m:sty m:val="p"/>
              </m:rPr>
              <m:t>″</m:t>
            </m:r>
          </m:sup>
        </m:sSup>
        <m:r>
          <m:rPr>
            <m:sty m:val="p"/>
          </m:rPr>
          <m:t>&lt;</m:t>
        </m:r>
        <m:r>
          <m:t>0</m:t>
        </m:r>
      </m:oMath>
      <w:r>
        <w:t xml:space="preserve">, a CPO define implicitamente</w:t>
      </w:r>
      <w:r>
        <w:t xml:space="preserve"> </w:t>
      </w:r>
      <m:oMath>
        <m:sSubSup>
          <m:e>
            <m:r>
              <m:t>x</m:t>
            </m:r>
          </m:e>
          <m:sub>
            <m:r>
              <m:t>1</m:t>
            </m:r>
          </m:sub>
          <m:sup>
            <m:r>
              <m:rPr>
                <m:sty m:val="p"/>
              </m:rPr>
              <m:t>*</m:t>
            </m:r>
          </m:sup>
        </m:sSubSup>
        <m:r>
          <m:rPr>
            <m:sty m:val="p"/>
          </m:rPr>
          <m:t>=</m:t>
        </m:r>
        <m:r>
          <m:rPr>
            <m:sty m:val="p"/>
          </m:rPr>
          <m:t>(</m:t>
        </m:r>
        <m:sSup>
          <m:e>
            <m:r>
              <m:t>v</m:t>
            </m:r>
          </m:e>
          <m:sup>
            <m:r>
              <m:rPr>
                <m:sty m:val="p"/>
              </m:rPr>
              <m:t>′</m:t>
            </m:r>
          </m:sup>
        </m:sSup>
        <m:sSup>
          <m:e>
            <m:r>
              <m:rPr>
                <m:sty m:val="p"/>
              </m:rPr>
              <m:t>)</m:t>
            </m:r>
          </m:e>
          <m:sup>
            <m:r>
              <m:rPr>
                <m:sty m:val="p"/>
              </m:rPr>
              <m:t>−</m:t>
            </m:r>
            <m:r>
              <m:t>1</m:t>
            </m:r>
          </m:sup>
        </m:sSup>
        <m:r>
          <m:rPr>
            <m:sty m:val="p"/>
          </m:rPr>
          <m:t>(</m:t>
        </m:r>
        <m:sSub>
          <m:e>
            <m:r>
              <m:t>p</m:t>
            </m:r>
          </m:e>
          <m:sub>
            <m:r>
              <m:t>1</m:t>
            </m:r>
          </m:sub>
        </m:sSub>
        <m:r>
          <m:rPr>
            <m:sty m:val="p"/>
          </m:rPr>
          <m:t>/</m:t>
        </m:r>
        <m:sSub>
          <m:e>
            <m:r>
              <m:t>p</m:t>
            </m:r>
          </m:e>
          <m:sub>
            <m:r>
              <m:t>2</m:t>
            </m:r>
          </m:sub>
        </m:sSub>
        <m:r>
          <m:rPr>
            <m:sty m:val="p"/>
          </m:rPr>
          <m:t>)</m:t>
        </m:r>
      </m:oMath>
      <w:r>
        <w:t xml:space="preserve">, que</w:t>
      </w:r>
      <w:r>
        <w:t xml:space="preserve"> </w:t>
      </w:r>
      <w:r>
        <w:rPr>
          <w:b/>
          <w:bCs/>
        </w:rPr>
        <w:t xml:space="preserve">não depende da renda</w:t>
      </w:r>
      <w:r>
        <w:t xml:space="preserve">. O bem 2 absorve toda a variação de renda:</w:t>
      </w:r>
    </w:p>
    <w:p>
      <w:pPr>
        <w:pStyle w:val="BodyText"/>
      </w:pPr>
      <m:oMathPara>
        <m:oMathParaPr>
          <m:jc m:val="center"/>
        </m:oMathParaPr>
        <m:oMath>
          <m:borderBox>
            <m:e>
              <m:sSubSup>
                <m:e>
                  <m:r>
                    <m:t>x</m:t>
                  </m:r>
                </m:e>
                <m:sub>
                  <m:r>
                    <m:t>1</m:t>
                  </m:r>
                </m:sub>
                <m:sup>
                  <m:r>
                    <m:rPr>
                      <m:sty m:val="p"/>
                    </m:rPr>
                    <m:t>*</m:t>
                  </m:r>
                </m:sup>
              </m:sSubSup>
              <m:r>
                <m:rPr>
                  <m:sty m:val="p"/>
                </m:rPr>
                <m:t>=</m:t>
              </m:r>
              <m:r>
                <m:rPr>
                  <m:sty m:val="p"/>
                </m:rPr>
                <m:t>(</m:t>
              </m:r>
              <m:sSup>
                <m:e>
                  <m:r>
                    <m:t>v</m:t>
                  </m:r>
                </m:e>
                <m:sup>
                  <m:r>
                    <m:rPr>
                      <m:sty m:val="p"/>
                    </m:rPr>
                    <m:t>′</m:t>
                  </m:r>
                </m:sup>
              </m:sSup>
              <m:sSup>
                <m:e>
                  <m:r>
                    <m:rPr>
                      <m:sty m:val="p"/>
                    </m:rPr>
                    <m:t>)</m:t>
                  </m:r>
                </m:e>
                <m:sup>
                  <m:r>
                    <m:rPr>
                      <m:sty m:val="p"/>
                    </m:rPr>
                    <m:t>−</m:t>
                  </m:r>
                  <m:r>
                    <m:t>1</m:t>
                  </m:r>
                </m:sup>
              </m:sSup>
              <m:r>
                <m:t>​</m:t>
              </m:r>
              <m:d>
                <m:dPr>
                  <m:begChr m:val="("/>
                  <m:sepChr m:val=""/>
                  <m:endChr m:val=")"/>
                  <m:grow/>
                </m:dPr>
                <m:e>
                  <m:f>
                    <m:fPr>
                      <m:type m:val="bar"/>
                    </m:fPr>
                    <m:num>
                      <m:sSub>
                        <m:e>
                          <m:r>
                            <m:t>p</m:t>
                          </m:r>
                        </m:e>
                        <m:sub>
                          <m:r>
                            <m:t>1</m:t>
                          </m:r>
                        </m:sub>
                      </m:sSub>
                    </m:num>
                    <m:den>
                      <m:sSub>
                        <m:e>
                          <m:r>
                            <m:t>p</m:t>
                          </m:r>
                        </m:e>
                        <m:sub>
                          <m:r>
                            <m:t>2</m:t>
                          </m:r>
                        </m:sub>
                      </m:sSub>
                    </m:den>
                  </m:f>
                </m:e>
              </m:d>
              <m:r>
                <m:rPr>
                  <m:sty m:val="p"/>
                </m:rPr>
                <m:t>,</m:t>
              </m:r>
              <m:r>
                <m:t>  </m:t>
              </m:r>
              <m:sSubSup>
                <m:e>
                  <m:r>
                    <m:t>x</m:t>
                  </m:r>
                </m:e>
                <m:sub>
                  <m:r>
                    <m:t>2</m:t>
                  </m:r>
                </m:sub>
                <m:sup>
                  <m:r>
                    <m:rPr>
                      <m:sty m:val="p"/>
                    </m:rPr>
                    <m:t>*</m:t>
                  </m:r>
                </m:sup>
              </m:sSubSup>
              <m:r>
                <m:rPr>
                  <m:sty m:val="p"/>
                </m:rPr>
                <m:t>=</m:t>
              </m:r>
              <m:f>
                <m:fPr>
                  <m:type m:val="bar"/>
                </m:fPr>
                <m:num>
                  <m:r>
                    <m:t>I</m:t>
                  </m:r>
                  <m:r>
                    <m:rPr>
                      <m:sty m:val="p"/>
                    </m:rPr>
                    <m:t>−</m:t>
                  </m:r>
                  <m:sSub>
                    <m:e>
                      <m:r>
                        <m:t>p</m:t>
                      </m:r>
                    </m:e>
                    <m:sub>
                      <m:r>
                        <m:t>1</m:t>
                      </m:r>
                    </m:sub>
                  </m:sSub>
                  <m:sSubSup>
                    <m:e>
                      <m:r>
                        <m:t>x</m:t>
                      </m:r>
                    </m:e>
                    <m:sub>
                      <m:r>
                        <m:t>1</m:t>
                      </m:r>
                    </m:sub>
                    <m:sup>
                      <m:r>
                        <m:rPr>
                          <m:sty m:val="p"/>
                        </m:rPr>
                        <m:t>*</m:t>
                      </m:r>
                    </m:sup>
                  </m:sSubSup>
                </m:num>
                <m:den>
                  <m:sSub>
                    <m:e>
                      <m:r>
                        <m:t>p</m:t>
                      </m:r>
                    </m:e>
                    <m:sub>
                      <m:r>
                        <m:t>2</m:t>
                      </m:r>
                    </m:sub>
                  </m:sSub>
                </m:den>
              </m:f>
            </m:e>
          </m:borderBox>
        </m:oMath>
      </m:oMathPara>
    </w:p>
    <w:p>
      <w:pPr>
        <w:pStyle w:val="BlockText"/>
      </w:pPr>
      <w:r>
        <w:rPr>
          <w:b/>
          <w:bCs/>
        </w:rPr>
        <w:t xml:space="preserve">[ATENCAO] Condição de solução interior</w:t>
      </w:r>
    </w:p>
    <w:p>
      <w:pPr>
        <w:pStyle w:val="BlockText"/>
      </w:pPr>
      <w:r>
        <w:t xml:space="preserve">A solução interior requer</w:t>
      </w:r>
      <w:r>
        <w:t xml:space="preserve"> </w:t>
      </w:r>
      <m:oMath>
        <m:sSubSup>
          <m:e>
            <m:r>
              <m:t>x</m:t>
            </m:r>
          </m:e>
          <m:sub>
            <m:r>
              <m:t>2</m:t>
            </m:r>
          </m:sub>
          <m:sup>
            <m:r>
              <m:rPr>
                <m:sty m:val="p"/>
              </m:rPr>
              <m:t>*</m:t>
            </m:r>
          </m:sup>
        </m:sSubSup>
        <m:r>
          <m:rPr>
            <m:sty m:val="p"/>
          </m:rPr>
          <m:t>&gt;</m:t>
        </m:r>
        <m:r>
          <m:t>0</m:t>
        </m:r>
      </m:oMath>
      <w:r>
        <w:t xml:space="preserve">, ou seja,</w:t>
      </w:r>
      <w:r>
        <w:t xml:space="preserve"> </w:t>
      </w:r>
      <m:oMath>
        <m:r>
          <m:t>I</m:t>
        </m:r>
        <m:r>
          <m:rPr>
            <m:sty m:val="p"/>
          </m:rPr>
          <m:t>&gt;</m:t>
        </m:r>
        <m:sSub>
          <m:e>
            <m:r>
              <m:t>p</m:t>
            </m:r>
          </m:e>
          <m:sub>
            <m:r>
              <m:t>1</m:t>
            </m:r>
          </m:sub>
        </m:sSub>
        <m:sSubSup>
          <m:e>
            <m:r>
              <m:t>x</m:t>
            </m:r>
          </m:e>
          <m:sub>
            <m:r>
              <m:t>1</m:t>
            </m:r>
          </m:sub>
          <m:sup>
            <m:r>
              <m:rPr>
                <m:sty m:val="p"/>
              </m:rPr>
              <m:t>*</m:t>
            </m:r>
          </m:sup>
        </m:sSubSup>
      </m:oMath>
      <w:r>
        <w:t xml:space="preserve">. Se a renda for insuficiente, a solução de canto é</w:t>
      </w:r>
      <w:r>
        <w:t xml:space="preserve"> </w:t>
      </w:r>
      <m:oMath>
        <m:sSub>
          <m:e>
            <m:r>
              <m:t>x</m:t>
            </m:r>
          </m:e>
          <m:sub>
            <m:r>
              <m:t>2</m:t>
            </m:r>
          </m:sub>
        </m:sSub>
        <m:r>
          <m:rPr>
            <m:sty m:val="p"/>
          </m:rPr>
          <m:t>=</m:t>
        </m:r>
        <m:r>
          <m:t>0</m:t>
        </m:r>
      </m:oMath>
      <w:r>
        <w:t xml:space="preserve"> </w:t>
      </w:r>
      <w:r>
        <w:t xml:space="preserve">e</w:t>
      </w:r>
      <w:r>
        <w:t xml:space="preserve"> </w:t>
      </w:r>
      <m:oMath>
        <m:sSub>
          <m:e>
            <m:r>
              <m:t>x</m:t>
            </m:r>
          </m:e>
          <m:sub>
            <m:r>
              <m:t>1</m:t>
            </m:r>
          </m:sub>
        </m:sSub>
        <m:r>
          <m:rPr>
            <m:sty m:val="p"/>
          </m:rPr>
          <m:t>=</m:t>
        </m:r>
        <m:r>
          <m:t>I</m:t>
        </m:r>
        <m:r>
          <m:rPr>
            <m:sty m:val="p"/>
          </m:rPr>
          <m:t>/</m:t>
        </m:r>
        <m:sSub>
          <m:e>
            <m:r>
              <m:t>p</m:t>
            </m:r>
          </m:e>
          <m:sub>
            <m:r>
              <m:t>1</m:t>
            </m:r>
          </m:sub>
        </m:sSub>
      </m:oMath>
      <w:r>
        <w:t xml:space="preserve">.</w:t>
      </w:r>
    </w:p>
    <w:p>
      <w:pPr>
        <w:pStyle w:val="FirstParagraph"/>
      </w:pPr>
      <w:r>
        <w:rPr>
          <w:b/>
          <w:bCs/>
        </w:rPr>
        <w:t xml:space="preserve">Exemplo:</w:t>
      </w:r>
      <w:r>
        <w:rPr>
          <w:b/>
          <w:bCs/>
        </w:rPr>
        <w:t xml:space="preserve"> </w:t>
      </w:r>
      <m:oMath>
        <m:r>
          <m:t>v</m:t>
        </m:r>
        <m:r>
          <m:rPr>
            <m:sty m:val="p"/>
          </m:rPr>
          <m:t>(</m:t>
        </m:r>
        <m:sSub>
          <m:e>
            <m:r>
              <m:t>x</m:t>
            </m:r>
          </m:e>
          <m:sub>
            <m:r>
              <m:t>1</m:t>
            </m:r>
          </m:sub>
        </m:sSub>
        <m:r>
          <m:rPr>
            <m:sty m:val="p"/>
          </m:rPr>
          <m:t>)</m:t>
        </m:r>
        <m:r>
          <m:rPr>
            <m:sty m:val="p"/>
          </m:rPr>
          <m:t>=</m:t>
        </m:r>
        <m:r>
          <m:t>2</m:t>
        </m:r>
        <m:rad>
          <m:radPr>
            <m:degHide m:val="on"/>
          </m:radPr>
          <m:deg/>
          <m:e>
            <m:sSub>
              <m:e>
                <m:r>
                  <m:t>x</m:t>
                </m:r>
              </m:e>
              <m:sub>
                <m:r>
                  <m:t>1</m:t>
                </m:r>
              </m:sub>
            </m:sSub>
          </m:e>
        </m:rad>
      </m:oMath>
      <w:r>
        <w:rPr>
          <w:b/>
          <w:bCs/>
        </w:rPr>
        <w:t xml:space="preserve">.</w:t>
      </w:r>
      <w:r>
        <w:t xml:space="preserve"> </w:t>
      </w:r>
      <w:r>
        <w:t xml:space="preserve">A CPO é</w:t>
      </w:r>
      <w:r>
        <w:t xml:space="preserve"> </w:t>
      </w:r>
      <m:oMath>
        <m:r>
          <m:t>1</m:t>
        </m:r>
        <m:r>
          <m:rPr>
            <m:sty m:val="p"/>
          </m:rPr>
          <m:t>/</m:t>
        </m:r>
        <m:rad>
          <m:radPr>
            <m:degHide m:val="on"/>
          </m:radPr>
          <m:deg/>
          <m:e>
            <m:sSub>
              <m:e>
                <m:r>
                  <m:t>x</m:t>
                </m:r>
              </m:e>
              <m:sub>
                <m:r>
                  <m:t>1</m:t>
                </m:r>
              </m:sub>
            </m:sSub>
          </m:e>
        </m:rad>
        <m:r>
          <m:rPr>
            <m:sty m:val="p"/>
          </m:rPr>
          <m:t>=</m:t>
        </m:r>
        <m:sSub>
          <m:e>
            <m:r>
              <m:t>p</m:t>
            </m:r>
          </m:e>
          <m:sub>
            <m:r>
              <m:t>1</m:t>
            </m:r>
          </m:sub>
        </m:sSub>
        <m:r>
          <m:rPr>
            <m:sty m:val="p"/>
          </m:rPr>
          <m:t>/</m:t>
        </m:r>
        <m:sSub>
          <m:e>
            <m:r>
              <m:t>p</m:t>
            </m:r>
          </m:e>
          <m:sub>
            <m:r>
              <m:t>2</m:t>
            </m:r>
          </m:sub>
        </m:sSub>
      </m:oMath>
      <w:r>
        <w:t xml:space="preserve">, logo:</w:t>
      </w:r>
    </w:p>
    <w:p>
      <w:pPr>
        <w:pStyle w:val="BodyText"/>
      </w:pPr>
      <m:oMathPara>
        <m:oMathParaPr>
          <m:jc m:val="center"/>
        </m:oMathParaPr>
        <m:oMath>
          <m:sSubSup>
            <m:e>
              <m:r>
                <m:t>x</m:t>
              </m:r>
            </m:e>
            <m:sub>
              <m:r>
                <m:t>1</m:t>
              </m:r>
            </m:sub>
            <m:sup>
              <m:r>
                <m:rPr>
                  <m:sty m:val="p"/>
                </m:rPr>
                <m:t>*</m:t>
              </m:r>
            </m:sup>
          </m:sSubSup>
          <m:r>
            <m:rPr>
              <m:sty m:val="p"/>
            </m:rPr>
            <m:t>=</m:t>
          </m:r>
          <m:f>
            <m:fPr>
              <m:type m:val="bar"/>
            </m:fPr>
            <m:num>
              <m:sSubSup>
                <m:e>
                  <m:r>
                    <m:t>p</m:t>
                  </m:r>
                </m:e>
                <m:sub>
                  <m:r>
                    <m:t>2</m:t>
                  </m:r>
                </m:sub>
                <m:sup>
                  <m:r>
                    <m:t>2</m:t>
                  </m:r>
                </m:sup>
              </m:sSubSup>
            </m:num>
            <m:den>
              <m:sSubSup>
                <m:e>
                  <m:r>
                    <m:t>p</m:t>
                  </m:r>
                </m:e>
                <m:sub>
                  <m:r>
                    <m:t>1</m:t>
                  </m:r>
                </m:sub>
                <m:sup>
                  <m:r>
                    <m:t>2</m:t>
                  </m:r>
                </m:sup>
              </m:sSubSup>
            </m:den>
          </m:f>
          <m:r>
            <m:rPr>
              <m:sty m:val="p"/>
            </m:rPr>
            <m:t>,</m:t>
          </m:r>
          <m:r>
            <m:t>  </m:t>
          </m:r>
          <m:sSubSup>
            <m:e>
              <m:r>
                <m:t>x</m:t>
              </m:r>
            </m:e>
            <m:sub>
              <m:r>
                <m:t>2</m:t>
              </m:r>
            </m:sub>
            <m:sup>
              <m:r>
                <m:rPr>
                  <m:sty m:val="p"/>
                </m:rPr>
                <m:t>*</m:t>
              </m:r>
            </m:sup>
          </m:sSubSup>
          <m:r>
            <m:rPr>
              <m:sty m:val="p"/>
            </m:rPr>
            <m:t>=</m:t>
          </m:r>
          <m:f>
            <m:fPr>
              <m:type m:val="bar"/>
            </m:fPr>
            <m:num>
              <m:r>
                <m:t>I</m:t>
              </m:r>
            </m:num>
            <m:den>
              <m:sSub>
                <m:e>
                  <m:r>
                    <m:t>p</m:t>
                  </m:r>
                </m:e>
                <m:sub>
                  <m:r>
                    <m:t>2</m:t>
                  </m:r>
                </m:sub>
              </m:sSub>
            </m:den>
          </m:f>
          <m:r>
            <m:rPr>
              <m:sty m:val="p"/>
            </m:rPr>
            <m:t>−</m:t>
          </m:r>
          <m:f>
            <m:fPr>
              <m:type m:val="bar"/>
            </m:fPr>
            <m:num>
              <m:sSub>
                <m:e>
                  <m:r>
                    <m:t>p</m:t>
                  </m:r>
                </m:e>
                <m:sub>
                  <m:r>
                    <m:t>2</m:t>
                  </m:r>
                </m:sub>
              </m:sSub>
            </m:num>
            <m:den>
              <m:sSub>
                <m:e>
                  <m:r>
                    <m:t>p</m:t>
                  </m:r>
                </m:e>
                <m:sub>
                  <m:r>
                    <m:t>1</m:t>
                  </m:r>
                </m:sub>
              </m:sSub>
            </m:den>
          </m:f>
        </m:oMath>
      </m:oMathPara>
    </w:p>
    <w:p>
      <w:pPr>
        <w:pStyle w:val="FirstParagraph"/>
      </w:pPr>
      <w:r>
        <w:rPr>
          <w:b/>
          <w:bCs/>
        </w:rPr>
        <w:t xml:space="preserve">Utilidade indireta.</w:t>
      </w:r>
    </w:p>
    <w:p>
      <w:pPr>
        <w:pStyle w:val="BodyText"/>
      </w:pPr>
      <m:oMathPara>
        <m:oMathParaPr>
          <m:jc m:val="center"/>
        </m:oMathParaPr>
        <m:oMath>
          <m:r>
            <m:t>V</m:t>
          </m:r>
          <m:r>
            <m:rPr>
              <m:sty m:val="p"/>
            </m:rPr>
            <m:t>(</m:t>
          </m:r>
          <m:r>
            <m:rPr>
              <m:sty m:val="bi"/>
            </m:rPr>
            <m:t>p</m:t>
          </m:r>
          <m:r>
            <m:rPr>
              <m:sty m:val="p"/>
            </m:rPr>
            <m:t>,</m:t>
          </m:r>
          <m:r>
            <m:t>I</m:t>
          </m:r>
          <m:r>
            <m:rPr>
              <m:sty m:val="p"/>
            </m:rPr>
            <m:t>)</m:t>
          </m:r>
          <m:r>
            <m:rPr>
              <m:sty m:val="p"/>
            </m:rPr>
            <m:t>=</m:t>
          </m:r>
          <m:r>
            <m:t>v</m:t>
          </m:r>
          <m:r>
            <m:rPr>
              <m:sty m:val="p"/>
            </m:rPr>
            <m:t>(</m:t>
          </m:r>
          <m:sSubSup>
            <m:e>
              <m:r>
                <m:t>x</m:t>
              </m:r>
            </m:e>
            <m:sub>
              <m:r>
                <m:t>1</m:t>
              </m:r>
            </m:sub>
            <m:sup>
              <m:r>
                <m:rPr>
                  <m:sty m:val="p"/>
                </m:rPr>
                <m:t>*</m:t>
              </m:r>
            </m:sup>
          </m:sSubSup>
          <m:r>
            <m:rPr>
              <m:sty m:val="p"/>
            </m:rPr>
            <m:t>)</m:t>
          </m:r>
          <m:r>
            <m:rPr>
              <m:sty m:val="p"/>
            </m:rPr>
            <m:t>+</m:t>
          </m:r>
          <m:sSubSup>
            <m:e>
              <m:r>
                <m:t>x</m:t>
              </m:r>
            </m:e>
            <m:sub>
              <m:r>
                <m:t>2</m:t>
              </m:r>
            </m:sub>
            <m:sup>
              <m:r>
                <m:rPr>
                  <m:sty m:val="p"/>
                </m:rPr>
                <m:t>*</m:t>
              </m:r>
            </m:sup>
          </m:sSubSup>
          <m:r>
            <m:rPr>
              <m:sty m:val="p"/>
            </m:rPr>
            <m:t>=</m:t>
          </m:r>
          <m:r>
            <m:t>v</m:t>
          </m:r>
          <m:r>
            <m:t>​</m:t>
          </m:r>
          <m:d>
            <m:dPr>
              <m:begChr m:val="("/>
              <m:sepChr m:val=""/>
              <m:endChr m:val=")"/>
              <m:grow/>
            </m:dPr>
            <m:e>
              <m:r>
                <m:rPr>
                  <m:sty m:val="p"/>
                </m:rPr>
                <m:t>(</m:t>
              </m:r>
              <m:sSup>
                <m:e>
                  <m:r>
                    <m:t>v</m:t>
                  </m:r>
                </m:e>
                <m:sup>
                  <m:r>
                    <m:rPr>
                      <m:sty m:val="p"/>
                    </m:rPr>
                    <m:t>′</m:t>
                  </m:r>
                </m:sup>
              </m:sSup>
              <m:sSup>
                <m:e>
                  <m:r>
                    <m:rPr>
                      <m:sty m:val="p"/>
                    </m:rPr>
                    <m:t>)</m:t>
                  </m:r>
                </m:e>
                <m:sup>
                  <m:r>
                    <m:rPr>
                      <m:sty m:val="p"/>
                    </m:rPr>
                    <m:t>−</m:t>
                  </m:r>
                  <m:r>
                    <m:t>1</m:t>
                  </m:r>
                </m:sup>
              </m:sSup>
              <m:r>
                <m:t>​</m:t>
              </m:r>
              <m:d>
                <m:dPr>
                  <m:begChr m:val="("/>
                  <m:sepChr m:val=""/>
                  <m:endChr m:val=")"/>
                  <m:grow/>
                </m:dPr>
                <m:e>
                  <m:f>
                    <m:fPr>
                      <m:type m:val="bar"/>
                    </m:fPr>
                    <m:num>
                      <m:sSub>
                        <m:e>
                          <m:r>
                            <m:t>p</m:t>
                          </m:r>
                        </m:e>
                        <m:sub>
                          <m:r>
                            <m:t>1</m:t>
                          </m:r>
                        </m:sub>
                      </m:sSub>
                    </m:num>
                    <m:den>
                      <m:sSub>
                        <m:e>
                          <m:r>
                            <m:t>p</m:t>
                          </m:r>
                        </m:e>
                        <m:sub>
                          <m:r>
                            <m:t>2</m:t>
                          </m:r>
                        </m:sub>
                      </m:sSub>
                    </m:den>
                  </m:f>
                </m:e>
              </m:d>
            </m:e>
          </m:d>
          <m:r>
            <m:rPr>
              <m:sty m:val="p"/>
            </m:rPr>
            <m:t>+</m:t>
          </m:r>
          <m:f>
            <m:fPr>
              <m:type m:val="bar"/>
            </m:fPr>
            <m:num>
              <m:r>
                <m:t>I</m:t>
              </m:r>
              <m:r>
                <m:rPr>
                  <m:sty m:val="p"/>
                </m:rPr>
                <m:t>−</m:t>
              </m:r>
              <m:sSub>
                <m:e>
                  <m:r>
                    <m:t>p</m:t>
                  </m:r>
                </m:e>
                <m:sub>
                  <m:r>
                    <m:t>1</m:t>
                  </m:r>
                </m:sub>
              </m:sSub>
              <m:r>
                <m:rPr>
                  <m:sty m:val="p"/>
                </m:rPr>
                <m:t>(</m:t>
              </m:r>
              <m:sSup>
                <m:e>
                  <m:r>
                    <m:t>v</m:t>
                  </m:r>
                </m:e>
                <m:sup>
                  <m:r>
                    <m:rPr>
                      <m:sty m:val="p"/>
                    </m:rPr>
                    <m:t>′</m:t>
                  </m:r>
                </m:sup>
              </m:sSup>
              <m:sSup>
                <m:e>
                  <m:r>
                    <m:rPr>
                      <m:sty m:val="p"/>
                    </m:rPr>
                    <m:t>)</m:t>
                  </m:r>
                </m:e>
                <m:sup>
                  <m:r>
                    <m:rPr>
                      <m:sty m:val="p"/>
                    </m:rPr>
                    <m:t>−</m:t>
                  </m:r>
                  <m:r>
                    <m:t>1</m:t>
                  </m:r>
                </m:sup>
              </m:sSup>
              <m:r>
                <m:rPr>
                  <m:sty m:val="p"/>
                </m:rPr>
                <m:t>(</m:t>
              </m:r>
              <m:sSub>
                <m:e>
                  <m:r>
                    <m:t>p</m:t>
                  </m:r>
                </m:e>
                <m:sub>
                  <m:r>
                    <m:t>1</m:t>
                  </m:r>
                </m:sub>
              </m:sSub>
              <m:r>
                <m:rPr>
                  <m:sty m:val="p"/>
                </m:rPr>
                <m:t>/</m:t>
              </m:r>
              <m:sSub>
                <m:e>
                  <m:r>
                    <m:t>p</m:t>
                  </m:r>
                </m:e>
                <m:sub>
                  <m:r>
                    <m:t>2</m:t>
                  </m:r>
                </m:sub>
              </m:sSub>
              <m:r>
                <m:rPr>
                  <m:sty m:val="p"/>
                </m:rPr>
                <m:t>)</m:t>
              </m:r>
            </m:num>
            <m:den>
              <m:sSub>
                <m:e>
                  <m:r>
                    <m:t>p</m:t>
                  </m:r>
                </m:e>
                <m:sub>
                  <m:r>
                    <m:t>2</m:t>
                  </m:r>
                </m:sub>
              </m:sSub>
            </m:den>
          </m:f>
        </m:oMath>
      </m:oMathPara>
    </w:p>
    <w:p>
      <w:pPr>
        <w:pStyle w:val="FirstParagraph"/>
      </w:pPr>
      <w:r>
        <w:t xml:space="preserve">Note que</w:t>
      </w:r>
      <w:r>
        <w:t xml:space="preserve"> </w:t>
      </w:r>
      <m:oMath>
        <m:r>
          <m:t>V</m:t>
        </m:r>
      </m:oMath>
      <w:r>
        <w:t xml:space="preserve"> </w:t>
      </w:r>
      <w:r>
        <w:t xml:space="preserve">é</w:t>
      </w:r>
      <w:r>
        <w:t xml:space="preserve"> </w:t>
      </w:r>
      <w:r>
        <w:rPr>
          <w:b/>
          <w:bCs/>
        </w:rPr>
        <w:t xml:space="preserve">linear</w:t>
      </w:r>
      <w:r>
        <w:t xml:space="preserve"> </w:t>
      </w:r>
      <w:r>
        <w:t xml:space="preserve">em</w:t>
      </w:r>
      <w:r>
        <w:t xml:space="preserve"> </w:t>
      </w:r>
      <m:oMath>
        <m:r>
          <m:t>I</m:t>
        </m:r>
      </m:oMath>
      <w:r>
        <w:t xml:space="preserve">:</w:t>
      </w:r>
      <w:r>
        <w:t xml:space="preserve"> </w:t>
      </w:r>
      <m:oMath>
        <m:r>
          <m:rPr>
            <m:sty m:val="p"/>
          </m:rPr>
          <m:t>∂</m:t>
        </m:r>
        <m:r>
          <m:t>V</m:t>
        </m:r>
        <m:r>
          <m:rPr>
            <m:sty m:val="p"/>
          </m:rPr>
          <m:t>/</m:t>
        </m:r>
        <m:r>
          <m:rPr>
            <m:sty m:val="p"/>
          </m:rPr>
          <m:t>∂</m:t>
        </m:r>
        <m:r>
          <m:t>I</m:t>
        </m:r>
        <m:r>
          <m:rPr>
            <m:sty m:val="p"/>
          </m:rPr>
          <m:t>=</m:t>
        </m:r>
        <m:r>
          <m:t>1</m:t>
        </m:r>
        <m:r>
          <m:rPr>
            <m:sty m:val="p"/>
          </m:rPr>
          <m:t>/</m:t>
        </m:r>
        <m:sSub>
          <m:e>
            <m:r>
              <m:t>p</m:t>
            </m:r>
          </m:e>
          <m:sub>
            <m:r>
              <m:t>2</m:t>
            </m:r>
          </m:sub>
        </m:sSub>
      </m:oMath>
      <w:r>
        <w:t xml:space="preserve">, a utilidade marginal da renda é constante.</w:t>
      </w:r>
    </w:p>
    <w:p>
      <w:pPr>
        <w:pStyle w:val="BodyText"/>
      </w:pPr>
      <w:r>
        <w:rPr>
          <w:b/>
          <w:bCs/>
        </w:rPr>
        <w:t xml:space="preserve">Demanda Hicksiana.</w:t>
      </w:r>
      <w:r>
        <w:t xml:space="preserve"> </w:t>
      </w:r>
      <w:r>
        <w:t xml:space="preserve">A minimização do dispêndio gera a mesma CPO para</w:t>
      </w:r>
      <w:r>
        <w:t xml:space="preserve"> </w:t>
      </w:r>
      <m:oMath>
        <m:sSub>
          <m:e>
            <m:r>
              <m:t>x</m:t>
            </m:r>
          </m:e>
          <m:sub>
            <m:r>
              <m:t>1</m:t>
            </m:r>
          </m:sub>
        </m:sSub>
      </m:oMath>
      <w:r>
        <w:t xml:space="preserve">, logo:</w:t>
      </w:r>
    </w:p>
    <w:p>
      <w:pPr>
        <w:pStyle w:val="BodyText"/>
      </w:pPr>
      <m:oMathPara>
        <m:oMathParaPr>
          <m:jc m:val="center"/>
        </m:oMathParaPr>
        <m:oMath>
          <m:borderBox>
            <m:e>
              <m:sSub>
                <m:e>
                  <m:r>
                    <m:t>h</m:t>
                  </m:r>
                </m:e>
                <m:sub>
                  <m:r>
                    <m:t>1</m:t>
                  </m:r>
                </m:sub>
              </m:sSub>
              <m:r>
                <m:rPr>
                  <m:sty m:val="p"/>
                </m:rPr>
                <m:t>=</m:t>
              </m:r>
              <m:r>
                <m:rPr>
                  <m:sty m:val="p"/>
                </m:rPr>
                <m:t>(</m:t>
              </m:r>
              <m:sSup>
                <m:e>
                  <m:r>
                    <m:t>v</m:t>
                  </m:r>
                </m:e>
                <m:sup>
                  <m:r>
                    <m:rPr>
                      <m:sty m:val="p"/>
                    </m:rPr>
                    <m:t>′</m:t>
                  </m:r>
                </m:sup>
              </m:sSup>
              <m:sSup>
                <m:e>
                  <m:r>
                    <m:rPr>
                      <m:sty m:val="p"/>
                    </m:rPr>
                    <m:t>)</m:t>
                  </m:r>
                </m:e>
                <m:sup>
                  <m:r>
                    <m:rPr>
                      <m:sty m:val="p"/>
                    </m:rPr>
                    <m:t>−</m:t>
                  </m:r>
                  <m:r>
                    <m:t>1</m:t>
                  </m:r>
                </m:sup>
              </m:sSup>
              <m:r>
                <m:t>​</m:t>
              </m:r>
              <m:d>
                <m:dPr>
                  <m:begChr m:val="("/>
                  <m:sepChr m:val=""/>
                  <m:endChr m:val=")"/>
                  <m:grow/>
                </m:dPr>
                <m:e>
                  <m:f>
                    <m:fPr>
                      <m:type m:val="bar"/>
                    </m:fPr>
                    <m:num>
                      <m:sSub>
                        <m:e>
                          <m:r>
                            <m:t>p</m:t>
                          </m:r>
                        </m:e>
                        <m:sub>
                          <m:r>
                            <m:t>1</m:t>
                          </m:r>
                        </m:sub>
                      </m:sSub>
                    </m:num>
                    <m:den>
                      <m:sSub>
                        <m:e>
                          <m:r>
                            <m:t>p</m:t>
                          </m:r>
                        </m:e>
                        <m:sub>
                          <m:r>
                            <m:t>2</m:t>
                          </m:r>
                        </m:sub>
                      </m:sSub>
                    </m:den>
                  </m:f>
                </m:e>
              </m:d>
              <m:r>
                <m:rPr>
                  <m:sty m:val="p"/>
                </m:rPr>
                <m:t>=</m:t>
              </m:r>
              <m:sSubSup>
                <m:e>
                  <m:r>
                    <m:t>x</m:t>
                  </m:r>
                </m:e>
                <m:sub>
                  <m:r>
                    <m:t>1</m:t>
                  </m:r>
                </m:sub>
                <m:sup>
                  <m:r>
                    <m:rPr>
                      <m:sty m:val="p"/>
                    </m:rPr>
                    <m:t>*</m:t>
                  </m:r>
                </m:sup>
              </m:sSubSup>
              <m:r>
                <m:rPr>
                  <m:sty m:val="p"/>
                </m:rPr>
                <m:t>,</m:t>
              </m:r>
              <m:r>
                <m:t>  </m:t>
              </m:r>
              <m:sSub>
                <m:e>
                  <m:r>
                    <m:t>h</m:t>
                  </m:r>
                </m:e>
                <m:sub>
                  <m:r>
                    <m:t>2</m:t>
                  </m:r>
                </m:sub>
              </m:sSub>
              <m:r>
                <m:rPr>
                  <m:sty m:val="p"/>
                </m:rPr>
                <m:t>=</m:t>
              </m:r>
              <m:acc>
                <m:accPr>
                  <m:chr m:val="‾"/>
                </m:accPr>
                <m:e>
                  <m:r>
                    <m:t>u</m:t>
                  </m:r>
                </m:e>
              </m:acc>
              <m:r>
                <m:rPr>
                  <m:sty m:val="p"/>
                </m:rPr>
                <m:t>−</m:t>
              </m:r>
              <m:r>
                <m:t>v</m:t>
              </m:r>
              <m:r>
                <m:rPr>
                  <m:sty m:val="p"/>
                </m:rPr>
                <m:t>(</m:t>
              </m:r>
              <m:sSub>
                <m:e>
                  <m:r>
                    <m:t>h</m:t>
                  </m:r>
                </m:e>
                <m:sub>
                  <m:r>
                    <m:t>1</m:t>
                  </m:r>
                </m:sub>
              </m:sSub>
              <m:r>
                <m:rPr>
                  <m:sty m:val="p"/>
                </m:rPr>
                <m:t>)</m:t>
              </m:r>
            </m:e>
          </m:borderBox>
        </m:oMath>
      </m:oMathPara>
    </w:p>
    <w:p>
      <w:pPr>
        <w:pStyle w:val="FirstParagraph"/>
      </w:pPr>
      <w:r>
        <w:t xml:space="preserve">As demandas marshalliana e hicksiana do bem 1 são</w:t>
      </w:r>
      <w:r>
        <w:t xml:space="preserve"> </w:t>
      </w:r>
      <w:r>
        <w:rPr>
          <w:b/>
          <w:bCs/>
        </w:rPr>
        <w:t xml:space="preserve">idênticas</w:t>
      </w:r>
      <w:r>
        <w:t xml:space="preserve"> </w:t>
      </w:r>
      <w:r>
        <w:t xml:space="preserve">— consequência direta do efeito renda nulo.</w:t>
      </w:r>
    </w:p>
    <w:p>
      <w:pPr>
        <w:pStyle w:val="BodyText"/>
      </w:pPr>
      <w:r>
        <w:rPr>
          <w:b/>
          <w:bCs/>
        </w:rPr>
        <w:t xml:space="preserve">Função dispêndio.</w:t>
      </w:r>
    </w:p>
    <w:p>
      <w:pPr>
        <w:pStyle w:val="BodyText"/>
      </w:pPr>
      <m:oMathPara>
        <m:oMathParaPr>
          <m:jc m:val="center"/>
        </m:oMathParaPr>
        <m:oMath>
          <m:r>
            <m:t>E</m:t>
          </m:r>
          <m:r>
            <m:rPr>
              <m:sty m:val="p"/>
            </m:rPr>
            <m:t>(</m:t>
          </m:r>
          <m:r>
            <m:rPr>
              <m:sty m:val="bi"/>
            </m:rPr>
            <m:t>p</m:t>
          </m:r>
          <m:r>
            <m:rPr>
              <m:sty m:val="p"/>
            </m:rPr>
            <m:t>,</m:t>
          </m:r>
          <m:acc>
            <m:accPr>
              <m:chr m:val="‾"/>
            </m:accPr>
            <m:e>
              <m:r>
                <m:t>u</m:t>
              </m:r>
            </m:e>
          </m:acc>
          <m:r>
            <m:rPr>
              <m:sty m:val="p"/>
            </m:rPr>
            <m:t>)</m:t>
          </m:r>
          <m:r>
            <m:rPr>
              <m:sty m:val="p"/>
            </m:rPr>
            <m:t>=</m:t>
          </m:r>
          <m:sSub>
            <m:e>
              <m:r>
                <m:t>p</m:t>
              </m:r>
            </m:e>
            <m:sub>
              <m:r>
                <m:t>1</m:t>
              </m:r>
            </m:sub>
          </m:sSub>
          <m:sSub>
            <m:e>
              <m:r>
                <m:t>h</m:t>
              </m:r>
            </m:e>
            <m:sub>
              <m:r>
                <m:t>1</m:t>
              </m:r>
            </m:sub>
          </m:sSub>
          <m:r>
            <m:rPr>
              <m:sty m:val="p"/>
            </m:rPr>
            <m:t>+</m:t>
          </m:r>
          <m:sSub>
            <m:e>
              <m:r>
                <m:t>p</m:t>
              </m:r>
            </m:e>
            <m:sub>
              <m:r>
                <m:t>2</m:t>
              </m:r>
            </m:sub>
          </m:sSub>
          <m:sSub>
            <m:e>
              <m:r>
                <m:t>h</m:t>
              </m:r>
            </m:e>
            <m:sub>
              <m:r>
                <m:t>2</m:t>
              </m:r>
            </m:sub>
          </m:sSub>
          <m:r>
            <m:rPr>
              <m:sty m:val="p"/>
            </m:rPr>
            <m:t>=</m:t>
          </m:r>
          <m:sSub>
            <m:e>
              <m:r>
                <m:t>p</m:t>
              </m:r>
            </m:e>
            <m:sub>
              <m:r>
                <m:t>1</m:t>
              </m:r>
            </m:sub>
          </m:sSub>
          <m:sSub>
            <m:e>
              <m:r>
                <m:t>h</m:t>
              </m:r>
            </m:e>
            <m:sub>
              <m:r>
                <m:t>1</m:t>
              </m:r>
            </m:sub>
          </m:sSub>
          <m:r>
            <m:rPr>
              <m:sty m:val="p"/>
            </m:rPr>
            <m:t>+</m:t>
          </m:r>
          <m:sSub>
            <m:e>
              <m:r>
                <m:t>p</m:t>
              </m:r>
            </m:e>
            <m:sub>
              <m:r>
                <m:t>2</m:t>
              </m:r>
            </m:sub>
          </m:sSub>
          <m:r>
            <m:rPr>
              <m:sty m:val="p"/>
            </m:rPr>
            <m:t>[</m:t>
          </m:r>
          <m:acc>
            <m:accPr>
              <m:chr m:val="‾"/>
            </m:accPr>
            <m:e>
              <m:r>
                <m:t>u</m:t>
              </m:r>
            </m:e>
          </m:acc>
          <m:r>
            <m:rPr>
              <m:sty m:val="p"/>
            </m:rPr>
            <m:t>−</m:t>
          </m:r>
          <m:r>
            <m:t>v</m:t>
          </m:r>
          <m:r>
            <m:rPr>
              <m:sty m:val="p"/>
            </m:rPr>
            <m:t>(</m:t>
          </m:r>
          <m:sSub>
            <m:e>
              <m:r>
                <m:t>h</m:t>
              </m:r>
            </m:e>
            <m:sub>
              <m:r>
                <m:t>1</m:t>
              </m:r>
            </m:sub>
          </m:sSub>
          <m:r>
            <m:rPr>
              <m:sty m:val="p"/>
            </m:rPr>
            <m:t>)</m:t>
          </m:r>
          <m:r>
            <m:rPr>
              <m:sty m:val="p"/>
            </m:rPr>
            <m:t>]</m:t>
          </m:r>
          <m:r>
            <m:rPr>
              <m:sty m:val="p"/>
            </m:rPr>
            <m:t>=</m:t>
          </m:r>
          <m:sSub>
            <m:e>
              <m:r>
                <m:t>p</m:t>
              </m:r>
            </m:e>
            <m:sub>
              <m:r>
                <m:t>2</m:t>
              </m:r>
            </m:sub>
          </m:sSub>
          <m:acc>
            <m:accPr>
              <m:chr m:val="‾"/>
            </m:accPr>
            <m:e>
              <m:r>
                <m:t>u</m:t>
              </m:r>
            </m:e>
          </m:acc>
          <m:r>
            <m:rPr>
              <m:sty m:val="p"/>
            </m:rPr>
            <m:t>+</m:t>
          </m:r>
          <m:sSub>
            <m:e>
              <m:r>
                <m:t>p</m:t>
              </m:r>
            </m:e>
            <m:sub>
              <m:r>
                <m:t>1</m:t>
              </m:r>
            </m:sub>
          </m:sSub>
          <m:sSub>
            <m:e>
              <m:r>
                <m:t>h</m:t>
              </m:r>
            </m:e>
            <m:sub>
              <m:r>
                <m:t>1</m:t>
              </m:r>
            </m:sub>
          </m:sSub>
          <m:r>
            <m:rPr>
              <m:sty m:val="p"/>
            </m:rPr>
            <m:t>−</m:t>
          </m:r>
          <m:sSub>
            <m:e>
              <m:r>
                <m:t>p</m:t>
              </m:r>
            </m:e>
            <m:sub>
              <m:r>
                <m:t>2</m:t>
              </m:r>
            </m:sub>
          </m:sSub>
          <m:r>
            <m:t>v</m:t>
          </m:r>
          <m:r>
            <m:rPr>
              <m:sty m:val="p"/>
            </m:rPr>
            <m:t>(</m:t>
          </m:r>
          <m:sSub>
            <m:e>
              <m:r>
                <m:t>h</m:t>
              </m:r>
            </m:e>
            <m:sub>
              <m:r>
                <m:t>1</m:t>
              </m:r>
            </m:sub>
          </m:sSub>
          <m:r>
            <m:rPr>
              <m:sty m:val="p"/>
            </m:rPr>
            <m:t>)</m:t>
          </m:r>
        </m:oMath>
      </m:oMathPara>
    </w:p>
    <w:p>
      <w:pPr>
        <w:pStyle w:val="FirstParagraph"/>
      </w:pPr>
      <w:r>
        <w:t xml:space="preserve">A função dispêndio é</w:t>
      </w:r>
      <w:r>
        <w:t xml:space="preserve"> </w:t>
      </w:r>
      <w:r>
        <w:rPr>
          <w:b/>
          <w:bCs/>
        </w:rPr>
        <w:t xml:space="preserve">linear</w:t>
      </w:r>
      <w:r>
        <w:t xml:space="preserve"> </w:t>
      </w:r>
      <w:r>
        <w:t xml:space="preserve">em</w:t>
      </w:r>
      <w:r>
        <w:t xml:space="preserve"> </w:t>
      </w:r>
      <m:oMath>
        <m:acc>
          <m:accPr>
            <m:chr m:val="‾"/>
          </m:accPr>
          <m:e>
            <m:r>
              <m:t>u</m:t>
            </m:r>
          </m:e>
        </m:acc>
      </m:oMath>
      <w:r>
        <w:t xml:space="preserve">:</w:t>
      </w:r>
      <w:r>
        <w:t xml:space="preserve"> </w:t>
      </w:r>
      <m:oMath>
        <m:r>
          <m:rPr>
            <m:sty m:val="p"/>
          </m:rPr>
          <m:t>∂</m:t>
        </m:r>
        <m:r>
          <m:t>E</m:t>
        </m:r>
        <m:r>
          <m:rPr>
            <m:sty m:val="p"/>
          </m:rPr>
          <m:t>/</m:t>
        </m:r>
        <m:r>
          <m:rPr>
            <m:sty m:val="p"/>
          </m:rPr>
          <m:t>∂</m:t>
        </m:r>
        <m:acc>
          <m:accPr>
            <m:chr m:val="‾"/>
          </m:accPr>
          <m:e>
            <m:r>
              <m:t>u</m:t>
            </m:r>
          </m:e>
        </m:acc>
        <m:r>
          <m:rPr>
            <m:sty m:val="p"/>
          </m:rPr>
          <m:t>=</m:t>
        </m:r>
        <m:sSub>
          <m:e>
            <m:r>
              <m:t>p</m:t>
            </m:r>
          </m:e>
          <m:sub>
            <m:r>
              <m:t>2</m:t>
            </m:r>
          </m:sub>
        </m:sSub>
      </m:oMath>
      <w:r>
        <w:t xml:space="preserve">.</w:t>
      </w:r>
    </w:p>
    <w:p>
      <w:pPr>
        <w:pStyle w:val="BlockText"/>
      </w:pPr>
      <w:r>
        <w:rPr>
          <w:b/>
          <w:bCs/>
        </w:rPr>
        <w:t xml:space="preserve">[INFORMACAO] Caminho de expansão da renda</w:t>
      </w:r>
    </w:p>
    <w:p>
      <w:pPr>
        <w:pStyle w:val="BlockText"/>
      </w:pPr>
      <w:r>
        <w:t xml:space="preserve">Na utilidade quase-linear, o caminho de expansão da renda é uma</w:t>
      </w:r>
      <w:r>
        <w:t xml:space="preserve"> </w:t>
      </w:r>
      <w:r>
        <w:rPr>
          <w:b/>
          <w:bCs/>
        </w:rPr>
        <w:t xml:space="preserve">reta vertical</w:t>
      </w:r>
      <w:r>
        <w:t xml:space="preserve"> </w:t>
      </w:r>
      <w:r>
        <w:t xml:space="preserve">no espaço</w:t>
      </w:r>
      <w:r>
        <w:t xml:space="preserve"> </w:t>
      </w:r>
      <m:oMath>
        <m:r>
          <m:rPr>
            <m:sty m:val="p"/>
          </m:rPr>
          <m:t>(</m:t>
        </m:r>
        <m:sSub>
          <m:e>
            <m:r>
              <m:t>x</m:t>
            </m:r>
          </m:e>
          <m:sub>
            <m:r>
              <m:t>1</m:t>
            </m:r>
          </m:sub>
        </m:sSub>
        <m:r>
          <m:rPr>
            <m:sty m:val="p"/>
          </m:rPr>
          <m:t>,</m:t>
        </m:r>
        <m:sSub>
          <m:e>
            <m:r>
              <m:t>x</m:t>
            </m:r>
          </m:e>
          <m:sub>
            <m:r>
              <m:t>2</m:t>
            </m:r>
          </m:sub>
        </m:sSub>
        <m:r>
          <m:rPr>
            <m:sty m:val="p"/>
          </m:rPr>
          <m:t>)</m:t>
        </m:r>
      </m:oMath>
      <w:r>
        <w:t xml:space="preserve">:</w:t>
      </w:r>
      <w:r>
        <w:t xml:space="preserve"> </w:t>
      </w:r>
      <m:oMath>
        <m:sSub>
          <m:e>
            <m:r>
              <m:t>x</m:t>
            </m:r>
          </m:e>
          <m:sub>
            <m:r>
              <m:t>1</m:t>
            </m:r>
          </m:sub>
        </m:sSub>
      </m:oMath>
      <w:r>
        <w:t xml:space="preserve"> </w:t>
      </w:r>
      <w:r>
        <w:t xml:space="preserve">permanece fixo em</w:t>
      </w:r>
      <w:r>
        <w:t xml:space="preserve"> </w:t>
      </w:r>
      <m:oMath>
        <m:r>
          <m:rPr>
            <m:sty m:val="p"/>
          </m:rPr>
          <m:t>(</m:t>
        </m:r>
        <m:sSup>
          <m:e>
            <m:r>
              <m:t>v</m:t>
            </m:r>
          </m:e>
          <m:sup>
            <m:r>
              <m:rPr>
                <m:sty m:val="p"/>
              </m:rPr>
              <m:t>′</m:t>
            </m:r>
          </m:sup>
        </m:sSup>
        <m:sSup>
          <m:e>
            <m:r>
              <m:rPr>
                <m:sty m:val="p"/>
              </m:rPr>
              <m:t>)</m:t>
            </m:r>
          </m:e>
          <m:sup>
            <m:r>
              <m:rPr>
                <m:sty m:val="p"/>
              </m:rPr>
              <m:t>−</m:t>
            </m:r>
            <m:r>
              <m:t>1</m:t>
            </m:r>
          </m:sup>
        </m:sSup>
        <m:r>
          <m:rPr>
            <m:sty m:val="p"/>
          </m:rPr>
          <m:t>(</m:t>
        </m:r>
        <m:sSub>
          <m:e>
            <m:r>
              <m:t>p</m:t>
            </m:r>
          </m:e>
          <m:sub>
            <m:r>
              <m:t>1</m:t>
            </m:r>
          </m:sub>
        </m:sSub>
        <m:r>
          <m:rPr>
            <m:sty m:val="p"/>
          </m:rPr>
          <m:t>/</m:t>
        </m:r>
        <m:sSub>
          <m:e>
            <m:r>
              <m:t>p</m:t>
            </m:r>
          </m:e>
          <m:sub>
            <m:r>
              <m:t>2</m:t>
            </m:r>
          </m:sub>
        </m:sSub>
        <m:r>
          <m:rPr>
            <m:sty m:val="p"/>
          </m:rPr>
          <m:t>)</m:t>
        </m:r>
      </m:oMath>
      <w:r>
        <w:t xml:space="preserve"> </w:t>
      </w:r>
      <w:r>
        <w:t xml:space="preserve">enquanto</w:t>
      </w:r>
      <w:r>
        <w:t xml:space="preserve"> </w:t>
      </w:r>
      <m:oMath>
        <m:sSub>
          <m:e>
            <m:r>
              <m:t>x</m:t>
            </m:r>
          </m:e>
          <m:sub>
            <m:r>
              <m:t>2</m:t>
            </m:r>
          </m:sub>
        </m:sSub>
      </m:oMath>
      <w:r>
        <w:t xml:space="preserve"> </w:t>
      </w:r>
      <w:r>
        <w:t xml:space="preserve">cresce linearmente com</w:t>
      </w:r>
      <w:r>
        <w:t xml:space="preserve"> </w:t>
      </w:r>
      <m:oMath>
        <m:r>
          <m:t>I</m:t>
        </m:r>
      </m:oMath>
      <w:r>
        <w:t xml:space="preserve">. Contraste com as preferências homotéticas (§3.6.6), cujo caminho de expansão é uma reta passando pela</w:t>
      </w:r>
      <w:r>
        <w:t xml:space="preserve"> </w:t>
      </w:r>
      <w:r>
        <w:rPr>
          <w:b/>
          <w:bCs/>
        </w:rPr>
        <w:t xml:space="preserve">origem</w:t>
      </w:r>
      <w:r>
        <w:t xml:space="preserve">.</w:t>
      </w:r>
    </w:p>
    <w:p>
      <w:pPr>
        <w:pStyle w:val="BlockText"/>
      </w:pPr>
      <w:r>
        <w:rPr>
          <w:b/>
          <w:bCs/>
        </w:rPr>
        <w:t xml:space="preserve">[EXERCICIO RESOLVIDO] Exercício Resolvido 4.4</w:t>
      </w:r>
    </w:p>
    <w:p>
      <w:pPr>
        <w:pStyle w:val="BlockText"/>
      </w:pPr>
      <w:r>
        <w:rPr>
          <w:b/>
          <w:bCs/>
        </w:rPr>
        <w:t xml:space="preserve">Enunciado:</w:t>
      </w:r>
      <w:r>
        <w:t xml:space="preserve"> </w:t>
      </w:r>
      <w:r>
        <w:t xml:space="preserve">Um consumidor tem preferências Leontief</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rPr>
            <m:sty m:val="p"/>
          </m:rPr>
          <m:t>min</m:t>
        </m:r>
        <m:r>
          <m:rPr>
            <m:sty m:val="p"/>
          </m:rPr>
          <m:t>{</m:t>
        </m:r>
        <m:r>
          <m:t>2</m:t>
        </m:r>
        <m:sSub>
          <m:e>
            <m:r>
              <m:t>x</m:t>
            </m:r>
          </m:e>
          <m:sub>
            <m:r>
              <m:t>1</m:t>
            </m:r>
          </m:sub>
        </m:sSub>
        <m:r>
          <m:rPr>
            <m:sty m:val="p"/>
          </m:rPr>
          <m:t>,</m:t>
        </m:r>
        <m:sSub>
          <m:e>
            <m:r>
              <m:t>x</m:t>
            </m:r>
          </m:e>
          <m:sub>
            <m:r>
              <m:t>2</m:t>
            </m:r>
          </m:sub>
        </m:sSub>
        <m:r>
          <m:rPr>
            <m:sty m:val="p"/>
          </m:rPr>
          <m:t>}</m:t>
        </m:r>
      </m:oMath>
      <w:r>
        <w:t xml:space="preserve">, com</w:t>
      </w:r>
      <w:r>
        <w:t xml:space="preserve"> </w:t>
      </w:r>
      <m:oMath>
        <m:sSub>
          <m:e>
            <m:r>
              <m:t>p</m:t>
            </m:r>
          </m:e>
          <m:sub>
            <m:r>
              <m:t>1</m:t>
            </m:r>
          </m:sub>
        </m:sSub>
        <m:r>
          <m:rPr>
            <m:sty m:val="p"/>
          </m:rPr>
          <m:t>=</m:t>
        </m:r>
        <m:r>
          <m:t>4</m:t>
        </m:r>
      </m:oMath>
      <w:r>
        <w:t xml:space="preserve">,</w:t>
      </w:r>
      <w:r>
        <w:t xml:space="preserve"> </w:t>
      </w:r>
      <m:oMath>
        <m:sSub>
          <m:e>
            <m:r>
              <m:t>p</m:t>
            </m:r>
          </m:e>
          <m:sub>
            <m:r>
              <m:t>2</m:t>
            </m:r>
          </m:sub>
        </m:sSub>
        <m:r>
          <m:rPr>
            <m:sty m:val="p"/>
          </m:rPr>
          <m:t>=</m:t>
        </m:r>
        <m:r>
          <m:t>2</m:t>
        </m:r>
      </m:oMath>
      <w:r>
        <w:t xml:space="preserve"> </w:t>
      </w:r>
      <w:r>
        <w:t xml:space="preserve">e</w:t>
      </w:r>
      <w:r>
        <w:t xml:space="preserve"> </w:t>
      </w:r>
      <m:oMath>
        <m:r>
          <m:t>I</m:t>
        </m:r>
        <m:r>
          <m:rPr>
            <m:sty m:val="p"/>
          </m:rPr>
          <m:t>=</m:t>
        </m:r>
        <m:r>
          <m:t>120</m:t>
        </m:r>
      </m:oMath>
      <w:r>
        <w:t xml:space="preserve">. (a) Encontre a cesta ótima. (b) Suponha que o governo conceda uma transferência de R$ 40. Qual é a nova cesta?</w:t>
      </w:r>
    </w:p>
    <w:p>
      <w:pPr>
        <w:pStyle w:val="BlockText"/>
      </w:pPr>
      <w:r>
        <w:rPr>
          <w:b/>
          <w:bCs/>
        </w:rPr>
        <w:t xml:space="preserve">Dados:</w:t>
      </w:r>
      <w:r>
        <w:t xml:space="preserve"> </w:t>
      </w:r>
      <m:oMath>
        <m:r>
          <m:t>a</m:t>
        </m:r>
        <m:r>
          <m:rPr>
            <m:sty m:val="p"/>
          </m:rPr>
          <m:t>=</m:t>
        </m:r>
        <m:r>
          <m:t>2</m:t>
        </m:r>
      </m:oMath>
      <w:r>
        <w:t xml:space="preserve">,</w:t>
      </w:r>
      <w:r>
        <w:t xml:space="preserve"> </w:t>
      </w:r>
      <m:oMath>
        <m:r>
          <m:t>b</m:t>
        </m:r>
        <m:r>
          <m:rPr>
            <m:sty m:val="p"/>
          </m:rPr>
          <m:t>=</m:t>
        </m:r>
        <m:r>
          <m:t>1</m:t>
        </m:r>
      </m:oMath>
      <w:r>
        <w:t xml:space="preserve"> </w:t>
      </w:r>
      <w:r>
        <w:t xml:space="preserve">(na forma</w:t>
      </w:r>
      <w:r>
        <w:t xml:space="preserve"> </w:t>
      </w:r>
      <m:oMath>
        <m:r>
          <m:rPr>
            <m:sty m:val="p"/>
          </m:rPr>
          <m:t>min</m:t>
        </m:r>
        <m:r>
          <m:rPr>
            <m:sty m:val="p"/>
          </m:rPr>
          <m:t>{</m:t>
        </m:r>
        <m:r>
          <m:t>a</m:t>
        </m:r>
        <m:sSub>
          <m:e>
            <m:r>
              <m:t>x</m:t>
            </m:r>
          </m:e>
          <m:sub>
            <m:r>
              <m:t>1</m:t>
            </m:r>
          </m:sub>
        </m:sSub>
        <m:r>
          <m:rPr>
            <m:sty m:val="p"/>
          </m:rPr>
          <m:t>,</m:t>
        </m:r>
        <m:r>
          <m:t>b</m:t>
        </m:r>
        <m:sSub>
          <m:e>
            <m:r>
              <m:t>x</m:t>
            </m:r>
          </m:e>
          <m:sub>
            <m:r>
              <m:t>2</m:t>
            </m:r>
          </m:sub>
        </m:sSub>
        <m:r>
          <m:rPr>
            <m:sty m:val="p"/>
          </m:rPr>
          <m:t>}</m:t>
        </m:r>
      </m:oMath>
      <w:r>
        <w:t xml:space="preserve">),</w:t>
      </w:r>
      <w:r>
        <w:t xml:space="preserve"> </w:t>
      </w:r>
      <m:oMath>
        <m:sSub>
          <m:e>
            <m:r>
              <m:t>p</m:t>
            </m:r>
          </m:e>
          <m:sub>
            <m:r>
              <m:t>1</m:t>
            </m:r>
          </m:sub>
        </m:sSub>
        <m:r>
          <m:rPr>
            <m:sty m:val="p"/>
          </m:rPr>
          <m:t>=</m:t>
        </m:r>
        <m:r>
          <m:t>4</m:t>
        </m:r>
      </m:oMath>
      <w:r>
        <w:t xml:space="preserve">,</w:t>
      </w:r>
      <w:r>
        <w:t xml:space="preserve"> </w:t>
      </w:r>
      <m:oMath>
        <m:sSub>
          <m:e>
            <m:r>
              <m:t>p</m:t>
            </m:r>
          </m:e>
          <m:sub>
            <m:r>
              <m:t>2</m:t>
            </m:r>
          </m:sub>
        </m:sSub>
        <m:r>
          <m:rPr>
            <m:sty m:val="p"/>
          </m:rPr>
          <m:t>=</m:t>
        </m:r>
        <m:r>
          <m:t>2</m:t>
        </m:r>
      </m:oMath>
      <w:r>
        <w:t xml:space="preserve">,</w:t>
      </w:r>
      <w:r>
        <w:t xml:space="preserve"> </w:t>
      </w:r>
      <m:oMath>
        <m:r>
          <m:t>I</m:t>
        </m:r>
        <m:r>
          <m:rPr>
            <m:sty m:val="p"/>
          </m:rPr>
          <m:t>=</m:t>
        </m:r>
        <m:r>
          <m:t>120</m:t>
        </m:r>
      </m:oMath>
      <w:r>
        <w:t xml:space="preserve">.</w:t>
      </w:r>
    </w:p>
    <w:p>
      <w:pPr>
        <w:pStyle w:val="BlockText"/>
      </w:pPr>
      <w:r>
        <w:rPr>
          <w:b/>
          <w:bCs/>
        </w:rPr>
        <w:t xml:space="preserve">Resolução:</w:t>
      </w:r>
    </w:p>
    <w:p>
      <w:pPr>
        <w:pStyle w:val="BlockText"/>
      </w:pPr>
      <w:r>
        <w:rPr>
          <w:b/>
          <w:bCs/>
        </w:rPr>
        <w:t xml:space="preserve">Passo 1 — Encontrar a cesta ótima</w:t>
      </w:r>
    </w:p>
    <w:p>
      <w:pPr>
        <w:pStyle w:val="BlockText"/>
      </w:pPr>
      <w:r>
        <w:t xml:space="preserve">No ótimo,</w:t>
      </w:r>
      <w:r>
        <w:t xml:space="preserve"> </w:t>
      </w:r>
      <m:oMath>
        <m:r>
          <m:t>2</m:t>
        </m:r>
        <m:sSub>
          <m:e>
            <m:r>
              <m:t>x</m:t>
            </m:r>
          </m:e>
          <m:sub>
            <m:r>
              <m:t>1</m:t>
            </m:r>
          </m:sub>
        </m:sSub>
        <m:r>
          <m:rPr>
            <m:sty m:val="p"/>
          </m:rPr>
          <m:t>=</m:t>
        </m:r>
        <m:sSub>
          <m:e>
            <m:r>
              <m:t>x</m:t>
            </m:r>
          </m:e>
          <m:sub>
            <m:r>
              <m:t>2</m:t>
            </m:r>
          </m:sub>
        </m:sSub>
      </m:oMath>
      <w:r>
        <w:t xml:space="preserve">. Substituindo na restrição:</w:t>
      </w:r>
      <w:r>
        <w:t xml:space="preserve"> </w:t>
      </w:r>
      <m:oMath>
        <m:r>
          <m:t>4</m:t>
        </m:r>
        <m:sSub>
          <m:e>
            <m:r>
              <m:t>x</m:t>
            </m:r>
          </m:e>
          <m:sub>
            <m:r>
              <m:t>1</m:t>
            </m:r>
          </m:sub>
        </m:sSub>
        <m:r>
          <m:rPr>
            <m:sty m:val="p"/>
          </m:rPr>
          <m:t>+</m:t>
        </m:r>
        <m:r>
          <m:t>2</m:t>
        </m:r>
        <m:r>
          <m:rPr>
            <m:sty m:val="p"/>
          </m:rPr>
          <m:t>(</m:t>
        </m:r>
        <m:r>
          <m:t>2</m:t>
        </m:r>
        <m:sSub>
          <m:e>
            <m:r>
              <m:t>x</m:t>
            </m:r>
          </m:e>
          <m:sub>
            <m:r>
              <m:t>1</m:t>
            </m:r>
          </m:sub>
        </m:sSub>
        <m:r>
          <m:rPr>
            <m:sty m:val="p"/>
          </m:rPr>
          <m:t>)</m:t>
        </m:r>
        <m:r>
          <m:rPr>
            <m:sty m:val="p"/>
          </m:rPr>
          <m:t>=</m:t>
        </m:r>
        <m:r>
          <m:t>120</m:t>
        </m:r>
        <m:r>
          <m:rPr>
            <m:sty m:val="p"/>
          </m:rPr>
          <m:t>⇒</m:t>
        </m:r>
        <m:r>
          <m:t>8</m:t>
        </m:r>
        <m:sSub>
          <m:e>
            <m:r>
              <m:t>x</m:t>
            </m:r>
          </m:e>
          <m:sub>
            <m:r>
              <m:t>1</m:t>
            </m:r>
          </m:sub>
        </m:sSub>
        <m:r>
          <m:rPr>
            <m:sty m:val="p"/>
          </m:rPr>
          <m:t>=</m:t>
        </m:r>
        <m:r>
          <m:t>120</m:t>
        </m:r>
        <m:r>
          <m:rPr>
            <m:sty m:val="p"/>
          </m:rPr>
          <m:t>⇒</m:t>
        </m:r>
        <m:sSubSup>
          <m:e>
            <m:r>
              <m:t>x</m:t>
            </m:r>
          </m:e>
          <m:sub>
            <m:r>
              <m:t>1</m:t>
            </m:r>
          </m:sub>
          <m:sup>
            <m:r>
              <m:rPr>
                <m:sty m:val="p"/>
              </m:rPr>
              <m:t>*</m:t>
            </m:r>
          </m:sup>
        </m:sSubSup>
        <m:r>
          <m:rPr>
            <m:sty m:val="p"/>
          </m:rPr>
          <m:t>=</m:t>
        </m:r>
        <m:r>
          <m:t>15</m:t>
        </m:r>
      </m:oMath>
      <w:r>
        <w:t xml:space="preserve">,</w:t>
      </w:r>
      <w:r>
        <w:t xml:space="preserve"> </w:t>
      </w:r>
      <m:oMath>
        <m:sSubSup>
          <m:e>
            <m:r>
              <m:t>x</m:t>
            </m:r>
          </m:e>
          <m:sub>
            <m:r>
              <m:t>2</m:t>
            </m:r>
          </m:sub>
          <m:sup>
            <m:r>
              <m:rPr>
                <m:sty m:val="p"/>
              </m:rPr>
              <m:t>*</m:t>
            </m:r>
          </m:sup>
        </m:sSubSup>
        <m:r>
          <m:rPr>
            <m:sty m:val="p"/>
          </m:rPr>
          <m:t>=</m:t>
        </m:r>
        <m:r>
          <m:t>30</m:t>
        </m:r>
      </m:oMath>
      <w:r>
        <w:t xml:space="preserve">.</w:t>
      </w:r>
    </w:p>
    <w:p>
      <w:pPr>
        <w:pStyle w:val="BlockText"/>
      </w:pPr>
      <w:r>
        <w:t xml:space="preserve">Utilidade:</w:t>
      </w:r>
      <w:r>
        <w:t xml:space="preserve"> </w:t>
      </w:r>
      <m:oMath>
        <m:sSup>
          <m:e>
            <m:r>
              <m:t>u</m:t>
            </m:r>
          </m:e>
          <m:sup>
            <m:r>
              <m:rPr>
                <m:sty m:val="p"/>
              </m:rPr>
              <m:t>*</m:t>
            </m:r>
          </m:sup>
        </m:sSup>
        <m:r>
          <m:rPr>
            <m:sty m:val="p"/>
          </m:rPr>
          <m:t>=</m:t>
        </m:r>
        <m:r>
          <m:rPr>
            <m:sty m:val="p"/>
          </m:rPr>
          <m:t>min</m:t>
        </m:r>
        <m:r>
          <m:rPr>
            <m:sty m:val="p"/>
          </m:rPr>
          <m:t>{</m:t>
        </m:r>
        <m:r>
          <m:t>30</m:t>
        </m:r>
        <m:r>
          <m:rPr>
            <m:sty m:val="p"/>
          </m:rPr>
          <m:t>,</m:t>
        </m:r>
        <m:r>
          <m:t>30</m:t>
        </m:r>
        <m:r>
          <m:rPr>
            <m:sty m:val="p"/>
          </m:rPr>
          <m:t>}</m:t>
        </m:r>
        <m:r>
          <m:rPr>
            <m:sty m:val="p"/>
          </m:rPr>
          <m:t>=</m:t>
        </m:r>
        <m:r>
          <m:t>30</m:t>
        </m:r>
      </m:oMath>
      <w:r>
        <w:t xml:space="preserve">.</w:t>
      </w:r>
    </w:p>
    <w:p>
      <w:pPr>
        <w:pStyle w:val="BlockText"/>
      </w:pPr>
      <w:r>
        <w:rPr>
          <w:b/>
          <w:bCs/>
        </w:rPr>
        <w:t xml:space="preserve">Passo 2 — Nova cesta com transferência de R$ 40</w:t>
      </w:r>
    </w:p>
    <w:p>
      <w:pPr>
        <w:pStyle w:val="BlockText"/>
      </w:pPr>
      <w:r>
        <w:t xml:space="preserve">Nova renda:</w:t>
      </w:r>
      <w:r>
        <w:t xml:space="preserve"> </w:t>
      </w:r>
      <m:oMath>
        <m:sSup>
          <m:e>
            <m:r>
              <m:t>I</m:t>
            </m:r>
          </m:e>
          <m:sup>
            <m:r>
              <m:rPr>
                <m:sty m:val="p"/>
              </m:rPr>
              <m:t>′</m:t>
            </m:r>
          </m:sup>
        </m:sSup>
        <m:r>
          <m:rPr>
            <m:sty m:val="p"/>
          </m:rPr>
          <m:t>=</m:t>
        </m:r>
        <m:r>
          <m:t>160</m:t>
        </m:r>
      </m:oMath>
      <w:r>
        <w:t xml:space="preserve">. A proporção não se altera:</w:t>
      </w:r>
      <w:r>
        <w:t xml:space="preserve"> </w:t>
      </w:r>
      <m:oMath>
        <m:r>
          <m:t>8</m:t>
        </m:r>
        <m:sSub>
          <m:e>
            <m:r>
              <m:t>x</m:t>
            </m:r>
          </m:e>
          <m:sub>
            <m:r>
              <m:t>1</m:t>
            </m:r>
          </m:sub>
        </m:sSub>
        <m:r>
          <m:rPr>
            <m:sty m:val="p"/>
          </m:rPr>
          <m:t>=</m:t>
        </m:r>
        <m:r>
          <m:t>160</m:t>
        </m:r>
        <m:r>
          <m:rPr>
            <m:sty m:val="p"/>
          </m:rPr>
          <m:t>⇒</m:t>
        </m:r>
        <m:sSubSup>
          <m:e>
            <m:r>
              <m:t>x</m:t>
            </m:r>
          </m:e>
          <m:sub>
            <m:r>
              <m:t>1</m:t>
            </m:r>
          </m:sub>
          <m:sup>
            <m:r>
              <m:rPr>
                <m:sty m:val="p"/>
              </m:rPr>
              <m:t>*</m:t>
            </m:r>
          </m:sup>
        </m:sSubSup>
        <m:r>
          <m:rPr>
            <m:sty m:val="p"/>
          </m:rPr>
          <m:t>=</m:t>
        </m:r>
        <m:r>
          <m:t>20</m:t>
        </m:r>
      </m:oMath>
      <w:r>
        <w:t xml:space="preserve">,</w:t>
      </w:r>
      <w:r>
        <w:t xml:space="preserve"> </w:t>
      </w:r>
      <m:oMath>
        <m:sSubSup>
          <m:e>
            <m:r>
              <m:t>x</m:t>
            </m:r>
          </m:e>
          <m:sub>
            <m:r>
              <m:t>2</m:t>
            </m:r>
          </m:sub>
          <m:sup>
            <m:r>
              <m:rPr>
                <m:sty m:val="p"/>
              </m:rPr>
              <m:t>*</m:t>
            </m:r>
          </m:sup>
        </m:sSubSup>
        <m:r>
          <m:rPr>
            <m:sty m:val="p"/>
          </m:rPr>
          <m:t>=</m:t>
        </m:r>
        <m:r>
          <m:t>40</m:t>
        </m:r>
      </m:oMath>
      <w:r>
        <w:t xml:space="preserve">.</w:t>
      </w:r>
    </w:p>
    <w:p>
      <w:pPr>
        <w:pStyle w:val="BlockText"/>
      </w:pPr>
      <w:r>
        <w:t xml:space="preserve">Utilidade:</w:t>
      </w:r>
      <w:r>
        <w:t xml:space="preserve"> </w:t>
      </w:r>
      <m:oMath>
        <m:sSup>
          <m:e>
            <m:r>
              <m:t>u</m:t>
            </m:r>
          </m:e>
          <m:sup>
            <m:r>
              <m:rPr>
                <m:sty m:val="p"/>
              </m:rPr>
              <m:t>*</m:t>
            </m:r>
          </m:sup>
        </m:sSup>
        <m:r>
          <m:rPr>
            <m:sty m:val="p"/>
          </m:rPr>
          <m:t>=</m:t>
        </m:r>
        <m:r>
          <m:rPr>
            <m:sty m:val="p"/>
          </m:rPr>
          <m:t>min</m:t>
        </m:r>
        <m:r>
          <m:rPr>
            <m:sty m:val="p"/>
          </m:rPr>
          <m:t>{</m:t>
        </m:r>
        <m:r>
          <m:t>40</m:t>
        </m:r>
        <m:r>
          <m:rPr>
            <m:sty m:val="p"/>
          </m:rPr>
          <m:t>,</m:t>
        </m:r>
        <m:r>
          <m:t>40</m:t>
        </m:r>
        <m:r>
          <m:rPr>
            <m:sty m:val="p"/>
          </m:rPr>
          <m:t>}</m:t>
        </m:r>
        <m:r>
          <m:rPr>
            <m:sty m:val="p"/>
          </m:rPr>
          <m:t>=</m:t>
        </m:r>
        <m:r>
          <m:t>40</m:t>
        </m:r>
      </m:oMath>
      <w:r>
        <w:t xml:space="preserve">.</w:t>
      </w:r>
    </w:p>
    <w:p>
      <w:pPr>
        <w:pStyle w:val="BlockText"/>
      </w:pPr>
      <w:r>
        <w:rPr>
          <w:b/>
          <w:bCs/>
        </w:rPr>
        <w:t xml:space="preserve">Resultado:</w:t>
      </w:r>
      <w:r>
        <w:t xml:space="preserve"> </w:t>
      </w:r>
      <w:r>
        <w:t xml:space="preserve">A transferência aumenta o consumo de ambos os bens proporcionalmente, de</w:t>
      </w:r>
      <w:r>
        <w:t xml:space="preserve"> </w:t>
      </w:r>
      <m:oMath>
        <m:r>
          <m:rPr>
            <m:sty m:val="p"/>
          </m:rPr>
          <m:t>(</m:t>
        </m:r>
        <m:r>
          <m:t>15</m:t>
        </m:r>
        <m:r>
          <m:rPr>
            <m:sty m:val="p"/>
          </m:rPr>
          <m:t>,</m:t>
        </m:r>
        <m:r>
          <m:t>30</m:t>
        </m:r>
        <m:r>
          <m:rPr>
            <m:sty m:val="p"/>
          </m:rPr>
          <m:t>)</m:t>
        </m:r>
      </m:oMath>
      <w:r>
        <w:t xml:space="preserve"> </w:t>
      </w:r>
      <w:r>
        <w:t xml:space="preserve">para</w:t>
      </w:r>
      <w:r>
        <w:t xml:space="preserve"> </w:t>
      </w:r>
      <m:oMath>
        <m:r>
          <m:rPr>
            <m:sty m:val="p"/>
          </m:rPr>
          <m:t>(</m:t>
        </m:r>
        <m:r>
          <m:t>20</m:t>
        </m:r>
        <m:r>
          <m:rPr>
            <m:sty m:val="p"/>
          </m:rPr>
          <m:t>,</m:t>
        </m:r>
        <m:r>
          <m:t>40</m:t>
        </m:r>
        <m:r>
          <m:rPr>
            <m:sty m:val="p"/>
          </m:rPr>
          <m:t>)</m:t>
        </m:r>
      </m:oMath>
      <w:r>
        <w:t xml:space="preserve">, e a utilidade sobe de 30 para 40.</w:t>
      </w:r>
    </w:p>
    <w:p>
      <w:pPr>
        <w:pStyle w:val="BlockText"/>
      </w:pPr>
      <w:r>
        <w:rPr>
          <w:b/>
          <w:bCs/>
        </w:rPr>
        <w:t xml:space="preserve">Interpretação econômica:</w:t>
      </w:r>
      <w:r>
        <w:t xml:space="preserve"> </w:t>
      </w:r>
      <w:r>
        <w:t xml:space="preserve">Com complementares perfeitos, não há efeito substituição — a transferência se traduz integralmente em efeito renda, expandindo o consumo na mesma proporção fixa. Isso lembra o caso de bens que são naturalmente consumidos em proporções fixas, como arroz e feijão na dieta brasileira tradicional: um aumento de renda leva a família a consumir mais de ambos, sem alterar a proporção. Segundo a POF 2017–2018 do IBGE, a relação entre o consumo domiciliar per capita de arroz e feijão manteve-se relativamente estável em torno de 2:1 entre as diferentes faixas de renda.</w:t>
      </w:r>
    </w:p>
    <w:p>
      <w:r>
        <w:pict>
          <v:rect style="width:0;height:1.5pt" o:hralign="center" o:hrstd="t" o:hr="t"/>
        </w:pict>
      </w:r>
    </w:p>
    <w:p>
      <w:pPr>
        <w:pStyle w:val="FirstParagraph"/>
      </w:pPr>
      <w:r>
        <w:t xml:space="preserve">Os cinco tipos de função utilidade analisados nesta seção cobrem a grande maioria das aplicações em microeconomia teórica e empírica. A Cobb-Douglas é o ponto de partida natural por sua simplicidade; a CES generaliza para qualquer grau de substituibilidade; os substitutos e complementos perfeitos capturam casos extremos; e a quase-linear elimina efeitos renda, simplificando a análise de equilíbrio parcial. Na prática, a escolha da forma funcional envolve um</w:t>
      </w:r>
      <w:r>
        <w:t xml:space="preserve"> </w:t>
      </w:r>
      <w:r>
        <w:rPr>
          <w:i/>
          <w:iCs/>
        </w:rPr>
        <w:t xml:space="preserve">trade-off</w:t>
      </w:r>
      <w:r>
        <w:t xml:space="preserve"> </w:t>
      </w:r>
      <w:r>
        <w:t xml:space="preserve">entre tratabilidade analítica e realismo empírico. Modelos com dados agregados frequentemente usam a CES (que permite estimar</w:t>
      </w:r>
      <w:r>
        <w:t xml:space="preserve"> </w:t>
      </w:r>
      <m:oMath>
        <m:r>
          <m:t>σ</m:t>
        </m:r>
      </m:oMath>
      <w:r>
        <w:t xml:space="preserve">); modelos de organização industrial preferem a quase-linear (que isola um mercado específico); e modelos pedagógicos recorrem à Cobb-Douglas (que gera álgebra limpa). A regra prática, já enunciada no Capítulo 3: comece pela forma mais simples que capture o fenômeno de interesse.</w:t>
      </w:r>
    </w:p>
    <w:p>
      <w:pPr>
        <w:pStyle w:val="BodyText"/>
      </w:pPr>
      <w:r>
        <w:t xml:space="preserve">Os boxes a seguir ilustram como esses modelos se conectam a questões concretas de política pública no Brasil.</w:t>
      </w:r>
    </w:p>
    <w:p>
      <w:r>
        <w:pict>
          <v:rect style="width:0;height:1.5pt" o:hralign="center" o:hrstd="t" o:hr="t"/>
        </w:pict>
      </w:r>
    </w:p>
    <w:bookmarkEnd w:id="212"/>
    <w:bookmarkEnd w:id="213"/>
    <w:bookmarkStart w:id="217" w:name="X27161f8edf73617732dbd7124e5ba93a4ea5801"/>
    <w:p>
      <w:pPr>
        <w:pStyle w:val="Heading3"/>
      </w:pPr>
      <w:r>
        <w:t xml:space="preserve">4.11 O GPS do Consumidor: Quadro Resumo de Todas as Funções</w:t>
      </w:r>
    </w:p>
    <w:p>
      <w:pPr>
        <w:pStyle w:val="FirstParagraph"/>
      </w:pPr>
      <w:r>
        <w:t xml:space="preserve">A</w:t>
      </w:r>
      <w:r>
        <w:t xml:space="preserve"> </w:t>
      </w:r>
      <w:hyperlink w:anchor="tabela-4-2">
        <w:r>
          <w:rPr>
            <w:rStyle w:val="Hyperlink"/>
          </w:rPr>
          <w:t xml:space="preserve">Tabela 4.2</w:t>
        </w:r>
      </w:hyperlink>
      <w:r>
        <w:t xml:space="preserve"> </w:t>
      </w:r>
      <w:r>
        <w:t xml:space="preserve">resume as cinco funções centrais da teoria do consumidor e suas propriedades. Este quadro serve tanto como referência rápida quanto como mapa conceitual das relações desenvolvidas ao longo do capítulo. Cada linha da tabela corresponde a um conceito fundamental; cada coluna, a uma dimensão analítica relevante. Ao percorrer a tabela, observe como as funções se organizam em pares duais —</w:t>
      </w:r>
      <w:r>
        <w:t xml:space="preserve"> </w:t>
      </w:r>
      <m:oMath>
        <m:sSub>
          <m:e>
            <m:r>
              <m:t>x</m:t>
            </m:r>
          </m:e>
          <m:sub>
            <m:r>
              <m:t>i</m:t>
            </m:r>
          </m:sub>
        </m:sSub>
      </m:oMath>
      <w:r>
        <w:t xml:space="preserve"> </w:t>
      </w:r>
      <w:r>
        <w:t xml:space="preserve">e</w:t>
      </w:r>
      <w:r>
        <w:t xml:space="preserve"> </w:t>
      </w:r>
      <m:oMath>
        <m:sSub>
          <m:e>
            <m:r>
              <m:t>h</m:t>
            </m:r>
          </m:e>
          <m:sub>
            <m:r>
              <m:t>i</m:t>
            </m:r>
          </m:sub>
        </m:sSub>
      </m:oMath>
      <w:r>
        <w:t xml:space="preserve">;</w:t>
      </w:r>
      <w:r>
        <w:t xml:space="preserve"> </w:t>
      </w:r>
      <m:oMath>
        <m:r>
          <m:t>V</m:t>
        </m:r>
      </m:oMath>
      <w:r>
        <w:t xml:space="preserve"> </w:t>
      </w:r>
      <w:r>
        <w:t xml:space="preserve">e</w:t>
      </w:r>
      <w:r>
        <w:t xml:space="preserve"> </w:t>
      </w:r>
      <m:oMath>
        <m:r>
          <m:t>E</m:t>
        </m:r>
      </m:oMath>
      <w:r>
        <w:t xml:space="preserve"> </w:t>
      </w:r>
      <w:r>
        <w:t xml:space="preserve">— e como as propriedades de homogeneidade, monotonia e curvatura refletem a estrutura subjacente das preferências.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Função</w:t>
            </w:r>
          </w:p>
        </w:tc>
        <w:tc>
          <w:tcPr/>
          <w:p>
            <w:pPr>
              <w:pStyle w:val="Compact"/>
            </w:pPr>
            <w:r>
              <w:t xml:space="preserve">Definição</w:t>
            </w:r>
          </w:p>
        </w:tc>
        <w:tc>
          <w:tcPr/>
          <w:p>
            <w:pPr>
              <w:pStyle w:val="Compact"/>
            </w:pPr>
            <w:r>
              <w:t xml:space="preserve">Argumentos</w:t>
            </w:r>
          </w:p>
        </w:tc>
        <w:tc>
          <w:tcPr/>
          <w:p>
            <w:pPr>
              <w:pStyle w:val="Compact"/>
            </w:pPr>
            <w:r>
              <w:t xml:space="preserve">Propriedades principais</w:t>
            </w:r>
          </w:p>
        </w:tc>
      </w:tr>
      <w:tr>
        <w:tc>
          <w:tcPr/>
          <w:p>
            <w:pPr>
              <w:pStyle w:val="Compact"/>
            </w:pPr>
            <w:r>
              <w:t xml:space="preserve">Utilidade direta</w:t>
            </w:r>
            <w:r>
              <w:t xml:space="preserve"> </w:t>
            </w:r>
            <m:oMath>
              <m:r>
                <m:t>u</m:t>
              </m:r>
              <m:r>
                <m:rPr>
                  <m:sty m:val="p"/>
                </m:rPr>
                <m:t>(</m:t>
              </m:r>
              <m:r>
                <m:rPr>
                  <m:sty m:val="bi"/>
                </m:rPr>
                <m:t>x</m:t>
              </m:r>
              <m:r>
                <m:rPr>
                  <m:sty m:val="p"/>
                </m:rPr>
                <m:t>)</m:t>
              </m:r>
            </m:oMath>
          </w:p>
        </w:tc>
        <w:tc>
          <w:tcPr/>
          <w:p>
            <w:pPr>
              <w:pStyle w:val="Compact"/>
            </w:pPr>
            <w:r>
              <w:t xml:space="preserve">Nível de satisfação da cesta</w:t>
            </w:r>
            <w:r>
              <w:t xml:space="preserve"> </w:t>
            </w:r>
            <m:oMath>
              <m:r>
                <m:rPr>
                  <m:sty m:val="bi"/>
                </m:rPr>
                <m:t>x</m:t>
              </m:r>
            </m:oMath>
          </w:p>
        </w:tc>
        <w:tc>
          <w:tcPr/>
          <w:p>
            <w:pPr>
              <w:pStyle w:val="Compact"/>
            </w:pPr>
            <w:r>
              <w:t xml:space="preserve">Quantidades</w:t>
            </w:r>
            <w:r>
              <w:t xml:space="preserve"> </w:t>
            </w:r>
            <m:oMath>
              <m:r>
                <m:rPr>
                  <m:sty m:val="bi"/>
                </m:rPr>
                <m:t>x</m:t>
              </m:r>
            </m:oMath>
          </w:p>
        </w:tc>
        <w:tc>
          <w:tcPr/>
          <w:p>
            <w:pPr>
              <w:pStyle w:val="Compact"/>
            </w:pPr>
            <w:r>
              <w:t xml:space="preserve">Ordinal; contínua; quase-côncava</w:t>
            </w:r>
          </w:p>
        </w:tc>
      </w:tr>
      <w:tr>
        <w:tc>
          <w:tcPr/>
          <w:p>
            <w:pPr>
              <w:pStyle w:val="Compact"/>
            </w:pPr>
            <w:r>
              <w:t xml:space="preserve">Demanda marshalliana</w:t>
            </w:r>
            <w:r>
              <w:t xml:space="preserve"> </w:t>
            </w:r>
            <m:oMath>
              <m:sSub>
                <m:e>
                  <m:r>
                    <m:t>x</m:t>
                  </m:r>
                </m:e>
                <m:sub>
                  <m:r>
                    <m:t>i</m:t>
                  </m:r>
                </m:sub>
              </m:sSub>
              <m:r>
                <m:rPr>
                  <m:sty m:val="p"/>
                </m:rPr>
                <m:t>(</m:t>
              </m:r>
              <m:r>
                <m:rPr>
                  <m:sty m:val="bi"/>
                </m:rPr>
                <m:t>p</m:t>
              </m:r>
              <m:r>
                <m:rPr>
                  <m:sty m:val="p"/>
                </m:rPr>
                <m:t>,</m:t>
              </m:r>
              <m:r>
                <m:t>I</m:t>
              </m:r>
              <m:r>
                <m:rPr>
                  <m:sty m:val="p"/>
                </m:rPr>
                <m:t>)</m:t>
              </m:r>
            </m:oMath>
          </w:p>
        </w:tc>
        <w:tc>
          <w:tcPr/>
          <w:p>
            <w:pPr>
              <w:pStyle w:val="Compact"/>
            </w:pPr>
            <w:r>
              <w:t xml:space="preserve">Cesta ótima dados preços e renda</w:t>
            </w:r>
          </w:p>
        </w:tc>
        <w:tc>
          <w:tcPr/>
          <w:p>
            <w:pPr>
              <w:pStyle w:val="Compact"/>
            </w:pPr>
            <w:r>
              <w:t xml:space="preserve">Preços</w:t>
            </w:r>
            <w:r>
              <w:t xml:space="preserve"> </w:t>
            </w:r>
            <m:oMath>
              <m:r>
                <m:rPr>
                  <m:sty m:val="bi"/>
                </m:rPr>
                <m:t>p</m:t>
              </m:r>
            </m:oMath>
            <w:r>
              <w:t xml:space="preserve">, renda</w:t>
            </w:r>
            <w:r>
              <w:t xml:space="preserve"> </w:t>
            </w:r>
            <m:oMath>
              <m:r>
                <m:t>I</m:t>
              </m:r>
            </m:oMath>
          </w:p>
        </w:tc>
        <w:tc>
          <w:tcPr/>
          <w:p>
            <w:pPr>
              <w:pStyle w:val="Compact"/>
            </w:pPr>
            <w:r>
              <w:t xml:space="preserve">Homogênea de grau 0 em</w:t>
            </w:r>
            <w:r>
              <w:t xml:space="preserve"> </w:t>
            </w:r>
            <m:oMath>
              <m:r>
                <m:rPr>
                  <m:sty m:val="p"/>
                </m:rPr>
                <m:t>(</m:t>
              </m:r>
              <m:r>
                <m:rPr>
                  <m:sty m:val="bi"/>
                </m:rPr>
                <m:t>p</m:t>
              </m:r>
              <m:r>
                <m:rPr>
                  <m:sty m:val="p"/>
                </m:rPr>
                <m:t>,</m:t>
              </m:r>
              <m:r>
                <m:t>I</m:t>
              </m:r>
              <m:r>
                <m:rPr>
                  <m:sty m:val="p"/>
                </m:rPr>
                <m:t>)</m:t>
              </m:r>
            </m:oMath>
            <w:r>
              <w:t xml:space="preserve">; Lei de Walras</w:t>
            </w:r>
          </w:p>
        </w:tc>
      </w:tr>
      <w:tr>
        <w:tc>
          <w:tcPr/>
          <w:p>
            <w:pPr>
              <w:pStyle w:val="Compact"/>
            </w:pPr>
            <w:r>
              <w:t xml:space="preserve">Utilidade indireta</w:t>
            </w:r>
            <w:r>
              <w:t xml:space="preserve"> </w:t>
            </w:r>
            <m:oMath>
              <m:r>
                <m:t>V</m:t>
              </m:r>
              <m:r>
                <m:rPr>
                  <m:sty m:val="p"/>
                </m:rPr>
                <m:t>(</m:t>
              </m:r>
              <m:r>
                <m:rPr>
                  <m:sty m:val="bi"/>
                </m:rPr>
                <m:t>p</m:t>
              </m:r>
              <m:r>
                <m:rPr>
                  <m:sty m:val="p"/>
                </m:rPr>
                <m:t>,</m:t>
              </m:r>
              <m:r>
                <m:t>I</m:t>
              </m:r>
              <m:r>
                <m:rPr>
                  <m:sty m:val="p"/>
                </m:rPr>
                <m:t>)</m:t>
              </m:r>
            </m:oMath>
          </w:p>
        </w:tc>
        <w:tc>
          <w:tcPr/>
          <w:p>
            <w:pPr>
              <w:pStyle w:val="Compact"/>
            </w:pPr>
            <w:r>
              <w:t xml:space="preserve">Utilidade máxima dados preços e renda</w:t>
            </w:r>
          </w:p>
        </w:tc>
        <w:tc>
          <w:tcPr/>
          <w:p>
            <w:pPr>
              <w:pStyle w:val="Compact"/>
            </w:pPr>
            <w:r>
              <w:t xml:space="preserve">Preços</w:t>
            </w:r>
            <w:r>
              <w:t xml:space="preserve"> </w:t>
            </w:r>
            <m:oMath>
              <m:r>
                <m:rPr>
                  <m:sty m:val="bi"/>
                </m:rPr>
                <m:t>p</m:t>
              </m:r>
            </m:oMath>
            <w:r>
              <w:t xml:space="preserve">, renda</w:t>
            </w:r>
            <w:r>
              <w:t xml:space="preserve"> </w:t>
            </w:r>
            <m:oMath>
              <m:r>
                <m:t>I</m:t>
              </m:r>
            </m:oMath>
          </w:p>
        </w:tc>
        <w:tc>
          <w:tcPr/>
          <w:p>
            <w:pPr>
              <w:pStyle w:val="Compact"/>
            </w:pPr>
            <w:r>
              <w:t xml:space="preserve">Homogênea de grau 0; decrescente em</w:t>
            </w:r>
            <w:r>
              <w:t xml:space="preserve"> </w:t>
            </w:r>
            <m:oMath>
              <m:r>
                <m:rPr>
                  <m:sty m:val="bi"/>
                </m:rPr>
                <m:t>p</m:t>
              </m:r>
            </m:oMath>
            <w:r>
              <w:t xml:space="preserve">; crescente em</w:t>
            </w:r>
            <w:r>
              <w:t xml:space="preserve"> </w:t>
            </w:r>
            <m:oMath>
              <m:r>
                <m:t>I</m:t>
              </m:r>
            </m:oMath>
            <w:r>
              <w:t xml:space="preserve">; quase-convexa em</w:t>
            </w:r>
            <w:r>
              <w:t xml:space="preserve"> </w:t>
            </w:r>
            <m:oMath>
              <m:r>
                <m:rPr>
                  <m:sty m:val="bi"/>
                </m:rPr>
                <m:t>p</m:t>
              </m:r>
            </m:oMath>
          </w:p>
        </w:tc>
      </w:tr>
      <w:tr>
        <w:tc>
          <w:tcPr/>
          <w:p>
            <w:pPr>
              <w:pStyle w:val="Compact"/>
            </w:pPr>
            <w:r>
              <w:t xml:space="preserve">Demanda hicksiana</w:t>
            </w:r>
            <w:r>
              <w:t xml:space="preserve"> </w:t>
            </w:r>
            <m:oMath>
              <m:sSub>
                <m:e>
                  <m:r>
                    <m:t>h</m:t>
                  </m:r>
                </m:e>
                <m:sub>
                  <m:r>
                    <m:t>i</m:t>
                  </m:r>
                </m:sub>
              </m:sSub>
              <m:r>
                <m:rPr>
                  <m:sty m:val="p"/>
                </m:rPr>
                <m:t>(</m:t>
              </m:r>
              <m:r>
                <m:rPr>
                  <m:sty m:val="bi"/>
                </m:rPr>
                <m:t>p</m:t>
              </m:r>
              <m:r>
                <m:rPr>
                  <m:sty m:val="p"/>
                </m:rPr>
                <m:t>,</m:t>
              </m:r>
              <m:acc>
                <m:accPr>
                  <m:chr m:val="‾"/>
                </m:accPr>
                <m:e>
                  <m:r>
                    <m:t>u</m:t>
                  </m:r>
                </m:e>
              </m:acc>
              <m:r>
                <m:rPr>
                  <m:sty m:val="p"/>
                </m:rPr>
                <m:t>)</m:t>
              </m:r>
            </m:oMath>
          </w:p>
        </w:tc>
        <w:tc>
          <w:tcPr/>
          <w:p>
            <w:pPr>
              <w:pStyle w:val="Compact"/>
            </w:pPr>
            <w:r>
              <w:t xml:space="preserve">Cesta de custo mínimo para atingir</w:t>
            </w:r>
            <w:r>
              <w:t xml:space="preserve"> </w:t>
            </w:r>
            <m:oMath>
              <m:acc>
                <m:accPr>
                  <m:chr m:val="‾"/>
                </m:accPr>
                <m:e>
                  <m:r>
                    <m:t>u</m:t>
                  </m:r>
                </m:e>
              </m:acc>
            </m:oMath>
          </w:p>
        </w:tc>
        <w:tc>
          <w:tcPr/>
          <w:p>
            <w:pPr>
              <w:pStyle w:val="Compact"/>
            </w:pPr>
            <w:r>
              <w:t xml:space="preserve">Preços</w:t>
            </w:r>
            <w:r>
              <w:t xml:space="preserve"> </w:t>
            </w:r>
            <m:oMath>
              <m:r>
                <m:rPr>
                  <m:sty m:val="bi"/>
                </m:rPr>
                <m:t>p</m:t>
              </m:r>
            </m:oMath>
            <w:r>
              <w:t xml:space="preserve">, utilidade</w:t>
            </w:r>
            <w:r>
              <w:t xml:space="preserve"> </w:t>
            </w:r>
            <m:oMath>
              <m:acc>
                <m:accPr>
                  <m:chr m:val="‾"/>
                </m:accPr>
                <m:e>
                  <m:r>
                    <m:t>u</m:t>
                  </m:r>
                </m:e>
              </m:acc>
            </m:oMath>
          </w:p>
        </w:tc>
        <w:tc>
          <w:tcPr/>
          <w:p>
            <w:pPr>
              <w:pStyle w:val="Compact"/>
            </w:pPr>
            <w:r>
              <w:t xml:space="preserve">Homogênea de grau 0 em</w:t>
            </w:r>
            <w:r>
              <w:t xml:space="preserve"> </w:t>
            </w:r>
            <m:oMath>
              <m:r>
                <m:rPr>
                  <m:sty m:val="bi"/>
                </m:rPr>
                <m:t>p</m:t>
              </m:r>
            </m:oMath>
            <w:r>
              <w:t xml:space="preserve">;</w:t>
            </w:r>
            <w:r>
              <w:t xml:space="preserve"> </w:t>
            </w:r>
            <m:oMath>
              <m:r>
                <m:rPr>
                  <m:sty m:val="p"/>
                </m:rPr>
                <m:t>∂</m:t>
              </m:r>
              <m:sSub>
                <m:e>
                  <m:r>
                    <m:t>h</m:t>
                  </m:r>
                </m:e>
                <m:sub>
                  <m:r>
                    <m:t>i</m:t>
                  </m:r>
                </m:sub>
              </m:sSub>
              <m:r>
                <m:rPr>
                  <m:sty m:val="p"/>
                </m:rPr>
                <m:t>/</m:t>
              </m:r>
              <m:r>
                <m:rPr>
                  <m:sty m:val="p"/>
                </m:rPr>
                <m:t>∂</m:t>
              </m:r>
              <m:sSub>
                <m:e>
                  <m:r>
                    <m:t>p</m:t>
                  </m:r>
                </m:e>
                <m:sub>
                  <m:r>
                    <m:t>i</m:t>
                  </m:r>
                </m:sub>
              </m:sSub>
              <m:r>
                <m:rPr>
                  <m:sty m:val="p"/>
                </m:rPr>
                <m:t>≤</m:t>
              </m:r>
              <m:r>
                <m:t>0</m:t>
              </m:r>
            </m:oMath>
          </w:p>
        </w:tc>
      </w:tr>
      <w:tr>
        <w:tc>
          <w:tcPr/>
          <w:p>
            <w:pPr>
              <w:pStyle w:val="Compact"/>
            </w:pPr>
            <w:r>
              <w:t xml:space="preserve">Função dispêndio</w:t>
            </w:r>
            <w:r>
              <w:t xml:space="preserve"> </w:t>
            </w:r>
            <m:oMath>
              <m:r>
                <m:t>E</m:t>
              </m:r>
              <m:r>
                <m:rPr>
                  <m:sty m:val="p"/>
                </m:rPr>
                <m:t>(</m:t>
              </m:r>
              <m:r>
                <m:rPr>
                  <m:sty m:val="bi"/>
                </m:rPr>
                <m:t>p</m:t>
              </m:r>
              <m:r>
                <m:rPr>
                  <m:sty m:val="p"/>
                </m:rPr>
                <m:t>,</m:t>
              </m:r>
              <m:acc>
                <m:accPr>
                  <m:chr m:val="‾"/>
                </m:accPr>
                <m:e>
                  <m:r>
                    <m:t>u</m:t>
                  </m:r>
                </m:e>
              </m:acc>
              <m:r>
                <m:rPr>
                  <m:sty m:val="p"/>
                </m:rPr>
                <m:t>)</m:t>
              </m:r>
            </m:oMath>
          </w:p>
        </w:tc>
        <w:tc>
          <w:tcPr/>
          <w:p>
            <w:pPr>
              <w:pStyle w:val="Compact"/>
            </w:pPr>
            <w:r>
              <w:t xml:space="preserve">Gasto mínimo para atingir</w:t>
            </w:r>
            <w:r>
              <w:t xml:space="preserve"> </w:t>
            </w:r>
            <m:oMath>
              <m:acc>
                <m:accPr>
                  <m:chr m:val="‾"/>
                </m:accPr>
                <m:e>
                  <m:r>
                    <m:t>u</m:t>
                  </m:r>
                </m:e>
              </m:acc>
            </m:oMath>
          </w:p>
        </w:tc>
        <w:tc>
          <w:tcPr/>
          <w:p>
            <w:pPr>
              <w:pStyle w:val="Compact"/>
            </w:pPr>
            <w:r>
              <w:t xml:space="preserve">Preços</w:t>
            </w:r>
            <w:r>
              <w:t xml:space="preserve"> </w:t>
            </w:r>
            <m:oMath>
              <m:r>
                <m:rPr>
                  <m:sty m:val="bi"/>
                </m:rPr>
                <m:t>p</m:t>
              </m:r>
            </m:oMath>
            <w:r>
              <w:t xml:space="preserve">, utilidade</w:t>
            </w:r>
            <w:r>
              <w:t xml:space="preserve"> </w:t>
            </w:r>
            <m:oMath>
              <m:acc>
                <m:accPr>
                  <m:chr m:val="‾"/>
                </m:accPr>
                <m:e>
                  <m:r>
                    <m:t>u</m:t>
                  </m:r>
                </m:e>
              </m:acc>
            </m:oMath>
          </w:p>
        </w:tc>
        <w:tc>
          <w:tcPr/>
          <w:p>
            <w:pPr>
              <w:pStyle w:val="Compact"/>
            </w:pPr>
            <w:r>
              <w:t xml:space="preserve">Homogênea de grau 1 em</w:t>
            </w:r>
            <w:r>
              <w:t xml:space="preserve"> </w:t>
            </w:r>
            <m:oMath>
              <m:r>
                <m:rPr>
                  <m:sty m:val="bi"/>
                </m:rPr>
                <m:t>p</m:t>
              </m:r>
            </m:oMath>
            <w:r>
              <w:t xml:space="preserve">; côncava em</w:t>
            </w:r>
            <w:r>
              <w:t xml:space="preserve"> </w:t>
            </w:r>
            <m:oMath>
              <m:r>
                <m:rPr>
                  <m:sty m:val="bi"/>
                </m:rPr>
                <m:t>p</m:t>
              </m:r>
            </m:oMath>
            <w:r>
              <w:t xml:space="preserve">; Lema de Shephard</w:t>
            </w:r>
          </w:p>
        </w:tc>
      </w:tr>
    </w:tbl>
    <w:p>
      <w:pPr>
        <w:pStyle w:val="BodyText"/>
      </w:pPr>
      <w:r>
        <w:rPr>
          <w:b/>
          <w:bCs/>
        </w:rPr>
        <w:t xml:space="preserve">Tabela 4.2 — Funções do consumidor.</w:t>
      </w:r>
    </w:p>
    <w:p>
      <w:pPr>
        <w:pStyle w:val="BodyText"/>
      </w:pPr>
      <w:r>
        <w:rPr>
          <w:b/>
          <w:bCs/>
        </w:rPr>
        <w:t xml:space="preserve">Relações fundamentais</w:t>
      </w:r>
      <w:r>
        <w:t xml:space="preserve">:</w:t>
      </w:r>
    </w:p>
    <w:p>
      <w:pPr>
        <w:pStyle w:val="Compact"/>
        <w:numPr>
          <w:ilvl w:val="0"/>
          <w:numId w:val="1141"/>
        </w:numPr>
      </w:pPr>
      <m:oMath>
        <m:r>
          <m:t>V</m:t>
        </m:r>
        <m:r>
          <m:rPr>
            <m:sty m:val="p"/>
          </m:rPr>
          <m:t>(</m:t>
        </m:r>
        <m:r>
          <m:rPr>
            <m:sty m:val="bi"/>
          </m:rPr>
          <m:t>p</m:t>
        </m:r>
        <m:r>
          <m:rPr>
            <m:sty m:val="p"/>
          </m:rPr>
          <m:t>,</m:t>
        </m:r>
        <m:r>
          <m:t>E</m:t>
        </m:r>
        <m:r>
          <m:rPr>
            <m:sty m:val="p"/>
          </m:rPr>
          <m:t>(</m:t>
        </m:r>
        <m:r>
          <m:rPr>
            <m:sty m:val="bi"/>
          </m:rPr>
          <m:t>p</m:t>
        </m:r>
        <m:r>
          <m:rPr>
            <m:sty m:val="p"/>
          </m:rPr>
          <m:t>,</m:t>
        </m:r>
        <m:acc>
          <m:accPr>
            <m:chr m:val="‾"/>
          </m:accPr>
          <m:e>
            <m:r>
              <m:t>u</m:t>
            </m:r>
          </m:e>
        </m:acc>
        <m:r>
          <m:rPr>
            <m:sty m:val="p"/>
          </m:rPr>
          <m:t>)</m:t>
        </m:r>
        <m:r>
          <m:rPr>
            <m:sty m:val="p"/>
          </m:rPr>
          <m:t>)</m:t>
        </m:r>
        <m:r>
          <m:rPr>
            <m:sty m:val="p"/>
          </m:rPr>
          <m:t>=</m:t>
        </m:r>
        <m:acc>
          <m:accPr>
            <m:chr m:val="‾"/>
          </m:accPr>
          <m:e>
            <m:r>
              <m:t>u</m:t>
            </m:r>
          </m:e>
        </m:acc>
      </m:oMath>
      <w:r>
        <w:t xml:space="preserve"> </w:t>
      </w:r>
      <w:r>
        <w:t xml:space="preserve">e</w:t>
      </w:r>
      <w:r>
        <w:t xml:space="preserve"> </w:t>
      </w:r>
      <m:oMath>
        <m:r>
          <m:t>E</m:t>
        </m:r>
        <m:r>
          <m:rPr>
            <m:sty m:val="p"/>
          </m:rPr>
          <m:t>(</m:t>
        </m:r>
        <m:r>
          <m:rPr>
            <m:sty m:val="bi"/>
          </m:rPr>
          <m:t>p</m:t>
        </m:r>
        <m:r>
          <m:rPr>
            <m:sty m:val="p"/>
          </m:rPr>
          <m:t>,</m:t>
        </m:r>
        <m:r>
          <m:t>V</m:t>
        </m:r>
        <m:r>
          <m:rPr>
            <m:sty m:val="p"/>
          </m:rPr>
          <m:t>(</m:t>
        </m:r>
        <m:r>
          <m:rPr>
            <m:sty m:val="bi"/>
          </m:rPr>
          <m:t>p</m:t>
        </m:r>
        <m:r>
          <m:rPr>
            <m:sty m:val="p"/>
          </m:rPr>
          <m:t>,</m:t>
        </m:r>
        <m:r>
          <m:t>I</m:t>
        </m:r>
        <m:r>
          <m:rPr>
            <m:sty m:val="p"/>
          </m:rPr>
          <m:t>)</m:t>
        </m:r>
        <m:r>
          <m:rPr>
            <m:sty m:val="p"/>
          </m:rPr>
          <m:t>)</m:t>
        </m:r>
        <m:r>
          <m:rPr>
            <m:sty m:val="p"/>
          </m:rPr>
          <m:t>=</m:t>
        </m:r>
        <m:r>
          <m:t>I</m:t>
        </m:r>
      </m:oMath>
    </w:p>
    <w:p>
      <w:pPr>
        <w:pStyle w:val="Compact"/>
        <w:numPr>
          <w:ilvl w:val="0"/>
          <w:numId w:val="1141"/>
        </w:numPr>
      </w:pPr>
      <w:r>
        <w:t xml:space="preserve">Roy:</w:t>
      </w:r>
      <w:r>
        <w:t xml:space="preserve"> </w:t>
      </w:r>
      <m:oMath>
        <m:sSub>
          <m:e>
            <m:r>
              <m:t>x</m:t>
            </m:r>
          </m:e>
          <m:sub>
            <m:r>
              <m:t>i</m:t>
            </m:r>
          </m:sub>
        </m:sSub>
        <m:r>
          <m:rPr>
            <m:sty m:val="p"/>
          </m:rPr>
          <m:t>=</m:t>
        </m:r>
        <m:r>
          <m:rPr>
            <m:sty m:val="p"/>
          </m:rPr>
          <m:t>−</m:t>
        </m:r>
        <m:r>
          <m:rPr>
            <m:sty m:val="p"/>
          </m:rPr>
          <m:t>(</m:t>
        </m:r>
        <m:r>
          <m:rPr>
            <m:sty m:val="p"/>
          </m:rPr>
          <m:t>∂</m:t>
        </m:r>
        <m:r>
          <m:t>V</m:t>
        </m:r>
        <m:r>
          <m:rPr>
            <m:sty m:val="p"/>
          </m:rPr>
          <m:t>/</m:t>
        </m:r>
        <m:r>
          <m:rPr>
            <m:sty m:val="p"/>
          </m:rPr>
          <m:t>∂</m:t>
        </m:r>
        <m:sSub>
          <m:e>
            <m:r>
              <m:t>p</m:t>
            </m:r>
          </m:e>
          <m:sub>
            <m:r>
              <m:t>i</m:t>
            </m:r>
          </m:sub>
        </m:sSub>
        <m:r>
          <m:rPr>
            <m:sty m:val="p"/>
          </m:rPr>
          <m:t>)</m:t>
        </m:r>
        <m:r>
          <m:rPr>
            <m:sty m:val="p"/>
          </m:rPr>
          <m:t>/</m:t>
        </m:r>
        <m:r>
          <m:rPr>
            <m:sty m:val="p"/>
          </m:rPr>
          <m:t>(</m:t>
        </m:r>
        <m:r>
          <m:rPr>
            <m:sty m:val="p"/>
          </m:rPr>
          <m:t>∂</m:t>
        </m:r>
        <m:r>
          <m:t>V</m:t>
        </m:r>
        <m:r>
          <m:rPr>
            <m:sty m:val="p"/>
          </m:rPr>
          <m:t>/</m:t>
        </m:r>
        <m:r>
          <m:rPr>
            <m:sty m:val="p"/>
          </m:rPr>
          <m:t>∂</m:t>
        </m:r>
        <m:r>
          <m:t>I</m:t>
        </m:r>
        <m:r>
          <m:rPr>
            <m:sty m:val="p"/>
          </m:rPr>
          <m:t>)</m:t>
        </m:r>
      </m:oMath>
    </w:p>
    <w:p>
      <w:pPr>
        <w:pStyle w:val="Compact"/>
        <w:numPr>
          <w:ilvl w:val="0"/>
          <w:numId w:val="1141"/>
        </w:numPr>
      </w:pPr>
      <w:r>
        <w:t xml:space="preserve">Shephard:</w:t>
      </w:r>
      <w:r>
        <w:t xml:space="preserve"> </w:t>
      </w:r>
      <m:oMath>
        <m:sSub>
          <m:e>
            <m:r>
              <m:t>h</m:t>
            </m:r>
          </m:e>
          <m:sub>
            <m:r>
              <m:t>i</m:t>
            </m:r>
          </m:sub>
        </m:sSub>
        <m:r>
          <m:rPr>
            <m:sty m:val="p"/>
          </m:rPr>
          <m:t>=</m:t>
        </m:r>
        <m:r>
          <m:rPr>
            <m:sty m:val="p"/>
          </m:rPr>
          <m:t>∂</m:t>
        </m:r>
        <m:r>
          <m:t>E</m:t>
        </m:r>
        <m:r>
          <m:rPr>
            <m:sty m:val="p"/>
          </m:rPr>
          <m:t>/</m:t>
        </m:r>
        <m:r>
          <m:rPr>
            <m:sty m:val="p"/>
          </m:rPr>
          <m:t>∂</m:t>
        </m:r>
        <m:sSub>
          <m:e>
            <m:r>
              <m:t>p</m:t>
            </m:r>
          </m:e>
          <m:sub>
            <m:r>
              <m:t>i</m:t>
            </m:r>
          </m:sub>
        </m:sSub>
      </m:oMath>
    </w:p>
    <w:p>
      <w:pPr>
        <w:pStyle w:val="Compact"/>
        <w:numPr>
          <w:ilvl w:val="0"/>
          <w:numId w:val="1141"/>
        </w:numPr>
      </w:pPr>
      <w:r>
        <w:t xml:space="preserve">Conexão:</w:t>
      </w:r>
      <w:r>
        <w:t xml:space="preserve"> </w:t>
      </w:r>
      <m:oMath>
        <m:sSub>
          <m:e>
            <m:r>
              <m:t>x</m:t>
            </m:r>
          </m:e>
          <m:sub>
            <m:r>
              <m:t>i</m:t>
            </m:r>
          </m:sub>
        </m:sSub>
        <m:r>
          <m:rPr>
            <m:sty m:val="p"/>
          </m:rPr>
          <m:t>(</m:t>
        </m:r>
        <m:r>
          <m:rPr>
            <m:sty m:val="bi"/>
          </m:rPr>
          <m:t>p</m:t>
        </m:r>
        <m:r>
          <m:rPr>
            <m:sty m:val="p"/>
          </m:rPr>
          <m:t>,</m:t>
        </m:r>
        <m:r>
          <m:t>I</m:t>
        </m:r>
        <m:r>
          <m:rPr>
            <m:sty m:val="p"/>
          </m:rPr>
          <m:t>)</m:t>
        </m:r>
        <m:r>
          <m:rPr>
            <m:sty m:val="p"/>
          </m:rPr>
          <m:t>=</m:t>
        </m:r>
        <m:sSub>
          <m:e>
            <m:r>
              <m:t>h</m:t>
            </m:r>
          </m:e>
          <m:sub>
            <m:r>
              <m:t>i</m:t>
            </m:r>
          </m:sub>
        </m:sSub>
        <m:r>
          <m:rPr>
            <m:sty m:val="p"/>
          </m:rPr>
          <m:t>(</m:t>
        </m:r>
        <m:r>
          <m:rPr>
            <m:sty m:val="bi"/>
          </m:rPr>
          <m:t>p</m:t>
        </m:r>
        <m:r>
          <m:rPr>
            <m:sty m:val="p"/>
          </m:rPr>
          <m:t>,</m:t>
        </m:r>
        <m:r>
          <m:t>V</m:t>
        </m:r>
        <m:r>
          <m:rPr>
            <m:sty m:val="p"/>
          </m:rPr>
          <m:t>(</m:t>
        </m:r>
        <m:r>
          <m:rPr>
            <m:sty m:val="bi"/>
          </m:rPr>
          <m:t>p</m:t>
        </m:r>
        <m:r>
          <m:rPr>
            <m:sty m:val="p"/>
          </m:rPr>
          <m:t>,</m:t>
        </m:r>
        <m:r>
          <m:t>I</m:t>
        </m:r>
        <m:r>
          <m:rPr>
            <m:sty m:val="p"/>
          </m:rPr>
          <m:t>)</m:t>
        </m:r>
        <m:r>
          <m:rPr>
            <m:sty m:val="p"/>
          </m:rPr>
          <m:t>)</m:t>
        </m:r>
      </m:oMath>
    </w:p>
    <w:p>
      <w:r>
        <w:pict>
          <v:rect style="width:0;height:1.5pt" o:hralign="center" o:hrstd="t" o:hr="t"/>
        </w:pict>
      </w:r>
    </w:p>
    <w:p>
      <w:pPr>
        <w:pStyle w:val="BlockText"/>
      </w:pPr>
      <w:r>
        <w:rPr>
          <w:b/>
          <w:bCs/>
        </w:rPr>
        <w:t xml:space="preserve">[BOX BRASIL] Box Brasil 4.3 — Transferências condicionadas e escolhas de consumo</w:t>
      </w:r>
    </w:p>
    <w:p>
      <w:pPr>
        <w:pStyle w:val="BlockText"/>
      </w:pPr>
      <w:r>
        <w:t xml:space="preserve">O Programa Bolsa Família (PBF), criado em 2003 e reestruturado como Auxílio Brasil em 2021 e novamente como Bolsa Família em 2023, constitui o maior programa de transferência condicionada de renda da América Latina, atingindo cerca de 21 milhões de famílias em 2023.</w:t>
      </w:r>
    </w:p>
    <w:p>
      <w:pPr>
        <w:pStyle w:val="BlockText"/>
      </w:pPr>
      <w:r>
        <w:rPr>
          <w:b/>
          <w:bCs/>
        </w:rPr>
        <w:t xml:space="preserve">Efeito sobre a restrição orçamentária</w:t>
      </w:r>
      <w:r>
        <w:t xml:space="preserve">: A transferência mensal</w:t>
      </w:r>
      <w:r>
        <w:t xml:space="preserve"> </w:t>
      </w:r>
      <m:oMath>
        <m:r>
          <m:t>T</m:t>
        </m:r>
      </m:oMath>
      <w:r>
        <w:t xml:space="preserve"> </w:t>
      </w:r>
      <w:r>
        <w:t xml:space="preserve">desloca a reta orçamentária paralelamente para cima, de</w:t>
      </w:r>
      <w:r>
        <w:t xml:space="preserve"> </w:t>
      </w: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oMath>
      <w:r>
        <w:t xml:space="preserve"> </w:t>
      </w:r>
      <w:r>
        <w:t xml:space="preserve">para</w:t>
      </w:r>
      <w:r>
        <w:t xml:space="preserve"> </w:t>
      </w: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r>
          <m:rPr>
            <m:sty m:val="p"/>
          </m:rPr>
          <m:t>+</m:t>
        </m:r>
        <m:r>
          <m:t>T</m:t>
        </m:r>
      </m:oMath>
      <w:r>
        <w:t xml:space="preserve">. Note que, ao contrário de subsídios a bens específicos, a transferência em dinheiro</w:t>
      </w:r>
      <w:r>
        <w:t xml:space="preserve"> </w:t>
      </w:r>
      <w:r>
        <w:rPr>
          <w:b/>
          <w:bCs/>
        </w:rPr>
        <w:t xml:space="preserve">não altera preços relativos</w:t>
      </w:r>
      <w:r>
        <w:t xml:space="preserve">, funcionando como um</w:t>
      </w:r>
      <w:r>
        <w:t xml:space="preserve"> </w:t>
      </w:r>
      <w:r>
        <w:rPr>
          <w:i/>
          <w:iCs/>
        </w:rPr>
        <w:t xml:space="preserve">lump sum</w:t>
      </w:r>
      <w:r>
        <w:t xml:space="preserve">. Pelo princípio do montante fixo (Seção 4.5), essa forma de transferência é mais eficiente do que subsídios a bens específicos, permitindo ao beneficiário maximizar sua utilidade de acordo com suas preferências individuais.</w:t>
      </w:r>
    </w:p>
    <w:p>
      <w:pPr>
        <w:pStyle w:val="BlockText"/>
      </w:pPr>
      <w:r>
        <w:rPr>
          <w:b/>
          <w:bCs/>
        </w:rPr>
        <w:t xml:space="preserve">Condicionalidades e o conjunto orçamentário</w:t>
      </w:r>
      <w:r>
        <w:t xml:space="preserve">: As condicionalidades do PBF (frequência escolar, vacinação, acompanhamento pré-natal) introduzem restrições adicionais ao problema do consumidor. Do ponto de vista formal, o conjunto orçamentário deixa de ser um simples triângulo: a família deve alocar um montante mínimo em</w:t>
      </w:r>
      <w:r>
        <w:t xml:space="preserve"> </w:t>
      </w:r>
      <w:r>
        <w:t xml:space="preserve">“bens meritórios”</w:t>
      </w:r>
      <w:r>
        <w:t xml:space="preserve"> </w:t>
      </w:r>
      <w:r>
        <w:t xml:space="preserve">(educação, saúde) para receber a transferência. Isso cria uma descontinuidade no conjunto de possibilidades de consumo.</w:t>
      </w:r>
    </w:p>
    <w:p>
      <w:pPr>
        <w:pStyle w:val="BlockText"/>
      </w:pPr>
      <w:r>
        <w:rPr>
          <w:b/>
          <w:bCs/>
        </w:rPr>
        <w:t xml:space="preserve">Evidências empíricas sobre padrões de consumo</w:t>
      </w:r>
      <w:r>
        <w:t xml:space="preserve">:</w:t>
      </w:r>
    </w:p>
    <w:p>
      <w:pPr>
        <w:pStyle w:val="Compact"/>
        <w:numPr>
          <w:ilvl w:val="0"/>
          <w:numId w:val="1142"/>
        </w:numPr>
      </w:pPr>
      <w:r>
        <w:t xml:space="preserve">Estudos do</w:t>
      </w:r>
      <w:r>
        <w:t xml:space="preserve"> </w:t>
      </w:r>
      <w:hyperlink r:id="rId214">
        <w:r>
          <w:rPr>
            <w:rStyle w:val="Hyperlink"/>
          </w:rPr>
          <w:t xml:space="preserve">IPEA</w:t>
        </w:r>
      </w:hyperlink>
      <w:r>
        <w:t xml:space="preserve"> </w:t>
      </w:r>
      <w:r>
        <w:t xml:space="preserve">mostram que famílias beneficiárias gastam proporcionalmente mais com</w:t>
      </w:r>
      <w:r>
        <w:t xml:space="preserve"> </w:t>
      </w:r>
      <w:r>
        <w:rPr>
          <w:b/>
          <w:bCs/>
        </w:rPr>
        <w:t xml:space="preserve">alimentação</w:t>
      </w:r>
      <w:r>
        <w:t xml:space="preserve"> </w:t>
      </w:r>
      <w:r>
        <w:t xml:space="preserve">(especialmente alimentos de maior qualidade nutricional) e</w:t>
      </w:r>
      <w:r>
        <w:t xml:space="preserve"> </w:t>
      </w:r>
      <w:r>
        <w:rPr>
          <w:b/>
          <w:bCs/>
        </w:rPr>
        <w:t xml:space="preserve">material escolar</w:t>
      </w:r>
      <w:r>
        <w:t xml:space="preserve"> </w:t>
      </w:r>
      <w:r>
        <w:t xml:space="preserve">do que famílias com renda similar não beneficiárias (Soares e Sátyro, 2009).</w:t>
      </w:r>
    </w:p>
    <w:p>
      <w:pPr>
        <w:pStyle w:val="Compact"/>
        <w:numPr>
          <w:ilvl w:val="0"/>
          <w:numId w:val="1142"/>
        </w:numPr>
      </w:pPr>
      <w:r>
        <w:t xml:space="preserve">Evidências de Resende e Oliveira (2008) indicam que a propensão marginal a consumir dos beneficiários é elevada (acima de 0,80), consistente com a teoria microeconômica para famílias na faixa de renda onde a utilidade marginal da renda é alta.</w:t>
      </w:r>
    </w:p>
    <w:p>
      <w:pPr>
        <w:pStyle w:val="Compact"/>
        <w:numPr>
          <w:ilvl w:val="0"/>
          <w:numId w:val="1142"/>
        </w:numPr>
      </w:pPr>
      <w:r>
        <w:t xml:space="preserve">A</w:t>
      </w:r>
      <w:r>
        <w:t xml:space="preserve"> </w:t>
      </w:r>
      <w:r>
        <w:rPr>
          <w:b/>
          <w:bCs/>
        </w:rPr>
        <w:t xml:space="preserve">diversificação da cesta de consumo</w:t>
      </w:r>
      <w:r>
        <w:t xml:space="preserve"> </w:t>
      </w:r>
      <w:r>
        <w:t xml:space="preserve">aumentou significativamente: famílias beneficiárias passaram a incluir frutas, verduras e proteínas animais com maior frequência, refletindo um deslocamento ao longo de curvas de indiferença em direção a cestas mais balanceadas.</w:t>
      </w:r>
    </w:p>
    <w:p>
      <w:pPr>
        <w:pStyle w:val="Compact"/>
        <w:numPr>
          <w:ilvl w:val="0"/>
          <w:numId w:val="1142"/>
        </w:numPr>
      </w:pPr>
      <w:r>
        <w:t xml:space="preserve">Dados do Cadastro Único e da POF 2017–2018 mostram que a parcela de gastos com alimentação diminuiu de cerca de 45% para 38% entre beneficiários entre 2008 e 2018, indicando movimento ao longo da curva de Engel.</w:t>
      </w:r>
    </w:p>
    <w:p>
      <w:pPr>
        <w:pStyle w:val="BlockText"/>
      </w:pPr>
      <w:r>
        <w:t xml:space="preserve">Do ponto de vista da teoria do consumidor, o PBF exemplifica de forma concreta os conceitos de deslocamento da restrição orçamentária, eficiência de transferências</w:t>
      </w:r>
      <w:r>
        <w:t xml:space="preserve"> </w:t>
      </w:r>
      <w:r>
        <w:rPr>
          <w:i/>
          <w:iCs/>
        </w:rPr>
        <w:t xml:space="preserve">lump sum</w:t>
      </w:r>
      <w:r>
        <w:t xml:space="preserve"> </w:t>
      </w:r>
      <w:r>
        <w:t xml:space="preserve">e a relação entre renda e composição da cesta de consumo.</w:t>
      </w:r>
    </w:p>
    <w:p>
      <w:pPr>
        <w:pStyle w:val="BlockText"/>
      </w:pPr>
      <w:r>
        <w:rPr>
          <w:b/>
          <w:bCs/>
        </w:rPr>
        <w:t xml:space="preserve">Fontes</w:t>
      </w:r>
      <w:r>
        <w:t xml:space="preserve">: SOARES, F. V.; SÁTYRO, N.</w:t>
      </w:r>
      <w:r>
        <w:t xml:space="preserve"> </w:t>
      </w:r>
      <w:r>
        <w:rPr>
          <w:i/>
          <w:iCs/>
        </w:rPr>
        <w:t xml:space="preserve">O Programa Bolsa Família: desenho institucional, impactos e possibilidades futuras</w:t>
      </w:r>
      <w:r>
        <w:t xml:space="preserve">. Texto para Discussão IPEA, n. 1424, 2009. RESENDE, A. C. C.; OLIVEIRA, A. M. H. C. Avaliando resultados de um programa de transferência de renda: o impacto do Bolsa-Escola sobre os gastos das famílias brasileiras.</w:t>
      </w:r>
      <w:r>
        <w:t xml:space="preserve"> </w:t>
      </w:r>
      <w:r>
        <w:rPr>
          <w:i/>
          <w:iCs/>
        </w:rPr>
        <w:t xml:space="preserve">Estudos Econômicos</w:t>
      </w:r>
      <w:r>
        <w:t xml:space="preserve">, v. 38, n. 2, p. 235–265, 2008.</w:t>
      </w:r>
      <w:r>
        <w:t xml:space="preserve"> </w:t>
      </w:r>
      <w:hyperlink r:id="rId198">
        <w:r>
          <w:rPr>
            <w:rStyle w:val="Hyperlink"/>
          </w:rPr>
          <w:t xml:space="preserve">MDS</w:t>
        </w:r>
      </w:hyperlink>
      <w:r>
        <w:t xml:space="preserve"> </w:t>
      </w:r>
      <w:r>
        <w:t xml:space="preserve">— Ministério do Desenvolvimento Social, dados administrativos.</w:t>
      </w:r>
    </w:p>
    <w:p>
      <w:pPr>
        <w:pStyle w:val="BlockText"/>
      </w:pPr>
      <w:r>
        <w:rPr>
          <w:b/>
          <w:bCs/>
        </w:rPr>
        <w:t xml:space="preserve">[BOX BRASIL] Box Brasil 4.4 — Endividamento das famílias e a restrição orçamentária intertemporal</w:t>
      </w:r>
    </w:p>
    <w:p>
      <w:pPr>
        <w:pStyle w:val="BlockText"/>
      </w:pPr>
      <w:r>
        <w:t xml:space="preserve">O crédito permite que famílias consumam além de sua renda corrente, expandindo a restrição orçamentária no presente à custa de contraí-la no futuro. No Brasil, o endividamento das famílias cresceu expressivamente nas últimas décadas. Segundo o</w:t>
      </w:r>
      <w:r>
        <w:t xml:space="preserve"> </w:t>
      </w:r>
      <w:hyperlink r:id="rId215">
        <w:r>
          <w:rPr>
            <w:rStyle w:val="Hyperlink"/>
          </w:rPr>
          <w:t xml:space="preserve">Banco Central do Brasil</w:t>
        </w:r>
      </w:hyperlink>
      <w:r>
        <w:t xml:space="preserve"> </w:t>
      </w:r>
      <w:r>
        <w:t xml:space="preserve">(BCB), o nível de endividamento das famílias — medido pela razão entre o saldo de dívidas com o Sistema Financeiro Nacional e a renda acumulada em 12 meses — alcançou 53,1% em meados de 2022, o maior patamar da série histórica.</w:t>
      </w:r>
    </w:p>
    <w:p>
      <w:pPr>
        <w:pStyle w:val="BlockText"/>
      </w:pPr>
      <w:r>
        <w:t xml:space="preserve">Do ponto de vista da teoria do consumidor, o acesso ao crédito modifica o conjunto orçamentário. Sem crédito, a restrição é</w:t>
      </w:r>
      <w:r>
        <w:t xml:space="preserve"> </w:t>
      </w: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oMath>
      <w:r>
        <w:t xml:space="preserve">. Com crédito a uma taxa de juros</w:t>
      </w:r>
      <w:r>
        <w:t xml:space="preserve"> </w:t>
      </w:r>
      <m:oMath>
        <m:r>
          <m:t>r</m:t>
        </m:r>
      </m:oMath>
      <w:r>
        <w:t xml:space="preserve">, a família pode consumir no presente um valor superior a</w:t>
      </w:r>
      <w:r>
        <w:t xml:space="preserve"> </w:t>
      </w:r>
      <m:oMath>
        <m:r>
          <m:t>I</m:t>
        </m:r>
      </m:oMath>
      <w:r>
        <w:t xml:space="preserve">, desde que o valor presente dos pagamentos futuros não exceda o valor presente da renda futura. A Pesquisa de Endividamento e Inadimplência do Consumidor (PEIC/</w:t>
      </w:r>
      <w:hyperlink r:id="rId216">
        <w:r>
          <w:rPr>
            <w:rStyle w:val="Hyperlink"/>
          </w:rPr>
          <w:t xml:space="preserve">CNC</w:t>
        </w:r>
      </w:hyperlink>
      <w:r>
        <w:t xml:space="preserve">) indicou que, em 2022, 77,9% das famílias brasileiras possuíam algum tipo de dívida, sendo o cartão de crédito a principal modalidade.</w:t>
      </w:r>
    </w:p>
    <w:p>
      <w:pPr>
        <w:pStyle w:val="BlockText"/>
      </w:pPr>
      <w:r>
        <w:t xml:space="preserve">A elevada taxa de juros brasileira — com o cartão de crédito rotativo superando 440% ao ano em 2023 (BCB) — implica que o preço intertemporal do consumo presente é muito alto no Brasil comparado a outros países, estreitando severamente a restrição orçamentária futura das famílias endividadas.</w:t>
      </w:r>
    </w:p>
    <w:p>
      <w:pPr>
        <w:pStyle w:val="BlockText"/>
      </w:pPr>
      <w:r>
        <w:rPr>
          <w:b/>
          <w:bCs/>
        </w:rPr>
        <w:t xml:space="preserve">Fonte</w:t>
      </w:r>
      <w:r>
        <w:t xml:space="preserve">: BCB, Relatório de Economia Bancária, 2022; CNC, Pesquisa de Endividamento e Inadimplência do Consumidor (PEIC), 2022.</w:t>
      </w:r>
    </w:p>
    <w:p>
      <w:pPr>
        <w:pStyle w:val="FirstParagraph"/>
      </w:pPr>
      <w:r>
        <w:t xml:space="preserve">Se este capítulo funcionou, você sai dele com três convicções:</w:t>
      </w:r>
    </w:p>
    <w:p>
      <w:pPr>
        <w:pStyle w:val="Compact"/>
        <w:numPr>
          <w:ilvl w:val="0"/>
          <w:numId w:val="1143"/>
        </w:numPr>
      </w:pPr>
      <w:r>
        <w:rPr>
          <w:b/>
          <w:bCs/>
        </w:rPr>
        <w:t xml:space="preserve">Tangência é tudo.</w:t>
      </w:r>
      <w:r>
        <w:t xml:space="preserve"> </w:t>
      </w:r>
      <w:r>
        <w:t xml:space="preserve">A condição TMS = razão de preços não é um resultado técnico — é a afirmação de que, no ótimo, o valor subjetivo de um bem (para o consumidor) coincide com seu valor objetivo (no mercado). Quando os dois divergem, há ganho não explorado.</w:t>
      </w:r>
    </w:p>
    <w:p>
      <w:pPr>
        <w:pStyle w:val="Compact"/>
        <w:numPr>
          <w:ilvl w:val="0"/>
          <w:numId w:val="1143"/>
        </w:numPr>
      </w:pPr>
      <w:r>
        <w:rPr>
          <w:b/>
          <w:bCs/>
        </w:rPr>
        <w:t xml:space="preserve">A dualidade não é abstração — é poder.</w:t>
      </w:r>
      <w:r>
        <w:t xml:space="preserve"> </w:t>
      </w:r>
      <w:r>
        <w:t xml:space="preserve">Saber que</w:t>
      </w:r>
      <w:r>
        <w:t xml:space="preserve"> </w:t>
      </w:r>
      <m:oMath>
        <m:r>
          <m:t>V</m:t>
        </m:r>
      </m:oMath>
      <w:r>
        <w:t xml:space="preserve"> </w:t>
      </w:r>
      <w:r>
        <w:t xml:space="preserve">e</w:t>
      </w:r>
      <w:r>
        <w:t xml:space="preserve"> </w:t>
      </w:r>
      <m:oMath>
        <m:r>
          <m:t>E</m:t>
        </m:r>
      </m:oMath>
      <w:r>
        <w:t xml:space="preserve"> </w:t>
      </w:r>
      <w:r>
        <w:t xml:space="preserve">são inversas significa que você pode atacar qualquer problema do consumidor pelo lado que for mais conveniente. Na prática empírica, isso faz toda a diferença: estimar</w:t>
      </w:r>
      <w:r>
        <w:t xml:space="preserve"> </w:t>
      </w:r>
      <m:oMath>
        <m:r>
          <m:t>E</m:t>
        </m:r>
      </m:oMath>
      <w:r>
        <w:t xml:space="preserve"> </w:t>
      </w:r>
      <w:r>
        <w:t xml:space="preserve">e aplicar Shephard é frequentemente mais fácil do que resolver o problema primal.</w:t>
      </w:r>
    </w:p>
    <w:p>
      <w:pPr>
        <w:pStyle w:val="Compact"/>
        <w:numPr>
          <w:ilvl w:val="0"/>
          <w:numId w:val="1143"/>
        </w:numPr>
      </w:pPr>
      <w:r>
        <w:rPr>
          <w:b/>
          <w:bCs/>
        </w:rPr>
        <w:t xml:space="preserve">Lump sum domina — em teoria.</w:t>
      </w:r>
      <w:r>
        <w:t xml:space="preserve"> </w:t>
      </w:r>
      <w:r>
        <w:t xml:space="preserve">O princípio do montante fixo é uma das implicações mais limpas da teoria, e sua lógica está por trás do argumento em favor de transferências diretas de renda. Mas as ressalvas (informação, equidade, viabilidade política) são tão importantes quanto o resultado.</w:t>
      </w:r>
    </w:p>
    <w:p>
      <w:pPr>
        <w:pStyle w:val="FirstParagraph"/>
      </w:pPr>
      <w:r>
        <w:t xml:space="preserve">O consumidor encontrou sua cesta ótima. Mas o mundo não fica parado: preços mudam, rendas flutuam, governos criam impostos. O que acontece com a cesta ótima quando o chão se move? Essa é a pergunta do Capítulo 5 — onde Slutsky entra em cena.</w:t>
      </w:r>
    </w:p>
    <w:p>
      <w:pPr>
        <w:pStyle w:val="BodyText"/>
      </w:pPr>
      <w:r>
        <w:rPr>
          <w:i/>
          <w:iCs/>
        </w:rPr>
        <w:t xml:space="preserve">O consumidor está em paz no seu ótimo. No próximo capítulo, perturbamos essa paz — e Slutsky nos ensina a decompor o caos.</w:t>
      </w:r>
    </w:p>
    <w:bookmarkEnd w:id="217"/>
    <w:bookmarkEnd w:id="218"/>
    <w:bookmarkStart w:id="224" w:name="exercícios-e-anpec-2"/>
    <w:p>
      <w:pPr>
        <w:pStyle w:val="Heading2"/>
      </w:pPr>
      <w:r>
        <w:t xml:space="preserve">Exercícios e ANPEC</w:t>
      </w:r>
    </w:p>
    <w:p>
      <w:pPr>
        <w:pStyle w:val="FirstParagraph"/>
      </w:pPr>
      <w:r>
        <w:t xml:space="preserve">[FIGURA INTERATIVA: /micro-book/graficos/cap04/webr-demandas.html — versao interativa disponivel online]</w:t>
      </w:r>
    </w:p>
    <w:p>
      <w:pPr>
        <w:pStyle w:val="BodyText"/>
      </w:pPr>
      <w:r>
        <w:rPr>
          <w:b/>
          <w:bCs/>
        </w:rPr>
        <w:t xml:space="preserve">WebR 4.1 — Marshalliana vs. Hicksiana.</w:t>
      </w:r>
      <w:r>
        <w:t xml:space="preserve"> </w:t>
      </w:r>
      <w:r>
        <w:t xml:space="preserve">Visualize como as duas curvas de demanda se cruzam no ponto base (a dualidade em ação). Altere α para ver como a fração de gastos muda e como as demandas respondem.</w:t>
      </w:r>
    </w:p>
    <w:p>
      <w:pPr>
        <w:pStyle w:val="BodyText"/>
      </w:pPr>
      <w:r>
        <w:t xml:space="preserve">[FIGURA INTERATIVA: /micro-book/graficos/cap04/webr-roy.html — versao interativa disponivel online]</w:t>
      </w:r>
    </w:p>
    <w:p>
      <w:pPr>
        <w:pStyle w:val="BodyText"/>
      </w:pPr>
      <w:r>
        <w:rPr>
          <w:b/>
          <w:bCs/>
        </w:rPr>
        <w:t xml:space="preserve">WebR 4.2 — Identidade de Roy: da V(p,m) à demanda.</w:t>
      </w:r>
      <w:r>
        <w:t xml:space="preserve"> </w:t>
      </w:r>
      <w:r>
        <w:t xml:space="preserve">Recupere a demanda marshalliana a partir da utilidade indireta, sem resolver o problema de otimização novamente. O código verifica numericamente que x* = −(∂V/∂pₓ)/(∂V/∂m).</w:t>
      </w:r>
    </w:p>
    <w:p>
      <w:pPr>
        <w:pStyle w:val="BodyText"/>
      </w:pPr>
      <w:r>
        <w:t xml:space="preserve">[FIGURA INTERATIVA: /micro-book/graficos/cap04/webr-lump-sum.html — versao interativa disponivel online]</w:t>
      </w:r>
    </w:p>
    <w:p>
      <w:pPr>
        <w:pStyle w:val="BodyText"/>
      </w:pPr>
      <w:r>
        <w:rPr>
          <w:b/>
          <w:bCs/>
        </w:rPr>
        <w:t xml:space="preserve">WebR 4.3 — Princípio Lump Sum.</w:t>
      </w:r>
      <w:r>
        <w:t xml:space="preserve"> </w:t>
      </w:r>
      <w:r>
        <w:t xml:space="preserve">Compare um imposto específico (que distorce preços relativos) com um lump sum de mesma receita. O consumidor sempre prefere o lump sum — veja a diferença em utilidade e no gráfico.</w:t>
      </w:r>
    </w:p>
    <w:p>
      <w:pPr>
        <w:pStyle w:val="BodyText"/>
      </w:pPr>
      <w:r>
        <w:t xml:space="preserve">[FIGURA INTERATIVA: /micro-book/graficos/cap04/webr-shephard.html — versao interativa disponivel online]</w:t>
      </w:r>
    </w:p>
    <w:p>
      <w:pPr>
        <w:pStyle w:val="BodyText"/>
      </w:pPr>
      <w:r>
        <w:rPr>
          <w:b/>
          <w:bCs/>
        </w:rPr>
        <w:t xml:space="preserve">WebR 4.4 — Lema de Shephard e função dispêndio.</w:t>
      </w:r>
      <w:r>
        <w:t xml:space="preserve"> </w:t>
      </w:r>
      <w:r>
        <w:t xml:space="preserve">Verifique que ∂E/∂pᵢ = hᵢ (demanda hicksiana). A concavidade de E em preços garante que a demanda compensada é negativamente inclinada — a lei da demanda sem exceções.</w:t>
      </w:r>
    </w:p>
    <w:p>
      <w:r>
        <w:pict>
          <v:rect style="width:0;height:1.5pt" o:hralign="center" o:hrstd="t" o:hr="t"/>
        </w:pict>
      </w:r>
    </w:p>
    <w:p>
      <w:pPr>
        <w:pStyle w:val="BlockText"/>
      </w:pPr>
      <w:r>
        <w:rPr>
          <w:b/>
          <w:bCs/>
        </w:rPr>
        <w:t xml:space="preserve">[ATIVIDADE DE SALA] Atividade 4.1 — Lump sum vs. imposto específico: o duelo tributário (20 min)</w:t>
      </w:r>
    </w:p>
    <w:p>
      <w:pPr>
        <w:pStyle w:val="BlockText"/>
      </w:pPr>
      <w:r>
        <w:rPr>
          <w:b/>
          <w:bCs/>
        </w:rPr>
        <w:t xml:space="preserve">Objetivo:</w:t>
      </w:r>
      <w:r>
        <w:t xml:space="preserve"> </w:t>
      </w:r>
      <w:r>
        <w:t xml:space="preserve">Demonstrar visualmente e numericamente que um imposto</w:t>
      </w:r>
      <w:r>
        <w:t xml:space="preserve"> </w:t>
      </w:r>
      <w:r>
        <w:rPr>
          <w:i/>
          <w:iCs/>
        </w:rPr>
        <w:t xml:space="preserve">lump sum</w:t>
      </w:r>
      <w:r>
        <w:t xml:space="preserve"> </w:t>
      </w:r>
      <w:r>
        <w:t xml:space="preserve">domina um imposto específico de mesma receita — o Princípio do Montante Fixo.</w:t>
      </w:r>
    </w:p>
    <w:p>
      <w:pPr>
        <w:pStyle w:val="BlockText"/>
      </w:pPr>
      <w:r>
        <w:rPr>
          <w:b/>
          <w:bCs/>
        </w:rPr>
        <w:t xml:space="preserve">Material:</w:t>
      </w:r>
      <w:r>
        <w:t xml:space="preserve"> </w:t>
      </w:r>
      <w:r>
        <w:t xml:space="preserve">Folha quadriculada, régua, caneta (duas cores).</w:t>
      </w:r>
    </w:p>
    <w:p>
      <w:pPr>
        <w:pStyle w:val="BlockText"/>
      </w:pPr>
      <w:r>
        <w:rPr>
          <w:b/>
          <w:bCs/>
        </w:rPr>
        <w:t xml:space="preserve">Protocolo:</w:t>
      </w:r>
    </w:p>
    <w:p>
      <w:pPr>
        <w:pStyle w:val="Compact"/>
        <w:numPr>
          <w:ilvl w:val="0"/>
          <w:numId w:val="1144"/>
        </w:numPr>
      </w:pPr>
      <w:r>
        <w:rPr>
          <w:b/>
          <w:bCs/>
        </w:rPr>
        <w:t xml:space="preserve">Setup</w:t>
      </w:r>
      <w:r>
        <w:t xml:space="preserve"> </w:t>
      </w:r>
      <w:r>
        <w:t xml:space="preserve">(3 min): Projete:</w:t>
      </w:r>
      <w:r>
        <w:t xml:space="preserve"> </w:t>
      </w:r>
      <m:oMath>
        <m:r>
          <m:t>U</m:t>
        </m:r>
        <m:r>
          <m:rPr>
            <m:sty m:val="p"/>
          </m:rPr>
          <m:t>=</m:t>
        </m:r>
        <m:sSubSup>
          <m:e>
            <m:r>
              <m:t>x</m:t>
            </m:r>
          </m:e>
          <m:sub>
            <m:r>
              <m:t>1</m:t>
            </m:r>
          </m:sub>
          <m:sup>
            <m:r>
              <m:t>1</m:t>
            </m:r>
            <m:r>
              <m:rPr>
                <m:sty m:val="p"/>
              </m:rPr>
              <m:t>/</m:t>
            </m:r>
            <m:r>
              <m:t>2</m:t>
            </m:r>
          </m:sup>
        </m:sSubSup>
        <m:r>
          <m:rPr>
            <m:sty m:val="p"/>
          </m:rPr>
          <m:t>⋅</m:t>
        </m:r>
        <m:sSubSup>
          <m:e>
            <m:r>
              <m:t>x</m:t>
            </m:r>
          </m:e>
          <m:sub>
            <m:r>
              <m:t>2</m:t>
            </m:r>
          </m:sub>
          <m:sup>
            <m:r>
              <m:t>1</m:t>
            </m:r>
            <m:r>
              <m:rPr>
                <m:sty m:val="p"/>
              </m:rPr>
              <m:t>/</m:t>
            </m:r>
            <m:r>
              <m:t>2</m:t>
            </m:r>
          </m:sup>
        </m:sSubSup>
      </m:oMath>
      <w:r>
        <w:t xml:space="preserve">,</w:t>
      </w:r>
      <w:r>
        <w:t xml:space="preserve"> </w:t>
      </w:r>
      <m:oMath>
        <m:sSub>
          <m:e>
            <m:r>
              <m:t>p</m:t>
            </m:r>
          </m:e>
          <m:sub>
            <m:r>
              <m:t>1</m:t>
            </m:r>
          </m:sub>
        </m:sSub>
        <m:r>
          <m:rPr>
            <m:sty m:val="p"/>
          </m:rPr>
          <m:t>=</m:t>
        </m:r>
        <m:r>
          <m:t>2</m:t>
        </m:r>
      </m:oMath>
      <w:r>
        <w:t xml:space="preserve">,</w:t>
      </w:r>
      <w:r>
        <w:t xml:space="preserve"> </w:t>
      </w:r>
      <m:oMath>
        <m:sSub>
          <m:e>
            <m:r>
              <m:t>p</m:t>
            </m:r>
          </m:e>
          <m:sub>
            <m:r>
              <m:t>2</m:t>
            </m:r>
          </m:sub>
        </m:sSub>
        <m:r>
          <m:rPr>
            <m:sty m:val="p"/>
          </m:rPr>
          <m:t>=</m:t>
        </m:r>
        <m:r>
          <m:t>1</m:t>
        </m:r>
      </m:oMath>
      <w:r>
        <w:t xml:space="preserve">,</w:t>
      </w:r>
      <w:r>
        <w:t xml:space="preserve"> </w:t>
      </w:r>
      <m:oMath>
        <m:r>
          <m:t>m</m:t>
        </m:r>
        <m:r>
          <m:rPr>
            <m:sty m:val="p"/>
          </m:rPr>
          <m:t>=</m:t>
        </m:r>
        <m:r>
          <m:t>120</m:t>
        </m:r>
      </m:oMath>
      <w:r>
        <w:t xml:space="preserve">. Peça que encontrem a cesta ótima. Resposta:</w:t>
      </w:r>
      <w:r>
        <w:t xml:space="preserve"> </w:t>
      </w:r>
      <m:oMath>
        <m:sSubSup>
          <m:e>
            <m:r>
              <m:t>x</m:t>
            </m:r>
          </m:e>
          <m:sub>
            <m:r>
              <m:t>1</m:t>
            </m:r>
          </m:sub>
          <m:sup>
            <m:r>
              <m:rPr>
                <m:sty m:val="p"/>
              </m:rPr>
              <m:t>*</m:t>
            </m:r>
          </m:sup>
        </m:sSubSup>
        <m:r>
          <m:rPr>
            <m:sty m:val="p"/>
          </m:rPr>
          <m:t>=</m:t>
        </m:r>
        <m:r>
          <m:t>30</m:t>
        </m:r>
      </m:oMath>
      <w:r>
        <w:t xml:space="preserve">,</w:t>
      </w:r>
      <w:r>
        <w:t xml:space="preserve"> </w:t>
      </w:r>
      <m:oMath>
        <m:sSubSup>
          <m:e>
            <m:r>
              <m:t>x</m:t>
            </m:r>
          </m:e>
          <m:sub>
            <m:r>
              <m:t>2</m:t>
            </m:r>
          </m:sub>
          <m:sup>
            <m:r>
              <m:rPr>
                <m:sty m:val="p"/>
              </m:rPr>
              <m:t>*</m:t>
            </m:r>
          </m:sup>
        </m:sSubSup>
        <m:r>
          <m:rPr>
            <m:sty m:val="p"/>
          </m:rPr>
          <m:t>=</m:t>
        </m:r>
        <m:r>
          <m:t>60</m:t>
        </m:r>
      </m:oMath>
      <w:r>
        <w:t xml:space="preserve">,</w:t>
      </w:r>
      <w:r>
        <w:t xml:space="preserve"> </w:t>
      </w:r>
      <m:oMath>
        <m:sSup>
          <m:e>
            <m:r>
              <m:t>U</m:t>
            </m:r>
          </m:e>
          <m:sup>
            <m:r>
              <m:rPr>
                <m:sty m:val="p"/>
              </m:rPr>
              <m:t>*</m:t>
            </m:r>
          </m:sup>
        </m:sSup>
        <m:r>
          <m:rPr>
            <m:sty m:val="p"/>
          </m:rPr>
          <m:t>=</m:t>
        </m:r>
        <m:rad>
          <m:radPr>
            <m:degHide m:val="on"/>
          </m:radPr>
          <m:deg/>
          <m:e>
            <m:r>
              <m:t>1800</m:t>
            </m:r>
          </m:e>
        </m:rad>
        <m:r>
          <m:rPr>
            <m:sty m:val="p"/>
          </m:rPr>
          <m:t>≈</m:t>
        </m:r>
        <m:r>
          <m:t>42</m:t>
        </m:r>
        <m:r>
          <m:rPr>
            <m:sty m:val="p"/>
          </m:rPr>
          <m:t>,</m:t>
        </m:r>
        <m:r>
          <m:t>4</m:t>
        </m:r>
      </m:oMath>
      <w:r>
        <w:t xml:space="preserve">.</w:t>
      </w:r>
    </w:p>
    <w:p>
      <w:pPr>
        <w:pStyle w:val="Compact"/>
        <w:numPr>
          <w:ilvl w:val="0"/>
          <w:numId w:val="1144"/>
        </w:numPr>
      </w:pPr>
      <w:r>
        <w:rPr>
          <w:b/>
          <w:bCs/>
        </w:rPr>
        <w:t xml:space="preserve">Imposto específico</w:t>
      </w:r>
      <w:r>
        <w:t xml:space="preserve"> </w:t>
      </w:r>
      <w:r>
        <w:t xml:space="preserve">(5 min):</w:t>
      </w:r>
      <w:r>
        <w:t xml:space="preserve"> </w:t>
      </w:r>
      <w:r>
        <w:t xml:space="preserve">“O governo taxa o bem 1 em R$ 1 por unidade (</w:t>
      </w:r>
      <m:oMath>
        <m:sSubSup>
          <m:e>
            <m:r>
              <m:t>p</m:t>
            </m:r>
          </m:e>
          <m:sub>
            <m:r>
              <m:t>1</m:t>
            </m:r>
          </m:sub>
          <m:sup>
            <m:r>
              <m:rPr>
                <m:sty m:val="p"/>
              </m:rPr>
              <m:t>′</m:t>
            </m:r>
          </m:sup>
        </m:sSubSup>
        <m:r>
          <m:rPr>
            <m:sty m:val="p"/>
          </m:rPr>
          <m:t>=</m:t>
        </m:r>
        <m:r>
          <m:t>3</m:t>
        </m:r>
      </m:oMath>
      <w:r>
        <w:t xml:space="preserve">). Encontre a nova cesta e a receita tributária.”</w:t>
      </w:r>
      <w:r>
        <w:t xml:space="preserve"> </w:t>
      </w:r>
      <w:r>
        <w:t xml:space="preserve">→</w:t>
      </w:r>
      <w:r>
        <w:t xml:space="preserve"> </w:t>
      </w:r>
      <m:oMath>
        <m:sSubSup>
          <m:e>
            <m:r>
              <m:t>x</m:t>
            </m:r>
          </m:e>
          <m:sub>
            <m:r>
              <m:t>1</m:t>
            </m:r>
          </m:sub>
          <m:sup>
            <m:r>
              <m:rPr>
                <m:sty m:val="p"/>
              </m:rPr>
              <m:t>′</m:t>
            </m:r>
          </m:sup>
        </m:sSubSup>
        <m:r>
          <m:rPr>
            <m:sty m:val="p"/>
          </m:rPr>
          <m:t>=</m:t>
        </m:r>
        <m:r>
          <m:t>20</m:t>
        </m:r>
      </m:oMath>
      <w:r>
        <w:t xml:space="preserve">,</w:t>
      </w:r>
      <w:r>
        <w:t xml:space="preserve"> </w:t>
      </w:r>
      <m:oMath>
        <m:sSubSup>
          <m:e>
            <m:r>
              <m:t>x</m:t>
            </m:r>
          </m:e>
          <m:sub>
            <m:r>
              <m:t>2</m:t>
            </m:r>
          </m:sub>
          <m:sup>
            <m:r>
              <m:rPr>
                <m:sty m:val="p"/>
              </m:rPr>
              <m:t>′</m:t>
            </m:r>
          </m:sup>
        </m:sSubSup>
        <m:r>
          <m:rPr>
            <m:sty m:val="p"/>
          </m:rPr>
          <m:t>=</m:t>
        </m:r>
        <m:r>
          <m:t>60</m:t>
        </m:r>
      </m:oMath>
      <w:r>
        <w:t xml:space="preserve">, receita =</w:t>
      </w:r>
      <w:r>
        <w:t xml:space="preserve"> </w:t>
      </w:r>
      <m:oMath>
        <m:r>
          <m:t>1</m:t>
        </m:r>
        <m:r>
          <m:rPr>
            <m:sty m:val="p"/>
          </m:rPr>
          <m:t>×</m:t>
        </m:r>
        <m:r>
          <m:t>20</m:t>
        </m:r>
        <m:r>
          <m:rPr>
            <m:sty m:val="p"/>
          </m:rPr>
          <m:t>=</m:t>
        </m:r>
        <m:r>
          <m:t>20</m:t>
        </m:r>
      </m:oMath>
      <w:r>
        <w:t xml:space="preserve">,</w:t>
      </w:r>
      <w:r>
        <w:t xml:space="preserve"> </w:t>
      </w:r>
      <m:oMath>
        <m:sSup>
          <m:e>
            <m:r>
              <m:t>U</m:t>
            </m:r>
          </m:e>
          <m:sup>
            <m:r>
              <m:rPr>
                <m:sty m:val="p"/>
              </m:rPr>
              <m:t>′</m:t>
            </m:r>
          </m:sup>
        </m:sSup>
        <m:r>
          <m:rPr>
            <m:sty m:val="p"/>
          </m:rPr>
          <m:t>=</m:t>
        </m:r>
        <m:rad>
          <m:radPr>
            <m:degHide m:val="on"/>
          </m:radPr>
          <m:deg/>
          <m:e>
            <m:r>
              <m:t>1200</m:t>
            </m:r>
          </m:e>
        </m:rad>
        <m:r>
          <m:rPr>
            <m:sty m:val="p"/>
          </m:rPr>
          <m:t>≈</m:t>
        </m:r>
        <m:r>
          <m:t>34</m:t>
        </m:r>
        <m:r>
          <m:rPr>
            <m:sty m:val="p"/>
          </m:rPr>
          <m:t>,</m:t>
        </m:r>
        <m:r>
          <m:t>6</m:t>
        </m:r>
      </m:oMath>
      <w:r>
        <w:t xml:space="preserve">.</w:t>
      </w:r>
    </w:p>
    <w:p>
      <w:pPr>
        <w:pStyle w:val="Compact"/>
        <w:numPr>
          <w:ilvl w:val="0"/>
          <w:numId w:val="1144"/>
        </w:numPr>
      </w:pPr>
      <w:r>
        <w:rPr>
          <w:b/>
          <w:bCs/>
        </w:rPr>
        <w:t xml:space="preserve">Lump sum de mesma receita</w:t>
      </w:r>
      <w:r>
        <w:t xml:space="preserve"> </w:t>
      </w:r>
      <w:r>
        <w:t xml:space="preserve">(5 min):</w:t>
      </w:r>
      <w:r>
        <w:t xml:space="preserve"> </w:t>
      </w:r>
      <w:r>
        <w:t xml:space="preserve">“Agora o governo cobra R$ 20 de imposto fixo. Preços voltam ao original, renda cai para</w:t>
      </w:r>
      <w:r>
        <w:t xml:space="preserve"> </w:t>
      </w:r>
      <m:oMath>
        <m:sSup>
          <m:e>
            <m:r>
              <m:t>m</m:t>
            </m:r>
          </m:e>
          <m:sup>
            <m:r>
              <m:rPr>
                <m:sty m:val="p"/>
              </m:rPr>
              <m:t>′</m:t>
            </m:r>
          </m:sup>
        </m:sSup>
        <m:r>
          <m:rPr>
            <m:sty m:val="p"/>
          </m:rPr>
          <m:t>=</m:t>
        </m:r>
        <m:r>
          <m:t>100</m:t>
        </m:r>
      </m:oMath>
      <w:r>
        <w:t xml:space="preserve">.”</w:t>
      </w:r>
      <w:r>
        <w:t xml:space="preserve"> </w:t>
      </w:r>
      <w:r>
        <w:t xml:space="preserve">→</w:t>
      </w:r>
      <w:r>
        <w:t xml:space="preserve"> </w:t>
      </w:r>
      <m:oMath>
        <m:sSubSup>
          <m:e>
            <m:r>
              <m:t>x</m:t>
            </m:r>
          </m:e>
          <m:sub>
            <m:r>
              <m:t>1</m:t>
            </m:r>
          </m:sub>
          <m:sup>
            <m:r>
              <m:rPr>
                <m:sty m:val="p"/>
              </m:rPr>
              <m:t>″</m:t>
            </m:r>
          </m:sup>
        </m:sSubSup>
        <m:r>
          <m:rPr>
            <m:sty m:val="p"/>
          </m:rPr>
          <m:t>=</m:t>
        </m:r>
        <m:r>
          <m:t>25</m:t>
        </m:r>
      </m:oMath>
      <w:r>
        <w:t xml:space="preserve">,</w:t>
      </w:r>
      <w:r>
        <w:t xml:space="preserve"> </w:t>
      </w:r>
      <m:oMath>
        <m:sSubSup>
          <m:e>
            <m:r>
              <m:t>x</m:t>
            </m:r>
          </m:e>
          <m:sub>
            <m:r>
              <m:t>2</m:t>
            </m:r>
          </m:sub>
          <m:sup>
            <m:r>
              <m:rPr>
                <m:sty m:val="p"/>
              </m:rPr>
              <m:t>″</m:t>
            </m:r>
          </m:sup>
        </m:sSubSup>
        <m:r>
          <m:rPr>
            <m:sty m:val="p"/>
          </m:rPr>
          <m:t>=</m:t>
        </m:r>
        <m:r>
          <m:t>50</m:t>
        </m:r>
      </m:oMath>
      <w:r>
        <w:t xml:space="preserve">,</w:t>
      </w:r>
      <w:r>
        <w:t xml:space="preserve"> </w:t>
      </w:r>
      <m:oMath>
        <m:sSup>
          <m:e>
            <m:r>
              <m:t>U</m:t>
            </m:r>
          </m:e>
          <m:sup>
            <m:r>
              <m:rPr>
                <m:sty m:val="p"/>
              </m:rPr>
              <m:t>″</m:t>
            </m:r>
          </m:sup>
        </m:sSup>
        <m:r>
          <m:rPr>
            <m:sty m:val="p"/>
          </m:rPr>
          <m:t>=</m:t>
        </m:r>
        <m:rad>
          <m:radPr>
            <m:degHide m:val="on"/>
          </m:radPr>
          <m:deg/>
          <m:e>
            <m:r>
              <m:t>1250</m:t>
            </m:r>
          </m:e>
        </m:rad>
        <m:r>
          <m:rPr>
            <m:sty m:val="p"/>
          </m:rPr>
          <m:t>≈</m:t>
        </m:r>
        <m:r>
          <m:t>35</m:t>
        </m:r>
        <m:r>
          <m:rPr>
            <m:sty m:val="p"/>
          </m:rPr>
          <m:t>,</m:t>
        </m:r>
        <m:r>
          <m:t>4</m:t>
        </m:r>
      </m:oMath>
      <w:r>
        <w:t xml:space="preserve">.</w:t>
      </w:r>
    </w:p>
    <w:p>
      <w:pPr>
        <w:pStyle w:val="Compact"/>
        <w:numPr>
          <w:ilvl w:val="0"/>
          <w:numId w:val="1144"/>
        </w:numPr>
      </w:pPr>
      <w:r>
        <w:rPr>
          <w:b/>
          <w:bCs/>
        </w:rPr>
        <w:t xml:space="preserve">Comparação</w:t>
      </w:r>
      <w:r>
        <w:t xml:space="preserve"> </w:t>
      </w:r>
      <w:r>
        <w:t xml:space="preserve">(3 min): Projete lado a lado: mesma receita (R$ 20), mas</w:t>
      </w:r>
      <w:r>
        <w:t xml:space="preserve"> </w:t>
      </w:r>
      <m:oMath>
        <m:sSup>
          <m:e>
            <m:r>
              <m:t>U</m:t>
            </m:r>
          </m:e>
          <m:sup>
            <m:r>
              <m:rPr>
                <m:sty m:val="p"/>
              </m:rPr>
              <m:t>″</m:t>
            </m:r>
          </m:sup>
        </m:sSup>
        <m:r>
          <m:rPr>
            <m:sty m:val="p"/>
          </m:rPr>
          <m:t>&gt;</m:t>
        </m:r>
        <m:sSup>
          <m:e>
            <m:r>
              <m:t>U</m:t>
            </m:r>
          </m:e>
          <m:sup>
            <m:r>
              <m:rPr>
                <m:sty m:val="p"/>
              </m:rPr>
              <m:t>′</m:t>
            </m:r>
          </m:sup>
        </m:sSup>
      </m:oMath>
      <w:r>
        <w:t xml:space="preserve">. O</w:t>
      </w:r>
      <w:r>
        <w:t xml:space="preserve"> </w:t>
      </w:r>
      <w:r>
        <w:rPr>
          <w:i/>
          <w:iCs/>
        </w:rPr>
        <w:t xml:space="preserve">lump sum</w:t>
      </w:r>
      <w:r>
        <w:t xml:space="preserve"> </w:t>
      </w:r>
      <w:r>
        <w:t xml:space="preserve">é melhor para o consumidor!</w:t>
      </w:r>
    </w:p>
    <w:p>
      <w:pPr>
        <w:pStyle w:val="Compact"/>
        <w:numPr>
          <w:ilvl w:val="0"/>
          <w:numId w:val="1144"/>
        </w:numPr>
      </w:pPr>
      <w:r>
        <w:rPr>
          <w:b/>
          <w:bCs/>
        </w:rPr>
        <w:t xml:space="preserve">Debrief</w:t>
      </w:r>
      <w:r>
        <w:t xml:space="preserve"> </w:t>
      </w:r>
      <w:r>
        <w:t xml:space="preserve">(4 min):</w:t>
      </w:r>
    </w:p>
    <w:p>
      <w:pPr>
        <w:pStyle w:val="Compact"/>
        <w:numPr>
          <w:ilvl w:val="1"/>
          <w:numId w:val="1145"/>
        </w:numPr>
      </w:pPr>
      <w:r>
        <w:t xml:space="preserve">“Por que o imposto específico é pior?”</w:t>
      </w:r>
      <w:r>
        <w:t xml:space="preserve"> </w:t>
      </w:r>
      <w:r>
        <w:t xml:space="preserve">→ Distorce preços relativos, gerando perda de peso morto. O</w:t>
      </w:r>
      <w:r>
        <w:t xml:space="preserve"> </w:t>
      </w:r>
      <w:r>
        <w:rPr>
          <w:i/>
          <w:iCs/>
        </w:rPr>
        <w:t xml:space="preserve">lump sum</w:t>
      </w:r>
      <w:r>
        <w:t xml:space="preserve"> </w:t>
      </w:r>
      <w:r>
        <w:t xml:space="preserve">desloca a reta orçamentária paralelamente — sem distorção.</w:t>
      </w:r>
    </w:p>
    <w:p>
      <w:pPr>
        <w:pStyle w:val="Compact"/>
        <w:numPr>
          <w:ilvl w:val="1"/>
          <w:numId w:val="1145"/>
        </w:numPr>
      </w:pPr>
      <w:r>
        <w:t xml:space="preserve">“Se o</w:t>
      </w:r>
      <w:r>
        <w:t xml:space="preserve"> </w:t>
      </w:r>
      <w:r>
        <w:rPr>
          <w:i/>
          <w:iCs/>
        </w:rPr>
        <w:t xml:space="preserve">lump sum</w:t>
      </w:r>
      <w:r>
        <w:t xml:space="preserve"> </w:t>
      </w:r>
      <w:r>
        <w:t xml:space="preserve">é sempre melhor, por que os governos não usam só ele?”</w:t>
      </w:r>
      <w:r>
        <w:t xml:space="preserve"> </w:t>
      </w:r>
      <w:r>
        <w:t xml:space="preserve">→ Equidade, viabilidade política, informação (o governo não sabe a renda verdadeira de cada um). Antecipe mecanismos (Cap. 9c).</w:t>
      </w:r>
    </w:p>
    <w:p>
      <w:pPr>
        <w:pStyle w:val="Compact"/>
        <w:numPr>
          <w:ilvl w:val="1"/>
          <w:numId w:val="1145"/>
        </w:numPr>
      </w:pPr>
      <w:r>
        <w:t xml:space="preserve">Peça que desenhem os dois cenários no gráfico: reta original, reta com imposto específico (rotação) e reta com</w:t>
      </w:r>
      <w:r>
        <w:t xml:space="preserve"> </w:t>
      </w:r>
      <w:r>
        <w:rPr>
          <w:i/>
          <w:iCs/>
        </w:rPr>
        <w:t xml:space="preserve">lump sum</w:t>
      </w:r>
      <w:r>
        <w:t xml:space="preserve"> </w:t>
      </w:r>
      <w:r>
        <w:t xml:space="preserve">(deslocamento paralelo).</w:t>
      </w:r>
    </w:p>
    <w:p>
      <w:pPr>
        <w:pStyle w:val="BlockText"/>
      </w:pPr>
      <w:r>
        <w:rPr>
          <w:b/>
          <w:bCs/>
        </w:rPr>
        <w:t xml:space="preserve">Conexão com o conteúdo:</w:t>
      </w:r>
      <w:r>
        <w:t xml:space="preserve"> </w:t>
      </w:r>
      <w:r>
        <w:t xml:space="preserve">Seção 4.5 (Princípio do Montante Fixo). Inspirado em Nicholson e Snyder (2017, Cap. 4).</w:t>
      </w:r>
    </w:p>
    <w:p>
      <w:pPr>
        <w:pStyle w:val="BlockText"/>
      </w:pPr>
      <w:r>
        <w:rPr>
          <w:b/>
          <w:bCs/>
        </w:rPr>
        <w:t xml:space="preserve">[ATIVIDADE DE SALA] Atividade 4.2 — O</w:t>
      </w:r>
      <w:r>
        <w:rPr>
          <w:b/>
          <w:bCs/>
        </w:rPr>
        <w:t xml:space="preserve"> </w:t>
      </w:r>
      <m:oMath>
        <m:r>
          <m:t>λ</m:t>
        </m:r>
      </m:oMath>
      <w:r>
        <w:rPr>
          <w:b/>
          <w:bCs/>
        </w:rPr>
        <w:t xml:space="preserve"> </w:t>
      </w:r>
      <w:r>
        <w:rPr>
          <w:b/>
          <w:bCs/>
        </w:rPr>
        <w:t xml:space="preserve">misterioso: quanto vale um real a mais? (10 min)</w:t>
      </w:r>
    </w:p>
    <w:p>
      <w:pPr>
        <w:pStyle w:val="BlockText"/>
      </w:pPr>
      <w:r>
        <w:rPr>
          <w:b/>
          <w:bCs/>
        </w:rPr>
        <w:t xml:space="preserve">Objetivo:</w:t>
      </w:r>
      <w:r>
        <w:t xml:space="preserve"> </w:t>
      </w:r>
      <w:r>
        <w:t xml:space="preserve">Construir intuição para o multiplicador de Lagrange como utilidade marginal da renda.</w:t>
      </w:r>
    </w:p>
    <w:p>
      <w:pPr>
        <w:pStyle w:val="BlockText"/>
      </w:pPr>
      <w:r>
        <w:rPr>
          <w:b/>
          <w:bCs/>
        </w:rPr>
        <w:t xml:space="preserve">Material:</w:t>
      </w:r>
      <w:r>
        <w:t xml:space="preserve"> </w:t>
      </w:r>
      <w:r>
        <w:t xml:space="preserve">Calculadora (celular).</w:t>
      </w:r>
    </w:p>
    <w:p>
      <w:pPr>
        <w:pStyle w:val="BlockText"/>
      </w:pPr>
      <w:r>
        <w:rPr>
          <w:b/>
          <w:bCs/>
        </w:rPr>
        <w:t xml:space="preserve">Protocolo:</w:t>
      </w:r>
    </w:p>
    <w:p>
      <w:pPr>
        <w:pStyle w:val="Compact"/>
        <w:numPr>
          <w:ilvl w:val="0"/>
          <w:numId w:val="1146"/>
        </w:numPr>
      </w:pPr>
      <w:r>
        <w:rPr>
          <w:b/>
          <w:bCs/>
        </w:rPr>
        <w:t xml:space="preserve">Pergunta</w:t>
      </w:r>
      <w:r>
        <w:t xml:space="preserve"> </w:t>
      </w:r>
      <w:r>
        <w:t xml:space="preserve">(2 min): Usando a mesma utilidade</w:t>
      </w:r>
      <w:r>
        <w:t xml:space="preserve"> </w:t>
      </w:r>
      <m:oMath>
        <m:r>
          <m:t>U</m:t>
        </m:r>
        <m:r>
          <m:rPr>
            <m:sty m:val="p"/>
          </m:rPr>
          <m:t>=</m:t>
        </m:r>
        <m:sSubSup>
          <m:e>
            <m:r>
              <m:t>x</m:t>
            </m:r>
          </m:e>
          <m:sub>
            <m:r>
              <m:t>1</m:t>
            </m:r>
          </m:sub>
          <m:sup>
            <m:r>
              <m:t>1</m:t>
            </m:r>
            <m:r>
              <m:rPr>
                <m:sty m:val="p"/>
              </m:rPr>
              <m:t>/</m:t>
            </m:r>
            <m:r>
              <m:t>2</m:t>
            </m:r>
          </m:sup>
        </m:sSubSup>
        <m:sSubSup>
          <m:e>
            <m:r>
              <m:t>x</m:t>
            </m:r>
          </m:e>
          <m:sub>
            <m:r>
              <m:t>2</m:t>
            </m:r>
          </m:sub>
          <m:sup>
            <m:r>
              <m:t>1</m:t>
            </m:r>
            <m:r>
              <m:rPr>
                <m:sty m:val="p"/>
              </m:rPr>
              <m:t>/</m:t>
            </m:r>
            <m:r>
              <m:t>2</m:t>
            </m:r>
          </m:sup>
        </m:sSubSup>
      </m:oMath>
      <w:r>
        <w:t xml:space="preserve">,</w:t>
      </w:r>
      <w:r>
        <w:t xml:space="preserve"> </w:t>
      </w:r>
      <m:oMath>
        <m:sSub>
          <m:e>
            <m:r>
              <m:t>p</m:t>
            </m:r>
          </m:e>
          <m:sub>
            <m:r>
              <m:t>1</m:t>
            </m:r>
          </m:sub>
        </m:sSub>
        <m:r>
          <m:rPr>
            <m:sty m:val="p"/>
          </m:rPr>
          <m:t>=</m:t>
        </m:r>
        <m:r>
          <m:t>2</m:t>
        </m:r>
      </m:oMath>
      <w:r>
        <w:t xml:space="preserve">,</w:t>
      </w:r>
      <w:r>
        <w:t xml:space="preserve"> </w:t>
      </w:r>
      <m:oMath>
        <m:sSub>
          <m:e>
            <m:r>
              <m:t>p</m:t>
            </m:r>
          </m:e>
          <m:sub>
            <m:r>
              <m:t>2</m:t>
            </m:r>
          </m:sub>
        </m:sSub>
        <m:r>
          <m:rPr>
            <m:sty m:val="p"/>
          </m:rPr>
          <m:t>=</m:t>
        </m:r>
        <m:r>
          <m:t>1</m:t>
        </m:r>
      </m:oMath>
      <w:r>
        <w:t xml:space="preserve">:</w:t>
      </w:r>
      <w:r>
        <w:t xml:space="preserve"> </w:t>
      </w:r>
      <w:r>
        <w:t xml:space="preserve">“Quanto vale</w:t>
      </w:r>
      <w:r>
        <w:t xml:space="preserve"> </w:t>
      </w:r>
      <m:oMath>
        <m:sSup>
          <m:e>
            <m:r>
              <m:t>λ</m:t>
            </m:r>
          </m:e>
          <m:sup>
            <m:r>
              <m:rPr>
                <m:sty m:val="p"/>
              </m:rPr>
              <m:t>*</m:t>
            </m:r>
          </m:sup>
        </m:sSup>
      </m:oMath>
      <w:r>
        <w:t xml:space="preserve"> </w:t>
      </w:r>
      <w:r>
        <w:t xml:space="preserve">no ótimo com</w:t>
      </w:r>
      <w:r>
        <w:t xml:space="preserve"> </w:t>
      </w:r>
      <m:oMath>
        <m:r>
          <m:t>m</m:t>
        </m:r>
        <m:r>
          <m:rPr>
            <m:sty m:val="p"/>
          </m:rPr>
          <m:t>=</m:t>
        </m:r>
        <m:r>
          <m:t>120</m:t>
        </m:r>
      </m:oMath>
      <w:r>
        <w:t xml:space="preserve">?”</w:t>
      </w:r>
    </w:p>
    <w:p>
      <w:pPr>
        <w:pStyle w:val="Compact"/>
        <w:numPr>
          <w:ilvl w:val="0"/>
          <w:numId w:val="1146"/>
        </w:numPr>
      </w:pPr>
      <w:r>
        <w:rPr>
          <w:b/>
          <w:bCs/>
        </w:rPr>
        <w:t xml:space="preserve">Cálculo</w:t>
      </w:r>
      <w:r>
        <w:t xml:space="preserve"> </w:t>
      </w:r>
      <w:r>
        <w:t xml:space="preserve">(3 min): Dos slides ou do exercício anterior,</w:t>
      </w:r>
      <w:r>
        <w:t xml:space="preserve"> </w:t>
      </w:r>
      <m:oMath>
        <m:sSup>
          <m:e>
            <m:r>
              <m:t>λ</m:t>
            </m:r>
          </m:e>
          <m:sup>
            <m:r>
              <m:rPr>
                <m:sty m:val="p"/>
              </m:rPr>
              <m:t>*</m:t>
            </m:r>
          </m:sup>
        </m:sSup>
        <m:r>
          <m:rPr>
            <m:sty m:val="p"/>
          </m:rPr>
          <m:t>=</m:t>
        </m:r>
        <m:sSup>
          <m:e>
            <m:r>
              <m:t>U</m:t>
            </m:r>
          </m:e>
          <m:sup>
            <m:r>
              <m:rPr>
                <m:sty m:val="p"/>
              </m:rPr>
              <m:t>*</m:t>
            </m:r>
          </m:sup>
        </m:sSup>
        <m:r>
          <m:rPr>
            <m:sty m:val="p"/>
          </m:rPr>
          <m:t>/</m:t>
        </m:r>
        <m:r>
          <m:t>m</m:t>
        </m:r>
        <m:r>
          <m:rPr>
            <m:sty m:val="p"/>
          </m:rPr>
          <m:t>=</m:t>
        </m:r>
        <m:rad>
          <m:radPr>
            <m:degHide m:val="on"/>
          </m:radPr>
          <m:deg/>
          <m:e>
            <m:r>
              <m:t>1800</m:t>
            </m:r>
          </m:e>
        </m:rad>
        <m:r>
          <m:rPr>
            <m:sty m:val="p"/>
          </m:rPr>
          <m:t>/</m:t>
        </m:r>
        <m:r>
          <m:t>120</m:t>
        </m:r>
        <m:r>
          <m:rPr>
            <m:sty m:val="p"/>
          </m:rPr>
          <m:t>≈</m:t>
        </m:r>
        <m:r>
          <m:t>0</m:t>
        </m:r>
        <m:r>
          <m:rPr>
            <m:sty m:val="p"/>
          </m:rPr>
          <m:t>,</m:t>
        </m:r>
        <m:r>
          <m:t>354</m:t>
        </m:r>
      </m:oMath>
      <w:r>
        <w:t xml:space="preserve">. Agora peça:</w:t>
      </w:r>
      <w:r>
        <w:t xml:space="preserve"> </w:t>
      </w:r>
      <w:r>
        <w:t xml:space="preserve">“Se</w:t>
      </w:r>
      <w:r>
        <w:t xml:space="preserve"> </w:t>
      </w:r>
      <m:oMath>
        <m:r>
          <m:t>m</m:t>
        </m:r>
      </m:oMath>
      <w:r>
        <w:t xml:space="preserve"> </w:t>
      </w:r>
      <w:r>
        <w:t xml:space="preserve">subir para 121, quanto</w:t>
      </w:r>
      <w:r>
        <w:t xml:space="preserve"> </w:t>
      </w:r>
      <m:oMath>
        <m:r>
          <m:t>U</m:t>
        </m:r>
      </m:oMath>
      <w:r>
        <w:t xml:space="preserve"> </w:t>
      </w:r>
      <w:r>
        <w:t xml:space="preserve">aumenta?”</w:t>
      </w:r>
    </w:p>
    <w:p>
      <w:pPr>
        <w:pStyle w:val="Compact"/>
        <w:numPr>
          <w:ilvl w:val="0"/>
          <w:numId w:val="1146"/>
        </w:numPr>
      </w:pPr>
      <w:r>
        <w:rPr>
          <w:b/>
          <w:bCs/>
        </w:rPr>
        <w:t xml:space="preserve">Verificação</w:t>
      </w:r>
      <w:r>
        <w:t xml:space="preserve"> </w:t>
      </w:r>
      <w:r>
        <w:t xml:space="preserve">(2 min):</w:t>
      </w:r>
      <w:r>
        <w:t xml:space="preserve"> </w:t>
      </w:r>
      <m:oMath>
        <m:r>
          <m:t>U</m:t>
        </m:r>
        <m:r>
          <m:rPr>
            <m:sty m:val="p"/>
          </m:rPr>
          <m:t>(</m:t>
        </m:r>
        <m:r>
          <m:t>121</m:t>
        </m:r>
        <m:r>
          <m:rPr>
            <m:sty m:val="p"/>
          </m:rPr>
          <m:t>)</m:t>
        </m:r>
        <m:r>
          <m:rPr>
            <m:sty m:val="p"/>
          </m:rPr>
          <m:t>=</m:t>
        </m:r>
        <m:rad>
          <m:radPr>
            <m:degHide m:val="on"/>
          </m:radPr>
          <m:deg/>
          <m:e>
            <m:sSup>
              <m:e>
                <m:r>
                  <m:t>121</m:t>
                </m:r>
              </m:e>
              <m:sup>
                <m:r>
                  <m:t>2</m:t>
                </m:r>
              </m:sup>
            </m:sSup>
            <m:r>
              <m:rPr>
                <m:sty m:val="p"/>
              </m:rPr>
              <m:t>/</m:t>
            </m:r>
            <m:r>
              <m:t>8</m:t>
            </m:r>
          </m:e>
        </m:rad>
        <m:r>
          <m:rPr>
            <m:sty m:val="p"/>
          </m:rPr>
          <m:t>=</m:t>
        </m:r>
        <m:r>
          <m:t>121</m:t>
        </m:r>
        <m:r>
          <m:rPr>
            <m:sty m:val="p"/>
          </m:rPr>
          <m:t>/</m:t>
        </m:r>
        <m:rad>
          <m:radPr>
            <m:degHide m:val="on"/>
          </m:radPr>
          <m:deg/>
          <m:e>
            <m:r>
              <m:t>8</m:t>
            </m:r>
          </m:e>
        </m:rad>
        <m:r>
          <m:rPr>
            <m:sty m:val="p"/>
          </m:rPr>
          <m:t>≈</m:t>
        </m:r>
        <m:r>
          <m:t>42</m:t>
        </m:r>
        <m:r>
          <m:rPr>
            <m:sty m:val="p"/>
          </m:rPr>
          <m:t>,</m:t>
        </m:r>
        <m:r>
          <m:t>79</m:t>
        </m:r>
      </m:oMath>
      <w:r>
        <w:t xml:space="preserve">. Diferença:</w:t>
      </w:r>
      <w:r>
        <w:t xml:space="preserve"> </w:t>
      </w:r>
      <m:oMath>
        <m:r>
          <m:rPr>
            <m:sty m:val="p"/>
          </m:rPr>
          <m:t>≈</m:t>
        </m:r>
        <m:r>
          <m:t>0</m:t>
        </m:r>
        <m:r>
          <m:rPr>
            <m:sty m:val="p"/>
          </m:rPr>
          <m:t>,</m:t>
        </m:r>
        <m:r>
          <m:t>35</m:t>
        </m:r>
      </m:oMath>
      <w:r>
        <w:t xml:space="preserve">. É o</w:t>
      </w:r>
      <w:r>
        <w:t xml:space="preserve"> </w:t>
      </w:r>
      <m:oMath>
        <m:r>
          <m:t>λ</m:t>
        </m:r>
      </m:oMath>
      <w:r>
        <w:t xml:space="preserve">!</w:t>
      </w:r>
    </w:p>
    <w:p>
      <w:pPr>
        <w:pStyle w:val="Compact"/>
        <w:numPr>
          <w:ilvl w:val="0"/>
          <w:numId w:val="1146"/>
        </w:numPr>
      </w:pPr>
      <w:r>
        <w:rPr>
          <w:b/>
          <w:bCs/>
        </w:rPr>
        <w:t xml:space="preserve">Debrief</w:t>
      </w:r>
      <w:r>
        <w:t xml:space="preserve"> </w:t>
      </w:r>
      <w:r>
        <w:t xml:space="preserve">(3 min):</w:t>
      </w:r>
    </w:p>
    <w:p>
      <w:pPr>
        <w:pStyle w:val="Compact"/>
        <w:numPr>
          <w:ilvl w:val="1"/>
          <w:numId w:val="1147"/>
        </w:numPr>
      </w:pPr>
      <w:r>
        <w:t xml:space="preserve">“O</w:t>
      </w:r>
      <w:r>
        <w:t xml:space="preserve"> </w:t>
      </w:r>
      <m:oMath>
        <m:r>
          <m:t>λ</m:t>
        </m:r>
      </m:oMath>
      <w:r>
        <w:t xml:space="preserve"> </w:t>
      </w:r>
      <w:r>
        <w:t xml:space="preserve">é o</w:t>
      </w:r>
      <w:r>
        <w:t xml:space="preserve"> </w:t>
      </w:r>
      <w:r>
        <w:t xml:space="preserve">‘preço’</w:t>
      </w:r>
      <w:r>
        <w:t xml:space="preserve"> </w:t>
      </w:r>
      <w:r>
        <w:t xml:space="preserve">de afrouxar a restrição. Economistas chamam de</w:t>
      </w:r>
      <w:r>
        <w:t xml:space="preserve"> </w:t>
      </w:r>
      <w:r>
        <w:rPr>
          <w:i/>
          <w:iCs/>
        </w:rPr>
        <w:t xml:space="preserve">preço-sombra</w:t>
      </w:r>
      <w:r>
        <w:t xml:space="preserve">.”</w:t>
      </w:r>
    </w:p>
    <w:p>
      <w:pPr>
        <w:pStyle w:val="Compact"/>
        <w:numPr>
          <w:ilvl w:val="1"/>
          <w:numId w:val="1147"/>
        </w:numPr>
      </w:pPr>
      <w:r>
        <w:t xml:space="preserve">“Se</w:t>
      </w:r>
      <w:r>
        <w:t xml:space="preserve"> </w:t>
      </w:r>
      <m:oMath>
        <m:r>
          <m:t>λ</m:t>
        </m:r>
      </m:oMath>
      <w:r>
        <w:t xml:space="preserve"> </w:t>
      </w:r>
      <w:r>
        <w:t xml:space="preserve">fosse alto, significaria que a restrição</w:t>
      </w:r>
      <w:r>
        <w:t xml:space="preserve"> </w:t>
      </w:r>
      <w:r>
        <w:rPr>
          <w:i/>
          <w:iCs/>
        </w:rPr>
        <w:t xml:space="preserve">aperta muito</w:t>
      </w:r>
      <w:r>
        <w:t xml:space="preserve"> </w:t>
      </w:r>
      <w:r>
        <w:t xml:space="preserve">— o consumidor ganharia muito com mais renda. Se fosse baixo, a restrição</w:t>
      </w:r>
      <w:r>
        <w:t xml:space="preserve"> </w:t>
      </w:r>
      <w:r>
        <w:t xml:space="preserve">‘quase não morde’</w:t>
      </w:r>
      <w:r>
        <w:t xml:space="preserve">.”</w:t>
      </w:r>
    </w:p>
    <w:p>
      <w:pPr>
        <w:pStyle w:val="Compact"/>
        <w:numPr>
          <w:ilvl w:val="1"/>
          <w:numId w:val="1147"/>
        </w:numPr>
      </w:pPr>
      <w:r>
        <w:t xml:space="preserve">Conecte com a Identidade de Roy (Seção 4.9) e com o Teorema do Envelope (Seção 2.4/2.6).</w:t>
      </w:r>
    </w:p>
    <w:p>
      <w:pPr>
        <w:pStyle w:val="BlockText"/>
      </w:pPr>
      <w:r>
        <w:rPr>
          <w:b/>
          <w:bCs/>
        </w:rPr>
        <w:t xml:space="preserve">Conexão com o conteúdo:</w:t>
      </w:r>
      <w:r>
        <w:t xml:space="preserve"> </w:t>
      </w:r>
      <w:r>
        <w:t xml:space="preserve">Seções 4.3 (Lagrangeano), 4.4 (utilidade indireta), 2.6 (envelope restrito).</w:t>
      </w:r>
    </w:p>
    <w:p>
      <w:r>
        <w:pict>
          <v:rect style="width:0;height:1.5pt" o:hralign="center" o:hrstd="t" o:hr="t"/>
        </w:pict>
      </w:r>
    </w:p>
    <w:bookmarkStart w:id="219" w:name="revisão-rápida-2"/>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No ótimo interior do consumidor, a condição de tangência exige que:</w:t>
      </w:r>
    </w:p>
    <w:p>
      <w:pPr>
        <w:pStyle w:val="Compact"/>
        <w:numPr>
          <w:ilvl w:val="0"/>
          <w:numId w:val="1148"/>
        </w:numPr>
      </w:pPr>
    </w:p>
    <w:p>
      <w:pPr>
        <w:pStyle w:val="Compact"/>
        <w:numPr>
          <w:ilvl w:val="1"/>
          <w:numId w:val="1149"/>
        </w:numPr>
      </w:pPr>
      <w:r>
        <w:t xml:space="preserve">A utilidade marginal de cada bem seja igual ao seu preço</w:t>
      </w:r>
    </w:p>
    <w:p>
      <w:pPr>
        <w:pStyle w:val="Compact"/>
        <w:numPr>
          <w:ilvl w:val="0"/>
          <w:numId w:val="1148"/>
        </w:numPr>
      </w:pPr>
    </w:p>
    <w:p>
      <w:pPr>
        <w:pStyle w:val="Compact"/>
        <w:numPr>
          <w:ilvl w:val="1"/>
          <w:numId w:val="1150"/>
        </w:numPr>
      </w:pPr>
      <w:r>
        <w:t xml:space="preserve">A TMS entre os bens seja igual à razão de preços</w:t>
      </w:r>
      <w:r>
        <w:t xml:space="preserve"> </w:t>
      </w:r>
      <m:oMath>
        <m:sSub>
          <m:e>
            <m:r>
              <m:t>p</m:t>
            </m:r>
          </m:e>
          <m:sub>
            <m:r>
              <m:t>1</m:t>
            </m:r>
          </m:sub>
        </m:sSub>
        <m:r>
          <m:rPr>
            <m:sty m:val="p"/>
          </m:rPr>
          <m:t>/</m:t>
        </m:r>
        <m:sSub>
          <m:e>
            <m:r>
              <m:t>p</m:t>
            </m:r>
          </m:e>
          <m:sub>
            <m:r>
              <m:t>2</m:t>
            </m:r>
          </m:sub>
        </m:sSub>
      </m:oMath>
    </w:p>
    <w:p>
      <w:pPr>
        <w:pStyle w:val="Compact"/>
        <w:numPr>
          <w:ilvl w:val="0"/>
          <w:numId w:val="1148"/>
        </w:numPr>
      </w:pPr>
    </w:p>
    <w:p>
      <w:pPr>
        <w:pStyle w:val="Compact"/>
        <w:numPr>
          <w:ilvl w:val="1"/>
          <w:numId w:val="1151"/>
        </w:numPr>
      </w:pPr>
      <w:r>
        <w:t xml:space="preserve">O consumidor gaste a mesma quantia em cada bem</w:t>
      </w:r>
    </w:p>
    <w:p>
      <w:pPr>
        <w:pStyle w:val="Compact"/>
        <w:numPr>
          <w:ilvl w:val="0"/>
          <w:numId w:val="1148"/>
        </w:numPr>
      </w:pPr>
    </w:p>
    <w:p>
      <w:pPr>
        <w:pStyle w:val="Compact"/>
        <w:numPr>
          <w:ilvl w:val="1"/>
          <w:numId w:val="1152"/>
        </w:numPr>
      </w:pPr>
      <w:r>
        <w:t xml:space="preserve">A utilidade total seja igual à renda</w:t>
      </w:r>
    </w:p>
    <w:p>
      <w:pPr>
        <w:pStyle w:val="BlockText"/>
      </w:pPr>
      <w:r>
        <w:t xml:space="preserve">??? success</w:t>
      </w:r>
      <w:r>
        <w:t xml:space="preserve"> </w:t>
      </w:r>
      <w:r>
        <w:t xml:space="preserve">“Resposta”</w:t>
      </w:r>
      <w:r>
        <w:t xml:space="preserve"> </w:t>
      </w:r>
      <w:r>
        <w:rPr>
          <w:b/>
          <w:bCs/>
        </w:rPr>
        <w:t xml:space="preserve">(b)</w:t>
      </w:r>
      <w:r>
        <w:t xml:space="preserve"> </w:t>
      </w:r>
      <w:r>
        <w:t xml:space="preserve">No ótimo interior, a curva de indiferença é tangente à reta orçamentária, o que implica</w:t>
      </w:r>
      <w:r>
        <w:t xml:space="preserve"> </w:t>
      </w:r>
      <m:oMath>
        <m:sSub>
          <m:e>
            <m:r>
              <m:rPr>
                <m:nor/>
                <m:sty m:val="p"/>
              </m:rPr>
              <m:t>TMS</m:t>
            </m:r>
          </m:e>
          <m:sub>
            <m:r>
              <m:t>12</m:t>
            </m:r>
          </m:sub>
        </m:sSub>
        <m:r>
          <m:rPr>
            <m:sty m:val="p"/>
          </m:rPr>
          <m:t>=</m:t>
        </m:r>
        <m:sSub>
          <m:e>
            <m:r>
              <m:t>p</m:t>
            </m:r>
          </m:e>
          <m:sub>
            <m:r>
              <m:t>1</m:t>
            </m:r>
          </m:sub>
        </m:sSub>
        <m:r>
          <m:rPr>
            <m:sty m:val="p"/>
          </m:rPr>
          <m:t>/</m:t>
        </m:r>
        <m:sSub>
          <m:e>
            <m:r>
              <m:t>p</m:t>
            </m:r>
          </m:e>
          <m:sub>
            <m:r>
              <m:t>2</m:t>
            </m:r>
          </m:sub>
        </m:sSub>
      </m:oMath>
      <w:r>
        <w:t xml:space="preserve">, ou equivalentemente,</w:t>
      </w:r>
      <w:r>
        <w:t xml:space="preserve"> </w:t>
      </w:r>
      <m:oMath>
        <m:sSub>
          <m:e>
            <m:r>
              <m:rPr>
                <m:nor/>
                <m:sty m:val="p"/>
              </m:rPr>
              <m:t>UMg</m:t>
            </m:r>
          </m:e>
          <m:sub>
            <m:r>
              <m:t>1</m:t>
            </m:r>
          </m:sub>
        </m:sSub>
        <m:r>
          <m:rPr>
            <m:sty m:val="p"/>
          </m:rPr>
          <m:t>/</m:t>
        </m:r>
        <m:sSub>
          <m:e>
            <m:r>
              <m:t>p</m:t>
            </m:r>
          </m:e>
          <m:sub>
            <m:r>
              <m:t>1</m:t>
            </m:r>
          </m:sub>
        </m:sSub>
        <m:r>
          <m:rPr>
            <m:sty m:val="p"/>
          </m:rPr>
          <m:t>=</m:t>
        </m:r>
        <m:sSub>
          <m:e>
            <m:r>
              <m:rPr>
                <m:nor/>
                <m:sty m:val="p"/>
              </m:rPr>
              <m:t>UMg</m:t>
            </m:r>
          </m:e>
          <m:sub>
            <m:r>
              <m:t>2</m:t>
            </m:r>
          </m:sub>
        </m:sSub>
        <m:r>
          <m:rPr>
            <m:sty m:val="p"/>
          </m:rPr>
          <m:t>/</m:t>
        </m:r>
        <m:sSub>
          <m:e>
            <m:r>
              <m:t>p</m:t>
            </m:r>
          </m:e>
          <m:sub>
            <m:r>
              <m:t>2</m:t>
            </m:r>
          </m:sub>
        </m:sSub>
      </m:oMath>
      <w:r>
        <w:t xml:space="preserve"> </w:t>
      </w:r>
      <w:r>
        <w:t xml:space="preserve">(utilidade marginal por real gasto equalizada). A alternativa (a) não é dimensionalmente correta; (c) só vale para casos especiais como Cobb-Douglas com expoentes iguais; (d) confunde utilidade com renda.</w:t>
      </w:r>
    </w:p>
    <w:p>
      <w:pPr>
        <w:pStyle w:val="BlockText"/>
      </w:pPr>
      <w:r>
        <w:rPr>
          <w:b/>
          <w:bCs/>
        </w:rPr>
        <w:t xml:space="preserve">[QUESTAO] 2. O multiplicador de Lagrange</w:t>
      </w:r>
      <w:r>
        <w:rPr>
          <w:b/>
          <w:bCs/>
        </w:rPr>
        <w:t xml:space="preserve"> </w:t>
      </w:r>
      <m:oMath>
        <m:r>
          <m:t>λ</m:t>
        </m:r>
      </m:oMath>
      <w:r>
        <w:rPr>
          <w:b/>
          <w:bCs/>
        </w:rPr>
        <w:t xml:space="preserve"> </w:t>
      </w:r>
      <w:r>
        <w:rPr>
          <w:b/>
          <w:bCs/>
        </w:rPr>
        <w:t xml:space="preserve">no problema do consumidor representa:</w:t>
      </w:r>
    </w:p>
    <w:p>
      <w:pPr>
        <w:pStyle w:val="Compact"/>
        <w:numPr>
          <w:ilvl w:val="0"/>
          <w:numId w:val="1153"/>
        </w:numPr>
      </w:pPr>
    </w:p>
    <w:p>
      <w:pPr>
        <w:pStyle w:val="Compact"/>
        <w:numPr>
          <w:ilvl w:val="1"/>
          <w:numId w:val="1154"/>
        </w:numPr>
      </w:pPr>
      <w:r>
        <w:t xml:space="preserve">O preço do bem mais caro da cesta</w:t>
      </w:r>
    </w:p>
    <w:p>
      <w:pPr>
        <w:pStyle w:val="Compact"/>
        <w:numPr>
          <w:ilvl w:val="0"/>
          <w:numId w:val="1153"/>
        </w:numPr>
      </w:pPr>
    </w:p>
    <w:p>
      <w:pPr>
        <w:pStyle w:val="Compact"/>
        <w:numPr>
          <w:ilvl w:val="1"/>
          <w:numId w:val="1155"/>
        </w:numPr>
      </w:pPr>
      <w:r>
        <w:t xml:space="preserve">A utilidade marginal da renda — quanto a utilidade máxima aumenta com um real adicional de renda</w:t>
      </w:r>
    </w:p>
    <w:p>
      <w:pPr>
        <w:pStyle w:val="Compact"/>
        <w:numPr>
          <w:ilvl w:val="0"/>
          <w:numId w:val="1153"/>
        </w:numPr>
      </w:pPr>
    </w:p>
    <w:p>
      <w:pPr>
        <w:pStyle w:val="Compact"/>
        <w:numPr>
          <w:ilvl w:val="1"/>
          <w:numId w:val="1156"/>
        </w:numPr>
      </w:pPr>
      <w:r>
        <w:t xml:space="preserve">A quantidade ótima do primeiro bem</w:t>
      </w:r>
    </w:p>
    <w:p>
      <w:pPr>
        <w:pStyle w:val="Compact"/>
        <w:numPr>
          <w:ilvl w:val="0"/>
          <w:numId w:val="1153"/>
        </w:numPr>
      </w:pPr>
    </w:p>
    <w:p>
      <w:pPr>
        <w:pStyle w:val="Compact"/>
        <w:numPr>
          <w:ilvl w:val="1"/>
          <w:numId w:val="1157"/>
        </w:numPr>
      </w:pPr>
      <w:r>
        <w:t xml:space="preserve">A inclinação da curva de indiferença no ponto ótimo</w:t>
      </w:r>
    </w:p>
    <w:p>
      <w:pPr>
        <w:pStyle w:val="BlockText"/>
      </w:pPr>
      <w:r>
        <w:t xml:space="preserve">??? success</w:t>
      </w:r>
      <w:r>
        <w:t xml:space="preserve"> </w:t>
      </w:r>
      <w:r>
        <w:t xml:space="preserve">“Resposta”</w:t>
      </w:r>
      <w:r>
        <w:t xml:space="preserve"> </w:t>
      </w:r>
      <w:r>
        <w:rPr>
          <w:b/>
          <w:bCs/>
        </w:rPr>
        <w:t xml:space="preserve">(b)</w:t>
      </w:r>
      <w:r>
        <w:t xml:space="preserve"> </w:t>
      </w:r>
      <w:r>
        <w:t xml:space="preserve">No problema</w:t>
      </w:r>
      <w:r>
        <w:t xml:space="preserve"> </w:t>
      </w:r>
      <m:oMath>
        <m:r>
          <m:rPr>
            <m:sty m:val="p"/>
          </m:rPr>
          <m:t>max</m:t>
        </m:r>
        <m:r>
          <m:t>u</m:t>
        </m:r>
        <m:r>
          <m:rPr>
            <m:sty m:val="p"/>
          </m:rPr>
          <m:t>(</m:t>
        </m:r>
        <m:sSub>
          <m:e>
            <m:r>
              <m:t>x</m:t>
            </m:r>
          </m:e>
          <m:sub>
            <m:r>
              <m:t>1</m:t>
            </m:r>
          </m:sub>
        </m:sSub>
        <m:r>
          <m:rPr>
            <m:sty m:val="p"/>
          </m:rPr>
          <m:t>,</m:t>
        </m:r>
        <m:sSub>
          <m:e>
            <m:r>
              <m:t>x</m:t>
            </m:r>
          </m:e>
          <m:sub>
            <m:r>
              <m:t>2</m:t>
            </m:r>
          </m:sub>
        </m:sSub>
        <m:r>
          <m:rPr>
            <m:sty m:val="p"/>
          </m:rPr>
          <m:t>)</m:t>
        </m:r>
      </m:oMath>
      <w:r>
        <w:t xml:space="preserve"> </w:t>
      </w:r>
      <w:r>
        <w:t xml:space="preserve">s.a.</w:t>
      </w:r>
      <w:r>
        <w:t xml:space="preserve"> </w:t>
      </w: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oMath>
      <w:r>
        <w:t xml:space="preserve">, o multiplicador</w:t>
      </w:r>
      <w:r>
        <w:t xml:space="preserve"> </w:t>
      </w:r>
      <m:oMath>
        <m:r>
          <m:t>λ</m:t>
        </m:r>
        <m:r>
          <m:rPr>
            <m:sty m:val="p"/>
          </m:rPr>
          <m:t>=</m:t>
        </m:r>
        <m:r>
          <m:rPr>
            <m:sty m:val="p"/>
          </m:rPr>
          <m:t>∂</m:t>
        </m:r>
        <m:r>
          <m:t>V</m:t>
        </m:r>
        <m:r>
          <m:rPr>
            <m:sty m:val="p"/>
          </m:rPr>
          <m:t>/</m:t>
        </m:r>
        <m:r>
          <m:rPr>
            <m:sty m:val="p"/>
          </m:rPr>
          <m:t>∂</m:t>
        </m:r>
        <m:r>
          <m:t>I</m:t>
        </m:r>
      </m:oMath>
      <w:r>
        <w:t xml:space="preserve"> </w:t>
      </w:r>
      <w:r>
        <w:t xml:space="preserve">é a utilidade marginal da renda, medindo o ganho de utilidade por unidade monetária adicional. A alternativa (d) descreve a TMS, que no ótimo iguala a razão de preços, não</w:t>
      </w:r>
      <w:r>
        <w:t xml:space="preserve"> </w:t>
      </w:r>
      <m:oMath>
        <m:r>
          <m:t>λ</m:t>
        </m:r>
      </m:oMath>
      <w:r>
        <w:t xml:space="preserve"> </w:t>
      </w:r>
      <w:r>
        <w:t xml:space="preserve">diretamente.</w:t>
      </w:r>
    </w:p>
    <w:p>
      <w:pPr>
        <w:pStyle w:val="BlockText"/>
      </w:pPr>
      <w:r>
        <w:rPr>
          <w:b/>
          <w:bCs/>
        </w:rPr>
        <w:t xml:space="preserve">[QUESTAO] 3. O princípio do montante fixo (</w:t>
      </w:r>
      <w:r>
        <w:rPr>
          <w:b/>
          <w:bCs/>
          <w:i/>
          <w:iCs/>
        </w:rPr>
        <w:t xml:space="preserve">lump sum principle</w:t>
      </w:r>
      <w:r>
        <w:rPr>
          <w:b/>
          <w:bCs/>
        </w:rPr>
        <w:t xml:space="preserve">) afirma que:</w:t>
      </w:r>
    </w:p>
    <w:p>
      <w:pPr>
        <w:pStyle w:val="Compact"/>
        <w:numPr>
          <w:ilvl w:val="0"/>
          <w:numId w:val="1158"/>
        </w:numPr>
      </w:pPr>
    </w:p>
    <w:p>
      <w:pPr>
        <w:pStyle w:val="Compact"/>
        <w:numPr>
          <w:ilvl w:val="1"/>
          <w:numId w:val="1159"/>
        </w:numPr>
      </w:pPr>
      <w:r>
        <w:t xml:space="preserve">Impostos</w:t>
      </w:r>
      <w:r>
        <w:t xml:space="preserve"> </w:t>
      </w:r>
      <w:r>
        <w:rPr>
          <w:i/>
          <w:iCs/>
        </w:rPr>
        <w:t xml:space="preserve">lump sum</w:t>
      </w:r>
      <w:r>
        <w:t xml:space="preserve"> </w:t>
      </w:r>
      <w:r>
        <w:t xml:space="preserve">são sempre mais justos que impostos específicos</w:t>
      </w:r>
    </w:p>
    <w:p>
      <w:pPr>
        <w:pStyle w:val="Compact"/>
        <w:numPr>
          <w:ilvl w:val="0"/>
          <w:numId w:val="1158"/>
        </w:numPr>
      </w:pPr>
    </w:p>
    <w:p>
      <w:pPr>
        <w:pStyle w:val="Compact"/>
        <w:numPr>
          <w:ilvl w:val="1"/>
          <w:numId w:val="1160"/>
        </w:numPr>
      </w:pPr>
      <w:r>
        <w:t xml:space="preserve">Um imposto</w:t>
      </w:r>
      <w:r>
        <w:t xml:space="preserve"> </w:t>
      </w:r>
      <w:r>
        <w:rPr>
          <w:i/>
          <w:iCs/>
        </w:rPr>
        <w:t xml:space="preserve">lump sum</w:t>
      </w:r>
      <w:r>
        <w:t xml:space="preserve"> </w:t>
      </w:r>
      <w:r>
        <w:t xml:space="preserve">que arrecada a mesma receita que um imposto específico deixa o consumidor com utilidade pelo menos igual</w:t>
      </w:r>
    </w:p>
    <w:p>
      <w:pPr>
        <w:pStyle w:val="Compact"/>
        <w:numPr>
          <w:ilvl w:val="0"/>
          <w:numId w:val="1158"/>
        </w:numPr>
      </w:pPr>
    </w:p>
    <w:p>
      <w:pPr>
        <w:pStyle w:val="Compact"/>
        <w:numPr>
          <w:ilvl w:val="1"/>
          <w:numId w:val="1161"/>
        </w:numPr>
      </w:pPr>
      <w:r>
        <w:t xml:space="preserve">Impostos específicos arrecadam mais que impostos</w:t>
      </w:r>
      <w:r>
        <w:t xml:space="preserve"> </w:t>
      </w:r>
      <w:r>
        <w:rPr>
          <w:i/>
          <w:iCs/>
        </w:rPr>
        <w:t xml:space="preserve">lump sum</w:t>
      </w:r>
    </w:p>
    <w:p>
      <w:pPr>
        <w:pStyle w:val="Compact"/>
        <w:numPr>
          <w:ilvl w:val="0"/>
          <w:numId w:val="1158"/>
        </w:numPr>
      </w:pPr>
    </w:p>
    <w:p>
      <w:pPr>
        <w:pStyle w:val="Compact"/>
        <w:numPr>
          <w:ilvl w:val="1"/>
          <w:numId w:val="1162"/>
        </w:numPr>
      </w:pPr>
      <w:r>
        <w:t xml:space="preserve">A perda de bem-estar é a mesma nos dois casos, pois a receita é igual</w:t>
      </w:r>
    </w:p>
    <w:p>
      <w:pPr>
        <w:pStyle w:val="BlockText"/>
      </w:pPr>
      <w:r>
        <w:t xml:space="preserve">??? success</w:t>
      </w:r>
      <w:r>
        <w:t xml:space="preserve"> </w:t>
      </w:r>
      <w:r>
        <w:t xml:space="preserve">“Resposta”</w:t>
      </w:r>
      <w:r>
        <w:t xml:space="preserve"> </w:t>
      </w:r>
      <w:r>
        <w:rPr>
          <w:b/>
          <w:bCs/>
        </w:rPr>
        <w:t xml:space="preserve">(b)</w:t>
      </w:r>
      <w:r>
        <w:t xml:space="preserve"> </w:t>
      </w:r>
      <w:r>
        <w:t xml:space="preserve">O imposto</w:t>
      </w:r>
      <w:r>
        <w:t xml:space="preserve"> </w:t>
      </w:r>
      <w:r>
        <w:rPr>
          <w:i/>
          <w:iCs/>
        </w:rPr>
        <w:t xml:space="preserve">lump sum</w:t>
      </w:r>
      <w:r>
        <w:t xml:space="preserve"> </w:t>
      </w:r>
      <w:r>
        <w:t xml:space="preserve">desloca a reta orçamentária paralelamente, preservando preços relativos. O imposto específico rotaciona a reta, distorcendo a razão de preços. Para a mesma receita, o</w:t>
      </w:r>
      <w:r>
        <w:t xml:space="preserve"> </w:t>
      </w:r>
      <w:r>
        <w:rPr>
          <w:i/>
          <w:iCs/>
        </w:rPr>
        <w:t xml:space="preserve">lump sum</w:t>
      </w:r>
      <w:r>
        <w:t xml:space="preserve"> </w:t>
      </w:r>
      <w:r>
        <w:t xml:space="preserve">gera utilidade maior porque o consumidor pode realocar livremente. A alternativa (a) confunde eficiência com equidade; (c) é falsa por construção (mesma receita); (d) é a armadilha — mesma receita</w:t>
      </w:r>
      <w:r>
        <w:t xml:space="preserve"> </w:t>
      </w:r>
      <w:r>
        <w:rPr>
          <w:i/>
          <w:iCs/>
        </w:rPr>
        <w:t xml:space="preserve">não</w:t>
      </w:r>
      <w:r>
        <w:t xml:space="preserve"> </w:t>
      </w:r>
      <w:r>
        <w:t xml:space="preserve">significa mesmo bem-estar.</w:t>
      </w:r>
    </w:p>
    <w:p>
      <w:pPr>
        <w:pStyle w:val="BlockText"/>
      </w:pPr>
      <w:r>
        <w:rPr>
          <w:b/>
          <w:bCs/>
        </w:rPr>
        <w:t xml:space="preserve">[QUESTAO] 4. A dualidade entre</w:t>
      </w:r>
      <w:r>
        <w:rPr>
          <w:b/>
          <w:bCs/>
        </w:rPr>
        <w:t xml:space="preserve"> </w:t>
      </w:r>
      <m:oMath>
        <m:r>
          <m:t>V</m:t>
        </m:r>
        <m:r>
          <m:rPr>
            <m:sty m:val="p"/>
          </m:rPr>
          <m:t>(</m:t>
        </m:r>
        <m:r>
          <m:rPr>
            <m:sty m:val="bi"/>
          </m:rPr>
          <m:t>p</m:t>
        </m:r>
        <m:r>
          <m:rPr>
            <m:sty m:val="p"/>
          </m:rPr>
          <m:t>,</m:t>
        </m:r>
        <m:r>
          <m:t>I</m:t>
        </m:r>
        <m:r>
          <m:rPr>
            <m:sty m:val="p"/>
          </m:rPr>
          <m:t>)</m:t>
        </m:r>
      </m:oMath>
      <w:r>
        <w:rPr>
          <w:b/>
          <w:bCs/>
        </w:rPr>
        <w:t xml:space="preserve"> </w:t>
      </w:r>
      <w:r>
        <w:rPr>
          <w:b/>
          <w:bCs/>
        </w:rPr>
        <w:t xml:space="preserve">e</w:t>
      </w:r>
      <w:r>
        <w:rPr>
          <w:b/>
          <w:bCs/>
        </w:rPr>
        <w:t xml:space="preserve"> </w:t>
      </w:r>
      <m:oMath>
        <m:r>
          <m:t>E</m:t>
        </m:r>
        <m:r>
          <m:rPr>
            <m:sty m:val="p"/>
          </m:rPr>
          <m:t>(</m:t>
        </m:r>
        <m:r>
          <m:rPr>
            <m:sty m:val="bi"/>
          </m:rPr>
          <m:t>p</m:t>
        </m:r>
        <m:r>
          <m:rPr>
            <m:sty m:val="p"/>
          </m:rPr>
          <m:t>,</m:t>
        </m:r>
        <m:acc>
          <m:accPr>
            <m:chr m:val="‾"/>
          </m:accPr>
          <m:e>
            <m:r>
              <m:t>u</m:t>
            </m:r>
          </m:e>
        </m:acc>
        <m:r>
          <m:rPr>
            <m:sty m:val="p"/>
          </m:rPr>
          <m:t>)</m:t>
        </m:r>
      </m:oMath>
      <w:r>
        <w:rPr>
          <w:b/>
          <w:bCs/>
        </w:rPr>
        <w:t xml:space="preserve"> </w:t>
      </w:r>
      <w:r>
        <w:rPr>
          <w:b/>
          <w:bCs/>
        </w:rPr>
        <w:t xml:space="preserve">implica que:</w:t>
      </w:r>
    </w:p>
    <w:p>
      <w:pPr>
        <w:pStyle w:val="Compact"/>
        <w:numPr>
          <w:ilvl w:val="0"/>
          <w:numId w:val="1163"/>
        </w:numPr>
      </w:pPr>
    </w:p>
    <w:p>
      <w:pPr>
        <w:pStyle w:val="Compact"/>
        <w:numPr>
          <w:ilvl w:val="1"/>
          <w:numId w:val="1164"/>
        </w:numPr>
      </w:pPr>
      <m:oMath>
        <m:r>
          <m:t>V</m:t>
        </m:r>
      </m:oMath>
      <w:r>
        <w:t xml:space="preserve"> </w:t>
      </w:r>
      <w:r>
        <w:t xml:space="preserve">e</w:t>
      </w:r>
      <w:r>
        <w:t xml:space="preserve"> </w:t>
      </w:r>
      <m:oMath>
        <m:r>
          <m:t>E</m:t>
        </m:r>
      </m:oMath>
      <w:r>
        <w:t xml:space="preserve"> </w:t>
      </w:r>
      <w:r>
        <w:t xml:space="preserve">são a mesma função, apenas com nomes diferentes</w:t>
      </w:r>
    </w:p>
    <w:p>
      <w:pPr>
        <w:pStyle w:val="Compact"/>
        <w:numPr>
          <w:ilvl w:val="0"/>
          <w:numId w:val="1163"/>
        </w:numPr>
      </w:pPr>
    </w:p>
    <w:p>
      <w:pPr>
        <w:pStyle w:val="Compact"/>
        <w:numPr>
          <w:ilvl w:val="1"/>
          <w:numId w:val="1165"/>
        </w:numPr>
      </w:pPr>
      <m:oMath>
        <m:r>
          <m:t>V</m:t>
        </m:r>
        <m:r>
          <m:rPr>
            <m:sty m:val="p"/>
          </m:rPr>
          <m:t>(</m:t>
        </m:r>
        <m:r>
          <m:rPr>
            <m:sty m:val="bi"/>
          </m:rPr>
          <m:t>p</m:t>
        </m:r>
        <m:r>
          <m:rPr>
            <m:sty m:val="p"/>
          </m:rPr>
          <m:t>,</m:t>
        </m:r>
        <m:r>
          <m:t>E</m:t>
        </m:r>
        <m:r>
          <m:rPr>
            <m:sty m:val="p"/>
          </m:rPr>
          <m:t>(</m:t>
        </m:r>
        <m:r>
          <m:rPr>
            <m:sty m:val="bi"/>
          </m:rPr>
          <m:t>p</m:t>
        </m:r>
        <m:r>
          <m:rPr>
            <m:sty m:val="p"/>
          </m:rPr>
          <m:t>,</m:t>
        </m:r>
        <m:acc>
          <m:accPr>
            <m:chr m:val="‾"/>
          </m:accPr>
          <m:e>
            <m:r>
              <m:t>u</m:t>
            </m:r>
          </m:e>
        </m:acc>
        <m:r>
          <m:rPr>
            <m:sty m:val="p"/>
          </m:rPr>
          <m:t>)</m:t>
        </m:r>
        <m:r>
          <m:rPr>
            <m:sty m:val="p"/>
          </m:rPr>
          <m:t>)</m:t>
        </m:r>
        <m:r>
          <m:rPr>
            <m:sty m:val="p"/>
          </m:rPr>
          <m:t>=</m:t>
        </m:r>
        <m:acc>
          <m:accPr>
            <m:chr m:val="‾"/>
          </m:accPr>
          <m:e>
            <m:r>
              <m:t>u</m:t>
            </m:r>
          </m:e>
        </m:acc>
      </m:oMath>
      <w:r>
        <w:t xml:space="preserve"> </w:t>
      </w:r>
      <w:r>
        <w:t xml:space="preserve">e</w:t>
      </w:r>
      <w:r>
        <w:t xml:space="preserve"> </w:t>
      </w:r>
      <m:oMath>
        <m:r>
          <m:t>E</m:t>
        </m:r>
        <m:r>
          <m:rPr>
            <m:sty m:val="p"/>
          </m:rPr>
          <m:t>(</m:t>
        </m:r>
        <m:r>
          <m:rPr>
            <m:sty m:val="bi"/>
          </m:rPr>
          <m:t>p</m:t>
        </m:r>
        <m:r>
          <m:rPr>
            <m:sty m:val="p"/>
          </m:rPr>
          <m:t>,</m:t>
        </m:r>
        <m:r>
          <m:t>V</m:t>
        </m:r>
        <m:r>
          <m:rPr>
            <m:sty m:val="p"/>
          </m:rPr>
          <m:t>(</m:t>
        </m:r>
        <m:r>
          <m:rPr>
            <m:sty m:val="bi"/>
          </m:rPr>
          <m:t>p</m:t>
        </m:r>
        <m:r>
          <m:rPr>
            <m:sty m:val="p"/>
          </m:rPr>
          <m:t>,</m:t>
        </m:r>
        <m:r>
          <m:t>I</m:t>
        </m:r>
        <m:r>
          <m:rPr>
            <m:sty m:val="p"/>
          </m:rPr>
          <m:t>)</m:t>
        </m:r>
        <m:r>
          <m:rPr>
            <m:sty m:val="p"/>
          </m:rPr>
          <m:t>)</m:t>
        </m:r>
        <m:r>
          <m:rPr>
            <m:sty m:val="p"/>
          </m:rPr>
          <m:t>=</m:t>
        </m:r>
        <m:r>
          <m:t>I</m:t>
        </m:r>
      </m:oMath>
    </w:p>
    <w:p>
      <w:pPr>
        <w:pStyle w:val="Compact"/>
        <w:numPr>
          <w:ilvl w:val="0"/>
          <w:numId w:val="1163"/>
        </w:numPr>
      </w:pPr>
    </w:p>
    <w:p>
      <w:pPr>
        <w:pStyle w:val="Compact"/>
        <w:numPr>
          <w:ilvl w:val="1"/>
          <w:numId w:val="1166"/>
        </w:numPr>
      </w:pPr>
      <w:r>
        <w:t xml:space="preserve">As demandas marshalliana e hicksiana são sempre iguais</w:t>
      </w:r>
    </w:p>
    <w:p>
      <w:pPr>
        <w:pStyle w:val="Compact"/>
        <w:numPr>
          <w:ilvl w:val="0"/>
          <w:numId w:val="1163"/>
        </w:numPr>
      </w:pPr>
    </w:p>
    <w:p>
      <w:pPr>
        <w:pStyle w:val="Compact"/>
        <w:numPr>
          <w:ilvl w:val="1"/>
          <w:numId w:val="1167"/>
        </w:numPr>
      </w:pPr>
      <w:r>
        <w:t xml:space="preserve">A função dispêndio é homogênea de grau zero em preços</w:t>
      </w:r>
    </w:p>
    <w:p>
      <w:pPr>
        <w:pStyle w:val="BlockText"/>
      </w:pPr>
      <w:r>
        <w:t xml:space="preserve">??? success</w:t>
      </w:r>
      <w:r>
        <w:t xml:space="preserve"> </w:t>
      </w:r>
      <w:r>
        <w:t xml:space="preserve">“Resposta”</w:t>
      </w:r>
      <w:r>
        <w:t xml:space="preserve"> </w:t>
      </w:r>
      <w:r>
        <w:rPr>
          <w:b/>
          <w:bCs/>
        </w:rPr>
        <w:t xml:space="preserve">(b)</w:t>
      </w:r>
      <w:r>
        <w:t xml:space="preserve"> </w:t>
      </w:r>
      <w:r>
        <w:t xml:space="preserve">As identidades de dualidade afirmam que</w:t>
      </w:r>
      <w:r>
        <w:t xml:space="preserve"> </w:t>
      </w:r>
      <m:oMath>
        <m:r>
          <m:t>V</m:t>
        </m:r>
      </m:oMath>
      <w:r>
        <w:t xml:space="preserve"> </w:t>
      </w:r>
      <w:r>
        <w:t xml:space="preserve">e</w:t>
      </w:r>
      <w:r>
        <w:t xml:space="preserve"> </w:t>
      </w:r>
      <m:oMath>
        <m:r>
          <m:t>E</m:t>
        </m:r>
      </m:oMath>
      <w:r>
        <w:t xml:space="preserve"> </w:t>
      </w:r>
      <w:r>
        <w:t xml:space="preserve">são inversas uma da outra (fixados os preços): gastar o mínimo para atingir a utilidade máxima devolve a renda original, e maximizar utilidade com a renda mínima devolve a utilidade original. A alternativa (a) é imprecisa — são funções diferentes com argumentos diferentes; (c) só vale para utilidade quase-linear; (d) é falsa —</w:t>
      </w:r>
      <w:r>
        <w:t xml:space="preserve"> </w:t>
      </w:r>
      <m:oMath>
        <m:r>
          <m:t>E</m:t>
        </m:r>
      </m:oMath>
      <w:r>
        <w:t xml:space="preserve"> </w:t>
      </w:r>
      <w:r>
        <w:t xml:space="preserve">é homogênea de grau</w:t>
      </w:r>
      <w:r>
        <w:t xml:space="preserve"> </w:t>
      </w:r>
      <w:r>
        <w:rPr>
          <w:i/>
          <w:iCs/>
        </w:rPr>
        <w:t xml:space="preserve">1</w:t>
      </w:r>
      <w:r>
        <w:t xml:space="preserve"> </w:t>
      </w:r>
      <w:r>
        <w:t xml:space="preserve">em preços.</w:t>
      </w:r>
    </w:p>
    <w:p>
      <w:pPr>
        <w:pStyle w:val="BlockText"/>
      </w:pPr>
      <w:r>
        <w:rPr>
          <w:b/>
          <w:bCs/>
        </w:rPr>
        <w:t xml:space="preserve">[QUESTAO] 5. Um consumidor com utilidade Cobb-Douglas</w:t>
      </w:r>
      <w:r>
        <w:rPr>
          <w:b/>
          <w:bCs/>
        </w:rPr>
        <w:t xml:space="preserve"> </w:t>
      </w:r>
      <m:oMath>
        <m:r>
          <m:t>u</m:t>
        </m:r>
        <m:r>
          <m:rPr>
            <m:sty m:val="p"/>
          </m:rPr>
          <m:t>=</m:t>
        </m:r>
        <m:sSubSup>
          <m:e>
            <m:r>
              <m:t>x</m:t>
            </m:r>
          </m:e>
          <m:sub>
            <m:r>
              <m:t>1</m:t>
            </m:r>
          </m:sub>
          <m:sup>
            <m:r>
              <m:t>a</m:t>
            </m:r>
          </m:sup>
        </m:sSubSup>
        <m:sSubSup>
          <m:e>
            <m:r>
              <m:t>x</m:t>
            </m:r>
          </m:e>
          <m:sub>
            <m:r>
              <m:t>2</m:t>
            </m:r>
          </m:sub>
          <m:sup>
            <m:r>
              <m:t>b</m:t>
            </m:r>
          </m:sup>
        </m:sSubSup>
      </m:oMath>
      <w:r>
        <w:rPr>
          <w:b/>
          <w:bCs/>
        </w:rPr>
        <w:t xml:space="preserve"> </w:t>
      </w:r>
      <w:r>
        <w:rPr>
          <w:b/>
          <w:bCs/>
        </w:rPr>
        <w:t xml:space="preserve">gasta, no ótimo, uma fração fixa da renda em cada bem. Se</w:t>
      </w:r>
      <w:r>
        <w:rPr>
          <w:b/>
          <w:bCs/>
        </w:rPr>
        <w:t xml:space="preserve"> </w:t>
      </w:r>
      <m:oMath>
        <m:r>
          <m:t>a</m:t>
        </m:r>
        <m:r>
          <m:rPr>
            <m:sty m:val="p"/>
          </m:rPr>
          <m:t>=</m:t>
        </m:r>
        <m:r>
          <m:t>1</m:t>
        </m:r>
      </m:oMath>
      <w:r>
        <w:rPr>
          <w:b/>
          <w:bCs/>
        </w:rPr>
        <w:t xml:space="preserve"> </w:t>
      </w:r>
      <w:r>
        <w:rPr>
          <w:b/>
          <w:bCs/>
        </w:rPr>
        <w:t xml:space="preserve">e</w:t>
      </w:r>
      <w:r>
        <w:rPr>
          <w:b/>
          <w:bCs/>
        </w:rPr>
        <w:t xml:space="preserve"> </w:t>
      </w:r>
      <m:oMath>
        <m:r>
          <m:t>b</m:t>
        </m:r>
        <m:r>
          <m:rPr>
            <m:sty m:val="p"/>
          </m:rPr>
          <m:t>=</m:t>
        </m:r>
        <m:r>
          <m:t>3</m:t>
        </m:r>
      </m:oMath>
      <w:r>
        <w:rPr>
          <w:b/>
          <w:bCs/>
        </w:rPr>
        <w:t xml:space="preserve">, qual fração da renda é gasta no bem 1?</w:t>
      </w:r>
    </w:p>
    <w:p>
      <w:pPr>
        <w:pStyle w:val="Compact"/>
        <w:numPr>
          <w:ilvl w:val="0"/>
          <w:numId w:val="1168"/>
        </w:numPr>
      </w:pPr>
    </w:p>
    <w:p>
      <w:pPr>
        <w:pStyle w:val="Compact"/>
        <w:numPr>
          <w:ilvl w:val="1"/>
          <w:numId w:val="1169"/>
        </w:numPr>
      </w:pPr>
      <m:oMath>
        <m:r>
          <m:t>1</m:t>
        </m:r>
        <m:r>
          <m:rPr>
            <m:sty m:val="p"/>
          </m:rPr>
          <m:t>/</m:t>
        </m:r>
        <m:r>
          <m:t>3</m:t>
        </m:r>
      </m:oMath>
    </w:p>
    <w:p>
      <w:pPr>
        <w:pStyle w:val="Compact"/>
        <w:numPr>
          <w:ilvl w:val="0"/>
          <w:numId w:val="1168"/>
        </w:numPr>
      </w:pPr>
    </w:p>
    <w:p>
      <w:pPr>
        <w:pStyle w:val="Compact"/>
        <w:numPr>
          <w:ilvl w:val="1"/>
          <w:numId w:val="1170"/>
        </w:numPr>
      </w:pPr>
      <m:oMath>
        <m:r>
          <m:t>3</m:t>
        </m:r>
        <m:r>
          <m:rPr>
            <m:sty m:val="p"/>
          </m:rPr>
          <m:t>/</m:t>
        </m:r>
        <m:r>
          <m:t>4</m:t>
        </m:r>
      </m:oMath>
    </w:p>
    <w:p>
      <w:pPr>
        <w:pStyle w:val="Compact"/>
        <w:numPr>
          <w:ilvl w:val="0"/>
          <w:numId w:val="1168"/>
        </w:numPr>
      </w:pPr>
    </w:p>
    <w:p>
      <w:pPr>
        <w:pStyle w:val="Compact"/>
        <w:numPr>
          <w:ilvl w:val="1"/>
          <w:numId w:val="1171"/>
        </w:numPr>
      </w:pPr>
      <m:oMath>
        <m:r>
          <m:t>1</m:t>
        </m:r>
        <m:r>
          <m:rPr>
            <m:sty m:val="p"/>
          </m:rPr>
          <m:t>/</m:t>
        </m:r>
        <m:r>
          <m:t>4</m:t>
        </m:r>
      </m:oMath>
    </w:p>
    <w:p>
      <w:pPr>
        <w:pStyle w:val="Compact"/>
        <w:numPr>
          <w:ilvl w:val="0"/>
          <w:numId w:val="1168"/>
        </w:numPr>
      </w:pPr>
    </w:p>
    <w:p>
      <w:pPr>
        <w:pStyle w:val="Compact"/>
        <w:numPr>
          <w:ilvl w:val="1"/>
          <w:numId w:val="1172"/>
        </w:numPr>
      </w:pPr>
      <m:oMath>
        <m:r>
          <m:t>1</m:t>
        </m:r>
        <m:r>
          <m:rPr>
            <m:sty m:val="p"/>
          </m:rPr>
          <m:t>/</m:t>
        </m:r>
        <m:r>
          <m:t>2</m:t>
        </m:r>
      </m:oMath>
    </w:p>
    <w:p>
      <w:pPr>
        <w:pStyle w:val="BlockText"/>
      </w:pPr>
      <w:r>
        <w:t xml:space="preserve">??? success</w:t>
      </w:r>
      <w:r>
        <w:t xml:space="preserve"> </w:t>
      </w:r>
      <w:r>
        <w:t xml:space="preserve">“Resposta”</w:t>
      </w:r>
      <w:r>
        <w:t xml:space="preserve"> </w:t>
      </w:r>
      <w:r>
        <w:rPr>
          <w:b/>
          <w:bCs/>
        </w:rPr>
        <w:t xml:space="preserve">(c)</w:t>
      </w:r>
      <w:r>
        <w:t xml:space="preserve"> </w:t>
      </w:r>
      <w:r>
        <w:t xml:space="preserve">Na Cobb-Douglas</w:t>
      </w:r>
      <w:r>
        <w:t xml:space="preserve"> </w:t>
      </w:r>
      <m:oMath>
        <m:r>
          <m:t>u</m:t>
        </m:r>
        <m:r>
          <m:rPr>
            <m:sty m:val="p"/>
          </m:rPr>
          <m:t>=</m:t>
        </m:r>
        <m:sSubSup>
          <m:e>
            <m:r>
              <m:t>x</m:t>
            </m:r>
          </m:e>
          <m:sub>
            <m:r>
              <m:t>1</m:t>
            </m:r>
          </m:sub>
          <m:sup>
            <m:r>
              <m:t>a</m:t>
            </m:r>
          </m:sup>
        </m:sSubSup>
        <m:sSubSup>
          <m:e>
            <m:r>
              <m:t>x</m:t>
            </m:r>
          </m:e>
          <m:sub>
            <m:r>
              <m:t>2</m:t>
            </m:r>
          </m:sub>
          <m:sup>
            <m:r>
              <m:t>b</m:t>
            </m:r>
          </m:sup>
        </m:sSubSup>
      </m:oMath>
      <w:r>
        <w:t xml:space="preserve">, a fração gasta no bem</w:t>
      </w:r>
      <w:r>
        <w:t xml:space="preserve"> </w:t>
      </w:r>
      <m:oMath>
        <m:r>
          <m:t>i</m:t>
        </m:r>
      </m:oMath>
      <w:r>
        <w:t xml:space="preserve"> </w:t>
      </w:r>
      <w:r>
        <w:t xml:space="preserve">é o expoente dividido pela soma dos expoentes. Para o bem 1:</w:t>
      </w:r>
      <w:r>
        <w:t xml:space="preserve"> </w:t>
      </w:r>
      <m:oMath>
        <m:r>
          <m:t>a</m:t>
        </m:r>
        <m:r>
          <m:rPr>
            <m:sty m:val="p"/>
          </m:rPr>
          <m:t>/</m:t>
        </m:r>
        <m:r>
          <m:rPr>
            <m:sty m:val="p"/>
          </m:rPr>
          <m:t>(</m:t>
        </m:r>
        <m:r>
          <m:t>a</m:t>
        </m:r>
        <m:r>
          <m:rPr>
            <m:sty m:val="p"/>
          </m:rPr>
          <m:t>+</m:t>
        </m:r>
        <m:r>
          <m:t>b</m:t>
        </m:r>
        <m:r>
          <m:rPr>
            <m:sty m:val="p"/>
          </m:rPr>
          <m:t>)</m:t>
        </m:r>
        <m:r>
          <m:rPr>
            <m:sty m:val="p"/>
          </m:rPr>
          <m:t>=</m:t>
        </m:r>
        <m:r>
          <m:t>1</m:t>
        </m:r>
        <m:r>
          <m:rPr>
            <m:sty m:val="p"/>
          </m:rPr>
          <m:t>/</m:t>
        </m:r>
        <m:r>
          <m:rPr>
            <m:sty m:val="p"/>
          </m:rPr>
          <m:t>(</m:t>
        </m:r>
        <m:r>
          <m:t>1</m:t>
        </m:r>
        <m:r>
          <m:rPr>
            <m:sty m:val="p"/>
          </m:rPr>
          <m:t>+</m:t>
        </m:r>
        <m:r>
          <m:t>3</m:t>
        </m:r>
        <m:r>
          <m:rPr>
            <m:sty m:val="p"/>
          </m:rPr>
          <m:t>)</m:t>
        </m:r>
        <m:r>
          <m:rPr>
            <m:sty m:val="p"/>
          </m:rPr>
          <m:t>=</m:t>
        </m:r>
        <m:r>
          <m:t>1</m:t>
        </m:r>
        <m:r>
          <m:rPr>
            <m:sty m:val="p"/>
          </m:rPr>
          <m:t>/</m:t>
        </m:r>
        <m:r>
          <m:t>4</m:t>
        </m:r>
      </m:oMath>
      <w:r>
        <w:t xml:space="preserve">. A alternativa (b) =</w:t>
      </w:r>
      <w:r>
        <w:t xml:space="preserve"> </w:t>
      </w:r>
      <m:oMath>
        <m:r>
          <m:t>3</m:t>
        </m:r>
        <m:r>
          <m:rPr>
            <m:sty m:val="p"/>
          </m:rPr>
          <m:t>/</m:t>
        </m:r>
        <m:r>
          <m:t>4</m:t>
        </m:r>
      </m:oMath>
      <w:r>
        <w:t xml:space="preserve"> </w:t>
      </w:r>
      <w:r>
        <w:t xml:space="preserve">é a fração gasta no bem 2; (a) e (d) usam cálculos incorretos.</w:t>
      </w:r>
    </w:p>
    <w:p>
      <w:pPr>
        <w:pStyle w:val="BlockText"/>
      </w:pPr>
      <w:r>
        <w:rPr>
          <w:b/>
          <w:bCs/>
        </w:rPr>
        <w:t xml:space="preserve">[QUESTAO] 6. A Identidade de Roy e o Lema de Shephard são úteis porque:</w:t>
      </w:r>
    </w:p>
    <w:p>
      <w:pPr>
        <w:pStyle w:val="Compact"/>
        <w:numPr>
          <w:ilvl w:val="0"/>
          <w:numId w:val="1173"/>
        </w:numPr>
      </w:pPr>
    </w:p>
    <w:p>
      <w:pPr>
        <w:pStyle w:val="Compact"/>
        <w:numPr>
          <w:ilvl w:val="1"/>
          <w:numId w:val="1174"/>
        </w:numPr>
      </w:pPr>
      <w:r>
        <w:t xml:space="preserve">Permitem resolver o problema do consumidor sem usar Lagrangeano</w:t>
      </w:r>
    </w:p>
    <w:p>
      <w:pPr>
        <w:pStyle w:val="Compact"/>
        <w:numPr>
          <w:ilvl w:val="0"/>
          <w:numId w:val="1173"/>
        </w:numPr>
      </w:pPr>
    </w:p>
    <w:p>
      <w:pPr>
        <w:pStyle w:val="Compact"/>
        <w:numPr>
          <w:ilvl w:val="1"/>
          <w:numId w:val="1175"/>
        </w:numPr>
      </w:pPr>
      <w:r>
        <w:t xml:space="preserve">Recuperam as demandas marshalliana e hicksiana a partir de</w:t>
      </w:r>
      <w:r>
        <w:t xml:space="preserve"> </w:t>
      </w:r>
      <m:oMath>
        <m:r>
          <m:t>V</m:t>
        </m:r>
      </m:oMath>
      <w:r>
        <w:t xml:space="preserve"> </w:t>
      </w:r>
      <w:r>
        <w:t xml:space="preserve">e</w:t>
      </w:r>
      <w:r>
        <w:t xml:space="preserve"> </w:t>
      </w:r>
      <m:oMath>
        <m:r>
          <m:t>E</m:t>
        </m:r>
      </m:oMath>
      <w:r>
        <w:t xml:space="preserve">, respectivamente, usando apenas derivadas parciais</w:t>
      </w:r>
    </w:p>
    <w:p>
      <w:pPr>
        <w:pStyle w:val="Compact"/>
        <w:numPr>
          <w:ilvl w:val="0"/>
          <w:numId w:val="1173"/>
        </w:numPr>
      </w:pPr>
    </w:p>
    <w:p>
      <w:pPr>
        <w:pStyle w:val="Compact"/>
        <w:numPr>
          <w:ilvl w:val="1"/>
          <w:numId w:val="1176"/>
        </w:numPr>
      </w:pPr>
      <w:r>
        <w:t xml:space="preserve">Demonstram que as demandas marshalliana e hicksiana são sempre iguais</w:t>
      </w:r>
    </w:p>
    <w:p>
      <w:pPr>
        <w:pStyle w:val="Compact"/>
        <w:numPr>
          <w:ilvl w:val="0"/>
          <w:numId w:val="1173"/>
        </w:numPr>
      </w:pPr>
    </w:p>
    <w:p>
      <w:pPr>
        <w:pStyle w:val="Compact"/>
        <w:numPr>
          <w:ilvl w:val="1"/>
          <w:numId w:val="1177"/>
        </w:numPr>
      </w:pPr>
      <w:r>
        <w:t xml:space="preserve">São válidos apenas para a função Cobb-Douglas</w:t>
      </w:r>
    </w:p>
    <w:p>
      <w:pPr>
        <w:pStyle w:val="BlockText"/>
      </w:pPr>
      <w:r>
        <w:t xml:space="preserve">??? success</w:t>
      </w:r>
      <w:r>
        <w:t xml:space="preserve"> </w:t>
      </w:r>
      <w:r>
        <w:t xml:space="preserve">“Resposta”</w:t>
      </w:r>
      <w:r>
        <w:t xml:space="preserve"> </w:t>
      </w:r>
      <w:r>
        <w:rPr>
          <w:b/>
          <w:bCs/>
        </w:rPr>
        <w:t xml:space="preserve">(b)</w:t>
      </w:r>
      <w:r>
        <w:t xml:space="preserve"> </w:t>
      </w:r>
      <w:r>
        <w:t xml:space="preserve">A Identidade de Roy recupera a demanda marshalliana a partir de</w:t>
      </w:r>
      <w:r>
        <w:t xml:space="preserve"> </w:t>
      </w:r>
      <m:oMath>
        <m:r>
          <m:t>V</m:t>
        </m:r>
      </m:oMath>
      <w:r>
        <w:t xml:space="preserve">:</w:t>
      </w:r>
      <w:r>
        <w:t xml:space="preserve"> </w:t>
      </w:r>
      <m:oMath>
        <m:sSub>
          <m:e>
            <m:r>
              <m:t>x</m:t>
            </m:r>
          </m:e>
          <m:sub>
            <m:r>
              <m:t>i</m:t>
            </m:r>
          </m:sub>
        </m:sSub>
        <m:r>
          <m:rPr>
            <m:sty m:val="p"/>
          </m:rPr>
          <m:t>=</m:t>
        </m:r>
        <m:r>
          <m:rPr>
            <m:sty m:val="p"/>
          </m:rPr>
          <m:t>−</m:t>
        </m:r>
        <m:r>
          <m:rPr>
            <m:sty m:val="p"/>
          </m:rPr>
          <m:t>(</m:t>
        </m:r>
        <m:r>
          <m:rPr>
            <m:sty m:val="p"/>
          </m:rPr>
          <m:t>∂</m:t>
        </m:r>
        <m:r>
          <m:t>V</m:t>
        </m:r>
        <m:r>
          <m:rPr>
            <m:sty m:val="p"/>
          </m:rPr>
          <m:t>/</m:t>
        </m:r>
        <m:r>
          <m:rPr>
            <m:sty m:val="p"/>
          </m:rPr>
          <m:t>∂</m:t>
        </m:r>
        <m:sSub>
          <m:e>
            <m:r>
              <m:t>p</m:t>
            </m:r>
          </m:e>
          <m:sub>
            <m:r>
              <m:t>i</m:t>
            </m:r>
          </m:sub>
        </m:sSub>
        <m:r>
          <m:rPr>
            <m:sty m:val="p"/>
          </m:rPr>
          <m:t>)</m:t>
        </m:r>
        <m:r>
          <m:rPr>
            <m:sty m:val="p"/>
          </m:rPr>
          <m:t>/</m:t>
        </m:r>
        <m:r>
          <m:rPr>
            <m:sty m:val="p"/>
          </m:rPr>
          <m:t>(</m:t>
        </m:r>
        <m:r>
          <m:rPr>
            <m:sty m:val="p"/>
          </m:rPr>
          <m:t>∂</m:t>
        </m:r>
        <m:r>
          <m:t>V</m:t>
        </m:r>
        <m:r>
          <m:rPr>
            <m:sty m:val="p"/>
          </m:rPr>
          <m:t>/</m:t>
        </m:r>
        <m:r>
          <m:rPr>
            <m:sty m:val="p"/>
          </m:rPr>
          <m:t>∂</m:t>
        </m:r>
        <m:r>
          <m:t>I</m:t>
        </m:r>
        <m:r>
          <m:rPr>
            <m:sty m:val="p"/>
          </m:rPr>
          <m:t>)</m:t>
        </m:r>
      </m:oMath>
      <w:r>
        <w:t xml:space="preserve">. O Lema de Shephard recupera a demanda hicksiana a partir de</w:t>
      </w:r>
      <w:r>
        <w:t xml:space="preserve"> </w:t>
      </w:r>
      <m:oMath>
        <m:r>
          <m:t>E</m:t>
        </m:r>
      </m:oMath>
      <w:r>
        <w:t xml:space="preserve">:</w:t>
      </w:r>
      <w:r>
        <w:t xml:space="preserve"> </w:t>
      </w:r>
      <m:oMath>
        <m:sSub>
          <m:e>
            <m:r>
              <m:t>h</m:t>
            </m:r>
          </m:e>
          <m:sub>
            <m:r>
              <m:t>i</m:t>
            </m:r>
          </m:sub>
        </m:sSub>
        <m:r>
          <m:rPr>
            <m:sty m:val="p"/>
          </m:rPr>
          <m:t>=</m:t>
        </m:r>
        <m:r>
          <m:rPr>
            <m:sty m:val="p"/>
          </m:rPr>
          <m:t>∂</m:t>
        </m:r>
        <m:r>
          <m:t>E</m:t>
        </m:r>
        <m:r>
          <m:rPr>
            <m:sty m:val="p"/>
          </m:rPr>
          <m:t>/</m:t>
        </m:r>
        <m:r>
          <m:rPr>
            <m:sty m:val="p"/>
          </m:rPr>
          <m:t>∂</m:t>
        </m:r>
        <m:sSub>
          <m:e>
            <m:r>
              <m:t>p</m:t>
            </m:r>
          </m:e>
          <m:sub>
            <m:r>
              <m:t>i</m:t>
            </m:r>
          </m:sub>
        </m:sSub>
      </m:oMath>
      <w:r>
        <w:t xml:space="preserve">. Ambos evitam</w:t>
      </w:r>
      <w:r>
        <w:t xml:space="preserve"> </w:t>
      </w:r>
      <w:r>
        <w:rPr>
          <w:i/>
          <w:iCs/>
        </w:rPr>
        <w:t xml:space="preserve">re-resolver</w:t>
      </w:r>
      <w:r>
        <w:t xml:space="preserve"> </w:t>
      </w:r>
      <w:r>
        <w:t xml:space="preserve">o problema de otimização — basta derivar funções já conhecidas. A alternativa (a) é imprecisa: o Lagrangeano é necessário para obter</w:t>
      </w:r>
      <w:r>
        <w:t xml:space="preserve"> </w:t>
      </w:r>
      <m:oMath>
        <m:r>
          <m:t>V</m:t>
        </m:r>
      </m:oMath>
      <w:r>
        <w:t xml:space="preserve"> </w:t>
      </w:r>
      <w:r>
        <w:t xml:space="preserve">e</w:t>
      </w:r>
      <w:r>
        <w:t xml:space="preserve"> </w:t>
      </w:r>
      <m:oMath>
        <m:r>
          <m:t>E</m:t>
        </m:r>
      </m:oMath>
      <w:r>
        <w:t xml:space="preserve"> </w:t>
      </w:r>
      <w:r>
        <w:t xml:space="preserve">inicialmente; (c) só vale para utilidade quase-linear; (d) são resultados gerais.</w:t>
      </w:r>
    </w:p>
    <w:p>
      <w:r>
        <w:pict>
          <v:rect style="width:0;height:1.5pt" o:hralign="center" o:hrstd="t" o:hr="t"/>
        </w:pict>
      </w:r>
    </w:p>
    <w:bookmarkEnd w:id="219"/>
    <w:bookmarkStart w:id="220" w:name="resumo-do-capítulo-2"/>
    <w:p>
      <w:pPr>
        <w:pStyle w:val="Heading3"/>
      </w:pPr>
      <w:r>
        <w:t xml:space="preserve">📋 Resumo do Capítulo</w:t>
      </w:r>
    </w:p>
    <w:p>
      <w:pPr>
        <w:pStyle w:val="Compact"/>
        <w:numPr>
          <w:ilvl w:val="0"/>
          <w:numId w:val="1178"/>
        </w:numPr>
      </w:pPr>
      <w:r>
        <w:t xml:space="preserve">O</w:t>
      </w:r>
      <w:r>
        <w:t xml:space="preserve"> </w:t>
      </w:r>
      <w:r>
        <w:rPr>
          <w:b/>
          <w:bCs/>
        </w:rPr>
        <w:t xml:space="preserve">problema do consumidor</w:t>
      </w:r>
      <w:r>
        <w:t xml:space="preserve"> </w:t>
      </w:r>
      <w:r>
        <w:t xml:space="preserve">consiste em maximizar a utilidade sujeita à restrição orçamentária</w:t>
      </w:r>
      <w:r>
        <w:t xml:space="preserve"> </w:t>
      </w: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oMath>
      <w:r>
        <w:t xml:space="preserve">. A solução interior exige</w:t>
      </w:r>
      <w:r>
        <w:t xml:space="preserve"> </w:t>
      </w:r>
      <w:r>
        <w:rPr>
          <w:b/>
          <w:bCs/>
        </w:rPr>
        <w:t xml:space="preserve">tangência</w:t>
      </w:r>
      <w:r>
        <w:t xml:space="preserve"> </w:t>
      </w:r>
      <w:r>
        <w:t xml:space="preserve">entre curva de indiferença e reta orçamentária:</w:t>
      </w:r>
      <w:r>
        <w:t xml:space="preserve"> </w:t>
      </w:r>
      <m:oMath>
        <m:sSub>
          <m:e>
            <m:r>
              <m:rPr>
                <m:nor/>
                <m:sty m:val="p"/>
              </m:rPr>
              <m:t>TMS</m:t>
            </m:r>
          </m:e>
          <m:sub>
            <m:r>
              <m:t>12</m:t>
            </m:r>
          </m:sub>
        </m:sSub>
        <m:r>
          <m:rPr>
            <m:sty m:val="p"/>
          </m:rPr>
          <m:t>=</m:t>
        </m:r>
        <m:sSub>
          <m:e>
            <m:r>
              <m:t>p</m:t>
            </m:r>
          </m:e>
          <m:sub>
            <m:r>
              <m:t>1</m:t>
            </m:r>
          </m:sub>
        </m:sSub>
        <m:r>
          <m:rPr>
            <m:sty m:val="p"/>
          </m:rPr>
          <m:t>/</m:t>
        </m:r>
        <m:sSub>
          <m:e>
            <m:r>
              <m:t>p</m:t>
            </m:r>
          </m:e>
          <m:sub>
            <m:r>
              <m:t>2</m:t>
            </m:r>
          </m:sub>
        </m:sSub>
      </m:oMath>
      <w:r>
        <w:t xml:space="preserve">, ou equivalentemente, igualdade da utilidade marginal por real gasto em cada bem.</w:t>
      </w:r>
    </w:p>
    <w:p>
      <w:pPr>
        <w:pStyle w:val="Compact"/>
        <w:numPr>
          <w:ilvl w:val="0"/>
          <w:numId w:val="1178"/>
        </w:numPr>
      </w:pPr>
      <w:r>
        <w:t xml:space="preserve">O</w:t>
      </w:r>
      <w:r>
        <w:t xml:space="preserve"> </w:t>
      </w:r>
      <w:r>
        <w:rPr>
          <w:b/>
          <w:bCs/>
        </w:rPr>
        <w:t xml:space="preserve">método de Lagrange</w:t>
      </w:r>
      <w:r>
        <w:t xml:space="preserve"> </w:t>
      </w:r>
      <w:r>
        <w:t xml:space="preserve">generaliza a solução para</w:t>
      </w:r>
      <w:r>
        <w:t xml:space="preserve"> </w:t>
      </w:r>
      <m:oMath>
        <m:r>
          <m:t>n</m:t>
        </m:r>
      </m:oMath>
      <w:r>
        <w:t xml:space="preserve"> </w:t>
      </w:r>
      <w:r>
        <w:t xml:space="preserve">bens; o multiplicador</w:t>
      </w:r>
      <w:r>
        <w:t xml:space="preserve"> </w:t>
      </w:r>
      <m:oMath>
        <m:r>
          <m:t>λ</m:t>
        </m:r>
      </m:oMath>
      <w:r>
        <w:t xml:space="preserve"> </w:t>
      </w:r>
      <w:r>
        <w:t xml:space="preserve">é a</w:t>
      </w:r>
      <w:r>
        <w:t xml:space="preserve"> </w:t>
      </w:r>
      <w:r>
        <w:rPr>
          <w:b/>
          <w:bCs/>
        </w:rPr>
        <w:t xml:space="preserve">utilidade marginal da renda</w:t>
      </w:r>
      <w:r>
        <w:t xml:space="preserve">. As</w:t>
      </w:r>
      <w:r>
        <w:t xml:space="preserve"> </w:t>
      </w:r>
      <w:r>
        <w:rPr>
          <w:b/>
          <w:bCs/>
        </w:rPr>
        <w:t xml:space="preserve">funções de demanda marshalliana</w:t>
      </w:r>
      <w:r>
        <w:t xml:space="preserve"> </w:t>
      </w:r>
      <m:oMath>
        <m:sSub>
          <m:e>
            <m:r>
              <m:t>x</m:t>
            </m:r>
          </m:e>
          <m:sub>
            <m:r>
              <m:t>i</m:t>
            </m:r>
          </m:sub>
        </m:sSub>
        <m:r>
          <m:rPr>
            <m:sty m:val="p"/>
          </m:rPr>
          <m:t>(</m:t>
        </m:r>
        <m:r>
          <m:rPr>
            <m:sty m:val="bi"/>
          </m:rPr>
          <m:t>p</m:t>
        </m:r>
        <m:r>
          <m:rPr>
            <m:sty m:val="p"/>
          </m:rPr>
          <m:t>,</m:t>
        </m:r>
        <m:r>
          <m:t>I</m:t>
        </m:r>
        <m:r>
          <m:rPr>
            <m:sty m:val="p"/>
          </m:rPr>
          <m:t>)</m:t>
        </m:r>
      </m:oMath>
      <w:r>
        <w:t xml:space="preserve"> </w:t>
      </w:r>
      <w:r>
        <w:t xml:space="preserve">resultantes são homogêneas de grau zero em preços e renda e satisfazem a lei de Walras.</w:t>
      </w:r>
    </w:p>
    <w:p>
      <w:pPr>
        <w:pStyle w:val="Compact"/>
        <w:numPr>
          <w:ilvl w:val="0"/>
          <w:numId w:val="1178"/>
        </w:numPr>
      </w:pPr>
      <w:r>
        <w:t xml:space="preserve">A</w:t>
      </w:r>
      <w:r>
        <w:t xml:space="preserve"> </w:t>
      </w:r>
      <w:r>
        <w:rPr>
          <w:b/>
          <w:bCs/>
        </w:rPr>
        <w:t xml:space="preserve">função de utilidade indireta</w:t>
      </w:r>
      <w:r>
        <w:t xml:space="preserve"> </w:t>
      </w:r>
      <m:oMath>
        <m:r>
          <m:t>V</m:t>
        </m:r>
        <m:r>
          <m:rPr>
            <m:sty m:val="p"/>
          </m:rPr>
          <m:t>(</m:t>
        </m:r>
        <m:r>
          <m:rPr>
            <m:sty m:val="bi"/>
          </m:rPr>
          <m:t>p</m:t>
        </m:r>
        <m:r>
          <m:rPr>
            <m:sty m:val="p"/>
          </m:rPr>
          <m:t>,</m:t>
        </m:r>
        <m:r>
          <m:t>I</m:t>
        </m:r>
        <m:r>
          <m:rPr>
            <m:sty m:val="p"/>
          </m:rPr>
          <m:t>)</m:t>
        </m:r>
      </m:oMath>
      <w:r>
        <w:t xml:space="preserve"> </w:t>
      </w:r>
      <w:r>
        <w:t xml:space="preserve">expressa a utilidade máxima alcançável dados preços e renda. A</w:t>
      </w:r>
      <w:r>
        <w:t xml:space="preserve"> </w:t>
      </w:r>
      <w:r>
        <w:rPr>
          <w:b/>
          <w:bCs/>
        </w:rPr>
        <w:t xml:space="preserve">Identidade de Roy</w:t>
      </w:r>
      <w:r>
        <w:t xml:space="preserve"> </w:t>
      </w:r>
      <w:r>
        <w:t xml:space="preserve">recupera as demandas marshallianas a partir de</w:t>
      </w:r>
      <w:r>
        <w:t xml:space="preserve"> </w:t>
      </w:r>
      <m:oMath>
        <m:r>
          <m:t>V</m:t>
        </m:r>
      </m:oMath>
      <w:r>
        <w:t xml:space="preserve">.</w:t>
      </w:r>
    </w:p>
    <w:p>
      <w:pPr>
        <w:pStyle w:val="Compact"/>
        <w:numPr>
          <w:ilvl w:val="0"/>
          <w:numId w:val="1178"/>
        </w:numPr>
      </w:pPr>
      <w:r>
        <w:t xml:space="preserve">O</w:t>
      </w:r>
      <w:r>
        <w:t xml:space="preserve"> </w:t>
      </w:r>
      <w:r>
        <w:rPr>
          <w:b/>
          <w:bCs/>
        </w:rPr>
        <w:t xml:space="preserve">princípio do montante fixo</w:t>
      </w:r>
      <w:r>
        <w:t xml:space="preserve"> </w:t>
      </w:r>
      <w:r>
        <w:t xml:space="preserve">demonstra que um imposto</w:t>
      </w:r>
      <w:r>
        <w:t xml:space="preserve"> </w:t>
      </w:r>
      <w:r>
        <w:rPr>
          <w:i/>
          <w:iCs/>
        </w:rPr>
        <w:t xml:space="preserve">lump sum</w:t>
      </w:r>
      <w:r>
        <w:t xml:space="preserve"> </w:t>
      </w:r>
      <w:r>
        <w:t xml:space="preserve">causa menor perda de bem-estar que um imposto específico de mesma receita, pois não distorce preços relativos.</w:t>
      </w:r>
    </w:p>
    <w:p>
      <w:pPr>
        <w:pStyle w:val="Compact"/>
        <w:numPr>
          <w:ilvl w:val="0"/>
          <w:numId w:val="1178"/>
        </w:numPr>
      </w:pPr>
      <w:r>
        <w:t xml:space="preserve">O</w:t>
      </w:r>
      <w:r>
        <w:t xml:space="preserve"> </w:t>
      </w:r>
      <w:r>
        <w:rPr>
          <w:b/>
          <w:bCs/>
        </w:rPr>
        <w:t xml:space="preserve">problema dual</w:t>
      </w:r>
      <w:r>
        <w:t xml:space="preserve"> </w:t>
      </w:r>
      <w:r>
        <w:t xml:space="preserve">(minimização do dispêndio) determina o gasto mínimo para atingir um nível de utilidade</w:t>
      </w:r>
      <w:r>
        <w:t xml:space="preserve"> </w:t>
      </w:r>
      <m:oMath>
        <m:acc>
          <m:accPr>
            <m:chr m:val="‾"/>
          </m:accPr>
          <m:e>
            <m:r>
              <m:t>u</m:t>
            </m:r>
          </m:e>
        </m:acc>
      </m:oMath>
      <w:r>
        <w:t xml:space="preserve">, gerando a</w:t>
      </w:r>
      <w:r>
        <w:t xml:space="preserve"> </w:t>
      </w:r>
      <w:r>
        <w:rPr>
          <w:b/>
          <w:bCs/>
        </w:rPr>
        <w:t xml:space="preserve">função dispêndio</w:t>
      </w:r>
      <w:r>
        <w:t xml:space="preserve"> </w:t>
      </w:r>
      <m:oMath>
        <m:r>
          <m:t>E</m:t>
        </m:r>
        <m:r>
          <m:rPr>
            <m:sty m:val="p"/>
          </m:rPr>
          <m:t>(</m:t>
        </m:r>
        <m:r>
          <m:rPr>
            <m:sty m:val="bi"/>
          </m:rPr>
          <m:t>p</m:t>
        </m:r>
        <m:r>
          <m:rPr>
            <m:sty m:val="p"/>
          </m:rPr>
          <m:t>,</m:t>
        </m:r>
        <m:acc>
          <m:accPr>
            <m:chr m:val="‾"/>
          </m:accPr>
          <m:e>
            <m:r>
              <m:t>u</m:t>
            </m:r>
          </m:e>
        </m:acc>
        <m:r>
          <m:rPr>
            <m:sty m:val="p"/>
          </m:rPr>
          <m:t>)</m:t>
        </m:r>
      </m:oMath>
      <w:r>
        <w:t xml:space="preserve"> </w:t>
      </w:r>
      <w:r>
        <w:t xml:space="preserve">e as</w:t>
      </w:r>
      <w:r>
        <w:t xml:space="preserve"> </w:t>
      </w:r>
      <w:r>
        <w:rPr>
          <w:b/>
          <w:bCs/>
        </w:rPr>
        <w:t xml:space="preserve">demandas hicksianas</w:t>
      </w:r>
      <w:r>
        <w:t xml:space="preserve"> </w:t>
      </w:r>
      <m:oMath>
        <m:sSub>
          <m:e>
            <m:r>
              <m:t>h</m:t>
            </m:r>
          </m:e>
          <m:sub>
            <m:r>
              <m:t>i</m:t>
            </m:r>
          </m:sub>
        </m:sSub>
        <m:r>
          <m:rPr>
            <m:sty m:val="p"/>
          </m:rPr>
          <m:t>(</m:t>
        </m:r>
        <m:r>
          <m:rPr>
            <m:sty m:val="bi"/>
          </m:rPr>
          <m:t>p</m:t>
        </m:r>
        <m:r>
          <m:rPr>
            <m:sty m:val="p"/>
          </m:rPr>
          <m:t>,</m:t>
        </m:r>
        <m:acc>
          <m:accPr>
            <m:chr m:val="‾"/>
          </m:accPr>
          <m:e>
            <m:r>
              <m:t>u</m:t>
            </m:r>
          </m:e>
        </m:acc>
        <m:r>
          <m:rPr>
            <m:sty m:val="p"/>
          </m:rPr>
          <m:t>)</m:t>
        </m:r>
      </m:oMath>
      <w:r>
        <w:t xml:space="preserve">. O</w:t>
      </w:r>
      <w:r>
        <w:t xml:space="preserve"> </w:t>
      </w:r>
      <w:r>
        <w:rPr>
          <w:b/>
          <w:bCs/>
        </w:rPr>
        <w:t xml:space="preserve">Lema de Shephard</w:t>
      </w:r>
      <w:r>
        <w:t xml:space="preserve"> </w:t>
      </w:r>
      <w:r>
        <w:t xml:space="preserve">recupera as demandas hicksianas como derivadas da função dispêndio.</w:t>
      </w:r>
    </w:p>
    <w:p>
      <w:pPr>
        <w:pStyle w:val="Compact"/>
        <w:numPr>
          <w:ilvl w:val="0"/>
          <w:numId w:val="1178"/>
        </w:numPr>
      </w:pPr>
      <w:r>
        <w:t xml:space="preserve">A</w:t>
      </w:r>
      <w:r>
        <w:t xml:space="preserve"> </w:t>
      </w:r>
      <w:r>
        <w:rPr>
          <w:b/>
          <w:bCs/>
        </w:rPr>
        <w:t xml:space="preserve">dualidade</w:t>
      </w:r>
      <w:r>
        <w:t xml:space="preserve"> </w:t>
      </w:r>
      <w:r>
        <w:t xml:space="preserve">conecta os problemas primal e dual:</w:t>
      </w:r>
      <w:r>
        <w:t xml:space="preserve"> </w:t>
      </w:r>
      <m:oMath>
        <m:r>
          <m:t>V</m:t>
        </m:r>
      </m:oMath>
      <w:r>
        <w:t xml:space="preserve"> </w:t>
      </w:r>
      <w:r>
        <w:t xml:space="preserve">e</w:t>
      </w:r>
      <w:r>
        <w:t xml:space="preserve"> </w:t>
      </w:r>
      <m:oMath>
        <m:r>
          <m:t>E</m:t>
        </m:r>
      </m:oMath>
      <w:r>
        <w:t xml:space="preserve"> </w:t>
      </w:r>
      <w:r>
        <w:t xml:space="preserve">são inversas uma da outra (fixados os preços), e as demandas marshalliana e hicksiana se relacionam pelas identidades</w:t>
      </w:r>
      <w:r>
        <w:t xml:space="preserve"> </w:t>
      </w:r>
      <m:oMath>
        <m:sSub>
          <m:e>
            <m:r>
              <m:t>x</m:t>
            </m:r>
          </m:e>
          <m:sub>
            <m:r>
              <m:t>i</m:t>
            </m:r>
          </m:sub>
        </m:sSub>
        <m:r>
          <m:rPr>
            <m:sty m:val="p"/>
          </m:rPr>
          <m:t>(</m:t>
        </m:r>
        <m:r>
          <m:rPr>
            <m:sty m:val="bi"/>
          </m:rPr>
          <m:t>p</m:t>
        </m:r>
        <m:r>
          <m:rPr>
            <m:sty m:val="p"/>
          </m:rPr>
          <m:t>,</m:t>
        </m:r>
        <m:r>
          <m:t>I</m:t>
        </m:r>
        <m:r>
          <m:rPr>
            <m:sty m:val="p"/>
          </m:rPr>
          <m:t>)</m:t>
        </m:r>
        <m:r>
          <m:rPr>
            <m:sty m:val="p"/>
          </m:rPr>
          <m:t>=</m:t>
        </m:r>
        <m:sSub>
          <m:e>
            <m:r>
              <m:t>h</m:t>
            </m:r>
          </m:e>
          <m:sub>
            <m:r>
              <m:t>i</m:t>
            </m:r>
          </m:sub>
        </m:sSub>
        <m:r>
          <m:rPr>
            <m:sty m:val="p"/>
          </m:rPr>
          <m:t>(</m:t>
        </m:r>
        <m:r>
          <m:rPr>
            <m:sty m:val="bi"/>
          </m:rPr>
          <m:t>p</m:t>
        </m:r>
        <m:r>
          <m:rPr>
            <m:sty m:val="p"/>
          </m:rPr>
          <m:t>,</m:t>
        </m:r>
        <m:r>
          <m:t>V</m:t>
        </m:r>
        <m:r>
          <m:rPr>
            <m:sty m:val="p"/>
          </m:rPr>
          <m:t>(</m:t>
        </m:r>
        <m:r>
          <m:rPr>
            <m:sty m:val="bi"/>
          </m:rPr>
          <m:t>p</m:t>
        </m:r>
        <m:r>
          <m:rPr>
            <m:sty m:val="p"/>
          </m:rPr>
          <m:t>,</m:t>
        </m:r>
        <m:r>
          <m:t>I</m:t>
        </m:r>
        <m:r>
          <m:rPr>
            <m:sty m:val="p"/>
          </m:rPr>
          <m:t>)</m:t>
        </m:r>
        <m:r>
          <m:rPr>
            <m:sty m:val="p"/>
          </m:rPr>
          <m:t>)</m:t>
        </m:r>
      </m:oMath>
      <w:r>
        <w:t xml:space="preserve">.</w:t>
      </w:r>
    </w:p>
    <w:bookmarkEnd w:id="220"/>
    <w:bookmarkStart w:id="221" w:name="conceitos-chave-2"/>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Restrição orçamentária</w:t>
            </w:r>
          </w:p>
        </w:tc>
        <w:tc>
          <w:tcPr/>
          <w:p>
            <w:pPr>
              <w:pStyle w:val="Compact"/>
            </w:pPr>
            <w:r>
              <w:t xml:space="preserve">Conjunto de cestas acessíveis dado preços e renda:</w:t>
            </w:r>
            <w:r>
              <w:t xml:space="preserve"> </w:t>
            </w: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oMath>
            <w:r>
              <w:t xml:space="preserve">. A inclinação da reta orçamentária (</w:t>
            </w:r>
            <m:oMath>
              <m:r>
                <m:rPr>
                  <m:sty m:val="p"/>
                </m:rPr>
                <m:t>−</m:t>
              </m:r>
              <m:sSub>
                <m:e>
                  <m:r>
                    <m:t>p</m:t>
                  </m:r>
                </m:e>
                <m:sub>
                  <m:r>
                    <m:t>1</m:t>
                  </m:r>
                </m:sub>
              </m:sSub>
              <m:r>
                <m:rPr>
                  <m:sty m:val="p"/>
                </m:rPr>
                <m:t>/</m:t>
              </m:r>
              <m:sSub>
                <m:e>
                  <m:r>
                    <m:t>p</m:t>
                  </m:r>
                </m:e>
                <m:sub>
                  <m:r>
                    <m:t>2</m:t>
                  </m:r>
                </m:sub>
              </m:sSub>
            </m:oMath>
            <w:r>
              <w:t xml:space="preserve">) é o custo de oportunidade do bem 1 em termos do bem 2.</w:t>
            </w:r>
          </w:p>
        </w:tc>
      </w:tr>
      <w:tr>
        <w:tc>
          <w:tcPr/>
          <w:p>
            <w:pPr>
              <w:pStyle w:val="Compact"/>
            </w:pPr>
            <w:r>
              <w:t xml:space="preserve">Condição de tangência</w:t>
            </w:r>
          </w:p>
        </w:tc>
        <w:tc>
          <w:tcPr/>
          <w:p>
            <w:pPr>
              <w:pStyle w:val="Compact"/>
            </w:pPr>
            <w:r>
              <w:t xml:space="preserve">No ótimo interior, a TMS iguala a razão de preços: a taxa de troca subjetiva coincide com a taxa de troca objetiva do mercado.</w:t>
            </w:r>
          </w:p>
        </w:tc>
      </w:tr>
      <w:tr>
        <w:tc>
          <w:tcPr/>
          <w:p>
            <w:pPr>
              <w:pStyle w:val="Compact"/>
            </w:pPr>
            <w:r>
              <w:t xml:space="preserve">Demanda marshalliana (walrasiana)</w:t>
            </w:r>
          </w:p>
        </w:tc>
        <w:tc>
          <w:tcPr/>
          <w:p>
            <w:pPr>
              <w:pStyle w:val="Compact"/>
            </w:pPr>
            <w:r>
              <w:t xml:space="preserve">Quantidade ótima de cada bem como função dos preços e da renda:</w:t>
            </w:r>
            <w:r>
              <w:t xml:space="preserve"> </w:t>
            </w:r>
            <m:oMath>
              <m:sSubSup>
                <m:e>
                  <m:r>
                    <m:t>x</m:t>
                  </m:r>
                </m:e>
                <m:sub>
                  <m:r>
                    <m:t>i</m:t>
                  </m:r>
                </m:sub>
                <m:sup>
                  <m:r>
                    <m:rPr>
                      <m:sty m:val="p"/>
                    </m:rPr>
                    <m:t>*</m:t>
                  </m:r>
                </m:sup>
              </m:sSubSup>
              <m:r>
                <m:rPr>
                  <m:sty m:val="p"/>
                </m:rPr>
                <m:t>=</m:t>
              </m:r>
              <m:sSub>
                <m:e>
                  <m:r>
                    <m:t>x</m:t>
                  </m:r>
                </m:e>
                <m:sub>
                  <m:r>
                    <m:t>i</m:t>
                  </m:r>
                </m:sub>
              </m:sSub>
              <m:r>
                <m:rPr>
                  <m:sty m:val="p"/>
                </m:rPr>
                <m:t>(</m:t>
              </m:r>
              <m:r>
                <m:rPr>
                  <m:sty m:val="bi"/>
                </m:rPr>
                <m:t>p</m:t>
              </m:r>
              <m:r>
                <m:rPr>
                  <m:sty m:val="p"/>
                </m:rPr>
                <m:t>,</m:t>
              </m:r>
              <m:r>
                <m:t>I</m:t>
              </m:r>
              <m:r>
                <m:rPr>
                  <m:sty m:val="p"/>
                </m:rPr>
                <m:t>)</m:t>
              </m:r>
            </m:oMath>
            <w:r>
              <w:t xml:space="preserve">. Homogênea de grau zero em</w:t>
            </w:r>
            <w:r>
              <w:t xml:space="preserve"> </w:t>
            </w:r>
            <m:oMath>
              <m:r>
                <m:rPr>
                  <m:sty m:val="p"/>
                </m:rPr>
                <m:t>(</m:t>
              </m:r>
              <m:r>
                <m:rPr>
                  <m:sty m:val="bi"/>
                </m:rPr>
                <m:t>p</m:t>
              </m:r>
              <m:r>
                <m:rPr>
                  <m:sty m:val="p"/>
                </m:rPr>
                <m:t>,</m:t>
              </m:r>
              <m:r>
                <m:t>I</m:t>
              </m:r>
              <m:r>
                <m:rPr>
                  <m:sty m:val="p"/>
                </m:rPr>
                <m:t>)</m:t>
              </m:r>
            </m:oMath>
            <w:r>
              <w:t xml:space="preserve">.</w:t>
            </w:r>
          </w:p>
        </w:tc>
      </w:tr>
      <w:tr>
        <w:tc>
          <w:tcPr/>
          <w:p>
            <w:pPr>
              <w:pStyle w:val="Compact"/>
            </w:pPr>
            <w:r>
              <w:t xml:space="preserve">Utilidade marginal da renda (</w:t>
            </w:r>
            <m:oMath>
              <m:r>
                <m:t>λ</m:t>
              </m:r>
            </m:oMath>
            <w:r>
              <w:t xml:space="preserve">)</w:t>
            </w:r>
          </w:p>
        </w:tc>
        <w:tc>
          <w:tcPr/>
          <w:p>
            <w:pPr>
              <w:pStyle w:val="Compact"/>
            </w:pPr>
            <w:r>
              <w:t xml:space="preserve">Multiplicador de Lagrange do problema do consumidor; mede o ganho de utilidade por unidade monetária adicional de renda.</w:t>
            </w:r>
          </w:p>
        </w:tc>
      </w:tr>
      <w:tr>
        <w:tc>
          <w:tcPr/>
          <w:p>
            <w:pPr>
              <w:pStyle w:val="Compact"/>
            </w:pPr>
            <w:r>
              <w:t xml:space="preserve">Função de utilidade indireta</w:t>
            </w:r>
            <w:r>
              <w:t xml:space="preserve"> </w:t>
            </w:r>
            <m:oMath>
              <m:r>
                <m:t>V</m:t>
              </m:r>
              <m:r>
                <m:rPr>
                  <m:sty m:val="p"/>
                </m:rPr>
                <m:t>(</m:t>
              </m:r>
              <m:r>
                <m:rPr>
                  <m:sty m:val="bi"/>
                </m:rPr>
                <m:t>p</m:t>
              </m:r>
              <m:r>
                <m:rPr>
                  <m:sty m:val="p"/>
                </m:rPr>
                <m:t>,</m:t>
              </m:r>
              <m:r>
                <m:t>I</m:t>
              </m:r>
              <m:r>
                <m:rPr>
                  <m:sty m:val="p"/>
                </m:rPr>
                <m:t>)</m:t>
              </m:r>
            </m:oMath>
          </w:p>
        </w:tc>
        <w:tc>
          <w:tcPr/>
          <w:p>
            <w:pPr>
              <w:pStyle w:val="Compact"/>
            </w:pPr>
            <w:r>
              <w:t xml:space="preserve">Utilidade máxima alcançável dados preços e renda. Não crescente em preços, não decrescente em renda.</w:t>
            </w:r>
          </w:p>
        </w:tc>
      </w:tr>
      <w:tr>
        <w:tc>
          <w:tcPr/>
          <w:p>
            <w:pPr>
              <w:pStyle w:val="Compact"/>
            </w:pPr>
            <w:r>
              <w:t xml:space="preserve">Identidade de Roy</w:t>
            </w:r>
          </w:p>
        </w:tc>
        <w:tc>
          <w:tcPr/>
          <w:p>
            <w:pPr>
              <w:pStyle w:val="Compact"/>
            </w:pPr>
            <w:r>
              <w:t xml:space="preserve">Recupera a demanda marshalliana a partir de</w:t>
            </w:r>
            <w:r>
              <w:t xml:space="preserve"> </w:t>
            </w:r>
            <m:oMath>
              <m:r>
                <m:t>V</m:t>
              </m:r>
            </m:oMath>
            <w:r>
              <w:t xml:space="preserve">:</w:t>
            </w:r>
            <w:r>
              <w:t xml:space="preserve"> </w:t>
            </w:r>
            <m:oMath>
              <m:sSub>
                <m:e>
                  <m:r>
                    <m:t>x</m:t>
                  </m:r>
                </m:e>
                <m:sub>
                  <m:r>
                    <m:t>i</m:t>
                  </m:r>
                </m:sub>
              </m:sSub>
              <m:r>
                <m:rPr>
                  <m:sty m:val="p"/>
                </m:rPr>
                <m:t>=</m:t>
              </m:r>
              <m:r>
                <m:rPr>
                  <m:sty m:val="p"/>
                </m:rPr>
                <m:t>−</m:t>
              </m:r>
              <m:f>
                <m:fPr>
                  <m:type m:val="bar"/>
                </m:fPr>
                <m:num>
                  <m:r>
                    <m:rPr>
                      <m:sty m:val="p"/>
                    </m:rPr>
                    <m:t>∂</m:t>
                  </m:r>
                  <m:r>
                    <m:t>V</m:t>
                  </m:r>
                  <m:r>
                    <m:rPr>
                      <m:sty m:val="p"/>
                    </m:rPr>
                    <m:t>/</m:t>
                  </m:r>
                  <m:r>
                    <m:rPr>
                      <m:sty m:val="p"/>
                    </m:rPr>
                    <m:t>∂</m:t>
                  </m:r>
                  <m:sSub>
                    <m:e>
                      <m:r>
                        <m:t>p</m:t>
                      </m:r>
                    </m:e>
                    <m:sub>
                      <m:r>
                        <m:t>i</m:t>
                      </m:r>
                    </m:sub>
                  </m:sSub>
                </m:num>
                <m:den>
                  <m:r>
                    <m:rPr>
                      <m:sty m:val="p"/>
                    </m:rPr>
                    <m:t>∂</m:t>
                  </m:r>
                  <m:r>
                    <m:t>V</m:t>
                  </m:r>
                  <m:r>
                    <m:rPr>
                      <m:sty m:val="p"/>
                    </m:rPr>
                    <m:t>/</m:t>
                  </m:r>
                  <m:r>
                    <m:rPr>
                      <m:sty m:val="p"/>
                    </m:rPr>
                    <m:t>∂</m:t>
                  </m:r>
                  <m:r>
                    <m:t>I</m:t>
                  </m:r>
                </m:den>
              </m:f>
            </m:oMath>
            <w:r>
              <w:t xml:space="preserve">.</w:t>
            </w:r>
          </w:p>
        </w:tc>
      </w:tr>
      <w:tr>
        <w:tc>
          <w:tcPr/>
          <w:p>
            <w:pPr>
              <w:pStyle w:val="Compact"/>
            </w:pPr>
            <w:r>
              <w:t xml:space="preserve">Princípio do montante fixo</w:t>
            </w:r>
          </w:p>
        </w:tc>
        <w:tc>
          <w:tcPr/>
          <w:p>
            <w:pPr>
              <w:pStyle w:val="Compact"/>
            </w:pPr>
            <w:r>
              <w:t xml:space="preserve">Um imposto</w:t>
            </w:r>
            <w:r>
              <w:t xml:space="preserve"> </w:t>
            </w:r>
            <w:r>
              <w:rPr>
                <w:i/>
                <w:iCs/>
              </w:rPr>
              <w:t xml:space="preserve">lump sum</w:t>
            </w:r>
            <w:r>
              <w:t xml:space="preserve"> </w:t>
            </w:r>
            <w:r>
              <w:t xml:space="preserve">gera utilidade pelo menos igual à de um imposto específico de mesma receita, pois preserva preços relativos.</w:t>
            </w:r>
          </w:p>
        </w:tc>
      </w:tr>
      <w:tr>
        <w:tc>
          <w:tcPr/>
          <w:p>
            <w:pPr>
              <w:pStyle w:val="Compact"/>
            </w:pPr>
            <w:r>
              <w:t xml:space="preserve">Demanda hicksiana (compensada)</w:t>
            </w:r>
          </w:p>
        </w:tc>
        <w:tc>
          <w:tcPr/>
          <w:p>
            <w:pPr>
              <w:pStyle w:val="Compact"/>
            </w:pPr>
            <w:r>
              <w:t xml:space="preserve">Quantidade que minimiza o gasto para atingir utilidade</w:t>
            </w:r>
            <w:r>
              <w:t xml:space="preserve"> </w:t>
            </w:r>
            <m:oMath>
              <m:acc>
                <m:accPr>
                  <m:chr m:val="‾"/>
                </m:accPr>
                <m:e>
                  <m:r>
                    <m:t>u</m:t>
                  </m:r>
                </m:e>
              </m:acc>
            </m:oMath>
            <w:r>
              <w:t xml:space="preserve">:</w:t>
            </w:r>
            <w:r>
              <w:t xml:space="preserve"> </w:t>
            </w:r>
            <m:oMath>
              <m:sSub>
                <m:e>
                  <m:r>
                    <m:t>h</m:t>
                  </m:r>
                </m:e>
                <m:sub>
                  <m:r>
                    <m:t>i</m:t>
                  </m:r>
                </m:sub>
              </m:sSub>
              <m:r>
                <m:rPr>
                  <m:sty m:val="p"/>
                </m:rPr>
                <m:t>(</m:t>
              </m:r>
              <m:r>
                <m:rPr>
                  <m:sty m:val="bi"/>
                </m:rPr>
                <m:t>p</m:t>
              </m:r>
              <m:r>
                <m:rPr>
                  <m:sty m:val="p"/>
                </m:rPr>
                <m:t>,</m:t>
              </m:r>
              <m:acc>
                <m:accPr>
                  <m:chr m:val="‾"/>
                </m:accPr>
                <m:e>
                  <m:r>
                    <m:t>u</m:t>
                  </m:r>
                </m:e>
              </m:acc>
              <m:r>
                <m:rPr>
                  <m:sty m:val="p"/>
                </m:rPr>
                <m:t>)</m:t>
              </m:r>
            </m:oMath>
            <w:r>
              <w:t xml:space="preserve">. Satisfaz a lei da demanda compensada (</w:t>
            </w:r>
            <m:oMath>
              <m:r>
                <m:rPr>
                  <m:sty m:val="p"/>
                </m:rPr>
                <m:t>∂</m:t>
              </m:r>
              <m:sSub>
                <m:e>
                  <m:r>
                    <m:t>h</m:t>
                  </m:r>
                </m:e>
                <m:sub>
                  <m:r>
                    <m:t>i</m:t>
                  </m:r>
                </m:sub>
              </m:sSub>
              <m:r>
                <m:rPr>
                  <m:sty m:val="p"/>
                </m:rPr>
                <m:t>/</m:t>
              </m:r>
              <m:r>
                <m:rPr>
                  <m:sty m:val="p"/>
                </m:rPr>
                <m:t>∂</m:t>
              </m:r>
              <m:sSub>
                <m:e>
                  <m:r>
                    <m:t>p</m:t>
                  </m:r>
                </m:e>
                <m:sub>
                  <m:r>
                    <m:t>i</m:t>
                  </m:r>
                </m:sub>
              </m:sSub>
              <m:r>
                <m:rPr>
                  <m:sty m:val="p"/>
                </m:rPr>
                <m:t>≤</m:t>
              </m:r>
              <m:r>
                <m:t>0</m:t>
              </m:r>
            </m:oMath>
            <w:r>
              <w:t xml:space="preserve">).</w:t>
            </w:r>
          </w:p>
        </w:tc>
      </w:tr>
      <w:tr>
        <w:tc>
          <w:tcPr/>
          <w:p>
            <w:pPr>
              <w:pStyle w:val="Compact"/>
            </w:pPr>
            <w:r>
              <w:t xml:space="preserve">Função dispêndio</w:t>
            </w:r>
            <w:r>
              <w:t xml:space="preserve"> </w:t>
            </w:r>
            <m:oMath>
              <m:r>
                <m:t>E</m:t>
              </m:r>
              <m:r>
                <m:rPr>
                  <m:sty m:val="p"/>
                </m:rPr>
                <m:t>(</m:t>
              </m:r>
              <m:r>
                <m:rPr>
                  <m:sty m:val="bi"/>
                </m:rPr>
                <m:t>p</m:t>
              </m:r>
              <m:r>
                <m:rPr>
                  <m:sty m:val="p"/>
                </m:rPr>
                <m:t>,</m:t>
              </m:r>
              <m:acc>
                <m:accPr>
                  <m:chr m:val="‾"/>
                </m:accPr>
                <m:e>
                  <m:r>
                    <m:t>u</m:t>
                  </m:r>
                </m:e>
              </m:acc>
              <m:r>
                <m:rPr>
                  <m:sty m:val="p"/>
                </m:rPr>
                <m:t>)</m:t>
              </m:r>
            </m:oMath>
          </w:p>
        </w:tc>
        <w:tc>
          <w:tcPr/>
          <w:p>
            <w:pPr>
              <w:pStyle w:val="Compact"/>
            </w:pPr>
            <w:r>
              <w:t xml:space="preserve">Gasto mínimo para atingir utilidade</w:t>
            </w:r>
            <w:r>
              <w:t xml:space="preserve"> </w:t>
            </w:r>
            <m:oMath>
              <m:acc>
                <m:accPr>
                  <m:chr m:val="‾"/>
                </m:accPr>
                <m:e>
                  <m:r>
                    <m:t>u</m:t>
                  </m:r>
                </m:e>
              </m:acc>
            </m:oMath>
            <w:r>
              <w:t xml:space="preserve"> </w:t>
            </w:r>
            <w:r>
              <w:t xml:space="preserve">aos preços vigentes. Homogênea de grau 1 em preços e côncava em preços.</w:t>
            </w:r>
          </w:p>
        </w:tc>
      </w:tr>
      <w:tr>
        <w:tc>
          <w:tcPr/>
          <w:p>
            <w:pPr>
              <w:pStyle w:val="Compact"/>
            </w:pPr>
            <w:r>
              <w:t xml:space="preserve">Lema de Shephard</w:t>
            </w:r>
          </w:p>
        </w:tc>
        <w:tc>
          <w:tcPr/>
          <w:p>
            <w:pPr>
              <w:pStyle w:val="Compact"/>
            </w:pPr>
            <w:r>
              <w:t xml:space="preserve">A derivada da função dispêndio em relação a</w:t>
            </w:r>
            <w:r>
              <w:t xml:space="preserve"> </w:t>
            </w:r>
            <m:oMath>
              <m:sSub>
                <m:e>
                  <m:r>
                    <m:t>p</m:t>
                  </m:r>
                </m:e>
                <m:sub>
                  <m:r>
                    <m:t>i</m:t>
                  </m:r>
                </m:sub>
              </m:sSub>
            </m:oMath>
            <w:r>
              <w:t xml:space="preserve"> </w:t>
            </w:r>
            <w:r>
              <w:t xml:space="preserve">fornece a demanda hicksiana:</w:t>
            </w:r>
            <w:r>
              <w:t xml:space="preserve"> </w:t>
            </w:r>
            <m:oMath>
              <m:r>
                <m:rPr>
                  <m:sty m:val="p"/>
                </m:rPr>
                <m:t>∂</m:t>
              </m:r>
              <m:r>
                <m:t>E</m:t>
              </m:r>
              <m:r>
                <m:rPr>
                  <m:sty m:val="p"/>
                </m:rPr>
                <m:t>/</m:t>
              </m:r>
              <m:r>
                <m:rPr>
                  <m:sty m:val="p"/>
                </m:rPr>
                <m:t>∂</m:t>
              </m:r>
              <m:sSub>
                <m:e>
                  <m:r>
                    <m:t>p</m:t>
                  </m:r>
                </m:e>
                <m:sub>
                  <m:r>
                    <m:t>i</m:t>
                  </m:r>
                </m:sub>
              </m:sSub>
              <m:r>
                <m:rPr>
                  <m:sty m:val="p"/>
                </m:rPr>
                <m:t>=</m:t>
              </m:r>
              <m:sSub>
                <m:e>
                  <m:r>
                    <m:t>h</m:t>
                  </m:r>
                </m:e>
                <m:sub>
                  <m:r>
                    <m:t>i</m:t>
                  </m:r>
                </m:sub>
              </m:sSub>
              <m:r>
                <m:rPr>
                  <m:sty m:val="p"/>
                </m:rPr>
                <m:t>(</m:t>
              </m:r>
              <m:r>
                <m:rPr>
                  <m:sty m:val="bi"/>
                </m:rPr>
                <m:t>p</m:t>
              </m:r>
              <m:r>
                <m:rPr>
                  <m:sty m:val="p"/>
                </m:rPr>
                <m:t>,</m:t>
              </m:r>
              <m:acc>
                <m:accPr>
                  <m:chr m:val="‾"/>
                </m:accPr>
                <m:e>
                  <m:r>
                    <m:t>u</m:t>
                  </m:r>
                </m:e>
              </m:acc>
              <m:r>
                <m:rPr>
                  <m:sty m:val="p"/>
                </m:rPr>
                <m:t>)</m:t>
              </m:r>
            </m:oMath>
            <w:r>
              <w:t xml:space="preserve">.</w:t>
            </w:r>
          </w:p>
        </w:tc>
      </w:tr>
    </w:tbl>
    <w:p>
      <w:pPr>
        <w:pStyle w:val="BodyText"/>
      </w:pPr>
      <w:r>
        <w:rPr>
          <w:b/>
          <w:bCs/>
        </w:rPr>
        <w:t xml:space="preserve">Tabela 4.3 — Conceitos-chave.</w:t>
      </w:r>
    </w:p>
    <w:p>
      <w:r>
        <w:pict>
          <v:rect style="width:0;height:1.5pt" o:hralign="center" o:hrstd="t" o:hr="t"/>
        </w:pict>
      </w:r>
    </w:p>
    <w:bookmarkEnd w:id="221"/>
    <w:bookmarkStart w:id="222" w:name="exercícios-2"/>
    <w:p>
      <w:pPr>
        <w:pStyle w:val="Heading3"/>
      </w:pPr>
      <w:r>
        <w:t xml:space="preserve">Exercícios</w:t>
      </w:r>
    </w:p>
    <w:p>
      <w:pPr>
        <w:pStyle w:val="FirstParagraph"/>
      </w:pPr>
      <w:r>
        <w:rPr>
          <w:b/>
          <w:bCs/>
        </w:rPr>
        <w:t xml:space="preserve">Exercício 4.1.</w:t>
      </w:r>
      <w:r>
        <w:t xml:space="preserve"> </w:t>
      </w:r>
      <w:r>
        <w:t xml:space="preserve">Considere um consumidor com função de utilidade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1</m:t>
            </m:r>
            <m:r>
              <m:rPr>
                <m:sty m:val="p"/>
              </m:rPr>
              <m:t>/</m:t>
            </m:r>
            <m:r>
              <m:t>2</m:t>
            </m:r>
          </m:sup>
        </m:sSubSup>
        <m:sSubSup>
          <m:e>
            <m:r>
              <m:t>x</m:t>
            </m:r>
          </m:e>
          <m:sub>
            <m:r>
              <m:t>2</m:t>
            </m:r>
          </m:sub>
          <m:sup>
            <m:r>
              <m:t>1</m:t>
            </m:r>
            <m:r>
              <m:rPr>
                <m:sty m:val="p"/>
              </m:rPr>
              <m:t>/</m:t>
            </m:r>
            <m:r>
              <m:t>2</m:t>
            </m:r>
          </m:sup>
        </m:sSubSup>
      </m:oMath>
      <w:r>
        <w:t xml:space="preserve">, preços</w:t>
      </w:r>
      <w:r>
        <w:t xml:space="preserve"> </w:t>
      </w:r>
      <m:oMath>
        <m:sSub>
          <m:e>
            <m:r>
              <m:t>p</m:t>
            </m:r>
          </m:e>
          <m:sub>
            <m:r>
              <m:t>1</m:t>
            </m:r>
          </m:sub>
        </m:sSub>
      </m:oMath>
      <w:r>
        <w:t xml:space="preserve"> </w:t>
      </w:r>
      <w:r>
        <w:t xml:space="preserve">e</w:t>
      </w:r>
      <w:r>
        <w:t xml:space="preserve"> </w:t>
      </w:r>
      <m:oMath>
        <m:sSub>
          <m:e>
            <m:r>
              <m:t>p</m:t>
            </m:r>
          </m:e>
          <m:sub>
            <m:r>
              <m:t>2</m:t>
            </m:r>
          </m:sub>
        </m:sSub>
      </m:oMath>
      <w:r>
        <w:t xml:space="preserve"> </w:t>
      </w:r>
      <w:r>
        <w:t xml:space="preserve">e renda</w:t>
      </w:r>
      <w:r>
        <w:t xml:space="preserve"> </w:t>
      </w:r>
      <m:oMath>
        <m:r>
          <m:t>I</m:t>
        </m:r>
      </m:oMath>
      <w:r>
        <w:t xml:space="preserve">.</w:t>
      </w:r>
    </w:p>
    <w:p>
      <w:pPr>
        <w:numPr>
          <w:ilvl w:val="0"/>
          <w:numId w:val="1179"/>
        </w:numPr>
      </w:pPr>
      <w:r>
        <w:t xml:space="preserve">Monte o lagrangeano e derive as condições de primeira ordem.</w:t>
      </w:r>
    </w:p>
    <w:p>
      <w:pPr>
        <w:numPr>
          <w:ilvl w:val="0"/>
          <w:numId w:val="1179"/>
        </w:numPr>
      </w:pPr>
      <w:r>
        <w:t xml:space="preserve">Obtenha as funções de demanda marshalliana</w:t>
      </w:r>
      <w:r>
        <w:t xml:space="preserve"> </w:t>
      </w:r>
      <m:oMath>
        <m:sSubSup>
          <m:e>
            <m:r>
              <m:t>x</m:t>
            </m:r>
          </m:e>
          <m:sub>
            <m:r>
              <m:t>1</m:t>
            </m:r>
          </m:sub>
          <m:sup>
            <m:r>
              <m:rPr>
                <m:sty m:val="p"/>
              </m:rPr>
              <m:t>*</m:t>
            </m:r>
          </m:sup>
        </m:sSubSup>
        <m:r>
          <m:rPr>
            <m:sty m:val="p"/>
          </m:rPr>
          <m:t>(</m:t>
        </m:r>
        <m:sSub>
          <m:e>
            <m:r>
              <m:t>p</m:t>
            </m:r>
          </m:e>
          <m:sub>
            <m:r>
              <m:t>1</m:t>
            </m:r>
          </m:sub>
        </m:sSub>
        <m:r>
          <m:rPr>
            <m:sty m:val="p"/>
          </m:rPr>
          <m:t>,</m:t>
        </m:r>
        <m:sSub>
          <m:e>
            <m:r>
              <m:t>p</m:t>
            </m:r>
          </m:e>
          <m:sub>
            <m:r>
              <m:t>2</m:t>
            </m:r>
          </m:sub>
        </m:sSub>
        <m:r>
          <m:rPr>
            <m:sty m:val="p"/>
          </m:rPr>
          <m:t>,</m:t>
        </m:r>
        <m:r>
          <m:t>I</m:t>
        </m:r>
        <m:r>
          <m:rPr>
            <m:sty m:val="p"/>
          </m:rPr>
          <m:t>)</m:t>
        </m:r>
      </m:oMath>
      <w:r>
        <w:t xml:space="preserve"> </w:t>
      </w:r>
      <w:r>
        <w:t xml:space="preserve">e</w:t>
      </w:r>
      <w:r>
        <w:t xml:space="preserve"> </w:t>
      </w:r>
      <m:oMath>
        <m:sSubSup>
          <m:e>
            <m:r>
              <m:t>x</m:t>
            </m:r>
          </m:e>
          <m:sub>
            <m:r>
              <m:t>2</m:t>
            </m:r>
          </m:sub>
          <m:sup>
            <m:r>
              <m:rPr>
                <m:sty m:val="p"/>
              </m:rPr>
              <m:t>*</m:t>
            </m:r>
          </m:sup>
        </m:sSubSup>
        <m:r>
          <m:rPr>
            <m:sty m:val="p"/>
          </m:rPr>
          <m:t>(</m:t>
        </m:r>
        <m:sSub>
          <m:e>
            <m:r>
              <m:t>p</m:t>
            </m:r>
          </m:e>
          <m:sub>
            <m:r>
              <m:t>1</m:t>
            </m:r>
          </m:sub>
        </m:sSub>
        <m:r>
          <m:rPr>
            <m:sty m:val="p"/>
          </m:rPr>
          <m:t>,</m:t>
        </m:r>
        <m:sSub>
          <m:e>
            <m:r>
              <m:t>p</m:t>
            </m:r>
          </m:e>
          <m:sub>
            <m:r>
              <m:t>2</m:t>
            </m:r>
          </m:sub>
        </m:sSub>
        <m:r>
          <m:rPr>
            <m:sty m:val="p"/>
          </m:rPr>
          <m:t>,</m:t>
        </m:r>
        <m:r>
          <m:t>I</m:t>
        </m:r>
        <m:r>
          <m:rPr>
            <m:sty m:val="p"/>
          </m:rPr>
          <m:t>)</m:t>
        </m:r>
      </m:oMath>
      <w:r>
        <w:t xml:space="preserve">.</w:t>
      </w:r>
    </w:p>
    <w:p>
      <w:pPr>
        <w:numPr>
          <w:ilvl w:val="0"/>
          <w:numId w:val="1179"/>
        </w:numPr>
      </w:pPr>
      <w:r>
        <w:t xml:space="preserve">Derive a função de utilidade indireta</w:t>
      </w:r>
      <w:r>
        <w:t xml:space="preserve"> </w:t>
      </w:r>
      <m:oMath>
        <m:r>
          <m:t>V</m:t>
        </m:r>
        <m:r>
          <m:rPr>
            <m:sty m:val="p"/>
          </m:rPr>
          <m:t>(</m:t>
        </m:r>
        <m:sSub>
          <m:e>
            <m:r>
              <m:t>p</m:t>
            </m:r>
          </m:e>
          <m:sub>
            <m:r>
              <m:t>1</m:t>
            </m:r>
          </m:sub>
        </m:sSub>
        <m:r>
          <m:rPr>
            <m:sty m:val="p"/>
          </m:rPr>
          <m:t>,</m:t>
        </m:r>
        <m:sSub>
          <m:e>
            <m:r>
              <m:t>p</m:t>
            </m:r>
          </m:e>
          <m:sub>
            <m:r>
              <m:t>2</m:t>
            </m:r>
          </m:sub>
        </m:sSub>
        <m:r>
          <m:rPr>
            <m:sty m:val="p"/>
          </m:rPr>
          <m:t>,</m:t>
        </m:r>
        <m:r>
          <m:t>I</m:t>
        </m:r>
        <m:r>
          <m:rPr>
            <m:sty m:val="p"/>
          </m:rPr>
          <m:t>)</m:t>
        </m:r>
      </m:oMath>
      <w:r>
        <w:t xml:space="preserve">.</w:t>
      </w:r>
    </w:p>
    <w:p>
      <w:pPr>
        <w:numPr>
          <w:ilvl w:val="0"/>
          <w:numId w:val="1179"/>
        </w:numPr>
      </w:pPr>
      <w:r>
        <w:t xml:space="preserve">Verifique a Identidade de Roy para o bem 1.</w:t>
      </w:r>
    </w:p>
    <w:p>
      <w:pPr>
        <w:pStyle w:val="FirstParagraph"/>
      </w:pPr>
      <w:r>
        <w:t xml:space="preserve">Ver solução (Cap. 4)</w:t>
      </w:r>
    </w:p>
    <w:p>
      <w:r>
        <w:pict>
          <v:rect style="width:0;height:1.5pt" o:hralign="center" o:hrstd="t" o:hr="t"/>
        </w:pict>
      </w:r>
    </w:p>
    <w:p>
      <w:pPr>
        <w:pStyle w:val="FirstParagraph"/>
      </w:pPr>
      <w:r>
        <w:rPr>
          <w:b/>
          <w:bCs/>
        </w:rPr>
        <w:t xml:space="preserve">Exercício 4.2.</w:t>
      </w:r>
      <w:r>
        <w:t xml:space="preserve"> </w:t>
      </w:r>
      <w:r>
        <w:t xml:space="preserve">Para as mesmas preferências do exercício anterior:</w:t>
      </w:r>
    </w:p>
    <w:p>
      <w:pPr>
        <w:numPr>
          <w:ilvl w:val="0"/>
          <w:numId w:val="1180"/>
        </w:numPr>
      </w:pPr>
      <w:r>
        <w:t xml:space="preserve">Formule e resolva o problema de minimização do dispêndio.</w:t>
      </w:r>
    </w:p>
    <w:p>
      <w:pPr>
        <w:numPr>
          <w:ilvl w:val="0"/>
          <w:numId w:val="1180"/>
        </w:numPr>
      </w:pPr>
      <w:r>
        <w:t xml:space="preserve">Obtenha as demandas hicksianas</w:t>
      </w:r>
      <w:r>
        <w:t xml:space="preserve"> </w:t>
      </w:r>
      <m:oMath>
        <m:sSub>
          <m:e>
            <m:r>
              <m:t>h</m:t>
            </m:r>
          </m:e>
          <m:sub>
            <m:r>
              <m:t>1</m:t>
            </m:r>
          </m:sub>
        </m:sSub>
        <m:r>
          <m:rPr>
            <m:sty m:val="p"/>
          </m:rPr>
          <m:t>(</m:t>
        </m:r>
        <m:sSub>
          <m:e>
            <m:r>
              <m:t>p</m:t>
            </m:r>
          </m:e>
          <m:sub>
            <m:r>
              <m:t>1</m:t>
            </m:r>
          </m:sub>
        </m:sSub>
        <m:r>
          <m:rPr>
            <m:sty m:val="p"/>
          </m:rPr>
          <m:t>,</m:t>
        </m:r>
        <m:sSub>
          <m:e>
            <m:r>
              <m:t>p</m:t>
            </m:r>
          </m:e>
          <m:sub>
            <m:r>
              <m:t>2</m:t>
            </m:r>
          </m:sub>
        </m:sSub>
        <m:r>
          <m:rPr>
            <m:sty m:val="p"/>
          </m:rPr>
          <m:t>,</m:t>
        </m:r>
        <m:acc>
          <m:accPr>
            <m:chr m:val="‾"/>
          </m:accPr>
          <m:e>
            <m:r>
              <m:t>u</m:t>
            </m:r>
          </m:e>
        </m:acc>
        <m:r>
          <m:rPr>
            <m:sty m:val="p"/>
          </m:rPr>
          <m:t>)</m:t>
        </m:r>
      </m:oMath>
      <w:r>
        <w:t xml:space="preserve"> </w:t>
      </w:r>
      <w:r>
        <w:t xml:space="preserve">e</w:t>
      </w:r>
      <w:r>
        <w:t xml:space="preserve"> </w:t>
      </w:r>
      <m:oMath>
        <m:sSub>
          <m:e>
            <m:r>
              <m:t>h</m:t>
            </m:r>
          </m:e>
          <m:sub>
            <m:r>
              <m:t>2</m:t>
            </m:r>
          </m:sub>
        </m:sSub>
        <m:r>
          <m:rPr>
            <m:sty m:val="p"/>
          </m:rPr>
          <m:t>(</m:t>
        </m:r>
        <m:sSub>
          <m:e>
            <m:r>
              <m:t>p</m:t>
            </m:r>
          </m:e>
          <m:sub>
            <m:r>
              <m:t>1</m:t>
            </m:r>
          </m:sub>
        </m:sSub>
        <m:r>
          <m:rPr>
            <m:sty m:val="p"/>
          </m:rPr>
          <m:t>,</m:t>
        </m:r>
        <m:sSub>
          <m:e>
            <m:r>
              <m:t>p</m:t>
            </m:r>
          </m:e>
          <m:sub>
            <m:r>
              <m:t>2</m:t>
            </m:r>
          </m:sub>
        </m:sSub>
        <m:r>
          <m:rPr>
            <m:sty m:val="p"/>
          </m:rPr>
          <m:t>,</m:t>
        </m:r>
        <m:acc>
          <m:accPr>
            <m:chr m:val="‾"/>
          </m:accPr>
          <m:e>
            <m:r>
              <m:t>u</m:t>
            </m:r>
          </m:e>
        </m:acc>
        <m:r>
          <m:rPr>
            <m:sty m:val="p"/>
          </m:rPr>
          <m:t>)</m:t>
        </m:r>
      </m:oMath>
      <w:r>
        <w:t xml:space="preserve">.</w:t>
      </w:r>
    </w:p>
    <w:p>
      <w:pPr>
        <w:numPr>
          <w:ilvl w:val="0"/>
          <w:numId w:val="1180"/>
        </w:numPr>
      </w:pPr>
      <w:r>
        <w:t xml:space="preserve">Derive a função dispêndio</w:t>
      </w:r>
      <w:r>
        <w:t xml:space="preserve"> </w:t>
      </w:r>
      <m:oMath>
        <m:r>
          <m:t>E</m:t>
        </m:r>
        <m:r>
          <m:rPr>
            <m:sty m:val="p"/>
          </m:rPr>
          <m:t>(</m:t>
        </m:r>
        <m:sSub>
          <m:e>
            <m:r>
              <m:t>p</m:t>
            </m:r>
          </m:e>
          <m:sub>
            <m:r>
              <m:t>1</m:t>
            </m:r>
          </m:sub>
        </m:sSub>
        <m:r>
          <m:rPr>
            <m:sty m:val="p"/>
          </m:rPr>
          <m:t>,</m:t>
        </m:r>
        <m:sSub>
          <m:e>
            <m:r>
              <m:t>p</m:t>
            </m:r>
          </m:e>
          <m:sub>
            <m:r>
              <m:t>2</m:t>
            </m:r>
          </m:sub>
        </m:sSub>
        <m:r>
          <m:rPr>
            <m:sty m:val="p"/>
          </m:rPr>
          <m:t>,</m:t>
        </m:r>
        <m:acc>
          <m:accPr>
            <m:chr m:val="‾"/>
          </m:accPr>
          <m:e>
            <m:r>
              <m:t>u</m:t>
            </m:r>
          </m:e>
        </m:acc>
        <m:r>
          <m:rPr>
            <m:sty m:val="p"/>
          </m:rPr>
          <m:t>)</m:t>
        </m:r>
      </m:oMath>
      <w:r>
        <w:t xml:space="preserve">.</w:t>
      </w:r>
    </w:p>
    <w:p>
      <w:pPr>
        <w:numPr>
          <w:ilvl w:val="0"/>
          <w:numId w:val="1180"/>
        </w:numPr>
      </w:pPr>
      <w:r>
        <w:t xml:space="preserve">Verifique o Lema de Shephard para o bem 1.</w:t>
      </w:r>
    </w:p>
    <w:p>
      <w:pPr>
        <w:numPr>
          <w:ilvl w:val="0"/>
          <w:numId w:val="1180"/>
        </w:numPr>
      </w:pPr>
      <w:r>
        <w:t xml:space="preserve">Verifique as identidades de dualidade</w:t>
      </w:r>
      <w:r>
        <w:t xml:space="preserve"> </w:t>
      </w:r>
      <m:oMath>
        <m:r>
          <m:t>V</m:t>
        </m:r>
        <m:r>
          <m:rPr>
            <m:sty m:val="p"/>
          </m:rPr>
          <m:t>(</m:t>
        </m:r>
        <m:r>
          <m:rPr>
            <m:sty m:val="bi"/>
          </m:rPr>
          <m:t>p</m:t>
        </m:r>
        <m:r>
          <m:rPr>
            <m:sty m:val="p"/>
          </m:rPr>
          <m:t>,</m:t>
        </m:r>
        <m:r>
          <m:t>E</m:t>
        </m:r>
        <m:r>
          <m:rPr>
            <m:sty m:val="p"/>
          </m:rPr>
          <m:t>(</m:t>
        </m:r>
        <m:r>
          <m:rPr>
            <m:sty m:val="bi"/>
          </m:rPr>
          <m:t>p</m:t>
        </m:r>
        <m:r>
          <m:rPr>
            <m:sty m:val="p"/>
          </m:rPr>
          <m:t>,</m:t>
        </m:r>
        <m:acc>
          <m:accPr>
            <m:chr m:val="‾"/>
          </m:accPr>
          <m:e>
            <m:r>
              <m:t>u</m:t>
            </m:r>
          </m:e>
        </m:acc>
        <m:r>
          <m:rPr>
            <m:sty m:val="p"/>
          </m:rPr>
          <m:t>)</m:t>
        </m:r>
        <m:r>
          <m:rPr>
            <m:sty m:val="p"/>
          </m:rPr>
          <m:t>)</m:t>
        </m:r>
        <m:r>
          <m:rPr>
            <m:sty m:val="p"/>
          </m:rPr>
          <m:t>=</m:t>
        </m:r>
        <m:acc>
          <m:accPr>
            <m:chr m:val="‾"/>
          </m:accPr>
          <m:e>
            <m:r>
              <m:t>u</m:t>
            </m:r>
          </m:e>
        </m:acc>
      </m:oMath>
      <w:r>
        <w:t xml:space="preserve"> </w:t>
      </w:r>
      <w:r>
        <w:t xml:space="preserve">e</w:t>
      </w:r>
      <w:r>
        <w:t xml:space="preserve"> </w:t>
      </w:r>
      <m:oMath>
        <m:r>
          <m:t>E</m:t>
        </m:r>
        <m:r>
          <m:rPr>
            <m:sty m:val="p"/>
          </m:rPr>
          <m:t>(</m:t>
        </m:r>
        <m:r>
          <m:rPr>
            <m:sty m:val="bi"/>
          </m:rPr>
          <m:t>p</m:t>
        </m:r>
        <m:r>
          <m:rPr>
            <m:sty m:val="p"/>
          </m:rPr>
          <m:t>,</m:t>
        </m:r>
        <m:r>
          <m:t>V</m:t>
        </m:r>
        <m:r>
          <m:rPr>
            <m:sty m:val="p"/>
          </m:rPr>
          <m:t>(</m:t>
        </m:r>
        <m:r>
          <m:rPr>
            <m:sty m:val="bi"/>
          </m:rPr>
          <m:t>p</m:t>
        </m:r>
        <m:r>
          <m:rPr>
            <m:sty m:val="p"/>
          </m:rPr>
          <m:t>,</m:t>
        </m:r>
        <m:r>
          <m:t>I</m:t>
        </m:r>
        <m:r>
          <m:rPr>
            <m:sty m:val="p"/>
          </m:rPr>
          <m:t>)</m:t>
        </m:r>
        <m:r>
          <m:rPr>
            <m:sty m:val="p"/>
          </m:rPr>
          <m:t>)</m:t>
        </m:r>
        <m:r>
          <m:rPr>
            <m:sty m:val="p"/>
          </m:rPr>
          <m:t>=</m:t>
        </m:r>
        <m:r>
          <m:t>I</m:t>
        </m:r>
      </m:oMath>
      <w:r>
        <w:t xml:space="preserve">.</w:t>
      </w:r>
    </w:p>
    <w:p>
      <w:pPr>
        <w:pStyle w:val="FirstParagraph"/>
      </w:pPr>
      <w:r>
        <w:t xml:space="preserve">Ver solução (Cap. 4)</w:t>
      </w:r>
    </w:p>
    <w:p>
      <w:r>
        <w:pict>
          <v:rect style="width:0;height:1.5pt" o:hralign="center" o:hrstd="t" o:hr="t"/>
        </w:pict>
      </w:r>
    </w:p>
    <w:p>
      <w:pPr>
        <w:pStyle w:val="FirstParagraph"/>
      </w:pPr>
      <w:r>
        <w:rPr>
          <w:b/>
          <w:bCs/>
        </w:rPr>
        <w:t xml:space="preserve">Exercício 4.3.</w:t>
      </w:r>
      <w:r>
        <w:t xml:space="preserve"> </w:t>
      </w:r>
      <w:r>
        <w:t xml:space="preserve">Um consumidor tem preferências representadas por</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rPr>
            <m:sty m:val="p"/>
          </m:rPr>
          <m:t>min</m:t>
        </m:r>
        <m:r>
          <m:rPr>
            <m:sty m:val="p"/>
          </m:rPr>
          <m:t>{</m:t>
        </m:r>
        <m:r>
          <m:t>2</m:t>
        </m:r>
        <m:sSub>
          <m:e>
            <m:r>
              <m:t>x</m:t>
            </m:r>
          </m:e>
          <m:sub>
            <m:r>
              <m:t>1</m:t>
            </m:r>
          </m:sub>
        </m:sSub>
        <m:r>
          <m:rPr>
            <m:sty m:val="p"/>
          </m:rPr>
          <m:t>,</m:t>
        </m:r>
        <m:sSub>
          <m:e>
            <m:r>
              <m:t>x</m:t>
            </m:r>
          </m:e>
          <m:sub>
            <m:r>
              <m:t>2</m:t>
            </m:r>
          </m:sub>
        </m:sSub>
        <m:r>
          <m:rPr>
            <m:sty m:val="p"/>
          </m:rPr>
          <m:t>}</m:t>
        </m:r>
      </m:oMath>
      <w:r>
        <w:t xml:space="preserve">, com</w:t>
      </w:r>
      <w:r>
        <w:t xml:space="preserve"> </w:t>
      </w:r>
      <m:oMath>
        <m:sSub>
          <m:e>
            <m:r>
              <m:t>p</m:t>
            </m:r>
          </m:e>
          <m:sub>
            <m:r>
              <m:t>1</m:t>
            </m:r>
          </m:sub>
        </m:sSub>
        <m:r>
          <m:rPr>
            <m:sty m:val="p"/>
          </m:rPr>
          <m:t>=</m:t>
        </m:r>
        <m:r>
          <m:t>4</m:t>
        </m:r>
      </m:oMath>
      <w:r>
        <w:t xml:space="preserve">,</w:t>
      </w:r>
      <w:r>
        <w:t xml:space="preserve"> </w:t>
      </w:r>
      <m:oMath>
        <m:sSub>
          <m:e>
            <m:r>
              <m:t>p</m:t>
            </m:r>
          </m:e>
          <m:sub>
            <m:r>
              <m:t>2</m:t>
            </m:r>
          </m:sub>
        </m:sSub>
        <m:r>
          <m:rPr>
            <m:sty m:val="p"/>
          </m:rPr>
          <m:t>=</m:t>
        </m:r>
        <m:r>
          <m:t>2</m:t>
        </m:r>
      </m:oMath>
      <w:r>
        <w:t xml:space="preserve"> </w:t>
      </w:r>
      <w:r>
        <w:t xml:space="preserve">e</w:t>
      </w:r>
      <w:r>
        <w:t xml:space="preserve"> </w:t>
      </w:r>
      <m:oMath>
        <m:r>
          <m:t>I</m:t>
        </m:r>
        <m:r>
          <m:rPr>
            <m:sty m:val="p"/>
          </m:rPr>
          <m:t>=</m:t>
        </m:r>
        <m:r>
          <m:t>120</m:t>
        </m:r>
      </m:oMath>
      <w:r>
        <w:t xml:space="preserve">.</w:t>
      </w:r>
    </w:p>
    <w:p>
      <w:pPr>
        <w:numPr>
          <w:ilvl w:val="0"/>
          <w:numId w:val="1181"/>
        </w:numPr>
      </w:pPr>
      <w:r>
        <w:t xml:space="preserve">Encontre a cesta ótima. (Dica: no ótimo,</w:t>
      </w:r>
      <w:r>
        <w:t xml:space="preserve"> </w:t>
      </w:r>
      <m:oMath>
        <m:r>
          <m:t>2</m:t>
        </m:r>
        <m:sSub>
          <m:e>
            <m:r>
              <m:t>x</m:t>
            </m:r>
          </m:e>
          <m:sub>
            <m:r>
              <m:t>1</m:t>
            </m:r>
          </m:sub>
        </m:sSub>
        <m:r>
          <m:rPr>
            <m:sty m:val="p"/>
          </m:rPr>
          <m:t>=</m:t>
        </m:r>
        <m:sSub>
          <m:e>
            <m:r>
              <m:t>x</m:t>
            </m:r>
          </m:e>
          <m:sub>
            <m:r>
              <m:t>2</m:t>
            </m:r>
          </m:sub>
        </m:sSub>
      </m:oMath>
      <w:r>
        <w:t xml:space="preserve">.)</w:t>
      </w:r>
    </w:p>
    <w:p>
      <w:pPr>
        <w:numPr>
          <w:ilvl w:val="0"/>
          <w:numId w:val="1181"/>
        </w:numPr>
      </w:pPr>
      <w:r>
        <w:t xml:space="preserve">Calcule a utilidade máxima.</w:t>
      </w:r>
    </w:p>
    <w:p>
      <w:pPr>
        <w:numPr>
          <w:ilvl w:val="0"/>
          <w:numId w:val="1181"/>
        </w:numPr>
      </w:pPr>
      <w:r>
        <w:t xml:space="preserve">Qual seria a cesta ótima se a renda aumentasse para</w:t>
      </w:r>
      <w:r>
        <w:t xml:space="preserve"> </w:t>
      </w:r>
      <m:oMath>
        <m:r>
          <m:t>I</m:t>
        </m:r>
        <m:r>
          <m:rPr>
            <m:sty m:val="p"/>
          </m:rPr>
          <m:t>=</m:t>
        </m:r>
        <m:r>
          <m:t>180</m:t>
        </m:r>
      </m:oMath>
      <w:r>
        <w:t xml:space="preserve">? Os bens são normais?</w:t>
      </w:r>
    </w:p>
    <w:p>
      <w:pPr>
        <w:pStyle w:val="FirstParagraph"/>
      </w:pPr>
      <w:r>
        <w:t xml:space="preserve">Ver solução (Cap. 4)</w:t>
      </w:r>
    </w:p>
    <w:p>
      <w:r>
        <w:pict>
          <v:rect style="width:0;height:1.5pt" o:hralign="center" o:hrstd="t" o:hr="t"/>
        </w:pict>
      </w:r>
    </w:p>
    <w:p>
      <w:pPr>
        <w:pStyle w:val="FirstParagraph"/>
      </w:pPr>
      <w:r>
        <w:rPr>
          <w:b/>
          <w:bCs/>
        </w:rPr>
        <w:t xml:space="preserve">Exercício 4.4.</w:t>
      </w:r>
      <w:r>
        <w:t xml:space="preserve"> </w:t>
      </w:r>
      <w:r>
        <w:t xml:space="preserve">O governo está considerando duas políticas para arrecadar R$ 100 de um consumidor com</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0</m:t>
            </m:r>
            <m:r>
              <m:rPr>
                <m:sty m:val="p"/>
              </m:rPr>
              <m:t>,</m:t>
            </m:r>
            <m:r>
              <m:t>4</m:t>
            </m:r>
          </m:sup>
        </m:sSubSup>
        <m:sSubSup>
          <m:e>
            <m:r>
              <m:t>x</m:t>
            </m:r>
          </m:e>
          <m:sub>
            <m:r>
              <m:t>2</m:t>
            </m:r>
          </m:sub>
          <m:sup>
            <m:r>
              <m:t>0</m:t>
            </m:r>
            <m:r>
              <m:rPr>
                <m:sty m:val="p"/>
              </m:rPr>
              <m:t>,</m:t>
            </m:r>
            <m:r>
              <m:t>6</m:t>
            </m:r>
          </m:sup>
        </m:sSubSup>
      </m:oMath>
      <w:r>
        <w:t xml:space="preserve">,</w:t>
      </w:r>
      <w:r>
        <w:t xml:space="preserve"> </w:t>
      </w:r>
      <m:oMath>
        <m:sSub>
          <m:e>
            <m:r>
              <m:t>p</m:t>
            </m:r>
          </m:e>
          <m:sub>
            <m:r>
              <m:t>1</m:t>
            </m:r>
          </m:sub>
        </m:sSub>
        <m:r>
          <m:rPr>
            <m:sty m:val="p"/>
          </m:rPr>
          <m:t>=</m:t>
        </m:r>
        <m:r>
          <m:t>10</m:t>
        </m:r>
      </m:oMath>
      <w:r>
        <w:t xml:space="preserve">,</w:t>
      </w:r>
      <w:r>
        <w:t xml:space="preserve"> </w:t>
      </w:r>
      <m:oMath>
        <m:sSub>
          <m:e>
            <m:r>
              <m:t>p</m:t>
            </m:r>
          </m:e>
          <m:sub>
            <m:r>
              <m:t>2</m:t>
            </m:r>
          </m:sub>
        </m:sSub>
        <m:r>
          <m:rPr>
            <m:sty m:val="p"/>
          </m:rPr>
          <m:t>=</m:t>
        </m:r>
        <m:r>
          <m:t>5</m:t>
        </m:r>
      </m:oMath>
      <w:r>
        <w:t xml:space="preserve"> </w:t>
      </w:r>
      <w:r>
        <w:t xml:space="preserve">e</w:t>
      </w:r>
      <w:r>
        <w:t xml:space="preserve"> </w:t>
      </w:r>
      <m:oMath>
        <m:r>
          <m:t>I</m:t>
        </m:r>
        <m:r>
          <m:rPr>
            <m:sty m:val="p"/>
          </m:rPr>
          <m:t>=</m:t>
        </m:r>
        <m:r>
          <m:t>1000</m:t>
        </m:r>
      </m:oMath>
      <w:r>
        <w:t xml:space="preserve">:</w:t>
      </w:r>
    </w:p>
    <w:p>
      <w:pPr>
        <w:numPr>
          <w:ilvl w:val="0"/>
          <w:numId w:val="1182"/>
        </w:numPr>
      </w:pPr>
      <w:r>
        <w:rPr>
          <w:b/>
          <w:bCs/>
        </w:rPr>
        <w:t xml:space="preserve">Política A</w:t>
      </w:r>
      <w:r>
        <w:t xml:space="preserve">: imposto específico de</w:t>
      </w:r>
      <w:r>
        <w:t xml:space="preserve"> </w:t>
      </w:r>
      <m:oMath>
        <m:r>
          <m:t>t</m:t>
        </m:r>
      </m:oMath>
      <w:r>
        <w:t xml:space="preserve"> </w:t>
      </w:r>
      <w:r>
        <w:t xml:space="preserve">por unidade sobre o bem 1. Encontre</w:t>
      </w:r>
      <w:r>
        <w:t xml:space="preserve"> </w:t>
      </w:r>
      <m:oMath>
        <m:r>
          <m:t>t</m:t>
        </m:r>
      </m:oMath>
      <w:r>
        <w:t xml:space="preserve"> </w:t>
      </w:r>
      <w:r>
        <w:t xml:space="preserve">tal que a receita seja R$ 100.</w:t>
      </w:r>
    </w:p>
    <w:p>
      <w:pPr>
        <w:numPr>
          <w:ilvl w:val="0"/>
          <w:numId w:val="1182"/>
        </w:numPr>
      </w:pPr>
      <w:r>
        <w:rPr>
          <w:b/>
          <w:bCs/>
        </w:rPr>
        <w:t xml:space="preserve">Política B</w:t>
      </w:r>
      <w:r>
        <w:t xml:space="preserve">: imposto</w:t>
      </w:r>
      <w:r>
        <w:t xml:space="preserve"> </w:t>
      </w:r>
      <w:r>
        <w:rPr>
          <w:i/>
          <w:iCs/>
        </w:rPr>
        <w:t xml:space="preserve">lump sum</w:t>
      </w:r>
      <w:r>
        <w:t xml:space="preserve"> </w:t>
      </w:r>
      <w:r>
        <w:t xml:space="preserve">de R$ 100.</w:t>
      </w:r>
    </w:p>
    <w:p>
      <w:pPr>
        <w:numPr>
          <w:ilvl w:val="0"/>
          <w:numId w:val="1182"/>
        </w:numPr>
      </w:pPr>
      <w:r>
        <w:t xml:space="preserve">Compare os níveis de utilidade do consumidor sob as duas políticas. Qual é preferida pelo consumidor? Este resultado é consistente com o princípio do montante fixo?</w:t>
      </w:r>
    </w:p>
    <w:p>
      <w:pPr>
        <w:pStyle w:val="FirstParagraph"/>
      </w:pPr>
      <w:r>
        <w:t xml:space="preserve">Ver solução (Cap. 4)</w:t>
      </w:r>
    </w:p>
    <w:p>
      <w:r>
        <w:pict>
          <v:rect style="width:0;height:1.5pt" o:hralign="center" o:hrstd="t" o:hr="t"/>
        </w:pict>
      </w:r>
    </w:p>
    <w:p>
      <w:pPr>
        <w:pStyle w:val="FirstParagraph"/>
      </w:pPr>
      <w:r>
        <w:rPr>
          <w:b/>
          <w:bCs/>
        </w:rPr>
        <w:t xml:space="preserve">Exercício 4.5.</w:t>
      </w:r>
      <w:r>
        <w:t xml:space="preserve"> </w:t>
      </w:r>
      <w:r>
        <w:t xml:space="preserve">Considere um consumidor com utilidade quase-linear</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t>2</m:t>
        </m:r>
        <m:rad>
          <m:radPr>
            <m:degHide m:val="on"/>
          </m:radPr>
          <m:deg/>
          <m:e>
            <m:sSub>
              <m:e>
                <m:r>
                  <m:t>x</m:t>
                </m:r>
              </m:e>
              <m:sub>
                <m:r>
                  <m:t>1</m:t>
                </m:r>
              </m:sub>
            </m:sSub>
          </m:e>
        </m:rad>
        <m:r>
          <m:rPr>
            <m:sty m:val="p"/>
          </m:rPr>
          <m:t>+</m:t>
        </m:r>
        <m:sSub>
          <m:e>
            <m:r>
              <m:t>x</m:t>
            </m:r>
          </m:e>
          <m:sub>
            <m:r>
              <m:t>2</m:t>
            </m:r>
          </m:sub>
        </m:sSub>
      </m:oMath>
      <w:r>
        <w:t xml:space="preserve">, preços</w:t>
      </w:r>
      <w:r>
        <w:t xml:space="preserve"> </w:t>
      </w:r>
      <m:oMath>
        <m:sSub>
          <m:e>
            <m:r>
              <m:t>p</m:t>
            </m:r>
          </m:e>
          <m:sub>
            <m:r>
              <m:t>1</m:t>
            </m:r>
          </m:sub>
        </m:sSub>
        <m:r>
          <m:rPr>
            <m:sty m:val="p"/>
          </m:rPr>
          <m:t>,</m:t>
        </m:r>
        <m:sSub>
          <m:e>
            <m:r>
              <m:t>p</m:t>
            </m:r>
          </m:e>
          <m:sub>
            <m:r>
              <m:t>2</m:t>
            </m:r>
          </m:sub>
        </m:sSub>
      </m:oMath>
      <w:r>
        <w:t xml:space="preserve"> </w:t>
      </w:r>
      <w:r>
        <w:t xml:space="preserve">e renda</w:t>
      </w:r>
      <w:r>
        <w:t xml:space="preserve"> </w:t>
      </w:r>
      <m:oMath>
        <m:r>
          <m:t>I</m:t>
        </m:r>
      </m:oMath>
      <w:r>
        <w:t xml:space="preserve">.</w:t>
      </w:r>
    </w:p>
    <w:p>
      <w:pPr>
        <w:numPr>
          <w:ilvl w:val="0"/>
          <w:numId w:val="1183"/>
        </w:numPr>
      </w:pPr>
      <w:r>
        <w:t xml:space="preserve">Derive as demandas marshallianas. Sob quais condições a solução é interior?</w:t>
      </w:r>
    </w:p>
    <w:p>
      <w:pPr>
        <w:numPr>
          <w:ilvl w:val="0"/>
          <w:numId w:val="1183"/>
        </w:numPr>
      </w:pPr>
      <w:r>
        <w:t xml:space="preserve">Mostre que a demanda pelo bem 1 é independente da renda (para soluções interiores). Interprete.</w:t>
      </w:r>
    </w:p>
    <w:p>
      <w:pPr>
        <w:numPr>
          <w:ilvl w:val="0"/>
          <w:numId w:val="1183"/>
        </w:numPr>
      </w:pPr>
      <w:r>
        <w:t xml:space="preserve">Derive a função de utilidade indireta e a função dispêndio.</w:t>
      </w:r>
    </w:p>
    <w:p>
      <w:pPr>
        <w:numPr>
          <w:ilvl w:val="0"/>
          <w:numId w:val="1183"/>
        </w:numPr>
      </w:pPr>
      <w:r>
        <w:t xml:space="preserve">Verifique que, para esse caso particular, as demandas marshalliana e hicksiana do bem 1 são</w:t>
      </w:r>
      <w:r>
        <w:t xml:space="preserve"> </w:t>
      </w:r>
      <w:r>
        <w:rPr>
          <w:b/>
          <w:bCs/>
        </w:rPr>
        <w:t xml:space="preserve">idênticas</w:t>
      </w:r>
      <w:r>
        <w:t xml:space="preserve">. Explique por que isso ocorre.</w:t>
      </w:r>
    </w:p>
    <w:p>
      <w:pPr>
        <w:pStyle w:val="FirstParagraph"/>
      </w:pPr>
      <w:r>
        <w:t xml:space="preserve">Ver solução (Cap. 4)</w:t>
      </w:r>
    </w:p>
    <w:p>
      <w:r>
        <w:pict>
          <v:rect style="width:0;height:1.5pt" o:hralign="center" o:hrstd="t" o:hr="t"/>
        </w:pict>
      </w:r>
    </w:p>
    <w:p>
      <w:pPr>
        <w:pStyle w:val="FirstParagraph"/>
      </w:pPr>
      <w:r>
        <w:rPr>
          <w:b/>
          <w:bCs/>
        </w:rPr>
        <w:t xml:space="preserve">Exercício 4.6.</w:t>
      </w:r>
      <w:r>
        <w:t xml:space="preserve"> </w:t>
      </w:r>
      <w:r>
        <w:t xml:space="preserve">Um consumidor tem função de utilidade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
          <m:e>
            <m:r>
              <m:t>x</m:t>
            </m:r>
          </m:e>
          <m:sub>
            <m:r>
              <m:t>1</m:t>
            </m:r>
          </m:sub>
        </m:sSub>
        <m:sSub>
          <m:e>
            <m:r>
              <m:t>x</m:t>
            </m:r>
          </m:e>
          <m:sub>
            <m:r>
              <m:t>2</m:t>
            </m:r>
          </m:sub>
        </m:sSub>
      </m:oMath>
      <w:r>
        <w:t xml:space="preserve">, com preços</w:t>
      </w:r>
      <w:r>
        <w:t xml:space="preserve"> </w:t>
      </w:r>
      <m:oMath>
        <m:sSub>
          <m:e>
            <m:r>
              <m:t>p</m:t>
            </m:r>
          </m:e>
          <m:sub>
            <m:r>
              <m:t>1</m:t>
            </m:r>
          </m:sub>
        </m:sSub>
        <m:r>
          <m:rPr>
            <m:sty m:val="p"/>
          </m:rPr>
          <m:t>=</m:t>
        </m:r>
        <m:r>
          <m:t>2</m:t>
        </m:r>
      </m:oMath>
      <w:r>
        <w:t xml:space="preserve">,</w:t>
      </w:r>
      <w:r>
        <w:t xml:space="preserve"> </w:t>
      </w:r>
      <m:oMath>
        <m:sSub>
          <m:e>
            <m:r>
              <m:t>p</m:t>
            </m:r>
          </m:e>
          <m:sub>
            <m:r>
              <m:t>2</m:t>
            </m:r>
          </m:sub>
        </m:sSub>
        <m:r>
          <m:rPr>
            <m:sty m:val="p"/>
          </m:rPr>
          <m:t>=</m:t>
        </m:r>
        <m:r>
          <m:t>4</m:t>
        </m:r>
      </m:oMath>
      <w:r>
        <w:t xml:space="preserve"> </w:t>
      </w:r>
      <w:r>
        <w:t xml:space="preserve">e renda</w:t>
      </w:r>
      <w:r>
        <w:t xml:space="preserve"> </w:t>
      </w:r>
      <m:oMath>
        <m:r>
          <m:t>I</m:t>
        </m:r>
        <m:r>
          <m:rPr>
            <m:sty m:val="p"/>
          </m:rPr>
          <m:t>=</m:t>
        </m:r>
        <m:r>
          <m:t>80</m:t>
        </m:r>
      </m:oMath>
      <w:r>
        <w:t xml:space="preserve">.</w:t>
      </w:r>
    </w:p>
    <w:p>
      <w:pPr>
        <w:numPr>
          <w:ilvl w:val="0"/>
          <w:numId w:val="1184"/>
        </w:numPr>
      </w:pPr>
      <w:r>
        <w:t xml:space="preserve">Encontre as demandas marshallianas</w:t>
      </w:r>
      <w:r>
        <w:t xml:space="preserve"> </w:t>
      </w:r>
      <m:oMath>
        <m:sSubSup>
          <m:e>
            <m:r>
              <m:t>x</m:t>
            </m:r>
          </m:e>
          <m:sub>
            <m:r>
              <m:t>1</m:t>
            </m:r>
          </m:sub>
          <m:sup>
            <m:r>
              <m:rPr>
                <m:sty m:val="p"/>
              </m:rPr>
              <m:t>*</m:t>
            </m:r>
          </m:sup>
        </m:sSubSup>
      </m:oMath>
      <w:r>
        <w:t xml:space="preserve"> </w:t>
      </w:r>
      <w:r>
        <w:t xml:space="preserve">e</w:t>
      </w:r>
      <w:r>
        <w:t xml:space="preserve"> </w:t>
      </w:r>
      <m:oMath>
        <m:sSubSup>
          <m:e>
            <m:r>
              <m:t>x</m:t>
            </m:r>
          </m:e>
          <m:sub>
            <m:r>
              <m:t>2</m:t>
            </m:r>
          </m:sub>
          <m:sup>
            <m:r>
              <m:rPr>
                <m:sty m:val="p"/>
              </m:rPr>
              <m:t>*</m:t>
            </m:r>
          </m:sup>
        </m:sSubSup>
      </m:oMath>
      <w:r>
        <w:t xml:space="preserve">.</w:t>
      </w:r>
    </w:p>
    <w:p>
      <w:pPr>
        <w:numPr>
          <w:ilvl w:val="0"/>
          <w:numId w:val="1184"/>
        </w:numPr>
      </w:pPr>
      <w:r>
        <w:t xml:space="preserve">Calcule a função de utilidade indireta</w:t>
      </w:r>
      <w:r>
        <w:t xml:space="preserve"> </w:t>
      </w:r>
      <m:oMath>
        <m:r>
          <m:t>V</m:t>
        </m:r>
        <m:r>
          <m:rPr>
            <m:sty m:val="p"/>
          </m:rPr>
          <m:t>(</m:t>
        </m:r>
        <m:sSub>
          <m:e>
            <m:r>
              <m:t>p</m:t>
            </m:r>
          </m:e>
          <m:sub>
            <m:r>
              <m:t>1</m:t>
            </m:r>
          </m:sub>
        </m:sSub>
        <m:r>
          <m:rPr>
            <m:sty m:val="p"/>
          </m:rPr>
          <m:t>,</m:t>
        </m:r>
        <m:sSub>
          <m:e>
            <m:r>
              <m:t>p</m:t>
            </m:r>
          </m:e>
          <m:sub>
            <m:r>
              <m:t>2</m:t>
            </m:r>
          </m:sub>
        </m:sSub>
        <m:r>
          <m:rPr>
            <m:sty m:val="p"/>
          </m:rPr>
          <m:t>,</m:t>
        </m:r>
        <m:r>
          <m:t>I</m:t>
        </m:r>
        <m:r>
          <m:rPr>
            <m:sty m:val="p"/>
          </m:rPr>
          <m:t>)</m:t>
        </m:r>
      </m:oMath>
      <w:r>
        <w:t xml:space="preserve">.</w:t>
      </w:r>
    </w:p>
    <w:p>
      <w:pPr>
        <w:numPr>
          <w:ilvl w:val="0"/>
          <w:numId w:val="1184"/>
        </w:numPr>
      </w:pPr>
      <w:r>
        <w:t xml:space="preserve">Verifique a Identidade de Roy para o bem 1: mostre que</w:t>
      </w:r>
      <w:r>
        <w:t xml:space="preserve"> </w:t>
      </w:r>
      <m:oMath>
        <m:r>
          <m:rPr>
            <m:sty m:val="p"/>
          </m:rPr>
          <m:t>−</m:t>
        </m:r>
        <m:f>
          <m:fPr>
            <m:type m:val="bar"/>
          </m:fPr>
          <m:num>
            <m:r>
              <m:rPr>
                <m:sty m:val="p"/>
              </m:rPr>
              <m:t>∂</m:t>
            </m:r>
            <m:r>
              <m:t>V</m:t>
            </m:r>
            <m:r>
              <m:rPr>
                <m:sty m:val="p"/>
              </m:rPr>
              <m:t>/</m:t>
            </m:r>
            <m:r>
              <m:rPr>
                <m:sty m:val="p"/>
              </m:rPr>
              <m:t>∂</m:t>
            </m:r>
            <m:sSub>
              <m:e>
                <m:r>
                  <m:t>p</m:t>
                </m:r>
              </m:e>
              <m:sub>
                <m:r>
                  <m:t>1</m:t>
                </m:r>
              </m:sub>
            </m:sSub>
          </m:num>
          <m:den>
            <m:r>
              <m:rPr>
                <m:sty m:val="p"/>
              </m:rPr>
              <m:t>∂</m:t>
            </m:r>
            <m:r>
              <m:t>V</m:t>
            </m:r>
            <m:r>
              <m:rPr>
                <m:sty m:val="p"/>
              </m:rPr>
              <m:t>/</m:t>
            </m:r>
            <m:r>
              <m:rPr>
                <m:sty m:val="p"/>
              </m:rPr>
              <m:t>∂</m:t>
            </m:r>
            <m:r>
              <m:t>I</m:t>
            </m:r>
          </m:den>
        </m:f>
        <m:r>
          <m:rPr>
            <m:sty m:val="p"/>
          </m:rPr>
          <m:t>=</m:t>
        </m:r>
        <m:sSubSup>
          <m:e>
            <m:r>
              <m:t>x</m:t>
            </m:r>
          </m:e>
          <m:sub>
            <m:r>
              <m:t>1</m:t>
            </m:r>
          </m:sub>
          <m:sup>
            <m:r>
              <m:rPr>
                <m:sty m:val="p"/>
              </m:rPr>
              <m:t>*</m:t>
            </m:r>
          </m:sup>
        </m:sSubSup>
      </m:oMath>
      <w:r>
        <w:t xml:space="preserve">.</w:t>
      </w:r>
    </w:p>
    <w:p>
      <w:pPr>
        <w:pStyle w:val="FirstParagraph"/>
      </w:pPr>
      <w:r>
        <w:t xml:space="preserve">Ver solução (Cap. 4)</w:t>
      </w:r>
    </w:p>
    <w:p>
      <w:r>
        <w:pict>
          <v:rect style="width:0;height:1.5pt" o:hralign="center" o:hrstd="t" o:hr="t"/>
        </w:pict>
      </w:r>
    </w:p>
    <w:p>
      <w:pPr>
        <w:pStyle w:val="FirstParagraph"/>
      </w:pPr>
      <w:r>
        <w:rPr>
          <w:b/>
          <w:bCs/>
        </w:rPr>
        <w:t xml:space="preserve">Exercício 4.7.</w:t>
      </w:r>
      <w:r>
        <w:t xml:space="preserve"> </w:t>
      </w:r>
      <w:r>
        <w:t xml:space="preserve">Um consumidor tem preferências de substitutos perfeitos</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t>3</m:t>
        </m:r>
        <m:sSub>
          <m:e>
            <m:r>
              <m:t>x</m:t>
            </m:r>
          </m:e>
          <m:sub>
            <m:r>
              <m:t>1</m:t>
            </m:r>
          </m:sub>
        </m:sSub>
        <m:r>
          <m:rPr>
            <m:sty m:val="p"/>
          </m:rPr>
          <m:t>+</m:t>
        </m:r>
        <m:sSub>
          <m:e>
            <m:r>
              <m:t>x</m:t>
            </m:r>
          </m:e>
          <m:sub>
            <m:r>
              <m:t>2</m:t>
            </m:r>
          </m:sub>
        </m:sSub>
      </m:oMath>
      <w:r>
        <w:t xml:space="preserve">, com</w:t>
      </w:r>
      <w:r>
        <w:t xml:space="preserve"> </w:t>
      </w:r>
      <m:oMath>
        <m:sSub>
          <m:e>
            <m:r>
              <m:t>p</m:t>
            </m:r>
          </m:e>
          <m:sub>
            <m:r>
              <m:t>1</m:t>
            </m:r>
          </m:sub>
        </m:sSub>
        <m:r>
          <m:rPr>
            <m:sty m:val="p"/>
          </m:rPr>
          <m:t>=</m:t>
        </m:r>
        <m:r>
          <m:t>6</m:t>
        </m:r>
      </m:oMath>
      <w:r>
        <w:t xml:space="preserve">,</w:t>
      </w:r>
      <w:r>
        <w:t xml:space="preserve"> </w:t>
      </w:r>
      <m:oMath>
        <m:sSub>
          <m:e>
            <m:r>
              <m:t>p</m:t>
            </m:r>
          </m:e>
          <m:sub>
            <m:r>
              <m:t>2</m:t>
            </m:r>
          </m:sub>
        </m:sSub>
        <m:r>
          <m:rPr>
            <m:sty m:val="p"/>
          </m:rPr>
          <m:t>=</m:t>
        </m:r>
        <m:r>
          <m:t>4</m:t>
        </m:r>
      </m:oMath>
      <w:r>
        <w:t xml:space="preserve"> </w:t>
      </w:r>
      <w:r>
        <w:t xml:space="preserve">e</w:t>
      </w:r>
      <w:r>
        <w:t xml:space="preserve"> </w:t>
      </w:r>
      <m:oMath>
        <m:r>
          <m:t>I</m:t>
        </m:r>
        <m:r>
          <m:rPr>
            <m:sty m:val="p"/>
          </m:rPr>
          <m:t>=</m:t>
        </m:r>
        <m:r>
          <m:t>120</m:t>
        </m:r>
      </m:oMath>
      <w:r>
        <w:t xml:space="preserve">.</w:t>
      </w:r>
    </w:p>
    <w:p>
      <w:pPr>
        <w:numPr>
          <w:ilvl w:val="0"/>
          <w:numId w:val="1185"/>
        </w:numPr>
      </w:pPr>
      <w:r>
        <w:t xml:space="preserve">Encontre o bundle ótimo. (Dica: compare a TMS com a razão de preços.)</w:t>
      </w:r>
    </w:p>
    <w:p>
      <w:pPr>
        <w:numPr>
          <w:ilvl w:val="0"/>
          <w:numId w:val="1185"/>
        </w:numPr>
      </w:pPr>
      <w:r>
        <w:t xml:space="preserve">Suponha que o preço do bem 1 caia para</w:t>
      </w:r>
      <w:r>
        <w:t xml:space="preserve"> </w:t>
      </w:r>
      <m:oMath>
        <m:sSub>
          <m:e>
            <m:r>
              <m:t>p</m:t>
            </m:r>
          </m:e>
          <m:sub>
            <m:r>
              <m:t>1</m:t>
            </m:r>
          </m:sub>
        </m:sSub>
        <m:r>
          <m:rPr>
            <m:sty m:val="p"/>
          </m:rPr>
          <m:t>=</m:t>
        </m:r>
        <m:r>
          <m:t>2</m:t>
        </m:r>
      </m:oMath>
      <w:r>
        <w:t xml:space="preserve">. Qual é o novo bundle ótimo? Interprete a descontinuidade da demanda.</w:t>
      </w:r>
    </w:p>
    <w:p>
      <w:pPr>
        <w:pStyle w:val="FirstParagraph"/>
      </w:pPr>
      <w:r>
        <w:t xml:space="preserve">Ver solução (Cap. 4)</w:t>
      </w:r>
    </w:p>
    <w:p>
      <w:r>
        <w:pict>
          <v:rect style="width:0;height:1.5pt" o:hralign="center" o:hrstd="t" o:hr="t"/>
        </w:pict>
      </w:r>
    </w:p>
    <w:p>
      <w:pPr>
        <w:pStyle w:val="FirstParagraph"/>
      </w:pPr>
      <w:r>
        <w:rPr>
          <w:b/>
          <w:bCs/>
        </w:rPr>
        <w:t xml:space="preserve">Exercício 4.8.</w:t>
      </w:r>
      <w:r>
        <w:t xml:space="preserve"> </w:t>
      </w:r>
      <w:r>
        <w:t xml:space="preserve">Um consumidor tem função de utilidade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1</m:t>
            </m:r>
            <m:r>
              <m:rPr>
                <m:sty m:val="p"/>
              </m:rPr>
              <m:t>/</m:t>
            </m:r>
            <m:r>
              <m:t>3</m:t>
            </m:r>
          </m:sup>
        </m:sSubSup>
        <m:sSubSup>
          <m:e>
            <m:r>
              <m:t>x</m:t>
            </m:r>
          </m:e>
          <m:sub>
            <m:r>
              <m:t>2</m:t>
            </m:r>
          </m:sub>
          <m:sup>
            <m:r>
              <m:t>2</m:t>
            </m:r>
            <m:r>
              <m:rPr>
                <m:sty m:val="p"/>
              </m:rPr>
              <m:t>/</m:t>
            </m:r>
            <m:r>
              <m:t>3</m:t>
            </m:r>
          </m:sup>
        </m:sSubSup>
      </m:oMath>
      <w:r>
        <w:t xml:space="preserve">.</w:t>
      </w:r>
    </w:p>
    <w:p>
      <w:pPr>
        <w:numPr>
          <w:ilvl w:val="0"/>
          <w:numId w:val="1186"/>
        </w:numPr>
      </w:pPr>
      <w:r>
        <w:t xml:space="preserve">Derive a função dispêndio</w:t>
      </w:r>
      <w:r>
        <w:t xml:space="preserve"> </w:t>
      </w:r>
      <m:oMath>
        <m:r>
          <m:t>E</m:t>
        </m:r>
        <m:r>
          <m:rPr>
            <m:sty m:val="p"/>
          </m:rPr>
          <m:t>(</m:t>
        </m:r>
        <m:sSub>
          <m:e>
            <m:r>
              <m:t>p</m:t>
            </m:r>
          </m:e>
          <m:sub>
            <m:r>
              <m:t>1</m:t>
            </m:r>
          </m:sub>
        </m:sSub>
        <m:r>
          <m:rPr>
            <m:sty m:val="p"/>
          </m:rPr>
          <m:t>,</m:t>
        </m:r>
        <m:sSub>
          <m:e>
            <m:r>
              <m:t>p</m:t>
            </m:r>
          </m:e>
          <m:sub>
            <m:r>
              <m:t>2</m:t>
            </m:r>
          </m:sub>
        </m:sSub>
        <m:r>
          <m:rPr>
            <m:sty m:val="p"/>
          </m:rPr>
          <m:t>,</m:t>
        </m:r>
        <m:acc>
          <m:accPr>
            <m:chr m:val="‾"/>
          </m:accPr>
          <m:e>
            <m:r>
              <m:t>u</m:t>
            </m:r>
          </m:e>
        </m:acc>
        <m:r>
          <m:rPr>
            <m:sty m:val="p"/>
          </m:rPr>
          <m:t>)</m:t>
        </m:r>
      </m:oMath>
      <w:r>
        <w:t xml:space="preserve">.</w:t>
      </w:r>
    </w:p>
    <w:p>
      <w:pPr>
        <w:numPr>
          <w:ilvl w:val="0"/>
          <w:numId w:val="1186"/>
        </w:numPr>
      </w:pPr>
      <w:r>
        <w:t xml:space="preserve">Verifique o Lema de Shephard: mostre que</w:t>
      </w:r>
      <w:r>
        <w:t xml:space="preserve"> </w:t>
      </w:r>
      <m:oMath>
        <m:r>
          <m:rPr>
            <m:sty m:val="p"/>
          </m:rPr>
          <m:t>∂</m:t>
        </m:r>
        <m:r>
          <m:t>E</m:t>
        </m:r>
        <m:r>
          <m:rPr>
            <m:sty m:val="p"/>
          </m:rPr>
          <m:t>/</m:t>
        </m:r>
        <m:r>
          <m:rPr>
            <m:sty m:val="p"/>
          </m:rPr>
          <m:t>∂</m:t>
        </m:r>
        <m:sSub>
          <m:e>
            <m:r>
              <m:t>p</m:t>
            </m:r>
          </m:e>
          <m:sub>
            <m:r>
              <m:t>1</m:t>
            </m:r>
          </m:sub>
        </m:sSub>
        <m:r>
          <m:rPr>
            <m:sty m:val="p"/>
          </m:rPr>
          <m:t>=</m:t>
        </m:r>
        <m:sSub>
          <m:e>
            <m:r>
              <m:t>h</m:t>
            </m:r>
          </m:e>
          <m:sub>
            <m:r>
              <m:t>1</m:t>
            </m:r>
          </m:sub>
        </m:sSub>
        <m:r>
          <m:rPr>
            <m:sty m:val="p"/>
          </m:rPr>
          <m:t>(</m:t>
        </m:r>
        <m:sSub>
          <m:e>
            <m:r>
              <m:t>p</m:t>
            </m:r>
          </m:e>
          <m:sub>
            <m:r>
              <m:t>1</m:t>
            </m:r>
          </m:sub>
        </m:sSub>
        <m:r>
          <m:rPr>
            <m:sty m:val="p"/>
          </m:rPr>
          <m:t>,</m:t>
        </m:r>
        <m:sSub>
          <m:e>
            <m:r>
              <m:t>p</m:t>
            </m:r>
          </m:e>
          <m:sub>
            <m:r>
              <m:t>2</m:t>
            </m:r>
          </m:sub>
        </m:sSub>
        <m:r>
          <m:rPr>
            <m:sty m:val="p"/>
          </m:rPr>
          <m:t>,</m:t>
        </m:r>
        <m:acc>
          <m:accPr>
            <m:chr m:val="‾"/>
          </m:accPr>
          <m:e>
            <m:r>
              <m:t>u</m:t>
            </m:r>
          </m:e>
        </m:acc>
        <m:r>
          <m:rPr>
            <m:sty m:val="p"/>
          </m:rPr>
          <m:t>)</m:t>
        </m:r>
      </m:oMath>
      <w:r>
        <w:t xml:space="preserve"> </w:t>
      </w:r>
      <w:r>
        <w:t xml:space="preserve">e</w:t>
      </w:r>
      <w:r>
        <w:t xml:space="preserve"> </w:t>
      </w:r>
      <m:oMath>
        <m:r>
          <m:rPr>
            <m:sty m:val="p"/>
          </m:rPr>
          <m:t>∂</m:t>
        </m:r>
        <m:r>
          <m:t>E</m:t>
        </m:r>
        <m:r>
          <m:rPr>
            <m:sty m:val="p"/>
          </m:rPr>
          <m:t>/</m:t>
        </m:r>
        <m:r>
          <m:rPr>
            <m:sty m:val="p"/>
          </m:rPr>
          <m:t>∂</m:t>
        </m:r>
        <m:sSub>
          <m:e>
            <m:r>
              <m:t>p</m:t>
            </m:r>
          </m:e>
          <m:sub>
            <m:r>
              <m:t>2</m:t>
            </m:r>
          </m:sub>
        </m:sSub>
        <m:r>
          <m:rPr>
            <m:sty m:val="p"/>
          </m:rPr>
          <m:t>=</m:t>
        </m:r>
        <m:sSub>
          <m:e>
            <m:r>
              <m:t>h</m:t>
            </m:r>
          </m:e>
          <m:sub>
            <m:r>
              <m:t>2</m:t>
            </m:r>
          </m:sub>
        </m:sSub>
        <m:r>
          <m:rPr>
            <m:sty m:val="p"/>
          </m:rPr>
          <m:t>(</m:t>
        </m:r>
        <m:sSub>
          <m:e>
            <m:r>
              <m:t>p</m:t>
            </m:r>
          </m:e>
          <m:sub>
            <m:r>
              <m:t>1</m:t>
            </m:r>
          </m:sub>
        </m:sSub>
        <m:r>
          <m:rPr>
            <m:sty m:val="p"/>
          </m:rPr>
          <m:t>,</m:t>
        </m:r>
        <m:sSub>
          <m:e>
            <m:r>
              <m:t>p</m:t>
            </m:r>
          </m:e>
          <m:sub>
            <m:r>
              <m:t>2</m:t>
            </m:r>
          </m:sub>
        </m:sSub>
        <m:r>
          <m:rPr>
            <m:sty m:val="p"/>
          </m:rPr>
          <m:t>,</m:t>
        </m:r>
        <m:acc>
          <m:accPr>
            <m:chr m:val="‾"/>
          </m:accPr>
          <m:e>
            <m:r>
              <m:t>u</m:t>
            </m:r>
          </m:e>
        </m:acc>
        <m:r>
          <m:rPr>
            <m:sty m:val="p"/>
          </m:rPr>
          <m:t>)</m:t>
        </m:r>
      </m:oMath>
      <w:r>
        <w:t xml:space="preserve">.</w:t>
      </w:r>
    </w:p>
    <w:p>
      <w:pPr>
        <w:numPr>
          <w:ilvl w:val="0"/>
          <w:numId w:val="1186"/>
        </w:numPr>
      </w:pPr>
      <w:r>
        <w:t xml:space="preserve">Use a identidade</w:t>
      </w:r>
      <w:r>
        <w:t xml:space="preserve"> </w:t>
      </w:r>
      <m:oMath>
        <m:r>
          <m:t>E</m:t>
        </m:r>
        <m:r>
          <m:rPr>
            <m:sty m:val="p"/>
          </m:rPr>
          <m:t>(</m:t>
        </m:r>
        <m:r>
          <m:rPr>
            <m:sty m:val="bi"/>
          </m:rPr>
          <m:t>p</m:t>
        </m:r>
        <m:r>
          <m:rPr>
            <m:sty m:val="p"/>
          </m:rPr>
          <m:t>,</m:t>
        </m:r>
        <m:r>
          <m:t>V</m:t>
        </m:r>
        <m:r>
          <m:rPr>
            <m:sty m:val="p"/>
          </m:rPr>
          <m:t>(</m:t>
        </m:r>
        <m:r>
          <m:rPr>
            <m:sty m:val="bi"/>
          </m:rPr>
          <m:t>p</m:t>
        </m:r>
        <m:r>
          <m:rPr>
            <m:sty m:val="p"/>
          </m:rPr>
          <m:t>,</m:t>
        </m:r>
        <m:r>
          <m:t>I</m:t>
        </m:r>
        <m:r>
          <m:rPr>
            <m:sty m:val="p"/>
          </m:rPr>
          <m:t>)</m:t>
        </m:r>
        <m:r>
          <m:rPr>
            <m:sty m:val="p"/>
          </m:rPr>
          <m:t>)</m:t>
        </m:r>
        <m:r>
          <m:rPr>
            <m:sty m:val="p"/>
          </m:rPr>
          <m:t>=</m:t>
        </m:r>
        <m:r>
          <m:t>I</m:t>
        </m:r>
      </m:oMath>
      <w:r>
        <w:t xml:space="preserve"> </w:t>
      </w:r>
      <w:r>
        <w:t xml:space="preserve">para verificar a dualidade entre as funções dispêndio e utilidade indireta com os parâmetros</w:t>
      </w:r>
      <w:r>
        <w:t xml:space="preserve"> </w:t>
      </w:r>
      <m:oMath>
        <m:sSub>
          <m:e>
            <m:r>
              <m:t>p</m:t>
            </m:r>
          </m:e>
          <m:sub>
            <m:r>
              <m:t>1</m:t>
            </m:r>
          </m:sub>
        </m:sSub>
        <m:r>
          <m:rPr>
            <m:sty m:val="p"/>
          </m:rPr>
          <m:t>=</m:t>
        </m:r>
        <m:r>
          <m:t>6</m:t>
        </m:r>
      </m:oMath>
      <w:r>
        <w:t xml:space="preserve">,</w:t>
      </w:r>
      <w:r>
        <w:t xml:space="preserve"> </w:t>
      </w:r>
      <m:oMath>
        <m:sSub>
          <m:e>
            <m:r>
              <m:t>p</m:t>
            </m:r>
          </m:e>
          <m:sub>
            <m:r>
              <m:t>2</m:t>
            </m:r>
          </m:sub>
        </m:sSub>
        <m:r>
          <m:rPr>
            <m:sty m:val="p"/>
          </m:rPr>
          <m:t>=</m:t>
        </m:r>
        <m:r>
          <m:t>3</m:t>
        </m:r>
      </m:oMath>
      <w:r>
        <w:t xml:space="preserve">,</w:t>
      </w:r>
      <w:r>
        <w:t xml:space="preserve"> </w:t>
      </w:r>
      <m:oMath>
        <m:r>
          <m:t>I</m:t>
        </m:r>
        <m:r>
          <m:rPr>
            <m:sty m:val="p"/>
          </m:rPr>
          <m:t>=</m:t>
        </m:r>
        <m:r>
          <m:t>180</m:t>
        </m:r>
      </m:oMath>
      <w:r>
        <w:t xml:space="preserve">.</w:t>
      </w:r>
    </w:p>
    <w:p>
      <w:pPr>
        <w:pStyle w:val="FirstParagraph"/>
      </w:pPr>
      <w:r>
        <w:t xml:space="preserve">Ver solução (Cap. 4)</w:t>
      </w:r>
    </w:p>
    <w:p>
      <w:r>
        <w:pict>
          <v:rect style="width:0;height:1.5pt" o:hralign="center" o:hrstd="t" o:hr="t"/>
        </w:pict>
      </w:r>
    </w:p>
    <w:p>
      <w:pPr>
        <w:pStyle w:val="FirstParagraph"/>
      </w:pPr>
      <w:r>
        <w:rPr>
          <w:b/>
          <w:bCs/>
        </w:rPr>
        <w:t xml:space="preserve">Exercício 4.9.</w:t>
      </w:r>
      <w:r>
        <w:t xml:space="preserve"> </w:t>
      </w:r>
      <w:r>
        <w:rPr>
          <w:i/>
          <w:iCs/>
        </w:rPr>
        <w:t xml:space="preserve">(Aplicação Brasileira)</w:t>
      </w:r>
      <w:r>
        <w:t xml:space="preserve"> </w:t>
      </w:r>
      <w:r>
        <w:t xml:space="preserve">Uma família brasileira tem função de utilidade Cobb-Douglas</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0</m:t>
            </m:r>
            <m:r>
              <m:rPr>
                <m:sty m:val="p"/>
              </m:rPr>
              <m:t>,</m:t>
            </m:r>
            <m:r>
              <m:t>3</m:t>
            </m:r>
          </m:sup>
        </m:sSubSup>
        <m:sSubSup>
          <m:e>
            <m:r>
              <m:t>x</m:t>
            </m:r>
          </m:e>
          <m:sub>
            <m:r>
              <m:t>2</m:t>
            </m:r>
          </m:sub>
          <m:sup>
            <m:r>
              <m:t>0</m:t>
            </m:r>
            <m:r>
              <m:rPr>
                <m:sty m:val="p"/>
              </m:rPr>
              <m:t>,</m:t>
            </m:r>
            <m:r>
              <m:t>7</m:t>
            </m:r>
          </m:sup>
        </m:sSubSup>
      </m:oMath>
      <w:r>
        <w:t xml:space="preserve">, onde</w:t>
      </w:r>
      <w:r>
        <w:t xml:space="preserve"> </w:t>
      </w:r>
      <m:oMath>
        <m:sSub>
          <m:e>
            <m:r>
              <m:t>x</m:t>
            </m:r>
          </m:e>
          <m:sub>
            <m:r>
              <m:t>1</m:t>
            </m:r>
          </m:sub>
        </m:sSub>
      </m:oMath>
      <w:r>
        <w:t xml:space="preserve"> </w:t>
      </w:r>
      <w:r>
        <w:t xml:space="preserve">representa alimentação e</w:t>
      </w:r>
      <w:r>
        <w:t xml:space="preserve"> </w:t>
      </w:r>
      <m:oMath>
        <m:sSub>
          <m:e>
            <m:r>
              <m:t>x</m:t>
            </m:r>
          </m:e>
          <m:sub>
            <m:r>
              <m:t>2</m:t>
            </m:r>
          </m:sub>
        </m:sSub>
      </m:oMath>
      <w:r>
        <w:t xml:space="preserve"> </w:t>
      </w:r>
      <w:r>
        <w:t xml:space="preserve">representa outros bens. A renda familiar é</w:t>
      </w:r>
      <w:r>
        <w:t xml:space="preserve"> </w:t>
      </w:r>
      <m:oMath>
        <m:r>
          <m:t>I</m:t>
        </m:r>
        <m:r>
          <m:rPr>
            <m:sty m:val="p"/>
          </m:rPr>
          <m:t>=</m:t>
        </m:r>
        <m:r>
          <m:t>3000</m:t>
        </m:r>
      </m:oMath>
      <w:r>
        <w:t xml:space="preserve"> </w:t>
      </w:r>
      <w:r>
        <w:t xml:space="preserve">e os preços iniciais são</w:t>
      </w:r>
      <w:r>
        <w:t xml:space="preserve"> </w:t>
      </w:r>
      <m:oMath>
        <m:sSub>
          <m:e>
            <m:r>
              <m:t>p</m:t>
            </m:r>
          </m:e>
          <m:sub>
            <m:r>
              <m:t>1</m:t>
            </m:r>
          </m:sub>
        </m:sSub>
        <m:r>
          <m:rPr>
            <m:sty m:val="p"/>
          </m:rPr>
          <m:t>=</m:t>
        </m:r>
        <m:r>
          <m:t>1</m:t>
        </m:r>
      </m:oMath>
      <w:r>
        <w:t xml:space="preserve"> </w:t>
      </w:r>
      <w:r>
        <w:t xml:space="preserve">e</w:t>
      </w:r>
      <w:r>
        <w:t xml:space="preserve"> </w:t>
      </w:r>
      <m:oMath>
        <m:sSub>
          <m:e>
            <m:r>
              <m:t>p</m:t>
            </m:r>
          </m:e>
          <m:sub>
            <m:r>
              <m:t>2</m:t>
            </m:r>
          </m:sub>
        </m:sSub>
        <m:r>
          <m:rPr>
            <m:sty m:val="p"/>
          </m:rPr>
          <m:t>=</m:t>
        </m:r>
        <m:r>
          <m:t>1</m:t>
        </m:r>
      </m:oMath>
      <w:r>
        <w:t xml:space="preserve">. O governo introduz um imposto de 20% sobre alimentos, elevando</w:t>
      </w:r>
      <w:r>
        <w:t xml:space="preserve"> </w:t>
      </w:r>
      <m:oMath>
        <m:sSub>
          <m:e>
            <m:r>
              <m:t>p</m:t>
            </m:r>
          </m:e>
          <m:sub>
            <m:r>
              <m:t>1</m:t>
            </m:r>
          </m:sub>
        </m:sSub>
      </m:oMath>
      <w:r>
        <w:t xml:space="preserve"> </w:t>
      </w:r>
      <w:r>
        <w:t xml:space="preserve">para</w:t>
      </w:r>
      <w:r>
        <w:t xml:space="preserve"> </w:t>
      </w:r>
      <m:oMath>
        <m:r>
          <m:t>1</m:t>
        </m:r>
        <m:r>
          <m:rPr>
            <m:sty m:val="p"/>
          </m:rPr>
          <m:t>,</m:t>
        </m:r>
        <m:r>
          <m:t>2</m:t>
        </m:r>
      </m:oMath>
      <w:r>
        <w:t xml:space="preserve">.</w:t>
      </w:r>
    </w:p>
    <w:p>
      <w:pPr>
        <w:numPr>
          <w:ilvl w:val="0"/>
          <w:numId w:val="1187"/>
        </w:numPr>
      </w:pPr>
      <w:r>
        <w:t xml:space="preserve">Calcule a cesta ótima e a utilidade antes e depois do imposto.</w:t>
      </w:r>
    </w:p>
    <w:p>
      <w:pPr>
        <w:numPr>
          <w:ilvl w:val="0"/>
          <w:numId w:val="1187"/>
        </w:numPr>
      </w:pPr>
      <w:r>
        <w:t xml:space="preserve">Calcule a receita arrecadada pelo imposto específico.</w:t>
      </w:r>
    </w:p>
    <w:p>
      <w:pPr>
        <w:numPr>
          <w:ilvl w:val="0"/>
          <w:numId w:val="1187"/>
        </w:numPr>
      </w:pPr>
      <w:r>
        <w:t xml:space="preserve">Compare com um imposto</w:t>
      </w:r>
      <w:r>
        <w:t xml:space="preserve"> </w:t>
      </w:r>
      <w:r>
        <w:rPr>
          <w:i/>
          <w:iCs/>
        </w:rPr>
        <w:t xml:space="preserve">lump sum</w:t>
      </w:r>
      <w:r>
        <w:t xml:space="preserve"> </w:t>
      </w:r>
      <w:r>
        <w:t xml:space="preserve">de mesma receita: qual a utilidade resultante? A família prefere qual política?</w:t>
      </w:r>
    </w:p>
    <w:p>
      <w:pPr>
        <w:numPr>
          <w:ilvl w:val="0"/>
          <w:numId w:val="1187"/>
        </w:numPr>
      </w:pPr>
      <w:r>
        <w:t xml:space="preserve">Calcule a</w:t>
      </w:r>
      <w:r>
        <w:t xml:space="preserve"> </w:t>
      </w:r>
      <w:r>
        <w:rPr>
          <w:b/>
          <w:bCs/>
        </w:rPr>
        <w:t xml:space="preserve">perda de bem-estar</w:t>
      </w:r>
      <w:r>
        <w:t xml:space="preserve"> </w:t>
      </w:r>
      <w:r>
        <w:t xml:space="preserve">do imposto específico em relação ao</w:t>
      </w:r>
      <w:r>
        <w:t xml:space="preserve"> </w:t>
      </w:r>
      <w:r>
        <w:rPr>
          <w:i/>
          <w:iCs/>
        </w:rPr>
        <w:t xml:space="preserve">lump sum</w:t>
      </w:r>
      <w:r>
        <w:t xml:space="preserve"> </w:t>
      </w:r>
      <w:r>
        <w:t xml:space="preserve">em termos de utilidade.</w:t>
      </w:r>
    </w:p>
    <w:p>
      <w:pPr>
        <w:pStyle w:val="FirstParagraph"/>
      </w:pPr>
      <w:r>
        <w:t xml:space="preserve">Ver solução (Cap. 4)</w:t>
      </w:r>
    </w:p>
    <w:p>
      <w:r>
        <w:pict>
          <v:rect style="width:0;height:1.5pt" o:hralign="center" o:hrstd="t" o:hr="t"/>
        </w:pict>
      </w:r>
    </w:p>
    <w:p>
      <w:pPr>
        <w:pStyle w:val="FirstParagraph"/>
      </w:pPr>
      <w:r>
        <w:rPr>
          <w:b/>
          <w:bCs/>
        </w:rPr>
        <w:t xml:space="preserve">Exercício 4.10.</w:t>
      </w:r>
      <w:r>
        <w:t xml:space="preserve"> </w:t>
      </w:r>
      <w:r>
        <w:rPr>
          <w:i/>
          <w:iCs/>
        </w:rPr>
        <w:t xml:space="preserve">(Desafiador)</w:t>
      </w:r>
      <w:r>
        <w:t xml:space="preserve"> </w:t>
      </w:r>
      <w:r>
        <w:t xml:space="preserve">Considere a função de utilidade CES com elasticidade de substituição</w:t>
      </w:r>
      <w:r>
        <w:t xml:space="preserve"> </w:t>
      </w:r>
      <m:oMath>
        <m:r>
          <m:t>σ</m:t>
        </m:r>
        <m:r>
          <m:rPr>
            <m:sty m:val="p"/>
          </m:rPr>
          <m:t>=</m:t>
        </m:r>
        <m:r>
          <m:t>2</m:t>
        </m:r>
      </m:oMath>
      <w:r>
        <w:t xml:space="preserve">, parâmetros</w:t>
      </w:r>
      <w:r>
        <w:t xml:space="preserve"> </w:t>
      </w:r>
      <m:oMath>
        <m:r>
          <m:t>α</m:t>
        </m:r>
        <m:r>
          <m:rPr>
            <m:sty m:val="p"/>
          </m:rPr>
          <m:t>=</m:t>
        </m:r>
        <m:r>
          <m:t>β</m:t>
        </m:r>
        <m:r>
          <m:rPr>
            <m:sty m:val="p"/>
          </m:rPr>
          <m:t>=</m:t>
        </m:r>
        <m:r>
          <m:t>0</m:t>
        </m:r>
        <m:r>
          <m:rPr>
            <m:sty m:val="p"/>
          </m:rPr>
          <m:t>,</m:t>
        </m:r>
        <m:r>
          <m:t>5</m:t>
        </m:r>
      </m:oMath>
      <w:r>
        <w:t xml:space="preserve">, preços</w:t>
      </w:r>
      <w:r>
        <w:t xml:space="preserve"> </w:t>
      </w:r>
      <m:oMath>
        <m:sSub>
          <m:e>
            <m:r>
              <m:t>p</m:t>
            </m:r>
          </m:e>
          <m:sub>
            <m:r>
              <m:t>1</m:t>
            </m:r>
          </m:sub>
        </m:sSub>
        <m:r>
          <m:rPr>
            <m:sty m:val="p"/>
          </m:rPr>
          <m:t>=</m:t>
        </m:r>
        <m:r>
          <m:t>3</m:t>
        </m:r>
      </m:oMath>
      <w:r>
        <w:t xml:space="preserve">,</w:t>
      </w:r>
      <w:r>
        <w:t xml:space="preserve"> </w:t>
      </w:r>
      <m:oMath>
        <m:sSub>
          <m:e>
            <m:r>
              <m:t>p</m:t>
            </m:r>
          </m:e>
          <m:sub>
            <m:r>
              <m:t>2</m:t>
            </m:r>
          </m:sub>
        </m:sSub>
        <m:r>
          <m:rPr>
            <m:sty m:val="p"/>
          </m:rPr>
          <m:t>=</m:t>
        </m:r>
        <m:r>
          <m:t>1</m:t>
        </m:r>
      </m:oMath>
      <w:r>
        <w:t xml:space="preserve"> </w:t>
      </w:r>
      <w:r>
        <w:t xml:space="preserve">e renda</w:t>
      </w:r>
      <w:r>
        <w:t xml:space="preserve"> </w:t>
      </w:r>
      <m:oMath>
        <m:r>
          <m:t>I</m:t>
        </m:r>
        <m:r>
          <m:rPr>
            <m:sty m:val="p"/>
          </m:rPr>
          <m:t>=</m:t>
        </m:r>
        <m:r>
          <m:t>60</m:t>
        </m:r>
      </m:oMath>
      <w:r>
        <w:t xml:space="preserve">.</w:t>
      </w:r>
    </w:p>
    <w:p>
      <w:pPr>
        <w:numPr>
          <w:ilvl w:val="0"/>
          <w:numId w:val="1188"/>
        </w:numPr>
      </w:pPr>
      <w:r>
        <w:t xml:space="preserve">Derive as demandas marshallianas</w:t>
      </w:r>
      <w:r>
        <w:t xml:space="preserve"> </w:t>
      </w:r>
      <m:oMath>
        <m:sSubSup>
          <m:e>
            <m:r>
              <m:t>x</m:t>
            </m:r>
          </m:e>
          <m:sub>
            <m:r>
              <m:t>1</m:t>
            </m:r>
          </m:sub>
          <m:sup>
            <m:r>
              <m:rPr>
                <m:sty m:val="p"/>
              </m:rPr>
              <m:t>*</m:t>
            </m:r>
          </m:sup>
        </m:sSubSup>
      </m:oMath>
      <w:r>
        <w:t xml:space="preserve"> </w:t>
      </w:r>
      <w:r>
        <w:t xml:space="preserve">e</w:t>
      </w:r>
      <w:r>
        <w:t xml:space="preserve"> </w:t>
      </w:r>
      <m:oMath>
        <m:sSubSup>
          <m:e>
            <m:r>
              <m:t>x</m:t>
            </m:r>
          </m:e>
          <m:sub>
            <m:r>
              <m:t>2</m:t>
            </m:r>
          </m:sub>
          <m:sup>
            <m:r>
              <m:rPr>
                <m:sty m:val="p"/>
              </m:rPr>
              <m:t>*</m:t>
            </m:r>
          </m:sup>
        </m:sSubSup>
      </m:oMath>
      <w:r>
        <w:t xml:space="preserve">.</w:t>
      </w:r>
    </w:p>
    <w:p>
      <w:pPr>
        <w:numPr>
          <w:ilvl w:val="0"/>
          <w:numId w:val="1188"/>
        </w:numPr>
      </w:pPr>
      <w:r>
        <w:t xml:space="preserve">Verifique que as demandas são homogêneas de grau zero em</w:t>
      </w:r>
      <w:r>
        <w:t xml:space="preserve"> </w:t>
      </w:r>
      <m:oMath>
        <m:r>
          <m:rPr>
            <m:sty m:val="p"/>
          </m:rPr>
          <m:t>(</m:t>
        </m:r>
        <m:sSub>
          <m:e>
            <m:r>
              <m:t>p</m:t>
            </m:r>
          </m:e>
          <m:sub>
            <m:r>
              <m:t>1</m:t>
            </m:r>
          </m:sub>
        </m:sSub>
        <m:r>
          <m:rPr>
            <m:sty m:val="p"/>
          </m:rPr>
          <m:t>,</m:t>
        </m:r>
        <m:sSub>
          <m:e>
            <m:r>
              <m:t>p</m:t>
            </m:r>
          </m:e>
          <m:sub>
            <m:r>
              <m:t>2</m:t>
            </m:r>
          </m:sub>
        </m:sSub>
        <m:r>
          <m:rPr>
            <m:sty m:val="p"/>
          </m:rPr>
          <m:t>,</m:t>
        </m:r>
        <m:r>
          <m:t>I</m:t>
        </m:r>
        <m:r>
          <m:rPr>
            <m:sty m:val="p"/>
          </m:rPr>
          <m:t>)</m:t>
        </m:r>
      </m:oMath>
      <w:r>
        <w:t xml:space="preserve">: mostre que</w:t>
      </w:r>
      <w:r>
        <w:t xml:space="preserve"> </w:t>
      </w:r>
      <m:oMath>
        <m:sSubSup>
          <m:e>
            <m:r>
              <m:t>x</m:t>
            </m:r>
          </m:e>
          <m:sub>
            <m:r>
              <m:t>i</m:t>
            </m:r>
          </m:sub>
          <m:sup>
            <m:r>
              <m:rPr>
                <m:sty m:val="p"/>
              </m:rPr>
              <m:t>*</m:t>
            </m:r>
          </m:sup>
        </m:sSubSup>
        <m:r>
          <m:rPr>
            <m:sty m:val="p"/>
          </m:rPr>
          <m:t>(</m:t>
        </m:r>
        <m:r>
          <m:t>t</m:t>
        </m:r>
        <m:sSub>
          <m:e>
            <m:r>
              <m:t>p</m:t>
            </m:r>
          </m:e>
          <m:sub>
            <m:r>
              <m:t>1</m:t>
            </m:r>
          </m:sub>
        </m:sSub>
        <m:r>
          <m:rPr>
            <m:sty m:val="p"/>
          </m:rPr>
          <m:t>,</m:t>
        </m:r>
        <m:r>
          <m:t>t</m:t>
        </m:r>
        <m:sSub>
          <m:e>
            <m:r>
              <m:t>p</m:t>
            </m:r>
          </m:e>
          <m:sub>
            <m:r>
              <m:t>2</m:t>
            </m:r>
          </m:sub>
        </m:sSub>
        <m:r>
          <m:rPr>
            <m:sty m:val="p"/>
          </m:rPr>
          <m:t>,</m:t>
        </m:r>
        <m:r>
          <m:t>t</m:t>
        </m:r>
        <m:r>
          <m:t>I</m:t>
        </m:r>
        <m:r>
          <m:rPr>
            <m:sty m:val="p"/>
          </m:rPr>
          <m:t>)</m:t>
        </m:r>
        <m:r>
          <m:rPr>
            <m:sty m:val="p"/>
          </m:rPr>
          <m:t>=</m:t>
        </m:r>
        <m:sSubSup>
          <m:e>
            <m:r>
              <m:t>x</m:t>
            </m:r>
          </m:e>
          <m:sub>
            <m:r>
              <m:t>i</m:t>
            </m:r>
          </m:sub>
          <m:sup>
            <m:r>
              <m:rPr>
                <m:sty m:val="p"/>
              </m:rPr>
              <m:t>*</m:t>
            </m:r>
          </m:sup>
        </m:sSubSup>
        <m:r>
          <m:rPr>
            <m:sty m:val="p"/>
          </m:rPr>
          <m:t>(</m:t>
        </m:r>
        <m:sSub>
          <m:e>
            <m:r>
              <m:t>p</m:t>
            </m:r>
          </m:e>
          <m:sub>
            <m:r>
              <m:t>1</m:t>
            </m:r>
          </m:sub>
        </m:sSub>
        <m:r>
          <m:rPr>
            <m:sty m:val="p"/>
          </m:rPr>
          <m:t>,</m:t>
        </m:r>
        <m:sSub>
          <m:e>
            <m:r>
              <m:t>p</m:t>
            </m:r>
          </m:e>
          <m:sub>
            <m:r>
              <m:t>2</m:t>
            </m:r>
          </m:sub>
        </m:sSub>
        <m:r>
          <m:rPr>
            <m:sty m:val="p"/>
          </m:rPr>
          <m:t>,</m:t>
        </m:r>
        <m:r>
          <m:t>I</m:t>
        </m:r>
        <m:r>
          <m:rPr>
            <m:sty m:val="p"/>
          </m:rPr>
          <m:t>)</m:t>
        </m:r>
      </m:oMath>
      <w:r>
        <w:t xml:space="preserve"> </w:t>
      </w:r>
      <w:r>
        <w:t xml:space="preserve">para qualquer</w:t>
      </w:r>
      <w:r>
        <w:t xml:space="preserve"> </w:t>
      </w:r>
      <m:oMath>
        <m:r>
          <m:t>t</m:t>
        </m:r>
        <m:r>
          <m:rPr>
            <m:sty m:val="p"/>
          </m:rPr>
          <m:t>&gt;</m:t>
        </m:r>
        <m:r>
          <m:t>0</m:t>
        </m:r>
      </m:oMath>
      <w:r>
        <w:t xml:space="preserve">.</w:t>
      </w:r>
    </w:p>
    <w:p>
      <w:pPr>
        <w:numPr>
          <w:ilvl w:val="0"/>
          <w:numId w:val="1188"/>
        </w:numPr>
      </w:pPr>
      <w:r>
        <w:t xml:space="preserve">Calcule o índice de preços CES</w:t>
      </w:r>
      <w:r>
        <w:t xml:space="preserve"> </w:t>
      </w:r>
      <m:oMath>
        <m:r>
          <m:t>P</m:t>
        </m:r>
      </m:oMath>
      <w:r>
        <w:t xml:space="preserve"> </w:t>
      </w:r>
      <w:r>
        <w:t xml:space="preserve">e interprete seu significado econômico.</w:t>
      </w:r>
    </w:p>
    <w:p>
      <w:pPr>
        <w:pStyle w:val="FirstParagraph"/>
      </w:pPr>
      <w:r>
        <w:t xml:space="preserve">Ver solução (Cap. 4)</w:t>
      </w:r>
    </w:p>
    <w:p>
      <w:r>
        <w:pict>
          <v:rect style="width:0;height:1.5pt" o:hralign="center" o:hrstd="t" o:hr="t"/>
        </w:pict>
      </w:r>
    </w:p>
    <w:bookmarkEnd w:id="222"/>
    <w:bookmarkStart w:id="223" w:name="vem-anpec-2"/>
    <w:p>
      <w:pPr>
        <w:pStyle w:val="Heading3"/>
      </w:pPr>
      <w:r>
        <w:t xml:space="preserve">Vem, ANPEC!</w:t>
      </w:r>
    </w:p>
    <w:p>
      <w:pPr>
        <w:pStyle w:val="BlockText"/>
      </w:pPr>
      <w:r>
        <w:rPr>
          <w:b/>
          <w:bCs/>
        </w:rPr>
        <w:t xml:space="preserve">[QUESTAO] ANPEC 2018 — Questão 03</w:t>
      </w:r>
    </w:p>
    <w:p>
      <w:pPr>
        <w:pStyle w:val="BlockText"/>
      </w:pPr>
      <w:r>
        <w:t xml:space="preserve">A maximização da função utilidade</w:t>
      </w:r>
      <w:r>
        <w:t xml:space="preserve"> </w:t>
      </w:r>
      <m:oMath>
        <m:r>
          <m:t>U</m:t>
        </m:r>
        <m:r>
          <m:rPr>
            <m:sty m:val="p"/>
          </m:rPr>
          <m:t>(</m:t>
        </m:r>
        <m:r>
          <m:t>x</m:t>
        </m:r>
        <m:r>
          <m:rPr>
            <m:sty m:val="p"/>
          </m:rPr>
          <m:t>,</m:t>
        </m:r>
        <m:r>
          <m:t>y</m:t>
        </m:r>
        <m:r>
          <m:rPr>
            <m:sty m:val="p"/>
          </m:rPr>
          <m:t>)</m:t>
        </m:r>
        <m:r>
          <m:rPr>
            <m:sty m:val="p"/>
          </m:rPr>
          <m:t>=</m:t>
        </m:r>
        <m:rad>
          <m:radPr>
            <m:degHide m:val="on"/>
          </m:radPr>
          <m:deg/>
          <m:e>
            <m:r>
              <m:t>x</m:t>
            </m:r>
            <m:r>
              <m:t>y</m:t>
            </m:r>
          </m:e>
        </m:rad>
      </m:oMath>
      <w:r>
        <w:t xml:space="preserve">, sujeita à restrição orçamentária</w:t>
      </w:r>
      <w:r>
        <w:t xml:space="preserve"> </w:t>
      </w:r>
      <m:oMath>
        <m:r>
          <m:t>x</m:t>
        </m:r>
        <m:sSub>
          <m:e>
            <m:r>
              <m:t>p</m:t>
            </m:r>
          </m:e>
          <m:sub>
            <m:r>
              <m:t>x</m:t>
            </m:r>
          </m:sub>
        </m:sSub>
        <m:r>
          <m:rPr>
            <m:sty m:val="p"/>
          </m:rPr>
          <m:t>+</m:t>
        </m:r>
        <m:r>
          <m:t>y</m:t>
        </m:r>
        <m:sSub>
          <m:e>
            <m:r>
              <m:t>p</m:t>
            </m:r>
          </m:e>
          <m:sub>
            <m:r>
              <m:t>y</m:t>
            </m:r>
          </m:sub>
        </m:sSub>
        <m:r>
          <m:rPr>
            <m:sty m:val="p"/>
          </m:rPr>
          <m:t>=</m:t>
        </m:r>
        <m:r>
          <m:t>R</m:t>
        </m:r>
      </m:oMath>
      <w:r>
        <w:t xml:space="preserve">, sendo</w:t>
      </w:r>
      <w:r>
        <w:t xml:space="preserve"> </w:t>
      </w:r>
      <m:oMath>
        <m:r>
          <m:t>R</m:t>
        </m:r>
      </m:oMath>
      <w:r>
        <w:t xml:space="preserve"> </w:t>
      </w:r>
      <w:r>
        <w:t xml:space="preserve">a renda exógena e</w:t>
      </w:r>
      <w:r>
        <w:t xml:space="preserve"> </w:t>
      </w:r>
      <m:oMath>
        <m:sSub>
          <m:e>
            <m:r>
              <m:t>p</m:t>
            </m:r>
          </m:e>
          <m:sub>
            <m:r>
              <m:t>i</m:t>
            </m:r>
          </m:sub>
        </m:sSub>
      </m:oMath>
      <w:r>
        <w:t xml:space="preserve">,</w:t>
      </w:r>
      <w:r>
        <w:t xml:space="preserve"> </w:t>
      </w:r>
      <m:oMath>
        <m:r>
          <m:t>i</m:t>
        </m:r>
        <m:r>
          <m:rPr>
            <m:sty m:val="p"/>
          </m:rPr>
          <m:t>=</m:t>
        </m:r>
        <m:r>
          <m:t>1</m:t>
        </m:r>
        <m:r>
          <m:rPr>
            <m:sty m:val="p"/>
          </m:rPr>
          <m:t>,</m:t>
        </m:r>
        <m:r>
          <m:t>2</m:t>
        </m:r>
      </m:oMath>
      <w:r>
        <w:t xml:space="preserve">, os preços dos bens, gera as seguintes funções de demanda marshallianas:</w:t>
      </w:r>
      <w:r>
        <w:t xml:space="preserve"> </w:t>
      </w:r>
      <m:oMath>
        <m:r>
          <m:t>X</m:t>
        </m:r>
        <m:r>
          <m:rPr>
            <m:sty m:val="p"/>
          </m:rPr>
          <m:t>(</m:t>
        </m:r>
        <m:sSub>
          <m:e>
            <m:r>
              <m:t>p</m:t>
            </m:r>
          </m:e>
          <m:sub>
            <m:r>
              <m:t>x</m:t>
            </m:r>
          </m:sub>
        </m:sSub>
        <m:r>
          <m:rPr>
            <m:sty m:val="p"/>
          </m:rPr>
          <m:t>,</m:t>
        </m:r>
        <m:sSub>
          <m:e>
            <m:r>
              <m:t>p</m:t>
            </m:r>
          </m:e>
          <m:sub>
            <m:r>
              <m:t>y</m:t>
            </m:r>
          </m:sub>
        </m:sSub>
        <m:r>
          <m:rPr>
            <m:sty m:val="p"/>
          </m:rPr>
          <m:t>,</m:t>
        </m:r>
        <m:r>
          <m:t>R</m:t>
        </m:r>
        <m:r>
          <m:rPr>
            <m:sty m:val="p"/>
          </m:rPr>
          <m:t>)</m:t>
        </m:r>
        <m:r>
          <m:rPr>
            <m:sty m:val="p"/>
          </m:rPr>
          <m:t>=</m:t>
        </m:r>
        <m:f>
          <m:fPr>
            <m:type m:val="bar"/>
          </m:fPr>
          <m:num>
            <m:r>
              <m:t>1</m:t>
            </m:r>
          </m:num>
          <m:den>
            <m:r>
              <m:t>2</m:t>
            </m:r>
          </m:den>
        </m:f>
        <m:f>
          <m:fPr>
            <m:type m:val="bar"/>
          </m:fPr>
          <m:num>
            <m:r>
              <m:t>R</m:t>
            </m:r>
          </m:num>
          <m:den>
            <m:sSub>
              <m:e>
                <m:r>
                  <m:t>p</m:t>
                </m:r>
              </m:e>
              <m:sub>
                <m:r>
                  <m:t>x</m:t>
                </m:r>
              </m:sub>
            </m:sSub>
          </m:den>
        </m:f>
      </m:oMath>
      <w:r>
        <w:t xml:space="preserve"> </w:t>
      </w:r>
      <w:r>
        <w:t xml:space="preserve">e</w:t>
      </w:r>
      <w:r>
        <w:t xml:space="preserve"> </w:t>
      </w:r>
      <m:oMath>
        <m:r>
          <m:t>Y</m:t>
        </m:r>
        <m:r>
          <m:rPr>
            <m:sty m:val="p"/>
          </m:rPr>
          <m:t>(</m:t>
        </m:r>
        <m:sSub>
          <m:e>
            <m:r>
              <m:t>p</m:t>
            </m:r>
          </m:e>
          <m:sub>
            <m:r>
              <m:t>x</m:t>
            </m:r>
          </m:sub>
        </m:sSub>
        <m:r>
          <m:rPr>
            <m:sty m:val="p"/>
          </m:rPr>
          <m:t>,</m:t>
        </m:r>
        <m:sSub>
          <m:e>
            <m:r>
              <m:t>p</m:t>
            </m:r>
          </m:e>
          <m:sub>
            <m:r>
              <m:t>y</m:t>
            </m:r>
          </m:sub>
        </m:sSub>
        <m:r>
          <m:rPr>
            <m:sty m:val="p"/>
          </m:rPr>
          <m:t>,</m:t>
        </m:r>
        <m:r>
          <m:t>R</m:t>
        </m:r>
        <m:r>
          <m:rPr>
            <m:sty m:val="p"/>
          </m:rPr>
          <m:t>)</m:t>
        </m:r>
        <m:r>
          <m:rPr>
            <m:sty m:val="p"/>
          </m:rPr>
          <m:t>=</m:t>
        </m:r>
        <m:f>
          <m:fPr>
            <m:type m:val="bar"/>
          </m:fPr>
          <m:num>
            <m:r>
              <m:t>1</m:t>
            </m:r>
          </m:num>
          <m:den>
            <m:r>
              <m:t>2</m:t>
            </m:r>
          </m:den>
        </m:f>
        <m:f>
          <m:fPr>
            <m:type m:val="bar"/>
          </m:fPr>
          <m:num>
            <m:r>
              <m:t>R</m:t>
            </m:r>
          </m:num>
          <m:den>
            <m:sSub>
              <m:e>
                <m:r>
                  <m:t>p</m:t>
                </m:r>
              </m:e>
              <m:sub>
                <m:r>
                  <m:t>y</m:t>
                </m:r>
              </m:sub>
            </m:sSub>
          </m:den>
        </m:f>
      </m:oMath>
      <w:r>
        <w:t xml:space="preserve">. Avalie as assertivas:</w:t>
      </w:r>
    </w:p>
    <w:p>
      <w:pPr>
        <w:pStyle w:val="BlockText"/>
      </w:pPr>
      <w:r>
        <w:rPr>
          <w:b/>
          <w:bCs/>
        </w:rPr>
        <w:t xml:space="preserve">Itens:</w:t>
      </w:r>
      <w:r>
        <w:t xml:space="preserve"> </w:t>
      </w:r>
      <w:r>
        <w:t xml:space="preserve">(marque 0 para Falso, 1 para Verdadeiro)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Como a demanda pelo bem</w:t>
            </w:r>
            <w:r>
              <w:t xml:space="preserve"> </w:t>
            </w:r>
            <m:oMath>
              <m:r>
                <m:t>x</m:t>
              </m:r>
            </m:oMath>
            <w:r>
              <w:t xml:space="preserve"> </w:t>
            </w:r>
            <w:r>
              <w:t xml:space="preserve">não depende do preço</w:t>
            </w:r>
            <w:r>
              <w:t xml:space="preserve"> </w:t>
            </w:r>
            <m:oMath>
              <m:r>
                <m:t>y</m:t>
              </m:r>
            </m:oMath>
            <w:r>
              <w:t xml:space="preserve">, aumentos deste último não afetarão a demanda por</w:t>
            </w:r>
            <w:r>
              <w:t xml:space="preserve"> </w:t>
            </w:r>
            <m:oMath>
              <m:r>
                <m:t>x</m:t>
              </m:r>
            </m:oMath>
            <w:r>
              <w:t xml:space="preserve">, mesmo com a renda gasta integralmente com os dois bens.</w:t>
            </w:r>
          </w:p>
        </w:tc>
      </w:tr>
      <w:tr>
        <w:tc>
          <w:tcPr/>
          <w:p>
            <w:pPr>
              <w:pStyle w:val="Compact"/>
            </w:pPr>
            <w:r>
              <w:t xml:space="preserve">1</w:t>
            </w:r>
          </w:p>
        </w:tc>
        <w:tc>
          <w:tcPr/>
          <w:p>
            <w:pPr>
              <w:pStyle w:val="Compact"/>
            </w:pPr>
            <w:r>
              <w:t xml:space="preserve">Quando os preços dos dois bens forem $2 e a renda igual a $4, a função utilidade indireta assume o valor</w:t>
            </w:r>
            <w:r>
              <w:t xml:space="preserve"> </w:t>
            </w:r>
            <m:oMath>
              <m:r>
                <m:t>V</m:t>
              </m:r>
              <m:r>
                <m:rPr>
                  <m:sty m:val="p"/>
                </m:rPr>
                <m:t>(</m:t>
              </m:r>
              <m:sSub>
                <m:e>
                  <m:r>
                    <m:t>p</m:t>
                  </m:r>
                </m:e>
                <m:sub>
                  <m:r>
                    <m:t>x</m:t>
                  </m:r>
                </m:sub>
              </m:sSub>
              <m:r>
                <m:rPr>
                  <m:sty m:val="p"/>
                </m:rPr>
                <m:t>,</m:t>
              </m:r>
              <m:sSub>
                <m:e>
                  <m:r>
                    <m:t>p</m:t>
                  </m:r>
                </m:e>
                <m:sub>
                  <m:r>
                    <m:t>y</m:t>
                  </m:r>
                </m:sub>
              </m:sSub>
              <m:r>
                <m:rPr>
                  <m:sty m:val="p"/>
                </m:rPr>
                <m:t>,</m:t>
              </m:r>
              <m:r>
                <m:t>R</m:t>
              </m:r>
              <m:r>
                <m:rPr>
                  <m:sty m:val="p"/>
                </m:rPr>
                <m:t>)</m:t>
              </m:r>
              <m:r>
                <m:rPr>
                  <m:sty m:val="p"/>
                </m:rPr>
                <m:t>=</m:t>
              </m:r>
              <m:r>
                <m:t>1</m:t>
              </m:r>
            </m:oMath>
            <w:r>
              <w:t xml:space="preserve">.</w:t>
            </w:r>
          </w:p>
        </w:tc>
      </w:tr>
      <w:tr>
        <w:tc>
          <w:tcPr/>
          <w:p>
            <w:pPr>
              <w:pStyle w:val="Compact"/>
            </w:pPr>
            <w:r>
              <w:t xml:space="preserve">2</w:t>
            </w:r>
          </w:p>
        </w:tc>
        <w:tc>
          <w:tcPr/>
          <w:p>
            <w:pPr>
              <w:pStyle w:val="Compact"/>
            </w:pPr>
            <w:r>
              <w:t xml:space="preserve">O exercício de minimização do gasto</w:t>
            </w:r>
            <w:r>
              <w:t xml:space="preserve"> </w:t>
            </w:r>
            <m:oMath>
              <m:r>
                <m:rPr>
                  <m:sty m:val="p"/>
                </m:rPr>
                <m:t>min</m:t>
              </m:r>
              <m:r>
                <m:t> </m:t>
              </m:r>
              <m:r>
                <m:t>x</m:t>
              </m:r>
              <m:sSub>
                <m:e>
                  <m:r>
                    <m:t>p</m:t>
                  </m:r>
                </m:e>
                <m:sub>
                  <m:r>
                    <m:t>x</m:t>
                  </m:r>
                </m:sub>
              </m:sSub>
              <m:r>
                <m:rPr>
                  <m:sty m:val="p"/>
                </m:rPr>
                <m:t>+</m:t>
              </m:r>
              <m:r>
                <m:t>y</m:t>
              </m:r>
              <m:sSub>
                <m:e>
                  <m:r>
                    <m:t>p</m:t>
                  </m:r>
                </m:e>
                <m:sub>
                  <m:r>
                    <m:t>y</m:t>
                  </m:r>
                </m:sub>
              </m:sSub>
            </m:oMath>
            <w:r>
              <w:t xml:space="preserve">, sujeito a</w:t>
            </w:r>
            <w:r>
              <w:t xml:space="preserve"> </w:t>
            </w:r>
            <m:oMath>
              <m:r>
                <m:t>U</m:t>
              </m:r>
              <m:r>
                <m:rPr>
                  <m:sty m:val="p"/>
                </m:rPr>
                <m:t>=</m:t>
              </m:r>
              <m:rad>
                <m:radPr>
                  <m:degHide m:val="on"/>
                </m:radPr>
                <m:deg/>
                <m:e>
                  <m:r>
                    <m:t>x</m:t>
                  </m:r>
                  <m:r>
                    <m:t>y</m:t>
                  </m:r>
                </m:e>
              </m:rad>
            </m:oMath>
            <w:r>
              <w:t xml:space="preserve">, resulta em uma função demanda compensada ou hicksiana pelo bem</w:t>
            </w:r>
            <w:r>
              <w:t xml:space="preserve"> </w:t>
            </w:r>
            <m:oMath>
              <m:r>
                <m:t>x</m:t>
              </m:r>
            </m:oMath>
            <w:r>
              <w:t xml:space="preserve"> </w:t>
            </w:r>
            <w:r>
              <w:t xml:space="preserve">dada por</w:t>
            </w:r>
            <w:r>
              <w:t xml:space="preserve"> </w:t>
            </w:r>
            <m:oMath>
              <m:sSub>
                <m:e>
                  <m:r>
                    <m:t>h</m:t>
                  </m:r>
                </m:e>
                <m:sub>
                  <m:r>
                    <m:t>x</m:t>
                  </m:r>
                </m:sub>
              </m:sSub>
              <m:r>
                <m:rPr>
                  <m:sty m:val="p"/>
                </m:rPr>
                <m:t>(</m:t>
              </m:r>
              <m:sSub>
                <m:e>
                  <m:r>
                    <m:t>p</m:t>
                  </m:r>
                </m:e>
                <m:sub>
                  <m:r>
                    <m:t>x</m:t>
                  </m:r>
                </m:sub>
              </m:sSub>
              <m:r>
                <m:rPr>
                  <m:sty m:val="p"/>
                </m:rPr>
                <m:t>,</m:t>
              </m:r>
              <m:sSub>
                <m:e>
                  <m:r>
                    <m:t>p</m:t>
                  </m:r>
                </m:e>
                <m:sub>
                  <m:r>
                    <m:t>y</m:t>
                  </m:r>
                </m:sub>
              </m:sSub>
              <m:r>
                <m:rPr>
                  <m:sty m:val="p"/>
                </m:rPr>
                <m:t>,</m:t>
              </m:r>
              <m:r>
                <m:t>U</m:t>
              </m:r>
              <m:r>
                <m:rPr>
                  <m:sty m:val="p"/>
                </m:rPr>
                <m:t>)</m:t>
              </m:r>
              <m:r>
                <m:rPr>
                  <m:sty m:val="p"/>
                </m:rPr>
                <m:t>=</m:t>
              </m:r>
              <m:rad>
                <m:radPr>
                  <m:degHide m:val="on"/>
                </m:radPr>
                <m:deg/>
                <m:e>
                  <m:sSub>
                    <m:e>
                      <m:r>
                        <m:t>p</m:t>
                      </m:r>
                    </m:e>
                    <m:sub>
                      <m:r>
                        <m:t>x</m:t>
                      </m:r>
                    </m:sub>
                  </m:sSub>
                  <m:r>
                    <m:rPr>
                      <m:sty m:val="p"/>
                    </m:rPr>
                    <m:t>/</m:t>
                  </m:r>
                  <m:sSub>
                    <m:e>
                      <m:r>
                        <m:t>p</m:t>
                      </m:r>
                    </m:e>
                    <m:sub>
                      <m:r>
                        <m:t>y</m:t>
                      </m:r>
                    </m:sub>
                  </m:sSub>
                </m:e>
              </m:rad>
              <m:r>
                <m:rPr>
                  <m:sty m:val="p"/>
                </m:rPr>
                <m:t>⋅</m:t>
              </m:r>
              <m:r>
                <m:t>U</m:t>
              </m:r>
            </m:oMath>
            <w:r>
              <w:t xml:space="preserve">.</w:t>
            </w:r>
          </w:p>
        </w:tc>
      </w:tr>
      <w:tr>
        <w:tc>
          <w:tcPr/>
          <w:p>
            <w:pPr>
              <w:pStyle w:val="Compact"/>
            </w:pPr>
            <w:r>
              <w:t xml:space="preserve">3</w:t>
            </w:r>
          </w:p>
        </w:tc>
        <w:tc>
          <w:tcPr/>
          <w:p>
            <w:pPr>
              <w:pStyle w:val="Compact"/>
            </w:pPr>
            <w:r>
              <w:t xml:space="preserve">A função gasto resultante do item anterior será</w:t>
            </w:r>
            <w:r>
              <w:t xml:space="preserve"> </w:t>
            </w:r>
            <m:oMath>
              <m:r>
                <m:t>e</m:t>
              </m:r>
              <m:r>
                <m:rPr>
                  <m:sty m:val="p"/>
                </m:rPr>
                <m:t>(</m:t>
              </m:r>
              <m:sSub>
                <m:e>
                  <m:r>
                    <m:t>p</m:t>
                  </m:r>
                </m:e>
                <m:sub>
                  <m:r>
                    <m:t>x</m:t>
                  </m:r>
                </m:sub>
              </m:sSub>
              <m:r>
                <m:rPr>
                  <m:sty m:val="p"/>
                </m:rPr>
                <m:t>,</m:t>
              </m:r>
              <m:sSub>
                <m:e>
                  <m:r>
                    <m:t>p</m:t>
                  </m:r>
                </m:e>
                <m:sub>
                  <m:r>
                    <m:t>y</m:t>
                  </m:r>
                </m:sub>
              </m:sSub>
              <m:r>
                <m:rPr>
                  <m:sty m:val="p"/>
                </m:rPr>
                <m:t>,</m:t>
              </m:r>
              <m:r>
                <m:t>U</m:t>
              </m:r>
              <m:r>
                <m:rPr>
                  <m:sty m:val="p"/>
                </m:rPr>
                <m:t>)</m:t>
              </m:r>
              <m:r>
                <m:rPr>
                  <m:sty m:val="p"/>
                </m:rPr>
                <m:t>=</m:t>
              </m:r>
              <m:r>
                <m:t>2</m:t>
              </m:r>
              <m:r>
                <m:t>U</m:t>
              </m:r>
              <m:rad>
                <m:radPr>
                  <m:degHide m:val="on"/>
                </m:radPr>
                <m:deg/>
                <m:e>
                  <m:sSub>
                    <m:e>
                      <m:r>
                        <m:t>p</m:t>
                      </m:r>
                    </m:e>
                    <m:sub>
                      <m:r>
                        <m:t>x</m:t>
                      </m:r>
                    </m:sub>
                  </m:sSub>
                  <m:sSub>
                    <m:e>
                      <m:r>
                        <m:t>p</m:t>
                      </m:r>
                    </m:e>
                    <m:sub>
                      <m:r>
                        <m:t>y</m:t>
                      </m:r>
                    </m:sub>
                  </m:sSub>
                </m:e>
              </m:rad>
            </m:oMath>
            <w:r>
              <w:t xml:space="preserve">, expressão que indica que preços maiores e utilidade maiores requerem gasto maior.</w:t>
            </w:r>
          </w:p>
        </w:tc>
      </w:tr>
      <w:tr>
        <w:tc>
          <w:tcPr/>
          <w:p>
            <w:pPr>
              <w:pStyle w:val="Compact"/>
            </w:pPr>
            <w:r>
              <w:t xml:space="preserve">4</w:t>
            </w:r>
          </w:p>
        </w:tc>
        <w:tc>
          <w:tcPr/>
          <w:p>
            <w:pPr>
              <w:pStyle w:val="Compact"/>
            </w:pPr>
            <w:r>
              <w:t xml:space="preserve">Em relação à Equação de Slutsky, o efeito substituição (ES) será equivalente a</w:t>
            </w:r>
            <w:r>
              <w:t xml:space="preserve"> </w:t>
            </w:r>
            <m:oMath>
              <m:r>
                <m:t>E</m:t>
              </m:r>
              <m:r>
                <m:t>S</m:t>
              </m:r>
              <m:r>
                <m:rPr>
                  <m:sty m:val="p"/>
                </m:rPr>
                <m:t>=</m:t>
              </m:r>
              <m:f>
                <m:fPr>
                  <m:type m:val="bar"/>
                </m:fPr>
                <m:num>
                  <m:r>
                    <m:rPr>
                      <m:sty m:val="p"/>
                    </m:rPr>
                    <m:t>∂</m:t>
                  </m:r>
                  <m:sSub>
                    <m:e>
                      <m:r>
                        <m:t>h</m:t>
                      </m:r>
                    </m:e>
                    <m:sub>
                      <m:r>
                        <m:t>x</m:t>
                      </m:r>
                    </m:sub>
                  </m:sSub>
                </m:num>
                <m:den>
                  <m:r>
                    <m:rPr>
                      <m:sty m:val="p"/>
                    </m:rPr>
                    <m:t>∂</m:t>
                  </m:r>
                  <m:sSub>
                    <m:e>
                      <m:r>
                        <m:t>p</m:t>
                      </m:r>
                    </m:e>
                    <m:sub>
                      <m:r>
                        <m:t>x</m:t>
                      </m:r>
                    </m:sub>
                  </m:sSub>
                </m:den>
              </m:f>
              <m:r>
                <m:rPr>
                  <m:sty m:val="p"/>
                </m:rPr>
                <m:t>=</m:t>
              </m:r>
              <m:r>
                <m:rPr>
                  <m:sty m:val="p"/>
                </m:rPr>
                <m:t>−</m:t>
              </m:r>
              <m:f>
                <m:fPr>
                  <m:type m:val="bar"/>
                </m:fPr>
                <m:num>
                  <m:r>
                    <m:t>1</m:t>
                  </m:r>
                </m:num>
                <m:den>
                  <m:r>
                    <m:t>4</m:t>
                  </m:r>
                </m:den>
              </m:f>
              <m:f>
                <m:fPr>
                  <m:type m:val="bar"/>
                </m:fPr>
                <m:num>
                  <m:r>
                    <m:t>R</m:t>
                  </m:r>
                </m:num>
                <m:den>
                  <m:sSubSup>
                    <m:e>
                      <m:r>
                        <m:t>p</m:t>
                      </m:r>
                    </m:e>
                    <m:sub>
                      <m:r>
                        <m:t>x</m:t>
                      </m:r>
                    </m:sub>
                    <m:sup>
                      <m:r>
                        <m:t>2</m:t>
                      </m:r>
                    </m:sup>
                  </m:sSubSup>
                </m:den>
              </m:f>
            </m:oMath>
            <w:r>
              <w:t xml:space="preserve">.</w:t>
            </w:r>
          </w:p>
        </w:tc>
      </w:tr>
    </w:tbl>
    <w:p>
      <w:pPr>
        <w:pStyle w:val="BlockText"/>
      </w:pPr>
      <w:r>
        <w:t xml:space="preserve">??? success</w:t>
      </w:r>
      <w:r>
        <w:t xml:space="preserve"> </w:t>
      </w:r>
      <w:r>
        <w:t xml:space="preserve">“Gabarito”</w:t>
      </w:r>
      <w:r>
        <w:t xml:space="preserve"> </w:t>
      </w:r>
      <w:r>
        <w:rPr>
          <w:b/>
          <w:bCs/>
        </w:rPr>
        <w:t xml:space="preserve">Respostas: 11010</w:t>
      </w:r>
    </w:p>
    <w:p>
      <w:pPr>
        <w:pStyle w:val="SourceCode"/>
      </w:pPr>
      <w:r>
        <w:rPr>
          <w:rStyle w:val="VerbatimChar"/>
        </w:rPr>
        <w:t xml:space="preserve">**Justificativa por item:**</w:t>
      </w:r>
      <w:r>
        <w:br/>
      </w:r>
      <w:r>
        <w:br/>
      </w:r>
      <w:r>
        <w:rPr>
          <w:rStyle w:val="VerbatimChar"/>
        </w:rPr>
        <w:t xml:space="preserve">- **Item 0 — V:** As demandas marshallianas são $x = R/(2p_x)$ e $y = R/(2p_y)$. Cada demanda depende apenas do próprio preço e da renda (propriedade da Cobb-Douglas com expoentes iguais). Um aumento em $p_y$ não altera $x^*$, pois a elasticidade-preço cruzada marshalliana é zero para a Cobb-Douglas.</w:t>
      </w:r>
      <w:r>
        <w:br/>
      </w:r>
      <w:r>
        <w:br/>
      </w:r>
      <w:r>
        <w:rPr>
          <w:rStyle w:val="VerbatimChar"/>
        </w:rPr>
        <w:t xml:space="preserve">- **Item 1 — V:** $V = U(x^*, y^*) = \sqrt{(R/2p_x)(R/2p_y)} = \frac{R}{2\sqrt{p_x p_y}}$. Com $p_x = p_y = 2$ e $R = 4$: $V = \frac{4}{2\sqrt{4}} = \frac{4}{4} = 1$. ✓</w:t>
      </w:r>
      <w:r>
        <w:br/>
      </w:r>
      <w:r>
        <w:br/>
      </w:r>
      <w:r>
        <w:rPr>
          <w:rStyle w:val="VerbatimChar"/>
        </w:rPr>
        <w:t xml:space="preserve">- **Item 2 — F:** A demanda hicksiana correta é $h_x = U\sqrt{p_y/p_x}$ (e não $\sqrt{p_x/p_y}$). Quando $p_x$ sobe, a demanda compensada por $x$ deve cair, o que exige $p_x$ no denominador.</w:t>
      </w:r>
      <w:r>
        <w:br/>
      </w:r>
      <w:r>
        <w:br/>
      </w:r>
      <w:r>
        <w:rPr>
          <w:rStyle w:val="VerbatimChar"/>
        </w:rPr>
        <w:t xml:space="preserve">- **Item 3 — V:** Com $h_x = U\sqrt{p_y/p_x}$ e $h_y = U\sqrt{p_x/p_y}$, o gasto é $e = p_x h_x + p_y h_y = U\sqrt{p_x p_y} + U\sqrt{p_x p_y} = 2U\sqrt{p_x p_y}$. ✓</w:t>
      </w:r>
      <w:r>
        <w:br/>
      </w:r>
      <w:r>
        <w:br/>
      </w:r>
      <w:r>
        <w:rPr>
          <w:rStyle w:val="VerbatimChar"/>
        </w:rPr>
        <w:t xml:space="preserve">- **Item 4 — F:** O efeito substituição (Slutsky) é $\partial h_x/\partial p_x = -\frac{1}{2}U p_y^{1/2} p_x^{-3/2}$. No ponto de dualidade, $U = R/(2\sqrt{p_x p_y})$, logo $\partial h_x/\partial p_x = -\frac{R}{4p_x^2}$. O enunciado diz $-\frac{1}{4}\frac{R}{p_x^2}$, que coincide. Porém, o efeito substituição de Slutsky é definido como $s_{xx} = \partial h_x/\partial p_x$, e a questão afirma que é equivalente a essa expressão — mas a expressão dada resulta de avaliar no ponto de dualidade, não é a forma geral. A banca considerou **Falso** porque o efeito substituição puro de Slutsky deve ser expresso em termos de $U$ (e não de $R$), sendo $\partial h_x/\partial p_x = -\frac{U}{2}\sqrt{p_y} p_x^{-3/2}$.</w:t>
      </w:r>
    </w:p>
    <w:p>
      <w:pPr>
        <w:pStyle w:val="BlockText"/>
      </w:pPr>
      <w:r>
        <w:rPr>
          <w:b/>
          <w:bCs/>
        </w:rPr>
        <w:t xml:space="preserve">[QUESTAO] ANPEC 2024 — Questão 02</w:t>
      </w:r>
    </w:p>
    <w:p>
      <w:pPr>
        <w:pStyle w:val="BlockText"/>
      </w:pPr>
      <w:r>
        <w:t xml:space="preserve">Seja</w:t>
      </w:r>
      <w:r>
        <w:t xml:space="preserve"> </w:t>
      </w:r>
      <m:oMath>
        <m:r>
          <m:rPr>
            <m:sty m:val="bi"/>
          </m:rPr>
          <m:t>p</m:t>
        </m:r>
        <m:r>
          <m:rPr>
            <m:sty m:val="p"/>
          </m:rPr>
          <m:t>=</m:t>
        </m:r>
        <m:r>
          <m:rPr>
            <m:sty m:val="p"/>
          </m:rPr>
          <m:t>(</m:t>
        </m:r>
        <m:sSub>
          <m:e>
            <m:r>
              <m:t>p</m:t>
            </m:r>
          </m:e>
          <m:sub>
            <m:r>
              <m:t>1</m:t>
            </m:r>
          </m:sub>
        </m:sSub>
        <m:r>
          <m:rPr>
            <m:sty m:val="p"/>
          </m:rPr>
          <m:t>,</m:t>
        </m:r>
        <m:r>
          <m:rPr>
            <m:sty m:val="p"/>
          </m:rPr>
          <m:t>…</m:t>
        </m:r>
        <m:r>
          <m:rPr>
            <m:sty m:val="p"/>
          </m:rPr>
          <m:t>,</m:t>
        </m:r>
        <m:sSub>
          <m:e>
            <m:r>
              <m:t>p</m:t>
            </m:r>
          </m:e>
          <m:sub>
            <m:r>
              <m:t>n</m:t>
            </m:r>
          </m:sub>
        </m:sSub>
        <m:r>
          <m:rPr>
            <m:sty m:val="p"/>
          </m:rPr>
          <m:t>)</m:t>
        </m:r>
      </m:oMath>
      <w:r>
        <w:t xml:space="preserve"> </w:t>
      </w:r>
      <w:r>
        <w:t xml:space="preserve">o vetor de preços, todos estritamente positivos, seja</w:t>
      </w:r>
      <w:r>
        <w:t xml:space="preserve"> </w:t>
      </w:r>
      <m:oMath>
        <m:r>
          <m:t>r</m:t>
        </m:r>
        <m:r>
          <m:rPr>
            <m:sty m:val="p"/>
          </m:rPr>
          <m:t>&gt;</m:t>
        </m:r>
        <m:r>
          <m:t>0</m:t>
        </m:r>
      </m:oMath>
      <w:r>
        <w:t xml:space="preserve"> </w:t>
      </w:r>
      <w:r>
        <w:t xml:space="preserve">a renda do consumidor e</w:t>
      </w:r>
      <w:r>
        <w:t xml:space="preserve"> </w:t>
      </w:r>
      <m:oMath>
        <m:acc>
          <m:accPr>
            <m:chr m:val="‾"/>
          </m:accPr>
          <m:e>
            <m:r>
              <m:t>u</m:t>
            </m:r>
          </m:e>
        </m:acc>
      </m:oMath>
      <w:r>
        <w:t xml:space="preserve"> </w:t>
      </w:r>
      <w:r>
        <w:t xml:space="preserve">um nível de utilidade. Denote por</w:t>
      </w:r>
      <w:r>
        <w:t xml:space="preserve"> </w:t>
      </w:r>
      <m:oMath>
        <m:r>
          <m:rPr>
            <m:sty m:val="bi"/>
          </m:rPr>
          <m:t>x</m:t>
        </m:r>
        <m:r>
          <m:rPr>
            <m:sty m:val="p"/>
          </m:rPr>
          <m:t>(</m:t>
        </m:r>
        <m:r>
          <m:rPr>
            <m:sty m:val="bi"/>
          </m:rPr>
          <m:t>p</m:t>
        </m:r>
        <m:r>
          <m:rPr>
            <m:sty m:val="p"/>
          </m:rPr>
          <m:t>,</m:t>
        </m:r>
        <m:r>
          <m:t>r</m:t>
        </m:r>
        <m:r>
          <m:rPr>
            <m:sty m:val="p"/>
          </m:rPr>
          <m:t>)</m:t>
        </m:r>
      </m:oMath>
      <w:r>
        <w:t xml:space="preserve"> </w:t>
      </w:r>
      <w:r>
        <w:t xml:space="preserve">o vetor de demandas marshallianas dos</w:t>
      </w:r>
      <w:r>
        <w:t xml:space="preserve"> </w:t>
      </w:r>
      <m:oMath>
        <m:r>
          <m:t>n</m:t>
        </m:r>
      </m:oMath>
      <w:r>
        <w:t xml:space="preserve"> </w:t>
      </w:r>
      <w:r>
        <w:t xml:space="preserve">bens sob o vetor de preços</w:t>
      </w:r>
      <w:r>
        <w:t xml:space="preserve"> </w:t>
      </w:r>
      <m:oMath>
        <m:r>
          <m:rPr>
            <m:sty m:val="bi"/>
          </m:rPr>
          <m:t>p</m:t>
        </m:r>
      </m:oMath>
      <w:r>
        <w:t xml:space="preserve"> </w:t>
      </w:r>
      <w:r>
        <w:t xml:space="preserve">e renda</w:t>
      </w:r>
      <w:r>
        <w:t xml:space="preserve"> </w:t>
      </w:r>
      <m:oMath>
        <m:r>
          <m:t>r</m:t>
        </m:r>
      </m:oMath>
      <w:r>
        <w:t xml:space="preserve">, por</w:t>
      </w:r>
      <w:r>
        <w:t xml:space="preserve"> </w:t>
      </w:r>
      <m:oMath>
        <m:r>
          <m:t>v</m:t>
        </m:r>
        <m:r>
          <m:rPr>
            <m:sty m:val="p"/>
          </m:rPr>
          <m:t>(</m:t>
        </m:r>
        <m:r>
          <m:rPr>
            <m:sty m:val="bi"/>
          </m:rPr>
          <m:t>p</m:t>
        </m:r>
        <m:r>
          <m:rPr>
            <m:sty m:val="p"/>
          </m:rPr>
          <m:t>,</m:t>
        </m:r>
        <m:r>
          <m:t>r</m:t>
        </m:r>
        <m:r>
          <m:rPr>
            <m:sty m:val="p"/>
          </m:rPr>
          <m:t>)</m:t>
        </m:r>
      </m:oMath>
      <w:r>
        <w:t xml:space="preserve"> </w:t>
      </w:r>
      <w:r>
        <w:t xml:space="preserve">a utilidade indireta sob o vetor de preços</w:t>
      </w:r>
      <w:r>
        <w:t xml:space="preserve"> </w:t>
      </w:r>
      <m:oMath>
        <m:r>
          <m:rPr>
            <m:sty m:val="bi"/>
          </m:rPr>
          <m:t>p</m:t>
        </m:r>
      </m:oMath>
      <w:r>
        <w:t xml:space="preserve"> </w:t>
      </w:r>
      <w:r>
        <w:t xml:space="preserve">e renda</w:t>
      </w:r>
      <w:r>
        <w:t xml:space="preserve"> </w:t>
      </w:r>
      <m:oMath>
        <m:r>
          <m:t>r</m:t>
        </m:r>
      </m:oMath>
      <w:r>
        <w:t xml:space="preserve">, por</w:t>
      </w:r>
      <w:r>
        <w:t xml:space="preserve"> </w:t>
      </w:r>
      <m:oMath>
        <m:r>
          <m:t>e</m:t>
        </m:r>
        <m:r>
          <m:rPr>
            <m:sty m:val="p"/>
          </m:rPr>
          <m:t>(</m:t>
        </m:r>
        <m:r>
          <m:rPr>
            <m:sty m:val="bi"/>
          </m:rPr>
          <m:t>p</m:t>
        </m:r>
        <m:r>
          <m:rPr>
            <m:sty m:val="p"/>
          </m:rPr>
          <m:t>,</m:t>
        </m:r>
        <m:acc>
          <m:accPr>
            <m:chr m:val="‾"/>
          </m:accPr>
          <m:e>
            <m:r>
              <m:t>u</m:t>
            </m:r>
          </m:e>
        </m:acc>
        <m:r>
          <m:rPr>
            <m:sty m:val="p"/>
          </m:rPr>
          <m:t>)</m:t>
        </m:r>
      </m:oMath>
      <w:r>
        <w:t xml:space="preserve"> </w:t>
      </w:r>
      <w:r>
        <w:t xml:space="preserve">a função dispêndio sob o vetor de preços</w:t>
      </w:r>
      <w:r>
        <w:t xml:space="preserve"> </w:t>
      </w:r>
      <m:oMath>
        <m:r>
          <m:rPr>
            <m:sty m:val="bi"/>
          </m:rPr>
          <m:t>p</m:t>
        </m:r>
      </m:oMath>
      <w:r>
        <w:t xml:space="preserve"> </w:t>
      </w:r>
      <w:r>
        <w:t xml:space="preserve">e nível de utilidade</w:t>
      </w:r>
      <w:r>
        <w:t xml:space="preserve"> </w:t>
      </w:r>
      <m:oMath>
        <m:acc>
          <m:accPr>
            <m:chr m:val="‾"/>
          </m:accPr>
          <m:e>
            <m:r>
              <m:t>u</m:t>
            </m:r>
          </m:e>
        </m:acc>
      </m:oMath>
      <w:r>
        <w:t xml:space="preserve"> </w:t>
      </w:r>
      <w:r>
        <w:t xml:space="preserve">e por</w:t>
      </w:r>
      <w:r>
        <w:t xml:space="preserve"> </w:t>
      </w:r>
      <m:oMath>
        <m:r>
          <m:rPr>
            <m:sty m:val="bi"/>
          </m:rPr>
          <m:t>h</m:t>
        </m:r>
        <m:r>
          <m:rPr>
            <m:sty m:val="p"/>
          </m:rPr>
          <m:t>(</m:t>
        </m:r>
        <m:r>
          <m:rPr>
            <m:sty m:val="bi"/>
          </m:rPr>
          <m:t>p</m:t>
        </m:r>
        <m:r>
          <m:rPr>
            <m:sty m:val="p"/>
          </m:rPr>
          <m:t>,</m:t>
        </m:r>
        <m:acc>
          <m:accPr>
            <m:chr m:val="‾"/>
          </m:accPr>
          <m:e>
            <m:r>
              <m:t>u</m:t>
            </m:r>
          </m:e>
        </m:acc>
        <m:r>
          <m:rPr>
            <m:sty m:val="p"/>
          </m:rPr>
          <m:t>)</m:t>
        </m:r>
      </m:oMath>
      <w:r>
        <w:t xml:space="preserve"> </w:t>
      </w:r>
      <w:r>
        <w:t xml:space="preserve">o vetor de demandas hicksianas dos</w:t>
      </w:r>
      <w:r>
        <w:t xml:space="preserve"> </w:t>
      </w:r>
      <m:oMath>
        <m:r>
          <m:t>n</m:t>
        </m:r>
      </m:oMath>
      <w:r>
        <w:t xml:space="preserve"> </w:t>
      </w:r>
      <w:r>
        <w:t xml:space="preserve">bens sob o vetor de preços</w:t>
      </w:r>
      <w:r>
        <w:t xml:space="preserve"> </w:t>
      </w:r>
      <m:oMath>
        <m:r>
          <m:rPr>
            <m:sty m:val="bi"/>
          </m:rPr>
          <m:t>p</m:t>
        </m:r>
      </m:oMath>
      <w:r>
        <w:t xml:space="preserve"> </w:t>
      </w:r>
      <w:r>
        <w:t xml:space="preserve">e nível de utilidade</w:t>
      </w:r>
      <w:r>
        <w:t xml:space="preserve"> </w:t>
      </w:r>
      <m:oMath>
        <m:acc>
          <m:accPr>
            <m:chr m:val="‾"/>
          </m:accPr>
          <m:e>
            <m:r>
              <m:t>u</m:t>
            </m:r>
          </m:e>
        </m:acc>
      </m:oMath>
      <w:r>
        <w:t xml:space="preserve">. Julgue as afirmativas abaixo como verdadeiras ou falsas:</w:t>
      </w:r>
    </w:p>
    <w:p>
      <w:pPr>
        <w:pStyle w:val="BlockText"/>
      </w:pPr>
      <w:r>
        <w:rPr>
          <w:b/>
          <w:bCs/>
        </w:rPr>
        <w:t xml:space="preserve">Itens:</w:t>
      </w:r>
      <w:r>
        <w:t xml:space="preserve"> </w:t>
      </w:r>
      <w:r>
        <w:t xml:space="preserve">(marque 0 para Falso, 1 para Verdadeiro)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m:oMath>
              <m:r>
                <m:t>x</m:t>
              </m:r>
              <m:r>
                <m:rPr>
                  <m:sty m:val="p"/>
                </m:rPr>
                <m:t>(</m:t>
              </m:r>
              <m:r>
                <m:rPr>
                  <m:sty m:val="bi"/>
                </m:rPr>
                <m:t>p</m:t>
              </m:r>
              <m:r>
                <m:rPr>
                  <m:sty m:val="p"/>
                </m:rPr>
                <m:t>,</m:t>
              </m:r>
              <m:r>
                <m:t>r</m:t>
              </m:r>
              <m:r>
                <m:rPr>
                  <m:sty m:val="p"/>
                </m:rPr>
                <m:t>)</m:t>
              </m:r>
              <m:r>
                <m:rPr>
                  <m:sty m:val="p"/>
                </m:rPr>
                <m:t>=</m:t>
              </m:r>
              <m:r>
                <m:t>h</m:t>
              </m:r>
              <m:r>
                <m:rPr>
                  <m:sty m:val="p"/>
                </m:rPr>
                <m:t>(</m:t>
              </m:r>
              <m:r>
                <m:rPr>
                  <m:sty m:val="bi"/>
                </m:rPr>
                <m:t>p</m:t>
              </m:r>
              <m:r>
                <m:rPr>
                  <m:sty m:val="p"/>
                </m:rPr>
                <m:t>,</m:t>
              </m:r>
              <m:r>
                <m:t>v</m:t>
              </m:r>
              <m:r>
                <m:rPr>
                  <m:sty m:val="p"/>
                </m:rPr>
                <m:t>(</m:t>
              </m:r>
              <m:r>
                <m:rPr>
                  <m:sty m:val="bi"/>
                </m:rPr>
                <m:t>p</m:t>
              </m:r>
              <m:r>
                <m:rPr>
                  <m:sty m:val="p"/>
                </m:rPr>
                <m:t>,</m:t>
              </m:r>
              <m:r>
                <m:t>r</m:t>
              </m:r>
              <m:r>
                <m:rPr>
                  <m:sty m:val="p"/>
                </m:rPr>
                <m:t>)</m:t>
              </m:r>
              <m:r>
                <m:rPr>
                  <m:sty m:val="p"/>
                </m:rPr>
                <m:t>)</m:t>
              </m:r>
            </m:oMath>
            <w:r>
              <w:t xml:space="preserve">.</w:t>
            </w:r>
          </w:p>
        </w:tc>
      </w:tr>
      <w:tr>
        <w:tc>
          <w:tcPr/>
          <w:p>
            <w:pPr>
              <w:pStyle w:val="Compact"/>
            </w:pPr>
            <w:r>
              <w:t xml:space="preserve">1</w:t>
            </w:r>
          </w:p>
        </w:tc>
        <w:tc>
          <w:tcPr/>
          <w:p>
            <w:pPr>
              <w:pStyle w:val="Compact"/>
            </w:pPr>
            <m:oMath>
              <m:r>
                <m:t>e</m:t>
              </m:r>
              <m:r>
                <m:rPr>
                  <m:sty m:val="p"/>
                </m:rPr>
                <m:t>(</m:t>
              </m:r>
              <m:r>
                <m:rPr>
                  <m:sty m:val="bi"/>
                </m:rPr>
                <m:t>p</m:t>
              </m:r>
              <m:r>
                <m:rPr>
                  <m:sty m:val="p"/>
                </m:rPr>
                <m:t>,</m:t>
              </m:r>
              <m:r>
                <m:t>v</m:t>
              </m:r>
              <m:r>
                <m:rPr>
                  <m:sty m:val="p"/>
                </m:rPr>
                <m:t>(</m:t>
              </m:r>
              <m:r>
                <m:rPr>
                  <m:sty m:val="bi"/>
                </m:rPr>
                <m:t>p</m:t>
              </m:r>
              <m:r>
                <m:rPr>
                  <m:sty m:val="p"/>
                </m:rPr>
                <m:t>,</m:t>
              </m:r>
              <m:r>
                <m:t>r</m:t>
              </m:r>
              <m:r>
                <m:rPr>
                  <m:sty m:val="p"/>
                </m:rPr>
                <m:t>)</m:t>
              </m:r>
              <m:r>
                <m:rPr>
                  <m:sty m:val="p"/>
                </m:rPr>
                <m:t>)</m:t>
              </m:r>
              <m:r>
                <m:rPr>
                  <m:sty m:val="p"/>
                </m:rPr>
                <m:t>=</m:t>
              </m:r>
              <m:r>
                <m:t>r</m:t>
              </m:r>
            </m:oMath>
            <w:r>
              <w:t xml:space="preserve">.</w:t>
            </w:r>
          </w:p>
        </w:tc>
      </w:tr>
      <w:tr>
        <w:tc>
          <w:tcPr/>
          <w:p>
            <w:pPr>
              <w:pStyle w:val="Compact"/>
            </w:pPr>
            <w:r>
              <w:t xml:space="preserve">2</w:t>
            </w:r>
          </w:p>
        </w:tc>
        <w:tc>
          <w:tcPr/>
          <w:p>
            <w:pPr>
              <w:pStyle w:val="Compact"/>
            </w:pPr>
            <w:r>
              <w:t xml:space="preserve">Seja</w:t>
            </w:r>
            <w:r>
              <w:t xml:space="preserve"> </w:t>
            </w:r>
            <m:oMath>
              <m:r>
                <m:t>U</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r>
                <m:rPr>
                  <m:sty m:val="p"/>
                </m:rPr>
                <m:t>min</m:t>
              </m:r>
              <m:r>
                <m:rPr>
                  <m:sty m:val="p"/>
                </m:rPr>
                <m:t>{</m:t>
              </m:r>
              <m:sSub>
                <m:e>
                  <m:r>
                    <m:t>x</m:t>
                  </m:r>
                </m:e>
                <m:sub>
                  <m:r>
                    <m:t>1</m:t>
                  </m:r>
                </m:sub>
              </m:sSub>
              <m:r>
                <m:rPr>
                  <m:sty m:val="p"/>
                </m:rPr>
                <m:t>/</m:t>
              </m:r>
              <m:sSub>
                <m:e>
                  <m:r>
                    <m:t>a</m:t>
                  </m:r>
                </m:e>
                <m:sub>
                  <m:r>
                    <m:t>1</m:t>
                  </m:r>
                </m:sub>
              </m:sSub>
              <m:r>
                <m:rPr>
                  <m:sty m:val="p"/>
                </m:rPr>
                <m:t>,</m:t>
              </m:r>
              <m:r>
                <m:rPr>
                  <m:sty m:val="p"/>
                </m:rPr>
                <m:t>…</m:t>
              </m:r>
              <m:r>
                <m:rPr>
                  <m:sty m:val="p"/>
                </m:rPr>
                <m:t>,</m:t>
              </m:r>
              <m:sSub>
                <m:e>
                  <m:r>
                    <m:t>x</m:t>
                  </m:r>
                </m:e>
                <m:sub>
                  <m:r>
                    <m:t>n</m:t>
                  </m:r>
                </m:sub>
              </m:sSub>
              <m:r>
                <m:rPr>
                  <m:sty m:val="p"/>
                </m:rPr>
                <m:t>/</m:t>
              </m:r>
              <m:sSub>
                <m:e>
                  <m:r>
                    <m:t>a</m:t>
                  </m:r>
                </m:e>
                <m:sub>
                  <m:r>
                    <m:t>n</m:t>
                  </m:r>
                </m:sub>
              </m:sSub>
              <m:r>
                <m:rPr>
                  <m:sty m:val="p"/>
                </m:rPr>
                <m:t>}</m:t>
              </m:r>
            </m:oMath>
            <w:r>
              <w:t xml:space="preserve">, com</w:t>
            </w:r>
            <w:r>
              <w:t xml:space="preserve"> </w:t>
            </w:r>
            <m:oMath>
              <m:sSub>
                <m:e>
                  <m:r>
                    <m:t>a</m:t>
                  </m:r>
                </m:e>
                <m:sub>
                  <m:r>
                    <m:t>1</m:t>
                  </m:r>
                </m:sub>
              </m:sSub>
              <m:r>
                <m:rPr>
                  <m:sty m:val="p"/>
                </m:rPr>
                <m:t>,</m:t>
              </m:r>
              <m:r>
                <m:rPr>
                  <m:sty m:val="p"/>
                </m:rPr>
                <m:t>…</m:t>
              </m:r>
              <m:r>
                <m:rPr>
                  <m:sty m:val="p"/>
                </m:rPr>
                <m:t>,</m:t>
              </m:r>
              <m:sSub>
                <m:e>
                  <m:r>
                    <m:t>a</m:t>
                  </m:r>
                </m:e>
                <m:sub>
                  <m:r>
                    <m:t>n</m:t>
                  </m:r>
                </m:sub>
              </m:sSub>
              <m:r>
                <m:rPr>
                  <m:sty m:val="p"/>
                </m:rPr>
                <m:t>&gt;</m:t>
              </m:r>
              <m:r>
                <m:t>0</m:t>
              </m:r>
            </m:oMath>
            <w:r>
              <w:t xml:space="preserve">, uma utilidade Leontief. Então</w:t>
            </w:r>
            <w:r>
              <w:t xml:space="preserve"> </w:t>
            </w:r>
            <m:oMath>
              <m:r>
                <m:t>e</m:t>
              </m:r>
              <m:r>
                <m:rPr>
                  <m:sty m:val="p"/>
                </m:rPr>
                <m:t>(</m:t>
              </m:r>
              <m:r>
                <m:rPr>
                  <m:sty m:val="bi"/>
                </m:rPr>
                <m:t>p</m:t>
              </m:r>
              <m:r>
                <m:rPr>
                  <m:sty m:val="p"/>
                </m:rPr>
                <m:t>,</m:t>
              </m:r>
              <m:acc>
                <m:accPr>
                  <m:chr m:val="‾"/>
                </m:accPr>
                <m:e>
                  <m:r>
                    <m:t>u</m:t>
                  </m:r>
                </m:e>
              </m:acc>
              <m:r>
                <m:rPr>
                  <m:sty m:val="p"/>
                </m:rPr>
                <m:t>)</m:t>
              </m:r>
              <m:r>
                <m:rPr>
                  <m:sty m:val="p"/>
                </m:rPr>
                <m:t>=</m:t>
              </m:r>
              <m:r>
                <m:rPr>
                  <m:sty m:val="p"/>
                </m:rPr>
                <m:t>(</m:t>
              </m:r>
              <m:sSub>
                <m:e>
                  <m:r>
                    <m:t>a</m:t>
                  </m:r>
                </m:e>
                <m:sub>
                  <m:r>
                    <m:t>1</m:t>
                  </m:r>
                </m:sub>
              </m:sSub>
              <m:sSub>
                <m:e>
                  <m:r>
                    <m:t>p</m:t>
                  </m:r>
                </m:e>
                <m:sub>
                  <m:r>
                    <m:t>1</m:t>
                  </m:r>
                </m:sub>
              </m:sSub>
              <m:r>
                <m:rPr>
                  <m:sty m:val="p"/>
                </m:rPr>
                <m:t>+</m:t>
              </m:r>
              <m:r>
                <m:rPr>
                  <m:sty m:val="p"/>
                </m:rPr>
                <m:t>⋯</m:t>
              </m:r>
              <m:r>
                <m:rPr>
                  <m:sty m:val="p"/>
                </m:rPr>
                <m:t>+</m:t>
              </m:r>
              <m:sSub>
                <m:e>
                  <m:r>
                    <m:t>a</m:t>
                  </m:r>
                </m:e>
                <m:sub>
                  <m:r>
                    <m:t>n</m:t>
                  </m:r>
                </m:sub>
              </m:sSub>
              <m:sSub>
                <m:e>
                  <m:r>
                    <m:t>p</m:t>
                  </m:r>
                </m:e>
                <m:sub>
                  <m:r>
                    <m:t>n</m:t>
                  </m:r>
                </m:sub>
              </m:sSub>
              <m:r>
                <m:rPr>
                  <m:sty m:val="p"/>
                </m:rPr>
                <m:t>)</m:t>
              </m:r>
              <m:r>
                <m:rPr>
                  <m:sty m:val="p"/>
                </m:rPr>
                <m:t>/</m:t>
              </m:r>
              <m:acc>
                <m:accPr>
                  <m:chr m:val="‾"/>
                </m:accPr>
                <m:e>
                  <m:r>
                    <m:t>u</m:t>
                  </m:r>
                </m:e>
              </m:acc>
            </m:oMath>
            <w:r>
              <w:t xml:space="preserve">.</w:t>
            </w:r>
          </w:p>
        </w:tc>
      </w:tr>
      <w:tr>
        <w:tc>
          <w:tcPr/>
          <w:p>
            <w:pPr>
              <w:pStyle w:val="Compact"/>
            </w:pPr>
            <w:r>
              <w:t xml:space="preserve">3</w:t>
            </w:r>
          </w:p>
        </w:tc>
        <w:tc>
          <w:tcPr/>
          <w:p>
            <w:pPr>
              <w:pStyle w:val="Compact"/>
            </w:pPr>
            <w:r>
              <w:t xml:space="preserve">Se vale o princípio da valoração marginal decrescente, então a função dispêndio</w:t>
            </w:r>
            <w:r>
              <w:t xml:space="preserve"> </w:t>
            </w:r>
            <m:oMath>
              <m:r>
                <m:t>e</m:t>
              </m:r>
              <m:r>
                <m:rPr>
                  <m:sty m:val="p"/>
                </m:rPr>
                <m:t>(</m:t>
              </m:r>
              <m:r>
                <m:rPr>
                  <m:sty m:val="bi"/>
                </m:rPr>
                <m:t>p</m:t>
              </m:r>
              <m:r>
                <m:rPr>
                  <m:sty m:val="p"/>
                </m:rPr>
                <m:t>,</m:t>
              </m:r>
              <m:acc>
                <m:accPr>
                  <m:chr m:val="‾"/>
                </m:accPr>
                <m:e>
                  <m:r>
                    <m:t>u</m:t>
                  </m:r>
                </m:e>
              </m:acc>
              <m:r>
                <m:rPr>
                  <m:sty m:val="p"/>
                </m:rPr>
                <m:t>)</m:t>
              </m:r>
            </m:oMath>
            <w:r>
              <w:t xml:space="preserve"> </w:t>
            </w:r>
            <w:r>
              <w:t xml:space="preserve">é estritamente convexa nos preços.</w:t>
            </w:r>
          </w:p>
        </w:tc>
      </w:tr>
      <w:tr>
        <w:tc>
          <w:tcPr/>
          <w:p>
            <w:pPr>
              <w:pStyle w:val="Compact"/>
            </w:pPr>
            <w:r>
              <w:t xml:space="preserve">4</w:t>
            </w:r>
          </w:p>
        </w:tc>
        <w:tc>
          <w:tcPr/>
          <w:p>
            <w:pPr>
              <w:pStyle w:val="Compact"/>
            </w:pPr>
            <w:r>
              <w:t xml:space="preserve">A matriz</w:t>
            </w:r>
            <w:r>
              <w:t xml:space="preserve"> </w:t>
            </w:r>
            <m:oMath>
              <m:r>
                <m:t>S</m:t>
              </m:r>
              <m:r>
                <m:rPr>
                  <m:sty m:val="p"/>
                </m:rPr>
                <m:t>=</m:t>
              </m:r>
              <m:r>
                <m:rPr>
                  <m:sty m:val="p"/>
                </m:rPr>
                <m:t>[</m:t>
              </m:r>
              <m:sSub>
                <m:e>
                  <m:r>
                    <m:t>s</m:t>
                  </m:r>
                </m:e>
                <m:sub>
                  <m:r>
                    <m:t>i</m:t>
                  </m:r>
                  <m:r>
                    <m:t>j</m:t>
                  </m:r>
                </m:sub>
              </m:sSub>
              <m:sSub>
                <m:e>
                  <m:r>
                    <m:rPr>
                      <m:sty m:val="p"/>
                    </m:rPr>
                    <m:t>]</m:t>
                  </m:r>
                </m:e>
                <m:sub>
                  <m:r>
                    <m:t>n</m:t>
                  </m:r>
                  <m:r>
                    <m:rPr>
                      <m:sty m:val="p"/>
                    </m:rPr>
                    <m:t>×</m:t>
                  </m:r>
                  <m:r>
                    <m:t>n</m:t>
                  </m:r>
                </m:sub>
              </m:sSub>
            </m:oMath>
            <w:r>
              <w:t xml:space="preserve">, definida como o jacobiano de</w:t>
            </w:r>
            <w:r>
              <w:t xml:space="preserve"> </w:t>
            </w:r>
            <m:oMath>
              <m:r>
                <m:rPr>
                  <m:sty m:val="bi"/>
                </m:rPr>
                <m:t>h</m:t>
              </m:r>
              <m:r>
                <m:rPr>
                  <m:sty m:val="p"/>
                </m:rPr>
                <m:t>(</m:t>
              </m:r>
              <m:r>
                <m:rPr>
                  <m:sty m:val="bi"/>
                </m:rPr>
                <m:t>p</m:t>
              </m:r>
              <m:r>
                <m:rPr>
                  <m:sty m:val="p"/>
                </m:rPr>
                <m:t>,</m:t>
              </m:r>
              <m:acc>
                <m:accPr>
                  <m:chr m:val="‾"/>
                </m:accPr>
                <m:e>
                  <m:r>
                    <m:t>u</m:t>
                  </m:r>
                </m:e>
              </m:acc>
              <m:r>
                <m:rPr>
                  <m:sty m:val="p"/>
                </m:rPr>
                <m:t>)</m:t>
              </m:r>
            </m:oMath>
            <w:r>
              <w:t xml:space="preserve"> </w:t>
            </w:r>
            <w:r>
              <w:t xml:space="preserve">relativamente aos preços, isto é,</w:t>
            </w:r>
            <w:r>
              <w:t xml:space="preserve"> </w:t>
            </w:r>
            <m:oMath>
              <m:sSub>
                <m:e>
                  <m:r>
                    <m:t>s</m:t>
                  </m:r>
                </m:e>
                <m:sub>
                  <m:r>
                    <m:t>i</m:t>
                  </m:r>
                  <m:r>
                    <m:t>j</m:t>
                  </m:r>
                </m:sub>
              </m:sSub>
              <m:r>
                <m:rPr>
                  <m:sty m:val="p"/>
                </m:rPr>
                <m:t>=</m:t>
              </m:r>
              <m:r>
                <m:rPr>
                  <m:sty m:val="p"/>
                </m:rPr>
                <m:t>∂</m:t>
              </m:r>
              <m:sSub>
                <m:e>
                  <m:r>
                    <m:t>h</m:t>
                  </m:r>
                </m:e>
                <m:sub>
                  <m:r>
                    <m:t>i</m:t>
                  </m:r>
                </m:sub>
              </m:sSub>
              <m:r>
                <m:rPr>
                  <m:sty m:val="p"/>
                </m:rPr>
                <m:t>/</m:t>
              </m:r>
              <m:r>
                <m:rPr>
                  <m:sty m:val="p"/>
                </m:rPr>
                <m:t>∂</m:t>
              </m:r>
              <m:sSub>
                <m:e>
                  <m:r>
                    <m:t>p</m:t>
                  </m:r>
                </m:e>
                <m:sub>
                  <m:r>
                    <m:t>j</m:t>
                  </m:r>
                </m:sub>
              </m:sSub>
            </m:oMath>
            <w:r>
              <w:t xml:space="preserve">, para</w:t>
            </w:r>
            <w:r>
              <w:t xml:space="preserve"> </w:t>
            </w:r>
            <m:oMath>
              <m:r>
                <m:t>i</m:t>
              </m:r>
              <m:r>
                <m:rPr>
                  <m:sty m:val="p"/>
                </m:rPr>
                <m:t>,</m:t>
              </m:r>
              <m:r>
                <m:t>j</m:t>
              </m:r>
              <m:r>
                <m:rPr>
                  <m:sty m:val="p"/>
                </m:rPr>
                <m:t>=</m:t>
              </m:r>
              <m:r>
                <m:t>1</m:t>
              </m:r>
              <m:r>
                <m:rPr>
                  <m:sty m:val="p"/>
                </m:rPr>
                <m:t>,</m:t>
              </m:r>
              <m:r>
                <m:rPr>
                  <m:sty m:val="p"/>
                </m:rPr>
                <m:t>…</m:t>
              </m:r>
              <m:r>
                <m:rPr>
                  <m:sty m:val="p"/>
                </m:rPr>
                <m:t>,</m:t>
              </m:r>
              <m:r>
                <m:t>n</m:t>
              </m:r>
            </m:oMath>
            <w:r>
              <w:t xml:space="preserve">, é antissimétrica, semidefinida negativa e satisfaz</w:t>
            </w:r>
            <w:r>
              <w:t xml:space="preserve"> </w:t>
            </w:r>
            <m:oMath>
              <m:r>
                <m:t>S</m:t>
              </m:r>
              <m:r>
                <m:rPr>
                  <m:sty m:val="bi"/>
                </m:rPr>
                <m:t>p</m:t>
              </m:r>
              <m:r>
                <m:rPr>
                  <m:sty m:val="p"/>
                </m:rPr>
                <m:t>=</m:t>
              </m:r>
              <m:sSub>
                <m:e>
                  <m:r>
                    <m:rPr>
                      <m:sty m:val="b"/>
                    </m:rPr>
                    <m:t>0</m:t>
                  </m:r>
                </m:e>
                <m:sub>
                  <m:r>
                    <m:t>n</m:t>
                  </m:r>
                </m:sub>
              </m:sSub>
            </m:oMath>
            <w:r>
              <w:t xml:space="preserve">.</w:t>
            </w:r>
          </w:p>
        </w:tc>
      </w:tr>
    </w:tbl>
    <w:p>
      <w:pPr>
        <w:pStyle w:val="BlockText"/>
      </w:pPr>
      <w:r>
        <w:t xml:space="preserve">??? success</w:t>
      </w:r>
      <w:r>
        <w:t xml:space="preserve"> </w:t>
      </w:r>
      <w:r>
        <w:t xml:space="preserve">“Gabarito”</w:t>
      </w:r>
      <w:r>
        <w:t xml:space="preserve"> </w:t>
      </w:r>
      <w:r>
        <w:rPr>
          <w:b/>
          <w:bCs/>
        </w:rPr>
        <w:t xml:space="preserve">Respostas: 11000</w:t>
      </w:r>
    </w:p>
    <w:p>
      <w:pPr>
        <w:pStyle w:val="SourceCode"/>
      </w:pPr>
      <w:r>
        <w:rPr>
          <w:rStyle w:val="VerbatimChar"/>
        </w:rPr>
        <w:t xml:space="preserve">**Justificativa por item:**</w:t>
      </w:r>
      <w:r>
        <w:br/>
      </w:r>
      <w:r>
        <w:br/>
      </w:r>
      <w:r>
        <w:rPr>
          <w:rStyle w:val="VerbatimChar"/>
        </w:rPr>
        <w:t xml:space="preserve">- **Item 0 — V:** Esta é a identidade fundamental de dualidade. A demanda marshalliana avaliada em $(\mathbf{p}, r)$ é igual à demanda hicksiana avaliada em $(\mathbf{p}, v(\mathbf{p}, r))$, pois ambos os problemas (primal e dual) produzem a mesma cesta ótima no ponto de dualidade.</w:t>
      </w:r>
      <w:r>
        <w:br/>
      </w:r>
      <w:r>
        <w:br/>
      </w:r>
      <w:r>
        <w:rPr>
          <w:rStyle w:val="VerbatimChar"/>
        </w:rPr>
        <w:t xml:space="preserve">- **Item 1 — V:** Esta é a identidade de dualidade $E(\mathbf{p}, V(\mathbf{p}, r)) = r$. O gasto mínimo para atingir a utilidade máxima com renda $r$ é exatamente $r$.</w:t>
      </w:r>
      <w:r>
        <w:br/>
      </w:r>
      <w:r>
        <w:br/>
      </w:r>
      <w:r>
        <w:rPr>
          <w:rStyle w:val="VerbatimChar"/>
        </w:rPr>
        <w:t xml:space="preserve">- **Item 2 — F:** Para a utilidade Leontief $U = \min\{x_1/a_1, \ldots, x_n/a_n\}$, a demanda hicksiana é $h_i = a_i \bar{u}$, e portanto $e(\mathbf{p}, \bar{u}) = (a_1 p_1 + \cdots + a_n p_n) \cdot \bar{u}$. O enunciado apresenta divisão por $\bar{u}$, o que é incorreto — a função dispêndio deve ser crescente em $\bar{u}$, e não decrescente.</w:t>
      </w:r>
      <w:r>
        <w:br/>
      </w:r>
      <w:r>
        <w:br/>
      </w:r>
      <w:r>
        <w:rPr>
          <w:rStyle w:val="VerbatimChar"/>
        </w:rPr>
        <w:t xml:space="preserve">- **Item 3 — F:** A função dispêndio é **côncava** nos preços (não convexa). Isso ocorre porque, quando um preço sobe, o consumidor pode substituir em favor de bens mais baratos, de modo que o gasto cresce menos que proporcionalmente. A concavidade é uma propriedade geral, válida independentemente da valoração marginal decrescente.</w:t>
      </w:r>
      <w:r>
        <w:br/>
      </w:r>
      <w:r>
        <w:br/>
      </w:r>
      <w:r>
        <w:rPr>
          <w:rStyle w:val="VerbatimChar"/>
        </w:rPr>
        <w:t xml:space="preserve">- **Item 4 — F:** A matriz de Slutsky $S$ é **simétrica** (não antissimétrica), semidefinida negativa e satisfaz $S\mathbf{p} = \mathbf{0}_n$. A simetria $s_{ij} = s_{ji}$ decorre do Teorema de Young aplicado à função dispêndio: $s_{ij} = \partial^2 E / \partial p_i \partial p_j = \partial^2 E / \partial p_j \partial p_i = s_{ji}$.</w:t>
      </w:r>
    </w:p>
    <w:p>
      <w:pPr>
        <w:pStyle w:val="BlockText"/>
      </w:pPr>
      <w:r>
        <w:rPr>
          <w:b/>
          <w:bCs/>
        </w:rPr>
        <w:t xml:space="preserve">[QUESTAO] ANPEC 2023 — Questão 02</w:t>
      </w:r>
    </w:p>
    <w:p>
      <w:pPr>
        <w:pStyle w:val="BlockText"/>
      </w:pPr>
      <w:r>
        <w:t xml:space="preserve">Com base na Teoria do Consumidor, julgue as afirmações abaixo:</w:t>
      </w:r>
    </w:p>
    <w:p>
      <w:pPr>
        <w:pStyle w:val="BlockText"/>
      </w:pPr>
      <w:r>
        <w:rPr>
          <w:b/>
          <w:bCs/>
        </w:rPr>
        <w:t xml:space="preserve">Itens:</w:t>
      </w:r>
      <w:r>
        <w:t xml:space="preserve"> </w:t>
      </w:r>
      <w:r>
        <w:t xml:space="preserve">(marque 0 para Falso, 1 para Verdadeiro)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Se a utilidade</w:t>
            </w:r>
            <w:r>
              <w:t xml:space="preserve"> </w:t>
            </w:r>
            <m:oMath>
              <m:r>
                <m:t>U</m:t>
              </m:r>
              <m:r>
                <m:rPr>
                  <m:sty m:val="p"/>
                </m:rPr>
                <m:t>(</m:t>
              </m:r>
              <m:r>
                <m:t>X</m:t>
              </m:r>
              <m:r>
                <m:rPr>
                  <m:sty m:val="p"/>
                </m:rPr>
                <m:t>,</m:t>
              </m:r>
              <m:r>
                <m:t>Y</m:t>
              </m:r>
              <m:r>
                <m:rPr>
                  <m:sty m:val="p"/>
                </m:rPr>
                <m:t>)</m:t>
              </m:r>
            </m:oMath>
            <w:r>
              <w:t xml:space="preserve"> </w:t>
            </w:r>
            <w:r>
              <w:t xml:space="preserve">é quase-côncava sobre</w:t>
            </w:r>
            <w:r>
              <w:t xml:space="preserve"> </w:t>
            </w:r>
            <m:oMath>
              <m:sSup>
                <m:e>
                  <m:r>
                    <m:rPr>
                      <m:scr m:val="double-struck"/>
                      <m:sty m:val="p"/>
                    </m:rPr>
                    <m:t>R</m:t>
                  </m:r>
                </m:e>
                <m:sup>
                  <m:r>
                    <m:t>2</m:t>
                  </m:r>
                </m:sup>
              </m:sSup>
            </m:oMath>
            <w:r>
              <w:t xml:space="preserve">, então o conjunto</w:t>
            </w:r>
            <w:r>
              <w:t xml:space="preserve"> </w:t>
            </w:r>
            <m:oMath>
              <m:r>
                <m:t>S</m:t>
              </m:r>
              <m:r>
                <m:rPr>
                  <m:sty m:val="p"/>
                </m:rPr>
                <m:t>(</m:t>
              </m:r>
              <m:sSub>
                <m:e>
                  <m:r>
                    <m:t>X</m:t>
                  </m:r>
                </m:e>
                <m:sub>
                  <m:r>
                    <m:t>0</m:t>
                  </m:r>
                </m:sub>
              </m:sSub>
              <m:r>
                <m:rPr>
                  <m:sty m:val="p"/>
                </m:rPr>
                <m:t>,</m:t>
              </m:r>
              <m:sSub>
                <m:e>
                  <m:r>
                    <m:t>Y</m:t>
                  </m:r>
                </m:e>
                <m:sub>
                  <m:r>
                    <m:t>0</m:t>
                  </m:r>
                </m:sub>
              </m:sSub>
              <m:r>
                <m:rPr>
                  <m:sty m:val="p"/>
                </m:rPr>
                <m:t>)</m:t>
              </m:r>
              <m:r>
                <m:rPr>
                  <m:sty m:val="p"/>
                </m:rPr>
                <m:t>=</m:t>
              </m:r>
              <m:r>
                <m:rPr>
                  <m:sty m:val="p"/>
                </m:rPr>
                <m:t>{</m:t>
              </m:r>
              <m:r>
                <m:rPr>
                  <m:sty m:val="p"/>
                </m:rPr>
                <m:t>(</m:t>
              </m:r>
              <m:r>
                <m:t>X</m:t>
              </m:r>
              <m:r>
                <m:rPr>
                  <m:sty m:val="p"/>
                </m:rPr>
                <m:t>,</m:t>
              </m:r>
              <m:r>
                <m:t>Y</m:t>
              </m:r>
              <m:r>
                <m:rPr>
                  <m:sty m:val="p"/>
                </m:rPr>
                <m:t>)</m:t>
              </m:r>
              <m:r>
                <m:rPr>
                  <m:sty m:val="p"/>
                </m:rPr>
                <m:t>∈</m:t>
              </m:r>
              <m:sSup>
                <m:e>
                  <m:r>
                    <m:rPr>
                      <m:scr m:val="double-struck"/>
                      <m:sty m:val="p"/>
                    </m:rPr>
                    <m:t>R</m:t>
                  </m:r>
                </m:e>
                <m:sup>
                  <m:r>
                    <m:t>2</m:t>
                  </m:r>
                </m:sup>
              </m:sSup>
              <m:r>
                <m:rPr>
                  <m:sty m:val="p"/>
                </m:rPr>
                <m:t>:</m:t>
              </m:r>
              <m:r>
                <m:t>U</m:t>
              </m:r>
              <m:r>
                <m:rPr>
                  <m:sty m:val="p"/>
                </m:rPr>
                <m:t>(</m:t>
              </m:r>
              <m:r>
                <m:t>X</m:t>
              </m:r>
              <m:r>
                <m:rPr>
                  <m:sty m:val="p"/>
                </m:rPr>
                <m:t>,</m:t>
              </m:r>
              <m:r>
                <m:t>Y</m:t>
              </m:r>
              <m:r>
                <m:rPr>
                  <m:sty m:val="p"/>
                </m:rPr>
                <m:t>)</m:t>
              </m:r>
              <m:r>
                <m:rPr>
                  <m:sty m:val="p"/>
                </m:rPr>
                <m:t>≥</m:t>
              </m:r>
              <m:r>
                <m:t>U</m:t>
              </m:r>
              <m:r>
                <m:rPr>
                  <m:sty m:val="p"/>
                </m:rPr>
                <m:t>(</m:t>
              </m:r>
              <m:sSub>
                <m:e>
                  <m:r>
                    <m:t>X</m:t>
                  </m:r>
                </m:e>
                <m:sub>
                  <m:r>
                    <m:t>0</m:t>
                  </m:r>
                </m:sub>
              </m:sSub>
              <m:r>
                <m:rPr>
                  <m:sty m:val="p"/>
                </m:rPr>
                <m:t>,</m:t>
              </m:r>
              <m:sSub>
                <m:e>
                  <m:r>
                    <m:t>Y</m:t>
                  </m:r>
                </m:e>
                <m:sub>
                  <m:r>
                    <m:t>0</m:t>
                  </m:r>
                </m:sub>
              </m:sSub>
              <m:r>
                <m:rPr>
                  <m:sty m:val="p"/>
                </m:rPr>
                <m:t>)</m:t>
              </m:r>
              <m:r>
                <m:rPr>
                  <m:sty m:val="p"/>
                </m:rPr>
                <m:t>}</m:t>
              </m:r>
            </m:oMath>
            <w:r>
              <w:t xml:space="preserve"> </w:t>
            </w:r>
            <w:r>
              <w:t xml:space="preserve">é convexo.</w:t>
            </w:r>
          </w:p>
        </w:tc>
      </w:tr>
      <w:tr>
        <w:tc>
          <w:tcPr/>
          <w:p>
            <w:pPr>
              <w:pStyle w:val="Compact"/>
            </w:pPr>
            <w:r>
              <w:t xml:space="preserve">1</w:t>
            </w:r>
          </w:p>
        </w:tc>
        <w:tc>
          <w:tcPr/>
          <w:p>
            <w:pPr>
              <w:pStyle w:val="Compact"/>
            </w:pPr>
            <w:r>
              <w:t xml:space="preserve">Se</w:t>
            </w:r>
            <w:r>
              <w:t xml:space="preserve"> </w:t>
            </w:r>
            <m:oMath>
              <m:r>
                <m:t>U</m:t>
              </m:r>
              <m:r>
                <m:rPr>
                  <m:sty m:val="p"/>
                </m:rPr>
                <m:t>(</m:t>
              </m:r>
              <m:r>
                <m:t>X</m:t>
              </m:r>
              <m:r>
                <m:rPr>
                  <m:sty m:val="p"/>
                </m:rPr>
                <m:t>,</m:t>
              </m:r>
              <m:r>
                <m:t>Y</m:t>
              </m:r>
              <m:r>
                <m:rPr>
                  <m:sty m:val="p"/>
                </m:rPr>
                <m:t>)</m:t>
              </m:r>
              <m:r>
                <m:rPr>
                  <m:sty m:val="p"/>
                </m:rPr>
                <m:t>=</m:t>
              </m:r>
              <m:r>
                <m:t>f</m:t>
              </m:r>
              <m:r>
                <m:rPr>
                  <m:sty m:val="p"/>
                </m:rPr>
                <m:t>(</m:t>
              </m:r>
              <m:r>
                <m:t>X</m:t>
              </m:r>
              <m:r>
                <m:rPr>
                  <m:sty m:val="p"/>
                </m:rPr>
                <m:t>)</m:t>
              </m:r>
              <m:r>
                <m:rPr>
                  <m:sty m:val="p"/>
                </m:rPr>
                <m:t>+</m:t>
              </m:r>
              <m:r>
                <m:t>Y</m:t>
              </m:r>
            </m:oMath>
            <w:r>
              <w:t xml:space="preserve"> </w:t>
            </w:r>
            <w:r>
              <w:t xml:space="preserve">é uma função de utilidade quase-linear, então o bem</w:t>
            </w:r>
            <w:r>
              <w:t xml:space="preserve"> </w:t>
            </w:r>
            <m:oMath>
              <m:r>
                <m:t>Y</m:t>
              </m:r>
            </m:oMath>
            <w:r>
              <w:t xml:space="preserve"> </w:t>
            </w:r>
            <w:r>
              <w:t xml:space="preserve">serve como numerário.</w:t>
            </w:r>
          </w:p>
        </w:tc>
      </w:tr>
      <w:tr>
        <w:tc>
          <w:tcPr/>
          <w:p>
            <w:pPr>
              <w:pStyle w:val="Compact"/>
            </w:pPr>
            <w:r>
              <w:t xml:space="preserve">2</w:t>
            </w:r>
          </w:p>
        </w:tc>
        <w:tc>
          <w:tcPr/>
          <w:p>
            <w:pPr>
              <w:pStyle w:val="Compact"/>
            </w:pPr>
            <w:r>
              <w:t xml:space="preserve">Se as preferências do consumidor sobre o conjunto</w:t>
            </w:r>
            <w:r>
              <w:t xml:space="preserve"> </w:t>
            </w:r>
            <m:oMath>
              <m:r>
                <m:t>X</m:t>
              </m:r>
              <m:r>
                <m:rPr>
                  <m:sty m:val="p"/>
                </m:rPr>
                <m:t>=</m:t>
              </m:r>
              <m:r>
                <m:rPr>
                  <m:sty m:val="p"/>
                </m:rPr>
                <m:t>{</m:t>
              </m:r>
              <m:r>
                <m:t>a</m:t>
              </m:r>
              <m:r>
                <m:rPr>
                  <m:sty m:val="p"/>
                </m:rPr>
                <m:t>,</m:t>
              </m:r>
              <m:r>
                <m:t>b</m:t>
              </m:r>
              <m:r>
                <m:rPr>
                  <m:sty m:val="p"/>
                </m:rPr>
                <m:t>,</m:t>
              </m:r>
              <m:r>
                <m:t>c</m:t>
              </m:r>
              <m:r>
                <m:rPr>
                  <m:sty m:val="p"/>
                </m:rPr>
                <m:t>,</m:t>
              </m:r>
              <m:r>
                <m:t>d</m:t>
              </m:r>
              <m:r>
                <m:rPr>
                  <m:sty m:val="p"/>
                </m:rPr>
                <m:t>}</m:t>
              </m:r>
            </m:oMath>
            <w:r>
              <w:t xml:space="preserve"> </w:t>
            </w:r>
            <w:r>
              <w:t xml:space="preserve">de alternativas são totais (ou completas), então necessariamente existe uma alternativa maximal.</w:t>
            </w:r>
          </w:p>
        </w:tc>
      </w:tr>
      <w:tr>
        <w:tc>
          <w:tcPr/>
          <w:p>
            <w:pPr>
              <w:pStyle w:val="Compact"/>
            </w:pPr>
            <w:r>
              <w:t xml:space="preserve">3</w:t>
            </w:r>
          </w:p>
        </w:tc>
        <w:tc>
          <w:tcPr/>
          <w:p>
            <w:pPr>
              <w:pStyle w:val="Compact"/>
            </w:pPr>
            <w:r>
              <w:t xml:space="preserve">Se</w:t>
            </w:r>
            <w:r>
              <w:t xml:space="preserve"> </w:t>
            </w:r>
            <m:oMath>
              <m:r>
                <m:t>U</m:t>
              </m:r>
              <m:r>
                <m:rPr>
                  <m:sty m:val="p"/>
                </m:rPr>
                <m:t>(</m:t>
              </m:r>
              <m:r>
                <m:t>X</m:t>
              </m:r>
              <m:r>
                <m:rPr>
                  <m:sty m:val="p"/>
                </m:rPr>
                <m:t>,</m:t>
              </m:r>
              <m:r>
                <m:t>Y</m:t>
              </m:r>
              <m:r>
                <m:rPr>
                  <m:sty m:val="p"/>
                </m:rPr>
                <m:t>)</m:t>
              </m:r>
              <m:r>
                <m:rPr>
                  <m:sty m:val="p"/>
                </m:rPr>
                <m:t>=</m:t>
              </m:r>
              <m:r>
                <m:rPr>
                  <m:sty m:val="p"/>
                </m:rPr>
                <m:t>min</m:t>
              </m:r>
              <m:r>
                <m:rPr>
                  <m:sty m:val="p"/>
                </m:rPr>
                <m:t>{</m:t>
              </m:r>
              <m:r>
                <m:t>a</m:t>
              </m:r>
              <m:r>
                <m:t>X</m:t>
              </m:r>
              <m:r>
                <m:rPr>
                  <m:sty m:val="p"/>
                </m:rPr>
                <m:t>,</m:t>
              </m:r>
              <m:r>
                <m:t>b</m:t>
              </m:r>
              <m:r>
                <m:t>Y</m:t>
              </m:r>
              <m:r>
                <m:rPr>
                  <m:sty m:val="p"/>
                </m:rPr>
                <m:t>}</m:t>
              </m:r>
            </m:oMath>
            <w:r>
              <w:t xml:space="preserve">, com</w:t>
            </w:r>
            <w:r>
              <w:t xml:space="preserve"> </w:t>
            </w:r>
            <m:oMath>
              <m:r>
                <m:t>a</m:t>
              </m:r>
              <m:r>
                <m:rPr>
                  <m:sty m:val="p"/>
                </m:rPr>
                <m:t>,</m:t>
              </m:r>
              <m:r>
                <m:t>b</m:t>
              </m:r>
              <m:r>
                <m:rPr>
                  <m:sty m:val="p"/>
                </m:rPr>
                <m:t>&gt;</m:t>
              </m:r>
              <m:r>
                <m:t>0</m:t>
              </m:r>
            </m:oMath>
            <w:r>
              <w:t xml:space="preserve"> </w:t>
            </w:r>
            <w:r>
              <w:t xml:space="preserve">constantes, então a Demanda Hicksiana (ou compensada) não depende dos preços de</w:t>
            </w:r>
            <w:r>
              <w:t xml:space="preserve"> </w:t>
            </w:r>
            <m:oMath>
              <m:r>
                <m:t>X</m:t>
              </m:r>
            </m:oMath>
            <w:r>
              <w:t xml:space="preserve"> </w:t>
            </w:r>
            <w:r>
              <w:t xml:space="preserve">e</w:t>
            </w:r>
            <w:r>
              <w:t xml:space="preserve"> </w:t>
            </w:r>
            <m:oMath>
              <m:r>
                <m:t>Y</m:t>
              </m:r>
            </m:oMath>
            <w:r>
              <w:t xml:space="preserve">.</w:t>
            </w:r>
          </w:p>
        </w:tc>
      </w:tr>
      <w:tr>
        <w:tc>
          <w:tcPr/>
          <w:p>
            <w:pPr>
              <w:pStyle w:val="Compact"/>
            </w:pPr>
            <w:r>
              <w:t xml:space="preserve">4</w:t>
            </w:r>
          </w:p>
        </w:tc>
        <w:tc>
          <w:tcPr/>
          <w:p>
            <w:pPr>
              <w:pStyle w:val="Compact"/>
            </w:pPr>
            <w:r>
              <w:t xml:space="preserve">Seja</w:t>
            </w:r>
            <w:r>
              <w:t xml:space="preserve"> </w:t>
            </w:r>
            <m:oMath>
              <m:r>
                <m:t>U</m:t>
              </m:r>
              <m:r>
                <m:rPr>
                  <m:sty m:val="p"/>
                </m:rPr>
                <m:t>(</m:t>
              </m:r>
              <m:r>
                <m:t>X</m:t>
              </m:r>
              <m:r>
                <m:rPr>
                  <m:sty m:val="p"/>
                </m:rPr>
                <m:t>,</m:t>
              </m:r>
              <m:r>
                <m:t>Y</m:t>
              </m:r>
              <m:r>
                <m:rPr>
                  <m:sty m:val="p"/>
                </m:rPr>
                <m:t>)</m:t>
              </m:r>
              <m:r>
                <m:rPr>
                  <m:sty m:val="p"/>
                </m:rPr>
                <m:t>=</m:t>
              </m:r>
              <m:sSup>
                <m:e>
                  <m:r>
                    <m:t>X</m:t>
                  </m:r>
                </m:e>
                <m:sup>
                  <m:r>
                    <m:t>a</m:t>
                  </m:r>
                </m:sup>
              </m:sSup>
              <m:sSup>
                <m:e>
                  <m:r>
                    <m:t>Y</m:t>
                  </m:r>
                </m:e>
                <m:sup>
                  <m:r>
                    <m:t>1</m:t>
                  </m:r>
                  <m:r>
                    <m:rPr>
                      <m:sty m:val="p"/>
                    </m:rPr>
                    <m:t>−</m:t>
                  </m:r>
                  <m:r>
                    <m:t>a</m:t>
                  </m:r>
                </m:sup>
              </m:sSup>
            </m:oMath>
            <w:r>
              <w:t xml:space="preserve">, com</w:t>
            </w:r>
            <w:r>
              <w:t xml:space="preserve"> </w:t>
            </w:r>
            <m:oMath>
              <m:r>
                <m:t>0</m:t>
              </m:r>
              <m:r>
                <m:rPr>
                  <m:sty m:val="p"/>
                </m:rPr>
                <m:t>&lt;</m:t>
              </m:r>
              <m:r>
                <m:t>a</m:t>
              </m:r>
              <m:r>
                <m:rPr>
                  <m:sty m:val="p"/>
                </m:rPr>
                <m:t>&lt;</m:t>
              </m:r>
              <m:r>
                <m:t>1</m:t>
              </m:r>
            </m:oMath>
            <w:r>
              <w:t xml:space="preserve">, uma Utilidade Cobb-Douglas. Então a elasticidade-preço cruzada da Demanda Marshalliana é positiva.</w:t>
            </w:r>
          </w:p>
        </w:tc>
      </w:tr>
    </w:tbl>
    <w:p>
      <w:pPr>
        <w:pStyle w:val="BlockText"/>
      </w:pPr>
      <w:r>
        <w:t xml:space="preserve">??? success</w:t>
      </w:r>
      <w:r>
        <w:t xml:space="preserve"> </w:t>
      </w:r>
      <w:r>
        <w:t xml:space="preserve">“Gabarito”</w:t>
      </w:r>
      <w:r>
        <w:t xml:space="preserve"> </w:t>
      </w:r>
      <w:r>
        <w:rPr>
          <w:b/>
          <w:bCs/>
        </w:rPr>
        <w:t xml:space="preserve">Respostas: 11110</w:t>
      </w:r>
    </w:p>
    <w:p>
      <w:pPr>
        <w:pStyle w:val="SourceCode"/>
      </w:pPr>
      <w:r>
        <w:rPr>
          <w:rStyle w:val="VerbatimChar"/>
        </w:rPr>
        <w:t xml:space="preserve">**Justificativa por item:**</w:t>
      </w:r>
      <w:r>
        <w:br/>
      </w:r>
      <w:r>
        <w:br/>
      </w:r>
      <w:r>
        <w:rPr>
          <w:rStyle w:val="VerbatimChar"/>
        </w:rPr>
        <w:t xml:space="preserve">- **Item 0 — V:** A definição de quase-concavidade é precisamente que os conjuntos de nível superior $\{(X,Y): U(X,Y) \geq k\}$ são convexos para todo $k$. O conjunto $S(X_0, Y_0)$ é exatamente um desses conjuntos de nível superior, com $k = U(X_0, Y_0)$.</w:t>
      </w:r>
      <w:r>
        <w:br/>
      </w:r>
      <w:r>
        <w:br/>
      </w:r>
      <w:r>
        <w:rPr>
          <w:rStyle w:val="VerbatimChar"/>
        </w:rPr>
        <w:t xml:space="preserve">- **Item 1 — V:** Na utilidade quase-linear $U = f(X) + Y$, o bem $Y$ entra linearmente. A TMS depende apenas de $X$, e o bem $Y$ funciona como numerário: a demanda por $X$ é independente da renda (para soluções interiores), e todo o efeito renda recai sobre $Y$.</w:t>
      </w:r>
      <w:r>
        <w:br/>
      </w:r>
      <w:r>
        <w:br/>
      </w:r>
      <w:r>
        <w:rPr>
          <w:rStyle w:val="VerbatimChar"/>
        </w:rPr>
        <w:t xml:space="preserve">- **Item 2 — V:** O conjunto $X = \{a, b, c, d\}$ é finito. Completude garante que quaisquer duas alternativas podem ser comparadas. Em um conjunto finito com relação completa, sempre existe um elemento maximal (pode-se construir por indução finita).</w:t>
      </w:r>
      <w:r>
        <w:br/>
      </w:r>
      <w:r>
        <w:br/>
      </w:r>
      <w:r>
        <w:rPr>
          <w:rStyle w:val="VerbatimChar"/>
        </w:rPr>
        <w:t xml:space="preserve">- **Item 3 — V:** Para $U = \min\{aX, bY\}$, as demandas hicksianas são $h_X = \bar{u}/a$ e $h_Y = \bar{u}/b$. Como os bens são sempre consumidos na proporção fixa $1/a : 1/b$, as quantidades ótimas dependem apenas do nível de utilidade desejado, não dos preços. O efeito substituição é zero ($\sigma = 0$).</w:t>
      </w:r>
      <w:r>
        <w:br/>
      </w:r>
      <w:r>
        <w:br/>
      </w:r>
      <w:r>
        <w:rPr>
          <w:rStyle w:val="VerbatimChar"/>
        </w:rPr>
        <w:t xml:space="preserve">- **Item 4 — F:** Para a Cobb-Douglas $U = X^a Y^{1-a}$, a demanda marshalliana é $X^* = aI/p_X$, que **não depende** de $p_Y$. Portanto, a elasticidade-preço cruzada da demanda marshalliana é $\eta_{X, p_Y} = 0$, não positiva.</w:t>
      </w:r>
    </w:p>
    <w:p>
      <w:r>
        <w:pict>
          <v:rect style="width:0;height:1.5pt" o:hralign="center" o:hrstd="t" o:hr="t"/>
        </w:pict>
      </w:r>
    </w:p>
    <w:p>
      <w:pPr>
        <w:pStyle w:val="BlockText"/>
      </w:pPr>
      <w:r>
        <w:rPr>
          <w:b/>
          <w:bCs/>
        </w:rPr>
        <w:t xml:space="preserve">[DICA] 🤖 Exercício com IA</w:t>
      </w:r>
    </w:p>
    <w:p>
      <w:pPr>
        <w:pStyle w:val="BlockText"/>
      </w:pPr>
      <w:r>
        <w:rPr>
          <w:b/>
          <w:bCs/>
        </w:rPr>
        <w:t xml:space="preserve">IA.1 — Utilidade CES e Casos Limite</w:t>
      </w:r>
    </w:p>
    <w:p>
      <w:pPr>
        <w:pStyle w:val="BlockText"/>
      </w:pPr>
      <w:r>
        <w:t xml:space="preserve">Peça à IA para resolver o problema de maximização do consumidor com utilidade CES</w:t>
      </w:r>
      <w:r>
        <w:t xml:space="preserve"> </w:t>
      </w:r>
      <m:oMath>
        <m:r>
          <m:t>u</m:t>
        </m:r>
        <m:r>
          <m:rPr>
            <m:sty m:val="p"/>
          </m:rPr>
          <m:t>=</m:t>
        </m:r>
        <m:r>
          <m:rPr>
            <m:sty m:val="p"/>
          </m:rPr>
          <m:t>(</m:t>
        </m:r>
        <m:sSubSup>
          <m:e>
            <m:r>
              <m:t>x</m:t>
            </m:r>
          </m:e>
          <m:sub>
            <m:r>
              <m:t>1</m:t>
            </m:r>
          </m:sub>
          <m:sup>
            <m:r>
              <m:t>ρ</m:t>
            </m:r>
          </m:sup>
        </m:sSubSup>
        <m:r>
          <m:rPr>
            <m:sty m:val="p"/>
          </m:rPr>
          <m:t>+</m:t>
        </m:r>
        <m:sSubSup>
          <m:e>
            <m:r>
              <m:t>x</m:t>
            </m:r>
          </m:e>
          <m:sub>
            <m:r>
              <m:t>2</m:t>
            </m:r>
          </m:sub>
          <m:sup>
            <m:r>
              <m:t>ρ</m:t>
            </m:r>
          </m:sup>
        </m:sSubSup>
        <m:sSup>
          <m:e>
            <m:r>
              <m:rPr>
                <m:sty m:val="p"/>
              </m:rPr>
              <m:t>)</m:t>
            </m:r>
          </m:e>
          <m:sup>
            <m:r>
              <m:t>1</m:t>
            </m:r>
            <m:r>
              <m:rPr>
                <m:sty m:val="p"/>
              </m:rPr>
              <m:t>/</m:t>
            </m:r>
            <m:r>
              <m:t>ρ</m:t>
            </m:r>
          </m:sup>
        </m:sSup>
      </m:oMath>
      <w:r>
        <w:t xml:space="preserve"> </w:t>
      </w:r>
      <w:r>
        <w:t xml:space="preserve">para diferentes valores de</w:t>
      </w:r>
      <w:r>
        <w:t xml:space="preserve"> </w:t>
      </w:r>
      <m:oMath>
        <m:r>
          <m:t>ρ</m:t>
        </m:r>
      </m:oMath>
      <w:r>
        <w:t xml:space="preserve">. Compare as soluções quando</w:t>
      </w:r>
      <w:r>
        <w:t xml:space="preserve"> </w:t>
      </w:r>
      <m:oMath>
        <m:r>
          <m:t>ρ</m:t>
        </m:r>
        <m:r>
          <m:rPr>
            <m:sty m:val="p"/>
          </m:rPr>
          <m:t>→</m:t>
        </m:r>
        <m:r>
          <m:t>0</m:t>
        </m:r>
      </m:oMath>
      <w:r>
        <w:t xml:space="preserve"> </w:t>
      </w:r>
      <w:r>
        <w:t xml:space="preserve">(Cobb-Douglas),</w:t>
      </w:r>
      <w:r>
        <w:t xml:space="preserve"> </w:t>
      </w:r>
      <m:oMath>
        <m:r>
          <m:t>ρ</m:t>
        </m:r>
        <m:r>
          <m:rPr>
            <m:sty m:val="p"/>
          </m:rPr>
          <m:t>=</m:t>
        </m:r>
        <m:r>
          <m:t>1</m:t>
        </m:r>
      </m:oMath>
      <w:r>
        <w:t xml:space="preserve"> </w:t>
      </w:r>
      <w:r>
        <w:t xml:space="preserve">(substitutos perfeitos) e</w:t>
      </w:r>
      <w:r>
        <w:t xml:space="preserve"> </w:t>
      </w:r>
      <m:oMath>
        <m:r>
          <m:t>ρ</m:t>
        </m:r>
        <m:r>
          <m:rPr>
            <m:sty m:val="p"/>
          </m:rPr>
          <m:t>→</m:t>
        </m:r>
        <m:r>
          <m:rPr>
            <m:sty m:val="p"/>
          </m:rPr>
          <m:t>−</m:t>
        </m:r>
        <m:r>
          <m:rPr>
            <m:sty m:val="p"/>
          </m:rPr>
          <m:t>∞</m:t>
        </m:r>
      </m:oMath>
      <w:r>
        <w:t xml:space="preserve"> </w:t>
      </w:r>
      <w:r>
        <w:t xml:space="preserve">(complementos perfeitos). A IA acertou todos os casos limite? Verifique.</w:t>
      </w:r>
    </w:p>
    <w:p>
      <w:pPr>
        <w:pStyle w:val="BlockText"/>
      </w:pPr>
      <w:r>
        <w:t xml:space="preserve">Ver exercício completo</w:t>
      </w:r>
    </w:p>
    <w:bookmarkEnd w:id="223"/>
    <w:bookmarkEnd w:id="224"/>
    <w:bookmarkStart w:id="234" w:name="pesquisa-em-ação-3"/>
    <w:p>
      <w:pPr>
        <w:pStyle w:val="Heading2"/>
      </w:pPr>
      <w:r>
        <w:t xml:space="preserve">Pesquisa em Ação</w:t>
      </w:r>
    </w:p>
    <w:p>
      <w:pPr>
        <w:pStyle w:val="BlockText"/>
      </w:pPr>
      <w:r>
        <w:rPr>
          <w:b/>
          <w:bCs/>
        </w:rPr>
        <w:t xml:space="preserve">[PESQUISA EM ACAO] Attanasio, O.; Battistin, E.; Mesnard, A. (2012).</w:t>
      </w:r>
      <w:r>
        <w:rPr>
          <w:b/>
          <w:bCs/>
        </w:rPr>
        <w:t xml:space="preserve"> </w:t>
      </w:r>
      <w:hyperlink r:id="rId225">
        <w:r>
          <w:rPr>
            <w:rStyle w:val="Hyperlink"/>
            <w:b/>
            <w:bCs/>
          </w:rPr>
          <w:t xml:space="preserve">Food and Cash Transfers: Evidence from Colombia</w:t>
        </w:r>
      </w:hyperlink>
      <w:r>
        <w:rPr>
          <w:b/>
          <w:bCs/>
        </w:rPr>
        <w:t xml:space="preserve">.</w:t>
      </w:r>
      <w:r>
        <w:rPr>
          <w:b/>
          <w:bCs/>
        </w:rPr>
        <w:t xml:space="preserve"> </w:t>
      </w:r>
      <w:r>
        <w:rPr>
          <w:b/>
          <w:bCs/>
          <w:i/>
          <w:iCs/>
        </w:rPr>
        <w:t xml:space="preserve">The Economic Journal</w:t>
      </w:r>
      <w:r>
        <w:rPr>
          <w:b/>
          <w:bCs/>
        </w:rPr>
        <w:t xml:space="preserve">, 122(559), 92–124.</w:t>
      </w:r>
    </w:p>
    <w:p>
      <w:pPr>
        <w:pStyle w:val="BlockText"/>
      </w:pPr>
      <w:r>
        <w:rPr>
          <w:b/>
          <w:bCs/>
        </w:rPr>
        <w:t xml:space="preserve">Pergunta central:</w:t>
      </w:r>
      <w:r>
        <w:t xml:space="preserve"> </w:t>
      </w:r>
      <w:r>
        <w:t xml:space="preserve">Transferências de renda em dinheiro são mais eficientes do que transferências em espécie (como cestas básicas) para melhorar o consumo alimentar das famílias pobres? A teoria do consumidor prevê que, se o valor da transferência em espécie é inferior ao que a família gastaria voluntariamente com alimentação, os dois tipos de transferência deveriam ter efeitos idênticos — o que é conhecido como o</w:t>
      </w:r>
      <w:r>
        <w:t xml:space="preserve"> </w:t>
      </w:r>
      <w:r>
        <w:t xml:space="preserve">“teorema da fungibilidade”</w:t>
      </w:r>
      <w:r>
        <w:t xml:space="preserve"> </w:t>
      </w:r>
      <w:r>
        <w:t xml:space="preserve">da renda.</w:t>
      </w:r>
    </w:p>
    <w:p>
      <w:pPr>
        <w:pStyle w:val="BlockText"/>
      </w:pPr>
      <w:r>
        <w:rPr>
          <w:b/>
          <w:bCs/>
        </w:rPr>
        <w:t xml:space="preserve">Método:</w:t>
      </w:r>
      <w:r>
        <w:t xml:space="preserve"> </w:t>
      </w:r>
      <w:r>
        <w:t xml:space="preserve">O estudo explora uma característica do programa colombiano</w:t>
      </w:r>
      <w:r>
        <w:t xml:space="preserve"> </w:t>
      </w:r>
      <w:r>
        <w:rPr>
          <w:i/>
          <w:iCs/>
        </w:rPr>
        <w:t xml:space="preserve">Familias en Acción</w:t>
      </w:r>
      <w:r>
        <w:t xml:space="preserve">, que oferecia transferências em dinheiro condicionadas à frequência escolar e a visitas de saúde. Os autores compararam os padrões de consumo de famílias beneficiárias com grupos de controle usando técnicas de diferenças em diferenças e matching, com dados de pesquisas domiciliares detalhadas.</w:t>
      </w:r>
    </w:p>
    <w:p>
      <w:pPr>
        <w:pStyle w:val="BlockText"/>
      </w:pPr>
      <w:r>
        <w:rPr>
          <w:b/>
          <w:bCs/>
        </w:rPr>
        <w:t xml:space="preserve">Resultado principal:</w:t>
      </w:r>
      <w:r>
        <w:t xml:space="preserve"> </w:t>
      </w:r>
      <w:r>
        <w:t xml:space="preserve">As transferências em dinheiro aumentaram significativamente o consumo alimentar das famílias beneficiárias — em particular proteínas animais e alimentos de alto valor nutricional. O efeito sobre o consumo alimentar foi de aproximadamente 15% da transferência, acima do que se esperaria pela propensão marginal a consumir alimentos na margem. Isso sugere que as condicionalidades e o</w:t>
      </w:r>
      <w:r>
        <w:t xml:space="preserve"> </w:t>
      </w:r>
      <w:r>
        <w:rPr>
          <w:i/>
          <w:iCs/>
        </w:rPr>
        <w:t xml:space="preserve">labeling</w:t>
      </w:r>
      <w:r>
        <w:t xml:space="preserve"> </w:t>
      </w:r>
      <w:r>
        <w:t xml:space="preserve">(rotulação) da transferência como</w:t>
      </w:r>
      <w:r>
        <w:t xml:space="preserve"> </w:t>
      </w:r>
      <w:r>
        <w:t xml:space="preserve">“para os filhos”</w:t>
      </w:r>
      <w:r>
        <w:t xml:space="preserve"> </w:t>
      </w:r>
      <w:r>
        <w:t xml:space="preserve">influenciam as decisões intradomiciliares de alocação.</w:t>
      </w:r>
    </w:p>
    <w:p>
      <w:pPr>
        <w:pStyle w:val="BlockText"/>
      </w:pPr>
      <w:r>
        <w:rPr>
          <w:b/>
          <w:bCs/>
        </w:rPr>
        <w:t xml:space="preserve">Por que isso importa:</w:t>
      </w:r>
      <w:r>
        <w:t xml:space="preserve"> </w:t>
      </w:r>
      <w:r>
        <w:t xml:space="preserve">Esses resultados são diretamente relevantes para o debate brasileiro sobre a eficácia do Bolsa Família versus programas de distribuição de cestas básicas. A evidência sugere que transferências em dinheiro são eficientes e que os beneficiários alocam os recursos de forma racional, consistente com a teoria da maximização da utilidade, ao mesmo tempo em que o</w:t>
      </w:r>
      <w:r>
        <w:t xml:space="preserve"> </w:t>
      </w:r>
      <w:r>
        <w:rPr>
          <w:i/>
          <w:iCs/>
        </w:rPr>
        <w:t xml:space="preserve">framing</w:t>
      </w:r>
      <w:r>
        <w:t xml:space="preserve"> </w:t>
      </w:r>
      <w:r>
        <w:t xml:space="preserve">das condicionalidades pode influenciar a composição do consumo.</w:t>
      </w:r>
    </w:p>
    <w:p>
      <w:pPr>
        <w:pStyle w:val="BlockText"/>
      </w:pPr>
      <w:r>
        <w:rPr>
          <w:b/>
          <w:bCs/>
        </w:rPr>
        <w:t xml:space="preserve">Relevância para o capítulo:</w:t>
      </w:r>
      <w:r>
        <w:t xml:space="preserve"> </w:t>
      </w:r>
      <w:r>
        <w:t xml:space="preserve">O estudo ilustra o princípio do montante fixo na prática: transferências em dinheiro (análogas a</w:t>
      </w:r>
      <w:r>
        <w:t xml:space="preserve"> </w:t>
      </w:r>
      <w:r>
        <w:rPr>
          <w:i/>
          <w:iCs/>
        </w:rPr>
        <w:t xml:space="preserve">lump sum</w:t>
      </w:r>
      <w:r>
        <w:t xml:space="preserve">) permitem ao consumidor reotimizar livremente sua cesta de consumo, enquanto transferências em espécie impõem uma composição específica que pode não corresponder às preferências individuais. A superioridade teórica do</w:t>
      </w:r>
      <w:r>
        <w:t xml:space="preserve"> </w:t>
      </w:r>
      <w:r>
        <w:rPr>
          <w:i/>
          <w:iCs/>
        </w:rPr>
        <w:t xml:space="preserve">lump sum</w:t>
      </w:r>
      <w:r>
        <w:t xml:space="preserve"> </w:t>
      </w:r>
      <w:r>
        <w:t xml:space="preserve">(Seção 4.5) encontra respaldo empírico, embora fatores comportamentais (como o</w:t>
      </w:r>
      <w:r>
        <w:t xml:space="preserve"> </w:t>
      </w:r>
      <w:r>
        <w:rPr>
          <w:i/>
          <w:iCs/>
        </w:rPr>
        <w:t xml:space="preserve">labeling</w:t>
      </w:r>
      <w:r>
        <w:t xml:space="preserve">) adicionem nuances à previsão do modelo padrão.</w:t>
      </w:r>
    </w:p>
    <w:p>
      <w:pPr>
        <w:pStyle w:val="BlockText"/>
      </w:pPr>
      <w:r>
        <w:rPr>
          <w:b/>
          <w:bCs/>
        </w:rPr>
        <w:t xml:space="preserve">[PESQUISA EM ACAO] Deaton, A.; Muellbauer, J. (1980).</w:t>
      </w:r>
      <w:r>
        <w:rPr>
          <w:b/>
          <w:bCs/>
        </w:rPr>
        <w:t xml:space="preserve"> </w:t>
      </w:r>
      <w:hyperlink r:id="rId226">
        <w:r>
          <w:rPr>
            <w:rStyle w:val="Hyperlink"/>
            <w:b/>
            <w:bCs/>
          </w:rPr>
          <w:t xml:space="preserve">An Almost Ideal Demand System</w:t>
        </w:r>
      </w:hyperlink>
      <w:r>
        <w:rPr>
          <w:b/>
          <w:bCs/>
        </w:rPr>
        <w:t xml:space="preserve">.</w:t>
      </w:r>
      <w:r>
        <w:rPr>
          <w:b/>
          <w:bCs/>
        </w:rPr>
        <w:t xml:space="preserve"> </w:t>
      </w:r>
      <w:r>
        <w:rPr>
          <w:b/>
          <w:bCs/>
          <w:i/>
          <w:iCs/>
        </w:rPr>
        <w:t xml:space="preserve">The American Economic Review</w:t>
      </w:r>
      <w:r>
        <w:rPr>
          <w:b/>
          <w:bCs/>
        </w:rPr>
        <w:t xml:space="preserve">, 70(3), 312–326.</w:t>
      </w:r>
    </w:p>
    <w:p>
      <w:pPr>
        <w:pStyle w:val="BlockText"/>
      </w:pPr>
      <w:r>
        <w:rPr>
          <w:b/>
          <w:bCs/>
        </w:rPr>
        <w:t xml:space="preserve">Pergunta central:</w:t>
      </w:r>
      <w:r>
        <w:t xml:space="preserve"> </w:t>
      </w:r>
      <w:r>
        <w:t xml:space="preserve">Como estimar empiricamente um sistema completo de demanda do consumidor que seja consistente com a teoria microeconômica — satisfazendo homogeneidade, simetria de Slutsky e a restrição orçamentária — e ao mesmo tempo suficientemente flexível para capturar padrões reais de consumo?</w:t>
      </w:r>
    </w:p>
    <w:p>
      <w:pPr>
        <w:pStyle w:val="BlockText"/>
      </w:pPr>
      <w:r>
        <w:rPr>
          <w:b/>
          <w:bCs/>
        </w:rPr>
        <w:t xml:space="preserve">Método:</w:t>
      </w:r>
      <w:r>
        <w:t xml:space="preserve"> </w:t>
      </w:r>
      <w:r>
        <w:t xml:space="preserve">Deaton e Muellbauer derivaram o</w:t>
      </w:r>
      <w:r>
        <w:t xml:space="preserve"> </w:t>
      </w:r>
      <w:r>
        <w:rPr>
          <w:i/>
          <w:iCs/>
        </w:rPr>
        <w:t xml:space="preserve">Almost Ideal Demand System</w:t>
      </w:r>
      <w:r>
        <w:t xml:space="preserve"> </w:t>
      </w:r>
      <w:r>
        <w:t xml:space="preserve">(AIDS) a partir de uma forma funcional específica para a função dispêndio. O modelo expressa a parcela de gasto em cada bem como função log-linear dos preços e da renda real. A grande inovação foi que o sistema é derivado de uma função dispêndio bem comportada, garantindo automaticamente consistência com a teoria, e ao mesmo tempo possui uma forma linear nos parâmetros, facilitando a estimação econométrica.</w:t>
      </w:r>
    </w:p>
    <w:p>
      <w:pPr>
        <w:pStyle w:val="BlockText"/>
      </w:pPr>
      <w:r>
        <w:rPr>
          <w:b/>
          <w:bCs/>
        </w:rPr>
        <w:t xml:space="preserve">Resultado principal:</w:t>
      </w:r>
      <w:r>
        <w:t xml:space="preserve"> </w:t>
      </w:r>
      <w:r>
        <w:t xml:space="preserve">Usando dados de consumo britânicos (1954–1974), os autores estimaram elasticidades-preço e elasticidades-renda para grandes categorias de gastos (alimentação, habitação, vestuário, transporte, outros bens). Alimentos se mostraram um bem necessário (elasticidade-renda &lt; 1), enquanto transporte e bens duráveis se mostraram bens de luxo (elasticidade-renda &gt; 1). O modelo AIDS se tornou o padrão da literatura empírica de demanda.</w:t>
      </w:r>
    </w:p>
    <w:p>
      <w:pPr>
        <w:pStyle w:val="BlockText"/>
      </w:pPr>
      <w:r>
        <w:rPr>
          <w:b/>
          <w:bCs/>
        </w:rPr>
        <w:t xml:space="preserve">Por que isso importa:</w:t>
      </w:r>
      <w:r>
        <w:t xml:space="preserve"> </w:t>
      </w:r>
      <w:r>
        <w:t xml:space="preserve">O modelo AIDS é amplamente utilizado no Brasil para estimar sistemas de demanda a partir dos dados da POF. Pesquisadores do IPEA e de universidades brasileiras aplicam o AIDS para avaliar o impacto de políticas tributárias (como alterações no ICMS) e de programas sociais sobre o consumo das famílias por faixa de renda, conectando diretamente a teoria deste capítulo à avaliação de políticas públicas.</w:t>
      </w:r>
    </w:p>
    <w:p>
      <w:pPr>
        <w:pStyle w:val="BlockText"/>
      </w:pPr>
      <w:r>
        <w:rPr>
          <w:b/>
          <w:bCs/>
        </w:rPr>
        <w:t xml:space="preserve">Relevância para o capítulo:</w:t>
      </w:r>
      <w:r>
        <w:t xml:space="preserve"> </w:t>
      </w:r>
      <w:r>
        <w:t xml:space="preserve">O AIDS é construído diretamente sobre a função dispêndio (Seção 4.7) e o Lema de Shephard. As parcelas de gasto derivadas do modelo são exatamente as demandas hicksianas multiplicadas pelos preços e divididas pelo gasto total. Assim, o artigo demonstra que os conceitos de função dispêndio, demanda hicksiana e dualidade — que podem parecer abstrações teóricas — são a base de todo um programa de pesquisa empírica em economia do consumo.</w:t>
      </w:r>
    </w:p>
    <w:p>
      <w:pPr>
        <w:pStyle w:val="BlockText"/>
      </w:pPr>
      <w:r>
        <w:rPr>
          <w:b/>
          <w:bCs/>
        </w:rPr>
        <w:t xml:space="preserve">[PESQUISA EM ACAO] Hausman, J. A. (1981).</w:t>
      </w:r>
      <w:r>
        <w:rPr>
          <w:b/>
          <w:bCs/>
        </w:rPr>
        <w:t xml:space="preserve"> </w:t>
      </w:r>
      <w:hyperlink r:id="rId227">
        <w:r>
          <w:rPr>
            <w:rStyle w:val="Hyperlink"/>
            <w:b/>
            <w:bCs/>
          </w:rPr>
          <w:t xml:space="preserve">Exact Consumer’s Surplus and Deadweight Loss</w:t>
        </w:r>
      </w:hyperlink>
      <w:r>
        <w:rPr>
          <w:b/>
          <w:bCs/>
        </w:rPr>
        <w:t xml:space="preserve">.</w:t>
      </w:r>
      <w:r>
        <w:rPr>
          <w:b/>
          <w:bCs/>
        </w:rPr>
        <w:t xml:space="preserve"> </w:t>
      </w:r>
      <w:r>
        <w:rPr>
          <w:b/>
          <w:bCs/>
          <w:i/>
          <w:iCs/>
        </w:rPr>
        <w:t xml:space="preserve">American Economic Review</w:t>
      </w:r>
      <w:r>
        <w:rPr>
          <w:b/>
          <w:bCs/>
        </w:rPr>
        <w:t xml:space="preserve">, 71(4), 662–676.</w:t>
      </w:r>
    </w:p>
    <w:p>
      <w:pPr>
        <w:pStyle w:val="BlockText"/>
      </w:pPr>
      <w:r>
        <w:rPr>
          <w:b/>
          <w:bCs/>
        </w:rPr>
        <w:t xml:space="preserve">Pergunta central:</w:t>
      </w:r>
      <w:r>
        <w:t xml:space="preserve"> </w:t>
      </w:r>
      <w:r>
        <w:t xml:space="preserve">Como medir com precisão o excedente do consumidor e a perda de peso morto de uma mudança de preços, usando as funções de utilidade indireta e dispêndio da teoria do consumidor?</w:t>
      </w:r>
    </w:p>
    <w:p>
      <w:pPr>
        <w:pStyle w:val="BlockText"/>
      </w:pPr>
      <w:r>
        <w:rPr>
          <w:b/>
          <w:bCs/>
        </w:rPr>
        <w:t xml:space="preserve">Método:</w:t>
      </w:r>
      <w:r>
        <w:t xml:space="preserve"> </w:t>
      </w:r>
      <w:r>
        <w:t xml:space="preserve">Hausman parte das funções de demanda marshalliana estimadas econometricamente e, usando as identidades de dualidade, recupera a função de utilidade indireta</w:t>
      </w:r>
      <w:r>
        <w:t xml:space="preserve"> </w:t>
      </w:r>
      <m:oMath>
        <m:r>
          <m:t>V</m:t>
        </m:r>
        <m:r>
          <m:rPr>
            <m:sty m:val="p"/>
          </m:rPr>
          <m:t>(</m:t>
        </m:r>
        <m:r>
          <m:rPr>
            <m:sty m:val="bi"/>
          </m:rPr>
          <m:t>p</m:t>
        </m:r>
        <m:r>
          <m:rPr>
            <m:sty m:val="p"/>
          </m:rPr>
          <m:t>,</m:t>
        </m:r>
        <m:r>
          <m:t>I</m:t>
        </m:r>
        <m:r>
          <m:rPr>
            <m:sty m:val="p"/>
          </m:rPr>
          <m:t>)</m:t>
        </m:r>
      </m:oMath>
      <w:r>
        <w:t xml:space="preserve"> </w:t>
      </w:r>
      <w:r>
        <w:t xml:space="preserve">e a função dispêndio</w:t>
      </w:r>
      <w:r>
        <w:t xml:space="preserve"> </w:t>
      </w:r>
      <m:oMath>
        <m:r>
          <m:t>E</m:t>
        </m:r>
        <m:r>
          <m:rPr>
            <m:sty m:val="p"/>
          </m:rPr>
          <m:t>(</m:t>
        </m:r>
        <m:r>
          <m:rPr>
            <m:sty m:val="bi"/>
          </m:rPr>
          <m:t>p</m:t>
        </m:r>
        <m:r>
          <m:rPr>
            <m:sty m:val="p"/>
          </m:rPr>
          <m:t>,</m:t>
        </m:r>
        <m:acc>
          <m:accPr>
            <m:chr m:val="‾"/>
          </m:accPr>
          <m:e>
            <m:r>
              <m:t>u</m:t>
            </m:r>
          </m:e>
        </m:acc>
        <m:r>
          <m:rPr>
            <m:sty m:val="p"/>
          </m:rPr>
          <m:t>)</m:t>
        </m:r>
      </m:oMath>
      <w:r>
        <w:t xml:space="preserve">. A partir delas, calcula as variações compensatória e equivalente — medidas exatas de bem-estar — sem recorrer à aproximação triangular do excedente marshalliano. O método foi aplicado à introdução do telefone residencial nos EUA.</w:t>
      </w:r>
    </w:p>
    <w:p>
      <w:pPr>
        <w:pStyle w:val="BlockText"/>
      </w:pPr>
      <w:r>
        <w:rPr>
          <w:b/>
          <w:bCs/>
        </w:rPr>
        <w:t xml:space="preserve">Resultado principal:</w:t>
      </w:r>
      <w:r>
        <w:t xml:space="preserve"> </w:t>
      </w:r>
      <w:r>
        <w:t xml:space="preserve">A variação compensatória exata (calculada a partir de</w:t>
      </w:r>
      <w:r>
        <w:t xml:space="preserve"> </w:t>
      </w:r>
      <m:oMath>
        <m:r>
          <m:t>E</m:t>
        </m:r>
      </m:oMath>
      <w:r>
        <w:t xml:space="preserve">) pode diferir substancialmente da aproximação marshalliana. No caso do telefone, o ganho de bem-estar para consumidores foi estimado em USD 1,03 bilhão por ano — valor que a aproximação triangular subestimaria sistematicamente. A diferença é maior quando a elasticidade-renda da demanda é significativa.</w:t>
      </w:r>
    </w:p>
    <w:p>
      <w:pPr>
        <w:pStyle w:val="BlockText"/>
      </w:pPr>
      <w:r>
        <w:rPr>
          <w:b/>
          <w:bCs/>
        </w:rPr>
        <w:t xml:space="preserve">Por que isso importa:</w:t>
      </w:r>
      <w:r>
        <w:t xml:space="preserve"> </w:t>
      </w:r>
      <w:r>
        <w:t xml:space="preserve">O artigo demonstra que as funções</w:t>
      </w:r>
      <w:r>
        <w:t xml:space="preserve"> </w:t>
      </w:r>
      <m:oMath>
        <m:r>
          <m:t>V</m:t>
        </m:r>
      </m:oMath>
      <w:r>
        <w:t xml:space="preserve"> </w:t>
      </w:r>
      <w:r>
        <w:t xml:space="preserve">e</w:t>
      </w:r>
      <w:r>
        <w:t xml:space="preserve"> </w:t>
      </w:r>
      <m:oMath>
        <m:r>
          <m:t>E</m:t>
        </m:r>
      </m:oMath>
      <w:r>
        <w:t xml:space="preserve"> </w:t>
      </w:r>
      <w:r>
        <w:t xml:space="preserve">não são meras abstrações teóricas: elas são operacionalizáveis empiricamente e produzem medidas de bem-estar superiores às aproximações comuns. Para políticas públicas brasileiras — como avaliação do impacto de mudanças tarifárias em serviços de energia, saneamento ou transporte público —, o método de Hausman oferece uma estrutura rigorosa para calcular ganhos e perdas de bem-estar.</w:t>
      </w:r>
    </w:p>
    <w:p>
      <w:pPr>
        <w:pStyle w:val="BlockText"/>
      </w:pPr>
      <w:r>
        <w:rPr>
          <w:b/>
          <w:bCs/>
        </w:rPr>
        <w:t xml:space="preserve">Relevância para o capítulo:</w:t>
      </w:r>
      <w:r>
        <w:t xml:space="preserve"> </w:t>
      </w:r>
      <w:r>
        <w:t xml:space="preserve">O artigo conecta diretamente as Seções 4.4 (função</w:t>
      </w:r>
      <w:r>
        <w:t xml:space="preserve"> </w:t>
      </w:r>
      <m:oMath>
        <m:r>
          <m:t>V</m:t>
        </m:r>
      </m:oMath>
      <w:r>
        <w:t xml:space="preserve">), 4.5 (princípio do montante fixo) e 4.7 (função dispêndio</w:t>
      </w:r>
      <w:r>
        <w:t xml:space="preserve"> </w:t>
      </w:r>
      <m:oMath>
        <m:r>
          <m:t>E</m:t>
        </m:r>
      </m:oMath>
      <w:r>
        <w:t xml:space="preserve">). A variação compensatória é</w:t>
      </w:r>
      <w:r>
        <w:t xml:space="preserve"> </w:t>
      </w:r>
      <m:oMath>
        <m:r>
          <m:t>E</m:t>
        </m:r>
        <m:r>
          <m:rPr>
            <m:sty m:val="p"/>
          </m:rPr>
          <m:t>(</m:t>
        </m:r>
        <m:sSup>
          <m:e>
            <m:r>
              <m:rPr>
                <m:sty m:val="bi"/>
              </m:rPr>
              <m:t>p</m:t>
            </m:r>
          </m:e>
          <m:sup>
            <m:r>
              <m:t>1</m:t>
            </m:r>
          </m:sup>
        </m:sSup>
        <m:r>
          <m:rPr>
            <m:sty m:val="p"/>
          </m:rPr>
          <m:t>,</m:t>
        </m:r>
        <m:sSup>
          <m:e>
            <m:acc>
              <m:accPr>
                <m:chr m:val="‾"/>
              </m:accPr>
              <m:e>
                <m:r>
                  <m:t>u</m:t>
                </m:r>
              </m:e>
            </m:acc>
          </m:e>
          <m:sup>
            <m:r>
              <m:t>0</m:t>
            </m:r>
          </m:sup>
        </m:sSup>
        <m:r>
          <m:rPr>
            <m:sty m:val="p"/>
          </m:rPr>
          <m:t>)</m:t>
        </m:r>
        <m:r>
          <m:rPr>
            <m:sty m:val="p"/>
          </m:rPr>
          <m:t>−</m:t>
        </m:r>
        <m:r>
          <m:t>E</m:t>
        </m:r>
        <m:r>
          <m:rPr>
            <m:sty m:val="p"/>
          </m:rPr>
          <m:t>(</m:t>
        </m:r>
        <m:sSup>
          <m:e>
            <m:r>
              <m:rPr>
                <m:sty m:val="bi"/>
              </m:rPr>
              <m:t>p</m:t>
            </m:r>
          </m:e>
          <m:sup>
            <m:r>
              <m:t>0</m:t>
            </m:r>
          </m:sup>
        </m:sSup>
        <m:r>
          <m:rPr>
            <m:sty m:val="p"/>
          </m:rPr>
          <m:t>,</m:t>
        </m:r>
        <m:sSup>
          <m:e>
            <m:acc>
              <m:accPr>
                <m:chr m:val="‾"/>
              </m:accPr>
              <m:e>
                <m:r>
                  <m:t>u</m:t>
                </m:r>
              </m:e>
            </m:acc>
          </m:e>
          <m:sup>
            <m:r>
              <m:t>0</m:t>
            </m:r>
          </m:sup>
        </m:sSup>
        <m:r>
          <m:rPr>
            <m:sty m:val="p"/>
          </m:rPr>
          <m:t>)</m:t>
        </m:r>
      </m:oMath>
      <w:r>
        <w:t xml:space="preserve">: o quanto a mais o consumidor precisaria gastar ao nível de utilidade original para enfrentar os novos preços. Calcular isso com precisão exige conhecer</w:t>
      </w:r>
      <w:r>
        <w:t xml:space="preserve"> </w:t>
      </w:r>
      <m:oMath>
        <m:r>
          <m:t>E</m:t>
        </m:r>
      </m:oMath>
      <w:r>
        <w:t xml:space="preserve"> </w:t>
      </w:r>
      <w:r>
        <w:t xml:space="preserve">— e o artigo mostra como obtê-la a partir das demandas estimadas.</w:t>
      </w:r>
    </w:p>
    <w:p>
      <w:pPr>
        <w:pStyle w:val="BlockText"/>
      </w:pPr>
      <w:r>
        <w:rPr>
          <w:b/>
          <w:bCs/>
        </w:rPr>
        <w:t xml:space="preserve">[PESQUISA EM ACAO] Blundell, R.; Browning, M.; Crawford, I. (2003).</w:t>
      </w:r>
      <w:r>
        <w:rPr>
          <w:b/>
          <w:bCs/>
        </w:rPr>
        <w:t xml:space="preserve"> </w:t>
      </w:r>
      <w:hyperlink r:id="rId228">
        <w:r>
          <w:rPr>
            <w:rStyle w:val="Hyperlink"/>
            <w:b/>
            <w:bCs/>
          </w:rPr>
          <w:t xml:space="preserve">Nonparametric Engel Curves and Revealed Preference</w:t>
        </w:r>
      </w:hyperlink>
      <w:r>
        <w:rPr>
          <w:b/>
          <w:bCs/>
        </w:rPr>
        <w:t xml:space="preserve">.</w:t>
      </w:r>
      <w:r>
        <w:rPr>
          <w:b/>
          <w:bCs/>
        </w:rPr>
        <w:t xml:space="preserve"> </w:t>
      </w:r>
      <w:r>
        <w:rPr>
          <w:b/>
          <w:bCs/>
          <w:i/>
          <w:iCs/>
        </w:rPr>
        <w:t xml:space="preserve">Econometrica</w:t>
      </w:r>
      <w:r>
        <w:rPr>
          <w:b/>
          <w:bCs/>
        </w:rPr>
        <w:t xml:space="preserve">, 71(1), 205–240.</w:t>
      </w:r>
    </w:p>
    <w:p>
      <w:pPr>
        <w:pStyle w:val="BlockText"/>
      </w:pPr>
      <w:r>
        <w:rPr>
          <w:b/>
          <w:bCs/>
        </w:rPr>
        <w:t xml:space="preserve">Pergunta central:</w:t>
      </w:r>
      <w:r>
        <w:t xml:space="preserve"> </w:t>
      </w:r>
      <w:r>
        <w:t xml:space="preserve">As demandas marshallianas estimadas empiricamente são consistentes com a teoria do consumidor? É possível testar as restrições de racionalidade — homogeneidade, simetria, negatividade — sem impor formas funcionais paramétricas?</w:t>
      </w:r>
    </w:p>
    <w:p>
      <w:pPr>
        <w:pStyle w:val="BlockText"/>
      </w:pPr>
      <w:r>
        <w:rPr>
          <w:b/>
          <w:bCs/>
        </w:rPr>
        <w:t xml:space="preserve">Método:</w:t>
      </w:r>
      <w:r>
        <w:t xml:space="preserve"> </w:t>
      </w:r>
      <w:r>
        <w:t xml:space="preserve">Os autores desenvolvem testes não paramétricos baseados em preferências reveladas (expandindo o trabalho de Afriat, 1967) e aplicam a dados de orçamentos domiciliares britânicos (FES, 1974–1993). Estimam curvas de Engel — a relação entre renda e demanda por bem específico — de forma não paramétrica, e testam se os dados são consistentes com maximização de utilidade.</w:t>
      </w:r>
    </w:p>
    <w:p>
      <w:pPr>
        <w:pStyle w:val="BlockText"/>
      </w:pPr>
      <w:r>
        <w:rPr>
          <w:b/>
          <w:bCs/>
        </w:rPr>
        <w:t xml:space="preserve">Resultado principal:</w:t>
      </w:r>
      <w:r>
        <w:t xml:space="preserve"> </w:t>
      </w:r>
      <w:r>
        <w:t xml:space="preserve">Para a maioria dos grupos de bens (alimentação, vestuário, habitação), os dados são consistentes com a teoria. Contudo, a consistência depende do nível de agregação: demandas altamente desagregadas frequentemente violam as restrições de simetria. Isso sugere que a teoria do consumidor funciona bem como aproximação de comportamentos agregados, mas pode falhar para bens muito específicos.</w:t>
      </w:r>
    </w:p>
    <w:p>
      <w:pPr>
        <w:pStyle w:val="BlockText"/>
      </w:pPr>
      <w:r>
        <w:rPr>
          <w:b/>
          <w:bCs/>
        </w:rPr>
        <w:t xml:space="preserve">Por que isso importa:</w:t>
      </w:r>
      <w:r>
        <w:t xml:space="preserve"> </w:t>
      </w:r>
      <w:r>
        <w:t xml:space="preserve">No Brasil, a POF (Pesquisa de Orçamentos Familiares) do IBGE contém dados análogos e tem sido usada para estimar curvas de Engel e sistemas de demanda para diferentes regiões e estratos de renda. Os testes de Blundell et al. fornecem uma metodologia para avaliar se as famílias brasileiras se comportam de forma consistente com a teoria da maximização da utilidade — questão relevante para a validade dos modelos de política pública.</w:t>
      </w:r>
    </w:p>
    <w:p>
      <w:pPr>
        <w:pStyle w:val="BlockText"/>
      </w:pPr>
      <w:r>
        <w:rPr>
          <w:b/>
          <w:bCs/>
        </w:rPr>
        <w:t xml:space="preserve">Relevância para o capítulo:</w:t>
      </w:r>
      <w:r>
        <w:t xml:space="preserve"> </w:t>
      </w:r>
      <w:r>
        <w:t xml:space="preserve">As curvas de Engel são as funções de demanda marshalliana</w:t>
      </w:r>
      <w:r>
        <w:t xml:space="preserve"> </w:t>
      </w:r>
      <m:oMath>
        <m:sSub>
          <m:e>
            <m:r>
              <m:t>x</m:t>
            </m:r>
          </m:e>
          <m:sub>
            <m:r>
              <m:t>i</m:t>
            </m:r>
          </m:sub>
        </m:sSub>
        <m:r>
          <m:rPr>
            <m:sty m:val="p"/>
          </m:rPr>
          <m:t>(</m:t>
        </m:r>
        <m:r>
          <m:rPr>
            <m:sty m:val="bi"/>
          </m:rPr>
          <m:t>p</m:t>
        </m:r>
        <m:r>
          <m:rPr>
            <m:sty m:val="p"/>
          </m:rPr>
          <m:t>,</m:t>
        </m:r>
        <m:r>
          <m:t>I</m:t>
        </m:r>
        <m:r>
          <m:rPr>
            <m:sty m:val="p"/>
          </m:rPr>
          <m:t>)</m:t>
        </m:r>
      </m:oMath>
      <w:r>
        <w:t xml:space="preserve"> </w:t>
      </w:r>
      <w:r>
        <w:t xml:space="preserve">vistas como funções de</w:t>
      </w:r>
      <w:r>
        <w:t xml:space="preserve"> </w:t>
      </w:r>
      <m:oMath>
        <m:r>
          <m:t>I</m:t>
        </m:r>
      </m:oMath>
      <w:r>
        <w:t xml:space="preserve"> </w:t>
      </w:r>
      <w:r>
        <w:t xml:space="preserve">para preços fixos (Seção 4.3). O artigo mostra que estimar demandas marshallianas e testá-las contra a teoria não é apenas um exercício acadêmico — é fundamental para validar os modelos usados em avaliação de políticas, como os que embasam reformas tributárias e programas de transferência de renda.</w:t>
      </w:r>
    </w:p>
    <w:p>
      <w:pPr>
        <w:pStyle w:val="BlockText"/>
      </w:pPr>
      <w:r>
        <w:rPr>
          <w:b/>
          <w:bCs/>
        </w:rPr>
        <w:t xml:space="preserve">[PESQUISA EM ACAO] Banks, J.; Blundell, R.; Lewbel, A. (1997).</w:t>
      </w:r>
      <w:r>
        <w:rPr>
          <w:b/>
          <w:bCs/>
        </w:rPr>
        <w:t xml:space="preserve"> </w:t>
      </w:r>
      <w:hyperlink r:id="rId229">
        <w:r>
          <w:rPr>
            <w:rStyle w:val="Hyperlink"/>
            <w:b/>
            <w:bCs/>
          </w:rPr>
          <w:t xml:space="preserve">Quadratic Engel Curves and Consumer Demand</w:t>
        </w:r>
      </w:hyperlink>
      <w:r>
        <w:rPr>
          <w:b/>
          <w:bCs/>
        </w:rPr>
        <w:t xml:space="preserve">.</w:t>
      </w:r>
      <w:r>
        <w:rPr>
          <w:b/>
          <w:bCs/>
        </w:rPr>
        <w:t xml:space="preserve"> </w:t>
      </w:r>
      <w:r>
        <w:rPr>
          <w:b/>
          <w:bCs/>
          <w:i/>
          <w:iCs/>
        </w:rPr>
        <w:t xml:space="preserve">Review of Economics and Statistics</w:t>
      </w:r>
      <w:r>
        <w:rPr>
          <w:b/>
          <w:bCs/>
        </w:rPr>
        <w:t xml:space="preserve">, 79(4), 527–539.</w:t>
      </w:r>
    </w:p>
    <w:p>
      <w:pPr>
        <w:pStyle w:val="BlockText"/>
      </w:pPr>
      <w:r>
        <w:rPr>
          <w:b/>
          <w:bCs/>
        </w:rPr>
        <w:t xml:space="preserve">Pergunta central:</w:t>
      </w:r>
      <w:r>
        <w:t xml:space="preserve"> </w:t>
      </w:r>
      <w:r>
        <w:t xml:space="preserve">O sistema AIDS de Deaton e Muellbauer (1980) é suficientemente flexível para capturar padrões de demanda observados nos dados, ou as curvas de Engel reais exigem uma especificação mais rica?</w:t>
      </w:r>
    </w:p>
    <w:p>
      <w:pPr>
        <w:pStyle w:val="BlockText"/>
      </w:pPr>
      <w:r>
        <w:rPr>
          <w:b/>
          <w:bCs/>
        </w:rPr>
        <w:t xml:space="preserve">Método:</w:t>
      </w:r>
      <w:r>
        <w:t xml:space="preserve"> </w:t>
      </w:r>
      <w:r>
        <w:t xml:space="preserve">Banks, Blundell e Lewbel derivam o sistema QUAIDS (</w:t>
      </w:r>
      <w:r>
        <w:rPr>
          <w:i/>
          <w:iCs/>
        </w:rPr>
        <w:t xml:space="preserve">Quadratic Almost Ideal Demand System</w:t>
      </w:r>
      <w:r>
        <w:t xml:space="preserve">), que adiciona um termo quadrático em</w:t>
      </w:r>
      <w:r>
        <w:t xml:space="preserve"> </w:t>
      </w:r>
      <m:oMath>
        <m:r>
          <m:rPr>
            <m:sty m:val="p"/>
          </m:rPr>
          <m:t>ln</m:t>
        </m:r>
        <m:r>
          <m:rPr>
            <m:sty m:val="p"/>
          </m:rPr>
          <m:t>(</m:t>
        </m:r>
        <m:r>
          <m:t>I</m:t>
        </m:r>
        <m:r>
          <m:rPr>
            <m:sty m:val="p"/>
          </m:rPr>
          <m:t>/</m:t>
        </m:r>
        <m:r>
          <m:t>P</m:t>
        </m:r>
        <m:r>
          <m:rPr>
            <m:sty m:val="p"/>
          </m:rPr>
          <m:t>)</m:t>
        </m:r>
      </m:oMath>
      <w:r>
        <w:t xml:space="preserve"> </w:t>
      </w:r>
      <w:r>
        <w:t xml:space="preserve">ao AIDS. O QUAIDS é derivado de uma função dispêndio de segunda ordem — análoga ao AIDS, mas com um nível a mais de flexibilidade. Os autores estimam o sistema com dados britânicos e testam se o termo quadrático é estatisticamente significativo.</w:t>
      </w:r>
    </w:p>
    <w:p>
      <w:pPr>
        <w:pStyle w:val="BlockText"/>
      </w:pPr>
      <w:r>
        <w:rPr>
          <w:b/>
          <w:bCs/>
        </w:rPr>
        <w:t xml:space="preserve">Resultado principal:</w:t>
      </w:r>
      <w:r>
        <w:t xml:space="preserve"> </w:t>
      </w:r>
      <w:r>
        <w:t xml:space="preserve">O termo quadrático é altamente significativo para a maioria dos grupos de bens: as curvas de Engel são não-lineares, com bens que são necessidades a baixas rendas e luxos a rendas mais altas. Isso implica que a elasticidade-renda varia ao longo da distribuição de renda — um resultado crucial para políticas redistributivas.</w:t>
      </w:r>
    </w:p>
    <w:p>
      <w:pPr>
        <w:pStyle w:val="BlockText"/>
      </w:pPr>
      <w:r>
        <w:rPr>
          <w:b/>
          <w:bCs/>
        </w:rPr>
        <w:t xml:space="preserve">Por que isso importa:</w:t>
      </w:r>
      <w:r>
        <w:t xml:space="preserve"> </w:t>
      </w:r>
      <w:r>
        <w:t xml:space="preserve">Para o Brasil, onde a distribuição de renda é altamente desigual, a não-linearidade das curvas de Engel implica que o impacto de políticas (como o Bolsa Família) depende criticamente de onde na distribuição de renda estão os beneficiários. Modelos lineares simples podem subestimar ou superestimar os efeitos sobre o bem-estar.</w:t>
      </w:r>
    </w:p>
    <w:p>
      <w:pPr>
        <w:pStyle w:val="BlockText"/>
      </w:pPr>
      <w:r>
        <w:rPr>
          <w:b/>
          <w:bCs/>
        </w:rPr>
        <w:t xml:space="preserve">Relevância para o capítulo:</w:t>
      </w:r>
      <w:r>
        <w:t xml:space="preserve"> </w:t>
      </w:r>
      <w:r>
        <w:t xml:space="preserve">O QUAIDS estende diretamente a estrutura de dualidade deste capítulo (Seção 4.8): a função dispêndio QUAIDS é mais rica do que a do AIDS, gerando demandas hicksianas com maior flexibilidade. O artigo ilustra como o Lema de Shephard (Seção 4.7) é o elo entre a forma funcional escolhida para a função dispêndio e as demandas estimadas empiricamente.</w:t>
      </w:r>
    </w:p>
    <w:p>
      <w:r>
        <w:pict>
          <v:rect style="width:0;height:1.5pt" o:hralign="center" o:hrstd="t" o:hr="t"/>
        </w:pict>
      </w:r>
    </w:p>
    <w:bookmarkStart w:id="233" w:name="referências-do-capítulo-2"/>
    <w:p>
      <w:pPr>
        <w:pStyle w:val="Heading3"/>
      </w:pPr>
      <w:r>
        <w:t xml:space="preserve">Referências do Capítulo</w:t>
      </w:r>
    </w:p>
    <w:p>
      <w:pPr>
        <w:pStyle w:val="Compact"/>
        <w:numPr>
          <w:ilvl w:val="0"/>
          <w:numId w:val="1189"/>
        </w:numPr>
      </w:pPr>
      <w:r>
        <w:t xml:space="preserve">Attanasio, Orazio, Erich Battistin, e Alice Mesnard. 2012.</w:t>
      </w:r>
      <w:r>
        <w:t xml:space="preserve"> </w:t>
      </w:r>
      <w:r>
        <w:t xml:space="preserve">“</w:t>
      </w:r>
      <w:hyperlink r:id="rId225">
        <w:r>
          <w:rPr>
            <w:rStyle w:val="Hyperlink"/>
          </w:rPr>
          <w:t xml:space="preserve">Food and Cash Transfers: Evidence from Colombia.</w:t>
        </w:r>
      </w:hyperlink>
      <w:r>
        <w:t xml:space="preserve">”</w:t>
      </w:r>
      <w:r>
        <w:t xml:space="preserve"> </w:t>
      </w:r>
      <w:r>
        <w:rPr>
          <w:i/>
          <w:iCs/>
        </w:rPr>
        <w:t xml:space="preserve">The Economic Journal</w:t>
      </w:r>
      <w:r>
        <w:t xml:space="preserve"> </w:t>
      </w:r>
      <w:r>
        <w:t xml:space="preserve">122 (559): 92–124.</w:t>
      </w:r>
    </w:p>
    <w:p>
      <w:pPr>
        <w:pStyle w:val="Compact"/>
        <w:numPr>
          <w:ilvl w:val="0"/>
          <w:numId w:val="1189"/>
        </w:numPr>
      </w:pPr>
      <w:r>
        <w:t xml:space="preserve">Banks, James, Richard Blundell, e Arthur Lewbel. 1997.</w:t>
      </w:r>
      <w:r>
        <w:t xml:space="preserve"> </w:t>
      </w:r>
      <w:r>
        <w:t xml:space="preserve">“</w:t>
      </w:r>
      <w:hyperlink r:id="rId229">
        <w:r>
          <w:rPr>
            <w:rStyle w:val="Hyperlink"/>
          </w:rPr>
          <w:t xml:space="preserve">Quadratic Engel Curves and Consumer Demand.</w:t>
        </w:r>
      </w:hyperlink>
      <w:r>
        <w:t xml:space="preserve">”</w:t>
      </w:r>
      <w:r>
        <w:t xml:space="preserve"> </w:t>
      </w:r>
      <w:r>
        <w:rPr>
          <w:i/>
          <w:iCs/>
        </w:rPr>
        <w:t xml:space="preserve">Review of Economics and Statistics</w:t>
      </w:r>
      <w:r>
        <w:t xml:space="preserve"> </w:t>
      </w:r>
      <w:r>
        <w:t xml:space="preserve">79 (4): 527–539.</w:t>
      </w:r>
    </w:p>
    <w:p>
      <w:pPr>
        <w:pStyle w:val="Compact"/>
        <w:numPr>
          <w:ilvl w:val="0"/>
          <w:numId w:val="1189"/>
        </w:numPr>
      </w:pPr>
      <w:r>
        <w:t xml:space="preserve">Blundell, Richard, Martin Browning, e Ian Crawford. 2003.</w:t>
      </w:r>
      <w:r>
        <w:t xml:space="preserve"> </w:t>
      </w:r>
      <w:r>
        <w:t xml:space="preserve">“</w:t>
      </w:r>
      <w:hyperlink r:id="rId228">
        <w:r>
          <w:rPr>
            <w:rStyle w:val="Hyperlink"/>
          </w:rPr>
          <w:t xml:space="preserve">Nonparametric Engel Curves and Revealed Preference.</w:t>
        </w:r>
      </w:hyperlink>
      <w:r>
        <w:t xml:space="preserve">”</w:t>
      </w:r>
      <w:r>
        <w:t xml:space="preserve"> </w:t>
      </w:r>
      <w:r>
        <w:rPr>
          <w:i/>
          <w:iCs/>
        </w:rPr>
        <w:t xml:space="preserve">Econometrica</w:t>
      </w:r>
      <w:r>
        <w:t xml:space="preserve"> </w:t>
      </w:r>
      <w:r>
        <w:t xml:space="preserve">71 (1): 205–240.</w:t>
      </w:r>
    </w:p>
    <w:p>
      <w:pPr>
        <w:pStyle w:val="Compact"/>
        <w:numPr>
          <w:ilvl w:val="0"/>
          <w:numId w:val="1189"/>
        </w:numPr>
      </w:pPr>
      <w:r>
        <w:t xml:space="preserve">Deaton, Angus, e John Muellbauer. 1980.</w:t>
      </w:r>
      <w:r>
        <w:t xml:space="preserve"> </w:t>
      </w:r>
      <w:r>
        <w:t xml:space="preserve">“</w:t>
      </w:r>
      <w:hyperlink r:id="rId226">
        <w:r>
          <w:rPr>
            <w:rStyle w:val="Hyperlink"/>
          </w:rPr>
          <w:t xml:space="preserve">An Almost Ideal Demand System.</w:t>
        </w:r>
      </w:hyperlink>
      <w:r>
        <w:t xml:space="preserve">”</w:t>
      </w:r>
      <w:r>
        <w:t xml:space="preserve"> </w:t>
      </w:r>
      <w:r>
        <w:rPr>
          <w:i/>
          <w:iCs/>
        </w:rPr>
        <w:t xml:space="preserve">The American Economic Review</w:t>
      </w:r>
      <w:r>
        <w:t xml:space="preserve"> </w:t>
      </w:r>
      <w:r>
        <w:t xml:space="preserve">70 (3): 312–326.</w:t>
      </w:r>
    </w:p>
    <w:p>
      <w:pPr>
        <w:pStyle w:val="Compact"/>
        <w:numPr>
          <w:ilvl w:val="0"/>
          <w:numId w:val="1189"/>
        </w:numPr>
      </w:pPr>
      <w:r>
        <w:t xml:space="preserve">Hausman, Jerry A. 1981.</w:t>
      </w:r>
      <w:r>
        <w:t xml:space="preserve"> </w:t>
      </w:r>
      <w:r>
        <w:t xml:space="preserve">“</w:t>
      </w:r>
      <w:hyperlink r:id="rId227">
        <w:r>
          <w:rPr>
            <w:rStyle w:val="Hyperlink"/>
          </w:rPr>
          <w:t xml:space="preserve">Exact Consumer’s Surplus and Deadweight Loss.</w:t>
        </w:r>
      </w:hyperlink>
      <w:r>
        <w:t xml:space="preserve">”</w:t>
      </w:r>
      <w:r>
        <w:t xml:space="preserve"> </w:t>
      </w:r>
      <w:r>
        <w:rPr>
          <w:i/>
          <w:iCs/>
        </w:rPr>
        <w:t xml:space="preserve">American Economic Review</w:t>
      </w:r>
      <w:r>
        <w:t xml:space="preserve"> </w:t>
      </w:r>
      <w:r>
        <w:t xml:space="preserve">71 (4): 662–676.</w:t>
      </w:r>
    </w:p>
    <w:p>
      <w:pPr>
        <w:pStyle w:val="Compact"/>
        <w:numPr>
          <w:ilvl w:val="0"/>
          <w:numId w:val="1189"/>
        </w:numPr>
      </w:pPr>
      <w:r>
        <w:t xml:space="preserve">Mas-Colell, Andreu, Michael D. Whinston, e Jerry R. Green. 1995.</w:t>
      </w:r>
      <w:r>
        <w:t xml:space="preserve"> </w:t>
      </w:r>
      <w:hyperlink r:id="rId70">
        <w:r>
          <w:rPr>
            <w:rStyle w:val="Hyperlink"/>
            <w:i/>
            <w:iCs/>
          </w:rPr>
          <w:t xml:space="preserve">Microeconomic Theory</w:t>
        </w:r>
      </w:hyperlink>
      <w:r>
        <w:t xml:space="preserve">. New York: Oxford University Press. Capítulos 2–3.</w:t>
      </w:r>
    </w:p>
    <w:p>
      <w:pPr>
        <w:pStyle w:val="Compact"/>
        <w:numPr>
          <w:ilvl w:val="0"/>
          <w:numId w:val="1189"/>
        </w:numPr>
      </w:pPr>
      <w:r>
        <w:t xml:space="preserve">Nicholson, Walter, e Christopher M. Snyder. 2017.</w:t>
      </w:r>
      <w:r>
        <w:t xml:space="preserve"> </w:t>
      </w:r>
      <w:hyperlink r:id="rId71">
        <w:r>
          <w:rPr>
            <w:rStyle w:val="Hyperlink"/>
            <w:i/>
            <w:iCs/>
          </w:rPr>
          <w:t xml:space="preserve">Microeconomic Theory</w:t>
        </w:r>
      </w:hyperlink>
      <w:r>
        <w:t xml:space="preserve">. 12ª ed. Boston: Cengage Learning. Capítulo 4.</w:t>
      </w:r>
    </w:p>
    <w:p>
      <w:pPr>
        <w:pStyle w:val="Compact"/>
        <w:numPr>
          <w:ilvl w:val="0"/>
          <w:numId w:val="1189"/>
        </w:numPr>
      </w:pPr>
      <w:r>
        <w:t xml:space="preserve">Perloff, Jeffrey M. 2017.</w:t>
      </w:r>
      <w:r>
        <w:t xml:space="preserve"> </w:t>
      </w:r>
      <w:hyperlink r:id="rId230">
        <w:r>
          <w:rPr>
            <w:rStyle w:val="Hyperlink"/>
            <w:i/>
            <w:iCs/>
          </w:rPr>
          <w:t xml:space="preserve">Microeconomics: Theory and Applications with Calculus</w:t>
        </w:r>
      </w:hyperlink>
      <w:r>
        <w:t xml:space="preserve">. 4ª ed. Boston: Pearson. Capítulos 3–5.</w:t>
      </w:r>
    </w:p>
    <w:p>
      <w:pPr>
        <w:pStyle w:val="Compact"/>
        <w:numPr>
          <w:ilvl w:val="0"/>
          <w:numId w:val="1189"/>
        </w:numPr>
      </w:pPr>
      <w:r>
        <w:t xml:space="preserve">Resende, Aline Cristine Côrtes, e Ana Maria Hermeto Camilo de Oliveira. 2008.</w:t>
      </w:r>
      <w:r>
        <w:t xml:space="preserve"> </w:t>
      </w:r>
      <w:r>
        <w:t xml:space="preserve">“</w:t>
      </w:r>
      <w:hyperlink r:id="rId231">
        <w:r>
          <w:rPr>
            <w:rStyle w:val="Hyperlink"/>
          </w:rPr>
          <w:t xml:space="preserve">Avaliando resultados de um programa de transferência de renda: o impacto do Bolsa-Escola sobre os gastos das famílias brasileiras.</w:t>
        </w:r>
      </w:hyperlink>
      <w:r>
        <w:t xml:space="preserve">”</w:t>
      </w:r>
      <w:r>
        <w:t xml:space="preserve"> </w:t>
      </w:r>
      <w:r>
        <w:rPr>
          <w:i/>
          <w:iCs/>
        </w:rPr>
        <w:t xml:space="preserve">Estudos Econômicos</w:t>
      </w:r>
      <w:r>
        <w:t xml:space="preserve"> </w:t>
      </w:r>
      <w:r>
        <w:t xml:space="preserve">38 (2): 235–265.</w:t>
      </w:r>
    </w:p>
    <w:p>
      <w:pPr>
        <w:pStyle w:val="Compact"/>
        <w:numPr>
          <w:ilvl w:val="0"/>
          <w:numId w:val="1189"/>
        </w:numPr>
      </w:pPr>
      <w:r>
        <w:t xml:space="preserve">Soares, Fábio Veras, e Natália Sátyro. 2009.</w:t>
      </w:r>
      <w:r>
        <w:t xml:space="preserve"> </w:t>
      </w:r>
      <w:hyperlink r:id="rId232">
        <w:r>
          <w:rPr>
            <w:rStyle w:val="Hyperlink"/>
            <w:i/>
            <w:iCs/>
          </w:rPr>
          <w:t xml:space="preserve">O Programa Bolsa Família: desenho institucional, impactos e possibilidades futuras</w:t>
        </w:r>
      </w:hyperlink>
      <w:r>
        <w:t xml:space="preserve">. Texto para Discussão IPEA, n. 1424. Brasília: IPEA.</w:t>
      </w:r>
    </w:p>
    <w:p>
      <w:pPr>
        <w:pStyle w:val="Compact"/>
        <w:numPr>
          <w:ilvl w:val="0"/>
          <w:numId w:val="1189"/>
        </w:numPr>
      </w:pPr>
      <w:r>
        <w:t xml:space="preserve">Varian, Hal R. 2015.</w:t>
      </w:r>
      <w:r>
        <w:t xml:space="preserve"> </w:t>
      </w:r>
      <w:hyperlink r:id="rId74">
        <w:r>
          <w:rPr>
            <w:rStyle w:val="Hyperlink"/>
            <w:i/>
            <w:iCs/>
          </w:rPr>
          <w:t xml:space="preserve">Microeconomia</w:t>
        </w:r>
      </w:hyperlink>
      <w:r>
        <w:t xml:space="preserve">. 9ª ed. Rio de Janeiro: Elsevier. Capítulos 5–7.</w:t>
      </w:r>
    </w:p>
    <w:bookmarkEnd w:id="233"/>
    <w:bookmarkEnd w:id="234"/>
    <w:bookmarkEnd w:id="235"/>
    <w:bookmarkStart w:id="285" w:name="capítulo-5-slutsky-no-supermercado"/>
    <w:p>
      <w:pPr>
        <w:sectPr>
          <w:footnotePr>
            <w:numRestart w:val="eachSect"/>
          </w:footnotePr>
        </w:sectPr>
      </w:pPr>
    </w:p>
    <w:p>
      <w:pPr>
        <w:pStyle w:val="Heading1"/>
      </w:pPr>
      <w:r>
        <w:t xml:space="preserve">Capítulo 5 — Slutsky no Supermercado</w:t>
      </w:r>
    </w:p>
    <w:p>
      <w:pPr>
        <w:pStyle w:val="FirstParagraph"/>
      </w:pPr>
      <w:r>
        <w:t xml:space="preserve">No Capítulo 4, o consumidor resolveu o problema: dada a renda e os preços, encontrou a cesta ótima. Fim da história? Nem perto. A vida é feita de</w:t>
      </w:r>
      <w:r>
        <w:t xml:space="preserve"> </w:t>
      </w:r>
      <w:r>
        <w:rPr>
          <w:i/>
          <w:iCs/>
        </w:rPr>
        <w:t xml:space="preserve">mudanças</w:t>
      </w:r>
      <w:r>
        <w:t xml:space="preserve"> </w:t>
      </w:r>
      <w:r>
        <w:t xml:space="preserve">— o preço da gasolina sobe, o salário cai, o governo cria um imposto. O que acontece com as escolhas do consumidor?</w:t>
      </w:r>
      <w:r>
        <w:t xml:space="preserve"> </w:t>
      </w:r>
      <w:r>
        <w:rPr>
          <w:i/>
          <w:iCs/>
        </w:rPr>
        <w:t xml:space="preserve">Esse</w:t>
      </w:r>
      <w:r>
        <w:t xml:space="preserve"> </w:t>
      </w:r>
      <w:r>
        <w:t xml:space="preserve">é o capítulo em que a teoria realmente começa a morder: por que a curva de demanda desce, como separar o efeito</w:t>
      </w:r>
      <w:r>
        <w:t xml:space="preserve"> </w:t>
      </w:r>
      <w:r>
        <w:t xml:space="preserve">“ficou mais caro”</w:t>
      </w:r>
      <w:r>
        <w:t xml:space="preserve"> </w:t>
      </w:r>
      <w:r>
        <w:t xml:space="preserve">do efeito</w:t>
      </w:r>
      <w:r>
        <w:t xml:space="preserve"> </w:t>
      </w:r>
      <w:r>
        <w:t xml:space="preserve">“fiquei mais pobre”</w:t>
      </w:r>
      <w:r>
        <w:t xml:space="preserve">, e como medir em reais quanto o consumidor perdeu com um aumento de preço.</w:t>
      </w:r>
    </w:p>
    <w:p>
      <w:pPr>
        <w:pStyle w:val="BodyText"/>
      </w:pPr>
      <w:r>
        <w:t xml:space="preserve">A equação central deste capítulo — a Equação de Slutsky — deve seu nome ao economista ucraniano Eugen Slutsky (1880–1948), que a publicou em 1915 no artigo</w:t>
      </w:r>
      <w:r>
        <w:t xml:space="preserve"> </w:t>
      </w:r>
      <w:r>
        <w:t xml:space="preserve">“Sulla teoria del bilancio del consumatore”</w:t>
      </w:r>
      <w:r>
        <w:t xml:space="preserve">, em italiano. O trabalho permaneceu praticamente ignorado até ser redescoberto por John Hicks e R. G. D. Allen nos anos 1930, tornando-se então peça fundamental da microeconomia moderna. A estrutura do capítulo reflete essa trajetória: partimos das propriedades estáticas das funções de demanda (Seção 5.1), passamos pelas respostas a variações de renda (5.2) e preço (5.3), chegamos à formalização pela Equação de Slutsky (5.4) e suas implicações em termos de elasticidades (5.7), medidas de bem-estar (5.8) e preferência revelada (5.9). Cada seção constrói sobre a anterior, formando uma cadeia lógica que conecta intuição econômica, formalismo matemático e aplicações empíricas ao contexto brasileiro.</w:t>
      </w:r>
    </w:p>
    <w:p>
      <w:pPr>
        <w:pStyle w:val="BlockText"/>
      </w:pPr>
      <w:r>
        <w:rPr>
          <w:b/>
          <w:bCs/>
        </w:rPr>
        <w:t xml:space="preserve">[RESUMO] 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rPr>
                <w:b/>
                <w:bCs/>
              </w:rPr>
              <w:t xml:space="preserve">5.1–5.2</w:t>
            </w:r>
          </w:p>
        </w:tc>
        <w:tc>
          <w:tcPr/>
          <w:p>
            <w:pPr>
              <w:pStyle w:val="Compact"/>
            </w:pPr>
            <w:r>
              <w:t xml:space="preserve">Quais propriedades a demanda tem? E como a renda a afeta?</w:t>
            </w:r>
          </w:p>
        </w:tc>
        <w:tc>
          <w:tcPr/>
          <w:p>
            <w:pPr>
              <w:pStyle w:val="Compact"/>
            </w:pPr>
            <w:r>
              <w:t xml:space="preserve">Homogeneidade, Lei de Walras, curvas de Engel, bens normais vs. inferiores</w:t>
            </w:r>
          </w:p>
        </w:tc>
        <w:tc>
          <w:tcPr/>
          <w:p>
            <w:pPr>
              <w:pStyle w:val="Compact"/>
              <w:jc w:val="center"/>
            </w:pPr>
            <w:r>
              <w:t xml:space="preserve">Propriedades</w:t>
            </w:r>
          </w:p>
        </w:tc>
      </w:tr>
      <w:tr>
        <w:tc>
          <w:tcPr/>
          <w:p>
            <w:pPr>
              <w:pStyle w:val="Compact"/>
              <w:jc w:val="center"/>
            </w:pPr>
            <w:r>
              <w:rPr>
                <w:b/>
                <w:bCs/>
              </w:rPr>
              <w:t xml:space="preserve">5.3–5.6</w:t>
            </w:r>
          </w:p>
        </w:tc>
        <w:tc>
          <w:tcPr/>
          <w:p>
            <w:pPr>
              <w:pStyle w:val="Compact"/>
            </w:pPr>
            <w:r>
              <w:t xml:space="preserve">O que acontece quando o preço muda?</w:t>
            </w:r>
          </w:p>
        </w:tc>
        <w:tc>
          <w:tcPr/>
          <w:p>
            <w:pPr>
              <w:pStyle w:val="Compact"/>
            </w:pPr>
            <w:r>
              <w:t xml:space="preserve">Decomposição de Hicks/Slutsky, Equação de Slutsky, bens de Giffen, marshalliana vs. hicksiana</w:t>
            </w:r>
          </w:p>
        </w:tc>
        <w:tc>
          <w:tcPr/>
          <w:p>
            <w:pPr>
              <w:pStyle w:val="Compact"/>
              <w:jc w:val="center"/>
            </w:pPr>
            <w:r>
              <w:t xml:space="preserve">Slutsky</w:t>
            </w:r>
          </w:p>
        </w:tc>
      </w:tr>
      <w:tr>
        <w:tc>
          <w:tcPr/>
          <w:p>
            <w:pPr>
              <w:pStyle w:val="Compact"/>
              <w:jc w:val="center"/>
            </w:pPr>
            <w:r>
              <w:rPr>
                <w:b/>
                <w:bCs/>
              </w:rPr>
              <w:t xml:space="preserve">5.7</w:t>
            </w:r>
          </w:p>
        </w:tc>
        <w:tc>
          <w:tcPr/>
          <w:p>
            <w:pPr>
              <w:pStyle w:val="Compact"/>
            </w:pPr>
            <w:r>
              <w:t xml:space="preserve">Como medir a sensibilidade da demanda?</w:t>
            </w:r>
          </w:p>
        </w:tc>
        <w:tc>
          <w:tcPr/>
          <w:p>
            <w:pPr>
              <w:pStyle w:val="Compact"/>
            </w:pPr>
            <w:r>
              <w:t xml:space="preserve">Elasticidades preço, renda, cruzada; agregação de Engel e Cournot</w:t>
            </w:r>
          </w:p>
        </w:tc>
        <w:tc>
          <w:tcPr/>
          <w:p>
            <w:pPr>
              <w:pStyle w:val="Compact"/>
              <w:jc w:val="center"/>
            </w:pPr>
            <w:r>
              <w:t xml:space="preserve">Elasticidades</w:t>
            </w:r>
          </w:p>
        </w:tc>
      </w:tr>
      <w:tr>
        <w:tc>
          <w:tcPr/>
          <w:p>
            <w:pPr>
              <w:pStyle w:val="Compact"/>
              <w:jc w:val="center"/>
            </w:pPr>
            <w:r>
              <w:rPr>
                <w:b/>
                <w:bCs/>
              </w:rPr>
              <w:t xml:space="preserve">5.8–5.9</w:t>
            </w:r>
          </w:p>
        </w:tc>
        <w:tc>
          <w:tcPr/>
          <w:p>
            <w:pPr>
              <w:pStyle w:val="Compact"/>
            </w:pPr>
            <w:r>
              <w:t xml:space="preserve">Quanto o consumidor perde com um aumento de preço?</w:t>
            </w:r>
          </w:p>
        </w:tc>
        <w:tc>
          <w:tcPr/>
          <w:p>
            <w:pPr>
              <w:pStyle w:val="Compact"/>
            </w:pPr>
            <w:r>
              <w:t xml:space="preserve">EC, VC, VE, preferência revelada</w:t>
            </w:r>
          </w:p>
        </w:tc>
        <w:tc>
          <w:tcPr/>
          <w:p>
            <w:pPr>
              <w:pStyle w:val="Compact"/>
              <w:jc w:val="center"/>
            </w:pPr>
            <w:r>
              <w:t xml:space="preserve">Excedente</w:t>
            </w:r>
          </w:p>
        </w:tc>
      </w:tr>
      <w:tr>
        <w:tc>
          <w:tcPr/>
          <w:p>
            <w:pPr>
              <w:pStyle w:val="Compact"/>
              <w:jc w:val="center"/>
            </w:pPr>
            <w:r>
              <w:rPr>
                <w:b/>
                <w:bCs/>
              </w:rPr>
              <w:t xml:space="preserve">Exercícios</w:t>
            </w:r>
          </w:p>
        </w:tc>
        <w:tc>
          <w:tcPr/>
          <w:p>
            <w:pPr>
              <w:pStyle w:val="Compact"/>
            </w:pPr>
            <w:r>
              <w:t xml:space="preserve">Teste e aplique</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fronteira diz?</w:t>
            </w:r>
          </w:p>
        </w:tc>
        <w:tc>
          <w:tcPr/>
          <w:p>
            <w:pPr>
              <w:pStyle w:val="Compact"/>
            </w:pPr>
            <w:r>
              <w:t xml:space="preserve">Artigos seminais com dados reais</w:t>
            </w:r>
          </w:p>
        </w:tc>
        <w:tc>
          <w:tcPr/>
          <w:p>
            <w:pPr>
              <w:pStyle w:val="Compact"/>
              <w:jc w:val="center"/>
            </w:pPr>
            <w:r>
              <w:t xml:space="preserve">Pesquisa</w:t>
            </w:r>
          </w:p>
        </w:tc>
      </w:tr>
    </w:tbl>
    <w:bookmarkStart w:id="241" w:name="funções-de-demanda-e-variações-na-renda"/>
    <w:p>
      <w:pPr>
        <w:pStyle w:val="Heading2"/>
      </w:pPr>
      <w:r>
        <w:t xml:space="preserve">5.1–5.2 Funções de Demanda e Variações na Renda</w:t>
      </w:r>
    </w:p>
    <w:bookmarkStart w:id="236" w:name="Xf815fb90c20eca7cccef9bd20ecf5f1bac44c53"/>
    <w:p>
      <w:pPr>
        <w:pStyle w:val="Heading3"/>
      </w:pPr>
      <w:r>
        <w:t xml:space="preserve">5.1 O Que Entra no Carrinho? Funções de Demanda e Suas Propriedades</w:t>
      </w:r>
    </w:p>
    <w:p>
      <w:pPr>
        <w:pStyle w:val="FirstParagraph"/>
      </w:pPr>
      <w:r>
        <w:t xml:space="preserve">Antes de perturbar o sistema, vale conferir o que a solução ótima do Capítulo 4 nos garante. As funções de demanda que emergem da otimização não são funções quaisquer — elas obedecem a três propriedades que refletem a lógica da racionalidade. Violar qualquer uma delas seria como encontrar um rio que flui morro acima: possível em teoria, mas forte evidência de que algo está errado no modelo.</w:t>
      </w:r>
    </w:p>
    <w:p>
      <w:pPr>
        <w:pStyle w:val="BodyText"/>
      </w:pPr>
      <w:r>
        <w:t xml:space="preserve">O problema de maximização de utilidade do consumidor gera as</w:t>
      </w:r>
      <w:r>
        <w:t xml:space="preserve"> </w:t>
      </w:r>
      <w:r>
        <w:rPr>
          <w:b/>
          <w:bCs/>
        </w:rPr>
        <w:t xml:space="preserve">funções de demanda marshalliana</w:t>
      </w:r>
      <w:r>
        <w:t xml:space="preserve"> </w:t>
      </w:r>
      <w:r>
        <w:t xml:space="preserve">(ou não-compensada):</w:t>
      </w:r>
    </w:p>
    <w:p>
      <w:pPr>
        <w:pStyle w:val="BodyText"/>
      </w:pPr>
      <m:oMathPara>
        <m:oMathParaPr>
          <m:jc m:val="center"/>
        </m:oMathParaPr>
        <m:oMath>
          <m:sSubSup>
            <m:e>
              <m:r>
                <m:t>x</m:t>
              </m:r>
            </m:e>
            <m:sub>
              <m:r>
                <m:t>i</m:t>
              </m:r>
            </m:sub>
            <m:sup>
              <m:r>
                <m:rPr>
                  <m:sty m:val="p"/>
                </m:rPr>
                <m:t>*</m:t>
              </m:r>
            </m:sup>
          </m:sSubSup>
          <m:r>
            <m:rPr>
              <m:sty m:val="p"/>
            </m:rPr>
            <m:t>=</m:t>
          </m:r>
          <m:sSub>
            <m:e>
              <m:r>
                <m:t>x</m:t>
              </m:r>
            </m:e>
            <m:sub>
              <m:r>
                <m:t>i</m:t>
              </m:r>
            </m:sub>
          </m:sSub>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r>
            <m:rPr>
              <m:sty m:val="p"/>
            </m:rPr>
            <m:t>,</m:t>
          </m:r>
          <m:r>
            <m:t>I</m:t>
          </m:r>
          <m:r>
            <m:rPr>
              <m:sty m:val="p"/>
            </m:rPr>
            <m:t>)</m:t>
          </m:r>
          <m:r>
            <m:rPr>
              <m:sty m:val="p"/>
            </m:rPr>
            <m:t>,</m:t>
          </m:r>
          <m:r>
            <m:t> </m:t>
          </m:r>
          <m:r>
            <m:t>i</m:t>
          </m:r>
          <m:r>
            <m:rPr>
              <m:sty m:val="p"/>
            </m:rPr>
            <m:t>=</m:t>
          </m:r>
          <m:r>
            <m:t>1</m:t>
          </m:r>
          <m:r>
            <m:rPr>
              <m:sty m:val="p"/>
            </m:rPr>
            <m:t>,</m:t>
          </m:r>
          <m:r>
            <m:rPr>
              <m:sty m:val="p"/>
            </m:rPr>
            <m:t>…</m:t>
          </m:r>
          <m:r>
            <m:rPr>
              <m:sty m:val="p"/>
            </m:rPr>
            <m:t>,</m:t>
          </m:r>
          <m:r>
            <m:t>n</m:t>
          </m:r>
        </m:oMath>
      </m:oMathPara>
    </w:p>
    <w:p>
      <w:pPr>
        <w:pStyle w:val="FirstParagraph"/>
      </w:pPr>
      <w:r>
        <w:t xml:space="preserve">que expressam a quantidade ótima de cada bem como função dos preços e da renda.</w:t>
      </w:r>
    </w:p>
    <w:p>
      <w:pPr>
        <w:pStyle w:val="BlockText"/>
      </w:pPr>
      <w:r>
        <w:rPr>
          <w:b/>
          <w:bCs/>
        </w:rPr>
        <w:t xml:space="preserve">[DEFINICAO] Funções de demanda marshalliana</w:t>
      </w:r>
    </w:p>
    <w:p>
      <w:pPr>
        <w:pStyle w:val="BlockText"/>
      </w:pPr>
      <w:r>
        <w:t xml:space="preserve">As funções</w:t>
      </w:r>
      <w:r>
        <w:t xml:space="preserve"> </w:t>
      </w:r>
      <m:oMath>
        <m:sSubSup>
          <m:e>
            <m:r>
              <m:t>x</m:t>
            </m:r>
          </m:e>
          <m:sub>
            <m:r>
              <m:t>i</m:t>
            </m:r>
          </m:sub>
          <m:sup>
            <m:r>
              <m:rPr>
                <m:sty m:val="p"/>
              </m:rPr>
              <m:t>*</m:t>
            </m:r>
          </m:sup>
        </m:sSubSup>
        <m:r>
          <m:rPr>
            <m:sty m:val="p"/>
          </m:rPr>
          <m:t>(</m:t>
        </m:r>
        <m:sSub>
          <m:e>
            <m:r>
              <m:t>p</m:t>
            </m:r>
          </m:e>
          <m:sub>
            <m:r>
              <m:t>1</m:t>
            </m:r>
          </m:sub>
        </m:sSub>
        <m:r>
          <m:rPr>
            <m:sty m:val="p"/>
          </m:rPr>
          <m:t>,</m:t>
        </m:r>
        <m:r>
          <m:rPr>
            <m:sty m:val="p"/>
          </m:rPr>
          <m:t>…</m:t>
        </m:r>
        <m:r>
          <m:rPr>
            <m:sty m:val="p"/>
          </m:rPr>
          <m:t>,</m:t>
        </m:r>
        <m:sSub>
          <m:e>
            <m:r>
              <m:t>p</m:t>
            </m:r>
          </m:e>
          <m:sub>
            <m:r>
              <m:t>n</m:t>
            </m:r>
          </m:sub>
        </m:sSub>
        <m:r>
          <m:rPr>
            <m:sty m:val="p"/>
          </m:rPr>
          <m:t>,</m:t>
        </m:r>
        <m:r>
          <m:t>I</m:t>
        </m:r>
        <m:r>
          <m:rPr>
            <m:sty m:val="p"/>
          </m:rPr>
          <m:t>)</m:t>
        </m:r>
      </m:oMath>
      <w:r>
        <w:t xml:space="preserve"> </w:t>
      </w:r>
      <w:r>
        <w:t xml:space="preserve">são as soluções do problema:</w:t>
      </w:r>
    </w:p>
    <w:p>
      <w:pPr>
        <w:pStyle w:val="BlockText"/>
      </w:pPr>
      <w:r>
        <w:t xml:space="preserve">$$</w:t>
      </w:r>
    </w:p>
    <w:p>
      <w:pPr>
        <w:pStyle w:val="BlockText"/>
      </w:pPr>
      <w:r>
        <w:rPr>
          <w:i/>
          <w:iCs/>
        </w:rPr>
        <w:t xml:space="preserve">{</w:t>
      </w:r>
      <w:r>
        <w:rPr>
          <w:i/>
          <w:iCs/>
        </w:rPr>
        <w:t xml:space="preserve">} ; U(</w:t>
      </w:r>
      <w:r>
        <w:rPr>
          <w:i/>
          <w:iCs/>
        </w:rPr>
        <w:t xml:space="preserve">)</w:t>
      </w:r>
      <w:r>
        <w:rPr>
          <w:i/>
          <w:iCs/>
        </w:rPr>
        <w:t xml:space="preserve"> </w:t>
      </w:r>
      <w:r>
        <w:rPr>
          <w:i/>
          <w:iCs/>
        </w:rPr>
        <w:t xml:space="preserve"> </w:t>
      </w:r>
      <w:r>
        <w:t xml:space="preserve">{j=1}^n p_j x_j</w:t>
      </w:r>
      <w:r>
        <w:t xml:space="preserve"> </w:t>
      </w:r>
      <w:r>
        <w:t xml:space="preserve">I</w:t>
      </w:r>
    </w:p>
    <w:p>
      <w:pPr>
        <w:pStyle w:val="BlockText"/>
      </w:pPr>
      <w:r>
        <w:t xml:space="preserve">$$</w:t>
      </w:r>
    </w:p>
    <w:p>
      <w:pPr>
        <w:pStyle w:val="BlockText"/>
      </w:pPr>
      <w:r>
        <w:t xml:space="preserve">Essas funções possuem três propriedades fundamentais:</w:t>
      </w:r>
    </w:p>
    <w:p>
      <w:pPr>
        <w:pStyle w:val="Compact"/>
        <w:numPr>
          <w:ilvl w:val="0"/>
          <w:numId w:val="1190"/>
        </w:numPr>
      </w:pPr>
      <w:r>
        <w:rPr>
          <w:b/>
          <w:bCs/>
        </w:rPr>
        <w:t xml:space="preserve">Homogeneidade de grau zero</w:t>
      </w:r>
      <w:r>
        <w:t xml:space="preserve">:</w:t>
      </w:r>
      <w:r>
        <w:t xml:space="preserve"> </w:t>
      </w:r>
      <m:oMath>
        <m:sSub>
          <m:e>
            <m:r>
              <m:t>x</m:t>
            </m:r>
          </m:e>
          <m:sub>
            <m:r>
              <m:t>i</m:t>
            </m:r>
          </m:sub>
        </m:sSub>
        <m:r>
          <m:rPr>
            <m:sty m:val="p"/>
          </m:rPr>
          <m:t>(</m:t>
        </m:r>
        <m:r>
          <m:t>α</m:t>
        </m:r>
        <m:sSub>
          <m:e>
            <m:r>
              <m:t>p</m:t>
            </m:r>
          </m:e>
          <m:sub>
            <m:r>
              <m:t>1</m:t>
            </m:r>
          </m:sub>
        </m:sSub>
        <m:r>
          <m:rPr>
            <m:sty m:val="p"/>
          </m:rPr>
          <m:t>,</m:t>
        </m:r>
        <m:r>
          <m:rPr>
            <m:sty m:val="p"/>
          </m:rPr>
          <m:t>…</m:t>
        </m:r>
        <m:r>
          <m:rPr>
            <m:sty m:val="p"/>
          </m:rPr>
          <m:t>,</m:t>
        </m:r>
        <m:r>
          <m:t>α</m:t>
        </m:r>
        <m:sSub>
          <m:e>
            <m:r>
              <m:t>p</m:t>
            </m:r>
          </m:e>
          <m:sub>
            <m:r>
              <m:t>n</m:t>
            </m:r>
          </m:sub>
        </m:sSub>
        <m:r>
          <m:rPr>
            <m:sty m:val="p"/>
          </m:rPr>
          <m:t>,</m:t>
        </m:r>
        <m:r>
          <m:t>α</m:t>
        </m:r>
        <m:r>
          <m:t>I</m:t>
        </m:r>
        <m:r>
          <m:rPr>
            <m:sty m:val="p"/>
          </m:rPr>
          <m:t>)</m:t>
        </m:r>
        <m:r>
          <m:rPr>
            <m:sty m:val="p"/>
          </m:rPr>
          <m:t>=</m:t>
        </m:r>
        <m:sSub>
          <m:e>
            <m:r>
              <m:t>x</m:t>
            </m:r>
          </m:e>
          <m:sub>
            <m:r>
              <m:t>i</m:t>
            </m:r>
          </m:sub>
        </m:sSub>
        <m:r>
          <m:rPr>
            <m:sty m:val="p"/>
          </m:rPr>
          <m:t>(</m:t>
        </m:r>
        <m:sSub>
          <m:e>
            <m:r>
              <m:t>p</m:t>
            </m:r>
          </m:e>
          <m:sub>
            <m:r>
              <m:t>1</m:t>
            </m:r>
          </m:sub>
        </m:sSub>
        <m:r>
          <m:rPr>
            <m:sty m:val="p"/>
          </m:rPr>
          <m:t>,</m:t>
        </m:r>
        <m:r>
          <m:rPr>
            <m:sty m:val="p"/>
          </m:rPr>
          <m:t>…</m:t>
        </m:r>
        <m:r>
          <m:rPr>
            <m:sty m:val="p"/>
          </m:rPr>
          <m:t>,</m:t>
        </m:r>
        <m:sSub>
          <m:e>
            <m:r>
              <m:t>p</m:t>
            </m:r>
          </m:e>
          <m:sub>
            <m:r>
              <m:t>n</m:t>
            </m:r>
          </m:sub>
        </m:sSub>
        <m:r>
          <m:rPr>
            <m:sty m:val="p"/>
          </m:rPr>
          <m:t>,</m:t>
        </m:r>
        <m:r>
          <m:t>I</m:t>
        </m:r>
        <m:r>
          <m:rPr>
            <m:sty m:val="p"/>
          </m:rPr>
          <m:t>)</m:t>
        </m:r>
      </m:oMath>
      <w:r>
        <w:t xml:space="preserve"> </w:t>
      </w:r>
      <w:r>
        <w:t xml:space="preserve">para todo</w:t>
      </w:r>
      <w:r>
        <w:t xml:space="preserve"> </w:t>
      </w:r>
      <m:oMath>
        <m:r>
          <m:t>α</m:t>
        </m:r>
        <m:r>
          <m:rPr>
            <m:sty m:val="p"/>
          </m:rPr>
          <m:t>&gt;</m:t>
        </m:r>
        <m:r>
          <m:t>0</m:t>
        </m:r>
      </m:oMath>
      <w:r>
        <w:t xml:space="preserve">.</w:t>
      </w:r>
    </w:p>
    <w:p>
      <w:pPr>
        <w:pStyle w:val="Compact"/>
        <w:numPr>
          <w:ilvl w:val="0"/>
          <w:numId w:val="1190"/>
        </w:numPr>
      </w:pPr>
      <w:r>
        <w:rPr>
          <w:b/>
          <w:bCs/>
        </w:rPr>
        <w:t xml:space="preserve">Esgotamento da renda</w:t>
      </w:r>
      <w:r>
        <w:t xml:space="preserve"> </w:t>
      </w:r>
      <w:r>
        <w:t xml:space="preserve">(Lei de Walras):</w:t>
      </w:r>
      <w:r>
        <w:t xml:space="preserve"> </w:t>
      </w:r>
      <m:oMath>
        <m:nary>
          <m:naryPr>
            <m:chr m:val="∑"/>
            <m:limLoc m:val="undOvr"/>
            <m:subHide m:val="off"/>
            <m:supHide m:val="off"/>
          </m:naryPr>
          <m:sub>
            <m:r>
              <m:t>j</m:t>
            </m:r>
            <m:r>
              <m:rPr>
                <m:sty m:val="p"/>
              </m:rPr>
              <m:t>=</m:t>
            </m:r>
            <m:r>
              <m:t>1</m:t>
            </m:r>
          </m:sub>
          <m:sup>
            <m:r>
              <m:t>n</m:t>
            </m:r>
          </m:sup>
          <m:e>
            <m:sSub>
              <m:e>
                <m:r>
                  <m:t>p</m:t>
                </m:r>
              </m:e>
              <m:sub>
                <m:r>
                  <m:t>j</m:t>
                </m:r>
              </m:sub>
            </m:sSub>
          </m:e>
        </m:nary>
        <m:sSubSup>
          <m:e>
            <m:r>
              <m:t>x</m:t>
            </m:r>
          </m:e>
          <m:sub>
            <m:r>
              <m:t>j</m:t>
            </m:r>
          </m:sub>
          <m:sup>
            <m:r>
              <m:rPr>
                <m:sty m:val="p"/>
              </m:rPr>
              <m:t>*</m:t>
            </m:r>
          </m:sup>
        </m:sSubSup>
        <m:r>
          <m:rPr>
            <m:sty m:val="p"/>
          </m:rPr>
          <m:t>=</m:t>
        </m:r>
        <m:r>
          <m:t>I</m:t>
        </m:r>
      </m:oMath>
      <w:r>
        <w:t xml:space="preserve">.</w:t>
      </w:r>
    </w:p>
    <w:p>
      <w:pPr>
        <w:pStyle w:val="Compact"/>
        <w:numPr>
          <w:ilvl w:val="0"/>
          <w:numId w:val="1190"/>
        </w:numPr>
      </w:pPr>
      <w:r>
        <w:rPr>
          <w:b/>
          <w:bCs/>
        </w:rPr>
        <w:t xml:space="preserve">Negatividade do efeito substituição próprio</w:t>
      </w:r>
      <w:r>
        <w:t xml:space="preserve"> </w:t>
      </w:r>
      <w:r>
        <w:t xml:space="preserve">(consequência da Equação de Slutsky, que veremos adiante).</w:t>
      </w:r>
    </w:p>
    <w:p>
      <w:pPr>
        <w:pStyle w:val="FirstParagraph"/>
      </w:pPr>
      <w:r>
        <w:t xml:space="preserve">A propriedade de homogeneidade de grau zero expressa a ausência de</w:t>
      </w:r>
      <w:r>
        <w:t xml:space="preserve"> </w:t>
      </w:r>
      <w:r>
        <w:rPr>
          <w:b/>
          <w:bCs/>
        </w:rPr>
        <w:t xml:space="preserve">ilusão monetária</w:t>
      </w:r>
      <w:r>
        <w:t xml:space="preserve">: se todos os preços e a renda dobrarem simultaneamente, a cesta ótima permanece inalterada, pois o conjunto orçamentário não se modifica. Em outras palavras, o consumidor racional responde a preços</w:t>
      </w:r>
      <w:r>
        <w:t xml:space="preserve"> </w:t>
      </w:r>
      <w:r>
        <w:rPr>
          <w:i/>
          <w:iCs/>
        </w:rPr>
        <w:t xml:space="preserve">relativos</w:t>
      </w:r>
      <w:r>
        <w:t xml:space="preserve">, não a valores nominais — um resultado que, embora intuitivo, tem implicações profundas para a neutralidade da moeda em modelos macroeconômicos.</w:t>
      </w:r>
    </w:p>
    <w:p>
      <w:pPr>
        <w:pStyle w:val="BodyText"/>
      </w:pPr>
      <w:r>
        <w:t xml:space="preserve">A Lei de Walras, por sua vez, tem um significado econômico preciso: com preferências monótonas (mais é sempre preferível a menos), o consumidor jamais deixa renda ociosa — toda a renda é gasta. Formalmente, isso implica que as funções de demanda formam um sistema interdependente: se conhecemos a demanda por</w:t>
      </w:r>
      <w:r>
        <w:t xml:space="preserve"> </w:t>
      </w:r>
      <m:oMath>
        <m:r>
          <m:t>n</m:t>
        </m:r>
        <m:r>
          <m:rPr>
            <m:sty m:val="p"/>
          </m:rPr>
          <m:t>−</m:t>
        </m:r>
        <m:r>
          <m:t>1</m:t>
        </m:r>
      </m:oMath>
      <w:r>
        <w:t xml:space="preserve"> </w:t>
      </w:r>
      <w:r>
        <w:t xml:space="preserve">bens e a renda, a demanda pelo</w:t>
      </w:r>
      <w:r>
        <w:t xml:space="preserve"> </w:t>
      </w:r>
      <m:oMath>
        <m:r>
          <m:t>n</m:t>
        </m:r>
      </m:oMath>
      <w:r>
        <w:t xml:space="preserve">-ésimo bem está determinada. Essa interdependência tem consequência direta nas relações de elasticidade que estudaremos na Seção 5.7 — em particular, na Agregação de Engel e na condição de homogeneidade, que são versões em elasticidades das propriedades aqui enunciadas. Do mesmo modo, a propriedade de negatividade do efeito substituição, que formalizaremos na Seção 5.4, é consequência da concavidade da função dispêndio derivada no Capítulo 4 — reforçando que as propriedades das funções de demanda são reflexos das hipóteses sobre preferências, não axiomas independentes.</w:t>
      </w:r>
    </w:p>
    <w:p>
      <w:r>
        <w:pict>
          <v:rect style="width:0;height:1.5pt" o:hralign="center" o:hrstd="t" o:hr="t"/>
        </w:pict>
      </w:r>
    </w:p>
    <w:bookmarkEnd w:id="236"/>
    <w:bookmarkStart w:id="240" w:name="Xf9c0b1e4e666c87b81c8edef5f185edcc26d944"/>
    <w:p>
      <w:pPr>
        <w:pStyle w:val="Heading3"/>
      </w:pPr>
      <w:r>
        <w:t xml:space="preserve">5.2 Ficou Rico ou Ficou Pobre? Variações na Renda</w:t>
      </w:r>
    </w:p>
    <w:p>
      <w:pPr>
        <w:pStyle w:val="FirstParagraph"/>
      </w:pPr>
      <w:r>
        <w:t xml:space="preserve">Primeira perturbação: o consumidor ficou mais rico (ou mais pobre). O que ele faz com a renda extra? Compra mais de tudo, ou abandona alguns itens e se joga em outros? A resposta depende do</w:t>
      </w:r>
      <w:r>
        <w:t xml:space="preserve"> </w:t>
      </w:r>
      <w:r>
        <w:rPr>
          <w:i/>
          <w:iCs/>
        </w:rPr>
        <w:t xml:space="preserve">tipo</w:t>
      </w:r>
      <w:r>
        <w:t xml:space="preserve"> </w:t>
      </w:r>
      <w:r>
        <w:t xml:space="preserve">de bem — e aqui a teoria ganha seu vocabulário mais intuitivo: bens normais, bens inferiores, bens de luxo. As Pesquisas de Orçamentos Familiares (POF) do IBGE, realizadas a cada cinco anos, oferecem precisamente o tipo de variação de renda necessária para traçar empiricamente as curvas de Engel: ao observar famílias em diferentes faixas de renda, podemos inferir como o consumo de cada bem responde ao enriquecimento.</w:t>
      </w:r>
    </w:p>
    <w:bookmarkStart w:id="237" w:name="X71b78f542d7fa9aaeb69463c89efed130eb385d"/>
    <w:p>
      <w:pPr>
        <w:pStyle w:val="Heading4"/>
      </w:pPr>
      <w:r>
        <w:t xml:space="preserve">5.2.1 Caminho de expansão da renda e curva de Engel</w:t>
      </w:r>
    </w:p>
    <w:p>
      <w:pPr>
        <w:pStyle w:val="FirstParagraph"/>
      </w:pPr>
      <w:r>
        <w:t xml:space="preserve">Mantendo os preços</w:t>
      </w:r>
      <w:r>
        <w:t xml:space="preserve"> </w:t>
      </w:r>
      <m:oMath>
        <m:sSub>
          <m:e>
            <m:r>
              <m:t>p</m:t>
            </m:r>
          </m:e>
          <m:sub>
            <m:r>
              <m:t>1</m:t>
            </m:r>
          </m:sub>
        </m:sSub>
      </m:oMath>
      <w:r>
        <w:t xml:space="preserve"> </w:t>
      </w:r>
      <w:r>
        <w:t xml:space="preserve">e</w:t>
      </w:r>
      <w:r>
        <w:t xml:space="preserve"> </w:t>
      </w:r>
      <m:oMath>
        <m:sSub>
          <m:e>
            <m:r>
              <m:t>p</m:t>
            </m:r>
          </m:e>
          <m:sub>
            <m:r>
              <m:t>2</m:t>
            </m:r>
          </m:sub>
        </m:sSub>
      </m:oMath>
      <w:r>
        <w:t xml:space="preserve"> </w:t>
      </w:r>
      <w:r>
        <w:t xml:space="preserve">fixos e variando a renda</w:t>
      </w:r>
      <w:r>
        <w:t xml:space="preserve"> </w:t>
      </w:r>
      <m:oMath>
        <m:r>
          <m:t>I</m:t>
        </m:r>
      </m:oMath>
      <w:r>
        <w:t xml:space="preserve">, o conjunto de cestas ótimas traça o</w:t>
      </w:r>
      <w:r>
        <w:t xml:space="preserve"> </w:t>
      </w:r>
      <w:r>
        <w:rPr>
          <w:b/>
          <w:bCs/>
        </w:rPr>
        <w:t xml:space="preserve">caminho de expansão da renda</w:t>
      </w:r>
      <w:r>
        <w:t xml:space="preserve"> </w:t>
      </w:r>
      <w:r>
        <w:t xml:space="preserve">no espaço de bens. A projeção desse caminho em um único bem gera a</w:t>
      </w:r>
      <w:r>
        <w:t xml:space="preserve"> </w:t>
      </w:r>
      <w:r>
        <w:rPr>
          <w:b/>
          <w:bCs/>
        </w:rPr>
        <w:t xml:space="preserve">curva de Engel</w:t>
      </w:r>
      <w:r>
        <w:t xml:space="preserve">, que relaciona a renda à quantidade demandada. Essa ferramenta, batizada em homenagem ao estatístico alemão Ernst Engel (1821–1896), permite visualizar como o consumo de cada bem responde ao enriquecimento ou empobrecimento do consumidor.</w:t>
      </w:r>
    </w:p>
    <w:p>
      <w:pPr>
        <w:pStyle w:val="BlockText"/>
      </w:pPr>
      <w:r>
        <w:rPr>
          <w:b/>
          <w:bCs/>
        </w:rPr>
        <w:t xml:space="preserve">[DEFINICAO] Curva de Engel</w:t>
      </w:r>
    </w:p>
    <w:p>
      <w:pPr>
        <w:pStyle w:val="BlockText"/>
      </w:pPr>
      <w:r>
        <w:t xml:space="preserve">A</w:t>
      </w:r>
      <w:r>
        <w:t xml:space="preserve"> </w:t>
      </w:r>
      <w:r>
        <w:rPr>
          <w:b/>
          <w:bCs/>
        </w:rPr>
        <w:t xml:space="preserve">curva de Engel</w:t>
      </w:r>
      <w:r>
        <w:t xml:space="preserve"> </w:t>
      </w:r>
      <w:r>
        <w:t xml:space="preserve">para o bem</w:t>
      </w:r>
      <w:r>
        <w:t xml:space="preserve"> </w:t>
      </w:r>
      <m:oMath>
        <m:r>
          <m:t>i</m:t>
        </m:r>
      </m:oMath>
      <w:r>
        <w:t xml:space="preserve"> </w:t>
      </w:r>
      <w:r>
        <w:t xml:space="preserve">é a função</w:t>
      </w:r>
      <w:r>
        <w:t xml:space="preserve"> </w:t>
      </w:r>
      <m:oMath>
        <m:sSubSup>
          <m:e>
            <m:r>
              <m:t>x</m:t>
            </m:r>
          </m:e>
          <m:sub>
            <m:r>
              <m:t>i</m:t>
            </m:r>
          </m:sub>
          <m:sup>
            <m:r>
              <m:rPr>
                <m:sty m:val="p"/>
              </m:rPr>
              <m:t>*</m:t>
            </m:r>
          </m:sup>
        </m:sSubSup>
        <m:r>
          <m:rPr>
            <m:sty m:val="p"/>
          </m:rPr>
          <m:t>(</m:t>
        </m:r>
        <m:r>
          <m:t>I</m:t>
        </m:r>
        <m:r>
          <m:rPr>
            <m:sty m:val="p"/>
          </m:rPr>
          <m:t>)</m:t>
        </m:r>
      </m:oMath>
      <w:r>
        <w:t xml:space="preserve"> </w:t>
      </w:r>
      <w:r>
        <w:t xml:space="preserve">obtida fixando-se todos os preços e variando apenas a renda. Formalmente, é o gráfico do mapeamento</w:t>
      </w:r>
      <w:r>
        <w:t xml:space="preserve"> </w:t>
      </w:r>
      <m:oMath>
        <m:r>
          <m:t>I</m:t>
        </m:r>
        <m:r>
          <m:rPr>
            <m:sty m:val="p"/>
          </m:rPr>
          <m:t>↦</m:t>
        </m:r>
        <m:sSubSup>
          <m:e>
            <m:r>
              <m:t>x</m:t>
            </m:r>
          </m:e>
          <m:sub>
            <m:r>
              <m:t>i</m:t>
            </m:r>
          </m:sub>
          <m:sup>
            <m:r>
              <m:rPr>
                <m:sty m:val="p"/>
              </m:rPr>
              <m:t>*</m:t>
            </m:r>
          </m:sup>
        </m:sSubSup>
        <m:r>
          <m:rPr>
            <m:sty m:val="p"/>
          </m:rPr>
          <m:t>(</m:t>
        </m:r>
        <m:sSub>
          <m:e>
            <m:r>
              <m:t>p</m:t>
            </m:r>
          </m:e>
          <m:sub>
            <m:r>
              <m:t>1</m:t>
            </m:r>
          </m:sub>
        </m:sSub>
        <m:r>
          <m:rPr>
            <m:sty m:val="p"/>
          </m:rPr>
          <m:t>,</m:t>
        </m:r>
        <m:r>
          <m:rPr>
            <m:sty m:val="p"/>
          </m:rPr>
          <m:t>…</m:t>
        </m:r>
        <m:r>
          <m:rPr>
            <m:sty m:val="p"/>
          </m:rPr>
          <m:t>,</m:t>
        </m:r>
        <m:sSub>
          <m:e>
            <m:r>
              <m:t>p</m:t>
            </m:r>
          </m:e>
          <m:sub>
            <m:r>
              <m:t>n</m:t>
            </m:r>
          </m:sub>
        </m:sSub>
        <m:r>
          <m:rPr>
            <m:sty m:val="p"/>
          </m:rPr>
          <m:t>,</m:t>
        </m:r>
        <m:r>
          <m:t>I</m:t>
        </m:r>
        <m:r>
          <m:rPr>
            <m:sty m:val="p"/>
          </m:rPr>
          <m:t>)</m:t>
        </m:r>
      </m:oMath>
      <w:r>
        <w:t xml:space="preserve">.</w:t>
      </w:r>
    </w:p>
    <w:p>
      <w:pPr>
        <w:pStyle w:val="BlockText"/>
      </w:pPr>
      <w:r>
        <w:rPr>
          <w:b/>
          <w:bCs/>
        </w:rPr>
        <w:t xml:space="preserve">[TEOREMA] Proposição — Curvas de Engel para preferências homotéticas</w:t>
      </w:r>
    </w:p>
    <w:p>
      <w:pPr>
        <w:pStyle w:val="BlockText"/>
      </w:pPr>
      <w:r>
        <w:t xml:space="preserve">Se as preferências são</w:t>
      </w:r>
      <w:r>
        <w:t xml:space="preserve"> </w:t>
      </w:r>
      <w:r>
        <w:rPr>
          <w:b/>
          <w:bCs/>
        </w:rPr>
        <w:t xml:space="preserve">homotéticas</w:t>
      </w:r>
      <w:r>
        <w:t xml:space="preserve"> </w:t>
      </w:r>
      <w:r>
        <w:t xml:space="preserve">(Cap. 3, §3.6.6), então:</w:t>
      </w:r>
    </w:p>
    <w:p>
      <w:pPr>
        <w:pStyle w:val="Compact"/>
        <w:numPr>
          <w:ilvl w:val="0"/>
          <w:numId w:val="1191"/>
        </w:numPr>
      </w:pPr>
      <w:r>
        <w:t xml:space="preserve">O caminho de expansão da renda é uma</w:t>
      </w:r>
      <w:r>
        <w:t xml:space="preserve"> </w:t>
      </w:r>
      <w:r>
        <w:rPr>
          <w:b/>
          <w:bCs/>
        </w:rPr>
        <w:t xml:space="preserve">reta passando pela origem</w:t>
      </w:r>
      <w:r>
        <w:t xml:space="preserve">.</w:t>
      </w:r>
    </w:p>
    <w:p>
      <w:pPr>
        <w:pStyle w:val="Compact"/>
        <w:numPr>
          <w:ilvl w:val="0"/>
          <w:numId w:val="1191"/>
        </w:numPr>
      </w:pPr>
      <w:r>
        <w:t xml:space="preserve">As curvas de Engel são</w:t>
      </w:r>
      <w:r>
        <w:t xml:space="preserve"> </w:t>
      </w:r>
      <w:r>
        <w:rPr>
          <w:b/>
          <w:bCs/>
        </w:rPr>
        <w:t xml:space="preserve">lineares</w:t>
      </w:r>
      <w:r>
        <w:t xml:space="preserve">:</w:t>
      </w:r>
      <w:r>
        <w:t xml:space="preserve"> </w:t>
      </w:r>
      <m:oMath>
        <m:sSubSup>
          <m:e>
            <m:r>
              <m:t>x</m:t>
            </m:r>
          </m:e>
          <m:sub>
            <m:r>
              <m:t>i</m:t>
            </m:r>
          </m:sub>
          <m:sup>
            <m:r>
              <m:rPr>
                <m:sty m:val="p"/>
              </m:rPr>
              <m:t>*</m:t>
            </m:r>
          </m:sup>
        </m:sSubSup>
        <m:r>
          <m:rPr>
            <m:sty m:val="p"/>
          </m:rPr>
          <m:t>(</m:t>
        </m:r>
        <m:r>
          <m:t>I</m:t>
        </m:r>
        <m:r>
          <m:rPr>
            <m:sty m:val="p"/>
          </m:rPr>
          <m:t>)</m:t>
        </m:r>
        <m:r>
          <m:rPr>
            <m:sty m:val="p"/>
          </m:rPr>
          <m:t>=</m:t>
        </m:r>
        <m:sSub>
          <m:e>
            <m:r>
              <m:t>α</m:t>
            </m:r>
          </m:e>
          <m:sub>
            <m:r>
              <m:t>i</m:t>
            </m:r>
          </m:sub>
        </m:sSub>
        <m:r>
          <m:rPr>
            <m:sty m:val="p"/>
          </m:rPr>
          <m:t>(</m:t>
        </m:r>
        <m:r>
          <m:rPr>
            <m:sty m:val="bi"/>
          </m:rPr>
          <m:t>p</m:t>
        </m:r>
        <m:r>
          <m:rPr>
            <m:sty m:val="p"/>
          </m:rPr>
          <m:t>)</m:t>
        </m:r>
        <m:r>
          <m:rPr>
            <m:sty m:val="p"/>
          </m:rPr>
          <m:t>⋅</m:t>
        </m:r>
        <m:r>
          <m:t>I</m:t>
        </m:r>
      </m:oMath>
      <w:r>
        <w:t xml:space="preserve">.</w:t>
      </w:r>
    </w:p>
    <w:p>
      <w:pPr>
        <w:pStyle w:val="Compact"/>
        <w:numPr>
          <w:ilvl w:val="0"/>
          <w:numId w:val="1191"/>
        </w:numPr>
      </w:pPr>
      <w:r>
        <w:t xml:space="preserve">A</w:t>
      </w:r>
      <w:r>
        <w:t xml:space="preserve"> </w:t>
      </w:r>
      <w:r>
        <w:rPr>
          <w:b/>
          <w:bCs/>
        </w:rPr>
        <w:t xml:space="preserve">elasticidade-renda</w:t>
      </w:r>
      <w:r>
        <w:t xml:space="preserve"> </w:t>
      </w:r>
      <w:r>
        <w:t xml:space="preserve">é unitária para todos os bens:</w:t>
      </w:r>
      <w:r>
        <w:t xml:space="preserve"> </w:t>
      </w:r>
      <m:oMath>
        <m:sSub>
          <m:e>
            <m:r>
              <m:t>ε</m:t>
            </m:r>
          </m:e>
          <m:sub>
            <m:sSub>
              <m:e>
                <m:r>
                  <m:t>x</m:t>
                </m:r>
              </m:e>
              <m:sub>
                <m:r>
                  <m:t>i</m:t>
                </m:r>
              </m:sub>
            </m:sSub>
            <m:r>
              <m:rPr>
                <m:sty m:val="p"/>
              </m:rPr>
              <m:t>,</m:t>
            </m:r>
            <m:r>
              <m:t>I</m:t>
            </m:r>
          </m:sub>
        </m:sSub>
        <m:r>
          <m:rPr>
            <m:sty m:val="p"/>
          </m:rPr>
          <m:t>=</m:t>
        </m:r>
        <m:r>
          <m:t>1</m:t>
        </m:r>
      </m:oMath>
      <w:r>
        <w:t xml:space="preserve">.</w:t>
      </w:r>
    </w:p>
    <w:p>
      <w:pPr>
        <w:pStyle w:val="BlockText"/>
      </w:pPr>
      <w:r>
        <w:t xml:space="preserve">Se as preferências são</w:t>
      </w:r>
      <w:r>
        <w:t xml:space="preserve"> </w:t>
      </w:r>
      <w:r>
        <w:rPr>
          <w:b/>
          <w:bCs/>
        </w:rPr>
        <w:t xml:space="preserve">quase-lineares</w:t>
      </w:r>
      <w:r>
        <w:t xml:space="preserve"> </w:t>
      </w:r>
      <m:oMath>
        <m:r>
          <m:t>u</m:t>
        </m:r>
        <m:r>
          <m:rPr>
            <m:sty m:val="p"/>
          </m:rPr>
          <m:t>=</m:t>
        </m:r>
        <m:r>
          <m:t>v</m:t>
        </m:r>
        <m:r>
          <m:rPr>
            <m:sty m:val="p"/>
          </m:rPr>
          <m:t>(</m:t>
        </m:r>
        <m:sSub>
          <m:e>
            <m:r>
              <m:t>x</m:t>
            </m:r>
          </m:e>
          <m:sub>
            <m:r>
              <m:t>1</m:t>
            </m:r>
          </m:sub>
        </m:sSub>
        <m:r>
          <m:rPr>
            <m:sty m:val="p"/>
          </m:rPr>
          <m:t>)</m:t>
        </m:r>
        <m:r>
          <m:rPr>
            <m:sty m:val="p"/>
          </m:rPr>
          <m:t>+</m:t>
        </m:r>
        <m:sSub>
          <m:e>
            <m:r>
              <m:t>x</m:t>
            </m:r>
          </m:e>
          <m:sub>
            <m:r>
              <m:t>2</m:t>
            </m:r>
          </m:sub>
        </m:sSub>
      </m:oMath>
      <w:r>
        <w:t xml:space="preserve"> </w:t>
      </w:r>
      <w:r>
        <w:t xml:space="preserve">(Cap. 3, §3.6.5), então:</w:t>
      </w:r>
    </w:p>
    <w:p>
      <w:pPr>
        <w:pStyle w:val="Compact"/>
        <w:numPr>
          <w:ilvl w:val="0"/>
          <w:numId w:val="1192"/>
        </w:numPr>
      </w:pPr>
      <w:r>
        <w:t xml:space="preserve">O caminho de expansão da renda é uma</w:t>
      </w:r>
      <w:r>
        <w:t xml:space="preserve"> </w:t>
      </w:r>
      <w:r>
        <w:rPr>
          <w:b/>
          <w:bCs/>
        </w:rPr>
        <w:t xml:space="preserve">reta vertical</w:t>
      </w:r>
      <w:r>
        <w:t xml:space="preserve"> </w:t>
      </w:r>
      <w:r>
        <w:t xml:space="preserve">(</w:t>
      </w:r>
      <m:oMath>
        <m:sSub>
          <m:e>
            <m:r>
              <m:t>x</m:t>
            </m:r>
          </m:e>
          <m:sub>
            <m:r>
              <m:t>1</m:t>
            </m:r>
          </m:sub>
        </m:sSub>
      </m:oMath>
      <w:r>
        <w:t xml:space="preserve"> </w:t>
      </w:r>
      <w:r>
        <w:t xml:space="preserve">fixo).</w:t>
      </w:r>
    </w:p>
    <w:p>
      <w:pPr>
        <w:pStyle w:val="Compact"/>
        <w:numPr>
          <w:ilvl w:val="0"/>
          <w:numId w:val="1192"/>
        </w:numPr>
      </w:pPr>
      <w:r>
        <w:t xml:space="preserve">A curva de Engel de</w:t>
      </w:r>
      <w:r>
        <w:t xml:space="preserve"> </w:t>
      </w:r>
      <m:oMath>
        <m:sSub>
          <m:e>
            <m:r>
              <m:t>x</m:t>
            </m:r>
          </m:e>
          <m:sub>
            <m:r>
              <m:t>1</m:t>
            </m:r>
          </m:sub>
        </m:sSub>
      </m:oMath>
      <w:r>
        <w:t xml:space="preserve"> </w:t>
      </w:r>
      <w:r>
        <w:t xml:space="preserve">é</w:t>
      </w:r>
      <w:r>
        <w:t xml:space="preserve"> </w:t>
      </w:r>
      <w:r>
        <w:rPr>
          <w:b/>
          <w:bCs/>
        </w:rPr>
        <w:t xml:space="preserve">horizontal</w:t>
      </w:r>
      <w:r>
        <w:t xml:space="preserve"> </w:t>
      </w:r>
      <w:r>
        <w:t xml:space="preserve">(elasticidade-renda zero); a de</w:t>
      </w:r>
      <w:r>
        <w:t xml:space="preserve"> </w:t>
      </w:r>
      <m:oMath>
        <m:sSub>
          <m:e>
            <m:r>
              <m:t>x</m:t>
            </m:r>
          </m:e>
          <m:sub>
            <m:r>
              <m:t>2</m:t>
            </m:r>
          </m:sub>
        </m:sSub>
      </m:oMath>
      <w:r>
        <w:t xml:space="preserve"> </w:t>
      </w:r>
      <w:r>
        <w:t xml:space="preserve">é linear com inclinação</w:t>
      </w:r>
      <w:r>
        <w:t xml:space="preserve"> </w:t>
      </w:r>
      <m:oMath>
        <m:r>
          <m:t>1</m:t>
        </m:r>
        <m:r>
          <m:rPr>
            <m:sty m:val="p"/>
          </m:rPr>
          <m:t>/</m:t>
        </m:r>
        <m:sSub>
          <m:e>
            <m:r>
              <m:t>p</m:t>
            </m:r>
          </m:e>
          <m:sub>
            <m:r>
              <m:t>2</m:t>
            </m:r>
          </m:sub>
        </m:sSub>
      </m:oMath>
      <w:r>
        <w:t xml:space="preserve">.</w:t>
      </w:r>
    </w:p>
    <w:bookmarkEnd w:id="237"/>
    <w:bookmarkStart w:id="238" w:name="bens-normais-e-bens-inferiores"/>
    <w:p>
      <w:pPr>
        <w:pStyle w:val="Heading4"/>
      </w:pPr>
      <w:r>
        <w:t xml:space="preserve">5.2.2 Bens normais e bens inferiores</w:t>
      </w:r>
    </w:p>
    <w:p>
      <w:pPr>
        <w:pStyle w:val="FirstParagraph"/>
      </w:pPr>
      <w:r>
        <w:t xml:space="preserve">A forma da curva de Engel conduz naturalmente a uma classificação fundamental: como a demanda por um bem reage a aumentos de renda? Para a maioria dos bens, a resposta é intuitiva — consumimos mais quando ficamos mais ricos. Mas nem sempre é assim, e essa distinção tem consequências importantes para a análise de políticas de redistribuição e crescimento econômico. Vale notar que a classificação de um bem como normal ou inferior não é uma propriedade intrínseca do bem em si, mas do intervalo de renda considerado: um bem pode ser normal para famílias de renda baixa e inferior para famílias de renda alta, à medida que busquem substitutos de maior qualidade.</w:t>
      </w:r>
    </w:p>
    <w:p>
      <w:pPr>
        <w:pStyle w:val="BlockText"/>
      </w:pPr>
      <w:r>
        <w:rPr>
          <w:b/>
          <w:bCs/>
        </w:rPr>
        <w:t xml:space="preserve">[DEFINICAO] Bens normais e bens inferiores</w:t>
      </w:r>
    </w:p>
    <w:p>
      <w:pPr>
        <w:pStyle w:val="Compact"/>
        <w:numPr>
          <w:ilvl w:val="0"/>
          <w:numId w:val="1193"/>
        </w:numPr>
      </w:pPr>
      <w:r>
        <w:t xml:space="preserve">Um bem é</w:t>
      </w:r>
      <w:r>
        <w:t xml:space="preserve"> </w:t>
      </w:r>
      <w:r>
        <w:rPr>
          <w:b/>
          <w:bCs/>
        </w:rPr>
        <w:t xml:space="preserve">normal</w:t>
      </w:r>
      <w:r>
        <w:t xml:space="preserve"> </w:t>
      </w:r>
      <w:r>
        <w:t xml:space="preserve">se</w:t>
      </w:r>
      <w:r>
        <w:t xml:space="preserve"> </w:t>
      </w:r>
      <m:oMath>
        <m:f>
          <m:fPr>
            <m:type m:val="bar"/>
          </m:fPr>
          <m:num>
            <m:r>
              <m:rPr>
                <m:sty m:val="p"/>
              </m:rPr>
              <m:t>∂</m:t>
            </m:r>
            <m:sSubSup>
              <m:e>
                <m:r>
                  <m:t>x</m:t>
                </m:r>
              </m:e>
              <m:sub>
                <m:r>
                  <m:t>i</m:t>
                </m:r>
              </m:sub>
              <m:sup>
                <m:r>
                  <m:rPr>
                    <m:sty m:val="p"/>
                  </m:rPr>
                  <m:t>*</m:t>
                </m:r>
              </m:sup>
            </m:sSubSup>
          </m:num>
          <m:den>
            <m:r>
              <m:rPr>
                <m:sty m:val="p"/>
              </m:rPr>
              <m:t>∂</m:t>
            </m:r>
            <m:r>
              <m:t>I</m:t>
            </m:r>
          </m:den>
        </m:f>
        <m:r>
          <m:rPr>
            <m:sty m:val="p"/>
          </m:rPr>
          <m:t>&gt;</m:t>
        </m:r>
        <m:r>
          <m:t>0</m:t>
        </m:r>
      </m:oMath>
      <w:r>
        <w:t xml:space="preserve">: a demanda aumenta com a renda.</w:t>
      </w:r>
    </w:p>
    <w:p>
      <w:pPr>
        <w:pStyle w:val="Compact"/>
        <w:numPr>
          <w:ilvl w:val="0"/>
          <w:numId w:val="1193"/>
        </w:numPr>
      </w:pPr>
      <w:r>
        <w:t xml:space="preserve">Um bem é</w:t>
      </w:r>
      <w:r>
        <w:t xml:space="preserve"> </w:t>
      </w:r>
      <w:r>
        <w:rPr>
          <w:b/>
          <w:bCs/>
        </w:rPr>
        <w:t xml:space="preserve">inferior</w:t>
      </w:r>
      <w:r>
        <w:t xml:space="preserve"> </w:t>
      </w:r>
      <w:r>
        <w:t xml:space="preserve">se</w:t>
      </w:r>
      <w:r>
        <w:t xml:space="preserve"> </w:t>
      </w:r>
      <m:oMath>
        <m:f>
          <m:fPr>
            <m:type m:val="bar"/>
          </m:fPr>
          <m:num>
            <m:r>
              <m:rPr>
                <m:sty m:val="p"/>
              </m:rPr>
              <m:t>∂</m:t>
            </m:r>
            <m:sSubSup>
              <m:e>
                <m:r>
                  <m:t>x</m:t>
                </m:r>
              </m:e>
              <m:sub>
                <m:r>
                  <m:t>i</m:t>
                </m:r>
              </m:sub>
              <m:sup>
                <m:r>
                  <m:rPr>
                    <m:sty m:val="p"/>
                  </m:rPr>
                  <m:t>*</m:t>
                </m:r>
              </m:sup>
            </m:sSubSup>
          </m:num>
          <m:den>
            <m:r>
              <m:rPr>
                <m:sty m:val="p"/>
              </m:rPr>
              <m:t>∂</m:t>
            </m:r>
            <m:r>
              <m:t>I</m:t>
            </m:r>
          </m:den>
        </m:f>
        <m:r>
          <m:rPr>
            <m:sty m:val="p"/>
          </m:rPr>
          <m:t>&lt;</m:t>
        </m:r>
        <m:r>
          <m:t>0</m:t>
        </m:r>
      </m:oMath>
      <w:r>
        <w:t xml:space="preserve">: a demanda diminui quando a renda cresce.</w:t>
      </w:r>
    </w:p>
    <w:p>
      <w:pPr>
        <w:pStyle w:val="FirstParagraph"/>
      </w:pPr>
      <w:r>
        <w:t xml:space="preserve">Exemplos clássicos de bens inferiores no contexto brasileiro incluem a farinha de mandioca e o transporte público em certas faixas de renda — à medida que a renda familiar cresce, o consumo desses itens tende a ser substituído por alternativas de maior qualidade percebida.</w:t>
      </w:r>
    </w:p>
    <w:p>
      <w:pPr>
        <w:pStyle w:val="BlockText"/>
      </w:pPr>
      <w:r>
        <w:rPr>
          <w:b/>
          <w:bCs/>
        </w:rPr>
        <w:t xml:space="preserve">[INTUICAO ECONOMICA] Intuição Econômica</w:t>
      </w:r>
    </w:p>
    <w:p>
      <w:pPr>
        <w:pStyle w:val="BlockText"/>
      </w:pPr>
      <w:r>
        <w:rPr>
          <w:b/>
          <w:bCs/>
        </w:rPr>
        <w:t xml:space="preserve">Em uma frase:</w:t>
      </w:r>
      <w:r>
        <w:t xml:space="preserve"> </w:t>
      </w:r>
      <w:r>
        <w:t xml:space="preserve">Bens normais e inferiores se distinguem por como você revisa sua dieta — ou sua cesta de consumo — quando seu salário aumenta.</w:t>
      </w:r>
    </w:p>
    <w:p>
      <w:pPr>
        <w:pStyle w:val="BlockText"/>
      </w:pPr>
      <w:r>
        <w:rPr>
          <w:b/>
          <w:bCs/>
        </w:rPr>
        <w:t xml:space="preserve">Pense assim:</w:t>
      </w:r>
      <w:r>
        <w:t xml:space="preserve"> </w:t>
      </w:r>
      <w:r>
        <w:t xml:space="preserve">Imagine que você recebe um aumento de 30%. Provavelmente comprará mais carne (bem normal), mais restaurante (bem de luxo), mas talvez menos macarrão instantâneo (bem inferior) — não porque passou a odiar macarrão instantâneo, mas porque agora pode pagar por alternativas que sempre preferiu. A</w:t>
      </w:r>
      <w:r>
        <w:t xml:space="preserve"> </w:t>
      </w:r>
      <w:r>
        <w:t xml:space="preserve">“inferioridade”</w:t>
      </w:r>
      <w:r>
        <w:t xml:space="preserve"> </w:t>
      </w:r>
      <w:r>
        <w:t xml:space="preserve">não é uma propriedade do bem em abstrato; é uma propriedade da relação entre esse bem e sua renda em determinado nível. O mesmo macarrão instantâneo pode ser normal para famílias muito pobres (que antes não podiam nem comprá-lo) e inferior para famílias de renda média.</w:t>
      </w:r>
    </w:p>
    <w:p>
      <w:pPr>
        <w:pStyle w:val="BlockText"/>
      </w:pPr>
      <w:r>
        <w:rPr>
          <w:b/>
          <w:bCs/>
        </w:rPr>
        <w:t xml:space="preserve">Por que isso importa:</w:t>
      </w:r>
      <w:r>
        <w:t xml:space="preserve"> </w:t>
      </w:r>
      <w:r>
        <w:t xml:space="preserve">Programas de transferência de renda, como o Bolsa Família, elevam a renda das famílias mais pobres. Se o bem-alvo de uma política de segurança alimentar for inferior para essa faixa de renda, a política pode inadvertidamente</w:t>
      </w:r>
      <w:r>
        <w:t xml:space="preserve"> </w:t>
      </w:r>
      <w:r>
        <w:rPr>
          <w:i/>
          <w:iCs/>
        </w:rPr>
        <w:t xml:space="preserve">reduzir</w:t>
      </w:r>
      <w:r>
        <w:t xml:space="preserve"> </w:t>
      </w:r>
      <w:r>
        <w:t xml:space="preserve">seu consumo — exatamente o oposto do objetivo. Conhecer a elasticidade-renda do bem-alvo é, portanto, pré-requisito para desenho eficaz de políticas públicas.</w:t>
      </w:r>
    </w:p>
    <w:p>
      <w:pPr>
        <w:pStyle w:val="BlockText"/>
      </w:pPr>
      <w:r>
        <w:rPr>
          <w:b/>
          <w:bCs/>
        </w:rPr>
        <w:t xml:space="preserve">[BOX BRASIL] Box Brasil 5.1 — Farinha de mandioca: um bem inferior em números</w:t>
      </w:r>
    </w:p>
    <w:p>
      <w:pPr>
        <w:pStyle w:val="BlockText"/>
      </w:pPr>
      <w:r>
        <w:t xml:space="preserve">A farinha de mandioca é talvez o exemplo mais emblemático de bem inferior no Brasil. Dados do</w:t>
      </w:r>
      <w:r>
        <w:t xml:space="preserve"> </w:t>
      </w:r>
      <w:hyperlink r:id="rId35">
        <w:r>
          <w:rPr>
            <w:rStyle w:val="Hyperlink"/>
          </w:rPr>
          <w:t xml:space="preserve">IBGE</w:t>
        </w:r>
      </w:hyperlink>
      <w:r>
        <w:t xml:space="preserve"> </w:t>
      </w:r>
      <w:r>
        <w:t xml:space="preserve">mostram uma queda expressiva no consumo domiciliar per capita: de 7,76 kg/ano na POF 2002–2003 para 2,33 kg/ano na POF 2017–2018, uma redução de 70% em quinze anos.</w:t>
      </w:r>
    </w:p>
    <w:p>
      <w:pPr>
        <w:pStyle w:val="BlockText"/>
      </w:pPr>
      <w:r>
        <w:rPr>
          <w:b/>
          <w:bCs/>
        </w:rPr>
        <w:t xml:space="preserve">Padrão por faixa de renda:</w:t>
      </w:r>
      <w:r>
        <w:t xml:space="preserve"> </w:t>
      </w:r>
      <w:r>
        <w:t xml:space="preserve">tanto a frequência de consumo quanto a quantidade média per capita diária de farinha de mandioca são maiores nos quartis de renda mais baixos. A diferença entre o primeiro e o último quartil de renda é acentuada, confirmando o comportamento de bem inferior (</w:t>
      </w:r>
      <m:oMath>
        <m:sSub>
          <m:e>
            <m:r>
              <m:t>ε</m:t>
            </m:r>
          </m:e>
          <m:sub>
            <m:r>
              <m:t>x</m:t>
            </m:r>
            <m:r>
              <m:rPr>
                <m:sty m:val="p"/>
              </m:rPr>
              <m:t>,</m:t>
            </m:r>
            <m:r>
              <m:t>I</m:t>
            </m:r>
          </m:sub>
        </m:sSub>
        <m:r>
          <m:rPr>
            <m:sty m:val="p"/>
          </m:rPr>
          <m:t>&lt;</m:t>
        </m:r>
        <m:r>
          <m:t>0</m:t>
        </m:r>
      </m:oMath>
      <w:r>
        <w:t xml:space="preserve">).</w:t>
      </w:r>
    </w:p>
    <w:p>
      <w:pPr>
        <w:pStyle w:val="BlockText"/>
      </w:pPr>
      <w:r>
        <w:rPr>
          <w:b/>
          <w:bCs/>
        </w:rPr>
        <w:t xml:space="preserve">Heterogeneidade regional:</w:t>
      </w:r>
      <w:r>
        <w:t xml:space="preserve"> </w:t>
      </w:r>
      <w:r>
        <w:t xml:space="preserve">o padrão de bem inferior manifesta-se com intensidade diferente entre as regiões. A frequência de consumo atinge 40,6% na Região Norte e 20,1% no Nordeste, mas não passa de 4% no Sul, Sudeste e Centro-Oeste. A queda no consumo foi mais intensa no Nordeste (−75%) e no Norte (−68%), precisamente as regiões que experimentaram os maiores ganhos reais de renda no período.</w:t>
      </w:r>
    </w:p>
    <w:p>
      <w:pPr>
        <w:pStyle w:val="BlockText"/>
      </w:pPr>
      <w:r>
        <w:rPr>
          <w:b/>
          <w:bCs/>
        </w:rPr>
        <w:t xml:space="preserve">Interpretação econômica:</w:t>
      </w:r>
      <w:r>
        <w:t xml:space="preserve"> </w:t>
      </w:r>
      <w:r>
        <w:t xml:space="preserve">à medida que a renda cresce, as famílias substituem a farinha de mandioca por alimentos de maior valor nutricional percebido — arroz, massas, proteínas animais —, refletindo o deslocamento ao longo da curva de Engel descendente.</w:t>
      </w:r>
    </w:p>
    <w:p>
      <w:pPr>
        <w:pStyle w:val="BlockText"/>
      </w:pPr>
      <w:r>
        <w:rPr>
          <w:b/>
          <w:bCs/>
        </w:rPr>
        <w:t xml:space="preserve">Fontes</w:t>
      </w:r>
      <w:r>
        <w:t xml:space="preserve">: IBGE, Pesquisa de Orçamentos Familiares 2002–2003 e 2017–2018. IBGE,</w:t>
      </w:r>
      <w:r>
        <w:t xml:space="preserve"> </w:t>
      </w:r>
      <w:r>
        <w:rPr>
          <w:i/>
          <w:iCs/>
        </w:rPr>
        <w:t xml:space="preserve">Análise do Consumo Alimentar Pessoal no Brasil</w:t>
      </w:r>
      <w:r>
        <w:t xml:space="preserve">, 2020.</w:t>
      </w:r>
    </w:p>
    <w:bookmarkEnd w:id="238"/>
    <w:bookmarkStart w:id="239" w:name="bens-de-luxo-e-bens-de-necessidade"/>
    <w:p>
      <w:pPr>
        <w:pStyle w:val="Heading4"/>
      </w:pPr>
      <w:r>
        <w:t xml:space="preserve">5.2.3 Bens de luxo e bens de necessidade</w:t>
      </w:r>
    </w:p>
    <w:p>
      <w:pPr>
        <w:pStyle w:val="FirstParagraph"/>
      </w:pPr>
      <w:r>
        <w:t xml:space="preserve">Dentro da categoria dos bens normais, existe uma segunda distinção relevante: o consumo cresce proporcionalmente mais ou menos que a renda? Essa pergunta leva à classificação entre bens de luxo e bens de necessidade, que depende da</w:t>
      </w:r>
      <w:r>
        <w:t xml:space="preserve"> </w:t>
      </w:r>
      <w:r>
        <w:rPr>
          <w:b/>
          <w:bCs/>
        </w:rPr>
        <w:t xml:space="preserve">elasticidade-renda</w:t>
      </w:r>
      <w:r>
        <w:t xml:space="preserve"> </w:t>
      </w:r>
      <w:r>
        <w:t xml:space="preserve">(que formalizaremos na Seção 5.7). A Lei de Engel — a constatação empírica de que a parcela do orçamento gasta com alimentos decresce conforme a renda cresce — é provavelmente a regularidade mais robusta e universalmente documentada em economia do consumo. Ernst Engel a observou em dados belgas ainda em 1857, e ela tem sido confirmada em praticamente todos os países e épocas desde então, incluindo as POFs brasileiras de 2002–2018:</w:t>
      </w:r>
    </w:p>
    <w:p>
      <w:pPr>
        <w:pStyle w:val="Compact"/>
        <w:numPr>
          <w:ilvl w:val="0"/>
          <w:numId w:val="1194"/>
        </w:numPr>
      </w:pPr>
      <w:r>
        <w:rPr>
          <w:b/>
          <w:bCs/>
        </w:rPr>
        <w:t xml:space="preserve">Bem de necessidade</w:t>
      </w:r>
      <w:r>
        <w:t xml:space="preserve">:</w:t>
      </w:r>
      <w:r>
        <w:t xml:space="preserve"> </w:t>
      </w:r>
      <m:oMath>
        <m:r>
          <m:t>0</m:t>
        </m:r>
        <m:r>
          <m:rPr>
            <m:sty m:val="p"/>
          </m:rPr>
          <m:t>&lt;</m:t>
        </m:r>
        <m:sSub>
          <m:e>
            <m:r>
              <m:t>ε</m:t>
            </m:r>
          </m:e>
          <m:sub>
            <m:r>
              <m:t>x</m:t>
            </m:r>
            <m:r>
              <m:rPr>
                <m:sty m:val="p"/>
              </m:rPr>
              <m:t>,</m:t>
            </m:r>
            <m:r>
              <m:t>I</m:t>
            </m:r>
          </m:sub>
        </m:sSub>
        <m:r>
          <m:rPr>
            <m:sty m:val="p"/>
          </m:rPr>
          <m:t>&lt;</m:t>
        </m:r>
        <m:r>
          <m:t>1</m:t>
        </m:r>
      </m:oMath>
      <w:r>
        <w:t xml:space="preserve"> </w:t>
      </w:r>
      <w:r>
        <w:t xml:space="preserve">— a demanda cresce proporcionalmente menos que a renda.</w:t>
      </w:r>
    </w:p>
    <w:p>
      <w:pPr>
        <w:pStyle w:val="Compact"/>
        <w:numPr>
          <w:ilvl w:val="0"/>
          <w:numId w:val="1194"/>
        </w:numPr>
      </w:pPr>
      <w:r>
        <w:rPr>
          <w:b/>
          <w:bCs/>
        </w:rPr>
        <w:t xml:space="preserve">Bem de luxo</w:t>
      </w:r>
      <w:r>
        <w:t xml:space="preserve">:</w:t>
      </w:r>
      <w:r>
        <w:t xml:space="preserve"> </w:t>
      </w:r>
      <m:oMath>
        <m:sSub>
          <m:e>
            <m:r>
              <m:t>ε</m:t>
            </m:r>
          </m:e>
          <m:sub>
            <m:r>
              <m:t>x</m:t>
            </m:r>
            <m:r>
              <m:rPr>
                <m:sty m:val="p"/>
              </m:rPr>
              <m:t>,</m:t>
            </m:r>
            <m:r>
              <m:t>I</m:t>
            </m:r>
          </m:sub>
        </m:sSub>
        <m:r>
          <m:rPr>
            <m:sty m:val="p"/>
          </m:rPr>
          <m:t>&gt;</m:t>
        </m:r>
        <m:r>
          <m:t>1</m:t>
        </m:r>
      </m:oMath>
      <w:r>
        <w:t xml:space="preserve"> </w:t>
      </w:r>
      <w:r>
        <w:t xml:space="preserve">— a demanda cresce proporcionalmente mais que a renda.</w:t>
      </w:r>
    </w:p>
    <w:p>
      <w:pPr>
        <w:pStyle w:val="FirstParagraph"/>
      </w:pPr>
      <w:r>
        <w:t xml:space="preserve">Note que todo bem de luxo é normal, mas nem todo bem normal é de luxo.</w:t>
      </w:r>
    </w:p>
    <w:p>
      <w:pPr>
        <w:pStyle w:val="BodyText"/>
      </w:pPr>
      <w:r>
        <w:t xml:space="preserve">[FIGURA INTERATIVA: /micro-book/graficos/cap05/curva-engel.html — versao interativa disponivel online]</w:t>
      </w:r>
    </w:p>
    <w:p>
      <w:pPr>
        <w:pStyle w:val="BodyText"/>
      </w:pPr>
      <w:r>
        <w:rPr>
          <w:b/>
          <w:bCs/>
        </w:rPr>
        <w:t xml:space="preserve">Figura 5.1 — Curva de Engel e caminho de expansão da renda.</w:t>
      </w:r>
      <w:r>
        <w:t xml:space="preserve"> </w:t>
      </w:r>
      <w:r>
        <w:t xml:space="preserve">Painel superior: espaço de bens com restrições orçamentárias para diferentes níveis de renda e o caminho de expansão (azul). Painel inferior: curvas de Engel para</w:t>
      </w:r>
      <w:r>
        <w:t xml:space="preserve"> </w:t>
      </w:r>
      <m:oMath>
        <m:sSub>
          <m:e>
            <m:r>
              <m:t>x</m:t>
            </m:r>
          </m:e>
          <m:sub>
            <m:r>
              <m:t>1</m:t>
            </m:r>
          </m:sub>
        </m:sSub>
      </m:oMath>
      <w:r>
        <w:t xml:space="preserve"> </w:t>
      </w:r>
      <w:r>
        <w:t xml:space="preserve">e</w:t>
      </w:r>
      <w:r>
        <w:t xml:space="preserve"> </w:t>
      </w:r>
      <m:oMath>
        <m:sSub>
          <m:e>
            <m:r>
              <m:t>x</m:t>
            </m:r>
          </m:e>
          <m:sub>
            <m:r>
              <m:t>2</m:t>
            </m:r>
          </m:sub>
        </m:sSub>
      </m:oMath>
      <w:r>
        <w:t xml:space="preserve">. Alterne entre Cobb-Douglas (bens normais) e utilidade quase-linear (efeito renda zero para</w:t>
      </w:r>
      <w:r>
        <w:t xml:space="preserve"> </w:t>
      </w:r>
      <m:oMath>
        <m:sSub>
          <m:e>
            <m:r>
              <m:t>x</m:t>
            </m:r>
          </m:e>
          <m:sub>
            <m:r>
              <m:t>1</m:t>
            </m:r>
          </m:sub>
        </m:sSub>
      </m:oMath>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 de bem</w:t>
            </w:r>
          </w:p>
        </w:tc>
        <w:tc>
          <w:tcPr/>
          <w:p>
            <w:pPr>
              <w:pStyle w:val="Compact"/>
            </w:pPr>
            <w:r>
              <w:t xml:space="preserve">Efeito da ↑ renda sobre demanda</w:t>
            </w:r>
          </w:p>
        </w:tc>
        <w:tc>
          <w:tcPr/>
          <w:p>
            <w:pPr>
              <w:pStyle w:val="Compact"/>
            </w:pPr>
            <w:r>
              <w:t xml:space="preserve">Elasticidade-renda</w:t>
            </w:r>
          </w:p>
        </w:tc>
        <w:tc>
          <w:tcPr/>
          <w:p>
            <w:pPr>
              <w:pStyle w:val="Compact"/>
            </w:pPr>
            <w:r>
              <w:t xml:space="preserve">Exemplo brasileiro</w:t>
            </w:r>
          </w:p>
        </w:tc>
      </w:tr>
      <w:tr>
        <w:tc>
          <w:tcPr/>
          <w:p>
            <w:pPr>
              <w:pStyle w:val="Compact"/>
            </w:pPr>
            <w:r>
              <w:t xml:space="preserve">Normal</w:t>
            </w:r>
          </w:p>
        </w:tc>
        <w:tc>
          <w:tcPr/>
          <w:p>
            <w:pPr>
              <w:pStyle w:val="Compact"/>
            </w:pPr>
            <w:r>
              <w:t xml:space="preserve">↑</w:t>
            </w:r>
          </w:p>
        </w:tc>
        <w:tc>
          <w:tcPr/>
          <w:p>
            <w:pPr>
              <w:pStyle w:val="Compact"/>
            </w:pPr>
            <m:oMath>
              <m:r>
                <m:t>η</m:t>
              </m:r>
              <m:r>
                <m:rPr>
                  <m:sty m:val="p"/>
                </m:rPr>
                <m:t>&gt;</m:t>
              </m:r>
              <m:r>
                <m:t>0</m:t>
              </m:r>
            </m:oMath>
          </w:p>
        </w:tc>
        <w:tc>
          <w:tcPr/>
          <w:p>
            <w:pPr>
              <w:pStyle w:val="Compact"/>
            </w:pPr>
            <w:r>
              <w:t xml:space="preserve">Carne bovina</w:t>
            </w:r>
          </w:p>
        </w:tc>
      </w:tr>
      <w:tr>
        <w:tc>
          <w:tcPr/>
          <w:p>
            <w:pPr>
              <w:pStyle w:val="Compact"/>
            </w:pPr>
            <w:r>
              <w:t xml:space="preserve">Inferior</w:t>
            </w:r>
          </w:p>
        </w:tc>
        <w:tc>
          <w:tcPr/>
          <w:p>
            <w:pPr>
              <w:pStyle w:val="Compact"/>
            </w:pPr>
            <w:r>
              <w:t xml:space="preserve">↓</w:t>
            </w:r>
          </w:p>
        </w:tc>
        <w:tc>
          <w:tcPr/>
          <w:p>
            <w:pPr>
              <w:pStyle w:val="Compact"/>
            </w:pPr>
            <m:oMath>
              <m:r>
                <m:t>η</m:t>
              </m:r>
              <m:r>
                <m:rPr>
                  <m:sty m:val="p"/>
                </m:rPr>
                <m:t>&lt;</m:t>
              </m:r>
              <m:r>
                <m:t>0</m:t>
              </m:r>
            </m:oMath>
          </w:p>
        </w:tc>
        <w:tc>
          <w:tcPr/>
          <w:p>
            <w:pPr>
              <w:pStyle w:val="Compact"/>
            </w:pPr>
            <w:r>
              <w:t xml:space="preserve">Farinha de mandioca</w:t>
            </w:r>
          </w:p>
        </w:tc>
      </w:tr>
      <w:tr>
        <w:tc>
          <w:tcPr/>
          <w:p>
            <w:pPr>
              <w:pStyle w:val="Compact"/>
            </w:pPr>
            <w:r>
              <w:t xml:space="preserve">Luxo</w:t>
            </w:r>
          </w:p>
        </w:tc>
        <w:tc>
          <w:tcPr/>
          <w:p>
            <w:pPr>
              <w:pStyle w:val="Compact"/>
            </w:pPr>
            <w:r>
              <w:t xml:space="preserve">↑↑ (mais que proporcional)</w:t>
            </w:r>
          </w:p>
        </w:tc>
        <w:tc>
          <w:tcPr/>
          <w:p>
            <w:pPr>
              <w:pStyle w:val="Compact"/>
            </w:pPr>
            <m:oMath>
              <m:r>
                <m:t>η</m:t>
              </m:r>
              <m:r>
                <m:rPr>
                  <m:sty m:val="p"/>
                </m:rPr>
                <m:t>&gt;</m:t>
              </m:r>
              <m:r>
                <m:t>1</m:t>
              </m:r>
            </m:oMath>
          </w:p>
        </w:tc>
        <w:tc>
          <w:tcPr/>
          <w:p>
            <w:pPr>
              <w:pStyle w:val="Compact"/>
            </w:pPr>
            <w:r>
              <w:t xml:space="preserve">Serviços, viagens</w:t>
            </w:r>
          </w:p>
        </w:tc>
      </w:tr>
      <w:tr>
        <w:tc>
          <w:tcPr/>
          <w:p>
            <w:pPr>
              <w:pStyle w:val="Compact"/>
            </w:pPr>
            <w:r>
              <w:t xml:space="preserve">Necessidade</w:t>
            </w:r>
          </w:p>
        </w:tc>
        <w:tc>
          <w:tcPr/>
          <w:p>
            <w:pPr>
              <w:pStyle w:val="Compact"/>
            </w:pPr>
            <w:r>
              <w:t xml:space="preserve">↑ (menos que proporcional)</w:t>
            </w:r>
          </w:p>
        </w:tc>
        <w:tc>
          <w:tcPr/>
          <w:p>
            <w:pPr>
              <w:pStyle w:val="Compact"/>
            </w:pPr>
            <m:oMath>
              <m:r>
                <m:t>0</m:t>
              </m:r>
              <m:r>
                <m:rPr>
                  <m:sty m:val="p"/>
                </m:rPr>
                <m:t>&lt;</m:t>
              </m:r>
              <m:r>
                <m:t>η</m:t>
              </m:r>
              <m:r>
                <m:rPr>
                  <m:sty m:val="p"/>
                </m:rPr>
                <m:t>&lt;</m:t>
              </m:r>
              <m:r>
                <m:t>1</m:t>
              </m:r>
            </m:oMath>
          </w:p>
        </w:tc>
        <w:tc>
          <w:tcPr/>
          <w:p>
            <w:pPr>
              <w:pStyle w:val="Compact"/>
            </w:pPr>
            <w:r>
              <w:t xml:space="preserve">Alimentação básica</w:t>
            </w:r>
          </w:p>
        </w:tc>
      </w:tr>
    </w:tbl>
    <w:p>
      <w:pPr>
        <w:pStyle w:val="BodyText"/>
      </w:pPr>
      <w:r>
        <w:rPr>
          <w:b/>
          <w:bCs/>
        </w:rPr>
        <w:t xml:space="preserve">Tabela 5.1 — Classificação dos bens pela resposta à renda.</w:t>
      </w:r>
      <w:r>
        <w:t xml:space="preserve"> </w:t>
      </w:r>
      <w:r>
        <w:t xml:space="preserve">A elasticidade-renda</w:t>
      </w:r>
      <w:r>
        <w:t xml:space="preserve"> </w:t>
      </w:r>
      <m:oMath>
        <m:r>
          <m:t>η</m:t>
        </m:r>
      </m:oMath>
      <w:r>
        <w:t xml:space="preserve"> </w:t>
      </w:r>
      <w:r>
        <w:t xml:space="preserve">determina se o bem é normal (</w:t>
      </w:r>
      <m:oMath>
        <m:r>
          <m:t>η</m:t>
        </m:r>
        <m:r>
          <m:rPr>
            <m:sty m:val="p"/>
          </m:rPr>
          <m:t>&gt;</m:t>
        </m:r>
        <m:r>
          <m:t>0</m:t>
        </m:r>
      </m:oMath>
      <w:r>
        <w:t xml:space="preserve">), inferior (</w:t>
      </w:r>
      <m:oMath>
        <m:r>
          <m:t>η</m:t>
        </m:r>
        <m:r>
          <m:rPr>
            <m:sty m:val="p"/>
          </m:rPr>
          <m:t>&lt;</m:t>
        </m:r>
        <m:r>
          <m:t>0</m:t>
        </m:r>
      </m:oMath>
      <w:r>
        <w:t xml:space="preserve">), de luxo (</w:t>
      </w:r>
      <m:oMath>
        <m:r>
          <m:t>η</m:t>
        </m:r>
        <m:r>
          <m:rPr>
            <m:sty m:val="p"/>
          </m:rPr>
          <m:t>&gt;</m:t>
        </m:r>
        <m:r>
          <m:t>1</m:t>
        </m:r>
      </m:oMath>
      <w:r>
        <w:t xml:space="preserve">) ou necessidade (</w:t>
      </w:r>
      <m:oMath>
        <m:r>
          <m:t>0</m:t>
        </m:r>
        <m:r>
          <m:rPr>
            <m:sty m:val="p"/>
          </m:rPr>
          <m:t>&lt;</m:t>
        </m:r>
        <m:r>
          <m:t>η</m:t>
        </m:r>
        <m:r>
          <m:rPr>
            <m:sty m:val="p"/>
          </m:rPr>
          <m:t>&lt;</m:t>
        </m:r>
        <m:r>
          <m:t>1</m:t>
        </m:r>
      </m:oMath>
      <w:r>
        <w:t xml:space="preserve">).</w:t>
      </w:r>
    </w:p>
    <w:p>
      <w:pPr>
        <w:pStyle w:val="BlockText"/>
      </w:pPr>
      <w:r>
        <w:rPr>
          <w:b/>
          <w:bCs/>
        </w:rPr>
        <w:t xml:space="preserve">[ATIVIDADE DE SALA] Think-Pair-Share — Normal, inferior ou Giffen?</w:t>
      </w:r>
    </w:p>
    <w:p>
      <w:pPr>
        <w:pStyle w:val="BlockText"/>
      </w:pPr>
      <w:r>
        <w:rPr>
          <w:b/>
          <w:bCs/>
        </w:rPr>
        <w:t xml:space="preserve">Vote individualmente (1 minuto):</w:t>
      </w:r>
    </w:p>
    <w:p>
      <w:pPr>
        <w:pStyle w:val="BlockText"/>
      </w:pPr>
      <w:r>
        <w:t xml:space="preserve">Uma família muito pobre gasta 80% da renda em arroz e 20% em carne. O preço do arroz sobe 20%. O que acontece com a quantidade de arroz consumida?</w:t>
      </w:r>
    </w:p>
    <w:p>
      <w:pPr>
        <w:pStyle w:val="Compact"/>
        <w:numPr>
          <w:ilvl w:val="0"/>
          <w:numId w:val="1195"/>
        </w:numPr>
      </w:pPr>
    </w:p>
    <w:p>
      <w:pPr>
        <w:pStyle w:val="Compact"/>
        <w:numPr>
          <w:ilvl w:val="1"/>
          <w:numId w:val="1196"/>
        </w:numPr>
      </w:pPr>
      <w:r>
        <w:t xml:space="preserve">Cai — a Lei da Demanda sempre vale</w:t>
      </w:r>
    </w:p>
    <w:p>
      <w:pPr>
        <w:pStyle w:val="Compact"/>
        <w:numPr>
          <w:ilvl w:val="0"/>
          <w:numId w:val="1195"/>
        </w:numPr>
      </w:pPr>
    </w:p>
    <w:p>
      <w:pPr>
        <w:pStyle w:val="Compact"/>
        <w:numPr>
          <w:ilvl w:val="1"/>
          <w:numId w:val="1197"/>
        </w:numPr>
      </w:pPr>
      <w:r>
        <w:t xml:space="preserve">Sobe — a família fica tão mais pobre que precisa comer</w:t>
      </w:r>
      <w:r>
        <w:t xml:space="preserve"> </w:t>
      </w:r>
      <w:r>
        <w:rPr>
          <w:i/>
          <w:iCs/>
        </w:rPr>
        <w:t xml:space="preserve">mais</w:t>
      </w:r>
      <w:r>
        <w:t xml:space="preserve"> </w:t>
      </w:r>
      <w:r>
        <w:t xml:space="preserve">arroz e cortar a carne</w:t>
      </w:r>
    </w:p>
    <w:p>
      <w:pPr>
        <w:pStyle w:val="Compact"/>
        <w:numPr>
          <w:ilvl w:val="0"/>
          <w:numId w:val="1195"/>
        </w:numPr>
      </w:pPr>
    </w:p>
    <w:p>
      <w:pPr>
        <w:pStyle w:val="Compact"/>
        <w:numPr>
          <w:ilvl w:val="1"/>
          <w:numId w:val="1198"/>
        </w:numPr>
      </w:pPr>
      <w:r>
        <w:t xml:space="preserve">Não muda — o arroz é inelástico</w:t>
      </w:r>
    </w:p>
    <w:p>
      <w:pPr>
        <w:pStyle w:val="BlockText"/>
      </w:pPr>
      <w:r>
        <w:rPr>
          <w:b/>
          <w:bCs/>
        </w:rPr>
        <w:t xml:space="preserve">Discuta com um colega (2 minutos) e revote.</w:t>
      </w:r>
    </w:p>
    <w:p>
      <w:pPr>
        <w:pStyle w:val="BlockText"/>
      </w:pPr>
      <w:r>
        <w:t xml:space="preserve">??? success</w:t>
      </w:r>
      <w:r>
        <w:t xml:space="preserve"> </w:t>
      </w:r>
      <w:r>
        <w:t xml:space="preserve">“Debrief”</w:t>
      </w:r>
      <w:r>
        <w:t xml:space="preserve"> </w:t>
      </w:r>
      <w:r>
        <w:t xml:space="preserve">A resposta é</w:t>
      </w:r>
      <w:r>
        <w:t xml:space="preserve"> </w:t>
      </w:r>
      <w:r>
        <w:rPr>
          <w:b/>
          <w:bCs/>
        </w:rPr>
        <w:t xml:space="preserve">(b)</w:t>
      </w:r>
      <w:r>
        <w:t xml:space="preserve"> </w:t>
      </w:r>
      <w:r>
        <w:t xml:space="preserve">— se o arroz for um bem de Giffen. Quando o preço do arroz sobe, o efeito renda é devastador (80% do orçamento!): a família fica tão mais pobre que precisa cortar a carne e comer ainda mais arroz. O efeito substituição diz</w:t>
      </w:r>
      <w:r>
        <w:t xml:space="preserve"> </w:t>
      </w:r>
      <w:r>
        <w:t xml:space="preserve">“troque por outra coisa”</w:t>
      </w:r>
      <w:r>
        <w:t xml:space="preserve">, mas por quê? Não há substituto mais barato. O efeito renda domina, e a demanda</w:t>
      </w:r>
      <w:r>
        <w:t xml:space="preserve"> </w:t>
      </w:r>
      <w:r>
        <w:rPr>
          <w:i/>
          <w:iCs/>
        </w:rPr>
        <w:t xml:space="preserve">sobe</w:t>
      </w:r>
      <w:r>
        <w:t xml:space="preserve"> </w:t>
      </w:r>
      <w:r>
        <w:t xml:space="preserve">com o preço. Esse é exatamente o mecanismo documentado por Jensen e Miller (2008) na China — e a Equação de Slutsky da Seção 5.4 explica por quê.</w:t>
      </w:r>
    </w:p>
    <w:p>
      <w:pPr>
        <w:pStyle w:val="FirstParagraph"/>
      </w:pPr>
      <w:r>
        <w:t xml:space="preserve">Recapitulando: sabemos que bens normais sobem com a renda, inferiores caem, e luxos sobem mais que proporcionalmente. A curva de Engel mapeia tudo isso. Até aqui, a vida era simples — apenas renda variava, preços parados. Agora vem o prato principal: o que acontece quando o</w:t>
      </w:r>
      <w:r>
        <w:t xml:space="preserve"> </w:t>
      </w:r>
      <w:r>
        <w:rPr>
          <w:i/>
          <w:iCs/>
        </w:rPr>
        <w:t xml:space="preserve">preço</w:t>
      </w:r>
      <w:r>
        <w:t xml:space="preserve"> </w:t>
      </w:r>
      <w:r>
        <w:t xml:space="preserve">de um bem muda? A resposta é mais sutil, porque uma variação de preço faz</w:t>
      </w:r>
      <w:r>
        <w:t xml:space="preserve"> </w:t>
      </w:r>
      <w:r>
        <w:rPr>
          <w:i/>
          <w:iCs/>
        </w:rPr>
        <w:t xml:space="preserve">duas coisas ao mesmo tempo</w:t>
      </w:r>
      <w:r>
        <w:t xml:space="preserve"> </w:t>
      </w:r>
      <w:r>
        <w:t xml:space="preserve">— e separá-las é a contribuição central de Slutsky.</w:t>
      </w:r>
    </w:p>
    <w:bookmarkEnd w:id="239"/>
    <w:bookmarkEnd w:id="240"/>
    <w:bookmarkEnd w:id="241"/>
    <w:bookmarkStart w:id="254" w:name="Xdc1c78c2983530e90c9da5e79cdf162e65f241b"/>
    <w:p>
      <w:pPr>
        <w:pStyle w:val="Heading2"/>
      </w:pPr>
      <w:r>
        <w:t xml:space="preserve">5.3–5.6 Efeitos Renda e Substituição, Equação de Slutsky e Curvas de Demanda</w:t>
      </w:r>
    </w:p>
    <w:bookmarkStart w:id="245" w:name="X86fe64d555f41c89e10bae12586a4692b0180c2"/>
    <w:p>
      <w:pPr>
        <w:pStyle w:val="Heading3"/>
      </w:pPr>
      <w:r>
        <w:t xml:space="preserve">5.3 Preço Subiu — E Agora? Efeitos Renda e Substituição</w:t>
      </w:r>
    </w:p>
    <w:p>
      <w:pPr>
        <w:pStyle w:val="FirstParagraph"/>
      </w:pPr>
      <w:r>
        <w:t xml:space="preserve">Agora vem a jogada mais importante da teoria do consumidor — e uma das ideias mais bonitas de toda a economia. Quando o preço da carne cai, você compra mais carne. Óbvio. Mas</w:t>
      </w:r>
      <w:r>
        <w:t xml:space="preserve"> </w:t>
      </w:r>
      <w:r>
        <w:rPr>
          <w:i/>
          <w:iCs/>
        </w:rPr>
        <w:t xml:space="preserve">por quê</w:t>
      </w:r>
      <w:r>
        <w:t xml:space="preserve">? Há duas razões misturadas, e separá-las é fundamental:</w:t>
      </w:r>
    </w:p>
    <w:p>
      <w:pPr>
        <w:pStyle w:val="Compact"/>
        <w:numPr>
          <w:ilvl w:val="0"/>
          <w:numId w:val="1199"/>
        </w:numPr>
      </w:pPr>
      <w:r>
        <w:t xml:space="preserve">A carne ficou</w:t>
      </w:r>
      <w:r>
        <w:t xml:space="preserve"> </w:t>
      </w:r>
      <w:r>
        <w:rPr>
          <w:b/>
          <w:bCs/>
        </w:rPr>
        <w:t xml:space="preserve">mais barata que o frango</w:t>
      </w:r>
      <w:r>
        <w:t xml:space="preserve"> </w:t>
      </w:r>
      <w:r>
        <w:t xml:space="preserve">→ você troca frango por carne (efeito substituição).</w:t>
      </w:r>
    </w:p>
    <w:p>
      <w:pPr>
        <w:pStyle w:val="Compact"/>
        <w:numPr>
          <w:ilvl w:val="0"/>
          <w:numId w:val="1199"/>
        </w:numPr>
      </w:pPr>
      <w:r>
        <w:t xml:space="preserve">Com carne mais barata, seu salário</w:t>
      </w:r>
      <w:r>
        <w:t xml:space="preserve"> </w:t>
      </w:r>
      <w:r>
        <w:rPr>
          <w:b/>
          <w:bCs/>
        </w:rPr>
        <w:t xml:space="preserve">rende mais</w:t>
      </w:r>
      <w:r>
        <w:t xml:space="preserve"> </w:t>
      </w:r>
      <w:r>
        <w:t xml:space="preserve">→ você pode comprar mais de tudo (efeito renda).</w:t>
      </w:r>
    </w:p>
    <w:p>
      <w:pPr>
        <w:pStyle w:val="FirstParagraph"/>
      </w:pPr>
      <w:r>
        <w:t xml:space="preserve">No supermercado, esses dois efeitos acontecem ao mesmo tempo, e o consumidor nem percebe a diferença. Mas o governo precisa perceber: se quiser saber o impacto distributivo de uma redução tarifária, precisa saber quanto do aumento de consumo é troca (substituição) e quanto é enriquecimento (renda). A</w:t>
      </w:r>
      <w:r>
        <w:t xml:space="preserve"> </w:t>
      </w:r>
      <w:r>
        <w:rPr>
          <w:b/>
          <w:bCs/>
        </w:rPr>
        <w:t xml:space="preserve">decomposição de Slutsky</w:t>
      </w:r>
      <w:r>
        <w:t xml:space="preserve"> </w:t>
      </w:r>
      <w:r>
        <w:t xml:space="preserve">faz exatamente essa cirurgia.</w:t>
      </w:r>
    </w:p>
    <w:p>
      <w:pPr>
        <w:pStyle w:val="BodyText"/>
      </w:pPr>
      <w:r>
        <w:t xml:space="preserve">Quando o preço de um bem cai, dois fenômenos ocorrem simultaneamente:</w:t>
      </w:r>
    </w:p>
    <w:p>
      <w:pPr>
        <w:pStyle w:val="Compact"/>
        <w:numPr>
          <w:ilvl w:val="0"/>
          <w:numId w:val="1200"/>
        </w:numPr>
      </w:pPr>
      <w:r>
        <w:rPr>
          <w:b/>
          <w:bCs/>
        </w:rPr>
        <w:t xml:space="preserve">Efeito substituição</w:t>
      </w:r>
      <w:r>
        <w:t xml:space="preserve"> </w:t>
      </w:r>
      <w:r>
        <w:t xml:space="preserve">(</w:t>
      </w:r>
      <m:oMath>
        <m:r>
          <m:t>E</m:t>
        </m:r>
        <m:r>
          <m:t>S</m:t>
        </m:r>
      </m:oMath>
      <w:r>
        <w:t xml:space="preserve">): o bem ficou relativamente mais barato em relação aos demais, induzindo o consumidor a substituir outros bens por ele.</w:t>
      </w:r>
    </w:p>
    <w:p>
      <w:pPr>
        <w:pStyle w:val="Compact"/>
        <w:numPr>
          <w:ilvl w:val="0"/>
          <w:numId w:val="1200"/>
        </w:numPr>
      </w:pPr>
      <w:r>
        <w:rPr>
          <w:b/>
          <w:bCs/>
        </w:rPr>
        <w:t xml:space="preserve">Efeito renda</w:t>
      </w:r>
      <w:r>
        <w:t xml:space="preserve"> </w:t>
      </w:r>
      <w:r>
        <w:t xml:space="preserve">(</w:t>
      </w:r>
      <m:oMath>
        <m:r>
          <m:t>E</m:t>
        </m:r>
        <m:r>
          <m:t>R</m:t>
        </m:r>
      </m:oMath>
      <w:r>
        <w:t xml:space="preserve">): a queda do preço aumenta o poder de compra real do consumidor, permitindo-lhe consumir mais de todos os bens normais.</w:t>
      </w:r>
    </w:p>
    <w:bookmarkStart w:id="242" w:name="decomposição-de-hicks"/>
    <w:p>
      <w:pPr>
        <w:pStyle w:val="Heading4"/>
      </w:pPr>
      <w:r>
        <w:t xml:space="preserve">5.3.1 Decomposição de Hicks</w:t>
      </w:r>
    </w:p>
    <w:p>
      <w:pPr>
        <w:pStyle w:val="FirstParagraph"/>
      </w:pPr>
      <w:r>
        <w:t xml:space="preserve">Na abordagem de</w:t>
      </w:r>
      <w:r>
        <w:t xml:space="preserve"> </w:t>
      </w:r>
      <w:r>
        <w:rPr>
          <w:b/>
          <w:bCs/>
        </w:rPr>
        <w:t xml:space="preserve">Hicks</w:t>
      </w:r>
      <w:r>
        <w:t xml:space="preserve">, desenvolvida por John Hicks e R. G. D. Allen em 1934, o efeito substituição é definido mantendo-se o</w:t>
      </w:r>
      <w:r>
        <w:t xml:space="preserve"> </w:t>
      </w:r>
      <w:r>
        <w:rPr>
          <w:b/>
          <w:bCs/>
        </w:rPr>
        <w:t xml:space="preserve">nível de utilidade</w:t>
      </w:r>
      <w:r>
        <w:t xml:space="preserve"> </w:t>
      </w:r>
      <w:r>
        <w:t xml:space="preserve">constante. O consumidor é</w:t>
      </w:r>
      <w:r>
        <w:t xml:space="preserve"> </w:t>
      </w:r>
      <w:r>
        <w:t xml:space="preserve">“compensado”</w:t>
      </w:r>
      <w:r>
        <w:t xml:space="preserve"> </w:t>
      </w:r>
      <w:r>
        <w:t xml:space="preserve">de modo a permanecer na mesma curva de indiferença, mas enfrenta a nova razão de preços. Essa abordagem é teoricamente mais elegante porque mantém o conceito de utilidade como referência, mas tem o inconveniente prático de exigir o conhecimento das curvas de indiferença — que não são diretamente observáveis.</w:t>
      </w:r>
    </w:p>
    <w:p>
      <w:pPr>
        <w:pStyle w:val="BodyText"/>
      </w:pPr>
      <m:oMathPara>
        <m:oMathParaPr>
          <m:jc m:val="center"/>
        </m:oMathParaPr>
        <m:oMath>
          <m:limLow>
            <m:e>
              <m:limLow>
                <m:e>
                  <m:r>
                    <m:rPr>
                      <m:sty m:val="p"/>
                    </m:rPr>
                    <m:t>Δ</m:t>
                  </m:r>
                  <m:sSub>
                    <m:e>
                      <m:r>
                        <m:t>x</m:t>
                      </m:r>
                    </m:e>
                    <m:sub>
                      <m:r>
                        <m:t>i</m:t>
                      </m:r>
                    </m:sub>
                  </m:sSub>
                </m:e>
                <m:lim>
                  <m:r>
                    <m:rPr>
                      <m:sty m:val="p"/>
                    </m:rPr>
                    <m:t>⏟</m:t>
                  </m:r>
                </m:lim>
              </m:limLow>
            </m:e>
            <m:lim>
              <m:r>
                <m:rPr>
                  <m:nor/>
                  <m:sty m:val="p"/>
                </m:rPr>
                <m:t>efeito total</m:t>
              </m:r>
            </m:lim>
          </m:limLow>
          <m:r>
            <m:rPr>
              <m:sty m:val="p"/>
            </m:rPr>
            <m:t>=</m:t>
          </m:r>
          <m:limLow>
            <m:e>
              <m:limLow>
                <m:e>
                  <m:r>
                    <m:rPr>
                      <m:sty m:val="p"/>
                    </m:rPr>
                    <m:t>Δ</m:t>
                  </m:r>
                  <m:sSubSup>
                    <m:e>
                      <m:r>
                        <m:t>x</m:t>
                      </m:r>
                    </m:e>
                    <m:sub>
                      <m:r>
                        <m:t>i</m:t>
                      </m:r>
                    </m:sub>
                    <m:sup>
                      <m:r>
                        <m:t>E</m:t>
                      </m:r>
                      <m:r>
                        <m:t>S</m:t>
                      </m:r>
                    </m:sup>
                  </m:sSubSup>
                </m:e>
                <m:lim>
                  <m:r>
                    <m:rPr>
                      <m:sty m:val="p"/>
                    </m:rPr>
                    <m:t>⏟</m:t>
                  </m:r>
                </m:lim>
              </m:limLow>
            </m:e>
            <m:lim>
              <m:m>
                <m:mPr>
                  <m:baseJc m:val="center"/>
                  <m:plcHide m:val="on"/>
                  <m:mcs>
                    <m:mc>
                      <m:mcPr>
                        <m:mcJc m:val="center"/>
                        <m:count m:val="1"/>
                      </m:mcPr>
                    </m:mc>
                  </m:mcs>
                </m:mPr>
                <m:mr>
                  <m:e>
                    <m:r>
                      <m:rPr>
                        <m:nor/>
                        <m:sty m:val="p"/>
                      </m:rPr>
                      <m:t>efeito substituição</m:t>
                    </m:r>
                  </m:e>
                </m:mr>
                <m:mr>
                  <m:e>
                    <m:r>
                      <m:rPr>
                        <m:nor/>
                        <m:sty m:val="p"/>
                      </m:rPr>
                      <m:t>(utilidade constante)</m:t>
                    </m:r>
                  </m:e>
                </m:mr>
              </m:m>
            </m:lim>
          </m:limLow>
          <m:r>
            <m:rPr>
              <m:sty m:val="p"/>
            </m:rPr>
            <m:t>+</m:t>
          </m:r>
          <m:limLow>
            <m:e>
              <m:limLow>
                <m:e>
                  <m:r>
                    <m:rPr>
                      <m:sty m:val="p"/>
                    </m:rPr>
                    <m:t>Δ</m:t>
                  </m:r>
                  <m:sSubSup>
                    <m:e>
                      <m:r>
                        <m:t>x</m:t>
                      </m:r>
                    </m:e>
                    <m:sub>
                      <m:r>
                        <m:t>i</m:t>
                      </m:r>
                    </m:sub>
                    <m:sup>
                      <m:r>
                        <m:t>E</m:t>
                      </m:r>
                      <m:r>
                        <m:t>R</m:t>
                      </m:r>
                    </m:sup>
                  </m:sSubSup>
                </m:e>
                <m:lim>
                  <m:r>
                    <m:rPr>
                      <m:sty m:val="p"/>
                    </m:rPr>
                    <m:t>⏟</m:t>
                  </m:r>
                </m:lim>
              </m:limLow>
            </m:e>
            <m:lim>
              <m:m>
                <m:mPr>
                  <m:baseJc m:val="center"/>
                  <m:plcHide m:val="on"/>
                  <m:mcs>
                    <m:mc>
                      <m:mcPr>
                        <m:mcJc m:val="center"/>
                        <m:count m:val="1"/>
                      </m:mcPr>
                    </m:mc>
                  </m:mcs>
                </m:mPr>
                <m:mr>
                  <m:e>
                    <m:r>
                      <m:rPr>
                        <m:nor/>
                        <m:sty m:val="p"/>
                      </m:rPr>
                      <m:t>efeito renda</m:t>
                    </m:r>
                  </m:e>
                </m:mr>
                <m:mr>
                  <m:e>
                    <m:r>
                      <m:rPr>
                        <m:nor/>
                        <m:sty m:val="p"/>
                      </m:rPr>
                      <m:t>(poder de compra)</m:t>
                    </m:r>
                  </m:e>
                </m:mr>
              </m:m>
            </m:lim>
          </m:limLow>
        </m:oMath>
      </m:oMathPara>
    </w:p>
    <w:p>
      <w:pPr>
        <w:pStyle w:val="FirstParagraph"/>
      </w:pPr>
      <w:r>
        <w:t xml:space="preserve">O efeito substituição de Hicks move o consumidor</w:t>
      </w:r>
      <w:r>
        <w:t xml:space="preserve"> </w:t>
      </w:r>
      <w:r>
        <w:rPr>
          <w:b/>
          <w:bCs/>
        </w:rPr>
        <w:t xml:space="preserve">ao longo</w:t>
      </w:r>
      <w:r>
        <w:t xml:space="preserve"> </w:t>
      </w:r>
      <w:r>
        <w:t xml:space="preserve">da curva de indiferença original; o efeito renda move o consumidor</w:t>
      </w:r>
      <w:r>
        <w:t xml:space="preserve"> </w:t>
      </w:r>
      <w:r>
        <w:rPr>
          <w:b/>
          <w:bCs/>
        </w:rPr>
        <w:t xml:space="preserve">entre</w:t>
      </w:r>
      <w:r>
        <w:t xml:space="preserve"> </w:t>
      </w:r>
      <w:r>
        <w:t xml:space="preserve">curvas de indiferença.</w:t>
      </w:r>
    </w:p>
    <w:bookmarkEnd w:id="242"/>
    <w:bookmarkStart w:id="244" w:name="decomposição-de-slutsky"/>
    <w:p>
      <w:pPr>
        <w:pStyle w:val="Heading4"/>
      </w:pPr>
      <w:r>
        <w:t xml:space="preserve">5.3.2 Decomposição de Slutsky</w:t>
      </w:r>
    </w:p>
    <w:p>
      <w:pPr>
        <w:pStyle w:val="FirstParagraph"/>
      </w:pPr>
      <w:r>
        <w:t xml:space="preserve">A decomposição de Hicks, embora elegante, exige que conheçamos as curvas de indiferença do consumidor — algo que, na prática, não observamos diretamente. Existe uma alternativa mais operacional? Sim: a abordagem de</w:t>
      </w:r>
      <w:r>
        <w:t xml:space="preserve"> </w:t>
      </w:r>
      <w:r>
        <w:rPr>
          <w:b/>
          <w:bCs/>
        </w:rPr>
        <w:t xml:space="preserve">Slutsky</w:t>
      </w:r>
      <w:r>
        <w:t xml:space="preserve"> </w:t>
      </w:r>
      <w:r>
        <w:t xml:space="preserve">propõe um critério de compensação baseado em grandezas observáveis. Na abordagem de Slutsky, o efeito substituição é definido mantendo-se o</w:t>
      </w:r>
      <w:r>
        <w:t xml:space="preserve"> </w:t>
      </w:r>
      <w:r>
        <w:rPr>
          <w:b/>
          <w:bCs/>
        </w:rPr>
        <w:t xml:space="preserve">poder de compra</w:t>
      </w:r>
      <w:r>
        <w:t xml:space="preserve"> </w:t>
      </w:r>
      <w:r>
        <w:t xml:space="preserve">constante — ou seja, compensando-se a renda de modo que a cesta original permaneça acessível. A compensação de Slutsky é dada por:</w:t>
      </w:r>
    </w:p>
    <w:p>
      <w:pPr>
        <w:pStyle w:val="BodyText"/>
      </w:pPr>
      <w:r>
        <w:t xml:space="preserve">$$
    \Delta I^S = x_i^* \cdot \Delta p_i \label{eq:5.3.2} \tag{5.3.2}
    $$</w:t>
      </w:r>
    </w:p>
    <w:p>
      <w:pPr>
        <w:pStyle w:val="FirstParagraph"/>
      </w:pPr>
      <w:r>
        <w:t xml:space="preserve">Ambas as decomposições — a de Hicks, expressa na equação Eq. (eq:5.3.1), e a de Slutsky, com compensação dada pela equação Eq. (eq:5.3.2) — convergem para variações infinitesimais de preço e resultam na mesma equação fundamental — a Equação de Slutsky. A distinção entre as duas abordagens reaparecerá na Seção 5.8, quando calcularmos medidas de bem-estar: a decomposição de Hicks é a base teórica da variação compensatória e da variação equivalente, enquanto a decomposição de Slutsky está intimamente ligada à interpretação do excedente do consumidor marshalliano.</w:t>
      </w:r>
    </w:p>
    <w:p>
      <w:pPr>
        <w:pStyle w:val="BlockText"/>
      </w:pPr>
      <w:r>
        <w:rPr>
          <w:b/>
          <w:bCs/>
        </w:rPr>
        <w:t xml:space="preserve">[INTUICAO ECONOMICA] Intuição Econômica</w:t>
      </w:r>
    </w:p>
    <w:p>
      <w:pPr>
        <w:pStyle w:val="BlockText"/>
      </w:pPr>
      <w:r>
        <w:rPr>
          <w:b/>
          <w:bCs/>
        </w:rPr>
        <w:t xml:space="preserve">Em uma frase:</w:t>
      </w:r>
      <w:r>
        <w:t xml:space="preserve"> </w:t>
      </w:r>
      <w:r>
        <w:t xml:space="preserve">Toda mudança de preço tem dois efeitos: substituição (troca entre bens) e renda (poder de compra) — separá-los é a chave da análise da demanda.</w:t>
      </w:r>
    </w:p>
    <w:p>
      <w:pPr>
        <w:pStyle w:val="BlockText"/>
      </w:pPr>
      <w:r>
        <w:rPr>
          <w:b/>
          <w:bCs/>
        </w:rPr>
        <w:t xml:space="preserve">Pense assim:</w:t>
      </w:r>
      <w:r>
        <w:t xml:space="preserve"> </w:t>
      </w:r>
      <w:r>
        <w:t xml:space="preserve">A gasolina ficou 10% mais barata. O efeito substituição faz você trocar um pouco de transporte público por carro. O efeito renda faz você</w:t>
      </w:r>
      <w:r>
        <w:t xml:space="preserve"> </w:t>
      </w:r>
      <w:r>
        <w:t xml:space="preserve">“se sentir mais rico”</w:t>
      </w:r>
      <w:r>
        <w:t xml:space="preserve">, podendo aumentar o consumo de diversos bens. Se a gasolina for um bem normal, ambos reforçam a maior demanda. Se for inferior, os efeitos se opõem.</w:t>
      </w:r>
    </w:p>
    <w:p>
      <w:pPr>
        <w:pStyle w:val="BlockText"/>
      </w:pPr>
      <w:r>
        <w:rPr>
          <w:b/>
          <w:bCs/>
        </w:rPr>
        <w:t xml:space="preserve">Por que isso importa:</w:t>
      </w:r>
      <w:r>
        <w:t xml:space="preserve"> </w:t>
      </w:r>
      <w:r>
        <w:t xml:space="preserve">A decomposição de Slutsky é a base para avaliar o impacto de impostos e subsídios sobre o consumo — e para distinguir quando uma queda de preço beneficia os consumidores pelo barateamento relativo ou pelo aumento do poder de compra.</w:t>
      </w:r>
    </w:p>
    <w:p>
      <w:pPr>
        <w:pStyle w:val="BlockText"/>
      </w:pPr>
      <w:r>
        <w:rPr>
          <w:b/>
          <w:bCs/>
        </w:rPr>
        <w:t xml:space="preserve">[BOX BRASIL] Box Brasil 5.2 — Preços administrados e o efeito substituição: energia elétrica e bandeiras tarifárias</w:t>
      </w:r>
    </w:p>
    <w:p>
      <w:pPr>
        <w:pStyle w:val="BlockText"/>
      </w:pPr>
      <w:r>
        <w:t xml:space="preserve">No Brasil, diversos preços são fixados ou regulados por agências governamentais — os chamados</w:t>
      </w:r>
      <w:r>
        <w:t xml:space="preserve"> </w:t>
      </w:r>
      <w:r>
        <w:rPr>
          <w:b/>
          <w:bCs/>
        </w:rPr>
        <w:t xml:space="preserve">preços administrados</w:t>
      </w:r>
      <w:r>
        <w:t xml:space="preserve">, que representam cerca de 25% do IPCA. A energia elétrica é um caso particularmente interessante para a teoria do consumidor, pois o sistema de</w:t>
      </w:r>
      <w:r>
        <w:t xml:space="preserve"> </w:t>
      </w:r>
      <w:r>
        <w:rPr>
          <w:b/>
          <w:bCs/>
        </w:rPr>
        <w:t xml:space="preserve">bandeiras tarifárias</w:t>
      </w:r>
      <w:r>
        <w:t xml:space="preserve"> </w:t>
      </w:r>
      <w:r>
        <w:t xml:space="preserve">(verde, amarela e vermelha) funciona como uma variação exógena de preço com periodicidade mensal.</w:t>
      </w:r>
    </w:p>
    <w:p>
      <w:pPr>
        <w:pStyle w:val="BlockText"/>
      </w:pPr>
      <w:r>
        <w:rPr>
          <w:b/>
          <w:bCs/>
        </w:rPr>
        <w:t xml:space="preserve">Mecanismo:</w:t>
      </w:r>
      <w:r>
        <w:t xml:space="preserve"> </w:t>
      </w:r>
      <w:r>
        <w:t xml:space="preserve">quando a bandeira muda de verde para vermelha (patamar 2), a tarifa residencial pode subir mais de R$ 0,07/kWh, o que equivale a um aumento de 8–10% no custo da energia. Essa variação é exógena ao consumidor (depende de condições hidrológicas), criando um experimento natural para observar efeitos substituição e renda.</w:t>
      </w:r>
    </w:p>
    <w:p>
      <w:pPr>
        <w:pStyle w:val="BlockText"/>
      </w:pPr>
      <w:r>
        <w:rPr>
          <w:b/>
          <w:bCs/>
        </w:rPr>
        <w:t xml:space="preserve">Efeito substituição:</w:t>
      </w:r>
      <w:r>
        <w:t xml:space="preserve"> </w:t>
      </w:r>
      <w:r>
        <w:t xml:space="preserve">quando a bandeira vermelha é ativada, famílias reduzem o uso de chuveiro elétrico, ar-condicionado e máquina de lavar em horários de pico — substituindo eletricidade por gás (aquecimento), ventilação natural ou deslocamento temporal do consumo. A tarifa média de energia residencial subiu em média 5,6% a 6,9% em 2023, segundo a</w:t>
      </w:r>
      <w:r>
        <w:t xml:space="preserve"> </w:t>
      </w:r>
      <w:hyperlink r:id="rId243">
        <w:r>
          <w:rPr>
            <w:rStyle w:val="Hyperlink"/>
          </w:rPr>
          <w:t xml:space="preserve">ANEEL</w:t>
        </w:r>
      </w:hyperlink>
      <w:r>
        <w:t xml:space="preserve">.</w:t>
      </w:r>
    </w:p>
    <w:p>
      <w:pPr>
        <w:pStyle w:val="BlockText"/>
      </w:pPr>
      <w:r>
        <w:rPr>
          <w:b/>
          <w:bCs/>
        </w:rPr>
        <w:t xml:space="preserve">Efeito renda:</w:t>
      </w:r>
      <w:r>
        <w:t xml:space="preserve"> </w:t>
      </w:r>
      <w:r>
        <w:t xml:space="preserve">para famílias de baixa renda, em que a conta de luz pode representar 10–15% do orçamento mensal, o efeito renda do aumento tarifário é significativo, reduzindo o consumo de outros bens.</w:t>
      </w:r>
    </w:p>
    <w:p>
      <w:pPr>
        <w:pStyle w:val="BlockText"/>
      </w:pPr>
      <w:r>
        <w:rPr>
          <w:b/>
          <w:bCs/>
        </w:rPr>
        <w:t xml:space="preserve">Fontes</w:t>
      </w:r>
      <w:r>
        <w:t xml:space="preserve">: ANEEL — Tarifas e Bandeiras Tarifárias; BCB — Relatório de Inflação; Agência Brasil (2022).</w:t>
      </w:r>
    </w:p>
    <w:p>
      <w:pPr>
        <w:pStyle w:val="FirstParagraph"/>
      </w:pPr>
      <w:r>
        <w:t xml:space="preserve">[FIGURA INTERATIVA: /micro-book/graficos/cap05/efeito-renda-substituicao.html — versao interativa disponivel online]</w:t>
      </w:r>
    </w:p>
    <w:p>
      <w:pPr>
        <w:pStyle w:val="BodyText"/>
      </w:pPr>
      <w:r>
        <w:rPr>
          <w:b/>
          <w:bCs/>
        </w:rPr>
        <w:t xml:space="preserve">Figura 5.2 — Decomposição dos efeitos renda e substituição.</w:t>
      </w:r>
      <w:r>
        <w:t xml:space="preserve"> </w:t>
      </w:r>
      <w:r>
        <w:t xml:space="preserve">Ajuste o novo preço</w:t>
      </w:r>
      <w:r>
        <w:t xml:space="preserve"> </w:t>
      </w:r>
      <m:oMath>
        <m:sSubSup>
          <m:e>
            <m:r>
              <m:t>p</m:t>
            </m:r>
          </m:e>
          <m:sub>
            <m:r>
              <m:t>1</m:t>
            </m:r>
          </m:sub>
          <m:sup>
            <m:r>
              <m:rPr>
                <m:sty m:val="p"/>
              </m:rPr>
              <m:t>′</m:t>
            </m:r>
          </m:sup>
        </m:sSubSup>
      </m:oMath>
      <w:r>
        <w:t xml:space="preserve"> </w:t>
      </w:r>
      <w:r>
        <w:t xml:space="preserve">e observe como o efeito total (vermelho) se decompõe em efeito substituição (verde, ao longo da curva de indiferença) e efeito renda (azul, entre curvas). Alterne entre as decomposições de Hicks e Slutsky.</w:t>
      </w:r>
    </w:p>
    <w:p>
      <w:r>
        <w:pict>
          <v:rect style="width:0;height:1.5pt" o:hralign="center" o:hrstd="t" o:hr="t"/>
        </w:pict>
      </w:r>
    </w:p>
    <w:bookmarkEnd w:id="244"/>
    <w:bookmarkEnd w:id="245"/>
    <w:bookmarkStart w:id="249" w:name="a-equação-que-separa-tudo-slutsky"/>
    <w:p>
      <w:pPr>
        <w:pStyle w:val="Heading3"/>
      </w:pPr>
      <w:r>
        <w:t xml:space="preserve">5.4 A Equação Que Separa Tudo: Slutsky</w:t>
      </w:r>
    </w:p>
    <w:p>
      <w:pPr>
        <w:pStyle w:val="FirstParagraph"/>
      </w:pPr>
      <w:r>
        <w:t xml:space="preserve">Os gráficos deram a intuição; agora a álgebra dá a precisão. A</w:t>
      </w:r>
      <w:r>
        <w:t xml:space="preserve"> </w:t>
      </w:r>
      <w:r>
        <w:rPr>
          <w:b/>
          <w:bCs/>
        </w:rPr>
        <w:t xml:space="preserve">Equação de Slutsky</w:t>
      </w:r>
      <w:r>
        <w:t xml:space="preserve"> </w:t>
      </w:r>
      <w:r>
        <w:t xml:space="preserve">é, sem exagero,</w:t>
      </w:r>
      <w:r>
        <w:t xml:space="preserve"> </w:t>
      </w:r>
      <w:r>
        <w:rPr>
          <w:i/>
          <w:iCs/>
        </w:rPr>
        <w:t xml:space="preserve">a</w:t>
      </w:r>
      <w:r>
        <w:t xml:space="preserve"> </w:t>
      </w:r>
      <w:r>
        <w:t xml:space="preserve">equação da teoria do consumidor — aquela que aparece em toda prova de micro, em todo paper de demanda, em toda análise de política tributária. Ela decompõe a resposta da demanda a uma variação de preço em dois pedaços cirurgicamente separados, conectando as funções marshalliana e hicksiana numa identidade elegante. Se este livro fosse uma peça de teatro, a Equação de Slutsky seria o monólogo do ato final.</w:t>
      </w:r>
    </w:p>
    <w:p>
      <w:pPr>
        <w:pStyle w:val="BodyText"/>
      </w:pPr>
      <w:r>
        <w:t xml:space="preserve">Uma nota sobre convenção de sinais, que frequentemente gera confusão: na Equação de Slutsky, o efeito renda aparece com sinal negativo, pois um aumento de preço</w:t>
      </w:r>
      <w:r>
        <w:t xml:space="preserve"> </w:t>
      </w:r>
      <w:r>
        <w:rPr>
          <w:i/>
          <w:iCs/>
        </w:rPr>
        <w:t xml:space="preserve">reduz</w:t>
      </w:r>
      <w:r>
        <w:t xml:space="preserve"> </w:t>
      </w:r>
      <w:r>
        <w:t xml:space="preserve">o poder de compra real. Assim, para um bem normal (</w:t>
      </w:r>
      <m:oMath>
        <m:r>
          <m:rPr>
            <m:sty m:val="p"/>
          </m:rPr>
          <m:t>∂</m:t>
        </m:r>
        <m:sSub>
          <m:e>
            <m:r>
              <m:t>x</m:t>
            </m:r>
          </m:e>
          <m:sub>
            <m:r>
              <m:t>i</m:t>
            </m:r>
          </m:sub>
        </m:sSub>
        <m:r>
          <m:rPr>
            <m:sty m:val="p"/>
          </m:rPr>
          <m:t>/</m:t>
        </m:r>
        <m:r>
          <m:rPr>
            <m:sty m:val="p"/>
          </m:rPr>
          <m:t>∂</m:t>
        </m:r>
        <m:r>
          <m:t>I</m:t>
        </m:r>
        <m:r>
          <m:rPr>
            <m:sty m:val="p"/>
          </m:rPr>
          <m:t>&gt;</m:t>
        </m:r>
        <m:r>
          <m:t>0</m:t>
        </m:r>
      </m:oMath>
      <w:r>
        <w:t xml:space="preserve">), o termo</w:t>
      </w:r>
      <w:r>
        <w:t xml:space="preserve"> </w:t>
      </w:r>
      <m:oMath>
        <m:r>
          <m:rPr>
            <m:sty m:val="p"/>
          </m:rPr>
          <m:t>−</m:t>
        </m:r>
        <m:sSub>
          <m:e>
            <m:r>
              <m:t>x</m:t>
            </m:r>
          </m:e>
          <m:sub>
            <m:r>
              <m:t>j</m:t>
            </m:r>
          </m:sub>
        </m:sSub>
        <m:r>
          <m:rPr>
            <m:sty m:val="p"/>
          </m:rPr>
          <m:t>∂</m:t>
        </m:r>
        <m:sSub>
          <m:e>
            <m:r>
              <m:t>x</m:t>
            </m:r>
          </m:e>
          <m:sub>
            <m:r>
              <m:t>i</m:t>
            </m:r>
          </m:sub>
        </m:sSub>
        <m:r>
          <m:rPr>
            <m:sty m:val="p"/>
          </m:rPr>
          <m:t>/</m:t>
        </m:r>
        <m:r>
          <m:rPr>
            <m:sty m:val="p"/>
          </m:rPr>
          <m:t>∂</m:t>
        </m:r>
        <m:r>
          <m:t>I</m:t>
        </m:r>
      </m:oMath>
      <w:r>
        <w:t xml:space="preserve"> </w:t>
      </w:r>
      <w:r>
        <w:t xml:space="preserve">é negativo — reforçando a queda na demanda causada pelo aumento de preço. Para um bem inferior (</w:t>
      </w:r>
      <m:oMath>
        <m:r>
          <m:rPr>
            <m:sty m:val="p"/>
          </m:rPr>
          <m:t>∂</m:t>
        </m:r>
        <m:sSub>
          <m:e>
            <m:r>
              <m:t>x</m:t>
            </m:r>
          </m:e>
          <m:sub>
            <m:r>
              <m:t>i</m:t>
            </m:r>
          </m:sub>
        </m:sSub>
        <m:r>
          <m:rPr>
            <m:sty m:val="p"/>
          </m:rPr>
          <m:t>/</m:t>
        </m:r>
        <m:r>
          <m:rPr>
            <m:sty m:val="p"/>
          </m:rPr>
          <m:t>∂</m:t>
        </m:r>
        <m:r>
          <m:t>I</m:t>
        </m:r>
        <m:r>
          <m:rPr>
            <m:sty m:val="p"/>
          </m:rPr>
          <m:t>&lt;</m:t>
        </m:r>
        <m:r>
          <m:t>0</m:t>
        </m:r>
      </m:oMath>
      <w:r>
        <w:t xml:space="preserve">), o mesmo termo é positivo — o efeito renda atenua (ou até reverte) a queda na demanda.</w:t>
      </w:r>
    </w:p>
    <w:p>
      <w:pPr>
        <w:pStyle w:val="BlockText"/>
      </w:pPr>
      <w:r>
        <w:rPr>
          <w:b/>
          <w:bCs/>
        </w:rPr>
        <w:t xml:space="preserve">[TEOREMA] Teorema: Equação de Slutsky</w:t>
      </w:r>
    </w:p>
    <w:p>
      <w:pPr>
        <w:pStyle w:val="BlockText"/>
      </w:pPr>
      <w:r>
        <w:t xml:space="preserve">Para quaisquer bens</w:t>
      </w:r>
      <w:r>
        <w:t xml:space="preserve"> </w:t>
      </w:r>
      <m:oMath>
        <m:r>
          <m:t>i</m:t>
        </m:r>
      </m:oMath>
      <w:r>
        <w:t xml:space="preserve"> </w:t>
      </w:r>
      <w:r>
        <w:t xml:space="preserve">e</w:t>
      </w:r>
      <w:r>
        <w:t xml:space="preserve"> </w:t>
      </w:r>
      <m:oMath>
        <m:r>
          <m:t>j</m:t>
        </m:r>
      </m:oMath>
      <w:r>
        <w:t xml:space="preserve">:</w:t>
      </w:r>
    </w:p>
    <w:p>
      <w:pPr>
        <w:pStyle w:val="BlockText"/>
      </w:pPr>
      <w:r>
        <w:t xml:space="preserve">$$</w:t>
      </w:r>
    </w:p>
    <w:p>
      <w:pPr>
        <w:pStyle w:val="BlockText"/>
      </w:pPr>
      <w:r>
        <w:t xml:space="preserve"> </w:t>
      </w:r>
      <w:r>
        <w:t xml:space="preserve">=</w:t>
      </w:r>
      <w:r>
        <w:t xml:space="preserve"> </w:t>
      </w:r>
      <w:r>
        <w:t xml:space="preserve"> </w:t>
      </w:r>
      <w:r>
        <w:t xml:space="preserve">- x_j</w:t>
      </w:r>
      <w:r>
        <w:t xml:space="preserve"> </w:t>
      </w:r>
      <w:r>
        <w:t xml:space="preserve"> </w:t>
      </w:r>
      <w:r>
        <w:t xml:space="preserve"> </w:t>
      </w:r>
    </w:p>
    <w:p>
      <w:pPr>
        <w:pStyle w:val="BlockText"/>
      </w:pPr>
      <w:r>
        <w:t xml:space="preserve">$$</w:t>
      </w:r>
    </w:p>
    <w:p>
      <w:pPr>
        <w:pStyle w:val="BlockText"/>
      </w:pPr>
      <w:r>
        <w:t xml:space="preserve">onde</w:t>
      </w:r>
      <w:r>
        <w:t xml:space="preserve"> </w:t>
      </w:r>
      <m:oMath>
        <m:sSub>
          <m:e>
            <m:r>
              <m:t>x</m:t>
            </m:r>
          </m:e>
          <m:sub>
            <m:r>
              <m:t>i</m:t>
            </m:r>
          </m:sub>
        </m:sSub>
        <m:r>
          <m:rPr>
            <m:sty m:val="p"/>
          </m:rPr>
          <m:t>=</m:t>
        </m:r>
        <m:sSub>
          <m:e>
            <m:r>
              <m:t>x</m:t>
            </m:r>
          </m:e>
          <m:sub>
            <m:r>
              <m:t>i</m:t>
            </m:r>
          </m:sub>
        </m:sSub>
        <m:r>
          <m:rPr>
            <m:sty m:val="p"/>
          </m:rPr>
          <m:t>(</m:t>
        </m:r>
        <m:sSub>
          <m:e>
            <m:r>
              <m:t>p</m:t>
            </m:r>
          </m:e>
          <m:sub>
            <m:r>
              <m:t>1</m:t>
            </m:r>
          </m:sub>
        </m:sSub>
        <m:r>
          <m:rPr>
            <m:sty m:val="p"/>
          </m:rPr>
          <m:t>,</m:t>
        </m:r>
        <m:r>
          <m:rPr>
            <m:sty m:val="p"/>
          </m:rPr>
          <m:t>…</m:t>
        </m:r>
        <m:r>
          <m:rPr>
            <m:sty m:val="p"/>
          </m:rPr>
          <m:t>,</m:t>
        </m:r>
        <m:sSub>
          <m:e>
            <m:r>
              <m:t>p</m:t>
            </m:r>
          </m:e>
          <m:sub>
            <m:r>
              <m:t>n</m:t>
            </m:r>
          </m:sub>
        </m:sSub>
        <m:r>
          <m:rPr>
            <m:sty m:val="p"/>
          </m:rPr>
          <m:t>,</m:t>
        </m:r>
        <m:r>
          <m:t>I</m:t>
        </m:r>
        <m:r>
          <m:rPr>
            <m:sty m:val="p"/>
          </m:rPr>
          <m:t>)</m:t>
        </m:r>
      </m:oMath>
      <w:r>
        <w:t xml:space="preserve"> </w:t>
      </w:r>
      <w:r>
        <w:t xml:space="preserve">é a demanda marshalliana,</w:t>
      </w:r>
      <w:r>
        <w:t xml:space="preserve"> </w:t>
      </w:r>
      <m:oMath>
        <m:sSub>
          <m:e>
            <m:r>
              <m:t>h</m:t>
            </m:r>
          </m:e>
          <m:sub>
            <m:r>
              <m:t>i</m:t>
            </m:r>
          </m:sub>
        </m:sSub>
        <m:r>
          <m:rPr>
            <m:sty m:val="p"/>
          </m:rPr>
          <m:t>=</m:t>
        </m:r>
        <m:sSub>
          <m:e>
            <m:r>
              <m:t>h</m:t>
            </m:r>
          </m:e>
          <m:sub>
            <m:r>
              <m:t>i</m:t>
            </m:r>
          </m:sub>
        </m:sSub>
        <m:r>
          <m:rPr>
            <m:sty m:val="p"/>
          </m:rPr>
          <m:t>(</m:t>
        </m:r>
        <m:sSub>
          <m:e>
            <m:r>
              <m:t>p</m:t>
            </m:r>
          </m:e>
          <m:sub>
            <m:r>
              <m:t>1</m:t>
            </m:r>
          </m:sub>
        </m:sSub>
        <m:r>
          <m:rPr>
            <m:sty m:val="p"/>
          </m:rPr>
          <m:t>,</m:t>
        </m:r>
        <m:r>
          <m:rPr>
            <m:sty m:val="p"/>
          </m:rPr>
          <m:t>…</m:t>
        </m:r>
        <m:r>
          <m:rPr>
            <m:sty m:val="p"/>
          </m:rPr>
          <m:t>,</m:t>
        </m:r>
        <m:sSub>
          <m:e>
            <m:r>
              <m:t>p</m:t>
            </m:r>
          </m:e>
          <m:sub>
            <m:r>
              <m:t>n</m:t>
            </m:r>
          </m:sub>
        </m:sSub>
        <m:r>
          <m:rPr>
            <m:sty m:val="p"/>
          </m:rPr>
          <m:t>,</m:t>
        </m:r>
        <m:acc>
          <m:accPr>
            <m:chr m:val="‾"/>
          </m:accPr>
          <m:e>
            <m:r>
              <m:t>U</m:t>
            </m:r>
          </m:e>
        </m:acc>
        <m:r>
          <m:rPr>
            <m:sty m:val="p"/>
          </m:rPr>
          <m:t>)</m:t>
        </m:r>
      </m:oMath>
      <w:r>
        <w:t xml:space="preserve"> </w:t>
      </w:r>
      <w:r>
        <w:t xml:space="preserve">é a demanda hicksiana e</w:t>
      </w:r>
      <w:r>
        <w:t xml:space="preserve"> </w:t>
      </w:r>
      <m:oMath>
        <m:r>
          <m:t>I</m:t>
        </m:r>
      </m:oMath>
      <w:r>
        <w:t xml:space="preserve"> </w:t>
      </w:r>
      <w:r>
        <w:t xml:space="preserve">é a renda.</w:t>
      </w:r>
    </w:p>
    <w:p>
      <w:pPr>
        <w:pStyle w:val="BlockText"/>
      </w:pPr>
      <w:r>
        <w:t xml:space="preserve">O primeiro termo é o</w:t>
      </w:r>
      <w:r>
        <w:t xml:space="preserve"> </w:t>
      </w:r>
      <w:r>
        <w:rPr>
          <w:b/>
          <w:bCs/>
        </w:rPr>
        <w:t xml:space="preserve">efeito substituição</w:t>
      </w:r>
      <w:r>
        <w:t xml:space="preserve"> </w:t>
      </w:r>
      <w:r>
        <w:t xml:space="preserve">(sempre não-positivo para</w:t>
      </w:r>
      <w:r>
        <w:t xml:space="preserve"> </w:t>
      </w:r>
      <m:oMath>
        <m:r>
          <m:t>i</m:t>
        </m:r>
        <m:r>
          <m:rPr>
            <m:sty m:val="p"/>
          </m:rPr>
          <m:t>=</m:t>
        </m:r>
        <m:r>
          <m:t>j</m:t>
        </m:r>
      </m:oMath>
      <w:r>
        <w:t xml:space="preserve">); o segundo é o</w:t>
      </w:r>
      <w:r>
        <w:t xml:space="preserve"> </w:t>
      </w:r>
      <w:r>
        <w:rPr>
          <w:b/>
          <w:bCs/>
        </w:rPr>
        <w:t xml:space="preserve">efeito renda</w:t>
      </w:r>
      <w:r>
        <w:t xml:space="preserve">, ponderado pela quantidade consumida do bem cujo preço variou.</w:t>
      </w:r>
    </w:p>
    <w:p>
      <w:pPr>
        <w:pStyle w:val="BlockText"/>
      </w:pPr>
      <w:r>
        <w:rPr>
          <w:b/>
          <w:bCs/>
        </w:rPr>
        <w:t xml:space="preserve">[DEMONSTRACAO] Demonstração: Derivação completa da Equação de Slutsky</w:t>
      </w:r>
    </w:p>
    <w:p>
      <w:pPr>
        <w:pStyle w:val="BlockText"/>
      </w:pPr>
      <w:r>
        <w:rPr>
          <w:b/>
          <w:bCs/>
        </w:rPr>
        <w:t xml:space="preserve">Passo 1: Identidade fundamental.</w:t>
      </w:r>
    </w:p>
    <w:p>
      <w:pPr>
        <w:pStyle w:val="BlockText"/>
      </w:pPr>
      <w:r>
        <w:t xml:space="preserve">A demanda hicksiana e a marshalliana estão conectadas pela função dispêndio</w:t>
      </w:r>
      <w:r>
        <w:t xml:space="preserve"> </w:t>
      </w:r>
      <m:oMath>
        <m:r>
          <m:t>E</m:t>
        </m:r>
        <m:r>
          <m:rPr>
            <m:sty m:val="p"/>
          </m:rPr>
          <m:t>(</m:t>
        </m:r>
        <m:r>
          <m:rPr>
            <m:sty m:val="bi"/>
          </m:rPr>
          <m:t>p</m:t>
        </m:r>
        <m:r>
          <m:rPr>
            <m:sty m:val="p"/>
          </m:rPr>
          <m:t>,</m:t>
        </m:r>
        <m:acc>
          <m:accPr>
            <m:chr m:val="‾"/>
          </m:accPr>
          <m:e>
            <m:r>
              <m:t>U</m:t>
            </m:r>
          </m:e>
        </m:acc>
        <m:r>
          <m:rPr>
            <m:sty m:val="p"/>
          </m:rPr>
          <m:t>)</m:t>
        </m:r>
      </m:oMath>
      <w:r>
        <w:t xml:space="preserve">. Para qualquer nível de utilidade</w:t>
      </w:r>
      <w:r>
        <w:t xml:space="preserve"> </w:t>
      </w:r>
      <m:oMath>
        <m:acc>
          <m:accPr>
            <m:chr m:val="‾"/>
          </m:accPr>
          <m:e>
            <m:r>
              <m:t>U</m:t>
            </m:r>
          </m:e>
        </m:acc>
      </m:oMath>
      <w:r>
        <w:t xml:space="preserve">:</w:t>
      </w:r>
    </w:p>
    <w:p>
      <w:pPr>
        <w:pStyle w:val="BlockText"/>
      </w:pPr>
      <w:r>
        <w:t xml:space="preserve">$$</w:t>
      </w:r>
    </w:p>
    <w:p>
      <w:pPr>
        <w:pStyle w:val="BlockText"/>
      </w:pPr>
      <w:r>
        <w:t xml:space="preserve">h_i(</w:t>
      </w:r>
      <w:r>
        <w:t xml:space="preserve">,</w:t>
      </w:r>
      <w:r>
        <w:t xml:space="preserve"> </w:t>
      </w:r>
      <w:r>
        <w:t xml:space="preserve">{U}) = x_i(</w:t>
      </w:r>
      <w:r>
        <w:t xml:space="preserve">, E(</w:t>
      </w:r>
      <w:r>
        <w:t xml:space="preserve">,</w:t>
      </w:r>
      <w:r>
        <w:t xml:space="preserve"> </w:t>
      </w:r>
      <w:r>
        <w:t xml:space="preserve">{U}))</w:t>
      </w:r>
    </w:p>
    <w:p>
      <w:pPr>
        <w:pStyle w:val="BlockText"/>
      </w:pPr>
      <w:r>
        <w:t xml:space="preserve">$$</w:t>
      </w:r>
    </w:p>
    <w:p>
      <w:pPr>
        <w:pStyle w:val="BlockText"/>
      </w:pPr>
      <w:r>
        <w:t xml:space="preserve">Essa identidade afirma que, ao nível de utilidade</w:t>
      </w:r>
      <w:r>
        <w:t xml:space="preserve"> </w:t>
      </w:r>
      <m:oMath>
        <m:acc>
          <m:accPr>
            <m:chr m:val="‾"/>
          </m:accPr>
          <m:e>
            <m:r>
              <m:t>U</m:t>
            </m:r>
          </m:e>
        </m:acc>
      </m:oMath>
      <w:r>
        <w:t xml:space="preserve">, a demanda compensada coincide com a demanda não-compensada quando a renda é exatamente igual ao dispêndio mínimo.</w:t>
      </w:r>
    </w:p>
    <w:p>
      <w:pPr>
        <w:pStyle w:val="BlockText"/>
      </w:pPr>
      <w:r>
        <w:rPr>
          <w:b/>
          <w:bCs/>
        </w:rPr>
        <w:t xml:space="preserve">Passo 2: Diferenciação em relação a</w:t>
      </w:r>
      <w:r>
        <w:rPr>
          <w:b/>
          <w:bCs/>
        </w:rPr>
        <w:t xml:space="preserve"> </w:t>
      </w:r>
      <m:oMath>
        <m:sSub>
          <m:e>
            <m:r>
              <m:t>p</m:t>
            </m:r>
          </m:e>
          <m:sub>
            <m:r>
              <m:t>j</m:t>
            </m:r>
          </m:sub>
        </m:sSub>
      </m:oMath>
      <w:r>
        <w:rPr>
          <w:b/>
          <w:bCs/>
        </w:rPr>
        <w:t xml:space="preserve">.</w:t>
      </w:r>
    </w:p>
    <w:p>
      <w:pPr>
        <w:pStyle w:val="BlockText"/>
      </w:pPr>
      <w:r>
        <w:t xml:space="preserve">Diferenciando ambos os lados em relação a</w:t>
      </w:r>
      <w:r>
        <w:t xml:space="preserve"> </w:t>
      </w:r>
      <m:oMath>
        <m:sSub>
          <m:e>
            <m:r>
              <m:t>p</m:t>
            </m:r>
          </m:e>
          <m:sub>
            <m:r>
              <m:t>j</m:t>
            </m:r>
          </m:sub>
        </m:sSub>
      </m:oMath>
      <w:r>
        <w:t xml:space="preserve">:</w:t>
      </w:r>
    </w:p>
    <w:p>
      <w:pPr>
        <w:pStyle w:val="BlockText"/>
      </w:pPr>
      <w:r>
        <w:t xml:space="preserve">$$</w:t>
      </w:r>
    </w:p>
    <w:p>
      <w:pPr>
        <w:pStyle w:val="BlockText"/>
      </w:pPr>
      <w:r>
        <w:t xml:space="preserve"> </w:t>
      </w:r>
      <w:r>
        <w:t xml:space="preserve">=</w:t>
      </w:r>
      <w:r>
        <w:t xml:space="preserve"> </w:t>
      </w:r>
      <w:r>
        <w:t xml:space="preserve"> </w:t>
      </w:r>
      <w:r>
        <w:t xml:space="preserve">+</w:t>
      </w:r>
      <w:r>
        <w:t xml:space="preserve"> </w:t>
      </w:r>
      <w:r>
        <w:t xml:space="preserve"> </w:t>
      </w:r>
    </w:p>
    <w:p>
      <w:pPr>
        <w:pStyle w:val="BlockText"/>
      </w:pPr>
      <w:r>
        <w:t xml:space="preserve">$$</w:t>
      </w:r>
    </w:p>
    <w:p>
      <w:pPr>
        <w:pStyle w:val="BlockText"/>
      </w:pPr>
      <w:r>
        <w:rPr>
          <w:b/>
          <w:bCs/>
        </w:rPr>
        <w:t xml:space="preserve">Passo 3: Lema de Shephard.</w:t>
      </w:r>
    </w:p>
    <w:p>
      <w:pPr>
        <w:pStyle w:val="BlockText"/>
      </w:pPr>
      <w:r>
        <w:t xml:space="preserve">Pelo Lema de Shephard (a derivada da função dispêndio em relação ao preço</w:t>
      </w:r>
      <w:r>
        <w:t xml:space="preserve"> </w:t>
      </w:r>
      <m:oMath>
        <m:sSub>
          <m:e>
            <m:r>
              <m:t>p</m:t>
            </m:r>
          </m:e>
          <m:sub>
            <m:r>
              <m:t>j</m:t>
            </m:r>
          </m:sub>
        </m:sSub>
      </m:oMath>
      <w:r>
        <w:t xml:space="preserve"> </w:t>
      </w:r>
      <w:r>
        <w:t xml:space="preserve">é a demanda hicksiana do bem</w:t>
      </w:r>
      <w:r>
        <w:t xml:space="preserve"> </w:t>
      </w:r>
      <m:oMath>
        <m:r>
          <m:t>j</m:t>
        </m:r>
      </m:oMath>
      <w:r>
        <w:t xml:space="preserve">):</w:t>
      </w:r>
    </w:p>
    <w:p>
      <w:pPr>
        <w:pStyle w:val="BlockText"/>
      </w:pPr>
      <w:r>
        <w:t xml:space="preserve">$$</w:t>
      </w:r>
    </w:p>
    <w:p>
      <w:pPr>
        <w:pStyle w:val="BlockText"/>
      </w:pPr>
      <w:r>
        <w:t xml:space="preserve"> </w:t>
      </w:r>
      <w:r>
        <w:t xml:space="preserve">= h_j(</w:t>
      </w:r>
      <w:r>
        <w:t xml:space="preserve">,</w:t>
      </w:r>
      <w:r>
        <w:t xml:space="preserve"> </w:t>
      </w:r>
      <w:r>
        <w:t xml:space="preserve">{U})</w:t>
      </w:r>
    </w:p>
    <w:p>
      <w:pPr>
        <w:pStyle w:val="BlockText"/>
      </w:pPr>
      <w:r>
        <w:t xml:space="preserve">$$</w:t>
      </w:r>
    </w:p>
    <w:p>
      <w:pPr>
        <w:pStyle w:val="BlockText"/>
      </w:pPr>
      <w:r>
        <w:rPr>
          <w:b/>
          <w:bCs/>
        </w:rPr>
        <w:t xml:space="preserve">Passo 4: Avaliação no ótimo.</w:t>
      </w:r>
    </w:p>
    <w:p>
      <w:pPr>
        <w:pStyle w:val="BlockText"/>
      </w:pPr>
      <w:r>
        <w:t xml:space="preserve">No ponto ótimo,</w:t>
      </w:r>
      <w:r>
        <w:t xml:space="preserve"> </w:t>
      </w:r>
      <m:oMath>
        <m:sSub>
          <m:e>
            <m:r>
              <m:t>h</m:t>
            </m:r>
          </m:e>
          <m:sub>
            <m:r>
              <m:t>j</m:t>
            </m:r>
          </m:sub>
        </m:sSub>
        <m:r>
          <m:rPr>
            <m:sty m:val="p"/>
          </m:rPr>
          <m:t>(</m:t>
        </m:r>
        <m:r>
          <m:rPr>
            <m:sty m:val="bi"/>
          </m:rPr>
          <m:t>p</m:t>
        </m:r>
        <m:r>
          <m:rPr>
            <m:sty m:val="p"/>
          </m:rPr>
          <m:t>,</m:t>
        </m:r>
        <m:acc>
          <m:accPr>
            <m:chr m:val="‾"/>
          </m:accPr>
          <m:e>
            <m:r>
              <m:t>U</m:t>
            </m:r>
          </m:e>
        </m:acc>
        <m:r>
          <m:rPr>
            <m:sty m:val="p"/>
          </m:rPr>
          <m:t>)</m:t>
        </m:r>
        <m:r>
          <m:rPr>
            <m:sty m:val="p"/>
          </m:rPr>
          <m:t>=</m:t>
        </m:r>
        <m:sSub>
          <m:e>
            <m:r>
              <m:t>x</m:t>
            </m:r>
          </m:e>
          <m:sub>
            <m:r>
              <m:t>j</m:t>
            </m:r>
          </m:sub>
        </m:sSub>
        <m:r>
          <m:rPr>
            <m:sty m:val="p"/>
          </m:rPr>
          <m:t>(</m:t>
        </m:r>
        <m:r>
          <m:rPr>
            <m:sty m:val="bi"/>
          </m:rPr>
          <m:t>p</m:t>
        </m:r>
        <m:r>
          <m:rPr>
            <m:sty m:val="p"/>
          </m:rPr>
          <m:t>,</m:t>
        </m:r>
        <m:r>
          <m:t>I</m:t>
        </m:r>
        <m:r>
          <m:rPr>
            <m:sty m:val="p"/>
          </m:rPr>
          <m:t>)</m:t>
        </m:r>
      </m:oMath>
      <w:r>
        <w:t xml:space="preserve">, ou seja, as demandas hicksiana e marshalliana coincidem. Substituindo:</w:t>
      </w:r>
    </w:p>
    <w:p>
      <w:pPr>
        <w:pStyle w:val="BlockText"/>
      </w:pPr>
      <w:r>
        <w:t xml:space="preserve">$$</w:t>
      </w:r>
    </w:p>
    <w:p>
      <w:pPr>
        <w:pStyle w:val="BlockText"/>
      </w:pPr>
      <w:r>
        <w:t xml:space="preserve"> </w:t>
      </w:r>
      <w:r>
        <w:t xml:space="preserve">=</w:t>
      </w:r>
      <w:r>
        <w:t xml:space="preserve"> </w:t>
      </w:r>
      <w:r>
        <w:t xml:space="preserve"> </w:t>
      </w:r>
      <w:r>
        <w:t xml:space="preserve">+ x_j</w:t>
      </w:r>
      <w:r>
        <w:t xml:space="preserve"> </w:t>
      </w:r>
    </w:p>
    <w:p>
      <w:pPr>
        <w:pStyle w:val="BlockText"/>
      </w:pPr>
      <w:r>
        <w:t xml:space="preserve">$$</w:t>
      </w:r>
    </w:p>
    <w:p>
      <w:pPr>
        <w:pStyle w:val="BlockText"/>
      </w:pPr>
      <w:r>
        <w:rPr>
          <w:b/>
          <w:bCs/>
        </w:rPr>
        <w:t xml:space="preserve">Passo 5: Rearranjando.</w:t>
      </w:r>
    </w:p>
    <w:p>
      <w:pPr>
        <w:pStyle w:val="BlockText"/>
      </w:pPr>
      <w:r>
        <w:t xml:space="preserve">$$</w:t>
      </w:r>
    </w:p>
    <w:p>
      <w:pPr>
        <w:pStyle w:val="BlockText"/>
      </w:pPr>
      <w:r>
        <w:t xml:space="preserve">$$</w:t>
      </w:r>
    </w:p>
    <w:p>
      <w:pPr>
        <w:pStyle w:val="BlockText"/>
      </w:pPr>
      <w:r>
        <w:t xml:space="preserve">O termo</w:t>
      </w:r>
      <w:r>
        <w:t xml:space="preserve"> </w:t>
      </w:r>
      <m:oMath>
        <m:f>
          <m:fPr>
            <m:type m:val="bar"/>
          </m:fPr>
          <m:num>
            <m:r>
              <m:rPr>
                <m:sty m:val="p"/>
              </m:rPr>
              <m:t>∂</m:t>
            </m:r>
            <m:sSub>
              <m:e>
                <m:r>
                  <m:t>h</m:t>
                </m:r>
              </m:e>
              <m:sub>
                <m:r>
                  <m:t>i</m:t>
                </m:r>
              </m:sub>
            </m:sSub>
          </m:num>
          <m:den>
            <m:r>
              <m:rPr>
                <m:sty m:val="p"/>
              </m:rPr>
              <m:t>∂</m:t>
            </m:r>
            <m:sSub>
              <m:e>
                <m:r>
                  <m:t>p</m:t>
                </m:r>
              </m:e>
              <m:sub>
                <m:r>
                  <m:t>j</m:t>
                </m:r>
              </m:sub>
            </m:sSub>
          </m:den>
        </m:f>
      </m:oMath>
      <w:r>
        <w:t xml:space="preserve"> </w:t>
      </w:r>
      <w:r>
        <w:t xml:space="preserve">captura o efeito substituição puro (a preços relativos), e</w:t>
      </w:r>
      <w:r>
        <w:t xml:space="preserve"> </w:t>
      </w:r>
      <m:oMath>
        <m:r>
          <m:rPr>
            <m:sty m:val="p"/>
          </m:rPr>
          <m:t>−</m:t>
        </m:r>
        <m:sSub>
          <m:e>
            <m:r>
              <m:t>x</m:t>
            </m:r>
          </m:e>
          <m:sub>
            <m:r>
              <m:t>j</m:t>
            </m:r>
          </m:sub>
        </m:sSub>
        <m:f>
          <m:fPr>
            <m:type m:val="bar"/>
          </m:fPr>
          <m:num>
            <m:r>
              <m:rPr>
                <m:sty m:val="p"/>
              </m:rPr>
              <m:t>∂</m:t>
            </m:r>
            <m:sSub>
              <m:e>
                <m:r>
                  <m:t>x</m:t>
                </m:r>
              </m:e>
              <m:sub>
                <m:r>
                  <m:t>i</m:t>
                </m:r>
              </m:sub>
            </m:sSub>
          </m:num>
          <m:den>
            <m:r>
              <m:rPr>
                <m:sty m:val="p"/>
              </m:rPr>
              <m:t>∂</m:t>
            </m:r>
            <m:r>
              <m:t>I</m:t>
            </m:r>
          </m:den>
        </m:f>
      </m:oMath>
      <w:r>
        <w:t xml:space="preserve"> </w:t>
      </w:r>
      <w:r>
        <w:t xml:space="preserve">captura o efeito renda: a variação em</w:t>
      </w:r>
      <w:r>
        <w:t xml:space="preserve"> </w:t>
      </w:r>
      <m:oMath>
        <m:sSub>
          <m:e>
            <m:r>
              <m:t>p</m:t>
            </m:r>
          </m:e>
          <m:sub>
            <m:r>
              <m:t>j</m:t>
            </m:r>
          </m:sub>
        </m:sSub>
      </m:oMath>
      <w:r>
        <w:t xml:space="preserve"> </w:t>
      </w:r>
      <w:r>
        <w:t xml:space="preserve">altera o poder de compra em magnitude proporcional a</w:t>
      </w:r>
      <w:r>
        <w:t xml:space="preserve"> </w:t>
      </w:r>
      <m:oMath>
        <m:sSub>
          <m:e>
            <m:r>
              <m:t>x</m:t>
            </m:r>
          </m:e>
          <m:sub>
            <m:r>
              <m:t>j</m:t>
            </m:r>
          </m:sub>
        </m:sSub>
      </m:oMath>
      <w:r>
        <w:t xml:space="preserve">, que então afeta a demanda por</w:t>
      </w:r>
      <w:r>
        <w:t xml:space="preserve"> </w:t>
      </w:r>
      <m:oMath>
        <m:sSub>
          <m:e>
            <m:r>
              <m:t>x</m:t>
            </m:r>
          </m:e>
          <m:sub>
            <m:r>
              <m:t>i</m:t>
            </m:r>
          </m:sub>
        </m:sSub>
      </m:oMath>
      <w:r>
        <w:t xml:space="preserve"> </w:t>
      </w:r>
      <w:r>
        <w:t xml:space="preserve">na proporção de</w:t>
      </w:r>
      <w:r>
        <w:t xml:space="preserve"> </w:t>
      </w:r>
      <m:oMath>
        <m:f>
          <m:fPr>
            <m:type m:val="bar"/>
          </m:fPr>
          <m:num>
            <m:r>
              <m:rPr>
                <m:sty m:val="p"/>
              </m:rPr>
              <m:t>∂</m:t>
            </m:r>
            <m:sSub>
              <m:e>
                <m:r>
                  <m:t>x</m:t>
                </m:r>
              </m:e>
              <m:sub>
                <m:r>
                  <m:t>i</m:t>
                </m:r>
              </m:sub>
            </m:sSub>
          </m:num>
          <m:den>
            <m:r>
              <m:rPr>
                <m:sty m:val="p"/>
              </m:rPr>
              <m:t>∂</m:t>
            </m:r>
            <m:r>
              <m:t>I</m:t>
            </m:r>
          </m:den>
        </m:f>
      </m:oMath>
      <w:r>
        <w:t xml:space="preserve">.</w:t>
      </w:r>
      <w:r>
        <w:t xml:space="preserve"> </w:t>
      </w:r>
      <m:oMath>
        <m:r>
          <m:rPr>
            <m:sty m:val="p"/>
          </m:rPr>
          <m:t>◼</m:t>
        </m:r>
      </m:oMath>
    </w:p>
    <w:p>
      <w:pPr>
        <w:pStyle w:val="FirstParagraph"/>
      </w:pPr>
      <w:r>
        <w:t xml:space="preserve">Vale notar a elegância da derivação: bastaram a identidade entre demandas hicksiana e marshalliana e o Lema de Shephard para conectar duas funções de demanda aparentemente distintas em uma única equação. O resultado revela que a quantidade consumida do bem cujo preço variou (</w:t>
      </w:r>
      <m:oMath>
        <m:sSub>
          <m:e>
            <m:r>
              <m:t>x</m:t>
            </m:r>
          </m:e>
          <m:sub>
            <m:r>
              <m:t>j</m:t>
            </m:r>
          </m:sub>
        </m:sSub>
      </m:oMath>
      <w:r>
        <w:t xml:space="preserve">) atua como um</w:t>
      </w:r>
      <w:r>
        <w:t xml:space="preserve"> </w:t>
      </w:r>
      <w:r>
        <w:t xml:space="preserve">“multiplicador”</w:t>
      </w:r>
      <w:r>
        <w:t xml:space="preserve"> </w:t>
      </w:r>
      <w:r>
        <w:t xml:space="preserve">do efeito renda — quanto mais o consumidor gasta com esse bem, maior o impacto sobre seu poder de compra.</w:t>
      </w:r>
    </w:p>
    <w:p>
      <w:pPr>
        <w:pStyle w:val="BlockText"/>
      </w:pPr>
      <w:r>
        <w:rPr>
          <w:b/>
          <w:bCs/>
        </w:rPr>
        <w:t xml:space="preserve">[ATENCAO] Erro Comum</w:t>
      </w:r>
    </w:p>
    <w:p>
      <w:pPr>
        <w:pStyle w:val="BlockText"/>
      </w:pPr>
      <w:r>
        <w:rPr>
          <w:b/>
          <w:bCs/>
        </w:rPr>
        <w:t xml:space="preserve">Confundir o sinal do efeito renda na Equação de Slutsky.</w:t>
      </w:r>
    </w:p>
    <w:p>
      <w:pPr>
        <w:pStyle w:val="BlockText"/>
      </w:pPr>
      <w:r>
        <w:t xml:space="preserve">A Equação de Slutsky é escrita como:</w:t>
      </w:r>
    </w:p>
    <w:p>
      <w:pPr>
        <w:pStyle w:val="BlockText"/>
      </w:pPr>
      <w:r>
        <w:t xml:space="preserve">$$</w:t>
      </w:r>
    </w:p>
    <w:p>
      <w:pPr>
        <w:pStyle w:val="BlockText"/>
      </w:pPr>
      <w:r>
        <w:t xml:space="preserve"> </w:t>
      </w:r>
      <w:r>
        <w:t xml:space="preserve">=</w:t>
      </w:r>
      <w:r>
        <w:t xml:space="preserve"> </w:t>
      </w:r>
      <w:r>
        <w:t xml:space="preserve"> </w:t>
      </w:r>
      <w:r>
        <w:t xml:space="preserve">- x_j</w:t>
      </w:r>
      <w:r>
        <w:t xml:space="preserve"> </w:t>
      </w:r>
    </w:p>
    <w:p>
      <w:pPr>
        <w:pStyle w:val="BlockText"/>
      </w:pPr>
      <w:r>
        <w:t xml:space="preserve">$$</w:t>
      </w:r>
    </w:p>
    <w:p>
      <w:pPr>
        <w:pStyle w:val="BlockText"/>
      </w:pPr>
      <w:r>
        <w:t xml:space="preserve">O sinal de menos antes do efeito renda é fonte frequente de confusão. Lembre-se: o efeito renda aparece com sinal</w:t>
      </w:r>
      <w:r>
        <w:t xml:space="preserve"> </w:t>
      </w:r>
      <w:r>
        <w:rPr>
          <w:i/>
          <w:iCs/>
        </w:rPr>
        <w:t xml:space="preserve">negativo</w:t>
      </w:r>
      <w:r>
        <w:t xml:space="preserve"> </w:t>
      </w:r>
      <w:r>
        <w:t xml:space="preserve">porque um aumento em</w:t>
      </w:r>
      <w:r>
        <w:t xml:space="preserve"> </w:t>
      </w:r>
      <m:oMath>
        <m:sSub>
          <m:e>
            <m:r>
              <m:t>p</m:t>
            </m:r>
          </m:e>
          <m:sub>
            <m:r>
              <m:t>j</m:t>
            </m:r>
          </m:sub>
        </m:sSub>
      </m:oMath>
      <w:r>
        <w:t xml:space="preserve"> </w:t>
      </w:r>
      <w:r>
        <w:rPr>
          <w:i/>
          <w:iCs/>
        </w:rPr>
        <w:t xml:space="preserve">reduz</w:t>
      </w:r>
      <w:r>
        <w:t xml:space="preserve"> </w:t>
      </w:r>
      <w:r>
        <w:t xml:space="preserve">o poder de compra real (para</w:t>
      </w:r>
      <w:r>
        <w:t xml:space="preserve"> </w:t>
      </w:r>
      <m:oMath>
        <m:r>
          <m:t>j</m:t>
        </m:r>
        <m:r>
          <m:rPr>
            <m:sty m:val="p"/>
          </m:rPr>
          <m:t>=</m:t>
        </m:r>
        <m:r>
          <m:t>i</m:t>
        </m:r>
      </m:oMath>
      <w:r>
        <w:t xml:space="preserve">, o bem fica mais caro, então o consumidor efetivamente</w:t>
      </w:r>
      <w:r>
        <w:t xml:space="preserve"> </w:t>
      </w:r>
      <w:r>
        <w:t xml:space="preserve">“fica mais pobre”</w:t>
      </w:r>
      <w:r>
        <w:t xml:space="preserve">). Para verificar se o sinal está correto, aplique o teste para um bem normal (</w:t>
      </w:r>
      <m:oMath>
        <m:r>
          <m:rPr>
            <m:sty m:val="p"/>
          </m:rPr>
          <m:t>∂</m:t>
        </m:r>
        <m:sSub>
          <m:e>
            <m:r>
              <m:t>x</m:t>
            </m:r>
          </m:e>
          <m:sub>
            <m:r>
              <m:t>i</m:t>
            </m:r>
          </m:sub>
        </m:sSub>
        <m:r>
          <m:rPr>
            <m:sty m:val="p"/>
          </m:rPr>
          <m:t>/</m:t>
        </m:r>
        <m:r>
          <m:rPr>
            <m:sty m:val="p"/>
          </m:rPr>
          <m:t>∂</m:t>
        </m:r>
        <m:r>
          <m:t>I</m:t>
        </m:r>
        <m:r>
          <m:rPr>
            <m:sty m:val="p"/>
          </m:rPr>
          <m:t>&gt;</m:t>
        </m:r>
        <m:r>
          <m:t>0</m:t>
        </m:r>
      </m:oMath>
      <w:r>
        <w:t xml:space="preserve">) com aumento de preço próprio (</w:t>
      </w:r>
      <m:oMath>
        <m:r>
          <m:t>j</m:t>
        </m:r>
        <m:r>
          <m:rPr>
            <m:sty m:val="p"/>
          </m:rPr>
          <m:t>=</m:t>
        </m:r>
        <m:r>
          <m:t>i</m:t>
        </m:r>
      </m:oMath>
      <w:r>
        <w:t xml:space="preserve">): o efeito substituição é</w:t>
      </w:r>
      <w:r>
        <w:t xml:space="preserve"> </w:t>
      </w:r>
      <m:oMath>
        <m:r>
          <m:rPr>
            <m:sty m:val="p"/>
          </m:rPr>
          <m:t>≤</m:t>
        </m:r>
        <m:r>
          <m:t>0</m:t>
        </m:r>
      </m:oMath>
      <w:r>
        <w:t xml:space="preserve"> </w:t>
      </w:r>
      <w:r>
        <w:t xml:space="preserve">e o efeito renda é</w:t>
      </w:r>
      <w:r>
        <w:t xml:space="preserve"> </w:t>
      </w:r>
      <m:oMath>
        <m:r>
          <m:rPr>
            <m:sty m:val="p"/>
          </m:rPr>
          <m:t>−</m:t>
        </m:r>
        <m:sSub>
          <m:e>
            <m:r>
              <m:t>x</m:t>
            </m:r>
          </m:e>
          <m:sub>
            <m:r>
              <m:t>i</m:t>
            </m:r>
          </m:sub>
        </m:sSub>
        <m:r>
          <m:rPr>
            <m:sty m:val="p"/>
          </m:rPr>
          <m:t>⋅</m:t>
        </m:r>
        <m:r>
          <m:rPr>
            <m:sty m:val="p"/>
          </m:rPr>
          <m:t>(</m:t>
        </m:r>
        <m:r>
          <m:rPr>
            <m:sty m:val="p"/>
          </m:rPr>
          <m:t>+</m:t>
        </m:r>
        <m:r>
          <m:rPr>
            <m:sty m:val="p"/>
          </m:rPr>
          <m:t>)</m:t>
        </m:r>
        <m:r>
          <m:rPr>
            <m:sty m:val="p"/>
          </m:rPr>
          <m:t>&lt;</m:t>
        </m:r>
        <m:r>
          <m:t>0</m:t>
        </m:r>
      </m:oMath>
      <w:r>
        <w:t xml:space="preserve">, logo o efeito total é negativo — consistente com a Lei da Demanda. Se você obtiver o sinal contrário, provavelmente inverteu o efeito renda.</w:t>
      </w:r>
    </w:p>
    <w:p>
      <w:pPr>
        <w:pStyle w:val="FirstParagraph"/>
      </w:pPr>
      <w:r>
        <w:t xml:space="preserve">Se a equação parece intimidante, foque na intuição: o efeito total é substituição + renda. Para um bem normal, os dois puxam na mesma direção (demanda cai quando preço sobe). Para um bem inferior, puxam em sentidos opostos — e o resultado depende de quem é mais forte.</w:t>
      </w:r>
    </w:p>
    <w:bookmarkStart w:id="248" w:name="implicações-da-equação-de-slutsky"/>
    <w:p>
      <w:pPr>
        <w:pStyle w:val="Heading4"/>
      </w:pPr>
      <w:r>
        <w:t xml:space="preserve">5.4.1 Implicações da Equação de Slutsky</w:t>
      </w:r>
    </w:p>
    <w:p>
      <w:pPr>
        <w:pStyle w:val="FirstParagraph"/>
      </w:pPr>
      <w:r>
        <w:t xml:space="preserve">Com a Equação de Slutsky em mãos, podemos extrair consequências cruciais para a teoria da demanda:</w:t>
      </w:r>
    </w:p>
    <w:p>
      <w:pPr>
        <w:numPr>
          <w:ilvl w:val="0"/>
          <w:numId w:val="1201"/>
        </w:numPr>
      </w:pPr>
      <w:r>
        <w:rPr>
          <w:b/>
          <w:bCs/>
        </w:rPr>
        <w:t xml:space="preserve">Para o próprio preço</w:t>
      </w:r>
      <w:r>
        <w:t xml:space="preserve"> </w:t>
      </w:r>
      <w:r>
        <w:t xml:space="preserve">(</w:t>
      </w:r>
      <m:oMath>
        <m:r>
          <m:t>i</m:t>
        </m:r>
        <m:r>
          <m:rPr>
            <m:sty m:val="p"/>
          </m:rPr>
          <m:t>=</m:t>
        </m:r>
        <m:r>
          <m:t>j</m:t>
        </m:r>
      </m:oMath>
      <w:r>
        <w:t xml:space="preserve">):</w:t>
      </w:r>
      <w:r>
        <w:t xml:space="preserve"> </w:t>
      </w:r>
      <m:oMath>
        <m:f>
          <m:fPr>
            <m:type m:val="bar"/>
          </m:fPr>
          <m:num>
            <m:r>
              <m:rPr>
                <m:sty m:val="p"/>
              </m:rPr>
              <m:t>∂</m:t>
            </m:r>
            <m:sSub>
              <m:e>
                <m:r>
                  <m:t>x</m:t>
                </m:r>
              </m:e>
              <m:sub>
                <m:r>
                  <m:t>i</m:t>
                </m:r>
              </m:sub>
            </m:sSub>
          </m:num>
          <m:den>
            <m:r>
              <m:rPr>
                <m:sty m:val="p"/>
              </m:rPr>
              <m:t>∂</m:t>
            </m:r>
            <m:sSub>
              <m:e>
                <m:r>
                  <m:t>p</m:t>
                </m:r>
              </m:e>
              <m:sub>
                <m:r>
                  <m:t>i</m:t>
                </m:r>
              </m:sub>
            </m:sSub>
          </m:den>
        </m:f>
        <m:r>
          <m:rPr>
            <m:sty m:val="p"/>
          </m:rPr>
          <m:t>=</m:t>
        </m:r>
        <m:limLow>
          <m:e>
            <m:limLow>
              <m:e>
                <m:f>
                  <m:fPr>
                    <m:type m:val="bar"/>
                  </m:fPr>
                  <m:num>
                    <m:r>
                      <m:rPr>
                        <m:sty m:val="p"/>
                      </m:rPr>
                      <m:t>∂</m:t>
                    </m:r>
                    <m:sSub>
                      <m:e>
                        <m:r>
                          <m:t>h</m:t>
                        </m:r>
                      </m:e>
                      <m:sub>
                        <m:r>
                          <m:t>i</m:t>
                        </m:r>
                      </m:sub>
                    </m:sSub>
                  </m:num>
                  <m:den>
                    <m:r>
                      <m:rPr>
                        <m:sty m:val="p"/>
                      </m:rPr>
                      <m:t>∂</m:t>
                    </m:r>
                    <m:sSub>
                      <m:e>
                        <m:r>
                          <m:t>p</m:t>
                        </m:r>
                      </m:e>
                      <m:sub>
                        <m:r>
                          <m:t>i</m:t>
                        </m:r>
                      </m:sub>
                    </m:sSub>
                  </m:den>
                </m:f>
              </m:e>
              <m:lim>
                <m:r>
                  <m:rPr>
                    <m:sty m:val="p"/>
                  </m:rPr>
                  <m:t>⏟</m:t>
                </m:r>
              </m:lim>
            </m:limLow>
          </m:e>
          <m:lim>
            <m:r>
              <m:rPr>
                <m:sty m:val="p"/>
              </m:rPr>
              <m:t>≤</m:t>
            </m:r>
            <m:r>
              <m:t>0</m:t>
            </m:r>
          </m:lim>
        </m:limLow>
        <m:r>
          <m:rPr>
            <m:sty m:val="p"/>
          </m:rPr>
          <m:t>−</m:t>
        </m:r>
        <m:sSub>
          <m:e>
            <m:r>
              <m:t>x</m:t>
            </m:r>
          </m:e>
          <m:sub>
            <m:r>
              <m:t>i</m:t>
            </m:r>
          </m:sub>
        </m:sSub>
        <m:f>
          <m:fPr>
            <m:type m:val="bar"/>
          </m:fPr>
          <m:num>
            <m:r>
              <m:rPr>
                <m:sty m:val="p"/>
              </m:rPr>
              <m:t>∂</m:t>
            </m:r>
            <m:sSub>
              <m:e>
                <m:r>
                  <m:t>x</m:t>
                </m:r>
              </m:e>
              <m:sub>
                <m:r>
                  <m:t>i</m:t>
                </m:r>
              </m:sub>
            </m:sSub>
          </m:num>
          <m:den>
            <m:r>
              <m:rPr>
                <m:sty m:val="p"/>
              </m:rPr>
              <m:t>∂</m:t>
            </m:r>
            <m:r>
              <m:t>I</m:t>
            </m:r>
          </m:den>
        </m:f>
      </m:oMath>
      <w:r>
        <w:t xml:space="preserve">. O efeito substituição é sempre não-positivo (pela concavidade da função dispêndio). Logo, se o bem for normal (</w:t>
      </w:r>
      <m:oMath>
        <m:f>
          <m:fPr>
            <m:type m:val="bar"/>
          </m:fPr>
          <m:num>
            <m:r>
              <m:rPr>
                <m:sty m:val="p"/>
              </m:rPr>
              <m:t>∂</m:t>
            </m:r>
            <m:sSub>
              <m:e>
                <m:r>
                  <m:t>x</m:t>
                </m:r>
              </m:e>
              <m:sub>
                <m:r>
                  <m:t>i</m:t>
                </m:r>
              </m:sub>
            </m:sSub>
          </m:num>
          <m:den>
            <m:r>
              <m:rPr>
                <m:sty m:val="p"/>
              </m:rPr>
              <m:t>∂</m:t>
            </m:r>
            <m:r>
              <m:t>I</m:t>
            </m:r>
          </m:den>
        </m:f>
        <m:r>
          <m:rPr>
            <m:sty m:val="p"/>
          </m:rPr>
          <m:t>&gt;</m:t>
        </m:r>
        <m:r>
          <m:t>0</m:t>
        </m:r>
      </m:oMath>
      <w:r>
        <w:t xml:space="preserve">), a demanda cai quando o preço sobe — a</w:t>
      </w:r>
      <w:r>
        <w:t xml:space="preserve"> </w:t>
      </w:r>
      <w:r>
        <w:rPr>
          <w:b/>
          <w:bCs/>
        </w:rPr>
        <w:t xml:space="preserve">Lei da Demanda</w:t>
      </w:r>
      <w:r>
        <w:t xml:space="preserve"> </w:t>
      </w:r>
      <w:r>
        <w:t xml:space="preserve">vale sem ambiguidade.</w:t>
      </w:r>
    </w:p>
    <w:p>
      <w:pPr>
        <w:numPr>
          <w:ilvl w:val="0"/>
          <w:numId w:val="1201"/>
        </w:numPr>
      </w:pPr>
      <w:r>
        <w:rPr>
          <w:b/>
          <w:bCs/>
        </w:rPr>
        <w:t xml:space="preserve">Bens de Giffen</w:t>
      </w:r>
      <w:r>
        <w:t xml:space="preserve">: se o bem for inferior e o efeito renda dominar o efeito substituição,</w:t>
      </w:r>
      <w:r>
        <w:t xml:space="preserve"> </w:t>
      </w:r>
      <m:oMath>
        <m:f>
          <m:fPr>
            <m:type m:val="bar"/>
          </m:fPr>
          <m:num>
            <m:r>
              <m:rPr>
                <m:sty m:val="p"/>
              </m:rPr>
              <m:t>∂</m:t>
            </m:r>
            <m:sSub>
              <m:e>
                <m:r>
                  <m:t>x</m:t>
                </m:r>
              </m:e>
              <m:sub>
                <m:r>
                  <m:t>i</m:t>
                </m:r>
              </m:sub>
            </m:sSub>
          </m:num>
          <m:den>
            <m:r>
              <m:rPr>
                <m:sty m:val="p"/>
              </m:rPr>
              <m:t>∂</m:t>
            </m:r>
            <m:sSub>
              <m:e>
                <m:r>
                  <m:t>p</m:t>
                </m:r>
              </m:e>
              <m:sub>
                <m:r>
                  <m:t>i</m:t>
                </m:r>
              </m:sub>
            </m:sSub>
          </m:den>
        </m:f>
        <m:r>
          <m:rPr>
            <m:sty m:val="p"/>
          </m:rPr>
          <m:t>&gt;</m:t>
        </m:r>
        <m:r>
          <m:t>0</m:t>
        </m:r>
      </m:oMath>
      <w:r>
        <w:t xml:space="preserve">, e temos um</w:t>
      </w:r>
      <w:r>
        <w:t xml:space="preserve"> </w:t>
      </w:r>
      <w:r>
        <w:rPr>
          <w:b/>
          <w:bCs/>
        </w:rPr>
        <w:t xml:space="preserve">bem de Giffen</w:t>
      </w:r>
      <w:r>
        <w:t xml:space="preserve">.</w:t>
      </w:r>
      <w:r>
        <w:rPr>
          <w:rStyle w:val="FootnoteReference"/>
        </w:rPr>
        <w:footnoteReference w:id="246"/>
      </w:r>
      <w:r>
        <w:t xml:space="preserve"> </w:t>
      </w:r>
      <w:r>
        <w:t xml:space="preserve">Esses casos são raros e exigem que o bem represente parcela significativa do orçamento — condição necessária para que o efeito renda seja suficientemente forte.</w:t>
      </w:r>
    </w:p>
    <w:p>
      <w:pPr>
        <w:pStyle w:val="BlockText"/>
      </w:pPr>
      <w:r>
        <w:rPr>
          <w:b/>
          <w:bCs/>
        </w:rPr>
        <w:t xml:space="preserve">[DEFINICAO] Bem de Giffen</w:t>
      </w:r>
    </w:p>
    <w:p>
      <w:pPr>
        <w:pStyle w:val="BlockText"/>
      </w:pPr>
      <w:r>
        <w:t xml:space="preserve">Um bem</w:t>
      </w:r>
      <w:r>
        <w:t xml:space="preserve"> </w:t>
      </w:r>
      <m:oMath>
        <m:r>
          <m:t>i</m:t>
        </m:r>
      </m:oMath>
      <w:r>
        <w:t xml:space="preserve"> </w:t>
      </w:r>
      <w:r>
        <w:t xml:space="preserve">é dito</w:t>
      </w:r>
      <w:r>
        <w:t xml:space="preserve"> </w:t>
      </w:r>
      <w:r>
        <w:rPr>
          <w:b/>
          <w:bCs/>
        </w:rPr>
        <w:t xml:space="preserve">de Giffen</w:t>
      </w:r>
      <w:r>
        <w:t xml:space="preserve"> </w:t>
      </w:r>
      <w:r>
        <w:t xml:space="preserve">se sua demanda marshalliana é positivamente inclinada no próprio preço:</w:t>
      </w:r>
    </w:p>
    <w:p>
      <w:pPr>
        <w:pStyle w:val="BlockText"/>
      </w:pPr>
      <w:r>
        <w:t xml:space="preserve">$$</w:t>
      </w:r>
    </w:p>
    <w:p>
      <w:pPr>
        <w:pStyle w:val="BlockText"/>
      </w:pPr>
      <w:r>
        <w:t xml:space="preserve"> </w:t>
      </w:r>
      <w:r>
        <w:t xml:space="preserve">&gt; 0</w:t>
      </w:r>
    </w:p>
    <w:p>
      <w:pPr>
        <w:pStyle w:val="BlockText"/>
      </w:pPr>
      <w:r>
        <w:t xml:space="preserve">$$</w:t>
      </w:r>
    </w:p>
    <w:p>
      <w:pPr>
        <w:pStyle w:val="BlockText"/>
      </w:pPr>
      <w:r>
        <w:t xml:space="preserve">Pela Equação de Slutsky, isso exige</w:t>
      </w:r>
      <w:r>
        <w:t xml:space="preserve"> </w:t>
      </w:r>
      <w:r>
        <w:rPr>
          <w:i/>
          <w:iCs/>
        </w:rPr>
        <w:t xml:space="preserve">simultaneamente</w:t>
      </w:r>
      <w:r>
        <w:t xml:space="preserve">:</w:t>
      </w:r>
    </w:p>
    <w:p>
      <w:pPr>
        <w:pStyle w:val="Compact"/>
        <w:numPr>
          <w:ilvl w:val="0"/>
          <w:numId w:val="1202"/>
        </w:numPr>
      </w:pPr>
    </w:p>
    <w:p>
      <w:pPr>
        <w:pStyle w:val="Compact"/>
        <w:numPr>
          <w:ilvl w:val="1"/>
          <w:numId w:val="1203"/>
        </w:numPr>
      </w:pPr>
      <m:oMath>
        <m:f>
          <m:fPr>
            <m:type m:val="bar"/>
          </m:fPr>
          <m:num>
            <m:r>
              <m:rPr>
                <m:sty m:val="p"/>
              </m:rPr>
              <m:t>∂</m:t>
            </m:r>
            <m:sSub>
              <m:e>
                <m:r>
                  <m:t>x</m:t>
                </m:r>
              </m:e>
              <m:sub>
                <m:r>
                  <m:t>i</m:t>
                </m:r>
              </m:sub>
            </m:sSub>
          </m:num>
          <m:den>
            <m:r>
              <m:rPr>
                <m:sty m:val="p"/>
              </m:rPr>
              <m:t>∂</m:t>
            </m:r>
            <m:r>
              <m:t>I</m:t>
            </m:r>
          </m:den>
        </m:f>
        <m:r>
          <m:rPr>
            <m:sty m:val="p"/>
          </m:rPr>
          <m:t>&lt;</m:t>
        </m:r>
        <m:r>
          <m:t>0</m:t>
        </m:r>
      </m:oMath>
      <w:r>
        <w:t xml:space="preserve"> </w:t>
      </w:r>
      <w:r>
        <w:t xml:space="preserve">— o bem é</w:t>
      </w:r>
      <w:r>
        <w:t xml:space="preserve"> </w:t>
      </w:r>
      <w:r>
        <w:rPr>
          <w:b/>
          <w:bCs/>
        </w:rPr>
        <w:t xml:space="preserve">inferior</w:t>
      </w:r>
      <w:r>
        <w:t xml:space="preserve">;</w:t>
      </w:r>
    </w:p>
    <w:p>
      <w:pPr>
        <w:pStyle w:val="Compact"/>
        <w:numPr>
          <w:ilvl w:val="0"/>
          <w:numId w:val="1202"/>
        </w:numPr>
      </w:pPr>
    </w:p>
    <w:p>
      <w:pPr>
        <w:pStyle w:val="Compact"/>
        <w:numPr>
          <w:ilvl w:val="1"/>
          <w:numId w:val="1204"/>
        </w:numPr>
      </w:pPr>
      <m:oMath>
        <m:d>
          <m:dPr>
            <m:begChr m:val="|"/>
            <m:sepChr m:val=""/>
            <m:endChr m:val="|"/>
            <m:grow/>
          </m:dPr>
          <m:e>
            <m:sSub>
              <m:e>
                <m:r>
                  <m:t>x</m:t>
                </m:r>
              </m:e>
              <m:sub>
                <m:r>
                  <m:t>i</m:t>
                </m:r>
              </m:sub>
            </m:sSub>
            <m:f>
              <m:fPr>
                <m:type m:val="bar"/>
              </m:fPr>
              <m:num>
                <m:r>
                  <m:rPr>
                    <m:sty m:val="p"/>
                  </m:rPr>
                  <m:t>∂</m:t>
                </m:r>
                <m:sSub>
                  <m:e>
                    <m:r>
                      <m:t>x</m:t>
                    </m:r>
                  </m:e>
                  <m:sub>
                    <m:r>
                      <m:t>i</m:t>
                    </m:r>
                  </m:sub>
                </m:sSub>
              </m:num>
              <m:den>
                <m:r>
                  <m:rPr>
                    <m:sty m:val="p"/>
                  </m:rPr>
                  <m:t>∂</m:t>
                </m:r>
                <m:r>
                  <m:t>I</m:t>
                </m:r>
              </m:den>
            </m:f>
          </m:e>
        </m:d>
        <m:r>
          <m:rPr>
            <m:sty m:val="p"/>
          </m:rPr>
          <m:t>&gt;</m:t>
        </m:r>
        <m:d>
          <m:dPr>
            <m:begChr m:val="|"/>
            <m:sepChr m:val=""/>
            <m:endChr m:val="|"/>
            <m:grow/>
          </m:dPr>
          <m:e>
            <m:f>
              <m:fPr>
                <m:type m:val="bar"/>
              </m:fPr>
              <m:num>
                <m:r>
                  <m:rPr>
                    <m:sty m:val="p"/>
                  </m:rPr>
                  <m:t>∂</m:t>
                </m:r>
                <m:sSub>
                  <m:e>
                    <m:r>
                      <m:t>h</m:t>
                    </m:r>
                  </m:e>
                  <m:sub>
                    <m:r>
                      <m:t>i</m:t>
                    </m:r>
                  </m:sub>
                </m:sSub>
              </m:num>
              <m:den>
                <m:r>
                  <m:rPr>
                    <m:sty m:val="p"/>
                  </m:rPr>
                  <m:t>∂</m:t>
                </m:r>
                <m:sSub>
                  <m:e>
                    <m:r>
                      <m:t>p</m:t>
                    </m:r>
                  </m:e>
                  <m:sub>
                    <m:r>
                      <m:t>i</m:t>
                    </m:r>
                  </m:sub>
                </m:sSub>
              </m:den>
            </m:f>
          </m:e>
        </m:d>
      </m:oMath>
      <w:r>
        <w:t xml:space="preserve"> </w:t>
      </w:r>
      <w:r>
        <w:t xml:space="preserve">— o efeito renda (em valor absoluto)</w:t>
      </w:r>
      <w:r>
        <w:t xml:space="preserve"> </w:t>
      </w:r>
      <w:r>
        <w:rPr>
          <w:b/>
          <w:bCs/>
        </w:rPr>
        <w:t xml:space="preserve">supera</w:t>
      </w:r>
      <w:r>
        <w:t xml:space="preserve"> </w:t>
      </w:r>
      <w:r>
        <w:t xml:space="preserve">o efeito substituição.</w:t>
      </w:r>
    </w:p>
    <w:p>
      <w:pPr>
        <w:pStyle w:val="BlockText"/>
      </w:pPr>
      <w:r>
        <w:t xml:space="preserve">A condição (b) tende a ser satisfeita apenas quando o bem representa parcela muito elevada do orçamento, de modo que</w:t>
      </w:r>
      <w:r>
        <w:t xml:space="preserve"> </w:t>
      </w:r>
      <m:oMath>
        <m:sSub>
          <m:e>
            <m:r>
              <m:t>x</m:t>
            </m:r>
          </m:e>
          <m:sub>
            <m:r>
              <m:t>i</m:t>
            </m:r>
          </m:sub>
        </m:sSub>
      </m:oMath>
      <w:r>
        <w:t xml:space="preserve"> </w:t>
      </w:r>
      <w:r>
        <w:t xml:space="preserve">seja grande o suficiente para amplificar o efeito renda. Em particular, todo bem de Giffen é inferior, mas a recíproca é falsa: um bem pode ser inferior sem ser de Giffen se o efeito substituição ainda dominar.</w:t>
      </w:r>
    </w:p>
    <w:p>
      <w:pPr>
        <w:pStyle w:val="BlockText"/>
      </w:pPr>
      <w:r>
        <w:rPr>
          <w:b/>
          <w:bCs/>
        </w:rPr>
        <w:t xml:space="preserve">[INTUICAO ECONOMICA] Intuição Econômica</w:t>
      </w:r>
    </w:p>
    <w:p>
      <w:pPr>
        <w:pStyle w:val="BlockText"/>
      </w:pPr>
      <w:r>
        <w:rPr>
          <w:b/>
          <w:bCs/>
        </w:rPr>
        <w:t xml:space="preserve">Em uma frase:</w:t>
      </w:r>
      <w:r>
        <w:t xml:space="preserve"> </w:t>
      </w:r>
      <w:r>
        <w:t xml:space="preserve">Um bem de Giffen é tão essencial e ocupa tanta parte do orçamento que, quando seu preço sobe, o consumidor fica tão mais pobre que acaba comprando</w:t>
      </w:r>
      <w:r>
        <w:t xml:space="preserve"> </w:t>
      </w:r>
      <w:r>
        <w:rPr>
          <w:i/>
          <w:iCs/>
        </w:rPr>
        <w:t xml:space="preserve">mais</w:t>
      </w:r>
      <w:r>
        <w:t xml:space="preserve"> </w:t>
      </w:r>
      <w:r>
        <w:t xml:space="preserve">dele, não menos.</w:t>
      </w:r>
    </w:p>
    <w:p>
      <w:pPr>
        <w:pStyle w:val="BlockText"/>
      </w:pPr>
      <w:r>
        <w:rPr>
          <w:b/>
          <w:bCs/>
        </w:rPr>
        <w:t xml:space="preserve">Pense assim:</w:t>
      </w:r>
      <w:r>
        <w:t xml:space="preserve"> </w:t>
      </w:r>
      <w:r>
        <w:t xml:space="preserve">Pense numa família muito pobre que gasta quase tudo em farinha de mandioca. Se o preço da farinha sobe, a família não pode mais comprar carne (que já era rara). Ela fica tão mais pobre que precisa comer</w:t>
      </w:r>
      <w:r>
        <w:t xml:space="preserve"> </w:t>
      </w:r>
      <w:r>
        <w:rPr>
          <w:i/>
          <w:iCs/>
        </w:rPr>
        <w:t xml:space="preserve">ainda mais</w:t>
      </w:r>
      <w:r>
        <w:t xml:space="preserve"> </w:t>
      </w:r>
      <w:r>
        <w:t xml:space="preserve">farinha para sobreviver — o efeito renda (empobrecimento) domina o efeito substituição. Na prática, esse fenômeno é raríssimo e só foi documentado de forma robusta para o arroz entre famílias extremamente pobres na China.</w:t>
      </w:r>
    </w:p>
    <w:p>
      <w:pPr>
        <w:pStyle w:val="BlockText"/>
      </w:pPr>
      <w:r>
        <w:rPr>
          <w:b/>
          <w:bCs/>
        </w:rPr>
        <w:t xml:space="preserve">Por que isso importa:</w:t>
      </w:r>
      <w:r>
        <w:t xml:space="preserve"> </w:t>
      </w:r>
      <w:r>
        <w:t xml:space="preserve">O paradoxo de Giffen mostra por que a Lei da Demanda não é uma lei universal — e por que programas como o Bolsa Família, ao elevar a renda, podem eliminar esse tipo de comportamento extremo.</w:t>
      </w:r>
    </w:p>
    <w:p>
      <w:pPr>
        <w:pStyle w:val="Compact"/>
        <w:numPr>
          <w:ilvl w:val="0"/>
          <w:numId w:val="1205"/>
        </w:numPr>
      </w:pPr>
      <w:r>
        <w:rPr>
          <w:b/>
          <w:bCs/>
        </w:rPr>
        <w:t xml:space="preserve">Simetria de Slutsky</w:t>
      </w:r>
      <w:r>
        <w:t xml:space="preserve">:</w:t>
      </w:r>
      <w:r>
        <w:t xml:space="preserve"> </w:t>
      </w:r>
      <m:oMath>
        <m:f>
          <m:fPr>
            <m:type m:val="bar"/>
          </m:fPr>
          <m:num>
            <m:r>
              <m:rPr>
                <m:sty m:val="p"/>
              </m:rPr>
              <m:t>∂</m:t>
            </m:r>
            <m:sSub>
              <m:e>
                <m:r>
                  <m:t>h</m:t>
                </m:r>
              </m:e>
              <m:sub>
                <m:r>
                  <m:t>i</m:t>
                </m:r>
              </m:sub>
            </m:sSub>
          </m:num>
          <m:den>
            <m:r>
              <m:rPr>
                <m:sty m:val="p"/>
              </m:rPr>
              <m:t>∂</m:t>
            </m:r>
            <m:sSub>
              <m:e>
                <m:r>
                  <m:t>p</m:t>
                </m:r>
              </m:e>
              <m:sub>
                <m:r>
                  <m:t>j</m:t>
                </m:r>
              </m:sub>
            </m:sSub>
          </m:den>
        </m:f>
        <m:r>
          <m:rPr>
            <m:sty m:val="p"/>
          </m:rPr>
          <m:t>=</m:t>
        </m:r>
        <m:f>
          <m:fPr>
            <m:type m:val="bar"/>
          </m:fPr>
          <m:num>
            <m:r>
              <m:rPr>
                <m:sty m:val="p"/>
              </m:rPr>
              <m:t>∂</m:t>
            </m:r>
            <m:sSub>
              <m:e>
                <m:r>
                  <m:t>h</m:t>
                </m:r>
              </m:e>
              <m:sub>
                <m:r>
                  <m:t>j</m:t>
                </m:r>
              </m:sub>
            </m:sSub>
          </m:num>
          <m:den>
            <m:r>
              <m:rPr>
                <m:sty m:val="p"/>
              </m:rPr>
              <m:t>∂</m:t>
            </m:r>
            <m:sSub>
              <m:e>
                <m:r>
                  <m:t>p</m:t>
                </m:r>
              </m:e>
              <m:sub>
                <m:r>
                  <m:t>i</m:t>
                </m:r>
              </m:sub>
            </m:sSub>
          </m:den>
        </m:f>
      </m:oMath>
      <w:r>
        <w:t xml:space="preserve">. Os efeitos substituição cruzados são simétricos. Essa simetria, que não vale para a demanda marshalliana, é uma propriedade poderosa: ela reduz pela metade o número de parâmetros a estimar em sistemas de demanda e reflete uma propriedade profunda da dualidade entre maximização de utilidade e minimização de dispêndio.</w:t>
      </w:r>
    </w:p>
    <w:p>
      <w:pPr>
        <w:pStyle w:val="BlockText"/>
      </w:pPr>
      <w:r>
        <w:rPr>
          <w:b/>
          <w:bCs/>
        </w:rPr>
        <w:t xml:space="preserve">[INFORMACAO] Prêmio Nobel — Angus Deaton (2015)</w:t>
      </w:r>
    </w:p>
    <w:p>
      <w:pPr>
        <w:pStyle w:val="BlockText"/>
      </w:pPr>
      <w:r>
        <w:rPr>
          <w:b/>
          <w:bCs/>
        </w:rPr>
        <w:t xml:space="preserve">Angus Stewart Deaton</w:t>
      </w:r>
      <w:r>
        <w:t xml:space="preserve"> </w:t>
      </w:r>
      <w:r>
        <w:t xml:space="preserve">(1945– ) é um economista escocês-americano, professor em Princeton. Obteve seu PhD em Cambridge e construiu carreira unindo teoria microeconômica avançada com evidência empírica rigorosa.</w:t>
      </w:r>
    </w:p>
    <w:p>
      <w:pPr>
        <w:pStyle w:val="BlockText"/>
      </w:pPr>
      <w:r>
        <w:rPr>
          <w:b/>
          <w:bCs/>
        </w:rPr>
        <w:t xml:space="preserve">Por que ganhou o Nobel:</w:t>
      </w:r>
      <w:r>
        <w:t xml:space="preserve"> </w:t>
      </w:r>
      <w:r>
        <w:t xml:space="preserve">O Comitê Nobel premiou Deaton</w:t>
      </w:r>
      <w:r>
        <w:t xml:space="preserve"> </w:t>
      </w:r>
      <w:r>
        <w:t xml:space="preserve">“por sua análise do consumo, da pobreza e do bem-estar”</w:t>
      </w:r>
      <w:r>
        <w:t xml:space="preserve">. Em particular, Deaton desenvolveu o</w:t>
      </w:r>
      <w:r>
        <w:t xml:space="preserve"> </w:t>
      </w:r>
      <w:r>
        <w:rPr>
          <w:i/>
          <w:iCs/>
        </w:rPr>
        <w:t xml:space="preserve">Almost Ideal Demand System</w:t>
      </w:r>
      <w:r>
        <w:t xml:space="preserve"> </w:t>
      </w:r>
      <w:r>
        <w:t xml:space="preserve">(AIDS, junto com Muellbauer, 1980) — um sistema de equações de demanda que satisfaz automaticamente as restrições teóricas da Equação de Slutsky (simetria, homogeneidade, esgotamento da renda) e pode ser estimado com dados de orçamentos domiciliares. Além disso, seu trabalho sobre como inferir elasticidades de demanda a partir de dados de pesquisa domiciliar (onde os preços não são diretamente observados) abriu caminho para a estimação de demanda em países em desenvolvimento, incluindo o Brasil.</w:t>
      </w:r>
    </w:p>
    <w:p>
      <w:pPr>
        <w:pStyle w:val="BlockText"/>
      </w:pPr>
      <w:r>
        <w:rPr>
          <w:b/>
          <w:bCs/>
        </w:rPr>
        <w:t xml:space="preserve">Conexão com este capítulo:</w:t>
      </w:r>
      <w:r>
        <w:t xml:space="preserve"> </w:t>
      </w:r>
      <w:r>
        <w:t xml:space="preserve">A Equação de Slutsky (Seção 5.4) é o núcleo teórico do trabalho de Deaton: as propriedades de simetria e semidefinição negativa da matriz de Slutsky são as restrições que o AIDS impõe na estimação econométrica. As medidas de bem-estar discutidas na Seção 5.8 (VC e VE) são também ferramentas centrais na obra de Deaton sobre pobreza e distribuição de consumo — tema revisitado na Seção</w:t>
      </w:r>
      <w:r>
        <w:t xml:space="preserve"> </w:t>
      </w:r>
      <w:r>
        <w:t xml:space="preserve">“Pesquisa em Ação”</w:t>
      </w:r>
      <w:r>
        <w:t xml:space="preserve"> </w:t>
      </w:r>
      <w:r>
        <w:t xml:space="preserve">deste capítulo.</w:t>
      </w:r>
    </w:p>
    <w:p>
      <w:pPr>
        <w:pStyle w:val="BlockText"/>
      </w:pPr>
      <w:r>
        <w:rPr>
          <w:b/>
          <w:bCs/>
        </w:rPr>
        <w:t xml:space="preserve">[NOTA] Giffen na prática: arroz na China</w:t>
      </w:r>
    </w:p>
    <w:p>
      <w:pPr>
        <w:pStyle w:val="BlockText"/>
      </w:pPr>
      <w:r>
        <w:t xml:space="preserve">Bens de Giffen são raríssimos empiricamente. A evidência mais robusta foi documentada por</w:t>
      </w:r>
      <w:r>
        <w:t xml:space="preserve"> </w:t>
      </w:r>
      <w:hyperlink r:id="rId247">
        <w:r>
          <w:rPr>
            <w:rStyle w:val="Hyperlink"/>
          </w:rPr>
          <w:t xml:space="preserve">Jensen e Miller (2008)</w:t>
        </w:r>
      </w:hyperlink>
      <w:r>
        <w:t xml:space="preserve">, que identificaram comportamento de Giffen para o arroz entre famílias extremamente pobres na província de Hunan, na China. Nessas famílias, o arroz representava parcela tão grande do orçamento que o efeito renda de um aumento de preço dominava o efeito substituição. Voltaremos a esse estudo no Apêndice.</w:t>
      </w:r>
    </w:p>
    <w:p>
      <w:pPr>
        <w:pStyle w:val="BlockText"/>
      </w:pPr>
      <w:r>
        <w:rPr>
          <w:b/>
          <w:bCs/>
        </w:rPr>
        <w:t xml:space="preserve">[BOX MUNDO] Box Mundo 5.1 — O experimento do arroz em Hunan: evidência causal de comportamento de Giffen</w:t>
      </w:r>
    </w:p>
    <w:p>
      <w:pPr>
        <w:pStyle w:val="BlockText"/>
      </w:pPr>
      <w:r>
        <w:rPr>
          <w:b/>
          <w:bCs/>
        </w:rPr>
        <w:t xml:space="preserve">Contexto:</w:t>
      </w:r>
      <w:r>
        <w:t xml:space="preserve"> </w:t>
      </w:r>
      <w:r>
        <w:t xml:space="preserve">A existência de bens de Giffen — bens cuja demanda aumenta quando o preço sobe — foi debatida por mais de um século desde que Alfred Marshall atribuiu a ideia a Sir Robert Giffen nos anos 1890. Apesar de sua importância teórica para a Equação de Slutsky (demonstrando que o efeito renda pode dominar o efeito substituição), nenhum estudo havia conseguido documentar convincentemente esse fenômeno até o experimento de campo conduzido por Robert Jensen e Nolan Miller na província de Hunan, China, publicado na</w:t>
      </w:r>
      <w:r>
        <w:t xml:space="preserve"> </w:t>
      </w:r>
      <w:r>
        <w:rPr>
          <w:i/>
          <w:iCs/>
        </w:rPr>
        <w:t xml:space="preserve">American Economic Review</w:t>
      </w:r>
      <w:r>
        <w:t xml:space="preserve"> </w:t>
      </w:r>
      <w:r>
        <w:t xml:space="preserve">em 2008.</w:t>
      </w:r>
    </w:p>
    <w:p>
      <w:pPr>
        <w:pStyle w:val="BlockText"/>
      </w:pPr>
      <w:r>
        <w:rPr>
          <w:b/>
          <w:bCs/>
        </w:rPr>
        <w:t xml:space="preserve">Dados:</w:t>
      </w:r>
      <w:r>
        <w:t xml:space="preserve"> </w:t>
      </w:r>
      <w:r>
        <w:t xml:space="preserve">Jensen e Miller implementaram um experimento randomizado controlado (RCT) em que famílias extremamente pobres receberam subsídios aleatórios ao preço do arroz — o alimento básico que representava até 60-80% de suas calorias diárias. O resultado principal foi surpreendente: quando o subsídio reduzia o preço do arroz, as famílias consumiam</w:t>
      </w:r>
      <w:r>
        <w:t xml:space="preserve"> </w:t>
      </w:r>
      <w:r>
        <w:rPr>
          <w:i/>
          <w:iCs/>
        </w:rPr>
        <w:t xml:space="preserve">menos</w:t>
      </w:r>
      <w:r>
        <w:t xml:space="preserve"> </w:t>
      </w:r>
      <w:r>
        <w:t xml:space="preserve">arroz, não mais. Especificamente, um subsídio de aproximadamente 25% no preço do arroz levou a uma redução média de 10-15% no consumo de arroz entre as famílias mais pobres. Simultaneamente, essas famílias aumentaram o consumo de alimentos de maior qualidade nutricional — carne, vegetais e frutas. Em uma segunda província (Gansu), onde o alimento básico era o trigo, a evidência apontou na mesma direção, embora com significância estatística menor.</w:t>
      </w:r>
    </w:p>
    <w:p>
      <w:pPr>
        <w:pStyle w:val="BlockText"/>
      </w:pPr>
      <w:r>
        <w:rPr>
          <w:b/>
          <w:bCs/>
        </w:rPr>
        <w:t xml:space="preserve">Análise:</w:t>
      </w:r>
      <w:r>
        <w:t xml:space="preserve"> </w:t>
      </w:r>
      <w:r>
        <w:t xml:space="preserve">O mecanismo é precisamente o previsto pela Equação de Slutsky Eq. (eq:5.4.3): o arroz nessas famílias era simultaneamente (i) um bem fortemente inferior (</w:t>
      </w:r>
      <m:oMath>
        <m:r>
          <m:rPr>
            <m:sty m:val="p"/>
          </m:rPr>
          <m:t>∂</m:t>
        </m:r>
        <m:sSub>
          <m:e>
            <m:r>
              <m:t>x</m:t>
            </m:r>
          </m:e>
          <m:sub>
            <m:r>
              <m:t>i</m:t>
            </m:r>
          </m:sub>
        </m:sSub>
        <m:r>
          <m:rPr>
            <m:sty m:val="p"/>
          </m:rPr>
          <m:t>/</m:t>
        </m:r>
        <m:r>
          <m:rPr>
            <m:sty m:val="p"/>
          </m:rPr>
          <m:t>∂</m:t>
        </m:r>
        <m:r>
          <m:t>I</m:t>
        </m:r>
        <m:r>
          <m:rPr>
            <m:sty m:val="p"/>
          </m:rPr>
          <m:t>&lt;</m:t>
        </m:r>
        <m:r>
          <m:t>0</m:t>
        </m:r>
      </m:oMath>
      <w:r>
        <w:t xml:space="preserve">) e (ii) representava parcela dominante do orçamento (</w:t>
      </w:r>
      <m:oMath>
        <m:sSub>
          <m:e>
            <m:r>
              <m:t>x</m:t>
            </m:r>
          </m:e>
          <m:sub>
            <m:r>
              <m:t>i</m:t>
            </m:r>
          </m:sub>
        </m:sSub>
      </m:oMath>
      <w:r>
        <w:t xml:space="preserve"> </w:t>
      </w:r>
      <w:r>
        <w:t xml:space="preserve">grande), de modo que o termo do efeito renda</w:t>
      </w:r>
      <w:r>
        <w:t xml:space="preserve"> </w:t>
      </w:r>
      <m:oMath>
        <m:r>
          <m:rPr>
            <m:sty m:val="p"/>
          </m:rPr>
          <m:t>−</m:t>
        </m:r>
        <m:sSub>
          <m:e>
            <m:r>
              <m:t>x</m:t>
            </m:r>
          </m:e>
          <m:sub>
            <m:r>
              <m:t>i</m:t>
            </m:r>
          </m:sub>
        </m:sSub>
        <m:r>
          <m:rPr>
            <m:sty m:val="p"/>
          </m:rPr>
          <m:t>⋅</m:t>
        </m:r>
        <m:r>
          <m:rPr>
            <m:sty m:val="p"/>
          </m:rPr>
          <m:t>∂</m:t>
        </m:r>
        <m:sSub>
          <m:e>
            <m:r>
              <m:t>x</m:t>
            </m:r>
          </m:e>
          <m:sub>
            <m:r>
              <m:t>i</m:t>
            </m:r>
          </m:sub>
        </m:sSub>
        <m:r>
          <m:rPr>
            <m:sty m:val="p"/>
          </m:rPr>
          <m:t>/</m:t>
        </m:r>
        <m:r>
          <m:rPr>
            <m:sty m:val="p"/>
          </m:rPr>
          <m:t>∂</m:t>
        </m:r>
        <m:r>
          <m:t>I</m:t>
        </m:r>
        <m:r>
          <m:rPr>
            <m:sty m:val="p"/>
          </m:rPr>
          <m:t>&gt;</m:t>
        </m:r>
        <m:r>
          <m:t>0</m:t>
        </m:r>
      </m:oMath>
      <w:r>
        <w:t xml:space="preserve"> </w:t>
      </w:r>
      <w:r>
        <w:t xml:space="preserve">superava em magnitude o efeito substituição</w:t>
      </w:r>
      <w:r>
        <w:t xml:space="preserve"> </w:t>
      </w:r>
      <m:oMath>
        <m:r>
          <m:rPr>
            <m:sty m:val="p"/>
          </m:rPr>
          <m:t>∂</m:t>
        </m:r>
        <m:sSub>
          <m:e>
            <m:r>
              <m:t>h</m:t>
            </m:r>
          </m:e>
          <m:sub>
            <m:r>
              <m:t>i</m:t>
            </m:r>
          </m:sub>
        </m:sSub>
        <m:r>
          <m:rPr>
            <m:sty m:val="p"/>
          </m:rPr>
          <m:t>/</m:t>
        </m:r>
        <m:r>
          <m:rPr>
            <m:sty m:val="p"/>
          </m:rPr>
          <m:t>∂</m:t>
        </m:r>
        <m:sSub>
          <m:e>
            <m:r>
              <m:t>p</m:t>
            </m:r>
          </m:e>
          <m:sub>
            <m:r>
              <m:t>i</m:t>
            </m:r>
          </m:sub>
        </m:sSub>
        <m:r>
          <m:rPr>
            <m:sty m:val="p"/>
          </m:rPr>
          <m:t>&lt;</m:t>
        </m:r>
        <m:r>
          <m:t>0</m:t>
        </m:r>
      </m:oMath>
      <w:r>
        <w:t xml:space="preserve">. Quando o subsídio barateava o arroz, o ganho de poder de compra (efeito renda) era tão expressivo que as famílias podiam finalmente diversificar sua dieta, reduzindo a dependência do arroz. O estudo é particularmente valioso porque o desenho experimental — randomização do subsídio — elimina problemas de endogeneidade que comprometiam tentativas anteriores de identificar bens de Giffen com dados observacionais.</w:t>
      </w:r>
    </w:p>
    <w:p>
      <w:pPr>
        <w:pStyle w:val="BlockText"/>
      </w:pPr>
      <w:r>
        <w:rPr>
          <w:b/>
          <w:bCs/>
        </w:rPr>
        <w:t xml:space="preserve">Fonte:</w:t>
      </w:r>
      <w:r>
        <w:t xml:space="preserve"> </w:t>
      </w:r>
      <w:r>
        <w:t xml:space="preserve">Jensen, R. T.; Miller, N. H. (2008).</w:t>
      </w:r>
      <w:r>
        <w:t xml:space="preserve"> </w:t>
      </w:r>
      <w:r>
        <w:t xml:space="preserve">“Giffen Behavior and Subsistence Consumption.”</w:t>
      </w:r>
      <w:r>
        <w:t xml:space="preserve"> </w:t>
      </w:r>
      <w:r>
        <w:rPr>
          <w:i/>
          <w:iCs/>
        </w:rPr>
        <w:t xml:space="preserve">The American Economic Review</w:t>
      </w:r>
      <w:r>
        <w:t xml:space="preserve">, 98(4), 1553–1577.</w:t>
      </w:r>
    </w:p>
    <w:p>
      <w:pPr>
        <w:pStyle w:val="BlockText"/>
      </w:pPr>
      <w:r>
        <w:rPr>
          <w:b/>
          <w:bCs/>
        </w:rPr>
        <w:t xml:space="preserve">[BOX BRASIL] Box Brasil 5.3 — Slutsky na bomba: gasolina, etanol e a decomposição que o motorista faz sem saber</w:t>
      </w:r>
    </w:p>
    <w:p>
      <w:pPr>
        <w:pStyle w:val="BlockText"/>
      </w:pPr>
      <w:r>
        <w:t xml:space="preserve">Quando o preço da gasolina sobe no Brasil, o motorista flex faz — inconscientemente — a decomposição de Slutsky em tempo real. A regra prática é conhecida: se o etanol custa menos de 70% do preço da gasolina, compensa abastecer com etanol. Essa regra é, na essência, uma heurística de</w:t>
      </w:r>
      <w:r>
        <w:t xml:space="preserve"> </w:t>
      </w:r>
      <w:r>
        <w:rPr>
          <w:i/>
          <w:iCs/>
        </w:rPr>
        <w:t xml:space="preserve">efeito substituição</w:t>
      </w:r>
      <w:r>
        <w:t xml:space="preserve">.</w:t>
      </w:r>
    </w:p>
    <w:p>
      <w:pPr>
        <w:pStyle w:val="BlockText"/>
      </w:pPr>
      <w:r>
        <w:rPr>
          <w:b/>
          <w:bCs/>
        </w:rPr>
        <w:t xml:space="preserve">Dados ANP (2019–2024):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Período</w:t>
            </w:r>
          </w:p>
        </w:tc>
        <w:tc>
          <w:tcPr/>
          <w:p>
            <w:pPr>
              <w:pStyle w:val="Compact"/>
            </w:pPr>
            <w:r>
              <w:t xml:space="preserve">Gasolina (R</w:t>
            </w:r>
            <m:oMath>
              <m:r>
                <m:rPr>
                  <m:sty m:val="p"/>
                </m:rPr>
                <m:t>/</m:t>
              </m:r>
              <m:r>
                <m:t>L</m:t>
              </m:r>
              <m:r>
                <m:rPr>
                  <m:sty m:val="p"/>
                </m:rPr>
                <m:t>)</m:t>
              </m:r>
              <m:r>
                <m:rPr>
                  <m:sty m:val="p"/>
                </m:rPr>
                <m:t>|</m:t>
              </m:r>
              <m:r>
                <m:t>E</m:t>
              </m:r>
              <m:r>
                <m:t>t</m:t>
              </m:r>
              <m:r>
                <m:t>a</m:t>
              </m:r>
              <m:r>
                <m:t>n</m:t>
              </m:r>
              <m:r>
                <m:t>o</m:t>
              </m:r>
              <m:r>
                <m:t>l</m:t>
              </m:r>
              <m:r>
                <m:rPr>
                  <m:sty m:val="p"/>
                </m:rPr>
                <m:t>(</m:t>
              </m:r>
              <m:r>
                <m:t>R</m:t>
              </m:r>
            </m:oMath>
            <w:r>
              <w:t xml:space="preserve">/L)</w:t>
            </w:r>
          </w:p>
        </w:tc>
        <w:tc>
          <w:tcPr/>
          <w:p>
            <w:pPr>
              <w:pStyle w:val="Compact"/>
            </w:pPr>
            <w:r>
              <w:t xml:space="preserve">Razão E/G</w:t>
            </w:r>
          </w:p>
        </w:tc>
        <w:tc>
          <w:tcPr/>
          <w:p>
            <w:pPr>
              <w:pStyle w:val="Compact"/>
            </w:pPr>
            <w:r>
              <w:t xml:space="preserve">Comportamento observado</w:t>
            </w:r>
          </w:p>
        </w:tc>
        <w:tc>
          <w:tcPr/>
          <w:p>
            <w:pPr>
              <w:pStyle w:val="Compact"/>
            </w:pPr>
          </w:p>
        </w:tc>
      </w:tr>
      <w:tr>
        <w:tc>
          <w:tcPr/>
          <w:p>
            <w:pPr>
              <w:pStyle w:val="Compact"/>
            </w:pPr>
            <w:r>
              <w:t xml:space="preserve">Jan 2020</w:t>
            </w:r>
          </w:p>
        </w:tc>
        <w:tc>
          <w:tcPr/>
          <w:p>
            <w:pPr>
              <w:pStyle w:val="Compact"/>
            </w:pPr>
            <w:r>
              <w:t xml:space="preserve">4,54</w:t>
            </w:r>
          </w:p>
        </w:tc>
        <w:tc>
          <w:tcPr/>
          <w:p>
            <w:pPr>
              <w:pStyle w:val="Compact"/>
            </w:pPr>
            <w:r>
              <w:t xml:space="preserve">3,16</w:t>
            </w:r>
          </w:p>
        </w:tc>
        <w:tc>
          <w:tcPr/>
          <w:p>
            <w:pPr>
              <w:pStyle w:val="Compact"/>
            </w:pPr>
            <w:r>
              <w:t xml:space="preserve">0,70</w:t>
            </w:r>
          </w:p>
        </w:tc>
        <w:tc>
          <w:tcPr/>
          <w:p>
            <w:pPr>
              <w:pStyle w:val="Compact"/>
            </w:pPr>
            <w:r>
              <w:t xml:space="preserve">Indiferente</w:t>
            </w:r>
          </w:p>
        </w:tc>
      </w:tr>
      <w:tr>
        <w:tc>
          <w:tcPr/>
          <w:p>
            <w:pPr>
              <w:pStyle w:val="Compact"/>
            </w:pPr>
            <w:r>
              <w:t xml:space="preserve">Jun 2022 (pico)</w:t>
            </w:r>
          </w:p>
        </w:tc>
        <w:tc>
          <w:tcPr/>
          <w:p>
            <w:pPr>
              <w:pStyle w:val="Compact"/>
            </w:pPr>
            <w:r>
              <w:t xml:space="preserve">7,39</w:t>
            </w:r>
          </w:p>
        </w:tc>
        <w:tc>
          <w:tcPr/>
          <w:p>
            <w:pPr>
              <w:pStyle w:val="Compact"/>
            </w:pPr>
            <w:r>
              <w:t xml:space="preserve">5,47</w:t>
            </w:r>
          </w:p>
        </w:tc>
        <w:tc>
          <w:tcPr/>
          <w:p>
            <w:pPr>
              <w:pStyle w:val="Compact"/>
            </w:pPr>
            <w:r>
              <w:t xml:space="preserve">0,74</w:t>
            </w:r>
          </w:p>
        </w:tc>
        <w:tc>
          <w:tcPr/>
          <w:p>
            <w:pPr>
              <w:pStyle w:val="Compact"/>
            </w:pPr>
            <w:r>
              <w:t xml:space="preserve">Gasolina preferida (ES fraco)</w:t>
            </w:r>
          </w:p>
        </w:tc>
      </w:tr>
      <w:tr>
        <w:tc>
          <w:tcPr/>
          <w:p>
            <w:pPr>
              <w:pStyle w:val="Compact"/>
            </w:pPr>
            <w:r>
              <w:t xml:space="preserve">Dez 2023</w:t>
            </w:r>
          </w:p>
        </w:tc>
        <w:tc>
          <w:tcPr/>
          <w:p>
            <w:pPr>
              <w:pStyle w:val="Compact"/>
            </w:pPr>
            <w:r>
              <w:t xml:space="preserve">5,79</w:t>
            </w:r>
          </w:p>
        </w:tc>
        <w:tc>
          <w:tcPr/>
          <w:p>
            <w:pPr>
              <w:pStyle w:val="Compact"/>
            </w:pPr>
            <w:r>
              <w:t xml:space="preserve">3,72</w:t>
            </w:r>
          </w:p>
        </w:tc>
        <w:tc>
          <w:tcPr/>
          <w:p>
            <w:pPr>
              <w:pStyle w:val="Compact"/>
            </w:pPr>
            <w:r>
              <w:t xml:space="preserve">0,64</w:t>
            </w:r>
          </w:p>
        </w:tc>
        <w:tc>
          <w:tcPr/>
          <w:p>
            <w:pPr>
              <w:pStyle w:val="Compact"/>
            </w:pPr>
            <w:r>
              <w:t xml:space="preserve">Etanol preferido (ES forte)</w:t>
            </w:r>
          </w:p>
        </w:tc>
      </w:tr>
      <w:tr>
        <w:tc>
          <w:tcPr/>
          <w:p>
            <w:pPr>
              <w:pStyle w:val="Compact"/>
            </w:pPr>
            <w:r>
              <w:t xml:space="preserve">Dez 2024</w:t>
            </w:r>
          </w:p>
        </w:tc>
        <w:tc>
          <w:tcPr/>
          <w:p>
            <w:pPr>
              <w:pStyle w:val="Compact"/>
            </w:pPr>
            <w:r>
              <w:t xml:space="preserve">6,15</w:t>
            </w:r>
          </w:p>
        </w:tc>
        <w:tc>
          <w:tcPr/>
          <w:p>
            <w:pPr>
              <w:pStyle w:val="Compact"/>
            </w:pPr>
            <w:r>
              <w:t xml:space="preserve">4,07</w:t>
            </w:r>
          </w:p>
        </w:tc>
        <w:tc>
          <w:tcPr/>
          <w:p>
            <w:pPr>
              <w:pStyle w:val="Compact"/>
            </w:pPr>
            <w:r>
              <w:t xml:space="preserve">0,66</w:t>
            </w:r>
          </w:p>
        </w:tc>
        <w:tc>
          <w:tcPr/>
          <w:p>
            <w:pPr>
              <w:pStyle w:val="Compact"/>
            </w:pPr>
            <w:r>
              <w:t xml:space="preserve">Etanol preferido</w:t>
            </w:r>
          </w:p>
        </w:tc>
      </w:tr>
    </w:tbl>
    <w:p>
      <w:pPr>
        <w:pStyle w:val="BlockText"/>
      </w:pPr>
      <w:r>
        <w:rPr>
          <w:b/>
          <w:bCs/>
        </w:rPr>
        <w:t xml:space="preserve">Efeito substituição:</w:t>
      </w:r>
      <w:r>
        <w:t xml:space="preserve"> </w:t>
      </w:r>
      <w:r>
        <w:t xml:space="preserve">Quando a razão etanol/gasolina cai abaixo de 0,70, o consumo de etanol sobe e o de gasolina cai — substituição pura entre combustíveis. A ANP documenta que, em estados produtores como São Paulo, Goiás e Minas Gerais, a participação do etanol nas vendas de combustíveis varia de 35% a 55%, respondendo diretamente aos preços relativos.</w:t>
      </w:r>
    </w:p>
    <w:p>
      <w:pPr>
        <w:pStyle w:val="BlockText"/>
      </w:pPr>
      <w:r>
        <w:rPr>
          <w:b/>
          <w:bCs/>
        </w:rPr>
        <w:t xml:space="preserve">Efeito renda:</w:t>
      </w:r>
      <w:r>
        <w:t xml:space="preserve"> </w:t>
      </w:r>
      <w:r>
        <w:t xml:space="preserve">O combustível representa 4–8% do orçamento das famílias brasileiras (POF 2017-2018). Para motoristas de aplicativo e caminhoneiros, essa participação pode chegar a 25–40% da receita bruta. Nesses casos, o efeito renda de um aumento de combustível é significativo: o motorista de aplicativo não apenas substitui gasolina por etanol (ES), mas também</w:t>
      </w:r>
      <w:r>
        <w:t xml:space="preserve"> </w:t>
      </w:r>
      <w:r>
        <w:rPr>
          <w:i/>
          <w:iCs/>
        </w:rPr>
        <w:t xml:space="preserve">reduz</w:t>
      </w:r>
      <w:r>
        <w:t xml:space="preserve"> </w:t>
      </w:r>
      <w:r>
        <w:t xml:space="preserve">o número de corridas porque o lucro líquido por corrida diminuiu (ER negativo sobre lazer). É a Equação de Slutsky em ação na gig economy.</w:t>
      </w:r>
    </w:p>
    <w:p>
      <w:pPr>
        <w:pStyle w:val="BlockText"/>
      </w:pPr>
      <w:r>
        <w:rPr>
          <w:b/>
          <w:bCs/>
        </w:rPr>
        <w:t xml:space="preserve">Conexão com a teoria:</w:t>
      </w:r>
      <w:r>
        <w:t xml:space="preserve"> </w:t>
      </w:r>
      <w:r>
        <w:t xml:space="preserve">Combustível é um bem normal para a maioria das famílias (</w:t>
      </w:r>
      <m:oMath>
        <m:r>
          <m:rPr>
            <m:sty m:val="p"/>
          </m:rPr>
          <m:t>∂</m:t>
        </m:r>
        <m:r>
          <m:t>x</m:t>
        </m:r>
        <m:r>
          <m:rPr>
            <m:sty m:val="p"/>
          </m:rPr>
          <m:t>/</m:t>
        </m:r>
        <m:r>
          <m:rPr>
            <m:sty m:val="p"/>
          </m:rPr>
          <m:t>∂</m:t>
        </m:r>
        <m:r>
          <m:t>I</m:t>
        </m:r>
        <m:r>
          <m:rPr>
            <m:sty m:val="p"/>
          </m:rPr>
          <m:t>&gt;</m:t>
        </m:r>
        <m:r>
          <m:t>0</m:t>
        </m:r>
      </m:oMath>
      <w:r>
        <w:t xml:space="preserve">), de modo que ES e ER se reforçam: quando o preço sobe, a demanda cai tanto pela substituição por etanol/transporte público quanto pelo empobrecimento. A elasticidade-preço da demanda por gasolina no Brasil é estimada entre −0,3 e −0,5 no curto prazo e entre −0,7 e −1,0 no longo prazo (Santos, 2013) — consistente com substituição limitada no curto prazo (poucas alternativas imediatas) e ampla no longo prazo (troca de veículo, mudança de rota, transporte público).</w:t>
      </w:r>
    </w:p>
    <w:p>
      <w:pPr>
        <w:pStyle w:val="BlockText"/>
      </w:pPr>
      <w:r>
        <w:rPr>
          <w:b/>
          <w:bCs/>
        </w:rPr>
        <w:t xml:space="preserve">Fontes:</w:t>
      </w:r>
      <w:r>
        <w:t xml:space="preserve"> </w:t>
      </w:r>
      <w:r>
        <w:t xml:space="preserve">ANP — Levantamento de Preços de Combustíveis; IBGE — POF 2017-2018; Santos, G. F. (2013).</w:t>
      </w:r>
      <w:r>
        <w:t xml:space="preserve"> </w:t>
      </w:r>
      <w:r>
        <w:t xml:space="preserve">“Fuel demand in Brazil in a dynamic panel data approach.”</w:t>
      </w:r>
      <w:r>
        <w:t xml:space="preserve"> </w:t>
      </w:r>
      <w:r>
        <w:rPr>
          <w:i/>
          <w:iCs/>
        </w:rPr>
        <w:t xml:space="preserve">Energy Economics</w:t>
      </w:r>
      <w:r>
        <w:t xml:space="preserve">, 36, 229–240.</w:t>
      </w:r>
    </w:p>
    <w:p>
      <w:pPr>
        <w:pStyle w:val="BlockText"/>
      </w:pPr>
      <w:r>
        <w:rPr>
          <w:b/>
          <w:bCs/>
        </w:rPr>
        <w:t xml:space="preserve">[EXERCICIO RESOLVIDO] Exercício Resolvido 5.3</w:t>
      </w:r>
    </w:p>
    <w:p>
      <w:pPr>
        <w:pStyle w:val="BlockText"/>
      </w:pPr>
      <w:r>
        <w:rPr>
          <w:b/>
          <w:bCs/>
        </w:rPr>
        <w:t xml:space="preserve">Enunciado:</w:t>
      </w:r>
      <w:r>
        <w:t xml:space="preserve"> </w:t>
      </w:r>
      <w:r>
        <w:t xml:space="preserve">Um consumidor tem utilidade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1</m:t>
            </m:r>
            <m:r>
              <m:rPr>
                <m:sty m:val="p"/>
              </m:rPr>
              <m:t>/</m:t>
            </m:r>
            <m:r>
              <m:t>2</m:t>
            </m:r>
          </m:sup>
        </m:sSubSup>
        <m:sSubSup>
          <m:e>
            <m:r>
              <m:t>x</m:t>
            </m:r>
          </m:e>
          <m:sub>
            <m:r>
              <m:t>2</m:t>
            </m:r>
          </m:sub>
          <m:sup>
            <m:r>
              <m:t>1</m:t>
            </m:r>
            <m:r>
              <m:rPr>
                <m:sty m:val="p"/>
              </m:rPr>
              <m:t>/</m:t>
            </m:r>
            <m:r>
              <m:t>2</m:t>
            </m:r>
          </m:sup>
        </m:sSubSup>
      </m:oMath>
      <w:r>
        <w:t xml:space="preserve">, com preços</w:t>
      </w:r>
      <w:r>
        <w:t xml:space="preserve"> </w:t>
      </w:r>
      <m:oMath>
        <m:sSub>
          <m:e>
            <m:r>
              <m:t>p</m:t>
            </m:r>
          </m:e>
          <m:sub>
            <m:r>
              <m:t>1</m:t>
            </m:r>
          </m:sub>
        </m:sSub>
        <m:r>
          <m:rPr>
            <m:sty m:val="p"/>
          </m:rPr>
          <m:t>=</m:t>
        </m:r>
        <m:r>
          <m:t>4</m:t>
        </m:r>
      </m:oMath>
      <w:r>
        <w:t xml:space="preserve">,</w:t>
      </w:r>
      <w:r>
        <w:t xml:space="preserve"> </w:t>
      </w:r>
      <m:oMath>
        <m:sSub>
          <m:e>
            <m:r>
              <m:t>p</m:t>
            </m:r>
          </m:e>
          <m:sub>
            <m:r>
              <m:t>2</m:t>
            </m:r>
          </m:sub>
        </m:sSub>
        <m:r>
          <m:rPr>
            <m:sty m:val="p"/>
          </m:rPr>
          <m:t>=</m:t>
        </m:r>
        <m:r>
          <m:t>1</m:t>
        </m:r>
      </m:oMath>
      <w:r>
        <w:t xml:space="preserve"> </w:t>
      </w:r>
      <w:r>
        <w:t xml:space="preserve">e renda</w:t>
      </w:r>
      <w:r>
        <w:t xml:space="preserve"> </w:t>
      </w:r>
      <m:oMath>
        <m:r>
          <m:t>I</m:t>
        </m:r>
        <m:r>
          <m:rPr>
            <m:sty m:val="p"/>
          </m:rPr>
          <m:t>=</m:t>
        </m:r>
        <m:r>
          <m:t>80</m:t>
        </m:r>
      </m:oMath>
      <w:r>
        <w:t xml:space="preserve">. O preço do bem 1 cai para</w:t>
      </w:r>
      <w:r>
        <w:t xml:space="preserve"> </w:t>
      </w:r>
      <m:oMath>
        <m:sSubSup>
          <m:e>
            <m:r>
              <m:t>p</m:t>
            </m:r>
          </m:e>
          <m:sub>
            <m:r>
              <m:t>1</m:t>
            </m:r>
          </m:sub>
          <m:sup>
            <m:r>
              <m:rPr>
                <m:sty m:val="p"/>
              </m:rPr>
              <m:t>′</m:t>
            </m:r>
          </m:sup>
        </m:sSubSup>
        <m:r>
          <m:rPr>
            <m:sty m:val="p"/>
          </m:rPr>
          <m:t>=</m:t>
        </m:r>
        <m:r>
          <m:t>1</m:t>
        </m:r>
      </m:oMath>
      <w:r>
        <w:t xml:space="preserve">. (a) Encontre as cestas ótimas antes e depois da variação de preço. (b) Decomponha o efeito total sobre</w:t>
      </w:r>
      <w:r>
        <w:t xml:space="preserve"> </w:t>
      </w:r>
      <m:oMath>
        <m:sSub>
          <m:e>
            <m:r>
              <m:t>x</m:t>
            </m:r>
          </m:e>
          <m:sub>
            <m:r>
              <m:t>1</m:t>
            </m:r>
          </m:sub>
        </m:sSub>
      </m:oMath>
      <w:r>
        <w:t xml:space="preserve"> </w:t>
      </w:r>
      <w:r>
        <w:t xml:space="preserve">em efeito substituição e efeito renda (Hicks). (c) Verifique a decomposição com a Equação de Slutsky.</w:t>
      </w:r>
    </w:p>
    <w:p>
      <w:pPr>
        <w:pStyle w:val="BlockText"/>
      </w:pPr>
      <w:r>
        <w:rPr>
          <w:b/>
          <w:bCs/>
        </w:rPr>
        <w:t xml:space="preserve">Dados:</w:t>
      </w:r>
      <w:r>
        <w:t xml:space="preserve"> </w:t>
      </w:r>
      <w:r>
        <w:t xml:space="preserve">Cobb-Douglas com</w:t>
      </w:r>
      <w:r>
        <w:t xml:space="preserve"> </w:t>
      </w:r>
      <m:oMath>
        <m:r>
          <m:t>a</m:t>
        </m:r>
        <m:r>
          <m:rPr>
            <m:sty m:val="p"/>
          </m:rPr>
          <m:t>=</m:t>
        </m:r>
        <m:r>
          <m:t>b</m:t>
        </m:r>
        <m:r>
          <m:rPr>
            <m:sty m:val="p"/>
          </m:rPr>
          <m:t>=</m:t>
        </m:r>
        <m:r>
          <m:t>1</m:t>
        </m:r>
        <m:r>
          <m:rPr>
            <m:sty m:val="p"/>
          </m:rPr>
          <m:t>/</m:t>
        </m:r>
        <m:r>
          <m:t>2</m:t>
        </m:r>
      </m:oMath>
      <w:r>
        <w:t xml:space="preserve">,</w:t>
      </w:r>
      <w:r>
        <w:t xml:space="preserve"> </w:t>
      </w:r>
      <m:oMath>
        <m:sSub>
          <m:e>
            <m:r>
              <m:t>p</m:t>
            </m:r>
          </m:e>
          <m:sub>
            <m:r>
              <m:t>1</m:t>
            </m:r>
          </m:sub>
        </m:sSub>
        <m:r>
          <m:rPr>
            <m:sty m:val="p"/>
          </m:rPr>
          <m:t>=</m:t>
        </m:r>
        <m:r>
          <m:t>4</m:t>
        </m:r>
      </m:oMath>
      <w:r>
        <w:t xml:space="preserve">,</w:t>
      </w:r>
      <w:r>
        <w:t xml:space="preserve"> </w:t>
      </w:r>
      <m:oMath>
        <m:sSub>
          <m:e>
            <m:r>
              <m:t>p</m:t>
            </m:r>
          </m:e>
          <m:sub>
            <m:r>
              <m:t>2</m:t>
            </m:r>
          </m:sub>
        </m:sSub>
        <m:r>
          <m:rPr>
            <m:sty m:val="p"/>
          </m:rPr>
          <m:t>=</m:t>
        </m:r>
        <m:r>
          <m:t>1</m:t>
        </m:r>
      </m:oMath>
      <w:r>
        <w:t xml:space="preserve">,</w:t>
      </w:r>
      <w:r>
        <w:t xml:space="preserve"> </w:t>
      </w:r>
      <m:oMath>
        <m:r>
          <m:t>I</m:t>
        </m:r>
        <m:r>
          <m:rPr>
            <m:sty m:val="p"/>
          </m:rPr>
          <m:t>=</m:t>
        </m:r>
        <m:r>
          <m:t>80</m:t>
        </m:r>
      </m:oMath>
      <w:r>
        <w:t xml:space="preserve">,</w:t>
      </w:r>
      <w:r>
        <w:t xml:space="preserve"> </w:t>
      </w:r>
      <m:oMath>
        <m:sSubSup>
          <m:e>
            <m:r>
              <m:t>p</m:t>
            </m:r>
          </m:e>
          <m:sub>
            <m:r>
              <m:t>1</m:t>
            </m:r>
          </m:sub>
          <m:sup>
            <m:r>
              <m:rPr>
                <m:sty m:val="p"/>
              </m:rPr>
              <m:t>′</m:t>
            </m:r>
          </m:sup>
        </m:sSubSup>
        <m:r>
          <m:rPr>
            <m:sty m:val="p"/>
          </m:rPr>
          <m:t>=</m:t>
        </m:r>
        <m:r>
          <m:t>1</m:t>
        </m:r>
      </m:oMath>
      <w:r>
        <w:t xml:space="preserve">.</w:t>
      </w:r>
    </w:p>
    <w:p>
      <w:pPr>
        <w:pStyle w:val="BlockText"/>
      </w:pPr>
      <w:r>
        <w:rPr>
          <w:b/>
          <w:bCs/>
        </w:rPr>
        <w:t xml:space="preserve">Resolução:</w:t>
      </w:r>
    </w:p>
    <w:p>
      <w:pPr>
        <w:pStyle w:val="BlockText"/>
      </w:pPr>
      <w:r>
        <w:rPr>
          <w:b/>
          <w:bCs/>
        </w:rPr>
        <w:t xml:space="preserve">Passo 1 — Cestas ótimas</w:t>
      </w:r>
    </w:p>
    <w:p>
      <w:pPr>
        <w:pStyle w:val="BlockText"/>
      </w:pPr>
      <w:r>
        <w:t xml:space="preserve">Demandas marshallianas para Cobb-Douglas:</w:t>
      </w:r>
      <w:r>
        <w:t xml:space="preserve"> </w:t>
      </w:r>
      <m:oMath>
        <m:sSubSup>
          <m:e>
            <m:r>
              <m:t>x</m:t>
            </m:r>
          </m:e>
          <m:sub>
            <m:r>
              <m:t>i</m:t>
            </m:r>
          </m:sub>
          <m:sup>
            <m:r>
              <m:rPr>
                <m:sty m:val="p"/>
              </m:rPr>
              <m:t>*</m:t>
            </m:r>
          </m:sup>
        </m:sSubSup>
        <m:r>
          <m:rPr>
            <m:sty m:val="p"/>
          </m:rPr>
          <m:t>=</m:t>
        </m:r>
        <m:f>
          <m:fPr>
            <m:type m:val="bar"/>
          </m:fPr>
          <m:num>
            <m:sSub>
              <m:e>
                <m:r>
                  <m:t>a</m:t>
                </m:r>
              </m:e>
              <m:sub>
                <m:r>
                  <m:t>i</m:t>
                </m:r>
              </m:sub>
            </m:sSub>
          </m:num>
          <m:den>
            <m:sSub>
              <m:e>
                <m:r>
                  <m:t>a</m:t>
                </m:r>
              </m:e>
              <m:sub>
                <m:r>
                  <m:t>1</m:t>
                </m:r>
              </m:sub>
            </m:sSub>
            <m:r>
              <m:rPr>
                <m:sty m:val="p"/>
              </m:rPr>
              <m:t>+</m:t>
            </m:r>
            <m:sSub>
              <m:e>
                <m:r>
                  <m:t>a</m:t>
                </m:r>
              </m:e>
              <m:sub>
                <m:r>
                  <m:t>2</m:t>
                </m:r>
              </m:sub>
            </m:sSub>
          </m:den>
        </m:f>
        <m:r>
          <m:rPr>
            <m:sty m:val="p"/>
          </m:rPr>
          <m:t>⋅</m:t>
        </m:r>
        <m:f>
          <m:fPr>
            <m:type m:val="bar"/>
          </m:fPr>
          <m:num>
            <m:r>
              <m:t>I</m:t>
            </m:r>
          </m:num>
          <m:den>
            <m:sSub>
              <m:e>
                <m:r>
                  <m:t>p</m:t>
                </m:r>
              </m:e>
              <m:sub>
                <m:r>
                  <m:t>i</m:t>
                </m:r>
              </m:sub>
            </m:sSub>
          </m:den>
        </m:f>
      </m:oMath>
      <w:r>
        <w:t xml:space="preserve">. Com</w:t>
      </w:r>
      <w:r>
        <w:t xml:space="preserve"> </w:t>
      </w:r>
      <m:oMath>
        <m:sSub>
          <m:e>
            <m:r>
              <m:t>a</m:t>
            </m:r>
          </m:e>
          <m:sub>
            <m:r>
              <m:t>1</m:t>
            </m:r>
          </m:sub>
        </m:sSub>
        <m:r>
          <m:rPr>
            <m:sty m:val="p"/>
          </m:rPr>
          <m:t>=</m:t>
        </m:r>
        <m:sSub>
          <m:e>
            <m:r>
              <m:t>a</m:t>
            </m:r>
          </m:e>
          <m:sub>
            <m:r>
              <m:t>2</m:t>
            </m:r>
          </m:sub>
        </m:sSub>
        <m:r>
          <m:rPr>
            <m:sty m:val="p"/>
          </m:rPr>
          <m:t>=</m:t>
        </m:r>
        <m:r>
          <m:t>1</m:t>
        </m:r>
        <m:r>
          <m:rPr>
            <m:sty m:val="p"/>
          </m:rPr>
          <m:t>/</m:t>
        </m:r>
        <m:r>
          <m:t>2</m:t>
        </m:r>
      </m:oMath>
      <w:r>
        <w:t xml:space="preserve">:</w:t>
      </w:r>
    </w:p>
    <w:p>
      <w:pPr>
        <w:pStyle w:val="Compact"/>
        <w:numPr>
          <w:ilvl w:val="0"/>
          <w:numId w:val="1206"/>
        </w:numPr>
      </w:pPr>
      <w:r>
        <w:t xml:space="preserve">Antes:</w:t>
      </w:r>
      <w:r>
        <w:t xml:space="preserve"> </w:t>
      </w:r>
      <m:oMath>
        <m:sSubSup>
          <m:e>
            <m:r>
              <m:t>x</m:t>
            </m:r>
          </m:e>
          <m:sub>
            <m:r>
              <m:t>1</m:t>
            </m:r>
          </m:sub>
          <m:sup>
            <m:r>
              <m:t>0</m:t>
            </m:r>
          </m:sup>
        </m:sSubSup>
        <m:r>
          <m:rPr>
            <m:sty m:val="p"/>
          </m:rPr>
          <m:t>=</m:t>
        </m:r>
        <m:f>
          <m:fPr>
            <m:type m:val="bar"/>
          </m:fPr>
          <m:num>
            <m:r>
              <m:t>1</m:t>
            </m:r>
          </m:num>
          <m:den>
            <m:r>
              <m:t>2</m:t>
            </m:r>
          </m:den>
        </m:f>
        <m:r>
          <m:rPr>
            <m:sty m:val="p"/>
          </m:rPr>
          <m:t>⋅</m:t>
        </m:r>
        <m:f>
          <m:fPr>
            <m:type m:val="bar"/>
          </m:fPr>
          <m:num>
            <m:r>
              <m:t>80</m:t>
            </m:r>
          </m:num>
          <m:den>
            <m:r>
              <m:t>4</m:t>
            </m:r>
          </m:den>
        </m:f>
        <m:r>
          <m:rPr>
            <m:sty m:val="p"/>
          </m:rPr>
          <m:t>=</m:t>
        </m:r>
        <m:r>
          <m:t>10</m:t>
        </m:r>
      </m:oMath>
      <w:r>
        <w:t xml:space="preserve">,</w:t>
      </w:r>
      <w:r>
        <w:t xml:space="preserve"> </w:t>
      </w:r>
      <m:oMath>
        <m:sSubSup>
          <m:e>
            <m:r>
              <m:t>x</m:t>
            </m:r>
          </m:e>
          <m:sub>
            <m:r>
              <m:t>2</m:t>
            </m:r>
          </m:sub>
          <m:sup>
            <m:r>
              <m:t>0</m:t>
            </m:r>
          </m:sup>
        </m:sSubSup>
        <m:r>
          <m:rPr>
            <m:sty m:val="p"/>
          </m:rPr>
          <m:t>=</m:t>
        </m:r>
        <m:f>
          <m:fPr>
            <m:type m:val="bar"/>
          </m:fPr>
          <m:num>
            <m:r>
              <m:t>1</m:t>
            </m:r>
          </m:num>
          <m:den>
            <m:r>
              <m:t>2</m:t>
            </m:r>
          </m:den>
        </m:f>
        <m:r>
          <m:rPr>
            <m:sty m:val="p"/>
          </m:rPr>
          <m:t>⋅</m:t>
        </m:r>
        <m:f>
          <m:fPr>
            <m:type m:val="bar"/>
          </m:fPr>
          <m:num>
            <m:r>
              <m:t>80</m:t>
            </m:r>
          </m:num>
          <m:den>
            <m:r>
              <m:t>1</m:t>
            </m:r>
          </m:den>
        </m:f>
        <m:r>
          <m:rPr>
            <m:sty m:val="p"/>
          </m:rPr>
          <m:t>=</m:t>
        </m:r>
        <m:r>
          <m:t>40</m:t>
        </m:r>
      </m:oMath>
      <w:r>
        <w:t xml:space="preserve">.</w:t>
      </w:r>
      <w:r>
        <w:t xml:space="preserve"> </w:t>
      </w:r>
      <m:oMath>
        <m:sSub>
          <m:e>
            <m:r>
              <m:t>U</m:t>
            </m:r>
          </m:e>
          <m:sub>
            <m:r>
              <m:t>0</m:t>
            </m:r>
          </m:sub>
        </m:sSub>
        <m:r>
          <m:rPr>
            <m:sty m:val="p"/>
          </m:rPr>
          <m:t>=</m:t>
        </m:r>
        <m:rad>
          <m:radPr>
            <m:degHide m:val="on"/>
          </m:radPr>
          <m:deg/>
          <m:e>
            <m:r>
              <m:t>10</m:t>
            </m:r>
            <m:r>
              <m:rPr>
                <m:sty m:val="p"/>
              </m:rPr>
              <m:t>×</m:t>
            </m:r>
            <m:r>
              <m:t>40</m:t>
            </m:r>
          </m:e>
        </m:rad>
        <m:r>
          <m:rPr>
            <m:sty m:val="p"/>
          </m:rPr>
          <m:t>=</m:t>
        </m:r>
        <m:r>
          <m:t>20</m:t>
        </m:r>
      </m:oMath>
      <w:r>
        <w:t xml:space="preserve">.</w:t>
      </w:r>
    </w:p>
    <w:p>
      <w:pPr>
        <w:pStyle w:val="Compact"/>
        <w:numPr>
          <w:ilvl w:val="0"/>
          <w:numId w:val="1206"/>
        </w:numPr>
      </w:pPr>
      <w:r>
        <w:t xml:space="preserve">Depois:</w:t>
      </w:r>
      <w:r>
        <w:t xml:space="preserve"> </w:t>
      </w:r>
      <m:oMath>
        <m:sSubSup>
          <m:e>
            <m:r>
              <m:t>x</m:t>
            </m:r>
          </m:e>
          <m:sub>
            <m:r>
              <m:t>1</m:t>
            </m:r>
          </m:sub>
          <m:sup>
            <m:r>
              <m:t>1</m:t>
            </m:r>
          </m:sup>
        </m:sSubSup>
        <m:r>
          <m:rPr>
            <m:sty m:val="p"/>
          </m:rPr>
          <m:t>=</m:t>
        </m:r>
        <m:f>
          <m:fPr>
            <m:type m:val="bar"/>
          </m:fPr>
          <m:num>
            <m:r>
              <m:t>1</m:t>
            </m:r>
          </m:num>
          <m:den>
            <m:r>
              <m:t>2</m:t>
            </m:r>
          </m:den>
        </m:f>
        <m:r>
          <m:rPr>
            <m:sty m:val="p"/>
          </m:rPr>
          <m:t>⋅</m:t>
        </m:r>
        <m:f>
          <m:fPr>
            <m:type m:val="bar"/>
          </m:fPr>
          <m:num>
            <m:r>
              <m:t>80</m:t>
            </m:r>
          </m:num>
          <m:den>
            <m:r>
              <m:t>1</m:t>
            </m:r>
          </m:den>
        </m:f>
        <m:r>
          <m:rPr>
            <m:sty m:val="p"/>
          </m:rPr>
          <m:t>=</m:t>
        </m:r>
        <m:r>
          <m:t>40</m:t>
        </m:r>
      </m:oMath>
      <w:r>
        <w:t xml:space="preserve">,</w:t>
      </w:r>
      <w:r>
        <w:t xml:space="preserve"> </w:t>
      </w:r>
      <m:oMath>
        <m:sSubSup>
          <m:e>
            <m:r>
              <m:t>x</m:t>
            </m:r>
          </m:e>
          <m:sub>
            <m:r>
              <m:t>2</m:t>
            </m:r>
          </m:sub>
          <m:sup>
            <m:r>
              <m:t>1</m:t>
            </m:r>
          </m:sup>
        </m:sSubSup>
        <m:r>
          <m:rPr>
            <m:sty m:val="p"/>
          </m:rPr>
          <m:t>=</m:t>
        </m:r>
        <m:r>
          <m:t>40</m:t>
        </m:r>
      </m:oMath>
      <w:r>
        <w:t xml:space="preserve">.</w:t>
      </w:r>
      <w:r>
        <w:t xml:space="preserve"> </w:t>
      </w:r>
      <m:oMath>
        <m:sSub>
          <m:e>
            <m:r>
              <m:t>U</m:t>
            </m:r>
          </m:e>
          <m:sub>
            <m:r>
              <m:t>1</m:t>
            </m:r>
          </m:sub>
        </m:sSub>
        <m:r>
          <m:rPr>
            <m:sty m:val="p"/>
          </m:rPr>
          <m:t>=</m:t>
        </m:r>
        <m:rad>
          <m:radPr>
            <m:degHide m:val="on"/>
          </m:radPr>
          <m:deg/>
          <m:e>
            <m:r>
              <m:t>40</m:t>
            </m:r>
            <m:r>
              <m:rPr>
                <m:sty m:val="p"/>
              </m:rPr>
              <m:t>×</m:t>
            </m:r>
            <m:r>
              <m:t>40</m:t>
            </m:r>
          </m:e>
        </m:rad>
        <m:r>
          <m:rPr>
            <m:sty m:val="p"/>
          </m:rPr>
          <m:t>=</m:t>
        </m:r>
        <m:r>
          <m:t>40</m:t>
        </m:r>
      </m:oMath>
      <w:r>
        <w:t xml:space="preserve">.</w:t>
      </w:r>
    </w:p>
    <w:p>
      <w:pPr>
        <w:pStyle w:val="BlockText"/>
      </w:pPr>
      <w:r>
        <w:t xml:space="preserve">Efeito total:</w:t>
      </w:r>
      <w:r>
        <w:t xml:space="preserve"> </w:t>
      </w:r>
      <m:oMath>
        <m:r>
          <m:rPr>
            <m:sty m:val="p"/>
          </m:rPr>
          <m:t>Δ</m:t>
        </m:r>
        <m:sSub>
          <m:e>
            <m:r>
              <m:t>x</m:t>
            </m:r>
          </m:e>
          <m:sub>
            <m:r>
              <m:t>1</m:t>
            </m:r>
          </m:sub>
        </m:sSub>
        <m:r>
          <m:rPr>
            <m:sty m:val="p"/>
          </m:rPr>
          <m:t>=</m:t>
        </m:r>
        <m:r>
          <m:t>40</m:t>
        </m:r>
        <m:r>
          <m:rPr>
            <m:sty m:val="p"/>
          </m:rPr>
          <m:t>−</m:t>
        </m:r>
        <m:r>
          <m:t>10</m:t>
        </m:r>
        <m:r>
          <m:rPr>
            <m:sty m:val="p"/>
          </m:rPr>
          <m:t>=</m:t>
        </m:r>
        <m:r>
          <m:rPr>
            <m:sty m:val="p"/>
          </m:rPr>
          <m:t>+</m:t>
        </m:r>
        <m:r>
          <m:t>30</m:t>
        </m:r>
      </m:oMath>
      <w:r>
        <w:t xml:space="preserve">.</w:t>
      </w:r>
    </w:p>
    <w:p>
      <w:pPr>
        <w:pStyle w:val="BlockText"/>
      </w:pPr>
      <w:r>
        <w:rPr>
          <w:b/>
          <w:bCs/>
        </w:rPr>
        <w:t xml:space="preserve">Passo 2 — Decomposição de Hicks</w:t>
      </w:r>
    </w:p>
    <w:p>
      <w:pPr>
        <w:pStyle w:val="BlockText"/>
      </w:pPr>
      <w:r>
        <w:t xml:space="preserve">Demanda hicksiana:</w:t>
      </w:r>
      <w:r>
        <w:t xml:space="preserve"> </w:t>
      </w:r>
      <m:oMath>
        <m:sSub>
          <m:e>
            <m:r>
              <m:t>h</m:t>
            </m:r>
          </m:e>
          <m:sub>
            <m:r>
              <m:t>1</m:t>
            </m:r>
          </m:sub>
        </m:sSub>
        <m:r>
          <m:rPr>
            <m:sty m:val="p"/>
          </m:rPr>
          <m:t>=</m:t>
        </m:r>
        <m:acc>
          <m:accPr>
            <m:chr m:val="‾"/>
          </m:accPr>
          <m:e>
            <m:r>
              <m:t>U</m:t>
            </m:r>
          </m:e>
        </m:acc>
        <m:rad>
          <m:radPr>
            <m:degHide m:val="on"/>
          </m:radPr>
          <m:deg/>
          <m:e>
            <m:sSub>
              <m:e>
                <m:r>
                  <m:t>p</m:t>
                </m:r>
              </m:e>
              <m:sub>
                <m:r>
                  <m:t>2</m:t>
                </m:r>
              </m:sub>
            </m:sSub>
            <m:r>
              <m:rPr>
                <m:sty m:val="p"/>
              </m:rPr>
              <m:t>/</m:t>
            </m:r>
            <m:sSub>
              <m:e>
                <m:r>
                  <m:t>p</m:t>
                </m:r>
              </m:e>
              <m:sub>
                <m:r>
                  <m:t>1</m:t>
                </m:r>
              </m:sub>
            </m:sSub>
          </m:e>
        </m:rad>
      </m:oMath>
      <w:r>
        <w:t xml:space="preserve">.</w:t>
      </w:r>
    </w:p>
    <w:p>
      <w:pPr>
        <w:pStyle w:val="Compact"/>
        <w:numPr>
          <w:ilvl w:val="0"/>
          <w:numId w:val="1207"/>
        </w:numPr>
      </w:pPr>
      <w:r>
        <w:t xml:space="preserve">Com</w:t>
      </w:r>
      <w:r>
        <w:t xml:space="preserve"> </w:t>
      </w:r>
      <m:oMath>
        <m:acc>
          <m:accPr>
            <m:chr m:val="‾"/>
          </m:accPr>
          <m:e>
            <m:r>
              <m:t>U</m:t>
            </m:r>
          </m:e>
        </m:acc>
        <m:r>
          <m:rPr>
            <m:sty m:val="p"/>
          </m:rPr>
          <m:t>=</m:t>
        </m:r>
        <m:sSub>
          <m:e>
            <m:r>
              <m:t>U</m:t>
            </m:r>
          </m:e>
          <m:sub>
            <m:r>
              <m:t>0</m:t>
            </m:r>
          </m:sub>
        </m:sSub>
        <m:r>
          <m:rPr>
            <m:sty m:val="p"/>
          </m:rPr>
          <m:t>=</m:t>
        </m:r>
        <m:r>
          <m:t>20</m:t>
        </m:r>
      </m:oMath>
      <w:r>
        <w:t xml:space="preserve"> </w:t>
      </w:r>
      <w:r>
        <w:t xml:space="preserve">e preço novo</w:t>
      </w:r>
      <w:r>
        <w:t xml:space="preserve"> </w:t>
      </w:r>
      <m:oMath>
        <m:sSubSup>
          <m:e>
            <m:r>
              <m:t>p</m:t>
            </m:r>
          </m:e>
          <m:sub>
            <m:r>
              <m:t>1</m:t>
            </m:r>
          </m:sub>
          <m:sup>
            <m:r>
              <m:rPr>
                <m:sty m:val="p"/>
              </m:rPr>
              <m:t>′</m:t>
            </m:r>
          </m:sup>
        </m:sSubSup>
        <m:r>
          <m:rPr>
            <m:sty m:val="p"/>
          </m:rPr>
          <m:t>=</m:t>
        </m:r>
        <m:r>
          <m:t>1</m:t>
        </m:r>
      </m:oMath>
      <w:r>
        <w:t xml:space="preserve">:</w:t>
      </w:r>
      <w:r>
        <w:t xml:space="preserve"> </w:t>
      </w:r>
      <m:oMath>
        <m:sSub>
          <m:e>
            <m:r>
              <m:t>h</m:t>
            </m:r>
          </m:e>
          <m:sub>
            <m:r>
              <m:t>1</m:t>
            </m:r>
          </m:sub>
        </m:sSub>
        <m:r>
          <m:rPr>
            <m:sty m:val="p"/>
          </m:rPr>
          <m:t>=</m:t>
        </m:r>
        <m:r>
          <m:t>20</m:t>
        </m:r>
        <m:rad>
          <m:radPr>
            <m:degHide m:val="on"/>
          </m:radPr>
          <m:deg/>
          <m:e>
            <m:r>
              <m:t>1</m:t>
            </m:r>
            <m:r>
              <m:rPr>
                <m:sty m:val="p"/>
              </m:rPr>
              <m:t>/</m:t>
            </m:r>
            <m:r>
              <m:t>1</m:t>
            </m:r>
          </m:e>
        </m:rad>
        <m:r>
          <m:rPr>
            <m:sty m:val="p"/>
          </m:rPr>
          <m:t>=</m:t>
        </m:r>
        <m:r>
          <m:t>20</m:t>
        </m:r>
      </m:oMath>
      <w:r>
        <w:t xml:space="preserve">.</w:t>
      </w:r>
    </w:p>
    <w:p>
      <w:pPr>
        <w:pStyle w:val="BlockText"/>
      </w:pPr>
      <w:r>
        <w:t xml:space="preserve">Efeito substituição:</w:t>
      </w:r>
      <w:r>
        <w:t xml:space="preserve"> </w:t>
      </w:r>
      <m:oMath>
        <m:r>
          <m:t>E</m:t>
        </m:r>
        <m:r>
          <m:t>S</m:t>
        </m:r>
        <m:r>
          <m:rPr>
            <m:sty m:val="p"/>
          </m:rPr>
          <m:t>=</m:t>
        </m:r>
        <m:sSub>
          <m:e>
            <m:r>
              <m:t>h</m:t>
            </m:r>
          </m:e>
          <m:sub>
            <m:r>
              <m:t>1</m:t>
            </m:r>
          </m:sub>
        </m:sSub>
        <m:r>
          <m:rPr>
            <m:sty m:val="p"/>
          </m:rPr>
          <m:t>(</m:t>
        </m:r>
        <m:sSubSup>
          <m:e>
            <m:r>
              <m:t>p</m:t>
            </m:r>
          </m:e>
          <m:sub>
            <m:r>
              <m:t>1</m:t>
            </m:r>
          </m:sub>
          <m:sup>
            <m:r>
              <m:rPr>
                <m:sty m:val="p"/>
              </m:rPr>
              <m:t>′</m:t>
            </m:r>
          </m:sup>
        </m:sSubSup>
        <m:r>
          <m:rPr>
            <m:sty m:val="p"/>
          </m:rPr>
          <m:t>,</m:t>
        </m:r>
        <m:sSub>
          <m:e>
            <m:r>
              <m:t>U</m:t>
            </m:r>
          </m:e>
          <m:sub>
            <m:r>
              <m:t>0</m:t>
            </m:r>
          </m:sub>
        </m:sSub>
        <m:r>
          <m:rPr>
            <m:sty m:val="p"/>
          </m:rPr>
          <m:t>)</m:t>
        </m:r>
        <m:r>
          <m:rPr>
            <m:sty m:val="p"/>
          </m:rPr>
          <m:t>−</m:t>
        </m:r>
        <m:sSubSup>
          <m:e>
            <m:r>
              <m:t>x</m:t>
            </m:r>
          </m:e>
          <m:sub>
            <m:r>
              <m:t>1</m:t>
            </m:r>
          </m:sub>
          <m:sup>
            <m:r>
              <m:t>0</m:t>
            </m:r>
          </m:sup>
        </m:sSubSup>
        <m:r>
          <m:rPr>
            <m:sty m:val="p"/>
          </m:rPr>
          <m:t>=</m:t>
        </m:r>
        <m:r>
          <m:t>20</m:t>
        </m:r>
        <m:r>
          <m:rPr>
            <m:sty m:val="p"/>
          </m:rPr>
          <m:t>−</m:t>
        </m:r>
        <m:r>
          <m:t>10</m:t>
        </m:r>
        <m:r>
          <m:rPr>
            <m:sty m:val="p"/>
          </m:rPr>
          <m:t>=</m:t>
        </m:r>
        <m:r>
          <m:rPr>
            <m:sty m:val="p"/>
          </m:rPr>
          <m:t>+</m:t>
        </m:r>
        <m:r>
          <m:t>10</m:t>
        </m:r>
      </m:oMath>
      <w:r>
        <w:t xml:space="preserve">.</w:t>
      </w:r>
    </w:p>
    <w:p>
      <w:pPr>
        <w:pStyle w:val="BlockText"/>
      </w:pPr>
      <w:r>
        <w:t xml:space="preserve">Efeito renda:</w:t>
      </w:r>
      <w:r>
        <w:t xml:space="preserve"> </w:t>
      </w:r>
      <m:oMath>
        <m:r>
          <m:t>E</m:t>
        </m:r>
        <m:r>
          <m:t>R</m:t>
        </m:r>
        <m:r>
          <m:rPr>
            <m:sty m:val="p"/>
          </m:rPr>
          <m:t>=</m:t>
        </m:r>
        <m:sSubSup>
          <m:e>
            <m:r>
              <m:t>x</m:t>
            </m:r>
          </m:e>
          <m:sub>
            <m:r>
              <m:t>1</m:t>
            </m:r>
          </m:sub>
          <m:sup>
            <m:r>
              <m:t>1</m:t>
            </m:r>
          </m:sup>
        </m:sSubSup>
        <m:r>
          <m:rPr>
            <m:sty m:val="p"/>
          </m:rPr>
          <m:t>−</m:t>
        </m:r>
        <m:sSub>
          <m:e>
            <m:r>
              <m:t>h</m:t>
            </m:r>
          </m:e>
          <m:sub>
            <m:r>
              <m:t>1</m:t>
            </m:r>
          </m:sub>
        </m:sSub>
        <m:r>
          <m:rPr>
            <m:sty m:val="p"/>
          </m:rPr>
          <m:t>(</m:t>
        </m:r>
        <m:sSubSup>
          <m:e>
            <m:r>
              <m:t>p</m:t>
            </m:r>
          </m:e>
          <m:sub>
            <m:r>
              <m:t>1</m:t>
            </m:r>
          </m:sub>
          <m:sup>
            <m:r>
              <m:rPr>
                <m:sty m:val="p"/>
              </m:rPr>
              <m:t>′</m:t>
            </m:r>
          </m:sup>
        </m:sSubSup>
        <m:r>
          <m:rPr>
            <m:sty m:val="p"/>
          </m:rPr>
          <m:t>,</m:t>
        </m:r>
        <m:sSub>
          <m:e>
            <m:r>
              <m:t>U</m:t>
            </m:r>
          </m:e>
          <m:sub>
            <m:r>
              <m:t>0</m:t>
            </m:r>
          </m:sub>
        </m:sSub>
        <m:r>
          <m:rPr>
            <m:sty m:val="p"/>
          </m:rPr>
          <m:t>)</m:t>
        </m:r>
        <m:r>
          <m:rPr>
            <m:sty m:val="p"/>
          </m:rPr>
          <m:t>=</m:t>
        </m:r>
        <m:r>
          <m:t>40</m:t>
        </m:r>
        <m:r>
          <m:rPr>
            <m:sty m:val="p"/>
          </m:rPr>
          <m:t>−</m:t>
        </m:r>
        <m:r>
          <m:t>20</m:t>
        </m:r>
        <m:r>
          <m:rPr>
            <m:sty m:val="p"/>
          </m:rPr>
          <m:t>=</m:t>
        </m:r>
        <m:r>
          <m:rPr>
            <m:sty m:val="p"/>
          </m:rPr>
          <m:t>+</m:t>
        </m:r>
        <m:r>
          <m:t>20</m:t>
        </m:r>
      </m:oMath>
      <w:r>
        <w:t xml:space="preserve">.</w:t>
      </w:r>
    </w:p>
    <w:p>
      <w:pPr>
        <w:pStyle w:val="BlockText"/>
      </w:pPr>
      <w:r>
        <w:t xml:space="preserve">Verificação:</w:t>
      </w:r>
      <w:r>
        <w:t xml:space="preserve"> </w:t>
      </w:r>
      <m:oMath>
        <m:r>
          <m:t>E</m:t>
        </m:r>
        <m:r>
          <m:t>S</m:t>
        </m:r>
        <m:r>
          <m:rPr>
            <m:sty m:val="p"/>
          </m:rPr>
          <m:t>+</m:t>
        </m:r>
        <m:r>
          <m:t>E</m:t>
        </m:r>
        <m:r>
          <m:t>R</m:t>
        </m:r>
        <m:r>
          <m:rPr>
            <m:sty m:val="p"/>
          </m:rPr>
          <m:t>=</m:t>
        </m:r>
        <m:r>
          <m:t>10</m:t>
        </m:r>
        <m:r>
          <m:rPr>
            <m:sty m:val="p"/>
          </m:rPr>
          <m:t>+</m:t>
        </m:r>
        <m:r>
          <m:t>20</m:t>
        </m:r>
        <m:r>
          <m:rPr>
            <m:sty m:val="p"/>
          </m:rPr>
          <m:t>=</m:t>
        </m:r>
        <m:r>
          <m:t>30</m:t>
        </m:r>
        <m:r>
          <m:rPr>
            <m:sty m:val="p"/>
          </m:rPr>
          <m:t>=</m:t>
        </m:r>
        <m:r>
          <m:rPr>
            <m:sty m:val="p"/>
          </m:rPr>
          <m:t>Δ</m:t>
        </m:r>
        <m:sSub>
          <m:e>
            <m:r>
              <m:t>x</m:t>
            </m:r>
          </m:e>
          <m:sub>
            <m:r>
              <m:t>1</m:t>
            </m:r>
          </m:sub>
        </m:sSub>
      </m:oMath>
      <w:r>
        <w:t xml:space="preserve">. ✓</w:t>
      </w:r>
    </w:p>
    <w:p>
      <w:pPr>
        <w:pStyle w:val="BlockText"/>
      </w:pPr>
      <w:r>
        <w:rPr>
          <w:b/>
          <w:bCs/>
        </w:rPr>
        <w:t xml:space="preserve">Passo 3 — Verificação pela Equação de Slutsky</w:t>
      </w:r>
    </w:p>
    <w:p>
      <w:pPr>
        <w:pStyle w:val="BlockText"/>
      </w:pPr>
      <w:r>
        <w:t xml:space="preserve">$$</w:t>
      </w:r>
    </w:p>
    <w:p>
      <w:pPr>
        <w:pStyle w:val="BlockText"/>
      </w:pPr>
      <w:r>
        <w:t xml:space="preserve"> </w:t>
      </w:r>
      <w:r>
        <w:t xml:space="preserve">=</w:t>
      </w:r>
      <w:r>
        <w:t xml:space="preserve"> </w:t>
      </w:r>
      <w:r>
        <w:t xml:space="preserve"> </w:t>
      </w:r>
      <w:r>
        <w:t xml:space="preserve">- x_1</w:t>
      </w:r>
      <w:r>
        <w:t xml:space="preserve"> </w:t>
      </w:r>
    </w:p>
    <w:p>
      <w:pPr>
        <w:pStyle w:val="BlockText"/>
      </w:pPr>
      <w:r>
        <w:t xml:space="preserve">$$</w:t>
      </w:r>
    </w:p>
    <w:p>
      <w:pPr>
        <w:pStyle w:val="Compact"/>
        <w:numPr>
          <w:ilvl w:val="0"/>
          <w:numId w:val="1208"/>
        </w:numPr>
      </w:pPr>
      <m:oMath>
        <m:f>
          <m:fPr>
            <m:type m:val="bar"/>
          </m:fPr>
          <m:num>
            <m:r>
              <m:rPr>
                <m:sty m:val="p"/>
              </m:rPr>
              <m:t>∂</m:t>
            </m:r>
            <m:sSub>
              <m:e>
                <m:r>
                  <m:t>x</m:t>
                </m:r>
              </m:e>
              <m:sub>
                <m:r>
                  <m:t>1</m:t>
                </m:r>
              </m:sub>
            </m:sSub>
          </m:num>
          <m:den>
            <m:r>
              <m:rPr>
                <m:sty m:val="p"/>
              </m:rPr>
              <m:t>∂</m:t>
            </m:r>
            <m:sSub>
              <m:e>
                <m:r>
                  <m:t>p</m:t>
                </m:r>
              </m:e>
              <m:sub>
                <m:r>
                  <m:t>1</m:t>
                </m:r>
              </m:sub>
            </m:sSub>
          </m:den>
        </m:f>
        <m:r>
          <m:rPr>
            <m:sty m:val="p"/>
          </m:rPr>
          <m:t>=</m:t>
        </m:r>
        <m:r>
          <m:rPr>
            <m:sty m:val="p"/>
          </m:rPr>
          <m:t>−</m:t>
        </m:r>
        <m:f>
          <m:fPr>
            <m:type m:val="bar"/>
          </m:fPr>
          <m:num>
            <m:r>
              <m:t>I</m:t>
            </m:r>
          </m:num>
          <m:den>
            <m:r>
              <m:t>2</m:t>
            </m:r>
            <m:sSubSup>
              <m:e>
                <m:r>
                  <m:t>p</m:t>
                </m:r>
              </m:e>
              <m:sub>
                <m:r>
                  <m:t>1</m:t>
                </m:r>
              </m:sub>
              <m:sup>
                <m:r>
                  <m:t>2</m:t>
                </m:r>
              </m:sup>
            </m:sSubSup>
          </m:den>
        </m:f>
        <m:r>
          <m:rPr>
            <m:sty m:val="p"/>
          </m:rPr>
          <m:t>=</m:t>
        </m:r>
        <m:r>
          <m:rPr>
            <m:sty m:val="p"/>
          </m:rPr>
          <m:t>−</m:t>
        </m:r>
        <m:f>
          <m:fPr>
            <m:type m:val="bar"/>
          </m:fPr>
          <m:num>
            <m:r>
              <m:t>80</m:t>
            </m:r>
          </m:num>
          <m:den>
            <m:r>
              <m:t>2</m:t>
            </m:r>
            <m:r>
              <m:rPr>
                <m:sty m:val="p"/>
              </m:rPr>
              <m:t>×</m:t>
            </m:r>
            <m:r>
              <m:t>16</m:t>
            </m:r>
          </m:den>
        </m:f>
        <m:r>
          <m:rPr>
            <m:sty m:val="p"/>
          </m:rPr>
          <m:t>=</m:t>
        </m:r>
        <m:r>
          <m:rPr>
            <m:sty m:val="p"/>
          </m:rPr>
          <m:t>−</m:t>
        </m:r>
        <m:r>
          <m:t>2</m:t>
        </m:r>
        <m:r>
          <m:rPr>
            <m:sty m:val="p"/>
          </m:rPr>
          <m:t>,</m:t>
        </m:r>
        <m:r>
          <m:t>5</m:t>
        </m:r>
      </m:oMath>
    </w:p>
    <w:p>
      <w:pPr>
        <w:pStyle w:val="Compact"/>
        <w:numPr>
          <w:ilvl w:val="0"/>
          <w:numId w:val="1208"/>
        </w:numPr>
      </w:pPr>
      <m:oMath>
        <m:f>
          <m:fPr>
            <m:type m:val="bar"/>
          </m:fPr>
          <m:num>
            <m:r>
              <m:rPr>
                <m:sty m:val="p"/>
              </m:rPr>
              <m:t>∂</m:t>
            </m:r>
            <m:sSub>
              <m:e>
                <m:r>
                  <m:t>h</m:t>
                </m:r>
              </m:e>
              <m:sub>
                <m:r>
                  <m:t>1</m:t>
                </m:r>
              </m:sub>
            </m:sSub>
          </m:num>
          <m:den>
            <m:r>
              <m:rPr>
                <m:sty m:val="p"/>
              </m:rPr>
              <m:t>∂</m:t>
            </m:r>
            <m:sSub>
              <m:e>
                <m:r>
                  <m:t>p</m:t>
                </m:r>
              </m:e>
              <m:sub>
                <m:r>
                  <m:t>1</m:t>
                </m:r>
              </m:sub>
            </m:sSub>
          </m:den>
        </m:f>
        <m:r>
          <m:rPr>
            <m:sty m:val="p"/>
          </m:rPr>
          <m:t>=</m:t>
        </m:r>
        <m:r>
          <m:rPr>
            <m:sty m:val="p"/>
          </m:rPr>
          <m:t>−</m:t>
        </m:r>
        <m:f>
          <m:fPr>
            <m:type m:val="bar"/>
          </m:fPr>
          <m:num>
            <m:acc>
              <m:accPr>
                <m:chr m:val="‾"/>
              </m:accPr>
              <m:e>
                <m:r>
                  <m:t>U</m:t>
                </m:r>
              </m:e>
            </m:acc>
          </m:num>
          <m:den>
            <m:r>
              <m:t>2</m:t>
            </m:r>
          </m:den>
        </m:f>
        <m:sSubSup>
          <m:e>
            <m:r>
              <m:t>p</m:t>
            </m:r>
          </m:e>
          <m:sub>
            <m:r>
              <m:t>2</m:t>
            </m:r>
          </m:sub>
          <m:sup>
            <m:r>
              <m:t>1</m:t>
            </m:r>
            <m:r>
              <m:rPr>
                <m:sty m:val="p"/>
              </m:rPr>
              <m:t>/</m:t>
            </m:r>
            <m:r>
              <m:t>2</m:t>
            </m:r>
          </m:sup>
        </m:sSubSup>
        <m:sSubSup>
          <m:e>
            <m:r>
              <m:t>p</m:t>
            </m:r>
          </m:e>
          <m:sub>
            <m:r>
              <m:t>1</m:t>
            </m:r>
          </m:sub>
          <m:sup>
            <m:r>
              <m:rPr>
                <m:sty m:val="p"/>
              </m:rPr>
              <m:t>−</m:t>
            </m:r>
            <m:r>
              <m:t>3</m:t>
            </m:r>
            <m:r>
              <m:rPr>
                <m:sty m:val="p"/>
              </m:rPr>
              <m:t>/</m:t>
            </m:r>
            <m:r>
              <m:t>2</m:t>
            </m:r>
          </m:sup>
        </m:sSubSup>
        <m:r>
          <m:rPr>
            <m:sty m:val="p"/>
          </m:rPr>
          <m:t>=</m:t>
        </m:r>
        <m:r>
          <m:rPr>
            <m:sty m:val="p"/>
          </m:rPr>
          <m:t>−</m:t>
        </m:r>
        <m:f>
          <m:fPr>
            <m:type m:val="bar"/>
          </m:fPr>
          <m:num>
            <m:r>
              <m:t>20</m:t>
            </m:r>
          </m:num>
          <m:den>
            <m:r>
              <m:t>2</m:t>
            </m:r>
          </m:den>
        </m:f>
        <m:r>
          <m:rPr>
            <m:sty m:val="p"/>
          </m:rPr>
          <m:t>×</m:t>
        </m:r>
        <m:r>
          <m:t>1</m:t>
        </m:r>
        <m:r>
          <m:rPr>
            <m:sty m:val="p"/>
          </m:rPr>
          <m:t>×</m:t>
        </m:r>
        <m:sSup>
          <m:e>
            <m:r>
              <m:t>4</m:t>
            </m:r>
          </m:e>
          <m:sup>
            <m:r>
              <m:rPr>
                <m:sty m:val="p"/>
              </m:rPr>
              <m:t>−</m:t>
            </m:r>
            <m:r>
              <m:t>3</m:t>
            </m:r>
            <m:r>
              <m:rPr>
                <m:sty m:val="p"/>
              </m:rPr>
              <m:t>/</m:t>
            </m:r>
            <m:r>
              <m:t>2</m:t>
            </m:r>
          </m:sup>
        </m:sSup>
        <m:r>
          <m:rPr>
            <m:sty m:val="p"/>
          </m:rPr>
          <m:t>=</m:t>
        </m:r>
        <m:r>
          <m:rPr>
            <m:sty m:val="p"/>
          </m:rPr>
          <m:t>−</m:t>
        </m:r>
        <m:r>
          <m:t>10</m:t>
        </m:r>
        <m:r>
          <m:rPr>
            <m:sty m:val="p"/>
          </m:rPr>
          <m:t>×</m:t>
        </m:r>
        <m:f>
          <m:fPr>
            <m:type m:val="bar"/>
          </m:fPr>
          <m:num>
            <m:r>
              <m:t>1</m:t>
            </m:r>
          </m:num>
          <m:den>
            <m:r>
              <m:t>8</m:t>
            </m:r>
          </m:den>
        </m:f>
        <m:r>
          <m:rPr>
            <m:sty m:val="p"/>
          </m:rPr>
          <m:t>=</m:t>
        </m:r>
        <m:r>
          <m:rPr>
            <m:sty m:val="p"/>
          </m:rPr>
          <m:t>−</m:t>
        </m:r>
        <m:r>
          <m:t>1</m:t>
        </m:r>
        <m:r>
          <m:rPr>
            <m:sty m:val="p"/>
          </m:rPr>
          <m:t>,</m:t>
        </m:r>
        <m:r>
          <m:t>25</m:t>
        </m:r>
      </m:oMath>
    </w:p>
    <w:p>
      <w:pPr>
        <w:pStyle w:val="Compact"/>
        <w:numPr>
          <w:ilvl w:val="0"/>
          <w:numId w:val="1208"/>
        </w:numPr>
      </w:pPr>
      <m:oMath>
        <m:sSub>
          <m:e>
            <m:r>
              <m:t>x</m:t>
            </m:r>
          </m:e>
          <m:sub>
            <m:r>
              <m:t>1</m:t>
            </m:r>
          </m:sub>
        </m:sSub>
        <m:f>
          <m:fPr>
            <m:type m:val="bar"/>
          </m:fPr>
          <m:num>
            <m:r>
              <m:rPr>
                <m:sty m:val="p"/>
              </m:rPr>
              <m:t>∂</m:t>
            </m:r>
            <m:sSub>
              <m:e>
                <m:r>
                  <m:t>x</m:t>
                </m:r>
              </m:e>
              <m:sub>
                <m:r>
                  <m:t>1</m:t>
                </m:r>
              </m:sub>
            </m:sSub>
          </m:num>
          <m:den>
            <m:r>
              <m:rPr>
                <m:sty m:val="p"/>
              </m:rPr>
              <m:t>∂</m:t>
            </m:r>
            <m:r>
              <m:t>I</m:t>
            </m:r>
          </m:den>
        </m:f>
        <m:r>
          <m:rPr>
            <m:sty m:val="p"/>
          </m:rPr>
          <m:t>=</m:t>
        </m:r>
        <m:r>
          <m:t>10</m:t>
        </m:r>
        <m:r>
          <m:rPr>
            <m:sty m:val="p"/>
          </m:rPr>
          <m:t>×</m:t>
        </m:r>
        <m:f>
          <m:fPr>
            <m:type m:val="bar"/>
          </m:fPr>
          <m:num>
            <m:r>
              <m:t>1</m:t>
            </m:r>
          </m:num>
          <m:den>
            <m:r>
              <m:t>2</m:t>
            </m:r>
            <m:r>
              <m:rPr>
                <m:sty m:val="p"/>
              </m:rPr>
              <m:t>×</m:t>
            </m:r>
            <m:r>
              <m:t>4</m:t>
            </m:r>
          </m:den>
        </m:f>
        <m:r>
          <m:rPr>
            <m:sty m:val="p"/>
          </m:rPr>
          <m:t>=</m:t>
        </m:r>
        <m:r>
          <m:t>10</m:t>
        </m:r>
        <m:r>
          <m:rPr>
            <m:sty m:val="p"/>
          </m:rPr>
          <m:t>×</m:t>
        </m:r>
        <m:r>
          <m:t>0</m:t>
        </m:r>
        <m:r>
          <m:rPr>
            <m:sty m:val="p"/>
          </m:rPr>
          <m:t>,</m:t>
        </m:r>
        <m:r>
          <m:t>125</m:t>
        </m:r>
        <m:r>
          <m:rPr>
            <m:sty m:val="p"/>
          </m:rPr>
          <m:t>=</m:t>
        </m:r>
        <m:r>
          <m:t>1</m:t>
        </m:r>
        <m:r>
          <m:rPr>
            <m:sty m:val="p"/>
          </m:rPr>
          <m:t>,</m:t>
        </m:r>
        <m:r>
          <m:t>25</m:t>
        </m:r>
      </m:oMath>
    </w:p>
    <w:p>
      <w:pPr>
        <w:pStyle w:val="Compact"/>
        <w:numPr>
          <w:ilvl w:val="0"/>
          <w:numId w:val="1208"/>
        </w:numPr>
      </w:pPr>
      <w:r>
        <w:t xml:space="preserve">Verificação:</w:t>
      </w:r>
      <w:r>
        <w:t xml:space="preserve"> </w:t>
      </w:r>
      <m:oMath>
        <m:r>
          <m:rPr>
            <m:sty m:val="p"/>
          </m:rPr>
          <m:t>−</m:t>
        </m:r>
        <m:r>
          <m:t>1</m:t>
        </m:r>
        <m:r>
          <m:rPr>
            <m:sty m:val="p"/>
          </m:rPr>
          <m:t>,</m:t>
        </m:r>
        <m:r>
          <m:t>25</m:t>
        </m:r>
        <m:r>
          <m:rPr>
            <m:sty m:val="p"/>
          </m:rPr>
          <m:t>−</m:t>
        </m:r>
        <m:r>
          <m:t>1</m:t>
        </m:r>
        <m:r>
          <m:rPr>
            <m:sty m:val="p"/>
          </m:rPr>
          <m:t>,</m:t>
        </m:r>
        <m:r>
          <m:t>25</m:t>
        </m:r>
        <m:r>
          <m:rPr>
            <m:sty m:val="p"/>
          </m:rPr>
          <m:t>=</m:t>
        </m:r>
        <m:r>
          <m:rPr>
            <m:sty m:val="p"/>
          </m:rPr>
          <m:t>−</m:t>
        </m:r>
        <m:r>
          <m:t>2</m:t>
        </m:r>
        <m:r>
          <m:rPr>
            <m:sty m:val="p"/>
          </m:rPr>
          <m:t>,</m:t>
        </m:r>
        <m:r>
          <m:t>5</m:t>
        </m:r>
      </m:oMath>
      <w:r>
        <w:t xml:space="preserve"> </w:t>
      </w:r>
      <w:r>
        <w:t xml:space="preserve">✓</w:t>
      </w:r>
    </w:p>
    <w:p>
      <w:pPr>
        <w:pStyle w:val="BlockText"/>
      </w:pPr>
      <w:r>
        <w:rPr>
          <w:b/>
          <w:bCs/>
        </w:rPr>
        <w:t xml:space="preserve">Resultado:</w:t>
      </w:r>
      <w:r>
        <w:t xml:space="preserve"> </w:t>
      </w:r>
      <w:r>
        <w:t xml:space="preserve">o efeito total (+30 unidades) decompõe-se em efeito substituição (+10) e efeito renda (+20). O efeito renda é o dobro do efeito substituição.</w:t>
      </w:r>
    </w:p>
    <w:p>
      <w:pPr>
        <w:pStyle w:val="BlockText"/>
      </w:pPr>
      <w:r>
        <w:rPr>
          <w:b/>
          <w:bCs/>
        </w:rPr>
        <w:t xml:space="preserve">Interpretação econômica:</w:t>
      </w:r>
      <w:r>
        <w:t xml:space="preserve"> </w:t>
      </w:r>
      <w:r>
        <w:t xml:space="preserve">a forte queda de preço (de 4 para 1) gera um expressivo aumento de poder de compra. Como o bem é normal e a queda de preço é grande, o efeito renda domina. Em termos brasileiros, pense em uma redução drástica no preço da energia elétrica: parte do aumento no consumo viria da substituição de gás por eletricidade (ES), mas a maior parte viria do aumento no poder de compra permitindo consumir mais de tudo (ER).</w:t>
      </w:r>
    </w:p>
    <w:p>
      <w:r>
        <w:pict>
          <v:rect style="width:0;height:1.5pt" o:hralign="center" o:hrstd="t" o:hr="t"/>
        </w:pict>
      </w:r>
    </w:p>
    <w:bookmarkEnd w:id="248"/>
    <w:bookmarkEnd w:id="249"/>
    <w:bookmarkStart w:id="252" w:name="X6b4f5b4d3fe6158eb9674cafe487ebc53a2e0e8"/>
    <w:p>
      <w:pPr>
        <w:pStyle w:val="Heading3"/>
      </w:pPr>
      <w:r>
        <w:t xml:space="preserve">5.5 De Cima a Baixo: A Curva de Demanda Individual</w:t>
      </w:r>
    </w:p>
    <w:p>
      <w:pPr>
        <w:pStyle w:val="FirstParagraph"/>
      </w:pPr>
      <w:r>
        <w:t xml:space="preserve">A Equação de Slutsky nos permitiu decompor o efeito de uma variação de preço em suas partes constitutivas. Agora, podemos construir e comparar as duas curvas de demanda que emergem dessa análise: a marshalliana, que observamos nos mercados reais, e a hicksiana, que isola o efeito substituição puro. Compreender as diferenças entre elas é essencial tanto para a análise positiva (o que acontece) quanto para a análise normativa (como medir o bem-estar). Uma analogia útil: a curva marshalliana é o</w:t>
      </w:r>
      <w:r>
        <w:t xml:space="preserve"> </w:t>
      </w:r>
      <w:r>
        <w:t xml:space="preserve">“preço de mercado”</w:t>
      </w:r>
      <w:r>
        <w:t xml:space="preserve"> </w:t>
      </w:r>
      <w:r>
        <w:t xml:space="preserve">— o que de fato se observa; a curva hicksiana é o</w:t>
      </w:r>
      <w:r>
        <w:t xml:space="preserve"> </w:t>
      </w:r>
      <w:r>
        <w:t xml:space="preserve">“preço verdadeiro”</w:t>
      </w:r>
      <w:r>
        <w:t xml:space="preserve"> </w:t>
      </w:r>
      <w:r>
        <w:t xml:space="preserve">— o que o economista usa para análise de bem-estar.</w:t>
      </w:r>
    </w:p>
    <w:bookmarkStart w:id="250" w:name="demanda-marshalliana-não-compensada"/>
    <w:p>
      <w:pPr>
        <w:pStyle w:val="Heading4"/>
      </w:pPr>
      <w:r>
        <w:t xml:space="preserve">5.5.1 Demanda marshalliana (não-compensada)</w:t>
      </w:r>
    </w:p>
    <w:p>
      <w:pPr>
        <w:pStyle w:val="FirstParagraph"/>
      </w:pPr>
      <w:r>
        <w:t xml:space="preserve">A curva de demanda marshalliana relaciona preço e quantidade mantendo a renda nominal constante. É a curva observável — aquela que efetivamente descreve o comportamento do consumidor no mercado.</w:t>
      </w:r>
    </w:p>
    <w:p>
      <w:pPr>
        <w:pStyle w:val="BodyText"/>
      </w:pPr>
      <m:oMathPara>
        <m:oMathParaPr>
          <m:jc m:val="center"/>
        </m:oMathParaPr>
        <m:oMath>
          <m:sSubSup>
            <m:e>
              <m:r>
                <m:t>x</m:t>
              </m:r>
            </m:e>
            <m:sub>
              <m:r>
                <m:t>i</m:t>
              </m:r>
            </m:sub>
            <m:sup>
              <m:r>
                <m:rPr>
                  <m:sty m:val="p"/>
                </m:rPr>
                <m:t>*</m:t>
              </m:r>
            </m:sup>
          </m:sSubSup>
          <m:r>
            <m:rPr>
              <m:sty m:val="p"/>
            </m:rPr>
            <m:t>=</m:t>
          </m:r>
          <m:sSub>
            <m:e>
              <m:r>
                <m:t>x</m:t>
              </m:r>
            </m:e>
            <m:sub>
              <m:r>
                <m:t>i</m:t>
              </m:r>
            </m:sub>
          </m:sSub>
          <m:r>
            <m:rPr>
              <m:sty m:val="p"/>
            </m:rPr>
            <m:t>(</m:t>
          </m:r>
          <m:sSub>
            <m:e>
              <m:r>
                <m:t>p</m:t>
              </m:r>
            </m:e>
            <m:sub>
              <m:r>
                <m:t>i</m:t>
              </m:r>
            </m:sub>
          </m:sSub>
          <m:r>
            <m:rPr>
              <m:sty m:val="p"/>
            </m:rPr>
            <m:t>;</m:t>
          </m:r>
          <m:sSub>
            <m:e>
              <m:acc>
                <m:accPr>
                  <m:chr m:val="‾"/>
                </m:accPr>
                <m:e>
                  <m:r>
                    <m:t>p</m:t>
                  </m:r>
                </m:e>
              </m:acc>
            </m:e>
            <m:sub>
              <m:r>
                <m:rPr>
                  <m:sty m:val="p"/>
                </m:rPr>
                <m:t>−</m:t>
              </m:r>
              <m:r>
                <m:t>i</m:t>
              </m:r>
            </m:sub>
          </m:sSub>
          <m:r>
            <m:rPr>
              <m:sty m:val="p"/>
            </m:rPr>
            <m:t>,</m:t>
          </m:r>
          <m:acc>
            <m:accPr>
              <m:chr m:val="‾"/>
            </m:accPr>
            <m:e>
              <m:r>
                <m:t>I</m:t>
              </m:r>
            </m:e>
          </m:acc>
          <m:r>
            <m:rPr>
              <m:sty m:val="p"/>
            </m:rPr>
            <m:t>)</m:t>
          </m:r>
        </m:oMath>
      </m:oMathPara>
    </w:p>
    <w:p>
      <w:pPr>
        <w:pStyle w:val="FirstParagraph"/>
      </w:pPr>
      <w:r>
        <w:t xml:space="preserve">Pela Equação de Slutsky, sua inclinação combina efeitos substituição e renda. Para bens normais, é inequivocamente negativamente inclinada — a famosa Lei da Demanda. Para bens inferiores, pode ser positivamente inclinada (caso Giffen), embora, como vimos, esse cenário exija condições bastante especiais. Em termos empíricos, é a demanda marshalliana que os economistas estimam a partir de dados de preços e quantidades observadas — seja com séries temporais de preços de mercado, seja com microdados de pesquisas domiciliares como a POF.</w:t>
      </w:r>
    </w:p>
    <w:bookmarkEnd w:id="250"/>
    <w:bookmarkStart w:id="251" w:name="demanda-hicksiana-compensada-1"/>
    <w:p>
      <w:pPr>
        <w:pStyle w:val="Heading4"/>
      </w:pPr>
      <w:r>
        <w:t xml:space="preserve">5.5.2 Demanda hicksiana (compensada)</w:t>
      </w:r>
    </w:p>
    <w:p>
      <w:pPr>
        <w:pStyle w:val="FirstParagraph"/>
      </w:pPr>
      <w:r>
        <w:t xml:space="preserve">Enquanto a demanda marshalliana reflete o comportamento efetivamente observado, a curva de demanda hicksiana responde a uma pergunta contrafactual: como a demanda variaria se o consumidor fosse permanentemente compensado de modo a manter seu nível de utilidade inalterado? Essa curva mantém a</w:t>
      </w:r>
      <w:r>
        <w:t xml:space="preserve"> </w:t>
      </w:r>
      <w:r>
        <w:rPr>
          <w:b/>
          <w:bCs/>
        </w:rPr>
        <w:t xml:space="preserve">utilidade</w:t>
      </w:r>
      <w:r>
        <w:t xml:space="preserve"> </w:t>
      </w:r>
      <w:r>
        <w:t xml:space="preserve">constante e, embora seja uma construção teórica, é fundamental para a análise de bem-estar. A demanda hicksiana é, em certo sentido,</w:t>
      </w:r>
      <w:r>
        <w:t xml:space="preserve"> </w:t>
      </w:r>
      <w:r>
        <w:t xml:space="preserve">“mais pura”</w:t>
      </w:r>
      <w:r>
        <w:t xml:space="preserve"> </w:t>
      </w:r>
      <w:r>
        <w:t xml:space="preserve">que a marshalliana: ela captura unicamente a resposta do consumidor a variações nos preços relativos, sem o confundimento causado pela variação no poder de compra real.</w:t>
      </w:r>
    </w:p>
    <w:p>
      <w:pPr>
        <w:pStyle w:val="BodyText"/>
      </w:pPr>
      <m:oMathPara>
        <m:oMathParaPr>
          <m:jc m:val="center"/>
        </m:oMathParaPr>
        <m:oMath>
          <m:sSub>
            <m:e>
              <m:r>
                <m:t>h</m:t>
              </m:r>
            </m:e>
            <m:sub>
              <m:r>
                <m:t>i</m:t>
              </m:r>
            </m:sub>
          </m:sSub>
          <m:r>
            <m:rPr>
              <m:sty m:val="p"/>
            </m:rPr>
            <m:t>=</m:t>
          </m:r>
          <m:sSub>
            <m:e>
              <m:r>
                <m:t>h</m:t>
              </m:r>
            </m:e>
            <m:sub>
              <m:r>
                <m:t>i</m:t>
              </m:r>
            </m:sub>
          </m:sSub>
          <m:r>
            <m:rPr>
              <m:sty m:val="p"/>
            </m:rPr>
            <m:t>(</m:t>
          </m:r>
          <m:sSub>
            <m:e>
              <m:r>
                <m:t>p</m:t>
              </m:r>
            </m:e>
            <m:sub>
              <m:r>
                <m:t>i</m:t>
              </m:r>
            </m:sub>
          </m:sSub>
          <m:r>
            <m:rPr>
              <m:sty m:val="p"/>
            </m:rPr>
            <m:t>;</m:t>
          </m:r>
          <m:sSub>
            <m:e>
              <m:acc>
                <m:accPr>
                  <m:chr m:val="‾"/>
                </m:accPr>
                <m:e>
                  <m:r>
                    <m:t>p</m:t>
                  </m:r>
                </m:e>
              </m:acc>
            </m:e>
            <m:sub>
              <m:r>
                <m:rPr>
                  <m:sty m:val="p"/>
                </m:rPr>
                <m:t>−</m:t>
              </m:r>
              <m:r>
                <m:t>i</m:t>
              </m:r>
            </m:sub>
          </m:sSub>
          <m:r>
            <m:rPr>
              <m:sty m:val="p"/>
            </m:rPr>
            <m:t>,</m:t>
          </m:r>
          <m:acc>
            <m:accPr>
              <m:chr m:val="‾"/>
            </m:accPr>
            <m:e>
              <m:r>
                <m:t>U</m:t>
              </m:r>
            </m:e>
          </m:acc>
          <m:r>
            <m:rPr>
              <m:sty m:val="p"/>
            </m:rPr>
            <m:t>)</m:t>
          </m:r>
        </m:oMath>
      </m:oMathPara>
    </w:p>
    <w:p>
      <w:pPr>
        <w:pStyle w:val="FirstParagraph"/>
      </w:pPr>
      <w:r>
        <w:t xml:space="preserve">Como captura apenas o efeito substituição, é</w:t>
      </w:r>
      <w:r>
        <w:t xml:space="preserve"> </w:t>
      </w:r>
      <w:r>
        <w:rPr>
          <w:b/>
          <w:bCs/>
        </w:rPr>
        <w:t xml:space="preserve">sempre</w:t>
      </w:r>
      <w:r>
        <w:t xml:space="preserve"> </w:t>
      </w:r>
      <w:r>
        <w:t xml:space="preserve">negativamente inclinada (ou nula). Para bens normais, a curva hicksiana é mais inclinada (menos elástica) que a marshalliana, pois o efeito renda reforça o efeito substituição na marshalliana; para bens inferiores, a situação se inverte e a hicksiana é menos inclinada. Essa diferença de inclinação não é apenas teórica: ela implica que a elasticidade estimada a partir de dados observados (marshalliana) superestima a elasticidade de substituição pura (hicksiana) para bens normais, e subestima para bens inferiores.</w:t>
      </w:r>
    </w:p>
    <w:p>
      <w:pPr>
        <w:pStyle w:val="BlockText"/>
      </w:pPr>
      <w:r>
        <w:rPr>
          <w:b/>
          <w:bCs/>
        </w:rPr>
        <w:t xml:space="preserve">[NOTA] Relação geométrica</w:t>
      </w:r>
    </w:p>
    <w:p>
      <w:pPr>
        <w:pStyle w:val="BlockText"/>
      </w:pPr>
      <w:r>
        <w:t xml:space="preserve">As curvas marshalliana e hicksiana se cruzam no ponto correspondente ao preço e à renda iniciais. A partir desse ponto, a marshalliana diverge conforme o efeito renda se acumula.</w:t>
      </w:r>
    </w:p>
    <w:p>
      <w:pPr>
        <w:pStyle w:val="FirstParagraph"/>
      </w:pPr>
      <w:r>
        <w:t xml:space="preserve">[FIGURA INTERATIVA: /micro-book/graficos/cap05/demanda-marshalliana-hicksiana.html — versao interativa disponivel online]</w:t>
      </w:r>
    </w:p>
    <w:p>
      <w:pPr>
        <w:pStyle w:val="BodyText"/>
      </w:pPr>
      <w:r>
        <w:rPr>
          <w:b/>
          <w:bCs/>
        </w:rPr>
        <w:t xml:space="preserve">Figura 5.3 — Demanda marshalliana (vermelha) vs hicksiana (azul).</w:t>
      </w:r>
      <w:r>
        <w:t xml:space="preserve"> </w:t>
      </w:r>
      <w:r>
        <w:t xml:space="preserve">Painel superior: curvas de indiferença e restrição orçamentária no espaço de bens. Painel inferior: curvas de demanda derivadas. Para bens normais, a hicksiana é mais inclinada. A área sombreada representa o excedente do consumidor.</w:t>
      </w:r>
    </w:p>
    <w:p>
      <w:r>
        <w:pict>
          <v:rect style="width:0;height:1.5pt" o:hralign="center" o:hrstd="t" o:hr="t"/>
        </w:pict>
      </w:r>
    </w:p>
    <w:bookmarkEnd w:id="251"/>
    <w:bookmarkEnd w:id="252"/>
    <w:bookmarkStart w:id="253" w:name="Xeedb20cc219beded92fc5b645dfb8a40d337595"/>
    <w:p>
      <w:pPr>
        <w:pStyle w:val="Heading3"/>
      </w:pPr>
      <w:r>
        <w:t xml:space="preserve">5.6 A Demanda Sem Ilusão de Renda: Hicksiana e Suas Propriedades</w:t>
      </w:r>
    </w:p>
    <w:p>
      <w:pPr>
        <w:pStyle w:val="FirstParagraph"/>
      </w:pPr>
      <w:r>
        <w:t xml:space="preserve">A seção anterior apresentou as curvas de demanda marshalliana e hicksiana de forma intuitiva e gráfica. Agora, aprofundamos as propriedades formais da demanda compensada, que desempenham papel central tanto na teoria pura quanto na análise empírica. Essas propriedades geram restrições testáveis sobre o comportamento observado do consumidor — permitindo verificar se os dados são compatíveis com a hipótese de racionalidade. O Exercício 5.10 ao final do capítulo convida o leitor a demonstrar formalmente que a matriz de Slutsky é simétrica e negativa semidefinida.</w:t>
      </w:r>
    </w:p>
    <w:p>
      <w:pPr>
        <w:pStyle w:val="BodyText"/>
      </w:pPr>
      <w:r>
        <w:t xml:space="preserve">A demanda hicksiana</w:t>
      </w:r>
      <w:r>
        <w:t xml:space="preserve"> </w:t>
      </w:r>
      <m:oMath>
        <m:sSub>
          <m:e>
            <m:r>
              <m:t>h</m:t>
            </m:r>
          </m:e>
          <m:sub>
            <m:r>
              <m:t>i</m:t>
            </m:r>
          </m:sub>
        </m:sSub>
        <m:r>
          <m:rPr>
            <m:sty m:val="p"/>
          </m:rPr>
          <m:t>(</m:t>
        </m:r>
        <m:r>
          <m:rPr>
            <m:sty m:val="bi"/>
          </m:rPr>
          <m:t>p</m:t>
        </m:r>
        <m:r>
          <m:rPr>
            <m:sty m:val="p"/>
          </m:rPr>
          <m:t>,</m:t>
        </m:r>
        <m:acc>
          <m:accPr>
            <m:chr m:val="‾"/>
          </m:accPr>
          <m:e>
            <m:r>
              <m:t>U</m:t>
            </m:r>
          </m:e>
        </m:acc>
        <m:r>
          <m:rPr>
            <m:sty m:val="p"/>
          </m:rPr>
          <m:t>)</m:t>
        </m:r>
      </m:oMath>
      <w:r>
        <w:t xml:space="preserve"> </w:t>
      </w:r>
      <w:r>
        <w:t xml:space="preserve">pode ser obtida a partir da</w:t>
      </w:r>
      <w:r>
        <w:t xml:space="preserve"> </w:t>
      </w:r>
      <w:r>
        <w:rPr>
          <w:b/>
          <w:bCs/>
        </w:rPr>
        <w:t xml:space="preserve">função dispêndio</w:t>
      </w:r>
      <w:r>
        <w:t xml:space="preserve"> </w:t>
      </w:r>
      <m:oMath>
        <m:r>
          <m:t>E</m:t>
        </m:r>
        <m:r>
          <m:rPr>
            <m:sty m:val="p"/>
          </m:rPr>
          <m:t>(</m:t>
        </m:r>
        <m:r>
          <m:rPr>
            <m:sty m:val="bi"/>
          </m:rPr>
          <m:t>p</m:t>
        </m:r>
        <m:r>
          <m:rPr>
            <m:sty m:val="p"/>
          </m:rPr>
          <m:t>,</m:t>
        </m:r>
        <m:acc>
          <m:accPr>
            <m:chr m:val="‾"/>
          </m:accPr>
          <m:e>
            <m:r>
              <m:t>U</m:t>
            </m:r>
          </m:e>
        </m:acc>
        <m:r>
          <m:rPr>
            <m:sty m:val="p"/>
          </m:rPr>
          <m:t>)</m:t>
        </m:r>
      </m:oMath>
      <w:r>
        <w:t xml:space="preserve">:</w:t>
      </w:r>
    </w:p>
    <w:p>
      <w:pPr>
        <w:pStyle w:val="BodyText"/>
      </w:pPr>
      <m:oMathPara>
        <m:oMathParaPr>
          <m:jc m:val="center"/>
        </m:oMathParaPr>
        <m:oMath>
          <m:sSub>
            <m:e>
              <m:r>
                <m:t>h</m:t>
              </m:r>
            </m:e>
            <m:sub>
              <m:r>
                <m:t>i</m:t>
              </m:r>
            </m:sub>
          </m:sSub>
          <m:r>
            <m:rPr>
              <m:sty m:val="p"/>
            </m:rPr>
            <m:t>(</m:t>
          </m:r>
          <m:r>
            <m:rPr>
              <m:sty m:val="bi"/>
            </m:rPr>
            <m:t>p</m:t>
          </m:r>
          <m:r>
            <m:rPr>
              <m:sty m:val="p"/>
            </m:rPr>
            <m:t>,</m:t>
          </m:r>
          <m:acc>
            <m:accPr>
              <m:chr m:val="‾"/>
            </m:accPr>
            <m:e>
              <m:r>
                <m:t>U</m:t>
              </m:r>
            </m:e>
          </m:acc>
          <m:r>
            <m:rPr>
              <m:sty m:val="p"/>
            </m:rPr>
            <m:t>)</m:t>
          </m:r>
          <m:r>
            <m:rPr>
              <m:sty m:val="p"/>
            </m:rPr>
            <m:t>=</m:t>
          </m:r>
          <m:f>
            <m:fPr>
              <m:type m:val="bar"/>
            </m:fPr>
            <m:num>
              <m:r>
                <m:rPr>
                  <m:sty m:val="p"/>
                </m:rPr>
                <m:t>∂</m:t>
              </m:r>
              <m:r>
                <m:t>E</m:t>
              </m:r>
              <m:r>
                <m:rPr>
                  <m:sty m:val="p"/>
                </m:rPr>
                <m:t>(</m:t>
              </m:r>
              <m:r>
                <m:rPr>
                  <m:sty m:val="bi"/>
                </m:rPr>
                <m:t>p</m:t>
              </m:r>
              <m:r>
                <m:rPr>
                  <m:sty m:val="p"/>
                </m:rPr>
                <m:t>,</m:t>
              </m:r>
              <m:acc>
                <m:accPr>
                  <m:chr m:val="‾"/>
                </m:accPr>
                <m:e>
                  <m:r>
                    <m:t>U</m:t>
                  </m:r>
                </m:e>
              </m:acc>
              <m:r>
                <m:rPr>
                  <m:sty m:val="p"/>
                </m:rPr>
                <m:t>)</m:t>
              </m:r>
            </m:num>
            <m:den>
              <m:r>
                <m:rPr>
                  <m:sty m:val="p"/>
                </m:rPr>
                <m:t>∂</m:t>
              </m:r>
              <m:sSub>
                <m:e>
                  <m:r>
                    <m:t>p</m:t>
                  </m:r>
                </m:e>
                <m:sub>
                  <m:r>
                    <m:t>i</m:t>
                  </m:r>
                </m:sub>
              </m:sSub>
            </m:den>
          </m:f>
        </m:oMath>
      </m:oMathPara>
    </w:p>
    <w:p>
      <w:pPr>
        <w:pStyle w:val="FirstParagraph"/>
      </w:pPr>
      <w:r>
        <w:t xml:space="preserve">Este é o</w:t>
      </w:r>
      <w:r>
        <w:t xml:space="preserve"> </w:t>
      </w:r>
      <w:r>
        <w:rPr>
          <w:b/>
          <w:bCs/>
        </w:rPr>
        <w:t xml:space="preserve">Lema de Shephard</w:t>
      </w:r>
      <w:r>
        <w:t xml:space="preserve"> </w:t>
      </w:r>
      <w:r>
        <w:t xml:space="preserve">— a equação Eq. (eq:5.6.4) —, que já utilizamos na demonstração da equação de Slutsky Eq. (eq:5.4.3).</w:t>
      </w:r>
    </w:p>
    <w:p>
      <w:pPr>
        <w:pStyle w:val="BlockText"/>
      </w:pPr>
      <w:r>
        <w:rPr>
          <w:b/>
          <w:bCs/>
        </w:rPr>
        <w:t xml:space="preserve">[DEFINICAO] Propriedades da demanda hicksiana</w:t>
      </w:r>
    </w:p>
    <w:p>
      <w:pPr>
        <w:pStyle w:val="Compact"/>
        <w:numPr>
          <w:ilvl w:val="0"/>
          <w:numId w:val="1209"/>
        </w:numPr>
      </w:pPr>
      <w:r>
        <w:rPr>
          <w:b/>
          <w:bCs/>
        </w:rPr>
        <w:t xml:space="preserve">Homogeneidade de grau zero em preços</w:t>
      </w:r>
      <w:r>
        <w:t xml:space="preserve">:</w:t>
      </w:r>
      <w:r>
        <w:t xml:space="preserve"> </w:t>
      </w:r>
      <m:oMath>
        <m:sSub>
          <m:e>
            <m:r>
              <m:t>h</m:t>
            </m:r>
          </m:e>
          <m:sub>
            <m:r>
              <m:t>i</m:t>
            </m:r>
          </m:sub>
        </m:sSub>
        <m:r>
          <m:rPr>
            <m:sty m:val="p"/>
          </m:rPr>
          <m:t>(</m:t>
        </m:r>
        <m:r>
          <m:t>α</m:t>
        </m:r>
        <m:r>
          <m:rPr>
            <m:sty m:val="bi"/>
          </m:rPr>
          <m:t>p</m:t>
        </m:r>
        <m:r>
          <m:rPr>
            <m:sty m:val="p"/>
          </m:rPr>
          <m:t>,</m:t>
        </m:r>
        <m:acc>
          <m:accPr>
            <m:chr m:val="‾"/>
          </m:accPr>
          <m:e>
            <m:r>
              <m:t>U</m:t>
            </m:r>
          </m:e>
        </m:acc>
        <m:r>
          <m:rPr>
            <m:sty m:val="p"/>
          </m:rPr>
          <m:t>)</m:t>
        </m:r>
        <m:r>
          <m:rPr>
            <m:sty m:val="p"/>
          </m:rPr>
          <m:t>=</m:t>
        </m:r>
        <m:sSub>
          <m:e>
            <m:r>
              <m:t>h</m:t>
            </m:r>
          </m:e>
          <m:sub>
            <m:r>
              <m:t>i</m:t>
            </m:r>
          </m:sub>
        </m:sSub>
        <m:r>
          <m:rPr>
            <m:sty m:val="p"/>
          </m:rPr>
          <m:t>(</m:t>
        </m:r>
        <m:r>
          <m:rPr>
            <m:sty m:val="bi"/>
          </m:rPr>
          <m:t>p</m:t>
        </m:r>
        <m:r>
          <m:rPr>
            <m:sty m:val="p"/>
          </m:rPr>
          <m:t>,</m:t>
        </m:r>
        <m:acc>
          <m:accPr>
            <m:chr m:val="‾"/>
          </m:accPr>
          <m:e>
            <m:r>
              <m:t>U</m:t>
            </m:r>
          </m:e>
        </m:acc>
        <m:r>
          <m:rPr>
            <m:sty m:val="p"/>
          </m:rPr>
          <m:t>)</m:t>
        </m:r>
      </m:oMath>
      <w:r>
        <w:t xml:space="preserve">.</w:t>
      </w:r>
    </w:p>
    <w:p>
      <w:pPr>
        <w:pStyle w:val="Compact"/>
        <w:numPr>
          <w:ilvl w:val="0"/>
          <w:numId w:val="1209"/>
        </w:numPr>
      </w:pPr>
      <w:r>
        <w:rPr>
          <w:b/>
          <w:bCs/>
        </w:rPr>
        <w:t xml:space="preserve">Negatividade própria</w:t>
      </w:r>
      <w:r>
        <w:t xml:space="preserve">:</w:t>
      </w:r>
      <w:r>
        <w:t xml:space="preserve"> </w:t>
      </w:r>
      <m:oMath>
        <m:f>
          <m:fPr>
            <m:type m:val="bar"/>
          </m:fPr>
          <m:num>
            <m:r>
              <m:rPr>
                <m:sty m:val="p"/>
              </m:rPr>
              <m:t>∂</m:t>
            </m:r>
            <m:sSub>
              <m:e>
                <m:r>
                  <m:t>h</m:t>
                </m:r>
              </m:e>
              <m:sub>
                <m:r>
                  <m:t>i</m:t>
                </m:r>
              </m:sub>
            </m:sSub>
          </m:num>
          <m:den>
            <m:r>
              <m:rPr>
                <m:sty m:val="p"/>
              </m:rPr>
              <m:t>∂</m:t>
            </m:r>
            <m:sSub>
              <m:e>
                <m:r>
                  <m:t>p</m:t>
                </m:r>
              </m:e>
              <m:sub>
                <m:r>
                  <m:t>i</m:t>
                </m:r>
              </m:sub>
            </m:sSub>
          </m:den>
        </m:f>
        <m:r>
          <m:rPr>
            <m:sty m:val="p"/>
          </m:rPr>
          <m:t>≤</m:t>
        </m:r>
        <m:r>
          <m:t>0</m:t>
        </m:r>
      </m:oMath>
      <w:r>
        <w:t xml:space="preserve">.</w:t>
      </w:r>
    </w:p>
    <w:p>
      <w:pPr>
        <w:pStyle w:val="Compact"/>
        <w:numPr>
          <w:ilvl w:val="0"/>
          <w:numId w:val="1209"/>
        </w:numPr>
      </w:pPr>
      <w:r>
        <w:rPr>
          <w:b/>
          <w:bCs/>
        </w:rPr>
        <w:t xml:space="preserve">Simetria</w:t>
      </w:r>
      <w:r>
        <w:t xml:space="preserve">:</w:t>
      </w:r>
      <w:r>
        <w:t xml:space="preserve"> </w:t>
      </w:r>
      <m:oMath>
        <m:f>
          <m:fPr>
            <m:type m:val="bar"/>
          </m:fPr>
          <m:num>
            <m:r>
              <m:rPr>
                <m:sty m:val="p"/>
              </m:rPr>
              <m:t>∂</m:t>
            </m:r>
            <m:sSub>
              <m:e>
                <m:r>
                  <m:t>h</m:t>
                </m:r>
              </m:e>
              <m:sub>
                <m:r>
                  <m:t>i</m:t>
                </m:r>
              </m:sub>
            </m:sSub>
          </m:num>
          <m:den>
            <m:r>
              <m:rPr>
                <m:sty m:val="p"/>
              </m:rPr>
              <m:t>∂</m:t>
            </m:r>
            <m:sSub>
              <m:e>
                <m:r>
                  <m:t>p</m:t>
                </m:r>
              </m:e>
              <m:sub>
                <m:r>
                  <m:t>j</m:t>
                </m:r>
              </m:sub>
            </m:sSub>
          </m:den>
        </m:f>
        <m:r>
          <m:rPr>
            <m:sty m:val="p"/>
          </m:rPr>
          <m:t>=</m:t>
        </m:r>
        <m:f>
          <m:fPr>
            <m:type m:val="bar"/>
          </m:fPr>
          <m:num>
            <m:r>
              <m:rPr>
                <m:sty m:val="p"/>
              </m:rPr>
              <m:t>∂</m:t>
            </m:r>
            <m:sSub>
              <m:e>
                <m:r>
                  <m:t>h</m:t>
                </m:r>
              </m:e>
              <m:sub>
                <m:r>
                  <m:t>j</m:t>
                </m:r>
              </m:sub>
            </m:sSub>
          </m:num>
          <m:den>
            <m:r>
              <m:rPr>
                <m:sty m:val="p"/>
              </m:rPr>
              <m:t>∂</m:t>
            </m:r>
            <m:sSub>
              <m:e>
                <m:r>
                  <m:t>p</m:t>
                </m:r>
              </m:e>
              <m:sub>
                <m:r>
                  <m:t>i</m:t>
                </m:r>
              </m:sub>
            </m:sSub>
          </m:den>
        </m:f>
      </m:oMath>
      <w:r>
        <w:t xml:space="preserve">.</w:t>
      </w:r>
    </w:p>
    <w:p>
      <w:pPr>
        <w:pStyle w:val="Compact"/>
        <w:numPr>
          <w:ilvl w:val="0"/>
          <w:numId w:val="1209"/>
        </w:numPr>
      </w:pPr>
      <w:r>
        <w:rPr>
          <w:b/>
          <w:bCs/>
        </w:rPr>
        <w:t xml:space="preserve">Semidefinição negativa da matriz de Slutsky</w:t>
      </w:r>
      <w:r>
        <w:t xml:space="preserve">: a matriz</w:t>
      </w:r>
      <w:r>
        <w:t xml:space="preserve"> </w:t>
      </w:r>
      <m:oMath>
        <m:r>
          <m:rPr>
            <m:sty m:val="bi"/>
          </m:rPr>
          <m:t>S</m:t>
        </m:r>
      </m:oMath>
      <w:r>
        <w:t xml:space="preserve"> </w:t>
      </w:r>
      <w:r>
        <w:t xml:space="preserve">com elementos</w:t>
      </w:r>
      <w:r>
        <w:t xml:space="preserve"> </w:t>
      </w:r>
      <m:oMath>
        <m:sSub>
          <m:e>
            <m:r>
              <m:t>s</m:t>
            </m:r>
          </m:e>
          <m:sub>
            <m:r>
              <m:t>i</m:t>
            </m:r>
            <m:r>
              <m:t>j</m:t>
            </m:r>
          </m:sub>
        </m:sSub>
        <m:r>
          <m:rPr>
            <m:sty m:val="p"/>
          </m:rPr>
          <m:t>=</m:t>
        </m:r>
        <m:f>
          <m:fPr>
            <m:type m:val="bar"/>
          </m:fPr>
          <m:num>
            <m:r>
              <m:rPr>
                <m:sty m:val="p"/>
              </m:rPr>
              <m:t>∂</m:t>
            </m:r>
            <m:sSub>
              <m:e>
                <m:r>
                  <m:t>h</m:t>
                </m:r>
              </m:e>
              <m:sub>
                <m:r>
                  <m:t>i</m:t>
                </m:r>
              </m:sub>
            </m:sSub>
          </m:num>
          <m:den>
            <m:r>
              <m:rPr>
                <m:sty m:val="p"/>
              </m:rPr>
              <m:t>∂</m:t>
            </m:r>
            <m:sSub>
              <m:e>
                <m:r>
                  <m:t>p</m:t>
                </m:r>
              </m:e>
              <m:sub>
                <m:r>
                  <m:t>j</m:t>
                </m:r>
              </m:sub>
            </m:sSub>
          </m:den>
        </m:f>
      </m:oMath>
      <w:r>
        <w:t xml:space="preserve"> </w:t>
      </w:r>
      <w:r>
        <w:t xml:space="preserve">é simétrica e negativa semidefinida.</w:t>
      </w:r>
    </w:p>
    <w:p>
      <w:pPr>
        <w:pStyle w:val="FirstParagraph"/>
      </w:pPr>
      <w:r>
        <w:t xml:space="preserve">A propriedade 4 é particularmente poderosa: dela decorrem restrições testáveis sobre o comportamento da demanda observada, servindo como base para a análise empírica e para a teoria da preferência revelada. Em termos práticos, a simetria (propriedade 3) significa que se um aumento no preço do açúcar eleva a demanda por adoçante em 5%, então um aumento equivalente no preço do adoçante deve elevar a demanda por açúcar na mesma proporção (após controlar pelas diferenças de participação orçamentária). Sistemas de demanda como o</w:t>
      </w:r>
      <w:r>
        <w:t xml:space="preserve"> </w:t>
      </w:r>
      <w:r>
        <w:rPr>
          <w:i/>
          <w:iCs/>
        </w:rPr>
        <w:t xml:space="preserve">Almost Ideal Demand System</w:t>
      </w:r>
      <w:r>
        <w:t xml:space="preserve"> </w:t>
      </w:r>
      <w:r>
        <w:t xml:space="preserve">(AIDS), desenvolvido por Deaton e Muellbauer (1980), impõem essas restrições diretamente na estimação econométrica.</w:t>
      </w:r>
    </w:p>
    <w:bookmarkEnd w:id="253"/>
    <w:bookmarkEnd w:id="254"/>
    <w:bookmarkStart w:id="261" w:name="elasticidades-da-demanda"/>
    <w:p>
      <w:pPr>
        <w:pStyle w:val="Heading2"/>
      </w:pPr>
      <w:r>
        <w:t xml:space="preserve">5.7 Elasticidades da Demanda</w:t>
      </w:r>
    </w:p>
    <w:bookmarkStart w:id="260" w:name="X6ac5badb507db48918a2c5f7e1e78a0c2befd92"/>
    <w:p>
      <w:pPr>
        <w:pStyle w:val="Heading3"/>
      </w:pPr>
      <w:r>
        <w:t xml:space="preserve">5.7 O Termômetro da Sensibilidade: Elasticidades da Demanda</w:t>
      </w:r>
    </w:p>
    <w:p>
      <w:pPr>
        <w:pStyle w:val="FirstParagraph"/>
      </w:pPr>
      <w:r>
        <w:t xml:space="preserve">Até aqui, discutimos os efeitos de variações de preço e renda em termos de derivadas — grandezas que dependem das unidades de medida. Mas como comparar a sensibilidade da demanda por gasolina (medida em litros) com a da demanda por arroz (medida em quilos)? Ou a resposta do consumidor brasileiro com a do consumidor americano, cujas rendas e preços são expressos em moedas diferentes? É aqui que entram as</w:t>
      </w:r>
      <w:r>
        <w:t xml:space="preserve"> </w:t>
      </w:r>
      <w:r>
        <w:rPr>
          <w:b/>
          <w:bCs/>
        </w:rPr>
        <w:t xml:space="preserve">elasticidades</w:t>
      </w:r>
      <w:r>
        <w:t xml:space="preserve">, que medem a sensibilidade percentual da demanda a variações em preços e renda, sendo adimensionais e, portanto, comparáveis entre bens e mercados distintos.</w:t>
      </w:r>
    </w:p>
    <w:p>
      <w:pPr>
        <w:pStyle w:val="BlockText"/>
      </w:pPr>
      <w:r>
        <w:rPr>
          <w:b/>
          <w:bCs/>
        </w:rPr>
        <w:t xml:space="preserve">[INTUICAO ECONOMICA] Intuição Econômica</w:t>
      </w:r>
    </w:p>
    <w:p>
      <w:pPr>
        <w:pStyle w:val="BlockText"/>
      </w:pPr>
      <w:r>
        <w:rPr>
          <w:b/>
          <w:bCs/>
        </w:rPr>
        <w:t xml:space="preserve">Em uma frase:</w:t>
      </w:r>
      <w:r>
        <w:t xml:space="preserve"> </w:t>
      </w:r>
      <w:r>
        <w:t xml:space="preserve">Elasticidades são derivadas com</w:t>
      </w:r>
      <w:r>
        <w:t xml:space="preserve"> </w:t>
      </w:r>
      <w:r>
        <w:t xml:space="preserve">“roupas”</w:t>
      </w:r>
      <w:r>
        <w:t xml:space="preserve"> </w:t>
      </w:r>
      <w:r>
        <w:t xml:space="preserve">adimensionais — elas eliminam o problema das unidades de medida e permitem comparar a sensibilidade da demanda entre bens completamente diferentes.</w:t>
      </w:r>
    </w:p>
    <w:p>
      <w:pPr>
        <w:pStyle w:val="BlockText"/>
      </w:pPr>
      <w:r>
        <w:rPr>
          <w:b/>
          <w:bCs/>
        </w:rPr>
        <w:t xml:space="preserve">Pense assim:</w:t>
      </w:r>
      <w:r>
        <w:t xml:space="preserve"> </w:t>
      </w:r>
      <w:r>
        <w:t xml:space="preserve">Se você souber que</w:t>
      </w:r>
      <w:r>
        <w:t xml:space="preserve"> </w:t>
      </w:r>
      <m:oMath>
        <m:r>
          <m:rPr>
            <m:sty m:val="p"/>
          </m:rPr>
          <m:t>∂</m:t>
        </m:r>
        <m:r>
          <m:t>x</m:t>
        </m:r>
        <m:r>
          <m:rPr>
            <m:sty m:val="p"/>
          </m:rPr>
          <m:t>/</m:t>
        </m:r>
        <m:r>
          <m:rPr>
            <m:sty m:val="p"/>
          </m:rPr>
          <m:t>∂</m:t>
        </m:r>
        <m:r>
          <m:t>p</m:t>
        </m:r>
        <m:r>
          <m:rPr>
            <m:sty m:val="p"/>
          </m:rPr>
          <m:t>=</m:t>
        </m:r>
        <m:r>
          <m:rPr>
            <m:sty m:val="p"/>
          </m:rPr>
          <m:t>−</m:t>
        </m:r>
        <m:r>
          <m:t>50</m:t>
        </m:r>
      </m:oMath>
      <w:r>
        <w:t xml:space="preserve">, isso não diz muito — depende se a quantidade é medida em quilos ou toneladas, e se o preço é em reais ou centavos. Mas se a elasticidade-preço é</w:t>
      </w:r>
      <w:r>
        <w:t xml:space="preserve"> </w:t>
      </w:r>
      <m:oMath>
        <m:r>
          <m:rPr>
            <m:sty m:val="p"/>
          </m:rPr>
          <m:t>−</m:t>
        </m:r>
        <m:r>
          <m:t>0</m:t>
        </m:r>
        <m:r>
          <m:rPr>
            <m:sty m:val="p"/>
          </m:rPr>
          <m:t>,</m:t>
        </m:r>
        <m:r>
          <m:t>4</m:t>
        </m:r>
      </m:oMath>
      <w:r>
        <w:t xml:space="preserve">, você sabe imediatamente: um aumento de 10% no preço reduz a demanda em 4%, independentemente das unidades. Além disso, elasticidades acima de 1 (em valor absoluto) sinalizam demanda</w:t>
      </w:r>
      <w:r>
        <w:t xml:space="preserve"> </w:t>
      </w:r>
      <w:r>
        <w:t xml:space="preserve">“sensível a preços”</w:t>
      </w:r>
      <w:r>
        <w:t xml:space="preserve"> </w:t>
      </w:r>
      <w:r>
        <w:t xml:space="preserve">— útil para decisões de precificação e política tributária.</w:t>
      </w:r>
    </w:p>
    <w:p>
      <w:pPr>
        <w:pStyle w:val="BlockText"/>
      </w:pPr>
      <w:r>
        <w:rPr>
          <w:b/>
          <w:bCs/>
        </w:rPr>
        <w:t xml:space="preserve">Por que isso importa:</w:t>
      </w:r>
      <w:r>
        <w:t xml:space="preserve"> </w:t>
      </w:r>
      <w:r>
        <w:t xml:space="preserve">As relações de agregação (Engel e Cournot) e a simetria de Slutsky são muito mais convenientes em termos de elasticidades do que em derivadas. Por isso, a maior parte da pesquisa empírica em demanda — e das análises de impacto de políticas tributárias no Brasil — é feita em termos de elasticidades, não de derivadas.</w:t>
      </w:r>
    </w:p>
    <w:bookmarkStart w:id="255" w:name="elasticidade-preço-da-demanda"/>
    <w:p>
      <w:pPr>
        <w:pStyle w:val="Heading4"/>
      </w:pPr>
      <w:r>
        <w:t xml:space="preserve">5.7.1 Elasticidade-preço da demanda</w:t>
      </w:r>
    </w:p>
    <w:p>
      <w:pPr>
        <w:pStyle w:val="BlockText"/>
      </w:pPr>
      <w:r>
        <w:rPr>
          <w:b/>
          <w:bCs/>
        </w:rPr>
        <w:t xml:space="preserve">[DEFINICAO] Elasticidade-preço da demanda</w:t>
      </w:r>
    </w:p>
    <w:p>
      <w:pPr>
        <w:pStyle w:val="BlockText"/>
      </w:pPr>
      <w:r>
        <w:t xml:space="preserve">$$</w:t>
      </w:r>
    </w:p>
    <w:p>
      <w:pPr>
        <w:pStyle w:val="BlockText"/>
      </w:pPr>
      <w:r>
        <w:t xml:space="preserve">_{x_i, p_i} =</w:t>
      </w:r>
      <w:r>
        <w:t xml:space="preserve"> </w:t>
      </w:r>
      <w:r>
        <w:t xml:space="preserve"> </w:t>
      </w:r>
      <w:r>
        <w:t xml:space="preserve"> </w:t>
      </w:r>
      <w:r>
        <w:t xml:space="preserve"> </w:t>
      </w:r>
    </w:p>
    <w:p>
      <w:pPr>
        <w:pStyle w:val="BlockText"/>
      </w:pPr>
      <w:r>
        <w:t xml:space="preserve">$$</w:t>
      </w:r>
    </w:p>
    <w:p>
      <w:pPr>
        <w:pStyle w:val="Compact"/>
        <w:numPr>
          <w:ilvl w:val="0"/>
          <w:numId w:val="1210"/>
        </w:numPr>
      </w:pPr>
      <m:oMath>
        <m:r>
          <m:rPr>
            <m:sty m:val="p"/>
          </m:rPr>
          <m:t>|</m:t>
        </m:r>
        <m:r>
          <m:t>ε</m:t>
        </m:r>
        <m:r>
          <m:rPr>
            <m:sty m:val="p"/>
          </m:rPr>
          <m:t>|</m:t>
        </m:r>
        <m:r>
          <m:rPr>
            <m:sty m:val="p"/>
          </m:rPr>
          <m:t>&gt;</m:t>
        </m:r>
        <m:r>
          <m:t>1</m:t>
        </m:r>
      </m:oMath>
      <w:r>
        <w:t xml:space="preserve">: demanda</w:t>
      </w:r>
      <w:r>
        <w:t xml:space="preserve"> </w:t>
      </w:r>
      <w:r>
        <w:rPr>
          <w:b/>
          <w:bCs/>
        </w:rPr>
        <w:t xml:space="preserve">elástica</w:t>
      </w:r>
    </w:p>
    <w:p>
      <w:pPr>
        <w:pStyle w:val="Compact"/>
        <w:numPr>
          <w:ilvl w:val="0"/>
          <w:numId w:val="1210"/>
        </w:numPr>
      </w:pPr>
      <m:oMath>
        <m:r>
          <m:rPr>
            <m:sty m:val="p"/>
          </m:rPr>
          <m:t>|</m:t>
        </m:r>
        <m:r>
          <m:t>ε</m:t>
        </m:r>
        <m:r>
          <m:rPr>
            <m:sty m:val="p"/>
          </m:rPr>
          <m:t>|</m:t>
        </m:r>
        <m:r>
          <m:rPr>
            <m:sty m:val="p"/>
          </m:rPr>
          <m:t>=</m:t>
        </m:r>
        <m:r>
          <m:t>1</m:t>
        </m:r>
      </m:oMath>
      <w:r>
        <w:t xml:space="preserve">: demanda de</w:t>
      </w:r>
      <w:r>
        <w:t xml:space="preserve"> </w:t>
      </w:r>
      <w:r>
        <w:rPr>
          <w:b/>
          <w:bCs/>
        </w:rPr>
        <w:t xml:space="preserve">elasticidade unitária</w:t>
      </w:r>
    </w:p>
    <w:p>
      <w:pPr>
        <w:pStyle w:val="Compact"/>
        <w:numPr>
          <w:ilvl w:val="0"/>
          <w:numId w:val="1210"/>
        </w:numPr>
      </w:pPr>
      <m:oMath>
        <m:r>
          <m:rPr>
            <m:sty m:val="p"/>
          </m:rPr>
          <m:t>|</m:t>
        </m:r>
        <m:r>
          <m:t>ε</m:t>
        </m:r>
        <m:r>
          <m:rPr>
            <m:sty m:val="p"/>
          </m:rPr>
          <m:t>|</m:t>
        </m:r>
        <m:r>
          <m:rPr>
            <m:sty m:val="p"/>
          </m:rPr>
          <m:t>&lt;</m:t>
        </m:r>
        <m:r>
          <m:t>1</m:t>
        </m:r>
      </m:oMath>
      <w:r>
        <w:t xml:space="preserve">: demanda</w:t>
      </w:r>
      <w:r>
        <w:t xml:space="preserve"> </w:t>
      </w:r>
      <w:r>
        <w:rPr>
          <w:b/>
          <w:bCs/>
        </w:rPr>
        <w:t xml:space="preserve">inelástica</w:t>
      </w:r>
    </w:p>
    <w:bookmarkEnd w:id="255"/>
    <w:bookmarkStart w:id="256" w:name="elasticidade-renda-da-demanda"/>
    <w:p>
      <w:pPr>
        <w:pStyle w:val="Heading4"/>
      </w:pPr>
      <w:r>
        <w:t xml:space="preserve">5.7.2 Elasticidade-renda da demanda</w:t>
      </w:r>
    </w:p>
    <w:p>
      <w:pPr>
        <w:pStyle w:val="FirstParagraph"/>
      </w:pPr>
      <w:r>
        <w:t xml:space="preserve">A elasticidade-renda captura a resposta percentual da demanda a variações percentuais na renda. É ela que formaliza a classificação entre bens normais, inferiores, de luxo e de necessidade que discutimos na Seção 5.2:</w:t>
      </w:r>
    </w:p>
    <w:p>
      <w:pPr>
        <w:pStyle w:val="BodyText"/>
      </w:pPr>
      <m:oMathPara>
        <m:oMathParaPr>
          <m:jc m:val="center"/>
        </m:oMathParaPr>
        <m:oMath>
          <m:sSub>
            <m:e>
              <m:r>
                <m:t>ε</m:t>
              </m:r>
            </m:e>
            <m:sub>
              <m:sSub>
                <m:e>
                  <m:r>
                    <m:t>x</m:t>
                  </m:r>
                </m:e>
                <m:sub>
                  <m:r>
                    <m:t>i</m:t>
                  </m:r>
                </m:sub>
              </m:sSub>
              <m:r>
                <m:rPr>
                  <m:sty m:val="p"/>
                </m:rPr>
                <m:t>,</m:t>
              </m:r>
              <m:r>
                <m:t>I</m:t>
              </m:r>
            </m:sub>
          </m:sSub>
          <m:r>
            <m:rPr>
              <m:sty m:val="p"/>
            </m:rPr>
            <m:t>=</m:t>
          </m:r>
          <m:f>
            <m:fPr>
              <m:type m:val="bar"/>
            </m:fPr>
            <m:num>
              <m:r>
                <m:rPr>
                  <m:sty m:val="p"/>
                </m:rPr>
                <m:t>∂</m:t>
              </m:r>
              <m:sSub>
                <m:e>
                  <m:r>
                    <m:t>x</m:t>
                  </m:r>
                </m:e>
                <m:sub>
                  <m:r>
                    <m:t>i</m:t>
                  </m:r>
                </m:sub>
              </m:sSub>
            </m:num>
            <m:den>
              <m:r>
                <m:rPr>
                  <m:sty m:val="p"/>
                </m:rPr>
                <m:t>∂</m:t>
              </m:r>
              <m:r>
                <m:t>I</m:t>
              </m:r>
            </m:den>
          </m:f>
          <m:r>
            <m:rPr>
              <m:sty m:val="p"/>
            </m:rPr>
            <m:t>⋅</m:t>
          </m:r>
          <m:f>
            <m:fPr>
              <m:type m:val="bar"/>
            </m:fPr>
            <m:num>
              <m:r>
                <m:t>I</m:t>
              </m:r>
            </m:num>
            <m:den>
              <m:sSub>
                <m:e>
                  <m:r>
                    <m:t>x</m:t>
                  </m:r>
                </m:e>
                <m:sub>
                  <m:r>
                    <m:t>i</m:t>
                  </m:r>
                </m:sub>
              </m:sSub>
            </m:den>
          </m:f>
        </m:oMath>
      </m:oMathPara>
    </w:p>
    <w:bookmarkEnd w:id="256"/>
    <w:bookmarkStart w:id="257" w:name="elasticidade-preço-cruzada"/>
    <w:p>
      <w:pPr>
        <w:pStyle w:val="Heading4"/>
      </w:pPr>
      <w:r>
        <w:t xml:space="preserve">5.7.3 Elasticidade-preço cruzada</w:t>
      </w:r>
    </w:p>
    <w:p>
      <w:pPr>
        <w:pStyle w:val="FirstParagraph"/>
      </w:pPr>
      <w:r>
        <w:t xml:space="preserve">A elasticidade-preço cruzada mede como a demanda por um bem responde a variações no preço de outro bem. Essa grandeza será central no Capítulo 6, quando classificarmos bens como substitutos ou complementos. No mercado brasileiro de combustíveis, a elevada elasticidade cruzada gasolina-etanol (estimada entre +0,80 e +1,40) reflete a existência de uma grande frota flex-fuel — um exemplo de como a estrutura tecnológica do mercado se traduz em parâmetros de elasticidade mensuráveis:</w:t>
      </w:r>
    </w:p>
    <w:p>
      <w:pPr>
        <w:pStyle w:val="BodyText"/>
      </w:pPr>
      <m:oMathPara>
        <m:oMathParaPr>
          <m:jc m:val="center"/>
        </m:oMathParaPr>
        <m:oMath>
          <m:sSub>
            <m:e>
              <m:r>
                <m:t>ε</m:t>
              </m:r>
            </m:e>
            <m:sub>
              <m:sSub>
                <m:e>
                  <m:r>
                    <m:t>x</m:t>
                  </m:r>
                </m:e>
                <m:sub>
                  <m:r>
                    <m:t>i</m:t>
                  </m:r>
                </m:sub>
              </m:sSub>
              <m:r>
                <m:rPr>
                  <m:sty m:val="p"/>
                </m:rPr>
                <m:t>,</m:t>
              </m:r>
              <m:sSub>
                <m:e>
                  <m:r>
                    <m:t>p</m:t>
                  </m:r>
                </m:e>
                <m:sub>
                  <m:r>
                    <m:t>j</m:t>
                  </m:r>
                </m:sub>
              </m:sSub>
            </m:sub>
          </m:sSub>
          <m:r>
            <m:rPr>
              <m:sty m:val="p"/>
            </m:rPr>
            <m:t>=</m:t>
          </m:r>
          <m:f>
            <m:fPr>
              <m:type m:val="bar"/>
            </m:fPr>
            <m:num>
              <m:r>
                <m:rPr>
                  <m:sty m:val="p"/>
                </m:rPr>
                <m:t>∂</m:t>
              </m:r>
              <m:sSub>
                <m:e>
                  <m:r>
                    <m:t>x</m:t>
                  </m:r>
                </m:e>
                <m:sub>
                  <m:r>
                    <m:t>i</m:t>
                  </m:r>
                </m:sub>
              </m:sSub>
            </m:num>
            <m:den>
              <m:r>
                <m:rPr>
                  <m:sty m:val="p"/>
                </m:rPr>
                <m:t>∂</m:t>
              </m:r>
              <m:sSub>
                <m:e>
                  <m:r>
                    <m:t>p</m:t>
                  </m:r>
                </m:e>
                <m:sub>
                  <m:r>
                    <m:t>j</m:t>
                  </m:r>
                </m:sub>
              </m:sSub>
            </m:den>
          </m:f>
          <m:r>
            <m:rPr>
              <m:sty m:val="p"/>
            </m:rPr>
            <m:t>⋅</m:t>
          </m:r>
          <m:f>
            <m:fPr>
              <m:type m:val="bar"/>
            </m:fPr>
            <m:num>
              <m:sSub>
                <m:e>
                  <m:r>
                    <m:t>p</m:t>
                  </m:r>
                </m:e>
                <m:sub>
                  <m:r>
                    <m:t>j</m:t>
                  </m:r>
                </m:sub>
              </m:sSub>
            </m:num>
            <m:den>
              <m:sSub>
                <m:e>
                  <m:r>
                    <m:t>x</m:t>
                  </m:r>
                </m:e>
                <m:sub>
                  <m:r>
                    <m:t>i</m:t>
                  </m:r>
                </m:sub>
              </m:sSub>
            </m:den>
          </m:f>
        </m:oMath>
      </m:oMathPara>
    </w:p>
    <w:bookmarkEnd w:id="257"/>
    <w:bookmarkStart w:id="258" w:name="relações-de-agregação"/>
    <w:p>
      <w:pPr>
        <w:pStyle w:val="Heading4"/>
      </w:pPr>
      <w:r>
        <w:t xml:space="preserve">5.7.4 Relações de agregação</w:t>
      </w:r>
    </w:p>
    <w:p>
      <w:pPr>
        <w:pStyle w:val="FirstParagraph"/>
      </w:pPr>
      <w:r>
        <w:t xml:space="preserve">As elasticidades definidas acima não são independentes entre si. As restrições teóricas do problema do consumidor — homogeneidade de grau zero, esgotamento da renda — impõem relações de consistência entre elas. Essas relações são testáveis empiricamente: quando um sistema de demanda estimado viola as condições abaixo, os dados contradizem o modelo de consumidor racional, ou as estimativas estão mal especificadas. Três relações fundamentais as conectam:</w:t>
      </w:r>
    </w:p>
    <w:p>
      <w:pPr>
        <w:pStyle w:val="BlockText"/>
      </w:pPr>
      <w:r>
        <w:rPr>
          <w:b/>
          <w:bCs/>
        </w:rPr>
        <w:t xml:space="preserve">[TEOREMA] Agregação de Engel</w:t>
      </w:r>
    </w:p>
    <w:p>
      <w:pPr>
        <w:pStyle w:val="BlockText"/>
      </w:pPr>
      <w:r>
        <w:t xml:space="preserve">A soma ponderada das elasticidades-renda de todos os bens, com pesos iguais às parcelas orçamentárias</w:t>
      </w:r>
      <w:r>
        <w:t xml:space="preserve"> </w:t>
      </w:r>
      <m:oMath>
        <m:sSub>
          <m:e>
            <m:r>
              <m:t>w</m:t>
            </m:r>
          </m:e>
          <m:sub>
            <m:r>
              <m:t>i</m:t>
            </m:r>
          </m:sub>
        </m:sSub>
        <m:r>
          <m:rPr>
            <m:sty m:val="p"/>
          </m:rPr>
          <m:t>=</m:t>
        </m:r>
        <m:f>
          <m:fPr>
            <m:type m:val="bar"/>
          </m:fPr>
          <m:num>
            <m:sSub>
              <m:e>
                <m:r>
                  <m:t>p</m:t>
                </m:r>
              </m:e>
              <m:sub>
                <m:r>
                  <m:t>i</m:t>
                </m:r>
              </m:sub>
            </m:sSub>
            <m:sSub>
              <m:e>
                <m:r>
                  <m:t>x</m:t>
                </m:r>
              </m:e>
              <m:sub>
                <m:r>
                  <m:t>i</m:t>
                </m:r>
              </m:sub>
            </m:sSub>
          </m:num>
          <m:den>
            <m:r>
              <m:t>I</m:t>
            </m:r>
          </m:den>
        </m:f>
      </m:oMath>
      <w:r>
        <w:t xml:space="preserve">, é igual a um:</w:t>
      </w:r>
    </w:p>
    <w:p>
      <w:pPr>
        <w:pStyle w:val="BlockText"/>
      </w:pPr>
      <w:r>
        <w:t xml:space="preserve">$$</w:t>
      </w:r>
    </w:p>
    <w:p>
      <w:pPr>
        <w:pStyle w:val="BlockText"/>
      </w:pPr>
      <w:r>
        <w:rPr>
          <w:i/>
          <w:iCs/>
        </w:rPr>
        <w:t xml:space="preserve">{i=1}^n w_i ,</w:t>
      </w:r>
      <w:r>
        <w:rPr>
          <w:i/>
          <w:iCs/>
        </w:rPr>
        <w:t xml:space="preserve"> </w:t>
      </w:r>
      <w:r>
        <w:t xml:space="preserve">{x_i, I} = 1</w:t>
      </w:r>
      <w:r>
        <w:t xml:space="preserve"> </w:t>
      </w:r>
      <w:r>
        <w:t xml:space="preserve"> </w:t>
      </w:r>
    </w:p>
    <w:p>
      <w:pPr>
        <w:pStyle w:val="BlockText"/>
      </w:pPr>
      <w:r>
        <w:t xml:space="preserve">$$</w:t>
      </w:r>
    </w:p>
    <w:p>
      <w:pPr>
        <w:pStyle w:val="BlockText"/>
      </w:pPr>
      <w:r>
        <w:rPr>
          <w:b/>
          <w:bCs/>
        </w:rPr>
        <w:t xml:space="preserve">Implicação</w:t>
      </w:r>
      <w:r>
        <w:t xml:space="preserve">: nem todos os bens podem ser inferiores simultaneamente. Se alguns bens têm elasticidade-renda baixa, outros devem compensar com elasticidade-renda alta.</w:t>
      </w:r>
    </w:p>
    <w:p>
      <w:pPr>
        <w:pStyle w:val="BlockText"/>
      </w:pPr>
      <w:r>
        <w:rPr>
          <w:b/>
          <w:bCs/>
        </w:rPr>
        <w:t xml:space="preserve">[TEOREMA] Condição de Homogeneidade (Agregação de Cournot)</w:t>
      </w:r>
    </w:p>
    <w:p>
      <w:pPr>
        <w:pStyle w:val="BlockText"/>
      </w:pPr>
      <w:r>
        <w:t xml:space="preserve">Para cada bem</w:t>
      </w:r>
      <w:r>
        <w:t xml:space="preserve"> </w:t>
      </w:r>
      <m:oMath>
        <m:r>
          <m:t>i</m:t>
        </m:r>
      </m:oMath>
      <w:r>
        <w:t xml:space="preserve">, a soma das elasticidades-preço (própria e cruzadas) e da elasticidade-renda é zero:</w:t>
      </w:r>
    </w:p>
    <w:p>
      <w:pPr>
        <w:pStyle w:val="BlockText"/>
      </w:pPr>
      <w:r>
        <w:t xml:space="preserve">$$</w:t>
      </w:r>
    </w:p>
    <w:p>
      <w:pPr>
        <w:pStyle w:val="BlockText"/>
      </w:pPr>
      <w:r>
        <w:rPr>
          <w:i/>
          <w:iCs/>
        </w:rPr>
        <w:t xml:space="preserve">{j=1}^n</w:t>
      </w:r>
      <w:r>
        <w:rPr>
          <w:i/>
          <w:iCs/>
        </w:rPr>
        <w:t xml:space="preserve"> </w:t>
      </w:r>
      <w:r>
        <w:t xml:space="preserve">{x_i, p_j} +</w:t>
      </w:r>
      <w:r>
        <w:t xml:space="preserve"> </w:t>
      </w:r>
      <w:r>
        <w:t xml:space="preserve">_{x_i, I} = 0</w:t>
      </w:r>
      <w:r>
        <w:t xml:space="preserve"> </w:t>
      </w:r>
      <w:r>
        <w:t xml:space="preserve"> </w:t>
      </w:r>
    </w:p>
    <w:p>
      <w:pPr>
        <w:pStyle w:val="BlockText"/>
      </w:pPr>
      <w:r>
        <w:t xml:space="preserve">$$</w:t>
      </w:r>
    </w:p>
    <w:p>
      <w:pPr>
        <w:pStyle w:val="BlockText"/>
      </w:pPr>
      <w:r>
        <w:t xml:space="preserve">Esta condição decorre diretamente da homogeneidade de grau zero da demanda.</w:t>
      </w:r>
    </w:p>
    <w:p>
      <w:pPr>
        <w:pStyle w:val="BlockText"/>
      </w:pPr>
      <w:r>
        <w:rPr>
          <w:b/>
          <w:bCs/>
        </w:rPr>
        <w:t xml:space="preserve">[TEOREMA] Simetria de Slutsky (em termos de elasticidades)</w:t>
      </w:r>
    </w:p>
    <w:p>
      <w:pPr>
        <w:pStyle w:val="BlockText"/>
      </w:pPr>
      <w:r>
        <w:t xml:space="preserve">Definindo a elasticidade de substituição compensada</w:t>
      </w:r>
      <w:r>
        <w:t xml:space="preserve"> </w:t>
      </w:r>
      <m:oMath>
        <m:sSub>
          <m:e>
            <m:r>
              <m:t>s</m:t>
            </m:r>
          </m:e>
          <m:sub>
            <m:r>
              <m:t>i</m:t>
            </m:r>
            <m:r>
              <m:t>j</m:t>
            </m:r>
          </m:sub>
        </m:sSub>
        <m:r>
          <m:rPr>
            <m:sty m:val="p"/>
          </m:rPr>
          <m:t>=</m:t>
        </m:r>
        <m:sSubSup>
          <m:e>
            <m:r>
              <m:t>ε</m:t>
            </m:r>
          </m:e>
          <m:sub>
            <m:sSub>
              <m:e>
                <m:r>
                  <m:t>x</m:t>
                </m:r>
              </m:e>
              <m:sub>
                <m:r>
                  <m:t>i</m:t>
                </m:r>
              </m:sub>
            </m:sSub>
            <m:r>
              <m:rPr>
                <m:sty m:val="p"/>
              </m:rPr>
              <m:t>,</m:t>
            </m:r>
            <m:sSub>
              <m:e>
                <m:r>
                  <m:t>p</m:t>
                </m:r>
              </m:e>
              <m:sub>
                <m:r>
                  <m:t>j</m:t>
                </m:r>
              </m:sub>
            </m:sSub>
          </m:sub>
          <m:sup>
            <m:r>
              <m:t>h</m:t>
            </m:r>
          </m:sup>
        </m:sSubSup>
      </m:oMath>
      <w:r>
        <w:t xml:space="preserve">, a simetria impõe:</w:t>
      </w:r>
    </w:p>
    <w:p>
      <w:pPr>
        <w:pStyle w:val="BlockText"/>
      </w:pPr>
      <w:r>
        <w:t xml:space="preserve">$$</w:t>
      </w:r>
    </w:p>
    <w:p>
      <w:pPr>
        <w:pStyle w:val="BlockText"/>
      </w:pPr>
      <w:r>
        <w:t xml:space="preserve">w_i , s_{ij} = w_j , s_{ji}</w:t>
      </w:r>
      <w:r>
        <w:t xml:space="preserve"> </w:t>
      </w:r>
      <w:r>
        <w:t xml:space="preserve"> </w:t>
      </w:r>
    </w:p>
    <w:p>
      <w:pPr>
        <w:pStyle w:val="BlockText"/>
      </w:pPr>
      <w:r>
        <w:t xml:space="preserve">$$</w:t>
      </w:r>
    </w:p>
    <w:bookmarkEnd w:id="258"/>
    <w:bookmarkStart w:id="259" w:name="elasticidades-estimadas-para-o-brasil"/>
    <w:p>
      <w:pPr>
        <w:pStyle w:val="Heading4"/>
      </w:pPr>
      <w:r>
        <w:t xml:space="preserve">5.7.5 Elasticidades estimadas para o Brasil</w:t>
      </w:r>
    </w:p>
    <w:p>
      <w:pPr>
        <w:pStyle w:val="FirstParagraph"/>
      </w:pPr>
      <w:r>
        <w:t xml:space="preserve">As relações de agregação acima não são apenas curiosidades teóricas — elas podem ser usadas para verificar a consistência de estimativas empíricas e para inferir elasticidades desconhecidas a partir de elasticidades estimadas, como ilustra o Exercício Resolvido 5.1 adiante. Essa propriedade de interdependência tem implicações práticas: em pesquisas que estimam sistemas de demanda com poucos graus de liberdade, as condições de Engel e Cournot permitem</w:t>
      </w:r>
      <w:r>
        <w:t xml:space="preserve"> </w:t>
      </w:r>
      <w:r>
        <w:t xml:space="preserve">“emprestar”</w:t>
      </w:r>
      <w:r>
        <w:t xml:space="preserve"> </w:t>
      </w:r>
      <w:r>
        <w:t xml:space="preserve">informação de um bem para refinar a estimação de outro. A</w:t>
      </w:r>
      <w:r>
        <w:t xml:space="preserve"> </w:t>
      </w:r>
      <w:hyperlink w:anchor="tabela-5-2">
        <w:r>
          <w:rPr>
            <w:rStyle w:val="Hyperlink"/>
          </w:rPr>
          <w:t xml:space="preserve">Tabela 5.2</w:t>
        </w:r>
      </w:hyperlink>
      <w:r>
        <w:t xml:space="preserve"> </w:t>
      </w:r>
      <w:r>
        <w:t xml:space="preserve">apresenta estimativas de elasticidades-preço e elasticidade-renda para categorias selecionadas de bens no Brasil, com base em estudos da POF/IBGE e pesquisas do IPEA.</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Categoria de Bem</w:t>
            </w:r>
          </w:p>
        </w:tc>
        <w:tc>
          <w:tcPr/>
          <w:p>
            <w:pPr>
              <w:pStyle w:val="Compact"/>
              <w:jc w:val="center"/>
            </w:pPr>
            <w:r>
              <w:t xml:space="preserve">Elasticidade-preço (</w:t>
            </w:r>
            <m:oMath>
              <m:sSub>
                <m:e>
                  <m:r>
                    <m:t>ε</m:t>
                  </m:r>
                </m:e>
                <m:sub>
                  <m:r>
                    <m:t>x</m:t>
                  </m:r>
                  <m:r>
                    <m:rPr>
                      <m:sty m:val="p"/>
                    </m:rPr>
                    <m:t>,</m:t>
                  </m:r>
                  <m:r>
                    <m:t>p</m:t>
                  </m:r>
                </m:sub>
              </m:sSub>
            </m:oMath>
            <w:r>
              <w:t xml:space="preserve">)</w:t>
            </w:r>
          </w:p>
        </w:tc>
        <w:tc>
          <w:tcPr/>
          <w:p>
            <w:pPr>
              <w:pStyle w:val="Compact"/>
              <w:jc w:val="center"/>
            </w:pPr>
            <w:r>
              <w:t xml:space="preserve">Elasticidade-renda (</w:t>
            </w:r>
            <m:oMath>
              <m:sSub>
                <m:e>
                  <m:r>
                    <m:t>ε</m:t>
                  </m:r>
                </m:e>
                <m:sub>
                  <m:r>
                    <m:t>x</m:t>
                  </m:r>
                  <m:r>
                    <m:rPr>
                      <m:sty m:val="p"/>
                    </m:rPr>
                    <m:t>,</m:t>
                  </m:r>
                  <m:r>
                    <m:t>I</m:t>
                  </m:r>
                </m:sub>
              </m:sSub>
            </m:oMath>
            <w:r>
              <w:t xml:space="preserve">)</w:t>
            </w:r>
          </w:p>
        </w:tc>
        <w:tc>
          <w:tcPr/>
          <w:p>
            <w:pPr>
              <w:pStyle w:val="Compact"/>
              <w:jc w:val="left"/>
            </w:pPr>
            <w:r>
              <w:t xml:space="preserve">Classificação</w:t>
            </w:r>
          </w:p>
        </w:tc>
      </w:tr>
      <w:tr>
        <w:tc>
          <w:tcPr/>
          <w:p>
            <w:pPr>
              <w:pStyle w:val="Compact"/>
              <w:jc w:val="left"/>
            </w:pPr>
            <w:r>
              <w:t xml:space="preserve">Alimentação no domicílio</w:t>
            </w:r>
          </w:p>
        </w:tc>
        <w:tc>
          <w:tcPr/>
          <w:p>
            <w:pPr>
              <w:pStyle w:val="Compact"/>
              <w:jc w:val="center"/>
            </w:pPr>
            <m:oMath>
              <m:r>
                <m:rPr>
                  <m:sty m:val="p"/>
                </m:rPr>
                <m:t>−</m:t>
              </m:r>
              <m:r>
                <m:t>0</m:t>
              </m:r>
              <m:r>
                <m:rPr>
                  <m:sty m:val="p"/>
                </m:rPr>
                <m:t>,</m:t>
              </m:r>
              <m:r>
                <m:t>45</m:t>
              </m:r>
            </m:oMath>
          </w:p>
        </w:tc>
        <w:tc>
          <w:tcPr/>
          <w:p>
            <w:pPr>
              <w:pStyle w:val="Compact"/>
              <w:jc w:val="center"/>
            </w:pPr>
            <m:oMath>
              <m:r>
                <m:t>0</m:t>
              </m:r>
              <m:r>
                <m:rPr>
                  <m:sty m:val="p"/>
                </m:rPr>
                <m:t>,</m:t>
              </m:r>
              <m:r>
                <m:t>56</m:t>
              </m:r>
            </m:oMath>
          </w:p>
        </w:tc>
        <w:tc>
          <w:tcPr/>
          <w:p>
            <w:pPr>
              <w:pStyle w:val="Compact"/>
              <w:jc w:val="left"/>
            </w:pPr>
            <w:r>
              <w:t xml:space="preserve">Inelástica; necessidade</w:t>
            </w:r>
          </w:p>
        </w:tc>
      </w:tr>
      <w:tr>
        <w:tc>
          <w:tcPr/>
          <w:p>
            <w:pPr>
              <w:pStyle w:val="Compact"/>
              <w:jc w:val="left"/>
            </w:pPr>
            <w:r>
              <w:t xml:space="preserve">Alimentação fora do domicílio</w:t>
            </w:r>
          </w:p>
        </w:tc>
        <w:tc>
          <w:tcPr/>
          <w:p>
            <w:pPr>
              <w:pStyle w:val="Compact"/>
              <w:jc w:val="center"/>
            </w:pPr>
            <m:oMath>
              <m:r>
                <m:rPr>
                  <m:sty m:val="p"/>
                </m:rPr>
                <m:t>−</m:t>
              </m:r>
              <m:r>
                <m:t>0</m:t>
              </m:r>
              <m:r>
                <m:rPr>
                  <m:sty m:val="p"/>
                </m:rPr>
                <m:t>,</m:t>
              </m:r>
              <m:r>
                <m:t>78</m:t>
              </m:r>
            </m:oMath>
          </w:p>
        </w:tc>
        <w:tc>
          <w:tcPr/>
          <w:p>
            <w:pPr>
              <w:pStyle w:val="Compact"/>
              <w:jc w:val="center"/>
            </w:pPr>
            <m:oMath>
              <m:r>
                <m:t>1</m:t>
              </m:r>
              <m:r>
                <m:rPr>
                  <m:sty m:val="p"/>
                </m:rPr>
                <m:t>,</m:t>
              </m:r>
              <m:r>
                <m:t>25</m:t>
              </m:r>
            </m:oMath>
          </w:p>
        </w:tc>
        <w:tc>
          <w:tcPr/>
          <w:p>
            <w:pPr>
              <w:pStyle w:val="Compact"/>
              <w:jc w:val="left"/>
            </w:pPr>
            <w:r>
              <w:t xml:space="preserve">Inelástica; luxo</w:t>
            </w:r>
          </w:p>
        </w:tc>
      </w:tr>
      <w:tr>
        <w:tc>
          <w:tcPr/>
          <w:p>
            <w:pPr>
              <w:pStyle w:val="Compact"/>
              <w:jc w:val="left"/>
            </w:pPr>
            <w:r>
              <w:t xml:space="preserve">Transporte público</w:t>
            </w:r>
          </w:p>
        </w:tc>
        <w:tc>
          <w:tcPr/>
          <w:p>
            <w:pPr>
              <w:pStyle w:val="Compact"/>
              <w:jc w:val="center"/>
            </w:pPr>
            <m:oMath>
              <m:r>
                <m:rPr>
                  <m:sty m:val="p"/>
                </m:rPr>
                <m:t>−</m:t>
              </m:r>
              <m:r>
                <m:t>0</m:t>
              </m:r>
              <m:r>
                <m:rPr>
                  <m:sty m:val="p"/>
                </m:rPr>
                <m:t>,</m:t>
              </m:r>
              <m:r>
                <m:t>32</m:t>
              </m:r>
            </m:oMath>
          </w:p>
        </w:tc>
        <w:tc>
          <w:tcPr/>
          <w:p>
            <w:pPr>
              <w:pStyle w:val="Compact"/>
              <w:jc w:val="center"/>
            </w:pPr>
            <m:oMath>
              <m:r>
                <m:rPr>
                  <m:sty m:val="p"/>
                </m:rPr>
                <m:t>−</m:t>
              </m:r>
              <m:r>
                <m:t>0</m:t>
              </m:r>
              <m:r>
                <m:rPr>
                  <m:sty m:val="p"/>
                </m:rPr>
                <m:t>,</m:t>
              </m:r>
              <m:r>
                <m:t>18</m:t>
              </m:r>
            </m:oMath>
          </w:p>
        </w:tc>
        <w:tc>
          <w:tcPr/>
          <w:p>
            <w:pPr>
              <w:pStyle w:val="Compact"/>
              <w:jc w:val="left"/>
            </w:pPr>
            <w:r>
              <w:t xml:space="preserve">Inelástica; inferior</w:t>
            </w:r>
          </w:p>
        </w:tc>
      </w:tr>
      <w:tr>
        <w:tc>
          <w:tcPr/>
          <w:p>
            <w:pPr>
              <w:pStyle w:val="Compact"/>
              <w:jc w:val="left"/>
            </w:pPr>
            <w:r>
              <w:t xml:space="preserve">Combustíveis (gasolina)</w:t>
            </w:r>
          </w:p>
        </w:tc>
        <w:tc>
          <w:tcPr/>
          <w:p>
            <w:pPr>
              <w:pStyle w:val="Compact"/>
              <w:jc w:val="center"/>
            </w:pPr>
            <m:oMath>
              <m:r>
                <m:rPr>
                  <m:sty m:val="p"/>
                </m:rPr>
                <m:t>−</m:t>
              </m:r>
              <m:r>
                <m:t>0</m:t>
              </m:r>
              <m:r>
                <m:rPr>
                  <m:sty m:val="p"/>
                </m:rPr>
                <m:t>,</m:t>
              </m:r>
              <m:r>
                <m:t>46</m:t>
              </m:r>
            </m:oMath>
          </w:p>
        </w:tc>
        <w:tc>
          <w:tcPr/>
          <w:p>
            <w:pPr>
              <w:pStyle w:val="Compact"/>
              <w:jc w:val="center"/>
            </w:pPr>
            <m:oMath>
              <m:r>
                <m:t>0</m:t>
              </m:r>
              <m:r>
                <m:rPr>
                  <m:sty m:val="p"/>
                </m:rPr>
                <m:t>,</m:t>
              </m:r>
              <m:r>
                <m:t>68</m:t>
              </m:r>
            </m:oMath>
          </w:p>
        </w:tc>
        <w:tc>
          <w:tcPr/>
          <w:p>
            <w:pPr>
              <w:pStyle w:val="Compact"/>
              <w:jc w:val="left"/>
            </w:pPr>
            <w:r>
              <w:t xml:space="preserve">Inelástica; necessidade</w:t>
            </w:r>
          </w:p>
        </w:tc>
      </w:tr>
      <w:tr>
        <w:tc>
          <w:tcPr/>
          <w:p>
            <w:pPr>
              <w:pStyle w:val="Compact"/>
              <w:jc w:val="left"/>
            </w:pPr>
            <w:r>
              <w:t xml:space="preserve">Saúde (planos e medicamentos)</w:t>
            </w:r>
          </w:p>
        </w:tc>
        <w:tc>
          <w:tcPr/>
          <w:p>
            <w:pPr>
              <w:pStyle w:val="Compact"/>
              <w:jc w:val="center"/>
            </w:pPr>
            <m:oMath>
              <m:r>
                <m:rPr>
                  <m:sty m:val="p"/>
                </m:rPr>
                <m:t>−</m:t>
              </m:r>
              <m:r>
                <m:t>0</m:t>
              </m:r>
              <m:r>
                <m:rPr>
                  <m:sty m:val="p"/>
                </m:rPr>
                <m:t>,</m:t>
              </m:r>
              <m:r>
                <m:t>21</m:t>
              </m:r>
            </m:oMath>
          </w:p>
        </w:tc>
        <w:tc>
          <w:tcPr/>
          <w:p>
            <w:pPr>
              <w:pStyle w:val="Compact"/>
              <w:jc w:val="center"/>
            </w:pPr>
            <m:oMath>
              <m:r>
                <m:t>1</m:t>
              </m:r>
              <m:r>
                <m:rPr>
                  <m:sty m:val="p"/>
                </m:rPr>
                <m:t>,</m:t>
              </m:r>
              <m:r>
                <m:t>35</m:t>
              </m:r>
            </m:oMath>
          </w:p>
        </w:tc>
        <w:tc>
          <w:tcPr/>
          <w:p>
            <w:pPr>
              <w:pStyle w:val="Compact"/>
              <w:jc w:val="left"/>
            </w:pPr>
            <w:r>
              <w:t xml:space="preserve">Muito inelástica; luxo</w:t>
            </w:r>
          </w:p>
        </w:tc>
      </w:tr>
      <w:tr>
        <w:tc>
          <w:tcPr/>
          <w:p>
            <w:pPr>
              <w:pStyle w:val="Compact"/>
              <w:jc w:val="left"/>
            </w:pPr>
            <w:r>
              <w:t xml:space="preserve">Educação privada</w:t>
            </w:r>
          </w:p>
        </w:tc>
        <w:tc>
          <w:tcPr/>
          <w:p>
            <w:pPr>
              <w:pStyle w:val="Compact"/>
              <w:jc w:val="center"/>
            </w:pPr>
            <m:oMath>
              <m:r>
                <m:rPr>
                  <m:sty m:val="p"/>
                </m:rPr>
                <m:t>−</m:t>
              </m:r>
              <m:r>
                <m:t>0</m:t>
              </m:r>
              <m:r>
                <m:rPr>
                  <m:sty m:val="p"/>
                </m:rPr>
                <m:t>,</m:t>
              </m:r>
              <m:r>
                <m:t>38</m:t>
              </m:r>
            </m:oMath>
          </w:p>
        </w:tc>
        <w:tc>
          <w:tcPr/>
          <w:p>
            <w:pPr>
              <w:pStyle w:val="Compact"/>
              <w:jc w:val="center"/>
            </w:pPr>
            <m:oMath>
              <m:r>
                <m:t>1</m:t>
              </m:r>
              <m:r>
                <m:rPr>
                  <m:sty m:val="p"/>
                </m:rPr>
                <m:t>,</m:t>
              </m:r>
              <m:r>
                <m:t>48</m:t>
              </m:r>
            </m:oMath>
          </w:p>
        </w:tc>
        <w:tc>
          <w:tcPr/>
          <w:p>
            <w:pPr>
              <w:pStyle w:val="Compact"/>
              <w:jc w:val="left"/>
            </w:pPr>
            <w:r>
              <w:t xml:space="preserve">Inelástica; luxo</w:t>
            </w:r>
          </w:p>
        </w:tc>
      </w:tr>
      <w:tr>
        <w:tc>
          <w:tcPr/>
          <w:p>
            <w:pPr>
              <w:pStyle w:val="Compact"/>
              <w:jc w:val="left"/>
            </w:pPr>
            <w:r>
              <w:t xml:space="preserve">Vestuário</w:t>
            </w:r>
          </w:p>
        </w:tc>
        <w:tc>
          <w:tcPr/>
          <w:p>
            <w:pPr>
              <w:pStyle w:val="Compact"/>
              <w:jc w:val="center"/>
            </w:pPr>
            <m:oMath>
              <m:r>
                <m:rPr>
                  <m:sty m:val="p"/>
                </m:rPr>
                <m:t>−</m:t>
              </m:r>
              <m:r>
                <m:t>0</m:t>
              </m:r>
              <m:r>
                <m:rPr>
                  <m:sty m:val="p"/>
                </m:rPr>
                <m:t>,</m:t>
              </m:r>
              <m:r>
                <m:t>92</m:t>
              </m:r>
            </m:oMath>
          </w:p>
        </w:tc>
        <w:tc>
          <w:tcPr/>
          <w:p>
            <w:pPr>
              <w:pStyle w:val="Compact"/>
              <w:jc w:val="center"/>
            </w:pPr>
            <m:oMath>
              <m:r>
                <m:t>1</m:t>
              </m:r>
              <m:r>
                <m:rPr>
                  <m:sty m:val="p"/>
                </m:rPr>
                <m:t>,</m:t>
              </m:r>
              <m:r>
                <m:t>10</m:t>
              </m:r>
            </m:oMath>
          </w:p>
        </w:tc>
        <w:tc>
          <w:tcPr/>
          <w:p>
            <w:pPr>
              <w:pStyle w:val="Compact"/>
              <w:jc w:val="left"/>
            </w:pPr>
            <w:r>
              <w:t xml:space="preserve">Quase unitária; luxo</w:t>
            </w:r>
          </w:p>
        </w:tc>
      </w:tr>
      <w:tr>
        <w:tc>
          <w:tcPr/>
          <w:p>
            <w:pPr>
              <w:pStyle w:val="Compact"/>
              <w:jc w:val="left"/>
            </w:pPr>
            <w:r>
              <w:t xml:space="preserve">Habitação (aluguel)</w:t>
            </w:r>
          </w:p>
        </w:tc>
        <w:tc>
          <w:tcPr/>
          <w:p>
            <w:pPr>
              <w:pStyle w:val="Compact"/>
              <w:jc w:val="center"/>
            </w:pPr>
            <m:oMath>
              <m:r>
                <m:rPr>
                  <m:sty m:val="p"/>
                </m:rPr>
                <m:t>−</m:t>
              </m:r>
              <m:r>
                <m:t>0</m:t>
              </m:r>
              <m:r>
                <m:rPr>
                  <m:sty m:val="p"/>
                </m:rPr>
                <m:t>,</m:t>
              </m:r>
              <m:r>
                <m:t>30</m:t>
              </m:r>
            </m:oMath>
          </w:p>
        </w:tc>
        <w:tc>
          <w:tcPr/>
          <w:p>
            <w:pPr>
              <w:pStyle w:val="Compact"/>
              <w:jc w:val="center"/>
            </w:pPr>
            <m:oMath>
              <m:r>
                <m:t>0</m:t>
              </m:r>
              <m:r>
                <m:rPr>
                  <m:sty m:val="p"/>
                </m:rPr>
                <m:t>,</m:t>
              </m:r>
              <m:r>
                <m:t>85</m:t>
              </m:r>
            </m:oMath>
          </w:p>
        </w:tc>
        <w:tc>
          <w:tcPr/>
          <w:p>
            <w:pPr>
              <w:pStyle w:val="Compact"/>
              <w:jc w:val="left"/>
            </w:pPr>
            <w:r>
              <w:t xml:space="preserve">Inelástica; necessidade</w:t>
            </w:r>
          </w:p>
        </w:tc>
      </w:tr>
      <w:tr>
        <w:tc>
          <w:tcPr/>
          <w:p>
            <w:pPr>
              <w:pStyle w:val="Compact"/>
              <w:jc w:val="left"/>
            </w:pPr>
            <w:r>
              <w:t xml:space="preserve">Eletrodomésticos</w:t>
            </w:r>
          </w:p>
        </w:tc>
        <w:tc>
          <w:tcPr/>
          <w:p>
            <w:pPr>
              <w:pStyle w:val="Compact"/>
              <w:jc w:val="center"/>
            </w:pPr>
            <m:oMath>
              <m:r>
                <m:rPr>
                  <m:sty m:val="p"/>
                </m:rPr>
                <m:t>−</m:t>
              </m:r>
              <m:r>
                <m:t>1</m:t>
              </m:r>
              <m:r>
                <m:rPr>
                  <m:sty m:val="p"/>
                </m:rPr>
                <m:t>,</m:t>
              </m:r>
              <m:r>
                <m:t>15</m:t>
              </m:r>
            </m:oMath>
          </w:p>
        </w:tc>
        <w:tc>
          <w:tcPr/>
          <w:p>
            <w:pPr>
              <w:pStyle w:val="Compact"/>
              <w:jc w:val="center"/>
            </w:pPr>
            <m:oMath>
              <m:r>
                <m:t>1</m:t>
              </m:r>
              <m:r>
                <m:rPr>
                  <m:sty m:val="p"/>
                </m:rPr>
                <m:t>,</m:t>
              </m:r>
              <m:r>
                <m:t>52</m:t>
              </m:r>
            </m:oMath>
          </w:p>
        </w:tc>
        <w:tc>
          <w:tcPr/>
          <w:p>
            <w:pPr>
              <w:pStyle w:val="Compact"/>
              <w:jc w:val="left"/>
            </w:pPr>
            <w:r>
              <w:t xml:space="preserve">Elástica; luxo</w:t>
            </w:r>
          </w:p>
        </w:tc>
      </w:tr>
      <w:tr>
        <w:tc>
          <w:tcPr/>
          <w:p>
            <w:pPr>
              <w:pStyle w:val="Compact"/>
              <w:jc w:val="left"/>
            </w:pPr>
            <w:r>
              <w:t xml:space="preserve">Cigarros e tabaco</w:t>
            </w:r>
          </w:p>
        </w:tc>
        <w:tc>
          <w:tcPr/>
          <w:p>
            <w:pPr>
              <w:pStyle w:val="Compact"/>
              <w:jc w:val="center"/>
            </w:pPr>
            <m:oMath>
              <m:r>
                <m:rPr>
                  <m:sty m:val="p"/>
                </m:rPr>
                <m:t>−</m:t>
              </m:r>
              <m:r>
                <m:t>0</m:t>
              </m:r>
              <m:r>
                <m:rPr>
                  <m:sty m:val="p"/>
                </m:rPr>
                <m:t>,</m:t>
              </m:r>
              <m:r>
                <m:t>35</m:t>
              </m:r>
            </m:oMath>
          </w:p>
        </w:tc>
        <w:tc>
          <w:tcPr/>
          <w:p>
            <w:pPr>
              <w:pStyle w:val="Compact"/>
              <w:jc w:val="center"/>
            </w:pPr>
            <m:oMath>
              <m:r>
                <m:t>0</m:t>
              </m:r>
              <m:r>
                <m:rPr>
                  <m:sty m:val="p"/>
                </m:rPr>
                <m:t>,</m:t>
              </m:r>
              <m:r>
                <m:t>25</m:t>
              </m:r>
            </m:oMath>
          </w:p>
        </w:tc>
        <w:tc>
          <w:tcPr/>
          <w:p>
            <w:pPr>
              <w:pStyle w:val="Compact"/>
              <w:jc w:val="left"/>
            </w:pPr>
            <w:r>
              <w:t xml:space="preserve">Inelástica; necessidade</w:t>
            </w:r>
          </w:p>
        </w:tc>
      </w:tr>
    </w:tbl>
    <w:p>
      <w:pPr>
        <w:pStyle w:val="BodyText"/>
      </w:pPr>
      <w:r>
        <w:rPr>
          <w:b/>
          <w:bCs/>
        </w:rPr>
        <w:t xml:space="preserve">Tabela 5.2 — Elasticidades estimadas para o Brasil.</w:t>
      </w:r>
      <w:r>
        <w:t xml:space="preserve"> </w:t>
      </w:r>
      <w:r>
        <w:t xml:space="preserve">Fontes: POF/IBGE (2017-2018); Almeida e Azzoni (2016); Cardoso et al. (2019); Notas Técnicas IPEA.</w:t>
      </w:r>
    </w:p>
    <w:p>
      <w:pPr>
        <w:pStyle w:val="BlockText"/>
      </w:pPr>
      <w:r>
        <w:rPr>
          <w:b/>
          <w:bCs/>
        </w:rPr>
        <w:t xml:space="preserve">[NOTA] Observações sobre a tabela</w:t>
      </w:r>
    </w:p>
    <w:p>
      <w:pPr>
        <w:pStyle w:val="BlockText"/>
      </w:pPr>
      <w:r>
        <w:t xml:space="preserve">A classificação como</w:t>
      </w:r>
      <w:r>
        <w:t xml:space="preserve"> </w:t>
      </w:r>
      <w:r>
        <w:t xml:space="preserve">“luxo”</w:t>
      </w:r>
      <w:r>
        <w:t xml:space="preserve"> </w:t>
      </w:r>
      <w:r>
        <w:t xml:space="preserve">ou</w:t>
      </w:r>
      <w:r>
        <w:t xml:space="preserve"> </w:t>
      </w:r>
      <w:r>
        <w:t xml:space="preserve">“necessidade”</w:t>
      </w:r>
      <w:r>
        <w:t xml:space="preserve"> </w:t>
      </w:r>
      <w:r>
        <w:t xml:space="preserve">refere-se à elasticidade-renda, enquanto</w:t>
      </w:r>
      <w:r>
        <w:t xml:space="preserve"> </w:t>
      </w:r>
      <w:r>
        <w:t xml:space="preserve">“elástica”</w:t>
      </w:r>
      <w:r>
        <w:t xml:space="preserve"> </w:t>
      </w:r>
      <w:r>
        <w:t xml:space="preserve">ou</w:t>
      </w:r>
      <w:r>
        <w:t xml:space="preserve"> </w:t>
      </w:r>
      <w:r>
        <w:t xml:space="preserve">“inelástica”</w:t>
      </w:r>
      <w:r>
        <w:t xml:space="preserve"> </w:t>
      </w:r>
      <w:r>
        <w:t xml:space="preserve">refere-se à elasticidade-preço. Note que saúde e educação, embora essenciais, apresentam elasticidade-renda elevada no Brasil — fenômeno associado à migração de serviços públicos para privados conforme a renda cresce.</w:t>
      </w:r>
    </w:p>
    <w:p>
      <w:pPr>
        <w:pStyle w:val="BlockText"/>
      </w:pPr>
      <w:r>
        <w:rPr>
          <w:b/>
          <w:bCs/>
        </w:rPr>
        <w:t xml:space="preserve">[BOX BRASIL] Brasil na Prática — Elasticidades-preço de alimentos (POF 2017–2018)</w:t>
      </w:r>
    </w:p>
    <w:p>
      <w:pPr>
        <w:pStyle w:val="BlockText"/>
      </w:pPr>
      <w:r>
        <w:t xml:space="preserve">A tabela abaixo sintetiza estimativas de elasticidade-preço da demanda para categorias selecionadas de alimentos, obtidas a partir dos microdados da POF 2017–2018 (IBGE) usando sistemas de demanda do tipo AIDS (</w:t>
      </w:r>
      <w:r>
        <w:rPr>
          <w:i/>
          <w:iCs/>
        </w:rPr>
        <w:t xml:space="preserve">Almost Ideal Demand System</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Categoria</w:t>
            </w:r>
          </w:p>
        </w:tc>
        <w:tc>
          <w:tcPr/>
          <w:p>
            <w:pPr>
              <w:pStyle w:val="Compact"/>
              <w:jc w:val="center"/>
            </w:pPr>
            <w:r>
              <w:t xml:space="preserve">Elasticidade-preço</w:t>
            </w:r>
          </w:p>
        </w:tc>
        <w:tc>
          <w:tcPr/>
          <w:p>
            <w:pPr>
              <w:pStyle w:val="Compact"/>
            </w:pPr>
            <w:r>
              <w:t xml:space="preserve">Classificação</w:t>
            </w:r>
          </w:p>
        </w:tc>
      </w:tr>
      <w:tr>
        <w:tc>
          <w:tcPr/>
          <w:p>
            <w:pPr>
              <w:pStyle w:val="Compact"/>
            </w:pPr>
            <w:r>
              <w:t xml:space="preserve">Arroz</w:t>
            </w:r>
          </w:p>
        </w:tc>
        <w:tc>
          <w:tcPr/>
          <w:p>
            <w:pPr>
              <w:pStyle w:val="Compact"/>
              <w:jc w:val="center"/>
            </w:pPr>
            <w:r>
              <w:t xml:space="preserve">−0,45</w:t>
            </w:r>
          </w:p>
        </w:tc>
        <w:tc>
          <w:tcPr/>
          <w:p>
            <w:pPr>
              <w:pStyle w:val="Compact"/>
            </w:pPr>
            <w:r>
              <w:t xml:space="preserve">Inelástica</w:t>
            </w:r>
          </w:p>
        </w:tc>
      </w:tr>
      <w:tr>
        <w:tc>
          <w:tcPr/>
          <w:p>
            <w:pPr>
              <w:pStyle w:val="Compact"/>
            </w:pPr>
            <w:r>
              <w:t xml:space="preserve">Feijão</w:t>
            </w:r>
          </w:p>
        </w:tc>
        <w:tc>
          <w:tcPr/>
          <w:p>
            <w:pPr>
              <w:pStyle w:val="Compact"/>
              <w:jc w:val="center"/>
            </w:pPr>
            <w:r>
              <w:t xml:space="preserve">−0,52</w:t>
            </w:r>
          </w:p>
        </w:tc>
        <w:tc>
          <w:tcPr/>
          <w:p>
            <w:pPr>
              <w:pStyle w:val="Compact"/>
            </w:pPr>
            <w:r>
              <w:t xml:space="preserve">Inelástica</w:t>
            </w:r>
          </w:p>
        </w:tc>
      </w:tr>
      <w:tr>
        <w:tc>
          <w:tcPr/>
          <w:p>
            <w:pPr>
              <w:pStyle w:val="Compact"/>
            </w:pPr>
            <w:r>
              <w:t xml:space="preserve">Carne bovina (1ª)</w:t>
            </w:r>
          </w:p>
        </w:tc>
        <w:tc>
          <w:tcPr/>
          <w:p>
            <w:pPr>
              <w:pStyle w:val="Compact"/>
              <w:jc w:val="center"/>
            </w:pPr>
            <w:r>
              <w:t xml:space="preserve">−0,78</w:t>
            </w:r>
          </w:p>
        </w:tc>
        <w:tc>
          <w:tcPr/>
          <w:p>
            <w:pPr>
              <w:pStyle w:val="Compact"/>
            </w:pPr>
            <w:r>
              <w:t xml:space="preserve">Inelástica</w:t>
            </w:r>
          </w:p>
        </w:tc>
      </w:tr>
      <w:tr>
        <w:tc>
          <w:tcPr/>
          <w:p>
            <w:pPr>
              <w:pStyle w:val="Compact"/>
            </w:pPr>
            <w:r>
              <w:t xml:space="preserve">Carne bovina (2ª)</w:t>
            </w:r>
          </w:p>
        </w:tc>
        <w:tc>
          <w:tcPr/>
          <w:p>
            <w:pPr>
              <w:pStyle w:val="Compact"/>
              <w:jc w:val="center"/>
            </w:pPr>
            <w:r>
              <w:t xml:space="preserve">−1,05</w:t>
            </w:r>
          </w:p>
        </w:tc>
        <w:tc>
          <w:tcPr/>
          <w:p>
            <w:pPr>
              <w:pStyle w:val="Compact"/>
            </w:pPr>
            <w:r>
              <w:t xml:space="preserve">Elástica</w:t>
            </w:r>
          </w:p>
        </w:tc>
      </w:tr>
      <w:tr>
        <w:tc>
          <w:tcPr/>
          <w:p>
            <w:pPr>
              <w:pStyle w:val="Compact"/>
            </w:pPr>
            <w:r>
              <w:t xml:space="preserve">Frango</w:t>
            </w:r>
          </w:p>
        </w:tc>
        <w:tc>
          <w:tcPr/>
          <w:p>
            <w:pPr>
              <w:pStyle w:val="Compact"/>
              <w:jc w:val="center"/>
            </w:pPr>
            <w:r>
              <w:t xml:space="preserve">−0,62</w:t>
            </w:r>
          </w:p>
        </w:tc>
        <w:tc>
          <w:tcPr/>
          <w:p>
            <w:pPr>
              <w:pStyle w:val="Compact"/>
            </w:pPr>
            <w:r>
              <w:t xml:space="preserve">Inelástica</w:t>
            </w:r>
          </w:p>
        </w:tc>
      </w:tr>
      <w:tr>
        <w:tc>
          <w:tcPr/>
          <w:p>
            <w:pPr>
              <w:pStyle w:val="Compact"/>
            </w:pPr>
            <w:r>
              <w:t xml:space="preserve">Leite</w:t>
            </w:r>
          </w:p>
        </w:tc>
        <w:tc>
          <w:tcPr/>
          <w:p>
            <w:pPr>
              <w:pStyle w:val="Compact"/>
              <w:jc w:val="center"/>
            </w:pPr>
            <w:r>
              <w:t xml:space="preserve">−0,55</w:t>
            </w:r>
          </w:p>
        </w:tc>
        <w:tc>
          <w:tcPr/>
          <w:p>
            <w:pPr>
              <w:pStyle w:val="Compact"/>
            </w:pPr>
            <w:r>
              <w:t xml:space="preserve">Inelástica</w:t>
            </w:r>
          </w:p>
        </w:tc>
      </w:tr>
      <w:tr>
        <w:tc>
          <w:tcPr/>
          <w:p>
            <w:pPr>
              <w:pStyle w:val="Compact"/>
            </w:pPr>
            <w:r>
              <w:t xml:space="preserve">Frutas</w:t>
            </w:r>
          </w:p>
        </w:tc>
        <w:tc>
          <w:tcPr/>
          <w:p>
            <w:pPr>
              <w:pStyle w:val="Compact"/>
              <w:jc w:val="center"/>
            </w:pPr>
            <w:r>
              <w:t xml:space="preserve">−1,20</w:t>
            </w:r>
          </w:p>
        </w:tc>
        <w:tc>
          <w:tcPr/>
          <w:p>
            <w:pPr>
              <w:pStyle w:val="Compact"/>
            </w:pPr>
            <w:r>
              <w:t xml:space="preserve">Elástica</w:t>
            </w:r>
          </w:p>
        </w:tc>
      </w:tr>
      <w:tr>
        <w:tc>
          <w:tcPr/>
          <w:p>
            <w:pPr>
              <w:pStyle w:val="Compact"/>
            </w:pPr>
            <w:r>
              <w:t xml:space="preserve">Refrigerante</w:t>
            </w:r>
          </w:p>
        </w:tc>
        <w:tc>
          <w:tcPr/>
          <w:p>
            <w:pPr>
              <w:pStyle w:val="Compact"/>
              <w:jc w:val="center"/>
            </w:pPr>
            <w:r>
              <w:t xml:space="preserve">−1,35</w:t>
            </w:r>
          </w:p>
        </w:tc>
        <w:tc>
          <w:tcPr/>
          <w:p>
            <w:pPr>
              <w:pStyle w:val="Compact"/>
            </w:pPr>
            <w:r>
              <w:t xml:space="preserve">Elástica</w:t>
            </w:r>
          </w:p>
        </w:tc>
      </w:tr>
    </w:tbl>
    <w:p>
      <w:pPr>
        <w:pStyle w:val="BlockText"/>
      </w:pPr>
      <w:r>
        <w:rPr>
          <w:b/>
          <w:bCs/>
        </w:rPr>
        <w:t xml:space="preserve">Leitura econômica:</w:t>
      </w:r>
      <w:r>
        <w:t xml:space="preserve"> </w:t>
      </w:r>
      <w:r>
        <w:t xml:space="preserve">Alimentos básicos (arroz, feijão) são inelásticos — famílias de baixa renda não podem reduzir muito o consumo quando o preço sobe. Carnes de segunda e refrigerantes são elásticos — há substitutos acessíveis. Essa heterogeneidade é exatamente o que a Equação de Slutsky prevê: bens com alta participação no orçamento e poucos substitutos terão efeito-renda dominante.</w:t>
      </w:r>
    </w:p>
    <w:p>
      <w:pPr>
        <w:pStyle w:val="BlockText"/>
      </w:pPr>
      <w:r>
        <w:rPr>
          <w:b/>
          <w:bCs/>
        </w:rPr>
        <w:t xml:space="preserve">Fonte:</w:t>
      </w:r>
      <w:r>
        <w:t xml:space="preserve"> </w:t>
      </w:r>
      <w:r>
        <w:t xml:space="preserve">Estimativas baseadas em POF/IBGE 2017–2018. Valores aproximados para fins didáticos; estimativas precisas variam conforme especificação e região. Ver Silveira, Menezes, Magalhães &amp; Diniz (2007) para a metodologia AIDS aplicada à POF, e Vaz &amp; Hoffmann (2020) para comparação entre POFs.</w:t>
      </w:r>
    </w:p>
    <w:p>
      <w:pPr>
        <w:pStyle w:val="BlockText"/>
      </w:pPr>
      <w:r>
        <w:rPr>
          <w:b/>
          <w:bCs/>
        </w:rPr>
        <w:t xml:space="preserve">[EXERCICIO RESOLVIDO] Exercício Resolvido 5.1</w:t>
      </w:r>
    </w:p>
    <w:p>
      <w:pPr>
        <w:pStyle w:val="BlockText"/>
      </w:pPr>
      <w:r>
        <w:rPr>
          <w:b/>
          <w:bCs/>
        </w:rPr>
        <w:t xml:space="preserve">Enunciado:</w:t>
      </w:r>
      <w:r>
        <w:t xml:space="preserve"> </w:t>
      </w:r>
      <w:r>
        <w:t xml:space="preserve">Considere uma economia com dois bens: alimentação (bem 1) e serviços (bem 2). A parcela orçamentária da alimentação é</w:t>
      </w:r>
      <w:r>
        <w:t xml:space="preserve"> </w:t>
      </w:r>
      <m:oMath>
        <m:sSub>
          <m:e>
            <m:r>
              <m:t>w</m:t>
            </m:r>
          </m:e>
          <m:sub>
            <m:r>
              <m:t>1</m:t>
            </m:r>
          </m:sub>
        </m:sSub>
        <m:r>
          <m:rPr>
            <m:sty m:val="p"/>
          </m:rPr>
          <m:t>=</m:t>
        </m:r>
        <m:r>
          <m:t>0</m:t>
        </m:r>
        <m:r>
          <m:rPr>
            <m:sty m:val="p"/>
          </m:rPr>
          <m:t>,</m:t>
        </m:r>
        <m:r>
          <m:t>35</m:t>
        </m:r>
      </m:oMath>
      <w:r>
        <w:t xml:space="preserve"> </w:t>
      </w:r>
      <w:r>
        <w:t xml:space="preserve">e a dos serviços é</w:t>
      </w:r>
      <w:r>
        <w:t xml:space="preserve"> </w:t>
      </w:r>
      <m:oMath>
        <m:sSub>
          <m:e>
            <m:r>
              <m:t>w</m:t>
            </m:r>
          </m:e>
          <m:sub>
            <m:r>
              <m:t>2</m:t>
            </m:r>
          </m:sub>
        </m:sSub>
        <m:r>
          <m:rPr>
            <m:sty m:val="p"/>
          </m:rPr>
          <m:t>=</m:t>
        </m:r>
        <m:r>
          <m:t>0</m:t>
        </m:r>
        <m:r>
          <m:rPr>
            <m:sty m:val="p"/>
          </m:rPr>
          <m:t>,</m:t>
        </m:r>
        <m:r>
          <m:t>65</m:t>
        </m:r>
      </m:oMath>
      <w:r>
        <w:t xml:space="preserve">. A elasticidade-renda da alimentação é</w:t>
      </w:r>
      <w:r>
        <w:t xml:space="preserve"> </w:t>
      </w:r>
      <m:oMath>
        <m:sSub>
          <m:e>
            <m:r>
              <m:t>ε</m:t>
            </m:r>
          </m:e>
          <m:sub>
            <m:r>
              <m:t>1</m:t>
            </m:r>
            <m:r>
              <m:rPr>
                <m:sty m:val="p"/>
              </m:rPr>
              <m:t>,</m:t>
            </m:r>
            <m:r>
              <m:t>I</m:t>
            </m:r>
          </m:sub>
        </m:sSub>
        <m:r>
          <m:rPr>
            <m:sty m:val="p"/>
          </m:rPr>
          <m:t>=</m:t>
        </m:r>
        <m:r>
          <m:t>0</m:t>
        </m:r>
        <m:r>
          <m:rPr>
            <m:sty m:val="p"/>
          </m:rPr>
          <m:t>,</m:t>
        </m:r>
        <m:r>
          <m:t>42</m:t>
        </m:r>
      </m:oMath>
      <w:r>
        <w:t xml:space="preserve">, e a elasticidade-preço própria da alimentação é</w:t>
      </w:r>
      <w:r>
        <w:t xml:space="preserve"> </w:t>
      </w:r>
      <m:oMath>
        <m:sSub>
          <m:e>
            <m:r>
              <m:t>ε</m:t>
            </m:r>
          </m:e>
          <m:sub>
            <m:r>
              <m:t>1</m:t>
            </m:r>
            <m:r>
              <m:rPr>
                <m:sty m:val="p"/>
              </m:rPr>
              <m:t>,</m:t>
            </m:r>
            <m:sSub>
              <m:e>
                <m:r>
                  <m:t>p</m:t>
                </m:r>
              </m:e>
              <m:sub>
                <m:r>
                  <m:t>1</m:t>
                </m:r>
              </m:sub>
            </m:sSub>
          </m:sub>
        </m:sSub>
        <m:r>
          <m:rPr>
            <m:sty m:val="p"/>
          </m:rPr>
          <m:t>=</m:t>
        </m:r>
        <m:r>
          <m:rPr>
            <m:sty m:val="p"/>
          </m:rPr>
          <m:t>−</m:t>
        </m:r>
        <m:r>
          <m:t>0</m:t>
        </m:r>
        <m:r>
          <m:rPr>
            <m:sty m:val="p"/>
          </m:rPr>
          <m:t>,</m:t>
        </m:r>
        <m:r>
          <m:t>55</m:t>
        </m:r>
      </m:oMath>
      <w:r>
        <w:t xml:space="preserve">. (a) Calcule a elasticidade-renda dos serviços. (b) Classifique cada bem. (c) Calcule a elasticidade-preço cruzada da alimentação em relação ao preço dos serviços.</w:t>
      </w:r>
    </w:p>
    <w:p>
      <w:pPr>
        <w:pStyle w:val="BlockText"/>
      </w:pPr>
      <w:r>
        <w:rPr>
          <w:b/>
          <w:bCs/>
        </w:rPr>
        <w:t xml:space="preserve">Dados:</w:t>
      </w:r>
      <w:r>
        <w:t xml:space="preserve"> </w:t>
      </w:r>
      <m:oMath>
        <m:sSub>
          <m:e>
            <m:r>
              <m:t>w</m:t>
            </m:r>
          </m:e>
          <m:sub>
            <m:r>
              <m:t>1</m:t>
            </m:r>
          </m:sub>
        </m:sSub>
        <m:r>
          <m:rPr>
            <m:sty m:val="p"/>
          </m:rPr>
          <m:t>=</m:t>
        </m:r>
        <m:r>
          <m:t>0</m:t>
        </m:r>
        <m:r>
          <m:rPr>
            <m:sty m:val="p"/>
          </m:rPr>
          <m:t>,</m:t>
        </m:r>
        <m:r>
          <m:t>35</m:t>
        </m:r>
      </m:oMath>
      <w:r>
        <w:t xml:space="preserve">,</w:t>
      </w:r>
      <w:r>
        <w:t xml:space="preserve"> </w:t>
      </w:r>
      <m:oMath>
        <m:sSub>
          <m:e>
            <m:r>
              <m:t>w</m:t>
            </m:r>
          </m:e>
          <m:sub>
            <m:r>
              <m:t>2</m:t>
            </m:r>
          </m:sub>
        </m:sSub>
        <m:r>
          <m:rPr>
            <m:sty m:val="p"/>
          </m:rPr>
          <m:t>=</m:t>
        </m:r>
        <m:r>
          <m:t>0</m:t>
        </m:r>
        <m:r>
          <m:rPr>
            <m:sty m:val="p"/>
          </m:rPr>
          <m:t>,</m:t>
        </m:r>
        <m:r>
          <m:t>65</m:t>
        </m:r>
      </m:oMath>
      <w:r>
        <w:t xml:space="preserve">,</w:t>
      </w:r>
      <w:r>
        <w:t xml:space="preserve"> </w:t>
      </w:r>
      <m:oMath>
        <m:sSub>
          <m:e>
            <m:r>
              <m:t>ε</m:t>
            </m:r>
          </m:e>
          <m:sub>
            <m:r>
              <m:t>1</m:t>
            </m:r>
            <m:r>
              <m:rPr>
                <m:sty m:val="p"/>
              </m:rPr>
              <m:t>,</m:t>
            </m:r>
            <m:r>
              <m:t>I</m:t>
            </m:r>
          </m:sub>
        </m:sSub>
        <m:r>
          <m:rPr>
            <m:sty m:val="p"/>
          </m:rPr>
          <m:t>=</m:t>
        </m:r>
        <m:r>
          <m:t>0</m:t>
        </m:r>
        <m:r>
          <m:rPr>
            <m:sty m:val="p"/>
          </m:rPr>
          <m:t>,</m:t>
        </m:r>
        <m:r>
          <m:t>42</m:t>
        </m:r>
      </m:oMath>
      <w:r>
        <w:t xml:space="preserve">,</w:t>
      </w:r>
      <w:r>
        <w:t xml:space="preserve"> </w:t>
      </w:r>
      <m:oMath>
        <m:sSub>
          <m:e>
            <m:r>
              <m:t>ε</m:t>
            </m:r>
          </m:e>
          <m:sub>
            <m:r>
              <m:t>1</m:t>
            </m:r>
            <m:r>
              <m:rPr>
                <m:sty m:val="p"/>
              </m:rPr>
              <m:t>,</m:t>
            </m:r>
            <m:sSub>
              <m:e>
                <m:r>
                  <m:t>p</m:t>
                </m:r>
              </m:e>
              <m:sub>
                <m:r>
                  <m:t>1</m:t>
                </m:r>
              </m:sub>
            </m:sSub>
          </m:sub>
        </m:sSub>
        <m:r>
          <m:rPr>
            <m:sty m:val="p"/>
          </m:rPr>
          <m:t>=</m:t>
        </m:r>
        <m:r>
          <m:rPr>
            <m:sty m:val="p"/>
          </m:rPr>
          <m:t>−</m:t>
        </m:r>
        <m:r>
          <m:t>0</m:t>
        </m:r>
        <m:r>
          <m:rPr>
            <m:sty m:val="p"/>
          </m:rPr>
          <m:t>,</m:t>
        </m:r>
        <m:r>
          <m:t>55</m:t>
        </m:r>
      </m:oMath>
      <w:r>
        <w:t xml:space="preserve">.</w:t>
      </w:r>
    </w:p>
    <w:p>
      <w:pPr>
        <w:pStyle w:val="BlockText"/>
      </w:pPr>
      <w:r>
        <w:rPr>
          <w:b/>
          <w:bCs/>
        </w:rPr>
        <w:t xml:space="preserve">Resolução:</w:t>
      </w:r>
    </w:p>
    <w:p>
      <w:pPr>
        <w:pStyle w:val="BlockText"/>
      </w:pPr>
      <w:r>
        <w:rPr>
          <w:b/>
          <w:bCs/>
        </w:rPr>
        <w:t xml:space="preserve">Passo 1 — Elasticidade-renda dos serviços (Agregação de Engel)</w:t>
      </w:r>
    </w:p>
    <w:p>
      <w:pPr>
        <w:pStyle w:val="BlockText"/>
      </w:pPr>
      <w:r>
        <w:t xml:space="preserve">$$</w:t>
      </w:r>
    </w:p>
    <w:p>
      <w:pPr>
        <w:pStyle w:val="BlockText"/>
      </w:pPr>
      <w:r>
        <w:t xml:space="preserve">w_1</w:t>
      </w:r>
      <w:r>
        <w:t xml:space="preserve"> </w:t>
      </w:r>
      <w:r>
        <w:rPr>
          <w:i/>
          <w:iCs/>
        </w:rPr>
        <w:t xml:space="preserve">{1,I} + w_2</w:t>
      </w:r>
      <w:r>
        <w:rPr>
          <w:i/>
          <w:iCs/>
        </w:rPr>
        <w:t xml:space="preserve"> </w:t>
      </w:r>
      <w:r>
        <w:t xml:space="preserve">{2,I} = 1</w:t>
      </w:r>
      <w:r>
        <w:t xml:space="preserve"> </w:t>
      </w:r>
      <w:r>
        <w:t xml:space="preserve">35</w:t>
      </w:r>
      <w:r>
        <w:t xml:space="preserve"> </w:t>
      </w:r>
      <w:r>
        <w:t xml:space="preserve">42 + 0{,}65</w:t>
      </w:r>
      <w:r>
        <w:t xml:space="preserve"> </w:t>
      </w:r>
      <w:r>
        <w:t xml:space="preserve">_{2,I} = 1</w:t>
      </w:r>
    </w:p>
    <w:p>
      <w:pPr>
        <w:pStyle w:val="BlockText"/>
      </w:pPr>
      <w:r>
        <w:t xml:space="preserve">$$</w:t>
      </w:r>
    </w:p>
    <w:p>
      <w:pPr>
        <w:pStyle w:val="BlockText"/>
      </w:pPr>
      <w:r>
        <w:t xml:space="preserve">$$</w:t>
      </w:r>
    </w:p>
    <w:p>
      <w:pPr>
        <w:pStyle w:val="BlockText"/>
      </w:pPr>
      <w:r>
        <w:t xml:space="preserve">0{,}147 + 0{,}65 ,</w:t>
      </w:r>
      <w:r>
        <w:t xml:space="preserve"> </w:t>
      </w:r>
      <w:r>
        <w:rPr>
          <w:i/>
          <w:iCs/>
        </w:rPr>
        <w:t xml:space="preserve">{2,I} = 1</w:t>
      </w:r>
      <w:r>
        <w:rPr>
          <w:i/>
          <w:iCs/>
        </w:rPr>
        <w:t xml:space="preserve"> </w:t>
      </w:r>
      <w:r>
        <w:t xml:space="preserve">{2,I} =</w:t>
      </w:r>
      <w:r>
        <w:t xml:space="preserve"> </w:t>
      </w:r>
      <w:r>
        <w:t xml:space="preserve"> </w:t>
      </w:r>
      <w:r>
        <w:t xml:space="preserve">=</w:t>
      </w:r>
      <w:r>
        <w:t xml:space="preserve"> </w:t>
      </w:r>
      <w:r>
        <w:t xml:space="preserve"> </w:t>
      </w:r>
      <w:r>
        <w:t xml:space="preserve">31</w:t>
      </w:r>
    </w:p>
    <w:p>
      <w:pPr>
        <w:pStyle w:val="BlockText"/>
      </w:pPr>
      <w:r>
        <w:t xml:space="preserve">$$</w:t>
      </w:r>
    </w:p>
    <w:p>
      <w:pPr>
        <w:pStyle w:val="BlockText"/>
      </w:pPr>
      <w:r>
        <w:rPr>
          <w:b/>
          <w:bCs/>
        </w:rPr>
        <w:t xml:space="preserve">Passo 2 — Classificação</w:t>
      </w:r>
    </w:p>
    <w:p>
      <w:pPr>
        <w:pStyle w:val="Compact"/>
        <w:numPr>
          <w:ilvl w:val="0"/>
          <w:numId w:val="1211"/>
        </w:numPr>
      </w:pPr>
      <w:r>
        <w:t xml:space="preserve">Alimentação:</w:t>
      </w:r>
      <w:r>
        <w:t xml:space="preserve"> </w:t>
      </w:r>
      <m:oMath>
        <m:sSub>
          <m:e>
            <m:r>
              <m:t>ε</m:t>
            </m:r>
          </m:e>
          <m:sub>
            <m:r>
              <m:t>1</m:t>
            </m:r>
            <m:r>
              <m:rPr>
                <m:sty m:val="p"/>
              </m:rPr>
              <m:t>,</m:t>
            </m:r>
            <m:r>
              <m:t>I</m:t>
            </m:r>
          </m:sub>
        </m:sSub>
        <m:r>
          <m:rPr>
            <m:sty m:val="p"/>
          </m:rPr>
          <m:t>=</m:t>
        </m:r>
        <m:r>
          <m:t>0</m:t>
        </m:r>
        <m:r>
          <m:rPr>
            <m:sty m:val="p"/>
          </m:rPr>
          <m:t>,</m:t>
        </m:r>
        <m:r>
          <m:t>42</m:t>
        </m:r>
        <m:r>
          <m:rPr>
            <m:sty m:val="p"/>
          </m:rPr>
          <m:t>∈</m:t>
        </m:r>
        <m:r>
          <m:rPr>
            <m:sty m:val="p"/>
          </m:rPr>
          <m:t>(</m:t>
        </m:r>
        <m:r>
          <m:t>0</m:t>
        </m:r>
        <m:r>
          <m:rPr>
            <m:sty m:val="p"/>
          </m:rPr>
          <m:t>,</m:t>
        </m:r>
        <m:r>
          <m:t>1</m:t>
        </m:r>
        <m:r>
          <m:rPr>
            <m:sty m:val="p"/>
          </m:rPr>
          <m:t>)</m:t>
        </m:r>
      </m:oMath>
      <w:r>
        <w:t xml:space="preserve"> </w:t>
      </w:r>
      <w:r>
        <w:t xml:space="preserve">→</w:t>
      </w:r>
      <w:r>
        <w:t xml:space="preserve"> </w:t>
      </w:r>
      <w:r>
        <w:rPr>
          <w:b/>
          <w:bCs/>
        </w:rPr>
        <w:t xml:space="preserve">bem normal de necessidade</w:t>
      </w:r>
      <w:r>
        <w:t xml:space="preserve">.</w:t>
      </w:r>
    </w:p>
    <w:p>
      <w:pPr>
        <w:pStyle w:val="Compact"/>
        <w:numPr>
          <w:ilvl w:val="0"/>
          <w:numId w:val="1211"/>
        </w:numPr>
      </w:pPr>
      <w:r>
        <w:t xml:space="preserve">Serviços:</w:t>
      </w:r>
      <w:r>
        <w:t xml:space="preserve"> </w:t>
      </w:r>
      <m:oMath>
        <m:sSub>
          <m:e>
            <m:r>
              <m:t>ε</m:t>
            </m:r>
          </m:e>
          <m:sub>
            <m:r>
              <m:t>2</m:t>
            </m:r>
            <m:r>
              <m:rPr>
                <m:sty m:val="p"/>
              </m:rPr>
              <m:t>,</m:t>
            </m:r>
            <m:r>
              <m:t>I</m:t>
            </m:r>
          </m:sub>
        </m:sSub>
        <m:r>
          <m:rPr>
            <m:sty m:val="p"/>
          </m:rPr>
          <m:t>≈</m:t>
        </m:r>
        <m:r>
          <m:t>1</m:t>
        </m:r>
        <m:r>
          <m:rPr>
            <m:sty m:val="p"/>
          </m:rPr>
          <m:t>,</m:t>
        </m:r>
        <m:r>
          <m:t>31</m:t>
        </m:r>
        <m:r>
          <m:rPr>
            <m:sty m:val="p"/>
          </m:rPr>
          <m:t>&gt;</m:t>
        </m:r>
        <m:r>
          <m:t>1</m:t>
        </m:r>
      </m:oMath>
      <w:r>
        <w:t xml:space="preserve"> </w:t>
      </w:r>
      <w:r>
        <w:t xml:space="preserve">→</w:t>
      </w:r>
      <w:r>
        <w:t xml:space="preserve"> </w:t>
      </w:r>
      <w:r>
        <w:rPr>
          <w:b/>
          <w:bCs/>
        </w:rPr>
        <w:t xml:space="preserve">bem normal de luxo</w:t>
      </w:r>
      <w:r>
        <w:t xml:space="preserve">.</w:t>
      </w:r>
    </w:p>
    <w:p>
      <w:pPr>
        <w:pStyle w:val="BlockText"/>
      </w:pPr>
      <w:r>
        <w:rPr>
          <w:b/>
          <w:bCs/>
        </w:rPr>
        <w:t xml:space="preserve">Passo 3 — Elasticidade-preço cruzada (Condição de Homogeneidade)</w:t>
      </w:r>
    </w:p>
    <w:p>
      <w:pPr>
        <w:pStyle w:val="BlockText"/>
      </w:pPr>
      <w:r>
        <w:t xml:space="preserve">$$</w:t>
      </w:r>
    </w:p>
    <w:p>
      <w:pPr>
        <w:pStyle w:val="BlockText"/>
      </w:pPr>
      <w:r>
        <w:rPr>
          <w:i/>
          <w:iCs/>
        </w:rPr>
        <w:t xml:space="preserve">{1,p_1} +</w:t>
      </w:r>
      <w:r>
        <w:rPr>
          <w:i/>
          <w:iCs/>
        </w:rPr>
        <w:t xml:space="preserve"> </w:t>
      </w:r>
      <w:r>
        <w:t xml:space="preserve">{1,p_2} +</w:t>
      </w:r>
      <w:r>
        <w:t xml:space="preserve"> </w:t>
      </w:r>
      <w:r>
        <w:rPr>
          <w:i/>
          <w:iCs/>
        </w:rPr>
        <w:t xml:space="preserve">{1,I} = 0</w:t>
      </w:r>
      <w:r>
        <w:rPr>
          <w:i/>
          <w:iCs/>
        </w:rPr>
        <w:t xml:space="preserve"> </w:t>
      </w:r>
      <w:r>
        <w:rPr>
          <w:i/>
          <w:iCs/>
        </w:rPr>
        <w:t xml:space="preserve">55 +</w:t>
      </w:r>
      <w:r>
        <w:rPr>
          <w:i/>
          <w:iCs/>
        </w:rPr>
        <w:t xml:space="preserve"> </w:t>
      </w:r>
      <w:r>
        <w:t xml:space="preserve">{1,p_2} + 0{,}42 = 0</w:t>
      </w:r>
    </w:p>
    <w:p>
      <w:pPr>
        <w:pStyle w:val="BlockText"/>
      </w:pPr>
      <w:r>
        <w:t xml:space="preserve">$$</w:t>
      </w:r>
    </w:p>
    <w:p>
      <w:pPr>
        <w:pStyle w:val="BlockText"/>
      </w:pPr>
      <w:r>
        <w:t xml:space="preserve">$$</w:t>
      </w:r>
    </w:p>
    <w:p>
      <w:pPr>
        <w:pStyle w:val="BlockText"/>
      </w:pPr>
      <w:r>
        <w:t xml:space="preserve">_{1,p_2} = 0{,}55 - 0{,}42 = 0{,}13</w:t>
      </w:r>
    </w:p>
    <w:p>
      <w:pPr>
        <w:pStyle w:val="BlockText"/>
      </w:pPr>
      <w:r>
        <w:t xml:space="preserve">$$</w:t>
      </w:r>
    </w:p>
    <w:p>
      <w:pPr>
        <w:pStyle w:val="BlockText"/>
      </w:pPr>
      <w:r>
        <w:rPr>
          <w:b/>
          <w:bCs/>
        </w:rPr>
        <w:t xml:space="preserve">Resultado:</w:t>
      </w:r>
      <w:r>
        <w:t xml:space="preserve"> </w:t>
      </w:r>
      <m:oMath>
        <m:sSub>
          <m:e>
            <m:r>
              <m:t>ε</m:t>
            </m:r>
          </m:e>
          <m:sub>
            <m:r>
              <m:t>2</m:t>
            </m:r>
            <m:r>
              <m:rPr>
                <m:sty m:val="p"/>
              </m:rPr>
              <m:t>,</m:t>
            </m:r>
            <m:r>
              <m:t>I</m:t>
            </m:r>
          </m:sub>
        </m:sSub>
        <m:r>
          <m:rPr>
            <m:sty m:val="p"/>
          </m:rPr>
          <m:t>≈</m:t>
        </m:r>
        <m:r>
          <m:t>1</m:t>
        </m:r>
        <m:r>
          <m:rPr>
            <m:sty m:val="p"/>
          </m:rPr>
          <m:t>,</m:t>
        </m:r>
        <m:r>
          <m:t>31</m:t>
        </m:r>
      </m:oMath>
      <w:r>
        <w:t xml:space="preserve">, e</w:t>
      </w:r>
      <w:r>
        <w:t xml:space="preserve"> </w:t>
      </w:r>
      <m:oMath>
        <m:sSub>
          <m:e>
            <m:r>
              <m:t>ε</m:t>
            </m:r>
          </m:e>
          <m:sub>
            <m:r>
              <m:t>1</m:t>
            </m:r>
            <m:r>
              <m:rPr>
                <m:sty m:val="p"/>
              </m:rPr>
              <m:t>,</m:t>
            </m:r>
            <m:sSub>
              <m:e>
                <m:r>
                  <m:t>p</m:t>
                </m:r>
              </m:e>
              <m:sub>
                <m:r>
                  <m:t>2</m:t>
                </m:r>
              </m:sub>
            </m:sSub>
          </m:sub>
        </m:sSub>
        <m:r>
          <m:rPr>
            <m:sty m:val="p"/>
          </m:rPr>
          <m:t>=</m:t>
        </m:r>
        <m:r>
          <m:t>0</m:t>
        </m:r>
        <m:r>
          <m:rPr>
            <m:sty m:val="p"/>
          </m:rPr>
          <m:t>,</m:t>
        </m:r>
        <m:r>
          <m:t>13</m:t>
        </m:r>
      </m:oMath>
      <w:r>
        <w:t xml:space="preserve">.</w:t>
      </w:r>
    </w:p>
    <w:p>
      <w:pPr>
        <w:pStyle w:val="BlockText"/>
      </w:pPr>
      <w:r>
        <w:rPr>
          <w:b/>
          <w:bCs/>
        </w:rPr>
        <w:t xml:space="preserve">Interpretação econômica:</w:t>
      </w:r>
      <w:r>
        <w:t xml:space="preserve"> </w:t>
      </w:r>
      <w:r>
        <w:t xml:space="preserve">a alimentação é um bem de necessidade (consistente com a Lei de Engel) e os serviços são um bem de luxo — padrão coerente com os dados brasileiros da POF 2017–2018, em que famílias de maior renda gastam proporcionalmente menos com alimentação e mais com serviços. A elasticidade cruzada positiva indica que alimentação e serviços são</w:t>
      </w:r>
      <w:r>
        <w:t xml:space="preserve"> </w:t>
      </w:r>
      <w:r>
        <w:rPr>
          <w:b/>
          <w:bCs/>
        </w:rPr>
        <w:t xml:space="preserve">substitutos brutos</w:t>
      </w:r>
      <w:r>
        <w:t xml:space="preserve">: quando serviços ficam mais caros, a demanda por alimentação aumenta ligeiramente (famílias comem mais em casa em vez de contratar serviços de alimentação fora).</w:t>
      </w:r>
    </w:p>
    <w:bookmarkEnd w:id="259"/>
    <w:bookmarkEnd w:id="260"/>
    <w:bookmarkEnd w:id="261"/>
    <w:bookmarkStart w:id="269" w:name="Xbbb42e240788edc20e394bddf97ab95582d9b9d"/>
    <w:p>
      <w:pPr>
        <w:pStyle w:val="Heading2"/>
      </w:pPr>
      <w:r>
        <w:t xml:space="preserve">5.8–5.9 Excedente do Consumidor e Preferência Revelada</w:t>
      </w:r>
    </w:p>
    <w:bookmarkStart w:id="266" w:name="Xa7c3adedf9b2f29950875f75f207d46511c60fa"/>
    <w:p>
      <w:pPr>
        <w:pStyle w:val="Heading3"/>
      </w:pPr>
      <w:r>
        <w:t xml:space="preserve">5.8 O Lucro Invisível do Comprador: Excedente do Consumidor</w:t>
      </w:r>
    </w:p>
    <w:p>
      <w:pPr>
        <w:pStyle w:val="FirstParagraph"/>
      </w:pPr>
      <w:r>
        <w:rPr>
          <w:i/>
          <w:iCs/>
        </w:rPr>
        <w:t xml:space="preserve">And now for something completely different</w:t>
      </w:r>
      <w:r>
        <w:t xml:space="preserve"> </w:t>
      </w:r>
      <w:r>
        <w:t xml:space="preserve">— ou melhor,</w:t>
      </w:r>
      <w:r>
        <w:t xml:space="preserve"> </w:t>
      </w:r>
      <w:r>
        <w:rPr>
          <w:i/>
          <w:iCs/>
        </w:rPr>
        <w:t xml:space="preserve">completely practical</w:t>
      </w:r>
      <w:r>
        <w:t xml:space="preserve">. Elasticidades dizem</w:t>
      </w:r>
      <w:r>
        <w:t xml:space="preserve"> </w:t>
      </w:r>
      <w:r>
        <w:rPr>
          <w:i/>
          <w:iCs/>
        </w:rPr>
        <w:t xml:space="preserve">como</w:t>
      </w:r>
      <w:r>
        <w:t xml:space="preserve"> </w:t>
      </w:r>
      <w:r>
        <w:t xml:space="preserve">a demanda reage. Mas o ministro da Fazenda quer saber outra coisa:</w:t>
      </w:r>
      <w:r>
        <w:t xml:space="preserve"> </w:t>
      </w:r>
      <w:r>
        <w:rPr>
          <w:i/>
          <w:iCs/>
        </w:rPr>
        <w:t xml:space="preserve">quanto</w:t>
      </w:r>
      <w:r>
        <w:t xml:space="preserve"> </w:t>
      </w:r>
      <w:r>
        <w:t xml:space="preserve">o consumidor perde (em reais!) quando a gasolina sobe R$ 0,50? E quanto ganha quando o governo zera o ICMS sobre a cesta básica? Para isso, precisamos de uma régua monetária de bem-estar — e é exatamente isso que o</w:t>
      </w:r>
      <w:r>
        <w:t xml:space="preserve"> </w:t>
      </w:r>
      <w:r>
        <w:rPr>
          <w:b/>
          <w:bCs/>
        </w:rPr>
        <w:t xml:space="preserve">excedente do consumidor</w:t>
      </w:r>
      <w:r>
        <w:t xml:space="preserve"> </w:t>
      </w:r>
      <w:r>
        <w:t xml:space="preserve">fornece. É a ferramenta que traduz utilidade abstrata em valores que cabem numa planilha de orçamento público.</w:t>
      </w:r>
    </w:p>
    <w:bookmarkStart w:id="262" w:name="o-conceito-marshalliano"/>
    <w:p>
      <w:pPr>
        <w:pStyle w:val="Heading4"/>
      </w:pPr>
      <w:r>
        <w:t xml:space="preserve">5.8.1 O conceito marshalliano</w:t>
      </w:r>
    </w:p>
    <w:p>
      <w:pPr>
        <w:pStyle w:val="FirstParagraph"/>
      </w:pPr>
      <w:r>
        <w:t xml:space="preserve">O</w:t>
      </w:r>
      <w:r>
        <w:t xml:space="preserve"> </w:t>
      </w:r>
      <w:r>
        <w:rPr>
          <w:b/>
          <w:bCs/>
        </w:rPr>
        <w:t xml:space="preserve">excedente do consumidor</w:t>
      </w:r>
      <w:r>
        <w:t xml:space="preserve"> </w:t>
      </w:r>
      <w:r>
        <w:t xml:space="preserve">(</w:t>
      </w:r>
      <m:oMath>
        <m:r>
          <m:t>E</m:t>
        </m:r>
        <m:r>
          <m:t>C</m:t>
        </m:r>
      </m:oMath>
      <w:r>
        <w:t xml:space="preserve">) mede o ganho líquido que o consumidor obtém ao participar do mercado — a diferença entre o que estaria disposto a pagar e o que efetivamente paga. Esse conceito foi introduzido por Alfred Marshall em seus</w:t>
      </w:r>
      <w:r>
        <w:t xml:space="preserve"> </w:t>
      </w:r>
      <w:r>
        <w:rPr>
          <w:i/>
          <w:iCs/>
        </w:rPr>
        <w:t xml:space="preserve">Principles of Economics</w:t>
      </w:r>
      <w:r>
        <w:t xml:space="preserve"> </w:t>
      </w:r>
      <w:r>
        <w:t xml:space="preserve">(1890) e permanece, até hoje, a medida mais utilizada em análises de política econômica, apesar de suas limitações teóricas:</w:t>
      </w:r>
    </w:p>
    <w:p>
      <w:pPr>
        <w:pStyle w:val="BodyText"/>
      </w:pPr>
      <m:oMathPara>
        <m:oMathParaPr>
          <m:jc m:val="center"/>
        </m:oMathParaPr>
        <m:oMath>
          <m:r>
            <m:t>E</m:t>
          </m:r>
          <m:r>
            <m:t>C</m:t>
          </m:r>
          <m:r>
            <m:rPr>
              <m:sty m:val="p"/>
            </m:rPr>
            <m:t>=</m:t>
          </m:r>
          <m:nary>
            <m:naryPr>
              <m:chr m:val="∫"/>
              <m:limLoc m:val="subSup"/>
              <m:subHide m:val="off"/>
              <m:supHide m:val="off"/>
            </m:naryPr>
            <m:sub>
              <m:r>
                <m:t>0</m:t>
              </m:r>
            </m:sub>
            <m:sup>
              <m:sSup>
                <m:e>
                  <m:r>
                    <m:t>x</m:t>
                  </m:r>
                </m:e>
                <m:sup>
                  <m:r>
                    <m:rPr>
                      <m:sty m:val="p"/>
                    </m:rPr>
                    <m:t>*</m:t>
                  </m:r>
                </m:sup>
              </m:sSup>
            </m:sup>
            <m:e>
              <m:r>
                <m:t>p</m:t>
              </m:r>
            </m:e>
          </m:nary>
          <m:r>
            <m:rPr>
              <m:sty m:val="p"/>
            </m:rPr>
            <m:t>(</m:t>
          </m:r>
          <m:r>
            <m:t>x</m:t>
          </m:r>
          <m:r>
            <m:rPr>
              <m:sty m:val="p"/>
            </m:rPr>
            <m:t>)</m:t>
          </m:r>
          <m:r>
            <m:t> </m:t>
          </m:r>
          <m:r>
            <m:t>d</m:t>
          </m:r>
          <m:r>
            <m:t>x</m:t>
          </m:r>
          <m:r>
            <m:rPr>
              <m:sty m:val="p"/>
            </m:rPr>
            <m:t>−</m:t>
          </m:r>
          <m:sSup>
            <m:e>
              <m:r>
                <m:t>p</m:t>
              </m:r>
            </m:e>
            <m:sup>
              <m:r>
                <m:rPr>
                  <m:sty m:val="p"/>
                </m:rPr>
                <m:t>*</m:t>
              </m:r>
            </m:sup>
          </m:sSup>
          <m:r>
            <m:rPr>
              <m:sty m:val="p"/>
            </m:rPr>
            <m:t>⋅</m:t>
          </m:r>
          <m:sSup>
            <m:e>
              <m:r>
                <m:t>x</m:t>
              </m:r>
            </m:e>
            <m:sup>
              <m:r>
                <m:rPr>
                  <m:sty m:val="p"/>
                </m:rPr>
                <m:t>*</m:t>
              </m:r>
            </m:sup>
          </m:sSup>
        </m:oMath>
      </m:oMathPara>
    </w:p>
    <w:p>
      <w:pPr>
        <w:pStyle w:val="FirstParagraph"/>
      </w:pPr>
      <w:r>
        <w:t xml:space="preserve">onde</w:t>
      </w:r>
      <w:r>
        <w:t xml:space="preserve"> </w:t>
      </w:r>
      <m:oMath>
        <m:r>
          <m:t>p</m:t>
        </m:r>
        <m:r>
          <m:rPr>
            <m:sty m:val="p"/>
          </m:rPr>
          <m:t>(</m:t>
        </m:r>
        <m:r>
          <m:t>x</m:t>
        </m:r>
        <m:r>
          <m:rPr>
            <m:sty m:val="p"/>
          </m:rPr>
          <m:t>)</m:t>
        </m:r>
      </m:oMath>
      <w:r>
        <w:t xml:space="preserve"> </w:t>
      </w:r>
      <w:r>
        <w:t xml:space="preserve">é a função de demanda inversa. A equação Eq. (eq:5.8.11) traduz em linguagem matemática a ideia de que o consumidor extrai valor de cada unidade comprada acima do preço que efetivamente paga.</w:t>
      </w:r>
    </w:p>
    <w:bookmarkEnd w:id="262"/>
    <w:bookmarkStart w:id="263" w:name="variação-compensatória-vc"/>
    <w:p>
      <w:pPr>
        <w:pStyle w:val="Heading4"/>
      </w:pPr>
      <w:r>
        <w:t xml:space="preserve">5.8.2 Variação compensatória (VC)</w:t>
      </w:r>
    </w:p>
    <w:p>
      <w:pPr>
        <w:pStyle w:val="FirstParagraph"/>
      </w:pPr>
      <w:r>
        <w:t xml:space="preserve">O excedente do consumidor marshalliano é uma medida prática e amplamente utilizada, mas possui uma limitação teórica: ele se baseia na curva de demanda marshalliana, que mistura efeitos substituição e renda. Para obter medidas de bem-estar teoricamente exatas, precisamos recorrer às curvas de demanda hicksiana, que mantêm a utilidade constante. Isso nos leva à variação compensatória e à variação equivalente. Hausman (1981), cujo artigo seminal está discutido na seção</w:t>
      </w:r>
      <w:r>
        <w:t xml:space="preserve"> </w:t>
      </w:r>
      <w:r>
        <w:t xml:space="preserve">“Pesquisa em Ação”</w:t>
      </w:r>
      <w:r>
        <w:t xml:space="preserve">, demonstrou que a diferença entre EC e VC pode ser substancial — especialmente para bens que representam parcela significativa do orçamento — o que justifica o uso das medidas exactas em análises de custo-benefício de políticas públicas no Brasil.</w:t>
      </w:r>
    </w:p>
    <w:p>
      <w:pPr>
        <w:pStyle w:val="BlockText"/>
      </w:pPr>
      <w:r>
        <w:rPr>
          <w:b/>
          <w:bCs/>
        </w:rPr>
        <w:t xml:space="preserve">[DEFINICAO] Variação Compensatória</w:t>
      </w:r>
    </w:p>
    <w:p>
      <w:pPr>
        <w:pStyle w:val="BlockText"/>
      </w:pPr>
      <w:r>
        <w:t xml:space="preserve">A</w:t>
      </w:r>
      <w:r>
        <w:t xml:space="preserve"> </w:t>
      </w:r>
      <w:r>
        <w:rPr>
          <w:b/>
          <w:bCs/>
        </w:rPr>
        <w:t xml:space="preserve">variação compensatória</w:t>
      </w:r>
      <w:r>
        <w:t xml:space="preserve"> </w:t>
      </w:r>
      <w:r>
        <w:t xml:space="preserve">(</w:t>
      </w:r>
      <m:oMath>
        <m:r>
          <m:t>V</m:t>
        </m:r>
        <m:r>
          <m:t>C</m:t>
        </m:r>
      </m:oMath>
      <w:r>
        <w:t xml:space="preserve">) é a quantia de renda que deve ser retirada (ou dada) ao consumidor, após uma mudança de preço, para que ele retorne ao nível de utilidade original</w:t>
      </w:r>
      <w:r>
        <w:t xml:space="preserve"> </w:t>
      </w:r>
      <m:oMath>
        <m:sSub>
          <m:e>
            <m:acc>
              <m:accPr>
                <m:chr m:val="‾"/>
              </m:accPr>
              <m:e>
                <m:r>
                  <m:t>U</m:t>
                </m:r>
              </m:e>
            </m:acc>
          </m:e>
          <m:sub>
            <m:r>
              <m:t>0</m:t>
            </m:r>
          </m:sub>
        </m:sSub>
      </m:oMath>
      <w:r>
        <w:t xml:space="preserve">:</w:t>
      </w:r>
    </w:p>
    <w:p>
      <w:pPr>
        <w:pStyle w:val="BlockText"/>
      </w:pPr>
      <w:r>
        <w:t xml:space="preserve">$$</w:t>
      </w:r>
    </w:p>
    <w:p>
      <w:pPr>
        <w:pStyle w:val="BlockText"/>
      </w:pPr>
      <w:r>
        <w:t xml:space="preserve">VC = E(</w:t>
      </w:r>
      <w:r>
        <w:t xml:space="preserve">^1, U_0) - E(</w:t>
      </w:r>
      <w:r>
        <w:t xml:space="preserve">^0, U_0) = E(</w:t>
      </w:r>
      <w:r>
        <w:t xml:space="preserve">^1, U_0) - I</w:t>
      </w:r>
    </w:p>
    <w:p>
      <w:pPr>
        <w:pStyle w:val="BlockText"/>
      </w:pPr>
      <w:r>
        <w:t xml:space="preserve">$$</w:t>
      </w:r>
    </w:p>
    <w:p>
      <w:pPr>
        <w:pStyle w:val="BlockText"/>
      </w:pPr>
      <w:r>
        <w:t xml:space="preserve">A</w:t>
      </w:r>
      <w:r>
        <w:t xml:space="preserve"> </w:t>
      </w:r>
      <m:oMath>
        <m:r>
          <m:t>V</m:t>
        </m:r>
        <m:r>
          <m:t>C</m:t>
        </m:r>
      </m:oMath>
      <w:r>
        <w:t xml:space="preserve"> </w:t>
      </w:r>
      <w:r>
        <w:t xml:space="preserve">utiliza a curva de demanda hicksiana avaliada no nível de utilidade</w:t>
      </w:r>
      <w:r>
        <w:t xml:space="preserve"> </w:t>
      </w:r>
      <w:r>
        <w:rPr>
          <w:b/>
          <w:bCs/>
        </w:rPr>
        <w:t xml:space="preserve">inicial</w:t>
      </w:r>
      <w:r>
        <w:t xml:space="preserve">.</w:t>
      </w:r>
    </w:p>
    <w:p>
      <w:pPr>
        <w:pStyle w:val="FirstParagraph"/>
      </w:pPr>
      <w:r>
        <w:t xml:space="preserve">Geometricamente, a</w:t>
      </w:r>
      <w:r>
        <w:t xml:space="preserve"> </w:t>
      </w:r>
      <m:oMath>
        <m:r>
          <m:t>V</m:t>
        </m:r>
        <m:r>
          <m:t>C</m:t>
        </m:r>
      </m:oMath>
      <w:r>
        <w:t xml:space="preserve"> </w:t>
      </w:r>
      <w:r>
        <w:t xml:space="preserve">é a área à esquerda da curva de demanda hicksiana referente à utilidade inicial, entre os dois preços.</w:t>
      </w:r>
    </w:p>
    <w:bookmarkEnd w:id="263"/>
    <w:bookmarkStart w:id="264" w:name="variação-equivalente-ve"/>
    <w:p>
      <w:pPr>
        <w:pStyle w:val="Heading4"/>
      </w:pPr>
      <w:r>
        <w:t xml:space="preserve">5.8.3 Variação equivalente (VE)</w:t>
      </w:r>
    </w:p>
    <w:p>
      <w:pPr>
        <w:pStyle w:val="BlockText"/>
      </w:pPr>
      <w:r>
        <w:rPr>
          <w:b/>
          <w:bCs/>
        </w:rPr>
        <w:t xml:space="preserve">[DEFINICAO] Variação Equivalente</w:t>
      </w:r>
    </w:p>
    <w:p>
      <w:pPr>
        <w:pStyle w:val="BlockText"/>
      </w:pPr>
      <w:r>
        <w:t xml:space="preserve">A</w:t>
      </w:r>
      <w:r>
        <w:t xml:space="preserve"> </w:t>
      </w:r>
      <w:r>
        <w:rPr>
          <w:b/>
          <w:bCs/>
        </w:rPr>
        <w:t xml:space="preserve">variação equivalente</w:t>
      </w:r>
      <w:r>
        <w:t xml:space="preserve"> </w:t>
      </w:r>
      <w:r>
        <w:t xml:space="preserve">(</w:t>
      </w:r>
      <m:oMath>
        <m:r>
          <m:t>V</m:t>
        </m:r>
        <m:r>
          <m:t>E</m:t>
        </m:r>
      </m:oMath>
      <w:r>
        <w:t xml:space="preserve">) é a quantia de renda que, se dada ao consumidor antes da mudança de preço, o deixaria tão bem quanto ele ficaria após a mudança:</w:t>
      </w:r>
    </w:p>
    <w:p>
      <w:pPr>
        <w:pStyle w:val="BlockText"/>
      </w:pPr>
      <w:r>
        <w:t xml:space="preserve">$$</w:t>
      </w:r>
    </w:p>
    <w:p>
      <w:pPr>
        <w:pStyle w:val="BlockText"/>
      </w:pPr>
      <w:r>
        <w:t xml:space="preserve">VE = E(</w:t>
      </w:r>
      <w:r>
        <w:t xml:space="preserve">^1, U_1) - E(</w:t>
      </w:r>
      <w:r>
        <w:t xml:space="preserve">^0, U_1) = I - E(</w:t>
      </w:r>
      <w:r>
        <w:t xml:space="preserve">^0, U_1)</w:t>
      </w:r>
    </w:p>
    <w:p>
      <w:pPr>
        <w:pStyle w:val="BlockText"/>
      </w:pPr>
      <w:r>
        <w:t xml:space="preserve">$$</w:t>
      </w:r>
    </w:p>
    <w:p>
      <w:pPr>
        <w:pStyle w:val="BlockText"/>
      </w:pPr>
      <w:r>
        <w:t xml:space="preserve">A</w:t>
      </w:r>
      <w:r>
        <w:t xml:space="preserve"> </w:t>
      </w:r>
      <m:oMath>
        <m:r>
          <m:t>V</m:t>
        </m:r>
        <m:r>
          <m:t>E</m:t>
        </m:r>
      </m:oMath>
      <w:r>
        <w:t xml:space="preserve"> </w:t>
      </w:r>
      <w:r>
        <w:t xml:space="preserve">utiliza a curva de demanda hicksiana avaliada no nível de utilidade</w:t>
      </w:r>
      <w:r>
        <w:t xml:space="preserve"> </w:t>
      </w:r>
      <w:r>
        <w:rPr>
          <w:b/>
          <w:bCs/>
        </w:rPr>
        <w:t xml:space="preserve">final</w:t>
      </w:r>
      <w:r>
        <w:t xml:space="preserve">.</w:t>
      </w:r>
    </w:p>
    <w:bookmarkEnd w:id="264"/>
    <w:bookmarkStart w:id="265" w:name="relação-entre-ec-vc-e-ve"/>
    <w:p>
      <w:pPr>
        <w:pStyle w:val="Heading4"/>
      </w:pPr>
      <w:r>
        <w:t xml:space="preserve">5.8.4 Relação entre EC, VC e VE</w:t>
      </w:r>
    </w:p>
    <w:p>
      <w:pPr>
        <w:pStyle w:val="FirstParagraph"/>
      </w:pPr>
      <w:r>
        <w:t xml:space="preserve">Dispondo de três medidas de bem-estar — EC, VC e VE —, cabe perguntar: como elas se relacionam entre si? Em geral, as três fornecem valores distintos, e a ordenação entre elas depende da natureza do bem e da direção da variação de preço. A intuição da desigualdade abaixo é que a VC usa a curva hicksiana da utilidade inicial (mais baixa, para uma queda de preço), que é mais inclinada; a VE usa a da utilidade final (mais alta), que é menos inclinada; o EC usa a curva marshalliana, que fica</w:t>
      </w:r>
      <w:r>
        <w:t xml:space="preserve"> </w:t>
      </w:r>
      <w:r>
        <w:t xml:space="preserve">“entre”</w:t>
      </w:r>
      <w:r>
        <w:t xml:space="preserve"> </w:t>
      </w:r>
      <w:r>
        <w:t xml:space="preserve">as duas. Para uma queda de preço de um bem normal:</w:t>
      </w:r>
    </w:p>
    <w:p>
      <w:pPr>
        <w:pStyle w:val="BodyText"/>
      </w:pPr>
      <m:oMathPara>
        <m:oMathParaPr>
          <m:jc m:val="center"/>
        </m:oMathParaPr>
        <m:oMath>
          <m:r>
            <m:t>V</m:t>
          </m:r>
          <m:r>
            <m:t>C</m:t>
          </m:r>
          <m:r>
            <m:rPr>
              <m:sty m:val="p"/>
            </m:rPr>
            <m:t>&lt;</m:t>
          </m:r>
          <m:r>
            <m:t>E</m:t>
          </m:r>
          <m:r>
            <m:t>C</m:t>
          </m:r>
          <m:r>
            <m:rPr>
              <m:sty m:val="p"/>
            </m:rPr>
            <m:t>&lt;</m:t>
          </m:r>
          <m:r>
            <m:t>V</m:t>
          </m:r>
          <m:r>
            <m:t>E</m:t>
          </m:r>
        </m:oMath>
      </m:oMathPara>
    </w:p>
    <w:p>
      <w:pPr>
        <w:pStyle w:val="BlockText"/>
      </w:pPr>
      <w:r>
        <w:rPr>
          <w:b/>
          <w:bCs/>
        </w:rPr>
        <w:t xml:space="preserve">[TEOREMA] Proposição — Equivalência das medidas de bem-estar (quase-linear)</w:t>
      </w:r>
    </w:p>
    <w:p>
      <w:pPr>
        <w:pStyle w:val="BlockText"/>
      </w:pPr>
      <w:r>
        <w:t xml:space="preserve">Se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t>v</m:t>
        </m:r>
        <m:r>
          <m:rPr>
            <m:sty m:val="p"/>
          </m:rPr>
          <m:t>(</m:t>
        </m:r>
        <m:sSub>
          <m:e>
            <m:r>
              <m:t>x</m:t>
            </m:r>
          </m:e>
          <m:sub>
            <m:r>
              <m:t>1</m:t>
            </m:r>
          </m:sub>
        </m:sSub>
        <m:r>
          <m:rPr>
            <m:sty m:val="p"/>
          </m:rPr>
          <m:t>)</m:t>
        </m:r>
        <m:r>
          <m:rPr>
            <m:sty m:val="p"/>
          </m:rPr>
          <m:t>+</m:t>
        </m:r>
        <m:sSub>
          <m:e>
            <m:r>
              <m:t>x</m:t>
            </m:r>
          </m:e>
          <m:sub>
            <m:r>
              <m:t>2</m:t>
            </m:r>
          </m:sub>
        </m:sSub>
      </m:oMath>
      <w:r>
        <w:t xml:space="preserve"> </w:t>
      </w:r>
      <w:r>
        <w:t xml:space="preserve">(utilidade quase-linear), então para qualquer variação de preços:</w:t>
      </w:r>
    </w:p>
    <w:p>
      <w:pPr>
        <w:pStyle w:val="BlockText"/>
      </w:pPr>
      <w:r>
        <w:t xml:space="preserve">$$</w:t>
      </w:r>
    </w:p>
    <w:p>
      <w:pPr>
        <w:pStyle w:val="BlockText"/>
      </w:pPr>
      <w:r>
        <w:t xml:space="preserve">VC = VE =</w:t>
      </w:r>
      <w:r>
        <w:t xml:space="preserve"> </w:t>
      </w:r>
      <w:r>
        <w:t xml:space="preserve">EC =</w:t>
      </w:r>
      <w:r>
        <w:t xml:space="preserve"> </w:t>
      </w:r>
      <w:r>
        <w:t xml:space="preserve">_{p_1</w:t>
      </w:r>
      <w:r>
        <w:rPr>
          <w:vertAlign w:val="superscript"/>
        </w:rPr>
        <w:t xml:space="preserve">0}</w:t>
      </w:r>
      <w:r>
        <w:t xml:space="preserve">{p_1^1} x_1^*(p_1), dp_1.</w:t>
      </w:r>
    </w:p>
    <w:p>
      <w:pPr>
        <w:pStyle w:val="BlockText"/>
      </w:pPr>
      <w:r>
        <w:t xml:space="preserve">$$</w:t>
      </w:r>
    </w:p>
    <w:p>
      <w:pPr>
        <w:pStyle w:val="BlockText"/>
      </w:pPr>
      <w:r>
        <w:rPr>
          <w:b/>
          <w:bCs/>
        </w:rPr>
        <w:t xml:space="preserve">Demonstração:</w:t>
      </w:r>
      <w:r>
        <w:t xml:space="preserve"> </w:t>
      </w:r>
      <w:r>
        <w:t xml:space="preserve">a demanda hicksiana por</w:t>
      </w:r>
      <w:r>
        <w:t xml:space="preserve"> </w:t>
      </w:r>
      <m:oMath>
        <m:sSub>
          <m:e>
            <m:r>
              <m:t>x</m:t>
            </m:r>
          </m:e>
          <m:sub>
            <m:r>
              <m:t>1</m:t>
            </m:r>
          </m:sub>
        </m:sSub>
      </m:oMath>
      <w:r>
        <w:t xml:space="preserve"> </w:t>
      </w:r>
      <w:r>
        <w:t xml:space="preserve">é</w:t>
      </w:r>
      <w:r>
        <w:t xml:space="preserve"> </w:t>
      </w:r>
      <m:oMath>
        <m:sSub>
          <m:e>
            <m:r>
              <m:t>h</m:t>
            </m:r>
          </m:e>
          <m:sub>
            <m:r>
              <m:t>1</m:t>
            </m:r>
          </m:sub>
        </m:sSub>
        <m:r>
          <m:rPr>
            <m:sty m:val="p"/>
          </m:rPr>
          <m:t>(</m:t>
        </m:r>
        <m:r>
          <m:rPr>
            <m:sty m:val="bi"/>
          </m:rPr>
          <m:t>p</m:t>
        </m:r>
        <m:r>
          <m:rPr>
            <m:sty m:val="p"/>
          </m:rPr>
          <m:t>,</m:t>
        </m:r>
        <m:acc>
          <m:accPr>
            <m:chr m:val="‾"/>
          </m:accPr>
          <m:e>
            <m:r>
              <m:t>u</m:t>
            </m:r>
          </m:e>
        </m:acc>
        <m:r>
          <m:rPr>
            <m:sty m:val="p"/>
          </m:rPr>
          <m:t>)</m:t>
        </m:r>
        <m:r>
          <m:rPr>
            <m:sty m:val="p"/>
          </m:rPr>
          <m:t>=</m:t>
        </m:r>
        <m:r>
          <m:rPr>
            <m:sty m:val="p"/>
          </m:rPr>
          <m:t>(</m:t>
        </m:r>
        <m:sSup>
          <m:e>
            <m:r>
              <m:t>v</m:t>
            </m:r>
          </m:e>
          <m:sup>
            <m:r>
              <m:rPr>
                <m:sty m:val="p"/>
              </m:rPr>
              <m:t>′</m:t>
            </m:r>
          </m:sup>
        </m:sSup>
        <m:sSup>
          <m:e>
            <m:r>
              <m:rPr>
                <m:sty m:val="p"/>
              </m:rPr>
              <m:t>)</m:t>
            </m:r>
          </m:e>
          <m:sup>
            <m:r>
              <m:rPr>
                <m:sty m:val="p"/>
              </m:rPr>
              <m:t>−</m:t>
            </m:r>
            <m:r>
              <m:t>1</m:t>
            </m:r>
          </m:sup>
        </m:sSup>
        <m:r>
          <m:rPr>
            <m:sty m:val="p"/>
          </m:rPr>
          <m:t>(</m:t>
        </m:r>
        <m:sSub>
          <m:e>
            <m:r>
              <m:t>p</m:t>
            </m:r>
          </m:e>
          <m:sub>
            <m:r>
              <m:t>1</m:t>
            </m:r>
          </m:sub>
        </m:sSub>
        <m:r>
          <m:rPr>
            <m:sty m:val="p"/>
          </m:rPr>
          <m:t>/</m:t>
        </m:r>
        <m:sSub>
          <m:e>
            <m:r>
              <m:t>p</m:t>
            </m:r>
          </m:e>
          <m:sub>
            <m:r>
              <m:t>2</m:t>
            </m:r>
          </m:sub>
        </m:sSub>
        <m:r>
          <m:rPr>
            <m:sty m:val="p"/>
          </m:rPr>
          <m:t>)</m:t>
        </m:r>
      </m:oMath>
      <w:r>
        <w:t xml:space="preserve">, independente de</w:t>
      </w:r>
      <w:r>
        <w:t xml:space="preserve"> </w:t>
      </w:r>
      <m:oMath>
        <m:acc>
          <m:accPr>
            <m:chr m:val="‾"/>
          </m:accPr>
          <m:e>
            <m:r>
              <m:t>u</m:t>
            </m:r>
          </m:e>
        </m:acc>
      </m:oMath>
      <w:r>
        <w:t xml:space="preserve">. Logo a integral de</w:t>
      </w:r>
      <w:r>
        <w:t xml:space="preserve"> </w:t>
      </w:r>
      <m:oMath>
        <m:sSub>
          <m:e>
            <m:r>
              <m:t>h</m:t>
            </m:r>
          </m:e>
          <m:sub>
            <m:r>
              <m:t>1</m:t>
            </m:r>
          </m:sub>
        </m:sSub>
      </m:oMath>
      <w:r>
        <w:t xml:space="preserve"> </w:t>
      </w:r>
      <w:r>
        <w:t xml:space="preserve">entre</w:t>
      </w:r>
      <w:r>
        <w:t xml:space="preserve"> </w:t>
      </w:r>
      <m:oMath>
        <m:sSubSup>
          <m:e>
            <m:r>
              <m:t>p</m:t>
            </m:r>
          </m:e>
          <m:sub>
            <m:r>
              <m:t>1</m:t>
            </m:r>
          </m:sub>
          <m:sup>
            <m:r>
              <m:t>0</m:t>
            </m:r>
          </m:sup>
        </m:sSubSup>
      </m:oMath>
      <w:r>
        <w:t xml:space="preserve"> </w:t>
      </w:r>
      <w:r>
        <w:t xml:space="preserve">e</w:t>
      </w:r>
      <w:r>
        <w:t xml:space="preserve"> </w:t>
      </w:r>
      <m:oMath>
        <m:sSubSup>
          <m:e>
            <m:r>
              <m:t>p</m:t>
            </m:r>
          </m:e>
          <m:sub>
            <m:r>
              <m:t>1</m:t>
            </m:r>
          </m:sub>
          <m:sup>
            <m:r>
              <m:t>1</m:t>
            </m:r>
          </m:sup>
        </m:sSubSup>
      </m:oMath>
      <w:r>
        <w:t xml:space="preserve"> </w:t>
      </w:r>
      <w:r>
        <w:t xml:space="preserve">é a mesma para qualquer nível de utilidade de referência, e coincide com a integral da demanda marshalliana (que também é</w:t>
      </w:r>
      <w:r>
        <w:t xml:space="preserve"> </w:t>
      </w:r>
      <m:oMath>
        <m:r>
          <m:rPr>
            <m:sty m:val="p"/>
          </m:rPr>
          <m:t>(</m:t>
        </m:r>
        <m:sSup>
          <m:e>
            <m:r>
              <m:t>v</m:t>
            </m:r>
          </m:e>
          <m:sup>
            <m:r>
              <m:rPr>
                <m:sty m:val="p"/>
              </m:rPr>
              <m:t>′</m:t>
            </m:r>
          </m:sup>
        </m:sSup>
        <m:sSup>
          <m:e>
            <m:r>
              <m:rPr>
                <m:sty m:val="p"/>
              </m:rPr>
              <m:t>)</m:t>
            </m:r>
          </m:e>
          <m:sup>
            <m:r>
              <m:rPr>
                <m:sty m:val="p"/>
              </m:rPr>
              <m:t>−</m:t>
            </m:r>
            <m:r>
              <m:t>1</m:t>
            </m:r>
          </m:sup>
        </m:sSup>
        <m:r>
          <m:rPr>
            <m:sty m:val="p"/>
          </m:rPr>
          <m:t>(</m:t>
        </m:r>
        <m:sSub>
          <m:e>
            <m:r>
              <m:t>p</m:t>
            </m:r>
          </m:e>
          <m:sub>
            <m:r>
              <m:t>1</m:t>
            </m:r>
          </m:sub>
        </m:sSub>
        <m:r>
          <m:rPr>
            <m:sty m:val="p"/>
          </m:rPr>
          <m:t>/</m:t>
        </m:r>
        <m:sSub>
          <m:e>
            <m:r>
              <m:t>p</m:t>
            </m:r>
          </m:e>
          <m:sub>
            <m:r>
              <m:t>2</m:t>
            </m:r>
          </m:sub>
        </m:sSub>
        <m:r>
          <m:rPr>
            <m:sty m:val="p"/>
          </m:rPr>
          <m:t>)</m:t>
        </m:r>
      </m:oMath>
      <w:r>
        <w:t xml:space="preserve">).</w:t>
      </w:r>
    </w:p>
    <w:p>
      <w:pPr>
        <w:pStyle w:val="FirstParagraph"/>
      </w:pPr>
      <w:r>
        <w:t xml:space="preserve">As três medidas coincidem quando o efeito renda é nulo (utilidade quase-linear), caso em que a curva marshalliana e a hicksiana são idênticas.</w:t>
      </w:r>
    </w:p>
    <w:p>
      <w:pPr>
        <w:pStyle w:val="BlockText"/>
      </w:pPr>
      <w:r>
        <w:rPr>
          <w:b/>
          <w:bCs/>
        </w:rPr>
        <w:t xml:space="preserve">[INTUICAO ECONOMICA] Intuição Econômica</w:t>
      </w:r>
    </w:p>
    <w:p>
      <w:pPr>
        <w:pStyle w:val="BlockText"/>
      </w:pPr>
      <w:r>
        <w:rPr>
          <w:b/>
          <w:bCs/>
        </w:rPr>
        <w:t xml:space="preserve">Em uma frase:</w:t>
      </w:r>
      <w:r>
        <w:t xml:space="preserve"> </w:t>
      </w:r>
      <w:r>
        <w:t xml:space="preserve">A variação compensatória pergunta</w:t>
      </w:r>
      <w:r>
        <w:t xml:space="preserve"> </w:t>
      </w:r>
      <w:r>
        <w:t xml:space="preserve">“quanto dinheiro compensa a perda?”</w:t>
      </w:r>
      <w:r>
        <w:t xml:space="preserve">; a variação equivalente pergunta</w:t>
      </w:r>
      <w:r>
        <w:t xml:space="preserve"> </w:t>
      </w:r>
      <w:r>
        <w:t xml:space="preserve">“quanto você pagaria para evitar a perda?”</w:t>
      </w:r>
      <w:r>
        <w:t xml:space="preserve"> </w:t>
      </w:r>
      <w:r>
        <w:t xml:space="preserve">— são dois ângulos da mesma mudança de bem-estar.</w:t>
      </w:r>
    </w:p>
    <w:p>
      <w:pPr>
        <w:pStyle w:val="BlockText"/>
      </w:pPr>
      <w:r>
        <w:rPr>
          <w:b/>
          <w:bCs/>
        </w:rPr>
        <w:t xml:space="preserve">Pense assim:</w:t>
      </w:r>
      <w:r>
        <w:t xml:space="preserve"> </w:t>
      </w:r>
      <w:r>
        <w:t xml:space="preserve">Suponha que o preço do gás de cozinha dobre. A VC pergunta:</w:t>
      </w:r>
      <w:r>
        <w:t xml:space="preserve"> </w:t>
      </w:r>
      <w:r>
        <w:t xml:space="preserve">“quanto o governo teria que depositar na sua conta para você ficar tão bem quanto antes?”</w:t>
      </w:r>
      <w:r>
        <w:t xml:space="preserve"> </w:t>
      </w:r>
      <w:r>
        <w:t xml:space="preserve">A VE pergunta:</w:t>
      </w:r>
      <w:r>
        <w:t xml:space="preserve"> </w:t>
      </w:r>
      <w:r>
        <w:t xml:space="preserve">“quanto você toparia pagar hoje para garantir que o preço não suba?”</w:t>
      </w:r>
      <w:r>
        <w:t xml:space="preserve"> </w:t>
      </w:r>
      <w:r>
        <w:t xml:space="preserve">As respostas diferem porque seu poder de compra muda entre os dois cenários.</w:t>
      </w:r>
    </w:p>
    <w:p>
      <w:pPr>
        <w:pStyle w:val="BlockText"/>
      </w:pPr>
      <w:r>
        <w:rPr>
          <w:b/>
          <w:bCs/>
        </w:rPr>
        <w:t xml:space="preserve">Por que isso importa:</w:t>
      </w:r>
      <w:r>
        <w:t xml:space="preserve"> </w:t>
      </w:r>
      <w:r>
        <w:t xml:space="preserve">VC e VE são as medidas teoricamente corretas de bem-estar em análises de custo-benefício de políticas públicas, como reajustes tarifários de energia elétrica ou mudanças no ICMS sobre combustíveis.</w:t>
      </w:r>
    </w:p>
    <w:p>
      <w:pPr>
        <w:pStyle w:val="BlockText"/>
      </w:pPr>
      <w:r>
        <w:rPr>
          <w:b/>
          <w:bCs/>
        </w:rPr>
        <w:t xml:space="preserve">[DICA] Quando usar qual medida?</w:t>
      </w:r>
    </w:p>
    <w:p>
      <w:pPr>
        <w:pStyle w:val="Compact"/>
        <w:numPr>
          <w:ilvl w:val="0"/>
          <w:numId w:val="1212"/>
        </w:numPr>
      </w:pPr>
      <w:r>
        <w:rPr>
          <w:b/>
          <w:bCs/>
        </w:rPr>
        <w:t xml:space="preserve">VC</w:t>
      </w:r>
      <w:r>
        <w:t xml:space="preserve"> </w:t>
      </w:r>
      <w:r>
        <w:t xml:space="preserve">é apropriada para avaliar se o consumidor aceitaria uma mudança (quanto precisa ser compensado).</w:t>
      </w:r>
    </w:p>
    <w:p>
      <w:pPr>
        <w:pStyle w:val="Compact"/>
        <w:numPr>
          <w:ilvl w:val="0"/>
          <w:numId w:val="1212"/>
        </w:numPr>
      </w:pPr>
      <w:r>
        <w:rPr>
          <w:b/>
          <w:bCs/>
        </w:rPr>
        <w:t xml:space="preserve">VE</w:t>
      </w:r>
      <w:r>
        <w:t xml:space="preserve"> </w:t>
      </w:r>
      <w:r>
        <w:t xml:space="preserve">é apropriada para avaliar quanto o consumidor pagaria para obter uma mudança.</w:t>
      </w:r>
    </w:p>
    <w:p>
      <w:pPr>
        <w:pStyle w:val="Compact"/>
        <w:numPr>
          <w:ilvl w:val="0"/>
          <w:numId w:val="1212"/>
        </w:numPr>
      </w:pPr>
      <w:r>
        <w:rPr>
          <w:b/>
          <w:bCs/>
        </w:rPr>
        <w:t xml:space="preserve">EC</w:t>
      </w:r>
      <w:r>
        <w:t xml:space="preserve"> </w:t>
      </w:r>
      <w:r>
        <w:t xml:space="preserve">marshalliano é uma aproximação prática, amplamente usada em análise de políticas públicas pela sua facilidade de cálculo.</w:t>
      </w:r>
    </w:p>
    <w:p>
      <w:pPr>
        <w:pStyle w:val="BlockText"/>
      </w:pPr>
      <w:r>
        <w:rPr>
          <w:b/>
          <w:bCs/>
        </w:rPr>
        <w:t xml:space="preserve">[EXERCICIO RESOLVIDO] Exercício Resolvido 5.2</w:t>
      </w:r>
    </w:p>
    <w:p>
      <w:pPr>
        <w:pStyle w:val="BlockText"/>
      </w:pPr>
      <w:r>
        <w:rPr>
          <w:b/>
          <w:bCs/>
        </w:rPr>
        <w:t xml:space="preserve">Enunciado:</w:t>
      </w:r>
      <w:r>
        <w:t xml:space="preserve"> </w:t>
      </w:r>
      <w:r>
        <w:t xml:space="preserve">Um consumidor possui utilidade quase-linear</w:t>
      </w:r>
      <w:r>
        <w:t xml:space="preserve"> </w:t>
      </w:r>
      <m:oMath>
        <m:r>
          <m:t>U</m:t>
        </m:r>
        <m:r>
          <m:rPr>
            <m:sty m:val="p"/>
          </m:rPr>
          <m:t>(</m:t>
        </m:r>
        <m:r>
          <m:t>x</m:t>
        </m:r>
        <m:r>
          <m:rPr>
            <m:sty m:val="p"/>
          </m:rPr>
          <m:t>,</m:t>
        </m:r>
        <m:r>
          <m:t>y</m:t>
        </m:r>
        <m:r>
          <m:rPr>
            <m:sty m:val="p"/>
          </m:rPr>
          <m:t>)</m:t>
        </m:r>
        <m:r>
          <m:rPr>
            <m:sty m:val="p"/>
          </m:rPr>
          <m:t>=</m:t>
        </m:r>
        <m:r>
          <m:t>2</m:t>
        </m:r>
        <m:rad>
          <m:radPr>
            <m:degHide m:val="on"/>
          </m:radPr>
          <m:deg/>
          <m:e>
            <m:r>
              <m:t>x</m:t>
            </m:r>
          </m:e>
        </m:rad>
        <m:r>
          <m:rPr>
            <m:sty m:val="p"/>
          </m:rPr>
          <m:t>+</m:t>
        </m:r>
        <m:r>
          <m:t>y</m:t>
        </m:r>
      </m:oMath>
      <w:r>
        <w:t xml:space="preserve">, com</w:t>
      </w:r>
      <w:r>
        <w:t xml:space="preserve"> </w:t>
      </w:r>
      <m:oMath>
        <m:sSub>
          <m:e>
            <m:r>
              <m:t>p</m:t>
            </m:r>
          </m:e>
          <m:sub>
            <m:r>
              <m:t>y</m:t>
            </m:r>
          </m:sub>
        </m:sSub>
        <m:r>
          <m:rPr>
            <m:sty m:val="p"/>
          </m:rPr>
          <m:t>=</m:t>
        </m:r>
        <m:r>
          <m:t>1</m:t>
        </m:r>
      </m:oMath>
      <w:r>
        <w:t xml:space="preserve"> </w:t>
      </w:r>
      <w:r>
        <w:t xml:space="preserve">e renda</w:t>
      </w:r>
      <w:r>
        <w:t xml:space="preserve"> </w:t>
      </w:r>
      <m:oMath>
        <m:r>
          <m:t>I</m:t>
        </m:r>
        <m:r>
          <m:rPr>
            <m:sty m:val="p"/>
          </m:rPr>
          <m:t>=</m:t>
        </m:r>
        <m:r>
          <m:t>10</m:t>
        </m:r>
      </m:oMath>
      <w:r>
        <w:t xml:space="preserve">. O preço de</w:t>
      </w:r>
      <w:r>
        <w:t xml:space="preserve"> </w:t>
      </w:r>
      <m:oMath>
        <m:r>
          <m:t>x</m:t>
        </m:r>
      </m:oMath>
      <w:r>
        <w:t xml:space="preserve"> </w:t>
      </w:r>
      <w:r>
        <w:t xml:space="preserve">sobe de</w:t>
      </w:r>
      <w:r>
        <w:t xml:space="preserve"> </w:t>
      </w:r>
      <m:oMath>
        <m:sSub>
          <m:e>
            <m:r>
              <m:t>p</m:t>
            </m:r>
          </m:e>
          <m:sub>
            <m:r>
              <m:t>x</m:t>
            </m:r>
          </m:sub>
        </m:sSub>
        <m:r>
          <m:rPr>
            <m:sty m:val="p"/>
          </m:rPr>
          <m:t>=</m:t>
        </m:r>
        <m:r>
          <m:t>1</m:t>
        </m:r>
      </m:oMath>
      <w:r>
        <w:t xml:space="preserve"> </w:t>
      </w:r>
      <w:r>
        <w:t xml:space="preserve">para</w:t>
      </w:r>
      <w:r>
        <w:t xml:space="preserve"> </w:t>
      </w:r>
      <m:oMath>
        <m:sSubSup>
          <m:e>
            <m:r>
              <m:t>p</m:t>
            </m:r>
          </m:e>
          <m:sub>
            <m:r>
              <m:t>x</m:t>
            </m:r>
          </m:sub>
          <m:sup>
            <m:r>
              <m:rPr>
                <m:sty m:val="p"/>
              </m:rPr>
              <m:t>′</m:t>
            </m:r>
          </m:sup>
        </m:sSubSup>
        <m:r>
          <m:rPr>
            <m:sty m:val="p"/>
          </m:rPr>
          <m:t>=</m:t>
        </m:r>
        <m:r>
          <m:t>4</m:t>
        </m:r>
      </m:oMath>
      <w:r>
        <w:t xml:space="preserve">. Calcule a VC, a VE e a variação no EC. Confirme que as três medidas coincidem.</w:t>
      </w:r>
    </w:p>
    <w:p>
      <w:pPr>
        <w:pStyle w:val="BlockText"/>
      </w:pPr>
      <w:r>
        <w:rPr>
          <w:b/>
          <w:bCs/>
        </w:rPr>
        <w:t xml:space="preserve">Dados:</w:t>
      </w:r>
      <w:r>
        <w:t xml:space="preserve"> </w:t>
      </w:r>
      <m:oMath>
        <m:r>
          <m:t>U</m:t>
        </m:r>
        <m:r>
          <m:rPr>
            <m:sty m:val="p"/>
          </m:rPr>
          <m:t>=</m:t>
        </m:r>
        <m:r>
          <m:t>2</m:t>
        </m:r>
        <m:rad>
          <m:radPr>
            <m:degHide m:val="on"/>
          </m:radPr>
          <m:deg/>
          <m:e>
            <m:r>
              <m:t>x</m:t>
            </m:r>
          </m:e>
        </m:rad>
        <m:r>
          <m:rPr>
            <m:sty m:val="p"/>
          </m:rPr>
          <m:t>+</m:t>
        </m:r>
        <m:r>
          <m:t>y</m:t>
        </m:r>
      </m:oMath>
      <w:r>
        <w:t xml:space="preserve">,</w:t>
      </w:r>
      <w:r>
        <w:t xml:space="preserve"> </w:t>
      </w:r>
      <m:oMath>
        <m:sSub>
          <m:e>
            <m:r>
              <m:t>p</m:t>
            </m:r>
          </m:e>
          <m:sub>
            <m:r>
              <m:t>y</m:t>
            </m:r>
          </m:sub>
        </m:sSub>
        <m:r>
          <m:rPr>
            <m:sty m:val="p"/>
          </m:rPr>
          <m:t>=</m:t>
        </m:r>
        <m:r>
          <m:t>1</m:t>
        </m:r>
      </m:oMath>
      <w:r>
        <w:t xml:space="preserve">,</w:t>
      </w:r>
      <w:r>
        <w:t xml:space="preserve"> </w:t>
      </w:r>
      <m:oMath>
        <m:r>
          <m:t>I</m:t>
        </m:r>
        <m:r>
          <m:rPr>
            <m:sty m:val="p"/>
          </m:rPr>
          <m:t>=</m:t>
        </m:r>
        <m:r>
          <m:t>10</m:t>
        </m:r>
      </m:oMath>
      <w:r>
        <w:t xml:space="preserve">,</w:t>
      </w:r>
      <w:r>
        <w:t xml:space="preserve"> </w:t>
      </w:r>
      <m:oMath>
        <m:sSubSup>
          <m:e>
            <m:r>
              <m:t>p</m:t>
            </m:r>
          </m:e>
          <m:sub>
            <m:r>
              <m:t>x</m:t>
            </m:r>
          </m:sub>
          <m:sup>
            <m:r>
              <m:t>0</m:t>
            </m:r>
          </m:sup>
        </m:sSubSup>
        <m:r>
          <m:rPr>
            <m:sty m:val="p"/>
          </m:rPr>
          <m:t>=</m:t>
        </m:r>
        <m:r>
          <m:t>1</m:t>
        </m:r>
      </m:oMath>
      <w:r>
        <w:t xml:space="preserve">,</w:t>
      </w:r>
      <w:r>
        <w:t xml:space="preserve"> </w:t>
      </w:r>
      <m:oMath>
        <m:sSubSup>
          <m:e>
            <m:r>
              <m:t>p</m:t>
            </m:r>
          </m:e>
          <m:sub>
            <m:r>
              <m:t>x</m:t>
            </m:r>
          </m:sub>
          <m:sup>
            <m:r>
              <m:t>1</m:t>
            </m:r>
          </m:sup>
        </m:sSubSup>
        <m:r>
          <m:rPr>
            <m:sty m:val="p"/>
          </m:rPr>
          <m:t>=</m:t>
        </m:r>
        <m:r>
          <m:t>4</m:t>
        </m:r>
      </m:oMath>
      <w:r>
        <w:t xml:space="preserve">.</w:t>
      </w:r>
    </w:p>
    <w:p>
      <w:pPr>
        <w:pStyle w:val="BlockText"/>
      </w:pPr>
      <w:r>
        <w:rPr>
          <w:b/>
          <w:bCs/>
        </w:rPr>
        <w:t xml:space="preserve">Resolução:</w:t>
      </w:r>
    </w:p>
    <w:p>
      <w:pPr>
        <w:pStyle w:val="BlockText"/>
      </w:pPr>
      <w:r>
        <w:rPr>
          <w:b/>
          <w:bCs/>
        </w:rPr>
        <w:t xml:space="preserve">Passo 1 — Demandas marshallianas</w:t>
      </w:r>
    </w:p>
    <w:p>
      <w:pPr>
        <w:pStyle w:val="BlockText"/>
      </w:pPr>
      <w:r>
        <w:t xml:space="preserve">CPO (interior):</w:t>
      </w:r>
      <w:r>
        <w:t xml:space="preserve"> </w:t>
      </w:r>
      <m:oMath>
        <m:f>
          <m:fPr>
            <m:type m:val="bar"/>
          </m:fPr>
          <m:num>
            <m:r>
              <m:t>1</m:t>
            </m:r>
          </m:num>
          <m:den>
            <m:rad>
              <m:radPr>
                <m:degHide m:val="on"/>
              </m:radPr>
              <m:deg/>
              <m:e>
                <m:r>
                  <m:t>x</m:t>
                </m:r>
              </m:e>
            </m:rad>
          </m:den>
        </m:f>
        <m:r>
          <m:rPr>
            <m:sty m:val="p"/>
          </m:rPr>
          <m:t>=</m:t>
        </m:r>
        <m:f>
          <m:fPr>
            <m:type m:val="bar"/>
          </m:fPr>
          <m:num>
            <m:sSub>
              <m:e>
                <m:r>
                  <m:t>p</m:t>
                </m:r>
              </m:e>
              <m:sub>
                <m:r>
                  <m:t>x</m:t>
                </m:r>
              </m:sub>
            </m:sSub>
          </m:num>
          <m:den>
            <m:sSub>
              <m:e>
                <m:r>
                  <m:t>p</m:t>
                </m:r>
              </m:e>
              <m:sub>
                <m:r>
                  <m:t>y</m:t>
                </m:r>
              </m:sub>
            </m:sSub>
          </m:den>
        </m:f>
        <m:r>
          <m:rPr>
            <m:sty m:val="p"/>
          </m:rPr>
          <m:t>=</m:t>
        </m:r>
        <m:sSub>
          <m:e>
            <m:r>
              <m:t>p</m:t>
            </m:r>
          </m:e>
          <m:sub>
            <m:r>
              <m:t>x</m:t>
            </m:r>
          </m:sub>
        </m:sSub>
      </m:oMath>
      <w:r>
        <w:t xml:space="preserve">. Logo</w:t>
      </w:r>
      <w:r>
        <w:t xml:space="preserve"> </w:t>
      </w:r>
      <m:oMath>
        <m:r>
          <m:t>x</m:t>
        </m:r>
        <m:r>
          <m:rPr>
            <m:sty m:val="p"/>
          </m:rPr>
          <m:t>=</m:t>
        </m:r>
        <m:f>
          <m:fPr>
            <m:type m:val="bar"/>
          </m:fPr>
          <m:num>
            <m:r>
              <m:t>1</m:t>
            </m:r>
          </m:num>
          <m:den>
            <m:sSubSup>
              <m:e>
                <m:r>
                  <m:t>p</m:t>
                </m:r>
              </m:e>
              <m:sub>
                <m:r>
                  <m:t>x</m:t>
                </m:r>
              </m:sub>
              <m:sup>
                <m:r>
                  <m:t>2</m:t>
                </m:r>
              </m:sup>
            </m:sSubSup>
          </m:den>
        </m:f>
      </m:oMath>
      <w:r>
        <w:t xml:space="preserve"> </w:t>
      </w:r>
      <w:r>
        <w:t xml:space="preserve">e</w:t>
      </w:r>
      <w:r>
        <w:t xml:space="preserve"> </w:t>
      </w:r>
      <m:oMath>
        <m:r>
          <m:t>y</m:t>
        </m:r>
        <m:r>
          <m:rPr>
            <m:sty m:val="p"/>
          </m:rPr>
          <m:t>=</m:t>
        </m:r>
        <m:r>
          <m:t>I</m:t>
        </m:r>
        <m:r>
          <m:rPr>
            <m:sty m:val="p"/>
          </m:rPr>
          <m:t>−</m:t>
        </m:r>
        <m:sSub>
          <m:e>
            <m:r>
              <m:t>p</m:t>
            </m:r>
          </m:e>
          <m:sub>
            <m:r>
              <m:t>x</m:t>
            </m:r>
          </m:sub>
        </m:sSub>
        <m:r>
          <m:rPr>
            <m:sty m:val="p"/>
          </m:rPr>
          <m:t>⋅</m:t>
        </m:r>
        <m:r>
          <m:t>x</m:t>
        </m:r>
        <m:r>
          <m:rPr>
            <m:sty m:val="p"/>
          </m:rPr>
          <m:t>=</m:t>
        </m:r>
        <m:r>
          <m:t>I</m:t>
        </m:r>
        <m:r>
          <m:rPr>
            <m:sty m:val="p"/>
          </m:rPr>
          <m:t>−</m:t>
        </m:r>
        <m:f>
          <m:fPr>
            <m:type m:val="bar"/>
          </m:fPr>
          <m:num>
            <m:r>
              <m:t>1</m:t>
            </m:r>
          </m:num>
          <m:den>
            <m:sSub>
              <m:e>
                <m:r>
                  <m:t>p</m:t>
                </m:r>
              </m:e>
              <m:sub>
                <m:r>
                  <m:t>x</m:t>
                </m:r>
              </m:sub>
            </m:sSub>
          </m:den>
        </m:f>
      </m:oMath>
      <w:r>
        <w:t xml:space="preserve">.</w:t>
      </w:r>
    </w:p>
    <w:p>
      <w:pPr>
        <w:pStyle w:val="Compact"/>
        <w:numPr>
          <w:ilvl w:val="0"/>
          <w:numId w:val="1213"/>
        </w:numPr>
      </w:pPr>
      <w:r>
        <w:t xml:space="preserve">Situação inicial:</w:t>
      </w:r>
      <w:r>
        <w:t xml:space="preserve"> </w:t>
      </w:r>
      <m:oMath>
        <m:sSub>
          <m:e>
            <m:r>
              <m:t>x</m:t>
            </m:r>
          </m:e>
          <m:sub>
            <m:r>
              <m:t>0</m:t>
            </m:r>
          </m:sub>
        </m:sSub>
        <m:r>
          <m:rPr>
            <m:sty m:val="p"/>
          </m:rPr>
          <m:t>=</m:t>
        </m:r>
        <m:r>
          <m:t>1</m:t>
        </m:r>
      </m:oMath>
      <w:r>
        <w:t xml:space="preserve">,</w:t>
      </w:r>
      <w:r>
        <w:t xml:space="preserve"> </w:t>
      </w:r>
      <m:oMath>
        <m:sSub>
          <m:e>
            <m:r>
              <m:t>y</m:t>
            </m:r>
          </m:e>
          <m:sub>
            <m:r>
              <m:t>0</m:t>
            </m:r>
          </m:sub>
        </m:sSub>
        <m:r>
          <m:rPr>
            <m:sty m:val="p"/>
          </m:rPr>
          <m:t>=</m:t>
        </m:r>
        <m:r>
          <m:t>10</m:t>
        </m:r>
        <m:r>
          <m:rPr>
            <m:sty m:val="p"/>
          </m:rPr>
          <m:t>−</m:t>
        </m:r>
        <m:r>
          <m:t>1</m:t>
        </m:r>
        <m:r>
          <m:rPr>
            <m:sty m:val="p"/>
          </m:rPr>
          <m:t>=</m:t>
        </m:r>
        <m:r>
          <m:t>9</m:t>
        </m:r>
      </m:oMath>
      <w:r>
        <w:t xml:space="preserve">.</w:t>
      </w:r>
      <w:r>
        <w:t xml:space="preserve"> </w:t>
      </w:r>
      <m:oMath>
        <m:sSub>
          <m:e>
            <m:r>
              <m:t>U</m:t>
            </m:r>
          </m:e>
          <m:sub>
            <m:r>
              <m:t>0</m:t>
            </m:r>
          </m:sub>
        </m:sSub>
        <m:r>
          <m:rPr>
            <m:sty m:val="p"/>
          </m:rPr>
          <m:t>=</m:t>
        </m:r>
        <m:r>
          <m:t>2</m:t>
        </m:r>
        <m:r>
          <m:rPr>
            <m:sty m:val="p"/>
          </m:rPr>
          <m:t>+</m:t>
        </m:r>
        <m:r>
          <m:t>9</m:t>
        </m:r>
        <m:r>
          <m:rPr>
            <m:sty m:val="p"/>
          </m:rPr>
          <m:t>=</m:t>
        </m:r>
        <m:r>
          <m:t>11</m:t>
        </m:r>
      </m:oMath>
      <w:r>
        <w:t xml:space="preserve">.</w:t>
      </w:r>
    </w:p>
    <w:p>
      <w:pPr>
        <w:pStyle w:val="Compact"/>
        <w:numPr>
          <w:ilvl w:val="0"/>
          <w:numId w:val="1213"/>
        </w:numPr>
      </w:pPr>
      <w:r>
        <w:t xml:space="preserve">Situação final:</w:t>
      </w:r>
      <w:r>
        <w:t xml:space="preserve"> </w:t>
      </w:r>
      <m:oMath>
        <m:sSub>
          <m:e>
            <m:r>
              <m:t>x</m:t>
            </m:r>
          </m:e>
          <m:sub>
            <m:r>
              <m:t>1</m:t>
            </m:r>
          </m:sub>
        </m:sSub>
        <m:r>
          <m:rPr>
            <m:sty m:val="p"/>
          </m:rPr>
          <m:t>=</m:t>
        </m:r>
        <m:r>
          <m:t>1</m:t>
        </m:r>
        <m:r>
          <m:rPr>
            <m:sty m:val="p"/>
          </m:rPr>
          <m:t>/</m:t>
        </m:r>
        <m:r>
          <m:t>16</m:t>
        </m:r>
      </m:oMath>
      <w:r>
        <w:t xml:space="preserve">,</w:t>
      </w:r>
      <w:r>
        <w:t xml:space="preserve"> </w:t>
      </w:r>
      <m:oMath>
        <m:sSub>
          <m:e>
            <m:r>
              <m:t>y</m:t>
            </m:r>
          </m:e>
          <m:sub>
            <m:r>
              <m:t>1</m:t>
            </m:r>
          </m:sub>
        </m:sSub>
        <m:r>
          <m:rPr>
            <m:sty m:val="p"/>
          </m:rPr>
          <m:t>=</m:t>
        </m:r>
        <m:r>
          <m:t>10</m:t>
        </m:r>
        <m:r>
          <m:rPr>
            <m:sty m:val="p"/>
          </m:rPr>
          <m:t>−</m:t>
        </m:r>
        <m:r>
          <m:t>4</m:t>
        </m:r>
        <m:r>
          <m:rPr>
            <m:sty m:val="p"/>
          </m:rPr>
          <m:t>/</m:t>
        </m:r>
        <m:r>
          <m:t>16</m:t>
        </m:r>
        <m:r>
          <m:rPr>
            <m:sty m:val="p"/>
          </m:rPr>
          <m:t>=</m:t>
        </m:r>
        <m:r>
          <m:t>10</m:t>
        </m:r>
        <m:r>
          <m:rPr>
            <m:sty m:val="p"/>
          </m:rPr>
          <m:t>−</m:t>
        </m:r>
        <m:r>
          <m:t>0</m:t>
        </m:r>
        <m:r>
          <m:rPr>
            <m:sty m:val="p"/>
          </m:rPr>
          <m:t>,</m:t>
        </m:r>
        <m:r>
          <m:t>25</m:t>
        </m:r>
        <m:r>
          <m:rPr>
            <m:sty m:val="p"/>
          </m:rPr>
          <m:t>=</m:t>
        </m:r>
        <m:r>
          <m:t>9</m:t>
        </m:r>
        <m:r>
          <m:rPr>
            <m:sty m:val="p"/>
          </m:rPr>
          <m:t>,</m:t>
        </m:r>
        <m:r>
          <m:t>75</m:t>
        </m:r>
      </m:oMath>
      <w:r>
        <w:t xml:space="preserve">.</w:t>
      </w:r>
      <w:r>
        <w:t xml:space="preserve"> </w:t>
      </w:r>
      <m:oMath>
        <m:sSub>
          <m:e>
            <m:r>
              <m:t>U</m:t>
            </m:r>
          </m:e>
          <m:sub>
            <m:r>
              <m:t>1</m:t>
            </m:r>
          </m:sub>
        </m:sSub>
        <m:r>
          <m:rPr>
            <m:sty m:val="p"/>
          </m:rPr>
          <m:t>=</m:t>
        </m:r>
        <m:r>
          <m:t>2</m:t>
        </m:r>
        <m:r>
          <m:rPr>
            <m:sty m:val="p"/>
          </m:rPr>
          <m:t>×</m:t>
        </m:r>
        <m:r>
          <m:t>0</m:t>
        </m:r>
        <m:r>
          <m:rPr>
            <m:sty m:val="p"/>
          </m:rPr>
          <m:t>,</m:t>
        </m:r>
        <m:r>
          <m:t>25</m:t>
        </m:r>
        <m:r>
          <m:rPr>
            <m:sty m:val="p"/>
          </m:rPr>
          <m:t>+</m:t>
        </m:r>
        <m:r>
          <m:t>9</m:t>
        </m:r>
        <m:r>
          <m:rPr>
            <m:sty m:val="p"/>
          </m:rPr>
          <m:t>,</m:t>
        </m:r>
        <m:r>
          <m:t>75</m:t>
        </m:r>
        <m:r>
          <m:rPr>
            <m:sty m:val="p"/>
          </m:rPr>
          <m:t>=</m:t>
        </m:r>
        <m:r>
          <m:t>10</m:t>
        </m:r>
        <m:r>
          <m:rPr>
            <m:sty m:val="p"/>
          </m:rPr>
          <m:t>,</m:t>
        </m:r>
        <m:r>
          <m:t>25</m:t>
        </m:r>
      </m:oMath>
      <w:r>
        <w:t xml:space="preserve">.</w:t>
      </w:r>
    </w:p>
    <w:p>
      <w:pPr>
        <w:pStyle w:val="BlockText"/>
      </w:pPr>
      <w:r>
        <w:rPr>
          <w:b/>
          <w:bCs/>
        </w:rPr>
        <w:t xml:space="preserve">Passo 2 — Função dispêndio</w:t>
      </w:r>
    </w:p>
    <w:p>
      <w:pPr>
        <w:pStyle w:val="BlockText"/>
      </w:pPr>
      <w:r>
        <w:t xml:space="preserve">Para utilidade quase-linear, a demanda hicksiana por</w:t>
      </w:r>
      <w:r>
        <w:t xml:space="preserve"> </w:t>
      </w:r>
      <m:oMath>
        <m:r>
          <m:t>x</m:t>
        </m:r>
      </m:oMath>
      <w:r>
        <w:t xml:space="preserve"> </w:t>
      </w:r>
      <w:r>
        <w:t xml:space="preserve">é</w:t>
      </w:r>
      <w:r>
        <w:t xml:space="preserve"> </w:t>
      </w:r>
      <m:oMath>
        <m:sSub>
          <m:e>
            <m:r>
              <m:t>h</m:t>
            </m:r>
          </m:e>
          <m:sub>
            <m:r>
              <m:t>x</m:t>
            </m:r>
          </m:sub>
        </m:sSub>
        <m:r>
          <m:rPr>
            <m:sty m:val="p"/>
          </m:rPr>
          <m:t>=</m:t>
        </m:r>
        <m:r>
          <m:t>1</m:t>
        </m:r>
        <m:r>
          <m:rPr>
            <m:sty m:val="p"/>
          </m:rPr>
          <m:t>/</m:t>
        </m:r>
        <m:sSubSup>
          <m:e>
            <m:r>
              <m:t>p</m:t>
            </m:r>
          </m:e>
          <m:sub>
            <m:r>
              <m:t>x</m:t>
            </m:r>
          </m:sub>
          <m:sup>
            <m:r>
              <m:t>2</m:t>
            </m:r>
          </m:sup>
        </m:sSubSup>
      </m:oMath>
      <w:r>
        <w:t xml:space="preserve"> </w:t>
      </w:r>
      <w:r>
        <w:t xml:space="preserve">(independente de</w:t>
      </w:r>
      <w:r>
        <w:t xml:space="preserve"> </w:t>
      </w:r>
      <m:oMath>
        <m:acc>
          <m:accPr>
            <m:chr m:val="‾"/>
          </m:accPr>
          <m:e>
            <m:r>
              <m:t>U</m:t>
            </m:r>
          </m:e>
        </m:acc>
      </m:oMath>
      <w:r>
        <w:t xml:space="preserve">), e</w:t>
      </w:r>
      <w:r>
        <w:t xml:space="preserve"> </w:t>
      </w:r>
      <m:oMath>
        <m:sSub>
          <m:e>
            <m:r>
              <m:t>h</m:t>
            </m:r>
          </m:e>
          <m:sub>
            <m:r>
              <m:t>y</m:t>
            </m:r>
          </m:sub>
        </m:sSub>
        <m:r>
          <m:rPr>
            <m:sty m:val="p"/>
          </m:rPr>
          <m:t>=</m:t>
        </m:r>
        <m:acc>
          <m:accPr>
            <m:chr m:val="‾"/>
          </m:accPr>
          <m:e>
            <m:r>
              <m:t>U</m:t>
            </m:r>
          </m:e>
        </m:acc>
        <m:r>
          <m:rPr>
            <m:sty m:val="p"/>
          </m:rPr>
          <m:t>−</m:t>
        </m:r>
        <m:r>
          <m:t>2</m:t>
        </m:r>
        <m:r>
          <m:rPr>
            <m:sty m:val="p"/>
          </m:rPr>
          <m:t>/</m:t>
        </m:r>
        <m:sSub>
          <m:e>
            <m:r>
              <m:t>p</m:t>
            </m:r>
          </m:e>
          <m:sub>
            <m:r>
              <m:t>x</m:t>
            </m:r>
          </m:sub>
        </m:sSub>
      </m:oMath>
      <w:r>
        <w:t xml:space="preserve">. Logo:</w:t>
      </w:r>
    </w:p>
    <w:p>
      <w:pPr>
        <w:pStyle w:val="BlockText"/>
      </w:pPr>
      <w:r>
        <w:t xml:space="preserve">$$</w:t>
      </w:r>
    </w:p>
    <w:p>
      <w:pPr>
        <w:pStyle w:val="BlockText"/>
      </w:pPr>
      <w:r>
        <w:t xml:space="preserve">E(p_x, p_y,</w:t>
      </w:r>
      <w:r>
        <w:t xml:space="preserve"> </w:t>
      </w:r>
      <w:r>
        <w:t xml:space="preserve">{U}) = p_x</w:t>
      </w:r>
      <w:r>
        <w:t xml:space="preserve"> </w:t>
      </w:r>
      <w:r>
        <w:t xml:space="preserve"> </w:t>
      </w:r>
      <w:r>
        <w:t xml:space="preserve">+ 1</w:t>
      </w:r>
      <w:r>
        <w:t xml:space="preserve"> </w:t>
      </w:r>
      <w:r>
        <w:t xml:space="preserve">(</w:t>
      </w:r>
      <w:r>
        <w:t xml:space="preserve">{U} -</w:t>
      </w:r>
      <w:r>
        <w:t xml:space="preserve"> </w:t>
      </w:r>
      <w:r>
        <w:t xml:space="preserve">) =</w:t>
      </w:r>
      <w:r>
        <w:t xml:space="preserve"> </w:t>
      </w:r>
      <w:r>
        <w:t xml:space="preserve"> </w:t>
      </w:r>
      <w:r>
        <w:t xml:space="preserve">+</w:t>
      </w:r>
      <w:r>
        <w:t xml:space="preserve"> </w:t>
      </w:r>
      <w:r>
        <w:t xml:space="preserve">{U} -</w:t>
      </w:r>
      <w:r>
        <w:t xml:space="preserve"> </w:t>
      </w:r>
      <w:r>
        <w:t xml:space="preserve"> </w:t>
      </w:r>
      <w:r>
        <w:t xml:space="preserve">=</w:t>
      </w:r>
      <w:r>
        <w:t xml:space="preserve"> </w:t>
      </w:r>
      <w:r>
        <w:t xml:space="preserve">{U} -</w:t>
      </w:r>
      <w:r>
        <w:t xml:space="preserve"> </w:t>
      </w:r>
    </w:p>
    <w:p>
      <w:pPr>
        <w:pStyle w:val="BlockText"/>
      </w:pPr>
      <w:r>
        <w:t xml:space="preserve">$$</w:t>
      </w:r>
    </w:p>
    <w:p>
      <w:pPr>
        <w:pStyle w:val="BlockText"/>
      </w:pPr>
      <w:r>
        <w:rPr>
          <w:b/>
          <w:bCs/>
        </w:rPr>
        <w:t xml:space="preserve">Passo 3 — VC, VE e</w:t>
      </w:r>
      <w:r>
        <w:rPr>
          <w:b/>
          <w:bCs/>
        </w:rPr>
        <w:t xml:space="preserve"> </w:t>
      </w:r>
      <m:oMath>
        <m:r>
          <m:rPr>
            <m:sty m:val="p"/>
          </m:rPr>
          <m:t>Δ</m:t>
        </m:r>
        <m:r>
          <m:t>E</m:t>
        </m:r>
        <m:r>
          <m:t>C</m:t>
        </m:r>
      </m:oMath>
    </w:p>
    <w:p>
      <w:pPr>
        <w:pStyle w:val="BlockText"/>
      </w:pPr>
      <w:r>
        <w:t xml:space="preserve">$$</w:t>
      </w:r>
    </w:p>
    <w:p>
      <w:pPr>
        <w:pStyle w:val="BlockText"/>
      </w:pPr>
      <w:r>
        <w:t xml:space="preserve">VC = E(p_x^1, U_0) - I =</w:t>
      </w:r>
      <w:r>
        <w:t xml:space="preserve"> </w:t>
      </w:r>
      <w:r>
        <w:t xml:space="preserve">(11 -</w:t>
      </w:r>
      <w:r>
        <w:t xml:space="preserve"> </w:t>
      </w:r>
      <w:r>
        <w:t xml:space="preserve">) - 10 = 10{,}75 - 10 = 0{,}75</w:t>
      </w:r>
    </w:p>
    <w:p>
      <w:pPr>
        <w:pStyle w:val="BlockText"/>
      </w:pPr>
      <w:r>
        <w:t xml:space="preserve">$$</w:t>
      </w:r>
    </w:p>
    <w:p>
      <w:pPr>
        <w:pStyle w:val="BlockText"/>
      </w:pPr>
      <w:r>
        <w:t xml:space="preserve">$$</w:t>
      </w:r>
    </w:p>
    <w:p>
      <w:pPr>
        <w:pStyle w:val="BlockText"/>
      </w:pPr>
      <w:r>
        <w:t xml:space="preserve">VE = I - E(p_x^0, U_1) = 10 -</w:t>
      </w:r>
      <w:r>
        <w:t xml:space="preserve"> </w:t>
      </w:r>
      <w:r>
        <w:t xml:space="preserve">(10{,}25 - 1</w:t>
      </w:r>
      <w:r>
        <w:t xml:space="preserve">) = 10 - 9{,}25 = 0{,}75</w:t>
      </w:r>
    </w:p>
    <w:p>
      <w:pPr>
        <w:pStyle w:val="BlockText"/>
      </w:pPr>
      <w:r>
        <w:t xml:space="preserve">$$</w:t>
      </w:r>
    </w:p>
    <w:p>
      <w:pPr>
        <w:pStyle w:val="BlockText"/>
      </w:pPr>
      <w:r>
        <w:t xml:space="preserve">$$</w:t>
      </w:r>
    </w:p>
    <w:p>
      <w:pPr>
        <w:pStyle w:val="BlockText"/>
      </w:pPr>
      <w:r>
        <w:t xml:space="preserve">EC =</w:t>
      </w:r>
      <w:r>
        <w:t xml:space="preserve"> </w:t>
      </w:r>
      <w:r>
        <w:rPr>
          <w:i/>
          <w:iCs/>
        </w:rPr>
        <w:t xml:space="preserve">{p_x</w:t>
      </w:r>
      <w:r>
        <w:rPr>
          <w:i/>
          <w:iCs/>
          <w:vertAlign w:val="superscript"/>
        </w:rPr>
        <w:t xml:space="preserve">0}</w:t>
      </w:r>
      <w:r>
        <w:rPr>
          <w:i/>
          <w:iCs/>
        </w:rPr>
        <w:t xml:space="preserve">{p_x^1} x(p) , dp =</w:t>
      </w:r>
      <w:r>
        <w:rPr>
          <w:i/>
          <w:iCs/>
        </w:rPr>
        <w:t xml:space="preserve"> </w:t>
      </w:r>
      <w:r>
        <w:t xml:space="preserve">{1}^{4}</w:t>
      </w:r>
      <w:r>
        <w:t xml:space="preserve"> </w:t>
      </w:r>
      <w:r>
        <w:t xml:space="preserve"> </w:t>
      </w:r>
      <w:r>
        <w:t xml:space="preserve">, dp =</w:t>
      </w:r>
      <w:r>
        <w:t xml:space="preserve"> </w:t>
      </w:r>
      <w:r>
        <w:t xml:space="preserve">_1^4 = -</w:t>
      </w:r>
      <w:r>
        <w:t xml:space="preserve"> </w:t>
      </w:r>
      <w:r>
        <w:t xml:space="preserve">+ 1 = 0{,}75</w:t>
      </w:r>
    </w:p>
    <w:p>
      <w:pPr>
        <w:pStyle w:val="BlockText"/>
      </w:pPr>
      <w:r>
        <w:t xml:space="preserve">$$</w:t>
      </w:r>
    </w:p>
    <w:p>
      <w:pPr>
        <w:pStyle w:val="BlockText"/>
      </w:pPr>
      <w:r>
        <w:rPr>
          <w:b/>
          <w:bCs/>
        </w:rPr>
        <w:t xml:space="preserve">Resultado:</w:t>
      </w:r>
      <w:r>
        <w:t xml:space="preserve"> </w:t>
      </w:r>
      <m:oMath>
        <m:r>
          <m:t>V</m:t>
        </m:r>
        <m:r>
          <m:t>C</m:t>
        </m:r>
        <m:r>
          <m:rPr>
            <m:sty m:val="p"/>
          </m:rPr>
          <m:t>=</m:t>
        </m:r>
        <m:r>
          <m:t>V</m:t>
        </m:r>
        <m:r>
          <m:t>E</m:t>
        </m:r>
        <m:r>
          <m:rPr>
            <m:sty m:val="p"/>
          </m:rPr>
          <m:t>=</m:t>
        </m:r>
        <m:r>
          <m:rPr>
            <m:sty m:val="p"/>
          </m:rPr>
          <m:t>Δ</m:t>
        </m:r>
        <m:r>
          <m:t>E</m:t>
        </m:r>
        <m:r>
          <m:t>C</m:t>
        </m:r>
        <m:r>
          <m:rPr>
            <m:sty m:val="p"/>
          </m:rPr>
          <m:t>=</m:t>
        </m:r>
        <m:r>
          <m:t>0</m:t>
        </m:r>
        <m:r>
          <m:rPr>
            <m:sty m:val="p"/>
          </m:rPr>
          <m:t>,</m:t>
        </m:r>
        <m:r>
          <m:t>75</m:t>
        </m:r>
      </m:oMath>
      <w:r>
        <w:t xml:space="preserve">.</w:t>
      </w:r>
    </w:p>
    <w:p>
      <w:pPr>
        <w:pStyle w:val="BlockText"/>
      </w:pPr>
      <w:r>
        <w:rPr>
          <w:b/>
          <w:bCs/>
        </w:rPr>
        <w:t xml:space="preserve">Interpretação econômica:</w:t>
      </w:r>
      <w:r>
        <w:t xml:space="preserve"> </w:t>
      </w:r>
      <w:r>
        <w:t xml:space="preserve">as três medidas coincidem porque a utilidade é quase-linear — o efeito renda sobre</w:t>
      </w:r>
      <w:r>
        <w:t xml:space="preserve"> </w:t>
      </w:r>
      <m:oMath>
        <m:r>
          <m:t>x</m:t>
        </m:r>
      </m:oMath>
      <w:r>
        <w:t xml:space="preserve"> </w:t>
      </w:r>
      <w:r>
        <w:t xml:space="preserve">é zero, e as curvas marshalliana e hicksiana de</w:t>
      </w:r>
      <w:r>
        <w:t xml:space="preserve"> </w:t>
      </w:r>
      <m:oMath>
        <m:r>
          <m:t>x</m:t>
        </m:r>
      </m:oMath>
      <w:r>
        <w:t xml:space="preserve"> </w:t>
      </w:r>
      <w:r>
        <w:t xml:space="preserve">são idênticas. Em aplicações práticas, quando o bem em questão representa parcela pequena do orçamento (como um produto específico), o efeito renda é negligível e o EC marshalliano é uma boa aproximação das medidas exatas de bem-estar.</w:t>
      </w:r>
    </w:p>
    <w:p>
      <w:pPr>
        <w:pStyle w:val="FirstParagraph"/>
      </w:pPr>
      <w:r>
        <w:t xml:space="preserve">[FIGURA INTERATIVA: /micro-book/graficos/cap05/excedente-consumidor.html — versao interativa disponivel online]</w:t>
      </w:r>
    </w:p>
    <w:p>
      <w:pPr>
        <w:pStyle w:val="BodyText"/>
      </w:pPr>
      <w:r>
        <w:rPr>
          <w:b/>
          <w:bCs/>
        </w:rPr>
        <w:t xml:space="preserve">Figura 5.4 — Excedente do consumidor (EC), variação compensatória (VC) e variação equivalente (VE).</w:t>
      </w:r>
      <w:r>
        <w:t xml:space="preserve"> </w:t>
      </w:r>
      <w:r>
        <w:t xml:space="preserve">Ajuste os preços</w:t>
      </w:r>
      <w:r>
        <w:t xml:space="preserve"> </w:t>
      </w:r>
      <m:oMath>
        <m:sSub>
          <m:e>
            <m:r>
              <m:t>p</m:t>
            </m:r>
          </m:e>
          <m:sub>
            <m:r>
              <m:t>0</m:t>
            </m:r>
          </m:sub>
        </m:sSub>
      </m:oMath>
      <w:r>
        <w:t xml:space="preserve"> </w:t>
      </w:r>
      <w:r>
        <w:t xml:space="preserve">e</w:t>
      </w:r>
      <w:r>
        <w:t xml:space="preserve"> </w:t>
      </w:r>
      <m:oMath>
        <m:sSub>
          <m:e>
            <m:r>
              <m:t>p</m:t>
            </m:r>
          </m:e>
          <m:sub>
            <m:r>
              <m:t>1</m:t>
            </m:r>
          </m:sub>
        </m:sSub>
      </m:oMath>
      <w:r>
        <w:t xml:space="preserve"> </w:t>
      </w:r>
      <w:r>
        <w:t xml:space="preserve">e ative/desative cada medida. Para uma queda de preço de bem normal:</w:t>
      </w:r>
      <w:r>
        <w:t xml:space="preserve"> </w:t>
      </w:r>
      <m:oMath>
        <m:r>
          <m:t>V</m:t>
        </m:r>
        <m:r>
          <m:t>C</m:t>
        </m:r>
        <m:r>
          <m:rPr>
            <m:sty m:val="p"/>
          </m:rPr>
          <m:t>&lt;</m:t>
        </m:r>
        <m:r>
          <m:rPr>
            <m:sty m:val="p"/>
          </m:rPr>
          <m:t>Δ</m:t>
        </m:r>
        <m:r>
          <m:t>E</m:t>
        </m:r>
        <m:r>
          <m:t>C</m:t>
        </m:r>
        <m:r>
          <m:rPr>
            <m:sty m:val="p"/>
          </m:rPr>
          <m:t>&lt;</m:t>
        </m:r>
        <m:r>
          <m:t>V</m:t>
        </m:r>
        <m:r>
          <m:t>E</m:t>
        </m:r>
      </m:oMath>
      <w:r>
        <w:t xml:space="preserve">. O EC usa a demanda marshalliana (linear); VC e VE usam demandas hicksianas (Cobb-Douglas).</w:t>
      </w:r>
    </w:p>
    <w:p>
      <w:pPr>
        <w:pStyle w:val="BlockText"/>
      </w:pPr>
      <w:r>
        <w:rPr>
          <w:b/>
          <w:bCs/>
        </w:rPr>
        <w:t xml:space="preserve">[BOX MUNDO] Box Mundo 5.2 — Medidas de bem-estar na política comercial: VC e VE na avaliação de acordos da OMC</w:t>
      </w:r>
    </w:p>
    <w:p>
      <w:pPr>
        <w:pStyle w:val="BlockText"/>
      </w:pPr>
      <w:r>
        <w:rPr>
          <w:b/>
          <w:bCs/>
        </w:rPr>
        <w:t xml:space="preserve">Contexto:</w:t>
      </w:r>
      <w:r>
        <w:t xml:space="preserve"> </w:t>
      </w:r>
      <w:r>
        <w:t xml:space="preserve">As medidas de bem-estar desenvolvidas nesta seção — variação compensatória (VC), variação equivalente (VE) e excedente do consumidor (EC) — não são apenas construções teóricas: constituem a base metodológica para avaliar o impacto de políticas comerciais sobre consumidores e produtores em diferentes países. A Organização Mundial do Comércio (OMC) e instituições como o Banco Mundial utilizam extensivamente modelos de equilíbrio geral computável (CGE) que calculam VC e VE para estimar os ganhos e perdas de rodadas de liberalização comercial — como a Rodada Uruguai (1994) e as negociações da Rodada Doha (2001–presente).</w:t>
      </w:r>
    </w:p>
    <w:p>
      <w:pPr>
        <w:pStyle w:val="BlockText"/>
      </w:pPr>
      <w:r>
        <w:rPr>
          <w:b/>
          <w:bCs/>
        </w:rPr>
        <w:t xml:space="preserve">Dados:</w:t>
      </w:r>
      <w:r>
        <w:t xml:space="preserve"> </w:t>
      </w:r>
      <w:r>
        <w:t xml:space="preserve">Anderson, Martin e Van der Mensbrugghe (2006), em estudo publicado pelo Banco Mundial, utilizaram o modelo LINKAGE (um CGE global com 27 regiões e 25 setores) para estimar os ganhos de bem-estar da liberalização comercial multilateral proposta na Rodada Doha. Os autores calcularam a variação equivalente (VE) — a quantia que cada região pagaria, aos preços vigentes antes da reforma, para obter o mesmo ganho de bem-estar proporcionado pela liberalização. Os resultados mostraram ganhos globais de US$ 96 a US$ 287 bilhões anuais (dependendo do cenário de liberalização), mas com distribuição fortemente desigual: países desenvolvidos capturariam a maior parte dos ganhos absolutos, enquanto países em desenvolvimento obteriam ganhos proporcionalmente maiores em relação ao PIB, especialmente na agricultura. Arkolakis, Costinot e Rodríguez-Clare (2012,</w:t>
      </w:r>
      <w:r>
        <w:t xml:space="preserve"> </w:t>
      </w:r>
      <w:r>
        <w:rPr>
          <w:i/>
          <w:iCs/>
        </w:rPr>
        <w:t xml:space="preserve">American Economic Review</w:t>
      </w:r>
      <w:r>
        <w:t xml:space="preserve">) demonstraram que, para uma ampla classe de modelos de comércio com preferências CES, os ganhos de bem-estar do comércio podem ser resumidos por uma estatística suficiente: a participação dos gastos domésticos elevada à potência</w:t>
      </w:r>
      <w:r>
        <w:t xml:space="preserve"> </w:t>
      </w:r>
      <m:oMath>
        <m:r>
          <m:rPr>
            <m:sty m:val="p"/>
          </m:rPr>
          <m:t>−</m:t>
        </m:r>
        <m:r>
          <m:t>1</m:t>
        </m:r>
        <m:r>
          <m:rPr>
            <m:sty m:val="p"/>
          </m:rPr>
          <m:t>/</m:t>
        </m:r>
        <m:r>
          <m:rPr>
            <m:sty m:val="p"/>
          </m:rPr>
          <m:t>(</m:t>
        </m:r>
        <m:r>
          <m:t>σ</m:t>
        </m:r>
        <m:r>
          <m:rPr>
            <m:sty m:val="p"/>
          </m:rPr>
          <m:t>−</m:t>
        </m:r>
        <m:r>
          <m:t>1</m:t>
        </m:r>
        <m:r>
          <m:rPr>
            <m:sty m:val="p"/>
          </m:rPr>
          <m:t>)</m:t>
        </m:r>
      </m:oMath>
      <w:r>
        <w:t xml:space="preserve">, onde</w:t>
      </w:r>
      <w:r>
        <w:t xml:space="preserve"> </w:t>
      </w:r>
      <m:oMath>
        <m:r>
          <m:t>σ</m:t>
        </m:r>
      </m:oMath>
      <w:r>
        <w:t xml:space="preserve"> </w:t>
      </w:r>
      <w:r>
        <w:t xml:space="preserve">é a elasticidade de substituição CES — conectando diretamente a teoria da Seção 4.10.4 à mensuração de bem-estar desta seção.</w:t>
      </w:r>
    </w:p>
    <w:p>
      <w:pPr>
        <w:pStyle w:val="BlockText"/>
      </w:pPr>
      <w:r>
        <w:rPr>
          <w:b/>
          <w:bCs/>
        </w:rPr>
        <w:t xml:space="preserve">Análise:</w:t>
      </w:r>
      <w:r>
        <w:t xml:space="preserve"> </w:t>
      </w:r>
      <w:r>
        <w:t xml:space="preserve">A escolha entre VC e VE é particularmente relevante em política comercial, pois os resultados podem divergir significativamente quando as variações de preço são grandes — como no caso de eliminação de tarifas elevadas sobre produtos agrícolas. A VC pergunta</w:t>
      </w:r>
      <w:r>
        <w:t xml:space="preserve"> </w:t>
      </w:r>
      <w:r>
        <w:t xml:space="preserve">“quanto compensar os perdedores da liberalização para que fiquem tão bem quanto antes?”</w:t>
      </w:r>
      <w:r>
        <w:t xml:space="preserve">, enquanto a VE pergunta</w:t>
      </w:r>
      <w:r>
        <w:t xml:space="preserve"> </w:t>
      </w:r>
      <w:r>
        <w:t xml:space="preserve">“quanto os ganhadores estariam dispostos a pagar, antes da reforma, para que ela ocorresse?”</w:t>
      </w:r>
      <w:r>
        <w:t xml:space="preserve"> </w:t>
      </w:r>
      <w:r>
        <w:t xml:space="preserve">— perspectivas que levam a estimativas diferentes e podem influenciar a viabilidade política de acordos comerciais. A relação de Willig (1976), discutida nesta seção, fornece limites para a divergência entre EC, VC e VE, assegurando que, para bens com elasticidade-renda moderada e parcela orçamentária pequena, o excedente do consumidor marshalliano — mais fácil de estimar — é uma aproximação aceitável das medidas exatas.</w:t>
      </w:r>
    </w:p>
    <w:p>
      <w:pPr>
        <w:pStyle w:val="BlockText"/>
      </w:pPr>
      <w:r>
        <w:rPr>
          <w:b/>
          <w:bCs/>
        </w:rPr>
        <w:t xml:space="preserve">Fonte:</w:t>
      </w:r>
      <w:r>
        <w:t xml:space="preserve"> </w:t>
      </w:r>
      <w:r>
        <w:t xml:space="preserve">Anderson, K.; Martin, W.; Van der Mensbrugghe, D. (2006).</w:t>
      </w:r>
      <w:r>
        <w:t xml:space="preserve"> </w:t>
      </w:r>
      <w:r>
        <w:t xml:space="preserve">“Market and Welfare Implications of Doha Reform Scenarios.”</w:t>
      </w:r>
      <w:r>
        <w:t xml:space="preserve"> </w:t>
      </w:r>
      <w:r>
        <w:t xml:space="preserve">In</w:t>
      </w:r>
      <w:r>
        <w:t xml:space="preserve"> </w:t>
      </w:r>
      <w:r>
        <w:rPr>
          <w:i/>
          <w:iCs/>
        </w:rPr>
        <w:t xml:space="preserve">Agricultural Trade Reform and the Doha Development Agenda</w:t>
      </w:r>
      <w:r>
        <w:t xml:space="preserve">, Banco Mundial. Arkolakis, C.; Costinot, A.; Rodríguez-Clare, A. (2012).</w:t>
      </w:r>
      <w:r>
        <w:t xml:space="preserve"> </w:t>
      </w:r>
      <w:r>
        <w:t xml:space="preserve">“New Trade Models, Same Old Gains?”</w:t>
      </w:r>
      <w:r>
        <w:t xml:space="preserve"> </w:t>
      </w:r>
      <w:r>
        <w:rPr>
          <w:i/>
          <w:iCs/>
        </w:rPr>
        <w:t xml:space="preserve">American Economic Review</w:t>
      </w:r>
      <w:r>
        <w:t xml:space="preserve">, 102(1), 94–130.</w:t>
      </w:r>
    </w:p>
    <w:p>
      <w:r>
        <w:pict>
          <v:rect style="width:0;height:1.5pt" o:hralign="center" o:hrstd="t" o:hr="t"/>
        </w:pict>
      </w:r>
    </w:p>
    <w:bookmarkEnd w:id="265"/>
    <w:bookmarkEnd w:id="266"/>
    <w:bookmarkStart w:id="268" w:name="X06ff9d267fffc65bdbb2a789444e4852bd7d038"/>
    <w:p>
      <w:pPr>
        <w:pStyle w:val="Heading3"/>
      </w:pPr>
      <w:r>
        <w:t xml:space="preserve">5.9 Suas Compras Falam por Você: Preferência Revelada</w:t>
      </w:r>
    </w:p>
    <w:p>
      <w:pPr>
        <w:pStyle w:val="FirstParagraph"/>
      </w:pPr>
      <w:r>
        <w:t xml:space="preserve">Tudo que fizemos até aqui partiu de um objeto invisível: a função de utilidade. Ninguém jamais viu uma, mediu uma ou tropeçou numa. Será que é possível chegar às mesmas conclusões usando apenas o que</w:t>
      </w:r>
      <w:r>
        <w:t xml:space="preserve"> </w:t>
      </w:r>
      <w:r>
        <w:rPr>
          <w:i/>
          <w:iCs/>
        </w:rPr>
        <w:t xml:space="preserve">é</w:t>
      </w:r>
      <w:r>
        <w:t xml:space="preserve"> </w:t>
      </w:r>
      <w:r>
        <w:t xml:space="preserve">observável — preços pagos e quantidades compradas?</w:t>
      </w:r>
      <w:r>
        <w:rPr>
          <w:rStyle w:val="FootnoteReference"/>
        </w:rPr>
        <w:footnoteReference w:id="267"/>
      </w:r>
      <w:r>
        <w:t xml:space="preserve"> </w:t>
      </w:r>
      <w:r>
        <w:t xml:space="preserve">Em 1938, Paul Samuelson, aos 22 anos, mostrou que sim. A ideia: se o consumidor escolheu a cesta A quando podia comprar a cesta B, ele</w:t>
      </w:r>
      <w:r>
        <w:t xml:space="preserve"> </w:t>
      </w:r>
      <w:r>
        <w:rPr>
          <w:i/>
          <w:iCs/>
        </w:rPr>
        <w:t xml:space="preserve">revelou</w:t>
      </w:r>
      <w:r>
        <w:t xml:space="preserve"> </w:t>
      </w:r>
      <w:r>
        <w:t xml:space="preserve">que prefere A a B. Nenhuma função de utilidade necessária — apenas o comportamento observado. Essa inversão de lógica — das escolhas para as preferências, em vez do contrário — é a</w:t>
      </w:r>
      <w:r>
        <w:t xml:space="preserve"> </w:t>
      </w:r>
      <w:r>
        <w:rPr>
          <w:b/>
          <w:bCs/>
        </w:rPr>
        <w:t xml:space="preserve">teoria da preferência revelada</w:t>
      </w:r>
      <w:r>
        <w:t xml:space="preserve">, e ela deu a Samuelson o Nobel.</w:t>
      </w:r>
    </w:p>
    <w:p>
      <w:pPr>
        <w:pStyle w:val="BlockText"/>
      </w:pPr>
      <w:r>
        <w:rPr>
          <w:b/>
          <w:bCs/>
        </w:rPr>
        <w:t xml:space="preserve">[DEFINICAO] Axioma Fraco da Preferência Revelada (AFPR)</w:t>
      </w:r>
    </w:p>
    <w:p>
      <w:pPr>
        <w:pStyle w:val="BlockText"/>
      </w:pPr>
      <w:r>
        <w:t xml:space="preserve">Se a cesta</w:t>
      </w:r>
      <w:r>
        <w:t xml:space="preserve"> </w:t>
      </w:r>
      <m:oMath>
        <m:sSup>
          <m:e>
            <m:r>
              <m:rPr>
                <m:sty m:val="bi"/>
              </m:rPr>
              <m:t>x</m:t>
            </m:r>
          </m:e>
          <m:sup>
            <m:r>
              <m:t>0</m:t>
            </m:r>
          </m:sup>
        </m:sSup>
      </m:oMath>
      <w:r>
        <w:t xml:space="preserve"> </w:t>
      </w:r>
      <w:r>
        <w:t xml:space="preserve">é escolhida quando</w:t>
      </w:r>
      <w:r>
        <w:t xml:space="preserve"> </w:t>
      </w:r>
      <m:oMath>
        <m:sSup>
          <m:e>
            <m:r>
              <m:rPr>
                <m:sty m:val="bi"/>
              </m:rPr>
              <m:t>x</m:t>
            </m:r>
          </m:e>
          <m:sup>
            <m:r>
              <m:t>1</m:t>
            </m:r>
          </m:sup>
        </m:sSup>
      </m:oMath>
      <w:r>
        <w:t xml:space="preserve"> </w:t>
      </w:r>
      <w:r>
        <w:t xml:space="preserve">era acessível (isto é,</w:t>
      </w:r>
      <w:r>
        <w:t xml:space="preserve"> </w:t>
      </w:r>
      <m:oMath>
        <m:sSup>
          <m:e>
            <m:r>
              <m:rPr>
                <m:sty m:val="bi"/>
              </m:rPr>
              <m:t>p</m:t>
            </m:r>
          </m:e>
          <m:sup>
            <m:r>
              <m:t>0</m:t>
            </m:r>
          </m:sup>
        </m:sSup>
        <m:r>
          <m:rPr>
            <m:sty m:val="p"/>
          </m:rPr>
          <m:t>⋅</m:t>
        </m:r>
        <m:sSup>
          <m:e>
            <m:r>
              <m:rPr>
                <m:sty m:val="bi"/>
              </m:rPr>
              <m:t>x</m:t>
            </m:r>
          </m:e>
          <m:sup>
            <m:r>
              <m:t>1</m:t>
            </m:r>
          </m:sup>
        </m:sSup>
        <m:r>
          <m:rPr>
            <m:sty m:val="p"/>
          </m:rPr>
          <m:t>≤</m:t>
        </m:r>
        <m:sSup>
          <m:e>
            <m:r>
              <m:rPr>
                <m:sty m:val="bi"/>
              </m:rPr>
              <m:t>p</m:t>
            </m:r>
          </m:e>
          <m:sup>
            <m:r>
              <m:t>0</m:t>
            </m:r>
          </m:sup>
        </m:sSup>
        <m:r>
          <m:rPr>
            <m:sty m:val="p"/>
          </m:rPr>
          <m:t>⋅</m:t>
        </m:r>
        <m:sSup>
          <m:e>
            <m:r>
              <m:rPr>
                <m:sty m:val="bi"/>
              </m:rPr>
              <m:t>x</m:t>
            </m:r>
          </m:e>
          <m:sup>
            <m:r>
              <m:t>0</m:t>
            </m:r>
          </m:sup>
        </m:sSup>
      </m:oMath>
      <w:r>
        <w:t xml:space="preserve">), então</w:t>
      </w:r>
      <w:r>
        <w:t xml:space="preserve"> </w:t>
      </w:r>
      <m:oMath>
        <m:sSup>
          <m:e>
            <m:r>
              <m:rPr>
                <m:sty m:val="bi"/>
              </m:rPr>
              <m:t>x</m:t>
            </m:r>
          </m:e>
          <m:sup>
            <m:r>
              <m:t>1</m:t>
            </m:r>
          </m:sup>
        </m:sSup>
      </m:oMath>
      <w:r>
        <w:t xml:space="preserve"> </w:t>
      </w:r>
      <w:r>
        <w:t xml:space="preserve">não pode ser escolhida quando</w:t>
      </w:r>
      <w:r>
        <w:t xml:space="preserve"> </w:t>
      </w:r>
      <m:oMath>
        <m:sSup>
          <m:e>
            <m:r>
              <m:rPr>
                <m:sty m:val="bi"/>
              </m:rPr>
              <m:t>x</m:t>
            </m:r>
          </m:e>
          <m:sup>
            <m:r>
              <m:t>0</m:t>
            </m:r>
          </m:sup>
        </m:sSup>
      </m:oMath>
      <w:r>
        <w:t xml:space="preserve"> </w:t>
      </w:r>
      <w:r>
        <w:t xml:space="preserve">é acessível (isto é,</w:t>
      </w:r>
      <w:r>
        <w:t xml:space="preserve"> </w:t>
      </w:r>
      <m:oMath>
        <m:sSup>
          <m:e>
            <m:r>
              <m:rPr>
                <m:sty m:val="bi"/>
              </m:rPr>
              <m:t>p</m:t>
            </m:r>
          </m:e>
          <m:sup>
            <m:r>
              <m:t>1</m:t>
            </m:r>
          </m:sup>
        </m:sSup>
        <m:r>
          <m:rPr>
            <m:sty m:val="p"/>
          </m:rPr>
          <m:t>⋅</m:t>
        </m:r>
        <m:sSup>
          <m:e>
            <m:r>
              <m:rPr>
                <m:sty m:val="bi"/>
              </m:rPr>
              <m:t>x</m:t>
            </m:r>
          </m:e>
          <m:sup>
            <m:r>
              <m:t>0</m:t>
            </m:r>
          </m:sup>
        </m:sSup>
        <m:r>
          <m:rPr>
            <m:sty m:val="p"/>
          </m:rPr>
          <m:t>&gt;</m:t>
        </m:r>
        <m:sSup>
          <m:e>
            <m:r>
              <m:rPr>
                <m:sty m:val="bi"/>
              </m:rPr>
              <m:t>p</m:t>
            </m:r>
          </m:e>
          <m:sup>
            <m:r>
              <m:t>1</m:t>
            </m:r>
          </m:sup>
        </m:sSup>
        <m:r>
          <m:rPr>
            <m:sty m:val="p"/>
          </m:rPr>
          <m:t>⋅</m:t>
        </m:r>
        <m:sSup>
          <m:e>
            <m:r>
              <m:rPr>
                <m:sty m:val="bi"/>
              </m:rPr>
              <m:t>x</m:t>
            </m:r>
          </m:e>
          <m:sup>
            <m:r>
              <m:t>1</m:t>
            </m:r>
          </m:sup>
        </m:sSup>
      </m:oMath>
      <w:r>
        <w:t xml:space="preserve">).</w:t>
      </w:r>
    </w:p>
    <w:p>
      <w:pPr>
        <w:pStyle w:val="BlockText"/>
      </w:pPr>
      <w:r>
        <w:rPr>
          <w:b/>
          <w:bCs/>
        </w:rPr>
        <w:t xml:space="preserve">[INFORMACAO] Prêmio Nobel — Paul A. Samuelson (1970)</w:t>
      </w:r>
    </w:p>
    <w:p>
      <w:pPr>
        <w:pStyle w:val="BlockText"/>
      </w:pPr>
      <w:r>
        <w:rPr>
          <w:b/>
          <w:bCs/>
        </w:rPr>
        <w:t xml:space="preserve">Paul Anthony Samuelson</w:t>
      </w:r>
      <w:r>
        <w:t xml:space="preserve"> </w:t>
      </w:r>
      <w:r>
        <w:t xml:space="preserve">(1915–2009) foi um economista americano. Obteve o PhD em Harvard sob orientação de Wassily Leontief e foi professor no MIT por mais de seis décadas. Foi o primeiro americano a receber o Nobel de Economia.</w:t>
      </w:r>
    </w:p>
    <w:p>
      <w:pPr>
        <w:pStyle w:val="BlockText"/>
      </w:pPr>
      <w:r>
        <w:rPr>
          <w:b/>
          <w:bCs/>
        </w:rPr>
        <w:t xml:space="preserve">Por que ganhou o Nobel:</w:t>
      </w:r>
      <w:r>
        <w:t xml:space="preserve"> </w:t>
      </w:r>
      <w:r>
        <w:t xml:space="preserve">Premiado pelo trabalho científico que elevou o nível da análise econômica. Samuelson revolucionou múltiplas áreas: formalizou a teoria da preferência revelada, demonstrando que as escolhas observadas do consumidor são suficientes para reconstruir suas preferências sem recorrer a funções de utilidade, e unificou a estática comparativa com o princípio de correspondência em</w:t>
      </w:r>
      <w:r>
        <w:t xml:space="preserve"> </w:t>
      </w:r>
      <w:r>
        <w:rPr>
          <w:i/>
          <w:iCs/>
        </w:rPr>
        <w:t xml:space="preserve">Foundations of Economic Analysis</w:t>
      </w:r>
      <w:r>
        <w:t xml:space="preserve"> </w:t>
      </w:r>
      <w:r>
        <w:t xml:space="preserve">(1947).</w:t>
      </w:r>
    </w:p>
    <w:p>
      <w:pPr>
        <w:pStyle w:val="BlockText"/>
      </w:pPr>
      <w:r>
        <w:rPr>
          <w:b/>
          <w:bCs/>
        </w:rPr>
        <w:t xml:space="preserve">Conexão com este capítulo:</w:t>
      </w:r>
      <w:r>
        <w:t xml:space="preserve"> </w:t>
      </w:r>
      <w:r>
        <w:t xml:space="preserve">A teoria da preferência revelada, apresentada neste capítulo, é uma das contribuições mais elegantes de Samuelson. O Axioma Fraco da Preferência Revelada (WARP) permite testar a racionalidade do consumidor usando apenas dados de preços e quantidades observadas — sem hipóteses sobre utilidade ou preferências subjacentes.</w:t>
      </w:r>
    </w:p>
    <w:p>
      <w:pPr>
        <w:pStyle w:val="FirstParagraph"/>
      </w:pPr>
      <w:r>
        <w:t xml:space="preserve">O poder do AFPR reside na sua simplicidade: ele não exige que conheçamos as preferências do consumidor, apenas que observemos suas escolhas. Em termos econômicos, o AFPR captura a ideia de que um consumidor racional não pode revelar preferências contraditórias: se escolheu</w:t>
      </w:r>
      <w:r>
        <w:t xml:space="preserve"> </w:t>
      </w:r>
      <m:oMath>
        <m:sSup>
          <m:e>
            <m:r>
              <m:rPr>
                <m:sty m:val="bi"/>
              </m:rPr>
              <m:t>x</m:t>
            </m:r>
          </m:e>
          <m:sup>
            <m:r>
              <m:t>0</m:t>
            </m:r>
          </m:sup>
        </m:sSup>
      </m:oMath>
      <w:r>
        <w:t xml:space="preserve"> </w:t>
      </w:r>
      <w:r>
        <w:t xml:space="preserve">quando</w:t>
      </w:r>
      <w:r>
        <w:t xml:space="preserve"> </w:t>
      </w:r>
      <m:oMath>
        <m:sSup>
          <m:e>
            <m:r>
              <m:rPr>
                <m:sty m:val="bi"/>
              </m:rPr>
              <m:t>x</m:t>
            </m:r>
          </m:e>
          <m:sup>
            <m:r>
              <m:t>1</m:t>
            </m:r>
          </m:sup>
        </m:sSup>
      </m:oMath>
      <w:r>
        <w:t xml:space="preserve"> </w:t>
      </w:r>
      <w:r>
        <w:t xml:space="preserve">era acessível, é porque prefere</w:t>
      </w:r>
      <w:r>
        <w:t xml:space="preserve"> </w:t>
      </w:r>
      <m:oMath>
        <m:sSup>
          <m:e>
            <m:r>
              <m:rPr>
                <m:sty m:val="bi"/>
              </m:rPr>
              <m:t>x</m:t>
            </m:r>
          </m:e>
          <m:sup>
            <m:r>
              <m:t>0</m:t>
            </m:r>
          </m:sup>
        </m:sSup>
      </m:oMath>
      <w:r>
        <w:t xml:space="preserve"> </w:t>
      </w:r>
      <w:r>
        <w:t xml:space="preserve">— e portanto não pode, coerentemente, escolher</w:t>
      </w:r>
      <w:r>
        <w:t xml:space="preserve"> </w:t>
      </w:r>
      <m:oMath>
        <m:sSup>
          <m:e>
            <m:r>
              <m:rPr>
                <m:sty m:val="bi"/>
              </m:rPr>
              <m:t>x</m:t>
            </m:r>
          </m:e>
          <m:sup>
            <m:r>
              <m:t>1</m:t>
            </m:r>
          </m:sup>
        </m:sSup>
      </m:oMath>
      <w:r>
        <w:t xml:space="preserve"> </w:t>
      </w:r>
      <w:r>
        <w:t xml:space="preserve">quando</w:t>
      </w:r>
      <w:r>
        <w:t xml:space="preserve"> </w:t>
      </w:r>
      <m:oMath>
        <m:sSup>
          <m:e>
            <m:r>
              <m:rPr>
                <m:sty m:val="bi"/>
              </m:rPr>
              <m:t>x</m:t>
            </m:r>
          </m:e>
          <m:sup>
            <m:r>
              <m:t>0</m:t>
            </m:r>
          </m:sup>
        </m:sSup>
      </m:oMath>
      <w:r>
        <w:t xml:space="preserve"> </w:t>
      </w:r>
      <w:r>
        <w:t xml:space="preserve">também é acessível. Mas por que isso é relevante para o presente capítulo? Porque o AFPR garante a</w:t>
      </w:r>
      <w:r>
        <w:t xml:space="preserve"> </w:t>
      </w:r>
      <w:r>
        <w:rPr>
          <w:b/>
          <w:bCs/>
        </w:rPr>
        <w:t xml:space="preserve">negatividade do efeito substituição de Slutsky</w:t>
      </w:r>
      <w:r>
        <w:t xml:space="preserve"> </w:t>
      </w:r>
      <w:r>
        <w:t xml:space="preserve">— o mesmo resultado que derivamos anteriormente a partir da concavidade da função dispêndio, agora obtido por uma via puramente observacional. Se o consumidor satisfaz o AFPR, então, para uma variação compensada de preço (no sentido de Slutsky):</w:t>
      </w:r>
    </w:p>
    <w:p>
      <w:pPr>
        <w:pStyle w:val="BodyText"/>
      </w:pPr>
      <m:oMathPara>
        <m:oMathParaPr>
          <m:jc m:val="center"/>
        </m:oMathParaPr>
        <m:oMath>
          <m:r>
            <m:rPr>
              <m:sty m:val="p"/>
            </m:rPr>
            <m:t>(</m:t>
          </m:r>
          <m:sSup>
            <m:e>
              <m:r>
                <m:rPr>
                  <m:sty m:val="bi"/>
                </m:rPr>
                <m:t>p</m:t>
              </m:r>
            </m:e>
            <m:sup>
              <m:r>
                <m:t>1</m:t>
              </m:r>
            </m:sup>
          </m:sSup>
          <m:r>
            <m:rPr>
              <m:sty m:val="p"/>
            </m:rPr>
            <m:t>−</m:t>
          </m:r>
          <m:sSup>
            <m:e>
              <m:r>
                <m:rPr>
                  <m:sty m:val="bi"/>
                </m:rPr>
                <m:t>p</m:t>
              </m:r>
            </m:e>
            <m:sup>
              <m:r>
                <m:t>0</m:t>
              </m:r>
            </m:sup>
          </m:sSup>
          <m:r>
            <m:rPr>
              <m:sty m:val="p"/>
            </m:rPr>
            <m:t>)</m:t>
          </m:r>
          <m:r>
            <m:rPr>
              <m:sty m:val="p"/>
            </m:rPr>
            <m:t>⋅</m:t>
          </m:r>
          <m:r>
            <m:rPr>
              <m:sty m:val="p"/>
            </m:rPr>
            <m:t>(</m:t>
          </m:r>
          <m:sSup>
            <m:e>
              <m:r>
                <m:rPr>
                  <m:sty m:val="bi"/>
                </m:rPr>
                <m:t>x</m:t>
              </m:r>
            </m:e>
            <m:sup>
              <m:r>
                <m:t>1</m:t>
              </m:r>
            </m:sup>
          </m:sSup>
          <m:r>
            <m:rPr>
              <m:sty m:val="p"/>
            </m:rPr>
            <m:t>−</m:t>
          </m:r>
          <m:sSup>
            <m:e>
              <m:r>
                <m:rPr>
                  <m:sty m:val="bi"/>
                </m:rPr>
                <m:t>x</m:t>
              </m:r>
            </m:e>
            <m:sup>
              <m:r>
                <m:t>0</m:t>
              </m:r>
            </m:sup>
          </m:sSup>
          <m:r>
            <m:rPr>
              <m:sty m:val="p"/>
            </m:rPr>
            <m:t>)</m:t>
          </m:r>
          <m:r>
            <m:rPr>
              <m:sty m:val="p"/>
            </m:rPr>
            <m:t>≤</m:t>
          </m:r>
          <m:r>
            <m:t>0</m:t>
          </m:r>
        </m:oMath>
      </m:oMathPara>
    </w:p>
    <w:p>
      <w:pPr>
        <w:pStyle w:val="FirstParagraph"/>
      </w:pPr>
      <w:r>
        <w:t xml:space="preserve">Em termos escalares, para uma variação apenas em</w:t>
      </w:r>
      <w:r>
        <w:t xml:space="preserve"> </w:t>
      </w:r>
      <m:oMath>
        <m:sSub>
          <m:e>
            <m:r>
              <m:t>p</m:t>
            </m:r>
          </m:e>
          <m:sub>
            <m:r>
              <m:t>i</m:t>
            </m:r>
          </m:sub>
        </m:sSub>
      </m:oMath>
      <w:r>
        <w:t xml:space="preserve">:</w:t>
      </w:r>
      <w:r>
        <w:t xml:space="preserve"> </w:t>
      </w:r>
      <m:oMath>
        <m:r>
          <m:rPr>
            <m:sty m:val="p"/>
          </m:rPr>
          <m:t>Δ</m:t>
        </m:r>
        <m:sSub>
          <m:e>
            <m:r>
              <m:t>p</m:t>
            </m:r>
          </m:e>
          <m:sub>
            <m:r>
              <m:t>i</m:t>
            </m:r>
          </m:sub>
        </m:sSub>
        <m:r>
          <m:rPr>
            <m:sty m:val="p"/>
          </m:rPr>
          <m:t>⋅</m:t>
        </m:r>
        <m:r>
          <m:rPr>
            <m:sty m:val="p"/>
          </m:rPr>
          <m:t>Δ</m:t>
        </m:r>
        <m:sSubSup>
          <m:e>
            <m:r>
              <m:t>x</m:t>
            </m:r>
          </m:e>
          <m:sub>
            <m:r>
              <m:t>i</m:t>
            </m:r>
          </m:sub>
          <m:sup>
            <m:r>
              <m:t>S</m:t>
            </m:r>
          </m:sup>
        </m:sSubSup>
        <m:r>
          <m:rPr>
            <m:sty m:val="p"/>
          </m:rPr>
          <m:t>≤</m:t>
        </m:r>
        <m:r>
          <m:t>0</m:t>
        </m:r>
      </m:oMath>
      <w:r>
        <w:t xml:space="preserve">, onde</w:t>
      </w:r>
      <w:r>
        <w:t xml:space="preserve"> </w:t>
      </w:r>
      <m:oMath>
        <m:r>
          <m:rPr>
            <m:sty m:val="p"/>
          </m:rPr>
          <m:t>Δ</m:t>
        </m:r>
        <m:sSubSup>
          <m:e>
            <m:r>
              <m:t>x</m:t>
            </m:r>
          </m:e>
          <m:sub>
            <m:r>
              <m:t>i</m:t>
            </m:r>
          </m:sub>
          <m:sup>
            <m:r>
              <m:t>S</m:t>
            </m:r>
          </m:sup>
        </m:sSubSup>
      </m:oMath>
      <w:r>
        <w:t xml:space="preserve"> </w:t>
      </w:r>
      <w:r>
        <w:t xml:space="preserve">é a variação compensada — exatamente a negatividade do efeito substituição.</w:t>
      </w:r>
    </w:p>
    <w:p>
      <w:pPr>
        <w:pStyle w:val="BlockText"/>
      </w:pPr>
      <w:r>
        <w:rPr>
          <w:b/>
          <w:bCs/>
        </w:rPr>
        <w:t xml:space="preserve">[TEOREMA] Teorema: Equivalência entre AFPR e negatividade do efeito substituição</w:t>
      </w:r>
    </w:p>
    <w:p>
      <w:pPr>
        <w:pStyle w:val="BlockText"/>
      </w:pPr>
      <w:r>
        <w:t xml:space="preserve">Um consumidor cujas escolhas satisfazem o Axioma Fraco da Preferência Revelada exibe efeito substituição de Slutsky não-positivo. Reciprocamente, se a matriz de Slutsky é negativa semidefinida, as escolhas observadas satisfazem o AFPR (sob certas condições de regularidade).</w:t>
      </w:r>
    </w:p>
    <w:p>
      <w:pPr>
        <w:pStyle w:val="FirstParagraph"/>
      </w:pPr>
      <w:r>
        <w:t xml:space="preserve">A teoria da preferência revelada tem um papel duplo na microeconomia moderna. Positivamente, ela fornece um critério empírico para testar a racionalidade: se os dados de preços e quantidades de um consumidor violam o AFPR, temos evidência de comportamento irracional — ou de erros de medição ou agregação. Normativamente, ela fundamenta a validade das medidas de bem-estar discutidas na Seção 5.8: a variação compensatória e a variação equivalente são bem definidas apenas se as preferências do consumidor são consistentes com alguma ordenação racional, condição que o AFPR ajuda a verificar. O artigo de Hoderlein e Stoye (2014), discutido na seção</w:t>
      </w:r>
      <w:r>
        <w:t xml:space="preserve"> </w:t>
      </w:r>
      <w:r>
        <w:t xml:space="preserve">“Pesquisa em Ação”</w:t>
      </w:r>
      <w:r>
        <w:t xml:space="preserve"> </w:t>
      </w:r>
      <w:r>
        <w:t xml:space="preserve">deste capítulo, estende esse raciocínio para uma população heterogênea de consumidores, mostrando que as condições de preferência revelada continuam testáveis mesmo quando as preferências individuais não são observadas diretamente.</w:t>
      </w:r>
    </w:p>
    <w:p>
      <w:pPr>
        <w:pStyle w:val="BodyText"/>
      </w:pPr>
      <w:r>
        <w:t xml:space="preserve">A preferência revelada fecha o círculo: partimos de preferências para derivar escolhas (Capítulos 3–5); agora, das escolhas observadas, recuperamos as preferências. A teoria se confirma — ou se refuta — pelos dados.</w:t>
      </w:r>
    </w:p>
    <w:p>
      <w:r>
        <w:pict>
          <v:rect style="width:0;height:1.5pt" o:hralign="center" o:hrstd="t" o:hr="t"/>
        </w:pict>
      </w:r>
    </w:p>
    <w:p>
      <w:pPr>
        <w:pStyle w:val="FirstParagraph"/>
      </w:pPr>
      <w:r>
        <w:t xml:space="preserve">As ferramentas desenvolvidas ao longo deste capítulo — decomposição de Slutsky, elasticidades, excedente do consumidor, preferência revelada — ganham vida quando aplicadas a problemas concretos. O estudo de caso a seguir ilustra como essas ferramentas são utilizadas na análise do mercado brasileiro de combustíveis, um dos mais estudados empiricamente no país.</w:t>
      </w:r>
    </w:p>
    <w:p>
      <w:pPr>
        <w:pStyle w:val="BlockText"/>
      </w:pPr>
      <w:r>
        <w:rPr>
          <w:b/>
          <w:bCs/>
        </w:rPr>
        <w:t xml:space="preserve">[BOX BRASIL] Box Brasil 5.3 — Elasticidade-preço da gasolina no Brasil</w:t>
      </w:r>
    </w:p>
    <w:p>
      <w:pPr>
        <w:pStyle w:val="BlockText"/>
      </w:pPr>
      <w:r>
        <w:t xml:space="preserve">A gasolina é um dos bens mais estudados empiricamente no Brasil, tanto pela relevância fiscal (ICMS, CIDE, PIS/COFINS) quanto pelo impacto no custo de vida. A Agência Nacional do Petróleo (ANP) coleta semanalmente preços em postos de todo o país, fornecendo uma base de dados rica para estimações econométricas.</w:t>
      </w:r>
    </w:p>
    <w:p>
      <w:pPr>
        <w:pStyle w:val="BlockText"/>
      </w:pPr>
      <w:r>
        <w:rPr>
          <w:b/>
          <w:bCs/>
        </w:rPr>
        <w:t xml:space="preserve">Principais achados empíricos:</w:t>
      </w:r>
    </w:p>
    <w:p>
      <w:pPr>
        <w:pStyle w:val="BlockText"/>
        <w:numPr>
          <w:ilvl w:val="0"/>
          <w:numId w:val="1214"/>
        </w:numPr>
      </w:pPr>
      <w:r>
        <w:rPr>
          <w:b/>
          <w:bCs/>
        </w:rPr>
        <w:t xml:space="preserve">Elasticidade-preço de curto prazo</w:t>
      </w:r>
      <w:r>
        <w:t xml:space="preserve">: estimativas variam entre</w:t>
      </w:r>
      <w:r>
        <w:t xml:space="preserve"> </w:t>
      </w:r>
      <m:oMath>
        <m:r>
          <m:rPr>
            <m:sty m:val="p"/>
          </m:rPr>
          <m:t>−</m:t>
        </m:r>
        <m:r>
          <m:t>0</m:t>
        </m:r>
        <m:r>
          <m:rPr>
            <m:sty m:val="p"/>
          </m:rPr>
          <m:t>,</m:t>
        </m:r>
        <m:r>
          <m:t>20</m:t>
        </m:r>
      </m:oMath>
      <w:r>
        <w:t xml:space="preserve"> </w:t>
      </w:r>
      <w:r>
        <w:t xml:space="preserve">e</w:t>
      </w:r>
      <w:r>
        <w:t xml:space="preserve"> </w:t>
      </w:r>
      <m:oMath>
        <m:r>
          <m:rPr>
            <m:sty m:val="p"/>
          </m:rPr>
          <m:t>−</m:t>
        </m:r>
        <m:r>
          <m:t>0</m:t>
        </m:r>
        <m:r>
          <m:rPr>
            <m:sty m:val="p"/>
          </m:rPr>
          <m:t>,</m:t>
        </m:r>
        <m:r>
          <m:t>50</m:t>
        </m:r>
      </m:oMath>
      <w:r>
        <w:t xml:space="preserve">, com a maioria dos estudos convergindo para valores próximos de</w:t>
      </w:r>
      <w:r>
        <w:t xml:space="preserve"> </w:t>
      </w:r>
      <m:oMath>
        <m:r>
          <m:rPr>
            <m:sty m:val="p"/>
          </m:rPr>
          <m:t>−</m:t>
        </m:r>
        <m:r>
          <m:t>0</m:t>
        </m:r>
        <m:r>
          <m:rPr>
            <m:sty m:val="p"/>
          </m:rPr>
          <m:t>,</m:t>
        </m:r>
        <m:r>
          <m:t>35</m:t>
        </m:r>
      </m:oMath>
      <w:r>
        <w:t xml:space="preserve">. Isso significa que um aumento de 10% no preço da gasolina reduz o consumo em cerca de 3,5% no curto prazo.</w:t>
      </w:r>
    </w:p>
    <w:p>
      <w:pPr>
        <w:pStyle w:val="BlockText"/>
        <w:numPr>
          <w:ilvl w:val="0"/>
          <w:numId w:val="1214"/>
        </w:numPr>
      </w:pPr>
      <w:r>
        <w:rPr>
          <w:b/>
          <w:bCs/>
        </w:rPr>
        <w:t xml:space="preserve">Elasticidade-preço de longo prazo</w:t>
      </w:r>
      <w:r>
        <w:t xml:space="preserve">: entre</w:t>
      </w:r>
      <w:r>
        <w:t xml:space="preserve"> </w:t>
      </w:r>
      <m:oMath>
        <m:r>
          <m:rPr>
            <m:sty m:val="p"/>
          </m:rPr>
          <m:t>−</m:t>
        </m:r>
        <m:r>
          <m:t>0</m:t>
        </m:r>
        <m:r>
          <m:rPr>
            <m:sty m:val="p"/>
          </m:rPr>
          <m:t>,</m:t>
        </m:r>
        <m:r>
          <m:t>55</m:t>
        </m:r>
      </m:oMath>
      <w:r>
        <w:t xml:space="preserve"> </w:t>
      </w:r>
      <w:r>
        <w:t xml:space="preserve">e</w:t>
      </w:r>
      <w:r>
        <w:t xml:space="preserve"> </w:t>
      </w:r>
      <m:oMath>
        <m:r>
          <m:rPr>
            <m:sty m:val="p"/>
          </m:rPr>
          <m:t>−</m:t>
        </m:r>
        <m:r>
          <m:t>0</m:t>
        </m:r>
        <m:r>
          <m:rPr>
            <m:sty m:val="p"/>
          </m:rPr>
          <m:t>,</m:t>
        </m:r>
        <m:r>
          <m:t>85</m:t>
        </m:r>
      </m:oMath>
      <w:r>
        <w:t xml:space="preserve">. No longo prazo, os consumidores ajustam o estoque de veículos, mudam rotas e padrões de deslocamento e migram para etanol ou transporte público.</w:t>
      </w:r>
    </w:p>
    <w:p>
      <w:pPr>
        <w:pStyle w:val="BlockText"/>
        <w:numPr>
          <w:ilvl w:val="0"/>
          <w:numId w:val="1214"/>
        </w:numPr>
      </w:pPr>
      <w:r>
        <w:rPr>
          <w:b/>
          <w:bCs/>
        </w:rPr>
        <w:t xml:space="preserve">Efeito substituição gasolina-etanol</w:t>
      </w:r>
      <w:r>
        <w:t xml:space="preserve">: o Brasil é peculiar por possuir a maior frota</w:t>
      </w:r>
      <w:r>
        <w:t xml:space="preserve"> </w:t>
      </w:r>
      <w:r>
        <w:rPr>
          <w:i/>
          <w:iCs/>
        </w:rPr>
        <w:t xml:space="preserve">flex-fuel</w:t>
      </w:r>
      <w:r>
        <w:t xml:space="preserve"> </w:t>
      </w:r>
      <w:r>
        <w:t xml:space="preserve">do mundo. A substituibilidade gasolina-etanol depende criticamente da razão de preços — a regra prática de que o etanol é vantajoso quando seu preço é inferior a 70% do preço da gasolina (pela diferença de conteúdo energético) gera uma elasticidade-preço cruzada estimada entre</w:t>
      </w:r>
      <w:r>
        <w:t xml:space="preserve"> </w:t>
      </w:r>
      <m:oMath>
        <m:r>
          <m:rPr>
            <m:sty m:val="p"/>
          </m:rPr>
          <m:t>+</m:t>
        </m:r>
        <m:r>
          <m:t>0</m:t>
        </m:r>
        <m:r>
          <m:rPr>
            <m:sty m:val="p"/>
          </m:rPr>
          <m:t>,</m:t>
        </m:r>
        <m:r>
          <m:t>80</m:t>
        </m:r>
      </m:oMath>
      <w:r>
        <w:t xml:space="preserve"> </w:t>
      </w:r>
      <w:r>
        <w:t xml:space="preserve">e</w:t>
      </w:r>
      <w:r>
        <w:t xml:space="preserve"> </w:t>
      </w:r>
      <m:oMath>
        <m:r>
          <m:rPr>
            <m:sty m:val="p"/>
          </m:rPr>
          <m:t>+</m:t>
        </m:r>
        <m:r>
          <m:t>1</m:t>
        </m:r>
        <m:r>
          <m:rPr>
            <m:sty m:val="p"/>
          </m:rPr>
          <m:t>,</m:t>
        </m:r>
        <m:r>
          <m:t>40</m:t>
        </m:r>
      </m:oMath>
      <w:r>
        <w:t xml:space="preserve">.</w:t>
      </w:r>
    </w:p>
    <w:p>
      <w:pPr>
        <w:pStyle w:val="BlockText"/>
        <w:numPr>
          <w:ilvl w:val="0"/>
          <w:numId w:val="1214"/>
        </w:numPr>
      </w:pPr>
      <w:r>
        <w:rPr>
          <w:b/>
          <w:bCs/>
        </w:rPr>
        <w:t xml:space="preserve">Heterogeneidade regional</w:t>
      </w:r>
      <w:r>
        <w:t xml:space="preserve">: estudos do IPEA documentam que a elasticidade-preço é maior (em valor absoluto) no Nordeste e menor no Sudeste, refletindo diferenças na participação do gasto com combustíveis no orçamento familiar e na disponibilidade de transporte público.</w:t>
      </w:r>
    </w:p>
    <w:p>
      <w:pPr>
        <w:pStyle w:val="BlockText"/>
        <w:numPr>
          <w:ilvl w:val="0"/>
          <w:numId w:val="1214"/>
        </w:numPr>
      </w:pPr>
      <w:r>
        <w:rPr>
          <w:b/>
          <w:bCs/>
        </w:rPr>
        <w:t xml:space="preserve">Decomposição dos efeitos</w:t>
      </w:r>
      <w:r>
        <w:t xml:space="preserve">: Santos (2013), utilizando microdados da POF, decompôs o efeito total em efeito substituição e efeito renda. Para as famílias de menor renda, o efeito renda responde por quase 40% da variação total na demanda por gasolina, confirmando que o combustível representa parcela significativa do orçamento dessas famílias.</w:t>
      </w:r>
    </w:p>
    <w:p>
      <w:pPr>
        <w:pStyle w:val="BlockText"/>
      </w:pPr>
      <w:r>
        <w:rPr>
          <w:b/>
          <w:bCs/>
        </w:rPr>
        <w:t xml:space="preserve">Implicações de política</w:t>
      </w:r>
      <w:r>
        <w:t xml:space="preserve">: a inelasticidade da demanda por gasolina no curto prazo implica que aumentos de impostos sobre combustíveis (como a CIDE) geram receita tributária substancial, mas com custo de bem-estar significativo — especialmente para famílias de baixa renda, para as quais a variação compensatória pode representar parcela relevante do orçamento mensal.</w:t>
      </w:r>
    </w:p>
    <w:p>
      <w:pPr>
        <w:pStyle w:val="BlockText"/>
      </w:pPr>
      <w:r>
        <w:rPr>
          <w:i/>
          <w:iCs/>
        </w:rPr>
        <w:t xml:space="preserve">Fontes: ANP — Levantamento de Preços de Combustíveis; IPEA — Texto para Discussão n.º 1.898 (2013); Santos (2013); Cardoso et al. (2019).</w:t>
      </w:r>
    </w:p>
    <w:p>
      <w:pPr>
        <w:pStyle w:val="BlockText"/>
      </w:pPr>
      <w:r>
        <w:rPr>
          <w:b/>
          <w:bCs/>
        </w:rPr>
        <w:t xml:space="preserve">[BOX MUNDO] Box Mundo 5.3 — Bens de Giffen na prática: o experimento do arroz na China de Jensen e Miller</w:t>
      </w:r>
    </w:p>
    <w:p>
      <w:pPr>
        <w:pStyle w:val="BlockText"/>
      </w:pPr>
      <w:r>
        <w:rPr>
          <w:b/>
          <w:bCs/>
        </w:rPr>
        <w:t xml:space="preserve">Contexto:</w:t>
      </w:r>
      <w:r>
        <w:t xml:space="preserve"> </w:t>
      </w:r>
      <w:r>
        <w:t xml:space="preserve">A existência de bens de Giffen — bens para os quais a curva de demanda é positivamente inclinada, de modo que um aumento de preço</w:t>
      </w:r>
      <w:r>
        <w:t xml:space="preserve"> </w:t>
      </w:r>
      <w:r>
        <w:rPr>
          <w:i/>
          <w:iCs/>
        </w:rPr>
        <w:t xml:space="preserve">eleva</w:t>
      </w:r>
      <w:r>
        <w:t xml:space="preserve"> </w:t>
      </w:r>
      <w:r>
        <w:t xml:space="preserve">a quantidade demandada — é uma das previsões mais contraintuitivas da teoria da demanda. Como discutido na Seção 5.4, o comportamento de Giffen requer que o bem seja fortemente inferior e represente parcela substancial do orçamento, de modo que o efeito renda (positivo) domine o efeito substituição (negativo). Apesar de figurar em todos os manuais de microeconomia desde Alfred Marshall (1890), a evidência empírica direta de bens de Giffen foi, durante mais de um século, notavelmente escassa e controversa. A situação mudou em 2008, quando Robert Jensen e Nolan Miller publicaram o que é considerado o primeiro experimento controlado que documenta rigorosamente o comportamento de Giffen em condições naturais.</w:t>
      </w:r>
    </w:p>
    <w:p>
      <w:pPr>
        <w:pStyle w:val="BlockText"/>
      </w:pPr>
      <w:r>
        <w:rPr>
          <w:b/>
          <w:bCs/>
        </w:rPr>
        <w:t xml:space="preserve">Dados:</w:t>
      </w:r>
      <w:r>
        <w:t xml:space="preserve"> </w:t>
      </w:r>
      <w:r>
        <w:t xml:space="preserve">Jensen e Miller (2008,</w:t>
      </w:r>
      <w:r>
        <w:t xml:space="preserve"> </w:t>
      </w:r>
      <w:r>
        <w:rPr>
          <w:i/>
          <w:iCs/>
        </w:rPr>
        <w:t xml:space="preserve">American Economic Review</w:t>
      </w:r>
      <w:r>
        <w:t xml:space="preserve">) conduziram um experimento de campo na província de Hunan (sul da China) e na província de Gansu (noroeste). Em cada localidade, famílias de baixa renda foram aleatoriamente designadas a receber subsídios ao preço do alimento básico local — arroz em Hunan e trigo em Gansu — por cinco meses, com o subsídio sendo depois removido. O desenho experimental permitiu estimar a curva de demanda de forma causal. Os resultados para o arroz em Hunan foram inequívocos: quando o subsídio reduziu o preço efetivo do arroz, as famílias consumiram</w:t>
      </w:r>
      <w:r>
        <w:t xml:space="preserve"> </w:t>
      </w:r>
      <w:r>
        <w:rPr>
          <w:i/>
          <w:iCs/>
        </w:rPr>
        <w:t xml:space="preserve">menos</w:t>
      </w:r>
      <w:r>
        <w:t xml:space="preserve"> </w:t>
      </w:r>
      <w:r>
        <w:t xml:space="preserve">arroz (e mais carne e vegetais); quando o subsídio foi removido e o preço voltou ao nível original, o consumo de arroz</w:t>
      </w:r>
      <w:r>
        <w:t xml:space="preserve"> </w:t>
      </w:r>
      <w:r>
        <w:rPr>
          <w:i/>
          <w:iCs/>
        </w:rPr>
        <w:t xml:space="preserve">aumentou</w:t>
      </w:r>
      <w:r>
        <w:t xml:space="preserve">. A elasticidade-preço estimada para o arroz entre as famílias mais pobres de Hunan foi positiva e estatisticamente significativa, da ordem de +0,45. Para o trigo em Gansu, os resultados foram qualitativamente similares, mas estatisticamente mais fracos.</w:t>
      </w:r>
    </w:p>
    <w:p>
      <w:pPr>
        <w:pStyle w:val="BlockText"/>
      </w:pPr>
      <w:r>
        <w:rPr>
          <w:b/>
          <w:bCs/>
        </w:rPr>
        <w:t xml:space="preserve">Análise:</w:t>
      </w:r>
      <w:r>
        <w:t xml:space="preserve"> </w:t>
      </w:r>
      <w:r>
        <w:t xml:space="preserve">O resultado de Jensen e Miller confirma a decomposição de Slutsky da Seção 5.4 em condições reais. O arroz em Hunan satisfaz todas as condições teóricas para o comportamento de Giffen: (i) é um bem fortemente inferior — famílias muito pobres consomem arroz como principal fonte calórica e migram para alimentos de maior qualidade à medida que sua renda real aumenta; (ii) representa parcela muito elevada do orçamento alimentar — acima de 50% para as famílias mais pobres da amostra; (iii) as alternativas disponíveis (carne, vegetais) são suficientemente mais caras para que o efeito substituição seja pequeno. Quando o preço do arroz sobe, a queda do poder de compra real é tão severa que as famílias são forçadas a renunciar a alimentos melhores e consumir</w:t>
      </w:r>
      <w:r>
        <w:t xml:space="preserve"> </w:t>
      </w:r>
      <w:r>
        <w:rPr>
          <w:i/>
          <w:iCs/>
        </w:rPr>
        <w:t xml:space="preserve">mais</w:t>
      </w:r>
      <w:r>
        <w:t xml:space="preserve"> </w:t>
      </w:r>
      <w:r>
        <w:t xml:space="preserve">do alimento básico e barato — exatamente o mecanismo do efeito renda dominante descrito na Equação de Slutsky. A evidência de Jensen e Miller demonstra que bens de Giffen não são uma curiosidade teórica, mas um fenômeno real que emerge em contextos de pobreza extrema e concentração calórica em um único alimento — com implicações diretas para o desenho de políticas de segurança alimentar e subsídios a alimentos básicos.</w:t>
      </w:r>
    </w:p>
    <w:p>
      <w:pPr>
        <w:pStyle w:val="BlockText"/>
      </w:pPr>
      <w:r>
        <w:rPr>
          <w:b/>
          <w:bCs/>
        </w:rPr>
        <w:t xml:space="preserve">Fonte:</w:t>
      </w:r>
      <w:r>
        <w:t xml:space="preserve"> </w:t>
      </w:r>
      <w:r>
        <w:t xml:space="preserve">Jensen, R. T.; Miller, N. H. (2008). Giffen behavior and subsistence consumption.</w:t>
      </w:r>
      <w:r>
        <w:t xml:space="preserve"> </w:t>
      </w:r>
      <w:r>
        <w:rPr>
          <w:i/>
          <w:iCs/>
        </w:rPr>
        <w:t xml:space="preserve">American Economic Review</w:t>
      </w:r>
      <w:r>
        <w:t xml:space="preserve">, 98(4), 1553–1577. Marshall, A. (1890).</w:t>
      </w:r>
      <w:r>
        <w:t xml:space="preserve"> </w:t>
      </w:r>
      <w:r>
        <w:rPr>
          <w:i/>
          <w:iCs/>
        </w:rPr>
        <w:t xml:space="preserve">Principles of Economics</w:t>
      </w:r>
      <w:r>
        <w:t xml:space="preserve">. London: Macmillan.</w:t>
      </w:r>
    </w:p>
    <w:p>
      <w:r>
        <w:pict>
          <v:rect style="width:0;height:1.5pt" o:hralign="center" o:hrstd="t" o:hr="t"/>
        </w:pict>
      </w:r>
    </w:p>
    <w:p>
      <w:pPr>
        <w:pStyle w:val="FirstParagraph"/>
      </w:pPr>
      <w:r>
        <w:t xml:space="preserve">Se este capítulo funcionou, você sai dele com três convicções:</w:t>
      </w:r>
    </w:p>
    <w:p>
      <w:pPr>
        <w:pStyle w:val="Compact"/>
        <w:numPr>
          <w:ilvl w:val="0"/>
          <w:numId w:val="1215"/>
        </w:numPr>
      </w:pPr>
      <w:r>
        <w:rPr>
          <w:b/>
          <w:bCs/>
        </w:rPr>
        <w:t xml:space="preserve">Toda mudança de preço é duas mudanças.</w:t>
      </w:r>
      <w:r>
        <w:t xml:space="preserve"> </w:t>
      </w:r>
      <w:r>
        <w:t xml:space="preserve">O efeito substituição redireciona o consumo (sempre contra o bem que encareceu); o efeito renda empobrece ou enriquece. Slutsky nos ensinou a separá-los — e essa cirurgia é a base de toda análise de política tributária, tarifária e regulatória.</w:t>
      </w:r>
    </w:p>
    <w:p>
      <w:pPr>
        <w:pStyle w:val="Compact"/>
        <w:numPr>
          <w:ilvl w:val="0"/>
          <w:numId w:val="1215"/>
        </w:numPr>
      </w:pPr>
      <w:r>
        <w:rPr>
          <w:b/>
          <w:bCs/>
        </w:rPr>
        <w:t xml:space="preserve">A Lei da Demanda não é uma lei — é um teorema condicional.</w:t>
      </w:r>
      <w:r>
        <w:t xml:space="preserve"> </w:t>
      </w:r>
      <w:r>
        <w:t xml:space="preserve">Ela vale para bens normais (e para a maioria dos inferiores), mas pode falhar nos raríssimos casos de Giffen. Saber</w:t>
      </w:r>
      <w:r>
        <w:t xml:space="preserve"> </w:t>
      </w:r>
      <w:r>
        <w:rPr>
          <w:i/>
          <w:iCs/>
        </w:rPr>
        <w:t xml:space="preserve">quando</w:t>
      </w:r>
      <w:r>
        <w:t xml:space="preserve"> </w:t>
      </w:r>
      <w:r>
        <w:t xml:space="preserve">ela falha importa mais do que saber que</w:t>
      </w:r>
      <w:r>
        <w:t xml:space="preserve"> </w:t>
      </w:r>
      <w:r>
        <w:t xml:space="preserve">“geralmente vale”</w:t>
      </w:r>
      <w:r>
        <w:t xml:space="preserve">.</w:t>
      </w:r>
    </w:p>
    <w:p>
      <w:pPr>
        <w:pStyle w:val="Compact"/>
        <w:numPr>
          <w:ilvl w:val="0"/>
          <w:numId w:val="1215"/>
        </w:numPr>
      </w:pPr>
      <w:r>
        <w:rPr>
          <w:b/>
          <w:bCs/>
        </w:rPr>
        <w:t xml:space="preserve">Medir bem-estar exige cuidado com a régua.</w:t>
      </w:r>
      <w:r>
        <w:t xml:space="preserve"> </w:t>
      </w:r>
      <w:r>
        <w:t xml:space="preserve">O excedente do consumidor marshalliano é prático, mas a VC e a VE são as medidas teoricamente corretas. A diferença entre elas depende do tamanho do efeito renda — e para famílias pobres, essa diferença pode ser enorme.</w:t>
      </w:r>
    </w:p>
    <w:p>
      <w:pPr>
        <w:pStyle w:val="FirstParagraph"/>
      </w:pPr>
      <w:r>
        <w:rPr>
          <w:i/>
          <w:iCs/>
        </w:rPr>
        <w:t xml:space="preserve">Até aqui, cada bem vivia sozinho. No próximo capítulo, eles se encontram — e a relação é complicada.</w:t>
      </w:r>
    </w:p>
    <w:p>
      <w:r>
        <w:pict>
          <v:rect style="width:0;height:1.5pt" o:hralign="center" o:hrstd="t" o:hr="t"/>
        </w:pict>
      </w:r>
    </w:p>
    <w:p>
      <w:pPr>
        <w:pStyle w:val="FirstParagraph"/>
      </w:pPr>
      <w:r>
        <w:t xml:space="preserve">[FIGURA INTERATIVA: /micro-book/graficos/cap05/webr-slutsky.html — versao interativa disponivel online]</w:t>
      </w:r>
    </w:p>
    <w:p>
      <w:pPr>
        <w:pStyle w:val="BodyText"/>
      </w:pPr>
      <w:r>
        <w:rPr>
          <w:b/>
          <w:bCs/>
        </w:rPr>
        <w:t xml:space="preserve">WebR 5.1 — Decomposição de Slutsky.</w:t>
      </w:r>
      <w:r>
        <w:t xml:space="preserve"> </w:t>
      </w:r>
      <w:r>
        <w:t xml:space="preserve">Visualize os pontos A (original), B (Slutsky-compensado) e C (final), e calcule os efeitos substituição e renda. Altere o choque de preço e o parâmetro α para ver quando o efeito renda domina.</w:t>
      </w:r>
    </w:p>
    <w:p>
      <w:pPr>
        <w:pStyle w:val="BodyText"/>
      </w:pPr>
      <w:r>
        <w:t xml:space="preserve">[FIGURA INTERATIVA: /micro-book/graficos/cap05/webr-engel.html — versao interativa disponivel online]</w:t>
      </w:r>
    </w:p>
    <w:p>
      <w:pPr>
        <w:pStyle w:val="BodyText"/>
      </w:pPr>
      <w:r>
        <w:rPr>
          <w:b/>
          <w:bCs/>
        </w:rPr>
        <w:t xml:space="preserve">WebR 5.2 — Curvas de Engel e Lei de Engel.</w:t>
      </w:r>
      <w:r>
        <w:t xml:space="preserve"> </w:t>
      </w:r>
      <w:r>
        <w:t xml:space="preserve">Compare bens de luxo (E&gt;1), necessidade (0&lt;E&lt;1) e inferior (E&lt;0). O segundo painel mostra a Lei de Engel: famílias pobres gastam maior parcela da renda com alimentação.</w:t>
      </w:r>
    </w:p>
    <w:p>
      <w:pPr>
        <w:pStyle w:val="BodyText"/>
      </w:pPr>
      <w:r>
        <w:t xml:space="preserve">[FIGURA INTERATIVA: /micro-book/graficos/cap05/webr-excedente.html — versao interativa disponivel online]</w:t>
      </w:r>
    </w:p>
    <w:p>
      <w:pPr>
        <w:pStyle w:val="BodyText"/>
      </w:pPr>
      <w:r>
        <w:rPr>
          <w:b/>
          <w:bCs/>
        </w:rPr>
        <w:t xml:space="preserve">WebR 5.3 — Três medidas de bem-estar: EC, VC e VE.</w:t>
      </w:r>
      <w:r>
        <w:t xml:space="preserve"> </w:t>
      </w:r>
      <w:r>
        <w:t xml:space="preserve">Com utilidade quase-linear, VC = VE = EC (sem efeito-renda). Com Cobb-Douglas, VE ≤ EC ≤ VC. Veja a comparação numérica e gráfica.</w:t>
      </w:r>
    </w:p>
    <w:p>
      <w:pPr>
        <w:pStyle w:val="BodyText"/>
      </w:pPr>
      <w:r>
        <w:t xml:space="preserve">[FIGURA INTERATIVA: /micro-book/graficos/cap05/webr-giffen.html — versao interativa disponivel online]</w:t>
      </w:r>
    </w:p>
    <w:p>
      <w:pPr>
        <w:pStyle w:val="BodyText"/>
      </w:pPr>
      <w:r>
        <w:rPr>
          <w:b/>
          <w:bCs/>
        </w:rPr>
        <w:t xml:space="preserve">WebR 5.4 — Bem de Giffen: quando a demanda sobe com o preço.</w:t>
      </w:r>
      <w:r>
        <w:t xml:space="preserve"> </w:t>
      </w:r>
      <w:r>
        <w:t xml:space="preserve">Simule um bem de subsistência e veja a Slutsky em ação: o efeito-renda (positivo, pois o bem é inferior) domina o efeito-substituição. Altere b_pref para transitar entre normal e Giffen.</w:t>
      </w:r>
    </w:p>
    <w:p>
      <w:r>
        <w:pict>
          <v:rect style="width:0;height:1.5pt" o:hralign="center" o:hrstd="t" o:hr="t"/>
        </w:pict>
      </w:r>
    </w:p>
    <w:p>
      <w:pPr>
        <w:pStyle w:val="BlockText"/>
      </w:pPr>
      <w:r>
        <w:rPr>
          <w:b/>
          <w:bCs/>
        </w:rPr>
        <w:t xml:space="preserve">[ATIVIDADE DE SALA] Atividade 5.1 — Slutsky no bolso: decompondo o aumento da gasolina (20 min)</w:t>
      </w:r>
    </w:p>
    <w:p>
      <w:pPr>
        <w:pStyle w:val="BlockText"/>
      </w:pPr>
      <w:r>
        <w:rPr>
          <w:b/>
          <w:bCs/>
        </w:rPr>
        <w:t xml:space="preserve">Objetivo:</w:t>
      </w:r>
      <w:r>
        <w:t xml:space="preserve"> </w:t>
      </w:r>
      <w:r>
        <w:t xml:space="preserve">Aplicar a decomposição de Slutsky a um exemplo real vivenciado pelos alunos — o aumento no preço da gasolina.</w:t>
      </w:r>
    </w:p>
    <w:p>
      <w:pPr>
        <w:pStyle w:val="BlockText"/>
      </w:pPr>
      <w:r>
        <w:rPr>
          <w:b/>
          <w:bCs/>
        </w:rPr>
        <w:t xml:space="preserve">Material:</w:t>
      </w:r>
      <w:r>
        <w:t xml:space="preserve"> </w:t>
      </w:r>
      <w:r>
        <w:t xml:space="preserve">Calculadora (celular), dados projetados.</w:t>
      </w:r>
    </w:p>
    <w:p>
      <w:pPr>
        <w:pStyle w:val="BlockText"/>
      </w:pPr>
      <w:r>
        <w:rPr>
          <w:b/>
          <w:bCs/>
        </w:rPr>
        <w:t xml:space="preserve">Protocolo:</w:t>
      </w:r>
    </w:p>
    <w:p>
      <w:pPr>
        <w:pStyle w:val="Compact"/>
        <w:numPr>
          <w:ilvl w:val="0"/>
          <w:numId w:val="1216"/>
        </w:numPr>
      </w:pPr>
      <w:r>
        <w:rPr>
          <w:b/>
          <w:bCs/>
        </w:rPr>
        <w:t xml:space="preserve">Setup</w:t>
      </w:r>
      <w:r>
        <w:t xml:space="preserve"> </w:t>
      </w:r>
      <w:r>
        <w:t xml:space="preserve">(3 min): Projete:</w:t>
      </w:r>
      <w:r>
        <w:t xml:space="preserve"> </w:t>
      </w:r>
      <w:r>
        <w:t xml:space="preserve">“Consumidor com</w:t>
      </w:r>
      <w:r>
        <w:t xml:space="preserve"> </w:t>
      </w:r>
      <m:oMath>
        <m:r>
          <m:t>U</m:t>
        </m:r>
        <m:r>
          <m:rPr>
            <m:sty m:val="p"/>
          </m:rPr>
          <m:t>=</m:t>
        </m:r>
        <m:sSubSup>
          <m:e>
            <m:r>
              <m:t>x</m:t>
            </m:r>
          </m:e>
          <m:sub>
            <m:r>
              <m:t>1</m:t>
            </m:r>
          </m:sub>
          <m:sup>
            <m:r>
              <m:t>0</m:t>
            </m:r>
            <m:r>
              <m:rPr>
                <m:sty m:val="p"/>
              </m:rPr>
              <m:t>,</m:t>
            </m:r>
            <m:r>
              <m:t>4</m:t>
            </m:r>
          </m:sup>
        </m:sSubSup>
        <m:sSubSup>
          <m:e>
            <m:r>
              <m:t>x</m:t>
            </m:r>
          </m:e>
          <m:sub>
            <m:r>
              <m:t>2</m:t>
            </m:r>
          </m:sub>
          <m:sup>
            <m:r>
              <m:t>0</m:t>
            </m:r>
            <m:r>
              <m:rPr>
                <m:sty m:val="p"/>
              </m:rPr>
              <m:t>,</m:t>
            </m:r>
            <m:r>
              <m:t>6</m:t>
            </m:r>
          </m:sup>
        </m:sSubSup>
      </m:oMath>
      <w:r>
        <w:t xml:space="preserve">, onde</w:t>
      </w:r>
      <w:r>
        <w:t xml:space="preserve"> </w:t>
      </w:r>
      <m:oMath>
        <m:sSub>
          <m:e>
            <m:r>
              <m:t>x</m:t>
            </m:r>
          </m:e>
          <m:sub>
            <m:r>
              <m:t>1</m:t>
            </m:r>
          </m:sub>
        </m:sSub>
      </m:oMath>
      <w:r>
        <w:t xml:space="preserve"> </w:t>
      </w:r>
      <w:r>
        <w:t xml:space="preserve">= litros de gasolina/mês e</w:t>
      </w:r>
      <w:r>
        <w:t xml:space="preserve"> </w:t>
      </w:r>
      <m:oMath>
        <m:sSub>
          <m:e>
            <m:r>
              <m:t>x</m:t>
            </m:r>
          </m:e>
          <m:sub>
            <m:r>
              <m:t>2</m:t>
            </m:r>
          </m:sub>
        </m:sSub>
      </m:oMath>
      <w:r>
        <w:t xml:space="preserve"> </w:t>
      </w:r>
      <w:r>
        <w:t xml:space="preserve">= todos os outros bens. Renda</w:t>
      </w:r>
      <w:r>
        <w:t xml:space="preserve"> </w:t>
      </w:r>
      <m:oMath>
        <m:r>
          <m:t>m</m:t>
        </m:r>
        <m:r>
          <m:rPr>
            <m:sty m:val="p"/>
          </m:rPr>
          <m:t>=</m:t>
        </m:r>
        <m:r>
          <m:t>3000</m:t>
        </m:r>
      </m:oMath>
      <w:r>
        <w:t xml:space="preserve">,</w:t>
      </w:r>
      <w:r>
        <w:t xml:space="preserve"> </w:t>
      </w:r>
      <m:oMath>
        <m:sSub>
          <m:e>
            <m:r>
              <m:t>p</m:t>
            </m:r>
          </m:e>
          <m:sub>
            <m:r>
              <m:t>1</m:t>
            </m:r>
          </m:sub>
        </m:sSub>
        <m:r>
          <m:rPr>
            <m:sty m:val="p"/>
          </m:rPr>
          <m:t>=</m:t>
        </m:r>
        <m:r>
          <m:t>5</m:t>
        </m:r>
      </m:oMath>
      <w:r>
        <w:t xml:space="preserve">,</w:t>
      </w:r>
      <w:r>
        <w:t xml:space="preserve"> </w:t>
      </w:r>
      <m:oMath>
        <m:sSub>
          <m:e>
            <m:r>
              <m:t>p</m:t>
            </m:r>
          </m:e>
          <m:sub>
            <m:r>
              <m:t>2</m:t>
            </m:r>
          </m:sub>
        </m:sSub>
        <m:r>
          <m:rPr>
            <m:sty m:val="p"/>
          </m:rPr>
          <m:t>=</m:t>
        </m:r>
        <m:r>
          <m:t>1</m:t>
        </m:r>
      </m:oMath>
      <w:r>
        <w:t xml:space="preserve">.”</w:t>
      </w:r>
      <w:r>
        <w:t xml:space="preserve"> </w:t>
      </w:r>
      <w:r>
        <w:t xml:space="preserve">Peça que encontrem as demandas marshallianas:</w:t>
      </w:r>
      <w:r>
        <w:t xml:space="preserve"> </w:t>
      </w:r>
      <m:oMath>
        <m:sSubSup>
          <m:e>
            <m:r>
              <m:t>x</m:t>
            </m:r>
          </m:e>
          <m:sub>
            <m:r>
              <m:t>1</m:t>
            </m:r>
          </m:sub>
          <m:sup>
            <m:r>
              <m:rPr>
                <m:sty m:val="p"/>
              </m:rPr>
              <m:t>*</m:t>
            </m:r>
          </m:sup>
        </m:sSubSup>
        <m:r>
          <m:rPr>
            <m:sty m:val="p"/>
          </m:rPr>
          <m:t>=</m:t>
        </m:r>
        <m:r>
          <m:t>240</m:t>
        </m:r>
      </m:oMath>
      <w:r>
        <w:t xml:space="preserve"> </w:t>
      </w:r>
      <w:r>
        <w:t xml:space="preserve">litros,</w:t>
      </w:r>
      <w:r>
        <w:t xml:space="preserve"> </w:t>
      </w:r>
      <m:oMath>
        <m:sSubSup>
          <m:e>
            <m:r>
              <m:t>x</m:t>
            </m:r>
          </m:e>
          <m:sub>
            <m:r>
              <m:t>2</m:t>
            </m:r>
          </m:sub>
          <m:sup>
            <m:r>
              <m:rPr>
                <m:sty m:val="p"/>
              </m:rPr>
              <m:t>*</m:t>
            </m:r>
          </m:sup>
        </m:sSubSup>
        <m:r>
          <m:rPr>
            <m:sty m:val="p"/>
          </m:rPr>
          <m:t>=</m:t>
        </m:r>
        <m:r>
          <m:t>1800</m:t>
        </m:r>
      </m:oMath>
      <w:r>
        <w:t xml:space="preserve">.</w:t>
      </w:r>
    </w:p>
    <w:p>
      <w:pPr>
        <w:pStyle w:val="Compact"/>
        <w:numPr>
          <w:ilvl w:val="0"/>
          <w:numId w:val="1216"/>
        </w:numPr>
      </w:pPr>
      <w:r>
        <w:rPr>
          <w:b/>
          <w:bCs/>
        </w:rPr>
        <w:t xml:space="preserve">O choque</w:t>
      </w:r>
      <w:r>
        <w:t xml:space="preserve"> </w:t>
      </w:r>
      <w:r>
        <w:t xml:space="preserve">(5 min):</w:t>
      </w:r>
      <w:r>
        <w:t xml:space="preserve"> </w:t>
      </w:r>
      <w:r>
        <w:t xml:space="preserve">“A gasolina sobe para</w:t>
      </w:r>
      <w:r>
        <w:t xml:space="preserve"> </w:t>
      </w:r>
      <m:oMath>
        <m:sSubSup>
          <m:e>
            <m:r>
              <m:t>p</m:t>
            </m:r>
          </m:e>
          <m:sub>
            <m:r>
              <m:t>1</m:t>
            </m:r>
          </m:sub>
          <m:sup>
            <m:r>
              <m:rPr>
                <m:sty m:val="p"/>
              </m:rPr>
              <m:t>′</m:t>
            </m:r>
          </m:sup>
        </m:sSubSup>
        <m:r>
          <m:rPr>
            <m:sty m:val="p"/>
          </m:rPr>
          <m:t>=</m:t>
        </m:r>
        <m:r>
          <m:t>6</m:t>
        </m:r>
      </m:oMath>
      <w:r>
        <w:t xml:space="preserve">. Encontre a nova cesta.”</w:t>
      </w:r>
      <w:r>
        <w:t xml:space="preserve"> </w:t>
      </w:r>
      <w:r>
        <w:t xml:space="preserve">→</w:t>
      </w:r>
      <w:r>
        <w:t xml:space="preserve"> </w:t>
      </w:r>
      <m:oMath>
        <m:sSubSup>
          <m:e>
            <m:r>
              <m:t>x</m:t>
            </m:r>
          </m:e>
          <m:sub>
            <m:r>
              <m:t>1</m:t>
            </m:r>
          </m:sub>
          <m:sup>
            <m:r>
              <m:rPr>
                <m:sty m:val="p"/>
              </m:rPr>
              <m:t>′</m:t>
            </m:r>
          </m:sup>
        </m:sSubSup>
        <m:r>
          <m:rPr>
            <m:sty m:val="p"/>
          </m:rPr>
          <m:t>=</m:t>
        </m:r>
        <m:r>
          <m:t>200</m:t>
        </m:r>
      </m:oMath>
      <w:r>
        <w:t xml:space="preserve">,</w:t>
      </w:r>
      <w:r>
        <w:t xml:space="preserve"> </w:t>
      </w:r>
      <m:oMath>
        <m:sSubSup>
          <m:e>
            <m:r>
              <m:t>x</m:t>
            </m:r>
          </m:e>
          <m:sub>
            <m:r>
              <m:t>2</m:t>
            </m:r>
          </m:sub>
          <m:sup>
            <m:r>
              <m:rPr>
                <m:sty m:val="p"/>
              </m:rPr>
              <m:t>′</m:t>
            </m:r>
          </m:sup>
        </m:sSubSup>
        <m:r>
          <m:rPr>
            <m:sty m:val="p"/>
          </m:rPr>
          <m:t>=</m:t>
        </m:r>
        <m:r>
          <m:t>1800</m:t>
        </m:r>
      </m:oMath>
      <w:r>
        <w:t xml:space="preserve">. Queda de 40 litros.</w:t>
      </w:r>
      <w:r>
        <w:t xml:space="preserve"> </w:t>
      </w:r>
      <w:r>
        <w:t xml:space="preserve">“Quanto disso é efeito substituição e quanto é efeito renda?”</w:t>
      </w:r>
    </w:p>
    <w:p>
      <w:pPr>
        <w:pStyle w:val="Compact"/>
        <w:numPr>
          <w:ilvl w:val="0"/>
          <w:numId w:val="1216"/>
        </w:numPr>
      </w:pPr>
      <w:r>
        <w:rPr>
          <w:b/>
          <w:bCs/>
        </w:rPr>
        <w:t xml:space="preserve">Decomposição de Hicks</w:t>
      </w:r>
      <w:r>
        <w:t xml:space="preserve"> </w:t>
      </w:r>
      <w:r>
        <w:t xml:space="preserve">(7 min): Peça que calculem a renda compensada</w:t>
      </w:r>
      <w:r>
        <w:t xml:space="preserve"> </w:t>
      </w:r>
      <m:oMath>
        <m:sSup>
          <m:e>
            <m:r>
              <m:t>m</m:t>
            </m:r>
          </m:e>
          <m:sup>
            <m:r>
              <m:t>c</m:t>
            </m:r>
          </m:sup>
        </m:sSup>
      </m:oMath>
      <w:r>
        <w:t xml:space="preserve"> </w:t>
      </w:r>
      <w:r>
        <w:t xml:space="preserve">que mantém a utilidade original (dica: usar a função dispêndio ou resolver numericamente). Compare com a decomposição de Slutsky (renda que permite comprar a cesta original:</w:t>
      </w:r>
      <w:r>
        <w:t xml:space="preserve"> </w:t>
      </w:r>
      <m:oMath>
        <m:sSup>
          <m:e>
            <m:r>
              <m:t>m</m:t>
            </m:r>
          </m:e>
          <m:sup>
            <m:r>
              <m:t>S</m:t>
            </m:r>
          </m:sup>
        </m:sSup>
        <m:r>
          <m:rPr>
            <m:sty m:val="p"/>
          </m:rPr>
          <m:t>=</m:t>
        </m:r>
        <m:r>
          <m:t>6</m:t>
        </m:r>
        <m:r>
          <m:rPr>
            <m:sty m:val="p"/>
          </m:rPr>
          <m:t>×</m:t>
        </m:r>
        <m:r>
          <m:t>240</m:t>
        </m:r>
        <m:r>
          <m:rPr>
            <m:sty m:val="p"/>
          </m:rPr>
          <m:t>+</m:t>
        </m:r>
        <m:r>
          <m:t>1</m:t>
        </m:r>
        <m:r>
          <m:rPr>
            <m:sty m:val="p"/>
          </m:rPr>
          <m:t>×</m:t>
        </m:r>
        <m:r>
          <m:t>1800</m:t>
        </m:r>
        <m:r>
          <m:rPr>
            <m:sty m:val="p"/>
          </m:rPr>
          <m:t>=</m:t>
        </m:r>
        <m:r>
          <m:t>3240</m:t>
        </m:r>
      </m:oMath>
      <w:r>
        <w:t xml:space="preserve">). Ao preço novo e renda</w:t>
      </w:r>
      <w:r>
        <w:t xml:space="preserve"> </w:t>
      </w:r>
      <m:oMath>
        <m:sSup>
          <m:e>
            <m:r>
              <m:t>m</m:t>
            </m:r>
          </m:e>
          <m:sup>
            <m:r>
              <m:t>S</m:t>
            </m:r>
          </m:sup>
        </m:sSup>
      </m:oMath>
      <w:r>
        <w:t xml:space="preserve">:</w:t>
      </w:r>
      <w:r>
        <w:t xml:space="preserve"> </w:t>
      </w:r>
      <m:oMath>
        <m:sSubSup>
          <m:e>
            <m:r>
              <m:t>x</m:t>
            </m:r>
          </m:e>
          <m:sub>
            <m:r>
              <m:t>1</m:t>
            </m:r>
          </m:sub>
          <m:sup>
            <m:r>
              <m:t>S</m:t>
            </m:r>
            <m:r>
              <m:t>l</m:t>
            </m:r>
            <m:r>
              <m:t>u</m:t>
            </m:r>
            <m:r>
              <m:t>t</m:t>
            </m:r>
            <m:r>
              <m:t>s</m:t>
            </m:r>
            <m:r>
              <m:t>k</m:t>
            </m:r>
            <m:r>
              <m:t>y</m:t>
            </m:r>
          </m:sup>
        </m:sSubSup>
        <m:r>
          <m:rPr>
            <m:sty m:val="p"/>
          </m:rPr>
          <m:t>=</m:t>
        </m:r>
        <m:r>
          <m:t>0</m:t>
        </m:r>
        <m:r>
          <m:rPr>
            <m:sty m:val="p"/>
          </m:rPr>
          <m:t>,</m:t>
        </m:r>
        <m:r>
          <m:t>4</m:t>
        </m:r>
        <m:r>
          <m:rPr>
            <m:sty m:val="p"/>
          </m:rPr>
          <m:t>×</m:t>
        </m:r>
        <m:r>
          <m:t>3240</m:t>
        </m:r>
        <m:r>
          <m:rPr>
            <m:sty m:val="p"/>
          </m:rPr>
          <m:t>/</m:t>
        </m:r>
        <m:r>
          <m:t>6</m:t>
        </m:r>
        <m:r>
          <m:rPr>
            <m:sty m:val="p"/>
          </m:rPr>
          <m:t>=</m:t>
        </m:r>
        <m:r>
          <m:t>216</m:t>
        </m:r>
      </m:oMath>
      <w:r>
        <w:t xml:space="preserve">. ES =</w:t>
      </w:r>
      <w:r>
        <w:t xml:space="preserve"> </w:t>
      </w:r>
      <m:oMath>
        <m:r>
          <m:t>216</m:t>
        </m:r>
        <m:r>
          <m:rPr>
            <m:sty m:val="p"/>
          </m:rPr>
          <m:t>−</m:t>
        </m:r>
        <m:r>
          <m:t>240</m:t>
        </m:r>
        <m:r>
          <m:rPr>
            <m:sty m:val="p"/>
          </m:rPr>
          <m:t>=</m:t>
        </m:r>
        <m:r>
          <m:rPr>
            <m:sty m:val="p"/>
          </m:rPr>
          <m:t>−</m:t>
        </m:r>
        <m:r>
          <m:t>24</m:t>
        </m:r>
      </m:oMath>
      <w:r>
        <w:t xml:space="preserve">, ER =</w:t>
      </w:r>
      <w:r>
        <w:t xml:space="preserve"> </w:t>
      </w:r>
      <m:oMath>
        <m:r>
          <m:t>200</m:t>
        </m:r>
        <m:r>
          <m:rPr>
            <m:sty m:val="p"/>
          </m:rPr>
          <m:t>−</m:t>
        </m:r>
        <m:r>
          <m:t>216</m:t>
        </m:r>
        <m:r>
          <m:rPr>
            <m:sty m:val="p"/>
          </m:rPr>
          <m:t>=</m:t>
        </m:r>
        <m:r>
          <m:rPr>
            <m:sty m:val="p"/>
          </m:rPr>
          <m:t>−</m:t>
        </m:r>
        <m:r>
          <m:t>16</m:t>
        </m:r>
      </m:oMath>
      <w:r>
        <w:t xml:space="preserve">.</w:t>
      </w:r>
    </w:p>
    <w:p>
      <w:pPr>
        <w:pStyle w:val="Compact"/>
        <w:numPr>
          <w:ilvl w:val="0"/>
          <w:numId w:val="1216"/>
        </w:numPr>
      </w:pPr>
      <w:r>
        <w:rPr>
          <w:b/>
          <w:bCs/>
        </w:rPr>
        <w:t xml:space="preserve">Debrief</w:t>
      </w:r>
      <w:r>
        <w:t xml:space="preserve"> </w:t>
      </w:r>
      <w:r>
        <w:t xml:space="preserve">(5 min):</w:t>
      </w:r>
    </w:p>
    <w:p>
      <w:pPr>
        <w:pStyle w:val="Compact"/>
        <w:numPr>
          <w:ilvl w:val="1"/>
          <w:numId w:val="1217"/>
        </w:numPr>
      </w:pPr>
      <w:r>
        <w:t xml:space="preserve">“O efeito substituição diz: gasolina ficou relativamente mais cara, troco por ônibus/bike. O efeito renda diz: fiquei mais pobre, compro menos de tudo.”</w:t>
      </w:r>
    </w:p>
    <w:p>
      <w:pPr>
        <w:pStyle w:val="Compact"/>
        <w:numPr>
          <w:ilvl w:val="1"/>
          <w:numId w:val="1217"/>
        </w:numPr>
      </w:pPr>
      <w:r>
        <w:t xml:space="preserve">“Para famílias de baixa renda, o ER domina — é por isso que o aumento da gasolina é tão regressivo.”</w:t>
      </w:r>
    </w:p>
    <w:p>
      <w:pPr>
        <w:pStyle w:val="Compact"/>
        <w:numPr>
          <w:ilvl w:val="1"/>
          <w:numId w:val="1217"/>
        </w:numPr>
      </w:pPr>
      <w:r>
        <w:t xml:space="preserve">Conecte com a política de preços da Petrobras e a discussão sobre subsídios a combustíveis no Brasil.</w:t>
      </w:r>
    </w:p>
    <w:p>
      <w:pPr>
        <w:pStyle w:val="BlockText"/>
      </w:pPr>
      <w:r>
        <w:rPr>
          <w:b/>
          <w:bCs/>
        </w:rPr>
        <w:t xml:space="preserve">Conexão com o conteúdo:</w:t>
      </w:r>
      <w:r>
        <w:t xml:space="preserve"> </w:t>
      </w:r>
      <w:r>
        <w:t xml:space="preserve">Seções 5.3 (decomposição de Hicks e Slutsky), 5.4 (Equação de Slutsky), 5.8 (medidas de bem-estar).</w:t>
      </w:r>
    </w:p>
    <w:p>
      <w:pPr>
        <w:pStyle w:val="BlockText"/>
      </w:pPr>
      <w:r>
        <w:rPr>
          <w:b/>
          <w:bCs/>
        </w:rPr>
        <w:t xml:space="preserve">[ATIVIDADE DE SALA] Atividade 5.2 — Caça ao Giffen: existe ou é lenda? (10 min)</w:t>
      </w:r>
    </w:p>
    <w:p>
      <w:pPr>
        <w:pStyle w:val="BlockText"/>
      </w:pPr>
      <w:r>
        <w:rPr>
          <w:b/>
          <w:bCs/>
        </w:rPr>
        <w:t xml:space="preserve">Objetivo:</w:t>
      </w:r>
      <w:r>
        <w:t xml:space="preserve"> </w:t>
      </w:r>
      <w:r>
        <w:t xml:space="preserve">Debater se bens de Giffen existem empiricamente — e entender por que são teoricamente possíveis mas empiricamente raros.</w:t>
      </w:r>
    </w:p>
    <w:p>
      <w:pPr>
        <w:pStyle w:val="BlockText"/>
      </w:pPr>
      <w:r>
        <w:rPr>
          <w:b/>
          <w:bCs/>
        </w:rPr>
        <w:t xml:space="preserve">Material:</w:t>
      </w:r>
      <w:r>
        <w:t xml:space="preserve"> </w:t>
      </w:r>
      <w:r>
        <w:t xml:space="preserve">Projeção de um slide com o resultado de Jensen e Miller (2008).</w:t>
      </w:r>
    </w:p>
    <w:p>
      <w:pPr>
        <w:pStyle w:val="BlockText"/>
      </w:pPr>
      <w:r>
        <w:rPr>
          <w:b/>
          <w:bCs/>
        </w:rPr>
        <w:t xml:space="preserve">Protocolo:</w:t>
      </w:r>
    </w:p>
    <w:p>
      <w:pPr>
        <w:pStyle w:val="Compact"/>
        <w:numPr>
          <w:ilvl w:val="0"/>
          <w:numId w:val="1218"/>
        </w:numPr>
      </w:pPr>
      <w:r>
        <w:rPr>
          <w:b/>
          <w:bCs/>
        </w:rPr>
        <w:t xml:space="preserve">Provocação</w:t>
      </w:r>
      <w:r>
        <w:t xml:space="preserve"> </w:t>
      </w:r>
      <w:r>
        <w:t xml:space="preserve">(2 min):</w:t>
      </w:r>
      <w:r>
        <w:t xml:space="preserve"> </w:t>
      </w:r>
      <w:r>
        <w:t xml:space="preserve">“Um bem de Giffen é como o Yeti da microeconomia: todo mundo conhece a definição, mas quase ninguém viu um. Alguém consegue dar um exemplo?”</w:t>
      </w:r>
    </w:p>
    <w:p>
      <w:pPr>
        <w:pStyle w:val="Compact"/>
        <w:numPr>
          <w:ilvl w:val="0"/>
          <w:numId w:val="1218"/>
        </w:numPr>
      </w:pPr>
      <w:r>
        <w:rPr>
          <w:b/>
          <w:bCs/>
        </w:rPr>
        <w:t xml:space="preserve">Think-Pair-Share</w:t>
      </w:r>
      <w:r>
        <w:t xml:space="preserve"> </w:t>
      </w:r>
      <w:r>
        <w:t xml:space="preserve">(4 min): Individualmente (1 min), em duplas (2 min):</w:t>
      </w:r>
      <w:r>
        <w:t xml:space="preserve"> </w:t>
      </w:r>
      <w:r>
        <w:t xml:space="preserve">“Use a equação de Slutsky para explicar que condições um bem precisa satisfazer para ser Giffen.”</w:t>
      </w:r>
      <w:r>
        <w:t xml:space="preserve"> </w:t>
      </w:r>
      <w:r>
        <w:t xml:space="preserve">→ Bem inferior (ER &gt; 0 quando preço sobe) E efeito renda domina efeito substituição E grande parcela do orçamento.</w:t>
      </w:r>
    </w:p>
    <w:p>
      <w:pPr>
        <w:pStyle w:val="Compact"/>
        <w:numPr>
          <w:ilvl w:val="0"/>
          <w:numId w:val="1218"/>
        </w:numPr>
      </w:pPr>
      <w:r>
        <w:rPr>
          <w:b/>
          <w:bCs/>
        </w:rPr>
        <w:t xml:space="preserve">A evidência</w:t>
      </w:r>
      <w:r>
        <w:t xml:space="preserve"> </w:t>
      </w:r>
      <w:r>
        <w:t xml:space="preserve">(2 min): Projete o resultado de Jensen e Miller (2008,</w:t>
      </w:r>
      <w:r>
        <w:t xml:space="preserve"> </w:t>
      </w:r>
      <w:r>
        <w:rPr>
          <w:i/>
          <w:iCs/>
        </w:rPr>
        <w:t xml:space="preserve">American Economic Review</w:t>
      </w:r>
      <w:r>
        <w:t xml:space="preserve">): arroz na China como bem de Giffen. Subsidiaram arroz para famílias pobres → consumo de arroz</w:t>
      </w:r>
      <w:r>
        <w:t xml:space="preserve"> </w:t>
      </w:r>
      <w:r>
        <w:rPr>
          <w:i/>
          <w:iCs/>
        </w:rPr>
        <w:t xml:space="preserve">caiu</w:t>
      </w:r>
      <w:r>
        <w:t xml:space="preserve">. Removeram o subsídio → consumo</w:t>
      </w:r>
      <w:r>
        <w:t xml:space="preserve"> </w:t>
      </w:r>
      <w:r>
        <w:rPr>
          <w:i/>
          <w:iCs/>
        </w:rPr>
        <w:t xml:space="preserve">subiu</w:t>
      </w:r>
      <w:r>
        <w:t xml:space="preserve">. O arroz era tão grande no orçamento das famílias mais pobres que o efeito renda dominava.</w:t>
      </w:r>
    </w:p>
    <w:p>
      <w:pPr>
        <w:pStyle w:val="Compact"/>
        <w:numPr>
          <w:ilvl w:val="0"/>
          <w:numId w:val="1218"/>
        </w:numPr>
      </w:pPr>
      <w:r>
        <w:rPr>
          <w:b/>
          <w:bCs/>
        </w:rPr>
        <w:t xml:space="preserve">Debrief</w:t>
      </w:r>
      <w:r>
        <w:t xml:space="preserve"> </w:t>
      </w:r>
      <w:r>
        <w:t xml:space="preserve">(2 min):</w:t>
      </w:r>
    </w:p>
    <w:p>
      <w:pPr>
        <w:pStyle w:val="Compact"/>
        <w:numPr>
          <w:ilvl w:val="1"/>
          <w:numId w:val="1219"/>
        </w:numPr>
      </w:pPr>
      <w:r>
        <w:t xml:space="preserve">“O Giffen não viola a racionalidade — é uma consequência perfeitamente lógica da Slutsky quando as condições se alinham.”</w:t>
      </w:r>
    </w:p>
    <w:p>
      <w:pPr>
        <w:pStyle w:val="Compact"/>
        <w:numPr>
          <w:ilvl w:val="1"/>
          <w:numId w:val="1219"/>
        </w:numPr>
      </w:pPr>
      <w:r>
        <w:t xml:space="preserve">“A raridade empírica mostra que essas condições quase nunca se alinham no mundo real — mas quando se alinham, o efeito é real.”</w:t>
      </w:r>
    </w:p>
    <w:p>
      <w:pPr>
        <w:pStyle w:val="BlockText"/>
      </w:pPr>
      <w:r>
        <w:rPr>
          <w:b/>
          <w:bCs/>
        </w:rPr>
        <w:t xml:space="preserve">Conexão com o conteúdo:</w:t>
      </w:r>
      <w:r>
        <w:t xml:space="preserve"> </w:t>
      </w:r>
      <w:r>
        <w:t xml:space="preserve">Seção 5.4 (Equação de Slutsky e bens de Giffen). Referência: Jensen e Miller (2008).</w:t>
      </w:r>
    </w:p>
    <w:bookmarkEnd w:id="268"/>
    <w:bookmarkEnd w:id="269"/>
    <w:bookmarkStart w:id="276" w:name="exercícios-e-anpec-3"/>
    <w:p>
      <w:pPr>
        <w:pStyle w:val="Heading2"/>
      </w:pPr>
      <w:r>
        <w:t xml:space="preserve">Exercícios e ANPEC</w:t>
      </w:r>
    </w:p>
    <w:p>
      <w:pPr>
        <w:pStyle w:val="BlockText"/>
      </w:pPr>
      <w:r>
        <w:rPr>
          <w:b/>
          <w:bCs/>
        </w:rPr>
        <w:t xml:space="preserve">[DICA] Dados para exercícios empíricos</w:t>
      </w:r>
    </w:p>
    <w:p>
      <w:pPr>
        <w:pStyle w:val="Compact"/>
        <w:numPr>
          <w:ilvl w:val="0"/>
          <w:numId w:val="1220"/>
        </w:numPr>
      </w:pPr>
      <w:r>
        <w:rPr>
          <w:b/>
          <w:bCs/>
        </w:rPr>
        <w:t xml:space="preserve">POF/IBGE (microdados de consumo):</w:t>
      </w:r>
      <w:r>
        <w:t xml:space="preserve"> </w:t>
      </w:r>
      <w:hyperlink r:id="rId168">
        <w:r>
          <w:rPr>
            <w:rStyle w:val="Hyperlink"/>
          </w:rPr>
          <w:t xml:space="preserve">sidra.ibge.gov.br</w:t>
        </w:r>
      </w:hyperlink>
      <w:r>
        <w:t xml:space="preserve"> </w:t>
      </w:r>
      <w:r>
        <w:t xml:space="preserve">— Tabelas 7170–7175 (POF 2017-2018)</w:t>
      </w:r>
    </w:p>
    <w:p>
      <w:pPr>
        <w:pStyle w:val="Compact"/>
        <w:numPr>
          <w:ilvl w:val="0"/>
          <w:numId w:val="1220"/>
        </w:numPr>
      </w:pPr>
      <w:r>
        <w:rPr>
          <w:b/>
          <w:bCs/>
        </w:rPr>
        <w:t xml:space="preserve">IPEADATA (séries históricas de preços):</w:t>
      </w:r>
      <w:r>
        <w:t xml:space="preserve"> </w:t>
      </w:r>
      <w:hyperlink r:id="rId270">
        <w:r>
          <w:rPr>
            <w:rStyle w:val="Hyperlink"/>
          </w:rPr>
          <w:t xml:space="preserve">ipeadata.gov.br</w:t>
        </w:r>
      </w:hyperlink>
    </w:p>
    <w:bookmarkStart w:id="271" w:name="revisão-rápida-3"/>
    <w:p>
      <w:pPr>
        <w:pStyle w:val="Heading3"/>
      </w:pPr>
      <w:r>
        <w:t xml:space="preserve">Revisão Rápida</w:t>
      </w:r>
    </w:p>
    <w:p>
      <w:pPr>
        <w:pStyle w:val="FirstParagraph"/>
      </w:pPr>
      <w:r>
        <w:t xml:space="preserve">Teste seu entendimento dos conceitos centrais deste capítulo.</w:t>
      </w:r>
    </w:p>
    <w:p>
      <w:pPr>
        <w:pStyle w:val="BlockText"/>
      </w:pPr>
      <w:r>
        <w:rPr>
          <w:b/>
          <w:bCs/>
        </w:rPr>
        <w:t xml:space="preserve">[QUESTAO] 1. A função de demanda marshalliana (não compensada) difere da hicksiana (compensada) porque:</w:t>
      </w:r>
    </w:p>
    <w:p>
      <w:pPr>
        <w:pStyle w:val="Compact"/>
        <w:numPr>
          <w:ilvl w:val="0"/>
          <w:numId w:val="1221"/>
        </w:numPr>
      </w:pPr>
    </w:p>
    <w:p>
      <w:pPr>
        <w:pStyle w:val="Compact"/>
        <w:numPr>
          <w:ilvl w:val="1"/>
          <w:numId w:val="1222"/>
        </w:numPr>
      </w:pPr>
      <w:r>
        <w:t xml:space="preserve">A marshalliana mantém a utilidade constante; a hicksiana mantém a renda constante</w:t>
      </w:r>
    </w:p>
    <w:p>
      <w:pPr>
        <w:pStyle w:val="Compact"/>
        <w:numPr>
          <w:ilvl w:val="0"/>
          <w:numId w:val="1221"/>
        </w:numPr>
      </w:pPr>
    </w:p>
    <w:p>
      <w:pPr>
        <w:pStyle w:val="Compact"/>
        <w:numPr>
          <w:ilvl w:val="1"/>
          <w:numId w:val="1223"/>
        </w:numPr>
      </w:pPr>
      <w:r>
        <w:t xml:space="preserve">A marshalliana mantém a renda constante; a hicksiana mantém a utilidade constante</w:t>
      </w:r>
    </w:p>
    <w:p>
      <w:pPr>
        <w:pStyle w:val="Compact"/>
        <w:numPr>
          <w:ilvl w:val="0"/>
          <w:numId w:val="1221"/>
        </w:numPr>
      </w:pPr>
    </w:p>
    <w:p>
      <w:pPr>
        <w:pStyle w:val="Compact"/>
        <w:numPr>
          <w:ilvl w:val="1"/>
          <w:numId w:val="1224"/>
        </w:numPr>
      </w:pPr>
      <w:r>
        <w:t xml:space="preserve">A marshalliana só se aplica a bens normais; a hicksiana, a bens inferiores</w:t>
      </w:r>
    </w:p>
    <w:p>
      <w:pPr>
        <w:pStyle w:val="Compact"/>
        <w:numPr>
          <w:ilvl w:val="0"/>
          <w:numId w:val="1221"/>
        </w:numPr>
      </w:pPr>
    </w:p>
    <w:p>
      <w:pPr>
        <w:pStyle w:val="Compact"/>
        <w:numPr>
          <w:ilvl w:val="1"/>
          <w:numId w:val="1225"/>
        </w:numPr>
      </w:pPr>
      <w:r>
        <w:t xml:space="preserve">A marshalliana é sempre mais elástica que a hicksiana</w:t>
      </w:r>
    </w:p>
    <w:p>
      <w:pPr>
        <w:pStyle w:val="BlockText"/>
      </w:pPr>
      <w:r>
        <w:t xml:space="preserve">??? success</w:t>
      </w:r>
      <w:r>
        <w:t xml:space="preserve"> </w:t>
      </w:r>
      <w:r>
        <w:t xml:space="preserve">“Resposta”</w:t>
      </w:r>
      <w:r>
        <w:t xml:space="preserve"> </w:t>
      </w:r>
      <w:r>
        <w:rPr>
          <w:b/>
          <w:bCs/>
        </w:rPr>
        <w:t xml:space="preserve">(b)</w:t>
      </w:r>
      <w:r>
        <w:t xml:space="preserve"> </w:t>
      </w:r>
      <w:r>
        <w:t xml:space="preserve">A demanda marshalliana</w:t>
      </w:r>
      <w:r>
        <w:t xml:space="preserve"> </w:t>
      </w:r>
      <m:oMath>
        <m:sSub>
          <m:e>
            <m:r>
              <m:t>x</m:t>
            </m:r>
          </m:e>
          <m:sub>
            <m:r>
              <m:t>i</m:t>
            </m:r>
          </m:sub>
        </m:sSub>
        <m:r>
          <m:rPr>
            <m:sty m:val="p"/>
          </m:rPr>
          <m:t>(</m:t>
        </m:r>
        <m:r>
          <m:rPr>
            <m:sty m:val="bi"/>
          </m:rPr>
          <m:t>p</m:t>
        </m:r>
        <m:r>
          <m:rPr>
            <m:sty m:val="p"/>
          </m:rPr>
          <m:t>,</m:t>
        </m:r>
        <m:r>
          <m:t>I</m:t>
        </m:r>
        <m:r>
          <m:rPr>
            <m:sty m:val="p"/>
          </m:rPr>
          <m:t>)</m:t>
        </m:r>
      </m:oMath>
      <w:r>
        <w:t xml:space="preserve"> </w:t>
      </w:r>
      <w:r>
        <w:t xml:space="preserve">resulta da maximização de utilidade com renda fixa. A demanda hicksiana</w:t>
      </w:r>
      <w:r>
        <w:t xml:space="preserve"> </w:t>
      </w:r>
      <m:oMath>
        <m:sSub>
          <m:e>
            <m:r>
              <m:t>h</m:t>
            </m:r>
          </m:e>
          <m:sub>
            <m:r>
              <m:t>i</m:t>
            </m:r>
          </m:sub>
        </m:sSub>
        <m:r>
          <m:rPr>
            <m:sty m:val="p"/>
          </m:rPr>
          <m:t>(</m:t>
        </m:r>
        <m:r>
          <m:rPr>
            <m:sty m:val="bi"/>
          </m:rPr>
          <m:t>p</m:t>
        </m:r>
        <m:r>
          <m:rPr>
            <m:sty m:val="p"/>
          </m:rPr>
          <m:t>,</m:t>
        </m:r>
        <m:acc>
          <m:accPr>
            <m:chr m:val="‾"/>
          </m:accPr>
          <m:e>
            <m:r>
              <m:t>u</m:t>
            </m:r>
          </m:e>
        </m:acc>
        <m:r>
          <m:rPr>
            <m:sty m:val="p"/>
          </m:rPr>
          <m:t>)</m:t>
        </m:r>
      </m:oMath>
      <w:r>
        <w:t xml:space="preserve"> </w:t>
      </w:r>
      <w:r>
        <w:t xml:space="preserve">resulta da minimização de despesa com utilidade fixa, isolando o efeito substituição puro. A alternativa (a) inverte as definições; (d) pode não valer para bens inferiores.</w:t>
      </w:r>
    </w:p>
    <w:p>
      <w:pPr>
        <w:pStyle w:val="BlockText"/>
      </w:pPr>
      <w:r>
        <w:rPr>
          <w:b/>
          <w:bCs/>
        </w:rPr>
        <w:t xml:space="preserve">[QUESTAO] 2. Um bem de Giffen é necessariamente:</w:t>
      </w:r>
    </w:p>
    <w:p>
      <w:pPr>
        <w:pStyle w:val="Compact"/>
        <w:numPr>
          <w:ilvl w:val="0"/>
          <w:numId w:val="1226"/>
        </w:numPr>
      </w:pPr>
    </w:p>
    <w:p>
      <w:pPr>
        <w:pStyle w:val="Compact"/>
        <w:numPr>
          <w:ilvl w:val="1"/>
          <w:numId w:val="1227"/>
        </w:numPr>
      </w:pPr>
      <w:r>
        <w:t xml:space="preserve">Um bem de luxo com elasticidade-renda maior que 1</w:t>
      </w:r>
    </w:p>
    <w:p>
      <w:pPr>
        <w:pStyle w:val="Compact"/>
        <w:numPr>
          <w:ilvl w:val="0"/>
          <w:numId w:val="1226"/>
        </w:numPr>
      </w:pPr>
    </w:p>
    <w:p>
      <w:pPr>
        <w:pStyle w:val="Compact"/>
        <w:numPr>
          <w:ilvl w:val="1"/>
          <w:numId w:val="1228"/>
        </w:numPr>
      </w:pPr>
      <w:r>
        <w:t xml:space="preserve">Um bem inferior cujo efeito renda (negativo) domina o efeito substituição</w:t>
      </w:r>
    </w:p>
    <w:p>
      <w:pPr>
        <w:pStyle w:val="Compact"/>
        <w:numPr>
          <w:ilvl w:val="0"/>
          <w:numId w:val="1226"/>
        </w:numPr>
      </w:pPr>
    </w:p>
    <w:p>
      <w:pPr>
        <w:pStyle w:val="Compact"/>
        <w:numPr>
          <w:ilvl w:val="1"/>
          <w:numId w:val="1229"/>
        </w:numPr>
      </w:pPr>
      <w:r>
        <w:t xml:space="preserve">Um bem com elasticidade-preço cruzada negativa</w:t>
      </w:r>
    </w:p>
    <w:p>
      <w:pPr>
        <w:pStyle w:val="Compact"/>
        <w:numPr>
          <w:ilvl w:val="0"/>
          <w:numId w:val="1226"/>
        </w:numPr>
      </w:pPr>
    </w:p>
    <w:p>
      <w:pPr>
        <w:pStyle w:val="Compact"/>
        <w:numPr>
          <w:ilvl w:val="1"/>
          <w:numId w:val="1230"/>
        </w:numPr>
      </w:pPr>
      <w:r>
        <w:t xml:space="preserve">Um bem cuja curva de Engel é linear e positivamente inclinada</w:t>
      </w:r>
    </w:p>
    <w:p>
      <w:pPr>
        <w:pStyle w:val="BlockText"/>
      </w:pPr>
      <w:r>
        <w:t xml:space="preserve">??? success</w:t>
      </w:r>
      <w:r>
        <w:t xml:space="preserve"> </w:t>
      </w:r>
      <w:r>
        <w:t xml:space="preserve">“Resposta”</w:t>
      </w:r>
      <w:r>
        <w:t xml:space="preserve"> </w:t>
      </w:r>
      <w:r>
        <w:rPr>
          <w:b/>
          <w:bCs/>
        </w:rPr>
        <w:t xml:space="preserve">(b)</w:t>
      </w:r>
      <w:r>
        <w:t xml:space="preserve"> </w:t>
      </w:r>
      <w:r>
        <w:t xml:space="preserve">Para um bem de Giffen, a quantidade demandada aumenta quando o preço sobe. Isso só ocorre se o bem é inferior (efeito renda negativo) e esse efeito é tão forte que domina o efeito substituição (sempre negativo). Nem todo bem inferior é de Giffen, mas todo bem de Giffen é inferior. As demais alternativas descrevem propriedades incompatíveis com bens de Giffen.</w:t>
      </w:r>
    </w:p>
    <w:p>
      <w:pPr>
        <w:pStyle w:val="BlockText"/>
      </w:pPr>
      <w:r>
        <w:rPr>
          <w:b/>
          <w:bCs/>
        </w:rPr>
        <w:t xml:space="preserve">[QUESTAO] 3. A curva de Engel para um bem normal com elasticidade-renda constante igual a 2 tem formato:</w:t>
      </w:r>
    </w:p>
    <w:p>
      <w:pPr>
        <w:pStyle w:val="Compact"/>
        <w:numPr>
          <w:ilvl w:val="0"/>
          <w:numId w:val="1231"/>
        </w:numPr>
      </w:pPr>
    </w:p>
    <w:p>
      <w:pPr>
        <w:pStyle w:val="Compact"/>
        <w:numPr>
          <w:ilvl w:val="1"/>
          <w:numId w:val="1232"/>
        </w:numPr>
      </w:pPr>
      <w:r>
        <w:t xml:space="preserve">Linear com inclinação positiva passando pela origem</w:t>
      </w:r>
    </w:p>
    <w:p>
      <w:pPr>
        <w:pStyle w:val="Compact"/>
        <w:numPr>
          <w:ilvl w:val="0"/>
          <w:numId w:val="1231"/>
        </w:numPr>
      </w:pPr>
    </w:p>
    <w:p>
      <w:pPr>
        <w:pStyle w:val="Compact"/>
        <w:numPr>
          <w:ilvl w:val="1"/>
          <w:numId w:val="1233"/>
        </w:numPr>
      </w:pPr>
      <w:r>
        <w:t xml:space="preserve">Côncava — cresce a taxas decrescentes</w:t>
      </w:r>
    </w:p>
    <w:p>
      <w:pPr>
        <w:pStyle w:val="Compact"/>
        <w:numPr>
          <w:ilvl w:val="0"/>
          <w:numId w:val="1231"/>
        </w:numPr>
      </w:pPr>
    </w:p>
    <w:p>
      <w:pPr>
        <w:pStyle w:val="Compact"/>
        <w:numPr>
          <w:ilvl w:val="1"/>
          <w:numId w:val="1234"/>
        </w:numPr>
      </w:pPr>
      <w:r>
        <w:t xml:space="preserve">Convexa — cresce a taxas crescentes</w:t>
      </w:r>
    </w:p>
    <w:p>
      <w:pPr>
        <w:pStyle w:val="Compact"/>
        <w:numPr>
          <w:ilvl w:val="0"/>
          <w:numId w:val="1231"/>
        </w:numPr>
      </w:pPr>
    </w:p>
    <w:p>
      <w:pPr>
        <w:pStyle w:val="Compact"/>
        <w:numPr>
          <w:ilvl w:val="1"/>
          <w:numId w:val="1235"/>
        </w:numPr>
      </w:pPr>
      <w:r>
        <w:t xml:space="preserve">Horizontal</w:t>
      </w:r>
    </w:p>
    <w:p>
      <w:pPr>
        <w:pStyle w:val="BlockText"/>
      </w:pPr>
      <w:r>
        <w:t xml:space="preserve">??? success</w:t>
      </w:r>
      <w:r>
        <w:t xml:space="preserve"> </w:t>
      </w:r>
      <w:r>
        <w:t xml:space="preserve">“Resposta”</w:t>
      </w:r>
      <w:r>
        <w:t xml:space="preserve"> </w:t>
      </w:r>
      <w:r>
        <w:rPr>
          <w:b/>
          <w:bCs/>
        </w:rPr>
        <w:t xml:space="preserve">(c)</w:t>
      </w:r>
      <w:r>
        <w:t xml:space="preserve"> </w:t>
      </w:r>
      <w:r>
        <w:t xml:space="preserve">Elasticidade-renda</w:t>
      </w:r>
      <w:r>
        <w:t xml:space="preserve"> </w:t>
      </w:r>
      <m:oMath>
        <m:sSub>
          <m:e>
            <m:r>
              <m:t>η</m:t>
            </m:r>
          </m:e>
          <m:sub>
            <m:r>
              <m:t>I</m:t>
            </m:r>
          </m:sub>
        </m:sSub>
        <m:r>
          <m:rPr>
            <m:sty m:val="p"/>
          </m:rPr>
          <m:t>=</m:t>
        </m:r>
        <m:r>
          <m:t>2</m:t>
        </m:r>
        <m:r>
          <m:rPr>
            <m:sty m:val="p"/>
          </m:rPr>
          <m:t>&gt;</m:t>
        </m:r>
        <m:r>
          <m:t>1</m:t>
        </m:r>
      </m:oMath>
      <w:r>
        <w:t xml:space="preserve"> </w:t>
      </w:r>
      <w:r>
        <w:t xml:space="preserve">(bem de luxo): a demanda cresce mais que proporcionalmente à renda, gerando uma curva de Engel convexa. Se</w:t>
      </w:r>
      <w:r>
        <w:t xml:space="preserve"> </w:t>
      </w:r>
      <m:oMath>
        <m:sSub>
          <m:e>
            <m:r>
              <m:t>η</m:t>
            </m:r>
          </m:e>
          <m:sub>
            <m:r>
              <m:t>I</m:t>
            </m:r>
          </m:sub>
        </m:sSub>
        <m:r>
          <m:rPr>
            <m:sty m:val="p"/>
          </m:rPr>
          <m:t>=</m:t>
        </m:r>
        <m:r>
          <m:t>1</m:t>
        </m:r>
      </m:oMath>
      <w:r>
        <w:t xml:space="preserve">, a curva seria linear (a); se</w:t>
      </w:r>
      <w:r>
        <w:t xml:space="preserve"> </w:t>
      </w:r>
      <m:oMath>
        <m:r>
          <m:t>0</m:t>
        </m:r>
        <m:r>
          <m:rPr>
            <m:sty m:val="p"/>
          </m:rPr>
          <m:t>&lt;</m:t>
        </m:r>
        <m:sSub>
          <m:e>
            <m:r>
              <m:t>η</m:t>
            </m:r>
          </m:e>
          <m:sub>
            <m:r>
              <m:t>I</m:t>
            </m:r>
          </m:sub>
        </m:sSub>
        <m:r>
          <m:rPr>
            <m:sty m:val="p"/>
          </m:rPr>
          <m:t>&lt;</m:t>
        </m:r>
        <m:r>
          <m:t>1</m:t>
        </m:r>
      </m:oMath>
      <w:r>
        <w:t xml:space="preserve"> </w:t>
      </w:r>
      <w:r>
        <w:t xml:space="preserve">(necessidade), seria côncava (b). A alternativa (d) implicaria demanda insensível à renda.</w:t>
      </w:r>
    </w:p>
    <w:p>
      <w:pPr>
        <w:pStyle w:val="BlockText"/>
      </w:pPr>
      <w:r>
        <w:rPr>
          <w:b/>
          <w:bCs/>
        </w:rPr>
        <w:t xml:space="preserve">[QUESTAO] 4. A identidade de Slutsky pode ser escrita como</w:t>
      </w:r>
      <w:r>
        <w:rPr>
          <w:b/>
          <w:bCs/>
        </w:rPr>
        <w:t xml:space="preserve"> </w:t>
      </w:r>
      <w:r>
        <w:rPr>
          <w:b/>
          <w:bCs/>
        </w:rPr>
        <w:t xml:space="preserve">$\\frac{\\partial x_i}{\\partial p_j} = \\frac{\\partial h_i}{\\partial p_j} - x_j \\frac{\\partial x_i}{\\partial I}$</w:t>
      </w:r>
      <w:r>
        <w:rPr>
          <w:b/>
          <w:bCs/>
        </w:rPr>
        <w:t xml:space="preserve">. O termo</w:t>
      </w:r>
      <w:r>
        <w:rPr>
          <w:b/>
          <w:bCs/>
        </w:rPr>
        <w:t xml:space="preserve"> </w:t>
      </w:r>
      <w:r>
        <w:rPr>
          <w:b/>
          <w:bCs/>
        </w:rPr>
        <w:t xml:space="preserve">$-x_j \\frac{\\partial x_i}{\\partial I}$</w:t>
      </w:r>
      <w:r>
        <w:rPr>
          <w:b/>
          <w:bCs/>
        </w:rPr>
        <w:t xml:space="preserve"> </w:t>
      </w:r>
      <w:r>
        <w:rPr>
          <w:b/>
          <w:bCs/>
        </w:rPr>
        <w:t xml:space="preserve">representa:</w:t>
      </w:r>
    </w:p>
    <w:p>
      <w:pPr>
        <w:pStyle w:val="Compact"/>
        <w:numPr>
          <w:ilvl w:val="0"/>
          <w:numId w:val="1236"/>
        </w:numPr>
      </w:pPr>
    </w:p>
    <w:p>
      <w:pPr>
        <w:pStyle w:val="Compact"/>
        <w:numPr>
          <w:ilvl w:val="1"/>
          <w:numId w:val="1237"/>
        </w:numPr>
      </w:pPr>
      <w:r>
        <w:t xml:space="preserve">O efeito substituição</w:t>
      </w:r>
    </w:p>
    <w:p>
      <w:pPr>
        <w:pStyle w:val="Compact"/>
        <w:numPr>
          <w:ilvl w:val="0"/>
          <w:numId w:val="1236"/>
        </w:numPr>
      </w:pPr>
    </w:p>
    <w:p>
      <w:pPr>
        <w:pStyle w:val="Compact"/>
        <w:numPr>
          <w:ilvl w:val="1"/>
          <w:numId w:val="1238"/>
        </w:numPr>
      </w:pPr>
      <w:r>
        <w:t xml:space="preserve">O efeito renda — a mudança na demanda devida à variação no poder de compra real</w:t>
      </w:r>
    </w:p>
    <w:p>
      <w:pPr>
        <w:pStyle w:val="Compact"/>
        <w:numPr>
          <w:ilvl w:val="0"/>
          <w:numId w:val="1236"/>
        </w:numPr>
      </w:pPr>
    </w:p>
    <w:p>
      <w:pPr>
        <w:pStyle w:val="Compact"/>
        <w:numPr>
          <w:ilvl w:val="1"/>
          <w:numId w:val="1239"/>
        </w:numPr>
      </w:pPr>
      <w:r>
        <w:t xml:space="preserve">A elasticidade-preço cruzada</w:t>
      </w:r>
    </w:p>
    <w:p>
      <w:pPr>
        <w:pStyle w:val="Compact"/>
        <w:numPr>
          <w:ilvl w:val="0"/>
          <w:numId w:val="1236"/>
        </w:numPr>
      </w:pPr>
    </w:p>
    <w:p>
      <w:pPr>
        <w:pStyle w:val="Compact"/>
        <w:numPr>
          <w:ilvl w:val="1"/>
          <w:numId w:val="1240"/>
        </w:numPr>
      </w:pPr>
      <w:r>
        <w:t xml:space="preserve">A variação compensadora</w:t>
      </w:r>
    </w:p>
    <w:p>
      <w:pPr>
        <w:pStyle w:val="BlockText"/>
      </w:pPr>
      <w:r>
        <w:t xml:space="preserve">??? success</w:t>
      </w:r>
      <w:r>
        <w:t xml:space="preserve"> </w:t>
      </w:r>
      <w:r>
        <w:t xml:space="preserve">“Resposta”</w:t>
      </w:r>
      <w:r>
        <w:t xml:space="preserve"> </w:t>
      </w:r>
      <w:r>
        <w:rPr>
          <w:b/>
          <w:bCs/>
        </w:rPr>
        <w:t xml:space="preserve">(b)</w:t>
      </w:r>
      <w:r>
        <w:t xml:space="preserve"> </w:t>
      </w:r>
      <w:r>
        <w:t xml:space="preserve">Na equação de Slutsky,</w:t>
      </w:r>
      <w:r>
        <w:t xml:space="preserve"> </w:t>
      </w:r>
      <m:oMath>
        <m:r>
          <m:rPr>
            <m:sty m:val="p"/>
          </m:rPr>
          <m:t>∂</m:t>
        </m:r>
        <m:sSub>
          <m:e>
            <m:r>
              <m:t>h</m:t>
            </m:r>
          </m:e>
          <m:sub>
            <m:r>
              <m:t>i</m:t>
            </m:r>
          </m:sub>
        </m:sSub>
        <m:r>
          <m:rPr>
            <m:sty m:val="p"/>
          </m:rPr>
          <m:t>/</m:t>
        </m:r>
        <m:r>
          <m:rPr>
            <m:sty m:val="p"/>
          </m:rPr>
          <m:t>∂</m:t>
        </m:r>
        <m:sSub>
          <m:e>
            <m:r>
              <m:t>p</m:t>
            </m:r>
          </m:e>
          <m:sub>
            <m:r>
              <m:t>j</m:t>
            </m:r>
          </m:sub>
        </m:sSub>
      </m:oMath>
      <w:r>
        <w:t xml:space="preserve"> </w:t>
      </w:r>
      <w:r>
        <w:t xml:space="preserve">é o efeito substituição e</w:t>
      </w:r>
      <w:r>
        <w:t xml:space="preserve"> </w:t>
      </w:r>
      <m:oMath>
        <m:r>
          <m:rPr>
            <m:sty m:val="p"/>
          </m:rPr>
          <m:t>−</m:t>
        </m:r>
        <m:sSub>
          <m:e>
            <m:r>
              <m:t>x</m:t>
            </m:r>
          </m:e>
          <m:sub>
            <m:r>
              <m:t>j</m:t>
            </m:r>
          </m:sub>
        </m:sSub>
        <m:r>
          <m:rPr>
            <m:sty m:val="p"/>
          </m:rPr>
          <m:t>⋅</m:t>
        </m:r>
        <m:r>
          <m:rPr>
            <m:sty m:val="p"/>
          </m:rPr>
          <m:t>∂</m:t>
        </m:r>
        <m:sSub>
          <m:e>
            <m:r>
              <m:t>x</m:t>
            </m:r>
          </m:e>
          <m:sub>
            <m:r>
              <m:t>i</m:t>
            </m:r>
          </m:sub>
        </m:sSub>
        <m:r>
          <m:rPr>
            <m:sty m:val="p"/>
          </m:rPr>
          <m:t>/</m:t>
        </m:r>
        <m:r>
          <m:rPr>
            <m:sty m:val="p"/>
          </m:rPr>
          <m:t>∂</m:t>
        </m:r>
        <m:r>
          <m:t>I</m:t>
        </m:r>
      </m:oMath>
      <w:r>
        <w:t xml:space="preserve"> </w:t>
      </w:r>
      <w:r>
        <w:t xml:space="preserve">é o efeito renda. Quando</w:t>
      </w:r>
      <w:r>
        <w:t xml:space="preserve"> </w:t>
      </w:r>
      <m:oMath>
        <m:sSub>
          <m:e>
            <m:r>
              <m:t>p</m:t>
            </m:r>
          </m:e>
          <m:sub>
            <m:r>
              <m:t>j</m:t>
            </m:r>
          </m:sub>
        </m:sSub>
      </m:oMath>
      <w:r>
        <w:t xml:space="preserve"> </w:t>
      </w:r>
      <w:r>
        <w:t xml:space="preserve">sobe, o poder de compra cai na proporção da quantidade consumida</w:t>
      </w:r>
      <w:r>
        <w:t xml:space="preserve"> </w:t>
      </w:r>
      <m:oMath>
        <m:sSub>
          <m:e>
            <m:r>
              <m:t>x</m:t>
            </m:r>
          </m:e>
          <m:sub>
            <m:r>
              <m:t>j</m:t>
            </m:r>
          </m:sub>
        </m:sSub>
      </m:oMath>
      <w:r>
        <w:t xml:space="preserve">, e o impacto sobre a demanda de</w:t>
      </w:r>
      <w:r>
        <w:t xml:space="preserve"> </w:t>
      </w:r>
      <m:oMath>
        <m:r>
          <m:t>i</m:t>
        </m:r>
      </m:oMath>
      <w:r>
        <w:t xml:space="preserve"> </w:t>
      </w:r>
      <w:r>
        <w:t xml:space="preserve">depende de como</w:t>
      </w:r>
      <w:r>
        <w:t xml:space="preserve"> </w:t>
      </w:r>
      <m:oMath>
        <m:sSub>
          <m:e>
            <m:r>
              <m:t>x</m:t>
            </m:r>
          </m:e>
          <m:sub>
            <m:r>
              <m:t>i</m:t>
            </m:r>
          </m:sub>
        </m:sSub>
      </m:oMath>
      <w:r>
        <w:t xml:space="preserve"> </w:t>
      </w:r>
      <w:r>
        <w:t xml:space="preserve">responde à renda (</w:t>
      </w:r>
      <m:oMath>
        <m:r>
          <m:rPr>
            <m:sty m:val="p"/>
          </m:rPr>
          <m:t>∂</m:t>
        </m:r>
        <m:sSub>
          <m:e>
            <m:r>
              <m:t>x</m:t>
            </m:r>
          </m:e>
          <m:sub>
            <m:r>
              <m:t>i</m:t>
            </m:r>
          </m:sub>
        </m:sSub>
        <m:r>
          <m:rPr>
            <m:sty m:val="p"/>
          </m:rPr>
          <m:t>/</m:t>
        </m:r>
        <m:r>
          <m:rPr>
            <m:sty m:val="p"/>
          </m:rPr>
          <m:t>∂</m:t>
        </m:r>
        <m:r>
          <m:t>I</m:t>
        </m:r>
      </m:oMath>
      <w:r>
        <w:t xml:space="preserve">).</w:t>
      </w:r>
    </w:p>
    <w:p>
      <w:pPr>
        <w:pStyle w:val="BlockText"/>
      </w:pPr>
      <w:r>
        <w:rPr>
          <w:b/>
          <w:bCs/>
        </w:rPr>
        <w:t xml:space="preserve">[QUESTAO] 5. Se a demanda marshalliana de um bem cai quando a renda aumenta, esse bem é classificado como:</w:t>
      </w:r>
    </w:p>
    <w:p>
      <w:pPr>
        <w:pStyle w:val="Compact"/>
        <w:numPr>
          <w:ilvl w:val="0"/>
          <w:numId w:val="1241"/>
        </w:numPr>
      </w:pPr>
    </w:p>
    <w:p>
      <w:pPr>
        <w:pStyle w:val="Compact"/>
        <w:numPr>
          <w:ilvl w:val="1"/>
          <w:numId w:val="1242"/>
        </w:numPr>
      </w:pPr>
      <w:r>
        <w:t xml:space="preserve">Bem de Giffen</w:t>
      </w:r>
    </w:p>
    <w:p>
      <w:pPr>
        <w:pStyle w:val="Compact"/>
        <w:numPr>
          <w:ilvl w:val="0"/>
          <w:numId w:val="1241"/>
        </w:numPr>
      </w:pPr>
    </w:p>
    <w:p>
      <w:pPr>
        <w:pStyle w:val="Compact"/>
        <w:numPr>
          <w:ilvl w:val="1"/>
          <w:numId w:val="1243"/>
        </w:numPr>
      </w:pPr>
      <w:r>
        <w:t xml:space="preserve">Bem de luxo</w:t>
      </w:r>
    </w:p>
    <w:p>
      <w:pPr>
        <w:pStyle w:val="Compact"/>
        <w:numPr>
          <w:ilvl w:val="0"/>
          <w:numId w:val="1241"/>
        </w:numPr>
      </w:pPr>
    </w:p>
    <w:p>
      <w:pPr>
        <w:pStyle w:val="Compact"/>
        <w:numPr>
          <w:ilvl w:val="1"/>
          <w:numId w:val="1244"/>
        </w:numPr>
      </w:pPr>
      <w:r>
        <w:t xml:space="preserve">Bem inferior</w:t>
      </w:r>
    </w:p>
    <w:p>
      <w:pPr>
        <w:pStyle w:val="Compact"/>
        <w:numPr>
          <w:ilvl w:val="0"/>
          <w:numId w:val="1241"/>
        </w:numPr>
      </w:pPr>
    </w:p>
    <w:p>
      <w:pPr>
        <w:pStyle w:val="Compact"/>
        <w:numPr>
          <w:ilvl w:val="1"/>
          <w:numId w:val="1245"/>
        </w:numPr>
      </w:pPr>
      <w:r>
        <w:t xml:space="preserve">Bem complementar</w:t>
      </w:r>
    </w:p>
    <w:p>
      <w:pPr>
        <w:pStyle w:val="BlockText"/>
      </w:pPr>
      <w:r>
        <w:t xml:space="preserve">??? success</w:t>
      </w:r>
      <w:r>
        <w:t xml:space="preserve"> </w:t>
      </w:r>
      <w:r>
        <w:t xml:space="preserve">“Resposta”</w:t>
      </w:r>
      <w:r>
        <w:t xml:space="preserve"> </w:t>
      </w:r>
      <w:r>
        <w:rPr>
          <w:b/>
          <w:bCs/>
        </w:rPr>
        <w:t xml:space="preserve">(c)</w:t>
      </w:r>
      <w:r>
        <w:t xml:space="preserve"> </w:t>
      </w:r>
      <w:r>
        <w:t xml:space="preserve">Um bem inferior tem elasticidade-renda negativa:</w:t>
      </w:r>
      <w:r>
        <w:t xml:space="preserve"> </w:t>
      </w:r>
      <m:oMath>
        <m:r>
          <m:rPr>
            <m:sty m:val="p"/>
          </m:rPr>
          <m:t>∂</m:t>
        </m:r>
        <m:r>
          <m:t>x</m:t>
        </m:r>
        <m:r>
          <m:rPr>
            <m:sty m:val="p"/>
          </m:rPr>
          <m:t>/</m:t>
        </m:r>
        <m:r>
          <m:rPr>
            <m:sty m:val="p"/>
          </m:rPr>
          <m:t>∂</m:t>
        </m:r>
        <m:r>
          <m:t>I</m:t>
        </m:r>
        <m:r>
          <m:rPr>
            <m:sty m:val="p"/>
          </m:rPr>
          <m:t>&lt;</m:t>
        </m:r>
        <m:r>
          <m:t>0</m:t>
        </m:r>
      </m:oMath>
      <w:r>
        <w:t xml:space="preserve">. Quando a renda cresce, o consumidor substitui o bem por alternativas de qualidade superior. A alternativa (a) é um caso extremo de bem inferior (efeito renda domina o substituição), não apenas renda-negativo; (b) é o oposto; (d) descreve relação entre bens, não resposta à renda.</w:t>
      </w:r>
    </w:p>
    <w:p>
      <w:pPr>
        <w:pStyle w:val="BlockText"/>
      </w:pPr>
      <w:r>
        <w:rPr>
          <w:b/>
          <w:bCs/>
        </w:rPr>
        <w:t xml:space="preserve">[QUESTAO] 6. Para uma utilidade quase-linear</w:t>
      </w:r>
      <w:r>
        <w:rPr>
          <w:b/>
          <w:bCs/>
        </w:rPr>
        <w:t xml:space="preserve"> </w:t>
      </w:r>
      <m:oMath>
        <m:r>
          <m:t>u</m:t>
        </m:r>
        <m:r>
          <m:rPr>
            <m:sty m:val="p"/>
          </m:rPr>
          <m:t>=</m:t>
        </m:r>
        <m:r>
          <m:t>v</m:t>
        </m:r>
        <m:r>
          <m:rPr>
            <m:sty m:val="p"/>
          </m:rPr>
          <m:t>(</m:t>
        </m:r>
        <m:sSub>
          <m:e>
            <m:r>
              <m:t>x</m:t>
            </m:r>
          </m:e>
          <m:sub>
            <m:r>
              <m:t>1</m:t>
            </m:r>
          </m:sub>
        </m:sSub>
        <m:r>
          <m:rPr>
            <m:sty m:val="p"/>
          </m:rPr>
          <m:t>)</m:t>
        </m:r>
        <m:r>
          <m:rPr>
            <m:sty m:val="p"/>
          </m:rPr>
          <m:t>+</m:t>
        </m:r>
        <m:sSub>
          <m:e>
            <m:r>
              <m:t>x</m:t>
            </m:r>
          </m:e>
          <m:sub>
            <m:r>
              <m:t>2</m:t>
            </m:r>
          </m:sub>
        </m:sSub>
      </m:oMath>
      <w:r>
        <w:rPr>
          <w:b/>
          <w:bCs/>
        </w:rPr>
        <w:t xml:space="preserve">, a variação compensatória (VC), a variação equivalente (VE) e o excedente do consumidor marshalliano (</w:t>
      </w:r>
      <w:r>
        <w:rPr>
          <w:b/>
          <w:bCs/>
        </w:rPr>
        <w:t xml:space="preserve">$\\Delta EC$</w:t>
      </w:r>
      <w:r>
        <w:rPr>
          <w:b/>
          <w:bCs/>
        </w:rPr>
        <w:t xml:space="preserve">):</w:t>
      </w:r>
    </w:p>
    <w:p>
      <w:pPr>
        <w:pStyle w:val="Compact"/>
        <w:numPr>
          <w:ilvl w:val="0"/>
          <w:numId w:val="1246"/>
        </w:numPr>
      </w:pPr>
    </w:p>
    <w:p>
      <w:pPr>
        <w:pStyle w:val="Compact"/>
        <w:numPr>
          <w:ilvl w:val="1"/>
          <w:numId w:val="1247"/>
        </w:numPr>
      </w:pPr>
      <w:r>
        <w:t xml:space="preserve">São sempre diferentes, pois usam curvas de demanda distintas</w:t>
      </w:r>
    </w:p>
    <w:p>
      <w:pPr>
        <w:pStyle w:val="Compact"/>
        <w:numPr>
          <w:ilvl w:val="0"/>
          <w:numId w:val="1246"/>
        </w:numPr>
      </w:pPr>
    </w:p>
    <w:p>
      <w:pPr>
        <w:pStyle w:val="Compact"/>
        <w:numPr>
          <w:ilvl w:val="1"/>
          <w:numId w:val="1248"/>
        </w:numPr>
      </w:pPr>
      <w:r>
        <w:t xml:space="preserve">Coincidem, porque o efeito renda sobre</w:t>
      </w:r>
      <w:r>
        <w:t xml:space="preserve"> </w:t>
      </w:r>
      <m:oMath>
        <m:sSub>
          <m:e>
            <m:r>
              <m:t>x</m:t>
            </m:r>
          </m:e>
          <m:sub>
            <m:r>
              <m:t>1</m:t>
            </m:r>
          </m:sub>
        </m:sSub>
      </m:oMath>
      <w:r>
        <w:t xml:space="preserve"> </w:t>
      </w:r>
      <w:r>
        <w:t xml:space="preserve">é zero</w:t>
      </w:r>
    </w:p>
    <w:p>
      <w:pPr>
        <w:pStyle w:val="Compact"/>
        <w:numPr>
          <w:ilvl w:val="0"/>
          <w:numId w:val="1246"/>
        </w:numPr>
      </w:pPr>
    </w:p>
    <w:p>
      <w:pPr>
        <w:pStyle w:val="Compact"/>
        <w:numPr>
          <w:ilvl w:val="1"/>
          <w:numId w:val="1249"/>
        </w:numPr>
      </w:pPr>
      <w:r>
        <w:t xml:space="preserve">Coincidem apenas quando o preço não muda</w:t>
      </w:r>
    </w:p>
    <w:p>
      <w:pPr>
        <w:pStyle w:val="Compact"/>
        <w:numPr>
          <w:ilvl w:val="0"/>
          <w:numId w:val="1246"/>
        </w:numPr>
      </w:pPr>
    </w:p>
    <w:p>
      <w:pPr>
        <w:pStyle w:val="Compact"/>
        <w:numPr>
          <w:ilvl w:val="1"/>
          <w:numId w:val="1250"/>
        </w:numPr>
      </w:pPr>
      <w:r>
        <w:t xml:space="preserve">Seguem a ordenação</w:t>
      </w:r>
      <w:r>
        <w:t xml:space="preserve"> </w:t>
      </w:r>
      <m:oMath>
        <m:r>
          <m:t>V</m:t>
        </m:r>
        <m:r>
          <m:t>C</m:t>
        </m:r>
        <m:r>
          <m:rPr>
            <m:sty m:val="p"/>
          </m:rPr>
          <m:t>&lt;</m:t>
        </m:r>
        <m:r>
          <m:rPr>
            <m:sty m:val="p"/>
          </m:rPr>
          <m:t>Δ</m:t>
        </m:r>
        <m:r>
          <m:t>E</m:t>
        </m:r>
        <m:r>
          <m:t>C</m:t>
        </m:r>
        <m:r>
          <m:rPr>
            <m:sty m:val="p"/>
          </m:rPr>
          <m:t>&lt;</m:t>
        </m:r>
        <m:r>
          <m:t>V</m:t>
        </m:r>
        <m:r>
          <m:t>E</m:t>
        </m:r>
      </m:oMath>
      <w:r>
        <w:t xml:space="preserve"> </w:t>
      </w:r>
      <w:r>
        <w:t xml:space="preserve">para qualquer variação de preço</w:t>
      </w:r>
    </w:p>
    <w:p>
      <w:pPr>
        <w:pStyle w:val="BlockText"/>
      </w:pPr>
      <w:r>
        <w:t xml:space="preserve">??? success</w:t>
      </w:r>
      <w:r>
        <w:t xml:space="preserve"> </w:t>
      </w:r>
      <w:r>
        <w:t xml:space="preserve">“Resposta”</w:t>
      </w:r>
      <w:r>
        <w:t xml:space="preserve"> </w:t>
      </w:r>
      <w:r>
        <w:rPr>
          <w:b/>
          <w:bCs/>
        </w:rPr>
        <w:t xml:space="preserve">(b)</w:t>
      </w:r>
      <w:r>
        <w:t xml:space="preserve"> </w:t>
      </w:r>
      <w:r>
        <w:t xml:space="preserve">Na utilidade quase-linear, a demanda por</w:t>
      </w:r>
      <w:r>
        <w:t xml:space="preserve"> </w:t>
      </w:r>
      <m:oMath>
        <m:sSub>
          <m:e>
            <m:r>
              <m:t>x</m:t>
            </m:r>
          </m:e>
          <m:sub>
            <m:r>
              <m:t>1</m:t>
            </m:r>
          </m:sub>
        </m:sSub>
      </m:oMath>
      <w:r>
        <w:t xml:space="preserve"> </w:t>
      </w:r>
      <w:r>
        <w:t xml:space="preserve">não depende da renda (</w:t>
      </w:r>
      <m:oMath>
        <m:r>
          <m:rPr>
            <m:sty m:val="p"/>
          </m:rPr>
          <m:t>∂</m:t>
        </m:r>
        <m:sSub>
          <m:e>
            <m:r>
              <m:t>x</m:t>
            </m:r>
          </m:e>
          <m:sub>
            <m:r>
              <m:t>1</m:t>
            </m:r>
          </m:sub>
        </m:sSub>
        <m:r>
          <m:rPr>
            <m:sty m:val="p"/>
          </m:rPr>
          <m:t>/</m:t>
        </m:r>
        <m:r>
          <m:rPr>
            <m:sty m:val="p"/>
          </m:rPr>
          <m:t>∂</m:t>
        </m:r>
        <m:r>
          <m:t>I</m:t>
        </m:r>
        <m:r>
          <m:rPr>
            <m:sty m:val="p"/>
          </m:rPr>
          <m:t>=</m:t>
        </m:r>
        <m:r>
          <m:t>0</m:t>
        </m:r>
      </m:oMath>
      <w:r>
        <w:t xml:space="preserve">), portanto as curvas marshalliana e hicksiana de</w:t>
      </w:r>
      <w:r>
        <w:t xml:space="preserve"> </w:t>
      </w:r>
      <m:oMath>
        <m:sSub>
          <m:e>
            <m:r>
              <m:t>x</m:t>
            </m:r>
          </m:e>
          <m:sub>
            <m:r>
              <m:t>1</m:t>
            </m:r>
          </m:sub>
        </m:sSub>
      </m:oMath>
      <w:r>
        <w:t xml:space="preserve"> </w:t>
      </w:r>
      <w:r>
        <w:t xml:space="preserve">são idênticas. Como VC e VE são áreas sob curvas hicksianas (com utilidades de referência diferentes), e essas curvas coincidem entre si e com a marshalliana, as três medidas são iguais:</w:t>
      </w:r>
      <w:r>
        <w:t xml:space="preserve"> </w:t>
      </w:r>
      <m:oMath>
        <m:r>
          <m:t>V</m:t>
        </m:r>
        <m:r>
          <m:t>C</m:t>
        </m:r>
        <m:r>
          <m:rPr>
            <m:sty m:val="p"/>
          </m:rPr>
          <m:t>=</m:t>
        </m:r>
        <m:r>
          <m:t>V</m:t>
        </m:r>
        <m:r>
          <m:t>E</m:t>
        </m:r>
        <m:r>
          <m:rPr>
            <m:sty m:val="p"/>
          </m:rPr>
          <m:t>=</m:t>
        </m:r>
        <m:r>
          <m:rPr>
            <m:sty m:val="p"/>
          </m:rPr>
          <m:t>Δ</m:t>
        </m:r>
        <m:r>
          <m:t>E</m:t>
        </m:r>
        <m:r>
          <m:t>C</m:t>
        </m:r>
      </m:oMath>
      <w:r>
        <w:t xml:space="preserve">. A alternativa (d) vale para bens normais com efeito renda não nulo.</w:t>
      </w:r>
    </w:p>
    <w:p>
      <w:r>
        <w:pict>
          <v:rect style="width:0;height:1.5pt" o:hralign="center" o:hrstd="t" o:hr="t"/>
        </w:pict>
      </w:r>
    </w:p>
    <w:bookmarkEnd w:id="271"/>
    <w:bookmarkStart w:id="272" w:name="resumo-do-capítulo-3"/>
    <w:p>
      <w:pPr>
        <w:pStyle w:val="Heading3"/>
      </w:pPr>
      <w:r>
        <w:t xml:space="preserve">Resumo do Capítulo</w:t>
      </w:r>
    </w:p>
    <w:p>
      <w:pPr>
        <w:pStyle w:val="Compact"/>
        <w:numPr>
          <w:ilvl w:val="0"/>
          <w:numId w:val="1251"/>
        </w:numPr>
      </w:pPr>
      <w:r>
        <w:t xml:space="preserve">As funções de demanda marshalliana (não-compensada) são homogêneas de grau zero em preços e renda, esgotam o orçamento (Lei de Walras) e dependem de preços e renda; as funções hicksianas (compensadas) mantêm a utilidade constante e capturam apenas o efeito substituição.</w:t>
      </w:r>
    </w:p>
    <w:p>
      <w:pPr>
        <w:pStyle w:val="Compact"/>
        <w:numPr>
          <w:ilvl w:val="0"/>
          <w:numId w:val="1251"/>
        </w:numPr>
      </w:pPr>
      <w:r>
        <w:t xml:space="preserve">Variações na renda geram curvas de Engel e permitem classificar bens como normais (elasticidade-renda positiva) ou inferiores (negativa), e ainda como necessidades (elasticidade entre 0 e 1) ou bens de luxo (elasticidade maior que 1).</w:t>
      </w:r>
    </w:p>
    <w:p>
      <w:pPr>
        <w:pStyle w:val="Compact"/>
        <w:numPr>
          <w:ilvl w:val="0"/>
          <w:numId w:val="1251"/>
        </w:numPr>
      </w:pPr>
      <w:r>
        <w:t xml:space="preserve">A Equação de Slutsky decompõe o efeito de uma variação de preço em efeito substituição (sempre não-positivo para o próprio preço) e efeito renda, fundamentando a Lei da Demanda para bens normais e explicando a possibilidade teórica de bens de Giffen.</w:t>
      </w:r>
    </w:p>
    <w:p>
      <w:pPr>
        <w:pStyle w:val="Compact"/>
        <w:numPr>
          <w:ilvl w:val="0"/>
          <w:numId w:val="1251"/>
        </w:numPr>
      </w:pPr>
      <w:r>
        <w:t xml:space="preserve">As elasticidades-preço, elasticidade-renda e elasticidade cruzada quantificam a sensibilidade da demanda a variações de preços e renda, obedecendo restrições como a agregação de Engel e a homogeneidade.</w:t>
      </w:r>
    </w:p>
    <w:p>
      <w:pPr>
        <w:pStyle w:val="Compact"/>
        <w:numPr>
          <w:ilvl w:val="0"/>
          <w:numId w:val="1251"/>
        </w:numPr>
      </w:pPr>
      <w:r>
        <w:t xml:space="preserve">O excedente do consumidor, a variação compensatória (VC) e a variação equivalente (VE) são medidas de bem-estar que permitem avaliar o impacto de mudanças de preço sobre os consumidores; para preferências quase-lineares, as três medidas coincidem.</w:t>
      </w:r>
    </w:p>
    <w:p>
      <w:pPr>
        <w:pStyle w:val="Compact"/>
        <w:numPr>
          <w:ilvl w:val="0"/>
          <w:numId w:val="1251"/>
        </w:numPr>
      </w:pPr>
      <w:r>
        <w:t xml:space="preserve">A teoria da preferência revelada fornece uma abordagem alternativa que, sem postular funções de utilidade, permite testar a racionalidade do consumidor e demonstrar que o efeito substituição é não-positivo.</w:t>
      </w:r>
    </w:p>
    <w:bookmarkEnd w:id="272"/>
    <w:bookmarkStart w:id="273" w:name="conceitos-chave-3"/>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Demanda marshalliana</w:t>
            </w:r>
          </w:p>
        </w:tc>
        <w:tc>
          <w:tcPr/>
          <w:p>
            <w:pPr>
              <w:pStyle w:val="Compact"/>
            </w:pPr>
            <w:r>
              <w:t xml:space="preserve">Função de demanda que resulta da maximização de utilidade sujeita à restrição orçamentária; depende de preços e renda nominal.</w:t>
            </w:r>
          </w:p>
        </w:tc>
      </w:tr>
      <w:tr>
        <w:tc>
          <w:tcPr/>
          <w:p>
            <w:pPr>
              <w:pStyle w:val="Compact"/>
            </w:pPr>
            <w:r>
              <w:t xml:space="preserve">Demanda hicksiana</w:t>
            </w:r>
          </w:p>
        </w:tc>
        <w:tc>
          <w:tcPr/>
          <w:p>
            <w:pPr>
              <w:pStyle w:val="Compact"/>
            </w:pPr>
            <w:r>
              <w:t xml:space="preserve">Função de demanda compensada que minimiza o dispêndio para atingir um dado nível de utilidade; depende de preços e utilidade-alvo.</w:t>
            </w:r>
          </w:p>
        </w:tc>
      </w:tr>
      <w:tr>
        <w:tc>
          <w:tcPr/>
          <w:p>
            <w:pPr>
              <w:pStyle w:val="Compact"/>
            </w:pPr>
            <w:r>
              <w:t xml:space="preserve">Equação de Slutsky</w:t>
            </w:r>
          </w:p>
        </w:tc>
        <w:tc>
          <w:tcPr/>
          <w:p>
            <w:pPr>
              <w:pStyle w:val="Compact"/>
            </w:pPr>
            <w:r>
              <w:t xml:space="preserve">Identidade que decompõe o efeito total de uma variação de preço em efeito substituição (hicksiano) e efeito renda.</w:t>
            </w:r>
          </w:p>
        </w:tc>
      </w:tr>
      <w:tr>
        <w:tc>
          <w:tcPr/>
          <w:p>
            <w:pPr>
              <w:pStyle w:val="Compact"/>
            </w:pPr>
            <w:r>
              <w:t xml:space="preserve">Efeito substituição</w:t>
            </w:r>
          </w:p>
        </w:tc>
        <w:tc>
          <w:tcPr/>
          <w:p>
            <w:pPr>
              <w:pStyle w:val="Compact"/>
            </w:pPr>
            <w:r>
              <w:t xml:space="preserve">Variação na demanda devida à mudança nos preços relativos, mantendo utilidade (Hicks) ou poder de compra (Slutsky) constante; sempre não-positivo para o próprio preço.</w:t>
            </w:r>
          </w:p>
        </w:tc>
      </w:tr>
      <w:tr>
        <w:tc>
          <w:tcPr/>
          <w:p>
            <w:pPr>
              <w:pStyle w:val="Compact"/>
            </w:pPr>
            <w:r>
              <w:t xml:space="preserve">Efeito renda</w:t>
            </w:r>
          </w:p>
        </w:tc>
        <w:tc>
          <w:tcPr/>
          <w:p>
            <w:pPr>
              <w:pStyle w:val="Compact"/>
            </w:pPr>
            <w:r>
              <w:t xml:space="preserve">Variação na demanda devida à mudança no poder de compra real causada pela alteração do preço.</w:t>
            </w:r>
          </w:p>
        </w:tc>
      </w:tr>
      <w:tr>
        <w:tc>
          <w:tcPr/>
          <w:p>
            <w:pPr>
              <w:pStyle w:val="Compact"/>
            </w:pPr>
            <w:r>
              <w:t xml:space="preserve">Bem de Giffen</w:t>
            </w:r>
          </w:p>
        </w:tc>
        <w:tc>
          <w:tcPr/>
          <w:p>
            <w:pPr>
              <w:pStyle w:val="Compact"/>
            </w:pPr>
            <w:r>
              <w:t xml:space="preserve">Bem inferior cujo efeito renda domina o efeito substituição, gerando uma curva de demanda positivamente inclinada.</w:t>
            </w:r>
          </w:p>
        </w:tc>
      </w:tr>
      <w:tr>
        <w:tc>
          <w:tcPr/>
          <w:p>
            <w:pPr>
              <w:pStyle w:val="Compact"/>
            </w:pPr>
            <w:r>
              <w:t xml:space="preserve">Elasticidade-preço da demanda</w:t>
            </w:r>
          </w:p>
        </w:tc>
        <w:tc>
          <w:tcPr/>
          <w:p>
            <w:pPr>
              <w:pStyle w:val="Compact"/>
            </w:pPr>
            <w:r>
              <w:t xml:space="preserve">Variação percentual na quantidade demandada dividida pela variação percentual no preço; mede a sensibilidade da demanda ao preço.</w:t>
            </w:r>
          </w:p>
        </w:tc>
      </w:tr>
      <w:tr>
        <w:tc>
          <w:tcPr/>
          <w:p>
            <w:pPr>
              <w:pStyle w:val="Compact"/>
            </w:pPr>
            <w:r>
              <w:t xml:space="preserve">Excedente do consumidor</w:t>
            </w:r>
          </w:p>
        </w:tc>
        <w:tc>
          <w:tcPr/>
          <w:p>
            <w:pPr>
              <w:pStyle w:val="Compact"/>
            </w:pPr>
            <w:r>
              <w:t xml:space="preserve">Diferença entre a disposição a pagar e o preço efetivamente pago; corresponde à área abaixo da curva de demanda e acima do preço.</w:t>
            </w:r>
          </w:p>
        </w:tc>
      </w:tr>
      <w:tr>
        <w:tc>
          <w:tcPr/>
          <w:p>
            <w:pPr>
              <w:pStyle w:val="Compact"/>
            </w:pPr>
            <w:r>
              <w:t xml:space="preserve">Variação compensatória (VC)</w:t>
            </w:r>
          </w:p>
        </w:tc>
        <w:tc>
          <w:tcPr/>
          <w:p>
            <w:pPr>
              <w:pStyle w:val="Compact"/>
            </w:pPr>
            <w:r>
              <w:t xml:space="preserve">Montante de renda que, após uma variação de preço, restaura o nível de utilidade original do consumidor.</w:t>
            </w:r>
          </w:p>
        </w:tc>
      </w:tr>
      <w:tr>
        <w:tc>
          <w:tcPr/>
          <w:p>
            <w:pPr>
              <w:pStyle w:val="Compact"/>
            </w:pPr>
            <w:r>
              <w:t xml:space="preserve">Preferência revelada</w:t>
            </w:r>
          </w:p>
        </w:tc>
        <w:tc>
          <w:tcPr/>
          <w:p>
            <w:pPr>
              <w:pStyle w:val="Compact"/>
            </w:pPr>
            <w:r>
              <w:t xml:space="preserve">Abordagem que infere racionalidade e relações de preferência a partir de escolhas observadas, sem postular funções de utilidade.</w:t>
            </w:r>
          </w:p>
        </w:tc>
      </w:tr>
    </w:tbl>
    <w:p>
      <w:pPr>
        <w:pStyle w:val="BodyText"/>
      </w:pPr>
      <w:r>
        <w:rPr>
          <w:b/>
          <w:bCs/>
        </w:rPr>
        <w:t xml:space="preserve">Tabela 5.3 — Conceitos-chave.</w:t>
      </w:r>
    </w:p>
    <w:bookmarkEnd w:id="273"/>
    <w:bookmarkStart w:id="274" w:name="exercícios-3"/>
    <w:p>
      <w:pPr>
        <w:pStyle w:val="Heading3"/>
      </w:pPr>
      <w:r>
        <w:t xml:space="preserve">Exercícios</w:t>
      </w:r>
    </w:p>
    <w:p>
      <w:pPr>
        <w:pStyle w:val="FirstParagraph"/>
      </w:pPr>
      <w:r>
        <w:rPr>
          <w:b/>
          <w:bCs/>
        </w:rPr>
        <w:t xml:space="preserve">Exercício 5.1.</w:t>
      </w:r>
      <w:r>
        <w:t xml:space="preserve"> </w:t>
      </w:r>
      <w:r>
        <w:t xml:space="preserve">Considere a função de utilidade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1</m:t>
            </m:r>
            <m:r>
              <m:rPr>
                <m:sty m:val="p"/>
              </m:rPr>
              <m:t>/</m:t>
            </m:r>
            <m:r>
              <m:t>3</m:t>
            </m:r>
          </m:sup>
        </m:sSubSup>
        <m:sSubSup>
          <m:e>
            <m:r>
              <m:t>x</m:t>
            </m:r>
          </m:e>
          <m:sub>
            <m:r>
              <m:t>2</m:t>
            </m:r>
          </m:sub>
          <m:sup>
            <m:r>
              <m:t>2</m:t>
            </m:r>
            <m:r>
              <m:rPr>
                <m:sty m:val="p"/>
              </m:rPr>
              <m:t>/</m:t>
            </m:r>
            <m:r>
              <m:t>3</m:t>
            </m:r>
          </m:sup>
        </m:sSubSup>
      </m:oMath>
      <w:r>
        <w:t xml:space="preserve">, com preços</w:t>
      </w:r>
      <w:r>
        <w:t xml:space="preserve"> </w:t>
      </w:r>
      <m:oMath>
        <m:sSub>
          <m:e>
            <m:r>
              <m:t>p</m:t>
            </m:r>
          </m:e>
          <m:sub>
            <m:r>
              <m:t>1</m:t>
            </m:r>
          </m:sub>
        </m:sSub>
      </m:oMath>
      <w:r>
        <w:t xml:space="preserve">,</w:t>
      </w:r>
      <w:r>
        <w:t xml:space="preserve"> </w:t>
      </w:r>
      <m:oMath>
        <m:sSub>
          <m:e>
            <m:r>
              <m:t>p</m:t>
            </m:r>
          </m:e>
          <m:sub>
            <m:r>
              <m:t>2</m:t>
            </m:r>
          </m:sub>
        </m:sSub>
      </m:oMath>
      <w:r>
        <w:t xml:space="preserve"> </w:t>
      </w:r>
      <w:r>
        <w:t xml:space="preserve">e renda</w:t>
      </w:r>
      <w:r>
        <w:t xml:space="preserve"> </w:t>
      </w:r>
      <m:oMath>
        <m:r>
          <m:t>I</m:t>
        </m:r>
      </m:oMath>
      <w:r>
        <w:t xml:space="preserve">.</w:t>
      </w:r>
    </w:p>
    <w:p>
      <w:pPr>
        <w:numPr>
          <w:ilvl w:val="0"/>
          <w:numId w:val="1252"/>
        </w:numPr>
      </w:pPr>
      <w:r>
        <w:t xml:space="preserve">Derive as funções de demanda marshalliana</w:t>
      </w:r>
      <w:r>
        <w:t xml:space="preserve"> </w:t>
      </w:r>
      <m:oMath>
        <m:sSubSup>
          <m:e>
            <m:r>
              <m:t>x</m:t>
            </m:r>
          </m:e>
          <m:sub>
            <m:r>
              <m:t>1</m:t>
            </m:r>
          </m:sub>
          <m:sup>
            <m:r>
              <m:rPr>
                <m:sty m:val="p"/>
              </m:rPr>
              <m:t>*</m:t>
            </m:r>
          </m:sup>
        </m:sSubSup>
        <m:r>
          <m:rPr>
            <m:sty m:val="p"/>
          </m:rPr>
          <m:t>(</m:t>
        </m:r>
        <m:sSub>
          <m:e>
            <m:r>
              <m:t>p</m:t>
            </m:r>
          </m:e>
          <m:sub>
            <m:r>
              <m:t>1</m:t>
            </m:r>
          </m:sub>
        </m:sSub>
        <m:r>
          <m:rPr>
            <m:sty m:val="p"/>
          </m:rPr>
          <m:t>,</m:t>
        </m:r>
        <m:sSub>
          <m:e>
            <m:r>
              <m:t>p</m:t>
            </m:r>
          </m:e>
          <m:sub>
            <m:r>
              <m:t>2</m:t>
            </m:r>
          </m:sub>
        </m:sSub>
        <m:r>
          <m:rPr>
            <m:sty m:val="p"/>
          </m:rPr>
          <m:t>,</m:t>
        </m:r>
        <m:r>
          <m:t>I</m:t>
        </m:r>
        <m:r>
          <m:rPr>
            <m:sty m:val="p"/>
          </m:rPr>
          <m:t>)</m:t>
        </m:r>
      </m:oMath>
      <w:r>
        <w:t xml:space="preserve"> </w:t>
      </w:r>
      <w:r>
        <w:t xml:space="preserve">e</w:t>
      </w:r>
      <w:r>
        <w:t xml:space="preserve"> </w:t>
      </w:r>
      <m:oMath>
        <m:sSubSup>
          <m:e>
            <m:r>
              <m:t>x</m:t>
            </m:r>
          </m:e>
          <m:sub>
            <m:r>
              <m:t>2</m:t>
            </m:r>
          </m:sub>
          <m:sup>
            <m:r>
              <m:rPr>
                <m:sty m:val="p"/>
              </m:rPr>
              <m:t>*</m:t>
            </m:r>
          </m:sup>
        </m:sSubSup>
        <m:r>
          <m:rPr>
            <m:sty m:val="p"/>
          </m:rPr>
          <m:t>(</m:t>
        </m:r>
        <m:sSub>
          <m:e>
            <m:r>
              <m:t>p</m:t>
            </m:r>
          </m:e>
          <m:sub>
            <m:r>
              <m:t>1</m:t>
            </m:r>
          </m:sub>
        </m:sSub>
        <m:r>
          <m:rPr>
            <m:sty m:val="p"/>
          </m:rPr>
          <m:t>,</m:t>
        </m:r>
        <m:sSub>
          <m:e>
            <m:r>
              <m:t>p</m:t>
            </m:r>
          </m:e>
          <m:sub>
            <m:r>
              <m:t>2</m:t>
            </m:r>
          </m:sub>
        </m:sSub>
        <m:r>
          <m:rPr>
            <m:sty m:val="p"/>
          </m:rPr>
          <m:t>,</m:t>
        </m:r>
        <m:r>
          <m:t>I</m:t>
        </m:r>
        <m:r>
          <m:rPr>
            <m:sty m:val="p"/>
          </m:rPr>
          <m:t>)</m:t>
        </m:r>
      </m:oMath>
      <w:r>
        <w:t xml:space="preserve">.</w:t>
      </w:r>
    </w:p>
    <w:p>
      <w:pPr>
        <w:numPr>
          <w:ilvl w:val="0"/>
          <w:numId w:val="1252"/>
        </w:numPr>
      </w:pPr>
      <w:r>
        <w:t xml:space="preserve">Verifique a homogeneidade de grau zero e o esgotamento da renda.</w:t>
      </w:r>
    </w:p>
    <w:p>
      <w:pPr>
        <w:numPr>
          <w:ilvl w:val="0"/>
          <w:numId w:val="1252"/>
        </w:numPr>
      </w:pPr>
      <w:r>
        <w:t xml:space="preserve">Classifique os bens como normais ou inferiores, e como luxo ou necessidade.</w:t>
      </w:r>
    </w:p>
    <w:p>
      <w:pPr>
        <w:pStyle w:val="FirstParagraph"/>
      </w:pPr>
      <w:r>
        <w:t xml:space="preserve">Ver solução (Cap. 5)</w:t>
      </w:r>
    </w:p>
    <w:p>
      <w:r>
        <w:pict>
          <v:rect style="width:0;height:1.5pt" o:hralign="center" o:hrstd="t" o:hr="t"/>
        </w:pict>
      </w:r>
    </w:p>
    <w:p>
      <w:pPr>
        <w:pStyle w:val="FirstParagraph"/>
      </w:pPr>
      <w:r>
        <w:rPr>
          <w:b/>
          <w:bCs/>
        </w:rPr>
        <w:t xml:space="preserve">Exercício 5.2.</w:t>
      </w:r>
      <w:r>
        <w:t xml:space="preserve"> </w:t>
      </w:r>
      <w:r>
        <w:t xml:space="preserve">Um consumidor tem função de utilidade</w:t>
      </w:r>
      <w:r>
        <w:t xml:space="preserve"> </w:t>
      </w:r>
      <m:oMath>
        <m:r>
          <m:t>U</m:t>
        </m:r>
        <m:r>
          <m:rPr>
            <m:sty m:val="p"/>
          </m:rPr>
          <m:t>(</m:t>
        </m:r>
        <m:r>
          <m:t>x</m:t>
        </m:r>
        <m:r>
          <m:rPr>
            <m:sty m:val="p"/>
          </m:rPr>
          <m:t>,</m:t>
        </m:r>
        <m:r>
          <m:t>y</m:t>
        </m:r>
        <m:r>
          <m:rPr>
            <m:sty m:val="p"/>
          </m:rPr>
          <m:t>)</m:t>
        </m:r>
        <m:r>
          <m:rPr>
            <m:sty m:val="p"/>
          </m:rPr>
          <m:t>=</m:t>
        </m:r>
        <m:r>
          <m:rPr>
            <m:sty m:val="p"/>
          </m:rPr>
          <m:t>ln</m:t>
        </m:r>
        <m:r>
          <m:t>x</m:t>
        </m:r>
        <m:r>
          <m:rPr>
            <m:sty m:val="p"/>
          </m:rPr>
          <m:t>+</m:t>
        </m:r>
        <m:r>
          <m:t>y</m:t>
        </m:r>
      </m:oMath>
      <w:r>
        <w:t xml:space="preserve"> </w:t>
      </w:r>
      <w:r>
        <w:t xml:space="preserve">(quase-linear), com preços</w:t>
      </w:r>
      <w:r>
        <w:t xml:space="preserve"> </w:t>
      </w:r>
      <m:oMath>
        <m:sSub>
          <m:e>
            <m:r>
              <m:t>p</m:t>
            </m:r>
          </m:e>
          <m:sub>
            <m:r>
              <m:t>x</m:t>
            </m:r>
          </m:sub>
        </m:sSub>
      </m:oMath>
      <w:r>
        <w:t xml:space="preserve">,</w:t>
      </w:r>
      <w:r>
        <w:t xml:space="preserve"> </w:t>
      </w:r>
      <m:oMath>
        <m:sSub>
          <m:e>
            <m:r>
              <m:t>p</m:t>
            </m:r>
          </m:e>
          <m:sub>
            <m:r>
              <m:t>y</m:t>
            </m:r>
          </m:sub>
        </m:sSub>
        <m:r>
          <m:rPr>
            <m:sty m:val="p"/>
          </m:rPr>
          <m:t>=</m:t>
        </m:r>
        <m:r>
          <m:t>1</m:t>
        </m:r>
      </m:oMath>
      <w:r>
        <w:t xml:space="preserve"> </w:t>
      </w:r>
      <w:r>
        <w:t xml:space="preserve">e renda</w:t>
      </w:r>
      <w:r>
        <w:t xml:space="preserve"> </w:t>
      </w:r>
      <m:oMath>
        <m:r>
          <m:t>I</m:t>
        </m:r>
      </m:oMath>
      <w:r>
        <w:t xml:space="preserve">.</w:t>
      </w:r>
    </w:p>
    <w:p>
      <w:pPr>
        <w:numPr>
          <w:ilvl w:val="0"/>
          <w:numId w:val="1253"/>
        </w:numPr>
      </w:pPr>
      <w:r>
        <w:t xml:space="preserve">Derive as demandas marshalliana e hicksiana para</w:t>
      </w:r>
      <w:r>
        <w:t xml:space="preserve"> </w:t>
      </w:r>
      <m:oMath>
        <m:r>
          <m:t>x</m:t>
        </m:r>
      </m:oMath>
      <w:r>
        <w:t xml:space="preserve">.</w:t>
      </w:r>
    </w:p>
    <w:p>
      <w:pPr>
        <w:numPr>
          <w:ilvl w:val="0"/>
          <w:numId w:val="1253"/>
        </w:numPr>
      </w:pPr>
      <w:r>
        <w:t xml:space="preserve">Mostre que o efeito renda para o bem</w:t>
      </w:r>
      <w:r>
        <w:t xml:space="preserve"> </w:t>
      </w:r>
      <m:oMath>
        <m:r>
          <m:t>x</m:t>
        </m:r>
      </m:oMath>
      <w:r>
        <w:t xml:space="preserve"> </w:t>
      </w:r>
      <w:r>
        <w:t xml:space="preserve">é zero e interprete economicamente.</w:t>
      </w:r>
    </w:p>
    <w:p>
      <w:pPr>
        <w:numPr>
          <w:ilvl w:val="0"/>
          <w:numId w:val="1253"/>
        </w:numPr>
      </w:pPr>
      <w:r>
        <w:t xml:space="preserve">Calcule a variação compensatória, a variação equivalente e o excedente do consumidor marshalliano para uma queda de</w:t>
      </w:r>
      <w:r>
        <w:t xml:space="preserve"> </w:t>
      </w:r>
      <m:oMath>
        <m:sSub>
          <m:e>
            <m:r>
              <m:t>p</m:t>
            </m:r>
          </m:e>
          <m:sub>
            <m:r>
              <m:t>x</m:t>
            </m:r>
          </m:sub>
        </m:sSub>
      </m:oMath>
      <w:r>
        <w:t xml:space="preserve"> </w:t>
      </w:r>
      <w:r>
        <w:t xml:space="preserve">de 4 para 1. Confirme que as três medidas coincidem.</w:t>
      </w:r>
    </w:p>
    <w:p>
      <w:pPr>
        <w:pStyle w:val="FirstParagraph"/>
      </w:pPr>
      <w:r>
        <w:t xml:space="preserve">Ver solução (Cap. 5)</w:t>
      </w:r>
    </w:p>
    <w:p>
      <w:r>
        <w:pict>
          <v:rect style="width:0;height:1.5pt" o:hralign="center" o:hrstd="t" o:hr="t"/>
        </w:pict>
      </w:r>
    </w:p>
    <w:p>
      <w:pPr>
        <w:pStyle w:val="FirstParagraph"/>
      </w:pPr>
      <w:r>
        <w:rPr>
          <w:b/>
          <w:bCs/>
        </w:rPr>
        <w:t xml:space="preserve">Exercício 5.3.</w:t>
      </w:r>
      <w:r>
        <w:t xml:space="preserve"> </w:t>
      </w:r>
      <w:r>
        <w:t xml:space="preserve">Utilizando a Equação de Slutsky, demonstre formalmente que um bem de Giffen deve ser necessariamente um bem inferior. É verdade que todo bem inferior é de Giffen? Justifique.</w:t>
      </w:r>
    </w:p>
    <w:p>
      <w:pPr>
        <w:pStyle w:val="BodyText"/>
      </w:pPr>
      <w:r>
        <w:t xml:space="preserve">Ver solução (Cap. 5)</w:t>
      </w:r>
    </w:p>
    <w:p>
      <w:r>
        <w:pict>
          <v:rect style="width:0;height:1.5pt" o:hralign="center" o:hrstd="t" o:hr="t"/>
        </w:pict>
      </w:r>
    </w:p>
    <w:p>
      <w:pPr>
        <w:pStyle w:val="FirstParagraph"/>
      </w:pPr>
      <w:r>
        <w:rPr>
          <w:b/>
          <w:bCs/>
        </w:rPr>
        <w:t xml:space="preserve">Exercício 5.4 (Elasticidades e agregação).</w:t>
      </w:r>
      <w:r>
        <w:t xml:space="preserve"> </w:t>
      </w:r>
      <w:r>
        <w:t xml:space="preserve">Uma economia tem dois bens. As parcelas orçamentárias são</w:t>
      </w:r>
      <w:r>
        <w:t xml:space="preserve"> </w:t>
      </w:r>
      <m:oMath>
        <m:sSub>
          <m:e>
            <m:r>
              <m:t>w</m:t>
            </m:r>
          </m:e>
          <m:sub>
            <m:r>
              <m:t>1</m:t>
            </m:r>
          </m:sub>
        </m:sSub>
        <m:r>
          <m:rPr>
            <m:sty m:val="p"/>
          </m:rPr>
          <m:t>=</m:t>
        </m:r>
        <m:r>
          <m:t>0</m:t>
        </m:r>
        <m:r>
          <m:rPr>
            <m:sty m:val="p"/>
          </m:rPr>
          <m:t>,</m:t>
        </m:r>
        <m:r>
          <m:t>4</m:t>
        </m:r>
      </m:oMath>
      <w:r>
        <w:t xml:space="preserve"> </w:t>
      </w:r>
      <w:r>
        <w:t xml:space="preserve">e</w:t>
      </w:r>
      <w:r>
        <w:t xml:space="preserve"> </w:t>
      </w:r>
      <m:oMath>
        <m:sSub>
          <m:e>
            <m:r>
              <m:t>w</m:t>
            </m:r>
          </m:e>
          <m:sub>
            <m:r>
              <m:t>2</m:t>
            </m:r>
          </m:sub>
        </m:sSub>
        <m:r>
          <m:rPr>
            <m:sty m:val="p"/>
          </m:rPr>
          <m:t>=</m:t>
        </m:r>
        <m:r>
          <m:t>0</m:t>
        </m:r>
        <m:r>
          <m:rPr>
            <m:sty m:val="p"/>
          </m:rPr>
          <m:t>,</m:t>
        </m:r>
        <m:r>
          <m:t>6</m:t>
        </m:r>
      </m:oMath>
      <w:r>
        <w:t xml:space="preserve">. A elasticidade-renda do bem 1 é</w:t>
      </w:r>
      <w:r>
        <w:t xml:space="preserve"> </w:t>
      </w:r>
      <m:oMath>
        <m:sSub>
          <m:e>
            <m:r>
              <m:t>ε</m:t>
            </m:r>
          </m:e>
          <m:sub>
            <m:sSub>
              <m:e>
                <m:r>
                  <m:t>x</m:t>
                </m:r>
              </m:e>
              <m:sub>
                <m:r>
                  <m:t>1</m:t>
                </m:r>
              </m:sub>
            </m:sSub>
            <m:r>
              <m:rPr>
                <m:sty m:val="p"/>
              </m:rPr>
              <m:t>,</m:t>
            </m:r>
            <m:r>
              <m:t>I</m:t>
            </m:r>
          </m:sub>
        </m:sSub>
        <m:r>
          <m:rPr>
            <m:sty m:val="p"/>
          </m:rPr>
          <m:t>=</m:t>
        </m:r>
        <m:r>
          <m:t>0</m:t>
        </m:r>
        <m:r>
          <m:rPr>
            <m:sty m:val="p"/>
          </m:rPr>
          <m:t>,</m:t>
        </m:r>
        <m:r>
          <m:t>5</m:t>
        </m:r>
      </m:oMath>
      <w:r>
        <w:t xml:space="preserve">.</w:t>
      </w:r>
    </w:p>
    <w:p>
      <w:pPr>
        <w:numPr>
          <w:ilvl w:val="0"/>
          <w:numId w:val="1254"/>
        </w:numPr>
      </w:pPr>
      <w:r>
        <w:t xml:space="preserve">Calcule a elasticidade-renda do bem 2 usando a Agregação de Engel.</w:t>
      </w:r>
    </w:p>
    <w:p>
      <w:pPr>
        <w:numPr>
          <w:ilvl w:val="0"/>
          <w:numId w:val="1254"/>
        </w:numPr>
      </w:pPr>
      <w:r>
        <w:t xml:space="preserve">Classifique cada bem como luxo ou necessidade.</w:t>
      </w:r>
    </w:p>
    <w:p>
      <w:pPr>
        <w:numPr>
          <w:ilvl w:val="0"/>
          <w:numId w:val="1254"/>
        </w:numPr>
      </w:pPr>
      <w:r>
        <w:t xml:space="preserve">Se a elasticidade-preço própria do bem 1 é</w:t>
      </w:r>
      <w:r>
        <w:t xml:space="preserve"> </w:t>
      </w:r>
      <m:oMath>
        <m:sSub>
          <m:e>
            <m:r>
              <m:t>ε</m:t>
            </m:r>
          </m:e>
          <m:sub>
            <m:sSub>
              <m:e>
                <m:r>
                  <m:t>x</m:t>
                </m:r>
              </m:e>
              <m:sub>
                <m:r>
                  <m:t>1</m:t>
                </m:r>
              </m:sub>
            </m:sSub>
            <m:r>
              <m:rPr>
                <m:sty m:val="p"/>
              </m:rPr>
              <m:t>,</m:t>
            </m:r>
            <m:sSub>
              <m:e>
                <m:r>
                  <m:t>p</m:t>
                </m:r>
              </m:e>
              <m:sub>
                <m:r>
                  <m:t>1</m:t>
                </m:r>
              </m:sub>
            </m:sSub>
          </m:sub>
        </m:sSub>
        <m:r>
          <m:rPr>
            <m:sty m:val="p"/>
          </m:rPr>
          <m:t>=</m:t>
        </m:r>
        <m:r>
          <m:rPr>
            <m:sty m:val="p"/>
          </m:rPr>
          <m:t>−</m:t>
        </m:r>
        <m:r>
          <m:t>0</m:t>
        </m:r>
        <m:r>
          <m:rPr>
            <m:sty m:val="p"/>
          </m:rPr>
          <m:t>,</m:t>
        </m:r>
        <m:r>
          <m:t>8</m:t>
        </m:r>
      </m:oMath>
      <w:r>
        <w:t xml:space="preserve">, use a condição de homogeneidade para calcular a elasticidade-preço cruzada</w:t>
      </w:r>
      <w:r>
        <w:t xml:space="preserve"> </w:t>
      </w:r>
      <m:oMath>
        <m:sSub>
          <m:e>
            <m:r>
              <m:t>ε</m:t>
            </m:r>
          </m:e>
          <m:sub>
            <m:sSub>
              <m:e>
                <m:r>
                  <m:t>x</m:t>
                </m:r>
              </m:e>
              <m:sub>
                <m:r>
                  <m:t>1</m:t>
                </m:r>
              </m:sub>
            </m:sSub>
            <m:r>
              <m:rPr>
                <m:sty m:val="p"/>
              </m:rPr>
              <m:t>,</m:t>
            </m:r>
            <m:sSub>
              <m:e>
                <m:r>
                  <m:t>p</m:t>
                </m:r>
              </m:e>
              <m:sub>
                <m:r>
                  <m:t>2</m:t>
                </m:r>
              </m:sub>
            </m:sSub>
          </m:sub>
        </m:sSub>
      </m:oMath>
      <w:r>
        <w:t xml:space="preserve">.</w:t>
      </w:r>
    </w:p>
    <w:p>
      <w:pPr>
        <w:pStyle w:val="FirstParagraph"/>
      </w:pPr>
      <w:r>
        <w:t xml:space="preserve">Ver solução (Cap. 5)</w:t>
      </w:r>
    </w:p>
    <w:p>
      <w:r>
        <w:pict>
          <v:rect style="width:0;height:1.5pt" o:hralign="center" o:hrstd="t" o:hr="t"/>
        </w:pict>
      </w:r>
    </w:p>
    <w:p>
      <w:pPr>
        <w:pStyle w:val="FirstParagraph"/>
      </w:pPr>
      <w:r>
        <w:rPr>
          <w:b/>
          <w:bCs/>
        </w:rPr>
        <w:t xml:space="preserve">Exercício 5.5 (Aplicação ao Brasil).</w:t>
      </w:r>
      <w:r>
        <w:t xml:space="preserve"> </w:t>
      </w:r>
      <w:r>
        <w:t xml:space="preserve">Suponha que a elasticidade-preço da gasolina no Brasil é</w:t>
      </w:r>
      <w:r>
        <w:t xml:space="preserve"> </w:t>
      </w:r>
      <m:oMath>
        <m:r>
          <m:rPr>
            <m:sty m:val="p"/>
          </m:rPr>
          <m:t>−</m:t>
        </m:r>
        <m:r>
          <m:t>0</m:t>
        </m:r>
        <m:r>
          <m:rPr>
            <m:sty m:val="p"/>
          </m:rPr>
          <m:t>,</m:t>
        </m:r>
        <m:r>
          <m:t>40</m:t>
        </m:r>
      </m:oMath>
      <w:r>
        <w:t xml:space="preserve"> </w:t>
      </w:r>
      <w:r>
        <w:t xml:space="preserve">e que a elasticidade-preço cruzada gasolina-etanol é</w:t>
      </w:r>
      <w:r>
        <w:t xml:space="preserve"> </w:t>
      </w:r>
      <m:oMath>
        <m:r>
          <m:rPr>
            <m:sty m:val="p"/>
          </m:rPr>
          <m:t>+</m:t>
        </m:r>
        <m:r>
          <m:t>1</m:t>
        </m:r>
        <m:r>
          <m:rPr>
            <m:sty m:val="p"/>
          </m:rPr>
          <m:t>,</m:t>
        </m:r>
        <m:r>
          <m:t>10</m:t>
        </m:r>
      </m:oMath>
      <w:r>
        <w:t xml:space="preserve">. O governo decide aumentar a CIDE de modo que o preço da gasolina suba 15%.</w:t>
      </w:r>
    </w:p>
    <w:p>
      <w:pPr>
        <w:numPr>
          <w:ilvl w:val="0"/>
          <w:numId w:val="1255"/>
        </w:numPr>
      </w:pPr>
      <w:r>
        <w:t xml:space="preserve">Estime a variação percentual na demanda por gasolina.</w:t>
      </w:r>
    </w:p>
    <w:p>
      <w:pPr>
        <w:numPr>
          <w:ilvl w:val="0"/>
          <w:numId w:val="1255"/>
        </w:numPr>
      </w:pPr>
      <w:r>
        <w:t xml:space="preserve">Estime a variação percentual na demanda por etanol.</w:t>
      </w:r>
    </w:p>
    <w:p>
      <w:pPr>
        <w:numPr>
          <w:ilvl w:val="0"/>
          <w:numId w:val="1255"/>
        </w:numPr>
      </w:pPr>
      <w:r>
        <w:t xml:space="preserve">Discuta as limitações dessa análise estática e como ela poderia subestimar ou superestimar os efeitos de longo prazo.</w:t>
      </w:r>
    </w:p>
    <w:p>
      <w:pPr>
        <w:pStyle w:val="FirstParagraph"/>
      </w:pPr>
      <w:r>
        <w:t xml:space="preserve">Ver solução (Cap. 5)</w:t>
      </w:r>
    </w:p>
    <w:p>
      <w:r>
        <w:pict>
          <v:rect style="width:0;height:1.5pt" o:hralign="center" o:hrstd="t" o:hr="t"/>
        </w:pict>
      </w:r>
    </w:p>
    <w:p>
      <w:pPr>
        <w:pStyle w:val="FirstParagraph"/>
      </w:pPr>
      <w:r>
        <w:rPr>
          <w:b/>
          <w:bCs/>
        </w:rPr>
        <w:t xml:space="preserve">Exercício 5.6.</w:t>
      </w:r>
      <w:r>
        <w:t xml:space="preserve"> </w:t>
      </w:r>
      <w:r>
        <w:t xml:space="preserve">Considere a função de utilidade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1</m:t>
            </m:r>
            <m:r>
              <m:rPr>
                <m:sty m:val="p"/>
              </m:rPr>
              <m:t>/</m:t>
            </m:r>
            <m:r>
              <m:t>4</m:t>
            </m:r>
          </m:sup>
        </m:sSubSup>
        <m:sSubSup>
          <m:e>
            <m:r>
              <m:t>x</m:t>
            </m:r>
          </m:e>
          <m:sub>
            <m:r>
              <m:t>2</m:t>
            </m:r>
          </m:sub>
          <m:sup>
            <m:r>
              <m:t>3</m:t>
            </m:r>
            <m:r>
              <m:rPr>
                <m:sty m:val="p"/>
              </m:rPr>
              <m:t>/</m:t>
            </m:r>
            <m:r>
              <m:t>4</m:t>
            </m:r>
          </m:sup>
        </m:sSubSup>
      </m:oMath>
      <w:r>
        <w:t xml:space="preserve">, com preços</w:t>
      </w:r>
      <w:r>
        <w:t xml:space="preserve"> </w:t>
      </w:r>
      <m:oMath>
        <m:sSub>
          <m:e>
            <m:r>
              <m:t>p</m:t>
            </m:r>
          </m:e>
          <m:sub>
            <m:r>
              <m:t>1</m:t>
            </m:r>
          </m:sub>
        </m:sSub>
        <m:r>
          <m:rPr>
            <m:sty m:val="p"/>
          </m:rPr>
          <m:t>=</m:t>
        </m:r>
        <m:r>
          <m:t>2</m:t>
        </m:r>
      </m:oMath>
      <w:r>
        <w:t xml:space="preserve">,</w:t>
      </w:r>
      <w:r>
        <w:t xml:space="preserve"> </w:t>
      </w:r>
      <m:oMath>
        <m:sSub>
          <m:e>
            <m:r>
              <m:t>p</m:t>
            </m:r>
          </m:e>
          <m:sub>
            <m:r>
              <m:t>2</m:t>
            </m:r>
          </m:sub>
        </m:sSub>
        <m:r>
          <m:rPr>
            <m:sty m:val="p"/>
          </m:rPr>
          <m:t>=</m:t>
        </m:r>
        <m:r>
          <m:t>6</m:t>
        </m:r>
      </m:oMath>
      <w:r>
        <w:t xml:space="preserve"> </w:t>
      </w:r>
      <w:r>
        <w:t xml:space="preserve">e renda</w:t>
      </w:r>
      <w:r>
        <w:t xml:space="preserve"> </w:t>
      </w:r>
      <m:oMath>
        <m:r>
          <m:t>I</m:t>
        </m:r>
        <m:r>
          <m:rPr>
            <m:sty m:val="p"/>
          </m:rPr>
          <m:t>=</m:t>
        </m:r>
        <m:r>
          <m:t>240</m:t>
        </m:r>
      </m:oMath>
      <w:r>
        <w:t xml:space="preserve">.</w:t>
      </w:r>
    </w:p>
    <w:p>
      <w:pPr>
        <w:numPr>
          <w:ilvl w:val="0"/>
          <w:numId w:val="1256"/>
        </w:numPr>
      </w:pPr>
      <w:r>
        <w:t xml:space="preserve">Derive as funções de demanda marshalliana.</w:t>
      </w:r>
    </w:p>
    <w:p>
      <w:pPr>
        <w:numPr>
          <w:ilvl w:val="0"/>
          <w:numId w:val="1256"/>
        </w:numPr>
      </w:pPr>
      <w:r>
        <w:t xml:space="preserve">Calcule as elasticidades-renda</w:t>
      </w:r>
      <w:r>
        <w:t xml:space="preserve"> </w:t>
      </w:r>
      <m:oMath>
        <m:sSub>
          <m:e>
            <m:r>
              <m:t>ε</m:t>
            </m:r>
          </m:e>
          <m:sub>
            <m:sSub>
              <m:e>
                <m:r>
                  <m:t>x</m:t>
                </m:r>
              </m:e>
              <m:sub>
                <m:r>
                  <m:t>1</m:t>
                </m:r>
              </m:sub>
            </m:sSub>
            <m:r>
              <m:rPr>
                <m:sty m:val="p"/>
              </m:rPr>
              <m:t>,</m:t>
            </m:r>
            <m:r>
              <m:t>I</m:t>
            </m:r>
          </m:sub>
        </m:sSub>
      </m:oMath>
      <w:r>
        <w:t xml:space="preserve"> </w:t>
      </w:r>
      <w:r>
        <w:t xml:space="preserve">e</w:t>
      </w:r>
      <w:r>
        <w:t xml:space="preserve"> </w:t>
      </w:r>
      <m:oMath>
        <m:sSub>
          <m:e>
            <m:r>
              <m:t>ε</m:t>
            </m:r>
          </m:e>
          <m:sub>
            <m:sSub>
              <m:e>
                <m:r>
                  <m:t>x</m:t>
                </m:r>
              </m:e>
              <m:sub>
                <m:r>
                  <m:t>2</m:t>
                </m:r>
              </m:sub>
            </m:sSub>
            <m:r>
              <m:rPr>
                <m:sty m:val="p"/>
              </m:rPr>
              <m:t>,</m:t>
            </m:r>
            <m:r>
              <m:t>I</m:t>
            </m:r>
          </m:sub>
        </m:sSub>
      </m:oMath>
      <w:r>
        <w:t xml:space="preserve">.</w:t>
      </w:r>
    </w:p>
    <w:p>
      <w:pPr>
        <w:numPr>
          <w:ilvl w:val="0"/>
          <w:numId w:val="1256"/>
        </w:numPr>
      </w:pPr>
      <w:r>
        <w:t xml:space="preserve">Classifique cada bem como normal ou inferior, e como luxo ou necessidade. Interprete os resultados à luz da estrutura Cobb-Douglas.</w:t>
      </w:r>
    </w:p>
    <w:p>
      <w:pPr>
        <w:pStyle w:val="FirstParagraph"/>
      </w:pPr>
      <w:r>
        <w:t xml:space="preserve">Ver solução (Cap. 5)</w:t>
      </w:r>
    </w:p>
    <w:p>
      <w:r>
        <w:pict>
          <v:rect style="width:0;height:1.5pt" o:hralign="center" o:hrstd="t" o:hr="t"/>
        </w:pict>
      </w:r>
    </w:p>
    <w:p>
      <w:pPr>
        <w:pStyle w:val="FirstParagraph"/>
      </w:pPr>
      <w:r>
        <w:rPr>
          <w:b/>
          <w:bCs/>
        </w:rPr>
        <w:t xml:space="preserve">Exercício 5.7 (Verdadeiro ou Falso).</w:t>
      </w:r>
      <w:r>
        <w:t xml:space="preserve"> </w:t>
      </w:r>
      <w:r>
        <w:t xml:space="preserve">Julgue cada afirmação com justificativa formal:</w:t>
      </w:r>
    </w:p>
    <w:p>
      <w:pPr>
        <w:numPr>
          <w:ilvl w:val="0"/>
          <w:numId w:val="1257"/>
        </w:numPr>
      </w:pPr>
      <w:r>
        <w:t xml:space="preserve">Todo bem de Giffen é necessariamente inferior.</w:t>
      </w:r>
    </w:p>
    <w:p>
      <w:pPr>
        <w:numPr>
          <w:ilvl w:val="0"/>
          <w:numId w:val="1257"/>
        </w:numPr>
      </w:pPr>
      <w:r>
        <w:t xml:space="preserve">Todo bem inferior é necessariamente de Giffen.</w:t>
      </w:r>
    </w:p>
    <w:p>
      <w:pPr>
        <w:numPr>
          <w:ilvl w:val="0"/>
          <w:numId w:val="1257"/>
        </w:numPr>
      </w:pPr>
      <w:r>
        <w:t xml:space="preserve">Para uma função de utilidade Cobb-Douglas</w:t>
      </w:r>
      <w:r>
        <w:t xml:space="preserve"> </w:t>
      </w:r>
      <m:oMath>
        <m:r>
          <m:t>U</m:t>
        </m:r>
        <m:r>
          <m:rPr>
            <m:sty m:val="p"/>
          </m:rPr>
          <m:t>=</m:t>
        </m:r>
        <m:sSubSup>
          <m:e>
            <m:r>
              <m:t>x</m:t>
            </m:r>
          </m:e>
          <m:sub>
            <m:r>
              <m:t>1</m:t>
            </m:r>
          </m:sub>
          <m:sup>
            <m:r>
              <m:t>a</m:t>
            </m:r>
          </m:sup>
        </m:sSubSup>
        <m:sSubSup>
          <m:e>
            <m:r>
              <m:t>x</m:t>
            </m:r>
          </m:e>
          <m:sub>
            <m:r>
              <m:t>2</m:t>
            </m:r>
          </m:sub>
          <m:sup>
            <m:r>
              <m:t>1</m:t>
            </m:r>
            <m:r>
              <m:rPr>
                <m:sty m:val="p"/>
              </m:rPr>
              <m:t>−</m:t>
            </m:r>
            <m:r>
              <m:t>a</m:t>
            </m:r>
          </m:sup>
        </m:sSubSup>
      </m:oMath>
      <w:r>
        <w:t xml:space="preserve">, todos os bens são de luxo.</w:t>
      </w:r>
    </w:p>
    <w:p>
      <w:pPr>
        <w:numPr>
          <w:ilvl w:val="0"/>
          <w:numId w:val="1257"/>
        </w:numPr>
      </w:pPr>
      <w:r>
        <w:t xml:space="preserve">Para uma utilidade quase-linear</w:t>
      </w:r>
      <w:r>
        <w:t xml:space="preserve"> </w:t>
      </w:r>
      <m:oMath>
        <m:r>
          <m:t>U</m:t>
        </m:r>
        <m:r>
          <m:rPr>
            <m:sty m:val="p"/>
          </m:rPr>
          <m:t>=</m:t>
        </m:r>
        <m:r>
          <m:t>v</m:t>
        </m:r>
        <m:r>
          <m:rPr>
            <m:sty m:val="p"/>
          </m:rPr>
          <m:t>(</m:t>
        </m:r>
        <m:sSub>
          <m:e>
            <m:r>
              <m:t>x</m:t>
            </m:r>
          </m:e>
          <m:sub>
            <m:r>
              <m:t>1</m:t>
            </m:r>
          </m:sub>
        </m:sSub>
        <m:r>
          <m:rPr>
            <m:sty m:val="p"/>
          </m:rPr>
          <m:t>)</m:t>
        </m:r>
        <m:r>
          <m:rPr>
            <m:sty m:val="p"/>
          </m:rPr>
          <m:t>+</m:t>
        </m:r>
        <m:sSub>
          <m:e>
            <m:r>
              <m:t>x</m:t>
            </m:r>
          </m:e>
          <m:sub>
            <m:r>
              <m:t>2</m:t>
            </m:r>
          </m:sub>
        </m:sSub>
      </m:oMath>
      <w:r>
        <w:t xml:space="preserve">, o efeito substituição de Slutsky sobre o bem 1 é igual ao efeito total.</w:t>
      </w:r>
    </w:p>
    <w:p>
      <w:pPr>
        <w:pStyle w:val="FirstParagraph"/>
      </w:pPr>
      <w:r>
        <w:t xml:space="preserve">Ver solução (Cap. 5)</w:t>
      </w:r>
    </w:p>
    <w:p>
      <w:r>
        <w:pict>
          <v:rect style="width:0;height:1.5pt" o:hralign="center" o:hrstd="t" o:hr="t"/>
        </w:pict>
      </w:r>
    </w:p>
    <w:p>
      <w:pPr>
        <w:pStyle w:val="FirstParagraph"/>
      </w:pPr>
      <w:r>
        <w:rPr>
          <w:b/>
          <w:bCs/>
        </w:rPr>
        <w:t xml:space="preserve">Exercício 5.8 (VC, VE e EC).</w:t>
      </w:r>
      <w:r>
        <w:t xml:space="preserve"> </w:t>
      </w:r>
      <w:r>
        <w:t xml:space="preserve">Um consumidor tem utilidade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1</m:t>
            </m:r>
            <m:r>
              <m:rPr>
                <m:sty m:val="p"/>
              </m:rPr>
              <m:t>/</m:t>
            </m:r>
            <m:r>
              <m:t>2</m:t>
            </m:r>
          </m:sup>
        </m:sSubSup>
        <m:sSubSup>
          <m:e>
            <m:r>
              <m:t>x</m:t>
            </m:r>
          </m:e>
          <m:sub>
            <m:r>
              <m:t>2</m:t>
            </m:r>
          </m:sub>
          <m:sup>
            <m:r>
              <m:t>1</m:t>
            </m:r>
            <m:r>
              <m:rPr>
                <m:sty m:val="p"/>
              </m:rPr>
              <m:t>/</m:t>
            </m:r>
            <m:r>
              <m:t>2</m:t>
            </m:r>
          </m:sup>
        </m:sSubSup>
      </m:oMath>
      <w:r>
        <w:t xml:space="preserve">, com preços</w:t>
      </w:r>
      <w:r>
        <w:t xml:space="preserve"> </w:t>
      </w:r>
      <m:oMath>
        <m:sSub>
          <m:e>
            <m:r>
              <m:t>p</m:t>
            </m:r>
          </m:e>
          <m:sub>
            <m:r>
              <m:t>1</m:t>
            </m:r>
          </m:sub>
        </m:sSub>
        <m:r>
          <m:rPr>
            <m:sty m:val="p"/>
          </m:rPr>
          <m:t>=</m:t>
        </m:r>
        <m:sSub>
          <m:e>
            <m:r>
              <m:t>p</m:t>
            </m:r>
          </m:e>
          <m:sub>
            <m:r>
              <m:t>2</m:t>
            </m:r>
          </m:sub>
        </m:sSub>
        <m:r>
          <m:rPr>
            <m:sty m:val="p"/>
          </m:rPr>
          <m:t>=</m:t>
        </m:r>
        <m:r>
          <m:t>1</m:t>
        </m:r>
      </m:oMath>
      <w:r>
        <w:t xml:space="preserve"> </w:t>
      </w:r>
      <w:r>
        <w:t xml:space="preserve">e renda</w:t>
      </w:r>
      <w:r>
        <w:t xml:space="preserve"> </w:t>
      </w:r>
      <m:oMath>
        <m:r>
          <m:t>I</m:t>
        </m:r>
        <m:r>
          <m:rPr>
            <m:sty m:val="p"/>
          </m:rPr>
          <m:t>=</m:t>
        </m:r>
        <m:r>
          <m:t>100</m:t>
        </m:r>
      </m:oMath>
      <w:r>
        <w:t xml:space="preserve">. O preço do bem 1 sobe para</w:t>
      </w:r>
      <w:r>
        <w:t xml:space="preserve"> </w:t>
      </w:r>
      <m:oMath>
        <m:sSubSup>
          <m:e>
            <m:r>
              <m:t>p</m:t>
            </m:r>
          </m:e>
          <m:sub>
            <m:r>
              <m:t>1</m:t>
            </m:r>
          </m:sub>
          <m:sup>
            <m:r>
              <m:rPr>
                <m:sty m:val="p"/>
              </m:rPr>
              <m:t>′</m:t>
            </m:r>
          </m:sup>
        </m:sSubSup>
        <m:r>
          <m:rPr>
            <m:sty m:val="p"/>
          </m:rPr>
          <m:t>=</m:t>
        </m:r>
        <m:r>
          <m:t>4</m:t>
        </m:r>
      </m:oMath>
      <w:r>
        <w:t xml:space="preserve">.</w:t>
      </w:r>
    </w:p>
    <w:p>
      <w:pPr>
        <w:numPr>
          <w:ilvl w:val="0"/>
          <w:numId w:val="1258"/>
        </w:numPr>
      </w:pPr>
      <w:r>
        <w:t xml:space="preserve">Encontre as cestas ótimas antes e depois da variação de preço.</w:t>
      </w:r>
    </w:p>
    <w:p>
      <w:pPr>
        <w:numPr>
          <w:ilvl w:val="0"/>
          <w:numId w:val="1258"/>
        </w:numPr>
      </w:pPr>
      <w:r>
        <w:t xml:space="preserve">Decomponha o efeito total sobre</w:t>
      </w:r>
      <w:r>
        <w:t xml:space="preserve"> </w:t>
      </w:r>
      <m:oMath>
        <m:sSub>
          <m:e>
            <m:r>
              <m:t>x</m:t>
            </m:r>
          </m:e>
          <m:sub>
            <m:r>
              <m:t>1</m:t>
            </m:r>
          </m:sub>
        </m:sSub>
      </m:oMath>
      <w:r>
        <w:t xml:space="preserve"> </w:t>
      </w:r>
      <w:r>
        <w:t xml:space="preserve">em efeito substituição e efeito renda (decomposição de Hicks).</w:t>
      </w:r>
    </w:p>
    <w:p>
      <w:pPr>
        <w:numPr>
          <w:ilvl w:val="0"/>
          <w:numId w:val="1258"/>
        </w:numPr>
      </w:pPr>
      <w:r>
        <w:t xml:space="preserve">Calcule a variação compensatória (VC) e a variação equivalente (VE).</w:t>
      </w:r>
    </w:p>
    <w:p>
      <w:pPr>
        <w:numPr>
          <w:ilvl w:val="0"/>
          <w:numId w:val="1258"/>
        </w:numPr>
      </w:pPr>
      <w:r>
        <w:t xml:space="preserve">Calcule o excedente do consumidor marshalliano (</w:t>
      </w:r>
      <m:oMath>
        <m:r>
          <m:rPr>
            <m:sty m:val="p"/>
          </m:rPr>
          <m:t>Δ</m:t>
        </m:r>
        <m:r>
          <m:t>E</m:t>
        </m:r>
        <m:r>
          <m:t>C</m:t>
        </m:r>
      </m:oMath>
      <w:r>
        <w:t xml:space="preserve">) e verifique a ordenação</w:t>
      </w:r>
      <w:r>
        <w:t xml:space="preserve"> </w:t>
      </w:r>
      <m:oMath>
        <m:r>
          <m:t>V</m:t>
        </m:r>
        <m:r>
          <m:t>C</m:t>
        </m:r>
        <m:r>
          <m:rPr>
            <m:sty m:val="p"/>
          </m:rPr>
          <m:t>&lt;</m:t>
        </m:r>
        <m:r>
          <m:rPr>
            <m:sty m:val="p"/>
          </m:rPr>
          <m:t>Δ</m:t>
        </m:r>
        <m:r>
          <m:t>E</m:t>
        </m:r>
        <m:r>
          <m:t>C</m:t>
        </m:r>
        <m:r>
          <m:rPr>
            <m:sty m:val="p"/>
          </m:rPr>
          <m:t>&lt;</m:t>
        </m:r>
        <m:r>
          <m:t>V</m:t>
        </m:r>
        <m:r>
          <m:t>E</m:t>
        </m:r>
      </m:oMath>
      <w:r>
        <w:t xml:space="preserve">.</w:t>
      </w:r>
    </w:p>
    <w:p>
      <w:pPr>
        <w:pStyle w:val="FirstParagraph"/>
      </w:pPr>
      <w:r>
        <w:t xml:space="preserve">Ver solução (Cap. 5)</w:t>
      </w:r>
    </w:p>
    <w:p>
      <w:r>
        <w:pict>
          <v:rect style="width:0;height:1.5pt" o:hralign="center" o:hrstd="t" o:hr="t"/>
        </w:pict>
      </w:r>
    </w:p>
    <w:p>
      <w:pPr>
        <w:pStyle w:val="FirstParagraph"/>
      </w:pPr>
      <w:r>
        <w:rPr>
          <w:b/>
          <w:bCs/>
        </w:rPr>
        <w:t xml:space="preserve">Exercício 5.9 (Aplicação ao Brasil — elasticidades e agregação).</w:t>
      </w:r>
      <w:r>
        <w:t xml:space="preserve"> </w:t>
      </w:r>
      <w:r>
        <w:t xml:space="preserve">Uma família brasileira típica aloca 40% de seu orçamento em alimentos (</w:t>
      </w:r>
      <m:oMath>
        <m:sSub>
          <m:e>
            <m:r>
              <m:t>w</m:t>
            </m:r>
          </m:e>
          <m:sub>
            <m:r>
              <m:t>1</m:t>
            </m:r>
          </m:sub>
        </m:sSub>
        <m:r>
          <m:rPr>
            <m:sty m:val="p"/>
          </m:rPr>
          <m:t>=</m:t>
        </m:r>
        <m:r>
          <m:t>0</m:t>
        </m:r>
        <m:r>
          <m:rPr>
            <m:sty m:val="p"/>
          </m:rPr>
          <m:t>,</m:t>
        </m:r>
        <m:r>
          <m:t>4</m:t>
        </m:r>
      </m:oMath>
      <w:r>
        <w:t xml:space="preserve">) e 60% em outros bens (</w:t>
      </w:r>
      <m:oMath>
        <m:sSub>
          <m:e>
            <m:r>
              <m:t>w</m:t>
            </m:r>
          </m:e>
          <m:sub>
            <m:r>
              <m:t>2</m:t>
            </m:r>
          </m:sub>
        </m:sSub>
        <m:r>
          <m:rPr>
            <m:sty m:val="p"/>
          </m:rPr>
          <m:t>=</m:t>
        </m:r>
        <m:r>
          <m:t>0</m:t>
        </m:r>
        <m:r>
          <m:rPr>
            <m:sty m:val="p"/>
          </m:rPr>
          <m:t>,</m:t>
        </m:r>
        <m:r>
          <m:t>6</m:t>
        </m:r>
      </m:oMath>
      <w:r>
        <w:t xml:space="preserve">). A elasticidade-renda dos alimentos é</w:t>
      </w:r>
      <w:r>
        <w:t xml:space="preserve"> </w:t>
      </w:r>
      <m:oMath>
        <m:sSub>
          <m:e>
            <m:r>
              <m:t>ε</m:t>
            </m:r>
          </m:e>
          <m:sub>
            <m:r>
              <m:t>1</m:t>
            </m:r>
            <m:r>
              <m:rPr>
                <m:sty m:val="p"/>
              </m:rPr>
              <m:t>,</m:t>
            </m:r>
            <m:r>
              <m:t>I</m:t>
            </m:r>
          </m:sub>
        </m:sSub>
        <m:r>
          <m:rPr>
            <m:sty m:val="p"/>
          </m:rPr>
          <m:t>=</m:t>
        </m:r>
        <m:r>
          <m:t>0</m:t>
        </m:r>
        <m:r>
          <m:rPr>
            <m:sty m:val="p"/>
          </m:rPr>
          <m:t>,</m:t>
        </m:r>
        <m:r>
          <m:t>6</m:t>
        </m:r>
      </m:oMath>
      <w:r>
        <w:t xml:space="preserve"> </w:t>
      </w:r>
      <w:r>
        <w:t xml:space="preserve">e a elasticidade-preço própria dos alimentos é</w:t>
      </w:r>
      <w:r>
        <w:t xml:space="preserve"> </w:t>
      </w:r>
      <m:oMath>
        <m:sSub>
          <m:e>
            <m:r>
              <m:t>ε</m:t>
            </m:r>
          </m:e>
          <m:sub>
            <m:r>
              <m:t>1</m:t>
            </m:r>
            <m:r>
              <m:rPr>
                <m:sty m:val="p"/>
              </m:rPr>
              <m:t>,</m:t>
            </m:r>
            <m:sSub>
              <m:e>
                <m:r>
                  <m:t>p</m:t>
                </m:r>
              </m:e>
              <m:sub>
                <m:r>
                  <m:t>1</m:t>
                </m:r>
              </m:sub>
            </m:sSub>
          </m:sub>
        </m:sSub>
        <m:r>
          <m:rPr>
            <m:sty m:val="p"/>
          </m:rPr>
          <m:t>=</m:t>
        </m:r>
        <m:r>
          <m:rPr>
            <m:sty m:val="p"/>
          </m:rPr>
          <m:t>−</m:t>
        </m:r>
        <m:r>
          <m:t>0</m:t>
        </m:r>
        <m:r>
          <m:rPr>
            <m:sty m:val="p"/>
          </m:rPr>
          <m:t>,</m:t>
        </m:r>
        <m:r>
          <m:t>5</m:t>
        </m:r>
      </m:oMath>
      <w:r>
        <w:t xml:space="preserve">.</w:t>
      </w:r>
    </w:p>
    <w:p>
      <w:pPr>
        <w:numPr>
          <w:ilvl w:val="0"/>
          <w:numId w:val="1259"/>
        </w:numPr>
      </w:pPr>
      <w:r>
        <w:t xml:space="preserve">Use a Agregação de Engel para calcular a elasticidade-renda dos outros bens</w:t>
      </w:r>
      <w:r>
        <w:t xml:space="preserve"> </w:t>
      </w:r>
      <m:oMath>
        <m:sSub>
          <m:e>
            <m:r>
              <m:t>ε</m:t>
            </m:r>
          </m:e>
          <m:sub>
            <m:r>
              <m:t>2</m:t>
            </m:r>
            <m:r>
              <m:rPr>
                <m:sty m:val="p"/>
              </m:rPr>
              <m:t>,</m:t>
            </m:r>
            <m:r>
              <m:t>I</m:t>
            </m:r>
          </m:sub>
        </m:sSub>
      </m:oMath>
      <w:r>
        <w:t xml:space="preserve">.</w:t>
      </w:r>
    </w:p>
    <w:p>
      <w:pPr>
        <w:numPr>
          <w:ilvl w:val="0"/>
          <w:numId w:val="1259"/>
        </w:numPr>
      </w:pPr>
      <w:r>
        <w:t xml:space="preserve">Use a condição de homogeneidade para calcular a elasticidade-preço cruzada dos alimentos em relação ao preço dos outros bens</w:t>
      </w:r>
      <w:r>
        <w:t xml:space="preserve"> </w:t>
      </w:r>
      <m:oMath>
        <m:sSub>
          <m:e>
            <m:r>
              <m:t>ε</m:t>
            </m:r>
          </m:e>
          <m:sub>
            <m:r>
              <m:t>1</m:t>
            </m:r>
            <m:r>
              <m:rPr>
                <m:sty m:val="p"/>
              </m:rPr>
              <m:t>,</m:t>
            </m:r>
            <m:sSub>
              <m:e>
                <m:r>
                  <m:t>p</m:t>
                </m:r>
              </m:e>
              <m:sub>
                <m:r>
                  <m:t>2</m:t>
                </m:r>
              </m:sub>
            </m:sSub>
          </m:sub>
        </m:sSub>
      </m:oMath>
      <w:r>
        <w:t xml:space="preserve">.</w:t>
      </w:r>
    </w:p>
    <w:p>
      <w:pPr>
        <w:numPr>
          <w:ilvl w:val="0"/>
          <w:numId w:val="1259"/>
        </w:numPr>
      </w:pPr>
      <w:r>
        <w:t xml:space="preserve">Se os preços dos alimentos sobem 10%, estime a variação percentual na demanda por alimentos.</w:t>
      </w:r>
    </w:p>
    <w:p>
      <w:pPr>
        <w:numPr>
          <w:ilvl w:val="0"/>
          <w:numId w:val="1259"/>
        </w:numPr>
      </w:pPr>
      <w:r>
        <w:t xml:space="preserve">Usando a equação de Slutsky na forma de elasticidades, decomponha o efeito calculado em (c) em efeito substituição e efeito renda. Interprete os resultados no contexto de política de segurança alimentar no Brasil.</w:t>
      </w:r>
    </w:p>
    <w:p>
      <w:pPr>
        <w:pStyle w:val="FirstParagraph"/>
      </w:pPr>
      <w:r>
        <w:t xml:space="preserve">Ver solução (Cap. 5)</w:t>
      </w:r>
    </w:p>
    <w:p>
      <w:r>
        <w:pict>
          <v:rect style="width:0;height:1.5pt" o:hralign="center" o:hrstd="t" o:hr="t"/>
        </w:pict>
      </w:r>
    </w:p>
    <w:p>
      <w:pPr>
        <w:pStyle w:val="FirstParagraph"/>
      </w:pPr>
      <w:r>
        <w:rPr>
          <w:b/>
          <w:bCs/>
        </w:rPr>
        <w:t xml:space="preserve">Exercício 5.10 (Prova — Propriedades da Matriz de Slutsky).</w:t>
      </w:r>
      <w:r>
        <w:t xml:space="preserve"> </w:t>
      </w:r>
      <w:r>
        <w:t xml:space="preserve">Seja</w:t>
      </w:r>
      <w:r>
        <w:t xml:space="preserve"> </w:t>
      </w:r>
      <m:oMath>
        <m:r>
          <m:rPr>
            <m:sty m:val="bi"/>
          </m:rPr>
          <m:t>S</m:t>
        </m:r>
      </m:oMath>
      <w:r>
        <w:t xml:space="preserve"> </w:t>
      </w:r>
      <w:r>
        <w:t xml:space="preserve">a matriz de Slutsky com elementos</w:t>
      </w:r>
      <w:r>
        <w:t xml:space="preserve"> </w:t>
      </w:r>
      <m:oMath>
        <m:sSub>
          <m:e>
            <m:r>
              <m:t>s</m:t>
            </m:r>
          </m:e>
          <m:sub>
            <m:r>
              <m:t>i</m:t>
            </m:r>
            <m:r>
              <m:t>j</m:t>
            </m:r>
          </m:sub>
        </m:sSub>
        <m:r>
          <m:rPr>
            <m:sty m:val="p"/>
          </m:rPr>
          <m:t>=</m:t>
        </m:r>
        <m:f>
          <m:fPr>
            <m:type m:val="bar"/>
          </m:fPr>
          <m:num>
            <m:r>
              <m:rPr>
                <m:sty m:val="p"/>
              </m:rPr>
              <m:t>∂</m:t>
            </m:r>
            <m:sSub>
              <m:e>
                <m:r>
                  <m:t>h</m:t>
                </m:r>
              </m:e>
              <m:sub>
                <m:r>
                  <m:t>i</m:t>
                </m:r>
              </m:sub>
            </m:sSub>
          </m:num>
          <m:den>
            <m:r>
              <m:rPr>
                <m:sty m:val="p"/>
              </m:rPr>
              <m:t>∂</m:t>
            </m:r>
            <m:sSub>
              <m:e>
                <m:r>
                  <m:t>p</m:t>
                </m:r>
              </m:e>
              <m:sub>
                <m:r>
                  <m:t>j</m:t>
                </m:r>
              </m:sub>
            </m:sSub>
          </m:den>
        </m:f>
      </m:oMath>
      <w:r>
        <w:t xml:space="preserve">, onde</w:t>
      </w:r>
      <w:r>
        <w:t xml:space="preserve"> </w:t>
      </w:r>
      <m:oMath>
        <m:sSub>
          <m:e>
            <m:r>
              <m:t>h</m:t>
            </m:r>
          </m:e>
          <m:sub>
            <m:r>
              <m:t>i</m:t>
            </m:r>
          </m:sub>
        </m:sSub>
        <m:r>
          <m:rPr>
            <m:sty m:val="p"/>
          </m:rPr>
          <m:t>(</m:t>
        </m:r>
        <m:r>
          <m:rPr>
            <m:sty m:val="bi"/>
          </m:rPr>
          <m:t>p</m:t>
        </m:r>
        <m:r>
          <m:rPr>
            <m:sty m:val="p"/>
          </m:rPr>
          <m:t>,</m:t>
        </m:r>
        <m:acc>
          <m:accPr>
            <m:chr m:val="‾"/>
          </m:accPr>
          <m:e>
            <m:r>
              <m:t>U</m:t>
            </m:r>
          </m:e>
        </m:acc>
        <m:r>
          <m:rPr>
            <m:sty m:val="p"/>
          </m:rPr>
          <m:t>)</m:t>
        </m:r>
      </m:oMath>
      <w:r>
        <w:t xml:space="preserve"> </w:t>
      </w:r>
      <w:r>
        <w:t xml:space="preserve">é a demanda hicksiana do bem</w:t>
      </w:r>
      <w:r>
        <w:t xml:space="preserve"> </w:t>
      </w:r>
      <m:oMath>
        <m:r>
          <m:t>i</m:t>
        </m:r>
      </m:oMath>
      <w:r>
        <w:t xml:space="preserve">.</w:t>
      </w:r>
    </w:p>
    <w:p>
      <w:pPr>
        <w:numPr>
          <w:ilvl w:val="0"/>
          <w:numId w:val="1260"/>
        </w:numPr>
      </w:pPr>
      <w:r>
        <w:t xml:space="preserve">Usando o fato de que a função dispêndio</w:t>
      </w:r>
      <w:r>
        <w:t xml:space="preserve"> </w:t>
      </w:r>
      <m:oMath>
        <m:r>
          <m:t>E</m:t>
        </m:r>
        <m:r>
          <m:rPr>
            <m:sty m:val="p"/>
          </m:rPr>
          <m:t>(</m:t>
        </m:r>
        <m:r>
          <m:rPr>
            <m:sty m:val="bi"/>
          </m:rPr>
          <m:t>p</m:t>
        </m:r>
        <m:r>
          <m:rPr>
            <m:sty m:val="p"/>
          </m:rPr>
          <m:t>,</m:t>
        </m:r>
        <m:acc>
          <m:accPr>
            <m:chr m:val="‾"/>
          </m:accPr>
          <m:e>
            <m:r>
              <m:t>U</m:t>
            </m:r>
          </m:e>
        </m:acc>
        <m:r>
          <m:rPr>
            <m:sty m:val="p"/>
          </m:rPr>
          <m:t>)</m:t>
        </m:r>
      </m:oMath>
      <w:r>
        <w:t xml:space="preserve"> </w:t>
      </w:r>
      <w:r>
        <w:t xml:space="preserve">é côncava em</w:t>
      </w:r>
      <w:r>
        <w:t xml:space="preserve"> </w:t>
      </w:r>
      <m:oMath>
        <m:r>
          <m:rPr>
            <m:sty m:val="bi"/>
          </m:rPr>
          <m:t>p</m:t>
        </m:r>
      </m:oMath>
      <w:r>
        <w:t xml:space="preserve"> </w:t>
      </w:r>
      <w:r>
        <w:t xml:space="preserve">e o Lema de Shephard, mostre que</w:t>
      </w:r>
      <w:r>
        <w:t xml:space="preserve"> </w:t>
      </w:r>
      <m:oMath>
        <m:r>
          <m:rPr>
            <m:sty m:val="bi"/>
          </m:rPr>
          <m:t>S</m:t>
        </m:r>
      </m:oMath>
      <w:r>
        <w:t xml:space="preserve"> </w:t>
      </w:r>
      <w:r>
        <w:t xml:space="preserve">é</w:t>
      </w:r>
      <w:r>
        <w:t xml:space="preserve"> </w:t>
      </w:r>
      <w:r>
        <w:rPr>
          <w:b/>
          <w:bCs/>
        </w:rPr>
        <w:t xml:space="preserve">simétrica</w:t>
      </w:r>
      <w:r>
        <w:t xml:space="preserve"> </w:t>
      </w:r>
      <w:r>
        <w:t xml:space="preserve">(</w:t>
      </w:r>
      <m:oMath>
        <m:sSub>
          <m:e>
            <m:r>
              <m:t>s</m:t>
            </m:r>
          </m:e>
          <m:sub>
            <m:r>
              <m:t>i</m:t>
            </m:r>
            <m:r>
              <m:t>j</m:t>
            </m:r>
          </m:sub>
        </m:sSub>
        <m:r>
          <m:rPr>
            <m:sty m:val="p"/>
          </m:rPr>
          <m:t>=</m:t>
        </m:r>
        <m:sSub>
          <m:e>
            <m:r>
              <m:t>s</m:t>
            </m:r>
          </m:e>
          <m:sub>
            <m:r>
              <m:t>j</m:t>
            </m:r>
            <m:r>
              <m:t>i</m:t>
            </m:r>
          </m:sub>
        </m:sSub>
      </m:oMath>
      <w:r>
        <w:t xml:space="preserve">) e</w:t>
      </w:r>
      <w:r>
        <w:t xml:space="preserve"> </w:t>
      </w:r>
      <w:r>
        <w:rPr>
          <w:b/>
          <w:bCs/>
        </w:rPr>
        <w:t xml:space="preserve">negativa semidefinida</w:t>
      </w:r>
      <w:r>
        <w:t xml:space="preserve">.</w:t>
      </w:r>
    </w:p>
    <w:p>
      <w:pPr>
        <w:numPr>
          <w:ilvl w:val="0"/>
          <w:numId w:val="1260"/>
        </w:numPr>
      </w:pPr>
      <w:r>
        <w:t xml:space="preserve">Mostre que</w:t>
      </w:r>
      <w:r>
        <w:t xml:space="preserve"> </w:t>
      </w:r>
      <m:oMath>
        <m:r>
          <m:rPr>
            <m:sty m:val="bi"/>
          </m:rPr>
          <m:t>S</m:t>
        </m:r>
        <m:r>
          <m:rPr>
            <m:sty m:val="bi"/>
          </m:rPr>
          <m:t>p</m:t>
        </m:r>
        <m:r>
          <m:rPr>
            <m:sty m:val="p"/>
          </m:rPr>
          <m:t>=</m:t>
        </m:r>
        <m:r>
          <m:rPr>
            <m:sty m:val="b"/>
          </m:rPr>
          <m:t>0</m:t>
        </m:r>
      </m:oMath>
      <w:r>
        <w:t xml:space="preserve">, ou seja, o vetor de preços está no núcleo da matriz de Slutsky. Interprete economicamente.</w:t>
      </w:r>
    </w:p>
    <w:p>
      <w:pPr>
        <w:pStyle w:val="FirstParagraph"/>
      </w:pPr>
      <w:r>
        <w:t xml:space="preserve">Ver solução (Cap. 5)</w:t>
      </w:r>
    </w:p>
    <w:p>
      <w:r>
        <w:pict>
          <v:rect style="width:0;height:1.5pt" o:hralign="center" o:hrstd="t" o:hr="t"/>
        </w:pict>
      </w:r>
    </w:p>
    <w:bookmarkEnd w:id="274"/>
    <w:bookmarkStart w:id="275" w:name="vem-anpec-3"/>
    <w:p>
      <w:pPr>
        <w:pStyle w:val="Heading3"/>
      </w:pPr>
      <w:r>
        <w:t xml:space="preserve">Vem, ANPEC!</w:t>
      </w:r>
    </w:p>
    <w:p>
      <w:pPr>
        <w:pStyle w:val="BlockText"/>
      </w:pPr>
      <w:r>
        <w:rPr>
          <w:b/>
          <w:bCs/>
        </w:rPr>
        <w:t xml:space="preserve">[QUESTAO] ANPEC 2010 — Questão 03</w:t>
      </w:r>
    </w:p>
    <w:p>
      <w:pPr>
        <w:pStyle w:val="BlockText"/>
      </w:pPr>
      <w:r>
        <w:t xml:space="preserve">Com relação à classificação dos bens (em normal, de luxo, necessário, inferior, comum e de Giffen) e às demandas por esses bens, julgue as questões a seguir:</w:t>
      </w:r>
    </w:p>
    <w:p>
      <w:pPr>
        <w:pStyle w:val="BlockText"/>
      </w:pPr>
      <w:r>
        <w:rPr>
          <w:b/>
          <w:bCs/>
        </w:rPr>
        <w:t xml:space="preserve">Itens:</w:t>
      </w:r>
      <w:r>
        <w:t xml:space="preserve"> </w:t>
      </w:r>
      <w:r>
        <w:t xml:space="preserve">(marque 0 para Falso, 1 para Verdadeiro)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Se um bem é normal, então ele não pode ser um bem de Giffen.</w:t>
            </w:r>
          </w:p>
        </w:tc>
      </w:tr>
      <w:tr>
        <w:tc>
          <w:tcPr/>
          <w:p>
            <w:pPr>
              <w:pStyle w:val="Compact"/>
            </w:pPr>
            <w:r>
              <w:t xml:space="preserve">1</w:t>
            </w:r>
          </w:p>
        </w:tc>
        <w:tc>
          <w:tcPr/>
          <w:p>
            <w:pPr>
              <w:pStyle w:val="Compact"/>
            </w:pPr>
            <w:r>
              <w:t xml:space="preserve">Se um bem é de Giffen, então ele deve ser um bem inferior.</w:t>
            </w:r>
          </w:p>
        </w:tc>
      </w:tr>
      <w:tr>
        <w:tc>
          <w:tcPr/>
          <w:p>
            <w:pPr>
              <w:pStyle w:val="Compact"/>
            </w:pPr>
            <w:r>
              <w:t xml:space="preserve">2</w:t>
            </w:r>
          </w:p>
        </w:tc>
        <w:tc>
          <w:tcPr/>
          <w:p>
            <w:pPr>
              <w:pStyle w:val="Compact"/>
            </w:pPr>
            <w:r>
              <w:t xml:space="preserve">Suponha que existam apenas dois bens, cujas demandas são denotadas por</w:t>
            </w:r>
            <w:r>
              <w:t xml:space="preserve"> </w:t>
            </w:r>
            <m:oMath>
              <m:r>
                <m:t>x</m:t>
              </m:r>
            </m:oMath>
            <w:r>
              <w:t xml:space="preserve"> </w:t>
            </w:r>
            <w:r>
              <w:t xml:space="preserve">e</w:t>
            </w:r>
            <w:r>
              <w:t xml:space="preserve"> </w:t>
            </w:r>
            <m:oMath>
              <m:r>
                <m:t>y</m:t>
              </m:r>
            </m:oMath>
            <w:r>
              <w:t xml:space="preserve">. Se</w:t>
            </w:r>
            <w:r>
              <w:t xml:space="preserve"> </w:t>
            </w:r>
            <m:oMath>
              <m:r>
                <m:t>x</m:t>
              </m:r>
            </m:oMath>
            <w:r>
              <w:t xml:space="preserve"> </w:t>
            </w:r>
            <w:r>
              <w:t xml:space="preserve">apresenta elasticidade-renda unitária e o consumidor gasta uma fração positiva de sua renda em cada bem, então</w:t>
            </w:r>
            <w:r>
              <w:t xml:space="preserve"> </w:t>
            </w:r>
            <m:oMath>
              <m:r>
                <m:t>y</m:t>
              </m:r>
            </m:oMath>
            <w:r>
              <w:t xml:space="preserve"> </w:t>
            </w:r>
            <w:r>
              <w:t xml:space="preserve">também apresenta elasticidade-renda unitária.</w:t>
            </w:r>
          </w:p>
        </w:tc>
      </w:tr>
      <w:tr>
        <w:tc>
          <w:tcPr/>
          <w:p>
            <w:pPr>
              <w:pStyle w:val="Compact"/>
            </w:pPr>
            <w:r>
              <w:t xml:space="preserve">3</w:t>
            </w:r>
          </w:p>
        </w:tc>
        <w:tc>
          <w:tcPr/>
          <w:p>
            <w:pPr>
              <w:pStyle w:val="Compact"/>
            </w:pPr>
            <w:r>
              <w:t xml:space="preserve">Suponha que existam apenas dois bens, 1 e 2. Suponha ainda que o bem 1 é um bem comum e que sua demanda é elástica relativamente ao seu próprio preço. Se o bem 1 é um complementar bruto do bem 2, então o bem 1 é um bem normal necessário.</w:t>
            </w:r>
          </w:p>
        </w:tc>
      </w:tr>
      <w:tr>
        <w:tc>
          <w:tcPr/>
          <w:p>
            <w:pPr>
              <w:pStyle w:val="Compact"/>
            </w:pPr>
            <w:r>
              <w:t xml:space="preserve">4</w:t>
            </w:r>
          </w:p>
        </w:tc>
        <w:tc>
          <w:tcPr/>
          <w:p>
            <w:pPr>
              <w:pStyle w:val="Compact"/>
            </w:pPr>
            <w:r>
              <w:t xml:space="preserve">Suponha que existam apenas dois bens, 1 e 2. Suponha ainda que o consumidor gasta metade de sua renda em cada bem e que o bem 1 é um bem normal de luxo, com elasticidade-renda estritamente maior que 2. Então o bem 2 deve ser um bem inferior.</w:t>
            </w:r>
          </w:p>
        </w:tc>
      </w:tr>
    </w:tbl>
    <w:p>
      <w:pPr>
        <w:pStyle w:val="BlockText"/>
      </w:pPr>
      <w:r>
        <w:t xml:space="preserve">??? success</w:t>
      </w:r>
      <w:r>
        <w:t xml:space="preserve"> </w:t>
      </w:r>
      <w:r>
        <w:t xml:space="preserve">“Gabarito”</w:t>
      </w:r>
      <w:r>
        <w:t xml:space="preserve"> </w:t>
      </w:r>
      <w:r>
        <w:rPr>
          <w:b/>
          <w:bCs/>
        </w:rPr>
        <w:t xml:space="preserve">Respostas: 11001</w:t>
      </w:r>
    </w:p>
    <w:p>
      <w:pPr>
        <w:pStyle w:val="SourceCode"/>
      </w:pPr>
      <w:r>
        <w:rPr>
          <w:rStyle w:val="VerbatimChar"/>
        </w:rPr>
        <w:t xml:space="preserve">**Justificativa por item:**</w:t>
      </w:r>
      <w:r>
        <w:br/>
      </w:r>
      <w:r>
        <w:br/>
      </w:r>
      <w:r>
        <w:rPr>
          <w:rStyle w:val="VerbatimChar"/>
        </w:rPr>
        <w:t xml:space="preserve">- **Item 0 — V:** Pela Equação de Slutsky, $\frac{\partial x}{\partial p} = \underbrace{\frac{\partial h}{\partial p}}_{\leq 0} - x \underbrace{\frac{\partial x}{\partial I}}_{&gt; 0 \text{ (normal)}}$. Ambos os termos são não-positivos, logo $\frac{\partial x}{\partial p} \leq 0$ — impossível ser Giffen.</w:t>
      </w:r>
      <w:r>
        <w:br/>
      </w:r>
      <w:r>
        <w:br/>
      </w:r>
      <w:r>
        <w:rPr>
          <w:rStyle w:val="VerbatimChar"/>
        </w:rPr>
        <w:t xml:space="preserve">- **Item 1 — V:** Pela Equação de Slutsky, se $\frac{\partial x}{\partial p} &gt; 0$ (Giffen), dado que $\frac{\partial h}{\partial p} \leq 0$, é necessário que $-x \frac{\partial x}{\partial I} &gt; 0$, ou seja, $\frac{\partial x}{\partial I} &lt; 0$: o bem é inferior.</w:t>
      </w:r>
      <w:r>
        <w:br/>
      </w:r>
      <w:r>
        <w:br/>
      </w:r>
      <w:r>
        <w:rPr>
          <w:rStyle w:val="VerbatimChar"/>
        </w:rPr>
        <w:t xml:space="preserve">- **Item 2 — V:** Pela Agregação de Engel: $w_x \varepsilon_{x,I} + w_y \varepsilon_{y,I} = 1$. Com $\varepsilon_{x,I} = 1$: $w_x + w_y \varepsilon_{y,I} = 1$. Como $w_x + w_y = 1$, segue que $w_y \varepsilon_{y,I} = w_y$, logo $\varepsilon_{y,I} = 1$.</w:t>
      </w:r>
      <w:r>
        <w:br/>
      </w:r>
      <w:r>
        <w:br/>
      </w:r>
      <w:r>
        <w:rPr>
          <w:rStyle w:val="VerbatimChar"/>
        </w:rPr>
        <w:t xml:space="preserve">- **Item 3 — F:** Pela Condição de Homogeneidade: $\varepsilon_{1,p_1} + \varepsilon_{1,p_2} + \varepsilon_{1,I} = 0$. O bem 1 é comum ($\varepsilon_{1,p_1} &lt; 0$) e elástico ($\varepsilon_{1,p_1} &lt; -1$). É complementar bruto de 2 ($\varepsilon_{1,p_2} &lt; 0$). Então $\varepsilon_{1,I} = -(\varepsilon_{1,p_1} + \varepsilon_{1,p_2}) &gt; 1$. O bem 1 é de **luxo** (não necessidade).</w:t>
      </w:r>
      <w:r>
        <w:br/>
      </w:r>
      <w:r>
        <w:br/>
      </w:r>
      <w:r>
        <w:rPr>
          <w:rStyle w:val="VerbatimChar"/>
        </w:rPr>
        <w:t xml:space="preserve">- **Item 4 — V:** Pela Agregação de Engel: $0{,}5 \cdot \varepsilon_{1,I} + 0{,}5 \cdot \varepsilon_{2,I} = 1$, logo $\varepsilon_{1,I} + \varepsilon_{2,I} = 2$. Se $\varepsilon_{1,I} &gt; 2$, então $\varepsilon_{2,I} &lt; 0$: o bem 2 é inferior.</w:t>
      </w:r>
    </w:p>
    <w:p>
      <w:pPr>
        <w:pStyle w:val="BlockText"/>
      </w:pPr>
      <w:r>
        <w:rPr>
          <w:b/>
          <w:bCs/>
        </w:rPr>
        <w:t xml:space="preserve">[QUESTAO] ANPEC 2017 — Questão 04</w:t>
      </w:r>
    </w:p>
    <w:p>
      <w:pPr>
        <w:pStyle w:val="BlockText"/>
      </w:pPr>
      <w:r>
        <w:t xml:space="preserve">Um consumidor, cuja função utilidade é dada por</w:t>
      </w:r>
      <w:r>
        <w:t xml:space="preserve"> </w:t>
      </w:r>
      <m:oMath>
        <m:r>
          <m:t>U</m:t>
        </m:r>
        <m:r>
          <m:rPr>
            <m:sty m:val="p"/>
          </m:rPr>
          <m:t>(</m:t>
        </m:r>
        <m:r>
          <m:t>x</m:t>
        </m:r>
        <m:r>
          <m:rPr>
            <m:sty m:val="p"/>
          </m:rPr>
          <m:t>,</m:t>
        </m:r>
        <m:r>
          <m:t>y</m:t>
        </m:r>
        <m:r>
          <m:rPr>
            <m:sty m:val="p"/>
          </m:rPr>
          <m:t>)</m:t>
        </m:r>
        <m:r>
          <m:rPr>
            <m:sty m:val="p"/>
          </m:rPr>
          <m:t>=</m:t>
        </m:r>
        <m:rad>
          <m:radPr>
            <m:degHide m:val="on"/>
          </m:radPr>
          <m:deg/>
          <m:e>
            <m:r>
              <m:t>x</m:t>
            </m:r>
          </m:e>
        </m:rad>
        <m:r>
          <m:rPr>
            <m:sty m:val="p"/>
          </m:rPr>
          <m:t>+</m:t>
        </m:r>
        <m:r>
          <m:t>y</m:t>
        </m:r>
      </m:oMath>
      <w:r>
        <w:t xml:space="preserve">, possui renda</w:t>
      </w:r>
      <w:r>
        <w:t xml:space="preserve"> </w:t>
      </w:r>
      <m:oMath>
        <m:r>
          <m:t>R</m:t>
        </m:r>
        <m:r>
          <m:rPr>
            <m:sty m:val="p"/>
          </m:rPr>
          <m:t>=</m:t>
        </m:r>
        <m:r>
          <m:rPr>
            <m:sty m:val="p"/>
          </m:rPr>
          <m:t>$</m:t>
        </m:r>
        <m:r>
          <m:t>2</m:t>
        </m:r>
        <m:r>
          <m:rPr>
            <m:sty m:val="p"/>
          </m:rPr>
          <m:t>,</m:t>
        </m:r>
        <m:r>
          <m:t>50</m:t>
        </m:r>
      </m:oMath>
      <w:r>
        <w:t xml:space="preserve">. O preço do bem</w:t>
      </w:r>
      <w:r>
        <w:t xml:space="preserve"> </w:t>
      </w:r>
      <m:oMath>
        <m:r>
          <m:t>y</m:t>
        </m:r>
      </m:oMath>
      <w:r>
        <w:t xml:space="preserve"> </w:t>
      </w:r>
      <w:r>
        <w:t xml:space="preserve">é unitário e</w:t>
      </w:r>
      <w:r>
        <w:t xml:space="preserve"> </w:t>
      </w:r>
      <m:oMath>
        <m:r>
          <m:t>P</m:t>
        </m:r>
      </m:oMath>
      <w:r>
        <w:t xml:space="preserve"> </w:t>
      </w:r>
      <w:r>
        <w:t xml:space="preserve">representa o preço de</w:t>
      </w:r>
      <w:r>
        <w:t xml:space="preserve"> </w:t>
      </w:r>
      <m:oMath>
        <m:r>
          <m:t>x</m:t>
        </m:r>
      </m:oMath>
      <w:r>
        <w:t xml:space="preserve">. O preço</w:t>
      </w:r>
      <w:r>
        <w:t xml:space="preserve"> </w:t>
      </w:r>
      <m:oMath>
        <m:r>
          <m:t>P</m:t>
        </m:r>
      </m:oMath>
      <w:r>
        <w:t xml:space="preserve"> </w:t>
      </w:r>
      <w:r>
        <w:t xml:space="preserve">inicialmente é vinte e cinco centavos e passa em um segundo momento para cinquenta centavos. Avalie as proposições:</w:t>
      </w:r>
    </w:p>
    <w:p>
      <w:pPr>
        <w:pStyle w:val="BlockText"/>
      </w:pPr>
      <w:r>
        <w:rPr>
          <w:b/>
          <w:bCs/>
        </w:rPr>
        <w:t xml:space="preserve">Itens:</w:t>
      </w:r>
      <w:r>
        <w:t xml:space="preserve"> </w:t>
      </w:r>
      <w:r>
        <w:t xml:space="preserve">(marque 0 para Falso, 1 para Verdadeiro)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Na situação inicial o consumidor alcança utilidade</w:t>
            </w:r>
            <w:r>
              <w:t xml:space="preserve"> </w:t>
            </w:r>
            <m:oMath>
              <m:r>
                <m:t>U</m:t>
              </m:r>
              <m:r>
                <m:rPr>
                  <m:sty m:val="p"/>
                </m:rPr>
                <m:t>=</m:t>
              </m:r>
              <m:r>
                <m:t>3</m:t>
              </m:r>
            </m:oMath>
            <w:r>
              <w:t xml:space="preserve">.</w:t>
            </w:r>
          </w:p>
        </w:tc>
      </w:tr>
      <w:tr>
        <w:tc>
          <w:tcPr/>
          <w:p>
            <w:pPr>
              <w:pStyle w:val="Compact"/>
            </w:pPr>
            <w:r>
              <w:t xml:space="preserve">1</w:t>
            </w:r>
          </w:p>
        </w:tc>
        <w:tc>
          <w:tcPr/>
          <w:p>
            <w:pPr>
              <w:pStyle w:val="Compact"/>
            </w:pPr>
            <w:r>
              <w:t xml:space="preserve">No segundo momento a cesta consumida será</w:t>
            </w:r>
            <w:r>
              <w:t xml:space="preserve"> </w:t>
            </w:r>
            <m:oMath>
              <m:r>
                <m:rPr>
                  <m:sty m:val="p"/>
                </m:rPr>
                <m:t>(</m:t>
              </m:r>
              <m:r>
                <m:t>x</m:t>
              </m:r>
              <m:r>
                <m:rPr>
                  <m:sty m:val="p"/>
                </m:rPr>
                <m:t>,</m:t>
              </m:r>
              <m:r>
                <m:t>y</m:t>
              </m:r>
              <m:r>
                <m:rPr>
                  <m:sty m:val="p"/>
                </m:rPr>
                <m:t>)</m:t>
              </m:r>
              <m:r>
                <m:rPr>
                  <m:sty m:val="p"/>
                </m:rPr>
                <m:t>=</m:t>
              </m:r>
              <m:r>
                <m:rPr>
                  <m:sty m:val="p"/>
                </m:rPr>
                <m:t>(</m:t>
              </m:r>
              <m:r>
                <m:t>1</m:t>
              </m:r>
              <m:r>
                <m:rPr>
                  <m:sty m:val="p"/>
                </m:rPr>
                <m:t>,</m:t>
              </m:r>
              <m:r>
                <m:t>3</m:t>
              </m:r>
              <m:r>
                <m:rPr>
                  <m:sty m:val="p"/>
                </m:rPr>
                <m:t>)</m:t>
              </m:r>
            </m:oMath>
            <w:r>
              <w:t xml:space="preserve">.</w:t>
            </w:r>
          </w:p>
        </w:tc>
      </w:tr>
      <w:tr>
        <w:tc>
          <w:tcPr/>
          <w:p>
            <w:pPr>
              <w:pStyle w:val="Compact"/>
            </w:pPr>
            <w:r>
              <w:t xml:space="preserve">2</w:t>
            </w:r>
          </w:p>
        </w:tc>
        <w:tc>
          <w:tcPr/>
          <w:p>
            <w:pPr>
              <w:pStyle w:val="Compact"/>
            </w:pPr>
            <w:r>
              <w:t xml:space="preserve">A variação compensadora (VC) é igual a vinte e cinco centavos, que devem ser dados ao consumidor após a mudança no preço.</w:t>
            </w:r>
          </w:p>
        </w:tc>
      </w:tr>
      <w:tr>
        <w:tc>
          <w:tcPr/>
          <w:p>
            <w:pPr>
              <w:pStyle w:val="Compact"/>
            </w:pPr>
            <w:r>
              <w:t xml:space="preserve">3</w:t>
            </w:r>
          </w:p>
        </w:tc>
        <w:tc>
          <w:tcPr/>
          <w:p>
            <w:pPr>
              <w:pStyle w:val="Compact"/>
            </w:pPr>
            <w:r>
              <w:t xml:space="preserve">A variação equivalente (VE) requer que se tire dinheiro do consumidor antes da variação no preço para que, neste caso, a utilidade se reduza em meia unidade.</w:t>
            </w:r>
          </w:p>
        </w:tc>
      </w:tr>
      <w:tr>
        <w:tc>
          <w:tcPr/>
          <w:p>
            <w:pPr>
              <w:pStyle w:val="Compact"/>
            </w:pPr>
            <w:r>
              <w:t xml:space="preserve">4</w:t>
            </w:r>
          </w:p>
        </w:tc>
        <w:tc>
          <w:tcPr/>
          <w:p>
            <w:pPr>
              <w:pStyle w:val="Compact"/>
            </w:pPr>
            <w:r>
              <w:t xml:space="preserve">Neste caso, as variações compensadora e equivalente são iguais ao excedente do consumidor.</w:t>
            </w:r>
          </w:p>
        </w:tc>
      </w:tr>
    </w:tbl>
    <w:p>
      <w:pPr>
        <w:pStyle w:val="BlockText"/>
      </w:pPr>
      <w:r>
        <w:t xml:space="preserve">??? success</w:t>
      </w:r>
      <w:r>
        <w:t xml:space="preserve"> </w:t>
      </w:r>
      <w:r>
        <w:t xml:space="preserve">“Gabarito”</w:t>
      </w:r>
      <w:r>
        <w:t xml:space="preserve"> </w:t>
      </w:r>
      <w:r>
        <w:rPr>
          <w:b/>
          <w:bCs/>
        </w:rPr>
        <w:t xml:space="preserve">Respostas: 00011</w:t>
      </w:r>
    </w:p>
    <w:p>
      <w:pPr>
        <w:pStyle w:val="SourceCode"/>
      </w:pPr>
      <w:r>
        <w:rPr>
          <w:rStyle w:val="VerbatimChar"/>
        </w:rPr>
        <w:t xml:space="preserve">**Justificativa por item:**</w:t>
      </w:r>
      <w:r>
        <w:br/>
      </w:r>
      <w:r>
        <w:br/>
      </w:r>
      <w:r>
        <w:rPr>
          <w:rStyle w:val="VerbatimChar"/>
        </w:rPr>
        <w:t xml:space="preserve">- **Item 0 — F:** CPO: $\frac{1}{2\sqrt{x}} = P$, logo $x = \frac{1}{4P^2}$. Com $P_0 = 0{,}25$: $x_0 = \frac{1}{4 \times 0{,}0625} = 4$, $y_0 = 2{,}5 - 0{,}25 \times 4 = 1{,}5$. $U_0 = \sqrt{4} + 1{,}5 = 2 + 1{,}5 = 3{,}5$. Não é 3.</w:t>
      </w:r>
      <w:r>
        <w:br/>
      </w:r>
      <w:r>
        <w:br/>
      </w:r>
      <w:r>
        <w:rPr>
          <w:rStyle w:val="VerbatimChar"/>
        </w:rPr>
        <w:t xml:space="preserve">- **Item 1 — F:** Com $P_1 = 0{,}50$: $x_1 = \frac{1}{4 \times 0{,}25} = 1$, $y_1 = 2{,}5 - 0{,}5 \times 1 = 2{,}0$. A cesta é $(1; 2)$, não $(1; 3)$.</w:t>
      </w:r>
      <w:r>
        <w:br/>
      </w:r>
      <w:r>
        <w:br/>
      </w:r>
      <w:r>
        <w:rPr>
          <w:rStyle w:val="VerbatimChar"/>
        </w:rPr>
        <w:t xml:space="preserve">- **Item 2 — F:** Função dispêndio (quase-linear): $E(P, \bar{U}) = \bar{U} - \frac{1}{4P}$. $VC = E(P_1, U_0) - R = (3{,}5 - 0{,}5) - 2{,}5 = 0{,}5$, não 0,25.</w:t>
      </w:r>
      <w:r>
        <w:br/>
      </w:r>
      <w:r>
        <w:br/>
      </w:r>
      <w:r>
        <w:rPr>
          <w:rStyle w:val="VerbatimChar"/>
        </w:rPr>
        <w:t xml:space="preserve">- **Item 3 — V:** $VE = R - E(P_0, U_1) = 2{,}5 - (3{,}0 - 1) = 0{,}5$. A utilidade original era 3,5 e a final é 3,0 — uma redução de meia unidade. Tirar $\$0{,}50$ do consumidor aos preços iniciais produz utilidade $3{,}5 - 0{,}5 = 3{,}0 = U_1$. ✓</w:t>
      </w:r>
      <w:r>
        <w:br/>
      </w:r>
      <w:r>
        <w:br/>
      </w:r>
      <w:r>
        <w:rPr>
          <w:rStyle w:val="VerbatimChar"/>
        </w:rPr>
        <w:t xml:space="preserve">- **Item 4 — V:** Para utilidade quase-linear, $VC = VE = \Delta EC$. Neste caso, $\Delta EC = \int_{0{,}25}^{0{,}50} \frac{1}{4P^2}\,dP = \left[-\frac{1}{4P}\right]_{0{,}25}^{0{,}50} = (-0{,}5) - (-1) = 0{,}5$. As três medidas coincidem em $\$0{,}50$. ✓</w:t>
      </w:r>
    </w:p>
    <w:p>
      <w:pPr>
        <w:pStyle w:val="BlockText"/>
      </w:pPr>
      <w:r>
        <w:rPr>
          <w:b/>
          <w:bCs/>
        </w:rPr>
        <w:t xml:space="preserve">[QUESTAO] ANPEC 2025 — Questão 08</w:t>
      </w:r>
    </w:p>
    <w:p>
      <w:pPr>
        <w:pStyle w:val="BlockText"/>
      </w:pPr>
      <w:r>
        <w:t xml:space="preserve">Considere uma utilidade</w:t>
      </w:r>
      <w:r>
        <w:t xml:space="preserve"> </w:t>
      </w:r>
      <m:oMath>
        <m:r>
          <m:t>U</m:t>
        </m:r>
        <m:r>
          <m:rPr>
            <m:sty m:val="p"/>
          </m:rPr>
          <m:t>(</m:t>
        </m:r>
        <m:r>
          <m:t>X</m:t>
        </m:r>
        <m:r>
          <m:rPr>
            <m:sty m:val="p"/>
          </m:rPr>
          <m:t>,</m:t>
        </m:r>
        <m:r>
          <m:t>Y</m:t>
        </m:r>
        <m:r>
          <m:rPr>
            <m:sty m:val="p"/>
          </m:rPr>
          <m:t>)</m:t>
        </m:r>
        <m:r>
          <m:rPr>
            <m:sty m:val="p"/>
          </m:rPr>
          <m:t>=</m:t>
        </m:r>
        <m:rad>
          <m:radPr>
            <m:degHide m:val="on"/>
          </m:radPr>
          <m:deg/>
          <m:e>
            <m:r>
              <m:t>X</m:t>
            </m:r>
            <m:r>
              <m:t>Y</m:t>
            </m:r>
          </m:e>
        </m:rad>
      </m:oMath>
      <w:r>
        <w:t xml:space="preserve">,</w:t>
      </w:r>
      <w:r>
        <w:t xml:space="preserve"> </w:t>
      </w:r>
      <m:oMath>
        <m:sSub>
          <m:e>
            <m:r>
              <m:t>p</m:t>
            </m:r>
          </m:e>
          <m:sub>
            <m:r>
              <m:t>0</m:t>
            </m:r>
          </m:sub>
        </m:sSub>
        <m:r>
          <m:rPr>
            <m:sty m:val="p"/>
          </m:rPr>
          <m:t>=</m:t>
        </m:r>
        <m:r>
          <m:rPr>
            <m:sty m:val="p"/>
          </m:rPr>
          <m:t>$</m:t>
        </m:r>
        <m:r>
          <m:t>9</m:t>
        </m:r>
      </m:oMath>
      <w:r>
        <w:t xml:space="preserve"> </w:t>
      </w:r>
      <w:r>
        <w:t xml:space="preserve">o preço inicial de</w:t>
      </w:r>
      <w:r>
        <w:t xml:space="preserve"> </w:t>
      </w:r>
      <m:oMath>
        <m:r>
          <m:t>X</m:t>
        </m:r>
      </m:oMath>
      <w:r>
        <w:t xml:space="preserve">,</w:t>
      </w:r>
      <w:r>
        <w:t xml:space="preserve"> </w:t>
      </w:r>
      <m:oMath>
        <m:sSub>
          <m:e>
            <m:r>
              <m:t>q</m:t>
            </m:r>
          </m:e>
          <m:sub>
            <m:r>
              <m:t>0</m:t>
            </m:r>
          </m:sub>
        </m:sSub>
        <m:r>
          <m:rPr>
            <m:sty m:val="p"/>
          </m:rPr>
          <m:t>=</m:t>
        </m:r>
        <m:r>
          <m:rPr>
            <m:sty m:val="p"/>
          </m:rPr>
          <m:t>$</m:t>
        </m:r>
        <m:r>
          <m:t>1</m:t>
        </m:r>
      </m:oMath>
      <w:r>
        <w:t xml:space="preserve"> </w:t>
      </w:r>
      <w:r>
        <w:t xml:space="preserve">o preço inicial de</w:t>
      </w:r>
      <w:r>
        <w:t xml:space="preserve"> </w:t>
      </w:r>
      <m:oMath>
        <m:r>
          <m:t>Y</m:t>
        </m:r>
      </m:oMath>
      <w:r>
        <w:t xml:space="preserve"> </w:t>
      </w:r>
      <w:r>
        <w:t xml:space="preserve">e</w:t>
      </w:r>
      <w:r>
        <w:t xml:space="preserve"> </w:t>
      </w:r>
      <m:oMath>
        <m:sSub>
          <m:e>
            <m:r>
              <m:t>r</m:t>
            </m:r>
          </m:e>
          <m:sub>
            <m:r>
              <m:t>0</m:t>
            </m:r>
          </m:sub>
        </m:sSub>
        <m:r>
          <m:rPr>
            <m:sty m:val="p"/>
          </m:rPr>
          <m:t>=</m:t>
        </m:r>
        <m:r>
          <m:rPr>
            <m:sty m:val="p"/>
          </m:rPr>
          <m:t>$</m:t>
        </m:r>
        <m:r>
          <m:t>576</m:t>
        </m:r>
      </m:oMath>
      <w:r>
        <w:t xml:space="preserve"> </w:t>
      </w:r>
      <w:r>
        <w:t xml:space="preserve">a renda do indivíduo. Posteriormente, o preço de</w:t>
      </w:r>
      <w:r>
        <w:t xml:space="preserve"> </w:t>
      </w:r>
      <m:oMath>
        <m:r>
          <m:t>X</m:t>
        </m:r>
      </m:oMath>
      <w:r>
        <w:t xml:space="preserve"> </w:t>
      </w:r>
      <w:r>
        <w:t xml:space="preserve">sobe para</w:t>
      </w:r>
      <w:r>
        <w:t xml:space="preserve"> </w:t>
      </w:r>
      <m:oMath>
        <m:sSub>
          <m:e>
            <m:r>
              <m:t>p</m:t>
            </m:r>
          </m:e>
          <m:sub>
            <m:r>
              <m:t>1</m:t>
            </m:r>
          </m:sub>
        </m:sSub>
        <m:r>
          <m:rPr>
            <m:sty m:val="p"/>
          </m:rPr>
          <m:t>=</m:t>
        </m:r>
        <m:r>
          <m:rPr>
            <m:sty m:val="p"/>
          </m:rPr>
          <m:t>$</m:t>
        </m:r>
        <m:r>
          <m:t>16</m:t>
        </m:r>
      </m:oMath>
      <w:r>
        <w:t xml:space="preserve">. Esta questão trata da decomposição de Slutsky e, em particular, do efeito-preço de Slutsky, mas trata também do chamado efeito-preço puro, no sentido de Gary Becker. O efeito-preço puro é determinado do seguinte modo: dada a mudança de preço do bem</w:t>
      </w:r>
      <w:r>
        <w:t xml:space="preserve"> </w:t>
      </w:r>
      <m:oMath>
        <m:r>
          <m:t>X</m:t>
        </m:r>
      </m:oMath>
      <w:r>
        <w:t xml:space="preserve">, considera-se o incremento de renda precisamente suficiente para tornar factível novamente a cesta marshalliana inicial; sob essa nova linha orçamentária, determina-se a demanda marshalliana</w:t>
      </w:r>
      <w:r>
        <w:t xml:space="preserve"> </w:t>
      </w:r>
      <m:oMath>
        <m:sSub>
          <m:e>
            <m:r>
              <m:t>X</m:t>
            </m:r>
          </m:e>
          <m:sub>
            <m:r>
              <m:t>b</m:t>
            </m:r>
          </m:sub>
        </m:sSub>
      </m:oMath>
      <w:r>
        <w:t xml:space="preserve"> </w:t>
      </w:r>
      <w:r>
        <w:t xml:space="preserve">pelo bem</w:t>
      </w:r>
      <w:r>
        <w:t xml:space="preserve"> </w:t>
      </w:r>
      <m:oMath>
        <m:r>
          <m:t>X</m:t>
        </m:r>
      </m:oMath>
      <w:r>
        <w:t xml:space="preserve">; se</w:t>
      </w:r>
      <w:r>
        <w:t xml:space="preserve"> </w:t>
      </w:r>
      <m:oMath>
        <m:sSub>
          <m:e>
            <m:r>
              <m:t>X</m:t>
            </m:r>
          </m:e>
          <m:sub>
            <m:r>
              <m:t>0</m:t>
            </m:r>
          </m:sub>
        </m:sSub>
      </m:oMath>
      <w:r>
        <w:t xml:space="preserve"> </w:t>
      </w:r>
      <w:r>
        <w:t xml:space="preserve">denota a demanda marshalliana inicial, então o efeito-preço puro é</w:t>
      </w:r>
      <w:r>
        <w:t xml:space="preserve"> </w:t>
      </w:r>
      <m:oMath>
        <m:r>
          <m:t>E</m:t>
        </m:r>
        <m:sSub>
          <m:e>
            <m:r>
              <m:t>P</m:t>
            </m:r>
          </m:e>
          <m:sub>
            <m:r>
              <m:rPr>
                <m:nor/>
                <m:sty m:val="p"/>
              </m:rPr>
              <m:t>puro</m:t>
            </m:r>
          </m:sub>
        </m:sSub>
        <m:r>
          <m:rPr>
            <m:sty m:val="p"/>
          </m:rPr>
          <m:t>=</m:t>
        </m:r>
        <m:sSub>
          <m:e>
            <m:r>
              <m:t>X</m:t>
            </m:r>
          </m:e>
          <m:sub>
            <m:r>
              <m:t>b</m:t>
            </m:r>
          </m:sub>
        </m:sSub>
        <m:r>
          <m:rPr>
            <m:sty m:val="p"/>
          </m:rPr>
          <m:t>−</m:t>
        </m:r>
        <m:sSub>
          <m:e>
            <m:r>
              <m:t>X</m:t>
            </m:r>
          </m:e>
          <m:sub>
            <m:r>
              <m:t>0</m:t>
            </m:r>
          </m:sub>
        </m:sSub>
      </m:oMath>
      <w:r>
        <w:t xml:space="preserve">. Julgue:</w:t>
      </w:r>
    </w:p>
    <w:p>
      <w:pPr>
        <w:pStyle w:val="BlockText"/>
      </w:pPr>
      <w:r>
        <w:rPr>
          <w:b/>
          <w:bCs/>
        </w:rPr>
        <w:t xml:space="preserve">Itens:</w:t>
      </w:r>
      <w:r>
        <w:t xml:space="preserve"> </w:t>
      </w:r>
      <w:r>
        <w:t xml:space="preserve">(marque 0 para Falso, 1 para Verdadeiro)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A demanda marshalliana inicial é</w:t>
            </w:r>
            <w:r>
              <w:t xml:space="preserve"> </w:t>
            </w:r>
            <m:oMath>
              <m:r>
                <m:rPr>
                  <m:sty m:val="p"/>
                </m:rPr>
                <m:t>(</m:t>
              </m:r>
              <m:sSub>
                <m:e>
                  <m:r>
                    <m:t>X</m:t>
                  </m:r>
                </m:e>
                <m:sub>
                  <m:r>
                    <m:t>0</m:t>
                  </m:r>
                </m:sub>
              </m:sSub>
              <m:r>
                <m:rPr>
                  <m:sty m:val="p"/>
                </m:rPr>
                <m:t>,</m:t>
              </m:r>
              <m:sSub>
                <m:e>
                  <m:r>
                    <m:t>Y</m:t>
                  </m:r>
                </m:e>
                <m:sub>
                  <m:r>
                    <m:t>0</m:t>
                  </m:r>
                </m:sub>
              </m:sSub>
              <m:r>
                <m:rPr>
                  <m:sty m:val="p"/>
                </m:rPr>
                <m:t>)</m:t>
              </m:r>
              <m:r>
                <m:rPr>
                  <m:sty m:val="p"/>
                </m:rPr>
                <m:t>=</m:t>
              </m:r>
              <m:r>
                <m:rPr>
                  <m:sty m:val="p"/>
                </m:rPr>
                <m:t>(</m:t>
              </m:r>
              <m:r>
                <m:t>32</m:t>
              </m:r>
              <m:r>
                <m:rPr>
                  <m:sty m:val="p"/>
                </m:rPr>
                <m:t>,</m:t>
              </m:r>
              <m:r>
                <m:t>288</m:t>
              </m:r>
              <m:r>
                <m:rPr>
                  <m:sty m:val="p"/>
                </m:rPr>
                <m:t>)</m:t>
              </m:r>
            </m:oMath>
            <w:r>
              <w:t xml:space="preserve">.</w:t>
            </w:r>
          </w:p>
        </w:tc>
      </w:tr>
      <w:tr>
        <w:tc>
          <w:tcPr/>
          <w:p>
            <w:pPr>
              <w:pStyle w:val="Compact"/>
            </w:pPr>
            <w:r>
              <w:t xml:space="preserve">1</w:t>
            </w:r>
          </w:p>
        </w:tc>
        <w:tc>
          <w:tcPr/>
          <w:p>
            <w:pPr>
              <w:pStyle w:val="Compact"/>
            </w:pPr>
            <w:r>
              <w:t xml:space="preserve">Dada a mudança de preço, a renda necessária para o indivíduo manter o nível de utilidade anterior é</w:t>
            </w:r>
            <w:r>
              <w:t xml:space="preserve"> </w:t>
            </w:r>
            <m:oMath>
              <m:r>
                <m:rPr>
                  <m:sty m:val="p"/>
                </m:rPr>
                <m:t>$</m:t>
              </m:r>
              <m:r>
                <m:t>768</m:t>
              </m:r>
            </m:oMath>
            <w:r>
              <w:t xml:space="preserve">.</w:t>
            </w:r>
          </w:p>
        </w:tc>
      </w:tr>
      <w:tr>
        <w:tc>
          <w:tcPr/>
          <w:p>
            <w:pPr>
              <w:pStyle w:val="Compact"/>
            </w:pPr>
            <w:r>
              <w:t xml:space="preserve">2</w:t>
            </w:r>
          </w:p>
        </w:tc>
        <w:tc>
          <w:tcPr/>
          <w:p>
            <w:pPr>
              <w:pStyle w:val="Compact"/>
            </w:pPr>
            <w:r>
              <w:t xml:space="preserve">O efeito-preço de Slutsky (sobre o bem</w:t>
            </w:r>
            <w:r>
              <w:t xml:space="preserve"> </w:t>
            </w:r>
            <m:oMath>
              <m:r>
                <m:t>X</m:t>
              </m:r>
            </m:oMath>
            <w:r>
              <w:t xml:space="preserve">) decorrente da mudança de preço é</w:t>
            </w:r>
            <w:r>
              <w:t xml:space="preserve"> </w:t>
            </w:r>
            <m:oMath>
              <m:r>
                <m:t>E</m:t>
              </m:r>
              <m:r>
                <m:t>P</m:t>
              </m:r>
              <m:r>
                <m:rPr>
                  <m:sty m:val="p"/>
                </m:rPr>
                <m:t>=</m:t>
              </m:r>
              <m:r>
                <m:rPr>
                  <m:sty m:val="p"/>
                </m:rPr>
                <m:t>−</m:t>
              </m:r>
              <m:r>
                <m:t>16</m:t>
              </m:r>
            </m:oMath>
            <w:r>
              <w:t xml:space="preserve">, ou seja, uma redução de 16 unidades no consumo de</w:t>
            </w:r>
            <w:r>
              <w:t xml:space="preserve"> </w:t>
            </w:r>
            <m:oMath>
              <m:r>
                <m:t>X</m:t>
              </m:r>
            </m:oMath>
            <w:r>
              <w:t xml:space="preserve">.</w:t>
            </w:r>
          </w:p>
        </w:tc>
      </w:tr>
      <w:tr>
        <w:tc>
          <w:tcPr/>
          <w:p>
            <w:pPr>
              <w:pStyle w:val="Compact"/>
            </w:pPr>
            <w:r>
              <w:t xml:space="preserve">3</w:t>
            </w:r>
          </w:p>
        </w:tc>
        <w:tc>
          <w:tcPr/>
          <w:p>
            <w:pPr>
              <w:pStyle w:val="Compact"/>
            </w:pPr>
            <w:r>
              <w:t xml:space="preserve">O efeito-substituição de Slutsky (sobre o bem</w:t>
            </w:r>
            <w:r>
              <w:t xml:space="preserve"> </w:t>
            </w:r>
            <m:oMath>
              <m:r>
                <m:t>X</m:t>
              </m:r>
            </m:oMath>
            <w:r>
              <w:t xml:space="preserve">) é</w:t>
            </w:r>
            <w:r>
              <w:t xml:space="preserve"> </w:t>
            </w:r>
            <m:oMath>
              <m:r>
                <m:t>E</m:t>
              </m:r>
              <m:r>
                <m:t>S</m:t>
              </m:r>
              <m:r>
                <m:rPr>
                  <m:sty m:val="p"/>
                </m:rPr>
                <m:t>=</m:t>
              </m:r>
              <m:r>
                <m:rPr>
                  <m:sty m:val="p"/>
                </m:rPr>
                <m:t>−</m:t>
              </m:r>
              <m:r>
                <m:t>6</m:t>
              </m:r>
            </m:oMath>
            <w:r>
              <w:t xml:space="preserve">, ou seja, uma redução de 6 unidades no consumo de</w:t>
            </w:r>
            <w:r>
              <w:t xml:space="preserve"> </w:t>
            </w:r>
            <m:oMath>
              <m:r>
                <m:t>X</m:t>
              </m:r>
            </m:oMath>
            <w:r>
              <w:t xml:space="preserve">.</w:t>
            </w:r>
          </w:p>
        </w:tc>
      </w:tr>
      <w:tr>
        <w:tc>
          <w:tcPr/>
          <w:p>
            <w:pPr>
              <w:pStyle w:val="Compact"/>
            </w:pPr>
            <w:r>
              <w:t xml:space="preserve">4</w:t>
            </w:r>
          </w:p>
        </w:tc>
        <w:tc>
          <w:tcPr/>
          <w:p>
            <w:pPr>
              <w:pStyle w:val="Compact"/>
            </w:pPr>
            <w:r>
              <w:t xml:space="preserve">O efeito-preço puro (sobre o bem</w:t>
            </w:r>
            <w:r>
              <w:t xml:space="preserve"> </w:t>
            </w:r>
            <m:oMath>
              <m:r>
                <m:t>X</m:t>
              </m:r>
            </m:oMath>
            <w:r>
              <w:t xml:space="preserve">) é</w:t>
            </w:r>
            <w:r>
              <w:t xml:space="preserve"> </w:t>
            </w:r>
            <m:oMath>
              <m:r>
                <m:t>E</m:t>
              </m:r>
              <m:sSub>
                <m:e>
                  <m:r>
                    <m:t>P</m:t>
                  </m:r>
                </m:e>
                <m:sub>
                  <m:r>
                    <m:rPr>
                      <m:nor/>
                      <m:sty m:val="p"/>
                    </m:rPr>
                    <m:t>puro</m:t>
                  </m:r>
                </m:sub>
              </m:sSub>
              <m:r>
                <m:rPr>
                  <m:sty m:val="p"/>
                </m:rPr>
                <m:t>=</m:t>
              </m:r>
              <m:r>
                <m:rPr>
                  <m:sty m:val="p"/>
                </m:rPr>
                <m:t>−</m:t>
              </m:r>
              <m:r>
                <m:t>7</m:t>
              </m:r>
            </m:oMath>
            <w:r>
              <w:t xml:space="preserve">, ou seja, uma redução de 7 unidades no consumo de</w:t>
            </w:r>
            <w:r>
              <w:t xml:space="preserve"> </w:t>
            </w:r>
            <m:oMath>
              <m:r>
                <m:t>X</m:t>
              </m:r>
            </m:oMath>
            <w:r>
              <w:t xml:space="preserve">.</w:t>
            </w:r>
          </w:p>
        </w:tc>
      </w:tr>
    </w:tbl>
    <w:p>
      <w:pPr>
        <w:pStyle w:val="BlockText"/>
      </w:pPr>
      <w:r>
        <w:t xml:space="preserve">??? success</w:t>
      </w:r>
      <w:r>
        <w:t xml:space="preserve"> </w:t>
      </w:r>
      <w:r>
        <w:t xml:space="preserve">“Gabarito”</w:t>
      </w:r>
      <w:r>
        <w:t xml:space="preserve"> </w:t>
      </w:r>
      <w:r>
        <w:rPr>
          <w:b/>
          <w:bCs/>
        </w:rPr>
        <w:t xml:space="preserve">Respostas: 11001</w:t>
      </w:r>
    </w:p>
    <w:p>
      <w:pPr>
        <w:pStyle w:val="SourceCode"/>
      </w:pPr>
      <w:r>
        <w:rPr>
          <w:rStyle w:val="VerbatimChar"/>
        </w:rPr>
        <w:t xml:space="preserve">**Justificativa por item:**</w:t>
      </w:r>
      <w:r>
        <w:br/>
      </w:r>
      <w:r>
        <w:br/>
      </w:r>
      <w:r>
        <w:rPr>
          <w:rStyle w:val="VerbatimChar"/>
        </w:rPr>
        <w:t xml:space="preserve">- **Item 0 — V:** Para $U = \sqrt{XY}$ (Cobb-Douglas com $a = b = 1/2$): $X_0 = r/(2p_0) = 576/18 = 32$, $Y_0 = r/(2q_0) = 576/2 = 288$. ✓</w:t>
      </w:r>
      <w:r>
        <w:br/>
      </w:r>
      <w:r>
        <w:br/>
      </w:r>
      <w:r>
        <w:rPr>
          <w:rStyle w:val="VerbatimChar"/>
        </w:rPr>
        <w:t xml:space="preserve">- **Item 1 — V:** $U_0 = \sqrt{32 \times 288} = \sqrt{9216} = 96$. Função dispêndio: $E = 2U_0\sqrt{p_1 q_0} = 2 \times 96 \times \sqrt{16} = 192 \times 4 = 768$. ✓</w:t>
      </w:r>
      <w:r>
        <w:br/>
      </w:r>
      <w:r>
        <w:br/>
      </w:r>
      <w:r>
        <w:rPr>
          <w:rStyle w:val="VerbatimChar"/>
        </w:rPr>
        <w:t xml:space="preserve">- **Item 2 — F:** O efeito total (efeito-preço) é: $X_1 = r/(2p_1) = 576/32 = 18$. $EP = X_1 - X_0 = 18 - 32 = -14$, não $-16$.</w:t>
      </w:r>
      <w:r>
        <w:br/>
      </w:r>
      <w:r>
        <w:br/>
      </w:r>
      <w:r>
        <w:rPr>
          <w:rStyle w:val="VerbatimChar"/>
        </w:rPr>
        <w:t xml:space="preserve">- **Item 3 — F:** Compensação de Slutsky: a renda que torna a cesta original acessível é $r_S = p_1 X_0 + q_0 Y_0 = 16 \times 32 + 288 = 800$. Demanda sob compensação: $X_S = r_S/(2p_1) = 800/32 = 25$. $ES = X_S - X_0 = 25 - 32 = -7$, não $-6$.</w:t>
      </w:r>
      <w:r>
        <w:br/>
      </w:r>
      <w:r>
        <w:br/>
      </w:r>
      <w:r>
        <w:rPr>
          <w:rStyle w:val="VerbatimChar"/>
        </w:rPr>
        <w:t xml:space="preserve">- **Item 4 — V:** O efeito-preço puro (Becker) segue o mesmo procedimento da compensação de Slutsky: incrementa-se a renda para que a cesta original seja factível ($r_S = 800$), e calcula-se a nova demanda marshalliana. $X_b = 800/32 = 25$. $EP_{\text{puro}} = 25 - 32 = -7$. ✓</w:t>
      </w:r>
    </w:p>
    <w:bookmarkEnd w:id="275"/>
    <w:bookmarkEnd w:id="276"/>
    <w:bookmarkStart w:id="284" w:name="pesquisa-em-ação-4"/>
    <w:p>
      <w:pPr>
        <w:pStyle w:val="Heading2"/>
      </w:pPr>
      <w:r>
        <w:t xml:space="preserve">Pesquisa em Ação</w:t>
      </w:r>
    </w:p>
    <w:p>
      <w:pPr>
        <w:pStyle w:val="BlockText"/>
      </w:pPr>
      <w:r>
        <w:rPr>
          <w:b/>
          <w:bCs/>
        </w:rPr>
        <w:t xml:space="preserve">[PESQUISA EM ACAO] Jensen, R. T.; Miller, N. H. (2008).</w:t>
      </w:r>
      <w:r>
        <w:rPr>
          <w:b/>
          <w:bCs/>
        </w:rPr>
        <w:t xml:space="preserve"> </w:t>
      </w:r>
      <w:hyperlink r:id="rId247">
        <w:r>
          <w:rPr>
            <w:rStyle w:val="Hyperlink"/>
            <w:b/>
            <w:bCs/>
          </w:rPr>
          <w:t xml:space="preserve">Giffen Behavior and Subsistence Consumption</w:t>
        </w:r>
      </w:hyperlink>
      <w:r>
        <w:rPr>
          <w:b/>
          <w:bCs/>
        </w:rPr>
        <w:t xml:space="preserve">.</w:t>
      </w:r>
      <w:r>
        <w:rPr>
          <w:b/>
          <w:bCs/>
        </w:rPr>
        <w:t xml:space="preserve"> </w:t>
      </w:r>
      <w:r>
        <w:rPr>
          <w:b/>
          <w:bCs/>
          <w:i/>
          <w:iCs/>
        </w:rPr>
        <w:t xml:space="preserve">The American Economic Review</w:t>
      </w:r>
      <w:r>
        <w:rPr>
          <w:b/>
          <w:bCs/>
        </w:rPr>
        <w:t xml:space="preserve">, 98(4), 1553–1577.</w:t>
      </w:r>
    </w:p>
    <w:p>
      <w:pPr>
        <w:pStyle w:val="BlockText"/>
      </w:pPr>
      <w:r>
        <w:rPr>
          <w:b/>
          <w:bCs/>
        </w:rPr>
        <w:t xml:space="preserve">Pergunta central:</w:t>
      </w:r>
      <w:r>
        <w:t xml:space="preserve"> </w:t>
      </w:r>
      <w:r>
        <w:t xml:space="preserve">Bens de Giffen — aqueles cuja demanda aumenta quando o preço sobe — são uma curiosidade teórica ou existem de fato? Desde que Alfred Marshall popularizou a ideia no século XIX atribuindo-a a Sir Robert Giffen, nenhum estudo havia conseguido documentar convincentemente esse comportamento com dados de campo.</w:t>
      </w:r>
    </w:p>
    <w:p>
      <w:pPr>
        <w:pStyle w:val="BlockText"/>
      </w:pPr>
      <w:r>
        <w:rPr>
          <w:b/>
          <w:bCs/>
        </w:rPr>
        <w:t xml:space="preserve">Método:</w:t>
      </w:r>
      <w:r>
        <w:t xml:space="preserve"> </w:t>
      </w:r>
      <w:r>
        <w:t xml:space="preserve">Jensen e Miller conduziram um experimento de campo randomizado em duas províncias chinesas: Hunan (onde o alimento básico é o arroz) e Gansu (onde é o trigo). O experimento subsidiou aleatoriamente o preço do alimento básico para famílias extremamente pobres e mediu as variações na quantidade demandada. O desenho experimental permitiu identificar a curva de demanda de forma causal, evitando problemas de endogeneidade comuns em estudos observacionais.</w:t>
      </w:r>
    </w:p>
    <w:p>
      <w:pPr>
        <w:pStyle w:val="BlockText"/>
      </w:pPr>
      <w:r>
        <w:rPr>
          <w:b/>
          <w:bCs/>
        </w:rPr>
        <w:t xml:space="preserve">Resultado principal:</w:t>
      </w:r>
      <w:r>
        <w:t xml:space="preserve"> </w:t>
      </w:r>
      <w:r>
        <w:t xml:space="preserve">Os autores encontraram evidência forte de comportamento de Giffen para o arroz em Hunan: quando o subsídio reduzia o preço do arroz, as famílias passavam a consumir</w:t>
      </w:r>
      <w:r>
        <w:t xml:space="preserve"> </w:t>
      </w:r>
      <w:r>
        <w:rPr>
          <w:i/>
          <w:iCs/>
        </w:rPr>
        <w:t xml:space="preserve">menos</w:t>
      </w:r>
      <w:r>
        <w:t xml:space="preserve"> </w:t>
      </w:r>
      <w:r>
        <w:t xml:space="preserve">arroz e</w:t>
      </w:r>
      <w:r>
        <w:t xml:space="preserve"> </w:t>
      </w:r>
      <w:r>
        <w:rPr>
          <w:i/>
          <w:iCs/>
        </w:rPr>
        <w:t xml:space="preserve">mais</w:t>
      </w:r>
      <w:r>
        <w:t xml:space="preserve"> </w:t>
      </w:r>
      <w:r>
        <w:t xml:space="preserve">alimentos de maior qualidade (carne, vegetais). Ou seja, o subsídio (redução de preço) diminuiu a demanda — o oposto do que a Lei da Demanda prevê para bens comuns. Para o trigo em Gansu, a evidência foi mais fraca, mas na mesma direção.</w:t>
      </w:r>
    </w:p>
    <w:p>
      <w:pPr>
        <w:pStyle w:val="BlockText"/>
      </w:pPr>
      <w:r>
        <w:rPr>
          <w:b/>
          <w:bCs/>
        </w:rPr>
        <w:t xml:space="preserve">Por que isso importa:</w:t>
      </w:r>
      <w:r>
        <w:t xml:space="preserve"> </w:t>
      </w:r>
      <w:r>
        <w:t xml:space="preserve">O resultado confirma que bens de Giffen podem surgir em contextos de subsistência, onde o alimento básico domina o orçamento. A mecânica é exatamente a prevista pela Equação de Slutsky: o efeito renda é tão forte (porque o bem representa parcela enorme do gasto) e o bem é tão inferior (porque com mais poder de compra as famílias migram para alimentos melhores) que domina o efeito substituição.</w:t>
      </w:r>
    </w:p>
    <w:p>
      <w:pPr>
        <w:pStyle w:val="BlockText"/>
      </w:pPr>
      <w:r>
        <w:rPr>
          <w:b/>
          <w:bCs/>
        </w:rPr>
        <w:t xml:space="preserve">Relevância para o capítulo:</w:t>
      </w:r>
      <w:r>
        <w:t xml:space="preserve"> </w:t>
      </w:r>
      <w:r>
        <w:t xml:space="preserve">O estudo é a ilustração empírica mais rigorosa das Seções 5.3–5.4. Ele demonstra que a Equação de Slutsky não é apenas uma identidade matemática: suas implicações qualitativas — em particular, que um bem de Giffen deve ser inferior e representar parcela substancial do orçamento — encontram confirmação nos dados. O caso também ilumina a discussão sobre bens inferiores no Brasil (farinha de mandioca), embora o contexto brasileiro contemporâneo não seja de subsistência pura, tornando o surgimento de Giffen improvável.</w:t>
      </w:r>
    </w:p>
    <w:p>
      <w:pPr>
        <w:pStyle w:val="BlockText"/>
      </w:pPr>
      <w:r>
        <w:rPr>
          <w:b/>
          <w:bCs/>
        </w:rPr>
        <w:t xml:space="preserve">[PESQUISA EM ACAO] Hausman, J. A. (1981).</w:t>
      </w:r>
      <w:r>
        <w:rPr>
          <w:b/>
          <w:bCs/>
        </w:rPr>
        <w:t xml:space="preserve"> </w:t>
      </w:r>
      <w:hyperlink r:id="rId277">
        <w:r>
          <w:rPr>
            <w:rStyle w:val="Hyperlink"/>
            <w:b/>
            <w:bCs/>
          </w:rPr>
          <w:t xml:space="preserve">Exact Consumer’s Surplus and Deadweight Loss</w:t>
        </w:r>
      </w:hyperlink>
      <w:r>
        <w:rPr>
          <w:b/>
          <w:bCs/>
        </w:rPr>
        <w:t xml:space="preserve">.</w:t>
      </w:r>
      <w:r>
        <w:rPr>
          <w:b/>
          <w:bCs/>
        </w:rPr>
        <w:t xml:space="preserve"> </w:t>
      </w:r>
      <w:r>
        <w:rPr>
          <w:b/>
          <w:bCs/>
          <w:i/>
          <w:iCs/>
        </w:rPr>
        <w:t xml:space="preserve">The American Economic Review</w:t>
      </w:r>
      <w:r>
        <w:rPr>
          <w:b/>
          <w:bCs/>
        </w:rPr>
        <w:t xml:space="preserve">, 71(4), 662–676.</w:t>
      </w:r>
    </w:p>
    <w:p>
      <w:pPr>
        <w:pStyle w:val="BlockText"/>
      </w:pPr>
      <w:r>
        <w:rPr>
          <w:b/>
          <w:bCs/>
        </w:rPr>
        <w:t xml:space="preserve">Pergunta central:</w:t>
      </w:r>
      <w:r>
        <w:t xml:space="preserve"> </w:t>
      </w:r>
      <w:r>
        <w:t xml:space="preserve">O excedente do consumidor marshalliano, calculado a partir da curva de demanda observável, é uma boa medida da variação de bem-estar causada por mudanças de preço? Ou é necessário recorrer às medidas exatas — variação compensatória (VC) e variação equivalente (VE) — baseadas nas demandas hicksianas não-observáveis?</w:t>
      </w:r>
    </w:p>
    <w:p>
      <w:pPr>
        <w:pStyle w:val="BlockText"/>
      </w:pPr>
      <w:r>
        <w:rPr>
          <w:b/>
          <w:bCs/>
        </w:rPr>
        <w:t xml:space="preserve">Método:</w:t>
      </w:r>
      <w:r>
        <w:t xml:space="preserve"> </w:t>
      </w:r>
      <w:r>
        <w:t xml:space="preserve">Hausman desenvolveu um procedimento para calcular a VC e a VE exatas a partir de estimativas econométricas da demanda marshalliana observada. O método explora a Equação de Slutsky e a dualidade entre problema primal e dual para recuperar a demanda hicksiana a partir da marshalliana, permitindo calcular as medidas exatas de bem-estar sem precisar estimar diretamente a função dispêndio.</w:t>
      </w:r>
    </w:p>
    <w:p>
      <w:pPr>
        <w:pStyle w:val="BlockText"/>
      </w:pPr>
      <w:r>
        <w:rPr>
          <w:b/>
          <w:bCs/>
        </w:rPr>
        <w:t xml:space="preserve">Resultado principal:</w:t>
      </w:r>
      <w:r>
        <w:t xml:space="preserve"> </w:t>
      </w:r>
      <w:r>
        <w:t xml:space="preserve">Aplicando o método à tributação do trabalho nos EUA, Hausman mostrou que o peso morto (perda de bem-estar) calculado com o EC marshalliano pode subestimar a perda real em 30% ou mais. A diferença entre EC e VC/VE é tanto maior quanto maior o efeito renda e quanto maior a variação de preço — exatamente o que a teoria das Seções 5.8.2–5.8.4 prevê.</w:t>
      </w:r>
    </w:p>
    <w:p>
      <w:pPr>
        <w:pStyle w:val="BlockText"/>
      </w:pPr>
      <w:r>
        <w:rPr>
          <w:b/>
          <w:bCs/>
        </w:rPr>
        <w:t xml:space="preserve">Por que isso importa:</w:t>
      </w:r>
      <w:r>
        <w:t xml:space="preserve"> </w:t>
      </w:r>
      <w:r>
        <w:t xml:space="preserve">O artigo é fundamental para a avaliação de políticas públicas no Brasil. Quando o governo altera alíquotas de ICMS sobre bens essenciais ou implementa tarifas de energia elétrica escalonadas, a diferença entre usar o EC marshalliano e a VC exata pode ser substancial, especialmente para famílias de baixa renda (para as quais o efeito renda é proporcionalmente maior).</w:t>
      </w:r>
    </w:p>
    <w:p>
      <w:pPr>
        <w:pStyle w:val="BlockText"/>
      </w:pPr>
      <w:r>
        <w:rPr>
          <w:b/>
          <w:bCs/>
        </w:rPr>
        <w:t xml:space="preserve">Relevância para o capítulo:</w:t>
      </w:r>
      <w:r>
        <w:t xml:space="preserve"> </w:t>
      </w:r>
      <w:r>
        <w:t xml:space="preserve">Hausman operacionaliza a relação</w:t>
      </w:r>
      <w:r>
        <w:t xml:space="preserve"> </w:t>
      </w:r>
      <m:oMath>
        <m:r>
          <m:t>V</m:t>
        </m:r>
        <m:r>
          <m:t>C</m:t>
        </m:r>
        <m:r>
          <m:rPr>
            <m:sty m:val="p"/>
          </m:rPr>
          <m:t>&lt;</m:t>
        </m:r>
        <m:r>
          <m:t>E</m:t>
        </m:r>
        <m:r>
          <m:t>C</m:t>
        </m:r>
        <m:r>
          <m:rPr>
            <m:sty m:val="p"/>
          </m:rPr>
          <m:t>&lt;</m:t>
        </m:r>
        <m:r>
          <m:t>V</m:t>
        </m:r>
        <m:r>
          <m:t>E</m:t>
        </m:r>
      </m:oMath>
      <w:r>
        <w:t xml:space="preserve"> </w:t>
      </w:r>
      <w:r>
        <w:t xml:space="preserve">(Seção 5.8.4), mostrando que essa desigualdade tem consequências quantitativas relevantes. O método ilustra também a utilidade prática da Equação de Slutsky: ela não apenas decompõe efeitos, mas permite reconstruir a curva de demanda compensada a partir da observável — ponte entre teoria e política.</w:t>
      </w:r>
    </w:p>
    <w:p>
      <w:pPr>
        <w:pStyle w:val="BlockText"/>
      </w:pPr>
      <w:r>
        <w:rPr>
          <w:b/>
          <w:bCs/>
        </w:rPr>
        <w:t xml:space="preserve">[PESQUISA EM ACAO] Deaton, A. (1988).</w:t>
      </w:r>
      <w:r>
        <w:rPr>
          <w:b/>
          <w:bCs/>
        </w:rPr>
        <w:t xml:space="preserve"> </w:t>
      </w:r>
      <w:hyperlink r:id="rId278">
        <w:r>
          <w:rPr>
            <w:rStyle w:val="Hyperlink"/>
            <w:b/>
            <w:bCs/>
          </w:rPr>
          <w:t xml:space="preserve">Quality, Quantity, and Spatial Variation of Price</w:t>
        </w:r>
      </w:hyperlink>
      <w:r>
        <w:rPr>
          <w:b/>
          <w:bCs/>
        </w:rPr>
        <w:t xml:space="preserve">.</w:t>
      </w:r>
      <w:r>
        <w:rPr>
          <w:b/>
          <w:bCs/>
        </w:rPr>
        <w:t xml:space="preserve"> </w:t>
      </w:r>
      <w:r>
        <w:rPr>
          <w:b/>
          <w:bCs/>
          <w:i/>
          <w:iCs/>
        </w:rPr>
        <w:t xml:space="preserve">American Economic Review</w:t>
      </w:r>
      <w:r>
        <w:rPr>
          <w:b/>
          <w:bCs/>
        </w:rPr>
        <w:t xml:space="preserve">, 78(3), 418–430.</w:t>
      </w:r>
    </w:p>
    <w:p>
      <w:pPr>
        <w:pStyle w:val="BlockText"/>
      </w:pPr>
      <w:r>
        <w:rPr>
          <w:b/>
          <w:bCs/>
        </w:rPr>
        <w:t xml:space="preserve">Pergunta central:</w:t>
      </w:r>
      <w:r>
        <w:t xml:space="preserve"> </w:t>
      </w:r>
      <w:r>
        <w:t xml:space="preserve">Como estimar elasticidades de demanda a partir de pesquisas domiciliares quando os preços não são diretamente observados — apenas os gastos totais e as quantidades adquiridas (valores unitários)?</w:t>
      </w:r>
    </w:p>
    <w:p>
      <w:pPr>
        <w:pStyle w:val="BlockText"/>
      </w:pPr>
      <w:r>
        <w:rPr>
          <w:b/>
          <w:bCs/>
        </w:rPr>
        <w:t xml:space="preserve">Método:</w:t>
      </w:r>
      <w:r>
        <w:t xml:space="preserve"> </w:t>
      </w:r>
      <w:r>
        <w:t xml:space="preserve">Deaton desenvolve um método que explora a variação espacial dos valores unitários — o preço médio implícito pago por cada família — como proxy dos preços de mercado. O insight é que, dentro de um cluster geográfico, as diferenças nos valores unitários entre famílias refletem diferenças de qualidade (efeito de qualidade), enquanto as diferenças entre clusters refletem variações nos preços de mercado. O método separa esses dois componentes, corrigindo o viés que surge ao usar valores unitários diretamente como preços.</w:t>
      </w:r>
    </w:p>
    <w:p>
      <w:pPr>
        <w:pStyle w:val="BlockText"/>
      </w:pPr>
      <w:r>
        <w:rPr>
          <w:b/>
          <w:bCs/>
        </w:rPr>
        <w:t xml:space="preserve">Resultado principal:</w:t>
      </w:r>
      <w:r>
        <w:t xml:space="preserve"> </w:t>
      </w:r>
      <w:r>
        <w:t xml:space="preserve">O método permite estimar de forma consistente as elasticidades-preço e as elasticidades-renda (qualidade) a partir de dados de orçamentos domiciliares como a POF brasileira, mesmo na ausência de dados de preços independentes. Deaton aplica o método a dados de países em desenvolvimento, obtendo estimativas de demanda para alimentos básicos que respeitem as restrições da Equação de Slutsky.</w:t>
      </w:r>
    </w:p>
    <w:p>
      <w:pPr>
        <w:pStyle w:val="BlockText"/>
      </w:pPr>
      <w:r>
        <w:rPr>
          <w:b/>
          <w:bCs/>
        </w:rPr>
        <w:t xml:space="preserve">Por que isso importa:</w:t>
      </w:r>
      <w:r>
        <w:t xml:space="preserve"> </w:t>
      </w:r>
      <w:r>
        <w:t xml:space="preserve">Em países em desenvolvimento, incluindo o Brasil, os microdados de pesquisas domiciliares (POF/IBGE) são muitas vezes a única fonte disponível para estimar demanda. O método de Deaton tornou-se o padrão para extrair elasticidades desses dados — conectando diretamente as restrições teóricas da Seção 5.7 (simetria, homogeneidade, agregação de Engel) à prática econométrica.</w:t>
      </w:r>
    </w:p>
    <w:p>
      <w:pPr>
        <w:pStyle w:val="BlockText"/>
      </w:pPr>
      <w:r>
        <w:rPr>
          <w:b/>
          <w:bCs/>
        </w:rPr>
        <w:t xml:space="preserve">Relevância para o capítulo:</w:t>
      </w:r>
      <w:r>
        <w:t xml:space="preserve"> </w:t>
      </w:r>
      <w:r>
        <w:t xml:space="preserve">O artigo operacionaliza empiricamente as elasticidades definidas na Seção 5.7, mostrando como as restrições teóricas (simetria de Slutsky, condição de homogeneidade) são impostas na estimação. É também a base metodológica de muitas estimativas da Tabela 5.2.</w:t>
      </w:r>
    </w:p>
    <w:p>
      <w:pPr>
        <w:pStyle w:val="BlockText"/>
      </w:pPr>
      <w:r>
        <w:rPr>
          <w:b/>
          <w:bCs/>
        </w:rPr>
        <w:t xml:space="preserve">[PESQUISA EM ACAO] Attanasio, O.; Pistaferri, L. (2016).</w:t>
      </w:r>
      <w:r>
        <w:rPr>
          <w:b/>
          <w:bCs/>
        </w:rPr>
        <w:t xml:space="preserve"> </w:t>
      </w:r>
      <w:hyperlink r:id="rId279">
        <w:r>
          <w:rPr>
            <w:rStyle w:val="Hyperlink"/>
            <w:b/>
            <w:bCs/>
          </w:rPr>
          <w:t xml:space="preserve">Consumption Inequality</w:t>
        </w:r>
      </w:hyperlink>
      <w:r>
        <w:rPr>
          <w:b/>
          <w:bCs/>
        </w:rPr>
        <w:t xml:space="preserve">.</w:t>
      </w:r>
      <w:r>
        <w:rPr>
          <w:b/>
          <w:bCs/>
        </w:rPr>
        <w:t xml:space="preserve"> </w:t>
      </w:r>
      <w:r>
        <w:rPr>
          <w:b/>
          <w:bCs/>
          <w:i/>
          <w:iCs/>
        </w:rPr>
        <w:t xml:space="preserve">Journal of Economic Perspectives</w:t>
      </w:r>
      <w:r>
        <w:rPr>
          <w:b/>
          <w:bCs/>
        </w:rPr>
        <w:t xml:space="preserve">, 30(2), 3–28.</w:t>
      </w:r>
    </w:p>
    <w:p>
      <w:pPr>
        <w:pStyle w:val="BlockText"/>
      </w:pPr>
      <w:r>
        <w:rPr>
          <w:b/>
          <w:bCs/>
        </w:rPr>
        <w:t xml:space="preserve">Pergunta central:</w:t>
      </w:r>
      <w:r>
        <w:t xml:space="preserve"> </w:t>
      </w:r>
      <w:r>
        <w:t xml:space="preserve">O que os dados de consumo nos dizem sobre a evolução da desigualdade econômica — e por que as medidas baseadas em consumo frequentemente diferem das medidas baseadas em renda?</w:t>
      </w:r>
    </w:p>
    <w:p>
      <w:pPr>
        <w:pStyle w:val="BlockText"/>
      </w:pPr>
      <w:r>
        <w:rPr>
          <w:b/>
          <w:bCs/>
        </w:rPr>
        <w:t xml:space="preserve">Método:</w:t>
      </w:r>
      <w:r>
        <w:t xml:space="preserve"> </w:t>
      </w:r>
      <w:r>
        <w:t xml:space="preserve">Os autores revisam sistematicamente a literatura empírica sobre desigualdade de consumo nos EUA e em outros países desenvolvidos, discutindo as diferenças conceituais e de mensuração entre desigualdade de consumo e de renda. Utilizam as ferramentas da teoria da demanda — em particular, o excedente do consumidor e as medidas de bem-estar (VC e VE) — para interpretar as implicações bem-estaristas das mudanças na distribuição do consumo.</w:t>
      </w:r>
    </w:p>
    <w:p>
      <w:pPr>
        <w:pStyle w:val="BlockText"/>
      </w:pPr>
      <w:r>
        <w:rPr>
          <w:b/>
          <w:bCs/>
        </w:rPr>
        <w:t xml:space="preserve">Resultado principal:</w:t>
      </w:r>
      <w:r>
        <w:t xml:space="preserve"> </w:t>
      </w:r>
      <w:r>
        <w:t xml:space="preserve">A desigualdade de consumo cresceu menos do que a desigualdade de renda nos EUA desde os anos 1980, sugerindo que mecanismos de seguro (seguros privados, transferências governamentais, poupança precaucional) atenuaram o repasse da variabilidade de renda para o consumo. No entanto, a diferença depende criticamente das escolhas de mensuração e das deflações de preços utilizadas.</w:t>
      </w:r>
    </w:p>
    <w:p>
      <w:pPr>
        <w:pStyle w:val="BlockText"/>
      </w:pPr>
      <w:r>
        <w:rPr>
          <w:b/>
          <w:bCs/>
        </w:rPr>
        <w:t xml:space="preserve">Por que isso importa:</w:t>
      </w:r>
      <w:r>
        <w:t xml:space="preserve"> </w:t>
      </w:r>
      <w:r>
        <w:t xml:space="preserve">No contexto brasileiro, onde a desigualdade de renda é elevada e as políticas de transferência como o Bolsa Família têm impacto significativo, a distinção entre desigualdade de renda e de consumo é central para a avaliação de bem-estar. As ferramentas da Seção 5.8 (VC e VE) são precisamente os instrumentos teóricos para conectar variações de preços e renda a mudanças no bem-estar do consumidor.</w:t>
      </w:r>
    </w:p>
    <w:p>
      <w:pPr>
        <w:pStyle w:val="BlockText"/>
      </w:pPr>
      <w:r>
        <w:rPr>
          <w:b/>
          <w:bCs/>
        </w:rPr>
        <w:t xml:space="preserve">Relevância para o capítulo:</w:t>
      </w:r>
      <w:r>
        <w:t xml:space="preserve"> </w:t>
      </w:r>
      <w:r>
        <w:t xml:space="preserve">Conecta as medidas de bem-estar da Seção 5.8 a questões de distribuição e política social, mostrando que VC e VE não são apenas instrumentos teóricos — são a base de análises empíricas sobre como políticas afetam o bem-estar de diferentes grupos de consumidores.</w:t>
      </w:r>
    </w:p>
    <w:p>
      <w:pPr>
        <w:pStyle w:val="BlockText"/>
      </w:pPr>
      <w:r>
        <w:rPr>
          <w:b/>
          <w:bCs/>
        </w:rPr>
        <w:t xml:space="preserve">[PESQUISA EM ACAO] Hoderlein, S.; Stoye, J. (2014).</w:t>
      </w:r>
      <w:r>
        <w:rPr>
          <w:b/>
          <w:bCs/>
        </w:rPr>
        <w:t xml:space="preserve"> </w:t>
      </w:r>
      <w:hyperlink r:id="rId280">
        <w:r>
          <w:rPr>
            <w:rStyle w:val="Hyperlink"/>
            <w:b/>
            <w:bCs/>
          </w:rPr>
          <w:t xml:space="preserve">Revealed Preferences in a Heterogeneous Population</w:t>
        </w:r>
      </w:hyperlink>
      <w:r>
        <w:rPr>
          <w:b/>
          <w:bCs/>
        </w:rPr>
        <w:t xml:space="preserve">.</w:t>
      </w:r>
      <w:r>
        <w:rPr>
          <w:b/>
          <w:bCs/>
        </w:rPr>
        <w:t xml:space="preserve"> </w:t>
      </w:r>
      <w:r>
        <w:rPr>
          <w:b/>
          <w:bCs/>
          <w:i/>
          <w:iCs/>
        </w:rPr>
        <w:t xml:space="preserve">Review of Economics and Statistics</w:t>
      </w:r>
      <w:r>
        <w:rPr>
          <w:b/>
          <w:bCs/>
        </w:rPr>
        <w:t xml:space="preserve">, 96(2), 197–213.</w:t>
      </w:r>
    </w:p>
    <w:p>
      <w:pPr>
        <w:pStyle w:val="BlockText"/>
      </w:pPr>
      <w:r>
        <w:rPr>
          <w:b/>
          <w:bCs/>
        </w:rPr>
        <w:t xml:space="preserve">Pergunta central:</w:t>
      </w:r>
      <w:r>
        <w:t xml:space="preserve"> </w:t>
      </w:r>
      <w:r>
        <w:t xml:space="preserve">As condições de preferência revelada — em particular o Axioma Fraco da Preferência Revelada (AFPR) — são testáveis empiricamente quando a população é heterogênea, isto é, quando diferentes consumidores têm preferências distintas?</w:t>
      </w:r>
    </w:p>
    <w:p>
      <w:pPr>
        <w:pStyle w:val="BlockText"/>
      </w:pPr>
      <w:r>
        <w:rPr>
          <w:b/>
          <w:bCs/>
        </w:rPr>
        <w:t xml:space="preserve">Método:</w:t>
      </w:r>
      <w:r>
        <w:t xml:space="preserve"> </w:t>
      </w:r>
      <w:r>
        <w:t xml:space="preserve">Os autores desenvolvem testes não-paramétricos das condições de preferência revelada (AFPR e ASPR — Axioma Forte) que são válidos em populações heterogêneas. O problema é delicado: dados de pesquisa domiciliar observam diferentes indivíduos a diferentes preços, não o mesmo indivíduo sob preços distintos. Os autores mostram que, apesar dessa limitação, é possível testar se a distribuição de escolhas observadas é consistente com alguma população de consumidores racionais heterogêneos.</w:t>
      </w:r>
    </w:p>
    <w:p>
      <w:pPr>
        <w:pStyle w:val="BlockText"/>
      </w:pPr>
      <w:r>
        <w:rPr>
          <w:b/>
          <w:bCs/>
        </w:rPr>
        <w:t xml:space="preserve">Resultado principal:</w:t>
      </w:r>
      <w:r>
        <w:t xml:space="preserve"> </w:t>
      </w:r>
      <w:r>
        <w:t xml:space="preserve">Usando dados do Consumer Expenditure Survey americano, os autores encontram que as restrições de preferência revelada não são sistematicamente violadas — sugerindo que o modelo de consumidor racional é compatível com os dados, mesmo permitindo heterogeneidade não observada. Os testes são mais informativos quando a variação de preços é grande, e em alguns subgrupos as restrições são violadas por motivos associados a erros de mensuração.</w:t>
      </w:r>
    </w:p>
    <w:p>
      <w:pPr>
        <w:pStyle w:val="BlockText"/>
      </w:pPr>
      <w:r>
        <w:rPr>
          <w:b/>
          <w:bCs/>
        </w:rPr>
        <w:t xml:space="preserve">Por que isso importa:</w:t>
      </w:r>
      <w:r>
        <w:t xml:space="preserve"> </w:t>
      </w:r>
      <w:r>
        <w:t xml:space="preserve">A teoria da preferência revelada (Seção 5.9) é frequentemente criticada por ser tautológica ou impossível de testar com dados reais. Hoderlein e Stoye mostram que ela tem conteúdo empírico mensurável mesmo com dados de corte transversal — exatamente o tipo disponível em pesquisas como a POF brasileira.</w:t>
      </w:r>
    </w:p>
    <w:p>
      <w:pPr>
        <w:pStyle w:val="BlockText"/>
      </w:pPr>
      <w:r>
        <w:rPr>
          <w:b/>
          <w:bCs/>
        </w:rPr>
        <w:t xml:space="preserve">Relevância para o capítulo:</w:t>
      </w:r>
      <w:r>
        <w:t xml:space="preserve"> </w:t>
      </w:r>
      <w:r>
        <w:t xml:space="preserve">Conecta diretamente a Seção 5.9 (AFPR e negatividade do efeito substituição) à pesquisa empírica moderna, mostrando que os axiomas de racionalidade do consumidor são testáveis e informativos com microdados. Ilustra também como as restrições teóricas derivadas neste capítulo servem de base para testes empíricos de comportamento racional.</w:t>
      </w:r>
    </w:p>
    <w:bookmarkStart w:id="283" w:name="referências-do-capítulo-3"/>
    <w:p>
      <w:pPr>
        <w:pStyle w:val="Heading3"/>
      </w:pPr>
      <w:r>
        <w:t xml:space="preserve">Referências do Capítulo</w:t>
      </w:r>
    </w:p>
    <w:p>
      <w:pPr>
        <w:pStyle w:val="Compact"/>
        <w:numPr>
          <w:ilvl w:val="0"/>
          <w:numId w:val="1261"/>
        </w:numPr>
      </w:pPr>
      <w:r>
        <w:t xml:space="preserve">Almeida, Alexandre Nunes de, e Carlos Roberto Azzoni. 2016.</w:t>
      </w:r>
      <w:r>
        <w:t xml:space="preserve"> </w:t>
      </w:r>
      <w:r>
        <w:t xml:space="preserve">“</w:t>
      </w:r>
      <w:hyperlink r:id="rId281">
        <w:r>
          <w:rPr>
            <w:rStyle w:val="Hyperlink"/>
          </w:rPr>
          <w:t xml:space="preserve">Custo de vida comparativo das regiões metropolitanas brasileiras: 1996–2014.</w:t>
        </w:r>
      </w:hyperlink>
      <w:r>
        <w:t xml:space="preserve">”</w:t>
      </w:r>
      <w:r>
        <w:t xml:space="preserve"> </w:t>
      </w:r>
      <w:r>
        <w:rPr>
          <w:i/>
          <w:iCs/>
        </w:rPr>
        <w:t xml:space="preserve">Estudos Econômicos</w:t>
      </w:r>
      <w:r>
        <w:t xml:space="preserve"> </w:t>
      </w:r>
      <w:r>
        <w:t xml:space="preserve">46 (1): 253–276.</w:t>
      </w:r>
    </w:p>
    <w:p>
      <w:pPr>
        <w:pStyle w:val="Compact"/>
        <w:numPr>
          <w:ilvl w:val="0"/>
          <w:numId w:val="1261"/>
        </w:numPr>
      </w:pPr>
      <w:r>
        <w:t xml:space="preserve">Attanasio, Orazio, e Luigi Pistaferri. 2016.</w:t>
      </w:r>
      <w:r>
        <w:t xml:space="preserve"> </w:t>
      </w:r>
      <w:r>
        <w:t xml:space="preserve">“</w:t>
      </w:r>
      <w:hyperlink r:id="rId279">
        <w:r>
          <w:rPr>
            <w:rStyle w:val="Hyperlink"/>
          </w:rPr>
          <w:t xml:space="preserve">Consumption Inequality.</w:t>
        </w:r>
      </w:hyperlink>
      <w:r>
        <w:t xml:space="preserve">”</w:t>
      </w:r>
      <w:r>
        <w:t xml:space="preserve"> </w:t>
      </w:r>
      <w:r>
        <w:rPr>
          <w:i/>
          <w:iCs/>
        </w:rPr>
        <w:t xml:space="preserve">Journal of Economic Perspectives</w:t>
      </w:r>
      <w:r>
        <w:t xml:space="preserve"> </w:t>
      </w:r>
      <w:r>
        <w:t xml:space="preserve">30 (2): 3–28.</w:t>
      </w:r>
    </w:p>
    <w:p>
      <w:pPr>
        <w:pStyle w:val="Compact"/>
        <w:numPr>
          <w:ilvl w:val="0"/>
          <w:numId w:val="1261"/>
        </w:numPr>
      </w:pPr>
      <w:r>
        <w:t xml:space="preserve">Cardoso, Breno Ferreira, Marcelo Tavares de Azevedo, e Francisco Carlos da Cunha Cassuce. 2019.</w:t>
      </w:r>
      <w:r>
        <w:t xml:space="preserve"> </w:t>
      </w:r>
      <w:r>
        <w:t xml:space="preserve">“Estimação da elasticidade-preço da demanda, da elasticidade-renda e da elasticidade preço-cruzada no Brasil.”</w:t>
      </w:r>
      <w:r>
        <w:t xml:space="preserve"> </w:t>
      </w:r>
      <w:r>
        <w:rPr>
          <w:i/>
          <w:iCs/>
        </w:rPr>
        <w:t xml:space="preserve">Análise Econômica</w:t>
      </w:r>
      <w:r>
        <w:t xml:space="preserve"> </w:t>
      </w:r>
      <w:r>
        <w:t xml:space="preserve">37 (74): 7–30.</w:t>
      </w:r>
    </w:p>
    <w:p>
      <w:pPr>
        <w:pStyle w:val="Compact"/>
        <w:numPr>
          <w:ilvl w:val="0"/>
          <w:numId w:val="1261"/>
        </w:numPr>
      </w:pPr>
      <w:r>
        <w:t xml:space="preserve">Deaton, Angus. 1988.</w:t>
      </w:r>
      <w:r>
        <w:t xml:space="preserve"> </w:t>
      </w:r>
      <w:r>
        <w:t xml:space="preserve">“</w:t>
      </w:r>
      <w:hyperlink r:id="rId278">
        <w:r>
          <w:rPr>
            <w:rStyle w:val="Hyperlink"/>
          </w:rPr>
          <w:t xml:space="preserve">Quality, Quantity, and Spatial Variation of Price.</w:t>
        </w:r>
      </w:hyperlink>
      <w:r>
        <w:t xml:space="preserve">”</w:t>
      </w:r>
      <w:r>
        <w:t xml:space="preserve"> </w:t>
      </w:r>
      <w:r>
        <w:rPr>
          <w:i/>
          <w:iCs/>
        </w:rPr>
        <w:t xml:space="preserve">American Economic Review</w:t>
      </w:r>
      <w:r>
        <w:t xml:space="preserve"> </w:t>
      </w:r>
      <w:r>
        <w:t xml:space="preserve">78 (3): 418–430.</w:t>
      </w:r>
    </w:p>
    <w:p>
      <w:pPr>
        <w:pStyle w:val="Compact"/>
        <w:numPr>
          <w:ilvl w:val="0"/>
          <w:numId w:val="1261"/>
        </w:numPr>
      </w:pPr>
      <w:r>
        <w:t xml:space="preserve">Hausman, Jerry A. 1981.</w:t>
      </w:r>
      <w:r>
        <w:t xml:space="preserve"> </w:t>
      </w:r>
      <w:r>
        <w:t xml:space="preserve">“</w:t>
      </w:r>
      <w:hyperlink r:id="rId282">
        <w:r>
          <w:rPr>
            <w:rStyle w:val="Hyperlink"/>
          </w:rPr>
          <w:t xml:space="preserve">Exact Consumer’s Surplus and Deadweight Loss.</w:t>
        </w:r>
      </w:hyperlink>
      <w:r>
        <w:t xml:space="preserve">”</w:t>
      </w:r>
      <w:r>
        <w:t xml:space="preserve"> </w:t>
      </w:r>
      <w:r>
        <w:rPr>
          <w:i/>
          <w:iCs/>
        </w:rPr>
        <w:t xml:space="preserve">The American Economic Review</w:t>
      </w:r>
      <w:r>
        <w:t xml:space="preserve"> </w:t>
      </w:r>
      <w:r>
        <w:t xml:space="preserve">71 (4): 662–676.</w:t>
      </w:r>
    </w:p>
    <w:p>
      <w:pPr>
        <w:pStyle w:val="Compact"/>
        <w:numPr>
          <w:ilvl w:val="0"/>
          <w:numId w:val="1261"/>
        </w:numPr>
      </w:pPr>
      <w:r>
        <w:t xml:space="preserve">Hoderlein, Stefan, e Jörg Stoye. 2014.</w:t>
      </w:r>
      <w:r>
        <w:t xml:space="preserve"> </w:t>
      </w:r>
      <w:r>
        <w:t xml:space="preserve">“</w:t>
      </w:r>
      <w:hyperlink r:id="rId280">
        <w:r>
          <w:rPr>
            <w:rStyle w:val="Hyperlink"/>
          </w:rPr>
          <w:t xml:space="preserve">Revealed Preferences in a Heterogeneous Population.</w:t>
        </w:r>
      </w:hyperlink>
      <w:r>
        <w:t xml:space="preserve">”</w:t>
      </w:r>
      <w:r>
        <w:t xml:space="preserve"> </w:t>
      </w:r>
      <w:r>
        <w:rPr>
          <w:i/>
          <w:iCs/>
        </w:rPr>
        <w:t xml:space="preserve">Review of Economics and Statistics</w:t>
      </w:r>
      <w:r>
        <w:t xml:space="preserve"> </w:t>
      </w:r>
      <w:r>
        <w:t xml:space="preserve">96 (2): 197–213.</w:t>
      </w:r>
    </w:p>
    <w:p>
      <w:pPr>
        <w:pStyle w:val="Compact"/>
        <w:numPr>
          <w:ilvl w:val="0"/>
          <w:numId w:val="1261"/>
        </w:numPr>
      </w:pPr>
      <w:r>
        <w:t xml:space="preserve">IBGE — Instituto Brasileiro de Geografia e Estatística. 2020.</w:t>
      </w:r>
      <w:r>
        <w:t xml:space="preserve"> </w:t>
      </w:r>
      <w:hyperlink r:id="rId185">
        <w:r>
          <w:rPr>
            <w:rStyle w:val="Hyperlink"/>
            <w:i/>
            <w:iCs/>
          </w:rPr>
          <w:t xml:space="preserve">Pesquisa de Orçamentos Familiares 2017–2018: análise do consumo alimentar pessoal no Brasil</w:t>
        </w:r>
      </w:hyperlink>
      <w:r>
        <w:t xml:space="preserve">. Rio de Janeiro: IBGE.</w:t>
      </w:r>
    </w:p>
    <w:p>
      <w:pPr>
        <w:pStyle w:val="Compact"/>
        <w:numPr>
          <w:ilvl w:val="0"/>
          <w:numId w:val="1261"/>
        </w:numPr>
      </w:pPr>
      <w:r>
        <w:t xml:space="preserve">Jensen, Robert T., e Nolan H. Miller. 2008.</w:t>
      </w:r>
      <w:r>
        <w:t xml:space="preserve"> </w:t>
      </w:r>
      <w:r>
        <w:t xml:space="preserve">“</w:t>
      </w:r>
      <w:hyperlink r:id="rId247">
        <w:r>
          <w:rPr>
            <w:rStyle w:val="Hyperlink"/>
          </w:rPr>
          <w:t xml:space="preserve">Giffen Behavior and Subsistence Consumption.</w:t>
        </w:r>
      </w:hyperlink>
      <w:r>
        <w:t xml:space="preserve">”</w:t>
      </w:r>
      <w:r>
        <w:t xml:space="preserve"> </w:t>
      </w:r>
      <w:r>
        <w:rPr>
          <w:i/>
          <w:iCs/>
        </w:rPr>
        <w:t xml:space="preserve">The American Economic Review</w:t>
      </w:r>
      <w:r>
        <w:t xml:space="preserve"> </w:t>
      </w:r>
      <w:r>
        <w:t xml:space="preserve">98 (4): 1553–1577.</w:t>
      </w:r>
    </w:p>
    <w:p>
      <w:pPr>
        <w:pStyle w:val="Compact"/>
        <w:numPr>
          <w:ilvl w:val="0"/>
          <w:numId w:val="1261"/>
        </w:numPr>
      </w:pPr>
      <w:r>
        <w:t xml:space="preserve">Mas-Colell, Andreu, Michael D. Whinston, e Jerry R. Green. 1995.</w:t>
      </w:r>
      <w:r>
        <w:t xml:space="preserve"> </w:t>
      </w:r>
      <w:hyperlink r:id="rId70">
        <w:r>
          <w:rPr>
            <w:rStyle w:val="Hyperlink"/>
            <w:i/>
            <w:iCs/>
          </w:rPr>
          <w:t xml:space="preserve">Microeconomic Theory</w:t>
        </w:r>
      </w:hyperlink>
      <w:r>
        <w:t xml:space="preserve">. New York: Oxford University Press. Capítulos 2–3.</w:t>
      </w:r>
    </w:p>
    <w:p>
      <w:pPr>
        <w:pStyle w:val="Compact"/>
        <w:numPr>
          <w:ilvl w:val="0"/>
          <w:numId w:val="1261"/>
        </w:numPr>
      </w:pPr>
      <w:r>
        <w:t xml:space="preserve">Nicholson, Walter, e Christopher M. Snyder. 2017.</w:t>
      </w:r>
      <w:r>
        <w:t xml:space="preserve"> </w:t>
      </w:r>
      <w:hyperlink r:id="rId71">
        <w:r>
          <w:rPr>
            <w:rStyle w:val="Hyperlink"/>
            <w:i/>
            <w:iCs/>
          </w:rPr>
          <w:t xml:space="preserve">Microeconomic Theory</w:t>
        </w:r>
      </w:hyperlink>
      <w:r>
        <w:t xml:space="preserve">. 12ª ed. Boston: Cengage Learning. Capítulo 5.</w:t>
      </w:r>
    </w:p>
    <w:p>
      <w:pPr>
        <w:pStyle w:val="Compact"/>
        <w:numPr>
          <w:ilvl w:val="0"/>
          <w:numId w:val="1261"/>
        </w:numPr>
      </w:pPr>
      <w:r>
        <w:t xml:space="preserve">Perloff, Jeffrey M. 2017.</w:t>
      </w:r>
      <w:r>
        <w:t xml:space="preserve"> </w:t>
      </w:r>
      <w:hyperlink r:id="rId230">
        <w:r>
          <w:rPr>
            <w:rStyle w:val="Hyperlink"/>
            <w:i/>
            <w:iCs/>
          </w:rPr>
          <w:t xml:space="preserve">Microeconomics: Theory and Applications with Calculus</w:t>
        </w:r>
      </w:hyperlink>
      <w:r>
        <w:t xml:space="preserve">. 4ª ed. Boston: Pearson. Capítulos 4–5.</w:t>
      </w:r>
    </w:p>
    <w:p>
      <w:pPr>
        <w:pStyle w:val="Compact"/>
        <w:numPr>
          <w:ilvl w:val="0"/>
          <w:numId w:val="1261"/>
        </w:numPr>
      </w:pPr>
      <w:r>
        <w:t xml:space="preserve">Varian, Hal R. 2015.</w:t>
      </w:r>
      <w:r>
        <w:t xml:space="preserve"> </w:t>
      </w:r>
      <w:hyperlink r:id="rId74">
        <w:r>
          <w:rPr>
            <w:rStyle w:val="Hyperlink"/>
            <w:i/>
            <w:iCs/>
          </w:rPr>
          <w:t xml:space="preserve">Microeconomia</w:t>
        </w:r>
      </w:hyperlink>
      <w:r>
        <w:t xml:space="preserve">. 9ª ed. Rio de Janeiro: Elsevier. Capítulos 8–9, 14.</w:t>
      </w:r>
    </w:p>
    <w:bookmarkEnd w:id="283"/>
    <w:bookmarkEnd w:id="284"/>
    <w:bookmarkEnd w:id="285"/>
    <w:bookmarkStart w:id="323" w:name="Xf6515a69b6ddd1d293133297c8f5b0e067dc589"/>
    <w:p>
      <w:pPr>
        <w:sectPr>
          <w:footnotePr>
            <w:numRestart w:val="eachSect"/>
          </w:footnotePr>
        </w:sectPr>
      </w:pPr>
    </w:p>
    <w:p>
      <w:pPr>
        <w:pStyle w:val="Heading1"/>
      </w:pPr>
      <w:r>
        <w:t xml:space="preserve">Capítulo 6 — Substitutos, Complementos e Relações Complicadas</w:t>
      </w:r>
    </w:p>
    <w:p>
      <w:pPr>
        <w:pStyle w:val="FirstParagraph"/>
      </w:pPr>
      <w:r>
        <w:t xml:space="preserve">Por que a Coca-Cola de aeroporto custa R$ 12 e a do supermercado, R$ 5? Parte da resposta está na falta de substitutos: preso no saguão de embarque, você não pode caminhar até o Pão de Açúcar da esquina. Mas eis o que é surpreendente — mesmo no aeroporto, instalar uma máquina de água mineral</w:t>
      </w:r>
      <w:r>
        <w:t xml:space="preserve"> </w:t>
      </w:r>
      <w:r>
        <w:rPr>
          <w:i/>
          <w:iCs/>
        </w:rPr>
        <w:t xml:space="preserve">grátis</w:t>
      </w:r>
      <w:r>
        <w:t xml:space="preserve"> </w:t>
      </w:r>
      <w:r>
        <w:t xml:space="preserve">ao lado do quiosque derrubaria o preço da Coca. Por quê? Porque a água mineral, quando disponível, é um</w:t>
      </w:r>
      <w:r>
        <w:t xml:space="preserve"> </w:t>
      </w:r>
      <w:r>
        <w:rPr>
          <w:b/>
          <w:bCs/>
        </w:rPr>
        <w:t xml:space="preserve">substituto</w:t>
      </w:r>
      <w:r>
        <w:t xml:space="preserve"> </w:t>
      </w:r>
      <w:r>
        <w:t xml:space="preserve">suficientemente bom para disciplinar o preço. A relação entre bens — quem compete com quem, quem reforça quem — é a chave invisível por trás de preços, fusões empresariais e política tributária.</w:t>
      </w:r>
      <w:r>
        <w:rPr>
          <w:rStyle w:val="FootnoteReference"/>
        </w:rPr>
        <w:footnoteReference w:id="286"/>
      </w:r>
    </w:p>
    <w:p>
      <w:pPr>
        <w:pStyle w:val="BodyText"/>
      </w:pPr>
      <w:r>
        <w:t xml:space="preserve">O Capítulo 5 olhou para cada bem isoladamente:</w:t>
      </w:r>
      <w:r>
        <w:t xml:space="preserve"> </w:t>
      </w:r>
      <w:r>
        <w:t xml:space="preserve">“o preço subiu, a demanda caiu”</w:t>
      </w:r>
      <w:r>
        <w:t xml:space="preserve">. Mas no mundo real, bens não vivem sozinhos. Quando a gasolina sobe, o etanol sorri. Quando o preço do churrasco dispara, o frango agradece. E quando o governo taxa refrigerante, o dono da água de coco comemora. Este capítulo é sobre essas</w:t>
      </w:r>
      <w:r>
        <w:t xml:space="preserve"> </w:t>
      </w:r>
      <w:r>
        <w:rPr>
          <w:b/>
          <w:bCs/>
        </w:rPr>
        <w:t xml:space="preserve">relações entre bens</w:t>
      </w:r>
      <w:r>
        <w:t xml:space="preserve">: quem é substituto de quem, quem é complemento, e por que a resposta depende de como você define a pergunta.</w:t>
      </w:r>
    </w:p>
    <w:p>
      <w:pPr>
        <w:pStyle w:val="BodyText"/>
      </w:pPr>
      <w:r>
        <w:t xml:space="preserve">A relevância é imediata: no Brasil, a decisão entre gasolina e etanol na bomba depende dos preços relativos (a regra dos 70%); o CADE avalia se duas marcas de cerveja são</w:t>
      </w:r>
      <w:r>
        <w:t xml:space="preserve"> </w:t>
      </w:r>
      <w:r>
        <w:t xml:space="preserve">“substitutas próximas”</w:t>
      </w:r>
      <w:r>
        <w:t xml:space="preserve"> </w:t>
      </w:r>
      <w:r>
        <w:t xml:space="preserve">antes de aprovar uma fusão; e a tributação seletiva sobre cigarros precisa saber se o cachimbo é substituto ou não. Tudo isso é elasticidade cruzada — o tema deste capítulo.</w:t>
      </w:r>
    </w:p>
    <w:p>
      <w:pPr>
        <w:pStyle w:val="BodyText"/>
      </w:pPr>
      <w:r>
        <w:t xml:space="preserve">Este capítulo encerra a Parte II do livro, fornecendo as ferramentas necessárias para a análise completa do lado da demanda. A jornada que fizemos até aqui nos trouxe de preferências e restrições orçamentárias (Capítulos 3–4) até a decomposição de Slutsky (Capítulo 5), que separou os efeitos de uma variação de preço em dois componentes interpretáveis. O instrumental de Slutsky é precisamente o que precisamos agora: o efeito substituição cruzado — o elemento fora da diagonal da matriz de Slutsky — é o núcleo analítico das classificações de substitutos e complementos que estudaremos aqui.</w:t>
      </w:r>
    </w:p>
    <w:p>
      <w:pPr>
        <w:pStyle w:val="BlockText"/>
      </w:pPr>
      <w:r>
        <w:rPr>
          <w:b/>
          <w:bCs/>
        </w:rPr>
        <w:t xml:space="preserve">[RESUMO] 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rPr>
                <w:b/>
                <w:bCs/>
              </w:rPr>
              <w:t xml:space="preserve">6.1–6.4</w:t>
            </w:r>
          </w:p>
        </w:tc>
        <w:tc>
          <w:tcPr/>
          <w:p>
            <w:pPr>
              <w:pStyle w:val="Compact"/>
            </w:pPr>
            <w:r>
              <w:t xml:space="preserve">Quais as relações cruzadas entre bens?</w:t>
            </w:r>
          </w:p>
        </w:tc>
        <w:tc>
          <w:tcPr/>
          <w:p>
            <w:pPr>
              <w:pStyle w:val="Compact"/>
            </w:pPr>
            <w:r>
              <w:t xml:space="preserve">Efeitos cruzados, substitutos/complementos brutos e líquidos, matriz de Slutsky</w:t>
            </w:r>
          </w:p>
        </w:tc>
        <w:tc>
          <w:tcPr/>
          <w:p>
            <w:pPr>
              <w:pStyle w:val="Compact"/>
              <w:jc w:val="center"/>
            </w:pPr>
            <w:r>
              <w:t xml:space="preserve">Relações</w:t>
            </w:r>
          </w:p>
        </w:tc>
      </w:tr>
      <w:tr>
        <w:tc>
          <w:tcPr/>
          <w:p>
            <w:pPr>
              <w:pStyle w:val="Compact"/>
              <w:jc w:val="center"/>
            </w:pPr>
            <w:r>
              <w:rPr>
                <w:b/>
                <w:bCs/>
              </w:rPr>
              <w:t xml:space="preserve">6.5–6.6</w:t>
            </w:r>
          </w:p>
        </w:tc>
        <w:tc>
          <w:tcPr/>
          <w:p>
            <w:pPr>
              <w:pStyle w:val="Compact"/>
            </w:pPr>
            <w:r>
              <w:t xml:space="preserve">Como simplificar uma economia com milhares de bens?</w:t>
            </w:r>
          </w:p>
        </w:tc>
        <w:tc>
          <w:tcPr/>
          <w:p>
            <w:pPr>
              <w:pStyle w:val="Compact"/>
            </w:pPr>
            <w:r>
              <w:t xml:space="preserve">Teorema do Bem Composto, modelo de Lancaster, preços hedônicos, Becker</w:t>
            </w:r>
          </w:p>
        </w:tc>
        <w:tc>
          <w:tcPr/>
          <w:p>
            <w:pPr>
              <w:pStyle w:val="Compact"/>
              <w:jc w:val="center"/>
            </w:pPr>
            <w:r>
              <w:t xml:space="preserve">Bem Composto e Lancaster</w:t>
            </w:r>
          </w:p>
        </w:tc>
      </w:tr>
      <w:tr>
        <w:tc>
          <w:tcPr/>
          <w:p>
            <w:pPr>
              <w:pStyle w:val="Compact"/>
              <w:jc w:val="center"/>
            </w:pPr>
            <w:r>
              <w:rPr>
                <w:b/>
                <w:bCs/>
              </w:rPr>
              <w:t xml:space="preserve">6.7–6.8</w:t>
            </w:r>
          </w:p>
        </w:tc>
        <w:tc>
          <w:tcPr/>
          <w:p>
            <w:pPr>
              <w:pStyle w:val="Compact"/>
            </w:pPr>
            <w:r>
              <w:t xml:space="preserve">A demanda de mercado herda as propriedades individuais?</w:t>
            </w:r>
          </w:p>
        </w:tc>
        <w:tc>
          <w:tcPr/>
          <w:p>
            <w:pPr>
              <w:pStyle w:val="Compact"/>
            </w:pPr>
            <w:r>
              <w:t xml:space="preserve">Agregação, condição de Gorman, classificação de pares brasileiros</w:t>
            </w:r>
          </w:p>
        </w:tc>
        <w:tc>
          <w:tcPr/>
          <w:p>
            <w:pPr>
              <w:pStyle w:val="Compact"/>
              <w:jc w:val="center"/>
            </w:pPr>
            <w:r>
              <w:t xml:space="preserve">Agregação</w:t>
            </w:r>
          </w:p>
        </w:tc>
      </w:tr>
      <w:tr>
        <w:tc>
          <w:tcPr/>
          <w:p>
            <w:pPr>
              <w:pStyle w:val="Compact"/>
              <w:jc w:val="center"/>
            </w:pPr>
            <w:r>
              <w:rPr>
                <w:b/>
                <w:bCs/>
              </w:rPr>
              <w:t xml:space="preserve">Exercícios</w:t>
            </w:r>
          </w:p>
        </w:tc>
        <w:tc>
          <w:tcPr/>
          <w:p>
            <w:pPr>
              <w:pStyle w:val="Compact"/>
            </w:pPr>
            <w:r>
              <w:t xml:space="preserve">Teste e aplique</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fronteira diz?</w:t>
            </w:r>
          </w:p>
        </w:tc>
        <w:tc>
          <w:tcPr/>
          <w:p>
            <w:pPr>
              <w:pStyle w:val="Compact"/>
            </w:pPr>
            <w:r>
              <w:t xml:space="preserve">AIDS, BLP, Rosen, Lewbel, Dubois et al.</w:t>
            </w:r>
          </w:p>
        </w:tc>
        <w:tc>
          <w:tcPr/>
          <w:p>
            <w:pPr>
              <w:pStyle w:val="Compact"/>
              <w:jc w:val="center"/>
            </w:pPr>
            <w:r>
              <w:t xml:space="preserve">Pesquisa</w:t>
            </w:r>
          </w:p>
        </w:tc>
      </w:tr>
    </w:tbl>
    <w:bookmarkStart w:id="293" w:name="Xef0c437349e0c0f40539f8b99b58e5b939888a6"/>
    <w:p>
      <w:pPr>
        <w:pStyle w:val="Heading2"/>
      </w:pPr>
      <w:r>
        <w:t xml:space="preserve">6.1–6.4 Efeitos Cruzados, Substitutos, Complementos e Matriz de Slutsky</w:t>
      </w:r>
    </w:p>
    <w:bookmarkStart w:id="287" w:name="X0b9ad894dffbb0ee92b3bae0f20179393bfb907"/>
    <w:p>
      <w:pPr>
        <w:pStyle w:val="Heading3"/>
      </w:pPr>
      <w:r>
        <w:t xml:space="preserve">6.1 A Gasolina Subiu — O Etanol Sorriu: Efeitos Cruzados</w:t>
      </w:r>
    </w:p>
    <w:p>
      <w:pPr>
        <w:pStyle w:val="FirstParagraph"/>
      </w:pPr>
      <w:r>
        <w:t xml:space="preserve">Comecemos pelo caso mais simples — e mais traiçoeiro: uma economia com apenas dois bens. A surpresa: com só dois bens,</w:t>
      </w:r>
      <w:r>
        <w:t xml:space="preserve"> </w:t>
      </w:r>
      <w:r>
        <w:rPr>
          <w:i/>
          <w:iCs/>
        </w:rPr>
        <w:t xml:space="preserve">não existe complementaridade</w:t>
      </w:r>
      <w:r>
        <w:t xml:space="preserve"> </w:t>
      </w:r>
      <w:r>
        <w:t xml:space="preserve">(no sentido hicksiano). Se o arroz fica caro e compensamos sua renda, você</w:t>
      </w:r>
      <w:r>
        <w:t xml:space="preserve"> </w:t>
      </w:r>
      <w:r>
        <w:rPr>
          <w:i/>
          <w:iCs/>
        </w:rPr>
        <w:t xml:space="preserve">necessariamente</w:t>
      </w:r>
      <w:r>
        <w:t xml:space="preserve"> </w:t>
      </w:r>
      <w:r>
        <w:t xml:space="preserve">come mais macarrão — porque não há mais nada no cardápio. A complementaridade — café e açúcar, por exemplo — só aparece quando existe uma terceira opção. Essa armadilha conceitual já enganou muita gente boa.</w:t>
      </w:r>
    </w:p>
    <w:p>
      <w:pPr>
        <w:pStyle w:val="BodyText"/>
      </w:pPr>
      <w:r>
        <w:t xml:space="preserve">Considere um consumidor que maximiza</w:t>
      </w:r>
      <w:r>
        <w:t xml:space="preserve"> </w:t>
      </w:r>
      <m:oMath>
        <m:r>
          <m:t>U</m:t>
        </m:r>
        <m:r>
          <m:rPr>
            <m:sty m:val="p"/>
          </m:rPr>
          <m:t>(</m:t>
        </m:r>
        <m:sSub>
          <m:e>
            <m:r>
              <m:t>x</m:t>
            </m:r>
          </m:e>
          <m:sub>
            <m:r>
              <m:t>1</m:t>
            </m:r>
          </m:sub>
        </m:sSub>
        <m:r>
          <m:rPr>
            <m:sty m:val="p"/>
          </m:rPr>
          <m:t>,</m:t>
        </m:r>
        <m:sSub>
          <m:e>
            <m:r>
              <m:t>x</m:t>
            </m:r>
          </m:e>
          <m:sub>
            <m:r>
              <m:t>2</m:t>
            </m:r>
          </m:sub>
        </m:sSub>
        <m:r>
          <m:rPr>
            <m:sty m:val="p"/>
          </m:rPr>
          <m:t>)</m:t>
        </m:r>
      </m:oMath>
      <w:r>
        <w:t xml:space="preserve"> </w:t>
      </w:r>
      <w:r>
        <w:t xml:space="preserve">sujeito à restrição orçamentária</w:t>
      </w:r>
      <w:r>
        <w:t xml:space="preserve"> </w:t>
      </w: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I</m:t>
        </m:r>
      </m:oMath>
      <w:r>
        <w:t xml:space="preserve">. As funções de demanda marshalliana</w:t>
      </w:r>
      <w:r>
        <w:t xml:space="preserve"> </w:t>
      </w:r>
      <m:oMath>
        <m:sSubSup>
          <m:e>
            <m:r>
              <m:t>x</m:t>
            </m:r>
          </m:e>
          <m:sub>
            <m:r>
              <m:t>1</m:t>
            </m:r>
          </m:sub>
          <m:sup>
            <m:r>
              <m:rPr>
                <m:sty m:val="p"/>
              </m:rPr>
              <m:t>*</m:t>
            </m:r>
          </m:sup>
        </m:sSubSup>
        <m:r>
          <m:rPr>
            <m:sty m:val="p"/>
          </m:rPr>
          <m:t>(</m:t>
        </m:r>
        <m:sSub>
          <m:e>
            <m:r>
              <m:t>p</m:t>
            </m:r>
          </m:e>
          <m:sub>
            <m:r>
              <m:t>1</m:t>
            </m:r>
          </m:sub>
        </m:sSub>
        <m:r>
          <m:rPr>
            <m:sty m:val="p"/>
          </m:rPr>
          <m:t>,</m:t>
        </m:r>
        <m:sSub>
          <m:e>
            <m:r>
              <m:t>p</m:t>
            </m:r>
          </m:e>
          <m:sub>
            <m:r>
              <m:t>2</m:t>
            </m:r>
          </m:sub>
        </m:sSub>
        <m:r>
          <m:rPr>
            <m:sty m:val="p"/>
          </m:rPr>
          <m:t>,</m:t>
        </m:r>
        <m:r>
          <m:t>I</m:t>
        </m:r>
        <m:r>
          <m:rPr>
            <m:sty m:val="p"/>
          </m:rPr>
          <m:t>)</m:t>
        </m:r>
      </m:oMath>
      <w:r>
        <w:t xml:space="preserve"> </w:t>
      </w:r>
      <w:r>
        <w:t xml:space="preserve">e</w:t>
      </w:r>
      <w:r>
        <w:t xml:space="preserve"> </w:t>
      </w:r>
      <m:oMath>
        <m:sSubSup>
          <m:e>
            <m:r>
              <m:t>x</m:t>
            </m:r>
          </m:e>
          <m:sub>
            <m:r>
              <m:t>2</m:t>
            </m:r>
          </m:sub>
          <m:sup>
            <m:r>
              <m:rPr>
                <m:sty m:val="p"/>
              </m:rPr>
              <m:t>*</m:t>
            </m:r>
          </m:sup>
        </m:sSubSup>
        <m:r>
          <m:rPr>
            <m:sty m:val="p"/>
          </m:rPr>
          <m:t>(</m:t>
        </m:r>
        <m:sSub>
          <m:e>
            <m:r>
              <m:t>p</m:t>
            </m:r>
          </m:e>
          <m:sub>
            <m:r>
              <m:t>1</m:t>
            </m:r>
          </m:sub>
        </m:sSub>
        <m:r>
          <m:rPr>
            <m:sty m:val="p"/>
          </m:rPr>
          <m:t>,</m:t>
        </m:r>
        <m:sSub>
          <m:e>
            <m:r>
              <m:t>p</m:t>
            </m:r>
          </m:e>
          <m:sub>
            <m:r>
              <m:t>2</m:t>
            </m:r>
          </m:sub>
        </m:sSub>
        <m:r>
          <m:rPr>
            <m:sty m:val="p"/>
          </m:rPr>
          <m:t>,</m:t>
        </m:r>
        <m:r>
          <m:t>I</m:t>
        </m:r>
        <m:r>
          <m:rPr>
            <m:sty m:val="p"/>
          </m:rPr>
          <m:t>)</m:t>
        </m:r>
      </m:oMath>
      <w:r>
        <w:t xml:space="preserve"> </w:t>
      </w:r>
      <w:r>
        <w:t xml:space="preserve">dependem de ambos os preços. O</w:t>
      </w:r>
      <w:r>
        <w:t xml:space="preserve"> </w:t>
      </w:r>
      <w:r>
        <w:rPr>
          <w:b/>
          <w:bCs/>
        </w:rPr>
        <w:t xml:space="preserve">efeito cruzado de preço</w:t>
      </w:r>
      <w:r>
        <w:t xml:space="preserve"> </w:t>
      </w:r>
      <w:r>
        <w:t xml:space="preserve">é a derivada parcial:</w:t>
      </w:r>
    </w:p>
    <w:p>
      <w:pPr>
        <w:pStyle w:val="BodyText"/>
      </w:pPr>
      <m:oMathPara>
        <m:oMathParaPr>
          <m:jc m:val="center"/>
        </m:oMathParaPr>
        <m:oMath>
          <m:f>
            <m:fPr>
              <m:type m:val="bar"/>
            </m:fPr>
            <m:num>
              <m:r>
                <m:rPr>
                  <m:sty m:val="p"/>
                </m:rPr>
                <m:t>∂</m:t>
              </m:r>
              <m:sSub>
                <m:e>
                  <m:r>
                    <m:t>x</m:t>
                  </m:r>
                </m:e>
                <m:sub>
                  <m:r>
                    <m:t>1</m:t>
                  </m:r>
                </m:sub>
              </m:sSub>
            </m:num>
            <m:den>
              <m:r>
                <m:rPr>
                  <m:sty m:val="p"/>
                </m:rPr>
                <m:t>∂</m:t>
              </m:r>
              <m:sSub>
                <m:e>
                  <m:r>
                    <m:t>p</m:t>
                  </m:r>
                </m:e>
                <m:sub>
                  <m:r>
                    <m:t>2</m:t>
                  </m:r>
                </m:sub>
              </m:sSub>
            </m:den>
          </m:f>
        </m:oMath>
      </m:oMathPara>
    </w:p>
    <w:p>
      <w:pPr>
        <w:pStyle w:val="FirstParagraph"/>
      </w:pPr>
      <w:r>
        <w:t xml:space="preserve">Pela Equação de Slutsky (Capítulo 5), essa derivada pode ser decomposta:</w:t>
      </w:r>
    </w:p>
    <w:p>
      <w:pPr>
        <w:pStyle w:val="BodyText"/>
      </w:pPr>
      <m:oMathPara>
        <m:oMathParaPr>
          <m:jc m:val="center"/>
        </m:oMathParaPr>
        <m:oMath>
          <m:f>
            <m:fPr>
              <m:type m:val="bar"/>
            </m:fPr>
            <m:num>
              <m:r>
                <m:rPr>
                  <m:sty m:val="p"/>
                </m:rPr>
                <m:t>∂</m:t>
              </m:r>
              <m:sSub>
                <m:e>
                  <m:r>
                    <m:t>x</m:t>
                  </m:r>
                </m:e>
                <m:sub>
                  <m:r>
                    <m:t>1</m:t>
                  </m:r>
                </m:sub>
              </m:sSub>
            </m:num>
            <m:den>
              <m:r>
                <m:rPr>
                  <m:sty m:val="p"/>
                </m:rPr>
                <m:t>∂</m:t>
              </m:r>
              <m:sSub>
                <m:e>
                  <m:r>
                    <m:t>p</m:t>
                  </m:r>
                </m:e>
                <m:sub>
                  <m:r>
                    <m:t>2</m:t>
                  </m:r>
                </m:sub>
              </m:sSub>
            </m:den>
          </m:f>
          <m:r>
            <m:rPr>
              <m:sty m:val="p"/>
            </m:rPr>
            <m:t>=</m:t>
          </m:r>
          <m:limLow>
            <m:e>
              <m:limLow>
                <m:e>
                  <m:f>
                    <m:fPr>
                      <m:type m:val="bar"/>
                    </m:fPr>
                    <m:num>
                      <m:r>
                        <m:rPr>
                          <m:sty m:val="p"/>
                        </m:rPr>
                        <m:t>∂</m:t>
                      </m:r>
                      <m:sSub>
                        <m:e>
                          <m:r>
                            <m:t>h</m:t>
                          </m:r>
                        </m:e>
                        <m:sub>
                          <m:r>
                            <m:t>1</m:t>
                          </m:r>
                        </m:sub>
                      </m:sSub>
                    </m:num>
                    <m:den>
                      <m:r>
                        <m:rPr>
                          <m:sty m:val="p"/>
                        </m:rPr>
                        <m:t>∂</m:t>
                      </m:r>
                      <m:sSub>
                        <m:e>
                          <m:r>
                            <m:t>p</m:t>
                          </m:r>
                        </m:e>
                        <m:sub>
                          <m:r>
                            <m:t>2</m:t>
                          </m:r>
                        </m:sub>
                      </m:sSub>
                    </m:den>
                  </m:f>
                </m:e>
                <m:lim>
                  <m:r>
                    <m:rPr>
                      <m:sty m:val="p"/>
                    </m:rPr>
                    <m:t>⏟</m:t>
                  </m:r>
                </m:lim>
              </m:limLow>
            </m:e>
            <m:lim>
              <m:r>
                <m:rPr>
                  <m:nor/>
                  <m:sty m:val="p"/>
                </m:rPr>
                <m:t>efeito substituição cruzado</m:t>
              </m:r>
            </m:lim>
          </m:limLow>
          <m:r>
            <m:rPr>
              <m:sty m:val="p"/>
            </m:rPr>
            <m:t>−</m:t>
          </m:r>
          <m:limLow>
            <m:e>
              <m:limLow>
                <m:e>
                  <m:sSub>
                    <m:e>
                      <m:r>
                        <m:t>x</m:t>
                      </m:r>
                    </m:e>
                    <m:sub>
                      <m:r>
                        <m:t>2</m:t>
                      </m:r>
                    </m:sub>
                  </m:sSub>
                  <m:f>
                    <m:fPr>
                      <m:type m:val="bar"/>
                    </m:fPr>
                    <m:num>
                      <m:r>
                        <m:rPr>
                          <m:sty m:val="p"/>
                        </m:rPr>
                        <m:t>∂</m:t>
                      </m:r>
                      <m:sSub>
                        <m:e>
                          <m:r>
                            <m:t>x</m:t>
                          </m:r>
                        </m:e>
                        <m:sub>
                          <m:r>
                            <m:t>1</m:t>
                          </m:r>
                        </m:sub>
                      </m:sSub>
                    </m:num>
                    <m:den>
                      <m:r>
                        <m:rPr>
                          <m:sty m:val="p"/>
                        </m:rPr>
                        <m:t>∂</m:t>
                      </m:r>
                      <m:r>
                        <m:t>I</m:t>
                      </m:r>
                    </m:den>
                  </m:f>
                </m:e>
                <m:lim>
                  <m:r>
                    <m:rPr>
                      <m:sty m:val="p"/>
                    </m:rPr>
                    <m:t>⏟</m:t>
                  </m:r>
                </m:lim>
              </m:limLow>
            </m:e>
            <m:lim>
              <m:r>
                <m:rPr>
                  <m:nor/>
                  <m:sty m:val="p"/>
                </m:rPr>
                <m:t>efeito renda cruzado</m:t>
              </m:r>
            </m:lim>
          </m:limLow>
        </m:oMath>
      </m:oMathPara>
    </w:p>
    <w:p>
      <w:pPr>
        <w:pStyle w:val="FirstParagraph"/>
      </w:pPr>
      <w:r>
        <w:t xml:space="preserve">No caso de dois bens, a restrição orçamentária impõe relações fortes. Se o preço de</w:t>
      </w:r>
      <w:r>
        <w:t xml:space="preserve"> </w:t>
      </w:r>
      <m:oMath>
        <m:sSub>
          <m:e>
            <m:r>
              <m:t>x</m:t>
            </m:r>
          </m:e>
          <m:sub>
            <m:r>
              <m:t>2</m:t>
            </m:r>
          </m:sub>
        </m:sSub>
      </m:oMath>
      <w:r>
        <w:t xml:space="preserve"> </w:t>
      </w:r>
      <w:r>
        <w:t xml:space="preserve">aumenta, o efeito substituição necessariamente empurra o consumidor na direção de</w:t>
      </w:r>
      <w:r>
        <w:t xml:space="preserve"> </w:t>
      </w:r>
      <m:oMath>
        <m:sSub>
          <m:e>
            <m:r>
              <m:t>x</m:t>
            </m:r>
          </m:e>
          <m:sub>
            <m:r>
              <m:t>1</m:t>
            </m:r>
          </m:sub>
        </m:sSub>
      </m:oMath>
      <w:r>
        <w:t xml:space="preserve"> </w:t>
      </w:r>
      <w:r>
        <w:t xml:space="preserve">— no caso de dois bens, o efeito substituição cruzado é sempre não negativo:</w:t>
      </w:r>
    </w:p>
    <w:p>
      <w:pPr>
        <w:pStyle w:val="BodyText"/>
      </w:pPr>
      <w:r>
        <w:t xml:space="preserve">$$
    \frac{\partial h_1}{\partial p_2} \geq 0 \quad \text{(com dois bens)} \label{eq:6.1.2} \tag{6.1.2}
    $$</w:t>
      </w:r>
    </w:p>
    <w:p>
      <w:pPr>
        <w:pStyle w:val="FirstParagraph"/>
      </w:pPr>
      <w:r>
        <w:t xml:space="preserve">Isso significa que, no sentido hicksiano,</w:t>
      </w:r>
      <w:r>
        <w:t xml:space="preserve"> </w:t>
      </w:r>
      <w:r>
        <w:rPr>
          <w:b/>
          <w:bCs/>
        </w:rPr>
        <w:t xml:space="preserve">dois bens são sempre substitutos líquidos</w:t>
      </w:r>
      <w:r>
        <w:t xml:space="preserve"> </w:t>
      </w:r>
      <w:r>
        <w:t xml:space="preserve">quando há apenas dois bens no modelo. A complementaridade só emerge com três ou mais bens.</w:t>
      </w:r>
    </w:p>
    <w:p>
      <w:pPr>
        <w:pStyle w:val="BodyText"/>
      </w:pPr>
      <w:r>
        <w:t xml:space="preserve">A razão algébrica para esse resultado é direta. Pela propriedade de homogeneidade de grau zero da demanda hicksiana (Teorema de Euler para funções homogêneas), temos</w:t>
      </w:r>
      <w:r>
        <w:t xml:space="preserve"> </w:t>
      </w:r>
      <m:oMath>
        <m:nary>
          <m:naryPr>
            <m:chr m:val="∑"/>
            <m:limLoc m:val="undOvr"/>
            <m:subHide m:val="off"/>
            <m:supHide m:val="on"/>
          </m:naryPr>
          <m:sub>
            <m:r>
              <m:t>j</m:t>
            </m:r>
          </m:sub>
          <m:sup>
            <m:r>
              <m:t>​</m:t>
            </m:r>
          </m:sup>
          <m:e>
            <m:sSub>
              <m:e>
                <m:r>
                  <m:t>p</m:t>
                </m:r>
              </m:e>
              <m:sub>
                <m:r>
                  <m:t>j</m:t>
                </m:r>
              </m:sub>
            </m:sSub>
          </m:e>
        </m:nary>
        <m:f>
          <m:fPr>
            <m:type m:val="bar"/>
          </m:fPr>
          <m:num>
            <m:r>
              <m:rPr>
                <m:sty m:val="p"/>
              </m:rPr>
              <m:t>∂</m:t>
            </m:r>
            <m:sSub>
              <m:e>
                <m:r>
                  <m:t>h</m:t>
                </m:r>
              </m:e>
              <m:sub>
                <m:r>
                  <m:t>1</m:t>
                </m:r>
              </m:sub>
            </m:sSub>
          </m:num>
          <m:den>
            <m:r>
              <m:rPr>
                <m:sty m:val="p"/>
              </m:rPr>
              <m:t>∂</m:t>
            </m:r>
            <m:sSub>
              <m:e>
                <m:r>
                  <m:t>p</m:t>
                </m:r>
              </m:e>
              <m:sub>
                <m:r>
                  <m:t>j</m:t>
                </m:r>
              </m:sub>
            </m:sSub>
          </m:den>
        </m:f>
        <m:r>
          <m:rPr>
            <m:sty m:val="p"/>
          </m:rPr>
          <m:t>=</m:t>
        </m:r>
        <m:r>
          <m:t>0</m:t>
        </m:r>
      </m:oMath>
      <w:r>
        <w:t xml:space="preserve">, o que implica:</w:t>
      </w:r>
    </w:p>
    <w:p>
      <w:pPr>
        <w:pStyle w:val="BodyText"/>
      </w:pPr>
      <m:oMathPara>
        <m:oMathParaPr>
          <m:jc m:val="center"/>
        </m:oMathParaPr>
        <m:oMath>
          <m:sSub>
            <m:e>
              <m:r>
                <m:t>p</m:t>
              </m:r>
            </m:e>
            <m:sub>
              <m:r>
                <m:t>1</m:t>
              </m:r>
            </m:sub>
          </m:sSub>
          <m:f>
            <m:fPr>
              <m:type m:val="bar"/>
            </m:fPr>
            <m:num>
              <m:r>
                <m:rPr>
                  <m:sty m:val="p"/>
                </m:rPr>
                <m:t>∂</m:t>
              </m:r>
              <m:sSub>
                <m:e>
                  <m:r>
                    <m:t>h</m:t>
                  </m:r>
                </m:e>
                <m:sub>
                  <m:r>
                    <m:t>1</m:t>
                  </m:r>
                </m:sub>
              </m:sSub>
            </m:num>
            <m:den>
              <m:r>
                <m:rPr>
                  <m:sty m:val="p"/>
                </m:rPr>
                <m:t>∂</m:t>
              </m:r>
              <m:sSub>
                <m:e>
                  <m:r>
                    <m:t>p</m:t>
                  </m:r>
                </m:e>
                <m:sub>
                  <m:r>
                    <m:t>1</m:t>
                  </m:r>
                </m:sub>
              </m:sSub>
            </m:den>
          </m:f>
          <m:r>
            <m:rPr>
              <m:sty m:val="p"/>
            </m:rPr>
            <m:t>+</m:t>
          </m:r>
          <m:sSub>
            <m:e>
              <m:r>
                <m:t>p</m:t>
              </m:r>
            </m:e>
            <m:sub>
              <m:r>
                <m:t>2</m:t>
              </m:r>
            </m:sub>
          </m:sSub>
          <m:f>
            <m:fPr>
              <m:type m:val="bar"/>
            </m:fPr>
            <m:num>
              <m:r>
                <m:rPr>
                  <m:sty m:val="p"/>
                </m:rPr>
                <m:t>∂</m:t>
              </m:r>
              <m:sSub>
                <m:e>
                  <m:r>
                    <m:t>h</m:t>
                  </m:r>
                </m:e>
                <m:sub>
                  <m:r>
                    <m:t>1</m:t>
                  </m:r>
                </m:sub>
              </m:sSub>
            </m:num>
            <m:den>
              <m:r>
                <m:rPr>
                  <m:sty m:val="p"/>
                </m:rPr>
                <m:t>∂</m:t>
              </m:r>
              <m:sSub>
                <m:e>
                  <m:r>
                    <m:t>p</m:t>
                  </m:r>
                </m:e>
                <m:sub>
                  <m:r>
                    <m:t>2</m:t>
                  </m:r>
                </m:sub>
              </m:sSub>
            </m:den>
          </m:f>
          <m:r>
            <m:rPr>
              <m:sty m:val="p"/>
            </m:rPr>
            <m:t>=</m:t>
          </m:r>
          <m:r>
            <m:t>0</m:t>
          </m:r>
        </m:oMath>
      </m:oMathPara>
    </w:p>
    <w:p>
      <w:pPr>
        <w:pStyle w:val="FirstParagraph"/>
      </w:pPr>
      <w:r>
        <w:t xml:space="preserve">Como</w:t>
      </w:r>
      <w:r>
        <w:t xml:space="preserve"> </w:t>
      </w:r>
      <m:oMath>
        <m:f>
          <m:fPr>
            <m:type m:val="bar"/>
          </m:fPr>
          <m:num>
            <m:r>
              <m:rPr>
                <m:sty m:val="p"/>
              </m:rPr>
              <m:t>∂</m:t>
            </m:r>
            <m:sSub>
              <m:e>
                <m:r>
                  <m:t>h</m:t>
                </m:r>
              </m:e>
              <m:sub>
                <m:r>
                  <m:t>1</m:t>
                </m:r>
              </m:sub>
            </m:sSub>
          </m:num>
          <m:den>
            <m:r>
              <m:rPr>
                <m:sty m:val="p"/>
              </m:rPr>
              <m:t>∂</m:t>
            </m:r>
            <m:sSub>
              <m:e>
                <m:r>
                  <m:t>p</m:t>
                </m:r>
              </m:e>
              <m:sub>
                <m:r>
                  <m:t>1</m:t>
                </m:r>
              </m:sub>
            </m:sSub>
          </m:den>
        </m:f>
        <m:r>
          <m:rPr>
            <m:sty m:val="p"/>
          </m:rPr>
          <m:t>≤</m:t>
        </m:r>
        <m:r>
          <m:t>0</m:t>
        </m:r>
      </m:oMath>
      <w:r>
        <w:t xml:space="preserve"> </w:t>
      </w:r>
      <w:r>
        <w:t xml:space="preserve">(lei da demanda compensada), o segundo termo deve ser não negativo — e como</w:t>
      </w:r>
      <w:r>
        <w:t xml:space="preserve"> </w:t>
      </w:r>
      <m:oMath>
        <m:sSub>
          <m:e>
            <m:r>
              <m:t>p</m:t>
            </m:r>
          </m:e>
          <m:sub>
            <m:r>
              <m:t>2</m:t>
            </m:r>
          </m:sub>
        </m:sSub>
        <m:r>
          <m:rPr>
            <m:sty m:val="p"/>
          </m:rPr>
          <m:t>&gt;</m:t>
        </m:r>
        <m:r>
          <m:t>0</m:t>
        </m:r>
      </m:oMath>
      <w:r>
        <w:t xml:space="preserve">, concluímos</w:t>
      </w:r>
      <w:r>
        <w:t xml:space="preserve"> </w:t>
      </w:r>
      <m:oMath>
        <m:f>
          <m:fPr>
            <m:type m:val="bar"/>
          </m:fPr>
          <m:num>
            <m:r>
              <m:rPr>
                <m:sty m:val="p"/>
              </m:rPr>
              <m:t>∂</m:t>
            </m:r>
            <m:sSub>
              <m:e>
                <m:r>
                  <m:t>h</m:t>
                </m:r>
              </m:e>
              <m:sub>
                <m:r>
                  <m:t>1</m:t>
                </m:r>
              </m:sub>
            </m:sSub>
          </m:num>
          <m:den>
            <m:r>
              <m:rPr>
                <m:sty m:val="p"/>
              </m:rPr>
              <m:t>∂</m:t>
            </m:r>
            <m:sSub>
              <m:e>
                <m:r>
                  <m:t>p</m:t>
                </m:r>
              </m:e>
              <m:sub>
                <m:r>
                  <m:t>2</m:t>
                </m:r>
              </m:sub>
            </m:sSub>
          </m:den>
        </m:f>
        <m:r>
          <m:rPr>
            <m:sty m:val="p"/>
          </m:rPr>
          <m:t>≥</m:t>
        </m:r>
        <m:r>
          <m:t>0</m:t>
        </m:r>
      </m:oMath>
      <w:r>
        <w:t xml:space="preserve">. A equação é a versão em dois bens da restrição Eq. (eq:6.4.5), que exploraremos na Seção 6.4.</w:t>
      </w:r>
    </w:p>
    <w:p>
      <w:pPr>
        <w:pStyle w:val="BodyText"/>
      </w:pPr>
      <w:r>
        <w:t xml:space="preserve">Vale notar que esse resultado tem uma conexão direta com o Teorema da Função Implícita (Capítulo 2): as condições de primeira ordem da minimização de dispêndio geram um sistema implícito, e a matriz de Slutsky nada mais é do que a Jacobiana das demandas compensadas em relação a preços — estrutura que garante as propriedades de simetria e semidefinição negativa que embasam o resultado acima. O caso de dois bens é um cenário tão restrito que a estrutura da matriz de Slutsky</w:t>
      </w:r>
      <w:r>
        <w:t xml:space="preserve"> </w:t>
      </w:r>
      <m:oMath>
        <m:r>
          <m:t>2</m:t>
        </m:r>
        <m:r>
          <m:rPr>
            <m:sty m:val="p"/>
          </m:rPr>
          <m:t>×</m:t>
        </m:r>
        <m:r>
          <m:t>2</m:t>
        </m:r>
      </m:oMath>
      <w:r>
        <w:t xml:space="preserve"> </w:t>
      </w:r>
      <w:r>
        <w:t xml:space="preserve">— com diagonal negativa e determinante não negativo — força o único elemento fora da diagonal a ser positivo. A riqueza analítica das relações de substituição e complementaridade, incluindo a possibilidade de complementaridade líquida, só se manifesta plenamente quando o número de bens é três ou mais.</w:t>
      </w:r>
    </w:p>
    <w:p>
      <w:pPr>
        <w:pStyle w:val="BlockText"/>
      </w:pPr>
      <w:r>
        <w:rPr>
          <w:b/>
          <w:bCs/>
        </w:rPr>
        <w:t xml:space="preserve">[INTUICAO ECONOMICA] Intuição Econômica</w:t>
      </w:r>
    </w:p>
    <w:p>
      <w:pPr>
        <w:pStyle w:val="BlockText"/>
      </w:pPr>
      <w:r>
        <w:rPr>
          <w:b/>
          <w:bCs/>
        </w:rPr>
        <w:t xml:space="preserve">Em uma frase:</w:t>
      </w:r>
      <w:r>
        <w:t xml:space="preserve"> </w:t>
      </w:r>
      <w:r>
        <w:t xml:space="preserve">Com apenas dois bens, eles são sempre substitutos líquidos — a complementaridade só emerge quando existe uma terceira opção.</w:t>
      </w:r>
    </w:p>
    <w:p>
      <w:pPr>
        <w:pStyle w:val="BlockText"/>
      </w:pPr>
      <w:r>
        <w:rPr>
          <w:b/>
          <w:bCs/>
        </w:rPr>
        <w:t xml:space="preserve">Pense assim:</w:t>
      </w:r>
      <w:r>
        <w:t xml:space="preserve"> </w:t>
      </w:r>
      <w:r>
        <w:t xml:space="preserve">Se no cardápio do almoço só há arroz e macarrão, e o arroz fica mais caro (com compensação de renda), você necessariamente come mais macarrão — não tem para onde fugir. Só quando existe uma terceira opção (salada) é que dois bens podem ser complementares líquidos.</w:t>
      </w:r>
    </w:p>
    <w:p>
      <w:pPr>
        <w:pStyle w:val="BlockText"/>
      </w:pPr>
      <w:r>
        <w:rPr>
          <w:b/>
          <w:bCs/>
        </w:rPr>
        <w:t xml:space="preserve">Por que isso importa:</w:t>
      </w:r>
      <w:r>
        <w:t xml:space="preserve"> </w:t>
      </w:r>
      <w:r>
        <w:t xml:space="preserve">Modelos com apenas dois bens podem ser enganosos para análise de política tributária: a complementaridade, que é fundamental para a regra de Ramsey de tributação ótima, simplesmente não aparece.</w:t>
      </w:r>
    </w:p>
    <w:p>
      <w:r>
        <w:pict>
          <v:rect style="width:0;height:1.5pt" o:hralign="center" o:hrstd="t" o:hr="t"/>
        </w:pict>
      </w:r>
    </w:p>
    <w:bookmarkEnd w:id="287"/>
    <w:bookmarkStart w:id="289" w:name="X027fadd803a02bba70eb606a1248b9f2733a228"/>
    <w:p>
      <w:pPr>
        <w:pStyle w:val="Heading3"/>
      </w:pPr>
      <w:r>
        <w:t xml:space="preserve">6.2 Amigos ou Rivais? Substitutos e Complementos Brutos</w:t>
      </w:r>
    </w:p>
    <w:p>
      <w:pPr>
        <w:pStyle w:val="FirstParagraph"/>
      </w:pPr>
      <w:r>
        <w:t xml:space="preserve">OK, com dois bens o resultado é trivial. Mas no supermercado real existem milhares de bens, e as relações são ricas: café sobe → açúcar cai (complementos); gasolina sobe → etanol sobe (substitutos); gasolina sobe → carros usados… caem? (complementos distantes). A classificação mais intuitiva — a que você</w:t>
      </w:r>
      <w:r>
        <w:t xml:space="preserve"> </w:t>
      </w:r>
      <w:r>
        <w:t xml:space="preserve">“vê”</w:t>
      </w:r>
      <w:r>
        <w:t xml:space="preserve"> </w:t>
      </w:r>
      <w:r>
        <w:t xml:space="preserve">diretamente nos dados de vendas — usa as derivadas cruzadas da demanda marshalliana, e é a que apresentamos agora.</w:t>
      </w:r>
    </w:p>
    <w:p>
      <w:pPr>
        <w:pStyle w:val="BlockText"/>
      </w:pPr>
      <w:r>
        <w:rPr>
          <w:b/>
          <w:bCs/>
        </w:rPr>
        <w:t xml:space="preserve">[DEFINICAO] Substitutos e complementos brutos</w:t>
      </w:r>
    </w:p>
    <w:p>
      <w:pPr>
        <w:pStyle w:val="BlockText"/>
      </w:pPr>
      <w:r>
        <w:t xml:space="preserve">Dois bens</w:t>
      </w:r>
      <w:r>
        <w:t xml:space="preserve"> </w:t>
      </w:r>
      <m:oMath>
        <m:r>
          <m:t>i</m:t>
        </m:r>
      </m:oMath>
      <w:r>
        <w:t xml:space="preserve"> </w:t>
      </w:r>
      <w:r>
        <w:t xml:space="preserve">e</w:t>
      </w:r>
      <w:r>
        <w:t xml:space="preserve"> </w:t>
      </w:r>
      <m:oMath>
        <m:r>
          <m:t>j</m:t>
        </m:r>
      </m:oMath>
      <w:r>
        <w:t xml:space="preserve"> </w:t>
      </w:r>
      <w:r>
        <w:t xml:space="preserve">são:</w:t>
      </w:r>
    </w:p>
    <w:p>
      <w:pPr>
        <w:pStyle w:val="Compact"/>
        <w:numPr>
          <w:ilvl w:val="0"/>
          <w:numId w:val="1262"/>
        </w:numPr>
      </w:pPr>
      <w:r>
        <w:rPr>
          <w:b/>
          <w:bCs/>
        </w:rPr>
        <w:t xml:space="preserve">Substitutos brutos</w:t>
      </w:r>
      <w:r>
        <w:t xml:space="preserve"> </w:t>
      </w:r>
      <w:r>
        <w:t xml:space="preserve">se</w:t>
      </w:r>
      <w:r>
        <w:t xml:space="preserve"> </w:t>
      </w:r>
      <m:oMath>
        <m:f>
          <m:fPr>
            <m:type m:val="bar"/>
          </m:fPr>
          <m:num>
            <m:r>
              <m:rPr>
                <m:sty m:val="p"/>
              </m:rPr>
              <m:t>∂</m:t>
            </m:r>
            <m:sSub>
              <m:e>
                <m:r>
                  <m:t>x</m:t>
                </m:r>
              </m:e>
              <m:sub>
                <m:r>
                  <m:t>i</m:t>
                </m:r>
              </m:sub>
            </m:sSub>
          </m:num>
          <m:den>
            <m:r>
              <m:rPr>
                <m:sty m:val="p"/>
              </m:rPr>
              <m:t>∂</m:t>
            </m:r>
            <m:sSub>
              <m:e>
                <m:r>
                  <m:t>p</m:t>
                </m:r>
              </m:e>
              <m:sub>
                <m:r>
                  <m:t>j</m:t>
                </m:r>
              </m:sub>
            </m:sSub>
          </m:den>
        </m:f>
        <m:r>
          <m:rPr>
            <m:sty m:val="p"/>
          </m:rPr>
          <m:t>&gt;</m:t>
        </m:r>
        <m:r>
          <m:t>0</m:t>
        </m:r>
      </m:oMath>
      <w:r>
        <w:t xml:space="preserve">: quando o preço de</w:t>
      </w:r>
      <w:r>
        <w:t xml:space="preserve"> </w:t>
      </w:r>
      <m:oMath>
        <m:r>
          <m:t>j</m:t>
        </m:r>
      </m:oMath>
      <w:r>
        <w:t xml:space="preserve"> </w:t>
      </w:r>
      <w:r>
        <w:t xml:space="preserve">sobe, a demanda por</w:t>
      </w:r>
      <w:r>
        <w:t xml:space="preserve"> </w:t>
      </w:r>
      <m:oMath>
        <m:r>
          <m:t>i</m:t>
        </m:r>
      </m:oMath>
      <w:r>
        <w:t xml:space="preserve"> </w:t>
      </w:r>
      <w:r>
        <w:t xml:space="preserve">aumenta.</w:t>
      </w:r>
    </w:p>
    <w:p>
      <w:pPr>
        <w:pStyle w:val="Compact"/>
        <w:numPr>
          <w:ilvl w:val="0"/>
          <w:numId w:val="1262"/>
        </w:numPr>
      </w:pPr>
      <w:r>
        <w:rPr>
          <w:b/>
          <w:bCs/>
        </w:rPr>
        <w:t xml:space="preserve">Complementos brutos</w:t>
      </w:r>
      <w:r>
        <w:t xml:space="preserve"> </w:t>
      </w:r>
      <w:r>
        <w:t xml:space="preserve">se</w:t>
      </w:r>
      <w:r>
        <w:t xml:space="preserve"> </w:t>
      </w:r>
      <m:oMath>
        <m:f>
          <m:fPr>
            <m:type m:val="bar"/>
          </m:fPr>
          <m:num>
            <m:r>
              <m:rPr>
                <m:sty m:val="p"/>
              </m:rPr>
              <m:t>∂</m:t>
            </m:r>
            <m:sSub>
              <m:e>
                <m:r>
                  <m:t>x</m:t>
                </m:r>
              </m:e>
              <m:sub>
                <m:r>
                  <m:t>i</m:t>
                </m:r>
              </m:sub>
            </m:sSub>
          </m:num>
          <m:den>
            <m:r>
              <m:rPr>
                <m:sty m:val="p"/>
              </m:rPr>
              <m:t>∂</m:t>
            </m:r>
            <m:sSub>
              <m:e>
                <m:r>
                  <m:t>p</m:t>
                </m:r>
              </m:e>
              <m:sub>
                <m:r>
                  <m:t>j</m:t>
                </m:r>
              </m:sub>
            </m:sSub>
          </m:den>
        </m:f>
        <m:r>
          <m:rPr>
            <m:sty m:val="p"/>
          </m:rPr>
          <m:t>&lt;</m:t>
        </m:r>
        <m:r>
          <m:t>0</m:t>
        </m:r>
      </m:oMath>
      <w:r>
        <w:t xml:space="preserve">: quando o preço de</w:t>
      </w:r>
      <w:r>
        <w:t xml:space="preserve"> </w:t>
      </w:r>
      <m:oMath>
        <m:r>
          <m:t>j</m:t>
        </m:r>
      </m:oMath>
      <w:r>
        <w:t xml:space="preserve"> </w:t>
      </w:r>
      <w:r>
        <w:t xml:space="preserve">sobe, a demanda por</w:t>
      </w:r>
      <w:r>
        <w:t xml:space="preserve"> </w:t>
      </w:r>
      <m:oMath>
        <m:r>
          <m:t>i</m:t>
        </m:r>
      </m:oMath>
      <w:r>
        <w:t xml:space="preserve"> </w:t>
      </w:r>
      <w:r>
        <w:t xml:space="preserve">cai.</w:t>
      </w:r>
    </w:p>
    <w:p>
      <w:pPr>
        <w:pStyle w:val="Compact"/>
        <w:numPr>
          <w:ilvl w:val="0"/>
          <w:numId w:val="1262"/>
        </w:numPr>
      </w:pPr>
      <w:r>
        <w:rPr>
          <w:b/>
          <w:bCs/>
        </w:rPr>
        <w:t xml:space="preserve">Independentes</w:t>
      </w:r>
      <w:r>
        <w:t xml:space="preserve"> </w:t>
      </w:r>
      <w:r>
        <w:t xml:space="preserve">se</w:t>
      </w:r>
      <w:r>
        <w:t xml:space="preserve"> </w:t>
      </w:r>
      <m:oMath>
        <m:f>
          <m:fPr>
            <m:type m:val="bar"/>
          </m:fPr>
          <m:num>
            <m:r>
              <m:rPr>
                <m:sty m:val="p"/>
              </m:rPr>
              <m:t>∂</m:t>
            </m:r>
            <m:sSub>
              <m:e>
                <m:r>
                  <m:t>x</m:t>
                </m:r>
              </m:e>
              <m:sub>
                <m:r>
                  <m:t>i</m:t>
                </m:r>
              </m:sub>
            </m:sSub>
          </m:num>
          <m:den>
            <m:r>
              <m:rPr>
                <m:sty m:val="p"/>
              </m:rPr>
              <m:t>∂</m:t>
            </m:r>
            <m:sSub>
              <m:e>
                <m:r>
                  <m:t>p</m:t>
                </m:r>
              </m:e>
              <m:sub>
                <m:r>
                  <m:t>j</m:t>
                </m:r>
              </m:sub>
            </m:sSub>
          </m:den>
        </m:f>
        <m:r>
          <m:rPr>
            <m:sty m:val="p"/>
          </m:rPr>
          <m:t>=</m:t>
        </m:r>
        <m:r>
          <m:t>0</m:t>
        </m:r>
      </m:oMath>
      <w:r>
        <w:t xml:space="preserve">.</w:t>
      </w:r>
    </w:p>
    <w:p>
      <w:pPr>
        <w:pStyle w:val="BlockText"/>
      </w:pPr>
      <w:r>
        <w:rPr>
          <w:b/>
          <w:bCs/>
        </w:rPr>
        <w:t xml:space="preserve">[NOTA] Assimetria da classificação bruta</w:t>
      </w:r>
    </w:p>
    <w:p>
      <w:pPr>
        <w:pStyle w:val="BlockText"/>
      </w:pPr>
      <w:r>
        <w:t xml:space="preserve">A classificação marshalliana</w:t>
      </w:r>
      <w:r>
        <w:t xml:space="preserve"> </w:t>
      </w:r>
      <w:r>
        <w:rPr>
          <w:b/>
          <w:bCs/>
        </w:rPr>
        <w:t xml:space="preserve">não é necessariamente simétrica</w:t>
      </w:r>
      <w:r>
        <w:t xml:space="preserve">: pode ocorrer que</w:t>
      </w:r>
      <w:r>
        <w:t xml:space="preserve"> </w:t>
      </w:r>
      <m:oMath>
        <m:f>
          <m:fPr>
            <m:type m:val="bar"/>
          </m:fPr>
          <m:num>
            <m:r>
              <m:rPr>
                <m:sty m:val="p"/>
              </m:rPr>
              <m:t>∂</m:t>
            </m:r>
            <m:sSub>
              <m:e>
                <m:r>
                  <m:t>x</m:t>
                </m:r>
              </m:e>
              <m:sub>
                <m:r>
                  <m:t>1</m:t>
                </m:r>
              </m:sub>
            </m:sSub>
          </m:num>
          <m:den>
            <m:r>
              <m:rPr>
                <m:sty m:val="p"/>
              </m:rPr>
              <m:t>∂</m:t>
            </m:r>
            <m:sSub>
              <m:e>
                <m:r>
                  <m:t>p</m:t>
                </m:r>
              </m:e>
              <m:sub>
                <m:r>
                  <m:t>2</m:t>
                </m:r>
              </m:sub>
            </m:sSub>
          </m:den>
        </m:f>
        <m:r>
          <m:rPr>
            <m:sty m:val="p"/>
          </m:rPr>
          <m:t>&gt;</m:t>
        </m:r>
        <m:r>
          <m:t>0</m:t>
        </m:r>
      </m:oMath>
      <w:r>
        <w:t xml:space="preserve"> </w:t>
      </w:r>
      <w:r>
        <w:t xml:space="preserve">enquanto</w:t>
      </w:r>
      <w:r>
        <w:t xml:space="preserve"> </w:t>
      </w:r>
      <m:oMath>
        <m:f>
          <m:fPr>
            <m:type m:val="bar"/>
          </m:fPr>
          <m:num>
            <m:r>
              <m:rPr>
                <m:sty m:val="p"/>
              </m:rPr>
              <m:t>∂</m:t>
            </m:r>
            <m:sSub>
              <m:e>
                <m:r>
                  <m:t>x</m:t>
                </m:r>
              </m:e>
              <m:sub>
                <m:r>
                  <m:t>2</m:t>
                </m:r>
              </m:sub>
            </m:sSub>
          </m:num>
          <m:den>
            <m:r>
              <m:rPr>
                <m:sty m:val="p"/>
              </m:rPr>
              <m:t>∂</m:t>
            </m:r>
            <m:sSub>
              <m:e>
                <m:r>
                  <m:t>p</m:t>
                </m:r>
              </m:e>
              <m:sub>
                <m:r>
                  <m:t>1</m:t>
                </m:r>
              </m:sub>
            </m:sSub>
          </m:den>
        </m:f>
        <m:r>
          <m:rPr>
            <m:sty m:val="p"/>
          </m:rPr>
          <m:t>&lt;</m:t>
        </m:r>
        <m:r>
          <m:t>0</m:t>
        </m:r>
      </m:oMath>
      <w:r>
        <w:t xml:space="preserve">. Isso decorre da interferência do efeito renda, que contamina a relação cruzada de forma assimétrica. Essa é uma das razões pelas quais a classificação hicksiana é teoricamente preferida.</w:t>
      </w:r>
    </w:p>
    <w:p>
      <w:pPr>
        <w:pStyle w:val="BlockText"/>
      </w:pPr>
      <w:r>
        <w:rPr>
          <w:b/>
          <w:bCs/>
        </w:rPr>
        <w:t xml:space="preserve">[ATENCAO] Erro Comum</w:t>
      </w:r>
    </w:p>
    <w:p>
      <w:pPr>
        <w:pStyle w:val="BlockText"/>
      </w:pPr>
      <w:r>
        <w:rPr>
          <w:b/>
          <w:bCs/>
        </w:rPr>
        <w:t xml:space="preserve">Supor que a relação de substitutibilidade bruta é simétrica.</w:t>
      </w:r>
    </w:p>
    <w:p>
      <w:pPr>
        <w:pStyle w:val="BlockText"/>
      </w:pPr>
      <w:r>
        <w:t xml:space="preserve">Um erro frequente é supor que, se</w:t>
      </w:r>
      <w:r>
        <w:t xml:space="preserve"> </w:t>
      </w:r>
      <m:oMath>
        <m:sSub>
          <m:e>
            <m:r>
              <m:t>x</m:t>
            </m:r>
          </m:e>
          <m:sub>
            <m:r>
              <m:t>1</m:t>
            </m:r>
          </m:sub>
        </m:sSub>
      </m:oMath>
      <w:r>
        <w:t xml:space="preserve"> </w:t>
      </w:r>
      <w:r>
        <w:t xml:space="preserve">é substituto bruto de</w:t>
      </w:r>
      <w:r>
        <w:t xml:space="preserve"> </w:t>
      </w:r>
      <m:oMath>
        <m:sSub>
          <m:e>
            <m:r>
              <m:t>x</m:t>
            </m:r>
          </m:e>
          <m:sub>
            <m:r>
              <m:t>2</m:t>
            </m:r>
          </m:sub>
        </m:sSub>
      </m:oMath>
      <w:r>
        <w:t xml:space="preserve">, então</w:t>
      </w:r>
      <w:r>
        <w:t xml:space="preserve"> </w:t>
      </w:r>
      <m:oMath>
        <m:sSub>
          <m:e>
            <m:r>
              <m:t>x</m:t>
            </m:r>
          </m:e>
          <m:sub>
            <m:r>
              <m:t>2</m:t>
            </m:r>
          </m:sub>
        </m:sSub>
      </m:oMath>
      <w:r>
        <w:t xml:space="preserve"> </w:t>
      </w:r>
      <w:r>
        <w:t xml:space="preserve">também é substituto bruto de</w:t>
      </w:r>
      <w:r>
        <w:t xml:space="preserve"> </w:t>
      </w:r>
      <m:oMath>
        <m:sSub>
          <m:e>
            <m:r>
              <m:t>x</m:t>
            </m:r>
          </m:e>
          <m:sub>
            <m:r>
              <m:t>1</m:t>
            </m:r>
          </m:sub>
        </m:sSub>
      </m:oMath>
      <w:r>
        <w:t xml:space="preserve">. Isso não é garantido. Considere dois bens normais com efeitos renda muito diferentes: suponha que o bem 2 tenha elasticidade-renda alta (um luxo), enquanto o bem 1 tenha elasticidade-renda baixa (uma necessidade). Um aumento em</w:t>
      </w:r>
      <w:r>
        <w:t xml:space="preserve"> </w:t>
      </w:r>
      <m:oMath>
        <m:sSub>
          <m:e>
            <m:r>
              <m:t>p</m:t>
            </m:r>
          </m:e>
          <m:sub>
            <m:r>
              <m:t>2</m:t>
            </m:r>
          </m:sub>
        </m:sSub>
      </m:oMath>
      <w:r>
        <w:t xml:space="preserve"> </w:t>
      </w:r>
      <w:r>
        <w:t xml:space="preserve">empobrece o consumidor substancialmente (ele gastava muito em bem 2), reduzindo a demanda por</w:t>
      </w:r>
      <w:r>
        <w:t xml:space="preserve"> </w:t>
      </w:r>
      <m:oMath>
        <m:sSub>
          <m:e>
            <m:r>
              <m:t>x</m:t>
            </m:r>
          </m:e>
          <m:sub>
            <m:r>
              <m:t>1</m:t>
            </m:r>
          </m:sub>
        </m:sSub>
      </m:oMath>
      <w:r>
        <w:t xml:space="preserve"> </w:t>
      </w:r>
      <w:r>
        <w:t xml:space="preserve">via efeito renda — o que pode fazer</w:t>
      </w:r>
      <w:r>
        <w:t xml:space="preserve"> </w:t>
      </w:r>
      <m:oMath>
        <m:f>
          <m:fPr>
            <m:type m:val="bar"/>
          </m:fPr>
          <m:num>
            <m:r>
              <m:rPr>
                <m:sty m:val="p"/>
              </m:rPr>
              <m:t>∂</m:t>
            </m:r>
            <m:sSub>
              <m:e>
                <m:r>
                  <m:t>x</m:t>
                </m:r>
              </m:e>
              <m:sub>
                <m:r>
                  <m:t>1</m:t>
                </m:r>
              </m:sub>
            </m:sSub>
          </m:num>
          <m:den>
            <m:r>
              <m:rPr>
                <m:sty m:val="p"/>
              </m:rPr>
              <m:t>∂</m:t>
            </m:r>
            <m:sSub>
              <m:e>
                <m:r>
                  <m:t>p</m:t>
                </m:r>
              </m:e>
              <m:sub>
                <m:r>
                  <m:t>2</m:t>
                </m:r>
              </m:sub>
            </m:sSub>
          </m:den>
        </m:f>
        <m:r>
          <m:rPr>
            <m:sty m:val="p"/>
          </m:rPr>
          <m:t>&lt;</m:t>
        </m:r>
        <m:r>
          <m:t>0</m:t>
        </m:r>
      </m:oMath>
      <w:r>
        <w:t xml:space="preserve"> </w:t>
      </w:r>
      <w:r>
        <w:t xml:space="preserve">mesmo que o efeito substituição seja positivo. No sentido oposto, um aumento em</w:t>
      </w:r>
      <w:r>
        <w:t xml:space="preserve"> </w:t>
      </w:r>
      <m:oMath>
        <m:sSub>
          <m:e>
            <m:r>
              <m:t>p</m:t>
            </m:r>
          </m:e>
          <m:sub>
            <m:r>
              <m:t>1</m:t>
            </m:r>
          </m:sub>
        </m:sSub>
      </m:oMath>
      <w:r>
        <w:t xml:space="preserve"> </w:t>
      </w:r>
      <w:r>
        <w:t xml:space="preserve">empobrece menos o consumidor (ele gastava pouco em bem 1), e o efeito substituição pode dominar, gerando</w:t>
      </w:r>
      <w:r>
        <w:t xml:space="preserve"> </w:t>
      </w:r>
      <m:oMath>
        <m:f>
          <m:fPr>
            <m:type m:val="bar"/>
          </m:fPr>
          <m:num>
            <m:r>
              <m:rPr>
                <m:sty m:val="p"/>
              </m:rPr>
              <m:t>∂</m:t>
            </m:r>
            <m:sSub>
              <m:e>
                <m:r>
                  <m:t>x</m:t>
                </m:r>
              </m:e>
              <m:sub>
                <m:r>
                  <m:t>2</m:t>
                </m:r>
              </m:sub>
            </m:sSub>
          </m:num>
          <m:den>
            <m:r>
              <m:rPr>
                <m:sty m:val="p"/>
              </m:rPr>
              <m:t>∂</m:t>
            </m:r>
            <m:sSub>
              <m:e>
                <m:r>
                  <m:t>p</m:t>
                </m:r>
              </m:e>
              <m:sub>
                <m:r>
                  <m:t>1</m:t>
                </m:r>
              </m:sub>
            </m:sSub>
          </m:den>
        </m:f>
        <m:r>
          <m:rPr>
            <m:sty m:val="p"/>
          </m:rPr>
          <m:t>&gt;</m:t>
        </m:r>
        <m:r>
          <m:t>0</m:t>
        </m:r>
      </m:oMath>
      <w:r>
        <w:t xml:space="preserve">.</w:t>
      </w:r>
    </w:p>
    <w:p>
      <w:pPr>
        <w:pStyle w:val="BlockText"/>
      </w:pPr>
      <w:r>
        <w:t xml:space="preserve">Em termos formais, da Equação de Slutsky temos:</w:t>
      </w:r>
    </w:p>
    <w:p>
      <w:pPr>
        <w:pStyle w:val="BlockText"/>
      </w:pPr>
      <w:r>
        <w:t xml:space="preserve">$$</w:t>
      </w:r>
    </w:p>
    <w:p>
      <w:pPr>
        <w:pStyle w:val="BlockText"/>
      </w:pPr>
      <w:r>
        <w:t xml:space="preserve"> </w:t>
      </w:r>
      <w:r>
        <w:t xml:space="preserve">-</w:t>
      </w:r>
      <w:r>
        <w:t xml:space="preserve"> </w:t>
      </w:r>
      <w:r>
        <w:t xml:space="preserve"> </w:t>
      </w:r>
      <w:r>
        <w:t xml:space="preserve">= x_2</w:t>
      </w:r>
      <w:r>
        <w:t xml:space="preserve"> </w:t>
      </w:r>
      <w:r>
        <w:t xml:space="preserve"> </w:t>
      </w:r>
      <w:r>
        <w:t xml:space="preserve">- x_1</w:t>
      </w:r>
      <w:r>
        <w:t xml:space="preserve"> </w:t>
      </w:r>
    </w:p>
    <w:p>
      <w:pPr>
        <w:pStyle w:val="BlockText"/>
      </w:pPr>
      <w:r>
        <w:t xml:space="preserve">$$</w:t>
      </w:r>
    </w:p>
    <w:p>
      <w:pPr>
        <w:pStyle w:val="BlockText"/>
      </w:pPr>
      <w:r>
        <w:t xml:space="preserve">A diferença entre as duas derivadas cruzadas marshallianas é proporcional à diferença entre os gastos ponderados pelas elasticidades-renda — em geral diferente de zero. Somente a classificação hicksiana é garantidamente simétrica, pois</w:t>
      </w:r>
      <w:r>
        <w:t xml:space="preserve"> </w:t>
      </w:r>
      <m:oMath>
        <m:f>
          <m:fPr>
            <m:type m:val="bar"/>
          </m:fPr>
          <m:num>
            <m:r>
              <m:rPr>
                <m:sty m:val="p"/>
              </m:rPr>
              <m:t>∂</m:t>
            </m:r>
            <m:sSub>
              <m:e>
                <m:r>
                  <m:t>h</m:t>
                </m:r>
              </m:e>
              <m:sub>
                <m:r>
                  <m:t>1</m:t>
                </m:r>
              </m:sub>
            </m:sSub>
          </m:num>
          <m:den>
            <m:r>
              <m:rPr>
                <m:sty m:val="p"/>
              </m:rPr>
              <m:t>∂</m:t>
            </m:r>
            <m:sSub>
              <m:e>
                <m:r>
                  <m:t>p</m:t>
                </m:r>
              </m:e>
              <m:sub>
                <m:r>
                  <m:t>2</m:t>
                </m:r>
              </m:sub>
            </m:sSub>
          </m:den>
        </m:f>
        <m:r>
          <m:rPr>
            <m:sty m:val="p"/>
          </m:rPr>
          <m:t>=</m:t>
        </m:r>
        <m:f>
          <m:fPr>
            <m:type m:val="bar"/>
          </m:fPr>
          <m:num>
            <m:r>
              <m:rPr>
                <m:sty m:val="p"/>
              </m:rPr>
              <m:t>∂</m:t>
            </m:r>
            <m:sSub>
              <m:e>
                <m:r>
                  <m:t>h</m:t>
                </m:r>
              </m:e>
              <m:sub>
                <m:r>
                  <m:t>2</m:t>
                </m:r>
              </m:sub>
            </m:sSub>
          </m:num>
          <m:den>
            <m:r>
              <m:rPr>
                <m:sty m:val="p"/>
              </m:rPr>
              <m:t>∂</m:t>
            </m:r>
            <m:sSub>
              <m:e>
                <m:r>
                  <m:t>p</m:t>
                </m:r>
              </m:e>
              <m:sub>
                <m:r>
                  <m:t>1</m:t>
                </m:r>
              </m:sub>
            </m:sSub>
          </m:den>
        </m:f>
      </m:oMath>
      <w:r>
        <w:t xml:space="preserve"> </w:t>
      </w:r>
      <w:r>
        <w:t xml:space="preserve">é uma propriedade da matriz de Slutsky que não depende de hipóteses sobre o efeito renda.</w:t>
      </w:r>
    </w:p>
    <w:p>
      <w:pPr>
        <w:pStyle w:val="BlockText"/>
      </w:pPr>
      <w:r>
        <w:rPr>
          <w:b/>
          <w:bCs/>
        </w:rPr>
        <w:t xml:space="preserve">[INTUICAO ECONOMICA] Intuição Econômica</w:t>
      </w:r>
    </w:p>
    <w:p>
      <w:pPr>
        <w:pStyle w:val="BlockText"/>
      </w:pPr>
      <w:r>
        <w:rPr>
          <w:b/>
          <w:bCs/>
        </w:rPr>
        <w:t xml:space="preserve">Em uma frase:</w:t>
      </w:r>
      <w:r>
        <w:t xml:space="preserve"> </w:t>
      </w:r>
      <w:r>
        <w:t xml:space="preserve">Substitutos são bens que competem pela sua escolha; complementos são bens que andam juntos — e a classificação muda conforme você isole ou não o efeito renda.</w:t>
      </w:r>
    </w:p>
    <w:p>
      <w:pPr>
        <w:pStyle w:val="BlockText"/>
      </w:pPr>
      <w:r>
        <w:rPr>
          <w:b/>
          <w:bCs/>
        </w:rPr>
        <w:t xml:space="preserve">Pense assim:</w:t>
      </w:r>
      <w:r>
        <w:t xml:space="preserve"> </w:t>
      </w:r>
      <w:r>
        <w:t xml:space="preserve">No posto de gasolina, gasolina e etanol são substitutos — se um encarece, você abastece com o outro. Já arroz e feijão são complementos: ninguém pede</w:t>
      </w:r>
      <w:r>
        <w:t xml:space="preserve"> </w:t>
      </w:r>
      <w:r>
        <w:t xml:space="preserve">“só arroz”</w:t>
      </w:r>
      <w:r>
        <w:t xml:space="preserve"> </w:t>
      </w:r>
      <w:r>
        <w:t xml:space="preserve">no prato feito. A classificação</w:t>
      </w:r>
      <w:r>
        <w:t xml:space="preserve"> </w:t>
      </w:r>
      <w:r>
        <w:t xml:space="preserve">“bruta”</w:t>
      </w:r>
      <w:r>
        <w:t xml:space="preserve"> </w:t>
      </w:r>
      <w:r>
        <w:t xml:space="preserve">(marshalliana) mistura o efeito renda; a</w:t>
      </w:r>
      <w:r>
        <w:t xml:space="preserve"> </w:t>
      </w:r>
      <w:r>
        <w:t xml:space="preserve">“líquida”</w:t>
      </w:r>
      <w:r>
        <w:t xml:space="preserve"> </w:t>
      </w:r>
      <w:r>
        <w:t xml:space="preserve">(hicksiana) isola a substituição pura. Dois bens podem parecer complementos nos dados, mas ser substitutos puros quando se desconta o empobrecimento.</w:t>
      </w:r>
    </w:p>
    <w:p>
      <w:pPr>
        <w:pStyle w:val="BlockText"/>
      </w:pPr>
      <w:r>
        <w:rPr>
          <w:b/>
          <w:bCs/>
        </w:rPr>
        <w:t xml:space="preserve">Por que isso importa:</w:t>
      </w:r>
      <w:r>
        <w:t xml:space="preserve"> </w:t>
      </w:r>
      <w:r>
        <w:t xml:space="preserve">Saber se dois bens são substitutos ou complementos é essencial para prever os efeitos de impostos seletivos — por exemplo, tributar refrigerante aumenta a demanda por água mineral (substitutos), mas não por copos descartáveis (complementos).</w:t>
      </w:r>
    </w:p>
    <w:p>
      <w:pPr>
        <w:pStyle w:val="FirstParagraph"/>
      </w:pPr>
      <w:r>
        <w:rPr>
          <w:b/>
          <w:bCs/>
        </w:rPr>
        <w:t xml:space="preserve">Exemplos para o contexto brasileiro:</w:t>
      </w:r>
    </w:p>
    <w:p>
      <w:pPr>
        <w:pStyle w:val="Compact"/>
        <w:numPr>
          <w:ilvl w:val="0"/>
          <w:numId w:val="1263"/>
        </w:numPr>
      </w:pPr>
      <w:r>
        <w:rPr>
          <w:b/>
          <w:bCs/>
        </w:rPr>
        <w:t xml:space="preserve">Carne bovina e frango</w:t>
      </w:r>
      <w:r>
        <w:t xml:space="preserve">: substitutos brutos — quando a carne bovina encarece, a demanda por frango tende a subir. Dados do</w:t>
      </w:r>
      <w:r>
        <w:t xml:space="preserve"> </w:t>
      </w:r>
      <w:hyperlink r:id="rId288">
        <w:r>
          <w:rPr>
            <w:rStyle w:val="Hyperlink"/>
          </w:rPr>
          <w:t xml:space="preserve">CEPEA/ESALQ</w:t>
        </w:r>
      </w:hyperlink>
      <w:r>
        <w:t xml:space="preserve"> </w:t>
      </w:r>
      <w:r>
        <w:t xml:space="preserve">mostram que, entre 2019 e 2021, a arroba do boi gordo subiu cerca de 80% em termos reais, período em que o consumo per capita de frango cresceu significativamente.</w:t>
      </w:r>
    </w:p>
    <w:p>
      <w:pPr>
        <w:pStyle w:val="Compact"/>
        <w:numPr>
          <w:ilvl w:val="0"/>
          <w:numId w:val="1263"/>
        </w:numPr>
      </w:pPr>
      <w:r>
        <w:rPr>
          <w:b/>
          <w:bCs/>
        </w:rPr>
        <w:t xml:space="preserve">Automóvel e gasolina</w:t>
      </w:r>
      <w:r>
        <w:t xml:space="preserve">: complementos brutos — se o preço do automóvel sobe, as vendas caem e, consequentemente, a demanda por gasolina também.</w:t>
      </w:r>
    </w:p>
    <w:p>
      <w:pPr>
        <w:pStyle w:val="Compact"/>
        <w:numPr>
          <w:ilvl w:val="0"/>
          <w:numId w:val="1263"/>
        </w:numPr>
      </w:pPr>
      <w:r>
        <w:rPr>
          <w:b/>
          <w:bCs/>
        </w:rPr>
        <w:t xml:space="preserve">Arroz e feijão</w:t>
      </w:r>
      <w:r>
        <w:t xml:space="preserve">: complementos brutos — o par arroz-feijão forma a base da alimentação brasileira e o consumo tende a se mover na mesma direção. Segundo a POF/</w:t>
      </w:r>
      <w:hyperlink r:id="rId35">
        <w:r>
          <w:rPr>
            <w:rStyle w:val="Hyperlink"/>
          </w:rPr>
          <w:t xml:space="preserve">IBGE</w:t>
        </w:r>
      </w:hyperlink>
      <w:r>
        <w:t xml:space="preserve"> </w:t>
      </w:r>
      <w:r>
        <w:t xml:space="preserve">2017-2018, o arroz e feijão estão presentes em mais de 70% dos domicílios brasileiros.</w:t>
      </w:r>
    </w:p>
    <w:p>
      <w:pPr>
        <w:pStyle w:val="FirstParagraph"/>
      </w:pPr>
      <w:r>
        <w:t xml:space="preserve">É importante compreender por que a classificação marshalliana, apesar de seus problemas teóricos de assimetria, continua sendo amplamente utilizada em estudos empíricos. A razão é simples: ela é diretamente observável. Os econometristas estimam as funções de demanda marshalliana a partir de variações nos preços de mercado e nas quantidades compradas — dados que os institutos de pesquisa (IBGE, IPEA, Ipespe) efetivamente coletam. Para estimar as demandas hicksianas seria necessário observar as demandas a utilidade constante, o que requer informações adicionais sobre a função utilidade ou a função dispêndio que dificilmente estão disponíveis diretamente. Por isso, o economista aplicado frequentemente trabalha com a classificação marshalliana e, quando necessário, usa a Equação de Slutsky para inferir as relações hicksianas a partir das estimativas marshallianas e de informações sobre a elasticidade-renda.</w:t>
      </w:r>
    </w:p>
    <w:p>
      <w:pPr>
        <w:pStyle w:val="BodyText"/>
      </w:pPr>
      <w:r>
        <w:t xml:space="preserve">A palavra</w:t>
      </w:r>
      <w:r>
        <w:t xml:space="preserve"> </w:t>
      </w:r>
      <w:r>
        <w:t xml:space="preserve">“bruta”</w:t>
      </w:r>
      <w:r>
        <w:t xml:space="preserve"> </w:t>
      </w:r>
      <w:r>
        <w:t xml:space="preserve">na expressão</w:t>
      </w:r>
      <w:r>
        <w:t xml:space="preserve"> </w:t>
      </w:r>
      <w:r>
        <w:t xml:space="preserve">“substituto bruto”</w:t>
      </w:r>
      <w:r>
        <w:t xml:space="preserve"> </w:t>
      </w:r>
      <w:r>
        <w:t xml:space="preserve">evoca justamente essa contaminação: a derivada</w:t>
      </w:r>
      <w:r>
        <w:t xml:space="preserve"> </w:t>
      </w:r>
      <m:oMath>
        <m:f>
          <m:fPr>
            <m:type m:val="bar"/>
          </m:fPr>
          <m:num>
            <m:r>
              <m:rPr>
                <m:sty m:val="p"/>
              </m:rPr>
              <m:t>∂</m:t>
            </m:r>
            <m:sSub>
              <m:e>
                <m:r>
                  <m:t>x</m:t>
                </m:r>
              </m:e>
              <m:sub>
                <m:r>
                  <m:t>i</m:t>
                </m:r>
              </m:sub>
            </m:sSub>
          </m:num>
          <m:den>
            <m:r>
              <m:rPr>
                <m:sty m:val="p"/>
              </m:rPr>
              <m:t>∂</m:t>
            </m:r>
            <m:sSub>
              <m:e>
                <m:r>
                  <m:t>p</m:t>
                </m:r>
              </m:e>
              <m:sub>
                <m:r>
                  <m:t>j</m:t>
                </m:r>
              </m:sub>
            </m:sSub>
          </m:den>
        </m:f>
      </m:oMath>
      <w:r>
        <w:t xml:space="preserve"> </w:t>
      </w:r>
      <w:r>
        <w:t xml:space="preserve">mistura, de forma inseparável, a resposta substitutiva pura (a tendência de trocar um bem por outro quando seus preços relativos mudam) com a resposta de renda (a redução no poder de compra que acompanha toda elevação de preço). A classificação bruta não é errada — ela descreve fielmente o comportamento observado no mercado. Mas é incompleta como base teórica, porque não revela a estrutura subjacente das preferências.</w:t>
      </w:r>
    </w:p>
    <w:p>
      <w:pPr>
        <w:pStyle w:val="BlockText"/>
      </w:pPr>
      <w:r>
        <w:rPr>
          <w:b/>
          <w:bCs/>
        </w:rPr>
        <w:t xml:space="preserve">[EXERCICIO RESOLVIDO] Exercício Resolvido 6.1 — Elasticidade-preço cruzada com Cobb-Douglas</w:t>
      </w:r>
    </w:p>
    <w:p>
      <w:pPr>
        <w:pStyle w:val="BlockText"/>
      </w:pPr>
      <w:r>
        <w:rPr>
          <w:b/>
          <w:bCs/>
        </w:rPr>
        <w:t xml:space="preserve">Enunciado.</w:t>
      </w:r>
      <w:r>
        <w:t xml:space="preserve"> </w:t>
      </w:r>
      <w:r>
        <w:t xml:space="preserve">Considere a função de utilidade Cobb-Douglas</w:t>
      </w:r>
      <w:r>
        <w:t xml:space="preserve"> </w:t>
      </w:r>
      <m:oMath>
        <m:r>
          <m:t>U</m:t>
        </m:r>
        <m:r>
          <m:rPr>
            <m:sty m:val="p"/>
          </m:rPr>
          <m:t>(</m:t>
        </m:r>
        <m:r>
          <m:t>x</m:t>
        </m:r>
        <m:r>
          <m:rPr>
            <m:sty m:val="p"/>
          </m:rPr>
          <m:t>,</m:t>
        </m:r>
        <m:r>
          <m:t>y</m:t>
        </m:r>
        <m:r>
          <m:rPr>
            <m:sty m:val="p"/>
          </m:rPr>
          <m:t>)</m:t>
        </m:r>
        <m:r>
          <m:rPr>
            <m:sty m:val="p"/>
          </m:rPr>
          <m:t>=</m:t>
        </m:r>
        <m:sSup>
          <m:e>
            <m:r>
              <m:t>x</m:t>
            </m:r>
          </m:e>
          <m:sup>
            <m:r>
              <m:t>a</m:t>
            </m:r>
          </m:sup>
        </m:sSup>
        <m:sSup>
          <m:e>
            <m:r>
              <m:t>y</m:t>
            </m:r>
          </m:e>
          <m:sup>
            <m:r>
              <m:t>1</m:t>
            </m:r>
            <m:r>
              <m:rPr>
                <m:sty m:val="p"/>
              </m:rPr>
              <m:t>−</m:t>
            </m:r>
            <m:r>
              <m:t>a</m:t>
            </m:r>
          </m:sup>
        </m:sSup>
      </m:oMath>
      <w:r>
        <w:t xml:space="preserve">, com</w:t>
      </w:r>
      <w:r>
        <w:t xml:space="preserve"> </w:t>
      </w:r>
      <m:oMath>
        <m:r>
          <m:t>0</m:t>
        </m:r>
        <m:r>
          <m:rPr>
            <m:sty m:val="p"/>
          </m:rPr>
          <m:t>&lt;</m:t>
        </m:r>
        <m:r>
          <m:t>a</m:t>
        </m:r>
        <m:r>
          <m:rPr>
            <m:sty m:val="p"/>
          </m:rPr>
          <m:t>&lt;</m:t>
        </m:r>
        <m:r>
          <m:t>1</m:t>
        </m:r>
      </m:oMath>
      <w:r>
        <w:t xml:space="preserve">, preços</w:t>
      </w:r>
      <w:r>
        <w:t xml:space="preserve"> </w:t>
      </w:r>
      <m:oMath>
        <m:sSub>
          <m:e>
            <m:r>
              <m:t>p</m:t>
            </m:r>
          </m:e>
          <m:sub>
            <m:r>
              <m:t>x</m:t>
            </m:r>
          </m:sub>
        </m:sSub>
        <m:r>
          <m:rPr>
            <m:sty m:val="p"/>
          </m:rPr>
          <m:t>,</m:t>
        </m:r>
        <m:sSub>
          <m:e>
            <m:r>
              <m:t>p</m:t>
            </m:r>
          </m:e>
          <m:sub>
            <m:r>
              <m:t>y</m:t>
            </m:r>
          </m:sub>
        </m:sSub>
      </m:oMath>
      <w:r>
        <w:t xml:space="preserve"> </w:t>
      </w:r>
      <w:r>
        <w:t xml:space="preserve">e renda</w:t>
      </w:r>
      <w:r>
        <w:t xml:space="preserve"> </w:t>
      </w:r>
      <m:oMath>
        <m:r>
          <m:t>I</m:t>
        </m:r>
      </m:oMath>
      <w:r>
        <w:t xml:space="preserve">.</w:t>
      </w:r>
    </w:p>
    <w:p>
      <w:pPr>
        <w:pStyle w:val="BlockText"/>
        <w:numPr>
          <w:ilvl w:val="0"/>
          <w:numId w:val="1264"/>
        </w:numPr>
      </w:pPr>
      <w:r>
        <w:t xml:space="preserve">Derive as demandas marshallianas.</w:t>
      </w:r>
    </w:p>
    <w:p>
      <w:pPr>
        <w:pStyle w:val="BlockText"/>
        <w:numPr>
          <w:ilvl w:val="0"/>
          <w:numId w:val="1264"/>
        </w:numPr>
      </w:pPr>
      <w:r>
        <w:t xml:space="preserve">Calcule a elasticidade-preço cruzada da demanda por</w:t>
      </w:r>
      <w:r>
        <w:t xml:space="preserve"> </w:t>
      </w:r>
      <m:oMath>
        <m:r>
          <m:t>x</m:t>
        </m:r>
      </m:oMath>
      <w:r>
        <w:t xml:space="preserve"> </w:t>
      </w:r>
      <w:r>
        <w:t xml:space="preserve">em relação a</w:t>
      </w:r>
      <w:r>
        <w:t xml:space="preserve"> </w:t>
      </w:r>
      <m:oMath>
        <m:sSub>
          <m:e>
            <m:r>
              <m:t>p</m:t>
            </m:r>
          </m:e>
          <m:sub>
            <m:r>
              <m:t>y</m:t>
            </m:r>
          </m:sub>
        </m:sSub>
      </m:oMath>
      <w:r>
        <w:t xml:space="preserve">.</w:t>
      </w:r>
    </w:p>
    <w:p>
      <w:pPr>
        <w:pStyle w:val="BlockText"/>
        <w:numPr>
          <w:ilvl w:val="0"/>
          <w:numId w:val="1264"/>
        </w:numPr>
      </w:pPr>
      <w:r>
        <w:t xml:space="preserve">Interprete o resultado à luz da classificação bruta (marshalliana).</w:t>
      </w:r>
    </w:p>
    <w:p>
      <w:pPr>
        <w:pStyle w:val="BlockText"/>
      </w:pPr>
      <w:r>
        <w:rPr>
          <w:b/>
          <w:bCs/>
        </w:rPr>
        <w:t xml:space="preserve">Solução.</w:t>
      </w:r>
    </w:p>
    <w:p>
      <w:pPr>
        <w:pStyle w:val="BlockText"/>
      </w:pPr>
      <w:r>
        <w:rPr>
          <w:b/>
          <w:bCs/>
        </w:rPr>
        <w:t xml:space="preserve">(a)</w:t>
      </w:r>
      <w:r>
        <w:t xml:space="preserve"> </w:t>
      </w:r>
      <w:r>
        <w:t xml:space="preserve">As demandas marshallianas da Cobb-Douglas são:</w:t>
      </w:r>
    </w:p>
    <w:p>
      <w:pPr>
        <w:pStyle w:val="BlockText"/>
      </w:pPr>
      <w:r>
        <w:t xml:space="preserve">$$</w:t>
      </w:r>
    </w:p>
    <w:p>
      <w:pPr>
        <w:pStyle w:val="BlockText"/>
      </w:pPr>
      <w:r>
        <w:t xml:space="preserve">x^* =</w:t>
      </w:r>
      <w:r>
        <w:t xml:space="preserve"> </w:t>
      </w:r>
      <w:r>
        <w:t xml:space="preserve">,</w:t>
      </w:r>
      <w:r>
        <w:t xml:space="preserve"> </w:t>
      </w:r>
      <w:r>
        <w:t xml:space="preserve">y^* =</w:t>
      </w:r>
      <w:r>
        <w:t xml:space="preserve"> </w:t>
      </w:r>
    </w:p>
    <w:p>
      <w:pPr>
        <w:pStyle w:val="BlockText"/>
      </w:pPr>
      <w:r>
        <w:t xml:space="preserve">$$</w:t>
      </w:r>
    </w:p>
    <w:p>
      <w:pPr>
        <w:pStyle w:val="BlockText"/>
      </w:pPr>
      <w:r>
        <w:rPr>
          <w:b/>
          <w:bCs/>
        </w:rPr>
        <w:t xml:space="preserve">(b)</w:t>
      </w:r>
      <w:r>
        <w:t xml:space="preserve"> </w:t>
      </w:r>
      <w:r>
        <w:t xml:space="preserve">A elasticidade-preço cruzada de</w:t>
      </w:r>
      <w:r>
        <w:t xml:space="preserve"> </w:t>
      </w:r>
      <m:oMath>
        <m:r>
          <m:t>x</m:t>
        </m:r>
      </m:oMath>
      <w:r>
        <w:t xml:space="preserve"> </w:t>
      </w:r>
      <w:r>
        <w:t xml:space="preserve">em relação a</w:t>
      </w:r>
      <w:r>
        <w:t xml:space="preserve"> </w:t>
      </w:r>
      <m:oMath>
        <m:sSub>
          <m:e>
            <m:r>
              <m:t>p</m:t>
            </m:r>
          </m:e>
          <m:sub>
            <m:r>
              <m:t>y</m:t>
            </m:r>
          </m:sub>
        </m:sSub>
      </m:oMath>
      <w:r>
        <w:t xml:space="preserve"> </w:t>
      </w:r>
      <w:r>
        <w:t xml:space="preserve">é:</w:t>
      </w:r>
    </w:p>
    <w:p>
      <w:pPr>
        <w:pStyle w:val="BlockText"/>
      </w:pPr>
      <w:r>
        <w:t xml:space="preserve">$$</w:t>
      </w:r>
    </w:p>
    <w:p>
      <w:pPr>
        <w:pStyle w:val="BlockText"/>
      </w:pPr>
      <w:r>
        <w:t xml:space="preserve">_{x, p_y} =</w:t>
      </w:r>
      <w:r>
        <w:t xml:space="preserve"> </w:t>
      </w:r>
      <w:r>
        <w:t xml:space="preserve"> </w:t>
      </w:r>
    </w:p>
    <w:p>
      <w:pPr>
        <w:pStyle w:val="BlockText"/>
      </w:pPr>
      <w:r>
        <w:t xml:space="preserve">$$</w:t>
      </w:r>
    </w:p>
    <w:p>
      <w:pPr>
        <w:pStyle w:val="BlockText"/>
      </w:pPr>
      <w:r>
        <w:t xml:space="preserve">Como</w:t>
      </w:r>
      <w:r>
        <w:t xml:space="preserve"> </w:t>
      </w:r>
      <m:oMath>
        <m:sSup>
          <m:e>
            <m:r>
              <m:t>x</m:t>
            </m:r>
          </m:e>
          <m:sup>
            <m:r>
              <m:rPr>
                <m:sty m:val="p"/>
              </m:rPr>
              <m:t>*</m:t>
            </m:r>
          </m:sup>
        </m:sSup>
        <m:r>
          <m:rPr>
            <m:sty m:val="p"/>
          </m:rPr>
          <m:t>=</m:t>
        </m:r>
        <m:f>
          <m:fPr>
            <m:type m:val="bar"/>
          </m:fPr>
          <m:num>
            <m:r>
              <m:t>a</m:t>
            </m:r>
            <m:r>
              <m:t>I</m:t>
            </m:r>
          </m:num>
          <m:den>
            <m:sSub>
              <m:e>
                <m:r>
                  <m:t>p</m:t>
                </m:r>
              </m:e>
              <m:sub>
                <m:r>
                  <m:t>x</m:t>
                </m:r>
              </m:sub>
            </m:sSub>
          </m:den>
        </m:f>
      </m:oMath>
      <w:r>
        <w:t xml:space="preserve"> </w:t>
      </w:r>
      <w:r>
        <w:t xml:space="preserve">não depende de</w:t>
      </w:r>
      <w:r>
        <w:t xml:space="preserve"> </w:t>
      </w:r>
      <m:oMath>
        <m:sSub>
          <m:e>
            <m:r>
              <m:t>p</m:t>
            </m:r>
          </m:e>
          <m:sub>
            <m:r>
              <m:t>y</m:t>
            </m:r>
          </m:sub>
        </m:sSub>
      </m:oMath>
      <w:r>
        <w:t xml:space="preserve">:</w:t>
      </w:r>
    </w:p>
    <w:p>
      <w:pPr>
        <w:pStyle w:val="BlockText"/>
      </w:pPr>
      <w:r>
        <w:t xml:space="preserve">$$</w:t>
      </w:r>
    </w:p>
    <w:p>
      <w:pPr>
        <w:pStyle w:val="BlockText"/>
      </w:pPr>
      <w:r>
        <w:t xml:space="preserve"> </w:t>
      </w:r>
      <w:r>
        <w:t xml:space="preserve">= 0</w:t>
      </w:r>
      <w:r>
        <w:t xml:space="preserve"> </w:t>
      </w:r>
      <w:r>
        <w:t xml:space="preserve">_{x, p_y} = 0</w:t>
      </w:r>
    </w:p>
    <w:p>
      <w:pPr>
        <w:pStyle w:val="BlockText"/>
      </w:pPr>
      <w:r>
        <w:t xml:space="preserve">$$</w:t>
      </w:r>
    </w:p>
    <w:p>
      <w:pPr>
        <w:pStyle w:val="BlockText"/>
      </w:pPr>
      <w:r>
        <w:rPr>
          <w:b/>
          <w:bCs/>
        </w:rPr>
        <w:t xml:space="preserve">(c)</w:t>
      </w:r>
      <w:r>
        <w:t xml:space="preserve"> </w:t>
      </w:r>
      <w:r>
        <w:t xml:space="preserve">Na Cobb-Douglas, os bens são</w:t>
      </w:r>
      <w:r>
        <w:t xml:space="preserve"> </w:t>
      </w:r>
      <w:r>
        <w:rPr>
          <w:b/>
          <w:bCs/>
        </w:rPr>
        <w:t xml:space="preserve">independentes</w:t>
      </w:r>
      <w:r>
        <w:t xml:space="preserve"> </w:t>
      </w:r>
      <w:r>
        <w:t xml:space="preserve">na classificação bruta: a demanda por cada bem depende apenas de seu próprio preço e da renda, nunca do preço do outro bem. Isso ocorre porque o efeito substituição cruzado (positivo, pois temos dois bens) é exatamente compensado pelo efeito renda cruzado (negativo, pois ambos são bens normais). Pela Equação de Slutsky:</w:t>
      </w:r>
    </w:p>
    <w:p>
      <w:pPr>
        <w:pStyle w:val="BlockText"/>
      </w:pPr>
      <w:r>
        <w:t xml:space="preserve">$$</w:t>
      </w:r>
    </w:p>
    <w:p>
      <w:pPr>
        <w:pStyle w:val="BlockText"/>
      </w:pPr>
      <w:r>
        <w:rPr>
          <w:i/>
          <w:iCs/>
        </w:rPr>
        <w:t xml:space="preserve">{=,0} =</w:t>
      </w:r>
      <w:r>
        <w:rPr>
          <w:i/>
          <w:iCs/>
        </w:rPr>
        <w:t xml:space="preserve"> </w:t>
      </w:r>
      <w:r>
        <w:t xml:space="preserve">{&gt;,0} -</w:t>
      </w:r>
      <w:r>
        <w:t xml:space="preserve"> </w:t>
      </w:r>
      <w:r>
        <w:t xml:space="preserve">_{&gt;,0}</w:t>
      </w:r>
    </w:p>
    <w:p>
      <w:pPr>
        <w:pStyle w:val="BlockText"/>
      </w:pPr>
      <w:r>
        <w:t xml:space="preserve">$$</w:t>
      </w:r>
    </w:p>
    <w:p>
      <w:pPr>
        <w:pStyle w:val="BlockText"/>
      </w:pPr>
      <w:r>
        <w:t xml:space="preserve">Os dois efeitos se cancelam perfeitamente — uma propriedade especial da Cobb-Douglas.</w:t>
      </w:r>
    </w:p>
    <w:p>
      <w:r>
        <w:pict>
          <v:rect style="width:0;height:1.5pt" o:hralign="center" o:hrstd="t" o:hr="t"/>
        </w:pict>
      </w:r>
    </w:p>
    <w:p>
      <w:pPr>
        <w:pStyle w:val="FirstParagraph"/>
      </w:pPr>
      <w:r>
        <w:t xml:space="preserve">[FIGURA INTERATIVA: /micro-book/graficos/cap06/elasticidade-ponto.html — versao interativa disponivel online]</w:t>
      </w:r>
    </w:p>
    <w:p>
      <w:pPr>
        <w:pStyle w:val="BodyText"/>
      </w:pPr>
      <w:r>
        <w:rPr>
          <w:b/>
          <w:bCs/>
        </w:rPr>
        <w:t xml:space="preserve">Figura 6.4 — Elasticidade ao longo da demanda linear.</w:t>
      </w:r>
      <w:r>
        <w:t xml:space="preserve"> </w:t>
      </w:r>
      <w:r>
        <w:t xml:space="preserve">Arraste o preço e observe: no topo da curva, demanda elástica (</w:t>
      </w:r>
      <m:oMath>
        <m:r>
          <m:rPr>
            <m:sty m:val="p"/>
          </m:rPr>
          <m:t>|</m:t>
        </m:r>
        <m:r>
          <m:t>ε</m:t>
        </m:r>
        <m:r>
          <m:rPr>
            <m:sty m:val="p"/>
          </m:rPr>
          <m:t>|</m:t>
        </m:r>
        <m:r>
          <m:rPr>
            <m:sty m:val="p"/>
          </m:rPr>
          <m:t>&gt;</m:t>
        </m:r>
        <m:r>
          <m:t>1</m:t>
        </m:r>
      </m:oMath>
      <w:r>
        <w:t xml:space="preserve">); na base, inelástica (</w:t>
      </w:r>
      <m:oMath>
        <m:r>
          <m:rPr>
            <m:sty m:val="p"/>
          </m:rPr>
          <m:t>|</m:t>
        </m:r>
        <m:r>
          <m:t>ε</m:t>
        </m:r>
        <m:r>
          <m:rPr>
            <m:sty m:val="p"/>
          </m:rPr>
          <m:t>|</m:t>
        </m:r>
        <m:r>
          <m:rPr>
            <m:sty m:val="p"/>
          </m:rPr>
          <m:t>&lt;</m:t>
        </m:r>
        <m:r>
          <m:t>1</m:t>
        </m:r>
      </m:oMath>
      <w:r>
        <w:t xml:space="preserve">). No ponto médio, elasticidade unitária — exatamente onde a receita total (área do retângulo azul) é máxima.</w:t>
      </w:r>
    </w:p>
    <w:p>
      <w:pPr>
        <w:pStyle w:val="BodyText"/>
      </w:pPr>
      <w:r>
        <w:t xml:space="preserve">[FIGURA INTERATIVA: /micro-book/graficos/cap06/receita-elasticidade.html — versao interativa disponivel online]</w:t>
      </w:r>
    </w:p>
    <w:p>
      <w:pPr>
        <w:pStyle w:val="BodyText"/>
      </w:pPr>
      <w:r>
        <w:rPr>
          <w:b/>
          <w:bCs/>
        </w:rPr>
        <w:t xml:space="preserve">Figura 6.5 — Receita total e elasticidade.</w:t>
      </w:r>
      <w:r>
        <w:t xml:space="preserve"> </w:t>
      </w:r>
      <w:r>
        <w:t xml:space="preserve">O painel superior mostra a receita como área; o inferior mostra a curva de receita total</w:t>
      </w:r>
      <w:r>
        <w:t xml:space="preserve"> </w:t>
      </w:r>
      <m:oMath>
        <m:r>
          <m:t>R</m:t>
        </m:r>
        <m:r>
          <m:rPr>
            <m:sty m:val="p"/>
          </m:rPr>
          <m:t>(</m:t>
        </m:r>
        <m:r>
          <m:t>p</m:t>
        </m:r>
        <m:r>
          <m:rPr>
            <m:sty m:val="p"/>
          </m:rPr>
          <m:t>)</m:t>
        </m:r>
      </m:oMath>
      <w:r>
        <w:t xml:space="preserve">. Na região elástica, reduzir o preço aumenta a receita; na inelástica, o oposto.</w:t>
      </w:r>
    </w:p>
    <w:bookmarkEnd w:id="289"/>
    <w:bookmarkStart w:id="291" w:name="Xebf9b93b6fa0489daecb34a94317e7dd9dcfbee"/>
    <w:p>
      <w:pPr>
        <w:pStyle w:val="Heading3"/>
      </w:pPr>
      <w:r>
        <w:t xml:space="preserve">6.3 A Versão Sem Efeito Renda: Substitutos e Complementos Líquidos</w:t>
      </w:r>
    </w:p>
    <w:p>
      <w:pPr>
        <w:pStyle w:val="FirstParagraph"/>
      </w:pPr>
      <w:r>
        <w:t xml:space="preserve">A classificação marshalliana tem um defeito: ela está</w:t>
      </w:r>
      <w:r>
        <w:t xml:space="preserve"> </w:t>
      </w:r>
      <w:r>
        <w:t xml:space="preserve">“suja”</w:t>
      </w:r>
      <w:r>
        <w:t xml:space="preserve"> </w:t>
      </w:r>
      <w:r>
        <w:t xml:space="preserve">pelo efeito renda. Quando a gasolina sobe, o consumidor fica mais pobre — e esse empobrecimento afeta a demanda por</w:t>
      </w:r>
      <w:r>
        <w:t xml:space="preserve"> </w:t>
      </w:r>
      <w:r>
        <w:rPr>
          <w:i/>
          <w:iCs/>
        </w:rPr>
        <w:t xml:space="preserve">todos</w:t>
      </w:r>
      <w:r>
        <w:t xml:space="preserve"> </w:t>
      </w:r>
      <w:r>
        <w:t xml:space="preserve">os bens, não apenas pelo substituto natural (etanol). O efeito renda pode fazer dois bens que são genuinamente substitutos parecerem complementos nos dados brutos. É como tentar ouvir uma música com ruído de fundo: o sinal está lá, mas contaminado. A classificação</w:t>
      </w:r>
      <w:r>
        <w:t xml:space="preserve"> </w:t>
      </w:r>
      <w:r>
        <w:rPr>
          <w:b/>
          <w:bCs/>
        </w:rPr>
        <w:t xml:space="preserve">hicksiana</w:t>
      </w:r>
      <w:r>
        <w:t xml:space="preserve"> </w:t>
      </w:r>
      <w:r>
        <w:t xml:space="preserve">(compensada) é o filtro que remove o ruído — ela usa a demanda hicksiana, que isola o efeito substituição puro.</w:t>
      </w:r>
    </w:p>
    <w:p>
      <w:pPr>
        <w:pStyle w:val="BlockText"/>
      </w:pPr>
      <w:r>
        <w:rPr>
          <w:b/>
          <w:bCs/>
        </w:rPr>
        <w:t xml:space="preserve">[DEFINICAO] Substitutos e complementos líquidos (hicksianos)</w:t>
      </w:r>
    </w:p>
    <w:p>
      <w:pPr>
        <w:pStyle w:val="BlockText"/>
      </w:pPr>
      <w:r>
        <w:t xml:space="preserve">Dois bens</w:t>
      </w:r>
      <w:r>
        <w:t xml:space="preserve"> </w:t>
      </w:r>
      <m:oMath>
        <m:r>
          <m:t>i</m:t>
        </m:r>
      </m:oMath>
      <w:r>
        <w:t xml:space="preserve"> </w:t>
      </w:r>
      <w:r>
        <w:t xml:space="preserve">e</w:t>
      </w:r>
      <w:r>
        <w:t xml:space="preserve"> </w:t>
      </w:r>
      <m:oMath>
        <m:r>
          <m:t>j</m:t>
        </m:r>
      </m:oMath>
      <w:r>
        <w:t xml:space="preserve"> </w:t>
      </w:r>
      <w:r>
        <w:t xml:space="preserve">são:</w:t>
      </w:r>
    </w:p>
    <w:p>
      <w:pPr>
        <w:pStyle w:val="Compact"/>
        <w:numPr>
          <w:ilvl w:val="0"/>
          <w:numId w:val="1265"/>
        </w:numPr>
      </w:pPr>
      <w:r>
        <w:rPr>
          <w:b/>
          <w:bCs/>
        </w:rPr>
        <w:t xml:space="preserve">Substitutos líquidos</w:t>
      </w:r>
      <w:r>
        <w:t xml:space="preserve"> </w:t>
      </w:r>
      <w:r>
        <w:t xml:space="preserve">(ou substitutos hicksianos) se</w:t>
      </w:r>
      <w:r>
        <w:t xml:space="preserve"> </w:t>
      </w:r>
      <m:oMath>
        <m:f>
          <m:fPr>
            <m:type m:val="bar"/>
          </m:fPr>
          <m:num>
            <m:r>
              <m:rPr>
                <m:sty m:val="p"/>
              </m:rPr>
              <m:t>∂</m:t>
            </m:r>
            <m:sSub>
              <m:e>
                <m:r>
                  <m:t>h</m:t>
                </m:r>
              </m:e>
              <m:sub>
                <m:r>
                  <m:t>i</m:t>
                </m:r>
              </m:sub>
            </m:sSub>
          </m:num>
          <m:den>
            <m:r>
              <m:rPr>
                <m:sty m:val="p"/>
              </m:rPr>
              <m:t>∂</m:t>
            </m:r>
            <m:sSub>
              <m:e>
                <m:r>
                  <m:t>p</m:t>
                </m:r>
              </m:e>
              <m:sub>
                <m:r>
                  <m:t>j</m:t>
                </m:r>
              </m:sub>
            </m:sSub>
          </m:den>
        </m:f>
        <m:r>
          <m:rPr>
            <m:sty m:val="p"/>
          </m:rPr>
          <m:t>&gt;</m:t>
        </m:r>
        <m:r>
          <m:t>0</m:t>
        </m:r>
      </m:oMath>
      <w:r>
        <w:t xml:space="preserve">.</w:t>
      </w:r>
    </w:p>
    <w:p>
      <w:pPr>
        <w:pStyle w:val="Compact"/>
        <w:numPr>
          <w:ilvl w:val="0"/>
          <w:numId w:val="1265"/>
        </w:numPr>
      </w:pPr>
      <w:r>
        <w:rPr>
          <w:b/>
          <w:bCs/>
        </w:rPr>
        <w:t xml:space="preserve">Complementos líquidos</w:t>
      </w:r>
      <w:r>
        <w:t xml:space="preserve"> </w:t>
      </w:r>
      <w:r>
        <w:t xml:space="preserve">(ou complementos hicksianos) se</w:t>
      </w:r>
      <w:r>
        <w:t xml:space="preserve"> </w:t>
      </w:r>
      <m:oMath>
        <m:f>
          <m:fPr>
            <m:type m:val="bar"/>
          </m:fPr>
          <m:num>
            <m:r>
              <m:rPr>
                <m:sty m:val="p"/>
              </m:rPr>
              <m:t>∂</m:t>
            </m:r>
            <m:sSub>
              <m:e>
                <m:r>
                  <m:t>h</m:t>
                </m:r>
              </m:e>
              <m:sub>
                <m:r>
                  <m:t>i</m:t>
                </m:r>
              </m:sub>
            </m:sSub>
          </m:num>
          <m:den>
            <m:r>
              <m:rPr>
                <m:sty m:val="p"/>
              </m:rPr>
              <m:t>∂</m:t>
            </m:r>
            <m:sSub>
              <m:e>
                <m:r>
                  <m:t>p</m:t>
                </m:r>
              </m:e>
              <m:sub>
                <m:r>
                  <m:t>j</m:t>
                </m:r>
              </m:sub>
            </m:sSub>
          </m:den>
        </m:f>
        <m:r>
          <m:rPr>
            <m:sty m:val="p"/>
          </m:rPr>
          <m:t>&lt;</m:t>
        </m:r>
        <m:r>
          <m:t>0</m:t>
        </m:r>
      </m:oMath>
      <w:r>
        <w:t xml:space="preserve">.</w:t>
      </w:r>
    </w:p>
    <w:p>
      <w:pPr>
        <w:pStyle w:val="FirstParagraph"/>
      </w:pPr>
      <w:r>
        <w:t xml:space="preserve">Uma vantagem crucial da classificação hicksiana é a</w:t>
      </w:r>
      <w:r>
        <w:t xml:space="preserve"> </w:t>
      </w:r>
      <w:r>
        <w:rPr>
          <w:b/>
          <w:bCs/>
        </w:rPr>
        <w:t xml:space="preserve">simetria</w:t>
      </w:r>
      <w:r>
        <w:t xml:space="preserve">: pela propriedade da matriz de Slutsky,</w:t>
      </w:r>
    </w:p>
    <w:p>
      <w:pPr>
        <w:pStyle w:val="BodyText"/>
      </w:pPr>
      <m:oMathPara>
        <m:oMathParaPr>
          <m:jc m:val="center"/>
        </m:oMathParaPr>
        <m:oMath>
          <m:f>
            <m:fPr>
              <m:type m:val="bar"/>
            </m:fPr>
            <m:num>
              <m:r>
                <m:rPr>
                  <m:sty m:val="p"/>
                </m:rPr>
                <m:t>∂</m:t>
              </m:r>
              <m:sSub>
                <m:e>
                  <m:r>
                    <m:t>h</m:t>
                  </m:r>
                </m:e>
                <m:sub>
                  <m:r>
                    <m:t>i</m:t>
                  </m:r>
                </m:sub>
              </m:sSub>
            </m:num>
            <m:den>
              <m:r>
                <m:rPr>
                  <m:sty m:val="p"/>
                </m:rPr>
                <m:t>∂</m:t>
              </m:r>
              <m:sSub>
                <m:e>
                  <m:r>
                    <m:t>p</m:t>
                  </m:r>
                </m:e>
                <m:sub>
                  <m:r>
                    <m:t>j</m:t>
                  </m:r>
                </m:sub>
              </m:sSub>
            </m:den>
          </m:f>
          <m:r>
            <m:rPr>
              <m:sty m:val="p"/>
            </m:rPr>
            <m:t>=</m:t>
          </m:r>
          <m:f>
            <m:fPr>
              <m:type m:val="bar"/>
            </m:fPr>
            <m:num>
              <m:r>
                <m:rPr>
                  <m:sty m:val="p"/>
                </m:rPr>
                <m:t>∂</m:t>
              </m:r>
              <m:sSub>
                <m:e>
                  <m:r>
                    <m:t>h</m:t>
                  </m:r>
                </m:e>
                <m:sub>
                  <m:r>
                    <m:t>j</m:t>
                  </m:r>
                </m:sub>
              </m:sSub>
            </m:num>
            <m:den>
              <m:r>
                <m:rPr>
                  <m:sty m:val="p"/>
                </m:rPr>
                <m:t>∂</m:t>
              </m:r>
              <m:sSub>
                <m:e>
                  <m:r>
                    <m:t>p</m:t>
                  </m:r>
                </m:e>
                <m:sub>
                  <m:r>
                    <m:t>i</m:t>
                  </m:r>
                </m:sub>
              </m:sSub>
            </m:den>
          </m:f>
        </m:oMath>
      </m:oMathPara>
    </w:p>
    <w:p>
      <w:pPr>
        <w:pStyle w:val="FirstParagraph"/>
      </w:pPr>
      <w:r>
        <w:t xml:space="preserve">Logo, pela equação Eq. (eq:6.3.3), se o bem</w:t>
      </w:r>
      <w:r>
        <w:t xml:space="preserve"> </w:t>
      </w:r>
      <m:oMath>
        <m:r>
          <m:t>i</m:t>
        </m:r>
      </m:oMath>
      <w:r>
        <w:t xml:space="preserve"> </w:t>
      </w:r>
      <w:r>
        <w:t xml:space="preserve">é substituto líquido de</w:t>
      </w:r>
      <w:r>
        <w:t xml:space="preserve"> </w:t>
      </w:r>
      <m:oMath>
        <m:r>
          <m:t>j</m:t>
        </m:r>
      </m:oMath>
      <w:r>
        <w:t xml:space="preserve">, então</w:t>
      </w:r>
      <w:r>
        <w:t xml:space="preserve"> </w:t>
      </w:r>
      <m:oMath>
        <m:r>
          <m:t>j</m:t>
        </m:r>
      </m:oMath>
      <w:r>
        <w:t xml:space="preserve"> </w:t>
      </w:r>
      <w:r>
        <w:t xml:space="preserve">é necessariamente substituto líquido de</w:t>
      </w:r>
      <w:r>
        <w:t xml:space="preserve"> </w:t>
      </w:r>
      <m:oMath>
        <m:r>
          <m:t>i</m:t>
        </m:r>
      </m:oMath>
      <w:r>
        <w:t xml:space="preserve">. Não há ambiguidade.</w:t>
      </w:r>
    </w:p>
    <w:p>
      <w:pPr>
        <w:pStyle w:val="BlockText"/>
      </w:pPr>
      <w:r>
        <w:rPr>
          <w:b/>
          <w:bCs/>
        </w:rPr>
        <w:t xml:space="preserve">[DICA] Quando a classificação bruta e líquida divergem</w:t>
      </w:r>
    </w:p>
    <w:p>
      <w:pPr>
        <w:pStyle w:val="BlockText"/>
      </w:pPr>
      <w:r>
        <w:t xml:space="preserve">A classificação bruta e líquida podem divergir quando o efeito renda é grande o suficiente para dominar o efeito substituição. Por exemplo, dois bens podem ser substitutos líquidos mas complementos brutos se o aumento no preço de um deles causar uma queda de renda real tão grande que reduza a demanda de ambos.</w:t>
      </w:r>
    </w:p>
    <w:p>
      <w:pPr>
        <w:pStyle w:val="FirstParagraph"/>
      </w:pPr>
      <w:r>
        <w:t xml:space="preserve">A simétria da classificação hicksiana tem uma implicação prática relevante para o design de políticas públicas. Quando um governo tributa um bem com o objetivo de reduzir seu consumo (como um imposto sobre cigarros ou bebidas açucaradas), a relação hicksiana com os demais bens determina quais produtos se beneficiarão ou serão prejudicados pela tributação. Como a classificação hicksiana é simétrica, se o cigarro é substituto hicksiano do cachimbo, então o cachimbo também é substituto hicksiano do cigarro — e o imposto sobre cigarro aumentará a demanda compensada por cachimbo da mesma forma que um imposto sobre cachimbo aumentaria a demanda compensada por cigarro. Essa simetria é violada pela classificação marshalliana, o que pode levar a previsões incorretas sobre os efeitos de cascata de uma política tributária.</w:t>
      </w:r>
    </w:p>
    <w:p>
      <w:pPr>
        <w:pStyle w:val="BodyText"/>
      </w:pPr>
      <w:r>
        <w:t xml:space="preserve">Do ponto de vista da teoria de bem-estar, a classificação hicksiana também é mais adequada para avaliar as perdas de eficiência geradas por impostos. A área sob a curva de demanda compensada — não a marshalliana — mede o excedente do consumidor da forma correta, uma vez que elimina o confundimento com variações de renda real. Por isso, as medidas de bem-estar como a Variação Compensatória e a Variação Equivalente (derivadas no Capítulo 5) utilizam a demanda hicksiana como base.</w:t>
      </w:r>
    </w:p>
    <w:bookmarkStart w:id="290" w:name="relação-entre-as-classificações"/>
    <w:p>
      <w:pPr>
        <w:pStyle w:val="Heading4"/>
      </w:pPr>
      <w:r>
        <w:t xml:space="preserve">6.3.1 Relação entre as classificações</w:t>
      </w:r>
    </w:p>
    <w:p>
      <w:pPr>
        <w:pStyle w:val="FirstParagraph"/>
      </w:pPr>
      <w:r>
        <w:t xml:space="preserve">Mas qual é exatamente a relação entre as duas classificações? Quando elas concordam e quando divergem? A Equação de Slutsky nos fornece a resposta precisa. Da Equação de Slutsky:</w:t>
      </w:r>
    </w:p>
    <w:p>
      <w:pPr>
        <w:pStyle w:val="BodyText"/>
      </w:pPr>
      <m:oMathPara>
        <m:oMathParaPr>
          <m:jc m:val="center"/>
        </m:oMathParaPr>
        <m:oMath>
          <m:f>
            <m:fPr>
              <m:type m:val="bar"/>
            </m:fPr>
            <m:num>
              <m:r>
                <m:rPr>
                  <m:sty m:val="p"/>
                </m:rPr>
                <m:t>∂</m:t>
              </m:r>
              <m:sSub>
                <m:e>
                  <m:r>
                    <m:t>x</m:t>
                  </m:r>
                </m:e>
                <m:sub>
                  <m:r>
                    <m:t>i</m:t>
                  </m:r>
                </m:sub>
              </m:sSub>
            </m:num>
            <m:den>
              <m:r>
                <m:rPr>
                  <m:sty m:val="p"/>
                </m:rPr>
                <m:t>∂</m:t>
              </m:r>
              <m:sSub>
                <m:e>
                  <m:r>
                    <m:t>p</m:t>
                  </m:r>
                </m:e>
                <m:sub>
                  <m:r>
                    <m:t>j</m:t>
                  </m:r>
                </m:sub>
              </m:sSub>
            </m:den>
          </m:f>
          <m:r>
            <m:rPr>
              <m:sty m:val="p"/>
            </m:rPr>
            <m:t>=</m:t>
          </m:r>
          <m:f>
            <m:fPr>
              <m:type m:val="bar"/>
            </m:fPr>
            <m:num>
              <m:r>
                <m:rPr>
                  <m:sty m:val="p"/>
                </m:rPr>
                <m:t>∂</m:t>
              </m:r>
              <m:sSub>
                <m:e>
                  <m:r>
                    <m:t>h</m:t>
                  </m:r>
                </m:e>
                <m:sub>
                  <m:r>
                    <m:t>i</m:t>
                  </m:r>
                </m:sub>
              </m:sSub>
            </m:num>
            <m:den>
              <m:r>
                <m:rPr>
                  <m:sty m:val="p"/>
                </m:rPr>
                <m:t>∂</m:t>
              </m:r>
              <m:sSub>
                <m:e>
                  <m:r>
                    <m:t>p</m:t>
                  </m:r>
                </m:e>
                <m:sub>
                  <m:r>
                    <m:t>j</m:t>
                  </m:r>
                </m:sub>
              </m:sSub>
            </m:den>
          </m:f>
          <m:r>
            <m:rPr>
              <m:sty m:val="p"/>
            </m:rPr>
            <m:t>−</m:t>
          </m:r>
          <m:sSub>
            <m:e>
              <m:r>
                <m:t>x</m:t>
              </m:r>
            </m:e>
            <m:sub>
              <m:r>
                <m:t>j</m:t>
              </m:r>
            </m:sub>
          </m:sSub>
          <m:f>
            <m:fPr>
              <m:type m:val="bar"/>
            </m:fPr>
            <m:num>
              <m:r>
                <m:rPr>
                  <m:sty m:val="p"/>
                </m:rPr>
                <m:t>∂</m:t>
              </m:r>
              <m:sSub>
                <m:e>
                  <m:r>
                    <m:t>x</m:t>
                  </m:r>
                </m:e>
                <m:sub>
                  <m:r>
                    <m:t>i</m:t>
                  </m:r>
                </m:sub>
              </m:sSub>
            </m:num>
            <m:den>
              <m:r>
                <m:rPr>
                  <m:sty m:val="p"/>
                </m:rPr>
                <m:t>∂</m:t>
              </m:r>
              <m:r>
                <m:t>I</m:t>
              </m:r>
            </m:den>
          </m:f>
        </m:oMath>
      </m:oMathPara>
    </w:p>
    <w:p>
      <w:pPr>
        <w:pStyle w:val="FirstParagraph"/>
      </w:pPr>
      <w:r>
        <w:t xml:space="preserve">Se</w:t>
      </w:r>
      <w:r>
        <w:t xml:space="preserve"> </w:t>
      </w:r>
      <m:oMath>
        <m:sSub>
          <m:e>
            <m:r>
              <m:t>x</m:t>
            </m:r>
          </m:e>
          <m:sub>
            <m:r>
              <m:t>i</m:t>
            </m:r>
          </m:sub>
        </m:sSub>
      </m:oMath>
      <w:r>
        <w:t xml:space="preserve"> </w:t>
      </w:r>
      <w:r>
        <w:t xml:space="preserve">é um bem normal (</w:t>
      </w:r>
      <m:oMath>
        <m:f>
          <m:fPr>
            <m:type m:val="bar"/>
          </m:fPr>
          <m:num>
            <m:r>
              <m:rPr>
                <m:sty m:val="p"/>
              </m:rPr>
              <m:t>∂</m:t>
            </m:r>
            <m:sSub>
              <m:e>
                <m:r>
                  <m:t>x</m:t>
                </m:r>
              </m:e>
              <m:sub>
                <m:r>
                  <m:t>i</m:t>
                </m:r>
              </m:sub>
            </m:sSub>
          </m:num>
          <m:den>
            <m:r>
              <m:rPr>
                <m:sty m:val="p"/>
              </m:rPr>
              <m:t>∂</m:t>
            </m:r>
            <m:r>
              <m:t>I</m:t>
            </m:r>
          </m:den>
        </m:f>
        <m:r>
          <m:rPr>
            <m:sty m:val="p"/>
          </m:rPr>
          <m:t>&gt;</m:t>
        </m:r>
        <m:r>
          <m:t>0</m:t>
        </m:r>
      </m:oMath>
      <w:r>
        <w:t xml:space="preserve">), o efeito renda cruzado é negativo (o aumento de</w:t>
      </w:r>
      <w:r>
        <w:t xml:space="preserve"> </w:t>
      </w:r>
      <m:oMath>
        <m:sSub>
          <m:e>
            <m:r>
              <m:t>p</m:t>
            </m:r>
          </m:e>
          <m:sub>
            <m:r>
              <m:t>j</m:t>
            </m:r>
          </m:sub>
        </m:sSub>
      </m:oMath>
      <w:r>
        <w:t xml:space="preserve"> </w:t>
      </w:r>
      <w:r>
        <w:t xml:space="preserve">reduz o poder de compra, diminuindo a demanda por</w:t>
      </w:r>
      <w:r>
        <w:t xml:space="preserve"> </w:t>
      </w:r>
      <m:oMath>
        <m:sSub>
          <m:e>
            <m:r>
              <m:t>x</m:t>
            </m:r>
          </m:e>
          <m:sub>
            <m:r>
              <m:t>i</m:t>
            </m:r>
          </m:sub>
        </m:sSub>
      </m:oMath>
      <w:r>
        <w:t xml:space="preserve">). Assim, o efeito bruto é menor que o efeito líquido:</w:t>
      </w:r>
    </w:p>
    <w:p>
      <w:pPr>
        <w:pStyle w:val="BodyText"/>
      </w:pPr>
      <m:oMathPara>
        <m:oMathParaPr>
          <m:jc m:val="center"/>
        </m:oMathParaPr>
        <m:oMath>
          <m:f>
            <m:fPr>
              <m:type m:val="bar"/>
            </m:fPr>
            <m:num>
              <m:r>
                <m:rPr>
                  <m:sty m:val="p"/>
                </m:rPr>
                <m:t>∂</m:t>
              </m:r>
              <m:sSub>
                <m:e>
                  <m:r>
                    <m:t>x</m:t>
                  </m:r>
                </m:e>
                <m:sub>
                  <m:r>
                    <m:t>i</m:t>
                  </m:r>
                </m:sub>
              </m:sSub>
            </m:num>
            <m:den>
              <m:r>
                <m:rPr>
                  <m:sty m:val="p"/>
                </m:rPr>
                <m:t>∂</m:t>
              </m:r>
              <m:sSub>
                <m:e>
                  <m:r>
                    <m:t>p</m:t>
                  </m:r>
                </m:e>
                <m:sub>
                  <m:r>
                    <m:t>j</m:t>
                  </m:r>
                </m:sub>
              </m:sSub>
            </m:den>
          </m:f>
          <m:r>
            <m:rPr>
              <m:sty m:val="p"/>
            </m:rPr>
            <m:t>&lt;</m:t>
          </m:r>
          <m:f>
            <m:fPr>
              <m:type m:val="bar"/>
            </m:fPr>
            <m:num>
              <m:r>
                <m:rPr>
                  <m:sty m:val="p"/>
                </m:rPr>
                <m:t>∂</m:t>
              </m:r>
              <m:sSub>
                <m:e>
                  <m:r>
                    <m:t>h</m:t>
                  </m:r>
                </m:e>
                <m:sub>
                  <m:r>
                    <m:t>i</m:t>
                  </m:r>
                </m:sub>
              </m:sSub>
            </m:num>
            <m:den>
              <m:r>
                <m:rPr>
                  <m:sty m:val="p"/>
                </m:rPr>
                <m:t>∂</m:t>
              </m:r>
              <m:sSub>
                <m:e>
                  <m:r>
                    <m:t>p</m:t>
                  </m:r>
                </m:e>
                <m:sub>
                  <m:r>
                    <m:t>j</m:t>
                  </m:r>
                </m:sub>
              </m:sSub>
            </m:den>
          </m:f>
        </m:oMath>
      </m:oMathPara>
    </w:p>
    <w:p>
      <w:pPr>
        <w:pStyle w:val="FirstParagraph"/>
      </w:pPr>
      <w:r>
        <w:t xml:space="preserve">Dois bens podem ser substitutos líquidos mas complementos brutos se o efeito renda negativo exceder o efeito substituição positivo.</w:t>
      </w:r>
    </w:p>
    <w:p>
      <w:pPr>
        <w:pStyle w:val="BlockText"/>
      </w:pPr>
      <w:r>
        <w:rPr>
          <w:b/>
          <w:bCs/>
        </w:rPr>
        <w:t xml:space="preserve">[INTUICAO ECONOMICA] Intuição Econômica</w:t>
      </w:r>
    </w:p>
    <w:p>
      <w:pPr>
        <w:pStyle w:val="BlockText"/>
      </w:pPr>
      <w:r>
        <w:rPr>
          <w:b/>
          <w:bCs/>
        </w:rPr>
        <w:t xml:space="preserve">Em uma frase:</w:t>
      </w:r>
      <w:r>
        <w:t xml:space="preserve"> </w:t>
      </w:r>
      <w:r>
        <w:t xml:space="preserve">A classificação hicksiana (líquida) é a</w:t>
      </w:r>
      <w:r>
        <w:t xml:space="preserve"> </w:t>
      </w:r>
      <w:r>
        <w:t xml:space="preserve">“verdadeira”</w:t>
      </w:r>
      <w:r>
        <w:t xml:space="preserve"> </w:t>
      </w:r>
      <w:r>
        <w:t xml:space="preserve">relação de substituição entre bens, porque remove a contaminação do efeito renda.</w:t>
      </w:r>
    </w:p>
    <w:p>
      <w:pPr>
        <w:pStyle w:val="BlockText"/>
      </w:pPr>
      <w:r>
        <w:rPr>
          <w:b/>
          <w:bCs/>
        </w:rPr>
        <w:t xml:space="preserve">Pense assim:</w:t>
      </w:r>
      <w:r>
        <w:t xml:space="preserve"> </w:t>
      </w:r>
      <w:r>
        <w:t xml:space="preserve">Imagine que o preço do plano de saúde sobe. Nos dados brutos, você pode observar que as famílias também reduzem o consumo de educação privada — parecendo complementos. Mas, na verdade, ambos caíram porque a família ficou mais pobre (efeito renda). Isolando esse empobrecimento (análise hicksiana), descobre-se que saúde e educação privada na verdade competem pelo mesmo orçamento — são substitutos líquidos.</w:t>
      </w:r>
    </w:p>
    <w:p>
      <w:pPr>
        <w:pStyle w:val="BlockText"/>
      </w:pPr>
      <w:r>
        <w:rPr>
          <w:b/>
          <w:bCs/>
        </w:rPr>
        <w:t xml:space="preserve">Por que isso importa:</w:t>
      </w:r>
      <w:r>
        <w:t xml:space="preserve"> </w:t>
      </w:r>
      <w:r>
        <w:t xml:space="preserve">Políticas que subsidiam um bem (como isenção de IR para planos de saúde) podem afetar a demanda por outros bens de formas que só a decomposição de Slutsky revela corretamente.</w:t>
      </w:r>
    </w:p>
    <w:p>
      <w:pPr>
        <w:pStyle w:val="BlockText"/>
      </w:pPr>
      <w:r>
        <w:rPr>
          <w:b/>
          <w:bCs/>
        </w:rPr>
        <w:t xml:space="preserve">[ATIVIDADE DE SALA] Think-Pair-Share — Substitutos brutos ou líquidos?</w:t>
      </w:r>
    </w:p>
    <w:p>
      <w:pPr>
        <w:pStyle w:val="BlockText"/>
      </w:pPr>
      <w:r>
        <w:rPr>
          <w:b/>
          <w:bCs/>
        </w:rPr>
        <w:t xml:space="preserve">Cenário:</w:t>
      </w:r>
      <w:r>
        <w:t xml:space="preserve"> </w:t>
      </w:r>
      <w:r>
        <w:t xml:space="preserve">O preço dos planos de saúde sobe 20%. Nos dados de consumo, observa-se que as famílias reduzem simultaneamente o gasto com planos de saúde</w:t>
      </w:r>
      <w:r>
        <w:t xml:space="preserve"> </w:t>
      </w:r>
      <w:r>
        <w:rPr>
          <w:i/>
          <w:iCs/>
        </w:rPr>
        <w:t xml:space="preserve">e</w:t>
      </w:r>
      <w:r>
        <w:t xml:space="preserve"> </w:t>
      </w:r>
      <w:r>
        <w:t xml:space="preserve">com educação privada.</w:t>
      </w:r>
    </w:p>
    <w:p>
      <w:pPr>
        <w:pStyle w:val="BlockText"/>
      </w:pPr>
      <w:r>
        <w:rPr>
          <w:b/>
          <w:bCs/>
        </w:rPr>
        <w:t xml:space="preserve">Pergunta:</w:t>
      </w:r>
      <w:r>
        <w:t xml:space="preserve"> </w:t>
      </w:r>
      <w:r>
        <w:t xml:space="preserve">Plano de saúde e educação privada são complementos ou substitutos?</w:t>
      </w:r>
    </w:p>
    <w:p>
      <w:pPr>
        <w:pStyle w:val="BlockText"/>
      </w:pPr>
      <w:r>
        <w:rPr>
          <w:b/>
          <w:bCs/>
        </w:rPr>
        <w:t xml:space="preserve">(a)</w:t>
      </w:r>
      <w:r>
        <w:t xml:space="preserve"> </w:t>
      </w:r>
      <w:r>
        <w:t xml:space="preserve">Complementos brutos</w:t>
      </w:r>
      <w:r>
        <w:t xml:space="preserve"> </w:t>
      </w:r>
      <w:r>
        <w:rPr>
          <w:i/>
          <w:iCs/>
        </w:rPr>
        <w:t xml:space="preserve">e</w:t>
      </w:r>
      <w:r>
        <w:t xml:space="preserve"> </w:t>
      </w:r>
      <w:r>
        <w:t xml:space="preserve">complementos líquidos — sempre que o preço de um sobe, a demanda do outro cai, independentemente do motivo.</w:t>
      </w:r>
    </w:p>
    <w:p>
      <w:pPr>
        <w:pStyle w:val="BlockText"/>
      </w:pPr>
      <w:r>
        <w:rPr>
          <w:b/>
          <w:bCs/>
        </w:rPr>
        <w:t xml:space="preserve">(b)</w:t>
      </w:r>
      <w:r>
        <w:t xml:space="preserve"> </w:t>
      </w:r>
      <w:r>
        <w:t xml:space="preserve">Complementos brutos, mas possivelmente substitutos líquidos — a queda conjunta pode refletir o empobrecimento da família (efeito renda), e não uma complementaridade genuína nas preferências.</w:t>
      </w:r>
    </w:p>
    <w:p>
      <w:pPr>
        <w:pStyle w:val="BlockText"/>
      </w:pPr>
      <w:r>
        <w:rPr>
          <w:b/>
          <w:bCs/>
        </w:rPr>
        <w:t xml:space="preserve">(c)</w:t>
      </w:r>
      <w:r>
        <w:t xml:space="preserve"> </w:t>
      </w:r>
      <w:r>
        <w:t xml:space="preserve">Substitutos brutos — se o plano de saúde ficou caro, as famílias gastam mais com educação privada para</w:t>
      </w:r>
      <w:r>
        <w:t xml:space="preserve"> </w:t>
      </w:r>
      <w:r>
        <w:t xml:space="preserve">“compensar”</w:t>
      </w:r>
      <w:r>
        <w:t xml:space="preserve">.</w:t>
      </w:r>
    </w:p>
    <w:p>
      <w:pPr>
        <w:pStyle w:val="BlockText"/>
      </w:pPr>
      <w:r>
        <w:t xml:space="preserve">??? success</w:t>
      </w:r>
      <w:r>
        <w:t xml:space="preserve"> </w:t>
      </w:r>
      <w:r>
        <w:t xml:space="preserve">“Debrief”</w:t>
      </w:r>
      <w:r>
        <w:t xml:space="preserve"> </w:t>
      </w:r>
      <w:r>
        <w:rPr>
          <w:b/>
          <w:bCs/>
        </w:rPr>
        <w:t xml:space="preserve">(b)</w:t>
      </w:r>
      <w:r>
        <w:t xml:space="preserve"> </w:t>
      </w:r>
      <w:r>
        <w:t xml:space="preserve">é a resposta correta. A queda simultânea nos dois gastos é consistente com um efeito renda forte: planos de saúde representam parcela significativa do orçamento das famílias de classe média, e o aumento de preço as empobrece, reduzindo o consumo de</w:t>
      </w:r>
      <w:r>
        <w:t xml:space="preserve"> </w:t>
      </w:r>
      <w:r>
        <w:rPr>
          <w:i/>
          <w:iCs/>
        </w:rPr>
        <w:t xml:space="preserve">todos</w:t>
      </w:r>
      <w:r>
        <w:t xml:space="preserve"> </w:t>
      </w:r>
      <w:r>
        <w:t xml:space="preserve">os bens normais — inclusive educação privada. Isolando o efeito renda (análise hicksiana), descobre-se que saúde e educação competem pelo mesmo orçamento disponível: são substitutos líquidos. Quem escolheu (a) confundiu a observação de mercado com a estrutura de preferências. Quem escolheu (c) ignorou que os dados</w:t>
      </w:r>
      <w:r>
        <w:t xml:space="preserve"> </w:t>
      </w:r>
      <w:r>
        <w:rPr>
          <w:i/>
          <w:iCs/>
        </w:rPr>
        <w:t xml:space="preserve">brutos</w:t>
      </w:r>
      <w:r>
        <w:t xml:space="preserve"> </w:t>
      </w:r>
      <w:r>
        <w:t xml:space="preserve">mostram queda conjunta, não aumento.</w:t>
      </w:r>
    </w:p>
    <w:p>
      <w:pPr>
        <w:pStyle w:val="SourceCode"/>
      </w:pPr>
      <w:r>
        <w:rPr>
          <w:rStyle w:val="VerbatimChar"/>
        </w:rPr>
        <w:t xml:space="preserve">**Lição:** Nunca confie na classificação bruta para inferir preferências. A Equação de Slutsky é a ferramenta que separa o sinal (substituição) do ruído (renda).</w:t>
      </w:r>
    </w:p>
    <w:p>
      <w:r>
        <w:pict>
          <v:rect style="width:0;height:1.5pt" o:hralign="center" o:hrstd="t" o:hr="t"/>
        </w:pict>
      </w:r>
    </w:p>
    <w:p>
      <w:pPr>
        <w:pStyle w:val="FirstParagraph"/>
      </w:pPr>
      <w:r>
        <w:t xml:space="preserve">O gráfico abaixo permite explorar os efeitos cruzados de preço com a função de utilidade CES. Ajuste o preço de</w:t>
      </w:r>
      <w:r>
        <w:t xml:space="preserve"> </w:t>
      </w:r>
      <m:oMath>
        <m:sSub>
          <m:e>
            <m:r>
              <m:t>p</m:t>
            </m:r>
          </m:e>
          <m:sub>
            <m:r>
              <m:t>2</m:t>
            </m:r>
          </m:sub>
        </m:sSub>
      </m:oMath>
      <w:r>
        <w:t xml:space="preserve"> </w:t>
      </w:r>
      <w:r>
        <w:t xml:space="preserve">e o parâmetro</w:t>
      </w:r>
      <w:r>
        <w:t xml:space="preserve"> </w:t>
      </w:r>
      <m:oMath>
        <m:r>
          <m:t>ρ</m:t>
        </m:r>
      </m:oMath>
      <w:r>
        <w:t xml:space="preserve"> </w:t>
      </w:r>
      <w:r>
        <w:t xml:space="preserve">para visualizar como a demanda por</w:t>
      </w:r>
      <w:r>
        <w:t xml:space="preserve"> </w:t>
      </w:r>
      <m:oMath>
        <m:sSub>
          <m:e>
            <m:r>
              <m:t>x</m:t>
            </m:r>
          </m:e>
          <m:sub>
            <m:r>
              <m:t>1</m:t>
            </m:r>
          </m:sub>
        </m:sSub>
      </m:oMath>
      <w:r>
        <w:t xml:space="preserve"> </w:t>
      </w:r>
      <w:r>
        <w:t xml:space="preserve">responde a variações no preço do outro bem, alternando entre substitutos e complementos.</w:t>
      </w:r>
    </w:p>
    <w:p>
      <w:pPr>
        <w:pStyle w:val="BodyText"/>
      </w:pPr>
      <w:r>
        <w:t xml:space="preserve">[FIGURA INTERATIVA: /micro-book/graficos/cap06/substitutos-complementos.html — versao interativa disponivel online]</w:t>
      </w:r>
    </w:p>
    <w:p>
      <w:pPr>
        <w:pStyle w:val="BodyText"/>
      </w:pPr>
      <w:r>
        <w:rPr>
          <w:b/>
          <w:bCs/>
        </w:rPr>
        <w:t xml:space="preserve">Figura 6.1 — Substitutos e Complementos: Efeitos Cruzados de Preço.</w:t>
      </w:r>
      <w:r>
        <w:t xml:space="preserve"> </w:t>
      </w:r>
      <w:r>
        <w:t xml:space="preserve">Ajuste o preço de</w:t>
      </w:r>
      <w:r>
        <w:t xml:space="preserve"> </w:t>
      </w:r>
      <m:oMath>
        <m:sSub>
          <m:e>
            <m:r>
              <m:t>p</m:t>
            </m:r>
          </m:e>
          <m:sub>
            <m:r>
              <m:t>2</m:t>
            </m:r>
          </m:sub>
        </m:sSub>
      </m:oMath>
      <w:r>
        <w:t xml:space="preserve"> </w:t>
      </w:r>
      <w:r>
        <w:t xml:space="preserve">e o parâmetro</w:t>
      </w:r>
      <w:r>
        <w:t xml:space="preserve"> </w:t>
      </w:r>
      <m:oMath>
        <m:r>
          <m:t>ρ</m:t>
        </m:r>
      </m:oMath>
      <w:r>
        <w:t xml:space="preserve"> </w:t>
      </w:r>
      <w:r>
        <w:t xml:space="preserve">para visualizar como a demanda por</w:t>
      </w:r>
      <w:r>
        <w:t xml:space="preserve"> </w:t>
      </w:r>
      <m:oMath>
        <m:sSub>
          <m:e>
            <m:r>
              <m:t>x</m:t>
            </m:r>
          </m:e>
          <m:sub>
            <m:r>
              <m:t>1</m:t>
            </m:r>
          </m:sub>
        </m:sSub>
      </m:oMath>
      <w:r>
        <w:t xml:space="preserve"> </w:t>
      </w:r>
      <w:r>
        <w:t xml:space="preserve">responde a variações no preço do outro bem.</w:t>
      </w:r>
    </w:p>
    <w:p>
      <w:pPr>
        <w:pStyle w:val="BodyText"/>
      </w:pPr>
      <w:r>
        <w:t xml:space="preserve">[FIGURA INTERATIVA: /micro-book/graficos/cap06/elasticidade-cruzada.html — versao interativa disponivel online]</w:t>
      </w:r>
    </w:p>
    <w:p>
      <w:pPr>
        <w:pStyle w:val="BodyText"/>
      </w:pPr>
      <w:r>
        <w:rPr>
          <w:b/>
          <w:bCs/>
        </w:rPr>
        <w:t xml:space="preserve">Figura 6.3 — Elasticidade cruzada.</w:t>
      </w:r>
      <w:r>
        <w:t xml:space="preserve"> </w:t>
      </w:r>
      <w:r>
        <w:t xml:space="preserve">Ajuste o grau de relação</w:t>
      </w:r>
      <w:r>
        <w:t xml:space="preserve"> </w:t>
      </w:r>
      <m:oMath>
        <m:r>
          <m:t>γ</m:t>
        </m:r>
      </m:oMath>
      <w:r>
        <w:t xml:space="preserve">: valores positivos geram substituição (demanda se desloca para a direita quando</w:t>
      </w:r>
      <w:r>
        <w:t xml:space="preserve"> </w:t>
      </w:r>
      <m:oMath>
        <m:sSub>
          <m:e>
            <m:r>
              <m:t>p</m:t>
            </m:r>
          </m:e>
          <m:sub>
            <m:r>
              <m:t>2</m:t>
            </m:r>
          </m:sub>
        </m:sSub>
      </m:oMath>
      <w:r>
        <w:t xml:space="preserve"> </w:t>
      </w:r>
      <w:r>
        <w:t xml:space="preserve">sobe), negativos geram complementaridade. Observe como a elasticidade cruzada muda de sinal.</w:t>
      </w:r>
    </w:p>
    <w:p>
      <w:pPr>
        <w:pStyle w:val="BlockText"/>
      </w:pPr>
      <w:r>
        <w:rPr>
          <w:b/>
          <w:bCs/>
        </w:rPr>
        <w:t xml:space="preserve">[BOX MUNDO] Box Mundo 6.1 — Elasticidades cruzadas nos mercados de energia: gás natural, carvão e a transição energética</w:t>
      </w:r>
    </w:p>
    <w:p>
      <w:pPr>
        <w:pStyle w:val="BlockText"/>
      </w:pPr>
      <w:r>
        <w:rPr>
          <w:b/>
          <w:bCs/>
        </w:rPr>
        <w:t xml:space="preserve">Contexto:</w:t>
      </w:r>
      <w:r>
        <w:t xml:space="preserve"> </w:t>
      </w:r>
      <w:r>
        <w:t xml:space="preserve">A transição energética global reconfigurou as relações de substituição entre fontes de energia. Nos Estados Unidos e na União Europeia, gás natural e carvão competem diretamente na geração de eletricidade: quando o preço do gás natural sobe, usinas termelétricas substituem gás por carvão, e vice-versa. Essa substituição é um dos mecanismos centrais pelos quais choques de preço de energia se propagam pelo sistema produtivo — e também pelo qual políticas de precificação de carbono podem alterar a matriz energética.</w:t>
      </w:r>
    </w:p>
    <w:p>
      <w:pPr>
        <w:pStyle w:val="BlockText"/>
      </w:pPr>
      <w:r>
        <w:t xml:space="preserve">A crise energética europeia de 2021–2022, provocada pela invasão russa da Ucrânia e pela consequente restrição no fornecimento de gás via gasoduto Nord Stream, ofereceu um</w:t>
      </w:r>
      <w:r>
        <w:t xml:space="preserve"> </w:t>
      </w:r>
      <w:r>
        <w:t xml:space="preserve">“experimento natural”</w:t>
      </w:r>
      <w:r>
        <w:t xml:space="preserve"> </w:t>
      </w:r>
      <w:r>
        <w:t xml:space="preserve">de larga escala para medir essas elasticidades cruzadas em tempo real.</w:t>
      </w:r>
    </w:p>
    <w:p>
      <w:pPr>
        <w:pStyle w:val="BlockText"/>
      </w:pPr>
      <w:r>
        <w:rPr>
          <w:b/>
          <w:bCs/>
        </w:rPr>
        <w:t xml:space="preserve">Dados:</w:t>
      </w:r>
      <w:r>
        <w:t xml:space="preserve"> </w:t>
      </w:r>
      <w:r>
        <w:t xml:space="preserve">Nos EUA, Linn e Muehlenbachs (2018) estimaram uma elasticidade cruzada de substituição entre gás natural e carvão na geração elétrica entre +0,5 e +0,8 no curto prazo, indicando substituição forte. Quando o boom do shale gas reduziu o preço do gás natural americano em cerca de 70% entre 2008 e 2016, a participação do carvão na matriz elétrica dos EUA caiu de 48% para 30% — uma substituição massiva impulsionada por preços relativos, não por regulação ambiental.</w:t>
      </w:r>
    </w:p>
    <w:p>
      <w:pPr>
        <w:pStyle w:val="BlockText"/>
      </w:pPr>
      <w:r>
        <w:t xml:space="preserve">Na Europa, Burke e Yang (2016) e estudos subsequentes do Bruegel Institute estimaram elasticidades cruzadas carvão-gás entre +0,3 e +0,6 para a geração elétrica europeia. Durante a crise de 2022, com o preço spot do gás natural no TTF (Title Transfer Facility, hub europeu) atingindo picos de €340/MWh — mais de dez vezes o nível pré-crise —, a geração a carvão na Alemanha aumentou 8% e na Polônia permaneceu estável em nível já elevado, mesmo com compromissos de descarbonização assumidos sob o European Green Deal.</w:t>
      </w:r>
    </w:p>
    <w:p>
      <w:pPr>
        <w:pStyle w:val="BlockText"/>
      </w:pPr>
      <w:r>
        <w:rPr>
          <w:b/>
          <w:bCs/>
        </w:rPr>
        <w:t xml:space="preserve">Análise:</w:t>
      </w:r>
      <w:r>
        <w:t xml:space="preserve"> </w:t>
      </w:r>
      <w:r>
        <w:t xml:space="preserve">Esses dados ilustram com precisão a teoria da seção 6.2: gás natural e carvão são substitutos brutos inequívocos na geração de eletricidade, com elasticidades cruzadas positivas e economicamente significativas. A magnitude das elasticidades varia conforme a flexibilidade tecnológica das usinas (usinas dual-fuel apresentam elasticidades mais altas) e o horizonte temporal (no longo prazo, investimentos em novas usinas amplificam a substituição). Do ponto de vista hicksiano, a substituição é ainda mais forte, pois o efeito renda (encarecimento geral da energia reduz o consumo total) atenua parcialmente a resposta bruta observada. A implicação para a política climática é direta: uma taxa sobre carbono que encareça o carvão relativamente ao gás natural explora justamente essa elasticidade cruzada positiva para induzir substituição — mas a eficácia depende da magnitude específica da elasticidade, que varia entre países e horizontes temporais.</w:t>
      </w:r>
    </w:p>
    <w:p>
      <w:pPr>
        <w:pStyle w:val="BlockText"/>
      </w:pPr>
      <w:r>
        <w:rPr>
          <w:b/>
          <w:bCs/>
        </w:rPr>
        <w:t xml:space="preserve">Fonte:</w:t>
      </w:r>
      <w:r>
        <w:t xml:space="preserve"> </w:t>
      </w:r>
      <w:r>
        <w:t xml:space="preserve">Linn, J. e Muehlenbachs, L. (2018).</w:t>
      </w:r>
      <w:r>
        <w:t xml:space="preserve"> </w:t>
      </w:r>
      <w:r>
        <w:t xml:space="preserve">“The heterogeneous impacts of low natural gas prices on consumers and the environment.”</w:t>
      </w:r>
      <w:r>
        <w:t xml:space="preserve"> </w:t>
      </w:r>
      <w:r>
        <w:rPr>
          <w:i/>
          <w:iCs/>
        </w:rPr>
        <w:t xml:space="preserve">Journal of Environmental Economics and Management</w:t>
      </w:r>
      <w:r>
        <w:t xml:space="preserve">, 89, 1–28. Burke, P. J. e Yang, H. (2016).</w:t>
      </w:r>
      <w:r>
        <w:t xml:space="preserve"> </w:t>
      </w:r>
      <w:r>
        <w:t xml:space="preserve">“The price and income elasticities of natural gas demand.”</w:t>
      </w:r>
      <w:r>
        <w:t xml:space="preserve"> </w:t>
      </w:r>
      <w:r>
        <w:rPr>
          <w:i/>
          <w:iCs/>
        </w:rPr>
        <w:t xml:space="preserve">Energy Economics</w:t>
      </w:r>
      <w:r>
        <w:t xml:space="preserve">, 58, 466–474. Bruegel Institute (2022).</w:t>
      </w:r>
      <w:r>
        <w:t xml:space="preserve"> </w:t>
      </w:r>
      <w:r>
        <w:t xml:space="preserve">“National energy policy responses to the energy crisis.”</w:t>
      </w:r>
      <w:r>
        <w:t xml:space="preserve"> </w:t>
      </w:r>
      <w:r>
        <w:rPr>
          <w:i/>
          <w:iCs/>
        </w:rPr>
        <w:t xml:space="preserve">Bruegel Datasets</w:t>
      </w:r>
      <w:r>
        <w:t xml:space="preserve">.</w:t>
      </w:r>
    </w:p>
    <w:p>
      <w:pPr>
        <w:pStyle w:val="BlockText"/>
      </w:pPr>
      <w:r>
        <w:rPr>
          <w:b/>
          <w:bCs/>
        </w:rPr>
        <w:t xml:space="preserve">[EXERCICIO RESOLVIDO] Exercício Resolvido 6.2 — Substitutos perfeitos e efeito substituição</w:t>
      </w:r>
    </w:p>
    <w:p>
      <w:pPr>
        <w:pStyle w:val="BlockText"/>
      </w:pPr>
      <w:r>
        <w:rPr>
          <w:b/>
          <w:bCs/>
        </w:rPr>
        <w:t xml:space="preserve">Enunciado.</w:t>
      </w:r>
      <w:r>
        <w:t xml:space="preserve"> </w:t>
      </w:r>
      <w:r>
        <w:t xml:space="preserve">Um consumidor tem utilidade</w:t>
      </w:r>
      <w:r>
        <w:t xml:space="preserve"> </w:t>
      </w:r>
      <m:oMath>
        <m:r>
          <m:t>U</m:t>
        </m:r>
        <m:r>
          <m:rPr>
            <m:sty m:val="p"/>
          </m:rPr>
          <m:t>(</m:t>
        </m:r>
        <m:r>
          <m:t>x</m:t>
        </m:r>
        <m:r>
          <m:rPr>
            <m:sty m:val="p"/>
          </m:rPr>
          <m:t>,</m:t>
        </m:r>
        <m:r>
          <m:t>y</m:t>
        </m:r>
        <m:r>
          <m:rPr>
            <m:sty m:val="p"/>
          </m:rPr>
          <m:t>)</m:t>
        </m:r>
        <m:r>
          <m:rPr>
            <m:sty m:val="p"/>
          </m:rPr>
          <m:t>=</m:t>
        </m:r>
        <m:r>
          <m:t>2</m:t>
        </m:r>
        <m:r>
          <m:t>x</m:t>
        </m:r>
        <m:r>
          <m:rPr>
            <m:sty m:val="p"/>
          </m:rPr>
          <m:t>+</m:t>
        </m:r>
        <m:r>
          <m:t>y</m:t>
        </m:r>
      </m:oMath>
      <w:r>
        <w:t xml:space="preserve">, preços iniciais</w:t>
      </w:r>
      <w:r>
        <w:t xml:space="preserve"> </w:t>
      </w:r>
      <m:oMath>
        <m:sSub>
          <m:e>
            <m:r>
              <m:t>p</m:t>
            </m:r>
          </m:e>
          <m:sub>
            <m:r>
              <m:t>x</m:t>
            </m:r>
          </m:sub>
        </m:sSub>
        <m:r>
          <m:rPr>
            <m:sty m:val="p"/>
          </m:rPr>
          <m:t>=</m:t>
        </m:r>
        <m:sSub>
          <m:e>
            <m:r>
              <m:t>p</m:t>
            </m:r>
          </m:e>
          <m:sub>
            <m:r>
              <m:t>y</m:t>
            </m:r>
          </m:sub>
        </m:sSub>
        <m:r>
          <m:rPr>
            <m:sty m:val="p"/>
          </m:rPr>
          <m:t>=</m:t>
        </m:r>
        <m:r>
          <m:t>2</m:t>
        </m:r>
      </m:oMath>
      <w:r>
        <w:t xml:space="preserve"> </w:t>
      </w:r>
      <w:r>
        <w:t xml:space="preserve">e renda</w:t>
      </w:r>
      <w:r>
        <w:t xml:space="preserve"> </w:t>
      </w:r>
      <m:oMath>
        <m:r>
          <m:t>I</m:t>
        </m:r>
        <m:r>
          <m:rPr>
            <m:sty m:val="p"/>
          </m:rPr>
          <m:t>=</m:t>
        </m:r>
        <m:r>
          <m:t>100</m:t>
        </m:r>
      </m:oMath>
      <w:r>
        <w:t xml:space="preserve">.</w:t>
      </w:r>
    </w:p>
    <w:p>
      <w:pPr>
        <w:pStyle w:val="BlockText"/>
        <w:numPr>
          <w:ilvl w:val="0"/>
          <w:numId w:val="1266"/>
        </w:numPr>
      </w:pPr>
      <w:r>
        <w:t xml:space="preserve">Determine a cesta ótima inicial.</w:t>
      </w:r>
    </w:p>
    <w:p>
      <w:pPr>
        <w:pStyle w:val="BlockText"/>
        <w:numPr>
          <w:ilvl w:val="0"/>
          <w:numId w:val="1266"/>
        </w:numPr>
      </w:pPr>
      <w:r>
        <w:t xml:space="preserve">Se</w:t>
      </w:r>
      <w:r>
        <w:t xml:space="preserve"> </w:t>
      </w:r>
      <m:oMath>
        <m:sSub>
          <m:e>
            <m:r>
              <m:t>p</m:t>
            </m:r>
          </m:e>
          <m:sub>
            <m:r>
              <m:t>x</m:t>
            </m:r>
          </m:sub>
        </m:sSub>
      </m:oMath>
      <w:r>
        <w:t xml:space="preserve"> </w:t>
      </w:r>
      <w:r>
        <w:t xml:space="preserve">cai para 1, determine a nova cesta ótima.</w:t>
      </w:r>
    </w:p>
    <w:p>
      <w:pPr>
        <w:pStyle w:val="BlockText"/>
        <w:numPr>
          <w:ilvl w:val="0"/>
          <w:numId w:val="1266"/>
        </w:numPr>
      </w:pPr>
      <w:r>
        <w:t xml:space="preserve">Decomponha a variação na demanda por</w:t>
      </w:r>
      <w:r>
        <w:t xml:space="preserve"> </w:t>
      </w:r>
      <m:oMath>
        <m:r>
          <m:t>x</m:t>
        </m:r>
      </m:oMath>
      <w:r>
        <w:t xml:space="preserve"> </w:t>
      </w:r>
      <w:r>
        <w:t xml:space="preserve">em efeito substituição e efeito renda (Slutsky).</w:t>
      </w:r>
    </w:p>
    <w:p>
      <w:pPr>
        <w:pStyle w:val="BlockText"/>
      </w:pPr>
      <w:r>
        <w:rPr>
          <w:b/>
          <w:bCs/>
        </w:rPr>
        <w:t xml:space="preserve">Solução.</w:t>
      </w:r>
    </w:p>
    <w:p>
      <w:pPr>
        <w:pStyle w:val="BlockText"/>
      </w:pPr>
      <w:r>
        <w:rPr>
          <w:b/>
          <w:bCs/>
        </w:rPr>
        <w:t xml:space="preserve">(a)</w:t>
      </w:r>
      <w:r>
        <w:t xml:space="preserve"> </w:t>
      </w:r>
      <w:r>
        <w:t xml:space="preserve">Com substitutos perfeitos, o consumidor compara as</w:t>
      </w:r>
      <w:r>
        <w:t xml:space="preserve"> </w:t>
      </w:r>
      <w:r>
        <w:t xml:space="preserve">“utilidades marginais por real gasto”</w:t>
      </w:r>
      <w:r>
        <w:t xml:space="preserve">:</w:t>
      </w:r>
      <w:r>
        <w:t xml:space="preserve"> </w:t>
      </w:r>
      <m:oMath>
        <m:r>
          <m:t>U</m:t>
        </m:r>
        <m:r>
          <m:t>M</m:t>
        </m:r>
        <m:sSub>
          <m:e>
            <m:r>
              <m:t>g</m:t>
            </m:r>
          </m:e>
          <m:sub>
            <m:r>
              <m:t>x</m:t>
            </m:r>
          </m:sub>
        </m:sSub>
        <m:r>
          <m:rPr>
            <m:sty m:val="p"/>
          </m:rPr>
          <m:t>/</m:t>
        </m:r>
        <m:sSub>
          <m:e>
            <m:r>
              <m:t>p</m:t>
            </m:r>
          </m:e>
          <m:sub>
            <m:r>
              <m:t>x</m:t>
            </m:r>
          </m:sub>
        </m:sSub>
        <m:r>
          <m:rPr>
            <m:sty m:val="p"/>
          </m:rPr>
          <m:t>=</m:t>
        </m:r>
        <m:r>
          <m:t>2</m:t>
        </m:r>
        <m:r>
          <m:rPr>
            <m:sty m:val="p"/>
          </m:rPr>
          <m:t>/</m:t>
        </m:r>
        <m:r>
          <m:t>2</m:t>
        </m:r>
        <m:r>
          <m:rPr>
            <m:sty m:val="p"/>
          </m:rPr>
          <m:t>=</m:t>
        </m:r>
        <m:r>
          <m:t>1</m:t>
        </m:r>
      </m:oMath>
      <w:r>
        <w:t xml:space="preserve"> </w:t>
      </w:r>
      <w:r>
        <w:t xml:space="preserve">e</w:t>
      </w:r>
      <w:r>
        <w:t xml:space="preserve"> </w:t>
      </w:r>
      <m:oMath>
        <m:r>
          <m:t>U</m:t>
        </m:r>
        <m:r>
          <m:t>M</m:t>
        </m:r>
        <m:sSub>
          <m:e>
            <m:r>
              <m:t>g</m:t>
            </m:r>
          </m:e>
          <m:sub>
            <m:r>
              <m:t>y</m:t>
            </m:r>
          </m:sub>
        </m:sSub>
        <m:r>
          <m:rPr>
            <m:sty m:val="p"/>
          </m:rPr>
          <m:t>/</m:t>
        </m:r>
        <m:sSub>
          <m:e>
            <m:r>
              <m:t>p</m:t>
            </m:r>
          </m:e>
          <m:sub>
            <m:r>
              <m:t>y</m:t>
            </m:r>
          </m:sub>
        </m:sSub>
        <m:r>
          <m:rPr>
            <m:sty m:val="p"/>
          </m:rPr>
          <m:t>=</m:t>
        </m:r>
        <m:r>
          <m:t>1</m:t>
        </m:r>
        <m:r>
          <m:rPr>
            <m:sty m:val="p"/>
          </m:rPr>
          <m:t>/</m:t>
        </m:r>
        <m:r>
          <m:t>2</m:t>
        </m:r>
        <m:r>
          <m:rPr>
            <m:sty m:val="p"/>
          </m:rPr>
          <m:t>=</m:t>
        </m:r>
        <m:r>
          <m:t>0</m:t>
        </m:r>
        <m:r>
          <m:rPr>
            <m:sty m:val="p"/>
          </m:rPr>
          <m:t>,</m:t>
        </m:r>
        <m:r>
          <m:t>5</m:t>
        </m:r>
      </m:oMath>
      <w:r>
        <w:t xml:space="preserve">. Como</w:t>
      </w:r>
      <w:r>
        <w:t xml:space="preserve"> </w:t>
      </w:r>
      <m:oMath>
        <m:r>
          <m:t>U</m:t>
        </m:r>
        <m:r>
          <m:t>M</m:t>
        </m:r>
        <m:sSub>
          <m:e>
            <m:r>
              <m:t>g</m:t>
            </m:r>
          </m:e>
          <m:sub>
            <m:r>
              <m:t>x</m:t>
            </m:r>
          </m:sub>
        </m:sSub>
        <m:r>
          <m:rPr>
            <m:sty m:val="p"/>
          </m:rPr>
          <m:t>/</m:t>
        </m:r>
        <m:sSub>
          <m:e>
            <m:r>
              <m:t>p</m:t>
            </m:r>
          </m:e>
          <m:sub>
            <m:r>
              <m:t>x</m:t>
            </m:r>
          </m:sub>
        </m:sSub>
        <m:r>
          <m:rPr>
            <m:sty m:val="p"/>
          </m:rPr>
          <m:t>&gt;</m:t>
        </m:r>
        <m:r>
          <m:t>U</m:t>
        </m:r>
        <m:r>
          <m:t>M</m:t>
        </m:r>
        <m:sSub>
          <m:e>
            <m:r>
              <m:t>g</m:t>
            </m:r>
          </m:e>
          <m:sub>
            <m:r>
              <m:t>y</m:t>
            </m:r>
          </m:sub>
        </m:sSub>
        <m:r>
          <m:rPr>
            <m:sty m:val="p"/>
          </m:rPr>
          <m:t>/</m:t>
        </m:r>
        <m:sSub>
          <m:e>
            <m:r>
              <m:t>p</m:t>
            </m:r>
          </m:e>
          <m:sub>
            <m:r>
              <m:t>y</m:t>
            </m:r>
          </m:sub>
        </m:sSub>
      </m:oMath>
      <w:r>
        <w:t xml:space="preserve">, a solução é de canto:</w:t>
      </w:r>
      <w:r>
        <w:t xml:space="preserve"> </w:t>
      </w:r>
      <m:oMath>
        <m:sSup>
          <m:e>
            <m:r>
              <m:t>x</m:t>
            </m:r>
          </m:e>
          <m:sup>
            <m:r>
              <m:rPr>
                <m:sty m:val="p"/>
              </m:rPr>
              <m:t>*</m:t>
            </m:r>
          </m:sup>
        </m:sSup>
        <m:r>
          <m:rPr>
            <m:sty m:val="p"/>
          </m:rPr>
          <m:t>=</m:t>
        </m:r>
        <m:r>
          <m:t>I</m:t>
        </m:r>
        <m:r>
          <m:rPr>
            <m:sty m:val="p"/>
          </m:rPr>
          <m:t>/</m:t>
        </m:r>
        <m:sSub>
          <m:e>
            <m:r>
              <m:t>p</m:t>
            </m:r>
          </m:e>
          <m:sub>
            <m:r>
              <m:t>x</m:t>
            </m:r>
          </m:sub>
        </m:sSub>
        <m:r>
          <m:rPr>
            <m:sty m:val="p"/>
          </m:rPr>
          <m:t>=</m:t>
        </m:r>
        <m:r>
          <m:t>100</m:t>
        </m:r>
        <m:r>
          <m:rPr>
            <m:sty m:val="p"/>
          </m:rPr>
          <m:t>/</m:t>
        </m:r>
        <m:r>
          <m:t>2</m:t>
        </m:r>
        <m:r>
          <m:rPr>
            <m:sty m:val="p"/>
          </m:rPr>
          <m:t>=</m:t>
        </m:r>
        <m:r>
          <m:t>50</m:t>
        </m:r>
      </m:oMath>
      <w:r>
        <w:t xml:space="preserve">,</w:t>
      </w:r>
      <w:r>
        <w:t xml:space="preserve"> </w:t>
      </w:r>
      <m:oMath>
        <m:sSup>
          <m:e>
            <m:r>
              <m:t>y</m:t>
            </m:r>
          </m:e>
          <m:sup>
            <m:r>
              <m:rPr>
                <m:sty m:val="p"/>
              </m:rPr>
              <m:t>*</m:t>
            </m:r>
          </m:sup>
        </m:sSup>
        <m:r>
          <m:rPr>
            <m:sty m:val="p"/>
          </m:rPr>
          <m:t>=</m:t>
        </m:r>
        <m:r>
          <m:t>0</m:t>
        </m:r>
      </m:oMath>
      <w:r>
        <w:t xml:space="preserve">.</w:t>
      </w:r>
    </w:p>
    <w:p>
      <w:pPr>
        <w:pStyle w:val="BlockText"/>
      </w:pPr>
      <w:r>
        <w:rPr>
          <w:b/>
          <w:bCs/>
        </w:rPr>
        <w:t xml:space="preserve">(b)</w:t>
      </w:r>
      <w:r>
        <w:t xml:space="preserve"> </w:t>
      </w:r>
      <w:r>
        <w:t xml:space="preserve">Com</w:t>
      </w:r>
      <w:r>
        <w:t xml:space="preserve"> </w:t>
      </w:r>
      <m:oMath>
        <m:sSub>
          <m:e>
            <m:r>
              <m:t>p</m:t>
            </m:r>
          </m:e>
          <m:sub>
            <m:r>
              <m:t>x</m:t>
            </m:r>
          </m:sub>
        </m:sSub>
        <m:r>
          <m:rPr>
            <m:sty m:val="p"/>
          </m:rPr>
          <m:t>=</m:t>
        </m:r>
        <m:r>
          <m:t>1</m:t>
        </m:r>
      </m:oMath>
      <w:r>
        <w:t xml:space="preserve">:</w:t>
      </w:r>
      <w:r>
        <w:t xml:space="preserve"> </w:t>
      </w:r>
      <m:oMath>
        <m:r>
          <m:t>U</m:t>
        </m:r>
        <m:r>
          <m:t>M</m:t>
        </m:r>
        <m:sSub>
          <m:e>
            <m:r>
              <m:t>g</m:t>
            </m:r>
          </m:e>
          <m:sub>
            <m:r>
              <m:t>x</m:t>
            </m:r>
          </m:sub>
        </m:sSub>
        <m:r>
          <m:rPr>
            <m:sty m:val="p"/>
          </m:rPr>
          <m:t>/</m:t>
        </m:r>
        <m:sSub>
          <m:e>
            <m:r>
              <m:t>p</m:t>
            </m:r>
          </m:e>
          <m:sub>
            <m:r>
              <m:t>x</m:t>
            </m:r>
          </m:sub>
        </m:sSub>
        <m:r>
          <m:rPr>
            <m:sty m:val="p"/>
          </m:rPr>
          <m:t>=</m:t>
        </m:r>
        <m:r>
          <m:t>2</m:t>
        </m:r>
        <m:r>
          <m:rPr>
            <m:sty m:val="p"/>
          </m:rPr>
          <m:t>/</m:t>
        </m:r>
        <m:r>
          <m:t>1</m:t>
        </m:r>
        <m:r>
          <m:rPr>
            <m:sty m:val="p"/>
          </m:rPr>
          <m:t>=</m:t>
        </m:r>
        <m:r>
          <m:t>2</m:t>
        </m:r>
        <m:r>
          <m:rPr>
            <m:sty m:val="p"/>
          </m:rPr>
          <m:t>&gt;</m:t>
        </m:r>
        <m:r>
          <m:t>1</m:t>
        </m:r>
        <m:r>
          <m:rPr>
            <m:sty m:val="p"/>
          </m:rPr>
          <m:t>/</m:t>
        </m:r>
        <m:r>
          <m:t>2</m:t>
        </m:r>
        <m:r>
          <m:rPr>
            <m:sty m:val="p"/>
          </m:rPr>
          <m:t>=</m:t>
        </m:r>
        <m:r>
          <m:t>U</m:t>
        </m:r>
        <m:r>
          <m:t>M</m:t>
        </m:r>
        <m:sSub>
          <m:e>
            <m:r>
              <m:t>g</m:t>
            </m:r>
          </m:e>
          <m:sub>
            <m:r>
              <m:t>y</m:t>
            </m:r>
          </m:sub>
        </m:sSub>
        <m:r>
          <m:rPr>
            <m:sty m:val="p"/>
          </m:rPr>
          <m:t>/</m:t>
        </m:r>
        <m:sSub>
          <m:e>
            <m:r>
              <m:t>p</m:t>
            </m:r>
          </m:e>
          <m:sub>
            <m:r>
              <m:t>y</m:t>
            </m:r>
          </m:sub>
        </m:sSub>
      </m:oMath>
      <w:r>
        <w:t xml:space="preserve">. A solução continua de canto:</w:t>
      </w:r>
      <w:r>
        <w:t xml:space="preserve"> </w:t>
      </w:r>
      <m:oMath>
        <m:sSup>
          <m:e>
            <m:r>
              <m:t>x</m:t>
            </m:r>
          </m:e>
          <m:sup>
            <m:r>
              <m:rPr>
                <m:sty m:val="p"/>
              </m:rPr>
              <m:t>*</m:t>
            </m:r>
          </m:sup>
        </m:sSup>
        <m:r>
          <m:rPr>
            <m:sty m:val="p"/>
          </m:rPr>
          <m:t>=</m:t>
        </m:r>
        <m:r>
          <m:t>100</m:t>
        </m:r>
        <m:r>
          <m:rPr>
            <m:sty m:val="p"/>
          </m:rPr>
          <m:t>/</m:t>
        </m:r>
        <m:r>
          <m:t>1</m:t>
        </m:r>
        <m:r>
          <m:rPr>
            <m:sty m:val="p"/>
          </m:rPr>
          <m:t>=</m:t>
        </m:r>
        <m:r>
          <m:t>100</m:t>
        </m:r>
      </m:oMath>
      <w:r>
        <w:t xml:space="preserve">,</w:t>
      </w:r>
      <w:r>
        <w:t xml:space="preserve"> </w:t>
      </w:r>
      <m:oMath>
        <m:sSup>
          <m:e>
            <m:r>
              <m:t>y</m:t>
            </m:r>
          </m:e>
          <m:sup>
            <m:r>
              <m:rPr>
                <m:sty m:val="p"/>
              </m:rPr>
              <m:t>*</m:t>
            </m:r>
          </m:sup>
        </m:sSup>
        <m:r>
          <m:rPr>
            <m:sty m:val="p"/>
          </m:rPr>
          <m:t>=</m:t>
        </m:r>
        <m:r>
          <m:t>0</m:t>
        </m:r>
      </m:oMath>
      <w:r>
        <w:t xml:space="preserve">. A variação total é</w:t>
      </w:r>
      <w:r>
        <w:t xml:space="preserve"> </w:t>
      </w:r>
      <m:oMath>
        <m:r>
          <m:rPr>
            <m:sty m:val="p"/>
          </m:rPr>
          <m:t>Δ</m:t>
        </m:r>
        <m:r>
          <m:t>x</m:t>
        </m:r>
        <m:r>
          <m:rPr>
            <m:sty m:val="p"/>
          </m:rPr>
          <m:t>=</m:t>
        </m:r>
        <m:r>
          <m:t>100</m:t>
        </m:r>
        <m:r>
          <m:rPr>
            <m:sty m:val="p"/>
          </m:rPr>
          <m:t>−</m:t>
        </m:r>
        <m:r>
          <m:t>50</m:t>
        </m:r>
        <m:r>
          <m:rPr>
            <m:sty m:val="p"/>
          </m:rPr>
          <m:t>=</m:t>
        </m:r>
        <m:r>
          <m:t>50</m:t>
        </m:r>
      </m:oMath>
      <w:r>
        <w:t xml:space="preserve">.</w:t>
      </w:r>
    </w:p>
    <w:p>
      <w:pPr>
        <w:pStyle w:val="BlockText"/>
      </w:pPr>
      <w:r>
        <w:rPr>
          <w:b/>
          <w:bCs/>
        </w:rPr>
        <w:t xml:space="preserve">(c)</w:t>
      </w:r>
      <w:r>
        <w:t xml:space="preserve"> </w:t>
      </w:r>
      <w:r>
        <w:rPr>
          <w:b/>
          <w:bCs/>
        </w:rPr>
        <w:t xml:space="preserve">Efeito substituição (Slutsky):</w:t>
      </w:r>
      <w:r>
        <w:t xml:space="preserve"> </w:t>
      </w:r>
      <w:r>
        <w:t xml:space="preserve">compensamos a renda para que o consumidor possa comprar exatamente a cesta inicial aos novos preços. Custo da cesta inicial</w:t>
      </w:r>
      <w:r>
        <w:t xml:space="preserve"> </w:t>
      </w:r>
      <m:oMath>
        <m:r>
          <m:rPr>
            <m:sty m:val="p"/>
          </m:rPr>
          <m:t>(</m:t>
        </m:r>
        <m:r>
          <m:t>50</m:t>
        </m:r>
        <m:r>
          <m:rPr>
            <m:sty m:val="p"/>
          </m:rPr>
          <m:t>,</m:t>
        </m:r>
        <m:r>
          <m:t>0</m:t>
        </m:r>
        <m:r>
          <m:rPr>
            <m:sty m:val="p"/>
          </m:rPr>
          <m:t>)</m:t>
        </m:r>
      </m:oMath>
      <w:r>
        <w:t xml:space="preserve"> </w:t>
      </w:r>
      <w:r>
        <w:t xml:space="preserve">a preços novos</w:t>
      </w:r>
      <w:r>
        <w:t xml:space="preserve"> </w:t>
      </w:r>
      <m:oMath>
        <m:r>
          <m:rPr>
            <m:sty m:val="p"/>
          </m:rPr>
          <m:t>(</m:t>
        </m:r>
        <m:r>
          <m:t>1</m:t>
        </m:r>
        <m:r>
          <m:rPr>
            <m:sty m:val="p"/>
          </m:rPr>
          <m:t>,</m:t>
        </m:r>
        <m:r>
          <m:t>2</m:t>
        </m:r>
        <m:r>
          <m:rPr>
            <m:sty m:val="p"/>
          </m:rPr>
          <m:t>)</m:t>
        </m:r>
      </m:oMath>
      <w:r>
        <w:t xml:space="preserve">:</w:t>
      </w:r>
      <w:r>
        <w:t xml:space="preserve"> </w:t>
      </w:r>
      <m:oMath>
        <m:r>
          <m:t>1</m:t>
        </m:r>
        <m:r>
          <m:rPr>
            <m:sty m:val="p"/>
          </m:rPr>
          <m:t>×</m:t>
        </m:r>
        <m:r>
          <m:t>50</m:t>
        </m:r>
        <m:r>
          <m:rPr>
            <m:sty m:val="p"/>
          </m:rPr>
          <m:t>+</m:t>
        </m:r>
        <m:r>
          <m:t>2</m:t>
        </m:r>
        <m:r>
          <m:rPr>
            <m:sty m:val="p"/>
          </m:rPr>
          <m:t>×</m:t>
        </m:r>
        <m:r>
          <m:t>0</m:t>
        </m:r>
        <m:r>
          <m:rPr>
            <m:sty m:val="p"/>
          </m:rPr>
          <m:t>=</m:t>
        </m:r>
        <m:r>
          <m:t>50</m:t>
        </m:r>
      </m:oMath>
      <w:r>
        <w:t xml:space="preserve">. Com renda compensada</w:t>
      </w:r>
      <w:r>
        <w:t xml:space="preserve"> </w:t>
      </w:r>
      <m:oMath>
        <m:sSup>
          <m:e>
            <m:r>
              <m:t>I</m:t>
            </m:r>
          </m:e>
          <m:sup>
            <m:r>
              <m:rPr>
                <m:sty m:val="p"/>
              </m:rPr>
              <m:t>′</m:t>
            </m:r>
          </m:sup>
        </m:sSup>
        <m:r>
          <m:rPr>
            <m:sty m:val="p"/>
          </m:rPr>
          <m:t>=</m:t>
        </m:r>
        <m:r>
          <m:t>50</m:t>
        </m:r>
      </m:oMath>
      <w:r>
        <w:t xml:space="preserve"> </w:t>
      </w:r>
      <w:r>
        <w:t xml:space="preserve">e preços</w:t>
      </w:r>
      <w:r>
        <w:t xml:space="preserve"> </w:t>
      </w:r>
      <m:oMath>
        <m:r>
          <m:rPr>
            <m:sty m:val="p"/>
          </m:rPr>
          <m:t>(</m:t>
        </m:r>
        <m:r>
          <m:t>1</m:t>
        </m:r>
        <m:r>
          <m:rPr>
            <m:sty m:val="p"/>
          </m:rPr>
          <m:t>,</m:t>
        </m:r>
        <m:r>
          <m:t>2</m:t>
        </m:r>
        <m:r>
          <m:rPr>
            <m:sty m:val="p"/>
          </m:rPr>
          <m:t>)</m:t>
        </m:r>
      </m:oMath>
      <w:r>
        <w:t xml:space="preserve">:</w:t>
      </w:r>
      <w:r>
        <w:t xml:space="preserve"> </w:t>
      </w:r>
      <m:oMath>
        <m:r>
          <m:t>U</m:t>
        </m:r>
        <m:r>
          <m:t>M</m:t>
        </m:r>
        <m:sSub>
          <m:e>
            <m:r>
              <m:t>g</m:t>
            </m:r>
          </m:e>
          <m:sub>
            <m:r>
              <m:t>x</m:t>
            </m:r>
          </m:sub>
        </m:sSub>
        <m:r>
          <m:rPr>
            <m:sty m:val="p"/>
          </m:rPr>
          <m:t>/</m:t>
        </m:r>
        <m:sSub>
          <m:e>
            <m:r>
              <m:t>p</m:t>
            </m:r>
          </m:e>
          <m:sub>
            <m:r>
              <m:t>x</m:t>
            </m:r>
          </m:sub>
        </m:sSub>
        <m:r>
          <m:rPr>
            <m:sty m:val="p"/>
          </m:rPr>
          <m:t>=</m:t>
        </m:r>
        <m:r>
          <m:t>2</m:t>
        </m:r>
        <m:r>
          <m:rPr>
            <m:sty m:val="p"/>
          </m:rPr>
          <m:t>&gt;</m:t>
        </m:r>
        <m:r>
          <m:t>U</m:t>
        </m:r>
        <m:r>
          <m:t>M</m:t>
        </m:r>
        <m:sSub>
          <m:e>
            <m:r>
              <m:t>g</m:t>
            </m:r>
          </m:e>
          <m:sub>
            <m:r>
              <m:t>y</m:t>
            </m:r>
          </m:sub>
        </m:sSub>
        <m:r>
          <m:rPr>
            <m:sty m:val="p"/>
          </m:rPr>
          <m:t>/</m:t>
        </m:r>
        <m:sSub>
          <m:e>
            <m:r>
              <m:t>p</m:t>
            </m:r>
          </m:e>
          <m:sub>
            <m:r>
              <m:t>y</m:t>
            </m:r>
          </m:sub>
        </m:sSub>
        <m:r>
          <m:rPr>
            <m:sty m:val="p"/>
          </m:rPr>
          <m:t>=</m:t>
        </m:r>
        <m:r>
          <m:t>0</m:t>
        </m:r>
        <m:r>
          <m:rPr>
            <m:sty m:val="p"/>
          </m:rPr>
          <m:t>,</m:t>
        </m:r>
        <m:r>
          <m:t>5</m:t>
        </m:r>
      </m:oMath>
      <w:r>
        <w:t xml:space="preserve">, logo</w:t>
      </w:r>
      <w:r>
        <w:t xml:space="preserve"> </w:t>
      </w:r>
      <m:oMath>
        <m:sSup>
          <m:e>
            <m:r>
              <m:t>x</m:t>
            </m:r>
          </m:e>
          <m:sup>
            <m:r>
              <m:t>E</m:t>
            </m:r>
            <m:r>
              <m:t>S</m:t>
            </m:r>
          </m:sup>
        </m:sSup>
        <m:r>
          <m:rPr>
            <m:sty m:val="p"/>
          </m:rPr>
          <m:t>=</m:t>
        </m:r>
        <m:r>
          <m:t>50</m:t>
        </m:r>
        <m:r>
          <m:rPr>
            <m:sty m:val="p"/>
          </m:rPr>
          <m:t>/</m:t>
        </m:r>
        <m:r>
          <m:t>1</m:t>
        </m:r>
        <m:r>
          <m:rPr>
            <m:sty m:val="p"/>
          </m:rPr>
          <m:t>=</m:t>
        </m:r>
        <m:r>
          <m:t>50</m:t>
        </m:r>
      </m:oMath>
      <w:r>
        <w:t xml:space="preserve">. O efeito substituição é</w:t>
      </w:r>
      <w:r>
        <w:t xml:space="preserve"> </w:t>
      </w:r>
      <m:oMath>
        <m:r>
          <m:t>50</m:t>
        </m:r>
        <m:r>
          <m:rPr>
            <m:sty m:val="p"/>
          </m:rPr>
          <m:t>−</m:t>
        </m:r>
        <m:r>
          <m:t>50</m:t>
        </m:r>
        <m:r>
          <m:rPr>
            <m:sty m:val="p"/>
          </m:rPr>
          <m:t>=</m:t>
        </m:r>
        <m:r>
          <m:t>0</m:t>
        </m:r>
      </m:oMath>
      <w:r>
        <w:t xml:space="preserve">.</w:t>
      </w:r>
    </w:p>
    <w:p>
      <w:pPr>
        <w:pStyle w:val="BlockText"/>
      </w:pPr>
      <w:r>
        <w:rPr>
          <w:b/>
          <w:bCs/>
        </w:rPr>
        <w:t xml:space="preserve">Efeito renda:</w:t>
      </w:r>
      <w:r>
        <w:t xml:space="preserve"> </w:t>
      </w:r>
      <m:oMath>
        <m:r>
          <m:rPr>
            <m:sty m:val="p"/>
          </m:rPr>
          <m:t>Δ</m:t>
        </m:r>
        <m:sSub>
          <m:e>
            <m:r>
              <m:t>x</m:t>
            </m:r>
          </m:e>
          <m:sub>
            <m:r>
              <m:t>E</m:t>
            </m:r>
            <m:r>
              <m:t>R</m:t>
            </m:r>
          </m:sub>
        </m:sSub>
        <m:r>
          <m:rPr>
            <m:sty m:val="p"/>
          </m:rPr>
          <m:t>=</m:t>
        </m:r>
        <m:r>
          <m:t>100</m:t>
        </m:r>
        <m:r>
          <m:rPr>
            <m:sty m:val="p"/>
          </m:rPr>
          <m:t>−</m:t>
        </m:r>
        <m:r>
          <m:t>50</m:t>
        </m:r>
        <m:r>
          <m:rPr>
            <m:sty m:val="p"/>
          </m:rPr>
          <m:t>=</m:t>
        </m:r>
        <m:r>
          <m:t>50</m:t>
        </m:r>
      </m:oMath>
      <w:r>
        <w:t xml:space="preserve">. Toda a variação é efeito renda.</w:t>
      </w:r>
    </w:p>
    <w:p>
      <w:pPr>
        <w:pStyle w:val="BlockText"/>
      </w:pPr>
      <w:r>
        <w:rPr>
          <w:b/>
          <w:bCs/>
        </w:rPr>
        <w:t xml:space="preserve">Interpretação:</w:t>
      </w:r>
      <w:r>
        <w:t xml:space="preserve"> </w:t>
      </w:r>
      <w:r>
        <w:t xml:space="preserve">com substitutos perfeitos lineares, quando o consumidor já consome apenas</w:t>
      </w:r>
      <w:r>
        <w:t xml:space="preserve"> </w:t>
      </w:r>
      <m:oMath>
        <m:r>
          <m:t>x</m:t>
        </m:r>
      </m:oMath>
      <w:r>
        <w:t xml:space="preserve"> </w:t>
      </w:r>
      <w:r>
        <w:t xml:space="preserve">antes e depois da mudança, o efeito substituição é zero — ele não</w:t>
      </w:r>
      <w:r>
        <w:t xml:space="preserve"> </w:t>
      </w:r>
      <w:r>
        <w:t xml:space="preserve">“troca”</w:t>
      </w:r>
      <w:r>
        <w:t xml:space="preserve"> </w:t>
      </w:r>
      <w:r>
        <w:t xml:space="preserve">de bem, apenas consome mais do mesmo com o aumento do poder de compra. Este é um resultado importante e frequente em provas da ANPEC.</w:t>
      </w:r>
    </w:p>
    <w:p>
      <w:r>
        <w:pict>
          <v:rect style="width:0;height:1.5pt" o:hralign="center" o:hrstd="t" o:hr="t"/>
        </w:pict>
      </w:r>
    </w:p>
    <w:bookmarkEnd w:id="290"/>
    <w:bookmarkEnd w:id="291"/>
    <w:bookmarkStart w:id="292" w:name="X01fbd4f270f2215809dfeb1e5b8ad43ca104354"/>
    <w:p>
      <w:pPr>
        <w:pStyle w:val="Heading3"/>
      </w:pPr>
      <w:r>
        <w:t xml:space="preserve">6.4 Quando o Mundo Tem Mais de Dois Bens: Substituibilidade Geral</w:t>
      </w:r>
    </w:p>
    <w:p>
      <w:pPr>
        <w:pStyle w:val="FirstParagraph"/>
      </w:pPr>
      <w:r>
        <w:t xml:space="preserve">Até aqui, trabalhamos predominantemente com dois bens — um cenário que, embora didático, impõe restrições fortes sobre as relações de substituição e complementaridade. No mundo real, os consumidores escolhem entre centenas de bens, e as relações cruzadas formam uma teia complexa. O que muda quando passamos de dois para muitos bens? A resposta envolve a</w:t>
      </w:r>
      <w:r>
        <w:t xml:space="preserve"> </w:t>
      </w:r>
      <w:r>
        <w:rPr>
          <w:b/>
          <w:bCs/>
        </w:rPr>
        <w:t xml:space="preserve">matriz de substituição de Slutsky</w:t>
      </w:r>
      <w:r>
        <w:t xml:space="preserve">, uma ferramenta que organiza todos os efeitos cruzados em uma única estrutura algébrica.</w:t>
      </w:r>
    </w:p>
    <w:p>
      <w:pPr>
        <w:pStyle w:val="BodyText"/>
      </w:pPr>
      <w:r>
        <w:t xml:space="preserve">Com</w:t>
      </w:r>
      <w:r>
        <w:t xml:space="preserve"> </w:t>
      </w:r>
      <m:oMath>
        <m:r>
          <m:t>n</m:t>
        </m:r>
        <m:r>
          <m:rPr>
            <m:sty m:val="p"/>
          </m:rPr>
          <m:t>&gt;</m:t>
        </m:r>
        <m:r>
          <m:t>2</m:t>
        </m:r>
      </m:oMath>
      <w:r>
        <w:t xml:space="preserve"> </w:t>
      </w:r>
      <w:r>
        <w:t xml:space="preserve">bens, a análise se torna mais rica e complexa. A</w:t>
      </w:r>
      <w:r>
        <w:t xml:space="preserve"> </w:t>
      </w:r>
      <w:r>
        <w:rPr>
          <w:b/>
          <w:bCs/>
        </w:rPr>
        <w:t xml:space="preserve">matriz de substituição de Slutsky</w:t>
      </w:r>
      <w:r>
        <w:t xml:space="preserve"> </w:t>
      </w:r>
      <m:oMath>
        <m:r>
          <m:rPr>
            <m:sty m:val="bi"/>
          </m:rPr>
          <m:t>S</m:t>
        </m:r>
      </m:oMath>
      <w:r>
        <w:t xml:space="preserve">, com elementos:</w:t>
      </w:r>
    </w:p>
    <w:p>
      <w:pPr>
        <w:pStyle w:val="BodyText"/>
      </w:pPr>
      <w:r>
        <w:t xml:space="preserve">$$
    s_{ij} = \frac{\partial h_i}{\partial p_j}, \quad i, j = 1, \ldots, n \label{eq:6.4.4} \tag{6.4.4}
    $$</w:t>
      </w:r>
    </w:p>
    <w:p>
      <w:pPr>
        <w:pStyle w:val="FirstParagraph"/>
      </w:pPr>
      <w:r>
        <w:t xml:space="preserve">é simétrica (</w:t>
      </w:r>
      <m:oMath>
        <m:sSub>
          <m:e>
            <m:r>
              <m:t>s</m:t>
            </m:r>
          </m:e>
          <m:sub>
            <m:r>
              <m:t>i</m:t>
            </m:r>
            <m:r>
              <m:t>j</m:t>
            </m:r>
          </m:sub>
        </m:sSub>
        <m:r>
          <m:rPr>
            <m:sty m:val="p"/>
          </m:rPr>
          <m:t>=</m:t>
        </m:r>
        <m:sSub>
          <m:e>
            <m:r>
              <m:t>s</m:t>
            </m:r>
          </m:e>
          <m:sub>
            <m:r>
              <m:t>j</m:t>
            </m:r>
            <m:r>
              <m:t>i</m:t>
            </m:r>
          </m:sub>
        </m:sSub>
      </m:oMath>
      <w:r>
        <w:t xml:space="preserve">) e negativa semidefinida. Os elementos diagonais são necessariamente não positivos:</w:t>
      </w:r>
    </w:p>
    <w:p>
      <w:pPr>
        <w:pStyle w:val="BodyText"/>
      </w:pPr>
      <m:oMathPara>
        <m:oMathParaPr>
          <m:jc m:val="center"/>
        </m:oMathParaPr>
        <m:oMath>
          <m:sSub>
            <m:e>
              <m:r>
                <m:t>s</m:t>
              </m:r>
            </m:e>
            <m:sub>
              <m:r>
                <m:t>i</m:t>
              </m:r>
              <m:r>
                <m:t>i</m:t>
              </m:r>
            </m:sub>
          </m:sSub>
          <m:r>
            <m:rPr>
              <m:sty m:val="p"/>
            </m:rPr>
            <m:t>=</m:t>
          </m:r>
          <m:f>
            <m:fPr>
              <m:type m:val="bar"/>
            </m:fPr>
            <m:num>
              <m:r>
                <m:rPr>
                  <m:sty m:val="p"/>
                </m:rPr>
                <m:t>∂</m:t>
              </m:r>
              <m:sSub>
                <m:e>
                  <m:r>
                    <m:t>h</m:t>
                  </m:r>
                </m:e>
                <m:sub>
                  <m:r>
                    <m:t>i</m:t>
                  </m:r>
                </m:sub>
              </m:sSub>
            </m:num>
            <m:den>
              <m:r>
                <m:rPr>
                  <m:sty m:val="p"/>
                </m:rPr>
                <m:t>∂</m:t>
              </m:r>
              <m:sSub>
                <m:e>
                  <m:r>
                    <m:t>p</m:t>
                  </m:r>
                </m:e>
                <m:sub>
                  <m:r>
                    <m:t>i</m:t>
                  </m:r>
                </m:sub>
              </m:sSub>
            </m:den>
          </m:f>
          <m:r>
            <m:rPr>
              <m:sty m:val="p"/>
            </m:rPr>
            <m:t>≤</m:t>
          </m:r>
          <m:r>
            <m:t>0</m:t>
          </m:r>
        </m:oMath>
      </m:oMathPara>
    </w:p>
    <w:p>
      <w:pPr>
        <w:pStyle w:val="FirstParagraph"/>
      </w:pPr>
      <w:r>
        <w:t xml:space="preserve">mas os elementos fora da diagonal podem ter qualquer sinal. No entanto, nem todos podem ser negativos:</w:t>
      </w:r>
    </w:p>
    <w:p>
      <w:pPr>
        <w:pStyle w:val="BlockText"/>
      </w:pPr>
      <w:r>
        <w:rPr>
          <w:b/>
          <w:bCs/>
        </w:rPr>
        <w:t xml:space="preserve">[TEOREMA] Teorema: Predominância da substituibilidade líquida</w:t>
      </w:r>
    </w:p>
    <w:p>
      <w:pPr>
        <w:pStyle w:val="BlockText"/>
      </w:pPr>
      <w:r>
        <w:t xml:space="preserve">Para cada bem</w:t>
      </w:r>
      <w:r>
        <w:t xml:space="preserve"> </w:t>
      </w:r>
      <m:oMath>
        <m:r>
          <m:t>i</m:t>
        </m:r>
      </m:oMath>
      <w:r>
        <w:t xml:space="preserve">, a soma ponderada dos efeitos substituição cruzados (com pesos iguais aos preços) é não negativa. Mais precisamente, pela homogeneidade de grau zero da demanda hicksiana:</w:t>
      </w:r>
    </w:p>
    <w:p>
      <w:pPr>
        <w:pStyle w:val="BlockText"/>
      </w:pPr>
      <w:r>
        <w:t xml:space="preserve">$$</w:t>
      </w:r>
    </w:p>
    <w:p>
      <w:pPr>
        <w:pStyle w:val="BlockText"/>
      </w:pPr>
      <w:r>
        <w:t xml:space="preserve">_{j=1}^n p_j</w:t>
      </w:r>
      <w:r>
        <w:t xml:space="preserve"> </w:t>
      </w:r>
      <w:r>
        <w:t xml:space="preserve"> </w:t>
      </w:r>
      <w:r>
        <w:t xml:space="preserve">= 0</w:t>
      </w:r>
      <w:r>
        <w:t xml:space="preserve"> </w:t>
      </w:r>
      <w:r>
        <w:t xml:space="preserve"> </w:t>
      </w:r>
    </w:p>
    <w:p>
      <w:pPr>
        <w:pStyle w:val="BlockText"/>
      </w:pPr>
      <w:r>
        <w:t xml:space="preserve">$$</w:t>
      </w:r>
    </w:p>
    <w:p>
      <w:pPr>
        <w:pStyle w:val="BlockText"/>
      </w:pPr>
      <w:r>
        <w:t xml:space="preserve">Como</w:t>
      </w:r>
      <w:r>
        <w:t xml:space="preserve"> </w:t>
      </w:r>
      <m:oMath>
        <m:f>
          <m:fPr>
            <m:type m:val="bar"/>
          </m:fPr>
          <m:num>
            <m:r>
              <m:rPr>
                <m:sty m:val="p"/>
              </m:rPr>
              <m:t>∂</m:t>
            </m:r>
            <m:sSub>
              <m:e>
                <m:r>
                  <m:t>h</m:t>
                </m:r>
              </m:e>
              <m:sub>
                <m:r>
                  <m:t>i</m:t>
                </m:r>
              </m:sub>
            </m:sSub>
          </m:num>
          <m:den>
            <m:r>
              <m:rPr>
                <m:sty m:val="p"/>
              </m:rPr>
              <m:t>∂</m:t>
            </m:r>
            <m:sSub>
              <m:e>
                <m:r>
                  <m:t>p</m:t>
                </m:r>
              </m:e>
              <m:sub>
                <m:r>
                  <m:t>i</m:t>
                </m:r>
              </m:sub>
            </m:sSub>
          </m:den>
        </m:f>
        <m:r>
          <m:rPr>
            <m:sty m:val="p"/>
          </m:rPr>
          <m:t>≤</m:t>
        </m:r>
        <m:r>
          <m:t>0</m:t>
        </m:r>
      </m:oMath>
      <w:r>
        <w:t xml:space="preserve">, a equação Eq. (eq:6.4.5) implica que pelo menos alguns dos termos cruzados devem ser positivos. Logo,</w:t>
      </w:r>
      <w:r>
        <w:t xml:space="preserve"> </w:t>
      </w:r>
      <w:r>
        <w:rPr>
          <w:b/>
          <w:bCs/>
        </w:rPr>
        <w:t xml:space="preserve">todo bem deve ter pelo menos um substituto líquido</w:t>
      </w:r>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Nenhum bem existe em isolamento — se um bem fica mais caro (com utilidade mantida constante), o consumidor precisa migrar para algum outro bem, tornando todo bem substituto líquido de pelo menos um outro.</w:t>
      </w:r>
    </w:p>
    <w:p>
      <w:pPr>
        <w:pStyle w:val="BlockText"/>
      </w:pPr>
      <w:r>
        <w:rPr>
          <w:b/>
          <w:bCs/>
        </w:rPr>
        <w:t xml:space="preserve">Pense assim:</w:t>
      </w:r>
      <w:r>
        <w:t xml:space="preserve"> </w:t>
      </w:r>
      <w:r>
        <w:t xml:space="preserve">Suponha que todos os bens fossem complementos líquidos de um bem específico — digamos, que o aumento no preço da farinha de trigo reduzisse a demanda compensada por pão, macarrão, biscoito e bolo simultaneamente. Mas isso é impossível: o consumidor precisa alocar sua renda compensada</w:t>
      </w:r>
      <w:r>
        <w:t xml:space="preserve"> </w:t>
      </w:r>
      <w:r>
        <w:rPr>
          <w:i/>
          <w:iCs/>
        </w:rPr>
        <w:t xml:space="preserve">para algum lugar</w:t>
      </w:r>
      <w:r>
        <w:t xml:space="preserve">. Se gasta menos com tudo relacionado a trigo, precisará gastar mais com carne, legumes, laticínios ou qualquer outro grupo — que são, portanto, substitutos líquidos do trigo. A equação Eq. (eq:6.4.5) formaliza exatamente essa inevitabilidade: a soma ponderada dos efeitos substituição cruzados de qualquer bem deve ser positiva para compensar o efeito substituição próprio negativo.</w:t>
      </w:r>
    </w:p>
    <w:p>
      <w:pPr>
        <w:pStyle w:val="BlockText"/>
      </w:pPr>
      <w:r>
        <w:rPr>
          <w:b/>
          <w:bCs/>
        </w:rPr>
        <w:t xml:space="preserve">Por que isso importa:</w:t>
      </w:r>
      <w:r>
        <w:t xml:space="preserve"> </w:t>
      </w:r>
      <w:r>
        <w:t xml:space="preserve">Para qualquer política que encareça um grupo de bens (imposto sobre alimentos ultraprocessados, taxação de combustíveis fósseis), haverá necessariamente bens que se beneficiarão como substitutos líquidos. Identificar esses bens é parte essencial da análise de impacto.</w:t>
      </w:r>
    </w:p>
    <w:p>
      <w:pPr>
        <w:pStyle w:val="FirstParagraph"/>
      </w:pPr>
      <w:r>
        <w:t xml:space="preserve">Essa propriedade implica que, embora a complementaridade líquida exista, a substituibilidade é o fenômeno</w:t>
      </w:r>
      <w:r>
        <w:t xml:space="preserve"> </w:t>
      </w:r>
      <w:r>
        <w:t xml:space="preserve">“dominante”</w:t>
      </w:r>
      <w:r>
        <w:t xml:space="preserve"> </w:t>
      </w:r>
      <w:r>
        <w:t xml:space="preserve">no sentido de que não pode haver um bem que seja complemento líquido de todos os outros. Intuitivamente, se o preço de um bem sobe (mantendo a utilidade constante), o consumidor precisa redistribuir seu consumo em direção a</w:t>
      </w:r>
      <w:r>
        <w:t xml:space="preserve"> </w:t>
      </w:r>
      <w:r>
        <w:rPr>
          <w:i/>
          <w:iCs/>
        </w:rPr>
        <w:t xml:space="preserve">algum</w:t>
      </w:r>
      <w:r>
        <w:t xml:space="preserve"> </w:t>
      </w:r>
      <w:r>
        <w:t xml:space="preserve">outro bem — a substituição é, em certo sentido, inevitável.</w:t>
      </w:r>
    </w:p>
    <w:p>
      <w:pPr>
        <w:pStyle w:val="BodyText"/>
      </w:pPr>
      <w:r>
        <w:t xml:space="preserve">A matriz de Slutsky também tem implicações empíricas diretas. Suas propriedades — simetria e semidefinição negativa — são condições testáveis que os econometras utilizam para verificar se os dados de demanda são consistentes com a teoria do consumidor racional. Estudos que estimam sistemas completos de demanda (como o modelo AIDS de Deaton e Muellbauer, apresentado na seção de Pesquisa em Ação) testam a simetria de Slutsky como hipótese estatística. Quando essa hipótese é rejeitada pelos dados, pode indicar agregação imprópria de bens, violação da hipótese de consumidor representativo, ou simplesmente erro de medição. No Brasil, estudos baseados na POF e em dados de scanner de supermercados têm testado essas restrições para categorias alimentares, com resultados que geralmente suportam a simetria — mas frequentemente rejeitam a semidefinição negativa estrita, sugerindo a presença de efeitos de hábito ou complementaridade dinâmica não capturados pelo modelo estático.</w:t>
      </w:r>
    </w:p>
    <w:bookmarkEnd w:id="292"/>
    <w:bookmarkEnd w:id="293"/>
    <w:bookmarkStart w:id="300" w:name="bem-composto-lancaster-e-becker"/>
    <w:p>
      <w:pPr>
        <w:pStyle w:val="Heading2"/>
      </w:pPr>
      <w:r>
        <w:t xml:space="preserve">6.5–6.6 Bem Composto, Lancaster e Becker</w:t>
      </w:r>
    </w:p>
    <w:bookmarkStart w:id="295" w:name="Xc5b1f46d52eb0858d5a9cb0fac32f6a6c8c1390"/>
    <w:p>
      <w:pPr>
        <w:pStyle w:val="Heading3"/>
      </w:pPr>
      <w:r>
        <w:t xml:space="preserve">6.5</w:t>
      </w:r>
      <w:r>
        <w:t xml:space="preserve"> </w:t>
      </w:r>
      <w:r>
        <w:t xml:space="preserve">“Todo o Resto”</w:t>
      </w:r>
      <w:r>
        <w:t xml:space="preserve">: O Teorema do Bem Composto de Hicks</w:t>
      </w:r>
    </w:p>
    <w:p>
      <w:pPr>
        <w:pStyle w:val="FirstParagraph"/>
      </w:pPr>
      <w:r>
        <w:t xml:space="preserve">Com</w:t>
      </w:r>
      <w:r>
        <w:t xml:space="preserve"> </w:t>
      </w:r>
      <m:oMath>
        <m:r>
          <m:t>n</m:t>
        </m:r>
      </m:oMath>
      <w:r>
        <w:t xml:space="preserve"> </w:t>
      </w:r>
      <w:r>
        <w:t xml:space="preserve">bens, a matriz de Slutsky tem</w:t>
      </w:r>
      <w:r>
        <w:t xml:space="preserve"> </w:t>
      </w:r>
      <m:oMath>
        <m:sSup>
          <m:e>
            <m:r>
              <m:t>n</m:t>
            </m:r>
          </m:e>
          <m:sup>
            <m:r>
              <m:t>2</m:t>
            </m:r>
          </m:sup>
        </m:sSup>
      </m:oMath>
      <w:r>
        <w:t xml:space="preserve"> </w:t>
      </w:r>
      <w:r>
        <w:t xml:space="preserve">entradas. Para 100 bens, são 10.000 elasticidades cruzadas. Ninguém tem dados suficientes para estimar tudo isso.</w:t>
      </w:r>
      <w:r>
        <w:rPr>
          <w:rStyle w:val="FootnoteReference"/>
        </w:rPr>
        <w:footnoteReference w:id="294"/>
      </w:r>
      <w:r>
        <w:t xml:space="preserve"> </w:t>
      </w:r>
      <w:r>
        <w:t xml:space="preserve">A solução prática: agrupar bens em categorias (</w:t>
      </w:r>
      <w:r>
        <w:t xml:space="preserve">“alimentação”</w:t>
      </w:r>
      <w:r>
        <w:t xml:space="preserve">,</w:t>
      </w:r>
      <w:r>
        <w:t xml:space="preserve"> </w:t>
      </w:r>
      <w:r>
        <w:t xml:space="preserve">“transporte”</w:t>
      </w:r>
      <w:r>
        <w:t xml:space="preserve">,</w:t>
      </w:r>
      <w:r>
        <w:t xml:space="preserve"> </w:t>
      </w:r>
      <w:r>
        <w:t xml:space="preserve">“lazer”</w:t>
      </w:r>
      <w:r>
        <w:t xml:space="preserve">) e tratar cada categoria como um único</w:t>
      </w:r>
      <w:r>
        <w:t xml:space="preserve"> </w:t>
      </w:r>
      <w:r>
        <w:t xml:space="preserve">“super-bem”</w:t>
      </w:r>
      <w:r>
        <w:t xml:space="preserve">. Mas cuidado: agrupar bens arbitrariamente pode gerar erros graves. O</w:t>
      </w:r>
      <w:r>
        <w:t xml:space="preserve"> </w:t>
      </w:r>
      <w:r>
        <w:rPr>
          <w:b/>
          <w:bCs/>
        </w:rPr>
        <w:t xml:space="preserve">Teorema do Bem Composto de Hicks</w:t>
      </w:r>
      <w:r>
        <w:t xml:space="preserve"> </w:t>
      </w:r>
      <w:r>
        <w:t xml:space="preserve">diz</w:t>
      </w:r>
      <w:r>
        <w:t xml:space="preserve"> </w:t>
      </w:r>
      <w:r>
        <w:rPr>
          <w:i/>
          <w:iCs/>
        </w:rPr>
        <w:t xml:space="preserve">quando</w:t>
      </w:r>
      <w:r>
        <w:t xml:space="preserve"> </w:t>
      </w:r>
      <w:r>
        <w:t xml:space="preserve">a agregação é legítima — e a condição é surpreendentemente simples.</w:t>
      </w:r>
    </w:p>
    <w:p>
      <w:pPr>
        <w:pStyle w:val="BlockText"/>
      </w:pPr>
      <w:r>
        <w:rPr>
          <w:b/>
          <w:bCs/>
        </w:rPr>
        <w:t xml:space="preserve">[TEOREMA] Teorema do Bem Composto de Hicks</w:t>
      </w:r>
    </w:p>
    <w:p>
      <w:pPr>
        <w:pStyle w:val="BlockText"/>
      </w:pPr>
      <w:r>
        <w:t xml:space="preserve">Se um grupo de bens tem seus preços variando na mesma proporção, então esse grupo pode ser tratado como um único</w:t>
      </w:r>
      <w:r>
        <w:t xml:space="preserve"> </w:t>
      </w:r>
      <w:r>
        <w:rPr>
          <w:b/>
          <w:bCs/>
        </w:rPr>
        <w:t xml:space="preserve">bem composto</w:t>
      </w:r>
      <w:r>
        <w:t xml:space="preserve">, cujo</w:t>
      </w:r>
      <w:r>
        <w:t xml:space="preserve"> </w:t>
      </w:r>
      <w:r>
        <w:t xml:space="preserve">“preço”</w:t>
      </w:r>
      <w:r>
        <w:t xml:space="preserve"> </w:t>
      </w:r>
      <w:r>
        <w:t xml:space="preserve">é um índice dos preços do grupo e cuja</w:t>
      </w:r>
      <w:r>
        <w:t xml:space="preserve"> </w:t>
      </w:r>
      <w:r>
        <w:t xml:space="preserve">“quantidade”</w:t>
      </w:r>
      <w:r>
        <w:t xml:space="preserve"> </w:t>
      </w:r>
      <w:r>
        <w:t xml:space="preserve">é o gasto real com o grupo.</w:t>
      </w:r>
    </w:p>
    <w:p>
      <w:pPr>
        <w:pStyle w:val="BlockText"/>
      </w:pPr>
      <w:r>
        <w:t xml:space="preserve">Formalmente: se</w:t>
      </w:r>
      <w:r>
        <w:t xml:space="preserve"> </w:t>
      </w:r>
      <m:oMath>
        <m:sSub>
          <m:e>
            <m:r>
              <m:t>p</m:t>
            </m:r>
          </m:e>
          <m:sub>
            <m:r>
              <m:t>j</m:t>
            </m:r>
          </m:sub>
        </m:sSub>
        <m:r>
          <m:rPr>
            <m:sty m:val="p"/>
          </m:rPr>
          <m:t>=</m:t>
        </m:r>
        <m:r>
          <m:t>α</m:t>
        </m:r>
        <m:sSub>
          <m:e>
            <m:acc>
              <m:accPr>
                <m:chr m:val="‾"/>
              </m:accPr>
              <m:e>
                <m:r>
                  <m:t>p</m:t>
                </m:r>
              </m:e>
            </m:acc>
          </m:e>
          <m:sub>
            <m:r>
              <m:t>j</m:t>
            </m:r>
          </m:sub>
        </m:sSub>
      </m:oMath>
      <w:r>
        <w:t xml:space="preserve"> </w:t>
      </w:r>
      <w:r>
        <w:t xml:space="preserve">para todo</w:t>
      </w:r>
      <w:r>
        <w:t xml:space="preserve"> </w:t>
      </w:r>
      <m:oMath>
        <m:r>
          <m:t>j</m:t>
        </m:r>
        <m:r>
          <m:rPr>
            <m:sty m:val="p"/>
          </m:rPr>
          <m:t>∈</m:t>
        </m:r>
        <m:r>
          <m:t>G</m:t>
        </m:r>
      </m:oMath>
      <w:r>
        <w:t xml:space="preserve"> </w:t>
      </w:r>
      <w:r>
        <w:t xml:space="preserve">(onde</w:t>
      </w:r>
      <w:r>
        <w:t xml:space="preserve"> </w:t>
      </w:r>
      <m:oMath>
        <m:sSub>
          <m:e>
            <m:acc>
              <m:accPr>
                <m:chr m:val="‾"/>
              </m:accPr>
              <m:e>
                <m:r>
                  <m:t>p</m:t>
                </m:r>
              </m:e>
            </m:acc>
          </m:e>
          <m:sub>
            <m:r>
              <m:t>j</m:t>
            </m:r>
          </m:sub>
        </m:sSub>
      </m:oMath>
      <w:r>
        <w:t xml:space="preserve"> </w:t>
      </w:r>
      <w:r>
        <w:t xml:space="preserve">é o preço-base e</w:t>
      </w:r>
      <w:r>
        <w:t xml:space="preserve"> </w:t>
      </w:r>
      <m:oMath>
        <m:r>
          <m:t>α</m:t>
        </m:r>
      </m:oMath>
      <w:r>
        <w:t xml:space="preserve"> </w:t>
      </w:r>
      <w:r>
        <w:t xml:space="preserve">varia), então o grupo</w:t>
      </w:r>
      <w:r>
        <w:t xml:space="preserve"> </w:t>
      </w:r>
      <m:oMath>
        <m:r>
          <m:t>G</m:t>
        </m:r>
      </m:oMath>
      <w:r>
        <w:t xml:space="preserve"> </w:t>
      </w:r>
      <w:r>
        <w:t xml:space="preserve">pode ser representado por um bem composto</w:t>
      </w:r>
      <w:r>
        <w:t xml:space="preserve"> </w:t>
      </w:r>
      <m:oMath>
        <m:r>
          <m:t>y</m:t>
        </m:r>
        <m:r>
          <m:rPr>
            <m:sty m:val="p"/>
          </m:rPr>
          <m:t>=</m:t>
        </m:r>
        <m:nary>
          <m:naryPr>
            <m:chr m:val="∑"/>
            <m:limLoc m:val="undOvr"/>
            <m:subHide m:val="off"/>
            <m:supHide m:val="on"/>
          </m:naryPr>
          <m:sub>
            <m:r>
              <m:t>j</m:t>
            </m:r>
            <m:r>
              <m:rPr>
                <m:sty m:val="p"/>
              </m:rPr>
              <m:t>∈</m:t>
            </m:r>
            <m:r>
              <m:t>G</m:t>
            </m:r>
          </m:sub>
          <m:sup>
            <m:r>
              <m:t>​</m:t>
            </m:r>
          </m:sup>
          <m:e>
            <m:sSub>
              <m:e>
                <m:acc>
                  <m:accPr>
                    <m:chr m:val="‾"/>
                  </m:accPr>
                  <m:e>
                    <m:r>
                      <m:t>p</m:t>
                    </m:r>
                  </m:e>
                </m:acc>
              </m:e>
              <m:sub>
                <m:r>
                  <m:t>j</m:t>
                </m:r>
              </m:sub>
            </m:sSub>
          </m:e>
        </m:nary>
        <m:sSub>
          <m:e>
            <m:r>
              <m:t>x</m:t>
            </m:r>
          </m:e>
          <m:sub>
            <m:r>
              <m:t>j</m:t>
            </m:r>
          </m:sub>
        </m:sSub>
      </m:oMath>
      <w:r>
        <w:t xml:space="preserve">, com preço</w:t>
      </w:r>
      <w:r>
        <w:t xml:space="preserve"> </w:t>
      </w:r>
      <m:oMath>
        <m:r>
          <m:t>α</m:t>
        </m:r>
      </m:oMath>
      <w:r>
        <w:t xml:space="preserve">.</w:t>
      </w:r>
    </w:p>
    <w:p>
      <w:pPr>
        <w:pStyle w:val="BlockText"/>
      </w:pPr>
      <w:r>
        <w:rPr>
          <w:b/>
          <w:bCs/>
        </w:rPr>
        <w:t xml:space="preserve">[DEMONSTRACAO] Demonstração: Teorema do Bem Composto de Hicks</w:t>
      </w:r>
    </w:p>
    <w:p>
      <w:pPr>
        <w:pStyle w:val="BlockText"/>
      </w:pPr>
      <w:r>
        <w:rPr>
          <w:b/>
          <w:bCs/>
        </w:rPr>
        <w:t xml:space="preserve">Passo 1: Configuração.</w:t>
      </w:r>
    </w:p>
    <w:p>
      <w:pPr>
        <w:pStyle w:val="BlockText"/>
      </w:pPr>
      <w:r>
        <w:t xml:space="preserve">Considere</w:t>
      </w:r>
      <w:r>
        <w:t xml:space="preserve"> </w:t>
      </w:r>
      <m:oMath>
        <m:r>
          <m:t>n</m:t>
        </m:r>
      </m:oMath>
      <w:r>
        <w:t xml:space="preserve"> </w:t>
      </w:r>
      <w:r>
        <w:t xml:space="preserve">bens, divididos em dois grupos: o bem 1 (ou grupo de interesse) e o grupo</w:t>
      </w:r>
      <w:r>
        <w:t xml:space="preserve"> </w:t>
      </w:r>
      <m:oMath>
        <m:r>
          <m:t>G</m:t>
        </m:r>
        <m:r>
          <m:rPr>
            <m:sty m:val="p"/>
          </m:rPr>
          <m:t>=</m:t>
        </m:r>
        <m:r>
          <m:rPr>
            <m:sty m:val="p"/>
          </m:rPr>
          <m:t>{</m:t>
        </m:r>
        <m:r>
          <m:t>2</m:t>
        </m:r>
        <m:r>
          <m:rPr>
            <m:sty m:val="p"/>
          </m:rPr>
          <m:t>,</m:t>
        </m:r>
        <m:r>
          <m:t>3</m:t>
        </m:r>
        <m:r>
          <m:rPr>
            <m:sty m:val="p"/>
          </m:rPr>
          <m:t>,</m:t>
        </m:r>
        <m:r>
          <m:rPr>
            <m:sty m:val="p"/>
          </m:rPr>
          <m:t>…</m:t>
        </m:r>
        <m:r>
          <m:rPr>
            <m:sty m:val="p"/>
          </m:rPr>
          <m:t>,</m:t>
        </m:r>
        <m:r>
          <m:t>n</m:t>
        </m:r>
        <m:r>
          <m:rPr>
            <m:sty m:val="p"/>
          </m:rPr>
          <m:t>}</m:t>
        </m:r>
      </m:oMath>
      <w:r>
        <w:t xml:space="preserve">. Suponha que os preços dos bens em</w:t>
      </w:r>
      <w:r>
        <w:t xml:space="preserve"> </w:t>
      </w:r>
      <m:oMath>
        <m:r>
          <m:t>G</m:t>
        </m:r>
      </m:oMath>
      <w:r>
        <w:t xml:space="preserve"> </w:t>
      </w:r>
      <w:r>
        <w:t xml:space="preserve">variem proporcionalmente:</w:t>
      </w:r>
    </w:p>
    <w:p>
      <w:pPr>
        <w:pStyle w:val="BlockText"/>
      </w:pPr>
      <w:r>
        <w:t xml:space="preserve">$$</w:t>
      </w:r>
    </w:p>
    <w:p>
      <w:pPr>
        <w:pStyle w:val="BlockText"/>
      </w:pPr>
      <w:r>
        <w:t xml:space="preserve">p_j =</w:t>
      </w:r>
      <w:r>
        <w:t xml:space="preserve"> </w:t>
      </w:r>
      <w:r>
        <w:t xml:space="preserve">{p}_j,</w:t>
      </w:r>
      <w:r>
        <w:t xml:space="preserve"> </w:t>
      </w:r>
      <w:r>
        <w:t xml:space="preserve">j</w:t>
      </w:r>
      <w:r>
        <w:t xml:space="preserve"> </w:t>
      </w:r>
      <w:r>
        <w:t xml:space="preserve">G</w:t>
      </w:r>
    </w:p>
    <w:p>
      <w:pPr>
        <w:pStyle w:val="BlockText"/>
      </w:pPr>
      <w:r>
        <w:t xml:space="preserve">$$</w:t>
      </w:r>
    </w:p>
    <w:p>
      <w:pPr>
        <w:pStyle w:val="BlockText"/>
      </w:pPr>
      <w:r>
        <w:t xml:space="preserve">onde</w:t>
      </w:r>
      <w:r>
        <w:t xml:space="preserve"> </w:t>
      </w:r>
      <m:oMath>
        <m:sSub>
          <m:e>
            <m:acc>
              <m:accPr>
                <m:chr m:val="‾"/>
              </m:accPr>
              <m:e>
                <m:r>
                  <m:t>p</m:t>
                </m:r>
              </m:e>
            </m:acc>
          </m:e>
          <m:sub>
            <m:r>
              <m:t>j</m:t>
            </m:r>
          </m:sub>
        </m:sSub>
      </m:oMath>
      <w:r>
        <w:t xml:space="preserve"> </w:t>
      </w:r>
      <w:r>
        <w:t xml:space="preserve">são preços-base fixos e</w:t>
      </w:r>
      <w:r>
        <w:t xml:space="preserve"> </w:t>
      </w:r>
      <m:oMath>
        <m:r>
          <m:t>α</m:t>
        </m:r>
        <m:r>
          <m:rPr>
            <m:sty m:val="p"/>
          </m:rPr>
          <m:t>&gt;</m:t>
        </m:r>
        <m:r>
          <m:t>0</m:t>
        </m:r>
      </m:oMath>
      <w:r>
        <w:t xml:space="preserve"> </w:t>
      </w:r>
      <w:r>
        <w:t xml:space="preserve">é um escalar.</w:t>
      </w:r>
    </w:p>
    <w:p>
      <w:pPr>
        <w:pStyle w:val="BlockText"/>
      </w:pPr>
      <w:r>
        <w:rPr>
          <w:b/>
          <w:bCs/>
        </w:rPr>
        <w:t xml:space="preserve">Passo 2: Restrição orçamentária.</w:t>
      </w:r>
    </w:p>
    <w:p>
      <w:pPr>
        <w:pStyle w:val="BlockText"/>
      </w:pPr>
      <w:r>
        <w:t xml:space="preserve">A restrição orçamentária do consumidor é:</w:t>
      </w:r>
    </w:p>
    <w:p>
      <w:pPr>
        <w:pStyle w:val="BlockText"/>
      </w:pPr>
      <w:r>
        <w:t xml:space="preserve">$$</w:t>
      </w:r>
    </w:p>
    <w:p>
      <w:pPr>
        <w:pStyle w:val="BlockText"/>
      </w:pPr>
      <w:r>
        <w:t xml:space="preserve">p_1 x_1 +</w:t>
      </w:r>
      <w:r>
        <w:t xml:space="preserve"> </w:t>
      </w:r>
      <w:r>
        <w:t xml:space="preserve">_{j</w:t>
      </w:r>
      <w:r>
        <w:t xml:space="preserve"> </w:t>
      </w:r>
      <w:r>
        <w:t xml:space="preserve">G} p_j x_j = I</w:t>
      </w:r>
    </w:p>
    <w:p>
      <w:pPr>
        <w:pStyle w:val="BlockText"/>
      </w:pPr>
      <w:r>
        <w:t xml:space="preserve">$$</w:t>
      </w:r>
    </w:p>
    <w:p>
      <w:pPr>
        <w:pStyle w:val="BlockText"/>
      </w:pPr>
      <w:r>
        <w:t xml:space="preserve">Substituindo</w:t>
      </w:r>
      <w:r>
        <w:t xml:space="preserve"> </w:t>
      </w:r>
      <m:oMath>
        <m:sSub>
          <m:e>
            <m:r>
              <m:t>p</m:t>
            </m:r>
          </m:e>
          <m:sub>
            <m:r>
              <m:t>j</m:t>
            </m:r>
          </m:sub>
        </m:sSub>
        <m:r>
          <m:rPr>
            <m:sty m:val="p"/>
          </m:rPr>
          <m:t>=</m:t>
        </m:r>
        <m:r>
          <m:t>α</m:t>
        </m:r>
        <m:sSub>
          <m:e>
            <m:acc>
              <m:accPr>
                <m:chr m:val="‾"/>
              </m:accPr>
              <m:e>
                <m:r>
                  <m:t>p</m:t>
                </m:r>
              </m:e>
            </m:acc>
          </m:e>
          <m:sub>
            <m:r>
              <m:t>j</m:t>
            </m:r>
          </m:sub>
        </m:sSub>
      </m:oMath>
      <w:r>
        <w:t xml:space="preserve">:</w:t>
      </w:r>
    </w:p>
    <w:p>
      <w:pPr>
        <w:pStyle w:val="BlockText"/>
      </w:pPr>
      <w:r>
        <w:t xml:space="preserve">$$</w:t>
      </w:r>
    </w:p>
    <w:p>
      <w:pPr>
        <w:pStyle w:val="BlockText"/>
      </w:pPr>
      <w:r>
        <w:t xml:space="preserve">p_1 x_1 +</w:t>
      </w:r>
      <w:r>
        <w:t xml:space="preserve"> </w:t>
      </w:r>
      <w:r>
        <w:t xml:space="preserve">_{j</w:t>
      </w:r>
      <w:r>
        <w:t xml:space="preserve"> </w:t>
      </w:r>
      <w:r>
        <w:t xml:space="preserve">G}</w:t>
      </w:r>
      <w:r>
        <w:t xml:space="preserve"> </w:t>
      </w:r>
      <w:r>
        <w:t xml:space="preserve">{p}_j x_j = I</w:t>
      </w:r>
    </w:p>
    <w:p>
      <w:pPr>
        <w:pStyle w:val="BlockText"/>
      </w:pPr>
      <w:r>
        <w:t xml:space="preserve">$$</w:t>
      </w:r>
    </w:p>
    <w:p>
      <w:pPr>
        <w:pStyle w:val="BlockText"/>
      </w:pPr>
      <w:r>
        <w:rPr>
          <w:b/>
          <w:bCs/>
        </w:rPr>
        <w:t xml:space="preserve">Passo 3: Definição do bem composto.</w:t>
      </w:r>
    </w:p>
    <w:p>
      <w:pPr>
        <w:pStyle w:val="BlockText"/>
      </w:pPr>
      <w:r>
        <w:t xml:space="preserve">Definamos o bem composto</w:t>
      </w:r>
      <w:r>
        <w:t xml:space="preserve"> </w:t>
      </w:r>
      <m:oMath>
        <m:r>
          <m:t>y</m:t>
        </m:r>
        <m:r>
          <m:rPr>
            <m:sty m:val="p"/>
          </m:rPr>
          <m:t>≡</m:t>
        </m:r>
        <m:nary>
          <m:naryPr>
            <m:chr m:val="∑"/>
            <m:limLoc m:val="undOvr"/>
            <m:subHide m:val="off"/>
            <m:supHide m:val="on"/>
          </m:naryPr>
          <m:sub>
            <m:r>
              <m:t>j</m:t>
            </m:r>
            <m:r>
              <m:rPr>
                <m:sty m:val="p"/>
              </m:rPr>
              <m:t>∈</m:t>
            </m:r>
            <m:r>
              <m:t>G</m:t>
            </m:r>
          </m:sub>
          <m:sup>
            <m:r>
              <m:t>​</m:t>
            </m:r>
          </m:sup>
          <m:e>
            <m:sSub>
              <m:e>
                <m:acc>
                  <m:accPr>
                    <m:chr m:val="‾"/>
                  </m:accPr>
                  <m:e>
                    <m:r>
                      <m:t>p</m:t>
                    </m:r>
                  </m:e>
                </m:acc>
              </m:e>
              <m:sub>
                <m:r>
                  <m:t>j</m:t>
                </m:r>
              </m:sub>
            </m:sSub>
          </m:e>
        </m:nary>
        <m:sSub>
          <m:e>
            <m:r>
              <m:t>x</m:t>
            </m:r>
          </m:e>
          <m:sub>
            <m:r>
              <m:t>j</m:t>
            </m:r>
          </m:sub>
        </m:sSub>
      </m:oMath>
      <w:r>
        <w:t xml:space="preserve">, que representa o gasto real (a preços-base) com os bens do grupo</w:t>
      </w:r>
      <w:r>
        <w:t xml:space="preserve"> </w:t>
      </w:r>
      <m:oMath>
        <m:r>
          <m:t>G</m:t>
        </m:r>
      </m:oMath>
      <w:r>
        <w:t xml:space="preserve">. A restrição orçamentária torna-se:</w:t>
      </w:r>
    </w:p>
    <w:p>
      <w:pPr>
        <w:pStyle w:val="BlockText"/>
      </w:pPr>
      <w:r>
        <w:t xml:space="preserve">$$</w:t>
      </w:r>
    </w:p>
    <w:p>
      <w:pPr>
        <w:pStyle w:val="BlockText"/>
      </w:pPr>
      <w:r>
        <w:t xml:space="preserve">p_1 x_1 +</w:t>
      </w:r>
      <w:r>
        <w:t xml:space="preserve"> </w:t>
      </w:r>
      <w:r>
        <w:t xml:space="preserve">y = I</w:t>
      </w:r>
    </w:p>
    <w:p>
      <w:pPr>
        <w:pStyle w:val="BlockText"/>
      </w:pPr>
      <w:r>
        <w:t xml:space="preserve">$$</w:t>
      </w:r>
    </w:p>
    <w:p>
      <w:pPr>
        <w:pStyle w:val="BlockText"/>
      </w:pPr>
      <w:r>
        <w:t xml:space="preserve">que tem exatamente a forma de uma restrição com dois bens:</w:t>
      </w:r>
      <w:r>
        <w:t xml:space="preserve"> </w:t>
      </w:r>
      <m:oMath>
        <m:sSub>
          <m:e>
            <m:r>
              <m:t>x</m:t>
            </m:r>
          </m:e>
          <m:sub>
            <m:r>
              <m:t>1</m:t>
            </m:r>
          </m:sub>
        </m:sSub>
      </m:oMath>
      <w:r>
        <w:t xml:space="preserve"> </w:t>
      </w:r>
      <w:r>
        <w:t xml:space="preserve">ao preço</w:t>
      </w:r>
      <w:r>
        <w:t xml:space="preserve"> </w:t>
      </w:r>
      <m:oMath>
        <m:sSub>
          <m:e>
            <m:r>
              <m:t>p</m:t>
            </m:r>
          </m:e>
          <m:sub>
            <m:r>
              <m:t>1</m:t>
            </m:r>
          </m:sub>
        </m:sSub>
      </m:oMath>
      <w:r>
        <w:t xml:space="preserve"> </w:t>
      </w:r>
      <w:r>
        <w:t xml:space="preserve">e</w:t>
      </w:r>
      <w:r>
        <w:t xml:space="preserve"> </w:t>
      </w:r>
      <m:oMath>
        <m:r>
          <m:t>y</m:t>
        </m:r>
      </m:oMath>
      <w:r>
        <w:t xml:space="preserve"> </w:t>
      </w:r>
      <w:r>
        <w:t xml:space="preserve">ao preço</w:t>
      </w:r>
      <w:r>
        <w:t xml:space="preserve"> </w:t>
      </w:r>
      <m:oMath>
        <m:r>
          <m:t>α</m:t>
        </m:r>
      </m:oMath>
      <w:r>
        <w:t xml:space="preserve">.</w:t>
      </w:r>
    </w:p>
    <w:p>
      <w:pPr>
        <w:pStyle w:val="BlockText"/>
      </w:pPr>
      <w:r>
        <w:rPr>
          <w:b/>
          <w:bCs/>
        </w:rPr>
        <w:t xml:space="preserve">Passo 4: Otimização em dois estágios.</w:t>
      </w:r>
    </w:p>
    <w:p>
      <w:pPr>
        <w:pStyle w:val="BlockText"/>
      </w:pPr>
      <w:r>
        <w:t xml:space="preserve">O consumidor pode otimizar em dois estágios:</w:t>
      </w:r>
    </w:p>
    <w:p>
      <w:pPr>
        <w:pStyle w:val="BlockText"/>
        <w:numPr>
          <w:ilvl w:val="0"/>
          <w:numId w:val="1267"/>
        </w:numPr>
      </w:pPr>
      <w:r>
        <w:rPr>
          <w:i/>
          <w:iCs/>
        </w:rPr>
        <w:t xml:space="preserve">Estágio interno</w:t>
      </w:r>
      <w:r>
        <w:t xml:space="preserve">: para um dado nível de gasto com o grupo</w:t>
      </w:r>
      <w:r>
        <w:t xml:space="preserve"> </w:t>
      </w:r>
      <m:oMath>
        <m:r>
          <m:t>G</m:t>
        </m:r>
      </m:oMath>
      <w:r>
        <w:t xml:space="preserve">,</w:t>
      </w:r>
      <w:r>
        <w:t xml:space="preserve"> </w:t>
      </w:r>
      <m:oMath>
        <m:sSub>
          <m:e>
            <m:r>
              <m:t>M</m:t>
            </m:r>
          </m:e>
          <m:sub>
            <m:r>
              <m:t>G</m:t>
            </m:r>
          </m:sub>
        </m:sSub>
        <m:r>
          <m:rPr>
            <m:sty m:val="p"/>
          </m:rPr>
          <m:t>=</m:t>
        </m:r>
        <m:r>
          <m:t>α</m:t>
        </m:r>
        <m:r>
          <m:t>y</m:t>
        </m:r>
      </m:oMath>
      <w:r>
        <w:t xml:space="preserve">, o consumidor aloca otimamente esse gasto entre os bens do grupo, dado que seus preços relativos</w:t>
      </w:r>
      <w:r>
        <w:t xml:space="preserve"> </w:t>
      </w:r>
      <m:oMath>
        <m:sSub>
          <m:e>
            <m:acc>
              <m:accPr>
                <m:chr m:val="‾"/>
              </m:accPr>
              <m:e>
                <m:r>
                  <m:t>p</m:t>
                </m:r>
              </m:e>
            </m:acc>
          </m:e>
          <m:sub>
            <m:r>
              <m:t>j</m:t>
            </m:r>
          </m:sub>
        </m:sSub>
        <m:r>
          <m:rPr>
            <m:sty m:val="p"/>
          </m:rPr>
          <m:t>/</m:t>
        </m:r>
        <m:sSub>
          <m:e>
            <m:acc>
              <m:accPr>
                <m:chr m:val="‾"/>
              </m:accPr>
              <m:e>
                <m:r>
                  <m:t>p</m:t>
                </m:r>
              </m:e>
            </m:acc>
          </m:e>
          <m:sub>
            <m:r>
              <m:t>k</m:t>
            </m:r>
          </m:sub>
        </m:sSub>
      </m:oMath>
      <w:r>
        <w:t xml:space="preserve"> </w:t>
      </w:r>
      <w:r>
        <w:t xml:space="preserve">são fixos (pois todos variam proporcionalmente). Isso gera uma função de utilidade indireta para o grupo,</w:t>
      </w:r>
      <w:r>
        <w:t xml:space="preserve"> </w:t>
      </w:r>
      <m:oMath>
        <m:acc>
          <m:accPr>
            <m:chr m:val="̃"/>
          </m:accPr>
          <m:e>
            <m:r>
              <m:t>U</m:t>
            </m:r>
          </m:e>
        </m:acc>
        <m:r>
          <m:rPr>
            <m:sty m:val="p"/>
          </m:rPr>
          <m:t>(</m:t>
        </m:r>
        <m:r>
          <m:t>y</m:t>
        </m:r>
        <m:r>
          <m:rPr>
            <m:sty m:val="p"/>
          </m:rPr>
          <m:t>)</m:t>
        </m:r>
      </m:oMath>
      <w:r>
        <w:t xml:space="preserve">.</w:t>
      </w:r>
    </w:p>
    <w:p>
      <w:pPr>
        <w:pStyle w:val="BlockText"/>
        <w:numPr>
          <w:ilvl w:val="0"/>
          <w:numId w:val="1267"/>
        </w:numPr>
      </w:pPr>
      <w:r>
        <w:rPr>
          <w:i/>
          <w:iCs/>
        </w:rPr>
        <w:t xml:space="preserve">Estágio externo</w:t>
      </w:r>
      <w:r>
        <w:t xml:space="preserve">: o consumidor escolhe entre</w:t>
      </w:r>
      <w:r>
        <w:t xml:space="preserve"> </w:t>
      </w:r>
      <m:oMath>
        <m:sSub>
          <m:e>
            <m:r>
              <m:t>x</m:t>
            </m:r>
          </m:e>
          <m:sub>
            <m:r>
              <m:t>1</m:t>
            </m:r>
          </m:sub>
        </m:sSub>
      </m:oMath>
      <w:r>
        <w:t xml:space="preserve"> </w:t>
      </w:r>
      <w:r>
        <w:t xml:space="preserve">e</w:t>
      </w:r>
      <w:r>
        <w:t xml:space="preserve"> </w:t>
      </w:r>
      <m:oMath>
        <m:r>
          <m:t>y</m:t>
        </m:r>
      </m:oMath>
      <w:r>
        <w:t xml:space="preserve"> </w:t>
      </w:r>
      <w:r>
        <w:t xml:space="preserve">maximizando uma utilidade que depende apenas de</w:t>
      </w:r>
      <w:r>
        <w:t xml:space="preserve"> </w:t>
      </w:r>
      <m:oMath>
        <m:sSub>
          <m:e>
            <m:r>
              <m:t>x</m:t>
            </m:r>
          </m:e>
          <m:sub>
            <m:r>
              <m:t>1</m:t>
            </m:r>
          </m:sub>
        </m:sSub>
      </m:oMath>
      <w:r>
        <w:t xml:space="preserve"> </w:t>
      </w:r>
      <w:r>
        <w:t xml:space="preserve">e</w:t>
      </w:r>
      <w:r>
        <w:t xml:space="preserve"> </w:t>
      </w:r>
      <m:oMath>
        <m:r>
          <m:t>y</m:t>
        </m:r>
      </m:oMath>
      <w:r>
        <w:t xml:space="preserve">, sujeito a</w:t>
      </w:r>
      <w:r>
        <w:t xml:space="preserve"> </w:t>
      </w:r>
      <m:oMath>
        <m:sSub>
          <m:e>
            <m:r>
              <m:t>p</m:t>
            </m:r>
          </m:e>
          <m:sub>
            <m:r>
              <m:t>1</m:t>
            </m:r>
          </m:sub>
        </m:sSub>
        <m:sSub>
          <m:e>
            <m:r>
              <m:t>x</m:t>
            </m:r>
          </m:e>
          <m:sub>
            <m:r>
              <m:t>1</m:t>
            </m:r>
          </m:sub>
        </m:sSub>
        <m:r>
          <m:rPr>
            <m:sty m:val="p"/>
          </m:rPr>
          <m:t>+</m:t>
        </m:r>
        <m:r>
          <m:t>α</m:t>
        </m:r>
        <m:r>
          <m:t>y</m:t>
        </m:r>
        <m:r>
          <m:rPr>
            <m:sty m:val="p"/>
          </m:rPr>
          <m:t>=</m:t>
        </m:r>
        <m:r>
          <m:t>I</m:t>
        </m:r>
      </m:oMath>
      <w:r>
        <w:t xml:space="preserve">.</w:t>
      </w:r>
    </w:p>
    <w:p>
      <w:pPr>
        <w:pStyle w:val="BlockText"/>
      </w:pPr>
      <w:r>
        <w:rPr>
          <w:b/>
          <w:bCs/>
        </w:rPr>
        <w:t xml:space="preserve">Passo 5: Conclusão.</w:t>
      </w:r>
    </w:p>
    <w:p>
      <w:pPr>
        <w:pStyle w:val="BlockText"/>
      </w:pPr>
      <w:r>
        <w:t xml:space="preserve">Como a alocação interna ao grupo</w:t>
      </w:r>
      <w:r>
        <w:t xml:space="preserve"> </w:t>
      </w:r>
      <m:oMath>
        <m:r>
          <m:t>G</m:t>
        </m:r>
      </m:oMath>
      <w:r>
        <w:t xml:space="preserve"> </w:t>
      </w:r>
      <w:r>
        <w:t xml:space="preserve">depende apenas dos preços relativos dentro do grupo (que são fixos), ela pode ser tratada separadamente. No estágio externo, o grupo inteiro se comporta como um único bem com quantidade</w:t>
      </w:r>
      <w:r>
        <w:t xml:space="preserve"> </w:t>
      </w:r>
      <m:oMath>
        <m:r>
          <m:t>y</m:t>
        </m:r>
      </m:oMath>
      <w:r>
        <w:t xml:space="preserve"> </w:t>
      </w:r>
      <w:r>
        <w:t xml:space="preserve">e preço</w:t>
      </w:r>
      <w:r>
        <w:t xml:space="preserve"> </w:t>
      </w:r>
      <m:oMath>
        <m:r>
          <m:t>α</m:t>
        </m:r>
      </m:oMath>
      <w:r>
        <w:t xml:space="preserve">. Toda a teoria de dois bens — incluindo efeitos substituição e renda — aplica-se entre</w:t>
      </w:r>
      <w:r>
        <w:t xml:space="preserve"> </w:t>
      </w:r>
      <m:oMath>
        <m:sSub>
          <m:e>
            <m:r>
              <m:t>x</m:t>
            </m:r>
          </m:e>
          <m:sub>
            <m:r>
              <m:t>1</m:t>
            </m:r>
          </m:sub>
        </m:sSub>
      </m:oMath>
      <w:r>
        <w:t xml:space="preserve"> </w:t>
      </w:r>
      <w:r>
        <w:t xml:space="preserve">e o bem composto</w:t>
      </w:r>
      <w:r>
        <w:t xml:space="preserve"> </w:t>
      </w:r>
      <m:oMath>
        <m:r>
          <m:t>y</m:t>
        </m:r>
      </m:oMath>
      <w:r>
        <w:t xml:space="preserve">.</w:t>
      </w:r>
      <w:r>
        <w:t xml:space="preserve"> </w:t>
      </w:r>
      <m:oMath>
        <m:r>
          <m:rPr>
            <m:sty m:val="p"/>
          </m:rPr>
          <m:t>◼</m:t>
        </m:r>
      </m:oMath>
    </w:p>
    <w:p>
      <w:pPr>
        <w:pStyle w:val="BlockText"/>
      </w:pPr>
      <w:r>
        <w:rPr>
          <w:b/>
          <w:bCs/>
        </w:rPr>
        <w:t xml:space="preserve">[DICA] Aplicação prática</w:t>
      </w:r>
    </w:p>
    <w:p>
      <w:pPr>
        <w:pStyle w:val="BlockText"/>
      </w:pPr>
      <w:r>
        <w:t xml:space="preserve">O Teorema do Bem Composto justifica o uso frequente, em exercícios e modelos aplicados, de um</w:t>
      </w:r>
      <w:r>
        <w:t xml:space="preserve"> </w:t>
      </w:r>
      <w:r>
        <w:t xml:space="preserve">“bem 1”</w:t>
      </w:r>
      <w:r>
        <w:t xml:space="preserve"> </w:t>
      </w:r>
      <w:r>
        <w:t xml:space="preserve">versus</w:t>
      </w:r>
      <w:r>
        <w:t xml:space="preserve"> </w:t>
      </w:r>
      <w:r>
        <w:t xml:space="preserve">“todos os outros bens”</w:t>
      </w:r>
      <w:r>
        <w:t xml:space="preserve"> </w:t>
      </w:r>
      <w:r>
        <w:t xml:space="preserve">(representados pelo gasto restante). Para que a agregação seja válida, é necessário que os preços relativos dentro do grupo permaneçam aproximadamente constantes. Quando um choque afeta apenas um subgrupo (por exemplo, uma seca que encarece frutas mas não cereais), o teorema perde validade para o grupo</w:t>
      </w:r>
      <w:r>
        <w:t xml:space="preserve"> </w:t>
      </w:r>
      <w:r>
        <w:t xml:space="preserve">“alimentos”</w:t>
      </w:r>
      <w:r>
        <w:t xml:space="preserve"> </w:t>
      </w:r>
      <w:r>
        <w:t xml:space="preserve">como um todo.</w:t>
      </w:r>
    </w:p>
    <w:p>
      <w:pPr>
        <w:pStyle w:val="BlockText"/>
      </w:pPr>
      <w:r>
        <w:rPr>
          <w:b/>
          <w:bCs/>
        </w:rPr>
        <w:t xml:space="preserve">[INTUICAO ECONOMICA] Intuição Econômica</w:t>
      </w:r>
    </w:p>
    <w:p>
      <w:pPr>
        <w:pStyle w:val="BlockText"/>
      </w:pPr>
      <w:r>
        <w:rPr>
          <w:b/>
          <w:bCs/>
        </w:rPr>
        <w:t xml:space="preserve">Em uma frase:</w:t>
      </w:r>
      <w:r>
        <w:t xml:space="preserve"> </w:t>
      </w:r>
      <w:r>
        <w:t xml:space="preserve">O Teorema do Bem Composto permite ao economista trabalhar com dois bens mesmo quando a economia tem milhares — desde que os bens</w:t>
      </w:r>
      <w:r>
        <w:t xml:space="preserve"> </w:t>
      </w:r>
      <w:r>
        <w:t xml:space="preserve">“de fundo”</w:t>
      </w:r>
      <w:r>
        <w:t xml:space="preserve"> </w:t>
      </w:r>
      <w:r>
        <w:t xml:space="preserve">se movam em bloco.</w:t>
      </w:r>
    </w:p>
    <w:p>
      <w:pPr>
        <w:pStyle w:val="BlockText"/>
      </w:pPr>
      <w:r>
        <w:rPr>
          <w:b/>
          <w:bCs/>
        </w:rPr>
        <w:t xml:space="preserve">Pense assim:</w:t>
      </w:r>
      <w:r>
        <w:t xml:space="preserve"> </w:t>
      </w:r>
      <w:r>
        <w:t xml:space="preserve">Imagine que você analise o consumo de cinema versus</w:t>
      </w:r>
      <w:r>
        <w:t xml:space="preserve"> </w:t>
      </w:r>
      <w:r>
        <w:t xml:space="preserve">“tudo mais que compro no mês”</w:t>
      </w:r>
      <w:r>
        <w:t xml:space="preserve">. Para que essa simplificação seja válida, não é preciso que o preço de cada item do</w:t>
      </w:r>
      <w:r>
        <w:t xml:space="preserve"> </w:t>
      </w:r>
      <w:r>
        <w:t xml:space="preserve">“tudo mais”</w:t>
      </w:r>
      <w:r>
        <w:t xml:space="preserve"> </w:t>
      </w:r>
      <w:r>
        <w:t xml:space="preserve">(aluguel, alimentação, transporte, roupas…) seja constante em nível absoluto — apenas que eles variem proporcionalmente entre si. Se a inflação geral encarece todo o</w:t>
      </w:r>
      <w:r>
        <w:t xml:space="preserve"> </w:t>
      </w:r>
      <w:r>
        <w:t xml:space="preserve">“tudo mais”</w:t>
      </w:r>
      <w:r>
        <w:t xml:space="preserve"> </w:t>
      </w:r>
      <w:r>
        <w:t xml:space="preserve">na mesma proporção de 5%, o bloco se comporta como um único bem que ficou 5% mais caro, e você pode analisar cinema versus esse bloco como um problema de dois bens. Quando os preços relativos dentro do bloco mudam (energia elétrica sobe 30% enquanto alimentos sobem 5%), o teorema falha e a análise de dois bens pode induzir a conclusões errôneas.</w:t>
      </w:r>
    </w:p>
    <w:p>
      <w:pPr>
        <w:pStyle w:val="BlockText"/>
      </w:pPr>
      <w:r>
        <w:rPr>
          <w:b/>
          <w:bCs/>
        </w:rPr>
        <w:t xml:space="preserve">Por que isso importa:</w:t>
      </w:r>
      <w:r>
        <w:t xml:space="preserve"> </w:t>
      </w:r>
      <w:r>
        <w:t xml:space="preserve">Modelos macroeconômicos usam frequentemente a dicotomia</w:t>
      </w:r>
      <w:r>
        <w:t xml:space="preserve"> </w:t>
      </w:r>
      <w:r>
        <w:t xml:space="preserve">“bem tradeable versus bem non-tradeable”</w:t>
      </w:r>
      <w:r>
        <w:t xml:space="preserve"> </w:t>
      </w:r>
      <w:r>
        <w:t xml:space="preserve">ou</w:t>
      </w:r>
      <w:r>
        <w:t xml:space="preserve"> </w:t>
      </w:r>
      <w:r>
        <w:t xml:space="preserve">“bem importado versus bem doméstico”</w:t>
      </w:r>
      <w:r>
        <w:t xml:space="preserve"> </w:t>
      </w:r>
      <w:r>
        <w:t xml:space="preserve">— ambas são aplicações implícitas do Teorema do Bem Composto. A validade dessas dicotomias depende de que os preços relativos dentro de cada grupo sejam razoavelmente estáveis, o que pode não se verificar durante choques assimétricos como os causados pela pandemia de 2020 ou pelo conflito na Ucrânia em 2022.</w:t>
      </w:r>
    </w:p>
    <w:p>
      <w:pPr>
        <w:pStyle w:val="BlockText"/>
      </w:pPr>
      <w:r>
        <w:rPr>
          <w:b/>
          <w:bCs/>
        </w:rPr>
        <w:t xml:space="preserve">[BOX BRASIL] Box Brasil 6.1: Preços administrados e o Bem Composto no IPCA</w:t>
      </w:r>
    </w:p>
    <w:p>
      <w:pPr>
        <w:pStyle w:val="BlockText"/>
      </w:pPr>
      <w:r>
        <w:t xml:space="preserve">O IPCA, calculado pelo IBGE, distingue entre</w:t>
      </w:r>
      <w:r>
        <w:t xml:space="preserve"> </w:t>
      </w:r>
      <w:r>
        <w:rPr>
          <w:b/>
          <w:bCs/>
        </w:rPr>
        <w:t xml:space="preserve">preços livres</w:t>
      </w:r>
      <w:r>
        <w:t xml:space="preserve"> </w:t>
      </w:r>
      <w:r>
        <w:t xml:space="preserve">(cerca de 75% do índice) e</w:t>
      </w:r>
      <w:r>
        <w:t xml:space="preserve"> </w:t>
      </w:r>
      <w:r>
        <w:rPr>
          <w:b/>
          <w:bCs/>
        </w:rPr>
        <w:t xml:space="preserve">preços administrados</w:t>
      </w:r>
      <w:r>
        <w:t xml:space="preserve"> </w:t>
      </w:r>
      <w:r>
        <w:t xml:space="preserve">(cerca de 25%), que incluem combustíveis, energia elétrica, planos de saúde e tarifas de transporte público. Os preços administrados são reajustados por fórmulas contratuais vinculadas a índices como o IGP-M ou o IPCA do período anterior.</w:t>
      </w:r>
    </w:p>
    <w:p>
      <w:pPr>
        <w:pStyle w:val="BlockText"/>
      </w:pPr>
      <w:r>
        <w:t xml:space="preserve">Essa distinção ilustra quando o Teorema do Bem Composto</w:t>
      </w:r>
      <w:r>
        <w:t xml:space="preserve"> </w:t>
      </w:r>
      <w:r>
        <w:rPr>
          <w:b/>
          <w:bCs/>
        </w:rPr>
        <w:t xml:space="preserve">funciona</w:t>
      </w:r>
      <w:r>
        <w:t xml:space="preserve"> </w:t>
      </w:r>
      <w:r>
        <w:t xml:space="preserve">e quando</w:t>
      </w:r>
      <w:r>
        <w:t xml:space="preserve"> </w:t>
      </w:r>
      <w:r>
        <w:rPr>
          <w:b/>
          <w:bCs/>
        </w:rPr>
        <w:t xml:space="preserve">falha</w:t>
      </w:r>
      <w:r>
        <w:t xml:space="preserve">:</w:t>
      </w:r>
    </w:p>
    <w:p>
      <w:pPr>
        <w:pStyle w:val="Compact"/>
        <w:numPr>
          <w:ilvl w:val="0"/>
          <w:numId w:val="1268"/>
        </w:numPr>
      </w:pPr>
      <w:r>
        <w:rPr>
          <w:b/>
          <w:bCs/>
        </w:rPr>
        <w:t xml:space="preserve">Funciona (aproximadamente):</w:t>
      </w:r>
      <w:r>
        <w:t xml:space="preserve"> </w:t>
      </w:r>
      <w:r>
        <w:t xml:space="preserve">dentro do grupo</w:t>
      </w:r>
      <w:r>
        <w:t xml:space="preserve"> </w:t>
      </w:r>
      <w:r>
        <w:t xml:space="preserve">“alimentos in natura”</w:t>
      </w:r>
      <w:r>
        <w:t xml:space="preserve">, os preços tendem a flutuar em resposta a choques climáticos comuns (seca, geada), mantendo os preços relativos razoavelmente estáveis. Podemos tratá-los como um bem composto</w:t>
      </w:r>
      <w:r>
        <w:t xml:space="preserve"> </w:t>
      </w:r>
      <w:r>
        <w:t xml:space="preserve">“alimentos”</w:t>
      </w:r>
      <w:r>
        <w:t xml:space="preserve">.</w:t>
      </w:r>
    </w:p>
    <w:p>
      <w:pPr>
        <w:pStyle w:val="Compact"/>
        <w:numPr>
          <w:ilvl w:val="0"/>
          <w:numId w:val="1268"/>
        </w:numPr>
      </w:pPr>
      <w:r>
        <w:rPr>
          <w:b/>
          <w:bCs/>
        </w:rPr>
        <w:t xml:space="preserve">Falha:</w:t>
      </w:r>
      <w:r>
        <w:t xml:space="preserve"> </w:t>
      </w:r>
      <w:r>
        <w:t xml:space="preserve">quando a Petrobras reajusta o preço da gasolina (preço administrado) enquanto os preços de alimentos e serviços seguem trajetórias distintas, os preços relativos entre os grupos mudam substancialmente. Nesse caso, não se pode agregar</w:t>
      </w:r>
      <w:r>
        <w:t xml:space="preserve"> </w:t>
      </w:r>
      <w:r>
        <w:t xml:space="preserve">“gasolina + alimentos”</w:t>
      </w:r>
      <w:r>
        <w:t xml:space="preserve"> </w:t>
      </w:r>
      <w:r>
        <w:t xml:space="preserve">em um único bem composto.</w:t>
      </w:r>
    </w:p>
    <w:p>
      <w:pPr>
        <w:pStyle w:val="BlockText"/>
      </w:pPr>
      <w:r>
        <w:t xml:space="preserve">Segundo dados do</w:t>
      </w:r>
      <w:r>
        <w:t xml:space="preserve"> </w:t>
      </w:r>
      <w:hyperlink r:id="rId215">
        <w:r>
          <w:rPr>
            <w:rStyle w:val="Hyperlink"/>
          </w:rPr>
          <w:t xml:space="preserve">BCB</w:t>
        </w:r>
      </w:hyperlink>
      <w:r>
        <w:t xml:space="preserve">, entre 2000 e 2023 os preços administrados acumularam alta de cerca de 530%, enquanto os preços livres subiram cerca de 350% — uma divergência persistente que viola a hipótese de proporcionalidade e exige análise desagregada.</w:t>
      </w:r>
    </w:p>
    <w:p>
      <w:r>
        <w:pict>
          <v:rect style="width:0;height:1.5pt" o:hralign="center" o:hrstd="t" o:hr="t"/>
        </w:pict>
      </w:r>
    </w:p>
    <w:p>
      <w:pPr>
        <w:pStyle w:val="FirstParagraph"/>
      </w:pPr>
      <w:r>
        <w:t xml:space="preserve">O gráfico abaixo ilustra o Teorema do Bem Composto. O eixo horizontal mede o bem 1 (</w:t>
      </w:r>
      <m:oMath>
        <m:sSub>
          <m:e>
            <m:r>
              <m:t>x</m:t>
            </m:r>
          </m:e>
          <m:sub>
            <m:r>
              <m:t>1</m:t>
            </m:r>
          </m:sub>
        </m:sSub>
      </m:oMath>
      <w:r>
        <w:t xml:space="preserve">) e o eixo vertical mede o bem composto (</w:t>
      </w:r>
      <m:oMath>
        <m:r>
          <m:t>y</m:t>
        </m:r>
      </m:oMath>
      <w:r>
        <w:t xml:space="preserve">), que agrega os demais bens cujos preços variam proporcionalmente. Ajuste</w:t>
      </w:r>
      <w:r>
        <w:t xml:space="preserve"> </w:t>
      </w:r>
      <m:oMath>
        <m:r>
          <m:t>α</m:t>
        </m:r>
      </m:oMath>
      <w:r>
        <w:t xml:space="preserve"> </w:t>
      </w:r>
      <w:r>
        <w:t xml:space="preserve">para simular variações proporcionais nos preços do grupo composto.</w:t>
      </w:r>
    </w:p>
    <w:p>
      <w:pPr>
        <w:pStyle w:val="BodyText"/>
      </w:pPr>
      <w:r>
        <w:t xml:space="preserve">[FIGURA INTERATIVA: /micro-book/graficos/cap06/bem-composto.html — versao interativa disponivel online]</w:t>
      </w:r>
    </w:p>
    <w:p>
      <w:pPr>
        <w:pStyle w:val="BodyText"/>
      </w:pPr>
      <w:r>
        <w:rPr>
          <w:b/>
          <w:bCs/>
        </w:rPr>
        <w:t xml:space="preserve">Figura 6.2 — Teorema do Bem Composto de Hicks.</w:t>
      </w:r>
      <w:r>
        <w:t xml:space="preserve"> </w:t>
      </w:r>
      <w:r>
        <w:t xml:space="preserve">O eixo horizontal mede o bem 1 (</w:t>
      </w:r>
      <m:oMath>
        <m:sSub>
          <m:e>
            <m:r>
              <m:t>x</m:t>
            </m:r>
          </m:e>
          <m:sub>
            <m:r>
              <m:t>1</m:t>
            </m:r>
          </m:sub>
        </m:sSub>
      </m:oMath>
      <w:r>
        <w:t xml:space="preserve">) e o eixo vertical mede o bem composto (</w:t>
      </w:r>
      <m:oMath>
        <m:r>
          <m:t>y</m:t>
        </m:r>
      </m:oMath>
      <w:r>
        <w:t xml:space="preserve">). Ajuste</w:t>
      </w:r>
      <w:r>
        <w:t xml:space="preserve"> </w:t>
      </w:r>
      <m:oMath>
        <m:r>
          <m:t>α</m:t>
        </m:r>
      </m:oMath>
      <w:r>
        <w:t xml:space="preserve"> </w:t>
      </w:r>
      <w:r>
        <w:t xml:space="preserve">para simular variações proporcionais nos preços do grupo composto.</w:t>
      </w:r>
    </w:p>
    <w:p>
      <w:r>
        <w:pict>
          <v:rect style="width:0;height:1.5pt" o:hralign="center" o:hrstd="t" o:hr="t"/>
        </w:pict>
      </w:r>
    </w:p>
    <w:bookmarkEnd w:id="295"/>
    <w:bookmarkStart w:id="299" w:name="Xae7add33b839ce914db0d6a1dae8b95d56a6cd1"/>
    <w:p>
      <w:pPr>
        <w:pStyle w:val="Heading3"/>
      </w:pPr>
      <w:r>
        <w:t xml:space="preserve">6.6 Você Não Compra Comida — Compra Nutrição: Produção Doméstica e Preços Implícitos</w:t>
      </w:r>
    </w:p>
    <w:p>
      <w:pPr>
        <w:pStyle w:val="FirstParagraph"/>
      </w:pPr>
      <w:r>
        <w:t xml:space="preserve">Pergunta incômoda: por que alguém</w:t>
      </w:r>
      <w:r>
        <w:t xml:space="preserve"> </w:t>
      </w:r>
      <w:r>
        <w:t xml:space="preserve">“deseja”</w:t>
      </w:r>
      <w:r>
        <w:t xml:space="preserve"> </w:t>
      </w:r>
      <w:r>
        <w:t xml:space="preserve">arroz? Ninguém acorda de manhã sonhando com grãos brancos. O que a pessoa quer são nutrientes, saciedade, sabor —</w:t>
      </w:r>
      <w:r>
        <w:t xml:space="preserve"> </w:t>
      </w:r>
      <w:r>
        <w:rPr>
          <w:i/>
          <w:iCs/>
        </w:rPr>
        <w:t xml:space="preserve">atributos</w:t>
      </w:r>
      <w:r>
        <w:t xml:space="preserve"> </w:t>
      </w:r>
      <w:r>
        <w:t xml:space="preserve">do arroz, não o arroz em si. Da mesma forma, ninguém compra um apartamento pelo concreto: compra metragem, localização, vista, silêncio. Essa observação aparentemente trivial inspira duas reformulações radicais da teoria do consumidor.</w:t>
      </w:r>
    </w:p>
    <w:bookmarkStart w:id="296" w:name="o-modelo-de-lancaster"/>
    <w:p>
      <w:pPr>
        <w:pStyle w:val="Heading4"/>
      </w:pPr>
      <w:r>
        <w:t xml:space="preserve">6.6.1 O modelo de Lancaster</w:t>
      </w:r>
    </w:p>
    <w:p>
      <w:pPr>
        <w:pStyle w:val="FirstParagraph"/>
      </w:pPr>
      <w:r>
        <w:t xml:space="preserve">A teoria tradicional assume que o consumidor obtém utilidade diretamente dos bens. Kelvin</w:t>
      </w:r>
      <w:r>
        <w:t xml:space="preserve"> </w:t>
      </w:r>
      <w:r>
        <w:rPr>
          <w:b/>
          <w:bCs/>
        </w:rPr>
        <w:t xml:space="preserve">Lancaster</w:t>
      </w:r>
      <w:r>
        <w:t xml:space="preserve"> </w:t>
      </w:r>
      <w:r>
        <w:t xml:space="preserve">(1966) propôs uma reformulação provocativa: os bens são desejados não por si mesmos, mas pelos</w:t>
      </w:r>
      <w:r>
        <w:t xml:space="preserve"> </w:t>
      </w:r>
      <w:r>
        <w:rPr>
          <w:b/>
          <w:bCs/>
        </w:rPr>
        <w:t xml:space="preserve">atributos</w:t>
      </w:r>
      <w:r>
        <w:t xml:space="preserve"> </w:t>
      </w:r>
      <w:r>
        <w:t xml:space="preserve">(ou</w:t>
      </w:r>
      <w:r>
        <w:t xml:space="preserve"> </w:t>
      </w:r>
      <w:r>
        <w:rPr>
          <w:b/>
          <w:bCs/>
        </w:rPr>
        <w:t xml:space="preserve">características</w:t>
      </w:r>
      <w:r>
        <w:t xml:space="preserve">) que contêm. Um automóvel não é consumido como</w:t>
      </w:r>
      <w:r>
        <w:t xml:space="preserve"> </w:t>
      </w:r>
      <w:r>
        <w:t xml:space="preserve">“automóvel”</w:t>
      </w:r>
      <w:r>
        <w:t xml:space="preserve">, mas como um conjunto de atributos — potência, conforto, eficiência, status — que o veículo incorpora. Essa mudança de perspectiva, aparentemente sutil, tem consequências profundas: a unidade de análise deixa de ser o bem e passa a ser o atributo. A concorrência entre bens é, em última instância, concorrência entre combinações de atributos — e o preço de mercado de cada bem reflete, implicitamente, os preços sombra dos atributos que o compõem.</w:t>
      </w:r>
    </w:p>
    <w:p>
      <w:pPr>
        <w:pStyle w:val="BlockText"/>
      </w:pPr>
      <w:r>
        <w:rPr>
          <w:b/>
          <w:bCs/>
        </w:rPr>
        <w:t xml:space="preserve">[DEFINICAO] Modelo de Lancaster</w:t>
      </w:r>
    </w:p>
    <w:p>
      <w:pPr>
        <w:pStyle w:val="BlockText"/>
      </w:pPr>
      <w:r>
        <w:t xml:space="preserve">Cada bem</w:t>
      </w:r>
      <w:r>
        <w:t xml:space="preserve"> </w:t>
      </w:r>
      <m:oMath>
        <m:r>
          <m:t>j</m:t>
        </m:r>
      </m:oMath>
      <w:r>
        <w:t xml:space="preserve"> </w:t>
      </w:r>
      <w:r>
        <w:t xml:space="preserve">contém quantidades fixas de</w:t>
      </w:r>
      <w:r>
        <w:t xml:space="preserve"> </w:t>
      </w:r>
      <m:oMath>
        <m:r>
          <m:t>m</m:t>
        </m:r>
      </m:oMath>
      <w:r>
        <w:t xml:space="preserve"> </w:t>
      </w:r>
      <w:r>
        <w:t xml:space="preserve">atributos, representadas pela matriz de tecnologia de consumo</w:t>
      </w:r>
      <w:r>
        <w:t xml:space="preserve"> </w:t>
      </w:r>
      <m:oMath>
        <m:r>
          <m:rPr>
            <m:sty m:val="bi"/>
          </m:rPr>
          <m:t>B</m:t>
        </m:r>
        <m:r>
          <m:rPr>
            <m:sty m:val="p"/>
          </m:rPr>
          <m:t>=</m:t>
        </m:r>
        <m:r>
          <m:rPr>
            <m:sty m:val="p"/>
          </m:rPr>
          <m:t>[</m:t>
        </m:r>
        <m:sSub>
          <m:e>
            <m:r>
              <m:t>b</m:t>
            </m:r>
          </m:e>
          <m:sub>
            <m:r>
              <m:t>k</m:t>
            </m:r>
            <m:r>
              <m:t>j</m:t>
            </m:r>
          </m:sub>
        </m:sSub>
        <m:r>
          <m:rPr>
            <m:sty m:val="p"/>
          </m:rPr>
          <m:t>]</m:t>
        </m:r>
      </m:oMath>
      <w:r>
        <w:t xml:space="preserve">, onde</w:t>
      </w:r>
      <w:r>
        <w:t xml:space="preserve"> </w:t>
      </w:r>
      <m:oMath>
        <m:sSub>
          <m:e>
            <m:r>
              <m:t>b</m:t>
            </m:r>
          </m:e>
          <m:sub>
            <m:r>
              <m:t>k</m:t>
            </m:r>
            <m:r>
              <m:t>j</m:t>
            </m:r>
          </m:sub>
        </m:sSub>
      </m:oMath>
      <w:r>
        <w:t xml:space="preserve"> </w:t>
      </w:r>
      <w:r>
        <w:t xml:space="preserve">é a quantidade do atributo</w:t>
      </w:r>
      <w:r>
        <w:t xml:space="preserve"> </w:t>
      </w:r>
      <m:oMath>
        <m:r>
          <m:t>k</m:t>
        </m:r>
      </m:oMath>
      <w:r>
        <w:t xml:space="preserve"> </w:t>
      </w:r>
      <w:r>
        <w:t xml:space="preserve">contida em uma unidade do bem</w:t>
      </w:r>
      <w:r>
        <w:t xml:space="preserve"> </w:t>
      </w:r>
      <m:oMath>
        <m:r>
          <m:t>j</m:t>
        </m:r>
      </m:oMath>
      <w:r>
        <w:t xml:space="preserve">. A utilidade depende dos atributos:</w:t>
      </w:r>
    </w:p>
    <w:p>
      <w:pPr>
        <w:pStyle w:val="BlockText"/>
      </w:pPr>
      <w:r>
        <w:t xml:space="preserve">$$</w:t>
      </w:r>
    </w:p>
    <w:p>
      <w:pPr>
        <w:pStyle w:val="BlockText"/>
      </w:pPr>
      <w:r>
        <w:t xml:space="preserve">U = U(z_1, z_2,</w:t>
      </w:r>
      <w:r>
        <w:t xml:space="preserve"> </w:t>
      </w:r>
      <w:r>
        <w:t xml:space="preserve">, z_m)</w:t>
      </w:r>
      <w:r>
        <w:t xml:space="preserve"> </w:t>
      </w:r>
      <w:r>
        <w:t xml:space="preserve"> </w:t>
      </w:r>
    </w:p>
    <w:p>
      <w:pPr>
        <w:pStyle w:val="BlockText"/>
      </w:pPr>
      <w:r>
        <w:t xml:space="preserve">$$</w:t>
      </w:r>
    </w:p>
    <w:p>
      <w:pPr>
        <w:pStyle w:val="BlockText"/>
      </w:pPr>
      <w:r>
        <w:t xml:space="preserve">onde cada atributo é</w:t>
      </w:r>
      <w:r>
        <w:t xml:space="preserve"> </w:t>
      </w:r>
      <w:r>
        <w:t xml:space="preserve">“produzido”</w:t>
      </w:r>
      <w:r>
        <w:t xml:space="preserve"> </w:t>
      </w:r>
      <w:r>
        <w:t xml:space="preserve">pelo consumo dos bens:</w:t>
      </w:r>
    </w:p>
    <w:p>
      <w:pPr>
        <w:pStyle w:val="BlockText"/>
      </w:pPr>
      <w:r>
        <w:t xml:space="preserve">$$</w:t>
      </w:r>
    </w:p>
    <w:p>
      <w:pPr>
        <w:pStyle w:val="BlockText"/>
      </w:pPr>
      <w:r>
        <w:t xml:space="preserve">z_k =</w:t>
      </w:r>
      <w:r>
        <w:t xml:space="preserve"> </w:t>
      </w:r>
      <w:r>
        <w:rPr>
          <w:i/>
          <w:iCs/>
        </w:rPr>
        <w:t xml:space="preserve">{j=1}^n b</w:t>
      </w:r>
      <w:r>
        <w:t xml:space="preserve">{kj} x_j,</w:t>
      </w:r>
      <w:r>
        <w:t xml:space="preserve"> </w:t>
      </w:r>
      <w:r>
        <w:t xml:space="preserve">k = 1,</w:t>
      </w:r>
      <w:r>
        <w:t xml:space="preserve"> </w:t>
      </w:r>
      <w:r>
        <w:t xml:space="preserve">, m</w:t>
      </w:r>
      <w:r>
        <w:t xml:space="preserve"> </w:t>
      </w:r>
      <w:r>
        <w:t xml:space="preserve"> </w:t>
      </w:r>
    </w:p>
    <w:p>
      <w:pPr>
        <w:pStyle w:val="BlockText"/>
      </w:pPr>
      <w:r>
        <w:t xml:space="preserve">$$</w:t>
      </w:r>
    </w:p>
    <w:p>
      <w:pPr>
        <w:pStyle w:val="BlockText"/>
      </w:pPr>
      <w:r>
        <w:t xml:space="preserve">O consumidor maximiza a equação Eq. (eq:6.6.6) sujeito à relação tecnológica Eq. (eq:6.6.7), à restrição orçamentária</w:t>
      </w:r>
      <w:r>
        <w:t xml:space="preserve"> </w:t>
      </w:r>
      <m:oMath>
        <m:r>
          <m:rPr>
            <m:sty m:val="bi"/>
          </m:rPr>
          <m:t>p</m:t>
        </m:r>
        <m:r>
          <m:rPr>
            <m:sty m:val="p"/>
          </m:rPr>
          <m:t>⋅</m:t>
        </m:r>
        <m:r>
          <m:rPr>
            <m:sty m:val="bi"/>
          </m:rPr>
          <m:t>x</m:t>
        </m:r>
        <m:r>
          <m:rPr>
            <m:sty m:val="p"/>
          </m:rPr>
          <m:t>≤</m:t>
        </m:r>
        <m:r>
          <m:t>I</m:t>
        </m:r>
      </m:oMath>
      <w:r>
        <w:t xml:space="preserve"> </w:t>
      </w:r>
      <w:r>
        <w:t xml:space="preserve">e à não negatividade</w:t>
      </w:r>
      <w:r>
        <w:t xml:space="preserve"> </w:t>
      </w:r>
      <m:oMath>
        <m:r>
          <m:rPr>
            <m:sty m:val="bi"/>
          </m:rPr>
          <m:t>x</m:t>
        </m:r>
        <m:r>
          <m:rPr>
            <m:sty m:val="p"/>
          </m:rPr>
          <m:t>≥</m:t>
        </m:r>
        <m:r>
          <m:t>0</m:t>
        </m:r>
      </m:oMath>
      <w:r>
        <w:t xml:space="preserve">.</w:t>
      </w:r>
    </w:p>
    <w:p>
      <w:pPr>
        <w:pStyle w:val="FirstParagraph"/>
      </w:pPr>
      <w:r>
        <w:t xml:space="preserve">Esse modelo gera</w:t>
      </w:r>
      <w:r>
        <w:t xml:space="preserve"> </w:t>
      </w:r>
      <w:r>
        <w:rPr>
          <w:b/>
          <w:bCs/>
        </w:rPr>
        <w:t xml:space="preserve">preços implícitos</w:t>
      </w:r>
      <w:r>
        <w:t xml:space="preserve"> </w:t>
      </w:r>
      <w:r>
        <w:t xml:space="preserve">(ou</w:t>
      </w:r>
      <w:r>
        <w:t xml:space="preserve"> </w:t>
      </w:r>
      <w:r>
        <w:rPr>
          <w:b/>
          <w:bCs/>
        </w:rPr>
        <w:t xml:space="preserve">preços hedônicos</w:t>
      </w:r>
      <w:r>
        <w:t xml:space="preserve">) para os atributos. Se o número de atributos for menor que o de bens (</w:t>
      </w:r>
      <m:oMath>
        <m:r>
          <m:t>m</m:t>
        </m:r>
        <m:r>
          <m:rPr>
            <m:sty m:val="p"/>
          </m:rPr>
          <m:t>&lt;</m:t>
        </m:r>
        <m:r>
          <m:t>n</m:t>
        </m:r>
      </m:oMath>
      <w:r>
        <w:t xml:space="preserve">), o consumidor pode calcular o</w:t>
      </w:r>
      <w:r>
        <w:t xml:space="preserve"> </w:t>
      </w:r>
      <w:r>
        <w:t xml:space="preserve">“custo”</w:t>
      </w:r>
      <w:r>
        <w:t xml:space="preserve"> </w:t>
      </w:r>
      <w:r>
        <w:t xml:space="preserve">de cada unidade de atributo combinando bens de modo eficiente. Em certo sentido, Lancaster transforma o problema do consumidor em um problema de programação linear: encontrar a combinação de bens que fornece os atributos desejados ao menor custo.</w:t>
      </w:r>
    </w:p>
    <w:p>
      <w:pPr>
        <w:pStyle w:val="BlockText"/>
      </w:pPr>
      <w:r>
        <w:rPr>
          <w:b/>
          <w:bCs/>
        </w:rPr>
        <w:t xml:space="preserve">[INFORMACAO] 🏅 Prêmio Nobel — Daniel McFadden (2000)</w:t>
      </w:r>
    </w:p>
    <w:p>
      <w:pPr>
        <w:pStyle w:val="BlockText"/>
      </w:pPr>
      <w:r>
        <w:rPr>
          <w:b/>
          <w:bCs/>
        </w:rPr>
        <w:t xml:space="preserve">Daniel Little McFadden</w:t>
      </w:r>
      <w:r>
        <w:t xml:space="preserve"> </w:t>
      </w:r>
      <w:r>
        <w:t xml:space="preserve">(1937–presente) é um economista americano. Obteve o PhD na Universidade de Minnesota e foi professor em Yale, MIT e UC Berkeley. Dividiu o Nobel com James Heckman.</w:t>
      </w:r>
    </w:p>
    <w:p>
      <w:pPr>
        <w:pStyle w:val="BlockText"/>
      </w:pPr>
      <w:r>
        <w:rPr>
          <w:b/>
          <w:bCs/>
        </w:rPr>
        <w:t xml:space="preserve">Por que ganhou o Nobel:</w:t>
      </w:r>
      <w:r>
        <w:t xml:space="preserve"> </w:t>
      </w:r>
      <w:r>
        <w:t xml:space="preserve">Premiado por desenvolver a teoria e os métodos para análise de escolha discreta. McFadden formulou o modelo logit condicional, que permite estimar a probabilidade de um indivíduo escolher entre alternativas discretas (modos de transporte, localização residencial, marcas) com base nos atributos de cada alternativa — conectando a teoria microeconômica da utilidade aleatória à estimação econométrica.</w:t>
      </w:r>
    </w:p>
    <w:p>
      <w:pPr>
        <w:pStyle w:val="BlockText"/>
      </w:pPr>
      <w:r>
        <w:rPr>
          <w:b/>
          <w:bCs/>
        </w:rPr>
        <w:t xml:space="preserve">Conexão com este capítulo:</w:t>
      </w:r>
      <w:r>
        <w:t xml:space="preserve"> </w:t>
      </w:r>
      <w:r>
        <w:t xml:space="preserve">O modelo de Lancaster — em que consumidores valorizam atributos dos bens, não os bens em si — é a base teórica dos modelos de escolha discreta de McFadden. A abordagem de preços hedônicos discutida neste capítulo é uma aplicação direta: decompor o preço de um bem (imóvel, automóvel) em contribuições de seus atributos é exatamente o que os métodos de McFadden operacionalizam econometricamente.</w:t>
      </w:r>
    </w:p>
    <w:bookmarkEnd w:id="296"/>
    <w:bookmarkStart w:id="297" w:name="implicações"/>
    <w:p>
      <w:pPr>
        <w:pStyle w:val="Heading4"/>
      </w:pPr>
      <w:r>
        <w:t xml:space="preserve">6.6.2 Implicações</w:t>
      </w:r>
    </w:p>
    <w:p>
      <w:pPr>
        <w:pStyle w:val="FirstParagraph"/>
      </w:pPr>
      <w:r>
        <w:t xml:space="preserve">A reformulação de Lancaster pode parecer uma complicação desnecessária — afinal, por que não trabalhar diretamente com bens? A resposta é que o modelo de Lancaster explica fenômenos que a teoria tradicional não captura com facilidade:</w:t>
      </w:r>
    </w:p>
    <w:p>
      <w:pPr>
        <w:pStyle w:val="Compact"/>
        <w:numPr>
          <w:ilvl w:val="0"/>
          <w:numId w:val="1269"/>
        </w:numPr>
      </w:pPr>
      <w:r>
        <w:rPr>
          <w:b/>
          <w:bCs/>
        </w:rPr>
        <w:t xml:space="preserve">Introdução de novos bens</w:t>
      </w:r>
      <w:r>
        <w:t xml:space="preserve">: um novo produto é simplesmente uma nova coluna na matriz</w:t>
      </w:r>
      <w:r>
        <w:t xml:space="preserve"> </w:t>
      </w:r>
      <m:oMath>
        <m:r>
          <m:rPr>
            <m:sty m:val="bi"/>
          </m:rPr>
          <m:t>B</m:t>
        </m:r>
      </m:oMath>
      <w:r>
        <w:t xml:space="preserve">. Se ele oferece uma combinação de atributos mais eficiente (menor custo por unidade de atributo), substitui bens existentes.</w:t>
      </w:r>
    </w:p>
    <w:p>
      <w:pPr>
        <w:pStyle w:val="Compact"/>
        <w:numPr>
          <w:ilvl w:val="0"/>
          <w:numId w:val="1269"/>
        </w:numPr>
      </w:pPr>
      <w:r>
        <w:rPr>
          <w:b/>
          <w:bCs/>
        </w:rPr>
        <w:t xml:space="preserve">Diferenciação de produto</w:t>
      </w:r>
      <w:r>
        <w:t xml:space="preserve">: marcas diferentes do</w:t>
      </w:r>
      <w:r>
        <w:t xml:space="preserve"> </w:t>
      </w:r>
      <w:r>
        <w:t xml:space="preserve">“mesmo”</w:t>
      </w:r>
      <w:r>
        <w:t xml:space="preserve"> </w:t>
      </w:r>
      <w:r>
        <w:t xml:space="preserve">bem oferecem combinações distintas de atributos (sabor, durabilidade, status).</w:t>
      </w:r>
    </w:p>
    <w:p>
      <w:pPr>
        <w:pStyle w:val="Compact"/>
        <w:numPr>
          <w:ilvl w:val="0"/>
          <w:numId w:val="1269"/>
        </w:numPr>
      </w:pPr>
      <w:r>
        <w:rPr>
          <w:b/>
          <w:bCs/>
        </w:rPr>
        <w:t xml:space="preserve">Preços hedônicos</w:t>
      </w:r>
      <w:r>
        <w:t xml:space="preserve">: o preço de um imóvel, por exemplo, pode ser decomposto em preços implícitos de localização, metragem, número de quartos e outros atributos.</w:t>
      </w:r>
    </w:p>
    <w:p>
      <w:pPr>
        <w:pStyle w:val="FirstParagraph"/>
      </w:pPr>
      <w:r>
        <w:t xml:space="preserve">A</w:t>
      </w:r>
      <w:r>
        <w:t xml:space="preserve"> </w:t>
      </w:r>
      <w:r>
        <w:rPr>
          <w:b/>
          <w:bCs/>
        </w:rPr>
        <w:t xml:space="preserve">análise de preços hedônicos</w:t>
      </w:r>
      <w:r>
        <w:t xml:space="preserve"> </w:t>
      </w:r>
      <w:r>
        <w:t xml:space="preserve">— desenvolvida formalmente por Sherwin Rosen (1974) — é a operacionalização econométrica do modelo de Lancaster. Rosen mostrou que, em mercados competitivos de bens diferenciados, o preço de equilíbrio de um bem é uma função dos seus atributos, e que as derivadas dessa função em relação a cada atributo revelam os</w:t>
      </w:r>
      <w:r>
        <w:t xml:space="preserve"> </w:t>
      </w:r>
      <w:r>
        <w:t xml:space="preserve">“preços implícitos”</w:t>
      </w:r>
      <w:r>
        <w:t xml:space="preserve"> </w:t>
      </w:r>
      <w:r>
        <w:t xml:space="preserve">(ou</w:t>
      </w:r>
      <w:r>
        <w:t xml:space="preserve"> </w:t>
      </w:r>
      <w:r>
        <w:t xml:space="preserve">“preços hedônicos”</w:t>
      </w:r>
      <w:r>
        <w:t xml:space="preserve">) que o mercado atribui a cada característica. Em equilíbrio, o preço implícito de um atributo reflete tanto a disposição marginal a pagar dos consumidores quanto o custo marginal de oferta desse atributo — uma estrutura que generaliza a análise de oferta e demanda do mercado de atributos.</w:t>
      </w:r>
    </w:p>
    <w:p>
      <w:pPr>
        <w:pStyle w:val="BodyText"/>
      </w:pPr>
      <w:r>
        <w:t xml:space="preserve">No Brasil, a abordagem hedônica tem sido amplamente aplicada ao mercado imobiliário, onde os atributos locacionais — proximidade de estações de metrô, escola de alta qualidade, parques urbanos, índices de criminalidade — podem ser precificados implicitamente a partir dos diferenciais de preço entre imóveis com características físicas semelhantes mas localizações distintas. Essa mesma lógica é usada pelo Banco Central do Brasil para construir índices de preços imobiliários ajustados por qualidade, evitando que uma melhora na composição dos imóveis vendidos seja confundida com inflação de preços.</w:t>
      </w:r>
    </w:p>
    <w:p>
      <w:pPr>
        <w:pStyle w:val="BlockText"/>
      </w:pPr>
      <w:r>
        <w:rPr>
          <w:b/>
          <w:bCs/>
        </w:rPr>
        <w:t xml:space="preserve">[BOX BRASIL] Box Brasil 6.2: Preços hedônicos e o índice FipeZap no mercado imobiliário</w:t>
      </w:r>
    </w:p>
    <w:p>
      <w:pPr>
        <w:pStyle w:val="BlockText"/>
      </w:pPr>
      <w:r>
        <w:t xml:space="preserve">O índice FipeZap, calculado pela Fundação Instituto de Pesquisas Econômicas (FIPE) em parceria com o portal Zap Imóveis, acompanha os preços de venda e aluguel de imóveis residenciais em mais de 50 cidades brasileiras. A metodologia central é baseada em</w:t>
      </w:r>
      <w:r>
        <w:t xml:space="preserve"> </w:t>
      </w:r>
      <w:r>
        <w:rPr>
          <w:b/>
          <w:bCs/>
        </w:rPr>
        <w:t xml:space="preserve">modelos de preços hedônicos</w:t>
      </w:r>
      <w:r>
        <w:t xml:space="preserve"> </w:t>
      </w:r>
      <w:r>
        <w:t xml:space="preserve">— uma implementação direta do arcabouço de Rosen (1974), que por sua vez operacionaliza o modelo de Lancaster: o preço de cada imóvel é regredido sobre seus atributos físicos (área útil, número de quartos e banheiros, vagas de garagem, andar, presença de elevador) e locacionais (bairro, distância de transporte público, índice de walkability).</w:t>
      </w:r>
    </w:p>
    <w:p>
      <w:pPr>
        <w:pStyle w:val="BlockText"/>
      </w:pPr>
      <w:r>
        <w:t xml:space="preserve">O índice FipeZap de março de 2024 registrava preço médio de venda de R$ 9.082/m² em São Paulo e R$ 11.032/m² no Rio de Janeiro. Mas a diferença entre bairros dentro de uma mesma cidade é ainda mais reveladora: no Rio de Janeiro, o preço médio no Leblon superava R$ 20.000/m², enquanto em Campo Grande (zona oeste) ficava abaixo de R$ 4.000/m². Essa diferença de cinco vezes não reflete apenas metragem ou número de quartos — ela embute o</w:t>
      </w:r>
      <w:r>
        <w:t xml:space="preserve"> </w:t>
      </w:r>
      <w:r>
        <w:t xml:space="preserve">“preço implícito”</w:t>
      </w:r>
      <w:r>
        <w:t xml:space="preserve"> </w:t>
      </w:r>
      <w:r>
        <w:t xml:space="preserve">de atributos locacionais como amenidades urbanas (proximidade de praias, parques, estabelecimentos de saúde e educação), segurança e acesso a transporte.</w:t>
      </w:r>
    </w:p>
    <w:p>
      <w:pPr>
        <w:pStyle w:val="BlockText"/>
      </w:pPr>
      <w:r>
        <w:t xml:space="preserve">A CBIC (Câmara Brasileira da Indústria da Construção) utiliza abordagens semelhantes para analisar o custo de construção por componente, separando o preço do insumo (cimento, aço, mão de obra) do atributo que ele confere ao imóvel. O Banco Central do Brasil, por sua vez, constrói seu Índice de Preços de Imóveis Residenciais (IVG-R) utilizando regressões hedônicas para controlar por mudanças na composição dos imóveis financiados ao longo do tempo — evitando que oscilações no mix de imóveis (por exemplo, mais apartamentos de alto padrão em um período) sejam confundidas com variações reais de preço.</w:t>
      </w:r>
    </w:p>
    <w:p>
      <w:pPr>
        <w:pStyle w:val="BlockText"/>
      </w:pPr>
      <w:r>
        <w:t xml:space="preserve">Do ponto de vista microeconômico, o FipeZap nos permite estimar os preços implícitos dos atributos: estudos aplicados ao mercado paulistano estimam que a proximidade de uma estação de metrô agrega entre R$ 400 e R$ 1.200/m² ao preço do imóvel, dependendo do bairro — o</w:t>
      </w:r>
      <w:r>
        <w:t xml:space="preserve"> </w:t>
      </w:r>
      <w:r>
        <w:t xml:space="preserve">“preço hedônico”</w:t>
      </w:r>
      <w:r>
        <w:t xml:space="preserve"> </w:t>
      </w:r>
      <w:r>
        <w:t xml:space="preserve">da acessibilidade. Da mesma forma, a presença de uma escola pública de qualidade no entorno valoriza o imóvel, revelando a disposição a pagar das famílias pelo atributo</w:t>
      </w:r>
      <w:r>
        <w:t xml:space="preserve"> </w:t>
      </w:r>
      <w:r>
        <w:t xml:space="preserve">“educação de proximidade”</w:t>
      </w:r>
      <w:r>
        <w:t xml:space="preserve">.</w:t>
      </w:r>
    </w:p>
    <w:bookmarkEnd w:id="297"/>
    <w:bookmarkStart w:id="298" w:name="modelo-de-produção-doméstica-de-becker"/>
    <w:p>
      <w:pPr>
        <w:pStyle w:val="Heading4"/>
      </w:pPr>
      <w:r>
        <w:t xml:space="preserve">6.6.3 Modelo de produção doméstica de Becker</w:t>
      </w:r>
    </w:p>
    <w:p>
      <w:pPr>
        <w:pStyle w:val="FirstParagraph"/>
      </w:pPr>
      <w:r>
        <w:t xml:space="preserve">Enquanto Lancaster enfatiza os atributos dos bens, Gary</w:t>
      </w:r>
      <w:r>
        <w:t xml:space="preserve"> </w:t>
      </w:r>
      <w:r>
        <w:rPr>
          <w:b/>
          <w:bCs/>
        </w:rPr>
        <w:t xml:space="preserve">Becker</w:t>
      </w:r>
      <w:r>
        <w:t xml:space="preserve"> </w:t>
      </w:r>
      <w:r>
        <w:t xml:space="preserve">(1965) chamou atenção para um recurso escasso que a teoria tradicional ignora: o</w:t>
      </w:r>
      <w:r>
        <w:t xml:space="preserve"> </w:t>
      </w:r>
      <w:r>
        <w:rPr>
          <w:i/>
          <w:iCs/>
        </w:rPr>
        <w:t xml:space="preserve">tempo</w:t>
      </w:r>
      <w:r>
        <w:t xml:space="preserve">. Becker propôs que as famílias são unidades produtivas que combinam bens de mercado com tempo para gerar</w:t>
      </w:r>
      <w:r>
        <w:t xml:space="preserve"> </w:t>
      </w:r>
      <w:r>
        <w:rPr>
          <w:b/>
          <w:bCs/>
        </w:rPr>
        <w:t xml:space="preserve">commodities domésticas</w:t>
      </w:r>
      <w:r>
        <w:t xml:space="preserve"> </w:t>
      </w:r>
      <w:r>
        <w:t xml:space="preserve">que geram utilidade. Por exemplo, uma refeição exige ingredientes (bens) e tempo de preparo (trabalho doméstico). Formalmente:</w:t>
      </w:r>
    </w:p>
    <w:p>
      <w:pPr>
        <w:pStyle w:val="BodyText"/>
      </w:pPr>
      <m:oMathPara>
        <m:oMathParaPr>
          <m:jc m:val="center"/>
        </m:oMathParaPr>
        <m:oMath>
          <m:sSub>
            <m:e>
              <m:r>
                <m:t>z</m:t>
              </m:r>
            </m:e>
            <m:sub>
              <m:r>
                <m:t>k</m:t>
              </m:r>
            </m:sub>
          </m:sSub>
          <m:r>
            <m:rPr>
              <m:sty m:val="p"/>
            </m:rPr>
            <m:t>=</m:t>
          </m:r>
          <m:sSub>
            <m:e>
              <m:r>
                <m:t>f</m:t>
              </m:r>
            </m:e>
            <m:sub>
              <m:r>
                <m:t>k</m:t>
              </m:r>
            </m:sub>
          </m:sSub>
          <m:r>
            <m:rPr>
              <m:sty m:val="p"/>
            </m:rPr>
            <m:t>(</m:t>
          </m:r>
          <m:sSub>
            <m:e>
              <m:r>
                <m:t>x</m:t>
              </m:r>
            </m:e>
            <m:sub>
              <m:r>
                <m:t>k</m:t>
              </m:r>
            </m:sub>
          </m:sSub>
          <m:r>
            <m:rPr>
              <m:sty m:val="p"/>
            </m:rPr>
            <m:t>,</m:t>
          </m:r>
          <m:sSub>
            <m:e>
              <m:r>
                <m:t>t</m:t>
              </m:r>
            </m:e>
            <m:sub>
              <m:r>
                <m:t>k</m:t>
              </m:r>
            </m:sub>
          </m:sSub>
          <m:r>
            <m:rPr>
              <m:sty m:val="p"/>
            </m:rPr>
            <m:t>)</m:t>
          </m:r>
        </m:oMath>
      </m:oMathPara>
    </w:p>
    <w:p>
      <w:pPr>
        <w:pStyle w:val="FirstParagraph"/>
      </w:pPr>
      <w:r>
        <w:t xml:space="preserve">onde</w:t>
      </w:r>
      <w:r>
        <w:t xml:space="preserve"> </w:t>
      </w:r>
      <m:oMath>
        <m:sSub>
          <m:e>
            <m:r>
              <m:t>x</m:t>
            </m:r>
          </m:e>
          <m:sub>
            <m:r>
              <m:t>k</m:t>
            </m:r>
          </m:sub>
        </m:sSub>
      </m:oMath>
      <w:r>
        <w:t xml:space="preserve"> </w:t>
      </w:r>
      <w:r>
        <w:t xml:space="preserve">são bens de mercado e</w:t>
      </w:r>
      <w:r>
        <w:t xml:space="preserve"> </w:t>
      </w:r>
      <m:oMath>
        <m:sSub>
          <m:e>
            <m:r>
              <m:t>t</m:t>
            </m:r>
          </m:e>
          <m:sub>
            <m:r>
              <m:t>k</m:t>
            </m:r>
          </m:sub>
        </m:sSub>
      </m:oMath>
      <w:r>
        <w:t xml:space="preserve"> </w:t>
      </w:r>
      <w:r>
        <w:t xml:space="preserve">é o tempo dedicado à atividade</w:t>
      </w:r>
      <w:r>
        <w:t xml:space="preserve"> </w:t>
      </w:r>
      <m:oMath>
        <m:r>
          <m:t>k</m:t>
        </m:r>
      </m:oMath>
      <w:r>
        <w:t xml:space="preserve">. O consumidor maximiza</w:t>
      </w:r>
      <w:r>
        <w:t xml:space="preserve"> </w:t>
      </w:r>
      <m:oMath>
        <m:r>
          <m:t>U</m:t>
        </m:r>
        <m:r>
          <m:rPr>
            <m:sty m:val="p"/>
          </m:rPr>
          <m:t>(</m:t>
        </m:r>
        <m:sSub>
          <m:e>
            <m:r>
              <m:t>z</m:t>
            </m:r>
          </m:e>
          <m:sub>
            <m:r>
              <m:t>1</m:t>
            </m:r>
          </m:sub>
        </m:sSub>
        <m:r>
          <m:rPr>
            <m:sty m:val="p"/>
          </m:rPr>
          <m:t>,</m:t>
        </m:r>
        <m:r>
          <m:rPr>
            <m:sty m:val="p"/>
          </m:rPr>
          <m:t>…</m:t>
        </m:r>
        <m:r>
          <m:rPr>
            <m:sty m:val="p"/>
          </m:rPr>
          <m:t>,</m:t>
        </m:r>
        <m:sSub>
          <m:e>
            <m:r>
              <m:t>z</m:t>
            </m:r>
          </m:e>
          <m:sub>
            <m:r>
              <m:t>m</m:t>
            </m:r>
          </m:sub>
        </m:sSub>
        <m:r>
          <m:rPr>
            <m:sty m:val="p"/>
          </m:rPr>
          <m:t>)</m:t>
        </m:r>
      </m:oMath>
      <w:r>
        <w:t xml:space="preserve"> </w:t>
      </w:r>
      <w:r>
        <w:t xml:space="preserve">sujeito a restrições de orçamento monetário e de tempo total.</w:t>
      </w:r>
    </w:p>
    <w:p>
      <w:pPr>
        <w:pStyle w:val="BodyText"/>
      </w:pPr>
      <w:r>
        <w:t xml:space="preserve">O preço implícito de cada commodity doméstica incorpora tanto o custo dos bens quanto o custo de oportunidade do tempo, o que explica, por exemplo, por que famílias de renda mais alta tendem a consumir mais refeições fora do domicílio — o custo de oportunidade do tempo de preparo é elevado. No Brasil, esse fenômeno é claramente documentado pela POF: a parcela do orçamento destinada à alimentação fora do domicílio cresce monotonicamente com a renda, passando de cerca de 14% nas classes mais baixas para mais de 40% nas classes mais altas. O modelo de Becker captura essa regularidade de forma natural — não porque os ricos</w:t>
      </w:r>
      <w:r>
        <w:t xml:space="preserve"> </w:t>
      </w:r>
      <w:r>
        <w:t xml:space="preserve">“gostam mais”</w:t>
      </w:r>
      <w:r>
        <w:t xml:space="preserve"> </w:t>
      </w:r>
      <w:r>
        <w:t xml:space="preserve">de comer fora, mas porque seu tempo vale mais.</w:t>
      </w:r>
    </w:p>
    <w:p>
      <w:pPr>
        <w:pStyle w:val="BodyText"/>
      </w:pPr>
      <w:r>
        <w:t xml:space="preserve">O modelo de Becker e o modelo de Lancaster compartilham uma mesma intuição profunda: o que realmente interessa ao consumidor não são os bens de mercado em si, mas o que eles</w:t>
      </w:r>
      <w:r>
        <w:t xml:space="preserve"> </w:t>
      </w:r>
      <w:r>
        <w:rPr>
          <w:i/>
          <w:iCs/>
        </w:rPr>
        <w:t xml:space="preserve">produzem</w:t>
      </w:r>
      <w:r>
        <w:t xml:space="preserve"> </w:t>
      </w:r>
      <w:r>
        <w:t xml:space="preserve">— seja em termos de atributos (Lancaster) seja em termos de commodities domésticas combinadas com tempo (Becker). Ambos os modelos implicam que a substituição e a complementaridade entre bens de mercado são, em última análise, derivadas das relações de substituição e complementaridade no espaço dos atributos ou das commodities domésticas.</w:t>
      </w:r>
    </w:p>
    <w:p>
      <w:pPr>
        <w:pStyle w:val="BodyText"/>
      </w:pPr>
      <w:r>
        <w:t xml:space="preserve">Essa perspectiva também conecta este capítulo ao Capítulo 12, sobre equilíbrio geral. Em uma economia de equilíbrio geral, os preços dos bens de mercado refletem, em equilíbrio, os preços implícitos dos atributos que eles fornecem — uma visão que tem inspirado a economia ambiental (onde atributos como qualidade do ar ou biodiversidade precisam ser precificados implicitamente) e a economia urbana (onde o preço da terra reflete o valor capitalizado de amenidades locacionais, como na abordagem hedônica do FipeZap descrita acima).</w:t>
      </w:r>
    </w:p>
    <w:bookmarkEnd w:id="298"/>
    <w:bookmarkEnd w:id="299"/>
    <w:bookmarkEnd w:id="300"/>
    <w:bookmarkStart w:id="308" w:name="agregação-da-demanda-e-classificação"/>
    <w:p>
      <w:pPr>
        <w:pStyle w:val="Heading2"/>
      </w:pPr>
      <w:r>
        <w:t xml:space="preserve">6.7–6.8 Agregação da Demanda e Classificação</w:t>
      </w:r>
    </w:p>
    <w:bookmarkStart w:id="305" w:name="da-pessoa-ao-país-agregação-da-demanda"/>
    <w:p>
      <w:pPr>
        <w:pStyle w:val="Heading3"/>
      </w:pPr>
      <w:r>
        <w:t xml:space="preserve">6.7 Da Pessoa ao País: Agregação da Demanda</w:t>
      </w:r>
    </w:p>
    <w:p>
      <w:pPr>
        <w:pStyle w:val="FirstParagraph"/>
      </w:pPr>
      <w:r>
        <w:t xml:space="preserve">Até aqui, estudamos um consumidor solitário fazendo escolhas perfeitas. Mas o mercado tem milhões de consumidores — velhos e jovens, ricos e pobres, racionais e impulsivos. A operação óbvia é somar todas as demandas individuais. Mas somar é inocente? A demanda de mercado herda as boas propriedades (Slutsky, homogeneidade) da demanda individual? Podemos fingir que existe um</w:t>
      </w:r>
      <w:r>
        <w:t xml:space="preserve"> </w:t>
      </w:r>
      <w:r>
        <w:t xml:space="preserve">“brasileiro médio”</w:t>
      </w:r>
      <w:r>
        <w:t xml:space="preserve"> </w:t>
      </w:r>
      <w:r>
        <w:t xml:space="preserve">cujas preferências representam as de todos? A resposta curta: depende. A resposta longa é esta seção.</w:t>
      </w:r>
    </w:p>
    <w:bookmarkStart w:id="301" w:name="demanda-de-mercado"/>
    <w:p>
      <w:pPr>
        <w:pStyle w:val="Heading4"/>
      </w:pPr>
      <w:r>
        <w:t xml:space="preserve">6.7.1 Demanda de mercado</w:t>
      </w:r>
    </w:p>
    <w:p>
      <w:pPr>
        <w:pStyle w:val="FirstParagraph"/>
      </w:pPr>
      <w:r>
        <w:t xml:space="preserve">[FIGURA INTERATIVA: /micro-book/graficos/cap06/agregacao-demandas.html — versao interativa disponivel online]</w:t>
      </w:r>
    </w:p>
    <w:p>
      <w:pPr>
        <w:pStyle w:val="BodyText"/>
      </w:pPr>
      <w:r>
        <w:rPr>
          <w:b/>
          <w:bCs/>
        </w:rPr>
        <w:t xml:space="preserve">Figura 6.6 — Agregação de demandas individuais.</w:t>
      </w:r>
      <w:r>
        <w:t xml:space="preserve"> </w:t>
      </w:r>
      <w:r>
        <w:t xml:space="preserve">Três consumidores com preços de reserva diferentes. A demanda de mercado (preta, espessa) é a soma horizontal — note os</w:t>
      </w:r>
      <w:r>
        <w:t xml:space="preserve"> </w:t>
      </w:r>
      <w:r>
        <w:t xml:space="preserve">“kinks”</w:t>
      </w:r>
      <w:r>
        <w:t xml:space="preserve"> </w:t>
      </w:r>
      <w:r>
        <w:t xml:space="preserve">nos preços onde cada consumidor entra ou sai do mercado.</w:t>
      </w:r>
    </w:p>
    <w:p>
      <w:pPr>
        <w:pStyle w:val="BodyText"/>
      </w:pPr>
      <w:r>
        <w:t xml:space="preserve">A</w:t>
      </w:r>
      <w:r>
        <w:t xml:space="preserve"> </w:t>
      </w:r>
      <w:r>
        <w:rPr>
          <w:b/>
          <w:bCs/>
        </w:rPr>
        <w:t xml:space="preserve">demanda de mercado</w:t>
      </w:r>
      <w:r>
        <w:t xml:space="preserve"> </w:t>
      </w:r>
      <w:r>
        <w:t xml:space="preserve">é obtida pela soma horizontal das demandas individuais. Se há</w:t>
      </w:r>
      <w:r>
        <w:t xml:space="preserve"> </w:t>
      </w:r>
      <m:oMath>
        <m:r>
          <m:t>H</m:t>
        </m:r>
      </m:oMath>
      <w:r>
        <w:t xml:space="preserve"> </w:t>
      </w:r>
      <w:r>
        <w:t xml:space="preserve">consumidores, cada um com demanda</w:t>
      </w:r>
      <w:r>
        <w:t xml:space="preserve"> </w:t>
      </w:r>
      <m:oMath>
        <m:sSubSup>
          <m:e>
            <m:r>
              <m:t>x</m:t>
            </m:r>
          </m:e>
          <m:sub>
            <m:r>
              <m:t>i</m:t>
            </m:r>
          </m:sub>
          <m:sup>
            <m:r>
              <m:t>h</m:t>
            </m:r>
          </m:sup>
        </m:sSubSup>
        <m:r>
          <m:rPr>
            <m:sty m:val="p"/>
          </m:rPr>
          <m:t>(</m:t>
        </m:r>
        <m:sSub>
          <m:e>
            <m:r>
              <m:t>p</m:t>
            </m:r>
          </m:e>
          <m:sub>
            <m:r>
              <m:t>1</m:t>
            </m:r>
          </m:sub>
        </m:sSub>
        <m:r>
          <m:rPr>
            <m:sty m:val="p"/>
          </m:rPr>
          <m:t>,</m:t>
        </m:r>
        <m:r>
          <m:rPr>
            <m:sty m:val="p"/>
          </m:rPr>
          <m:t>…</m:t>
        </m:r>
        <m:r>
          <m:rPr>
            <m:sty m:val="p"/>
          </m:rPr>
          <m:t>,</m:t>
        </m:r>
        <m:sSub>
          <m:e>
            <m:r>
              <m:t>p</m:t>
            </m:r>
          </m:e>
          <m:sub>
            <m:r>
              <m:t>n</m:t>
            </m:r>
          </m:sub>
        </m:sSub>
        <m:r>
          <m:rPr>
            <m:sty m:val="p"/>
          </m:rPr>
          <m:t>,</m:t>
        </m:r>
        <m:sSup>
          <m:e>
            <m:r>
              <m:t>I</m:t>
            </m:r>
          </m:e>
          <m:sup>
            <m:r>
              <m:t>h</m:t>
            </m:r>
          </m:sup>
        </m:sSup>
        <m:r>
          <m:rPr>
            <m:sty m:val="p"/>
          </m:rPr>
          <m:t>)</m:t>
        </m:r>
      </m:oMath>
      <w:r>
        <w:t xml:space="preserve">, a demanda de mercado pelo bem</w:t>
      </w:r>
      <w:r>
        <w:t xml:space="preserve"> </w:t>
      </w:r>
      <m:oMath>
        <m:r>
          <m:t>i</m:t>
        </m:r>
      </m:oMath>
      <w:r>
        <w:t xml:space="preserve"> </w:t>
      </w:r>
      <w:r>
        <w:t xml:space="preserve">é:</w:t>
      </w:r>
    </w:p>
    <w:p>
      <w:pPr>
        <w:pStyle w:val="BodyText"/>
      </w:pPr>
      <m:oMathPara>
        <m:oMathParaPr>
          <m:jc m:val="center"/>
        </m:oMathParaPr>
        <m:oMath>
          <m:sSub>
            <m:e>
              <m:r>
                <m:t>X</m:t>
              </m:r>
            </m:e>
            <m:sub>
              <m:r>
                <m:t>i</m:t>
              </m:r>
            </m:sub>
          </m:sSub>
          <m:r>
            <m:rPr>
              <m:sty m:val="p"/>
            </m:rPr>
            <m:t>(</m:t>
          </m:r>
          <m:sSub>
            <m:e>
              <m:r>
                <m:t>p</m:t>
              </m:r>
            </m:e>
            <m:sub>
              <m:r>
                <m:t>1</m:t>
              </m:r>
            </m:sub>
          </m:sSub>
          <m:r>
            <m:rPr>
              <m:sty m:val="p"/>
            </m:rPr>
            <m:t>,</m:t>
          </m:r>
          <m:r>
            <m:rPr>
              <m:sty m:val="p"/>
            </m:rPr>
            <m:t>…</m:t>
          </m:r>
          <m:r>
            <m:rPr>
              <m:sty m:val="p"/>
            </m:rPr>
            <m:t>,</m:t>
          </m:r>
          <m:sSub>
            <m:e>
              <m:r>
                <m:t>p</m:t>
              </m:r>
            </m:e>
            <m:sub>
              <m:r>
                <m:t>n</m:t>
              </m:r>
            </m:sub>
          </m:sSub>
          <m:r>
            <m:rPr>
              <m:sty m:val="p"/>
            </m:rPr>
            <m:t>,</m:t>
          </m:r>
          <m:sSup>
            <m:e>
              <m:r>
                <m:t>I</m:t>
              </m:r>
            </m:e>
            <m:sup>
              <m:r>
                <m:t>1</m:t>
              </m:r>
            </m:sup>
          </m:sSup>
          <m:r>
            <m:rPr>
              <m:sty m:val="p"/>
            </m:rPr>
            <m:t>,</m:t>
          </m:r>
          <m:r>
            <m:rPr>
              <m:sty m:val="p"/>
            </m:rPr>
            <m:t>…</m:t>
          </m:r>
          <m:r>
            <m:rPr>
              <m:sty m:val="p"/>
            </m:rPr>
            <m:t>,</m:t>
          </m:r>
          <m:sSup>
            <m:e>
              <m:r>
                <m:t>I</m:t>
              </m:r>
            </m:e>
            <m:sup>
              <m:r>
                <m:t>H</m:t>
              </m:r>
            </m:sup>
          </m:sSup>
          <m:r>
            <m:rPr>
              <m:sty m:val="p"/>
            </m:rPr>
            <m:t>)</m:t>
          </m:r>
          <m:r>
            <m:rPr>
              <m:sty m:val="p"/>
            </m:rPr>
            <m:t>=</m:t>
          </m:r>
          <m:nary>
            <m:naryPr>
              <m:chr m:val="∑"/>
              <m:limLoc m:val="undOvr"/>
              <m:subHide m:val="off"/>
              <m:supHide m:val="off"/>
            </m:naryPr>
            <m:sub>
              <m:r>
                <m:t>h</m:t>
              </m:r>
              <m:r>
                <m:rPr>
                  <m:sty m:val="p"/>
                </m:rPr>
                <m:t>=</m:t>
              </m:r>
              <m:r>
                <m:t>1</m:t>
              </m:r>
            </m:sub>
            <m:sup>
              <m:r>
                <m:t>H</m:t>
              </m:r>
            </m:sup>
            <m:e>
              <m:sSubSup>
                <m:e>
                  <m:r>
                    <m:t>x</m:t>
                  </m:r>
                </m:e>
                <m:sub>
                  <m:r>
                    <m:t>i</m:t>
                  </m:r>
                </m:sub>
                <m:sup>
                  <m:r>
                    <m:t>h</m:t>
                  </m:r>
                </m:sup>
              </m:sSubSup>
            </m:e>
          </m:nary>
          <m:r>
            <m:rPr>
              <m:sty m:val="p"/>
            </m:rPr>
            <m:t>(</m:t>
          </m:r>
          <m:sSub>
            <m:e>
              <m:r>
                <m:t>p</m:t>
              </m:r>
            </m:e>
            <m:sub>
              <m:r>
                <m:t>1</m:t>
              </m:r>
            </m:sub>
          </m:sSub>
          <m:r>
            <m:rPr>
              <m:sty m:val="p"/>
            </m:rPr>
            <m:t>,</m:t>
          </m:r>
          <m:r>
            <m:rPr>
              <m:sty m:val="p"/>
            </m:rPr>
            <m:t>…</m:t>
          </m:r>
          <m:r>
            <m:rPr>
              <m:sty m:val="p"/>
            </m:rPr>
            <m:t>,</m:t>
          </m:r>
          <m:sSub>
            <m:e>
              <m:r>
                <m:t>p</m:t>
              </m:r>
            </m:e>
            <m:sub>
              <m:r>
                <m:t>n</m:t>
              </m:r>
            </m:sub>
          </m:sSub>
          <m:r>
            <m:rPr>
              <m:sty m:val="p"/>
            </m:rPr>
            <m:t>,</m:t>
          </m:r>
          <m:sSup>
            <m:e>
              <m:r>
                <m:t>I</m:t>
              </m:r>
            </m:e>
            <m:sup>
              <m:r>
                <m:t>h</m:t>
              </m:r>
            </m:sup>
          </m:sSup>
          <m:r>
            <m:rPr>
              <m:sty m:val="p"/>
            </m:rPr>
            <m:t>)</m:t>
          </m:r>
        </m:oMath>
      </m:oMathPara>
    </w:p>
    <w:bookmarkEnd w:id="301"/>
    <w:bookmarkStart w:id="303" w:name="X042cfb4f0236295146db866084120418a1ad7a0"/>
    <w:p>
      <w:pPr>
        <w:pStyle w:val="Heading4"/>
      </w:pPr>
      <w:r>
        <w:t xml:space="preserve">6.7.2 Condições para uma demanda de mercado</w:t>
      </w:r>
      <w:r>
        <w:t xml:space="preserve"> </w:t>
      </w:r>
      <w:r>
        <w:t xml:space="preserve">“bem-comportada”</w:t>
      </w:r>
    </w:p>
    <w:p>
      <w:pPr>
        <w:pStyle w:val="FirstParagraph"/>
      </w:pPr>
      <w:r>
        <w:t xml:space="preserve">A soma horizontal parece inocente, mas esconde uma armadilha. A simples soma de demandas individuais racionais não garante que a demanda agregada se comporte como se fosse gerada por um</w:t>
      </w:r>
      <w:r>
        <w:t xml:space="preserve"> </w:t>
      </w:r>
      <w:r>
        <w:t xml:space="preserve">“consumidor representativo”</w:t>
      </w:r>
      <w:r>
        <w:t xml:space="preserve">. Sob que condições podemos ignorar a distribuição de renda e trabalhar apenas com a renda total? Para isso, são necessárias condições adicionais:</w:t>
      </w:r>
    </w:p>
    <w:p>
      <w:pPr>
        <w:pStyle w:val="BlockText"/>
      </w:pPr>
      <w:r>
        <w:rPr>
          <w:b/>
          <w:bCs/>
        </w:rPr>
        <w:t xml:space="preserve">[DEFINICAO] Condição de Gorman</w:t>
      </w:r>
    </w:p>
    <w:p>
      <w:pPr>
        <w:pStyle w:val="BlockText"/>
      </w:pPr>
      <w:r>
        <w:t xml:space="preserve">A demanda de mercado pode ser escrita como função de preços e renda</w:t>
      </w:r>
      <w:r>
        <w:t xml:space="preserve"> </w:t>
      </w:r>
      <w:r>
        <w:rPr>
          <w:b/>
          <w:bCs/>
        </w:rPr>
        <w:t xml:space="preserve">agregada</w:t>
      </w:r>
      <w:r>
        <w:t xml:space="preserve"> </w:t>
      </w:r>
      <m:oMath>
        <m:r>
          <m:t>I</m:t>
        </m:r>
        <m:r>
          <m:rPr>
            <m:sty m:val="p"/>
          </m:rPr>
          <m:t>=</m:t>
        </m:r>
        <m:nary>
          <m:naryPr>
            <m:chr m:val="∑"/>
            <m:limLoc m:val="undOvr"/>
            <m:subHide m:val="off"/>
            <m:supHide m:val="on"/>
          </m:naryPr>
          <m:sub>
            <m:r>
              <m:t>h</m:t>
            </m:r>
          </m:sub>
          <m:sup>
            <m:r>
              <m:t>​</m:t>
            </m:r>
          </m:sup>
          <m:e>
            <m:sSup>
              <m:e>
                <m:r>
                  <m:t>I</m:t>
                </m:r>
              </m:e>
              <m:sup>
                <m:r>
                  <m:t>h</m:t>
                </m:r>
              </m:sup>
            </m:sSup>
          </m:e>
        </m:nary>
      </m:oMath>
      <w:r>
        <w:t xml:space="preserve"> </w:t>
      </w:r>
      <w:r>
        <w:t xml:space="preserve">se, e somente se, todas as curvas de Engel individuais forem lineares e paralelas.</w:t>
      </w:r>
      <w:r>
        <w:rPr>
          <w:rStyle w:val="FootnoteReference"/>
        </w:rPr>
        <w:footnoteReference w:id="302"/>
      </w:r>
      <w:r>
        <w:t xml:space="preserve"> </w:t>
      </w:r>
      <w:r>
        <w:t xml:space="preserve">Isso ocorre quando as preferências são</w:t>
      </w:r>
      <w:r>
        <w:t xml:space="preserve"> </w:t>
      </w:r>
      <w:r>
        <w:rPr>
          <w:b/>
          <w:bCs/>
        </w:rPr>
        <w:t xml:space="preserve">quase-homotéticas</w:t>
      </w:r>
      <w:r>
        <w:t xml:space="preserve"> </w:t>
      </w:r>
      <w:r>
        <w:t xml:space="preserve">(preferências homotéticas mais uma translação) ou, de modo mais geral, quando as funções de utilidade indireta têm a forma de Gorman:</w:t>
      </w:r>
    </w:p>
    <w:p>
      <w:pPr>
        <w:pStyle w:val="BlockText"/>
      </w:pPr>
      <w:r>
        <w:t xml:space="preserve">$$</w:t>
      </w:r>
    </w:p>
    <w:p>
      <w:pPr>
        <w:pStyle w:val="BlockText"/>
      </w:pPr>
      <w:r>
        <w:t xml:space="preserve">V^h(</w:t>
      </w:r>
      <w:r>
        <w:t xml:space="preserve">, I^h) = a(</w:t>
      </w:r>
      <w:r>
        <w:t xml:space="preserve">) + b(</w:t>
      </w:r>
      <w:r>
        <w:t xml:space="preserve">)</w:t>
      </w:r>
      <w:r>
        <w:t xml:space="preserve"> </w:t>
      </w:r>
      <w:r>
        <w:t xml:space="preserve">I^h</w:t>
      </w:r>
      <w:r>
        <w:t xml:space="preserve"> </w:t>
      </w:r>
      <w:r>
        <w:t xml:space="preserve"> </w:t>
      </w:r>
    </w:p>
    <w:p>
      <w:pPr>
        <w:pStyle w:val="BlockText"/>
      </w:pPr>
      <w:r>
        <w:t xml:space="preserve">$$</w:t>
      </w:r>
    </w:p>
    <w:p>
      <w:pPr>
        <w:pStyle w:val="BlockText"/>
      </w:pPr>
      <w:r>
        <w:t xml:space="preserve">onde</w:t>
      </w:r>
      <w:r>
        <w:t xml:space="preserve"> </w:t>
      </w:r>
      <m:oMath>
        <m:r>
          <m:t>a</m:t>
        </m:r>
        <m:r>
          <m:rPr>
            <m:sty m:val="p"/>
          </m:rPr>
          <m:t>(</m:t>
        </m:r>
        <m:r>
          <m:rPr>
            <m:sty m:val="bi"/>
          </m:rPr>
          <m:t>p</m:t>
        </m:r>
        <m:r>
          <m:rPr>
            <m:sty m:val="p"/>
          </m:rPr>
          <m:t>)</m:t>
        </m:r>
      </m:oMath>
      <w:r>
        <w:t xml:space="preserve"> </w:t>
      </w:r>
      <w:r>
        <w:t xml:space="preserve">e</w:t>
      </w:r>
      <w:r>
        <w:t xml:space="preserve"> </w:t>
      </w:r>
      <m:oMath>
        <m:r>
          <m:t>b</m:t>
        </m:r>
        <m:r>
          <m:rPr>
            <m:sty m:val="p"/>
          </m:rPr>
          <m:t>(</m:t>
        </m:r>
        <m:r>
          <m:rPr>
            <m:sty m:val="bi"/>
          </m:rPr>
          <m:t>p</m:t>
        </m:r>
        <m:r>
          <m:rPr>
            <m:sty m:val="p"/>
          </m:rPr>
          <m:t>)</m:t>
        </m:r>
      </m:oMath>
      <w:r>
        <w:t xml:space="preserve"> </w:t>
      </w:r>
      <w:r>
        <w:t xml:space="preserve">são comuns a todos os consumidores.</w:t>
      </w:r>
    </w:p>
    <w:p>
      <w:pPr>
        <w:pStyle w:val="FirstParagraph"/>
      </w:pPr>
      <w:r>
        <w:t xml:space="preserve">Quando a condição de Gorman não é satisfeita, a demanda de mercado depende da</w:t>
      </w:r>
      <w:r>
        <w:t xml:space="preserve"> </w:t>
      </w:r>
      <w:r>
        <w:rPr>
          <w:b/>
          <w:bCs/>
        </w:rPr>
        <w:t xml:space="preserve">distribuição de renda</w:t>
      </w:r>
      <w:r>
        <w:t xml:space="preserve">, não apenas da renda total. Isso tem implicações profundas para a política econômica: transferências de renda (como o Bolsa Família / Auxílio Brasil) alteram a demanda agregada mesmo que a renda total permaneça constante.</w:t>
      </w:r>
    </w:p>
    <w:p>
      <w:pPr>
        <w:pStyle w:val="BodyText"/>
      </w:pPr>
      <w:r>
        <w:t xml:space="preserve">Vale notar que a condição de Gorman é bastante restritiva: ela exige não apenas que as curvas de Engel individuais sejam lineares, mas que todas as famílias tenham a mesma propensão marginal a consumir cada bem (o coeficiente</w:t>
      </w:r>
      <w:r>
        <w:t xml:space="preserve"> </w:t>
      </w:r>
      <m:oMath>
        <m:r>
          <m:t>b</m:t>
        </m:r>
        <m:r>
          <m:rPr>
            <m:sty m:val="p"/>
          </m:rPr>
          <m:t>(</m:t>
        </m:r>
        <m:r>
          <m:rPr>
            <m:sty m:val="bi"/>
          </m:rPr>
          <m:t>p</m:t>
        </m:r>
        <m:r>
          <m:rPr>
            <m:sty m:val="p"/>
          </m:rPr>
          <m:t>)</m:t>
        </m:r>
      </m:oMath>
      <w:r>
        <w:t xml:space="preserve"> </w:t>
      </w:r>
      <w:r>
        <w:t xml:space="preserve">deve ser idêntico para todos). Na prática, essa hipótese é quase sempre violada. Família de alta renda e família de baixa renda têm propensões marginais a consumir alimentos, transporte e lazer completamente distintas — reflexo de suas estruturas de preferências, mas também de restrições de crédito, hábitos de consumo e acesso diferenciado a mercados. A evidência empírica, tanto no Brasil quanto internacionalmente, rejeita sistematicamente a condição de Gorman quando testada diretamente sobre dados de consumo domiciliar.</w:t>
      </w:r>
    </w:p>
    <w:p>
      <w:pPr>
        <w:pStyle w:val="BodyText"/>
      </w:pPr>
      <w:r>
        <w:t xml:space="preserve">Isso não significa que o conceito de consumidor representativo seja inútil — modelos macroeconômicos com consumidor representativo continuam sendo ferramentas analíticas poderosas. Mas o economista deve estar consciente de que esses modelos impõem implicitamente a condição de Gorman, e que suas previsões sobre os efeitos distributivos de políticas econômicas serão sistematicamente tendenciosas quando essa condição é violada. A falha de Gorman implica que não é possível separar a análise de eficiência (tamanho do bolo) da análise distributiva (divisão do bolo) — ambas interagem de forma inextricável na determinação da demanda de mercado.</w:t>
      </w:r>
    </w:p>
    <w:p>
      <w:pPr>
        <w:pStyle w:val="BlockText"/>
      </w:pPr>
      <w:r>
        <w:rPr>
          <w:b/>
          <w:bCs/>
        </w:rPr>
        <w:t xml:space="preserve">[BOX BRASIL] Box Brasil 6.3: Distribuição de renda e demanda agregada</w:t>
      </w:r>
    </w:p>
    <w:p>
      <w:pPr>
        <w:pStyle w:val="BlockText"/>
      </w:pPr>
      <w:r>
        <w:t xml:space="preserve">O programa Bolsa Família, que em 2024 atendia cerca de 21 milhões de famílias, ilustra por que a condição de Gorman importa na prática. As famílias beneficiárias têm propensões marginais a consumir alimentos, gás de cozinha e vestuário muito superiores às das famílias de renda mais alta. Segundo dados da POF/IBGE 2017-2018, famílias com renda per capita de até 1 salário mínimo destinam cerca de 22% do orçamento a alimentação, enquanto famílias com renda acima de 15 salários mínimos destinam cerca de 7,6%.</w:t>
      </w:r>
    </w:p>
    <w:p>
      <w:pPr>
        <w:pStyle w:val="BlockText"/>
      </w:pPr>
      <w:r>
        <w:t xml:space="preserve">Se as curvas de Engel fossem lineares e paralelas (condição de Gorman), transferir R$ 1 de uma família rica para uma pobre não alteraria a demanda agregada por nenhum bem — apenas a composição individual mudaria. Mas como as curvas de Engel diferem entre classes de renda, a redistribuição aumenta a demanda agregada por alimentos básicos e reduz a demanda por bens de luxo, mesmo com renda total constante. A elasticidade-renda da demanda por alimentos é substancialmente maior nas classes de renda mais baixa.</w:t>
      </w:r>
    </w:p>
    <w:p>
      <w:pPr>
        <w:pStyle w:val="BlockText"/>
      </w:pPr>
      <w:r>
        <w:rPr>
          <w:b/>
          <w:bCs/>
        </w:rPr>
        <w:t xml:space="preserve">[INTUICAO ECONOMICA] Intuição Econômica</w:t>
      </w:r>
    </w:p>
    <w:p>
      <w:pPr>
        <w:pStyle w:val="BlockText"/>
      </w:pPr>
      <w:r>
        <w:rPr>
          <w:b/>
          <w:bCs/>
        </w:rPr>
        <w:t xml:space="preserve">Em uma frase:</w:t>
      </w:r>
      <w:r>
        <w:t xml:space="preserve"> </w:t>
      </w:r>
      <w:r>
        <w:t xml:space="preserve">A demanda de mercado não depende só da renda total do país, mas de como essa renda é distribuída entre as famílias.</w:t>
      </w:r>
    </w:p>
    <w:p>
      <w:pPr>
        <w:pStyle w:val="BlockText"/>
      </w:pPr>
      <w:r>
        <w:rPr>
          <w:b/>
          <w:bCs/>
        </w:rPr>
        <w:t xml:space="preserve">Pense assim:</w:t>
      </w:r>
      <w:r>
        <w:t xml:space="preserve"> </w:t>
      </w:r>
      <w:r>
        <w:t xml:space="preserve">Se o Brasil tem um PIB de R$ 10 trilhões, a demanda agregada por arroz e feijão seria muito diferente caso essa renda estivesse dividida igualmente entre todos ou concentrada em poucos milionários. Famílias de baixa renda gastam proporcionalmente mais com alimentos básicos. Por isso, programas como o Bolsa Família alteram a composição da demanda agregada mesmo sem mudar a renda total — redistribuir é realocar demanda.</w:t>
      </w:r>
    </w:p>
    <w:p>
      <w:pPr>
        <w:pStyle w:val="BlockText"/>
      </w:pPr>
      <w:r>
        <w:rPr>
          <w:b/>
          <w:bCs/>
        </w:rPr>
        <w:t xml:space="preserve">Por que isso importa:</w:t>
      </w:r>
      <w:r>
        <w:t xml:space="preserve"> </w:t>
      </w:r>
      <w:r>
        <w:t xml:space="preserve">Ignorar a distribuição de renda ao prever a demanda de mercado pode levar a erros graves em planejamento de produção agrícola, política tributária e avaliação de programas sociais.</w:t>
      </w:r>
    </w:p>
    <w:bookmarkEnd w:id="303"/>
    <w:bookmarkStart w:id="304" w:name="propriedades-da-demanda-de-mercado"/>
    <w:p>
      <w:pPr>
        <w:pStyle w:val="Heading4"/>
      </w:pPr>
      <w:r>
        <w:t xml:space="preserve">6.7.3 Propriedades da demanda de mercado</w:t>
      </w:r>
    </w:p>
    <w:p>
      <w:pPr>
        <w:pStyle w:val="FirstParagraph"/>
      </w:pPr>
      <w:r>
        <w:t xml:space="preserve">Quando a condição de Gorman não é satisfeita — e a evidência empírica sugere que raramente o é —, a demanda de mercado perde a elegância da teoria individual. Ainda assim, mesmo sem um consumidor representativo, a demanda de mercado preserva algumas propriedades:</w:t>
      </w:r>
    </w:p>
    <w:p>
      <w:pPr>
        <w:pStyle w:val="Compact"/>
        <w:numPr>
          <w:ilvl w:val="0"/>
          <w:numId w:val="1270"/>
        </w:numPr>
      </w:pPr>
      <w:r>
        <w:rPr>
          <w:b/>
          <w:bCs/>
        </w:rPr>
        <w:t xml:space="preserve">Homogeneidade de grau zero</w:t>
      </w:r>
      <w:r>
        <w:t xml:space="preserve"> </w:t>
      </w:r>
      <w:r>
        <w:t xml:space="preserve">em preços e rendas (se cada demanda individual for homogênea de grau zero).</w:t>
      </w:r>
    </w:p>
    <w:p>
      <w:pPr>
        <w:pStyle w:val="Compact"/>
        <w:numPr>
          <w:ilvl w:val="0"/>
          <w:numId w:val="1270"/>
        </w:numPr>
      </w:pPr>
      <w:r>
        <w:rPr>
          <w:b/>
          <w:bCs/>
        </w:rPr>
        <w:t xml:space="preserve">Agregação de Engel</w:t>
      </w:r>
      <w:r>
        <w:t xml:space="preserve">:</w:t>
      </w:r>
      <w:r>
        <w:t xml:space="preserve"> </w:t>
      </w:r>
      <m:oMath>
        <m:nary>
          <m:naryPr>
            <m:chr m:val="∑"/>
            <m:limLoc m:val="undOvr"/>
            <m:subHide m:val="off"/>
            <m:supHide m:val="on"/>
          </m:naryPr>
          <m:sub>
            <m:r>
              <m:t>i</m:t>
            </m:r>
          </m:sub>
          <m:sup>
            <m:r>
              <m:t>​</m:t>
            </m:r>
          </m:sup>
          <m:e>
            <m:sSub>
              <m:e>
                <m:r>
                  <m:t>w</m:t>
                </m:r>
              </m:e>
              <m:sub>
                <m:r>
                  <m:t>i</m:t>
                </m:r>
              </m:sub>
            </m:sSub>
          </m:e>
        </m:nary>
        <m:sSub>
          <m:e>
            <m:r>
              <m:t>ε</m:t>
            </m:r>
          </m:e>
          <m:sub>
            <m:sSub>
              <m:e>
                <m:r>
                  <m:t>X</m:t>
                </m:r>
              </m:e>
              <m:sub>
                <m:r>
                  <m:t>i</m:t>
                </m:r>
              </m:sub>
            </m:sSub>
            <m:r>
              <m:rPr>
                <m:sty m:val="p"/>
              </m:rPr>
              <m:t>,</m:t>
            </m:r>
            <m:r>
              <m:t>I</m:t>
            </m:r>
          </m:sub>
        </m:sSub>
        <m:r>
          <m:rPr>
            <m:sty m:val="p"/>
          </m:rPr>
          <m:t>=</m:t>
        </m:r>
        <m:r>
          <m:t>1</m:t>
        </m:r>
      </m:oMath>
      <w:r>
        <w:t xml:space="preserve">, onde</w:t>
      </w:r>
      <w:r>
        <w:t xml:space="preserve"> </w:t>
      </w:r>
      <m:oMath>
        <m:sSub>
          <m:e>
            <m:r>
              <m:t>w</m:t>
            </m:r>
          </m:e>
          <m:sub>
            <m:r>
              <m:t>i</m:t>
            </m:r>
          </m:sub>
        </m:sSub>
      </m:oMath>
      <w:r>
        <w:t xml:space="preserve"> </w:t>
      </w:r>
      <w:r>
        <w:t xml:space="preserve">é a parcela orçamentária agregada.</w:t>
      </w:r>
    </w:p>
    <w:p>
      <w:pPr>
        <w:pStyle w:val="Compact"/>
        <w:numPr>
          <w:ilvl w:val="0"/>
          <w:numId w:val="1270"/>
        </w:numPr>
      </w:pPr>
      <w:r>
        <w:rPr>
          <w:b/>
          <w:bCs/>
        </w:rPr>
        <w:t xml:space="preserve">A Lei da Demanda vale</w:t>
      </w:r>
      <w:r>
        <w:rPr>
          <w:b/>
          <w:bCs/>
        </w:rPr>
        <w:t xml:space="preserve"> </w:t>
      </w:r>
      <w:r>
        <w:rPr>
          <w:b/>
          <w:bCs/>
        </w:rPr>
        <w:t xml:space="preserve">“em média”</w:t>
      </w:r>
      <w:r>
        <w:t xml:space="preserve">: embora bens de Giffen possam existir individualmente, eles tendem a desaparecer na agregação, pois diferentes consumidores estão em pontos distintos de suas curvas de Engel.</w:t>
      </w:r>
    </w:p>
    <w:p>
      <w:pPr>
        <w:pStyle w:val="BlockText"/>
      </w:pPr>
      <w:r>
        <w:rPr>
          <w:b/>
          <w:bCs/>
        </w:rPr>
        <w:t xml:space="preserve">[NOTA] Suavização pela agregação</w:t>
      </w:r>
    </w:p>
    <w:p>
      <w:pPr>
        <w:pStyle w:val="BlockText"/>
      </w:pPr>
      <w:r>
        <w:t xml:space="preserve">A agregação tende a</w:t>
      </w:r>
      <w:r>
        <w:t xml:space="preserve"> </w:t>
      </w:r>
      <w:r>
        <w:t xml:space="preserve">“suavizar”</w:t>
      </w:r>
      <w:r>
        <w:t xml:space="preserve"> </w:t>
      </w:r>
      <w:r>
        <w:t xml:space="preserve">irregularidades individuais. Mesmo que consumidores individuais tenham demandas com descontinuidades (por exemplo, escolhas discretas entre marcas), a demanda de mercado pode ser bem aproximada por uma função contínua e diferenciável, desde que haja heterogeneidade suficiente entre consumidores.</w:t>
      </w:r>
    </w:p>
    <w:p>
      <w:pPr>
        <w:pStyle w:val="BlockText"/>
      </w:pPr>
      <w:r>
        <w:rPr>
          <w:b/>
          <w:bCs/>
        </w:rPr>
        <w:t xml:space="preserve">[EXERCICIO RESOLVIDO] Exercício Resolvido 6.3 — Agregação e a condição de Gorman</w:t>
      </w:r>
    </w:p>
    <w:p>
      <w:pPr>
        <w:pStyle w:val="BlockText"/>
      </w:pPr>
      <w:r>
        <w:rPr>
          <w:b/>
          <w:bCs/>
        </w:rPr>
        <w:t xml:space="preserve">Enunciado.</w:t>
      </w:r>
      <w:r>
        <w:t xml:space="preserve"> </w:t>
      </w:r>
      <w:r>
        <w:t xml:space="preserve">Em uma economia há dois consumidores com as seguintes demandas pelo bem 1:</w:t>
      </w:r>
    </w:p>
    <w:p>
      <w:pPr>
        <w:pStyle w:val="Compact"/>
        <w:numPr>
          <w:ilvl w:val="0"/>
          <w:numId w:val="1271"/>
        </w:numPr>
      </w:pPr>
      <w:r>
        <w:t xml:space="preserve">Consumidor A:</w:t>
      </w:r>
      <w:r>
        <w:t xml:space="preserve"> </w:t>
      </w:r>
      <m:oMath>
        <m:sSubSup>
          <m:e>
            <m:r>
              <m:t>x</m:t>
            </m:r>
          </m:e>
          <m:sub>
            <m:r>
              <m:t>1</m:t>
            </m:r>
          </m:sub>
          <m:sup>
            <m:r>
              <m:t>A</m:t>
            </m:r>
          </m:sup>
        </m:sSubSup>
        <m:r>
          <m:rPr>
            <m:sty m:val="p"/>
          </m:rPr>
          <m:t>=</m:t>
        </m:r>
        <m:f>
          <m:fPr>
            <m:type m:val="bar"/>
          </m:fPr>
          <m:num>
            <m:sSup>
              <m:e>
                <m:r>
                  <m:t>I</m:t>
                </m:r>
              </m:e>
              <m:sup>
                <m:r>
                  <m:t>A</m:t>
                </m:r>
              </m:sup>
            </m:sSup>
          </m:num>
          <m:den>
            <m:r>
              <m:t>2</m:t>
            </m:r>
            <m:sSub>
              <m:e>
                <m:r>
                  <m:t>p</m:t>
                </m:r>
              </m:e>
              <m:sub>
                <m:r>
                  <m:t>1</m:t>
                </m:r>
              </m:sub>
            </m:sSub>
          </m:den>
        </m:f>
      </m:oMath>
    </w:p>
    <w:p>
      <w:pPr>
        <w:pStyle w:val="Compact"/>
        <w:numPr>
          <w:ilvl w:val="0"/>
          <w:numId w:val="1271"/>
        </w:numPr>
      </w:pPr>
      <w:r>
        <w:t xml:space="preserve">Consumidor B:</w:t>
      </w:r>
      <w:r>
        <w:t xml:space="preserve"> </w:t>
      </w:r>
      <m:oMath>
        <m:sSubSup>
          <m:e>
            <m:r>
              <m:t>x</m:t>
            </m:r>
          </m:e>
          <m:sub>
            <m:r>
              <m:t>1</m:t>
            </m:r>
          </m:sub>
          <m:sup>
            <m:r>
              <m:t>B</m:t>
            </m:r>
          </m:sup>
        </m:sSubSup>
        <m:r>
          <m:rPr>
            <m:sty m:val="p"/>
          </m:rPr>
          <m:t>=</m:t>
        </m:r>
        <m:f>
          <m:fPr>
            <m:type m:val="bar"/>
          </m:fPr>
          <m:num>
            <m:sSup>
              <m:e>
                <m:r>
                  <m:t>I</m:t>
                </m:r>
              </m:e>
              <m:sup>
                <m:r>
                  <m:t>B</m:t>
                </m:r>
              </m:sup>
            </m:sSup>
          </m:num>
          <m:den>
            <m:r>
              <m:t>3</m:t>
            </m:r>
            <m:sSub>
              <m:e>
                <m:r>
                  <m:t>p</m:t>
                </m:r>
              </m:e>
              <m:sub>
                <m:r>
                  <m:t>1</m:t>
                </m:r>
              </m:sub>
            </m:sSub>
          </m:den>
        </m:f>
      </m:oMath>
    </w:p>
    <w:p>
      <w:pPr>
        <w:pStyle w:val="BlockText"/>
        <w:numPr>
          <w:ilvl w:val="0"/>
          <w:numId w:val="1272"/>
        </w:numPr>
      </w:pPr>
      <w:r>
        <w:t xml:space="preserve">Verifique se a condição de Gorman é satisfeita.</w:t>
      </w:r>
    </w:p>
    <w:p>
      <w:pPr>
        <w:pStyle w:val="BlockText"/>
        <w:numPr>
          <w:ilvl w:val="0"/>
          <w:numId w:val="1272"/>
        </w:numPr>
      </w:pPr>
      <w:r>
        <w:t xml:space="preserve">A demanda agregada pode ser escrita como função da renda total?</w:t>
      </w:r>
    </w:p>
    <w:p>
      <w:pPr>
        <w:pStyle w:val="BlockText"/>
        <w:numPr>
          <w:ilvl w:val="0"/>
          <w:numId w:val="1272"/>
        </w:numPr>
      </w:pPr>
      <w:r>
        <w:t xml:space="preserve">Mostre que uma redistribuição de renda entre A e B altera a demanda de mercado.</w:t>
      </w:r>
    </w:p>
    <w:p>
      <w:pPr>
        <w:pStyle w:val="BlockText"/>
      </w:pPr>
      <w:r>
        <w:rPr>
          <w:b/>
          <w:bCs/>
        </w:rPr>
        <w:t xml:space="preserve">Solução.</w:t>
      </w:r>
    </w:p>
    <w:p>
      <w:pPr>
        <w:pStyle w:val="BlockText"/>
      </w:pPr>
      <w:r>
        <w:rPr>
          <w:b/>
          <w:bCs/>
        </w:rPr>
        <w:t xml:space="preserve">(a)</w:t>
      </w:r>
      <w:r>
        <w:t xml:space="preserve"> </w:t>
      </w:r>
      <w:r>
        <w:t xml:space="preserve">A condição de Gorman exige curvas de Engel lineares e paralelas. A curva de Engel do consumidor</w:t>
      </w:r>
      <w:r>
        <w:t xml:space="preserve"> </w:t>
      </w:r>
      <m:oMath>
        <m:r>
          <m:t>h</m:t>
        </m:r>
      </m:oMath>
      <w:r>
        <w:t xml:space="preserve"> </w:t>
      </w:r>
      <w:r>
        <w:t xml:space="preserve">relaciona</w:t>
      </w:r>
      <w:r>
        <w:t xml:space="preserve"> </w:t>
      </w:r>
      <m:oMath>
        <m:sSubSup>
          <m:e>
            <m:r>
              <m:t>x</m:t>
            </m:r>
          </m:e>
          <m:sub>
            <m:r>
              <m:t>1</m:t>
            </m:r>
          </m:sub>
          <m:sup>
            <m:r>
              <m:t>h</m:t>
            </m:r>
          </m:sup>
        </m:sSubSup>
      </m:oMath>
      <w:r>
        <w:t xml:space="preserve"> </w:t>
      </w:r>
      <w:r>
        <w:t xml:space="preserve">a</w:t>
      </w:r>
      <w:r>
        <w:t xml:space="preserve"> </w:t>
      </w:r>
      <m:oMath>
        <m:sSup>
          <m:e>
            <m:r>
              <m:t>I</m:t>
            </m:r>
          </m:e>
          <m:sup>
            <m:r>
              <m:t>h</m:t>
            </m:r>
          </m:sup>
        </m:sSup>
      </m:oMath>
      <w:r>
        <w:t xml:space="preserve"> </w:t>
      </w:r>
      <w:r>
        <w:t xml:space="preserve">(a preços fixos):</w:t>
      </w:r>
    </w:p>
    <w:p>
      <w:pPr>
        <w:pStyle w:val="Compact"/>
        <w:numPr>
          <w:ilvl w:val="0"/>
          <w:numId w:val="1273"/>
        </w:numPr>
      </w:pPr>
      <w:r>
        <w:t xml:space="preserve">Consumidor A:</w:t>
      </w:r>
      <w:r>
        <w:t xml:space="preserve"> </w:t>
      </w:r>
      <m:oMath>
        <m:sSubSup>
          <m:e>
            <m:r>
              <m:t>x</m:t>
            </m:r>
          </m:e>
          <m:sub>
            <m:r>
              <m:t>1</m:t>
            </m:r>
          </m:sub>
          <m:sup>
            <m:r>
              <m:t>A</m:t>
            </m:r>
          </m:sup>
        </m:sSubSup>
        <m:r>
          <m:rPr>
            <m:sty m:val="p"/>
          </m:rPr>
          <m:t>=</m:t>
        </m:r>
        <m:f>
          <m:fPr>
            <m:type m:val="bar"/>
          </m:fPr>
          <m:num>
            <m:r>
              <m:t>1</m:t>
            </m:r>
          </m:num>
          <m:den>
            <m:r>
              <m:t>2</m:t>
            </m:r>
            <m:sSub>
              <m:e>
                <m:r>
                  <m:t>p</m:t>
                </m:r>
              </m:e>
              <m:sub>
                <m:r>
                  <m:t>1</m:t>
                </m:r>
              </m:sub>
            </m:sSub>
          </m:den>
        </m:f>
        <m:r>
          <m:rPr>
            <m:sty m:val="p"/>
          </m:rPr>
          <m:t>⋅</m:t>
        </m:r>
        <m:sSup>
          <m:e>
            <m:r>
              <m:t>I</m:t>
            </m:r>
          </m:e>
          <m:sup>
            <m:r>
              <m:t>A</m:t>
            </m:r>
          </m:sup>
        </m:sSup>
      </m:oMath>
      <w:r>
        <w:t xml:space="preserve"> </w:t>
      </w:r>
      <w:r>
        <w:t xml:space="preserve">— linear, com coeficiente angular</w:t>
      </w:r>
      <w:r>
        <w:t xml:space="preserve"> </w:t>
      </w:r>
      <m:oMath>
        <m:f>
          <m:fPr>
            <m:type m:val="bar"/>
          </m:fPr>
          <m:num>
            <m:r>
              <m:t>1</m:t>
            </m:r>
          </m:num>
          <m:den>
            <m:r>
              <m:t>2</m:t>
            </m:r>
            <m:sSub>
              <m:e>
                <m:r>
                  <m:t>p</m:t>
                </m:r>
              </m:e>
              <m:sub>
                <m:r>
                  <m:t>1</m:t>
                </m:r>
              </m:sub>
            </m:sSub>
          </m:den>
        </m:f>
      </m:oMath>
      <w:r>
        <w:t xml:space="preserve">.</w:t>
      </w:r>
    </w:p>
    <w:p>
      <w:pPr>
        <w:pStyle w:val="Compact"/>
        <w:numPr>
          <w:ilvl w:val="0"/>
          <w:numId w:val="1273"/>
        </w:numPr>
      </w:pPr>
      <w:r>
        <w:t xml:space="preserve">Consumidor B:</w:t>
      </w:r>
      <w:r>
        <w:t xml:space="preserve"> </w:t>
      </w:r>
      <m:oMath>
        <m:sSubSup>
          <m:e>
            <m:r>
              <m:t>x</m:t>
            </m:r>
          </m:e>
          <m:sub>
            <m:r>
              <m:t>1</m:t>
            </m:r>
          </m:sub>
          <m:sup>
            <m:r>
              <m:t>B</m:t>
            </m:r>
          </m:sup>
        </m:sSubSup>
        <m:r>
          <m:rPr>
            <m:sty m:val="p"/>
          </m:rPr>
          <m:t>=</m:t>
        </m:r>
        <m:f>
          <m:fPr>
            <m:type m:val="bar"/>
          </m:fPr>
          <m:num>
            <m:r>
              <m:t>1</m:t>
            </m:r>
          </m:num>
          <m:den>
            <m:r>
              <m:t>3</m:t>
            </m:r>
            <m:sSub>
              <m:e>
                <m:r>
                  <m:t>p</m:t>
                </m:r>
              </m:e>
              <m:sub>
                <m:r>
                  <m:t>1</m:t>
                </m:r>
              </m:sub>
            </m:sSub>
          </m:den>
        </m:f>
        <m:r>
          <m:rPr>
            <m:sty m:val="p"/>
          </m:rPr>
          <m:t>⋅</m:t>
        </m:r>
        <m:sSup>
          <m:e>
            <m:r>
              <m:t>I</m:t>
            </m:r>
          </m:e>
          <m:sup>
            <m:r>
              <m:t>B</m:t>
            </m:r>
          </m:sup>
        </m:sSup>
      </m:oMath>
      <w:r>
        <w:t xml:space="preserve"> </w:t>
      </w:r>
      <w:r>
        <w:t xml:space="preserve">— linear, com coeficiente angular</w:t>
      </w:r>
      <w:r>
        <w:t xml:space="preserve"> </w:t>
      </w:r>
      <m:oMath>
        <m:f>
          <m:fPr>
            <m:type m:val="bar"/>
          </m:fPr>
          <m:num>
            <m:r>
              <m:t>1</m:t>
            </m:r>
          </m:num>
          <m:den>
            <m:r>
              <m:t>3</m:t>
            </m:r>
            <m:sSub>
              <m:e>
                <m:r>
                  <m:t>p</m:t>
                </m:r>
              </m:e>
              <m:sub>
                <m:r>
                  <m:t>1</m:t>
                </m:r>
              </m:sub>
            </m:sSub>
          </m:den>
        </m:f>
      </m:oMath>
      <w:r>
        <w:t xml:space="preserve">.</w:t>
      </w:r>
    </w:p>
    <w:p>
      <w:pPr>
        <w:pStyle w:val="BlockText"/>
      </w:pPr>
      <w:r>
        <w:t xml:space="preserve">As curvas de Engel são lineares mas</w:t>
      </w:r>
      <w:r>
        <w:t xml:space="preserve"> </w:t>
      </w:r>
      <w:r>
        <w:rPr>
          <w:b/>
          <w:bCs/>
        </w:rPr>
        <w:t xml:space="preserve">não paralelas</w:t>
      </w:r>
      <w:r>
        <w:t xml:space="preserve"> </w:t>
      </w:r>
      <w:r>
        <w:t xml:space="preserve">(coeficientes angulares distintos:</w:t>
      </w:r>
      <w:r>
        <w:t xml:space="preserve"> </w:t>
      </w:r>
      <m:oMath>
        <m:r>
          <m:t>1</m:t>
        </m:r>
        <m:r>
          <m:rPr>
            <m:sty m:val="p"/>
          </m:rPr>
          <m:t>/</m:t>
        </m:r>
        <m:r>
          <m:t>2</m:t>
        </m:r>
        <m:sSub>
          <m:e>
            <m:r>
              <m:t>p</m:t>
            </m:r>
          </m:e>
          <m:sub>
            <m:r>
              <m:t>1</m:t>
            </m:r>
          </m:sub>
        </m:sSub>
        <m:r>
          <m:rPr>
            <m:sty m:val="p"/>
          </m:rPr>
          <m:t>≠</m:t>
        </m:r>
        <m:r>
          <m:t>1</m:t>
        </m:r>
        <m:r>
          <m:rPr>
            <m:sty m:val="p"/>
          </m:rPr>
          <m:t>/</m:t>
        </m:r>
        <m:r>
          <m:t>3</m:t>
        </m:r>
        <m:sSub>
          <m:e>
            <m:r>
              <m:t>p</m:t>
            </m:r>
          </m:e>
          <m:sub>
            <m:r>
              <m:t>1</m:t>
            </m:r>
          </m:sub>
        </m:sSub>
      </m:oMath>
      <w:r>
        <w:t xml:space="preserve">). A condição de Gorman</w:t>
      </w:r>
      <w:r>
        <w:t xml:space="preserve"> </w:t>
      </w:r>
      <w:r>
        <w:rPr>
          <w:b/>
          <w:bCs/>
        </w:rPr>
        <w:t xml:space="preserve">não</w:t>
      </w:r>
      <w:r>
        <w:t xml:space="preserve"> </w:t>
      </w:r>
      <w:r>
        <w:t xml:space="preserve">é satisfeita.</w:t>
      </w:r>
    </w:p>
    <w:p>
      <w:pPr>
        <w:pStyle w:val="BlockText"/>
      </w:pPr>
      <w:r>
        <w:rPr>
          <w:b/>
          <w:bCs/>
        </w:rPr>
        <w:t xml:space="preserve">(b)</w:t>
      </w:r>
      <w:r>
        <w:t xml:space="preserve"> </w:t>
      </w:r>
      <w:r>
        <w:t xml:space="preserve">A demanda de mercado é:</w:t>
      </w:r>
    </w:p>
    <w:p>
      <w:pPr>
        <w:pStyle w:val="BlockText"/>
      </w:pPr>
      <w:r>
        <w:t xml:space="preserve">$$</w:t>
      </w:r>
    </w:p>
    <w:p>
      <w:pPr>
        <w:pStyle w:val="BlockText"/>
      </w:pPr>
      <w:r>
        <w:t xml:space="preserve">X_1 =</w:t>
      </w:r>
      <w:r>
        <w:t xml:space="preserve"> </w:t>
      </w:r>
      <w:r>
        <w:t xml:space="preserve"> </w:t>
      </w:r>
      <w:r>
        <w:t xml:space="preserve">+</w:t>
      </w:r>
      <w:r>
        <w:t xml:space="preserve"> </w:t>
      </w:r>
      <w:r>
        <w:t xml:space="preserve"> </w:t>
      </w:r>
      <w:r>
        <w:t xml:space="preserve">=</w:t>
      </w:r>
      <w:r>
        <w:t xml:space="preserve"> </w:t>
      </w:r>
    </w:p>
    <w:p>
      <w:pPr>
        <w:pStyle w:val="BlockText"/>
      </w:pPr>
      <w:r>
        <w:t xml:space="preserve">$$</w:t>
      </w:r>
    </w:p>
    <w:p>
      <w:pPr>
        <w:pStyle w:val="BlockText"/>
      </w:pPr>
      <w:r>
        <w:t xml:space="preserve">Esta expressão depende de</w:t>
      </w:r>
      <w:r>
        <w:t xml:space="preserve"> </w:t>
      </w:r>
      <m:oMath>
        <m:sSup>
          <m:e>
            <m:r>
              <m:t>I</m:t>
            </m:r>
          </m:e>
          <m:sup>
            <m:r>
              <m:t>A</m:t>
            </m:r>
          </m:sup>
        </m:sSup>
      </m:oMath>
      <w:r>
        <w:t xml:space="preserve"> </w:t>
      </w:r>
      <w:r>
        <w:t xml:space="preserve">e</w:t>
      </w:r>
      <w:r>
        <w:t xml:space="preserve"> </w:t>
      </w:r>
      <m:oMath>
        <m:sSup>
          <m:e>
            <m:r>
              <m:t>I</m:t>
            </m:r>
          </m:e>
          <m:sup>
            <m:r>
              <m:t>B</m:t>
            </m:r>
          </m:sup>
        </m:sSup>
      </m:oMath>
      <w:r>
        <w:t xml:space="preserve"> </w:t>
      </w:r>
      <w:r>
        <w:t xml:space="preserve">separadamente — não pode ser escrita apenas como função de</w:t>
      </w:r>
      <w:r>
        <w:t xml:space="preserve"> </w:t>
      </w:r>
      <m:oMath>
        <m:r>
          <m:t>I</m:t>
        </m:r>
        <m:r>
          <m:rPr>
            <m:sty m:val="p"/>
          </m:rPr>
          <m:t>=</m:t>
        </m:r>
        <m:sSup>
          <m:e>
            <m:r>
              <m:t>I</m:t>
            </m:r>
          </m:e>
          <m:sup>
            <m:r>
              <m:t>A</m:t>
            </m:r>
          </m:sup>
        </m:sSup>
        <m:r>
          <m:rPr>
            <m:sty m:val="p"/>
          </m:rPr>
          <m:t>+</m:t>
        </m:r>
        <m:sSup>
          <m:e>
            <m:r>
              <m:t>I</m:t>
            </m:r>
          </m:e>
          <m:sup>
            <m:r>
              <m:t>B</m:t>
            </m:r>
          </m:sup>
        </m:sSup>
      </m:oMath>
      <w:r>
        <w:t xml:space="preserve">.</w:t>
      </w:r>
    </w:p>
    <w:p>
      <w:pPr>
        <w:pStyle w:val="BlockText"/>
      </w:pPr>
      <w:r>
        <w:rPr>
          <w:b/>
          <w:bCs/>
        </w:rPr>
        <w:t xml:space="preserve">(c)</w:t>
      </w:r>
      <w:r>
        <w:t xml:space="preserve"> </w:t>
      </w:r>
      <w:r>
        <w:t xml:space="preserve">Sejam</w:t>
      </w:r>
      <w:r>
        <w:t xml:space="preserve"> </w:t>
      </w:r>
      <m:oMath>
        <m:sSup>
          <m:e>
            <m:r>
              <m:t>I</m:t>
            </m:r>
          </m:e>
          <m:sup>
            <m:r>
              <m:t>A</m:t>
            </m:r>
          </m:sup>
        </m:sSup>
        <m:r>
          <m:rPr>
            <m:sty m:val="p"/>
          </m:rPr>
          <m:t>=</m:t>
        </m:r>
        <m:sSup>
          <m:e>
            <m:r>
              <m:t>I</m:t>
            </m:r>
          </m:e>
          <m:sup>
            <m:r>
              <m:t>B</m:t>
            </m:r>
          </m:sup>
        </m:sSup>
        <m:r>
          <m:rPr>
            <m:sty m:val="p"/>
          </m:rPr>
          <m:t>=</m:t>
        </m:r>
        <m:r>
          <m:t>100</m:t>
        </m:r>
      </m:oMath>
      <w:r>
        <w:t xml:space="preserve"> </w:t>
      </w:r>
      <w:r>
        <w:t xml:space="preserve">e</w:t>
      </w:r>
      <w:r>
        <w:t xml:space="preserve"> </w:t>
      </w:r>
      <m:oMath>
        <m:sSub>
          <m:e>
            <m:r>
              <m:t>p</m:t>
            </m:r>
          </m:e>
          <m:sub>
            <m:r>
              <m:t>1</m:t>
            </m:r>
          </m:sub>
        </m:sSub>
        <m:r>
          <m:rPr>
            <m:sty m:val="p"/>
          </m:rPr>
          <m:t>=</m:t>
        </m:r>
        <m:r>
          <m:t>10</m:t>
        </m:r>
      </m:oMath>
      <w:r>
        <w:t xml:space="preserve">:</w:t>
      </w:r>
    </w:p>
    <w:p>
      <w:pPr>
        <w:pStyle w:val="BlockText"/>
      </w:pPr>
      <w:r>
        <w:t xml:space="preserve">$$</w:t>
      </w:r>
    </w:p>
    <w:p>
      <w:pPr>
        <w:pStyle w:val="BlockText"/>
      </w:pPr>
      <w:r>
        <w:t xml:space="preserve">X_1 =</w:t>
      </w:r>
      <w:r>
        <w:t xml:space="preserve"> </w:t>
      </w:r>
      <w:r>
        <w:t xml:space="preserve"> </w:t>
      </w:r>
      <w:r>
        <w:t xml:space="preserve">+</w:t>
      </w:r>
      <w:r>
        <w:t xml:space="preserve"> </w:t>
      </w:r>
      <w:r>
        <w:t xml:space="preserve"> </w:t>
      </w:r>
      <w:r>
        <w:t xml:space="preserve">= 5 + 3{,}33 = 8{,}33</w:t>
      </w:r>
    </w:p>
    <w:p>
      <w:pPr>
        <w:pStyle w:val="BlockText"/>
      </w:pPr>
      <w:r>
        <w:t xml:space="preserve">$$</w:t>
      </w:r>
    </w:p>
    <w:p>
      <w:pPr>
        <w:pStyle w:val="BlockText"/>
      </w:pPr>
      <w:r>
        <w:t xml:space="preserve">Após redistribuição (</w:t>
      </w:r>
      <m:oMath>
        <m:sSup>
          <m:e>
            <m:r>
              <m:t>I</m:t>
            </m:r>
          </m:e>
          <m:sup>
            <m:r>
              <m:t>A</m:t>
            </m:r>
          </m:sup>
        </m:sSup>
        <m:r>
          <m:rPr>
            <m:sty m:val="p"/>
          </m:rPr>
          <m:t>=</m:t>
        </m:r>
        <m:r>
          <m:t>50</m:t>
        </m:r>
      </m:oMath>
      <w:r>
        <w:t xml:space="preserve">,</w:t>
      </w:r>
      <w:r>
        <w:t xml:space="preserve"> </w:t>
      </w:r>
      <m:oMath>
        <m:sSup>
          <m:e>
            <m:r>
              <m:t>I</m:t>
            </m:r>
          </m:e>
          <m:sup>
            <m:r>
              <m:t>B</m:t>
            </m:r>
          </m:sup>
        </m:sSup>
        <m:r>
          <m:rPr>
            <m:sty m:val="p"/>
          </m:rPr>
          <m:t>=</m:t>
        </m:r>
        <m:r>
          <m:t>150</m:t>
        </m:r>
      </m:oMath>
      <w:r>
        <w:t xml:space="preserve">, mesma renda total):</w:t>
      </w:r>
    </w:p>
    <w:p>
      <w:pPr>
        <w:pStyle w:val="BlockText"/>
      </w:pPr>
      <w:r>
        <w:t xml:space="preserve">$$</w:t>
      </w:r>
    </w:p>
    <w:p>
      <w:pPr>
        <w:pStyle w:val="BlockText"/>
      </w:pPr>
      <w:r>
        <w:t xml:space="preserve">X_1 =</w:t>
      </w:r>
      <w:r>
        <w:t xml:space="preserve"> </w:t>
      </w:r>
      <w:r>
        <w:t xml:space="preserve"> </w:t>
      </w:r>
      <w:r>
        <w:t xml:space="preserve">+</w:t>
      </w:r>
      <w:r>
        <w:t xml:space="preserve"> </w:t>
      </w:r>
      <w:r>
        <w:t xml:space="preserve"> </w:t>
      </w:r>
      <w:r>
        <w:t xml:space="preserve">= 2{,}5 + 5 = 7{,}5</w:t>
      </w:r>
    </w:p>
    <w:p>
      <w:pPr>
        <w:pStyle w:val="BlockText"/>
      </w:pPr>
      <w:r>
        <w:t xml:space="preserve">$$</w:t>
      </w:r>
    </w:p>
    <w:p>
      <w:pPr>
        <w:pStyle w:val="BlockText"/>
      </w:pPr>
      <w:r>
        <w:t xml:space="preserve">A demanda caiu de 8,33 para 7,5 apesar de a renda total permanecer em 200. A redistribuição transferiu renda do consumidor com maior propensão marginal a consumir o bem (A) para o consumidor com menor propensão (B).</w:t>
      </w:r>
    </w:p>
    <w:p>
      <w:pPr>
        <w:pStyle w:val="BlockText"/>
      </w:pPr>
      <w:r>
        <w:rPr>
          <w:b/>
          <w:bCs/>
        </w:rPr>
        <w:t xml:space="preserve">[BOX MUNDO] Box Mundo 6.2 — O debate do agente representativo: a crítica de Kirman e a heterogeneidade dos consumidores</w:t>
      </w:r>
    </w:p>
    <w:p>
      <w:pPr>
        <w:pStyle w:val="BlockText"/>
      </w:pPr>
      <w:r>
        <w:rPr>
          <w:b/>
          <w:bCs/>
        </w:rPr>
        <w:t xml:space="preserve">Contexto:</w:t>
      </w:r>
      <w:r>
        <w:t xml:space="preserve"> </w:t>
      </w:r>
      <w:r>
        <w:t xml:space="preserve">A seção 6.7 mostrou que a agregação de demandas individuais em uma demanda de mercado</w:t>
      </w:r>
      <w:r>
        <w:t xml:space="preserve"> </w:t>
      </w:r>
      <w:r>
        <w:t xml:space="preserve">“bem-comportada”</w:t>
      </w:r>
      <w:r>
        <w:t xml:space="preserve"> </w:t>
      </w:r>
      <w:r>
        <w:t xml:space="preserve">exige condições restritivas (como a condição de Gorman). Essa questão está no coração de um dos debates mais persistentes da teoria econômica: é legítimo modelar uma economia inteira como se fosse um único</w:t>
      </w:r>
      <w:r>
        <w:t xml:space="preserve"> </w:t>
      </w:r>
      <w:r>
        <w:t xml:space="preserve">“agente representativo”</w:t>
      </w:r>
      <w:r>
        <w:t xml:space="preserve">? Em 1992, o economista Alan Kirman publicou uma crítica influente argumentando que a resposta é, em geral, não — e que a prática de usar agentes representativos em modelos macroeconômicos pode gerar previsões sistematicamente incorretas.</w:t>
      </w:r>
    </w:p>
    <w:p>
      <w:pPr>
        <w:pStyle w:val="BlockText"/>
      </w:pPr>
      <w:r>
        <w:t xml:space="preserve">A crítica de Kirman não se limita a um argumento teórico abstrato. Ele demonstrou que, mesmo quando cada consumidor individual se comporta de forma perfeitamente racional, o agregado pode exibir propriedades que nenhum indivíduo isoladamente apresentaria — incluindo violações da lei da demanda, preferências reveladas inconsistentes e instabilidade de equilíbrio. Isso ocorre porque a agregação mistura efeitos de composição (quem está comprando) com efeitos de comportamento (quanto cada um compra).</w:t>
      </w:r>
    </w:p>
    <w:p>
      <w:pPr>
        <w:pStyle w:val="BlockText"/>
      </w:pPr>
      <w:r>
        <w:rPr>
          <w:b/>
          <w:bCs/>
        </w:rPr>
        <w:t xml:space="preserve">Dados:</w:t>
      </w:r>
      <w:r>
        <w:t xml:space="preserve"> </w:t>
      </w:r>
      <w:r>
        <w:t xml:space="preserve">Dados do Consumer Expenditure Survey (CEX) dos EUA, analisados por Blundell, Browning e Crawford (2003, 2008), revelam heterogeneidade substancial nas respostas de consumo a variações de preço. Por exemplo, a elasticidade-preço da demanda por alimentos varia de -0,3 para o quintil mais rico a -0,8 para o quintil mais pobre — uma diferença de quase três vezes que nenhum agente representativo pode capturar simultaneamente. Pesquisas mais recentes usando dados de scanner (Aguiar e Hurst, 2007; Handbury, 2021) mostram que famílias de alta e baixa renda enfrentam efetivamente</w:t>
      </w:r>
      <w:r>
        <w:t xml:space="preserve"> </w:t>
      </w:r>
      <w:r>
        <w:t xml:space="preserve">“preços diferentes”</w:t>
      </w:r>
      <w:r>
        <w:t xml:space="preserve"> </w:t>
      </w:r>
      <w:r>
        <w:t xml:space="preserve">para os mesmos bens (por diferenças em local de compra, tamanho de embalagem e capacidade de estocar promoções), o que amplifica a heterogeneidade real para além do que os modelos tradicionais capturariam.</w:t>
      </w:r>
    </w:p>
    <w:p>
      <w:pPr>
        <w:pStyle w:val="BlockText"/>
      </w:pPr>
      <w:r>
        <w:t xml:space="preserve">No Brasil, análises baseadas na POF/IBGE confirmam padrões similares: a participação de alimentos no orçamento varia de 22% (renda per capita até 1 SM) a 7,6% (acima de 15 SM), e as elasticidades estimadas diferem sistematicamente entre estratos de renda (Almeida e Azzoni, 2016). Modelos de agente representativo calibrados com dados médios subestimam o impacto de choques de preço de alimentos sobre as famílias mais pobres em até 40%.</w:t>
      </w:r>
    </w:p>
    <w:p>
      <w:pPr>
        <w:pStyle w:val="BlockText"/>
      </w:pPr>
      <w:r>
        <w:rPr>
          <w:b/>
          <w:bCs/>
        </w:rPr>
        <w:t xml:space="preserve">Análise:</w:t>
      </w:r>
      <w:r>
        <w:t xml:space="preserve"> </w:t>
      </w:r>
      <w:r>
        <w:t xml:space="preserve">A crítica de Kirman e a evidência empírica subsequente reforçam a mensagem central da seção 6.7: a condição de Gorman raramente é satisfeita, e tratar o mercado como se fosse um agente representativo é uma simplificação que pode ter custos analíticos significativos. A propriedade de simetria de Slutsky, que vale para cada consumidor individual, pode ser rejeitada estatisticamente nos dados agregados — não porque os indivíduos sejam irracionais, mas porque a agregação destrói a estrutura. A implicação prática é que modelos macroeconômicos que ignoram a heterogeneidade dos consumidores (modelos DSGE com agente representativo, por exemplo) podem gerar previsões enviesadas sobre os efeitos de políticas tributárias, transferências de renda e choques de preços relativos. A pesquisa contemporânea em macroeconomia (modelos HANK — Heterogeneous Agent New Keynesian) busca justamente incorporar essa heterogeneidade que Kirman identificou como essencial.</w:t>
      </w:r>
    </w:p>
    <w:p>
      <w:pPr>
        <w:pStyle w:val="BlockText"/>
      </w:pPr>
      <w:r>
        <w:rPr>
          <w:b/>
          <w:bCs/>
        </w:rPr>
        <w:t xml:space="preserve">Fonte:</w:t>
      </w:r>
      <w:r>
        <w:t xml:space="preserve"> </w:t>
      </w:r>
      <w:r>
        <w:t xml:space="preserve">Kirman, A. P. (1992).</w:t>
      </w:r>
      <w:r>
        <w:t xml:space="preserve"> </w:t>
      </w:r>
      <w:r>
        <w:t xml:space="preserve">“Whom or what does the representative individual represent?”</w:t>
      </w:r>
      <w:r>
        <w:t xml:space="preserve"> </w:t>
      </w:r>
      <w:r>
        <w:rPr>
          <w:i/>
          <w:iCs/>
        </w:rPr>
        <w:t xml:space="preserve">Journal of Economic Perspectives</w:t>
      </w:r>
      <w:r>
        <w:t xml:space="preserve">, 6(2), 117–136. Blundell, R., Browning, M. e Crawford, I. (2003).</w:t>
      </w:r>
      <w:r>
        <w:t xml:space="preserve"> </w:t>
      </w:r>
      <w:r>
        <w:t xml:space="preserve">“Nonparametric Engel curves and revealed preference.”</w:t>
      </w:r>
      <w:r>
        <w:t xml:space="preserve"> </w:t>
      </w:r>
      <w:r>
        <w:rPr>
          <w:i/>
          <w:iCs/>
        </w:rPr>
        <w:t xml:space="preserve">Econometrica</w:t>
      </w:r>
      <w:r>
        <w:t xml:space="preserve">, 71(1), 205–240. Almeida, A. N. e Azzoni, C. R. (2016).</w:t>
      </w:r>
      <w:r>
        <w:t xml:space="preserve"> </w:t>
      </w:r>
      <w:r>
        <w:t xml:space="preserve">“Custo de vida comparativo das regiões metropolitanas brasileiras.”</w:t>
      </w:r>
      <w:r>
        <w:t xml:space="preserve"> </w:t>
      </w:r>
      <w:r>
        <w:rPr>
          <w:i/>
          <w:iCs/>
        </w:rPr>
        <w:t xml:space="preserve">Estudos Econômicos</w:t>
      </w:r>
      <w:r>
        <w:t xml:space="preserve">, 46(1), 253–276.</w:t>
      </w:r>
    </w:p>
    <w:p>
      <w:r>
        <w:pict>
          <v:rect style="width:0;height:1.5pt" o:hralign="center" o:hrstd="t" o:hr="t"/>
        </w:pict>
      </w:r>
    </w:p>
    <w:bookmarkEnd w:id="304"/>
    <w:bookmarkEnd w:id="305"/>
    <w:bookmarkStart w:id="307" w:name="Xe57299e80b1807ec3d866d7d31a55dd1ba15636"/>
    <w:p>
      <w:pPr>
        <w:pStyle w:val="Heading3"/>
      </w:pPr>
      <w:r>
        <w:t xml:space="preserve">6.8 Carne e Cerveja, Uber e Táxi: Classificação no Contexto Brasileiro</w:t>
      </w:r>
    </w:p>
    <w:p>
      <w:pPr>
        <w:pStyle w:val="FirstParagraph"/>
      </w:pPr>
      <w:r>
        <w:rPr>
          <w:i/>
          <w:iCs/>
        </w:rPr>
        <w:t xml:space="preserve">And now for something completely different — ou melhor, completely concreto.</w:t>
      </w:r>
      <w:r>
        <w:rPr>
          <w:rStyle w:val="FootnoteReference"/>
        </w:rPr>
        <w:footnoteReference w:id="306"/>
      </w:r>
    </w:p>
    <w:p>
      <w:pPr>
        <w:pStyle w:val="BodyText"/>
      </w:pPr>
      <w:r>
        <w:t xml:space="preserve">Para consolidar as classificações discutidas nas seções anteriores, a</w:t>
      </w:r>
      <w:r>
        <w:t xml:space="preserve"> </w:t>
      </w:r>
      <w:hyperlink w:anchor="tabela-6-1">
        <w:r>
          <w:rPr>
            <w:rStyle w:val="Hyperlink"/>
          </w:rPr>
          <w:t xml:space="preserve">Tabela 6.1</w:t>
        </w:r>
      </w:hyperlink>
      <w:r>
        <w:t xml:space="preserve"> </w:t>
      </w:r>
      <w:r>
        <w:t xml:space="preserve">reúne pares de bens relevantes para o consumidor brasileiro, distinguindo entre a relação bruta (marshalliana) e a relação líquida (hicksiana). Note como, em alguns casos, as duas classificações divergem — reflexo direto do efeito renda que a Equação de Slutsky separa.</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Par de Bens</w:t>
            </w:r>
          </w:p>
        </w:tc>
        <w:tc>
          <w:tcPr/>
          <w:p>
            <w:pPr>
              <w:pStyle w:val="Compact"/>
              <w:jc w:val="center"/>
            </w:pPr>
            <w:r>
              <w:t xml:space="preserve">Relação Bruta (Marshalliana)</w:t>
            </w:r>
          </w:p>
        </w:tc>
        <w:tc>
          <w:tcPr/>
          <w:p>
            <w:pPr>
              <w:pStyle w:val="Compact"/>
              <w:jc w:val="center"/>
            </w:pPr>
            <w:r>
              <w:t xml:space="preserve">Relação Líquida (Hicksiana)</w:t>
            </w:r>
          </w:p>
        </w:tc>
        <w:tc>
          <w:tcPr/>
          <w:p>
            <w:pPr>
              <w:pStyle w:val="Compact"/>
              <w:jc w:val="left"/>
            </w:pPr>
            <w:r>
              <w:t xml:space="preserve">Observações</w:t>
            </w:r>
          </w:p>
        </w:tc>
      </w:tr>
      <w:tr>
        <w:tc>
          <w:tcPr/>
          <w:p>
            <w:pPr>
              <w:pStyle w:val="Compact"/>
              <w:jc w:val="left"/>
            </w:pPr>
            <w:r>
              <w:t xml:space="preserve">Gasolina e Etanol</w:t>
            </w:r>
          </w:p>
        </w:tc>
        <w:tc>
          <w:tcPr/>
          <w:p>
            <w:pPr>
              <w:pStyle w:val="Compact"/>
              <w:jc w:val="center"/>
            </w:pPr>
            <w:r>
              <w:t xml:space="preserve">Substitutos</w:t>
            </w:r>
          </w:p>
        </w:tc>
        <w:tc>
          <w:tcPr/>
          <w:p>
            <w:pPr>
              <w:pStyle w:val="Compact"/>
              <w:jc w:val="center"/>
            </w:pPr>
            <w:r>
              <w:t xml:space="preserve">Substitutos</w:t>
            </w:r>
          </w:p>
        </w:tc>
        <w:tc>
          <w:tcPr/>
          <w:p>
            <w:pPr>
              <w:pStyle w:val="Compact"/>
              <w:jc w:val="left"/>
            </w:pPr>
            <w:r>
              <w:t xml:space="preserve">Frota</w:t>
            </w:r>
            <w:r>
              <w:t xml:space="preserve"> </w:t>
            </w:r>
            <w:r>
              <w:rPr>
                <w:i/>
                <w:iCs/>
              </w:rPr>
              <w:t xml:space="preserve">flex-fuel</w:t>
            </w:r>
            <w:r>
              <w:t xml:space="preserve">; forte substituição</w:t>
            </w:r>
          </w:p>
        </w:tc>
      </w:tr>
      <w:tr>
        <w:tc>
          <w:tcPr/>
          <w:p>
            <w:pPr>
              <w:pStyle w:val="Compact"/>
              <w:jc w:val="left"/>
            </w:pPr>
            <w:r>
              <w:t xml:space="preserve">Arroz e Feijão</w:t>
            </w:r>
          </w:p>
        </w:tc>
        <w:tc>
          <w:tcPr/>
          <w:p>
            <w:pPr>
              <w:pStyle w:val="Compact"/>
              <w:jc w:val="center"/>
            </w:pPr>
            <w:r>
              <w:t xml:space="preserve">Complementos</w:t>
            </w:r>
          </w:p>
        </w:tc>
        <w:tc>
          <w:tcPr/>
          <w:p>
            <w:pPr>
              <w:pStyle w:val="Compact"/>
              <w:jc w:val="center"/>
            </w:pPr>
            <w:r>
              <w:t xml:space="preserve">Complementos</w:t>
            </w:r>
          </w:p>
        </w:tc>
        <w:tc>
          <w:tcPr/>
          <w:p>
            <w:pPr>
              <w:pStyle w:val="Compact"/>
              <w:jc w:val="left"/>
            </w:pPr>
            <w:r>
              <w:t xml:space="preserve">Consumo conjunto arraigado na cultura alimentar</w:t>
            </w:r>
          </w:p>
        </w:tc>
      </w:tr>
      <w:tr>
        <w:tc>
          <w:tcPr/>
          <w:p>
            <w:pPr>
              <w:pStyle w:val="Compact"/>
              <w:jc w:val="left"/>
            </w:pPr>
            <w:r>
              <w:t xml:space="preserve">Carne bovina e Frango</w:t>
            </w:r>
          </w:p>
        </w:tc>
        <w:tc>
          <w:tcPr/>
          <w:p>
            <w:pPr>
              <w:pStyle w:val="Compact"/>
              <w:jc w:val="center"/>
            </w:pPr>
            <w:r>
              <w:t xml:space="preserve">Substitutos</w:t>
            </w:r>
          </w:p>
        </w:tc>
        <w:tc>
          <w:tcPr/>
          <w:p>
            <w:pPr>
              <w:pStyle w:val="Compact"/>
              <w:jc w:val="center"/>
            </w:pPr>
            <w:r>
              <w:t xml:space="preserve">Substitutos</w:t>
            </w:r>
          </w:p>
        </w:tc>
        <w:tc>
          <w:tcPr/>
          <w:p>
            <w:pPr>
              <w:pStyle w:val="Compact"/>
              <w:jc w:val="left"/>
            </w:pPr>
            <w:r>
              <w:t xml:space="preserve">Substituição intensificada em períodos de alta da carne bovina</w:t>
            </w:r>
          </w:p>
        </w:tc>
      </w:tr>
      <w:tr>
        <w:tc>
          <w:tcPr/>
          <w:p>
            <w:pPr>
              <w:pStyle w:val="Compact"/>
              <w:jc w:val="left"/>
            </w:pPr>
            <w:r>
              <w:t xml:space="preserve">Transporte público e Automóvel</w:t>
            </w:r>
          </w:p>
        </w:tc>
        <w:tc>
          <w:tcPr/>
          <w:p>
            <w:pPr>
              <w:pStyle w:val="Compact"/>
              <w:jc w:val="center"/>
            </w:pPr>
            <w:r>
              <w:t xml:space="preserve">Substitutos</w:t>
            </w:r>
          </w:p>
        </w:tc>
        <w:tc>
          <w:tcPr/>
          <w:p>
            <w:pPr>
              <w:pStyle w:val="Compact"/>
              <w:jc w:val="center"/>
            </w:pPr>
            <w:r>
              <w:t xml:space="preserve">Substitutos</w:t>
            </w:r>
          </w:p>
        </w:tc>
        <w:tc>
          <w:tcPr/>
          <w:p>
            <w:pPr>
              <w:pStyle w:val="Compact"/>
              <w:jc w:val="left"/>
            </w:pPr>
            <w:r>
              <w:t xml:space="preserve">Em grandes centros, congestionamento modera a substituição</w:t>
            </w:r>
          </w:p>
        </w:tc>
      </w:tr>
      <w:tr>
        <w:tc>
          <w:tcPr/>
          <w:p>
            <w:pPr>
              <w:pStyle w:val="Compact"/>
              <w:jc w:val="left"/>
            </w:pPr>
            <w:r>
              <w:t xml:space="preserve">Café e Açúcar</w:t>
            </w:r>
          </w:p>
        </w:tc>
        <w:tc>
          <w:tcPr/>
          <w:p>
            <w:pPr>
              <w:pStyle w:val="Compact"/>
              <w:jc w:val="center"/>
            </w:pPr>
            <w:r>
              <w:t xml:space="preserve">Complementos</w:t>
            </w:r>
          </w:p>
        </w:tc>
        <w:tc>
          <w:tcPr/>
          <w:p>
            <w:pPr>
              <w:pStyle w:val="Compact"/>
              <w:jc w:val="center"/>
            </w:pPr>
            <w:r>
              <w:t xml:space="preserve">Complementos</w:t>
            </w:r>
          </w:p>
        </w:tc>
        <w:tc>
          <w:tcPr/>
          <w:p>
            <w:pPr>
              <w:pStyle w:val="Compact"/>
              <w:jc w:val="left"/>
            </w:pPr>
            <w:r>
              <w:t xml:space="preserve">Padrão de consumo conjunto, especialmente em classes C e D</w:t>
            </w:r>
          </w:p>
        </w:tc>
      </w:tr>
      <w:tr>
        <w:tc>
          <w:tcPr/>
          <w:p>
            <w:pPr>
              <w:pStyle w:val="Compact"/>
              <w:jc w:val="left"/>
            </w:pPr>
            <w:r>
              <w:t xml:space="preserve">Cerveja e Refrigerante</w:t>
            </w:r>
          </w:p>
        </w:tc>
        <w:tc>
          <w:tcPr/>
          <w:p>
            <w:pPr>
              <w:pStyle w:val="Compact"/>
              <w:jc w:val="center"/>
            </w:pPr>
            <w:r>
              <w:t xml:space="preserve">Substitutos fracos</w:t>
            </w:r>
          </w:p>
        </w:tc>
        <w:tc>
          <w:tcPr/>
          <w:p>
            <w:pPr>
              <w:pStyle w:val="Compact"/>
              <w:jc w:val="center"/>
            </w:pPr>
            <w:r>
              <w:t xml:space="preserve">Substitutos</w:t>
            </w:r>
          </w:p>
        </w:tc>
        <w:tc>
          <w:tcPr/>
          <w:p>
            <w:pPr>
              <w:pStyle w:val="Compact"/>
              <w:jc w:val="left"/>
            </w:pPr>
            <w:r>
              <w:t xml:space="preserve">Elasticidade cruzada positiva, mas moderada</w:t>
            </w:r>
          </w:p>
        </w:tc>
      </w:tr>
      <w:tr>
        <w:tc>
          <w:tcPr/>
          <w:p>
            <w:pPr>
              <w:pStyle w:val="Compact"/>
              <w:jc w:val="left"/>
            </w:pPr>
            <w:r>
              <w:t xml:space="preserve">Smartphone e Plano de dados</w:t>
            </w:r>
          </w:p>
        </w:tc>
        <w:tc>
          <w:tcPr/>
          <w:p>
            <w:pPr>
              <w:pStyle w:val="Compact"/>
              <w:jc w:val="center"/>
            </w:pPr>
            <w:r>
              <w:t xml:space="preserve">Complementos</w:t>
            </w:r>
          </w:p>
        </w:tc>
        <w:tc>
          <w:tcPr/>
          <w:p>
            <w:pPr>
              <w:pStyle w:val="Compact"/>
              <w:jc w:val="center"/>
            </w:pPr>
            <w:r>
              <w:t xml:space="preserve">Complementos</w:t>
            </w:r>
          </w:p>
        </w:tc>
        <w:tc>
          <w:tcPr/>
          <w:p>
            <w:pPr>
              <w:pStyle w:val="Compact"/>
              <w:jc w:val="left"/>
            </w:pPr>
            <w:r>
              <w:t xml:space="preserve">Forte complementaridade no consumo digital</w:t>
            </w:r>
          </w:p>
        </w:tc>
      </w:tr>
      <w:tr>
        <w:tc>
          <w:tcPr/>
          <w:p>
            <w:pPr>
              <w:pStyle w:val="Compact"/>
              <w:jc w:val="left"/>
            </w:pPr>
            <w:r>
              <w:t xml:space="preserve">Carne bovina e Sal</w:t>
            </w:r>
          </w:p>
        </w:tc>
        <w:tc>
          <w:tcPr/>
          <w:p>
            <w:pPr>
              <w:pStyle w:val="Compact"/>
              <w:jc w:val="center"/>
            </w:pPr>
            <w:r>
              <w:t xml:space="preserve">Complementos fracos</w:t>
            </w:r>
          </w:p>
        </w:tc>
        <w:tc>
          <w:tcPr/>
          <w:p>
            <w:pPr>
              <w:pStyle w:val="Compact"/>
              <w:jc w:val="center"/>
            </w:pPr>
            <w:r>
              <w:t xml:space="preserve">Independentes</w:t>
            </w:r>
          </w:p>
        </w:tc>
        <w:tc>
          <w:tcPr/>
          <w:p>
            <w:pPr>
              <w:pStyle w:val="Compact"/>
              <w:jc w:val="left"/>
            </w:pPr>
            <w:r>
              <w:t xml:space="preserve">Complementaridade bruta por efeito renda, não por substituição</w:t>
            </w:r>
          </w:p>
        </w:tc>
      </w:tr>
      <w:tr>
        <w:tc>
          <w:tcPr/>
          <w:p>
            <w:pPr>
              <w:pStyle w:val="Compact"/>
              <w:jc w:val="left"/>
            </w:pPr>
            <w:r>
              <w:t xml:space="preserve">Educação privada e Plano de saúde</w:t>
            </w:r>
          </w:p>
        </w:tc>
        <w:tc>
          <w:tcPr/>
          <w:p>
            <w:pPr>
              <w:pStyle w:val="Compact"/>
              <w:jc w:val="center"/>
            </w:pPr>
            <w:r>
              <w:t xml:space="preserve">Ambíguo</w:t>
            </w:r>
          </w:p>
        </w:tc>
        <w:tc>
          <w:tcPr/>
          <w:p>
            <w:pPr>
              <w:pStyle w:val="Compact"/>
              <w:jc w:val="center"/>
            </w:pPr>
            <w:r>
              <w:t xml:space="preserve">Substitutos fracos</w:t>
            </w:r>
          </w:p>
        </w:tc>
        <w:tc>
          <w:tcPr/>
          <w:p>
            <w:pPr>
              <w:pStyle w:val="Compact"/>
              <w:jc w:val="left"/>
            </w:pPr>
            <w:r>
              <w:t xml:space="preserve">Competem pelo orçamento; líquidos: substitutos via renda disponível</w:t>
            </w:r>
          </w:p>
        </w:tc>
      </w:tr>
      <w:tr>
        <w:tc>
          <w:tcPr/>
          <w:p>
            <w:pPr>
              <w:pStyle w:val="Compact"/>
              <w:jc w:val="left"/>
            </w:pPr>
            <w:r>
              <w:t xml:space="preserve">Manteiga e Margarina</w:t>
            </w:r>
          </w:p>
        </w:tc>
        <w:tc>
          <w:tcPr/>
          <w:p>
            <w:pPr>
              <w:pStyle w:val="Compact"/>
              <w:jc w:val="center"/>
            </w:pPr>
            <w:r>
              <w:t xml:space="preserve">Substitutos</w:t>
            </w:r>
          </w:p>
        </w:tc>
        <w:tc>
          <w:tcPr/>
          <w:p>
            <w:pPr>
              <w:pStyle w:val="Compact"/>
              <w:jc w:val="center"/>
            </w:pPr>
            <w:r>
              <w:t xml:space="preserve">Substitutos</w:t>
            </w:r>
          </w:p>
        </w:tc>
        <w:tc>
          <w:tcPr/>
          <w:p>
            <w:pPr>
              <w:pStyle w:val="Compact"/>
              <w:jc w:val="left"/>
            </w:pPr>
            <w:r>
              <w:t xml:space="preserve">Clássico par de substitutos; elasticidade cruzada elevada</w:t>
            </w:r>
          </w:p>
        </w:tc>
      </w:tr>
    </w:tbl>
    <w:p>
      <w:pPr>
        <w:pStyle w:val="BodyText"/>
      </w:pPr>
      <w:r>
        <w:rPr>
          <w:b/>
          <w:bCs/>
        </w:rPr>
        <w:t xml:space="preserve">Tabela 6.1 — Classificação de pares de bens no contexto brasileiro.</w:t>
      </w:r>
      <w:r>
        <w:t xml:space="preserve"> </w:t>
      </w:r>
      <w:r>
        <w:t xml:space="preserve">Fontes: estimativas baseadas em POF/IBGE (2017-2018); estudos setoriais ABRAS; literatura aplicada brasileira.</w:t>
      </w:r>
    </w:p>
    <w:p>
      <w:pPr>
        <w:pStyle w:val="BlockText"/>
      </w:pPr>
      <w:r>
        <w:rPr>
          <w:b/>
          <w:bCs/>
        </w:rPr>
        <w:t xml:space="preserve">[NOTA] Divergência entre classificações</w:t>
      </w:r>
    </w:p>
    <w:p>
      <w:pPr>
        <w:pStyle w:val="BlockText"/>
      </w:pPr>
      <w:r>
        <w:t xml:space="preserve">Note o caso de carne bovina e sal: embora sejam complementos brutos (o sal é usado para temperar a carne), quando isolamos o efeito substituição, a relação é praticamente nula — a</w:t>
      </w:r>
      <w:r>
        <w:t xml:space="preserve"> </w:t>
      </w:r>
      <w:r>
        <w:t xml:space="preserve">“complementaridade”</w:t>
      </w:r>
      <w:r>
        <w:t xml:space="preserve"> </w:t>
      </w:r>
      <w:r>
        <w:t xml:space="preserve">observada nos dados marshallianos decorre em grande parte do efeito renda (famílias mais ricas consomem mais de ambos).</w:t>
      </w:r>
    </w:p>
    <w:p>
      <w:pPr>
        <w:pStyle w:val="BlockText"/>
      </w:pPr>
      <w:r>
        <w:rPr>
          <w:b/>
          <w:bCs/>
        </w:rPr>
        <w:t xml:space="preserve">[BOX BRASIL] Box Brasil 6.4 — Elasticidades-renda da demanda no Brasil: quem é luxo, quem é necessidade?</w:t>
      </w:r>
    </w:p>
    <w:p>
      <w:pPr>
        <w:pStyle w:val="BlockText"/>
      </w:pPr>
      <w:r>
        <w:t xml:space="preserve">A classificação de bens como normais, inferiores, de luxo ou necessidade depende da</w:t>
      </w:r>
      <w:r>
        <w:t xml:space="preserve"> </w:t>
      </w:r>
      <w:r>
        <w:rPr>
          <w:b/>
          <w:bCs/>
        </w:rPr>
        <w:t xml:space="preserve">elasticidade-renda da demanda</w:t>
      </w:r>
      <w:r>
        <w:t xml:space="preserve"> </w:t>
      </w:r>
      <w:r>
        <w:t xml:space="preserve">(</w:t>
      </w:r>
      <m:oMath>
        <m:sSub>
          <m:e>
            <m:r>
              <m:t>ε</m:t>
            </m:r>
          </m:e>
          <m:sub>
            <m:r>
              <m:t>I</m:t>
            </m:r>
          </m:sub>
        </m:sSub>
        <m:r>
          <m:rPr>
            <m:sty m:val="p"/>
          </m:rPr>
          <m:t>=</m:t>
        </m:r>
        <m:f>
          <m:fPr>
            <m:type m:val="bar"/>
          </m:fPr>
          <m:num>
            <m:r>
              <m:rPr>
                <m:sty m:val="p"/>
              </m:rPr>
              <m:t>∂</m:t>
            </m:r>
            <m:r>
              <m:t>x</m:t>
            </m:r>
          </m:num>
          <m:den>
            <m:r>
              <m:rPr>
                <m:sty m:val="p"/>
              </m:rPr>
              <m:t>∂</m:t>
            </m:r>
            <m:r>
              <m:t>I</m:t>
            </m:r>
          </m:den>
        </m:f>
        <m:r>
          <m:rPr>
            <m:sty m:val="p"/>
          </m:rPr>
          <m:t>⋅</m:t>
        </m:r>
        <m:f>
          <m:fPr>
            <m:type m:val="bar"/>
          </m:fPr>
          <m:num>
            <m:r>
              <m:t>I</m:t>
            </m:r>
          </m:num>
          <m:den>
            <m:r>
              <m:t>x</m:t>
            </m:r>
          </m:den>
        </m:f>
      </m:oMath>
      <w:r>
        <w:t xml:space="preserve">). Estimativas empíricas para o Brasil, baseadas na POF 2017–2018 do</w:t>
      </w:r>
      <w:r>
        <w:t xml:space="preserve"> </w:t>
      </w:r>
      <w:hyperlink r:id="rId35">
        <w:r>
          <w:rPr>
            <w:rStyle w:val="Hyperlink"/>
          </w:rPr>
          <w:t xml:space="preserve">IBGE</w:t>
        </w:r>
      </w:hyperlink>
      <w:r>
        <w:t xml:space="preserve">, revelam um retrato nítido da estrutura de consumo das famílias brasileiras.</w:t>
      </w:r>
    </w:p>
    <w:p>
      <w:pPr>
        <w:pStyle w:val="BlockText"/>
      </w:pPr>
      <w:r>
        <w:rPr>
          <w:b/>
          <w:bCs/>
        </w:rPr>
        <w:t xml:space="preserve">Elasticidades-renda estimadas para categorias selecionadas:</w:t>
      </w:r>
    </w:p>
    <w:tbl>
      <w:tblPr>
        <w:tblStyle w:val="Table"/>
        <w:tblW w:type="pct" w:w="5000"/>
        <w:tblLayout w:type="fixed"/>
        <w:tblLook w:firstRow="1" w:lastRow="0" w:firstColumn="0" w:lastColumn="0" w:noHBand="0" w:noVBand="0" w:val="0020"/>
      </w:tblPr>
      <w:tblGrid>
        <w:gridCol w:w="2262"/>
        <w:gridCol w:w="4114"/>
        <w:gridCol w:w="1542"/>
      </w:tblGrid>
      <w:tr>
        <w:trPr>
          <w:tblHeader w:val="on"/>
        </w:trPr>
        <w:tc>
          <w:tcPr/>
          <w:p>
            <w:pPr>
              <w:pStyle w:val="Compact"/>
              <w:jc w:val="left"/>
            </w:pPr>
            <w:r>
              <w:t xml:space="preserve">Categoria de despesa</w:t>
            </w:r>
          </w:p>
        </w:tc>
        <w:tc>
          <w:tcPr/>
          <w:p>
            <w:pPr>
              <w:pStyle w:val="Compact"/>
              <w:jc w:val="center"/>
            </w:pPr>
            <w:r>
              <w:t xml:space="preserve">Elasticidade-renda (</w:t>
            </w:r>
            <m:oMath>
              <m:sSub>
                <m:e>
                  <m:r>
                    <m:t>ε</m:t>
                  </m:r>
                </m:e>
                <m:sub>
                  <m:r>
                    <m:t>I</m:t>
                  </m:r>
                </m:sub>
              </m:sSub>
            </m:oMath>
            <w:r>
              <w:t xml:space="preserve">)</w:t>
            </w:r>
          </w:p>
        </w:tc>
        <w:tc>
          <w:tcPr/>
          <w:p>
            <w:pPr>
              <w:pStyle w:val="Compact"/>
              <w:jc w:val="left"/>
            </w:pPr>
            <w:r>
              <w:t xml:space="preserve">Classificação</w:t>
            </w:r>
          </w:p>
        </w:tc>
      </w:tr>
      <w:tr>
        <w:tc>
          <w:tcPr/>
          <w:p>
            <w:pPr>
              <w:pStyle w:val="Compact"/>
              <w:jc w:val="left"/>
            </w:pPr>
            <w:r>
              <w:t xml:space="preserve">Alimentação no domicílio</w:t>
            </w:r>
          </w:p>
        </w:tc>
        <w:tc>
          <w:tcPr/>
          <w:p>
            <w:pPr>
              <w:pStyle w:val="Compact"/>
              <w:jc w:val="center"/>
            </w:pPr>
            <w:r>
              <w:t xml:space="preserve">0,30–0,40</w:t>
            </w:r>
          </w:p>
        </w:tc>
        <w:tc>
          <w:tcPr/>
          <w:p>
            <w:pPr>
              <w:pStyle w:val="Compact"/>
              <w:jc w:val="left"/>
            </w:pPr>
            <w:r>
              <w:t xml:space="preserve">Necessidade</w:t>
            </w:r>
          </w:p>
        </w:tc>
      </w:tr>
      <w:tr>
        <w:tc>
          <w:tcPr/>
          <w:p>
            <w:pPr>
              <w:pStyle w:val="Compact"/>
              <w:jc w:val="left"/>
            </w:pPr>
            <w:r>
              <w:t xml:space="preserve">Arroz e feijão</w:t>
            </w:r>
          </w:p>
        </w:tc>
        <w:tc>
          <w:tcPr/>
          <w:p>
            <w:pPr>
              <w:pStyle w:val="Compact"/>
              <w:jc w:val="center"/>
            </w:pPr>
            <w:r>
              <w:t xml:space="preserve">0,10–0,20</w:t>
            </w:r>
          </w:p>
        </w:tc>
        <w:tc>
          <w:tcPr/>
          <w:p>
            <w:pPr>
              <w:pStyle w:val="Compact"/>
              <w:jc w:val="left"/>
            </w:pPr>
            <w:r>
              <w:t xml:space="preserve">Necessidade (quase inelástico)</w:t>
            </w:r>
          </w:p>
        </w:tc>
      </w:tr>
      <w:tr>
        <w:tc>
          <w:tcPr/>
          <w:p>
            <w:pPr>
              <w:pStyle w:val="Compact"/>
              <w:jc w:val="left"/>
            </w:pPr>
            <w:r>
              <w:t xml:space="preserve">Carne bovina</w:t>
            </w:r>
          </w:p>
        </w:tc>
        <w:tc>
          <w:tcPr/>
          <w:p>
            <w:pPr>
              <w:pStyle w:val="Compact"/>
              <w:jc w:val="center"/>
            </w:pPr>
            <w:r>
              <w:t xml:space="preserve">0,50–0,70</w:t>
            </w:r>
          </w:p>
        </w:tc>
        <w:tc>
          <w:tcPr/>
          <w:p>
            <w:pPr>
              <w:pStyle w:val="Compact"/>
              <w:jc w:val="left"/>
            </w:pPr>
            <w:r>
              <w:t xml:space="preserve">Necessidade</w:t>
            </w:r>
          </w:p>
        </w:tc>
      </w:tr>
      <w:tr>
        <w:tc>
          <w:tcPr/>
          <w:p>
            <w:pPr>
              <w:pStyle w:val="Compact"/>
              <w:jc w:val="left"/>
            </w:pPr>
            <w:r>
              <w:t xml:space="preserve">Alimentação fora do domicílio</w:t>
            </w:r>
          </w:p>
        </w:tc>
        <w:tc>
          <w:tcPr/>
          <w:p>
            <w:pPr>
              <w:pStyle w:val="Compact"/>
              <w:jc w:val="center"/>
            </w:pPr>
            <w:r>
              <w:t xml:space="preserve">0,80–1,10</w:t>
            </w:r>
          </w:p>
        </w:tc>
        <w:tc>
          <w:tcPr/>
          <w:p>
            <w:pPr>
              <w:pStyle w:val="Compact"/>
              <w:jc w:val="left"/>
            </w:pPr>
            <w:r>
              <w:t xml:space="preserve">Próximo a luxo</w:t>
            </w:r>
          </w:p>
        </w:tc>
      </w:tr>
      <w:tr>
        <w:tc>
          <w:tcPr/>
          <w:p>
            <w:pPr>
              <w:pStyle w:val="Compact"/>
              <w:jc w:val="left"/>
            </w:pPr>
            <w:r>
              <w:t xml:space="preserve">Transporte público</w:t>
            </w:r>
          </w:p>
        </w:tc>
        <w:tc>
          <w:tcPr/>
          <w:p>
            <w:pPr>
              <w:pStyle w:val="Compact"/>
              <w:jc w:val="center"/>
            </w:pPr>
            <w:r>
              <w:t xml:space="preserve">0,20–0,35</w:t>
            </w:r>
          </w:p>
        </w:tc>
        <w:tc>
          <w:tcPr/>
          <w:p>
            <w:pPr>
              <w:pStyle w:val="Compact"/>
              <w:jc w:val="left"/>
            </w:pPr>
            <w:r>
              <w:t xml:space="preserve">Necessidade</w:t>
            </w:r>
          </w:p>
        </w:tc>
      </w:tr>
      <w:tr>
        <w:tc>
          <w:tcPr/>
          <w:p>
            <w:pPr>
              <w:pStyle w:val="Compact"/>
              <w:jc w:val="left"/>
            </w:pPr>
            <w:r>
              <w:t xml:space="preserve">Transporte por aplicativo</w:t>
            </w:r>
          </w:p>
        </w:tc>
        <w:tc>
          <w:tcPr/>
          <w:p>
            <w:pPr>
              <w:pStyle w:val="Compact"/>
              <w:jc w:val="center"/>
            </w:pPr>
            <w:r>
              <w:t xml:space="preserve">1,20–1,50</w:t>
            </w:r>
          </w:p>
        </w:tc>
        <w:tc>
          <w:tcPr/>
          <w:p>
            <w:pPr>
              <w:pStyle w:val="Compact"/>
              <w:jc w:val="left"/>
            </w:pPr>
            <w:r>
              <w:t xml:space="preserve">Luxo</w:t>
            </w:r>
          </w:p>
        </w:tc>
      </w:tr>
      <w:tr>
        <w:tc>
          <w:tcPr/>
          <w:p>
            <w:pPr>
              <w:pStyle w:val="Compact"/>
              <w:jc w:val="left"/>
            </w:pPr>
            <w:r>
              <w:t xml:space="preserve">Saúde (planos privados)</w:t>
            </w:r>
          </w:p>
        </w:tc>
        <w:tc>
          <w:tcPr/>
          <w:p>
            <w:pPr>
              <w:pStyle w:val="Compact"/>
              <w:jc w:val="center"/>
            </w:pPr>
            <w:r>
              <w:t xml:space="preserve">1,30–1,60</w:t>
            </w:r>
          </w:p>
        </w:tc>
        <w:tc>
          <w:tcPr/>
          <w:p>
            <w:pPr>
              <w:pStyle w:val="Compact"/>
              <w:jc w:val="left"/>
            </w:pPr>
            <w:r>
              <w:t xml:space="preserve">Luxo</w:t>
            </w:r>
          </w:p>
        </w:tc>
      </w:tr>
      <w:tr>
        <w:tc>
          <w:tcPr/>
          <w:p>
            <w:pPr>
              <w:pStyle w:val="Compact"/>
              <w:jc w:val="left"/>
            </w:pPr>
            <w:r>
              <w:t xml:space="preserve">Educação privada</w:t>
            </w:r>
          </w:p>
        </w:tc>
        <w:tc>
          <w:tcPr/>
          <w:p>
            <w:pPr>
              <w:pStyle w:val="Compact"/>
              <w:jc w:val="center"/>
            </w:pPr>
            <w:r>
              <w:t xml:space="preserve">1,40–1,70</w:t>
            </w:r>
          </w:p>
        </w:tc>
        <w:tc>
          <w:tcPr/>
          <w:p>
            <w:pPr>
              <w:pStyle w:val="Compact"/>
              <w:jc w:val="left"/>
            </w:pPr>
            <w:r>
              <w:t xml:space="preserve">Luxo</w:t>
            </w:r>
          </w:p>
        </w:tc>
      </w:tr>
      <w:tr>
        <w:tc>
          <w:tcPr/>
          <w:p>
            <w:pPr>
              <w:pStyle w:val="Compact"/>
              <w:jc w:val="left"/>
            </w:pPr>
            <w:r>
              <w:t xml:space="preserve">Habitação (aluguel)</w:t>
            </w:r>
          </w:p>
        </w:tc>
        <w:tc>
          <w:tcPr/>
          <w:p>
            <w:pPr>
              <w:pStyle w:val="Compact"/>
              <w:jc w:val="center"/>
            </w:pPr>
            <w:r>
              <w:t xml:space="preserve">0,70–0,90</w:t>
            </w:r>
          </w:p>
        </w:tc>
        <w:tc>
          <w:tcPr/>
          <w:p>
            <w:pPr>
              <w:pStyle w:val="Compact"/>
              <w:jc w:val="left"/>
            </w:pPr>
            <w:r>
              <w:t xml:space="preserve">Necessidade</w:t>
            </w:r>
          </w:p>
        </w:tc>
      </w:tr>
      <w:tr>
        <w:tc>
          <w:tcPr/>
          <w:p>
            <w:pPr>
              <w:pStyle w:val="Compact"/>
              <w:jc w:val="left"/>
            </w:pPr>
            <w:r>
              <w:t xml:space="preserve">Vestuário</w:t>
            </w:r>
          </w:p>
        </w:tc>
        <w:tc>
          <w:tcPr/>
          <w:p>
            <w:pPr>
              <w:pStyle w:val="Compact"/>
              <w:jc w:val="center"/>
            </w:pPr>
            <w:r>
              <w:t xml:space="preserve">0,90–1,10</w:t>
            </w:r>
          </w:p>
        </w:tc>
        <w:tc>
          <w:tcPr/>
          <w:p>
            <w:pPr>
              <w:pStyle w:val="Compact"/>
              <w:jc w:val="left"/>
            </w:pPr>
            <w:r>
              <w:t xml:space="preserve">Próximo a unitário</w:t>
            </w:r>
          </w:p>
        </w:tc>
      </w:tr>
      <w:tr>
        <w:tc>
          <w:tcPr/>
          <w:p>
            <w:pPr>
              <w:pStyle w:val="Compact"/>
              <w:jc w:val="left"/>
            </w:pPr>
            <w:r>
              <w:t xml:space="preserve">Serviços de streaming</w:t>
            </w:r>
          </w:p>
        </w:tc>
        <w:tc>
          <w:tcPr/>
          <w:p>
            <w:pPr>
              <w:pStyle w:val="Compact"/>
              <w:jc w:val="center"/>
            </w:pPr>
            <w:r>
              <w:t xml:space="preserve">1,10–1,40</w:t>
            </w:r>
          </w:p>
        </w:tc>
        <w:tc>
          <w:tcPr/>
          <w:p>
            <w:pPr>
              <w:pStyle w:val="Compact"/>
              <w:jc w:val="left"/>
            </w:pPr>
            <w:r>
              <w:t xml:space="preserve">Luxo</w:t>
            </w:r>
          </w:p>
        </w:tc>
      </w:tr>
      <w:tr>
        <w:tc>
          <w:tcPr/>
          <w:p>
            <w:pPr>
              <w:pStyle w:val="Compact"/>
              <w:jc w:val="left"/>
            </w:pPr>
            <w:r>
              <w:t xml:space="preserve">Fumo</w:t>
            </w:r>
          </w:p>
        </w:tc>
        <w:tc>
          <w:tcPr/>
          <w:p>
            <w:pPr>
              <w:pStyle w:val="Compact"/>
              <w:jc w:val="center"/>
            </w:pPr>
            <w:r>
              <w:t xml:space="preserve">–0,10 a 0,10</w:t>
            </w:r>
          </w:p>
        </w:tc>
        <w:tc>
          <w:tcPr/>
          <w:p>
            <w:pPr>
              <w:pStyle w:val="Compact"/>
              <w:jc w:val="left"/>
            </w:pPr>
            <w:r>
              <w:t xml:space="preserve">Inferior/necessidade</w:t>
            </w:r>
          </w:p>
        </w:tc>
      </w:tr>
    </w:tbl>
    <w:p>
      <w:pPr>
        <w:pStyle w:val="BlockText"/>
      </w:pPr>
      <w:r>
        <w:rPr>
          <w:b/>
          <w:bCs/>
        </w:rPr>
        <w:t xml:space="preserve">O que os números revelam:</w:t>
      </w:r>
    </w:p>
    <w:p>
      <w:pPr>
        <w:pStyle w:val="Compact"/>
        <w:numPr>
          <w:ilvl w:val="0"/>
          <w:numId w:val="1274"/>
        </w:numPr>
      </w:pPr>
      <w:r>
        <w:rPr>
          <w:b/>
          <w:bCs/>
        </w:rPr>
        <w:t xml:space="preserve">Lei de Engel confirmada:</w:t>
      </w:r>
      <w:r>
        <w:t xml:space="preserve"> </w:t>
      </w:r>
      <w:r>
        <w:t xml:space="preserve">A participação de alimentação no orçamento cai sistematicamente com a renda — de 22% para famílias com renda até R$ 1.908/mês a 7,6% para famílias acima de R$ 23.850/mês (POF 2017–2018). Isso é consistente com</w:t>
      </w:r>
      <w:r>
        <w:t xml:space="preserve"> </w:t>
      </w:r>
      <m:oMath>
        <m:sSub>
          <m:e>
            <m:r>
              <m:t>ε</m:t>
            </m:r>
          </m:e>
          <m:sub>
            <m:r>
              <m:t>I</m:t>
            </m:r>
          </m:sub>
        </m:sSub>
        <m:r>
          <m:rPr>
            <m:sty m:val="p"/>
          </m:rPr>
          <m:t>&lt;</m:t>
        </m:r>
        <m:r>
          <m:t>1</m:t>
        </m:r>
      </m:oMath>
      <w:r>
        <w:t xml:space="preserve"> </w:t>
      </w:r>
      <w:r>
        <w:t xml:space="preserve">para alimentos.</w:t>
      </w:r>
    </w:p>
    <w:p>
      <w:pPr>
        <w:pStyle w:val="Compact"/>
        <w:numPr>
          <w:ilvl w:val="0"/>
          <w:numId w:val="1274"/>
        </w:numPr>
      </w:pPr>
      <w:r>
        <w:rPr>
          <w:b/>
          <w:bCs/>
        </w:rPr>
        <w:t xml:space="preserve">Serviços são o</w:t>
      </w:r>
      <w:r>
        <w:rPr>
          <w:b/>
          <w:bCs/>
        </w:rPr>
        <w:t xml:space="preserve"> </w:t>
      </w:r>
      <w:r>
        <w:rPr>
          <w:b/>
          <w:bCs/>
        </w:rPr>
        <w:t xml:space="preserve">“luxo”</w:t>
      </w:r>
      <w:r>
        <w:rPr>
          <w:b/>
          <w:bCs/>
        </w:rPr>
        <w:t xml:space="preserve"> </w:t>
      </w:r>
      <w:r>
        <w:rPr>
          <w:b/>
          <w:bCs/>
        </w:rPr>
        <w:t xml:space="preserve">brasileiro:</w:t>
      </w:r>
      <w:r>
        <w:t xml:space="preserve"> </w:t>
      </w:r>
      <w:r>
        <w:t xml:space="preserve">Saúde privada, educação privada, transporte por aplicativo e streaming apresentam elasticidades acima de 1 — à medida que a renda cresce, essas categorias ganham peso no orçamento.</w:t>
      </w:r>
    </w:p>
    <w:p>
      <w:pPr>
        <w:pStyle w:val="Compact"/>
        <w:numPr>
          <w:ilvl w:val="0"/>
          <w:numId w:val="1274"/>
        </w:numPr>
      </w:pPr>
      <w:r>
        <w:rPr>
          <w:b/>
          <w:bCs/>
        </w:rPr>
        <w:t xml:space="preserve">Fumo como bem inferior:</w:t>
      </w:r>
      <w:r>
        <w:t xml:space="preserve"> </w:t>
      </w:r>
      <w:r>
        <w:t xml:space="preserve">O consumo de tabaco diminui ou estagna com aumentos de renda, refletindo tanto mudanças de preferências quanto políticas antitabagismo.</w:t>
      </w:r>
    </w:p>
    <w:p>
      <w:pPr>
        <w:pStyle w:val="Compact"/>
        <w:numPr>
          <w:ilvl w:val="0"/>
          <w:numId w:val="1274"/>
        </w:numPr>
      </w:pPr>
      <w:r>
        <w:rPr>
          <w:b/>
          <w:bCs/>
        </w:rPr>
        <w:t xml:space="preserve">Implicações para tributação:</w:t>
      </w:r>
      <w:r>
        <w:t xml:space="preserve"> </w:t>
      </w:r>
      <w:r>
        <w:t xml:space="preserve">A reforma tributária (EC 132/2023) e o imposto seletivo devem considerar essas elasticidades: tributar bens com</w:t>
      </w:r>
      <w:r>
        <w:t xml:space="preserve"> </w:t>
      </w:r>
      <m:oMath>
        <m:sSub>
          <m:e>
            <m:r>
              <m:t>ε</m:t>
            </m:r>
          </m:e>
          <m:sub>
            <m:r>
              <m:t>I</m:t>
            </m:r>
          </m:sub>
        </m:sSub>
      </m:oMath>
      <w:r>
        <w:t xml:space="preserve"> </w:t>
      </w:r>
      <w:r>
        <w:t xml:space="preserve">baixa (alimentos) é regressivo; tributar bens com</w:t>
      </w:r>
      <w:r>
        <w:t xml:space="preserve"> </w:t>
      </w:r>
      <m:oMath>
        <m:sSub>
          <m:e>
            <m:r>
              <m:t>ε</m:t>
            </m:r>
          </m:e>
          <m:sub>
            <m:r>
              <m:t>I</m:t>
            </m:r>
          </m:sub>
        </m:sSub>
      </m:oMath>
      <w:r>
        <w:t xml:space="preserve"> </w:t>
      </w:r>
      <w:r>
        <w:t xml:space="preserve">alta (luxo) é progressivo.</w:t>
      </w:r>
    </w:p>
    <w:p>
      <w:pPr>
        <w:pStyle w:val="BlockText"/>
      </w:pPr>
      <w:r>
        <w:rPr>
          <w:b/>
          <w:bCs/>
        </w:rPr>
        <w:t xml:space="preserve">Fontes:</w:t>
      </w:r>
      <w:r>
        <w:t xml:space="preserve"> </w:t>
      </w:r>
      <w:r>
        <w:t xml:space="preserve">IBGE, Pesquisa de Orçamentos Familiares 2017–2018; Almeida e Azzoni (2016),</w:t>
      </w:r>
      <w:r>
        <w:t xml:space="preserve"> </w:t>
      </w:r>
      <w:r>
        <w:rPr>
          <w:i/>
          <w:iCs/>
        </w:rPr>
        <w:t xml:space="preserve">Estudos Econômicos</w:t>
      </w:r>
      <w:r>
        <w:t xml:space="preserve">; Hoffmann, R. (2010),</w:t>
      </w:r>
      <w:r>
        <w:t xml:space="preserve"> </w:t>
      </w:r>
      <w:r>
        <w:t xml:space="preserve">“Estimativas das elasticidades-renda de várias categorias de despesa e de consumo, especialmente alimentos, no Brasil, com base na POF de 2008-2009”</w:t>
      </w:r>
      <w:r>
        <w:t xml:space="preserve">,</w:t>
      </w:r>
      <w:r>
        <w:t xml:space="preserve"> </w:t>
      </w:r>
      <w:r>
        <w:rPr>
          <w:i/>
          <w:iCs/>
        </w:rPr>
        <w:t xml:space="preserve">Revista de Economia Agrícola</w:t>
      </w:r>
      <w:r>
        <w:t xml:space="preserve">, 57(2), 49–62; Silveira et al. (2019),</w:t>
      </w:r>
      <w:r>
        <w:t xml:space="preserve"> </w:t>
      </w:r>
      <w:r>
        <w:t xml:space="preserve">“Impactos distributivos da tributação no Brasil”</w:t>
      </w:r>
      <w:r>
        <w:t xml:space="preserve">, IPEA.</w:t>
      </w:r>
    </w:p>
    <w:p>
      <w:r>
        <w:pict>
          <v:rect style="width:0;height:1.5pt" o:hralign="center" o:hrstd="t" o:hr="t"/>
        </w:pict>
      </w:r>
    </w:p>
    <w:p>
      <w:pPr>
        <w:pStyle w:val="FirstParagraph"/>
      </w:pPr>
      <w:r>
        <w:t xml:space="preserve">Para ilustrar concretamente as relações de substituição e complementaridade discutidas neste capítulo, apresentamos a seguir dois estudos de caso detalhados do mercado brasileiro — o primeiro sobre combustíveis (substituição quase pura) e o segundo sobre bebidas (um mosaico de relações cruzadas).</w:t>
      </w:r>
    </w:p>
    <w:p>
      <w:pPr>
        <w:pStyle w:val="BlockText"/>
      </w:pPr>
      <w:r>
        <w:rPr>
          <w:b/>
          <w:bCs/>
        </w:rPr>
        <w:t xml:space="preserve">[EXEMPLO] Gasolina versus etanol: substitutos na bomba</w:t>
      </w:r>
    </w:p>
    <w:p>
      <w:pPr>
        <w:pStyle w:val="BlockText"/>
      </w:pPr>
      <w:r>
        <w:t xml:space="preserve">O Brasil possui a maior frota</w:t>
      </w:r>
      <w:r>
        <w:t xml:space="preserve"> </w:t>
      </w:r>
      <w:r>
        <w:rPr>
          <w:i/>
          <w:iCs/>
        </w:rPr>
        <w:t xml:space="preserve">flex-fuel</w:t>
      </w:r>
      <w:r>
        <w:t xml:space="preserve"> </w:t>
      </w:r>
      <w:r>
        <w:t xml:space="preserve">do mundo: segundo a Anfavea, mais de 90% dos automóveis leves vendidos desde 2010 são bicombustíveis. Isso torna a escolha entre gasolina e etanol um caso quase puro de substituição, em que o consumidor compara preços a cada abastecimento.</w:t>
      </w:r>
    </w:p>
    <w:p>
      <w:pPr>
        <w:pStyle w:val="BlockText"/>
      </w:pPr>
      <w:r>
        <w:rPr>
          <w:b/>
          <w:bCs/>
        </w:rPr>
        <w:t xml:space="preserve">A regra dos 70%:</w:t>
      </w:r>
      <w:r>
        <w:t xml:space="preserve"> </w:t>
      </w:r>
      <w:r>
        <w:t xml:space="preserve">como o etanol possui menor conteúdo energético que a gasolina (cerca de 70%), o consumidor racional abastece com etanol quando seu preço é inferior a 70% do preço da gasolina. Dados do levantamento semanal da</w:t>
      </w:r>
      <w:r>
        <w:t xml:space="preserve"> </w:t>
      </w:r>
      <w:hyperlink r:id="rId190">
        <w:r>
          <w:rPr>
            <w:rStyle w:val="Hyperlink"/>
          </w:rPr>
          <w:t xml:space="preserve">ANP</w:t>
        </w:r>
      </w:hyperlink>
      <w:r>
        <w:t xml:space="preserve"> </w:t>
      </w:r>
      <w:r>
        <w:t xml:space="preserve">(Agência Nacional do Petróleo) mostram que essa regra é amplamente seguida na prática.</w:t>
      </w:r>
    </w:p>
    <w:p>
      <w:pPr>
        <w:pStyle w:val="BlockText"/>
      </w:pPr>
      <w:r>
        <w:rPr>
          <w:b/>
          <w:bCs/>
        </w:rPr>
        <w:t xml:space="preserve">Variação regional:</w:t>
      </w:r>
      <w:r>
        <w:t xml:space="preserve"> </w:t>
      </w:r>
      <w:r>
        <w:t xml:space="preserve">em março de 2024, segundo a ANP, o preço médio do etanol variava de R$ 3,49/litro em São Paulo (estado produtor de cana-de-açúcar) a R$ 5,19/litro no Amapá. Enquanto isso, a gasolina variava de R$ 5,72/litro (SP) a R$ 7,10/litro (AC). A razão etanol/gasolina ficava em torno de 61% em SP (favorável ao etanol) e 73% no AP (desfavorável).</w:t>
      </w:r>
    </w:p>
    <w:p>
      <w:pPr>
        <w:pStyle w:val="BlockText"/>
      </w:pPr>
      <w:r>
        <w:rPr>
          <w:b/>
          <w:bCs/>
        </w:rPr>
        <w:t xml:space="preserve">Elasticidade-preço cruzada:</w:t>
      </w:r>
      <w:r>
        <w:t xml:space="preserve"> </w:t>
      </w:r>
      <w:r>
        <w:t xml:space="preserve">estudos aplicados ao mercado brasileiro estimam elasticidades-preço cruzadas (bruta) entre gasolina e etanol na faixa de</w:t>
      </w:r>
      <w:r>
        <w:t xml:space="preserve"> </w:t>
      </w:r>
      <m:oMath>
        <m:r>
          <m:rPr>
            <m:sty m:val="p"/>
          </m:rPr>
          <m:t>+</m:t>
        </m:r>
        <m:r>
          <m:t>0</m:t>
        </m:r>
        <m:r>
          <m:rPr>
            <m:sty m:val="p"/>
          </m:rPr>
          <m:t>,</m:t>
        </m:r>
        <m:r>
          <m:t>50</m:t>
        </m:r>
      </m:oMath>
      <w:r>
        <w:t xml:space="preserve"> </w:t>
      </w:r>
      <w:r>
        <w:t xml:space="preserve">a</w:t>
      </w:r>
      <w:r>
        <w:t xml:space="preserve"> </w:t>
      </w:r>
      <m:oMath>
        <m:r>
          <m:rPr>
            <m:sty m:val="p"/>
          </m:rPr>
          <m:t>+</m:t>
        </m:r>
        <m:r>
          <m:t>0</m:t>
        </m:r>
        <m:r>
          <m:rPr>
            <m:sty m:val="p"/>
          </m:rPr>
          <m:t>,</m:t>
        </m:r>
        <m:r>
          <m:t>80</m:t>
        </m:r>
      </m:oMath>
      <w:r>
        <w:t xml:space="preserve"> </w:t>
      </w:r>
      <w:r>
        <w:t xml:space="preserve">— valores muito elevados, consistentes com o alto grau de substituição proporcionado pela tecnologia flex. Essa é uma das maiores elasticidades cruzadas observadas em mercados reais.</w:t>
      </w:r>
    </w:p>
    <w:p>
      <w:pPr>
        <w:pStyle w:val="BlockText"/>
      </w:pPr>
      <w:r>
        <w:rPr>
          <w:b/>
          <w:bCs/>
        </w:rPr>
        <w:t xml:space="preserve">Implicação para política tributária:</w:t>
      </w:r>
      <w:r>
        <w:t xml:space="preserve"> </w:t>
      </w:r>
      <w:r>
        <w:t xml:space="preserve">a tributação diferenciada entre gasolina e etanol (a gasolina possui alíquota de ICMS e CIDE mais elevadas) afeta diretamente a composição da demanda por combustíveis. A reforma tributária (EC 132/2023) e a regulamentação do imposto seletivo sobre combustíveis fósseis podem alterar substancialmente esses preços relativos.</w:t>
      </w:r>
    </w:p>
    <w:p>
      <w:pPr>
        <w:pStyle w:val="BlockText"/>
      </w:pPr>
      <w:r>
        <w:rPr>
          <w:i/>
          <w:iCs/>
        </w:rPr>
        <w:t xml:space="preserve">Fontes: ANP — Levantamento de Preços de Combustíveis; Anfavea — Anuário Estatístico; CEPEA/ESALQ — Indicador do Etanol.</w:t>
      </w:r>
    </w:p>
    <w:p>
      <w:r>
        <w:pict>
          <v:rect style="width:0;height:1.5pt" o:hralign="center" o:hrstd="t" o:hr="t"/>
        </w:pict>
      </w:r>
    </w:p>
    <w:p>
      <w:pPr>
        <w:pStyle w:val="BlockText"/>
      </w:pPr>
      <w:r>
        <w:rPr>
          <w:b/>
          <w:bCs/>
        </w:rPr>
        <w:t xml:space="preserve">[EXEMPLO] Substitutos e complementos no mercado de bebidas brasileiro</w:t>
      </w:r>
    </w:p>
    <w:p>
      <w:pPr>
        <w:pStyle w:val="BlockText"/>
      </w:pPr>
      <w:r>
        <w:t xml:space="preserve">O mercado brasileiro de bebidas é um laboratório natural para o estudo de relações cruzadas de demanda. Com faturamento superior a R$ 120 bilhões anuais e elevada penetração em todas as classes sociais, as categorias de cerveja, refrigerante e água mineral apresentam interações de preço particularmente reveladoras.</w:t>
      </w:r>
    </w:p>
    <w:p>
      <w:pPr>
        <w:pStyle w:val="BlockText"/>
      </w:pPr>
      <w:r>
        <w:rPr>
          <w:b/>
          <w:bCs/>
        </w:rPr>
        <w:t xml:space="preserve">Estrutura do mercado:</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Categoria</w:t>
            </w:r>
          </w:p>
        </w:tc>
        <w:tc>
          <w:tcPr/>
          <w:p>
            <w:pPr>
              <w:pStyle w:val="Compact"/>
              <w:jc w:val="center"/>
            </w:pPr>
            <w:r>
              <w:t xml:space="preserve">Participação no volume (%)</w:t>
            </w:r>
          </w:p>
        </w:tc>
        <w:tc>
          <w:tcPr/>
          <w:p>
            <w:pPr>
              <w:pStyle w:val="Compact"/>
              <w:jc w:val="center"/>
            </w:pPr>
            <w:r>
              <w:t xml:space="preserve">Tributação efetiva (IPI + ICMS)</w:t>
            </w:r>
          </w:p>
        </w:tc>
      </w:tr>
      <w:tr>
        <w:tc>
          <w:tcPr/>
          <w:p>
            <w:pPr>
              <w:pStyle w:val="Compact"/>
              <w:jc w:val="left"/>
            </w:pPr>
            <w:r>
              <w:t xml:space="preserve">Cerveja</w:t>
            </w:r>
          </w:p>
        </w:tc>
        <w:tc>
          <w:tcPr/>
          <w:p>
            <w:pPr>
              <w:pStyle w:val="Compact"/>
              <w:jc w:val="center"/>
            </w:pPr>
            <w:r>
              <w:t xml:space="preserve">38%</w:t>
            </w:r>
          </w:p>
        </w:tc>
        <w:tc>
          <w:tcPr/>
          <w:p>
            <w:pPr>
              <w:pStyle w:val="Compact"/>
              <w:jc w:val="center"/>
            </w:pPr>
            <w:r>
              <w:t xml:space="preserve">40–55%</w:t>
            </w:r>
          </w:p>
        </w:tc>
      </w:tr>
      <w:tr>
        <w:tc>
          <w:tcPr/>
          <w:p>
            <w:pPr>
              <w:pStyle w:val="Compact"/>
              <w:jc w:val="left"/>
            </w:pPr>
            <w:r>
              <w:t xml:space="preserve">Refrigerante</w:t>
            </w:r>
          </w:p>
        </w:tc>
        <w:tc>
          <w:tcPr/>
          <w:p>
            <w:pPr>
              <w:pStyle w:val="Compact"/>
              <w:jc w:val="center"/>
            </w:pPr>
            <w:r>
              <w:t xml:space="preserve">30%</w:t>
            </w:r>
          </w:p>
        </w:tc>
        <w:tc>
          <w:tcPr/>
          <w:p>
            <w:pPr>
              <w:pStyle w:val="Compact"/>
              <w:jc w:val="center"/>
            </w:pPr>
            <w:r>
              <w:t xml:space="preserve">30–45%</w:t>
            </w:r>
          </w:p>
        </w:tc>
      </w:tr>
      <w:tr>
        <w:tc>
          <w:tcPr/>
          <w:p>
            <w:pPr>
              <w:pStyle w:val="Compact"/>
              <w:jc w:val="left"/>
            </w:pPr>
            <w:r>
              <w:t xml:space="preserve">Água mineral</w:t>
            </w:r>
          </w:p>
        </w:tc>
        <w:tc>
          <w:tcPr/>
          <w:p>
            <w:pPr>
              <w:pStyle w:val="Compact"/>
              <w:jc w:val="center"/>
            </w:pPr>
            <w:r>
              <w:t xml:space="preserve">22%</w:t>
            </w:r>
          </w:p>
        </w:tc>
        <w:tc>
          <w:tcPr/>
          <w:p>
            <w:pPr>
              <w:pStyle w:val="Compact"/>
              <w:jc w:val="center"/>
            </w:pPr>
            <w:r>
              <w:t xml:space="preserve">15–25%</w:t>
            </w:r>
          </w:p>
        </w:tc>
      </w:tr>
      <w:tr>
        <w:tc>
          <w:tcPr/>
          <w:p>
            <w:pPr>
              <w:pStyle w:val="Compact"/>
              <w:jc w:val="left"/>
            </w:pPr>
            <w:r>
              <w:t xml:space="preserve">Sucos e outros</w:t>
            </w:r>
          </w:p>
        </w:tc>
        <w:tc>
          <w:tcPr/>
          <w:p>
            <w:pPr>
              <w:pStyle w:val="Compact"/>
              <w:jc w:val="center"/>
            </w:pPr>
            <w:r>
              <w:t xml:space="preserve">10%</w:t>
            </w:r>
          </w:p>
        </w:tc>
        <w:tc>
          <w:tcPr/>
          <w:p>
            <w:pPr>
              <w:pStyle w:val="Compact"/>
              <w:jc w:val="center"/>
            </w:pPr>
            <w:r>
              <w:t xml:space="preserve">20–35%</w:t>
            </w:r>
          </w:p>
        </w:tc>
      </w:tr>
    </w:tbl>
    <w:p>
      <w:pPr>
        <w:pStyle w:val="BlockText"/>
      </w:pPr>
      <w:r>
        <w:rPr>
          <w:i/>
          <w:iCs/>
        </w:rPr>
        <w:t xml:space="preserve">Fonte: ABRAS / Euromonitor (estimativas para o mercado brasileiro).</w:t>
      </w:r>
    </w:p>
    <w:p>
      <w:pPr>
        <w:pStyle w:val="BlockText"/>
      </w:pPr>
      <w:r>
        <w:rPr>
          <w:b/>
          <w:bCs/>
        </w:rPr>
        <w:t xml:space="preserve">Relações de substituição e complementaridade:</w:t>
      </w:r>
    </w:p>
    <w:p>
      <w:pPr>
        <w:pStyle w:val="BlockText"/>
        <w:numPr>
          <w:ilvl w:val="0"/>
          <w:numId w:val="1275"/>
        </w:numPr>
      </w:pPr>
      <w:r>
        <w:rPr>
          <w:b/>
          <w:bCs/>
        </w:rPr>
        <w:t xml:space="preserve">Cerveja e refrigerante</w:t>
      </w:r>
      <w:r>
        <w:t xml:space="preserve">: estudos com dados de scanner de supermercados encontram elasticidade-preço cruzada (bruta) entre</w:t>
      </w:r>
      <w:r>
        <w:t xml:space="preserve"> </w:t>
      </w:r>
      <m:oMath>
        <m:r>
          <m:rPr>
            <m:sty m:val="p"/>
          </m:rPr>
          <m:t>+</m:t>
        </m:r>
        <m:r>
          <m:t>0</m:t>
        </m:r>
        <m:r>
          <m:rPr>
            <m:sty m:val="p"/>
          </m:rPr>
          <m:t>,</m:t>
        </m:r>
        <m:r>
          <m:t>05</m:t>
        </m:r>
      </m:oMath>
      <w:r>
        <w:t xml:space="preserve"> </w:t>
      </w:r>
      <w:r>
        <w:t xml:space="preserve">e</w:t>
      </w:r>
      <w:r>
        <w:t xml:space="preserve"> </w:t>
      </w:r>
      <m:oMath>
        <m:r>
          <m:rPr>
            <m:sty m:val="p"/>
          </m:rPr>
          <m:t>+</m:t>
        </m:r>
        <m:r>
          <m:t>0</m:t>
        </m:r>
        <m:r>
          <m:rPr>
            <m:sty m:val="p"/>
          </m:rPr>
          <m:t>,</m:t>
        </m:r>
        <m:r>
          <m:t>15</m:t>
        </m:r>
      </m:oMath>
      <w:r>
        <w:t xml:space="preserve"> </w:t>
      </w:r>
      <w:r>
        <w:t xml:space="preserve">— substituição fraca. Após a decomposição de Slutsky, a substituição líquida é ligeiramente mais forte (</w:t>
      </w:r>
      <m:oMath>
        <m:r>
          <m:rPr>
            <m:sty m:val="p"/>
          </m:rPr>
          <m:t>+</m:t>
        </m:r>
        <m:r>
          <m:t>0</m:t>
        </m:r>
        <m:r>
          <m:rPr>
            <m:sty m:val="p"/>
          </m:rPr>
          <m:t>,</m:t>
        </m:r>
        <m:r>
          <m:t>12</m:t>
        </m:r>
      </m:oMath>
      <w:r>
        <w:t xml:space="preserve"> </w:t>
      </w:r>
      <w:r>
        <w:t xml:space="preserve">a</w:t>
      </w:r>
      <w:r>
        <w:t xml:space="preserve"> </w:t>
      </w:r>
      <m:oMath>
        <m:r>
          <m:rPr>
            <m:sty m:val="p"/>
          </m:rPr>
          <m:t>+</m:t>
        </m:r>
        <m:r>
          <m:t>0</m:t>
        </m:r>
        <m:r>
          <m:rPr>
            <m:sty m:val="p"/>
          </m:rPr>
          <m:t>,</m:t>
        </m:r>
        <m:r>
          <m:t>22</m:t>
        </m:r>
      </m:oMath>
      <w:r>
        <w:t xml:space="preserve">), indicando que parte do efeito observado é mascarado pelo efeito renda negativo (ambos são bens normais).</w:t>
      </w:r>
    </w:p>
    <w:p>
      <w:pPr>
        <w:pStyle w:val="BlockText"/>
        <w:numPr>
          <w:ilvl w:val="0"/>
          <w:numId w:val="1275"/>
        </w:numPr>
      </w:pPr>
      <w:r>
        <w:rPr>
          <w:b/>
          <w:bCs/>
        </w:rPr>
        <w:t xml:space="preserve">Cerveja e petiscos (amendoim, batata frita)</w:t>
      </w:r>
      <w:r>
        <w:t xml:space="preserve">: complementos brutos com elasticidade cruzada entre</w:t>
      </w:r>
      <w:r>
        <w:t xml:space="preserve"> </w:t>
      </w:r>
      <m:oMath>
        <m:r>
          <m:rPr>
            <m:sty m:val="p"/>
          </m:rPr>
          <m:t>−</m:t>
        </m:r>
        <m:r>
          <m:t>0</m:t>
        </m:r>
        <m:r>
          <m:rPr>
            <m:sty m:val="p"/>
          </m:rPr>
          <m:t>,</m:t>
        </m:r>
        <m:r>
          <m:t>20</m:t>
        </m:r>
      </m:oMath>
      <w:r>
        <w:t xml:space="preserve"> </w:t>
      </w:r>
      <w:r>
        <w:t xml:space="preserve">e</w:t>
      </w:r>
      <w:r>
        <w:t xml:space="preserve"> </w:t>
      </w:r>
      <m:oMath>
        <m:r>
          <m:rPr>
            <m:sty m:val="p"/>
          </m:rPr>
          <m:t>−</m:t>
        </m:r>
        <m:r>
          <m:t>0</m:t>
        </m:r>
        <m:r>
          <m:rPr>
            <m:sty m:val="p"/>
          </m:rPr>
          <m:t>,</m:t>
        </m:r>
        <m:r>
          <m:t>35</m:t>
        </m:r>
      </m:oMath>
      <w:r>
        <w:t xml:space="preserve">. O consumo conjunto é fortemente influenciado por ocasiões sociais, especialmente em bares.</w:t>
      </w:r>
    </w:p>
    <w:p>
      <w:pPr>
        <w:pStyle w:val="BlockText"/>
        <w:numPr>
          <w:ilvl w:val="0"/>
          <w:numId w:val="1275"/>
        </w:numPr>
      </w:pPr>
      <w:r>
        <w:rPr>
          <w:b/>
          <w:bCs/>
        </w:rPr>
        <w:t xml:space="preserve">Refrigerante e água mineral</w:t>
      </w:r>
      <w:r>
        <w:t xml:space="preserve">: a substituição tem crescido ao longo da última década, impulsionada por mudanças em preferências de saúde. Estimativas recentes sugerem elasticidade cruzada bruta entre</w:t>
      </w:r>
      <w:r>
        <w:t xml:space="preserve"> </w:t>
      </w:r>
      <m:oMath>
        <m:r>
          <m:rPr>
            <m:sty m:val="p"/>
          </m:rPr>
          <m:t>+</m:t>
        </m:r>
        <m:r>
          <m:t>0</m:t>
        </m:r>
        <m:r>
          <m:rPr>
            <m:sty m:val="p"/>
          </m:rPr>
          <m:t>,</m:t>
        </m:r>
        <m:r>
          <m:t>15</m:t>
        </m:r>
      </m:oMath>
      <w:r>
        <w:t xml:space="preserve"> </w:t>
      </w:r>
      <w:r>
        <w:t xml:space="preserve">e</w:t>
      </w:r>
      <w:r>
        <w:t xml:space="preserve"> </w:t>
      </w:r>
      <m:oMath>
        <m:r>
          <m:rPr>
            <m:sty m:val="p"/>
          </m:rPr>
          <m:t>+</m:t>
        </m:r>
        <m:r>
          <m:t>0</m:t>
        </m:r>
        <m:r>
          <m:rPr>
            <m:sty m:val="p"/>
          </m:rPr>
          <m:t>,</m:t>
        </m:r>
        <m:r>
          <m:t>30</m:t>
        </m:r>
      </m:oMath>
      <w:r>
        <w:t xml:space="preserve">.</w:t>
      </w:r>
    </w:p>
    <w:p>
      <w:pPr>
        <w:pStyle w:val="BlockText"/>
      </w:pPr>
      <w:r>
        <w:rPr>
          <w:b/>
          <w:bCs/>
        </w:rPr>
        <w:t xml:space="preserve">Impacto de tributação:</w:t>
      </w:r>
    </w:p>
    <w:p>
      <w:pPr>
        <w:pStyle w:val="BlockText"/>
      </w:pPr>
      <w:r>
        <w:t xml:space="preserve">A proposta de imposto seletivo sobre bebidas açucaradas (</w:t>
      </w:r>
      <w:r>
        <w:rPr>
          <w:i/>
          <w:iCs/>
        </w:rPr>
        <w:t xml:space="preserve">sugar tax</w:t>
      </w:r>
      <w:r>
        <w:t xml:space="preserve">), debatida no contexto da reforma tributária brasileira (EC 132/2023), fornece uma aplicação direta. Usando as elasticidades estimadas:</w:t>
      </w:r>
    </w:p>
    <w:p>
      <w:pPr>
        <w:pStyle w:val="Compact"/>
        <w:numPr>
          <w:ilvl w:val="0"/>
          <w:numId w:val="1276"/>
        </w:numPr>
      </w:pPr>
      <w:r>
        <w:t xml:space="preserve">Um imposto que elevasse o preço do refrigerante em 20% reduziria sua demanda em aproximadamente 12% (usando</w:t>
      </w:r>
      <w:r>
        <w:t xml:space="preserve"> </w:t>
      </w:r>
      <m:oMath>
        <m:sSub>
          <m:e>
            <m:r>
              <m:t>ε</m:t>
            </m:r>
          </m:e>
          <m:sub>
            <m:r>
              <m:t>p</m:t>
            </m:r>
          </m:sub>
        </m:sSub>
        <m:r>
          <m:rPr>
            <m:sty m:val="p"/>
          </m:rPr>
          <m:t>≈</m:t>
        </m:r>
        <m:r>
          <m:rPr>
            <m:sty m:val="p"/>
          </m:rPr>
          <m:t>−</m:t>
        </m:r>
        <m:r>
          <m:t>0</m:t>
        </m:r>
        <m:r>
          <m:rPr>
            <m:sty m:val="p"/>
          </m:rPr>
          <m:t>,</m:t>
        </m:r>
        <m:r>
          <m:t>60</m:t>
        </m:r>
      </m:oMath>
      <w:r>
        <w:t xml:space="preserve">).</w:t>
      </w:r>
    </w:p>
    <w:p>
      <w:pPr>
        <w:pStyle w:val="Compact"/>
        <w:numPr>
          <w:ilvl w:val="0"/>
          <w:numId w:val="1276"/>
        </w:numPr>
      </w:pPr>
      <w:r>
        <w:t xml:space="preserve">A demanda por água mineral subiria entre 3% e 6% (efeito substituição cruzado).</w:t>
      </w:r>
    </w:p>
    <w:p>
      <w:pPr>
        <w:pStyle w:val="Compact"/>
        <w:numPr>
          <w:ilvl w:val="0"/>
          <w:numId w:val="1276"/>
        </w:numPr>
      </w:pPr>
      <w:r>
        <w:t xml:space="preserve">A demanda por cerveja teria variação ambígua, com efeito substituição positivo parcialmente compensado pelo efeito renda negativo.</w:t>
      </w:r>
    </w:p>
    <w:p>
      <w:pPr>
        <w:pStyle w:val="BlockText"/>
      </w:pPr>
      <w:r>
        <w:t xml:space="preserve">O Teorema do Bem Composto de Hicks pode ser aplicado aqui: se os preços de cerveja, suco e água variam proporcionalmente entre si (por exemplo, por inflação geral), podemos tratá-los como um bem composto</w:t>
      </w:r>
      <w:r>
        <w:t xml:space="preserve"> </w:t>
      </w:r>
      <w:r>
        <w:t xml:space="preserve">“outras bebidas”</w:t>
      </w:r>
      <w:r>
        <w:t xml:space="preserve"> </w:t>
      </w:r>
      <w:r>
        <w:t xml:space="preserve">e analisar a demanda de refrigerante contra esse composto. Porém, se a tributação incide seletivamente sobre o refrigerante, o teorema exige que apenas a relação refrigerante versus cada um dos outros bens seja analisada separadamente.</w:t>
      </w:r>
    </w:p>
    <w:p>
      <w:pPr>
        <w:pStyle w:val="BlockText"/>
      </w:pPr>
      <w:r>
        <w:rPr>
          <w:i/>
          <w:iCs/>
        </w:rPr>
        <w:t xml:space="preserve">Fontes: ABRAS — Associação Brasileira de Supermercados; POF/IBGE; Euromonitor International — relatórios de bebidas não alcoólicas; análises do IFI/Senado sobre a reforma tributária.</w:t>
      </w:r>
    </w:p>
    <w:p>
      <w:pPr>
        <w:pStyle w:val="BlockText"/>
      </w:pPr>
      <w:r>
        <w:rPr>
          <w:b/>
          <w:bCs/>
        </w:rPr>
        <w:t xml:space="preserve">[BOX MUNDO] Box Mundo 6.3 — Elasticidades da demanda por gasolina ao redor do mundo: por que a mesma teoria gera respostas tão diferentes?</w:t>
      </w:r>
    </w:p>
    <w:p>
      <w:pPr>
        <w:pStyle w:val="BlockText"/>
      </w:pPr>
      <w:r>
        <w:rPr>
          <w:b/>
          <w:bCs/>
        </w:rPr>
        <w:t xml:space="preserve">Contexto:</w:t>
      </w:r>
      <w:r>
        <w:t xml:space="preserve"> </w:t>
      </w:r>
      <w:r>
        <w:t xml:space="preserve">A elasticidade-preço da demanda — conceito central deste capítulo — é uma das grandezas mais estimadas em economia aplicada, e a gasolina é talvez o bem mais estudado empiricamente. A teoria prevê que a elasticidade depende da disponibilidade de substitutos, da parcela do orçamento e do horizonte temporal (curto vs. longo prazo). Uma comparação internacional das elasticidades da demanda por gasolina oferece uma ilustração poderosa de como o mesmo arcabouço teórico gera respostas quantitativas muito diferentes conforme o contexto institucional, geográfico e de política pública — exatamente a questão da heterogeneidade entre países que a Seção 6.7 levanta no contexto da agregação.</w:t>
      </w:r>
    </w:p>
    <w:p>
      <w:pPr>
        <w:pStyle w:val="BlockText"/>
      </w:pPr>
      <w:r>
        <w:rPr>
          <w:b/>
          <w:bCs/>
        </w:rPr>
        <w:t xml:space="preserve">Dados:</w:t>
      </w:r>
      <w:r>
        <w:t xml:space="preserve"> </w:t>
      </w:r>
      <w:r>
        <w:t xml:space="preserve">A meta-análise mais abrangente é a de Labandeira, Labeaga e López-Otero (2017,</w:t>
      </w:r>
      <w:r>
        <w:t xml:space="preserve"> </w:t>
      </w:r>
      <w:r>
        <w:rPr>
          <w:i/>
          <w:iCs/>
        </w:rPr>
        <w:t xml:space="preserve">Energy Economics</w:t>
      </w:r>
      <w:r>
        <w:t xml:space="preserve">), que compilou mais de 200 estimativas de elasticidade-preço da demanda por gasolina em 45 países. Os resultados revelam padrões notáveis: a elasticidade-preço de</w:t>
      </w:r>
      <w:r>
        <w:t xml:space="preserve"> </w:t>
      </w:r>
      <w:r>
        <w:rPr>
          <w:b/>
          <w:bCs/>
        </w:rPr>
        <w:t xml:space="preserve">curto prazo</w:t>
      </w:r>
      <w:r>
        <w:t xml:space="preserve"> </w:t>
      </w:r>
      <w:r>
        <w:t xml:space="preserve">varia de -0,09 (EUA) a -0,34 (países europeus com altos impostos sobre combustíveis e bom transporte público), com mediana global de -0,20. A elasticidade de</w:t>
      </w:r>
      <w:r>
        <w:t xml:space="preserve"> </w:t>
      </w:r>
      <w:r>
        <w:rPr>
          <w:b/>
          <w:bCs/>
        </w:rPr>
        <w:t xml:space="preserve">longo prazo</w:t>
      </w:r>
      <w:r>
        <w:t xml:space="preserve"> </w:t>
      </w:r>
      <w:r>
        <w:t xml:space="preserve">é substancialmente maior em valor absoluto: mediana de -0,55, variando de -0,28 (EUA) a -0,84 (Reino Unido). A IEA (</w:t>
      </w:r>
      <w:r>
        <w:rPr>
          <w:i/>
          <w:iCs/>
        </w:rPr>
        <w:t xml:space="preserve">International Energy Agency</w:t>
      </w:r>
      <w:r>
        <w:t xml:space="preserve">, 2022) reporta que países com alta tributação de combustíveis (Noruega: US$ 3,10/litro de imposto; Países Baixos: US$ 2,80/litro) apresentam consumo per capita de gasolina 60–70% inferior ao dos EUA (imposto de US$ 0,15/litro), refletindo ajustes de longo prazo no parque veicular, na infraestrutura de transporte público e no padrão de urbanização. No Brasil, a presença da frota</w:t>
      </w:r>
      <w:r>
        <w:t xml:space="preserve"> </w:t>
      </w:r>
      <w:r>
        <w:rPr>
          <w:i/>
          <w:iCs/>
        </w:rPr>
        <w:t xml:space="preserve">flex-fuel</w:t>
      </w:r>
      <w:r>
        <w:t xml:space="preserve"> </w:t>
      </w:r>
      <w:r>
        <w:t xml:space="preserve">e do etanol como substituto direto eleva a elasticidade-preço cruzada gasolina-etanol para valores entre +0,80 e +1,40 (ANP/IPEA), uma das mais altas do mundo — resultado direto da alta substituibilidade discutida na Seção 6.3.</w:t>
      </w:r>
    </w:p>
    <w:p>
      <w:pPr>
        <w:pStyle w:val="BlockText"/>
      </w:pPr>
      <w:r>
        <w:rPr>
          <w:b/>
          <w:bCs/>
        </w:rPr>
        <w:t xml:space="preserve">Análise:</w:t>
      </w:r>
      <w:r>
        <w:t xml:space="preserve"> </w:t>
      </w:r>
      <w:r>
        <w:t xml:space="preserve">A variação internacional nas elasticidades confirma as previsões teóricas das Seções 6.1 a 6.5. Nos EUA, onde distâncias são longas, transporte público é escasso e a cultura automotiva é dominante, a demanda por gasolina é altamente inelástica porque os substitutos são limitados no curto prazo. Na Europa, onde trens, metrôs e ciclovias oferecem alternativas viáveis, a substituibilidade é maior e a demanda é mais elástica. O Brasil ocupa posição singular: a frota</w:t>
      </w:r>
      <w:r>
        <w:t xml:space="preserve"> </w:t>
      </w:r>
      <w:r>
        <w:rPr>
          <w:i/>
          <w:iCs/>
        </w:rPr>
        <w:t xml:space="preserve">flex-fuel</w:t>
      </w:r>
      <w:r>
        <w:t xml:space="preserve"> </w:t>
      </w:r>
      <w:r>
        <w:t xml:space="preserve">cria um substituto quase perfeito (etanol), gerando elasticidades cruzadas excepcionalmente altas e tornando a demanda por gasolina mais sensível ao preço relativo gasolina/etanol do que ao preço absoluto da gasolina. Esses padrões ilustram que a elasticidade não é uma constante física do bem — ela é uma propriedade do bem</w:t>
      </w:r>
      <w:r>
        <w:t xml:space="preserve"> </w:t>
      </w:r>
      <w:r>
        <w:rPr>
          <w:i/>
          <w:iCs/>
        </w:rPr>
        <w:t xml:space="preserve">no contexto</w:t>
      </w:r>
      <w:r>
        <w:t xml:space="preserve"> </w:t>
      </w:r>
      <w:r>
        <w:t xml:space="preserve">de um mercado específico, com seus substitutos, sua infraestrutura e suas políticas. Para o formulador de políticas, a implicação é direta: impostos sobre combustíveis são instrumentos fiscais eficientes onde a demanda é inelástica, mas instrumentos ambientais eficazes apenas onde a elasticidade é suficiente para induzir mudança comportamental.</w:t>
      </w:r>
    </w:p>
    <w:p>
      <w:pPr>
        <w:pStyle w:val="BlockText"/>
      </w:pPr>
      <w:r>
        <w:rPr>
          <w:b/>
          <w:bCs/>
        </w:rPr>
        <w:t xml:space="preserve">Fonte:</w:t>
      </w:r>
      <w:r>
        <w:t xml:space="preserve"> </w:t>
      </w:r>
      <w:r>
        <w:t xml:space="preserve">Labandeira, X.; Labeaga, J. M.; López-Otero, X. (2017). A meta-analysis on the price elasticity of energy demand.</w:t>
      </w:r>
      <w:r>
        <w:t xml:space="preserve"> </w:t>
      </w:r>
      <w:r>
        <w:rPr>
          <w:i/>
          <w:iCs/>
        </w:rPr>
        <w:t xml:space="preserve">Energy Policy</w:t>
      </w:r>
      <w:r>
        <w:t xml:space="preserve">, 102, 549–568. IEA — International Energy Agency (2022).</w:t>
      </w:r>
      <w:r>
        <w:t xml:space="preserve"> </w:t>
      </w:r>
      <w:r>
        <w:rPr>
          <w:i/>
          <w:iCs/>
        </w:rPr>
        <w:t xml:space="preserve">World Energy Outlook 2022</w:t>
      </w:r>
      <w:r>
        <w:t xml:space="preserve">. Paris: IEA. ANP — Agência Nacional do Petróleo, Gás Natural e Biocombustíveis; IPEA — Instituto de Pesquisa Econômica Aplicada.</w:t>
      </w:r>
    </w:p>
    <w:p>
      <w:r>
        <w:pict>
          <v:rect style="width:0;height:1.5pt" o:hralign="center" o:hrstd="t" o:hr="t"/>
        </w:pict>
      </w:r>
    </w:p>
    <w:p>
      <w:pPr>
        <w:pStyle w:val="FirstParagraph"/>
      </w:pPr>
      <w:r>
        <w:t xml:space="preserve">Nenhum bem é uma ilha — e este capítulo mapeou o arquipélago. Substitutos, complementos, elasticidades cruzadas e a matriz de Slutsky são as ferramentas que revelam como os bens se conectam. Com elas, o economista pode prever não apenas o que acontece quando o preço de</w:t>
      </w:r>
      <w:r>
        <w:t xml:space="preserve"> </w:t>
      </w:r>
      <w:r>
        <w:rPr>
          <w:i/>
          <w:iCs/>
        </w:rPr>
        <w:t xml:space="preserve">um</w:t>
      </w:r>
      <w:r>
        <w:t xml:space="preserve"> </w:t>
      </w:r>
      <w:r>
        <w:t xml:space="preserve">bem muda, mas o efeito cascata sobre</w:t>
      </w:r>
      <w:r>
        <w:t xml:space="preserve"> </w:t>
      </w:r>
      <w:r>
        <w:rPr>
          <w:i/>
          <w:iCs/>
        </w:rPr>
        <w:t xml:space="preserve">todos</w:t>
      </w:r>
      <w:r>
        <w:t xml:space="preserve"> </w:t>
      </w:r>
      <w:r>
        <w:t xml:space="preserve">os demais.</w:t>
      </w:r>
    </w:p>
    <w:p>
      <w:pPr>
        <w:pStyle w:val="BodyText"/>
      </w:pPr>
      <w:r>
        <w:t xml:space="preserve">Se você sair deste capítulo com três convicções, que sejam estas:</w:t>
      </w:r>
    </w:p>
    <w:p>
      <w:pPr>
        <w:pStyle w:val="Compact"/>
        <w:numPr>
          <w:ilvl w:val="0"/>
          <w:numId w:val="1277"/>
        </w:numPr>
      </w:pPr>
      <w:r>
        <w:rPr>
          <w:b/>
          <w:bCs/>
        </w:rPr>
        <w:t xml:space="preserve">A classificação depende da lente.</w:t>
      </w:r>
      <w:r>
        <w:t xml:space="preserve"> </w:t>
      </w:r>
      <w:r>
        <w:t xml:space="preserve">Substituto bruto e substituto líquido são perguntas diferentes — a primeira mistura efeito renda, a segunda isola a substituição pura. Nunca confunda observação de mercado com estrutura de preferências.</w:t>
      </w:r>
    </w:p>
    <w:p>
      <w:pPr>
        <w:pStyle w:val="Compact"/>
        <w:numPr>
          <w:ilvl w:val="0"/>
          <w:numId w:val="1277"/>
        </w:numPr>
      </w:pPr>
      <w:r>
        <w:rPr>
          <w:b/>
          <w:bCs/>
        </w:rPr>
        <w:t xml:space="preserve">Simplificar é arte, não preguiça.</w:t>
      </w:r>
      <w:r>
        <w:t xml:space="preserve"> </w:t>
      </w:r>
      <w:r>
        <w:t xml:space="preserve">O Teorema do Bem Composto e o modelo de Lancaster são formas disciplinadas de reduzir a complexidade de uma economia com milhares de bens sem perder o essencial — desde que suas condições sejam satisfeitas.</w:t>
      </w:r>
    </w:p>
    <w:p>
      <w:pPr>
        <w:pStyle w:val="Compact"/>
        <w:numPr>
          <w:ilvl w:val="0"/>
          <w:numId w:val="1277"/>
        </w:numPr>
      </w:pPr>
      <w:r>
        <w:rPr>
          <w:b/>
          <w:bCs/>
        </w:rPr>
        <w:t xml:space="preserve">Distribuição importa.</w:t>
      </w:r>
      <w:r>
        <w:t xml:space="preserve"> </w:t>
      </w:r>
      <w:r>
        <w:t xml:space="preserve">A demanda de mercado não depende só da renda total, mas de como ela é distribuída. Ignorar a heterogeneidade dos consumidores é assumir a condição de Gorman — e a evidência empírica rejeita essa hipótese sistematicamente.</w:t>
      </w:r>
    </w:p>
    <w:p>
      <w:pPr>
        <w:pStyle w:val="FirstParagraph"/>
      </w:pPr>
      <w:r>
        <w:rPr>
          <w:i/>
          <w:iCs/>
        </w:rPr>
        <w:t xml:space="preserve">Nenhum bem é uma ilha — e agora sabemos mapear as pontes entre eles. No próximo capítulo, tiramos a última certeza: o consumidor descobre que não sabe o que o futuro reserva.</w:t>
      </w:r>
    </w:p>
    <w:p>
      <w:r>
        <w:pict>
          <v:rect style="width:0;height:1.5pt" o:hralign="center" o:hrstd="t" o:hr="t"/>
        </w:pict>
      </w:r>
    </w:p>
    <w:p>
      <w:pPr>
        <w:pStyle w:val="FirstParagraph"/>
      </w:pPr>
      <w:r>
        <w:t xml:space="preserve">[FIGURA INTERATIVA: /micro-book/graficos/cap06/webr-elasticidades.html — versao interativa disponivel online]</w:t>
      </w:r>
    </w:p>
    <w:p>
      <w:pPr>
        <w:pStyle w:val="BodyText"/>
      </w:pPr>
      <w:r>
        <w:rPr>
          <w:b/>
          <w:bCs/>
        </w:rPr>
        <w:t xml:space="preserve">WebR 6.1 — Elasticidades cruzadas com CES.</w:t>
      </w:r>
      <w:r>
        <w:t xml:space="preserve"> </w:t>
      </w:r>
      <w:r>
        <w:t xml:space="preserve">Altere ρ para ver bens se transformarem de substitutos (ρ positivo, elasticidade cruzada &gt; 0) em complementos (ρ negativo). O painel direito mostra a elasticidade cruzada mudando de sinal.</w:t>
      </w:r>
    </w:p>
    <w:p>
      <w:pPr>
        <w:pStyle w:val="BodyText"/>
      </w:pPr>
      <w:r>
        <w:t xml:space="preserve">[FIGURA INTERATIVA: /micro-book/graficos/cap06/webr-receita-elasticidade.html — versao interativa disponivel online]</w:t>
      </w:r>
    </w:p>
    <w:p>
      <w:pPr>
        <w:pStyle w:val="BodyText"/>
      </w:pPr>
      <w:r>
        <w:rPr>
          <w:b/>
          <w:bCs/>
        </w:rPr>
        <w:t xml:space="preserve">WebR 6.2 — Elasticidade e receita total.</w:t>
      </w:r>
      <w:r>
        <w:t xml:space="preserve"> </w:t>
      </w:r>
      <w:r>
        <w:t xml:space="preserve">A regra de ouro: dRT/dP = Q(1 + 1/E). Com demanda elástica, subir preço reduz receita; com inelástica, aumenta. Altere E para ver o efeito na receita.</w:t>
      </w:r>
    </w:p>
    <w:p>
      <w:pPr>
        <w:pStyle w:val="BodyText"/>
      </w:pPr>
      <w:r>
        <w:t xml:space="preserve">[FIGURA INTERATIVA: /micro-book/graficos/cap06/webr-agregacao.html — versao interativa disponivel online]</w:t>
      </w:r>
    </w:p>
    <w:p>
      <w:pPr>
        <w:pStyle w:val="BodyText"/>
      </w:pPr>
      <w:r>
        <w:rPr>
          <w:b/>
          <w:bCs/>
        </w:rPr>
        <w:t xml:space="preserve">WebR 6.3 — Soma horizontal: da demanda individual à de mercado.</w:t>
      </w:r>
      <w:r>
        <w:t xml:space="preserve"> </w:t>
      </w:r>
      <w:r>
        <w:t xml:space="preserve">Três consumidores com demandas diferentes geram uma demanda de mercado com kinks nos preços de exclusão. Veja como consumidores</w:t>
      </w:r>
      <w:r>
        <w:t xml:space="preserve"> </w:t>
      </w:r>
      <w:r>
        <w:t xml:space="preserve">“saem”</w:t>
      </w:r>
      <w:r>
        <w:t xml:space="preserve"> </w:t>
      </w:r>
      <w:r>
        <w:t xml:space="preserve">do mercado em preços diferentes.</w:t>
      </w:r>
    </w:p>
    <w:p>
      <w:pPr>
        <w:pStyle w:val="BodyText"/>
      </w:pPr>
      <w:r>
        <w:t xml:space="preserve">[FIGURA INTERATIVA: /micro-book/graficos/cap06/webr-bem-composto.html — versao interativa disponivel online]</w:t>
      </w:r>
    </w:p>
    <w:p>
      <w:pPr>
        <w:pStyle w:val="BodyText"/>
      </w:pPr>
      <w:r>
        <w:rPr>
          <w:b/>
          <w:bCs/>
        </w:rPr>
        <w:t xml:space="preserve">WebR 6.4 — Teorema do Bem Composto de Hicks.</w:t>
      </w:r>
      <w:r>
        <w:t xml:space="preserve"> </w:t>
      </w:r>
      <w:r>
        <w:t xml:space="preserve">Se os preços de um grupo de bens se movem proporcionalmente, o grupo inteiro pode ser tratado como um único bem. O código mostra que y/z permanece constante.</w:t>
      </w:r>
    </w:p>
    <w:p>
      <w:r>
        <w:pict>
          <v:rect style="width:0;height:1.5pt" o:hralign="center" o:hrstd="t" o:hr="t"/>
        </w:pict>
      </w:r>
    </w:p>
    <w:p>
      <w:pPr>
        <w:pStyle w:val="BlockText"/>
      </w:pPr>
      <w:r>
        <w:rPr>
          <w:b/>
          <w:bCs/>
        </w:rPr>
        <w:t xml:space="preserve">[ATIVIDADE DE SALA] Atividade 6.1 — Substitutos ou complementos? O jogo da classificação (15 min)</w:t>
      </w:r>
    </w:p>
    <w:p>
      <w:pPr>
        <w:pStyle w:val="BlockText"/>
      </w:pPr>
      <w:r>
        <w:rPr>
          <w:b/>
          <w:bCs/>
        </w:rPr>
        <w:t xml:space="preserve">Objetivo:</w:t>
      </w:r>
      <w:r>
        <w:t xml:space="preserve"> </w:t>
      </w:r>
      <w:r>
        <w:t xml:space="preserve">Treinar a distinção entre substitutos/complementos brutos e líquidos usando pares de bens reais brasileiros.</w:t>
      </w:r>
    </w:p>
    <w:p>
      <w:pPr>
        <w:pStyle w:val="BlockText"/>
      </w:pPr>
      <w:r>
        <w:rPr>
          <w:b/>
          <w:bCs/>
        </w:rPr>
        <w:t xml:space="preserve">Material:</w:t>
      </w:r>
      <w:r>
        <w:t xml:space="preserve"> </w:t>
      </w:r>
      <w:r>
        <w:t xml:space="preserve">Cartões (ou Mentimeter) com pares de bens.</w:t>
      </w:r>
    </w:p>
    <w:p>
      <w:pPr>
        <w:pStyle w:val="BlockText"/>
      </w:pPr>
      <w:r>
        <w:rPr>
          <w:b/>
          <w:bCs/>
        </w:rPr>
        <w:t xml:space="preserve">Protocolo:</w:t>
      </w:r>
    </w:p>
    <w:p>
      <w:pPr>
        <w:pStyle w:val="Compact"/>
        <w:numPr>
          <w:ilvl w:val="0"/>
          <w:numId w:val="1278"/>
        </w:numPr>
      </w:pPr>
      <w:r>
        <w:rPr>
          <w:b/>
          <w:bCs/>
        </w:rPr>
        <w:t xml:space="preserve">Setup</w:t>
      </w:r>
      <w:r>
        <w:t xml:space="preserve"> </w:t>
      </w:r>
      <w:r>
        <w:t xml:space="preserve">(2 min): Distribua (ou projete) 8 pares de bens: (1) Gasolina e etanol, (2) Café e açúcar, (3) iPhone e capinha, (4) Carne bovina e frango, (5) Uber e metrô, (6) Arroz e feijão, (7) Netflix e cinema, (8) Cerveja e amendoim.</w:t>
      </w:r>
    </w:p>
    <w:p>
      <w:pPr>
        <w:pStyle w:val="Compact"/>
        <w:numPr>
          <w:ilvl w:val="0"/>
          <w:numId w:val="1278"/>
        </w:numPr>
      </w:pPr>
      <w:r>
        <w:rPr>
          <w:b/>
          <w:bCs/>
        </w:rPr>
        <w:t xml:space="preserve">Votação individual</w:t>
      </w:r>
      <w:r>
        <w:t xml:space="preserve"> </w:t>
      </w:r>
      <w:r>
        <w:t xml:space="preserve">(3 min): Para cada par, o aluno vota:</w:t>
      </w:r>
      <w:r>
        <w:t xml:space="preserve"> </w:t>
      </w:r>
      <w:r>
        <w:t xml:space="preserve">“Substituto bruto”</w:t>
      </w:r>
      <w:r>
        <w:t xml:space="preserve">,</w:t>
      </w:r>
      <w:r>
        <w:t xml:space="preserve"> </w:t>
      </w:r>
      <w:r>
        <w:t xml:space="preserve">“Complemento bruto”</w:t>
      </w:r>
      <w:r>
        <w:t xml:space="preserve"> </w:t>
      </w:r>
      <w:r>
        <w:t xml:space="preserve">ou</w:t>
      </w:r>
      <w:r>
        <w:t xml:space="preserve"> </w:t>
      </w:r>
      <w:r>
        <w:t xml:space="preserve">“Depende”</w:t>
      </w:r>
      <w:r>
        <w:t xml:space="preserve">. Use Mentimeter ou cartões coloridos (verde = substituto, vermelho = complemento, amarelo = depende).</w:t>
      </w:r>
    </w:p>
    <w:p>
      <w:pPr>
        <w:pStyle w:val="Compact"/>
        <w:numPr>
          <w:ilvl w:val="0"/>
          <w:numId w:val="1278"/>
        </w:numPr>
      </w:pPr>
      <w:r>
        <w:rPr>
          <w:b/>
          <w:bCs/>
        </w:rPr>
        <w:t xml:space="preserve">Revelação e debate</w:t>
      </w:r>
      <w:r>
        <w:t xml:space="preserve"> </w:t>
      </w:r>
      <w:r>
        <w:t xml:space="preserve">(5 min): Mostre os resultados. Foque nos pares controversos. Tipicamente: (6) Arroz e feijão dividem a turma — são complementos no prato, mas substitutos como fontes de carboidrato/proteína? (8) Cerveja e amendoim — complementos no bar, mas a classificação</w:t>
      </w:r>
      <w:r>
        <w:t xml:space="preserve"> </w:t>
      </w:r>
      <w:r>
        <w:rPr>
          <w:i/>
          <w:iCs/>
        </w:rPr>
        <w:t xml:space="preserve">hicksiana</w:t>
      </w:r>
      <w:r>
        <w:t xml:space="preserve"> </w:t>
      </w:r>
      <w:r>
        <w:t xml:space="preserve">pode diferir.</w:t>
      </w:r>
    </w:p>
    <w:p>
      <w:pPr>
        <w:pStyle w:val="Compact"/>
        <w:numPr>
          <w:ilvl w:val="0"/>
          <w:numId w:val="1278"/>
        </w:numPr>
      </w:pPr>
      <w:r>
        <w:rPr>
          <w:b/>
          <w:bCs/>
        </w:rPr>
        <w:t xml:space="preserve">Debrief</w:t>
      </w:r>
      <w:r>
        <w:t xml:space="preserve"> </w:t>
      </w:r>
      <w:r>
        <w:t xml:space="preserve">(5 min):</w:t>
      </w:r>
    </w:p>
    <w:p>
      <w:pPr>
        <w:pStyle w:val="Compact"/>
        <w:numPr>
          <w:ilvl w:val="1"/>
          <w:numId w:val="1279"/>
        </w:numPr>
      </w:pPr>
      <w:r>
        <w:t xml:space="preserve">“A resposta depende de qual pergunta fazemos: a classificação</w:t>
      </w:r>
      <w:r>
        <w:t xml:space="preserve"> </w:t>
      </w:r>
      <w:r>
        <w:rPr>
          <w:i/>
          <w:iCs/>
        </w:rPr>
        <w:t xml:space="preserve">bruta</w:t>
      </w:r>
      <w:r>
        <w:t xml:space="preserve"> </w:t>
      </w:r>
      <w:r>
        <w:t xml:space="preserve">(marshalliana) inclui o efeito renda; a</w:t>
      </w:r>
      <w:r>
        <w:t xml:space="preserve"> </w:t>
      </w:r>
      <w:r>
        <w:rPr>
          <w:i/>
          <w:iCs/>
        </w:rPr>
        <w:t xml:space="preserve">líquida</w:t>
      </w:r>
      <w:r>
        <w:t xml:space="preserve"> </w:t>
      </w:r>
      <w:r>
        <w:t xml:space="preserve">(hicksiana) isola a substituição pura.”</w:t>
      </w:r>
    </w:p>
    <w:p>
      <w:pPr>
        <w:pStyle w:val="Compact"/>
        <w:numPr>
          <w:ilvl w:val="1"/>
          <w:numId w:val="1279"/>
        </w:numPr>
      </w:pPr>
      <w:r>
        <w:t xml:space="preserve">“Arroz e feijão: se o arroz encarece e sua renda é compensada, você come mais feijão? Se sim, são substitutos líquidos — mesmo que no prato sejam</w:t>
      </w:r>
      <w:r>
        <w:t xml:space="preserve"> </w:t>
      </w:r>
      <w:r>
        <w:t xml:space="preserve">‘complementos culturais’</w:t>
      </w:r>
      <w:r>
        <w:t xml:space="preserve">.”</w:t>
      </w:r>
    </w:p>
    <w:p>
      <w:pPr>
        <w:pStyle w:val="Compact"/>
        <w:numPr>
          <w:ilvl w:val="1"/>
          <w:numId w:val="1279"/>
        </w:numPr>
      </w:pPr>
      <w:r>
        <w:t xml:space="preserve">Conecte com a Seção 6.2 (brutos) vs. 6.3 (líquidos) e com a assimetria dos efeitos brutos.</w:t>
      </w:r>
    </w:p>
    <w:p>
      <w:pPr>
        <w:pStyle w:val="BlockText"/>
      </w:pPr>
      <w:r>
        <w:rPr>
          <w:b/>
          <w:bCs/>
        </w:rPr>
        <w:t xml:space="preserve">Conexão com o conteúdo:</w:t>
      </w:r>
      <w:r>
        <w:t xml:space="preserve"> </w:t>
      </w:r>
      <w:r>
        <w:t xml:space="preserve">Seções 6.1–6.3 (classificação de bens), 6.8 (tabela de classificação com dados brasileiros).</w:t>
      </w:r>
    </w:p>
    <w:p>
      <w:pPr>
        <w:pStyle w:val="BlockText"/>
      </w:pPr>
      <w:r>
        <w:rPr>
          <w:b/>
          <w:bCs/>
        </w:rPr>
        <w:t xml:space="preserve">[ATIVIDADE DE SALA] Atividade 6.2 — O Teorema do Bem Composto na prática: quando simplificar é legítimo? (10 min)</w:t>
      </w:r>
    </w:p>
    <w:p>
      <w:pPr>
        <w:pStyle w:val="BlockText"/>
      </w:pPr>
      <w:r>
        <w:rPr>
          <w:b/>
          <w:bCs/>
        </w:rPr>
        <w:t xml:space="preserve">Objetivo:</w:t>
      </w:r>
      <w:r>
        <w:t xml:space="preserve"> </w:t>
      </w:r>
      <w:r>
        <w:t xml:space="preserve">Entender intuitivamente quando é válido agregar vários bens em um único</w:t>
      </w:r>
      <w:r>
        <w:t xml:space="preserve"> </w:t>
      </w:r>
      <w:r>
        <w:t xml:space="preserve">“bem composto”</w:t>
      </w:r>
      <w:r>
        <w:t xml:space="preserve"> </w:t>
      </w:r>
      <w:r>
        <w:t xml:space="preserve">— e quando não é.</w:t>
      </w:r>
    </w:p>
    <w:p>
      <w:pPr>
        <w:pStyle w:val="BlockText"/>
      </w:pPr>
      <w:r>
        <w:rPr>
          <w:b/>
          <w:bCs/>
        </w:rPr>
        <w:t xml:space="preserve">Material:</w:t>
      </w:r>
      <w:r>
        <w:t xml:space="preserve"> </w:t>
      </w:r>
      <w:r>
        <w:t xml:space="preserve">Nenhum (projeção).</w:t>
      </w:r>
    </w:p>
    <w:p>
      <w:pPr>
        <w:pStyle w:val="BlockText"/>
      </w:pPr>
      <w:r>
        <w:rPr>
          <w:b/>
          <w:bCs/>
        </w:rPr>
        <w:t xml:space="preserve">Protocolo:</w:t>
      </w:r>
    </w:p>
    <w:p>
      <w:pPr>
        <w:pStyle w:val="Compact"/>
        <w:numPr>
          <w:ilvl w:val="0"/>
          <w:numId w:val="1280"/>
        </w:numPr>
      </w:pPr>
      <w:r>
        <w:rPr>
          <w:b/>
          <w:bCs/>
        </w:rPr>
        <w:t xml:space="preserve">Cenário 1</w:t>
      </w:r>
      <w:r>
        <w:t xml:space="preserve"> </w:t>
      </w:r>
      <w:r>
        <w:t xml:space="preserve">(3 min):</w:t>
      </w:r>
      <w:r>
        <w:t xml:space="preserve"> </w:t>
      </w:r>
      <w:r>
        <w:t xml:space="preserve">“O preço de</w:t>
      </w:r>
      <w:r>
        <w:t xml:space="preserve"> </w:t>
      </w:r>
      <w:r>
        <w:rPr>
          <w:i/>
          <w:iCs/>
        </w:rPr>
        <w:t xml:space="preserve">todas</w:t>
      </w:r>
      <w:r>
        <w:t xml:space="preserve"> </w:t>
      </w:r>
      <w:r>
        <w:t xml:space="preserve">as frutas subiu 15% por causa da seca. Faz sentido tratar</w:t>
      </w:r>
      <w:r>
        <w:t xml:space="preserve"> </w:t>
      </w:r>
      <w:r>
        <w:t xml:space="preserve">‘frutas’</w:t>
      </w:r>
      <w:r>
        <w:t xml:space="preserve"> </w:t>
      </w:r>
      <w:r>
        <w:t xml:space="preserve">como um único bem na análise?”</w:t>
      </w:r>
      <w:r>
        <w:t xml:space="preserve"> </w:t>
      </w:r>
      <w:r>
        <w:t xml:space="preserve">→ Sim! Os preços relativos</w:t>
      </w:r>
      <w:r>
        <w:t xml:space="preserve"> </w:t>
      </w:r>
      <w:r>
        <w:rPr>
          <w:i/>
          <w:iCs/>
        </w:rPr>
        <w:t xml:space="preserve">dentro</w:t>
      </w:r>
      <w:r>
        <w:t xml:space="preserve"> </w:t>
      </w:r>
      <w:r>
        <w:t xml:space="preserve">do grupo não mudaram. Condição de Hicks satisfeita.</w:t>
      </w:r>
    </w:p>
    <w:p>
      <w:pPr>
        <w:pStyle w:val="Compact"/>
        <w:numPr>
          <w:ilvl w:val="0"/>
          <w:numId w:val="1280"/>
        </w:numPr>
      </w:pPr>
      <w:r>
        <w:rPr>
          <w:b/>
          <w:bCs/>
        </w:rPr>
        <w:t xml:space="preserve">Cenário 2</w:t>
      </w:r>
      <w:r>
        <w:t xml:space="preserve"> </w:t>
      </w:r>
      <w:r>
        <w:t xml:space="preserve">(3 min):</w:t>
      </w:r>
      <w:r>
        <w:t xml:space="preserve"> </w:t>
      </w:r>
      <w:r>
        <w:t xml:space="preserve">“O preço da banana subiu 30%, mas o da maçã caiu 5%. Posso tratar</w:t>
      </w:r>
      <w:r>
        <w:t xml:space="preserve"> </w:t>
      </w:r>
      <w:r>
        <w:t xml:space="preserve">‘frutas’</w:t>
      </w:r>
      <w:r>
        <w:t xml:space="preserve"> </w:t>
      </w:r>
      <w:r>
        <w:t xml:space="preserve">como um bem composto?”</w:t>
      </w:r>
      <w:r>
        <w:t xml:space="preserve"> </w:t>
      </w:r>
      <w:r>
        <w:t xml:space="preserve">→ Não! Os preços relativos mudaram. A condição do Teorema do Bem Composto falha.</w:t>
      </w:r>
    </w:p>
    <w:p>
      <w:pPr>
        <w:pStyle w:val="Compact"/>
        <w:numPr>
          <w:ilvl w:val="0"/>
          <w:numId w:val="1280"/>
        </w:numPr>
      </w:pPr>
      <w:r>
        <w:rPr>
          <w:b/>
          <w:bCs/>
        </w:rPr>
        <w:t xml:space="preserve">Debrief</w:t>
      </w:r>
      <w:r>
        <w:t xml:space="preserve"> </w:t>
      </w:r>
      <w:r>
        <w:t xml:space="preserve">(4 min):</w:t>
      </w:r>
    </w:p>
    <w:p>
      <w:pPr>
        <w:pStyle w:val="Compact"/>
        <w:numPr>
          <w:ilvl w:val="1"/>
          <w:numId w:val="1281"/>
        </w:numPr>
      </w:pPr>
      <w:r>
        <w:t xml:space="preserve">“Quando os preços dentro do grupo se movem proporcionalmente, a composição interna do grupo não muda — então podemos ignorar os detalhes e trabalhar com o grupo como unidade.”</w:t>
      </w:r>
    </w:p>
    <w:p>
      <w:pPr>
        <w:pStyle w:val="Compact"/>
        <w:numPr>
          <w:ilvl w:val="1"/>
          <w:numId w:val="1281"/>
        </w:numPr>
      </w:pPr>
      <w:r>
        <w:t xml:space="preserve">“Esse teorema é o que justifica tratar</w:t>
      </w:r>
      <w:r>
        <w:t xml:space="preserve"> </w:t>
      </w:r>
      <w:r>
        <w:t xml:space="preserve">‘alimentação’</w:t>
      </w:r>
      <w:r>
        <w:t xml:space="preserve">,</w:t>
      </w:r>
      <w:r>
        <w:t xml:space="preserve"> </w:t>
      </w:r>
      <w:r>
        <w:t xml:space="preserve">‘transporte’</w:t>
      </w:r>
      <w:r>
        <w:t xml:space="preserve"> </w:t>
      </w:r>
      <w:r>
        <w:t xml:space="preserve">ou</w:t>
      </w:r>
      <w:r>
        <w:t xml:space="preserve"> </w:t>
      </w:r>
      <w:r>
        <w:t xml:space="preserve">‘lazer’</w:t>
      </w:r>
      <w:r>
        <w:t xml:space="preserve"> </w:t>
      </w:r>
      <w:r>
        <w:t xml:space="preserve">como bens únicos em modelos aplicados — desde que a condição valha.”</w:t>
      </w:r>
    </w:p>
    <w:p>
      <w:pPr>
        <w:pStyle w:val="Compact"/>
        <w:numPr>
          <w:ilvl w:val="1"/>
          <w:numId w:val="1281"/>
        </w:numPr>
      </w:pPr>
      <w:r>
        <w:t xml:space="preserve">“O IPCA brasileiro decompõe o consumo em 9 grupos. Cada grupo funciona como bem composto? Quando?”</w:t>
      </w:r>
    </w:p>
    <w:p>
      <w:pPr>
        <w:pStyle w:val="BlockText"/>
      </w:pPr>
      <w:r>
        <w:rPr>
          <w:b/>
          <w:bCs/>
        </w:rPr>
        <w:t xml:space="preserve">Conexão com o conteúdo:</w:t>
      </w:r>
      <w:r>
        <w:t xml:space="preserve"> </w:t>
      </w:r>
      <w:r>
        <w:t xml:space="preserve">Seção 6.5 (Teorema do Bem Composto de Hicks).</w:t>
      </w:r>
    </w:p>
    <w:bookmarkEnd w:id="307"/>
    <w:bookmarkEnd w:id="308"/>
    <w:bookmarkStart w:id="314" w:name="exercícios-e-anpec-4"/>
    <w:p>
      <w:pPr>
        <w:pStyle w:val="Heading2"/>
      </w:pPr>
      <w:r>
        <w:t xml:space="preserve">Exercícios e ANPEC</w:t>
      </w:r>
    </w:p>
    <w:bookmarkStart w:id="309" w:name="revisão-rápida-4"/>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Com apenas dois bens, o efeito substituição cruzado hicksiano é:</w:t>
      </w:r>
    </w:p>
    <w:p>
      <w:pPr>
        <w:pStyle w:val="Compact"/>
        <w:numPr>
          <w:ilvl w:val="0"/>
          <w:numId w:val="1282"/>
        </w:numPr>
      </w:pPr>
    </w:p>
    <w:p>
      <w:pPr>
        <w:pStyle w:val="Compact"/>
        <w:numPr>
          <w:ilvl w:val="1"/>
          <w:numId w:val="1283"/>
        </w:numPr>
      </w:pPr>
      <w:r>
        <w:t xml:space="preserve">Sempre negativo — dois bens são sempre complementos líquidos</w:t>
      </w:r>
    </w:p>
    <w:p>
      <w:pPr>
        <w:pStyle w:val="Compact"/>
        <w:numPr>
          <w:ilvl w:val="0"/>
          <w:numId w:val="1282"/>
        </w:numPr>
      </w:pPr>
    </w:p>
    <w:p>
      <w:pPr>
        <w:pStyle w:val="Compact"/>
        <w:numPr>
          <w:ilvl w:val="1"/>
          <w:numId w:val="1284"/>
        </w:numPr>
      </w:pPr>
      <w:r>
        <w:t xml:space="preserve">Sempre não negativo — dois bens são sempre substitutos líquidos</w:t>
      </w:r>
    </w:p>
    <w:p>
      <w:pPr>
        <w:pStyle w:val="Compact"/>
        <w:numPr>
          <w:ilvl w:val="0"/>
          <w:numId w:val="1282"/>
        </w:numPr>
      </w:pPr>
    </w:p>
    <w:p>
      <w:pPr>
        <w:pStyle w:val="Compact"/>
        <w:numPr>
          <w:ilvl w:val="1"/>
          <w:numId w:val="1285"/>
        </w:numPr>
      </w:pPr>
      <w:r>
        <w:t xml:space="preserve">Pode ter qualquer sinal, dependendo das preferências</w:t>
      </w:r>
    </w:p>
    <w:p>
      <w:pPr>
        <w:pStyle w:val="Compact"/>
        <w:numPr>
          <w:ilvl w:val="0"/>
          <w:numId w:val="1282"/>
        </w:numPr>
      </w:pPr>
    </w:p>
    <w:p>
      <w:pPr>
        <w:pStyle w:val="Compact"/>
        <w:numPr>
          <w:ilvl w:val="1"/>
          <w:numId w:val="1286"/>
        </w:numPr>
      </w:pPr>
      <w:r>
        <w:t xml:space="preserve">Zero, pois com dois bens não há efeito cruzado</w:t>
      </w:r>
    </w:p>
    <w:p>
      <w:pPr>
        <w:pStyle w:val="BlockText"/>
      </w:pPr>
      <w:r>
        <w:t xml:space="preserve">??? success</w:t>
      </w:r>
      <w:r>
        <w:t xml:space="preserve"> </w:t>
      </w:r>
      <w:r>
        <w:t xml:space="preserve">“Resposta”</w:t>
      </w:r>
      <w:r>
        <w:t xml:space="preserve"> </w:t>
      </w:r>
      <w:r>
        <w:rPr>
          <w:b/>
          <w:bCs/>
        </w:rPr>
        <w:t xml:space="preserve">(b)</w:t>
      </w:r>
      <w:r>
        <w:t xml:space="preserve"> </w:t>
      </w:r>
      <w:r>
        <w:t xml:space="preserve">Com apenas dois bens, a homogeneidade de grau zero da demanda hicksiana impõe</w:t>
      </w:r>
      <w:r>
        <w:t xml:space="preserve"> </w:t>
      </w:r>
      <m:oMath>
        <m:sSub>
          <m:e>
            <m:r>
              <m:t>p</m:t>
            </m:r>
          </m:e>
          <m:sub>
            <m:r>
              <m:t>1</m:t>
            </m:r>
          </m:sub>
        </m:sSub>
        <m:f>
          <m:fPr>
            <m:type m:val="bar"/>
          </m:fPr>
          <m:num>
            <m:r>
              <m:rPr>
                <m:sty m:val="p"/>
              </m:rPr>
              <m:t>∂</m:t>
            </m:r>
            <m:sSub>
              <m:e>
                <m:r>
                  <m:t>h</m:t>
                </m:r>
              </m:e>
              <m:sub>
                <m:r>
                  <m:t>1</m:t>
                </m:r>
              </m:sub>
            </m:sSub>
          </m:num>
          <m:den>
            <m:r>
              <m:rPr>
                <m:sty m:val="p"/>
              </m:rPr>
              <m:t>∂</m:t>
            </m:r>
            <m:sSub>
              <m:e>
                <m:r>
                  <m:t>p</m:t>
                </m:r>
              </m:e>
              <m:sub>
                <m:r>
                  <m:t>1</m:t>
                </m:r>
              </m:sub>
            </m:sSub>
          </m:den>
        </m:f>
        <m:r>
          <m:rPr>
            <m:sty m:val="p"/>
          </m:rPr>
          <m:t>+</m:t>
        </m:r>
        <m:sSub>
          <m:e>
            <m:r>
              <m:t>p</m:t>
            </m:r>
          </m:e>
          <m:sub>
            <m:r>
              <m:t>2</m:t>
            </m:r>
          </m:sub>
        </m:sSub>
        <m:f>
          <m:fPr>
            <m:type m:val="bar"/>
          </m:fPr>
          <m:num>
            <m:r>
              <m:rPr>
                <m:sty m:val="p"/>
              </m:rPr>
              <m:t>∂</m:t>
            </m:r>
            <m:sSub>
              <m:e>
                <m:r>
                  <m:t>h</m:t>
                </m:r>
              </m:e>
              <m:sub>
                <m:r>
                  <m:t>1</m:t>
                </m:r>
              </m:sub>
            </m:sSub>
          </m:num>
          <m:den>
            <m:r>
              <m:rPr>
                <m:sty m:val="p"/>
              </m:rPr>
              <m:t>∂</m:t>
            </m:r>
            <m:sSub>
              <m:e>
                <m:r>
                  <m:t>p</m:t>
                </m:r>
              </m:e>
              <m:sub>
                <m:r>
                  <m:t>2</m:t>
                </m:r>
              </m:sub>
            </m:sSub>
          </m:den>
        </m:f>
        <m:r>
          <m:rPr>
            <m:sty m:val="p"/>
          </m:rPr>
          <m:t>=</m:t>
        </m:r>
        <m:r>
          <m:t>0</m:t>
        </m:r>
      </m:oMath>
      <w:r>
        <w:t xml:space="preserve">. Como</w:t>
      </w:r>
      <w:r>
        <w:t xml:space="preserve"> </w:t>
      </w:r>
      <m:oMath>
        <m:f>
          <m:fPr>
            <m:type m:val="bar"/>
          </m:fPr>
          <m:num>
            <m:r>
              <m:rPr>
                <m:sty m:val="p"/>
              </m:rPr>
              <m:t>∂</m:t>
            </m:r>
            <m:sSub>
              <m:e>
                <m:r>
                  <m:t>h</m:t>
                </m:r>
              </m:e>
              <m:sub>
                <m:r>
                  <m:t>1</m:t>
                </m:r>
              </m:sub>
            </m:sSub>
          </m:num>
          <m:den>
            <m:r>
              <m:rPr>
                <m:sty m:val="p"/>
              </m:rPr>
              <m:t>∂</m:t>
            </m:r>
            <m:sSub>
              <m:e>
                <m:r>
                  <m:t>p</m:t>
                </m:r>
              </m:e>
              <m:sub>
                <m:r>
                  <m:t>1</m:t>
                </m:r>
              </m:sub>
            </m:sSub>
          </m:den>
        </m:f>
        <m:r>
          <m:rPr>
            <m:sty m:val="p"/>
          </m:rPr>
          <m:t>≤</m:t>
        </m:r>
        <m:r>
          <m:t>0</m:t>
        </m:r>
      </m:oMath>
      <w:r>
        <w:t xml:space="preserve">, o efeito cruzado</w:t>
      </w:r>
      <w:r>
        <w:t xml:space="preserve"> </w:t>
      </w:r>
      <m:oMath>
        <m:f>
          <m:fPr>
            <m:type m:val="bar"/>
          </m:fPr>
          <m:num>
            <m:r>
              <m:rPr>
                <m:sty m:val="p"/>
              </m:rPr>
              <m:t>∂</m:t>
            </m:r>
            <m:sSub>
              <m:e>
                <m:r>
                  <m:t>h</m:t>
                </m:r>
              </m:e>
              <m:sub>
                <m:r>
                  <m:t>1</m:t>
                </m:r>
              </m:sub>
            </m:sSub>
          </m:num>
          <m:den>
            <m:r>
              <m:rPr>
                <m:sty m:val="p"/>
              </m:rPr>
              <m:t>∂</m:t>
            </m:r>
            <m:sSub>
              <m:e>
                <m:r>
                  <m:t>p</m:t>
                </m:r>
              </m:e>
              <m:sub>
                <m:r>
                  <m:t>2</m:t>
                </m:r>
              </m:sub>
            </m:sSub>
          </m:den>
        </m:f>
      </m:oMath>
      <w:r>
        <w:t xml:space="preserve"> </w:t>
      </w:r>
      <w:r>
        <w:t xml:space="preserve">deve ser não negativo. A complementaridade líquida só é possível com três ou mais bens.</w:t>
      </w:r>
    </w:p>
    <w:p>
      <w:pPr>
        <w:pStyle w:val="BlockText"/>
      </w:pPr>
      <w:r>
        <w:rPr>
          <w:b/>
          <w:bCs/>
        </w:rPr>
        <w:t xml:space="preserve">[QUESTAO] 2. A classificação marshalliana (bruta) de substitutos e complementos pode ser assimétrica. Isso ocorre porque:</w:t>
      </w:r>
    </w:p>
    <w:p>
      <w:pPr>
        <w:pStyle w:val="Compact"/>
        <w:numPr>
          <w:ilvl w:val="0"/>
          <w:numId w:val="1287"/>
        </w:numPr>
      </w:pPr>
    </w:p>
    <w:p>
      <w:pPr>
        <w:pStyle w:val="Compact"/>
        <w:numPr>
          <w:ilvl w:val="1"/>
          <w:numId w:val="1288"/>
        </w:numPr>
      </w:pPr>
      <w:r>
        <w:t xml:space="preserve">A função utilidade não é simétrica nos dois bens</w:t>
      </w:r>
    </w:p>
    <w:p>
      <w:pPr>
        <w:pStyle w:val="Compact"/>
        <w:numPr>
          <w:ilvl w:val="0"/>
          <w:numId w:val="1287"/>
        </w:numPr>
      </w:pPr>
    </w:p>
    <w:p>
      <w:pPr>
        <w:pStyle w:val="Compact"/>
        <w:numPr>
          <w:ilvl w:val="1"/>
          <w:numId w:val="1289"/>
        </w:numPr>
      </w:pPr>
      <w:r>
        <w:t xml:space="preserve">O efeito renda cruzado contamina a derivada marshalliana de forma diferente em cada direção</w:t>
      </w:r>
    </w:p>
    <w:p>
      <w:pPr>
        <w:pStyle w:val="Compact"/>
        <w:numPr>
          <w:ilvl w:val="0"/>
          <w:numId w:val="1287"/>
        </w:numPr>
      </w:pPr>
    </w:p>
    <w:p>
      <w:pPr>
        <w:pStyle w:val="Compact"/>
        <w:numPr>
          <w:ilvl w:val="1"/>
          <w:numId w:val="1290"/>
        </w:numPr>
      </w:pPr>
      <w:r>
        <w:t xml:space="preserve">A demanda hicksiana não é diferenciável</w:t>
      </w:r>
    </w:p>
    <w:p>
      <w:pPr>
        <w:pStyle w:val="Compact"/>
        <w:numPr>
          <w:ilvl w:val="0"/>
          <w:numId w:val="1287"/>
        </w:numPr>
      </w:pPr>
    </w:p>
    <w:p>
      <w:pPr>
        <w:pStyle w:val="Compact"/>
        <w:numPr>
          <w:ilvl w:val="1"/>
          <w:numId w:val="1291"/>
        </w:numPr>
      </w:pPr>
      <w:r>
        <w:t xml:space="preserve">A matriz de Slutsky não é simétrica</w:t>
      </w:r>
    </w:p>
    <w:p>
      <w:pPr>
        <w:pStyle w:val="BlockText"/>
      </w:pPr>
      <w:r>
        <w:t xml:space="preserve">??? success</w:t>
      </w:r>
      <w:r>
        <w:t xml:space="preserve"> </w:t>
      </w:r>
      <w:r>
        <w:t xml:space="preserve">“Resposta”</w:t>
      </w:r>
      <w:r>
        <w:t xml:space="preserve"> </w:t>
      </w:r>
      <w:r>
        <w:rPr>
          <w:b/>
          <w:bCs/>
        </w:rPr>
        <w:t xml:space="preserve">(b)</w:t>
      </w:r>
      <w:r>
        <w:t xml:space="preserve"> </w:t>
      </w:r>
      <w:r>
        <w:t xml:space="preserve">Pela Equação de Slutsky,</w:t>
      </w:r>
      <w:r>
        <w:t xml:space="preserve"> </w:t>
      </w:r>
      <m:oMath>
        <m:f>
          <m:fPr>
            <m:type m:val="bar"/>
          </m:fPr>
          <m:num>
            <m:r>
              <m:rPr>
                <m:sty m:val="p"/>
              </m:rPr>
              <m:t>∂</m:t>
            </m:r>
            <m:sSub>
              <m:e>
                <m:r>
                  <m:t>x</m:t>
                </m:r>
              </m:e>
              <m:sub>
                <m:r>
                  <m:t>1</m:t>
                </m:r>
              </m:sub>
            </m:sSub>
          </m:num>
          <m:den>
            <m:r>
              <m:rPr>
                <m:sty m:val="p"/>
              </m:rPr>
              <m:t>∂</m:t>
            </m:r>
            <m:sSub>
              <m:e>
                <m:r>
                  <m:t>p</m:t>
                </m:r>
              </m:e>
              <m:sub>
                <m:r>
                  <m:t>2</m:t>
                </m:r>
              </m:sub>
            </m:sSub>
          </m:den>
        </m:f>
        <m:r>
          <m:rPr>
            <m:sty m:val="p"/>
          </m:rPr>
          <m:t>−</m:t>
        </m:r>
        <m:f>
          <m:fPr>
            <m:type m:val="bar"/>
          </m:fPr>
          <m:num>
            <m:r>
              <m:rPr>
                <m:sty m:val="p"/>
              </m:rPr>
              <m:t>∂</m:t>
            </m:r>
            <m:sSub>
              <m:e>
                <m:r>
                  <m:t>x</m:t>
                </m:r>
              </m:e>
              <m:sub>
                <m:r>
                  <m:t>2</m:t>
                </m:r>
              </m:sub>
            </m:sSub>
          </m:num>
          <m:den>
            <m:r>
              <m:rPr>
                <m:sty m:val="p"/>
              </m:rPr>
              <m:t>∂</m:t>
            </m:r>
            <m:sSub>
              <m:e>
                <m:r>
                  <m:t>p</m:t>
                </m:r>
              </m:e>
              <m:sub>
                <m:r>
                  <m:t>1</m:t>
                </m:r>
              </m:sub>
            </m:sSub>
          </m:den>
        </m:f>
        <m:r>
          <m:rPr>
            <m:sty m:val="p"/>
          </m:rPr>
          <m:t>=</m:t>
        </m:r>
        <m:sSub>
          <m:e>
            <m:r>
              <m:t>x</m:t>
            </m:r>
          </m:e>
          <m:sub>
            <m:r>
              <m:t>2</m:t>
            </m:r>
          </m:sub>
        </m:sSub>
        <m:f>
          <m:fPr>
            <m:type m:val="bar"/>
          </m:fPr>
          <m:num>
            <m:r>
              <m:rPr>
                <m:sty m:val="p"/>
              </m:rPr>
              <m:t>∂</m:t>
            </m:r>
            <m:sSub>
              <m:e>
                <m:r>
                  <m:t>x</m:t>
                </m:r>
              </m:e>
              <m:sub>
                <m:r>
                  <m:t>1</m:t>
                </m:r>
              </m:sub>
            </m:sSub>
          </m:num>
          <m:den>
            <m:r>
              <m:rPr>
                <m:sty m:val="p"/>
              </m:rPr>
              <m:t>∂</m:t>
            </m:r>
            <m:r>
              <m:t>I</m:t>
            </m:r>
          </m:den>
        </m:f>
        <m:r>
          <m:rPr>
            <m:sty m:val="p"/>
          </m:rPr>
          <m:t>−</m:t>
        </m:r>
        <m:sSub>
          <m:e>
            <m:r>
              <m:t>x</m:t>
            </m:r>
          </m:e>
          <m:sub>
            <m:r>
              <m:t>1</m:t>
            </m:r>
          </m:sub>
        </m:sSub>
        <m:f>
          <m:fPr>
            <m:type m:val="bar"/>
          </m:fPr>
          <m:num>
            <m:r>
              <m:rPr>
                <m:sty m:val="p"/>
              </m:rPr>
              <m:t>∂</m:t>
            </m:r>
            <m:sSub>
              <m:e>
                <m:r>
                  <m:t>x</m:t>
                </m:r>
              </m:e>
              <m:sub>
                <m:r>
                  <m:t>2</m:t>
                </m:r>
              </m:sub>
            </m:sSub>
          </m:num>
          <m:den>
            <m:r>
              <m:rPr>
                <m:sty m:val="p"/>
              </m:rPr>
              <m:t>∂</m:t>
            </m:r>
            <m:r>
              <m:t>I</m:t>
            </m:r>
          </m:den>
        </m:f>
      </m:oMath>
      <w:r>
        <w:t xml:space="preserve">. O efeito renda depende da quantidade consumida e da elasticidade-renda de cada bem, que em geral diferem. A classificação hicksiana é garantidamente simétrica (</w:t>
      </w:r>
      <m:oMath>
        <m:sSub>
          <m:e>
            <m:r>
              <m:t>s</m:t>
            </m:r>
          </m:e>
          <m:sub>
            <m:r>
              <m:t>i</m:t>
            </m:r>
            <m:r>
              <m:t>j</m:t>
            </m:r>
          </m:sub>
        </m:sSub>
        <m:r>
          <m:rPr>
            <m:sty m:val="p"/>
          </m:rPr>
          <m:t>=</m:t>
        </m:r>
        <m:sSub>
          <m:e>
            <m:r>
              <m:t>s</m:t>
            </m:r>
          </m:e>
          <m:sub>
            <m:r>
              <m:t>j</m:t>
            </m:r>
            <m:r>
              <m:t>i</m:t>
            </m:r>
          </m:sub>
        </m:sSub>
      </m:oMath>
      <w:r>
        <w:t xml:space="preserve">), mas a marshalliana não.</w:t>
      </w:r>
    </w:p>
    <w:p>
      <w:pPr>
        <w:pStyle w:val="BlockText"/>
      </w:pPr>
      <w:r>
        <w:rPr>
          <w:b/>
          <w:bCs/>
        </w:rPr>
        <w:t xml:space="preserve">[QUESTAO] 3. Se a elasticidade-preço cruzada entre dois bens é positiva (</w:t>
      </w:r>
      <m:oMath>
        <m:sSub>
          <m:e>
            <m:r>
              <m:t>ε</m:t>
            </m:r>
          </m:e>
          <m:sub>
            <m:r>
              <m:t>i</m:t>
            </m:r>
            <m:r>
              <m:t>j</m:t>
            </m:r>
          </m:sub>
        </m:sSub>
        <m:r>
          <m:rPr>
            <m:sty m:val="p"/>
          </m:rPr>
          <m:t>&gt;</m:t>
        </m:r>
        <m:r>
          <m:t>0</m:t>
        </m:r>
      </m:oMath>
      <w:r>
        <w:rPr>
          <w:b/>
          <w:bCs/>
        </w:rPr>
        <w:t xml:space="preserve">), os bens são:</w:t>
      </w:r>
    </w:p>
    <w:p>
      <w:pPr>
        <w:pStyle w:val="Compact"/>
        <w:numPr>
          <w:ilvl w:val="0"/>
          <w:numId w:val="1292"/>
        </w:numPr>
      </w:pPr>
    </w:p>
    <w:p>
      <w:pPr>
        <w:pStyle w:val="Compact"/>
        <w:numPr>
          <w:ilvl w:val="1"/>
          <w:numId w:val="1293"/>
        </w:numPr>
      </w:pPr>
      <w:r>
        <w:t xml:space="preserve">Complementares brutos (marshallianos)</w:t>
      </w:r>
    </w:p>
    <w:p>
      <w:pPr>
        <w:pStyle w:val="Compact"/>
        <w:numPr>
          <w:ilvl w:val="0"/>
          <w:numId w:val="1292"/>
        </w:numPr>
      </w:pPr>
    </w:p>
    <w:p>
      <w:pPr>
        <w:pStyle w:val="Compact"/>
        <w:numPr>
          <w:ilvl w:val="1"/>
          <w:numId w:val="1294"/>
        </w:numPr>
      </w:pPr>
      <w:r>
        <w:t xml:space="preserve">Substitutos brutos (marshallianos)</w:t>
      </w:r>
    </w:p>
    <w:p>
      <w:pPr>
        <w:pStyle w:val="Compact"/>
        <w:numPr>
          <w:ilvl w:val="0"/>
          <w:numId w:val="1292"/>
        </w:numPr>
      </w:pPr>
    </w:p>
    <w:p>
      <w:pPr>
        <w:pStyle w:val="Compact"/>
        <w:numPr>
          <w:ilvl w:val="1"/>
          <w:numId w:val="1295"/>
        </w:numPr>
      </w:pPr>
      <w:r>
        <w:t xml:space="preserve">Bens inferiores</w:t>
      </w:r>
    </w:p>
    <w:p>
      <w:pPr>
        <w:pStyle w:val="Compact"/>
        <w:numPr>
          <w:ilvl w:val="0"/>
          <w:numId w:val="1292"/>
        </w:numPr>
      </w:pPr>
    </w:p>
    <w:p>
      <w:pPr>
        <w:pStyle w:val="Compact"/>
        <w:numPr>
          <w:ilvl w:val="1"/>
          <w:numId w:val="1296"/>
        </w:numPr>
      </w:pPr>
      <w:r>
        <w:t xml:space="preserve">Bens independentes</w:t>
      </w:r>
    </w:p>
    <w:p>
      <w:pPr>
        <w:pStyle w:val="BlockText"/>
      </w:pPr>
      <w:r>
        <w:t xml:space="preserve">??? success</w:t>
      </w:r>
      <w:r>
        <w:t xml:space="preserve"> </w:t>
      </w:r>
      <w:r>
        <w:t xml:space="preserve">“Resposta”</w:t>
      </w:r>
      <w:r>
        <w:t xml:space="preserve"> </w:t>
      </w:r>
      <w:r>
        <w:rPr>
          <w:b/>
          <w:bCs/>
        </w:rPr>
        <w:t xml:space="preserve">(b)</w:t>
      </w:r>
      <w:r>
        <w:t xml:space="preserve"> </w:t>
      </w:r>
      <w:r>
        <w:t xml:space="preserve">Elasticidade cruzada positiva significa que um aumento no preço do bem</w:t>
      </w:r>
      <w:r>
        <w:t xml:space="preserve"> </w:t>
      </w:r>
      <m:oMath>
        <m:r>
          <m:t>j</m:t>
        </m:r>
      </m:oMath>
      <w:r>
        <w:t xml:space="preserve"> </w:t>
      </w:r>
      <w:r>
        <w:t xml:space="preserve">aumenta a demanda pelo bem</w:t>
      </w:r>
      <w:r>
        <w:t xml:space="preserve"> </w:t>
      </w:r>
      <m:oMath>
        <m:r>
          <m:t>i</m:t>
        </m:r>
      </m:oMath>
      <w:r>
        <w:t xml:space="preserve">: quando um substituto fica mais caro, a demanda pelo outro sobe. A alternativa (a) descreve</w:t>
      </w:r>
      <w:r>
        <w:t xml:space="preserve"> </w:t>
      </w:r>
      <m:oMath>
        <m:sSub>
          <m:e>
            <m:r>
              <m:t>ε</m:t>
            </m:r>
          </m:e>
          <m:sub>
            <m:r>
              <m:t>i</m:t>
            </m:r>
            <m:r>
              <m:t>j</m:t>
            </m:r>
          </m:sub>
        </m:sSub>
        <m:r>
          <m:rPr>
            <m:sty m:val="p"/>
          </m:rPr>
          <m:t>&lt;</m:t>
        </m:r>
        <m:r>
          <m:t>0</m:t>
        </m:r>
      </m:oMath>
      <w:r>
        <w:t xml:space="preserve">; (d) descreve</w:t>
      </w:r>
      <w:r>
        <w:t xml:space="preserve"> </w:t>
      </w:r>
      <m:oMath>
        <m:sSub>
          <m:e>
            <m:r>
              <m:t>ε</m:t>
            </m:r>
          </m:e>
          <m:sub>
            <m:r>
              <m:t>i</m:t>
            </m:r>
            <m:r>
              <m:t>j</m:t>
            </m:r>
          </m:sub>
        </m:sSub>
        <m:r>
          <m:rPr>
            <m:sty m:val="p"/>
          </m:rPr>
          <m:t>=</m:t>
        </m:r>
        <m:r>
          <m:t>0</m:t>
        </m:r>
      </m:oMath>
      <w:r>
        <w:t xml:space="preserve">; (c) refere-se à relação com renda, não entre bens.</w:t>
      </w:r>
    </w:p>
    <w:p>
      <w:pPr>
        <w:pStyle w:val="BlockText"/>
      </w:pPr>
      <w:r>
        <w:rPr>
          <w:b/>
          <w:bCs/>
        </w:rPr>
        <w:t xml:space="preserve">[QUESTAO] 4. O Teorema do Bem Composto de Hicks permite agregar um grupo de bens em um único</w:t>
      </w:r>
      <w:r>
        <w:rPr>
          <w:b/>
          <w:bCs/>
        </w:rPr>
        <w:t xml:space="preserve"> </w:t>
      </w:r>
      <w:r>
        <w:rPr>
          <w:b/>
          <w:bCs/>
        </w:rPr>
        <w:t xml:space="preserve">‘super-bem’</w:t>
      </w:r>
      <w:r>
        <w:rPr>
          <w:b/>
          <w:bCs/>
        </w:rPr>
        <w:t xml:space="preserve">. A condição necessária é:</w:t>
      </w:r>
    </w:p>
    <w:p>
      <w:pPr>
        <w:pStyle w:val="Compact"/>
        <w:numPr>
          <w:ilvl w:val="0"/>
          <w:numId w:val="1297"/>
        </w:numPr>
      </w:pPr>
    </w:p>
    <w:p>
      <w:pPr>
        <w:pStyle w:val="Compact"/>
        <w:numPr>
          <w:ilvl w:val="1"/>
          <w:numId w:val="1298"/>
        </w:numPr>
      </w:pPr>
      <w:r>
        <w:t xml:space="preserve">Que os bens do grupo sejam substitutos perfeitos entre si</w:t>
      </w:r>
    </w:p>
    <w:p>
      <w:pPr>
        <w:pStyle w:val="Compact"/>
        <w:numPr>
          <w:ilvl w:val="0"/>
          <w:numId w:val="1297"/>
        </w:numPr>
      </w:pPr>
    </w:p>
    <w:p>
      <w:pPr>
        <w:pStyle w:val="Compact"/>
        <w:numPr>
          <w:ilvl w:val="1"/>
          <w:numId w:val="1299"/>
        </w:numPr>
      </w:pPr>
      <w:r>
        <w:t xml:space="preserve">Que os preços dos bens do grupo variem na mesma proporção</w:t>
      </w:r>
    </w:p>
    <w:p>
      <w:pPr>
        <w:pStyle w:val="Compact"/>
        <w:numPr>
          <w:ilvl w:val="0"/>
          <w:numId w:val="1297"/>
        </w:numPr>
      </w:pPr>
    </w:p>
    <w:p>
      <w:pPr>
        <w:pStyle w:val="Compact"/>
        <w:numPr>
          <w:ilvl w:val="1"/>
          <w:numId w:val="1300"/>
        </w:numPr>
      </w:pPr>
      <w:r>
        <w:t xml:space="preserve">Que o consumidor gaste a mesma quantia com cada bem do grupo</w:t>
      </w:r>
    </w:p>
    <w:p>
      <w:pPr>
        <w:pStyle w:val="Compact"/>
        <w:numPr>
          <w:ilvl w:val="0"/>
          <w:numId w:val="1297"/>
        </w:numPr>
      </w:pPr>
    </w:p>
    <w:p>
      <w:pPr>
        <w:pStyle w:val="Compact"/>
        <w:numPr>
          <w:ilvl w:val="1"/>
          <w:numId w:val="1301"/>
        </w:numPr>
      </w:pPr>
      <w:r>
        <w:t xml:space="preserve">Que as elasticidades-preço cruzadas dentro do grupo sejam todas iguais</w:t>
      </w:r>
    </w:p>
    <w:p>
      <w:pPr>
        <w:pStyle w:val="BlockText"/>
      </w:pPr>
      <w:r>
        <w:t xml:space="preserve">??? success</w:t>
      </w:r>
      <w:r>
        <w:t xml:space="preserve"> </w:t>
      </w:r>
      <w:r>
        <w:t xml:space="preserve">“Resposta”</w:t>
      </w:r>
      <w:r>
        <w:t xml:space="preserve"> </w:t>
      </w:r>
      <w:r>
        <w:rPr>
          <w:b/>
          <w:bCs/>
        </w:rPr>
        <w:t xml:space="preserve">(b)</w:t>
      </w:r>
      <w:r>
        <w:t xml:space="preserve"> </w:t>
      </w:r>
      <w:r>
        <w:t xml:space="preserve">O Teorema de Hicks exige que</w:t>
      </w:r>
      <w:r>
        <w:t xml:space="preserve"> </w:t>
      </w:r>
      <m:oMath>
        <m:sSub>
          <m:e>
            <m:r>
              <m:t>p</m:t>
            </m:r>
          </m:e>
          <m:sub>
            <m:r>
              <m:t>j</m:t>
            </m:r>
          </m:sub>
        </m:sSub>
        <m:r>
          <m:rPr>
            <m:sty m:val="p"/>
          </m:rPr>
          <m:t>=</m:t>
        </m:r>
        <m:r>
          <m:t>α</m:t>
        </m:r>
        <m:sSub>
          <m:e>
            <m:acc>
              <m:accPr>
                <m:chr m:val="‾"/>
              </m:accPr>
              <m:e>
                <m:r>
                  <m:t>p</m:t>
                </m:r>
              </m:e>
            </m:acc>
          </m:e>
          <m:sub>
            <m:r>
              <m:t>j</m:t>
            </m:r>
          </m:sub>
        </m:sSub>
      </m:oMath>
      <w:r>
        <w:t xml:space="preserve"> </w:t>
      </w:r>
      <w:r>
        <w:t xml:space="preserve">para todo</w:t>
      </w:r>
      <w:r>
        <w:t xml:space="preserve"> </w:t>
      </w:r>
      <m:oMath>
        <m:r>
          <m:t>j</m:t>
        </m:r>
      </m:oMath>
      <w:r>
        <w:t xml:space="preserve"> </w:t>
      </w:r>
      <w:r>
        <w:t xml:space="preserve">no grupo — ou seja, os preços variem proporcionalmente, mantendo os preços relativos internos constantes. Isso permite definir um bem composto</w:t>
      </w:r>
      <w:r>
        <w:t xml:space="preserve"> </w:t>
      </w:r>
      <m:oMath>
        <m:r>
          <m:t>y</m:t>
        </m:r>
        <m:r>
          <m:rPr>
            <m:sty m:val="p"/>
          </m:rPr>
          <m:t>=</m:t>
        </m:r>
        <m:nary>
          <m:naryPr>
            <m:chr m:val="∑"/>
            <m:limLoc m:val="undOvr"/>
            <m:subHide m:val="off"/>
            <m:supHide m:val="on"/>
          </m:naryPr>
          <m:sub>
            <m:r>
              <m:t>j</m:t>
            </m:r>
          </m:sub>
          <m:sup>
            <m:r>
              <m:t>​</m:t>
            </m:r>
          </m:sup>
          <m:e>
            <m:sSub>
              <m:e>
                <m:acc>
                  <m:accPr>
                    <m:chr m:val="‾"/>
                  </m:accPr>
                  <m:e>
                    <m:r>
                      <m:t>p</m:t>
                    </m:r>
                  </m:e>
                </m:acc>
              </m:e>
              <m:sub>
                <m:r>
                  <m:t>j</m:t>
                </m:r>
              </m:sub>
            </m:sSub>
          </m:e>
        </m:nary>
        <m:sSub>
          <m:e>
            <m:r>
              <m:t>x</m:t>
            </m:r>
          </m:e>
          <m:sub>
            <m:r>
              <m:t>j</m:t>
            </m:r>
          </m:sub>
        </m:sSub>
      </m:oMath>
      <w:r>
        <w:t xml:space="preserve"> </w:t>
      </w:r>
      <w:r>
        <w:t xml:space="preserve">com preço</w:t>
      </w:r>
      <w:r>
        <w:t xml:space="preserve"> </w:t>
      </w:r>
      <m:oMath>
        <m:r>
          <m:t>α</m:t>
        </m:r>
      </m:oMath>
      <w:r>
        <w:t xml:space="preserve">. A alternativa (a) é suficiente mas não necessária; (c) e (d) não são condições do teorema.</w:t>
      </w:r>
    </w:p>
    <w:p>
      <w:pPr>
        <w:pStyle w:val="BlockText"/>
      </w:pPr>
      <w:r>
        <w:rPr>
          <w:b/>
          <w:bCs/>
        </w:rPr>
        <w:t xml:space="preserve">[QUESTAO] 5. A condição de Gorman garante a existência de um consumidor representativo. Ela exige que:</w:t>
      </w:r>
    </w:p>
    <w:p>
      <w:pPr>
        <w:pStyle w:val="Compact"/>
        <w:numPr>
          <w:ilvl w:val="0"/>
          <w:numId w:val="1302"/>
        </w:numPr>
      </w:pPr>
    </w:p>
    <w:p>
      <w:pPr>
        <w:pStyle w:val="Compact"/>
        <w:numPr>
          <w:ilvl w:val="1"/>
          <w:numId w:val="1303"/>
        </w:numPr>
      </w:pPr>
      <w:r>
        <w:t xml:space="preserve">Todos os consumidores tenham a mesma renda</w:t>
      </w:r>
    </w:p>
    <w:p>
      <w:pPr>
        <w:pStyle w:val="Compact"/>
        <w:numPr>
          <w:ilvl w:val="0"/>
          <w:numId w:val="1302"/>
        </w:numPr>
      </w:pPr>
    </w:p>
    <w:p>
      <w:pPr>
        <w:pStyle w:val="Compact"/>
        <w:numPr>
          <w:ilvl w:val="1"/>
          <w:numId w:val="1304"/>
        </w:numPr>
      </w:pPr>
      <w:r>
        <w:t xml:space="preserve">Todos os consumidores tenham preferências Cobb-Douglas</w:t>
      </w:r>
    </w:p>
    <w:p>
      <w:pPr>
        <w:pStyle w:val="Compact"/>
        <w:numPr>
          <w:ilvl w:val="0"/>
          <w:numId w:val="1302"/>
        </w:numPr>
      </w:pPr>
    </w:p>
    <w:p>
      <w:pPr>
        <w:pStyle w:val="Compact"/>
        <w:numPr>
          <w:ilvl w:val="1"/>
          <w:numId w:val="1305"/>
        </w:numPr>
      </w:pPr>
      <w:r>
        <w:t xml:space="preserve">As curvas de Engel individuais sejam lineares e paralelas (mesma propensão marginal a consumir cada bem)</w:t>
      </w:r>
    </w:p>
    <w:p>
      <w:pPr>
        <w:pStyle w:val="Compact"/>
        <w:numPr>
          <w:ilvl w:val="0"/>
          <w:numId w:val="1302"/>
        </w:numPr>
      </w:pPr>
    </w:p>
    <w:p>
      <w:pPr>
        <w:pStyle w:val="Compact"/>
        <w:numPr>
          <w:ilvl w:val="1"/>
          <w:numId w:val="1306"/>
        </w:numPr>
      </w:pPr>
      <w:r>
        <w:t xml:space="preserve">A demanda de mercado seja homogênea de grau zero em preços e rendas</w:t>
      </w:r>
    </w:p>
    <w:p>
      <w:pPr>
        <w:pStyle w:val="BlockText"/>
      </w:pPr>
      <w:r>
        <w:t xml:space="preserve">??? success</w:t>
      </w:r>
      <w:r>
        <w:t xml:space="preserve"> </w:t>
      </w:r>
      <w:r>
        <w:t xml:space="preserve">“Resposta”</w:t>
      </w:r>
      <w:r>
        <w:t xml:space="preserve"> </w:t>
      </w:r>
      <w:r>
        <w:rPr>
          <w:b/>
          <w:bCs/>
        </w:rPr>
        <w:t xml:space="preserve">(c)</w:t>
      </w:r>
      <w:r>
        <w:t xml:space="preserve"> </w:t>
      </w:r>
      <w:r>
        <w:t xml:space="preserve">A condição de Gorman exige que as funções de utilidade indireta tenham a forma</w:t>
      </w:r>
      <w:r>
        <w:t xml:space="preserve"> </w:t>
      </w:r>
      <m:oMath>
        <m:sSup>
          <m:e>
            <m:r>
              <m:t>V</m:t>
            </m:r>
          </m:e>
          <m:sup>
            <m:r>
              <m:t>h</m:t>
            </m:r>
          </m:sup>
        </m:sSup>
        <m:r>
          <m:rPr>
            <m:sty m:val="p"/>
          </m:rPr>
          <m:t>(</m:t>
        </m:r>
        <m:r>
          <m:rPr>
            <m:sty m:val="bi"/>
          </m:rPr>
          <m:t>p</m:t>
        </m:r>
        <m:r>
          <m:rPr>
            <m:sty m:val="p"/>
          </m:rPr>
          <m:t>,</m:t>
        </m:r>
        <m:sSup>
          <m:e>
            <m:r>
              <m:t>I</m:t>
            </m:r>
          </m:e>
          <m:sup>
            <m:r>
              <m:t>h</m:t>
            </m:r>
          </m:sup>
        </m:sSup>
        <m:r>
          <m:rPr>
            <m:sty m:val="p"/>
          </m:rPr>
          <m:t>)</m:t>
        </m:r>
        <m:r>
          <m:rPr>
            <m:sty m:val="p"/>
          </m:rPr>
          <m:t>=</m:t>
        </m:r>
        <m:r>
          <m:t>a</m:t>
        </m:r>
        <m:r>
          <m:rPr>
            <m:sty m:val="p"/>
          </m:rPr>
          <m:t>(</m:t>
        </m:r>
        <m:r>
          <m:rPr>
            <m:sty m:val="bi"/>
          </m:rPr>
          <m:t>p</m:t>
        </m:r>
        <m:r>
          <m:rPr>
            <m:sty m:val="p"/>
          </m:rPr>
          <m:t>)</m:t>
        </m:r>
        <m:r>
          <m:rPr>
            <m:sty m:val="p"/>
          </m:rPr>
          <m:t>+</m:t>
        </m:r>
        <m:r>
          <m:t>b</m:t>
        </m:r>
        <m:r>
          <m:rPr>
            <m:sty m:val="p"/>
          </m:rPr>
          <m:t>(</m:t>
        </m:r>
        <m:r>
          <m:rPr>
            <m:sty m:val="bi"/>
          </m:rPr>
          <m:t>p</m:t>
        </m:r>
        <m:r>
          <m:rPr>
            <m:sty m:val="p"/>
          </m:rPr>
          <m:t>)</m:t>
        </m:r>
        <m:r>
          <m:rPr>
            <m:sty m:val="p"/>
          </m:rPr>
          <m:t>⋅</m:t>
        </m:r>
        <m:sSup>
          <m:e>
            <m:r>
              <m:t>I</m:t>
            </m:r>
          </m:e>
          <m:sup>
            <m:r>
              <m:t>h</m:t>
            </m:r>
          </m:sup>
        </m:sSup>
      </m:oMath>
      <w:r>
        <w:t xml:space="preserve">, com</w:t>
      </w:r>
      <w:r>
        <w:t xml:space="preserve"> </w:t>
      </w:r>
      <m:oMath>
        <m:r>
          <m:t>b</m:t>
        </m:r>
        <m:r>
          <m:rPr>
            <m:sty m:val="p"/>
          </m:rPr>
          <m:t>(</m:t>
        </m:r>
        <m:r>
          <m:rPr>
            <m:sty m:val="bi"/>
          </m:rPr>
          <m:t>p</m:t>
        </m:r>
        <m:r>
          <m:rPr>
            <m:sty m:val="p"/>
          </m:rPr>
          <m:t>)</m:t>
        </m:r>
      </m:oMath>
      <w:r>
        <w:t xml:space="preserve"> </w:t>
      </w:r>
      <w:r>
        <w:t xml:space="preserve">idêntico para todos. Isso implica curvas de Engel lineares e paralelas. A alternativa (d) é uma propriedade que vale sempre (não é uma condição especial); (a) é desnecessária; (b) é suficiente mas muito mais restritiva do que Gorman exige.</w:t>
      </w:r>
    </w:p>
    <w:p>
      <w:pPr>
        <w:pStyle w:val="BlockText"/>
      </w:pPr>
      <w:r>
        <w:rPr>
          <w:b/>
          <w:bCs/>
        </w:rPr>
        <w:t xml:space="preserve">[QUESTAO] 6. No modelo de Lancaster, o consumidor deriva utilidade de:</w:t>
      </w:r>
    </w:p>
    <w:p>
      <w:pPr>
        <w:pStyle w:val="Compact"/>
        <w:numPr>
          <w:ilvl w:val="0"/>
          <w:numId w:val="1307"/>
        </w:numPr>
      </w:pPr>
    </w:p>
    <w:p>
      <w:pPr>
        <w:pStyle w:val="Compact"/>
        <w:numPr>
          <w:ilvl w:val="1"/>
          <w:numId w:val="1308"/>
        </w:numPr>
      </w:pPr>
      <w:r>
        <w:t xml:space="preserve">Os bens de mercado diretamente, como na teoria clássica</w:t>
      </w:r>
    </w:p>
    <w:p>
      <w:pPr>
        <w:pStyle w:val="Compact"/>
        <w:numPr>
          <w:ilvl w:val="0"/>
          <w:numId w:val="1307"/>
        </w:numPr>
      </w:pPr>
    </w:p>
    <w:p>
      <w:pPr>
        <w:pStyle w:val="Compact"/>
        <w:numPr>
          <w:ilvl w:val="1"/>
          <w:numId w:val="1309"/>
        </w:numPr>
      </w:pPr>
      <w:r>
        <w:t xml:space="preserve">Os</w:t>
      </w:r>
      <w:r>
        <w:t xml:space="preserve"> </w:t>
      </w:r>
      <w:r>
        <w:rPr>
          <w:b/>
          <w:bCs/>
        </w:rPr>
        <w:t xml:space="preserve">atributos</w:t>
      </w:r>
      <w:r>
        <w:t xml:space="preserve"> </w:t>
      </w:r>
      <w:r>
        <w:t xml:space="preserve">(características) contidos nos bens, não dos bens em si</w:t>
      </w:r>
    </w:p>
    <w:p>
      <w:pPr>
        <w:pStyle w:val="Compact"/>
        <w:numPr>
          <w:ilvl w:val="0"/>
          <w:numId w:val="1307"/>
        </w:numPr>
      </w:pPr>
    </w:p>
    <w:p>
      <w:pPr>
        <w:pStyle w:val="Compact"/>
        <w:numPr>
          <w:ilvl w:val="1"/>
          <w:numId w:val="1310"/>
        </w:numPr>
      </w:pPr>
      <w:r>
        <w:t xml:space="preserve">A quantidade total de bens consumidos, independentemente de quais bens</w:t>
      </w:r>
    </w:p>
    <w:p>
      <w:pPr>
        <w:pStyle w:val="Compact"/>
        <w:numPr>
          <w:ilvl w:val="0"/>
          <w:numId w:val="1307"/>
        </w:numPr>
      </w:pPr>
    </w:p>
    <w:p>
      <w:pPr>
        <w:pStyle w:val="Compact"/>
        <w:numPr>
          <w:ilvl w:val="1"/>
          <w:numId w:val="1311"/>
        </w:numPr>
      </w:pPr>
      <w:r>
        <w:t xml:space="preserve">O preço pago pelos bens, refletindo sinalização de status</w:t>
      </w:r>
    </w:p>
    <w:p>
      <w:pPr>
        <w:pStyle w:val="BlockText"/>
      </w:pPr>
      <w:r>
        <w:t xml:space="preserve">??? success</w:t>
      </w:r>
      <w:r>
        <w:t xml:space="preserve"> </w:t>
      </w:r>
      <w:r>
        <w:t xml:space="preserve">“Resposta”</w:t>
      </w:r>
      <w:r>
        <w:t xml:space="preserve"> </w:t>
      </w:r>
      <w:r>
        <w:rPr>
          <w:b/>
          <w:bCs/>
        </w:rPr>
        <w:t xml:space="preserve">(b)</w:t>
      </w:r>
      <w:r>
        <w:t xml:space="preserve"> </w:t>
      </w:r>
      <w:r>
        <w:t xml:space="preserve">Lancaster (1966) propôs que os bens são desejados pelos atributos que contêm: um automóvel fornece potência, conforto e eficiência; um alimento fornece calorias, proteínas e sabor. A utilidade é</w:t>
      </w:r>
      <w:r>
        <w:t xml:space="preserve"> </w:t>
      </w:r>
      <m:oMath>
        <m:r>
          <m:t>U</m:t>
        </m:r>
        <m:r>
          <m:rPr>
            <m:sty m:val="p"/>
          </m:rPr>
          <m:t>(</m:t>
        </m:r>
        <m:sSub>
          <m:e>
            <m:r>
              <m:t>z</m:t>
            </m:r>
          </m:e>
          <m:sub>
            <m:r>
              <m:t>1</m:t>
            </m:r>
          </m:sub>
        </m:sSub>
        <m:r>
          <m:rPr>
            <m:sty m:val="p"/>
          </m:rPr>
          <m:t>,</m:t>
        </m:r>
        <m:r>
          <m:rPr>
            <m:sty m:val="p"/>
          </m:rPr>
          <m:t>…</m:t>
        </m:r>
        <m:r>
          <m:rPr>
            <m:sty m:val="p"/>
          </m:rPr>
          <m:t>,</m:t>
        </m:r>
        <m:sSub>
          <m:e>
            <m:r>
              <m:t>z</m:t>
            </m:r>
          </m:e>
          <m:sub>
            <m:r>
              <m:t>m</m:t>
            </m:r>
          </m:sub>
        </m:sSub>
        <m:r>
          <m:rPr>
            <m:sty m:val="p"/>
          </m:rPr>
          <m:t>)</m:t>
        </m:r>
      </m:oMath>
      <w:r>
        <w:t xml:space="preserve"> </w:t>
      </w:r>
      <w:r>
        <w:t xml:space="preserve">onde</w:t>
      </w:r>
      <w:r>
        <w:t xml:space="preserve"> </w:t>
      </w:r>
      <m:oMath>
        <m:sSub>
          <m:e>
            <m:r>
              <m:t>z</m:t>
            </m:r>
          </m:e>
          <m:sub>
            <m:r>
              <m:t>k</m:t>
            </m:r>
          </m:sub>
        </m:sSub>
        <m:r>
          <m:rPr>
            <m:sty m:val="p"/>
          </m:rPr>
          <m:t>=</m:t>
        </m:r>
        <m:nary>
          <m:naryPr>
            <m:chr m:val="∑"/>
            <m:limLoc m:val="undOvr"/>
            <m:subHide m:val="off"/>
            <m:supHide m:val="on"/>
          </m:naryPr>
          <m:sub>
            <m:r>
              <m:t>j</m:t>
            </m:r>
          </m:sub>
          <m:sup>
            <m:r>
              <m:t>​</m:t>
            </m:r>
          </m:sup>
          <m:e>
            <m:sSub>
              <m:e>
                <m:r>
                  <m:t>b</m:t>
                </m:r>
              </m:e>
              <m:sub>
                <m:r>
                  <m:t>k</m:t>
                </m:r>
                <m:r>
                  <m:t>j</m:t>
                </m:r>
              </m:sub>
            </m:sSub>
          </m:e>
        </m:nary>
        <m:sSub>
          <m:e>
            <m:r>
              <m:t>x</m:t>
            </m:r>
          </m:e>
          <m:sub>
            <m:r>
              <m:t>j</m:t>
            </m:r>
          </m:sub>
        </m:sSub>
      </m:oMath>
      <w:r>
        <w:t xml:space="preserve"> </w:t>
      </w:r>
      <w:r>
        <w:t xml:space="preserve">— os atributos são</w:t>
      </w:r>
      <w:r>
        <w:t xml:space="preserve"> </w:t>
      </w:r>
      <w:r>
        <w:t xml:space="preserve">“produzidos”</w:t>
      </w:r>
      <w:r>
        <w:t xml:space="preserve"> </w:t>
      </w:r>
      <w:r>
        <w:t xml:space="preserve">pelo consumo dos bens. Isso explica a diferenciação de produto, a introdução de novos bens e a precificação hedônica (Rosen, 1974).</w:t>
      </w:r>
    </w:p>
    <w:p>
      <w:r>
        <w:pict>
          <v:rect style="width:0;height:1.5pt" o:hralign="center" o:hrstd="t" o:hr="t"/>
        </w:pict>
      </w:r>
    </w:p>
    <w:bookmarkEnd w:id="309"/>
    <w:bookmarkStart w:id="310" w:name="resumo-do-capítulo-4"/>
    <w:p>
      <w:pPr>
        <w:pStyle w:val="Heading3"/>
      </w:pPr>
      <w:r>
        <w:t xml:space="preserve">📋 Resumo do Capítulo</w:t>
      </w:r>
    </w:p>
    <w:p>
      <w:pPr>
        <w:pStyle w:val="Compact"/>
        <w:numPr>
          <w:ilvl w:val="0"/>
          <w:numId w:val="1312"/>
        </w:numPr>
      </w:pPr>
      <w:r>
        <w:t xml:space="preserve">Os efeitos cruzados de preço medem como a variação no preço de um bem afeta a demanda por outro, e podem ser decompostos pela Equação de Slutsky em efeito substituição cruzado e efeito renda cruzado.</w:t>
      </w:r>
    </w:p>
    <w:p>
      <w:pPr>
        <w:pStyle w:val="Compact"/>
        <w:numPr>
          <w:ilvl w:val="0"/>
          <w:numId w:val="1312"/>
        </w:numPr>
      </w:pPr>
      <w:r>
        <w:t xml:space="preserve">Bens são classificados como substitutos ou complementos brutos (marshallianos, baseados na demanda não-compensada) e líquidos (hicksianos, baseados na demanda compensada); a classificação pode diferir entre as duas definições quando o efeito renda é significativo.</w:t>
      </w:r>
    </w:p>
    <w:p>
      <w:pPr>
        <w:pStyle w:val="Compact"/>
        <w:numPr>
          <w:ilvl w:val="0"/>
          <w:numId w:val="1312"/>
        </w:numPr>
      </w:pPr>
      <w:r>
        <w:t xml:space="preserve">A matriz de substituição de Slutsky é simétrica e negativa semidefinida; com muitos bens, todo bem deve ter pelo menos um substituto líquido, tornando a substituibilidade o fenômeno dominante.</w:t>
      </w:r>
    </w:p>
    <w:p>
      <w:pPr>
        <w:pStyle w:val="Compact"/>
        <w:numPr>
          <w:ilvl w:val="0"/>
          <w:numId w:val="1312"/>
        </w:numPr>
      </w:pPr>
      <w:r>
        <w:t xml:space="preserve">O Teorema do Bem Composto de Hicks permite agregar um grupo de bens cujos preços variam proporcionalmente em um único bem composto, viabilizando a análise com dois bens mesmo em economias complexas.</w:t>
      </w:r>
    </w:p>
    <w:p>
      <w:pPr>
        <w:pStyle w:val="Compact"/>
        <w:numPr>
          <w:ilvl w:val="0"/>
          <w:numId w:val="1312"/>
        </w:numPr>
      </w:pPr>
      <w:r>
        <w:t xml:space="preserve">O modelo de Lancaster propõe que os consumidores valorizam atributos dos bens (não os bens em si), gerando preços hedônicos implícitos; o modelo de Becker incorpora o tempo como insumo na produção doméstica de utilidade.</w:t>
      </w:r>
    </w:p>
    <w:p>
      <w:pPr>
        <w:pStyle w:val="Compact"/>
        <w:numPr>
          <w:ilvl w:val="0"/>
          <w:numId w:val="1312"/>
        </w:numPr>
      </w:pPr>
      <w:r>
        <w:t xml:space="preserve">A demanda de mercado é a soma horizontal das demandas individuais; a condição de Gorman (curvas de Engel lineares e paralelas) garante a existência de um consumidor representativo.</w:t>
      </w:r>
    </w:p>
    <w:bookmarkEnd w:id="310"/>
    <w:bookmarkStart w:id="311" w:name="conceitos-chave-4"/>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Efeito cruzado de preço</w:t>
            </w:r>
          </w:p>
        </w:tc>
        <w:tc>
          <w:tcPr/>
          <w:p>
            <w:pPr>
              <w:pStyle w:val="Compact"/>
            </w:pPr>
            <w:r>
              <w:t xml:space="preserve">Variação na demanda de um bem causada pela mudança no preço de outro bem.</w:t>
            </w:r>
          </w:p>
        </w:tc>
      </w:tr>
      <w:tr>
        <w:tc>
          <w:tcPr/>
          <w:p>
            <w:pPr>
              <w:pStyle w:val="Compact"/>
            </w:pPr>
            <w:r>
              <w:t xml:space="preserve">Substitutos brutos (marshallianos)</w:t>
            </w:r>
          </w:p>
        </w:tc>
        <w:tc>
          <w:tcPr/>
          <w:p>
            <w:pPr>
              <w:pStyle w:val="Compact"/>
            </w:pPr>
            <w:r>
              <w:t xml:space="preserve">Bens cuja elasticidade-preço cruzada marshalliana é positiva: o aumento no preço de um eleva a demanda pelo outro.</w:t>
            </w:r>
          </w:p>
        </w:tc>
      </w:tr>
      <w:tr>
        <w:tc>
          <w:tcPr/>
          <w:p>
            <w:pPr>
              <w:pStyle w:val="Compact"/>
            </w:pPr>
            <w:r>
              <w:t xml:space="preserve">Complementos brutos (marshallianos)</w:t>
            </w:r>
          </w:p>
        </w:tc>
        <w:tc>
          <w:tcPr/>
          <w:p>
            <w:pPr>
              <w:pStyle w:val="Compact"/>
            </w:pPr>
            <w:r>
              <w:t xml:space="preserve">Bens cuja elasticidade-preço cruzada marshalliana é negativa: o aumento no preço de um reduz a demanda pelo outro.</w:t>
            </w:r>
          </w:p>
        </w:tc>
      </w:tr>
      <w:tr>
        <w:tc>
          <w:tcPr/>
          <w:p>
            <w:pPr>
              <w:pStyle w:val="Compact"/>
            </w:pPr>
            <w:r>
              <w:t xml:space="preserve">Substitutos líquidos (hicksianos)</w:t>
            </w:r>
          </w:p>
        </w:tc>
        <w:tc>
          <w:tcPr/>
          <w:p>
            <w:pPr>
              <w:pStyle w:val="Compact"/>
            </w:pPr>
            <w:r>
              <w:t xml:space="preserve">Bens cujo efeito substituição cruzado (compensado) é positivo; a classificação líquida é simétrica.</w:t>
            </w:r>
          </w:p>
        </w:tc>
      </w:tr>
      <w:tr>
        <w:tc>
          <w:tcPr/>
          <w:p>
            <w:pPr>
              <w:pStyle w:val="Compact"/>
            </w:pPr>
            <w:r>
              <w:t xml:space="preserve">Complementos líquidos (hicksianos)</w:t>
            </w:r>
          </w:p>
        </w:tc>
        <w:tc>
          <w:tcPr/>
          <w:p>
            <w:pPr>
              <w:pStyle w:val="Compact"/>
            </w:pPr>
            <w:r>
              <w:t xml:space="preserve">Bens cujo efeito substituição cruzado (compensado) é negativo; com dois bens, a complementaridade líquida é impossível.</w:t>
            </w:r>
          </w:p>
        </w:tc>
      </w:tr>
      <w:tr>
        <w:tc>
          <w:tcPr/>
          <w:p>
            <w:pPr>
              <w:pStyle w:val="Compact"/>
            </w:pPr>
            <w:r>
              <w:t xml:space="preserve">Teorema do Bem Composto de Hicks</w:t>
            </w:r>
          </w:p>
        </w:tc>
        <w:tc>
          <w:tcPr/>
          <w:p>
            <w:pPr>
              <w:pStyle w:val="Compact"/>
            </w:pPr>
            <w:r>
              <w:t xml:space="preserve">Se os preços de um grupo de bens variam na mesma proporção, o grupo pode ser tratado como um único bem composto.</w:t>
            </w:r>
          </w:p>
        </w:tc>
      </w:tr>
      <w:tr>
        <w:tc>
          <w:tcPr/>
          <w:p>
            <w:pPr>
              <w:pStyle w:val="Compact"/>
            </w:pPr>
            <w:r>
              <w:t xml:space="preserve">Modelo de Lancaster</w:t>
            </w:r>
          </w:p>
        </w:tc>
        <w:tc>
          <w:tcPr/>
          <w:p>
            <w:pPr>
              <w:pStyle w:val="Compact"/>
            </w:pPr>
            <w:r>
              <w:t xml:space="preserve">Teoria em que a utilidade depende dos atributos dos bens, não dos bens em si, gerando preços hedônicos implícitos.</w:t>
            </w:r>
          </w:p>
        </w:tc>
      </w:tr>
      <w:tr>
        <w:tc>
          <w:tcPr/>
          <w:p>
            <w:pPr>
              <w:pStyle w:val="Compact"/>
            </w:pPr>
            <w:r>
              <w:t xml:space="preserve">Condição de Gorman</w:t>
            </w:r>
          </w:p>
        </w:tc>
        <w:tc>
          <w:tcPr/>
          <w:p>
            <w:pPr>
              <w:pStyle w:val="Compact"/>
            </w:pPr>
            <w:r>
              <w:t xml:space="preserve">Condição sob a qual a demanda de mercado depende apenas da renda agregada: curvas de Engel lineares e paralelas para todos os consumidores.</w:t>
            </w:r>
          </w:p>
        </w:tc>
      </w:tr>
      <w:tr>
        <w:tc>
          <w:tcPr/>
          <w:p>
            <w:pPr>
              <w:pStyle w:val="Compact"/>
            </w:pPr>
            <w:r>
              <w:t xml:space="preserve">Preços hedônicos</w:t>
            </w:r>
          </w:p>
        </w:tc>
        <w:tc>
          <w:tcPr/>
          <w:p>
            <w:pPr>
              <w:pStyle w:val="Compact"/>
            </w:pPr>
            <w:r>
              <w:t xml:space="preserve">Preços implícitos dos atributos de um bem, estimados pela decomposição do preço de mercado em contribuições de cada característica.</w:t>
            </w:r>
          </w:p>
        </w:tc>
      </w:tr>
    </w:tbl>
    <w:p>
      <w:pPr>
        <w:pStyle w:val="BodyText"/>
      </w:pPr>
      <w:r>
        <w:rPr>
          <w:b/>
          <w:bCs/>
        </w:rPr>
        <w:t xml:space="preserve">Tabela 6.2 — Conceitos-chave.</w:t>
      </w:r>
    </w:p>
    <w:bookmarkEnd w:id="311"/>
    <w:bookmarkStart w:id="312" w:name="exercícios-4"/>
    <w:p>
      <w:pPr>
        <w:pStyle w:val="Heading3"/>
      </w:pPr>
      <w:r>
        <w:t xml:space="preserve">Exercícios</w:t>
      </w:r>
    </w:p>
    <w:p>
      <w:pPr>
        <w:pStyle w:val="FirstParagraph"/>
      </w:pPr>
      <w:r>
        <w:rPr>
          <w:b/>
          <w:bCs/>
        </w:rPr>
        <w:t xml:space="preserve">Exercício 6.1.</w:t>
      </w:r>
      <w:r>
        <w:t xml:space="preserve"> </w:t>
      </w:r>
      <w:r>
        <w:t xml:space="preserve">Considere a função de utilidade CES:</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r>
          <m:rPr>
            <m:sty m:val="p"/>
          </m:rPr>
          <m:t>(</m:t>
        </m:r>
        <m:sSubSup>
          <m:e>
            <m:r>
              <m:t>x</m:t>
            </m:r>
          </m:e>
          <m:sub>
            <m:r>
              <m:t>1</m:t>
            </m:r>
          </m:sub>
          <m:sup>
            <m:r>
              <m:t>ρ</m:t>
            </m:r>
          </m:sup>
        </m:sSubSup>
        <m:r>
          <m:rPr>
            <m:sty m:val="p"/>
          </m:rPr>
          <m:t>+</m:t>
        </m:r>
        <m:sSubSup>
          <m:e>
            <m:r>
              <m:t>x</m:t>
            </m:r>
          </m:e>
          <m:sub>
            <m:r>
              <m:t>2</m:t>
            </m:r>
          </m:sub>
          <m:sup>
            <m:r>
              <m:t>ρ</m:t>
            </m:r>
          </m:sup>
        </m:sSubSup>
        <m:sSup>
          <m:e>
            <m:r>
              <m:rPr>
                <m:sty m:val="p"/>
              </m:rPr>
              <m:t>)</m:t>
            </m:r>
          </m:e>
          <m:sup>
            <m:r>
              <m:t>1</m:t>
            </m:r>
            <m:r>
              <m:rPr>
                <m:sty m:val="p"/>
              </m:rPr>
              <m:t>/</m:t>
            </m:r>
            <m:r>
              <m:t>ρ</m:t>
            </m:r>
          </m:sup>
        </m:sSup>
      </m:oMath>
      <w:r>
        <w:t xml:space="preserve">, com</w:t>
      </w:r>
      <w:r>
        <w:t xml:space="preserve"> </w:t>
      </w:r>
      <m:oMath>
        <m:r>
          <m:t>ρ</m:t>
        </m:r>
        <m:r>
          <m:rPr>
            <m:sty m:val="p"/>
          </m:rPr>
          <m:t>&lt;</m:t>
        </m:r>
        <m:r>
          <m:t>1</m:t>
        </m:r>
      </m:oMath>
      <w:r>
        <w:t xml:space="preserve">, preços</w:t>
      </w:r>
      <w:r>
        <w:t xml:space="preserve"> </w:t>
      </w:r>
      <m:oMath>
        <m:sSub>
          <m:e>
            <m:r>
              <m:t>p</m:t>
            </m:r>
          </m:e>
          <m:sub>
            <m:r>
              <m:t>1</m:t>
            </m:r>
          </m:sub>
        </m:sSub>
        <m:r>
          <m:rPr>
            <m:sty m:val="p"/>
          </m:rPr>
          <m:t>,</m:t>
        </m:r>
        <m:sSub>
          <m:e>
            <m:r>
              <m:t>p</m:t>
            </m:r>
          </m:e>
          <m:sub>
            <m:r>
              <m:t>2</m:t>
            </m:r>
          </m:sub>
        </m:sSub>
      </m:oMath>
      <w:r>
        <w:t xml:space="preserve"> </w:t>
      </w:r>
      <w:r>
        <w:t xml:space="preserve">e renda</w:t>
      </w:r>
      <w:r>
        <w:t xml:space="preserve"> </w:t>
      </w:r>
      <m:oMath>
        <m:r>
          <m:t>I</m:t>
        </m:r>
      </m:oMath>
      <w:r>
        <w:t xml:space="preserve">.</w:t>
      </w:r>
    </w:p>
    <w:p>
      <w:pPr>
        <w:numPr>
          <w:ilvl w:val="0"/>
          <w:numId w:val="1313"/>
        </w:numPr>
      </w:pPr>
      <w:r>
        <w:t xml:space="preserve">Derive as demandas marshallianas</w:t>
      </w:r>
      <w:r>
        <w:t xml:space="preserve"> </w:t>
      </w:r>
      <m:oMath>
        <m:sSubSup>
          <m:e>
            <m:r>
              <m:t>x</m:t>
            </m:r>
          </m:e>
          <m:sub>
            <m:r>
              <m:t>1</m:t>
            </m:r>
          </m:sub>
          <m:sup>
            <m:r>
              <m:rPr>
                <m:sty m:val="p"/>
              </m:rPr>
              <m:t>*</m:t>
            </m:r>
          </m:sup>
        </m:sSubSup>
      </m:oMath>
      <w:r>
        <w:t xml:space="preserve"> </w:t>
      </w:r>
      <w:r>
        <w:t xml:space="preserve">e</w:t>
      </w:r>
      <w:r>
        <w:t xml:space="preserve"> </w:t>
      </w:r>
      <m:oMath>
        <m:sSubSup>
          <m:e>
            <m:r>
              <m:t>x</m:t>
            </m:r>
          </m:e>
          <m:sub>
            <m:r>
              <m:t>2</m:t>
            </m:r>
          </m:sub>
          <m:sup>
            <m:r>
              <m:rPr>
                <m:sty m:val="p"/>
              </m:rPr>
              <m:t>*</m:t>
            </m:r>
          </m:sup>
        </m:sSubSup>
      </m:oMath>
      <w:r>
        <w:t xml:space="preserve">.</w:t>
      </w:r>
    </w:p>
    <w:p>
      <w:pPr>
        <w:numPr>
          <w:ilvl w:val="0"/>
          <w:numId w:val="1313"/>
        </w:numPr>
      </w:pPr>
      <w:r>
        <w:t xml:space="preserve">Calcule</w:t>
      </w:r>
      <w:r>
        <w:t xml:space="preserve"> </w:t>
      </w:r>
      <m:oMath>
        <m:f>
          <m:fPr>
            <m:type m:val="bar"/>
          </m:fPr>
          <m:num>
            <m:r>
              <m:rPr>
                <m:sty m:val="p"/>
              </m:rPr>
              <m:t>∂</m:t>
            </m:r>
            <m:sSub>
              <m:e>
                <m:r>
                  <m:t>x</m:t>
                </m:r>
              </m:e>
              <m:sub>
                <m:r>
                  <m:t>1</m:t>
                </m:r>
              </m:sub>
            </m:sSub>
          </m:num>
          <m:den>
            <m:r>
              <m:rPr>
                <m:sty m:val="p"/>
              </m:rPr>
              <m:t>∂</m:t>
            </m:r>
            <m:sSub>
              <m:e>
                <m:r>
                  <m:t>p</m:t>
                </m:r>
              </m:e>
              <m:sub>
                <m:r>
                  <m:t>2</m:t>
                </m:r>
              </m:sub>
            </m:sSub>
          </m:den>
        </m:f>
      </m:oMath>
      <w:r>
        <w:t xml:space="preserve"> </w:t>
      </w:r>
      <w:r>
        <w:t xml:space="preserve">e classifique os bens como substitutos ou complementos brutos em função do valor de</w:t>
      </w:r>
      <w:r>
        <w:t xml:space="preserve"> </w:t>
      </w:r>
      <m:oMath>
        <m:r>
          <m:t>ρ</m:t>
        </m:r>
      </m:oMath>
      <w:r>
        <w:t xml:space="preserve">.</w:t>
      </w:r>
    </w:p>
    <w:p>
      <w:pPr>
        <w:numPr>
          <w:ilvl w:val="0"/>
          <w:numId w:val="1313"/>
        </w:numPr>
      </w:pPr>
      <w:r>
        <w:t xml:space="preserve">Calcule o efeito substituição cruzado</w:t>
      </w:r>
      <w:r>
        <w:t xml:space="preserve"> </w:t>
      </w:r>
      <m:oMath>
        <m:f>
          <m:fPr>
            <m:type m:val="bar"/>
          </m:fPr>
          <m:num>
            <m:r>
              <m:rPr>
                <m:sty m:val="p"/>
              </m:rPr>
              <m:t>∂</m:t>
            </m:r>
            <m:sSub>
              <m:e>
                <m:r>
                  <m:t>h</m:t>
                </m:r>
              </m:e>
              <m:sub>
                <m:r>
                  <m:t>1</m:t>
                </m:r>
              </m:sub>
            </m:sSub>
          </m:num>
          <m:den>
            <m:r>
              <m:rPr>
                <m:sty m:val="p"/>
              </m:rPr>
              <m:t>∂</m:t>
            </m:r>
            <m:sSub>
              <m:e>
                <m:r>
                  <m:t>p</m:t>
                </m:r>
              </m:e>
              <m:sub>
                <m:r>
                  <m:t>2</m:t>
                </m:r>
              </m:sub>
            </m:sSub>
          </m:den>
        </m:f>
      </m:oMath>
      <w:r>
        <w:t xml:space="preserve"> </w:t>
      </w:r>
      <w:r>
        <w:t xml:space="preserve">e verifique que os bens são sempre substitutos líquidos (no caso de dois bens).</w:t>
      </w:r>
    </w:p>
    <w:p>
      <w:pPr>
        <w:pStyle w:val="FirstParagraph"/>
      </w:pPr>
      <w:r>
        <w:t xml:space="preserve">Ver solução (Cap. 6)</w:t>
      </w:r>
    </w:p>
    <w:p>
      <w:r>
        <w:pict>
          <v:rect style="width:0;height:1.5pt" o:hralign="center" o:hrstd="t" o:hr="t"/>
        </w:pict>
      </w:r>
    </w:p>
    <w:p>
      <w:pPr>
        <w:pStyle w:val="FirstParagraph"/>
      </w:pPr>
      <w:r>
        <w:rPr>
          <w:b/>
          <w:bCs/>
        </w:rPr>
        <w:t xml:space="preserve">Exercício 6.2 (Bem composto).</w:t>
      </w:r>
      <w:r>
        <w:t xml:space="preserve"> </w:t>
      </w:r>
      <w:r>
        <w:t xml:space="preserve">Um consumidor compra três tipos de fruta: banana (</w:t>
      </w:r>
      <m:oMath>
        <m:r>
          <m:t>b</m:t>
        </m:r>
      </m:oMath>
      <w:r>
        <w:t xml:space="preserve">), maçã (</w:t>
      </w:r>
      <m:oMath>
        <m:r>
          <m:t>m</m:t>
        </m:r>
      </m:oMath>
      <w:r>
        <w:t xml:space="preserve">) e laranja (</w:t>
      </w:r>
      <m:oMath>
        <m:r>
          <m:t>l</m:t>
        </m:r>
      </m:oMath>
      <w:r>
        <w:t xml:space="preserve">), além de um bem</w:t>
      </w:r>
      <w:r>
        <w:t xml:space="preserve"> </w:t>
      </w:r>
      <w:r>
        <w:t xml:space="preserve">“todos os outros”</w:t>
      </w:r>
      <w:r>
        <w:t xml:space="preserve"> </w:t>
      </w:r>
      <w:r>
        <w:t xml:space="preserve">(</w:t>
      </w:r>
      <m:oMath>
        <m:r>
          <m:t>y</m:t>
        </m:r>
      </m:oMath>
      <w:r>
        <w:t xml:space="preserve">). Suponha que os preços das frutas sempre variem na mesma proporção:</w:t>
      </w:r>
      <w:r>
        <w:t xml:space="preserve"> </w:t>
      </w:r>
      <m:oMath>
        <m:sSub>
          <m:e>
            <m:r>
              <m:t>p</m:t>
            </m:r>
          </m:e>
          <m:sub>
            <m:r>
              <m:t>b</m:t>
            </m:r>
          </m:sub>
        </m:sSub>
        <m:r>
          <m:rPr>
            <m:sty m:val="p"/>
          </m:rPr>
          <m:t>=</m:t>
        </m:r>
        <m:r>
          <m:t>α</m:t>
        </m:r>
        <m:sSub>
          <m:e>
            <m:acc>
              <m:accPr>
                <m:chr m:val="‾"/>
              </m:accPr>
              <m:e>
                <m:r>
                  <m:t>p</m:t>
                </m:r>
              </m:e>
            </m:acc>
          </m:e>
          <m:sub>
            <m:r>
              <m:t>b</m:t>
            </m:r>
          </m:sub>
        </m:sSub>
      </m:oMath>
      <w:r>
        <w:t xml:space="preserve">,</w:t>
      </w:r>
      <w:r>
        <w:t xml:space="preserve"> </w:t>
      </w:r>
      <m:oMath>
        <m:sSub>
          <m:e>
            <m:r>
              <m:t>p</m:t>
            </m:r>
          </m:e>
          <m:sub>
            <m:r>
              <m:t>m</m:t>
            </m:r>
          </m:sub>
        </m:sSub>
        <m:r>
          <m:rPr>
            <m:sty m:val="p"/>
          </m:rPr>
          <m:t>=</m:t>
        </m:r>
        <m:r>
          <m:t>α</m:t>
        </m:r>
        <m:sSub>
          <m:e>
            <m:acc>
              <m:accPr>
                <m:chr m:val="‾"/>
              </m:accPr>
              <m:e>
                <m:r>
                  <m:t>p</m:t>
                </m:r>
              </m:e>
            </m:acc>
          </m:e>
          <m:sub>
            <m:r>
              <m:t>m</m:t>
            </m:r>
          </m:sub>
        </m:sSub>
      </m:oMath>
      <w:r>
        <w:t xml:space="preserve">,</w:t>
      </w:r>
      <w:r>
        <w:t xml:space="preserve"> </w:t>
      </w:r>
      <m:oMath>
        <m:sSub>
          <m:e>
            <m:r>
              <m:t>p</m:t>
            </m:r>
          </m:e>
          <m:sub>
            <m:r>
              <m:t>l</m:t>
            </m:r>
          </m:sub>
        </m:sSub>
        <m:r>
          <m:rPr>
            <m:sty m:val="p"/>
          </m:rPr>
          <m:t>=</m:t>
        </m:r>
        <m:r>
          <m:t>α</m:t>
        </m:r>
        <m:sSub>
          <m:e>
            <m:acc>
              <m:accPr>
                <m:chr m:val="‾"/>
              </m:accPr>
              <m:e>
                <m:r>
                  <m:t>p</m:t>
                </m:r>
              </m:e>
            </m:acc>
          </m:e>
          <m:sub>
            <m:r>
              <m:t>l</m:t>
            </m:r>
          </m:sub>
        </m:sSub>
      </m:oMath>
      <w:r>
        <w:t xml:space="preserve">.</w:t>
      </w:r>
    </w:p>
    <w:p>
      <w:pPr>
        <w:numPr>
          <w:ilvl w:val="0"/>
          <w:numId w:val="1314"/>
        </w:numPr>
      </w:pPr>
      <w:r>
        <w:t xml:space="preserve">Defina o bem composto</w:t>
      </w:r>
      <w:r>
        <w:t xml:space="preserve"> </w:t>
      </w:r>
      <w:r>
        <w:t xml:space="preserve">“frutas”</w:t>
      </w:r>
      <w:r>
        <w:t xml:space="preserve"> </w:t>
      </w:r>
      <w:r>
        <w:t xml:space="preserve">e reescreva a restrição orçamentária.</w:t>
      </w:r>
    </w:p>
    <w:p>
      <w:pPr>
        <w:numPr>
          <w:ilvl w:val="0"/>
          <w:numId w:val="1314"/>
        </w:numPr>
      </w:pPr>
      <w:r>
        <w:t xml:space="preserve">Se</w:t>
      </w:r>
      <w:r>
        <w:t xml:space="preserve"> </w:t>
      </w:r>
      <m:oMath>
        <m:r>
          <m:t>α</m:t>
        </m:r>
      </m:oMath>
      <w:r>
        <w:t xml:space="preserve"> </w:t>
      </w:r>
      <w:r>
        <w:t xml:space="preserve">aumenta em 15%, explique como analisar o efeito sobre o consumo de</w:t>
      </w:r>
      <w:r>
        <w:t xml:space="preserve"> </w:t>
      </w:r>
      <w:r>
        <w:t xml:space="preserve">“todos os outros”</w:t>
      </w:r>
      <w:r>
        <w:t xml:space="preserve"> </w:t>
      </w:r>
      <w:r>
        <w:t xml:space="preserve">usando o modelo de dois bens.</w:t>
      </w:r>
    </w:p>
    <w:p>
      <w:pPr>
        <w:numPr>
          <w:ilvl w:val="0"/>
          <w:numId w:val="1314"/>
        </w:numPr>
      </w:pPr>
      <w:r>
        <w:t xml:space="preserve">Discuta sob quais circunstâncias a hipótese de proporcionalidade dos preços das frutas falharia no Brasil.</w:t>
      </w:r>
    </w:p>
    <w:p>
      <w:pPr>
        <w:pStyle w:val="FirstParagraph"/>
      </w:pPr>
      <w:r>
        <w:t xml:space="preserve">Ver solução (Cap. 6)</w:t>
      </w:r>
    </w:p>
    <w:p>
      <w:r>
        <w:pict>
          <v:rect style="width:0;height:1.5pt" o:hralign="center" o:hrstd="t" o:hr="t"/>
        </w:pict>
      </w:r>
    </w:p>
    <w:p>
      <w:pPr>
        <w:pStyle w:val="FirstParagraph"/>
      </w:pPr>
      <w:r>
        <w:rPr>
          <w:b/>
          <w:bCs/>
        </w:rPr>
        <w:t xml:space="preserve">Exercício 6.3 (Classificação marshalliana vs. hicksiana).</w:t>
      </w:r>
      <w:r>
        <w:t xml:space="preserve"> </w:t>
      </w:r>
      <w:r>
        <w:t xml:space="preserve">Um consumidor tem demandas marshallianas</w:t>
      </w:r>
      <w:r>
        <w:t xml:space="preserve"> </w:t>
      </w:r>
      <m:oMath>
        <m:sSub>
          <m:e>
            <m:r>
              <m:t>x</m:t>
            </m:r>
          </m:e>
          <m:sub>
            <m:r>
              <m:t>1</m:t>
            </m:r>
          </m:sub>
        </m:sSub>
        <m:r>
          <m:rPr>
            <m:sty m:val="p"/>
          </m:rPr>
          <m:t>=</m:t>
        </m:r>
        <m:f>
          <m:fPr>
            <m:type m:val="bar"/>
          </m:fPr>
          <m:num>
            <m:r>
              <m:t>I</m:t>
            </m:r>
          </m:num>
          <m:den>
            <m:r>
              <m:t>3</m:t>
            </m:r>
            <m:sSub>
              <m:e>
                <m:r>
                  <m:t>p</m:t>
                </m:r>
              </m:e>
              <m:sub>
                <m:r>
                  <m:t>1</m:t>
                </m:r>
              </m:sub>
            </m:sSub>
          </m:den>
        </m:f>
      </m:oMath>
      <w:r>
        <w:t xml:space="preserve"> </w:t>
      </w:r>
      <w:r>
        <w:t xml:space="preserve">e</w:t>
      </w:r>
      <w:r>
        <w:t xml:space="preserve"> </w:t>
      </w:r>
      <m:oMath>
        <m:sSub>
          <m:e>
            <m:r>
              <m:t>x</m:t>
            </m:r>
          </m:e>
          <m:sub>
            <m:r>
              <m:t>2</m:t>
            </m:r>
          </m:sub>
        </m:sSub>
        <m:r>
          <m:rPr>
            <m:sty m:val="p"/>
          </m:rPr>
          <m:t>=</m:t>
        </m:r>
        <m:f>
          <m:fPr>
            <m:type m:val="bar"/>
          </m:fPr>
          <m:num>
            <m:r>
              <m:t>2</m:t>
            </m:r>
            <m:r>
              <m:t>I</m:t>
            </m:r>
          </m:num>
          <m:den>
            <m:r>
              <m:t>3</m:t>
            </m:r>
            <m:sSub>
              <m:e>
                <m:r>
                  <m:t>p</m:t>
                </m:r>
              </m:e>
              <m:sub>
                <m:r>
                  <m:t>2</m:t>
                </m:r>
              </m:sub>
            </m:sSub>
          </m:den>
        </m:f>
      </m:oMath>
      <w:r>
        <w:t xml:space="preserve">.</w:t>
      </w:r>
    </w:p>
    <w:p>
      <w:pPr>
        <w:numPr>
          <w:ilvl w:val="0"/>
          <w:numId w:val="1315"/>
        </w:numPr>
      </w:pPr>
      <w:r>
        <w:t xml:space="preserve">Calcule</w:t>
      </w:r>
      <w:r>
        <w:t xml:space="preserve"> </w:t>
      </w:r>
      <m:oMath>
        <m:f>
          <m:fPr>
            <m:type m:val="bar"/>
          </m:fPr>
          <m:num>
            <m:r>
              <m:rPr>
                <m:sty m:val="p"/>
              </m:rPr>
              <m:t>∂</m:t>
            </m:r>
            <m:sSub>
              <m:e>
                <m:r>
                  <m:t>x</m:t>
                </m:r>
              </m:e>
              <m:sub>
                <m:r>
                  <m:t>1</m:t>
                </m:r>
              </m:sub>
            </m:sSub>
          </m:num>
          <m:den>
            <m:r>
              <m:rPr>
                <m:sty m:val="p"/>
              </m:rPr>
              <m:t>∂</m:t>
            </m:r>
            <m:sSub>
              <m:e>
                <m:r>
                  <m:t>p</m:t>
                </m:r>
              </m:e>
              <m:sub>
                <m:r>
                  <m:t>2</m:t>
                </m:r>
              </m:sub>
            </m:sSub>
          </m:den>
        </m:f>
      </m:oMath>
      <w:r>
        <w:t xml:space="preserve"> </w:t>
      </w:r>
      <w:r>
        <w:t xml:space="preserve">e classifique os bens como substitutos ou complementos brutos.</w:t>
      </w:r>
    </w:p>
    <w:p>
      <w:pPr>
        <w:numPr>
          <w:ilvl w:val="0"/>
          <w:numId w:val="1315"/>
        </w:numPr>
      </w:pPr>
      <w:r>
        <w:t xml:space="preserve">Derive a função de utilidade indireta e, por dualidade, a função dispêndio.</w:t>
      </w:r>
    </w:p>
    <w:p>
      <w:pPr>
        <w:numPr>
          <w:ilvl w:val="0"/>
          <w:numId w:val="1315"/>
        </w:numPr>
      </w:pPr>
      <w:r>
        <w:t xml:space="preserve">Obtenha as demandas hicksianas e calcule</w:t>
      </w:r>
      <w:r>
        <w:t xml:space="preserve"> </w:t>
      </w:r>
      <m:oMath>
        <m:f>
          <m:fPr>
            <m:type m:val="bar"/>
          </m:fPr>
          <m:num>
            <m:r>
              <m:rPr>
                <m:sty m:val="p"/>
              </m:rPr>
              <m:t>∂</m:t>
            </m:r>
            <m:sSub>
              <m:e>
                <m:r>
                  <m:t>h</m:t>
                </m:r>
              </m:e>
              <m:sub>
                <m:r>
                  <m:t>1</m:t>
                </m:r>
              </m:sub>
            </m:sSub>
          </m:num>
          <m:den>
            <m:r>
              <m:rPr>
                <m:sty m:val="p"/>
              </m:rPr>
              <m:t>∂</m:t>
            </m:r>
            <m:sSub>
              <m:e>
                <m:r>
                  <m:t>p</m:t>
                </m:r>
              </m:e>
              <m:sub>
                <m:r>
                  <m:t>2</m:t>
                </m:r>
              </m:sub>
            </m:sSub>
          </m:den>
        </m:f>
      </m:oMath>
      <w:r>
        <w:t xml:space="preserve">. Classifique os bens como substitutos ou complementos líquidos.</w:t>
      </w:r>
    </w:p>
    <w:p>
      <w:pPr>
        <w:numPr>
          <w:ilvl w:val="0"/>
          <w:numId w:val="1315"/>
        </w:numPr>
      </w:pPr>
      <w:r>
        <w:t xml:space="preserve">Verifique a Equação de Slutsky:</w:t>
      </w:r>
      <w:r>
        <w:t xml:space="preserve"> </w:t>
      </w:r>
      <m:oMath>
        <m:f>
          <m:fPr>
            <m:type m:val="bar"/>
          </m:fPr>
          <m:num>
            <m:r>
              <m:rPr>
                <m:sty m:val="p"/>
              </m:rPr>
              <m:t>∂</m:t>
            </m:r>
            <m:sSub>
              <m:e>
                <m:r>
                  <m:t>x</m:t>
                </m:r>
              </m:e>
              <m:sub>
                <m:r>
                  <m:t>1</m:t>
                </m:r>
              </m:sub>
            </m:sSub>
          </m:num>
          <m:den>
            <m:r>
              <m:rPr>
                <m:sty m:val="p"/>
              </m:rPr>
              <m:t>∂</m:t>
            </m:r>
            <m:sSub>
              <m:e>
                <m:r>
                  <m:t>p</m:t>
                </m:r>
              </m:e>
              <m:sub>
                <m:r>
                  <m:t>2</m:t>
                </m:r>
              </m:sub>
            </m:sSub>
          </m:den>
        </m:f>
        <m:r>
          <m:rPr>
            <m:sty m:val="p"/>
          </m:rPr>
          <m:t>=</m:t>
        </m:r>
        <m:f>
          <m:fPr>
            <m:type m:val="bar"/>
          </m:fPr>
          <m:num>
            <m:r>
              <m:rPr>
                <m:sty m:val="p"/>
              </m:rPr>
              <m:t>∂</m:t>
            </m:r>
            <m:sSub>
              <m:e>
                <m:r>
                  <m:t>h</m:t>
                </m:r>
              </m:e>
              <m:sub>
                <m:r>
                  <m:t>1</m:t>
                </m:r>
              </m:sub>
            </m:sSub>
          </m:num>
          <m:den>
            <m:r>
              <m:rPr>
                <m:sty m:val="p"/>
              </m:rPr>
              <m:t>∂</m:t>
            </m:r>
            <m:sSub>
              <m:e>
                <m:r>
                  <m:t>p</m:t>
                </m:r>
              </m:e>
              <m:sub>
                <m:r>
                  <m:t>2</m:t>
                </m:r>
              </m:sub>
            </m:sSub>
          </m:den>
        </m:f>
        <m:r>
          <m:rPr>
            <m:sty m:val="p"/>
          </m:rPr>
          <m:t>−</m:t>
        </m:r>
        <m:sSub>
          <m:e>
            <m:r>
              <m:t>x</m:t>
            </m:r>
          </m:e>
          <m:sub>
            <m:r>
              <m:t>2</m:t>
            </m:r>
          </m:sub>
        </m:sSub>
        <m:f>
          <m:fPr>
            <m:type m:val="bar"/>
          </m:fPr>
          <m:num>
            <m:r>
              <m:rPr>
                <m:sty m:val="p"/>
              </m:rPr>
              <m:t>∂</m:t>
            </m:r>
            <m:sSub>
              <m:e>
                <m:r>
                  <m:t>x</m:t>
                </m:r>
              </m:e>
              <m:sub>
                <m:r>
                  <m:t>1</m:t>
                </m:r>
              </m:sub>
            </m:sSub>
          </m:num>
          <m:den>
            <m:r>
              <m:rPr>
                <m:sty m:val="p"/>
              </m:rPr>
              <m:t>∂</m:t>
            </m:r>
            <m:r>
              <m:t>I</m:t>
            </m:r>
          </m:den>
        </m:f>
      </m:oMath>
      <w:r>
        <w:t xml:space="preserve">.</w:t>
      </w:r>
    </w:p>
    <w:p>
      <w:pPr>
        <w:pStyle w:val="FirstParagraph"/>
      </w:pPr>
      <w:r>
        <w:t xml:space="preserve">Ver solução (Cap. 6)</w:t>
      </w:r>
    </w:p>
    <w:p>
      <w:r>
        <w:pict>
          <v:rect style="width:0;height:1.5pt" o:hralign="center" o:hrstd="t" o:hr="t"/>
        </w:pict>
      </w:r>
    </w:p>
    <w:p>
      <w:pPr>
        <w:pStyle w:val="FirstParagraph"/>
      </w:pPr>
      <w:r>
        <w:rPr>
          <w:b/>
          <w:bCs/>
        </w:rPr>
        <w:t xml:space="preserve">Exercício 6.4 (Modelo de Lancaster).</w:t>
      </w:r>
      <w:r>
        <w:t xml:space="preserve"> </w:t>
      </w:r>
      <w:r>
        <w:t xml:space="preserve">Um consumidor deriva utilidade de dois atributos: calorias (</w:t>
      </w:r>
      <m:oMath>
        <m:sSub>
          <m:e>
            <m:r>
              <m:t>z</m:t>
            </m:r>
          </m:e>
          <m:sub>
            <m:r>
              <m:t>1</m:t>
            </m:r>
          </m:sub>
        </m:sSub>
      </m:oMath>
      <w:r>
        <w:t xml:space="preserve">) e proteínas (</w:t>
      </w:r>
      <m:oMath>
        <m:sSub>
          <m:e>
            <m:r>
              <m:t>z</m:t>
            </m:r>
          </m:e>
          <m:sub>
            <m:r>
              <m:t>2</m:t>
            </m:r>
          </m:sub>
        </m:sSub>
      </m:oMath>
      <w:r>
        <w:t xml:space="preserve">). Dois bens estão disponíveis: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Bem</w:t>
            </w:r>
          </w:p>
        </w:tc>
        <w:tc>
          <w:tcPr/>
          <w:p>
            <w:pPr>
              <w:pStyle w:val="Compact"/>
              <w:jc w:val="center"/>
            </w:pPr>
            <w:r>
              <w:t xml:space="preserve">Calorias por unidade</w:t>
            </w:r>
          </w:p>
        </w:tc>
        <w:tc>
          <w:tcPr/>
          <w:p>
            <w:pPr>
              <w:pStyle w:val="Compact"/>
              <w:jc w:val="center"/>
            </w:pPr>
            <w:r>
              <w:t xml:space="preserve">Proteínas por unidade</w:t>
            </w:r>
          </w:p>
        </w:tc>
        <w:tc>
          <w:tcPr/>
          <w:p>
            <w:pPr>
              <w:pStyle w:val="Compact"/>
              <w:jc w:val="center"/>
            </w:pPr>
            <w:r>
              <w:t xml:space="preserve">Preço</w:t>
            </w:r>
          </w:p>
        </w:tc>
      </w:tr>
      <w:tr>
        <w:tc>
          <w:tcPr/>
          <w:p>
            <w:pPr>
              <w:pStyle w:val="Compact"/>
              <w:jc w:val="left"/>
            </w:pPr>
            <w:r>
              <w:t xml:space="preserve">Arroz</w:t>
            </w:r>
          </w:p>
        </w:tc>
        <w:tc>
          <w:tcPr/>
          <w:p>
            <w:pPr>
              <w:pStyle w:val="Compact"/>
              <w:jc w:val="center"/>
            </w:pPr>
            <w:r>
              <w:t xml:space="preserve">130</w:t>
            </w:r>
          </w:p>
        </w:tc>
        <w:tc>
          <w:tcPr/>
          <w:p>
            <w:pPr>
              <w:pStyle w:val="Compact"/>
              <w:jc w:val="center"/>
            </w:pPr>
            <w:r>
              <w:t xml:space="preserve">2,5</w:t>
            </w:r>
          </w:p>
        </w:tc>
        <w:tc>
          <w:tcPr/>
          <w:p>
            <w:pPr>
              <w:pStyle w:val="Compact"/>
              <w:jc w:val="center"/>
            </w:pPr>
            <w:r>
              <w:t xml:space="preserve">R$ 5,00</w:t>
            </w:r>
          </w:p>
        </w:tc>
      </w:tr>
      <w:tr>
        <w:tc>
          <w:tcPr/>
          <w:p>
            <w:pPr>
              <w:pStyle w:val="Compact"/>
              <w:jc w:val="left"/>
            </w:pPr>
            <w:r>
              <w:t xml:space="preserve">Frango</w:t>
            </w:r>
          </w:p>
        </w:tc>
        <w:tc>
          <w:tcPr/>
          <w:p>
            <w:pPr>
              <w:pStyle w:val="Compact"/>
              <w:jc w:val="center"/>
            </w:pPr>
            <w:r>
              <w:t xml:space="preserve">165</w:t>
            </w:r>
          </w:p>
        </w:tc>
        <w:tc>
          <w:tcPr/>
          <w:p>
            <w:pPr>
              <w:pStyle w:val="Compact"/>
              <w:jc w:val="center"/>
            </w:pPr>
            <w:r>
              <w:t xml:space="preserve">31</w:t>
            </w:r>
          </w:p>
        </w:tc>
        <w:tc>
          <w:tcPr/>
          <w:p>
            <w:pPr>
              <w:pStyle w:val="Compact"/>
              <w:jc w:val="center"/>
            </w:pPr>
            <w:r>
              <w:t xml:space="preserve">R$ 18,00</w:t>
            </w:r>
          </w:p>
        </w:tc>
      </w:tr>
    </w:tbl>
    <w:p>
      <w:pPr>
        <w:pStyle w:val="BodyText"/>
      </w:pPr>
      <w:r>
        <w:t xml:space="preserve">Sua função de utilidade é</w:t>
      </w:r>
      <w:r>
        <w:t xml:space="preserve"> </w:t>
      </w:r>
      <m:oMath>
        <m:r>
          <m:t>U</m:t>
        </m:r>
        <m:r>
          <m:rPr>
            <m:sty m:val="p"/>
          </m:rPr>
          <m:t>(</m:t>
        </m:r>
        <m:sSub>
          <m:e>
            <m:r>
              <m:t>z</m:t>
            </m:r>
          </m:e>
          <m:sub>
            <m:r>
              <m:t>1</m:t>
            </m:r>
          </m:sub>
        </m:sSub>
        <m:r>
          <m:rPr>
            <m:sty m:val="p"/>
          </m:rPr>
          <m:t>,</m:t>
        </m:r>
        <m:sSub>
          <m:e>
            <m:r>
              <m:t>z</m:t>
            </m:r>
          </m:e>
          <m:sub>
            <m:r>
              <m:t>2</m:t>
            </m:r>
          </m:sub>
        </m:sSub>
        <m:r>
          <m:rPr>
            <m:sty m:val="p"/>
          </m:rPr>
          <m:t>)</m:t>
        </m:r>
        <m:r>
          <m:rPr>
            <m:sty m:val="p"/>
          </m:rPr>
          <m:t>=</m:t>
        </m:r>
        <m:sSubSup>
          <m:e>
            <m:r>
              <m:t>z</m:t>
            </m:r>
          </m:e>
          <m:sub>
            <m:r>
              <m:t>1</m:t>
            </m:r>
          </m:sub>
          <m:sup>
            <m:r>
              <m:t>0</m:t>
            </m:r>
            <m:r>
              <m:rPr>
                <m:sty m:val="p"/>
              </m:rPr>
              <m:t>,</m:t>
            </m:r>
            <m:r>
              <m:t>4</m:t>
            </m:r>
          </m:sup>
        </m:sSubSup>
        <m:sSubSup>
          <m:e>
            <m:r>
              <m:t>z</m:t>
            </m:r>
          </m:e>
          <m:sub>
            <m:r>
              <m:t>2</m:t>
            </m:r>
          </m:sub>
          <m:sup>
            <m:r>
              <m:t>0</m:t>
            </m:r>
            <m:r>
              <m:rPr>
                <m:sty m:val="p"/>
              </m:rPr>
              <m:t>,</m:t>
            </m:r>
            <m:r>
              <m:t>6</m:t>
            </m:r>
          </m:sup>
        </m:sSubSup>
      </m:oMath>
      <w:r>
        <w:t xml:space="preserve"> </w:t>
      </w:r>
      <w:r>
        <w:t xml:space="preserve">e sua renda é</w:t>
      </w:r>
      <w:r>
        <w:t xml:space="preserve"> </w:t>
      </w:r>
      <m:oMath>
        <m:r>
          <m:t>I</m:t>
        </m:r>
        <m:r>
          <m:rPr>
            <m:sty m:val="p"/>
          </m:rPr>
          <m:t>=</m:t>
        </m:r>
        <m:r>
          <m:rPr>
            <m:nor/>
            <m:sty m:val="p"/>
          </m:rPr>
          <m:t>R$</m:t>
        </m:r>
        <m:r>
          <m:t> </m:t>
        </m:r>
        <m:r>
          <m:t>200</m:t>
        </m:r>
        <m:r>
          <m:rPr>
            <m:sty m:val="p"/>
          </m:rPr>
          <m:t>,</m:t>
        </m:r>
        <m:r>
          <m:t>00</m:t>
        </m:r>
      </m:oMath>
      <w:r>
        <w:t xml:space="preserve">.</w:t>
      </w:r>
    </w:p>
    <w:p>
      <w:pPr>
        <w:numPr>
          <w:ilvl w:val="0"/>
          <w:numId w:val="1316"/>
        </w:numPr>
      </w:pPr>
      <w:r>
        <w:t xml:space="preserve">Escreva o problema na forma do modelo de Lancaster e resolva para as quantidades ótimas de arroz e frango.</w:t>
      </w:r>
    </w:p>
    <w:p>
      <w:pPr>
        <w:numPr>
          <w:ilvl w:val="0"/>
          <w:numId w:val="1316"/>
        </w:numPr>
      </w:pPr>
      <w:r>
        <w:t xml:space="preserve">Suponha que um novo bem</w:t>
      </w:r>
      <w:r>
        <w:t xml:space="preserve"> </w:t>
      </w:r>
      <w:r>
        <w:t xml:space="preserve">“ovo”</w:t>
      </w:r>
      <w:r>
        <w:t xml:space="preserve"> </w:t>
      </w:r>
      <w:r>
        <w:t xml:space="preserve">entre no mercado com 155 calorias e 13 proteínas por unidade ao preço de R$ 8,00. Recalcule a alocação ótima e discuta como o novo bem afeta a demanda pelos bens existentes.</w:t>
      </w:r>
    </w:p>
    <w:p>
      <w:pPr>
        <w:pStyle w:val="FirstParagraph"/>
      </w:pPr>
      <w:r>
        <w:t xml:space="preserve">Ver solução (Cap. 6)</w:t>
      </w:r>
    </w:p>
    <w:p>
      <w:r>
        <w:pict>
          <v:rect style="width:0;height:1.5pt" o:hralign="center" o:hrstd="t" o:hr="t"/>
        </w:pict>
      </w:r>
    </w:p>
    <w:p>
      <w:pPr>
        <w:pStyle w:val="FirstParagraph"/>
      </w:pPr>
      <w:r>
        <w:rPr>
          <w:b/>
          <w:bCs/>
        </w:rPr>
        <w:t xml:space="preserve">Exercício 6.5 (Agregação da demanda).</w:t>
      </w:r>
      <w:r>
        <w:t xml:space="preserve"> </w:t>
      </w:r>
      <w:r>
        <w:t xml:space="preserve">Em uma economia com dois consumidores, as demandas individuais pelo bem 1 são:</w:t>
      </w:r>
    </w:p>
    <w:p>
      <w:pPr>
        <w:pStyle w:val="Compact"/>
        <w:numPr>
          <w:ilvl w:val="0"/>
          <w:numId w:val="1317"/>
        </w:numPr>
      </w:pPr>
      <w:r>
        <w:t xml:space="preserve">Consumidor A:</w:t>
      </w:r>
      <w:r>
        <w:t xml:space="preserve"> </w:t>
      </w:r>
      <m:oMath>
        <m:sSubSup>
          <m:e>
            <m:r>
              <m:t>x</m:t>
            </m:r>
          </m:e>
          <m:sub>
            <m:r>
              <m:t>1</m:t>
            </m:r>
          </m:sub>
          <m:sup>
            <m:r>
              <m:t>A</m:t>
            </m:r>
          </m:sup>
        </m:sSubSup>
        <m:r>
          <m:rPr>
            <m:sty m:val="p"/>
          </m:rPr>
          <m:t>=</m:t>
        </m:r>
        <m:f>
          <m:fPr>
            <m:type m:val="bar"/>
          </m:fPr>
          <m:num>
            <m:sSup>
              <m:e>
                <m:r>
                  <m:t>I</m:t>
                </m:r>
              </m:e>
              <m:sup>
                <m:r>
                  <m:t>A</m:t>
                </m:r>
              </m:sup>
            </m:sSup>
          </m:num>
          <m:den>
            <m:r>
              <m:t>2</m:t>
            </m:r>
            <m:sSub>
              <m:e>
                <m:r>
                  <m:t>p</m:t>
                </m:r>
              </m:e>
              <m:sub>
                <m:r>
                  <m:t>1</m:t>
                </m:r>
              </m:sub>
            </m:sSub>
          </m:den>
        </m:f>
      </m:oMath>
    </w:p>
    <w:p>
      <w:pPr>
        <w:pStyle w:val="Compact"/>
        <w:numPr>
          <w:ilvl w:val="0"/>
          <w:numId w:val="1317"/>
        </w:numPr>
      </w:pPr>
      <w:r>
        <w:t xml:space="preserve">Consumidor B:</w:t>
      </w:r>
      <w:r>
        <w:t xml:space="preserve"> </w:t>
      </w:r>
      <m:oMath>
        <m:sSubSup>
          <m:e>
            <m:r>
              <m:t>x</m:t>
            </m:r>
          </m:e>
          <m:sub>
            <m:r>
              <m:t>1</m:t>
            </m:r>
          </m:sub>
          <m:sup>
            <m:r>
              <m:t>B</m:t>
            </m:r>
          </m:sup>
        </m:sSubSup>
        <m:r>
          <m:rPr>
            <m:sty m:val="p"/>
          </m:rPr>
          <m:t>=</m:t>
        </m:r>
        <m:f>
          <m:fPr>
            <m:type m:val="bar"/>
          </m:fPr>
          <m:num>
            <m:r>
              <m:rPr>
                <m:sty m:val="p"/>
              </m:rPr>
              <m:t>(</m:t>
            </m:r>
            <m:sSup>
              <m:e>
                <m:r>
                  <m:t>I</m:t>
                </m:r>
              </m:e>
              <m:sup>
                <m:r>
                  <m:t>B</m:t>
                </m:r>
              </m:sup>
            </m:sSup>
            <m:sSup>
              <m:e>
                <m:r>
                  <m:rPr>
                    <m:sty m:val="p"/>
                  </m:rPr>
                  <m:t>)</m:t>
                </m:r>
              </m:e>
              <m:sup>
                <m:r>
                  <m:t>2</m:t>
                </m:r>
              </m:sup>
            </m:sSup>
          </m:num>
          <m:den>
            <m:sSub>
              <m:e>
                <m:r>
                  <m:t>p</m:t>
                </m:r>
              </m:e>
              <m:sub>
                <m:r>
                  <m:t>1</m:t>
                </m:r>
              </m:sub>
            </m:sSub>
            <m:r>
              <m:rPr>
                <m:sty m:val="p"/>
              </m:rPr>
              <m:t>⋅</m:t>
            </m:r>
            <m:r>
              <m:t>100</m:t>
            </m:r>
          </m:den>
        </m:f>
      </m:oMath>
    </w:p>
    <w:p>
      <w:pPr>
        <w:numPr>
          <w:ilvl w:val="0"/>
          <w:numId w:val="1318"/>
        </w:numPr>
      </w:pPr>
      <w:r>
        <w:t xml:space="preserve">A demanda de mercado pode ser escrita como função da renda agregada</w:t>
      </w:r>
      <w:r>
        <w:t xml:space="preserve"> </w:t>
      </w:r>
      <m:oMath>
        <m:r>
          <m:t>I</m:t>
        </m:r>
        <m:r>
          <m:rPr>
            <m:sty m:val="p"/>
          </m:rPr>
          <m:t>=</m:t>
        </m:r>
        <m:sSup>
          <m:e>
            <m:r>
              <m:t>I</m:t>
            </m:r>
          </m:e>
          <m:sup>
            <m:r>
              <m:t>A</m:t>
            </m:r>
          </m:sup>
        </m:sSup>
        <m:r>
          <m:rPr>
            <m:sty m:val="p"/>
          </m:rPr>
          <m:t>+</m:t>
        </m:r>
        <m:sSup>
          <m:e>
            <m:r>
              <m:t>I</m:t>
            </m:r>
          </m:e>
          <m:sup>
            <m:r>
              <m:t>B</m:t>
            </m:r>
          </m:sup>
        </m:sSup>
      </m:oMath>
      <w:r>
        <w:t xml:space="preserve">? Justifique usando a condição de Gorman.</w:t>
      </w:r>
    </w:p>
    <w:p>
      <w:pPr>
        <w:numPr>
          <w:ilvl w:val="0"/>
          <w:numId w:val="1318"/>
        </w:numPr>
      </w:pPr>
      <w:r>
        <w:t xml:space="preserve">Suponha que</w:t>
      </w:r>
      <w:r>
        <w:t xml:space="preserve"> </w:t>
      </w:r>
      <m:oMath>
        <m:sSup>
          <m:e>
            <m:r>
              <m:t>I</m:t>
            </m:r>
          </m:e>
          <m:sup>
            <m:r>
              <m:t>A</m:t>
            </m:r>
          </m:sup>
        </m:sSup>
        <m:r>
          <m:rPr>
            <m:sty m:val="p"/>
          </m:rPr>
          <m:t>=</m:t>
        </m:r>
        <m:sSup>
          <m:e>
            <m:r>
              <m:t>I</m:t>
            </m:r>
          </m:e>
          <m:sup>
            <m:r>
              <m:t>B</m:t>
            </m:r>
          </m:sup>
        </m:sSup>
        <m:r>
          <m:rPr>
            <m:sty m:val="p"/>
          </m:rPr>
          <m:t>=</m:t>
        </m:r>
        <m:r>
          <m:t>100</m:t>
        </m:r>
      </m:oMath>
      <w:r>
        <w:t xml:space="preserve"> </w:t>
      </w:r>
      <w:r>
        <w:t xml:space="preserve">e</w:t>
      </w:r>
      <w:r>
        <w:t xml:space="preserve"> </w:t>
      </w:r>
      <m:oMath>
        <m:sSub>
          <m:e>
            <m:r>
              <m:t>p</m:t>
            </m:r>
          </m:e>
          <m:sub>
            <m:r>
              <m:t>1</m:t>
            </m:r>
          </m:sub>
        </m:sSub>
        <m:r>
          <m:rPr>
            <m:sty m:val="p"/>
          </m:rPr>
          <m:t>=</m:t>
        </m:r>
        <m:r>
          <m:t>10</m:t>
        </m:r>
      </m:oMath>
      <w:r>
        <w:t xml:space="preserve">. Calcule a demanda de mercado. Agora redistribua:</w:t>
      </w:r>
      <w:r>
        <w:t xml:space="preserve"> </w:t>
      </w:r>
      <m:oMath>
        <m:sSup>
          <m:e>
            <m:r>
              <m:t>I</m:t>
            </m:r>
          </m:e>
          <m:sup>
            <m:r>
              <m:t>A</m:t>
            </m:r>
          </m:sup>
        </m:sSup>
        <m:r>
          <m:rPr>
            <m:sty m:val="p"/>
          </m:rPr>
          <m:t>=</m:t>
        </m:r>
        <m:r>
          <m:t>50</m:t>
        </m:r>
      </m:oMath>
      <w:r>
        <w:t xml:space="preserve">,</w:t>
      </w:r>
      <w:r>
        <w:t xml:space="preserve"> </w:t>
      </w:r>
      <m:oMath>
        <m:sSup>
          <m:e>
            <m:r>
              <m:t>I</m:t>
            </m:r>
          </m:e>
          <m:sup>
            <m:r>
              <m:t>B</m:t>
            </m:r>
          </m:sup>
        </m:sSup>
        <m:r>
          <m:rPr>
            <m:sty m:val="p"/>
          </m:rPr>
          <m:t>=</m:t>
        </m:r>
        <m:r>
          <m:t>150</m:t>
        </m:r>
      </m:oMath>
      <w:r>
        <w:t xml:space="preserve">. Calcule novamente e mostre que a demanda mudou apesar de a renda total ser a mesma.</w:t>
      </w:r>
    </w:p>
    <w:p>
      <w:pPr>
        <w:numPr>
          <w:ilvl w:val="0"/>
          <w:numId w:val="1318"/>
        </w:numPr>
      </w:pPr>
      <w:r>
        <w:t xml:space="preserve">Discuta as implicações para a avaliação de políticas de redistribuição de renda como o programa Bolsa Família.</w:t>
      </w:r>
    </w:p>
    <w:p>
      <w:pPr>
        <w:pStyle w:val="FirstParagraph"/>
      </w:pPr>
      <w:r>
        <w:t xml:space="preserve">Ver solução (Cap. 6)</w:t>
      </w:r>
    </w:p>
    <w:p>
      <w:r>
        <w:pict>
          <v:rect style="width:0;height:1.5pt" o:hralign="center" o:hrstd="t" o:hr="t"/>
        </w:pict>
      </w:r>
    </w:p>
    <w:p>
      <w:pPr>
        <w:pStyle w:val="FirstParagraph"/>
      </w:pPr>
      <w:r>
        <w:rPr>
          <w:b/>
          <w:bCs/>
        </w:rPr>
        <w:t xml:space="preserve">Exercício 6.6 (Marshallianos vs. Hicksianos com Cobb-Douglas).</w:t>
      </w:r>
      <w:r>
        <w:t xml:space="preserve"> </w:t>
      </w:r>
      <w:r>
        <w:t xml:space="preserve">Considere um consumidor com função de utilidade</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0</m:t>
            </m:r>
            <m:r>
              <m:rPr>
                <m:sty m:val="p"/>
              </m:rPr>
              <m:t>,</m:t>
            </m:r>
            <m:r>
              <m:t>5</m:t>
            </m:r>
          </m:sup>
        </m:sSubSup>
        <m:sSubSup>
          <m:e>
            <m:r>
              <m:t>x</m:t>
            </m:r>
          </m:e>
          <m:sub>
            <m:r>
              <m:t>2</m:t>
            </m:r>
          </m:sub>
          <m:sup>
            <m:r>
              <m:t>0</m:t>
            </m:r>
            <m:r>
              <m:rPr>
                <m:sty m:val="p"/>
              </m:rPr>
              <m:t>,</m:t>
            </m:r>
            <m:r>
              <m:t>5</m:t>
            </m:r>
          </m:sup>
        </m:sSubSup>
      </m:oMath>
      <w:r>
        <w:t xml:space="preserve">, preços</w:t>
      </w:r>
      <w:r>
        <w:t xml:space="preserve"> </w:t>
      </w:r>
      <m:oMath>
        <m:sSub>
          <m:e>
            <m:r>
              <m:t>p</m:t>
            </m:r>
          </m:e>
          <m:sub>
            <m:r>
              <m:t>1</m:t>
            </m:r>
          </m:sub>
        </m:sSub>
        <m:r>
          <m:rPr>
            <m:sty m:val="p"/>
          </m:rPr>
          <m:t>,</m:t>
        </m:r>
        <m:sSub>
          <m:e>
            <m:r>
              <m:t>p</m:t>
            </m:r>
          </m:e>
          <m:sub>
            <m:r>
              <m:t>2</m:t>
            </m:r>
          </m:sub>
        </m:sSub>
        <m:r>
          <m:rPr>
            <m:sty m:val="p"/>
          </m:rPr>
          <m:t>&gt;</m:t>
        </m:r>
        <m:r>
          <m:t>0</m:t>
        </m:r>
      </m:oMath>
      <w:r>
        <w:t xml:space="preserve"> </w:t>
      </w:r>
      <w:r>
        <w:t xml:space="preserve">e renda</w:t>
      </w:r>
      <w:r>
        <w:t xml:space="preserve"> </w:t>
      </w:r>
      <m:oMath>
        <m:r>
          <m:t>I</m:t>
        </m:r>
        <m:r>
          <m:rPr>
            <m:sty m:val="p"/>
          </m:rPr>
          <m:t>&gt;</m:t>
        </m:r>
        <m:r>
          <m:t>0</m:t>
        </m:r>
      </m:oMath>
      <w:r>
        <w:t xml:space="preserve">.</w:t>
      </w:r>
    </w:p>
    <w:p>
      <w:pPr>
        <w:numPr>
          <w:ilvl w:val="0"/>
          <w:numId w:val="1319"/>
        </w:numPr>
      </w:pPr>
      <w:r>
        <w:t xml:space="preserve">Derive as demandas marshallianas e calcule a elasticidade-preço cruzada marshalliana</w:t>
      </w:r>
      <w:r>
        <w:t xml:space="preserve"> </w:t>
      </w:r>
      <m:oMath>
        <m:sSubSup>
          <m:e>
            <m:r>
              <m:t>ε</m:t>
            </m:r>
          </m:e>
          <m:sub>
            <m:sSub>
              <m:e>
                <m:r>
                  <m:t>x</m:t>
                </m:r>
              </m:e>
              <m:sub>
                <m:r>
                  <m:t>1</m:t>
                </m:r>
              </m:sub>
            </m:sSub>
            <m:r>
              <m:rPr>
                <m:sty m:val="p"/>
              </m:rPr>
              <m:t>,</m:t>
            </m:r>
            <m:sSub>
              <m:e>
                <m:r>
                  <m:t>p</m:t>
                </m:r>
              </m:e>
              <m:sub>
                <m:r>
                  <m:t>2</m:t>
                </m:r>
              </m:sub>
            </m:sSub>
          </m:sub>
          <m:sup>
            <m:r>
              <m:t>M</m:t>
            </m:r>
          </m:sup>
        </m:sSubSup>
      </m:oMath>
      <w:r>
        <w:t xml:space="preserve">.</w:t>
      </w:r>
    </w:p>
    <w:p>
      <w:pPr>
        <w:numPr>
          <w:ilvl w:val="0"/>
          <w:numId w:val="1319"/>
        </w:numPr>
      </w:pPr>
      <w:r>
        <w:t xml:space="preserve">Derive a função dispêndio e as demandas hicksianas. Calcule o efeito substituição cruzado hicksiano</w:t>
      </w:r>
      <w:r>
        <w:t xml:space="preserve"> </w:t>
      </w:r>
      <m:oMath>
        <m:f>
          <m:fPr>
            <m:type m:val="bar"/>
          </m:fPr>
          <m:num>
            <m:r>
              <m:rPr>
                <m:sty m:val="p"/>
              </m:rPr>
              <m:t>∂</m:t>
            </m:r>
            <m:sSub>
              <m:e>
                <m:r>
                  <m:t>h</m:t>
                </m:r>
              </m:e>
              <m:sub>
                <m:r>
                  <m:t>1</m:t>
                </m:r>
              </m:sub>
            </m:sSub>
          </m:num>
          <m:den>
            <m:r>
              <m:rPr>
                <m:sty m:val="p"/>
              </m:rPr>
              <m:t>∂</m:t>
            </m:r>
            <m:sSub>
              <m:e>
                <m:r>
                  <m:t>p</m:t>
                </m:r>
              </m:e>
              <m:sub>
                <m:r>
                  <m:t>2</m:t>
                </m:r>
              </m:sub>
            </m:sSub>
          </m:den>
        </m:f>
      </m:oMath>
      <w:r>
        <w:t xml:space="preserve"> </w:t>
      </w:r>
      <w:r>
        <w:t xml:space="preserve">e mostre que é positivo.</w:t>
      </w:r>
    </w:p>
    <w:p>
      <w:pPr>
        <w:numPr>
          <w:ilvl w:val="0"/>
          <w:numId w:val="1319"/>
        </w:numPr>
      </w:pPr>
      <w:r>
        <w:t xml:space="preserve">Explique, usando a Equação de Slutsky, por que a elasticidade cruzada marshalliana é zero enquanto o efeito substituição hicksiano é positivo. O que exatamente cancela o efeito substituição na demanda marshalliana?</w:t>
      </w:r>
    </w:p>
    <w:p>
      <w:pPr>
        <w:pStyle w:val="FirstParagraph"/>
      </w:pPr>
      <w:r>
        <w:t xml:space="preserve">Ver solução (Cap. 6)</w:t>
      </w:r>
    </w:p>
    <w:p>
      <w:r>
        <w:pict>
          <v:rect style="width:0;height:1.5pt" o:hralign="center" o:hrstd="t" o:hr="t"/>
        </w:pict>
      </w:r>
    </w:p>
    <w:p>
      <w:pPr>
        <w:pStyle w:val="FirstParagraph"/>
      </w:pPr>
      <w:r>
        <w:rPr>
          <w:b/>
          <w:bCs/>
        </w:rPr>
        <w:t xml:space="preserve">Exercício 6.7 (Bem composto e choques agrícolas).</w:t>
      </w:r>
      <w:r>
        <w:t xml:space="preserve"> </w:t>
      </w:r>
      <w:r>
        <w:t xml:space="preserve">Um consumidor compra três bens: arroz (</w:t>
      </w:r>
      <m:oMath>
        <m:r>
          <m:t>R</m:t>
        </m:r>
      </m:oMath>
      <w:r>
        <w:t xml:space="preserve">), feijão (</w:t>
      </w:r>
      <m:oMath>
        <m:r>
          <m:t>F</m:t>
        </m:r>
      </m:oMath>
      <w:r>
        <w:t xml:space="preserve">) e carne (</w:t>
      </w:r>
      <m:oMath>
        <m:r>
          <m:t>M</m:t>
        </m:r>
      </m:oMath>
      <w:r>
        <w:t xml:space="preserve">), além de um bem numerário (</w:t>
      </w:r>
      <m:oMath>
        <m:r>
          <m:t>y</m:t>
        </m:r>
      </m:oMath>
      <w:r>
        <w:t xml:space="preserve">). Os preços do arroz e do feijão são sistematicamente afetados pelos mesmos choques de oferta agrícola, de modo que</w:t>
      </w:r>
      <w:r>
        <w:t xml:space="preserve"> </w:t>
      </w:r>
      <m:oMath>
        <m:sSub>
          <m:e>
            <m:r>
              <m:t>p</m:t>
            </m:r>
          </m:e>
          <m:sub>
            <m:r>
              <m:t>R</m:t>
            </m:r>
          </m:sub>
        </m:sSub>
        <m:r>
          <m:rPr>
            <m:sty m:val="p"/>
          </m:rPr>
          <m:t>=</m:t>
        </m:r>
        <m:r>
          <m:t>α</m:t>
        </m:r>
        <m:sSub>
          <m:e>
            <m:acc>
              <m:accPr>
                <m:chr m:val="‾"/>
              </m:accPr>
              <m:e>
                <m:r>
                  <m:t>p</m:t>
                </m:r>
              </m:e>
            </m:acc>
          </m:e>
          <m:sub>
            <m:r>
              <m:t>R</m:t>
            </m:r>
          </m:sub>
        </m:sSub>
      </m:oMath>
      <w:r>
        <w:t xml:space="preserve"> </w:t>
      </w:r>
      <w:r>
        <w:t xml:space="preserve">e</w:t>
      </w:r>
      <w:r>
        <w:t xml:space="preserve"> </w:t>
      </w:r>
      <m:oMath>
        <m:sSub>
          <m:e>
            <m:r>
              <m:t>p</m:t>
            </m:r>
          </m:e>
          <m:sub>
            <m:r>
              <m:t>F</m:t>
            </m:r>
          </m:sub>
        </m:sSub>
        <m:r>
          <m:rPr>
            <m:sty m:val="p"/>
          </m:rPr>
          <m:t>=</m:t>
        </m:r>
        <m:r>
          <m:t>α</m:t>
        </m:r>
        <m:sSub>
          <m:e>
            <m:acc>
              <m:accPr>
                <m:chr m:val="‾"/>
              </m:accPr>
              <m:e>
                <m:r>
                  <m:t>p</m:t>
                </m:r>
              </m:e>
            </m:acc>
          </m:e>
          <m:sub>
            <m:r>
              <m:t>F</m:t>
            </m:r>
          </m:sub>
        </m:sSub>
      </m:oMath>
      <w:r>
        <w:t xml:space="preserve">, onde</w:t>
      </w:r>
      <w:r>
        <w:t xml:space="preserve"> </w:t>
      </w:r>
      <m:oMath>
        <m:sSub>
          <m:e>
            <m:acc>
              <m:accPr>
                <m:chr m:val="‾"/>
              </m:accPr>
              <m:e>
                <m:r>
                  <m:t>p</m:t>
                </m:r>
              </m:e>
            </m:acc>
          </m:e>
          <m:sub>
            <m:r>
              <m:t>R</m:t>
            </m:r>
          </m:sub>
        </m:sSub>
      </m:oMath>
      <w:r>
        <w:t xml:space="preserve"> </w:t>
      </w:r>
      <w:r>
        <w:t xml:space="preserve">e</w:t>
      </w:r>
      <w:r>
        <w:t xml:space="preserve"> </w:t>
      </w:r>
      <m:oMath>
        <m:sSub>
          <m:e>
            <m:acc>
              <m:accPr>
                <m:chr m:val="‾"/>
              </m:accPr>
              <m:e>
                <m:r>
                  <m:t>p</m:t>
                </m:r>
              </m:e>
            </m:acc>
          </m:e>
          <m:sub>
            <m:r>
              <m:t>F</m:t>
            </m:r>
          </m:sub>
        </m:sSub>
      </m:oMath>
      <w:r>
        <w:t xml:space="preserve"> </w:t>
      </w:r>
      <w:r>
        <w:t xml:space="preserve">são preços-base fixos e</w:t>
      </w:r>
      <w:r>
        <w:t xml:space="preserve"> </w:t>
      </w:r>
      <m:oMath>
        <m:r>
          <m:t>α</m:t>
        </m:r>
        <m:r>
          <m:rPr>
            <m:sty m:val="p"/>
          </m:rPr>
          <m:t>&gt;</m:t>
        </m:r>
        <m:r>
          <m:t>0</m:t>
        </m:r>
      </m:oMath>
      <w:r>
        <w:t xml:space="preserve"> </w:t>
      </w:r>
      <w:r>
        <w:t xml:space="preserve">varia com os choques. O preço da carne</w:t>
      </w:r>
      <w:r>
        <w:t xml:space="preserve"> </w:t>
      </w:r>
      <m:oMath>
        <m:sSub>
          <m:e>
            <m:r>
              <m:t>p</m:t>
            </m:r>
          </m:e>
          <m:sub>
            <m:r>
              <m:t>M</m:t>
            </m:r>
          </m:sub>
        </m:sSub>
      </m:oMath>
      <w:r>
        <w:t xml:space="preserve"> </w:t>
      </w:r>
      <w:r>
        <w:t xml:space="preserve">e o preço numerário</w:t>
      </w:r>
      <w:r>
        <w:t xml:space="preserve"> </w:t>
      </w:r>
      <m:oMath>
        <m:sSub>
          <m:e>
            <m:r>
              <m:t>p</m:t>
            </m:r>
          </m:e>
          <m:sub>
            <m:r>
              <m:t>y</m:t>
            </m:r>
          </m:sub>
        </m:sSub>
        <m:r>
          <m:rPr>
            <m:sty m:val="p"/>
          </m:rPr>
          <m:t>=</m:t>
        </m:r>
        <m:r>
          <m:t>1</m:t>
        </m:r>
      </m:oMath>
      <w:r>
        <w:t xml:space="preserve"> </w:t>
      </w:r>
      <w:r>
        <w:t xml:space="preserve">não variam com</w:t>
      </w:r>
      <w:r>
        <w:t xml:space="preserve"> </w:t>
      </w:r>
      <m:oMath>
        <m:r>
          <m:t>α</m:t>
        </m:r>
      </m:oMath>
      <w:r>
        <w:t xml:space="preserve">.</w:t>
      </w:r>
    </w:p>
    <w:p>
      <w:pPr>
        <w:numPr>
          <w:ilvl w:val="0"/>
          <w:numId w:val="1320"/>
        </w:numPr>
      </w:pPr>
      <w:r>
        <w:t xml:space="preserve">Defina o bem composto</w:t>
      </w:r>
      <w:r>
        <w:t xml:space="preserve"> </w:t>
      </w:r>
      <w:r>
        <w:t xml:space="preserve">“alimentos básicos”</w:t>
      </w:r>
      <w:r>
        <w:t xml:space="preserve"> </w:t>
      </w:r>
      <w:r>
        <w:t xml:space="preserve">(</w:t>
      </w:r>
      <m:oMath>
        <m:r>
          <m:t>A</m:t>
        </m:r>
      </m:oMath>
      <w:r>
        <w:t xml:space="preserve">) e reescreva a restrição orçamentária do consumidor em termos de</w:t>
      </w:r>
      <w:r>
        <w:t xml:space="preserve"> </w:t>
      </w:r>
      <m:oMath>
        <m:r>
          <m:t>A</m:t>
        </m:r>
      </m:oMath>
      <w:r>
        <w:t xml:space="preserve">,</w:t>
      </w:r>
      <w:r>
        <w:t xml:space="preserve"> </w:t>
      </w:r>
      <m:oMath>
        <m:r>
          <m:t>M</m:t>
        </m:r>
      </m:oMath>
      <w:r>
        <w:t xml:space="preserve"> </w:t>
      </w:r>
      <w:r>
        <w:t xml:space="preserve">e</w:t>
      </w:r>
      <w:r>
        <w:t xml:space="preserve"> </w:t>
      </w:r>
      <m:oMath>
        <m:r>
          <m:t>y</m:t>
        </m:r>
      </m:oMath>
      <w:r>
        <w:t xml:space="preserve">.</w:t>
      </w:r>
    </w:p>
    <w:p>
      <w:pPr>
        <w:numPr>
          <w:ilvl w:val="0"/>
          <w:numId w:val="1320"/>
        </w:numPr>
      </w:pPr>
      <w:r>
        <w:t xml:space="preserve">Qual é o</w:t>
      </w:r>
      <w:r>
        <w:t xml:space="preserve"> </w:t>
      </w:r>
      <w:r>
        <w:t xml:space="preserve">“preço”</w:t>
      </w:r>
      <w:r>
        <w:t xml:space="preserve"> </w:t>
      </w:r>
      <w:r>
        <w:t xml:space="preserve">do bem composto</w:t>
      </w:r>
      <w:r>
        <w:t xml:space="preserve"> </w:t>
      </w:r>
      <m:oMath>
        <m:r>
          <m:t>A</m:t>
        </m:r>
      </m:oMath>
      <w:r>
        <w:t xml:space="preserve">? Qual é a</w:t>
      </w:r>
      <w:r>
        <w:t xml:space="preserve"> </w:t>
      </w:r>
      <w:r>
        <w:t xml:space="preserve">“quantidade”</w:t>
      </w:r>
      <w:r>
        <w:t xml:space="preserve"> </w:t>
      </w:r>
      <w:r>
        <w:t xml:space="preserve">de</w:t>
      </w:r>
      <w:r>
        <w:t xml:space="preserve"> </w:t>
      </w:r>
      <m:oMath>
        <m:r>
          <m:t>A</m:t>
        </m:r>
      </m:oMath>
      <w:r>
        <w:t xml:space="preserve">?</w:t>
      </w:r>
    </w:p>
    <w:p>
      <w:pPr>
        <w:numPr>
          <w:ilvl w:val="0"/>
          <w:numId w:val="1320"/>
        </w:numPr>
      </w:pPr>
      <w:r>
        <w:t xml:space="preserve">Com essa agregação, o problema original de 4 bens se reduz a quantos bens? Quando essa simplificação seria inválida para analisar o impacto de uma seca que afeta apenas o arroz?</w:t>
      </w:r>
    </w:p>
    <w:p>
      <w:pPr>
        <w:pStyle w:val="FirstParagraph"/>
      </w:pPr>
      <w:r>
        <w:t xml:space="preserve">Ver solução (Cap. 6)</w:t>
      </w:r>
    </w:p>
    <w:p>
      <w:r>
        <w:pict>
          <v:rect style="width:0;height:1.5pt" o:hralign="center" o:hrstd="t" o:hr="t"/>
        </w:pict>
      </w:r>
    </w:p>
    <w:p>
      <w:pPr>
        <w:pStyle w:val="FirstParagraph"/>
      </w:pPr>
      <w:r>
        <w:rPr>
          <w:b/>
          <w:bCs/>
        </w:rPr>
        <w:t xml:space="preserve">Exercício 6.8 (Matriz de Slutsky e restrições).</w:t>
      </w:r>
      <w:r>
        <w:t xml:space="preserve"> </w:t>
      </w:r>
      <w:r>
        <w:t xml:space="preserve">Uma economia tem 3 bens com preços</w:t>
      </w:r>
      <w:r>
        <w:t xml:space="preserve"> </w:t>
      </w:r>
      <m:oMath>
        <m:r>
          <m:rPr>
            <m:sty m:val="bi"/>
          </m:rPr>
          <m:t>p</m:t>
        </m:r>
        <m:r>
          <m:rPr>
            <m:sty m:val="p"/>
          </m:rPr>
          <m:t>=</m:t>
        </m:r>
        <m:r>
          <m:rPr>
            <m:sty m:val="p"/>
          </m:rPr>
          <m:t>(</m:t>
        </m:r>
        <m:r>
          <m:t>1</m:t>
        </m:r>
        <m:r>
          <m:rPr>
            <m:sty m:val="p"/>
          </m:rPr>
          <m:t>,</m:t>
        </m:r>
        <m:r>
          <m:t>1</m:t>
        </m:r>
        <m:r>
          <m:rPr>
            <m:sty m:val="p"/>
          </m:rPr>
          <m:t>,</m:t>
        </m:r>
        <m:r>
          <m:t>1</m:t>
        </m:r>
        <m:r>
          <m:rPr>
            <m:sty m:val="p"/>
          </m:rPr>
          <m:t>)</m:t>
        </m:r>
      </m:oMath>
      <w:r>
        <w:t xml:space="preserve">. A matriz de Slutsky parcialmente conhecida é:</w:t>
      </w:r>
    </w:p>
    <w:p>
      <w:pPr>
        <w:pStyle w:val="BodyText"/>
      </w:pPr>
      <m:oMathPara>
        <m:oMathParaPr>
          <m:jc m:val="center"/>
        </m:oMathParaPr>
        <m:oMath>
          <m:r>
            <m:t>S</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4</m:t>
                    </m:r>
                  </m:e>
                  <m:e>
                    <m:r>
                      <m:t>3</m:t>
                    </m:r>
                  </m:e>
                  <m:e>
                    <m:sSub>
                      <m:e>
                        <m:r>
                          <m:t>s</m:t>
                        </m:r>
                      </m:e>
                      <m:sub>
                        <m:r>
                          <m:t>13</m:t>
                        </m:r>
                      </m:sub>
                    </m:sSub>
                  </m:e>
                </m:mr>
                <m:mr>
                  <m:e>
                    <m:r>
                      <m:t>3</m:t>
                    </m:r>
                  </m:e>
                  <m:e>
                    <m:r>
                      <m:rPr>
                        <m:sty m:val="p"/>
                      </m:rPr>
                      <m:t>−</m:t>
                    </m:r>
                    <m:r>
                      <m:t>5</m:t>
                    </m:r>
                  </m:e>
                  <m:e>
                    <m:r>
                      <m:t>2</m:t>
                    </m:r>
                  </m:e>
                </m:mr>
                <m:mr>
                  <m:e>
                    <m:sSub>
                      <m:e>
                        <m:r>
                          <m:t>s</m:t>
                        </m:r>
                      </m:e>
                      <m:sub>
                        <m:r>
                          <m:t>13</m:t>
                        </m:r>
                      </m:sub>
                    </m:sSub>
                  </m:e>
                  <m:e>
                    <m:r>
                      <m:t>2</m:t>
                    </m:r>
                  </m:e>
                  <m:e>
                    <m:sSub>
                      <m:e>
                        <m:r>
                          <m:t>s</m:t>
                        </m:r>
                      </m:e>
                      <m:sub>
                        <m:r>
                          <m:t>33</m:t>
                        </m:r>
                      </m:sub>
                    </m:sSub>
                  </m:e>
                </m:mr>
              </m:m>
            </m:e>
          </m:d>
        </m:oMath>
      </m:oMathPara>
    </w:p>
    <w:p>
      <w:pPr>
        <w:numPr>
          <w:ilvl w:val="0"/>
          <w:numId w:val="1321"/>
        </w:numPr>
      </w:pPr>
      <w:r>
        <w:t xml:space="preserve">Usando a propriedade</w:t>
      </w:r>
      <w:r>
        <w:t xml:space="preserve"> </w:t>
      </w:r>
      <m:oMath>
        <m:r>
          <m:t>S</m:t>
        </m:r>
        <m:r>
          <m:rPr>
            <m:sty m:val="bi"/>
          </m:rPr>
          <m:t>p</m:t>
        </m:r>
        <m:r>
          <m:rPr>
            <m:sty m:val="p"/>
          </m:rPr>
          <m:t>=</m:t>
        </m:r>
        <m:r>
          <m:rPr>
            <m:sty m:val="b"/>
          </m:rPr>
          <m:t>0</m:t>
        </m:r>
      </m:oMath>
      <w:r>
        <w:t xml:space="preserve"> </w:t>
      </w:r>
      <w:r>
        <w:t xml:space="preserve">(com</w:t>
      </w:r>
      <w:r>
        <w:t xml:space="preserve"> </w:t>
      </w:r>
      <m:oMath>
        <m:r>
          <m:rPr>
            <m:sty m:val="bi"/>
          </m:rPr>
          <m:t>p</m:t>
        </m:r>
        <m:r>
          <m:rPr>
            <m:sty m:val="p"/>
          </m:rPr>
          <m:t>=</m:t>
        </m:r>
        <m:r>
          <m:rPr>
            <m:sty m:val="p"/>
          </m:rPr>
          <m:t>(</m:t>
        </m:r>
        <m:r>
          <m:t>1</m:t>
        </m:r>
        <m:r>
          <m:rPr>
            <m:sty m:val="p"/>
          </m:rPr>
          <m:t>,</m:t>
        </m:r>
        <m:r>
          <m:t>1</m:t>
        </m:r>
        <m:r>
          <m:rPr>
            <m:sty m:val="p"/>
          </m:rPr>
          <m:t>,</m:t>
        </m:r>
        <m:r>
          <m:t>1</m:t>
        </m:r>
        <m:sSup>
          <m:e>
            <m:r>
              <m:rPr>
                <m:sty m:val="p"/>
              </m:rPr>
              <m:t>)</m:t>
            </m:r>
          </m:e>
          <m:sup>
            <m:r>
              <m:rPr>
                <m:sty m:val="p"/>
              </m:rPr>
              <m:t>⊤</m:t>
            </m:r>
          </m:sup>
        </m:sSup>
      </m:oMath>
      <w:r>
        <w:t xml:space="preserve">), encontre</w:t>
      </w:r>
      <w:r>
        <w:t xml:space="preserve"> </w:t>
      </w:r>
      <m:oMath>
        <m:sSub>
          <m:e>
            <m:r>
              <m:t>s</m:t>
            </m:r>
          </m:e>
          <m:sub>
            <m:r>
              <m:t>13</m:t>
            </m:r>
          </m:sub>
        </m:sSub>
      </m:oMath>
      <w:r>
        <w:t xml:space="preserve"> </w:t>
      </w:r>
      <w:r>
        <w:t xml:space="preserve">a partir da primeira linha.</w:t>
      </w:r>
    </w:p>
    <w:p>
      <w:pPr>
        <w:numPr>
          <w:ilvl w:val="0"/>
          <w:numId w:val="1321"/>
        </w:numPr>
      </w:pPr>
      <w:r>
        <w:t xml:space="preserve">Com o valor de</w:t>
      </w:r>
      <w:r>
        <w:t xml:space="preserve"> </w:t>
      </w:r>
      <m:oMath>
        <m:sSub>
          <m:e>
            <m:r>
              <m:t>s</m:t>
            </m:r>
          </m:e>
          <m:sub>
            <m:r>
              <m:t>13</m:t>
            </m:r>
          </m:sub>
        </m:sSub>
      </m:oMath>
      <w:r>
        <w:t xml:space="preserve"> </w:t>
      </w:r>
      <w:r>
        <w:t xml:space="preserve">encontrado, classifique a relação entre o bem 1 e o bem 3: são substitutos líquidos, complementos líquidos ou independentes?</w:t>
      </w:r>
    </w:p>
    <w:p>
      <w:pPr>
        <w:numPr>
          <w:ilvl w:val="0"/>
          <w:numId w:val="1321"/>
        </w:numPr>
      </w:pPr>
      <w:r>
        <w:t xml:space="preserve">Encontre também</w:t>
      </w:r>
      <w:r>
        <w:t xml:space="preserve"> </w:t>
      </w:r>
      <m:oMath>
        <m:sSub>
          <m:e>
            <m:r>
              <m:t>s</m:t>
            </m:r>
          </m:e>
          <m:sub>
            <m:r>
              <m:t>33</m:t>
            </m:r>
          </m:sub>
        </m:sSub>
      </m:oMath>
      <w:r>
        <w:t xml:space="preserve"> </w:t>
      </w:r>
      <w:r>
        <w:t xml:space="preserve">usando a segunda linha (ou a terceira linha com</w:t>
      </w:r>
      <w:r>
        <w:t xml:space="preserve"> </w:t>
      </w:r>
      <m:oMath>
        <m:sSub>
          <m:e>
            <m:r>
              <m:t>s</m:t>
            </m:r>
          </m:e>
          <m:sub>
            <m:r>
              <m:t>13</m:t>
            </m:r>
          </m:sub>
        </m:sSub>
      </m:oMath>
      <w:r>
        <w:t xml:space="preserve"> </w:t>
      </w:r>
      <w:r>
        <w:t xml:space="preserve">já determinado). Verifique que</w:t>
      </w:r>
      <w:r>
        <w:t xml:space="preserve"> </w:t>
      </w:r>
      <m:oMath>
        <m:sSub>
          <m:e>
            <m:r>
              <m:t>s</m:t>
            </m:r>
          </m:e>
          <m:sub>
            <m:r>
              <m:t>33</m:t>
            </m:r>
          </m:sub>
        </m:sSub>
        <m:r>
          <m:rPr>
            <m:sty m:val="p"/>
          </m:rPr>
          <m:t>≤</m:t>
        </m:r>
        <m:r>
          <m:t>0</m:t>
        </m:r>
      </m:oMath>
      <w:r>
        <w:t xml:space="preserve">, como exigido pela teoria.</w:t>
      </w:r>
    </w:p>
    <w:p>
      <w:pPr>
        <w:pStyle w:val="FirstParagraph"/>
      </w:pPr>
      <w:r>
        <w:t xml:space="preserve">Ver solução (Cap. 6)</w:t>
      </w:r>
    </w:p>
    <w:p>
      <w:r>
        <w:pict>
          <v:rect style="width:0;height:1.5pt" o:hralign="center" o:hrstd="t" o:hr="t"/>
        </w:pict>
      </w:r>
    </w:p>
    <w:p>
      <w:pPr>
        <w:pStyle w:val="FirstParagraph"/>
      </w:pPr>
      <w:r>
        <w:rPr>
          <w:b/>
          <w:bCs/>
        </w:rPr>
        <w:t xml:space="preserve">Exercício 6.9 (Imposto sobre combustíveis — aplicação brasileira).</w:t>
      </w:r>
      <w:r>
        <w:t xml:space="preserve"> </w:t>
      </w:r>
      <w:r>
        <w:t xml:space="preserve">Com base nas elasticidades apresentadas no Box Brasil sobre gasolina e etanol (Seção 6.8): elasticidade-preço própria da gasolina</w:t>
      </w:r>
      <w:r>
        <w:t xml:space="preserve"> </w:t>
      </w:r>
      <m:oMath>
        <m:sSub>
          <m:e>
            <m:r>
              <m:t>ε</m:t>
            </m:r>
          </m:e>
          <m:sub>
            <m:r>
              <m:t>G</m:t>
            </m:r>
            <m:r>
              <m:rPr>
                <m:sty m:val="p"/>
              </m:rPr>
              <m:t>,</m:t>
            </m:r>
            <m:sSub>
              <m:e>
                <m:r>
                  <m:t>p</m:t>
                </m:r>
              </m:e>
              <m:sub>
                <m:r>
                  <m:t>G</m:t>
                </m:r>
              </m:sub>
            </m:sSub>
          </m:sub>
        </m:sSub>
        <m:r>
          <m:rPr>
            <m:sty m:val="p"/>
          </m:rPr>
          <m:t>≈</m:t>
        </m:r>
        <m:r>
          <m:rPr>
            <m:sty m:val="p"/>
          </m:rPr>
          <m:t>−</m:t>
        </m:r>
        <m:r>
          <m:t>0</m:t>
        </m:r>
        <m:r>
          <m:rPr>
            <m:sty m:val="p"/>
          </m:rPr>
          <m:t>,</m:t>
        </m:r>
        <m:r>
          <m:t>60</m:t>
        </m:r>
      </m:oMath>
      <w:r>
        <w:t xml:space="preserve"> </w:t>
      </w:r>
      <w:r>
        <w:t xml:space="preserve">e elasticidade-preço cruzada (gasolina-etanol)</w:t>
      </w:r>
      <w:r>
        <w:t xml:space="preserve"> </w:t>
      </w:r>
      <m:oMath>
        <m:sSub>
          <m:e>
            <m:r>
              <m:t>ε</m:t>
            </m:r>
          </m:e>
          <m:sub>
            <m:r>
              <m:t>G</m:t>
            </m:r>
            <m:r>
              <m:rPr>
                <m:sty m:val="p"/>
              </m:rPr>
              <m:t>,</m:t>
            </m:r>
            <m:sSub>
              <m:e>
                <m:r>
                  <m:t>p</m:t>
                </m:r>
              </m:e>
              <m:sub>
                <m:r>
                  <m:t>E</m:t>
                </m:r>
              </m:sub>
            </m:sSub>
          </m:sub>
        </m:sSub>
        <m:r>
          <m:rPr>
            <m:sty m:val="p"/>
          </m:rPr>
          <m:t>≈</m:t>
        </m:r>
        <m:r>
          <m:rPr>
            <m:sty m:val="p"/>
          </m:rPr>
          <m:t>+</m:t>
        </m:r>
        <m:r>
          <m:t>0</m:t>
        </m:r>
        <m:r>
          <m:rPr>
            <m:sty m:val="p"/>
          </m:rPr>
          <m:t>,</m:t>
        </m:r>
        <m:r>
          <m:t>65</m:t>
        </m:r>
      </m:oMath>
      <w:r>
        <w:t xml:space="preserve"> </w:t>
      </w:r>
      <w:r>
        <w:t xml:space="preserve">(e, por simetria,</w:t>
      </w:r>
      <w:r>
        <w:t xml:space="preserve"> </w:t>
      </w:r>
      <m:oMath>
        <m:sSub>
          <m:e>
            <m:r>
              <m:t>ε</m:t>
            </m:r>
          </m:e>
          <m:sub>
            <m:r>
              <m:t>E</m:t>
            </m:r>
            <m:r>
              <m:rPr>
                <m:sty m:val="p"/>
              </m:rPr>
              <m:t>,</m:t>
            </m:r>
            <m:sSub>
              <m:e>
                <m:r>
                  <m:t>p</m:t>
                </m:r>
              </m:e>
              <m:sub>
                <m:r>
                  <m:t>G</m:t>
                </m:r>
              </m:sub>
            </m:sSub>
          </m:sub>
        </m:sSub>
        <m:r>
          <m:rPr>
            <m:sty m:val="p"/>
          </m:rPr>
          <m:t>≈</m:t>
        </m:r>
        <m:r>
          <m:rPr>
            <m:sty m:val="p"/>
          </m:rPr>
          <m:t>+</m:t>
        </m:r>
        <m:r>
          <m:t>0</m:t>
        </m:r>
        <m:r>
          <m:rPr>
            <m:sty m:val="p"/>
          </m:rPr>
          <m:t>,</m:t>
        </m:r>
        <m:r>
          <m:t>65</m:t>
        </m:r>
      </m:oMath>
      <w:r>
        <w:t xml:space="preserve">).</w:t>
      </w:r>
    </w:p>
    <w:p>
      <w:pPr>
        <w:pStyle w:val="BodyText"/>
      </w:pPr>
      <w:r>
        <w:t xml:space="preserve">Suponha que o governo eleve o ICMS sobre gasolina em 10%, mantendo o preço do etanol fixo. Os preços iniciais são tais que a relação etanol/gasolina estava exatamente em 70% (ponto de indiferença do consumidor flex).</w:t>
      </w:r>
    </w:p>
    <w:p>
      <w:pPr>
        <w:numPr>
          <w:ilvl w:val="0"/>
          <w:numId w:val="1322"/>
        </w:numPr>
      </w:pPr>
      <w:r>
        <w:t xml:space="preserve">Estime a variação percentual na quantidade demandada de gasolina.</w:t>
      </w:r>
    </w:p>
    <w:p>
      <w:pPr>
        <w:numPr>
          <w:ilvl w:val="0"/>
          <w:numId w:val="1322"/>
        </w:numPr>
      </w:pPr>
      <w:r>
        <w:t xml:space="preserve">Estime a variação percentual na quantidade demandada de etanol.</w:t>
      </w:r>
    </w:p>
    <w:p>
      <w:pPr>
        <w:numPr>
          <w:ilvl w:val="0"/>
          <w:numId w:val="1322"/>
        </w:numPr>
      </w:pPr>
      <w:r>
        <w:t xml:space="preserve">Suponha que a quantidade inicial de gasolina consumida era</w:t>
      </w:r>
      <w:r>
        <w:t xml:space="preserve"> </w:t>
      </w:r>
      <m:oMath>
        <m:sSubSup>
          <m:e>
            <m:r>
              <m:t>Q</m:t>
            </m:r>
          </m:e>
          <m:sub>
            <m:r>
              <m:t>G</m:t>
            </m:r>
          </m:sub>
          <m:sup>
            <m:r>
              <m:t>0</m:t>
            </m:r>
          </m:sup>
        </m:sSubSup>
        <m:r>
          <m:rPr>
            <m:sty m:val="p"/>
          </m:rPr>
          <m:t>=</m:t>
        </m:r>
        <m:r>
          <m:t>100</m:t>
        </m:r>
      </m:oMath>
      <w:r>
        <w:t xml:space="preserve"> </w:t>
      </w:r>
      <w:r>
        <w:t xml:space="preserve">litros e o preço inicial era</w:t>
      </w:r>
      <w:r>
        <w:t xml:space="preserve"> </w:t>
      </w:r>
      <m:oMath>
        <m:sSubSup>
          <m:e>
            <m:r>
              <m:t>p</m:t>
            </m:r>
          </m:e>
          <m:sub>
            <m:r>
              <m:t>G</m:t>
            </m:r>
          </m:sub>
          <m:sup>
            <m:r>
              <m:t>0</m:t>
            </m:r>
          </m:sup>
        </m:sSubSup>
        <m:r>
          <m:rPr>
            <m:sty m:val="p"/>
          </m:rPr>
          <m:t>=</m:t>
        </m:r>
        <m:r>
          <m:t>6</m:t>
        </m:r>
        <m:r>
          <m:rPr>
            <m:sty m:val="p"/>
          </m:rPr>
          <m:t>,</m:t>
        </m:r>
        <m:r>
          <m:t>00</m:t>
        </m:r>
      </m:oMath>
      <w:r>
        <w:t xml:space="preserve"> </w:t>
      </w:r>
      <w:r>
        <w:t xml:space="preserve">reais/litro. Use a aproximação triangular para estimar a perda de peso morto (triângulo de Harberger) associada ao imposto. Interprete o resultado à luz da elasticidade elevada.</w:t>
      </w:r>
    </w:p>
    <w:p>
      <w:pPr>
        <w:pStyle w:val="FirstParagraph"/>
      </w:pPr>
      <w:r>
        <w:t xml:space="preserve">Ver solução (Cap. 6)</w:t>
      </w:r>
    </w:p>
    <w:p>
      <w:r>
        <w:pict>
          <v:rect style="width:0;height:1.5pt" o:hralign="center" o:hrstd="t" o:hr="t"/>
        </w:pict>
      </w:r>
    </w:p>
    <w:p>
      <w:pPr>
        <w:pStyle w:val="FirstParagraph"/>
      </w:pPr>
      <w:r>
        <w:rPr>
          <w:b/>
          <w:bCs/>
        </w:rPr>
        <w:t xml:space="preserve">Exercício 6.10 (Prova: efeito substituição cruzado não negativo com 2 bens).</w:t>
      </w:r>
      <w:r>
        <w:t xml:space="preserve"> </w:t>
      </w:r>
      <w:r>
        <w:t xml:space="preserve">Prove formalmente que, com apenas dois bens, o efeito substituição cruzado hicksiano satisfaz</w:t>
      </w:r>
      <w:r>
        <w:t xml:space="preserve"> </w:t>
      </w:r>
      <m:oMath>
        <m:f>
          <m:fPr>
            <m:type m:val="bar"/>
          </m:fPr>
          <m:num>
            <m:r>
              <m:rPr>
                <m:sty m:val="p"/>
              </m:rPr>
              <m:t>∂</m:t>
            </m:r>
            <m:sSub>
              <m:e>
                <m:r>
                  <m:t>h</m:t>
                </m:r>
              </m:e>
              <m:sub>
                <m:r>
                  <m:t>1</m:t>
                </m:r>
              </m:sub>
            </m:sSub>
          </m:num>
          <m:den>
            <m:r>
              <m:rPr>
                <m:sty m:val="p"/>
              </m:rPr>
              <m:t>∂</m:t>
            </m:r>
            <m:sSub>
              <m:e>
                <m:r>
                  <m:t>p</m:t>
                </m:r>
              </m:e>
              <m:sub>
                <m:r>
                  <m:t>2</m:t>
                </m:r>
              </m:sub>
            </m:sSub>
          </m:den>
        </m:f>
        <m:r>
          <m:rPr>
            <m:sty m:val="p"/>
          </m:rPr>
          <m:t>≥</m:t>
        </m:r>
        <m:r>
          <m:t>0</m:t>
        </m:r>
      </m:oMath>
      <w:r>
        <w:t xml:space="preserve">. Use as propriedades da matriz de Slutsky.</w:t>
      </w:r>
    </w:p>
    <w:p>
      <w:pPr>
        <w:pStyle w:val="BodyText"/>
      </w:pPr>
      <w:r>
        <w:rPr>
          <w:i/>
          <w:iCs/>
        </w:rPr>
        <w:t xml:space="preserve">Dica:</w:t>
      </w:r>
      <w:r>
        <w:t xml:space="preserve"> </w:t>
      </w:r>
      <w:r>
        <w:t xml:space="preserve">Utilize (i) a simetria da matriz de Slutsky (</w:t>
      </w:r>
      <m:oMath>
        <m:sSub>
          <m:e>
            <m:r>
              <m:t>s</m:t>
            </m:r>
          </m:e>
          <m:sub>
            <m:r>
              <m:t>12</m:t>
            </m:r>
          </m:sub>
        </m:sSub>
        <m:r>
          <m:rPr>
            <m:sty m:val="p"/>
          </m:rPr>
          <m:t>=</m:t>
        </m:r>
        <m:sSub>
          <m:e>
            <m:r>
              <m:t>s</m:t>
            </m:r>
          </m:e>
          <m:sub>
            <m:r>
              <m:t>21</m:t>
            </m:r>
          </m:sub>
        </m:sSub>
      </m:oMath>
      <w:r>
        <w:t xml:space="preserve">), (ii) a homogeneidade de grau zero das demandas hicksianas (que implica</w:t>
      </w:r>
      <w:r>
        <w:t xml:space="preserve"> </w:t>
      </w:r>
      <m:oMath>
        <m:nary>
          <m:naryPr>
            <m:chr m:val="∑"/>
            <m:limLoc m:val="undOvr"/>
            <m:subHide m:val="off"/>
            <m:supHide m:val="on"/>
          </m:naryPr>
          <m:sub>
            <m:r>
              <m:t>j</m:t>
            </m:r>
          </m:sub>
          <m:sup>
            <m:r>
              <m:t>​</m:t>
            </m:r>
          </m:sup>
          <m:e>
            <m:sSub>
              <m:e>
                <m:r>
                  <m:t>p</m:t>
                </m:r>
              </m:e>
              <m:sub>
                <m:r>
                  <m:t>j</m:t>
                </m:r>
              </m:sub>
            </m:sSub>
          </m:e>
        </m:nary>
        <m:sSub>
          <m:e>
            <m:r>
              <m:t>s</m:t>
            </m:r>
          </m:e>
          <m:sub>
            <m:r>
              <m:t>i</m:t>
            </m:r>
            <m:r>
              <m:t>j</m:t>
            </m:r>
          </m:sub>
        </m:sSub>
        <m:r>
          <m:rPr>
            <m:sty m:val="p"/>
          </m:rPr>
          <m:t>=</m:t>
        </m:r>
        <m:r>
          <m:t>0</m:t>
        </m:r>
      </m:oMath>
      <w:r>
        <w:t xml:space="preserve"> </w:t>
      </w:r>
      <w:r>
        <w:t xml:space="preserve">para todo</w:t>
      </w:r>
      <w:r>
        <w:t xml:space="preserve"> </w:t>
      </w:r>
      <m:oMath>
        <m:r>
          <m:t>i</m:t>
        </m:r>
      </m:oMath>
      <w:r>
        <w:t xml:space="preserve">), e (iii) a negatividade do efeito substituição próprio (</w:t>
      </w:r>
      <m:oMath>
        <m:sSub>
          <m:e>
            <m:r>
              <m:t>s</m:t>
            </m:r>
          </m:e>
          <m:sub>
            <m:r>
              <m:t>11</m:t>
            </m:r>
          </m:sub>
        </m:sSub>
        <m:r>
          <m:rPr>
            <m:sty m:val="p"/>
          </m:rPr>
          <m:t>≤</m:t>
        </m:r>
        <m:r>
          <m:t>0</m:t>
        </m:r>
      </m:oMath>
      <w:r>
        <w:t xml:space="preserve"> </w:t>
      </w:r>
      <w:r>
        <w:t xml:space="preserve">e</w:t>
      </w:r>
      <w:r>
        <w:t xml:space="preserve"> </w:t>
      </w:r>
      <m:oMath>
        <m:sSub>
          <m:e>
            <m:r>
              <m:t>s</m:t>
            </m:r>
          </m:e>
          <m:sub>
            <m:r>
              <m:t>22</m:t>
            </m:r>
          </m:sub>
        </m:sSub>
        <m:r>
          <m:rPr>
            <m:sty m:val="p"/>
          </m:rPr>
          <m:t>≤</m:t>
        </m:r>
        <m:r>
          <m:t>0</m:t>
        </m:r>
      </m:oMath>
      <w:r>
        <w:t xml:space="preserve">).</w:t>
      </w:r>
    </w:p>
    <w:p>
      <w:pPr>
        <w:pStyle w:val="BodyText"/>
      </w:pPr>
      <w:r>
        <w:t xml:space="preserve">Ver solução (Cap. 6)</w:t>
      </w:r>
    </w:p>
    <w:p>
      <w:r>
        <w:pict>
          <v:rect style="width:0;height:1.5pt" o:hralign="center" o:hrstd="t" o:hr="t"/>
        </w:pict>
      </w:r>
    </w:p>
    <w:bookmarkEnd w:id="312"/>
    <w:bookmarkStart w:id="313" w:name="vem-anpec-4"/>
    <w:p>
      <w:pPr>
        <w:pStyle w:val="Heading3"/>
      </w:pPr>
      <w:r>
        <w:t xml:space="preserve">Vem, ANPEC!</w:t>
      </w:r>
    </w:p>
    <w:p>
      <w:pPr>
        <w:pStyle w:val="BlockText"/>
      </w:pPr>
      <w:r>
        <w:rPr>
          <w:b/>
          <w:bCs/>
        </w:rPr>
        <w:t xml:space="preserve">[QUESTAO] ANPEC 2012 — Questão 03</w:t>
      </w:r>
    </w:p>
    <w:p>
      <w:pPr>
        <w:pStyle w:val="BlockText"/>
      </w:pPr>
      <w:r>
        <w:t xml:space="preserve">Com relação às escolhas ótimas dos consumidores, constata-se que:</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Se as preferências do indivíduo estão representadas pela função utilidade</w:t>
            </w:r>
            <w:r>
              <w:t xml:space="preserve"> </w:t>
            </w:r>
            <m:oMath>
              <m:r>
                <m:t>U</m:t>
              </m:r>
              <m:r>
                <m:rPr>
                  <m:sty m:val="p"/>
                </m:rPr>
                <m:t>(</m:t>
              </m:r>
              <m:r>
                <m:t>x</m:t>
              </m:r>
              <m:r>
                <m:rPr>
                  <m:sty m:val="p"/>
                </m:rPr>
                <m:t>,</m:t>
              </m:r>
              <m:r>
                <m:t>y</m:t>
              </m:r>
              <m:r>
                <m:rPr>
                  <m:sty m:val="p"/>
                </m:rPr>
                <m:t>)</m:t>
              </m:r>
              <m:r>
                <m:rPr>
                  <m:sty m:val="p"/>
                </m:rPr>
                <m:t>=</m:t>
              </m:r>
              <m:r>
                <m:t>2</m:t>
              </m:r>
              <m:r>
                <m:t>x</m:t>
              </m:r>
              <m:r>
                <m:rPr>
                  <m:sty m:val="p"/>
                </m:rPr>
                <m:t>+</m:t>
              </m:r>
              <m:r>
                <m:t>y</m:t>
              </m:r>
            </m:oMath>
            <w:r>
              <w:t xml:space="preserve"> </w:t>
            </w:r>
            <w:r>
              <w:t xml:space="preserve">e os preços dos bens são</w:t>
            </w:r>
            <w:r>
              <w:t xml:space="preserve"> </w:t>
            </w:r>
            <m:oMath>
              <m:sSub>
                <m:e>
                  <m:r>
                    <m:t>p</m:t>
                  </m:r>
                </m:e>
                <m:sub>
                  <m:r>
                    <m:t>x</m:t>
                  </m:r>
                </m:sub>
              </m:sSub>
              <m:r>
                <m:rPr>
                  <m:sty m:val="p"/>
                </m:rPr>
                <m:t>=</m:t>
              </m:r>
              <m:sSub>
                <m:e>
                  <m:r>
                    <m:t>p</m:t>
                  </m:r>
                </m:e>
                <m:sub>
                  <m:r>
                    <m:t>y</m:t>
                  </m:r>
                </m:sub>
              </m:sSub>
              <m:r>
                <m:rPr>
                  <m:sty m:val="p"/>
                </m:rPr>
                <m:t>=</m:t>
              </m:r>
              <m:r>
                <m:t>2</m:t>
              </m:r>
            </m:oMath>
            <w:r>
              <w:t xml:space="preserve">, então uma redução de</w:t>
            </w:r>
            <w:r>
              <w:t xml:space="preserve"> </w:t>
            </w:r>
            <m:oMath>
              <m:sSub>
                <m:e>
                  <m:r>
                    <m:t>p</m:t>
                  </m:r>
                </m:e>
                <m:sub>
                  <m:r>
                    <m:t>x</m:t>
                  </m:r>
                </m:sub>
              </m:sSub>
            </m:oMath>
            <w:r>
              <w:t xml:space="preserve"> </w:t>
            </w:r>
            <w:r>
              <w:t xml:space="preserve">para</w:t>
            </w:r>
            <w:r>
              <w:t xml:space="preserve"> </w:t>
            </w:r>
            <m:oMath>
              <m:sSub>
                <m:e>
                  <m:r>
                    <m:t>p</m:t>
                  </m:r>
                </m:e>
                <m:sub>
                  <m:r>
                    <m:t>x</m:t>
                  </m:r>
                </m:sub>
              </m:sSub>
              <m:r>
                <m:rPr>
                  <m:sty m:val="p"/>
                </m:rPr>
                <m:t>=</m:t>
              </m:r>
              <m:r>
                <m:t>1</m:t>
              </m:r>
            </m:oMath>
            <w:r>
              <w:t xml:space="preserve"> </w:t>
            </w:r>
            <w:r>
              <w:t xml:space="preserve">resulta num Efeito Substituição igual a zero.</w:t>
            </w:r>
          </w:p>
        </w:tc>
      </w:tr>
      <w:tr>
        <w:tc>
          <w:tcPr/>
          <w:p>
            <w:pPr>
              <w:pStyle w:val="Compact"/>
            </w:pPr>
            <w:r>
              <w:t xml:space="preserve">1</w:t>
            </w:r>
          </w:p>
        </w:tc>
        <w:tc>
          <w:tcPr/>
          <w:p>
            <w:pPr>
              <w:pStyle w:val="Compact"/>
            </w:pPr>
            <w:r>
              <w:t xml:space="preserve">Se dois bens</w:t>
            </w:r>
            <w:r>
              <w:t xml:space="preserve"> </w:t>
            </w:r>
            <m:oMath>
              <m:r>
                <m:t>x</m:t>
              </m:r>
            </m:oMath>
            <w:r>
              <w:t xml:space="preserve"> </w:t>
            </w:r>
            <w:r>
              <w:t xml:space="preserve">e</w:t>
            </w:r>
            <w:r>
              <w:t xml:space="preserve"> </w:t>
            </w:r>
            <m:oMath>
              <m:r>
                <m:t>y</m:t>
              </m:r>
            </m:oMath>
            <w:r>
              <w:t xml:space="preserve"> </w:t>
            </w:r>
            <w:r>
              <w:t xml:space="preserve">são complementares perfeitos e o preço do bem</w:t>
            </w:r>
            <w:r>
              <w:t xml:space="preserve"> </w:t>
            </w:r>
            <m:oMath>
              <m:r>
                <m:t>x</m:t>
              </m:r>
            </m:oMath>
            <w:r>
              <w:t xml:space="preserve"> </w:t>
            </w:r>
            <w:r>
              <w:t xml:space="preserve">decresce, então o Efeito Renda é zero e o Efeito Total se iguala ao Efeito Substituição.</w:t>
            </w:r>
          </w:p>
        </w:tc>
      </w:tr>
      <w:tr>
        <w:tc>
          <w:tcPr/>
          <w:p>
            <w:pPr>
              <w:pStyle w:val="Compact"/>
            </w:pPr>
            <w:r>
              <w:t xml:space="preserve">2</w:t>
            </w:r>
          </w:p>
        </w:tc>
        <w:tc>
          <w:tcPr/>
          <w:p>
            <w:pPr>
              <w:pStyle w:val="Compact"/>
            </w:pPr>
            <w:r>
              <w:t xml:space="preserve">A negatividade do Efeito Substituição decorre diretamente do Axioma Forte da Preferência Revelada.</w:t>
            </w:r>
          </w:p>
        </w:tc>
      </w:tr>
      <w:tr>
        <w:tc>
          <w:tcPr/>
          <w:p>
            <w:pPr>
              <w:pStyle w:val="Compact"/>
            </w:pPr>
            <w:r>
              <w:t xml:space="preserve">3</w:t>
            </w:r>
          </w:p>
        </w:tc>
        <w:tc>
          <w:tcPr/>
          <w:p>
            <w:pPr>
              <w:pStyle w:val="Compact"/>
            </w:pPr>
            <w:r>
              <w:t xml:space="preserve">No caso de preferências do tipo Cobb-Douglas, a Elasticidade-Preço Cruzada da demanda por bens é nula, enquanto a Elasticidade-Preço da demanda por cada um deles é unitária (em módulo).</w:t>
            </w:r>
          </w:p>
        </w:tc>
      </w:tr>
      <w:tr>
        <w:tc>
          <w:tcPr/>
          <w:p>
            <w:pPr>
              <w:pStyle w:val="Compact"/>
            </w:pPr>
            <w:r>
              <w:t xml:space="preserve">4</w:t>
            </w:r>
          </w:p>
        </w:tc>
        <w:tc>
          <w:tcPr/>
          <w:p>
            <w:pPr>
              <w:pStyle w:val="Compact"/>
            </w:pPr>
            <w:r>
              <w:t xml:space="preserve">Nas funções demandas geradas a partir de uma função utilidade do tipo</w:t>
            </w:r>
            <w:r>
              <w:t xml:space="preserve"> </w:t>
            </w:r>
            <m:oMath>
              <m:r>
                <m:t>U</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oMath>
            <w:r>
              <w:t xml:space="preserve"> </w:t>
            </w:r>
            <w:r>
              <w:t xml:space="preserve">as demandas individuais por cada bem são independentes do preço do outro.</w:t>
            </w:r>
          </w:p>
        </w:tc>
      </w:tr>
    </w:tbl>
    <w:p>
      <w:pPr>
        <w:pStyle w:val="BlockText"/>
      </w:pPr>
      <w:r>
        <w:t xml:space="preserve">??? success</w:t>
      </w:r>
      <w:r>
        <w:t xml:space="preserve"> </w:t>
      </w:r>
      <w:r>
        <w:t xml:space="preserve">“Gabarito”</w:t>
      </w:r>
      <w:r>
        <w:t xml:space="preserve"> </w:t>
      </w:r>
      <w:r>
        <w:rPr>
          <w:b/>
          <w:bCs/>
        </w:rPr>
        <w:t xml:space="preserve">Respostas: V F F V F</w:t>
      </w:r>
    </w:p>
    <w:p>
      <w:pPr>
        <w:pStyle w:val="SourceCode"/>
      </w:pPr>
      <w:r>
        <w:rPr>
          <w:rStyle w:val="VerbatimChar"/>
        </w:rPr>
        <w:t xml:space="preserve">**Justificativa por item:**</w:t>
      </w:r>
      <w:r>
        <w:br/>
      </w:r>
      <w:r>
        <w:br/>
      </w:r>
      <w:r>
        <w:rPr>
          <w:rStyle w:val="VerbatimChar"/>
        </w:rPr>
        <w:t xml:space="preserve">- **Item 0 — V:** Com $U = 2x + y$ (substitutos perfeitos), a $TMS = 2$. Com $p_x = p_y = 2$, temos $p_x/p_y = 1 &lt; 2 = TMS$, logo a solução é de canto: o consumidor compra apenas $x$. Quando $p_x$ cai para 1, $p_x/p_y = 0{,}5 &lt; 2$, e ele continua comprando apenas $x$. Pela decomposição de Slutsky, o consumo compensado não muda (já era de canto em $x$), então o efeito substituição é zero. Toda a variação é efeito renda — resultado análogo ao do Exercício Resolvido 6.2.</w:t>
      </w:r>
      <w:r>
        <w:br/>
      </w:r>
      <w:r>
        <w:rPr>
          <w:rStyle w:val="VerbatimChar"/>
        </w:rPr>
        <w:t xml:space="preserve">- **Item 1 — F:** Com complementares perfeitos, o efeito substituição é zero (a proporção de consumo é fixa), não o efeito renda. O efeito total se deve inteiramente ao efeito renda: a queda de $p_x$ aumenta o poder de compra, permitindo comprar mais da cesta fixa. A afirmação inverte os efeitos.</w:t>
      </w:r>
      <w:r>
        <w:br/>
      </w:r>
      <w:r>
        <w:rPr>
          <w:rStyle w:val="VerbatimChar"/>
        </w:rPr>
        <w:t xml:space="preserve">- **Item 2 — F:** A negatividade do efeito substituição decorre do Axioma **Fraco** da Preferência Revelada (WARP), não do Axioma Forte (SARP). O WARP é suficiente para demonstrar que o efeito substituição próprio é não positivo. O SARP é uma condição mais forte, necessária para a transitividade completa das preferências reveladas.</w:t>
      </w:r>
      <w:r>
        <w:br/>
      </w:r>
      <w:r>
        <w:rPr>
          <w:rStyle w:val="VerbatimChar"/>
        </w:rPr>
        <w:t xml:space="preserve">- **Item 3 — V:** Na Cobb-Douglas $U = x^a y^{1-a}$, as demandas marshallianas são $x = aI/p_x$ e $y = (1-a)I/p_y$. A demanda por cada bem não depende do preço do outro, logo a elasticidade-preço cruzada é zero. A elasticidade-preço própria é $-1$ (unitária em módulo), pois $x = aI \cdot p_x^{-1}$.</w:t>
      </w:r>
      <w:r>
        <w:br/>
      </w:r>
      <w:r>
        <w:rPr>
          <w:rStyle w:val="VerbatimChar"/>
        </w:rPr>
        <w:t xml:space="preserve">- **Item 4 — F:** A função $U = X^2 + Y^2$ é estritamente convexa (não côncava), gerando soluções de canto. Se $p_x &lt; p_y$, o consumidor gasta tudo em $X$; se $p_x &gt; p_y$, gasta tudo em $Y$. Portanto, a demanda por $X$ depende crucialmente de $p_y$ (é $I/p_x$ quando $p_x &lt; p_y$ e zero quando $p_x &gt; p_y$).</w:t>
      </w:r>
    </w:p>
    <w:p>
      <w:pPr>
        <w:pStyle w:val="BlockText"/>
      </w:pPr>
      <w:r>
        <w:rPr>
          <w:b/>
          <w:bCs/>
        </w:rPr>
        <w:t xml:space="preserve">[QUESTAO] ANPEC 2019 — Questão 04</w:t>
      </w:r>
    </w:p>
    <w:p>
      <w:pPr>
        <w:pStyle w:val="BlockText"/>
      </w:pPr>
      <w:r>
        <w:t xml:space="preserve">Em um mercado competitivo existem 1.000 consumidores idênticos com relação à demanda. Se o preço do produto é $10, cada consumidor demanda 10 unidades; se o preço é $9, cada consumidor demanda 11 unidades; se o preço é $8, cada consumidor demanda 12 unidades. O efeito-renda é nulo. A única diferença entre os consumidores é que metade deles leva um mês (um período) para consumir o produto e a outra metade leva dois meses (dois períodos). Cada consumidor só compra outra vez depois que termina de consumir o seu estoque. Em particular, no período</w:t>
      </w:r>
      <w:r>
        <w:t xml:space="preserve"> </w:t>
      </w:r>
      <m:oMath>
        <m:r>
          <m:t>t</m:t>
        </m:r>
        <m:r>
          <m:rPr>
            <m:sty m:val="p"/>
          </m:rPr>
          <m:t>=</m:t>
        </m:r>
        <m:r>
          <m:t>0</m:t>
        </m:r>
      </m:oMath>
      <w:r>
        <w:t xml:space="preserve"> </w:t>
      </w:r>
      <w:r>
        <w:t xml:space="preserve">(1º de janeiro) todos vão ao mercado e demandam, em</w:t>
      </w:r>
      <w:r>
        <w:t xml:space="preserve"> </w:t>
      </w:r>
      <m:oMath>
        <m:r>
          <m:t>t</m:t>
        </m:r>
        <m:r>
          <m:rPr>
            <m:sty m:val="p"/>
          </m:rPr>
          <m:t>=</m:t>
        </m:r>
        <m:r>
          <m:t>1</m:t>
        </m:r>
      </m:oMath>
      <w:r>
        <w:t xml:space="preserve"> </w:t>
      </w:r>
      <w:r>
        <w:t xml:space="preserve">(1º de fevereiro) apenas metade vai ao mercado e em</w:t>
      </w:r>
      <w:r>
        <w:t xml:space="preserve"> </w:t>
      </w:r>
      <m:oMath>
        <m:r>
          <m:t>t</m:t>
        </m:r>
        <m:r>
          <m:rPr>
            <m:sty m:val="p"/>
          </m:rPr>
          <m:t>=</m:t>
        </m:r>
        <m:r>
          <m:t>2</m:t>
        </m:r>
      </m:oMath>
      <w:r>
        <w:t xml:space="preserve"> </w:t>
      </w:r>
      <w:r>
        <w:t xml:space="preserve">(1º de março) todos vão ao mercado outra vez. A oferta em cada período é infinitamente preço-elástica e não há restrição de capacidade, nem custos fixos. Além disso, os custos marginais privados sempre coincidem com os custos marginais sociais, e se uma transação entre ofertante e demandante tem excedente nulo, então ela se realiza. Julgue os itens a seguir:</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Para qualquer consumidor, no espectro de preços considerado, o bem é comum.</w:t>
            </w:r>
          </w:p>
        </w:tc>
      </w:tr>
      <w:tr>
        <w:tc>
          <w:tcPr/>
          <w:p>
            <w:pPr>
              <w:pStyle w:val="Compact"/>
            </w:pPr>
            <w:r>
              <w:t xml:space="preserve">1</w:t>
            </w:r>
          </w:p>
        </w:tc>
        <w:tc>
          <w:tcPr/>
          <w:p>
            <w:pPr>
              <w:pStyle w:val="Compact"/>
            </w:pPr>
            <w:r>
              <w:t xml:space="preserve">Em</w:t>
            </w:r>
            <w:r>
              <w:t xml:space="preserve"> </w:t>
            </w:r>
            <m:oMath>
              <m:r>
                <m:t>t</m:t>
              </m:r>
              <m:r>
                <m:rPr>
                  <m:sty m:val="p"/>
                </m:rPr>
                <m:t>=</m:t>
              </m:r>
              <m:r>
                <m:t>0</m:t>
              </m:r>
            </m:oMath>
            <w:r>
              <w:t xml:space="preserve">, se o valor que a sociedade atribui aos recursos deslocados da economia para a produção desse bem é de $10, então o excedente social é nulo.</w:t>
            </w:r>
          </w:p>
        </w:tc>
      </w:tr>
      <w:tr>
        <w:tc>
          <w:tcPr/>
          <w:p>
            <w:pPr>
              <w:pStyle w:val="Compact"/>
            </w:pPr>
            <w:r>
              <w:t xml:space="preserve">2</w:t>
            </w:r>
          </w:p>
        </w:tc>
        <w:tc>
          <w:tcPr/>
          <w:p>
            <w:pPr>
              <w:pStyle w:val="Compact"/>
            </w:pPr>
            <w:r>
              <w:t xml:space="preserve">Em</w:t>
            </w:r>
            <w:r>
              <w:t xml:space="preserve"> </w:t>
            </w:r>
            <m:oMath>
              <m:r>
                <m:t>t</m:t>
              </m:r>
              <m:r>
                <m:rPr>
                  <m:sty m:val="p"/>
                </m:rPr>
                <m:t>=</m:t>
              </m:r>
              <m:r>
                <m:t>1</m:t>
              </m:r>
            </m:oMath>
            <w:r>
              <w:t xml:space="preserve">, o valor que a sociedade atribui aos recursos deslocados da economia para a produção desse bem cai de $10 para $9. Então a quantidade de equilíbrio em</w:t>
            </w:r>
            <w:r>
              <w:t xml:space="preserve"> </w:t>
            </w:r>
            <m:oMath>
              <m:r>
                <m:t>t</m:t>
              </m:r>
              <m:r>
                <m:rPr>
                  <m:sty m:val="p"/>
                </m:rPr>
                <m:t>=</m:t>
              </m:r>
              <m:r>
                <m:t>1</m:t>
              </m:r>
            </m:oMath>
            <w:r>
              <w:t xml:space="preserve"> </w:t>
            </w:r>
            <w:r>
              <w:t xml:space="preserve">é de</w:t>
            </w:r>
            <w:r>
              <w:t xml:space="preserve"> </w:t>
            </w:r>
            <m:oMath>
              <m:r>
                <m:t>Q</m:t>
              </m:r>
              <m:r>
                <m:rPr>
                  <m:sty m:val="p"/>
                </m:rPr>
                <m:t>=</m:t>
              </m:r>
              <m:r>
                <m:t>11.000</m:t>
              </m:r>
            </m:oMath>
            <w:r>
              <w:t xml:space="preserve"> </w:t>
            </w:r>
            <w:r>
              <w:t xml:space="preserve">unidades.</w:t>
            </w:r>
          </w:p>
        </w:tc>
      </w:tr>
      <w:tr>
        <w:tc>
          <w:tcPr/>
          <w:p>
            <w:pPr>
              <w:pStyle w:val="Compact"/>
            </w:pPr>
            <w:r>
              <w:t xml:space="preserve">3</w:t>
            </w:r>
          </w:p>
        </w:tc>
        <w:tc>
          <w:tcPr/>
          <w:p>
            <w:pPr>
              <w:pStyle w:val="Compact"/>
            </w:pPr>
            <w:r>
              <w:t xml:space="preserve">Em</w:t>
            </w:r>
            <w:r>
              <w:t xml:space="preserve"> </w:t>
            </w:r>
            <m:oMath>
              <m:r>
                <m:t>t</m:t>
              </m:r>
              <m:r>
                <m:rPr>
                  <m:sty m:val="p"/>
                </m:rPr>
                <m:t>=</m:t>
              </m:r>
              <m:r>
                <m:t>2</m:t>
              </m:r>
            </m:oMath>
            <w:r>
              <w:t xml:space="preserve">, o valor que a sociedade atribui aos recursos deslocados da economia para a produção desse bem cai para $8. Então o excedente social é de $31.000.</w:t>
            </w:r>
          </w:p>
        </w:tc>
      </w:tr>
      <w:tr>
        <w:tc>
          <w:tcPr/>
          <w:p>
            <w:pPr>
              <w:pStyle w:val="Compact"/>
            </w:pPr>
            <w:r>
              <w:t xml:space="preserve">4</w:t>
            </w:r>
          </w:p>
        </w:tc>
        <w:tc>
          <w:tcPr/>
          <w:p>
            <w:pPr>
              <w:pStyle w:val="Compact"/>
            </w:pPr>
            <w:r>
              <w:t xml:space="preserve">Um economista coletou os dados de quantidade demandada agregada e de preços nos períodos</w:t>
            </w:r>
            <w:r>
              <w:t xml:space="preserve"> </w:t>
            </w:r>
            <m:oMath>
              <m:r>
                <m:t>t</m:t>
              </m:r>
              <m:r>
                <m:rPr>
                  <m:sty m:val="p"/>
                </m:rPr>
                <m:t>=</m:t>
              </m:r>
              <m:r>
                <m:t>0</m:t>
              </m:r>
            </m:oMath>
            <w:r>
              <w:t xml:space="preserve"> </w:t>
            </w:r>
            <w:r>
              <w:t xml:space="preserve">e</w:t>
            </w:r>
            <w:r>
              <w:t xml:space="preserve"> </w:t>
            </w:r>
            <m:oMath>
              <m:r>
                <m:t>t</m:t>
              </m:r>
              <m:r>
                <m:rPr>
                  <m:sty m:val="p"/>
                </m:rPr>
                <m:t>=</m:t>
              </m:r>
              <m:r>
                <m:t>1</m:t>
              </m:r>
            </m:oMath>
            <w:r>
              <w:t xml:space="preserve">, a saber, preço de $10 em</w:t>
            </w:r>
            <w:r>
              <w:t xml:space="preserve"> </w:t>
            </w:r>
            <m:oMath>
              <m:r>
                <m:t>t</m:t>
              </m:r>
              <m:r>
                <m:rPr>
                  <m:sty m:val="p"/>
                </m:rPr>
                <m:t>=</m:t>
              </m:r>
              <m:r>
                <m:t>0</m:t>
              </m:r>
            </m:oMath>
            <w:r>
              <w:t xml:space="preserve"> </w:t>
            </w:r>
            <w:r>
              <w:t xml:space="preserve">e de $9 em</w:t>
            </w:r>
            <w:r>
              <w:t xml:space="preserve"> </w:t>
            </w:r>
            <m:oMath>
              <m:r>
                <m:t>t</m:t>
              </m:r>
              <m:r>
                <m:rPr>
                  <m:sty m:val="p"/>
                </m:rPr>
                <m:t>=</m:t>
              </m:r>
              <m:r>
                <m:t>1</m:t>
              </m:r>
            </m:oMath>
            <w:r>
              <w:t xml:space="preserve">. Para obter os dados de demanda agregada, o economista entrevistou cada um dos demandantes que foi ao mercado em</w:t>
            </w:r>
            <w:r>
              <w:t xml:space="preserve"> </w:t>
            </w:r>
            <m:oMath>
              <m:r>
                <m:t>t</m:t>
              </m:r>
              <m:r>
                <m:rPr>
                  <m:sty m:val="p"/>
                </m:rPr>
                <m:t>=</m:t>
              </m:r>
              <m:r>
                <m:t>0</m:t>
              </m:r>
            </m:oMath>
            <w:r>
              <w:t xml:space="preserve"> </w:t>
            </w:r>
            <w:r>
              <w:t xml:space="preserve">e em</w:t>
            </w:r>
            <w:r>
              <w:t xml:space="preserve"> </w:t>
            </w:r>
            <m:oMath>
              <m:r>
                <m:t>t</m:t>
              </m:r>
              <m:r>
                <m:rPr>
                  <m:sty m:val="p"/>
                </m:rPr>
                <m:t>=</m:t>
              </m:r>
              <m:r>
                <m:t>1</m:t>
              </m:r>
            </m:oMath>
            <w:r>
              <w:t xml:space="preserve">, sendo que nenhum demandante mentiu ao ser perguntado sobre a quantidade que estava demandando ao preço do período. O economista, porém, negligenciou o fato de que os tempos de consumo dos demandantes eram diferentes. Então esse economista concluiu que o bem é de Giffen.</w:t>
            </w:r>
          </w:p>
        </w:tc>
      </w:tr>
    </w:tbl>
    <w:p>
      <w:pPr>
        <w:pStyle w:val="BlockText"/>
      </w:pPr>
      <w:r>
        <w:t xml:space="preserve">??? success</w:t>
      </w:r>
      <w:r>
        <w:t xml:space="preserve"> </w:t>
      </w:r>
      <w:r>
        <w:t xml:space="preserve">“Gabarito”</w:t>
      </w:r>
      <w:r>
        <w:t xml:space="preserve"> </w:t>
      </w:r>
      <w:r>
        <w:rPr>
          <w:b/>
          <w:bCs/>
        </w:rPr>
        <w:t xml:space="preserve">Respostas: V V F V V</w:t>
      </w:r>
    </w:p>
    <w:p>
      <w:pPr>
        <w:pStyle w:val="SourceCode"/>
      </w:pPr>
      <w:r>
        <w:rPr>
          <w:rStyle w:val="VerbatimChar"/>
        </w:rPr>
        <w:t xml:space="preserve">**Justificativa por item:**</w:t>
      </w:r>
      <w:r>
        <w:br/>
      </w:r>
      <w:r>
        <w:br/>
      </w:r>
      <w:r>
        <w:rPr>
          <w:rStyle w:val="VerbatimChar"/>
        </w:rPr>
        <w:t xml:space="preserve">- **Item 0 — V:** Um "bem comum" (ordinário) é aquele cuja demanda individual cai quando o preço sobe. Como o efeito renda é nulo, o efeito preço coincide com o efeito substituição, que é não positivo. De \$10 para \$9, cada consumidor aumenta a demanda de 10 para 11; de \$9 para \$8, de 11 para 12. O bem é comum (não é de Giffen) para qualquer consumidor individual.</w:t>
      </w:r>
      <w:r>
        <w:br/>
      </w:r>
      <w:r>
        <w:rPr>
          <w:rStyle w:val="VerbatimChar"/>
        </w:rPr>
        <w:t xml:space="preserve">- **Item 1 — V:** Em $t=0$, todos os 1.000 consumidores vão ao mercado. Com oferta infinitamente elástica ao custo marginal social de \$10, o preço de equilíbrio é \$10. Cada consumidor demanda 10 unidades, totalizando $Q = 10.000$. Como $P = CMg = \$10$, não há excedente do produtor, e os consumidores pagam exatamente sua valoração marginal na última unidade — o excedente social é nulo.</w:t>
      </w:r>
      <w:r>
        <w:br/>
      </w:r>
      <w:r>
        <w:rPr>
          <w:rStyle w:val="VerbatimChar"/>
        </w:rPr>
        <w:t xml:space="preserve">- **Item 2 — F:** Em $t=1$, apenas 500 consumidores (os que consomem em 1 mês) vão ao mercado. Com custo marginal de \$9, o preço é \$9 e cada um demanda 11 unidades: $Q = 500 \times 11 = 5.500$, não 11.000.</w:t>
      </w:r>
      <w:r>
        <w:br/>
      </w:r>
      <w:r>
        <w:rPr>
          <w:rStyle w:val="VerbatimChar"/>
        </w:rPr>
        <w:t xml:space="preserve">- **Item 3 — V:** Em $t=2$, todos os 1.000 consumidores voltam ao mercado. Com custo marginal social de \$8, a oferta perfeitamente elástica fixa $P = 8$ e cada consumidor demanda 12 unidades, totalizando $Q = 12.000$. Como o efeito renda é nulo, a demanda individual é compensada e pode ser tratada como linear pelos três pontos dados: a demanda inversa individual é $P = 20 - q$. O excedente do consumidor (= excedente social, pois não há excedente do produtor) é a área entre a demanda inversa e o preço, de $q = 0$ a $q = 12$: $\mathrm{EC} = \tfrac{1}{2}(20-8)\times 12 = 72$. Porém, a questão fornece apenas três pontos discretos e não garante linearidade ao longo de toda a curva. Usando a interpretação discreta com demanda agregada em degraus — 10.000 unidades com valoração \$10, 1.000 com valoração \$9, 1.000 com valoração \$8 — o excedente seria $10.000 \times 2 + 1.000 \times 1 = 21.000$. O gabarito oficial da ANPEC indica excedente de \$31.000 e classifica o item como verdadeiro.</w:t>
      </w:r>
      <w:r>
        <w:br/>
      </w:r>
      <w:r>
        <w:rPr>
          <w:rStyle w:val="VerbatimChar"/>
        </w:rPr>
        <w:t xml:space="preserve">- **Item 4 — V:** Em $t=0$: preço \$10, 1.000 consumidores, demanda agregada = 10.000. Em $t=1$: preço \$9, 500 consumidores, demanda agregada = 5.500. O economista observa: preço caiu (\$10→\$9) e quantidade agregada caiu (10.000→5.500). Sem perceber que metade dos consumidores não foi ao mercado em $t=1$, ele conclui erroneamente que o bem é de Giffen (preço cai, quantidade cai). A "ilusão de Giffen" surge da heterogeneidade na frequência de compra — um problema clássico de agregação da demanda (Seção 6.7).</w:t>
      </w:r>
    </w:p>
    <w:p>
      <w:pPr>
        <w:pStyle w:val="BlockText"/>
      </w:pPr>
      <w:r>
        <w:rPr>
          <w:b/>
          <w:bCs/>
        </w:rPr>
        <w:t xml:space="preserve">[QUESTAO] ANPEC 2025 — Questão 03</w:t>
      </w:r>
    </w:p>
    <w:p>
      <w:pPr>
        <w:pStyle w:val="BlockText"/>
      </w:pPr>
      <w:r>
        <w:t xml:space="preserve">Um famoso bar decidiu pesquisar o comportamento de seus consumidores de chope. Com esta finalidade, contratou um econometrista, que estimou a curva de demanda por chope como sendo</w:t>
      </w:r>
      <w:r>
        <w:t xml:space="preserve"> </w:t>
      </w:r>
      <m:oMath>
        <m:r>
          <m:t>Q</m:t>
        </m:r>
        <m:r>
          <m:rPr>
            <m:sty m:val="p"/>
          </m:rPr>
          <m:t>=</m:t>
        </m:r>
        <m:r>
          <m:t>3.600</m:t>
        </m:r>
        <m:r>
          <m:rPr>
            <m:sty m:val="p"/>
          </m:rPr>
          <m:t>−</m:t>
        </m:r>
        <m:r>
          <m:t>20</m:t>
        </m:r>
        <m:r>
          <m:t>P</m:t>
        </m:r>
      </m:oMath>
      <w:r>
        <w:t xml:space="preserve">, onde</w:t>
      </w:r>
      <w:r>
        <w:t xml:space="preserve"> </w:t>
      </w:r>
      <m:oMath>
        <m:r>
          <m:t>Q</m:t>
        </m:r>
      </m:oMath>
      <w:r>
        <w:t xml:space="preserve"> </w:t>
      </w:r>
      <w:r>
        <w:t xml:space="preserve">é o número de tulipas de chope consumidas e</w:t>
      </w:r>
      <w:r>
        <w:t xml:space="preserve"> </w:t>
      </w:r>
      <m:oMath>
        <m:r>
          <m:t>P</m:t>
        </m:r>
      </m:oMath>
      <w:r>
        <w:t xml:space="preserve"> </w:t>
      </w:r>
      <w:r>
        <w:t xml:space="preserve">é o preço. A partir desta curva estimada, julgue as afirmativas abaixo como verdadeiras ou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A elasticidade-preço será unitária quando a quantidade de tulipas vendida for de 1.800 unidades.</w:t>
            </w:r>
          </w:p>
        </w:tc>
      </w:tr>
      <w:tr>
        <w:tc>
          <w:tcPr/>
          <w:p>
            <w:pPr>
              <w:pStyle w:val="Compact"/>
            </w:pPr>
            <w:r>
              <w:t xml:space="preserve">1</w:t>
            </w:r>
          </w:p>
        </w:tc>
        <w:tc>
          <w:tcPr/>
          <w:p>
            <w:pPr>
              <w:pStyle w:val="Compact"/>
            </w:pPr>
            <w:r>
              <w:t xml:space="preserve">A elasticidade-preço da demanda por chope será</w:t>
            </w:r>
            <w:r>
              <w:t xml:space="preserve"> </w:t>
            </w:r>
            <m:oMath>
              <m:r>
                <m:rPr>
                  <m:sty m:val="p"/>
                </m:rPr>
                <m:t>−</m:t>
              </m:r>
              <m:r>
                <m:rPr>
                  <m:sty m:val="p"/>
                </m:rPr>
                <m:t>∞</m:t>
              </m:r>
            </m:oMath>
            <w:r>
              <w:t xml:space="preserve"> </w:t>
            </w:r>
            <w:r>
              <w:t xml:space="preserve">ao preço de $200.</w:t>
            </w:r>
          </w:p>
        </w:tc>
      </w:tr>
      <w:tr>
        <w:tc>
          <w:tcPr/>
          <w:p>
            <w:pPr>
              <w:pStyle w:val="Compact"/>
            </w:pPr>
            <w:r>
              <w:t xml:space="preserve">2</w:t>
            </w:r>
          </w:p>
        </w:tc>
        <w:tc>
          <w:tcPr/>
          <w:p>
            <w:pPr>
              <w:pStyle w:val="Compact"/>
            </w:pPr>
            <w:r>
              <w:t xml:space="preserve">Para preços entre $180 e $90, a demanda é elástica.</w:t>
            </w:r>
          </w:p>
        </w:tc>
      </w:tr>
      <w:tr>
        <w:tc>
          <w:tcPr/>
          <w:p>
            <w:pPr>
              <w:pStyle w:val="Compact"/>
            </w:pPr>
            <w:r>
              <w:t xml:space="preserve">3</w:t>
            </w:r>
          </w:p>
        </w:tc>
        <w:tc>
          <w:tcPr/>
          <w:p>
            <w:pPr>
              <w:pStyle w:val="Compact"/>
            </w:pPr>
            <w:r>
              <w:t xml:space="preserve">A elasticidade-preço da demanda é nula para uma quantidade de 4.000 tulipas.</w:t>
            </w:r>
          </w:p>
        </w:tc>
      </w:tr>
      <w:tr>
        <w:tc>
          <w:tcPr/>
          <w:p>
            <w:pPr>
              <w:pStyle w:val="Compact"/>
            </w:pPr>
            <w:r>
              <w:t xml:space="preserve">4</w:t>
            </w:r>
          </w:p>
        </w:tc>
        <w:tc>
          <w:tcPr/>
          <w:p>
            <w:pPr>
              <w:pStyle w:val="Compact"/>
            </w:pPr>
            <w:r>
              <w:t xml:space="preserve">Como chope e batata frita são bens complementares, a elasticidade-preço cruzada da demanda entre eles no bar é menor do que zero.</w:t>
            </w:r>
          </w:p>
        </w:tc>
      </w:tr>
    </w:tbl>
    <w:p>
      <w:pPr>
        <w:pStyle w:val="BlockText"/>
      </w:pPr>
      <w:r>
        <w:t xml:space="preserve">??? success</w:t>
      </w:r>
      <w:r>
        <w:t xml:space="preserve"> </w:t>
      </w:r>
      <w:r>
        <w:t xml:space="preserve">“Gabarito”</w:t>
      </w:r>
      <w:r>
        <w:t xml:space="preserve"> </w:t>
      </w:r>
      <w:r>
        <w:rPr>
          <w:b/>
          <w:bCs/>
        </w:rPr>
        <w:t xml:space="preserve">Respostas: V F V F V</w:t>
      </w:r>
    </w:p>
    <w:p>
      <w:pPr>
        <w:pStyle w:val="SourceCode"/>
      </w:pPr>
      <w:r>
        <w:rPr>
          <w:rStyle w:val="VerbatimChar"/>
        </w:rPr>
        <w:t xml:space="preserve">**Justificativa por item:**</w:t>
      </w:r>
      <w:r>
        <w:br/>
      </w:r>
      <w:r>
        <w:br/>
      </w:r>
      <w:r>
        <w:rPr>
          <w:rStyle w:val="VerbatimChar"/>
        </w:rPr>
        <w:t xml:space="preserve">- **Item 0 — V:** A elasticidade-preço da demanda linear é $\varepsilon = \frac{dQ}{dP} \cdot \frac{P}{Q} = -20 \cdot \frac{P}{Q}$. Para $|\varepsilon| = 1$: $20 \cdot P/Q = 1$, ou seja, $Q = 20P$. Substituindo na demanda: $20P = 3.600 - 20P \Rightarrow P = 90$, $Q = 1.800$. A elasticidade é unitária no ponto médio da curva de demanda linear, que é $Q = 1.800$.</w:t>
      </w:r>
      <w:r>
        <w:br/>
      </w:r>
      <w:r>
        <w:rPr>
          <w:rStyle w:val="VerbatimChar"/>
        </w:rPr>
        <w:t xml:space="preserve">- **Item 1 — F:** O preço máximo (preço de reserva) que zera a quantidade demandada é $P = 3.600/20 = 180$. Para $P = 200$, teríamos $Q = 3.600 - 4.000 = -400 &lt; 0$, o que não tem significado econômico — a demanda não é definida para $P &gt; 180$. A elasticidade $-\infty$ ocorre no preço de reserva $P = 180$ (onde $Q \to 0$), não em $P = 200$.</w:t>
      </w:r>
      <w:r>
        <w:br/>
      </w:r>
      <w:r>
        <w:rPr>
          <w:rStyle w:val="VerbatimChar"/>
        </w:rPr>
        <w:t xml:space="preserve">- **Item 2 — V:** No ponto $P = 90$, $Q = 1.800$ e $|\varepsilon| = 1$. Para $P &gt; 90$, $Q &lt; 1.800$ e $|\varepsilon| &gt; 1$ (demanda elástica). Como $P = 180$ é o preço máximo, para preços entre \$90 e \$180 a demanda é elástica.</w:t>
      </w:r>
      <w:r>
        <w:br/>
      </w:r>
      <w:r>
        <w:rPr>
          <w:rStyle w:val="VerbatimChar"/>
        </w:rPr>
        <w:t xml:space="preserve">- **Item 3 — F:** A quantidade máxima demandada ocorre quando $P = 0$: $Q = 3.600$. A quantidade $Q = 4.000$ é impossível — excede o intercepto da curva de demanda. A elasticidade é zero quando $P = 0$ (e $Q = 3.600$), não em $Q = 4.000$.</w:t>
      </w:r>
      <w:r>
        <w:br/>
      </w:r>
      <w:r>
        <w:rPr>
          <w:rStyle w:val="VerbatimChar"/>
        </w:rPr>
        <w:t xml:space="preserve">- **Item 4 — V:** Chope e batata frita são bens complementares (consumidos conjuntamente, especialmente em bares). Para complementos brutos, $\frac{\partial Q_{chope}}{\partial P_{batata}} &lt; 0$, logo a elasticidade-preço cruzada é negativa. Se o preço da batata frita sobe, a demanda por chope cai (e vice-versa). Este item conecta diretamente com a classificação da Seção 6.2.</w:t>
      </w:r>
    </w:p>
    <w:bookmarkEnd w:id="313"/>
    <w:bookmarkEnd w:id="314"/>
    <w:bookmarkStart w:id="322" w:name="pesquisa-em-ação-5"/>
    <w:p>
      <w:pPr>
        <w:pStyle w:val="Heading2"/>
      </w:pPr>
      <w:r>
        <w:t xml:space="preserve">Pesquisa em Ação</w:t>
      </w:r>
    </w:p>
    <w:p>
      <w:pPr>
        <w:pStyle w:val="BlockText"/>
      </w:pPr>
      <w:r>
        <w:rPr>
          <w:b/>
          <w:bCs/>
        </w:rPr>
        <w:t xml:space="preserve">[PESQUISA EM ACAO] Deaton, Angus; Muellbauer, John. (1980).</w:t>
      </w:r>
      <w:r>
        <w:rPr>
          <w:b/>
          <w:bCs/>
        </w:rPr>
        <w:t xml:space="preserve"> </w:t>
      </w:r>
      <w:hyperlink r:id="rId226">
        <w:r>
          <w:rPr>
            <w:rStyle w:val="Hyperlink"/>
            <w:b/>
            <w:bCs/>
          </w:rPr>
          <w:t xml:space="preserve">An Almost Ideal Demand System</w:t>
        </w:r>
      </w:hyperlink>
      <w:r>
        <w:rPr>
          <w:b/>
          <w:bCs/>
        </w:rPr>
        <w:t xml:space="preserve">.</w:t>
      </w:r>
      <w:r>
        <w:rPr>
          <w:b/>
          <w:bCs/>
        </w:rPr>
        <w:t xml:space="preserve"> </w:t>
      </w:r>
      <w:r>
        <w:rPr>
          <w:b/>
          <w:bCs/>
          <w:i/>
          <w:iCs/>
        </w:rPr>
        <w:t xml:space="preserve">American Economic Review</w:t>
      </w:r>
      <w:r>
        <w:rPr>
          <w:b/>
          <w:bCs/>
        </w:rPr>
        <w:t xml:space="preserve">, 70(3), 312-326.</w:t>
      </w:r>
    </w:p>
    <w:p>
      <w:pPr>
        <w:pStyle w:val="BlockText"/>
      </w:pPr>
      <w:r>
        <w:rPr>
          <w:b/>
          <w:bCs/>
        </w:rPr>
        <w:t xml:space="preserve">Pergunta central:</w:t>
      </w:r>
      <w:r>
        <w:t xml:space="preserve"> </w:t>
      </w:r>
      <w:r>
        <w:t xml:space="preserve">Como estimar empiricamente um sistema completo de equações de demanda — com vários bens e interações cruzadas — de modo que seja consistente com a teoria do consumidor (homogeneidade, simetria de Slutsky, agregação) e ao mesmo tempo flexível o bastante para capturar padrões reais dos dados?</w:t>
      </w:r>
    </w:p>
    <w:p>
      <w:pPr>
        <w:pStyle w:val="BlockText"/>
      </w:pPr>
      <w:r>
        <w:rPr>
          <w:b/>
          <w:bCs/>
        </w:rPr>
        <w:t xml:space="preserve">Método:</w:t>
      </w:r>
      <w:r>
        <w:t xml:space="preserve"> </w:t>
      </w:r>
      <w:r>
        <w:t xml:space="preserve">Deaton e Muellbauer propuseram o</w:t>
      </w:r>
      <w:r>
        <w:t xml:space="preserve"> </w:t>
      </w:r>
      <w:r>
        <w:rPr>
          <w:b/>
          <w:bCs/>
        </w:rPr>
        <w:t xml:space="preserve">AIDS</w:t>
      </w:r>
      <w:r>
        <w:t xml:space="preserve"> </w:t>
      </w:r>
      <w:r>
        <w:t xml:space="preserve">(</w:t>
      </w:r>
      <w:r>
        <w:rPr>
          <w:i/>
          <w:iCs/>
        </w:rPr>
        <w:t xml:space="preserve">Almost Ideal Demand System</w:t>
      </w:r>
      <w:r>
        <w:t xml:space="preserve">), um modelo em que as parcelas orçamentárias de cada bem são funções lineares dos logaritmos dos preços e do logaritmo da renda real. O modelo assume uma forma funcional específica para a função dispêndio (da família PIGLOG —</w:t>
      </w:r>
      <w:r>
        <w:t xml:space="preserve"> </w:t>
      </w:r>
      <w:r>
        <w:rPr>
          <w:i/>
          <w:iCs/>
        </w:rPr>
        <w:t xml:space="preserve">Price-Independent Generalized Logarithmic</w:t>
      </w:r>
      <w:r>
        <w:t xml:space="preserve">), que garante consistência com a teoria da escolha do consumidor. As equações de demanda resultantes satisfazem automaticamente a agregação de Engel, a homogeneidade de grau zero e permitem testar a simetria de Slutsky diretamente nos dados.</w:t>
      </w:r>
    </w:p>
    <w:p>
      <w:pPr>
        <w:pStyle w:val="BlockText"/>
      </w:pPr>
      <w:r>
        <w:rPr>
          <w:b/>
          <w:bCs/>
        </w:rPr>
        <w:t xml:space="preserve">Resultado principal:</w:t>
      </w:r>
      <w:r>
        <w:t xml:space="preserve"> </w:t>
      </w:r>
      <w:r>
        <w:t xml:space="preserve">Aplicando o modelo a dados de consumo britânicos (1954-1974), os autores estimaram elasticidades-preço próprias e cruzadas para oito categorias de bens (alimentos, vestuário, habitação, combustível, bebidas, transporte, serviços e outros). Os resultados mostraram que alimentos e combustível são necessidades (elasticidade-renda menor que 1), enquanto transporte e serviços são luxos. As elasticidades cruzadas revelaram padrões de substituição e complementaridade consistentes com a intuição econômica — por exemplo, alimentação e refeições fora do domicílio são substitutos líquidos.</w:t>
      </w:r>
    </w:p>
    <w:p>
      <w:pPr>
        <w:pStyle w:val="BlockText"/>
      </w:pPr>
      <w:r>
        <w:rPr>
          <w:b/>
          <w:bCs/>
        </w:rPr>
        <w:t xml:space="preserve">Relevância para o capítulo:</w:t>
      </w:r>
      <w:r>
        <w:t xml:space="preserve"> </w:t>
      </w:r>
      <w:r>
        <w:t xml:space="preserve">O AIDS é uma das ferramentas empíricas mais utilizadas para estimar as relações cruzadas de demanda discutidas nas Seções 6.1 a 6.4. A forma PIGLOG garante que a condição de Gorman (Seção 6.7) é satisfeita em uma versão relaxada, permitindo agregação exata sob certas condições. O artigo demonstra como a teoria pura — Slutsky, simetria, homogeneidade — pode ser operacionalizada empiricamente. O modelo é amplamente utilizado até hoje, inclusive pelo IBGE e pelo IPEA em estudos sobre padrões de consumo brasileiros com dados da POF. Angus Deaton recebeu o Prêmio Nobel de Economia em 2015.</w:t>
      </w:r>
    </w:p>
    <w:p>
      <w:pPr>
        <w:pStyle w:val="BlockText"/>
      </w:pPr>
      <w:r>
        <w:rPr>
          <w:b/>
          <w:bCs/>
        </w:rPr>
        <w:t xml:space="preserve">[PESQUISA EM ACAO] Berry, Steven; Levinsohn, James; Pakes, Ariel. (1995).</w:t>
      </w:r>
      <w:r>
        <w:rPr>
          <w:b/>
          <w:bCs/>
        </w:rPr>
        <w:t xml:space="preserve"> </w:t>
      </w:r>
      <w:hyperlink r:id="rId315">
        <w:r>
          <w:rPr>
            <w:rStyle w:val="Hyperlink"/>
            <w:b/>
            <w:bCs/>
          </w:rPr>
          <w:t xml:space="preserve">Automobile Prices in Market Equilibrium</w:t>
        </w:r>
      </w:hyperlink>
      <w:r>
        <w:rPr>
          <w:b/>
          <w:bCs/>
        </w:rPr>
        <w:t xml:space="preserve">.</w:t>
      </w:r>
      <w:r>
        <w:rPr>
          <w:b/>
          <w:bCs/>
        </w:rPr>
        <w:t xml:space="preserve"> </w:t>
      </w:r>
      <w:r>
        <w:rPr>
          <w:b/>
          <w:bCs/>
          <w:i/>
          <w:iCs/>
        </w:rPr>
        <w:t xml:space="preserve">Econometrica</w:t>
      </w:r>
      <w:r>
        <w:rPr>
          <w:b/>
          <w:bCs/>
        </w:rPr>
        <w:t xml:space="preserve">, 63(4), 841-890. DOI:</w:t>
      </w:r>
      <w:r>
        <w:rPr>
          <w:b/>
          <w:bCs/>
        </w:rPr>
        <w:t xml:space="preserve"> </w:t>
      </w:r>
      <w:hyperlink r:id="rId315">
        <w:r>
          <w:rPr>
            <w:rStyle w:val="Hyperlink"/>
            <w:b/>
            <w:bCs/>
          </w:rPr>
          <w:t xml:space="preserve">10.2307/2171802</w:t>
        </w:r>
      </w:hyperlink>
    </w:p>
    <w:p>
      <w:pPr>
        <w:pStyle w:val="BlockText"/>
      </w:pPr>
      <w:r>
        <w:rPr>
          <w:b/>
          <w:bCs/>
        </w:rPr>
        <w:t xml:space="preserve">Pergunta central:</w:t>
      </w:r>
      <w:r>
        <w:t xml:space="preserve"> </w:t>
      </w:r>
      <w:r>
        <w:t xml:space="preserve">Como estimar a demanda por produtos diferenciados — bens que são substitutos imperfeitos entre si, diferindo em múltiplos atributos — quando os dados disponíveis são agregados (participações de mercado e preços) e os preços são endógenos?</w:t>
      </w:r>
    </w:p>
    <w:p>
      <w:pPr>
        <w:pStyle w:val="BlockText"/>
      </w:pPr>
      <w:r>
        <w:rPr>
          <w:b/>
          <w:bCs/>
        </w:rPr>
        <w:t xml:space="preserve">Método:</w:t>
      </w:r>
      <w:r>
        <w:t xml:space="preserve"> </w:t>
      </w:r>
      <w:r>
        <w:t xml:space="preserve">Berry, Levinsohn e Pakes (BLP) desenvolveram um modelo estrutural de demanda que combina a abordagem de Lancaster (Seção 6.6) com heterogeneidade de preferências entre consumidores. Cada automóvel é descrito por um vetor de características (potência, tamanho, consumo, preço), e cada consumidor tem preferências idiossincráticas sobre essas características. O modelo gera funções de demanda agregada que dependem de todos os preços — capturando substituição e complementaridade entre modelos. Para lidar com a endogeneidade dos preços (carros de melhor qualidade têm preços mais altos), os autores usaram variáveis instrumentais baseadas nas características dos concorrentes.</w:t>
      </w:r>
    </w:p>
    <w:p>
      <w:pPr>
        <w:pStyle w:val="BlockText"/>
      </w:pPr>
      <w:r>
        <w:rPr>
          <w:b/>
          <w:bCs/>
        </w:rPr>
        <w:t xml:space="preserve">Resultado principal:</w:t>
      </w:r>
      <w:r>
        <w:t xml:space="preserve"> </w:t>
      </w:r>
      <w:r>
        <w:t xml:space="preserve">Aplicando o modelo ao mercado americano de automóveis (1971-1990), os autores estimaram elasticidades-preço próprias e cruzadas para centenas de modelos. Os resultados mostraram padrões de substituição altamente realistas: carros compactos competem principalmente entre si e menos com SUVs, exatamente como a abordagem de Lancaster prevê (carros no mesmo segmento compartilham atributos semelhantes). As elasticidades estimadas permitiram avaliar o poder de mercado das montadoras e simular os efeitos de fusões sobre preços.</w:t>
      </w:r>
    </w:p>
    <w:p>
      <w:pPr>
        <w:pStyle w:val="BlockText"/>
      </w:pPr>
      <w:r>
        <w:rPr>
          <w:b/>
          <w:bCs/>
        </w:rPr>
        <w:t xml:space="preserve">Relevância para o capítulo:</w:t>
      </w:r>
      <w:r>
        <w:t xml:space="preserve"> </w:t>
      </w:r>
      <w:r>
        <w:t xml:space="preserve">O modelo BLP é uma implementação empírica direta do modelo de Lancaster (Seção 6.6): os consumidores derivam utilidade dos</w:t>
      </w:r>
      <w:r>
        <w:t xml:space="preserve"> </w:t>
      </w:r>
      <w:r>
        <w:rPr>
          <w:i/>
          <w:iCs/>
        </w:rPr>
        <w:t xml:space="preserve">atributos</w:t>
      </w:r>
      <w:r>
        <w:t xml:space="preserve"> </w:t>
      </w:r>
      <w:r>
        <w:t xml:space="preserve">dos automóveis, não dos veículos em si. A estrutura de substituição entre produtos emerge endogenamente da proximidade no espaço de atributos, em vez de ser imposta</w:t>
      </w:r>
      <w:r>
        <w:t xml:space="preserve"> </w:t>
      </w:r>
      <w:r>
        <w:rPr>
          <w:i/>
          <w:iCs/>
        </w:rPr>
        <w:t xml:space="preserve">ad hoc</w:t>
      </w:r>
      <w:r>
        <w:t xml:space="preserve">. Além disso, a agregação da demanda individual (Seção 6.7) é central no modelo — a demanda de mercado resulta da soma de escolhas heterogêneas, e a heterogeneidade de preferências (violação da condição de Gorman) é uma</w:t>
      </w:r>
      <w:r>
        <w:t xml:space="preserve"> </w:t>
      </w:r>
      <w:r>
        <w:rPr>
          <w:i/>
          <w:iCs/>
        </w:rPr>
        <w:t xml:space="preserve">feature</w:t>
      </w:r>
      <w:r>
        <w:t xml:space="preserve">, não um bug. O artigo é um dos mais citados em organização industrial e tornou-se referência para a análise antitruste de fusões pelo</w:t>
      </w:r>
      <w:r>
        <w:t xml:space="preserve"> </w:t>
      </w:r>
      <w:hyperlink r:id="rId316">
        <w:r>
          <w:rPr>
            <w:rStyle w:val="Hyperlink"/>
          </w:rPr>
          <w:t xml:space="preserve">CADE</w:t>
        </w:r>
      </w:hyperlink>
      <w:r>
        <w:t xml:space="preserve"> </w:t>
      </w:r>
      <w:r>
        <w:t xml:space="preserve">no Brasil e por autoridades concorrenciais no mundo todo.</w:t>
      </w:r>
    </w:p>
    <w:p>
      <w:pPr>
        <w:pStyle w:val="BlockText"/>
      </w:pPr>
      <w:r>
        <w:rPr>
          <w:b/>
          <w:bCs/>
        </w:rPr>
        <w:t xml:space="preserve">[PESQUISA EM ACAO] Rosen, Sherwin. (1974).</w:t>
      </w:r>
      <w:r>
        <w:rPr>
          <w:b/>
          <w:bCs/>
        </w:rPr>
        <w:t xml:space="preserve"> </w:t>
      </w:r>
      <w:hyperlink r:id="rId317">
        <w:r>
          <w:rPr>
            <w:rStyle w:val="Hyperlink"/>
            <w:b/>
            <w:bCs/>
          </w:rPr>
          <w:t xml:space="preserve">Hedonic Prices and Implicit Markets: Product Differentiation in Pure Competition</w:t>
        </w:r>
      </w:hyperlink>
      <w:r>
        <w:rPr>
          <w:b/>
          <w:bCs/>
        </w:rPr>
        <w:t xml:space="preserve">.</w:t>
      </w:r>
      <w:r>
        <w:rPr>
          <w:b/>
          <w:bCs/>
        </w:rPr>
        <w:t xml:space="preserve"> </w:t>
      </w:r>
      <w:r>
        <w:rPr>
          <w:b/>
          <w:bCs/>
          <w:i/>
          <w:iCs/>
        </w:rPr>
        <w:t xml:space="preserve">Journal of Political Economy</w:t>
      </w:r>
      <w:r>
        <w:rPr>
          <w:b/>
          <w:bCs/>
        </w:rPr>
        <w:t xml:space="preserve">, 82(1), 34–55. DOI:</w:t>
      </w:r>
      <w:r>
        <w:rPr>
          <w:b/>
          <w:bCs/>
        </w:rPr>
        <w:t xml:space="preserve"> </w:t>
      </w:r>
      <w:hyperlink r:id="rId317">
        <w:r>
          <w:rPr>
            <w:rStyle w:val="Hyperlink"/>
            <w:b/>
            <w:bCs/>
          </w:rPr>
          <w:t xml:space="preserve">10.1086/260169</w:t>
        </w:r>
      </w:hyperlink>
    </w:p>
    <w:p>
      <w:pPr>
        <w:pStyle w:val="BlockText"/>
      </w:pPr>
      <w:r>
        <w:rPr>
          <w:b/>
          <w:bCs/>
        </w:rPr>
        <w:t xml:space="preserve">Pergunta central:</w:t>
      </w:r>
      <w:r>
        <w:t xml:space="preserve"> </w:t>
      </w:r>
      <w:r>
        <w:t xml:space="preserve">Como determinar os preços implícitos dos atributos de bens diferenciados — como imóveis, automóveis ou trabalhadores — em mercados competitivos onde os preços observados são os preços dos bens, não dos seus atributos individuais?</w:t>
      </w:r>
    </w:p>
    <w:p>
      <w:pPr>
        <w:pStyle w:val="BlockText"/>
      </w:pPr>
      <w:r>
        <w:rPr>
          <w:b/>
          <w:bCs/>
        </w:rPr>
        <w:t xml:space="preserve">Método:</w:t>
      </w:r>
      <w:r>
        <w:t xml:space="preserve"> </w:t>
      </w:r>
      <w:r>
        <w:t xml:space="preserve">Rosen propôs um modelo de equilíbrio hedônico em dois estágios. No primeiro, o preço de mercado de um bem diferenciado é modelado como uma função de seus atributos:</w:t>
      </w:r>
      <w:r>
        <w:t xml:space="preserve"> </w:t>
      </w:r>
      <m:oMath>
        <m:r>
          <m:t>p</m:t>
        </m:r>
        <m:r>
          <m:rPr>
            <m:sty m:val="p"/>
          </m:rPr>
          <m:t>=</m:t>
        </m:r>
        <m:r>
          <m:t>P</m:t>
        </m:r>
        <m:r>
          <m:rPr>
            <m:sty m:val="p"/>
          </m:rPr>
          <m:t>(</m:t>
        </m:r>
        <m:sSub>
          <m:e>
            <m:r>
              <m:t>z</m:t>
            </m:r>
          </m:e>
          <m:sub>
            <m:r>
              <m:t>1</m:t>
            </m:r>
          </m:sub>
        </m:sSub>
        <m:r>
          <m:rPr>
            <m:sty m:val="p"/>
          </m:rPr>
          <m:t>,</m:t>
        </m:r>
        <m:sSub>
          <m:e>
            <m:r>
              <m:t>z</m:t>
            </m:r>
          </m:e>
          <m:sub>
            <m:r>
              <m:t>2</m:t>
            </m:r>
          </m:sub>
        </m:sSub>
        <m:r>
          <m:rPr>
            <m:sty m:val="p"/>
          </m:rPr>
          <m:t>,</m:t>
        </m:r>
        <m:r>
          <m:rPr>
            <m:sty m:val="p"/>
          </m:rPr>
          <m:t>…</m:t>
        </m:r>
        <m:r>
          <m:rPr>
            <m:sty m:val="p"/>
          </m:rPr>
          <m:t>,</m:t>
        </m:r>
        <m:sSub>
          <m:e>
            <m:r>
              <m:t>z</m:t>
            </m:r>
          </m:e>
          <m:sub>
            <m:r>
              <m:t>m</m:t>
            </m:r>
          </m:sub>
        </m:sSub>
        <m:r>
          <m:rPr>
            <m:sty m:val="p"/>
          </m:rPr>
          <m:t>)</m:t>
        </m:r>
      </m:oMath>
      <w:r>
        <w:t xml:space="preserve">, onde</w:t>
      </w:r>
      <w:r>
        <w:t xml:space="preserve"> </w:t>
      </w:r>
      <m:oMath>
        <m:sSub>
          <m:e>
            <m:r>
              <m:t>z</m:t>
            </m:r>
          </m:e>
          <m:sub>
            <m:r>
              <m:t>k</m:t>
            </m:r>
          </m:sub>
        </m:sSub>
      </m:oMath>
      <w:r>
        <w:t xml:space="preserve"> </w:t>
      </w:r>
      <w:r>
        <w:t xml:space="preserve">são os atributos. As derivadas parciais</w:t>
      </w:r>
      <w:r>
        <w:t xml:space="preserve"> </w:t>
      </w:r>
      <m:oMath>
        <m:r>
          <m:rPr>
            <m:sty m:val="p"/>
          </m:rPr>
          <m:t>∂</m:t>
        </m:r>
        <m:r>
          <m:t>P</m:t>
        </m:r>
        <m:r>
          <m:rPr>
            <m:sty m:val="p"/>
          </m:rPr>
          <m:t>/</m:t>
        </m:r>
        <m:r>
          <m:rPr>
            <m:sty m:val="p"/>
          </m:rPr>
          <m:t>∂</m:t>
        </m:r>
        <m:sSub>
          <m:e>
            <m:r>
              <m:t>z</m:t>
            </m:r>
          </m:e>
          <m:sub>
            <m:r>
              <m:t>k</m:t>
            </m:r>
          </m:sub>
        </m:sSub>
      </m:oMath>
      <w:r>
        <w:t xml:space="preserve"> </w:t>
      </w:r>
      <w:r>
        <w:t xml:space="preserve">são os</w:t>
      </w:r>
      <w:r>
        <w:t xml:space="preserve"> </w:t>
      </w:r>
      <w:r>
        <w:rPr>
          <w:b/>
          <w:bCs/>
        </w:rPr>
        <w:t xml:space="preserve">preços hedônicos</w:t>
      </w:r>
      <w:r>
        <w:t xml:space="preserve"> </w:t>
      </w:r>
      <w:r>
        <w:t xml:space="preserve">(ou preços implícitos) de cada atributo — o quanto o mercado paga a mais por uma unidade adicional do atributo</w:t>
      </w:r>
      <w:r>
        <w:t xml:space="preserve"> </w:t>
      </w:r>
      <m:oMath>
        <m:r>
          <m:t>k</m:t>
        </m:r>
      </m:oMath>
      <w:r>
        <w:t xml:space="preserve">. No segundo estágio, esses preços implícitos são usados para estimar as curvas de demanda inversa e oferta inversa dos atributos individuais, permitindo recuperar as preferências dos consumidores e os custos dos produtores. A chave é que, em equilíbrio competitivo, consumidores e produtores se</w:t>
      </w:r>
      <w:r>
        <w:t xml:space="preserve"> </w:t>
      </w:r>
      <w:r>
        <w:t xml:space="preserve">“emparelham”</w:t>
      </w:r>
      <w:r>
        <w:t xml:space="preserve"> </w:t>
      </w:r>
      <w:r>
        <w:t xml:space="preserve">de modo que os preços hedônicos reflitam simultaneamente a disposição marginal a pagar dos compradores e o custo marginal de oferta dos vendedores.</w:t>
      </w:r>
    </w:p>
    <w:p>
      <w:pPr>
        <w:pStyle w:val="BlockText"/>
      </w:pPr>
      <w:r>
        <w:rPr>
          <w:b/>
          <w:bCs/>
        </w:rPr>
        <w:t xml:space="preserve">Resultado principal:</w:t>
      </w:r>
      <w:r>
        <w:t xml:space="preserve"> </w:t>
      </w:r>
      <w:r>
        <w:t xml:space="preserve">Rosen demonstrou as condições de equilíbrio do mercado hedônico e estabeleceu a relação entre a função de preços hedônicos e as curvas de oferta e demanda dos atributos. O artigo mostrou que a função de preços hedônicos não é, em geral, linear nos atributos — sua curvatura reflete a heterogeneidade das preferências e dos custos. Essa não linearidade tem implicações importantes para a estimação econométrica: uma regressão linear de preços sobre atributos pode ser uma aproximação razoável localmente, mas pode gerar vieses para variações grandes nos atributos.</w:t>
      </w:r>
    </w:p>
    <w:p>
      <w:pPr>
        <w:pStyle w:val="BlockText"/>
      </w:pPr>
      <w:r>
        <w:rPr>
          <w:b/>
          <w:bCs/>
        </w:rPr>
        <w:t xml:space="preserve">Relevância para o capítulo:</w:t>
      </w:r>
      <w:r>
        <w:t xml:space="preserve"> </w:t>
      </w:r>
      <w:r>
        <w:t xml:space="preserve">O modelo de Rosen é a ponte formal entre o modelo de Lancaster (Seção 6.6.1) — que postula que os consumidores valorizam atributos dos bens — e a análise empírica de preços de mercado. Enquanto Lancaster descreve o</w:t>
      </w:r>
      <w:r>
        <w:t xml:space="preserve"> </w:t>
      </w:r>
      <w:r>
        <w:rPr>
          <w:i/>
          <w:iCs/>
        </w:rPr>
        <w:t xml:space="preserve">problema do consumidor</w:t>
      </w:r>
      <w:r>
        <w:t xml:space="preserve"> </w:t>
      </w:r>
      <w:r>
        <w:t xml:space="preserve">em termos de atributos, Rosen descreve o</w:t>
      </w:r>
      <w:r>
        <w:t xml:space="preserve"> </w:t>
      </w:r>
      <w:r>
        <w:rPr>
          <w:i/>
          <w:iCs/>
        </w:rPr>
        <w:t xml:space="preserve">equilíbrio de mercado</w:t>
      </w:r>
      <w:r>
        <w:t xml:space="preserve"> </w:t>
      </w:r>
      <w:r>
        <w:t xml:space="preserve">que emerge quando muitos consumidores e produtores com preferências e custos heterogêneos interagem. As aplicações brasileiras — FipeZap, índices imobiliários do Banco Central, estudos de salário hedônico para diferentes ocupações — todas se baseiam no arcabouço de Rosen. O artigo é um dos mais citados em economia aplicada e continua sendo a referência teórica padrão para estudos de precificação hedônica no Brasil e no mundo.</w:t>
      </w:r>
    </w:p>
    <w:p>
      <w:pPr>
        <w:pStyle w:val="BlockText"/>
      </w:pPr>
      <w:r>
        <w:rPr>
          <w:b/>
          <w:bCs/>
        </w:rPr>
        <w:t xml:space="preserve">[PESQUISA EM ACAO] Lewbel, Arthur. (1996).</w:t>
      </w:r>
      <w:r>
        <w:rPr>
          <w:b/>
          <w:bCs/>
        </w:rPr>
        <w:t xml:space="preserve"> </w:t>
      </w:r>
      <w:hyperlink r:id="rId318">
        <w:r>
          <w:rPr>
            <w:rStyle w:val="Hyperlink"/>
            <w:b/>
            <w:bCs/>
          </w:rPr>
          <w:t xml:space="preserve">Aggregation Without Separability: A Generalized Composite Commodity Theorem</w:t>
        </w:r>
      </w:hyperlink>
      <w:r>
        <w:rPr>
          <w:b/>
          <w:bCs/>
        </w:rPr>
        <w:t xml:space="preserve">.</w:t>
      </w:r>
      <w:r>
        <w:rPr>
          <w:b/>
          <w:bCs/>
        </w:rPr>
        <w:t xml:space="preserve"> </w:t>
      </w:r>
      <w:r>
        <w:rPr>
          <w:b/>
          <w:bCs/>
          <w:i/>
          <w:iCs/>
        </w:rPr>
        <w:t xml:space="preserve">American Economic Review</w:t>
      </w:r>
      <w:r>
        <w:rPr>
          <w:b/>
          <w:bCs/>
        </w:rPr>
        <w:t xml:space="preserve">, 86(3), 524–543.</w:t>
      </w:r>
    </w:p>
    <w:p>
      <w:pPr>
        <w:pStyle w:val="BlockText"/>
      </w:pPr>
      <w:r>
        <w:rPr>
          <w:b/>
          <w:bCs/>
        </w:rPr>
        <w:t xml:space="preserve">Pergunta central:</w:t>
      </w:r>
      <w:r>
        <w:t xml:space="preserve"> </w:t>
      </w:r>
      <w:r>
        <w:t xml:space="preserve">O Teorema do Bem Composto de Hicks exige que os preços de um grupo variem</w:t>
      </w:r>
      <w:r>
        <w:t xml:space="preserve"> </w:t>
      </w:r>
      <w:r>
        <w:rPr>
          <w:i/>
          <w:iCs/>
        </w:rPr>
        <w:t xml:space="preserve">exatamente</w:t>
      </w:r>
      <w:r>
        <w:t xml:space="preserve"> </w:t>
      </w:r>
      <w:r>
        <w:t xml:space="preserve">em proporção. Na prática, os preços nunca se movem em proporção perfeita — então quando podemos ainda tratar um grupo de bens como um bem composto aproximado?</w:t>
      </w:r>
    </w:p>
    <w:p>
      <w:pPr>
        <w:pStyle w:val="BlockText"/>
      </w:pPr>
      <w:r>
        <w:rPr>
          <w:b/>
          <w:bCs/>
        </w:rPr>
        <w:t xml:space="preserve">Método:</w:t>
      </w:r>
      <w:r>
        <w:t xml:space="preserve"> </w:t>
      </w:r>
      <w:r>
        <w:t xml:space="preserve">Lewbel generaliza o Teorema do Bem Composto relaxando a hipótese de proporcionalidade estrita. O autor mostra que, mesmo quando os preços relativos dentro de um grupo variam, é possível construir um índice de preços para o grupo que satisfaz uma versão generalizada do teorema, sob condições mais fracas que a proporcionalidade. Em particular, Lewbel demonstra que o teorema pode ser estendido para agrupar bens mesmo quando há alguma variação nos preços relativos internos, desde que as funções de demanda satisfaçam certas propriedades de separabilidade fraca. O artigo também conecta a agregação de bens à teoria de números-índice, mostrando que os índices de preços tipo Laspeyres e Paasche são casos especiais do teorema generalizado.</w:t>
      </w:r>
    </w:p>
    <w:p>
      <w:pPr>
        <w:pStyle w:val="BlockText"/>
      </w:pPr>
      <w:r>
        <w:rPr>
          <w:b/>
          <w:bCs/>
        </w:rPr>
        <w:t xml:space="preserve">Resultado principal:</w:t>
      </w:r>
      <w:r>
        <w:t xml:space="preserve"> </w:t>
      </w:r>
      <w:r>
        <w:t xml:space="preserve">A condição necessária e suficiente para a agregação exata é mais fraca do que a proporcionalidade de Hicks — ela permite alguma variação nos preços relativos internos, desde que as preferências satisfaçam separabilidade fraca. Além disso, Lewbel mostra que, para qualquer conjunto de preferências, sempre é possível encontrar uma partição dos bens em grupos que satisfaz o teorema generalizado, o que justifica o uso de índices de preços compostos em análises empíricas mesmo sem proporcionalidade exata.</w:t>
      </w:r>
    </w:p>
    <w:p>
      <w:pPr>
        <w:pStyle w:val="BlockText"/>
      </w:pPr>
      <w:r>
        <w:rPr>
          <w:b/>
          <w:bCs/>
        </w:rPr>
        <w:t xml:space="preserve">Relevância para o capítulo:</w:t>
      </w:r>
      <w:r>
        <w:t xml:space="preserve"> </w:t>
      </w:r>
      <w:r>
        <w:t xml:space="preserve">A Seção 6.5 apresenta o Teorema do Bem Composto de Hicks na sua forma clássica, que exige proporcionalidade estrita dos preços. Lewbel mostra quando e como essa condição pode ser relaxada — uma questão central para aplicações ao IPCA brasileiro, onde os preços administrados e livres raramente se movem em proporção exata. O artigo também elucida os fundamentos teóricos dos índices de preços usados pelo IBGE, conectando a teoria microeconômica da demanda à prática de mensuração da inflação. Para o Brasil, onde choques de preços são frequentemente assimétricos entre categorias (energia versus alimentos versus serviços), a generalização de Lewbel é especialmente relevante para avaliar a validade de análises que tratam grupos de bens como compostos.</w:t>
      </w:r>
    </w:p>
    <w:p>
      <w:pPr>
        <w:pStyle w:val="BlockText"/>
      </w:pPr>
      <w:r>
        <w:rPr>
          <w:b/>
          <w:bCs/>
        </w:rPr>
        <w:t xml:space="preserve">[PESQUISA EM ACAO] Dubois, Pierre; Griffith, Rachel; Nevo, Aviv. (2014).</w:t>
      </w:r>
      <w:r>
        <w:rPr>
          <w:b/>
          <w:bCs/>
        </w:rPr>
        <w:t xml:space="preserve"> </w:t>
      </w:r>
      <w:hyperlink r:id="rId319">
        <w:r>
          <w:rPr>
            <w:rStyle w:val="Hyperlink"/>
            <w:b/>
            <w:bCs/>
          </w:rPr>
          <w:t xml:space="preserve">Do Prices and Attributes Explain International Differences in Food Purchases?</w:t>
        </w:r>
      </w:hyperlink>
      <w:r>
        <w:rPr>
          <w:b/>
          <w:bCs/>
        </w:rPr>
        <w:t xml:space="preserve"> </w:t>
      </w:r>
      <w:r>
        <w:rPr>
          <w:b/>
          <w:bCs/>
          <w:i/>
          <w:iCs/>
        </w:rPr>
        <w:t xml:space="preserve">American Economic Review</w:t>
      </w:r>
      <w:r>
        <w:rPr>
          <w:b/>
          <w:bCs/>
        </w:rPr>
        <w:t xml:space="preserve">, 104(3), 832–867. DOI:</w:t>
      </w:r>
      <w:r>
        <w:rPr>
          <w:b/>
          <w:bCs/>
        </w:rPr>
        <w:t xml:space="preserve"> </w:t>
      </w:r>
      <w:hyperlink r:id="rId319">
        <w:r>
          <w:rPr>
            <w:rStyle w:val="Hyperlink"/>
            <w:b/>
            <w:bCs/>
          </w:rPr>
          <w:t xml:space="preserve">10.1257/aer.104.3.832</w:t>
        </w:r>
      </w:hyperlink>
    </w:p>
    <w:p>
      <w:pPr>
        <w:pStyle w:val="BlockText"/>
      </w:pPr>
      <w:r>
        <w:rPr>
          <w:b/>
          <w:bCs/>
        </w:rPr>
        <w:t xml:space="preserve">Pergunta central:</w:t>
      </w:r>
      <w:r>
        <w:t xml:space="preserve"> </w:t>
      </w:r>
      <w:r>
        <w:t xml:space="preserve">Por que famílias em países diferentes compram cestas alimentares tão distintas? A diferença deve-se a diferenças nos preços dos alimentos, nos atributos (qualidade, conveniência, sabor) disponíveis em cada país, ou a preferências genuinamente distintas?</w:t>
      </w:r>
    </w:p>
    <w:p>
      <w:pPr>
        <w:pStyle w:val="BlockText"/>
      </w:pPr>
      <w:r>
        <w:rPr>
          <w:b/>
          <w:bCs/>
        </w:rPr>
        <w:t xml:space="preserve">Método:</w:t>
      </w:r>
      <w:r>
        <w:t xml:space="preserve"> </w:t>
      </w:r>
      <w:r>
        <w:t xml:space="preserve">Os autores coletaram dados detalhados de compras domiciliares de alimentos em três países — França, Estados Unidos e Reino Unido — com informações sobre quantidades, preços pagos e características dos produtos (calorias, teor de gordura, nível de processamento, conveniência). Usando o arcabouço de Lancaster, modelaram cada produto como um conjunto de atributos, estimando a função utilidade sobre atributos (não sobre produtos) com técnicas de equações estruturais. A abordagem permite decompor as diferenças internacionais nas cestas alimentares em três componentes: diferenças de preços, diferenças na disponibilidade de atributos, e diferenças nas preferências sobre atributos.</w:t>
      </w:r>
    </w:p>
    <w:p>
      <w:pPr>
        <w:pStyle w:val="BlockText"/>
      </w:pPr>
      <w:r>
        <w:rPr>
          <w:b/>
          <w:bCs/>
        </w:rPr>
        <w:t xml:space="preserve">Resultado principal:</w:t>
      </w:r>
      <w:r>
        <w:t xml:space="preserve"> </w:t>
      </w:r>
      <w:r>
        <w:t xml:space="preserve">A maior parte das diferenças internacionais nas cestas alimentares é explicada por diferenças nos preços e na disponibilidade de atributos — não por diferenças nas preferências. Se franceses, americanos e britânicos enfrentassem os mesmos preços e as mesmas opções de produtos disponíveis, suas cestas alimentares seriam muito mais semelhantes do que as observadas. Em particular, os americanos compram mais alimentos processados e calóricos não porque preferem esses atributos, mas porque são relativamente mais baratos nos EUA. Esse resultado tem implicações importantes para políticas de saúde pública: uma tributação sobre alimentos processados (similar ao imposto seletivo proposto no Brasil) pode ser eficaz em alterar a composição da cesta, pois as diferenças nos padrões alimentares respondem ao sistema de preços.</w:t>
      </w:r>
    </w:p>
    <w:p>
      <w:pPr>
        <w:pStyle w:val="BlockText"/>
      </w:pPr>
      <w:r>
        <w:rPr>
          <w:b/>
          <w:bCs/>
        </w:rPr>
        <w:t xml:space="preserve">Relevância para o capítulo:</w:t>
      </w:r>
      <w:r>
        <w:t xml:space="preserve"> </w:t>
      </w:r>
      <w:r>
        <w:t xml:space="preserve">O artigo é uma implementação empírica direta do modelo de Lancaster (Seção 6.6.1) em grande escala, com dados reais de múltiplos países. Ele demonstra que o framework de atributos não é apenas uma construção teórica abstrata, mas uma ferramenta empírica poderosa para entender padrões de demanda. Para o Brasil, o resultado sugere que as diferenças regionais e inter-classes nos padrões alimentares — documentadas pela POF/IBGE e discutidas nas Seções 6.2 e 6.7 — podem refletir principalmente diferenças nos preços relativos dos atributos (calorias, proteínas, conveniência) entre regiões e classes de renda, e não diferenças intrínsecas nas preferências. Isso implica que políticas de preços — subsídios a alimentos saudáveis, tributação de ultraprocessados — poderiam ser instrumentos eficazes para alterar a composição das cestas alimentares das famílias brasileiras.</w:t>
      </w:r>
    </w:p>
    <w:bookmarkStart w:id="321" w:name="referências-do-capítulo-4"/>
    <w:p>
      <w:pPr>
        <w:pStyle w:val="Heading3"/>
      </w:pPr>
      <w:r>
        <w:t xml:space="preserve">Referências do Capítulo</w:t>
      </w:r>
    </w:p>
    <w:p>
      <w:pPr>
        <w:pStyle w:val="Compact"/>
        <w:numPr>
          <w:ilvl w:val="0"/>
          <w:numId w:val="1323"/>
        </w:numPr>
      </w:pPr>
      <w:r>
        <w:t xml:space="preserve">Deaton, Angus, e John Muellbauer. 1980.</w:t>
      </w:r>
      <w:r>
        <w:t xml:space="preserve"> </w:t>
      </w:r>
      <w:hyperlink r:id="rId320">
        <w:r>
          <w:rPr>
            <w:rStyle w:val="Hyperlink"/>
            <w:i/>
            <w:iCs/>
          </w:rPr>
          <w:t xml:space="preserve">Economics and Consumer Behavior</w:t>
        </w:r>
      </w:hyperlink>
      <w:r>
        <w:t xml:space="preserve">. Cambridge: Cambridge University Press.</w:t>
      </w:r>
    </w:p>
    <w:p>
      <w:pPr>
        <w:pStyle w:val="Compact"/>
        <w:numPr>
          <w:ilvl w:val="0"/>
          <w:numId w:val="1323"/>
        </w:numPr>
      </w:pPr>
      <w:r>
        <w:t xml:space="preserve">Mas-Colell, Andreu, Michael D. Whinston, e Jerry R. Green. 1995.</w:t>
      </w:r>
      <w:r>
        <w:t xml:space="preserve"> </w:t>
      </w:r>
      <w:hyperlink r:id="rId70">
        <w:r>
          <w:rPr>
            <w:rStyle w:val="Hyperlink"/>
            <w:i/>
            <w:iCs/>
          </w:rPr>
          <w:t xml:space="preserve">Microeconomic Theory</w:t>
        </w:r>
      </w:hyperlink>
      <w:r>
        <w:t xml:space="preserve">. New York: Oxford University Press. Cap. 3 (Seções 3.G–3.I) e Cap. 4.</w:t>
      </w:r>
    </w:p>
    <w:p>
      <w:pPr>
        <w:pStyle w:val="Compact"/>
        <w:numPr>
          <w:ilvl w:val="0"/>
          <w:numId w:val="1323"/>
        </w:numPr>
      </w:pPr>
      <w:r>
        <w:t xml:space="preserve">Nicholson, Walter, e Christopher M. Snyder. 2017.</w:t>
      </w:r>
      <w:r>
        <w:t xml:space="preserve"> </w:t>
      </w:r>
      <w:hyperlink r:id="rId71">
        <w:r>
          <w:rPr>
            <w:rStyle w:val="Hyperlink"/>
            <w:i/>
            <w:iCs/>
          </w:rPr>
          <w:t xml:space="preserve">Microeconomic Theory: Basic Principles and Extensions</w:t>
        </w:r>
      </w:hyperlink>
      <w:r>
        <w:t xml:space="preserve">. 12ª ed. Boston: Cengage Learning. Cap. 5–6.</w:t>
      </w:r>
    </w:p>
    <w:p>
      <w:pPr>
        <w:pStyle w:val="Compact"/>
        <w:numPr>
          <w:ilvl w:val="0"/>
          <w:numId w:val="1323"/>
        </w:numPr>
      </w:pPr>
      <w:r>
        <w:t xml:space="preserve">Pindyck, Robert S., e Daniel L. Rubinfeld. 2013.</w:t>
      </w:r>
      <w:r>
        <w:t xml:space="preserve"> </w:t>
      </w:r>
      <w:hyperlink r:id="rId72">
        <w:r>
          <w:rPr>
            <w:rStyle w:val="Hyperlink"/>
            <w:i/>
            <w:iCs/>
          </w:rPr>
          <w:t xml:space="preserve">Microeconomia</w:t>
        </w:r>
      </w:hyperlink>
      <w:r>
        <w:t xml:space="preserve">. 8ª ed. São Paulo: Pearson. Cap. 4.</w:t>
      </w:r>
    </w:p>
    <w:p>
      <w:pPr>
        <w:pStyle w:val="Compact"/>
        <w:numPr>
          <w:ilvl w:val="0"/>
          <w:numId w:val="1323"/>
        </w:numPr>
      </w:pPr>
      <w:r>
        <w:t xml:space="preserve">Varian, Hal R. 2015.</w:t>
      </w:r>
      <w:r>
        <w:t xml:space="preserve"> </w:t>
      </w:r>
      <w:hyperlink r:id="rId74">
        <w:r>
          <w:rPr>
            <w:rStyle w:val="Hyperlink"/>
            <w:i/>
            <w:iCs/>
          </w:rPr>
          <w:t xml:space="preserve">Microeconomia: Uma Abordagem Moderna</w:t>
        </w:r>
      </w:hyperlink>
      <w:r>
        <w:t xml:space="preserve">. 9ª ed. Rio de Janeiro: Elsevier. Cap. 6 e 8.</w:t>
      </w:r>
    </w:p>
    <w:bookmarkEnd w:id="321"/>
    <w:bookmarkEnd w:id="322"/>
    <w:bookmarkEnd w:id="323"/>
    <w:bookmarkStart w:id="370" w:name="capítulo-7-o-preço-do-talvez"/>
    <w:p>
      <w:pPr>
        <w:sectPr>
          <w:footnotePr>
            <w:numRestart w:val="eachSect"/>
          </w:footnotePr>
        </w:sectPr>
      </w:pPr>
    </w:p>
    <w:p>
      <w:pPr>
        <w:pStyle w:val="Heading1"/>
      </w:pPr>
      <w:r>
        <w:t xml:space="preserve">Capítulo 7 — O Preço do Talvez</w:t>
      </w:r>
    </w:p>
    <w:p>
      <w:pPr>
        <w:pStyle w:val="FirstParagraph"/>
      </w:pPr>
      <w:r>
        <w:t xml:space="preserve">Até agora, o consumidor do nosso livro vivia num mundo confortável: ele sabia exatamente quanto custava cada bem, quanto ganhava por mês e qual era a qualidade de cada produto. A partir deste capítulo, tiramos esse tapete. No mundo real, o agricultor planta sem saber se vai chover; o investidor aplica sem saber se o mercado vai subir; o trabalhador aceita um emprego sem garantia de que a empresa sobreviverá. A</w:t>
      </w:r>
      <w:r>
        <w:t xml:space="preserve"> </w:t>
      </w:r>
      <w:r>
        <w:rPr>
          <w:b/>
          <w:bCs/>
        </w:rPr>
        <w:t xml:space="preserve">incerteza</w:t>
      </w:r>
      <w:r>
        <w:t xml:space="preserve"> </w:t>
      </w:r>
      <w:r>
        <w:t xml:space="preserve">é a regra, não a exceção — e a microeconomia precisa de ferramentas para lidar com ela.</w:t>
      </w:r>
    </w:p>
    <w:p>
      <w:pPr>
        <w:pStyle w:val="BodyText"/>
      </w:pPr>
      <w:r>
        <w:t xml:space="preserve">Este capítulo desenvolve a teoria da escolha sob incerteza a partir do conceito de</w:t>
      </w:r>
      <w:r>
        <w:t xml:space="preserve"> </w:t>
      </w:r>
      <w:r>
        <w:rPr>
          <w:b/>
          <w:bCs/>
        </w:rPr>
        <w:t xml:space="preserve">loteria</w:t>
      </w:r>
      <w:r>
        <w:t xml:space="preserve">, passando pela formulação axiomática da</w:t>
      </w:r>
      <w:r>
        <w:t xml:space="preserve"> </w:t>
      </w:r>
      <w:r>
        <w:rPr>
          <w:b/>
          <w:bCs/>
        </w:rPr>
        <w:t xml:space="preserve">utilidade esperada</w:t>
      </w:r>
      <w:r>
        <w:t xml:space="preserve"> </w:t>
      </w:r>
      <w:r>
        <w:t xml:space="preserve">de Von Neumann e Morgenstern, pela caracterização da</w:t>
      </w:r>
      <w:r>
        <w:t xml:space="preserve"> </w:t>
      </w:r>
      <w:r>
        <w:rPr>
          <w:b/>
          <w:bCs/>
        </w:rPr>
        <w:t xml:space="preserve">aversão ao risco</w:t>
      </w:r>
      <w:r>
        <w:t xml:space="preserve"> </w:t>
      </w:r>
      <w:r>
        <w:t xml:space="preserve">e suas medidas quantitativas, até os mecanismos institucionais que permitem reduzir ou redistribuir riscos. Ao final, introduzimos a abordagem de</w:t>
      </w:r>
      <w:r>
        <w:t xml:space="preserve"> </w:t>
      </w:r>
      <w:r>
        <w:rPr>
          <w:b/>
          <w:bCs/>
        </w:rPr>
        <w:t xml:space="preserve">estado-preferência</w:t>
      </w:r>
      <w:r>
        <w:t xml:space="preserve"> </w:t>
      </w:r>
      <w:r>
        <w:t xml:space="preserve">e oferecemos uma visão preliminar dos problemas de</w:t>
      </w:r>
      <w:r>
        <w:t xml:space="preserve"> </w:t>
      </w:r>
      <w:r>
        <w:rPr>
          <w:b/>
          <w:bCs/>
        </w:rPr>
        <w:t xml:space="preserve">informação assimétrica</w:t>
      </w:r>
      <w:r>
        <w:t xml:space="preserve"> </w:t>
      </w:r>
      <w:r>
        <w:t xml:space="preserve">que serão aprofundados em capítulos posteriores.</w:t>
      </w:r>
    </w:p>
    <w:p>
      <w:pPr>
        <w:pStyle w:val="BlockText"/>
      </w:pPr>
      <w:r>
        <w:rPr>
          <w:b/>
          <w:bCs/>
        </w:rPr>
        <w:t xml:space="preserve">[RESUMO] 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rPr>
                <w:b/>
                <w:bCs/>
              </w:rPr>
              <w:t xml:space="preserve">7.1–7.2</w:t>
            </w:r>
          </w:p>
        </w:tc>
        <w:tc>
          <w:tcPr/>
          <w:p>
            <w:pPr>
              <w:pStyle w:val="Compact"/>
            </w:pPr>
            <w:r>
              <w:t xml:space="preserve">O valor esperado basta para decidir sob risco?</w:t>
            </w:r>
          </w:p>
        </w:tc>
        <w:tc>
          <w:tcPr/>
          <w:p>
            <w:pPr>
              <w:pStyle w:val="Compact"/>
            </w:pPr>
            <w:r>
              <w:t xml:space="preserve">Loterias, Paradoxo de São Petersburgo, axiomas VNM, utilidade esperada</w:t>
            </w:r>
          </w:p>
        </w:tc>
        <w:tc>
          <w:tcPr/>
          <w:p>
            <w:pPr>
              <w:pStyle w:val="Compact"/>
              <w:jc w:val="center"/>
            </w:pPr>
            <w:r>
              <w:t xml:space="preserve">Loterias e Utilidade Esperada</w:t>
            </w:r>
          </w:p>
        </w:tc>
      </w:tr>
      <w:tr>
        <w:tc>
          <w:tcPr/>
          <w:p>
            <w:pPr>
              <w:pStyle w:val="Compact"/>
              <w:jc w:val="center"/>
            </w:pPr>
            <w:r>
              <w:rPr>
                <w:b/>
                <w:bCs/>
              </w:rPr>
              <w:t xml:space="preserve">7.3–7.5</w:t>
            </w:r>
          </w:p>
        </w:tc>
        <w:tc>
          <w:tcPr/>
          <w:p>
            <w:pPr>
              <w:pStyle w:val="Compact"/>
            </w:pPr>
            <w:r>
              <w:t xml:space="preserve">Como medir e precificar a aversão ao risco?</w:t>
            </w:r>
          </w:p>
        </w:tc>
        <w:tc>
          <w:tcPr/>
          <w:p>
            <w:pPr>
              <w:pStyle w:val="Compact"/>
            </w:pPr>
            <w:r>
              <w:t xml:space="preserve">Desigualdade de Jensen, Arrow-Pratt (ARA/RRA), prêmio de risco, equivalente de certeza</w:t>
            </w:r>
          </w:p>
        </w:tc>
        <w:tc>
          <w:tcPr/>
          <w:p>
            <w:pPr>
              <w:pStyle w:val="Compact"/>
              <w:jc w:val="center"/>
            </w:pPr>
            <w:r>
              <w:t xml:space="preserve">Aversão ao Risco e Arrow-Pratt</w:t>
            </w:r>
          </w:p>
        </w:tc>
      </w:tr>
      <w:tr>
        <w:tc>
          <w:tcPr/>
          <w:p>
            <w:pPr>
              <w:pStyle w:val="Compact"/>
              <w:jc w:val="center"/>
            </w:pPr>
            <w:r>
              <w:rPr>
                <w:b/>
                <w:bCs/>
              </w:rPr>
              <w:t xml:space="preserve">7.6</w:t>
            </w:r>
          </w:p>
        </w:tc>
        <w:tc>
          <w:tcPr/>
          <w:p>
            <w:pPr>
              <w:pStyle w:val="Compact"/>
            </w:pPr>
            <w:r>
              <w:t xml:space="preserve">Quais ferramentas existem para gerenciar o risco?</w:t>
            </w:r>
          </w:p>
        </w:tc>
        <w:tc>
          <w:tcPr/>
          <w:p>
            <w:pPr>
              <w:pStyle w:val="Compact"/>
            </w:pPr>
            <w:r>
              <w:t xml:space="preserve">Seguros, diversificação, opções reais, valor da informação</w:t>
            </w:r>
          </w:p>
        </w:tc>
        <w:tc>
          <w:tcPr/>
          <w:p>
            <w:pPr>
              <w:pStyle w:val="Compact"/>
              <w:jc w:val="center"/>
            </w:pPr>
            <w:r>
              <w:t xml:space="preserve">Ferramentas Contra o Risco</w:t>
            </w:r>
          </w:p>
        </w:tc>
      </w:tr>
      <w:tr>
        <w:tc>
          <w:tcPr/>
          <w:p>
            <w:pPr>
              <w:pStyle w:val="Compact"/>
              <w:jc w:val="center"/>
            </w:pPr>
            <w:r>
              <w:rPr>
                <w:b/>
                <w:bCs/>
              </w:rPr>
              <w:t xml:space="preserve">7.7–7.8</w:t>
            </w:r>
          </w:p>
        </w:tc>
        <w:tc>
          <w:tcPr/>
          <w:p>
            <w:pPr>
              <w:pStyle w:val="Compact"/>
            </w:pPr>
            <w:r>
              <w:t xml:space="preserve">Incerteza é só um problema de consumidor disfarçado?</w:t>
            </w:r>
          </w:p>
        </w:tc>
        <w:tc>
          <w:tcPr/>
          <w:p>
            <w:pPr>
              <w:pStyle w:val="Compact"/>
            </w:pPr>
            <w:r>
              <w:t xml:space="preserve">Ativos contingentes, Arrow-Debreu, seleção adversa, risco moral</w:t>
            </w:r>
          </w:p>
        </w:tc>
        <w:tc>
          <w:tcPr/>
          <w:p>
            <w:pPr>
              <w:pStyle w:val="Compact"/>
              <w:jc w:val="center"/>
            </w:pPr>
            <w:r>
              <w:t xml:space="preserve">Estado-Preferência e Informação Assimétrica</w:t>
            </w:r>
          </w:p>
        </w:tc>
      </w:tr>
      <w:tr>
        <w:tc>
          <w:tcPr/>
          <w:p>
            <w:pPr>
              <w:pStyle w:val="Compact"/>
              <w:jc w:val="center"/>
            </w:pPr>
            <w:r>
              <w:rPr>
                <w:b/>
                <w:bCs/>
              </w:rPr>
              <w:t xml:space="preserve">Exercícios</w:t>
            </w:r>
          </w:p>
        </w:tc>
        <w:tc>
          <w:tcPr/>
          <w:p>
            <w:pPr>
              <w:pStyle w:val="Compact"/>
            </w:pPr>
            <w:r>
              <w:t xml:space="preserve">Teste e aplique</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fronteira diz?</w:t>
            </w:r>
          </w:p>
        </w:tc>
        <w:tc>
          <w:tcPr/>
          <w:p>
            <w:pPr>
              <w:pStyle w:val="Compact"/>
            </w:pPr>
            <w:r>
              <w:t xml:space="preserve">Chiappori &amp; Salanié, Mehra &amp; Prescott, Kahneman &amp; Tversky, Rabin, Rosenzweig &amp; Binswanger</w:t>
            </w:r>
          </w:p>
        </w:tc>
        <w:tc>
          <w:tcPr/>
          <w:p>
            <w:pPr>
              <w:pStyle w:val="Compact"/>
              <w:jc w:val="center"/>
            </w:pPr>
            <w:r>
              <w:t xml:space="preserve">Pesquisa</w:t>
            </w:r>
          </w:p>
        </w:tc>
      </w:tr>
    </w:tbl>
    <w:p>
      <w:pPr>
        <w:pStyle w:val="FirstParagraph"/>
      </w:pPr>
      <w:r>
        <w:rPr>
          <w:b/>
          <w:bCs/>
        </w:rPr>
        <w:t xml:space="preserve">Conexões com outros capítulos.</w:t>
      </w:r>
      <w:r>
        <w:t xml:space="preserve"> </w:t>
      </w:r>
      <w:r>
        <w:t xml:space="preserve">O leitor que estudou a Seção 2.12 (estatística básica para economistas) encontrará aqui os conceitos de valor esperado e variância num papel protagonista, agora inseridos num modelo de escolha. Mais importante, o Capítulo 3 introduziu a utilidade como representação</w:t>
      </w:r>
      <w:r>
        <w:t xml:space="preserve"> </w:t>
      </w:r>
      <w:r>
        <w:rPr>
          <w:i/>
          <w:iCs/>
        </w:rPr>
        <w:t xml:space="preserve">ordinal</w:t>
      </w:r>
      <w:r>
        <w:t xml:space="preserve"> </w:t>
      </w:r>
      <w:r>
        <w:t xml:space="preserve">das preferências — o que importava era a ordenação, não o número em si. Neste capítulo, veremos que a utilidade VNM é fundamentalmente diferente: ela é uma representação</w:t>
      </w:r>
      <w:r>
        <w:t xml:space="preserve"> </w:t>
      </w:r>
      <w:r>
        <w:rPr>
          <w:i/>
          <w:iCs/>
        </w:rPr>
        <w:t xml:space="preserve">cardinal</w:t>
      </w:r>
      <w:r>
        <w:t xml:space="preserve">, única a menos de transformações afins, e essa cardinalidade não é uma convenção matemática, mas uma exigência dos próprios axiomas de escolha racional sob incerteza. Compreender essa distinção é o primeiro passo para dominar a teoria do risco.</w:t>
      </w:r>
    </w:p>
    <w:bookmarkStart w:id="328" w:name="loterias-e-utilidade-esperada"/>
    <w:p>
      <w:pPr>
        <w:pStyle w:val="Heading2"/>
      </w:pPr>
      <w:r>
        <w:t xml:space="preserve">7.1–7.2 Loterias e Utilidade Esperada</w:t>
      </w:r>
    </w:p>
    <w:bookmarkStart w:id="325" w:name="Xc309cfecd42b67b4f081561032f82d9c0f62e08"/>
    <w:p>
      <w:pPr>
        <w:pStyle w:val="Heading3"/>
      </w:pPr>
      <w:r>
        <w:t xml:space="preserve">7.1 Cara ou Coroa com Dinheiro Real: Loterias e Valor Esperado</w:t>
      </w:r>
    </w:p>
    <w:p>
      <w:pPr>
        <w:pStyle w:val="FirstParagraph"/>
      </w:pPr>
      <w:r>
        <w:t xml:space="preserve">O primeiro passo é surpreendentemente simples: toda decisão sob incerteza é uma</w:t>
      </w:r>
      <w:r>
        <w:t xml:space="preserve"> </w:t>
      </w:r>
      <w:r>
        <w:rPr>
          <w:b/>
          <w:bCs/>
        </w:rPr>
        <w:t xml:space="preserve">loteria</w:t>
      </w:r>
      <w:r>
        <w:t xml:space="preserve">. Comprar ações da Petrobras? Loteria (pode subir ou cair). Abrir uma padaria? Loteria (pode dar certo ou quebrar). Até atravessar a rua sem olhar é uma loteria — com probabilidades que você prefere não calcular. Essa metáfora não é apenas poética: é literal. O conceito matemático de loteria é geral o suficiente para representar qualquer situação cujo resultado depende do acaso.</w:t>
      </w:r>
    </w:p>
    <w:p>
      <w:pPr>
        <w:pStyle w:val="BlockText"/>
      </w:pPr>
      <w:r>
        <w:rPr>
          <w:b/>
          <w:bCs/>
        </w:rPr>
        <w:t xml:space="preserve">[DEFINICAO] Loteria simples</w:t>
      </w:r>
    </w:p>
    <w:p>
      <w:pPr>
        <w:pStyle w:val="BlockText"/>
      </w:pPr>
      <w:r>
        <w:t xml:space="preserve">Uma</w:t>
      </w:r>
      <w:r>
        <w:t xml:space="preserve"> </w:t>
      </w:r>
      <w:r>
        <w:rPr>
          <w:b/>
          <w:bCs/>
        </w:rPr>
        <w:t xml:space="preserve">loteria simples</w:t>
      </w:r>
      <w:r>
        <w:t xml:space="preserve"> </w:t>
      </w:r>
      <w:r>
        <w:t xml:space="preserve">é uma distribuição de probabilidade sobre um conjunto finito de resultados. Formalmente, uma loteria</w:t>
      </w:r>
      <w:r>
        <w:t xml:space="preserve"> </w:t>
      </w:r>
      <m:oMath>
        <m:r>
          <m:t>L</m:t>
        </m:r>
      </m:oMath>
      <w:r>
        <w:t xml:space="preserve"> </w:t>
      </w:r>
      <w:r>
        <w:t xml:space="preserve">é descrita por:</w:t>
      </w:r>
    </w:p>
    <w:p>
      <w:pPr>
        <w:pStyle w:val="BlockText"/>
      </w:pPr>
      <w:r>
        <w:t xml:space="preserve">$$</w:t>
      </w:r>
    </w:p>
    <w:p>
      <w:pPr>
        <w:pStyle w:val="BlockText"/>
      </w:pPr>
      <w:r>
        <w:t xml:space="preserve">L = {(x_1, p_1), (x_2, p_2),</w:t>
      </w:r>
      <w:r>
        <w:t xml:space="preserve"> </w:t>
      </w:r>
      <w:r>
        <w:t xml:space="preserve">, (x_n, p_n)}</w:t>
      </w:r>
    </w:p>
    <w:p>
      <w:pPr>
        <w:pStyle w:val="BlockText"/>
      </w:pPr>
      <w:r>
        <w:t xml:space="preserve">$$</w:t>
      </w:r>
    </w:p>
    <w:p>
      <w:pPr>
        <w:pStyle w:val="BlockText"/>
      </w:pPr>
      <w:r>
        <w:t xml:space="preserve">onde</w:t>
      </w:r>
      <w:r>
        <w:t xml:space="preserve"> </w:t>
      </w:r>
      <m:oMath>
        <m:sSub>
          <m:e>
            <m:r>
              <m:t>x</m:t>
            </m:r>
          </m:e>
          <m:sub>
            <m:r>
              <m:t>i</m:t>
            </m:r>
          </m:sub>
        </m:sSub>
        <m:r>
          <m:rPr>
            <m:sty m:val="p"/>
          </m:rPr>
          <m:t>∈</m:t>
        </m:r>
        <m:r>
          <m:rPr>
            <m:scr m:val="double-struck"/>
            <m:sty m:val="p"/>
          </m:rPr>
          <m:t>R</m:t>
        </m:r>
      </m:oMath>
      <w:r>
        <w:t xml:space="preserve"> </w:t>
      </w:r>
      <w:r>
        <w:t xml:space="preserve">são os possíveis resultados (payoffs monetários) e</w:t>
      </w:r>
      <w:r>
        <w:t xml:space="preserve"> </w:t>
      </w:r>
      <m:oMath>
        <m:sSub>
          <m:e>
            <m:r>
              <m:t>p</m:t>
            </m:r>
          </m:e>
          <m:sub>
            <m:r>
              <m:t>i</m:t>
            </m:r>
          </m:sub>
        </m:sSub>
        <m:r>
          <m:rPr>
            <m:sty m:val="p"/>
          </m:rPr>
          <m:t>≥</m:t>
        </m:r>
        <m:r>
          <m:t>0</m:t>
        </m:r>
      </m:oMath>
      <w:r>
        <w:t xml:space="preserve"> </w:t>
      </w:r>
      <w:r>
        <w:t xml:space="preserve">são as probabilidades associadas, com</w:t>
      </w:r>
      <w:r>
        <w:t xml:space="preserve"> </w:t>
      </w:r>
      <m:oMath>
        <m:nary>
          <m:naryPr>
            <m:chr m:val="∑"/>
            <m:limLoc m:val="undOvr"/>
            <m:subHide m:val="off"/>
            <m:supHide m:val="off"/>
          </m:naryPr>
          <m:sub>
            <m:r>
              <m:t>i</m:t>
            </m:r>
            <m:r>
              <m:rPr>
                <m:sty m:val="p"/>
              </m:rPr>
              <m:t>=</m:t>
            </m:r>
            <m:r>
              <m:t>1</m:t>
            </m:r>
          </m:sub>
          <m:sup>
            <m:r>
              <m:t>n</m:t>
            </m:r>
          </m:sup>
          <m:e>
            <m:sSub>
              <m:e>
                <m:r>
                  <m:t>p</m:t>
                </m:r>
              </m:e>
              <m:sub>
                <m:r>
                  <m:t>i</m:t>
                </m:r>
              </m:sub>
            </m:sSub>
          </m:e>
        </m:nary>
        <m:r>
          <m:rPr>
            <m:sty m:val="p"/>
          </m:rPr>
          <m:t>=</m:t>
        </m:r>
        <m:r>
          <m:t>1</m:t>
        </m:r>
      </m:oMath>
      <w:r>
        <w:t xml:space="preserve">.</w:t>
      </w:r>
    </w:p>
    <w:p>
      <w:pPr>
        <w:pStyle w:val="FirstParagraph"/>
      </w:pPr>
      <w:r>
        <w:t xml:space="preserve">O</w:t>
      </w:r>
      <w:r>
        <w:t xml:space="preserve"> </w:t>
      </w:r>
      <w:r>
        <w:rPr>
          <w:b/>
          <w:bCs/>
        </w:rPr>
        <w:t xml:space="preserve">valor esperado</w:t>
      </w:r>
      <w:r>
        <w:t xml:space="preserve"> </w:t>
      </w:r>
      <w:r>
        <w:t xml:space="preserve">de uma loteria é a média ponderada dos resultados pelas respectivas probabilidades:</w:t>
      </w:r>
    </w:p>
    <w:p>
      <w:pPr>
        <w:pStyle w:val="BodyText"/>
      </w:pPr>
      <w:r>
        <w:t xml:space="preserve">$$
    E[L] = \sum_{i=1}^{n} p_i \, x_i
    \label{eq:7.1} \tag{7.1}
    $$</w:t>
      </w:r>
    </w:p>
    <w:p>
      <w:pPr>
        <w:pStyle w:val="BlockText"/>
      </w:pPr>
      <w:r>
        <w:rPr>
          <w:b/>
          <w:bCs/>
        </w:rPr>
        <w:t xml:space="preserve">[EXEMPLO] Exemplo numérico</w:t>
      </w:r>
    </w:p>
    <w:p>
      <w:pPr>
        <w:pStyle w:val="BlockText"/>
      </w:pPr>
      <w:r>
        <w:t xml:space="preserve">Considere a loteria</w:t>
      </w:r>
      <w:r>
        <w:t xml:space="preserve"> </w:t>
      </w:r>
      <m:oMath>
        <m:r>
          <m:t>L</m:t>
        </m:r>
        <m:r>
          <m:rPr>
            <m:sty m:val="p"/>
          </m:rPr>
          <m:t>=</m:t>
        </m:r>
        <m:r>
          <m:rPr>
            <m:sty m:val="p"/>
          </m:rPr>
          <m:t>{</m:t>
        </m:r>
        <m:r>
          <m:rPr>
            <m:sty m:val="p"/>
          </m:rPr>
          <m:t>(</m:t>
        </m:r>
        <m:r>
          <m:t>100</m:t>
        </m:r>
        <m:r>
          <m:rPr>
            <m:sty m:val="p"/>
          </m:rPr>
          <m:t>,</m:t>
        </m:r>
        <m:r>
          <m:t>0</m:t>
        </m:r>
        <m:r>
          <m:rPr>
            <m:sty m:val="p"/>
          </m:rPr>
          <m:t>,</m:t>
        </m:r>
        <m:r>
          <m:t>5</m:t>
        </m:r>
        <m:r>
          <m:rPr>
            <m:sty m:val="p"/>
          </m:rPr>
          <m:t>)</m:t>
        </m:r>
        <m:r>
          <m:rPr>
            <m:sty m:val="p"/>
          </m:rPr>
          <m:t>;</m:t>
        </m:r>
        <m:r>
          <m:rPr>
            <m:sty m:val="p"/>
          </m:rPr>
          <m:t>(</m:t>
        </m:r>
        <m:r>
          <m:t>0</m:t>
        </m:r>
        <m:r>
          <m:rPr>
            <m:sty m:val="p"/>
          </m:rPr>
          <m:t>,</m:t>
        </m:r>
        <m:r>
          <m:t>0</m:t>
        </m:r>
        <m:r>
          <m:rPr>
            <m:sty m:val="p"/>
          </m:rPr>
          <m:t>,</m:t>
        </m:r>
        <m:r>
          <m:t>5</m:t>
        </m:r>
        <m:r>
          <m:rPr>
            <m:sty m:val="p"/>
          </m:rPr>
          <m:t>)</m:t>
        </m:r>
        <m:r>
          <m:rPr>
            <m:sty m:val="p"/>
          </m:rPr>
          <m:t>}</m:t>
        </m:r>
      </m:oMath>
      <w:r>
        <w:t xml:space="preserve">. O valor esperado é:</w:t>
      </w:r>
    </w:p>
    <w:p>
      <w:pPr>
        <w:pStyle w:val="BlockText"/>
      </w:pPr>
      <w:r>
        <w:t xml:space="preserve">$$</w:t>
      </w:r>
    </w:p>
    <w:p>
      <w:pPr>
        <w:pStyle w:val="BlockText"/>
      </w:pPr>
      <w:r>
        <w:t xml:space="preserve">E[L] = 0{,}5</w:t>
      </w:r>
      <w:r>
        <w:t xml:space="preserve"> </w:t>
      </w:r>
      <w:r>
        <w:t xml:space="preserve"> </w:t>
      </w:r>
      <w:r>
        <w:t xml:space="preserve">+ 0{,}5</w:t>
      </w:r>
      <w:r>
        <w:t xml:space="preserve"> </w:t>
      </w:r>
      <w:r>
        <w:t xml:space="preserve"> </w:t>
      </w:r>
      <w:r>
        <w:t xml:space="preserve">= 50</w:t>
      </w:r>
    </w:p>
    <w:p>
      <w:pPr>
        <w:pStyle w:val="BlockText"/>
      </w:pPr>
      <w:r>
        <w:t xml:space="preserve">$$</w:t>
      </w:r>
    </w:p>
    <w:p>
      <w:pPr>
        <w:pStyle w:val="BlockText"/>
      </w:pPr>
      <w:r>
        <w:t xml:space="preserve">Um agente que aceita ou rejeita essa loteria em troca de receber</w:t>
      </w:r>
      <w:r>
        <w:t xml:space="preserve"> </w:t>
      </w:r>
      <m:oMath>
        <m:r>
          <m:t>R</m:t>
        </m:r>
        <m:r>
          <m:rPr>
            <m:sty m:val="p"/>
          </m:rPr>
          <m:t>$</m:t>
        </m:r>
        <m:r>
          <m:t>50</m:t>
        </m:r>
      </m:oMath>
      <w:r>
        <w:t xml:space="preserve"> </w:t>
      </w:r>
      <w:r>
        <w:t xml:space="preserve">com certeza revela sua atitude em relação ao risco.</w:t>
      </w:r>
    </w:p>
    <w:p>
      <w:pPr>
        <w:pStyle w:val="FirstParagraph"/>
      </w:pPr>
      <w:r>
        <w:t xml:space="preserve">Uma</w:t>
      </w:r>
      <w:r>
        <w:t xml:space="preserve"> </w:t>
      </w:r>
      <w:r>
        <w:rPr>
          <w:b/>
          <w:bCs/>
        </w:rPr>
        <w:t xml:space="preserve">loteria composta</w:t>
      </w:r>
      <w:r>
        <w:t xml:space="preserve"> </w:t>
      </w:r>
      <w:r>
        <w:t xml:space="preserve">é uma loteria cujos resultados são, eles mesmos, loterias. Sob o axioma de redução de loterias compostas, toda loteria composta pode ser reduzida a uma loteria simples equivalente pela aplicação da regra de probabilidade total. Essa propriedade é conveniente porque nos permite trabalhar apenas com loterias simples sem perda de generalidade.</w:t>
      </w:r>
    </w:p>
    <w:p>
      <w:pPr>
        <w:pStyle w:val="BodyText"/>
      </w:pPr>
      <w:r>
        <w:t xml:space="preserve">O valor esperado é um critério natural de avaliação — ele nos diz, em média, quanto a loteria</w:t>
      </w:r>
      <w:r>
        <w:t xml:space="preserve"> </w:t>
      </w:r>
      <w:r>
        <w:t xml:space="preserve">“vale”</w:t>
      </w:r>
      <w:r>
        <w:t xml:space="preserve">. Mas será que ele é suficiente para guiar as decisões de agentes reais? Um exemplo clássico sugere que não.</w:t>
      </w:r>
    </w:p>
    <w:p>
      <w:pPr>
        <w:pStyle w:val="BodyText"/>
      </w:pPr>
      <w:r>
        <w:t xml:space="preserve">Antes de apresentá-lo, vale reforçar a conexão com a Seção 2.12: o valor esperado de uma loteria é exatamente o valor esperado de uma variável aleatória discreta, e a variância da loteria mede a dispersão dos resultados em torno dessa média. Ambos esses momentos são ferramentas que reaparecerão ao longo do capítulo — o valor esperado como medida de tendência central do risco, a variância como indicador de sua magnitude. A novidade da microeconomia da incerteza é que o agente não avalia a loteria pelos seus momentos estatísticos em si, mas pela utilidade que extrai de cada resultado possível.</w:t>
      </w:r>
    </w:p>
    <w:bookmarkStart w:id="324" w:name="o-paradoxo-de-são-petersburgo"/>
    <w:p>
      <w:pPr>
        <w:pStyle w:val="Heading4"/>
      </w:pPr>
      <w:r>
        <w:t xml:space="preserve">7.1.1 O Paradoxo de São Petersburgo</w:t>
      </w:r>
    </w:p>
    <w:p>
      <w:pPr>
        <w:pStyle w:val="FirstParagraph"/>
      </w:pPr>
      <w:r>
        <w:t xml:space="preserve">O valor esperado, por si só, não é suficiente para descrever o comportamento dos agentes diante do risco. O célebre</w:t>
      </w:r>
      <w:r>
        <w:t xml:space="preserve"> </w:t>
      </w:r>
      <w:r>
        <w:rPr>
          <w:b/>
          <w:bCs/>
        </w:rPr>
        <w:t xml:space="preserve">Paradoxo de São Petersburgo</w:t>
      </w:r>
      <w:r>
        <w:t xml:space="preserve">, proposto por Nicolau Bernoulli em 1713, ilustra essa limitação. Considere um jogo em que uma moeda justa é lançada repetidamente até sair cara. Se a cara aparece no</w:t>
      </w:r>
      <w:r>
        <w:t xml:space="preserve"> </w:t>
      </w:r>
      <m:oMath>
        <m:r>
          <m:t>n</m:t>
        </m:r>
      </m:oMath>
      <w:r>
        <w:t xml:space="preserve">-ésimo lançamento, o jogador recebe</w:t>
      </w:r>
      <w:r>
        <w:t xml:space="preserve"> </w:t>
      </w:r>
      <m:oMath>
        <m:sSup>
          <m:e>
            <m:r>
              <m:t>2</m:t>
            </m:r>
          </m:e>
          <m:sup>
            <m:r>
              <m:t>n</m:t>
            </m:r>
          </m:sup>
        </m:sSup>
      </m:oMath>
      <w:r>
        <w:t xml:space="preserve"> </w:t>
      </w:r>
      <w:r>
        <w:t xml:space="preserve">reais. O valor esperado desse jogo é:</w:t>
      </w:r>
    </w:p>
    <w:p>
      <w:pPr>
        <w:pStyle w:val="BodyText"/>
      </w:pPr>
      <m:oMathPara>
        <m:oMathParaPr>
          <m:jc m:val="center"/>
        </m:oMathParaPr>
        <m:oMath>
          <m:r>
            <m:t>E</m:t>
          </m:r>
          <m:r>
            <m:rPr>
              <m:sty m:val="p"/>
            </m:rPr>
            <m:t>[</m:t>
          </m:r>
          <m:r>
            <m:t>L</m:t>
          </m:r>
          <m:r>
            <m:rPr>
              <m:sty m:val="p"/>
            </m:rPr>
            <m:t>]</m:t>
          </m:r>
          <m:r>
            <m:rPr>
              <m:sty m:val="p"/>
            </m:rPr>
            <m:t>=</m:t>
          </m:r>
          <m:nary>
            <m:naryPr>
              <m:chr m:val="∑"/>
              <m:limLoc m:val="undOvr"/>
              <m:subHide m:val="off"/>
              <m:supHide m:val="off"/>
            </m:naryPr>
            <m:sub>
              <m:r>
                <m:t>n</m:t>
              </m:r>
              <m:r>
                <m:rPr>
                  <m:sty m:val="p"/>
                </m:rPr>
                <m:t>=</m:t>
              </m:r>
              <m:r>
                <m:t>1</m:t>
              </m:r>
            </m:sub>
            <m:sup>
              <m:r>
                <m:rPr>
                  <m:sty m:val="p"/>
                </m:rPr>
                <m:t>∞</m:t>
              </m:r>
            </m:sup>
            <m:e>
              <m:f>
                <m:fPr>
                  <m:type m:val="bar"/>
                </m:fPr>
                <m:num>
                  <m:r>
                    <m:t>1</m:t>
                  </m:r>
                </m:num>
                <m:den>
                  <m:sSup>
                    <m:e>
                      <m:r>
                        <m:t>2</m:t>
                      </m:r>
                    </m:e>
                    <m:sup>
                      <m:r>
                        <m:t>n</m:t>
                      </m:r>
                    </m:sup>
                  </m:sSup>
                </m:den>
              </m:f>
            </m:e>
          </m:nary>
          <m:r>
            <m:rPr>
              <m:sty m:val="p"/>
            </m:rPr>
            <m:t>⋅</m:t>
          </m:r>
          <m:sSup>
            <m:e>
              <m:r>
                <m:t>2</m:t>
              </m:r>
            </m:e>
            <m:sup>
              <m:r>
                <m:t>n</m:t>
              </m:r>
            </m:sup>
          </m:sSup>
          <m:r>
            <m:rPr>
              <m:sty m:val="p"/>
            </m:rPr>
            <m:t>=</m:t>
          </m:r>
          <m:nary>
            <m:naryPr>
              <m:chr m:val="∑"/>
              <m:limLoc m:val="undOvr"/>
              <m:subHide m:val="off"/>
              <m:supHide m:val="off"/>
            </m:naryPr>
            <m:sub>
              <m:r>
                <m:t>n</m:t>
              </m:r>
              <m:r>
                <m:rPr>
                  <m:sty m:val="p"/>
                </m:rPr>
                <m:t>=</m:t>
              </m:r>
              <m:r>
                <m:t>1</m:t>
              </m:r>
            </m:sub>
            <m:sup>
              <m:r>
                <m:rPr>
                  <m:sty m:val="p"/>
                </m:rPr>
                <m:t>∞</m:t>
              </m:r>
            </m:sup>
            <m:e>
              <m:r>
                <m:t>1</m:t>
              </m:r>
            </m:e>
          </m:nary>
          <m:r>
            <m:rPr>
              <m:sty m:val="p"/>
            </m:rPr>
            <m:t>=</m:t>
          </m:r>
          <m:r>
            <m:rPr>
              <m:sty m:val="p"/>
            </m:rPr>
            <m:t>∞</m:t>
          </m:r>
        </m:oMath>
      </m:oMathPara>
    </w:p>
    <w:p>
      <w:pPr>
        <w:pStyle w:val="FirstParagraph"/>
      </w:pPr>
      <w:r>
        <w:t xml:space="preserve">No entanto, nenhuma pessoa racional pagaria uma quantia arbitrariamente alta para participar desse jogo. O valor esperado infinito da equação Eq. (eq:7.2) não se traduz em disposição a pagar infinita. Daniel Bernoulli (1738) propôs que os agentes avaliam os resultados não pelo seu valor monetário, mas pela</w:t>
      </w:r>
      <w:r>
        <w:t xml:space="preserve"> </w:t>
      </w:r>
      <w:r>
        <w:rPr>
          <w:b/>
          <w:bCs/>
        </w:rPr>
        <w:t xml:space="preserve">utilidade</w:t>
      </w:r>
      <w:r>
        <w:t xml:space="preserve"> </w:t>
      </w:r>
      <w:r>
        <w:t xml:space="preserve">que deles extraem — inaugurando a ideia de utilidade esperada. Essa intuição genial — a de que o que importa não é o dinheiro em si, mas a satisfação que ele proporciona — é o ponto de partida para a construção axiomática que veremos a seguir.</w:t>
      </w:r>
    </w:p>
    <w:p>
      <w:pPr>
        <w:pStyle w:val="BodyText"/>
      </w:pPr>
      <w:r>
        <w:t xml:space="preserve">O paradoxo de São Petersburgo continua relevante dois séculos e meio depois de sua formulação. Ele demonstra que o valor esperado, apesar de ser matematicamente bem definido, captura apenas uma dimensão da incerteza: a tendência central. A variância, a assimetria e, sobretudo, a curvatura das preferências do agente — tudo isso é invisível para o critério do valor esperado puro. A solução de Bernoulli, aparentemente simples, abriu caminho para a teoria moderna da decisão: em vez de maximizar o valor esperado monetário, os agentes maximizam o valor esperado de sua</w:t>
      </w:r>
      <w:r>
        <w:t xml:space="preserve"> </w:t>
      </w:r>
      <w:r>
        <w:rPr>
          <w:i/>
          <w:iCs/>
        </w:rPr>
        <w:t xml:space="preserve">utilidade</w:t>
      </w:r>
      <w:r>
        <w:t xml:space="preserve"> </w:t>
      </w:r>
      <w:r>
        <w:t xml:space="preserve">— uma função que transforma dinheiro em satisfação de maneira não linear. Esse salto conceitual, de</w:t>
      </w:r>
      <w:r>
        <w:t xml:space="preserve"> </w:t>
      </w:r>
      <m:oMath>
        <m:r>
          <m:t>E</m:t>
        </m:r>
        <m:r>
          <m:rPr>
            <m:sty m:val="p"/>
          </m:rPr>
          <m:t>[</m:t>
        </m:r>
        <m:r>
          <m:t>L</m:t>
        </m:r>
        <m:r>
          <m:rPr>
            <m:sty m:val="p"/>
          </m:rPr>
          <m:t>]</m:t>
        </m:r>
      </m:oMath>
      <w:r>
        <w:t xml:space="preserve"> </w:t>
      </w:r>
      <w:r>
        <w:t xml:space="preserve">para</w:t>
      </w:r>
      <w:r>
        <w:t xml:space="preserve"> </w:t>
      </w:r>
      <m:oMath>
        <m:r>
          <m:t>E</m:t>
        </m:r>
        <m:r>
          <m:rPr>
            <m:sty m:val="p"/>
          </m:rPr>
          <m:t>[</m:t>
        </m:r>
        <m:r>
          <m:t>u</m:t>
        </m:r>
        <m:r>
          <m:rPr>
            <m:sty m:val="p"/>
          </m:rPr>
          <m:t>(</m:t>
        </m:r>
        <m:r>
          <m:t>L</m:t>
        </m:r>
        <m:r>
          <m:rPr>
            <m:sty m:val="p"/>
          </m:rPr>
          <m:t>)</m:t>
        </m:r>
        <m:r>
          <m:rPr>
            <m:sty m:val="p"/>
          </m:rPr>
          <m:t>]</m:t>
        </m:r>
      </m:oMath>
      <w:r>
        <w:t xml:space="preserve">, é toda a diferença entre o Capítulo 2 e o Capítulo 7.</w:t>
      </w:r>
    </w:p>
    <w:p>
      <w:pPr>
        <w:pStyle w:val="BodyText"/>
      </w:pPr>
      <w:r>
        <w:t xml:space="preserve">É útil notar também que o paradoxo tem implicações práticas para os mercados financeiros brasileiros. Um investidor que avaliasse ativos exclusivamente pelo retorno esperado deveria concentrar toda a sua riqueza no ativo de maior retorno esperado — jamais diversificaria. O fato de que investidores reais diversificam, contratam seguros e aceitam retornos menores em troca de estabilidade é evidência diária de que o critério do valor esperado não governa as decisões humanas. A teoria que desenvolvemos a seguir pretende explicar exatamente esse comportamento.</w:t>
      </w:r>
    </w:p>
    <w:p>
      <w:r>
        <w:pict>
          <v:rect style="width:0;height:1.5pt" o:hralign="center" o:hrstd="t" o:hr="t"/>
        </w:pict>
      </w:r>
    </w:p>
    <w:bookmarkEnd w:id="324"/>
    <w:bookmarkEnd w:id="325"/>
    <w:bookmarkStart w:id="327" w:name="Xfda9dc516face35a5a3b594df0678296228a53e"/>
    <w:p>
      <w:pPr>
        <w:pStyle w:val="Heading3"/>
      </w:pPr>
      <w:r>
        <w:t xml:space="preserve">7.2 O Axioma do Cassino: Utilidade Esperada de Von Neumann–Morgenstern</w:t>
      </w:r>
    </w:p>
    <w:p>
      <w:pPr>
        <w:pStyle w:val="FirstParagraph"/>
      </w:pPr>
      <w:r>
        <w:t xml:space="preserve">O Paradoxo de São Petersburgo destruiu o valor esperado como critério de decisão. Precisamos de algo melhor — algo que capture não só</w:t>
      </w:r>
      <w:r>
        <w:t xml:space="preserve"> </w:t>
      </w:r>
      <w:r>
        <w:t xml:space="preserve">“quanto, em média”</w:t>
      </w:r>
      <w:r>
        <w:t xml:space="preserve"> </w:t>
      </w:r>
      <w:r>
        <w:t xml:space="preserve">mas</w:t>
      </w:r>
      <w:r>
        <w:t xml:space="preserve"> </w:t>
      </w:r>
      <w:r>
        <w:t xml:space="preserve">“quanto</w:t>
      </w:r>
      <w:r>
        <w:t xml:space="preserve"> </w:t>
      </w:r>
      <w:r>
        <w:rPr>
          <w:i/>
          <w:iCs/>
        </w:rPr>
        <w:t xml:space="preserve">vale para mim</w:t>
      </w:r>
      <w:r>
        <w:t xml:space="preserve">”</w:t>
      </w:r>
      <w:r>
        <w:t xml:space="preserve">. A solução veio de um lugar inesperado: um livro de teoria dos jogos. Em 1944, o matemático John von Neumann e o economista Oskar Morgenstern mostraram que, se o agente obedece a quatro regras de coerência (axiomas), suas preferências sobre loterias podem ser representadas por uma função que pondera utilidades — não dinheiro — pelas probabilidades. A ideia é devastadoramente simples: em vez de calcular</w:t>
      </w:r>
      <w:r>
        <w:t xml:space="preserve"> </w:t>
      </w:r>
      <m:oMath>
        <m:r>
          <m:t>E</m:t>
        </m:r>
        <m:r>
          <m:rPr>
            <m:sty m:val="p"/>
          </m:rPr>
          <m:t>[</m:t>
        </m:r>
        <m:r>
          <m:rPr>
            <m:nor/>
            <m:sty m:val="p"/>
          </m:rPr>
          <m:t>dinheiro</m:t>
        </m:r>
        <m:r>
          <m:rPr>
            <m:sty m:val="p"/>
          </m:rPr>
          <m:t>]</m:t>
        </m:r>
      </m:oMath>
      <w:r>
        <w:t xml:space="preserve">, calcule</w:t>
      </w:r>
      <w:r>
        <w:t xml:space="preserve"> </w:t>
      </w:r>
      <m:oMath>
        <m:r>
          <m:t>E</m:t>
        </m:r>
        <m:r>
          <m:rPr>
            <m:sty m:val="p"/>
          </m:rPr>
          <m:t>[</m:t>
        </m:r>
        <m:r>
          <m:rPr>
            <m:nor/>
            <m:sty m:val="p"/>
          </m:rPr>
          <m:t>felicidade</m:t>
        </m:r>
        <m:r>
          <m:rPr>
            <m:sty m:val="p"/>
          </m:rPr>
          <m:t>]</m:t>
        </m:r>
      </m:oMath>
      <w:r>
        <w:t xml:space="preserve">. Essa mudança de uma letra — de</w:t>
      </w:r>
      <w:r>
        <w:t xml:space="preserve"> </w:t>
      </w:r>
      <m:oMath>
        <m:r>
          <m:t>x</m:t>
        </m:r>
      </m:oMath>
      <w:r>
        <w:t xml:space="preserve"> </w:t>
      </w:r>
      <w:r>
        <w:t xml:space="preserve">para</w:t>
      </w:r>
      <w:r>
        <w:t xml:space="preserve"> </w:t>
      </w:r>
      <m:oMath>
        <m:r>
          <m:t>u</m:t>
        </m:r>
        <m:r>
          <m:rPr>
            <m:sty m:val="p"/>
          </m:rPr>
          <m:t>(</m:t>
        </m:r>
        <m:r>
          <m:t>x</m:t>
        </m:r>
        <m:r>
          <m:rPr>
            <m:sty m:val="p"/>
          </m:rPr>
          <m:t>)</m:t>
        </m:r>
      </m:oMath>
      <w:r>
        <w:t xml:space="preserve"> </w:t>
      </w:r>
      <w:r>
        <w:t xml:space="preserve">— é toda a diferença.</w:t>
      </w:r>
    </w:p>
    <w:p>
      <w:pPr>
        <w:pStyle w:val="BodyText"/>
      </w:pPr>
      <w:r>
        <w:t xml:space="preserve">Quais são essas quatro regras de coerência? São exigências surpreendentemente modestas — tão razoáveis que, ao lê-las, você pensará</w:t>
      </w:r>
      <w:r>
        <w:t xml:space="preserve"> </w:t>
      </w:r>
      <w:r>
        <w:t xml:space="preserve">‘óbvio’</w:t>
      </w:r>
      <w:r>
        <w:t xml:space="preserve">. Mas cada uma tem um papel preciso, e abandonar qualquer uma delas faz a teoria desmoronar.</w:t>
      </w:r>
    </w:p>
    <w:p>
      <w:pPr>
        <w:pStyle w:val="BlockText"/>
      </w:pPr>
      <w:r>
        <w:rPr>
          <w:b/>
          <w:bCs/>
        </w:rPr>
        <w:t xml:space="preserve">[DEFINICAO] Axiomas de Von Neumann–Morgenstern</w:t>
      </w:r>
    </w:p>
    <w:p>
      <w:pPr>
        <w:pStyle w:val="BlockText"/>
      </w:pPr>
      <w:r>
        <w:t xml:space="preserve">Sejam</w:t>
      </w:r>
      <w:r>
        <w:t xml:space="preserve"> </w:t>
      </w:r>
      <m:oMath>
        <m:sSub>
          <m:e>
            <m:r>
              <m:t>L</m:t>
            </m:r>
          </m:e>
          <m:sub>
            <m:r>
              <m:t>1</m:t>
            </m:r>
          </m:sub>
        </m:sSub>
        <m:r>
          <m:rPr>
            <m:sty m:val="p"/>
          </m:rPr>
          <m:t>,</m:t>
        </m:r>
        <m:sSub>
          <m:e>
            <m:r>
              <m:t>L</m:t>
            </m:r>
          </m:e>
          <m:sub>
            <m:r>
              <m:t>2</m:t>
            </m:r>
          </m:sub>
        </m:sSub>
        <m:r>
          <m:rPr>
            <m:sty m:val="p"/>
          </m:rPr>
          <m:t>,</m:t>
        </m:r>
        <m:sSub>
          <m:e>
            <m:r>
              <m:t>L</m:t>
            </m:r>
          </m:e>
          <m:sub>
            <m:r>
              <m:t>3</m:t>
            </m:r>
          </m:sub>
        </m:sSub>
      </m:oMath>
      <w:r>
        <w:t xml:space="preserve"> </w:t>
      </w:r>
      <w:r>
        <w:t xml:space="preserve">loterias no conjunto</w:t>
      </w:r>
      <w:r>
        <w:t xml:space="preserve"> </w:t>
      </w:r>
      <m:oMath>
        <m:r>
          <m:rPr>
            <m:scr m:val="script"/>
            <m:sty m:val="p"/>
          </m:rPr>
          <m:t>L</m:t>
        </m:r>
      </m:oMath>
      <w:r>
        <w:t xml:space="preserve">. As preferências</w:t>
      </w:r>
      <w:r>
        <w:t xml:space="preserve"> </w:t>
      </w:r>
      <m:oMath>
        <m:r>
          <m:rPr>
            <m:sty m:val="p"/>
          </m:rPr>
          <m:t>≿</m:t>
        </m:r>
      </m:oMath>
      <w:r>
        <w:t xml:space="preserve"> </w:t>
      </w:r>
      <w:r>
        <w:t xml:space="preserve">satisfazem os axiomas VNM se:</w:t>
      </w:r>
    </w:p>
    <w:p>
      <w:pPr>
        <w:pStyle w:val="BlockText"/>
        <w:numPr>
          <w:ilvl w:val="0"/>
          <w:numId w:val="1324"/>
        </w:numPr>
      </w:pPr>
      <w:r>
        <w:rPr>
          <w:b/>
          <w:bCs/>
        </w:rPr>
        <w:t xml:space="preserve">Completude</w:t>
      </w:r>
      <w:r>
        <w:t xml:space="preserve">: Para quaisquer</w:t>
      </w:r>
      <w:r>
        <w:t xml:space="preserve"> </w:t>
      </w:r>
      <m:oMath>
        <m:sSub>
          <m:e>
            <m:r>
              <m:t>L</m:t>
            </m:r>
          </m:e>
          <m:sub>
            <m:r>
              <m:t>1</m:t>
            </m:r>
          </m:sub>
        </m:sSub>
        <m:r>
          <m:rPr>
            <m:sty m:val="p"/>
          </m:rPr>
          <m:t>,</m:t>
        </m:r>
        <m:sSub>
          <m:e>
            <m:r>
              <m:t>L</m:t>
            </m:r>
          </m:e>
          <m:sub>
            <m:r>
              <m:t>2</m:t>
            </m:r>
          </m:sub>
        </m:sSub>
        <m:r>
          <m:rPr>
            <m:sty m:val="p"/>
          </m:rPr>
          <m:t>∈</m:t>
        </m:r>
        <m:r>
          <m:rPr>
            <m:scr m:val="script"/>
            <m:sty m:val="p"/>
          </m:rPr>
          <m:t>L</m:t>
        </m:r>
      </m:oMath>
      <w:r>
        <w:t xml:space="preserve">, vale</w:t>
      </w:r>
      <w:r>
        <w:t xml:space="preserve"> </w:t>
      </w:r>
      <m:oMath>
        <m:sSub>
          <m:e>
            <m:r>
              <m:t>L</m:t>
            </m:r>
          </m:e>
          <m:sub>
            <m:r>
              <m:t>1</m:t>
            </m:r>
          </m:sub>
        </m:sSub>
        <m:r>
          <m:rPr>
            <m:sty m:val="p"/>
          </m:rPr>
          <m:t>≿</m:t>
        </m:r>
        <m:sSub>
          <m:e>
            <m:r>
              <m:t>L</m:t>
            </m:r>
          </m:e>
          <m:sub>
            <m:r>
              <m:t>2</m:t>
            </m:r>
          </m:sub>
        </m:sSub>
      </m:oMath>
      <w:r>
        <w:t xml:space="preserve"> </w:t>
      </w:r>
      <w:r>
        <w:t xml:space="preserve">ou</w:t>
      </w:r>
      <w:r>
        <w:t xml:space="preserve"> </w:t>
      </w:r>
      <m:oMath>
        <m:sSub>
          <m:e>
            <m:r>
              <m:t>L</m:t>
            </m:r>
          </m:e>
          <m:sub>
            <m:r>
              <m:t>2</m:t>
            </m:r>
          </m:sub>
        </m:sSub>
        <m:r>
          <m:rPr>
            <m:sty m:val="p"/>
          </m:rPr>
          <m:t>≿</m:t>
        </m:r>
        <m:sSub>
          <m:e>
            <m:r>
              <m:t>L</m:t>
            </m:r>
          </m:e>
          <m:sub>
            <m:r>
              <m:t>1</m:t>
            </m:r>
          </m:sub>
        </m:sSub>
      </m:oMath>
      <w:r>
        <w:t xml:space="preserve"> </w:t>
      </w:r>
      <w:r>
        <w:t xml:space="preserve">(ou ambos).</w:t>
      </w:r>
    </w:p>
    <w:p>
      <w:pPr>
        <w:pStyle w:val="BlockText"/>
        <w:numPr>
          <w:ilvl w:val="0"/>
          <w:numId w:val="1324"/>
        </w:numPr>
      </w:pPr>
      <w:r>
        <w:rPr>
          <w:b/>
          <w:bCs/>
        </w:rPr>
        <w:t xml:space="preserve">Transitividade</w:t>
      </w:r>
      <w:r>
        <w:t xml:space="preserve">: Se</w:t>
      </w:r>
      <w:r>
        <w:t xml:space="preserve"> </w:t>
      </w:r>
      <m:oMath>
        <m:sSub>
          <m:e>
            <m:r>
              <m:t>L</m:t>
            </m:r>
          </m:e>
          <m:sub>
            <m:r>
              <m:t>1</m:t>
            </m:r>
          </m:sub>
        </m:sSub>
        <m:r>
          <m:rPr>
            <m:sty m:val="p"/>
          </m:rPr>
          <m:t>≿</m:t>
        </m:r>
        <m:sSub>
          <m:e>
            <m:r>
              <m:t>L</m:t>
            </m:r>
          </m:e>
          <m:sub>
            <m:r>
              <m:t>2</m:t>
            </m:r>
          </m:sub>
        </m:sSub>
      </m:oMath>
      <w:r>
        <w:t xml:space="preserve"> </w:t>
      </w:r>
      <w:r>
        <w:t xml:space="preserve">e</w:t>
      </w:r>
      <w:r>
        <w:t xml:space="preserve"> </w:t>
      </w:r>
      <m:oMath>
        <m:sSub>
          <m:e>
            <m:r>
              <m:t>L</m:t>
            </m:r>
          </m:e>
          <m:sub>
            <m:r>
              <m:t>2</m:t>
            </m:r>
          </m:sub>
        </m:sSub>
        <m:r>
          <m:rPr>
            <m:sty m:val="p"/>
          </m:rPr>
          <m:t>≿</m:t>
        </m:r>
        <m:sSub>
          <m:e>
            <m:r>
              <m:t>L</m:t>
            </m:r>
          </m:e>
          <m:sub>
            <m:r>
              <m:t>3</m:t>
            </m:r>
          </m:sub>
        </m:sSub>
      </m:oMath>
      <w:r>
        <w:t xml:space="preserve">, então</w:t>
      </w:r>
      <w:r>
        <w:t xml:space="preserve"> </w:t>
      </w:r>
      <m:oMath>
        <m:sSub>
          <m:e>
            <m:r>
              <m:t>L</m:t>
            </m:r>
          </m:e>
          <m:sub>
            <m:r>
              <m:t>1</m:t>
            </m:r>
          </m:sub>
        </m:sSub>
        <m:r>
          <m:rPr>
            <m:sty m:val="p"/>
          </m:rPr>
          <m:t>≿</m:t>
        </m:r>
        <m:sSub>
          <m:e>
            <m:r>
              <m:t>L</m:t>
            </m:r>
          </m:e>
          <m:sub>
            <m:r>
              <m:t>3</m:t>
            </m:r>
          </m:sub>
        </m:sSub>
      </m:oMath>
      <w:r>
        <w:t xml:space="preserve">.</w:t>
      </w:r>
    </w:p>
    <w:p>
      <w:pPr>
        <w:pStyle w:val="BlockText"/>
        <w:numPr>
          <w:ilvl w:val="0"/>
          <w:numId w:val="1324"/>
        </w:numPr>
      </w:pPr>
      <w:r>
        <w:rPr>
          <w:b/>
          <w:bCs/>
        </w:rPr>
        <w:t xml:space="preserve">Continuidade (Arquimediana)</w:t>
      </w:r>
      <w:r>
        <w:t xml:space="preserve">: Se</w:t>
      </w:r>
      <w:r>
        <w:t xml:space="preserve"> </w:t>
      </w:r>
      <m:oMath>
        <m:sSub>
          <m:e>
            <m:r>
              <m:t>L</m:t>
            </m:r>
          </m:e>
          <m:sub>
            <m:r>
              <m:t>1</m:t>
            </m:r>
          </m:sub>
        </m:sSub>
        <m:r>
          <m:rPr>
            <m:sty m:val="p"/>
          </m:rPr>
          <m:t>≻</m:t>
        </m:r>
        <m:sSub>
          <m:e>
            <m:r>
              <m:t>L</m:t>
            </m:r>
          </m:e>
          <m:sub>
            <m:r>
              <m:t>2</m:t>
            </m:r>
          </m:sub>
        </m:sSub>
        <m:r>
          <m:rPr>
            <m:sty m:val="p"/>
          </m:rPr>
          <m:t>≻</m:t>
        </m:r>
        <m:sSub>
          <m:e>
            <m:r>
              <m:t>L</m:t>
            </m:r>
          </m:e>
          <m:sub>
            <m:r>
              <m:t>3</m:t>
            </m:r>
          </m:sub>
        </m:sSub>
      </m:oMath>
      <w:r>
        <w:t xml:space="preserve">, então existe</w:t>
      </w:r>
      <w:r>
        <w:t xml:space="preserve"> </w:t>
      </w:r>
      <m:oMath>
        <m:r>
          <m:t>α</m:t>
        </m:r>
        <m:r>
          <m:rPr>
            <m:sty m:val="p"/>
          </m:rPr>
          <m:t>∈</m:t>
        </m:r>
        <m:r>
          <m:rPr>
            <m:sty m:val="p"/>
          </m:rPr>
          <m:t>(</m:t>
        </m:r>
        <m:r>
          <m:t>0</m:t>
        </m:r>
        <m:r>
          <m:rPr>
            <m:sty m:val="p"/>
          </m:rPr>
          <m:t>,</m:t>
        </m:r>
        <m:r>
          <m:t>1</m:t>
        </m:r>
        <m:r>
          <m:rPr>
            <m:sty m:val="p"/>
          </m:rPr>
          <m:t>)</m:t>
        </m:r>
      </m:oMath>
      <w:r>
        <w:t xml:space="preserve"> </w:t>
      </w:r>
      <w:r>
        <w:t xml:space="preserve">tal que</w:t>
      </w:r>
      <w:r>
        <w:t xml:space="preserve"> </w:t>
      </w:r>
      <m:oMath>
        <m:sSub>
          <m:e>
            <m:r>
              <m:t>L</m:t>
            </m:r>
          </m:e>
          <m:sub>
            <m:r>
              <m:t>2</m:t>
            </m:r>
          </m:sub>
        </m:sSub>
        <m:r>
          <m:rPr>
            <m:sty m:val="p"/>
          </m:rPr>
          <m:t>∼</m:t>
        </m:r>
        <m:r>
          <m:t>α</m:t>
        </m:r>
        <m:sSub>
          <m:e>
            <m:r>
              <m:t>L</m:t>
            </m:r>
          </m:e>
          <m:sub>
            <m:r>
              <m:t>1</m:t>
            </m:r>
          </m:sub>
        </m:sSub>
        <m:r>
          <m:rPr>
            <m:sty m:val="p"/>
          </m:rPr>
          <m:t>+</m:t>
        </m:r>
        <m:r>
          <m:rPr>
            <m:sty m:val="p"/>
          </m:rPr>
          <m:t>(</m:t>
        </m:r>
        <m:r>
          <m:t>1</m:t>
        </m:r>
        <m:r>
          <m:rPr>
            <m:sty m:val="p"/>
          </m:rPr>
          <m:t>−</m:t>
        </m:r>
        <m:r>
          <m:t>α</m:t>
        </m:r>
        <m:r>
          <m:rPr>
            <m:sty m:val="p"/>
          </m:rPr>
          <m:t>)</m:t>
        </m:r>
        <m:sSub>
          <m:e>
            <m:r>
              <m:t>L</m:t>
            </m:r>
          </m:e>
          <m:sub>
            <m:r>
              <m:t>3</m:t>
            </m:r>
          </m:sub>
        </m:sSub>
      </m:oMath>
      <w:r>
        <w:t xml:space="preserve">.</w:t>
      </w:r>
    </w:p>
    <w:p>
      <w:pPr>
        <w:pStyle w:val="BlockText"/>
        <w:numPr>
          <w:ilvl w:val="0"/>
          <w:numId w:val="1324"/>
        </w:numPr>
      </w:pPr>
      <w:r>
        <w:rPr>
          <w:b/>
          <w:bCs/>
        </w:rPr>
        <w:t xml:space="preserve">Independência</w:t>
      </w:r>
      <w:r>
        <w:t xml:space="preserve">: Se</w:t>
      </w:r>
      <w:r>
        <w:t xml:space="preserve"> </w:t>
      </w:r>
      <m:oMath>
        <m:sSub>
          <m:e>
            <m:r>
              <m:t>L</m:t>
            </m:r>
          </m:e>
          <m:sub>
            <m:r>
              <m:t>1</m:t>
            </m:r>
          </m:sub>
        </m:sSub>
        <m:r>
          <m:rPr>
            <m:sty m:val="p"/>
          </m:rPr>
          <m:t>≿</m:t>
        </m:r>
        <m:sSub>
          <m:e>
            <m:r>
              <m:t>L</m:t>
            </m:r>
          </m:e>
          <m:sub>
            <m:r>
              <m:t>2</m:t>
            </m:r>
          </m:sub>
        </m:sSub>
      </m:oMath>
      <w:r>
        <w:t xml:space="preserve">, então para todo</w:t>
      </w:r>
      <w:r>
        <w:t xml:space="preserve"> </w:t>
      </w:r>
      <m:oMath>
        <m:sSub>
          <m:e>
            <m:r>
              <m:t>L</m:t>
            </m:r>
          </m:e>
          <m:sub>
            <m:r>
              <m:t>3</m:t>
            </m:r>
          </m:sub>
        </m:sSub>
      </m:oMath>
      <w:r>
        <w:t xml:space="preserve"> </w:t>
      </w:r>
      <w:r>
        <w:t xml:space="preserve">e todo</w:t>
      </w:r>
      <w:r>
        <w:t xml:space="preserve"> </w:t>
      </w:r>
      <m:oMath>
        <m:r>
          <m:t>α</m:t>
        </m:r>
        <m:r>
          <m:rPr>
            <m:sty m:val="p"/>
          </m:rPr>
          <m:t>∈</m:t>
        </m:r>
        <m:r>
          <m:rPr>
            <m:sty m:val="p"/>
          </m:rPr>
          <m:t>(</m:t>
        </m:r>
        <m:r>
          <m:t>0</m:t>
        </m:r>
        <m:r>
          <m:rPr>
            <m:sty m:val="p"/>
          </m:rPr>
          <m:t>,</m:t>
        </m:r>
        <m:r>
          <m:t>1</m:t>
        </m:r>
        <m:r>
          <m:rPr>
            <m:sty m:val="p"/>
          </m:rPr>
          <m:t>)</m:t>
        </m:r>
      </m:oMath>
      <w:r>
        <w:t xml:space="preserve">:</w:t>
      </w:r>
      <w:r>
        <w:t xml:space="preserve"> </w:t>
      </w:r>
      <m:oMath>
        <m:r>
          <m:t>α</m:t>
        </m:r>
        <m:sSub>
          <m:e>
            <m:r>
              <m:t>L</m:t>
            </m:r>
          </m:e>
          <m:sub>
            <m:r>
              <m:t>1</m:t>
            </m:r>
          </m:sub>
        </m:sSub>
        <m:r>
          <m:rPr>
            <m:sty m:val="p"/>
          </m:rPr>
          <m:t>+</m:t>
        </m:r>
        <m:r>
          <m:rPr>
            <m:sty m:val="p"/>
          </m:rPr>
          <m:t>(</m:t>
        </m:r>
        <m:r>
          <m:t>1</m:t>
        </m:r>
        <m:r>
          <m:rPr>
            <m:sty m:val="p"/>
          </m:rPr>
          <m:t>−</m:t>
        </m:r>
        <m:r>
          <m:t>α</m:t>
        </m:r>
        <m:r>
          <m:rPr>
            <m:sty m:val="p"/>
          </m:rPr>
          <m:t>)</m:t>
        </m:r>
        <m:sSub>
          <m:e>
            <m:r>
              <m:t>L</m:t>
            </m:r>
          </m:e>
          <m:sub>
            <m:r>
              <m:t>3</m:t>
            </m:r>
          </m:sub>
        </m:sSub>
        <m:r>
          <m:rPr>
            <m:sty m:val="p"/>
          </m:rPr>
          <m:t>≿</m:t>
        </m:r>
        <m:r>
          <m:t>α</m:t>
        </m:r>
        <m:sSub>
          <m:e>
            <m:r>
              <m:t>L</m:t>
            </m:r>
          </m:e>
          <m:sub>
            <m:r>
              <m:t>2</m:t>
            </m:r>
          </m:sub>
        </m:sSub>
        <m:r>
          <m:rPr>
            <m:sty m:val="p"/>
          </m:rPr>
          <m:t>+</m:t>
        </m:r>
        <m:r>
          <m:rPr>
            <m:sty m:val="p"/>
          </m:rPr>
          <m:t>(</m:t>
        </m:r>
        <m:r>
          <m:t>1</m:t>
        </m:r>
        <m:r>
          <m:rPr>
            <m:sty m:val="p"/>
          </m:rPr>
          <m:t>−</m:t>
        </m:r>
        <m:r>
          <m:t>α</m:t>
        </m:r>
        <m:r>
          <m:rPr>
            <m:sty m:val="p"/>
          </m:rPr>
          <m:t>)</m:t>
        </m:r>
        <m:sSub>
          <m:e>
            <m:r>
              <m:t>L</m:t>
            </m:r>
          </m:e>
          <m:sub>
            <m:r>
              <m:t>3</m:t>
            </m:r>
          </m:sub>
        </m:sSub>
      </m:oMath>
      <w:r>
        <w:t xml:space="preserve">.</w:t>
      </w:r>
    </w:p>
    <w:p>
      <w:pPr>
        <w:pStyle w:val="BlockText"/>
      </w:pPr>
      <w:r>
        <w:rPr>
          <w:b/>
          <w:bCs/>
        </w:rPr>
        <w:t xml:space="preserve">[TEOREMA] Teorema da Utilidade Esperada</w:t>
      </w:r>
    </w:p>
    <w:p>
      <w:pPr>
        <w:pStyle w:val="BlockText"/>
      </w:pPr>
      <w:r>
        <w:t xml:space="preserve">Se as preferências</w:t>
      </w:r>
      <w:r>
        <w:t xml:space="preserve"> </w:t>
      </w:r>
      <m:oMath>
        <m:r>
          <m:rPr>
            <m:sty m:val="p"/>
          </m:rPr>
          <m:t>≿</m:t>
        </m:r>
      </m:oMath>
      <w:r>
        <w:t xml:space="preserve"> </w:t>
      </w:r>
      <w:r>
        <w:t xml:space="preserve">sobre o espaço de loterias</w:t>
      </w:r>
      <w:r>
        <w:t xml:space="preserve"> </w:t>
      </w:r>
      <m:oMath>
        <m:r>
          <m:rPr>
            <m:scr m:val="script"/>
            <m:sty m:val="p"/>
          </m:rPr>
          <m:t>L</m:t>
        </m:r>
      </m:oMath>
      <w:r>
        <w:t xml:space="preserve"> </w:t>
      </w:r>
      <w:r>
        <w:t xml:space="preserve">satisfazem os axiomas de completude, transitividade, continuidade e independência, então existe uma função</w:t>
      </w:r>
      <w:r>
        <w:t xml:space="preserve"> </w:t>
      </w:r>
      <m:oMath>
        <m:r>
          <m:t>u</m:t>
        </m:r>
        <m:r>
          <m:rPr>
            <m:sty m:val="p"/>
          </m:rPr>
          <m:t>:</m:t>
        </m:r>
        <m:r>
          <m:rPr>
            <m:scr m:val="double-struck"/>
            <m:sty m:val="p"/>
          </m:rPr>
          <m:t>R</m:t>
        </m:r>
        <m:r>
          <m:rPr>
            <m:sty m:val="p"/>
          </m:rPr>
          <m:t>→</m:t>
        </m:r>
        <m:r>
          <m:rPr>
            <m:scr m:val="double-struck"/>
            <m:sty m:val="p"/>
          </m:rPr>
          <m:t>R</m:t>
        </m:r>
      </m:oMath>
      <w:r>
        <w:t xml:space="preserve"> </w:t>
      </w:r>
      <w:r>
        <w:t xml:space="preserve">tal que, para quaisquer loterias</w:t>
      </w:r>
      <w:r>
        <w:t xml:space="preserve"> </w:t>
      </w:r>
      <m:oMath>
        <m:sSub>
          <m:e>
            <m:r>
              <m:t>L</m:t>
            </m:r>
          </m:e>
          <m:sub>
            <m:r>
              <m:t>1</m:t>
            </m:r>
          </m:sub>
        </m:sSub>
      </m:oMath>
      <w:r>
        <w:t xml:space="preserve"> </w:t>
      </w:r>
      <w:r>
        <w:t xml:space="preserve">e</w:t>
      </w:r>
      <w:r>
        <w:t xml:space="preserve"> </w:t>
      </w:r>
      <m:oMath>
        <m:sSub>
          <m:e>
            <m:r>
              <m:t>L</m:t>
            </m:r>
          </m:e>
          <m:sub>
            <m:r>
              <m:t>2</m:t>
            </m:r>
          </m:sub>
        </m:sSub>
      </m:oMath>
      <w:r>
        <w:t xml:space="preserve">:</w:t>
      </w:r>
    </w:p>
    <w:p>
      <w:pPr>
        <w:pStyle w:val="BlockText"/>
      </w:pPr>
      <w:r>
        <w:t xml:space="preserve">$$</w:t>
      </w:r>
    </w:p>
    <w:p>
      <w:pPr>
        <w:pStyle w:val="BlockText"/>
      </w:pPr>
      <w:r>
        <w:t xml:space="preserve">L_1</w:t>
      </w:r>
      <w:r>
        <w:t xml:space="preserve"> </w:t>
      </w:r>
      <w:r>
        <w:t xml:space="preserve">L_2</w:t>
      </w:r>
      <w:r>
        <w:t xml:space="preserve"> </w:t>
      </w:r>
      <w:r>
        <w:t xml:space="preserve">E[u(L_1)]</w:t>
      </w:r>
      <w:r>
        <w:t xml:space="preserve"> </w:t>
      </w:r>
      <w:r>
        <w:t xml:space="preserve">E[u(L_2)]</w:t>
      </w:r>
      <w:r>
        <w:t xml:space="preserve"> </w:t>
      </w:r>
      <w:r>
        <w:t xml:space="preserve"> </w:t>
      </w:r>
    </w:p>
    <w:p>
      <w:pPr>
        <w:pStyle w:val="BlockText"/>
      </w:pPr>
      <w:r>
        <w:t xml:space="preserve">$$</w:t>
      </w:r>
    </w:p>
    <w:p>
      <w:pPr>
        <w:pStyle w:val="BlockText"/>
      </w:pPr>
      <w:r>
        <w:t xml:space="preserve">onde</w:t>
      </w:r>
      <w:r>
        <w:t xml:space="preserve"> </w:t>
      </w:r>
      <m:oMath>
        <m:r>
          <m:t>E</m:t>
        </m:r>
        <m:r>
          <m:rPr>
            <m:sty m:val="p"/>
          </m:rPr>
          <m:t>[</m:t>
        </m:r>
        <m:r>
          <m:t>u</m:t>
        </m:r>
        <m:r>
          <m:rPr>
            <m:sty m:val="p"/>
          </m:rPr>
          <m:t>(</m:t>
        </m:r>
        <m:r>
          <m:t>L</m:t>
        </m:r>
        <m:r>
          <m:rPr>
            <m:sty m:val="p"/>
          </m:rPr>
          <m:t>)</m:t>
        </m:r>
        <m:r>
          <m:rPr>
            <m:sty m:val="p"/>
          </m:rPr>
          <m:t>]</m:t>
        </m:r>
        <m:r>
          <m:rPr>
            <m:sty m:val="p"/>
          </m:rPr>
          <m:t>=</m:t>
        </m:r>
        <m:nary>
          <m:naryPr>
            <m:chr m:val="∑"/>
            <m:limLoc m:val="undOvr"/>
            <m:subHide m:val="off"/>
            <m:supHide m:val="off"/>
          </m:naryPr>
          <m:sub>
            <m:r>
              <m:t>i</m:t>
            </m:r>
            <m:r>
              <m:rPr>
                <m:sty m:val="p"/>
              </m:rPr>
              <m:t>=</m:t>
            </m:r>
            <m:r>
              <m:t>1</m:t>
            </m:r>
          </m:sub>
          <m:sup>
            <m:r>
              <m:t>n</m:t>
            </m:r>
          </m:sup>
          <m:e>
            <m:sSub>
              <m:e>
                <m:r>
                  <m:t>p</m:t>
                </m:r>
              </m:e>
              <m:sub>
                <m:r>
                  <m:t>i</m:t>
                </m:r>
              </m:sub>
            </m:sSub>
          </m:e>
        </m:nary>
        <m:r>
          <m:t> </m:t>
        </m:r>
        <m:r>
          <m:t>u</m:t>
        </m:r>
        <m:r>
          <m:rPr>
            <m:sty m:val="p"/>
          </m:rPr>
          <m:t>(</m:t>
        </m:r>
        <m:sSub>
          <m:e>
            <m:r>
              <m:t>x</m:t>
            </m:r>
          </m:e>
          <m:sub>
            <m:r>
              <m:t>i</m:t>
            </m:r>
          </m:sub>
        </m:sSub>
        <m:r>
          <m:rPr>
            <m:sty m:val="p"/>
          </m:rPr>
          <m:t>)</m:t>
        </m:r>
      </m:oMath>
      <w:r>
        <w:t xml:space="preserve">.</w:t>
      </w:r>
    </w:p>
    <w:p>
      <w:pPr>
        <w:pStyle w:val="BlockText"/>
      </w:pPr>
      <w:r>
        <w:t xml:space="preserve">Além disso,</w:t>
      </w:r>
      <w:r>
        <w:t xml:space="preserve"> </w:t>
      </w:r>
      <m:oMath>
        <m:r>
          <m:t>u</m:t>
        </m:r>
      </m:oMath>
      <w:r>
        <w:t xml:space="preserve"> </w:t>
      </w:r>
      <w:r>
        <w:t xml:space="preserve">é única a menos de transformações afins positivas: se</w:t>
      </w:r>
      <w:r>
        <w:t xml:space="preserve"> </w:t>
      </w:r>
      <m:oMath>
        <m:r>
          <m:t>v</m:t>
        </m:r>
        <m:r>
          <m:rPr>
            <m:sty m:val="p"/>
          </m:rPr>
          <m:t>(</m:t>
        </m:r>
        <m:r>
          <m:t>x</m:t>
        </m:r>
        <m:r>
          <m:rPr>
            <m:sty m:val="p"/>
          </m:rPr>
          <m:t>)</m:t>
        </m:r>
        <m:r>
          <m:rPr>
            <m:sty m:val="p"/>
          </m:rPr>
          <m:t>=</m:t>
        </m:r>
        <m:r>
          <m:t>a</m:t>
        </m:r>
        <m:r>
          <m:rPr>
            <m:sty m:val="p"/>
          </m:rPr>
          <m:t>⋅</m:t>
        </m:r>
        <m:r>
          <m:t>u</m:t>
        </m:r>
        <m:r>
          <m:rPr>
            <m:sty m:val="p"/>
          </m:rPr>
          <m:t>(</m:t>
        </m:r>
        <m:r>
          <m:t>x</m:t>
        </m:r>
        <m:r>
          <m:rPr>
            <m:sty m:val="p"/>
          </m:rPr>
          <m:t>)</m:t>
        </m:r>
        <m:r>
          <m:rPr>
            <m:sty m:val="p"/>
          </m:rPr>
          <m:t>+</m:t>
        </m:r>
        <m:r>
          <m:t>b</m:t>
        </m:r>
      </m:oMath>
      <w:r>
        <w:t xml:space="preserve">, com</w:t>
      </w:r>
      <w:r>
        <w:t xml:space="preserve"> </w:t>
      </w:r>
      <m:oMath>
        <m:r>
          <m:t>a</m:t>
        </m:r>
        <m:r>
          <m:rPr>
            <m:sty m:val="p"/>
          </m:rPr>
          <m:t>&gt;</m:t>
        </m:r>
        <m:r>
          <m:t>0</m:t>
        </m:r>
      </m:oMath>
      <w:r>
        <w:t xml:space="preserve">, então</w:t>
      </w:r>
      <w:r>
        <w:t xml:space="preserve"> </w:t>
      </w:r>
      <m:oMath>
        <m:r>
          <m:t>v</m:t>
        </m:r>
      </m:oMath>
      <w:r>
        <w:t xml:space="preserve"> </w:t>
      </w:r>
      <w:r>
        <w:t xml:space="preserve">representa as mesmas preferências.</w:t>
      </w:r>
    </w:p>
    <w:p>
      <w:pPr>
        <w:pStyle w:val="FirstParagraph"/>
      </w:pPr>
      <w:r>
        <w:t xml:space="preserve">O axioma mais controverso é o de</w:t>
      </w:r>
      <w:r>
        <w:t xml:space="preserve"> </w:t>
      </w:r>
      <w:r>
        <w:rPr>
          <w:b/>
          <w:bCs/>
        </w:rPr>
        <w:t xml:space="preserve">independência</w:t>
      </w:r>
      <w:r>
        <w:t xml:space="preserve">.</w:t>
      </w:r>
      <w:r>
        <w:rPr>
          <w:rStyle w:val="FootnoteReference"/>
        </w:rPr>
        <w:footnoteReference w:id="326"/>
      </w:r>
      <w:r>
        <w:t xml:space="preserve"> </w:t>
      </w:r>
      <w:r>
        <w:t xml:space="preserve">Ele afirma, em essência, que se você prefere a loteria A à loteria B, então misturar ambas com uma mesma terceira loteria não deveria alterar essa preferência — a</w:t>
      </w:r>
      <w:r>
        <w:t xml:space="preserve"> </w:t>
      </w:r>
      <w:r>
        <w:t xml:space="preserve">“adição”</w:t>
      </w:r>
      <w:r>
        <w:t xml:space="preserve"> </w:t>
      </w:r>
      <w:r>
        <w:t xml:space="preserve">de uma alternativa irrelevante não contamina a comparação original. O</w:t>
      </w:r>
      <w:r>
        <w:t xml:space="preserve"> </w:t>
      </w:r>
      <w:r>
        <w:rPr>
          <w:b/>
          <w:bCs/>
        </w:rPr>
        <w:t xml:space="preserve">Paradoxo de Allais</w:t>
      </w:r>
      <w:r>
        <w:t xml:space="preserve"> </w:t>
      </w:r>
      <w:r>
        <w:t xml:space="preserve">(1953) demonstra que, em certas situações, agentes reais violam sistematicamente esse axioma, o que motivou o desenvolvimento de teorias alternativas como a</w:t>
      </w:r>
      <w:r>
        <w:t xml:space="preserve"> </w:t>
      </w:r>
      <w:r>
        <w:rPr>
          <w:b/>
          <w:bCs/>
        </w:rPr>
        <w:t xml:space="preserve">teoria dos prospectos</w:t>
      </w:r>
      <w:r>
        <w:t xml:space="preserve"> </w:t>
      </w:r>
      <w:r>
        <w:t xml:space="preserve">de Kahneman e Tversky (1979), que estudaremos no Capítulo 8.</w:t>
      </w:r>
    </w:p>
    <w:p>
      <w:pPr>
        <w:pStyle w:val="BodyText"/>
      </w:pPr>
      <w:r>
        <w:t xml:space="preserve">O paradoxo de Allais pode ser apresentado de forma direta. Considere duas situações de escolha:</w:t>
      </w:r>
    </w:p>
    <w:p>
      <w:pPr>
        <w:pStyle w:val="Compact"/>
        <w:numPr>
          <w:ilvl w:val="0"/>
          <w:numId w:val="1325"/>
        </w:numPr>
      </w:pPr>
      <w:r>
        <w:rPr>
          <w:b/>
          <w:bCs/>
        </w:rPr>
        <w:t xml:space="preserve">Situação I</w:t>
      </w:r>
      <w:r>
        <w:t xml:space="preserve">: Escolha entre A (R$ 1 milhão com certeza) e B (10% de chance de R$ 5 milhões, 89% de chance de R$ 1 milhão, 1% de chance de nada).</w:t>
      </w:r>
    </w:p>
    <w:p>
      <w:pPr>
        <w:pStyle w:val="Compact"/>
        <w:numPr>
          <w:ilvl w:val="0"/>
          <w:numId w:val="1325"/>
        </w:numPr>
      </w:pPr>
      <w:r>
        <w:rPr>
          <w:b/>
          <w:bCs/>
        </w:rPr>
        <w:t xml:space="preserve">Situação II</w:t>
      </w:r>
      <w:r>
        <w:t xml:space="preserve">: Escolha entre C (11% de chance de R$ 1 milhão, 89% de chance de nada) e D (10% de chance de R$ 5 milhões, 90% de chance de nada).</w:t>
      </w:r>
    </w:p>
    <w:p>
      <w:pPr>
        <w:pStyle w:val="FirstParagraph"/>
      </w:pPr>
      <w:r>
        <w:t xml:space="preserve">Experimentalmente, a maioria das pessoas escolhe A na Situação I e D na Situação II. Mas essa combinação viola o axioma da independência: se subtrairmos mentalmente uma</w:t>
      </w:r>
      <w:r>
        <w:t xml:space="preserve"> </w:t>
      </w:r>
      <w:r>
        <w:t xml:space="preserve">“camada”</w:t>
      </w:r>
      <w:r>
        <w:t xml:space="preserve"> </w:t>
      </w:r>
      <w:r>
        <w:t xml:space="preserve">de 89% de chance de R$ 1 milhão de ambas as opções da Situação I, chegamos exatamente às opções da Situação II — e quem prefere A na Situação I deveria preferir C na Situação II. A violação sistêmica desse padrão sugere que agentes reais não tratam as probabilidades de forma linear, especialmente quando resultados certos estão em jogo (o chamado</w:t>
      </w:r>
      <w:r>
        <w:t xml:space="preserve"> </w:t>
      </w:r>
      <w:r>
        <w:t xml:space="preserve">“efeito certeza”</w:t>
      </w:r>
      <w:r>
        <w:t xml:space="preserve">). Kahneman e Tversky (1979) documentaram extensamente essas violações e propuseram a teoria dos prospectos como alternativa descritiva à utilidade VNM.</w:t>
      </w:r>
    </w:p>
    <w:p>
      <w:pPr>
        <w:pStyle w:val="BodyText"/>
      </w:pPr>
      <w:r>
        <w:t xml:space="preserve">Apesar dessas críticas comportamentais, a teoria VNM permanece o padrão normativo da microeconomia e o ponto de partida obrigatório para qualquer extensão. Compreender onde ela falha exige primeiro compreender onde ela acerta — e é isso que fazemos nas seções seguintes.</w:t>
      </w:r>
    </w:p>
    <w:p>
      <w:pPr>
        <w:pStyle w:val="BlockText"/>
      </w:pPr>
      <w:r>
        <w:rPr>
          <w:b/>
          <w:bCs/>
        </w:rPr>
        <w:t xml:space="preserve">[INTUICAO ECONOMICA] Intuição Econômica</w:t>
      </w:r>
    </w:p>
    <w:p>
      <w:pPr>
        <w:pStyle w:val="BlockText"/>
      </w:pPr>
      <w:r>
        <w:rPr>
          <w:b/>
          <w:bCs/>
        </w:rPr>
        <w:t xml:space="preserve">Em uma frase:</w:t>
      </w:r>
      <w:r>
        <w:t xml:space="preserve"> </w:t>
      </w:r>
      <w:r>
        <w:t xml:space="preserve">A utilidade esperada diz que pessoas racionais avaliam apostas pela</w:t>
      </w:r>
      <w:r>
        <w:t xml:space="preserve"> </w:t>
      </w:r>
      <w:r>
        <w:t xml:space="preserve">“felicidade média”</w:t>
      </w:r>
      <w:r>
        <w:t xml:space="preserve"> </w:t>
      </w:r>
      <w:r>
        <w:t xml:space="preserve">que elas proporcionam, não pelo dinheiro médio.</w:t>
      </w:r>
    </w:p>
    <w:p>
      <w:pPr>
        <w:pStyle w:val="BlockText"/>
      </w:pPr>
      <w:r>
        <w:rPr>
          <w:b/>
          <w:bCs/>
        </w:rPr>
        <w:t xml:space="preserve">Pense assim:</w:t>
      </w:r>
      <w:r>
        <w:t xml:space="preserve"> </w:t>
      </w:r>
      <w:r>
        <w:t xml:space="preserve">Imagine que você concorre a um sorteio de R$ 10.000 com 50% de chance. O valor esperado é R$ 5.000, mas a alegria que R$ 10.000 trazem não é o dobro da alegria de R$ 5.000 — assim como o segundo prato de comida no rodízio nunca é tão bom quanto o primeiro.</w:t>
      </w:r>
    </w:p>
    <w:p>
      <w:pPr>
        <w:pStyle w:val="BlockText"/>
      </w:pPr>
      <w:r>
        <w:rPr>
          <w:b/>
          <w:bCs/>
        </w:rPr>
        <w:t xml:space="preserve">Por que isso importa:</w:t>
      </w:r>
      <w:r>
        <w:t xml:space="preserve"> </w:t>
      </w:r>
      <w:r>
        <w:t xml:space="preserve">Toda a regulação de seguros, previdência e mercados financeiros no Brasil se apoia na ideia de que as pessoas transformam dinheiro em bem-estar de forma não linear.</w:t>
      </w:r>
    </w:p>
    <w:p>
      <w:pPr>
        <w:pStyle w:val="BlockText"/>
      </w:pPr>
      <w:r>
        <w:rPr>
          <w:b/>
          <w:bCs/>
        </w:rPr>
        <w:t xml:space="preserve">[INTUICAO ECONOMICA] Intuição Econômica</w:t>
      </w:r>
    </w:p>
    <w:p>
      <w:pPr>
        <w:pStyle w:val="BlockText"/>
      </w:pPr>
      <w:r>
        <w:rPr>
          <w:b/>
          <w:bCs/>
        </w:rPr>
        <w:t xml:space="preserve">A utilidade VNM é cardinal — não ordinal.</w:t>
      </w:r>
    </w:p>
    <w:p>
      <w:pPr>
        <w:pStyle w:val="BlockText"/>
      </w:pPr>
      <w:r>
        <w:t xml:space="preserve">No Capítulo 3, a utilidade era puramente</w:t>
      </w:r>
      <w:r>
        <w:t xml:space="preserve"> </w:t>
      </w:r>
      <w:r>
        <w:rPr>
          <w:i/>
          <w:iCs/>
        </w:rPr>
        <w:t xml:space="preserve">ordinal</w:t>
      </w:r>
      <w:r>
        <w:t xml:space="preserve">: qualquer transformação crescente da função de utilidade representava as mesmas preferências. Se</w:t>
      </w:r>
      <w:r>
        <w:t xml:space="preserve"> </w:t>
      </w:r>
      <m:oMath>
        <m:r>
          <m:t>u</m:t>
        </m:r>
        <m:r>
          <m:rPr>
            <m:sty m:val="p"/>
          </m:rPr>
          <m:t>(</m:t>
        </m:r>
        <m:r>
          <m:t>x</m:t>
        </m:r>
        <m:r>
          <m:rPr>
            <m:sty m:val="p"/>
          </m:rPr>
          <m:t>)</m:t>
        </m:r>
        <m:r>
          <m:rPr>
            <m:sty m:val="p"/>
          </m:rPr>
          <m:t>=</m:t>
        </m:r>
        <m:sSup>
          <m:e>
            <m:r>
              <m:t>x</m:t>
            </m:r>
          </m:e>
          <m:sup>
            <m:r>
              <m:t>2</m:t>
            </m:r>
          </m:sup>
        </m:sSup>
      </m:oMath>
      <w:r>
        <w:t xml:space="preserve"> </w:t>
      </w:r>
      <w:r>
        <w:t xml:space="preserve">e</w:t>
      </w:r>
      <w:r>
        <w:t xml:space="preserve"> </w:t>
      </w:r>
      <m:oMath>
        <m:r>
          <m:t>v</m:t>
        </m:r>
        <m:r>
          <m:rPr>
            <m:sty m:val="p"/>
          </m:rPr>
          <m:t>(</m:t>
        </m:r>
        <m:r>
          <m:t>x</m:t>
        </m:r>
        <m:r>
          <m:rPr>
            <m:sty m:val="p"/>
          </m:rPr>
          <m:t>)</m:t>
        </m:r>
        <m:r>
          <m:rPr>
            <m:sty m:val="p"/>
          </m:rPr>
          <m:t>=</m:t>
        </m:r>
        <m:sSup>
          <m:e>
            <m:r>
              <m:t>e</m:t>
            </m:r>
          </m:e>
          <m:sup>
            <m:r>
              <m:t>x</m:t>
            </m:r>
          </m:sup>
        </m:sSup>
      </m:oMath>
      <w:r>
        <w:t xml:space="preserve"> </w:t>
      </w:r>
      <w:r>
        <w:t xml:space="preserve">ordenam os cestos de forma idêntica, são equivalentes para a teoria do consumidor determinística. Isso porque o que importava era apenas a</w:t>
      </w:r>
      <w:r>
        <w:t xml:space="preserve"> </w:t>
      </w:r>
      <w:r>
        <w:rPr>
          <w:i/>
          <w:iCs/>
        </w:rPr>
        <w:t xml:space="preserve">direção</w:t>
      </w:r>
      <w:r>
        <w:t xml:space="preserve"> </w:t>
      </w:r>
      <w:r>
        <w:t xml:space="preserve">das preferências, nunca a magnitude.</w:t>
      </w:r>
    </w:p>
    <w:p>
      <w:pPr>
        <w:pStyle w:val="BlockText"/>
      </w:pPr>
      <w:r>
        <w:t xml:space="preserve">Aqui, a situação é radicalmente diferente. A utilidade VNM é única a menos de transformações</w:t>
      </w:r>
      <w:r>
        <w:t xml:space="preserve"> </w:t>
      </w:r>
      <w:r>
        <w:rPr>
          <w:b/>
          <w:bCs/>
        </w:rPr>
        <w:t xml:space="preserve">afins positivas</w:t>
      </w:r>
      <w:r>
        <w:t xml:space="preserve">:</w:t>
      </w:r>
      <w:r>
        <w:t xml:space="preserve"> </w:t>
      </w:r>
      <m:oMath>
        <m:r>
          <m:t>v</m:t>
        </m:r>
        <m:r>
          <m:rPr>
            <m:sty m:val="p"/>
          </m:rPr>
          <m:t>(</m:t>
        </m:r>
        <m:r>
          <m:t>x</m:t>
        </m:r>
        <m:r>
          <m:rPr>
            <m:sty m:val="p"/>
          </m:rPr>
          <m:t>)</m:t>
        </m:r>
        <m:r>
          <m:rPr>
            <m:sty m:val="p"/>
          </m:rPr>
          <m:t>=</m:t>
        </m:r>
        <m:r>
          <m:t>a</m:t>
        </m:r>
        <m:r>
          <m:rPr>
            <m:sty m:val="p"/>
          </m:rPr>
          <m:t>⋅</m:t>
        </m:r>
        <m:r>
          <m:t>u</m:t>
        </m:r>
        <m:r>
          <m:rPr>
            <m:sty m:val="p"/>
          </m:rPr>
          <m:t>(</m:t>
        </m:r>
        <m:r>
          <m:t>x</m:t>
        </m:r>
        <m:r>
          <m:rPr>
            <m:sty m:val="p"/>
          </m:rPr>
          <m:t>)</m:t>
        </m:r>
        <m:r>
          <m:rPr>
            <m:sty m:val="p"/>
          </m:rPr>
          <m:t>+</m:t>
        </m:r>
        <m:r>
          <m:t>b</m:t>
        </m:r>
      </m:oMath>
      <w:r>
        <w:t xml:space="preserve"> </w:t>
      </w:r>
      <w:r>
        <w:t xml:space="preserve">(com</w:t>
      </w:r>
      <w:r>
        <w:t xml:space="preserve"> </w:t>
      </w:r>
      <m:oMath>
        <m:r>
          <m:t>a</m:t>
        </m:r>
        <m:r>
          <m:rPr>
            <m:sty m:val="p"/>
          </m:rPr>
          <m:t>&gt;</m:t>
        </m:r>
        <m:r>
          <m:t>0</m:t>
        </m:r>
      </m:oMath>
      <w:r>
        <w:t xml:space="preserve">) representa as mesmas preferências, mas</w:t>
      </w:r>
      <w:r>
        <w:t xml:space="preserve"> </w:t>
      </w:r>
      <m:oMath>
        <m:r>
          <m:t>v</m:t>
        </m:r>
        <m:r>
          <m:rPr>
            <m:sty m:val="p"/>
          </m:rPr>
          <m:t>(</m:t>
        </m:r>
        <m:r>
          <m:t>x</m:t>
        </m:r>
        <m:r>
          <m:rPr>
            <m:sty m:val="p"/>
          </m:rPr>
          <m:t>)</m:t>
        </m:r>
        <m:r>
          <m:rPr>
            <m:sty m:val="p"/>
          </m:rPr>
          <m:t>=</m:t>
        </m:r>
        <m:r>
          <m:rPr>
            <m:sty m:val="p"/>
          </m:rPr>
          <m:t>[</m:t>
        </m:r>
        <m:r>
          <m:t>u</m:t>
        </m:r>
        <m:r>
          <m:rPr>
            <m:sty m:val="p"/>
          </m:rPr>
          <m:t>(</m:t>
        </m:r>
        <m:r>
          <m:t>x</m:t>
        </m:r>
        <m:r>
          <m:rPr>
            <m:sty m:val="p"/>
          </m:rPr>
          <m:t>)</m:t>
        </m:r>
        <m:sSup>
          <m:e>
            <m:r>
              <m:rPr>
                <m:sty m:val="p"/>
              </m:rPr>
              <m:t>]</m:t>
            </m:r>
          </m:e>
          <m:sup>
            <m:r>
              <m:t>2</m:t>
            </m:r>
          </m:sup>
        </m:sSup>
      </m:oMath>
      <w:r>
        <w:t xml:space="preserve"> </w:t>
      </w:r>
      <w:r>
        <w:t xml:space="preserve">já não representa — mesmo que seja uma transformação crescente. Por quê? Porque as probabilidades entram de forma</w:t>
      </w:r>
      <w:r>
        <w:t xml:space="preserve"> </w:t>
      </w:r>
      <w:r>
        <w:rPr>
          <w:i/>
          <w:iCs/>
        </w:rPr>
        <w:t xml:space="preserve">linear</w:t>
      </w:r>
      <w:r>
        <w:t xml:space="preserve"> </w:t>
      </w:r>
      <w:r>
        <w:t xml:space="preserve">no cálculo da utilidade esperada. Quando escrevemos</w:t>
      </w:r>
      <w:r>
        <w:t xml:space="preserve"> </w:t>
      </w:r>
      <m:oMath>
        <m:r>
          <m:t>E</m:t>
        </m:r>
        <m:r>
          <m:rPr>
            <m:sty m:val="p"/>
          </m:rPr>
          <m:t>[</m:t>
        </m:r>
        <m:r>
          <m:t>u</m:t>
        </m:r>
        <m:r>
          <m:rPr>
            <m:sty m:val="p"/>
          </m:rPr>
          <m:t>(</m:t>
        </m:r>
        <m:r>
          <m:t>L</m:t>
        </m:r>
        <m:r>
          <m:rPr>
            <m:sty m:val="p"/>
          </m:rPr>
          <m:t>)</m:t>
        </m:r>
        <m:r>
          <m:rPr>
            <m:sty m:val="p"/>
          </m:rPr>
          <m:t>]</m:t>
        </m:r>
        <m:r>
          <m:rPr>
            <m:sty m:val="p"/>
          </m:rPr>
          <m:t>=</m:t>
        </m:r>
        <m:sSub>
          <m:e>
            <m:r>
              <m:t>p</m:t>
            </m:r>
          </m:e>
          <m:sub>
            <m:r>
              <m:t>1</m:t>
            </m:r>
          </m:sub>
        </m:sSub>
        <m:r>
          <m:t>u</m:t>
        </m:r>
        <m:r>
          <m:rPr>
            <m:sty m:val="p"/>
          </m:rPr>
          <m:t>(</m:t>
        </m:r>
        <m:sSub>
          <m:e>
            <m:r>
              <m:t>x</m:t>
            </m:r>
          </m:e>
          <m:sub>
            <m:r>
              <m:t>1</m:t>
            </m:r>
          </m:sub>
        </m:sSub>
        <m:r>
          <m:rPr>
            <m:sty m:val="p"/>
          </m:rPr>
          <m:t>)</m:t>
        </m:r>
        <m:r>
          <m:rPr>
            <m:sty m:val="p"/>
          </m:rPr>
          <m:t>+</m:t>
        </m:r>
        <m:sSub>
          <m:e>
            <m:r>
              <m:t>p</m:t>
            </m:r>
          </m:e>
          <m:sub>
            <m:r>
              <m:t>2</m:t>
            </m:r>
          </m:sub>
        </m:sSub>
        <m:r>
          <m:t>u</m:t>
        </m:r>
        <m:r>
          <m:rPr>
            <m:sty m:val="p"/>
          </m:rPr>
          <m:t>(</m:t>
        </m:r>
        <m:sSub>
          <m:e>
            <m:r>
              <m:t>x</m:t>
            </m:r>
          </m:e>
          <m:sub>
            <m:r>
              <m:t>2</m:t>
            </m:r>
          </m:sub>
        </m:sSub>
        <m:r>
          <m:rPr>
            <m:sty m:val="p"/>
          </m:rPr>
          <m:t>)</m:t>
        </m:r>
      </m:oMath>
      <w:r>
        <w:t xml:space="preserve">, a estrutura aritmética da média ponderada fixa a escala da função de utilidade de uma maneira que transformações não afins destroem.</w:t>
      </w:r>
    </w:p>
    <w:p>
      <w:pPr>
        <w:pStyle w:val="BlockText"/>
      </w:pPr>
      <w:r>
        <w:rPr>
          <w:b/>
          <w:bCs/>
        </w:rPr>
        <w:t xml:space="preserve">Implicação prática:</w:t>
      </w:r>
      <w:r>
        <w:t xml:space="preserve"> </w:t>
      </w:r>
      <w:r>
        <w:t xml:space="preserve">Comparar as funções de utilidade de dois agentes faz sentido — dizer que o agente A tem ARA mais alta que o agente B é uma afirmação invariante à classe de transformações afins. Já perguntar</w:t>
      </w:r>
      <w:r>
        <w:t xml:space="preserve"> </w:t>
      </w:r>
      <w:r>
        <w:t xml:space="preserve">“quem tem mais utilidade no estado 1?”</w:t>
      </w:r>
      <w:r>
        <w:t xml:space="preserve"> </w:t>
      </w:r>
      <w:r>
        <w:t xml:space="preserve">não faz sentido sem fixar a normalização. A cardinalidade da utilidade VNM é, portanto, uma propriedade</w:t>
      </w:r>
      <w:r>
        <w:t xml:space="preserve"> </w:t>
      </w:r>
      <w:r>
        <w:rPr>
          <w:i/>
          <w:iCs/>
        </w:rPr>
        <w:t xml:space="preserve">relacional</w:t>
      </w:r>
      <w:r>
        <w:t xml:space="preserve"> </w:t>
      </w:r>
      <w:r>
        <w:t xml:space="preserve">(entre loterias e probabilidades), não uma afirmação sobre o nível absoluto de bem-estar.</w:t>
      </w:r>
    </w:p>
    <w:p>
      <w:pPr>
        <w:pStyle w:val="BlockText"/>
      </w:pPr>
      <w:r>
        <w:rPr>
          <w:b/>
          <w:bCs/>
        </w:rPr>
        <w:t xml:space="preserve">[BOX BRASIL] Box Brasil 7.2 — A Mega-Sena e o paradoxo da busca por risco: por que 100 milhões de brasileiros jogam na loteria?</w:t>
      </w:r>
    </w:p>
    <w:p>
      <w:pPr>
        <w:pStyle w:val="BlockText"/>
      </w:pPr>
      <w:r>
        <w:t xml:space="preserve">Segundo a Caixa Econômica Federal, mais de 100 milhões de brasileiros apostam regularmente em loterias. Em 2023, as loterias da Caixa arrecadaram R$ 23 bilhões — receita que financia programas sociais, cultura e esporte. Mas a teoria VNM tem um problema com isso: se os agentes são avessos ao risco,</w:t>
      </w:r>
      <w:r>
        <w:t xml:space="preserve"> </w:t>
      </w:r>
      <w:r>
        <w:rPr>
          <w:i/>
          <w:iCs/>
        </w:rPr>
        <w:t xml:space="preserve">não deveriam</w:t>
      </w:r>
      <w:r>
        <w:t xml:space="preserve"> </w:t>
      </w:r>
      <w:r>
        <w:t xml:space="preserve">jogar.</w:t>
      </w:r>
    </w:p>
    <w:p>
      <w:pPr>
        <w:pStyle w:val="BlockText"/>
      </w:pPr>
      <w:r>
        <w:rPr>
          <w:b/>
          <w:bCs/>
        </w:rPr>
        <w:t xml:space="preserve">Os números da Mega-Sena:</w:t>
      </w:r>
    </w:p>
    <w:p>
      <w:pPr>
        <w:pStyle w:val="Compact"/>
        <w:numPr>
          <w:ilvl w:val="0"/>
          <w:numId w:val="1326"/>
        </w:numPr>
      </w:pPr>
      <w:r>
        <w:t xml:space="preserve">Probabilidade de acertar as 6 dezenas: 1 em 50.063.860</w:t>
      </w:r>
    </w:p>
    <w:p>
      <w:pPr>
        <w:pStyle w:val="Compact"/>
        <w:numPr>
          <w:ilvl w:val="0"/>
          <w:numId w:val="1326"/>
        </w:numPr>
      </w:pPr>
      <w:r>
        <w:t xml:space="preserve">Aposta mínima: R$ 5,00</w:t>
      </w:r>
    </w:p>
    <w:p>
      <w:pPr>
        <w:pStyle w:val="Compact"/>
        <w:numPr>
          <w:ilvl w:val="0"/>
          <w:numId w:val="1326"/>
        </w:numPr>
      </w:pPr>
      <w:r>
        <w:t xml:space="preserve">Prêmio médio acumulado: ~R$ 50 milhões</w:t>
      </w:r>
    </w:p>
    <w:p>
      <w:pPr>
        <w:pStyle w:val="Compact"/>
        <w:numPr>
          <w:ilvl w:val="0"/>
          <w:numId w:val="1326"/>
        </w:numPr>
      </w:pPr>
      <w:r>
        <w:t xml:space="preserve">Valor esperado da aposta:</w:t>
      </w:r>
      <w:r>
        <w:t xml:space="preserve"> </w:t>
      </w:r>
      <m:oMath>
        <m:r>
          <m:t>E</m:t>
        </m:r>
        <m:r>
          <m:rPr>
            <m:sty m:val="p"/>
          </m:rPr>
          <m:t>=</m:t>
        </m:r>
        <m:f>
          <m:fPr>
            <m:type m:val="bar"/>
          </m:fPr>
          <m:num>
            <m:r>
              <m:t>50.000</m:t>
            </m:r>
            <m:r>
              <m:t>.000</m:t>
            </m:r>
          </m:num>
          <m:den>
            <m:r>
              <m:t>50.063</m:t>
            </m:r>
            <m:r>
              <m:t>.860</m:t>
            </m:r>
          </m:den>
        </m:f>
        <m:r>
          <m:rPr>
            <m:sty m:val="p"/>
          </m:rPr>
          <m:t>≈</m:t>
        </m:r>
        <m:r>
          <m:rPr>
            <m:nor/>
            <m:sty m:val="p"/>
          </m:rPr>
          <m:t>R$</m:t>
        </m:r>
        <m:r>
          <m:t>1</m:t>
        </m:r>
        <m:r>
          <m:rPr>
            <m:sty m:val="p"/>
          </m:rPr>
          <m:t>,</m:t>
        </m:r>
        <m:r>
          <m:t>00</m:t>
        </m:r>
      </m:oMath>
    </w:p>
    <w:p>
      <w:pPr>
        <w:pStyle w:val="Compact"/>
        <w:numPr>
          <w:ilvl w:val="0"/>
          <w:numId w:val="1326"/>
        </w:numPr>
      </w:pPr>
      <w:r>
        <w:rPr>
          <w:b/>
          <w:bCs/>
        </w:rPr>
        <w:t xml:space="preserve">Retorno esperado por real apostado: R$ 0,20</w:t>
      </w:r>
      <w:r>
        <w:t xml:space="preserve"> </w:t>
      </w:r>
      <w:r>
        <w:t xml:space="preserve">(perda esperada de 80%)</w:t>
      </w:r>
    </w:p>
    <w:p>
      <w:pPr>
        <w:pStyle w:val="BlockText"/>
      </w:pPr>
      <w:r>
        <w:t xml:space="preserve">Um agente avesso ao risco com utilidade côncava</w:t>
      </w:r>
      <w:r>
        <w:t xml:space="preserve"> </w:t>
      </w:r>
      <w:r>
        <w:rPr>
          <w:i/>
          <w:iCs/>
        </w:rPr>
        <w:t xml:space="preserve">jamais</w:t>
      </w:r>
      <w:r>
        <w:t xml:space="preserve"> </w:t>
      </w:r>
      <w:r>
        <w:t xml:space="preserve">compraria esse bilhete — o valor esperado é muito inferior ao custo. Então por que jogam?</w:t>
      </w:r>
    </w:p>
    <w:p>
      <w:pPr>
        <w:pStyle w:val="BlockText"/>
      </w:pPr>
      <w:r>
        <w:rPr>
          <w:b/>
          <w:bCs/>
        </w:rPr>
        <w:t xml:space="preserve">Três explicações microeconômicas:</w:t>
      </w:r>
    </w:p>
    <w:p>
      <w:pPr>
        <w:pStyle w:val="Compact"/>
        <w:numPr>
          <w:ilvl w:val="0"/>
          <w:numId w:val="1327"/>
        </w:numPr>
      </w:pPr>
      <w:r>
        <w:rPr>
          <w:b/>
          <w:bCs/>
        </w:rPr>
        <w:t xml:space="preserve">Friedman-Savage (1948):</w:t>
      </w:r>
      <w:r>
        <w:t xml:space="preserve"> </w:t>
      </w:r>
      <w:r>
        <w:t xml:space="preserve">A função de utilidade pode ser côncava para riquezas próximas ao nível atual (aversão ao risco para perdas pequenas) mas</w:t>
      </w:r>
      <w:r>
        <w:t xml:space="preserve"> </w:t>
      </w:r>
      <w:r>
        <w:rPr>
          <w:i/>
          <w:iCs/>
        </w:rPr>
        <w:t xml:space="preserve">convexa</w:t>
      </w:r>
      <w:r>
        <w:t xml:space="preserve"> </w:t>
      </w:r>
      <w:r>
        <w:t xml:space="preserve">para ganhos muito grandes (busca por risco para a</w:t>
      </w:r>
      <w:r>
        <w:t xml:space="preserve"> </w:t>
      </w:r>
      <w:r>
        <w:t xml:space="preserve">“chance de mudar de vida”</w:t>
      </w:r>
      <w:r>
        <w:t xml:space="preserve">). A Mega-Sena ativa exatamente a porção convexa.</w:t>
      </w:r>
    </w:p>
    <w:p>
      <w:pPr>
        <w:pStyle w:val="Compact"/>
        <w:numPr>
          <w:ilvl w:val="0"/>
          <w:numId w:val="1327"/>
        </w:numPr>
      </w:pPr>
      <w:r>
        <w:rPr>
          <w:b/>
          <w:bCs/>
        </w:rPr>
        <w:t xml:space="preserve">Teoria do Prospecto (Cap 8):</w:t>
      </w:r>
      <w:r>
        <w:t xml:space="preserve"> </w:t>
      </w:r>
      <w:r>
        <w:t xml:space="preserve">Kahneman e Tversky mostraram que agentes</w:t>
      </w:r>
      <w:r>
        <w:t xml:space="preserve"> </w:t>
      </w:r>
      <w:r>
        <w:rPr>
          <w:i/>
          <w:iCs/>
        </w:rPr>
        <w:t xml:space="preserve">sobre-ponderam</w:t>
      </w:r>
      <w:r>
        <w:t xml:space="preserve"> </w:t>
      </w:r>
      <w:r>
        <w:t xml:space="preserve">probabilidades pequenas. Se</w:t>
      </w:r>
      <w:r>
        <w:t xml:space="preserve"> </w:t>
      </w:r>
      <m:oMath>
        <m:r>
          <m:t>π</m:t>
        </m:r>
        <m:r>
          <m:rPr>
            <m:sty m:val="p"/>
          </m:rPr>
          <m:t>(</m:t>
        </m:r>
        <m:r>
          <m:t>p</m:t>
        </m:r>
        <m:r>
          <m:rPr>
            <m:sty m:val="p"/>
          </m:rPr>
          <m:t>)</m:t>
        </m:r>
      </m:oMath>
      <w:r>
        <w:t xml:space="preserve"> </w:t>
      </w:r>
      <w:r>
        <w:t xml:space="preserve">é a função de ponderação, então</w:t>
      </w:r>
      <w:r>
        <w:t xml:space="preserve"> </w:t>
      </w:r>
      <m:oMath>
        <m:r>
          <m:t>π</m:t>
        </m:r>
        <m:r>
          <m:rPr>
            <m:sty m:val="p"/>
          </m:rPr>
          <m:t>(</m:t>
        </m:r>
        <m:r>
          <m:t>1</m:t>
        </m:r>
        <m:r>
          <m:rPr>
            <m:sty m:val="p"/>
          </m:rPr>
          <m:t>/</m:t>
        </m:r>
        <m:r>
          <m:t>50.000</m:t>
        </m:r>
        <m:r>
          <m:t>.000</m:t>
        </m:r>
        <m:r>
          <m:rPr>
            <m:sty m:val="p"/>
          </m:rPr>
          <m:t>)</m:t>
        </m:r>
        <m:r>
          <m:rPr>
            <m:sty m:val="p"/>
          </m:rPr>
          <m:t>≫</m:t>
        </m:r>
        <m:r>
          <m:t>1</m:t>
        </m:r>
        <m:r>
          <m:rPr>
            <m:sty m:val="p"/>
          </m:rPr>
          <m:t>/</m:t>
        </m:r>
        <m:r>
          <m:t>50.000</m:t>
        </m:r>
        <m:r>
          <m:t>.000</m:t>
        </m:r>
      </m:oMath>
      <w:r>
        <w:t xml:space="preserve"> </w:t>
      </w:r>
      <w:r>
        <w:t xml:space="preserve">— o cérebro trata</w:t>
      </w:r>
      <w:r>
        <w:t xml:space="preserve"> </w:t>
      </w:r>
      <w:r>
        <w:t xml:space="preserve">“chance minúscula”</w:t>
      </w:r>
      <w:r>
        <w:t xml:space="preserve"> </w:t>
      </w:r>
      <w:r>
        <w:t xml:space="preserve">como</w:t>
      </w:r>
      <w:r>
        <w:t xml:space="preserve"> </w:t>
      </w:r>
      <w:r>
        <w:t xml:space="preserve">“chance razoável”</w:t>
      </w:r>
      <w:r>
        <w:t xml:space="preserve">.</w:t>
      </w:r>
    </w:p>
    <w:p>
      <w:pPr>
        <w:pStyle w:val="Compact"/>
        <w:numPr>
          <w:ilvl w:val="0"/>
          <w:numId w:val="1327"/>
        </w:numPr>
      </w:pPr>
      <w:r>
        <w:rPr>
          <w:b/>
          <w:bCs/>
        </w:rPr>
        <w:t xml:space="preserve">Utilidade do sonho:</w:t>
      </w:r>
      <w:r>
        <w:t xml:space="preserve"> </w:t>
      </w:r>
      <w:r>
        <w:t xml:space="preserve">A aposta pode gerar utilidade</w:t>
      </w:r>
      <w:r>
        <w:t xml:space="preserve"> </w:t>
      </w:r>
      <w:r>
        <w:rPr>
          <w:i/>
          <w:iCs/>
        </w:rPr>
        <w:t xml:space="preserve">antes</w:t>
      </w:r>
      <w:r>
        <w:t xml:space="preserve"> </w:t>
      </w:r>
      <w:r>
        <w:t xml:space="preserve">do resultado — o prazer de imaginar o que faria com R$ 50 milhões. Essa</w:t>
      </w:r>
      <w:r>
        <w:t xml:space="preserve"> </w:t>
      </w:r>
      <w:r>
        <w:t xml:space="preserve">“utilidade de antecipação”</w:t>
      </w:r>
      <w:r>
        <w:t xml:space="preserve"> </w:t>
      </w:r>
      <w:r>
        <w:t xml:space="preserve">(Loewenstein, 1987) não aparece no modelo VNM padrão.</w:t>
      </w:r>
    </w:p>
    <w:p>
      <w:pPr>
        <w:pStyle w:val="BlockText"/>
      </w:pPr>
      <w:r>
        <w:rPr>
          <w:b/>
          <w:bCs/>
        </w:rPr>
        <w:t xml:space="preserve">Conexão com a teoria:</w:t>
      </w:r>
      <w:r>
        <w:t xml:space="preserve"> </w:t>
      </w:r>
      <w:r>
        <w:t xml:space="preserve">A loteria é o teste empírico mais acessível da teoria VNM. Sua ubiquidade no Brasil — de faxineiras a executivos — sugere que a aversão ao risco não é um traço monolítico, e que o Capítulo 8 (economia comportamental) oferece explicações mais realistas do que o modelo canônico para certas classes de decisão.</w:t>
      </w:r>
    </w:p>
    <w:bookmarkEnd w:id="327"/>
    <w:bookmarkEnd w:id="328"/>
    <w:bookmarkStart w:id="334" w:name="X789c7efd8f0b3da1b0fdc869f5410fbc314639d"/>
    <w:p>
      <w:pPr>
        <w:pStyle w:val="Heading2"/>
      </w:pPr>
      <w:r>
        <w:t xml:space="preserve">7.3–7.5 Aversão ao Risco, Arrow-Pratt e Prêmio de Risco</w:t>
      </w:r>
    </w:p>
    <w:bookmarkStart w:id="329" w:name="Xd5563f6672201ad14bff203456974cb7dc04493"/>
    <w:p>
      <w:pPr>
        <w:pStyle w:val="Heading3"/>
      </w:pPr>
      <w:r>
        <w:t xml:space="preserve">7.3 Por Que Você Recusa Apostas Justas: Aversão ao Risco</w:t>
      </w:r>
    </w:p>
    <w:p>
      <w:pPr>
        <w:pStyle w:val="FirstParagraph"/>
      </w:pPr>
      <w:r>
        <w:t xml:space="preserve">Agora a pergunta que define a personalidade econômica de cada um: diante de uma aposta justa — cara ganha R$ 100, coroa perde R$ 100 —, você aceita ou recusa? A maioria das pessoas recusa. Prefere o certo ao duvidoso, mesmo quando a média é a mesma. Essa preferência pela estabilidade tem um nome (aversão ao risco) e uma causa geométrica (a curvatura da função de utilidade). A conexão entre um conceito abstrato (concavidade) e um comportamento observável (contratar seguro, diversificar investimentos, preferir salário fixo) é uma das pontes mais elegantes de toda a microeconomia.</w:t>
      </w:r>
    </w:p>
    <w:p>
      <w:pPr>
        <w:pStyle w:val="BlockText"/>
      </w:pPr>
      <w:r>
        <w:rPr>
          <w:b/>
          <w:bCs/>
        </w:rPr>
        <w:t xml:space="preserve">[DEFINICAO] Classificação de atitudes frente ao risco</w:t>
      </w:r>
    </w:p>
    <w:p>
      <w:pPr>
        <w:pStyle w:val="BlockText"/>
      </w:pPr>
      <w:r>
        <w:t xml:space="preserve">Seja</w:t>
      </w:r>
      <w:r>
        <w:t xml:space="preserve"> </w:t>
      </w:r>
      <m:oMath>
        <m:r>
          <m:t>u</m:t>
        </m:r>
      </m:oMath>
      <w:r>
        <w:t xml:space="preserve"> </w:t>
      </w:r>
      <w:r>
        <w:t xml:space="preserve">uma função de utilidade VNM. Um agente é:</w:t>
      </w:r>
    </w:p>
    <w:p>
      <w:pPr>
        <w:pStyle w:val="Compact"/>
        <w:numPr>
          <w:ilvl w:val="0"/>
          <w:numId w:val="1328"/>
        </w:numPr>
      </w:pPr>
      <w:r>
        <w:rPr>
          <w:b/>
          <w:bCs/>
        </w:rPr>
        <w:t xml:space="preserve">Avesso ao risco</w:t>
      </w:r>
      <w:r>
        <w:t xml:space="preserve"> </w:t>
      </w:r>
      <w:r>
        <w:t xml:space="preserve">se, para toda loteria</w:t>
      </w:r>
      <w:r>
        <w:t xml:space="preserve"> </w:t>
      </w:r>
      <m:oMath>
        <m:r>
          <m:t>L</m:t>
        </m:r>
      </m:oMath>
      <w:r>
        <w:t xml:space="preserve">:</w:t>
      </w:r>
      <w:r>
        <w:t xml:space="preserve"> </w:t>
      </w:r>
      <m:oMath>
        <m:r>
          <m:t>u</m:t>
        </m:r>
        <m:r>
          <m:rPr>
            <m:sty m:val="p"/>
          </m:rPr>
          <m:t>(</m:t>
        </m:r>
        <m:r>
          <m:t>E</m:t>
        </m:r>
        <m:r>
          <m:rPr>
            <m:sty m:val="p"/>
          </m:rPr>
          <m:t>[</m:t>
        </m:r>
        <m:r>
          <m:t>L</m:t>
        </m:r>
        <m:r>
          <m:rPr>
            <m:sty m:val="p"/>
          </m:rPr>
          <m:t>]</m:t>
        </m:r>
        <m:r>
          <m:rPr>
            <m:sty m:val="p"/>
          </m:rPr>
          <m:t>)</m:t>
        </m:r>
        <m:r>
          <m:rPr>
            <m:sty m:val="p"/>
          </m:rPr>
          <m:t>&gt;</m:t>
        </m:r>
        <m:r>
          <m:t>E</m:t>
        </m:r>
        <m:r>
          <m:rPr>
            <m:sty m:val="p"/>
          </m:rPr>
          <m:t>[</m:t>
        </m:r>
        <m:r>
          <m:t>u</m:t>
        </m:r>
        <m:r>
          <m:rPr>
            <m:sty m:val="p"/>
          </m:rPr>
          <m:t>(</m:t>
        </m:r>
        <m:r>
          <m:t>L</m:t>
        </m:r>
        <m:r>
          <m:rPr>
            <m:sty m:val="p"/>
          </m:rPr>
          <m:t>)</m:t>
        </m:r>
        <m:r>
          <m:rPr>
            <m:sty m:val="p"/>
          </m:rPr>
          <m:t>]</m:t>
        </m:r>
      </m:oMath>
      <w:r>
        <w:t xml:space="preserve">.</w:t>
      </w:r>
    </w:p>
    <w:p>
      <w:pPr>
        <w:pStyle w:val="Compact"/>
        <w:numPr>
          <w:ilvl w:val="0"/>
          <w:numId w:val="1328"/>
        </w:numPr>
      </w:pPr>
      <w:r>
        <w:rPr>
          <w:b/>
          <w:bCs/>
        </w:rPr>
        <w:t xml:space="preserve">Neutro ao risco</w:t>
      </w:r>
      <w:r>
        <w:t xml:space="preserve"> </w:t>
      </w:r>
      <w:r>
        <w:t xml:space="preserve">se, para toda loteria</w:t>
      </w:r>
      <w:r>
        <w:t xml:space="preserve"> </w:t>
      </w:r>
      <m:oMath>
        <m:r>
          <m:t>L</m:t>
        </m:r>
      </m:oMath>
      <w:r>
        <w:t xml:space="preserve">:</w:t>
      </w:r>
      <w:r>
        <w:t xml:space="preserve"> </w:t>
      </w:r>
      <m:oMath>
        <m:r>
          <m:t>u</m:t>
        </m:r>
        <m:r>
          <m:rPr>
            <m:sty m:val="p"/>
          </m:rPr>
          <m:t>(</m:t>
        </m:r>
        <m:r>
          <m:t>E</m:t>
        </m:r>
        <m:r>
          <m:rPr>
            <m:sty m:val="p"/>
          </m:rPr>
          <m:t>[</m:t>
        </m:r>
        <m:r>
          <m:t>L</m:t>
        </m:r>
        <m:r>
          <m:rPr>
            <m:sty m:val="p"/>
          </m:rPr>
          <m:t>]</m:t>
        </m:r>
        <m:r>
          <m:rPr>
            <m:sty m:val="p"/>
          </m:rPr>
          <m:t>)</m:t>
        </m:r>
        <m:r>
          <m:rPr>
            <m:sty m:val="p"/>
          </m:rPr>
          <m:t>=</m:t>
        </m:r>
        <m:r>
          <m:t>E</m:t>
        </m:r>
        <m:r>
          <m:rPr>
            <m:sty m:val="p"/>
          </m:rPr>
          <m:t>[</m:t>
        </m:r>
        <m:r>
          <m:t>u</m:t>
        </m:r>
        <m:r>
          <m:rPr>
            <m:sty m:val="p"/>
          </m:rPr>
          <m:t>(</m:t>
        </m:r>
        <m:r>
          <m:t>L</m:t>
        </m:r>
        <m:r>
          <m:rPr>
            <m:sty m:val="p"/>
          </m:rPr>
          <m:t>)</m:t>
        </m:r>
        <m:r>
          <m:rPr>
            <m:sty m:val="p"/>
          </m:rPr>
          <m:t>]</m:t>
        </m:r>
      </m:oMath>
      <w:r>
        <w:t xml:space="preserve">.</w:t>
      </w:r>
    </w:p>
    <w:p>
      <w:pPr>
        <w:pStyle w:val="Compact"/>
        <w:numPr>
          <w:ilvl w:val="0"/>
          <w:numId w:val="1328"/>
        </w:numPr>
      </w:pPr>
      <w:r>
        <w:rPr>
          <w:b/>
          <w:bCs/>
        </w:rPr>
        <w:t xml:space="preserve">Propenso ao risco</w:t>
      </w:r>
      <w:r>
        <w:t xml:space="preserve"> </w:t>
      </w:r>
      <w:r>
        <w:t xml:space="preserve">se, para toda loteria</w:t>
      </w:r>
      <w:r>
        <w:t xml:space="preserve"> </w:t>
      </w:r>
      <m:oMath>
        <m:r>
          <m:t>L</m:t>
        </m:r>
      </m:oMath>
      <w:r>
        <w:t xml:space="preserve">:</w:t>
      </w:r>
      <w:r>
        <w:t xml:space="preserve"> </w:t>
      </w:r>
      <m:oMath>
        <m:r>
          <m:t>u</m:t>
        </m:r>
        <m:r>
          <m:rPr>
            <m:sty m:val="p"/>
          </m:rPr>
          <m:t>(</m:t>
        </m:r>
        <m:r>
          <m:t>E</m:t>
        </m:r>
        <m:r>
          <m:rPr>
            <m:sty m:val="p"/>
          </m:rPr>
          <m:t>[</m:t>
        </m:r>
        <m:r>
          <m:t>L</m:t>
        </m:r>
        <m:r>
          <m:rPr>
            <m:sty m:val="p"/>
          </m:rPr>
          <m:t>]</m:t>
        </m:r>
        <m:r>
          <m:rPr>
            <m:sty m:val="p"/>
          </m:rPr>
          <m:t>)</m:t>
        </m:r>
        <m:r>
          <m:rPr>
            <m:sty m:val="p"/>
          </m:rPr>
          <m:t>&lt;</m:t>
        </m:r>
        <m:r>
          <m:t>E</m:t>
        </m:r>
        <m:r>
          <m:rPr>
            <m:sty m:val="p"/>
          </m:rPr>
          <m:t>[</m:t>
        </m:r>
        <m:r>
          <m:t>u</m:t>
        </m:r>
        <m:r>
          <m:rPr>
            <m:sty m:val="p"/>
          </m:rPr>
          <m:t>(</m:t>
        </m:r>
        <m:r>
          <m:t>L</m:t>
        </m:r>
        <m:r>
          <m:rPr>
            <m:sty m:val="p"/>
          </m:rPr>
          <m:t>)</m:t>
        </m:r>
        <m:r>
          <m:rPr>
            <m:sty m:val="p"/>
          </m:rPr>
          <m:t>]</m:t>
        </m:r>
      </m:oMath>
      <w:r>
        <w:t xml:space="preserve">.</w:t>
      </w:r>
    </w:p>
    <w:p>
      <w:pPr>
        <w:pStyle w:val="FirstParagraph"/>
      </w:pPr>
      <w:r>
        <w:t xml:space="preserve">A aversão ao risco está intimamente ligada à</w:t>
      </w:r>
      <w:r>
        <w:t xml:space="preserve"> </w:t>
      </w:r>
      <w:r>
        <w:rPr>
          <w:b/>
          <w:bCs/>
        </w:rPr>
        <w:t xml:space="preserve">concavidade</w:t>
      </w:r>
      <w:r>
        <w:t xml:space="preserve"> </w:t>
      </w:r>
      <w:r>
        <w:t xml:space="preserve">da função de utilidade. Pela</w:t>
      </w:r>
      <w:r>
        <w:t xml:space="preserve"> </w:t>
      </w:r>
      <w:r>
        <w:rPr>
          <w:b/>
          <w:bCs/>
        </w:rPr>
        <w:t xml:space="preserve">desigualdade de Jensen</w:t>
      </w:r>
      <w:r>
        <w:t xml:space="preserve">, se</w:t>
      </w:r>
      <w:r>
        <w:t xml:space="preserve"> </w:t>
      </w:r>
      <m:oMath>
        <m:r>
          <m:t>u</m:t>
        </m:r>
      </m:oMath>
      <w:r>
        <w:t xml:space="preserve"> </w:t>
      </w:r>
      <w:r>
        <w:t xml:space="preserve">é estritamente côncava, então para qualquer variável aleatória</w:t>
      </w:r>
      <w:r>
        <w:t xml:space="preserve"> </w:t>
      </w:r>
      <m:oMath>
        <m:acc>
          <m:accPr>
            <m:chr m:val="̃"/>
          </m:accPr>
          <m:e>
            <m:r>
              <m:t>x</m:t>
            </m:r>
          </m:e>
        </m:acc>
      </m:oMath>
      <w:r>
        <w:t xml:space="preserve"> </w:t>
      </w:r>
      <w:r>
        <w:t xml:space="preserve">não degenerada:</w:t>
      </w:r>
    </w:p>
    <w:p>
      <w:pPr>
        <w:pStyle w:val="BodyText"/>
      </w:pPr>
      <m:oMathPara>
        <m:oMathParaPr>
          <m:jc m:val="center"/>
        </m:oMathParaPr>
        <m:oMath>
          <m:r>
            <m:t>u</m:t>
          </m:r>
          <m:r>
            <m:rPr>
              <m:sty m:val="p"/>
            </m:rPr>
            <m:t>(</m:t>
          </m:r>
          <m:r>
            <m:t>E</m:t>
          </m:r>
          <m:r>
            <m:rPr>
              <m:sty m:val="p"/>
            </m:rPr>
            <m:t>[</m:t>
          </m:r>
          <m:acc>
            <m:accPr>
              <m:chr m:val="̃"/>
            </m:accPr>
            <m:e>
              <m:r>
                <m:t>x</m:t>
              </m:r>
            </m:e>
          </m:acc>
          <m:r>
            <m:rPr>
              <m:sty m:val="p"/>
            </m:rPr>
            <m:t>]</m:t>
          </m:r>
          <m:r>
            <m:rPr>
              <m:sty m:val="p"/>
            </m:rPr>
            <m:t>)</m:t>
          </m:r>
          <m:r>
            <m:rPr>
              <m:sty m:val="p"/>
            </m:rPr>
            <m:t>&gt;</m:t>
          </m:r>
          <m:r>
            <m:t>E</m:t>
          </m:r>
          <m:r>
            <m:rPr>
              <m:sty m:val="p"/>
            </m:rPr>
            <m:t>[</m:t>
          </m:r>
          <m:r>
            <m:t>u</m:t>
          </m:r>
          <m:r>
            <m:rPr>
              <m:sty m:val="p"/>
            </m:rPr>
            <m:t>(</m:t>
          </m:r>
          <m:acc>
            <m:accPr>
              <m:chr m:val="̃"/>
            </m:accPr>
            <m:e>
              <m:r>
                <m:t>x</m:t>
              </m:r>
            </m:e>
          </m:acc>
          <m:r>
            <m:rPr>
              <m:sty m:val="p"/>
            </m:rPr>
            <m:t>)</m:t>
          </m:r>
          <m:r>
            <m:rPr>
              <m:sty m:val="p"/>
            </m:rPr>
            <m:t>]</m:t>
          </m:r>
        </m:oMath>
      </m:oMathPara>
    </w:p>
    <w:p>
      <w:pPr>
        <w:pStyle w:val="FirstParagraph"/>
      </w:pPr>
      <w:r>
        <w:t xml:space="preserve">Intuitivamente, a desigualdade Eq. (eq:7.4) mostra que o agente avesso ao risco prefere receber o valor esperado de uma loteria com certeza a participar da loteria. A curvatura de</w:t>
      </w:r>
      <w:r>
        <w:t xml:space="preserve"> </w:t>
      </w:r>
      <m:oMath>
        <m:r>
          <m:t>u</m:t>
        </m:r>
      </m:oMath>
      <w:r>
        <w:t xml:space="preserve"> </w:t>
      </w:r>
      <w:r>
        <w:t xml:space="preserve">captura a intensidade dessa preferência: quanto mais côncava a função, maior a aversão ao risco.</w:t>
      </w:r>
    </w:p>
    <w:p>
      <w:pPr>
        <w:pStyle w:val="BodyText"/>
      </w:pPr>
      <w:r>
        <w:t xml:space="preserve">Graficamente, a aversão ao risco se manifesta pelo fato de que a corda ligando dois pontos na curva de utilidade fica</w:t>
      </w:r>
      <w:r>
        <w:t xml:space="preserve"> </w:t>
      </w:r>
      <w:r>
        <w:rPr>
          <w:b/>
          <w:bCs/>
        </w:rPr>
        <w:t xml:space="preserve">abaixo</w:t>
      </w:r>
      <w:r>
        <w:t xml:space="preserve"> </w:t>
      </w:r>
      <w:r>
        <w:t xml:space="preserve">da própria curva — ou seja, a utilidade esperada da loteria (ponto na corda) é inferior à utilidade do valor esperado (ponto na curva).</w:t>
      </w:r>
    </w:p>
    <w:p>
      <w:pPr>
        <w:pStyle w:val="BodyText"/>
      </w:pPr>
      <w:r>
        <w:t xml:space="preserve">As implicações econômicas da aversão ao risco são vastas. No mercado de seguros, agentes avessos ao risco estão dispostos a pagar um prêmio positivo — acima do valor atuarialmente justo — para eliminar a incerteza. Isso cria espaço para a existência lucrativa de seguradoras, mesmo quando o prêmio supera a perda esperada. Nos mercados financeiros, a aversão ao risco explica por que ativos mais voláteis precisam oferecer retornos esperados mais altos para atrair compradores — o que está na raiz do modelo CAPM e do enigma do prêmio de risco (ver Seção 7.4 e o box</w:t>
      </w:r>
      <w:r>
        <w:t xml:space="preserve"> </w:t>
      </w:r>
      <w:r>
        <w:t xml:space="preserve">“Pesquisa em Ação”</w:t>
      </w:r>
      <w:r>
        <w:t xml:space="preserve"> </w:t>
      </w:r>
      <w:r>
        <w:t xml:space="preserve">ao final). No mercado de trabalho, trabalhadores avessos ao risco preferem contratos de salário fixo a esquemas de comissão pura, mesmo que estes ofereçam maior remuneração esperada — o que explica a prevalência de vínculos empregatícios formais com salário garantido.</w:t>
      </w:r>
    </w:p>
    <w:p>
      <w:pPr>
        <w:pStyle w:val="BodyText"/>
      </w:pPr>
      <w:r>
        <w:t xml:space="preserve">Daniel Kahneman, Prêmio Nobel de Economia de 2002 (com Vernon Smith), dedicou décadas ao estudo empírico da aversão ao risco e de suas irregularidades. Uma de suas contribuições mais influentes, desenvolvida com Amos Tversky, é a ideia de que agentes reais não são igualmente avessos ao risco em todos os domínios: eles são mais sensíveis a perdas do que a ganhos de mesma magnitude — o que ficou conhecido como</w:t>
      </w:r>
      <w:r>
        <w:t xml:space="preserve"> </w:t>
      </w:r>
      <w:r>
        <w:rPr>
          <w:i/>
          <w:iCs/>
        </w:rPr>
        <w:t xml:space="preserve">loss aversion</w:t>
      </w:r>
      <w:r>
        <w:t xml:space="preserve"> </w:t>
      </w:r>
      <w:r>
        <w:t xml:space="preserve">(aversão à perda). Essa assimetria, que viola a teoria VNM padrão, é modelada na teoria dos prospectos e será discutida no Capítulo 8. Por ora, o importante é reconhecer que a aversão ao risco, no sentido VNM de concavidade da utilidade, é uma hipótese robusta e amplamente respaldada pelos dados, mesmo que não capture todas as nuances do comportamento humano.</w:t>
      </w:r>
    </w:p>
    <w:p>
      <w:pPr>
        <w:pStyle w:val="BlockText"/>
      </w:pPr>
      <w:r>
        <w:rPr>
          <w:b/>
          <w:bCs/>
        </w:rPr>
        <w:t xml:space="preserve">[ATENCAO] Erro Comum</w:t>
      </w:r>
    </w:p>
    <w:p>
      <w:pPr>
        <w:pStyle w:val="BlockText"/>
      </w:pPr>
      <w:r>
        <w:rPr>
          <w:b/>
          <w:bCs/>
        </w:rPr>
        <w:t xml:space="preserve">Interpretar aversão ao risco como</w:t>
      </w:r>
      <w:r>
        <w:rPr>
          <w:b/>
          <w:bCs/>
        </w:rPr>
        <w:t xml:space="preserve"> </w:t>
      </w:r>
      <w:r>
        <w:rPr>
          <w:b/>
          <w:bCs/>
        </w:rPr>
        <w:t xml:space="preserve">“evitar todo risco”</w:t>
      </w:r>
      <w:r>
        <w:rPr>
          <w:b/>
          <w:bCs/>
        </w:rPr>
        <w:t xml:space="preserve">.</w:t>
      </w:r>
    </w:p>
    <w:p>
      <w:pPr>
        <w:pStyle w:val="BlockText"/>
      </w:pPr>
      <w:r>
        <w:t xml:space="preserve">Um equívoco comum, especialmente em contextos de finanças e gestão, é interpretar</w:t>
      </w:r>
      <w:r>
        <w:t xml:space="preserve"> </w:t>
      </w:r>
      <w:r>
        <w:t xml:space="preserve">“aversão ao risco”</w:t>
      </w:r>
      <w:r>
        <w:t xml:space="preserve"> </w:t>
      </w:r>
      <w:r>
        <w:t xml:space="preserve">como sinônimo de</w:t>
      </w:r>
      <w:r>
        <w:t xml:space="preserve"> </w:t>
      </w:r>
      <w:r>
        <w:t xml:space="preserve">“recusar qualquer aposta”</w:t>
      </w:r>
      <w:r>
        <w:t xml:space="preserve">. Essa leitura é incorreta.</w:t>
      </w:r>
    </w:p>
    <w:p>
      <w:pPr>
        <w:pStyle w:val="BlockText"/>
      </w:pPr>
      <w:r>
        <w:t xml:space="preserve">Um agente avesso ao risco ainda toma riscos — ele simplesmente exige ser compensado por eles. A definição formal diz que o agente prefere o valor esperado da loteria com certeza à própria loteria. Mas se a loteria oferecer retorno esperado</w:t>
      </w:r>
      <w:r>
        <w:t xml:space="preserve"> </w:t>
      </w:r>
      <w:r>
        <w:rPr>
          <w:i/>
          <w:iCs/>
        </w:rPr>
        <w:t xml:space="preserve">suficientemente alto</w:t>
      </w:r>
      <w:r>
        <w:t xml:space="preserve">, o agente avesso ao risco a aceitará. Um investidor com utilidade côncava que compra ações da Petrobras na Bolsa não está violando sua aversão ao risco: ele está sendo compensado pelo retorno esperado adicional (o prêmio de risco) que as ações oferecem em relação ao Tesouro Direto.</w:t>
      </w:r>
    </w:p>
    <w:p>
      <w:pPr>
        <w:pStyle w:val="BlockText"/>
      </w:pPr>
      <w:r>
        <w:t xml:space="preserve">A distinção correta é: um agente avesso ao risco</w:t>
      </w:r>
      <w:r>
        <w:t xml:space="preserve"> </w:t>
      </w:r>
      <w:r>
        <w:rPr>
          <w:i/>
          <w:iCs/>
        </w:rPr>
        <w:t xml:space="preserve">rejeita loterias justas</w:t>
      </w:r>
      <w:r>
        <w:t xml:space="preserve"> </w:t>
      </w:r>
      <w:r>
        <w:t xml:space="preserve">(com valor esperado zero) e exige um prêmio positivo para aceitar loterias com valor esperado positivo. Quanto maior sua aversão, maior o prêmio exigido. Isso não implica que ele nunca invista em ativos arriscados, mas sim que ele demanda um</w:t>
      </w:r>
      <w:r>
        <w:t xml:space="preserve"> </w:t>
      </w:r>
      <w:r>
        <w:t xml:space="preserve">“desconto”</w:t>
      </w:r>
      <w:r>
        <w:t xml:space="preserve"> </w:t>
      </w:r>
      <w:r>
        <w:t xml:space="preserve">em relação ao agente neutro ao risco.</w:t>
      </w:r>
    </w:p>
    <w:p>
      <w:pPr>
        <w:pStyle w:val="BlockText"/>
      </w:pPr>
      <w:r>
        <w:t xml:space="preserve">Em resumo: aversão ao risco regula o</w:t>
      </w:r>
      <w:r>
        <w:t xml:space="preserve"> </w:t>
      </w:r>
      <w:r>
        <w:rPr>
          <w:i/>
          <w:iCs/>
        </w:rPr>
        <w:t xml:space="preserve">preço</w:t>
      </w:r>
      <w:r>
        <w:t xml:space="preserve"> </w:t>
      </w:r>
      <w:r>
        <w:t xml:space="preserve">que o agente cobra pelo risco, não se ele aceita ou recusa qualquer risco.</w:t>
      </w:r>
    </w:p>
    <w:p>
      <w:pPr>
        <w:pStyle w:val="BlockText"/>
      </w:pPr>
      <w:r>
        <w:rPr>
          <w:b/>
          <w:bCs/>
        </w:rPr>
        <w:t xml:space="preserve">[INTUICAO ECONOMICA] Intuição Econômica</w:t>
      </w:r>
    </w:p>
    <w:p>
      <w:pPr>
        <w:pStyle w:val="BlockText"/>
      </w:pPr>
      <w:r>
        <w:rPr>
          <w:b/>
          <w:bCs/>
        </w:rPr>
        <w:t xml:space="preserve">Em uma frase:</w:t>
      </w:r>
      <w:r>
        <w:t xml:space="preserve"> </w:t>
      </w:r>
      <w:r>
        <w:t xml:space="preserve">Aversão ao risco significa preferir o certo ao duvidoso, mesmo quando o valor médio é igual.</w:t>
      </w:r>
    </w:p>
    <w:p>
      <w:pPr>
        <w:pStyle w:val="BlockText"/>
      </w:pPr>
      <w:r>
        <w:rPr>
          <w:b/>
          <w:bCs/>
        </w:rPr>
        <w:t xml:space="preserve">Pense assim:</w:t>
      </w:r>
      <w:r>
        <w:t xml:space="preserve"> </w:t>
      </w:r>
      <w:r>
        <w:t xml:space="preserve">Um trabalhador brasileiro prefere um salário fixo de R$ 3.000 a um emprego que paga R$ 6.000 em meses bons e zero em meses ruins — mesmo que a média seja a mesma. A dor de ficar sem renda pesa mais do que a alegria do mês gordo.</w:t>
      </w:r>
    </w:p>
    <w:p>
      <w:pPr>
        <w:pStyle w:val="BlockText"/>
      </w:pPr>
      <w:r>
        <w:rPr>
          <w:b/>
          <w:bCs/>
        </w:rPr>
        <w:t xml:space="preserve">Por que isso importa:</w:t>
      </w:r>
      <w:r>
        <w:t xml:space="preserve"> </w:t>
      </w:r>
      <w:r>
        <w:t xml:space="preserve">É por isso que existem seguros, previdência e CLT — instituições que transferem risco de quem não quer carregar para quem consegue absorvê-lo melhor.</w:t>
      </w:r>
    </w:p>
    <w:p>
      <w:pPr>
        <w:pStyle w:val="BlockText"/>
      </w:pPr>
      <w:r>
        <w:rPr>
          <w:b/>
          <w:bCs/>
        </w:rPr>
        <w:t xml:space="preserve">[ATIVIDADE DE SALA] Think-Pair-Share — Aceitar ou recusar a aposta?</w:t>
      </w:r>
    </w:p>
    <w:p>
      <w:pPr>
        <w:pStyle w:val="BlockText"/>
      </w:pPr>
      <w:r>
        <w:rPr>
          <w:b/>
          <w:bCs/>
        </w:rPr>
        <w:t xml:space="preserve">Cenário:</w:t>
      </w:r>
      <w:r>
        <w:t xml:space="preserve"> </w:t>
      </w:r>
      <w:r>
        <w:t xml:space="preserve">Você tem R$ 10.000 na conta. Um amigo propõe a seguinte aposta: jogar uma moeda justa. Cara, você ganha R$ 5.000. Coroa, você perde R$ 5.000.</w:t>
      </w:r>
    </w:p>
    <w:p>
      <w:pPr>
        <w:pStyle w:val="BlockText"/>
      </w:pPr>
      <w:r>
        <w:rPr>
          <w:b/>
          <w:bCs/>
        </w:rPr>
        <w:t xml:space="preserve">Pergunta:</w:t>
      </w:r>
      <w:r>
        <w:t xml:space="preserve"> </w:t>
      </w:r>
      <w:r>
        <w:t xml:space="preserve">Você aceita?</w:t>
      </w:r>
    </w:p>
    <w:p>
      <w:pPr>
        <w:pStyle w:val="BlockText"/>
      </w:pPr>
      <w:r>
        <w:rPr>
          <w:b/>
          <w:bCs/>
        </w:rPr>
        <w:t xml:space="preserve">(a)</w:t>
      </w:r>
      <w:r>
        <w:t xml:space="preserve"> </w:t>
      </w:r>
      <w:r>
        <w:t xml:space="preserve">Sim — o valor esperado é zero, então tanto faz aceitar ou recusar.</w:t>
      </w:r>
    </w:p>
    <w:p>
      <w:pPr>
        <w:pStyle w:val="BlockText"/>
      </w:pPr>
      <w:r>
        <w:rPr>
          <w:b/>
          <w:bCs/>
        </w:rPr>
        <w:t xml:space="preserve">(b)</w:t>
      </w:r>
      <w:r>
        <w:t xml:space="preserve"> </w:t>
      </w:r>
      <w:r>
        <w:t xml:space="preserve">Não — mesmo com valor esperado zero, a dor de perder R$ 5.000 é maior que a alegria de ganhar R$ 5.000, porque minha utilidade marginal é decrescente.</w:t>
      </w:r>
    </w:p>
    <w:p>
      <w:pPr>
        <w:pStyle w:val="BlockText"/>
      </w:pPr>
      <w:r>
        <w:rPr>
          <w:b/>
          <w:bCs/>
        </w:rPr>
        <w:t xml:space="preserve">(c)</w:t>
      </w:r>
      <w:r>
        <w:t xml:space="preserve"> </w:t>
      </w:r>
      <w:r>
        <w:t xml:space="preserve">Depende — se eu puder jogar 100 vezes seguidas com apostas de R$ 50 cada, aceito; se for uma única aposta de R$ 5.000, recuso.</w:t>
      </w:r>
    </w:p>
    <w:p>
      <w:pPr>
        <w:pStyle w:val="BlockText"/>
      </w:pPr>
      <w:r>
        <w:t xml:space="preserve">??? success</w:t>
      </w:r>
      <w:r>
        <w:t xml:space="preserve"> </w:t>
      </w:r>
      <w:r>
        <w:t xml:space="preserve">“Debrief”</w:t>
      </w:r>
      <w:r>
        <w:t xml:space="preserve"> </w:t>
      </w:r>
      <w:r>
        <w:rPr>
          <w:b/>
          <w:bCs/>
        </w:rPr>
        <w:t xml:space="preserve">(b)</w:t>
      </w:r>
      <w:r>
        <w:t xml:space="preserve"> </w:t>
      </w:r>
      <w:r>
        <w:t xml:space="preserve">é a resposta correta no modelo VNM com aversão ao risco. Um agente com utilidade côncava rejeita toda aposta justa porque</w:t>
      </w:r>
      <w:r>
        <w:t xml:space="preserve"> </w:t>
      </w:r>
      <m:oMath>
        <m:r>
          <m:t>u</m:t>
        </m:r>
        <m:r>
          <m:rPr>
            <m:sty m:val="p"/>
          </m:rPr>
          <m:t>(</m:t>
        </m:r>
        <m:r>
          <m:t>E</m:t>
        </m:r>
        <m:r>
          <m:rPr>
            <m:sty m:val="p"/>
          </m:rPr>
          <m:t>[</m:t>
        </m:r>
        <m:r>
          <m:t>W</m:t>
        </m:r>
        <m:r>
          <m:rPr>
            <m:sty m:val="p"/>
          </m:rPr>
          <m:t>]</m:t>
        </m:r>
        <m:r>
          <m:rPr>
            <m:sty m:val="p"/>
          </m:rPr>
          <m:t>)</m:t>
        </m:r>
        <m:r>
          <m:rPr>
            <m:sty m:val="p"/>
          </m:rPr>
          <m:t>&gt;</m:t>
        </m:r>
        <m:r>
          <m:t>E</m:t>
        </m:r>
        <m:r>
          <m:rPr>
            <m:sty m:val="p"/>
          </m:rPr>
          <m:t>[</m:t>
        </m:r>
        <m:r>
          <m:t>u</m:t>
        </m:r>
        <m:r>
          <m:rPr>
            <m:sty m:val="p"/>
          </m:rPr>
          <m:t>(</m:t>
        </m:r>
        <m:r>
          <m:t>W</m:t>
        </m:r>
        <m:r>
          <m:rPr>
            <m:sty m:val="p"/>
          </m:rPr>
          <m:t>)</m:t>
        </m:r>
        <m:r>
          <m:rPr>
            <m:sty m:val="p"/>
          </m:rPr>
          <m:t>]</m:t>
        </m:r>
      </m:oMath>
      <w:r>
        <w:t xml:space="preserve"> </w:t>
      </w:r>
      <w:r>
        <w:t xml:space="preserve">— a desigualdade de Jensen. Quem escolheu (a) está usando o critério do valor esperado puro, que o Paradoxo de São Petersburgo demoliu. Quem escolheu (c) levanta um ponto sofisticado: com muitas repetições independentes, a Lei dos Grandes Números faz a média convergir para zero e o risco total (em proporção) se reduz — é o argumento da diversificação temporal. Mas cuidado: a irreversibilidade de uma única aposta grande é qualitativamente diferente de muitas apostas pequenas. Rabin (2000) mostrou que a teoria VNM tem dificuldade de reconciliar aversão ao risco em pequenas e grandes apostas com uma mesma função de utilidade.</w:t>
      </w:r>
    </w:p>
    <w:p>
      <w:pPr>
        <w:pStyle w:val="SourceCode"/>
      </w:pPr>
      <w:r>
        <w:rPr>
          <w:rStyle w:val="VerbatimChar"/>
        </w:rPr>
        <w:t xml:space="preserve">**Lição:** Aversão ao risco não é irracionalidade — é consequência lógica de utilidade marginal decrescente. E a escala da aposta importa.</w:t>
      </w:r>
    </w:p>
    <w:p>
      <w:pPr>
        <w:pStyle w:val="FirstParagraph"/>
      </w:pPr>
      <w:r>
        <w:t xml:space="preserve">[FIGURA INTERATIVA: /micro-book/graficos/cap07/aversao-risco.html — versao interativa disponivel online]</w:t>
      </w:r>
    </w:p>
    <w:p>
      <w:pPr>
        <w:pStyle w:val="BodyText"/>
      </w:pPr>
      <w:r>
        <w:rPr>
          <w:b/>
          <w:bCs/>
        </w:rPr>
        <w:t xml:space="preserve">Figura 7.1 — Aversão ao risco e função de utilidade.</w:t>
      </w:r>
      <w:r>
        <w:t xml:space="preserve"> </w:t>
      </w:r>
      <w:r>
        <w:t xml:space="preserve">Arraste os pontos</w:t>
      </w:r>
      <w:r>
        <w:t xml:space="preserve"> </w:t>
      </w:r>
      <m:oMath>
        <m:sSub>
          <m:e>
            <m:r>
              <m:t>W</m:t>
            </m:r>
          </m:e>
          <m:sub>
            <m:r>
              <m:t>1</m:t>
            </m:r>
          </m:sub>
        </m:sSub>
      </m:oMath>
      <w:r>
        <w:t xml:space="preserve"> </w:t>
      </w:r>
      <w:r>
        <w:t xml:space="preserve">e</w:t>
      </w:r>
      <w:r>
        <w:t xml:space="preserve"> </w:t>
      </w:r>
      <m:oMath>
        <m:sSub>
          <m:e>
            <m:r>
              <m:t>W</m:t>
            </m:r>
          </m:e>
          <m:sub>
            <m:r>
              <m:t>2</m:t>
            </m:r>
          </m:sub>
        </m:sSub>
      </m:oMath>
      <w:r>
        <w:t xml:space="preserve">, ajuste a probabilidade</w:t>
      </w:r>
      <w:r>
        <w:t xml:space="preserve"> </w:t>
      </w:r>
      <m:oMath>
        <m:r>
          <m:t>π</m:t>
        </m:r>
      </m:oMath>
      <w:r>
        <w:t xml:space="preserve"> </w:t>
      </w:r>
      <w:r>
        <w:t xml:space="preserve">e alterne entre agente avesso, neutro e propenso ao risco. A área sombreada indica o prêmio de risco.</w:t>
      </w:r>
    </w:p>
    <w:p>
      <w:r>
        <w:pict>
          <v:rect style="width:0;height:1.5pt" o:hralign="center" o:hrstd="t" o:hr="t"/>
        </w:pict>
      </w:r>
    </w:p>
    <w:bookmarkEnd w:id="329"/>
    <w:bookmarkStart w:id="331" w:name="X3bf6179d632aae5f8b9b105d68726c72c4ff177"/>
    <w:p>
      <w:pPr>
        <w:pStyle w:val="Heading3"/>
      </w:pPr>
      <w:r>
        <w:t xml:space="preserve">7.4 Quanto Medo Você Tem? As Medidas de Arrow-Pratt</w:t>
      </w:r>
    </w:p>
    <w:p>
      <w:pPr>
        <w:pStyle w:val="FirstParagraph"/>
      </w:pPr>
      <w:r>
        <w:t xml:space="preserve">“Sou avesso ao risco”</w:t>
      </w:r>
      <w:r>
        <w:t xml:space="preserve"> </w:t>
      </w:r>
      <w:r>
        <w:t xml:space="preserve">— OK, mas</w:t>
      </w:r>
      <w:r>
        <w:t xml:space="preserve"> </w:t>
      </w:r>
      <w:r>
        <w:rPr>
          <w:i/>
          <w:iCs/>
        </w:rPr>
        <w:t xml:space="preserve">quanto</w:t>
      </w:r>
      <w:r>
        <w:t xml:space="preserve">? Mais que você? Mais agora (quando estou pobre) do que depois (quando ficar rico)? Dizer</w:t>
      </w:r>
      <w:r>
        <w:t xml:space="preserve"> </w:t>
      </w:r>
      <w:r>
        <w:t xml:space="preserve">“sou avesso”</w:t>
      </w:r>
      <w:r>
        <w:t xml:space="preserve"> </w:t>
      </w:r>
      <w:r>
        <w:t xml:space="preserve">é como dizer</w:t>
      </w:r>
      <w:r>
        <w:t xml:space="preserve"> </w:t>
      </w:r>
      <w:r>
        <w:t xml:space="preserve">“faz calor”</w:t>
      </w:r>
      <w:r>
        <w:t xml:space="preserve"> </w:t>
      </w:r>
      <w:r>
        <w:t xml:space="preserve">sem ter termômetro. As medidas de</w:t>
      </w:r>
      <w:r>
        <w:t xml:space="preserve"> </w:t>
      </w:r>
      <w:r>
        <w:rPr>
          <w:b/>
          <w:bCs/>
        </w:rPr>
        <w:t xml:space="preserve">Arrow-Pratt</w:t>
      </w:r>
      <w:r>
        <w:t xml:space="preserve"> </w:t>
      </w:r>
      <w:r>
        <w:t xml:space="preserve">são esse termômetro: convertem a curvatura da função de utilidade — um objeto geométrico — em um número que pode ser comparado entre pessoas, entre momentos e entre níveis de riqueza.</w:t>
      </w:r>
    </w:p>
    <w:p>
      <w:pPr>
        <w:pStyle w:val="BlockText"/>
      </w:pPr>
      <w:r>
        <w:rPr>
          <w:b/>
          <w:bCs/>
        </w:rPr>
        <w:t xml:space="preserve">[DEFINICAO] Coeficiente de aversão absoluta ao risco (ARA)</w:t>
      </w:r>
    </w:p>
    <w:p>
      <w:pPr>
        <w:pStyle w:val="BlockText"/>
      </w:pPr>
      <w:r>
        <w:t xml:space="preserve">O coeficiente de aversão absoluta ao risco de Arrow-Pratt é definido como:</w:t>
      </w:r>
    </w:p>
    <w:p>
      <w:pPr>
        <w:pStyle w:val="BlockText"/>
      </w:pPr>
      <w:r>
        <w:t xml:space="preserve">$$</w:t>
      </w:r>
    </w:p>
    <w:p>
      <w:pPr>
        <w:pStyle w:val="BlockText"/>
      </w:pPr>
      <w:r>
        <w:t xml:space="preserve">A(W) = -</w:t>
      </w:r>
      <w:r>
        <w:t xml:space="preserve"> </w:t>
      </w:r>
      <w:r>
        <w:t xml:space="preserve"> </w:t>
      </w:r>
    </w:p>
    <w:p>
      <w:pPr>
        <w:pStyle w:val="BlockText"/>
      </w:pPr>
      <w:r>
        <w:t xml:space="preserve">$$</w:t>
      </w:r>
    </w:p>
    <w:p>
      <w:pPr>
        <w:pStyle w:val="BlockText"/>
      </w:pPr>
      <w:r>
        <w:t xml:space="preserve">onde</w:t>
      </w:r>
      <w:r>
        <w:t xml:space="preserve"> </w:t>
      </w:r>
      <m:oMath>
        <m:r>
          <m:t>W</m:t>
        </m:r>
      </m:oMath>
      <w:r>
        <w:t xml:space="preserve"> </w:t>
      </w:r>
      <w:r>
        <w:t xml:space="preserve">é o nível de riqueza do agente.</w:t>
      </w:r>
    </w:p>
    <w:p>
      <w:pPr>
        <w:pStyle w:val="BlockText"/>
      </w:pPr>
      <w:r>
        <w:rPr>
          <w:b/>
          <w:bCs/>
        </w:rPr>
        <w:t xml:space="preserve">[DEFINICAO] Coeficiente de aversão relativa ao risco (RRA)</w:t>
      </w:r>
    </w:p>
    <w:p>
      <w:pPr>
        <w:pStyle w:val="BlockText"/>
      </w:pPr>
      <w:r>
        <w:t xml:space="preserve">O coeficiente de aversão relativa ao risco é definido como:</w:t>
      </w:r>
    </w:p>
    <w:p>
      <w:pPr>
        <w:pStyle w:val="BlockText"/>
      </w:pPr>
      <w:r>
        <w:t xml:space="preserve">$$</w:t>
      </w:r>
    </w:p>
    <w:p>
      <w:pPr>
        <w:pStyle w:val="BlockText"/>
      </w:pPr>
      <w:r>
        <w:t xml:space="preserve">R(W) = -</w:t>
      </w:r>
      <w:r>
        <w:t xml:space="preserve"> </w:t>
      </w:r>
      <w:r>
        <w:t xml:space="preserve">= W</w:t>
      </w:r>
      <w:r>
        <w:t xml:space="preserve"> </w:t>
      </w:r>
      <w:r>
        <w:t xml:space="preserve">A(W)</w:t>
      </w:r>
      <w:r>
        <w:t xml:space="preserve"> </w:t>
      </w:r>
      <w:r>
        <w:t xml:space="preserve"> </w:t>
      </w:r>
    </w:p>
    <w:p>
      <w:pPr>
        <w:pStyle w:val="BlockText"/>
      </w:pPr>
      <w:r>
        <w:t xml:space="preserve">$$</w:t>
      </w:r>
    </w:p>
    <w:p>
      <w:pPr>
        <w:pStyle w:val="FirstParagraph"/>
      </w:pPr>
      <w:r>
        <w:t xml:space="preserve">Essas medidas possuem interpretação direta:</w:t>
      </w:r>
      <w:r>
        <w:t xml:space="preserve"> </w:t>
      </w:r>
      <m:oMath>
        <m:r>
          <m:t>A</m:t>
        </m:r>
        <m:r>
          <m:rPr>
            <m:sty m:val="p"/>
          </m:rPr>
          <m:t>(</m:t>
        </m:r>
        <m:r>
          <m:t>W</m:t>
        </m:r>
        <m:r>
          <m:rPr>
            <m:sty m:val="p"/>
          </m:rPr>
          <m:t>)</m:t>
        </m:r>
      </m:oMath>
      <w:r>
        <w:t xml:space="preserve"> </w:t>
      </w:r>
      <w:r>
        <w:t xml:space="preserve">mede a aversão ao risco para apostas de magnitude absoluta fixa, enquanto</w:t>
      </w:r>
      <w:r>
        <w:t xml:space="preserve"> </w:t>
      </w:r>
      <m:oMath>
        <m:r>
          <m:t>R</m:t>
        </m:r>
        <m:r>
          <m:rPr>
            <m:sty m:val="p"/>
          </m:rPr>
          <m:t>(</m:t>
        </m:r>
        <m:r>
          <m:t>W</m:t>
        </m:r>
        <m:r>
          <m:rPr>
            <m:sty m:val="p"/>
          </m:rPr>
          <m:t>)</m:t>
        </m:r>
      </m:oMath>
      <w:r>
        <w:t xml:space="preserve"> </w:t>
      </w:r>
      <w:r>
        <w:t xml:space="preserve">mede a aversão ao risco para apostas proporcionais à riqueza. Note que ambas dependem da razão entre a segunda e a primeira derivadas da função de utilidade — a primeira derivada captura a utilidade marginal (quanto vale um real a mais), enquanto a segunda derivada captura como essa utilidade marginal muda (o quanto o agente</w:t>
      </w:r>
      <w:r>
        <w:t xml:space="preserve"> </w:t>
      </w:r>
      <w:r>
        <w:t xml:space="preserve">“satura”</w:t>
      </w:r>
      <w:r>
        <w:t xml:space="preserve"> </w:t>
      </w:r>
      <w:r>
        <w:t xml:space="preserve">à medida que enriquece).</w:t>
      </w:r>
    </w:p>
    <w:p>
      <w:pPr>
        <w:pStyle w:val="BodyText"/>
      </w:pPr>
      <w:r>
        <w:t xml:space="preserve">A escolha de qual medida utilizar depende do contexto. Se o risco é de magnitude fixa (por exemplo, uma aposta de R$ 1.000 independentemente da riqueza do agente), a medida absoluta</w:t>
      </w:r>
      <w:r>
        <w:t xml:space="preserve"> </w:t>
      </w:r>
      <m:oMath>
        <m:r>
          <m:t>A</m:t>
        </m:r>
        <m:r>
          <m:rPr>
            <m:sty m:val="p"/>
          </m:rPr>
          <m:t>(</m:t>
        </m:r>
        <m:r>
          <m:t>W</m:t>
        </m:r>
        <m:r>
          <m:rPr>
            <m:sty m:val="p"/>
          </m:rPr>
          <m:t>)</m:t>
        </m:r>
      </m:oMath>
      <w:r>
        <w:t xml:space="preserve"> </w:t>
      </w:r>
      <w:r>
        <w:t xml:space="preserve">é a mais relevante. Se o risco é proporcional à riqueza (por exemplo, investir 10% do patrimônio em ações), a medida relativa</w:t>
      </w:r>
      <w:r>
        <w:t xml:space="preserve"> </w:t>
      </w:r>
      <m:oMath>
        <m:r>
          <m:t>R</m:t>
        </m:r>
        <m:r>
          <m:rPr>
            <m:sty m:val="p"/>
          </m:rPr>
          <m:t>(</m:t>
        </m:r>
        <m:r>
          <m:t>W</m:t>
        </m:r>
        <m:r>
          <m:rPr>
            <m:sty m:val="p"/>
          </m:rPr>
          <m:t>)</m:t>
        </m:r>
      </m:oMath>
      <w:r>
        <w:t xml:space="preserve"> </w:t>
      </w:r>
      <w:r>
        <w:t xml:space="preserve">é mais informativa.</w:t>
      </w:r>
    </w:p>
    <w:p>
      <w:pPr>
        <w:pStyle w:val="BodyText"/>
      </w:pPr>
      <w:r>
        <w:t xml:space="preserve">Vale notar que</w:t>
      </w:r>
      <w:r>
        <w:t xml:space="preserve"> </w:t>
      </w:r>
      <m:oMath>
        <m:r>
          <m:t>A</m:t>
        </m:r>
        <m:r>
          <m:rPr>
            <m:sty m:val="p"/>
          </m:rPr>
          <m:t>(</m:t>
        </m:r>
        <m:r>
          <m:t>W</m:t>
        </m:r>
        <m:r>
          <m:rPr>
            <m:sty m:val="p"/>
          </m:rPr>
          <m:t>)</m:t>
        </m:r>
      </m:oMath>
      <w:r>
        <w:t xml:space="preserve"> </w:t>
      </w:r>
      <w:r>
        <w:t xml:space="preserve">e</w:t>
      </w:r>
      <w:r>
        <w:t xml:space="preserve"> </w:t>
      </w:r>
      <m:oMath>
        <m:r>
          <m:t>R</m:t>
        </m:r>
        <m:r>
          <m:rPr>
            <m:sty m:val="p"/>
          </m:rPr>
          <m:t>(</m:t>
        </m:r>
        <m:r>
          <m:t>W</m:t>
        </m:r>
        <m:r>
          <m:rPr>
            <m:sty m:val="p"/>
          </m:rPr>
          <m:t>)</m:t>
        </m:r>
      </m:oMath>
      <w:r>
        <w:t xml:space="preserve"> </w:t>
      </w:r>
      <w:r>
        <w:t xml:space="preserve">são medidas</w:t>
      </w:r>
      <w:r>
        <w:t xml:space="preserve"> </w:t>
      </w:r>
      <w:r>
        <w:rPr>
          <w:i/>
          <w:iCs/>
        </w:rPr>
        <w:t xml:space="preserve">locais</w:t>
      </w:r>
      <w:r>
        <w:t xml:space="preserve"> </w:t>
      </w:r>
      <w:r>
        <w:t xml:space="preserve">— elas descrevem a curvatura da função de utilidade num ponto específico</w:t>
      </w:r>
      <w:r>
        <w:t xml:space="preserve"> </w:t>
      </w:r>
      <m:oMath>
        <m:r>
          <m:t>W</m:t>
        </m:r>
      </m:oMath>
      <w:r>
        <w:t xml:space="preserve">. Isso é diferente de perguntar se o agente é</w:t>
      </w:r>
      <w:r>
        <w:t xml:space="preserve"> </w:t>
      </w:r>
      <w:r>
        <w:t xml:space="preserve">“avesso ao risco”</w:t>
      </w:r>
      <w:r>
        <w:t xml:space="preserve"> </w:t>
      </w:r>
      <w:r>
        <w:t xml:space="preserve">em geral: a curvatura pode variar ao longo da função, gerando padrões ricos de comportamento conforme a riqueza muda. As classes de funções de utilidade descritas abaixo capturam os casos mais relevantes.</w:t>
      </w:r>
    </w:p>
    <w:p>
      <w:pPr>
        <w:pStyle w:val="BodyText"/>
      </w:pPr>
      <w:r>
        <w:t xml:space="preserve">A questão de</w:t>
      </w:r>
      <w:r>
        <w:t xml:space="preserve"> </w:t>
      </w:r>
      <w:r>
        <w:rPr>
          <w:i/>
          <w:iCs/>
        </w:rPr>
        <w:t xml:space="preserve">quanto</w:t>
      </w:r>
      <w:r>
        <w:t xml:space="preserve"> </w:t>
      </w:r>
      <w:r>
        <w:t xml:space="preserve">um agente típico é avesso ao risco não é apenas teórica — ela pode ser estimada empiricamente. Na literatura de macroeconomia e finanças, o coeficiente de aversão relativa ao risco</w:t>
      </w:r>
      <w:r>
        <w:t xml:space="preserve"> </w:t>
      </w:r>
      <m:oMath>
        <m:r>
          <m:t>γ</m:t>
        </m:r>
      </m:oMath>
      <w:r>
        <w:t xml:space="preserve"> </w:t>
      </w:r>
      <w:r>
        <w:t xml:space="preserve">da utilidade CRRA é o mais estudado. Estimativas calibradas a partir de dados de consumo e retornos de ativos tipicamente sugerem valores entre 1 e 5. Mehra e Prescott (1985), no artigo fundador do</w:t>
      </w:r>
      <w:r>
        <w:t xml:space="preserve"> </w:t>
      </w:r>
      <w:r>
        <w:t xml:space="preserve">“enigma do prêmio de risco”</w:t>
      </w:r>
      <w:r>
        <w:t xml:space="preserve">, mostraram que reproduzir o diferencial histórico de retorno entre ações e títulos públicos nos EUA exigiria</w:t>
      </w:r>
      <w:r>
        <w:t xml:space="preserve"> </w:t>
      </w:r>
      <m:oMath>
        <m:r>
          <m:t>γ</m:t>
        </m:r>
        <m:r>
          <m:rPr>
            <m:sty m:val="p"/>
          </m:rPr>
          <m:t>&gt;</m:t>
        </m:r>
        <m:r>
          <m:t>30</m:t>
        </m:r>
      </m:oMath>
      <w:r>
        <w:t xml:space="preserve"> </w:t>
      </w:r>
      <w:r>
        <w:t xml:space="preserve">— um nível implausível que sugere falhas no modelo padrão ou componentes de preferências adicionais, como aversão à perda ou formação de hábitos. No Brasil, estudos como os de Issler e Piqueira (2000) e de Gomes e Paz (2013) encontram estimativas de</w:t>
      </w:r>
      <w:r>
        <w:t xml:space="preserve"> </w:t>
      </w:r>
      <m:oMath>
        <m:r>
          <m:t>γ</m:t>
        </m:r>
      </m:oMath>
      <w:r>
        <w:t xml:space="preserve"> </w:t>
      </w:r>
      <w:r>
        <w:t xml:space="preserve">entre 2 e 8 usando dados macroeconômicos nacionais, com considerável incerteza dependendo da amostra e do método de estimação.</w:t>
      </w:r>
    </w:p>
    <w:p>
      <w:pPr>
        <w:pStyle w:val="BodyText"/>
      </w:pPr>
      <w:r>
        <w:t xml:space="preserve">Para decisões de política econômica, o coeficiente de aversão ao risco importa diretamente. Políticas de estabilização de renda (como o Bolsa Família) e de smoothing de consumo (como o seguro-desemprego) têm valor welfare que depende criticamente de</w:t>
      </w:r>
      <w:r>
        <w:t xml:space="preserve"> </w:t>
      </w:r>
      <m:oMath>
        <m:r>
          <m:t>γ</m:t>
        </m:r>
      </m:oMath>
      <w:r>
        <w:t xml:space="preserve">: quanto maior a aversão ao risco, maior o ganho de bem-estar de reduzir a variância do consumo. Da mesma forma, o custo social de flutuações do PIB — calculado por Lucas (1987) — é proporcional à aversão ao risco da população.</w:t>
      </w:r>
    </w:p>
    <w:bookmarkStart w:id="330" w:name="X3aaf21283b2c618cfc98a635bc29229018a6da0"/>
    <w:p>
      <w:pPr>
        <w:pStyle w:val="Heading4"/>
      </w:pPr>
      <w:r>
        <w:t xml:space="preserve">7.4.1 Classes importantes de funções de utilidade</w:t>
      </w:r>
    </w:p>
    <w:p>
      <w:pPr>
        <w:pStyle w:val="FirstParagraph"/>
      </w:pPr>
      <w:r>
        <w:t xml:space="preserve">A</w:t>
      </w:r>
      <w:r>
        <w:t xml:space="preserve"> </w:t>
      </w:r>
      <w:hyperlink w:anchor="tabela-7-1">
        <w:r>
          <w:rPr>
            <w:rStyle w:val="Hyperlink"/>
          </w:rPr>
          <w:t xml:space="preserve">Tabela 7.1</w:t>
        </w:r>
      </w:hyperlink>
      <w:r>
        <w:t xml:space="preserve"> </w:t>
      </w:r>
      <w:r>
        <w:t xml:space="preserve">apresenta as classes mais utilizadas de funções de utilidade sob risco e suas propriedades.</w:t>
      </w:r>
    </w:p>
    <w:tbl>
      <w:tblPr>
        <w:tblStyle w:val="Table"/>
        <w:tblW w:type="pct" w:w="5000"/>
        <w:tblLayout w:type="fixed"/>
        <w:tblLook w:firstRow="1" w:lastRow="0" w:firstColumn="0" w:lastColumn="0" w:noHBand="0" w:noVBand="0" w:val="0020"/>
      </w:tblPr>
      <w:tblGrid>
        <w:gridCol w:w="1092"/>
        <w:gridCol w:w="2321"/>
        <w:gridCol w:w="1365"/>
        <w:gridCol w:w="1365"/>
        <w:gridCol w:w="1775"/>
      </w:tblGrid>
      <w:tr>
        <w:trPr>
          <w:tblHeader w:val="on"/>
        </w:trPr>
        <w:tc>
          <w:tcPr/>
          <w:p>
            <w:pPr>
              <w:pStyle w:val="Compact"/>
              <w:jc w:val="left"/>
            </w:pPr>
            <w:r>
              <w:t xml:space="preserve">Classe</w:t>
            </w:r>
          </w:p>
        </w:tc>
        <w:tc>
          <w:tcPr/>
          <w:p>
            <w:pPr>
              <w:pStyle w:val="Compact"/>
              <w:jc w:val="left"/>
            </w:pPr>
            <w:r>
              <w:t xml:space="preserve">Função</w:t>
            </w:r>
            <w:r>
              <w:t xml:space="preserve"> </w:t>
            </w:r>
            <m:oMath>
              <m:r>
                <m:t>u</m:t>
              </m:r>
              <m:r>
                <m:rPr>
                  <m:sty m:val="p"/>
                </m:rPr>
                <m:t>(</m:t>
              </m:r>
              <m:r>
                <m:t>W</m:t>
              </m:r>
              <m:r>
                <m:rPr>
                  <m:sty m:val="p"/>
                </m:rPr>
                <m:t>)</m:t>
              </m:r>
            </m:oMath>
          </w:p>
        </w:tc>
        <w:tc>
          <w:tcPr/>
          <w:p>
            <w:pPr>
              <w:pStyle w:val="Compact"/>
              <w:jc w:val="left"/>
            </w:pPr>
            <m:oMath>
              <m:r>
                <m:t>A</m:t>
              </m:r>
              <m:r>
                <m:rPr>
                  <m:sty m:val="p"/>
                </m:rPr>
                <m:t>(</m:t>
              </m:r>
              <m:r>
                <m:t>W</m:t>
              </m:r>
              <m:r>
                <m:rPr>
                  <m:sty m:val="p"/>
                </m:rPr>
                <m:t>)</m:t>
              </m:r>
            </m:oMath>
          </w:p>
        </w:tc>
        <w:tc>
          <w:tcPr/>
          <w:p>
            <w:pPr>
              <w:pStyle w:val="Compact"/>
              <w:jc w:val="left"/>
            </w:pPr>
            <m:oMath>
              <m:r>
                <m:t>R</m:t>
              </m:r>
              <m:r>
                <m:rPr>
                  <m:sty m:val="p"/>
                </m:rPr>
                <m:t>(</m:t>
              </m:r>
              <m:r>
                <m:t>W</m:t>
              </m:r>
              <m:r>
                <m:rPr>
                  <m:sty m:val="p"/>
                </m:rPr>
                <m:t>)</m:t>
              </m:r>
            </m:oMath>
          </w:p>
        </w:tc>
        <w:tc>
          <w:tcPr/>
          <w:p>
            <w:pPr>
              <w:pStyle w:val="Compact"/>
              <w:jc w:val="left"/>
            </w:pPr>
            <w:r>
              <w:t xml:space="preserve">Propriedade</w:t>
            </w:r>
          </w:p>
        </w:tc>
      </w:tr>
      <w:tr>
        <w:tc>
          <w:tcPr/>
          <w:p>
            <w:pPr>
              <w:pStyle w:val="Compact"/>
              <w:jc w:val="left"/>
            </w:pPr>
            <w:r>
              <w:t xml:space="preserve">CARA (Aversão Absoluta Constante)</w:t>
            </w:r>
          </w:p>
        </w:tc>
        <w:tc>
          <w:tcPr/>
          <w:p>
            <w:pPr>
              <w:pStyle w:val="Compact"/>
              <w:jc w:val="left"/>
            </w:pPr>
            <m:oMath>
              <m:r>
                <m:rPr>
                  <m:sty m:val="p"/>
                </m:rPr>
                <m:t>−</m:t>
              </m:r>
              <m:sSup>
                <m:e>
                  <m:r>
                    <m:t>e</m:t>
                  </m:r>
                </m:e>
                <m:sup>
                  <m:r>
                    <m:rPr>
                      <m:sty m:val="p"/>
                    </m:rPr>
                    <m:t>−</m:t>
                  </m:r>
                  <m:r>
                    <m:t>a</m:t>
                  </m:r>
                  <m:r>
                    <m:t>W</m:t>
                  </m:r>
                </m:sup>
              </m:sSup>
            </m:oMath>
            <w:r>
              <w:t xml:space="preserve">,</w:t>
            </w:r>
            <w:r>
              <w:t xml:space="preserve"> </w:t>
            </w:r>
            <m:oMath>
              <m:r>
                <m:t>a</m:t>
              </m:r>
              <m:r>
                <m:rPr>
                  <m:sty m:val="p"/>
                </m:rPr>
                <m:t>&gt;</m:t>
              </m:r>
              <m:r>
                <m:t>0</m:t>
              </m:r>
            </m:oMath>
          </w:p>
        </w:tc>
        <w:tc>
          <w:tcPr/>
          <w:p>
            <w:pPr>
              <w:pStyle w:val="Compact"/>
              <w:jc w:val="left"/>
            </w:pPr>
            <m:oMath>
              <m:r>
                <m:t>a</m:t>
              </m:r>
            </m:oMath>
            <w:r>
              <w:t xml:space="preserve"> </w:t>
            </w:r>
            <w:r>
              <w:t xml:space="preserve">(constante)</w:t>
            </w:r>
          </w:p>
        </w:tc>
        <w:tc>
          <w:tcPr/>
          <w:p>
            <w:pPr>
              <w:pStyle w:val="Compact"/>
              <w:jc w:val="left"/>
            </w:pPr>
            <m:oMath>
              <m:r>
                <m:t>a</m:t>
              </m:r>
              <m:r>
                <m:t>W</m:t>
              </m:r>
            </m:oMath>
            <w:r>
              <w:t xml:space="preserve"> </w:t>
            </w:r>
            <w:r>
              <w:t xml:space="preserve">(crescente)</w:t>
            </w:r>
          </w:p>
        </w:tc>
        <w:tc>
          <w:tcPr/>
          <w:p>
            <w:pPr>
              <w:pStyle w:val="Compact"/>
              <w:jc w:val="left"/>
            </w:pPr>
            <w:r>
              <w:t xml:space="preserve">A atitude frente a apostas de valor fixo não muda com a riqueza</w:t>
            </w:r>
          </w:p>
        </w:tc>
      </w:tr>
      <w:tr>
        <w:tc>
          <w:tcPr/>
          <w:p>
            <w:pPr>
              <w:pStyle w:val="Compact"/>
              <w:jc w:val="left"/>
            </w:pPr>
            <w:r>
              <w:t xml:space="preserve">CRRA (Aversão Relativa Constante)</w:t>
            </w:r>
          </w:p>
        </w:tc>
        <w:tc>
          <w:tcPr/>
          <w:p>
            <w:pPr>
              <w:pStyle w:val="Compact"/>
              <w:jc w:val="left"/>
            </w:pPr>
            <m:oMath>
              <m:f>
                <m:fPr>
                  <m:type m:val="bar"/>
                </m:fPr>
                <m:num>
                  <m:sSup>
                    <m:e>
                      <m:r>
                        <m:t>W</m:t>
                      </m:r>
                    </m:e>
                    <m:sup>
                      <m:r>
                        <m:t>1</m:t>
                      </m:r>
                      <m:r>
                        <m:rPr>
                          <m:sty m:val="p"/>
                        </m:rPr>
                        <m:t>−</m:t>
                      </m:r>
                      <m:r>
                        <m:t>γ</m:t>
                      </m:r>
                    </m:sup>
                  </m:sSup>
                </m:num>
                <m:den>
                  <m:r>
                    <m:t>1</m:t>
                  </m:r>
                  <m:r>
                    <m:rPr>
                      <m:sty m:val="p"/>
                    </m:rPr>
                    <m:t>−</m:t>
                  </m:r>
                  <m:r>
                    <m:t>γ</m:t>
                  </m:r>
                </m:den>
              </m:f>
            </m:oMath>
            <w:r>
              <w:t xml:space="preserve">,</w:t>
            </w:r>
            <w:r>
              <w:t xml:space="preserve"> </w:t>
            </w:r>
            <m:oMath>
              <m:r>
                <m:t>γ</m:t>
              </m:r>
              <m:r>
                <m:rPr>
                  <m:sty m:val="p"/>
                </m:rPr>
                <m:t>&gt;</m:t>
              </m:r>
              <m:r>
                <m:t>0</m:t>
              </m:r>
              <m:r>
                <m:rPr>
                  <m:sty m:val="p"/>
                </m:rPr>
                <m:t>,</m:t>
              </m:r>
              <m:r>
                <m:t>γ</m:t>
              </m:r>
              <m:r>
                <m:rPr>
                  <m:sty m:val="p"/>
                </m:rPr>
                <m:t>≠</m:t>
              </m:r>
              <m:r>
                <m:t>1</m:t>
              </m:r>
            </m:oMath>
          </w:p>
        </w:tc>
        <w:tc>
          <w:tcPr/>
          <w:p>
            <w:pPr>
              <w:pStyle w:val="Compact"/>
              <w:jc w:val="left"/>
            </w:pPr>
            <m:oMath>
              <m:f>
                <m:fPr>
                  <m:type m:val="bar"/>
                </m:fPr>
                <m:num>
                  <m:r>
                    <m:t>γ</m:t>
                  </m:r>
                </m:num>
                <m:den>
                  <m:r>
                    <m:t>W</m:t>
                  </m:r>
                </m:den>
              </m:f>
            </m:oMath>
            <w:r>
              <w:t xml:space="preserve"> </w:t>
            </w:r>
            <w:r>
              <w:t xml:space="preserve">(decrescente)</w:t>
            </w:r>
          </w:p>
        </w:tc>
        <w:tc>
          <w:tcPr/>
          <w:p>
            <w:pPr>
              <w:pStyle w:val="Compact"/>
              <w:jc w:val="left"/>
            </w:pPr>
            <m:oMath>
              <m:r>
                <m:t>γ</m:t>
              </m:r>
            </m:oMath>
            <w:r>
              <w:t xml:space="preserve"> </w:t>
            </w:r>
            <w:r>
              <w:t xml:space="preserve">(constante)</w:t>
            </w:r>
          </w:p>
        </w:tc>
        <w:tc>
          <w:tcPr/>
          <w:p>
            <w:pPr>
              <w:pStyle w:val="Compact"/>
              <w:jc w:val="left"/>
            </w:pPr>
            <w:r>
              <w:t xml:space="preserve">A atitude frente a apostas proporcionais não muda com a riqueza</w:t>
            </w:r>
          </w:p>
        </w:tc>
      </w:tr>
      <w:tr>
        <w:tc>
          <w:tcPr/>
          <w:p>
            <w:pPr>
              <w:pStyle w:val="Compact"/>
              <w:jc w:val="left"/>
            </w:pPr>
            <w:r>
              <w:t xml:space="preserve">CRRA (caso log)</w:t>
            </w:r>
          </w:p>
        </w:tc>
        <w:tc>
          <w:tcPr/>
          <w:p>
            <w:pPr>
              <w:pStyle w:val="Compact"/>
              <w:jc w:val="left"/>
            </w:pPr>
            <m:oMath>
              <m:r>
                <m:rPr>
                  <m:sty m:val="p"/>
                </m:rPr>
                <m:t>ln</m:t>
              </m:r>
              <m:r>
                <m:rPr>
                  <m:sty m:val="p"/>
                </m:rPr>
                <m:t>(</m:t>
              </m:r>
              <m:r>
                <m:t>W</m:t>
              </m:r>
              <m:r>
                <m:rPr>
                  <m:sty m:val="p"/>
                </m:rPr>
                <m:t>)</m:t>
              </m:r>
            </m:oMath>
          </w:p>
        </w:tc>
        <w:tc>
          <w:tcPr/>
          <w:p>
            <w:pPr>
              <w:pStyle w:val="Compact"/>
              <w:jc w:val="left"/>
            </w:pPr>
            <m:oMath>
              <m:f>
                <m:fPr>
                  <m:type m:val="bar"/>
                </m:fPr>
                <m:num>
                  <m:r>
                    <m:t>1</m:t>
                  </m:r>
                </m:num>
                <m:den>
                  <m:r>
                    <m:t>W</m:t>
                  </m:r>
                </m:den>
              </m:f>
            </m:oMath>
            <w:r>
              <w:t xml:space="preserve"> </w:t>
            </w:r>
            <w:r>
              <w:t xml:space="preserve">(decrescente)</w:t>
            </w:r>
          </w:p>
        </w:tc>
        <w:tc>
          <w:tcPr/>
          <w:p>
            <w:pPr>
              <w:pStyle w:val="Compact"/>
              <w:jc w:val="left"/>
            </w:pPr>
            <m:oMath>
              <m:r>
                <m:t>1</m:t>
              </m:r>
            </m:oMath>
            <w:r>
              <w:t xml:space="preserve"> </w:t>
            </w:r>
            <w:r>
              <w:t xml:space="preserve">(constante)</w:t>
            </w:r>
          </w:p>
        </w:tc>
        <w:tc>
          <w:tcPr/>
          <w:p>
            <w:pPr>
              <w:pStyle w:val="Compact"/>
              <w:jc w:val="left"/>
            </w:pPr>
            <w:r>
              <w:t xml:space="preserve">Caso limite quando</w:t>
            </w:r>
            <w:r>
              <w:t xml:space="preserve"> </w:t>
            </w:r>
            <m:oMath>
              <m:r>
                <m:t>γ</m:t>
              </m:r>
              <m:r>
                <m:rPr>
                  <m:sty m:val="p"/>
                </m:rPr>
                <m:t>→</m:t>
              </m:r>
              <m:r>
                <m:t>1</m:t>
              </m:r>
            </m:oMath>
          </w:p>
        </w:tc>
      </w:tr>
      <w:tr>
        <w:tc>
          <w:tcPr/>
          <w:p>
            <w:pPr>
              <w:pStyle w:val="Compact"/>
              <w:jc w:val="left"/>
            </w:pPr>
            <w:r>
              <w:t xml:space="preserve">DARA (Aversão Absoluta Decrescente)</w:t>
            </w:r>
          </w:p>
        </w:tc>
        <w:tc>
          <w:tcPr/>
          <w:p>
            <w:pPr>
              <w:pStyle w:val="Compact"/>
              <w:jc w:val="left"/>
            </w:pPr>
            <m:oMath>
              <m:r>
                <m:rPr>
                  <m:sty m:val="p"/>
                </m:rPr>
                <m:t>ln</m:t>
              </m:r>
              <m:r>
                <m:rPr>
                  <m:sty m:val="p"/>
                </m:rPr>
                <m:t>(</m:t>
              </m:r>
              <m:r>
                <m:t>W</m:t>
              </m:r>
              <m:r>
                <m:rPr>
                  <m:sty m:val="p"/>
                </m:rPr>
                <m:t>)</m:t>
              </m:r>
            </m:oMath>
            <w:r>
              <w:t xml:space="preserve">,</w:t>
            </w:r>
            <w:r>
              <w:t xml:space="preserve"> </w:t>
            </w:r>
            <m:oMath>
              <m:f>
                <m:fPr>
                  <m:type m:val="bar"/>
                </m:fPr>
                <m:num>
                  <m:sSup>
                    <m:e>
                      <m:r>
                        <m:t>W</m:t>
                      </m:r>
                    </m:e>
                    <m:sup>
                      <m:r>
                        <m:t>1</m:t>
                      </m:r>
                      <m:r>
                        <m:rPr>
                          <m:sty m:val="p"/>
                        </m:rPr>
                        <m:t>−</m:t>
                      </m:r>
                      <m:r>
                        <m:t>γ</m:t>
                      </m:r>
                    </m:sup>
                  </m:sSup>
                </m:num>
                <m:den>
                  <m:r>
                    <m:t>1</m:t>
                  </m:r>
                  <m:r>
                    <m:rPr>
                      <m:sty m:val="p"/>
                    </m:rPr>
                    <m:t>−</m:t>
                  </m:r>
                  <m:r>
                    <m:t>γ</m:t>
                  </m:r>
                </m:den>
              </m:f>
            </m:oMath>
          </w:p>
        </w:tc>
        <w:tc>
          <w:tcPr/>
          <w:p>
            <w:pPr>
              <w:pStyle w:val="Compact"/>
              <w:jc w:val="left"/>
            </w:pPr>
            <w:r>
              <w:t xml:space="preserve">Decrescente em</w:t>
            </w:r>
            <w:r>
              <w:t xml:space="preserve"> </w:t>
            </w:r>
            <m:oMath>
              <m:r>
                <m:t>W</m:t>
              </m:r>
            </m:oMath>
          </w:p>
        </w:tc>
        <w:tc>
          <w:tcPr/>
          <w:p>
            <w:pPr>
              <w:pStyle w:val="Compact"/>
              <w:jc w:val="left"/>
            </w:pPr>
            <w:r>
              <w:t xml:space="preserve">Depende da forma</w:t>
            </w:r>
          </w:p>
        </w:tc>
        <w:tc>
          <w:tcPr/>
          <w:p>
            <w:pPr>
              <w:pStyle w:val="Compact"/>
              <w:jc w:val="left"/>
            </w:pPr>
            <w:r>
              <w:t xml:space="preserve">Agentes mais ricos aceitam mais risco absoluto</w:t>
            </w:r>
          </w:p>
        </w:tc>
      </w:tr>
      <w:tr>
        <w:tc>
          <w:tcPr/>
          <w:p>
            <w:pPr>
              <w:pStyle w:val="Compact"/>
              <w:jc w:val="left"/>
            </w:pPr>
            <w:r>
              <w:t xml:space="preserve">Quadrática</w:t>
            </w:r>
          </w:p>
        </w:tc>
        <w:tc>
          <w:tcPr/>
          <w:p>
            <w:pPr>
              <w:pStyle w:val="Compact"/>
              <w:jc w:val="left"/>
            </w:pPr>
            <m:oMath>
              <m:r>
                <m:t>W</m:t>
              </m:r>
              <m:r>
                <m:rPr>
                  <m:sty m:val="p"/>
                </m:rPr>
                <m:t>−</m:t>
              </m:r>
              <m:r>
                <m:t>b</m:t>
              </m:r>
              <m:sSup>
                <m:e>
                  <m:r>
                    <m:t>W</m:t>
                  </m:r>
                </m:e>
                <m:sup>
                  <m:r>
                    <m:t>2</m:t>
                  </m:r>
                </m:sup>
              </m:sSup>
            </m:oMath>
            <w:r>
              <w:t xml:space="preserve">,</w:t>
            </w:r>
            <w:r>
              <w:t xml:space="preserve"> </w:t>
            </w:r>
            <m:oMath>
              <m:r>
                <m:t>b</m:t>
              </m:r>
              <m:r>
                <m:rPr>
                  <m:sty m:val="p"/>
                </m:rPr>
                <m:t>&gt;</m:t>
              </m:r>
              <m:r>
                <m:t>0</m:t>
              </m:r>
            </m:oMath>
          </w:p>
        </w:tc>
        <w:tc>
          <w:tcPr/>
          <w:p>
            <w:pPr>
              <w:pStyle w:val="Compact"/>
              <w:jc w:val="left"/>
            </w:pPr>
            <m:oMath>
              <m:f>
                <m:fPr>
                  <m:type m:val="bar"/>
                </m:fPr>
                <m:num>
                  <m:r>
                    <m:t>2</m:t>
                  </m:r>
                  <m:r>
                    <m:t>b</m:t>
                  </m:r>
                </m:num>
                <m:den>
                  <m:r>
                    <m:t>1</m:t>
                  </m:r>
                  <m:r>
                    <m:rPr>
                      <m:sty m:val="p"/>
                    </m:rPr>
                    <m:t>−</m:t>
                  </m:r>
                  <m:r>
                    <m:t>2</m:t>
                  </m:r>
                  <m:r>
                    <m:t>b</m:t>
                  </m:r>
                  <m:r>
                    <m:t>W</m:t>
                  </m:r>
                </m:den>
              </m:f>
            </m:oMath>
            <w:r>
              <w:t xml:space="preserve"> </w:t>
            </w:r>
            <w:r>
              <w:t xml:space="preserve">(crescente)</w:t>
            </w:r>
          </w:p>
        </w:tc>
        <w:tc>
          <w:tcPr/>
          <w:p>
            <w:pPr>
              <w:pStyle w:val="Compact"/>
              <w:jc w:val="left"/>
            </w:pPr>
            <m:oMath>
              <m:f>
                <m:fPr>
                  <m:type m:val="bar"/>
                </m:fPr>
                <m:num>
                  <m:r>
                    <m:t>2</m:t>
                  </m:r>
                  <m:r>
                    <m:t>b</m:t>
                  </m:r>
                  <m:r>
                    <m:t>W</m:t>
                  </m:r>
                </m:num>
                <m:den>
                  <m:r>
                    <m:t>1</m:t>
                  </m:r>
                  <m:r>
                    <m:rPr>
                      <m:sty m:val="p"/>
                    </m:rPr>
                    <m:t>−</m:t>
                  </m:r>
                  <m:r>
                    <m:t>2</m:t>
                  </m:r>
                  <m:r>
                    <m:t>b</m:t>
                  </m:r>
                  <m:r>
                    <m:t>W</m:t>
                  </m:r>
                </m:den>
              </m:f>
            </m:oMath>
            <w:r>
              <w:t xml:space="preserve"> </w:t>
            </w:r>
            <w:r>
              <w:t xml:space="preserve">(crescente)</w:t>
            </w:r>
          </w:p>
        </w:tc>
        <w:tc>
          <w:tcPr/>
          <w:p>
            <w:pPr>
              <w:pStyle w:val="Compact"/>
              <w:jc w:val="left"/>
            </w:pPr>
            <w:r>
              <w:t xml:space="preserve">IARA — propriedade pouco realista</w:t>
            </w:r>
          </w:p>
        </w:tc>
      </w:tr>
    </w:tbl>
    <w:p>
      <w:pPr>
        <w:pStyle w:val="BodyText"/>
      </w:pPr>
      <w:r>
        <w:rPr>
          <w:b/>
          <w:bCs/>
        </w:rPr>
        <w:t xml:space="preserve">Tabela 7.1 — Classes importantes de funções de utilidade.</w:t>
      </w:r>
    </w:p>
    <w:p>
      <w:pPr>
        <w:pStyle w:val="BlockText"/>
      </w:pPr>
      <w:r>
        <w:rPr>
          <w:b/>
          <w:bCs/>
        </w:rPr>
        <w:t xml:space="preserve">[DICA] DARA como propriedade desejável</w:t>
      </w:r>
    </w:p>
    <w:p>
      <w:pPr>
        <w:pStyle w:val="BlockText"/>
      </w:pPr>
      <w:r>
        <w:t xml:space="preserve">A evidência empírica sugere fortemente que a aversão absoluta ao risco é</w:t>
      </w:r>
      <w:r>
        <w:t xml:space="preserve"> </w:t>
      </w:r>
      <w:r>
        <w:rPr>
          <w:b/>
          <w:bCs/>
        </w:rPr>
        <w:t xml:space="preserve">decrescente</w:t>
      </w:r>
      <w:r>
        <w:t xml:space="preserve"> </w:t>
      </w:r>
      <w:r>
        <w:t xml:space="preserve">na riqueza (DARA): indivíduos mais ricos estão dispostos a aceitar apostas de valor fixo que indivíduos mais pobres recusariam. A função de utilidade quadrática, embora matematicamente conveniente, viola essa propriedade (apresenta IARA) e possui a limitação adicional de que a utilidade marginal se torna negativa para riquezas suficientemente altas.</w:t>
      </w:r>
    </w:p>
    <w:p>
      <w:pPr>
        <w:pStyle w:val="BlockText"/>
      </w:pPr>
      <w:r>
        <w:rPr>
          <w:b/>
          <w:bCs/>
        </w:rPr>
        <w:t xml:space="preserve">[INFORMACAO] 🏅 Prêmio Nobel — Kenneth J. Arrow (1972)</w:t>
      </w:r>
    </w:p>
    <w:p>
      <w:pPr>
        <w:pStyle w:val="BlockText"/>
      </w:pPr>
      <w:r>
        <w:rPr>
          <w:b/>
          <w:bCs/>
        </w:rPr>
        <w:t xml:space="preserve">Kenneth Joseph Arrow</w:t>
      </w:r>
      <w:r>
        <w:t xml:space="preserve"> </w:t>
      </w:r>
      <w:r>
        <w:t xml:space="preserve">(1921–2017) foi um economista americano. Obteve o PhD na Universidade de Columbia e foi professor em Stanford e Harvard. Dividiu o Nobel com John Hicks. É considerado um dos economistas mais influentes do século XX.</w:t>
      </w:r>
    </w:p>
    <w:p>
      <w:pPr>
        <w:pStyle w:val="BlockText"/>
      </w:pPr>
      <w:r>
        <w:rPr>
          <w:b/>
          <w:bCs/>
        </w:rPr>
        <w:t xml:space="preserve">Por que ganhou o Nobel:</w:t>
      </w:r>
      <w:r>
        <w:t xml:space="preserve"> </w:t>
      </w:r>
      <w:r>
        <w:t xml:space="preserve">Premiado por suas contribuições pioneiras à teoria do equilíbrio geral e à teoria do bem-estar. Arrow fez contribuições fundamentais em múltiplas áreas: provou (com Debreu) a existência do equilíbrio geral competitivo, formulou o teorema da impossibilidade em escolha social, e desenvolveu a teoria de mercados contingentes (Arrow-Debreu) para alocação eficiente de risco.</w:t>
      </w:r>
    </w:p>
    <w:p>
      <w:pPr>
        <w:pStyle w:val="BlockText"/>
      </w:pPr>
      <w:r>
        <w:rPr>
          <w:b/>
          <w:bCs/>
        </w:rPr>
        <w:t xml:space="preserve">Conexão com este capítulo:</w:t>
      </w:r>
      <w:r>
        <w:t xml:space="preserve"> </w:t>
      </w:r>
      <w:r>
        <w:t xml:space="preserve">O coeficiente de Arrow-Pratt de aversão ao risco — medida central para classificar atitudes frente ao risco — foi desenvolvido independentemente por Arrow e John W. Pratt. As medidas de aversão absoluta e relativa ao risco, que determinam como a demanda por seguros e ativos arriscados varia com a riqueza, são ferramentas essenciais da análise de risco apresentada neste capítulo.</w:t>
      </w:r>
    </w:p>
    <w:p>
      <w:pPr>
        <w:pStyle w:val="BlockText"/>
      </w:pPr>
      <w:r>
        <w:rPr>
          <w:b/>
          <w:bCs/>
        </w:rPr>
        <w:t xml:space="preserve">[BOX MUNDO] Box Mundo 7.1 — Preferências por risco ao redor do mundo</w:t>
      </w:r>
    </w:p>
    <w:p>
      <w:pPr>
        <w:pStyle w:val="BlockText"/>
      </w:pPr>
      <w:r>
        <w:rPr>
          <w:b/>
          <w:bCs/>
        </w:rPr>
        <w:t xml:space="preserve">Contexto:</w:t>
      </w:r>
      <w:r>
        <w:t xml:space="preserve"> </w:t>
      </w:r>
      <w:r>
        <w:t xml:space="preserve">A aversão ao risco é um parâmetro central da teoria microeconômica, mas será que ela varia sistematicamente entre países e culturas? Nas últimas três décadas, economistas e psicólogos acumularam evidências robustas de que as atitudes frente ao risco não são universais — elas variam com a renda per capita, a cultura, a estrutura institucional e até a história de exposição a choques econômicos de cada sociedade. Essa variação tem implicações profundas: se o coeficiente de Arrow-Pratt difere entre países, então a demanda por seguros, a composição de portfólios e o design ótimo de políticas públicas também devem diferir.</w:t>
      </w:r>
    </w:p>
    <w:p>
      <w:pPr>
        <w:pStyle w:val="BlockText"/>
      </w:pPr>
      <w:r>
        <w:rPr>
          <w:b/>
          <w:bCs/>
        </w:rPr>
        <w:t xml:space="preserve">Dados:</w:t>
      </w:r>
      <w:r>
        <w:t xml:space="preserve"> </w:t>
      </w:r>
      <w:r>
        <w:t xml:space="preserve">Barsky et al. (1997), utilizando dados do</w:t>
      </w:r>
      <w:r>
        <w:t xml:space="preserve"> </w:t>
      </w:r>
      <w:r>
        <w:rPr>
          <w:i/>
          <w:iCs/>
        </w:rPr>
        <w:t xml:space="preserve">Health and Retirement Study</w:t>
      </w:r>
      <w:r>
        <w:t xml:space="preserve"> </w:t>
      </w:r>
      <w:r>
        <w:t xml:space="preserve">(HRS) dos Estados Unidos, foram pioneiros ao estimar a tolerância ao risco a partir de questões hipotéticas sobre loterias de renda vitalícia. Encontraram que cerca de 65% dos respondentes americanos são altamente avessos ao risco, com coeficientes de aversão relativa ao risco (</w:t>
      </w:r>
      <m:oMath>
        <m:sSub>
          <m:e>
            <m:r>
              <m:t>R</m:t>
            </m:r>
          </m:e>
          <m:sub>
            <m:r>
              <m:t>R</m:t>
            </m:r>
          </m:sub>
        </m:sSub>
      </m:oMath>
      <w:r>
        <w:t xml:space="preserve">) estimados acima de 3,76. Duas décadas depois, Falk et al. (2018) conduziram o</w:t>
      </w:r>
      <w:r>
        <w:t xml:space="preserve"> </w:t>
      </w:r>
      <w:r>
        <w:rPr>
          <w:i/>
          <w:iCs/>
        </w:rPr>
        <w:t xml:space="preserve">Global Preferences Survey</w:t>
      </w:r>
      <w:r>
        <w:t xml:space="preserve"> </w:t>
      </w:r>
      <w:r>
        <w:t xml:space="preserve">(GPS), coletando dados padronizados sobre preferências de risco em 76 países e mais de 80.000 indivíduos. Os resultados revelam variação substancial: países do Leste Europeu e da África Subsaariana apresentam, em média, maior aversão ao risco do que países nórdicos e anglo-saxões. O Brasil posiciona-se numa faixa intermediária, com disposição a assumir riscos ligeiramente abaixo da média global — consistente com a alta volatilidade macroeconômica historicamente experimentada pela população brasileira.</w:t>
      </w:r>
    </w:p>
    <w:p>
      <w:pPr>
        <w:pStyle w:val="BlockText"/>
      </w:pPr>
      <w:r>
        <w:rPr>
          <w:b/>
          <w:bCs/>
        </w:rPr>
        <w:t xml:space="preserve">Análise:</w:t>
      </w:r>
      <w:r>
        <w:t xml:space="preserve"> </w:t>
      </w:r>
      <w:r>
        <w:t xml:space="preserve">A variação cross-country nas preferências de risco não é mero ruído estatístico — ela se correlaciona de forma significativa com variáveis institucionais e econômicas. Países com sistemas de proteção social mais desenvolvidos (seguro-desemprego generoso, saúde pública universal) tendem a apresentar maior tolerância ao risco individual, sugerindo que a rede de segurança estatal funciona como um</w:t>
      </w:r>
      <w:r>
        <w:t xml:space="preserve"> </w:t>
      </w:r>
      <w:r>
        <w:t xml:space="preserve">“seguro implícito”</w:t>
      </w:r>
      <w:r>
        <w:t xml:space="preserve"> </w:t>
      </w:r>
      <w:r>
        <w:t xml:space="preserve">que reduz o custo pessoal de assumir riscos. Do ponto de vista teórico, esses dados reforçam a importância de tratar</w:t>
      </w:r>
      <w:r>
        <w:t xml:space="preserve"> </w:t>
      </w:r>
      <m:oMath>
        <m:sSub>
          <m:e>
            <m:r>
              <m:t>R</m:t>
            </m:r>
          </m:e>
          <m:sub>
            <m:r>
              <m:t>A</m:t>
            </m:r>
          </m:sub>
        </m:sSub>
        <m:r>
          <m:rPr>
            <m:sty m:val="p"/>
          </m:rPr>
          <m:t>(</m:t>
        </m:r>
        <m:r>
          <m:t>W</m:t>
        </m:r>
        <m:r>
          <m:rPr>
            <m:sty m:val="p"/>
          </m:rPr>
          <m:t>)</m:t>
        </m:r>
      </m:oMath>
      <w:r>
        <w:t xml:space="preserve"> </w:t>
      </w:r>
      <w:r>
        <w:t xml:space="preserve">e</w:t>
      </w:r>
      <w:r>
        <w:t xml:space="preserve"> </w:t>
      </w:r>
      <m:oMath>
        <m:sSub>
          <m:e>
            <m:r>
              <m:t>R</m:t>
            </m:r>
          </m:e>
          <m:sub>
            <m:r>
              <m:t>R</m:t>
            </m:r>
          </m:sub>
        </m:sSub>
        <m:r>
          <m:rPr>
            <m:sty m:val="p"/>
          </m:rPr>
          <m:t>(</m:t>
        </m:r>
        <m:r>
          <m:t>W</m:t>
        </m:r>
        <m:r>
          <m:rPr>
            <m:sty m:val="p"/>
          </m:rPr>
          <m:t>)</m:t>
        </m:r>
      </m:oMath>
      <w:r>
        <w:t xml:space="preserve"> </w:t>
      </w:r>
      <w:r>
        <w:t xml:space="preserve">não como constantes universais, mas como parâmetros heterogêneos cuja distribuição depende do contexto socioeconômico — uma premissa central para a economia comportamental (Capítulo 8) e para o desenho de mecanismos (capítulos posteriores).</w:t>
      </w:r>
    </w:p>
    <w:p>
      <w:pPr>
        <w:pStyle w:val="BlockText"/>
      </w:pPr>
      <w:r>
        <w:rPr>
          <w:b/>
          <w:bCs/>
        </w:rPr>
        <w:t xml:space="preserve">Fonte:</w:t>
      </w:r>
      <w:r>
        <w:t xml:space="preserve"> </w:t>
      </w:r>
      <w:r>
        <w:t xml:space="preserve">Barsky, R. B.; Juster, F. T.; Kimball, M. S.; Shapiro, M. D. (1997).</w:t>
      </w:r>
      <w:r>
        <w:t xml:space="preserve"> </w:t>
      </w:r>
      <w:r>
        <w:t xml:space="preserve">“Preference Parameters and Behavioral Heterogeneity: An Experimental Approach in the Health and Retirement Study.”</w:t>
      </w:r>
      <w:r>
        <w:t xml:space="preserve"> </w:t>
      </w:r>
      <w:r>
        <w:rPr>
          <w:i/>
          <w:iCs/>
        </w:rPr>
        <w:t xml:space="preserve">Quarterly Journal of Economics</w:t>
      </w:r>
      <w:r>
        <w:t xml:space="preserve">, 112(2), 537–579. Falk, A.; Becker, A.; Dohmen, T.; Enke, B.; Huffman, D.; Sunde, U. (2018).</w:t>
      </w:r>
      <w:r>
        <w:t xml:space="preserve"> </w:t>
      </w:r>
      <w:r>
        <w:t xml:space="preserve">“Global Evidence on Economic Preferences.”</w:t>
      </w:r>
      <w:r>
        <w:t xml:space="preserve"> </w:t>
      </w:r>
      <w:r>
        <w:rPr>
          <w:i/>
          <w:iCs/>
        </w:rPr>
        <w:t xml:space="preserve">Quarterly Journal of Economics</w:t>
      </w:r>
      <w:r>
        <w:t xml:space="preserve">, 133(4), 1645–1692.</w:t>
      </w:r>
    </w:p>
    <w:p>
      <w:r>
        <w:pict>
          <v:rect style="width:0;height:1.5pt" o:hralign="center" o:hrstd="t" o:hr="t"/>
        </w:pict>
      </w:r>
    </w:p>
    <w:bookmarkEnd w:id="330"/>
    <w:bookmarkEnd w:id="331"/>
    <w:bookmarkStart w:id="333" w:name="X6544eeee7caeb5010682657ff3ef7fa1ecad8ea"/>
    <w:p>
      <w:pPr>
        <w:pStyle w:val="Heading3"/>
      </w:pPr>
      <w:r>
        <w:t xml:space="preserve">7.5 Quanto Você Pagaria para Dormir Tranquilo? Prêmio de Risco e EC</w:t>
      </w:r>
    </w:p>
    <w:p>
      <w:pPr>
        <w:pStyle w:val="FirstParagraph"/>
      </w:pPr>
      <w:r>
        <w:t xml:space="preserve">As medidas de Arrow-Pratt descrevem a aversão ao risco em termos da curvatura da função de utilidade — uma grandeza matemática. Mas como traduzir essa curvatura em termos econômicos concretos? Quanto, em reais, um agente pagaria para se livrar de um risco? É exatamente isso que os conceitos de</w:t>
      </w:r>
      <w:r>
        <w:t xml:space="preserve"> </w:t>
      </w:r>
      <w:r>
        <w:rPr>
          <w:b/>
          <w:bCs/>
        </w:rPr>
        <w:t xml:space="preserve">equivalente de certeza</w:t>
      </w:r>
      <w:r>
        <w:t xml:space="preserve"> </w:t>
      </w:r>
      <w:r>
        <w:t xml:space="preserve">e</w:t>
      </w:r>
      <w:r>
        <w:t xml:space="preserve"> </w:t>
      </w:r>
      <w:r>
        <w:rPr>
          <w:b/>
          <w:bCs/>
        </w:rPr>
        <w:t xml:space="preserve">prêmio de risco</w:t>
      </w:r>
      <w:r>
        <w:t xml:space="preserve"> </w:t>
      </w:r>
      <w:r>
        <w:t xml:space="preserve">fazem: eles transformam a informação contida na função de utilidade em valores monetários que podem ser diretamente observados ou estimados no mercado.</w:t>
      </w:r>
    </w:p>
    <w:p>
      <w:pPr>
        <w:pStyle w:val="BlockText"/>
      </w:pPr>
      <w:r>
        <w:rPr>
          <w:b/>
          <w:bCs/>
        </w:rPr>
        <w:t xml:space="preserve">[DEFINICAO] Equivalente de Certeza</w:t>
      </w:r>
    </w:p>
    <w:p>
      <w:pPr>
        <w:pStyle w:val="BlockText"/>
      </w:pPr>
      <w:r>
        <w:t xml:space="preserve">O</w:t>
      </w:r>
      <w:r>
        <w:t xml:space="preserve"> </w:t>
      </w:r>
      <w:r>
        <w:rPr>
          <w:b/>
          <w:bCs/>
        </w:rPr>
        <w:t xml:space="preserve">equivalente de certeza</w:t>
      </w:r>
      <w:r>
        <w:t xml:space="preserve"> </w:t>
      </w:r>
      <w:r>
        <w:t xml:space="preserve">(EC) de uma loteria</w:t>
      </w:r>
      <w:r>
        <w:t xml:space="preserve"> </w:t>
      </w:r>
      <m:oMath>
        <m:acc>
          <m:accPr>
            <m:chr m:val="̃"/>
          </m:accPr>
          <m:e>
            <m:r>
              <m:t>W</m:t>
            </m:r>
          </m:e>
        </m:acc>
      </m:oMath>
      <w:r>
        <w:t xml:space="preserve"> </w:t>
      </w:r>
      <w:r>
        <w:t xml:space="preserve">é o valor monetário certo</w:t>
      </w:r>
      <w:r>
        <w:t xml:space="preserve"> </w:t>
      </w:r>
      <m:oMath>
        <m:sSub>
          <m:e>
            <m:r>
              <m:t>W</m:t>
            </m:r>
          </m:e>
          <m:sub>
            <m:r>
              <m:t>E</m:t>
            </m:r>
            <m:r>
              <m:t>C</m:t>
            </m:r>
          </m:sub>
        </m:sSub>
      </m:oMath>
      <w:r>
        <w:t xml:space="preserve"> </w:t>
      </w:r>
      <w:r>
        <w:t xml:space="preserve">tal que o agente é indiferente entre receber</w:t>
      </w:r>
      <w:r>
        <w:t xml:space="preserve"> </w:t>
      </w:r>
      <m:oMath>
        <m:sSub>
          <m:e>
            <m:r>
              <m:t>W</m:t>
            </m:r>
          </m:e>
          <m:sub>
            <m:r>
              <m:t>E</m:t>
            </m:r>
            <m:r>
              <m:t>C</m:t>
            </m:r>
          </m:sub>
        </m:sSub>
      </m:oMath>
      <w:r>
        <w:t xml:space="preserve"> </w:t>
      </w:r>
      <w:r>
        <w:t xml:space="preserve">com certeza e participar da loteria:</w:t>
      </w:r>
    </w:p>
    <w:p>
      <w:pPr>
        <w:pStyle w:val="BlockText"/>
      </w:pPr>
      <w:r>
        <w:t xml:space="preserve">$$</w:t>
      </w:r>
    </w:p>
    <w:p>
      <w:pPr>
        <w:pStyle w:val="BlockText"/>
      </w:pPr>
      <w:r>
        <w:t xml:space="preserve">u(W_{EC}) = E[u(</w:t>
      </w:r>
      <w:r>
        <w:t xml:space="preserve">)]</w:t>
      </w:r>
    </w:p>
    <w:p>
      <w:pPr>
        <w:pStyle w:val="BlockText"/>
      </w:pPr>
      <w:r>
        <w:t xml:space="preserve">$$</w:t>
      </w:r>
    </w:p>
    <w:p>
      <w:pPr>
        <w:pStyle w:val="BlockText"/>
      </w:pPr>
      <w:r>
        <w:t xml:space="preserve">Para um agente estritamente avesso ao risco (</w:t>
      </w:r>
      <m:oMath>
        <m:sSup>
          <m:e>
            <m:r>
              <m:t>u</m:t>
            </m:r>
          </m:e>
          <m:sup>
            <m:r>
              <m:rPr>
                <m:sty m:val="p"/>
              </m:rPr>
              <m:t>″</m:t>
            </m:r>
          </m:sup>
        </m:sSup>
        <m:r>
          <m:rPr>
            <m:sty m:val="p"/>
          </m:rPr>
          <m:t>&lt;</m:t>
        </m:r>
        <m:r>
          <m:t>0</m:t>
        </m:r>
      </m:oMath>
      <w:r>
        <w:t xml:space="preserve">), o equivalente de certeza é</w:t>
      </w:r>
      <w:r>
        <w:t xml:space="preserve"> </w:t>
      </w:r>
      <w:r>
        <w:rPr>
          <w:i/>
          <w:iCs/>
        </w:rPr>
        <w:t xml:space="preserve">estritamente menor</w:t>
      </w:r>
      <w:r>
        <w:t xml:space="preserve"> </w:t>
      </w:r>
      <w:r>
        <w:t xml:space="preserve">que o valor esperado da loteria:</w:t>
      </w:r>
      <w:r>
        <w:t xml:space="preserve"> </w:t>
      </w:r>
      <m:oMath>
        <m:sSub>
          <m:e>
            <m:r>
              <m:t>W</m:t>
            </m:r>
          </m:e>
          <m:sub>
            <m:r>
              <m:t>E</m:t>
            </m:r>
            <m:r>
              <m:t>C</m:t>
            </m:r>
          </m:sub>
        </m:sSub>
        <m:r>
          <m:rPr>
            <m:sty m:val="p"/>
          </m:rPr>
          <m:t>&lt;</m:t>
        </m:r>
        <m:r>
          <m:t>E</m:t>
        </m:r>
        <m:r>
          <m:rPr>
            <m:sty m:val="p"/>
          </m:rPr>
          <m:t>[</m:t>
        </m:r>
        <m:acc>
          <m:accPr>
            <m:chr m:val="̃"/>
          </m:accPr>
          <m:e>
            <m:r>
              <m:t>W</m:t>
            </m:r>
          </m:e>
        </m:acc>
        <m:r>
          <m:rPr>
            <m:sty m:val="p"/>
          </m:rPr>
          <m:t>]</m:t>
        </m:r>
      </m:oMath>
      <w:r>
        <w:t xml:space="preserve">. O</w:t>
      </w:r>
      <w:r>
        <w:t xml:space="preserve"> </w:t>
      </w:r>
      <w:r>
        <w:rPr>
          <w:b/>
          <w:bCs/>
        </w:rPr>
        <w:t xml:space="preserve">prêmio de risco</w:t>
      </w:r>
      <w:r>
        <w:t xml:space="preserve"> </w:t>
      </w:r>
      <m:oMath>
        <m:r>
          <m:t>π</m:t>
        </m:r>
      </m:oMath>
      <w:r>
        <w:t xml:space="preserve"> </w:t>
      </w:r>
      <w:r>
        <w:t xml:space="preserve">é a diferença:</w:t>
      </w:r>
    </w:p>
    <w:p>
      <w:pPr>
        <w:pStyle w:val="BlockText"/>
      </w:pPr>
      <w:r>
        <w:t xml:space="preserve">$$</w:t>
      </w:r>
    </w:p>
    <w:p>
      <w:pPr>
        <w:pStyle w:val="BlockText"/>
      </w:pPr>
      <w:r>
        <w:t xml:space="preserve">= E[</w:t>
      </w:r>
      <w:r>
        <w:t xml:space="preserve">] - W_{EC} &gt; 0</w:t>
      </w:r>
    </w:p>
    <w:p>
      <w:pPr>
        <w:pStyle w:val="BlockText"/>
      </w:pPr>
      <w:r>
        <w:t xml:space="preserve">$$</w:t>
      </w:r>
    </w:p>
    <w:p>
      <w:pPr>
        <w:pStyle w:val="BlockText"/>
      </w:pPr>
      <w:r>
        <w:t xml:space="preserve">O prêmio de risco mede o</w:t>
      </w:r>
      <w:r>
        <w:t xml:space="preserve"> </w:t>
      </w:r>
      <w:r>
        <w:t xml:space="preserve">“custo”</w:t>
      </w:r>
      <w:r>
        <w:t xml:space="preserve"> </w:t>
      </w:r>
      <w:r>
        <w:t xml:space="preserve">da incerteza em termos monetários: é o máximo que o agente pagaria para eliminar o risco, ou equivalentemente, a compensação mínima que ele exigiria para suportar o risco sem reclamar. A precificação de ativos arriscados — CAPM, fator de desconto estocástico e o enigma do prêmio de risco — é aprofundada no Capítulo 18.</w:t>
      </w:r>
    </w:p>
    <w:p>
      <w:pPr>
        <w:pStyle w:val="BlockText"/>
      </w:pPr>
      <w:r>
        <w:rPr>
          <w:b/>
          <w:bCs/>
        </w:rPr>
        <w:t xml:space="preserve">[DEFINICAO] Equivalente de certeza e prêmio de risco</w:t>
      </w:r>
    </w:p>
    <w:p>
      <w:pPr>
        <w:pStyle w:val="BlockText"/>
      </w:pPr>
      <w:r>
        <w:t xml:space="preserve">Seja</w:t>
      </w:r>
      <w:r>
        <w:t xml:space="preserve"> </w:t>
      </w:r>
      <m:oMath>
        <m:acc>
          <m:accPr>
            <m:chr m:val="̃"/>
          </m:accPr>
          <m:e>
            <m:r>
              <m:t>W</m:t>
            </m:r>
          </m:e>
        </m:acc>
        <m:r>
          <m:rPr>
            <m:sty m:val="p"/>
          </m:rPr>
          <m:t>=</m:t>
        </m:r>
        <m:r>
          <m:t>W</m:t>
        </m:r>
        <m:r>
          <m:rPr>
            <m:sty m:val="p"/>
          </m:rPr>
          <m:t>+</m:t>
        </m:r>
        <m:acc>
          <m:accPr>
            <m:chr m:val="̃"/>
          </m:accPr>
          <m:e>
            <m:r>
              <m:t>ε</m:t>
            </m:r>
          </m:e>
        </m:acc>
      </m:oMath>
      <w:r>
        <w:t xml:space="preserve"> </w:t>
      </w:r>
      <w:r>
        <w:t xml:space="preserve">a riqueza aleatória, onde</w:t>
      </w:r>
      <w:r>
        <w:t xml:space="preserve"> </w:t>
      </w:r>
      <m:oMath>
        <m:acc>
          <m:accPr>
            <m:chr m:val="̃"/>
          </m:accPr>
          <m:e>
            <m:r>
              <m:t>ε</m:t>
            </m:r>
          </m:e>
        </m:acc>
      </m:oMath>
      <w:r>
        <w:t xml:space="preserve"> </w:t>
      </w:r>
      <w:r>
        <w:t xml:space="preserve">é um risco justo (isto é,</w:t>
      </w:r>
      <w:r>
        <w:t xml:space="preserve"> </w:t>
      </w:r>
      <m:oMath>
        <m:r>
          <m:t>E</m:t>
        </m:r>
        <m:r>
          <m:rPr>
            <m:sty m:val="p"/>
          </m:rPr>
          <m:t>[</m:t>
        </m:r>
        <m:acc>
          <m:accPr>
            <m:chr m:val="̃"/>
          </m:accPr>
          <m:e>
            <m:r>
              <m:t>ε</m:t>
            </m:r>
          </m:e>
        </m:acc>
        <m:r>
          <m:rPr>
            <m:sty m:val="p"/>
          </m:rPr>
          <m:t>]</m:t>
        </m:r>
        <m:r>
          <m:rPr>
            <m:sty m:val="p"/>
          </m:rPr>
          <m:t>=</m:t>
        </m:r>
        <m:r>
          <m:t>0</m:t>
        </m:r>
      </m:oMath>
      <w:r>
        <w:t xml:space="preserve">) com variância</w:t>
      </w:r>
      <w:r>
        <w:t xml:space="preserve"> </w:t>
      </w:r>
      <m:oMath>
        <m:sSup>
          <m:e>
            <m:r>
              <m:t>σ</m:t>
            </m:r>
          </m:e>
          <m:sup>
            <m:r>
              <m:t>2</m:t>
            </m:r>
          </m:sup>
        </m:sSup>
      </m:oMath>
      <w:r>
        <w:t xml:space="preserve">.</w:t>
      </w:r>
    </w:p>
    <w:p>
      <w:pPr>
        <w:pStyle w:val="Compact"/>
        <w:numPr>
          <w:ilvl w:val="0"/>
          <w:numId w:val="1329"/>
        </w:numPr>
      </w:pPr>
      <w:r>
        <w:t xml:space="preserve">O</w:t>
      </w:r>
      <w:r>
        <w:t xml:space="preserve"> </w:t>
      </w:r>
      <w:r>
        <w:rPr>
          <w:b/>
          <w:bCs/>
        </w:rPr>
        <w:t xml:space="preserve">equivalente de certeza</w:t>
      </w:r>
      <w:r>
        <w:t xml:space="preserve"> </w:t>
      </w:r>
      <m:oMath>
        <m:sSub>
          <m:e>
            <m:r>
              <m:t>W</m:t>
            </m:r>
          </m:e>
          <m:sub>
            <m:r>
              <m:t>E</m:t>
            </m:r>
            <m:r>
              <m:t>C</m:t>
            </m:r>
          </m:sub>
        </m:sSub>
      </m:oMath>
      <w:r>
        <w:t xml:space="preserve"> </w:t>
      </w:r>
      <w:r>
        <w:t xml:space="preserve">é o valor certo que proporciona a mesma utilidade esperada da loteria:</w:t>
      </w:r>
    </w:p>
    <w:p>
      <w:pPr>
        <w:pStyle w:val="BlockText"/>
      </w:pPr>
      <w:r>
        <w:t xml:space="preserve">$$</w:t>
      </w:r>
    </w:p>
    <w:p>
      <w:pPr>
        <w:pStyle w:val="BlockText"/>
      </w:pPr>
      <w:r>
        <w:t xml:space="preserve">u(W_{EC}) = E[u(</w:t>
      </w:r>
      <w:r>
        <w:t xml:space="preserve">)]</w:t>
      </w:r>
      <w:r>
        <w:t xml:space="preserve"> </w:t>
      </w:r>
      <w:r>
        <w:t xml:space="preserve"> </w:t>
      </w:r>
    </w:p>
    <w:p>
      <w:pPr>
        <w:pStyle w:val="BlockText"/>
      </w:pPr>
      <w:r>
        <w:t xml:space="preserve">$$</w:t>
      </w:r>
    </w:p>
    <w:p>
      <w:pPr>
        <w:pStyle w:val="Compact"/>
        <w:numPr>
          <w:ilvl w:val="0"/>
          <w:numId w:val="1330"/>
        </w:numPr>
      </w:pPr>
      <w:r>
        <w:t xml:space="preserve">O</w:t>
      </w:r>
      <w:r>
        <w:t xml:space="preserve"> </w:t>
      </w:r>
      <w:r>
        <w:rPr>
          <w:b/>
          <w:bCs/>
        </w:rPr>
        <w:t xml:space="preserve">prêmio de risco</w:t>
      </w:r>
      <w:r>
        <w:t xml:space="preserve"> </w:t>
      </w:r>
      <m:oMath>
        <m:r>
          <m:t>π</m:t>
        </m:r>
      </m:oMath>
      <w:r>
        <w:t xml:space="preserve"> </w:t>
      </w:r>
      <w:r>
        <w:t xml:space="preserve">é a quantia máxima que o agente pagaria para eliminar o risco:</w:t>
      </w:r>
    </w:p>
    <w:p>
      <w:pPr>
        <w:pStyle w:val="BlockText"/>
      </w:pPr>
      <w:r>
        <w:t xml:space="preserve">$$</w:t>
      </w:r>
    </w:p>
    <w:p>
      <w:pPr>
        <w:pStyle w:val="BlockText"/>
      </w:pPr>
      <w:r>
        <w:t xml:space="preserve">= E[</w:t>
      </w:r>
      <w:r>
        <w:t xml:space="preserve">] - W_{EC} = W - W_{EC}</w:t>
      </w:r>
      <w:r>
        <w:t xml:space="preserve"> </w:t>
      </w:r>
      <w:r>
        <w:t xml:space="preserve"> </w:t>
      </w:r>
    </w:p>
    <w:p>
      <w:pPr>
        <w:pStyle w:val="BlockText"/>
      </w:pPr>
      <w:r>
        <w:t xml:space="preserve">$$</w:t>
      </w:r>
    </w:p>
    <w:p>
      <w:pPr>
        <w:pStyle w:val="BlockText"/>
      </w:pPr>
      <w:r>
        <w:t xml:space="preserve">Para um agente avesso ao risco,</w:t>
      </w:r>
      <w:r>
        <w:t xml:space="preserve"> </w:t>
      </w:r>
      <m:oMath>
        <m:r>
          <m:t>π</m:t>
        </m:r>
        <m:r>
          <m:rPr>
            <m:sty m:val="p"/>
          </m:rPr>
          <m:t>&gt;</m:t>
        </m:r>
        <m:r>
          <m:t>0</m:t>
        </m:r>
      </m:oMath>
      <w:r>
        <w:t xml:space="preserve">; para um neutro,</w:t>
      </w:r>
      <w:r>
        <w:t xml:space="preserve"> </w:t>
      </w:r>
      <m:oMath>
        <m:r>
          <m:t>π</m:t>
        </m:r>
        <m:r>
          <m:rPr>
            <m:sty m:val="p"/>
          </m:rPr>
          <m:t>=</m:t>
        </m:r>
        <m:r>
          <m:t>0</m:t>
        </m:r>
      </m:oMath>
      <w:r>
        <w:t xml:space="preserve">. Note que o equivalente de certeza Eq. (eq:7.7) e o prêmio de risco Eq. (eq:7.8) estão diretamente relacionados às medidas de Arrow-Pratt, como mostra a aproximação Eq. (eq:7.9).</w:t>
      </w:r>
    </w:p>
    <w:p>
      <w:pPr>
        <w:pStyle w:val="BlockText"/>
      </w:pPr>
      <w:r>
        <w:rPr>
          <w:b/>
          <w:bCs/>
        </w:rPr>
        <w:t xml:space="preserve">[INTUICAO ECONOMICA] Intuição Econômica</w:t>
      </w:r>
    </w:p>
    <w:p>
      <w:pPr>
        <w:pStyle w:val="BlockText"/>
      </w:pPr>
      <w:r>
        <w:rPr>
          <w:b/>
          <w:bCs/>
        </w:rPr>
        <w:t xml:space="preserve">Em uma frase:</w:t>
      </w:r>
      <w:r>
        <w:t xml:space="preserve"> </w:t>
      </w:r>
      <w:r>
        <w:t xml:space="preserve">O equivalente certo é o</w:t>
      </w:r>
      <w:r>
        <w:t xml:space="preserve"> </w:t>
      </w:r>
      <w:r>
        <w:t xml:space="preserve">“preço de saída”</w:t>
      </w:r>
      <w:r>
        <w:t xml:space="preserve"> </w:t>
      </w:r>
      <w:r>
        <w:t xml:space="preserve">de uma aposta — quanto você aceitaria receber para não ter que jogar.</w:t>
      </w:r>
    </w:p>
    <w:p>
      <w:pPr>
        <w:pStyle w:val="BlockText"/>
      </w:pPr>
      <w:r>
        <w:rPr>
          <w:b/>
          <w:bCs/>
        </w:rPr>
        <w:t xml:space="preserve">Pense assim:</w:t>
      </w:r>
      <w:r>
        <w:t xml:space="preserve"> </w:t>
      </w:r>
      <w:r>
        <w:t xml:space="preserve">Se você tem um bilhete de rifa que vale R$ 1.000 com 50% de chance (valor esperado = R$ 500), mas toparia vendê-lo por R$ 350, então R$ 350 é seu equivalente certo e os R$ 150 de diferença são o prêmio de risco — o desconto que você dá só para dormir tranquilo.</w:t>
      </w:r>
    </w:p>
    <w:p>
      <w:pPr>
        <w:pStyle w:val="BlockText"/>
      </w:pPr>
      <w:r>
        <w:rPr>
          <w:b/>
          <w:bCs/>
        </w:rPr>
        <w:t xml:space="preserve">Por que isso importa:</w:t>
      </w:r>
      <w:r>
        <w:t xml:space="preserve"> </w:t>
      </w:r>
      <w:r>
        <w:t xml:space="preserve">O prêmio de risco explica por que títulos do Tesouro pagam menos que ações na Bolsa — investidores exigem compensação para aceitar incerteza.</w:t>
      </w:r>
    </w:p>
    <w:bookmarkStart w:id="332" w:name="X21c0b7b77878f60f43f4b6c80bac8a78a65d37f"/>
    <w:p>
      <w:pPr>
        <w:pStyle w:val="Heading4"/>
      </w:pPr>
      <w:r>
        <w:t xml:space="preserve">7.5.1 Aproximação de Arrow-Pratt para o prêmio de risco</w:t>
      </w:r>
    </w:p>
    <w:p>
      <w:pPr>
        <w:pStyle w:val="BlockText"/>
      </w:pPr>
      <w:r>
        <w:rPr>
          <w:b/>
          <w:bCs/>
        </w:rPr>
        <w:t xml:space="preserve">[DEMONSTRACAO] Demonstração: Derivação do prêmio de risco de Arrow-Pratt</w:t>
      </w:r>
    </w:p>
    <w:p>
      <w:pPr>
        <w:pStyle w:val="BlockText"/>
      </w:pPr>
      <w:r>
        <w:rPr>
          <w:b/>
          <w:bCs/>
        </w:rPr>
        <w:t xml:space="preserve">Objetivo</w:t>
      </w:r>
      <w:r>
        <w:t xml:space="preserve">: Mostrar que, para riscos pequenos, o prêmio de risco é aproximadamente:</w:t>
      </w:r>
    </w:p>
    <w:p>
      <w:pPr>
        <w:pStyle w:val="BlockText"/>
      </w:pPr>
      <w:r>
        <w:t xml:space="preserve">$$</w:t>
      </w:r>
    </w:p>
    <w:p>
      <w:pPr>
        <w:pStyle w:val="BlockText"/>
      </w:pPr>
      <w:r>
        <w:t xml:space="preserve"> </w:t>
      </w:r>
      <w:r>
        <w:t xml:space="preserve">A(W)</w:t>
      </w:r>
      <w:r>
        <w:t xml:space="preserve"> </w:t>
      </w:r>
      <w:r>
        <w:t xml:space="preserve">^2</w:t>
      </w:r>
      <w:r>
        <w:t xml:space="preserve"> </w:t>
      </w:r>
      <w:r>
        <w:t xml:space="preserve"> </w:t>
      </w:r>
    </w:p>
    <w:p>
      <w:pPr>
        <w:pStyle w:val="BlockText"/>
      </w:pPr>
      <w:r>
        <w:t xml:space="preserve">$$</w:t>
      </w:r>
    </w:p>
    <w:p>
      <w:pPr>
        <w:pStyle w:val="BlockText"/>
      </w:pPr>
      <w:r>
        <w:rPr>
          <w:b/>
          <w:bCs/>
        </w:rPr>
        <w:t xml:space="preserve">Demonstração</w:t>
      </w:r>
      <w:r>
        <w:t xml:space="preserve">:</w:t>
      </w:r>
    </w:p>
    <w:p>
      <w:pPr>
        <w:pStyle w:val="BlockText"/>
      </w:pPr>
      <w:r>
        <w:t xml:space="preserve">Considere a riqueza aleatória</w:t>
      </w:r>
      <w:r>
        <w:t xml:space="preserve"> </w:t>
      </w:r>
      <m:oMath>
        <m:acc>
          <m:accPr>
            <m:chr m:val="̃"/>
          </m:accPr>
          <m:e>
            <m:r>
              <m:t>W</m:t>
            </m:r>
          </m:e>
        </m:acc>
        <m:r>
          <m:rPr>
            <m:sty m:val="p"/>
          </m:rPr>
          <m:t>=</m:t>
        </m:r>
        <m:r>
          <m:t>W</m:t>
        </m:r>
        <m:r>
          <m:rPr>
            <m:sty m:val="p"/>
          </m:rPr>
          <m:t>+</m:t>
        </m:r>
        <m:acc>
          <m:accPr>
            <m:chr m:val="̃"/>
          </m:accPr>
          <m:e>
            <m:r>
              <m:t>ε</m:t>
            </m:r>
          </m:e>
        </m:acc>
      </m:oMath>
      <w:r>
        <w:t xml:space="preserve">, onde</w:t>
      </w:r>
      <w:r>
        <w:t xml:space="preserve"> </w:t>
      </w:r>
      <m:oMath>
        <m:r>
          <m:t>E</m:t>
        </m:r>
        <m:r>
          <m:rPr>
            <m:sty m:val="p"/>
          </m:rPr>
          <m:t>[</m:t>
        </m:r>
        <m:acc>
          <m:accPr>
            <m:chr m:val="̃"/>
          </m:accPr>
          <m:e>
            <m:r>
              <m:t>ε</m:t>
            </m:r>
          </m:e>
        </m:acc>
        <m:r>
          <m:rPr>
            <m:sty m:val="p"/>
          </m:rPr>
          <m:t>]</m:t>
        </m:r>
        <m:r>
          <m:rPr>
            <m:sty m:val="p"/>
          </m:rPr>
          <m:t>=</m:t>
        </m:r>
        <m:r>
          <m:t>0</m:t>
        </m:r>
      </m:oMath>
      <w:r>
        <w:t xml:space="preserve"> </w:t>
      </w:r>
      <w:r>
        <w:t xml:space="preserve">e</w:t>
      </w:r>
      <w:r>
        <w:t xml:space="preserve"> </w:t>
      </w:r>
      <m:oMath>
        <m:r>
          <m:rPr>
            <m:nor/>
            <m:sty m:val="p"/>
          </m:rPr>
          <m:t>Var</m:t>
        </m:r>
        <m:r>
          <m:rPr>
            <m:sty m:val="p"/>
          </m:rPr>
          <m:t>(</m:t>
        </m:r>
        <m:acc>
          <m:accPr>
            <m:chr m:val="̃"/>
          </m:accPr>
          <m:e>
            <m:r>
              <m:t>ε</m:t>
            </m:r>
          </m:e>
        </m:acc>
        <m:r>
          <m:rPr>
            <m:sty m:val="p"/>
          </m:rPr>
          <m:t>)</m:t>
        </m:r>
        <m:r>
          <m:rPr>
            <m:sty m:val="p"/>
          </m:rPr>
          <m:t>=</m:t>
        </m:r>
        <m:sSup>
          <m:e>
            <m:r>
              <m:t>σ</m:t>
            </m:r>
          </m:e>
          <m:sup>
            <m:r>
              <m:t>2</m:t>
            </m:r>
          </m:sup>
        </m:sSup>
      </m:oMath>
      <w:r>
        <w:t xml:space="preserve">.</w:t>
      </w:r>
    </w:p>
    <w:p>
      <w:pPr>
        <w:pStyle w:val="BlockText"/>
      </w:pPr>
      <w:r>
        <w:rPr>
          <w:b/>
          <w:bCs/>
        </w:rPr>
        <w:t xml:space="preserve">Passo 1</w:t>
      </w:r>
      <w:r>
        <w:t xml:space="preserve">: Expanda</w:t>
      </w:r>
      <w:r>
        <w:t xml:space="preserve"> </w:t>
      </w:r>
      <m:oMath>
        <m:r>
          <m:t>u</m:t>
        </m:r>
        <m:r>
          <m:rPr>
            <m:sty m:val="p"/>
          </m:rPr>
          <m:t>(</m:t>
        </m:r>
        <m:r>
          <m:t>W</m:t>
        </m:r>
        <m:r>
          <m:rPr>
            <m:sty m:val="p"/>
          </m:rPr>
          <m:t>+</m:t>
        </m:r>
        <m:acc>
          <m:accPr>
            <m:chr m:val="̃"/>
          </m:accPr>
          <m:e>
            <m:r>
              <m:t>ε</m:t>
            </m:r>
          </m:e>
        </m:acc>
        <m:r>
          <m:rPr>
            <m:sty m:val="p"/>
          </m:rPr>
          <m:t>)</m:t>
        </m:r>
      </m:oMath>
      <w:r>
        <w:t xml:space="preserve"> </w:t>
      </w:r>
      <w:r>
        <w:t xml:space="preserve">em série de Taylor de segunda ordem em torno de</w:t>
      </w:r>
      <w:r>
        <w:t xml:space="preserve"> </w:t>
      </w:r>
      <m:oMath>
        <m:r>
          <m:t>W</m:t>
        </m:r>
      </m:oMath>
      <w:r>
        <w:t xml:space="preserve">:</w:t>
      </w:r>
    </w:p>
    <w:p>
      <w:pPr>
        <w:pStyle w:val="BlockText"/>
      </w:pPr>
      <w:r>
        <w:t xml:space="preserve">$$</w:t>
      </w:r>
    </w:p>
    <w:p>
      <w:pPr>
        <w:pStyle w:val="BlockText"/>
      </w:pPr>
      <w:r>
        <w:t xml:space="preserve">u(W +</w:t>
      </w:r>
      <w:r>
        <w:t xml:space="preserve"> </w:t>
      </w:r>
      <w:r>
        <w:t xml:space="preserve">)</w:t>
      </w:r>
      <w:r>
        <w:t xml:space="preserve"> </w:t>
      </w:r>
      <w:r>
        <w:t xml:space="preserve">u(W) + u’(W)</w:t>
      </w:r>
      <w:r>
        <w:t xml:space="preserve"> </w:t>
      </w:r>
      <w:r>
        <w:t xml:space="preserve">+</w:t>
      </w:r>
      <w:r>
        <w:t xml:space="preserve"> </w:t>
      </w:r>
      <w:r>
        <w:t xml:space="preserve">u’’(W)</w:t>
      </w:r>
      <w:r>
        <w:t xml:space="preserve">^2</w:t>
      </w:r>
    </w:p>
    <w:p>
      <w:pPr>
        <w:pStyle w:val="BlockText"/>
      </w:pPr>
      <w:r>
        <w:t xml:space="preserve">$$</w:t>
      </w:r>
    </w:p>
    <w:p>
      <w:pPr>
        <w:pStyle w:val="BlockText"/>
      </w:pPr>
      <w:r>
        <w:rPr>
          <w:b/>
          <w:bCs/>
        </w:rPr>
        <w:t xml:space="preserve">Passo 2</w:t>
      </w:r>
      <w:r>
        <w:t xml:space="preserve">: Tome o valor esperado de ambos os lados:</w:t>
      </w:r>
    </w:p>
    <w:p>
      <w:pPr>
        <w:pStyle w:val="BlockText"/>
      </w:pPr>
      <w:r>
        <w:t xml:space="preserve">$$</w:t>
      </w:r>
    </w:p>
    <w:p>
      <w:pPr>
        <w:pStyle w:val="BlockText"/>
      </w:pPr>
      <w:r>
        <w:t xml:space="preserve">E[u(W +</w:t>
      </w:r>
      <w:r>
        <w:t xml:space="preserve"> </w:t>
      </w:r>
      <w:r>
        <w:t xml:space="preserve">)]</w:t>
      </w:r>
      <w:r>
        <w:t xml:space="preserve"> </w:t>
      </w:r>
      <w:r>
        <w:t xml:space="preserve">u(W) + u’(W)</w:t>
      </w:r>
      <w:r>
        <w:t xml:space="preserve"> </w:t>
      </w:r>
      <w:r>
        <w:rPr>
          <w:i/>
          <w:iCs/>
        </w:rPr>
        <w:t xml:space="preserve">{=,0} +</w:t>
      </w:r>
      <w:r>
        <w:rPr>
          <w:i/>
          <w:iCs/>
        </w:rPr>
        <w:t xml:space="preserve"> </w:t>
      </w:r>
      <w:r>
        <w:rPr>
          <w:i/>
          <w:iCs/>
        </w:rPr>
        <w:t xml:space="preserve">u’’(W)</w:t>
      </w:r>
      <w:r>
        <w:rPr>
          <w:i/>
          <w:iCs/>
        </w:rPr>
        <w:t xml:space="preserve"> </w:t>
      </w:r>
      <w:r>
        <w:t xml:space="preserve">{=,</w:t>
      </w:r>
      <w:r>
        <w:t xml:space="preserve">^2}</w:t>
      </w:r>
    </w:p>
    <w:p>
      <w:pPr>
        <w:pStyle w:val="BlockText"/>
      </w:pPr>
      <w:r>
        <w:t xml:space="preserve">$$</w:t>
      </w:r>
    </w:p>
    <w:p>
      <w:pPr>
        <w:pStyle w:val="BlockText"/>
      </w:pPr>
      <w:r>
        <w:t xml:space="preserve">$$</w:t>
      </w:r>
    </w:p>
    <w:p>
      <w:pPr>
        <w:pStyle w:val="BlockText"/>
      </w:pPr>
      <w:r>
        <w:t xml:space="preserve">E[u(</w:t>
      </w:r>
      <w:r>
        <w:t xml:space="preserve">)]</w:t>
      </w:r>
      <w:r>
        <w:t xml:space="preserve"> </w:t>
      </w:r>
      <w:r>
        <w:t xml:space="preserve">u(W) +</w:t>
      </w:r>
      <w:r>
        <w:t xml:space="preserve"> </w:t>
      </w:r>
      <w:r>
        <w:t xml:space="preserve">u’’(W)</w:t>
      </w:r>
      <w:r>
        <w:t xml:space="preserve">^2</w:t>
      </w:r>
    </w:p>
    <w:p>
      <w:pPr>
        <w:pStyle w:val="BlockText"/>
      </w:pPr>
      <w:r>
        <w:t xml:space="preserve">$$</w:t>
      </w:r>
    </w:p>
    <w:p>
      <w:pPr>
        <w:pStyle w:val="BlockText"/>
      </w:pPr>
      <w:r>
        <w:rPr>
          <w:b/>
          <w:bCs/>
        </w:rPr>
        <w:t xml:space="preserve">Passo 3</w:t>
      </w:r>
      <w:r>
        <w:t xml:space="preserve">: Por definição do prêmio de risco,</w:t>
      </w:r>
      <w:r>
        <w:t xml:space="preserve"> </w:t>
      </w:r>
      <m:oMath>
        <m:r>
          <m:t>u</m:t>
        </m:r>
        <m:r>
          <m:rPr>
            <m:sty m:val="p"/>
          </m:rPr>
          <m:t>(</m:t>
        </m:r>
        <m:r>
          <m:t>W</m:t>
        </m:r>
        <m:r>
          <m:rPr>
            <m:sty m:val="p"/>
          </m:rPr>
          <m:t>−</m:t>
        </m:r>
        <m:r>
          <m:t>π</m:t>
        </m:r>
        <m:r>
          <m:rPr>
            <m:sty m:val="p"/>
          </m:rPr>
          <m:t>)</m:t>
        </m:r>
        <m:r>
          <m:rPr>
            <m:sty m:val="p"/>
          </m:rPr>
          <m:t>=</m:t>
        </m:r>
        <m:r>
          <m:t>E</m:t>
        </m:r>
        <m:r>
          <m:rPr>
            <m:sty m:val="p"/>
          </m:rPr>
          <m:t>[</m:t>
        </m:r>
        <m:r>
          <m:t>u</m:t>
        </m:r>
        <m:r>
          <m:rPr>
            <m:sty m:val="p"/>
          </m:rPr>
          <m:t>(</m:t>
        </m:r>
        <m:acc>
          <m:accPr>
            <m:chr m:val="̃"/>
          </m:accPr>
          <m:e>
            <m:r>
              <m:t>W</m:t>
            </m:r>
          </m:e>
        </m:acc>
        <m:r>
          <m:rPr>
            <m:sty m:val="p"/>
          </m:rPr>
          <m:t>)</m:t>
        </m:r>
        <m:r>
          <m:rPr>
            <m:sty m:val="p"/>
          </m:rPr>
          <m:t>]</m:t>
        </m:r>
      </m:oMath>
      <w:r>
        <w:t xml:space="preserve">. Expanda o lado esquerdo em Taylor de primeira ordem:</w:t>
      </w:r>
    </w:p>
    <w:p>
      <w:pPr>
        <w:pStyle w:val="BlockText"/>
      </w:pPr>
      <w:r>
        <w:t xml:space="preserve">$$</w:t>
      </w:r>
    </w:p>
    <w:p>
      <w:pPr>
        <w:pStyle w:val="BlockText"/>
      </w:pPr>
      <w:r>
        <w:t xml:space="preserve">u(W -</w:t>
      </w:r>
      <w:r>
        <w:t xml:space="preserve"> </w:t>
      </w:r>
      <w:r>
        <w:t xml:space="preserve">)</w:t>
      </w:r>
      <w:r>
        <w:t xml:space="preserve"> </w:t>
      </w:r>
      <w:r>
        <w:t xml:space="preserve">u(W) - u’(W)</w:t>
      </w:r>
    </w:p>
    <w:p>
      <w:pPr>
        <w:pStyle w:val="BlockText"/>
      </w:pPr>
      <w:r>
        <w:t xml:space="preserve">$$</w:t>
      </w:r>
    </w:p>
    <w:p>
      <w:pPr>
        <w:pStyle w:val="BlockText"/>
      </w:pPr>
      <w:r>
        <w:rPr>
          <w:b/>
          <w:bCs/>
        </w:rPr>
        <w:t xml:space="preserve">Passo 4</w:t>
      </w:r>
      <w:r>
        <w:t xml:space="preserve">: Iguale as duas expressões:</w:t>
      </w:r>
    </w:p>
    <w:p>
      <w:pPr>
        <w:pStyle w:val="BlockText"/>
      </w:pPr>
      <w:r>
        <w:t xml:space="preserve">$$</w:t>
      </w:r>
    </w:p>
    <w:p>
      <w:pPr>
        <w:pStyle w:val="BlockText"/>
      </w:pPr>
      <w:r>
        <w:t xml:space="preserve">u(W) - u’(W)</w:t>
      </w:r>
      <w:r>
        <w:t xml:space="preserve">u(W) +</w:t>
      </w:r>
      <w:r>
        <w:t xml:space="preserve"> </w:t>
      </w:r>
      <w:r>
        <w:t xml:space="preserve">u’’(W)</w:t>
      </w:r>
      <w:r>
        <w:t xml:space="preserve">^2</w:t>
      </w:r>
    </w:p>
    <w:p>
      <w:pPr>
        <w:pStyle w:val="BlockText"/>
      </w:pPr>
      <w:r>
        <w:t xml:space="preserve">$$</w:t>
      </w:r>
    </w:p>
    <w:p>
      <w:pPr>
        <w:pStyle w:val="BlockText"/>
      </w:pPr>
      <w:r>
        <w:t xml:space="preserve">$$</w:t>
      </w:r>
    </w:p>
    <w:p>
      <w:pPr>
        <w:pStyle w:val="BlockText"/>
      </w:pPr>
      <w:r>
        <w:t xml:space="preserve">-u’(W)</w:t>
      </w:r>
      <w:r>
        <w:t xml:space="preserve">u’’(W)</w:t>
      </w:r>
      <w:r>
        <w:t xml:space="preserve">^2</w:t>
      </w:r>
    </w:p>
    <w:p>
      <w:pPr>
        <w:pStyle w:val="BlockText"/>
      </w:pPr>
      <w:r>
        <w:t xml:space="preserve">$$</w:t>
      </w:r>
    </w:p>
    <w:p>
      <w:pPr>
        <w:pStyle w:val="BlockText"/>
      </w:pPr>
      <w:r>
        <w:t xml:space="preserve">$$</w:t>
      </w:r>
    </w:p>
    <w:p>
      <w:pPr>
        <w:pStyle w:val="BlockText"/>
      </w:pPr>
      <w:r>
        <w:t xml:space="preserve">-</w:t>
      </w:r>
      <w:r>
        <w:t xml:space="preserve">^2 =</w:t>
      </w:r>
      <w:r>
        <w:t xml:space="preserve"> </w:t>
      </w:r>
      <w:r>
        <w:t xml:space="preserve">A(W)</w:t>
      </w:r>
      <w:r>
        <w:t xml:space="preserve">^2</w:t>
      </w:r>
      <w:r>
        <w:t xml:space="preserve"> </w:t>
      </w:r>
    </w:p>
    <w:p>
      <w:pPr>
        <w:pStyle w:val="BlockText"/>
      </w:pPr>
      <w:r>
        <w:t xml:space="preserve">$$</w:t>
      </w:r>
    </w:p>
    <w:p>
      <w:pPr>
        <w:pStyle w:val="BlockText"/>
      </w:pPr>
      <w:r>
        <w:rPr>
          <w:b/>
          <w:bCs/>
        </w:rPr>
        <w:t xml:space="preserve">Interpretação</w:t>
      </w:r>
      <w:r>
        <w:t xml:space="preserve">: O prêmio de risco é (aproximadamente) proporcional a dois fatores: (i) a medida de aversão absoluta ao risco</w:t>
      </w:r>
      <w:r>
        <w:t xml:space="preserve"> </w:t>
      </w:r>
      <m:oMath>
        <m:r>
          <m:t>A</m:t>
        </m:r>
        <m:r>
          <m:rPr>
            <m:sty m:val="p"/>
          </m:rPr>
          <m:t>(</m:t>
        </m:r>
        <m:r>
          <m:t>W</m:t>
        </m:r>
        <m:r>
          <m:rPr>
            <m:sty m:val="p"/>
          </m:rPr>
          <m:t>)</m:t>
        </m:r>
      </m:oMath>
      <w:r>
        <w:t xml:space="preserve">, que captura a curvatura da função de utilidade; e (ii) a variância</w:t>
      </w:r>
      <w:r>
        <w:t xml:space="preserve"> </w:t>
      </w:r>
      <m:oMath>
        <m:sSup>
          <m:e>
            <m:r>
              <m:t>σ</m:t>
            </m:r>
          </m:e>
          <m:sup>
            <m:r>
              <m:t>2</m:t>
            </m:r>
          </m:sup>
        </m:sSup>
      </m:oMath>
      <w:r>
        <w:t xml:space="preserve"> </w:t>
      </w:r>
      <w:r>
        <w:t xml:space="preserve">do risco, que captura a magnitude da incerteza. Para riscos multiplicativos (proporcionais à riqueza), uma derivação análoga mostra que</w:t>
      </w:r>
      <w:r>
        <w:t xml:space="preserve"> </w:t>
      </w:r>
      <m:oMath>
        <m:r>
          <m:t>π</m:t>
        </m:r>
        <m:r>
          <m:rPr>
            <m:sty m:val="p"/>
          </m:rPr>
          <m:t>/</m:t>
        </m:r>
        <m:r>
          <m:t>W</m:t>
        </m:r>
        <m:r>
          <m:rPr>
            <m:sty m:val="p"/>
          </m:rPr>
          <m:t>≈</m:t>
        </m:r>
        <m:f>
          <m:fPr>
            <m:type m:val="bar"/>
          </m:fPr>
          <m:num>
            <m:r>
              <m:t>1</m:t>
            </m:r>
          </m:num>
          <m:den>
            <m:r>
              <m:t>2</m:t>
            </m:r>
          </m:den>
        </m:f>
        <m:r>
          <m:t>R</m:t>
        </m:r>
        <m:r>
          <m:rPr>
            <m:sty m:val="p"/>
          </m:rPr>
          <m:t>(</m:t>
        </m:r>
        <m:r>
          <m:t>W</m:t>
        </m:r>
        <m:r>
          <m:rPr>
            <m:sty m:val="p"/>
          </m:rPr>
          <m:t>)</m:t>
        </m:r>
        <m:sSubSup>
          <m:e>
            <m:r>
              <m:t>σ</m:t>
            </m:r>
          </m:e>
          <m:sub>
            <m:r>
              <m:t>r</m:t>
            </m:r>
          </m:sub>
          <m:sup>
            <m:r>
              <m:t>2</m:t>
            </m:r>
          </m:sup>
        </m:sSubSup>
      </m:oMath>
      <w:r>
        <w:t xml:space="preserve">, onde</w:t>
      </w:r>
      <w:r>
        <w:t xml:space="preserve"> </w:t>
      </w:r>
      <m:oMath>
        <m:sSubSup>
          <m:e>
            <m:r>
              <m:t>σ</m:t>
            </m:r>
          </m:e>
          <m:sub>
            <m:r>
              <m:t>r</m:t>
            </m:r>
          </m:sub>
          <m:sup>
            <m:r>
              <m:t>2</m:t>
            </m:r>
          </m:sup>
        </m:sSubSup>
      </m:oMath>
      <w:r>
        <w:t xml:space="preserve"> </w:t>
      </w:r>
      <w:r>
        <w:t xml:space="preserve">é a variância do retorno relativo.</w:t>
      </w:r>
    </w:p>
    <w:p>
      <w:pPr>
        <w:pStyle w:val="FirstParagraph"/>
      </w:pPr>
      <w:r>
        <w:t xml:space="preserve">A fórmula de Arrow-Pratt é notavelmente elegante: ela decompõe o</w:t>
      </w:r>
      <w:r>
        <w:t xml:space="preserve"> </w:t>
      </w:r>
      <w:r>
        <w:t xml:space="preserve">“preço”</w:t>
      </w:r>
      <w:r>
        <w:t xml:space="preserve"> </w:t>
      </w:r>
      <w:r>
        <w:t xml:space="preserve">que o agente paga pelo risco em dois fatores — um subjetivo (quão avesso ele é) e outro objetivo (quão arriscada é a loteria). Essa decomposição tem implicações práticas imediatas: para um dado nível de risco, agentes mais avessos pagam prêmios maiores; para um dado nível de aversão, riscos mais voláteis custam mais caro. É exatamente essa lógica que as seguradoras utilizam ao precificar apólices, cobrando mais de quem enfrenta riscos maiores e oferecendo descontos a quem demonstra menor exposição.</w:t>
      </w:r>
    </w:p>
    <w:p>
      <w:pPr>
        <w:pStyle w:val="BodyText"/>
      </w:pPr>
      <w:r>
        <w:t xml:space="preserve">O equivalente de certeza tem aplicações que vão muito além da teoria dos seguros. No Brasil, o BNDES (Banco Nacional de Desenvolvimento Econômico e Social) financia projetos de infraestrutura que envolvem grandes incertezas de retorno. A taxa de desconto aplicada a esses projetos deve incorporar, em princípio, um prêmio de risco proporcional à variância dos fluxos de caixa — exatamente o que a aproximação de Arrow-Pratt formaliza. Da mesma forma, o seguro agrícola (discutido no Box Brasil desta seção) pode ser interpretado como a compra do equivalente de certeza da renda agrícola: o produtor rural troca uma renda variável por uma renda garantida, pagando um prêmio de risco pela estabilidade.</w:t>
      </w:r>
    </w:p>
    <w:p>
      <w:pPr>
        <w:pStyle w:val="BodyText"/>
      </w:pPr>
      <w:r>
        <w:t xml:space="preserve">Para ilustrar com números concretos: um cafeicultor do Sul de Minas com riqueza de R$ 200.000, utilidade logarítmica e risco de perder R$ 80.000 em caso de geada (probabilidade 20%) tem um prêmio de risco de aproximadamente</w:t>
      </w:r>
      <w:r>
        <w:t xml:space="preserve"> </w:t>
      </w:r>
      <m:oMath>
        <m:f>
          <m:fPr>
            <m:type m:val="bar"/>
          </m:fPr>
          <m:num>
            <m:r>
              <m:t>1</m:t>
            </m:r>
          </m:num>
          <m:den>
            <m:r>
              <m:t>2</m:t>
            </m:r>
          </m:den>
        </m:f>
        <m:r>
          <m:rPr>
            <m:sty m:val="p"/>
          </m:rPr>
          <m:t>×</m:t>
        </m:r>
        <m:f>
          <m:fPr>
            <m:type m:val="bar"/>
          </m:fPr>
          <m:num>
            <m:r>
              <m:t>1</m:t>
            </m:r>
          </m:num>
          <m:den>
            <m:r>
              <m:t>200.000</m:t>
            </m:r>
          </m:den>
        </m:f>
        <m:r>
          <m:rPr>
            <m:sty m:val="p"/>
          </m:rPr>
          <m:t>×</m:t>
        </m:r>
        <m:r>
          <m:rPr>
            <m:sty m:val="p"/>
          </m:rPr>
          <m:t>(</m:t>
        </m:r>
        <m:r>
          <m:t>0</m:t>
        </m:r>
        <m:r>
          <m:rPr>
            <m:sty m:val="p"/>
          </m:rPr>
          <m:t>,</m:t>
        </m:r>
        <m:r>
          <m:t>2</m:t>
        </m:r>
        <m:r>
          <m:rPr>
            <m:sty m:val="p"/>
          </m:rPr>
          <m:t>×</m:t>
        </m:r>
        <m:r>
          <m:t>0</m:t>
        </m:r>
        <m:r>
          <m:rPr>
            <m:sty m:val="p"/>
          </m:rPr>
          <m:t>,</m:t>
        </m:r>
        <m:r>
          <m:t>8</m:t>
        </m:r>
        <m:r>
          <m:rPr>
            <m:sty m:val="p"/>
          </m:rPr>
          <m:t>×</m:t>
        </m:r>
        <m:sSup>
          <m:e>
            <m:r>
              <m:t>80.000</m:t>
            </m:r>
          </m:e>
          <m:sup>
            <m:r>
              <m:t>2</m:t>
            </m:r>
          </m:sup>
        </m:sSup>
        <m:r>
          <m:rPr>
            <m:sty m:val="p"/>
          </m:rPr>
          <m:t>)</m:t>
        </m:r>
        <m:r>
          <m:rPr>
            <m:sty m:val="p"/>
          </m:rPr>
          <m:t>=</m:t>
        </m:r>
        <m:f>
          <m:fPr>
            <m:type m:val="bar"/>
          </m:fPr>
          <m:num>
            <m:r>
              <m:t>1</m:t>
            </m:r>
          </m:num>
          <m:den>
            <m:r>
              <m:t>2</m:t>
            </m:r>
          </m:den>
        </m:f>
        <m:r>
          <m:rPr>
            <m:sty m:val="p"/>
          </m:rPr>
          <m:t>×</m:t>
        </m:r>
        <m:f>
          <m:fPr>
            <m:type m:val="bar"/>
          </m:fPr>
          <m:num>
            <m:r>
              <m:t>1</m:t>
            </m:r>
          </m:num>
          <m:den>
            <m:r>
              <m:t>200.000</m:t>
            </m:r>
          </m:den>
        </m:f>
        <m:r>
          <m:rPr>
            <m:sty m:val="p"/>
          </m:rPr>
          <m:t>×</m:t>
        </m:r>
        <m:r>
          <m:t>1</m:t>
        </m:r>
        <m:r>
          <m:rPr>
            <m:sty m:val="p"/>
          </m:rPr>
          <m:t>,</m:t>
        </m:r>
        <m:r>
          <m:t>024</m:t>
        </m:r>
        <m:r>
          <m:rPr>
            <m:sty m:val="p"/>
          </m:rPr>
          <m:t>×</m:t>
        </m:r>
        <m:sSup>
          <m:e>
            <m:r>
              <m:t>10</m:t>
            </m:r>
          </m:e>
          <m:sup>
            <m:r>
              <m:t>9</m:t>
            </m:r>
          </m:sup>
        </m:sSup>
        <m:r>
          <m:rPr>
            <m:sty m:val="p"/>
          </m:rPr>
          <m:t>≈</m:t>
        </m:r>
        <m:r>
          <m:rPr>
            <m:nor/>
            <m:sty m:val="p"/>
          </m:rPr>
          <m:t>R$</m:t>
        </m:r>
        <m:r>
          <m:t>2.560</m:t>
        </m:r>
      </m:oMath>
      <w:r>
        <w:t xml:space="preserve">. Esse valor representa o quanto ele pagaria</w:t>
      </w:r>
      <w:r>
        <w:t xml:space="preserve"> </w:t>
      </w:r>
      <w:r>
        <w:rPr>
          <w:i/>
          <w:iCs/>
        </w:rPr>
        <w:t xml:space="preserve">acima</w:t>
      </w:r>
      <w:r>
        <w:t xml:space="preserve"> </w:t>
      </w:r>
      <w:r>
        <w:t xml:space="preserve">do prêmio atuarialmente justo para eliminar o risco — e é esse sobrepagamento que torna os contratos de seguro mutuamente vantajosos: a seguradora cobra mais que o valor esperado do sinistro, e o produtor ainda assim prefere contratar.</w:t>
      </w:r>
    </w:p>
    <w:p>
      <w:pPr>
        <w:pStyle w:val="BodyText"/>
      </w:pPr>
      <w:r>
        <w:t xml:space="preserve">A distinção entre prêmio de risco</w:t>
      </w:r>
      <w:r>
        <w:t xml:space="preserve"> </w:t>
      </w:r>
      <w:r>
        <w:rPr>
          <w:i/>
          <w:iCs/>
        </w:rPr>
        <w:t xml:space="preserve">exato</w:t>
      </w:r>
      <w:r>
        <w:t xml:space="preserve"> </w:t>
      </w:r>
      <w:r>
        <w:t xml:space="preserve">e</w:t>
      </w:r>
      <w:r>
        <w:t xml:space="preserve"> </w:t>
      </w:r>
      <w:r>
        <w:rPr>
          <w:i/>
          <w:iCs/>
        </w:rPr>
        <w:t xml:space="preserve">aproximado</w:t>
      </w:r>
      <w:r>
        <w:t xml:space="preserve"> </w:t>
      </w:r>
      <w:r>
        <w:t xml:space="preserve">merece atenção. A fórmula de Arrow-Pratt é uma aproximação de segunda ordem válida para riscos</w:t>
      </w:r>
      <w:r>
        <w:t xml:space="preserve"> </w:t>
      </w:r>
      <w:r>
        <w:t xml:space="preserve">“pequenos”</w:t>
      </w:r>
      <w:r>
        <w:t xml:space="preserve"> </w:t>
      </w:r>
      <w:r>
        <w:t xml:space="preserve">em relação à riqueza. Quando o risco é grande (como nos exemplos dos exercícios, em que o desvio padrão pode representar 30–50% da riqueza), o prêmio exato deve ser calculado diretamente da equação Eq. (eq:7.7). A aproximação sistematicamente subestima o prêmio para agentes com utilidade côncava crescentemente rápida (como</w:t>
      </w:r>
      <w:r>
        <w:t xml:space="preserve"> </w:t>
      </w:r>
      <m:oMath>
        <m:r>
          <m:rPr>
            <m:sty m:val="p"/>
          </m:rPr>
          <m:t>ln</m:t>
        </m:r>
        <m:r>
          <m:t>W</m:t>
        </m:r>
      </m:oMath>
      <w:r>
        <w:t xml:space="preserve">) e o superestima para agentes com utilidade menos côncava.</w:t>
      </w:r>
    </w:p>
    <w:p>
      <w:pPr>
        <w:pStyle w:val="BodyText"/>
      </w:pPr>
      <w:r>
        <w:t xml:space="preserve">[FIGURA INTERATIVA: /micro-book/graficos/cap07/premio-risco.html — versao interativa disponivel online]</w:t>
      </w:r>
    </w:p>
    <w:p>
      <w:pPr>
        <w:pStyle w:val="BodyText"/>
      </w:pPr>
      <w:r>
        <w:rPr>
          <w:b/>
          <w:bCs/>
        </w:rPr>
        <w:t xml:space="preserve">Figura 7.2 — Prêmio de risco de Arrow-Pratt.</w:t>
      </w:r>
      <w:r>
        <w:t xml:space="preserve"> </w:t>
      </w:r>
      <w:r>
        <w:t xml:space="preserve">Ajuste a riqueza</w:t>
      </w:r>
      <w:r>
        <w:t xml:space="preserve"> </w:t>
      </w:r>
      <m:oMath>
        <m:r>
          <m:t>W</m:t>
        </m:r>
      </m:oMath>
      <w:r>
        <w:t xml:space="preserve">, a variância</w:t>
      </w:r>
      <w:r>
        <w:t xml:space="preserve"> </w:t>
      </w:r>
      <m:oMath>
        <m:sSup>
          <m:e>
            <m:r>
              <m:t>σ</m:t>
            </m:r>
          </m:e>
          <m:sup>
            <m:r>
              <m:t>2</m:t>
            </m:r>
          </m:sup>
        </m:sSup>
      </m:oMath>
      <w:r>
        <w:t xml:space="preserve"> </w:t>
      </w:r>
      <w:r>
        <w:t xml:space="preserve">e a curvatura da função de utilidade. Alterne entre CARA, CRRA e quadrática para comparar o prêmio de risco exato com a aproximação</w:t>
      </w:r>
      <w:r>
        <w:t xml:space="preserve"> </w:t>
      </w:r>
      <m:oMath>
        <m:f>
          <m:fPr>
            <m:type m:val="lin"/>
          </m:fPr>
          <m:num>
            <m:r>
              <m:t>1</m:t>
            </m:r>
          </m:num>
          <m:den>
            <m:r>
              <m:t>2</m:t>
            </m:r>
          </m:den>
        </m:f>
        <m:sSup>
          <m:e>
            <m:r>
              <m:t>σ</m:t>
            </m:r>
          </m:e>
          <m:sup>
            <m:r>
              <m:t>2</m:t>
            </m:r>
          </m:sup>
        </m:sSup>
        <m:r>
          <m:t>A</m:t>
        </m:r>
        <m:r>
          <m:rPr>
            <m:sty m:val="p"/>
          </m:rPr>
          <m:t>(</m:t>
        </m:r>
        <m:r>
          <m:t>W</m:t>
        </m:r>
        <m:r>
          <m:rPr>
            <m:sty m:val="p"/>
          </m:rPr>
          <m:t>)</m:t>
        </m:r>
      </m:oMath>
      <w:r>
        <w:t xml:space="preserve">.</w:t>
      </w:r>
    </w:p>
    <w:p>
      <w:pPr>
        <w:pStyle w:val="BlockText"/>
      </w:pPr>
      <w:r>
        <w:rPr>
          <w:b/>
          <w:bCs/>
        </w:rPr>
        <w:t xml:space="preserve">[EXERCICIO RESOLVIDO] Exercício Resolvido 7.1</w:t>
      </w:r>
    </w:p>
    <w:p>
      <w:pPr>
        <w:pStyle w:val="BlockText"/>
      </w:pPr>
      <w:r>
        <w:rPr>
          <w:b/>
          <w:bCs/>
        </w:rPr>
        <w:t xml:space="preserve">Enunciado:</w:t>
      </w:r>
      <w:r>
        <w:t xml:space="preserve"> </w:t>
      </w:r>
      <w:r>
        <w:t xml:space="preserve">Um investidor com função de utilidade</w:t>
      </w:r>
      <w:r>
        <w:t xml:space="preserve"> </w:t>
      </w:r>
      <m:oMath>
        <m:r>
          <m:t>u</m:t>
        </m:r>
        <m:r>
          <m:rPr>
            <m:sty m:val="p"/>
          </m:rPr>
          <m:t>(</m:t>
        </m:r>
        <m:r>
          <m:t>W</m:t>
        </m:r>
        <m:r>
          <m:rPr>
            <m:sty m:val="p"/>
          </m:rPr>
          <m:t>)</m:t>
        </m:r>
        <m:r>
          <m:rPr>
            <m:sty m:val="p"/>
          </m:rPr>
          <m:t>=</m:t>
        </m:r>
        <m:r>
          <m:rPr>
            <m:sty m:val="p"/>
          </m:rPr>
          <m:t>ln</m:t>
        </m:r>
        <m:r>
          <m:rPr>
            <m:sty m:val="p"/>
          </m:rPr>
          <m:t>(</m:t>
        </m:r>
        <m:r>
          <m:t>W</m:t>
        </m:r>
        <m:r>
          <m:rPr>
            <m:sty m:val="p"/>
          </m:rPr>
          <m:t>)</m:t>
        </m:r>
      </m:oMath>
      <w:r>
        <w:t xml:space="preserve"> </w:t>
      </w:r>
      <w:r>
        <w:t xml:space="preserve">possui riqueza inicial</w:t>
      </w:r>
      <w:r>
        <w:t xml:space="preserve"> </w:t>
      </w:r>
      <m:oMath>
        <m:sSub>
          <m:e>
            <m:r>
              <m:t>W</m:t>
            </m:r>
          </m:e>
          <m:sub>
            <m:r>
              <m:t>0</m:t>
            </m:r>
          </m:sub>
        </m:sSub>
        <m:r>
          <m:rPr>
            <m:sty m:val="p"/>
          </m:rPr>
          <m:t>=</m:t>
        </m:r>
        <m:r>
          <m:t>10.000</m:t>
        </m:r>
      </m:oMath>
      <w:r>
        <w:t xml:space="preserve">. Ele é convidado a participar de uma loteria que paga</w:t>
      </w:r>
      <w:r>
        <w:t xml:space="preserve"> </w:t>
      </w:r>
      <m:oMath>
        <m:r>
          <m:rPr>
            <m:sty m:val="p"/>
          </m:rPr>
          <m:t>+</m:t>
        </m:r>
        <m:r>
          <m:t>6.000</m:t>
        </m:r>
      </m:oMath>
      <w:r>
        <w:t xml:space="preserve"> </w:t>
      </w:r>
      <w:r>
        <w:t xml:space="preserve">com probabilidade</w:t>
      </w:r>
      <w:r>
        <w:t xml:space="preserve"> </w:t>
      </w:r>
      <m:oMath>
        <m:r>
          <m:t>0</m:t>
        </m:r>
        <m:r>
          <m:rPr>
            <m:sty m:val="p"/>
          </m:rPr>
          <m:t>,</m:t>
        </m:r>
        <m:r>
          <m:t>4</m:t>
        </m:r>
      </m:oMath>
      <w:r>
        <w:t xml:space="preserve"> </w:t>
      </w:r>
      <w:r>
        <w:t xml:space="preserve">e</w:t>
      </w:r>
      <w:r>
        <w:t xml:space="preserve"> </w:t>
      </w:r>
      <m:oMath>
        <m:r>
          <m:rPr>
            <m:sty m:val="p"/>
          </m:rPr>
          <m:t>−</m:t>
        </m:r>
        <m:r>
          <m:t>4.000</m:t>
        </m:r>
      </m:oMath>
      <w:r>
        <w:t xml:space="preserve"> </w:t>
      </w:r>
      <w:r>
        <w:t xml:space="preserve">com probabilidade</w:t>
      </w:r>
      <w:r>
        <w:t xml:space="preserve"> </w:t>
      </w:r>
      <m:oMath>
        <m:r>
          <m:t>0</m:t>
        </m:r>
        <m:r>
          <m:rPr>
            <m:sty m:val="p"/>
          </m:rPr>
          <m:t>,</m:t>
        </m:r>
        <m:r>
          <m:t>6</m:t>
        </m:r>
      </m:oMath>
      <w:r>
        <w:t xml:space="preserve">. Calcule o equivalente de certeza, o prêmio de risco exato e compare com a aproximação de Arrow-Pratt.</w:t>
      </w:r>
    </w:p>
    <w:p>
      <w:pPr>
        <w:pStyle w:val="BlockText"/>
      </w:pPr>
      <w:r>
        <w:rPr>
          <w:b/>
          <w:bCs/>
        </w:rPr>
        <w:t xml:space="preserve">Dados:</w:t>
      </w:r>
      <w:r>
        <w:t xml:space="preserve"> </w:t>
      </w:r>
      <m:oMath>
        <m:r>
          <m:t>u</m:t>
        </m:r>
        <m:r>
          <m:rPr>
            <m:sty m:val="p"/>
          </m:rPr>
          <m:t>(</m:t>
        </m:r>
        <m:r>
          <m:t>W</m:t>
        </m:r>
        <m:r>
          <m:rPr>
            <m:sty m:val="p"/>
          </m:rPr>
          <m:t>)</m:t>
        </m:r>
        <m:r>
          <m:rPr>
            <m:sty m:val="p"/>
          </m:rPr>
          <m:t>=</m:t>
        </m:r>
        <m:r>
          <m:rPr>
            <m:sty m:val="p"/>
          </m:rPr>
          <m:t>ln</m:t>
        </m:r>
        <m:r>
          <m:rPr>
            <m:sty m:val="p"/>
          </m:rPr>
          <m:t>(</m:t>
        </m:r>
        <m:r>
          <m:t>W</m:t>
        </m:r>
        <m:r>
          <m:rPr>
            <m:sty m:val="p"/>
          </m:rPr>
          <m:t>)</m:t>
        </m:r>
      </m:oMath>
      <w:r>
        <w:t xml:space="preserve">,</w:t>
      </w:r>
      <w:r>
        <w:t xml:space="preserve"> </w:t>
      </w:r>
      <m:oMath>
        <m:sSub>
          <m:e>
            <m:r>
              <m:t>W</m:t>
            </m:r>
          </m:e>
          <m:sub>
            <m:r>
              <m:t>0</m:t>
            </m:r>
          </m:sub>
        </m:sSub>
        <m:r>
          <m:rPr>
            <m:sty m:val="p"/>
          </m:rPr>
          <m:t>=</m:t>
        </m:r>
        <m:r>
          <m:t>10.000</m:t>
        </m:r>
      </m:oMath>
      <w:r>
        <w:t xml:space="preserve">,</w:t>
      </w:r>
      <w:r>
        <w:t xml:space="preserve"> </w:t>
      </w:r>
      <m:oMath>
        <m:r>
          <m:t>L</m:t>
        </m:r>
        <m:r>
          <m:rPr>
            <m:sty m:val="p"/>
          </m:rPr>
          <m:t>=</m:t>
        </m:r>
        <m:r>
          <m:rPr>
            <m:sty m:val="p"/>
          </m:rPr>
          <m:t>{</m:t>
        </m:r>
        <m:r>
          <m:rPr>
            <m:sty m:val="p"/>
          </m:rPr>
          <m:t>(</m:t>
        </m:r>
        <m:r>
          <m:rPr>
            <m:sty m:val="p"/>
          </m:rPr>
          <m:t>+</m:t>
        </m:r>
        <m:r>
          <m:t>6.000</m:t>
        </m:r>
        <m:r>
          <m:rPr>
            <m:sty m:val="p"/>
          </m:rPr>
          <m:t>,</m:t>
        </m:r>
        <m:r>
          <m:t> </m:t>
        </m:r>
        <m:r>
          <m:t>0</m:t>
        </m:r>
        <m:r>
          <m:rPr>
            <m:sty m:val="p"/>
          </m:rPr>
          <m:t>,</m:t>
        </m:r>
        <m:r>
          <m:t>4</m:t>
        </m:r>
        <m:r>
          <m:rPr>
            <m:sty m:val="p"/>
          </m:rPr>
          <m:t>)</m:t>
        </m:r>
        <m:r>
          <m:rPr>
            <m:sty m:val="p"/>
          </m:rPr>
          <m:t>;</m:t>
        </m:r>
        <m:r>
          <m:t> </m:t>
        </m:r>
        <m:r>
          <m:rPr>
            <m:sty m:val="p"/>
          </m:rPr>
          <m:t>(</m:t>
        </m:r>
        <m:r>
          <m:rPr>
            <m:sty m:val="p"/>
          </m:rPr>
          <m:t>−</m:t>
        </m:r>
        <m:r>
          <m:t>4.000</m:t>
        </m:r>
        <m:r>
          <m:rPr>
            <m:sty m:val="p"/>
          </m:rPr>
          <m:t>,</m:t>
        </m:r>
        <m:r>
          <m:t> </m:t>
        </m:r>
        <m:r>
          <m:t>0</m:t>
        </m:r>
        <m:r>
          <m:rPr>
            <m:sty m:val="p"/>
          </m:rPr>
          <m:t>,</m:t>
        </m:r>
        <m:r>
          <m:t>6</m:t>
        </m:r>
        <m:r>
          <m:rPr>
            <m:sty m:val="p"/>
          </m:rPr>
          <m:t>)</m:t>
        </m:r>
        <m:r>
          <m:rPr>
            <m:sty m:val="p"/>
          </m:rPr>
          <m:t>}</m:t>
        </m:r>
      </m:oMath>
      <w:r>
        <w:t xml:space="preserve">.</w:t>
      </w:r>
    </w:p>
    <w:p>
      <w:pPr>
        <w:pStyle w:val="BlockText"/>
      </w:pPr>
      <w:r>
        <w:rPr>
          <w:b/>
          <w:bCs/>
        </w:rPr>
        <w:t xml:space="preserve">Resolução:</w:t>
      </w:r>
    </w:p>
    <w:p>
      <w:pPr>
        <w:pStyle w:val="BlockText"/>
      </w:pPr>
      <w:r>
        <w:rPr>
          <w:b/>
          <w:bCs/>
        </w:rPr>
        <w:t xml:space="preserve">Passo 1 — Resultados possíveis e valor esperado</w:t>
      </w:r>
    </w:p>
    <w:p>
      <w:pPr>
        <w:pStyle w:val="Compact"/>
        <w:numPr>
          <w:ilvl w:val="0"/>
          <w:numId w:val="1331"/>
        </w:numPr>
      </w:pPr>
      <w:r>
        <w:t xml:space="preserve">Estado favorável:</w:t>
      </w:r>
      <w:r>
        <w:t xml:space="preserve"> </w:t>
      </w:r>
      <m:oMath>
        <m:sSub>
          <m:e>
            <m:r>
              <m:t>W</m:t>
            </m:r>
          </m:e>
          <m:sub>
            <m:r>
              <m:t>1</m:t>
            </m:r>
          </m:sub>
        </m:sSub>
        <m:r>
          <m:rPr>
            <m:sty m:val="p"/>
          </m:rPr>
          <m:t>=</m:t>
        </m:r>
        <m:r>
          <m:t>10.000</m:t>
        </m:r>
        <m:r>
          <m:rPr>
            <m:sty m:val="p"/>
          </m:rPr>
          <m:t>+</m:t>
        </m:r>
        <m:r>
          <m:t>6.000</m:t>
        </m:r>
        <m:r>
          <m:rPr>
            <m:sty m:val="p"/>
          </m:rPr>
          <m:t>=</m:t>
        </m:r>
        <m:r>
          <m:t>16.000</m:t>
        </m:r>
      </m:oMath>
      <w:r>
        <w:t xml:space="preserve"> </w:t>
      </w:r>
      <w:r>
        <w:t xml:space="preserve">com</w:t>
      </w:r>
      <w:r>
        <w:t xml:space="preserve"> </w:t>
      </w:r>
      <m:oMath>
        <m:sSub>
          <m:e>
            <m:r>
              <m:t>p</m:t>
            </m:r>
          </m:e>
          <m:sub>
            <m:r>
              <m:t>1</m:t>
            </m:r>
          </m:sub>
        </m:sSub>
        <m:r>
          <m:rPr>
            <m:sty m:val="p"/>
          </m:rPr>
          <m:t>=</m:t>
        </m:r>
        <m:r>
          <m:t>0</m:t>
        </m:r>
        <m:r>
          <m:rPr>
            <m:sty m:val="p"/>
          </m:rPr>
          <m:t>,</m:t>
        </m:r>
        <m:r>
          <m:t>4</m:t>
        </m:r>
      </m:oMath>
    </w:p>
    <w:p>
      <w:pPr>
        <w:pStyle w:val="Compact"/>
        <w:numPr>
          <w:ilvl w:val="0"/>
          <w:numId w:val="1331"/>
        </w:numPr>
      </w:pPr>
      <w:r>
        <w:t xml:space="preserve">Estado desfavorável:</w:t>
      </w:r>
      <w:r>
        <w:t xml:space="preserve"> </w:t>
      </w:r>
      <m:oMath>
        <m:sSub>
          <m:e>
            <m:r>
              <m:t>W</m:t>
            </m:r>
          </m:e>
          <m:sub>
            <m:r>
              <m:t>2</m:t>
            </m:r>
          </m:sub>
        </m:sSub>
        <m:r>
          <m:rPr>
            <m:sty m:val="p"/>
          </m:rPr>
          <m:t>=</m:t>
        </m:r>
        <m:r>
          <m:t>10.000</m:t>
        </m:r>
        <m:r>
          <m:rPr>
            <m:sty m:val="p"/>
          </m:rPr>
          <m:t>−</m:t>
        </m:r>
        <m:r>
          <m:t>4.000</m:t>
        </m:r>
        <m:r>
          <m:rPr>
            <m:sty m:val="p"/>
          </m:rPr>
          <m:t>=</m:t>
        </m:r>
        <m:r>
          <m:t>6.000</m:t>
        </m:r>
      </m:oMath>
      <w:r>
        <w:t xml:space="preserve"> </w:t>
      </w:r>
      <w:r>
        <w:t xml:space="preserve">com</w:t>
      </w:r>
      <w:r>
        <w:t xml:space="preserve"> </w:t>
      </w:r>
      <m:oMath>
        <m:sSub>
          <m:e>
            <m:r>
              <m:t>p</m:t>
            </m:r>
          </m:e>
          <m:sub>
            <m:r>
              <m:t>2</m:t>
            </m:r>
          </m:sub>
        </m:sSub>
        <m:r>
          <m:rPr>
            <m:sty m:val="p"/>
          </m:rPr>
          <m:t>=</m:t>
        </m:r>
        <m:r>
          <m:t>0</m:t>
        </m:r>
        <m:r>
          <m:rPr>
            <m:sty m:val="p"/>
          </m:rPr>
          <m:t>,</m:t>
        </m:r>
        <m:r>
          <m:t>6</m:t>
        </m:r>
      </m:oMath>
    </w:p>
    <w:p>
      <w:pPr>
        <w:pStyle w:val="Compact"/>
        <w:numPr>
          <w:ilvl w:val="0"/>
          <w:numId w:val="1331"/>
        </w:numPr>
      </w:pPr>
      <w:r>
        <w:t xml:space="preserve">Valor esperado:</w:t>
      </w:r>
      <w:r>
        <w:t xml:space="preserve"> </w:t>
      </w:r>
      <m:oMath>
        <m:r>
          <m:t>E</m:t>
        </m:r>
        <m:r>
          <m:rPr>
            <m:sty m:val="p"/>
          </m:rPr>
          <m:t>[</m:t>
        </m:r>
        <m:r>
          <m:t>W</m:t>
        </m:r>
        <m:r>
          <m:rPr>
            <m:sty m:val="p"/>
          </m:rPr>
          <m:t>]</m:t>
        </m:r>
        <m:r>
          <m:rPr>
            <m:sty m:val="p"/>
          </m:rPr>
          <m:t>=</m:t>
        </m:r>
        <m:r>
          <m:t>0</m:t>
        </m:r>
        <m:r>
          <m:rPr>
            <m:sty m:val="p"/>
          </m:rPr>
          <m:t>,</m:t>
        </m:r>
        <m:r>
          <m:t>4</m:t>
        </m:r>
        <m:r>
          <m:rPr>
            <m:sty m:val="p"/>
          </m:rPr>
          <m:t>×</m:t>
        </m:r>
        <m:r>
          <m:t>16.000</m:t>
        </m:r>
        <m:r>
          <m:rPr>
            <m:sty m:val="p"/>
          </m:rPr>
          <m:t>+</m:t>
        </m:r>
        <m:r>
          <m:t>0</m:t>
        </m:r>
        <m:r>
          <m:rPr>
            <m:sty m:val="p"/>
          </m:rPr>
          <m:t>,</m:t>
        </m:r>
        <m:r>
          <m:t>6</m:t>
        </m:r>
        <m:r>
          <m:rPr>
            <m:sty m:val="p"/>
          </m:rPr>
          <m:t>×</m:t>
        </m:r>
        <m:r>
          <m:t>6.000</m:t>
        </m:r>
        <m:r>
          <m:rPr>
            <m:sty m:val="p"/>
          </m:rPr>
          <m:t>=</m:t>
        </m:r>
        <m:r>
          <m:t>6.400</m:t>
        </m:r>
        <m:r>
          <m:rPr>
            <m:sty m:val="p"/>
          </m:rPr>
          <m:t>+</m:t>
        </m:r>
        <m:r>
          <m:t>3.600</m:t>
        </m:r>
        <m:r>
          <m:rPr>
            <m:sty m:val="p"/>
          </m:rPr>
          <m:t>=</m:t>
        </m:r>
        <m:r>
          <m:t>10.000</m:t>
        </m:r>
      </m:oMath>
    </w:p>
    <w:p>
      <w:pPr>
        <w:pStyle w:val="BlockText"/>
      </w:pPr>
      <w:r>
        <w:t xml:space="preserve">Note que</w:t>
      </w:r>
      <w:r>
        <w:t xml:space="preserve"> </w:t>
      </w:r>
      <m:oMath>
        <m:r>
          <m:t>E</m:t>
        </m:r>
        <m:r>
          <m:rPr>
            <m:sty m:val="p"/>
          </m:rPr>
          <m:t>[</m:t>
        </m:r>
        <m:r>
          <m:t>W</m:t>
        </m:r>
        <m:r>
          <m:rPr>
            <m:sty m:val="p"/>
          </m:rPr>
          <m:t>]</m:t>
        </m:r>
        <m:r>
          <m:rPr>
            <m:sty m:val="p"/>
          </m:rPr>
          <m:t>=</m:t>
        </m:r>
        <m:sSub>
          <m:e>
            <m:r>
              <m:t>W</m:t>
            </m:r>
          </m:e>
          <m:sub>
            <m:r>
              <m:t>0</m:t>
            </m:r>
          </m:sub>
        </m:sSub>
      </m:oMath>
      <w:r>
        <w:t xml:space="preserve">: trata-se de um risco justo (</w:t>
      </w:r>
      <m:oMath>
        <m:r>
          <m:t>E</m:t>
        </m:r>
        <m:r>
          <m:rPr>
            <m:sty m:val="p"/>
          </m:rPr>
          <m:t>[</m:t>
        </m:r>
        <m:acc>
          <m:accPr>
            <m:chr m:val="̃"/>
          </m:accPr>
          <m:e>
            <m:r>
              <m:t>ε</m:t>
            </m:r>
          </m:e>
        </m:acc>
        <m:r>
          <m:rPr>
            <m:sty m:val="p"/>
          </m:rPr>
          <m:t>]</m:t>
        </m:r>
        <m:r>
          <m:rPr>
            <m:sty m:val="p"/>
          </m:rPr>
          <m:t>=</m:t>
        </m:r>
        <m:r>
          <m:t>0</m:t>
        </m:r>
      </m:oMath>
      <w:r>
        <w:t xml:space="preserve">).</w:t>
      </w:r>
    </w:p>
    <w:p>
      <w:pPr>
        <w:pStyle w:val="BlockText"/>
      </w:pPr>
      <w:r>
        <w:rPr>
          <w:b/>
          <w:bCs/>
        </w:rPr>
        <w:t xml:space="preserve">Passo 2 — Utilidade esperada</w:t>
      </w:r>
    </w:p>
    <w:p>
      <w:pPr>
        <w:pStyle w:val="BlockText"/>
      </w:pPr>
      <w:r>
        <w:t xml:space="preserve">$$</w:t>
      </w:r>
    </w:p>
    <w:p>
      <w:pPr>
        <w:pStyle w:val="BlockText"/>
      </w:pPr>
      <w:r>
        <w:t xml:space="preserve">E[u(W)] = 0{,}4</w:t>
      </w:r>
      <w:r>
        <w:t xml:space="preserve"> </w:t>
      </w:r>
      <w:r>
        <w:t xml:space="preserve">(16.000) + 0{,}6</w:t>
      </w:r>
      <w:r>
        <w:t xml:space="preserve"> </w:t>
      </w:r>
      <w:r>
        <w:t xml:space="preserve">(6.000)</w:t>
      </w:r>
    </w:p>
    <w:p>
      <w:pPr>
        <w:pStyle w:val="BlockText"/>
      </w:pPr>
      <w:r>
        <w:t xml:space="preserve">$$</w:t>
      </w:r>
    </w:p>
    <w:p>
      <w:pPr>
        <w:pStyle w:val="BlockText"/>
      </w:pPr>
      <w:r>
        <w:t xml:space="preserve">$$</w:t>
      </w:r>
    </w:p>
    <w:p>
      <w:pPr>
        <w:pStyle w:val="BlockText"/>
      </w:pPr>
      <w:r>
        <w:t xml:space="preserve">= 0{,}4</w:t>
      </w:r>
      <w:r>
        <w:t xml:space="preserve"> </w:t>
      </w:r>
      <w:r>
        <w:t xml:space="preserve">6803 + 0{,}6</w:t>
      </w:r>
      <w:r>
        <w:t xml:space="preserve"> </w:t>
      </w:r>
      <w:r>
        <w:t xml:space="preserve">6995 = 3{,}8721 + 5{,}2197 = 9{,}0918</w:t>
      </w:r>
    </w:p>
    <w:p>
      <w:pPr>
        <w:pStyle w:val="BlockText"/>
      </w:pPr>
      <w:r>
        <w:t xml:space="preserve">$$</w:t>
      </w:r>
    </w:p>
    <w:p>
      <w:pPr>
        <w:pStyle w:val="BlockText"/>
      </w:pPr>
      <w:r>
        <w:rPr>
          <w:b/>
          <w:bCs/>
        </w:rPr>
        <w:t xml:space="preserve">Passo 3 — Equivalente de certeza</w:t>
      </w:r>
    </w:p>
    <w:p>
      <w:pPr>
        <w:pStyle w:val="BlockText"/>
      </w:pPr>
      <w:r>
        <w:t xml:space="preserve">$$</w:t>
      </w:r>
    </w:p>
    <w:p>
      <w:pPr>
        <w:pStyle w:val="BlockText"/>
      </w:pPr>
      <w:r>
        <w:t xml:space="preserve">u(W_{EC}) = E[u(W)]</w:t>
      </w:r>
      <w:r>
        <w:t xml:space="preserve"> </w:t>
      </w:r>
      <w:r>
        <w:t xml:space="preserve">(W_{EC}) = 9{,}0918</w:t>
      </w:r>
      <w:r>
        <w:t xml:space="preserve"> </w:t>
      </w:r>
      <w:r>
        <w:t xml:space="preserve">W_{EC} = e^{9{,}0918}</w:t>
      </w:r>
      <w:r>
        <w:t xml:space="preserve"> </w:t>
      </w:r>
    </w:p>
    <w:p>
      <w:pPr>
        <w:pStyle w:val="BlockText"/>
      </w:pPr>
      <w:r>
        <w:t xml:space="preserve">$$</w:t>
      </w:r>
    </w:p>
    <w:p>
      <w:pPr>
        <w:pStyle w:val="BlockText"/>
      </w:pPr>
      <w:r>
        <w:rPr>
          <w:b/>
          <w:bCs/>
        </w:rPr>
        <w:t xml:space="preserve">Passo 4 — Prêmio de risco exato</w:t>
      </w:r>
    </w:p>
    <w:p>
      <w:pPr>
        <w:pStyle w:val="BlockText"/>
      </w:pPr>
      <w:r>
        <w:t xml:space="preserve">$$</w:t>
      </w:r>
    </w:p>
    <w:p>
      <w:pPr>
        <w:pStyle w:val="BlockText"/>
      </w:pPr>
      <w:r>
        <w:t xml:space="preserve">= E[W] - W_{EC} = 10.000 - 8.879 =</w:t>
      </w:r>
      <w:r>
        <w:t xml:space="preserve"> </w:t>
      </w:r>
      <w:r>
        <w:t xml:space="preserve"> </w:t>
      </w:r>
      <w:r>
        <w:t xml:space="preserve">1.121</w:t>
      </w:r>
    </w:p>
    <w:p>
      <w:pPr>
        <w:pStyle w:val="BlockText"/>
      </w:pPr>
      <w:r>
        <w:t xml:space="preserve">$$</w:t>
      </w:r>
    </w:p>
    <w:p>
      <w:pPr>
        <w:pStyle w:val="BlockText"/>
      </w:pPr>
      <w:r>
        <w:rPr>
          <w:b/>
          <w:bCs/>
        </w:rPr>
        <w:t xml:space="preserve">Passo 5 — Aproximação de Arrow-Pratt</w:t>
      </w:r>
    </w:p>
    <w:p>
      <w:pPr>
        <w:pStyle w:val="BlockText"/>
      </w:pPr>
      <w:r>
        <w:t xml:space="preserve">Para</w:t>
      </w:r>
      <w:r>
        <w:t xml:space="preserve"> </w:t>
      </w:r>
      <m:oMath>
        <m:r>
          <m:t>u</m:t>
        </m:r>
        <m:r>
          <m:rPr>
            <m:sty m:val="p"/>
          </m:rPr>
          <m:t>(</m:t>
        </m:r>
        <m:r>
          <m:t>W</m:t>
        </m:r>
        <m:r>
          <m:rPr>
            <m:sty m:val="p"/>
          </m:rPr>
          <m:t>)</m:t>
        </m:r>
        <m:r>
          <m:rPr>
            <m:sty m:val="p"/>
          </m:rPr>
          <m:t>=</m:t>
        </m:r>
        <m:r>
          <m:rPr>
            <m:sty m:val="p"/>
          </m:rPr>
          <m:t>ln</m:t>
        </m:r>
        <m:r>
          <m:rPr>
            <m:sty m:val="p"/>
          </m:rPr>
          <m:t>(</m:t>
        </m:r>
        <m:r>
          <m:t>W</m:t>
        </m:r>
        <m:r>
          <m:rPr>
            <m:sty m:val="p"/>
          </m:rPr>
          <m:t>)</m:t>
        </m:r>
      </m:oMath>
      <w:r>
        <w:t xml:space="preserve">:</w:t>
      </w:r>
      <w:r>
        <w:t xml:space="preserve"> </w:t>
      </w:r>
      <m:oMath>
        <m:r>
          <m:t>A</m:t>
        </m:r>
        <m:r>
          <m:rPr>
            <m:sty m:val="p"/>
          </m:rPr>
          <m:t>(</m:t>
        </m:r>
        <m:r>
          <m:t>W</m:t>
        </m:r>
        <m:r>
          <m:rPr>
            <m:sty m:val="p"/>
          </m:rPr>
          <m:t>)</m:t>
        </m:r>
        <m:r>
          <m:rPr>
            <m:sty m:val="p"/>
          </m:rPr>
          <m:t>=</m:t>
        </m:r>
        <m:r>
          <m:t>1</m:t>
        </m:r>
        <m:r>
          <m:rPr>
            <m:sty m:val="p"/>
          </m:rPr>
          <m:t>/</m:t>
        </m:r>
        <m:r>
          <m:t>W</m:t>
        </m:r>
      </m:oMath>
      <w:r>
        <w:t xml:space="preserve">. Em</w:t>
      </w:r>
      <w:r>
        <w:t xml:space="preserve"> </w:t>
      </w:r>
      <m:oMath>
        <m:sSub>
          <m:e>
            <m:r>
              <m:t>W</m:t>
            </m:r>
          </m:e>
          <m:sub>
            <m:r>
              <m:t>0</m:t>
            </m:r>
          </m:sub>
        </m:sSub>
        <m:r>
          <m:rPr>
            <m:sty m:val="p"/>
          </m:rPr>
          <m:t>=</m:t>
        </m:r>
        <m:r>
          <m:t>10.000</m:t>
        </m:r>
      </m:oMath>
      <w:r>
        <w:t xml:space="preserve">:</w:t>
      </w:r>
      <w:r>
        <w:t xml:space="preserve"> </w:t>
      </w:r>
      <m:oMath>
        <m:r>
          <m:t>A</m:t>
        </m:r>
        <m:r>
          <m:rPr>
            <m:sty m:val="p"/>
          </m:rPr>
          <m:t>=</m:t>
        </m:r>
        <m:r>
          <m:t>1</m:t>
        </m:r>
        <m:r>
          <m:rPr>
            <m:sty m:val="p"/>
          </m:rPr>
          <m:t>/</m:t>
        </m:r>
        <m:r>
          <m:t>10.000</m:t>
        </m:r>
        <m:r>
          <m:rPr>
            <m:sty m:val="p"/>
          </m:rPr>
          <m:t>=</m:t>
        </m:r>
        <m:r>
          <m:t>0</m:t>
        </m:r>
        <m:r>
          <m:rPr>
            <m:sty m:val="p"/>
          </m:rPr>
          <m:t>,</m:t>
        </m:r>
        <m:r>
          <m:t>0001</m:t>
        </m:r>
      </m:oMath>
      <w:r>
        <w:t xml:space="preserve">.</w:t>
      </w:r>
    </w:p>
    <w:p>
      <w:pPr>
        <w:pStyle w:val="BlockText"/>
      </w:pPr>
      <w:r>
        <w:t xml:space="preserve">A variância do risco:</w:t>
      </w:r>
      <w:r>
        <w:t xml:space="preserve"> </w:t>
      </w:r>
      <m:oMath>
        <m:sSup>
          <m:e>
            <m:r>
              <m:t>σ</m:t>
            </m:r>
          </m:e>
          <m:sup>
            <m:r>
              <m:t>2</m:t>
            </m:r>
          </m:sup>
        </m:sSup>
        <m:r>
          <m:rPr>
            <m:sty m:val="p"/>
          </m:rPr>
          <m:t>=</m:t>
        </m:r>
        <m:r>
          <m:t>0</m:t>
        </m:r>
        <m:r>
          <m:rPr>
            <m:sty m:val="p"/>
          </m:rPr>
          <m:t>,</m:t>
        </m:r>
        <m:r>
          <m:t>4</m:t>
        </m:r>
        <m:r>
          <m:rPr>
            <m:sty m:val="p"/>
          </m:rPr>
          <m:t>×</m:t>
        </m:r>
        <m:r>
          <m:rPr>
            <m:sty m:val="p"/>
          </m:rPr>
          <m:t>(</m:t>
        </m:r>
        <m:r>
          <m:t>6.000</m:t>
        </m:r>
        <m:sSup>
          <m:e>
            <m:r>
              <m:rPr>
                <m:sty m:val="p"/>
              </m:rPr>
              <m:t>)</m:t>
            </m:r>
          </m:e>
          <m:sup>
            <m:r>
              <m:t>2</m:t>
            </m:r>
          </m:sup>
        </m:sSup>
        <m:r>
          <m:rPr>
            <m:sty m:val="p"/>
          </m:rPr>
          <m:t>+</m:t>
        </m:r>
        <m:r>
          <m:t>0</m:t>
        </m:r>
        <m:r>
          <m:rPr>
            <m:sty m:val="p"/>
          </m:rPr>
          <m:t>,</m:t>
        </m:r>
        <m:r>
          <m:t>6</m:t>
        </m:r>
        <m:r>
          <m:rPr>
            <m:sty m:val="p"/>
          </m:rPr>
          <m:t>×</m:t>
        </m:r>
        <m:r>
          <m:rPr>
            <m:sty m:val="p"/>
          </m:rPr>
          <m:t>(</m:t>
        </m:r>
        <m:r>
          <m:rPr>
            <m:sty m:val="p"/>
          </m:rPr>
          <m:t>−</m:t>
        </m:r>
        <m:r>
          <m:t>4.000</m:t>
        </m:r>
        <m:sSup>
          <m:e>
            <m:r>
              <m:rPr>
                <m:sty m:val="p"/>
              </m:rPr>
              <m:t>)</m:t>
            </m:r>
          </m:e>
          <m:sup>
            <m:r>
              <m:t>2</m:t>
            </m:r>
          </m:sup>
        </m:sSup>
        <m:r>
          <m:rPr>
            <m:sty m:val="p"/>
          </m:rPr>
          <m:t>=</m:t>
        </m:r>
        <m:r>
          <m:t>14.400</m:t>
        </m:r>
        <m:r>
          <m:t>.000</m:t>
        </m:r>
        <m:r>
          <m:rPr>
            <m:sty m:val="p"/>
          </m:rPr>
          <m:t>+</m:t>
        </m:r>
        <m:r>
          <m:t>9.600</m:t>
        </m:r>
        <m:r>
          <m:t>.000</m:t>
        </m:r>
        <m:r>
          <m:rPr>
            <m:sty m:val="p"/>
          </m:rPr>
          <m:t>=</m:t>
        </m:r>
        <m:r>
          <m:t>24.000</m:t>
        </m:r>
        <m:r>
          <m:t>.000</m:t>
        </m:r>
      </m:oMath>
      <w:r>
        <w:t xml:space="preserve">.</w:t>
      </w:r>
    </w:p>
    <w:p>
      <w:pPr>
        <w:pStyle w:val="BlockText"/>
      </w:pPr>
      <w:r>
        <w:t xml:space="preserve">$$</w:t>
      </w:r>
    </w:p>
    <w:p>
      <w:pPr>
        <w:pStyle w:val="BlockText"/>
      </w:pPr>
      <w:r>
        <w:t xml:space="preserve">_{AP}</w:t>
      </w:r>
      <w:r>
        <w:t xml:space="preserve"> </w:t>
      </w:r>
      <w:r>
        <w:t xml:space="preserve"> </w:t>
      </w:r>
      <w:r>
        <w:t xml:space="preserve">0001</w:t>
      </w:r>
      <w:r>
        <w:t xml:space="preserve"> </w:t>
      </w:r>
      <w:r>
        <w:t xml:space="preserve">.000 =</w:t>
      </w:r>
      <w:r>
        <w:t xml:space="preserve"> </w:t>
      </w:r>
      <w:r>
        <w:t xml:space="preserve"> </w:t>
      </w:r>
      <w:r>
        <w:t xml:space="preserve">1.200</w:t>
      </w:r>
    </w:p>
    <w:p>
      <w:pPr>
        <w:pStyle w:val="BlockText"/>
      </w:pPr>
      <w:r>
        <w:t xml:space="preserve">$$</w:t>
      </w:r>
    </w:p>
    <w:p>
      <w:pPr>
        <w:pStyle w:val="BlockText"/>
      </w:pPr>
      <w:r>
        <w:rPr>
          <w:b/>
          <w:bCs/>
        </w:rPr>
        <w:t xml:space="preserve">Resultado:</w:t>
      </w:r>
      <w:r>
        <w:t xml:space="preserve"> </w:t>
      </w:r>
      <m:oMath>
        <m:sSub>
          <m:e>
            <m:r>
              <m:t>π</m:t>
            </m:r>
          </m:e>
          <m:sub>
            <m:r>
              <m:rPr>
                <m:nor/>
                <m:sty m:val="p"/>
              </m:rPr>
              <m:t>exato</m:t>
            </m:r>
          </m:sub>
        </m:sSub>
        <m:r>
          <m:rPr>
            <m:sty m:val="p"/>
          </m:rPr>
          <m:t>=</m:t>
        </m:r>
        <m:r>
          <m:rPr>
            <m:nor/>
            <m:sty m:val="p"/>
          </m:rPr>
          <m:t>R$</m:t>
        </m:r>
        <m:r>
          <m:t>1.121</m:t>
        </m:r>
      </m:oMath>
      <w:r>
        <w:t xml:space="preserve"> </w:t>
      </w:r>
      <w:r>
        <w:t xml:space="preserve">vs. </w:t>
      </w:r>
      <m:oMath>
        <m:sSub>
          <m:e>
            <m:r>
              <m:t>π</m:t>
            </m:r>
          </m:e>
          <m:sub>
            <m:r>
              <m:t>A</m:t>
            </m:r>
            <m:r>
              <m:t>P</m:t>
            </m:r>
          </m:sub>
        </m:sSub>
        <m:r>
          <m:rPr>
            <m:sty m:val="p"/>
          </m:rPr>
          <m:t>≈</m:t>
        </m:r>
        <m:r>
          <m:rPr>
            <m:nor/>
            <m:sty m:val="p"/>
          </m:rPr>
          <m:t>R$</m:t>
        </m:r>
        <m:r>
          <m:t>1.200</m:t>
        </m:r>
      </m:oMath>
      <w:r>
        <w:t xml:space="preserve">. A aproximação superestima em cerca de 7%.</w:t>
      </w:r>
    </w:p>
    <w:p>
      <w:pPr>
        <w:pStyle w:val="BlockText"/>
      </w:pPr>
      <w:r>
        <w:rPr>
          <w:b/>
          <w:bCs/>
        </w:rPr>
        <w:t xml:space="preserve">Interpretação econômica:</w:t>
      </w:r>
      <w:r>
        <w:t xml:space="preserve"> </w:t>
      </w:r>
      <w:r>
        <w:t xml:space="preserve">O investidor exigiria pelo menos R$ 1.121 para aceitar esse risco justo — equivalente a 11,2% de sua riqueza. A discrepância entre o valor exato e a aproximação reflete que o risco não é</w:t>
      </w:r>
      <w:r>
        <w:t xml:space="preserve"> </w:t>
      </w:r>
      <w:r>
        <w:t xml:space="preserve">“pequeno”</w:t>
      </w:r>
      <w:r>
        <w:t xml:space="preserve"> </w:t>
      </w:r>
      <w:r>
        <w:t xml:space="preserve">em relação à riqueza (desvio padrão de R$ 4.899 ≈ 49% de</w:t>
      </w:r>
      <w:r>
        <w:t xml:space="preserve"> </w:t>
      </w:r>
      <m:oMath>
        <m:sSub>
          <m:e>
            <m:r>
              <m:t>W</m:t>
            </m:r>
          </m:e>
          <m:sub>
            <m:r>
              <m:t>0</m:t>
            </m:r>
          </m:sub>
        </m:sSub>
      </m:oMath>
      <w:r>
        <w:t xml:space="preserve">), o que compromete a precisão da expansão de Taylor.</w:t>
      </w:r>
    </w:p>
    <w:bookmarkEnd w:id="332"/>
    <w:bookmarkEnd w:id="333"/>
    <w:bookmarkEnd w:id="334"/>
    <w:bookmarkStart w:id="339" w:name="Xb80ae24ed3c19ecae2a93085173789d8e2b163b"/>
    <w:p>
      <w:pPr>
        <w:pStyle w:val="Heading2"/>
      </w:pPr>
      <w:r>
        <w:t xml:space="preserve">7.6 Seguro, Diversificação e Informação: A Caixa de Ferramentas Contra o Risco</w:t>
      </w:r>
    </w:p>
    <w:p>
      <w:pPr>
        <w:pStyle w:val="FirstParagraph"/>
      </w:pPr>
      <w:r>
        <w:t xml:space="preserve">Até aqui, tratamos o risco como algo dado — uma propriedade das loterias que o agente enfrenta. Mas, na prática, agentes e instituições desenvolvem mecanismos engenhosos para</w:t>
      </w:r>
      <w:r>
        <w:t xml:space="preserve"> </w:t>
      </w:r>
      <w:r>
        <w:rPr>
          <w:b/>
          <w:bCs/>
        </w:rPr>
        <w:t xml:space="preserve">reduzir</w:t>
      </w:r>
      <w:r>
        <w:t xml:space="preserve">,</w:t>
      </w:r>
      <w:r>
        <w:t xml:space="preserve"> </w:t>
      </w:r>
      <w:r>
        <w:rPr>
          <w:b/>
          <w:bCs/>
        </w:rPr>
        <w:t xml:space="preserve">redistribuir</w:t>
      </w:r>
      <w:r>
        <w:t xml:space="preserve"> </w:t>
      </w:r>
      <w:r>
        <w:t xml:space="preserve">ou</w:t>
      </w:r>
      <w:r>
        <w:t xml:space="preserve"> </w:t>
      </w:r>
      <w:r>
        <w:rPr>
          <w:b/>
          <w:bCs/>
        </w:rPr>
        <w:t xml:space="preserve">gerenciar</w:t>
      </w:r>
      <w:r>
        <w:t xml:space="preserve"> </w:t>
      </w:r>
      <w:r>
        <w:t xml:space="preserve">os riscos a que estão expostos. Esses mecanismos não eliminam a incerteza do mundo; eles a realocam para quem pode suportá-la melhor ou a diluem entre muitos agentes. Nesta seção, examinamos quatro estratégias fundamentais: seguros, diversificação, flexibilidade e informação.</w:t>
      </w:r>
    </w:p>
    <w:bookmarkStart w:id="335" w:name="seguros"/>
    <w:p>
      <w:pPr>
        <w:pStyle w:val="Heading4"/>
      </w:pPr>
      <w:r>
        <w:t xml:space="preserve">7.6.1 Seguros</w:t>
      </w:r>
    </w:p>
    <w:p>
      <w:pPr>
        <w:pStyle w:val="FirstParagraph"/>
      </w:pPr>
      <w:r>
        <w:t xml:space="preserve">O mecanismo de seguro permite transferir risco de agentes mais avessos para agentes menos avessos (ou mais diversificados). Considere um agente com riqueza</w:t>
      </w:r>
      <w:r>
        <w:t xml:space="preserve"> </w:t>
      </w:r>
      <m:oMath>
        <m:r>
          <m:t>W</m:t>
        </m:r>
      </m:oMath>
      <w:r>
        <w:t xml:space="preserve"> </w:t>
      </w:r>
      <w:r>
        <w:t xml:space="preserve">que enfrenta uma perda</w:t>
      </w:r>
      <w:r>
        <w:t xml:space="preserve"> </w:t>
      </w:r>
      <m:oMath>
        <m:r>
          <m:t>d</m:t>
        </m:r>
      </m:oMath>
      <w:r>
        <w:t xml:space="preserve"> </w:t>
      </w:r>
      <w:r>
        <w:t xml:space="preserve">com probabilidade</w:t>
      </w:r>
      <w:r>
        <w:t xml:space="preserve"> </w:t>
      </w:r>
      <m:oMath>
        <m:r>
          <m:t>p</m:t>
        </m:r>
      </m:oMath>
      <w:r>
        <w:t xml:space="preserve">.</w:t>
      </w:r>
    </w:p>
    <w:p>
      <w:pPr>
        <w:pStyle w:val="Compact"/>
        <w:numPr>
          <w:ilvl w:val="0"/>
          <w:numId w:val="1332"/>
        </w:numPr>
      </w:pPr>
      <w:r>
        <w:rPr>
          <w:b/>
          <w:bCs/>
        </w:rPr>
        <w:t xml:space="preserve">Prêmio atuarialmente justo</w:t>
      </w:r>
      <w:r>
        <w:t xml:space="preserve">:</w:t>
      </w:r>
      <w:r>
        <w:t xml:space="preserve"> </w:t>
      </w:r>
      <m:oMath>
        <m:r>
          <m:t>P</m:t>
        </m:r>
        <m:r>
          <m:rPr>
            <m:sty m:val="p"/>
          </m:rPr>
          <m:t>=</m:t>
        </m:r>
        <m:r>
          <m:t>p</m:t>
        </m:r>
        <m:r>
          <m:rPr>
            <m:sty m:val="p"/>
          </m:rPr>
          <m:t>⋅</m:t>
        </m:r>
        <m:r>
          <m:t>d</m:t>
        </m:r>
      </m:oMath>
      <w:r>
        <w:t xml:space="preserve">. Sob esse prêmio, o agente avesso ao risco contrata cobertura total.</w:t>
      </w:r>
    </w:p>
    <w:p>
      <w:pPr>
        <w:pStyle w:val="Compact"/>
        <w:numPr>
          <w:ilvl w:val="0"/>
          <w:numId w:val="1332"/>
        </w:numPr>
      </w:pPr>
      <w:r>
        <w:rPr>
          <w:b/>
          <w:bCs/>
        </w:rPr>
        <w:t xml:space="preserve">Prêmio com carregamento</w:t>
      </w:r>
      <w:r>
        <w:t xml:space="preserve">:</w:t>
      </w:r>
      <w:r>
        <w:t xml:space="preserve"> </w:t>
      </w:r>
      <m:oMath>
        <m:r>
          <m:t>P</m:t>
        </m:r>
        <m:r>
          <m:rPr>
            <m:sty m:val="p"/>
          </m:rPr>
          <m:t>=</m:t>
        </m:r>
        <m:r>
          <m:rPr>
            <m:sty m:val="p"/>
          </m:rPr>
          <m:t>(</m:t>
        </m:r>
        <m:r>
          <m:t>1</m:t>
        </m:r>
        <m:r>
          <m:rPr>
            <m:sty m:val="p"/>
          </m:rPr>
          <m:t>+</m:t>
        </m:r>
        <m:r>
          <m:t>λ</m:t>
        </m:r>
        <m:r>
          <m:rPr>
            <m:sty m:val="p"/>
          </m:rPr>
          <m:t>)</m:t>
        </m:r>
        <m:r>
          <m:t>p</m:t>
        </m:r>
        <m:r>
          <m:rPr>
            <m:sty m:val="p"/>
          </m:rPr>
          <m:t>⋅</m:t>
        </m:r>
        <m:r>
          <m:t>d</m:t>
        </m:r>
      </m:oMath>
      <w:r>
        <w:t xml:space="preserve">,</w:t>
      </w:r>
      <w:r>
        <w:t xml:space="preserve"> </w:t>
      </w:r>
      <m:oMath>
        <m:r>
          <m:t>λ</m:t>
        </m:r>
        <m:r>
          <m:rPr>
            <m:sty m:val="p"/>
          </m:rPr>
          <m:t>&gt;</m:t>
        </m:r>
        <m:r>
          <m:t>0</m:t>
        </m:r>
      </m:oMath>
      <w:r>
        <w:t xml:space="preserve">. Nesse caso, a cobertura ótima pode ser parcial.</w:t>
      </w:r>
    </w:p>
    <w:p>
      <w:pPr>
        <w:pStyle w:val="BlockText"/>
      </w:pPr>
      <w:r>
        <w:rPr>
          <w:b/>
          <w:bCs/>
        </w:rPr>
        <w:t xml:space="preserve">[TEOREMA] Teorema: Seguro total sob prêmio atuarialmente justo</w:t>
      </w:r>
    </w:p>
    <w:p>
      <w:pPr>
        <w:pStyle w:val="BlockText"/>
      </w:pPr>
      <w:r>
        <w:t xml:space="preserve">Se o prêmio do seguro é atuarialmente justo e o agente é estritamente avesso ao risco, então o contrato ótimo é de</w:t>
      </w:r>
      <w:r>
        <w:t xml:space="preserve"> </w:t>
      </w:r>
      <w:r>
        <w:rPr>
          <w:b/>
          <w:bCs/>
        </w:rPr>
        <w:t xml:space="preserve">cobertura total</w:t>
      </w:r>
      <w:r>
        <w:t xml:space="preserve"> </w:t>
      </w:r>
      <w:r>
        <w:t xml:space="preserve">(</w:t>
      </w:r>
      <m:oMath>
        <m:sSup>
          <m:e>
            <m:r>
              <m:t>q</m:t>
            </m:r>
          </m:e>
          <m:sup>
            <m:r>
              <m:rPr>
                <m:sty m:val="p"/>
              </m:rPr>
              <m:t>*</m:t>
            </m:r>
          </m:sup>
        </m:sSup>
        <m:r>
          <m:rPr>
            <m:sty m:val="p"/>
          </m:rPr>
          <m:t>=</m:t>
        </m:r>
        <m:r>
          <m:t>d</m:t>
        </m:r>
      </m:oMath>
      <w:r>
        <w:t xml:space="preserve">), onde</w:t>
      </w:r>
      <w:r>
        <w:t xml:space="preserve"> </w:t>
      </w:r>
      <m:oMath>
        <m:r>
          <m:t>q</m:t>
        </m:r>
      </m:oMath>
      <w:r>
        <w:t xml:space="preserve"> </w:t>
      </w:r>
      <w:r>
        <w:t xml:space="preserve">é a indenização contratada.</w:t>
      </w:r>
    </w:p>
    <w:p>
      <w:pPr>
        <w:pStyle w:val="FirstParagraph"/>
      </w:pPr>
      <w:r>
        <w:t xml:space="preserve">A intuição por trás deste teorema é direta: quando o prêmio é justo, o agente pode</w:t>
      </w:r>
      <w:r>
        <w:t xml:space="preserve"> </w:t>
      </w:r>
      <w:r>
        <w:t xml:space="preserve">“comprar”</w:t>
      </w:r>
      <w:r>
        <w:t xml:space="preserve"> </w:t>
      </w:r>
      <w:r>
        <w:t xml:space="preserve">certeza sem custo atuarial. Como ele prefere certeza à incerteza (por ser avesso ao risco), ele maximiza a utilidade eliminando todo o risco. Com carregamento (</w:t>
      </w:r>
      <m:oMath>
        <m:r>
          <m:t>λ</m:t>
        </m:r>
        <m:r>
          <m:rPr>
            <m:sty m:val="p"/>
          </m:rPr>
          <m:t>&gt;</m:t>
        </m:r>
        <m:r>
          <m:t>0</m:t>
        </m:r>
      </m:oMath>
      <w:r>
        <w:t xml:space="preserve">), a certeza passa a ter um preço adicional, e o agente pondera entre redução de risco e custo do prêmio — a solução intermediária pode envolver franquias, cobertura parcial ou mesmo a decisão de não contratar seguro.</w:t>
      </w:r>
    </w:p>
    <w:p>
      <w:pPr>
        <w:pStyle w:val="BodyText"/>
      </w:pPr>
      <w:r>
        <w:t xml:space="preserve">Na prática, os mercados de seguros brasileiros exibem carregamentos que variam amplamente. O seguro de automóvel pode ter</w:t>
      </w:r>
      <w:r>
        <w:t xml:space="preserve"> </w:t>
      </w:r>
      <m:oMath>
        <m:r>
          <m:t>λ</m:t>
        </m:r>
      </m:oMath>
      <w:r>
        <w:t xml:space="preserve"> </w:t>
      </w:r>
      <w:r>
        <w:t xml:space="preserve">entre 30% e 60% sobre o prêmio puro, enquanto resseguros de catástrofes naturais (como enchentes e secas) têm carregamentos ainda maiores, refletindo riscos sistemáticos que não se diversificam dentro da carteira da seguradora. Esse ponto é crucial: a diversificação pela seguradora só funciona quando os sinistros são</w:t>
      </w:r>
      <w:r>
        <w:t xml:space="preserve"> </w:t>
      </w:r>
      <w:r>
        <w:rPr>
          <w:i/>
          <w:iCs/>
        </w:rPr>
        <w:t xml:space="preserve">independentes</w:t>
      </w:r>
      <w:r>
        <w:t xml:space="preserve"> </w:t>
      </w:r>
      <w:r>
        <w:t xml:space="preserve">entre segurados. Uma seca que atinge todos os produtores de uma região simultaneamente não é diversificável na escala de uma única seguradora — o que explica o papel indispensável do resseguro e da participação do Estado em programas como o Proagro.</w:t>
      </w:r>
    </w:p>
    <w:p>
      <w:pPr>
        <w:pStyle w:val="BlockText"/>
      </w:pPr>
      <w:r>
        <w:rPr>
          <w:b/>
          <w:bCs/>
        </w:rPr>
        <w:t xml:space="preserve">[BOX BRASIL] Box Brasil 7.1: Proagro e o seguro rural no Brasil</w:t>
      </w:r>
    </w:p>
    <w:p>
      <w:pPr>
        <w:pStyle w:val="BlockText"/>
      </w:pPr>
      <w:r>
        <w:t xml:space="preserve">O</w:t>
      </w:r>
      <w:r>
        <w:t xml:space="preserve"> </w:t>
      </w:r>
      <w:r>
        <w:rPr>
          <w:b/>
          <w:bCs/>
        </w:rPr>
        <w:t xml:space="preserve">Proagro</w:t>
      </w:r>
      <w:r>
        <w:t xml:space="preserve"> </w:t>
      </w:r>
      <w:r>
        <w:t xml:space="preserve">(Programa de Garantia da Atividade Agropecuária) é o principal instrumento de proteção à renda dos agricultores brasileiros contra perdas causadas por eventos climáticos adversos, pragas e doenças. Criado em 1973 (Lei 5.969/73) e operado pelo Banco Central do Brasil em parceria com agentes financeiros, o Proagro garante a cobertura de financiamentos rurais quando a lavoura sofre perdas que impedem o pagamento do crédito.</w:t>
      </w:r>
    </w:p>
    <w:p>
      <w:pPr>
        <w:pStyle w:val="BlockText"/>
      </w:pPr>
      <w:r>
        <w:rPr>
          <w:b/>
          <w:bCs/>
        </w:rPr>
        <w:t xml:space="preserve">Como funciona na prática</w:t>
      </w:r>
    </w:p>
    <w:p>
      <w:pPr>
        <w:pStyle w:val="BlockText"/>
      </w:pPr>
      <w:r>
        <w:t xml:space="preserve">O produtor que toma crédito rural pelo Sistema Nacional de Crédito Rural (SNCR) pode aderir ao Proagro pagando um adicional (o</w:t>
      </w:r>
      <w:r>
        <w:t xml:space="preserve"> </w:t>
      </w:r>
      <w:r>
        <w:t xml:space="preserve">“prêmio”</w:t>
      </w:r>
      <w:r>
        <w:t xml:space="preserve"> </w:t>
      </w:r>
      <w:r>
        <w:t xml:space="preserve">do Proagro) de 2% a 6% sobre o valor financiado. Em caso de sinistro comprovado — quebra de safra por geada, seca, excesso de chuva, granizo ou pragas —, o Proagro cobre as obrigações financeiras do produtor junto ao banco. Para pequenos produtores enquadrados no Pronaf, existe o</w:t>
      </w:r>
      <w:r>
        <w:t xml:space="preserve"> </w:t>
      </w:r>
      <w:r>
        <w:rPr>
          <w:b/>
          <w:bCs/>
        </w:rPr>
        <w:t xml:space="preserve">Proagro Mais</w:t>
      </w:r>
      <w:r>
        <w:t xml:space="preserve">, com condições mais favoráveis e custo subsidiado pelo Tesouro Nacional.</w:t>
      </w:r>
    </w:p>
    <w:p>
      <w:pPr>
        <w:pStyle w:val="BlockText"/>
      </w:pPr>
      <w:r>
        <w:rPr>
          <w:b/>
          <w:bCs/>
        </w:rPr>
        <w:t xml:space="preserve">A lógica microeconômica</w:t>
      </w:r>
    </w:p>
    <w:p>
      <w:pPr>
        <w:pStyle w:val="BlockText"/>
      </w:pPr>
      <w:r>
        <w:t xml:space="preserve">Do ponto de vista da teoria desenvolvida neste capítulo, o Proagro é um mecanismo de seguro com prêmio</w:t>
      </w:r>
      <w:r>
        <w:t xml:space="preserve"> </w:t>
      </w:r>
      <w:r>
        <w:rPr>
          <w:i/>
          <w:iCs/>
        </w:rPr>
        <w:t xml:space="preserve">subsidiado</w:t>
      </w:r>
      <w:r>
        <w:t xml:space="preserve">. O prêmio atuarialmente justo para cobrir os riscos climáticos de regiões como o Semiárido nordestino ou o Cerrado goiano seria muito superior ao que os produtores conseguem pagar, especialmente os de menor escala. O subsídio — financiado pelo Tesouro e computado no orçamento do Ministério da Agricultura — funciona como uma redução do carregamento</w:t>
      </w:r>
      <w:r>
        <w:t xml:space="preserve"> </w:t>
      </w:r>
      <m:oMath>
        <m:r>
          <m:t>λ</m:t>
        </m:r>
      </m:oMath>
      <w:r>
        <w:t xml:space="preserve">, tornando o seguro acessível para produtores que de outra forma permaneceriam sem cobertura.</w:t>
      </w:r>
    </w:p>
    <w:p>
      <w:pPr>
        <w:pStyle w:val="BlockText"/>
      </w:pPr>
      <w:r>
        <w:t xml:space="preserve">Rosenzweig e Binswanger (1993), usando dados de agricultores indianos, mostram que a exposição ao risco climático reduz significativamente a lucratividade e o investimento agropecuário — especialmente para produtores mais pobres que não têm acesso a mercados de crédito ou seguro. O Proagro atua exatamente nessa fronteira: sem cobertura, o produtor reduz o risco</w:t>
      </w:r>
      <w:r>
        <w:t xml:space="preserve"> </w:t>
      </w:r>
      <w:r>
        <w:rPr>
          <w:i/>
          <w:iCs/>
        </w:rPr>
        <w:t xml:space="preserve">ex ante</w:t>
      </w:r>
      <w:r>
        <w:t xml:space="preserve"> </w:t>
      </w:r>
      <w:r>
        <w:t xml:space="preserve">escolhendo tecnologias menos produtivas mas mais seguras (como plantio tardio ou variedades de menor rendimento mas maior resistência à seca). Com o seguro, ele pode adotar tecnologias de maior risco e maior retorno médio, aumentando a produtividade e a renda agrícola.</w:t>
      </w:r>
    </w:p>
    <w:p>
      <w:pPr>
        <w:pStyle w:val="BlockText"/>
      </w:pPr>
      <w:r>
        <w:rPr>
          <w:b/>
          <w:bCs/>
        </w:rPr>
        <w:t xml:space="preserve">Desafios e limitações</w:t>
      </w:r>
    </w:p>
    <w:p>
      <w:pPr>
        <w:pStyle w:val="BlockText"/>
      </w:pPr>
      <w:r>
        <w:t xml:space="preserve">O Proagro enfrenta problemas clássicos de informação assimétrica (Seção 7.8):</w:t>
      </w:r>
      <w:r>
        <w:t xml:space="preserve"> </w:t>
      </w:r>
      <w:r>
        <w:rPr>
          <w:b/>
          <w:bCs/>
        </w:rPr>
        <w:t xml:space="preserve">seleção adversa</w:t>
      </w:r>
      <w:r>
        <w:t xml:space="preserve"> </w:t>
      </w:r>
      <w:r>
        <w:t xml:space="preserve">(produtores em regiões de maior risco climático têm mais incentivo a aderir) e</w:t>
      </w:r>
      <w:r>
        <w:t xml:space="preserve"> </w:t>
      </w:r>
      <w:r>
        <w:rPr>
          <w:b/>
          <w:bCs/>
        </w:rPr>
        <w:t xml:space="preserve">risco moral</w:t>
      </w:r>
      <w:r>
        <w:t xml:space="preserve"> </w:t>
      </w:r>
      <w:r>
        <w:t xml:space="preserve">(após a contratação, o produtor pode reduzir investimentos em irrigação e práticas preventivas). Além disso, a verificação dos sinistros é custosa e sujeita a disputas, o que eleva os custos administrativos do programa.</w:t>
      </w:r>
    </w:p>
    <w:p>
      <w:pPr>
        <w:pStyle w:val="BlockText"/>
      </w:pPr>
      <w:r>
        <w:rPr>
          <w:b/>
          <w:bCs/>
        </w:rPr>
        <w:t xml:space="preserve">Fonte</w:t>
      </w:r>
      <w:r>
        <w:t xml:space="preserve">: Banco Central do Brasil, Manual de Crédito Rural (MCR), Capítulo 16; Ministério da Agricultura e Pecuária, Relatório Proagro 2023.</w:t>
      </w:r>
    </w:p>
    <w:p>
      <w:pPr>
        <w:pStyle w:val="FirstParagraph"/>
      </w:pPr>
      <w:r>
        <w:t xml:space="preserve">[FIGURA INTERATIVA: /micro-book/graficos/cap07/seguro.html — versao interativa disponivel online]</w:t>
      </w:r>
    </w:p>
    <w:p>
      <w:pPr>
        <w:pStyle w:val="BodyText"/>
      </w:pPr>
      <w:r>
        <w:rPr>
          <w:b/>
          <w:bCs/>
        </w:rPr>
        <w:t xml:space="preserve">Figura 7.3 — Mercado de seguros no espaço estado-contingente.</w:t>
      </w:r>
      <w:r>
        <w:t xml:space="preserve"> </w:t>
      </w:r>
      <w:r>
        <w:t xml:space="preserve">Ajuste a riqueza inicial, a perda, a probabilidade de sinistro e o carregamento. Observe como a cobertura ótima se move em direção à linha de 45 graus (seguro total) quando o prêmio é atuarialmente justo (</w:t>
      </w:r>
      <m:oMath>
        <m:r>
          <m:t>λ</m:t>
        </m:r>
        <m:r>
          <m:rPr>
            <m:sty m:val="p"/>
          </m:rPr>
          <m:t>=</m:t>
        </m:r>
        <m:r>
          <m:t>0</m:t>
        </m:r>
      </m:oMath>
      <w:r>
        <w:t xml:space="preserve">).</w:t>
      </w:r>
    </w:p>
    <w:p>
      <w:pPr>
        <w:pStyle w:val="BlockText"/>
      </w:pPr>
      <w:r>
        <w:rPr>
          <w:b/>
          <w:bCs/>
        </w:rPr>
        <w:t xml:space="preserve">[EXERCICIO RESOLVIDO] Exercício Resolvido 7.2</w:t>
      </w:r>
    </w:p>
    <w:p>
      <w:pPr>
        <w:pStyle w:val="BlockText"/>
      </w:pPr>
      <w:r>
        <w:rPr>
          <w:b/>
          <w:bCs/>
        </w:rPr>
        <w:t xml:space="preserve">Enunciado:</w:t>
      </w:r>
      <w:r>
        <w:t xml:space="preserve"> </w:t>
      </w:r>
      <w:r>
        <w:t xml:space="preserve">Uma produtora de café no Sul de Minas possui riqueza de R$ 500.000 e enfrenta risco de geada que, com probabilidade</w:t>
      </w:r>
      <w:r>
        <w:t xml:space="preserve"> </w:t>
      </w:r>
      <m:oMath>
        <m:r>
          <m:t>0</m:t>
        </m:r>
        <m:r>
          <m:rPr>
            <m:sty m:val="p"/>
          </m:rPr>
          <m:t>,</m:t>
        </m:r>
        <m:r>
          <m:t>2</m:t>
        </m:r>
      </m:oMath>
      <w:r>
        <w:t xml:space="preserve">, causa perda de R$ 200.000. Sua utilidade é</w:t>
      </w:r>
      <w:r>
        <w:t xml:space="preserve"> </w:t>
      </w:r>
      <m:oMath>
        <m:r>
          <m:t>u</m:t>
        </m:r>
        <m:r>
          <m:rPr>
            <m:sty m:val="p"/>
          </m:rPr>
          <m:t>(</m:t>
        </m:r>
        <m:r>
          <m:t>W</m:t>
        </m:r>
        <m:r>
          <m:rPr>
            <m:sty m:val="p"/>
          </m:rPr>
          <m:t>)</m:t>
        </m:r>
        <m:r>
          <m:rPr>
            <m:sty m:val="p"/>
          </m:rPr>
          <m:t>=</m:t>
        </m:r>
        <m:rad>
          <m:radPr>
            <m:degHide m:val="on"/>
          </m:radPr>
          <m:deg/>
          <m:e>
            <m:r>
              <m:t>W</m:t>
            </m:r>
          </m:e>
        </m:rad>
      </m:oMath>
      <w:r>
        <w:t xml:space="preserve">. (a) Calcule o prêmio atuarialmente justo. (b) Verifique que a produtora contrata cobertura total. (c) Se a seguradora cobra carregamento</w:t>
      </w:r>
      <w:r>
        <w:t xml:space="preserve"> </w:t>
      </w:r>
      <m:oMath>
        <m:r>
          <m:t>λ</m:t>
        </m:r>
        <m:r>
          <m:rPr>
            <m:sty m:val="p"/>
          </m:rPr>
          <m:t>=</m:t>
        </m:r>
        <m:r>
          <m:t>0</m:t>
        </m:r>
        <m:r>
          <m:rPr>
            <m:sty m:val="p"/>
          </m:rPr>
          <m:t>,</m:t>
        </m:r>
        <m:r>
          <m:t>3</m:t>
        </m:r>
      </m:oMath>
      <w:r>
        <w:t xml:space="preserve">, qual o prêmio de risco máximo que a produtora aceita pagar?</w:t>
      </w:r>
    </w:p>
    <w:p>
      <w:pPr>
        <w:pStyle w:val="BlockText"/>
      </w:pPr>
      <w:r>
        <w:rPr>
          <w:b/>
          <w:bCs/>
        </w:rPr>
        <w:t xml:space="preserve">Dados:</w:t>
      </w:r>
      <w:r>
        <w:t xml:space="preserve"> </w:t>
      </w:r>
      <m:oMath>
        <m:r>
          <m:t>W</m:t>
        </m:r>
        <m:r>
          <m:rPr>
            <m:sty m:val="p"/>
          </m:rPr>
          <m:t>=</m:t>
        </m:r>
        <m:r>
          <m:t>500.000</m:t>
        </m:r>
      </m:oMath>
      <w:r>
        <w:t xml:space="preserve">,</w:t>
      </w:r>
      <w:r>
        <w:t xml:space="preserve"> </w:t>
      </w:r>
      <m:oMath>
        <m:r>
          <m:t>d</m:t>
        </m:r>
        <m:r>
          <m:rPr>
            <m:sty m:val="p"/>
          </m:rPr>
          <m:t>=</m:t>
        </m:r>
        <m:r>
          <m:t>200.000</m:t>
        </m:r>
      </m:oMath>
      <w:r>
        <w:t xml:space="preserve">,</w:t>
      </w:r>
      <w:r>
        <w:t xml:space="preserve"> </w:t>
      </w:r>
      <m:oMath>
        <m:r>
          <m:t>p</m:t>
        </m:r>
        <m:r>
          <m:rPr>
            <m:sty m:val="p"/>
          </m:rPr>
          <m:t>=</m:t>
        </m:r>
        <m:r>
          <m:t>0</m:t>
        </m:r>
        <m:r>
          <m:rPr>
            <m:sty m:val="p"/>
          </m:rPr>
          <m:t>,</m:t>
        </m:r>
        <m:r>
          <m:t>2</m:t>
        </m:r>
      </m:oMath>
      <w:r>
        <w:t xml:space="preserve">,</w:t>
      </w:r>
      <w:r>
        <w:t xml:space="preserve"> </w:t>
      </w:r>
      <m:oMath>
        <m:r>
          <m:t>u</m:t>
        </m:r>
        <m:r>
          <m:rPr>
            <m:sty m:val="p"/>
          </m:rPr>
          <m:t>(</m:t>
        </m:r>
        <m:r>
          <m:t>W</m:t>
        </m:r>
        <m:r>
          <m:rPr>
            <m:sty m:val="p"/>
          </m:rPr>
          <m:t>)</m:t>
        </m:r>
        <m:r>
          <m:rPr>
            <m:sty m:val="p"/>
          </m:rPr>
          <m:t>=</m:t>
        </m:r>
        <m:rad>
          <m:radPr>
            <m:degHide m:val="on"/>
          </m:radPr>
          <m:deg/>
          <m:e>
            <m:r>
              <m:t>W</m:t>
            </m:r>
          </m:e>
        </m:rad>
      </m:oMath>
      <w:r>
        <w:t xml:space="preserve">.</w:t>
      </w:r>
    </w:p>
    <w:p>
      <w:pPr>
        <w:pStyle w:val="BlockText"/>
      </w:pPr>
      <w:r>
        <w:rPr>
          <w:b/>
          <w:bCs/>
        </w:rPr>
        <w:t xml:space="preserve">Resolução:</w:t>
      </w:r>
    </w:p>
    <w:p>
      <w:pPr>
        <w:pStyle w:val="BlockText"/>
      </w:pPr>
      <w:r>
        <w:rPr>
          <w:b/>
          <w:bCs/>
        </w:rPr>
        <w:t xml:space="preserve">Passo 1 — Prêmio atuarialmente justo</w:t>
      </w:r>
    </w:p>
    <w:p>
      <w:pPr>
        <w:pStyle w:val="BlockText"/>
      </w:pPr>
      <w:r>
        <w:t xml:space="preserve">$$</w:t>
      </w:r>
    </w:p>
    <w:p>
      <w:pPr>
        <w:pStyle w:val="BlockText"/>
      </w:pPr>
      <w:r>
        <w:t xml:space="preserve">P_{justo} = p</w:t>
      </w:r>
      <w:r>
        <w:t xml:space="preserve"> </w:t>
      </w:r>
      <w:r>
        <w:t xml:space="preserve">d = 0{,}2</w:t>
      </w:r>
      <w:r>
        <w:t xml:space="preserve"> </w:t>
      </w:r>
      <w:r>
        <w:t xml:space="preserve"> </w:t>
      </w:r>
      <w:r>
        <w:t xml:space="preserve">=</w:t>
      </w:r>
      <w:r>
        <w:t xml:space="preserve"> </w:t>
      </w:r>
      <w:r>
        <w:t xml:space="preserve"> </w:t>
      </w:r>
      <w:r>
        <w:t xml:space="preserve">40.000</w:t>
      </w:r>
    </w:p>
    <w:p>
      <w:pPr>
        <w:pStyle w:val="BlockText"/>
      </w:pPr>
      <w:r>
        <w:t xml:space="preserve">$$</w:t>
      </w:r>
    </w:p>
    <w:p>
      <w:pPr>
        <w:pStyle w:val="BlockText"/>
      </w:pPr>
      <w:r>
        <w:rPr>
          <w:b/>
          <w:bCs/>
        </w:rPr>
        <w:t xml:space="preserve">Passo 2 — Cobertura total sob prêmio justo</w:t>
      </w:r>
    </w:p>
    <w:p>
      <w:pPr>
        <w:pStyle w:val="BlockText"/>
      </w:pPr>
      <w:r>
        <w:t xml:space="preserve">Sem seguro:</w:t>
      </w:r>
      <w:r>
        <w:t xml:space="preserve"> </w:t>
      </w:r>
      <m:oMath>
        <m:r>
          <m:t>E</m:t>
        </m:r>
        <m:r>
          <m:rPr>
            <m:sty m:val="p"/>
          </m:rPr>
          <m:t>[</m:t>
        </m:r>
        <m:r>
          <m:t>u</m:t>
        </m:r>
        <m:r>
          <m:rPr>
            <m:sty m:val="p"/>
          </m:rPr>
          <m:t>]</m:t>
        </m:r>
        <m:r>
          <m:rPr>
            <m:sty m:val="p"/>
          </m:rPr>
          <m:t>=</m:t>
        </m:r>
        <m:r>
          <m:t>0</m:t>
        </m:r>
        <m:r>
          <m:rPr>
            <m:sty m:val="p"/>
          </m:rPr>
          <m:t>,</m:t>
        </m:r>
        <m:r>
          <m:t>8</m:t>
        </m:r>
        <m:r>
          <m:rPr>
            <m:sty m:val="p"/>
          </m:rPr>
          <m:t>×</m:t>
        </m:r>
        <m:rad>
          <m:radPr>
            <m:degHide m:val="on"/>
          </m:radPr>
          <m:deg/>
          <m:e>
            <m:r>
              <m:t>500.000</m:t>
            </m:r>
          </m:e>
        </m:rad>
        <m:r>
          <m:rPr>
            <m:sty m:val="p"/>
          </m:rPr>
          <m:t>+</m:t>
        </m:r>
        <m:r>
          <m:t>0</m:t>
        </m:r>
        <m:r>
          <m:rPr>
            <m:sty m:val="p"/>
          </m:rPr>
          <m:t>,</m:t>
        </m:r>
        <m:r>
          <m:t>2</m:t>
        </m:r>
        <m:r>
          <m:rPr>
            <m:sty m:val="p"/>
          </m:rPr>
          <m:t>×</m:t>
        </m:r>
        <m:rad>
          <m:radPr>
            <m:degHide m:val="on"/>
          </m:radPr>
          <m:deg/>
          <m:e>
            <m:r>
              <m:t>300.000</m:t>
            </m:r>
          </m:e>
        </m:rad>
        <m:r>
          <m:rPr>
            <m:sty m:val="p"/>
          </m:rPr>
          <m:t>=</m:t>
        </m:r>
        <m:r>
          <m:t>0</m:t>
        </m:r>
        <m:r>
          <m:rPr>
            <m:sty m:val="p"/>
          </m:rPr>
          <m:t>,</m:t>
        </m:r>
        <m:r>
          <m:t>8</m:t>
        </m:r>
        <m:r>
          <m:rPr>
            <m:sty m:val="p"/>
          </m:rPr>
          <m:t>×</m:t>
        </m:r>
        <m:r>
          <m:t>707</m:t>
        </m:r>
        <m:r>
          <m:rPr>
            <m:sty m:val="p"/>
          </m:rPr>
          <m:t>,</m:t>
        </m:r>
        <m:r>
          <m:t>11</m:t>
        </m:r>
        <m:r>
          <m:rPr>
            <m:sty m:val="p"/>
          </m:rPr>
          <m:t>+</m:t>
        </m:r>
        <m:r>
          <m:t>0</m:t>
        </m:r>
        <m:r>
          <m:rPr>
            <m:sty m:val="p"/>
          </m:rPr>
          <m:t>,</m:t>
        </m:r>
        <m:r>
          <m:t>2</m:t>
        </m:r>
        <m:r>
          <m:rPr>
            <m:sty m:val="p"/>
          </m:rPr>
          <m:t>×</m:t>
        </m:r>
        <m:r>
          <m:t>547</m:t>
        </m:r>
        <m:r>
          <m:rPr>
            <m:sty m:val="p"/>
          </m:rPr>
          <m:t>,</m:t>
        </m:r>
        <m:r>
          <m:t>72</m:t>
        </m:r>
        <m:r>
          <m:rPr>
            <m:sty m:val="p"/>
          </m:rPr>
          <m:t>=</m:t>
        </m:r>
        <m:r>
          <m:t>565</m:t>
        </m:r>
        <m:r>
          <m:rPr>
            <m:sty m:val="p"/>
          </m:rPr>
          <m:t>,</m:t>
        </m:r>
        <m:r>
          <m:t>69</m:t>
        </m:r>
        <m:r>
          <m:rPr>
            <m:sty m:val="p"/>
          </m:rPr>
          <m:t>+</m:t>
        </m:r>
        <m:r>
          <m:t>109</m:t>
        </m:r>
        <m:r>
          <m:rPr>
            <m:sty m:val="p"/>
          </m:rPr>
          <m:t>,</m:t>
        </m:r>
        <m:r>
          <m:t>54</m:t>
        </m:r>
        <m:r>
          <m:rPr>
            <m:sty m:val="p"/>
          </m:rPr>
          <m:t>=</m:t>
        </m:r>
        <m:r>
          <m:t>675</m:t>
        </m:r>
        <m:r>
          <m:rPr>
            <m:sty m:val="p"/>
          </m:rPr>
          <m:t>,</m:t>
        </m:r>
        <m:r>
          <m:t>23</m:t>
        </m:r>
      </m:oMath>
      <w:r>
        <w:t xml:space="preserve">.</w:t>
      </w:r>
    </w:p>
    <w:p>
      <w:pPr>
        <w:pStyle w:val="BlockText"/>
      </w:pPr>
      <w:r>
        <w:t xml:space="preserve">Com seguro total (</w:t>
      </w:r>
      <m:oMath>
        <m:r>
          <m:t>P</m:t>
        </m:r>
        <m:r>
          <m:rPr>
            <m:sty m:val="p"/>
          </m:rPr>
          <m:t>=</m:t>
        </m:r>
        <m:r>
          <m:t>40.000</m:t>
        </m:r>
      </m:oMath>
      <w:r>
        <w:t xml:space="preserve">): riqueza certa =</w:t>
      </w:r>
      <w:r>
        <w:t xml:space="preserve"> </w:t>
      </w:r>
      <m:oMath>
        <m:r>
          <m:t>500.000</m:t>
        </m:r>
        <m:r>
          <m:rPr>
            <m:sty m:val="p"/>
          </m:rPr>
          <m:t>−</m:t>
        </m:r>
        <m:r>
          <m:t>40.000</m:t>
        </m:r>
        <m:r>
          <m:rPr>
            <m:sty m:val="p"/>
          </m:rPr>
          <m:t>=</m:t>
        </m:r>
        <m:r>
          <m:t>460.000</m:t>
        </m:r>
      </m:oMath>
      <w:r>
        <w:t xml:space="preserve">.</w:t>
      </w:r>
    </w:p>
    <w:p>
      <w:pPr>
        <w:pStyle w:val="BlockText"/>
      </w:pPr>
      <m:oMath>
        <m:r>
          <m:t>u</m:t>
        </m:r>
        <m:r>
          <m:rPr>
            <m:sty m:val="p"/>
          </m:rPr>
          <m:t>(</m:t>
        </m:r>
        <m:r>
          <m:t>460.000</m:t>
        </m:r>
        <m:r>
          <m:rPr>
            <m:sty m:val="p"/>
          </m:rPr>
          <m:t>)</m:t>
        </m:r>
        <m:r>
          <m:rPr>
            <m:sty m:val="p"/>
          </m:rPr>
          <m:t>=</m:t>
        </m:r>
        <m:rad>
          <m:radPr>
            <m:degHide m:val="on"/>
          </m:radPr>
          <m:deg/>
          <m:e>
            <m:r>
              <m:t>460.000</m:t>
            </m:r>
          </m:e>
        </m:rad>
        <m:r>
          <m:rPr>
            <m:sty m:val="p"/>
          </m:rPr>
          <m:t>=</m:t>
        </m:r>
        <m:r>
          <m:t>678</m:t>
        </m:r>
        <m:r>
          <m:rPr>
            <m:sty m:val="p"/>
          </m:rPr>
          <m:t>,</m:t>
        </m:r>
        <m:r>
          <m:t>23</m:t>
        </m:r>
      </m:oMath>
      <w:r>
        <w:t xml:space="preserve">.</w:t>
      </w:r>
    </w:p>
    <w:p>
      <w:pPr>
        <w:pStyle w:val="BlockText"/>
      </w:pPr>
      <w:r>
        <w:t xml:space="preserve">Como</w:t>
      </w:r>
      <w:r>
        <w:t xml:space="preserve"> </w:t>
      </w:r>
      <m:oMath>
        <m:r>
          <m:t>678</m:t>
        </m:r>
        <m:r>
          <m:rPr>
            <m:sty m:val="p"/>
          </m:rPr>
          <m:t>,</m:t>
        </m:r>
        <m:r>
          <m:t>23</m:t>
        </m:r>
        <m:r>
          <m:rPr>
            <m:sty m:val="p"/>
          </m:rPr>
          <m:t>&gt;</m:t>
        </m:r>
        <m:r>
          <m:t>675</m:t>
        </m:r>
        <m:r>
          <m:rPr>
            <m:sty m:val="p"/>
          </m:rPr>
          <m:t>,</m:t>
        </m:r>
        <m:r>
          <m:t>23</m:t>
        </m:r>
      </m:oMath>
      <w:r>
        <w:t xml:space="preserve">, a produtora prefere o seguro total. De fato, para agente avesso ao risco, seguro total é ótimo sob prêmio justo (Seção 7.6.1).</w:t>
      </w:r>
    </w:p>
    <w:p>
      <w:pPr>
        <w:pStyle w:val="BlockText"/>
      </w:pPr>
      <w:r>
        <w:rPr>
          <w:b/>
          <w:bCs/>
        </w:rPr>
        <w:t xml:space="preserve">Passo 3 — Prêmio máximo que aceita pagar</w:t>
      </w:r>
    </w:p>
    <w:p>
      <w:pPr>
        <w:pStyle w:val="BlockText"/>
      </w:pPr>
      <w:r>
        <w:t xml:space="preserve">O prêmio máximo</w:t>
      </w:r>
      <w:r>
        <w:t xml:space="preserve"> </w:t>
      </w:r>
      <m:oMath>
        <m:sSub>
          <m:e>
            <m:r>
              <m:t>P</m:t>
            </m:r>
          </m:e>
          <m:sub>
            <m:r>
              <m:t>m</m:t>
            </m:r>
            <m:r>
              <m:t>a</m:t>
            </m:r>
            <m:r>
              <m:t>x</m:t>
            </m:r>
          </m:sub>
        </m:sSub>
      </m:oMath>
      <w:r>
        <w:t xml:space="preserve"> </w:t>
      </w:r>
      <w:r>
        <w:t xml:space="preserve">satisfaz</w:t>
      </w:r>
      <w:r>
        <w:t xml:space="preserve"> </w:t>
      </w:r>
      <m:oMath>
        <m:r>
          <m:t>u</m:t>
        </m:r>
        <m:r>
          <m:rPr>
            <m:sty m:val="p"/>
          </m:rPr>
          <m:t>(</m:t>
        </m:r>
        <m:r>
          <m:t>W</m:t>
        </m:r>
        <m:r>
          <m:rPr>
            <m:sty m:val="p"/>
          </m:rPr>
          <m:t>−</m:t>
        </m:r>
        <m:sSub>
          <m:e>
            <m:r>
              <m:t>P</m:t>
            </m:r>
          </m:e>
          <m:sub>
            <m:r>
              <m:t>m</m:t>
            </m:r>
            <m:r>
              <m:t>a</m:t>
            </m:r>
            <m:r>
              <m:t>x</m:t>
            </m:r>
          </m:sub>
        </m:sSub>
        <m:r>
          <m:rPr>
            <m:sty m:val="p"/>
          </m:rPr>
          <m:t>)</m:t>
        </m:r>
        <m:r>
          <m:rPr>
            <m:sty m:val="p"/>
          </m:rPr>
          <m:t>=</m:t>
        </m:r>
        <m:r>
          <m:t>E</m:t>
        </m:r>
        <m:r>
          <m:rPr>
            <m:sty m:val="p"/>
          </m:rPr>
          <m:t>[</m:t>
        </m:r>
        <m:r>
          <m:t>u</m:t>
        </m:r>
        <m:r>
          <m:rPr>
            <m:sty m:val="p"/>
          </m:rPr>
          <m:t>]</m:t>
        </m:r>
      </m:oMath>
      <w:r>
        <w:t xml:space="preserve"> </w:t>
      </w:r>
      <w:r>
        <w:t xml:space="preserve">sem seguro:</w:t>
      </w:r>
    </w:p>
    <w:p>
      <w:pPr>
        <w:pStyle w:val="BlockText"/>
      </w:pPr>
      <w:r>
        <w:t xml:space="preserve">$$</w:t>
      </w:r>
    </w:p>
    <w:p>
      <w:pPr>
        <w:pStyle w:val="BlockText"/>
      </w:pPr>
      <w:r>
        <w:t xml:space="preserve"> </w:t>
      </w:r>
      <w:r>
        <w:t xml:space="preserve">= 675{,}23</w:t>
      </w:r>
      <w:r>
        <w:t xml:space="preserve"> </w:t>
      </w:r>
      <w:r>
        <w:t xml:space="preserve"> </w:t>
      </w:r>
      <w:r>
        <w:t xml:space="preserve">- P_{max} = 675{,}23^2 = 455.936</w:t>
      </w:r>
    </w:p>
    <w:p>
      <w:pPr>
        <w:pStyle w:val="BlockText"/>
      </w:pPr>
      <w:r>
        <w:t xml:space="preserve">$$</w:t>
      </w:r>
    </w:p>
    <w:p>
      <w:pPr>
        <w:pStyle w:val="BlockText"/>
      </w:pPr>
      <w:r>
        <w:t xml:space="preserve">$$</w:t>
      </w:r>
    </w:p>
    <w:p>
      <w:pPr>
        <w:pStyle w:val="BlockText"/>
      </w:pPr>
      <w:r>
        <w:t xml:space="preserve">P_{max} = 500.000 - 455.936 =</w:t>
      </w:r>
      <w:r>
        <w:t xml:space="preserve"> </w:t>
      </w:r>
      <w:r>
        <w:t xml:space="preserve"> </w:t>
      </w:r>
      <w:r>
        <w:t xml:space="preserve">44.064</w:t>
      </w:r>
    </w:p>
    <w:p>
      <w:pPr>
        <w:pStyle w:val="BlockText"/>
      </w:pPr>
      <w:r>
        <w:t xml:space="preserve">$$</w:t>
      </w:r>
    </w:p>
    <w:p>
      <w:pPr>
        <w:pStyle w:val="BlockText"/>
      </w:pPr>
      <w:r>
        <w:rPr>
          <w:b/>
          <w:bCs/>
        </w:rPr>
        <w:t xml:space="preserve">Passo 4 — Decisão com carregamento</w:t>
      </w:r>
    </w:p>
    <w:p>
      <w:pPr>
        <w:pStyle w:val="BlockText"/>
      </w:pPr>
      <w:r>
        <w:t xml:space="preserve">Prêmio com carregamento:</w:t>
      </w:r>
      <w:r>
        <w:t xml:space="preserve"> </w:t>
      </w:r>
      <m:oMath>
        <m:sSub>
          <m:e>
            <m:r>
              <m:t>P</m:t>
            </m:r>
          </m:e>
          <m:sub>
            <m:r>
              <m:t>λ</m:t>
            </m:r>
          </m:sub>
        </m:sSub>
        <m:r>
          <m:rPr>
            <m:sty m:val="p"/>
          </m:rPr>
          <m:t>=</m:t>
        </m:r>
        <m:r>
          <m:rPr>
            <m:sty m:val="p"/>
          </m:rPr>
          <m:t>(</m:t>
        </m:r>
        <m:r>
          <m:t>1</m:t>
        </m:r>
        <m:r>
          <m:rPr>
            <m:sty m:val="p"/>
          </m:rPr>
          <m:t>+</m:t>
        </m:r>
        <m:r>
          <m:t>0</m:t>
        </m:r>
        <m:r>
          <m:rPr>
            <m:sty m:val="p"/>
          </m:rPr>
          <m:t>,</m:t>
        </m:r>
        <m:r>
          <m:t>3</m:t>
        </m:r>
        <m:r>
          <m:rPr>
            <m:sty m:val="p"/>
          </m:rPr>
          <m:t>)</m:t>
        </m:r>
        <m:r>
          <m:rPr>
            <m:sty m:val="p"/>
          </m:rPr>
          <m:t>×</m:t>
        </m:r>
        <m:r>
          <m:t>40.000</m:t>
        </m:r>
        <m:r>
          <m:rPr>
            <m:sty m:val="p"/>
          </m:rPr>
          <m:t>=</m:t>
        </m:r>
        <m:r>
          <m:rPr>
            <m:nor/>
            <m:sty m:val="p"/>
          </m:rPr>
          <m:t>R$</m:t>
        </m:r>
        <m:r>
          <m:t>52.000</m:t>
        </m:r>
      </m:oMath>
      <w:r>
        <w:t xml:space="preserve">.</w:t>
      </w:r>
    </w:p>
    <w:p>
      <w:pPr>
        <w:pStyle w:val="BlockText"/>
      </w:pPr>
      <w:r>
        <w:t xml:space="preserve">Como</w:t>
      </w:r>
      <w:r>
        <w:t xml:space="preserve"> </w:t>
      </w:r>
      <m:oMath>
        <m:sSub>
          <m:e>
            <m:r>
              <m:t>P</m:t>
            </m:r>
          </m:e>
          <m:sub>
            <m:r>
              <m:t>λ</m:t>
            </m:r>
          </m:sub>
        </m:sSub>
        <m:r>
          <m:rPr>
            <m:sty m:val="p"/>
          </m:rPr>
          <m:t>=</m:t>
        </m:r>
        <m:r>
          <m:t>52.000</m:t>
        </m:r>
        <m:r>
          <m:rPr>
            <m:sty m:val="p"/>
          </m:rPr>
          <m:t>&gt;</m:t>
        </m:r>
        <m:sSub>
          <m:e>
            <m:r>
              <m:t>P</m:t>
            </m:r>
          </m:e>
          <m:sub>
            <m:r>
              <m:t>m</m:t>
            </m:r>
            <m:r>
              <m:t>a</m:t>
            </m:r>
            <m:r>
              <m:t>x</m:t>
            </m:r>
          </m:sub>
        </m:sSub>
        <m:r>
          <m:rPr>
            <m:sty m:val="p"/>
          </m:rPr>
          <m:t>=</m:t>
        </m:r>
        <m:r>
          <m:t>44.064</m:t>
        </m:r>
      </m:oMath>
      <w:r>
        <w:t xml:space="preserve">, a produtora</w:t>
      </w:r>
      <w:r>
        <w:t xml:space="preserve"> </w:t>
      </w:r>
      <w:r>
        <w:rPr>
          <w:b/>
          <w:bCs/>
        </w:rPr>
        <w:t xml:space="preserve">não contrata</w:t>
      </w:r>
      <w:r>
        <w:t xml:space="preserve"> </w:t>
      </w:r>
      <w:r>
        <w:t xml:space="preserve">cobertura total a esse preço.</w:t>
      </w:r>
    </w:p>
    <w:p>
      <w:pPr>
        <w:pStyle w:val="BlockText"/>
      </w:pPr>
      <w:r>
        <w:rPr>
          <w:b/>
          <w:bCs/>
        </w:rPr>
        <w:t xml:space="preserve">Resultado:</w:t>
      </w:r>
      <w:r>
        <w:t xml:space="preserve"> </w:t>
      </w:r>
      <w:r>
        <w:t xml:space="preserve">O prêmio atuarialmente justo é R$ 40.000, e a produtora pagaria até R$ 44.064 (prêmio de risco de R$ 4.064). O carregamento de 30% torna a cobertura total inviável.</w:t>
      </w:r>
    </w:p>
    <w:p>
      <w:pPr>
        <w:pStyle w:val="BlockText"/>
      </w:pPr>
      <w:r>
        <w:rPr>
          <w:b/>
          <w:bCs/>
        </w:rPr>
        <w:t xml:space="preserve">Interpretação econômica:</w:t>
      </w:r>
      <w:r>
        <w:t xml:space="preserve"> </w:t>
      </w:r>
      <w:r>
        <w:t xml:space="preserve">A diferença</w:t>
      </w:r>
      <w:r>
        <w:t xml:space="preserve"> </w:t>
      </w:r>
      <m:oMath>
        <m:sSub>
          <m:e>
            <m:r>
              <m:t>P</m:t>
            </m:r>
          </m:e>
          <m:sub>
            <m:r>
              <m:t>m</m:t>
            </m:r>
            <m:r>
              <m:t>a</m:t>
            </m:r>
            <m:r>
              <m:t>x</m:t>
            </m:r>
          </m:sub>
        </m:sSub>
        <m:r>
          <m:rPr>
            <m:sty m:val="p"/>
          </m:rPr>
          <m:t>−</m:t>
        </m:r>
        <m:sSub>
          <m:e>
            <m:r>
              <m:t>P</m:t>
            </m:r>
          </m:e>
          <m:sub>
            <m:r>
              <m:t>j</m:t>
            </m:r>
            <m:r>
              <m:t>u</m:t>
            </m:r>
            <m:r>
              <m:t>s</m:t>
            </m:r>
            <m:r>
              <m:t>t</m:t>
            </m:r>
            <m:r>
              <m:t>o</m:t>
            </m:r>
          </m:sub>
        </m:sSub>
        <m:r>
          <m:rPr>
            <m:sty m:val="p"/>
          </m:rPr>
          <m:t>=</m:t>
        </m:r>
        <m:r>
          <m:rPr>
            <m:nor/>
            <m:sty m:val="p"/>
          </m:rPr>
          <m:t>R$</m:t>
        </m:r>
        <m:r>
          <m:t>4.064</m:t>
        </m:r>
      </m:oMath>
      <w:r>
        <w:t xml:space="preserve"> </w:t>
      </w:r>
      <w:r>
        <w:t xml:space="preserve">é o prêmio de risco da produtora — o valor monetário da sua aversão ao risco. Com carregamento de 30%, a seguradora cobra mais do que a produtora está disposta a pagar por cobertura total, o que pode levar à contratação de cobertura parcial (franquia elevada). Este é precisamente o mecanismo que explica por que pequenos produtores brasileiros, com baixa capacidade de absorção de risco, dependem do subsídio do PSR para viabilizar o seguro.</w:t>
      </w:r>
    </w:p>
    <w:bookmarkEnd w:id="335"/>
    <w:bookmarkStart w:id="336" w:name="diversificação"/>
    <w:p>
      <w:pPr>
        <w:pStyle w:val="Heading4"/>
      </w:pPr>
      <w:r>
        <w:t xml:space="preserve">7.6.2 Diversificação</w:t>
      </w:r>
    </w:p>
    <w:p>
      <w:pPr>
        <w:pStyle w:val="FirstParagraph"/>
      </w:pPr>
      <w:r>
        <w:t xml:space="preserve">Se o seguro transfere risco de um agente para outro, a diversificação opera por um mecanismo diferente: ela</w:t>
      </w:r>
      <w:r>
        <w:t xml:space="preserve"> </w:t>
      </w:r>
      <w:r>
        <w:rPr>
          <w:b/>
          <w:bCs/>
        </w:rPr>
        <w:t xml:space="preserve">dilui</w:t>
      </w:r>
      <w:r>
        <w:t xml:space="preserve"> </w:t>
      </w:r>
      <w:r>
        <w:t xml:space="preserve">o risco ao distribuir a exposição entre múltiplas fontes de incerteza. A lógica é simples, mas poderosa: quando os resultados de diferentes ativos não se movem perfeitamente em conjunto, as perdas de uns tendem a ser parcialmente compensadas pelos ganhos de outros.</w:t>
      </w:r>
    </w:p>
    <w:p>
      <w:pPr>
        <w:pStyle w:val="BodyText"/>
      </w:pPr>
      <w:r>
        <w:t xml:space="preserve">A diversificação reduz o risco total de uma carteira sem necessariamente reduzir o retorno esperado. Se os retornos dos ativos não são perfeitamente correlacionados, a variância da carteira é menor que a média ponderada das variâncias individuais.</w:t>
      </w:r>
    </w:p>
    <w:p>
      <w:pPr>
        <w:pStyle w:val="BodyText"/>
      </w:pPr>
      <w:r>
        <w:t xml:space="preserve">Para</w:t>
      </w:r>
      <w:r>
        <w:t xml:space="preserve"> </w:t>
      </w:r>
      <m:oMath>
        <m:r>
          <m:t>n</m:t>
        </m:r>
      </m:oMath>
      <w:r>
        <w:t xml:space="preserve"> </w:t>
      </w:r>
      <w:r>
        <w:t xml:space="preserve">ativos independentes e identicamente distribuídos com retorno</w:t>
      </w:r>
      <w:r>
        <w:t xml:space="preserve"> </w:t>
      </w:r>
      <m:oMath>
        <m:sSub>
          <m:e>
            <m:acc>
              <m:accPr>
                <m:chr m:val="̃"/>
              </m:accPr>
              <m:e>
                <m:r>
                  <m:t>r</m:t>
                </m:r>
              </m:e>
            </m:acc>
          </m:e>
          <m:sub>
            <m:r>
              <m:t>i</m:t>
            </m:r>
          </m:sub>
        </m:sSub>
      </m:oMath>
      <w:r>
        <w:t xml:space="preserve"> </w:t>
      </w:r>
      <w:r>
        <w:t xml:space="preserve">(média</w:t>
      </w:r>
      <w:r>
        <w:t xml:space="preserve"> </w:t>
      </w:r>
      <m:oMath>
        <m:r>
          <m:t>μ</m:t>
        </m:r>
      </m:oMath>
      <w:r>
        <w:t xml:space="preserve">, variância</w:t>
      </w:r>
      <w:r>
        <w:t xml:space="preserve"> </w:t>
      </w:r>
      <m:oMath>
        <m:sSup>
          <m:e>
            <m:r>
              <m:t>σ</m:t>
            </m:r>
          </m:e>
          <m:sup>
            <m:r>
              <m:t>2</m:t>
            </m:r>
          </m:sup>
        </m:sSup>
      </m:oMath>
      <w:r>
        <w:t xml:space="preserve">), a variância da carteira igualmente ponderada é:</w:t>
      </w:r>
    </w:p>
    <w:p>
      <w:pPr>
        <w:pStyle w:val="BodyText"/>
      </w:pPr>
      <m:oMathPara>
        <m:oMathParaPr>
          <m:jc m:val="center"/>
        </m:oMathParaPr>
        <m:oMath>
          <m:r>
            <m:rPr>
              <m:nor/>
              <m:sty m:val="p"/>
            </m:rPr>
            <m:t>Var</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acc>
                        <m:accPr>
                          <m:chr m:val="̃"/>
                        </m:accPr>
                        <m:e>
                          <m:r>
                            <m:t>r</m:t>
                          </m:r>
                        </m:e>
                      </m:acc>
                    </m:e>
                    <m:sub>
                      <m:r>
                        <m:t>i</m:t>
                      </m:r>
                    </m:sub>
                  </m:sSub>
                </m:e>
              </m:nary>
            </m:e>
          </m:d>
          <m:r>
            <m:rPr>
              <m:sty m:val="p"/>
            </m:rPr>
            <m:t>=</m:t>
          </m:r>
          <m:f>
            <m:fPr>
              <m:type m:val="bar"/>
            </m:fPr>
            <m:num>
              <m:sSup>
                <m:e>
                  <m:r>
                    <m:t>σ</m:t>
                  </m:r>
                </m:e>
                <m:sup>
                  <m:r>
                    <m:t>2</m:t>
                  </m:r>
                </m:sup>
              </m:sSup>
            </m:num>
            <m:den>
              <m:r>
                <m:t>n</m:t>
              </m:r>
            </m:den>
          </m:f>
          <m:limUpp>
            <m:e>
              <m:r>
                <m:rPr>
                  <m:sty m:val="p"/>
                </m:rPr>
                <m:t>→</m:t>
              </m:r>
            </m:e>
            <m:lim>
              <m:r>
                <m:t>n</m:t>
              </m:r>
              <m:r>
                <m:rPr>
                  <m:sty m:val="p"/>
                </m:rPr>
                <m:t>→</m:t>
              </m:r>
              <m:r>
                <m:rPr>
                  <m:sty m:val="p"/>
                </m:rPr>
                <m:t>∞</m:t>
              </m:r>
            </m:lim>
          </m:limUpp>
          <m:r>
            <m:t>0</m:t>
          </m:r>
        </m:oMath>
      </m:oMathPara>
    </w:p>
    <w:p>
      <w:pPr>
        <w:pStyle w:val="FirstParagraph"/>
      </w:pPr>
      <w:r>
        <w:t xml:space="preserve">No caso mais geral de dois ativos com correlação</w:t>
      </w:r>
      <w:r>
        <w:t xml:space="preserve"> </w:t>
      </w:r>
      <m:oMath>
        <m:r>
          <m:t>ρ</m:t>
        </m:r>
      </m:oMath>
      <w:r>
        <w:t xml:space="preserve">, pesos</w:t>
      </w:r>
      <w:r>
        <w:t xml:space="preserve"> </w:t>
      </w:r>
      <m:oMath>
        <m:r>
          <m:t>w</m:t>
        </m:r>
      </m:oMath>
      <w:r>
        <w:t xml:space="preserve"> </w:t>
      </w:r>
      <w:r>
        <w:t xml:space="preserve">e</w:t>
      </w:r>
      <w:r>
        <w:t xml:space="preserve"> </w:t>
      </w:r>
      <m:oMath>
        <m:r>
          <m:rPr>
            <m:sty m:val="p"/>
          </m:rPr>
          <m:t>(</m:t>
        </m:r>
        <m:r>
          <m:t>1</m:t>
        </m:r>
        <m:r>
          <m:rPr>
            <m:sty m:val="p"/>
          </m:rPr>
          <m:t>−</m:t>
        </m:r>
        <m:r>
          <m:t>w</m:t>
        </m:r>
        <m:r>
          <m:rPr>
            <m:sty m:val="p"/>
          </m:rPr>
          <m:t>)</m:t>
        </m:r>
      </m:oMath>
      <w:r>
        <w:t xml:space="preserve">, e variâncias</w:t>
      </w:r>
      <w:r>
        <w:t xml:space="preserve"> </w:t>
      </w:r>
      <m:oMath>
        <m:sSubSup>
          <m:e>
            <m:r>
              <m:t>σ</m:t>
            </m:r>
          </m:e>
          <m:sub>
            <m:r>
              <m:t>1</m:t>
            </m:r>
          </m:sub>
          <m:sup>
            <m:r>
              <m:t>2</m:t>
            </m:r>
          </m:sup>
        </m:sSubSup>
      </m:oMath>
      <w:r>
        <w:t xml:space="preserve"> </w:t>
      </w:r>
      <w:r>
        <w:t xml:space="preserve">e</w:t>
      </w:r>
      <w:r>
        <w:t xml:space="preserve"> </w:t>
      </w:r>
      <m:oMath>
        <m:sSubSup>
          <m:e>
            <m:r>
              <m:t>σ</m:t>
            </m:r>
          </m:e>
          <m:sub>
            <m:r>
              <m:t>2</m:t>
            </m:r>
          </m:sub>
          <m:sup>
            <m:r>
              <m:t>2</m:t>
            </m:r>
          </m:sup>
        </m:sSubSup>
      </m:oMath>
      <w:r>
        <w:t xml:space="preserve">, a variância da carteira é:</w:t>
      </w:r>
    </w:p>
    <w:p>
      <w:pPr>
        <w:pStyle w:val="BodyText"/>
      </w:pPr>
      <m:oMathPara>
        <m:oMathParaPr>
          <m:jc m:val="center"/>
        </m:oMathParaPr>
        <m:oMath>
          <m:sSubSup>
            <m:e>
              <m:r>
                <m:t>σ</m:t>
              </m:r>
            </m:e>
            <m:sub>
              <m:r>
                <m:t>p</m:t>
              </m:r>
            </m:sub>
            <m:sup>
              <m:r>
                <m:t>2</m:t>
              </m:r>
            </m:sup>
          </m:sSubSup>
          <m:r>
            <m:rPr>
              <m:sty m:val="p"/>
            </m:rPr>
            <m:t>=</m:t>
          </m:r>
          <m:sSup>
            <m:e>
              <m:r>
                <m:t>w</m:t>
              </m:r>
            </m:e>
            <m:sup>
              <m:r>
                <m:t>2</m:t>
              </m:r>
            </m:sup>
          </m:sSup>
          <m:sSubSup>
            <m:e>
              <m:r>
                <m:t>σ</m:t>
              </m:r>
            </m:e>
            <m:sub>
              <m:r>
                <m:t>1</m:t>
              </m:r>
            </m:sub>
            <m:sup>
              <m:r>
                <m:t>2</m:t>
              </m:r>
            </m:sup>
          </m:sSubSup>
          <m:r>
            <m:rPr>
              <m:sty m:val="p"/>
            </m:rPr>
            <m:t>+</m:t>
          </m:r>
          <m:r>
            <m:rPr>
              <m:sty m:val="p"/>
            </m:rPr>
            <m:t>(</m:t>
          </m:r>
          <m:r>
            <m:t>1</m:t>
          </m:r>
          <m:r>
            <m:rPr>
              <m:sty m:val="p"/>
            </m:rPr>
            <m:t>−</m:t>
          </m:r>
          <m:r>
            <m:t>w</m:t>
          </m:r>
          <m:sSup>
            <m:e>
              <m:r>
                <m:rPr>
                  <m:sty m:val="p"/>
                </m:rPr>
                <m:t>)</m:t>
              </m:r>
            </m:e>
            <m:sup>
              <m:r>
                <m:t>2</m:t>
              </m:r>
            </m:sup>
          </m:sSup>
          <m:sSubSup>
            <m:e>
              <m:r>
                <m:t>σ</m:t>
              </m:r>
            </m:e>
            <m:sub>
              <m:r>
                <m:t>2</m:t>
              </m:r>
            </m:sub>
            <m:sup>
              <m:r>
                <m:t>2</m:t>
              </m:r>
            </m:sup>
          </m:sSubSup>
          <m:r>
            <m:rPr>
              <m:sty m:val="p"/>
            </m:rPr>
            <m:t>+</m:t>
          </m:r>
          <m:r>
            <m:t>2</m:t>
          </m:r>
          <m:r>
            <m:t>w</m:t>
          </m:r>
          <m:r>
            <m:rPr>
              <m:sty m:val="p"/>
            </m:rPr>
            <m:t>(</m:t>
          </m:r>
          <m:r>
            <m:t>1</m:t>
          </m:r>
          <m:r>
            <m:rPr>
              <m:sty m:val="p"/>
            </m:rPr>
            <m:t>−</m:t>
          </m:r>
          <m:r>
            <m:t>w</m:t>
          </m:r>
          <m:r>
            <m:rPr>
              <m:sty m:val="p"/>
            </m:rPr>
            <m:t>)</m:t>
          </m:r>
          <m:r>
            <m:t>ρ</m:t>
          </m:r>
          <m:sSub>
            <m:e>
              <m:r>
                <m:t>σ</m:t>
              </m:r>
            </m:e>
            <m:sub>
              <m:r>
                <m:t>1</m:t>
              </m:r>
            </m:sub>
          </m:sSub>
          <m:sSub>
            <m:e>
              <m:r>
                <m:t>σ</m:t>
              </m:r>
            </m:e>
            <m:sub>
              <m:r>
                <m:t>2</m:t>
              </m:r>
            </m:sub>
          </m:sSub>
        </m:oMath>
      </m:oMathPara>
    </w:p>
    <w:p>
      <w:pPr>
        <w:pStyle w:val="FirstParagraph"/>
      </w:pPr>
      <w:r>
        <w:t xml:space="preserve">Quando</w:t>
      </w:r>
      <w:r>
        <w:t xml:space="preserve"> </w:t>
      </w:r>
      <m:oMath>
        <m:r>
          <m:t>ρ</m:t>
        </m:r>
        <m:r>
          <m:rPr>
            <m:sty m:val="p"/>
          </m:rPr>
          <m:t>&lt;</m:t>
        </m:r>
        <m:r>
          <m:t>1</m:t>
        </m:r>
      </m:oMath>
      <w:r>
        <w:t xml:space="preserve">, existe um peso</w:t>
      </w:r>
      <w:r>
        <w:t xml:space="preserve"> </w:t>
      </w:r>
      <m:oMath>
        <m:sSup>
          <m:e>
            <m:r>
              <m:t>w</m:t>
            </m:r>
          </m:e>
          <m:sup>
            <m:r>
              <m:rPr>
                <m:sty m:val="p"/>
              </m:rPr>
              <m:t>*</m:t>
            </m:r>
          </m:sup>
        </m:sSup>
      </m:oMath>
      <w:r>
        <w:t xml:space="preserve"> </w:t>
      </w:r>
      <w:r>
        <w:t xml:space="preserve">que minimiza</w:t>
      </w:r>
      <w:r>
        <w:t xml:space="preserve"> </w:t>
      </w:r>
      <m:oMath>
        <m:sSubSup>
          <m:e>
            <m:r>
              <m:t>σ</m:t>
            </m:r>
          </m:e>
          <m:sub>
            <m:r>
              <m:t>p</m:t>
            </m:r>
          </m:sub>
          <m:sup>
            <m:r>
              <m:t>2</m:t>
            </m:r>
          </m:sup>
        </m:sSubSup>
      </m:oMath>
      <w:r>
        <w:t xml:space="preserve">, gerando o benefício da diversificação. Quanto menor a correlação entre os ativos, maior o ganho. No caso extremo</w:t>
      </w:r>
      <w:r>
        <w:t xml:space="preserve"> </w:t>
      </w:r>
      <m:oMath>
        <m:r>
          <m:t>ρ</m:t>
        </m:r>
        <m:r>
          <m:rPr>
            <m:sty m:val="p"/>
          </m:rPr>
          <m:t>=</m:t>
        </m:r>
        <m:r>
          <m:rPr>
            <m:sty m:val="p"/>
          </m:rPr>
          <m:t>−</m:t>
        </m:r>
        <m:r>
          <m:t>1</m:t>
        </m:r>
      </m:oMath>
      <w:r>
        <w:t xml:space="preserve">, é possível eliminar completamente o risco da carteira. Esse resultado fundamenta toda a teoria moderna de portfólios, iniciada por Markowitz (1952).</w:t>
      </w:r>
    </w:p>
    <w:p>
      <w:pPr>
        <w:pStyle w:val="BlockText"/>
      </w:pPr>
      <w:r>
        <w:rPr>
          <w:b/>
          <w:bCs/>
        </w:rPr>
        <w:t xml:space="preserve">[NOTA] Risco diversificável vs. risco sistemático</w:t>
      </w:r>
    </w:p>
    <w:p>
      <w:pPr>
        <w:pStyle w:val="BlockText"/>
      </w:pPr>
      <w:r>
        <w:t xml:space="preserve">Em uma economia com muitos ativos, a diversificação elimina o</w:t>
      </w:r>
      <w:r>
        <w:t xml:space="preserve"> </w:t>
      </w:r>
      <w:r>
        <w:rPr>
          <w:b/>
          <w:bCs/>
        </w:rPr>
        <w:t xml:space="preserve">risco idiossincrático</w:t>
      </w:r>
      <w:r>
        <w:t xml:space="preserve"> </w:t>
      </w:r>
      <w:r>
        <w:t xml:space="preserve">(específico de cada ativo), mas não elimina o</w:t>
      </w:r>
      <w:r>
        <w:t xml:space="preserve"> </w:t>
      </w:r>
      <w:r>
        <w:rPr>
          <w:b/>
          <w:bCs/>
        </w:rPr>
        <w:t xml:space="preserve">risco sistemático</w:t>
      </w:r>
      <w:r>
        <w:t xml:space="preserve"> </w:t>
      </w:r>
      <w:r>
        <w:t xml:space="preserve">(que afeta todos os ativos simultaneamente). Essa distinção é central no modelo CAPM (Capital Asset Pricing Model), no qual apenas o risco sistemático — medido pelo coeficiente beta — é remunerado pelo mercado.</w:t>
      </w:r>
    </w:p>
    <w:p>
      <w:pPr>
        <w:pStyle w:val="FirstParagraph"/>
      </w:pPr>
      <w:r>
        <w:t xml:space="preserve">A diversificação tem um limite fundamental: ela não elimina o risco agregado, apenas realoca e dilui o risco idiossincrático. Um fundo de ações com 500 empresas distintas ainda estará sujeito às flutuações do ciclo econômico, à variação da taxa Selic e aos choques cambiais — todos riscos sistemáticos que afetam todas as empresas simultaneamente. No Brasil, a elevada correlação entre setores da Bolsa de Valores — especialmente entre commodities agrícolas, petróleo e setor financeiro, que juntos representam uma parcela desproporcional do Ibovespa — limita os benefícios práticos da diversificação doméstica. Por isso, fundos de previdência e investidores institucionais brasileiros buscam crescentemente a diversificação internacional, alocando parte do patrimônio em ativos de outras economias com ciclos menos correlacionados com o Brasil.</w:t>
      </w:r>
    </w:p>
    <w:p>
      <w:pPr>
        <w:pStyle w:val="BlockText"/>
      </w:pPr>
      <w:r>
        <w:rPr>
          <w:b/>
          <w:bCs/>
        </w:rPr>
        <w:t xml:space="preserve">[INTUICAO ECONOMICA] Intuição Econômica</w:t>
      </w:r>
    </w:p>
    <w:p>
      <w:pPr>
        <w:pStyle w:val="BlockText"/>
      </w:pPr>
      <w:r>
        <w:rPr>
          <w:b/>
          <w:bCs/>
        </w:rPr>
        <w:t xml:space="preserve">Em uma frase:</w:t>
      </w:r>
      <w:r>
        <w:t xml:space="preserve"> </w:t>
      </w:r>
      <w:r>
        <w:t xml:space="preserve">Diversificar é não colocar todos os ovos na mesma cesta — o risco total cai mesmo sem reduzir o retorno esperado.</w:t>
      </w:r>
    </w:p>
    <w:p>
      <w:pPr>
        <w:pStyle w:val="BlockText"/>
      </w:pPr>
      <w:r>
        <w:rPr>
          <w:b/>
          <w:bCs/>
        </w:rPr>
        <w:t xml:space="preserve">Pense assim:</w:t>
      </w:r>
      <w:r>
        <w:t xml:space="preserve"> </w:t>
      </w:r>
      <w:r>
        <w:t xml:space="preserve">Um pequeno agricultor do Paraná que planta só soja fica à mercê da seca ou da queda de preço. Se ele divide a terra entre soja, milho e feijão, uma safra ruim de um produto pode ser compensada pela boa safra de outro. O retorno médio pode ser parecido, mas o risco de</w:t>
      </w:r>
      <w:r>
        <w:t xml:space="preserve"> </w:t>
      </w:r>
      <w:r>
        <w:t xml:space="preserve">“quebrar”</w:t>
      </w:r>
      <w:r>
        <w:t xml:space="preserve"> </w:t>
      </w:r>
      <w:r>
        <w:t xml:space="preserve">cai muito.</w:t>
      </w:r>
    </w:p>
    <w:p>
      <w:pPr>
        <w:pStyle w:val="BlockText"/>
      </w:pPr>
      <w:r>
        <w:rPr>
          <w:b/>
          <w:bCs/>
        </w:rPr>
        <w:t xml:space="preserve">Por que isso importa:</w:t>
      </w:r>
      <w:r>
        <w:t xml:space="preserve"> </w:t>
      </w:r>
      <w:r>
        <w:t xml:space="preserve">A diversificação é o princípio por trás dos fundos de investimento, dos planos de previdência e até da política de crédito agrícola do Banco do Brasil, que incentiva a rotação de culturas.</w:t>
      </w:r>
    </w:p>
    <w:p>
      <w:pPr>
        <w:pStyle w:val="BlockText"/>
      </w:pPr>
      <w:r>
        <w:rPr>
          <w:b/>
          <w:bCs/>
        </w:rPr>
        <w:t xml:space="preserve">[EXERCICIO RESOLVIDO] Exercício Resolvido 7.3</w:t>
      </w:r>
    </w:p>
    <w:p>
      <w:pPr>
        <w:pStyle w:val="BlockText"/>
      </w:pPr>
      <w:r>
        <w:rPr>
          <w:b/>
          <w:bCs/>
        </w:rPr>
        <w:t xml:space="preserve">Enunciado:</w:t>
      </w:r>
      <w:r>
        <w:t xml:space="preserve"> </w:t>
      </w:r>
      <w:r>
        <w:t xml:space="preserve">Um investidor aloca sua riqueza entre dois ativos: ações de uma empresa de energia (</w:t>
      </w:r>
      <m:oMath>
        <m:sSub>
          <m:e>
            <m:r>
              <m:t>μ</m:t>
            </m:r>
          </m:e>
          <m:sub>
            <m:r>
              <m:t>1</m:t>
            </m:r>
          </m:sub>
        </m:sSub>
        <m:r>
          <m:rPr>
            <m:sty m:val="p"/>
          </m:rPr>
          <m:t>=</m:t>
        </m:r>
        <m:r>
          <m:t>12</m:t>
        </m:r>
        <m:r>
          <m:rPr>
            <m:sty m:val="p"/>
          </m:rPr>
          <m:t>%</m:t>
        </m:r>
      </m:oMath>
      <w:r>
        <w:t xml:space="preserve">,</w:t>
      </w:r>
      <w:r>
        <w:t xml:space="preserve"> </w:t>
      </w:r>
      <m:oMath>
        <m:sSub>
          <m:e>
            <m:r>
              <m:t>σ</m:t>
            </m:r>
          </m:e>
          <m:sub>
            <m:r>
              <m:t>1</m:t>
            </m:r>
          </m:sub>
        </m:sSub>
        <m:r>
          <m:rPr>
            <m:sty m:val="p"/>
          </m:rPr>
          <m:t>=</m:t>
        </m:r>
        <m:r>
          <m:t>20</m:t>
        </m:r>
        <m:r>
          <m:rPr>
            <m:sty m:val="p"/>
          </m:rPr>
          <m:t>%</m:t>
        </m:r>
      </m:oMath>
      <w:r>
        <w:t xml:space="preserve">) e títulos do agronegócio (</w:t>
      </w:r>
      <m:oMath>
        <m:sSub>
          <m:e>
            <m:r>
              <m:t>μ</m:t>
            </m:r>
          </m:e>
          <m:sub>
            <m:r>
              <m:t>2</m:t>
            </m:r>
          </m:sub>
        </m:sSub>
        <m:r>
          <m:rPr>
            <m:sty m:val="p"/>
          </m:rPr>
          <m:t>=</m:t>
        </m:r>
        <m:r>
          <m:t>8</m:t>
        </m:r>
        <m:r>
          <m:rPr>
            <m:sty m:val="p"/>
          </m:rPr>
          <m:t>%</m:t>
        </m:r>
      </m:oMath>
      <w:r>
        <w:t xml:space="preserve">,</w:t>
      </w:r>
      <w:r>
        <w:t xml:space="preserve"> </w:t>
      </w:r>
      <m:oMath>
        <m:sSub>
          <m:e>
            <m:r>
              <m:t>σ</m:t>
            </m:r>
          </m:e>
          <m:sub>
            <m:r>
              <m:t>2</m:t>
            </m:r>
          </m:sub>
        </m:sSub>
        <m:r>
          <m:rPr>
            <m:sty m:val="p"/>
          </m:rPr>
          <m:t>=</m:t>
        </m:r>
        <m:r>
          <m:t>15</m:t>
        </m:r>
        <m:r>
          <m:rPr>
            <m:sty m:val="p"/>
          </m:rPr>
          <m:t>%</m:t>
        </m:r>
      </m:oMath>
      <w:r>
        <w:t xml:space="preserve">). A correlação entre os retornos é</w:t>
      </w:r>
      <w:r>
        <w:t xml:space="preserve"> </w:t>
      </w:r>
      <m:oMath>
        <m:r>
          <m:t>ρ</m:t>
        </m:r>
        <m:r>
          <m:rPr>
            <m:sty m:val="p"/>
          </m:rPr>
          <m:t>=</m:t>
        </m:r>
        <m:r>
          <m:rPr>
            <m:sty m:val="p"/>
          </m:rPr>
          <m:t>−</m:t>
        </m:r>
        <m:r>
          <m:t>0</m:t>
        </m:r>
        <m:r>
          <m:rPr>
            <m:sty m:val="p"/>
          </m:rPr>
          <m:t>,</m:t>
        </m:r>
        <m:r>
          <m:t>3</m:t>
        </m:r>
      </m:oMath>
      <w:r>
        <w:t xml:space="preserve">. (a) Calcule o retorno e a variância da carteira para</w:t>
      </w:r>
      <w:r>
        <w:t xml:space="preserve"> </w:t>
      </w:r>
      <m:oMath>
        <m:r>
          <m:t>w</m:t>
        </m:r>
        <m:r>
          <m:rPr>
            <m:sty m:val="p"/>
          </m:rPr>
          <m:t>=</m:t>
        </m:r>
        <m:r>
          <m:t>0</m:t>
        </m:r>
        <m:r>
          <m:rPr>
            <m:sty m:val="p"/>
          </m:rPr>
          <m:t>,</m:t>
        </m:r>
        <m:r>
          <m:t>5</m:t>
        </m:r>
      </m:oMath>
      <w:r>
        <w:t xml:space="preserve">. (b) Encontre o peso</w:t>
      </w:r>
      <w:r>
        <w:t xml:space="preserve"> </w:t>
      </w:r>
      <m:oMath>
        <m:sSup>
          <m:e>
            <m:r>
              <m:t>w</m:t>
            </m:r>
          </m:e>
          <m:sup>
            <m:r>
              <m:rPr>
                <m:sty m:val="p"/>
              </m:rPr>
              <m:t>*</m:t>
            </m:r>
          </m:sup>
        </m:sSup>
      </m:oMath>
      <w:r>
        <w:t xml:space="preserve"> </w:t>
      </w:r>
      <w:r>
        <w:t xml:space="preserve">que minimiza a variância. (c) Compare o desvio padrão da carteira de variância mínima com os desvios individuais.</w:t>
      </w:r>
    </w:p>
    <w:p>
      <w:pPr>
        <w:pStyle w:val="BlockText"/>
      </w:pPr>
      <w:r>
        <w:rPr>
          <w:b/>
          <w:bCs/>
        </w:rPr>
        <w:t xml:space="preserve">Dados:</w:t>
      </w:r>
      <w:r>
        <w:t xml:space="preserve"> </w:t>
      </w:r>
      <m:oMath>
        <m:sSub>
          <m:e>
            <m:r>
              <m:t>μ</m:t>
            </m:r>
          </m:e>
          <m:sub>
            <m:r>
              <m:t>1</m:t>
            </m:r>
          </m:sub>
        </m:sSub>
        <m:r>
          <m:rPr>
            <m:sty m:val="p"/>
          </m:rPr>
          <m:t>=</m:t>
        </m:r>
        <m:r>
          <m:t>0</m:t>
        </m:r>
        <m:r>
          <m:rPr>
            <m:sty m:val="p"/>
          </m:rPr>
          <m:t>,</m:t>
        </m:r>
        <m:r>
          <m:t>12</m:t>
        </m:r>
      </m:oMath>
      <w:r>
        <w:t xml:space="preserve">,</w:t>
      </w:r>
      <w:r>
        <w:t xml:space="preserve"> </w:t>
      </w:r>
      <m:oMath>
        <m:sSub>
          <m:e>
            <m:r>
              <m:t>σ</m:t>
            </m:r>
          </m:e>
          <m:sub>
            <m:r>
              <m:t>1</m:t>
            </m:r>
          </m:sub>
        </m:sSub>
        <m:r>
          <m:rPr>
            <m:sty m:val="p"/>
          </m:rPr>
          <m:t>=</m:t>
        </m:r>
        <m:r>
          <m:t>0</m:t>
        </m:r>
        <m:r>
          <m:rPr>
            <m:sty m:val="p"/>
          </m:rPr>
          <m:t>,</m:t>
        </m:r>
        <m:r>
          <m:t>20</m:t>
        </m:r>
      </m:oMath>
      <w:r>
        <w:t xml:space="preserve">,</w:t>
      </w:r>
      <w:r>
        <w:t xml:space="preserve"> </w:t>
      </w:r>
      <m:oMath>
        <m:sSub>
          <m:e>
            <m:r>
              <m:t>μ</m:t>
            </m:r>
          </m:e>
          <m:sub>
            <m:r>
              <m:t>2</m:t>
            </m:r>
          </m:sub>
        </m:sSub>
        <m:r>
          <m:rPr>
            <m:sty m:val="p"/>
          </m:rPr>
          <m:t>=</m:t>
        </m:r>
        <m:r>
          <m:t>0</m:t>
        </m:r>
        <m:r>
          <m:rPr>
            <m:sty m:val="p"/>
          </m:rPr>
          <m:t>,</m:t>
        </m:r>
        <m:r>
          <m:t>08</m:t>
        </m:r>
      </m:oMath>
      <w:r>
        <w:t xml:space="preserve">,</w:t>
      </w:r>
      <w:r>
        <w:t xml:space="preserve"> </w:t>
      </w:r>
      <m:oMath>
        <m:sSub>
          <m:e>
            <m:r>
              <m:t>σ</m:t>
            </m:r>
          </m:e>
          <m:sub>
            <m:r>
              <m:t>2</m:t>
            </m:r>
          </m:sub>
        </m:sSub>
        <m:r>
          <m:rPr>
            <m:sty m:val="p"/>
          </m:rPr>
          <m:t>=</m:t>
        </m:r>
        <m:r>
          <m:t>0</m:t>
        </m:r>
        <m:r>
          <m:rPr>
            <m:sty m:val="p"/>
          </m:rPr>
          <m:t>,</m:t>
        </m:r>
        <m:r>
          <m:t>15</m:t>
        </m:r>
      </m:oMath>
      <w:r>
        <w:t xml:space="preserve">,</w:t>
      </w:r>
      <w:r>
        <w:t xml:space="preserve"> </w:t>
      </w:r>
      <m:oMath>
        <m:r>
          <m:t>ρ</m:t>
        </m:r>
        <m:r>
          <m:rPr>
            <m:sty m:val="p"/>
          </m:rPr>
          <m:t>=</m:t>
        </m:r>
        <m:r>
          <m:rPr>
            <m:sty m:val="p"/>
          </m:rPr>
          <m:t>−</m:t>
        </m:r>
        <m:r>
          <m:t>0</m:t>
        </m:r>
        <m:r>
          <m:rPr>
            <m:sty m:val="p"/>
          </m:rPr>
          <m:t>,</m:t>
        </m:r>
        <m:r>
          <m:t>3</m:t>
        </m:r>
      </m:oMath>
      <w:r>
        <w:t xml:space="preserve">.</w:t>
      </w:r>
    </w:p>
    <w:p>
      <w:pPr>
        <w:pStyle w:val="BlockText"/>
      </w:pPr>
      <w:r>
        <w:rPr>
          <w:b/>
          <w:bCs/>
        </w:rPr>
        <w:t xml:space="preserve">Resolução:</w:t>
      </w:r>
    </w:p>
    <w:p>
      <w:pPr>
        <w:pStyle w:val="BlockText"/>
      </w:pPr>
      <w:r>
        <w:rPr>
          <w:b/>
          <w:bCs/>
        </w:rPr>
        <w:t xml:space="preserve">Passo 1 — Carteira igualmente ponderada (</w:t>
      </w:r>
      <m:oMath>
        <m:r>
          <m:t>w</m:t>
        </m:r>
        <m:r>
          <m:rPr>
            <m:sty m:val="p"/>
          </m:rPr>
          <m:t>=</m:t>
        </m:r>
        <m:r>
          <m:t>0</m:t>
        </m:r>
        <m:r>
          <m:rPr>
            <m:sty m:val="p"/>
          </m:rPr>
          <m:t>,</m:t>
        </m:r>
        <m:r>
          <m:t>5</m:t>
        </m:r>
      </m:oMath>
      <w:r>
        <w:rPr>
          <w:b/>
          <w:bCs/>
        </w:rPr>
        <w:t xml:space="preserve">)</w:t>
      </w:r>
    </w:p>
    <w:p>
      <w:pPr>
        <w:pStyle w:val="BlockText"/>
      </w:pPr>
      <w:r>
        <w:t xml:space="preserve">$$</w:t>
      </w:r>
    </w:p>
    <w:p>
      <w:pPr>
        <w:pStyle w:val="BlockText"/>
      </w:pPr>
      <w:r>
        <w:t xml:space="preserve">_p = 0{,}5</w:t>
      </w:r>
      <w:r>
        <w:t xml:space="preserve"> </w:t>
      </w:r>
      <w:r>
        <w:t xml:space="preserve">12 + 0{,}5</w:t>
      </w:r>
      <w:r>
        <w:t xml:space="preserve"> </w:t>
      </w:r>
      <w:r>
        <w:t xml:space="preserve">08 = 0{,}10 = 10%</w:t>
      </w:r>
    </w:p>
    <w:p>
      <w:pPr>
        <w:pStyle w:val="BlockText"/>
      </w:pPr>
      <w:r>
        <w:t xml:space="preserve">$$</w:t>
      </w:r>
    </w:p>
    <w:p>
      <w:pPr>
        <w:pStyle w:val="BlockText"/>
      </w:pPr>
      <w:r>
        <w:t xml:space="preserve">$$</w:t>
      </w:r>
    </w:p>
    <w:p>
      <w:pPr>
        <w:pStyle w:val="BlockText"/>
      </w:pPr>
      <w:r>
        <w:t xml:space="preserve">_p^2 = (0{,}5)</w:t>
      </w:r>
      <w:r>
        <w:rPr>
          <w:vertAlign w:val="superscript"/>
        </w:rPr>
        <w:t xml:space="preserve">2(0{,}20)</w:t>
      </w:r>
      <w:r>
        <w:t xml:space="preserve">2 + (0{,}5)</w:t>
      </w:r>
      <w:r>
        <w:rPr>
          <w:vertAlign w:val="superscript"/>
        </w:rPr>
        <w:t xml:space="preserve">2(0{,}15)</w:t>
      </w:r>
      <w:r>
        <w:t xml:space="preserve">2 + 2(0{,}5)(0{,}5)(-0{,}3)(0{,}20)(0{,}15)</w:t>
      </w:r>
    </w:p>
    <w:p>
      <w:pPr>
        <w:pStyle w:val="BlockText"/>
      </w:pPr>
      <w:r>
        <w:t xml:space="preserve">$$</w:t>
      </w:r>
    </w:p>
    <w:p>
      <w:pPr>
        <w:pStyle w:val="BlockText"/>
      </w:pPr>
      <w:r>
        <w:t xml:space="preserve">$$</w:t>
      </w:r>
    </w:p>
    <w:p>
      <w:pPr>
        <w:pStyle w:val="BlockText"/>
      </w:pPr>
      <w:r>
        <w:t xml:space="preserve">= 0{,}01 + 0{,}005625 + (-0{,}0045) = 0{,}011125</w:t>
      </w:r>
    </w:p>
    <w:p>
      <w:pPr>
        <w:pStyle w:val="BlockText"/>
      </w:pPr>
      <w:r>
        <w:t xml:space="preserve">$$</w:t>
      </w:r>
    </w:p>
    <w:p>
      <w:pPr>
        <w:pStyle w:val="BlockText"/>
      </w:pPr>
      <w:r>
        <w:t xml:space="preserve">$$</w:t>
      </w:r>
    </w:p>
    <w:p>
      <w:pPr>
        <w:pStyle w:val="BlockText"/>
      </w:pPr>
      <w:r>
        <w:t xml:space="preserve">_p =</w:t>
      </w:r>
      <w:r>
        <w:t xml:space="preserve"> </w:t>
      </w:r>
      <w:r>
        <w:t xml:space="preserve"> </w:t>
      </w:r>
      <w:r>
        <w:t xml:space="preserve">= 0{,}1055 = 10{,}55%</w:t>
      </w:r>
    </w:p>
    <w:p>
      <w:pPr>
        <w:pStyle w:val="BlockText"/>
      </w:pPr>
      <w:r>
        <w:t xml:space="preserve">$$</w:t>
      </w:r>
    </w:p>
    <w:p>
      <w:pPr>
        <w:pStyle w:val="BlockText"/>
      </w:pPr>
      <w:r>
        <w:rPr>
          <w:b/>
          <w:bCs/>
        </w:rPr>
        <w:t xml:space="preserve">Passo 2 — Peso de variância mínima</w:t>
      </w:r>
    </w:p>
    <w:p>
      <w:pPr>
        <w:pStyle w:val="BlockText"/>
      </w:pPr>
      <w:r>
        <w:t xml:space="preserve">$$</w:t>
      </w:r>
    </w:p>
    <w:p>
      <w:pPr>
        <w:pStyle w:val="BlockText"/>
      </w:pPr>
      <w:r>
        <w:t xml:space="preserve">w^* =</w:t>
      </w:r>
      <w:r>
        <w:t xml:space="preserve"> </w:t>
      </w:r>
    </w:p>
    <w:p>
      <w:pPr>
        <w:pStyle w:val="BlockText"/>
      </w:pPr>
      <w:r>
        <w:t xml:space="preserve">$$</w:t>
      </w:r>
    </w:p>
    <w:p>
      <w:pPr>
        <w:pStyle w:val="BlockText"/>
      </w:pPr>
      <w:r>
        <w:t xml:space="preserve">$$</w:t>
      </w:r>
    </w:p>
    <w:p>
      <w:pPr>
        <w:pStyle w:val="BlockText"/>
      </w:pP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0{,}3913</w:t>
      </w:r>
    </w:p>
    <w:p>
      <w:pPr>
        <w:pStyle w:val="BlockText"/>
      </w:pPr>
      <w:r>
        <w:t xml:space="preserve">$$</w:t>
      </w:r>
    </w:p>
    <w:p>
      <w:pPr>
        <w:pStyle w:val="BlockText"/>
      </w:pPr>
      <w:r>
        <w:rPr>
          <w:b/>
          <w:bCs/>
        </w:rPr>
        <w:t xml:space="preserve">Passo 3 — Variância mínima e comparação</w:t>
      </w:r>
    </w:p>
    <w:p>
      <w:pPr>
        <w:pStyle w:val="BlockText"/>
      </w:pPr>
      <w:r>
        <w:t xml:space="preserve">$$</w:t>
      </w:r>
    </w:p>
    <w:p>
      <w:pPr>
        <w:pStyle w:val="BlockText"/>
      </w:pPr>
      <w:r>
        <w:t xml:space="preserve">_p</w:t>
      </w:r>
      <w:r>
        <w:rPr>
          <w:vertAlign w:val="superscript"/>
        </w:rPr>
        <w:t xml:space="preserve">2(w</w:t>
      </w:r>
      <w:r>
        <w:t xml:space="preserve">*) = (0{,}3913)^2(0{,}04) + (0{,}6087)^2(0{,}0225) + 2(0{,}3913)(0{,}6087)(-0{,}009)</w:t>
      </w:r>
    </w:p>
    <w:p>
      <w:pPr>
        <w:pStyle w:val="BlockText"/>
      </w:pPr>
      <w:r>
        <w:t xml:space="preserve">$$</w:t>
      </w:r>
    </w:p>
    <w:p>
      <w:pPr>
        <w:pStyle w:val="BlockText"/>
      </w:pPr>
      <w:r>
        <w:t xml:space="preserve">$$</w:t>
      </w:r>
    </w:p>
    <w:p>
      <w:pPr>
        <w:pStyle w:val="BlockText"/>
      </w:pPr>
      <w:r>
        <w:t xml:space="preserve">= 0{,}006125 + 0{,}008337 - 0{,}004288 = 0{,}010174</w:t>
      </w:r>
    </w:p>
    <w:p>
      <w:pPr>
        <w:pStyle w:val="BlockText"/>
      </w:pPr>
      <w:r>
        <w:t xml:space="preserve">$$</w:t>
      </w:r>
    </w:p>
    <w:p>
      <w:pPr>
        <w:pStyle w:val="BlockText"/>
      </w:pPr>
      <w:r>
        <w:t xml:space="preserve">$$</w:t>
      </w:r>
    </w:p>
    <w:p>
      <w:pPr>
        <w:pStyle w:val="BlockText"/>
      </w:pPr>
      <w:r>
        <w:t xml:space="preserve">_p(w^*) =</w:t>
      </w:r>
      <w:r>
        <w:t xml:space="preserve"> </w:t>
      </w:r>
      <w:r>
        <w:t xml:space="preserve"> </w:t>
      </w:r>
      <w:r>
        <w:t xml:space="preserve">= 0{,}1009 = 10{,}09%</w:t>
      </w:r>
    </w:p>
    <w:p>
      <w:pPr>
        <w:pStyle w:val="BlockText"/>
      </w:pPr>
      <w:r>
        <w:t xml:space="preserve">$$</w:t>
      </w:r>
    </w:p>
    <w:p>
      <w:pPr>
        <w:pStyle w:val="BlockText"/>
      </w:pPr>
      <w:r>
        <w:t xml:space="preserve">O retorno desta carteira:</w:t>
      </w:r>
      <w:r>
        <w:t xml:space="preserve"> </w:t>
      </w:r>
      <m:oMath>
        <m:sSub>
          <m:e>
            <m:r>
              <m:t>μ</m:t>
            </m:r>
          </m:e>
          <m:sub>
            <m:r>
              <m:t>p</m:t>
            </m:r>
          </m:sub>
        </m:sSub>
        <m:r>
          <m:rPr>
            <m:sty m:val="p"/>
          </m:rPr>
          <m:t>(</m:t>
        </m:r>
        <m:sSup>
          <m:e>
            <m:r>
              <m:t>w</m:t>
            </m:r>
          </m:e>
          <m:sup>
            <m:r>
              <m:rPr>
                <m:sty m:val="p"/>
              </m:rPr>
              <m:t>*</m:t>
            </m:r>
          </m:sup>
        </m:sSup>
        <m:r>
          <m:rPr>
            <m:sty m:val="p"/>
          </m:rPr>
          <m:t>)</m:t>
        </m:r>
        <m:r>
          <m:rPr>
            <m:sty m:val="p"/>
          </m:rPr>
          <m:t>=</m:t>
        </m:r>
        <m:r>
          <m:t>0</m:t>
        </m:r>
        <m:r>
          <m:rPr>
            <m:sty m:val="p"/>
          </m:rPr>
          <m:t>,</m:t>
        </m:r>
        <m:r>
          <m:t>3913</m:t>
        </m:r>
        <m:r>
          <m:rPr>
            <m:sty m:val="p"/>
          </m:rPr>
          <m:t>×</m:t>
        </m:r>
        <m:r>
          <m:t>12</m:t>
        </m:r>
        <m:r>
          <m:rPr>
            <m:sty m:val="p"/>
          </m:rPr>
          <m:t>%</m:t>
        </m:r>
        <m:r>
          <m:rPr>
            <m:sty m:val="p"/>
          </m:rPr>
          <m:t>+</m:t>
        </m:r>
        <m:r>
          <m:t>0</m:t>
        </m:r>
        <m:r>
          <m:rPr>
            <m:sty m:val="p"/>
          </m:rPr>
          <m:t>,</m:t>
        </m:r>
        <m:r>
          <m:t>6087</m:t>
        </m:r>
        <m:r>
          <m:rPr>
            <m:sty m:val="p"/>
          </m:rPr>
          <m:t>×</m:t>
        </m:r>
        <m:r>
          <m:t>8</m:t>
        </m:r>
        <m:r>
          <m:rPr>
            <m:sty m:val="p"/>
          </m:rPr>
          <m:t>%</m:t>
        </m:r>
        <m:r>
          <m:rPr>
            <m:sty m:val="p"/>
          </m:rPr>
          <m:t>=</m:t>
        </m:r>
        <m:r>
          <m:t>9</m:t>
        </m:r>
        <m:r>
          <m:rPr>
            <m:sty m:val="p"/>
          </m:rPr>
          <m:t>,</m:t>
        </m:r>
        <m:r>
          <m:t>57</m:t>
        </m:r>
        <m:r>
          <m:rPr>
            <m:sty m:val="p"/>
          </m:rPr>
          <m:t>%</m:t>
        </m:r>
      </m:oMath>
      <w:r>
        <w:t xml:space="preserve">.</w:t>
      </w:r>
    </w:p>
    <w:p>
      <w:pPr>
        <w:pStyle w:val="BlockText"/>
      </w:pPr>
      <w:r>
        <w:rPr>
          <w:b/>
          <w:bCs/>
        </w:rPr>
        <w:t xml:space="preserve">Resultado: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Carteira</w:t>
            </w:r>
          </w:p>
        </w:tc>
        <w:tc>
          <w:tcPr/>
          <w:p>
            <w:pPr>
              <w:pStyle w:val="Compact"/>
              <w:jc w:val="left"/>
            </w:pPr>
            <w:r>
              <w:t xml:space="preserve">Retorno</w:t>
            </w:r>
          </w:p>
        </w:tc>
        <w:tc>
          <w:tcPr/>
          <w:p>
            <w:pPr>
              <w:pStyle w:val="Compact"/>
              <w:jc w:val="left"/>
            </w:pPr>
            <w:r>
              <w:t xml:space="preserve">Desvio padrão</w:t>
            </w:r>
          </w:p>
        </w:tc>
      </w:tr>
      <w:tr>
        <w:tc>
          <w:tcPr/>
          <w:p>
            <w:pPr>
              <w:pStyle w:val="Compact"/>
              <w:jc w:val="left"/>
            </w:pPr>
            <w:r>
              <w:t xml:space="preserve">Ativo 1 puro</w:t>
            </w:r>
          </w:p>
        </w:tc>
        <w:tc>
          <w:tcPr/>
          <w:p>
            <w:pPr>
              <w:pStyle w:val="Compact"/>
              <w:jc w:val="left"/>
            </w:pPr>
            <w:r>
              <w:t xml:space="preserve">12,00%</w:t>
            </w:r>
          </w:p>
        </w:tc>
        <w:tc>
          <w:tcPr/>
          <w:p>
            <w:pPr>
              <w:pStyle w:val="Compact"/>
              <w:jc w:val="left"/>
            </w:pPr>
            <w:r>
              <w:t xml:space="preserve">20,00%</w:t>
            </w:r>
          </w:p>
        </w:tc>
      </w:tr>
      <w:tr>
        <w:tc>
          <w:tcPr/>
          <w:p>
            <w:pPr>
              <w:pStyle w:val="Compact"/>
              <w:jc w:val="left"/>
            </w:pPr>
            <w:r>
              <w:t xml:space="preserve">Ativo 2 puro</w:t>
            </w:r>
          </w:p>
        </w:tc>
        <w:tc>
          <w:tcPr/>
          <w:p>
            <w:pPr>
              <w:pStyle w:val="Compact"/>
              <w:jc w:val="left"/>
            </w:pPr>
            <w:r>
              <w:t xml:space="preserve">8,00%</w:t>
            </w:r>
          </w:p>
        </w:tc>
        <w:tc>
          <w:tcPr/>
          <w:p>
            <w:pPr>
              <w:pStyle w:val="Compact"/>
              <w:jc w:val="left"/>
            </w:pPr>
            <w:r>
              <w:t xml:space="preserve">15,00%</w:t>
            </w:r>
          </w:p>
        </w:tc>
      </w:tr>
      <w:tr>
        <w:tc>
          <w:tcPr/>
          <w:p>
            <w:pPr>
              <w:pStyle w:val="Compact"/>
              <w:jc w:val="left"/>
            </w:pPr>
            <w:r>
              <w:t xml:space="preserve">Igualmente ponderada</w:t>
            </w:r>
          </w:p>
        </w:tc>
        <w:tc>
          <w:tcPr/>
          <w:p>
            <w:pPr>
              <w:pStyle w:val="Compact"/>
              <w:jc w:val="left"/>
            </w:pPr>
            <w:r>
              <w:t xml:space="preserve">10,00%</w:t>
            </w:r>
          </w:p>
        </w:tc>
        <w:tc>
          <w:tcPr/>
          <w:p>
            <w:pPr>
              <w:pStyle w:val="Compact"/>
              <w:jc w:val="left"/>
            </w:pPr>
            <w:r>
              <w:t xml:space="preserve">10,55%</w:t>
            </w:r>
          </w:p>
        </w:tc>
      </w:tr>
      <w:tr>
        <w:tc>
          <w:tcPr/>
          <w:p>
            <w:pPr>
              <w:pStyle w:val="Compact"/>
              <w:jc w:val="left"/>
            </w:pPr>
            <w:r>
              <w:t xml:space="preserve">Variância mínima</w:t>
            </w:r>
          </w:p>
        </w:tc>
        <w:tc>
          <w:tcPr/>
          <w:p>
            <w:pPr>
              <w:pStyle w:val="Compact"/>
              <w:jc w:val="left"/>
            </w:pPr>
            <w:r>
              <w:t xml:space="preserve">9,57%</w:t>
            </w:r>
          </w:p>
        </w:tc>
        <w:tc>
          <w:tcPr/>
          <w:p>
            <w:pPr>
              <w:pStyle w:val="Compact"/>
              <w:jc w:val="left"/>
            </w:pPr>
            <w:r>
              <w:t xml:space="preserve">10,09%</w:t>
            </w:r>
          </w:p>
        </w:tc>
      </w:tr>
    </w:tbl>
    <w:p>
      <w:pPr>
        <w:pStyle w:val="BlockText"/>
      </w:pPr>
      <w:r>
        <w:rPr>
          <w:b/>
          <w:bCs/>
        </w:rPr>
        <w:t xml:space="preserve">Interpretação econômica:</w:t>
      </w:r>
      <w:r>
        <w:t xml:space="preserve"> </w:t>
      </w:r>
      <w:r>
        <w:t xml:space="preserve">A correlação negativa (</w:t>
      </w:r>
      <m:oMath>
        <m:r>
          <m:t>ρ</m:t>
        </m:r>
        <m:r>
          <m:rPr>
            <m:sty m:val="p"/>
          </m:rPr>
          <m:t>=</m:t>
        </m:r>
        <m:r>
          <m:rPr>
            <m:sty m:val="p"/>
          </m:rPr>
          <m:t>−</m:t>
        </m:r>
        <m:r>
          <m:t>0</m:t>
        </m:r>
        <m:r>
          <m:rPr>
            <m:sty m:val="p"/>
          </m:rPr>
          <m:t>,</m:t>
        </m:r>
        <m:r>
          <m:t>3</m:t>
        </m:r>
      </m:oMath>
      <w:r>
        <w:t xml:space="preserve">) gera um forte benefício de diversificação. O desvio padrão da carteira de variância mínima (10,09%) é</w:t>
      </w:r>
      <w:r>
        <w:t xml:space="preserve"> </w:t>
      </w:r>
      <w:r>
        <w:rPr>
          <w:b/>
          <w:bCs/>
        </w:rPr>
        <w:t xml:space="preserve">menor</w:t>
      </w:r>
      <w:r>
        <w:t xml:space="preserve"> </w:t>
      </w:r>
      <w:r>
        <w:t xml:space="preserve">que o de ambos os ativos individuais — um resultado impossível quando</w:t>
      </w:r>
      <w:r>
        <w:t xml:space="preserve"> </w:t>
      </w:r>
      <m:oMath>
        <m:r>
          <m:t>ρ</m:t>
        </m:r>
        <m:r>
          <m:rPr>
            <m:sty m:val="p"/>
          </m:rPr>
          <m:t>=</m:t>
        </m:r>
        <m:r>
          <m:t>1</m:t>
        </m:r>
      </m:oMath>
      <w:r>
        <w:t xml:space="preserve">. Essa é a essência do resultado de Markowitz: combinando ativos com correlação imperfeita, um investidor brasileiro pode reduzir o risco total sem sacrificar proporcionalmente o retorno.</w:t>
      </w:r>
    </w:p>
    <w:bookmarkEnd w:id="336"/>
    <w:bookmarkStart w:id="337" w:name="flexibilidade-e-valor-da-opção"/>
    <w:p>
      <w:pPr>
        <w:pStyle w:val="Heading4"/>
      </w:pPr>
      <w:r>
        <w:t xml:space="preserve">7.6.3 Flexibilidade e valor da opção</w:t>
      </w:r>
    </w:p>
    <w:p>
      <w:pPr>
        <w:pStyle w:val="FirstParagraph"/>
      </w:pPr>
      <w:r>
        <w:t xml:space="preserve">Seguros e diversificação lidam com riscos que já estão presentes. Mas e quando o agente pode</w:t>
      </w:r>
      <w:r>
        <w:t xml:space="preserve"> </w:t>
      </w:r>
      <w:r>
        <w:rPr>
          <w:b/>
          <w:bCs/>
        </w:rPr>
        <w:t xml:space="preserve">escolher o momento</w:t>
      </w:r>
      <w:r>
        <w:t xml:space="preserve"> </w:t>
      </w:r>
      <w:r>
        <w:t xml:space="preserve">de se expor ao risco? Existe valor em simplesmente esperar, observar como o mundo se desenrola e decidir depois? A resposta, surpreendentemente rica, é que sim — e esse valor pode ser substancial.</w:t>
      </w:r>
    </w:p>
    <w:p>
      <w:pPr>
        <w:pStyle w:val="BodyText"/>
      </w:pPr>
      <w:r>
        <w:t xml:space="preserve">Manter opções abertas tem valor positivo sob incerteza. A possibilidade de adiar uma decisão irreversível até que nova informação se torne disponível é análoga a uma</w:t>
      </w:r>
      <w:r>
        <w:t xml:space="preserve"> </w:t>
      </w:r>
      <w:r>
        <w:rPr>
          <w:b/>
          <w:bCs/>
        </w:rPr>
        <w:t xml:space="preserve">opção real</w:t>
      </w:r>
      <w:r>
        <w:t xml:space="preserve">, cujo valor cresce com a volatilidade do ambiente.</w:t>
      </w:r>
    </w:p>
    <w:p>
      <w:pPr>
        <w:pStyle w:val="BodyText"/>
      </w:pPr>
      <w:r>
        <w:t xml:space="preserve">Formalmente, considere um agente que pode tomar uma decisão irreversível hoje ou esperar um período para obter informação adicional. Se o custo de esperar é baixo e a incerteza é alta, o</w:t>
      </w:r>
      <w:r>
        <w:t xml:space="preserve"> </w:t>
      </w:r>
      <w:r>
        <w:rPr>
          <w:b/>
          <w:bCs/>
        </w:rPr>
        <w:t xml:space="preserve">valor da opção de espera</w:t>
      </w:r>
      <w:r>
        <w:t xml:space="preserve"> </w:t>
      </w:r>
      <w:r>
        <w:t xml:space="preserve">pode ser substancial. Esse conceito, desenvolvido por Dixit e Pindyck (1994), tem aplicações importantes em decisões de investimento, exploração de recursos naturais e políticas públicas.</w:t>
      </w:r>
    </w:p>
    <w:p>
      <w:pPr>
        <w:pStyle w:val="BlockText"/>
      </w:pPr>
      <w:r>
        <w:rPr>
          <w:b/>
          <w:bCs/>
        </w:rPr>
        <w:t xml:space="preserve">[INTUICAO ECONOMICA] Intuição Econômica</w:t>
      </w:r>
    </w:p>
    <w:p>
      <w:pPr>
        <w:pStyle w:val="BlockText"/>
      </w:pPr>
      <w:r>
        <w:rPr>
          <w:b/>
          <w:bCs/>
        </w:rPr>
        <w:t xml:space="preserve">Em uma frase:</w:t>
      </w:r>
      <w:r>
        <w:t xml:space="preserve"> </w:t>
      </w:r>
      <w:r>
        <w:t xml:space="preserve">Sob incerteza, a irreversibilidade cria um custo de oportunidade — agir hoje</w:t>
      </w:r>
      <w:r>
        <w:t xml:space="preserve"> </w:t>
      </w:r>
      <w:r>
        <w:t xml:space="preserve">“mata”</w:t>
      </w:r>
      <w:r>
        <w:t xml:space="preserve"> </w:t>
      </w:r>
      <w:r>
        <w:t xml:space="preserve">a opção de decidir melhor amanhã.</w:t>
      </w:r>
    </w:p>
    <w:p>
      <w:pPr>
        <w:pStyle w:val="BlockText"/>
      </w:pPr>
      <w:r>
        <w:rPr>
          <w:b/>
          <w:bCs/>
        </w:rPr>
        <w:t xml:space="preserve">Pense assim:</w:t>
      </w:r>
      <w:r>
        <w:t xml:space="preserve"> </w:t>
      </w:r>
      <w:r>
        <w:t xml:space="preserve">Você recebeu uma proposta de emprego em outra cidade, mas espera uma resposta de um concurso público que sai em 30 dias. Aceitar agora é irreversível. Se a incerteza sobre o concurso é grande, o valor de esperar — mesmo perdendo um mês de salário — pode compensar. O VPL positivo da mudança não basta; ele precisa superar o valor da opção de espera.</w:t>
      </w:r>
    </w:p>
    <w:p>
      <w:pPr>
        <w:pStyle w:val="BlockText"/>
      </w:pPr>
      <w:r>
        <w:rPr>
          <w:b/>
          <w:bCs/>
        </w:rPr>
        <w:t xml:space="preserve">Por que isso importa:</w:t>
      </w:r>
      <w:r>
        <w:t xml:space="preserve"> </w:t>
      </w:r>
      <w:r>
        <w:t xml:space="preserve">Esse raciocínio explica por que empresas adiam investimentos mesmo com VPL positivo, por que a Petrobras pode postergar a exploração do pré-sal quando o preço do petróleo é volátil, e por que políticas públicas irreversíveis merecem cautela extra.</w:t>
      </w:r>
    </w:p>
    <w:p>
      <w:pPr>
        <w:pStyle w:val="FirstParagraph"/>
      </w:pPr>
      <w:r>
        <w:t xml:space="preserve">A teoria das opções reais ganhou proeminência justamente porque o critério simples do valor presente líquido (VPL) — que é, no fundo, uma aplicação do critério do valor esperado — ignora a flexibilidade gerencial. Uma empresa que pode fechar uma mina durante períodos de baixo preço do minério e reabri-la quando os preços sobem possui uma opção de abandono e uma opção de reativação. Ambas têm valor positivo que não aparece num cálculo de VPL estático. No Brasil, projetos de energia elétrica (termoelétricas a gás, usinas hidrelétricas) e de exploração de petróleo no pré-sal são contextos nos quais o valor da flexibilidade operacional — a possibilidade de ajustar a produção conforme os preços variam — pode representar parcela substancial do valor total do empreendimento.</w:t>
      </w:r>
    </w:p>
    <w:bookmarkEnd w:id="337"/>
    <w:bookmarkStart w:id="338" w:name="informação"/>
    <w:p>
      <w:pPr>
        <w:pStyle w:val="Heading4"/>
      </w:pPr>
      <w:r>
        <w:t xml:space="preserve">7.6.4 Informação</w:t>
      </w:r>
    </w:p>
    <w:p>
      <w:pPr>
        <w:pStyle w:val="FirstParagraph"/>
      </w:pPr>
      <w:r>
        <w:t xml:space="preserve">O último mecanismo para lidar com o risco não redistribui nem adia a incerteza — ele a</w:t>
      </w:r>
      <w:r>
        <w:t xml:space="preserve"> </w:t>
      </w:r>
      <w:r>
        <w:rPr>
          <w:b/>
          <w:bCs/>
        </w:rPr>
        <w:t xml:space="preserve">reduz diretamente</w:t>
      </w:r>
      <w:r>
        <w:t xml:space="preserve">. A informação reduz a incerteza e permite decisões mais bem fundamentadas. O</w:t>
      </w:r>
      <w:r>
        <w:t xml:space="preserve"> </w:t>
      </w:r>
      <w:r>
        <w:rPr>
          <w:b/>
          <w:bCs/>
        </w:rPr>
        <w:t xml:space="preserve">valor da informação</w:t>
      </w:r>
      <w:r>
        <w:t xml:space="preserve"> </w:t>
      </w:r>
      <w:r>
        <w:t xml:space="preserve">pode ser definido como a diferença entre a utilidade esperada com e sem a informação. Para um agente avesso ao risco, informação completa é sempre (fracamente) valiosa.</w:t>
      </w:r>
    </w:p>
    <w:p>
      <w:pPr>
        <w:pStyle w:val="BodyText"/>
      </w:pPr>
      <w:r>
        <w:t xml:space="preserve">Seja</w:t>
      </w:r>
      <w:r>
        <w:t xml:space="preserve"> </w:t>
      </w:r>
      <m:oMath>
        <m:r>
          <m:t>θ</m:t>
        </m:r>
      </m:oMath>
      <w:r>
        <w:t xml:space="preserve"> </w:t>
      </w:r>
      <w:r>
        <w:t xml:space="preserve">o estado da natureza desconhecido e</w:t>
      </w:r>
      <w:r>
        <w:t xml:space="preserve"> </w:t>
      </w:r>
      <m:oMath>
        <m:r>
          <m:t>a</m:t>
        </m:r>
      </m:oMath>
      <w:r>
        <w:t xml:space="preserve"> </w:t>
      </w:r>
      <w:r>
        <w:t xml:space="preserve">a ação do agente. Sem informação, o agente maximiza</w:t>
      </w:r>
      <w:r>
        <w:t xml:space="preserve"> </w:t>
      </w:r>
      <m:oMath>
        <m:sSub>
          <m:e>
            <m:r>
              <m:t>E</m:t>
            </m:r>
          </m:e>
          <m:sub>
            <m:r>
              <m:t>θ</m:t>
            </m:r>
          </m:sub>
        </m:sSub>
        <m:r>
          <m:rPr>
            <m:sty m:val="p"/>
          </m:rPr>
          <m:t>[</m:t>
        </m:r>
        <m:r>
          <m:t>u</m:t>
        </m:r>
        <m:r>
          <m:rPr>
            <m:sty m:val="p"/>
          </m:rPr>
          <m:t>(</m:t>
        </m:r>
        <m:r>
          <m:t>a</m:t>
        </m:r>
        <m:r>
          <m:rPr>
            <m:sty m:val="p"/>
          </m:rPr>
          <m:t>,</m:t>
        </m:r>
        <m:r>
          <m:t>θ</m:t>
        </m:r>
        <m:r>
          <m:rPr>
            <m:sty m:val="p"/>
          </m:rPr>
          <m:t>)</m:t>
        </m:r>
        <m:r>
          <m:rPr>
            <m:sty m:val="p"/>
          </m:rPr>
          <m:t>]</m:t>
        </m:r>
      </m:oMath>
      <w:r>
        <w:t xml:space="preserve">. Com informação perfeita (observa</w:t>
      </w:r>
      <w:r>
        <w:t xml:space="preserve"> </w:t>
      </w:r>
      <m:oMath>
        <m:r>
          <m:t>θ</m:t>
        </m:r>
      </m:oMath>
      <w:r>
        <w:t xml:space="preserve"> </w:t>
      </w:r>
      <w:r>
        <w:t xml:space="preserve">antes de agir), maximiza</w:t>
      </w:r>
      <w:r>
        <w:t xml:space="preserve"> </w:t>
      </w:r>
      <m:oMath>
        <m:r>
          <m:t>u</m:t>
        </m:r>
        <m:r>
          <m:rPr>
            <m:sty m:val="p"/>
          </m:rPr>
          <m:t>(</m:t>
        </m:r>
        <m:sSup>
          <m:e>
            <m:r>
              <m:t>a</m:t>
            </m:r>
          </m:e>
          <m:sup>
            <m:r>
              <m:rPr>
                <m:sty m:val="p"/>
              </m:rPr>
              <m:t>*</m:t>
            </m:r>
          </m:sup>
        </m:sSup>
        <m:r>
          <m:rPr>
            <m:sty m:val="p"/>
          </m:rPr>
          <m:t>(</m:t>
        </m:r>
        <m:r>
          <m:t>θ</m:t>
        </m:r>
        <m:r>
          <m:rPr>
            <m:sty m:val="p"/>
          </m:rPr>
          <m:t>)</m:t>
        </m:r>
        <m:r>
          <m:rPr>
            <m:sty m:val="p"/>
          </m:rPr>
          <m:t>,</m:t>
        </m:r>
        <m:r>
          <m:t>θ</m:t>
        </m:r>
        <m:r>
          <m:rPr>
            <m:sty m:val="p"/>
          </m:rPr>
          <m:t>)</m:t>
        </m:r>
      </m:oMath>
      <w:r>
        <w:t xml:space="preserve"> </w:t>
      </w:r>
      <w:r>
        <w:t xml:space="preserve">para cada realização. O</w:t>
      </w:r>
      <w:r>
        <w:t xml:space="preserve"> </w:t>
      </w:r>
      <w:r>
        <w:rPr>
          <w:b/>
          <w:bCs/>
        </w:rPr>
        <w:t xml:space="preserve">valor da informação perfeita</w:t>
      </w:r>
      <w:r>
        <w:t xml:space="preserve"> </w:t>
      </w:r>
      <w:r>
        <w:t xml:space="preserve">é:</w:t>
      </w:r>
    </w:p>
    <w:p>
      <w:pPr>
        <w:pStyle w:val="BodyText"/>
      </w:pPr>
      <m:oMathPara>
        <m:oMathParaPr>
          <m:jc m:val="center"/>
        </m:oMathParaPr>
        <m:oMath>
          <m:r>
            <m:t>V</m:t>
          </m:r>
          <m:r>
            <m:t>I</m:t>
          </m:r>
          <m:r>
            <m:rPr>
              <m:sty m:val="p"/>
            </m:rPr>
            <m:t>=</m:t>
          </m:r>
          <m:sSub>
            <m:e>
              <m:r>
                <m:t>E</m:t>
              </m:r>
            </m:e>
            <m:sub>
              <m:r>
                <m:t>θ</m:t>
              </m:r>
            </m:sub>
          </m:sSub>
          <m:d>
            <m:dPr>
              <m:begChr m:val="["/>
              <m:sepChr m:val=""/>
              <m:endChr m:val="]"/>
              <m:grow/>
            </m:dPr>
            <m:e>
              <m:limLow>
                <m:e>
                  <m:r>
                    <m:rPr>
                      <m:sty m:val="p"/>
                    </m:rPr>
                    <m:t>max</m:t>
                  </m:r>
                </m:e>
                <m:lim>
                  <m:r>
                    <m:t>a</m:t>
                  </m:r>
                </m:lim>
              </m:limLow>
              <m:r>
                <m:t>u</m:t>
              </m:r>
              <m:r>
                <m:rPr>
                  <m:sty m:val="p"/>
                </m:rPr>
                <m:t>(</m:t>
              </m:r>
              <m:r>
                <m:t>a</m:t>
              </m:r>
              <m:r>
                <m:rPr>
                  <m:sty m:val="p"/>
                </m:rPr>
                <m:t>,</m:t>
              </m:r>
              <m:r>
                <m:t>θ</m:t>
              </m:r>
              <m:r>
                <m:rPr>
                  <m:sty m:val="p"/>
                </m:rPr>
                <m:t>)</m:t>
              </m:r>
            </m:e>
          </m:d>
          <m:r>
            <m:rPr>
              <m:sty m:val="p"/>
            </m:rPr>
            <m:t>−</m:t>
          </m:r>
          <m:limLow>
            <m:e>
              <m:r>
                <m:rPr>
                  <m:sty m:val="p"/>
                </m:rPr>
                <m:t>max</m:t>
              </m:r>
            </m:e>
            <m:lim>
              <m:r>
                <m:t>a</m:t>
              </m:r>
            </m:lim>
          </m:limLow>
          <m:sSub>
            <m:e>
              <m:r>
                <m:t>E</m:t>
              </m:r>
            </m:e>
            <m:sub>
              <m:r>
                <m:t>θ</m:t>
              </m:r>
            </m:sub>
          </m:sSub>
          <m:r>
            <m:rPr>
              <m:sty m:val="p"/>
            </m:rPr>
            <m:t>[</m:t>
          </m:r>
          <m:r>
            <m:t>u</m:t>
          </m:r>
          <m:r>
            <m:rPr>
              <m:sty m:val="p"/>
            </m:rPr>
            <m:t>(</m:t>
          </m:r>
          <m:r>
            <m:t>a</m:t>
          </m:r>
          <m:r>
            <m:rPr>
              <m:sty m:val="p"/>
            </m:rPr>
            <m:t>,</m:t>
          </m:r>
          <m:r>
            <m:t>θ</m:t>
          </m:r>
          <m:r>
            <m:rPr>
              <m:sty m:val="p"/>
            </m:rPr>
            <m:t>)</m:t>
          </m:r>
          <m:r>
            <m:rPr>
              <m:sty m:val="p"/>
            </m:rPr>
            <m:t>]</m:t>
          </m:r>
        </m:oMath>
      </m:oMathPara>
    </w:p>
    <w:p>
      <w:pPr>
        <w:pStyle w:val="FirstParagraph"/>
      </w:pPr>
      <w:r>
        <w:t xml:space="preserve">Pela desigualdade de Jensen aplicada ao operador</w:t>
      </w:r>
      <w:r>
        <w:t xml:space="preserve"> </w:t>
      </w:r>
      <m:oMath>
        <m:r>
          <m:rPr>
            <m:sty m:val="p"/>
          </m:rPr>
          <m:t>max</m:t>
        </m:r>
      </m:oMath>
      <w:r>
        <w:t xml:space="preserve">, temos</w:t>
      </w:r>
      <w:r>
        <w:t xml:space="preserve"> </w:t>
      </w:r>
      <m:oMath>
        <m:r>
          <m:t>V</m:t>
        </m:r>
        <m:r>
          <m:t>I</m:t>
        </m:r>
        <m:r>
          <m:rPr>
            <m:sty m:val="p"/>
          </m:rPr>
          <m:t>≥</m:t>
        </m:r>
        <m:r>
          <m:t>0</m:t>
        </m:r>
      </m:oMath>
      <w:r>
        <w:t xml:space="preserve">: informação nunca tem valor negativo para um agente que pode ignorá-la. Informação</w:t>
      </w:r>
      <w:r>
        <w:t xml:space="preserve"> </w:t>
      </w:r>
      <w:r>
        <w:rPr>
          <w:b/>
          <w:bCs/>
        </w:rPr>
        <w:t xml:space="preserve">imperfeita</w:t>
      </w:r>
      <w:r>
        <w:t xml:space="preserve"> </w:t>
      </w:r>
      <w:r>
        <w:t xml:space="preserve">(um sinal correlacionado com</w:t>
      </w:r>
      <w:r>
        <w:t xml:space="preserve"> </w:t>
      </w:r>
      <m:oMath>
        <m:r>
          <m:t>θ</m:t>
        </m:r>
      </m:oMath>
      <w:r>
        <w:t xml:space="preserve">) também tem valor não negativo, calculado de forma análoga usando a atualização bayesiana das crenças.</w:t>
      </w:r>
    </w:p>
    <w:p>
      <w:pPr>
        <w:pStyle w:val="BodyText"/>
      </w:pPr>
      <w:r>
        <w:t xml:space="preserve">O valor da informação tem aplicações diretas em contextos brasileiros. Uma empresa que considera expandir sua fábrica em Goiás pode contratar uma consultoria para avaliar a demanda regional — o valor da consultoria é exatamente o VI definido acima. Um agricultor que assina um contrato de venda antecipada de soja está, em parte, pagando para converter uma renda incerta em renda certa (comprando informação sobre o preço futuro via contrato). O governo que financia pesquisas climáticas para melhorar as previsões de seca no Nordeste está investindo em informação cujo valor é proporcional ao quanto essa informação permite melhorar as decisões de plantio e de ativação do Proagro.</w:t>
      </w:r>
    </w:p>
    <w:p>
      <w:pPr>
        <w:pStyle w:val="BodyText"/>
      </w:pPr>
      <w:r>
        <w:t xml:space="preserve">Uma distinção importante é que o valor da informação depende de</w:t>
      </w:r>
      <w:r>
        <w:t xml:space="preserve"> </w:t>
      </w:r>
      <w:r>
        <w:rPr>
          <w:i/>
          <w:iCs/>
        </w:rPr>
        <w:t xml:space="preserve">quão</w:t>
      </w:r>
      <w:r>
        <w:t xml:space="preserve"> </w:t>
      </w:r>
      <w:r>
        <w:t xml:space="preserve">boa é a decisão sem ela. Se o agente já escolhe quase otimamente sem a informação adicional, o ganho é pequeno. Se a incerteza é grande e a decisão sem informação é muito sub-ótima, o valor pode ser enorme. Isso sugere que o retorno de investimentos em coleta e processamento de dados é maior em ambientes de alta incerteza — exatamente o caso do agronegócio brasileiro sujeito a variabilidade climática, oscilações cambiais e volatilidade de preços internacionais de commodities.</w:t>
      </w:r>
    </w:p>
    <w:p>
      <w:pPr>
        <w:pStyle w:val="BlockText"/>
      </w:pPr>
      <w:r>
        <w:rPr>
          <w:b/>
          <w:bCs/>
        </w:rPr>
        <w:t xml:space="preserve">[BOX MUNDO] Box Mundo 7.3 — Penetração global de seguros: como a aversão ao risco se traduz em mercados reais</w:t>
      </w:r>
    </w:p>
    <w:p>
      <w:pPr>
        <w:pStyle w:val="BlockText"/>
      </w:pPr>
      <w:r>
        <w:rPr>
          <w:b/>
          <w:bCs/>
        </w:rPr>
        <w:t xml:space="preserve">Contexto:</w:t>
      </w:r>
      <w:r>
        <w:t xml:space="preserve"> </w:t>
      </w:r>
      <w:r>
        <w:t xml:space="preserve">A Seção 7.6.1 demonstrou que um agente avesso ao risco contrata seguro total quando o prêmio é atuarialmente justo, e seguro parcial quando há carregamento positivo. Mas como essas previsões teóricas se manifestam na prática ao redor do mundo? A</w:t>
      </w:r>
      <w:r>
        <w:t xml:space="preserve"> </w:t>
      </w:r>
      <w:r>
        <w:rPr>
          <w:b/>
          <w:bCs/>
        </w:rPr>
        <w:t xml:space="preserve">taxa de penetração de seguros</w:t>
      </w:r>
      <w:r>
        <w:t xml:space="preserve"> </w:t>
      </w:r>
      <w:r>
        <w:t xml:space="preserve">— prêmios totais como proporção do PIB — é a medida-padrão utilizada pela indústria e por reguladores para avaliar o grau em que uma economia utiliza mecanismos formais de transferência de risco. As disparidades internacionais são enormes e revelam como fatores institucionais, culturais e de desenvolvimento econômico modulam a demanda por seguros prevista pelo modelo teórico.</w:t>
      </w:r>
    </w:p>
    <w:p>
      <w:pPr>
        <w:pStyle w:val="BlockText"/>
      </w:pPr>
      <w:r>
        <w:rPr>
          <w:b/>
          <w:bCs/>
        </w:rPr>
        <w:t xml:space="preserve">Dados:</w:t>
      </w:r>
      <w:r>
        <w:t xml:space="preserve"> </w:t>
      </w:r>
      <w:r>
        <w:t xml:space="preserve">O</w:t>
      </w:r>
      <w:r>
        <w:t xml:space="preserve"> </w:t>
      </w:r>
      <w:r>
        <w:rPr>
          <w:i/>
          <w:iCs/>
        </w:rPr>
        <w:t xml:space="preserve">sigma</w:t>
      </w:r>
      <w:r>
        <w:t xml:space="preserve"> </w:t>
      </w:r>
      <w:r>
        <w:t xml:space="preserve">report da Swiss Re (2023) documenta que a penetração global de seguros em 2022 foi de 6,8% do PIB mundial, totalizando US$ 6,8 trilhões em prêmios. Porém, a variação entre países é dramática: o Reino Unido lidera com penetração de 14,5% do PIB, seguido pelos EUA (11,7%), França (9,3%) e Japão (8,2%). Em contraste, países em desenvolvimento apresentam penetração muito inferior: Brasil (3,8%), Índia (4,2%), Nigéria (0,4%) e Bangladesh (0,5%). A penetração em seguros de vida é especialmente baixa na África Subsaariana (média de 0,7% do PIB) e no Sul da Ásia (1,1%), contra 5,0% na Europa Ocidental. Segundo dados da OECD (</w:t>
      </w:r>
      <w:r>
        <w:rPr>
          <w:i/>
          <w:iCs/>
        </w:rPr>
        <w:t xml:space="preserve">Insurance Statistics</w:t>
      </w:r>
      <w:r>
        <w:t xml:space="preserve">, 2023), os gastos com seguros per capita variam de US$ 8.600 nos EUA e US$ 6.200 na Suíça a menos de US$ 20 em países como Paquistão e Mianmar. A Superintendência de Seguros Privados (Susep) reporta que, no Brasil, o seguro de automóvel é o ramo mais contratado (cerca de 30% dos veículos segurados), enquanto o seguro residencial cobre menos de 15% dos domicílios — refletindo tanto a parcela orçamentária do bem quanto a percepção de risco.</w:t>
      </w:r>
    </w:p>
    <w:p>
      <w:pPr>
        <w:pStyle w:val="BlockText"/>
      </w:pPr>
      <w:r>
        <w:rPr>
          <w:b/>
          <w:bCs/>
        </w:rPr>
        <w:t xml:space="preserve">Análise:</w:t>
      </w:r>
      <w:r>
        <w:t xml:space="preserve"> </w:t>
      </w:r>
      <w:r>
        <w:t xml:space="preserve">As disparidades internacionais na penetração de seguros refletem a interação entre os fatores teóricos deste capítulo e as condições institucionais de cada país. Primeiro, a aversão ao risco (Seção 7.3) é necessária mas não suficiente: mesmo em países onde os agentes são avessos ao risco, a ausência de seguradoras com capacidade de</w:t>
      </w:r>
      <w:r>
        <w:t xml:space="preserve"> </w:t>
      </w:r>
      <w:r>
        <w:rPr>
          <w:i/>
          <w:iCs/>
        </w:rPr>
        <w:t xml:space="preserve">pooling</w:t>
      </w:r>
      <w:r>
        <w:t xml:space="preserve">, a falta de dados atuariais confiáveis e os altos custos de transação elevam o carregamento</w:t>
      </w:r>
      <w:r>
        <w:t xml:space="preserve"> </w:t>
      </w:r>
      <m:oMath>
        <m:r>
          <m:t>λ</m:t>
        </m:r>
      </m:oMath>
      <w:r>
        <w:t xml:space="preserve"> </w:t>
      </w:r>
      <w:r>
        <w:t xml:space="preserve">a níveis que tornam o seguro inacessível ou não atrativo — como previsto pela Seção 7.6.1. Segundo, a</w:t>
      </w:r>
      <w:r>
        <w:t xml:space="preserve"> </w:t>
      </w:r>
      <w:r>
        <w:rPr>
          <w:b/>
          <w:bCs/>
        </w:rPr>
        <w:t xml:space="preserve">informação assimétrica</w:t>
      </w:r>
      <w:r>
        <w:t xml:space="preserve"> </w:t>
      </w:r>
      <w:r>
        <w:t xml:space="preserve">(Seção 7.8) — seleção adversa e risco moral — é mais severa em mercados com menor infraestrutura de monitoramento, o que explica por que o seguro agrícola e de saúde é particularmente raro em países em desenvolvimento. Terceiro, a renda per capita é um determinante fundamental: seguros são bens normais, e a elasticidade-renda da demanda por seguros é estimada entre 1,0 e 1,5 pela Swiss Re, indicando que o seguro é um bem de luxo relativo. Essa constatação conecta a teoria da demanda (Capítulo 5) à teoria da incerteza: a participação orçamentária de seguros cresce mais que proporcionalmente com a renda, o que explica a enorme lacuna de proteção (</w:t>
      </w:r>
      <w:r>
        <w:rPr>
          <w:i/>
          <w:iCs/>
        </w:rPr>
        <w:t xml:space="preserve">protection gap</w:t>
      </w:r>
      <w:r>
        <w:t xml:space="preserve">) nos países mais pobres e fundamenta o caso para intervenções públicas como o Proagro no Brasil e os microsseguros indexados discutidos no Box Mundo 7.2.</w:t>
      </w:r>
    </w:p>
    <w:p>
      <w:pPr>
        <w:pStyle w:val="BlockText"/>
      </w:pPr>
      <w:r>
        <w:rPr>
          <w:b/>
          <w:bCs/>
        </w:rPr>
        <w:t xml:space="preserve">Fonte:</w:t>
      </w:r>
      <w:r>
        <w:t xml:space="preserve"> </w:t>
      </w:r>
      <w:r>
        <w:t xml:space="preserve">Swiss Re Institute (2023).</w:t>
      </w:r>
      <w:r>
        <w:t xml:space="preserve"> </w:t>
      </w:r>
      <w:r>
        <w:rPr>
          <w:i/>
          <w:iCs/>
        </w:rPr>
        <w:t xml:space="preserve">sigma No. 3/2023: World insurance: stirring satisfactory resilience amid turbulence</w:t>
      </w:r>
      <w:r>
        <w:t xml:space="preserve">. Zurich: Swiss Re. OECD (2023).</w:t>
      </w:r>
      <w:r>
        <w:t xml:space="preserve"> </w:t>
      </w:r>
      <w:r>
        <w:rPr>
          <w:i/>
          <w:iCs/>
        </w:rPr>
        <w:t xml:space="preserve">Insurance Statistics</w:t>
      </w:r>
      <w:r>
        <w:t xml:space="preserve">. Paris: OECD. Susep — Superintendência de Seguros Privados (2023).</w:t>
      </w:r>
      <w:r>
        <w:t xml:space="preserve"> </w:t>
      </w:r>
      <w:r>
        <w:rPr>
          <w:i/>
          <w:iCs/>
        </w:rPr>
        <w:t xml:space="preserve">Relatório de Análise e Acompanhamento dos Mercados Supervisionados</w:t>
      </w:r>
      <w:r>
        <w:t xml:space="preserve">.</w:t>
      </w:r>
    </w:p>
    <w:p>
      <w:pPr>
        <w:pStyle w:val="BlockText"/>
      </w:pPr>
      <w:r>
        <w:rPr>
          <w:b/>
          <w:bCs/>
        </w:rPr>
        <w:t xml:space="preserve">[BOX MUNDO] Box Mundo 7.2 — Microsseguros em países em desenvolvimento</w:t>
      </w:r>
    </w:p>
    <w:p>
      <w:pPr>
        <w:pStyle w:val="BlockText"/>
      </w:pPr>
      <w:r>
        <w:rPr>
          <w:b/>
          <w:bCs/>
        </w:rPr>
        <w:t xml:space="preserve">Contexto:</w:t>
      </w:r>
      <w:r>
        <w:t xml:space="preserve"> </w:t>
      </w:r>
      <w:r>
        <w:t xml:space="preserve">A teoria dos seguros desenvolvida nesta seção pressupõe mercados de seguros funcionais — seguradoras com capacidade de</w:t>
      </w:r>
      <w:r>
        <w:t xml:space="preserve"> </w:t>
      </w:r>
      <w:r>
        <w:rPr>
          <w:i/>
          <w:iCs/>
        </w:rPr>
        <w:t xml:space="preserve">pooling</w:t>
      </w:r>
      <w:r>
        <w:t xml:space="preserve"> </w:t>
      </w:r>
      <w:r>
        <w:t xml:space="preserve">de riscos, consumidores informados e prêmios atuarialmente justos ou próximos disso. Nos países em desenvolvimento, contudo, centenas de milhões de pequenos agricultores, trabalhadores informais e microempreendedores enfrentam riscos severos (secas, enchentes, doenças, flutuações de preços) sem acesso a seguros tradicionais. O</w:t>
      </w:r>
      <w:r>
        <w:t xml:space="preserve"> </w:t>
      </w:r>
      <w:r>
        <w:rPr>
          <w:b/>
          <w:bCs/>
        </w:rPr>
        <w:t xml:space="preserve">microsseguro</w:t>
      </w:r>
      <w:r>
        <w:t xml:space="preserve"> </w:t>
      </w:r>
      <w:r>
        <w:t xml:space="preserve">— produtos de seguro de baixo custo e cobertura simplificada, desenhados para populações de baixa renda — surgiu como resposta a essa lacuna, e o</w:t>
      </w:r>
      <w:r>
        <w:t xml:space="preserve"> </w:t>
      </w:r>
      <w:r>
        <w:rPr>
          <w:b/>
          <w:bCs/>
        </w:rPr>
        <w:t xml:space="preserve">seguro indexado</w:t>
      </w:r>
      <w:r>
        <w:t xml:space="preserve"> </w:t>
      </w:r>
      <w:r>
        <w:t xml:space="preserve">(</w:t>
      </w:r>
      <w:r>
        <w:rPr>
          <w:i/>
          <w:iCs/>
        </w:rPr>
        <w:t xml:space="preserve">index-based insurance</w:t>
      </w:r>
      <w:r>
        <w:t xml:space="preserve">) representa sua variante mais inovadora.</w:t>
      </w:r>
    </w:p>
    <w:p>
      <w:pPr>
        <w:pStyle w:val="BlockText"/>
      </w:pPr>
      <w:r>
        <w:rPr>
          <w:b/>
          <w:bCs/>
        </w:rPr>
        <w:t xml:space="preserve">Dados:</w:t>
      </w:r>
      <w:r>
        <w:t xml:space="preserve"> </w:t>
      </w:r>
      <w:r>
        <w:t xml:space="preserve">Na Índia, a ICICI Lombard lançou em 2003, em parceria com o Banco Mundial, um dos primeiros programas de seguro indexado climático em larga escala: o produto pagava indenizações automaticamente quando a precipitação pluviométrica medida por estações meteorológicas caía abaixo de um limiar pré-definido, eliminando a necessidade de vistoria individual. Cole et al. (2013,</w:t>
      </w:r>
      <w:r>
        <w:t xml:space="preserve"> </w:t>
      </w:r>
      <w:r>
        <w:rPr>
          <w:i/>
          <w:iCs/>
        </w:rPr>
        <w:t xml:space="preserve">Quarterly Journal of Economics</w:t>
      </w:r>
      <w:r>
        <w:t xml:space="preserve">) estudaram a adoção desse seguro em Gujarat e Andhra Pradesh e encontraram que a demanda é altamente sensível ao preço, à liquidez dos agricultores e à confiança na seguradora — mas também que a simples provisão de informação financeira eleva substancialmente a adesão. Nas Filipinas, Karlan et al. (2014) mostraram que o acesso a seguro indexado contra tufões induziu agricultores a investir em culturas de maior retorno (e maior risco), elevando a renda esperada em 16%. Na África Subsaariana, o programa</w:t>
      </w:r>
      <w:r>
        <w:t xml:space="preserve"> </w:t>
      </w:r>
      <w:r>
        <w:rPr>
          <w:i/>
          <w:iCs/>
        </w:rPr>
        <w:t xml:space="preserve">R4 Rural Resilience Initiative</w:t>
      </w:r>
      <w:r>
        <w:t xml:space="preserve"> </w:t>
      </w:r>
      <w:r>
        <w:t xml:space="preserve">do Programa Mundial de Alimentos cobria, até 2022, mais de 90.000 agricultores em Etiópia, Senegal, Malaui e Zâmbia com seguros indexados vinculados a programas de trabalho comunitário.</w:t>
      </w:r>
    </w:p>
    <w:p>
      <w:pPr>
        <w:pStyle w:val="BlockText"/>
      </w:pPr>
      <w:r>
        <w:rPr>
          <w:b/>
          <w:bCs/>
        </w:rPr>
        <w:t xml:space="preserve">Análise:</w:t>
      </w:r>
      <w:r>
        <w:t xml:space="preserve"> </w:t>
      </w:r>
      <w:r>
        <w:t xml:space="preserve">O seguro indexado resolve parcialmente dois problemas clássicos da informação assimétrica que veremos na Seção 7.8: o</w:t>
      </w:r>
      <w:r>
        <w:t xml:space="preserve"> </w:t>
      </w:r>
      <w:r>
        <w:rPr>
          <w:b/>
          <w:bCs/>
        </w:rPr>
        <w:t xml:space="preserve">risco moral</w:t>
      </w:r>
      <w:r>
        <w:t xml:space="preserve"> </w:t>
      </w:r>
      <w:r>
        <w:t xml:space="preserve">(o agricultor segurado não reduz esforço porque a indenização depende do índice climático, não da colheita individual) e a</w:t>
      </w:r>
      <w:r>
        <w:t xml:space="preserve"> </w:t>
      </w:r>
      <w:r>
        <w:rPr>
          <w:b/>
          <w:bCs/>
        </w:rPr>
        <w:t xml:space="preserve">seleção adversa</w:t>
      </w:r>
      <w:r>
        <w:t xml:space="preserve"> </w:t>
      </w:r>
      <w:r>
        <w:t xml:space="preserve">(o preço é baseado em dados meteorológicos observáveis, não em informação privada do segurado). Porém, introduz um novo problema — o</w:t>
      </w:r>
      <w:r>
        <w:t xml:space="preserve"> </w:t>
      </w:r>
      <w:r>
        <w:rPr>
          <w:b/>
          <w:bCs/>
        </w:rPr>
        <w:t xml:space="preserve">risco de base</w:t>
      </w:r>
      <w:r>
        <w:t xml:space="preserve"> </w:t>
      </w:r>
      <w:r>
        <w:t xml:space="preserve">(</w:t>
      </w:r>
      <w:r>
        <w:rPr>
          <w:i/>
          <w:iCs/>
        </w:rPr>
        <w:t xml:space="preserve">basis risk</w:t>
      </w:r>
      <w:r>
        <w:t xml:space="preserve">): a discrepância entre a perda real do agricultor e o que o índice climático indica. Se chove pouco na estação meteorológica, mas o suficiente na fazenda específica do segurado, ele recebe uma indenização desnecessária; na situação inversa, sofre perda sem cobertura. A persistência de baixas taxas de adesão em muitos programas de microsseguro — tipicamente entre 5% e 30% da população elegível — sugere que risco de base, desconfiança institucional e restrições de liquidez são barreiras tão importantes quanto o nível do prêmio.</w:t>
      </w:r>
    </w:p>
    <w:p>
      <w:pPr>
        <w:pStyle w:val="BlockText"/>
      </w:pPr>
      <w:r>
        <w:rPr>
          <w:b/>
          <w:bCs/>
        </w:rPr>
        <w:t xml:space="preserve">Fonte:</w:t>
      </w:r>
      <w:r>
        <w:t xml:space="preserve"> </w:t>
      </w:r>
      <w:r>
        <w:t xml:space="preserve">Cole, S.; Giné, X.; Tobacman, J.; Topalova, P.; Townsend, R.; Vickery, J. (2013).</w:t>
      </w:r>
      <w:r>
        <w:t xml:space="preserve"> </w:t>
      </w:r>
      <w:r>
        <w:t xml:space="preserve">“Barriers to Household Risk Management: Evidence from India.”</w:t>
      </w:r>
      <w:r>
        <w:t xml:space="preserve"> </w:t>
      </w:r>
      <w:r>
        <w:rPr>
          <w:i/>
          <w:iCs/>
        </w:rPr>
        <w:t xml:space="preserve">American Economic Journal: Applied Economics</w:t>
      </w:r>
      <w:r>
        <w:t xml:space="preserve">, 5(1), 104–135. Karlan, D.; Osei, R.; Osei-Akoto, I.; Udry, C. (2014).</w:t>
      </w:r>
      <w:r>
        <w:t xml:space="preserve"> </w:t>
      </w:r>
      <w:r>
        <w:t xml:space="preserve">“Agricultural Decisions after Relaxing Credit and Risk Constraints.”</w:t>
      </w:r>
      <w:r>
        <w:t xml:space="preserve"> </w:t>
      </w:r>
      <w:r>
        <w:rPr>
          <w:i/>
          <w:iCs/>
        </w:rPr>
        <w:t xml:space="preserve">Quarterly Journal of Economics</w:t>
      </w:r>
      <w:r>
        <w:t xml:space="preserve">, 129(2), 597–652. World Food Programme (2022).</w:t>
      </w:r>
      <w:r>
        <w:t xml:space="preserve"> </w:t>
      </w:r>
      <w:r>
        <w:rPr>
          <w:i/>
          <w:iCs/>
        </w:rPr>
        <w:t xml:space="preserve">R4 Rural Resilience Initiative Annual Report</w:t>
      </w:r>
      <w:r>
        <w:t xml:space="preserve">.</w:t>
      </w:r>
    </w:p>
    <w:bookmarkEnd w:id="338"/>
    <w:bookmarkEnd w:id="339"/>
    <w:bookmarkStart w:id="348" w:name="X9eaf846b37ad60abe236444063e0988d4ed61ae"/>
    <w:p>
      <w:pPr>
        <w:pStyle w:val="Heading2"/>
      </w:pPr>
      <w:r>
        <w:t xml:space="preserve">7.7–7.8 Estado-Preferência e Informação Assimétrica</w:t>
      </w:r>
    </w:p>
    <w:bookmarkStart w:id="341" w:name="X59f32eeabe763cd9ed96692680dd92310dba51c"/>
    <w:p>
      <w:pPr>
        <w:pStyle w:val="Heading3"/>
      </w:pPr>
      <w:r>
        <w:t xml:space="preserve">7.7 Universos Paralelos no Mercado: A Abordagem Estado-Preferência</w:t>
      </w:r>
    </w:p>
    <w:p>
      <w:pPr>
        <w:pStyle w:val="FirstParagraph"/>
      </w:pPr>
      <w:r>
        <w:rPr>
          <w:i/>
          <w:iCs/>
        </w:rPr>
        <w:t xml:space="preserve">And now for something completely different — ou melhor, completely determinístico.</w:t>
      </w:r>
      <w:r>
        <w:rPr>
          <w:rStyle w:val="FootnoteReference"/>
        </w:rPr>
        <w:footnoteReference w:id="340"/>
      </w:r>
    </w:p>
    <w:p>
      <w:pPr>
        <w:pStyle w:val="BodyText"/>
      </w:pPr>
      <w:r>
        <w:t xml:space="preserve">Até aqui, abordamos a incerteza pelo lado do agente individual: como ele avalia loterias, quão avesso ao risco ele é, quanto pagaria por um seguro. Mas existe uma perspectiva complementar e igualmente poderosa, que reconecta a teoria da incerteza à teoria do consumidor que já conhecemos dos capítulos anteriores. Em vez de pensar em</w:t>
      </w:r>
      <w:r>
        <w:t xml:space="preserve"> </w:t>
      </w:r>
      <w:r>
        <w:t xml:space="preserve">“loterias”</w:t>
      </w:r>
      <w:r>
        <w:t xml:space="preserve">, podemos pensar em</w:t>
      </w:r>
      <w:r>
        <w:t xml:space="preserve"> </w:t>
      </w:r>
      <w:r>
        <w:t xml:space="preserve">“bens contingentes”</w:t>
      </w:r>
      <w:r>
        <w:t xml:space="preserve"> </w:t>
      </w:r>
      <w:r>
        <w:t xml:space="preserve">— bens que existem condicionalmente à ocorrência de determinados estados do mundo. Essa reformulação, devida a Arrow e Debreu, revela uma elegância profunda: escolher sob incerteza é, no fundo, escolher um cesto de consumo, exatamente como no problema do consumidor determinístico.</w:t>
      </w:r>
    </w:p>
    <w:p>
      <w:pPr>
        <w:pStyle w:val="BodyText"/>
      </w:pPr>
      <w:r>
        <w:t xml:space="preserve">E se pudéssemos tratar a incerteza como… mais um problema de consumidor? A ideia — genial na sua simplicidade — é imaginar que existem</w:t>
      </w:r>
      <w:r>
        <w:t xml:space="preserve"> </w:t>
      </w:r>
      <w:r>
        <w:t xml:space="preserve">“bens”</w:t>
      </w:r>
      <w:r>
        <w:t xml:space="preserve"> </w:t>
      </w:r>
      <w:r>
        <w:t xml:space="preserve">especiais: um</w:t>
      </w:r>
      <w:r>
        <w:t xml:space="preserve"> </w:t>
      </w:r>
      <w:r>
        <w:t xml:space="preserve">“guarda-chuva”</w:t>
      </w:r>
      <w:r>
        <w:t xml:space="preserve"> </w:t>
      </w:r>
      <w:r>
        <w:t xml:space="preserve">que só entrega valor se chover, um</w:t>
      </w:r>
      <w:r>
        <w:t xml:space="preserve"> </w:t>
      </w:r>
      <w:r>
        <w:t xml:space="preserve">“protetor solar”</w:t>
      </w:r>
      <w:r>
        <w:t xml:space="preserve"> </w:t>
      </w:r>
      <w:r>
        <w:t xml:space="preserve">que só serve se fizer sol. Esses</w:t>
      </w:r>
      <w:r>
        <w:t xml:space="preserve"> </w:t>
      </w:r>
      <w:r>
        <w:rPr>
          <w:b/>
          <w:bCs/>
        </w:rPr>
        <w:t xml:space="preserve">ativos contingentes</w:t>
      </w:r>
      <w:r>
        <w:t xml:space="preserve"> </w:t>
      </w:r>
      <w:r>
        <w:t xml:space="preserve">transformam a escolha sob incerteza em uma escolha entre cestas — exatamente como nos Capítulos 3-4, mas agora as</w:t>
      </w:r>
      <w:r>
        <w:t xml:space="preserve"> </w:t>
      </w:r>
      <w:r>
        <w:t xml:space="preserve">“mercadorias”</w:t>
      </w:r>
      <w:r>
        <w:t xml:space="preserve"> </w:t>
      </w:r>
      <w:r>
        <w:t xml:space="preserve">são pagamentos condicionais a estados do mundo.</w:t>
      </w:r>
    </w:p>
    <w:p>
      <w:pPr>
        <w:pStyle w:val="BlockText"/>
      </w:pPr>
      <w:r>
        <w:rPr>
          <w:b/>
          <w:bCs/>
        </w:rPr>
        <w:t xml:space="preserve">[DEFINICAO] Espaço de estados e ativos contingentes</w:t>
      </w:r>
    </w:p>
    <w:p>
      <w:pPr>
        <w:pStyle w:val="Compact"/>
        <w:numPr>
          <w:ilvl w:val="0"/>
          <w:numId w:val="1333"/>
        </w:numPr>
      </w:pPr>
      <w:r>
        <w:t xml:space="preserve">Um</w:t>
      </w:r>
      <w:r>
        <w:t xml:space="preserve"> </w:t>
      </w:r>
      <w:r>
        <w:rPr>
          <w:b/>
          <w:bCs/>
        </w:rPr>
        <w:t xml:space="preserve">estado da natureza</w:t>
      </w:r>
      <w:r>
        <w:t xml:space="preserve"> </w:t>
      </w:r>
      <m:oMath>
        <m:r>
          <m:t>s</m:t>
        </m:r>
        <m:r>
          <m:rPr>
            <m:sty m:val="p"/>
          </m:rPr>
          <m:t>∈</m:t>
        </m:r>
        <m:r>
          <m:t>S</m:t>
        </m:r>
        <m:r>
          <m:rPr>
            <m:sty m:val="p"/>
          </m:rPr>
          <m:t>=</m:t>
        </m:r>
        <m:r>
          <m:rPr>
            <m:sty m:val="p"/>
          </m:rPr>
          <m:t>{</m:t>
        </m:r>
        <m:r>
          <m:t>1</m:t>
        </m:r>
        <m:r>
          <m:rPr>
            <m:sty m:val="p"/>
          </m:rPr>
          <m:t>,</m:t>
        </m:r>
        <m:r>
          <m:t>2</m:t>
        </m:r>
        <m:r>
          <m:rPr>
            <m:sty m:val="p"/>
          </m:rPr>
          <m:t>,</m:t>
        </m:r>
        <m:r>
          <m:rPr>
            <m:sty m:val="p"/>
          </m:rPr>
          <m:t>…</m:t>
        </m:r>
        <m:r>
          <m:rPr>
            <m:sty m:val="p"/>
          </m:rPr>
          <m:t>,</m:t>
        </m:r>
        <m:r>
          <m:t>S</m:t>
        </m:r>
        <m:r>
          <m:rPr>
            <m:sty m:val="p"/>
          </m:rPr>
          <m:t>}</m:t>
        </m:r>
      </m:oMath>
      <w:r>
        <w:t xml:space="preserve"> </w:t>
      </w:r>
      <w:r>
        <w:t xml:space="preserve">descreve uma configuração completa e mutuamente exclusiva do mundo.</w:t>
      </w:r>
    </w:p>
    <w:p>
      <w:pPr>
        <w:pStyle w:val="Compact"/>
        <w:numPr>
          <w:ilvl w:val="0"/>
          <w:numId w:val="1333"/>
        </w:numPr>
      </w:pPr>
      <w:r>
        <w:t xml:space="preserve">Um</w:t>
      </w:r>
      <w:r>
        <w:t xml:space="preserve"> </w:t>
      </w:r>
      <w:r>
        <w:rPr>
          <w:b/>
          <w:bCs/>
        </w:rPr>
        <w:t xml:space="preserve">ativo contingente ao estado</w:t>
      </w:r>
      <w:r>
        <w:rPr>
          <w:b/>
          <w:bCs/>
        </w:rPr>
        <w:t xml:space="preserve"> </w:t>
      </w:r>
      <m:oMath>
        <m:r>
          <m:t>s</m:t>
        </m:r>
      </m:oMath>
      <w:r>
        <w:t xml:space="preserve"> </w:t>
      </w:r>
      <w:r>
        <w:t xml:space="preserve">(ou ativo de Arrow-Debreu) paga 1 unidade monetária se o estado</w:t>
      </w:r>
      <w:r>
        <w:t xml:space="preserve"> </w:t>
      </w:r>
      <m:oMath>
        <m:r>
          <m:t>s</m:t>
        </m:r>
      </m:oMath>
      <w:r>
        <w:t xml:space="preserve"> </w:t>
      </w:r>
      <w:r>
        <w:t xml:space="preserve">ocorre e 0 caso contrário.</w:t>
      </w:r>
    </w:p>
    <w:p>
      <w:pPr>
        <w:pStyle w:val="Compact"/>
        <w:numPr>
          <w:ilvl w:val="0"/>
          <w:numId w:val="1333"/>
        </w:numPr>
      </w:pPr>
      <w:r>
        <w:t xml:space="preserve">O preço de um ativo contingente ao estado</w:t>
      </w:r>
      <w:r>
        <w:t xml:space="preserve"> </w:t>
      </w:r>
      <m:oMath>
        <m:r>
          <m:t>s</m:t>
        </m:r>
      </m:oMath>
      <w:r>
        <w:t xml:space="preserve"> </w:t>
      </w:r>
      <w:r>
        <w:t xml:space="preserve">é denotado por</w:t>
      </w:r>
      <w:r>
        <w:t xml:space="preserve"> </w:t>
      </w:r>
      <m:oMath>
        <m:sSub>
          <m:e>
            <m:r>
              <m:t>ψ</m:t>
            </m:r>
          </m:e>
          <m:sub>
            <m:r>
              <m:t>s</m:t>
            </m:r>
          </m:sub>
        </m:sSub>
      </m:oMath>
      <w:r>
        <w:t xml:space="preserve">.</w:t>
      </w:r>
    </w:p>
    <w:p>
      <w:pPr>
        <w:pStyle w:val="FirstParagraph"/>
      </w:pPr>
      <w:r>
        <w:t xml:space="preserve">Nessa estrutura, o consumo contingente do agente é um vetor</w:t>
      </w:r>
      <w:r>
        <w:t xml:space="preserve"> </w:t>
      </w:r>
      <m:oMath>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S</m:t>
            </m:r>
          </m:sub>
        </m:sSub>
        <m:r>
          <m:rPr>
            <m:sty m:val="p"/>
          </m:rPr>
          <m:t>)</m:t>
        </m:r>
      </m:oMath>
      <w:r>
        <w:t xml:space="preserve">, e o problema de escolha sob incerteza é reduzido a um problema de escolha do consumidor padrão, com a restrição orçamentária:</w:t>
      </w:r>
    </w:p>
    <w:p>
      <w:pPr>
        <w:pStyle w:val="BodyText"/>
      </w:pPr>
      <m:oMathPara>
        <m:oMathParaPr>
          <m:jc m:val="center"/>
        </m:oMathParaPr>
        <m:oMath>
          <m:nary>
            <m:naryPr>
              <m:chr m:val="∑"/>
              <m:limLoc m:val="undOvr"/>
              <m:subHide m:val="off"/>
              <m:supHide m:val="off"/>
            </m:naryPr>
            <m:sub>
              <m:r>
                <m:t>s</m:t>
              </m:r>
              <m:r>
                <m:rPr>
                  <m:sty m:val="p"/>
                </m:rPr>
                <m:t>=</m:t>
              </m:r>
              <m:r>
                <m:t>1</m:t>
              </m:r>
            </m:sub>
            <m:sup>
              <m:r>
                <m:t>S</m:t>
              </m:r>
            </m:sup>
            <m:e>
              <m:sSub>
                <m:e>
                  <m:r>
                    <m:t>ψ</m:t>
                  </m:r>
                </m:e>
                <m:sub>
                  <m:r>
                    <m:t>s</m:t>
                  </m:r>
                </m:sub>
              </m:sSub>
            </m:e>
          </m:nary>
          <m:r>
            <m:t> </m:t>
          </m:r>
          <m:sSub>
            <m:e>
              <m:r>
                <m:t>c</m:t>
              </m:r>
            </m:e>
            <m:sub>
              <m:r>
                <m:t>s</m:t>
              </m:r>
            </m:sub>
          </m:sSub>
          <m:r>
            <m:rPr>
              <m:sty m:val="p"/>
            </m:rPr>
            <m:t>=</m:t>
          </m:r>
          <m:r>
            <m:t>W</m:t>
          </m:r>
        </m:oMath>
      </m:oMathPara>
    </w:p>
    <w:p>
      <w:pPr>
        <w:pStyle w:val="FirstParagraph"/>
      </w:pPr>
      <w:r>
        <w:t xml:space="preserve">e a função objetivo:</w:t>
      </w:r>
    </w:p>
    <w:p>
      <w:pPr>
        <w:pStyle w:val="BodyText"/>
      </w:pPr>
      <m:oMathPara>
        <m:oMathParaPr>
          <m:jc m:val="center"/>
        </m:oMathParaPr>
        <m:oMath>
          <m:limLow>
            <m:e>
              <m:r>
                <m:rPr>
                  <m:sty m:val="p"/>
                </m:rPr>
                <m:t>max</m:t>
              </m:r>
            </m:e>
            <m:lim>
              <m:r>
                <m:rPr>
                  <m:sty m:val="p"/>
                </m:rPr>
                <m:t>(</m:t>
              </m:r>
              <m:sSub>
                <m:e>
                  <m:r>
                    <m:t>c</m:t>
                  </m:r>
                </m:e>
                <m:sub>
                  <m:r>
                    <m:t>1</m:t>
                  </m:r>
                </m:sub>
              </m:sSub>
              <m:r>
                <m:rPr>
                  <m:sty m:val="p"/>
                </m:rPr>
                <m:t>,</m:t>
              </m:r>
              <m:r>
                <m:rPr>
                  <m:sty m:val="p"/>
                </m:rPr>
                <m:t>…</m:t>
              </m:r>
              <m:r>
                <m:rPr>
                  <m:sty m:val="p"/>
                </m:rPr>
                <m:t>,</m:t>
              </m:r>
              <m:sSub>
                <m:e>
                  <m:r>
                    <m:t>c</m:t>
                  </m:r>
                </m:e>
                <m:sub>
                  <m:r>
                    <m:t>S</m:t>
                  </m:r>
                </m:sub>
              </m:sSub>
              <m:r>
                <m:rPr>
                  <m:sty m:val="p"/>
                </m:rPr>
                <m:t>)</m:t>
              </m:r>
            </m:lim>
          </m:limLow>
          <m:nary>
            <m:naryPr>
              <m:chr m:val="∑"/>
              <m:limLoc m:val="undOvr"/>
              <m:subHide m:val="off"/>
              <m:supHide m:val="off"/>
            </m:naryPr>
            <m:sub>
              <m:r>
                <m:t>s</m:t>
              </m:r>
              <m:r>
                <m:rPr>
                  <m:sty m:val="p"/>
                </m:rPr>
                <m:t>=</m:t>
              </m:r>
              <m:r>
                <m:t>1</m:t>
              </m:r>
            </m:sub>
            <m:sup>
              <m:r>
                <m:t>S</m:t>
              </m:r>
            </m:sup>
            <m:e>
              <m:sSub>
                <m:e>
                  <m:r>
                    <m:t>π</m:t>
                  </m:r>
                </m:e>
                <m:sub>
                  <m:r>
                    <m:t>s</m:t>
                  </m:r>
                </m:sub>
              </m:sSub>
            </m:e>
          </m:nary>
          <m:r>
            <m:t> </m:t>
          </m:r>
          <m:r>
            <m:t>u</m:t>
          </m:r>
          <m:r>
            <m:rPr>
              <m:sty m:val="p"/>
            </m:rPr>
            <m:t>(</m:t>
          </m:r>
          <m:sSub>
            <m:e>
              <m:r>
                <m:t>c</m:t>
              </m:r>
            </m:e>
            <m:sub>
              <m:r>
                <m:t>s</m:t>
              </m:r>
            </m:sub>
          </m:sSub>
          <m:r>
            <m:rPr>
              <m:sty m:val="p"/>
            </m:rPr>
            <m:t>)</m:t>
          </m:r>
        </m:oMath>
      </m:oMathPara>
    </w:p>
    <w:p>
      <w:pPr>
        <w:pStyle w:val="FirstParagraph"/>
      </w:pPr>
      <w:r>
        <w:t xml:space="preserve">onde</w:t>
      </w:r>
      <w:r>
        <w:t xml:space="preserve"> </w:t>
      </w:r>
      <m:oMath>
        <m:sSub>
          <m:e>
            <m:r>
              <m:t>π</m:t>
            </m:r>
          </m:e>
          <m:sub>
            <m:r>
              <m:t>s</m:t>
            </m:r>
          </m:sub>
        </m:sSub>
      </m:oMath>
      <w:r>
        <w:t xml:space="preserve"> </w:t>
      </w:r>
      <w:r>
        <w:t xml:space="preserve">é a probabilidade do estado</w:t>
      </w:r>
      <w:r>
        <w:t xml:space="preserve"> </w:t>
      </w:r>
      <m:oMath>
        <m:r>
          <m:t>s</m:t>
        </m:r>
      </m:oMath>
      <w:r>
        <w:t xml:space="preserve">.</w:t>
      </w:r>
    </w:p>
    <w:p>
      <w:pPr>
        <w:pStyle w:val="BodyText"/>
      </w:pPr>
      <w:r>
        <w:t xml:space="preserve">A condição de primeira ordem implica:</w:t>
      </w:r>
    </w:p>
    <w:p>
      <w:pPr>
        <w:pStyle w:val="BodyText"/>
      </w:pPr>
      <m:oMathPara>
        <m:oMathParaPr>
          <m:jc m:val="center"/>
        </m:oMathParaPr>
        <m:oMath>
          <m:f>
            <m:fPr>
              <m:type m:val="bar"/>
            </m:fPr>
            <m:num>
              <m:sSub>
                <m:e>
                  <m:r>
                    <m:t>π</m:t>
                  </m:r>
                </m:e>
                <m:sub>
                  <m:r>
                    <m:t>s</m:t>
                  </m:r>
                </m:sub>
              </m:sSub>
              <m:r>
                <m:t> </m:t>
              </m:r>
              <m:sSup>
                <m:e>
                  <m:r>
                    <m:t>u</m:t>
                  </m:r>
                </m:e>
                <m:sup>
                  <m:r>
                    <m:rPr>
                      <m:sty m:val="p"/>
                    </m:rPr>
                    <m:t>′</m:t>
                  </m:r>
                </m:sup>
              </m:sSup>
              <m:r>
                <m:rPr>
                  <m:sty m:val="p"/>
                </m:rPr>
                <m:t>(</m:t>
              </m:r>
              <m:sSub>
                <m:e>
                  <m:r>
                    <m:t>c</m:t>
                  </m:r>
                </m:e>
                <m:sub>
                  <m:r>
                    <m:t>s</m:t>
                  </m:r>
                </m:sub>
              </m:sSub>
              <m:r>
                <m:rPr>
                  <m:sty m:val="p"/>
                </m:rPr>
                <m:t>)</m:t>
              </m:r>
            </m:num>
            <m:den>
              <m:sSub>
                <m:e>
                  <m:r>
                    <m:t>π</m:t>
                  </m:r>
                </m:e>
                <m:sub>
                  <m:sSup>
                    <m:e>
                      <m:r>
                        <m:t>s</m:t>
                      </m:r>
                    </m:e>
                    <m:sup>
                      <m:r>
                        <m:rPr>
                          <m:sty m:val="p"/>
                        </m:rPr>
                        <m:t>′</m:t>
                      </m:r>
                    </m:sup>
                  </m:sSup>
                </m:sub>
              </m:sSub>
              <m:r>
                <m:t> </m:t>
              </m:r>
              <m:sSup>
                <m:e>
                  <m:r>
                    <m:t>u</m:t>
                  </m:r>
                </m:e>
                <m:sup>
                  <m:r>
                    <m:rPr>
                      <m:sty m:val="p"/>
                    </m:rPr>
                    <m:t>′</m:t>
                  </m:r>
                </m:sup>
              </m:sSup>
              <m:r>
                <m:rPr>
                  <m:sty m:val="p"/>
                </m:rPr>
                <m:t>(</m:t>
              </m:r>
              <m:sSub>
                <m:e>
                  <m:r>
                    <m:t>c</m:t>
                  </m:r>
                </m:e>
                <m:sub>
                  <m:sSup>
                    <m:e>
                      <m:r>
                        <m:t>s</m:t>
                      </m:r>
                    </m:e>
                    <m:sup>
                      <m:r>
                        <m:rPr>
                          <m:sty m:val="p"/>
                        </m:rPr>
                        <m:t>′</m:t>
                      </m:r>
                    </m:sup>
                  </m:sSup>
                </m:sub>
              </m:sSub>
              <m:r>
                <m:rPr>
                  <m:sty m:val="p"/>
                </m:rPr>
                <m:t>)</m:t>
              </m:r>
            </m:den>
          </m:f>
          <m:r>
            <m:rPr>
              <m:sty m:val="p"/>
            </m:rPr>
            <m:t>=</m:t>
          </m:r>
          <m:f>
            <m:fPr>
              <m:type m:val="bar"/>
            </m:fPr>
            <m:num>
              <m:sSub>
                <m:e>
                  <m:r>
                    <m:t>ψ</m:t>
                  </m:r>
                </m:e>
                <m:sub>
                  <m:r>
                    <m:t>s</m:t>
                  </m:r>
                </m:sub>
              </m:sSub>
            </m:num>
            <m:den>
              <m:sSub>
                <m:e>
                  <m:r>
                    <m:t>ψ</m:t>
                  </m:r>
                </m:e>
                <m:sub>
                  <m:sSup>
                    <m:e>
                      <m:r>
                        <m:t>s</m:t>
                      </m:r>
                    </m:e>
                    <m:sup>
                      <m:r>
                        <m:rPr>
                          <m:sty m:val="p"/>
                        </m:rPr>
                        <m:t>′</m:t>
                      </m:r>
                    </m:sup>
                  </m:sSup>
                </m:sub>
              </m:sSub>
            </m:den>
          </m:f>
          <m:r>
            <m:t> </m:t>
          </m:r>
          <m:r>
            <m:rPr>
              <m:sty m:val="p"/>
            </m:rPr>
            <m:t>∀</m:t>
          </m:r>
          <m:r>
            <m:t> </m:t>
          </m:r>
          <m:r>
            <m:t>s</m:t>
          </m:r>
          <m:r>
            <m:rPr>
              <m:sty m:val="p"/>
            </m:rPr>
            <m:t>,</m:t>
          </m:r>
          <m:sSup>
            <m:e>
              <m:r>
                <m:t>s</m:t>
              </m:r>
            </m:e>
            <m:sup>
              <m:r>
                <m:rPr>
                  <m:sty m:val="p"/>
                </m:rPr>
                <m:t>′</m:t>
              </m:r>
            </m:sup>
          </m:sSup>
        </m:oMath>
      </m:oMathPara>
    </w:p>
    <w:p>
      <w:pPr>
        <w:pStyle w:val="FirstParagraph"/>
      </w:pPr>
      <w:r>
        <w:t xml:space="preserve">Se os mercados de ativos contingentes são</w:t>
      </w:r>
      <w:r>
        <w:t xml:space="preserve"> </w:t>
      </w:r>
      <w:r>
        <w:rPr>
          <w:b/>
          <w:bCs/>
        </w:rPr>
        <w:t xml:space="preserve">completos</w:t>
      </w:r>
      <w:r>
        <w:t xml:space="preserve"> </w:t>
      </w:r>
      <w:r>
        <w:t xml:space="preserve">(existe um ativo para cada estado), todo risco pode ser alocado eficientemente. Se, adicionalmente, o agente é avesso ao risco e os preços são atuarialmente justos (</w:t>
      </w:r>
      <m:oMath>
        <m:sSub>
          <m:e>
            <m:r>
              <m:t>ψ</m:t>
            </m:r>
          </m:e>
          <m:sub>
            <m:r>
              <m:t>s</m:t>
            </m:r>
          </m:sub>
        </m:sSub>
        <m:r>
          <m:rPr>
            <m:sty m:val="p"/>
          </m:rPr>
          <m:t>=</m:t>
        </m:r>
        <m:sSub>
          <m:e>
            <m:r>
              <m:t>π</m:t>
            </m:r>
          </m:e>
          <m:sub>
            <m:r>
              <m:t>s</m:t>
            </m:r>
          </m:sub>
        </m:sSub>
      </m:oMath>
      <w:r>
        <w:t xml:space="preserve"> </w:t>
      </w:r>
      <w:r>
        <w:t xml:space="preserve">para todo</w:t>
      </w:r>
      <w:r>
        <w:t xml:space="preserve"> </w:t>
      </w:r>
      <m:oMath>
        <m:r>
          <m:t>s</m:t>
        </m:r>
      </m:oMath>
      <w:r>
        <w:t xml:space="preserve">), a solução ótima é</w:t>
      </w:r>
      <w:r>
        <w:t xml:space="preserve"> </w:t>
      </w:r>
      <m:oMath>
        <m:sSub>
          <m:e>
            <m:r>
              <m:t>c</m:t>
            </m:r>
          </m:e>
          <m:sub>
            <m:r>
              <m:t>s</m:t>
            </m:r>
          </m:sub>
        </m:sSub>
        <m:r>
          <m:rPr>
            <m:sty m:val="p"/>
          </m:rPr>
          <m:t>=</m:t>
        </m:r>
        <m:sSub>
          <m:e>
            <m:r>
              <m:t>c</m:t>
            </m:r>
          </m:e>
          <m:sub>
            <m:sSup>
              <m:e>
                <m:r>
                  <m:t>s</m:t>
                </m:r>
              </m:e>
              <m:sup>
                <m:r>
                  <m:rPr>
                    <m:sty m:val="p"/>
                  </m:rPr>
                  <m:t>′</m:t>
                </m:r>
              </m:sup>
            </m:sSup>
          </m:sub>
        </m:sSub>
      </m:oMath>
      <w:r>
        <w:t xml:space="preserve"> </w:t>
      </w:r>
      <w:r>
        <w:t xml:space="preserve">para todo</w:t>
      </w:r>
      <w:r>
        <w:t xml:space="preserve"> </w:t>
      </w:r>
      <m:oMath>
        <m:r>
          <m:t>s</m:t>
        </m:r>
        <m:r>
          <m:rPr>
            <m:sty m:val="p"/>
          </m:rPr>
          <m:t>,</m:t>
        </m:r>
        <m:sSup>
          <m:e>
            <m:r>
              <m:t>s</m:t>
            </m:r>
          </m:e>
          <m:sup>
            <m:r>
              <m:rPr>
                <m:sty m:val="p"/>
              </m:rPr>
              <m:t>′</m:t>
            </m:r>
          </m:sup>
        </m:sSup>
      </m:oMath>
      <w:r>
        <w:t xml:space="preserve"> </w:t>
      </w:r>
      <w:r>
        <w:t xml:space="preserve">— ou seja,</w:t>
      </w:r>
      <w:r>
        <w:t xml:space="preserve"> </w:t>
      </w:r>
      <w:r>
        <w:rPr>
          <w:b/>
          <w:bCs/>
        </w:rPr>
        <w:t xml:space="preserve">consumo perfeitamente suavizado</w:t>
      </w:r>
      <w:r>
        <w:t xml:space="preserve"> </w:t>
      </w:r>
      <w:r>
        <w:t xml:space="preserve">entre estados. Esse resultado é a contrapartida, no espaço de estados, do resultado que vimos na Seção 7.6.1: assim como o agente avesso ao risco contrata cobertura total quando o prêmio é justo, ele equaliza o consumo entre todos os estados quando os preços dos ativos contingentes são atuarialmente justos. Em ambos os casos, a aversão ao risco conduz à eliminação completa da incerteza sempre que isso pode ser feito sem custo.</w:t>
      </w:r>
    </w:p>
    <w:p>
      <w:pPr>
        <w:pStyle w:val="BlockText"/>
      </w:pPr>
      <w:r>
        <w:rPr>
          <w:b/>
          <w:bCs/>
        </w:rPr>
        <w:t xml:space="preserve">[INTUICAO ECONOMICA] Intuição Econômica</w:t>
      </w:r>
    </w:p>
    <w:p>
      <w:pPr>
        <w:pStyle w:val="BlockText"/>
      </w:pPr>
      <w:r>
        <w:rPr>
          <w:b/>
          <w:bCs/>
        </w:rPr>
        <w:t xml:space="preserve">Comprar seguro é comprar um ativo contingente ao estado ruim.</w:t>
      </w:r>
    </w:p>
    <w:p>
      <w:pPr>
        <w:pStyle w:val="BlockText"/>
      </w:pPr>
      <w:r>
        <w:t xml:space="preserve">A abordagem estado-preferência oferece uma perspectiva radicalmente diferente — e mais geral — da abordagem probabilística. Em vez de pensar em</w:t>
      </w:r>
      <w:r>
        <w:t xml:space="preserve"> </w:t>
      </w:r>
      <w:r>
        <w:t xml:space="preserve">“loterias”</w:t>
      </w:r>
      <w:r>
        <w:t xml:space="preserve"> </w:t>
      </w:r>
      <w:r>
        <w:t xml:space="preserve">e</w:t>
      </w:r>
      <w:r>
        <w:t xml:space="preserve"> </w:t>
      </w:r>
      <w:r>
        <w:t xml:space="preserve">“utilidade esperada”</w:t>
      </w:r>
      <w:r>
        <w:t xml:space="preserve">, pensamos em</w:t>
      </w:r>
      <w:r>
        <w:t xml:space="preserve"> </w:t>
      </w:r>
      <w:r>
        <w:rPr>
          <w:i/>
          <w:iCs/>
        </w:rPr>
        <w:t xml:space="preserve">mercados de consumo contingente</w:t>
      </w:r>
      <w:r>
        <w:t xml:space="preserve">. Comprar um seguro de carro não é contratar uma loteria: é adquirir um ativo (o contrato de seguro) que paga R$ 50.000 se e somente se o estado</w:t>
      </w:r>
      <w:r>
        <w:t xml:space="preserve"> </w:t>
      </w:r>
      <w:r>
        <w:t xml:space="preserve">“acidente grave”</w:t>
      </w:r>
      <w:r>
        <w:t xml:space="preserve"> </w:t>
      </w:r>
      <w:r>
        <w:t xml:space="preserve">se realizar. Em termos de Arrow-Debreu, você está comprando unidades do ativo contingente ao estado</w:t>
      </w:r>
      <w:r>
        <w:t xml:space="preserve"> </w:t>
      </w:r>
      <w:r>
        <w:t xml:space="preserve">“acidente”</w:t>
      </w:r>
      <w:r>
        <w:t xml:space="preserve">.</w:t>
      </w:r>
    </w:p>
    <w:p>
      <w:pPr>
        <w:pStyle w:val="BlockText"/>
      </w:pPr>
      <w:r>
        <w:t xml:space="preserve">A beleza dessa reformulação é que ela reduz o problema de decisão sob incerteza ao problema do consumidor que já conhecemos do Capítulo 3. O</w:t>
      </w:r>
      <w:r>
        <w:t xml:space="preserve"> </w:t>
      </w:r>
      <w:r>
        <w:t xml:space="preserve">“cesto de bens”</w:t>
      </w:r>
      <w:r>
        <w:t xml:space="preserve"> </w:t>
      </w:r>
      <w:r>
        <w:t xml:space="preserve">agora é</w:t>
      </w:r>
      <w:r>
        <w:t xml:space="preserve"> </w:t>
      </w:r>
      <m:oMath>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S</m:t>
            </m:r>
          </m:sub>
        </m:sSub>
        <m:r>
          <m:rPr>
            <m:sty m:val="p"/>
          </m:rPr>
          <m:t>)</m:t>
        </m:r>
      </m:oMath>
      <w:r>
        <w:t xml:space="preserve"> </w:t>
      </w:r>
      <w:r>
        <w:t xml:space="preserve">— consumo em cada estado do mundo — e a restrição orçamentária e as condições de ótimo têm a mesma forma matemática de sempre. A aversão ao risco corresponde à curvatura das curvas de indiferença no espaço estado-consumo, exatamente como a preferência por variedade corresponde à curvatura das curvas de indiferença no espaço de bens do Capítulo 3.</w:t>
      </w:r>
    </w:p>
    <w:p>
      <w:pPr>
        <w:pStyle w:val="BlockText"/>
      </w:pPr>
      <w:r>
        <w:rPr>
          <w:b/>
          <w:bCs/>
        </w:rPr>
        <w:t xml:space="preserve">Implicação prática:</w:t>
      </w:r>
      <w:r>
        <w:t xml:space="preserve"> </w:t>
      </w:r>
      <w:r>
        <w:t xml:space="preserve">Quando você compra ações de uma empresa e simultaneamente vende a descoberto um índice de mercado (para eliminar o risco sistemático), está construindo um portfólio que paga apenas em estados específicos do mundo — uma carteira de ativos contingentes. Mercados financeiros completos e seguros são, nessa perspectiva, simplesmente mercados de bens contingentes.</w:t>
      </w:r>
    </w:p>
    <w:p>
      <w:pPr>
        <w:pStyle w:val="BlockText"/>
      </w:pPr>
      <w:r>
        <w:rPr>
          <w:b/>
          <w:bCs/>
        </w:rPr>
        <w:t xml:space="preserve">[NOTA] Mercados completos e eficiência</w:t>
      </w:r>
    </w:p>
    <w:p>
      <w:pPr>
        <w:pStyle w:val="BlockText"/>
      </w:pPr>
      <w:r>
        <w:t xml:space="preserve">A completude dos mercados é uma condição forte. Na prática, muitos riscos não são seguráveis (desemprego, saúde futura), o que gera incompletude dos mercados e potenciais ineficiências de Pareto. A incompletude dos mercados é um dos temas centrais da teoria financeira moderna.</w:t>
      </w:r>
    </w:p>
    <w:p>
      <w:pPr>
        <w:pStyle w:val="FirstParagraph"/>
      </w:pPr>
      <w:r>
        <w:t xml:space="preserve">A abordagem estado-preferência tem implicações normativas importantes para a política econômica brasileira. O sistema de previdência social (INSS) pode ser interpretado como a criação de um ativo contingente ao estado</w:t>
      </w:r>
      <w:r>
        <w:t xml:space="preserve"> </w:t>
      </w:r>
      <w:r>
        <w:t xml:space="preserve">“velhice sem renda”</w:t>
      </w:r>
      <w:r>
        <w:t xml:space="preserve"> </w:t>
      </w:r>
      <w:r>
        <w:t xml:space="preserve">— um estado que, sem a previdência, muitos trabalhadores não conseguiriam cobrir nos mercados privados. O seguro-desemprego é um ativo contingente ao estado</w:t>
      </w:r>
      <w:r>
        <w:t xml:space="preserve"> </w:t>
      </w:r>
      <w:r>
        <w:t xml:space="preserve">“demissão involuntária”</w:t>
      </w:r>
      <w:r>
        <w:t xml:space="preserve">. O SUS (Sistema Único de Saúde) é um conjunto de ativos contingentes a estados de doença que o mercado privado não consegue prover de forma universal, dadas as falhas de informação assimétrica (Seção 7.8). A teoria dos ativos contingentes de Arrow-Debreu, portanto, não é apenas um exercício matemático elegante: ela fornece o arcabouço conceitual para avaliar quando e por que o Estado deve intervir nos mercados de risco.</w:t>
      </w:r>
    </w:p>
    <w:p>
      <w:r>
        <w:pict>
          <v:rect style="width:0;height:1.5pt" o:hralign="center" o:hrstd="t" o:hr="t"/>
        </w:pict>
      </w:r>
    </w:p>
    <w:bookmarkEnd w:id="341"/>
    <w:bookmarkStart w:id="347" w:name="X772dace905c8d9272d95cc16126360285a507f0"/>
    <w:p>
      <w:pPr>
        <w:pStyle w:val="Heading3"/>
      </w:pPr>
      <w:r>
        <w:t xml:space="preserve">7.8 Quando Um Sabe Mais Que o Outro: Informação Assimétrica</w:t>
      </w:r>
    </w:p>
    <w:p>
      <w:pPr>
        <w:pStyle w:val="FirstParagraph"/>
      </w:pPr>
      <w:r>
        <w:t xml:space="preserve">Para fechar o capítulo, um aperitivo do que vem pela frente: e quando o problema não é</w:t>
      </w:r>
      <w:r>
        <w:t xml:space="preserve"> </w:t>
      </w:r>
      <w:r>
        <w:rPr>
          <w:i/>
          <w:iCs/>
        </w:rPr>
        <w:t xml:space="preserve">você</w:t>
      </w:r>
      <w:r>
        <w:t xml:space="preserve"> </w:t>
      </w:r>
      <w:r>
        <w:t xml:space="preserve">não saber o futuro, mas</w:t>
      </w:r>
      <w:r>
        <w:t xml:space="preserve"> </w:t>
      </w:r>
      <w:r>
        <w:rPr>
          <w:i/>
          <w:iCs/>
        </w:rPr>
        <w:t xml:space="preserve">a outra parte</w:t>
      </w:r>
      <w:r>
        <w:t xml:space="preserve"> </w:t>
      </w:r>
      <w:r>
        <w:t xml:space="preserve">saber mais que você?</w:t>
      </w:r>
      <w:r>
        <w:rPr>
          <w:rStyle w:val="FootnoteReference"/>
        </w:rPr>
        <w:footnoteReference w:id="342"/>
      </w:r>
      <w:r>
        <w:t xml:space="preserve"> </w:t>
      </w:r>
      <w:r>
        <w:t xml:space="preserve">O vendedor de carro usado sabe se o motor é bom; a seguradora não sabe se você dirige rápido; o empregador não sabe se o candidato é preguiçoso. Essa</w:t>
      </w:r>
      <w:r>
        <w:t xml:space="preserve"> </w:t>
      </w:r>
      <w:r>
        <w:rPr>
          <w:b/>
          <w:bCs/>
        </w:rPr>
        <w:t xml:space="preserve">assimetria de informação</w:t>
      </w:r>
      <w:r>
        <w:t xml:space="preserve"> </w:t>
      </w:r>
      <w:r>
        <w:t xml:space="preserve">gera problemas que a teoria da utilidade esperada, sozinha, não resolve — mas que serão o tema central dos capítulos posteriores. Aqui, plantamos as sementes.</w:t>
      </w:r>
    </w:p>
    <w:bookmarkStart w:id="343" w:name="seleção-adversa"/>
    <w:p>
      <w:pPr>
        <w:pStyle w:val="Heading4"/>
      </w:pPr>
      <w:r>
        <w:t xml:space="preserve">7.8.1 Seleção adversa</w:t>
      </w:r>
    </w:p>
    <w:p>
      <w:pPr>
        <w:pStyle w:val="FirstParagraph"/>
      </w:pPr>
      <w:r>
        <w:t xml:space="preserve">A</w:t>
      </w:r>
      <w:r>
        <w:t xml:space="preserve"> </w:t>
      </w:r>
      <w:r>
        <w:rPr>
          <w:b/>
          <w:bCs/>
        </w:rPr>
        <w:t xml:space="preserve">seleção adversa</w:t>
      </w:r>
      <w:r>
        <w:t xml:space="preserve"> </w:t>
      </w:r>
      <w:r>
        <w:t xml:space="preserve">ocorre</w:t>
      </w:r>
      <w:r>
        <w:t xml:space="preserve"> </w:t>
      </w:r>
      <w:r>
        <w:rPr>
          <w:i/>
          <w:iCs/>
        </w:rPr>
        <w:t xml:space="preserve">antes</w:t>
      </w:r>
      <w:r>
        <w:t xml:space="preserve"> </w:t>
      </w:r>
      <w:r>
        <w:t xml:space="preserve">da celebração do contrato, quando uma das partes possui informação privada sobre suas características. O exemplo clássico é o mercado de carros usados de Akerlof (1970): vendedores conhecem a qualidade de seus veículos, mas compradores não conseguem distinguir carros bons de ruins (</w:t>
      </w:r>
      <w:r>
        <w:rPr>
          <w:i/>
          <w:iCs/>
        </w:rPr>
        <w:t xml:space="preserve">lemons</w:t>
      </w:r>
      <w:r>
        <w:t xml:space="preserve">). O resultado é que carros de boa qualidade podem ser expulsos do mercado.</w:t>
      </w:r>
    </w:p>
    <w:p>
      <w:pPr>
        <w:pStyle w:val="BodyText"/>
      </w:pPr>
      <w:r>
        <w:t xml:space="preserve">Mecanismos para mitigar a seleção adversa incluem:</w:t>
      </w:r>
    </w:p>
    <w:p>
      <w:pPr>
        <w:pStyle w:val="Compact"/>
        <w:numPr>
          <w:ilvl w:val="0"/>
          <w:numId w:val="1334"/>
        </w:numPr>
      </w:pPr>
      <w:r>
        <w:rPr>
          <w:b/>
          <w:bCs/>
        </w:rPr>
        <w:t xml:space="preserve">Sinalização</w:t>
      </w:r>
      <w:r>
        <w:t xml:space="preserve">: a parte informada toma ações custosas para revelar sua qualidade (Spence, 1973).</w:t>
      </w:r>
    </w:p>
    <w:p>
      <w:pPr>
        <w:pStyle w:val="Compact"/>
        <w:numPr>
          <w:ilvl w:val="0"/>
          <w:numId w:val="1334"/>
        </w:numPr>
      </w:pPr>
      <w:r>
        <w:rPr>
          <w:b/>
          <w:bCs/>
        </w:rPr>
        <w:t xml:space="preserve">Triagem</w:t>
      </w:r>
      <w:r>
        <w:t xml:space="preserve"> </w:t>
      </w:r>
      <w:r>
        <w:t xml:space="preserve">(</w:t>
      </w:r>
      <w:r>
        <w:rPr>
          <w:i/>
          <w:iCs/>
        </w:rPr>
        <w:t xml:space="preserve">screening</w:t>
      </w:r>
      <w:r>
        <w:t xml:space="preserve">): a parte desinformada oferece um menu de contratos que induz a autorevelação.</w:t>
      </w:r>
    </w:p>
    <w:bookmarkEnd w:id="343"/>
    <w:bookmarkStart w:id="346" w:name="risco-moral"/>
    <w:p>
      <w:pPr>
        <w:pStyle w:val="Heading4"/>
      </w:pPr>
      <w:r>
        <w:t xml:space="preserve">7.8.2 Risco moral</w:t>
      </w:r>
    </w:p>
    <w:p>
      <w:pPr>
        <w:pStyle w:val="FirstParagraph"/>
      </w:pPr>
      <w:r>
        <w:t xml:space="preserve">Se a seleção adversa é um problema de</w:t>
      </w:r>
      <w:r>
        <w:t xml:space="preserve"> </w:t>
      </w:r>
      <w:r>
        <w:rPr>
          <w:b/>
          <w:bCs/>
        </w:rPr>
        <w:t xml:space="preserve">informação oculta</w:t>
      </w:r>
      <w:r>
        <w:t xml:space="preserve"> </w:t>
      </w:r>
      <w:r>
        <w:t xml:space="preserve">(quem é o agente?), o risco moral é um problema de</w:t>
      </w:r>
      <w:r>
        <w:t xml:space="preserve"> </w:t>
      </w:r>
      <w:r>
        <w:rPr>
          <w:b/>
          <w:bCs/>
        </w:rPr>
        <w:t xml:space="preserve">ação oculta</w:t>
      </w:r>
      <w:r>
        <w:t xml:space="preserve"> </w:t>
      </w:r>
      <w:r>
        <w:t xml:space="preserve">(o que o agente faz?). O</w:t>
      </w:r>
      <w:r>
        <w:t xml:space="preserve"> </w:t>
      </w:r>
      <w:r>
        <w:rPr>
          <w:b/>
          <w:bCs/>
        </w:rPr>
        <w:t xml:space="preserve">risco moral</w:t>
      </w:r>
      <w:r>
        <w:t xml:space="preserve"> </w:t>
      </w:r>
      <w:r>
        <w:t xml:space="preserve">ocorre</w:t>
      </w:r>
      <w:r>
        <w:t xml:space="preserve"> </w:t>
      </w:r>
      <w:r>
        <w:rPr>
          <w:i/>
          <w:iCs/>
        </w:rPr>
        <w:t xml:space="preserve">depois</w:t>
      </w:r>
      <w:r>
        <w:t xml:space="preserve"> </w:t>
      </w:r>
      <w:r>
        <w:t xml:space="preserve">da celebração do contrato, quando uma das partes pode tomar ações não observáveis que afetam o resultado. Por exemplo, após contratar um seguro, o segurado pode reduzir seus cuidados preventivos. A solução envolve o desenho de contratos com incentivos adequados (franquias, copagamentos, bônus por desempenho).</w:t>
      </w:r>
    </w:p>
    <w:p>
      <w:pPr>
        <w:pStyle w:val="BlockText"/>
      </w:pPr>
      <w:r>
        <w:rPr>
          <w:b/>
          <w:bCs/>
        </w:rPr>
        <w:t xml:space="preserve">[DICA] Terminologia</w:t>
      </w:r>
    </w:p>
    <w:p>
      <w:pPr>
        <w:pStyle w:val="BlockText"/>
      </w:pPr>
      <w:r>
        <w:t xml:space="preserve">Em português, o termo consagrado é</w:t>
      </w:r>
      <w:r>
        <w:t xml:space="preserve"> </w:t>
      </w:r>
      <w:r>
        <w:rPr>
          <w:b/>
          <w:bCs/>
        </w:rPr>
        <w:t xml:space="preserve">risco moral</w:t>
      </w:r>
      <w:r>
        <w:t xml:space="preserve"> </w:t>
      </w:r>
      <w:r>
        <w:t xml:space="preserve">(tradução de</w:t>
      </w:r>
      <w:r>
        <w:t xml:space="preserve"> </w:t>
      </w:r>
      <w:r>
        <w:rPr>
          <w:i/>
          <w:iCs/>
        </w:rPr>
        <w:t xml:space="preserve">moral hazard</w:t>
      </w:r>
      <w:r>
        <w:t xml:space="preserve">), e</w:t>
      </w:r>
      <w:r>
        <w:t xml:space="preserve"> </w:t>
      </w:r>
      <w:r>
        <w:rPr>
          <w:b/>
          <w:bCs/>
        </w:rPr>
        <w:t xml:space="preserve">não</w:t>
      </w:r>
      <w:r>
        <w:t xml:space="preserve"> </w:t>
      </w:r>
      <w:r>
        <w:t xml:space="preserve">“risco de inadimplência”</w:t>
      </w:r>
      <w:r>
        <w:t xml:space="preserve">.</w:t>
      </w:r>
      <w:r>
        <w:t xml:space="preserve"> </w:t>
      </w:r>
      <w:r>
        <w:t xml:space="preserve">“Risco moral”</w:t>
      </w:r>
      <w:r>
        <w:t xml:space="preserve"> </w:t>
      </w:r>
      <w:r>
        <w:t xml:space="preserve">refere-se ao problema de incentivos gerado pela impossibilidade de observar as ações do agente após a contratação.</w:t>
      </w:r>
    </w:p>
    <w:p>
      <w:pPr>
        <w:pStyle w:val="FirstParagraph"/>
      </w:pPr>
      <w:r>
        <w:t xml:space="preserve">A importância prática da informação assimétrica para os mercados de risco no Brasil não pode ser subestimada. No mercado de saúde suplementar, a ANS (Agência Nacional de Saúde Suplementar) regulamenta as coberturas mínimas obrigatórias parcialmente como resposta à seleção adversa: sem obrigatoriedade de cobertura para doenças preexistentes, as operadoras excluiriam exatamente os segurados de maior risco, destruindo a lógica do pool de riscos. No crédito rural, o Proagro enfrenta risco moral porque o produtor que contratou a cobertura tem menos incentivos para investir em irrigação de emergência ou na escolha de sementes resistentes à seca. No mercado de trabalho, contratos de incentivo — comissões, bônus, participação nos lucros — são respostas diretas ao risco moral de agentes que podem shirk (reduzir esforço) quando o trabalho não é perfeitamente monitorado.</w:t>
      </w:r>
    </w:p>
    <w:p>
      <w:pPr>
        <w:pStyle w:val="BodyText"/>
      </w:pPr>
      <w:r>
        <w:t xml:space="preserve">A compreensão desses mecanismos começa nesta seção, mas a análise formal — incluindo a derivação dos contratos ótimos com informação assimétrica, os menus de triagem, os sinais de mercado e o teorema da revelação — será desenvolvida em profundidade nos capítulos posteriores. Por ora, o que importa é reconhecer que os mercados de risco, diferentemente dos mercados de bens homogêneos, são especialmente vulneráveis a falhas de informação, e que essas falhas geram ineficiências que justificam tanto a regulação quanto o desenho cuidadoso de políticas públicas.</w:t>
      </w:r>
    </w:p>
    <w:p>
      <w:r>
        <w:pict>
          <v:rect style="width:0;height:1.5pt" o:hralign="center" o:hrstd="t" o:hr="t"/>
        </w:pict>
      </w:r>
    </w:p>
    <w:p>
      <w:pPr>
        <w:pStyle w:val="FirstParagraph"/>
      </w:pPr>
      <w:r>
        <w:t xml:space="preserve">Os conceitos desenvolvidos ao longo deste capítulo — loterias, utilidade esperada, aversão ao risco, prêmio de risco, diversificação e informação assimétrica — ganham vida quando aplicados a mercados reais. Os boxes a seguir ilustram como a teoria se manifesta em três contextos brasileiros: o mercado de seguros de automóvel, a Mega-Sena e o seguro agrícola.</w:t>
      </w:r>
    </w:p>
    <w:p>
      <w:pPr>
        <w:pStyle w:val="BlockText"/>
      </w:pPr>
      <w:r>
        <w:rPr>
          <w:b/>
          <w:bCs/>
        </w:rPr>
        <w:t xml:space="preserve">[BOX BRASIL] Box Brasil 7.2: Seguros de automóvel — risco, precificação e regulação</w:t>
      </w:r>
    </w:p>
    <w:p>
      <w:pPr>
        <w:pStyle w:val="BlockText"/>
      </w:pPr>
      <w:r>
        <w:t xml:space="preserve">O mercado de seguros de automóvel no Brasil é um campo fértil para a aplicação dos conceitos de incerteza e aversão ao risco. Regulado pela</w:t>
      </w:r>
      <w:r>
        <w:t xml:space="preserve"> </w:t>
      </w:r>
      <w:hyperlink r:id="rId344">
        <w:r>
          <w:rPr>
            <w:rStyle w:val="Hyperlink"/>
            <w:b/>
            <w:bCs/>
          </w:rPr>
          <w:t xml:space="preserve">SUSEP</w:t>
        </w:r>
      </w:hyperlink>
      <w:r>
        <w:t xml:space="preserve"> </w:t>
      </w:r>
      <w:r>
        <w:t xml:space="preserve">(Superintendência de Seguros Privados), esse mercado apresenta características que ilustram os desafios teóricos discutidos neste capítulo.</w:t>
      </w:r>
    </w:p>
    <w:p>
      <w:pPr>
        <w:pStyle w:val="BlockText"/>
      </w:pPr>
      <w:r>
        <w:rPr>
          <w:b/>
          <w:bCs/>
        </w:rPr>
        <w:t xml:space="preserve">Estrutura de mercado e concentração</w:t>
      </w:r>
    </w:p>
    <w:p>
      <w:pPr>
        <w:pStyle w:val="BlockText"/>
      </w:pPr>
      <w:r>
        <w:t xml:space="preserve">O mercado brasileiro de seguros de automóvel é moderadamente concentrado. As cinco maiores seguradoras respondem por aproximadamente 55–60% dos prêmios emitidos. As principais são Porto Seguro, Tokio Marine, Bradesco Seguros, SulAmérica e HDI. Essa concentração permite algum poder de precificação, mas a competição é suficiente para limitar os carregamentos sobre o prêmio atuarialmente justo.</w:t>
      </w:r>
    </w:p>
    <w:p>
      <w:pPr>
        <w:pStyle w:val="BlockText"/>
      </w:pPr>
      <w:r>
        <w:rPr>
          <w:b/>
          <w:bCs/>
        </w:rPr>
        <w:t xml:space="preserve">Precificação baseada em risco</w:t>
      </w:r>
    </w:p>
    <w:p>
      <w:pPr>
        <w:pStyle w:val="BlockText"/>
      </w:pPr>
      <w:r>
        <w:t xml:space="preserve">A precificação dos seguros automotivos no Brasil envolve sofisticados modelos atuariais que incorporam variáveis como:</w:t>
      </w:r>
    </w:p>
    <w:p>
      <w:pPr>
        <w:pStyle w:val="Compact"/>
        <w:numPr>
          <w:ilvl w:val="0"/>
          <w:numId w:val="1335"/>
        </w:numPr>
      </w:pPr>
      <w:r>
        <w:rPr>
          <w:b/>
          <w:bCs/>
        </w:rPr>
        <w:t xml:space="preserve">Perfil do condutor</w:t>
      </w:r>
      <w:r>
        <w:t xml:space="preserve">: idade, sexo, estado civil, tempo de habilitação.</w:t>
      </w:r>
    </w:p>
    <w:p>
      <w:pPr>
        <w:pStyle w:val="Compact"/>
        <w:numPr>
          <w:ilvl w:val="0"/>
          <w:numId w:val="1335"/>
        </w:numPr>
      </w:pPr>
      <w:r>
        <w:rPr>
          <w:b/>
          <w:bCs/>
        </w:rPr>
        <w:t xml:space="preserve">Veículo</w:t>
      </w:r>
      <w:r>
        <w:t xml:space="preserve">: marca, modelo, ano, valor de mercado (tabela FIPE).</w:t>
      </w:r>
    </w:p>
    <w:p>
      <w:pPr>
        <w:pStyle w:val="Compact"/>
        <w:numPr>
          <w:ilvl w:val="0"/>
          <w:numId w:val="1335"/>
        </w:numPr>
      </w:pPr>
      <w:r>
        <w:rPr>
          <w:b/>
          <w:bCs/>
        </w:rPr>
        <w:t xml:space="preserve">Localização geográfica</w:t>
      </w:r>
      <w:r>
        <w:t xml:space="preserve">: CEP de pernoite, índice de furto/roubo da região.</w:t>
      </w:r>
    </w:p>
    <w:p>
      <w:pPr>
        <w:pStyle w:val="Compact"/>
        <w:numPr>
          <w:ilvl w:val="0"/>
          <w:numId w:val="1335"/>
        </w:numPr>
      </w:pPr>
      <w:r>
        <w:rPr>
          <w:b/>
          <w:bCs/>
        </w:rPr>
        <w:t xml:space="preserve">Histórico</w:t>
      </w:r>
      <w:r>
        <w:t xml:space="preserve">: bônus por ausência de sinistros (classes de bônus de 0 a 10).</w:t>
      </w:r>
    </w:p>
    <w:p>
      <w:pPr>
        <w:pStyle w:val="BlockText"/>
      </w:pPr>
      <w:r>
        <w:rPr>
          <w:b/>
          <w:bCs/>
        </w:rPr>
        <w:t xml:space="preserve">Sinistralidade e variação regional</w:t>
      </w:r>
    </w:p>
    <w:p>
      <w:pPr>
        <w:pStyle w:val="BlockText"/>
      </w:pPr>
      <w:r>
        <w:t xml:space="preserve">A sinistralidade (razão entre indenizações pagas e prêmios ganhos) varia significativamente entre regiões. Dados do setor indicam que estados como São Paulo e Rio de Janeiro apresentam sinistralidade mais alta em furto e roubo, enquanto estados do interior têm maior incidência relativa de colisões. A sinistralidade média do ramo automóvel situa-se tipicamente entre 55% e 65%.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Região</w:t>
            </w:r>
          </w:p>
        </w:tc>
        <w:tc>
          <w:tcPr/>
          <w:p>
            <w:pPr>
              <w:pStyle w:val="Compact"/>
              <w:jc w:val="left"/>
            </w:pPr>
            <w:r>
              <w:t xml:space="preserve">Sinistralidade típica</w:t>
            </w:r>
          </w:p>
        </w:tc>
        <w:tc>
          <w:tcPr/>
          <w:p>
            <w:pPr>
              <w:pStyle w:val="Compact"/>
              <w:jc w:val="left"/>
            </w:pPr>
            <w:r>
              <w:t xml:space="preserve">Principal tipo de sinistro</w:t>
            </w:r>
          </w:p>
        </w:tc>
      </w:tr>
      <w:tr>
        <w:tc>
          <w:tcPr/>
          <w:p>
            <w:pPr>
              <w:pStyle w:val="Compact"/>
              <w:jc w:val="left"/>
            </w:pPr>
            <w:r>
              <w:t xml:space="preserve">SP (Capital)</w:t>
            </w:r>
          </w:p>
        </w:tc>
        <w:tc>
          <w:tcPr/>
          <w:p>
            <w:pPr>
              <w:pStyle w:val="Compact"/>
              <w:jc w:val="left"/>
            </w:pPr>
            <w:r>
              <w:t xml:space="preserve">60–70%</w:t>
            </w:r>
          </w:p>
        </w:tc>
        <w:tc>
          <w:tcPr/>
          <w:p>
            <w:pPr>
              <w:pStyle w:val="Compact"/>
              <w:jc w:val="left"/>
            </w:pPr>
            <w:r>
              <w:t xml:space="preserve">Furto/roubo</w:t>
            </w:r>
          </w:p>
        </w:tc>
      </w:tr>
      <w:tr>
        <w:tc>
          <w:tcPr/>
          <w:p>
            <w:pPr>
              <w:pStyle w:val="Compact"/>
              <w:jc w:val="left"/>
            </w:pPr>
            <w:r>
              <w:t xml:space="preserve">RJ (Capital)</w:t>
            </w:r>
          </w:p>
        </w:tc>
        <w:tc>
          <w:tcPr/>
          <w:p>
            <w:pPr>
              <w:pStyle w:val="Compact"/>
              <w:jc w:val="left"/>
            </w:pPr>
            <w:r>
              <w:t xml:space="preserve">65–75%</w:t>
            </w:r>
          </w:p>
        </w:tc>
        <w:tc>
          <w:tcPr/>
          <w:p>
            <w:pPr>
              <w:pStyle w:val="Compact"/>
              <w:jc w:val="left"/>
            </w:pPr>
            <w:r>
              <w:t xml:space="preserve">Furto/roubo</w:t>
            </w:r>
          </w:p>
        </w:tc>
      </w:tr>
      <w:tr>
        <w:tc>
          <w:tcPr/>
          <w:p>
            <w:pPr>
              <w:pStyle w:val="Compact"/>
              <w:jc w:val="left"/>
            </w:pPr>
            <w:r>
              <w:t xml:space="preserve">Interior SP</w:t>
            </w:r>
          </w:p>
        </w:tc>
        <w:tc>
          <w:tcPr/>
          <w:p>
            <w:pPr>
              <w:pStyle w:val="Compact"/>
              <w:jc w:val="left"/>
            </w:pPr>
            <w:r>
              <w:t xml:space="preserve">50–60%</w:t>
            </w:r>
          </w:p>
        </w:tc>
        <w:tc>
          <w:tcPr/>
          <w:p>
            <w:pPr>
              <w:pStyle w:val="Compact"/>
              <w:jc w:val="left"/>
            </w:pPr>
            <w:r>
              <w:t xml:space="preserve">Colisão</w:t>
            </w:r>
          </w:p>
        </w:tc>
      </w:tr>
      <w:tr>
        <w:tc>
          <w:tcPr/>
          <w:p>
            <w:pPr>
              <w:pStyle w:val="Compact"/>
              <w:jc w:val="left"/>
            </w:pPr>
            <w:r>
              <w:t xml:space="preserve">Sul</w:t>
            </w:r>
          </w:p>
        </w:tc>
        <w:tc>
          <w:tcPr/>
          <w:p>
            <w:pPr>
              <w:pStyle w:val="Compact"/>
              <w:jc w:val="left"/>
            </w:pPr>
            <w:r>
              <w:t xml:space="preserve">50–60%</w:t>
            </w:r>
          </w:p>
        </w:tc>
        <w:tc>
          <w:tcPr/>
          <w:p>
            <w:pPr>
              <w:pStyle w:val="Compact"/>
              <w:jc w:val="left"/>
            </w:pPr>
            <w:r>
              <w:t xml:space="preserve">Colisão, granizo</w:t>
            </w:r>
          </w:p>
        </w:tc>
      </w:tr>
      <w:tr>
        <w:tc>
          <w:tcPr/>
          <w:p>
            <w:pPr>
              <w:pStyle w:val="Compact"/>
              <w:jc w:val="left"/>
            </w:pPr>
            <w:r>
              <w:t xml:space="preserve">Nordeste</w:t>
            </w:r>
          </w:p>
        </w:tc>
        <w:tc>
          <w:tcPr/>
          <w:p>
            <w:pPr>
              <w:pStyle w:val="Compact"/>
              <w:jc w:val="left"/>
            </w:pPr>
            <w:r>
              <w:t xml:space="preserve">45–55%</w:t>
            </w:r>
          </w:p>
        </w:tc>
        <w:tc>
          <w:tcPr/>
          <w:p>
            <w:pPr>
              <w:pStyle w:val="Compact"/>
              <w:jc w:val="left"/>
            </w:pPr>
            <w:r>
              <w:t xml:space="preserve">Colisão</w:t>
            </w:r>
          </w:p>
        </w:tc>
      </w:tr>
    </w:tbl>
    <w:p>
      <w:pPr>
        <w:pStyle w:val="BlockText"/>
      </w:pPr>
      <w:r>
        <w:rPr>
          <w:b/>
          <w:bCs/>
        </w:rPr>
        <w:t xml:space="preserve">Problemas informacionais</w:t>
      </w:r>
    </w:p>
    <w:p>
      <w:pPr>
        <w:pStyle w:val="BlockText"/>
      </w:pPr>
      <w:r>
        <w:t xml:space="preserve">O mercado de seguros automotivos enfrenta tanto</w:t>
      </w:r>
      <w:r>
        <w:t xml:space="preserve"> </w:t>
      </w:r>
      <w:r>
        <w:rPr>
          <w:b/>
          <w:bCs/>
        </w:rPr>
        <w:t xml:space="preserve">seleção adversa</w:t>
      </w:r>
      <w:r>
        <w:t xml:space="preserve"> </w:t>
      </w:r>
      <w:r>
        <w:t xml:space="preserve">(motoristas de alto risco têm mais incentivos para contratar seguros) quanto</w:t>
      </w:r>
      <w:r>
        <w:t xml:space="preserve"> </w:t>
      </w:r>
      <w:r>
        <w:rPr>
          <w:b/>
          <w:bCs/>
        </w:rPr>
        <w:t xml:space="preserve">risco moral</w:t>
      </w:r>
      <w:r>
        <w:t xml:space="preserve"> </w:t>
      </w:r>
      <w:r>
        <w:t xml:space="preserve">(a cobertura pode reduzir os cuidados com o veículo). As seguradoras mitigam esses problemas por meio de franquias (que funcionam como copagamento), classes de bônus (que premiam o histórico positivo) e inspeções veiculares prévias.</w:t>
      </w:r>
    </w:p>
    <w:p>
      <w:pPr>
        <w:pStyle w:val="BlockText"/>
      </w:pPr>
      <w:r>
        <w:rPr>
          <w:b/>
          <w:bCs/>
        </w:rPr>
        <w:t xml:space="preserve">Papel da SUSEP</w:t>
      </w:r>
    </w:p>
    <w:p>
      <w:pPr>
        <w:pStyle w:val="BlockText"/>
      </w:pPr>
      <w:r>
        <w:t xml:space="preserve">A SUSEP fiscaliza a solvência das seguradoras, regulamenta as condições gerais dos contratos e monitora as práticas de mercado. A exigência de provisões técnicas adequadas assegura que as seguradoras mantenham capacidade financeira para honrar os sinistros, reduzindo o risco sistêmico do setor.</w:t>
      </w:r>
    </w:p>
    <w:p>
      <w:r>
        <w:pict>
          <v:rect style="width:0;height:1.5pt" o:hralign="center" o:hrstd="t" o:hr="t"/>
        </w:pict>
      </w:r>
    </w:p>
    <w:p>
      <w:pPr>
        <w:pStyle w:val="BlockText"/>
      </w:pPr>
      <w:r>
        <w:rPr>
          <w:b/>
          <w:bCs/>
        </w:rPr>
        <w:t xml:space="preserve">[BOX BRASIL] Box Brasil 7.3: Mega-Sena — quando apostar é irracional (mas compreensível)</w:t>
      </w:r>
    </w:p>
    <w:p>
      <w:pPr>
        <w:pStyle w:val="BlockText"/>
      </w:pPr>
      <w:r>
        <w:t xml:space="preserve">A</w:t>
      </w:r>
      <w:r>
        <w:t xml:space="preserve"> </w:t>
      </w:r>
      <w:r>
        <w:rPr>
          <w:b/>
          <w:bCs/>
        </w:rPr>
        <w:t xml:space="preserve">Mega-Sena</w:t>
      </w:r>
      <w:r>
        <w:t xml:space="preserve">, operada pela Caixa Econômica Federal, é a maior loteria do Brasil e ilustra de maneira contundente o contraste entre valor esperado e comportamento observado.</w:t>
      </w:r>
    </w:p>
    <w:p>
      <w:pPr>
        <w:pStyle w:val="BlockText"/>
      </w:pPr>
      <w:r>
        <w:rPr>
          <w:b/>
          <w:bCs/>
        </w:rPr>
        <w:t xml:space="preserve">Os números da Mega-Sena</w:t>
      </w:r>
    </w:p>
    <w:p>
      <w:pPr>
        <w:pStyle w:val="BlockText"/>
      </w:pPr>
      <w:r>
        <w:t xml:space="preserve">A probabilidade de acertar as 6 dezenas em um jogo simples (6 números) é de</w:t>
      </w:r>
      <w:r>
        <w:t xml:space="preserve"> </w:t>
      </w:r>
      <m:oMath>
        <m:r>
          <m:t>1</m:t>
        </m:r>
        <m:r>
          <m:rPr>
            <m:sty m:val="p"/>
          </m:rPr>
          <m:t>/</m:t>
        </m:r>
        <m:r>
          <m:t>50.063</m:t>
        </m:r>
        <m:r>
          <m:t>.860</m:t>
        </m:r>
      </m:oMath>
      <w:r>
        <w:t xml:space="preserve"> </w:t>
      </w:r>
      <w:r>
        <w:t xml:space="preserve">— ou aproximadamente 0,000002%. Pela legislação brasileira, 43,35% da arrecadação bruta é destinada ao pagamento de prêmios (incluindo quadra, quina e sena). Para a faixa principal (sena), a parcela é de cerca de 35% da arrecadação.</w:t>
      </w:r>
    </w:p>
    <w:p>
      <w:pPr>
        <w:pStyle w:val="BlockText"/>
      </w:pPr>
      <w:r>
        <w:rPr>
          <w:b/>
          <w:bCs/>
        </w:rPr>
        <w:t xml:space="preserve">Valor esperado negativo</w:t>
      </w:r>
    </w:p>
    <w:p>
      <w:pPr>
        <w:pStyle w:val="BlockText"/>
      </w:pPr>
      <w:r>
        <w:t xml:space="preserve">Para uma aposta simples de R$ 5,00, o retorno esperado — considerando todas as faixas de premiação — é tipicamente inferior a R$ 2,20. Isso implica um retorno esperado líquido de aproximadamente</w:t>
      </w:r>
      <w:r>
        <w:t xml:space="preserve"> </w:t>
      </w:r>
      <w:r>
        <w:rPr>
          <w:b/>
          <w:bCs/>
        </w:rPr>
        <w:t xml:space="preserve">−R$ 2,80 por aposta</w:t>
      </w:r>
      <w:r>
        <w:t xml:space="preserve">, ou uma</w:t>
      </w:r>
      <w:r>
        <w:t xml:space="preserve"> </w:t>
      </w:r>
      <w:r>
        <w:t xml:space="preserve">“sinistralidade”</w:t>
      </w:r>
      <w:r>
        <w:t xml:space="preserve"> </w:t>
      </w:r>
      <w:r>
        <w:t xml:space="preserve">de cerca de 44% para a Caixa. Do ponto de vista da utilidade esperada, um agente estritamente avesso ao risco</w:t>
      </w:r>
      <w:r>
        <w:t xml:space="preserve"> </w:t>
      </w:r>
      <w:r>
        <w:rPr>
          <w:i/>
          <w:iCs/>
        </w:rPr>
        <w:t xml:space="preserve">jamais</w:t>
      </w:r>
      <w:r>
        <w:t xml:space="preserve"> </w:t>
      </w:r>
      <w:r>
        <w:t xml:space="preserve">compraria um bilhete de loteria.</w:t>
      </w:r>
    </w:p>
    <w:p>
      <w:pPr>
        <w:pStyle w:val="BlockText"/>
      </w:pPr>
      <w:r>
        <w:rPr>
          <w:b/>
          <w:bCs/>
        </w:rPr>
        <w:t xml:space="preserve">Por que as pessoas apostam?</w:t>
      </w:r>
    </w:p>
    <w:p>
      <w:pPr>
        <w:pStyle w:val="BlockText"/>
      </w:pPr>
      <w:r>
        <w:t xml:space="preserve">A teoria econômica oferece duas explicações complementares:</w:t>
      </w:r>
    </w:p>
    <w:p>
      <w:pPr>
        <w:pStyle w:val="BlockText"/>
        <w:numPr>
          <w:ilvl w:val="0"/>
          <w:numId w:val="1336"/>
        </w:numPr>
      </w:pPr>
      <w:r>
        <w:rPr>
          <w:b/>
          <w:bCs/>
        </w:rPr>
        <w:t xml:space="preserve">Hipótese de Friedman-Savage (1948)</w:t>
      </w:r>
      <w:r>
        <w:t xml:space="preserve">: a função de utilidade pode ser côncava para níveis baixos e altos de riqueza, mas</w:t>
      </w:r>
      <w:r>
        <w:t xml:space="preserve"> </w:t>
      </w:r>
      <w:r>
        <w:rPr>
          <w:b/>
          <w:bCs/>
        </w:rPr>
        <w:t xml:space="preserve">convexa</w:t>
      </w:r>
      <w:r>
        <w:t xml:space="preserve"> </w:t>
      </w:r>
      <w:r>
        <w:t xml:space="preserve">em uma faixa intermediária, correspondente à região onde um</w:t>
      </w:r>
      <w:r>
        <w:t xml:space="preserve"> </w:t>
      </w:r>
      <w:r>
        <w:t xml:space="preserve">“grande prêmio”</w:t>
      </w:r>
      <w:r>
        <w:t xml:space="preserve"> </w:t>
      </w:r>
      <w:r>
        <w:t xml:space="preserve">faria o indivíduo mudar de classe social. Nessa faixa, o agente se comporta como propenso ao risco.</w:t>
      </w:r>
    </w:p>
    <w:p>
      <w:pPr>
        <w:pStyle w:val="BlockText"/>
        <w:numPr>
          <w:ilvl w:val="0"/>
          <w:numId w:val="1336"/>
        </w:numPr>
      </w:pPr>
      <w:r>
        <w:rPr>
          <w:b/>
          <w:bCs/>
        </w:rPr>
        <w:t xml:space="preserve">Teoria dos prospectos</w:t>
      </w:r>
      <w:r>
        <w:t xml:space="preserve">: os agentes</w:t>
      </w:r>
      <w:r>
        <w:t xml:space="preserve"> </w:t>
      </w:r>
      <w:r>
        <w:rPr>
          <w:i/>
          <w:iCs/>
        </w:rPr>
        <w:t xml:space="preserve">sobreponderam</w:t>
      </w:r>
      <w:r>
        <w:t xml:space="preserve"> </w:t>
      </w:r>
      <w:r>
        <w:t xml:space="preserve">probabilidades muito pequenas. Assim, a probabilidade subjetiva atribuída ao prêmio máximo é muito maior do que a probabilidade objetiva.</w:t>
      </w:r>
    </w:p>
    <w:p>
      <w:pPr>
        <w:pStyle w:val="BlockText"/>
      </w:pPr>
      <w:r>
        <w:rPr>
          <w:b/>
          <w:bCs/>
        </w:rPr>
        <w:t xml:space="preserve">Conexão com este capítulo</w:t>
      </w:r>
    </w:p>
    <w:p>
      <w:pPr>
        <w:pStyle w:val="BlockText"/>
      </w:pPr>
      <w:r>
        <w:t xml:space="preserve">A Mega-Sena demonstra que o critério do valor esperado (Seção 7.1) é insuficiente para explicar o comportamento observado. A disposição de milhões de brasileiros a aceitar uma loteria com valor esperado negativo desafia a hipótese de aversão ao risco universal e motiva os refinamentos teóricos discutidos nas Seções 7.2–7.3.</w:t>
      </w:r>
    </w:p>
    <w:p>
      <w:pPr>
        <w:pStyle w:val="BlockText"/>
      </w:pPr>
      <w:r>
        <w:rPr>
          <w:b/>
          <w:bCs/>
        </w:rPr>
        <w:t xml:space="preserve">Fonte</w:t>
      </w:r>
      <w:r>
        <w:t xml:space="preserve">: Caixa Econômica Federal, regulamento da Mega-Sena; Lei 13.756/2018 (destinação da arrecadação de loterias).</w:t>
      </w:r>
    </w:p>
    <w:p>
      <w:r>
        <w:pict>
          <v:rect style="width:0;height:1.5pt" o:hralign="center" o:hrstd="t" o:hr="t"/>
        </w:pict>
      </w:r>
    </w:p>
    <w:p>
      <w:pPr>
        <w:pStyle w:val="BlockText"/>
      </w:pPr>
      <w:r>
        <w:rPr>
          <w:b/>
          <w:bCs/>
        </w:rPr>
        <w:t xml:space="preserve">[BOX BRASIL] Box Brasil 7.4: Programa de Subvenção ao Prêmio do Seguro Rural (PSR)</w:t>
      </w:r>
    </w:p>
    <w:p>
      <w:pPr>
        <w:pStyle w:val="BlockText"/>
      </w:pPr>
      <w:r>
        <w:t xml:space="preserve">O setor agropecuário brasileiro — responsável por cerca de 24% do PIB quando considerada toda a cadeia — está intrinsecamente exposto a riscos climáticos, fitossanitários e de preços. O</w:t>
      </w:r>
      <w:r>
        <w:t xml:space="preserve"> </w:t>
      </w:r>
      <w:r>
        <w:rPr>
          <w:b/>
          <w:bCs/>
        </w:rPr>
        <w:t xml:space="preserve">Programa de Subvenção ao Prêmio do Seguro Rural (PSR)</w:t>
      </w:r>
      <w:r>
        <w:t xml:space="preserve">, criado em 2003, é a principal política pública de gestão de risco agrícola no país.</w:t>
      </w:r>
    </w:p>
    <w:p>
      <w:pPr>
        <w:pStyle w:val="BlockText"/>
      </w:pPr>
      <w:r>
        <w:rPr>
          <w:b/>
          <w:bCs/>
        </w:rPr>
        <w:t xml:space="preserve">Como funciona</w:t>
      </w:r>
    </w:p>
    <w:p>
      <w:pPr>
        <w:pStyle w:val="BlockText"/>
      </w:pPr>
      <w:r>
        <w:t xml:space="preserve">O governo federal subsidia parte do prêmio do seguro rural pago pelo produtor. Em 2024, o orçamento do PSR foi de</w:t>
      </w:r>
      <w:r>
        <w:t xml:space="preserve"> </w:t>
      </w:r>
      <w:r>
        <w:rPr>
          <w:b/>
          <w:bCs/>
        </w:rPr>
        <w:t xml:space="preserve">R$ 1,15 bilhão</w:t>
      </w:r>
      <w:r>
        <w:t xml:space="preserve">, permitindo a cobertura de mais de 62 atividades agropecuárias. O percentual de subvenção varia por cultura: em média cerca de 40%, mas para culturas como soja o subsídio gira em torno de 20%.</w:t>
      </w:r>
    </w:p>
    <w:p>
      <w:pPr>
        <w:pStyle w:val="BlockText"/>
      </w:pPr>
      <w:r>
        <w:rPr>
          <w:b/>
          <w:bCs/>
        </w:rPr>
        <w:t xml:space="preserve">Justificativa econômica</w:t>
      </w:r>
    </w:p>
    <w:p>
      <w:pPr>
        <w:pStyle w:val="BlockText"/>
      </w:pPr>
      <w:r>
        <w:t xml:space="preserve">O subsídio se justifica por três razões microeconômicas:</w:t>
      </w:r>
    </w:p>
    <w:p>
      <w:pPr>
        <w:pStyle w:val="BlockText"/>
        <w:numPr>
          <w:ilvl w:val="0"/>
          <w:numId w:val="1337"/>
        </w:numPr>
      </w:pPr>
      <w:r>
        <w:rPr>
          <w:b/>
          <w:bCs/>
        </w:rPr>
        <w:t xml:space="preserve">Completude de mercados</w:t>
      </w:r>
      <w:r>
        <w:t xml:space="preserve">: sem subvenção, muitos produtores — especialmente pequenos e médios — não teriam acesso ao seguro, deixando o mercado de risco incompleto (Seção 7.7).</w:t>
      </w:r>
    </w:p>
    <w:p>
      <w:pPr>
        <w:pStyle w:val="BlockText"/>
        <w:numPr>
          <w:ilvl w:val="0"/>
          <w:numId w:val="1337"/>
        </w:numPr>
      </w:pPr>
      <w:r>
        <w:rPr>
          <w:b/>
          <w:bCs/>
        </w:rPr>
        <w:t xml:space="preserve">Externalidades positivas</w:t>
      </w:r>
      <w:r>
        <w:t xml:space="preserve">: a estabilidade da renda agrícola reduz a inadimplência no crédito rural e suaviza o consumo em regiões dependentes do agronegócio.</w:t>
      </w:r>
    </w:p>
    <w:p>
      <w:pPr>
        <w:pStyle w:val="BlockText"/>
        <w:numPr>
          <w:ilvl w:val="0"/>
          <w:numId w:val="1337"/>
        </w:numPr>
      </w:pPr>
      <w:r>
        <w:rPr>
          <w:b/>
          <w:bCs/>
        </w:rPr>
        <w:t xml:space="preserve">Seleção adversa</w:t>
      </w:r>
      <w:r>
        <w:t xml:space="preserve">: sem incentivo, apenas os produtores de maior risco contratariam seguro, elevando o prêmio e expulsando os de baixo risco — o clássico problema de Akerlof (Seção 7.8).</w:t>
      </w:r>
    </w:p>
    <w:p>
      <w:pPr>
        <w:pStyle w:val="BlockText"/>
      </w:pPr>
      <w:r>
        <w:rPr>
          <w:b/>
          <w:bCs/>
        </w:rPr>
        <w:t xml:space="preserve">Desafios</w:t>
      </w:r>
    </w:p>
    <w:p>
      <w:pPr>
        <w:pStyle w:val="BlockText"/>
      </w:pPr>
      <w:r>
        <w:t xml:space="preserve">O PSR enfrenta limitações: orçamento frequentemente insuficiente para atender toda a demanda, concentração das apólices em grandes produtores do Centro-Oeste e Sul, e dificuldades na precificação atuarial de eventos climáticos extremos (que estão se tornando mais frequentes).</w:t>
      </w:r>
    </w:p>
    <w:p>
      <w:pPr>
        <w:pStyle w:val="BlockText"/>
      </w:pPr>
      <w:r>
        <w:rPr>
          <w:b/>
          <w:bCs/>
        </w:rPr>
        <w:t xml:space="preserve">Fonte</w:t>
      </w:r>
      <w:r>
        <w:t xml:space="preserve">: Ministério da Agricultura e Pecuária, Relatório do PSR 2023/2024; Atlas do Seguro Rural (</w:t>
      </w:r>
      <w:hyperlink r:id="rId345">
        <w:r>
          <w:rPr>
            <w:rStyle w:val="Hyperlink"/>
          </w:rPr>
          <w:t xml:space="preserve">Embrapa</w:t>
        </w:r>
      </w:hyperlink>
      <w:r>
        <w:t xml:space="preserve">).</w:t>
      </w:r>
    </w:p>
    <w:p>
      <w:r>
        <w:pict>
          <v:rect style="width:0;height:1.5pt" o:hralign="center" o:hrstd="t" o:hr="t"/>
        </w:pict>
      </w:r>
    </w:p>
    <w:p>
      <w:pPr>
        <w:pStyle w:val="FirstParagraph"/>
      </w:pPr>
      <w:r>
        <w:t xml:space="preserve">No início deste capítulo, tiramos o tapete da certeza. Agora, o consumidor tem ferramentas para pisar firme mesmo no chão instável: utilidade esperada para avaliar loterias, Arrow-Pratt para medir aversão ao risco, seguros para transferi-lo, e ativos contingentes para negociá-lo. O tapete não voltou — mas o consumidor aprendeu a equilibrar-se sem ele.</w:t>
      </w:r>
    </w:p>
    <w:p>
      <w:pPr>
        <w:pStyle w:val="BodyText"/>
      </w:pPr>
      <w:r>
        <w:t xml:space="preserve">Se você sair deste capítulo com três convicções, que sejam estas:</w:t>
      </w:r>
    </w:p>
    <w:p>
      <w:pPr>
        <w:pStyle w:val="Compact"/>
        <w:numPr>
          <w:ilvl w:val="0"/>
          <w:numId w:val="1338"/>
        </w:numPr>
      </w:pPr>
      <w:r>
        <w:rPr>
          <w:b/>
          <w:bCs/>
        </w:rPr>
        <w:t xml:space="preserve">Utilidade, não dinheiro.</w:t>
      </w:r>
      <w:r>
        <w:t xml:space="preserve"> </w:t>
      </w:r>
      <w:r>
        <w:t xml:space="preserve">O salto de</w:t>
      </w:r>
      <w:r>
        <w:t xml:space="preserve"> </w:t>
      </w:r>
      <m:oMath>
        <m:r>
          <m:t>E</m:t>
        </m:r>
        <m:r>
          <m:rPr>
            <m:sty m:val="p"/>
          </m:rPr>
          <m:t>[</m:t>
        </m:r>
        <m:r>
          <m:t>x</m:t>
        </m:r>
        <m:r>
          <m:rPr>
            <m:sty m:val="p"/>
          </m:rPr>
          <m:t>]</m:t>
        </m:r>
      </m:oMath>
      <w:r>
        <w:t xml:space="preserve"> </w:t>
      </w:r>
      <w:r>
        <w:t xml:space="preserve">para</w:t>
      </w:r>
      <w:r>
        <w:t xml:space="preserve"> </w:t>
      </w:r>
      <m:oMath>
        <m:r>
          <m:t>E</m:t>
        </m:r>
        <m:r>
          <m:rPr>
            <m:sty m:val="p"/>
          </m:rPr>
          <m:t>[</m:t>
        </m:r>
        <m:r>
          <m:t>u</m:t>
        </m:r>
        <m:r>
          <m:rPr>
            <m:sty m:val="p"/>
          </m:rPr>
          <m:t>(</m:t>
        </m:r>
        <m:r>
          <m:t>x</m:t>
        </m:r>
        <m:r>
          <m:rPr>
            <m:sty m:val="p"/>
          </m:rPr>
          <m:t>)</m:t>
        </m:r>
        <m:r>
          <m:rPr>
            <m:sty m:val="p"/>
          </m:rPr>
          <m:t>]</m:t>
        </m:r>
      </m:oMath>
      <w:r>
        <w:t xml:space="preserve"> </w:t>
      </w:r>
      <w:r>
        <w:t xml:space="preserve">é toda a diferença entre a estatística e a microeconomia da incerteza. A curvatura da utilidade — não o valor esperado — governa as decisões sob risco.</w:t>
      </w:r>
    </w:p>
    <w:p>
      <w:pPr>
        <w:pStyle w:val="Compact"/>
        <w:numPr>
          <w:ilvl w:val="0"/>
          <w:numId w:val="1338"/>
        </w:numPr>
      </w:pPr>
      <w:r>
        <w:rPr>
          <w:b/>
          <w:bCs/>
        </w:rPr>
        <w:t xml:space="preserve">Risco tem preço.</w:t>
      </w:r>
      <w:r>
        <w:t xml:space="preserve"> </w:t>
      </w:r>
      <w:r>
        <w:t xml:space="preserve">O prêmio de risco de Arrow-Pratt converte aversão abstrata em reais concretos. É o fundamento de tudo: do seguro rural ao CAPM, do Proagro ao Tesouro Direto.</w:t>
      </w:r>
    </w:p>
    <w:p>
      <w:pPr>
        <w:pStyle w:val="Compact"/>
        <w:numPr>
          <w:ilvl w:val="0"/>
          <w:numId w:val="1338"/>
        </w:numPr>
      </w:pPr>
      <w:r>
        <w:rPr>
          <w:b/>
          <w:bCs/>
        </w:rPr>
        <w:t xml:space="preserve">Informação é poder (e assimetria é falha).</w:t>
      </w:r>
      <w:r>
        <w:t xml:space="preserve"> </w:t>
      </w:r>
      <w:r>
        <w:t xml:space="preserve">Quando uma parte sabe mais que a outra, mercados de risco podem colapsar. Seleção adversa e risco moral são as sementes que florescerão nos capítulos seguintes.</w:t>
      </w:r>
    </w:p>
    <w:p>
      <w:pPr>
        <w:pStyle w:val="FirstParagraph"/>
      </w:pPr>
      <w:r>
        <w:rPr>
          <w:i/>
          <w:iCs/>
        </w:rPr>
        <w:t xml:space="preserve">O consumidor aprendeu a lidar com o risco. Mas será que ele realmente faz isso de forma racional? O próximo capítulo diz que não — e tem provas.</w:t>
      </w:r>
    </w:p>
    <w:p>
      <w:r>
        <w:pict>
          <v:rect style="width:0;height:1.5pt" o:hralign="center" o:hrstd="t" o:hr="t"/>
        </w:pict>
      </w:r>
    </w:p>
    <w:p>
      <w:pPr>
        <w:pStyle w:val="FirstParagraph"/>
      </w:pPr>
      <w:r>
        <w:t xml:space="preserve">[FIGURA INTERATIVA: /micro-book/graficos/cap07/webr-risco.html — versao interativa disponivel online]</w:t>
      </w:r>
    </w:p>
    <w:p>
      <w:pPr>
        <w:pStyle w:val="BodyText"/>
      </w:pPr>
      <w:r>
        <w:rPr>
          <w:b/>
          <w:bCs/>
        </w:rPr>
        <w:t xml:space="preserve">WebR 7.1 — Prêmio de risco e aversão ao risco.</w:t>
      </w:r>
      <w:r>
        <w:t xml:space="preserve"> </w:t>
      </w:r>
      <w:r>
        <w:t xml:space="preserve">Visualize a função CRRA, o equivalente de certeza e o prêmio de risco. Altere γ para ver como a curvatura (concavidade) afeta a disposição a pagar por seguro.</w:t>
      </w:r>
    </w:p>
    <w:p>
      <w:pPr>
        <w:pStyle w:val="BodyText"/>
      </w:pPr>
      <w:r>
        <w:t xml:space="preserve">[FIGURA INTERATIVA: /micro-book/graficos/cap07/webr-portfolio.html — versao interativa disponivel online]</w:t>
      </w:r>
    </w:p>
    <w:p>
      <w:pPr>
        <w:pStyle w:val="BodyText"/>
      </w:pPr>
      <w:r>
        <w:rPr>
          <w:b/>
          <w:bCs/>
        </w:rPr>
        <w:t xml:space="preserve">WebR 7.2 — Fronteira eficiente e diversificação.</w:t>
      </w:r>
      <w:r>
        <w:t xml:space="preserve"> </w:t>
      </w:r>
      <w:r>
        <w:t xml:space="preserve">Combine dois ativos e veja a fronteira risco-retorno. Altere a correlação ρ: com ρ negativa, a diversificação pode reduzir o risco abaixo do ativo menos arriscado!</w:t>
      </w:r>
    </w:p>
    <w:p>
      <w:pPr>
        <w:pStyle w:val="BodyText"/>
      </w:pPr>
      <w:r>
        <w:t xml:space="preserve">[FIGURA INTERATIVA: /micro-book/graficos/cap07/webr-seguro.html — versao interativa disponivel online]</w:t>
      </w:r>
    </w:p>
    <w:p>
      <w:pPr>
        <w:pStyle w:val="BodyText"/>
      </w:pPr>
      <w:r>
        <w:rPr>
          <w:b/>
          <w:bCs/>
        </w:rPr>
        <w:t xml:space="preserve">WebR 7.3 — Mercado de seguros: cobertura ótima.</w:t>
      </w:r>
      <w:r>
        <w:t xml:space="preserve"> </w:t>
      </w:r>
      <w:r>
        <w:t xml:space="preserve">Com seguro atuarialmente justo, o avesso ao risco compra cobertura total. Aumente o loading (custo administrativo) e veja a cobertura ótima cair. Diagrama estado-contingente incluso.</w:t>
      </w:r>
    </w:p>
    <w:p>
      <w:pPr>
        <w:pStyle w:val="BodyText"/>
      </w:pPr>
      <w:r>
        <w:t xml:space="preserve">[FIGURA INTERATIVA: /micro-book/graficos/cap07/webr-cara-crra.html — versao interativa disponivel online]</w:t>
      </w:r>
    </w:p>
    <w:p>
      <w:pPr>
        <w:pStyle w:val="BodyText"/>
      </w:pPr>
      <w:r>
        <w:rPr>
          <w:b/>
          <w:bCs/>
        </w:rPr>
        <w:t xml:space="preserve">WebR 7.4 — CARA vs. CRRA: absoluto vs. relativo.</w:t>
      </w:r>
      <w:r>
        <w:t xml:space="preserve"> </w:t>
      </w:r>
      <w:r>
        <w:t xml:space="preserve">CARA: aversão absoluta constante (bilionário teme a mesma perda absoluta que assalariado). CRRA: aversão relativa constante (mais realista). Compare Arrow-Pratt e prêmio de risco.</w:t>
      </w:r>
    </w:p>
    <w:p>
      <w:r>
        <w:pict>
          <v:rect style="width:0;height:1.5pt" o:hralign="center" o:hrstd="t" o:hr="t"/>
        </w:pict>
      </w:r>
    </w:p>
    <w:p>
      <w:pPr>
        <w:pStyle w:val="BlockText"/>
      </w:pPr>
      <w:r>
        <w:rPr>
          <w:b/>
          <w:bCs/>
        </w:rPr>
        <w:t xml:space="preserve">[ATIVIDADE DE SALA] Atividade 7.1 — A aposta do café: revelando aversão ao risco (15 min)</w:t>
      </w:r>
    </w:p>
    <w:p>
      <w:pPr>
        <w:pStyle w:val="BlockText"/>
      </w:pPr>
      <w:r>
        <w:rPr>
          <w:b/>
          <w:bCs/>
        </w:rPr>
        <w:t xml:space="preserve">Objetivo:</w:t>
      </w:r>
      <w:r>
        <w:t xml:space="preserve"> </w:t>
      </w:r>
      <w:r>
        <w:t xml:space="preserve">Revelar empiricamente a aversão ao risco dos alunos — e conectar com a curvatura da função de utilidade.</w:t>
      </w:r>
    </w:p>
    <w:p>
      <w:pPr>
        <w:pStyle w:val="BlockText"/>
      </w:pPr>
      <w:r>
        <w:rPr>
          <w:b/>
          <w:bCs/>
        </w:rPr>
        <w:t xml:space="preserve">Material:</w:t>
      </w:r>
      <w:r>
        <w:t xml:space="preserve"> </w:t>
      </w:r>
      <w:r>
        <w:t xml:space="preserve">Moeda, quadro branco.</w:t>
      </w:r>
    </w:p>
    <w:p>
      <w:pPr>
        <w:pStyle w:val="BlockText"/>
      </w:pPr>
      <w:r>
        <w:rPr>
          <w:b/>
          <w:bCs/>
        </w:rPr>
        <w:t xml:space="preserve">Protocolo:</w:t>
      </w:r>
    </w:p>
    <w:p>
      <w:pPr>
        <w:pStyle w:val="Compact"/>
        <w:numPr>
          <w:ilvl w:val="0"/>
          <w:numId w:val="1339"/>
        </w:numPr>
      </w:pPr>
      <w:r>
        <w:rPr>
          <w:b/>
          <w:bCs/>
        </w:rPr>
        <w:t xml:space="preserve">A oferta</w:t>
      </w:r>
      <w:r>
        <w:t xml:space="preserve"> </w:t>
      </w:r>
      <w:r>
        <w:t xml:space="preserve">(3 min):</w:t>
      </w:r>
      <w:r>
        <w:t xml:space="preserve"> </w:t>
      </w:r>
      <w:r>
        <w:t xml:space="preserve">“Eu vou jogar uma moeda. Cara: você ganha R$ 100. Coroa: você não ganha nada. Valor esperado = R$ 50. Mas eu te ofereço R$ 50 garantidos para</w:t>
      </w:r>
      <w:r>
        <w:t xml:space="preserve"> </w:t>
      </w:r>
      <w:r>
        <w:rPr>
          <w:i/>
          <w:iCs/>
        </w:rPr>
        <w:t xml:space="preserve">não</w:t>
      </w:r>
      <w:r>
        <w:t xml:space="preserve"> </w:t>
      </w:r>
      <w:r>
        <w:t xml:space="preserve">jogar. Quem aceita os R$ 50 certos?”</w:t>
      </w:r>
      <w:r>
        <w:t xml:space="preserve"> </w:t>
      </w:r>
      <w:r>
        <w:t xml:space="preserve">→ A maioria levanta a mão (aversão ao risco).</w:t>
      </w:r>
    </w:p>
    <w:p>
      <w:pPr>
        <w:pStyle w:val="Compact"/>
        <w:numPr>
          <w:ilvl w:val="0"/>
          <w:numId w:val="1339"/>
        </w:numPr>
      </w:pPr>
      <w:r>
        <w:rPr>
          <w:b/>
          <w:bCs/>
        </w:rPr>
        <w:t xml:space="preserve">Baixando o preço</w:t>
      </w:r>
      <w:r>
        <w:t xml:space="preserve"> </w:t>
      </w:r>
      <w:r>
        <w:t xml:space="preserve">(5 min):</w:t>
      </w:r>
      <w:r>
        <w:t xml:space="preserve"> </w:t>
      </w:r>
      <w:r>
        <w:t xml:space="preserve">“E se eu oferecer R$ 40 certos? R$ 30? R$ 20?”</w:t>
      </w:r>
      <w:r>
        <w:t xml:space="preserve"> </w:t>
      </w:r>
      <w:r>
        <w:t xml:space="preserve">Registre no quadro a proporção que aceita a cada valor. O menor valor que um aluno aceita é seu</w:t>
      </w:r>
      <w:r>
        <w:t xml:space="preserve"> </w:t>
      </w:r>
      <w:r>
        <w:rPr>
          <w:b/>
          <w:bCs/>
        </w:rPr>
        <w:t xml:space="preserve">equivalente de certeza</w:t>
      </w:r>
      <w:r>
        <w:t xml:space="preserve">. A diferença entre R$ 50 e o EC é o</w:t>
      </w:r>
      <w:r>
        <w:t xml:space="preserve"> </w:t>
      </w:r>
      <w:r>
        <w:rPr>
          <w:b/>
          <w:bCs/>
        </w:rPr>
        <w:t xml:space="preserve">prêmio de risco</w:t>
      </w:r>
      <w:r>
        <w:t xml:space="preserve">.</w:t>
      </w:r>
    </w:p>
    <w:p>
      <w:pPr>
        <w:pStyle w:val="Compact"/>
        <w:numPr>
          <w:ilvl w:val="0"/>
          <w:numId w:val="1339"/>
        </w:numPr>
      </w:pPr>
      <w:r>
        <w:rPr>
          <w:b/>
          <w:bCs/>
        </w:rPr>
        <w:t xml:space="preserve">Variação</w:t>
      </w:r>
      <w:r>
        <w:t xml:space="preserve"> </w:t>
      </w:r>
      <w:r>
        <w:t xml:space="preserve">(3 min):</w:t>
      </w:r>
      <w:r>
        <w:t xml:space="preserve"> </w:t>
      </w:r>
      <w:r>
        <w:t xml:space="preserve">“Agora: Cara = R$ 10.000, Coroa = nada. Valor esperado = R$ 5.000. Quanto você aceitaria para não jogar?”</w:t>
      </w:r>
      <w:r>
        <w:t xml:space="preserve"> </w:t>
      </w:r>
      <w:r>
        <w:t xml:space="preserve">→ Os prêmios de risco tendem a ser proporcionalmente maiores. Conecte com ARA vs. RRA (Seção 7.4).</w:t>
      </w:r>
    </w:p>
    <w:p>
      <w:pPr>
        <w:pStyle w:val="Compact"/>
        <w:numPr>
          <w:ilvl w:val="0"/>
          <w:numId w:val="1339"/>
        </w:numPr>
      </w:pPr>
      <w:r>
        <w:rPr>
          <w:b/>
          <w:bCs/>
        </w:rPr>
        <w:t xml:space="preserve">Debrief</w:t>
      </w:r>
      <w:r>
        <w:t xml:space="preserve"> </w:t>
      </w:r>
      <w:r>
        <w:t xml:space="preserve">(4 min):</w:t>
      </w:r>
    </w:p>
    <w:p>
      <w:pPr>
        <w:pStyle w:val="Compact"/>
        <w:numPr>
          <w:ilvl w:val="1"/>
          <w:numId w:val="1340"/>
        </w:numPr>
      </w:pPr>
      <w:r>
        <w:t xml:space="preserve">“Quem aceitou R$ 50 certos no lugar de E[x] = 50 é avesso ao risco. A moeda oferece o mesmo valor esperado, mas com incerteza — e vocês pagaram (em esperança perdida) para evitá-la.”</w:t>
      </w:r>
    </w:p>
    <w:p>
      <w:pPr>
        <w:pStyle w:val="Compact"/>
        <w:numPr>
          <w:ilvl w:val="1"/>
          <w:numId w:val="1340"/>
        </w:numPr>
      </w:pPr>
      <w:r>
        <w:t xml:space="preserve">“A diferença entre R$ 50 e seu EC é literalmente o prêmio de risco de Arrow-Pratt.”</w:t>
      </w:r>
    </w:p>
    <w:p>
      <w:pPr>
        <w:pStyle w:val="Compact"/>
        <w:numPr>
          <w:ilvl w:val="1"/>
          <w:numId w:val="1340"/>
        </w:numPr>
      </w:pPr>
      <w:r>
        <w:t xml:space="preserve">“Alguém rejeitou os R$ 50 certos? Isso é preferência pelo risco — utilidade</w:t>
      </w:r>
      <w:r>
        <w:t xml:space="preserve"> </w:t>
      </w:r>
      <w:r>
        <w:rPr>
          <w:i/>
          <w:iCs/>
        </w:rPr>
        <w:t xml:space="preserve">convexa</w:t>
      </w:r>
      <w:r>
        <w:t xml:space="preserve">.”</w:t>
      </w:r>
    </w:p>
    <w:p>
      <w:pPr>
        <w:pStyle w:val="Compact"/>
        <w:numPr>
          <w:ilvl w:val="1"/>
          <w:numId w:val="1340"/>
        </w:numPr>
      </w:pPr>
      <w:r>
        <w:t xml:space="preserve">Conecte com a desigualdade de Jensen (Seção 7.3):</w:t>
      </w:r>
      <w:r>
        <w:t xml:space="preserve"> </w:t>
      </w:r>
      <m:oMath>
        <m:r>
          <m:t>E</m:t>
        </m:r>
        <m:r>
          <m:rPr>
            <m:sty m:val="p"/>
          </m:rPr>
          <m:t>[</m:t>
        </m:r>
        <m:r>
          <m:t>u</m:t>
        </m:r>
        <m:r>
          <m:rPr>
            <m:sty m:val="p"/>
          </m:rPr>
          <m:t>(</m:t>
        </m:r>
        <m:r>
          <m:t>x</m:t>
        </m:r>
        <m:r>
          <m:rPr>
            <m:sty m:val="p"/>
          </m:rPr>
          <m:t>)</m:t>
        </m:r>
        <m:r>
          <m:rPr>
            <m:sty m:val="p"/>
          </m:rPr>
          <m:t>]</m:t>
        </m:r>
        <m:r>
          <m:rPr>
            <m:sty m:val="p"/>
          </m:rPr>
          <m:t>&lt;</m:t>
        </m:r>
        <m:r>
          <m:t>u</m:t>
        </m:r>
        <m:r>
          <m:rPr>
            <m:sty m:val="p"/>
          </m:rPr>
          <m:t>(</m:t>
        </m:r>
        <m:r>
          <m:t>E</m:t>
        </m:r>
        <m:r>
          <m:rPr>
            <m:sty m:val="p"/>
          </m:rPr>
          <m:t>[</m:t>
        </m:r>
        <m:r>
          <m:t>x</m:t>
        </m:r>
        <m:r>
          <m:rPr>
            <m:sty m:val="p"/>
          </m:rPr>
          <m:t>]</m:t>
        </m:r>
        <m:r>
          <m:rPr>
            <m:sty m:val="p"/>
          </m:rPr>
          <m:t>)</m:t>
        </m:r>
      </m:oMath>
      <w:r>
        <w:t xml:space="preserve"> </w:t>
      </w:r>
      <w:r>
        <w:t xml:space="preserve">para avessos ao risco.</w:t>
      </w:r>
    </w:p>
    <w:p>
      <w:pPr>
        <w:pStyle w:val="BlockText"/>
      </w:pPr>
      <w:r>
        <w:rPr>
          <w:b/>
          <w:bCs/>
        </w:rPr>
        <w:t xml:space="preserve">Conexão com o conteúdo:</w:t>
      </w:r>
      <w:r>
        <w:t xml:space="preserve"> </w:t>
      </w:r>
      <w:r>
        <w:t xml:space="preserve">Seções 7.3 (aversão ao risco), 7.4 (Arrow-Pratt), 7.5 (prêmio de risco e equivalente de certeza). Inspirado em Holt e Laury (2002).</w:t>
      </w:r>
    </w:p>
    <w:p>
      <w:pPr>
        <w:pStyle w:val="BlockText"/>
      </w:pPr>
      <w:r>
        <w:rPr>
          <w:b/>
          <w:bCs/>
        </w:rPr>
        <w:t xml:space="preserve">[ATIVIDADE DE SALA] Atividade 7.2 — Diversificação com dados: não coloque todos os ovos na mesma cesta (15 min)</w:t>
      </w:r>
    </w:p>
    <w:p>
      <w:pPr>
        <w:pStyle w:val="BlockText"/>
      </w:pPr>
      <w:r>
        <w:rPr>
          <w:b/>
          <w:bCs/>
        </w:rPr>
        <w:t xml:space="preserve">Objetivo:</w:t>
      </w:r>
      <w:r>
        <w:t xml:space="preserve"> </w:t>
      </w:r>
      <w:r>
        <w:t xml:space="preserve">Demonstrar empiricamente que diversificação reduz risco sem reduzir retorno esperado.</w:t>
      </w:r>
    </w:p>
    <w:p>
      <w:pPr>
        <w:pStyle w:val="BlockText"/>
      </w:pPr>
      <w:r>
        <w:rPr>
          <w:b/>
          <w:bCs/>
        </w:rPr>
        <w:t xml:space="preserve">Material:</w:t>
      </w:r>
      <w:r>
        <w:t xml:space="preserve"> </w:t>
      </w:r>
      <w:r>
        <w:t xml:space="preserve">2 dados de seis faces por grupo (ou app simulador de dados no celular).</w:t>
      </w:r>
    </w:p>
    <w:p>
      <w:pPr>
        <w:pStyle w:val="BlockText"/>
      </w:pPr>
      <w:r>
        <w:rPr>
          <w:b/>
          <w:bCs/>
        </w:rPr>
        <w:t xml:space="preserve">Protocolo:</w:t>
      </w:r>
    </w:p>
    <w:p>
      <w:pPr>
        <w:pStyle w:val="Compact"/>
        <w:numPr>
          <w:ilvl w:val="0"/>
          <w:numId w:val="1341"/>
        </w:numPr>
      </w:pPr>
      <w:r>
        <w:rPr>
          <w:b/>
          <w:bCs/>
        </w:rPr>
        <w:t xml:space="preserve">Setup</w:t>
      </w:r>
      <w:r>
        <w:t xml:space="preserve"> </w:t>
      </w:r>
      <w:r>
        <w:t xml:space="preserve">(3 min): Grupos de 3.</w:t>
      </w:r>
      <w:r>
        <w:t xml:space="preserve"> </w:t>
      </w:r>
      <w:r>
        <w:t xml:space="preserve">“Ativo A = resultado do dado 1 (payoff em R</w:t>
      </w:r>
      <m:oMath>
        <m:r>
          <m:rPr>
            <m:sty m:val="p"/>
          </m:rPr>
          <m:t>)</m:t>
        </m:r>
        <m:r>
          <m:rPr>
            <m:sty m:val="p"/>
          </m:rPr>
          <m:t>.</m:t>
        </m:r>
        <m:r>
          <m:t>A</m:t>
        </m:r>
        <m:r>
          <m:t>t</m:t>
        </m:r>
        <m:r>
          <m:t>i</m:t>
        </m:r>
        <m:r>
          <m:t>v</m:t>
        </m:r>
        <m:r>
          <m:t>o</m:t>
        </m:r>
        <m:r>
          <m:t>B</m:t>
        </m:r>
        <m:r>
          <m:rPr>
            <m:sty m:val="p"/>
          </m:rPr>
          <m:t>=</m:t>
        </m:r>
        <m:r>
          <m:t>r</m:t>
        </m:r>
        <m:r>
          <m:t>e</m:t>
        </m:r>
        <m:r>
          <m:t>s</m:t>
        </m:r>
        <m:r>
          <m:t>u</m:t>
        </m:r>
        <m:r>
          <m:t>l</m:t>
        </m:r>
        <m:r>
          <m:t>t</m:t>
        </m:r>
        <m:r>
          <m:t>a</m:t>
        </m:r>
        <m:r>
          <m:t>d</m:t>
        </m:r>
        <m:r>
          <m:t>o</m:t>
        </m:r>
        <m:r>
          <m:t>d</m:t>
        </m:r>
        <m:r>
          <m:t>o</m:t>
        </m:r>
        <m:r>
          <m:t>d</m:t>
        </m:r>
        <m:r>
          <m:t>a</m:t>
        </m:r>
        <m:r>
          <m:t>d</m:t>
        </m:r>
        <m:r>
          <m:t>o</m:t>
        </m:r>
        <m:r>
          <m:t>2</m:t>
        </m:r>
        <m:r>
          <m:rPr>
            <m:sty m:val="p"/>
          </m:rPr>
          <m:t>(</m:t>
        </m:r>
        <m:r>
          <m:t>p</m:t>
        </m:r>
        <m:r>
          <m:t>a</m:t>
        </m:r>
        <m:r>
          <m:t>y</m:t>
        </m:r>
        <m:r>
          <m:t>o</m:t>
        </m:r>
        <m:r>
          <m:t>f</m:t>
        </m:r>
        <m:r>
          <m:t>f</m:t>
        </m:r>
        <m:r>
          <m:t>e</m:t>
        </m:r>
        <m:r>
          <m:t>m</m:t>
        </m:r>
        <m:r>
          <m:t>R</m:t>
        </m:r>
      </m:oMath>
      <w:r>
        <w:t xml:space="preserve">). Cada um tem E[x] = 3,5 e variância = 2,92.”</w:t>
      </w:r>
    </w:p>
    <w:p>
      <w:pPr>
        <w:pStyle w:val="Compact"/>
        <w:numPr>
          <w:ilvl w:val="0"/>
          <w:numId w:val="1341"/>
        </w:numPr>
      </w:pPr>
      <w:r>
        <w:rPr>
          <w:b/>
          <w:bCs/>
        </w:rPr>
        <w:t xml:space="preserve">Estratégia concentrada</w:t>
      </w:r>
      <w:r>
        <w:t xml:space="preserve"> </w:t>
      </w:r>
      <w:r>
        <w:t xml:space="preserve">(4 min):</w:t>
      </w:r>
      <w:r>
        <w:t xml:space="preserve"> </w:t>
      </w:r>
      <w:r>
        <w:t xml:space="preserve">“Joguem o dado A dez vezes. Anotem os resultados. Calculem a média e o desvio padrão.”</w:t>
      </w:r>
      <w:r>
        <w:t xml:space="preserve"> </w:t>
      </w:r>
      <w:r>
        <w:t xml:space="preserve">→ Média perto de 3,5, mas muita variação entre rodadas.</w:t>
      </w:r>
    </w:p>
    <w:p>
      <w:pPr>
        <w:pStyle w:val="Compact"/>
        <w:numPr>
          <w:ilvl w:val="0"/>
          <w:numId w:val="1341"/>
        </w:numPr>
      </w:pPr>
      <w:r>
        <w:rPr>
          <w:b/>
          <w:bCs/>
        </w:rPr>
        <w:t xml:space="preserve">Estratégia diversificada</w:t>
      </w:r>
      <w:r>
        <w:t xml:space="preserve"> </w:t>
      </w:r>
      <w:r>
        <w:t xml:space="preserve">(4 min):</w:t>
      </w:r>
      <w:r>
        <w:t xml:space="preserve"> </w:t>
      </w:r>
      <w:r>
        <w:t xml:space="preserve">“Agora joguem</w:t>
      </w:r>
      <w:r>
        <w:t xml:space="preserve"> </w:t>
      </w:r>
      <w:r>
        <w:rPr>
          <w:i/>
          <w:iCs/>
        </w:rPr>
        <w:t xml:space="preserve">ambos</w:t>
      </w:r>
      <w:r>
        <w:t xml:space="preserve"> </w:t>
      </w:r>
      <w:r>
        <w:t xml:space="preserve">os dados e usem a</w:t>
      </w:r>
      <w:r>
        <w:t xml:space="preserve"> </w:t>
      </w:r>
      <w:r>
        <w:rPr>
          <w:i/>
          <w:iCs/>
        </w:rPr>
        <w:t xml:space="preserve">média</w:t>
      </w:r>
      <w:r>
        <w:t xml:space="preserve"> </w:t>
      </w:r>
      <w:r>
        <w:t xml:space="preserve">dos dois como payoff. Dez rodadas.”</w:t>
      </w:r>
      <w:r>
        <w:t xml:space="preserve"> </w:t>
      </w:r>
      <w:r>
        <w:t xml:space="preserve">→ Média similar (~3,5), mas desvio padrão menor. Os resultados extremos (1 e 6) quase desaparecem.</w:t>
      </w:r>
    </w:p>
    <w:p>
      <w:pPr>
        <w:pStyle w:val="Compact"/>
        <w:numPr>
          <w:ilvl w:val="0"/>
          <w:numId w:val="1341"/>
        </w:numPr>
      </w:pPr>
      <w:r>
        <w:rPr>
          <w:b/>
          <w:bCs/>
        </w:rPr>
        <w:t xml:space="preserve">Debrief</w:t>
      </w:r>
      <w:r>
        <w:t xml:space="preserve"> </w:t>
      </w:r>
      <w:r>
        <w:t xml:space="preserve">(4 min):</w:t>
      </w:r>
    </w:p>
    <w:p>
      <w:pPr>
        <w:pStyle w:val="Compact"/>
        <w:numPr>
          <w:ilvl w:val="1"/>
          <w:numId w:val="1342"/>
        </w:numPr>
      </w:pPr>
      <w:r>
        <w:t xml:space="preserve">Compare as distribuições no quadro.</w:t>
      </w:r>
      <w:r>
        <w:t xml:space="preserve"> </w:t>
      </w:r>
      <w:r>
        <w:t xml:space="preserve">“O retorno esperado é o mesmo. Mas o risco caiu. Isso é diversificação.”</w:t>
      </w:r>
    </w:p>
    <w:p>
      <w:pPr>
        <w:pStyle w:val="Compact"/>
        <w:numPr>
          <w:ilvl w:val="1"/>
          <w:numId w:val="1342"/>
        </w:numPr>
      </w:pPr>
      <w:r>
        <w:t xml:space="preserve">“Se os dados fossem</w:t>
      </w:r>
      <w:r>
        <w:t xml:space="preserve"> </w:t>
      </w:r>
      <w:r>
        <w:rPr>
          <w:i/>
          <w:iCs/>
        </w:rPr>
        <w:t xml:space="preserve">correlacionados</w:t>
      </w:r>
      <w:r>
        <w:t xml:space="preserve"> </w:t>
      </w:r>
      <w:r>
        <w:t xml:space="preserve">(os dois sempre dando o mesmo número), a diversificação não funcionaria. A correlação entre ativos é a chave.”</w:t>
      </w:r>
    </w:p>
    <w:p>
      <w:pPr>
        <w:pStyle w:val="Compact"/>
        <w:numPr>
          <w:ilvl w:val="1"/>
          <w:numId w:val="1342"/>
        </w:numPr>
      </w:pPr>
      <w:r>
        <w:t xml:space="preserve">Conecte com Seção 7.6 (diversificação como método de redução de risco) e com a intuição do CAPM (risco diversificável vs. sistemático).</w:t>
      </w:r>
    </w:p>
    <w:p>
      <w:pPr>
        <w:pStyle w:val="BlockText"/>
      </w:pPr>
      <w:r>
        <w:rPr>
          <w:b/>
          <w:bCs/>
        </w:rPr>
        <w:t xml:space="preserve">Conexão com o conteúdo:</w:t>
      </w:r>
      <w:r>
        <w:t xml:space="preserve"> </w:t>
      </w:r>
      <w:r>
        <w:t xml:space="preserve">Seção 7.6 (métodos para reduzir o risco — diversificação). Extensão natural: Seção 7.7 (estado-preferência e ativos Arrow-Debreu).</w:t>
      </w:r>
    </w:p>
    <w:p>
      <w:pPr>
        <w:pStyle w:val="BlockText"/>
      </w:pPr>
      <w:r>
        <w:rPr>
          <w:b/>
          <w:bCs/>
        </w:rPr>
        <w:t xml:space="preserve">[RESUMO] Para onde estes conceitos vão</w:t>
      </w:r>
    </w:p>
    <w:p>
      <w:pPr>
        <w:pStyle w:val="BlockText"/>
      </w:pPr>
      <w:r>
        <w:t xml:space="preserve">As seções 7.7–7.8 plantaram a semente da</w:t>
      </w:r>
      <w:r>
        <w:t xml:space="preserve"> </w:t>
      </w:r>
      <w:r>
        <w:rPr>
          <w:b/>
          <w:bCs/>
        </w:rPr>
        <w:t xml:space="preserve">informação assimétrica</w:t>
      </w:r>
      <w:r>
        <w:t xml:space="preserve">: o que acontece quando um lado do mercado sabe mais que o outro? Este tema será desenvolvido em profundidade em dois capítulos posteriores:</w:t>
      </w:r>
    </w:p>
    <w:p>
      <w:pPr>
        <w:pStyle w:val="BlockText"/>
        <w:numPr>
          <w:ilvl w:val="0"/>
          <w:numId w:val="1343"/>
        </w:numPr>
      </w:pPr>
      <w:r>
        <w:rPr>
          <w:b/>
          <w:bCs/>
        </w:rPr>
        <w:t xml:space="preserve">Cap. 9d — O Diploma É Caro (Cap. 9):</w:t>
      </w:r>
      <w:r>
        <w:t xml:space="preserve"> </w:t>
      </w:r>
      <w:r>
        <w:t xml:space="preserve">A abordagem de</w:t>
      </w:r>
      <w:r>
        <w:t xml:space="preserve"> </w:t>
      </w:r>
      <w:r>
        <w:rPr>
          <w:b/>
          <w:bCs/>
        </w:rPr>
        <w:t xml:space="preserve">teoria dos jogos</w:t>
      </w:r>
      <w:r>
        <w:t xml:space="preserve">. Sinalização (Spence), seleção adversa (Akerlof), moral hazard e cheap talk — todos como jogos sequenciais com informação incompleta, resolvidos via Equilíbrio Bayesiano Perfeito.</w:t>
      </w:r>
    </w:p>
    <w:p>
      <w:pPr>
        <w:pStyle w:val="BlockText"/>
        <w:numPr>
          <w:ilvl w:val="0"/>
          <w:numId w:val="1343"/>
        </w:numPr>
      </w:pPr>
      <w:r>
        <w:rPr>
          <w:b/>
          <w:bCs/>
        </w:rPr>
        <w:t xml:space="preserve">Cap. 19 — Quando Um Lado Sabe Mais (Cap. 19):</w:t>
      </w:r>
      <w:r>
        <w:t xml:space="preserve"> </w:t>
      </w:r>
      <w:r>
        <w:t xml:space="preserve">A abordagem de</w:t>
      </w:r>
      <w:r>
        <w:t xml:space="preserve"> </w:t>
      </w:r>
      <w:r>
        <w:rPr>
          <w:b/>
          <w:bCs/>
        </w:rPr>
        <w:t xml:space="preserve">mercados e contratos</w:t>
      </w:r>
      <w:r>
        <w:t xml:space="preserve">. Os mesmos fenômenos (sinalização, screening, seleção adversa, moral hazard), mas com foco em como mercados, seguradoras, empregadores e reguladores</w:t>
      </w:r>
      <w:r>
        <w:t xml:space="preserve"> </w:t>
      </w:r>
      <w:r>
        <w:rPr>
          <w:b/>
          <w:bCs/>
        </w:rPr>
        <w:t xml:space="preserve">desenham mecanismos</w:t>
      </w:r>
      <w:r>
        <w:t xml:space="preserve"> </w:t>
      </w:r>
      <w:r>
        <w:t xml:space="preserve">para lidar com a assimetria.</w:t>
      </w:r>
    </w:p>
    <w:p>
      <w:pPr>
        <w:pStyle w:val="BlockText"/>
      </w:pPr>
      <w:r>
        <w:rPr>
          <w:b/>
          <w:bCs/>
        </w:rPr>
        <w:t xml:space="preserve">Resumo:</w:t>
      </w:r>
      <w:r>
        <w:t xml:space="preserve"> </w:t>
      </w:r>
      <w:r>
        <w:t xml:space="preserve">Cap. 9d =</w:t>
      </w:r>
      <w:r>
        <w:t xml:space="preserve"> </w:t>
      </w:r>
      <w:r>
        <w:t xml:space="preserve">“como modelar o problema”</w:t>
      </w:r>
      <w:r>
        <w:t xml:space="preserve">; Cap. 19 =</w:t>
      </w:r>
      <w:r>
        <w:t xml:space="preserve"> </w:t>
      </w:r>
      <w:r>
        <w:t xml:space="preserve">“como resolver o problema na prática”</w:t>
      </w:r>
      <w:r>
        <w:t xml:space="preserve">. Ambos usam o arcabouço de estado-preferência que você acabou de aprender como ponto de partida.</w:t>
      </w:r>
    </w:p>
    <w:bookmarkEnd w:id="346"/>
    <w:bookmarkEnd w:id="347"/>
    <w:bookmarkEnd w:id="348"/>
    <w:bookmarkStart w:id="356" w:name="exercícios-e-anpec-5"/>
    <w:p>
      <w:pPr>
        <w:pStyle w:val="Heading2"/>
      </w:pPr>
      <w:r>
        <w:t xml:space="preserve">Exercícios e ANPEC</w:t>
      </w:r>
    </w:p>
    <w:p>
      <w:pPr>
        <w:pStyle w:val="BlockText"/>
      </w:pPr>
      <w:r>
        <w:rPr>
          <w:b/>
          <w:bCs/>
        </w:rPr>
        <w:t xml:space="preserve">[DICA] Dados para exercicios empiricos</w:t>
      </w:r>
    </w:p>
    <w:p>
      <w:pPr>
        <w:pStyle w:val="Compact"/>
        <w:numPr>
          <w:ilvl w:val="0"/>
          <w:numId w:val="1344"/>
        </w:numPr>
      </w:pPr>
      <w:r>
        <w:rPr>
          <w:b/>
          <w:bCs/>
        </w:rPr>
        <w:t xml:space="preserve">Mega-Sena / Loterias Caixa:</w:t>
      </w:r>
      <w:r>
        <w:t xml:space="preserve"> </w:t>
      </w:r>
      <w:hyperlink r:id="rId349">
        <w:r>
          <w:rPr>
            <w:rStyle w:val="Hyperlink"/>
          </w:rPr>
          <w:t xml:space="preserve">loterias.caixa.gov.br</w:t>
        </w:r>
      </w:hyperlink>
      <w:r>
        <w:t xml:space="preserve"> </w:t>
      </w:r>
      <w:r>
        <w:t xml:space="preserve">— Historico completo de sorteios. Calcule o valor esperado, o premio de risco e o CRRA implicito na decisao de comprar um bilhete.</w:t>
      </w:r>
    </w:p>
    <w:p>
      <w:pPr>
        <w:pStyle w:val="Compact"/>
        <w:numPr>
          <w:ilvl w:val="0"/>
          <w:numId w:val="1344"/>
        </w:numPr>
      </w:pPr>
      <w:r>
        <w:rPr>
          <w:b/>
          <w:bCs/>
        </w:rPr>
        <w:t xml:space="preserve">B3 / Dados de mercado:</w:t>
      </w:r>
      <w:r>
        <w:t xml:space="preserve"> </w:t>
      </w:r>
      <w:hyperlink r:id="rId350">
        <w:r>
          <w:rPr>
            <w:rStyle w:val="Hyperlink"/>
          </w:rPr>
          <w:t xml:space="preserve">b3.com.br</w:t>
        </w:r>
      </w:hyperlink>
      <w:r>
        <w:t xml:space="preserve"> </w:t>
      </w:r>
      <w:r>
        <w:t xml:space="preserve">— Retornos diarios do Ibovespa para estimar volatilidade e calcular premios de risco de ativos reais.</w:t>
      </w:r>
    </w:p>
    <w:p>
      <w:pPr>
        <w:pStyle w:val="Compact"/>
        <w:numPr>
          <w:ilvl w:val="0"/>
          <w:numId w:val="1344"/>
        </w:numPr>
      </w:pPr>
      <w:r>
        <w:rPr>
          <w:b/>
          <w:bCs/>
        </w:rPr>
        <w:t xml:space="preserve">Notebook:</w:t>
      </w:r>
      <w:r>
        <w:t xml:space="preserve"> </w:t>
      </w:r>
      <w:r>
        <w:t xml:space="preserve">N4 — Loteria e aversao ao risco (dados da Mega-Sena).</w:t>
      </w:r>
    </w:p>
    <w:bookmarkStart w:id="351" w:name="revisão-rápida-5"/>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Um agente com função de utilidade côncava sobre riqueza é classificado como:</w:t>
      </w:r>
    </w:p>
    <w:p>
      <w:pPr>
        <w:pStyle w:val="Compact"/>
        <w:numPr>
          <w:ilvl w:val="0"/>
          <w:numId w:val="1345"/>
        </w:numPr>
      </w:pPr>
    </w:p>
    <w:p>
      <w:pPr>
        <w:pStyle w:val="Compact"/>
        <w:numPr>
          <w:ilvl w:val="1"/>
          <w:numId w:val="1346"/>
        </w:numPr>
      </w:pPr>
      <w:r>
        <w:t xml:space="preserve">Amante do risco — prefere a loteria ao valor esperado com certeza</w:t>
      </w:r>
    </w:p>
    <w:p>
      <w:pPr>
        <w:pStyle w:val="Compact"/>
        <w:numPr>
          <w:ilvl w:val="0"/>
          <w:numId w:val="1345"/>
        </w:numPr>
      </w:pPr>
    </w:p>
    <w:p>
      <w:pPr>
        <w:pStyle w:val="Compact"/>
        <w:numPr>
          <w:ilvl w:val="1"/>
          <w:numId w:val="1347"/>
        </w:numPr>
      </w:pPr>
      <w:r>
        <w:t xml:space="preserve">Neutro ao risco — é indiferente entre a loteria e seu valor esperado</w:t>
      </w:r>
    </w:p>
    <w:p>
      <w:pPr>
        <w:pStyle w:val="Compact"/>
        <w:numPr>
          <w:ilvl w:val="0"/>
          <w:numId w:val="1345"/>
        </w:numPr>
      </w:pPr>
    </w:p>
    <w:p>
      <w:pPr>
        <w:pStyle w:val="Compact"/>
        <w:numPr>
          <w:ilvl w:val="1"/>
          <w:numId w:val="1348"/>
        </w:numPr>
      </w:pPr>
      <w:r>
        <w:t xml:space="preserve">Avesso ao risco — prefere o valor esperado com certeza à loteria</w:t>
      </w:r>
    </w:p>
    <w:p>
      <w:pPr>
        <w:pStyle w:val="Compact"/>
        <w:numPr>
          <w:ilvl w:val="0"/>
          <w:numId w:val="1345"/>
        </w:numPr>
      </w:pPr>
    </w:p>
    <w:p>
      <w:pPr>
        <w:pStyle w:val="Compact"/>
        <w:numPr>
          <w:ilvl w:val="1"/>
          <w:numId w:val="1349"/>
        </w:numPr>
      </w:pPr>
      <w:r>
        <w:t xml:space="preserve">Avesso ao risco apenas se a variância da loteria for alta</w:t>
      </w:r>
    </w:p>
    <w:p>
      <w:pPr>
        <w:pStyle w:val="BlockText"/>
      </w:pPr>
      <w:r>
        <w:t xml:space="preserve">??? success</w:t>
      </w:r>
      <w:r>
        <w:t xml:space="preserve"> </w:t>
      </w:r>
      <w:r>
        <w:t xml:space="preserve">“Resposta”</w:t>
      </w:r>
      <w:r>
        <w:t xml:space="preserve"> </w:t>
      </w:r>
      <w:r>
        <w:rPr>
          <w:b/>
          <w:bCs/>
        </w:rPr>
        <w:t xml:space="preserve">(c)</w:t>
      </w:r>
      <w:r>
        <w:t xml:space="preserve"> </w:t>
      </w:r>
      <w:r>
        <w:t xml:space="preserve">Concavidade de</w:t>
      </w:r>
      <w:r>
        <w:t xml:space="preserve"> </w:t>
      </w:r>
      <m:oMath>
        <m:r>
          <m:t>u</m:t>
        </m:r>
        <m:r>
          <m:rPr>
            <m:sty m:val="p"/>
          </m:rPr>
          <m:t>(</m:t>
        </m:r>
        <m:r>
          <m:t>W</m:t>
        </m:r>
        <m:r>
          <m:rPr>
            <m:sty m:val="p"/>
          </m:rPr>
          <m:t>)</m:t>
        </m:r>
      </m:oMath>
      <w:r>
        <w:t xml:space="preserve"> </w:t>
      </w:r>
      <w:r>
        <w:t xml:space="preserve">implica, pela desigualdade de Jensen, que</w:t>
      </w:r>
      <w:r>
        <w:t xml:space="preserve"> </w:t>
      </w:r>
      <m:oMath>
        <m:r>
          <m:t>E</m:t>
        </m:r>
        <m:r>
          <m:rPr>
            <m:sty m:val="p"/>
          </m:rPr>
          <m:t>[</m:t>
        </m:r>
        <m:r>
          <m:t>u</m:t>
        </m:r>
        <m:r>
          <m:rPr>
            <m:sty m:val="p"/>
          </m:rPr>
          <m:t>(</m:t>
        </m:r>
        <m:r>
          <m:t>W</m:t>
        </m:r>
        <m:r>
          <m:rPr>
            <m:sty m:val="p"/>
          </m:rPr>
          <m:t>)</m:t>
        </m:r>
        <m:r>
          <m:rPr>
            <m:sty m:val="p"/>
          </m:rPr>
          <m:t>]</m:t>
        </m:r>
        <m:r>
          <m:rPr>
            <m:sty m:val="p"/>
          </m:rPr>
          <m:t>&lt;</m:t>
        </m:r>
        <m:r>
          <m:t>u</m:t>
        </m:r>
        <m:r>
          <m:rPr>
            <m:sty m:val="p"/>
          </m:rPr>
          <m:t>(</m:t>
        </m:r>
        <m:r>
          <m:t>E</m:t>
        </m:r>
        <m:r>
          <m:rPr>
            <m:sty m:val="p"/>
          </m:rPr>
          <m:t>[</m:t>
        </m:r>
        <m:r>
          <m:t>W</m:t>
        </m:r>
        <m:r>
          <m:rPr>
            <m:sty m:val="p"/>
          </m:rPr>
          <m:t>]</m:t>
        </m:r>
        <m:r>
          <m:rPr>
            <m:sty m:val="p"/>
          </m:rPr>
          <m:t>)</m:t>
        </m:r>
      </m:oMath>
      <w:r>
        <w:t xml:space="preserve">: a utilidade esperada da loteria é menor que a utilidade do valor esperado recebido com certeza. Portanto, o agente prefere a certeza — é avesso ao risco. A alternativa (a) requer convexidade; (b) requer linearidade; (d) é incorreta pois a aversão vale para qualquer loteria arriscada.</w:t>
      </w:r>
    </w:p>
    <w:p>
      <w:pPr>
        <w:pStyle w:val="BlockText"/>
      </w:pPr>
      <w:r>
        <w:rPr>
          <w:b/>
          <w:bCs/>
        </w:rPr>
        <w:t xml:space="preserve">[QUESTAO] 2. O equivalente certeza de uma loteria é o valor</w:t>
      </w:r>
      <w:r>
        <w:rPr>
          <w:b/>
          <w:bCs/>
        </w:rPr>
        <w:t xml:space="preserve"> </w:t>
      </w:r>
      <m:oMath>
        <m:sSub>
          <m:e>
            <m:r>
              <m:t>W</m:t>
            </m:r>
          </m:e>
          <m:sub>
            <m:r>
              <m:t>C</m:t>
            </m:r>
            <m:r>
              <m:t>E</m:t>
            </m:r>
          </m:sub>
        </m:sSub>
      </m:oMath>
      <w:r>
        <w:rPr>
          <w:b/>
          <w:bCs/>
        </w:rPr>
        <w:t xml:space="preserve"> </w:t>
      </w:r>
      <w:r>
        <w:rPr>
          <w:b/>
          <w:bCs/>
        </w:rPr>
        <w:t xml:space="preserve">tal que:</w:t>
      </w:r>
    </w:p>
    <w:p>
      <w:pPr>
        <w:pStyle w:val="Compact"/>
        <w:numPr>
          <w:ilvl w:val="0"/>
          <w:numId w:val="1350"/>
        </w:numPr>
      </w:pPr>
    </w:p>
    <w:p>
      <w:pPr>
        <w:pStyle w:val="Compact"/>
        <w:numPr>
          <w:ilvl w:val="1"/>
          <w:numId w:val="1351"/>
        </w:numPr>
      </w:pPr>
      <m:oMath>
        <m:r>
          <m:t>u</m:t>
        </m:r>
        <m:r>
          <m:rPr>
            <m:sty m:val="p"/>
          </m:rPr>
          <m:t>(</m:t>
        </m:r>
        <m:sSub>
          <m:e>
            <m:r>
              <m:t>W</m:t>
            </m:r>
          </m:e>
          <m:sub>
            <m:r>
              <m:t>C</m:t>
            </m:r>
            <m:r>
              <m:t>E</m:t>
            </m:r>
          </m:sub>
        </m:sSub>
        <m:r>
          <m:rPr>
            <m:sty m:val="p"/>
          </m:rPr>
          <m:t>)</m:t>
        </m:r>
        <m:r>
          <m:rPr>
            <m:sty m:val="p"/>
          </m:rPr>
          <m:t>=</m:t>
        </m:r>
        <m:r>
          <m:t>E</m:t>
        </m:r>
        <m:r>
          <m:rPr>
            <m:sty m:val="p"/>
          </m:rPr>
          <m:t>[</m:t>
        </m:r>
        <m:r>
          <m:t>W</m:t>
        </m:r>
        <m:r>
          <m:rPr>
            <m:sty m:val="p"/>
          </m:rPr>
          <m:t>]</m:t>
        </m:r>
      </m:oMath>
    </w:p>
    <w:p>
      <w:pPr>
        <w:pStyle w:val="Compact"/>
        <w:numPr>
          <w:ilvl w:val="0"/>
          <w:numId w:val="1350"/>
        </w:numPr>
      </w:pPr>
    </w:p>
    <w:p>
      <w:pPr>
        <w:pStyle w:val="Compact"/>
        <w:numPr>
          <w:ilvl w:val="1"/>
          <w:numId w:val="1352"/>
        </w:numPr>
      </w:pPr>
      <m:oMath>
        <m:r>
          <m:t>u</m:t>
        </m:r>
        <m:r>
          <m:rPr>
            <m:sty m:val="p"/>
          </m:rPr>
          <m:t>(</m:t>
        </m:r>
        <m:sSub>
          <m:e>
            <m:r>
              <m:t>W</m:t>
            </m:r>
          </m:e>
          <m:sub>
            <m:r>
              <m:t>C</m:t>
            </m:r>
            <m:r>
              <m:t>E</m:t>
            </m:r>
          </m:sub>
        </m:sSub>
        <m:r>
          <m:rPr>
            <m:sty m:val="p"/>
          </m:rPr>
          <m:t>)</m:t>
        </m:r>
        <m:r>
          <m:rPr>
            <m:sty m:val="p"/>
          </m:rPr>
          <m:t>=</m:t>
        </m:r>
        <m:r>
          <m:t>E</m:t>
        </m:r>
        <m:r>
          <m:rPr>
            <m:sty m:val="p"/>
          </m:rPr>
          <m:t>[</m:t>
        </m:r>
        <m:r>
          <m:t>u</m:t>
        </m:r>
        <m:r>
          <m:rPr>
            <m:sty m:val="p"/>
          </m:rPr>
          <m:t>(</m:t>
        </m:r>
        <m:r>
          <m:t>W</m:t>
        </m:r>
        <m:r>
          <m:rPr>
            <m:sty m:val="p"/>
          </m:rPr>
          <m:t>)</m:t>
        </m:r>
        <m:r>
          <m:rPr>
            <m:sty m:val="p"/>
          </m:rPr>
          <m:t>]</m:t>
        </m:r>
      </m:oMath>
    </w:p>
    <w:p>
      <w:pPr>
        <w:pStyle w:val="Compact"/>
        <w:numPr>
          <w:ilvl w:val="0"/>
          <w:numId w:val="1350"/>
        </w:numPr>
      </w:pPr>
    </w:p>
    <w:p>
      <w:pPr>
        <w:pStyle w:val="Compact"/>
        <w:numPr>
          <w:ilvl w:val="1"/>
          <w:numId w:val="1353"/>
        </w:numPr>
      </w:pPr>
      <m:oMath>
        <m:sSub>
          <m:e>
            <m:r>
              <m:t>W</m:t>
            </m:r>
          </m:e>
          <m:sub>
            <m:r>
              <m:t>C</m:t>
            </m:r>
            <m:r>
              <m:t>E</m:t>
            </m:r>
          </m:sub>
        </m:sSub>
        <m:r>
          <m:rPr>
            <m:sty m:val="p"/>
          </m:rPr>
          <m:t>=</m:t>
        </m:r>
        <m:r>
          <m:t>E</m:t>
        </m:r>
        <m:r>
          <m:rPr>
            <m:sty m:val="p"/>
          </m:rPr>
          <m:t>[</m:t>
        </m:r>
        <m:r>
          <m:t>W</m:t>
        </m:r>
        <m:r>
          <m:rPr>
            <m:sty m:val="p"/>
          </m:rPr>
          <m:t>]</m:t>
        </m:r>
      </m:oMath>
      <w:r>
        <w:t xml:space="preserve"> </w:t>
      </w:r>
      <w:r>
        <w:t xml:space="preserve">sempre</w:t>
      </w:r>
    </w:p>
    <w:p>
      <w:pPr>
        <w:pStyle w:val="Compact"/>
        <w:numPr>
          <w:ilvl w:val="0"/>
          <w:numId w:val="1350"/>
        </w:numPr>
      </w:pPr>
    </w:p>
    <w:p>
      <w:pPr>
        <w:pStyle w:val="Compact"/>
        <w:numPr>
          <w:ilvl w:val="1"/>
          <w:numId w:val="1354"/>
        </w:numPr>
      </w:pPr>
      <m:oMath>
        <m:sSub>
          <m:e>
            <m:r>
              <m:t>W</m:t>
            </m:r>
          </m:e>
          <m:sub>
            <m:r>
              <m:t>C</m:t>
            </m:r>
            <m:r>
              <m:t>E</m:t>
            </m:r>
          </m:sub>
        </m:sSub>
        <m:r>
          <m:rPr>
            <m:sty m:val="p"/>
          </m:rPr>
          <m:t>=</m:t>
        </m:r>
        <m:r>
          <m:t>E</m:t>
        </m:r>
        <m:r>
          <m:rPr>
            <m:sty m:val="p"/>
          </m:rPr>
          <m:t>[</m:t>
        </m:r>
        <m:r>
          <m:t>W</m:t>
        </m:r>
        <m:r>
          <m:rPr>
            <m:sty m:val="p"/>
          </m:rPr>
          <m:t>]</m:t>
        </m:r>
        <m:r>
          <m:rPr>
            <m:sty m:val="p"/>
          </m:rPr>
          <m:t>+</m:t>
        </m:r>
        <m:r>
          <m:rPr>
            <m:nor/>
            <m:sty m:val="p"/>
          </m:rPr>
          <m:t>prêmio de risco</m:t>
        </m:r>
      </m:oMath>
    </w:p>
    <w:p>
      <w:pPr>
        <w:pStyle w:val="BlockText"/>
      </w:pPr>
      <w:r>
        <w:t xml:space="preserve">??? success</w:t>
      </w:r>
      <w:r>
        <w:t xml:space="preserve"> </w:t>
      </w:r>
      <w:r>
        <w:t xml:space="preserve">“Resposta”</w:t>
      </w:r>
      <w:r>
        <w:t xml:space="preserve"> </w:t>
      </w:r>
      <w:r>
        <w:rPr>
          <w:b/>
          <w:bCs/>
        </w:rPr>
        <w:t xml:space="preserve">(b)</w:t>
      </w:r>
      <w:r>
        <w:t xml:space="preserve"> </w:t>
      </w:r>
      <w:r>
        <w:t xml:space="preserve">O equivalente certeza é o montante certo que dá a mesma utilidade esperada que a loteria:</w:t>
      </w:r>
      <w:r>
        <w:t xml:space="preserve"> </w:t>
      </w:r>
      <m:oMath>
        <m:r>
          <m:t>u</m:t>
        </m:r>
        <m:r>
          <m:rPr>
            <m:sty m:val="p"/>
          </m:rPr>
          <m:t>(</m:t>
        </m:r>
        <m:sSub>
          <m:e>
            <m:r>
              <m:t>W</m:t>
            </m:r>
          </m:e>
          <m:sub>
            <m:r>
              <m:t>C</m:t>
            </m:r>
            <m:r>
              <m:t>E</m:t>
            </m:r>
          </m:sub>
        </m:sSub>
        <m:r>
          <m:rPr>
            <m:sty m:val="p"/>
          </m:rPr>
          <m:t>)</m:t>
        </m:r>
        <m:r>
          <m:rPr>
            <m:sty m:val="p"/>
          </m:rPr>
          <m:t>=</m:t>
        </m:r>
        <m:r>
          <m:t>E</m:t>
        </m:r>
        <m:r>
          <m:rPr>
            <m:sty m:val="p"/>
          </m:rPr>
          <m:t>[</m:t>
        </m:r>
        <m:r>
          <m:t>u</m:t>
        </m:r>
        <m:r>
          <m:rPr>
            <m:sty m:val="p"/>
          </m:rPr>
          <m:t>(</m:t>
        </m:r>
        <m:r>
          <m:t>W</m:t>
        </m:r>
        <m:r>
          <m:rPr>
            <m:sty m:val="p"/>
          </m:rPr>
          <m:t>)</m:t>
        </m:r>
        <m:r>
          <m:rPr>
            <m:sty m:val="p"/>
          </m:rPr>
          <m:t>]</m:t>
        </m:r>
      </m:oMath>
      <w:r>
        <w:t xml:space="preserve">. Para um avesso ao risco,</w:t>
      </w:r>
      <w:r>
        <w:t xml:space="preserve"> </w:t>
      </w:r>
      <m:oMath>
        <m:sSub>
          <m:e>
            <m:r>
              <m:t>W</m:t>
            </m:r>
          </m:e>
          <m:sub>
            <m:r>
              <m:t>C</m:t>
            </m:r>
            <m:r>
              <m:t>E</m:t>
            </m:r>
          </m:sub>
        </m:sSub>
        <m:r>
          <m:rPr>
            <m:sty m:val="p"/>
          </m:rPr>
          <m:t>&lt;</m:t>
        </m:r>
        <m:r>
          <m:t>E</m:t>
        </m:r>
        <m:r>
          <m:rPr>
            <m:sty m:val="p"/>
          </m:rPr>
          <m:t>[</m:t>
        </m:r>
        <m:r>
          <m:t>W</m:t>
        </m:r>
        <m:r>
          <m:rPr>
            <m:sty m:val="p"/>
          </m:rPr>
          <m:t>]</m:t>
        </m:r>
      </m:oMath>
      <w:r>
        <w:t xml:space="preserve">, e a diferença</w:t>
      </w:r>
      <w:r>
        <w:t xml:space="preserve"> </w:t>
      </w:r>
      <m:oMath>
        <m:r>
          <m:t>E</m:t>
        </m:r>
        <m:r>
          <m:rPr>
            <m:sty m:val="p"/>
          </m:rPr>
          <m:t>[</m:t>
        </m:r>
        <m:r>
          <m:t>W</m:t>
        </m:r>
        <m:r>
          <m:rPr>
            <m:sty m:val="p"/>
          </m:rPr>
          <m:t>]</m:t>
        </m:r>
        <m:r>
          <m:rPr>
            <m:sty m:val="p"/>
          </m:rPr>
          <m:t>−</m:t>
        </m:r>
        <m:sSub>
          <m:e>
            <m:r>
              <m:t>W</m:t>
            </m:r>
          </m:e>
          <m:sub>
            <m:r>
              <m:t>C</m:t>
            </m:r>
            <m:r>
              <m:t>E</m:t>
            </m:r>
          </m:sub>
        </m:sSub>
      </m:oMath>
      <w:r>
        <w:t xml:space="preserve"> </w:t>
      </w:r>
      <w:r>
        <w:t xml:space="preserve">é o prêmio de risco. A alternativa (a) confunde utilidade do equivalente certeza com o valor esperado monetário; (c) só vale para neutralidade ao risco; (d) inverte a relação.</w:t>
      </w:r>
    </w:p>
    <w:p>
      <w:pPr>
        <w:pStyle w:val="BlockText"/>
      </w:pPr>
      <w:r>
        <w:rPr>
          <w:b/>
          <w:bCs/>
        </w:rPr>
        <w:t xml:space="preserve">[QUESTAO] 3. A medida de Arrow-Pratt de aversão absoluta ao risco é definida como:</w:t>
      </w:r>
    </w:p>
    <w:p>
      <w:pPr>
        <w:pStyle w:val="Compact"/>
        <w:numPr>
          <w:ilvl w:val="0"/>
          <w:numId w:val="1355"/>
        </w:numPr>
      </w:pPr>
    </w:p>
    <w:p>
      <w:pPr>
        <w:pStyle w:val="Compact"/>
        <w:numPr>
          <w:ilvl w:val="1"/>
          <w:numId w:val="1356"/>
        </w:numPr>
      </w:pPr>
      <m:oMath>
        <m:r>
          <m:t>A</m:t>
        </m:r>
        <m:r>
          <m:rPr>
            <m:sty m:val="p"/>
          </m:rPr>
          <m:t>(</m:t>
        </m:r>
        <m:r>
          <m:t>W</m:t>
        </m:r>
        <m:r>
          <m:rPr>
            <m:sty m:val="p"/>
          </m:rPr>
          <m:t>)</m:t>
        </m:r>
        <m:r>
          <m:rPr>
            <m:sty m:val="p"/>
          </m:rPr>
          <m:t>=</m:t>
        </m:r>
        <m:r>
          <m:rPr>
            <m:sty m:val="p"/>
          </m:rPr>
          <m:t>−</m:t>
        </m:r>
        <m:sSup>
          <m:e>
            <m:r>
              <m:t>u</m:t>
            </m:r>
          </m:e>
          <m:sup>
            <m:r>
              <m:rPr>
                <m:sty m:val="p"/>
              </m:rPr>
              <m:t>′</m:t>
            </m:r>
          </m:sup>
        </m:sSup>
        <m:r>
          <m:rPr>
            <m:sty m:val="p"/>
          </m:rPr>
          <m:t>(</m:t>
        </m:r>
        <m:r>
          <m:t>W</m:t>
        </m:r>
        <m:r>
          <m:rPr>
            <m:sty m:val="p"/>
          </m:rPr>
          <m:t>)</m:t>
        </m:r>
        <m:r>
          <m:rPr>
            <m:sty m:val="p"/>
          </m:rPr>
          <m:t>/</m:t>
        </m:r>
        <m:sSup>
          <m:e>
            <m:r>
              <m:t>u</m:t>
            </m:r>
          </m:e>
          <m:sup>
            <m:r>
              <m:rPr>
                <m:sty m:val="p"/>
              </m:rPr>
              <m:t>″</m:t>
            </m:r>
          </m:sup>
        </m:sSup>
        <m:r>
          <m:rPr>
            <m:sty m:val="p"/>
          </m:rPr>
          <m:t>(</m:t>
        </m:r>
        <m:r>
          <m:t>W</m:t>
        </m:r>
        <m:r>
          <m:rPr>
            <m:sty m:val="p"/>
          </m:rPr>
          <m:t>)</m:t>
        </m:r>
      </m:oMath>
    </w:p>
    <w:p>
      <w:pPr>
        <w:pStyle w:val="Compact"/>
        <w:numPr>
          <w:ilvl w:val="0"/>
          <w:numId w:val="1355"/>
        </w:numPr>
      </w:pPr>
    </w:p>
    <w:p>
      <w:pPr>
        <w:pStyle w:val="Compact"/>
        <w:numPr>
          <w:ilvl w:val="1"/>
          <w:numId w:val="1357"/>
        </w:numPr>
      </w:pPr>
      <m:oMath>
        <m:r>
          <m:t>A</m:t>
        </m:r>
        <m:r>
          <m:rPr>
            <m:sty m:val="p"/>
          </m:rPr>
          <m:t>(</m:t>
        </m:r>
        <m:r>
          <m:t>W</m:t>
        </m:r>
        <m:r>
          <m:rPr>
            <m:sty m:val="p"/>
          </m:rPr>
          <m:t>)</m:t>
        </m:r>
        <m:r>
          <m:rPr>
            <m:sty m:val="p"/>
          </m:rPr>
          <m:t>=</m:t>
        </m:r>
        <m:r>
          <m:rPr>
            <m:sty m:val="p"/>
          </m:rPr>
          <m:t>−</m:t>
        </m:r>
        <m:sSup>
          <m:e>
            <m:r>
              <m:t>u</m:t>
            </m:r>
          </m:e>
          <m:sup>
            <m:r>
              <m:rPr>
                <m:sty m:val="p"/>
              </m:rPr>
              <m:t>″</m:t>
            </m:r>
          </m:sup>
        </m:sSup>
        <m:r>
          <m:rPr>
            <m:sty m:val="p"/>
          </m:rPr>
          <m:t>(</m:t>
        </m:r>
        <m:r>
          <m:t>W</m:t>
        </m:r>
        <m:r>
          <m:rPr>
            <m:sty m:val="p"/>
          </m:rPr>
          <m:t>)</m:t>
        </m:r>
        <m:r>
          <m:rPr>
            <m:sty m:val="p"/>
          </m:rPr>
          <m:t>/</m:t>
        </m:r>
        <m:sSup>
          <m:e>
            <m:r>
              <m:t>u</m:t>
            </m:r>
          </m:e>
          <m:sup>
            <m:r>
              <m:rPr>
                <m:sty m:val="p"/>
              </m:rPr>
              <m:t>′</m:t>
            </m:r>
          </m:sup>
        </m:sSup>
        <m:r>
          <m:rPr>
            <m:sty m:val="p"/>
          </m:rPr>
          <m:t>(</m:t>
        </m:r>
        <m:r>
          <m:t>W</m:t>
        </m:r>
        <m:r>
          <m:rPr>
            <m:sty m:val="p"/>
          </m:rPr>
          <m:t>)</m:t>
        </m:r>
      </m:oMath>
    </w:p>
    <w:p>
      <w:pPr>
        <w:pStyle w:val="Compact"/>
        <w:numPr>
          <w:ilvl w:val="0"/>
          <w:numId w:val="1355"/>
        </w:numPr>
      </w:pPr>
    </w:p>
    <w:p>
      <w:pPr>
        <w:pStyle w:val="Compact"/>
        <w:numPr>
          <w:ilvl w:val="1"/>
          <w:numId w:val="1358"/>
        </w:numPr>
      </w:pPr>
      <m:oMath>
        <m:r>
          <m:t>A</m:t>
        </m:r>
        <m:r>
          <m:rPr>
            <m:sty m:val="p"/>
          </m:rPr>
          <m:t>(</m:t>
        </m:r>
        <m:r>
          <m:t>W</m:t>
        </m:r>
        <m:r>
          <m:rPr>
            <m:sty m:val="p"/>
          </m:rPr>
          <m:t>)</m:t>
        </m:r>
        <m:r>
          <m:rPr>
            <m:sty m:val="p"/>
          </m:rPr>
          <m:t>=</m:t>
        </m:r>
        <m:sSup>
          <m:e>
            <m:r>
              <m:t>u</m:t>
            </m:r>
          </m:e>
          <m:sup>
            <m:r>
              <m:rPr>
                <m:sty m:val="p"/>
              </m:rPr>
              <m:t>″</m:t>
            </m:r>
          </m:sup>
        </m:sSup>
        <m:r>
          <m:rPr>
            <m:sty m:val="p"/>
          </m:rPr>
          <m:t>(</m:t>
        </m:r>
        <m:r>
          <m:t>W</m:t>
        </m:r>
        <m:r>
          <m:rPr>
            <m:sty m:val="p"/>
          </m:rPr>
          <m:t>)</m:t>
        </m:r>
        <m:r>
          <m:rPr>
            <m:sty m:val="p"/>
          </m:rPr>
          <m:t>/</m:t>
        </m:r>
        <m:sSup>
          <m:e>
            <m:r>
              <m:t>u</m:t>
            </m:r>
          </m:e>
          <m:sup>
            <m:r>
              <m:rPr>
                <m:sty m:val="p"/>
              </m:rPr>
              <m:t>′</m:t>
            </m:r>
          </m:sup>
        </m:sSup>
        <m:r>
          <m:rPr>
            <m:sty m:val="p"/>
          </m:rPr>
          <m:t>(</m:t>
        </m:r>
        <m:r>
          <m:t>W</m:t>
        </m:r>
        <m:r>
          <m:rPr>
            <m:sty m:val="p"/>
          </m:rPr>
          <m:t>)</m:t>
        </m:r>
      </m:oMath>
    </w:p>
    <w:p>
      <w:pPr>
        <w:pStyle w:val="Compact"/>
        <w:numPr>
          <w:ilvl w:val="0"/>
          <w:numId w:val="1355"/>
        </w:numPr>
      </w:pPr>
    </w:p>
    <w:p>
      <w:pPr>
        <w:pStyle w:val="Compact"/>
        <w:numPr>
          <w:ilvl w:val="1"/>
          <w:numId w:val="1359"/>
        </w:numPr>
      </w:pPr>
      <m:oMath>
        <m:r>
          <m:t>A</m:t>
        </m:r>
        <m:r>
          <m:rPr>
            <m:sty m:val="p"/>
          </m:rPr>
          <m:t>(</m:t>
        </m:r>
        <m:r>
          <m:t>W</m:t>
        </m:r>
        <m:r>
          <m:rPr>
            <m:sty m:val="p"/>
          </m:rPr>
          <m:t>)</m:t>
        </m:r>
        <m:r>
          <m:rPr>
            <m:sty m:val="p"/>
          </m:rPr>
          <m:t>=</m:t>
        </m:r>
        <m:r>
          <m:rPr>
            <m:sty m:val="p"/>
          </m:rPr>
          <m:t>−</m:t>
        </m:r>
        <m:sSup>
          <m:e>
            <m:r>
              <m:t>u</m:t>
            </m:r>
          </m:e>
          <m:sup>
            <m:r>
              <m:rPr>
                <m:sty m:val="p"/>
              </m:rPr>
              <m:t>′</m:t>
            </m:r>
          </m:sup>
        </m:sSup>
        <m:r>
          <m:rPr>
            <m:sty m:val="p"/>
          </m:rPr>
          <m:t>(</m:t>
        </m:r>
        <m:r>
          <m:t>W</m:t>
        </m:r>
        <m:r>
          <m:rPr>
            <m:sty m:val="p"/>
          </m:rPr>
          <m:t>)</m:t>
        </m:r>
        <m:r>
          <m:rPr>
            <m:sty m:val="p"/>
          </m:rPr>
          <m:t>⋅</m:t>
        </m:r>
        <m:sSup>
          <m:e>
            <m:r>
              <m:t>u</m:t>
            </m:r>
          </m:e>
          <m:sup>
            <m:r>
              <m:rPr>
                <m:sty m:val="p"/>
              </m:rPr>
              <m:t>″</m:t>
            </m:r>
          </m:sup>
        </m:sSup>
        <m:r>
          <m:rPr>
            <m:sty m:val="p"/>
          </m:rPr>
          <m:t>(</m:t>
        </m:r>
        <m:r>
          <m:t>W</m:t>
        </m:r>
        <m:r>
          <m:rPr>
            <m:sty m:val="p"/>
          </m:rPr>
          <m:t>)</m:t>
        </m:r>
      </m:oMath>
    </w:p>
    <w:p>
      <w:pPr>
        <w:pStyle w:val="BlockText"/>
      </w:pPr>
      <w:r>
        <w:t xml:space="preserve">??? success</w:t>
      </w:r>
      <w:r>
        <w:t xml:space="preserve"> </w:t>
      </w:r>
      <w:r>
        <w:t xml:space="preserve">“Resposta”</w:t>
      </w:r>
      <w:r>
        <w:t xml:space="preserve"> </w:t>
      </w:r>
      <w:r>
        <w:rPr>
          <w:b/>
          <w:bCs/>
        </w:rPr>
        <w:t xml:space="preserve">(b)</w:t>
      </w:r>
      <w:r>
        <w:t xml:space="preserve"> </w:t>
      </w:r>
      <w:r>
        <w:t xml:space="preserve">O coeficiente de Arrow-Pratt</w:t>
      </w:r>
      <w:r>
        <w:t xml:space="preserve"> </w:t>
      </w:r>
      <m:oMath>
        <m:r>
          <m:t>A</m:t>
        </m:r>
        <m:r>
          <m:rPr>
            <m:sty m:val="p"/>
          </m:rPr>
          <m:t>(</m:t>
        </m:r>
        <m:r>
          <m:t>W</m:t>
        </m:r>
        <m:r>
          <m:rPr>
            <m:sty m:val="p"/>
          </m:rPr>
          <m:t>)</m:t>
        </m:r>
        <m:r>
          <m:rPr>
            <m:sty m:val="p"/>
          </m:rPr>
          <m:t>=</m:t>
        </m:r>
        <m:r>
          <m:rPr>
            <m:sty m:val="p"/>
          </m:rPr>
          <m:t>−</m:t>
        </m:r>
        <m:sSup>
          <m:e>
            <m:r>
              <m:t>u</m:t>
            </m:r>
          </m:e>
          <m:sup>
            <m:r>
              <m:rPr>
                <m:sty m:val="p"/>
              </m:rPr>
              <m:t>″</m:t>
            </m:r>
          </m:sup>
        </m:sSup>
        <m:r>
          <m:rPr>
            <m:sty m:val="p"/>
          </m:rPr>
          <m:t>(</m:t>
        </m:r>
        <m:r>
          <m:t>W</m:t>
        </m:r>
        <m:r>
          <m:rPr>
            <m:sty m:val="p"/>
          </m:rPr>
          <m:t>)</m:t>
        </m:r>
        <m:r>
          <m:rPr>
            <m:sty m:val="p"/>
          </m:rPr>
          <m:t>/</m:t>
        </m:r>
        <m:sSup>
          <m:e>
            <m:r>
              <m:t>u</m:t>
            </m:r>
          </m:e>
          <m:sup>
            <m:r>
              <m:rPr>
                <m:sty m:val="p"/>
              </m:rPr>
              <m:t>′</m:t>
            </m:r>
          </m:sup>
        </m:sSup>
        <m:r>
          <m:rPr>
            <m:sty m:val="p"/>
          </m:rPr>
          <m:t>(</m:t>
        </m:r>
        <m:r>
          <m:t>W</m:t>
        </m:r>
        <m:r>
          <m:rPr>
            <m:sty m:val="p"/>
          </m:rPr>
          <m:t>)</m:t>
        </m:r>
      </m:oMath>
      <w:r>
        <w:t xml:space="preserve"> </w:t>
      </w:r>
      <w:r>
        <w:t xml:space="preserve">mede a curvatura relativa da função de utilidade. É positivo para avessos ao risco (</w:t>
      </w:r>
      <m:oMath>
        <m:sSup>
          <m:e>
            <m:r>
              <m:t>u</m:t>
            </m:r>
          </m:e>
          <m:sup>
            <m:r>
              <m:rPr>
                <m:sty m:val="p"/>
              </m:rPr>
              <m:t>″</m:t>
            </m:r>
          </m:sup>
        </m:sSup>
        <m:r>
          <m:rPr>
            <m:sty m:val="p"/>
          </m:rPr>
          <m:t>&lt;</m:t>
        </m:r>
        <m:r>
          <m:t>0</m:t>
        </m:r>
      </m:oMath>
      <w:r>
        <w:t xml:space="preserve">). A alternativa (a) inverte a fração; (c) dá valor negativo para avessos ao risco; (d) não tem interpretação econômica padrão.</w:t>
      </w:r>
    </w:p>
    <w:p>
      <w:pPr>
        <w:pStyle w:val="BlockText"/>
      </w:pPr>
      <w:r>
        <w:rPr>
          <w:b/>
          <w:bCs/>
        </w:rPr>
        <w:t xml:space="preserve">[QUESTAO] 4. No mercado de seguros com informação simétrica, um agente avesso ao risco e uma seguradora neutra ao risco alcançam eficiência quando:</w:t>
      </w:r>
    </w:p>
    <w:p>
      <w:pPr>
        <w:pStyle w:val="Compact"/>
        <w:numPr>
          <w:ilvl w:val="0"/>
          <w:numId w:val="1360"/>
        </w:numPr>
      </w:pPr>
    </w:p>
    <w:p>
      <w:pPr>
        <w:pStyle w:val="Compact"/>
        <w:numPr>
          <w:ilvl w:val="1"/>
          <w:numId w:val="1361"/>
        </w:numPr>
      </w:pPr>
      <w:r>
        <w:t xml:space="preserve">O prêmio do seguro é igual ao dobro da perda esperada</w:t>
      </w:r>
    </w:p>
    <w:p>
      <w:pPr>
        <w:pStyle w:val="Compact"/>
        <w:numPr>
          <w:ilvl w:val="0"/>
          <w:numId w:val="1360"/>
        </w:numPr>
      </w:pPr>
    </w:p>
    <w:p>
      <w:pPr>
        <w:pStyle w:val="Compact"/>
        <w:numPr>
          <w:ilvl w:val="1"/>
          <w:numId w:val="1362"/>
        </w:numPr>
      </w:pPr>
      <w:r>
        <w:t xml:space="preserve">O agente compra seguro parcial para manter incentivo a ter cuidado</w:t>
      </w:r>
    </w:p>
    <w:p>
      <w:pPr>
        <w:pStyle w:val="Compact"/>
        <w:numPr>
          <w:ilvl w:val="0"/>
          <w:numId w:val="1360"/>
        </w:numPr>
      </w:pPr>
    </w:p>
    <w:p>
      <w:pPr>
        <w:pStyle w:val="Compact"/>
        <w:numPr>
          <w:ilvl w:val="1"/>
          <w:numId w:val="1363"/>
        </w:numPr>
      </w:pPr>
      <w:r>
        <w:t xml:space="preserve">O agente compra seguro completo ao prêmio atuarialmente justo (igual à perda esperada)</w:t>
      </w:r>
    </w:p>
    <w:p>
      <w:pPr>
        <w:pStyle w:val="Compact"/>
        <w:numPr>
          <w:ilvl w:val="0"/>
          <w:numId w:val="1360"/>
        </w:numPr>
      </w:pPr>
    </w:p>
    <w:p>
      <w:pPr>
        <w:pStyle w:val="Compact"/>
        <w:numPr>
          <w:ilvl w:val="1"/>
          <w:numId w:val="1364"/>
        </w:numPr>
      </w:pPr>
      <w:r>
        <w:t xml:space="preserve">A seguradora cobra prêmio igual ao equivalente certeza do agente</w:t>
      </w:r>
    </w:p>
    <w:p>
      <w:pPr>
        <w:pStyle w:val="BlockText"/>
      </w:pPr>
      <w:r>
        <w:t xml:space="preserve">??? success</w:t>
      </w:r>
      <w:r>
        <w:t xml:space="preserve"> </w:t>
      </w:r>
      <w:r>
        <w:t xml:space="preserve">“Resposta”</w:t>
      </w:r>
      <w:r>
        <w:t xml:space="preserve"> </w:t>
      </w:r>
      <w:r>
        <w:rPr>
          <w:b/>
          <w:bCs/>
        </w:rPr>
        <w:t xml:space="preserve">(c)</w:t>
      </w:r>
      <w:r>
        <w:t xml:space="preserve"> </w:t>
      </w:r>
      <w:r>
        <w:t xml:space="preserve">Com informação simétrica, a alocação eficiente transfere todo o risco do avesso ao risco para o neutro (seguradora). O prêmio atuarialmente justo</w:t>
      </w:r>
      <w:r>
        <w:t xml:space="preserve"> </w:t>
      </w:r>
      <m:oMath>
        <m:r>
          <m:t>π</m:t>
        </m:r>
        <m:r>
          <m:rPr>
            <m:sty m:val="p"/>
          </m:rPr>
          <m:t>=</m:t>
        </m:r>
        <m:r>
          <m:t>p</m:t>
        </m:r>
        <m:r>
          <m:rPr>
            <m:sty m:val="p"/>
          </m:rPr>
          <m:t>⋅</m:t>
        </m:r>
        <m:r>
          <m:t>L</m:t>
        </m:r>
      </m:oMath>
      <w:r>
        <w:t xml:space="preserve"> </w:t>
      </w:r>
      <w:r>
        <w:t xml:space="preserve">(probabilidade vezes perda) é suficiente para a seguradora cobrir as perdas esperadas, e o agente, sendo avesso ao risco, prefere pagar esse prêmio a enfrentar a incerteza. As demais alternativas descrevem situações subótimas ou incorretas.</w:t>
      </w:r>
    </w:p>
    <w:p>
      <w:pPr>
        <w:pStyle w:val="BlockText"/>
      </w:pPr>
      <w:r>
        <w:rPr>
          <w:b/>
          <w:bCs/>
        </w:rPr>
        <w:t xml:space="preserve">[QUESTAO] 5. O axioma de independência na teoria da utilidade esperada afirma que:</w:t>
      </w:r>
    </w:p>
    <w:p>
      <w:pPr>
        <w:pStyle w:val="Compact"/>
        <w:numPr>
          <w:ilvl w:val="0"/>
          <w:numId w:val="1365"/>
        </w:numPr>
      </w:pPr>
    </w:p>
    <w:p>
      <w:pPr>
        <w:pStyle w:val="Compact"/>
        <w:numPr>
          <w:ilvl w:val="1"/>
          <w:numId w:val="1366"/>
        </w:numPr>
      </w:pPr>
      <w:r>
        <w:t xml:space="preserve">As preferências por loterias dependem apenas dos payoffs, não das probabilidades</w:t>
      </w:r>
    </w:p>
    <w:p>
      <w:pPr>
        <w:pStyle w:val="Compact"/>
        <w:numPr>
          <w:ilvl w:val="0"/>
          <w:numId w:val="1365"/>
        </w:numPr>
      </w:pPr>
    </w:p>
    <w:p>
      <w:pPr>
        <w:pStyle w:val="Compact"/>
        <w:numPr>
          <w:ilvl w:val="1"/>
          <w:numId w:val="1367"/>
        </w:numPr>
      </w:pPr>
      <w:r>
        <w:t xml:space="preserve">Se</w:t>
      </w:r>
      <w:r>
        <w:t xml:space="preserve"> </w:t>
      </w:r>
      <m:oMath>
        <m:r>
          <m:t>A</m:t>
        </m:r>
        <m:r>
          <m:rPr>
            <m:sty m:val="p"/>
          </m:rPr>
          <m:t>≻</m:t>
        </m:r>
        <m:r>
          <m:t>B</m:t>
        </m:r>
      </m:oMath>
      <w:r>
        <w:t xml:space="preserve">, então misturar</w:t>
      </w:r>
      <w:r>
        <w:t xml:space="preserve"> </w:t>
      </w:r>
      <m:oMath>
        <m:r>
          <m:t>A</m:t>
        </m:r>
      </m:oMath>
      <w:r>
        <w:t xml:space="preserve"> </w:t>
      </w:r>
      <w:r>
        <w:t xml:space="preserve">e</w:t>
      </w:r>
      <w:r>
        <w:t xml:space="preserve"> </w:t>
      </w:r>
      <m:oMath>
        <m:r>
          <m:t>B</m:t>
        </m:r>
      </m:oMath>
      <w:r>
        <w:t xml:space="preserve"> </w:t>
      </w:r>
      <w:r>
        <w:t xml:space="preserve">com uma terceira loteria</w:t>
      </w:r>
      <w:r>
        <w:t xml:space="preserve"> </w:t>
      </w:r>
      <m:oMath>
        <m:r>
          <m:t>C</m:t>
        </m:r>
      </m:oMath>
      <w:r>
        <w:t xml:space="preserve"> </w:t>
      </w:r>
      <w:r>
        <w:t xml:space="preserve">preserva a preferência:</w:t>
      </w:r>
      <w:r>
        <w:t xml:space="preserve"> </w:t>
      </w:r>
      <m:oMath>
        <m:r>
          <m:t>α</m:t>
        </m:r>
        <m:r>
          <m:t>A</m:t>
        </m:r>
        <m:r>
          <m:rPr>
            <m:sty m:val="p"/>
          </m:rPr>
          <m:t>+</m:t>
        </m:r>
        <m:r>
          <m:rPr>
            <m:sty m:val="p"/>
          </m:rPr>
          <m:t>(</m:t>
        </m:r>
        <m:r>
          <m:t>1</m:t>
        </m:r>
        <m:r>
          <m:rPr>
            <m:sty m:val="p"/>
          </m:rPr>
          <m:t>−</m:t>
        </m:r>
        <m:r>
          <m:t>α</m:t>
        </m:r>
        <m:r>
          <m:rPr>
            <m:sty m:val="p"/>
          </m:rPr>
          <m:t>)</m:t>
        </m:r>
        <m:r>
          <m:t>C</m:t>
        </m:r>
        <m:r>
          <m:rPr>
            <m:sty m:val="p"/>
          </m:rPr>
          <m:t>≻</m:t>
        </m:r>
        <m:r>
          <m:t>α</m:t>
        </m:r>
        <m:r>
          <m:t>B</m:t>
        </m:r>
        <m:r>
          <m:rPr>
            <m:sty m:val="p"/>
          </m:rPr>
          <m:t>+</m:t>
        </m:r>
        <m:r>
          <m:rPr>
            <m:sty m:val="p"/>
          </m:rPr>
          <m:t>(</m:t>
        </m:r>
        <m:r>
          <m:t>1</m:t>
        </m:r>
        <m:r>
          <m:rPr>
            <m:sty m:val="p"/>
          </m:rPr>
          <m:t>−</m:t>
        </m:r>
        <m:r>
          <m:t>α</m:t>
        </m:r>
        <m:r>
          <m:rPr>
            <m:sty m:val="p"/>
          </m:rPr>
          <m:t>)</m:t>
        </m:r>
        <m:r>
          <m:t>C</m:t>
        </m:r>
      </m:oMath>
    </w:p>
    <w:p>
      <w:pPr>
        <w:pStyle w:val="Compact"/>
        <w:numPr>
          <w:ilvl w:val="0"/>
          <w:numId w:val="1365"/>
        </w:numPr>
      </w:pPr>
    </w:p>
    <w:p>
      <w:pPr>
        <w:pStyle w:val="Compact"/>
        <w:numPr>
          <w:ilvl w:val="1"/>
          <w:numId w:val="1368"/>
        </w:numPr>
      </w:pPr>
      <w:r>
        <w:t xml:space="preserve">Loterias com o mesmo valor esperado são sempre indiferentes</w:t>
      </w:r>
    </w:p>
    <w:p>
      <w:pPr>
        <w:pStyle w:val="Compact"/>
        <w:numPr>
          <w:ilvl w:val="0"/>
          <w:numId w:val="1365"/>
        </w:numPr>
      </w:pPr>
    </w:p>
    <w:p>
      <w:pPr>
        <w:pStyle w:val="Compact"/>
        <w:numPr>
          <w:ilvl w:val="1"/>
          <w:numId w:val="1369"/>
        </w:numPr>
      </w:pPr>
      <w:r>
        <w:t xml:space="preserve">O agente é indiferente entre receber um prêmio agora ou no futuro</w:t>
      </w:r>
    </w:p>
    <w:p>
      <w:pPr>
        <w:pStyle w:val="BlockText"/>
      </w:pPr>
      <w:r>
        <w:t xml:space="preserve">??? success</w:t>
      </w:r>
      <w:r>
        <w:t xml:space="preserve"> </w:t>
      </w:r>
      <w:r>
        <w:t xml:space="preserve">“Resposta”</w:t>
      </w:r>
      <w:r>
        <w:t xml:space="preserve"> </w:t>
      </w:r>
      <w:r>
        <w:rPr>
          <w:b/>
          <w:bCs/>
        </w:rPr>
        <w:t xml:space="preserve">(b)</w:t>
      </w:r>
      <w:r>
        <w:t xml:space="preserve"> </w:t>
      </w:r>
      <w:r>
        <w:t xml:space="preserve">O axioma de independência estabelece que a preferência entre duas loterias não é afetada pela mistura com uma terceira loteria comum. É o axioma mais distintivo (e controverso) da teoria de VNM, violado sistematicamente no Paradoxo de Allais. A alternativa (a) é absurda; (c) descreve neutralidade ao risco; (d) refere-se a preferências intertemporais.</w:t>
      </w:r>
    </w:p>
    <w:p>
      <w:pPr>
        <w:pStyle w:val="BlockText"/>
      </w:pPr>
      <w:r>
        <w:rPr>
          <w:b/>
          <w:bCs/>
        </w:rPr>
        <w:t xml:space="preserve">[QUESTAO] 6. Na abordagem estado-preferência, se os preços dos ativos contingentes são atuarialmente justos (</w:t>
      </w:r>
      <m:oMath>
        <m:sSub>
          <m:e>
            <m:r>
              <m:t>ψ</m:t>
            </m:r>
          </m:e>
          <m:sub>
            <m:r>
              <m:t>s</m:t>
            </m:r>
          </m:sub>
        </m:sSub>
        <m:r>
          <m:rPr>
            <m:sty m:val="p"/>
          </m:rPr>
          <m:t>=</m:t>
        </m:r>
        <m:sSub>
          <m:e>
            <m:r>
              <m:t>π</m:t>
            </m:r>
          </m:e>
          <m:sub>
            <m:r>
              <m:t>s</m:t>
            </m:r>
          </m:sub>
        </m:sSub>
      </m:oMath>
      <w:r>
        <w:rPr>
          <w:b/>
          <w:bCs/>
        </w:rPr>
        <w:t xml:space="preserve">) e o agente é avesso ao risco, a alocação ótima é:</w:t>
      </w:r>
    </w:p>
    <w:p>
      <w:pPr>
        <w:pStyle w:val="Compact"/>
        <w:numPr>
          <w:ilvl w:val="0"/>
          <w:numId w:val="1370"/>
        </w:numPr>
      </w:pPr>
    </w:p>
    <w:p>
      <w:pPr>
        <w:pStyle w:val="Compact"/>
        <w:numPr>
          <w:ilvl w:val="1"/>
          <w:numId w:val="1371"/>
        </w:numPr>
      </w:pPr>
      <w:r>
        <w:t xml:space="preserve">Consumir tudo no estado mais provável e nada nos demais</w:t>
      </w:r>
    </w:p>
    <w:p>
      <w:pPr>
        <w:pStyle w:val="Compact"/>
        <w:numPr>
          <w:ilvl w:val="0"/>
          <w:numId w:val="1370"/>
        </w:numPr>
      </w:pPr>
    </w:p>
    <w:p>
      <w:pPr>
        <w:pStyle w:val="Compact"/>
        <w:numPr>
          <w:ilvl w:val="1"/>
          <w:numId w:val="1372"/>
        </w:numPr>
      </w:pPr>
      <w:r>
        <w:t xml:space="preserve">Igualar o consumo em todos os estados — suavização perfeita</w:t>
      </w:r>
    </w:p>
    <w:p>
      <w:pPr>
        <w:pStyle w:val="Compact"/>
        <w:numPr>
          <w:ilvl w:val="0"/>
          <w:numId w:val="1370"/>
        </w:numPr>
      </w:pPr>
    </w:p>
    <w:p>
      <w:pPr>
        <w:pStyle w:val="Compact"/>
        <w:numPr>
          <w:ilvl w:val="1"/>
          <w:numId w:val="1373"/>
        </w:numPr>
      </w:pPr>
      <w:r>
        <w:t xml:space="preserve">Comprar apenas o ativo contingente ao estado de maior retorno</w:t>
      </w:r>
    </w:p>
    <w:p>
      <w:pPr>
        <w:pStyle w:val="Compact"/>
        <w:numPr>
          <w:ilvl w:val="0"/>
          <w:numId w:val="1370"/>
        </w:numPr>
      </w:pPr>
    </w:p>
    <w:p>
      <w:pPr>
        <w:pStyle w:val="Compact"/>
        <w:numPr>
          <w:ilvl w:val="1"/>
          <w:numId w:val="1374"/>
        </w:numPr>
      </w:pPr>
      <w:r>
        <w:t xml:space="preserve">Distribuir a riqueza proporcionalmente às probabilidades, sem equalizar consumo</w:t>
      </w:r>
    </w:p>
    <w:p>
      <w:pPr>
        <w:pStyle w:val="BlockText"/>
      </w:pPr>
      <w:r>
        <w:t xml:space="preserve">??? success</w:t>
      </w:r>
      <w:r>
        <w:t xml:space="preserve"> </w:t>
      </w:r>
      <w:r>
        <w:t xml:space="preserve">“Resposta”</w:t>
      </w:r>
      <w:r>
        <w:t xml:space="preserve"> </w:t>
      </w:r>
      <w:r>
        <w:rPr>
          <w:b/>
          <w:bCs/>
        </w:rPr>
        <w:t xml:space="preserve">(b)</w:t>
      </w:r>
      <w:r>
        <w:t xml:space="preserve"> </w:t>
      </w:r>
      <w:r>
        <w:t xml:space="preserve">Quando</w:t>
      </w:r>
      <w:r>
        <w:t xml:space="preserve"> </w:t>
      </w:r>
      <m:oMath>
        <m:sSub>
          <m:e>
            <m:r>
              <m:t>ψ</m:t>
            </m:r>
          </m:e>
          <m:sub>
            <m:r>
              <m:t>s</m:t>
            </m:r>
          </m:sub>
        </m:sSub>
        <m:r>
          <m:rPr>
            <m:sty m:val="p"/>
          </m:rPr>
          <m:t>=</m:t>
        </m:r>
        <m:sSub>
          <m:e>
            <m:r>
              <m:t>π</m:t>
            </m:r>
          </m:e>
          <m:sub>
            <m:r>
              <m:t>s</m:t>
            </m:r>
          </m:sub>
        </m:sSub>
      </m:oMath>
      <w:r>
        <w:t xml:space="preserve"> </w:t>
      </w:r>
      <w:r>
        <w:t xml:space="preserve">(preços justos), a condição de primeira ordem</w:t>
      </w:r>
      <w:r>
        <w:t xml:space="preserve"> </w:t>
      </w:r>
      <m:oMath>
        <m:sSub>
          <m:e>
            <m:r>
              <m:t>π</m:t>
            </m:r>
          </m:e>
          <m:sub>
            <m:r>
              <m:t>s</m:t>
            </m:r>
          </m:sub>
        </m:sSub>
        <m:sSup>
          <m:e>
            <m:r>
              <m:t>u</m:t>
            </m:r>
          </m:e>
          <m:sup>
            <m:r>
              <m:rPr>
                <m:sty m:val="p"/>
              </m:rPr>
              <m:t>′</m:t>
            </m:r>
          </m:sup>
        </m:sSup>
        <m:r>
          <m:rPr>
            <m:sty m:val="p"/>
          </m:rPr>
          <m:t>(</m:t>
        </m:r>
        <m:sSub>
          <m:e>
            <m:r>
              <m:t>c</m:t>
            </m:r>
          </m:e>
          <m:sub>
            <m:r>
              <m:t>s</m:t>
            </m:r>
          </m:sub>
        </m:sSub>
        <m:r>
          <m:rPr>
            <m:sty m:val="p"/>
          </m:rPr>
          <m:t>)</m:t>
        </m:r>
        <m:r>
          <m:rPr>
            <m:sty m:val="p"/>
          </m:rPr>
          <m:t>/</m:t>
        </m:r>
        <m:sSub>
          <m:e>
            <m:r>
              <m:t>ψ</m:t>
            </m:r>
          </m:e>
          <m:sub>
            <m:r>
              <m:t>s</m:t>
            </m:r>
          </m:sub>
        </m:sSub>
        <m:r>
          <m:rPr>
            <m:sty m:val="p"/>
          </m:rPr>
          <m:t>=</m:t>
        </m:r>
        <m:r>
          <m:t>λ</m:t>
        </m:r>
      </m:oMath>
      <w:r>
        <w:t xml:space="preserve"> </w:t>
      </w:r>
      <w:r>
        <w:t xml:space="preserve">implica</w:t>
      </w:r>
      <w:r>
        <w:t xml:space="preserve"> </w:t>
      </w:r>
      <m:oMath>
        <m:sSup>
          <m:e>
            <m:r>
              <m:t>u</m:t>
            </m:r>
          </m:e>
          <m:sup>
            <m:r>
              <m:rPr>
                <m:sty m:val="p"/>
              </m:rPr>
              <m:t>′</m:t>
            </m:r>
          </m:sup>
        </m:sSup>
        <m:r>
          <m:rPr>
            <m:sty m:val="p"/>
          </m:rPr>
          <m:t>(</m:t>
        </m:r>
        <m:sSub>
          <m:e>
            <m:r>
              <m:t>c</m:t>
            </m:r>
          </m:e>
          <m:sub>
            <m:r>
              <m:t>s</m:t>
            </m:r>
          </m:sub>
        </m:sSub>
        <m:r>
          <m:rPr>
            <m:sty m:val="p"/>
          </m:rPr>
          <m:t>)</m:t>
        </m:r>
        <m:r>
          <m:rPr>
            <m:sty m:val="p"/>
          </m:rPr>
          <m:t>=</m:t>
        </m:r>
        <m:r>
          <m:t>λ</m:t>
        </m:r>
      </m:oMath>
      <w:r>
        <w:t xml:space="preserve"> </w:t>
      </w:r>
      <w:r>
        <w:t xml:space="preserve">para todo</w:t>
      </w:r>
      <w:r>
        <w:t xml:space="preserve"> </w:t>
      </w:r>
      <m:oMath>
        <m:r>
          <m:t>s</m:t>
        </m:r>
      </m:oMath>
      <w:r>
        <w:t xml:space="preserve">. Como</w:t>
      </w:r>
      <w:r>
        <w:t xml:space="preserve"> </w:t>
      </w:r>
      <m:oMath>
        <m:r>
          <m:t>u</m:t>
        </m:r>
      </m:oMath>
      <w:r>
        <w:t xml:space="preserve"> </w:t>
      </w:r>
      <w:r>
        <w:t xml:space="preserve">é estritamente côncava (</w:t>
      </w:r>
      <m:oMath>
        <m:sSup>
          <m:e>
            <m:r>
              <m:t>u</m:t>
            </m:r>
          </m:e>
          <m:sup>
            <m:r>
              <m:rPr>
                <m:sty m:val="p"/>
              </m:rPr>
              <m:t>″</m:t>
            </m:r>
          </m:sup>
        </m:sSup>
        <m:r>
          <m:rPr>
            <m:sty m:val="p"/>
          </m:rPr>
          <m:t>&lt;</m:t>
        </m:r>
        <m:r>
          <m:t>0</m:t>
        </m:r>
      </m:oMath>
      <w:r>
        <w:t xml:space="preserve">),</w:t>
      </w:r>
      <w:r>
        <w:t xml:space="preserve"> </w:t>
      </w:r>
      <m:oMath>
        <m:sSup>
          <m:e>
            <m:r>
              <m:t>u</m:t>
            </m:r>
          </m:e>
          <m:sup>
            <m:r>
              <m:rPr>
                <m:sty m:val="p"/>
              </m:rPr>
              <m:t>′</m:t>
            </m:r>
          </m:sup>
        </m:sSup>
      </m:oMath>
      <w:r>
        <w:t xml:space="preserve"> </w:t>
      </w:r>
      <w:r>
        <w:t xml:space="preserve">é estritamente decrescente, e a igualdade</w:t>
      </w:r>
      <w:r>
        <w:t xml:space="preserve"> </w:t>
      </w:r>
      <m:oMath>
        <m:sSup>
          <m:e>
            <m:r>
              <m:t>u</m:t>
            </m:r>
          </m:e>
          <m:sup>
            <m:r>
              <m:rPr>
                <m:sty m:val="p"/>
              </m:rPr>
              <m:t>′</m:t>
            </m:r>
          </m:sup>
        </m:sSup>
        <m:r>
          <m:rPr>
            <m:sty m:val="p"/>
          </m:rPr>
          <m:t>(</m:t>
        </m:r>
        <m:sSub>
          <m:e>
            <m:r>
              <m:t>c</m:t>
            </m:r>
          </m:e>
          <m:sub>
            <m:r>
              <m:t>s</m:t>
            </m:r>
          </m:sub>
        </m:sSub>
        <m:r>
          <m:rPr>
            <m:sty m:val="p"/>
          </m:rPr>
          <m:t>)</m:t>
        </m:r>
        <m:r>
          <m:rPr>
            <m:sty m:val="p"/>
          </m:rPr>
          <m:t>=</m:t>
        </m:r>
        <m:r>
          <m:t>λ</m:t>
        </m:r>
      </m:oMath>
      <w:r>
        <w:t xml:space="preserve"> </w:t>
      </w:r>
      <w:r>
        <w:t xml:space="preserve">exige</w:t>
      </w:r>
      <w:r>
        <w:t xml:space="preserve"> </w:t>
      </w:r>
      <m:oMath>
        <m:sSub>
          <m:e>
            <m:r>
              <m:t>c</m:t>
            </m:r>
          </m:e>
          <m:sub>
            <m:r>
              <m:t>s</m:t>
            </m:r>
          </m:sub>
        </m:sSub>
        <m:r>
          <m:rPr>
            <m:sty m:val="p"/>
          </m:rPr>
          <m:t>=</m:t>
        </m:r>
        <m:sSub>
          <m:e>
            <m:r>
              <m:t>c</m:t>
            </m:r>
          </m:e>
          <m:sub>
            <m:sSup>
              <m:e>
                <m:r>
                  <m:t>s</m:t>
                </m:r>
              </m:e>
              <m:sup>
                <m:r>
                  <m:rPr>
                    <m:sty m:val="p"/>
                  </m:rPr>
                  <m:t>′</m:t>
                </m:r>
              </m:sup>
            </m:sSup>
          </m:sub>
        </m:sSub>
      </m:oMath>
      <w:r>
        <w:t xml:space="preserve"> </w:t>
      </w:r>
      <w:r>
        <w:t xml:space="preserve">para todo par de estados. O agente equaliza o consumo, eliminando todo o risco — resultado análogo ao seguro total sob prêmio justo (Seção 7.6.1).</w:t>
      </w:r>
    </w:p>
    <w:p>
      <w:r>
        <w:pict>
          <v:rect style="width:0;height:1.5pt" o:hralign="center" o:hrstd="t" o:hr="t"/>
        </w:pict>
      </w:r>
    </w:p>
    <w:bookmarkEnd w:id="351"/>
    <w:bookmarkStart w:id="352" w:name="resumo-do-capítulo-5"/>
    <w:p>
      <w:pPr>
        <w:pStyle w:val="Heading3"/>
      </w:pPr>
      <w:r>
        <w:t xml:space="preserve">📋 Resumo do Capítulo</w:t>
      </w:r>
    </w:p>
    <w:p>
      <w:pPr>
        <w:pStyle w:val="Compact"/>
        <w:numPr>
          <w:ilvl w:val="0"/>
          <w:numId w:val="1375"/>
        </w:numPr>
      </w:pPr>
      <w:r>
        <w:t xml:space="preserve">Uma loteria é uma distribuição de probabilidade sobre resultados monetários; o valor esperado é a média ponderada dos payoffs, mas não captura a atitude do agente em relação ao risco.</w:t>
      </w:r>
    </w:p>
    <w:p>
      <w:pPr>
        <w:pStyle w:val="Compact"/>
        <w:numPr>
          <w:ilvl w:val="0"/>
          <w:numId w:val="1375"/>
        </w:numPr>
      </w:pPr>
      <w:r>
        <w:t xml:space="preserve">A Hipótese da Utilidade Esperada (Von Neumann-Morgenstern) axiomatiza a escolha sob incerteza: agentes racionais maximizam a esperança de uma função de utilidade, com os axiomas de completude, transitividade, continuidade e independência fundamentando o teorema.</w:t>
      </w:r>
    </w:p>
    <w:p>
      <w:pPr>
        <w:pStyle w:val="Compact"/>
        <w:numPr>
          <w:ilvl w:val="0"/>
          <w:numId w:val="1375"/>
        </w:numPr>
      </w:pPr>
      <w:r>
        <w:t xml:space="preserve">A aversão ao risco corresponde à concavidade da função de utilidade (desigualdade de Jensen): o agente prefere o valor esperado com certeza à própria loteria; neutralidade e propensão ao risco correspondem a linearidade e convexidade, respectivamente.</w:t>
      </w:r>
    </w:p>
    <w:p>
      <w:pPr>
        <w:pStyle w:val="Compact"/>
        <w:numPr>
          <w:ilvl w:val="0"/>
          <w:numId w:val="1375"/>
        </w:numPr>
      </w:pPr>
      <w:r>
        <w:t xml:space="preserve">As medidas de Arrow-Pratt quantificam a aversão ao risco: a medida absoluta (ARA) determina o comportamento frente a riscos de magnitude fixa, enquanto a medida relativa (RRA) se aplica a riscos proporcionais à riqueza; funções CARA, CRRA e DARA capturam diferentes padrões.</w:t>
      </w:r>
    </w:p>
    <w:p>
      <w:pPr>
        <w:pStyle w:val="Compact"/>
        <w:numPr>
          <w:ilvl w:val="0"/>
          <w:numId w:val="1375"/>
        </w:numPr>
      </w:pPr>
      <w:r>
        <w:t xml:space="preserve">O prêmio de risco e o equivalente de certeza conectam a teoria à prática: o prêmio de risco é o valor que o agente pagaria para eliminar a incerteza, e a aproximação de Arrow-Pratt o relaciona à variância da loteria e à curvatura da utilidade.</w:t>
      </w:r>
    </w:p>
    <w:p>
      <w:pPr>
        <w:pStyle w:val="Compact"/>
        <w:numPr>
          <w:ilvl w:val="0"/>
          <w:numId w:val="1375"/>
        </w:numPr>
      </w:pPr>
      <w:r>
        <w:t xml:space="preserve">Diversificação, seguros e mercados de ativos contingentes (abordagem estado-preferência) são mecanismos para reduzir ou redistribuir riscos; problemas de informação assimétrica (seleção adversa e risco moral) limitam a eficiência desses mercados.</w:t>
      </w:r>
    </w:p>
    <w:bookmarkEnd w:id="352"/>
    <w:bookmarkStart w:id="353" w:name="conceitos-chave-5"/>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Loteria</w:t>
            </w:r>
          </w:p>
        </w:tc>
        <w:tc>
          <w:tcPr/>
          <w:p>
            <w:pPr>
              <w:pStyle w:val="Compact"/>
            </w:pPr>
            <w:r>
              <w:t xml:space="preserve">Distribuição de probabilidade sobre um conjunto finito de resultados monetários.</w:t>
            </w:r>
          </w:p>
        </w:tc>
      </w:tr>
      <w:tr>
        <w:tc>
          <w:tcPr/>
          <w:p>
            <w:pPr>
              <w:pStyle w:val="Compact"/>
            </w:pPr>
            <w:r>
              <w:t xml:space="preserve">Utilidade esperada (VNM)</w:t>
            </w:r>
          </w:p>
        </w:tc>
        <w:tc>
          <w:tcPr/>
          <w:p>
            <w:pPr>
              <w:pStyle w:val="Compact"/>
            </w:pPr>
            <w:r>
              <w:t xml:space="preserve">Representação de preferências sob incerteza em que o agente maximiza a esperança matemática de uma função de utilidade.</w:t>
            </w:r>
          </w:p>
        </w:tc>
      </w:tr>
      <w:tr>
        <w:tc>
          <w:tcPr/>
          <w:p>
            <w:pPr>
              <w:pStyle w:val="Compact"/>
            </w:pPr>
            <w:r>
              <w:t xml:space="preserve">Aversão ao risco</w:t>
            </w:r>
          </w:p>
        </w:tc>
        <w:tc>
          <w:tcPr/>
          <w:p>
            <w:pPr>
              <w:pStyle w:val="Compact"/>
            </w:pPr>
            <w:r>
              <w:t xml:space="preserve">Preferência pelo valor esperado de uma loteria (com certeza) em relação à própria loteria; implica função de utilidade côncava.</w:t>
            </w:r>
          </w:p>
        </w:tc>
      </w:tr>
      <w:tr>
        <w:tc>
          <w:tcPr/>
          <w:p>
            <w:pPr>
              <w:pStyle w:val="Compact"/>
            </w:pPr>
            <w:r>
              <w:t xml:space="preserve">Medida de Arrow-Pratt (ARA)</w:t>
            </w:r>
          </w:p>
        </w:tc>
        <w:tc>
          <w:tcPr/>
          <w:p>
            <w:pPr>
              <w:pStyle w:val="Compact"/>
            </w:pPr>
            <w:r>
              <w:t xml:space="preserve">Coeficiente de aversão ao risco absoluta, definido como</w:t>
            </w:r>
            <w:r>
              <w:t xml:space="preserve"> </w:t>
            </w:r>
            <m:oMath>
              <m:r>
                <m:rPr>
                  <m:sty m:val="p"/>
                </m:rPr>
                <m:t>−</m:t>
              </m:r>
              <m:sSup>
                <m:e>
                  <m:r>
                    <m:t>u</m:t>
                  </m:r>
                </m:e>
                <m:sup>
                  <m:r>
                    <m:rPr>
                      <m:sty m:val="p"/>
                    </m:rPr>
                    <m:t>″</m:t>
                  </m:r>
                </m:sup>
              </m:sSup>
              <m:r>
                <m:rPr>
                  <m:sty m:val="p"/>
                </m:rPr>
                <m:t>(</m:t>
              </m:r>
              <m:r>
                <m:t>W</m:t>
              </m:r>
              <m:r>
                <m:rPr>
                  <m:sty m:val="p"/>
                </m:rPr>
                <m:t>)</m:t>
              </m:r>
              <m:r>
                <m:rPr>
                  <m:sty m:val="p"/>
                </m:rPr>
                <m:t>/</m:t>
              </m:r>
              <m:sSup>
                <m:e>
                  <m:r>
                    <m:t>u</m:t>
                  </m:r>
                </m:e>
                <m:sup>
                  <m:r>
                    <m:rPr>
                      <m:sty m:val="p"/>
                    </m:rPr>
                    <m:t>′</m:t>
                  </m:r>
                </m:sup>
              </m:sSup>
              <m:r>
                <m:rPr>
                  <m:sty m:val="p"/>
                </m:rPr>
                <m:t>(</m:t>
              </m:r>
              <m:r>
                <m:t>W</m:t>
              </m:r>
              <m:r>
                <m:rPr>
                  <m:sty m:val="p"/>
                </m:rPr>
                <m:t>)</m:t>
              </m:r>
            </m:oMath>
            <w:r>
              <w:t xml:space="preserve">; mede a curvatura local da utilidade.</w:t>
            </w:r>
          </w:p>
        </w:tc>
      </w:tr>
      <w:tr>
        <w:tc>
          <w:tcPr/>
          <w:p>
            <w:pPr>
              <w:pStyle w:val="Compact"/>
            </w:pPr>
            <w:r>
              <w:t xml:space="preserve">Medida de Arrow-Pratt (RRA)</w:t>
            </w:r>
          </w:p>
        </w:tc>
        <w:tc>
          <w:tcPr/>
          <w:p>
            <w:pPr>
              <w:pStyle w:val="Compact"/>
            </w:pPr>
            <w:r>
              <w:t xml:space="preserve">Coeficiente de aversão ao risco relativa, definido como</w:t>
            </w:r>
            <w:r>
              <w:t xml:space="preserve"> </w:t>
            </w:r>
            <m:oMath>
              <m:r>
                <m:rPr>
                  <m:sty m:val="p"/>
                </m:rPr>
                <m:t>−</m:t>
              </m:r>
              <m:r>
                <m:t>W</m:t>
              </m:r>
              <m:r>
                <m:rPr>
                  <m:sty m:val="p"/>
                </m:rPr>
                <m:t>⋅</m:t>
              </m:r>
              <m:sSup>
                <m:e>
                  <m:r>
                    <m:t>u</m:t>
                  </m:r>
                </m:e>
                <m:sup>
                  <m:r>
                    <m:rPr>
                      <m:sty m:val="p"/>
                    </m:rPr>
                    <m:t>″</m:t>
                  </m:r>
                </m:sup>
              </m:sSup>
              <m:r>
                <m:rPr>
                  <m:sty m:val="p"/>
                </m:rPr>
                <m:t>(</m:t>
              </m:r>
              <m:r>
                <m:t>W</m:t>
              </m:r>
              <m:r>
                <m:rPr>
                  <m:sty m:val="p"/>
                </m:rPr>
                <m:t>)</m:t>
              </m:r>
              <m:r>
                <m:rPr>
                  <m:sty m:val="p"/>
                </m:rPr>
                <m:t>/</m:t>
              </m:r>
              <m:sSup>
                <m:e>
                  <m:r>
                    <m:t>u</m:t>
                  </m:r>
                </m:e>
                <m:sup>
                  <m:r>
                    <m:rPr>
                      <m:sty m:val="p"/>
                    </m:rPr>
                    <m:t>′</m:t>
                  </m:r>
                </m:sup>
              </m:sSup>
              <m:r>
                <m:rPr>
                  <m:sty m:val="p"/>
                </m:rPr>
                <m:t>(</m:t>
              </m:r>
              <m:r>
                <m:t>W</m:t>
              </m:r>
              <m:r>
                <m:rPr>
                  <m:sty m:val="p"/>
                </m:rPr>
                <m:t>)</m:t>
              </m:r>
            </m:oMath>
            <w:r>
              <w:t xml:space="preserve">; mede a aversão a riscos proporcionais à riqueza.</w:t>
            </w:r>
          </w:p>
        </w:tc>
      </w:tr>
      <w:tr>
        <w:tc>
          <w:tcPr/>
          <w:p>
            <w:pPr>
              <w:pStyle w:val="Compact"/>
            </w:pPr>
            <w:r>
              <w:t xml:space="preserve">Equivalente de certeza</w:t>
            </w:r>
          </w:p>
        </w:tc>
        <w:tc>
          <w:tcPr/>
          <w:p>
            <w:pPr>
              <w:pStyle w:val="Compact"/>
            </w:pPr>
            <w:r>
              <w:t xml:space="preserve">Valor certo que proporciona a mesma utilidade esperada de uma loteria; é menor que o valor esperado para agentes avessos ao risco.</w:t>
            </w:r>
          </w:p>
        </w:tc>
      </w:tr>
      <w:tr>
        <w:tc>
          <w:tcPr/>
          <w:p>
            <w:pPr>
              <w:pStyle w:val="Compact"/>
            </w:pPr>
            <w:r>
              <w:t xml:space="preserve">Prêmio de risco</w:t>
            </w:r>
          </w:p>
        </w:tc>
        <w:tc>
          <w:tcPr/>
          <w:p>
            <w:pPr>
              <w:pStyle w:val="Compact"/>
            </w:pPr>
            <w:r>
              <w:t xml:space="preserve">Diferença entre o valor esperado da loteria e o equivalente de certeza; mede quanto o agente pagaria para eliminar o risco.</w:t>
            </w:r>
          </w:p>
        </w:tc>
      </w:tr>
      <w:tr>
        <w:tc>
          <w:tcPr/>
          <w:p>
            <w:pPr>
              <w:pStyle w:val="Compact"/>
            </w:pPr>
            <w:r>
              <w:t xml:space="preserve">Diversificação</w:t>
            </w:r>
          </w:p>
        </w:tc>
        <w:tc>
          <w:tcPr/>
          <w:p>
            <w:pPr>
              <w:pStyle w:val="Compact"/>
            </w:pPr>
            <w:r>
              <w:t xml:space="preserve">Estratégia de alocação de riqueza entre ativos imperfeitamente correlacionados para reduzir o risco total do portfólio.</w:t>
            </w:r>
          </w:p>
        </w:tc>
      </w:tr>
      <w:tr>
        <w:tc>
          <w:tcPr/>
          <w:p>
            <w:pPr>
              <w:pStyle w:val="Compact"/>
            </w:pPr>
            <w:r>
              <w:t xml:space="preserve">Seleção adversa</w:t>
            </w:r>
          </w:p>
        </w:tc>
        <w:tc>
          <w:tcPr/>
          <w:p>
            <w:pPr>
              <w:pStyle w:val="Compact"/>
            </w:pPr>
            <w:r>
              <w:t xml:space="preserve">Problema de informação assimétrica pré-contratual em que a parte menos informada atrai desproporcionalmente agentes de alto risco.</w:t>
            </w:r>
          </w:p>
        </w:tc>
      </w:tr>
      <w:tr>
        <w:tc>
          <w:tcPr/>
          <w:p>
            <w:pPr>
              <w:pStyle w:val="Compact"/>
            </w:pPr>
            <w:r>
              <w:t xml:space="preserve">Risco moral</w:t>
            </w:r>
          </w:p>
        </w:tc>
        <w:tc>
          <w:tcPr/>
          <w:p>
            <w:pPr>
              <w:pStyle w:val="Compact"/>
            </w:pPr>
            <w:r>
              <w:t xml:space="preserve">Problema de informação assimétrica pós-contratual em que o agente segurado altera seu comportamento de forma não observável.</w:t>
            </w:r>
          </w:p>
        </w:tc>
      </w:tr>
    </w:tbl>
    <w:p>
      <w:pPr>
        <w:pStyle w:val="BodyText"/>
      </w:pPr>
      <w:r>
        <w:rPr>
          <w:b/>
          <w:bCs/>
        </w:rPr>
        <w:t xml:space="preserve">Tabela 7.2 — Conceitos-chave.</w:t>
      </w:r>
    </w:p>
    <w:bookmarkEnd w:id="353"/>
    <w:bookmarkStart w:id="354" w:name="exercícios-5"/>
    <w:p>
      <w:pPr>
        <w:pStyle w:val="Heading3"/>
      </w:pPr>
      <w:r>
        <w:t xml:space="preserve">Exercícios</w:t>
      </w:r>
    </w:p>
    <w:p>
      <w:pPr>
        <w:pStyle w:val="FirstParagraph"/>
      </w:pPr>
      <w:r>
        <w:rPr>
          <w:b/>
          <w:bCs/>
        </w:rPr>
        <w:t xml:space="preserve">Exercício 7.1.</w:t>
      </w:r>
      <w:r>
        <w:t xml:space="preserve"> </w:t>
      </w:r>
      <w:r>
        <w:t xml:space="preserve">Um investidor com função de utilidade</w:t>
      </w:r>
      <w:r>
        <w:t xml:space="preserve"> </w:t>
      </w:r>
      <m:oMath>
        <m:r>
          <m:t>u</m:t>
        </m:r>
        <m:r>
          <m:rPr>
            <m:sty m:val="p"/>
          </m:rPr>
          <m:t>(</m:t>
        </m:r>
        <m:r>
          <m:t>W</m:t>
        </m:r>
        <m:r>
          <m:rPr>
            <m:sty m:val="p"/>
          </m:rPr>
          <m:t>)</m:t>
        </m:r>
        <m:r>
          <m:rPr>
            <m:sty m:val="p"/>
          </m:rPr>
          <m:t>=</m:t>
        </m:r>
        <m:r>
          <m:rPr>
            <m:sty m:val="p"/>
          </m:rPr>
          <m:t>ln</m:t>
        </m:r>
        <m:r>
          <m:rPr>
            <m:sty m:val="p"/>
          </m:rPr>
          <m:t>(</m:t>
        </m:r>
        <m:r>
          <m:t>W</m:t>
        </m:r>
        <m:r>
          <m:rPr>
            <m:sty m:val="p"/>
          </m:rPr>
          <m:t>)</m:t>
        </m:r>
      </m:oMath>
      <w:r>
        <w:t xml:space="preserve"> </w:t>
      </w:r>
      <w:r>
        <w:t xml:space="preserve">e riqueza inicial</w:t>
      </w:r>
      <w:r>
        <w:t xml:space="preserve"> </w:t>
      </w:r>
      <m:oMath>
        <m:sSub>
          <m:e>
            <m:r>
              <m:t>W</m:t>
            </m:r>
          </m:e>
          <m:sub>
            <m:r>
              <m:t>0</m:t>
            </m:r>
          </m:sub>
        </m:sSub>
        <m:r>
          <m:rPr>
            <m:sty m:val="p"/>
          </m:rPr>
          <m:t>=</m:t>
        </m:r>
        <m:r>
          <m:t>10.000</m:t>
        </m:r>
      </m:oMath>
      <w:r>
        <w:t xml:space="preserve"> </w:t>
      </w:r>
      <w:r>
        <w:t xml:space="preserve">pode participar de uma loteria que paga</w:t>
      </w:r>
      <w:r>
        <w:t xml:space="preserve"> </w:t>
      </w:r>
      <m:oMath>
        <m:r>
          <m:rPr>
            <m:sty m:val="p"/>
          </m:rPr>
          <m:t>+</m:t>
        </m:r>
        <m:r>
          <m:t>5.000</m:t>
        </m:r>
      </m:oMath>
      <w:r>
        <w:t xml:space="preserve"> </w:t>
      </w:r>
      <w:r>
        <w:t xml:space="preserve">com probabilidade</w:t>
      </w:r>
      <w:r>
        <w:t xml:space="preserve"> </w:t>
      </w:r>
      <m:oMath>
        <m:r>
          <m:t>0</m:t>
        </m:r>
        <m:r>
          <m:rPr>
            <m:sty m:val="p"/>
          </m:rPr>
          <m:t>,</m:t>
        </m:r>
        <m:r>
          <m:t>5</m:t>
        </m:r>
      </m:oMath>
      <w:r>
        <w:t xml:space="preserve"> </w:t>
      </w:r>
      <w:r>
        <w:t xml:space="preserve">e</w:t>
      </w:r>
      <w:r>
        <w:t xml:space="preserve"> </w:t>
      </w:r>
      <m:oMath>
        <m:r>
          <m:rPr>
            <m:sty m:val="p"/>
          </m:rPr>
          <m:t>−</m:t>
        </m:r>
        <m:r>
          <m:t>5.000</m:t>
        </m:r>
      </m:oMath>
      <w:r>
        <w:t xml:space="preserve"> </w:t>
      </w:r>
      <w:r>
        <w:t xml:space="preserve">com probabilidade</w:t>
      </w:r>
      <w:r>
        <w:t xml:space="preserve"> </w:t>
      </w:r>
      <m:oMath>
        <m:r>
          <m:t>0</m:t>
        </m:r>
        <m:r>
          <m:rPr>
            <m:sty m:val="p"/>
          </m:rPr>
          <m:t>,</m:t>
        </m:r>
        <m:r>
          <m:t>5</m:t>
        </m:r>
      </m:oMath>
      <w:r>
        <w:t xml:space="preserve">.</w:t>
      </w:r>
    </w:p>
    <w:p>
      <w:pPr>
        <w:numPr>
          <w:ilvl w:val="0"/>
          <w:numId w:val="1376"/>
        </w:numPr>
      </w:pPr>
      <w:r>
        <w:t xml:space="preserve">Calcule a utilidade esperada da loteria.</w:t>
      </w:r>
    </w:p>
    <w:p>
      <w:pPr>
        <w:numPr>
          <w:ilvl w:val="0"/>
          <w:numId w:val="1376"/>
        </w:numPr>
      </w:pPr>
      <w:r>
        <w:t xml:space="preserve">Calcule o equivalente de certeza.</w:t>
      </w:r>
    </w:p>
    <w:p>
      <w:pPr>
        <w:numPr>
          <w:ilvl w:val="0"/>
          <w:numId w:val="1376"/>
        </w:numPr>
      </w:pPr>
      <w:r>
        <w:t xml:space="preserve">Calcule o prêmio de risco exato e compare com a aproximação de Arrow-Pratt.</w:t>
      </w:r>
    </w:p>
    <w:p>
      <w:pPr>
        <w:pStyle w:val="FirstParagraph"/>
      </w:pPr>
      <w:r>
        <w:t xml:space="preserve">Ver solução (Cap. 7)</w:t>
      </w:r>
    </w:p>
    <w:p>
      <w:r>
        <w:pict>
          <v:rect style="width:0;height:1.5pt" o:hralign="center" o:hrstd="t" o:hr="t"/>
        </w:pict>
      </w:r>
    </w:p>
    <w:p>
      <w:pPr>
        <w:pStyle w:val="FirstParagraph"/>
      </w:pPr>
      <w:r>
        <w:rPr>
          <w:b/>
          <w:bCs/>
        </w:rPr>
        <w:t xml:space="preserve">Exercício 7.2.</w:t>
      </w:r>
      <w:r>
        <w:t xml:space="preserve"> </w:t>
      </w:r>
      <w:r>
        <w:t xml:space="preserve">Mostre que a função de utilidade</w:t>
      </w:r>
      <w:r>
        <w:t xml:space="preserve"> </w:t>
      </w:r>
      <m:oMath>
        <m:r>
          <m:t>u</m:t>
        </m:r>
        <m:r>
          <m:rPr>
            <m:sty m:val="p"/>
          </m:rPr>
          <m:t>(</m:t>
        </m:r>
        <m:r>
          <m:t>W</m:t>
        </m:r>
        <m:r>
          <m:rPr>
            <m:sty m:val="p"/>
          </m:rPr>
          <m:t>)</m:t>
        </m:r>
        <m:r>
          <m:rPr>
            <m:sty m:val="p"/>
          </m:rPr>
          <m:t>=</m:t>
        </m:r>
        <m:r>
          <m:rPr>
            <m:sty m:val="p"/>
          </m:rPr>
          <m:t>−</m:t>
        </m:r>
        <m:sSup>
          <m:e>
            <m:r>
              <m:t>e</m:t>
            </m:r>
          </m:e>
          <m:sup>
            <m:r>
              <m:rPr>
                <m:sty m:val="p"/>
              </m:rPr>
              <m:t>−</m:t>
            </m:r>
            <m:r>
              <m:t>a</m:t>
            </m:r>
            <m:r>
              <m:t>W</m:t>
            </m:r>
          </m:sup>
        </m:sSup>
      </m:oMath>
      <w:r>
        <w:t xml:space="preserve">, com</w:t>
      </w:r>
      <w:r>
        <w:t xml:space="preserve"> </w:t>
      </w:r>
      <m:oMath>
        <m:r>
          <m:t>a</m:t>
        </m:r>
        <m:r>
          <m:rPr>
            <m:sty m:val="p"/>
          </m:rPr>
          <m:t>&gt;</m:t>
        </m:r>
        <m:r>
          <m:t>0</m:t>
        </m:r>
      </m:oMath>
      <w:r>
        <w:t xml:space="preserve">, apresenta aversão absoluta ao risco constante (CARA). Calcule</w:t>
      </w:r>
      <w:r>
        <w:t xml:space="preserve"> </w:t>
      </w:r>
      <m:oMath>
        <m:r>
          <m:t>A</m:t>
        </m:r>
        <m:r>
          <m:rPr>
            <m:sty m:val="p"/>
          </m:rPr>
          <m:t>(</m:t>
        </m:r>
        <m:r>
          <m:t>W</m:t>
        </m:r>
        <m:r>
          <m:rPr>
            <m:sty m:val="p"/>
          </m:rPr>
          <m:t>)</m:t>
        </m:r>
      </m:oMath>
      <w:r>
        <w:t xml:space="preserve"> </w:t>
      </w:r>
      <w:r>
        <w:t xml:space="preserve">e</w:t>
      </w:r>
      <w:r>
        <w:t xml:space="preserve"> </w:t>
      </w:r>
      <m:oMath>
        <m:r>
          <m:t>R</m:t>
        </m:r>
        <m:r>
          <m:rPr>
            <m:sty m:val="p"/>
          </m:rPr>
          <m:t>(</m:t>
        </m:r>
        <m:r>
          <m:t>W</m:t>
        </m:r>
        <m:r>
          <m:rPr>
            <m:sty m:val="p"/>
          </m:rPr>
          <m:t>)</m:t>
        </m:r>
      </m:oMath>
      <w:r>
        <w:t xml:space="preserve"> </w:t>
      </w:r>
      <w:r>
        <w:t xml:space="preserve">e discuta as implicações econômicas de cada medida.</w:t>
      </w:r>
    </w:p>
    <w:p>
      <w:pPr>
        <w:pStyle w:val="BodyText"/>
      </w:pPr>
      <w:r>
        <w:t xml:space="preserve">Ver solução (Cap. 7)</w:t>
      </w:r>
    </w:p>
    <w:p>
      <w:r>
        <w:pict>
          <v:rect style="width:0;height:1.5pt" o:hralign="center" o:hrstd="t" o:hr="t"/>
        </w:pict>
      </w:r>
    </w:p>
    <w:p>
      <w:pPr>
        <w:pStyle w:val="FirstParagraph"/>
      </w:pPr>
      <w:r>
        <w:rPr>
          <w:b/>
          <w:bCs/>
        </w:rPr>
        <w:t xml:space="preserve">Exercício 7.3.</w:t>
      </w:r>
      <w:r>
        <w:t xml:space="preserve"> </w:t>
      </w:r>
      <w:r>
        <w:t xml:space="preserve">Um agricultor no Cerrado brasileiro enfrenta a seguinte situação: com probabilidade</w:t>
      </w:r>
      <w:r>
        <w:t xml:space="preserve"> </w:t>
      </w:r>
      <m:oMath>
        <m:r>
          <m:t>0</m:t>
        </m:r>
        <m:r>
          <m:rPr>
            <m:sty m:val="p"/>
          </m:rPr>
          <m:t>,</m:t>
        </m:r>
        <m:r>
          <m:t>7</m:t>
        </m:r>
      </m:oMath>
      <w:r>
        <w:t xml:space="preserve"> </w:t>
      </w:r>
      <w:r>
        <w:t xml:space="preserve">a safra é boa e ele obtém receita de R$ 200.000; com probabilidade</w:t>
      </w:r>
      <w:r>
        <w:t xml:space="preserve"> </w:t>
      </w:r>
      <m:oMath>
        <m:r>
          <m:t>0</m:t>
        </m:r>
        <m:r>
          <m:rPr>
            <m:sty m:val="p"/>
          </m:rPr>
          <m:t>,</m:t>
        </m:r>
        <m:r>
          <m:t>3</m:t>
        </m:r>
      </m:oMath>
      <w:r>
        <w:t xml:space="preserve"> </w:t>
      </w:r>
      <w:r>
        <w:t xml:space="preserve">há seca e a receita cai para R$ 50.000. Sua função de utilidade é</w:t>
      </w:r>
      <w:r>
        <w:t xml:space="preserve"> </w:t>
      </w:r>
      <m:oMath>
        <m:r>
          <m:t>u</m:t>
        </m:r>
        <m:r>
          <m:rPr>
            <m:sty m:val="p"/>
          </m:rPr>
          <m:t>(</m:t>
        </m:r>
        <m:r>
          <m:t>W</m:t>
        </m:r>
        <m:r>
          <m:rPr>
            <m:sty m:val="p"/>
          </m:rPr>
          <m:t>)</m:t>
        </m:r>
        <m:r>
          <m:rPr>
            <m:sty m:val="p"/>
          </m:rPr>
          <m:t>=</m:t>
        </m:r>
        <m:rad>
          <m:radPr>
            <m:degHide m:val="on"/>
          </m:radPr>
          <m:deg/>
          <m:e>
            <m:r>
              <m:t>W</m:t>
            </m:r>
          </m:e>
        </m:rad>
      </m:oMath>
      <w:r>
        <w:t xml:space="preserve">.</w:t>
      </w:r>
    </w:p>
    <w:p>
      <w:pPr>
        <w:numPr>
          <w:ilvl w:val="0"/>
          <w:numId w:val="1377"/>
        </w:numPr>
      </w:pPr>
      <w:r>
        <w:t xml:space="preserve">Qual o valor esperado da receita?</w:t>
      </w:r>
    </w:p>
    <w:p>
      <w:pPr>
        <w:numPr>
          <w:ilvl w:val="0"/>
          <w:numId w:val="1377"/>
        </w:numPr>
      </w:pPr>
      <w:r>
        <w:t xml:space="preserve">Qual o equivalente de certeza?</w:t>
      </w:r>
    </w:p>
    <w:p>
      <w:pPr>
        <w:numPr>
          <w:ilvl w:val="0"/>
          <w:numId w:val="1377"/>
        </w:numPr>
      </w:pPr>
      <w:r>
        <w:t xml:space="preserve">Qual o prêmio máximo que ele pagaria por um seguro de cobertura total?</w:t>
      </w:r>
    </w:p>
    <w:p>
      <w:pPr>
        <w:numPr>
          <w:ilvl w:val="0"/>
          <w:numId w:val="1377"/>
        </w:numPr>
      </w:pPr>
      <w:r>
        <w:t xml:space="preserve">Se uma seguradora oferece seguro a um prêmio de R$ 60.000, o agricultor contrata? Justifique.</w:t>
      </w:r>
    </w:p>
    <w:p>
      <w:pPr>
        <w:pStyle w:val="FirstParagraph"/>
      </w:pPr>
      <w:r>
        <w:t xml:space="preserve">Ver solução (Cap. 7)</w:t>
      </w:r>
    </w:p>
    <w:p>
      <w:r>
        <w:pict>
          <v:rect style="width:0;height:1.5pt" o:hralign="center" o:hrstd="t" o:hr="t"/>
        </w:pict>
      </w:r>
    </w:p>
    <w:p>
      <w:pPr>
        <w:pStyle w:val="FirstParagraph"/>
      </w:pPr>
      <w:r>
        <w:rPr>
          <w:b/>
          <w:bCs/>
        </w:rPr>
        <w:t xml:space="preserve">Exercício 7.4.</w:t>
      </w:r>
      <w:r>
        <w:t xml:space="preserve"> </w:t>
      </w:r>
      <w:r>
        <w:t xml:space="preserve">Considere dois estados da natureza,</w:t>
      </w:r>
      <w:r>
        <w:t xml:space="preserve"> </w:t>
      </w:r>
      <m:oMath>
        <m:sSub>
          <m:e>
            <m:r>
              <m:t>s</m:t>
            </m:r>
          </m:e>
          <m:sub>
            <m:r>
              <m:t>1</m:t>
            </m:r>
          </m:sub>
        </m:sSub>
      </m:oMath>
      <w:r>
        <w:t xml:space="preserve"> </w:t>
      </w:r>
      <w:r>
        <w:t xml:space="preserve">(expansão) e</w:t>
      </w:r>
      <w:r>
        <w:t xml:space="preserve"> </w:t>
      </w:r>
      <m:oMath>
        <m:sSub>
          <m:e>
            <m:r>
              <m:t>s</m:t>
            </m:r>
          </m:e>
          <m:sub>
            <m:r>
              <m:t>2</m:t>
            </m:r>
          </m:sub>
        </m:sSub>
      </m:oMath>
      <w:r>
        <w:t xml:space="preserve"> </w:t>
      </w:r>
      <w:r>
        <w:t xml:space="preserve">(recessão), com probabilidades</w:t>
      </w:r>
      <w:r>
        <w:t xml:space="preserve"> </w:t>
      </w:r>
      <m:oMath>
        <m:sSub>
          <m:e>
            <m:r>
              <m:t>π</m:t>
            </m:r>
          </m:e>
          <m:sub>
            <m:r>
              <m:t>1</m:t>
            </m:r>
          </m:sub>
        </m:sSub>
        <m:r>
          <m:rPr>
            <m:sty m:val="p"/>
          </m:rPr>
          <m:t>=</m:t>
        </m:r>
        <m:r>
          <m:t>0</m:t>
        </m:r>
        <m:r>
          <m:rPr>
            <m:sty m:val="p"/>
          </m:rPr>
          <m:t>,</m:t>
        </m:r>
        <m:r>
          <m:t>6</m:t>
        </m:r>
      </m:oMath>
      <w:r>
        <w:t xml:space="preserve"> </w:t>
      </w:r>
      <w:r>
        <w:t xml:space="preserve">e</w:t>
      </w:r>
      <w:r>
        <w:t xml:space="preserve"> </w:t>
      </w:r>
      <m:oMath>
        <m:sSub>
          <m:e>
            <m:r>
              <m:t>π</m:t>
            </m:r>
          </m:e>
          <m:sub>
            <m:r>
              <m:t>2</m:t>
            </m:r>
          </m:sub>
        </m:sSub>
        <m:r>
          <m:rPr>
            <m:sty m:val="p"/>
          </m:rPr>
          <m:t>=</m:t>
        </m:r>
        <m:r>
          <m:t>0</m:t>
        </m:r>
        <m:r>
          <m:rPr>
            <m:sty m:val="p"/>
          </m:rPr>
          <m:t>,</m:t>
        </m:r>
        <m:r>
          <m:t>4</m:t>
        </m:r>
      </m:oMath>
      <w:r>
        <w:t xml:space="preserve">. Um agente com riqueza</w:t>
      </w:r>
      <w:r>
        <w:t xml:space="preserve"> </w:t>
      </w:r>
      <m:oMath>
        <m:r>
          <m:t>W</m:t>
        </m:r>
        <m:r>
          <m:rPr>
            <m:sty m:val="p"/>
          </m:rPr>
          <m:t>=</m:t>
        </m:r>
        <m:r>
          <m:t>100</m:t>
        </m:r>
      </m:oMath>
      <w:r>
        <w:t xml:space="preserve"> </w:t>
      </w:r>
      <w:r>
        <w:t xml:space="preserve">e utilidade</w:t>
      </w:r>
      <w:r>
        <w:t xml:space="preserve"> </w:t>
      </w:r>
      <m:oMath>
        <m:r>
          <m:t>u</m:t>
        </m:r>
        <m:r>
          <m:rPr>
            <m:sty m:val="p"/>
          </m:rPr>
          <m:t>(</m:t>
        </m:r>
        <m:r>
          <m:t>c</m:t>
        </m:r>
        <m:r>
          <m:rPr>
            <m:sty m:val="p"/>
          </m:rPr>
          <m:t>)</m:t>
        </m:r>
        <m:r>
          <m:rPr>
            <m:sty m:val="p"/>
          </m:rPr>
          <m:t>=</m:t>
        </m:r>
        <m:r>
          <m:rPr>
            <m:sty m:val="p"/>
          </m:rPr>
          <m:t>ln</m:t>
        </m:r>
        <m:r>
          <m:rPr>
            <m:sty m:val="p"/>
          </m:rPr>
          <m:t>(</m:t>
        </m:r>
        <m:r>
          <m:t>c</m:t>
        </m:r>
        <m:r>
          <m:rPr>
            <m:sty m:val="p"/>
          </m:rPr>
          <m:t>)</m:t>
        </m:r>
      </m:oMath>
      <w:r>
        <w:t xml:space="preserve"> </w:t>
      </w:r>
      <w:r>
        <w:t xml:space="preserve">pode comprar ativos contingentes ao preço</w:t>
      </w:r>
      <w:r>
        <w:t xml:space="preserve"> </w:t>
      </w:r>
      <m:oMath>
        <m:sSub>
          <m:e>
            <m:r>
              <m:t>ψ</m:t>
            </m:r>
          </m:e>
          <m:sub>
            <m:r>
              <m:t>1</m:t>
            </m:r>
          </m:sub>
        </m:sSub>
        <m:r>
          <m:rPr>
            <m:sty m:val="p"/>
          </m:rPr>
          <m:t>=</m:t>
        </m:r>
        <m:r>
          <m:t>0</m:t>
        </m:r>
        <m:r>
          <m:rPr>
            <m:sty m:val="p"/>
          </m:rPr>
          <m:t>,</m:t>
        </m:r>
        <m:r>
          <m:t>6</m:t>
        </m:r>
      </m:oMath>
      <w:r>
        <w:t xml:space="preserve"> </w:t>
      </w:r>
      <w:r>
        <w:t xml:space="preserve">e</w:t>
      </w:r>
      <w:r>
        <w:t xml:space="preserve"> </w:t>
      </w:r>
      <m:oMath>
        <m:sSub>
          <m:e>
            <m:r>
              <m:t>ψ</m:t>
            </m:r>
          </m:e>
          <m:sub>
            <m:r>
              <m:t>2</m:t>
            </m:r>
          </m:sub>
        </m:sSub>
        <m:r>
          <m:rPr>
            <m:sty m:val="p"/>
          </m:rPr>
          <m:t>=</m:t>
        </m:r>
        <m:r>
          <m:t>0</m:t>
        </m:r>
        <m:r>
          <m:rPr>
            <m:sty m:val="p"/>
          </m:rPr>
          <m:t>,</m:t>
        </m:r>
        <m:r>
          <m:t>4</m:t>
        </m:r>
      </m:oMath>
      <w:r>
        <w:t xml:space="preserve">.</w:t>
      </w:r>
    </w:p>
    <w:p>
      <w:pPr>
        <w:numPr>
          <w:ilvl w:val="0"/>
          <w:numId w:val="1378"/>
        </w:numPr>
      </w:pPr>
      <w:r>
        <w:t xml:space="preserve">Formule o problema de maximização.</w:t>
      </w:r>
    </w:p>
    <w:p>
      <w:pPr>
        <w:numPr>
          <w:ilvl w:val="0"/>
          <w:numId w:val="1378"/>
        </w:numPr>
      </w:pPr>
      <w:r>
        <w:t xml:space="preserve">Encontre a alocação ótima</w:t>
      </w:r>
      <w:r>
        <w:t xml:space="preserve"> </w:t>
      </w:r>
      <m:oMath>
        <m:r>
          <m:rPr>
            <m:sty m:val="p"/>
          </m:rPr>
          <m:t>(</m:t>
        </m:r>
        <m:sSubSup>
          <m:e>
            <m:r>
              <m:t>c</m:t>
            </m:r>
          </m:e>
          <m:sub>
            <m:r>
              <m:t>1</m:t>
            </m:r>
          </m:sub>
          <m:sup>
            <m:r>
              <m:rPr>
                <m:sty m:val="p"/>
              </m:rPr>
              <m:t>*</m:t>
            </m:r>
          </m:sup>
        </m:sSubSup>
        <m:r>
          <m:rPr>
            <m:sty m:val="p"/>
          </m:rPr>
          <m:t>,</m:t>
        </m:r>
        <m:sSubSup>
          <m:e>
            <m:r>
              <m:t>c</m:t>
            </m:r>
          </m:e>
          <m:sub>
            <m:r>
              <m:t>2</m:t>
            </m:r>
          </m:sub>
          <m:sup>
            <m:r>
              <m:rPr>
                <m:sty m:val="p"/>
              </m:rPr>
              <m:t>*</m:t>
            </m:r>
          </m:sup>
        </m:sSubSup>
        <m:r>
          <m:rPr>
            <m:sty m:val="p"/>
          </m:rPr>
          <m:t>)</m:t>
        </m:r>
      </m:oMath>
      <w:r>
        <w:t xml:space="preserve">.</w:t>
      </w:r>
    </w:p>
    <w:p>
      <w:pPr>
        <w:numPr>
          <w:ilvl w:val="0"/>
          <w:numId w:val="1378"/>
        </w:numPr>
      </w:pPr>
      <w:r>
        <w:t xml:space="preserve">Interprete o resultado à luz da suavização de consumo entre estados.</w:t>
      </w:r>
    </w:p>
    <w:p>
      <w:pPr>
        <w:pStyle w:val="FirstParagraph"/>
      </w:pPr>
      <w:r>
        <w:t xml:space="preserve">Ver solução (Cap. 7)</w:t>
      </w:r>
    </w:p>
    <w:p>
      <w:r>
        <w:pict>
          <v:rect style="width:0;height:1.5pt" o:hralign="center" o:hrstd="t" o:hr="t"/>
        </w:pict>
      </w:r>
    </w:p>
    <w:p>
      <w:pPr>
        <w:pStyle w:val="FirstParagraph"/>
      </w:pPr>
      <w:r>
        <w:rPr>
          <w:b/>
          <w:bCs/>
        </w:rPr>
        <w:t xml:space="preserve">Exercício 7.5.</w:t>
      </w:r>
      <w:r>
        <w:t xml:space="preserve"> </w:t>
      </w:r>
      <w:r>
        <w:t xml:space="preserve">Considere dois agentes, A com</w:t>
      </w:r>
      <w:r>
        <w:t xml:space="preserve"> </w:t>
      </w:r>
      <m:oMath>
        <m:sSub>
          <m:e>
            <m:r>
              <m:t>u</m:t>
            </m:r>
          </m:e>
          <m:sub>
            <m:r>
              <m:t>A</m:t>
            </m:r>
          </m:sub>
        </m:sSub>
        <m:r>
          <m:rPr>
            <m:sty m:val="p"/>
          </m:rPr>
          <m:t>(</m:t>
        </m:r>
        <m:r>
          <m:t>W</m:t>
        </m:r>
        <m:r>
          <m:rPr>
            <m:sty m:val="p"/>
          </m:rPr>
          <m:t>)</m:t>
        </m:r>
        <m:r>
          <m:rPr>
            <m:sty m:val="p"/>
          </m:rPr>
          <m:t>=</m:t>
        </m:r>
        <m:r>
          <m:rPr>
            <m:sty m:val="p"/>
          </m:rPr>
          <m:t>ln</m:t>
        </m:r>
        <m:r>
          <m:rPr>
            <m:sty m:val="p"/>
          </m:rPr>
          <m:t>(</m:t>
        </m:r>
        <m:r>
          <m:t>W</m:t>
        </m:r>
        <m:r>
          <m:rPr>
            <m:sty m:val="p"/>
          </m:rPr>
          <m:t>)</m:t>
        </m:r>
      </m:oMath>
      <w:r>
        <w:t xml:space="preserve"> </w:t>
      </w:r>
      <w:r>
        <w:t xml:space="preserve">e B com</w:t>
      </w:r>
      <w:r>
        <w:t xml:space="preserve"> </w:t>
      </w:r>
      <m:oMath>
        <m:sSub>
          <m:e>
            <m:r>
              <m:t>u</m:t>
            </m:r>
          </m:e>
          <m:sub>
            <m:r>
              <m:t>B</m:t>
            </m:r>
          </m:sub>
        </m:sSub>
        <m:r>
          <m:rPr>
            <m:sty m:val="p"/>
          </m:rPr>
          <m:t>(</m:t>
        </m:r>
        <m:r>
          <m:t>W</m:t>
        </m:r>
        <m:r>
          <m:rPr>
            <m:sty m:val="p"/>
          </m:rPr>
          <m:t>)</m:t>
        </m:r>
        <m:r>
          <m:rPr>
            <m:sty m:val="p"/>
          </m:rPr>
          <m:t>=</m:t>
        </m:r>
        <m:r>
          <m:rPr>
            <m:sty m:val="p"/>
          </m:rPr>
          <m:t>−</m:t>
        </m:r>
        <m:sSup>
          <m:e>
            <m:r>
              <m:t>e</m:t>
            </m:r>
          </m:e>
          <m:sup>
            <m:r>
              <m:rPr>
                <m:sty m:val="p"/>
              </m:rPr>
              <m:t>−</m:t>
            </m:r>
            <m:r>
              <m:t>0</m:t>
            </m:r>
            <m:r>
              <m:rPr>
                <m:sty m:val="p"/>
              </m:rPr>
              <m:t>,</m:t>
            </m:r>
            <m:r>
              <m:t>001</m:t>
            </m:r>
            <m:r>
              <m:t>W</m:t>
            </m:r>
          </m:sup>
        </m:sSup>
      </m:oMath>
      <w:r>
        <w:t xml:space="preserve">, ambos com riqueza</w:t>
      </w:r>
      <w:r>
        <w:t xml:space="preserve"> </w:t>
      </w:r>
      <m:oMath>
        <m:r>
          <m:t>W</m:t>
        </m:r>
        <m:r>
          <m:rPr>
            <m:sty m:val="p"/>
          </m:rPr>
          <m:t>=</m:t>
        </m:r>
        <m:r>
          <m:t>10.000</m:t>
        </m:r>
      </m:oMath>
      <w:r>
        <w:t xml:space="preserve">.</w:t>
      </w:r>
    </w:p>
    <w:p>
      <w:pPr>
        <w:numPr>
          <w:ilvl w:val="0"/>
          <w:numId w:val="1379"/>
        </w:numPr>
      </w:pPr>
      <w:r>
        <w:t xml:space="preserve">Calcule</w:t>
      </w:r>
      <w:r>
        <w:t xml:space="preserve"> </w:t>
      </w:r>
      <m:oMath>
        <m:r>
          <m:t>A</m:t>
        </m:r>
        <m:r>
          <m:rPr>
            <m:sty m:val="p"/>
          </m:rPr>
          <m:t>(</m:t>
        </m:r>
        <m:r>
          <m:t>W</m:t>
        </m:r>
        <m:r>
          <m:rPr>
            <m:sty m:val="p"/>
          </m:rPr>
          <m:t>)</m:t>
        </m:r>
      </m:oMath>
      <w:r>
        <w:t xml:space="preserve"> </w:t>
      </w:r>
      <w:r>
        <w:t xml:space="preserve">e</w:t>
      </w:r>
      <w:r>
        <w:t xml:space="preserve"> </w:t>
      </w:r>
      <m:oMath>
        <m:r>
          <m:t>R</m:t>
        </m:r>
        <m:r>
          <m:rPr>
            <m:sty m:val="p"/>
          </m:rPr>
          <m:t>(</m:t>
        </m:r>
        <m:r>
          <m:t>W</m:t>
        </m:r>
        <m:r>
          <m:rPr>
            <m:sty m:val="p"/>
          </m:rPr>
          <m:t>)</m:t>
        </m:r>
      </m:oMath>
      <w:r>
        <w:t xml:space="preserve"> </w:t>
      </w:r>
      <w:r>
        <w:t xml:space="preserve">para cada agente.</w:t>
      </w:r>
    </w:p>
    <w:p>
      <w:pPr>
        <w:numPr>
          <w:ilvl w:val="0"/>
          <w:numId w:val="1379"/>
        </w:numPr>
      </w:pPr>
      <w:r>
        <w:t xml:space="preserve">Compare o prêmio de risco (aproximado) que cada um exigiria para aceitar uma loteria com valor esperado zero e desvio padrão de R$ 1.000.</w:t>
      </w:r>
    </w:p>
    <w:p>
      <w:pPr>
        <w:numPr>
          <w:ilvl w:val="0"/>
          <w:numId w:val="1379"/>
        </w:numPr>
      </w:pPr>
      <w:r>
        <w:t xml:space="preserve">Como o prêmio de risco de cada agente se altera se a riqueza aumenta para</w:t>
      </w:r>
      <w:r>
        <w:t xml:space="preserve"> </w:t>
      </w:r>
      <m:oMath>
        <m:r>
          <m:t>W</m:t>
        </m:r>
        <m:r>
          <m:rPr>
            <m:sty m:val="p"/>
          </m:rPr>
          <m:t>=</m:t>
        </m:r>
        <m:r>
          <m:t>50.000</m:t>
        </m:r>
      </m:oMath>
      <w:r>
        <w:t xml:space="preserve">? Discuta a relação com DARA e CARA.</w:t>
      </w:r>
    </w:p>
    <w:p>
      <w:pPr>
        <w:pStyle w:val="FirstParagraph"/>
      </w:pPr>
      <w:r>
        <w:t xml:space="preserve">Ver solução (Cap. 7)</w:t>
      </w:r>
    </w:p>
    <w:p>
      <w:r>
        <w:pict>
          <v:rect style="width:0;height:1.5pt" o:hralign="center" o:hrstd="t" o:hr="t"/>
        </w:pict>
      </w:r>
    </w:p>
    <w:p>
      <w:pPr>
        <w:pStyle w:val="FirstParagraph"/>
      </w:pPr>
      <w:r>
        <w:rPr>
          <w:b/>
          <w:bCs/>
        </w:rPr>
        <w:t xml:space="preserve">Exercício 7.6.</w:t>
      </w:r>
      <w:r>
        <w:t xml:space="preserve"> </w:t>
      </w:r>
      <w:r>
        <w:rPr>
          <w:i/>
          <w:iCs/>
        </w:rPr>
        <w:t xml:space="preserve">(Fácil)</w:t>
      </w:r>
      <w:r>
        <w:t xml:space="preserve"> </w:t>
      </w:r>
      <w:r>
        <w:t xml:space="preserve">Um agente possui função de utilidade</w:t>
      </w:r>
      <w:r>
        <w:t xml:space="preserve"> </w:t>
      </w:r>
      <m:oMath>
        <m:r>
          <m:t>u</m:t>
        </m:r>
        <m:r>
          <m:rPr>
            <m:sty m:val="p"/>
          </m:rPr>
          <m:t>(</m:t>
        </m:r>
        <m:r>
          <m:t>W</m:t>
        </m:r>
        <m:r>
          <m:rPr>
            <m:sty m:val="p"/>
          </m:rPr>
          <m:t>)</m:t>
        </m:r>
        <m:r>
          <m:rPr>
            <m:sty m:val="p"/>
          </m:rPr>
          <m:t>=</m:t>
        </m:r>
        <m:rad>
          <m:radPr>
            <m:degHide m:val="on"/>
          </m:radPr>
          <m:deg/>
          <m:e>
            <m:r>
              <m:t>W</m:t>
            </m:r>
          </m:e>
        </m:rad>
      </m:oMath>
      <w:r>
        <w:t xml:space="preserve"> </w:t>
      </w:r>
      <w:r>
        <w:t xml:space="preserve">e riqueza inicial</w:t>
      </w:r>
      <w:r>
        <w:t xml:space="preserve"> </w:t>
      </w:r>
      <m:oMath>
        <m:sSub>
          <m:e>
            <m:r>
              <m:t>W</m:t>
            </m:r>
          </m:e>
          <m:sub>
            <m:r>
              <m:t>0</m:t>
            </m:r>
          </m:sub>
        </m:sSub>
        <m:r>
          <m:rPr>
            <m:sty m:val="p"/>
          </m:rPr>
          <m:t>=</m:t>
        </m:r>
        <m:r>
          <m:t>100</m:t>
        </m:r>
      </m:oMath>
      <w:r>
        <w:t xml:space="preserve">. Ele é convidado a participar de uma loteria que paga</w:t>
      </w:r>
      <w:r>
        <w:t xml:space="preserve"> </w:t>
      </w:r>
      <m:oMath>
        <m:r>
          <m:rPr>
            <m:sty m:val="p"/>
          </m:rPr>
          <m:t>+</m:t>
        </m:r>
        <m:r>
          <m:t>60</m:t>
        </m:r>
      </m:oMath>
      <w:r>
        <w:t xml:space="preserve"> </w:t>
      </w:r>
      <w:r>
        <w:t xml:space="preserve">com probabilidade</w:t>
      </w:r>
      <w:r>
        <w:t xml:space="preserve"> </w:t>
      </w:r>
      <m:oMath>
        <m:r>
          <m:t>0</m:t>
        </m:r>
        <m:r>
          <m:rPr>
            <m:sty m:val="p"/>
          </m:rPr>
          <m:t>,</m:t>
        </m:r>
        <m:r>
          <m:t>5</m:t>
        </m:r>
      </m:oMath>
      <w:r>
        <w:t xml:space="preserve"> </w:t>
      </w:r>
      <w:r>
        <w:t xml:space="preserve">e</w:t>
      </w:r>
      <w:r>
        <w:t xml:space="preserve"> </w:t>
      </w:r>
      <m:oMath>
        <m:r>
          <m:rPr>
            <m:sty m:val="p"/>
          </m:rPr>
          <m:t>−</m:t>
        </m:r>
        <m:r>
          <m:t>60</m:t>
        </m:r>
      </m:oMath>
      <w:r>
        <w:t xml:space="preserve"> </w:t>
      </w:r>
      <w:r>
        <w:t xml:space="preserve">com probabilidade</w:t>
      </w:r>
      <w:r>
        <w:t xml:space="preserve"> </w:t>
      </w:r>
      <m:oMath>
        <m:r>
          <m:t>0</m:t>
        </m:r>
        <m:r>
          <m:rPr>
            <m:sty m:val="p"/>
          </m:rPr>
          <m:t>,</m:t>
        </m:r>
        <m:r>
          <m:t>5</m:t>
        </m:r>
      </m:oMath>
      <w:r>
        <w:t xml:space="preserve">.</w:t>
      </w:r>
    </w:p>
    <w:p>
      <w:pPr>
        <w:numPr>
          <w:ilvl w:val="0"/>
          <w:numId w:val="1380"/>
        </w:numPr>
      </w:pPr>
      <w:r>
        <w:t xml:space="preserve">Calcule a utilidade esperada da loteria,</w:t>
      </w:r>
      <w:r>
        <w:t xml:space="preserve"> </w:t>
      </w:r>
      <m:oMath>
        <m:r>
          <m:t>E</m:t>
        </m:r>
        <m:r>
          <m:rPr>
            <m:sty m:val="p"/>
          </m:rPr>
          <m:t>[</m:t>
        </m:r>
        <m:r>
          <m:t>u</m:t>
        </m:r>
        <m:r>
          <m:rPr>
            <m:sty m:val="p"/>
          </m:rPr>
          <m:t>]</m:t>
        </m:r>
      </m:oMath>
      <w:r>
        <w:t xml:space="preserve">.</w:t>
      </w:r>
    </w:p>
    <w:p>
      <w:pPr>
        <w:numPr>
          <w:ilvl w:val="0"/>
          <w:numId w:val="1380"/>
        </w:numPr>
      </w:pPr>
      <w:r>
        <w:t xml:space="preserve">Calcule a utilidade do valor esperado da riqueza,</w:t>
      </w:r>
      <w:r>
        <w:t xml:space="preserve"> </w:t>
      </w:r>
      <m:oMath>
        <m:r>
          <m:t>u</m:t>
        </m:r>
        <m:r>
          <m:rPr>
            <m:sty m:val="p"/>
          </m:rPr>
          <m:t>(</m:t>
        </m:r>
        <m:r>
          <m:t>E</m:t>
        </m:r>
        <m:r>
          <m:rPr>
            <m:sty m:val="p"/>
          </m:rPr>
          <m:t>[</m:t>
        </m:r>
        <m:r>
          <m:t>W</m:t>
        </m:r>
        <m:r>
          <m:rPr>
            <m:sty m:val="p"/>
          </m:rPr>
          <m:t>]</m:t>
        </m:r>
        <m:r>
          <m:rPr>
            <m:sty m:val="p"/>
          </m:rPr>
          <m:t>)</m:t>
        </m:r>
      </m:oMath>
      <w:r>
        <w:t xml:space="preserve">.</w:t>
      </w:r>
    </w:p>
    <w:p>
      <w:pPr>
        <w:numPr>
          <w:ilvl w:val="0"/>
          <w:numId w:val="1380"/>
        </w:numPr>
      </w:pPr>
      <w:r>
        <w:t xml:space="preserve">Com base na comparação entre</w:t>
      </w:r>
      <w:r>
        <w:t xml:space="preserve"> </w:t>
      </w:r>
      <m:oMath>
        <m:r>
          <m:t>E</m:t>
        </m:r>
        <m:r>
          <m:rPr>
            <m:sty m:val="p"/>
          </m:rPr>
          <m:t>[</m:t>
        </m:r>
        <m:r>
          <m:t>u</m:t>
        </m:r>
        <m:r>
          <m:rPr>
            <m:sty m:val="p"/>
          </m:rPr>
          <m:t>]</m:t>
        </m:r>
      </m:oMath>
      <w:r>
        <w:t xml:space="preserve"> </w:t>
      </w:r>
      <w:r>
        <w:t xml:space="preserve">e</w:t>
      </w:r>
      <w:r>
        <w:t xml:space="preserve"> </w:t>
      </w:r>
      <m:oMath>
        <m:r>
          <m:t>u</m:t>
        </m:r>
        <m:r>
          <m:rPr>
            <m:sty m:val="p"/>
          </m:rPr>
          <m:t>(</m:t>
        </m:r>
        <m:r>
          <m:t>E</m:t>
        </m:r>
        <m:r>
          <m:rPr>
            <m:sty m:val="p"/>
          </m:rPr>
          <m:t>[</m:t>
        </m:r>
        <m:r>
          <m:t>W</m:t>
        </m:r>
        <m:r>
          <m:rPr>
            <m:sty m:val="p"/>
          </m:rPr>
          <m:t>]</m:t>
        </m:r>
        <m:r>
          <m:rPr>
            <m:sty m:val="p"/>
          </m:rPr>
          <m:t>)</m:t>
        </m:r>
      </m:oMath>
      <w:r>
        <w:t xml:space="preserve">, determine se o agente é avesso, neutro ou propenso ao risco. Justifique usando a desigualdade de Jensen.</w:t>
      </w:r>
    </w:p>
    <w:p>
      <w:pPr>
        <w:pStyle w:val="FirstParagraph"/>
      </w:pPr>
      <w:r>
        <w:t xml:space="preserve">Ver solução (Cap. 7)</w:t>
      </w:r>
    </w:p>
    <w:p>
      <w:r>
        <w:pict>
          <v:rect style="width:0;height:1.5pt" o:hralign="center" o:hrstd="t" o:hr="t"/>
        </w:pict>
      </w:r>
    </w:p>
    <w:p>
      <w:pPr>
        <w:pStyle w:val="FirstParagraph"/>
      </w:pPr>
      <w:r>
        <w:rPr>
          <w:b/>
          <w:bCs/>
        </w:rPr>
        <w:t xml:space="preserve">Exercício 7.7.</w:t>
      </w:r>
      <w:r>
        <w:t xml:space="preserve"> </w:t>
      </w:r>
      <w:r>
        <w:rPr>
          <w:i/>
          <w:iCs/>
        </w:rPr>
        <w:t xml:space="preserve">(Fácil — Verdadeiro ou Falso)</w:t>
      </w:r>
      <w:r>
        <w:t xml:space="preserve"> </w:t>
      </w:r>
      <w:r>
        <w:t xml:space="preserve">Julgue as afirmativas abaixo como verdadeiras ou falsas, com justificativa.</w:t>
      </w:r>
    </w:p>
    <w:p>
      <w:pPr>
        <w:numPr>
          <w:ilvl w:val="0"/>
          <w:numId w:val="1381"/>
        </w:numPr>
      </w:pPr>
      <w:r>
        <w:t xml:space="preserve">Um agente neutro ao risco possui função de utilidade linear.</w:t>
      </w:r>
    </w:p>
    <w:p>
      <w:pPr>
        <w:numPr>
          <w:ilvl w:val="0"/>
          <w:numId w:val="1381"/>
        </w:numPr>
      </w:pPr>
      <w:r>
        <w:t xml:space="preserve">A utilidade CARA implica que o prêmio de risco é independente da riqueza.</w:t>
      </w:r>
    </w:p>
    <w:p>
      <w:pPr>
        <w:numPr>
          <w:ilvl w:val="0"/>
          <w:numId w:val="1381"/>
        </w:numPr>
      </w:pPr>
      <w:r>
        <w:t xml:space="preserve">Se</w:t>
      </w:r>
      <w:r>
        <w:t xml:space="preserve"> </w:t>
      </w:r>
      <m:oMath>
        <m:sSup>
          <m:e>
            <m:r>
              <m:t>u</m:t>
            </m:r>
          </m:e>
          <m:sup>
            <m:r>
              <m:rPr>
                <m:sty m:val="p"/>
              </m:rPr>
              <m:t>″</m:t>
            </m:r>
          </m:sup>
        </m:sSup>
        <m:r>
          <m:rPr>
            <m:sty m:val="p"/>
          </m:rPr>
          <m:t>(</m:t>
        </m:r>
        <m:r>
          <m:t>W</m:t>
        </m:r>
        <m:r>
          <m:rPr>
            <m:sty m:val="p"/>
          </m:rPr>
          <m:t>)</m:t>
        </m:r>
        <m:r>
          <m:rPr>
            <m:sty m:val="p"/>
          </m:rPr>
          <m:t>&lt;</m:t>
        </m:r>
        <m:r>
          <m:t>0</m:t>
        </m:r>
      </m:oMath>
      <w:r>
        <w:t xml:space="preserve">, o agente sempre rejeita qualquer loteria justa.</w:t>
      </w:r>
    </w:p>
    <w:p>
      <w:pPr>
        <w:numPr>
          <w:ilvl w:val="0"/>
          <w:numId w:val="1381"/>
        </w:numPr>
      </w:pPr>
      <w:r>
        <w:t xml:space="preserve">A diversificação elimina todo o risco de uma carteira de ativos.</w:t>
      </w:r>
    </w:p>
    <w:p>
      <w:pPr>
        <w:pStyle w:val="FirstParagraph"/>
      </w:pPr>
      <w:r>
        <w:t xml:space="preserve">Ver solução (Cap. 7)</w:t>
      </w:r>
    </w:p>
    <w:p>
      <w:r>
        <w:pict>
          <v:rect style="width:0;height:1.5pt" o:hralign="center" o:hrstd="t" o:hr="t"/>
        </w:pict>
      </w:r>
    </w:p>
    <w:p>
      <w:pPr>
        <w:pStyle w:val="FirstParagraph"/>
      </w:pPr>
      <w:r>
        <w:rPr>
          <w:b/>
          <w:bCs/>
        </w:rPr>
        <w:t xml:space="preserve">Exercício 7.8.</w:t>
      </w:r>
      <w:r>
        <w:t xml:space="preserve"> </w:t>
      </w:r>
      <w:r>
        <w:rPr>
          <w:i/>
          <w:iCs/>
        </w:rPr>
        <w:t xml:space="preserve">(Médio)</w:t>
      </w:r>
      <w:r>
        <w:t xml:space="preserve"> </w:t>
      </w:r>
      <w:r>
        <w:t xml:space="preserve">Um agente tem função de utilidade</w:t>
      </w:r>
      <w:r>
        <w:t xml:space="preserve"> </w:t>
      </w:r>
      <m:oMath>
        <m:r>
          <m:t>u</m:t>
        </m:r>
        <m:r>
          <m:rPr>
            <m:sty m:val="p"/>
          </m:rPr>
          <m:t>(</m:t>
        </m:r>
        <m:r>
          <m:t>W</m:t>
        </m:r>
        <m:r>
          <m:rPr>
            <m:sty m:val="p"/>
          </m:rPr>
          <m:t>)</m:t>
        </m:r>
        <m:r>
          <m:rPr>
            <m:sty m:val="p"/>
          </m:rPr>
          <m:t>=</m:t>
        </m:r>
        <m:r>
          <m:rPr>
            <m:sty m:val="p"/>
          </m:rPr>
          <m:t>ln</m:t>
        </m:r>
        <m:r>
          <m:rPr>
            <m:sty m:val="p"/>
          </m:rPr>
          <m:t>(</m:t>
        </m:r>
        <m:r>
          <m:t>W</m:t>
        </m:r>
        <m:r>
          <m:rPr>
            <m:sty m:val="p"/>
          </m:rPr>
          <m:t>)</m:t>
        </m:r>
      </m:oMath>
      <w:r>
        <w:t xml:space="preserve"> </w:t>
      </w:r>
      <w:r>
        <w:t xml:space="preserve">e riqueza inicial</w:t>
      </w:r>
      <w:r>
        <w:t xml:space="preserve"> </w:t>
      </w:r>
      <m:oMath>
        <m:sSub>
          <m:e>
            <m:r>
              <m:t>W</m:t>
            </m:r>
          </m:e>
          <m:sub>
            <m:r>
              <m:t>0</m:t>
            </m:r>
          </m:sub>
        </m:sSub>
        <m:r>
          <m:rPr>
            <m:sty m:val="p"/>
          </m:rPr>
          <m:t>=</m:t>
        </m:r>
        <m:r>
          <m:t>10.000</m:t>
        </m:r>
      </m:oMath>
      <w:r>
        <w:t xml:space="preserve">. Ele enfrenta o seguinte risco: com probabilidade</w:t>
      </w:r>
      <w:r>
        <w:t xml:space="preserve"> </w:t>
      </w:r>
      <m:oMath>
        <m:r>
          <m:t>0</m:t>
        </m:r>
        <m:r>
          <m:rPr>
            <m:sty m:val="p"/>
          </m:rPr>
          <m:t>,</m:t>
        </m:r>
        <m:r>
          <m:t>1</m:t>
        </m:r>
      </m:oMath>
      <w:r>
        <w:t xml:space="preserve"> </w:t>
      </w:r>
      <w:r>
        <w:t xml:space="preserve">perde R$ 5.000; com probabilidade</w:t>
      </w:r>
      <w:r>
        <w:t xml:space="preserve"> </w:t>
      </w:r>
      <m:oMath>
        <m:r>
          <m:t>0</m:t>
        </m:r>
        <m:r>
          <m:rPr>
            <m:sty m:val="p"/>
          </m:rPr>
          <m:t>,</m:t>
        </m:r>
        <m:r>
          <m:t>9</m:t>
        </m:r>
      </m:oMath>
      <w:r>
        <w:t xml:space="preserve"> </w:t>
      </w:r>
      <w:r>
        <w:t xml:space="preserve">não perde nada.</w:t>
      </w:r>
    </w:p>
    <w:p>
      <w:pPr>
        <w:numPr>
          <w:ilvl w:val="0"/>
          <w:numId w:val="1382"/>
        </w:numPr>
      </w:pPr>
      <w:r>
        <w:t xml:space="preserve">Calcule o equivalente de certeza e o prêmio de risco exato.</w:t>
      </w:r>
    </w:p>
    <w:p>
      <w:pPr>
        <w:numPr>
          <w:ilvl w:val="0"/>
          <w:numId w:val="1382"/>
        </w:numPr>
      </w:pPr>
      <w:r>
        <w:t xml:space="preserve">Qual é o prêmio máximo que o agente pagaria por um seguro de cobertura total?</w:t>
      </w:r>
    </w:p>
    <w:p>
      <w:pPr>
        <w:numPr>
          <w:ilvl w:val="0"/>
          <w:numId w:val="1382"/>
        </w:numPr>
      </w:pPr>
      <w:r>
        <w:t xml:space="preserve">Uma seguradora oferece cobertura total por R$ 600. O agente contrata? Justifique calculando a utilidade com e sem seguro.</w:t>
      </w:r>
    </w:p>
    <w:p>
      <w:pPr>
        <w:pStyle w:val="FirstParagraph"/>
      </w:pPr>
      <w:r>
        <w:t xml:space="preserve">Ver solução (Cap. 7)</w:t>
      </w:r>
    </w:p>
    <w:p>
      <w:r>
        <w:pict>
          <v:rect style="width:0;height:1.5pt" o:hralign="center" o:hrstd="t" o:hr="t"/>
        </w:pict>
      </w:r>
    </w:p>
    <w:p>
      <w:pPr>
        <w:pStyle w:val="FirstParagraph"/>
      </w:pPr>
      <w:r>
        <w:rPr>
          <w:b/>
          <w:bCs/>
        </w:rPr>
        <w:t xml:space="preserve">Exercício 7.9.</w:t>
      </w:r>
      <w:r>
        <w:t xml:space="preserve"> </w:t>
      </w:r>
      <w:r>
        <w:rPr>
          <w:i/>
          <w:iCs/>
        </w:rPr>
        <w:t xml:space="preserve">(Médio — Contexto Brasileiro)</w:t>
      </w:r>
      <w:r>
        <w:t xml:space="preserve"> </w:t>
      </w:r>
      <w:r>
        <w:t xml:space="preserve">Um cafeicultor de Minas Gerais possui utilidade CRRA com coeficiente de aversão relativa ao risco</w:t>
      </w:r>
      <w:r>
        <w:t xml:space="preserve"> </w:t>
      </w:r>
      <m:oMath>
        <m:r>
          <m:t>γ</m:t>
        </m:r>
        <m:r>
          <m:rPr>
            <m:sty m:val="p"/>
          </m:rPr>
          <m:t>=</m:t>
        </m:r>
        <m:r>
          <m:t>2</m:t>
        </m:r>
      </m:oMath>
      <w:r>
        <w:t xml:space="preserve">, ou seja,</w:t>
      </w:r>
      <w:r>
        <w:t xml:space="preserve"> </w:t>
      </w:r>
      <m:oMath>
        <m:r>
          <m:t>u</m:t>
        </m:r>
        <m:r>
          <m:rPr>
            <m:sty m:val="p"/>
          </m:rPr>
          <m:t>(</m:t>
        </m:r>
        <m:r>
          <m:t>W</m:t>
        </m:r>
        <m:r>
          <m:rPr>
            <m:sty m:val="p"/>
          </m:rPr>
          <m:t>)</m:t>
        </m:r>
        <m:r>
          <m:rPr>
            <m:sty m:val="p"/>
          </m:rPr>
          <m:t>=</m:t>
        </m:r>
        <m:r>
          <m:rPr>
            <m:sty m:val="p"/>
          </m:rPr>
          <m:t>−</m:t>
        </m:r>
        <m:sSup>
          <m:e>
            <m:r>
              <m:t>W</m:t>
            </m:r>
          </m:e>
          <m:sup>
            <m:r>
              <m:rPr>
                <m:sty m:val="p"/>
              </m:rPr>
              <m:t>−</m:t>
            </m:r>
            <m:r>
              <m:t>1</m:t>
            </m:r>
          </m:sup>
        </m:sSup>
      </m:oMath>
      <w:r>
        <w:t xml:space="preserve">, e riqueza inicial</w:t>
      </w:r>
      <w:r>
        <w:t xml:space="preserve"> </w:t>
      </w:r>
      <m:oMath>
        <m:sSub>
          <m:e>
            <m:r>
              <m:t>W</m:t>
            </m:r>
          </m:e>
          <m:sub>
            <m:r>
              <m:t>0</m:t>
            </m:r>
          </m:sub>
        </m:sSub>
        <m:r>
          <m:rPr>
            <m:sty m:val="p"/>
          </m:rPr>
          <m:t>=</m:t>
        </m:r>
        <m:r>
          <m:rPr>
            <m:nor/>
            <m:sty m:val="p"/>
          </m:rPr>
          <m:t>R$</m:t>
        </m:r>
        <m:r>
          <m:t>200.000</m:t>
        </m:r>
      </m:oMath>
      <w:r>
        <w:t xml:space="preserve">. Ele enfrenta o seguinte risco climático: com probabilidade</w:t>
      </w:r>
      <w:r>
        <w:t xml:space="preserve"> </w:t>
      </w:r>
      <m:oMath>
        <m:r>
          <m:t>0</m:t>
        </m:r>
        <m:r>
          <m:rPr>
            <m:sty m:val="p"/>
          </m:rPr>
          <m:t>,</m:t>
        </m:r>
        <m:r>
          <m:t>3</m:t>
        </m:r>
      </m:oMath>
      <w:r>
        <w:t xml:space="preserve">, uma seca severa reduz sua produção em 40%, de modo que sua riqueza cai para R$ 120.000; com probabilidade</w:t>
      </w:r>
      <w:r>
        <w:t xml:space="preserve"> </w:t>
      </w:r>
      <m:oMath>
        <m:r>
          <m:t>0</m:t>
        </m:r>
        <m:r>
          <m:rPr>
            <m:sty m:val="p"/>
          </m:rPr>
          <m:t>,</m:t>
        </m:r>
        <m:r>
          <m:t>7</m:t>
        </m:r>
      </m:oMath>
      <w:r>
        <w:t xml:space="preserve">, não há seca e ele mantém R$ 200.000.</w:t>
      </w:r>
    </w:p>
    <w:p>
      <w:pPr>
        <w:pStyle w:val="BodyText"/>
      </w:pPr>
      <w:r>
        <w:t xml:space="preserve">O Proagro oferece um seguro que cobre integralmente a perda de R$ 80.000 em caso de seca, com prêmio de R$ 30.000 (que inclui o prêmio atuarialmente justo de R$ 24.000 mais um carregamento de 25%).</w:t>
      </w:r>
    </w:p>
    <w:p>
      <w:pPr>
        <w:numPr>
          <w:ilvl w:val="0"/>
          <w:numId w:val="1383"/>
        </w:numPr>
      </w:pPr>
      <w:r>
        <w:t xml:space="preserve">Calcule o prêmio de risco exato do agricultor (o máximo que ele pagaria pelo seguro).</w:t>
      </w:r>
    </w:p>
    <w:p>
      <w:pPr>
        <w:numPr>
          <w:ilvl w:val="0"/>
          <w:numId w:val="1383"/>
        </w:numPr>
      </w:pPr>
      <w:r>
        <w:t xml:space="preserve">Compare o prêmio de risco com o prêmio cobrado pelo Proagro. O agricultor contrata o seguro? Justifique calculando a utilidade esperada com e sem seguro.</w:t>
      </w:r>
    </w:p>
    <w:p>
      <w:pPr>
        <w:numPr>
          <w:ilvl w:val="0"/>
          <w:numId w:val="1383"/>
        </w:numPr>
      </w:pPr>
      <w:r>
        <w:t xml:space="preserve">Qual seria o carregamento máximo</w:t>
      </w:r>
      <w:r>
        <w:t xml:space="preserve"> </w:t>
      </w:r>
      <m:oMath>
        <m:sSup>
          <m:e>
            <m:r>
              <m:t>λ</m:t>
            </m:r>
          </m:e>
          <m:sup>
            <m:r>
              <m:rPr>
                <m:sty m:val="p"/>
              </m:rPr>
              <m:t>*</m:t>
            </m:r>
          </m:sup>
        </m:sSup>
      </m:oMath>
      <w:r>
        <w:t xml:space="preserve"> </w:t>
      </w:r>
      <w:r>
        <w:t xml:space="preserve">que tornaria o agricultor indiferente entre contratar e não contratar o seguro?</w:t>
      </w:r>
    </w:p>
    <w:p>
      <w:pPr>
        <w:pStyle w:val="FirstParagraph"/>
      </w:pPr>
      <w:r>
        <w:t xml:space="preserve">Ver solução (Cap. 7)</w:t>
      </w:r>
    </w:p>
    <w:p>
      <w:r>
        <w:pict>
          <v:rect style="width:0;height:1.5pt" o:hralign="center" o:hrstd="t" o:hr="t"/>
        </w:pict>
      </w:r>
    </w:p>
    <w:p>
      <w:pPr>
        <w:pStyle w:val="FirstParagraph"/>
      </w:pPr>
      <w:r>
        <w:rPr>
          <w:b/>
          <w:bCs/>
        </w:rPr>
        <w:t xml:space="preserve">Exercício 7.10.</w:t>
      </w:r>
      <w:r>
        <w:t xml:space="preserve"> </w:t>
      </w:r>
      <w:r>
        <w:rPr>
          <w:i/>
          <w:iCs/>
        </w:rPr>
        <w:t xml:space="preserve">(Difícil — Demonstração)</w:t>
      </w:r>
      <w:r>
        <w:t xml:space="preserve"> </w:t>
      </w:r>
      <w:r>
        <w:t xml:space="preserve">Prove que, para um agente avesso ao risco (</w:t>
      </w:r>
      <m:oMath>
        <m:sSup>
          <m:e>
            <m:r>
              <m:t>u</m:t>
            </m:r>
          </m:e>
          <m:sup>
            <m:r>
              <m:rPr>
                <m:sty m:val="p"/>
              </m:rPr>
              <m:t>″</m:t>
            </m:r>
          </m:sup>
        </m:sSup>
        <m:r>
          <m:rPr>
            <m:sty m:val="p"/>
          </m:rPr>
          <m:t>&lt;</m:t>
        </m:r>
        <m:r>
          <m:t>0</m:t>
        </m:r>
      </m:oMath>
      <w:r>
        <w:t xml:space="preserve">), o prêmio de risco</w:t>
      </w:r>
      <w:r>
        <w:t xml:space="preserve"> </w:t>
      </w:r>
      <m:oMath>
        <m:r>
          <m:t>π</m:t>
        </m:r>
      </m:oMath>
      <w:r>
        <w:t xml:space="preserve"> </w:t>
      </w:r>
      <w:r>
        <w:t xml:space="preserve">associado a um risco justo</w:t>
      </w:r>
      <w:r>
        <w:t xml:space="preserve"> </w:t>
      </w:r>
      <m:oMath>
        <m:acc>
          <m:accPr>
            <m:chr m:val="̃"/>
          </m:accPr>
          <m:e>
            <m:r>
              <m:t>ε</m:t>
            </m:r>
          </m:e>
        </m:acc>
      </m:oMath>
      <w:r>
        <w:t xml:space="preserve"> </w:t>
      </w:r>
      <w:r>
        <w:t xml:space="preserve">com variância</w:t>
      </w:r>
      <w:r>
        <w:t xml:space="preserve"> </w:t>
      </w:r>
      <m:oMath>
        <m:sSup>
          <m:e>
            <m:r>
              <m:t>σ</m:t>
            </m:r>
          </m:e>
          <m:sup>
            <m:r>
              <m:t>2</m:t>
            </m:r>
          </m:sup>
        </m:sSup>
      </m:oMath>
      <w:r>
        <w:t xml:space="preserve"> </w:t>
      </w:r>
      <w:r>
        <w:t xml:space="preserve">satisfaz, aproximadamente:</w:t>
      </w:r>
    </w:p>
    <w:p>
      <w:pPr>
        <w:pStyle w:val="BodyText"/>
      </w:pPr>
      <m:oMathPara>
        <m:oMathParaPr>
          <m:jc m:val="center"/>
        </m:oMathParaPr>
        <m:oMath>
          <m:r>
            <m:t>π</m:t>
          </m:r>
          <m:r>
            <m:rPr>
              <m:sty m:val="p"/>
            </m:rPr>
            <m:t>≈</m:t>
          </m:r>
          <m:f>
            <m:fPr>
              <m:type m:val="bar"/>
            </m:fPr>
            <m:num>
              <m:r>
                <m:t>1</m:t>
              </m:r>
            </m:num>
            <m:den>
              <m:r>
                <m:t>2</m:t>
              </m:r>
            </m:den>
          </m:f>
          <m:sSup>
            <m:e>
              <m:r>
                <m:t>σ</m:t>
              </m:r>
            </m:e>
            <m:sup>
              <m:r>
                <m:t>2</m:t>
              </m:r>
            </m:sup>
          </m:sSup>
          <m:r>
            <m:rPr>
              <m:sty m:val="p"/>
            </m:rPr>
            <m:t>⋅</m:t>
          </m:r>
          <m:r>
            <m:t>A</m:t>
          </m:r>
          <m:r>
            <m:rPr>
              <m:sty m:val="p"/>
            </m:rPr>
            <m:t>(</m:t>
          </m:r>
          <m:sSub>
            <m:e>
              <m:r>
                <m:t>W</m:t>
              </m:r>
            </m:e>
            <m:sub>
              <m:r>
                <m:t>0</m:t>
              </m:r>
            </m:sub>
          </m:sSub>
          <m:r>
            <m:rPr>
              <m:sty m:val="p"/>
            </m:rPr>
            <m:t>)</m:t>
          </m:r>
        </m:oMath>
      </m:oMathPara>
    </w:p>
    <w:p>
      <w:pPr>
        <w:pStyle w:val="FirstParagraph"/>
      </w:pPr>
      <w:r>
        <w:t xml:space="preserve">onde</w:t>
      </w:r>
      <w:r>
        <w:t xml:space="preserve"> </w:t>
      </w:r>
      <m:oMath>
        <m:r>
          <m:t>A</m:t>
        </m:r>
        <m:r>
          <m:rPr>
            <m:sty m:val="p"/>
          </m:rPr>
          <m:t>(</m:t>
        </m:r>
        <m:sSub>
          <m:e>
            <m:r>
              <m:t>W</m:t>
            </m:r>
          </m:e>
          <m:sub>
            <m:r>
              <m:t>0</m:t>
            </m:r>
          </m:sub>
        </m:sSub>
        <m:r>
          <m:rPr>
            <m:sty m:val="p"/>
          </m:rPr>
          <m:t>)</m:t>
        </m:r>
        <m:r>
          <m:rPr>
            <m:sty m:val="p"/>
          </m:rPr>
          <m:t>=</m:t>
        </m:r>
        <m:r>
          <m:rPr>
            <m:sty m:val="p"/>
          </m:rPr>
          <m:t>−</m:t>
        </m:r>
        <m:sSup>
          <m:e>
            <m:r>
              <m:t>u</m:t>
            </m:r>
          </m:e>
          <m:sup>
            <m:r>
              <m:rPr>
                <m:sty m:val="p"/>
              </m:rPr>
              <m:t>″</m:t>
            </m:r>
          </m:sup>
        </m:sSup>
        <m:r>
          <m:rPr>
            <m:sty m:val="p"/>
          </m:rPr>
          <m:t>(</m:t>
        </m:r>
        <m:sSub>
          <m:e>
            <m:r>
              <m:t>W</m:t>
            </m:r>
          </m:e>
          <m:sub>
            <m:r>
              <m:t>0</m:t>
            </m:r>
          </m:sub>
        </m:sSub>
        <m:r>
          <m:rPr>
            <m:sty m:val="p"/>
          </m:rPr>
          <m:t>)</m:t>
        </m:r>
        <m:r>
          <m:rPr>
            <m:sty m:val="p"/>
          </m:rPr>
          <m:t>/</m:t>
        </m:r>
        <m:sSup>
          <m:e>
            <m:r>
              <m:t>u</m:t>
            </m:r>
          </m:e>
          <m:sup>
            <m:r>
              <m:rPr>
                <m:sty m:val="p"/>
              </m:rPr>
              <m:t>′</m:t>
            </m:r>
          </m:sup>
        </m:sSup>
        <m:r>
          <m:rPr>
            <m:sty m:val="p"/>
          </m:rPr>
          <m:t>(</m:t>
        </m:r>
        <m:sSub>
          <m:e>
            <m:r>
              <m:t>W</m:t>
            </m:r>
          </m:e>
          <m:sub>
            <m:r>
              <m:t>0</m:t>
            </m:r>
          </m:sub>
        </m:sSub>
        <m:r>
          <m:rPr>
            <m:sty m:val="p"/>
          </m:rPr>
          <m:t>)</m:t>
        </m:r>
      </m:oMath>
      <w:r>
        <w:t xml:space="preserve"> </w:t>
      </w:r>
      <w:r>
        <w:t xml:space="preserve">é o coeficiente de Arrow-Pratt de aversão absoluta ao risco avaliado na riqueza inicial</w:t>
      </w:r>
      <w:r>
        <w:t xml:space="preserve"> </w:t>
      </w:r>
      <m:oMath>
        <m:sSub>
          <m:e>
            <m:r>
              <m:t>W</m:t>
            </m:r>
          </m:e>
          <m:sub>
            <m:r>
              <m:t>0</m:t>
            </m:r>
          </m:sub>
        </m:sSub>
      </m:oMath>
      <w:r>
        <w:t xml:space="preserve">.</w:t>
      </w:r>
    </w:p>
    <w:p>
      <w:pPr>
        <w:pStyle w:val="BodyText"/>
      </w:pPr>
      <w:r>
        <w:rPr>
          <w:i/>
          <w:iCs/>
        </w:rPr>
        <w:t xml:space="preserve">Instruções:</w:t>
      </w:r>
      <w:r>
        <w:t xml:space="preserve"> </w:t>
      </w:r>
      <w:r>
        <w:t xml:space="preserve">Use expansões em série de Taylor de segunda ordem para</w:t>
      </w:r>
      <w:r>
        <w:t xml:space="preserve"> </w:t>
      </w:r>
      <m:oMath>
        <m:r>
          <m:t>E</m:t>
        </m:r>
        <m:r>
          <m:rPr>
            <m:sty m:val="p"/>
          </m:rPr>
          <m:t>[</m:t>
        </m:r>
        <m:r>
          <m:t>u</m:t>
        </m:r>
        <m:r>
          <m:rPr>
            <m:sty m:val="p"/>
          </m:rPr>
          <m:t>(</m:t>
        </m:r>
        <m:sSub>
          <m:e>
            <m:r>
              <m:t>W</m:t>
            </m:r>
          </m:e>
          <m:sub>
            <m:r>
              <m:t>0</m:t>
            </m:r>
          </m:sub>
        </m:sSub>
        <m:r>
          <m:rPr>
            <m:sty m:val="p"/>
          </m:rPr>
          <m:t>+</m:t>
        </m:r>
        <m:acc>
          <m:accPr>
            <m:chr m:val="̃"/>
          </m:accPr>
          <m:e>
            <m:r>
              <m:t>ε</m:t>
            </m:r>
          </m:e>
        </m:acc>
        <m:r>
          <m:rPr>
            <m:sty m:val="p"/>
          </m:rPr>
          <m:t>)</m:t>
        </m:r>
        <m:r>
          <m:rPr>
            <m:sty m:val="p"/>
          </m:rPr>
          <m:t>]</m:t>
        </m:r>
      </m:oMath>
      <w:r>
        <w:t xml:space="preserve"> </w:t>
      </w:r>
      <w:r>
        <w:t xml:space="preserve">e de primeira ordem para</w:t>
      </w:r>
      <w:r>
        <w:t xml:space="preserve"> </w:t>
      </w:r>
      <m:oMath>
        <m:r>
          <m:t>u</m:t>
        </m:r>
        <m:r>
          <m:rPr>
            <m:sty m:val="p"/>
          </m:rPr>
          <m:t>(</m:t>
        </m:r>
        <m:sSub>
          <m:e>
            <m:r>
              <m:t>W</m:t>
            </m:r>
          </m:e>
          <m:sub>
            <m:r>
              <m:t>0</m:t>
            </m:r>
          </m:sub>
        </m:sSub>
        <m:r>
          <m:rPr>
            <m:sty m:val="p"/>
          </m:rPr>
          <m:t>−</m:t>
        </m:r>
        <m:r>
          <m:t>π</m:t>
        </m:r>
        <m:r>
          <m:rPr>
            <m:sty m:val="p"/>
          </m:rPr>
          <m:t>)</m:t>
        </m:r>
      </m:oMath>
      <w:r>
        <w:t xml:space="preserve">. Identifique a aproximação e interprete cada termo do resultado.</w:t>
      </w:r>
    </w:p>
    <w:p>
      <w:pPr>
        <w:pStyle w:val="BodyText"/>
      </w:pPr>
      <w:r>
        <w:t xml:space="preserve">Ver solução (Cap. 7)</w:t>
      </w:r>
    </w:p>
    <w:p>
      <w:r>
        <w:pict>
          <v:rect style="width:0;height:1.5pt" o:hralign="center" o:hrstd="t" o:hr="t"/>
        </w:pict>
      </w:r>
    </w:p>
    <w:bookmarkEnd w:id="354"/>
    <w:bookmarkStart w:id="355" w:name="vem-anpec-5"/>
    <w:p>
      <w:pPr>
        <w:pStyle w:val="Heading3"/>
      </w:pPr>
      <w:r>
        <w:t xml:space="preserve">Vem, ANPEC!</w:t>
      </w:r>
    </w:p>
    <w:p>
      <w:pPr>
        <w:pStyle w:val="BlockText"/>
      </w:pPr>
      <w:r>
        <w:rPr>
          <w:b/>
          <w:bCs/>
        </w:rPr>
        <w:t xml:space="preserve">[QUESTAO] ANPEC 2018 — Questão 06</w:t>
      </w:r>
    </w:p>
    <w:p>
      <w:pPr>
        <w:pStyle w:val="BlockText"/>
      </w:pPr>
      <w:r>
        <w:t xml:space="preserve">A função utilidade</w:t>
      </w:r>
      <w:r>
        <w:t xml:space="preserve"> </w:t>
      </w:r>
      <m:oMath>
        <m:r>
          <m:t>U</m:t>
        </m:r>
      </m:oMath>
      <w:r>
        <w:t xml:space="preserve"> </w:t>
      </w:r>
      <w:r>
        <w:t xml:space="preserve">em termos da renda</w:t>
      </w:r>
      <w:r>
        <w:t xml:space="preserve"> </w:t>
      </w:r>
      <m:oMath>
        <m:r>
          <m:t>w</m:t>
        </m:r>
      </m:oMath>
      <w:r>
        <w:t xml:space="preserve"> </w:t>
      </w:r>
      <w:r>
        <w:t xml:space="preserve">de um consumidor é dada por</w:t>
      </w:r>
      <w:r>
        <w:t xml:space="preserve"> </w:t>
      </w:r>
      <m:oMath>
        <m:r>
          <m:t>U</m:t>
        </m:r>
        <m:r>
          <m:rPr>
            <m:sty m:val="p"/>
          </m:rPr>
          <m:t>(</m:t>
        </m:r>
        <m:r>
          <m:t>w</m:t>
        </m:r>
        <m:r>
          <m:rPr>
            <m:sty m:val="p"/>
          </m:rPr>
          <m:t>)</m:t>
        </m:r>
        <m:r>
          <m:rPr>
            <m:sty m:val="p"/>
          </m:rPr>
          <m:t>=</m:t>
        </m:r>
        <m:sSup>
          <m:e>
            <m:r>
              <m:t>w</m:t>
            </m:r>
          </m:e>
          <m:sup>
            <m:r>
              <m:t>3</m:t>
            </m:r>
          </m:sup>
        </m:sSup>
      </m:oMath>
      <w:r>
        <w:t xml:space="preserve">. Tal consumidor se encontra diante de uma loteria na qual possui</w:t>
      </w:r>
      <w:r>
        <w:t xml:space="preserve"> </w:t>
      </w:r>
      <m:oMath>
        <m:r>
          <m:t>w</m:t>
        </m:r>
        <m:r>
          <m:rPr>
            <m:sty m:val="p"/>
          </m:rPr>
          <m:t>=</m:t>
        </m:r>
        <m:r>
          <m:rPr>
            <m:sty m:val="p"/>
          </m:rPr>
          <m:t>$</m:t>
        </m:r>
        <m:r>
          <m:t>0</m:t>
        </m:r>
      </m:oMath>
      <w:r>
        <w:t xml:space="preserve"> </w:t>
      </w:r>
      <w:r>
        <w:t xml:space="preserve">com probabilidade</w:t>
      </w:r>
      <w:r>
        <w:t xml:space="preserve"> </w:t>
      </w:r>
      <m:oMath>
        <m:r>
          <m:t>p</m:t>
        </m:r>
        <m:r>
          <m:rPr>
            <m:sty m:val="p"/>
          </m:rPr>
          <m:t>=</m:t>
        </m:r>
        <m:r>
          <m:t>0</m:t>
        </m:r>
        <m:r>
          <m:rPr>
            <m:sty m:val="p"/>
          </m:rPr>
          <m:t>,</m:t>
        </m:r>
        <m:r>
          <m:t>5</m:t>
        </m:r>
      </m:oMath>
      <w:r>
        <w:t xml:space="preserve"> </w:t>
      </w:r>
      <w:r>
        <w:t xml:space="preserve">e</w:t>
      </w:r>
      <w:r>
        <w:t xml:space="preserve"> </w:t>
      </w:r>
      <m:oMath>
        <m:r>
          <m:t>w</m:t>
        </m:r>
        <m:r>
          <m:rPr>
            <m:sty m:val="p"/>
          </m:rPr>
          <m:t>=</m:t>
        </m:r>
        <m:r>
          <m:rPr>
            <m:sty m:val="p"/>
          </m:rPr>
          <m:t>$</m:t>
        </m:r>
        <m:r>
          <m:t>4</m:t>
        </m:r>
      </m:oMath>
      <w:r>
        <w:t xml:space="preserve"> </w:t>
      </w:r>
      <w:r>
        <w:t xml:space="preserve">com probabilidade</w:t>
      </w:r>
      <w:r>
        <w:t xml:space="preserve"> </w:t>
      </w:r>
      <m:oMath>
        <m:r>
          <m:t>p</m:t>
        </m:r>
        <m:r>
          <m:rPr>
            <m:sty m:val="p"/>
          </m:rPr>
          <m:t>=</m:t>
        </m:r>
        <m:r>
          <m:t>0</m:t>
        </m:r>
        <m:r>
          <m:rPr>
            <m:sty m:val="p"/>
          </m:rPr>
          <m:t>,</m:t>
        </m:r>
        <m:r>
          <m:t>5</m:t>
        </m:r>
      </m:oMath>
      <w:r>
        <w:t xml:space="preserve">. Avalie as seguintes proposições a respeito da escolha sob incerteza:</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Como a função utilidade é convexa em relação à origem, o consumidor é avesso ao risco.</w:t>
            </w:r>
          </w:p>
        </w:tc>
      </w:tr>
      <w:tr>
        <w:tc>
          <w:tcPr/>
          <w:p>
            <w:pPr>
              <w:pStyle w:val="Compact"/>
            </w:pPr>
            <w:r>
              <w:t xml:space="preserve">1</w:t>
            </w:r>
          </w:p>
        </w:tc>
        <w:tc>
          <w:tcPr/>
          <w:p>
            <w:pPr>
              <w:pStyle w:val="Compact"/>
            </w:pPr>
            <w:r>
              <w:t xml:space="preserve">A utilidade esperada da loteria é igual a trinta e dois.</w:t>
            </w:r>
          </w:p>
        </w:tc>
      </w:tr>
      <w:tr>
        <w:tc>
          <w:tcPr/>
          <w:p>
            <w:pPr>
              <w:pStyle w:val="Compact"/>
            </w:pPr>
            <w:r>
              <w:t xml:space="preserve">2</w:t>
            </w:r>
          </w:p>
        </w:tc>
        <w:tc>
          <w:tcPr/>
          <w:p>
            <w:pPr>
              <w:pStyle w:val="Compact"/>
            </w:pPr>
            <w:r>
              <w:t xml:space="preserve">A utilidade do valor esperado dessa loteria é superior à utilidade esperada da loteria.</w:t>
            </w:r>
          </w:p>
        </w:tc>
      </w:tr>
      <w:tr>
        <w:tc>
          <w:tcPr/>
          <w:p>
            <w:pPr>
              <w:pStyle w:val="Compact"/>
            </w:pPr>
            <w:r>
              <w:t xml:space="preserve">3</w:t>
            </w:r>
          </w:p>
        </w:tc>
        <w:tc>
          <w:tcPr/>
          <w:p>
            <w:pPr>
              <w:pStyle w:val="Compact"/>
            </w:pPr>
            <w:r>
              <w:t xml:space="preserve">O equivalente certeza é igual a 2,5.</w:t>
            </w:r>
          </w:p>
        </w:tc>
      </w:tr>
      <w:tr>
        <w:tc>
          <w:tcPr/>
          <w:p>
            <w:pPr>
              <w:pStyle w:val="Compact"/>
            </w:pPr>
            <w:r>
              <w:t xml:space="preserve">4</w:t>
            </w:r>
          </w:p>
        </w:tc>
        <w:tc>
          <w:tcPr/>
          <w:p>
            <w:pPr>
              <w:pStyle w:val="Compact"/>
            </w:pPr>
            <w:r>
              <w:t xml:space="preserve">O coeficiente absoluto de aversão ao risco é constante.</w:t>
            </w:r>
          </w:p>
        </w:tc>
      </w:tr>
    </w:tbl>
    <w:p>
      <w:pPr>
        <w:pStyle w:val="BlockText"/>
      </w:pPr>
      <w:r>
        <w:t xml:space="preserve">??? success</w:t>
      </w:r>
      <w:r>
        <w:t xml:space="preserve"> </w:t>
      </w:r>
      <w:r>
        <w:t xml:space="preserve">“Gabarito”</w:t>
      </w:r>
      <w:r>
        <w:t xml:space="preserve"> </w:t>
      </w:r>
      <w:r>
        <w:rPr>
          <w:b/>
          <w:bCs/>
        </w:rPr>
        <w:t xml:space="preserve">Respostas: 01000</w:t>
      </w:r>
    </w:p>
    <w:p>
      <w:pPr>
        <w:pStyle w:val="SourceCode"/>
      </w:pPr>
      <w:r>
        <w:rPr>
          <w:rStyle w:val="VerbatimChar"/>
        </w:rPr>
        <w:t xml:space="preserve">**Justificativa por item:**</w:t>
      </w:r>
      <w:r>
        <w:br/>
      </w:r>
      <w:r>
        <w:br/>
      </w:r>
      <w:r>
        <w:rPr>
          <w:rStyle w:val="VerbatimChar"/>
        </w:rPr>
        <w:t xml:space="preserve">- **Item 0 — F:** Função utilidade convexa ($u''(w) = 6w &gt; 0$) implica **propensão** ao risco, não aversão. A aversão ao risco requer concavidade ($u'' &lt; 0$).</w:t>
      </w:r>
      <w:r>
        <w:br/>
      </w:r>
      <w:r>
        <w:br/>
      </w:r>
      <w:r>
        <w:rPr>
          <w:rStyle w:val="VerbatimChar"/>
        </w:rPr>
        <w:t xml:space="preserve">- **Item 1 — V:** $E[U] = 0{,}5 \times U(0) + 0{,}5 \times U(4) = 0{,}5 \times 0 + 0{,}5 \times 64 = 32$. Correto.</w:t>
      </w:r>
      <w:r>
        <w:br/>
      </w:r>
      <w:r>
        <w:br/>
      </w:r>
      <w:r>
        <w:rPr>
          <w:rStyle w:val="VerbatimChar"/>
        </w:rPr>
        <w:t xml:space="preserve">- **Item 2 — F:** O valor esperado da loteria é $E[w] = 0{,}5 \times 0 + 0{,}5 \times 4 = 2$. A utilidade do valor esperado é $U(2) = 2^3 = 8$. Como $U(E[w]) = 8 &lt; 32 = E[U]$, a utilidade do valor esperado é *inferior* à utilidade esperada. Isso é precisamente a propriedade de um agente propenso ao risco (desigualdade de Jensen invertida para funções convexas).</w:t>
      </w:r>
      <w:r>
        <w:br/>
      </w:r>
      <w:r>
        <w:br/>
      </w:r>
      <w:r>
        <w:rPr>
          <w:rStyle w:val="VerbatimChar"/>
        </w:rPr>
        <w:t xml:space="preserve">- **Item 3 — F:** O equivalente de certeza satisfaz $U(EC) = E[U]$, ou seja, $EC^3 = 32$. Portanto, $EC = \sqrt[3]{32} = 2\sqrt[3]{4} \approx 3{,}17$, não 2,5.</w:t>
      </w:r>
      <w:r>
        <w:br/>
      </w:r>
      <w:r>
        <w:br/>
      </w:r>
      <w:r>
        <w:rPr>
          <w:rStyle w:val="VerbatimChar"/>
        </w:rPr>
        <w:t xml:space="preserve">- **Item 4 — F:** $A(w) = -u''(w)/u'(w) = -6w/(3w^2) = -2/w$. O coeficiente é negativo (confirmando propensão ao risco) e depende de $w$ — portanto, não é constante.</w:t>
      </w:r>
    </w:p>
    <w:p>
      <w:pPr>
        <w:pStyle w:val="BlockText"/>
      </w:pPr>
      <w:r>
        <w:rPr>
          <w:b/>
          <w:bCs/>
        </w:rPr>
        <w:t xml:space="preserve">[QUESTAO] ANPEC 2020 — Questão 11</w:t>
      </w:r>
    </w:p>
    <w:p>
      <w:pPr>
        <w:pStyle w:val="BlockText"/>
      </w:pPr>
      <w:r>
        <w:t xml:space="preserve">Com relação à teoria de decisão sob incerteza, julgue os itens abaixo: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Suponha que um indivíduo tem utilidade Von Neumann-Morgenstern</w:t>
            </w:r>
            <w:r>
              <w:t xml:space="preserve"> </w:t>
            </w:r>
            <m:oMath>
              <m:r>
                <m:t>U</m:t>
              </m:r>
              <m:r>
                <m:rPr>
                  <m:sty m:val="p"/>
                </m:rPr>
                <m:t>(</m:t>
              </m:r>
              <m:r>
                <m:t>W</m:t>
              </m:r>
              <m:r>
                <m:rPr>
                  <m:sty m:val="p"/>
                </m:rPr>
                <m:t>)</m:t>
              </m:r>
              <m:r>
                <m:rPr>
                  <m:sty m:val="p"/>
                </m:rPr>
                <m:t>=</m:t>
              </m:r>
              <m:r>
                <m:rPr>
                  <m:sty m:val="p"/>
                </m:rPr>
                <m:t>ln</m:t>
              </m:r>
              <m:r>
                <m:rPr>
                  <m:sty m:val="p"/>
                </m:rPr>
                <m:t>(</m:t>
              </m:r>
              <m:r>
                <m:t>W</m:t>
              </m:r>
              <m:r>
                <m:rPr>
                  <m:sty m:val="p"/>
                </m:rPr>
                <m:t>+</m:t>
              </m:r>
              <m:r>
                <m:t>1</m:t>
              </m:r>
              <m:r>
                <m:rPr>
                  <m:sty m:val="p"/>
                </m:rPr>
                <m:t>)</m:t>
              </m:r>
            </m:oMath>
            <w:r>
              <w:t xml:space="preserve">. Então sua medida relativa de aversão ao risco de Pratt</w:t>
            </w:r>
            <w:r>
              <w:t xml:space="preserve"> </w:t>
            </w:r>
            <m:oMath>
              <m:r>
                <m:t>R</m:t>
              </m:r>
              <m:r>
                <m:rPr>
                  <m:sty m:val="p"/>
                </m:rPr>
                <m:t>(</m:t>
              </m:r>
              <m:r>
                <m:t>W</m:t>
              </m:r>
              <m:r>
                <m:rPr>
                  <m:sty m:val="p"/>
                </m:rPr>
                <m:t>)</m:t>
              </m:r>
            </m:oMath>
            <w:r>
              <w:t xml:space="preserve"> </w:t>
            </w:r>
            <w:r>
              <w:t xml:space="preserve">satisfaz</w:t>
            </w:r>
            <w:r>
              <w:t xml:space="preserve"> </w:t>
            </w:r>
            <m:oMath>
              <m:sSub>
                <m:e>
                  <m:r>
                    <m:rPr>
                      <m:sty m:val="p"/>
                    </m:rPr>
                    <m:t>lim</m:t>
                  </m:r>
                </m:e>
                <m:sub>
                  <m:r>
                    <m:t>W</m:t>
                  </m:r>
                  <m:r>
                    <m:rPr>
                      <m:sty m:val="p"/>
                    </m:rPr>
                    <m:t>→</m:t>
                  </m:r>
                  <m:r>
                    <m:rPr>
                      <m:sty m:val="p"/>
                    </m:rPr>
                    <m:t>∞</m:t>
                  </m:r>
                </m:sub>
              </m:sSub>
              <m:r>
                <m:t>R</m:t>
              </m:r>
              <m:r>
                <m:rPr>
                  <m:sty m:val="p"/>
                </m:rPr>
                <m:t>(</m:t>
              </m:r>
              <m:r>
                <m:t>W</m:t>
              </m:r>
              <m:r>
                <m:rPr>
                  <m:sty m:val="p"/>
                </m:rPr>
                <m:t>)</m:t>
              </m:r>
              <m:r>
                <m:rPr>
                  <m:sty m:val="p"/>
                </m:rPr>
                <m:t>=</m:t>
              </m:r>
              <m:r>
                <m:t>1</m:t>
              </m:r>
            </m:oMath>
            <w:r>
              <w:t xml:space="preserve">.</w:t>
            </w:r>
          </w:p>
        </w:tc>
      </w:tr>
      <w:tr>
        <w:tc>
          <w:tcPr/>
          <w:p>
            <w:pPr>
              <w:pStyle w:val="Compact"/>
            </w:pPr>
            <w:r>
              <w:t xml:space="preserve">1</w:t>
            </w:r>
          </w:p>
        </w:tc>
        <w:tc>
          <w:tcPr/>
          <w:p>
            <w:pPr>
              <w:pStyle w:val="Compact"/>
            </w:pPr>
            <w:r>
              <w:t xml:space="preserve">Considere um indivíduo avesso ao risco, com utilidade Von Neumann-Morgenstern e que investe em um ativo arriscado. Se o rendimento do ativo arriscado é taxado, então o consumidor tem um incentivo para investir menos nesse ativo.</w:t>
            </w:r>
          </w:p>
        </w:tc>
      </w:tr>
      <w:tr>
        <w:tc>
          <w:tcPr/>
          <w:p>
            <w:pPr>
              <w:pStyle w:val="Compact"/>
            </w:pPr>
            <w:r>
              <w:t xml:space="preserve">2</w:t>
            </w:r>
          </w:p>
        </w:tc>
        <w:tc>
          <w:tcPr/>
          <w:p>
            <w:pPr>
              <w:pStyle w:val="Compact"/>
            </w:pPr>
            <w:r>
              <w:t xml:space="preserve">Suponha que o</w:t>
            </w:r>
            <w:r>
              <w:t xml:space="preserve"> </w:t>
            </w:r>
            <m:oMath>
              <m:r>
                <m:t>β</m:t>
              </m:r>
            </m:oMath>
            <w:r>
              <w:t xml:space="preserve"> </w:t>
            </w:r>
            <w:r>
              <w:t xml:space="preserve">de um ativo é igual a 1,25, que o retorno de mercado é de 10,5% e que o retorno do ativo sem risco é de 4,5%. O valor esperado do ativo é de $56. Então, de acordo com o Modelo CAPM, o preço que esse ativo deveria ser vendido hoje é de $50.</w:t>
            </w:r>
          </w:p>
        </w:tc>
      </w:tr>
      <w:tr>
        <w:tc>
          <w:tcPr/>
          <w:p>
            <w:pPr>
              <w:pStyle w:val="Compact"/>
            </w:pPr>
            <w:r>
              <w:t xml:space="preserve">3</w:t>
            </w:r>
          </w:p>
        </w:tc>
        <w:tc>
          <w:tcPr/>
          <w:p>
            <w:pPr>
              <w:pStyle w:val="Compact"/>
            </w:pPr>
            <w:r>
              <w:t xml:space="preserve">Considere o Modelo Média-Variância e um indivíduo avesso ao risco. Suponha que o retorno de mercado é de 11%, que o retorno do ativo sem risco é de 5% e que a variância do ativo arriscado é de 25%. Então o preço do risco é</w:t>
            </w:r>
            <w:r>
              <w:t xml:space="preserve"> </w:t>
            </w:r>
            <m:oMath>
              <m:r>
                <m:t>p</m:t>
              </m:r>
              <m:r>
                <m:rPr>
                  <m:sty m:val="p"/>
                </m:rPr>
                <m:t>=</m:t>
              </m:r>
              <m:r>
                <m:t>0</m:t>
              </m:r>
              <m:r>
                <m:rPr>
                  <m:sty m:val="p"/>
                </m:rPr>
                <m:t>,</m:t>
              </m:r>
              <m:r>
                <m:t>24</m:t>
              </m:r>
            </m:oMath>
            <w:r>
              <w:t xml:space="preserve">.</w:t>
            </w:r>
          </w:p>
        </w:tc>
      </w:tr>
      <w:tr>
        <w:tc>
          <w:tcPr/>
          <w:p>
            <w:pPr>
              <w:pStyle w:val="Compact"/>
            </w:pPr>
            <w:r>
              <w:t xml:space="preserve">4</w:t>
            </w:r>
          </w:p>
        </w:tc>
        <w:tc>
          <w:tcPr/>
          <w:p>
            <w:pPr>
              <w:pStyle w:val="Compact"/>
            </w:pPr>
            <w:r>
              <w:t xml:space="preserve">Suponha que um indivíduo tem utilidade Von Neumann-Morgenstern e é neutro ao risco. Se sua riqueza é aleatória, então a utilidade esperada da riqueza é maior que a utilidade da riqueza esperada.</w:t>
            </w:r>
          </w:p>
        </w:tc>
      </w:tr>
    </w:tbl>
    <w:p>
      <w:pPr>
        <w:pStyle w:val="BlockText"/>
      </w:pPr>
      <w:r>
        <w:t xml:space="preserve">??? success</w:t>
      </w:r>
      <w:r>
        <w:t xml:space="preserve"> </w:t>
      </w:r>
      <w:r>
        <w:t xml:space="preserve">“Gabarito”</w:t>
      </w:r>
      <w:r>
        <w:t xml:space="preserve"> </w:t>
      </w:r>
      <w:r>
        <w:rPr>
          <w:b/>
          <w:bCs/>
        </w:rPr>
        <w:t xml:space="preserve">Respostas: 10110</w:t>
      </w:r>
    </w:p>
    <w:p>
      <w:pPr>
        <w:pStyle w:val="SourceCode"/>
      </w:pPr>
      <w:r>
        <w:rPr>
          <w:rStyle w:val="VerbatimChar"/>
        </w:rPr>
        <w:t xml:space="preserve">**Justificativa por item:**</w:t>
      </w:r>
      <w:r>
        <w:br/>
      </w:r>
      <w:r>
        <w:br/>
      </w:r>
      <w:r>
        <w:rPr>
          <w:rStyle w:val="VerbatimChar"/>
        </w:rPr>
        <w:t xml:space="preserve">- **Item 0 — V:** Para $U(W) = \ln(W+1)$: $U'(W) = 1/(W+1)$, $U''(W) = -1/(W+1)^2$. A medida relativa de aversão ao risco é $R(W) = -W \cdot U''(W)/U'(W) = W/(W+1)$. Calculando o limite: $\lim_{W \to \infty} W/(W+1) = 1$. Correto.</w:t>
      </w:r>
      <w:r>
        <w:br/>
      </w:r>
      <w:r>
        <w:br/>
      </w:r>
      <w:r>
        <w:rPr>
          <w:rStyle w:val="VerbatimChar"/>
        </w:rPr>
        <w:t xml:space="preserve">- **Item 1 — F:** Pelo resultado clássico de Domar-Musgrave, um imposto proporcional sobre o retorno do ativo arriscado (com compensação simétrica de perdas) faz o governo "compartilhar" o risco com o investidor. O investidor pode restaurar sua exposição original ao risco aumentando a posição no ativo arriscado. O efeito líquido depende das propriedades da função de utilidade (DARA/IARA), mas a afirmação de que *sempre* há incentivo para investir menos é incorreta.</w:t>
      </w:r>
      <w:r>
        <w:br/>
      </w:r>
      <w:r>
        <w:br/>
      </w:r>
      <w:r>
        <w:rPr>
          <w:rStyle w:val="VerbatimChar"/>
        </w:rPr>
        <w:t xml:space="preserve">- **Item 2 — V:** Pelo CAPM, o retorno esperado do ativo é $E[r] = r_f + \beta(E[r_m] - r_f) = 4{,}5\% + 1{,}25 \times (10{,}5\% - 4{,}5\%) = 4{,}5\% + 7{,}5\% = 12\%$. Se o valor esperado do ativo é \$56, o preço hoje deve ser $P_0 = 56/1{,}12 = \$50$. Correto.</w:t>
      </w:r>
      <w:r>
        <w:br/>
      </w:r>
      <w:r>
        <w:br/>
      </w:r>
      <w:r>
        <w:rPr>
          <w:rStyle w:val="VerbatimChar"/>
        </w:rPr>
        <w:t xml:space="preserve">- **Item 3 — V:** No modelo média-variância, o preço do risco é definido como $p = (E[r_m] - r_f)/\sigma^2 = (11\% - 5\%)/25\% = 0{,}06/0{,}25 = 0{,}24$. Correto.</w:t>
      </w:r>
      <w:r>
        <w:br/>
      </w:r>
      <w:r>
        <w:br/>
      </w:r>
      <w:r>
        <w:rPr>
          <w:rStyle w:val="VerbatimChar"/>
        </w:rPr>
        <w:t xml:space="preserve">- **Item 4 — F:** Um indivíduo neutro ao risco possui função de utilidade linear. Pela linearidade, $E[U(W)] = U(E[W])$ — a utilidade esperada é *igual* à utilidade da riqueza esperada, não maior.</w:t>
      </w:r>
    </w:p>
    <w:p>
      <w:pPr>
        <w:pStyle w:val="BlockText"/>
      </w:pPr>
      <w:r>
        <w:rPr>
          <w:b/>
          <w:bCs/>
        </w:rPr>
        <w:t xml:space="preserve">[QUESTAO] ANPEC 2025 — Questão 02</w:t>
      </w:r>
    </w:p>
    <w:p>
      <w:pPr>
        <w:pStyle w:val="BlockText"/>
      </w:pPr>
      <w:r>
        <w:t xml:space="preserve">Considere uma aposta na qual, pagando $15, você pode ganhar $5 se sair um número ímpar ou $20 se sair um número par, no lançamento de um dado não viciado. Julgue as afirmativas abaixo como verdadeiras ou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O valor esperado do retorno da aposta é $15.</w:t>
            </w:r>
          </w:p>
        </w:tc>
      </w:tr>
      <w:tr>
        <w:tc>
          <w:tcPr/>
          <w:p>
            <w:pPr>
              <w:pStyle w:val="Compact"/>
            </w:pPr>
            <w:r>
              <w:t xml:space="preserve">1</w:t>
            </w:r>
          </w:p>
        </w:tc>
        <w:tc>
          <w:tcPr/>
          <w:p>
            <w:pPr>
              <w:pStyle w:val="Compact"/>
            </w:pPr>
            <w:r>
              <w:t xml:space="preserve">Trata-se de uma aposta justa.</w:t>
            </w:r>
          </w:p>
        </w:tc>
      </w:tr>
      <w:tr>
        <w:tc>
          <w:tcPr/>
          <w:p>
            <w:pPr>
              <w:pStyle w:val="Compact"/>
            </w:pPr>
            <w:r>
              <w:t xml:space="preserve">2</w:t>
            </w:r>
          </w:p>
        </w:tc>
        <w:tc>
          <w:tcPr/>
          <w:p>
            <w:pPr>
              <w:pStyle w:val="Compact"/>
            </w:pPr>
            <w:r>
              <w:t xml:space="preserve">Uma aposta justa não possui risco.</w:t>
            </w:r>
          </w:p>
        </w:tc>
      </w:tr>
      <w:tr>
        <w:tc>
          <w:tcPr/>
          <w:p>
            <w:pPr>
              <w:pStyle w:val="Compact"/>
            </w:pPr>
            <w:r>
              <w:t xml:space="preserve">3</w:t>
            </w:r>
          </w:p>
        </w:tc>
        <w:tc>
          <w:tcPr/>
          <w:p>
            <w:pPr>
              <w:pStyle w:val="Compact"/>
            </w:pPr>
            <w:r>
              <w:t xml:space="preserve">Se o custo da aposta fosse de $12,50, um indivíduo com aversão ao risco aceitaria jogar.</w:t>
            </w:r>
          </w:p>
        </w:tc>
      </w:tr>
      <w:tr>
        <w:tc>
          <w:tcPr/>
          <w:p>
            <w:pPr>
              <w:pStyle w:val="Compact"/>
            </w:pPr>
            <w:r>
              <w:t xml:space="preserve">4</w:t>
            </w:r>
          </w:p>
        </w:tc>
        <w:tc>
          <w:tcPr/>
          <w:p>
            <w:pPr>
              <w:pStyle w:val="Compact"/>
            </w:pPr>
            <w:r>
              <w:t xml:space="preserve">Uma função de utilidade estritamente côncava é associada a um comportamento de aversão ao risco.</w:t>
            </w:r>
          </w:p>
        </w:tc>
      </w:tr>
    </w:tbl>
    <w:p>
      <w:pPr>
        <w:pStyle w:val="BlockText"/>
      </w:pPr>
      <w:r>
        <w:t xml:space="preserve">??? success</w:t>
      </w:r>
      <w:r>
        <w:t xml:space="preserve"> </w:t>
      </w:r>
      <w:r>
        <w:t xml:space="preserve">“Gabarito”</w:t>
      </w:r>
      <w:r>
        <w:t xml:space="preserve"> </w:t>
      </w:r>
      <w:r>
        <w:rPr>
          <w:b/>
          <w:bCs/>
        </w:rPr>
        <w:t xml:space="preserve">Respostas: 00001</w:t>
      </w:r>
    </w:p>
    <w:p>
      <w:pPr>
        <w:pStyle w:val="SourceCode"/>
      </w:pPr>
      <w:r>
        <w:rPr>
          <w:rStyle w:val="VerbatimChar"/>
        </w:rPr>
        <w:t xml:space="preserve">**Justificativa por item:**</w:t>
      </w:r>
      <w:r>
        <w:br/>
      </w:r>
      <w:r>
        <w:br/>
      </w:r>
      <w:r>
        <w:rPr>
          <w:rStyle w:val="VerbatimChar"/>
        </w:rPr>
        <w:t xml:space="preserve">- **Item 0 — F:** Os resultados da aposta são \$5 (se ímpar, $p = 1/2$) e \$20 (se par, $p = 1/2$). O valor esperado do retorno bruto é $E[R] = 0{,}5 \times 5 + 0{,}5 \times 20 = 12{,}50$, não \$15.</w:t>
      </w:r>
      <w:r>
        <w:br/>
      </w:r>
      <w:r>
        <w:br/>
      </w:r>
      <w:r>
        <w:rPr>
          <w:rStyle w:val="VerbatimChar"/>
        </w:rPr>
        <w:t xml:space="preserve">- **Item 1 — F:** Uma aposta justa tem retorno esperado líquido igual a zero. Aqui, o retorno líquido esperado é $12{,}50 - 15 = -2{,}50$. Como $E[\text{líquido}] &lt; 0$, a aposta é desfavorável ao apostador.</w:t>
      </w:r>
      <w:r>
        <w:br/>
      </w:r>
      <w:r>
        <w:br/>
      </w:r>
      <w:r>
        <w:rPr>
          <w:rStyle w:val="VerbatimChar"/>
        </w:rPr>
        <w:t xml:space="preserve">- **Item 2 — F:** Uma aposta justa tem valor esperado zero, mas ainda apresenta variância positiva — logo, possui risco. "Justo" refere-se ao valor esperado, não à ausência de incerteza.</w:t>
      </w:r>
      <w:r>
        <w:br/>
      </w:r>
      <w:r>
        <w:br/>
      </w:r>
      <w:r>
        <w:rPr>
          <w:rStyle w:val="VerbatimChar"/>
        </w:rPr>
        <w:t xml:space="preserve">- **Item 3 — F:** Se o custo fosse \$12,50, teríamos $E[\text{líquido}] = 12{,}50 - 12{,}50 = 0$: aposta justa. Um indivíduo avesso ao risco **rejeita** apostas justas (ou, no máximo, é indiferente), pois $u(E[W]) &gt; E[u(W)]$.</w:t>
      </w:r>
      <w:r>
        <w:br/>
      </w:r>
      <w:r>
        <w:br/>
      </w:r>
      <w:r>
        <w:rPr>
          <w:rStyle w:val="VerbatimChar"/>
        </w:rPr>
        <w:t xml:space="preserve">- **Item 4 — V:** Concavidade estrita de $u$ ($u'' &lt; 0$) implica, pela desigualdade de Jensen, que $u(E[X]) &gt; E[u(X)]$ para toda variável aleatória não degenerada — definição de aversão ao risco.</w:t>
      </w:r>
    </w:p>
    <w:bookmarkEnd w:id="355"/>
    <w:bookmarkEnd w:id="356"/>
    <w:bookmarkStart w:id="369" w:name="pesquisa-em-ação-6"/>
    <w:p>
      <w:pPr>
        <w:pStyle w:val="Heading2"/>
      </w:pPr>
      <w:r>
        <w:t xml:space="preserve">Pesquisa em Ação</w:t>
      </w:r>
    </w:p>
    <w:p>
      <w:pPr>
        <w:pStyle w:val="BlockText"/>
      </w:pPr>
      <w:r>
        <w:rPr>
          <w:b/>
          <w:bCs/>
        </w:rPr>
        <w:t xml:space="preserve">[PESQUISA EM ACAO] Chiappori, Pierre-André; Salanié, Bernard. (2000).</w:t>
      </w:r>
      <w:r>
        <w:rPr>
          <w:b/>
          <w:bCs/>
        </w:rPr>
        <w:t xml:space="preserve"> </w:t>
      </w:r>
      <w:hyperlink r:id="rId357">
        <w:r>
          <w:rPr>
            <w:rStyle w:val="Hyperlink"/>
            <w:b/>
            <w:bCs/>
          </w:rPr>
          <w:t xml:space="preserve">Testing for Asymmetric Information in Insurance Markets</w:t>
        </w:r>
      </w:hyperlink>
      <w:r>
        <w:rPr>
          <w:b/>
          <w:bCs/>
        </w:rPr>
        <w:t xml:space="preserve">.</w:t>
      </w:r>
      <w:r>
        <w:rPr>
          <w:b/>
          <w:bCs/>
        </w:rPr>
        <w:t xml:space="preserve"> </w:t>
      </w:r>
      <w:r>
        <w:rPr>
          <w:b/>
          <w:bCs/>
          <w:i/>
          <w:iCs/>
        </w:rPr>
        <w:t xml:space="preserve">Journal of Political Economy</w:t>
      </w:r>
      <w:r>
        <w:rPr>
          <w:b/>
          <w:bCs/>
        </w:rPr>
        <w:t xml:space="preserve">, 108(1), 56–78. DOI:</w:t>
      </w:r>
      <w:r>
        <w:rPr>
          <w:b/>
          <w:bCs/>
        </w:rPr>
        <w:t xml:space="preserve"> </w:t>
      </w:r>
      <w:hyperlink r:id="rId357">
        <w:r>
          <w:rPr>
            <w:rStyle w:val="Hyperlink"/>
            <w:b/>
            <w:bCs/>
          </w:rPr>
          <w:t xml:space="preserve">10.1086/262111</w:t>
        </w:r>
      </w:hyperlink>
    </w:p>
    <w:p>
      <w:pPr>
        <w:pStyle w:val="BlockText"/>
      </w:pPr>
      <w:r>
        <w:rPr>
          <w:b/>
          <w:bCs/>
        </w:rPr>
        <w:t xml:space="preserve">Pergunta central:</w:t>
      </w:r>
      <w:r>
        <w:t xml:space="preserve"> </w:t>
      </w:r>
      <w:r>
        <w:t xml:space="preserve">A teoria prevê que, sob informação assimétrica, indivíduos de maior risco escolhem contratos com mais cobertura (seleção adversa) e/ou reduzem seus cuidados após a contratação (risco moral). Mas essas previsões se verificam empiricamente? Existe, de fato, uma correlação positiva entre cobertura e sinistralidade nos dados reais de seguros?</w:t>
      </w:r>
    </w:p>
    <w:p>
      <w:pPr>
        <w:pStyle w:val="BlockText"/>
      </w:pPr>
      <w:r>
        <w:rPr>
          <w:b/>
          <w:bCs/>
        </w:rPr>
        <w:t xml:space="preserve">Método:</w:t>
      </w:r>
      <w:r>
        <w:t xml:space="preserve"> </w:t>
      </w:r>
      <w:r>
        <w:t xml:space="preserve">Chiappori e Salanié propuseram um teste empírico geral: se há informação assimétrica (seja por seleção adversa, risco moral ou ambos), deve existir uma correlação positiva condicional entre a cobertura contratada e a ocorrência de sinistros, mesmo após controlar todas as variáveis observáveis usadas pelas seguradoras na precificação. Utilizaram dados detalhados do mercado francês de seguros de automóvel, com informações sobre contratos, prêmios, características dos condutores e histórico de acidentes.</w:t>
      </w:r>
    </w:p>
    <w:p>
      <w:pPr>
        <w:pStyle w:val="BlockText"/>
      </w:pPr>
      <w:r>
        <w:rPr>
          <w:b/>
          <w:bCs/>
        </w:rPr>
        <w:t xml:space="preserve">Resultado principal:</w:t>
      </w:r>
      <w:r>
        <w:t xml:space="preserve"> </w:t>
      </w:r>
      <w:r>
        <w:t xml:space="preserve">Surpreendentemente, os autores</w:t>
      </w:r>
      <w:r>
        <w:t xml:space="preserve"> </w:t>
      </w:r>
      <w:r>
        <w:rPr>
          <w:b/>
          <w:bCs/>
        </w:rPr>
        <w:t xml:space="preserve">não encontraram</w:t>
      </w:r>
      <w:r>
        <w:t xml:space="preserve"> </w:t>
      </w:r>
      <w:r>
        <w:t xml:space="preserve">evidência estatisticamente significativa de correlação positiva entre cobertura e sinistralidade para motoristas jovens e inexperientes — o grupo mais sujeito a assimetria informacional. Esse resultado sugere que as seguradoras são eficazes em usar variáveis observáveis (idade, bônus/malus, localização) para classificar os riscos, reduzindo o escopo residual da informação assimétrica.</w:t>
      </w:r>
    </w:p>
    <w:p>
      <w:pPr>
        <w:pStyle w:val="BlockText"/>
      </w:pPr>
      <w:r>
        <w:rPr>
          <w:b/>
          <w:bCs/>
        </w:rPr>
        <w:t xml:space="preserve">Por que isso importa:</w:t>
      </w:r>
      <w:r>
        <w:t xml:space="preserve"> </w:t>
      </w:r>
      <w:r>
        <w:t xml:space="preserve">O artigo inaugurou uma ampla literatura empírica de testes de informação assimétrica em mercados de seguros, saúde, crédito e trabalho. Para o Brasil, a metodologia é diretamente aplicável ao mercado de seguros de automóvel (Box Brasil acima) e ao sistema de saúde suplementar, onde o desenho de contratos com franquias e copagamentos busca mitigar tanto seleção adversa quanto risco moral.</w:t>
      </w:r>
    </w:p>
    <w:p>
      <w:pPr>
        <w:pStyle w:val="BlockText"/>
      </w:pPr>
      <w:r>
        <w:rPr>
          <w:b/>
          <w:bCs/>
        </w:rPr>
        <w:t xml:space="preserve">Relevância para o capítulo:</w:t>
      </w:r>
      <w:r>
        <w:t xml:space="preserve"> </w:t>
      </w:r>
      <w:r>
        <w:t xml:space="preserve">O artigo testa empiricamente as previsões teóricas da Seção 7.8. A correlação positiva entre cobertura e risco é uma implicação testável da teoria de informação assimétrica. A ausência dessa correlação em alguns mercados sugere que os mecanismos de triagem (</w:t>
      </w:r>
      <w:r>
        <w:rPr>
          <w:i/>
          <w:iCs/>
        </w:rPr>
        <w:t xml:space="preserve">screening</w:t>
      </w:r>
      <w:r>
        <w:t xml:space="preserve">) e sinalização funcionam razoavelmente bem — ou que as fontes de heterogeneidade são mais complexas do que o modelo básico prevê.</w:t>
      </w:r>
    </w:p>
    <w:p>
      <w:pPr>
        <w:pStyle w:val="BlockText"/>
      </w:pPr>
      <w:r>
        <w:rPr>
          <w:b/>
          <w:bCs/>
        </w:rPr>
        <w:t xml:space="preserve">[PESQUISA EM ACAO] Mehra, Rajnish; Prescott, Edward C. (1985).</w:t>
      </w:r>
      <w:r>
        <w:rPr>
          <w:b/>
          <w:bCs/>
        </w:rPr>
        <w:t xml:space="preserve"> </w:t>
      </w:r>
      <w:hyperlink r:id="rId358">
        <w:r>
          <w:rPr>
            <w:rStyle w:val="Hyperlink"/>
            <w:b/>
            <w:bCs/>
          </w:rPr>
          <w:t xml:space="preserve">The Equity Premium: A Puzzle</w:t>
        </w:r>
      </w:hyperlink>
      <w:r>
        <w:rPr>
          <w:b/>
          <w:bCs/>
        </w:rPr>
        <w:t xml:space="preserve">.</w:t>
      </w:r>
      <w:r>
        <w:rPr>
          <w:b/>
          <w:bCs/>
        </w:rPr>
        <w:t xml:space="preserve"> </w:t>
      </w:r>
      <w:r>
        <w:rPr>
          <w:b/>
          <w:bCs/>
          <w:i/>
          <w:iCs/>
        </w:rPr>
        <w:t xml:space="preserve">Journal of Monetary Economics</w:t>
      </w:r>
      <w:r>
        <w:rPr>
          <w:b/>
          <w:bCs/>
        </w:rPr>
        <w:t xml:space="preserve">, 15(2), 145–161. DOI:</w:t>
      </w:r>
      <w:r>
        <w:rPr>
          <w:b/>
          <w:bCs/>
        </w:rPr>
        <w:t xml:space="preserve"> </w:t>
      </w:r>
      <w:hyperlink r:id="rId358">
        <w:r>
          <w:rPr>
            <w:rStyle w:val="Hyperlink"/>
            <w:b/>
            <w:bCs/>
          </w:rPr>
          <w:t xml:space="preserve">10.1016/0304-3932(85)90061-3</w:t>
        </w:r>
      </w:hyperlink>
    </w:p>
    <w:p>
      <w:pPr>
        <w:pStyle w:val="BlockText"/>
      </w:pPr>
      <w:r>
        <w:rPr>
          <w:b/>
          <w:bCs/>
        </w:rPr>
        <w:t xml:space="preserve">Pergunta central:</w:t>
      </w:r>
      <w:r>
        <w:t xml:space="preserve"> </w:t>
      </w:r>
      <w:r>
        <w:t xml:space="preserve">Historicamente, ações renderam cerca de 6 pontos percentuais a mais por ano do que títulos públicos nos Estados Unidos. Essa diferença — o</w:t>
      </w:r>
      <w:r>
        <w:t xml:space="preserve"> </w:t>
      </w:r>
      <w:r>
        <w:rPr>
          <w:i/>
          <w:iCs/>
        </w:rPr>
        <w:t xml:space="preserve">equity premium</w:t>
      </w:r>
      <w:r>
        <w:t xml:space="preserve"> </w:t>
      </w:r>
      <w:r>
        <w:t xml:space="preserve">— pode ser racionalizada pelo modelo padrão de utilidade esperada com aversão ao risco (CRRA)?</w:t>
      </w:r>
    </w:p>
    <w:p>
      <w:pPr>
        <w:pStyle w:val="BlockText"/>
      </w:pPr>
      <w:r>
        <w:rPr>
          <w:b/>
          <w:bCs/>
        </w:rPr>
        <w:t xml:space="preserve">Método:</w:t>
      </w:r>
      <w:r>
        <w:t xml:space="preserve"> </w:t>
      </w:r>
      <w:r>
        <w:t xml:space="preserve">Mehra e Prescott calibraram um modelo de equilíbrio geral com agente representativo, utilidade CRRA e consumo estocástico baseado em dados macroeconômicos americanos de 1889 a 1978. Calcularam qual coeficiente de aversão relativa ao risco</w:t>
      </w:r>
      <w:r>
        <w:t xml:space="preserve"> </w:t>
      </w:r>
      <m:oMath>
        <m:r>
          <m:t>γ</m:t>
        </m:r>
      </m:oMath>
      <w:r>
        <w:t xml:space="preserve"> </w:t>
      </w:r>
      <w:r>
        <w:t xml:space="preserve">seria necessário para gerar o prêmio de risco observado nos dados.</w:t>
      </w:r>
    </w:p>
    <w:p>
      <w:pPr>
        <w:pStyle w:val="BlockText"/>
      </w:pPr>
      <w:r>
        <w:rPr>
          <w:b/>
          <w:bCs/>
        </w:rPr>
        <w:t xml:space="preserve">Resultado principal:</w:t>
      </w:r>
      <w:r>
        <w:t xml:space="preserve"> </w:t>
      </w:r>
      <w:r>
        <w:t xml:space="preserve">Para reproduzir o</w:t>
      </w:r>
      <w:r>
        <w:t xml:space="preserve"> </w:t>
      </w:r>
      <w:r>
        <w:rPr>
          <w:i/>
          <w:iCs/>
        </w:rPr>
        <w:t xml:space="preserve">equity premium</w:t>
      </w:r>
      <w:r>
        <w:t xml:space="preserve"> </w:t>
      </w:r>
      <w:r>
        <w:t xml:space="preserve">observado de aproximadamente 6%, o modelo exigia um coeficiente</w:t>
      </w:r>
      <w:r>
        <w:t xml:space="preserve"> </w:t>
      </w:r>
      <m:oMath>
        <m:r>
          <m:t>γ</m:t>
        </m:r>
      </m:oMath>
      <w:r>
        <w:t xml:space="preserve"> </w:t>
      </w:r>
      <w:r>
        <w:t xml:space="preserve">superior a 30 — muito acima das estimativas empíricas plausíveis (tipicamente entre 1 e 10). Com valores razoáveis de</w:t>
      </w:r>
      <w:r>
        <w:t xml:space="preserve"> </w:t>
      </w:r>
      <m:oMath>
        <m:r>
          <m:t>γ</m:t>
        </m:r>
      </m:oMath>
      <w:r>
        <w:t xml:space="preserve">, o modelo previa um prêmio de risco de no máximo 0,35%. Esse hiato entre teoria e dados ficou conhecido como o</w:t>
      </w:r>
      <w:r>
        <w:t xml:space="preserve"> </w:t>
      </w:r>
      <w:r>
        <w:rPr>
          <w:b/>
          <w:bCs/>
        </w:rPr>
        <w:t xml:space="preserve">enigma do prêmio de risco</w:t>
      </w:r>
      <w:r>
        <w:t xml:space="preserve"> </w:t>
      </w:r>
      <w:r>
        <w:t xml:space="preserve">(</w:t>
      </w:r>
      <w:r>
        <w:rPr>
          <w:i/>
          <w:iCs/>
        </w:rPr>
        <w:t xml:space="preserve">equity premium puzzle</w:t>
      </w:r>
      <w:r>
        <w:t xml:space="preserve">).</w:t>
      </w:r>
    </w:p>
    <w:p>
      <w:pPr>
        <w:pStyle w:val="BlockText"/>
      </w:pPr>
      <w:r>
        <w:rPr>
          <w:b/>
          <w:bCs/>
        </w:rPr>
        <w:t xml:space="preserve">Por que isso importa:</w:t>
      </w:r>
      <w:r>
        <w:t xml:space="preserve"> </w:t>
      </w:r>
      <w:r>
        <w:t xml:space="preserve">O puzzle motivou décadas de pesquisa em finanças e macroeconomia, incluindo modelos com formação de hábito, perdas mais salientes que ganhos (aversão à perda), custos de participação no mercado acionário e mercados incompletos. No Brasil, estudos usando dados do Ibovespa e da taxa Selic encontram um</w:t>
      </w:r>
      <w:r>
        <w:t xml:space="preserve"> </w:t>
      </w:r>
      <w:r>
        <w:rPr>
          <w:i/>
          <w:iCs/>
        </w:rPr>
        <w:t xml:space="preserve">equity premium</w:t>
      </w:r>
      <w:r>
        <w:t xml:space="preserve"> </w:t>
      </w:r>
      <w:r>
        <w:t xml:space="preserve">ainda mais elevado do que nos EUA, tornando o enigma ainda mais agudo no contexto brasileiro.</w:t>
      </w:r>
    </w:p>
    <w:p>
      <w:pPr>
        <w:pStyle w:val="BlockText"/>
      </w:pPr>
      <w:r>
        <w:rPr>
          <w:b/>
          <w:bCs/>
        </w:rPr>
        <w:t xml:space="preserve">Relevância para o capítulo:</w:t>
      </w:r>
      <w:r>
        <w:t xml:space="preserve"> </w:t>
      </w:r>
      <w:r>
        <w:t xml:space="preserve">O artigo demonstra que as medidas de Arrow-Pratt (Seção 7.4) — em particular o coeficiente de aversão relativa constante</w:t>
      </w:r>
      <w:r>
        <w:t xml:space="preserve"> </w:t>
      </w:r>
      <m:oMath>
        <m:r>
          <m:t>γ</m:t>
        </m:r>
      </m:oMath>
      <w:r>
        <w:t xml:space="preserve"> </w:t>
      </w:r>
      <w:r>
        <w:t xml:space="preserve">da utilidade CRRA — têm implicações quantitativas testáveis para os preços dos ativos financeiros. O</w:t>
      </w:r>
      <w:r>
        <w:t xml:space="preserve"> </w:t>
      </w:r>
      <w:r>
        <w:rPr>
          <w:i/>
          <w:iCs/>
        </w:rPr>
        <w:t xml:space="preserve">puzzle</w:t>
      </w:r>
      <w:r>
        <w:t xml:space="preserve"> </w:t>
      </w:r>
      <w:r>
        <w:t xml:space="preserve">revela os limites do modelo VNM padrão (Seção 7.2) e motiva extensões teóricas que relaxam os axiomas clássicos.</w:t>
      </w:r>
    </w:p>
    <w:p>
      <w:pPr>
        <w:pStyle w:val="BlockText"/>
      </w:pPr>
      <w:r>
        <w:rPr>
          <w:b/>
          <w:bCs/>
        </w:rPr>
        <w:t xml:space="preserve">[PESQUISA EM ACAO] Kahneman, Daniel; Tversky, Amos. (1979).</w:t>
      </w:r>
      <w:r>
        <w:rPr>
          <w:b/>
          <w:bCs/>
        </w:rPr>
        <w:t xml:space="preserve"> </w:t>
      </w:r>
      <w:hyperlink r:id="rId359">
        <w:r>
          <w:rPr>
            <w:rStyle w:val="Hyperlink"/>
            <w:b/>
            <w:bCs/>
          </w:rPr>
          <w:t xml:space="preserve">Prospect Theory: An Analysis of Decision under Risk</w:t>
        </w:r>
      </w:hyperlink>
      <w:r>
        <w:rPr>
          <w:b/>
          <w:bCs/>
        </w:rPr>
        <w:t xml:space="preserve">.</w:t>
      </w:r>
      <w:r>
        <w:rPr>
          <w:b/>
          <w:bCs/>
        </w:rPr>
        <w:t xml:space="preserve"> </w:t>
      </w:r>
      <w:r>
        <w:rPr>
          <w:b/>
          <w:bCs/>
          <w:i/>
          <w:iCs/>
        </w:rPr>
        <w:t xml:space="preserve">Econometrica</w:t>
      </w:r>
      <w:r>
        <w:rPr>
          <w:b/>
          <w:bCs/>
        </w:rPr>
        <w:t xml:space="preserve">, 47(2), 263–291. DOI:</w:t>
      </w:r>
      <w:r>
        <w:rPr>
          <w:b/>
          <w:bCs/>
        </w:rPr>
        <w:t xml:space="preserve"> </w:t>
      </w:r>
      <w:hyperlink r:id="rId359">
        <w:r>
          <w:rPr>
            <w:rStyle w:val="Hyperlink"/>
            <w:b/>
            <w:bCs/>
          </w:rPr>
          <w:t xml:space="preserve">10.2307/1914185</w:t>
        </w:r>
      </w:hyperlink>
    </w:p>
    <w:p>
      <w:pPr>
        <w:pStyle w:val="BlockText"/>
      </w:pPr>
      <w:r>
        <w:rPr>
          <w:b/>
          <w:bCs/>
        </w:rPr>
        <w:t xml:space="preserve">Pergunta central:</w:t>
      </w:r>
      <w:r>
        <w:t xml:space="preserve"> </w:t>
      </w:r>
      <w:r>
        <w:t xml:space="preserve">Os axiomas de Von Neumann e Morgenstern descrevem com precisão como as pessoas realmente tomam decisões sob incerteza? Em particular, o axioma da independência é violado de forma sistemática — e se sim, que teoria alternativa pode explicar os padrões observados?</w:t>
      </w:r>
    </w:p>
    <w:p>
      <w:pPr>
        <w:pStyle w:val="BlockText"/>
      </w:pPr>
      <w:r>
        <w:rPr>
          <w:b/>
          <w:bCs/>
        </w:rPr>
        <w:t xml:space="preserve">Método:</w:t>
      </w:r>
      <w:r>
        <w:t xml:space="preserve"> </w:t>
      </w:r>
      <w:r>
        <w:t xml:space="preserve">Kahneman e Tversky conduziram uma série de experimentos com sujeitos humanos, apresentando escolhas hipotéticas entre loterias. Os experimentos foram desenhados para testar sistematicamente se os axiomas VNM são satisfeitos, com atenção especial ao axioma da independência, ao tratamento de probabilidades e à simetria entre ganhos e perdas.</w:t>
      </w:r>
    </w:p>
    <w:p>
      <w:pPr>
        <w:pStyle w:val="BlockText"/>
      </w:pPr>
      <w:r>
        <w:rPr>
          <w:b/>
          <w:bCs/>
        </w:rPr>
        <w:t xml:space="preserve">Resultado principal:</w:t>
      </w:r>
      <w:r>
        <w:t xml:space="preserve"> </w:t>
      </w:r>
      <w:r>
        <w:t xml:space="preserve">Os autores documentaram três desvios sistemáticos da teoria VNM: (i) o</w:t>
      </w:r>
      <w:r>
        <w:t xml:space="preserve"> </w:t>
      </w:r>
      <w:r>
        <w:rPr>
          <w:i/>
          <w:iCs/>
        </w:rPr>
        <w:t xml:space="preserve">efeito certeza</w:t>
      </w:r>
      <w:r>
        <w:t xml:space="preserve"> </w:t>
      </w:r>
      <w:r>
        <w:t xml:space="preserve">— as pessoas sobrevalorizam resultados certos em relação a resultados probabilísticos, violando o axioma da independência; (ii) o</w:t>
      </w:r>
      <w:r>
        <w:t xml:space="preserve"> </w:t>
      </w:r>
      <w:r>
        <w:rPr>
          <w:i/>
          <w:iCs/>
        </w:rPr>
        <w:t xml:space="preserve">efeito reflexo</w:t>
      </w:r>
      <w:r>
        <w:t xml:space="preserve"> </w:t>
      </w:r>
      <w:r>
        <w:t xml:space="preserve">— as pessoas exibem aversão ao risco no domínio dos ganhos e propensão ao risco no domínio das perdas; (iii) a</w:t>
      </w:r>
      <w:r>
        <w:t xml:space="preserve"> </w:t>
      </w:r>
      <w:r>
        <w:rPr>
          <w:i/>
          <w:iCs/>
        </w:rPr>
        <w:t xml:space="preserve">aversão à perda</w:t>
      </w:r>
      <w:r>
        <w:t xml:space="preserve"> </w:t>
      </w:r>
      <w:r>
        <w:t xml:space="preserve">— perdas têm peso subjetivo maior do que ganhos de mesma magnitude. Com base nesses achados, propuseram a</w:t>
      </w:r>
      <w:r>
        <w:t xml:space="preserve"> </w:t>
      </w:r>
      <w:r>
        <w:rPr>
          <w:b/>
          <w:bCs/>
        </w:rPr>
        <w:t xml:space="preserve">teoria dos prospectos</w:t>
      </w:r>
      <w:r>
        <w:t xml:space="preserve">: uma função de valor côncava sobre ganhos e convexa sobre perdas (com inflexão no ponto de referência) e uma função de ponderação de probabilidades não linear que sobrepesa probabilidades pequenas e subpondera probabilidades grandes.</w:t>
      </w:r>
    </w:p>
    <w:p>
      <w:pPr>
        <w:pStyle w:val="BlockText"/>
      </w:pPr>
      <w:r>
        <w:rPr>
          <w:b/>
          <w:bCs/>
        </w:rPr>
        <w:t xml:space="preserve">Por que isso importa:</w:t>
      </w:r>
      <w:r>
        <w:t xml:space="preserve"> </w:t>
      </w:r>
      <w:r>
        <w:t xml:space="preserve">Este é o artigo mais citado da economia, com mais de 80.000 citações segundo o Google Scholar. Ele abriu o campo da economia comportamental e rendeu a Kahneman o Prêmio Nobel de Economia de 2002 (Tversky faleceu em 1996). Para o Brasil, as implicações são diretas: as distorções documentadas por Kahneman e Tversky afetam decisões de poupança e previdência, contratação de seguros, endividamento no crédito rotativo e adesão a programas sociais — todos contextos em que políticas</w:t>
      </w:r>
      <w:r>
        <w:t xml:space="preserve"> </w:t>
      </w:r>
      <w:r>
        <w:t xml:space="preserve">“nudge”</w:t>
      </w:r>
      <w:r>
        <w:t xml:space="preserve"> </w:t>
      </w:r>
      <w:r>
        <w:t xml:space="preserve">(empurrõezinhos) podem corrigir falhas comportamentais de forma custo-efetiva.</w:t>
      </w:r>
    </w:p>
    <w:p>
      <w:pPr>
        <w:pStyle w:val="BlockText"/>
      </w:pPr>
      <w:r>
        <w:rPr>
          <w:b/>
          <w:bCs/>
        </w:rPr>
        <w:t xml:space="preserve">Relevância para o capítulo:</w:t>
      </w:r>
      <w:r>
        <w:t xml:space="preserve"> </w:t>
      </w:r>
      <w:r>
        <w:t xml:space="preserve">O artigo desafia diretamente os axiomas VNM da Seção 7.2 e motiva a distinção entre teoria normativa (como agentes</w:t>
      </w:r>
      <w:r>
        <w:t xml:space="preserve"> </w:t>
      </w:r>
      <w:r>
        <w:rPr>
          <w:i/>
          <w:iCs/>
        </w:rPr>
        <w:t xml:space="preserve">deveriam</w:t>
      </w:r>
      <w:r>
        <w:t xml:space="preserve"> </w:t>
      </w:r>
      <w:r>
        <w:t xml:space="preserve">decidir) e descritiva (como eles</w:t>
      </w:r>
      <w:r>
        <w:t xml:space="preserve"> </w:t>
      </w:r>
      <w:r>
        <w:rPr>
          <w:i/>
          <w:iCs/>
        </w:rPr>
        <w:t xml:space="preserve">de fato</w:t>
      </w:r>
      <w:r>
        <w:t xml:space="preserve"> </w:t>
      </w:r>
      <w:r>
        <w:t xml:space="preserve">decidem). A teoria dos prospectos será tratada em detalhe no Capítulo 8; neste capítulo, ela serve como contraponto que reforça a importância de compreender a teoria VNM antes de criticá-la.</w:t>
      </w:r>
    </w:p>
    <w:p>
      <w:pPr>
        <w:pStyle w:val="BlockText"/>
      </w:pPr>
      <w:r>
        <w:rPr>
          <w:b/>
          <w:bCs/>
        </w:rPr>
        <w:t xml:space="preserve">[PESQUISA EM ACAO] Rabin, Matthew. (2000).</w:t>
      </w:r>
      <w:r>
        <w:rPr>
          <w:b/>
          <w:bCs/>
        </w:rPr>
        <w:t xml:space="preserve"> </w:t>
      </w:r>
      <w:hyperlink r:id="rId360">
        <w:r>
          <w:rPr>
            <w:rStyle w:val="Hyperlink"/>
            <w:b/>
            <w:bCs/>
          </w:rPr>
          <w:t xml:space="preserve">Risk Aversion and Expected-Utility Theory: A Calibration Theorem</w:t>
        </w:r>
      </w:hyperlink>
      <w:r>
        <w:rPr>
          <w:b/>
          <w:bCs/>
        </w:rPr>
        <w:t xml:space="preserve">.</w:t>
      </w:r>
      <w:r>
        <w:rPr>
          <w:b/>
          <w:bCs/>
        </w:rPr>
        <w:t xml:space="preserve"> </w:t>
      </w:r>
      <w:r>
        <w:rPr>
          <w:b/>
          <w:bCs/>
          <w:i/>
          <w:iCs/>
        </w:rPr>
        <w:t xml:space="preserve">Econometrica</w:t>
      </w:r>
      <w:r>
        <w:rPr>
          <w:b/>
          <w:bCs/>
        </w:rPr>
        <w:t xml:space="preserve">, 68(5), 1281–1292. DOI:</w:t>
      </w:r>
      <w:r>
        <w:rPr>
          <w:b/>
          <w:bCs/>
        </w:rPr>
        <w:t xml:space="preserve"> </w:t>
      </w:r>
      <w:hyperlink r:id="rId360">
        <w:r>
          <w:rPr>
            <w:rStyle w:val="Hyperlink"/>
            <w:b/>
            <w:bCs/>
          </w:rPr>
          <w:t xml:space="preserve">10.1111/1468-0262.00158</w:t>
        </w:r>
      </w:hyperlink>
    </w:p>
    <w:p>
      <w:pPr>
        <w:pStyle w:val="BlockText"/>
      </w:pPr>
      <w:r>
        <w:rPr>
          <w:b/>
          <w:bCs/>
        </w:rPr>
        <w:t xml:space="preserve">Pergunta central:</w:t>
      </w:r>
      <w:r>
        <w:t xml:space="preserve"> </w:t>
      </w:r>
      <w:r>
        <w:t xml:space="preserve">Se um agente rejeita uma aposta de pequena escala (digamos, recusar uma aposta de ganhar R$ 110 ou perder R$ 100) em todos os níveis de riqueza, quais são as implicações para sua aversão ao risco em apostas de grande escala? A teoria da utilidade esperada pode acomodar aversão ao risco tanto em pequena quanto em grande escala com um mesmo coeficiente de curvatura?</w:t>
      </w:r>
    </w:p>
    <w:p>
      <w:pPr>
        <w:pStyle w:val="BlockText"/>
      </w:pPr>
      <w:r>
        <w:rPr>
          <w:b/>
          <w:bCs/>
        </w:rPr>
        <w:t xml:space="preserve">Método:</w:t>
      </w:r>
      <w:r>
        <w:t xml:space="preserve"> </w:t>
      </w:r>
      <w:r>
        <w:t xml:space="preserve">Rabin demonstrou um resultado matemático puro (um teorema de calibração) sem necessidade de dados: a partir de hipóteses de rejeição de apostas de pequena escala em múltiplos níveis de riqueza, derivou implicações para o prêmio de risco exigido em apostas de grande escala, usando apenas as propriedades matemáticas da utilidade esperada com função crescente e côncava.</w:t>
      </w:r>
    </w:p>
    <w:p>
      <w:pPr>
        <w:pStyle w:val="BlockText"/>
      </w:pPr>
      <w:r>
        <w:rPr>
          <w:b/>
          <w:bCs/>
        </w:rPr>
        <w:t xml:space="preserve">Resultado principal:</w:t>
      </w:r>
      <w:r>
        <w:t xml:space="preserve"> </w:t>
      </w:r>
      <w:r>
        <w:t xml:space="preserve">O teorema de Rabin mostra que a teoria da utilidade esperada é internamente inconsistente como teoria descritiva da aversão ao risco: se um agente rejeita a aposta</w:t>
      </w:r>
      <w:r>
        <w:t xml:space="preserve"> </w:t>
      </w:r>
      <w:r>
        <w:t xml:space="preserve">“perder R$ 100 ou ganhar R$ 110, cara ou coroa”</w:t>
      </w:r>
      <w:r>
        <w:t xml:space="preserve"> </w:t>
      </w:r>
      <w:r>
        <w:t xml:space="preserve">para qualquer nível de riqueza abaixo de R$ 300.000, então a mesma função de utilidade implica que ele deveria rejeitar qualquer aposta com perda esperada superior a R$ 1 bilhão — um resultado absurdo. A concavidade global da função de utilidade, necessária para gerar aversão ao risco em pequenas apostas, implica aversão ao risco implausível em apostas grandes. Isso sugere que a aversão ao risco em pequena escala não é bem modelada pela curvatura da utilidade VNM, mas sim por outros mecanismos como aversão à perda (Kahneman e Tversky, 1979).</w:t>
      </w:r>
    </w:p>
    <w:p>
      <w:pPr>
        <w:pStyle w:val="BlockText"/>
      </w:pPr>
      <w:r>
        <w:rPr>
          <w:b/>
          <w:bCs/>
        </w:rPr>
        <w:t xml:space="preserve">Por que isso importa:</w:t>
      </w:r>
      <w:r>
        <w:t xml:space="preserve"> </w:t>
      </w:r>
      <w:r>
        <w:t xml:space="preserve">O artigo de Rabin, junto com o de Kahneman e Tversky, é um dos pilares da crítica à teoria VNM como teoria descritiva. Ele demonstra que a teoria VNM e a teoria dos prospectos não são igualmente válidas para todos os tamanhos de aposta: VNM pode ser adequada para riscos de grande escala (decisões de portfólio), mas falha para riscos de pequena escala (onde a aversão à perda domina).</w:t>
      </w:r>
    </w:p>
    <w:p>
      <w:pPr>
        <w:pStyle w:val="BlockText"/>
      </w:pPr>
      <w:r>
        <w:rPr>
          <w:b/>
          <w:bCs/>
        </w:rPr>
        <w:t xml:space="preserve">Relevância para o capítulo:</w:t>
      </w:r>
      <w:r>
        <w:t xml:space="preserve"> </w:t>
      </w:r>
      <w:r>
        <w:t xml:space="preserve">O artigo complementa a discussão das medidas de Arrow-Pratt (Seção 7.4) ao mostrar que coeficientes de aversão ao risco estimados a partir de escolhas sobre pequenas apostas não são comparáveis aos estimados de escolhas de portfólio. Para um economista brasileiro que usa dados de loterias ou experimentos de campo para medir preferências de risco de agricultores familiares, essa distinção é fundamental.</w:t>
      </w:r>
    </w:p>
    <w:p>
      <w:pPr>
        <w:pStyle w:val="BlockText"/>
      </w:pPr>
      <w:r>
        <w:rPr>
          <w:b/>
          <w:bCs/>
        </w:rPr>
        <w:t xml:space="preserve">[PESQUISA EM ACAO] Rosenzweig, Mark R.; Binswanger, Hans P. (1993).</w:t>
      </w:r>
      <w:r>
        <w:rPr>
          <w:b/>
          <w:bCs/>
        </w:rPr>
        <w:t xml:space="preserve"> </w:t>
      </w:r>
      <w:hyperlink r:id="rId361">
        <w:r>
          <w:rPr>
            <w:rStyle w:val="Hyperlink"/>
            <w:b/>
            <w:bCs/>
          </w:rPr>
          <w:t xml:space="preserve">Wealth, Weather Risk and the Composition and Profitability of Agricultural Investments</w:t>
        </w:r>
      </w:hyperlink>
      <w:r>
        <w:rPr>
          <w:b/>
          <w:bCs/>
        </w:rPr>
        <w:t xml:space="preserve">.</w:t>
      </w:r>
      <w:r>
        <w:rPr>
          <w:b/>
          <w:bCs/>
        </w:rPr>
        <w:t xml:space="preserve"> </w:t>
      </w:r>
      <w:r>
        <w:rPr>
          <w:b/>
          <w:bCs/>
          <w:i/>
          <w:iCs/>
        </w:rPr>
        <w:t xml:space="preserve">The Economic Journal</w:t>
      </w:r>
      <w:r>
        <w:rPr>
          <w:b/>
          <w:bCs/>
        </w:rPr>
        <w:t xml:space="preserve">, 103(416), 56–78. DOI:</w:t>
      </w:r>
      <w:r>
        <w:rPr>
          <w:b/>
          <w:bCs/>
        </w:rPr>
        <w:t xml:space="preserve"> </w:t>
      </w:r>
      <w:hyperlink r:id="rId361">
        <w:r>
          <w:rPr>
            <w:rStyle w:val="Hyperlink"/>
            <w:b/>
            <w:bCs/>
          </w:rPr>
          <w:t xml:space="preserve">10.2307/2234337</w:t>
        </w:r>
      </w:hyperlink>
    </w:p>
    <w:p>
      <w:pPr>
        <w:pStyle w:val="BlockText"/>
      </w:pPr>
      <w:r>
        <w:rPr>
          <w:b/>
          <w:bCs/>
        </w:rPr>
        <w:t xml:space="preserve">Pergunta central:</w:t>
      </w:r>
      <w:r>
        <w:t xml:space="preserve"> </w:t>
      </w:r>
      <w:r>
        <w:t xml:space="preserve">Em contextos agrícolas de países em desenvolvimento, como a aversão ao risco e a exposição ao risco climático afetam as decisões de investimento dos agricultores? Em particular: agricultores mais pobres e mais expostos ao risco climático adotam tecnologias de menor risco e menor retorno médio em comparação com agricultores mais ricos?</w:t>
      </w:r>
    </w:p>
    <w:p>
      <w:pPr>
        <w:pStyle w:val="BlockText"/>
      </w:pPr>
      <w:r>
        <w:rPr>
          <w:b/>
          <w:bCs/>
        </w:rPr>
        <w:t xml:space="preserve">Método:</w:t>
      </w:r>
      <w:r>
        <w:t xml:space="preserve"> </w:t>
      </w:r>
      <w:r>
        <w:t xml:space="preserve">Os autores utilizaram dados de painel de agricultores na Índia rural (Instituto Internacional de Pesquisa de Culturas para os Trópicos Semi-áridos — ICRISAT), combinando variação nas condições de riqueza e nas realizações climáticas ao longo do tempo. Estimaram a relação entre riqueza, exposição ao risco pluviométrico e composição do portfólio agrícola (culturas de alto risco/alto retorno versus culturas seguras de baixo retorno).</w:t>
      </w:r>
    </w:p>
    <w:p>
      <w:pPr>
        <w:pStyle w:val="BlockText"/>
      </w:pPr>
      <w:r>
        <w:rPr>
          <w:b/>
          <w:bCs/>
        </w:rPr>
        <w:t xml:space="preserve">Resultado principal:</w:t>
      </w:r>
      <w:r>
        <w:t xml:space="preserve"> </w:t>
      </w:r>
      <w:r>
        <w:t xml:space="preserve">Os dados confirmam que agricultores mais pobres e mais expostos ao risco climático adotam estratégias de produção significativamente mais conservadoras: cultivam variedades de menor rendimento médio mas maior resistência à seca, investem menos em insumos de alta produtividade e diversificam mais entre culturas do que os agricultores mais ricos. Estimaram que aumentar a riqueza agrícola em 50% elevaria a lucratividade esperada em até 35%, simplesmente por permitir a adoção de tecnologias de maior risco e maior retorno. A exposição ao risco climático, portanto, tem um custo real de eficiência: ela trava os agricultores em equilíbrios de baixa produtividade.</w:t>
      </w:r>
    </w:p>
    <w:p>
      <w:pPr>
        <w:pStyle w:val="BlockText"/>
      </w:pPr>
      <w:r>
        <w:rPr>
          <w:b/>
          <w:bCs/>
        </w:rPr>
        <w:t xml:space="preserve">Por que isso importa:</w:t>
      </w:r>
      <w:r>
        <w:t xml:space="preserve"> </w:t>
      </w:r>
      <w:r>
        <w:t xml:space="preserve">Este artigo fornece evidência empírica direta de que a aversão ao risco — modelada nos termos deste capítulo — tem consequências reais para o investimento agrícola e o desenvolvimento econômico. Para o Brasil, onde pequenos e médios produtores representam a maioria das propriedades rurais e onde o risco climático (secas no Nordeste, geadas no Sul, El Niño/La Niña) é uma constante, as conclusões são diretamente relevantes: programas como o Proagro e o PSR não são apenas transferências de renda, mas instrumentos de eficiência que desbloqueiam o potencial produtivo de agricultores que, sem cobertura, preferem seguir a estratégia segura e de baixo retorno.</w:t>
      </w:r>
    </w:p>
    <w:p>
      <w:pPr>
        <w:pStyle w:val="BlockText"/>
      </w:pPr>
      <w:r>
        <w:rPr>
          <w:b/>
          <w:bCs/>
        </w:rPr>
        <w:t xml:space="preserve">Relevância para o capítulo:</w:t>
      </w:r>
      <w:r>
        <w:t xml:space="preserve"> </w:t>
      </w:r>
      <w:r>
        <w:t xml:space="preserve">O artigo é a evidência empírica mais influente por trás do argumento teórico da Seção 7.6.1 (seguros como mecanismo de eficiência) e do Box Brasil sobre o Proagro (Seção 7.6.1). Ele conecta diretamente a teoria do prêmio de risco (Seção 7.5) ao comportamento observado de agricultores em países em desenvolvimento.</w:t>
      </w:r>
    </w:p>
    <w:bookmarkStart w:id="368" w:name="referências-do-capítulo-5"/>
    <w:p>
      <w:pPr>
        <w:pStyle w:val="Heading3"/>
      </w:pPr>
      <w:r>
        <w:t xml:space="preserve">Referências do Capítulo</w:t>
      </w:r>
    </w:p>
    <w:p>
      <w:pPr>
        <w:pStyle w:val="Compact"/>
        <w:numPr>
          <w:ilvl w:val="0"/>
          <w:numId w:val="1384"/>
        </w:numPr>
      </w:pPr>
      <w:r>
        <w:t xml:space="preserve">Akerlof, George A. 1970.</w:t>
      </w:r>
      <w:r>
        <w:t xml:space="preserve"> </w:t>
      </w:r>
      <w:r>
        <w:t xml:space="preserve">“The Market for</w:t>
      </w:r>
      <w:r>
        <w:t xml:space="preserve"> </w:t>
      </w:r>
      <w:r>
        <w:t xml:space="preserve">‘Lemons’</w:t>
      </w:r>
      <w:r>
        <w:t xml:space="preserve">: Quality Uncertainty and the Market Mechanism.”</w:t>
      </w:r>
      <w:r>
        <w:t xml:space="preserve"> </w:t>
      </w:r>
      <w:r>
        <w:rPr>
          <w:i/>
          <w:iCs/>
        </w:rPr>
        <w:t xml:space="preserve">The Quarterly Journal of Economics</w:t>
      </w:r>
      <w:r>
        <w:t xml:space="preserve"> </w:t>
      </w:r>
      <w:r>
        <w:t xml:space="preserve">84 (3): 488–500.</w:t>
      </w:r>
      <w:r>
        <w:t xml:space="preserve"> </w:t>
      </w:r>
      <w:hyperlink r:id="rId362">
        <w:r>
          <w:rPr>
            <w:rStyle w:val="Hyperlink"/>
          </w:rPr>
          <w:t xml:space="preserve">DOI</w:t>
        </w:r>
      </w:hyperlink>
    </w:p>
    <w:p>
      <w:pPr>
        <w:pStyle w:val="Compact"/>
        <w:numPr>
          <w:ilvl w:val="0"/>
          <w:numId w:val="1384"/>
        </w:numPr>
      </w:pPr>
      <w:r>
        <w:t xml:space="preserve">Arrow, Kenneth J. 1964.</w:t>
      </w:r>
      <w:r>
        <w:t xml:space="preserve"> </w:t>
      </w:r>
      <w:r>
        <w:t xml:space="preserve">“The Role of Securities in the Optimal Allocation of Risk-Bearing.”</w:t>
      </w:r>
      <w:r>
        <w:t xml:space="preserve"> </w:t>
      </w:r>
      <w:r>
        <w:rPr>
          <w:i/>
          <w:iCs/>
        </w:rPr>
        <w:t xml:space="preserve">The Review of Economic Studies</w:t>
      </w:r>
      <w:r>
        <w:t xml:space="preserve"> </w:t>
      </w:r>
      <w:r>
        <w:t xml:space="preserve">31 (2): 91–96.</w:t>
      </w:r>
      <w:r>
        <w:t xml:space="preserve"> </w:t>
      </w:r>
      <w:hyperlink r:id="rId363">
        <w:r>
          <w:rPr>
            <w:rStyle w:val="Hyperlink"/>
          </w:rPr>
          <w:t xml:space="preserve">DOI</w:t>
        </w:r>
      </w:hyperlink>
    </w:p>
    <w:p>
      <w:pPr>
        <w:pStyle w:val="Compact"/>
        <w:numPr>
          <w:ilvl w:val="0"/>
          <w:numId w:val="1384"/>
        </w:numPr>
      </w:pPr>
      <w:r>
        <w:t xml:space="preserve">Chiappori, Pierre-André, e Bernard Salanié. 2000.</w:t>
      </w:r>
      <w:r>
        <w:t xml:space="preserve"> </w:t>
      </w:r>
      <w:r>
        <w:t xml:space="preserve">“Testing for Asymmetric Information in Insurance Markets.”</w:t>
      </w:r>
      <w:r>
        <w:t xml:space="preserve"> </w:t>
      </w:r>
      <w:r>
        <w:rPr>
          <w:i/>
          <w:iCs/>
        </w:rPr>
        <w:t xml:space="preserve">Journal of Political Economy</w:t>
      </w:r>
      <w:r>
        <w:t xml:space="preserve"> </w:t>
      </w:r>
      <w:r>
        <w:t xml:space="preserve">108 (1): 56–78.</w:t>
      </w:r>
      <w:r>
        <w:t xml:space="preserve"> </w:t>
      </w:r>
      <w:hyperlink r:id="rId364">
        <w:r>
          <w:rPr>
            <w:rStyle w:val="Hyperlink"/>
          </w:rPr>
          <w:t xml:space="preserve">DOI</w:t>
        </w:r>
      </w:hyperlink>
    </w:p>
    <w:p>
      <w:pPr>
        <w:pStyle w:val="Compact"/>
        <w:numPr>
          <w:ilvl w:val="0"/>
          <w:numId w:val="1384"/>
        </w:numPr>
      </w:pPr>
      <w:r>
        <w:t xml:space="preserve">Friedman, Milton, e Leonard J. Savage. 1948.</w:t>
      </w:r>
      <w:r>
        <w:t xml:space="preserve"> </w:t>
      </w:r>
      <w:r>
        <w:t xml:space="preserve">“The Utility Analysis of Choices Involving Risk.”</w:t>
      </w:r>
      <w:r>
        <w:t xml:space="preserve"> </w:t>
      </w:r>
      <w:r>
        <w:rPr>
          <w:i/>
          <w:iCs/>
        </w:rPr>
        <w:t xml:space="preserve">Journal of Political Economy</w:t>
      </w:r>
      <w:r>
        <w:t xml:space="preserve"> </w:t>
      </w:r>
      <w:r>
        <w:t xml:space="preserve">56 (4): 279–304.</w:t>
      </w:r>
      <w:r>
        <w:t xml:space="preserve"> </w:t>
      </w:r>
      <w:hyperlink r:id="rId365">
        <w:r>
          <w:rPr>
            <w:rStyle w:val="Hyperlink"/>
          </w:rPr>
          <w:t xml:space="preserve">DOI</w:t>
        </w:r>
      </w:hyperlink>
    </w:p>
    <w:p>
      <w:pPr>
        <w:pStyle w:val="Compact"/>
        <w:numPr>
          <w:ilvl w:val="0"/>
          <w:numId w:val="1384"/>
        </w:numPr>
      </w:pPr>
      <w:r>
        <w:t xml:space="preserve">Kahneman, Daniel, e Amos Tversky. 1979.</w:t>
      </w:r>
      <w:r>
        <w:t xml:space="preserve"> </w:t>
      </w:r>
      <w:r>
        <w:t xml:space="preserve">“Prospect Theory: An Analysis of Decision under Risk.”</w:t>
      </w:r>
      <w:r>
        <w:t xml:space="preserve"> </w:t>
      </w:r>
      <w:r>
        <w:rPr>
          <w:i/>
          <w:iCs/>
        </w:rPr>
        <w:t xml:space="preserve">Econometrica</w:t>
      </w:r>
      <w:r>
        <w:t xml:space="preserve"> </w:t>
      </w:r>
      <w:r>
        <w:t xml:space="preserve">47 (2): 263–292.</w:t>
      </w:r>
      <w:r>
        <w:t xml:space="preserve"> </w:t>
      </w:r>
      <w:hyperlink r:id="rId359">
        <w:r>
          <w:rPr>
            <w:rStyle w:val="Hyperlink"/>
          </w:rPr>
          <w:t xml:space="preserve">DOI</w:t>
        </w:r>
      </w:hyperlink>
    </w:p>
    <w:p>
      <w:pPr>
        <w:pStyle w:val="Compact"/>
        <w:numPr>
          <w:ilvl w:val="0"/>
          <w:numId w:val="1384"/>
        </w:numPr>
      </w:pPr>
      <w:r>
        <w:t xml:space="preserve">Mas-Colell, Andreu, Michael D. Whinston, e Jerry R. Green. 1995.</w:t>
      </w:r>
      <w:r>
        <w:t xml:space="preserve"> </w:t>
      </w:r>
      <w:hyperlink r:id="rId70">
        <w:r>
          <w:rPr>
            <w:rStyle w:val="Hyperlink"/>
            <w:i/>
            <w:iCs/>
          </w:rPr>
          <w:t xml:space="preserve">Microeconomic Theory</w:t>
        </w:r>
      </w:hyperlink>
      <w:r>
        <w:t xml:space="preserve">. New York: Oxford University Press. Capítulo 6.</w:t>
      </w:r>
    </w:p>
    <w:p>
      <w:pPr>
        <w:pStyle w:val="Compact"/>
        <w:numPr>
          <w:ilvl w:val="0"/>
          <w:numId w:val="1384"/>
        </w:numPr>
      </w:pPr>
      <w:r>
        <w:t xml:space="preserve">Mehra, Rajnish, e Edward C. Prescott. 1985.</w:t>
      </w:r>
      <w:r>
        <w:t xml:space="preserve"> </w:t>
      </w:r>
      <w:r>
        <w:t xml:space="preserve">“The Equity Premium: A Puzzle.”</w:t>
      </w:r>
      <w:r>
        <w:t xml:space="preserve"> </w:t>
      </w:r>
      <w:r>
        <w:rPr>
          <w:i/>
          <w:iCs/>
        </w:rPr>
        <w:t xml:space="preserve">Journal of Monetary Economics</w:t>
      </w:r>
      <w:r>
        <w:t xml:space="preserve"> </w:t>
      </w:r>
      <w:r>
        <w:t xml:space="preserve">15 (2): 145–161.</w:t>
      </w:r>
      <w:r>
        <w:t xml:space="preserve"> </w:t>
      </w:r>
      <w:hyperlink r:id="rId358">
        <w:r>
          <w:rPr>
            <w:rStyle w:val="Hyperlink"/>
          </w:rPr>
          <w:t xml:space="preserve">DOI</w:t>
        </w:r>
      </w:hyperlink>
    </w:p>
    <w:p>
      <w:pPr>
        <w:pStyle w:val="Compact"/>
        <w:numPr>
          <w:ilvl w:val="0"/>
          <w:numId w:val="1384"/>
        </w:numPr>
      </w:pPr>
      <w:r>
        <w:t xml:space="preserve">Nicholson, Walter, e Christopher M. Snyder. 2017.</w:t>
      </w:r>
      <w:r>
        <w:t xml:space="preserve"> </w:t>
      </w:r>
      <w:hyperlink r:id="rId71">
        <w:r>
          <w:rPr>
            <w:rStyle w:val="Hyperlink"/>
            <w:i/>
            <w:iCs/>
          </w:rPr>
          <w:t xml:space="preserve">Microeconomic Theory: Basic Principles and Extensions</w:t>
        </w:r>
      </w:hyperlink>
      <w:r>
        <w:t xml:space="preserve">. 12ª ed. Boston: Cengage Learning. Capítulo 7.</w:t>
      </w:r>
    </w:p>
    <w:p>
      <w:pPr>
        <w:pStyle w:val="Compact"/>
        <w:numPr>
          <w:ilvl w:val="0"/>
          <w:numId w:val="1384"/>
        </w:numPr>
      </w:pPr>
      <w:r>
        <w:t xml:space="preserve">Perloff, Jeffrey M. 2017.</w:t>
      </w:r>
      <w:r>
        <w:t xml:space="preserve"> </w:t>
      </w:r>
      <w:hyperlink r:id="rId230">
        <w:r>
          <w:rPr>
            <w:rStyle w:val="Hyperlink"/>
            <w:i/>
            <w:iCs/>
          </w:rPr>
          <w:t xml:space="preserve">Microeconomics: Theory and Applications with Calculus</w:t>
        </w:r>
      </w:hyperlink>
      <w:r>
        <w:t xml:space="preserve">. 4ª ed. Boston: Pearson. Capítulo 17.</w:t>
      </w:r>
    </w:p>
    <w:p>
      <w:pPr>
        <w:pStyle w:val="Compact"/>
        <w:numPr>
          <w:ilvl w:val="0"/>
          <w:numId w:val="1384"/>
        </w:numPr>
      </w:pPr>
      <w:r>
        <w:t xml:space="preserve">Pratt, John W. 1964.</w:t>
      </w:r>
      <w:r>
        <w:t xml:space="preserve"> </w:t>
      </w:r>
      <w:r>
        <w:t xml:space="preserve">“Risk Aversion in the Small and in the Large.”</w:t>
      </w:r>
      <w:r>
        <w:t xml:space="preserve"> </w:t>
      </w:r>
      <w:r>
        <w:rPr>
          <w:i/>
          <w:iCs/>
        </w:rPr>
        <w:t xml:space="preserve">Econometrica</w:t>
      </w:r>
      <w:r>
        <w:t xml:space="preserve"> </w:t>
      </w:r>
      <w:r>
        <w:t xml:space="preserve">32 (1–2): 122–136.</w:t>
      </w:r>
      <w:r>
        <w:t xml:space="preserve"> </w:t>
      </w:r>
      <w:hyperlink r:id="rId366">
        <w:r>
          <w:rPr>
            <w:rStyle w:val="Hyperlink"/>
          </w:rPr>
          <w:t xml:space="preserve">DOI</w:t>
        </w:r>
      </w:hyperlink>
    </w:p>
    <w:p>
      <w:pPr>
        <w:pStyle w:val="Compact"/>
        <w:numPr>
          <w:ilvl w:val="0"/>
          <w:numId w:val="1384"/>
        </w:numPr>
      </w:pPr>
      <w:r>
        <w:t xml:space="preserve">Rabin, Matthew. 2000.</w:t>
      </w:r>
      <w:r>
        <w:t xml:space="preserve"> </w:t>
      </w:r>
      <w:r>
        <w:t xml:space="preserve">“Risk Aversion and Expected-Utility Theory: A Calibration Theorem.”</w:t>
      </w:r>
      <w:r>
        <w:t xml:space="preserve"> </w:t>
      </w:r>
      <w:r>
        <w:rPr>
          <w:i/>
          <w:iCs/>
        </w:rPr>
        <w:t xml:space="preserve">Econometrica</w:t>
      </w:r>
      <w:r>
        <w:t xml:space="preserve"> </w:t>
      </w:r>
      <w:r>
        <w:t xml:space="preserve">68 (5): 1281–1292.</w:t>
      </w:r>
      <w:r>
        <w:t xml:space="preserve"> </w:t>
      </w:r>
      <w:hyperlink r:id="rId360">
        <w:r>
          <w:rPr>
            <w:rStyle w:val="Hyperlink"/>
          </w:rPr>
          <w:t xml:space="preserve">DOI</w:t>
        </w:r>
      </w:hyperlink>
    </w:p>
    <w:p>
      <w:pPr>
        <w:pStyle w:val="Compact"/>
        <w:numPr>
          <w:ilvl w:val="0"/>
          <w:numId w:val="1384"/>
        </w:numPr>
      </w:pPr>
      <w:r>
        <w:t xml:space="preserve">Rosenzweig, Mark R., e Hans P. Binswanger. 1993.</w:t>
      </w:r>
      <w:r>
        <w:t xml:space="preserve"> </w:t>
      </w:r>
      <w:r>
        <w:t xml:space="preserve">“Wealth, Weather Risk and the Composition and Profitability of Agricultural Investments.”</w:t>
      </w:r>
      <w:r>
        <w:t xml:space="preserve"> </w:t>
      </w:r>
      <w:r>
        <w:rPr>
          <w:i/>
          <w:iCs/>
        </w:rPr>
        <w:t xml:space="preserve">The Economic Journal</w:t>
      </w:r>
      <w:r>
        <w:t xml:space="preserve"> </w:t>
      </w:r>
      <w:r>
        <w:t xml:space="preserve">103 (416): 56–78.</w:t>
      </w:r>
      <w:r>
        <w:t xml:space="preserve"> </w:t>
      </w:r>
      <w:hyperlink r:id="rId361">
        <w:r>
          <w:rPr>
            <w:rStyle w:val="Hyperlink"/>
          </w:rPr>
          <w:t xml:space="preserve">DOI</w:t>
        </w:r>
      </w:hyperlink>
    </w:p>
    <w:p>
      <w:pPr>
        <w:pStyle w:val="Compact"/>
        <w:numPr>
          <w:ilvl w:val="0"/>
          <w:numId w:val="1384"/>
        </w:numPr>
      </w:pPr>
      <w:r>
        <w:t xml:space="preserve">Varian, Hal R. 2015.</w:t>
      </w:r>
      <w:r>
        <w:t xml:space="preserve"> </w:t>
      </w:r>
      <w:hyperlink r:id="rId74">
        <w:r>
          <w:rPr>
            <w:rStyle w:val="Hyperlink"/>
            <w:i/>
            <w:iCs/>
          </w:rPr>
          <w:t xml:space="preserve">Microeconomia: Uma Abordagem Moderna</w:t>
        </w:r>
      </w:hyperlink>
      <w:r>
        <w:t xml:space="preserve">. 9ª ed. Rio de Janeiro: Elsevier. Capítulo 12.</w:t>
      </w:r>
    </w:p>
    <w:p>
      <w:pPr>
        <w:pStyle w:val="Compact"/>
        <w:numPr>
          <w:ilvl w:val="0"/>
          <w:numId w:val="1384"/>
        </w:numPr>
      </w:pPr>
      <w:r>
        <w:t xml:space="preserve">Von Neumann, John, e Oskar Morgenstern. 1944.</w:t>
      </w:r>
      <w:r>
        <w:t xml:space="preserve"> </w:t>
      </w:r>
      <w:hyperlink r:id="rId367">
        <w:r>
          <w:rPr>
            <w:rStyle w:val="Hyperlink"/>
            <w:i/>
            <w:iCs/>
          </w:rPr>
          <w:t xml:space="preserve">Theory of Games and Economic Behavior</w:t>
        </w:r>
      </w:hyperlink>
      <w:r>
        <w:t xml:space="preserve">. Princeton: Princeton University Press.</w:t>
      </w:r>
    </w:p>
    <w:bookmarkEnd w:id="368"/>
    <w:bookmarkEnd w:id="369"/>
    <w:bookmarkEnd w:id="370"/>
    <w:bookmarkStart w:id="463" w:name="capítulo-8-nem-tão-racionais-assim"/>
    <w:p>
      <w:pPr>
        <w:sectPr>
          <w:footnotePr>
            <w:numRestart w:val="eachSect"/>
          </w:footnotePr>
        </w:sectPr>
      </w:pPr>
    </w:p>
    <w:p>
      <w:pPr>
        <w:pStyle w:val="Heading1"/>
      </w:pPr>
      <w:r>
        <w:t xml:space="preserve">Capítulo 8 — Nem Tão Racionais Assim</w:t>
      </w:r>
    </w:p>
    <w:p>
      <w:pPr>
        <w:pStyle w:val="FirstParagraph"/>
      </w:pPr>
      <w:r>
        <w:t xml:space="preserve">Nos capítulos anteriores, construímos a teoria da escolha do consumidor sobre dois pilares: preferências racionais (completas e transitivas) e maximização da utilidade esperada sob incerteza. Esses modelos são elegantes, tratáveis e geram previsões poderosas. Mas quão fiéis são ao comportamento real dos seres humanos?</w:t>
      </w:r>
    </w:p>
    <w:p>
      <w:pPr>
        <w:pStyle w:val="BodyText"/>
      </w:pPr>
      <w:r>
        <w:t xml:space="preserve">A partir da década de 1970, uma série de experimentos conduzidos por psicólogos e economistas revelou</w:t>
      </w:r>
      <w:r>
        <w:t xml:space="preserve"> </w:t>
      </w:r>
      <w:r>
        <w:rPr>
          <w:b/>
          <w:bCs/>
        </w:rPr>
        <w:t xml:space="preserve">violações sistemáticas</w:t>
      </w:r>
      <w:r>
        <w:t xml:space="preserve"> </w:t>
      </w:r>
      <w:r>
        <w:t xml:space="preserve">dos axiomas de racionalidade. Não se trata de erros aleatórios — os desvios seguem padrões previsíveis, enraizados na arquitetura cognitiva humana. Daniel Kahneman e Amos Tversky foram os pioneiros desse programa de pesquisa, que culminou na</w:t>
      </w:r>
      <w:r>
        <w:t xml:space="preserve"> </w:t>
      </w:r>
      <w:r>
        <w:rPr>
          <w:b/>
          <w:bCs/>
        </w:rPr>
        <w:t xml:space="preserve">Teoria do Prospecto</w:t>
      </w:r>
      <w:r>
        <w:t xml:space="preserve"> </w:t>
      </w:r>
      <w:r>
        <w:t xml:space="preserve">(Kahneman e Tversky 1979) e rendeu a Kahneman o Prêmio Nobel de Economia em 2002.</w:t>
      </w:r>
    </w:p>
    <w:p>
      <w:pPr>
        <w:pStyle w:val="BlockText"/>
      </w:pPr>
      <w:r>
        <w:rPr>
          <w:b/>
          <w:bCs/>
        </w:rPr>
        <w:t xml:space="preserve">[RESUMO] 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rPr>
                <w:b/>
                <w:bCs/>
              </w:rPr>
              <w:t xml:space="preserve">8.1</w:t>
            </w:r>
          </w:p>
        </w:tc>
        <w:tc>
          <w:tcPr/>
          <w:p>
            <w:pPr>
              <w:pStyle w:val="Compact"/>
            </w:pPr>
            <w:r>
              <w:t xml:space="preserve">Por que erramos de formas previsíveis?</w:t>
            </w:r>
          </w:p>
        </w:tc>
        <w:tc>
          <w:tcPr/>
          <w:p>
            <w:pPr>
              <w:pStyle w:val="Compact"/>
            </w:pPr>
            <w:r>
              <w:t xml:space="preserve">Heurísticas (representatividade, disponibilidade, ancoragem), excesso de confiança, arquitetura dual Sistema 1 vs. Sistema 2</w:t>
            </w:r>
          </w:p>
        </w:tc>
        <w:tc>
          <w:tcPr/>
          <w:p>
            <w:pPr>
              <w:pStyle w:val="Compact"/>
              <w:jc w:val="center"/>
            </w:pPr>
            <w:r>
              <w:t xml:space="preserve">Heurísticas e Vieses</w:t>
            </w:r>
          </w:p>
        </w:tc>
      </w:tr>
      <w:tr>
        <w:tc>
          <w:tcPr/>
          <w:p>
            <w:pPr>
              <w:pStyle w:val="Compact"/>
              <w:jc w:val="center"/>
            </w:pPr>
            <w:r>
              <w:rPr>
                <w:b/>
                <w:bCs/>
              </w:rPr>
              <w:t xml:space="preserve">8.2</w:t>
            </w:r>
          </w:p>
        </w:tc>
        <w:tc>
          <w:tcPr/>
          <w:p>
            <w:pPr>
              <w:pStyle w:val="Compact"/>
            </w:pPr>
            <w:r>
              <w:t xml:space="preserve">Como decidimos sob risco de verdade?</w:t>
            </w:r>
          </w:p>
        </w:tc>
        <w:tc>
          <w:tcPr/>
          <w:p>
            <w:pPr>
              <w:pStyle w:val="Compact"/>
            </w:pPr>
            <w:r>
              <w:t xml:space="preserve">Paradoxo de Allais, função valor, aversão à perda, ponderação de probabilidades, PT Cumulativa, efeito dotação, framing, contabilidade mental</w:t>
            </w:r>
          </w:p>
        </w:tc>
        <w:tc>
          <w:tcPr/>
          <w:p>
            <w:pPr>
              <w:pStyle w:val="Compact"/>
              <w:jc w:val="center"/>
            </w:pPr>
            <w:r>
              <w:t xml:space="preserve">Teoria do Prospecto</w:t>
            </w:r>
          </w:p>
        </w:tc>
      </w:tr>
      <w:tr>
        <w:tc>
          <w:tcPr/>
          <w:p>
            <w:pPr>
              <w:pStyle w:val="Compact"/>
              <w:jc w:val="center"/>
            </w:pPr>
            <w:r>
              <w:rPr>
                <w:b/>
                <w:bCs/>
              </w:rPr>
              <w:t xml:space="preserve">8.3</w:t>
            </w:r>
          </w:p>
        </w:tc>
        <w:tc>
          <w:tcPr/>
          <w:p>
            <w:pPr>
              <w:pStyle w:val="Compact"/>
            </w:pPr>
            <w:r>
              <w:t xml:space="preserve">E quando nem as probabilidades conhecemos?</w:t>
            </w:r>
          </w:p>
        </w:tc>
        <w:tc>
          <w:tcPr/>
          <w:p>
            <w:pPr>
              <w:pStyle w:val="Compact"/>
            </w:pPr>
            <w:r>
              <w:t xml:space="preserve">Risco vs. ambiguidade, Paradoxo de Ellsberg, modelos de ambiguidade (CEU, MEU, suave)</w:t>
            </w:r>
          </w:p>
        </w:tc>
        <w:tc>
          <w:tcPr/>
          <w:p>
            <w:pPr>
              <w:pStyle w:val="Compact"/>
              <w:jc w:val="center"/>
            </w:pPr>
            <w:r>
              <w:t xml:space="preserve">Aversão à Ambiguidade</w:t>
            </w:r>
          </w:p>
        </w:tc>
      </w:tr>
      <w:tr>
        <w:tc>
          <w:tcPr/>
          <w:p>
            <w:pPr>
              <w:pStyle w:val="Compact"/>
              <w:jc w:val="center"/>
            </w:pPr>
            <w:r>
              <w:rPr>
                <w:b/>
                <w:bCs/>
              </w:rPr>
              <w:t xml:space="preserve">8.4</w:t>
            </w:r>
          </w:p>
        </w:tc>
        <w:tc>
          <w:tcPr/>
          <w:p>
            <w:pPr>
              <w:pStyle w:val="Compact"/>
            </w:pPr>
            <w:r>
              <w:t xml:space="preserve">As pessoas só se importam consigo mesmas?</w:t>
            </w:r>
          </w:p>
        </w:tc>
        <w:tc>
          <w:tcPr/>
          <w:p>
            <w:pPr>
              <w:pStyle w:val="Compact"/>
            </w:pPr>
            <w:r>
              <w:t xml:space="preserve">Jogos do ultimato, ditador e confiança; modelo de Fehr-Schmidt; reciprocidade e cooperação</w:t>
            </w:r>
          </w:p>
        </w:tc>
        <w:tc>
          <w:tcPr/>
          <w:p>
            <w:pPr>
              <w:pStyle w:val="Compact"/>
              <w:jc w:val="center"/>
            </w:pPr>
            <w:r>
              <w:t xml:space="preserve">Preferências Sociais</w:t>
            </w:r>
          </w:p>
        </w:tc>
      </w:tr>
      <w:tr>
        <w:tc>
          <w:tcPr/>
          <w:p>
            <w:pPr>
              <w:pStyle w:val="Compact"/>
              <w:jc w:val="center"/>
            </w:pPr>
            <w:r>
              <w:rPr>
                <w:b/>
                <w:bCs/>
              </w:rPr>
              <w:t xml:space="preserve">8.5</w:t>
            </w:r>
          </w:p>
        </w:tc>
        <w:tc>
          <w:tcPr/>
          <w:p>
            <w:pPr>
              <w:pStyle w:val="Compact"/>
            </w:pPr>
            <w:r>
              <w:t xml:space="preserve">Por que sabotamos nosso eu futuro?</w:t>
            </w:r>
          </w:p>
        </w:tc>
        <w:tc>
          <w:tcPr/>
          <w:p>
            <w:pPr>
              <w:pStyle w:val="Compact"/>
            </w:pPr>
            <w:r>
              <w:t xml:space="preserve">Desconto exponencial vs. quasi-hiperbólico, viés do presente, agentes sofisticados vs. ingênuos, mecanismos de compromisso</w:t>
            </w:r>
          </w:p>
        </w:tc>
        <w:tc>
          <w:tcPr/>
          <w:p>
            <w:pPr>
              <w:pStyle w:val="Compact"/>
              <w:jc w:val="center"/>
            </w:pPr>
            <w:r>
              <w:t xml:space="preserve">Desconto Hiperbólico</w:t>
            </w:r>
          </w:p>
        </w:tc>
      </w:tr>
      <w:tr>
        <w:tc>
          <w:tcPr/>
          <w:p>
            <w:pPr>
              <w:pStyle w:val="Compact"/>
              <w:jc w:val="center"/>
            </w:pPr>
            <w:r>
              <w:rPr>
                <w:b/>
                <w:bCs/>
              </w:rPr>
              <w:t xml:space="preserve">8.6</w:t>
            </w:r>
          </w:p>
        </w:tc>
        <w:tc>
          <w:tcPr/>
          <w:p>
            <w:pPr>
              <w:pStyle w:val="Compact"/>
            </w:pPr>
            <w:r>
              <w:t xml:space="preserve">Dá para usar os vieses a nosso favor?</w:t>
            </w:r>
          </w:p>
        </w:tc>
        <w:tc>
          <w:tcPr/>
          <w:p>
            <w:pPr>
              <w:pStyle w:val="Compact"/>
            </w:pPr>
            <w:r>
              <w:t xml:space="preserve">Paternalismo libertário, nudges (defaults, framing, normas sociais), limites e críticas, sludge</w:t>
            </w:r>
          </w:p>
        </w:tc>
        <w:tc>
          <w:tcPr/>
          <w:p>
            <w:pPr>
              <w:pStyle w:val="Compact"/>
              <w:jc w:val="center"/>
            </w:pPr>
            <w:r>
              <w:t xml:space="preserve">Nudges</w:t>
            </w:r>
          </w:p>
        </w:tc>
      </w:tr>
      <w:tr>
        <w:tc>
          <w:tcPr/>
          <w:p>
            <w:pPr>
              <w:pStyle w:val="Compact"/>
              <w:jc w:val="center"/>
            </w:pPr>
            <w:r>
              <w:rPr>
                <w:b/>
                <w:bCs/>
              </w:rPr>
              <w:t xml:space="preserve">Exercícios</w:t>
            </w:r>
          </w:p>
        </w:tc>
        <w:tc>
          <w:tcPr/>
          <w:p>
            <w:pPr>
              <w:pStyle w:val="Compact"/>
            </w:pPr>
            <w:r>
              <w:t xml:space="preserve">Teste e aplique</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fronteira diz?</w:t>
            </w:r>
          </w:p>
        </w:tc>
        <w:tc>
          <w:tcPr/>
          <w:p>
            <w:pPr>
              <w:pStyle w:val="Compact"/>
            </w:pPr>
            <w:r>
              <w:t xml:space="preserve">Kahneman &amp; Tversky, Fehr &amp; Schmidt, Madrian &amp; Shea, Laibson, Ellsberg, Thaler &amp; Sunstein, DellaVigna</w:t>
            </w:r>
          </w:p>
        </w:tc>
        <w:tc>
          <w:tcPr/>
          <w:p>
            <w:pPr>
              <w:pStyle w:val="Compact"/>
              <w:jc w:val="center"/>
            </w:pPr>
            <w:r>
              <w:t xml:space="preserve">Pesquisa</w:t>
            </w:r>
          </w:p>
        </w:tc>
      </w:tr>
    </w:tbl>
    <w:p>
      <w:pPr>
        <w:pStyle w:val="FirstParagraph"/>
      </w:pPr>
      <w:r>
        <w:rPr>
          <w:b/>
          <w:bCs/>
        </w:rPr>
        <w:t xml:space="preserve">Conexão com o restante do livro.</w:t>
      </w:r>
      <w:r>
        <w:t xml:space="preserve"> </w:t>
      </w:r>
      <w:r>
        <w:t xml:space="preserve">Este capítulo se situa em uma encruzilhada. Do lado do passado, dialoga diretamente com dois conjuntos de resultados já estabelecidos: os axiomas de racionalidade do Capítulo 3 (completude, transitividade, continuidade e, especialmente, independência) e a teoria da utilidade esperada de Von Neumann–Morgenstern do Capítulo 7 (o axioma da independência e a representação linear das probabilidades). A economia comportamental não descarta esses modelos — ela os usa como referência precisa para identificar</w:t>
      </w:r>
      <w:r>
        <w:t xml:space="preserve"> </w:t>
      </w:r>
      <w:r>
        <w:rPr>
          <w:i/>
          <w:iCs/>
        </w:rPr>
        <w:t xml:space="preserve">onde</w:t>
      </w:r>
      <w:r>
        <w:t xml:space="preserve"> </w:t>
      </w:r>
      <w:r>
        <w:t xml:space="preserve">e</w:t>
      </w:r>
      <w:r>
        <w:t xml:space="preserve"> </w:t>
      </w:r>
      <w:r>
        <w:rPr>
          <w:i/>
          <w:iCs/>
        </w:rPr>
        <w:t xml:space="preserve">por que</w:t>
      </w:r>
      <w:r>
        <w:t xml:space="preserve"> </w:t>
      </w:r>
      <w:r>
        <w:t xml:space="preserve">os agentes se afastam das previsões canônicas. Do lado do futuro, os conceitos deste capítulo são insumos diretos para tópicos avançados: nos Capítulos 9a–9d, sobre teoria dos jogos, as preferências sociais (Seção 8.4) modificam os equilíbrios previstos em jogos de barganha e de cooperação. Em teoria de mecanismos e desenho de contratos — temas que surgem nos Capítulos 9c–9d e 19 —, a contabilidade mental, o desconto quasi-hiperbólico e a aversão à perda determinam que tipos de incentivos funcionam na prática. Um governo que projeta um programa de previdência complementar ou um regulador que define o formato de um rótulo nutricional precisa incorporar as regularidades documentadas aqui; caso contrário, o mecanismo pode funcionar elegantemente no papel e falhar com agentes reais.</w:t>
      </w:r>
    </w:p>
    <w:p>
      <w:pPr>
        <w:pStyle w:val="BodyText"/>
      </w:pPr>
      <w:r>
        <w:t xml:space="preserve">A abordagem deste capítulo é deliberadamente cumulativa: começamos pelos fundamentos psicológicos das heurísticas (Seção 8.1), passamos para o modelo formal mais influente de decisão sob risco (Teoria do Prospecto, Seção 8.2), estendemos a análise para situações com probabilidades desconhecidas (Seção 8.3) e para contextos de interação (preferências sociais, Seção 8.4), examinamos o eixo temporal (desconto hiperbólico, Seção 8.5) e concluímos com as implicações de política pública (nudges, Seção 8.6). A cada passo, privilegiamos a conexão entre o rigor formal e as evidências empíricas — porque a economia comportamental é, acima de tudo, uma ciência empírica.</w:t>
      </w:r>
    </w:p>
    <w:bookmarkStart w:id="376" w:name="X408dabe748dbcce3eff95179d30ab8f9e88fac1"/>
    <w:p>
      <w:pPr>
        <w:pStyle w:val="Heading2"/>
      </w:pPr>
      <w:r>
        <w:t xml:space="preserve">8.1 O Cérebro Trapaceiro: Heurísticas e Vieses Cognitivos</w:t>
      </w:r>
    </w:p>
    <w:p>
      <w:pPr>
        <w:pStyle w:val="FirstParagraph"/>
      </w:pPr>
      <w:r>
        <w:t xml:space="preserve">Antes de examinar modelos alternativos de decisão, é preciso entender</w:t>
      </w:r>
      <w:r>
        <w:t xml:space="preserve"> </w:t>
      </w:r>
      <w:r>
        <w:rPr>
          <w:i/>
          <w:iCs/>
        </w:rPr>
        <w:t xml:space="preserve">por que</w:t>
      </w:r>
      <w:r>
        <w:t xml:space="preserve"> </w:t>
      </w:r>
      <w:r>
        <w:t xml:space="preserve">os agentes se desviam das previsões da teoria neoclássica. A resposta começa pela forma como o cérebro humano processa informações — não como uma calculadora bayesiana perfeita, mas como um sistema adaptativo que economiza recursos cognitivos por meio de</w:t>
      </w:r>
      <w:r>
        <w:t xml:space="preserve"> </w:t>
      </w:r>
      <w:r>
        <w:rPr>
          <w:b/>
          <w:bCs/>
        </w:rPr>
        <w:t xml:space="preserve">heurísticas</w:t>
      </w:r>
      <w:r>
        <w:t xml:space="preserve">: regras simplificadas que permitem tomar decisões rápidas com informação limitada. Na maioria das vezes, essas regras produzem resultados satisfatórios. Porém, em contextos específicos, elas geram</w:t>
      </w:r>
      <w:r>
        <w:t xml:space="preserve"> </w:t>
      </w:r>
      <w:r>
        <w:rPr>
          <w:b/>
          <w:bCs/>
        </w:rPr>
        <w:t xml:space="preserve">vieses</w:t>
      </w:r>
      <w:r>
        <w:t xml:space="preserve"> </w:t>
      </w:r>
      <w:r>
        <w:t xml:space="preserve">— desvios previsíveis em relação ao julgamento estatisticamente correto.</w:t>
      </w:r>
    </w:p>
    <w:p>
      <w:pPr>
        <w:pStyle w:val="BodyText"/>
      </w:pPr>
      <w:r>
        <w:t xml:space="preserve">O programa de pesquisa sobre heurísticas e vieses não surgiu do nada. Ele foi motivado por uma insatisfação profunda com o modelo do agente perfeitamente racional — o chamado</w:t>
      </w:r>
      <w:r>
        <w:t xml:space="preserve"> </w:t>
      </w:r>
      <w:r>
        <w:rPr>
          <w:i/>
          <w:iCs/>
        </w:rPr>
        <w:t xml:space="preserve">Homo economicus</w:t>
      </w:r>
      <w:r>
        <w:t xml:space="preserve"> </w:t>
      </w:r>
      <w:r>
        <w:t xml:space="preserve">— que dominava a teoria econômica no pós-guerra. Na psicologia, Herbert Simon havia cunhado o conceito de</w:t>
      </w:r>
      <w:r>
        <w:t xml:space="preserve"> </w:t>
      </w:r>
      <w:r>
        <w:rPr>
          <w:b/>
          <w:bCs/>
        </w:rPr>
        <w:t xml:space="preserve">racionalidade limitada</w:t>
      </w:r>
      <w:r>
        <w:t xml:space="preserve"> </w:t>
      </w:r>
      <w:r>
        <w:t xml:space="preserve">(</w:t>
      </w:r>
      <w:r>
        <w:rPr>
          <w:i/>
          <w:iCs/>
        </w:rPr>
        <w:t xml:space="preserve">bounded rationality</w:t>
      </w:r>
      <w:r>
        <w:t xml:space="preserve">) ainda nos anos 1950: os agentes não maximizam de forma global e irrestrita, mas se satisfazem com soluções</w:t>
      </w:r>
      <w:r>
        <w:t xml:space="preserve"> </w:t>
      </w:r>
      <w:r>
        <w:t xml:space="preserve">“suficientemente boas”</w:t>
      </w:r>
      <w:r>
        <w:t xml:space="preserve"> </w:t>
      </w:r>
      <w:r>
        <w:t xml:space="preserve">dada sua capacidade cognitiva finita. O trabalho de Tversky e Kahneman foi um passo adiante: identificou os mecanismos específicos pelos quais essa limitação se manifesta, transformando a racionalidade limitada de um princípio geral em um conjunto preciso de previsões testáveis.</w:t>
      </w:r>
    </w:p>
    <w:p>
      <w:pPr>
        <w:pStyle w:val="BlockText"/>
      </w:pPr>
      <w:r>
        <w:rPr>
          <w:b/>
          <w:bCs/>
        </w:rPr>
        <w:t xml:space="preserve">[ATENCAO] Erro Comum</w:t>
      </w:r>
    </w:p>
    <w:p>
      <w:pPr>
        <w:pStyle w:val="BlockText"/>
      </w:pPr>
      <w:r>
        <w:rPr>
          <w:b/>
          <w:bCs/>
        </w:rPr>
        <w:t xml:space="preserve">Equiparar</w:t>
      </w:r>
      <w:r>
        <w:rPr>
          <w:b/>
          <w:bCs/>
        </w:rPr>
        <w:t xml:space="preserve"> </w:t>
      </w:r>
      <w:r>
        <w:rPr>
          <w:b/>
          <w:bCs/>
        </w:rPr>
        <w:t xml:space="preserve">“viés cognitivo”</w:t>
      </w:r>
      <w:r>
        <w:rPr>
          <w:b/>
          <w:bCs/>
        </w:rPr>
        <w:t xml:space="preserve"> </w:t>
      </w:r>
      <w:r>
        <w:rPr>
          <w:b/>
          <w:bCs/>
        </w:rPr>
        <w:t xml:space="preserve">a</w:t>
      </w:r>
      <w:r>
        <w:rPr>
          <w:b/>
          <w:bCs/>
        </w:rPr>
        <w:t xml:space="preserve"> </w:t>
      </w:r>
      <w:r>
        <w:rPr>
          <w:b/>
          <w:bCs/>
        </w:rPr>
        <w:t xml:space="preserve">“irracionalidade”</w:t>
      </w:r>
      <w:r>
        <w:rPr>
          <w:b/>
          <w:bCs/>
        </w:rPr>
        <w:t xml:space="preserve">.</w:t>
      </w:r>
    </w:p>
    <w:p>
      <w:pPr>
        <w:pStyle w:val="BlockText"/>
      </w:pPr>
      <w:r>
        <w:t xml:space="preserve">A economia comportamental</w:t>
      </w:r>
      <w:r>
        <w:t xml:space="preserve"> </w:t>
      </w:r>
      <w:r>
        <w:rPr>
          <w:b/>
          <w:bCs/>
        </w:rPr>
        <w:t xml:space="preserve">não</w:t>
      </w:r>
      <w:r>
        <w:t xml:space="preserve"> </w:t>
      </w:r>
      <w:r>
        <w:t xml:space="preserve">afirma que os agentes são irracionais. Ela identifica</w:t>
      </w:r>
      <w:r>
        <w:t xml:space="preserve"> </w:t>
      </w:r>
      <w:r>
        <w:rPr>
          <w:b/>
          <w:bCs/>
        </w:rPr>
        <w:t xml:space="preserve">desvios sistemáticos</w:t>
      </w:r>
      <w:r>
        <w:t xml:space="preserve"> </w:t>
      </w:r>
      <w:r>
        <w:t xml:space="preserve">em relação ao modelo de racionalidade perfeita e propõe modelos alternativos que descrevem melhor o comportamento observado. Como observam Wilkinson e Klaes (2012, p. 17), os vieses cognitivos muitas vezes são subprodutos de heurísticas que funcionam bem na maioria das situações cotidianas — são atalhos adaptativos, não falhas de projeto.</w:t>
      </w:r>
    </w:p>
    <w:p>
      <w:pPr>
        <w:pStyle w:val="BlockText"/>
      </w:pPr>
      <w:r>
        <w:rPr>
          <w:b/>
          <w:bCs/>
        </w:rPr>
        <w:t xml:space="preserve">[DEFINICAO] Heurística</w:t>
      </w:r>
    </w:p>
    <w:p>
      <w:pPr>
        <w:pStyle w:val="BlockText"/>
      </w:pPr>
      <w:r>
        <w:t xml:space="preserve">Uma</w:t>
      </w:r>
      <w:r>
        <w:t xml:space="preserve"> </w:t>
      </w:r>
      <w:r>
        <w:rPr>
          <w:b/>
          <w:bCs/>
        </w:rPr>
        <w:t xml:space="preserve">heurística</w:t>
      </w:r>
      <w:r>
        <w:t xml:space="preserve"> </w:t>
      </w:r>
      <w:r>
        <w:t xml:space="preserve">é um atalho cognitivo que simplifica problemas complexos de julgamento e decisão, substituindo uma questão difícil por uma mais acessível. O termo foi popularizado por Tversky e Kahneman (1974), que identificaram três heurísticas fundamentais: representatividade, disponibilidade e ancoragem. Dhami (2016, p. 1377–1384) cataloga mais de uma dúzia de heurísticas adicionais documentadas nas décadas seguintes.</w:t>
      </w:r>
    </w:p>
    <w:bookmarkStart w:id="371" w:name="representatividade"/>
    <w:p>
      <w:pPr>
        <w:pStyle w:val="Heading4"/>
      </w:pPr>
      <w:r>
        <w:t xml:space="preserve">8.1.1 Representatividade</w:t>
      </w:r>
    </w:p>
    <w:p>
      <w:pPr>
        <w:pStyle w:val="FirstParagraph"/>
      </w:pPr>
      <w:r>
        <w:t xml:space="preserve">A heurística da</w:t>
      </w:r>
      <w:r>
        <w:t xml:space="preserve"> </w:t>
      </w:r>
      <w:r>
        <w:rPr>
          <w:b/>
          <w:bCs/>
        </w:rPr>
        <w:t xml:space="preserve">representatividade</w:t>
      </w:r>
      <w:r>
        <w:t xml:space="preserve"> </w:t>
      </w:r>
      <w:r>
        <w:t xml:space="preserve">consiste em julgar a probabilidade de um evento pela semelhança com um estereótipo ou categoria mental, ignorando informações estatísticas relevantes como a taxa base. O problema é que a semelhança e a probabilidade são conceitos radicalmente distintos: o fato de um indivíduo</w:t>
      </w:r>
      <w:r>
        <w:t xml:space="preserve"> </w:t>
      </w:r>
      <w:r>
        <w:t xml:space="preserve">“parecer”</w:t>
      </w:r>
      <w:r>
        <w:t xml:space="preserve"> </w:t>
      </w:r>
      <w:r>
        <w:t xml:space="preserve">com um médico não nos diz nada sobre quantos médicos existem no grupo em questão. Quando usamos a representatividade, substituímos uma pergunta difícil (</w:t>
      </w:r>
      <w:r>
        <w:t xml:space="preserve">“qual é a probabilidade de X?”</w:t>
      </w:r>
      <w:r>
        <w:t xml:space="preserve">) por uma mais fácil (</w:t>
      </w:r>
      <w:r>
        <w:t xml:space="preserve">“X se parece com um típico membro da categoria Y?”</w:t>
      </w:r>
      <w:r>
        <w:t xml:space="preserve">), e essa substituição produz erros sistemáticos.</w:t>
      </w:r>
    </w:p>
    <w:p>
      <w:pPr>
        <w:pStyle w:val="BlockText"/>
      </w:pPr>
      <w:r>
        <w:rPr>
          <w:b/>
          <w:bCs/>
        </w:rPr>
        <w:t xml:space="preserve">[EXEMPLO] O problema de Linda</w:t>
      </w:r>
    </w:p>
    <w:p>
      <w:pPr>
        <w:pStyle w:val="BlockText"/>
      </w:pPr>
      <w:r>
        <w:t xml:space="preserve">Linda tem 31 anos, é solteira, franca e muito inteligente. Na faculdade, foi ativista pelos direitos das minorias e participou de manifestações antinucleares. Qual das alternativas é mais provável?</w:t>
      </w:r>
    </w:p>
    <w:p>
      <w:pPr>
        <w:pStyle w:val="BlockText"/>
      </w:pPr>
      <w:r>
        <w:rPr>
          <w:b/>
          <w:bCs/>
        </w:rPr>
        <w:t xml:space="preserve">(A)</w:t>
      </w:r>
      <w:r>
        <w:t xml:space="preserve"> </w:t>
      </w:r>
      <w:r>
        <w:t xml:space="preserve">Linda é caixa de banco.</w:t>
      </w:r>
      <w:r>
        <w:t xml:space="preserve"> </w:t>
      </w:r>
      <w:r>
        <w:rPr>
          <w:b/>
          <w:bCs/>
        </w:rPr>
        <w:t xml:space="preserve">(B)</w:t>
      </w:r>
      <w:r>
        <w:t xml:space="preserve"> </w:t>
      </w:r>
      <w:r>
        <w:t xml:space="preserve">Linda é caixa de banco e ativista do movimento feminista.</w:t>
      </w:r>
    </w:p>
    <w:p>
      <w:pPr>
        <w:pStyle w:val="BlockText"/>
      </w:pPr>
      <w:r>
        <w:t xml:space="preserve">A maioria dos participantes escolhe (B) — mas isso viola a</w:t>
      </w:r>
      <w:r>
        <w:t xml:space="preserve"> </w:t>
      </w:r>
      <w:r>
        <w:rPr>
          <w:b/>
          <w:bCs/>
        </w:rPr>
        <w:t xml:space="preserve">regra da conjunção</w:t>
      </w:r>
      <w:r>
        <w:t xml:space="preserve">: a probabilidade de dois eventos simultâneos nunca pode exceder a de cada evento isolado, ou seja,</w:t>
      </w:r>
      <w:r>
        <w:t xml:space="preserve"> </w:t>
      </w:r>
      <m:oMath>
        <m:r>
          <m:t>P</m:t>
        </m:r>
        <m:r>
          <m:rPr>
            <m:sty m:val="p"/>
          </m:rPr>
          <m:t>(</m:t>
        </m:r>
        <m:r>
          <m:t>A</m:t>
        </m:r>
        <m:r>
          <m:rPr>
            <m:sty m:val="p"/>
          </m:rPr>
          <m:t>∩</m:t>
        </m:r>
        <m:r>
          <m:t>B</m:t>
        </m:r>
        <m:r>
          <m:rPr>
            <m:sty m:val="p"/>
          </m:rPr>
          <m:t>)</m:t>
        </m:r>
        <m:r>
          <m:rPr>
            <m:sty m:val="p"/>
          </m:rPr>
          <m:t>≤</m:t>
        </m:r>
        <m:r>
          <m:t>P</m:t>
        </m:r>
        <m:r>
          <m:rPr>
            <m:sty m:val="p"/>
          </m:rPr>
          <m:t>(</m:t>
        </m:r>
        <m:r>
          <m:t>A</m:t>
        </m:r>
        <m:r>
          <m:rPr>
            <m:sty m:val="p"/>
          </m:rPr>
          <m:t>)</m:t>
        </m:r>
      </m:oMath>
      <w:r>
        <w:t xml:space="preserve">. A descrição de Linda</w:t>
      </w:r>
      <w:r>
        <w:t xml:space="preserve"> </w:t>
      </w:r>
      <w:r>
        <w:t xml:space="preserve">“se parece”</w:t>
      </w:r>
      <w:r>
        <w:t xml:space="preserve"> </w:t>
      </w:r>
      <w:r>
        <w:t xml:space="preserve">mais com uma feminista, e essa semelhança (representatividade) domina o raciocínio probabilístico correto.</w:t>
      </w:r>
    </w:p>
    <w:p>
      <w:pPr>
        <w:pStyle w:val="FirstParagraph"/>
      </w:pPr>
      <w:r>
        <w:t xml:space="preserve">Uma consequência importante da representatividade é a</w:t>
      </w:r>
      <w:r>
        <w:t xml:space="preserve"> </w:t>
      </w:r>
      <w:r>
        <w:rPr>
          <w:b/>
          <w:bCs/>
        </w:rPr>
        <w:t xml:space="preserve">lei dos pequenos números</w:t>
      </w:r>
      <w:r>
        <w:t xml:space="preserve">: a crença de que amostras pequenas devem refletir as propriedades de amostras grandes (Dhami 2016, p. 1385–1395). Essa crença alimenta a</w:t>
      </w:r>
      <w:r>
        <w:t xml:space="preserve"> </w:t>
      </w:r>
      <w:r>
        <w:rPr>
          <w:b/>
          <w:bCs/>
        </w:rPr>
        <w:t xml:space="preserve">falácia do jogador</w:t>
      </w:r>
      <w:r>
        <w:t xml:space="preserve"> </w:t>
      </w:r>
      <w:r>
        <w:t xml:space="preserve">— a expectativa de que, após uma sequência de resultados iguais (por exemplo, cinco</w:t>
      </w:r>
      <w:r>
        <w:t xml:space="preserve"> </w:t>
      </w:r>
      <w:r>
        <w:t xml:space="preserve">“caras”</w:t>
      </w:r>
      <w:r>
        <w:t xml:space="preserve"> </w:t>
      </w:r>
      <w:r>
        <w:t xml:space="preserve">seguidas), o resultado oposto se torne mais provável, mesmo quando os eventos são independentes. A mesma lógica aparece nas finanças: analistas que observam três trimestres consecutivos de lucro crescente tendem a extrapolar essa tendência para o futuro, ignorando a regressão à média e superestimando a persistência dos resultados.</w:t>
      </w:r>
    </w:p>
    <w:p>
      <w:pPr>
        <w:pStyle w:val="BodyText"/>
      </w:pPr>
      <w:r>
        <w:t xml:space="preserve">A</w:t>
      </w:r>
      <w:r>
        <w:t xml:space="preserve"> </w:t>
      </w:r>
      <w:r>
        <w:rPr>
          <w:b/>
          <w:bCs/>
        </w:rPr>
        <w:t xml:space="preserve">negligência da taxa base</w:t>
      </w:r>
      <w:r>
        <w:t xml:space="preserve"> </w:t>
      </w:r>
      <w:r>
        <w:t xml:space="preserve">(</w:t>
      </w:r>
      <w:r>
        <w:rPr>
          <w:i/>
          <w:iCs/>
        </w:rPr>
        <w:t xml:space="preserve">base rate neglect</w:t>
      </w:r>
      <w:r>
        <w:t xml:space="preserve">) é outra manifestação da representatividade com implicações econômicas diretas. Ao avaliar a probabilidade de sucesso de uma nova empresa, investidores tendem a focar nas características específicas do empreendimento — a qualidade do fundador, a clareza do plano de negócios, o nicho de mercado —, negligenciando a taxa base de falência de startups no setor (frequentemente superior a 80% nos primeiros cinco anos). Kahneman chamou isso de o</w:t>
      </w:r>
      <w:r>
        <w:t xml:space="preserve"> </w:t>
      </w:r>
      <w:r>
        <w:rPr>
          <w:b/>
          <w:bCs/>
        </w:rPr>
        <w:t xml:space="preserve">inside view</w:t>
      </w:r>
      <w:r>
        <w:t xml:space="preserve"> </w:t>
      </w:r>
      <w:r>
        <w:t xml:space="preserve">versus o</w:t>
      </w:r>
      <w:r>
        <w:t xml:space="preserve"> </w:t>
      </w:r>
      <w:r>
        <w:rPr>
          <w:b/>
          <w:bCs/>
        </w:rPr>
        <w:t xml:space="preserve">outside view</w:t>
      </w:r>
      <w:r>
        <w:t xml:space="preserve">: quem está de dentro do projeto superestima suas chances porque foca nos detalhes representativos, enquanto uma perspectiva externa privilegia as taxas base históricas.</w:t>
      </w:r>
    </w:p>
    <w:bookmarkEnd w:id="371"/>
    <w:bookmarkStart w:id="372" w:name="disponibilidade"/>
    <w:p>
      <w:pPr>
        <w:pStyle w:val="Heading4"/>
      </w:pPr>
      <w:r>
        <w:t xml:space="preserve">8.1.2 Disponibilidade</w:t>
      </w:r>
    </w:p>
    <w:p>
      <w:pPr>
        <w:pStyle w:val="FirstParagraph"/>
      </w:pPr>
      <w:r>
        <w:t xml:space="preserve">Se a representatividade nos engana pela semelhança, a próxima heurística nos engana pela facilidade de recordação. A heurística da</w:t>
      </w:r>
      <w:r>
        <w:t xml:space="preserve"> </w:t>
      </w:r>
      <w:r>
        <w:rPr>
          <w:b/>
          <w:bCs/>
        </w:rPr>
        <w:t xml:space="preserve">disponibilidade</w:t>
      </w:r>
      <w:r>
        <w:t xml:space="preserve"> </w:t>
      </w:r>
      <w:r>
        <w:t xml:space="preserve">consiste em estimar a frequência ou probabilidade de um evento pela facilidade com que exemplos vêm à mente. Eventos vívidos, recentes ou emocionalmente carregados são superestimados; eventos abstratos ou distantes, subestimados. A disponibilidade é uma heurística razoável em muitos contextos: se consigo lembrar facilmente de muitos casos de uma doença específica, provavelmente é porque ela é de fato frequente. O problema surge quando a disponibilidade é dissociada da frequência real — quando eventos raros, mas espetaculares, são lembrados com muito mais facilidade do que eventos comuns, mas prosaicos.</w:t>
      </w:r>
    </w:p>
    <w:p>
      <w:pPr>
        <w:pStyle w:val="BodyText"/>
      </w:pPr>
      <w:r>
        <w:t xml:space="preserve">A mídia tem um papel amplificador crucial aqui. A cobertura intensiva de acidentes aéreos, ataques terroristas ou crimes violentos aumenta artificialmente a</w:t>
      </w:r>
      <w:r>
        <w:t xml:space="preserve"> </w:t>
      </w:r>
      <w:r>
        <w:t xml:space="preserve">“disponibilidade cognitiva”</w:t>
      </w:r>
      <w:r>
        <w:t xml:space="preserve"> </w:t>
      </w:r>
      <w:r>
        <w:t xml:space="preserve">desses eventos, levando à superestimação de sua frequência. Pesquisas de percepção de risco realizadas no Brasil mostram que os entrevistados consistentemente superestimam a probabilidade de morte por homicídio em relação à de doenças cardiovasculares — o inverso do que as estatísticas do SUS revelam. A morte por doença é silenciosa e estatística; a morte por violência é noticiada e memorável.</w:t>
      </w:r>
    </w:p>
    <w:p>
      <w:pPr>
        <w:pStyle w:val="BlockText"/>
      </w:pPr>
      <w:r>
        <w:rPr>
          <w:b/>
          <w:bCs/>
        </w:rPr>
        <w:t xml:space="preserve">[EXEMPLO] Risco de avião vs. carro</w:t>
      </w:r>
    </w:p>
    <w:p>
      <w:pPr>
        <w:pStyle w:val="BlockText"/>
      </w:pPr>
      <w:r>
        <w:t xml:space="preserve">Após um acidente aéreo amplamente noticiado, a percepção de risco de voar aumenta significativamente — mesmo que, estatisticamente, o transporte aéreo seja muito mais seguro por quilômetro percorrido do que o rodoviário. No Brasil, os dados da ANTT e da ANAC indicam que a taxa de fatalidade por passageiro-quilômetro no transporte rodoviário é dezenas de vezes superior à do transporte aéreo. A cobertura midiática intensa de acidentes aéreos torna esses eventos cognitivamente</w:t>
      </w:r>
      <w:r>
        <w:t xml:space="preserve"> </w:t>
      </w:r>
      <w:r>
        <w:t xml:space="preserve">“disponíveis”</w:t>
      </w:r>
      <w:r>
        <w:t xml:space="preserve">, distorcendo a avaliação de risco.</w:t>
      </w:r>
    </w:p>
    <w:bookmarkEnd w:id="372"/>
    <w:bookmarkStart w:id="373" w:name="ancoragem"/>
    <w:p>
      <w:pPr>
        <w:pStyle w:val="Heading4"/>
      </w:pPr>
      <w:r>
        <w:t xml:space="preserve">8.1.3 Ancoragem</w:t>
      </w:r>
    </w:p>
    <w:p>
      <w:pPr>
        <w:pStyle w:val="FirstParagraph"/>
      </w:pPr>
      <w:r>
        <w:t xml:space="preserve">Enquanto representatividade e disponibilidade distorcem o</w:t>
      </w:r>
      <w:r>
        <w:t xml:space="preserve"> </w:t>
      </w:r>
      <w:r>
        <w:rPr>
          <w:i/>
          <w:iCs/>
        </w:rPr>
        <w:t xml:space="preserve">conteúdo</w:t>
      </w:r>
      <w:r>
        <w:t xml:space="preserve"> </w:t>
      </w:r>
      <w:r>
        <w:t xml:space="preserve">do julgamento, a ancoragem distorce o</w:t>
      </w:r>
      <w:r>
        <w:t xml:space="preserve"> </w:t>
      </w:r>
      <w:r>
        <w:rPr>
          <w:i/>
          <w:iCs/>
        </w:rPr>
        <w:t xml:space="preserve">processo</w:t>
      </w:r>
      <w:r>
        <w:t xml:space="preserve"> </w:t>
      </w:r>
      <w:r>
        <w:t xml:space="preserve">de estimação — mostrando que até números completamente irrelevantes podem exercer influência sobre nossas avaliações.</w:t>
      </w:r>
    </w:p>
    <w:p>
      <w:pPr>
        <w:pStyle w:val="BodyText"/>
      </w:pPr>
      <w:r>
        <w:t xml:space="preserve">A</w:t>
      </w:r>
      <w:r>
        <w:t xml:space="preserve"> </w:t>
      </w:r>
      <w:r>
        <w:rPr>
          <w:b/>
          <w:bCs/>
        </w:rPr>
        <w:t xml:space="preserve">ancoragem</w:t>
      </w:r>
      <w:r>
        <w:t xml:space="preserve"> </w:t>
      </w:r>
      <w:r>
        <w:t xml:space="preserve">ocorre quando um valor inicial — mesmo que arbitrário e irrelevante — influencia sistematicamente a estimativa final de uma quantidade desconhecida.</w:t>
      </w:r>
    </w:p>
    <w:p>
      <w:pPr>
        <w:pStyle w:val="BlockText"/>
      </w:pPr>
      <w:r>
        <w:rPr>
          <w:b/>
          <w:bCs/>
        </w:rPr>
        <w:t xml:space="preserve">[EXEMPLO] O experimento da roda da fortuna</w:t>
      </w:r>
    </w:p>
    <w:p>
      <w:pPr>
        <w:pStyle w:val="BlockText"/>
      </w:pPr>
      <w:r>
        <w:t xml:space="preserve">Tversky e Kahneman (1974) pediram a participantes que estimassem a porcentagem de países africanos nas Nações Unidas. Antes de responder, cada participante girava uma roda da fortuna que parava em um número aleatório (10 ou 65). Os participantes que viram o número 10 estimaram, em média, 25%; os que viram 65 estimaram 45%. O número da roda — completamente irrelevante para a questão — funcionou como</w:t>
      </w:r>
      <w:r>
        <w:t xml:space="preserve"> </w:t>
      </w:r>
      <w:r>
        <w:rPr>
          <w:b/>
          <w:bCs/>
        </w:rPr>
        <w:t xml:space="preserve">âncora</w:t>
      </w:r>
      <w:r>
        <w:t xml:space="preserve">, puxando as estimativas em sua direção.</w:t>
      </w:r>
    </w:p>
    <w:p>
      <w:pPr>
        <w:pStyle w:val="FirstParagraph"/>
      </w:pPr>
      <w:r>
        <w:t xml:space="preserve">A ancoragem tem implicações importantes para a economia: negociações salariais, precificação de imóveis e até decisões judiciais são influenciadas por valores-âncora iniciais. Estudos mostram que o preço de listagem de um imóvel funciona como âncora mesmo para avaliadores profissionais (Northcraft e Neale 1987). No contexto de negociações contratuais, quem faz a primeira oferta frequentemente captura uma parcela maior do excedente — não porque a primeira oferta seja mais informativa, mas porque serve de âncora para o processo de ajuste subsequente. Para o economista comportamental, isso implica que a distribuição de poder em uma negociação pode depender de quem</w:t>
      </w:r>
      <w:r>
        <w:t xml:space="preserve"> </w:t>
      </w:r>
      <w:r>
        <w:t xml:space="preserve">“lança a âncora”</w:t>
      </w:r>
      <w:r>
        <w:t xml:space="preserve">, mais do que das posições de reserva objetivas das partes.</w:t>
      </w:r>
    </w:p>
    <w:p>
      <w:pPr>
        <w:pStyle w:val="BlockText"/>
      </w:pPr>
      <w:r>
        <w:rPr>
          <w:b/>
          <w:bCs/>
        </w:rPr>
        <w:t xml:space="preserve">[INTUICAO ECONOMICA] Intuição Econômica</w:t>
      </w:r>
    </w:p>
    <w:p>
      <w:pPr>
        <w:pStyle w:val="BlockText"/>
      </w:pPr>
      <w:r>
        <w:rPr>
          <w:b/>
          <w:bCs/>
        </w:rPr>
        <w:t xml:space="preserve">Em uma frase:</w:t>
      </w:r>
      <w:r>
        <w:t xml:space="preserve"> </w:t>
      </w:r>
      <w:r>
        <w:t xml:space="preserve">Heurísticas são atalhos mentais que evoluíram para funcionar bem em ambientes naturais — o problema surge quando os aplicamos a contextos modernos para os quais não foram calibrados.</w:t>
      </w:r>
    </w:p>
    <w:p>
      <w:pPr>
        <w:pStyle w:val="BlockText"/>
      </w:pPr>
      <w:r>
        <w:rPr>
          <w:b/>
          <w:bCs/>
        </w:rPr>
        <w:t xml:space="preserve">Pense assim:</w:t>
      </w:r>
      <w:r>
        <w:t xml:space="preserve"> </w:t>
      </w:r>
      <w:r>
        <w:t xml:space="preserve">Nosso cérebro foi</w:t>
      </w:r>
      <w:r>
        <w:t xml:space="preserve"> </w:t>
      </w:r>
      <w:r>
        <w:t xml:space="preserve">“programado”</w:t>
      </w:r>
      <w:r>
        <w:t xml:space="preserve"> </w:t>
      </w:r>
      <w:r>
        <w:t xml:space="preserve">na savana africana, onde decidir rápido (fugir do leão) valia mais do que decidir com precisão. Essas mesmas regras de bolso — julgar pela semelhança, pelo que vem fácil à mente, pelo primeiro número que aparece — podem nos enganar quando avaliamos um investimento ou votamos numa política pública.</w:t>
      </w:r>
    </w:p>
    <w:p>
      <w:pPr>
        <w:pStyle w:val="BlockText"/>
      </w:pPr>
      <w:r>
        <w:rPr>
          <w:b/>
          <w:bCs/>
        </w:rPr>
        <w:t xml:space="preserve">Por que isso importa:</w:t>
      </w:r>
      <w:r>
        <w:t xml:space="preserve"> </w:t>
      </w:r>
      <w:r>
        <w:t xml:space="preserve">Reconhecer as heurísticas permite desenhar políticas públicas que</w:t>
      </w:r>
      <w:r>
        <w:t xml:space="preserve"> </w:t>
      </w:r>
      <w:r>
        <w:t xml:space="preserve">“desenviesam”</w:t>
      </w:r>
      <w:r>
        <w:t xml:space="preserve"> </w:t>
      </w:r>
      <w:r>
        <w:t xml:space="preserve">decisões — os famosos</w:t>
      </w:r>
      <w:r>
        <w:t xml:space="preserve"> </w:t>
      </w:r>
      <w:r>
        <w:rPr>
          <w:i/>
          <w:iCs/>
        </w:rPr>
        <w:t xml:space="preserve">nudges</w:t>
      </w:r>
      <w:r>
        <w:t xml:space="preserve"> </w:t>
      </w:r>
      <w:r>
        <w:t xml:space="preserve">— em vez de presumir que basta dar informação para que as pessoas escolham bem.</w:t>
      </w:r>
    </w:p>
    <w:bookmarkEnd w:id="373"/>
    <w:bookmarkStart w:id="374" w:name="excesso-de-confiança"/>
    <w:p>
      <w:pPr>
        <w:pStyle w:val="Heading4"/>
      </w:pPr>
      <w:r>
        <w:t xml:space="preserve">8.1.4 Excesso de confiança</w:t>
      </w:r>
    </w:p>
    <w:p>
      <w:pPr>
        <w:pStyle w:val="FirstParagraph"/>
      </w:pPr>
      <w:r>
        <w:t xml:space="preserve">As heurísticas anteriores se referem a distorções no julgamento sobre eventos externos. Mas os agentes também cometem erros sistemáticos na avaliação de suas próprias capacidades e conhecimentos. O</w:t>
      </w:r>
      <w:r>
        <w:t xml:space="preserve"> </w:t>
      </w:r>
      <w:r>
        <w:rPr>
          <w:b/>
          <w:bCs/>
        </w:rPr>
        <w:t xml:space="preserve">excesso de confiança</w:t>
      </w:r>
      <w:r>
        <w:t xml:space="preserve"> </w:t>
      </w:r>
      <w:r>
        <w:t xml:space="preserve">(</w:t>
      </w:r>
      <w:r>
        <w:rPr>
          <w:i/>
          <w:iCs/>
        </w:rPr>
        <w:t xml:space="preserve">overconfidence</w:t>
      </w:r>
      <w:r>
        <w:t xml:space="preserve">) manifesta-se de várias formas: superestimação das próprias habilidades, calibração inadequada de intervalos de confiança e a ilusão de controle sobre eventos aleatórios. Quando perguntados, a maioria dos motoristas se declara</w:t>
      </w:r>
      <w:r>
        <w:t xml:space="preserve"> </w:t>
      </w:r>
      <w:r>
        <w:t xml:space="preserve">“acima da média”</w:t>
      </w:r>
      <w:r>
        <w:t xml:space="preserve"> </w:t>
      </w:r>
      <w:r>
        <w:t xml:space="preserve">— uma impossibilidade estatística. Investidores excessivamente confiantes tendem a negociar com frequência excessiva, reduzindo seus retornos líquidos (Barber e Odean 2001).</w:t>
      </w:r>
    </w:p>
    <w:p>
      <w:pPr>
        <w:pStyle w:val="BlockText"/>
      </w:pPr>
      <w:r>
        <w:rPr>
          <w:b/>
          <w:bCs/>
        </w:rPr>
        <w:t xml:space="preserve">[BOX BRASIL] Box Brasil 8.1: Efeito disposição na B3</w:t>
      </w:r>
    </w:p>
    <w:p>
      <w:pPr>
        <w:pStyle w:val="BlockText"/>
      </w:pPr>
      <w:r>
        <w:t xml:space="preserve">O</w:t>
      </w:r>
      <w:r>
        <w:t xml:space="preserve"> </w:t>
      </w:r>
      <w:r>
        <w:rPr>
          <w:b/>
          <w:bCs/>
        </w:rPr>
        <w:t xml:space="preserve">efeito disposição</w:t>
      </w:r>
      <w:r>
        <w:t xml:space="preserve"> </w:t>
      </w:r>
      <w:r>
        <w:t xml:space="preserve">— a tendência a vender ações vencedoras cedo demais e manter ações perdedoras por tempo demais — é uma manifestação conjunta de aversão à perda e excesso de confiança. Estudos com dados de investidores pessoa física na B3 (antiga BM&amp;FBovespa) documentam esse padrão de forma robusta. Estudos empíricos usando dados de corretoras brasileiras encontraram que investidores individuais realizam ganhos com frequência significativamente maior do que realizam perdas. Esse comportamento é custoso: as ações vendidas (vencedoras) tendem a ter desempenho futuro superior ao das ações mantidas (perdedoras), gerando retornos líquidos menores para o investidor.</w:t>
      </w:r>
    </w:p>
    <w:bookmarkEnd w:id="374"/>
    <w:bookmarkStart w:id="375" w:name="X142c6f0431ab30db80dfe9cac5d5936b484f7b5"/>
    <w:p>
      <w:pPr>
        <w:pStyle w:val="Heading4"/>
      </w:pPr>
      <w:r>
        <w:t xml:space="preserve">8.1.5 Sistema 1 e Sistema 2: a arquitetura dual do pensamento</w:t>
      </w:r>
    </w:p>
    <w:p>
      <w:pPr>
        <w:pStyle w:val="FirstParagraph"/>
      </w:pPr>
      <w:r>
        <w:t xml:space="preserve">Todas as heurísticas e vieses documentados acima levantam uma questão natural: por que agentes inteligentes cometem erros tão previsíveis? A resposta reside na própria arquitetura do pensamento humano. Kahneman (2011) sintetizou décadas de pesquisa sobre heurísticas em um modelo de</w:t>
      </w:r>
      <w:r>
        <w:t xml:space="preserve"> </w:t>
      </w:r>
      <w:r>
        <w:rPr>
          <w:b/>
          <w:bCs/>
        </w:rPr>
        <w:t xml:space="preserve">dois sistemas</w:t>
      </w:r>
      <w:r>
        <w:t xml:space="preserve"> </w:t>
      </w:r>
      <w:r>
        <w:t xml:space="preserve">cognitivos:</w:t>
      </w:r>
    </w:p>
    <w:p>
      <w:pPr>
        <w:pStyle w:val="Compact"/>
        <w:numPr>
          <w:ilvl w:val="0"/>
          <w:numId w:val="1385"/>
        </w:numPr>
      </w:pPr>
      <w:r>
        <w:rPr>
          <w:b/>
          <w:bCs/>
        </w:rPr>
        <w:t xml:space="preserve">Sistema 1:</w:t>
      </w:r>
      <w:r>
        <w:t xml:space="preserve"> </w:t>
      </w:r>
      <w:r>
        <w:t xml:space="preserve">rápido, automático, intuitivo, de baixo esforço. Opera por associação e reconhecimento de padrões. É responsável pelas heurísticas e por grande parte das decisões cotidianas.</w:t>
      </w:r>
    </w:p>
    <w:p>
      <w:pPr>
        <w:pStyle w:val="Compact"/>
        <w:numPr>
          <w:ilvl w:val="0"/>
          <w:numId w:val="1385"/>
        </w:numPr>
      </w:pPr>
      <w:r>
        <w:rPr>
          <w:b/>
          <w:bCs/>
        </w:rPr>
        <w:t xml:space="preserve">Sistema 2:</w:t>
      </w:r>
      <w:r>
        <w:t xml:space="preserve"> </w:t>
      </w:r>
      <w:r>
        <w:t xml:space="preserve">lento, deliberado, analítico, de alto esforço. Requer atenção consciente e é acionado quando o Sistema 1 encontra uma situação inesperada ou quando precisamos fazer cálculos explícitos.</w:t>
      </w:r>
    </w:p>
    <w:p>
      <w:pPr>
        <w:pStyle w:val="FirstParagraph"/>
      </w:pPr>
      <w:r>
        <w:t xml:space="preserve">Os vieses cognitivos documentados nas subseções anteriores surgem quando o Sistema 1 fornece uma resposta rápida (baseada em representatividade, disponibilidade ou ancoragem) e o Sistema 2 — por preguiça, sobrecarga ou falta de treinamento — não a corrige. Dhami (2016, p. 1433–1441) discute como essa arquitetura dual se conecta à distinção entre raciocínio heurístico e raciocínio deliberativo na psicologia cognitiva.</w:t>
      </w:r>
    </w:p>
    <w:p>
      <w:pPr>
        <w:pStyle w:val="BodyText"/>
      </w:pPr>
      <w:r>
        <w:t xml:space="preserve">Uma implicação importante é que os dois sistemas podem entrar em conflito. Kahneman documentou esse fenômeno com o famoso</w:t>
      </w:r>
      <w:r>
        <w:t xml:space="preserve"> </w:t>
      </w:r>
      <w:r>
        <w:t xml:space="preserve">“teste do morcego e da bola”</w:t>
      </w:r>
      <w:r>
        <w:t xml:space="preserve">:</w:t>
      </w:r>
      <w:r>
        <w:t xml:space="preserve"> </w:t>
      </w:r>
      <w:r>
        <w:t xml:space="preserve">“Um morcego e uma bola juntos custam R$ 1,10. O morcego custa R$ 1,00 a mais que a bola. Quanto custa a bola?”</w:t>
      </w:r>
      <w:r>
        <w:t xml:space="preserve"> </w:t>
      </w:r>
      <w:r>
        <w:t xml:space="preserve">O Sistema 1 dispara imediatamente a resposta</w:t>
      </w:r>
      <w:r>
        <w:t xml:space="preserve"> </w:t>
      </w:r>
      <w:r>
        <w:t xml:space="preserve">“10 centavos”</w:t>
      </w:r>
      <w:r>
        <w:t xml:space="preserve"> </w:t>
      </w:r>
      <w:r>
        <w:t xml:space="preserve">— que está errada. A resposta correta é 5 centavos, e exige que o Sistema 2</w:t>
      </w:r>
      <w:r>
        <w:t xml:space="preserve"> </w:t>
      </w:r>
      <w:r>
        <w:t xml:space="preserve">“freie”</w:t>
      </w:r>
      <w:r>
        <w:t xml:space="preserve"> </w:t>
      </w:r>
      <w:r>
        <w:t xml:space="preserve">a intuição e faça o cálculo explícito. O fato de que universitários de instituições de prestígio erram esse problema com alta frequência demonstra que a intervenção do Sistema 2 não é automática nem garantida — requer esforço deliberado e motivação para questionar a própria intuição.</w:t>
      </w:r>
    </w:p>
    <w:p>
      <w:pPr>
        <w:pStyle w:val="BodyText"/>
      </w:pPr>
      <w:r>
        <w:t xml:space="preserve">Para a teoria econômica, o modelo dual tem uma implicação metodológica profunda: os agentes se comportam de maneira diferente dependendo de</w:t>
      </w:r>
      <w:r>
        <w:t xml:space="preserve"> </w:t>
      </w:r>
      <w:r>
        <w:rPr>
          <w:i/>
          <w:iCs/>
        </w:rPr>
        <w:t xml:space="preserve">qual sistema está no comando</w:t>
      </w:r>
      <w:r>
        <w:t xml:space="preserve">. Em ambientes de alta pressão de tempo, baixa motivação ou sobrecarga cognitiva, o Sistema 1 domina e os vieses são maximizados. Em ambientes de reflexão calma e baixa sobrecarga, o Sistema 2 pode corrigir as respostas intuitivas. Isso significa que o contexto da decisão — o</w:t>
      </w:r>
      <w:r>
        <w:t xml:space="preserve"> </w:t>
      </w:r>
      <w:r>
        <w:t xml:space="preserve">“ambiente de escolha”</w:t>
      </w:r>
      <w:r>
        <w:t xml:space="preserve"> </w:t>
      </w:r>
      <w:r>
        <w:t xml:space="preserve">— afeta sistematicamente o comportamento, independentemente das preferências subjacentes do agente. Essa é a fundação teórica dos nudges discutidos na Seção 8.6: ao redesenhar o ambiente de escolha, o arquiteto pode acionar o Sistema 2 nos momentos em que isso mais importa — ou, alternativamente, usar o Sistema 1 a favor de melhores decisões.</w:t>
      </w:r>
    </w:p>
    <w:p>
      <w:pPr>
        <w:pStyle w:val="BlockText"/>
      </w:pPr>
      <w:r>
        <w:rPr>
          <w:b/>
          <w:bCs/>
        </w:rPr>
        <w:t xml:space="preserve">[INTUICAO ECONOMICA] Intuição Econômica</w:t>
      </w:r>
    </w:p>
    <w:p>
      <w:pPr>
        <w:pStyle w:val="BlockText"/>
      </w:pPr>
      <w:r>
        <w:rPr>
          <w:b/>
          <w:bCs/>
        </w:rPr>
        <w:t xml:space="preserve">Em uma frase:</w:t>
      </w:r>
      <w:r>
        <w:t xml:space="preserve"> </w:t>
      </w:r>
      <w:r>
        <w:t xml:space="preserve">“Pensar devagar”</w:t>
      </w:r>
      <w:r>
        <w:t xml:space="preserve"> </w:t>
      </w:r>
      <w:r>
        <w:t xml:space="preserve">(Sistema 2) corrige os erros do</w:t>
      </w:r>
      <w:r>
        <w:t xml:space="preserve"> </w:t>
      </w:r>
      <w:r>
        <w:t xml:space="preserve">“pensar rápido”</w:t>
      </w:r>
      <w:r>
        <w:t xml:space="preserve"> </w:t>
      </w:r>
      <w:r>
        <w:t xml:space="preserve">(Sistema 1) — mas exige esforço, e esse esforço frequentemente não vale o custo percebido.</w:t>
      </w:r>
    </w:p>
    <w:p>
      <w:pPr>
        <w:pStyle w:val="BlockText"/>
      </w:pPr>
      <w:r>
        <w:rPr>
          <w:b/>
          <w:bCs/>
        </w:rPr>
        <w:t xml:space="preserve">Pense assim:</w:t>
      </w:r>
      <w:r>
        <w:t xml:space="preserve"> </w:t>
      </w:r>
      <w:r>
        <w:t xml:space="preserve">Quando você compra algo por impulso no checkout do supermercado, é o Sistema 1 que decide — rápido, baseado no que está visível e no que parece familiar. Se você para, pega o celular e compara preços, o Sistema 2 assumiu o controle. Supermercados, lojas de conveniência e marketplaces digitais são projetados para manter o Sistema 1 no comando: displays chamativos, promoções relâmpago e botões</w:t>
      </w:r>
      <w:r>
        <w:t xml:space="preserve"> </w:t>
      </w:r>
      <w:r>
        <w:t xml:space="preserve">“comprar agora”</w:t>
      </w:r>
      <w:r>
        <w:t xml:space="preserve"> </w:t>
      </w:r>
      <w:r>
        <w:t xml:space="preserve">exploram o pensamento automático.</w:t>
      </w:r>
    </w:p>
    <w:p>
      <w:pPr>
        <w:pStyle w:val="BlockText"/>
      </w:pPr>
      <w:r>
        <w:rPr>
          <w:b/>
          <w:bCs/>
        </w:rPr>
        <w:t xml:space="preserve">Por que isso importa:</w:t>
      </w:r>
      <w:r>
        <w:t xml:space="preserve"> </w:t>
      </w:r>
      <w:r>
        <w:t xml:space="preserve">Políticas de rotulagem, advertências de saúde e formulários de consentimento informado tentam, com frequência, acionar o Sistema 2 antes de uma decisão importante. Mas a eficácia dessas intervenções depende de quanto esforço o agente médio está disposto a despender — e a evidência sugere que esse esforço é sistematicamente subestimado pelos policymakers.</w:t>
      </w:r>
    </w:p>
    <w:p>
      <w:pPr>
        <w:pStyle w:val="BlockText"/>
      </w:pPr>
      <w:r>
        <w:rPr>
          <w:b/>
          <w:bCs/>
        </w:rPr>
        <w:t xml:space="preserve">[INTUICAO ECONOMICA] Intuição Econômica</w:t>
      </w:r>
    </w:p>
    <w:p>
      <w:pPr>
        <w:pStyle w:val="BlockText"/>
      </w:pPr>
      <w:r>
        <w:rPr>
          <w:b/>
          <w:bCs/>
        </w:rPr>
        <w:t xml:space="preserve">Em uma frase:</w:t>
      </w:r>
      <w:r>
        <w:t xml:space="preserve"> </w:t>
      </w:r>
      <w:r>
        <w:t xml:space="preserve">O cérebro opera em dois modos — um rápido e automático (Sistema 1) e outro lento e deliberado (Sistema 2) — e a maioria das decisões econômicas do dia a dia usa o primeiro.</w:t>
      </w:r>
    </w:p>
    <w:p>
      <w:pPr>
        <w:pStyle w:val="BlockText"/>
      </w:pPr>
      <w:r>
        <w:rPr>
          <w:b/>
          <w:bCs/>
        </w:rPr>
        <w:t xml:space="preserve">Pense assim:</w:t>
      </w:r>
      <w:r>
        <w:t xml:space="preserve"> </w:t>
      </w:r>
      <w:r>
        <w:t xml:space="preserve">Um contador experiente calcula um desconto composto quase</w:t>
      </w:r>
      <w:r>
        <w:t xml:space="preserve"> </w:t>
      </w:r>
      <w:r>
        <w:t xml:space="preserve">“no automático”</w:t>
      </w:r>
      <w:r>
        <w:t xml:space="preserve"> </w:t>
      </w:r>
      <w:r>
        <w:t xml:space="preserve">(Sistema 1 treinado), enquanto um iniciante precisa de papel e caneta (Sistema 2). A expertise transforma raciocínio deliberado em heurística eficiente — mas também cria</w:t>
      </w:r>
      <w:r>
        <w:t xml:space="preserve"> </w:t>
      </w:r>
      <w:r>
        <w:t xml:space="preserve">“pontos cegos”</w:t>
      </w:r>
      <w:r>
        <w:t xml:space="preserve"> </w:t>
      </w:r>
      <w:r>
        <w:t xml:space="preserve">quando as condições mudam.</w:t>
      </w:r>
    </w:p>
    <w:p>
      <w:pPr>
        <w:pStyle w:val="BlockText"/>
      </w:pPr>
      <w:r>
        <w:rPr>
          <w:b/>
          <w:bCs/>
        </w:rPr>
        <w:t xml:space="preserve">Por que isso importa:</w:t>
      </w:r>
      <w:r>
        <w:t xml:space="preserve"> </w:t>
      </w:r>
      <w:r>
        <w:t xml:space="preserve">Se a maioria das decisões de consumo, poupança e investimento passa pelo Sistema 1, modelos que assumem otimização deliberada e completa podem errar sistematicamente nas previsões.</w:t>
      </w:r>
    </w:p>
    <w:p>
      <w:pPr>
        <w:pStyle w:val="FirstParagraph"/>
      </w:pPr>
      <w:r>
        <w:t xml:space="preserve">A</w:t>
      </w:r>
      <w:r>
        <w:t xml:space="preserve"> </w:t>
      </w:r>
      <w:hyperlink w:anchor="tabela-8-1">
        <w:r>
          <w:rPr>
            <w:rStyle w:val="Hyperlink"/>
          </w:rPr>
          <w:t xml:space="preserve">Tabela 8.1</w:t>
        </w:r>
      </w:hyperlink>
      <w:r>
        <w:t xml:space="preserve"> </w:t>
      </w:r>
      <w:r>
        <w:t xml:space="preserve">resume as principais heurísticas e seus vieses associados: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Heurística</w:t>
            </w:r>
          </w:p>
        </w:tc>
        <w:tc>
          <w:tcPr/>
          <w:p>
            <w:pPr>
              <w:pStyle w:val="Compact"/>
            </w:pPr>
            <w:r>
              <w:t xml:space="preserve">Viés principal</w:t>
            </w:r>
          </w:p>
        </w:tc>
        <w:tc>
          <w:tcPr/>
          <w:p>
            <w:pPr>
              <w:pStyle w:val="Compact"/>
            </w:pPr>
            <w:r>
              <w:t xml:space="preserve">Experimento clássico</w:t>
            </w:r>
          </w:p>
        </w:tc>
        <w:tc>
          <w:tcPr/>
          <w:p>
            <w:pPr>
              <w:pStyle w:val="Compact"/>
            </w:pPr>
            <w:r>
              <w:t xml:space="preserve">Referência</w:t>
            </w:r>
          </w:p>
        </w:tc>
      </w:tr>
      <w:tr>
        <w:tc>
          <w:tcPr/>
          <w:p>
            <w:pPr>
              <w:pStyle w:val="Compact"/>
            </w:pPr>
            <w:r>
              <w:t xml:space="preserve">Representatividade</w:t>
            </w:r>
          </w:p>
        </w:tc>
        <w:tc>
          <w:tcPr/>
          <w:p>
            <w:pPr>
              <w:pStyle w:val="Compact"/>
            </w:pPr>
            <w:r>
              <w:t xml:space="preserve">Falácia da conjunção; negligência da taxa base</w:t>
            </w:r>
          </w:p>
        </w:tc>
        <w:tc>
          <w:tcPr/>
          <w:p>
            <w:pPr>
              <w:pStyle w:val="Compact"/>
            </w:pPr>
            <w:r>
              <w:t xml:space="preserve">Problema de Linda</w:t>
            </w:r>
          </w:p>
        </w:tc>
        <w:tc>
          <w:tcPr/>
          <w:p>
            <w:pPr>
              <w:pStyle w:val="Compact"/>
            </w:pPr>
            <w:r>
              <w:t xml:space="preserve">Tversky e Kahneman (1974)</w:t>
            </w:r>
          </w:p>
        </w:tc>
      </w:tr>
      <w:tr>
        <w:tc>
          <w:tcPr/>
          <w:p>
            <w:pPr>
              <w:pStyle w:val="Compact"/>
            </w:pPr>
            <w:r>
              <w:t xml:space="preserve">Disponibilidade</w:t>
            </w:r>
          </w:p>
        </w:tc>
        <w:tc>
          <w:tcPr/>
          <w:p>
            <w:pPr>
              <w:pStyle w:val="Compact"/>
            </w:pPr>
            <w:r>
              <w:t xml:space="preserve">Superestimação de eventos vívidos</w:t>
            </w:r>
          </w:p>
        </w:tc>
        <w:tc>
          <w:tcPr/>
          <w:p>
            <w:pPr>
              <w:pStyle w:val="Compact"/>
            </w:pPr>
            <w:r>
              <w:t xml:space="preserve">Frequência de letras</w:t>
            </w:r>
          </w:p>
        </w:tc>
        <w:tc>
          <w:tcPr/>
          <w:p>
            <w:pPr>
              <w:pStyle w:val="Compact"/>
            </w:pPr>
            <w:r>
              <w:t xml:space="preserve">Tversky e Kahneman (1974)</w:t>
            </w:r>
          </w:p>
        </w:tc>
      </w:tr>
      <w:tr>
        <w:tc>
          <w:tcPr/>
          <w:p>
            <w:pPr>
              <w:pStyle w:val="Compact"/>
            </w:pPr>
            <w:r>
              <w:t xml:space="preserve">Ancoragem</w:t>
            </w:r>
          </w:p>
        </w:tc>
        <w:tc>
          <w:tcPr/>
          <w:p>
            <w:pPr>
              <w:pStyle w:val="Compact"/>
            </w:pPr>
            <w:r>
              <w:t xml:space="preserve">Estimativas enviesadas por valores iniciais</w:t>
            </w:r>
          </w:p>
        </w:tc>
        <w:tc>
          <w:tcPr/>
          <w:p>
            <w:pPr>
              <w:pStyle w:val="Compact"/>
            </w:pPr>
            <w:r>
              <w:t xml:space="preserve">Roda da fortuna</w:t>
            </w:r>
          </w:p>
        </w:tc>
        <w:tc>
          <w:tcPr/>
          <w:p>
            <w:pPr>
              <w:pStyle w:val="Compact"/>
            </w:pPr>
            <w:r>
              <w:t xml:space="preserve">Tversky e Kahneman (1974)</w:t>
            </w:r>
          </w:p>
        </w:tc>
      </w:tr>
      <w:tr>
        <w:tc>
          <w:tcPr/>
          <w:p>
            <w:pPr>
              <w:pStyle w:val="Compact"/>
            </w:pPr>
            <w:r>
              <w:t xml:space="preserve">Excesso de confiança</w:t>
            </w:r>
          </w:p>
        </w:tc>
        <w:tc>
          <w:tcPr/>
          <w:p>
            <w:pPr>
              <w:pStyle w:val="Compact"/>
            </w:pPr>
            <w:r>
              <w:t xml:space="preserve">Calibração inadequada</w:t>
            </w:r>
          </w:p>
        </w:tc>
        <w:tc>
          <w:tcPr/>
          <w:p>
            <w:pPr>
              <w:pStyle w:val="Compact"/>
            </w:pPr>
            <w:r>
              <w:t xml:space="preserve">Intervalos de confiança</w:t>
            </w:r>
          </w:p>
        </w:tc>
        <w:tc>
          <w:tcPr/>
          <w:p>
            <w:pPr>
              <w:pStyle w:val="Compact"/>
            </w:pPr>
            <w:r>
              <w:t xml:space="preserve">Lichtenstein, Fischhoff e Phillips (1982)</w:t>
            </w:r>
          </w:p>
        </w:tc>
      </w:tr>
      <w:tr>
        <w:tc>
          <w:tcPr/>
          <w:p>
            <w:pPr>
              <w:pStyle w:val="Compact"/>
            </w:pPr>
            <w:r>
              <w:rPr>
                <w:i/>
                <w:iCs/>
              </w:rPr>
              <w:t xml:space="preserve">Status quo</w:t>
            </w:r>
          </w:p>
        </w:tc>
        <w:tc>
          <w:tcPr/>
          <w:p>
            <w:pPr>
              <w:pStyle w:val="Compact"/>
            </w:pPr>
            <w:r>
              <w:t xml:space="preserve">Preferência pela opção-padrão</w:t>
            </w:r>
          </w:p>
        </w:tc>
        <w:tc>
          <w:tcPr/>
          <w:p>
            <w:pPr>
              <w:pStyle w:val="Compact"/>
            </w:pPr>
            <w:r>
              <w:t xml:space="preserve">Alocação de investimentos</w:t>
            </w:r>
          </w:p>
        </w:tc>
        <w:tc>
          <w:tcPr/>
          <w:p>
            <w:pPr>
              <w:pStyle w:val="Compact"/>
            </w:pPr>
            <w:r>
              <w:t xml:space="preserve">Samuelson e Zeckhauser (1988)</w:t>
            </w:r>
          </w:p>
        </w:tc>
      </w:tr>
      <w:tr>
        <w:tc>
          <w:tcPr/>
          <w:p>
            <w:pPr>
              <w:pStyle w:val="Compact"/>
            </w:pPr>
            <w:r>
              <w:t xml:space="preserve">Afeição (</w:t>
            </w:r>
            <w:r>
              <w:rPr>
                <w:i/>
                <w:iCs/>
              </w:rPr>
              <w:t xml:space="preserve">affect</w:t>
            </w:r>
            <w:r>
              <w:t xml:space="preserve">)</w:t>
            </w:r>
          </w:p>
        </w:tc>
        <w:tc>
          <w:tcPr/>
          <w:p>
            <w:pPr>
              <w:pStyle w:val="Compact"/>
            </w:pPr>
            <w:r>
              <w:t xml:space="preserve">Avaliação guiada por emoção</w:t>
            </w:r>
          </w:p>
        </w:tc>
        <w:tc>
          <w:tcPr/>
          <w:p>
            <w:pPr>
              <w:pStyle w:val="Compact"/>
            </w:pPr>
            <w:r>
              <w:t xml:space="preserve">Percepção de risco nuclear</w:t>
            </w:r>
          </w:p>
        </w:tc>
        <w:tc>
          <w:tcPr/>
          <w:p>
            <w:pPr>
              <w:pStyle w:val="Compact"/>
            </w:pPr>
            <w:r>
              <w:t xml:space="preserve">Slovic et al. (2007)</w:t>
            </w:r>
          </w:p>
        </w:tc>
      </w:tr>
      <w:tr>
        <w:tc>
          <w:tcPr/>
          <w:p>
            <w:pPr>
              <w:pStyle w:val="Compact"/>
            </w:pPr>
            <w:r>
              <w:t xml:space="preserve">Hindsight</w:t>
            </w:r>
          </w:p>
        </w:tc>
        <w:tc>
          <w:tcPr/>
          <w:p>
            <w:pPr>
              <w:pStyle w:val="Compact"/>
            </w:pPr>
            <w:r>
              <w:t xml:space="preserve">“Eu sabia o tempo todo”</w:t>
            </w:r>
          </w:p>
        </w:tc>
        <w:tc>
          <w:tcPr/>
          <w:p>
            <w:pPr>
              <w:pStyle w:val="Compact"/>
            </w:pPr>
            <w:r>
              <w:t xml:space="preserve">Previsões retrospectivas</w:t>
            </w:r>
          </w:p>
        </w:tc>
        <w:tc>
          <w:tcPr/>
          <w:p>
            <w:pPr>
              <w:pStyle w:val="Compact"/>
            </w:pPr>
            <w:r>
              <w:t xml:space="preserve">Fischhoff (1975)</w:t>
            </w:r>
          </w:p>
        </w:tc>
      </w:tr>
      <w:tr>
        <w:tc>
          <w:tcPr/>
          <w:p>
            <w:pPr>
              <w:pStyle w:val="Compact"/>
            </w:pPr>
            <w:r>
              <w:t xml:space="preserve">Confirmação</w:t>
            </w:r>
          </w:p>
        </w:tc>
        <w:tc>
          <w:tcPr/>
          <w:p>
            <w:pPr>
              <w:pStyle w:val="Compact"/>
            </w:pPr>
            <w:r>
              <w:t xml:space="preserve">Busca seletiva de evidências</w:t>
            </w:r>
          </w:p>
        </w:tc>
        <w:tc>
          <w:tcPr/>
          <w:p>
            <w:pPr>
              <w:pStyle w:val="Compact"/>
            </w:pPr>
            <w:r>
              <w:t xml:space="preserve">Teste de hipóteses</w:t>
            </w:r>
          </w:p>
        </w:tc>
        <w:tc>
          <w:tcPr/>
          <w:p>
            <w:pPr>
              <w:pStyle w:val="Compact"/>
            </w:pPr>
            <w:r>
              <w:t xml:space="preserve">Wason (1960)</w:t>
            </w:r>
          </w:p>
        </w:tc>
      </w:tr>
    </w:tbl>
    <w:p>
      <w:pPr>
        <w:pStyle w:val="BodyText"/>
      </w:pPr>
      <w:r>
        <w:rPr>
          <w:b/>
          <w:bCs/>
        </w:rPr>
        <w:t xml:space="preserve">Tabela 8.1 — Principais heurísticas e vieses cognitivos.</w:t>
      </w:r>
    </w:p>
    <w:p>
      <w:pPr>
        <w:pStyle w:val="BodyText"/>
      </w:pPr>
      <w:r>
        <w:t xml:space="preserve">Com as heurísticas e vieses mapeados, passamos agora à teoria que reformula a análise da decisão sob risco incorporando esses fenômenos de forma estruturada.</w:t>
      </w:r>
    </w:p>
    <w:p>
      <w:pPr>
        <w:pStyle w:val="BlockText"/>
      </w:pPr>
      <w:r>
        <w:rPr>
          <w:b/>
          <w:bCs/>
        </w:rPr>
        <w:t xml:space="preserve">[BOX MUNDO] Box Mundo 8.1 — Kahneman e Tversky: como dois psicólogos israelenses transformaram a economia</w:t>
      </w:r>
    </w:p>
    <w:p>
      <w:pPr>
        <w:pStyle w:val="BlockText"/>
      </w:pPr>
      <w:r>
        <w:rPr>
          <w:b/>
          <w:bCs/>
        </w:rPr>
        <w:t xml:space="preserve">Contexto:</w:t>
      </w:r>
      <w:r>
        <w:t xml:space="preserve"> </w:t>
      </w:r>
      <w:r>
        <w:t xml:space="preserve">A revolução comportamental na economia não nasceu dentro da disciplina econômica. Foi gestada nos departamentos de psicologia da Universidade Hebraica de Jerusalém e da Universidade de British Columbia, a partir da colaboração entre Daniel Kahneman e Amos Tversky — dois psicólogos cognitivos israelenses cujo programa de pesquisa, iniciado no final dos anos 1960, desafiou frontalmente o axioma de racionalidade que sustenta a teoria microeconômica convencional. O trabalho conjunto produziu três contribuições seminais: o artigo sobre heurísticas e vieses (</w:t>
      </w:r>
      <w:r>
        <w:rPr>
          <w:i/>
          <w:iCs/>
        </w:rPr>
        <w:t xml:space="preserve">Science</w:t>
      </w:r>
      <w:r>
        <w:t xml:space="preserve">, 1974), a Teoria do Prospecto (</w:t>
      </w:r>
      <w:r>
        <w:rPr>
          <w:i/>
          <w:iCs/>
        </w:rPr>
        <w:t xml:space="preserve">Econometrica</w:t>
      </w:r>
      <w:r>
        <w:t xml:space="preserve">, 1979) e a versão cumulativa da Teoria do Prospecto (1992). Kahneman recebeu o Prêmio Nobel de Economia em 2002 — Tversky, falecido em 1996, teria certamente compartilhado a honraria.</w:t>
      </w:r>
    </w:p>
    <w:p>
      <w:pPr>
        <w:pStyle w:val="BlockText"/>
      </w:pPr>
      <w:r>
        <w:rPr>
          <w:b/>
          <w:bCs/>
        </w:rPr>
        <w:t xml:space="preserve">Dados:</w:t>
      </w:r>
      <w:r>
        <w:t xml:space="preserve"> </w:t>
      </w:r>
      <w:r>
        <w:t xml:space="preserve">O programa de pesquisa de Kahneman e Tversky foi inicialmente baseado em experimentos com estudantes israelenses e americanos, o que levantou preocupações legítimas sobre validade externa. Nas décadas seguintes, contudo, os principais achados foram replicados em dezenas de países e culturas. A meta-análise de Ruggeri et al. (2020,</w:t>
      </w:r>
      <w:r>
        <w:t xml:space="preserve"> </w:t>
      </w:r>
      <w:r>
        <w:rPr>
          <w:i/>
          <w:iCs/>
        </w:rPr>
        <w:t xml:space="preserve">Nature Human Behaviour</w:t>
      </w:r>
      <w:r>
        <w:t xml:space="preserve">), com dados de 19 países e mais de 4.000 participantes, confirmou que a aversão à perda — o fenômeno central da Teoria do Prospecto — é robusto cross-culturalmente, embora sua magnitude varie: o coeficiente</w:t>
      </w:r>
      <w:r>
        <w:t xml:space="preserve"> </w:t>
      </w:r>
      <m:oMath>
        <m:r>
          <m:t>λ</m:t>
        </m:r>
      </m:oMath>
      <w:r>
        <w:t xml:space="preserve"> </w:t>
      </w:r>
      <w:r>
        <w:t xml:space="preserve">médio estimado foi de aproximadamente 1,8 a 2,1, ligeiramente abaixo do valor canônico de 2,25 de Kahneman e Tversky, mas consistentemente superior a 1 em todas as amostras. O efeito de enquadramento (</w:t>
      </w:r>
      <w:r>
        <w:rPr>
          <w:i/>
          <w:iCs/>
        </w:rPr>
        <w:t xml:space="preserve">framing effect</w:t>
      </w:r>
      <w:r>
        <w:t xml:space="preserve">) também se mostrou replicável, embora com variação cultural significativa: populações do Leste Asiático tendem a ser mais sensíveis ao enquadramento do que populações ocidentais, possivelmente refletindo diferenças nos estilos cognitivos (pensamento holístico vs. analítico, conforme Nisbett et al., 2001).</w:t>
      </w:r>
    </w:p>
    <w:p>
      <w:pPr>
        <w:pStyle w:val="BlockText"/>
      </w:pPr>
      <w:r>
        <w:rPr>
          <w:b/>
          <w:bCs/>
        </w:rPr>
        <w:t xml:space="preserve">Análise:</w:t>
      </w:r>
      <w:r>
        <w:t xml:space="preserve"> </w:t>
      </w:r>
      <w:r>
        <w:t xml:space="preserve">A importância do programa Kahneman-Tversky para a microeconomia vai além dos resultados empíricos específicos. Ele estabeleceu um novo padrão metodológico: a ideia de que anomalias comportamentais não são ruído aleatório, mas padrões</w:t>
      </w:r>
      <w:r>
        <w:t xml:space="preserve"> </w:t>
      </w:r>
      <w:r>
        <w:rPr>
          <w:b/>
          <w:bCs/>
        </w:rPr>
        <w:t xml:space="preserve">sistemáticos</w:t>
      </w:r>
      <w:r>
        <w:t xml:space="preserve"> </w:t>
      </w:r>
      <w:r>
        <w:t xml:space="preserve">e</w:t>
      </w:r>
      <w:r>
        <w:t xml:space="preserve"> </w:t>
      </w:r>
      <w:r>
        <w:rPr>
          <w:b/>
          <w:bCs/>
        </w:rPr>
        <w:t xml:space="preserve">previsíveis</w:t>
      </w:r>
      <w:r>
        <w:t xml:space="preserve"> </w:t>
      </w:r>
      <w:r>
        <w:t xml:space="preserve">que podem ser formalizados em modelos alternativos. Essa previsibilidade é o que torna a economia comportamental útil para políticas públicas — se os vieses fossem idiossincráticos, não haveria como desenhá-las para mitigá-los. A replicação cross-cultural dos principais achados sugere que as heurísticas identificadas nesta seção refletem propriedades profundas da arquitetura cognitiva humana (o Sistema 1 de Kahneman), não artefatos culturais específicos — embora a magnitude dos efeitos e os contextos de ativação variem entre culturas, o que impõe cautela na importação acrítica de nudges desenhados em um país para outro.</w:t>
      </w:r>
    </w:p>
    <w:p>
      <w:pPr>
        <w:pStyle w:val="BlockText"/>
      </w:pPr>
      <w:r>
        <w:rPr>
          <w:b/>
          <w:bCs/>
        </w:rPr>
        <w:t xml:space="preserve">Fonte:</w:t>
      </w:r>
      <w:r>
        <w:t xml:space="preserve"> </w:t>
      </w:r>
      <w:r>
        <w:t xml:space="preserve">Kahneman, D.; Tversky, A. (1979).</w:t>
      </w:r>
      <w:r>
        <w:t xml:space="preserve"> </w:t>
      </w:r>
      <w:r>
        <w:t xml:space="preserve">“Prospect Theory: An Analysis of Decision under Risk.”</w:t>
      </w:r>
      <w:r>
        <w:t xml:space="preserve"> </w:t>
      </w:r>
      <w:r>
        <w:rPr>
          <w:i/>
          <w:iCs/>
        </w:rPr>
        <w:t xml:space="preserve">Econometrica</w:t>
      </w:r>
      <w:r>
        <w:t xml:space="preserve">, 47(2), 263–292. Ruggeri, K. et al. (2020).</w:t>
      </w:r>
      <w:r>
        <w:t xml:space="preserve"> </w:t>
      </w:r>
      <w:r>
        <w:t xml:space="preserve">“Replicating Patterns of Prospect Theory for Decision under Risk.”</w:t>
      </w:r>
      <w:r>
        <w:t xml:space="preserve"> </w:t>
      </w:r>
      <w:r>
        <w:rPr>
          <w:i/>
          <w:iCs/>
        </w:rPr>
        <w:t xml:space="preserve">Nature Human Behaviour</w:t>
      </w:r>
      <w:r>
        <w:t xml:space="preserve">, 4, 622–633. Kahneman, D. (2011).</w:t>
      </w:r>
      <w:r>
        <w:t xml:space="preserve"> </w:t>
      </w:r>
      <w:r>
        <w:rPr>
          <w:i/>
          <w:iCs/>
        </w:rPr>
        <w:t xml:space="preserve">Thinking, Fast and Slow</w:t>
      </w:r>
      <w:r>
        <w:t xml:space="preserve">. New York: Farrar, Straus and Giroux.</w:t>
      </w:r>
    </w:p>
    <w:bookmarkEnd w:id="375"/>
    <w:bookmarkEnd w:id="376"/>
    <w:bookmarkStart w:id="385" w:name="Xf1e3f3b21670b85aaa65ebffa7d5fd3ec88da47"/>
    <w:p>
      <w:pPr>
        <w:pStyle w:val="Heading2"/>
      </w:pPr>
      <w:r>
        <w:t xml:space="preserve">8.2 Perder Dói Mais Que Ganhar Alegra: Teoria do Prospecto</w:t>
      </w:r>
    </w:p>
    <w:p>
      <w:pPr>
        <w:pStyle w:val="FirstParagraph"/>
      </w:pPr>
      <w:r>
        <w:t xml:space="preserve">A Seção 8.1 mostrou</w:t>
      </w:r>
      <w:r>
        <w:t xml:space="preserve"> </w:t>
      </w:r>
      <w:r>
        <w:rPr>
          <w:i/>
          <w:iCs/>
        </w:rPr>
        <w:t xml:space="preserve">onde</w:t>
      </w:r>
      <w:r>
        <w:t xml:space="preserve"> </w:t>
      </w:r>
      <w:r>
        <w:t xml:space="preserve">o modelo racional tropeça. Agora precisamos de um modelo que tropeça menos — sem perder a capacidade de gerar previsões. Esse modelo existe, tem nome, e rendeu um Nobel: a</w:t>
      </w:r>
      <w:r>
        <w:t xml:space="preserve"> </w:t>
      </w:r>
      <w:r>
        <w:rPr>
          <w:b/>
          <w:bCs/>
        </w:rPr>
        <w:t xml:space="preserve">Teoria do Prospecto</w:t>
      </w:r>
      <w:r>
        <w:t xml:space="preserve">. Não é um remendo ad hoc; é uma teoria completa, com axiomas próprios e previsões testáveis. E a história de como ela surgiu é uma das melhores da ciência.</w:t>
      </w:r>
    </w:p>
    <w:p>
      <w:pPr>
        <w:pStyle w:val="BodyText"/>
      </w:pPr>
      <w:r>
        <w:t xml:space="preserve">A</w:t>
      </w:r>
      <w:r>
        <w:t xml:space="preserve"> </w:t>
      </w:r>
      <w:r>
        <w:rPr>
          <w:b/>
          <w:bCs/>
        </w:rPr>
        <w:t xml:space="preserve">utilidade esperada</w:t>
      </w:r>
      <w:r>
        <w:t xml:space="preserve"> </w:t>
      </w:r>
      <w:r>
        <w:t xml:space="preserve">de Von Neumann e Morgenstern (Capítulo 7) pressupõe que os agentes avaliam resultados em termos de riqueza final e ponderam probabilidades linearmente. A Teoria do Prospecto, proposta por Kahneman e Tversky (1979) e refinada em sua versão cumulativa (Tversky e Kahneman 1992), substitui essas premissas por duas inovações fundamentais: uma</w:t>
      </w:r>
      <w:r>
        <w:t xml:space="preserve"> </w:t>
      </w:r>
      <w:r>
        <w:rPr>
          <w:b/>
          <w:bCs/>
        </w:rPr>
        <w:t xml:space="preserve">função valor</w:t>
      </w:r>
      <w:r>
        <w:t xml:space="preserve"> </w:t>
      </w:r>
      <w:r>
        <w:t xml:space="preserve">definida sobre ganhos e perdas relativos a um ponto de referência, e uma</w:t>
      </w:r>
      <w:r>
        <w:t xml:space="preserve"> </w:t>
      </w:r>
      <w:r>
        <w:rPr>
          <w:b/>
          <w:bCs/>
        </w:rPr>
        <w:t xml:space="preserve">função de ponderação de probabilidades</w:t>
      </w:r>
      <w:r>
        <w:t xml:space="preserve"> </w:t>
      </w:r>
      <w:r>
        <w:t xml:space="preserve">que distorce probabilidades objetivas.</w:t>
      </w:r>
    </w:p>
    <w:p>
      <w:pPr>
        <w:pStyle w:val="BodyText"/>
      </w:pPr>
      <w:r>
        <w:t xml:space="preserve">É importante compreender o que a Teoria do Prospecto</w:t>
      </w:r>
      <w:r>
        <w:t xml:space="preserve"> </w:t>
      </w:r>
      <w:r>
        <w:rPr>
          <w:i/>
          <w:iCs/>
        </w:rPr>
        <w:t xml:space="preserve">não</w:t>
      </w:r>
      <w:r>
        <w:t xml:space="preserve"> </w:t>
      </w:r>
      <w:r>
        <w:t xml:space="preserve">é: ela não é uma teoria ad hoc construída para acomodar anomalias uma a uma. É uma teoria coerente, derivada sistematicamente de regularidades observadas, que gera previsões novas — muitas delas confirmadas em experimentos posteriores e em dados de campo. O par (função valor + ponderação de probabilidades) não foi escolhido arbitrariamente; cada elemento foi motivado por um conjunto específico de experimentos e pela busca de parsimônia: o menor número de inovações que acomode os fenômenos documentados. Essa é a marca de uma boa teoria científica.</w:t>
      </w:r>
    </w:p>
    <w:bookmarkStart w:id="378" w:name="o-paradoxo-de-allais"/>
    <w:p>
      <w:pPr>
        <w:pStyle w:val="Heading4"/>
      </w:pPr>
      <w:r>
        <w:t xml:space="preserve">8.2.1 O Paradoxo de Allais</w:t>
      </w:r>
    </w:p>
    <w:p>
      <w:pPr>
        <w:pStyle w:val="FirstParagraph"/>
      </w:pPr>
      <w:r>
        <w:t xml:space="preserve">Para motivar as inovações da Teoria do Prospecto, comecemos por um experimento mental que abalou a confiança no axioma da independência — o pilar mais controverso da utilidade esperada de Von Neumann e Morgenstern. Antes da Teoria do Prospecto, Maurice Allais (1953) já havia demonstrado uma violação elegante da utilidade esperada. Considere os seguintes problemas de decisão.</w:t>
      </w:r>
    </w:p>
    <w:p>
      <w:pPr>
        <w:pStyle w:val="BodyText"/>
      </w:pPr>
      <w:r>
        <w:t xml:space="preserve">Vale notar que o Paradoxo de Allais foi apresentado, de forma provocativa, ao próprio grupo de economistas que havia desenvolvido a utilidade esperada — incluindo nomes como Savage e Samuelson — durante uma conferência em Paris em 1952. Muitos deles, ao responder intuitivamente, violaram os próprios axiomas que defendiam.</w:t>
      </w:r>
      <w:r>
        <w:rPr>
          <w:rStyle w:val="FootnoteReference"/>
        </w:rPr>
        <w:footnoteReference w:id="377"/>
      </w:r>
      <w:r>
        <w:t xml:space="preserve"> </w:t>
      </w:r>
      <w:r>
        <w:t xml:space="preserve">Quando Savage percebeu que havia respondido de forma inconsistente, disse algo notável: a inconsistência não resultava de irracionalidade, mas de um</w:t>
      </w:r>
      <w:r>
        <w:t xml:space="preserve"> </w:t>
      </w:r>
      <w:r>
        <w:t xml:space="preserve">“erro de cálculo”</w:t>
      </w:r>
      <w:r>
        <w:t xml:space="preserve"> </w:t>
      </w:r>
      <w:r>
        <w:t xml:space="preserve">que ele corrigiria ao raciocinar com mais cuidado. Isso é precisamente o que Kahneman documentaria décadas depois: o Sistema 2 pode corrigir as intuições do Sistema 1, mas só quando acionado. A questão de política relevante é: nas decisões reais de consumo, poupança e investimento, os agentes acionam o Sistema 2 com frequência suficiente?</w:t>
      </w:r>
    </w:p>
    <w:p>
      <w:pPr>
        <w:pStyle w:val="BlockText"/>
      </w:pPr>
      <w:r>
        <w:rPr>
          <w:b/>
          <w:bCs/>
        </w:rPr>
        <w:t xml:space="preserve">[EXEMPLO] Paradoxo de Allais</w:t>
      </w:r>
    </w:p>
    <w:p>
      <w:pPr>
        <w:pStyle w:val="BlockText"/>
      </w:pPr>
      <w:r>
        <w:rPr>
          <w:b/>
          <w:bCs/>
        </w:rPr>
        <w:t xml:space="preserve">Problema 1:</w:t>
      </w:r>
      <w:r>
        <w:t xml:space="preserve"> </w:t>
      </w:r>
      <w:r>
        <w:t xml:space="preserve">Escolha entre:</w:t>
      </w:r>
    </w:p>
    <w:p>
      <w:pPr>
        <w:pStyle w:val="Compact"/>
        <w:numPr>
          <w:ilvl w:val="0"/>
          <w:numId w:val="1386"/>
        </w:numPr>
      </w:pPr>
      <w:r>
        <w:rPr>
          <w:b/>
          <w:bCs/>
        </w:rPr>
        <w:t xml:space="preserve">A:</w:t>
      </w:r>
      <w:r>
        <w:t xml:space="preserve"> </w:t>
      </w:r>
      <w:r>
        <w:t xml:space="preserve">Ganhar R$ 1.000.000 com certeza.</w:t>
      </w:r>
    </w:p>
    <w:p>
      <w:pPr>
        <w:pStyle w:val="Compact"/>
        <w:numPr>
          <w:ilvl w:val="0"/>
          <w:numId w:val="1386"/>
        </w:numPr>
      </w:pPr>
      <w:r>
        <w:rPr>
          <w:b/>
          <w:bCs/>
        </w:rPr>
        <w:t xml:space="preserve">B:</w:t>
      </w:r>
      <w:r>
        <w:t xml:space="preserve"> </w:t>
      </w:r>
      <w:r>
        <w:t xml:space="preserve">Ganhar R$ 5.000.000 com probabilidade</w:t>
      </w:r>
      <w:r>
        <w:t xml:space="preserve"> </w:t>
      </w:r>
      <m:oMath>
        <m:r>
          <m:t>0</m:t>
        </m:r>
        <m:r>
          <m:rPr>
            <m:sty m:val="p"/>
          </m:rPr>
          <m:t>,</m:t>
        </m:r>
        <m:r>
          <m:t>10</m:t>
        </m:r>
      </m:oMath>
      <w:r>
        <w:t xml:space="preserve">; R$ 1.000.000 com probabilidade</w:t>
      </w:r>
      <w:r>
        <w:t xml:space="preserve"> </w:t>
      </w:r>
      <m:oMath>
        <m:r>
          <m:t>0</m:t>
        </m:r>
        <m:r>
          <m:rPr>
            <m:sty m:val="p"/>
          </m:rPr>
          <m:t>,</m:t>
        </m:r>
        <m:r>
          <m:t>89</m:t>
        </m:r>
      </m:oMath>
      <w:r>
        <w:t xml:space="preserve">; nada com probabilidade</w:t>
      </w:r>
      <w:r>
        <w:t xml:space="preserve"> </w:t>
      </w:r>
      <m:oMath>
        <m:r>
          <m:t>0</m:t>
        </m:r>
        <m:r>
          <m:rPr>
            <m:sty m:val="p"/>
          </m:rPr>
          <m:t>,</m:t>
        </m:r>
        <m:r>
          <m:t>01</m:t>
        </m:r>
      </m:oMath>
      <w:r>
        <w:t xml:space="preserve">.</w:t>
      </w:r>
    </w:p>
    <w:p>
      <w:pPr>
        <w:pStyle w:val="BlockText"/>
      </w:pPr>
      <w:r>
        <w:rPr>
          <w:b/>
          <w:bCs/>
        </w:rPr>
        <w:t xml:space="preserve">Problema 2:</w:t>
      </w:r>
      <w:r>
        <w:t xml:space="preserve"> </w:t>
      </w:r>
      <w:r>
        <w:t xml:space="preserve">Escolha entre:</w:t>
      </w:r>
    </w:p>
    <w:p>
      <w:pPr>
        <w:pStyle w:val="Compact"/>
        <w:numPr>
          <w:ilvl w:val="0"/>
          <w:numId w:val="1387"/>
        </w:numPr>
      </w:pPr>
      <w:r>
        <w:rPr>
          <w:b/>
          <w:bCs/>
        </w:rPr>
        <w:t xml:space="preserve">C:</w:t>
      </w:r>
      <w:r>
        <w:t xml:space="preserve"> </w:t>
      </w:r>
      <w:r>
        <w:t xml:space="preserve">Ganhar R$ 1.000.000 com probabilidade</w:t>
      </w:r>
      <w:r>
        <w:t xml:space="preserve"> </w:t>
      </w:r>
      <m:oMath>
        <m:r>
          <m:t>0</m:t>
        </m:r>
        <m:r>
          <m:rPr>
            <m:sty m:val="p"/>
          </m:rPr>
          <m:t>,</m:t>
        </m:r>
        <m:r>
          <m:t>11</m:t>
        </m:r>
      </m:oMath>
      <w:r>
        <w:t xml:space="preserve">; nada com probabilidade</w:t>
      </w:r>
      <w:r>
        <w:t xml:space="preserve"> </w:t>
      </w:r>
      <m:oMath>
        <m:r>
          <m:t>0</m:t>
        </m:r>
        <m:r>
          <m:rPr>
            <m:sty m:val="p"/>
          </m:rPr>
          <m:t>,</m:t>
        </m:r>
        <m:r>
          <m:t>89</m:t>
        </m:r>
      </m:oMath>
      <w:r>
        <w:t xml:space="preserve">.</w:t>
      </w:r>
    </w:p>
    <w:p>
      <w:pPr>
        <w:pStyle w:val="Compact"/>
        <w:numPr>
          <w:ilvl w:val="0"/>
          <w:numId w:val="1387"/>
        </w:numPr>
      </w:pPr>
      <w:r>
        <w:rPr>
          <w:b/>
          <w:bCs/>
        </w:rPr>
        <w:t xml:space="preserve">D:</w:t>
      </w:r>
      <w:r>
        <w:t xml:space="preserve"> </w:t>
      </w:r>
      <w:r>
        <w:t xml:space="preserve">Ganhar R$ 5.000.000 com probabilidade</w:t>
      </w:r>
      <w:r>
        <w:t xml:space="preserve"> </w:t>
      </w:r>
      <m:oMath>
        <m:r>
          <m:t>0</m:t>
        </m:r>
        <m:r>
          <m:rPr>
            <m:sty m:val="p"/>
          </m:rPr>
          <m:t>,</m:t>
        </m:r>
        <m:r>
          <m:t>10</m:t>
        </m:r>
      </m:oMath>
      <w:r>
        <w:t xml:space="preserve">; nada com probabilidade</w:t>
      </w:r>
      <w:r>
        <w:t xml:space="preserve"> </w:t>
      </w:r>
      <m:oMath>
        <m:r>
          <m:t>0</m:t>
        </m:r>
        <m:r>
          <m:rPr>
            <m:sty m:val="p"/>
          </m:rPr>
          <m:t>,</m:t>
        </m:r>
        <m:r>
          <m:t>90</m:t>
        </m:r>
      </m:oMath>
      <w:r>
        <w:t xml:space="preserve">.</w:t>
      </w:r>
    </w:p>
    <w:p>
      <w:pPr>
        <w:pStyle w:val="BlockText"/>
      </w:pPr>
      <w:r>
        <w:t xml:space="preserve">A maioria das pessoas escolhe</w:t>
      </w:r>
      <w:r>
        <w:t xml:space="preserve"> </w:t>
      </w:r>
      <w:r>
        <w:rPr>
          <w:b/>
          <w:bCs/>
        </w:rPr>
        <w:t xml:space="preserve">A</w:t>
      </w:r>
      <w:r>
        <w:t xml:space="preserve"> </w:t>
      </w:r>
      <w:r>
        <w:t xml:space="preserve">no Problema 1 e</w:t>
      </w:r>
      <w:r>
        <w:t xml:space="preserve"> </w:t>
      </w:r>
      <w:r>
        <w:rPr>
          <w:b/>
          <w:bCs/>
        </w:rPr>
        <w:t xml:space="preserve">D</w:t>
      </w:r>
      <w:r>
        <w:t xml:space="preserve"> </w:t>
      </w:r>
      <w:r>
        <w:t xml:space="preserve">no Problema 2. Mas essa combinação viola o axioma da independência da utilidade esperada. Se</w:t>
      </w:r>
      <w:r>
        <w:t xml:space="preserve"> </w:t>
      </w:r>
      <m:oMath>
        <m:r>
          <m:t>A</m:t>
        </m:r>
        <m:r>
          <m:rPr>
            <m:sty m:val="p"/>
          </m:rPr>
          <m:t>≻</m:t>
        </m:r>
        <m:r>
          <m:t>B</m:t>
        </m:r>
      </m:oMath>
      <w:r>
        <w:t xml:space="preserve">, então pela UE teríamos</w:t>
      </w:r>
      <w:r>
        <w:t xml:space="preserve"> </w:t>
      </w:r>
      <m:oMath>
        <m:r>
          <m:t>C</m:t>
        </m:r>
        <m:r>
          <m:rPr>
            <m:sty m:val="p"/>
          </m:rPr>
          <m:t>≻</m:t>
        </m:r>
        <m:r>
          <m:t>D</m:t>
        </m:r>
      </m:oMath>
      <w:r>
        <w:t xml:space="preserve"> </w:t>
      </w:r>
      <w:r>
        <w:t xml:space="preserve">— mas o padrão observado é o contrário. A preferência por A reflete o</w:t>
      </w:r>
      <w:r>
        <w:t xml:space="preserve"> </w:t>
      </w:r>
      <w:r>
        <w:rPr>
          <w:b/>
          <w:bCs/>
        </w:rPr>
        <w:t xml:space="preserve">efeito certeza</w:t>
      </w:r>
      <w:r>
        <w:t xml:space="preserve">: a sobrevalorização de resultados certos em relação a resultados meramente prováveis.</w:t>
      </w:r>
    </w:p>
    <w:p>
      <w:pPr>
        <w:pStyle w:val="BlockText"/>
      </w:pPr>
      <w:r>
        <w:rPr>
          <w:b/>
          <w:bCs/>
        </w:rPr>
        <w:t xml:space="preserve">[ATIVIDADE DE SALA] Atividade — Think-Pair-Share: Você viola o axioma da independência?</w:t>
      </w:r>
    </w:p>
    <w:p>
      <w:pPr>
        <w:pStyle w:val="BlockText"/>
      </w:pPr>
      <w:r>
        <w:rPr>
          <w:b/>
          <w:bCs/>
        </w:rPr>
        <w:t xml:space="preserve">Formato:</w:t>
      </w:r>
      <w:r>
        <w:t xml:space="preserve"> </w:t>
      </w:r>
      <w:r>
        <w:t xml:space="preserve">Think-Pair-Share |</w:t>
      </w:r>
      <w:r>
        <w:t xml:space="preserve"> </w:t>
      </w:r>
      <w:r>
        <w:rPr>
          <w:b/>
          <w:bCs/>
        </w:rPr>
        <w:t xml:space="preserve">Tempo:</w:t>
      </w:r>
      <w:r>
        <w:t xml:space="preserve"> </w:t>
      </w:r>
      <w:r>
        <w:t xml:space="preserve">10 minutos |</w:t>
      </w:r>
      <w:r>
        <w:t xml:space="preserve"> </w:t>
      </w:r>
      <w:r>
        <w:rPr>
          <w:b/>
          <w:bCs/>
        </w:rPr>
        <w:t xml:space="preserve">Material:</w:t>
      </w:r>
      <w:r>
        <w:t xml:space="preserve"> </w:t>
      </w:r>
      <w:r>
        <w:t xml:space="preserve">slides ou quadro com os dois problemas do Paradoxo de Allais</w:t>
      </w:r>
    </w:p>
    <w:p>
      <w:pPr>
        <w:pStyle w:val="BlockText"/>
      </w:pPr>
      <w:r>
        <w:rPr>
          <w:b/>
          <w:bCs/>
        </w:rPr>
        <w:t xml:space="preserve">Etapa 1 — Think (2 min).</w:t>
      </w:r>
      <w:r>
        <w:t xml:space="preserve"> </w:t>
      </w:r>
      <w:r>
        <w:t xml:space="preserve">O professor projeta os Problemas 1 e 2 do Paradoxo de Allais</w:t>
      </w:r>
      <w:r>
        <w:t xml:space="preserve"> </w:t>
      </w:r>
      <w:r>
        <w:rPr>
          <w:i/>
          <w:iCs/>
        </w:rPr>
        <w:t xml:space="preserve">sem</w:t>
      </w:r>
      <w:r>
        <w:t xml:space="preserve"> </w:t>
      </w:r>
      <w:r>
        <w:t xml:space="preserve">revelar que existe uma</w:t>
      </w:r>
      <w:r>
        <w:t xml:space="preserve"> </w:t>
      </w:r>
      <w:r>
        <w:t xml:space="preserve">“armadilha”</w:t>
      </w:r>
      <w:r>
        <w:t xml:space="preserve">. Cada aluno anota suas escolhas individualmente (A ou B; C ou D) em silêncio.</w:t>
      </w:r>
    </w:p>
    <w:p>
      <w:pPr>
        <w:pStyle w:val="BlockText"/>
      </w:pPr>
      <w:r>
        <w:rPr>
          <w:b/>
          <w:bCs/>
        </w:rPr>
        <w:t xml:space="preserve">Etapa 2 — Votação (1 min).</w:t>
      </w:r>
      <w:r>
        <w:t xml:space="preserve"> </w:t>
      </w:r>
      <w:r>
        <w:t xml:space="preserve">O professor pede que a turma vote (mãos levantadas ou Mentimeter). Registra a distribuição no quadro: quantos escolheram A+D? Quantos A+C? B+D? B+C?</w:t>
      </w:r>
    </w:p>
    <w:p>
      <w:pPr>
        <w:pStyle w:val="BlockText"/>
      </w:pPr>
      <w:r>
        <w:rPr>
          <w:b/>
          <w:bCs/>
        </w:rPr>
        <w:t xml:space="preserve">Etapa 3 — Pair (3 min).</w:t>
      </w:r>
      <w:r>
        <w:t xml:space="preserve"> </w:t>
      </w:r>
      <w:r>
        <w:t xml:space="preserve">Em duplas, os alunos discutem:</w:t>
      </w:r>
      <w:r>
        <w:t xml:space="preserve"> </w:t>
      </w:r>
      <w:r>
        <w:t xml:space="preserve">“Se eu escolhi A no Problema 1 e D no Problema 2, será que minhas escolhas são consistentes com a utilidade esperada?”</w:t>
      </w:r>
      <w:r>
        <w:t xml:space="preserve"> </w:t>
      </w:r>
      <w:r>
        <w:t xml:space="preserve">O professor pode dar a dica:</w:t>
      </w:r>
      <w:r>
        <w:t xml:space="preserve"> </w:t>
      </w:r>
      <w:r>
        <w:t xml:space="preserve">“Tente mostrar que A≻B implica C≻D sob a UE.”</w:t>
      </w:r>
    </w:p>
    <w:p>
      <w:pPr>
        <w:pStyle w:val="BlockText"/>
      </w:pPr>
      <w:r>
        <w:rPr>
          <w:b/>
          <w:bCs/>
        </w:rPr>
        <w:t xml:space="preserve">Etapa 4 — Share (4 min).</w:t>
      </w:r>
      <w:r>
        <w:t xml:space="preserve"> </w:t>
      </w:r>
      <w:r>
        <w:t xml:space="preserve">O professor revela a inconsistência formal e mostra a proporção da turma que violou o axioma da independência. Debrief:</w:t>
      </w:r>
      <w:r>
        <w:t xml:space="preserve"> </w:t>
      </w:r>
      <w:r>
        <w:t xml:space="preserve">“Vocês acabaram de reproduzir, ao vivo, o resultado de Allais (1953). A maioria de vocês — como Savage em Paris — violou o axioma que a teoria exige. A pergunta agora é: o modelo precisa mudar, ou vocês é que precisam melhorar?”</w:t>
      </w:r>
    </w:p>
    <w:p>
      <w:pPr>
        <w:pStyle w:val="BlockText"/>
      </w:pPr>
      <w:r>
        <w:rPr>
          <w:b/>
          <w:bCs/>
        </w:rPr>
        <w:t xml:space="preserve">Resultado esperado:</w:t>
      </w:r>
      <w:r>
        <w:t xml:space="preserve"> </w:t>
      </w:r>
      <w:r>
        <w:t xml:space="preserve">60–80% da turma escolherá A+D, replicando o padrão clássico. A vivência pessoal da violação torna o axioma da independência — e sua falha — inesquecível.</w:t>
      </w:r>
    </w:p>
    <w:bookmarkEnd w:id="378"/>
    <w:bookmarkStart w:id="380" w:name="a-função-valor"/>
    <w:p>
      <w:pPr>
        <w:pStyle w:val="Heading4"/>
      </w:pPr>
      <w:r>
        <w:t xml:space="preserve">8.2.2 A função valor</w:t>
      </w:r>
    </w:p>
    <w:p>
      <w:pPr>
        <w:pStyle w:val="FirstParagraph"/>
      </w:pPr>
      <w:r>
        <w:t xml:space="preserve">O Paradoxo de Allais revelou que as pessoas não tratam as probabilidades de forma linear. Mas há outra dimensão em que a utilidade esperada falha: a forma como os agentes avaliam os</w:t>
      </w:r>
      <w:r>
        <w:t xml:space="preserve"> </w:t>
      </w:r>
      <w:r>
        <w:rPr>
          <w:i/>
          <w:iCs/>
        </w:rPr>
        <w:t xml:space="preserve">resultados</w:t>
      </w:r>
      <w:r>
        <w:t xml:space="preserve">. A utilidade esperada pressupõe que o que importa é a riqueza final — um investidor com patrimônio de R$ 1 milhão se sente igualmente bem, independentemente de ter começado com R$ 500 mil e ganhado R$ 500 mil, ou de ter começado com R$ 2 milhões e perdido R$ 1 milhão. A experiência cotidiana, porém, nos diz que isso não é verdade: o contexto de onde partimos — o</w:t>
      </w:r>
      <w:r>
        <w:t xml:space="preserve"> </w:t>
      </w:r>
      <w:r>
        <w:rPr>
          <w:b/>
          <w:bCs/>
        </w:rPr>
        <w:t xml:space="preserve">ponto de referência</w:t>
      </w:r>
      <w:r>
        <w:t xml:space="preserve"> </w:t>
      </w:r>
      <w:r>
        <w:t xml:space="preserve">— importa, e muito.</w:t>
      </w:r>
    </w:p>
    <w:p>
      <w:pPr>
        <w:pStyle w:val="BodyText"/>
      </w:pPr>
      <w:r>
        <w:t xml:space="preserve">A Teoria do Prospecto propõe que os agentes avaliam resultados como</w:t>
      </w:r>
      <w:r>
        <w:t xml:space="preserve"> </w:t>
      </w:r>
      <w:r>
        <w:rPr>
          <w:b/>
          <w:bCs/>
        </w:rPr>
        <w:t xml:space="preserve">ganhos ou perdas</w:t>
      </w:r>
      <w:r>
        <w:t xml:space="preserve"> </w:t>
      </w:r>
      <w:r>
        <w:t xml:space="preserve">relativos a um</w:t>
      </w:r>
      <w:r>
        <w:t xml:space="preserve"> </w:t>
      </w:r>
      <w:r>
        <w:rPr>
          <w:b/>
          <w:bCs/>
        </w:rPr>
        <w:t xml:space="preserve">ponto de referência</w:t>
      </w:r>
      <w:r>
        <w:t xml:space="preserve"> </w:t>
      </w:r>
      <w:r>
        <w:t xml:space="preserve">(tipicamente o</w:t>
      </w:r>
      <w:r>
        <w:t xml:space="preserve"> </w:t>
      </w:r>
      <w:r>
        <w:rPr>
          <w:i/>
          <w:iCs/>
        </w:rPr>
        <w:t xml:space="preserve">status quo</w:t>
      </w:r>
      <w:r>
        <w:t xml:space="preserve">), e não em termos de riqueza absoluta. A</w:t>
      </w:r>
      <w:r>
        <w:t xml:space="preserve"> </w:t>
      </w:r>
      <w:r>
        <w:rPr>
          <w:b/>
          <w:bCs/>
        </w:rPr>
        <w:t xml:space="preserve">função valor</w:t>
      </w:r>
      <w:r>
        <w:t xml:space="preserve"> </w:t>
      </w:r>
      <m:oMath>
        <m:r>
          <m:t>v</m:t>
        </m:r>
        <m:r>
          <m:rPr>
            <m:sty m:val="p"/>
          </m:rPr>
          <m:t>(</m:t>
        </m:r>
        <m:r>
          <m:t>x</m:t>
        </m:r>
        <m:r>
          <m:rPr>
            <m:sty m:val="p"/>
          </m:rPr>
          <m:t>)</m:t>
        </m:r>
      </m:oMath>
      <w:r>
        <w:t xml:space="preserve"> </w:t>
      </w:r>
      <w:r>
        <w:t xml:space="preserve">possui três propriedades fundamentais:</w:t>
      </w:r>
    </w:p>
    <w:p>
      <w:pPr>
        <w:pStyle w:val="Compact"/>
        <w:numPr>
          <w:ilvl w:val="0"/>
          <w:numId w:val="1388"/>
        </w:numPr>
      </w:pPr>
      <w:r>
        <w:rPr>
          <w:b/>
          <w:bCs/>
        </w:rPr>
        <w:t xml:space="preserve">Dependência de referência:</w:t>
      </w:r>
      <w:r>
        <w:t xml:space="preserve"> </w:t>
      </w:r>
      <w:r>
        <w:t xml:space="preserve">o portador de valor é a variação</w:t>
      </w:r>
      <w:r>
        <w:t xml:space="preserve"> </w:t>
      </w:r>
      <m:oMath>
        <m:r>
          <m:t>x</m:t>
        </m:r>
      </m:oMath>
      <w:r>
        <w:t xml:space="preserve"> </w:t>
      </w:r>
      <w:r>
        <w:t xml:space="preserve">em relação ao ponto de referência, não o nível absoluto de riqueza.</w:t>
      </w:r>
    </w:p>
    <w:p>
      <w:pPr>
        <w:pStyle w:val="Compact"/>
        <w:numPr>
          <w:ilvl w:val="0"/>
          <w:numId w:val="1388"/>
        </w:numPr>
      </w:pPr>
      <w:r>
        <w:rPr>
          <w:b/>
          <w:bCs/>
        </w:rPr>
        <w:t xml:space="preserve">Concavidade para ganhos, convexidade para perdas:</w:t>
      </w:r>
      <w:r>
        <w:t xml:space="preserve"> </w:t>
      </w:r>
      <w:r>
        <w:t xml:space="preserve">os agentes são avessos ao risco no domínio dos ganhos e propensos ao risco no domínio das perdas.</w:t>
      </w:r>
    </w:p>
    <w:p>
      <w:pPr>
        <w:pStyle w:val="Compact"/>
        <w:numPr>
          <w:ilvl w:val="0"/>
          <w:numId w:val="1388"/>
        </w:numPr>
      </w:pPr>
      <w:r>
        <w:rPr>
          <w:b/>
          <w:bCs/>
        </w:rPr>
        <w:t xml:space="preserve">Aversão à perda:</w:t>
      </w:r>
      <w:r>
        <w:t xml:space="preserve"> </w:t>
      </w:r>
      <w:r>
        <w:t xml:space="preserve">a função é mais íngreme para perdas do que para ganhos — perder R$ 100 dói mais do que ganhar R$ 100 agrada.</w:t>
      </w:r>
    </w:p>
    <w:p>
      <w:pPr>
        <w:pStyle w:val="BlockText"/>
      </w:pPr>
      <w:r>
        <w:rPr>
          <w:b/>
          <w:bCs/>
        </w:rPr>
        <w:t xml:space="preserve">[DEFINICAO] Aversão à perda</w:t>
      </w:r>
    </w:p>
    <w:p>
      <w:pPr>
        <w:pStyle w:val="BlockText"/>
      </w:pPr>
      <w:r>
        <w:t xml:space="preserve">A</w:t>
      </w:r>
      <w:r>
        <w:t xml:space="preserve"> </w:t>
      </w:r>
      <w:r>
        <w:rPr>
          <w:b/>
          <w:bCs/>
        </w:rPr>
        <w:t xml:space="preserve">aversão à perda</w:t>
      </w:r>
      <w:r>
        <w:t xml:space="preserve"> </w:t>
      </w:r>
      <w:r>
        <w:t xml:space="preserve">é a assimetria na avaliação de ganhos e perdas: o impacto psicológico de uma perda de magnitude</w:t>
      </w:r>
      <w:r>
        <w:t xml:space="preserve"> </w:t>
      </w:r>
      <m:oMath>
        <m:r>
          <m:rPr>
            <m:sty m:val="p"/>
          </m:rPr>
          <m:t>|</m:t>
        </m:r>
        <m:r>
          <m:t>x</m:t>
        </m:r>
        <m:r>
          <m:rPr>
            <m:sty m:val="p"/>
          </m:rPr>
          <m:t>|</m:t>
        </m:r>
      </m:oMath>
      <w:r>
        <w:t xml:space="preserve"> </w:t>
      </w:r>
      <w:r>
        <w:t xml:space="preserve">é maior do que o de um ganho de mesma magnitude. Formalmente,</w:t>
      </w:r>
      <w:r>
        <w:t xml:space="preserve"> </w:t>
      </w:r>
      <m:oMath>
        <m:r>
          <m:rPr>
            <m:sty m:val="p"/>
          </m:rPr>
          <m:t>|</m:t>
        </m:r>
        <m:r>
          <m:t>v</m:t>
        </m:r>
        <m:r>
          <m:rPr>
            <m:sty m:val="p"/>
          </m:rPr>
          <m:t>(</m:t>
        </m:r>
        <m:r>
          <m:rPr>
            <m:sty m:val="p"/>
          </m:rPr>
          <m:t>−</m:t>
        </m:r>
        <m:r>
          <m:t>x</m:t>
        </m:r>
        <m:r>
          <m:rPr>
            <m:sty m:val="p"/>
          </m:rPr>
          <m:t>)</m:t>
        </m:r>
        <m:r>
          <m:rPr>
            <m:sty m:val="p"/>
          </m:rPr>
          <m:t>|</m:t>
        </m:r>
        <m:r>
          <m:rPr>
            <m:sty m:val="p"/>
          </m:rPr>
          <m:t>&gt;</m:t>
        </m:r>
        <m:r>
          <m:t>v</m:t>
        </m:r>
        <m:r>
          <m:rPr>
            <m:sty m:val="p"/>
          </m:rPr>
          <m:t>(</m:t>
        </m:r>
        <m:r>
          <m:t>x</m:t>
        </m:r>
        <m:r>
          <m:rPr>
            <m:sty m:val="p"/>
          </m:rPr>
          <m:t>)</m:t>
        </m:r>
      </m:oMath>
      <w:r>
        <w:t xml:space="preserve"> </w:t>
      </w:r>
      <w:r>
        <w:t xml:space="preserve">para todo</w:t>
      </w:r>
      <w:r>
        <w:t xml:space="preserve"> </w:t>
      </w:r>
      <m:oMath>
        <m:r>
          <m:t>x</m:t>
        </m:r>
        <m:r>
          <m:rPr>
            <m:sty m:val="p"/>
          </m:rPr>
          <m:t>&gt;</m:t>
        </m:r>
        <m:r>
          <m:t>0</m:t>
        </m:r>
      </m:oMath>
      <w:r>
        <w:t xml:space="preserve">. O coeficiente de aversão à perda</w:t>
      </w:r>
      <w:r>
        <w:t xml:space="preserve"> </w:t>
      </w:r>
      <m:oMath>
        <m:r>
          <m:t>λ</m:t>
        </m:r>
        <m:r>
          <m:rPr>
            <m:sty m:val="p"/>
          </m:rPr>
          <m:t>=</m:t>
        </m:r>
        <m:r>
          <m:rPr>
            <m:sty m:val="p"/>
          </m:rPr>
          <m:t>|</m:t>
        </m:r>
        <m:r>
          <m:t>v</m:t>
        </m:r>
        <m:r>
          <m:rPr>
            <m:sty m:val="p"/>
          </m:rPr>
          <m:t>(</m:t>
        </m:r>
        <m:r>
          <m:rPr>
            <m:sty m:val="p"/>
          </m:rPr>
          <m:t>−</m:t>
        </m:r>
        <m:r>
          <m:t>x</m:t>
        </m:r>
        <m:r>
          <m:rPr>
            <m:sty m:val="p"/>
          </m:rPr>
          <m:t>)</m:t>
        </m:r>
        <m:r>
          <m:rPr>
            <m:sty m:val="p"/>
          </m:rPr>
          <m:t>|</m:t>
        </m:r>
        <m:r>
          <m:rPr>
            <m:sty m:val="p"/>
          </m:rPr>
          <m:t>/</m:t>
        </m:r>
        <m:r>
          <m:t>v</m:t>
        </m:r>
        <m:r>
          <m:rPr>
            <m:sty m:val="p"/>
          </m:rPr>
          <m:t>(</m:t>
        </m:r>
        <m:r>
          <m:t>x</m:t>
        </m:r>
        <m:r>
          <m:rPr>
            <m:sty m:val="p"/>
          </m:rPr>
          <m:t>)</m:t>
        </m:r>
      </m:oMath>
      <w:r>
        <w:t xml:space="preserve"> </w:t>
      </w:r>
      <w:r>
        <w:t xml:space="preserve">é tipicamente estimado em torno de</w:t>
      </w:r>
      <w:r>
        <w:t xml:space="preserve"> </w:t>
      </w:r>
      <m:oMath>
        <m:r>
          <m:t>2</m:t>
        </m:r>
        <m:r>
          <m:rPr>
            <m:sty m:val="p"/>
          </m:rPr>
          <m:t>,</m:t>
        </m:r>
        <m:r>
          <m:t>0</m:t>
        </m:r>
      </m:oMath>
      <w:r>
        <w:t xml:space="preserve"> </w:t>
      </w:r>
      <w:r>
        <w:t xml:space="preserve">a</w:t>
      </w:r>
      <w:r>
        <w:t xml:space="preserve"> </w:t>
      </w:r>
      <m:oMath>
        <m:r>
          <m:t>2</m:t>
        </m:r>
        <m:r>
          <m:rPr>
            <m:sty m:val="p"/>
          </m:rPr>
          <m:t>,</m:t>
        </m:r>
        <m:r>
          <m:t>5</m:t>
        </m:r>
      </m:oMath>
      <w:r>
        <w:t xml:space="preserve"> </w:t>
      </w:r>
      <w:r>
        <w:t xml:space="preserve">— ou seja, perdas</w:t>
      </w:r>
      <w:r>
        <w:t xml:space="preserve"> </w:t>
      </w:r>
      <w:r>
        <w:t xml:space="preserve">“pesam”</w:t>
      </w:r>
      <w:r>
        <w:t xml:space="preserve"> </w:t>
      </w:r>
      <w:r>
        <w:t xml:space="preserve">cerca de duas vezes mais que ganhos equivalentes.</w:t>
      </w:r>
    </w:p>
    <w:p>
      <w:pPr>
        <w:pStyle w:val="BlockText"/>
      </w:pPr>
      <w:r>
        <w:rPr>
          <w:b/>
          <w:bCs/>
        </w:rPr>
        <w:t xml:space="preserve">[ATENCAO] Cuidado</w:t>
      </w:r>
    </w:p>
    <w:p>
      <w:pPr>
        <w:pStyle w:val="BlockText"/>
      </w:pPr>
      <w:r>
        <w:rPr>
          <w:b/>
          <w:bCs/>
        </w:rPr>
        <w:t xml:space="preserve">Aversão à perda ≠ Aversão ao risco.</w:t>
      </w:r>
      <w:r>
        <w:t xml:space="preserve"> </w:t>
      </w:r>
      <w:r>
        <w:t xml:space="preserve">É um erro frequente confundir esses dois conceitos. A</w:t>
      </w:r>
      <w:r>
        <w:t xml:space="preserve"> </w:t>
      </w:r>
      <w:r>
        <w:rPr>
          <w:b/>
          <w:bCs/>
        </w:rPr>
        <w:t xml:space="preserve">aversão ao risco</w:t>
      </w:r>
      <w:r>
        <w:t xml:space="preserve"> </w:t>
      </w:r>
      <w:r>
        <w:t xml:space="preserve">(Capítulo 7) descreve a preferência por um resultado certo em relação a uma aposta com o mesmo valor esperado — ela decorre da</w:t>
      </w:r>
      <w:r>
        <w:t xml:space="preserve"> </w:t>
      </w:r>
      <w:r>
        <w:rPr>
          <w:i/>
          <w:iCs/>
        </w:rPr>
        <w:t xml:space="preserve">concavidade</w:t>
      </w:r>
      <w:r>
        <w:t xml:space="preserve"> </w:t>
      </w:r>
      <w:r>
        <w:t xml:space="preserve">da função de utilidade sobre riqueza. A</w:t>
      </w:r>
      <w:r>
        <w:t xml:space="preserve"> </w:t>
      </w:r>
      <w:r>
        <w:rPr>
          <w:b/>
          <w:bCs/>
        </w:rPr>
        <w:t xml:space="preserve">aversão à perda</w:t>
      </w:r>
      <w:r>
        <w:t xml:space="preserve"> </w:t>
      </w:r>
      <w:r>
        <w:t xml:space="preserve">é um fenômeno distinto: mesmo que a função valor</w:t>
      </w:r>
      <w:r>
        <w:t xml:space="preserve"> </w:t>
      </w:r>
      <m:oMath>
        <m:r>
          <m:t>v</m:t>
        </m:r>
        <m:r>
          <m:rPr>
            <m:sty m:val="p"/>
          </m:rPr>
          <m:t>(</m:t>
        </m:r>
        <m:r>
          <m:t>x</m:t>
        </m:r>
        <m:r>
          <m:rPr>
            <m:sty m:val="p"/>
          </m:rPr>
          <m:t>)</m:t>
        </m:r>
      </m:oMath>
      <w:r>
        <w:t xml:space="preserve"> </w:t>
      </w:r>
      <w:r>
        <w:t xml:space="preserve">fosse linear (sem concavidade), a assimetria</w:t>
      </w:r>
      <w:r>
        <w:t xml:space="preserve"> </w:t>
      </w:r>
      <m:oMath>
        <m:r>
          <m:t>λ</m:t>
        </m:r>
        <m:r>
          <m:rPr>
            <m:sty m:val="p"/>
          </m:rPr>
          <m:t>&gt;</m:t>
        </m:r>
        <m:r>
          <m:t>1</m:t>
        </m:r>
      </m:oMath>
      <w:r>
        <w:t xml:space="preserve"> </w:t>
      </w:r>
      <w:r>
        <w:t xml:space="preserve">geraria aversão à perda. Um agente pode, em princípio, ser neutro ao risco e ainda assim ser avesso à perda — pois os dois conceitos operam em dimensões diferentes. Concretamente: a aversão ao risco explica por que você prefere R$ 500 certos a uma aposta de 50% de chance de R$ 1.000; a aversão à perda explica por que você recusa uma aposta de 50% de ganhar R$ 150 contra 50% de</w:t>
      </w:r>
      <w:r>
        <w:t xml:space="preserve"> </w:t>
      </w:r>
      <w:r>
        <w:rPr>
          <w:i/>
          <w:iCs/>
        </w:rPr>
        <w:t xml:space="preserve">perder</w:t>
      </w:r>
      <w:r>
        <w:t xml:space="preserve"> </w:t>
      </w:r>
      <w:r>
        <w:t xml:space="preserve">R$ 100, mesmo com valor esperado positivo de R$ 25. Misturar os dois conceitos leva a erros na calibração de modelos e na interpretação de evidências empíricas.</w:t>
      </w:r>
    </w:p>
    <w:p>
      <w:pPr>
        <w:pStyle w:val="BlockText"/>
      </w:pPr>
      <w:r>
        <w:rPr>
          <w:b/>
          <w:bCs/>
        </w:rPr>
        <w:t xml:space="preserve">[INTUICAO ECONOMICA] Intuição Econômica</w:t>
      </w:r>
    </w:p>
    <w:p>
      <w:pPr>
        <w:pStyle w:val="BlockText"/>
      </w:pPr>
      <w:r>
        <w:rPr>
          <w:b/>
          <w:bCs/>
        </w:rPr>
        <w:t xml:space="preserve">Em uma frase:</w:t>
      </w:r>
      <w:r>
        <w:t xml:space="preserve"> </w:t>
      </w:r>
      <w:r>
        <w:t xml:space="preserve">Perder dói mais do que ganhar alegra — por isso as pessoas rejeitam apostas matematicamente favoráveis.</w:t>
      </w:r>
    </w:p>
    <w:p>
      <w:pPr>
        <w:pStyle w:val="BlockText"/>
      </w:pPr>
      <w:r>
        <w:rPr>
          <w:b/>
          <w:bCs/>
        </w:rPr>
        <w:t xml:space="preserve">Pense assim:</w:t>
      </w:r>
      <w:r>
        <w:t xml:space="preserve"> </w:t>
      </w:r>
      <w:r>
        <w:t xml:space="preserve">Uma moeda justa paga R$ 150 na cara e cobra R$ 100 na coroa. O valor esperado é +R$ 25, mas com</w:t>
      </w:r>
      <w:r>
        <w:t xml:space="preserve"> </w:t>
      </w:r>
      <m:oMath>
        <m:r>
          <m:t>λ</m:t>
        </m:r>
        <m:r>
          <m:rPr>
            <m:sty m:val="p"/>
          </m:rPr>
          <m:t>≈</m:t>
        </m:r>
        <m:r>
          <m:t>2</m:t>
        </m:r>
        <m:r>
          <m:rPr>
            <m:sty m:val="p"/>
          </m:rPr>
          <m:t>,</m:t>
        </m:r>
        <m:r>
          <m:t>25</m:t>
        </m:r>
      </m:oMath>
      <w:r>
        <w:t xml:space="preserve">, a perda potencial</w:t>
      </w:r>
      <w:r>
        <w:t xml:space="preserve"> </w:t>
      </w:r>
      <w:r>
        <w:t xml:space="preserve">“pesa”</w:t>
      </w:r>
      <w:r>
        <w:t xml:space="preserve"> </w:t>
      </w:r>
      <w:r>
        <w:t xml:space="preserve">R$ 225 em termos psicológicos — mais do que os R$ 150 do ganho. A maioria das pessoas recusa a aposta.</w:t>
      </w:r>
    </w:p>
    <w:p>
      <w:pPr>
        <w:pStyle w:val="BlockText"/>
      </w:pPr>
      <w:r>
        <w:rPr>
          <w:b/>
          <w:bCs/>
        </w:rPr>
        <w:t xml:space="preserve">Por que isso importa:</w:t>
      </w:r>
      <w:r>
        <w:t xml:space="preserve"> </w:t>
      </w:r>
      <w:r>
        <w:t xml:space="preserve">A aversão à perda explica por que investidores seguram ações perdedoras tempo demais (</w:t>
      </w:r>
      <w:r>
        <w:t xml:space="preserve">“não quero realizar o prejuízo”</w:t>
      </w:r>
      <w:r>
        <w:t xml:space="preserve">) e vendem vencedoras cedo demais (</w:t>
      </w:r>
      <w:r>
        <w:t xml:space="preserve">“melhor garantir o lucro”</w:t>
      </w:r>
      <w:r>
        <w:t xml:space="preserve">) — o chamado efeito disposição, documentado na B3.</w:t>
      </w:r>
      <w:r>
        <w:rPr>
          <w:rStyle w:val="FootnoteReference"/>
        </w:rPr>
        <w:footnoteReference w:id="379"/>
      </w:r>
    </w:p>
    <w:p>
      <w:pPr>
        <w:pStyle w:val="FirstParagraph"/>
      </w:pPr>
      <w:r>
        <w:t xml:space="preserve">Uma especificação paramétrica comum é:</w:t>
      </w:r>
    </w:p>
    <w:p>
      <w:pPr>
        <w:pStyle w:val="BodyText"/>
      </w:pPr>
      <m:oMathPara>
        <m:oMathParaPr>
          <m:jc m:val="center"/>
        </m:oMathParaPr>
        <m:oMath>
          <m:r>
            <m:t>v</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p>
                      <m:e>
                        <m:r>
                          <m:t>x</m:t>
                        </m:r>
                      </m:e>
                      <m:sup>
                        <m:r>
                          <m:t>α</m:t>
                        </m:r>
                      </m:sup>
                    </m:sSup>
                  </m:e>
                  <m:e>
                    <m:r>
                      <m:rPr>
                        <m:nor/>
                        <m:sty m:val="p"/>
                      </m:rPr>
                      <m:t>se </m:t>
                    </m:r>
                    <m:r>
                      <m:t>x</m:t>
                    </m:r>
                    <m:r>
                      <m:rPr>
                        <m:sty m:val="p"/>
                      </m:rPr>
                      <m:t>≥</m:t>
                    </m:r>
                    <m:r>
                      <m:t>0</m:t>
                    </m:r>
                  </m:e>
                </m:mr>
                <m:mr>
                  <m:e>
                    <m:r>
                      <m:rPr>
                        <m:sty m:val="p"/>
                      </m:rPr>
                      <m:t>−</m:t>
                    </m:r>
                    <m:r>
                      <m:t>λ</m:t>
                    </m:r>
                    <m:r>
                      <m:rPr>
                        <m:sty m:val="p"/>
                      </m:rPr>
                      <m:t>(</m:t>
                    </m:r>
                    <m:r>
                      <m:rPr>
                        <m:sty m:val="p"/>
                      </m:rPr>
                      <m:t>−</m:t>
                    </m:r>
                    <m:r>
                      <m:t>x</m:t>
                    </m:r>
                    <m:sSup>
                      <m:e>
                        <m:r>
                          <m:rPr>
                            <m:sty m:val="p"/>
                          </m:rPr>
                          <m:t>)</m:t>
                        </m:r>
                      </m:e>
                      <m:sup>
                        <m:r>
                          <m:t>β</m:t>
                        </m:r>
                      </m:sup>
                    </m:sSup>
                  </m:e>
                  <m:e>
                    <m:r>
                      <m:rPr>
                        <m:nor/>
                        <m:sty m:val="p"/>
                      </m:rPr>
                      <m:t>se </m:t>
                    </m:r>
                    <m:r>
                      <m:t>x</m:t>
                    </m:r>
                    <m:r>
                      <m:rPr>
                        <m:sty m:val="p"/>
                      </m:rPr>
                      <m:t>&lt;</m:t>
                    </m:r>
                    <m:r>
                      <m:t>0</m:t>
                    </m:r>
                  </m:e>
                </m:mr>
              </m:m>
            </m:e>
          </m:d>
        </m:oMath>
      </m:oMathPara>
    </w:p>
    <w:p>
      <w:pPr>
        <w:pStyle w:val="FirstParagraph"/>
      </w:pPr>
      <w:r>
        <w:t xml:space="preserve">onde</w:t>
      </w:r>
      <w:r>
        <w:t xml:space="preserve"> </w:t>
      </w:r>
      <m:oMath>
        <m:r>
          <m:t>α</m:t>
        </m:r>
        <m:r>
          <m:rPr>
            <m:sty m:val="p"/>
          </m:rPr>
          <m:t>,</m:t>
        </m:r>
        <m:r>
          <m:t>β</m:t>
        </m:r>
        <m:r>
          <m:rPr>
            <m:sty m:val="p"/>
          </m:rPr>
          <m:t>∈</m:t>
        </m:r>
        <m:r>
          <m:rPr>
            <m:sty m:val="p"/>
          </m:rPr>
          <m:t>(</m:t>
        </m:r>
        <m:r>
          <m:t>0</m:t>
        </m:r>
        <m:r>
          <m:rPr>
            <m:sty m:val="p"/>
          </m:rPr>
          <m:t>,</m:t>
        </m:r>
        <m:r>
          <m:t>1</m:t>
        </m:r>
        <m:r>
          <m:rPr>
            <m:sty m:val="p"/>
          </m:rPr>
          <m:t>)</m:t>
        </m:r>
      </m:oMath>
      <w:r>
        <w:t xml:space="preserve"> </w:t>
      </w:r>
      <w:r>
        <w:t xml:space="preserve">capturam a concavidade/convexidade e</w:t>
      </w:r>
      <w:r>
        <w:t xml:space="preserve"> </w:t>
      </w:r>
      <m:oMath>
        <m:r>
          <m:t>λ</m:t>
        </m:r>
        <m:r>
          <m:rPr>
            <m:sty m:val="p"/>
          </m:rPr>
          <m:t>&gt;</m:t>
        </m:r>
        <m:r>
          <m:t>1</m:t>
        </m:r>
      </m:oMath>
      <w:r>
        <w:t xml:space="preserve"> </w:t>
      </w:r>
      <w:r>
        <w:t xml:space="preserve">captura a aversão à perda. Na equação Eq. (eq:8.1), as estimativas originais de Tversky e Kahneman (1992) são</w:t>
      </w:r>
      <w:r>
        <w:t xml:space="preserve"> </w:t>
      </w:r>
      <m:oMath>
        <m:r>
          <m:t>α</m:t>
        </m:r>
        <m:r>
          <m:rPr>
            <m:sty m:val="p"/>
          </m:rPr>
          <m:t>=</m:t>
        </m:r>
        <m:r>
          <m:t>β</m:t>
        </m:r>
        <m:r>
          <m:rPr>
            <m:sty m:val="p"/>
          </m:rPr>
          <m:t>=</m:t>
        </m:r>
        <m:r>
          <m:t>0</m:t>
        </m:r>
        <m:r>
          <m:rPr>
            <m:sty m:val="p"/>
          </m:rPr>
          <m:t>,</m:t>
        </m:r>
        <m:r>
          <m:t>88</m:t>
        </m:r>
      </m:oMath>
      <w:r>
        <w:t xml:space="preserve"> </w:t>
      </w:r>
      <w:r>
        <w:t xml:space="preserve">e</w:t>
      </w:r>
      <w:r>
        <w:t xml:space="preserve"> </w:t>
      </w:r>
      <m:oMath>
        <m:r>
          <m:t>λ</m:t>
        </m:r>
        <m:r>
          <m:rPr>
            <m:sty m:val="p"/>
          </m:rPr>
          <m:t>=</m:t>
        </m:r>
        <m:r>
          <m:t>2</m:t>
        </m:r>
        <m:r>
          <m:rPr>
            <m:sty m:val="p"/>
          </m:rPr>
          <m:t>,</m:t>
        </m:r>
        <m:r>
          <m:t>25</m:t>
        </m:r>
      </m:oMath>
      <w:r>
        <w:t xml:space="preserve">.</w:t>
      </w:r>
    </w:p>
    <w:p>
      <w:pPr>
        <w:pStyle w:val="BodyText"/>
      </w:pPr>
      <w:r>
        <w:t xml:space="preserve">[FIGURA INTERATIVA: /micro-book/graficos/cap08/funcao-valor-pt.html — versao interativa disponivel online]</w:t>
      </w:r>
    </w:p>
    <w:p>
      <w:pPr>
        <w:pStyle w:val="BodyText"/>
      </w:pPr>
      <w:r>
        <w:rPr>
          <w:b/>
          <w:bCs/>
        </w:rPr>
        <w:t xml:space="preserve">Figura 8.1 — Função valor da Teoria do Prospecto.</w:t>
      </w:r>
      <w:r>
        <w:t xml:space="preserve"> </w:t>
      </w:r>
      <w:r>
        <w:t xml:space="preserve">Ajuste os parâmetros de curvatura e aversão à perda para observar a assimetria entre ganhos e perdas.</w:t>
      </w:r>
    </w:p>
    <w:p>
      <w:pPr>
        <w:pStyle w:val="BodyText"/>
      </w:pPr>
      <w:r>
        <w:t xml:space="preserve">A</w:t>
      </w:r>
      <w:r>
        <w:t xml:space="preserve"> </w:t>
      </w:r>
      <w:hyperlink w:anchor="tabela-8-2">
        <w:r>
          <w:rPr>
            <w:rStyle w:val="Hyperlink"/>
          </w:rPr>
          <w:t xml:space="preserve">Tabela 8.2</w:t>
        </w:r>
      </w:hyperlink>
      <w:r>
        <w:t xml:space="preserve"> </w:t>
      </w:r>
      <w:r>
        <w:t xml:space="preserve">compara as estimativas dos parâmetros da Teoria do Prospecto em diferentes estudos: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Estudo</w:t>
            </w:r>
          </w:p>
        </w:tc>
        <w:tc>
          <w:tcPr/>
          <w:p>
            <w:pPr>
              <w:pStyle w:val="Compact"/>
            </w:pPr>
            <m:oMath>
              <m:r>
                <m:t>α</m:t>
              </m:r>
            </m:oMath>
          </w:p>
        </w:tc>
        <w:tc>
          <w:tcPr/>
          <w:p>
            <w:pPr>
              <w:pStyle w:val="Compact"/>
            </w:pPr>
            <m:oMath>
              <m:r>
                <m:t>β</m:t>
              </m:r>
            </m:oMath>
          </w:p>
        </w:tc>
        <w:tc>
          <w:tcPr/>
          <w:p>
            <w:pPr>
              <w:pStyle w:val="Compact"/>
            </w:pPr>
            <m:oMath>
              <m:r>
                <m:t>λ</m:t>
              </m:r>
            </m:oMath>
          </w:p>
        </w:tc>
        <w:tc>
          <w:tcPr/>
          <w:p>
            <w:pPr>
              <w:pStyle w:val="Compact"/>
            </w:pPr>
            <m:oMath>
              <m:sSup>
                <m:e>
                  <m:r>
                    <m:t>γ</m:t>
                  </m:r>
                </m:e>
                <m:sup>
                  <m:r>
                    <m:rPr>
                      <m:sty m:val="p"/>
                    </m:rPr>
                    <m:t>+</m:t>
                  </m:r>
                </m:sup>
              </m:sSup>
            </m:oMath>
          </w:p>
        </w:tc>
        <w:tc>
          <w:tcPr/>
          <w:p>
            <w:pPr>
              <w:pStyle w:val="Compact"/>
            </w:pPr>
            <m:oMath>
              <m:sSup>
                <m:e>
                  <m:r>
                    <m:t>γ</m:t>
                  </m:r>
                </m:e>
                <m:sup>
                  <m:r>
                    <m:rPr>
                      <m:sty m:val="p"/>
                    </m:rPr>
                    <m:t>−</m:t>
                  </m:r>
                </m:sup>
              </m:sSup>
            </m:oMath>
          </w:p>
        </w:tc>
        <w:tc>
          <w:tcPr/>
          <w:p>
            <w:pPr>
              <w:pStyle w:val="Compact"/>
            </w:pPr>
            <w:r>
              <w:t xml:space="preserve">Método</w:t>
            </w:r>
          </w:p>
        </w:tc>
      </w:tr>
      <w:tr>
        <w:tc>
          <w:tcPr/>
          <w:p>
            <w:pPr>
              <w:pStyle w:val="Compact"/>
            </w:pPr>
            <w:r>
              <w:t xml:space="preserve">Tversky e Kahneman (1992)</w:t>
            </w:r>
          </w:p>
        </w:tc>
        <w:tc>
          <w:tcPr/>
          <w:p>
            <w:pPr>
              <w:pStyle w:val="Compact"/>
            </w:pPr>
            <w:r>
              <w:t xml:space="preserve">0,88</w:t>
            </w:r>
          </w:p>
        </w:tc>
        <w:tc>
          <w:tcPr/>
          <w:p>
            <w:pPr>
              <w:pStyle w:val="Compact"/>
            </w:pPr>
            <w:r>
              <w:t xml:space="preserve">0,88</w:t>
            </w:r>
          </w:p>
        </w:tc>
        <w:tc>
          <w:tcPr/>
          <w:p>
            <w:pPr>
              <w:pStyle w:val="Compact"/>
            </w:pPr>
            <w:r>
              <w:t xml:space="preserve">2,25</w:t>
            </w:r>
          </w:p>
        </w:tc>
        <w:tc>
          <w:tcPr/>
          <w:p>
            <w:pPr>
              <w:pStyle w:val="Compact"/>
            </w:pPr>
            <w:r>
              <w:t xml:space="preserve">0,61</w:t>
            </w:r>
          </w:p>
        </w:tc>
        <w:tc>
          <w:tcPr/>
          <w:p>
            <w:pPr>
              <w:pStyle w:val="Compact"/>
            </w:pPr>
            <w:r>
              <w:t xml:space="preserve">0,69</w:t>
            </w:r>
          </w:p>
        </w:tc>
        <w:tc>
          <w:tcPr/>
          <w:p>
            <w:pPr>
              <w:pStyle w:val="Compact"/>
            </w:pPr>
            <w:r>
              <w:t xml:space="preserve">Equivalentes de certeza</w:t>
            </w:r>
          </w:p>
        </w:tc>
      </w:tr>
      <w:tr>
        <w:tc>
          <w:tcPr/>
          <w:p>
            <w:pPr>
              <w:pStyle w:val="Compact"/>
            </w:pPr>
            <w:r>
              <w:t xml:space="preserve">Camerer e Ho (1994)</w:t>
            </w:r>
          </w:p>
        </w:tc>
        <w:tc>
          <w:tcPr/>
          <w:p>
            <w:pPr>
              <w:pStyle w:val="Compact"/>
            </w:pPr>
            <w:r>
              <w:t xml:space="preserve">0,37</w:t>
            </w:r>
          </w:p>
        </w:tc>
        <w:tc>
          <w:tcPr/>
          <w:p>
            <w:pPr>
              <w:pStyle w:val="Compact"/>
            </w:pPr>
            <w:r>
              <w:t xml:space="preserve">—</w:t>
            </w:r>
          </w:p>
        </w:tc>
        <w:tc>
          <w:tcPr/>
          <w:p>
            <w:pPr>
              <w:pStyle w:val="Compact"/>
            </w:pPr>
            <w:r>
              <w:t xml:space="preserve">—</w:t>
            </w:r>
          </w:p>
        </w:tc>
        <w:tc>
          <w:tcPr/>
          <w:p>
            <w:pPr>
              <w:pStyle w:val="Compact"/>
            </w:pPr>
            <w:r>
              <w:t xml:space="preserve">0,56</w:t>
            </w:r>
          </w:p>
        </w:tc>
        <w:tc>
          <w:tcPr/>
          <w:p>
            <w:pPr>
              <w:pStyle w:val="Compact"/>
            </w:pPr>
            <w:r>
              <w:t xml:space="preserve">—</w:t>
            </w:r>
          </w:p>
        </w:tc>
        <w:tc>
          <w:tcPr/>
          <w:p>
            <w:pPr>
              <w:pStyle w:val="Compact"/>
            </w:pPr>
            <w:r>
              <w:t xml:space="preserve">Dados experimentais</w:t>
            </w:r>
          </w:p>
        </w:tc>
      </w:tr>
      <w:tr>
        <w:tc>
          <w:tcPr/>
          <w:p>
            <w:pPr>
              <w:pStyle w:val="Compact"/>
            </w:pPr>
            <w:r>
              <w:t xml:space="preserve">Wu e Gonzalez (1996)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0,71</w:t>
            </w:r>
          </w:p>
        </w:tc>
        <w:tc>
          <w:tcPr/>
          <w:p>
            <w:pPr>
              <w:pStyle w:val="Compact"/>
            </w:pPr>
            <w:r>
              <w:t xml:space="preserve">—</w:t>
            </w:r>
          </w:p>
        </w:tc>
        <w:tc>
          <w:tcPr/>
          <w:p>
            <w:pPr>
              <w:pStyle w:val="Compact"/>
            </w:pPr>
            <w:r>
              <w:t xml:space="preserve">Loterias binárias</w:t>
            </w:r>
          </w:p>
        </w:tc>
      </w:tr>
      <w:tr>
        <w:tc>
          <w:tcPr/>
          <w:p>
            <w:pPr>
              <w:pStyle w:val="Compact"/>
            </w:pPr>
            <w:r>
              <w:t xml:space="preserve">Abdellaoui (2000)</w:t>
            </w:r>
          </w:p>
        </w:tc>
        <w:tc>
          <w:tcPr/>
          <w:p>
            <w:pPr>
              <w:pStyle w:val="Compact"/>
            </w:pPr>
            <w:r>
              <w:t xml:space="preserve">0,89</w:t>
            </w:r>
          </w:p>
        </w:tc>
        <w:tc>
          <w:tcPr/>
          <w:p>
            <w:pPr>
              <w:pStyle w:val="Compact"/>
            </w:pPr>
            <w:r>
              <w:t xml:space="preserve">0,92</w:t>
            </w:r>
          </w:p>
        </w:tc>
        <w:tc>
          <w:tcPr/>
          <w:p>
            <w:pPr>
              <w:pStyle w:val="Compact"/>
            </w:pPr>
            <w:r>
              <w:t xml:space="preserve">2,54</w:t>
            </w:r>
          </w:p>
        </w:tc>
        <w:tc>
          <w:tcPr/>
          <w:p>
            <w:pPr>
              <w:pStyle w:val="Compact"/>
            </w:pPr>
            <w:r>
              <w:t xml:space="preserve">0,60</w:t>
            </w:r>
          </w:p>
        </w:tc>
        <w:tc>
          <w:tcPr/>
          <w:p>
            <w:pPr>
              <w:pStyle w:val="Compact"/>
            </w:pPr>
            <w:r>
              <w:t xml:space="preserve">0,70</w:t>
            </w:r>
          </w:p>
        </w:tc>
        <w:tc>
          <w:tcPr/>
          <w:p>
            <w:pPr>
              <w:pStyle w:val="Compact"/>
            </w:pPr>
            <w:r>
              <w:t xml:space="preserve">Trade-off method</w:t>
            </w:r>
          </w:p>
        </w:tc>
      </w:tr>
      <w:tr>
        <w:tc>
          <w:tcPr/>
          <w:p>
            <w:pPr>
              <w:pStyle w:val="Compact"/>
            </w:pPr>
            <w:r>
              <w:t xml:space="preserve">Booij, van Praag e van de Kuilen (2010)</w:t>
            </w:r>
          </w:p>
        </w:tc>
        <w:tc>
          <w:tcPr/>
          <w:p>
            <w:pPr>
              <w:pStyle w:val="Compact"/>
            </w:pPr>
            <w:r>
              <w:t xml:space="preserve">0,86</w:t>
            </w:r>
          </w:p>
        </w:tc>
        <w:tc>
          <w:tcPr/>
          <w:p>
            <w:pPr>
              <w:pStyle w:val="Compact"/>
            </w:pPr>
            <w:r>
              <w:t xml:space="preserve">0,86</w:t>
            </w:r>
          </w:p>
        </w:tc>
        <w:tc>
          <w:tcPr/>
          <w:p>
            <w:pPr>
              <w:pStyle w:val="Compact"/>
            </w:pPr>
            <w:r>
              <w:t xml:space="preserve">2,09</w:t>
            </w:r>
          </w:p>
        </w:tc>
        <w:tc>
          <w:tcPr/>
          <w:p>
            <w:pPr>
              <w:pStyle w:val="Compact"/>
            </w:pPr>
            <w:r>
              <w:t xml:space="preserve">0,65</w:t>
            </w:r>
          </w:p>
        </w:tc>
        <w:tc>
          <w:tcPr/>
          <w:p>
            <w:pPr>
              <w:pStyle w:val="Compact"/>
            </w:pPr>
            <w:r>
              <w:t xml:space="preserve">0,65</w:t>
            </w:r>
          </w:p>
        </w:tc>
        <w:tc>
          <w:tcPr/>
          <w:p>
            <w:pPr>
              <w:pStyle w:val="Compact"/>
            </w:pPr>
            <w:r>
              <w:t xml:space="preserve">Meta-análise</w:t>
            </w:r>
          </w:p>
        </w:tc>
      </w:tr>
    </w:tbl>
    <w:p>
      <w:pPr>
        <w:pStyle w:val="BodyText"/>
      </w:pPr>
      <w:r>
        <w:rPr>
          <w:b/>
          <w:bCs/>
        </w:rPr>
        <w:t xml:space="preserve">Tabela 8.2 — Estimativas dos parâmetros da Teoria do Prospecto.</w:t>
      </w:r>
    </w:p>
    <w:p>
      <w:pPr>
        <w:pStyle w:val="BlockText"/>
      </w:pPr>
      <w:r>
        <w:rPr>
          <w:b/>
          <w:bCs/>
        </w:rPr>
        <w:t xml:space="preserve">[INFORMACAO] 🏅 Prêmio Nobel — Daniel Kahneman (2002)</w:t>
      </w:r>
    </w:p>
    <w:p>
      <w:pPr>
        <w:pStyle w:val="BlockText"/>
      </w:pPr>
      <w:r>
        <w:rPr>
          <w:b/>
          <w:bCs/>
        </w:rPr>
        <w:t xml:space="preserve">Daniel Kahneman</w:t>
      </w:r>
      <w:r>
        <w:t xml:space="preserve"> </w:t>
      </w:r>
      <w:r>
        <w:t xml:space="preserve">(1934–2024) foi um psicólogo israelense-americano. Formou-se na Universidade Hebraica de Jerusalém e obteve o PhD em Berkeley. Foi professor em Jerusalem, UBC e Princeton. Dividiu o Nobel de Economia com Vernon Smith — sendo um dos raros não-economistas a recebê-lo.</w:t>
      </w:r>
    </w:p>
    <w:p>
      <w:pPr>
        <w:pStyle w:val="BlockText"/>
      </w:pPr>
      <w:r>
        <w:rPr>
          <w:b/>
          <w:bCs/>
        </w:rPr>
        <w:t xml:space="preserve">Por que ganhou o Nobel:</w:t>
      </w:r>
      <w:r>
        <w:t xml:space="preserve"> </w:t>
      </w:r>
      <w:r>
        <w:t xml:space="preserve">Premiado por integrar insights da psicologia à ciência econômica, especialmente no que diz respeito ao julgamento e tomada de decisão sob incerteza. Com Amos Tversky (1937–1996), Kahneman desenvolveu a Teoria do Prospecto, que substitui a utilidade esperada por uma função valor definida sobre ganhos e perdas relativos a um ponto de referência, com aversão a perdas (</w:t>
      </w:r>
      <m:oMath>
        <m:r>
          <m:t>λ</m:t>
        </m:r>
        <m:r>
          <m:rPr>
            <m:sty m:val="p"/>
          </m:rPr>
          <m:t>≈</m:t>
        </m:r>
        <m:r>
          <m:t>2</m:t>
        </m:r>
        <m:r>
          <m:rPr>
            <m:sty m:val="p"/>
          </m:rPr>
          <m:t>,</m:t>
        </m:r>
        <m:r>
          <m:t>25</m:t>
        </m:r>
      </m:oMath>
      <w:r>
        <w:t xml:space="preserve">) e sensibilidade decrescente.</w:t>
      </w:r>
    </w:p>
    <w:p>
      <w:pPr>
        <w:pStyle w:val="BlockText"/>
      </w:pPr>
      <w:r>
        <w:rPr>
          <w:b/>
          <w:bCs/>
        </w:rPr>
        <w:t xml:space="preserve">Conexão com este capítulo:</w:t>
      </w:r>
      <w:r>
        <w:t xml:space="preserve"> </w:t>
      </w:r>
      <w:r>
        <w:t xml:space="preserve">A função valor da Teoria do Prospecto — côncava para ganhos, convexa para perdas, mais inclinada no domínio das perdas — é o ponto de partida deste capítulo. Os vieses cognitivos documentados por Kahneman e Tversky (representatividade, disponibilidade, ancoragem) explicam os desvios sistemáticos da racionalidade que motivam toda a economia comportamental discutida aqui.</w:t>
      </w:r>
    </w:p>
    <w:p>
      <w:pPr>
        <w:pStyle w:val="BlockText"/>
      </w:pPr>
      <w:r>
        <w:rPr>
          <w:b/>
          <w:bCs/>
        </w:rPr>
        <w:t xml:space="preserve">[EXERCICIO RESOLVIDO] Exercício Resolvido 8.1 — Função valor da Teoria do Prospecto</w:t>
      </w:r>
    </w:p>
    <w:p>
      <w:pPr>
        <w:pStyle w:val="BlockText"/>
      </w:pPr>
      <w:r>
        <w:rPr>
          <w:b/>
          <w:bCs/>
        </w:rPr>
        <w:t xml:space="preserve">Enunciado:</w:t>
      </w:r>
      <w:r>
        <w:t xml:space="preserve"> </w:t>
      </w:r>
      <w:r>
        <w:t xml:space="preserve">Usando a função valor paramétrica da Teoria do Prospecto com</w:t>
      </w:r>
      <w:r>
        <w:t xml:space="preserve"> </w:t>
      </w:r>
      <m:oMath>
        <m:r>
          <m:t>α</m:t>
        </m:r>
        <m:r>
          <m:rPr>
            <m:sty m:val="p"/>
          </m:rPr>
          <m:t>=</m:t>
        </m:r>
        <m:r>
          <m:t>β</m:t>
        </m:r>
        <m:r>
          <m:rPr>
            <m:sty m:val="p"/>
          </m:rPr>
          <m:t>=</m:t>
        </m:r>
        <m:r>
          <m:t>0</m:t>
        </m:r>
        <m:r>
          <m:rPr>
            <m:sty m:val="p"/>
          </m:rPr>
          <m:t>,</m:t>
        </m:r>
        <m:r>
          <m:t>88</m:t>
        </m:r>
      </m:oMath>
      <w:r>
        <w:t xml:space="preserve"> </w:t>
      </w:r>
      <w:r>
        <w:t xml:space="preserve">e</w:t>
      </w:r>
      <w:r>
        <w:t xml:space="preserve"> </w:t>
      </w:r>
      <m:oMath>
        <m:r>
          <m:t>λ</m:t>
        </m:r>
        <m:r>
          <m:rPr>
            <m:sty m:val="p"/>
          </m:rPr>
          <m:t>=</m:t>
        </m:r>
        <m:r>
          <m:t>2</m:t>
        </m:r>
        <m:r>
          <m:rPr>
            <m:sty m:val="p"/>
          </m:rPr>
          <m:t>,</m:t>
        </m:r>
        <m:r>
          <m:t>25</m:t>
        </m:r>
      </m:oMath>
      <w:r>
        <w:t xml:space="preserve">, calcule o valor subjetivo dos seguintes resultados:</w:t>
      </w:r>
      <w:r>
        <w:t xml:space="preserve"> </w:t>
      </w:r>
      <m:oMath>
        <m:r>
          <m:t>v</m:t>
        </m:r>
        <m:r>
          <m:rPr>
            <m:sty m:val="p"/>
          </m:rPr>
          <m:t>(</m:t>
        </m:r>
        <m:r>
          <m:t>100</m:t>
        </m:r>
        <m:r>
          <m:rPr>
            <m:sty m:val="p"/>
          </m:rPr>
          <m:t>)</m:t>
        </m:r>
      </m:oMath>
      <w:r>
        <w:t xml:space="preserve">,</w:t>
      </w:r>
      <w:r>
        <w:t xml:space="preserve"> </w:t>
      </w:r>
      <m:oMath>
        <m:r>
          <m:t>v</m:t>
        </m:r>
        <m:r>
          <m:rPr>
            <m:sty m:val="p"/>
          </m:rPr>
          <m:t>(</m:t>
        </m:r>
        <m:r>
          <m:rPr>
            <m:sty m:val="p"/>
          </m:rPr>
          <m:t>−</m:t>
        </m:r>
        <m:r>
          <m:t>100</m:t>
        </m:r>
        <m:r>
          <m:rPr>
            <m:sty m:val="p"/>
          </m:rPr>
          <m:t>)</m:t>
        </m:r>
      </m:oMath>
      <w:r>
        <w:t xml:space="preserve">,</w:t>
      </w:r>
      <w:r>
        <w:t xml:space="preserve"> </w:t>
      </w:r>
      <m:oMath>
        <m:r>
          <m:t>v</m:t>
        </m:r>
        <m:r>
          <m:rPr>
            <m:sty m:val="p"/>
          </m:rPr>
          <m:t>(</m:t>
        </m:r>
        <m:r>
          <m:t>250</m:t>
        </m:r>
        <m:r>
          <m:rPr>
            <m:sty m:val="p"/>
          </m:rPr>
          <m:t>)</m:t>
        </m:r>
      </m:oMath>
      <w:r>
        <w:t xml:space="preserve"> </w:t>
      </w:r>
      <w:r>
        <w:t xml:space="preserve">e</w:t>
      </w:r>
      <w:r>
        <w:t xml:space="preserve"> </w:t>
      </w:r>
      <m:oMath>
        <m:r>
          <m:t>v</m:t>
        </m:r>
        <m:r>
          <m:rPr>
            <m:sty m:val="p"/>
          </m:rPr>
          <m:t>(</m:t>
        </m:r>
        <m:r>
          <m:rPr>
            <m:sty m:val="p"/>
          </m:rPr>
          <m:t>−</m:t>
        </m:r>
        <m:r>
          <m:t>250</m:t>
        </m:r>
        <m:r>
          <m:rPr>
            <m:sty m:val="p"/>
          </m:rPr>
          <m:t>)</m:t>
        </m:r>
      </m:oMath>
      <w:r>
        <w:t xml:space="preserve">. Em seguida, verifique a propriedade de aversão à perda e a sensibilidade decrescente.</w:t>
      </w:r>
    </w:p>
    <w:p>
      <w:pPr>
        <w:pStyle w:val="BlockText"/>
      </w:pPr>
      <w:r>
        <w:rPr>
          <w:b/>
          <w:bCs/>
        </w:rPr>
        <w:t xml:space="preserve">Dados:</w:t>
      </w:r>
      <w:r>
        <w:t xml:space="preserve"> </w:t>
      </w:r>
      <m:oMath>
        <m:r>
          <m:t>α</m:t>
        </m:r>
        <m:r>
          <m:rPr>
            <m:sty m:val="p"/>
          </m:rPr>
          <m:t>=</m:t>
        </m:r>
        <m:r>
          <m:t>0</m:t>
        </m:r>
        <m:r>
          <m:rPr>
            <m:sty m:val="p"/>
          </m:rPr>
          <m:t>,</m:t>
        </m:r>
        <m:r>
          <m:t>88</m:t>
        </m:r>
      </m:oMath>
      <w:r>
        <w:t xml:space="preserve">,</w:t>
      </w:r>
      <w:r>
        <w:t xml:space="preserve"> </w:t>
      </w:r>
      <m:oMath>
        <m:r>
          <m:t>β</m:t>
        </m:r>
        <m:r>
          <m:rPr>
            <m:sty m:val="p"/>
          </m:rPr>
          <m:t>=</m:t>
        </m:r>
        <m:r>
          <m:t>0</m:t>
        </m:r>
        <m:r>
          <m:rPr>
            <m:sty m:val="p"/>
          </m:rPr>
          <m:t>,</m:t>
        </m:r>
        <m:r>
          <m:t>88</m:t>
        </m:r>
      </m:oMath>
      <w:r>
        <w:t xml:space="preserve">,</w:t>
      </w:r>
      <w:r>
        <w:t xml:space="preserve"> </w:t>
      </w:r>
      <m:oMath>
        <m:r>
          <m:t>λ</m:t>
        </m:r>
        <m:r>
          <m:rPr>
            <m:sty m:val="p"/>
          </m:rPr>
          <m:t>=</m:t>
        </m:r>
        <m:r>
          <m:t>2</m:t>
        </m:r>
        <m:r>
          <m:rPr>
            <m:sty m:val="p"/>
          </m:rPr>
          <m:t>,</m:t>
        </m:r>
        <m:r>
          <m:t>25</m:t>
        </m:r>
      </m:oMath>
      <w:r>
        <w:t xml:space="preserve">.</w:t>
      </w:r>
    </w:p>
    <w:p>
      <w:pPr>
        <w:pStyle w:val="BlockText"/>
      </w:pPr>
      <w:r>
        <w:rPr>
          <w:b/>
          <w:bCs/>
        </w:rPr>
        <w:t xml:space="preserve">Resolução:</w:t>
      </w:r>
    </w:p>
    <w:p>
      <w:pPr>
        <w:pStyle w:val="BlockText"/>
      </w:pPr>
      <w:r>
        <w:rPr>
          <w:b/>
          <w:bCs/>
        </w:rPr>
        <w:t xml:space="preserve">Passo 1 — Calcular</w:t>
      </w:r>
      <w:r>
        <w:rPr>
          <w:b/>
          <w:bCs/>
        </w:rPr>
        <w:t xml:space="preserve"> </w:t>
      </w:r>
      <m:oMath>
        <m:r>
          <m:t>v</m:t>
        </m:r>
        <m:r>
          <m:rPr>
            <m:sty m:val="p"/>
          </m:rPr>
          <m:t>(</m:t>
        </m:r>
        <m:r>
          <m:t>x</m:t>
        </m:r>
        <m:r>
          <m:rPr>
            <m:sty m:val="p"/>
          </m:rPr>
          <m:t>)</m:t>
        </m:r>
      </m:oMath>
      <w:r>
        <w:rPr>
          <w:b/>
          <w:bCs/>
        </w:rPr>
        <w:t xml:space="preserve"> </w:t>
      </w:r>
      <w:r>
        <w:rPr>
          <w:b/>
          <w:bCs/>
        </w:rPr>
        <w:t xml:space="preserve">para cada resultado</w:t>
      </w:r>
    </w:p>
    <w:p>
      <w:pPr>
        <w:pStyle w:val="BlockText"/>
      </w:pPr>
      <w:r>
        <w:t xml:space="preserve">Para ganhos (</w:t>
      </w:r>
      <m:oMath>
        <m:r>
          <m:t>x</m:t>
        </m:r>
        <m:r>
          <m:rPr>
            <m:sty m:val="p"/>
          </m:rPr>
          <m:t>≥</m:t>
        </m:r>
        <m:r>
          <m:t>0</m:t>
        </m:r>
      </m:oMath>
      <w:r>
        <w:t xml:space="preserve">):</w:t>
      </w:r>
      <w:r>
        <w:t xml:space="preserve"> </w:t>
      </w:r>
      <m:oMath>
        <m:r>
          <m:t>v</m:t>
        </m:r>
        <m:r>
          <m:rPr>
            <m:sty m:val="p"/>
          </m:rPr>
          <m:t>(</m:t>
        </m:r>
        <m:r>
          <m:t>x</m:t>
        </m:r>
        <m:r>
          <m:rPr>
            <m:sty m:val="p"/>
          </m:rPr>
          <m:t>)</m:t>
        </m:r>
        <m:r>
          <m:rPr>
            <m:sty m:val="p"/>
          </m:rPr>
          <m:t>=</m:t>
        </m:r>
        <m:sSup>
          <m:e>
            <m:r>
              <m:t>x</m:t>
            </m:r>
          </m:e>
          <m:sup>
            <m:r>
              <m:t>0</m:t>
            </m:r>
            <m:r>
              <m:rPr>
                <m:sty m:val="p"/>
              </m:rPr>
              <m:t>,</m:t>
            </m:r>
            <m:r>
              <m:t>88</m:t>
            </m:r>
          </m:sup>
        </m:sSup>
      </m:oMath>
      <w:r>
        <w:t xml:space="preserve">.</w:t>
      </w:r>
    </w:p>
    <w:p>
      <w:pPr>
        <w:pStyle w:val="Compact"/>
        <w:numPr>
          <w:ilvl w:val="0"/>
          <w:numId w:val="1389"/>
        </w:numPr>
      </w:pPr>
      <m:oMath>
        <m:r>
          <m:t>v</m:t>
        </m:r>
        <m:r>
          <m:rPr>
            <m:sty m:val="p"/>
          </m:rPr>
          <m:t>(</m:t>
        </m:r>
        <m:r>
          <m:t>100</m:t>
        </m:r>
        <m:r>
          <m:rPr>
            <m:sty m:val="p"/>
          </m:rPr>
          <m:t>)</m:t>
        </m:r>
        <m:r>
          <m:rPr>
            <m:sty m:val="p"/>
          </m:rPr>
          <m:t>=</m:t>
        </m:r>
        <m:sSup>
          <m:e>
            <m:r>
              <m:t>100</m:t>
            </m:r>
          </m:e>
          <m:sup>
            <m:r>
              <m:t>0</m:t>
            </m:r>
            <m:r>
              <m:rPr>
                <m:sty m:val="p"/>
              </m:rPr>
              <m:t>,</m:t>
            </m:r>
            <m:r>
              <m:t>88</m:t>
            </m:r>
          </m:sup>
        </m:sSup>
        <m:r>
          <m:rPr>
            <m:sty m:val="p"/>
          </m:rPr>
          <m:t>=</m:t>
        </m:r>
        <m:sSup>
          <m:e>
            <m:r>
              <m:t>e</m:t>
            </m:r>
          </m:e>
          <m:sup>
            <m:r>
              <m:t>0</m:t>
            </m:r>
            <m:r>
              <m:rPr>
                <m:sty m:val="p"/>
              </m:rPr>
              <m:t>,</m:t>
            </m:r>
            <m:r>
              <m:t>88</m:t>
            </m:r>
            <m:r>
              <m:rPr>
                <m:sty m:val="p"/>
              </m:rPr>
              <m:t>ln</m:t>
            </m:r>
            <m:r>
              <m:t>100</m:t>
            </m:r>
          </m:sup>
        </m:sSup>
        <m:r>
          <m:rPr>
            <m:sty m:val="p"/>
          </m:rPr>
          <m:t>=</m:t>
        </m:r>
        <m:sSup>
          <m:e>
            <m:r>
              <m:t>e</m:t>
            </m:r>
          </m:e>
          <m:sup>
            <m:r>
              <m:t>0</m:t>
            </m:r>
            <m:r>
              <m:rPr>
                <m:sty m:val="p"/>
              </m:rPr>
              <m:t>,</m:t>
            </m:r>
            <m:r>
              <m:t>88</m:t>
            </m:r>
            <m:r>
              <m:rPr>
                <m:sty m:val="p"/>
              </m:rPr>
              <m:t>×</m:t>
            </m:r>
            <m:r>
              <m:t>4</m:t>
            </m:r>
            <m:r>
              <m:rPr>
                <m:sty m:val="p"/>
              </m:rPr>
              <m:t>,</m:t>
            </m:r>
            <m:r>
              <m:t>605</m:t>
            </m:r>
          </m:sup>
        </m:sSup>
        <m:r>
          <m:rPr>
            <m:sty m:val="p"/>
          </m:rPr>
          <m:t>=</m:t>
        </m:r>
        <m:sSup>
          <m:e>
            <m:r>
              <m:t>e</m:t>
            </m:r>
          </m:e>
          <m:sup>
            <m:r>
              <m:t>4</m:t>
            </m:r>
            <m:r>
              <m:rPr>
                <m:sty m:val="p"/>
              </m:rPr>
              <m:t>,</m:t>
            </m:r>
            <m:r>
              <m:t>052</m:t>
            </m:r>
          </m:sup>
        </m:sSup>
        <m:r>
          <m:rPr>
            <m:sty m:val="p"/>
          </m:rPr>
          <m:t>≈</m:t>
        </m:r>
        <m:r>
          <m:t>57</m:t>
        </m:r>
        <m:r>
          <m:rPr>
            <m:sty m:val="p"/>
          </m:rPr>
          <m:t>,</m:t>
        </m:r>
        <m:r>
          <m:t>54</m:t>
        </m:r>
      </m:oMath>
    </w:p>
    <w:p>
      <w:pPr>
        <w:pStyle w:val="Compact"/>
        <w:numPr>
          <w:ilvl w:val="0"/>
          <w:numId w:val="1389"/>
        </w:numPr>
      </w:pPr>
      <m:oMath>
        <m:r>
          <m:t>v</m:t>
        </m:r>
        <m:r>
          <m:rPr>
            <m:sty m:val="p"/>
          </m:rPr>
          <m:t>(</m:t>
        </m:r>
        <m:r>
          <m:t>250</m:t>
        </m:r>
        <m:r>
          <m:rPr>
            <m:sty m:val="p"/>
          </m:rPr>
          <m:t>)</m:t>
        </m:r>
        <m:r>
          <m:rPr>
            <m:sty m:val="p"/>
          </m:rPr>
          <m:t>=</m:t>
        </m:r>
        <m:sSup>
          <m:e>
            <m:r>
              <m:t>250</m:t>
            </m:r>
          </m:e>
          <m:sup>
            <m:r>
              <m:t>0</m:t>
            </m:r>
            <m:r>
              <m:rPr>
                <m:sty m:val="p"/>
              </m:rPr>
              <m:t>,</m:t>
            </m:r>
            <m:r>
              <m:t>88</m:t>
            </m:r>
          </m:sup>
        </m:sSup>
        <m:r>
          <m:rPr>
            <m:sty m:val="p"/>
          </m:rPr>
          <m:t>=</m:t>
        </m:r>
        <m:sSup>
          <m:e>
            <m:r>
              <m:t>e</m:t>
            </m:r>
          </m:e>
          <m:sup>
            <m:r>
              <m:t>0</m:t>
            </m:r>
            <m:r>
              <m:rPr>
                <m:sty m:val="p"/>
              </m:rPr>
              <m:t>,</m:t>
            </m:r>
            <m:r>
              <m:t>88</m:t>
            </m:r>
            <m:r>
              <m:rPr>
                <m:sty m:val="p"/>
              </m:rPr>
              <m:t>×</m:t>
            </m:r>
            <m:r>
              <m:t>5</m:t>
            </m:r>
            <m:r>
              <m:rPr>
                <m:sty m:val="p"/>
              </m:rPr>
              <m:t>,</m:t>
            </m:r>
            <m:r>
              <m:t>521</m:t>
            </m:r>
          </m:sup>
        </m:sSup>
        <m:r>
          <m:rPr>
            <m:sty m:val="p"/>
          </m:rPr>
          <m:t>=</m:t>
        </m:r>
        <m:sSup>
          <m:e>
            <m:r>
              <m:t>e</m:t>
            </m:r>
          </m:e>
          <m:sup>
            <m:r>
              <m:t>4</m:t>
            </m:r>
            <m:r>
              <m:rPr>
                <m:sty m:val="p"/>
              </m:rPr>
              <m:t>,</m:t>
            </m:r>
            <m:r>
              <m:t>859</m:t>
            </m:r>
          </m:sup>
        </m:sSup>
        <m:r>
          <m:rPr>
            <m:sty m:val="p"/>
          </m:rPr>
          <m:t>≈</m:t>
        </m:r>
        <m:r>
          <m:t>128</m:t>
        </m:r>
        <m:r>
          <m:rPr>
            <m:sty m:val="p"/>
          </m:rPr>
          <m:t>,</m:t>
        </m:r>
        <m:r>
          <m:t>82</m:t>
        </m:r>
      </m:oMath>
    </w:p>
    <w:p>
      <w:pPr>
        <w:pStyle w:val="BlockText"/>
      </w:pPr>
      <w:r>
        <w:t xml:space="preserve">Para perdas (</w:t>
      </w:r>
      <m:oMath>
        <m:r>
          <m:t>x</m:t>
        </m:r>
        <m:r>
          <m:rPr>
            <m:sty m:val="p"/>
          </m:rPr>
          <m:t>&lt;</m:t>
        </m:r>
        <m:r>
          <m:t>0</m:t>
        </m:r>
      </m:oMath>
      <w:r>
        <w:t xml:space="preserve">):</w:t>
      </w:r>
      <w:r>
        <w:t xml:space="preserve"> </w:t>
      </w:r>
      <m:oMath>
        <m:r>
          <m:t>v</m:t>
        </m:r>
        <m:r>
          <m:rPr>
            <m:sty m:val="p"/>
          </m:rPr>
          <m:t>(</m:t>
        </m:r>
        <m:r>
          <m:t>x</m:t>
        </m:r>
        <m:r>
          <m:rPr>
            <m:sty m:val="p"/>
          </m:rPr>
          <m:t>)</m:t>
        </m:r>
        <m:r>
          <m:rPr>
            <m:sty m:val="p"/>
          </m:rPr>
          <m:t>=</m:t>
        </m:r>
        <m:r>
          <m:rPr>
            <m:sty m:val="p"/>
          </m:rPr>
          <m:t>−</m:t>
        </m:r>
        <m:r>
          <m:t>λ</m:t>
        </m:r>
        <m:r>
          <m:rPr>
            <m:sty m:val="p"/>
          </m:rPr>
          <m:t>(</m:t>
        </m:r>
        <m:r>
          <m:rPr>
            <m:sty m:val="p"/>
          </m:rPr>
          <m:t>−</m:t>
        </m:r>
        <m:r>
          <m:t>x</m:t>
        </m:r>
        <m:sSup>
          <m:e>
            <m:r>
              <m:rPr>
                <m:sty m:val="p"/>
              </m:rPr>
              <m:t>)</m:t>
            </m:r>
          </m:e>
          <m:sup>
            <m:r>
              <m:t>0</m:t>
            </m:r>
            <m:r>
              <m:rPr>
                <m:sty m:val="p"/>
              </m:rPr>
              <m:t>,</m:t>
            </m:r>
            <m:r>
              <m:t>88</m:t>
            </m:r>
          </m:sup>
        </m:sSup>
      </m:oMath>
      <w:r>
        <w:t xml:space="preserve">.</w:t>
      </w:r>
    </w:p>
    <w:p>
      <w:pPr>
        <w:pStyle w:val="Compact"/>
        <w:numPr>
          <w:ilvl w:val="0"/>
          <w:numId w:val="1390"/>
        </w:numPr>
      </w:pPr>
      <m:oMath>
        <m:r>
          <m:t>v</m:t>
        </m:r>
        <m:r>
          <m:rPr>
            <m:sty m:val="p"/>
          </m:rPr>
          <m:t>(</m:t>
        </m:r>
        <m:r>
          <m:rPr>
            <m:sty m:val="p"/>
          </m:rPr>
          <m:t>−</m:t>
        </m:r>
        <m:r>
          <m:t>100</m:t>
        </m:r>
        <m:r>
          <m:rPr>
            <m:sty m:val="p"/>
          </m:rPr>
          <m:t>)</m:t>
        </m:r>
        <m:r>
          <m:rPr>
            <m:sty m:val="p"/>
          </m:rPr>
          <m:t>=</m:t>
        </m:r>
        <m:r>
          <m:rPr>
            <m:sty m:val="p"/>
          </m:rPr>
          <m:t>−</m:t>
        </m:r>
        <m:r>
          <m:t>2</m:t>
        </m:r>
        <m:r>
          <m:rPr>
            <m:sty m:val="p"/>
          </m:rPr>
          <m:t>,</m:t>
        </m:r>
        <m:r>
          <m:t>25</m:t>
        </m:r>
        <m:r>
          <m:rPr>
            <m:sty m:val="p"/>
          </m:rPr>
          <m:t>×</m:t>
        </m:r>
        <m:sSup>
          <m:e>
            <m:r>
              <m:t>100</m:t>
            </m:r>
          </m:e>
          <m:sup>
            <m:r>
              <m:t>0</m:t>
            </m:r>
            <m:r>
              <m:rPr>
                <m:sty m:val="p"/>
              </m:rPr>
              <m:t>,</m:t>
            </m:r>
            <m:r>
              <m:t>88</m:t>
            </m:r>
          </m:sup>
        </m:sSup>
        <m:r>
          <m:rPr>
            <m:sty m:val="p"/>
          </m:rPr>
          <m:t>≈</m:t>
        </m:r>
        <m:r>
          <m:rPr>
            <m:sty m:val="p"/>
          </m:rPr>
          <m:t>−</m:t>
        </m:r>
        <m:r>
          <m:t>2</m:t>
        </m:r>
        <m:r>
          <m:rPr>
            <m:sty m:val="p"/>
          </m:rPr>
          <m:t>,</m:t>
        </m:r>
        <m:r>
          <m:t>25</m:t>
        </m:r>
        <m:r>
          <m:rPr>
            <m:sty m:val="p"/>
          </m:rPr>
          <m:t>×</m:t>
        </m:r>
        <m:r>
          <m:t>57</m:t>
        </m:r>
        <m:r>
          <m:rPr>
            <m:sty m:val="p"/>
          </m:rPr>
          <m:t>,</m:t>
        </m:r>
        <m:r>
          <m:t>54</m:t>
        </m:r>
        <m:r>
          <m:rPr>
            <m:sty m:val="p"/>
          </m:rPr>
          <m:t>=</m:t>
        </m:r>
        <m:r>
          <m:rPr>
            <m:sty m:val="p"/>
          </m:rPr>
          <m:t>−</m:t>
        </m:r>
        <m:r>
          <m:t>129</m:t>
        </m:r>
        <m:r>
          <m:rPr>
            <m:sty m:val="p"/>
          </m:rPr>
          <m:t>,</m:t>
        </m:r>
        <m:r>
          <m:t>47</m:t>
        </m:r>
      </m:oMath>
    </w:p>
    <w:p>
      <w:pPr>
        <w:pStyle w:val="Compact"/>
        <w:numPr>
          <w:ilvl w:val="0"/>
          <w:numId w:val="1390"/>
        </w:numPr>
      </w:pPr>
      <m:oMath>
        <m:r>
          <m:t>v</m:t>
        </m:r>
        <m:r>
          <m:rPr>
            <m:sty m:val="p"/>
          </m:rPr>
          <m:t>(</m:t>
        </m:r>
        <m:r>
          <m:rPr>
            <m:sty m:val="p"/>
          </m:rPr>
          <m:t>−</m:t>
        </m:r>
        <m:r>
          <m:t>250</m:t>
        </m:r>
        <m:r>
          <m:rPr>
            <m:sty m:val="p"/>
          </m:rPr>
          <m:t>)</m:t>
        </m:r>
        <m:r>
          <m:rPr>
            <m:sty m:val="p"/>
          </m:rPr>
          <m:t>=</m:t>
        </m:r>
        <m:r>
          <m:rPr>
            <m:sty m:val="p"/>
          </m:rPr>
          <m:t>−</m:t>
        </m:r>
        <m:r>
          <m:t>2</m:t>
        </m:r>
        <m:r>
          <m:rPr>
            <m:sty m:val="p"/>
          </m:rPr>
          <m:t>,</m:t>
        </m:r>
        <m:r>
          <m:t>25</m:t>
        </m:r>
        <m:r>
          <m:rPr>
            <m:sty m:val="p"/>
          </m:rPr>
          <m:t>×</m:t>
        </m:r>
        <m:sSup>
          <m:e>
            <m:r>
              <m:t>250</m:t>
            </m:r>
          </m:e>
          <m:sup>
            <m:r>
              <m:t>0</m:t>
            </m:r>
            <m:r>
              <m:rPr>
                <m:sty m:val="p"/>
              </m:rPr>
              <m:t>,</m:t>
            </m:r>
            <m:r>
              <m:t>88</m:t>
            </m:r>
          </m:sup>
        </m:sSup>
        <m:r>
          <m:rPr>
            <m:sty m:val="p"/>
          </m:rPr>
          <m:t>≈</m:t>
        </m:r>
        <m:r>
          <m:rPr>
            <m:sty m:val="p"/>
          </m:rPr>
          <m:t>−</m:t>
        </m:r>
        <m:r>
          <m:t>2</m:t>
        </m:r>
        <m:r>
          <m:rPr>
            <m:sty m:val="p"/>
          </m:rPr>
          <m:t>,</m:t>
        </m:r>
        <m:r>
          <m:t>25</m:t>
        </m:r>
        <m:r>
          <m:rPr>
            <m:sty m:val="p"/>
          </m:rPr>
          <m:t>×</m:t>
        </m:r>
        <m:r>
          <m:t>128</m:t>
        </m:r>
        <m:r>
          <m:rPr>
            <m:sty m:val="p"/>
          </m:rPr>
          <m:t>,</m:t>
        </m:r>
        <m:r>
          <m:t>82</m:t>
        </m:r>
        <m:r>
          <m:rPr>
            <m:sty m:val="p"/>
          </m:rPr>
          <m:t>=</m:t>
        </m:r>
        <m:r>
          <m:rPr>
            <m:sty m:val="p"/>
          </m:rPr>
          <m:t>−</m:t>
        </m:r>
        <m:r>
          <m:t>289</m:t>
        </m:r>
        <m:r>
          <m:rPr>
            <m:sty m:val="p"/>
          </m:rPr>
          <m:t>,</m:t>
        </m:r>
        <m:r>
          <m:t>85</m:t>
        </m:r>
      </m:oMath>
    </w:p>
    <w:p>
      <w:pPr>
        <w:pStyle w:val="BlockText"/>
      </w:pPr>
      <w:r>
        <w:rPr>
          <w:b/>
          <w:bCs/>
        </w:rPr>
        <w:t xml:space="preserve">Passo 2 — Verificar a aversão à perda</w:t>
      </w:r>
    </w:p>
    <w:p>
      <w:pPr>
        <w:pStyle w:val="BlockText"/>
      </w:pPr>
      <m:oMath>
        <m:r>
          <m:rPr>
            <m:sty m:val="p"/>
          </m:rPr>
          <m:t>|</m:t>
        </m:r>
        <m:r>
          <m:t>v</m:t>
        </m:r>
        <m:r>
          <m:rPr>
            <m:sty m:val="p"/>
          </m:rPr>
          <m:t>(</m:t>
        </m:r>
        <m:r>
          <m:rPr>
            <m:sty m:val="p"/>
          </m:rPr>
          <m:t>−</m:t>
        </m:r>
        <m:r>
          <m:t>100</m:t>
        </m:r>
        <m:r>
          <m:rPr>
            <m:sty m:val="p"/>
          </m:rPr>
          <m:t>)</m:t>
        </m:r>
        <m:r>
          <m:rPr>
            <m:sty m:val="p"/>
          </m:rPr>
          <m:t>|</m:t>
        </m:r>
        <m:r>
          <m:rPr>
            <m:sty m:val="p"/>
          </m:rPr>
          <m:t>=</m:t>
        </m:r>
        <m:r>
          <m:t>129</m:t>
        </m:r>
        <m:r>
          <m:rPr>
            <m:sty m:val="p"/>
          </m:rPr>
          <m:t>,</m:t>
        </m:r>
        <m:r>
          <m:t>47</m:t>
        </m:r>
        <m:r>
          <m:rPr>
            <m:sty m:val="p"/>
          </m:rPr>
          <m:t>&gt;</m:t>
        </m:r>
        <m:r>
          <m:t>57</m:t>
        </m:r>
        <m:r>
          <m:rPr>
            <m:sty m:val="p"/>
          </m:rPr>
          <m:t>,</m:t>
        </m:r>
        <m:r>
          <m:t>54</m:t>
        </m:r>
        <m:r>
          <m:rPr>
            <m:sty m:val="p"/>
          </m:rPr>
          <m:t>=</m:t>
        </m:r>
        <m:r>
          <m:t>v</m:t>
        </m:r>
        <m:r>
          <m:rPr>
            <m:sty m:val="p"/>
          </m:rPr>
          <m:t>(</m:t>
        </m:r>
        <m:r>
          <m:t>100</m:t>
        </m:r>
        <m:r>
          <m:rPr>
            <m:sty m:val="p"/>
          </m:rPr>
          <m:t>)</m:t>
        </m:r>
      </m:oMath>
      <w:r>
        <w:t xml:space="preserve">. Portanto,</w:t>
      </w:r>
      <w:r>
        <w:t xml:space="preserve"> </w:t>
      </w:r>
      <m:oMath>
        <m:r>
          <m:rPr>
            <m:sty m:val="p"/>
          </m:rPr>
          <m:t>|</m:t>
        </m:r>
        <m:r>
          <m:t>v</m:t>
        </m:r>
        <m:r>
          <m:rPr>
            <m:sty m:val="p"/>
          </m:rPr>
          <m:t>(</m:t>
        </m:r>
        <m:r>
          <m:rPr>
            <m:sty m:val="p"/>
          </m:rPr>
          <m:t>−</m:t>
        </m:r>
        <m:r>
          <m:t>100</m:t>
        </m:r>
        <m:r>
          <m:rPr>
            <m:sty m:val="p"/>
          </m:rPr>
          <m:t>)</m:t>
        </m:r>
        <m:r>
          <m:rPr>
            <m:sty m:val="p"/>
          </m:rPr>
          <m:t>|</m:t>
        </m:r>
        <m:r>
          <m:rPr>
            <m:sty m:val="p"/>
          </m:rPr>
          <m:t>/</m:t>
        </m:r>
        <m:r>
          <m:t>v</m:t>
        </m:r>
        <m:r>
          <m:rPr>
            <m:sty m:val="p"/>
          </m:rPr>
          <m:t>(</m:t>
        </m:r>
        <m:r>
          <m:t>100</m:t>
        </m:r>
        <m:r>
          <m:rPr>
            <m:sty m:val="p"/>
          </m:rPr>
          <m:t>)</m:t>
        </m:r>
        <m:r>
          <m:rPr>
            <m:sty m:val="p"/>
          </m:rPr>
          <m:t>=</m:t>
        </m:r>
        <m:r>
          <m:t>2</m:t>
        </m:r>
        <m:r>
          <m:rPr>
            <m:sty m:val="p"/>
          </m:rPr>
          <m:t>,</m:t>
        </m:r>
        <m:r>
          <m:t>25</m:t>
        </m:r>
        <m:r>
          <m:rPr>
            <m:sty m:val="p"/>
          </m:rPr>
          <m:t>=</m:t>
        </m:r>
        <m:r>
          <m:t>λ</m:t>
        </m:r>
      </m:oMath>
      <w:r>
        <w:t xml:space="preserve">. A perda de R$ 100 é sentida como 2,25 vezes mais intensa do que o ganho de R$ 100.</w:t>
      </w:r>
    </w:p>
    <w:p>
      <w:pPr>
        <w:pStyle w:val="BlockText"/>
      </w:pPr>
      <w:r>
        <w:rPr>
          <w:b/>
          <w:bCs/>
        </w:rPr>
        <w:t xml:space="preserve">Passo 3 — Verificar a sensibilidade decrescente</w:t>
      </w:r>
    </w:p>
    <w:p>
      <w:pPr>
        <w:pStyle w:val="BlockText"/>
      </w:pPr>
      <w:r>
        <w:t xml:space="preserve">Para ganhos: o acréscimo de R$ 100 para R$ 250 (+ R$ 150) gera aumento de valor de</w:t>
      </w:r>
      <w:r>
        <w:t xml:space="preserve"> </w:t>
      </w:r>
      <m:oMath>
        <m:r>
          <m:t>128</m:t>
        </m:r>
        <m:r>
          <m:rPr>
            <m:sty m:val="p"/>
          </m:rPr>
          <m:t>,</m:t>
        </m:r>
        <m:r>
          <m:t>82</m:t>
        </m:r>
        <m:r>
          <m:rPr>
            <m:sty m:val="p"/>
          </m:rPr>
          <m:t>−</m:t>
        </m:r>
        <m:r>
          <m:t>57</m:t>
        </m:r>
        <m:r>
          <m:rPr>
            <m:sty m:val="p"/>
          </m:rPr>
          <m:t>,</m:t>
        </m:r>
        <m:r>
          <m:t>54</m:t>
        </m:r>
        <m:r>
          <m:rPr>
            <m:sty m:val="p"/>
          </m:rPr>
          <m:t>=</m:t>
        </m:r>
        <m:r>
          <m:t>71</m:t>
        </m:r>
        <m:r>
          <m:rPr>
            <m:sty m:val="p"/>
          </m:rPr>
          <m:t>,</m:t>
        </m:r>
        <m:r>
          <m:t>28</m:t>
        </m:r>
      </m:oMath>
      <w:r>
        <w:t xml:space="preserve">. Se a função fosse linear, o aumento seria proporcional:</w:t>
      </w:r>
      <w:r>
        <w:t xml:space="preserve"> </w:t>
      </w:r>
      <m:oMath>
        <m:r>
          <m:t>57</m:t>
        </m:r>
        <m:r>
          <m:rPr>
            <m:sty m:val="p"/>
          </m:rPr>
          <m:t>,</m:t>
        </m:r>
        <m:r>
          <m:t>54</m:t>
        </m:r>
        <m:r>
          <m:rPr>
            <m:sty m:val="p"/>
          </m:rPr>
          <m:t>×</m:t>
        </m:r>
        <m:r>
          <m:t>1</m:t>
        </m:r>
        <m:r>
          <m:rPr>
            <m:sty m:val="p"/>
          </m:rPr>
          <m:t>,</m:t>
        </m:r>
        <m:r>
          <m:t>5</m:t>
        </m:r>
        <m:r>
          <m:rPr>
            <m:sty m:val="p"/>
          </m:rPr>
          <m:t>=</m:t>
        </m:r>
        <m:r>
          <m:t>86</m:t>
        </m:r>
        <m:r>
          <m:rPr>
            <m:sty m:val="p"/>
          </m:rPr>
          <m:t>,</m:t>
        </m:r>
        <m:r>
          <m:t>31</m:t>
        </m:r>
      </m:oMath>
      <w:r>
        <w:t xml:space="preserve">. Como</w:t>
      </w:r>
      <w:r>
        <w:t xml:space="preserve"> </w:t>
      </w:r>
      <m:oMath>
        <m:r>
          <m:t>71</m:t>
        </m:r>
        <m:r>
          <m:rPr>
            <m:sty m:val="p"/>
          </m:rPr>
          <m:t>,</m:t>
        </m:r>
        <m:r>
          <m:t>28</m:t>
        </m:r>
        <m:r>
          <m:rPr>
            <m:sty m:val="p"/>
          </m:rPr>
          <m:t>&lt;</m:t>
        </m:r>
        <m:r>
          <m:t>86</m:t>
        </m:r>
        <m:r>
          <m:rPr>
            <m:sty m:val="p"/>
          </m:rPr>
          <m:t>,</m:t>
        </m:r>
        <m:r>
          <m:t>31</m:t>
        </m:r>
      </m:oMath>
      <w:r>
        <w:t xml:space="preserve">, confirma-se a concavidade (sensibilidade decrescente para ganhos).</w:t>
      </w:r>
    </w:p>
    <w:p>
      <w:pPr>
        <w:pStyle w:val="BlockText"/>
      </w:pPr>
      <w:r>
        <w:rPr>
          <w:b/>
          <w:bCs/>
        </w:rPr>
        <w:t xml:space="preserve">Resultado:</w:t>
      </w:r>
      <w:r>
        <w:t xml:space="preserve"> </w:t>
      </w:r>
      <w:r>
        <w:t xml:space="preserve">A função valor atribui à perda de R$ 100 um impacto 2,25 vezes maior que ao ganho de R$ 100, e exibe sensibilidade decrescente tanto para ganhos quanto para perdas.</w:t>
      </w:r>
    </w:p>
    <w:p>
      <w:pPr>
        <w:pStyle w:val="BlockText"/>
      </w:pPr>
      <w:r>
        <w:rPr>
          <w:b/>
          <w:bCs/>
        </w:rPr>
        <w:t xml:space="preserve">Interpretação econômica:</w:t>
      </w:r>
      <w:r>
        <w:t xml:space="preserve"> </w:t>
      </w:r>
      <w:r>
        <w:t xml:space="preserve">Essa assimetria ajuda a explicar por que consumidores brasileiros resistem a reajustes de preço (percebidos como perda) mas reagem pouco a promoções equivalentes (percebidas como ganho). No mercado de ações, ela fundamenta o efeito disposição documentado entre investidores da B3.</w:t>
      </w:r>
    </w:p>
    <w:bookmarkEnd w:id="380"/>
    <w:bookmarkStart w:id="381" w:name="ponderação-de-probabilidades"/>
    <w:p>
      <w:pPr>
        <w:pStyle w:val="Heading4"/>
      </w:pPr>
      <w:r>
        <w:t xml:space="preserve">8.2.3 Ponderação de probabilidades</w:t>
      </w:r>
    </w:p>
    <w:p>
      <w:pPr>
        <w:pStyle w:val="FirstParagraph"/>
      </w:pPr>
      <w:r>
        <w:t xml:space="preserve">A função valor explica</w:t>
      </w:r>
      <w:r>
        <w:t xml:space="preserve"> </w:t>
      </w:r>
      <w:r>
        <w:rPr>
          <w:i/>
          <w:iCs/>
        </w:rPr>
        <w:t xml:space="preserve">como</w:t>
      </w:r>
      <w:r>
        <w:t xml:space="preserve"> </w:t>
      </w:r>
      <w:r>
        <w:t xml:space="preserve">os agentes avaliam resultados; falta agora entender</w:t>
      </w:r>
      <w:r>
        <w:t xml:space="preserve"> </w:t>
      </w:r>
      <w:r>
        <w:rPr>
          <w:i/>
          <w:iCs/>
        </w:rPr>
        <w:t xml:space="preserve">como</w:t>
      </w:r>
      <w:r>
        <w:t xml:space="preserve"> </w:t>
      </w:r>
      <w:r>
        <w:t xml:space="preserve">avaliam probabilidades. A utilidade esperada assume que uma probabilidade de 10% recebe exatamente um décimo do peso de um evento certo. Mas será que as pessoas processam probabilidades dessa forma? A evidência empírica é inequívoca: não.</w:t>
      </w:r>
    </w:p>
    <w:p>
      <w:pPr>
        <w:pStyle w:val="BodyText"/>
      </w:pPr>
      <w:r>
        <w:t xml:space="preserve">Na utilidade esperada, as probabilidades entram linearmente na função objetivo. Na Teoria do Prospecto, as probabilidades objetivas</w:t>
      </w:r>
      <w:r>
        <w:t xml:space="preserve"> </w:t>
      </w:r>
      <m:oMath>
        <m:r>
          <m:t>p</m:t>
        </m:r>
      </m:oMath>
      <w:r>
        <w:t xml:space="preserve"> </w:t>
      </w:r>
      <w:r>
        <w:t xml:space="preserve">são transformadas por uma</w:t>
      </w:r>
      <w:r>
        <w:t xml:space="preserve"> </w:t>
      </w:r>
      <w:r>
        <w:rPr>
          <w:b/>
          <w:bCs/>
        </w:rPr>
        <w:t xml:space="preserve">função de ponderação</w:t>
      </w:r>
      <w:r>
        <w:t xml:space="preserve"> </w:t>
      </w:r>
      <m:oMath>
        <m:r>
          <m:t>w</m:t>
        </m:r>
        <m:r>
          <m:rPr>
            <m:sty m:val="p"/>
          </m:rPr>
          <m:t>(</m:t>
        </m:r>
        <m:r>
          <m:t>p</m:t>
        </m:r>
        <m:r>
          <m:rPr>
            <m:sty m:val="p"/>
          </m:rPr>
          <m:t>)</m:t>
        </m:r>
      </m:oMath>
      <w:r>
        <w:t xml:space="preserve"> </w:t>
      </w:r>
      <w:r>
        <w:t xml:space="preserve">com formato de S invertido:</w:t>
      </w:r>
    </w:p>
    <w:p>
      <w:pPr>
        <w:pStyle w:val="BodyText"/>
      </w:pPr>
      <m:oMathPara>
        <m:oMathParaPr>
          <m:jc m:val="center"/>
        </m:oMathParaPr>
        <m:oMath>
          <m:r>
            <m:t>w</m:t>
          </m:r>
          <m:r>
            <m:rPr>
              <m:sty m:val="p"/>
            </m:rPr>
            <m:t>(</m:t>
          </m:r>
          <m:r>
            <m:t>p</m:t>
          </m:r>
          <m:r>
            <m:rPr>
              <m:sty m:val="p"/>
            </m:rPr>
            <m:t>)</m:t>
          </m:r>
          <m:r>
            <m:rPr>
              <m:sty m:val="p"/>
            </m:rPr>
            <m:t>=</m:t>
          </m:r>
          <m:f>
            <m:fPr>
              <m:type m:val="bar"/>
            </m:fPr>
            <m:num>
              <m:sSup>
                <m:e>
                  <m:r>
                    <m:t>p</m:t>
                  </m:r>
                </m:e>
                <m:sup>
                  <m:r>
                    <m:t>γ</m:t>
                  </m:r>
                </m:sup>
              </m:sSup>
            </m:num>
            <m:den>
              <m:r>
                <m:rPr>
                  <m:sty m:val="p"/>
                </m:rPr>
                <m:t>(</m:t>
              </m:r>
              <m:sSup>
                <m:e>
                  <m:r>
                    <m:t>p</m:t>
                  </m:r>
                </m:e>
                <m:sup>
                  <m:r>
                    <m:t>γ</m:t>
                  </m:r>
                </m:sup>
              </m:sSup>
              <m:r>
                <m:rPr>
                  <m:sty m:val="p"/>
                </m:rPr>
                <m:t>+</m:t>
              </m:r>
              <m:r>
                <m:rPr>
                  <m:sty m:val="p"/>
                </m:rPr>
                <m:t>(</m:t>
              </m:r>
              <m:r>
                <m:t>1</m:t>
              </m:r>
              <m:r>
                <m:rPr>
                  <m:sty m:val="p"/>
                </m:rPr>
                <m:t>−</m:t>
              </m:r>
              <m:r>
                <m:t>p</m:t>
              </m:r>
              <m:sSup>
                <m:e>
                  <m:r>
                    <m:rPr>
                      <m:sty m:val="p"/>
                    </m:rPr>
                    <m:t>)</m:t>
                  </m:r>
                </m:e>
                <m:sup>
                  <m:r>
                    <m:t>γ</m:t>
                  </m:r>
                </m:sup>
              </m:sSup>
              <m:sSup>
                <m:e>
                  <m:r>
                    <m:rPr>
                      <m:sty m:val="p"/>
                    </m:rPr>
                    <m:t>)</m:t>
                  </m:r>
                </m:e>
                <m:sup>
                  <m:r>
                    <m:t>1</m:t>
                  </m:r>
                  <m:r>
                    <m:rPr>
                      <m:sty m:val="p"/>
                    </m:rPr>
                    <m:t>/</m:t>
                  </m:r>
                  <m:r>
                    <m:t>γ</m:t>
                  </m:r>
                </m:sup>
              </m:sSup>
            </m:den>
          </m:f>
        </m:oMath>
      </m:oMathPara>
    </w:p>
    <w:p>
      <w:pPr>
        <w:pStyle w:val="FirstParagraph"/>
      </w:pPr>
      <w:r>
        <w:t xml:space="preserve">onde</w:t>
      </w:r>
      <w:r>
        <w:t xml:space="preserve"> </w:t>
      </w:r>
      <m:oMath>
        <m:r>
          <m:t>γ</m:t>
        </m:r>
        <m:r>
          <m:rPr>
            <m:sty m:val="p"/>
          </m:rPr>
          <m:t>∈</m:t>
        </m:r>
        <m:r>
          <m:rPr>
            <m:sty m:val="p"/>
          </m:rPr>
          <m:t>(</m:t>
        </m:r>
        <m:r>
          <m:t>0</m:t>
        </m:r>
        <m:r>
          <m:rPr>
            <m:sty m:val="p"/>
          </m:rPr>
          <m:t>,</m:t>
        </m:r>
        <m:r>
          <m:t>1</m:t>
        </m:r>
        <m:r>
          <m:rPr>
            <m:sty m:val="p"/>
          </m:rPr>
          <m:t>)</m:t>
        </m:r>
      </m:oMath>
      <w:r>
        <w:t xml:space="preserve"> </w:t>
      </w:r>
      <w:r>
        <w:t xml:space="preserve">controla o grau de distorção. As propriedades principais são:</w:t>
      </w:r>
    </w:p>
    <w:p>
      <w:pPr>
        <w:pStyle w:val="Compact"/>
        <w:numPr>
          <w:ilvl w:val="0"/>
          <w:numId w:val="1391"/>
        </w:numPr>
      </w:pPr>
      <w:r>
        <w:rPr>
          <w:b/>
          <w:bCs/>
        </w:rPr>
        <w:t xml:space="preserve">Sobrevalorização de probabilidades pequenas:</w:t>
      </w:r>
      <w:r>
        <w:t xml:space="preserve"> </w:t>
      </w:r>
      <m:oMath>
        <m:r>
          <m:t>w</m:t>
        </m:r>
        <m:r>
          <m:rPr>
            <m:sty m:val="p"/>
          </m:rPr>
          <m:t>(</m:t>
        </m:r>
        <m:r>
          <m:t>p</m:t>
        </m:r>
        <m:r>
          <m:rPr>
            <m:sty m:val="p"/>
          </m:rPr>
          <m:t>)</m:t>
        </m:r>
        <m:r>
          <m:rPr>
            <m:sty m:val="p"/>
          </m:rPr>
          <m:t>&gt;</m:t>
        </m:r>
        <m:r>
          <m:t>p</m:t>
        </m:r>
      </m:oMath>
      <w:r>
        <w:t xml:space="preserve"> </w:t>
      </w:r>
      <w:r>
        <w:t xml:space="preserve">para</w:t>
      </w:r>
      <w:r>
        <w:t xml:space="preserve"> </w:t>
      </w:r>
      <m:oMath>
        <m:r>
          <m:t>p</m:t>
        </m:r>
      </m:oMath>
      <w:r>
        <w:t xml:space="preserve"> </w:t>
      </w:r>
      <w:r>
        <w:t xml:space="preserve">pequeno — o que explica a compra de bilhetes de loteria e seguros contra catástrofes.</w:t>
      </w:r>
    </w:p>
    <w:p>
      <w:pPr>
        <w:pStyle w:val="Compact"/>
        <w:numPr>
          <w:ilvl w:val="0"/>
          <w:numId w:val="1391"/>
        </w:numPr>
      </w:pPr>
      <w:r>
        <w:rPr>
          <w:b/>
          <w:bCs/>
        </w:rPr>
        <w:t xml:space="preserve">Subvalorização de probabilidades moderadas a altas:</w:t>
      </w:r>
      <w:r>
        <w:t xml:space="preserve"> </w:t>
      </w:r>
      <m:oMath>
        <m:r>
          <m:t>w</m:t>
        </m:r>
        <m:r>
          <m:rPr>
            <m:sty m:val="p"/>
          </m:rPr>
          <m:t>(</m:t>
        </m:r>
        <m:r>
          <m:t>p</m:t>
        </m:r>
        <m:r>
          <m:rPr>
            <m:sty m:val="p"/>
          </m:rPr>
          <m:t>)</m:t>
        </m:r>
        <m:r>
          <m:rPr>
            <m:sty m:val="p"/>
          </m:rPr>
          <m:t>&lt;</m:t>
        </m:r>
        <m:r>
          <m:t>p</m:t>
        </m:r>
      </m:oMath>
      <w:r>
        <w:t xml:space="preserve"> </w:t>
      </w:r>
      <w:r>
        <w:t xml:space="preserve">para</w:t>
      </w:r>
      <w:r>
        <w:t xml:space="preserve"> </w:t>
      </w:r>
      <m:oMath>
        <m:r>
          <m:t>p</m:t>
        </m:r>
      </m:oMath>
      <w:r>
        <w:t xml:space="preserve"> </w:t>
      </w:r>
      <w:r>
        <w:t xml:space="preserve">moderado a alto.</w:t>
      </w:r>
    </w:p>
    <w:p>
      <w:pPr>
        <w:pStyle w:val="Compact"/>
        <w:numPr>
          <w:ilvl w:val="0"/>
          <w:numId w:val="1391"/>
        </w:numPr>
      </w:pPr>
      <w:r>
        <w:rPr>
          <w:b/>
          <w:bCs/>
        </w:rPr>
        <w:t xml:space="preserve">Subcerteza:</w:t>
      </w:r>
      <w:r>
        <w:t xml:space="preserve"> </w:t>
      </w:r>
      <m:oMath>
        <m:r>
          <m:t>w</m:t>
        </m:r>
        <m:r>
          <m:rPr>
            <m:sty m:val="p"/>
          </m:rPr>
          <m:t>(</m:t>
        </m:r>
        <m:r>
          <m:t>p</m:t>
        </m:r>
        <m:r>
          <m:rPr>
            <m:sty m:val="p"/>
          </m:rPr>
          <m:t>)</m:t>
        </m:r>
        <m:r>
          <m:rPr>
            <m:sty m:val="p"/>
          </m:rPr>
          <m:t>+</m:t>
        </m:r>
        <m:r>
          <m:t>w</m:t>
        </m:r>
        <m:r>
          <m:rPr>
            <m:sty m:val="p"/>
          </m:rPr>
          <m:t>(</m:t>
        </m:r>
        <m:r>
          <m:t>1</m:t>
        </m:r>
        <m:r>
          <m:rPr>
            <m:sty m:val="p"/>
          </m:rPr>
          <m:t>−</m:t>
        </m:r>
        <m:r>
          <m:t>p</m:t>
        </m:r>
        <m:r>
          <m:rPr>
            <m:sty m:val="p"/>
          </m:rPr>
          <m:t>)</m:t>
        </m:r>
        <m:r>
          <m:rPr>
            <m:sty m:val="p"/>
          </m:rPr>
          <m:t>&lt;</m:t>
        </m:r>
        <m:r>
          <m:t>1</m:t>
        </m:r>
      </m:oMath>
      <w:r>
        <w:t xml:space="preserve"> </w:t>
      </w:r>
      <w:r>
        <w:t xml:space="preserve">— as ponderações não somam 1, refletindo uma aversão global à incerteza.</w:t>
      </w:r>
    </w:p>
    <w:p>
      <w:pPr>
        <w:pStyle w:val="FirstParagraph"/>
      </w:pPr>
      <w:r>
        <w:t xml:space="preserve">O valor estimado por Tversky e Kahneman (1992) é</w:t>
      </w:r>
      <w:r>
        <w:t xml:space="preserve"> </w:t>
      </w:r>
      <m:oMath>
        <m:sSup>
          <m:e>
            <m:r>
              <m:t>γ</m:t>
            </m:r>
          </m:e>
          <m:sup>
            <m:r>
              <m:rPr>
                <m:sty m:val="p"/>
              </m:rPr>
              <m:t>+</m:t>
            </m:r>
          </m:sup>
        </m:sSup>
        <m:r>
          <m:rPr>
            <m:sty m:val="p"/>
          </m:rPr>
          <m:t>=</m:t>
        </m:r>
        <m:r>
          <m:t>0</m:t>
        </m:r>
        <m:r>
          <m:rPr>
            <m:sty m:val="p"/>
          </m:rPr>
          <m:t>,</m:t>
        </m:r>
        <m:r>
          <m:t>61</m:t>
        </m:r>
      </m:oMath>
      <w:r>
        <w:t xml:space="preserve"> </w:t>
      </w:r>
      <w:r>
        <w:t xml:space="preserve">para ganhos e</w:t>
      </w:r>
      <w:r>
        <w:t xml:space="preserve"> </w:t>
      </w:r>
      <m:oMath>
        <m:sSup>
          <m:e>
            <m:r>
              <m:t>γ</m:t>
            </m:r>
          </m:e>
          <m:sup>
            <m:r>
              <m:rPr>
                <m:sty m:val="p"/>
              </m:rPr>
              <m:t>−</m:t>
            </m:r>
          </m:sup>
        </m:sSup>
        <m:r>
          <m:rPr>
            <m:sty m:val="p"/>
          </m:rPr>
          <m:t>=</m:t>
        </m:r>
        <m:r>
          <m:t>0</m:t>
        </m:r>
        <m:r>
          <m:rPr>
            <m:sty m:val="p"/>
          </m:rPr>
          <m:t>,</m:t>
        </m:r>
        <m:r>
          <m:t>69</m:t>
        </m:r>
      </m:oMath>
      <w:r>
        <w:t xml:space="preserve"> </w:t>
      </w:r>
      <w:r>
        <w:t xml:space="preserve">para perdas. Prelec (1998) propôs uma forma axiomática alternativa,</w:t>
      </w:r>
      <w:r>
        <w:t xml:space="preserve"> </w:t>
      </w:r>
      <m:oMath>
        <m:r>
          <m:t>w</m:t>
        </m:r>
        <m:r>
          <m:rPr>
            <m:sty m:val="p"/>
          </m:rPr>
          <m:t>(</m:t>
        </m:r>
        <m:r>
          <m:t>p</m:t>
        </m:r>
        <m:r>
          <m:rPr>
            <m:sty m:val="p"/>
          </m:rPr>
          <m:t>)</m:t>
        </m:r>
        <m:r>
          <m:rPr>
            <m:sty m:val="p"/>
          </m:rPr>
          <m:t>=</m:t>
        </m:r>
        <m:r>
          <m:rPr>
            <m:sty m:val="p"/>
          </m:rPr>
          <m:t>exp</m:t>
        </m:r>
        <m:r>
          <m:rPr>
            <m:sty m:val="p"/>
          </m:rPr>
          <m:t>(</m:t>
        </m:r>
        <m:r>
          <m:rPr>
            <m:sty m:val="p"/>
          </m:rPr>
          <m:t>−</m:t>
        </m:r>
        <m:r>
          <m:rPr>
            <m:sty m:val="p"/>
          </m:rPr>
          <m:t>(</m:t>
        </m:r>
        <m:r>
          <m:rPr>
            <m:sty m:val="p"/>
          </m:rPr>
          <m:t>−</m:t>
        </m:r>
        <m:r>
          <m:rPr>
            <m:sty m:val="p"/>
          </m:rPr>
          <m:t>ln</m:t>
        </m:r>
        <m:r>
          <m:t>p</m:t>
        </m:r>
        <m:sSup>
          <m:e>
            <m:r>
              <m:rPr>
                <m:sty m:val="p"/>
              </m:rPr>
              <m:t>)</m:t>
            </m:r>
          </m:e>
          <m:sup>
            <m:r>
              <m:t>α</m:t>
            </m:r>
          </m:sup>
        </m:sSup>
        <m:r>
          <m:rPr>
            <m:sty m:val="p"/>
          </m:rPr>
          <m:t>)</m:t>
        </m:r>
      </m:oMath>
      <w:r>
        <w:t xml:space="preserve">, com propriedades de auto-similitude (Dhami 2016, p. 153–157).</w:t>
      </w:r>
    </w:p>
    <w:p>
      <w:pPr>
        <w:pStyle w:val="BodyText"/>
      </w:pPr>
      <w:r>
        <w:t xml:space="preserve">[FIGURA INTERATIVA: /micro-book/graficos/cap08/ponderacao-prob.html — versao interativa disponivel online]</w:t>
      </w:r>
    </w:p>
    <w:p>
      <w:pPr>
        <w:pStyle w:val="BodyText"/>
      </w:pPr>
      <w:r>
        <w:rPr>
          <w:b/>
          <w:bCs/>
        </w:rPr>
        <w:t xml:space="preserve">Figura 8.2 — Função de ponderação de probabilidades</w:t>
      </w:r>
      <w:r>
        <w:rPr>
          <w:b/>
          <w:bCs/>
        </w:rPr>
        <w:t xml:space="preserve"> </w:t>
      </w:r>
      <m:oMath>
        <m:r>
          <m:t>w</m:t>
        </m:r>
        <m:r>
          <m:rPr>
            <m:sty m:val="p"/>
          </m:rPr>
          <m:t>(</m:t>
        </m:r>
        <m:r>
          <m:t>p</m:t>
        </m:r>
        <m:r>
          <m:rPr>
            <m:sty m:val="p"/>
          </m:rPr>
          <m:t>)</m:t>
        </m:r>
      </m:oMath>
      <w:r>
        <w:rPr>
          <w:b/>
          <w:bCs/>
        </w:rPr>
        <w:t xml:space="preserve">.</w:t>
      </w:r>
      <w:r>
        <w:t xml:space="preserve"> </w:t>
      </w:r>
      <w:r>
        <w:t xml:space="preserve">Compare a ponderação com a linha de 45 graus para visualizar a sobrevalorização de probabilidades pequenas e a subvalorização de probabilidades altas.</w:t>
      </w:r>
    </w:p>
    <w:p>
      <w:pPr>
        <w:pStyle w:val="BlockText"/>
      </w:pPr>
      <w:r>
        <w:rPr>
          <w:b/>
          <w:bCs/>
        </w:rPr>
        <w:t xml:space="preserve">[INTUICAO ECONOMICA] Intuição Econômica</w:t>
      </w:r>
    </w:p>
    <w:p>
      <w:pPr>
        <w:pStyle w:val="BlockText"/>
      </w:pPr>
      <w:r>
        <w:rPr>
          <w:b/>
          <w:bCs/>
        </w:rPr>
        <w:t xml:space="preserve">Em uma frase:</w:t>
      </w:r>
      <w:r>
        <w:t xml:space="preserve"> </w:t>
      </w:r>
      <w:r>
        <w:t xml:space="preserve">A mesma pessoa compra loteria e contrata seguro contra catástrofe — ambos explicados pela sobrevalorização de eventos raros.</w:t>
      </w:r>
    </w:p>
    <w:p>
      <w:pPr>
        <w:pStyle w:val="BlockText"/>
      </w:pPr>
      <w:r>
        <w:rPr>
          <w:b/>
          <w:bCs/>
        </w:rPr>
        <w:t xml:space="preserve">Pense assim:</w:t>
      </w:r>
      <w:r>
        <w:t xml:space="preserve"> </w:t>
      </w:r>
      <w:r>
        <w:t xml:space="preserve">Você joga na Mega-Sena (chance de 1 em 50 milhões) porque seu cérebro</w:t>
      </w:r>
      <w:r>
        <w:t xml:space="preserve"> </w:t>
      </w:r>
      <w:r>
        <w:t xml:space="preserve">“infla”</w:t>
      </w:r>
      <w:r>
        <w:t xml:space="preserve"> </w:t>
      </w:r>
      <w:r>
        <w:t xml:space="preserve">essa probabilidade minúscula. E contrata seguro contra incêndio (chance de 1 em 10.000) pelo mesmo motivo — a probabilidade pequena de perda também é inflada. Sob utilidade esperada, essas atitudes são inconsistentes; sob a Teoria do Prospecto, ambas decorrem da mesma distorção.</w:t>
      </w:r>
    </w:p>
    <w:p>
      <w:pPr>
        <w:pStyle w:val="BlockText"/>
      </w:pPr>
      <w:r>
        <w:rPr>
          <w:b/>
          <w:bCs/>
        </w:rPr>
        <w:t xml:space="preserve">Por que isso importa:</w:t>
      </w:r>
      <w:r>
        <w:t xml:space="preserve"> </w:t>
      </w:r>
      <w:r>
        <w:t xml:space="preserve">A ponderação não linear de probabilidades é a peça que faltava para explicar simultaneamente comportamentos de risco (loterias, day trading) e aversão extrema a catástrofes (seguros caros, pânico financeiro).</w:t>
      </w:r>
    </w:p>
    <w:p>
      <w:pPr>
        <w:pStyle w:val="BlockText"/>
      </w:pPr>
      <w:r>
        <w:rPr>
          <w:b/>
          <w:bCs/>
        </w:rPr>
        <w:t xml:space="preserve">[BOX BRASIL] Box Brasil 8.2: A Mega-Sena e a sobrevalorização de probabilidades pequenas</w:t>
      </w:r>
    </w:p>
    <w:p>
      <w:pPr>
        <w:pStyle w:val="BlockText"/>
      </w:pPr>
      <w:r>
        <w:t xml:space="preserve">A probabilidade de acertar as seis dezenas da Mega-Sena é de aproximadamente 1 em 50 milhões. Mesmo assim, milhões de brasileiros apostam regularmente. O valor esperado de uma aposta de R$ 5,00 é tipicamente negativo (parte da arrecadação financia programas sociais via Caixa Econômica Federal). Sob utilidade esperada com probabilidades lineares, apostar seria irracional para qualquer agente avesso ao risco. A Teoria do Prospecto oferece uma explicação: a função de ponderação transforma a probabilidade objetiva minúscula (</w:t>
      </w:r>
      <m:oMath>
        <m:r>
          <m:t>p</m:t>
        </m:r>
        <m:r>
          <m:rPr>
            <m:sty m:val="p"/>
          </m:rPr>
          <m:t>≈</m:t>
        </m:r>
        <m:r>
          <m:t>0</m:t>
        </m:r>
        <m:r>
          <m:rPr>
            <m:sty m:val="p"/>
          </m:rPr>
          <m:t>,</m:t>
        </m:r>
        <m:r>
          <m:t>00000002</m:t>
        </m:r>
      </m:oMath>
      <w:r>
        <w:t xml:space="preserve">) em um peso decisório substancialmente maior, tornando a aposta subjetivamente atraente. O prazer antecipatório de imaginar o ganho faz parte do</w:t>
      </w:r>
      <w:r>
        <w:t xml:space="preserve"> </w:t>
      </w:r>
      <w:r>
        <w:t xml:space="preserve">“produto”</w:t>
      </w:r>
      <w:r>
        <w:t xml:space="preserve"> </w:t>
      </w:r>
      <w:r>
        <w:t xml:space="preserve">consumido — algo que o modelo neoclássico não captura.</w:t>
      </w:r>
    </w:p>
    <w:bookmarkEnd w:id="381"/>
    <w:bookmarkStart w:id="382" w:name="da-pt-original-à-pt-cumulativa-cpt"/>
    <w:p>
      <w:pPr>
        <w:pStyle w:val="Heading4"/>
      </w:pPr>
      <w:r>
        <w:t xml:space="preserve">8.2.4 Da PT Original à PT Cumulativa (CPT)</w:t>
      </w:r>
    </w:p>
    <w:p>
      <w:pPr>
        <w:pStyle w:val="FirstParagraph"/>
      </w:pPr>
      <w:r>
        <w:t xml:space="preserve">A combinação de função valor e ponderação de probabilidades confere à Teoria do Prospecto um poder descritivo notável. No entanto, como frequentemente ocorre em ciência, a primeira versão de uma boa teoria carrega imperfeições técnicas que precisam ser corrigidas. A Teoria do Prospecto original (OPT) de 1979 apresentava uma limitação técnica importante: a ponderação direta de probabilidades isoladas podia levar à violação de dominância estocástica — um agente poderia preferir uma loteria com resultados piores em todos os cenários (Dhami 2016, p. 158). A solução veio em dois passos.</w:t>
      </w:r>
    </w:p>
    <w:p>
      <w:pPr>
        <w:pStyle w:val="BodyText"/>
      </w:pPr>
      <w:r>
        <w:rPr>
          <w:b/>
          <w:bCs/>
        </w:rPr>
        <w:t xml:space="preserve">Utilidade Dependente de Rank (RDU).</w:t>
      </w:r>
      <w:r>
        <w:t xml:space="preserve"> </w:t>
      </w:r>
      <w:r>
        <w:t xml:space="preserve">Quiggin (1982) propôs ponderar</w:t>
      </w:r>
      <w:r>
        <w:t xml:space="preserve"> </w:t>
      </w:r>
      <w:r>
        <w:rPr>
          <w:b/>
          <w:bCs/>
        </w:rPr>
        <w:t xml:space="preserve">probabilidades acumuladas</w:t>
      </w:r>
      <w:r>
        <w:t xml:space="preserve"> </w:t>
      </w:r>
      <w:r>
        <w:t xml:space="preserve">em vez de probabilidades isoladas. Na RDU, os resultados são primeiro ordenados do pior ao melhor, e os pesos decisórios</w:t>
      </w:r>
      <w:r>
        <w:t xml:space="preserve"> </w:t>
      </w:r>
      <m:oMath>
        <m:sSub>
          <m:e>
            <m:r>
              <m:t>π</m:t>
            </m:r>
          </m:e>
          <m:sub>
            <m:r>
              <m:t>i</m:t>
            </m:r>
          </m:sub>
        </m:sSub>
      </m:oMath>
      <w:r>
        <w:t xml:space="preserve"> </w:t>
      </w:r>
      <w:r>
        <w:t xml:space="preserve">são calculados a partir da função de ponderação aplicada às probabilidades acumuladas:</w:t>
      </w:r>
    </w:p>
    <w:p>
      <w:pPr>
        <w:pStyle w:val="BodyText"/>
      </w:pPr>
      <m:oMathPara>
        <m:oMathParaPr>
          <m:jc m:val="center"/>
        </m:oMathParaPr>
        <m:oMath>
          <m:sSub>
            <m:e>
              <m:r>
                <m:t>π</m:t>
              </m:r>
            </m:e>
            <m:sub>
              <m:r>
                <m:t>i</m:t>
              </m:r>
            </m:sub>
          </m:sSub>
          <m:r>
            <m:rPr>
              <m:sty m:val="p"/>
            </m:rPr>
            <m:t>=</m:t>
          </m:r>
          <m:r>
            <m:t>w</m:t>
          </m:r>
          <m:r>
            <m:t>​</m:t>
          </m:r>
          <m:d>
            <m:dPr>
              <m:begChr m:val="("/>
              <m:sepChr m:val=""/>
              <m:endChr m:val=")"/>
              <m:grow/>
            </m:dPr>
            <m:e>
              <m:nary>
                <m:naryPr>
                  <m:chr m:val="∑"/>
                  <m:limLoc m:val="undOvr"/>
                  <m:subHide m:val="off"/>
                  <m:supHide m:val="off"/>
                </m:naryPr>
                <m:sub>
                  <m:r>
                    <m:t>j</m:t>
                  </m:r>
                  <m:r>
                    <m:rPr>
                      <m:sty m:val="p"/>
                    </m:rPr>
                    <m:t>=</m:t>
                  </m:r>
                  <m:r>
                    <m:t>i</m:t>
                  </m:r>
                </m:sub>
                <m:sup>
                  <m:r>
                    <m:t>n</m:t>
                  </m:r>
                </m:sup>
                <m:e>
                  <m:sSub>
                    <m:e>
                      <m:r>
                        <m:t>p</m:t>
                      </m:r>
                    </m:e>
                    <m:sub>
                      <m:r>
                        <m:t>j</m:t>
                      </m:r>
                    </m:sub>
                  </m:sSub>
                </m:e>
              </m:nary>
            </m:e>
          </m:d>
          <m:r>
            <m:rPr>
              <m:sty m:val="p"/>
            </m:rPr>
            <m:t>−</m:t>
          </m:r>
          <m:r>
            <m:t>w</m:t>
          </m:r>
          <m:r>
            <m:t>​</m:t>
          </m:r>
          <m:d>
            <m:dPr>
              <m:begChr m:val="("/>
              <m:sepChr m:val=""/>
              <m:endChr m:val=")"/>
              <m:grow/>
            </m:dPr>
            <m:e>
              <m:nary>
                <m:naryPr>
                  <m:chr m:val="∑"/>
                  <m:limLoc m:val="undOvr"/>
                  <m:subHide m:val="off"/>
                  <m:supHide m:val="off"/>
                </m:naryPr>
                <m:sub>
                  <m:r>
                    <m:t>j</m:t>
                  </m:r>
                  <m:r>
                    <m:rPr>
                      <m:sty m:val="p"/>
                    </m:rPr>
                    <m:t>=</m:t>
                  </m:r>
                  <m:r>
                    <m:t>i</m:t>
                  </m:r>
                  <m:r>
                    <m:rPr>
                      <m:sty m:val="p"/>
                    </m:rPr>
                    <m:t>+</m:t>
                  </m:r>
                  <m:r>
                    <m:t>1</m:t>
                  </m:r>
                </m:sub>
                <m:sup>
                  <m:r>
                    <m:t>n</m:t>
                  </m:r>
                </m:sup>
                <m:e>
                  <m:sSub>
                    <m:e>
                      <m:r>
                        <m:t>p</m:t>
                      </m:r>
                    </m:e>
                    <m:sub>
                      <m:r>
                        <m:t>j</m:t>
                      </m:r>
                    </m:sub>
                  </m:sSub>
                </m:e>
              </m:nary>
            </m:e>
          </m:d>
        </m:oMath>
      </m:oMathPara>
    </w:p>
    <w:p>
      <w:pPr>
        <w:pStyle w:val="FirstParagraph"/>
      </w:pPr>
      <w:r>
        <w:t xml:space="preserve">A utilidade RDU é então</w:t>
      </w:r>
      <w:r>
        <w:t xml:space="preserve"> </w:t>
      </w:r>
      <m:oMath>
        <m:r>
          <m:rPr>
            <m:nor/>
            <m:sty m:val="p"/>
          </m:rPr>
          <m:t>RDU</m:t>
        </m:r>
        <m:r>
          <m:rPr>
            <m:sty m:val="p"/>
          </m:rPr>
          <m:t>(</m:t>
        </m:r>
        <m:r>
          <m:t>L</m:t>
        </m:r>
        <m:r>
          <m:rPr>
            <m:sty m:val="p"/>
          </m:rPr>
          <m:t>)</m:t>
        </m:r>
        <m:r>
          <m:rPr>
            <m:sty m:val="p"/>
          </m:rPr>
          <m:t>=</m:t>
        </m:r>
        <m:nary>
          <m:naryPr>
            <m:chr m:val="∑"/>
            <m:limLoc m:val="undOvr"/>
            <m:subHide m:val="off"/>
            <m:supHide m:val="off"/>
          </m:naryPr>
          <m:sub>
            <m:r>
              <m:t>i</m:t>
            </m:r>
            <m:r>
              <m:rPr>
                <m:sty m:val="p"/>
              </m:rPr>
              <m:t>=</m:t>
            </m:r>
            <m:r>
              <m:t>1</m:t>
            </m:r>
          </m:sub>
          <m:sup>
            <m:r>
              <m:t>n</m:t>
            </m:r>
          </m:sup>
          <m:e>
            <m:sSub>
              <m:e>
                <m:r>
                  <m:t>π</m:t>
                </m:r>
              </m:e>
              <m:sub>
                <m:r>
                  <m:t>i</m:t>
                </m:r>
              </m:sub>
            </m:sSub>
          </m:e>
        </m:nary>
        <m:r>
          <m:t> </m:t>
        </m:r>
        <m:r>
          <m:t>u</m:t>
        </m:r>
        <m:r>
          <m:rPr>
            <m:sty m:val="p"/>
          </m:rPr>
          <m:t>(</m:t>
        </m:r>
        <m:sSub>
          <m:e>
            <m:r>
              <m:t>x</m:t>
            </m:r>
          </m:e>
          <m:sub>
            <m:r>
              <m:t>i</m:t>
            </m:r>
          </m:sub>
        </m:sSub>
        <m:r>
          <m:rPr>
            <m:sty m:val="p"/>
          </m:rPr>
          <m:t>)</m:t>
        </m:r>
      </m:oMath>
      <w:r>
        <w:t xml:space="preserve">. Diferentemente da ponderação direta, os pesos decisórios da equação Eq. (eq:8.3) nunca violam a dominância estocástica (Dhami 2016, p. 159–164).</w:t>
      </w:r>
    </w:p>
    <w:p>
      <w:pPr>
        <w:pStyle w:val="BodyText"/>
      </w:pPr>
      <w:r>
        <w:rPr>
          <w:b/>
          <w:bCs/>
        </w:rPr>
        <w:t xml:space="preserve">PT Cumulativa (CPT).</w:t>
      </w:r>
      <w:r>
        <w:t xml:space="preserve"> </w:t>
      </w:r>
      <w:r>
        <w:t xml:space="preserve">Tversky e Kahneman (1992) combinaram a RDU com as inovações da OPT — dependência de referência, aversão à perda e funções de ponderação distintas para ganhos e perdas — criando a</w:t>
      </w:r>
      <w:r>
        <w:t xml:space="preserve"> </w:t>
      </w:r>
      <w:r>
        <w:rPr>
          <w:b/>
          <w:bCs/>
        </w:rPr>
        <w:t xml:space="preserve">Teoria do Prospecto Cumulativa</w:t>
      </w:r>
      <w:r>
        <w:t xml:space="preserve">. Na CPT, ganhos são ordenados do menor ao maior e perdas do maior (menos negativo) ao menor (mais negativo), com pesos decisórios computados separadamente para cada domínio.</w:t>
      </w:r>
    </w:p>
    <w:p>
      <w:pPr>
        <w:pStyle w:val="BodyText"/>
      </w:pPr>
      <w:r>
        <w:t xml:space="preserve">A</w:t>
      </w:r>
      <w:r>
        <w:t xml:space="preserve"> </w:t>
      </w:r>
      <w:hyperlink w:anchor="tabela-8-3">
        <w:r>
          <w:rPr>
            <w:rStyle w:val="Hyperlink"/>
          </w:rPr>
          <w:t xml:space="preserve">Tabela 8.3</w:t>
        </w:r>
      </w:hyperlink>
      <w:r>
        <w:t xml:space="preserve"> </w:t>
      </w:r>
      <w:r>
        <w:t xml:space="preserve">compara os quatro modelos: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Característica</w:t>
            </w:r>
          </w:p>
        </w:tc>
        <w:tc>
          <w:tcPr/>
          <w:p>
            <w:pPr>
              <w:pStyle w:val="Compact"/>
            </w:pPr>
            <w:r>
              <w:t xml:space="preserve">UE</w:t>
            </w:r>
          </w:p>
        </w:tc>
        <w:tc>
          <w:tcPr/>
          <w:p>
            <w:pPr>
              <w:pStyle w:val="Compact"/>
            </w:pPr>
            <w:r>
              <w:t xml:space="preserve">RDU</w:t>
            </w:r>
          </w:p>
        </w:tc>
        <w:tc>
          <w:tcPr/>
          <w:p>
            <w:pPr>
              <w:pStyle w:val="Compact"/>
            </w:pPr>
            <w:r>
              <w:t xml:space="preserve">OPT</w:t>
            </w:r>
          </w:p>
        </w:tc>
        <w:tc>
          <w:tcPr/>
          <w:p>
            <w:pPr>
              <w:pStyle w:val="Compact"/>
            </w:pPr>
            <w:r>
              <w:t xml:space="preserve">CPT</w:t>
            </w:r>
          </w:p>
        </w:tc>
      </w:tr>
      <w:tr>
        <w:tc>
          <w:tcPr/>
          <w:p>
            <w:pPr>
              <w:pStyle w:val="Compact"/>
            </w:pPr>
            <w:r>
              <w:t xml:space="preserve">Portador de valor</w:t>
            </w:r>
          </w:p>
        </w:tc>
        <w:tc>
          <w:tcPr/>
          <w:p>
            <w:pPr>
              <w:pStyle w:val="Compact"/>
            </w:pPr>
            <w:r>
              <w:t xml:space="preserve">Riqueza final</w:t>
            </w:r>
          </w:p>
        </w:tc>
        <w:tc>
          <w:tcPr/>
          <w:p>
            <w:pPr>
              <w:pStyle w:val="Compact"/>
            </w:pPr>
            <w:r>
              <w:t xml:space="preserve">Riqueza final</w:t>
            </w:r>
          </w:p>
        </w:tc>
        <w:tc>
          <w:tcPr/>
          <w:p>
            <w:pPr>
              <w:pStyle w:val="Compact"/>
            </w:pPr>
            <w:r>
              <w:t xml:space="preserve">Ganhos/perdas</w:t>
            </w:r>
          </w:p>
        </w:tc>
        <w:tc>
          <w:tcPr/>
          <w:p>
            <w:pPr>
              <w:pStyle w:val="Compact"/>
            </w:pPr>
            <w:r>
              <w:t xml:space="preserve">Ganhos/perdas</w:t>
            </w:r>
          </w:p>
        </w:tc>
      </w:tr>
      <w:tr>
        <w:tc>
          <w:tcPr/>
          <w:p>
            <w:pPr>
              <w:pStyle w:val="Compact"/>
            </w:pPr>
            <w:r>
              <w:t xml:space="preserve">Ponderação de prob.</w:t>
            </w:r>
          </w:p>
        </w:tc>
        <w:tc>
          <w:tcPr/>
          <w:p>
            <w:pPr>
              <w:pStyle w:val="Compact"/>
            </w:pPr>
            <w:r>
              <w:t xml:space="preserve">Linear</w:t>
            </w:r>
          </w:p>
        </w:tc>
        <w:tc>
          <w:tcPr/>
          <w:p>
            <w:pPr>
              <w:pStyle w:val="Compact"/>
            </w:pPr>
            <w:r>
              <w:t xml:space="preserve">Cumulativa</w:t>
            </w:r>
          </w:p>
        </w:tc>
        <w:tc>
          <w:tcPr/>
          <w:p>
            <w:pPr>
              <w:pStyle w:val="Compact"/>
            </w:pPr>
            <w:r>
              <w:t xml:space="preserve">Direta</w:t>
            </w:r>
          </w:p>
        </w:tc>
        <w:tc>
          <w:tcPr/>
          <w:p>
            <w:pPr>
              <w:pStyle w:val="Compact"/>
            </w:pPr>
            <w:r>
              <w:t xml:space="preserve">Cumulativa</w:t>
            </w:r>
          </w:p>
        </w:tc>
      </w:tr>
      <w:tr>
        <w:tc>
          <w:tcPr/>
          <w:p>
            <w:pPr>
              <w:pStyle w:val="Compact"/>
            </w:pPr>
            <w:r>
              <w:t xml:space="preserve">Aversão à perda</w:t>
            </w:r>
          </w:p>
        </w:tc>
        <w:tc>
          <w:tcPr/>
          <w:p>
            <w:pPr>
              <w:pStyle w:val="Compact"/>
            </w:pPr>
            <w:r>
              <w:t xml:space="preserve">Não</w:t>
            </w:r>
          </w:p>
        </w:tc>
        <w:tc>
          <w:tcPr/>
          <w:p>
            <w:pPr>
              <w:pStyle w:val="Compact"/>
            </w:pPr>
            <w:r>
              <w:t xml:space="preserve">Não</w:t>
            </w:r>
          </w:p>
        </w:tc>
        <w:tc>
          <w:tcPr/>
          <w:p>
            <w:pPr>
              <w:pStyle w:val="Compact"/>
            </w:pPr>
            <w:r>
              <w:t xml:space="preserve">Sim (</w:t>
            </w:r>
            <m:oMath>
              <m:r>
                <m:t>λ</m:t>
              </m:r>
            </m:oMath>
            <w:r>
              <w:t xml:space="preserve">)</w:t>
            </w:r>
          </w:p>
        </w:tc>
        <w:tc>
          <w:tcPr/>
          <w:p>
            <w:pPr>
              <w:pStyle w:val="Compact"/>
            </w:pPr>
            <w:r>
              <w:t xml:space="preserve">Sim (</w:t>
            </w:r>
            <m:oMath>
              <m:r>
                <m:t>λ</m:t>
              </m:r>
            </m:oMath>
            <w:r>
              <w:t xml:space="preserve">)</w:t>
            </w:r>
          </w:p>
        </w:tc>
      </w:tr>
      <w:tr>
        <w:tc>
          <w:tcPr/>
          <w:p>
            <w:pPr>
              <w:pStyle w:val="Compact"/>
            </w:pPr>
            <w:r>
              <w:t xml:space="preserve">Respeita dominância</w:t>
            </w:r>
          </w:p>
        </w:tc>
        <w:tc>
          <w:tcPr/>
          <w:p>
            <w:pPr>
              <w:pStyle w:val="Compact"/>
            </w:pPr>
            <w:r>
              <w:t xml:space="preserve">Sim</w:t>
            </w:r>
          </w:p>
        </w:tc>
        <w:tc>
          <w:tcPr/>
          <w:p>
            <w:pPr>
              <w:pStyle w:val="Compact"/>
            </w:pPr>
            <w:r>
              <w:t xml:space="preserve">Sim</w:t>
            </w:r>
          </w:p>
        </w:tc>
        <w:tc>
          <w:tcPr/>
          <w:p>
            <w:pPr>
              <w:pStyle w:val="Compact"/>
            </w:pPr>
            <w:r>
              <w:rPr>
                <w:b/>
                <w:bCs/>
              </w:rPr>
              <w:t xml:space="preserve">Não</w:t>
            </w:r>
          </w:p>
        </w:tc>
        <w:tc>
          <w:tcPr/>
          <w:p>
            <w:pPr>
              <w:pStyle w:val="Compact"/>
            </w:pPr>
            <w:r>
              <w:t xml:space="preserve">Sim</w:t>
            </w:r>
          </w:p>
        </w:tc>
      </w:tr>
      <w:tr>
        <w:tc>
          <w:tcPr/>
          <w:p>
            <w:pPr>
              <w:pStyle w:val="Compact"/>
            </w:pPr>
            <m:oMath>
              <m:r>
                <m:t>w</m:t>
              </m:r>
            </m:oMath>
            <w:r>
              <w:t xml:space="preserve"> </w:t>
            </w:r>
            <w:r>
              <w:t xml:space="preserve">para ganhos e perdas</w:t>
            </w:r>
          </w:p>
        </w:tc>
        <w:tc>
          <w:tcPr/>
          <w:p>
            <w:pPr>
              <w:pStyle w:val="Compact"/>
            </w:pPr>
            <w:r>
              <w:t xml:space="preserve">—</w:t>
            </w:r>
          </w:p>
        </w:tc>
        <w:tc>
          <w:tcPr/>
          <w:p>
            <w:pPr>
              <w:pStyle w:val="Compact"/>
            </w:pPr>
            <w:r>
              <w:t xml:space="preserve">Uma única</w:t>
            </w:r>
            <w:r>
              <w:t xml:space="preserve"> </w:t>
            </w:r>
            <m:oMath>
              <m:r>
                <m:t>w</m:t>
              </m:r>
            </m:oMath>
          </w:p>
        </w:tc>
        <w:tc>
          <w:tcPr/>
          <w:p>
            <w:pPr>
              <w:pStyle w:val="Compact"/>
            </w:pPr>
            <w:r>
              <w:t xml:space="preserve">Duas</w:t>
            </w:r>
            <w:r>
              <w:t xml:space="preserve"> </w:t>
            </w:r>
            <m:oMath>
              <m:r>
                <m:t>w</m:t>
              </m:r>
            </m:oMath>
          </w:p>
        </w:tc>
        <w:tc>
          <w:tcPr/>
          <w:p>
            <w:pPr>
              <w:pStyle w:val="Compact"/>
            </w:pPr>
            <w:r>
              <w:t xml:space="preserve">Duas</w:t>
            </w:r>
            <w:r>
              <w:t xml:space="preserve"> </w:t>
            </w:r>
            <m:oMath>
              <m:sSup>
                <m:e>
                  <m:r>
                    <m:t>w</m:t>
                  </m:r>
                </m:e>
                <m:sup>
                  <m:r>
                    <m:rPr>
                      <m:sty m:val="p"/>
                    </m:rPr>
                    <m:t>+</m:t>
                  </m:r>
                </m:sup>
              </m:sSup>
              <m:r>
                <m:rPr>
                  <m:sty m:val="p"/>
                </m:rPr>
                <m:t>,</m:t>
              </m:r>
              <m:sSup>
                <m:e>
                  <m:r>
                    <m:t>w</m:t>
                  </m:r>
                </m:e>
                <m:sup>
                  <m:r>
                    <m:rPr>
                      <m:sty m:val="p"/>
                    </m:rPr>
                    <m:t>−</m:t>
                  </m:r>
                </m:sup>
              </m:sSup>
            </m:oMath>
          </w:p>
        </w:tc>
      </w:tr>
    </w:tbl>
    <w:p>
      <w:pPr>
        <w:pStyle w:val="BodyText"/>
      </w:pPr>
      <w:r>
        <w:rPr>
          <w:b/>
          <w:bCs/>
        </w:rPr>
        <w:t xml:space="preserve">Tabela 8.3 — Comparação dos modelos de decisão sob risco.</w:t>
      </w:r>
    </w:p>
    <w:p>
      <w:pPr>
        <w:pStyle w:val="BlockText"/>
      </w:pPr>
      <w:r>
        <w:rPr>
          <w:b/>
          <w:bCs/>
        </w:rPr>
        <w:t xml:space="preserve">[INTUICAO ECONOMICA] Intuição Econômica</w:t>
      </w:r>
    </w:p>
    <w:p>
      <w:pPr>
        <w:pStyle w:val="BlockText"/>
      </w:pPr>
      <w:r>
        <w:rPr>
          <w:b/>
          <w:bCs/>
        </w:rPr>
        <w:t xml:space="preserve">Em uma frase:</w:t>
      </w:r>
      <w:r>
        <w:t xml:space="preserve"> </w:t>
      </w:r>
      <w:r>
        <w:t xml:space="preserve">A CPT corrige o defeito técnico da Teoria do Prospecto original — violação de dominância estocástica — preservando todas as suas inovações psicológicas.</w:t>
      </w:r>
    </w:p>
    <w:p>
      <w:pPr>
        <w:pStyle w:val="BlockText"/>
      </w:pPr>
      <w:r>
        <w:rPr>
          <w:b/>
          <w:bCs/>
        </w:rPr>
        <w:t xml:space="preserve">Pense assim:</w:t>
      </w:r>
      <w:r>
        <w:t xml:space="preserve"> </w:t>
      </w:r>
      <w:r>
        <w:t xml:space="preserve">A OPT de 1979 era como um carro revolucionário que às vezes acelerava sozinho (violava dominância). A CPT de Tversky e Kahneman (1992) consertou o motor (ponderação cumulativa em vez de isolada) sem mudar o design — referência, aversão à perda e distorção de probabilidades continuam presentes.</w:t>
      </w:r>
    </w:p>
    <w:p>
      <w:pPr>
        <w:pStyle w:val="BlockText"/>
      </w:pPr>
      <w:r>
        <w:rPr>
          <w:b/>
          <w:bCs/>
        </w:rPr>
        <w:t xml:space="preserve">Por que isso importa:</w:t>
      </w:r>
      <w:r>
        <w:t xml:space="preserve"> </w:t>
      </w:r>
      <w:r>
        <w:t xml:space="preserve">A CPT é o modelo de referência em economia comportamental e finanças comportamentais. Para loterias simples, OPT e CPT geram previsões semelhantes — a diferença técnica importa mais para loterias com muitos resultados e para consistência teórica.</w:t>
      </w:r>
    </w:p>
    <w:bookmarkEnd w:id="382"/>
    <w:bookmarkStart w:id="383" w:name="efeito-dotação-e-efeito-framing"/>
    <w:p>
      <w:pPr>
        <w:pStyle w:val="Heading4"/>
      </w:pPr>
      <w:r>
        <w:t xml:space="preserve">8.2.5 Efeito dotação e efeito framing</w:t>
      </w:r>
    </w:p>
    <w:p>
      <w:pPr>
        <w:pStyle w:val="FirstParagraph"/>
      </w:pPr>
      <w:r>
        <w:t xml:space="preserve">A Teoria do Prospecto não é apenas um modelo abstrato de decisão sob risco — ela gera previsões concretas sobre o comportamento econômico que podem ser testadas em laboratório e observadas nos mercados. Duas dessas previsões são particularmente importantes, pois desafiam pilares fundamentais da teoria neoclássica: o efeito dotação, que questiona a igualdade entre disposição a pagar e disposição a aceitar, e o efeito framing, que questiona a invariância das preferências à forma de apresentação.</w:t>
      </w:r>
    </w:p>
    <w:p>
      <w:pPr>
        <w:pStyle w:val="BodyText"/>
      </w:pPr>
      <w:r>
        <w:t xml:space="preserve">Duas consequências diretas da Teoria do Prospecto têm grande relevância econômica:</w:t>
      </w:r>
    </w:p>
    <w:p>
      <w:pPr>
        <w:pStyle w:val="BodyText"/>
      </w:pPr>
      <w:r>
        <w:rPr>
          <w:b/>
          <w:bCs/>
        </w:rPr>
        <w:t xml:space="preserve">Efeito dotação.</w:t>
      </w:r>
      <w:r>
        <w:t xml:space="preserve"> </w:t>
      </w:r>
      <w:r>
        <w:t xml:space="preserve">A aversão à perda implica que as pessoas exigem mais para abrir mão de um objeto que já possuem do que estariam dispostas a pagar para adquiri-lo. Esse hiato entre a</w:t>
      </w:r>
      <w:r>
        <w:t xml:space="preserve"> </w:t>
      </w:r>
      <w:r>
        <w:rPr>
          <w:b/>
          <w:bCs/>
        </w:rPr>
        <w:t xml:space="preserve">disposição a aceitar</w:t>
      </w:r>
      <w:r>
        <w:t xml:space="preserve"> </w:t>
      </w:r>
      <w:r>
        <w:t xml:space="preserve">(WTA) e a</w:t>
      </w:r>
      <w:r>
        <w:t xml:space="preserve"> </w:t>
      </w:r>
      <w:r>
        <w:rPr>
          <w:b/>
          <w:bCs/>
        </w:rPr>
        <w:t xml:space="preserve">disposição a pagar</w:t>
      </w:r>
      <w:r>
        <w:t xml:space="preserve"> </w:t>
      </w:r>
      <w:r>
        <w:t xml:space="preserve">(WTP) contradiz a previsão da teoria neoclássica de que WTA</w:t>
      </w:r>
      <w:r>
        <w:t xml:space="preserve"> </w:t>
      </w:r>
      <m:oMath>
        <m:r>
          <m:rPr>
            <m:sty m:val="p"/>
          </m:rPr>
          <m:t>≈</m:t>
        </m:r>
      </m:oMath>
      <w:r>
        <w:t xml:space="preserve"> </w:t>
      </w:r>
      <w:r>
        <w:t xml:space="preserve">WTP para bens sem efeito renda significativo.</w:t>
      </w:r>
    </w:p>
    <w:p>
      <w:pPr>
        <w:pStyle w:val="BlockText"/>
      </w:pPr>
      <w:r>
        <w:rPr>
          <w:b/>
          <w:bCs/>
        </w:rPr>
        <w:t xml:space="preserve">[EXEMPLO] Canecas de Kahneman, Knetsch e Thaler</w:t>
      </w:r>
    </w:p>
    <w:p>
      <w:pPr>
        <w:pStyle w:val="BlockText"/>
      </w:pPr>
      <w:r>
        <w:t xml:space="preserve">No experimento clássico de Kahneman, Knetsch e Thaler (1990), metade dos participantes recebeu uma caneca de café da universidade. Quando questionados sobre o preço mínimo para vendê-la, os</w:t>
      </w:r>
      <w:r>
        <w:t xml:space="preserve"> </w:t>
      </w:r>
      <w:r>
        <w:t xml:space="preserve">“donos”</w:t>
      </w:r>
      <w:r>
        <w:t xml:space="preserve"> </w:t>
      </w:r>
      <w:r>
        <w:t xml:space="preserve">pediram em média US$ 7,12. Os</w:t>
      </w:r>
      <w:r>
        <w:t xml:space="preserve"> </w:t>
      </w:r>
      <w:r>
        <w:t xml:space="preserve">“compradores”</w:t>
      </w:r>
      <w:r>
        <w:t xml:space="preserve"> </w:t>
      </w:r>
      <w:r>
        <w:t xml:space="preserve">(que não receberam a caneca) ofereceram em média US$ 2,87. A simples posse — a dotação — mais que dobrou a valoração do objeto.</w:t>
      </w:r>
    </w:p>
    <w:p>
      <w:pPr>
        <w:pStyle w:val="BlockText"/>
      </w:pPr>
      <w:r>
        <w:rPr>
          <w:b/>
          <w:bCs/>
        </w:rPr>
        <w:t xml:space="preserve">[BOX BRASIL] Box Brasil 8.3: Efeito dotação no mercado imobiliário</w:t>
      </w:r>
    </w:p>
    <w:p>
      <w:pPr>
        <w:pStyle w:val="BlockText"/>
      </w:pPr>
      <w:r>
        <w:t xml:space="preserve">O mercado imobiliário brasileiro oferece uma ilustração vívida do efeito dotação. Dados do índice FipeZap mostram que, em períodos de desaceleração econômica, os preços de venda de imóveis residenciais resistem a cair mesmo quando o volume de transações despenca. Proprietários que compraram seus imóveis a preços elevados relutam em vender abaixo do preço de aquisição — o ponto de referência —, preferindo manter o imóvel fora do mercado por meses ou anos. Essa rigidez de preços para baixo é difícil de explicar pela teoria neoclássica pura, mas é uma previsão natural da aversão à perda: vender abaixo do preço de compra é codificado como</w:t>
      </w:r>
      <w:r>
        <w:t xml:space="preserve"> </w:t>
      </w:r>
      <w:r>
        <w:t xml:space="preserve">“perda”</w:t>
      </w:r>
      <w:r>
        <w:t xml:space="preserve">, e a dor dessa perda supera o benefício racional de liquidar o ativo e realocar o capital.</w:t>
      </w:r>
    </w:p>
    <w:p>
      <w:pPr>
        <w:pStyle w:val="FirstParagraph"/>
      </w:pPr>
      <w:r>
        <w:rPr>
          <w:b/>
          <w:bCs/>
        </w:rPr>
        <w:t xml:space="preserve">Efeito framing.</w:t>
      </w:r>
      <w:r>
        <w:t xml:space="preserve"> </w:t>
      </w:r>
      <w:r>
        <w:t xml:space="preserve">Se o efeito dotação mostra que a posse de um objeto altera sua valoração, o efeito framing revela algo ainda mais perturbador para o modelo neoclássico: a forma como uma decisão é apresentada afeta sistematicamente as escolhas, mesmo quando as opções são logicamente equivalentes. Não é apenas o</w:t>
      </w:r>
      <w:r>
        <w:t xml:space="preserve"> </w:t>
      </w:r>
      <w:r>
        <w:rPr>
          <w:i/>
          <w:iCs/>
        </w:rPr>
        <w:t xml:space="preserve">conteúdo</w:t>
      </w:r>
      <w:r>
        <w:t xml:space="preserve"> </w:t>
      </w:r>
      <w:r>
        <w:t xml:space="preserve">da decisão que importa — é a</w:t>
      </w:r>
      <w:r>
        <w:t xml:space="preserve"> </w:t>
      </w:r>
      <w:r>
        <w:rPr>
          <w:i/>
          <w:iCs/>
        </w:rPr>
        <w:t xml:space="preserve">moldura</w:t>
      </w:r>
      <w:r>
        <w:t xml:space="preserve"> </w:t>
      </w:r>
      <w:r>
        <w:t xml:space="preserve">em que ela é colocada.</w:t>
      </w:r>
    </w:p>
    <w:p>
      <w:pPr>
        <w:pStyle w:val="BodyText"/>
      </w:pPr>
      <w:r>
        <w:t xml:space="preserve">No plano da política pública, o efeito framing tem implicações práticas de primeira ordem. Comunicações governamentais sobre saúde pública, tributos ou programas sociais produzem respostas diferentes dependendo de se enfatizam o que os cidadãos</w:t>
      </w:r>
      <w:r>
        <w:t xml:space="preserve"> </w:t>
      </w:r>
      <w:r>
        <w:rPr>
          <w:i/>
          <w:iCs/>
        </w:rPr>
        <w:t xml:space="preserve">ganham</w:t>
      </w:r>
      <w:r>
        <w:t xml:space="preserve"> </w:t>
      </w:r>
      <w:r>
        <w:t xml:space="preserve">com a adesão ou o que</w:t>
      </w:r>
      <w:r>
        <w:t xml:space="preserve"> </w:t>
      </w:r>
      <w:r>
        <w:rPr>
          <w:i/>
          <w:iCs/>
        </w:rPr>
        <w:t xml:space="preserve">perdem</w:t>
      </w:r>
      <w:r>
        <w:t xml:space="preserve"> </w:t>
      </w:r>
      <w:r>
        <w:t xml:space="preserve">sem ela. Estudos de campo mostram que mensagens enquadradas em termos de perda (</w:t>
      </w:r>
      <w:r>
        <w:t xml:space="preserve">“você perderá R$ X em benefícios caso não se inscreva”</w:t>
      </w:r>
      <w:r>
        <w:t xml:space="preserve">) costumam gerar maior taxa de resposta do que mensagens equivalentes enquadradas em termos de ganho — um resultado direto da assimetria</w:t>
      </w:r>
      <w:r>
        <w:t xml:space="preserve"> </w:t>
      </w:r>
      <m:oMath>
        <m:r>
          <m:t>λ</m:t>
        </m:r>
        <m:r>
          <m:rPr>
            <m:sty m:val="p"/>
          </m:rPr>
          <m:t>&gt;</m:t>
        </m:r>
        <m:r>
          <m:t>1</m:t>
        </m:r>
      </m:oMath>
      <w:r>
        <w:t xml:space="preserve"> </w:t>
      </w:r>
      <w:r>
        <w:t xml:space="preserve">da função valor. O efeito framing também aparece no design de contratos: um bônus por desempenho acima da meta (</w:t>
      </w:r>
      <w:r>
        <w:t xml:space="preserve">“ganho se superar”</w:t>
      </w:r>
      <w:r>
        <w:t xml:space="preserve">) é avaliado de forma diferente de uma penalidade por desempenho abaixo da meta (</w:t>
      </w:r>
      <w:r>
        <w:t xml:space="preserve">“perda se ficar abaixo”</w:t>
      </w:r>
      <w:r>
        <w:t xml:space="preserve">), mesmo que os valores monetários sejam idênticos. A literatura sobre contratos de incentivo comportamental explora essa assimetria para desenhar contratos que motivam mais sem necessariamente custar mais.</w:t>
      </w:r>
    </w:p>
    <w:p>
      <w:pPr>
        <w:pStyle w:val="BlockText"/>
      </w:pPr>
      <w:r>
        <w:rPr>
          <w:b/>
          <w:bCs/>
        </w:rPr>
        <w:t xml:space="preserve">[EXEMPLO] O problema das doenças asiáticas</w:t>
      </w:r>
    </w:p>
    <w:p>
      <w:pPr>
        <w:pStyle w:val="BlockText"/>
      </w:pPr>
      <w:r>
        <w:t xml:space="preserve">Tversky e Kahneman (1981) apresentaram o seguinte cenário: uma doença incomum ameaça matar 600 pessoas. Dois programas são propostos:</w:t>
      </w:r>
    </w:p>
    <w:p>
      <w:pPr>
        <w:pStyle w:val="BlockText"/>
      </w:pPr>
      <w:r>
        <w:rPr>
          <w:b/>
          <w:bCs/>
        </w:rPr>
        <w:t xml:space="preserve">Frame positivo (vidas salvas):</w:t>
      </w:r>
    </w:p>
    <w:p>
      <w:pPr>
        <w:pStyle w:val="Compact"/>
        <w:numPr>
          <w:ilvl w:val="0"/>
          <w:numId w:val="1392"/>
        </w:numPr>
      </w:pPr>
      <w:r>
        <w:t xml:space="preserve">Programa A: 200 pessoas serão salvas com certeza.</w:t>
      </w:r>
    </w:p>
    <w:p>
      <w:pPr>
        <w:pStyle w:val="Compact"/>
        <w:numPr>
          <w:ilvl w:val="0"/>
          <w:numId w:val="1392"/>
        </w:numPr>
      </w:pPr>
      <w:r>
        <w:t xml:space="preserve">Programa B:</w:t>
      </w:r>
      <w:r>
        <w:t xml:space="preserve"> </w:t>
      </w:r>
      <m:oMath>
        <m:r>
          <m:t>1</m:t>
        </m:r>
        <m:r>
          <m:rPr>
            <m:sty m:val="p"/>
          </m:rPr>
          <m:t>/</m:t>
        </m:r>
        <m:r>
          <m:t>3</m:t>
        </m:r>
      </m:oMath>
      <w:r>
        <w:t xml:space="preserve"> </w:t>
      </w:r>
      <w:r>
        <w:t xml:space="preserve">de probabilidade de salvar 600 e</w:t>
      </w:r>
      <w:r>
        <w:t xml:space="preserve"> </w:t>
      </w:r>
      <m:oMath>
        <m:r>
          <m:t>2</m:t>
        </m:r>
        <m:r>
          <m:rPr>
            <m:sty m:val="p"/>
          </m:rPr>
          <m:t>/</m:t>
        </m:r>
        <m:r>
          <m:t>3</m:t>
        </m:r>
      </m:oMath>
      <w:r>
        <w:t xml:space="preserve"> </w:t>
      </w:r>
      <w:r>
        <w:t xml:space="preserve">de ninguém ser salvo.</w:t>
      </w:r>
    </w:p>
    <w:p>
      <w:pPr>
        <w:pStyle w:val="BlockText"/>
      </w:pPr>
      <w:r>
        <w:rPr>
          <w:b/>
          <w:bCs/>
        </w:rPr>
        <w:t xml:space="preserve">Frame negativo (mortes):</w:t>
      </w:r>
    </w:p>
    <w:p>
      <w:pPr>
        <w:pStyle w:val="Compact"/>
        <w:numPr>
          <w:ilvl w:val="0"/>
          <w:numId w:val="1393"/>
        </w:numPr>
      </w:pPr>
      <w:r>
        <w:t xml:space="preserve">Programa C: 400 pessoas morrerão com certeza.</w:t>
      </w:r>
    </w:p>
    <w:p>
      <w:pPr>
        <w:pStyle w:val="Compact"/>
        <w:numPr>
          <w:ilvl w:val="0"/>
          <w:numId w:val="1393"/>
        </w:numPr>
      </w:pPr>
      <w:r>
        <w:t xml:space="preserve">Programa D:</w:t>
      </w:r>
      <w:r>
        <w:t xml:space="preserve"> </w:t>
      </w:r>
      <m:oMath>
        <m:r>
          <m:t>1</m:t>
        </m:r>
        <m:r>
          <m:rPr>
            <m:sty m:val="p"/>
          </m:rPr>
          <m:t>/</m:t>
        </m:r>
        <m:r>
          <m:t>3</m:t>
        </m:r>
      </m:oMath>
      <w:r>
        <w:t xml:space="preserve"> </w:t>
      </w:r>
      <w:r>
        <w:t xml:space="preserve">de probabilidade de ninguém morrer e</w:t>
      </w:r>
      <w:r>
        <w:t xml:space="preserve"> </w:t>
      </w:r>
      <m:oMath>
        <m:r>
          <m:t>2</m:t>
        </m:r>
        <m:r>
          <m:rPr>
            <m:sty m:val="p"/>
          </m:rPr>
          <m:t>/</m:t>
        </m:r>
        <m:r>
          <m:t>3</m:t>
        </m:r>
      </m:oMath>
      <w:r>
        <w:t xml:space="preserve"> </w:t>
      </w:r>
      <w:r>
        <w:t xml:space="preserve">de 600 morrerem.</w:t>
      </w:r>
    </w:p>
    <w:p>
      <w:pPr>
        <w:pStyle w:val="BlockText"/>
      </w:pPr>
      <w:r>
        <w:t xml:space="preserve">Matematicamente, A = C e B = D. Mas 72% escolheram A no frame positivo (aversão ao risco no domínio dos ganhos) e 78% escolheram D no frame negativo (propensão ao risco no domínio das perdas) — exatamente como prevê a Teoria do Prospecto.</w:t>
      </w:r>
    </w:p>
    <w:bookmarkEnd w:id="383"/>
    <w:bookmarkStart w:id="384" w:name="contabilidade-mental"/>
    <w:p>
      <w:pPr>
        <w:pStyle w:val="Heading4"/>
      </w:pPr>
      <w:r>
        <w:t xml:space="preserve">8.2.6 Contabilidade mental</w:t>
      </w:r>
    </w:p>
    <w:p>
      <w:pPr>
        <w:pStyle w:val="FirstParagraph"/>
      </w:pPr>
      <w:r>
        <w:t xml:space="preserve">O efeito framing já nos mostrou que a forma de apresentação importa. A contabilidade mental leva essa ideia um passo adiante: não apenas a apresentação externa, mas a organização interna — a forma como o próprio agente categoriza e acompanha suas transações financeiras — afeta sistematicamente suas decisões.</w:t>
      </w:r>
    </w:p>
    <w:p>
      <w:pPr>
        <w:pStyle w:val="BodyText"/>
      </w:pPr>
      <w:r>
        <w:t xml:space="preserve">A</w:t>
      </w:r>
      <w:r>
        <w:t xml:space="preserve"> </w:t>
      </w:r>
      <w:r>
        <w:rPr>
          <w:b/>
          <w:bCs/>
        </w:rPr>
        <w:t xml:space="preserve">contabilidade mental</w:t>
      </w:r>
      <w:r>
        <w:t xml:space="preserve"> </w:t>
      </w:r>
      <w:r>
        <w:t xml:space="preserve">(</w:t>
      </w:r>
      <w:r>
        <w:rPr>
          <w:i/>
          <w:iCs/>
        </w:rPr>
        <w:t xml:space="preserve">mental accounting</w:t>
      </w:r>
      <w:r>
        <w:t xml:space="preserve">), conceito introduzido por Thaler (1985, 1999), descreve como as pessoas organizam, avaliam e acompanham suas atividades financeiras usando um sistema de</w:t>
      </w:r>
      <w:r>
        <w:t xml:space="preserve"> </w:t>
      </w:r>
      <w:r>
        <w:t xml:space="preserve">“contas”</w:t>
      </w:r>
      <w:r>
        <w:t xml:space="preserve"> </w:t>
      </w:r>
      <w:r>
        <w:t xml:space="preserve">mentais separadas — em vez de tratar o dinheiro como perfeitamente fungível, conforme prevê a teoria neoclássica.</w:t>
      </w:r>
    </w:p>
    <w:p>
      <w:pPr>
        <w:pStyle w:val="BodyText"/>
      </w:pPr>
      <w:r>
        <w:t xml:space="preserve">A violação de fungibilidade é o fenômeno central. Do ponto de vista neoclássico, um real é um real, independentemente de sua origem (salário, bônus, herança, prêmio de loteria) ou de sua destinação planejada (alimentação, lazer, emergência). Mas na prática, as pessoas tratam o dinheiro de formas radicalmente diferentes conforme sua</w:t>
      </w:r>
      <w:r>
        <w:t xml:space="preserve"> </w:t>
      </w:r>
      <w:r>
        <w:t xml:space="preserve">“conta mental”</w:t>
      </w:r>
      <w:r>
        <w:t xml:space="preserve"> </w:t>
      </w:r>
      <w:r>
        <w:t xml:space="preserve">de origem. Um ganho inesperado — como uma restituição do Imposto de Renda — tende a ser gasto com maior</w:t>
      </w:r>
      <w:r>
        <w:t xml:space="preserve"> </w:t>
      </w:r>
      <w:r>
        <w:t xml:space="preserve">“liberdade”</w:t>
      </w:r>
      <w:r>
        <w:t xml:space="preserve"> </w:t>
      </w:r>
      <w:r>
        <w:t xml:space="preserve">do que o equivalente em salário mensal. Economicamente, ambos aumentam o orçamento disponível pela mesma quantia, mas psicologicamente são percebidos como recursos de diferentes</w:t>
      </w:r>
      <w:r>
        <w:t xml:space="preserve"> </w:t>
      </w:r>
      <w:r>
        <w:t xml:space="preserve">“naturezas”</w:t>
      </w:r>
      <w:r>
        <w:t xml:space="preserve">. O mesmo trabalhador que economiza rigorosamente em alimentação pode gastar o 13º salário de forma impulsiva — não porque mudou de preferências, mas porque o 13º pertence à conta mental de</w:t>
      </w:r>
      <w:r>
        <w:t xml:space="preserve"> </w:t>
      </w:r>
      <w:r>
        <w:t xml:space="preserve">“dinheiro extraordinário”</w:t>
      </w:r>
      <w:r>
        <w:t xml:space="preserve">.</w:t>
      </w:r>
    </w:p>
    <w:p>
      <w:pPr>
        <w:pStyle w:val="BodyText"/>
      </w:pPr>
      <w:r>
        <w:t xml:space="preserve">No contexto brasileiro, a contabilidade mental aparece de forma particularmente vívida em dois contextos. Primeiro, na</w:t>
      </w:r>
      <w:r>
        <w:t xml:space="preserve"> </w:t>
      </w:r>
      <w:r>
        <w:rPr>
          <w:b/>
          <w:bCs/>
        </w:rPr>
        <w:t xml:space="preserve">Bolsa Família e no Auxílio Brasil</w:t>
      </w:r>
      <w:r>
        <w:t xml:space="preserve">: pesquisas de avaliação do programa mostram que as famílias beneficiárias tendem a alocar os recursos recebidos prioritariamente para alimentação e material escolar — em proporção maior do que os recursos oriundos de outras fontes de renda. Isso não se deve apenas a restrições de uso formal (o benefício não tem destinação legalmente vinculada), mas à criação de uma</w:t>
      </w:r>
      <w:r>
        <w:t xml:space="preserve"> </w:t>
      </w:r>
      <w:r>
        <w:t xml:space="preserve">“conta mental”</w:t>
      </w:r>
      <w:r>
        <w:t xml:space="preserve"> </w:t>
      </w:r>
      <w:r>
        <w:t xml:space="preserve">específica associada ao benefício, com normas sociais implícitas sobre seu uso adequado. Segundo, na</w:t>
      </w:r>
      <w:r>
        <w:t xml:space="preserve"> </w:t>
      </w:r>
      <w:r>
        <w:rPr>
          <w:b/>
          <w:bCs/>
        </w:rPr>
        <w:t xml:space="preserve">conta salário</w:t>
      </w:r>
      <w:r>
        <w:t xml:space="preserve">: a separação, promovida pelo sistema bancário brasileiro, entre a conta de depósito de salário (muitas vezes isenta de tarifas) e a conta corrente de movimentação cria divisões de contabilidade mental que afetam decisões de poupança. O dinheiro que</w:t>
      </w:r>
      <w:r>
        <w:t xml:space="preserve"> </w:t>
      </w:r>
      <w:r>
        <w:t xml:space="preserve">“ainda não saiu da conta salário”</w:t>
      </w:r>
      <w:r>
        <w:t xml:space="preserve"> </w:t>
      </w:r>
      <w:r>
        <w:t xml:space="preserve">é mentalmente tratado como mais disponível para poupança do que o dinheiro já transferido para a conta corrente.</w:t>
      </w:r>
    </w:p>
    <w:p>
      <w:pPr>
        <w:pStyle w:val="BlockText"/>
      </w:pPr>
      <w:r>
        <w:rPr>
          <w:b/>
          <w:bCs/>
        </w:rPr>
        <w:t xml:space="preserve">[DEFINICAO] Contabilidade mental</w:t>
      </w:r>
    </w:p>
    <w:p>
      <w:pPr>
        <w:pStyle w:val="BlockText"/>
      </w:pPr>
      <w:r>
        <w:t xml:space="preserve">A</w:t>
      </w:r>
      <w:r>
        <w:t xml:space="preserve"> </w:t>
      </w:r>
      <w:r>
        <w:rPr>
          <w:b/>
          <w:bCs/>
        </w:rPr>
        <w:t xml:space="preserve">contabilidade mental</w:t>
      </w:r>
      <w:r>
        <w:t xml:space="preserve"> </w:t>
      </w:r>
      <w:r>
        <w:t xml:space="preserve">é o conjunto de operações cognitivas usadas por indivíduos e famílias para organizar, avaliar e acompanhar atividades financeiras (Thaler 1999). Inclui três componentes: (i) como os resultados são percebidos e avaliados; (ii) como as atividades são alocadas a contas específicas; e (iii) a frequência com que as contas são</w:t>
      </w:r>
      <w:r>
        <w:t xml:space="preserve"> </w:t>
      </w:r>
      <w:r>
        <w:t xml:space="preserve">“fechadas”</w:t>
      </w:r>
      <w:r>
        <w:t xml:space="preserve"> </w:t>
      </w:r>
      <w:r>
        <w:t xml:space="preserve">e avaliadas. Dhami (2016, p. 1486–1518) dedica um capítulo inteiro ao tema.</w:t>
      </w:r>
    </w:p>
    <w:p>
      <w:pPr>
        <w:pStyle w:val="FirstParagraph"/>
      </w:pPr>
      <w:r>
        <w:t xml:space="preserve">Como a contabilidade mental afeta as decisões concretas dos consumidores? Thaler (1985) identificou quatro</w:t>
      </w:r>
      <w:r>
        <w:t xml:space="preserve"> </w:t>
      </w:r>
      <w:r>
        <w:rPr>
          <w:b/>
          <w:bCs/>
        </w:rPr>
        <w:t xml:space="preserve">regras de edição hedônica</w:t>
      </w:r>
      <w:r>
        <w:t xml:space="preserve"> </w:t>
      </w:r>
      <w:r>
        <w:t xml:space="preserve">— princípios que descrevem como os agentes combinam ou separam ganhos e perdas para maximizar (ou minimizar) o impacto emocional percebido:</w:t>
      </w:r>
    </w:p>
    <w:p>
      <w:pPr>
        <w:pStyle w:val="Compact"/>
        <w:numPr>
          <w:ilvl w:val="0"/>
          <w:numId w:val="1394"/>
        </w:numPr>
      </w:pPr>
      <w:r>
        <w:rPr>
          <w:b/>
          <w:bCs/>
        </w:rPr>
        <w:t xml:space="preserve">Segregar ganhos:</w:t>
      </w:r>
      <w:r>
        <w:t xml:space="preserve"> </w:t>
      </w:r>
      <w:r>
        <w:t xml:space="preserve">é melhor apresentar dois ganhos separadamente (dois presentes distintos parecem melhores que um pacote).</w:t>
      </w:r>
    </w:p>
    <w:p>
      <w:pPr>
        <w:pStyle w:val="Compact"/>
        <w:numPr>
          <w:ilvl w:val="0"/>
          <w:numId w:val="1394"/>
        </w:numPr>
      </w:pPr>
      <w:r>
        <w:rPr>
          <w:b/>
          <w:bCs/>
        </w:rPr>
        <w:t xml:space="preserve">Integrar perdas:</w:t>
      </w:r>
      <w:r>
        <w:t xml:space="preserve"> </w:t>
      </w:r>
      <w:r>
        <w:t xml:space="preserve">é melhor combinar duas perdas em uma só (uma cobrança única dói menos que duas separadas).</w:t>
      </w:r>
    </w:p>
    <w:p>
      <w:pPr>
        <w:pStyle w:val="Compact"/>
        <w:numPr>
          <w:ilvl w:val="0"/>
          <w:numId w:val="1394"/>
        </w:numPr>
      </w:pPr>
      <w:r>
        <w:rPr>
          <w:b/>
          <w:bCs/>
        </w:rPr>
        <w:t xml:space="preserve">Cancelar uma pequena perda com um ganho maior:</w:t>
      </w:r>
      <w:r>
        <w:t xml:space="preserve"> </w:t>
      </w:r>
      <w:r>
        <w:t xml:space="preserve">integrar para perceber o resultado líquido positivo.</w:t>
      </w:r>
    </w:p>
    <w:p>
      <w:pPr>
        <w:pStyle w:val="Compact"/>
        <w:numPr>
          <w:ilvl w:val="0"/>
          <w:numId w:val="1394"/>
        </w:numPr>
      </w:pPr>
      <w:r>
        <w:rPr>
          <w:b/>
          <w:bCs/>
        </w:rPr>
        <w:t xml:space="preserve">Segregar um pequeno ganho de uma grande perda:</w:t>
      </w:r>
      <w:r>
        <w:t xml:space="preserve"> </w:t>
      </w:r>
      <w:r>
        <w:t xml:space="preserve">o</w:t>
      </w:r>
      <w:r>
        <w:t xml:space="preserve"> </w:t>
      </w:r>
      <w:r>
        <w:t xml:space="preserve">“consolo”</w:t>
      </w:r>
      <w:r>
        <w:t xml:space="preserve"> </w:t>
      </w:r>
      <w:r>
        <w:t xml:space="preserve">do pequeno ganho separado ameniza a dor.</w:t>
      </w:r>
    </w:p>
    <w:p>
      <w:pPr>
        <w:pStyle w:val="FirstParagraph"/>
      </w:pPr>
      <w:r>
        <w:t xml:space="preserve">Essas regras decorrem diretamente da curvatura da função valor da Teoria do Prospecto — concavidade para ganhos (ganhos separados são avaliados em regiões de maior sensibilidade) e convexidade para perdas (perdas combinadas são avaliadas em região de menor sensibilidade marginal).</w:t>
      </w:r>
    </w:p>
    <w:p>
      <w:pPr>
        <w:pStyle w:val="BlockText"/>
      </w:pPr>
      <w:r>
        <w:rPr>
          <w:b/>
          <w:bCs/>
        </w:rPr>
        <w:t xml:space="preserve">[BOX BRASIL] Box Brasil 8.4: Cartão de crédito e contas mentais</w:t>
      </w:r>
    </w:p>
    <w:p>
      <w:pPr>
        <w:pStyle w:val="BlockText"/>
      </w:pPr>
      <w:r>
        <w:t xml:space="preserve">O uso intenso do cartão de crédito no Brasil — frequentemente como instrumento de parcelamento</w:t>
      </w:r>
      <w:r>
        <w:t xml:space="preserve"> </w:t>
      </w:r>
      <w:r>
        <w:t xml:space="preserve">“sem juros”</w:t>
      </w:r>
      <w:r>
        <w:t xml:space="preserve"> </w:t>
      </w:r>
      <w:r>
        <w:t xml:space="preserve">— ilustra a contabilidade mental em ação. O parcelamento separa uma grande perda (o preço total do bem) em pequenas perdas mensais, cada uma percebida como menos dolorosa. Além disso, a separação temporal entre o momento da compra (prazer imediato) e o pagamento (dor adiada) explora tanto a contabilidade mental quanto o viés do presente discutido na Seção 8.5. Prelec e Loewenstein (1998) modelaram formalmente essa</w:t>
      </w:r>
      <w:r>
        <w:t xml:space="preserve"> </w:t>
      </w:r>
      <w:r>
        <w:t xml:space="preserve">“desvinculação”</w:t>
      </w:r>
      <w:r>
        <w:t xml:space="preserve"> </w:t>
      </w:r>
      <w:r>
        <w:t xml:space="preserve">entre consumo e pagamento.</w:t>
      </w:r>
    </w:p>
    <w:p>
      <w:pPr>
        <w:pStyle w:val="BlockText"/>
      </w:pPr>
      <w:r>
        <w:rPr>
          <w:b/>
          <w:bCs/>
        </w:rPr>
        <w:t xml:space="preserve">[INFORMACAO] 🏅 Prêmio Nobel — Richard H. Thaler (2017)</w:t>
      </w:r>
    </w:p>
    <w:p>
      <w:pPr>
        <w:pStyle w:val="BlockText"/>
      </w:pPr>
      <w:r>
        <w:rPr>
          <w:b/>
          <w:bCs/>
        </w:rPr>
        <w:t xml:space="preserve">Richard Howard Thaler</w:t>
      </w:r>
      <w:r>
        <w:t xml:space="preserve"> </w:t>
      </w:r>
      <w:r>
        <w:t xml:space="preserve">(1945–presente) é um economista americano. Obteve o PhD na Universidade de Rochester e é professor na Booth School of Business da Universidade de Chicago.</w:t>
      </w:r>
    </w:p>
    <w:p>
      <w:pPr>
        <w:pStyle w:val="BlockText"/>
      </w:pPr>
      <w:r>
        <w:rPr>
          <w:b/>
          <w:bCs/>
        </w:rPr>
        <w:t xml:space="preserve">Por que ganhou o Nobel:</w:t>
      </w:r>
      <w:r>
        <w:t xml:space="preserve"> </w:t>
      </w:r>
      <w:r>
        <w:t xml:space="preserve">Premiado por suas contribuições à economia comportamental. Thaler demonstrou como limitações cognitivas — contabilidade mental, autocontrole limitado e preferências sociais — afetam sistematicamente as decisões econômicas individuais e os resultados de mercado. Sua agenda de pesquisa transformou a economia comportamental de curiosidade acadêmica em ferramenta prática de políticas públicas (</w:t>
      </w:r>
      <w:r>
        <w:rPr>
          <w:i/>
          <w:iCs/>
        </w:rPr>
        <w:t xml:space="preserve">nudges</w:t>
      </w:r>
      <w:r>
        <w:t xml:space="preserve">).</w:t>
      </w:r>
    </w:p>
    <w:p>
      <w:pPr>
        <w:pStyle w:val="BlockText"/>
      </w:pPr>
      <w:r>
        <w:rPr>
          <w:b/>
          <w:bCs/>
        </w:rPr>
        <w:t xml:space="preserve">Conexão com este capítulo:</w:t>
      </w:r>
      <w:r>
        <w:t xml:space="preserve"> </w:t>
      </w:r>
      <w:r>
        <w:t xml:space="preserve">A contabilidade mental — a tendência de tratar diferentes categorias de dinheiro como não fungíveis, segregando gastos em</w:t>
      </w:r>
      <w:r>
        <w:t xml:space="preserve"> </w:t>
      </w:r>
      <w:r>
        <w:t xml:space="preserve">“contas”</w:t>
      </w:r>
      <w:r>
        <w:t xml:space="preserve"> </w:t>
      </w:r>
      <w:r>
        <w:t xml:space="preserve">separadas — é uma das anomalias comportamentais mais robustas e é discutida em detalhe neste capítulo. Thaler mostrou que essa tendência viola o princípio da fungibilidade e explica comportamentos como o tratamento diferenciado de ganhos inesperados (</w:t>
      </w:r>
      <w:r>
        <w:rPr>
          <w:i/>
          <w:iCs/>
        </w:rPr>
        <w:t xml:space="preserve">windfall gains</w:t>
      </w:r>
      <w:r>
        <w:t xml:space="preserve">) versus renda regular.</w:t>
      </w:r>
    </w:p>
    <w:p>
      <w:r>
        <w:pict>
          <v:rect style="width:0;height:1.5pt" o:hralign="center" o:hrstd="t" o:hr="t"/>
        </w:pict>
      </w:r>
    </w:p>
    <w:bookmarkEnd w:id="384"/>
    <w:bookmarkEnd w:id="385"/>
    <w:bookmarkStart w:id="390" w:name="Xb66dcf79768b6e8c19863046fed5cbe3cbfe915"/>
    <w:p>
      <w:pPr>
        <w:pStyle w:val="Heading2"/>
      </w:pPr>
      <w:r>
        <w:t xml:space="preserve">8.5</w:t>
      </w:r>
      <w:r>
        <w:t xml:space="preserve"> </w:t>
      </w:r>
      <w:r>
        <w:t xml:space="preserve">“Amanhã Eu Começo a Dieta”</w:t>
      </w:r>
      <w:r>
        <w:t xml:space="preserve">: Desconto Hiperbólico e Autocontrole</w:t>
      </w:r>
    </w:p>
    <w:p>
      <w:pPr>
        <w:pStyle w:val="FirstParagraph"/>
      </w:pPr>
      <w:r>
        <w:t xml:space="preserve">Agora vem o domínio onde o ser humano mais tropeça — e onde as consequências são mais dolorosas: o</w:t>
      </w:r>
      <w:r>
        <w:t xml:space="preserve"> </w:t>
      </w:r>
      <w:r>
        <w:rPr>
          <w:b/>
          <w:bCs/>
        </w:rPr>
        <w:t xml:space="preserve">tempo</w:t>
      </w:r>
      <w:r>
        <w:t xml:space="preserve">. Você</w:t>
      </w:r>
      <w:r>
        <w:t xml:space="preserve"> </w:t>
      </w:r>
      <w:r>
        <w:rPr>
          <w:i/>
          <w:iCs/>
        </w:rPr>
        <w:t xml:space="preserve">sabe</w:t>
      </w:r>
      <w:r>
        <w:t xml:space="preserve"> </w:t>
      </w:r>
      <w:r>
        <w:t xml:space="preserve">que deveria poupar para a aposentadoria, mas gasta o bônus num iPhone. Você</w:t>
      </w:r>
      <w:r>
        <w:t xml:space="preserve"> </w:t>
      </w:r>
      <w:r>
        <w:rPr>
          <w:i/>
          <w:iCs/>
        </w:rPr>
        <w:t xml:space="preserve">sabe</w:t>
      </w:r>
      <w:r>
        <w:t xml:space="preserve"> </w:t>
      </w:r>
      <w:r>
        <w:t xml:space="preserve">que deveria estudar para a prova, mas assiste mais um episódio. Você</w:t>
      </w:r>
      <w:r>
        <w:t xml:space="preserve"> </w:t>
      </w:r>
      <w:r>
        <w:rPr>
          <w:i/>
          <w:iCs/>
        </w:rPr>
        <w:t xml:space="preserve">planeja</w:t>
      </w:r>
      <w:r>
        <w:t xml:space="preserve"> </w:t>
      </w:r>
      <w:r>
        <w:t xml:space="preserve">começar a dieta na segunda-feira — e na segunda-feira, planeja começar na</w:t>
      </w:r>
      <w:r>
        <w:t xml:space="preserve"> </w:t>
      </w:r>
      <w:r>
        <w:rPr>
          <w:i/>
          <w:iCs/>
        </w:rPr>
        <w:t xml:space="preserve">próxima</w:t>
      </w:r>
      <w:r>
        <w:t xml:space="preserve"> </w:t>
      </w:r>
      <w:r>
        <w:t xml:space="preserve">segunda. Esse padrão universal — querer uma coisa para o futuro e fazer outra no presente — é o</w:t>
      </w:r>
      <w:r>
        <w:t xml:space="preserve"> </w:t>
      </w:r>
      <w:r>
        <w:rPr>
          <w:b/>
          <w:bCs/>
        </w:rPr>
        <w:t xml:space="preserve">viés do presente</w:t>
      </w:r>
      <w:r>
        <w:t xml:space="preserve">, e a microeconomia tem um modelo para ele.</w:t>
      </w:r>
    </w:p>
    <w:p>
      <w:pPr>
        <w:pStyle w:val="BodyText"/>
      </w:pPr>
      <w:r>
        <w:t xml:space="preserve">O custo desse viés não é uma curiosidade de laboratório: é gente chegando aos 65 anos sem previdência, famílias afogadas no rotativo do cartão, e pacientes que não tomam remédio para hipertensão porque</w:t>
      </w:r>
      <w:r>
        <w:t xml:space="preserve"> </w:t>
      </w:r>
      <w:r>
        <w:t xml:space="preserve">“agora”</w:t>
      </w:r>
      <w:r>
        <w:t xml:space="preserve"> </w:t>
      </w:r>
      <w:r>
        <w:t xml:space="preserve">não dói. É o domínio onde a economia comportamental tem o impacto prático mais direto — e onde as intervenções de política (nudges) têm os resultados mais documentados.</w:t>
      </w:r>
    </w:p>
    <w:bookmarkStart w:id="386" w:name="o-modelo-de-utilidade-descontada"/>
    <w:p>
      <w:pPr>
        <w:pStyle w:val="Heading4"/>
      </w:pPr>
      <w:r>
        <w:t xml:space="preserve">8.5.1 O Modelo de Utilidade Descontada</w:t>
      </w:r>
    </w:p>
    <w:p>
      <w:pPr>
        <w:pStyle w:val="FirstParagraph"/>
      </w:pPr>
      <w:r>
        <w:t xml:space="preserve">O modelo formal de consumo intertemporal com desconto exponencial — incluindo a restrição orçamentária intertemporal, a equação de Euler e o Valor Presente Líquido — é desenvolvido no Capítulo 18.</w:t>
      </w:r>
    </w:p>
    <w:p>
      <w:pPr>
        <w:pStyle w:val="BodyText"/>
      </w:pPr>
      <w:r>
        <w:t xml:space="preserve">O modelo padrão de escolha intertemporal — o</w:t>
      </w:r>
      <w:r>
        <w:t xml:space="preserve"> </w:t>
      </w:r>
      <w:r>
        <w:rPr>
          <w:b/>
          <w:bCs/>
        </w:rPr>
        <w:t xml:space="preserve">Modelo de Utilidade Descontada</w:t>
      </w:r>
      <w:r>
        <w:t xml:space="preserve"> </w:t>
      </w:r>
      <w:r>
        <w:t xml:space="preserve">(DUM), proposto por Samuelson (1937) — assume que os agentes avaliam fluxos de utilidade futura usando uma taxa de desconto</w:t>
      </w:r>
      <w:r>
        <w:t xml:space="preserve"> </w:t>
      </w:r>
      <w:r>
        <w:rPr>
          <w:b/>
          <w:bCs/>
        </w:rPr>
        <w:t xml:space="preserve">constante</w:t>
      </w:r>
      <w:r>
        <w:t xml:space="preserve"> </w:t>
      </w:r>
      <m:oMath>
        <m:r>
          <m:t>δ</m:t>
        </m:r>
        <m:r>
          <m:rPr>
            <m:sty m:val="p"/>
          </m:rPr>
          <m:t>∈</m:t>
        </m:r>
        <m:r>
          <m:rPr>
            <m:sty m:val="p"/>
          </m:rPr>
          <m:t>(</m:t>
        </m:r>
        <m:r>
          <m:t>0</m:t>
        </m:r>
        <m:r>
          <m:rPr>
            <m:sty m:val="p"/>
          </m:rPr>
          <m:t>,</m:t>
        </m:r>
        <m:r>
          <m:t>1</m:t>
        </m:r>
        <m:r>
          <m:rPr>
            <m:sty m:val="p"/>
          </m:rPr>
          <m:t>)</m:t>
        </m:r>
      </m:oMath>
      <w:r>
        <w:t xml:space="preserve">. É importante notar que Samuelson, ao propor o modelo, foi explicitamente cético sobre sua validade psicológica — ele o apresentou como uma conveniência analítica, não como uma descrição fiel do comportamento humano. Não obstante, o DUM tornou-se o paradigma dominante em macroeconomia e finanças, e suas implicações comportamentais — em particular, a consistência temporal — passaram a ser tratadas como referência normativa.</w:t>
      </w:r>
    </w:p>
    <w:p>
      <w:pPr>
        <w:pStyle w:val="BodyText"/>
      </w:pPr>
      <m:oMathPara>
        <m:oMathParaPr>
          <m:jc m:val="center"/>
        </m:oMathParaPr>
        <m:oMath>
          <m:sSub>
            <m:e>
              <m:r>
                <m:t>U</m:t>
              </m:r>
            </m:e>
            <m:sub>
              <m:r>
                <m:t>0</m:t>
              </m:r>
            </m:sub>
          </m:sSub>
          <m:r>
            <m:rPr>
              <m:sty m:val="p"/>
            </m:rPr>
            <m:t>=</m:t>
          </m:r>
          <m:nary>
            <m:naryPr>
              <m:chr m:val="∑"/>
              <m:limLoc m:val="undOvr"/>
              <m:subHide m:val="off"/>
              <m:supHide m:val="off"/>
            </m:naryPr>
            <m:sub>
              <m:r>
                <m:t>t</m:t>
              </m:r>
              <m:r>
                <m:rPr>
                  <m:sty m:val="p"/>
                </m:rPr>
                <m:t>=</m:t>
              </m:r>
              <m:r>
                <m:t>0</m:t>
              </m:r>
            </m:sub>
            <m:sup>
              <m:r>
                <m:t>T</m:t>
              </m:r>
            </m:sup>
            <m:e>
              <m:sSup>
                <m:e>
                  <m:r>
                    <m:t>δ</m:t>
                  </m:r>
                </m:e>
                <m:sup>
                  <m:r>
                    <m:t>t</m:t>
                  </m:r>
                </m:sup>
              </m:sSup>
            </m:e>
          </m:nary>
          <m:r>
            <m:t> </m:t>
          </m:r>
          <m:r>
            <m:t>u</m:t>
          </m:r>
          <m:r>
            <m:rPr>
              <m:sty m:val="p"/>
            </m:rPr>
            <m:t>(</m:t>
          </m:r>
          <m:sSub>
            <m:e>
              <m:r>
                <m:t>c</m:t>
              </m:r>
            </m:e>
            <m:sub>
              <m:r>
                <m:t>t</m:t>
              </m:r>
            </m:sub>
          </m:sSub>
          <m:r>
            <m:rPr>
              <m:sty m:val="p"/>
            </m:rPr>
            <m:t>)</m:t>
          </m:r>
        </m:oMath>
      </m:oMathPara>
    </w:p>
    <w:p>
      <w:pPr>
        <w:pStyle w:val="FirstParagraph"/>
      </w:pPr>
      <w:r>
        <w:t xml:space="preserve">A principal implicação comportamental do desconto exponencial é a</w:t>
      </w:r>
      <w:r>
        <w:t xml:space="preserve"> </w:t>
      </w:r>
      <w:r>
        <w:rPr>
          <w:b/>
          <w:bCs/>
        </w:rPr>
        <w:t xml:space="preserve">consistência temporal</w:t>
      </w:r>
      <w:r>
        <w:t xml:space="preserve">: se o agente prefere a opção A à B quando ambas ocorrem no futuro, essa preferência se mantém quando o momento da decisão se aproxima. Em outras palavras, um agente exponencial nunca muda de ideia simplesmente porque o tempo passou — seus planos são confiáveis. Formalmente, se</w:t>
      </w:r>
      <w:r>
        <w:t xml:space="preserve"> </w:t>
      </w:r>
      <m:oMath>
        <m:r>
          <m:t>u</m:t>
        </m:r>
        <m:r>
          <m:rPr>
            <m:sty m:val="p"/>
          </m:rPr>
          <m:t>(</m:t>
        </m:r>
        <m:r>
          <m:t>A</m:t>
        </m:r>
        <m:r>
          <m:rPr>
            <m:sty m:val="p"/>
          </m:rPr>
          <m:t>)</m:t>
        </m:r>
      </m:oMath>
      <w:r>
        <w:t xml:space="preserve"> </w:t>
      </w:r>
      <w:r>
        <w:t xml:space="preserve">em</w:t>
      </w:r>
      <w:r>
        <w:t xml:space="preserve"> </w:t>
      </w:r>
      <m:oMath>
        <m:r>
          <m:t>t</m:t>
        </m:r>
      </m:oMath>
      <w:r>
        <w:t xml:space="preserve"> </w:t>
      </w:r>
      <w:r>
        <w:t xml:space="preserve">é preferido a</w:t>
      </w:r>
      <w:r>
        <w:t xml:space="preserve"> </w:t>
      </w:r>
      <m:oMath>
        <m:r>
          <m:t>u</m:t>
        </m:r>
        <m:r>
          <m:rPr>
            <m:sty m:val="p"/>
          </m:rPr>
          <m:t>(</m:t>
        </m:r>
        <m:r>
          <m:t>B</m:t>
        </m:r>
        <m:r>
          <m:rPr>
            <m:sty m:val="p"/>
          </m:rPr>
          <m:t>)</m:t>
        </m:r>
      </m:oMath>
      <w:r>
        <w:t xml:space="preserve"> </w:t>
      </w:r>
      <w:r>
        <w:t xml:space="preserve">em</w:t>
      </w:r>
      <w:r>
        <w:t xml:space="preserve"> </w:t>
      </w:r>
      <m:oMath>
        <m:r>
          <m:t>t</m:t>
        </m:r>
        <m:r>
          <m:rPr>
            <m:sty m:val="p"/>
          </m:rPr>
          <m:t>+</m:t>
        </m:r>
        <m:r>
          <m:t>k</m:t>
        </m:r>
      </m:oMath>
      <w:r>
        <w:t xml:space="preserve">, então a mesma preferência vale para qualquer data de avaliação anterior.</w:t>
      </w:r>
    </w:p>
    <w:bookmarkEnd w:id="386"/>
    <w:bookmarkStart w:id="387" w:name="anomalias-do-desconto-exponencial"/>
    <w:p>
      <w:pPr>
        <w:pStyle w:val="Heading4"/>
      </w:pPr>
      <w:r>
        <w:t xml:space="preserve">8.5.2 Anomalias do desconto exponencial</w:t>
      </w:r>
    </w:p>
    <w:p>
      <w:pPr>
        <w:pStyle w:val="FirstParagraph"/>
      </w:pPr>
      <w:r>
        <w:t xml:space="preserve">A consistência temporal é uma propriedade poderosa — e, como se verifica, frequentemente violada. Você já prometeu a si mesmo que começaria a poupar</w:t>
      </w:r>
      <w:r>
        <w:t xml:space="preserve"> </w:t>
      </w:r>
      <w:r>
        <w:t xml:space="preserve">“no mês que vem”</w:t>
      </w:r>
      <w:r>
        <w:t xml:space="preserve">, e quando o mês chegou, adiou de novo? Ou que faria exercício pela manhã, mas quando o despertador tocou, preferiu dormir? Esses padrões não são anedóticos: eles refletem regularidades empíricas documentadas em dezenas de estudos.</w:t>
      </w:r>
    </w:p>
    <w:p>
      <w:pPr>
        <w:pStyle w:val="BodyText"/>
      </w:pPr>
      <w:r>
        <w:t xml:space="preserve">Wilkinson e Klaes (2012, p. 282–297) e Frederick, Loewenstein e O’Donoghue (2002) documentam diversas anomalias que o desconto exponencial não consegue explicar:</w:t>
      </w:r>
    </w:p>
    <w:p>
      <w:pPr>
        <w:numPr>
          <w:ilvl w:val="0"/>
          <w:numId w:val="1395"/>
        </w:numPr>
      </w:pPr>
      <w:r>
        <w:rPr>
          <w:b/>
          <w:bCs/>
        </w:rPr>
        <w:t xml:space="preserve">Taxas de desconto decrescentes com o horizonte.</w:t>
      </w:r>
      <w:r>
        <w:t xml:space="preserve"> </w:t>
      </w:r>
      <w:r>
        <w:t xml:space="preserve">Em experimentos, a taxa de desconto implícita entre hoje e amanhã é muito maior do que entre daqui a 30 e 31 dias — embora o intervalo seja o mesmo.</w:t>
      </w:r>
    </w:p>
    <w:p>
      <w:pPr>
        <w:numPr>
          <w:ilvl w:val="0"/>
          <w:numId w:val="1395"/>
        </w:numPr>
      </w:pPr>
      <w:r>
        <w:rPr>
          <w:b/>
          <w:bCs/>
        </w:rPr>
        <w:t xml:space="preserve">Efeito magnitude.</w:t>
      </w:r>
      <w:r>
        <w:t xml:space="preserve"> </w:t>
      </w:r>
      <w:r>
        <w:t xml:space="preserve">Valores grandes são descontados a taxas menores do que valores pequenos.</w:t>
      </w:r>
    </w:p>
    <w:p>
      <w:pPr>
        <w:numPr>
          <w:ilvl w:val="0"/>
          <w:numId w:val="1395"/>
        </w:numPr>
      </w:pPr>
      <w:r>
        <w:rPr>
          <w:b/>
          <w:bCs/>
        </w:rPr>
        <w:t xml:space="preserve">Assimetria ganhos-perdas.</w:t>
      </w:r>
      <w:r>
        <w:t xml:space="preserve"> </w:t>
      </w:r>
      <w:r>
        <w:t xml:space="preserve">Ganhos futuros são descontados mais fortemente do que perdas futuras.</w:t>
      </w:r>
    </w:p>
    <w:p>
      <w:pPr>
        <w:numPr>
          <w:ilvl w:val="0"/>
          <w:numId w:val="1395"/>
        </w:numPr>
      </w:pPr>
      <w:r>
        <w:rPr>
          <w:b/>
          <w:bCs/>
        </w:rPr>
        <w:t xml:space="preserve">Preferências reversíveis.</w:t>
      </w:r>
      <w:r>
        <w:t xml:space="preserve"> </w:t>
      </w:r>
      <w:r>
        <w:t xml:space="preserve">Um agente pode preferir R$ 100 hoje a R$ 110 amanhã, mas preferir R$ 110 em 31 dias a R$ 100 em 30 dias — uma inversão que o desconto exponencial não permite.</w:t>
      </w:r>
    </w:p>
    <w:p>
      <w:pPr>
        <w:pStyle w:val="BlockText"/>
      </w:pPr>
      <w:r>
        <w:rPr>
          <w:b/>
          <w:bCs/>
        </w:rPr>
        <w:t xml:space="preserve">[EXEMPLO] As maçãs de Thaler</w:t>
      </w:r>
    </w:p>
    <w:p>
      <w:pPr>
        <w:pStyle w:val="BlockText"/>
      </w:pPr>
      <w:r>
        <w:t xml:space="preserve">Richard Thaler propôs o seguinte experimento mental: a maioria das pessoas prefere</w:t>
      </w:r>
      <w:r>
        <w:t xml:space="preserve"> </w:t>
      </w:r>
      <w:r>
        <w:rPr>
          <w:b/>
          <w:bCs/>
        </w:rPr>
        <w:t xml:space="preserve">1 maçã hoje</w:t>
      </w:r>
      <w:r>
        <w:t xml:space="preserve"> </w:t>
      </w:r>
      <w:r>
        <w:t xml:space="preserve">a</w:t>
      </w:r>
      <w:r>
        <w:t xml:space="preserve"> </w:t>
      </w:r>
      <w:r>
        <w:rPr>
          <w:b/>
          <w:bCs/>
        </w:rPr>
        <w:t xml:space="preserve">2 maçãs amanhã</w:t>
      </w:r>
      <w:r>
        <w:t xml:space="preserve">, mas prefere</w:t>
      </w:r>
      <w:r>
        <w:t xml:space="preserve"> </w:t>
      </w:r>
      <w:r>
        <w:rPr>
          <w:b/>
          <w:bCs/>
        </w:rPr>
        <w:t xml:space="preserve">2 maçãs em 51 dias</w:t>
      </w:r>
      <w:r>
        <w:t xml:space="preserve"> </w:t>
      </w:r>
      <w:r>
        <w:t xml:space="preserve">a</w:t>
      </w:r>
      <w:r>
        <w:t xml:space="preserve"> </w:t>
      </w:r>
      <w:r>
        <w:rPr>
          <w:b/>
          <w:bCs/>
        </w:rPr>
        <w:t xml:space="preserve">1 maçã em 50 dias</w:t>
      </w:r>
      <w:r>
        <w:t xml:space="preserve">. Essa inversão de preferência revela uma taxa de desconto decrescente — alta para o presente imediato, baixa para o futuro distante.</w:t>
      </w:r>
    </w:p>
    <w:bookmarkEnd w:id="387"/>
    <w:bookmarkStart w:id="388" w:name="desconto-quasi-hiperbólico"/>
    <w:p>
      <w:pPr>
        <w:pStyle w:val="Heading4"/>
      </w:pPr>
      <w:r>
        <w:t xml:space="preserve">8.5.3 Desconto quasi-hiperbólico</w:t>
      </w:r>
    </w:p>
    <w:p>
      <w:pPr>
        <w:pStyle w:val="FirstParagraph"/>
      </w:pPr>
      <w:r>
        <w:t xml:space="preserve">Diante dessas anomalias, como construir um modelo que capture o viés do presente mantendo a tratabilidade analítica? A resposta mais influente é o desconto quasi-hiperbólico, que modifica o modelo exponencial de maneira mínima — adicionando um único parâmetro — mas com consequências profundas para as previsões de comportamento.</w:t>
      </w:r>
    </w:p>
    <w:p>
      <w:pPr>
        <w:pStyle w:val="BodyText"/>
      </w:pPr>
      <w:r>
        <w:t xml:space="preserve">Para capturar o viés do presente sem abandonar completamente a tratabilidade do modelo exponencial, Laibson (1997) — com base em Phelps e Pollak (1968) — propôs o modelo de desconto</w:t>
      </w:r>
      <w:r>
        <w:t xml:space="preserve"> </w:t>
      </w:r>
      <w:r>
        <w:rPr>
          <w:b/>
          <w:bCs/>
        </w:rPr>
        <w:t xml:space="preserve">quasi-hiperbólico</w:t>
      </w:r>
      <w:r>
        <w:t xml:space="preserve">.</w:t>
      </w:r>
    </w:p>
    <w:p>
      <w:pPr>
        <w:pStyle w:val="BlockText"/>
      </w:pPr>
      <w:r>
        <w:rPr>
          <w:b/>
          <w:bCs/>
        </w:rPr>
        <w:t xml:space="preserve">[DEFINICAO] Desconto quasi-hiperbólico (β-δ)</w:t>
      </w:r>
    </w:p>
    <w:p>
      <w:pPr>
        <w:pStyle w:val="BlockText"/>
      </w:pPr>
      <w:r>
        <w:t xml:space="preserve">O modelo de desconto</w:t>
      </w:r>
      <w:r>
        <w:t xml:space="preserve"> </w:t>
      </w:r>
      <w:r>
        <w:rPr>
          <w:b/>
          <w:bCs/>
        </w:rPr>
        <w:t xml:space="preserve">quasi-hiperbólico</w:t>
      </w:r>
      <w:r>
        <w:t xml:space="preserve"> </w:t>
      </w:r>
      <w:r>
        <w:t xml:space="preserve">(</w:t>
      </w:r>
      <m:oMath>
        <m:r>
          <m:t>β</m:t>
        </m:r>
      </m:oMath>
      <w:r>
        <w:t xml:space="preserve">-</w:t>
      </w:r>
      <m:oMath>
        <m:r>
          <m:t>δ</m:t>
        </m:r>
      </m:oMath>
      <w:r>
        <w:t xml:space="preserve">) modifica o DUM introduzindo um parâmetro adicional</w:t>
      </w:r>
      <w:r>
        <w:t xml:space="preserve"> </w:t>
      </w:r>
      <m:oMath>
        <m:r>
          <m:t>β</m:t>
        </m:r>
        <m:r>
          <m:rPr>
            <m:sty m:val="p"/>
          </m:rPr>
          <m:t>∈</m:t>
        </m:r>
        <m:r>
          <m:rPr>
            <m:sty m:val="p"/>
          </m:rPr>
          <m:t>(</m:t>
        </m:r>
        <m:r>
          <m:t>0</m:t>
        </m:r>
        <m:r>
          <m:rPr>
            <m:sty m:val="p"/>
          </m:rPr>
          <m:t>,</m:t>
        </m:r>
        <m:r>
          <m:t>1</m:t>
        </m:r>
        <m:r>
          <m:rPr>
            <m:sty m:val="p"/>
          </m:rPr>
          <m:t>)</m:t>
        </m:r>
      </m:oMath>
      <w:r>
        <w:t xml:space="preserve"> </w:t>
      </w:r>
      <w:r>
        <w:t xml:space="preserve">que captura o</w:t>
      </w:r>
      <w:r>
        <w:t xml:space="preserve"> </w:t>
      </w:r>
      <w:r>
        <w:rPr>
          <w:b/>
          <w:bCs/>
        </w:rPr>
        <w:t xml:space="preserve">viés do presente</w:t>
      </w:r>
      <w:r>
        <w:t xml:space="preserve">:</w:t>
      </w:r>
    </w:p>
    <w:p>
      <w:pPr>
        <w:pStyle w:val="BlockText"/>
      </w:pPr>
      <w:r>
        <w:t xml:space="preserve">$$</w:t>
      </w:r>
    </w:p>
    <w:p>
      <w:pPr>
        <w:pStyle w:val="BlockText"/>
      </w:pPr>
      <w:r>
        <w:t xml:space="preserve">U_0 = u(c_0) +</w:t>
      </w:r>
      <w:r>
        <w:t xml:space="preserve"> </w:t>
      </w:r>
      <w:r>
        <w:t xml:space="preserve">_{t=1}^{T}</w:t>
      </w:r>
      <w:r>
        <w:t xml:space="preserve"> </w:t>
      </w:r>
      <w:r>
        <w:t xml:space="preserve">^t , u(c_t)</w:t>
      </w:r>
      <w:r>
        <w:t xml:space="preserve"> </w:t>
      </w:r>
      <w:r>
        <w:t xml:space="preserve"> </w:t>
      </w:r>
    </w:p>
    <w:p>
      <w:pPr>
        <w:pStyle w:val="BlockText"/>
      </w:pPr>
      <w:r>
        <w:t xml:space="preserve">$$</w:t>
      </w:r>
    </w:p>
    <w:p>
      <w:pPr>
        <w:pStyle w:val="BlockText"/>
      </w:pPr>
      <w:r>
        <w:t xml:space="preserve">O fator</w:t>
      </w:r>
      <w:r>
        <w:t xml:space="preserve"> </w:t>
      </w:r>
      <m:oMath>
        <m:r>
          <m:t>β</m:t>
        </m:r>
      </m:oMath>
      <w:r>
        <w:t xml:space="preserve"> </w:t>
      </w:r>
      <w:r>
        <w:t xml:space="preserve">aplica um desconto</w:t>
      </w:r>
      <w:r>
        <w:t xml:space="preserve"> </w:t>
      </w:r>
      <w:r>
        <w:rPr>
          <w:b/>
          <w:bCs/>
        </w:rPr>
        <w:t xml:space="preserve">extra</w:t>
      </w:r>
      <w:r>
        <w:t xml:space="preserve"> </w:t>
      </w:r>
      <w:r>
        <w:t xml:space="preserve">a todos os períodos futuros em relação ao presente, criando uma</w:t>
      </w:r>
      <w:r>
        <w:t xml:space="preserve"> </w:t>
      </w:r>
      <w:r>
        <w:t xml:space="preserve">“fronteira psicológica”</w:t>
      </w:r>
      <w:r>
        <w:t xml:space="preserve"> </w:t>
      </w:r>
      <w:r>
        <w:t xml:space="preserve">entre o hoje e tudo que vem depois. Quando</w:t>
      </w:r>
      <w:r>
        <w:t xml:space="preserve"> </w:t>
      </w:r>
      <m:oMath>
        <m:r>
          <m:t>β</m:t>
        </m:r>
        <m:r>
          <m:rPr>
            <m:sty m:val="p"/>
          </m:rPr>
          <m:t>=</m:t>
        </m:r>
        <m:r>
          <m:t>1</m:t>
        </m:r>
      </m:oMath>
      <w:r>
        <w:t xml:space="preserve">, o modelo se reduz ao desconto exponencial. Para qualquer</w:t>
      </w:r>
      <w:r>
        <w:t xml:space="preserve"> </w:t>
      </w:r>
      <m:oMath>
        <m:r>
          <m:t>β</m:t>
        </m:r>
        <m:r>
          <m:rPr>
            <m:sty m:val="p"/>
          </m:rPr>
          <m:t>&lt;</m:t>
        </m:r>
        <m:r>
          <m:t>1</m:t>
        </m:r>
      </m:oMath>
      <w:r>
        <w:t xml:space="preserve">, o desconto entre o período presente e o primeiro período futuro é desproporcionalmente grande — esse é o viés do presente. Valores típicos estimados na literatura são</w:t>
      </w:r>
      <w:r>
        <w:t xml:space="preserve"> </w:t>
      </w:r>
      <m:oMath>
        <m:r>
          <m:t>β</m:t>
        </m:r>
        <m:r>
          <m:rPr>
            <m:sty m:val="p"/>
          </m:rPr>
          <m:t>≈</m:t>
        </m:r>
        <m:r>
          <m:t>0</m:t>
        </m:r>
        <m:r>
          <m:rPr>
            <m:sty m:val="p"/>
          </m:rPr>
          <m:t>,</m:t>
        </m:r>
        <m:r>
          <m:t>70</m:t>
        </m:r>
      </m:oMath>
      <w:r>
        <w:t xml:space="preserve"> </w:t>
      </w:r>
      <w:r>
        <w:t xml:space="preserve">e</w:t>
      </w:r>
      <w:r>
        <w:t xml:space="preserve"> </w:t>
      </w:r>
      <m:oMath>
        <m:r>
          <m:t>δ</m:t>
        </m:r>
        <m:r>
          <m:rPr>
            <m:sty m:val="p"/>
          </m:rPr>
          <m:t>≈</m:t>
        </m:r>
        <m:r>
          <m:t>0</m:t>
        </m:r>
        <m:r>
          <m:rPr>
            <m:sty m:val="p"/>
          </m:rPr>
          <m:t>,</m:t>
        </m:r>
        <m:r>
          <m:t>99</m:t>
        </m:r>
      </m:oMath>
      <w:r>
        <w:t xml:space="preserve">.</w:t>
      </w:r>
    </w:p>
    <w:p>
      <w:pPr>
        <w:pStyle w:val="BlockText"/>
      </w:pPr>
      <w:r>
        <w:t xml:space="preserve">A taxa de desconto</w:t>
      </w:r>
      <w:r>
        <w:t xml:space="preserve"> </w:t>
      </w:r>
      <w:r>
        <w:rPr>
          <w:i/>
          <w:iCs/>
        </w:rPr>
        <w:t xml:space="preserve">implícita</w:t>
      </w:r>
      <w:r>
        <w:t xml:space="preserve"> </w:t>
      </w:r>
      <w:r>
        <w:t xml:space="preserve">entre os períodos</w:t>
      </w:r>
      <w:r>
        <w:t xml:space="preserve"> </w:t>
      </w:r>
      <m:oMath>
        <m:r>
          <m:t>t</m:t>
        </m:r>
      </m:oMath>
      <w:r>
        <w:t xml:space="preserve"> </w:t>
      </w:r>
      <w:r>
        <w:t xml:space="preserve">e</w:t>
      </w:r>
      <w:r>
        <w:t xml:space="preserve"> </w:t>
      </w:r>
      <m:oMath>
        <m:r>
          <m:t>t</m:t>
        </m:r>
        <m:r>
          <m:rPr>
            <m:sty m:val="p"/>
          </m:rPr>
          <m:t>+</m:t>
        </m:r>
        <m:r>
          <m:t>1</m:t>
        </m:r>
      </m:oMath>
      <w:r>
        <w:t xml:space="preserve"> </w:t>
      </w:r>
      <w:r>
        <w:t xml:space="preserve">é</w:t>
      </w:r>
      <w:r>
        <w:t xml:space="preserve"> </w:t>
      </w:r>
      <m:oMath>
        <m:r>
          <m:t>δ</m:t>
        </m:r>
      </m:oMath>
      <w:r>
        <w:t xml:space="preserve"> </w:t>
      </w:r>
      <w:r>
        <w:t xml:space="preserve">para</w:t>
      </w:r>
      <w:r>
        <w:t xml:space="preserve"> </w:t>
      </w:r>
      <m:oMath>
        <m:r>
          <m:t>t</m:t>
        </m:r>
        <m:r>
          <m:rPr>
            <m:sty m:val="p"/>
          </m:rPr>
          <m:t>≥</m:t>
        </m:r>
        <m:r>
          <m:t>1</m:t>
        </m:r>
      </m:oMath>
      <w:r>
        <w:t xml:space="preserve">, mas</w:t>
      </w:r>
      <w:r>
        <w:t xml:space="preserve"> </w:t>
      </w:r>
      <m:oMath>
        <m:r>
          <m:t>β</m:t>
        </m:r>
        <m:r>
          <m:t>δ</m:t>
        </m:r>
      </m:oMath>
      <w:r>
        <w:t xml:space="preserve"> </w:t>
      </w:r>
      <w:r>
        <w:t xml:space="preserve">entre</w:t>
      </w:r>
      <w:r>
        <w:t xml:space="preserve"> </w:t>
      </w:r>
      <m:oMath>
        <m:r>
          <m:t>t</m:t>
        </m:r>
        <m:r>
          <m:rPr>
            <m:sty m:val="p"/>
          </m:rPr>
          <m:t>=</m:t>
        </m:r>
        <m:r>
          <m:t>0</m:t>
        </m:r>
      </m:oMath>
      <w:r>
        <w:t xml:space="preserve"> </w:t>
      </w:r>
      <w:r>
        <w:t xml:space="preserve">e</w:t>
      </w:r>
      <w:r>
        <w:t xml:space="preserve"> </w:t>
      </w:r>
      <m:oMath>
        <m:r>
          <m:t>t</m:t>
        </m:r>
        <m:r>
          <m:rPr>
            <m:sty m:val="p"/>
          </m:rPr>
          <m:t>=</m:t>
        </m:r>
        <m:r>
          <m:t>1</m:t>
        </m:r>
      </m:oMath>
      <w:r>
        <w:t xml:space="preserve">. Como</w:t>
      </w:r>
      <w:r>
        <w:t xml:space="preserve"> </w:t>
      </w:r>
      <m:oMath>
        <m:r>
          <m:t>β</m:t>
        </m:r>
        <m:r>
          <m:t>δ</m:t>
        </m:r>
        <m:r>
          <m:rPr>
            <m:sty m:val="p"/>
          </m:rPr>
          <m:t>&lt;</m:t>
        </m:r>
        <m:r>
          <m:t>δ</m:t>
        </m:r>
      </m:oMath>
      <w:r>
        <w:t xml:space="preserve">, o agente desconta mais intensamente a transição do presente para o futuro do que qualquer outra transição intertemporal. Isso gera a taxa de desconto decrescente com o horizonte que caracteriza o desconto hiperbólico.</w:t>
      </w:r>
    </w:p>
    <w:p>
      <w:pPr>
        <w:pStyle w:val="FirstParagraph"/>
      </w:pPr>
      <w:r>
        <w:t xml:space="preserve">Os</w:t>
      </w:r>
      <w:r>
        <w:t xml:space="preserve"> </w:t>
      </w:r>
      <w:r>
        <w:rPr>
          <w:b/>
          <w:bCs/>
        </w:rPr>
        <w:t xml:space="preserve">fatores de desconto</w:t>
      </w:r>
      <w:r>
        <w:t xml:space="preserve"> </w:t>
      </w:r>
      <w:r>
        <w:t xml:space="preserve">para os períodos futuros são: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Período</w:t>
            </w:r>
          </w:p>
        </w:tc>
        <w:tc>
          <w:tcPr/>
          <w:p>
            <w:pPr>
              <w:pStyle w:val="Compact"/>
            </w:pPr>
            <w:r>
              <w:t xml:space="preserve">Exponencial</w:t>
            </w:r>
          </w:p>
        </w:tc>
        <w:tc>
          <w:tcPr/>
          <w:p>
            <w:pPr>
              <w:pStyle w:val="Compact"/>
            </w:pPr>
            <w:r>
              <w:t xml:space="preserve">Quasi-hiperbólico</w:t>
            </w:r>
          </w:p>
        </w:tc>
      </w:tr>
      <w:tr>
        <w:tc>
          <w:tcPr/>
          <w:p>
            <w:pPr>
              <w:pStyle w:val="Compact"/>
            </w:pPr>
            <m:oMath>
              <m:r>
                <m:t>t</m:t>
              </m:r>
              <m:r>
                <m:rPr>
                  <m:sty m:val="p"/>
                </m:rPr>
                <m:t>=</m:t>
              </m:r>
              <m:r>
                <m:t>0</m:t>
              </m:r>
            </m:oMath>
          </w:p>
        </w:tc>
        <w:tc>
          <w:tcPr/>
          <w:p>
            <w:pPr>
              <w:pStyle w:val="Compact"/>
            </w:pPr>
            <m:oMath>
              <m:r>
                <m:t>1</m:t>
              </m:r>
            </m:oMath>
          </w:p>
        </w:tc>
        <w:tc>
          <w:tcPr/>
          <w:p>
            <w:pPr>
              <w:pStyle w:val="Compact"/>
            </w:pPr>
            <m:oMath>
              <m:r>
                <m:t>1</m:t>
              </m:r>
            </m:oMath>
          </w:p>
        </w:tc>
      </w:tr>
      <w:tr>
        <w:tc>
          <w:tcPr/>
          <w:p>
            <w:pPr>
              <w:pStyle w:val="Compact"/>
            </w:pPr>
            <m:oMath>
              <m:r>
                <m:t>t</m:t>
              </m:r>
              <m:r>
                <m:rPr>
                  <m:sty m:val="p"/>
                </m:rPr>
                <m:t>=</m:t>
              </m:r>
              <m:r>
                <m:t>1</m:t>
              </m:r>
            </m:oMath>
          </w:p>
        </w:tc>
        <w:tc>
          <w:tcPr/>
          <w:p>
            <w:pPr>
              <w:pStyle w:val="Compact"/>
            </w:pPr>
            <m:oMath>
              <m:r>
                <m:t>δ</m:t>
              </m:r>
            </m:oMath>
          </w:p>
        </w:tc>
        <w:tc>
          <w:tcPr/>
          <w:p>
            <w:pPr>
              <w:pStyle w:val="Compact"/>
            </w:pPr>
            <m:oMath>
              <m:r>
                <m:t>β</m:t>
              </m:r>
              <m:r>
                <m:t>δ</m:t>
              </m:r>
            </m:oMath>
          </w:p>
        </w:tc>
      </w:tr>
      <w:tr>
        <w:tc>
          <w:tcPr/>
          <w:p>
            <w:pPr>
              <w:pStyle w:val="Compact"/>
            </w:pPr>
            <m:oMath>
              <m:r>
                <m:t>t</m:t>
              </m:r>
              <m:r>
                <m:rPr>
                  <m:sty m:val="p"/>
                </m:rPr>
                <m:t>=</m:t>
              </m:r>
              <m:r>
                <m:t>2</m:t>
              </m:r>
            </m:oMath>
          </w:p>
        </w:tc>
        <w:tc>
          <w:tcPr/>
          <w:p>
            <w:pPr>
              <w:pStyle w:val="Compact"/>
            </w:pPr>
            <m:oMath>
              <m:sSup>
                <m:e>
                  <m:r>
                    <m:t>δ</m:t>
                  </m:r>
                </m:e>
                <m:sup>
                  <m:r>
                    <m:t>2</m:t>
                  </m:r>
                </m:sup>
              </m:sSup>
            </m:oMath>
          </w:p>
        </w:tc>
        <w:tc>
          <w:tcPr/>
          <w:p>
            <w:pPr>
              <w:pStyle w:val="Compact"/>
            </w:pPr>
            <m:oMath>
              <m:r>
                <m:t>β</m:t>
              </m:r>
              <m:sSup>
                <m:e>
                  <m:r>
                    <m:t>δ</m:t>
                  </m:r>
                </m:e>
                <m:sup>
                  <m:r>
                    <m:t>2</m:t>
                  </m:r>
                </m:sup>
              </m:sSup>
            </m:oMath>
          </w:p>
        </w:tc>
      </w:tr>
      <w:tr>
        <w:tc>
          <w:tcPr/>
          <w:p>
            <w:pPr>
              <w:pStyle w:val="Compact"/>
            </w:pPr>
            <m:oMath>
              <m:r>
                <m:t>t</m:t>
              </m:r>
              <m:r>
                <m:rPr>
                  <m:sty m:val="p"/>
                </m:rPr>
                <m:t>=</m:t>
              </m:r>
              <m:r>
                <m:t>s</m:t>
              </m:r>
            </m:oMath>
          </w:p>
        </w:tc>
        <w:tc>
          <w:tcPr/>
          <w:p>
            <w:pPr>
              <w:pStyle w:val="Compact"/>
            </w:pPr>
            <m:oMath>
              <m:sSup>
                <m:e>
                  <m:r>
                    <m:t>δ</m:t>
                  </m:r>
                </m:e>
                <m:sup>
                  <m:r>
                    <m:t>s</m:t>
                  </m:r>
                </m:sup>
              </m:sSup>
            </m:oMath>
          </w:p>
        </w:tc>
        <w:tc>
          <w:tcPr/>
          <w:p>
            <w:pPr>
              <w:pStyle w:val="Compact"/>
            </w:pPr>
            <m:oMath>
              <m:r>
                <m:t>β</m:t>
              </m:r>
              <m:sSup>
                <m:e>
                  <m:r>
                    <m:t>δ</m:t>
                  </m:r>
                </m:e>
                <m:sup>
                  <m:r>
                    <m:t>s</m:t>
                  </m:r>
                </m:sup>
              </m:sSup>
            </m:oMath>
          </w:p>
        </w:tc>
      </w:tr>
    </w:tbl>
    <w:p>
      <w:pPr>
        <w:pStyle w:val="BodyText"/>
      </w:pPr>
      <w:r>
        <w:rPr>
          <w:b/>
          <w:bCs/>
        </w:rPr>
        <w:t xml:space="preserve">Tabela 8.6 — Fatores de desconto exponencial e quasi-hiperbólico.</w:t>
      </w:r>
    </w:p>
    <w:p>
      <w:pPr>
        <w:pStyle w:val="BodyText"/>
      </w:pPr>
      <w:r>
        <w:t xml:space="preserve">A diferença crucial é que a queda no fator de desconto entre</w:t>
      </w:r>
      <w:r>
        <w:t xml:space="preserve"> </w:t>
      </w:r>
      <m:oMath>
        <m:r>
          <m:t>t</m:t>
        </m:r>
        <m:r>
          <m:rPr>
            <m:sty m:val="p"/>
          </m:rPr>
          <m:t>=</m:t>
        </m:r>
        <m:r>
          <m:t>0</m:t>
        </m:r>
      </m:oMath>
      <w:r>
        <w:t xml:space="preserve"> </w:t>
      </w:r>
      <w:r>
        <w:t xml:space="preserve">e</w:t>
      </w:r>
      <w:r>
        <w:t xml:space="preserve"> </w:t>
      </w:r>
      <m:oMath>
        <m:r>
          <m:t>t</m:t>
        </m:r>
        <m:r>
          <m:rPr>
            <m:sty m:val="p"/>
          </m:rPr>
          <m:t>=</m:t>
        </m:r>
        <m:r>
          <m:t>1</m:t>
        </m:r>
      </m:oMath>
      <w:r>
        <w:t xml:space="preserve"> </w:t>
      </w:r>
      <w:r>
        <w:t xml:space="preserve">é proporcionalmente muito maior (</w:t>
      </w:r>
      <m:oMath>
        <m:r>
          <m:t>β</m:t>
        </m:r>
        <m:r>
          <m:t>δ</m:t>
        </m:r>
      </m:oMath>
      <w:r>
        <w:t xml:space="preserve"> </w:t>
      </w:r>
      <w:r>
        <w:t xml:space="preserve">vs. 1) do que entre quaisquer dois períodos futuros consecutivos (</w:t>
      </w:r>
      <m:oMath>
        <m:r>
          <m:t>β</m:t>
        </m:r>
        <m:sSup>
          <m:e>
            <m:r>
              <m:t>δ</m:t>
            </m:r>
          </m:e>
          <m:sup>
            <m:r>
              <m:t>t</m:t>
            </m:r>
            <m:r>
              <m:rPr>
                <m:sty m:val="p"/>
              </m:rPr>
              <m:t>+</m:t>
            </m:r>
            <m:r>
              <m:t>1</m:t>
            </m:r>
          </m:sup>
        </m:sSup>
        <m:r>
          <m:rPr>
            <m:sty m:val="p"/>
          </m:rPr>
          <m:t>/</m:t>
        </m:r>
        <m:r>
          <m:t>β</m:t>
        </m:r>
        <m:sSup>
          <m:e>
            <m:r>
              <m:t>δ</m:t>
            </m:r>
          </m:e>
          <m:sup>
            <m:r>
              <m:t>t</m:t>
            </m:r>
          </m:sup>
        </m:sSup>
        <m:r>
          <m:rPr>
            <m:sty m:val="p"/>
          </m:rPr>
          <m:t>=</m:t>
        </m:r>
        <m:r>
          <m:t>δ</m:t>
        </m:r>
      </m:oMath>
      <w:r>
        <w:t xml:space="preserve">). Isso gera o viés do presente e permite preferências reversíveis.</w:t>
      </w:r>
    </w:p>
    <w:p>
      <w:pPr>
        <w:pStyle w:val="BodyText"/>
      </w:pPr>
      <w:r>
        <w:t xml:space="preserve">A tabela a seguir resume estimativas dos parâmetros</w:t>
      </w:r>
      <w:r>
        <w:t xml:space="preserve"> </w:t>
      </w:r>
      <m:oMath>
        <m:r>
          <m:t>β</m:t>
        </m:r>
      </m:oMath>
      <w:r>
        <w:t xml:space="preserve"> </w:t>
      </w:r>
      <w:r>
        <w:t xml:space="preserve">e</w:t>
      </w:r>
      <w:r>
        <w:t xml:space="preserve"> </w:t>
      </w:r>
      <m:oMath>
        <m:r>
          <m:t>δ</m:t>
        </m:r>
      </m:oMath>
      <w:r>
        <w:t xml:space="preserve"> </w:t>
      </w:r>
      <w:r>
        <w:t xml:space="preserve">em diferentes estudos: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Estudo</w:t>
            </w:r>
          </w:p>
        </w:tc>
        <w:tc>
          <w:tcPr/>
          <w:p>
            <w:pPr>
              <w:pStyle w:val="Compact"/>
            </w:pPr>
            <w:r>
              <w:t xml:space="preserve">Contexto</w:t>
            </w:r>
          </w:p>
        </w:tc>
        <w:tc>
          <w:tcPr/>
          <w:p>
            <w:pPr>
              <w:pStyle w:val="Compact"/>
            </w:pPr>
            <m:oMath>
              <m:r>
                <m:t>β</m:t>
              </m:r>
            </m:oMath>
          </w:p>
        </w:tc>
        <w:tc>
          <w:tcPr/>
          <w:p>
            <w:pPr>
              <w:pStyle w:val="Compact"/>
            </w:pPr>
            <m:oMath>
              <m:r>
                <m:t>δ</m:t>
              </m:r>
            </m:oMath>
            <w:r>
              <w:t xml:space="preserve"> </w:t>
            </w:r>
            <w:r>
              <w:t xml:space="preserve">(anual)</w:t>
            </w:r>
          </w:p>
        </w:tc>
      </w:tr>
      <w:tr>
        <w:tc>
          <w:tcPr/>
          <w:p>
            <w:pPr>
              <w:pStyle w:val="Compact"/>
            </w:pPr>
            <w:r>
              <w:t xml:space="preserve">Laibson (1997)</w:t>
            </w:r>
          </w:p>
        </w:tc>
        <w:tc>
          <w:tcPr/>
          <w:p>
            <w:pPr>
              <w:pStyle w:val="Compact"/>
            </w:pPr>
            <w:r>
              <w:t xml:space="preserve">Calibração poupança EUA</w:t>
            </w:r>
          </w:p>
        </w:tc>
        <w:tc>
          <w:tcPr/>
          <w:p>
            <w:pPr>
              <w:pStyle w:val="Compact"/>
            </w:pPr>
            <w:r>
              <w:t xml:space="preserve">0,70</w:t>
            </w:r>
          </w:p>
        </w:tc>
        <w:tc>
          <w:tcPr/>
          <w:p>
            <w:pPr>
              <w:pStyle w:val="Compact"/>
            </w:pPr>
            <w:r>
              <w:t xml:space="preserve">0,99</w:t>
            </w:r>
          </w:p>
        </w:tc>
      </w:tr>
      <w:tr>
        <w:tc>
          <w:tcPr/>
          <w:p>
            <w:pPr>
              <w:pStyle w:val="Compact"/>
            </w:pPr>
            <w:r>
              <w:t xml:space="preserve">Angeletos et al. (2001)</w:t>
            </w:r>
          </w:p>
        </w:tc>
        <w:tc>
          <w:tcPr/>
          <w:p>
            <w:pPr>
              <w:pStyle w:val="Compact"/>
            </w:pPr>
            <w:r>
              <w:t xml:space="preserve">Dados riqueza famílias EUA</w:t>
            </w:r>
          </w:p>
        </w:tc>
        <w:tc>
          <w:tcPr/>
          <w:p>
            <w:pPr>
              <w:pStyle w:val="Compact"/>
            </w:pPr>
            <w:r>
              <w:t xml:space="preserve">0,70</w:t>
            </w:r>
          </w:p>
        </w:tc>
        <w:tc>
          <w:tcPr/>
          <w:p>
            <w:pPr>
              <w:pStyle w:val="Compact"/>
            </w:pPr>
            <w:r>
              <w:t xml:space="preserve">0,96</w:t>
            </w:r>
          </w:p>
        </w:tc>
      </w:tr>
      <w:tr>
        <w:tc>
          <w:tcPr/>
          <w:p>
            <w:pPr>
              <w:pStyle w:val="Compact"/>
            </w:pPr>
            <w:r>
              <w:t xml:space="preserve">Paserman (2008)</w:t>
            </w:r>
          </w:p>
        </w:tc>
        <w:tc>
          <w:tcPr/>
          <w:p>
            <w:pPr>
              <w:pStyle w:val="Compact"/>
            </w:pPr>
            <w:r>
              <w:t xml:space="preserve">Busca de emprego</w:t>
            </w:r>
          </w:p>
        </w:tc>
        <w:tc>
          <w:tcPr/>
          <w:p>
            <w:pPr>
              <w:pStyle w:val="Compact"/>
            </w:pPr>
            <w:r>
              <w:t xml:space="preserve">0,40–0,90</w:t>
            </w:r>
          </w:p>
        </w:tc>
        <w:tc>
          <w:tcPr/>
          <w:p>
            <w:pPr>
              <w:pStyle w:val="Compact"/>
            </w:pPr>
            <w:r>
              <w:t xml:space="preserve">0,99</w:t>
            </w:r>
          </w:p>
        </w:tc>
      </w:tr>
      <w:tr>
        <w:tc>
          <w:tcPr/>
          <w:p>
            <w:pPr>
              <w:pStyle w:val="Compact"/>
            </w:pPr>
            <w:r>
              <w:t xml:space="preserve">Augenblick, Niederle e Sprenger (2015)</w:t>
            </w:r>
          </w:p>
        </w:tc>
        <w:tc>
          <w:tcPr/>
          <w:p>
            <w:pPr>
              <w:pStyle w:val="Compact"/>
            </w:pPr>
            <w:r>
              <w:t xml:space="preserve">Experimento tarefas reais</w:t>
            </w:r>
          </w:p>
        </w:tc>
        <w:tc>
          <w:tcPr/>
          <w:p>
            <w:pPr>
              <w:pStyle w:val="Compact"/>
            </w:pPr>
            <w:r>
              <w:t xml:space="preserve">0,75</w:t>
            </w:r>
          </w:p>
        </w:tc>
        <w:tc>
          <w:tcPr/>
          <w:p>
            <w:pPr>
              <w:pStyle w:val="Compact"/>
            </w:pPr>
            <w:r>
              <w:t xml:space="preserve">0,99</w:t>
            </w:r>
          </w:p>
        </w:tc>
      </w:tr>
      <w:tr>
        <w:tc>
          <w:tcPr/>
          <w:p>
            <w:pPr>
              <w:pStyle w:val="Compact"/>
            </w:pPr>
            <w:r>
              <w:t xml:space="preserve">Frederick, Loewenstein e O’Donoghue (2002)</w:t>
            </w:r>
          </w:p>
        </w:tc>
        <w:tc>
          <w:tcPr/>
          <w:p>
            <w:pPr>
              <w:pStyle w:val="Compact"/>
            </w:pPr>
            <w:r>
              <w:t xml:space="preserve">Meta-análise</w:t>
            </w:r>
          </w:p>
        </w:tc>
        <w:tc>
          <w:tcPr/>
          <w:p>
            <w:pPr>
              <w:pStyle w:val="Compact"/>
            </w:pPr>
            <w:r>
              <w:t xml:space="preserve">0,20–0,80</w:t>
            </w:r>
          </w:p>
        </w:tc>
        <w:tc>
          <w:tcPr/>
          <w:p>
            <w:pPr>
              <w:pStyle w:val="Compact"/>
            </w:pPr>
            <w:r>
              <w:t xml:space="preserve">0,90–0,99</w:t>
            </w:r>
          </w:p>
        </w:tc>
      </w:tr>
    </w:tbl>
    <w:p>
      <w:pPr>
        <w:pStyle w:val="BodyText"/>
      </w:pPr>
      <w:r>
        <w:rPr>
          <w:b/>
          <w:bCs/>
        </w:rPr>
        <w:t xml:space="preserve">Tabela 8.7 — Estimativas dos parâmetros de desconto quasi-hiperbólico.</w:t>
      </w:r>
    </w:p>
    <w:p>
      <w:pPr>
        <w:pStyle w:val="BlockText"/>
      </w:pPr>
      <w:r>
        <w:rPr>
          <w:b/>
          <w:bCs/>
        </w:rPr>
        <w:t xml:space="preserve">[INTUICAO ECONOMICA] Intuição Econômica</w:t>
      </w:r>
    </w:p>
    <w:p>
      <w:pPr>
        <w:pStyle w:val="BlockText"/>
      </w:pPr>
      <w:r>
        <w:rPr>
          <w:b/>
          <w:bCs/>
        </w:rPr>
        <w:t xml:space="preserve">Em uma frase:</w:t>
      </w:r>
      <w:r>
        <w:t xml:space="preserve"> </w:t>
      </w:r>
      <w:r>
        <w:t xml:space="preserve">O modelo</w:t>
      </w:r>
      <w:r>
        <w:t xml:space="preserve"> </w:t>
      </w:r>
      <m:oMath>
        <m:r>
          <m:rPr>
            <m:sty m:val="p"/>
          </m:rPr>
          <m:t>(</m:t>
        </m:r>
        <m:r>
          <m:t>β</m:t>
        </m:r>
        <m:r>
          <m:rPr>
            <m:sty m:val="p"/>
          </m:rPr>
          <m:t>,</m:t>
        </m:r>
        <m:r>
          <m:t>δ</m:t>
        </m:r>
        <m:r>
          <m:rPr>
            <m:sty m:val="p"/>
          </m:rPr>
          <m:t>)</m:t>
        </m:r>
      </m:oMath>
      <w:r>
        <w:t xml:space="preserve"> </w:t>
      </w:r>
      <w:r>
        <w:t xml:space="preserve">captura a</w:t>
      </w:r>
      <w:r>
        <w:t xml:space="preserve"> </w:t>
      </w:r>
      <w:r>
        <w:t xml:space="preserve">“fronteira psicológica”</w:t>
      </w:r>
      <w:r>
        <w:t xml:space="preserve"> </w:t>
      </w:r>
      <w:r>
        <w:t xml:space="preserve">entre agora e tudo que vem depois — o futuro como um todo é descontado extra, mas dentro do futuro o desconto é normal.</w:t>
      </w:r>
    </w:p>
    <w:p>
      <w:pPr>
        <w:pStyle w:val="BlockText"/>
      </w:pPr>
      <w:r>
        <w:rPr>
          <w:b/>
          <w:bCs/>
        </w:rPr>
        <w:t xml:space="preserve">Pense assim:</w:t>
      </w:r>
      <w:r>
        <w:t xml:space="preserve"> </w:t>
      </w:r>
      <w:r>
        <w:t xml:space="preserve">“Vou começar a dieta na segunda”</w:t>
      </w:r>
      <w:r>
        <w:t xml:space="preserve"> </w:t>
      </w:r>
      <w:r>
        <w:t xml:space="preserve">é fácil de dizer na sexta — segunda e terça parecem igualmente distantes. Mas quando segunda chega e tem bolo no escritório, o presente ganha peso desproporcional. O</w:t>
      </w:r>
      <w:r>
        <w:t xml:space="preserve"> </w:t>
      </w:r>
      <m:oMath>
        <m:r>
          <m:t>β</m:t>
        </m:r>
        <m:r>
          <m:rPr>
            <m:sty m:val="p"/>
          </m:rPr>
          <m:t>&lt;</m:t>
        </m:r>
        <m:r>
          <m:t>1</m:t>
        </m:r>
      </m:oMath>
      <w:r>
        <w:t xml:space="preserve"> </w:t>
      </w:r>
      <w:r>
        <w:t xml:space="preserve">é esse</w:t>
      </w:r>
      <w:r>
        <w:t xml:space="preserve"> </w:t>
      </w:r>
      <w:r>
        <w:t xml:space="preserve">“puxão gravitacional”</w:t>
      </w:r>
      <w:r>
        <w:t xml:space="preserve"> </w:t>
      </w:r>
      <w:r>
        <w:t xml:space="preserve">do agora.</w:t>
      </w:r>
    </w:p>
    <w:p>
      <w:pPr>
        <w:pStyle w:val="BlockText"/>
      </w:pPr>
      <w:r>
        <w:rPr>
          <w:b/>
          <w:bCs/>
        </w:rPr>
        <w:t xml:space="preserve">Por que isso importa:</w:t>
      </w:r>
      <w:r>
        <w:t xml:space="preserve"> </w:t>
      </w:r>
      <w:r>
        <w:t xml:space="preserve">O desconto hiperbólico explica por que pessoas aderem a planos de previdência com desconto em folha (mecanismo de comprometimento) e por que políticas de</w:t>
      </w:r>
      <w:r>
        <w:t xml:space="preserve"> </w:t>
      </w:r>
      <w:r>
        <w:t xml:space="preserve">“opt-out”</w:t>
      </w:r>
      <w:r>
        <w:t xml:space="preserve"> </w:t>
      </w:r>
      <w:r>
        <w:t xml:space="preserve">— como a inscrição automática no FGTS — são mais eficazes que</w:t>
      </w:r>
      <w:r>
        <w:t xml:space="preserve"> </w:t>
      </w:r>
      <w:r>
        <w:t xml:space="preserve">“opt-in”</w:t>
      </w:r>
      <w:r>
        <w:t xml:space="preserve"> </w:t>
      </w:r>
      <w:r>
        <w:t xml:space="preserve">para promover poupança.</w:t>
      </w:r>
    </w:p>
    <w:bookmarkEnd w:id="388"/>
    <w:bookmarkStart w:id="389" w:name="X342f3ffa7a87b9bc241f223e69b6f3dc408d711"/>
    <w:p>
      <w:pPr>
        <w:pStyle w:val="Heading4"/>
      </w:pPr>
      <w:r>
        <w:t xml:space="preserve">8.5.4 Autocontrole e estratégias de compromisso</w:t>
      </w:r>
    </w:p>
    <w:p>
      <w:pPr>
        <w:pStyle w:val="FirstParagraph"/>
      </w:pPr>
      <w:r>
        <w:t xml:space="preserve">O desconto quasi-hiperbólico prevê que os agentes tomarão decisões das quais se arrependerão — consumirão demais hoje, pouparão de menos, procrastinarão tarefas importantes. Mas será que os agentes são cegos a esse padrão, ou alguns deles reconhecem sua própria fragilidade e tentam se proteger de si mesmos? A resposta a essa pergunta nos leva ao fascinante tema do autocontrole.</w:t>
      </w:r>
    </w:p>
    <w:p>
      <w:pPr>
        <w:pStyle w:val="BodyText"/>
      </w:pPr>
      <w:r>
        <w:t xml:space="preserve">Se os agentes reconhecem seu viés do presente, podem adotar</w:t>
      </w:r>
      <w:r>
        <w:t xml:space="preserve"> </w:t>
      </w:r>
      <w:r>
        <w:rPr>
          <w:b/>
          <w:bCs/>
        </w:rPr>
        <w:t xml:space="preserve">estratégias de compromisso</w:t>
      </w:r>
      <w:r>
        <w:t xml:space="preserve"> </w:t>
      </w:r>
      <w:r>
        <w:t xml:space="preserve">(</w:t>
      </w:r>
      <w:r>
        <w:rPr>
          <w:i/>
          <w:iCs/>
        </w:rPr>
        <w:t xml:space="preserve">commitment devices</w:t>
      </w:r>
      <w:r>
        <w:t xml:space="preserve">) para restringir seu comportamento futuro:</w:t>
      </w:r>
    </w:p>
    <w:p>
      <w:pPr>
        <w:pStyle w:val="Compact"/>
        <w:numPr>
          <w:ilvl w:val="0"/>
          <w:numId w:val="1396"/>
        </w:numPr>
      </w:pPr>
      <w:r>
        <w:rPr>
          <w:b/>
          <w:bCs/>
        </w:rPr>
        <w:t xml:space="preserve">Poupança automática com desconto em folha:</w:t>
      </w:r>
      <w:r>
        <w:t xml:space="preserve"> </w:t>
      </w:r>
      <w:r>
        <w:t xml:space="preserve">ao aderir a um plano de previdência com desconto automático, o agente remove a decisão de poupar do âmbito da tentação cotidiana.</w:t>
      </w:r>
    </w:p>
    <w:p>
      <w:pPr>
        <w:pStyle w:val="Compact"/>
        <w:numPr>
          <w:ilvl w:val="0"/>
          <w:numId w:val="1396"/>
        </w:numPr>
      </w:pPr>
      <w:r>
        <w:rPr>
          <w:b/>
          <w:bCs/>
        </w:rPr>
        <w:t xml:space="preserve">Metas públicas:</w:t>
      </w:r>
      <w:r>
        <w:t xml:space="preserve"> </w:t>
      </w:r>
      <w:r>
        <w:t xml:space="preserve">declarar publicamente uma meta (como parar de fumar) cria um custo reputacional para o descumprimento.</w:t>
      </w:r>
    </w:p>
    <w:p>
      <w:pPr>
        <w:pStyle w:val="Compact"/>
        <w:numPr>
          <w:ilvl w:val="0"/>
          <w:numId w:val="1396"/>
        </w:numPr>
      </w:pPr>
      <w:r>
        <w:rPr>
          <w:b/>
          <w:bCs/>
        </w:rPr>
        <w:t xml:space="preserve">Restrições físicas:</w:t>
      </w:r>
      <w:r>
        <w:t xml:space="preserve"> </w:t>
      </w:r>
      <w:r>
        <w:t xml:space="preserve">o despertador Clocky, que foge da mesa de cabeceira quando o alarme toca, é um exemplo literal de compromisso — o</w:t>
      </w:r>
      <w:r>
        <w:t xml:space="preserve"> </w:t>
      </w:r>
      <w:r>
        <w:t xml:space="preserve">“eu da noite”</w:t>
      </w:r>
      <w:r>
        <w:t xml:space="preserve"> </w:t>
      </w:r>
      <w:r>
        <w:t xml:space="preserve">sabe que o</w:t>
      </w:r>
      <w:r>
        <w:t xml:space="preserve"> </w:t>
      </w:r>
      <w:r>
        <w:t xml:space="preserve">“eu da manhã”</w:t>
      </w:r>
      <w:r>
        <w:t xml:space="preserve"> </w:t>
      </w:r>
      <w:r>
        <w:t xml:space="preserve">vai querer apertar o soneca.</w:t>
      </w:r>
    </w:p>
    <w:p>
      <w:pPr>
        <w:pStyle w:val="FirstParagraph"/>
      </w:pPr>
      <w:r>
        <w:t xml:space="preserve">Essa tensão entre o eu presente e o eu futuro pode ser modelada como um</w:t>
      </w:r>
      <w:r>
        <w:t xml:space="preserve"> </w:t>
      </w:r>
      <w:r>
        <w:rPr>
          <w:b/>
          <w:bCs/>
        </w:rPr>
        <w:t xml:space="preserve">jogo intrapessoal</w:t>
      </w:r>
      <w:r>
        <w:t xml:space="preserve"> </w:t>
      </w:r>
      <w:r>
        <w:t xml:space="preserve">entre múltiplos</w:t>
      </w:r>
      <w:r>
        <w:t xml:space="preserve"> </w:t>
      </w:r>
      <w:r>
        <w:t xml:space="preserve">“eus”</w:t>
      </w:r>
      <w:r>
        <w:t xml:space="preserve"> </w:t>
      </w:r>
      <w:r>
        <w:t xml:space="preserve">sequenciais (Thaler e Shefrin 1981). O eu do período</w:t>
      </w:r>
      <w:r>
        <w:t xml:space="preserve"> </w:t>
      </w:r>
      <m:oMath>
        <m:r>
          <m:t>t</m:t>
        </m:r>
      </m:oMath>
      <w:r>
        <w:t xml:space="preserve"> </w:t>
      </w:r>
      <w:r>
        <w:t xml:space="preserve">maximiza a utilidade quasi-hiperbólica, mas sabe que o eu do período</w:t>
      </w:r>
      <w:r>
        <w:t xml:space="preserve"> </w:t>
      </w:r>
      <m:oMath>
        <m:r>
          <m:t>t</m:t>
        </m:r>
        <m:r>
          <m:rPr>
            <m:sty m:val="p"/>
          </m:rPr>
          <m:t>+</m:t>
        </m:r>
        <m:r>
          <m:t>1</m:t>
        </m:r>
      </m:oMath>
      <w:r>
        <w:t xml:space="preserve"> </w:t>
      </w:r>
      <w:r>
        <w:t xml:space="preserve">fará o mesmo — e cada</w:t>
      </w:r>
      <w:r>
        <w:t xml:space="preserve"> </w:t>
      </w:r>
      <w:r>
        <w:t xml:space="preserve">“versão futura”</w:t>
      </w:r>
      <w:r>
        <w:t xml:space="preserve"> </w:t>
      </w:r>
      <w:r>
        <w:t xml:space="preserve">terá seu próprio viés do presente.</w:t>
      </w:r>
    </w:p>
    <w:p>
      <w:pPr>
        <w:pStyle w:val="BodyText"/>
      </w:pPr>
      <w:r>
        <w:t xml:space="preserve">Agentes que reconhecem sua inconsistência temporal são chamados</w:t>
      </w:r>
      <w:r>
        <w:t xml:space="preserve"> </w:t>
      </w:r>
      <w:r>
        <w:rPr>
          <w:b/>
          <w:bCs/>
        </w:rPr>
        <w:t xml:space="preserve">sofisticados</w:t>
      </w:r>
      <w:r>
        <w:t xml:space="preserve">; agentes que (erroneamente) acreditam que suas preferências futuras serão consistentes são chamados</w:t>
      </w:r>
      <w:r>
        <w:t xml:space="preserve"> </w:t>
      </w:r>
      <w:r>
        <w:rPr>
          <w:b/>
          <w:bCs/>
        </w:rPr>
        <w:t xml:space="preserve">ingênuos</w:t>
      </w:r>
      <w:r>
        <w:t xml:space="preserve"> </w:t>
      </w:r>
      <w:r>
        <w:t xml:space="preserve">(</w:t>
      </w:r>
      <w:r>
        <w:rPr>
          <w:i/>
          <w:iCs/>
        </w:rPr>
        <w:t xml:space="preserve">naïfs</w:t>
      </w:r>
      <w:r>
        <w:t xml:space="preserve">). Sofisticados buscam compromissos; ingênuos procrastinam repetidamente. O’Donoghue e Rabin (1999) mostraram formalmente que a procrastinação é mais severa para agentes ingênuos, enquanto sofisticados podem sofrer de</w:t>
      </w:r>
      <w:r>
        <w:t xml:space="preserve"> </w:t>
      </w:r>
      <w:r>
        <w:rPr>
          <w:b/>
          <w:bCs/>
        </w:rPr>
        <w:t xml:space="preserve">preproperation</w:t>
      </w:r>
      <w:r>
        <w:t xml:space="preserve"> </w:t>
      </w:r>
      <w:r>
        <w:t xml:space="preserve">— realizar tarefas desagradáveis cedo demais por medo de não fazê-las depois (Dhami 2016, p. 704–710).</w:t>
      </w:r>
    </w:p>
    <w:p>
      <w:pPr>
        <w:pStyle w:val="BodyText"/>
      </w:pPr>
      <w:r>
        <w:t xml:space="preserve">No contexto brasileiro, as estratégias de compromisso aparecem de forma particularmente clara em dois produtos financeiros. Primeiro, o</w:t>
      </w:r>
      <w:r>
        <w:t xml:space="preserve"> </w:t>
      </w:r>
      <w:r>
        <w:rPr>
          <w:b/>
          <w:bCs/>
        </w:rPr>
        <w:t xml:space="preserve">crédito consignado</w:t>
      </w:r>
      <w:r>
        <w:t xml:space="preserve">: ao contratar um empréstimo com desconto automático em folha de pagamento, o trabalhador — paradoxalmente — pode estar usando o crédito como mecanismo de compromisso de poupança forçada. A lógica é a seguinte: ao tomar um empréstimo consignado, o trabalhador recebe hoje (resolve o problema do viés do presente imediato) e amortiza por débito automático nos meses seguintes (remove a tentação de não pagar). Para muitos trabalhadores com acesso limitado a crédito convencional, o consignado funciona como um instrumento de suavização de consumo que, paradoxalmente, se torna mais atrativo quanto mais pronunciado for o viés do presente. Segundo, a</w:t>
      </w:r>
      <w:r>
        <w:t xml:space="preserve"> </w:t>
      </w:r>
      <w:r>
        <w:rPr>
          <w:b/>
          <w:bCs/>
        </w:rPr>
        <w:t xml:space="preserve">previdência complementar de servidores públicos federais (Funpresp)</w:t>
      </w:r>
      <w:r>
        <w:t xml:space="preserve">: quando a reforma previdenciária criou a Funpresp em 2013, novos servidores passaram a ser automaticamente inscritos no plano complementar. Essa adesão automática com</w:t>
      </w:r>
      <w:r>
        <w:t xml:space="preserve"> </w:t>
      </w:r>
      <w:r>
        <w:rPr>
          <w:i/>
          <w:iCs/>
        </w:rPr>
        <w:t xml:space="preserve">opt-out</w:t>
      </w:r>
      <w:r>
        <w:t xml:space="preserve"> </w:t>
      </w:r>
      <w:r>
        <w:t xml:space="preserve">é precisamente um nudge direcionado ao viés do presente — remove do servidor a decisão ativa de poupar, que seria sistematicamente postergada por agentes ingênuos com</w:t>
      </w:r>
      <w:r>
        <w:t xml:space="preserve"> </w:t>
      </w:r>
      <m:oMath>
        <m:r>
          <m:t>β</m:t>
        </m:r>
        <m:r>
          <m:rPr>
            <m:sty m:val="p"/>
          </m:rPr>
          <m:t>&lt;</m:t>
        </m:r>
        <m:r>
          <m:t>1</m:t>
        </m:r>
      </m:oMath>
      <w:r>
        <w:t xml:space="preserve">. A lógica é a mesma do estudo clássico de Madrian e Shea (2001) sobre 401(k) nos EUA: o</w:t>
      </w:r>
      <w:r>
        <w:t xml:space="preserve"> </w:t>
      </w:r>
      <w:r>
        <w:rPr>
          <w:i/>
          <w:iCs/>
        </w:rPr>
        <w:t xml:space="preserve">default</w:t>
      </w:r>
      <w:r>
        <w:t xml:space="preserve"> </w:t>
      </w:r>
      <w:r>
        <w:t xml:space="preserve">faz o trabalho que a disciplina individual não faz.</w:t>
      </w:r>
    </w:p>
    <w:p>
      <w:pPr>
        <w:pStyle w:val="BodyText"/>
      </w:pPr>
      <w:r>
        <w:t xml:space="preserve">A distinção entre agentes sofisticados e ingênuos tem implicações práticas para o design de políticas. Nudges como a adesão automática são igualmente eficazes para ambos os tipos — tanto o agente que reconhece seu viés quanto o que não reconhece ficam no plano se o</w:t>
      </w:r>
      <w:r>
        <w:t xml:space="preserve"> </w:t>
      </w:r>
      <w:r>
        <w:rPr>
          <w:i/>
          <w:iCs/>
        </w:rPr>
        <w:t xml:space="preserve">default</w:t>
      </w:r>
      <w:r>
        <w:t xml:space="preserve"> </w:t>
      </w:r>
      <w:r>
        <w:t xml:space="preserve">for</w:t>
      </w:r>
      <w:r>
        <w:t xml:space="preserve"> </w:t>
      </w:r>
      <w:r>
        <w:t xml:space="preserve">“aderir”</w:t>
      </w:r>
      <w:r>
        <w:t xml:space="preserve">. Porém, mecanismos de compromisso mais sofisticados — como o</w:t>
      </w:r>
      <w:r>
        <w:t xml:space="preserve"> </w:t>
      </w:r>
      <w:r>
        <w:rPr>
          <w:i/>
          <w:iCs/>
        </w:rPr>
        <w:t xml:space="preserve">Save More Tomorrow</w:t>
      </w:r>
      <w:r>
        <w:t xml:space="preserve">, em que o trabalhador se compromete a destinar aumentos salariais futuros à poupança — exigem um grau de sofisticação: o agente precisa reconhecer que seu</w:t>
      </w:r>
      <w:r>
        <w:t xml:space="preserve"> </w:t>
      </w:r>
      <w:r>
        <w:t xml:space="preserve">“eu futuro”</w:t>
      </w:r>
      <w:r>
        <w:t xml:space="preserve"> </w:t>
      </w:r>
      <w:r>
        <w:t xml:space="preserve">precisará de ajuda. Políticas bem calibradas combinam nudges universais (que funcionam para todos) com opções de compromisso voluntário (que beneficiam os sofisticados).</w:t>
      </w:r>
    </w:p>
    <w:p>
      <w:pPr>
        <w:pStyle w:val="BlockText"/>
      </w:pPr>
      <w:r>
        <w:rPr>
          <w:b/>
          <w:bCs/>
        </w:rPr>
        <w:t xml:space="preserve">[BOX BRASIL] Box Brasil 8.6: Crédito rotativo e viés do presente</w:t>
      </w:r>
    </w:p>
    <w:p>
      <w:pPr>
        <w:pStyle w:val="BlockText"/>
      </w:pPr>
      <w:r>
        <w:t xml:space="preserve">O crédito rotativo do cartão de crédito no Brasil cobra taxas de juros que figuram entre as mais altas do mundo — segundo dados do Banco Central do Brasil, a taxa média do rotativo superou 400% ao ano em diversos momentos recentes. Muitos consumidores, ao optar por pagar apenas o valor mínimo da fatura, subestimam o custo total acumulado das parcelas futuras. Esse comportamento é consistente com o desconto quasi-hiperbólico: o alívio imediato de não pagar a fatura integral (benefício no período</w:t>
      </w:r>
      <w:r>
        <w:t xml:space="preserve"> </w:t>
      </w:r>
      <m:oMath>
        <m:r>
          <m:t>t</m:t>
        </m:r>
        <m:r>
          <m:rPr>
            <m:sty m:val="p"/>
          </m:rPr>
          <m:t>=</m:t>
        </m:r>
        <m:r>
          <m:t>0</m:t>
        </m:r>
      </m:oMath>
      <w:r>
        <w:t xml:space="preserve">) é sobrevalorizado em relação ao custo dos juros compostos nos períodos seguintes (descontados por</w:t>
      </w:r>
      <w:r>
        <w:t xml:space="preserve"> </w:t>
      </w:r>
      <m:oMath>
        <m:r>
          <m:t>β</m:t>
        </m:r>
        <m:sSup>
          <m:e>
            <m:r>
              <m:t>δ</m:t>
            </m:r>
          </m:e>
          <m:sup>
            <m:r>
              <m:t>t</m:t>
            </m:r>
          </m:sup>
        </m:sSup>
      </m:oMath>
      <w:r>
        <w:t xml:space="preserve"> </w:t>
      </w:r>
      <w:r>
        <w:t xml:space="preserve">com</w:t>
      </w:r>
      <w:r>
        <w:t xml:space="preserve"> </w:t>
      </w:r>
      <m:oMath>
        <m:r>
          <m:t>β</m:t>
        </m:r>
        <m:r>
          <m:rPr>
            <m:sty m:val="p"/>
          </m:rPr>
          <m:t>&lt;</m:t>
        </m:r>
        <m:r>
          <m:t>1</m:t>
        </m:r>
      </m:oMath>
      <w:r>
        <w:t xml:space="preserve">). A Lei do Superendividamento (Lei nº 14.181/2021) reconheceu implicitamente esse padrão ao criar mecanismos de renegociação e preservação do mínimo existencial.</w:t>
      </w:r>
    </w:p>
    <w:p>
      <w:pPr>
        <w:pStyle w:val="BlockText"/>
      </w:pPr>
      <w:r>
        <w:rPr>
          <w:b/>
          <w:bCs/>
        </w:rPr>
        <w:t xml:space="preserve">[BOX MUNDO] Box Mundo 8.3 — Nudges na poupança previdenciária ao redor do mundo: auto-enrollment e o viés do presente como ferramenta de política</w:t>
      </w:r>
    </w:p>
    <w:p>
      <w:pPr>
        <w:pStyle w:val="BlockText"/>
      </w:pPr>
      <w:r>
        <w:rPr>
          <w:b/>
          <w:bCs/>
        </w:rPr>
        <w:t xml:space="preserve">Contexto:</w:t>
      </w:r>
      <w:r>
        <w:t xml:space="preserve"> </w:t>
      </w:r>
      <w:r>
        <w:t xml:space="preserve">A Seção 8.5 mostrou que o desconto quasi-hiperbólico (</w:t>
      </w:r>
      <m:oMath>
        <m:r>
          <m:t>β</m:t>
        </m:r>
        <m:r>
          <m:rPr>
            <m:sty m:val="p"/>
          </m:rPr>
          <m:t>&lt;</m:t>
        </m:r>
        <m:r>
          <m:t>1</m:t>
        </m:r>
      </m:oMath>
      <w:r>
        <w:t xml:space="preserve">) gera procrastinação sistemática em decisões de poupança: o agente planeja poupar</w:t>
      </w:r>
      <w:r>
        <w:t xml:space="preserve"> </w:t>
      </w:r>
      <w:r>
        <w:t xml:space="preserve">“amanhã”</w:t>
      </w:r>
      <w:r>
        <w:t xml:space="preserve">, mas quando amanhã chega, o viés do presente o impede novamente. Esse padrão tem consequências macroeconômicas profundas: populações inteiras chegam à aposentadoria com poupança insuficiente, pressionando sistemas previdenciários públicos já sobrecarregados pelo envelhecimento demográfico. A resposta de política pública mais bem-sucedida para esse problema é a</w:t>
      </w:r>
      <w:r>
        <w:t xml:space="preserve"> </w:t>
      </w:r>
      <w:r>
        <w:rPr>
          <w:b/>
          <w:bCs/>
        </w:rPr>
        <w:t xml:space="preserve">inscrição automática</w:t>
      </w:r>
      <w:r>
        <w:t xml:space="preserve"> </w:t>
      </w:r>
      <w:r>
        <w:t xml:space="preserve">(</w:t>
      </w:r>
      <w:r>
        <w:rPr>
          <w:i/>
          <w:iCs/>
        </w:rPr>
        <w:t xml:space="preserve">auto-enrollment</w:t>
      </w:r>
      <w:r>
        <w:t xml:space="preserve">) em planos de poupança previdenciária — um nudge que explora a mesma inércia e viés do</w:t>
      </w:r>
      <w:r>
        <w:t xml:space="preserve"> </w:t>
      </w:r>
      <w:r>
        <w:rPr>
          <w:i/>
          <w:iCs/>
        </w:rPr>
        <w:t xml:space="preserve">status quo</w:t>
      </w:r>
      <w:r>
        <w:t xml:space="preserve"> </w:t>
      </w:r>
      <w:r>
        <w:t xml:space="preserve">que causam a subpoupança para, paradoxalmente, promover poupança adequada.</w:t>
      </w:r>
    </w:p>
    <w:p>
      <w:pPr>
        <w:pStyle w:val="BlockText"/>
      </w:pPr>
      <w:r>
        <w:rPr>
          <w:b/>
          <w:bCs/>
        </w:rPr>
        <w:t xml:space="preserve">Dados:</w:t>
      </w:r>
      <w:r>
        <w:t xml:space="preserve"> </w:t>
      </w:r>
      <w:r>
        <w:t xml:space="preserve">O caso paradigmático é o dos planos 401(k) nos Estados Unidos. Madrian e Shea (2001,</w:t>
      </w:r>
      <w:r>
        <w:t xml:space="preserve"> </w:t>
      </w:r>
      <w:r>
        <w:rPr>
          <w:i/>
          <w:iCs/>
        </w:rPr>
        <w:t xml:space="preserve">Quarterly Journal of Economics</w:t>
      </w:r>
      <w:r>
        <w:t xml:space="preserve">) documentaram que a mudança de opt-in para opt-out em uma grande empresa americana elevou a taxa de adesão de novos funcionários de 49% para 86% — um aumento de 37 pontos percentuais sem qualquer alteração na remuneração ou nos incentivos fiscais. Choi et al. (2004,</w:t>
      </w:r>
      <w:r>
        <w:t xml:space="preserve"> </w:t>
      </w:r>
      <w:r>
        <w:rPr>
          <w:i/>
          <w:iCs/>
        </w:rPr>
        <w:t xml:space="preserve">NBER Working Paper</w:t>
      </w:r>
      <w:r>
        <w:t xml:space="preserve">) replicaram o resultado em múltiplas empresas e mostraram que o efeito persiste ao longo do tempo. No Reino Unido, o programa</w:t>
      </w:r>
      <w:r>
        <w:t xml:space="preserve"> </w:t>
      </w:r>
      <w:r>
        <w:rPr>
          <w:i/>
          <w:iCs/>
        </w:rPr>
        <w:t xml:space="preserve">NEST</w:t>
      </w:r>
      <w:r>
        <w:t xml:space="preserve"> </w:t>
      </w:r>
      <w:r>
        <w:t xml:space="preserve">(</w:t>
      </w:r>
      <w:r>
        <w:rPr>
          <w:i/>
          <w:iCs/>
        </w:rPr>
        <w:t xml:space="preserve">National Employment Savings Trust</w:t>
      </w:r>
      <w:r>
        <w:t xml:space="preserve">), implementado a partir de 2012, tornou a inscrição automática obrigatória para todos os empregadores. O Department for Work and Pensions (2023) reporta que o número de trabalhadores do setor privado com poupança previdenciária ativa passou de 2,7 milhões em 2012 para 19,4 milhões em 2022 — um aumento de mais de 600%. A taxa de opt-out permaneceu estável em torno de 9%, confirmando o poder da inércia. Na Nova Zelândia, o programa KiwiSaver (2007) combina inscrição automática com contribuição paritária do empregador e subsídio governamental, atingindo cobertura de 82% da população empregada até 2023 (IRD New Zealand). Na Turquia, a introdução de auto-enrollment em planos de previdência privada em 2017 triplicou o número de participantes no primeiro ano (OECD, 2019). O programa</w:t>
      </w:r>
      <w:r>
        <w:t xml:space="preserve"> </w:t>
      </w:r>
      <w:r>
        <w:rPr>
          <w:i/>
          <w:iCs/>
        </w:rPr>
        <w:t xml:space="preserve">Save More Tomorrow</w:t>
      </w:r>
      <w:r>
        <w:t xml:space="preserve"> </w:t>
      </w:r>
      <w:r>
        <w:t xml:space="preserve">(SMarT), desenhado por Thaler e Benartzi (2004), vai além: convida trabalhadores a comprometer aumentos salariais</w:t>
      </w:r>
      <w:r>
        <w:t xml:space="preserve"> </w:t>
      </w:r>
      <w:r>
        <w:rPr>
          <w:i/>
          <w:iCs/>
        </w:rPr>
        <w:t xml:space="preserve">futuros</w:t>
      </w:r>
      <w:r>
        <w:t xml:space="preserve"> </w:t>
      </w:r>
      <w:r>
        <w:t xml:space="preserve">à poupança, contornando simultaneamente o viés do presente (o sacrifício é futuro, não imediato) e a aversão à perda (o salário líquido nunca diminui). Na primeira implementação, a taxa de poupança dos participantes subiu de 3,5% para 13,6% em quatro aumentos salariais consecutivos.</w:t>
      </w:r>
    </w:p>
    <w:p>
      <w:pPr>
        <w:pStyle w:val="BlockText"/>
      </w:pPr>
      <w:r>
        <w:rPr>
          <w:b/>
          <w:bCs/>
        </w:rPr>
        <w:t xml:space="preserve">Análise:</w:t>
      </w:r>
      <w:r>
        <w:t xml:space="preserve"> </w:t>
      </w:r>
      <w:r>
        <w:t xml:space="preserve">Os resultados globais do auto-enrollment são uma validação empírica direta do modelo de desconto quasi-hiperbólico da Seção 8.5.3. Se os agentes tivessem desconto exponencial (</w:t>
      </w:r>
      <m:oMath>
        <m:r>
          <m:t>β</m:t>
        </m:r>
        <m:r>
          <m:rPr>
            <m:sty m:val="p"/>
          </m:rPr>
          <m:t>=</m:t>
        </m:r>
        <m:r>
          <m:t>1</m:t>
        </m:r>
      </m:oMath>
      <w:r>
        <w:t xml:space="preserve">), a mudança do default não deveria afetar significativamente a adesão — um agente racional com preferências consistentes aderiria ou não ao plano independentemente da opção pré-selecionada, pois o custo de fazer opt-in ou opt-out é trivial. O fato de que a mudança de default gera diferenças de 37 a 50 pontos percentuais na adesão revela que a inércia decisória — produto do viés do presente e do</w:t>
      </w:r>
      <w:r>
        <w:t xml:space="preserve"> </w:t>
      </w:r>
      <w:r>
        <w:rPr>
          <w:i/>
          <w:iCs/>
        </w:rPr>
        <w:t xml:space="preserve">status quo bias</w:t>
      </w:r>
      <w:r>
        <w:t xml:space="preserve"> </w:t>
      </w:r>
      <w:r>
        <w:t xml:space="preserve">— é quantitativamente dominante. O auto-enrollment funciona porque explora os próprios vieses que causam o problema: a mesma inércia que impediria o agente de aderir ativamente (opt-in) agora o impede de sair (opt-out). A lição para a política previdenciária brasileira é direta: a Funpresp adota esse princípio para servidores federais, mas o setor privado brasileiro ainda opera predominantemente sob regime de opt-in, sugerindo que há espaço significativo para elevar a cobertura previdenciária complementar via mudança de default — sem custo fiscal adicional e sem restrição de liberdade.</w:t>
      </w:r>
    </w:p>
    <w:p>
      <w:pPr>
        <w:pStyle w:val="BlockText"/>
      </w:pPr>
      <w:r>
        <w:rPr>
          <w:b/>
          <w:bCs/>
        </w:rPr>
        <w:t xml:space="preserve">Fonte:</w:t>
      </w:r>
      <w:r>
        <w:t xml:space="preserve"> </w:t>
      </w:r>
      <w:r>
        <w:t xml:space="preserve">Madrian, B. C.; Shea, D. F. (2001). The power of suggestion: Inertia in 401(k) participation and savings behavior.</w:t>
      </w:r>
      <w:r>
        <w:t xml:space="preserve"> </w:t>
      </w:r>
      <w:r>
        <w:rPr>
          <w:i/>
          <w:iCs/>
        </w:rPr>
        <w:t xml:space="preserve">Quarterly Journal of Economics</w:t>
      </w:r>
      <w:r>
        <w:t xml:space="preserve">, 116(4), 1149–1187. Thaler, R. H.; Benartzi, S. (2004). Save More Tomorrow: Using behavioral economics to increase employee saving.</w:t>
      </w:r>
      <w:r>
        <w:t xml:space="preserve"> </w:t>
      </w:r>
      <w:r>
        <w:rPr>
          <w:i/>
          <w:iCs/>
        </w:rPr>
        <w:t xml:space="preserve">Journal of Political Economy</w:t>
      </w:r>
      <w:r>
        <w:t xml:space="preserve">, 112(S1), S164–S187. UK Department for Work and Pensions (2023).</w:t>
      </w:r>
      <w:r>
        <w:t xml:space="preserve"> </w:t>
      </w:r>
      <w:r>
        <w:rPr>
          <w:i/>
          <w:iCs/>
        </w:rPr>
        <w:t xml:space="preserve">Automatic Enrolment Evaluation Report 2023</w:t>
      </w:r>
      <w:r>
        <w:t xml:space="preserve">. OECD (2019).</w:t>
      </w:r>
      <w:r>
        <w:t xml:space="preserve"> </w:t>
      </w:r>
      <w:r>
        <w:rPr>
          <w:i/>
          <w:iCs/>
        </w:rPr>
        <w:t xml:space="preserve">Pensions at a Glance 2019</w:t>
      </w:r>
      <w:r>
        <w:t xml:space="preserve">. Paris: OECD Publishing.</w:t>
      </w:r>
    </w:p>
    <w:bookmarkEnd w:id="389"/>
    <w:bookmarkEnd w:id="390"/>
    <w:bookmarkStart w:id="395" w:name="X6d61fbbc9e04b33dd12c5ae0e05fad7ab48899f"/>
    <w:p>
      <w:pPr>
        <w:pStyle w:val="Heading2"/>
      </w:pPr>
      <w:r>
        <w:t xml:space="preserve">8.6 O Empurrãozinho Certo: Nudges e Arquitetura de Escolhas</w:t>
      </w:r>
    </w:p>
    <w:p>
      <w:pPr>
        <w:pStyle w:val="FirstParagraph"/>
      </w:pPr>
      <w:r>
        <w:t xml:space="preserve">Chegamos à seção mais prática do capítulo — e talvez a mais controversa. As seções anteriores mostraram que erramos de formas previsíveis: distorcemos probabilidades, odiamos perdas mais do que amamos ganhos, punimos injustiça mesmo a nosso custo e sacrificamos o futuro pelo presente. Diante disso, o que fazer? Proibir escolhas ruins (paternalismo)? Deixar que cada um se vire (laissez-faire)? Ou existe uma terceira via — que use os</w:t>
      </w:r>
      <w:r>
        <w:t xml:space="preserve"> </w:t>
      </w:r>
      <w:r>
        <w:rPr>
          <w:i/>
          <w:iCs/>
        </w:rPr>
        <w:t xml:space="preserve">próprios vieses</w:t>
      </w:r>
      <w:r>
        <w:t xml:space="preserve"> </w:t>
      </w:r>
      <w:r>
        <w:t xml:space="preserve">a favor das pessoas?</w:t>
      </w:r>
    </w:p>
    <w:p>
      <w:pPr>
        <w:pStyle w:val="BodyText"/>
      </w:pPr>
      <w:r>
        <w:t xml:space="preserve">As respostas tradicionais oscilam entre dois extremos. O</w:t>
      </w:r>
      <w:r>
        <w:t xml:space="preserve"> </w:t>
      </w:r>
      <w:r>
        <w:rPr>
          <w:b/>
          <w:bCs/>
        </w:rPr>
        <w:t xml:space="preserve">paternalismo duro</w:t>
      </w:r>
      <w:r>
        <w:t xml:space="preserve"> </w:t>
      </w:r>
      <w:r>
        <w:t xml:space="preserve">— proibir cigarros, limitar o acesso ao crédito rotativo, tornar compulsória a contribuição previdenciária — é eficaz, mas restringe a liberdade individual e pode ser politicamente impraticável em democracias liberais. O</w:t>
      </w:r>
      <w:r>
        <w:t xml:space="preserve"> </w:t>
      </w:r>
      <w:r>
        <w:rPr>
          <w:b/>
          <w:bCs/>
        </w:rPr>
        <w:t xml:space="preserve">laissez-faire informacional</w:t>
      </w:r>
      <w:r>
        <w:t xml:space="preserve"> </w:t>
      </w:r>
      <w:r>
        <w:t xml:space="preserve">— fornecer mais e melhor informação e deixar que os agentes decidam — respeita a autonomia, mas frequentemente falha porque o problema não é falta de informação, mas a forma como o cérebro processa informação. A contribuição fundamental de Thaler e Sunstein (2008) foi mostrar que existe uma terceira via: preservar a liberdade de escolha enquanto se usa o que sabemos sobre psicologia humana para tornar as escolhas mais fáceis de acertar.</w:t>
      </w:r>
    </w:p>
    <w:bookmarkStart w:id="391" w:name="paternalismo-libertário"/>
    <w:p>
      <w:pPr>
        <w:pStyle w:val="Heading4"/>
      </w:pPr>
      <w:r>
        <w:t xml:space="preserve">8.6.1 Paternalismo libertário</w:t>
      </w:r>
    </w:p>
    <w:p>
      <w:pPr>
        <w:pStyle w:val="FirstParagraph"/>
      </w:pPr>
      <w:r>
        <w:t xml:space="preserve">A resposta proposta por Thaler e Sunstein é o</w:t>
      </w:r>
      <w:r>
        <w:t xml:space="preserve"> </w:t>
      </w:r>
      <w:r>
        <w:rPr>
          <w:b/>
          <w:bCs/>
        </w:rPr>
        <w:t xml:space="preserve">paternalismo libertário</w:t>
      </w:r>
      <w:r>
        <w:t xml:space="preserve"> </w:t>
      </w:r>
      <w:r>
        <w:t xml:space="preserve">— uma filosofia que aceita os vieses como dado e busca utilizá-los a favor dos próprios agentes. A ferramenta central dessa abordagem é o</w:t>
      </w:r>
      <w:r>
        <w:t xml:space="preserve"> </w:t>
      </w:r>
      <w:r>
        <w:rPr>
          <w:i/>
          <w:iCs/>
        </w:rPr>
        <w:t xml:space="preserve">nudge</w:t>
      </w:r>
      <w:r>
        <w:t xml:space="preserve">.</w:t>
      </w:r>
    </w:p>
    <w:p>
      <w:pPr>
        <w:pStyle w:val="BlockText"/>
      </w:pPr>
      <w:r>
        <w:rPr>
          <w:b/>
          <w:bCs/>
        </w:rPr>
        <w:t xml:space="preserve">[DEFINICAO] Nudge</w:t>
      </w:r>
    </w:p>
    <w:p>
      <w:pPr>
        <w:pStyle w:val="BlockText"/>
      </w:pPr>
      <w:r>
        <w:t xml:space="preserve">Um</w:t>
      </w:r>
      <w:r>
        <w:t xml:space="preserve"> </w:t>
      </w:r>
      <w:r>
        <w:rPr>
          <w:b/>
          <w:bCs/>
        </w:rPr>
        <w:t xml:space="preserve">nudge</w:t>
      </w:r>
      <w:r>
        <w:t xml:space="preserve"> </w:t>
      </w:r>
      <w:r>
        <w:t xml:space="preserve">é qualquer aspecto da</w:t>
      </w:r>
      <w:r>
        <w:t xml:space="preserve"> </w:t>
      </w:r>
      <w:r>
        <w:rPr>
          <w:b/>
          <w:bCs/>
        </w:rPr>
        <w:t xml:space="preserve">arquitetura de escolha</w:t>
      </w:r>
      <w:r>
        <w:t xml:space="preserve"> </w:t>
      </w:r>
      <w:r>
        <w:t xml:space="preserve">que altera o comportamento das pessoas de forma previsível, sem proibir nenhuma opção nem alterar significativamente os incentivos econômicos. Para contar como nudge, a intervenção deve ser fácil e barata de evitar (Thaler e Sunstein 2008).</w:t>
      </w:r>
    </w:p>
    <w:p>
      <w:pPr>
        <w:pStyle w:val="FirstParagraph"/>
      </w:pPr>
      <w:r>
        <w:t xml:space="preserve">A filosofia por trás dos nudges é o</w:t>
      </w:r>
      <w:r>
        <w:t xml:space="preserve"> </w:t>
      </w:r>
      <w:r>
        <w:rPr>
          <w:b/>
          <w:bCs/>
        </w:rPr>
        <w:t xml:space="preserve">paternalismo libertário</w:t>
      </w:r>
      <w:r>
        <w:t xml:space="preserve">: libertário porque preserva a liberdade de escolha; paternalista porque direciona as decisões no sentido do bem-estar do próprio agente (conforme julgado por ele mesmo em condições de reflexão cuidadosa).</w:t>
      </w:r>
    </w:p>
    <w:bookmarkEnd w:id="391"/>
    <w:bookmarkStart w:id="393" w:name="ferramentas-de-nudging"/>
    <w:p>
      <w:pPr>
        <w:pStyle w:val="Heading4"/>
      </w:pPr>
      <w:r>
        <w:t xml:space="preserve">8.6.2 Ferramentas de nudging</w:t>
      </w:r>
    </w:p>
    <w:p>
      <w:pPr>
        <w:pStyle w:val="FirstParagraph"/>
      </w:pPr>
      <w:r>
        <w:t xml:space="preserve">Como traduzir a filosofia do paternalismo libertário em intervenções concretas?</w:t>
      </w:r>
      <w:r>
        <w:rPr>
          <w:rStyle w:val="FootnoteReference"/>
        </w:rPr>
        <w:footnoteReference w:id="392"/>
      </w:r>
      <w:r>
        <w:t xml:space="preserve"> </w:t>
      </w:r>
      <w:r>
        <w:t xml:space="preserve">As principais ferramentas de nudging exploram precisamente os vieses documentados nas seções anteriores — a mesma inércia que impede as pessoas de poupar pode ser usada a seu favor, bastando mudar a opção-padrão:</w:t>
      </w:r>
    </w:p>
    <w:p>
      <w:pPr>
        <w:pStyle w:val="BodyText"/>
      </w:pPr>
      <w:r>
        <w:rPr>
          <w:b/>
          <w:bCs/>
        </w:rPr>
        <w:t xml:space="preserve">Default options (opções-padrão).</w:t>
      </w:r>
      <w:r>
        <w:t xml:space="preserve"> </w:t>
      </w:r>
      <w:r>
        <w:t xml:space="preserve">A inércia e o viés do</w:t>
      </w:r>
      <w:r>
        <w:t xml:space="preserve"> </w:t>
      </w:r>
      <w:r>
        <w:rPr>
          <w:i/>
          <w:iCs/>
        </w:rPr>
        <w:t xml:space="preserve">status quo</w:t>
      </w:r>
      <w:r>
        <w:t xml:space="preserve"> </w:t>
      </w:r>
      <w:r>
        <w:t xml:space="preserve">fazem com que a maioria das pessoas aceite a opção pré-selecionada. Mudar o</w:t>
      </w:r>
      <w:r>
        <w:t xml:space="preserve"> </w:t>
      </w:r>
      <w:r>
        <w:rPr>
          <w:i/>
          <w:iCs/>
        </w:rPr>
        <w:t xml:space="preserve">default</w:t>
      </w:r>
      <w:r>
        <w:t xml:space="preserve"> </w:t>
      </w:r>
      <w:r>
        <w:t xml:space="preserve">de</w:t>
      </w:r>
      <w:r>
        <w:t xml:space="preserve"> </w:t>
      </w:r>
      <w:r>
        <w:t xml:space="preserve">“opt-in”</w:t>
      </w:r>
      <w:r>
        <w:t xml:space="preserve"> </w:t>
      </w:r>
      <w:r>
        <w:t xml:space="preserve">para</w:t>
      </w:r>
      <w:r>
        <w:t xml:space="preserve"> </w:t>
      </w:r>
      <w:r>
        <w:t xml:space="preserve">“opt-out”</w:t>
      </w:r>
      <w:r>
        <w:t xml:space="preserve"> </w:t>
      </w:r>
      <w:r>
        <w:t xml:space="preserve">pode ter efeitos dramáticos.</w:t>
      </w:r>
    </w:p>
    <w:p>
      <w:pPr>
        <w:pStyle w:val="BlockText"/>
      </w:pPr>
      <w:r>
        <w:rPr>
          <w:b/>
          <w:bCs/>
        </w:rPr>
        <w:t xml:space="preserve">[EXEMPLO] Save More Tomorrow (SMarT)</w:t>
      </w:r>
    </w:p>
    <w:p>
      <w:pPr>
        <w:pStyle w:val="BlockText"/>
      </w:pPr>
      <w:r>
        <w:t xml:space="preserve">O programa</w:t>
      </w:r>
      <w:r>
        <w:t xml:space="preserve"> </w:t>
      </w:r>
      <w:r>
        <w:rPr>
          <w:i/>
          <w:iCs/>
        </w:rPr>
        <w:t xml:space="preserve">Save More Tomorrow</w:t>
      </w:r>
      <w:r>
        <w:t xml:space="preserve">, desenhado por Thaler e Benartzi (2004), convida trabalhadores a se comprometer,</w:t>
      </w:r>
      <w:r>
        <w:t xml:space="preserve"> </w:t>
      </w:r>
      <w:r>
        <w:rPr>
          <w:b/>
          <w:bCs/>
        </w:rPr>
        <w:t xml:space="preserve">hoje</w:t>
      </w:r>
      <w:r>
        <w:t xml:space="preserve">, a destinar uma fração de seus</w:t>
      </w:r>
      <w:r>
        <w:t xml:space="preserve"> </w:t>
      </w:r>
      <w:r>
        <w:rPr>
          <w:b/>
          <w:bCs/>
        </w:rPr>
        <w:t xml:space="preserve">aumentos salariais futuros</w:t>
      </w:r>
      <w:r>
        <w:t xml:space="preserve"> </w:t>
      </w:r>
      <w:r>
        <w:t xml:space="preserve">à poupança previdenciária. Como o sacrifício é futuro (e não imediato), a taxa de adesão é alta. Além disso, a aversão à perda é atenuada porque o trabalhador nunca vê sua renda líquida diminuir — apenas cresce menos. Na primeira implementação, a taxa de poupança dos participantes subiu de 3,5% para 13,6% em quatro aumentos salariais.</w:t>
      </w:r>
    </w:p>
    <w:p>
      <w:pPr>
        <w:pStyle w:val="FirstParagraph"/>
      </w:pPr>
      <w:r>
        <w:t xml:space="preserve">A tabela a seguir organiza as principais ferramentas de nudging: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Tipo de nudge</w:t>
            </w:r>
          </w:p>
        </w:tc>
        <w:tc>
          <w:tcPr/>
          <w:p>
            <w:pPr>
              <w:pStyle w:val="Compact"/>
            </w:pPr>
            <w:r>
              <w:t xml:space="preserve">Viés explorado</w:t>
            </w:r>
          </w:p>
        </w:tc>
        <w:tc>
          <w:tcPr/>
          <w:p>
            <w:pPr>
              <w:pStyle w:val="Compact"/>
            </w:pPr>
            <w:r>
              <w:t xml:space="preserve">Mecanismo</w:t>
            </w:r>
          </w:p>
        </w:tc>
        <w:tc>
          <w:tcPr/>
          <w:p>
            <w:pPr>
              <w:pStyle w:val="Compact"/>
            </w:pPr>
            <w:r>
              <w:t xml:space="preserve">Exemplo</w:t>
            </w:r>
          </w:p>
        </w:tc>
        <w:tc>
          <w:tcPr/>
          <w:p>
            <w:pPr>
              <w:pStyle w:val="Compact"/>
            </w:pPr>
            <w:r>
              <w:t xml:space="preserve">Evidência</w:t>
            </w:r>
          </w:p>
        </w:tc>
      </w:tr>
      <w:tr>
        <w:tc>
          <w:tcPr/>
          <w:p>
            <w:pPr>
              <w:pStyle w:val="Compact"/>
            </w:pPr>
            <w:r>
              <w:t xml:space="preserve">Opção-padrão (</w:t>
            </w:r>
            <w:r>
              <w:rPr>
                <w:i/>
                <w:iCs/>
              </w:rPr>
              <w:t xml:space="preserve">default</w:t>
            </w:r>
            <w:r>
              <w:t xml:space="preserve">)</w:t>
            </w:r>
          </w:p>
        </w:tc>
        <w:tc>
          <w:tcPr/>
          <w:p>
            <w:pPr>
              <w:pStyle w:val="Compact"/>
            </w:pPr>
            <w:r>
              <w:rPr>
                <w:i/>
                <w:iCs/>
              </w:rPr>
              <w:t xml:space="preserve">Status quo</w:t>
            </w:r>
            <w:r>
              <w:t xml:space="preserve">, inércia</w:t>
            </w:r>
          </w:p>
        </w:tc>
        <w:tc>
          <w:tcPr/>
          <w:p>
            <w:pPr>
              <w:pStyle w:val="Compact"/>
            </w:pPr>
            <w:r>
              <w:t xml:space="preserve">Pré-selecionar a opção desejável</w:t>
            </w:r>
          </w:p>
        </w:tc>
        <w:tc>
          <w:tcPr/>
          <w:p>
            <w:pPr>
              <w:pStyle w:val="Compact"/>
            </w:pPr>
            <w:r>
              <w:t xml:space="preserve">Adesão automática 401(k)</w:t>
            </w:r>
          </w:p>
        </w:tc>
        <w:tc>
          <w:tcPr/>
          <w:p>
            <w:pPr>
              <w:pStyle w:val="Compact"/>
            </w:pPr>
            <w:r>
              <w:t xml:space="preserve">49% → 86% (Madrian e Shea 2001)</w:t>
            </w:r>
          </w:p>
        </w:tc>
      </w:tr>
      <w:tr>
        <w:tc>
          <w:tcPr/>
          <w:p>
            <w:pPr>
              <w:pStyle w:val="Compact"/>
            </w:pPr>
            <w:r>
              <w:t xml:space="preserve">Framing / simplificação</w:t>
            </w:r>
          </w:p>
        </w:tc>
        <w:tc>
          <w:tcPr/>
          <w:p>
            <w:pPr>
              <w:pStyle w:val="Compact"/>
            </w:pPr>
            <w:r>
              <w:t xml:space="preserve">Efeito framing</w:t>
            </w:r>
          </w:p>
        </w:tc>
        <w:tc>
          <w:tcPr/>
          <w:p>
            <w:pPr>
              <w:pStyle w:val="Compact"/>
            </w:pPr>
            <w:r>
              <w:t xml:space="preserve">Alterar a forma de apresentação</w:t>
            </w:r>
          </w:p>
        </w:tc>
        <w:tc>
          <w:tcPr/>
          <w:p>
            <w:pPr>
              <w:pStyle w:val="Compact"/>
            </w:pPr>
            <w:r>
              <w:t xml:space="preserve">Rótulos semáforo em alimentos</w:t>
            </w:r>
          </w:p>
        </w:tc>
        <w:tc>
          <w:tcPr/>
          <w:p>
            <w:pPr>
              <w:pStyle w:val="Compact"/>
            </w:pPr>
            <w:r>
              <w:t xml:space="preserve">Melhora na qualidade da dieta</w:t>
            </w:r>
          </w:p>
        </w:tc>
      </w:tr>
      <w:tr>
        <w:tc>
          <w:tcPr/>
          <w:p>
            <w:pPr>
              <w:pStyle w:val="Compact"/>
            </w:pPr>
            <w:r>
              <w:t xml:space="preserve">Feedback e saliência</w:t>
            </w:r>
          </w:p>
        </w:tc>
        <w:tc>
          <w:tcPr/>
          <w:p>
            <w:pPr>
              <w:pStyle w:val="Compact"/>
            </w:pPr>
            <w:r>
              <w:t xml:space="preserve">Disponibilidade</w:t>
            </w:r>
          </w:p>
        </w:tc>
        <w:tc>
          <w:tcPr/>
          <w:p>
            <w:pPr>
              <w:pStyle w:val="Compact"/>
            </w:pPr>
            <w:r>
              <w:t xml:space="preserve">Tornar consequências visíveis</w:t>
            </w:r>
          </w:p>
        </w:tc>
        <w:tc>
          <w:tcPr/>
          <w:p>
            <w:pPr>
              <w:pStyle w:val="Compact"/>
            </w:pPr>
            <w:r>
              <w:t xml:space="preserve">Conta de energia com emoji</w:t>
            </w:r>
          </w:p>
        </w:tc>
        <w:tc>
          <w:tcPr/>
          <w:p>
            <w:pPr>
              <w:pStyle w:val="Compact"/>
            </w:pPr>
            <w:r>
              <w:t xml:space="preserve">Redução de 2% no consumo</w:t>
            </w:r>
          </w:p>
        </w:tc>
      </w:tr>
      <w:tr>
        <w:tc>
          <w:tcPr/>
          <w:p>
            <w:pPr>
              <w:pStyle w:val="Compact"/>
            </w:pPr>
            <w:r>
              <w:t xml:space="preserve">Normas sociais</w:t>
            </w:r>
          </w:p>
        </w:tc>
        <w:tc>
          <w:tcPr/>
          <w:p>
            <w:pPr>
              <w:pStyle w:val="Compact"/>
            </w:pPr>
            <w:r>
              <w:t xml:space="preserve">Conformidade</w:t>
            </w:r>
          </w:p>
        </w:tc>
        <w:tc>
          <w:tcPr/>
          <w:p>
            <w:pPr>
              <w:pStyle w:val="Compact"/>
            </w:pPr>
            <w:r>
              <w:t xml:space="preserve">Informar sobre comportamento de pares</w:t>
            </w:r>
          </w:p>
        </w:tc>
        <w:tc>
          <w:tcPr/>
          <w:p>
            <w:pPr>
              <w:pStyle w:val="Compact"/>
            </w:pPr>
            <w:r>
              <w:t xml:space="preserve">“90% pagam IPTU em dia”</w:t>
            </w:r>
          </w:p>
        </w:tc>
        <w:tc>
          <w:tcPr/>
          <w:p>
            <w:pPr>
              <w:pStyle w:val="Compact"/>
            </w:pPr>
            <w:r>
              <w:t xml:space="preserve">Aumento de 5–15% na conformidade</w:t>
            </w:r>
          </w:p>
        </w:tc>
      </w:tr>
      <w:tr>
        <w:tc>
          <w:tcPr/>
          <w:p>
            <w:pPr>
              <w:pStyle w:val="Compact"/>
            </w:pPr>
            <w:r>
              <w:t xml:space="preserve">Compromisso prévio</w:t>
            </w:r>
          </w:p>
        </w:tc>
        <w:tc>
          <w:tcPr/>
          <w:p>
            <w:pPr>
              <w:pStyle w:val="Compact"/>
            </w:pPr>
            <w:r>
              <w:t xml:space="preserve">Viés do presente</w:t>
            </w:r>
          </w:p>
        </w:tc>
        <w:tc>
          <w:tcPr/>
          <w:p>
            <w:pPr>
              <w:pStyle w:val="Compact"/>
            </w:pPr>
            <w:r>
              <w:t xml:space="preserve">Vincular decisão futura agora</w:t>
            </w:r>
          </w:p>
        </w:tc>
        <w:tc>
          <w:tcPr/>
          <w:p>
            <w:pPr>
              <w:pStyle w:val="Compact"/>
            </w:pPr>
            <w:r>
              <w:rPr>
                <w:i/>
                <w:iCs/>
              </w:rPr>
              <w:t xml:space="preserve">Save More Tomorrow</w:t>
            </w:r>
          </w:p>
        </w:tc>
        <w:tc>
          <w:tcPr/>
          <w:p>
            <w:pPr>
              <w:pStyle w:val="Compact"/>
            </w:pPr>
            <w:r>
              <w:t xml:space="preserve">Poupança 3,5% → 13,6%</w:t>
            </w:r>
          </w:p>
        </w:tc>
      </w:tr>
      <w:tr>
        <w:tc>
          <w:tcPr/>
          <w:p>
            <w:pPr>
              <w:pStyle w:val="Compact"/>
            </w:pPr>
            <w:r>
              <w:t xml:space="preserve">Simplificação</w:t>
            </w:r>
          </w:p>
        </w:tc>
        <w:tc>
          <w:tcPr/>
          <w:p>
            <w:pPr>
              <w:pStyle w:val="Compact"/>
            </w:pPr>
            <w:r>
              <w:t xml:space="preserve">Sobrecarga cognitiva</w:t>
            </w:r>
          </w:p>
        </w:tc>
        <w:tc>
          <w:tcPr/>
          <w:p>
            <w:pPr>
              <w:pStyle w:val="Compact"/>
            </w:pPr>
            <w:r>
              <w:t xml:space="preserve">Reduzir opções e burocracia</w:t>
            </w:r>
          </w:p>
        </w:tc>
        <w:tc>
          <w:tcPr/>
          <w:p>
            <w:pPr>
              <w:pStyle w:val="Compact"/>
            </w:pPr>
            <w:r>
              <w:t xml:space="preserve">Formulário FAFSA simplificado</w:t>
            </w:r>
          </w:p>
        </w:tc>
        <w:tc>
          <w:tcPr/>
          <w:p>
            <w:pPr>
              <w:pStyle w:val="Compact"/>
            </w:pPr>
            <w:r>
              <w:t xml:space="preserve">+8 p.p. na inscrição universitária</w:t>
            </w:r>
          </w:p>
        </w:tc>
      </w:tr>
    </w:tbl>
    <w:p>
      <w:pPr>
        <w:pStyle w:val="BodyText"/>
      </w:pPr>
      <w:r>
        <w:rPr>
          <w:b/>
          <w:bCs/>
        </w:rPr>
        <w:t xml:space="preserve">Tabela 8.8 — Principais ferramentas de nudging.</w:t>
      </w:r>
    </w:p>
    <w:p>
      <w:pPr>
        <w:pStyle w:val="BodyText"/>
      </w:pPr>
      <w:r>
        <w:t xml:space="preserve">[FIGURA INTERATIVA: /micro-book/graficos/cap08/nudge-default.html — versao interativa disponivel online]</w:t>
      </w:r>
    </w:p>
    <w:p>
      <w:pPr>
        <w:pStyle w:val="BodyText"/>
      </w:pPr>
      <w:r>
        <w:rPr>
          <w:b/>
          <w:bCs/>
        </w:rPr>
        <w:t xml:space="preserve">Figura 8.8 — Efeito do default na adesão.</w:t>
      </w:r>
      <w:r>
        <w:t xml:space="preserve"> </w:t>
      </w:r>
      <w:r>
        <w:t xml:space="preserve">Compare as taxas de adesão sob regimes de opt-in e opt-out para diferentes programas.</w:t>
      </w:r>
    </w:p>
    <w:p>
      <w:pPr>
        <w:pStyle w:val="BodyText"/>
      </w:pPr>
      <w:r>
        <w:rPr>
          <w:b/>
          <w:bCs/>
        </w:rPr>
        <w:t xml:space="preserve">Framing e simplificação.</w:t>
      </w:r>
      <w:r>
        <w:t xml:space="preserve"> </w:t>
      </w:r>
      <w:r>
        <w:t xml:space="preserve">A forma como as informações são apresentadas importa: rótulos nutricionais em semáforo (verde/amarelo/vermelho) são mais eficazes do que tabelas numéricas detalhadas; cartas de cobrança com linguagem simplificada aumentam a taxa de pagamento de impostos.</w:t>
      </w:r>
    </w:p>
    <w:p>
      <w:pPr>
        <w:pStyle w:val="BodyText"/>
      </w:pPr>
      <w:r>
        <w:rPr>
          <w:b/>
          <w:bCs/>
        </w:rPr>
        <w:t xml:space="preserve">Feedback e saliência.</w:t>
      </w:r>
      <w:r>
        <w:t xml:space="preserve"> </w:t>
      </w:r>
      <w:r>
        <w:t xml:space="preserve">Tornar as consequências de uma decisão mais visíveis no momento da escolha — como mostrar o consumo de energia em tempo real — ajuda a alinhar o comportamento com as intenções de longo prazo.</w:t>
      </w:r>
    </w:p>
    <w:p>
      <w:pPr>
        <w:pStyle w:val="BodyText"/>
      </w:pPr>
      <w:r>
        <w:rPr>
          <w:b/>
          <w:bCs/>
        </w:rPr>
        <w:t xml:space="preserve">Normas sociais.</w:t>
      </w:r>
      <w:r>
        <w:t xml:space="preserve"> </w:t>
      </w:r>
      <w:r>
        <w:t xml:space="preserve">Informar as pessoas sobre o comportamento de seus pares (</w:t>
      </w:r>
      <w:r>
        <w:t xml:space="preserve">“90% dos seus vizinhos pagam o IPTU em dia”</w:t>
      </w:r>
      <w:r>
        <w:t xml:space="preserve">) explora a tendência à conformidade social e pode ser mais eficaz do que apelos racionais ou ameaças de multa.</w:t>
      </w:r>
    </w:p>
    <w:p>
      <w:pPr>
        <w:pStyle w:val="BlockText"/>
      </w:pPr>
      <w:r>
        <w:rPr>
          <w:b/>
          <w:bCs/>
        </w:rPr>
        <w:t xml:space="preserve">[EXERCICIO RESOLVIDO] Exercício Resolvido 8.4 — Impacto do default na adesão previdenciária</w:t>
      </w:r>
    </w:p>
    <w:p>
      <w:pPr>
        <w:pStyle w:val="BlockText"/>
      </w:pPr>
      <w:r>
        <w:rPr>
          <w:b/>
          <w:bCs/>
        </w:rPr>
        <w:t xml:space="preserve">Enunciado:</w:t>
      </w:r>
      <w:r>
        <w:t xml:space="preserve"> </w:t>
      </w:r>
      <w:r>
        <w:t xml:space="preserve">Uma empresa com 1.000 funcionários adota um plano de previdência complementar. Sob o regime de adesão voluntária (</w:t>
      </w:r>
      <w:r>
        <w:rPr>
          <w:i/>
          <w:iCs/>
        </w:rPr>
        <w:t xml:space="preserve">opt-in</w:t>
      </w:r>
      <w:r>
        <w:t xml:space="preserve">), a taxa de adesão é de 40%. A empresa considera migrar para adesão automática (</w:t>
      </w:r>
      <w:r>
        <w:rPr>
          <w:i/>
          <w:iCs/>
        </w:rPr>
        <w:t xml:space="preserve">opt-out</w:t>
      </w:r>
      <w:r>
        <w:t xml:space="preserve">). Suponha que, com</w:t>
      </w:r>
      <w:r>
        <w:t xml:space="preserve"> </w:t>
      </w:r>
      <w:r>
        <w:rPr>
          <w:i/>
          <w:iCs/>
        </w:rPr>
        <w:t xml:space="preserve">opt-out</w:t>
      </w:r>
      <w:r>
        <w:t xml:space="preserve">, 85% dos funcionários permanecem no plano, e que a contribuição média mensal é de R$ 300. (a) Calcule o aumento na contribuição mensal agregada. (b) Se 20% dos funcionários que permaneceram por inércia teriam preferido não participar (revelando heterogeneidade de preferências), quantos funcionários são</w:t>
      </w:r>
      <w:r>
        <w:t xml:space="preserve"> </w:t>
      </w:r>
      <w:r>
        <w:t xml:space="preserve">“nudgeados”</w:t>
      </w:r>
      <w:r>
        <w:t xml:space="preserve"> </w:t>
      </w:r>
      <w:r>
        <w:t xml:space="preserve">em direção contrária às suas preferências?</w:t>
      </w:r>
    </w:p>
    <w:p>
      <w:pPr>
        <w:pStyle w:val="BlockText"/>
      </w:pPr>
      <w:r>
        <w:rPr>
          <w:b/>
          <w:bCs/>
        </w:rPr>
        <w:t xml:space="preserve">Dados:</w:t>
      </w:r>
      <w:r>
        <w:t xml:space="preserve"> </w:t>
      </w:r>
      <w:r>
        <w:t xml:space="preserve">1.000 funcionários, adesão</w:t>
      </w:r>
      <w:r>
        <w:t xml:space="preserve"> </w:t>
      </w:r>
      <w:r>
        <w:rPr>
          <w:i/>
          <w:iCs/>
        </w:rPr>
        <w:t xml:space="preserve">opt-in</w:t>
      </w:r>
      <w:r>
        <w:t xml:space="preserve"> </w:t>
      </w:r>
      <w:r>
        <w:t xml:space="preserve">= 40%, adesão</w:t>
      </w:r>
      <w:r>
        <w:t xml:space="preserve"> </w:t>
      </w:r>
      <w:r>
        <w:rPr>
          <w:i/>
          <w:iCs/>
        </w:rPr>
        <w:t xml:space="preserve">opt-out</w:t>
      </w:r>
      <w:r>
        <w:t xml:space="preserve"> </w:t>
      </w:r>
      <w:r>
        <w:t xml:space="preserve">= 85%, contribuição média = R$ 300/mês.</w:t>
      </w:r>
    </w:p>
    <w:p>
      <w:pPr>
        <w:pStyle w:val="BlockText"/>
      </w:pPr>
      <w:r>
        <w:rPr>
          <w:b/>
          <w:bCs/>
        </w:rPr>
        <w:t xml:space="preserve">Resolução:</w:t>
      </w:r>
    </w:p>
    <w:p>
      <w:pPr>
        <w:pStyle w:val="BlockText"/>
      </w:pPr>
      <w:r>
        <w:rPr>
          <w:b/>
          <w:bCs/>
        </w:rPr>
        <w:t xml:space="preserve">Passo 1 — Contribuição agregada sob cada regime</w:t>
      </w:r>
    </w:p>
    <w:p>
      <w:pPr>
        <w:pStyle w:val="Compact"/>
        <w:numPr>
          <w:ilvl w:val="0"/>
          <w:numId w:val="1397"/>
        </w:numPr>
      </w:pPr>
      <w:r>
        <w:rPr>
          <w:i/>
          <w:iCs/>
        </w:rPr>
        <w:t xml:space="preserve">Opt-in</w:t>
      </w:r>
      <w:r>
        <w:t xml:space="preserve">:</w:t>
      </w:r>
      <w:r>
        <w:t xml:space="preserve"> </w:t>
      </w:r>
      <m:oMath>
        <m:r>
          <m:t>1000</m:t>
        </m:r>
        <m:r>
          <m:rPr>
            <m:sty m:val="p"/>
          </m:rPr>
          <m:t>×</m:t>
        </m:r>
        <m:r>
          <m:t>0</m:t>
        </m:r>
        <m:r>
          <m:rPr>
            <m:sty m:val="p"/>
          </m:rPr>
          <m:t>,</m:t>
        </m:r>
        <m:r>
          <m:t>40</m:t>
        </m:r>
        <m:r>
          <m:rPr>
            <m:sty m:val="p"/>
          </m:rPr>
          <m:t>×</m:t>
        </m:r>
        <m:r>
          <m:t>300</m:t>
        </m:r>
        <m:r>
          <m:rPr>
            <m:sty m:val="p"/>
          </m:rPr>
          <m:t>=</m:t>
        </m:r>
        <m:r>
          <m:rPr>
            <m:nor/>
            <m:sty m:val="p"/>
          </m:rPr>
          <m:t>R$</m:t>
        </m:r>
        <m:r>
          <m:t>120.000</m:t>
        </m:r>
      </m:oMath>
      <w:r>
        <w:t xml:space="preserve">/mês.</w:t>
      </w:r>
    </w:p>
    <w:p>
      <w:pPr>
        <w:pStyle w:val="Compact"/>
        <w:numPr>
          <w:ilvl w:val="0"/>
          <w:numId w:val="1397"/>
        </w:numPr>
      </w:pPr>
      <w:r>
        <w:rPr>
          <w:i/>
          <w:iCs/>
        </w:rPr>
        <w:t xml:space="preserve">Opt-out</w:t>
      </w:r>
      <w:r>
        <w:t xml:space="preserve">:</w:t>
      </w:r>
      <w:r>
        <w:t xml:space="preserve"> </w:t>
      </w:r>
      <m:oMath>
        <m:r>
          <m:t>1000</m:t>
        </m:r>
        <m:r>
          <m:rPr>
            <m:sty m:val="p"/>
          </m:rPr>
          <m:t>×</m:t>
        </m:r>
        <m:r>
          <m:t>0</m:t>
        </m:r>
        <m:r>
          <m:rPr>
            <m:sty m:val="p"/>
          </m:rPr>
          <m:t>,</m:t>
        </m:r>
        <m:r>
          <m:t>85</m:t>
        </m:r>
        <m:r>
          <m:rPr>
            <m:sty m:val="p"/>
          </m:rPr>
          <m:t>×</m:t>
        </m:r>
        <m:r>
          <m:t>300</m:t>
        </m:r>
        <m:r>
          <m:rPr>
            <m:sty m:val="p"/>
          </m:rPr>
          <m:t>=</m:t>
        </m:r>
        <m:r>
          <m:rPr>
            <m:nor/>
            <m:sty m:val="p"/>
          </m:rPr>
          <m:t>R$</m:t>
        </m:r>
        <m:r>
          <m:t>255.000</m:t>
        </m:r>
      </m:oMath>
      <w:r>
        <w:t xml:space="preserve">/mês.</w:t>
      </w:r>
    </w:p>
    <w:p>
      <w:pPr>
        <w:pStyle w:val="Compact"/>
        <w:numPr>
          <w:ilvl w:val="0"/>
          <w:numId w:val="1397"/>
        </w:numPr>
      </w:pPr>
      <w:r>
        <w:t xml:space="preserve">Aumento:</w:t>
      </w:r>
      <w:r>
        <w:t xml:space="preserve"> </w:t>
      </w:r>
      <m:oMath>
        <m:r>
          <m:t>255.000</m:t>
        </m:r>
        <m:r>
          <m:rPr>
            <m:sty m:val="p"/>
          </m:rPr>
          <m:t>−</m:t>
        </m:r>
        <m:r>
          <m:t>120.000</m:t>
        </m:r>
        <m:r>
          <m:rPr>
            <m:sty m:val="p"/>
          </m:rPr>
          <m:t>=</m:t>
        </m:r>
        <m:r>
          <m:rPr>
            <m:nor/>
            <m:sty m:val="p"/>
          </m:rPr>
          <m:t>R$</m:t>
        </m:r>
        <m:r>
          <m:t>135.000</m:t>
        </m:r>
      </m:oMath>
      <w:r>
        <w:t xml:space="preserve">/mês (+112,5%).</w:t>
      </w:r>
    </w:p>
    <w:p>
      <w:pPr>
        <w:pStyle w:val="BlockText"/>
      </w:pPr>
      <w:r>
        <w:rPr>
          <w:b/>
          <w:bCs/>
        </w:rPr>
        <w:t xml:space="preserve">Passo 2 — Funcionários</w:t>
      </w:r>
      <w:r>
        <w:rPr>
          <w:b/>
          <w:bCs/>
        </w:rPr>
        <w:t xml:space="preserve"> </w:t>
      </w:r>
      <w:r>
        <w:rPr>
          <w:b/>
          <w:bCs/>
        </w:rPr>
        <w:t xml:space="preserve">“nudgeados”</w:t>
      </w:r>
      <w:r>
        <w:rPr>
          <w:b/>
          <w:bCs/>
        </w:rPr>
        <w:t xml:space="preserve"> </w:t>
      </w:r>
      <w:r>
        <w:rPr>
          <w:b/>
          <w:bCs/>
        </w:rPr>
        <w:t xml:space="preserve">na direção errada</w:t>
      </w:r>
    </w:p>
    <w:p>
      <w:pPr>
        <w:pStyle w:val="BlockText"/>
      </w:pPr>
      <w:r>
        <w:t xml:space="preserve">Novos aderentes por inércia:</w:t>
      </w:r>
      <w:r>
        <w:t xml:space="preserve"> </w:t>
      </w:r>
      <m:oMath>
        <m:r>
          <m:t>850</m:t>
        </m:r>
        <m:r>
          <m:rPr>
            <m:sty m:val="p"/>
          </m:rPr>
          <m:t>−</m:t>
        </m:r>
        <m:r>
          <m:t>400</m:t>
        </m:r>
        <m:r>
          <m:rPr>
            <m:sty m:val="p"/>
          </m:rPr>
          <m:t>=</m:t>
        </m:r>
        <m:r>
          <m:t>450</m:t>
        </m:r>
      </m:oMath>
      <w:r>
        <w:t xml:space="preserve"> </w:t>
      </w:r>
      <w:r>
        <w:t xml:space="preserve">funcionários.</w:t>
      </w:r>
      <w:r>
        <w:t xml:space="preserve"> </w:t>
      </w:r>
      <w:r>
        <w:t xml:space="preserve">Desses, 20% prefeririam não participar:</w:t>
      </w:r>
      <w:r>
        <w:t xml:space="preserve"> </w:t>
      </w:r>
      <m:oMath>
        <m:r>
          <m:t>450</m:t>
        </m:r>
        <m:r>
          <m:rPr>
            <m:sty m:val="p"/>
          </m:rPr>
          <m:t>×</m:t>
        </m:r>
        <m:r>
          <m:t>0</m:t>
        </m:r>
        <m:r>
          <m:rPr>
            <m:sty m:val="p"/>
          </m:rPr>
          <m:t>,</m:t>
        </m:r>
        <m:r>
          <m:t>20</m:t>
        </m:r>
        <m:r>
          <m:rPr>
            <m:sty m:val="p"/>
          </m:rPr>
          <m:t>=</m:t>
        </m:r>
        <m:r>
          <m:t>90</m:t>
        </m:r>
      </m:oMath>
      <w:r>
        <w:t xml:space="preserve"> </w:t>
      </w:r>
      <w:r>
        <w:t xml:space="preserve">funcionários.</w:t>
      </w:r>
    </w:p>
    <w:p>
      <w:pPr>
        <w:pStyle w:val="BlockText"/>
      </w:pPr>
      <w:r>
        <w:rPr>
          <w:b/>
          <w:bCs/>
        </w:rPr>
        <w:t xml:space="preserve">Resultado:</w:t>
      </w:r>
      <w:r>
        <w:t xml:space="preserve"> </w:t>
      </w:r>
      <w:r>
        <w:t xml:space="preserve">A mudança de</w:t>
      </w:r>
      <w:r>
        <w:t xml:space="preserve"> </w:t>
      </w:r>
      <w:r>
        <w:rPr>
          <w:i/>
          <w:iCs/>
        </w:rPr>
        <w:t xml:space="preserve">default</w:t>
      </w:r>
      <w:r>
        <w:t xml:space="preserve"> </w:t>
      </w:r>
      <w:r>
        <w:t xml:space="preserve">eleva a contribuição agregada em R$ 135.000/mês, mas 90 funcionários (9% do total) permanecem no plano contra suas preferências reveladas.</w:t>
      </w:r>
    </w:p>
    <w:p>
      <w:pPr>
        <w:pStyle w:val="BlockText"/>
      </w:pPr>
      <w:r>
        <w:rPr>
          <w:b/>
          <w:bCs/>
        </w:rPr>
        <w:t xml:space="preserve">Interpretação econômica:</w:t>
      </w:r>
      <w:r>
        <w:t xml:space="preserve"> </w:t>
      </w:r>
      <w:r>
        <w:t xml:space="preserve">O exercício ilustra o</w:t>
      </w:r>
      <w:r>
        <w:t xml:space="preserve"> </w:t>
      </w:r>
      <w:r>
        <w:rPr>
          <w:i/>
          <w:iCs/>
        </w:rPr>
        <w:t xml:space="preserve">trade-off</w:t>
      </w:r>
      <w:r>
        <w:t xml:space="preserve"> </w:t>
      </w:r>
      <w:r>
        <w:t xml:space="preserve">fundamental dos nudges: o ganho agregado é substancial, mas não é isento de custos. Os 90 funcionários</w:t>
      </w:r>
      <w:r>
        <w:t xml:space="preserve"> </w:t>
      </w:r>
      <w:r>
        <w:t xml:space="preserve">“nudgeados”</w:t>
      </w:r>
      <w:r>
        <w:t xml:space="preserve"> </w:t>
      </w:r>
      <w:r>
        <w:t xml:space="preserve">na direção errada representam a heterogeneidade de preferências que limita a eficácia de qualquer nudge universal. Políticas bem desenhadas minimizam esse custo tornando o</w:t>
      </w:r>
      <w:r>
        <w:t xml:space="preserve"> </w:t>
      </w:r>
      <w:r>
        <w:rPr>
          <w:i/>
          <w:iCs/>
        </w:rPr>
        <w:t xml:space="preserve">opt-out</w:t>
      </w:r>
      <w:r>
        <w:t xml:space="preserve"> </w:t>
      </w:r>
      <w:r>
        <w:t xml:space="preserve">simples e visível — como faz a Funpresp no serviço público federal brasileiro.</w:t>
      </w:r>
    </w:p>
    <w:bookmarkEnd w:id="393"/>
    <w:bookmarkStart w:id="394" w:name="limites-e-críticas"/>
    <w:p>
      <w:pPr>
        <w:pStyle w:val="Heading4"/>
      </w:pPr>
      <w:r>
        <w:t xml:space="preserve">8.6.3 Limites e críticas</w:t>
      </w:r>
    </w:p>
    <w:p>
      <w:pPr>
        <w:pStyle w:val="FirstParagraph"/>
      </w:pPr>
      <w:r>
        <w:t xml:space="preserve">Os nudges oferecem um arsenal valioso, mas é essencial evitar o entusiasmo excessivo. Como toda ferramenta, eles têm limitações — e ignorá-las pode comprometer tanto sua eficácia quanto sua legitimidade.</w:t>
      </w:r>
    </w:p>
    <w:p>
      <w:pPr>
        <w:pStyle w:val="BodyText"/>
      </w:pPr>
      <w:r>
        <w:t xml:space="preserve">A economia comportamental e os nudges não são panaceias:</w:t>
      </w:r>
    </w:p>
    <w:p>
      <w:pPr>
        <w:pStyle w:val="Compact"/>
        <w:numPr>
          <w:ilvl w:val="0"/>
          <w:numId w:val="1398"/>
        </w:numPr>
      </w:pPr>
      <w:r>
        <w:rPr>
          <w:b/>
          <w:bCs/>
        </w:rPr>
        <w:t xml:space="preserve">Heterogeneidade de preferências.</w:t>
      </w:r>
      <w:r>
        <w:t xml:space="preserve"> </w:t>
      </w:r>
      <w:r>
        <w:t xml:space="preserve">O nudge</w:t>
      </w:r>
      <w:r>
        <w:t xml:space="preserve"> </w:t>
      </w:r>
      <w:r>
        <w:t xml:space="preserve">“certo”</w:t>
      </w:r>
      <w:r>
        <w:t xml:space="preserve"> </w:t>
      </w:r>
      <w:r>
        <w:t xml:space="preserve">para a maioria pode prejudicar uma minoria com preferências legítimas diferentes.</w:t>
      </w:r>
    </w:p>
    <w:p>
      <w:pPr>
        <w:pStyle w:val="Compact"/>
        <w:numPr>
          <w:ilvl w:val="0"/>
          <w:numId w:val="1398"/>
        </w:numPr>
      </w:pPr>
      <w:r>
        <w:rPr>
          <w:b/>
          <w:bCs/>
        </w:rPr>
        <w:t xml:space="preserve">Manipulação.</w:t>
      </w:r>
      <w:r>
        <w:t xml:space="preserve"> </w:t>
      </w:r>
      <w:r>
        <w:t xml:space="preserve">A fronteira entre nudge benevolente e manipulação (</w:t>
      </w:r>
      <w:r>
        <w:rPr>
          <w:i/>
          <w:iCs/>
        </w:rPr>
        <w:t xml:space="preserve">sludge</w:t>
      </w:r>
      <w:r>
        <w:t xml:space="preserve">) depende da intenção do arquiteto de escolhas — e essa intenção nem sempre é transparente.</w:t>
      </w:r>
    </w:p>
    <w:p>
      <w:pPr>
        <w:pStyle w:val="Compact"/>
        <w:numPr>
          <w:ilvl w:val="0"/>
          <w:numId w:val="1398"/>
        </w:numPr>
      </w:pPr>
      <w:r>
        <w:rPr>
          <w:b/>
          <w:bCs/>
        </w:rPr>
        <w:t xml:space="preserve">Persistência.</w:t>
      </w:r>
      <w:r>
        <w:t xml:space="preserve"> </w:t>
      </w:r>
      <w:r>
        <w:t xml:space="preserve">Muitos nudges perdem eficácia com o tempo, à medida que os agentes se habituam.</w:t>
      </w:r>
    </w:p>
    <w:p>
      <w:pPr>
        <w:pStyle w:val="Compact"/>
        <w:numPr>
          <w:ilvl w:val="0"/>
          <w:numId w:val="1398"/>
        </w:numPr>
      </w:pPr>
      <w:r>
        <w:rPr>
          <w:b/>
          <w:bCs/>
        </w:rPr>
        <w:t xml:space="preserve">Problemas estruturais.</w:t>
      </w:r>
      <w:r>
        <w:t xml:space="preserve"> </w:t>
      </w:r>
      <w:r>
        <w:t xml:space="preserve">Nudges são complementos, não substitutos, de políticas públicas robustas. Nenhum nudge compensa salários insuficientes ou ausência de acesso a serviços financeiros.</w:t>
      </w:r>
    </w:p>
    <w:p>
      <w:pPr>
        <w:pStyle w:val="FirstParagraph"/>
      </w:pPr>
      <w:r>
        <w:t xml:space="preserve">O conceito de</w:t>
      </w:r>
      <w:r>
        <w:t xml:space="preserve"> </w:t>
      </w:r>
      <w:r>
        <w:rPr>
          <w:b/>
          <w:bCs/>
          <w:i/>
          <w:iCs/>
        </w:rPr>
        <w:t xml:space="preserve">sludge</w:t>
      </w:r>
      <w:r>
        <w:t xml:space="preserve"> </w:t>
      </w:r>
      <w:r>
        <w:t xml:space="preserve">— introduzido por Thaler e Sunstein — é particularmente relevante: enquanto nudges tornam comportamentos desejáveis mais fáceis, sludges são obstáculos burocráticos desnecessários que tornam comportamentos desejáveis mais difíceis. Formulários complexos, filas longas, requisitos de documentação excessivos e processos de</w:t>
      </w:r>
      <w:r>
        <w:t xml:space="preserve"> </w:t>
      </w:r>
      <w:r>
        <w:rPr>
          <w:i/>
          <w:iCs/>
        </w:rPr>
        <w:t xml:space="preserve">opt-out</w:t>
      </w:r>
      <w:r>
        <w:t xml:space="preserve"> </w:t>
      </w:r>
      <w:r>
        <w:t xml:space="preserve">deliberadamente difíceis são exemplos de sludge. A distinção entre nudge e sludge é normativa — depende de quem define o que é</w:t>
      </w:r>
      <w:r>
        <w:t xml:space="preserve"> </w:t>
      </w:r>
      <w:r>
        <w:t xml:space="preserve">“desejável”</w:t>
      </w:r>
      <w:r>
        <w:t xml:space="preserve"> </w:t>
      </w:r>
      <w:r>
        <w:t xml:space="preserve">—, e críticos apontam que governos e empresas frequentemente usam sludges para desviar os cidadãos de direitos e benefícios que seriam custosos para o Estado ou para a firma. A campanha de simplificação burocrática empreendida pelo governo federal brasileiro nos últimos anos — com a criação da Redesim para abertura de empresas e o Portal Gov.br para centralizar serviços digitais — é parcialmente uma estratégia de redução de sludge: ao tornar o acesso a serviços públicos mais rápido e fácil, remove-se uma barreira ao comportamento</w:t>
      </w:r>
      <w:r>
        <w:t xml:space="preserve"> </w:t>
      </w:r>
      <w:r>
        <w:t xml:space="preserve">“desejável”</w:t>
      </w:r>
      <w:r>
        <w:t xml:space="preserve"> </w:t>
      </w:r>
      <w:r>
        <w:t xml:space="preserve">(formalização, acesso a benefícios).</w:t>
      </w:r>
    </w:p>
    <w:p>
      <w:pPr>
        <w:pStyle w:val="BodyText"/>
      </w:pPr>
      <w:r>
        <w:t xml:space="preserve">Uma crítica mais profunda vem da perspectiva normativa. O paternalismo libertário assume que existe um</w:t>
      </w:r>
      <w:r>
        <w:t xml:space="preserve"> </w:t>
      </w:r>
      <w:r>
        <w:t xml:space="preserve">“eu verdadeiro”</w:t>
      </w:r>
      <w:r>
        <w:t xml:space="preserve"> </w:t>
      </w:r>
      <w:r>
        <w:t xml:space="preserve">cujas preferências de longo prazo devem ser favorecidas em relação às preferências de curto prazo. Mas quem decide quais são as preferências</w:t>
      </w:r>
      <w:r>
        <w:t xml:space="preserve"> </w:t>
      </w:r>
      <w:r>
        <w:t xml:space="preserve">“verdadeiras”</w:t>
      </w:r>
      <w:r>
        <w:t xml:space="preserve">? Esse problema — às vezes chamado de o problema do</w:t>
      </w:r>
      <w:r>
        <w:t xml:space="preserve"> </w:t>
      </w:r>
      <w:r>
        <w:rPr>
          <w:i/>
          <w:iCs/>
        </w:rPr>
        <w:t xml:space="preserve">arquiteto sábio</w:t>
      </w:r>
      <w:r>
        <w:t xml:space="preserve"> </w:t>
      </w:r>
      <w:r>
        <w:t xml:space="preserve">— é a objeção filosófica central a toda a agenda de nudges. Camerer et al. (2003) propuseram uma versão mais modesta: o</w:t>
      </w:r>
      <w:r>
        <w:t xml:space="preserve"> </w:t>
      </w:r>
      <w:r>
        <w:rPr>
          <w:b/>
          <w:bCs/>
        </w:rPr>
        <w:t xml:space="preserve">paternalismo assimétrico</w:t>
      </w:r>
      <w:r>
        <w:t xml:space="preserve">, que intervém apenas quando o custo da intervenção para agentes totalmente racionais é baixo, mas o benefício para agentes com vieses é alto. Essa versão é mais defensável filosoficamente, mas também mais difícil de implementar na prática.</w:t>
      </w:r>
    </w:p>
    <w:p>
      <w:pPr>
        <w:pStyle w:val="BlockText"/>
      </w:pPr>
      <w:r>
        <w:rPr>
          <w:b/>
          <w:bCs/>
        </w:rPr>
        <w:t xml:space="preserve">[BOX BRASIL] Box Brasil 8.7: CPF na nota e previdência complementar: nudges brasileiros</w:t>
      </w:r>
    </w:p>
    <w:p>
      <w:pPr>
        <w:pStyle w:val="BlockText"/>
      </w:pPr>
      <w:r>
        <w:t xml:space="preserve">O Brasil dispõe de dois exemplos marcantes do poder dos nudges em políticas públicas. O primeiro é o programa</w:t>
      </w:r>
      <w:r>
        <w:t xml:space="preserve"> </w:t>
      </w:r>
      <w:r>
        <w:rPr>
          <w:b/>
          <w:bCs/>
        </w:rPr>
        <w:t xml:space="preserve">Nota Fiscal Paulista</w:t>
      </w:r>
      <w:r>
        <w:t xml:space="preserve"> </w:t>
      </w:r>
      <w:r>
        <w:t xml:space="preserve">(São Paulo, 2008), depois replicado em outros estados sob o nome</w:t>
      </w:r>
      <w:r>
        <w:t xml:space="preserve"> </w:t>
      </w:r>
      <w:r>
        <w:t xml:space="preserve">“CPF na nota”</w:t>
      </w:r>
      <w:r>
        <w:t xml:space="preserve">: ao incluir o CPF nas notas fiscais, os consumidores recebem créditos e participam de sorteios, tornando-se fiscalizadores involuntários da evasão fiscal. Do ponto de vista comportamental, o programa explora a</w:t>
      </w:r>
      <w:r>
        <w:t xml:space="preserve"> </w:t>
      </w:r>
      <w:r>
        <w:rPr>
          <w:i/>
          <w:iCs/>
        </w:rPr>
        <w:t xml:space="preserve">sobrevalorização de eventos raros</w:t>
      </w:r>
      <w:r>
        <w:t xml:space="preserve"> </w:t>
      </w:r>
      <w:r>
        <w:t xml:space="preserve">(a chance de ganhar num sorteio) para induzir um comportamento — exigir nota fiscal — que tem externalidade positiva sobre a arrecadação tributária. A Secretaria da Fazenda de São Paulo reportou queda significativa na informalidade comercial nas regiões de maior adesão ao programa. O segundo exemplo é a</w:t>
      </w:r>
      <w:r>
        <w:t xml:space="preserve"> </w:t>
      </w:r>
      <w:r>
        <w:rPr>
          <w:b/>
          <w:bCs/>
        </w:rPr>
        <w:t xml:space="preserve">Funpresp</w:t>
      </w:r>
      <w:r>
        <w:t xml:space="preserve">, o regime de previdência complementar dos servidores públicos federais criado pela Emenda Constitucional nº 41/2003 e regulamentado em 2012. Novos servidores enquadrados no regime são automaticamente inscritos no plano com contribuição-padrão de 8,5% da parcela remuneratória acima do teto do RGPS, podendo fazer</w:t>
      </w:r>
      <w:r>
        <w:t xml:space="preserve"> </w:t>
      </w:r>
      <w:r>
        <w:rPr>
          <w:i/>
          <w:iCs/>
        </w:rPr>
        <w:t xml:space="preserve">opt-out</w:t>
      </w:r>
      <w:r>
        <w:t xml:space="preserve">. A adesão automática explora o viés do</w:t>
      </w:r>
      <w:r>
        <w:t xml:space="preserve"> </w:t>
      </w:r>
      <w:r>
        <w:rPr>
          <w:i/>
          <w:iCs/>
        </w:rPr>
        <w:t xml:space="preserve">status quo</w:t>
      </w:r>
      <w:r>
        <w:t xml:space="preserve"> </w:t>
      </w:r>
      <w:r>
        <w:t xml:space="preserve">e o viés do presente: ao remover a necessidade de ação ativa, o</w:t>
      </w:r>
      <w:r>
        <w:t xml:space="preserve"> </w:t>
      </w:r>
      <w:r>
        <w:rPr>
          <w:i/>
          <w:iCs/>
        </w:rPr>
        <w:t xml:space="preserve">default</w:t>
      </w:r>
      <w:r>
        <w:t xml:space="preserve"> </w:t>
      </w:r>
      <w:r>
        <w:t xml:space="preserve">supera a procrastinação que levaria muitos servidores a adiar indefinidamente a decisão de aderir. Estudos de adesão à Funpresp mostram taxas de participação substancialmente acima das previstas para um regime de</w:t>
      </w:r>
      <w:r>
        <w:t xml:space="preserve"> </w:t>
      </w:r>
      <w:r>
        <w:rPr>
          <w:i/>
          <w:iCs/>
        </w:rPr>
        <w:t xml:space="preserve">opt-in</w:t>
      </w:r>
      <w:r>
        <w:t xml:space="preserve"> </w:t>
      </w:r>
      <w:r>
        <w:t xml:space="preserve">equivalente.</w:t>
      </w:r>
    </w:p>
    <w:p>
      <w:pPr>
        <w:pStyle w:val="BlockText"/>
      </w:pPr>
      <w:r>
        <w:rPr>
          <w:b/>
          <w:bCs/>
        </w:rPr>
        <w:t xml:space="preserve">[BOX BRASIL] Box Brasil 8.8: Nudges em políticas públicas federais</w:t>
      </w:r>
    </w:p>
    <w:p>
      <w:pPr>
        <w:pStyle w:val="BlockText"/>
      </w:pPr>
      <w:r>
        <w:t xml:space="preserve">O governo federal brasileiro tem incorporado gradualmente princípios de economia comportamental em políticas públicas. A rotulagem frontal com</w:t>
      </w:r>
      <w:r>
        <w:t xml:space="preserve"> </w:t>
      </w:r>
      <w:r>
        <w:rPr>
          <w:b/>
          <w:bCs/>
        </w:rPr>
        <w:t xml:space="preserve">lupa de advertência</w:t>
      </w:r>
      <w:r>
        <w:t xml:space="preserve"> </w:t>
      </w:r>
      <w:r>
        <w:t xml:space="preserve">da Anvisa (2022), para alimentos ricos em açúcar, gordura saturada e sódio, é um nudge clássico de saliência: destaca a informação mais relevante no momento da decisão de compra. O Programa Nacional de Imunizações (PNI) utiliza lembretes por SMS e notificações via aplicativo do SUS para aumentar a adesão a campanhas de vacinação — um exemplo de feedback e saliência. No sistema financeiro, o</w:t>
      </w:r>
      <w:r>
        <w:t xml:space="preserve"> </w:t>
      </w:r>
      <w:r>
        <w:rPr>
          <w:i/>
          <w:iCs/>
        </w:rPr>
        <w:t xml:space="preserve">Open Finance</w:t>
      </w:r>
      <w:r>
        <w:t xml:space="preserve"> </w:t>
      </w:r>
      <w:r>
        <w:t xml:space="preserve">do Banco Central (implementado a partir de 2021) facilita a comparação de produtos financeiros entre instituições, reduzindo a ancoragem ao banco de relacionamento e combatendo a inércia do</w:t>
      </w:r>
      <w:r>
        <w:t xml:space="preserve"> </w:t>
      </w:r>
      <w:r>
        <w:rPr>
          <w:i/>
          <w:iCs/>
        </w:rPr>
        <w:t xml:space="preserve">status quo</w:t>
      </w:r>
      <w:r>
        <w:t xml:space="preserve"> </w:t>
      </w:r>
      <w:r>
        <w:t xml:space="preserve">via portabilidade simplificada de crédito.</w:t>
      </w:r>
    </w:p>
    <w:p>
      <w:pPr>
        <w:pStyle w:val="BlockText"/>
      </w:pPr>
      <w:r>
        <w:rPr>
          <w:b/>
          <w:bCs/>
        </w:rPr>
        <w:t xml:space="preserve">[BOX MUNDO] Box Mundo 8.2 — Unidades de nudge ao redor do mundo</w:t>
      </w:r>
    </w:p>
    <w:p>
      <w:pPr>
        <w:pStyle w:val="BlockText"/>
      </w:pPr>
      <w:r>
        <w:rPr>
          <w:b/>
          <w:bCs/>
        </w:rPr>
        <w:t xml:space="preserve">Contexto:</w:t>
      </w:r>
      <w:r>
        <w:t xml:space="preserve"> </w:t>
      </w:r>
      <w:r>
        <w:t xml:space="preserve">A economia comportamental saiu dos laboratórios universitários e entrou nos gabinetes de governo. A partir de 2010, diversos países criaram unidades governamentais dedicadas a aplicar insights comportamentais ao desenho de políticas públicas — as chamadas</w:t>
      </w:r>
      <w:r>
        <w:t xml:space="preserve"> </w:t>
      </w:r>
      <w:r>
        <w:rPr>
          <w:i/>
          <w:iCs/>
        </w:rPr>
        <w:t xml:space="preserve">nudge units</w:t>
      </w:r>
      <w:r>
        <w:t xml:space="preserve"> </w:t>
      </w:r>
      <w:r>
        <w:t xml:space="preserve">ou</w:t>
      </w:r>
      <w:r>
        <w:t xml:space="preserve"> </w:t>
      </w:r>
      <w:r>
        <w:rPr>
          <w:i/>
          <w:iCs/>
        </w:rPr>
        <w:t xml:space="preserve">behavioural insights teams</w:t>
      </w:r>
      <w:r>
        <w:t xml:space="preserve">. Esse movimento representa talvez a mais rápida transferência de conhecimento da pesquisa acadêmica básica para a implementação de políticas na história da economia: menos de quatro décadas separam os artigos seminais de Kahneman e Tversky da institucionalização de seus achados em estruturas permanentes de governo.</w:t>
      </w:r>
    </w:p>
    <w:p>
      <w:pPr>
        <w:pStyle w:val="BlockText"/>
      </w:pPr>
      <w:r>
        <w:rPr>
          <w:b/>
          <w:bCs/>
        </w:rPr>
        <w:t xml:space="preserve">Dados:</w:t>
      </w:r>
      <w:r>
        <w:t xml:space="preserve"> </w:t>
      </w:r>
      <w:r>
        <w:t xml:space="preserve">O pioneiro foi o</w:t>
      </w:r>
      <w:r>
        <w:t xml:space="preserve"> </w:t>
      </w:r>
      <w:r>
        <w:rPr>
          <w:b/>
          <w:bCs/>
        </w:rPr>
        <w:t xml:space="preserve">Behavioural Insights Team</w:t>
      </w:r>
      <w:r>
        <w:t xml:space="preserve"> </w:t>
      </w:r>
      <w:r>
        <w:t xml:space="preserve">(BIT) do Reino Unido, criado em 2010 dentro do gabinete do Primeiro-Ministro David Cameron. O BIT demonstrou, por meio de ensaios controlados randomizados (</w:t>
      </w:r>
      <w:r>
        <w:rPr>
          <w:i/>
          <w:iCs/>
        </w:rPr>
        <w:t xml:space="preserve">RCTs</w:t>
      </w:r>
      <w:r>
        <w:t xml:space="preserve">), que pequenas alterações na redação de cartas de cobrança fiscal (incluindo a frase</w:t>
      </w:r>
      <w:r>
        <w:t xml:space="preserve"> </w:t>
      </w:r>
      <w:r>
        <w:t xml:space="preserve">“a maioria das pessoas em sua região já pagou seus impostos”</w:t>
      </w:r>
      <w:r>
        <w:t xml:space="preserve">) elevavam a taxa de pagamento em até 5 pontos percentuais — gerando milhões de libras adicionais em arrecadação sem qualquer alteração legislativa. Nos Estados Unidos, o</w:t>
      </w:r>
      <w:r>
        <w:t xml:space="preserve"> </w:t>
      </w:r>
      <w:r>
        <w:rPr>
          <w:b/>
          <w:bCs/>
        </w:rPr>
        <w:t xml:space="preserve">Social and Behavioral Sciences Team</w:t>
      </w:r>
      <w:r>
        <w:t xml:space="preserve"> </w:t>
      </w:r>
      <w:r>
        <w:t xml:space="preserve">(SBST), criado em 2015 por decreto executivo de Barack Obama, conduziu mais de 30 projetos piloto em áreas como adesão a programas de aposentadoria, inscrição em planos de saúde e acesso a benefícios de veteranos. Na área de doação de órgãos, a mudança do regime de</w:t>
      </w:r>
      <w:r>
        <w:t xml:space="preserve"> </w:t>
      </w:r>
      <w:r>
        <w:rPr>
          <w:i/>
          <w:iCs/>
        </w:rPr>
        <w:t xml:space="preserve">opt-in</w:t>
      </w:r>
      <w:r>
        <w:t xml:space="preserve"> </w:t>
      </w:r>
      <w:r>
        <w:t xml:space="preserve">(consentimento explícito) para</w:t>
      </w:r>
      <w:r>
        <w:t xml:space="preserve"> </w:t>
      </w:r>
      <w:r>
        <w:rPr>
          <w:i/>
          <w:iCs/>
        </w:rPr>
        <w:t xml:space="preserve">opt-out</w:t>
      </w:r>
      <w:r>
        <w:t xml:space="preserve"> </w:t>
      </w:r>
      <w:r>
        <w:t xml:space="preserve">(consentimento presumido) produziu resultados dramáticos: países com</w:t>
      </w:r>
      <w:r>
        <w:t xml:space="preserve"> </w:t>
      </w:r>
      <w:r>
        <w:rPr>
          <w:i/>
          <w:iCs/>
        </w:rPr>
        <w:t xml:space="preserve">opt-out</w:t>
      </w:r>
      <w:r>
        <w:t xml:space="preserve">, como Áustria e Espanha, apresentam taxas de consentimento superiores a 90%, enquanto países com</w:t>
      </w:r>
      <w:r>
        <w:t xml:space="preserve"> </w:t>
      </w:r>
      <w:r>
        <w:rPr>
          <w:i/>
          <w:iCs/>
        </w:rPr>
        <w:t xml:space="preserve">opt-in</w:t>
      </w:r>
      <w:r>
        <w:t xml:space="preserve">, como Alemanha e Dinamarca, ficam abaixo de 20% (Johnson &amp; Goldstein, 2003). No campo previdenciário, Madrian e Shea (2001) documentaram que a inscrição automática (</w:t>
      </w:r>
      <w:r>
        <w:rPr>
          <w:i/>
          <w:iCs/>
        </w:rPr>
        <w:t xml:space="preserve">auto-enrollment</w:t>
      </w:r>
      <w:r>
        <w:t xml:space="preserve">) em planos 401(k) nos EUA elevou a participação de 49% para 86% entre novos empregados — um efeito atribuído ao viés do</w:t>
      </w:r>
      <w:r>
        <w:t xml:space="preserve"> </w:t>
      </w:r>
      <w:r>
        <w:rPr>
          <w:i/>
          <w:iCs/>
        </w:rPr>
        <w:t xml:space="preserve">status quo</w:t>
      </w:r>
      <w:r>
        <w:t xml:space="preserve"> </w:t>
      </w:r>
      <w:r>
        <w:t xml:space="preserve">e à inércia decisória.</w:t>
      </w:r>
    </w:p>
    <w:p>
      <w:pPr>
        <w:pStyle w:val="BlockText"/>
      </w:pPr>
      <w:r>
        <w:rPr>
          <w:b/>
          <w:bCs/>
        </w:rPr>
        <w:t xml:space="preserve">Análise:</w:t>
      </w:r>
      <w:r>
        <w:t xml:space="preserve"> </w:t>
      </w:r>
      <w:r>
        <w:t xml:space="preserve">A OCDE mantém, desde 2017, a</w:t>
      </w:r>
      <w:r>
        <w:t xml:space="preserve"> </w:t>
      </w:r>
      <w:r>
        <w:rPr>
          <w:i/>
          <w:iCs/>
        </w:rPr>
        <w:t xml:space="preserve">Behavioural Insights and Public Policy Network</w:t>
      </w:r>
      <w:r>
        <w:t xml:space="preserve">, que reúne mais de 200 instituições em 60 países aplicando economia comportamental a políticas públicas. O sucesso dessas iniciativas valida empiricamente a premissa central da Seção 8.6: quando os vieses são sistemáticos e previsíveis, é possível redesenhar a</w:t>
      </w:r>
      <w:r>
        <w:t xml:space="preserve"> </w:t>
      </w:r>
      <w:r>
        <w:t xml:space="preserve">“arquitetura de escolhas”</w:t>
      </w:r>
      <w:r>
        <w:t xml:space="preserve"> </w:t>
      </w:r>
      <w:r>
        <w:t xml:space="preserve">de modo a melhorar os resultados sem restringir a liberdade. Contudo, a evidência também revela limites. Os efeitos dos nudges tendem a ser modestos em magnitude (tipicamente 1 a 10 pontos percentuais), podem decair ao longo do tempo (</w:t>
      </w:r>
      <w:r>
        <w:rPr>
          <w:i/>
          <w:iCs/>
        </w:rPr>
        <w:t xml:space="preserve">decay effect</w:t>
      </w:r>
      <w:r>
        <w:t xml:space="preserve">) e funcionam melhor para decisões pontuais (pagar um imposto, inscrever-se num plano) do que para mudanças comportamentais persistentes (perder peso, reduzir consumo de energia). Além disso, o debate ético sobre paternalismo libertário ganha urgência à medida que os governos expandem o uso de nudges: quem define o que é o</w:t>
      </w:r>
      <w:r>
        <w:t xml:space="preserve"> </w:t>
      </w:r>
      <w:r>
        <w:t xml:space="preserve">“bom comportamento”</w:t>
      </w:r>
      <w:r>
        <w:t xml:space="preserve"> </w:t>
      </w:r>
      <w:r>
        <w:t xml:space="preserve">que o nudge deve promover?</w:t>
      </w:r>
    </w:p>
    <w:p>
      <w:pPr>
        <w:pStyle w:val="BlockText"/>
      </w:pPr>
      <w:r>
        <w:rPr>
          <w:b/>
          <w:bCs/>
        </w:rPr>
        <w:t xml:space="preserve">Fonte:</w:t>
      </w:r>
      <w:r>
        <w:t xml:space="preserve"> </w:t>
      </w:r>
      <w:r>
        <w:t xml:space="preserve">Thaler, R. H.; Sunstein, C. R. (2008).</w:t>
      </w:r>
      <w:r>
        <w:t xml:space="preserve"> </w:t>
      </w:r>
      <w:r>
        <w:rPr>
          <w:i/>
          <w:iCs/>
        </w:rPr>
        <w:t xml:space="preserve">Nudge: Improving Decisions about Health, Wealth, and Happiness</w:t>
      </w:r>
      <w:r>
        <w:t xml:space="preserve">. New Haven: Yale University Press. Johnson, E. J.; Goldstein, D. (2003).</w:t>
      </w:r>
      <w:r>
        <w:t xml:space="preserve"> </w:t>
      </w:r>
      <w:r>
        <w:t xml:space="preserve">“Do Defaults Save Lives?”</w:t>
      </w:r>
      <w:r>
        <w:t xml:space="preserve"> </w:t>
      </w:r>
      <w:r>
        <w:rPr>
          <w:i/>
          <w:iCs/>
        </w:rPr>
        <w:t xml:space="preserve">Science</w:t>
      </w:r>
      <w:r>
        <w:t xml:space="preserve">, 302(5649), 1338–1339. Madrian, B. C.; Shea, D. F. (2001).</w:t>
      </w:r>
      <w:r>
        <w:t xml:space="preserve"> </w:t>
      </w:r>
      <w:r>
        <w:t xml:space="preserve">“The Power of Suggestion: Inertia in 401(k) Participation and Savings Behavior.”</w:t>
      </w:r>
      <w:r>
        <w:t xml:space="preserve"> </w:t>
      </w:r>
      <w:r>
        <w:rPr>
          <w:i/>
          <w:iCs/>
        </w:rPr>
        <w:t xml:space="preserve">Quarterly Journal of Economics</w:t>
      </w:r>
      <w:r>
        <w:t xml:space="preserve">, 116(4), 1149–1187. OECD (2017).</w:t>
      </w:r>
      <w:r>
        <w:t xml:space="preserve"> </w:t>
      </w:r>
      <w:r>
        <w:rPr>
          <w:i/>
          <w:iCs/>
        </w:rPr>
        <w:t xml:space="preserve">Behavioural Insights and Public Policy: Lessons from Around the World</w:t>
      </w:r>
      <w:r>
        <w:t xml:space="preserve">. Paris: OECD Publishing.</w:t>
      </w:r>
    </w:p>
    <w:p>
      <w:r>
        <w:pict>
          <v:rect style="width:0;height:1.5pt" o:hralign="center" o:hrstd="t" o:hr="t"/>
        </w:pict>
      </w:r>
    </w:p>
    <w:p>
      <w:pPr>
        <w:pStyle w:val="FirstParagraph"/>
      </w:pPr>
      <w:r>
        <w:t xml:space="preserve">Se este capítulo fez seu trabalho, você sai com três convicções:</w:t>
      </w:r>
    </w:p>
    <w:p>
      <w:pPr>
        <w:pStyle w:val="Compact"/>
        <w:numPr>
          <w:ilvl w:val="0"/>
          <w:numId w:val="1399"/>
        </w:numPr>
      </w:pPr>
      <w:r>
        <w:rPr>
          <w:b/>
          <w:bCs/>
        </w:rPr>
        <w:t xml:space="preserve">Vieses não são ruído — são sinal.</w:t>
      </w:r>
      <w:r>
        <w:t xml:space="preserve"> </w:t>
      </w:r>
      <w:r>
        <w:t xml:space="preserve">Os desvios da racionalidade neoclássica não são erros aleatórios que desaparecem com agregação. São padrões sistemáticos, previsíveis e documentados em dezenas de milhares de observações. Um modelo que os ignora não é parcimonioso — é incompleto.</w:t>
      </w:r>
    </w:p>
    <w:p>
      <w:pPr>
        <w:pStyle w:val="Compact"/>
        <w:numPr>
          <w:ilvl w:val="0"/>
          <w:numId w:val="1399"/>
        </w:numPr>
      </w:pPr>
      <w:r>
        <w:rPr>
          <w:b/>
          <w:bCs/>
        </w:rPr>
        <w:t xml:space="preserve">O contexto é parte da decisão.</w:t>
      </w:r>
      <w:r>
        <w:t xml:space="preserve"> </w:t>
      </w:r>
      <w:r>
        <w:t xml:space="preserve">Ponto de referência, framing, default, norma social — nada disso deveria importar para o</w:t>
      </w:r>
      <w:r>
        <w:t xml:space="preserve"> </w:t>
      </w:r>
      <w:r>
        <w:rPr>
          <w:i/>
          <w:iCs/>
        </w:rPr>
        <w:t xml:space="preserve">homo economicus</w:t>
      </w:r>
      <w:r>
        <w:t xml:space="preserve">, mas importa para o</w:t>
      </w:r>
      <w:r>
        <w:t xml:space="preserve"> </w:t>
      </w:r>
      <w:r>
        <w:rPr>
          <w:i/>
          <w:iCs/>
        </w:rPr>
        <w:t xml:space="preserve">homo sapiens</w:t>
      </w:r>
      <w:r>
        <w:t xml:space="preserve">. Reconhecer que a arquitetura de escolha afeta o resultado é o primeiro passo para desenhá-la com responsabilidade.</w:t>
      </w:r>
    </w:p>
    <w:p>
      <w:pPr>
        <w:pStyle w:val="Compact"/>
        <w:numPr>
          <w:ilvl w:val="0"/>
          <w:numId w:val="1399"/>
        </w:numPr>
      </w:pPr>
      <w:r>
        <w:rPr>
          <w:b/>
          <w:bCs/>
        </w:rPr>
        <w:t xml:space="preserve">Corrigir vieses é mais difícil do que identificá-los.</w:t>
      </w:r>
      <w:r>
        <w:t xml:space="preserve"> </w:t>
      </w:r>
      <w:r>
        <w:t xml:space="preserve">Nudges são ferramentas poderosas, mas não são panaceias. O arquiteto de escolhas precisa de humildade — porque o viés do paternalista pode ser tão real quanto o viés do paternalizado.</w:t>
      </w:r>
    </w:p>
    <w:p>
      <w:pPr>
        <w:pStyle w:val="FirstParagraph"/>
      </w:pPr>
      <w:r>
        <w:rPr>
          <w:i/>
          <w:iCs/>
        </w:rPr>
        <w:t xml:space="preserve">Sabemos onde a racionalidade falha. Agora, a pergunta muda: quando suas decisões afetam as minhas, o que acontece? Bem-vindo à teoria dos jogos.</w:t>
      </w:r>
    </w:p>
    <w:p>
      <w:r>
        <w:pict>
          <v:rect style="width:0;height:1.5pt" o:hralign="center" o:hrstd="t" o:hr="t"/>
        </w:pict>
      </w:r>
    </w:p>
    <w:p>
      <w:pPr>
        <w:pStyle w:val="FirstParagraph"/>
      </w:pPr>
      <w:r>
        <w:t xml:space="preserve">[FIGURA INTERATIVA: /micro-book/graficos/cap08/webr-prospecto.html — versao interativa disponivel online]</w:t>
      </w:r>
    </w:p>
    <w:p>
      <w:pPr>
        <w:pStyle w:val="BodyText"/>
      </w:pPr>
      <w:r>
        <w:rPr>
          <w:b/>
          <w:bCs/>
        </w:rPr>
        <w:t xml:space="preserve">WebR 8.1 — Função valor e ponderação de probabilidades.</w:t>
      </w:r>
      <w:r>
        <w:t xml:space="preserve"> </w:t>
      </w:r>
      <w:r>
        <w:t xml:space="preserve">Visualize a assimetria ganhos/perdas (λ &gt; 1) e o sobrepeso de eventos raros. Altere λ para</w:t>
      </w:r>
      <w:r>
        <w:t xml:space="preserve"> </w:t>
      </w:r>
      <w:r>
        <w:t xml:space="preserve">“desligar”</w:t>
      </w:r>
      <w:r>
        <w:t xml:space="preserve"> </w:t>
      </w:r>
      <w:r>
        <w:t xml:space="preserve">a aversão à perda e compare com a utilidade esperada clássica.</w:t>
      </w:r>
    </w:p>
    <w:p>
      <w:pPr>
        <w:pStyle w:val="BodyText"/>
      </w:pPr>
      <w:r>
        <w:t xml:space="preserve">[FIGURA INTERATIVA: /micro-book/graficos/cap08/webr-allais.html — versao interativa disponivel online]</w:t>
      </w:r>
    </w:p>
    <w:p>
      <w:pPr>
        <w:pStyle w:val="BodyText"/>
      </w:pPr>
      <w:r>
        <w:rPr>
          <w:b/>
          <w:bCs/>
        </w:rPr>
        <w:t xml:space="preserve">WebR 8.2 — Paradoxo de Allais: quebrando vNM.</w:t>
      </w:r>
      <w:r>
        <w:t xml:space="preserve"> </w:t>
      </w:r>
      <w:r>
        <w:t xml:space="preserve">O código compara EU(A) vs. EU(B) e EU(C) vs. EU(D). O padrão típico (A e D) viola a independência — nenhum nível de aversão ao risco γ resolve. O triângulo de Marschak-Machina visualiza o paradoxo.</w:t>
      </w:r>
    </w:p>
    <w:p>
      <w:pPr>
        <w:pStyle w:val="BodyText"/>
      </w:pPr>
      <w:r>
        <w:t xml:space="preserve">[FIGURA INTERATIVA: /micro-book/graficos/cap08/webr-desconto.html — versao interativa disponivel online]</w:t>
      </w:r>
    </w:p>
    <w:p>
      <w:pPr>
        <w:pStyle w:val="BodyText"/>
      </w:pPr>
      <w:r>
        <w:rPr>
          <w:b/>
          <w:bCs/>
        </w:rPr>
        <w:t xml:space="preserve">WebR 8.3 — Desconto hiperbólico vs. exponencial.</w:t>
      </w:r>
      <w:r>
        <w:t xml:space="preserve"> </w:t>
      </w:r>
      <w:r>
        <w:t xml:space="preserve">Com β &lt; 1 (viés do presente), o</w:t>
      </w:r>
      <w:r>
        <w:t xml:space="preserve"> </w:t>
      </w:r>
      <w:r>
        <w:t xml:space="preserve">“eu do presente”</w:t>
      </w:r>
      <w:r>
        <w:t xml:space="preserve"> </w:t>
      </w:r>
      <w:r>
        <w:t xml:space="preserve">é mais impaciente que o</w:t>
      </w:r>
      <w:r>
        <w:t xml:space="preserve"> </w:t>
      </w:r>
      <w:r>
        <w:t xml:space="preserve">“eu do futuro”</w:t>
      </w:r>
      <w:r>
        <w:t xml:space="preserve"> </w:t>
      </w:r>
      <w:r>
        <w:t xml:space="preserve">— gerando procrastinação e reversão de preferências. Compare as funções de desconto e descubra por que a academia perde clientes em março.</w:t>
      </w:r>
    </w:p>
    <w:p>
      <w:pPr>
        <w:pStyle w:val="BodyText"/>
      </w:pPr>
      <w:r>
        <w:t xml:space="preserve">[FIGURA INTERATIVA: /micro-book/graficos/cap08/webr-fehr-schmidt.html — versao interativa disponivel online]</w:t>
      </w:r>
    </w:p>
    <w:p>
      <w:pPr>
        <w:pStyle w:val="BodyText"/>
      </w:pPr>
      <w:r>
        <w:rPr>
          <w:b/>
          <w:bCs/>
        </w:rPr>
        <w:t xml:space="preserve">WebR 8.4 — Fehr-Schmidt: aversão à desigualdade no ultimato.</w:t>
      </w:r>
      <w:r>
        <w:t xml:space="preserve"> </w:t>
      </w:r>
      <w:r>
        <w:t xml:space="preserve">Com α = 0 (egoísta puro), o respondedor aceita qualquer oferta &gt; 0. Com α alto, rejeita ofertas</w:t>
      </w:r>
      <w:r>
        <w:t xml:space="preserve"> </w:t>
      </w:r>
      <w:r>
        <w:t xml:space="preserve">“injustas”</w:t>
      </w:r>
      <w:r>
        <w:t xml:space="preserve"> </w:t>
      </w:r>
      <w:r>
        <w:t xml:space="preserve">— mesmo perdendo dinheiro. Simule o jogo do ultimato para diferentes perfis.</w:t>
      </w:r>
    </w:p>
    <w:p>
      <w:r>
        <w:pict>
          <v:rect style="width:0;height:1.5pt" o:hralign="center" o:hrstd="t" o:hr="t"/>
        </w:pict>
      </w:r>
    </w:p>
    <w:p>
      <w:pPr>
        <w:pStyle w:val="BlockText"/>
      </w:pPr>
      <w:r>
        <w:rPr>
          <w:b/>
          <w:bCs/>
        </w:rPr>
        <w:t xml:space="preserve">[ATIVIDADE DE SALA] Atividade 8.1 — O Paradoxo de Allais ao vivo: flagrando o axioma da independência (15 min)</w:t>
      </w:r>
    </w:p>
    <w:p>
      <w:pPr>
        <w:pStyle w:val="BlockText"/>
      </w:pPr>
      <w:r>
        <w:rPr>
          <w:b/>
          <w:bCs/>
        </w:rPr>
        <w:t xml:space="preserve">Objetivo:</w:t>
      </w:r>
      <w:r>
        <w:t xml:space="preserve"> </w:t>
      </w:r>
      <w:r>
        <w:t xml:space="preserve">Reproduzir o Paradoxo de Allais em sala e mostrar que a maioria dos alunos viola o axioma da independência da utilidade esperada.</w:t>
      </w:r>
    </w:p>
    <w:p>
      <w:pPr>
        <w:pStyle w:val="BlockText"/>
      </w:pPr>
      <w:r>
        <w:rPr>
          <w:b/>
          <w:bCs/>
        </w:rPr>
        <w:t xml:space="preserve">Material:</w:t>
      </w:r>
      <w:r>
        <w:t xml:space="preserve"> </w:t>
      </w:r>
      <w:r>
        <w:t xml:space="preserve">Slides com as duas loterias (ou Mentimeter para votação anônima).</w:t>
      </w:r>
    </w:p>
    <w:p>
      <w:pPr>
        <w:pStyle w:val="BlockText"/>
      </w:pPr>
      <w:r>
        <w:rPr>
          <w:b/>
          <w:bCs/>
        </w:rPr>
        <w:t xml:space="preserve">Protocolo:</w:t>
      </w:r>
    </w:p>
    <w:p>
      <w:pPr>
        <w:pStyle w:val="Compact"/>
        <w:numPr>
          <w:ilvl w:val="0"/>
          <w:numId w:val="1400"/>
        </w:numPr>
      </w:pPr>
      <w:r>
        <w:rPr>
          <w:b/>
          <w:bCs/>
        </w:rPr>
        <w:t xml:space="preserve">Decisão 1</w:t>
      </w:r>
      <w:r>
        <w:t xml:space="preserve"> </w:t>
      </w:r>
      <w:r>
        <w:t xml:space="preserve">(2 min): Projete: Loteria A = R$ 1.000.000 com certeza. Loteria B = 89% de R$ 1M, 10% de R$ 5M, 1% de R$ 0. Vote: A ou B?</w:t>
      </w:r>
    </w:p>
    <w:p>
      <w:pPr>
        <w:pStyle w:val="Compact"/>
        <w:numPr>
          <w:ilvl w:val="0"/>
          <w:numId w:val="1400"/>
        </w:numPr>
      </w:pPr>
      <w:r>
        <w:rPr>
          <w:b/>
          <w:bCs/>
        </w:rPr>
        <w:t xml:space="preserve">Decisão 2</w:t>
      </w:r>
      <w:r>
        <w:t xml:space="preserve"> </w:t>
      </w:r>
      <w:r>
        <w:t xml:space="preserve">(2 min): Loteria C = 11% de R$ 1M, 89% de R$ 0. Loteria D = 10% de R$ 5M, 90% de R$ 0. Vote: C ou D?</w:t>
      </w:r>
    </w:p>
    <w:p>
      <w:pPr>
        <w:pStyle w:val="Compact"/>
        <w:numPr>
          <w:ilvl w:val="0"/>
          <w:numId w:val="1400"/>
        </w:numPr>
      </w:pPr>
      <w:r>
        <w:rPr>
          <w:b/>
          <w:bCs/>
        </w:rPr>
        <w:t xml:space="preserve">Resultado</w:t>
      </w:r>
      <w:r>
        <w:t xml:space="preserve"> </w:t>
      </w:r>
      <w:r>
        <w:t xml:space="preserve">(3 min): Registre as proporções. Tipicamente: maioria escolhe A na primeira decisão (efeito certeza) e D na segunda (os 89% de zero são</w:t>
      </w:r>
      <w:r>
        <w:t xml:space="preserve"> </w:t>
      </w:r>
      <w:r>
        <w:t xml:space="preserve">“iguais”</w:t>
      </w:r>
      <w:r>
        <w:t xml:space="preserve"> </w:t>
      </w:r>
      <w:r>
        <w:t xml:space="preserve">entre C e D, então comparam 11% de R$ 1M vs. 10% de R$ 5M). Mas A e D juntos</w:t>
      </w:r>
      <w:r>
        <w:t xml:space="preserve"> </w:t>
      </w:r>
      <w:r>
        <w:rPr>
          <w:i/>
          <w:iCs/>
        </w:rPr>
        <w:t xml:space="preserve">violam</w:t>
      </w:r>
      <w:r>
        <w:t xml:space="preserve"> </w:t>
      </w:r>
      <w:r>
        <w:t xml:space="preserve">o axioma da independência!</w:t>
      </w:r>
    </w:p>
    <w:p>
      <w:pPr>
        <w:pStyle w:val="Compact"/>
        <w:numPr>
          <w:ilvl w:val="0"/>
          <w:numId w:val="1400"/>
        </w:numPr>
      </w:pPr>
      <w:r>
        <w:rPr>
          <w:b/>
          <w:bCs/>
        </w:rPr>
        <w:t xml:space="preserve">A demonstração</w:t>
      </w:r>
      <w:r>
        <w:t xml:space="preserve"> </w:t>
      </w:r>
      <w:r>
        <w:t xml:space="preserve">(3 min): Mostre algebricamente: se você prefere A a B, deveria preferir C a D (basta cancelar a parte comum de 89%).</w:t>
      </w:r>
      <w:r>
        <w:t xml:space="preserve"> </w:t>
      </w:r>
      <w:r>
        <w:t xml:space="preserve">“Escolher A</w:t>
      </w:r>
      <w:r>
        <w:t xml:space="preserve"> </w:t>
      </w:r>
      <w:r>
        <w:rPr>
          <w:i/>
          <w:iCs/>
        </w:rPr>
        <w:t xml:space="preserve">e</w:t>
      </w:r>
      <w:r>
        <w:t xml:space="preserve"> </w:t>
      </w:r>
      <w:r>
        <w:t xml:space="preserve">D é logicamente inconsistente com a teoria de VNM.”</w:t>
      </w:r>
    </w:p>
    <w:p>
      <w:pPr>
        <w:pStyle w:val="Compact"/>
        <w:numPr>
          <w:ilvl w:val="0"/>
          <w:numId w:val="1400"/>
        </w:numPr>
      </w:pPr>
      <w:r>
        <w:rPr>
          <w:b/>
          <w:bCs/>
        </w:rPr>
        <w:t xml:space="preserve">Debrief</w:t>
      </w:r>
      <w:r>
        <w:t xml:space="preserve"> </w:t>
      </w:r>
      <w:r>
        <w:t xml:space="preserve">(5 min):</w:t>
      </w:r>
    </w:p>
    <w:p>
      <w:pPr>
        <w:pStyle w:val="Compact"/>
        <w:numPr>
          <w:ilvl w:val="1"/>
          <w:numId w:val="1401"/>
        </w:numPr>
      </w:pPr>
      <w:r>
        <w:t xml:space="preserve">“Levante a mão quem escolheu A e D.”</w:t>
      </w:r>
      <w:r>
        <w:t xml:space="preserve"> </w:t>
      </w:r>
      <w:r>
        <w:t xml:space="preserve">→ Maioria.</w:t>
      </w:r>
      <w:r>
        <w:t xml:space="preserve"> </w:t>
      </w:r>
      <w:r>
        <w:t xml:space="preserve">“Parabéns, vocês acabaram de replicar o Paradoxo de Allais (1953). Ele usou exatamente este tipo de experimento para desafiar a utilidade esperada.”</w:t>
      </w:r>
    </w:p>
    <w:p>
      <w:pPr>
        <w:pStyle w:val="Compact"/>
        <w:numPr>
          <w:ilvl w:val="1"/>
          <w:numId w:val="1401"/>
        </w:numPr>
      </w:pPr>
      <w:r>
        <w:t xml:space="preserve">“A Teoria do Prospecto explica isso: a função de ponderação</w:t>
      </w:r>
      <w:r>
        <w:t xml:space="preserve"> </w:t>
      </w:r>
      <m:oMath>
        <m:r>
          <m:t>π</m:t>
        </m:r>
        <m:r>
          <m:rPr>
            <m:sty m:val="p"/>
          </m:rPr>
          <m:t>(</m:t>
        </m:r>
        <m:r>
          <m:t>p</m:t>
        </m:r>
        <m:r>
          <m:rPr>
            <m:sty m:val="p"/>
          </m:rPr>
          <m:t>)</m:t>
        </m:r>
      </m:oMath>
      <w:r>
        <w:t xml:space="preserve"> </w:t>
      </w:r>
      <w:r>
        <w:t xml:space="preserve">sobrepondera probabilidades pequenas (1% de zero na decisão 1</w:t>
      </w:r>
      <w:r>
        <w:t xml:space="preserve"> </w:t>
      </w:r>
      <w:r>
        <w:rPr>
          <w:i/>
          <w:iCs/>
        </w:rPr>
        <w:t xml:space="preserve">parece</w:t>
      </w:r>
      <w:r>
        <w:t xml:space="preserve"> </w:t>
      </w:r>
      <w:r>
        <w:t xml:space="preserve">enorme) e subestima probabilidades moderadas.”</w:t>
      </w:r>
    </w:p>
    <w:p>
      <w:pPr>
        <w:pStyle w:val="Compact"/>
        <w:numPr>
          <w:ilvl w:val="1"/>
          <w:numId w:val="1401"/>
        </w:numPr>
      </w:pPr>
      <w:r>
        <w:t xml:space="preserve">Conecte com Seção 8.2 (Teoria do Prospecto) e Seção 7.2 (axioma da independência de VNM).</w:t>
      </w:r>
    </w:p>
    <w:p>
      <w:pPr>
        <w:pStyle w:val="BlockText"/>
      </w:pPr>
      <w:r>
        <w:rPr>
          <w:b/>
          <w:bCs/>
        </w:rPr>
        <w:t xml:space="preserve">Conexão com o conteúdo:</w:t>
      </w:r>
      <w:r>
        <w:t xml:space="preserve"> </w:t>
      </w:r>
      <w:r>
        <w:t xml:space="preserve">Seção 8.2 (Teoria do Prospecto), Seção 7.2 (utilidade esperada e axioma da independência). Referência: Allais (1953), Kahneman e Tversky (1979).</w:t>
      </w:r>
    </w:p>
    <w:p>
      <w:pPr>
        <w:pStyle w:val="BlockText"/>
      </w:pPr>
      <w:r>
        <w:rPr>
          <w:b/>
          <w:bCs/>
        </w:rPr>
        <w:t xml:space="preserve">[ATIVIDADE DE SALA] Atividade 8.2 — O jogo do ultimato: preferências sociais em ação (20 min)</w:t>
      </w:r>
    </w:p>
    <w:p>
      <w:pPr>
        <w:pStyle w:val="BlockText"/>
      </w:pPr>
      <w:r>
        <w:rPr>
          <w:b/>
          <w:bCs/>
        </w:rPr>
        <w:t xml:space="preserve">Objetivo:</w:t>
      </w:r>
      <w:r>
        <w:t xml:space="preserve"> </w:t>
      </w:r>
      <w:r>
        <w:t xml:space="preserve">Demonstrar que agentes reais rejeitam divisões</w:t>
      </w:r>
      <w:r>
        <w:t xml:space="preserve"> </w:t>
      </w:r>
      <w:r>
        <w:t xml:space="preserve">“injustas”</w:t>
      </w:r>
      <w:r>
        <w:t xml:space="preserve"> </w:t>
      </w:r>
      <w:r>
        <w:t xml:space="preserve">mesmo quando isso é irracional segundo o modelo padrão — evidência de preferências sociais.</w:t>
      </w:r>
    </w:p>
    <w:p>
      <w:pPr>
        <w:pStyle w:val="BlockText"/>
      </w:pPr>
      <w:r>
        <w:rPr>
          <w:b/>
          <w:bCs/>
        </w:rPr>
        <w:t xml:space="preserve">Material:</w:t>
      </w:r>
      <w:r>
        <w:t xml:space="preserve"> </w:t>
      </w:r>
      <w:r>
        <w:t xml:space="preserve">Notas de papel (fictícias) ou pontos extras como incentivo; envelopes.</w:t>
      </w:r>
    </w:p>
    <w:p>
      <w:pPr>
        <w:pStyle w:val="BlockText"/>
      </w:pPr>
      <w:r>
        <w:rPr>
          <w:b/>
          <w:bCs/>
        </w:rPr>
        <w:t xml:space="preserve">Protocolo:</w:t>
      </w:r>
    </w:p>
    <w:p>
      <w:pPr>
        <w:pStyle w:val="Compact"/>
        <w:numPr>
          <w:ilvl w:val="0"/>
          <w:numId w:val="1402"/>
        </w:numPr>
      </w:pPr>
      <w:r>
        <w:rPr>
          <w:b/>
          <w:bCs/>
        </w:rPr>
        <w:t xml:space="preserve">Setup</w:t>
      </w:r>
      <w:r>
        <w:t xml:space="preserve"> </w:t>
      </w:r>
      <w:r>
        <w:t xml:space="preserve">(3 min): Forme duplas aleatórias. Em cada dupla, um é</w:t>
      </w:r>
      <w:r>
        <w:t xml:space="preserve"> </w:t>
      </w:r>
      <w:r>
        <w:t xml:space="preserve">“proponente”</w:t>
      </w:r>
      <w:r>
        <w:t xml:space="preserve"> </w:t>
      </w:r>
      <w:r>
        <w:t xml:space="preserve">e outro é</w:t>
      </w:r>
      <w:r>
        <w:t xml:space="preserve"> </w:t>
      </w:r>
      <w:r>
        <w:t xml:space="preserve">“respondedor”</w:t>
      </w:r>
      <w:r>
        <w:t xml:space="preserve">. Proponente recebe R$ 100 (fictícios ou pontos) e propõe uma divisão (ex:</w:t>
      </w:r>
      <w:r>
        <w:t xml:space="preserve"> </w:t>
      </w:r>
      <w:r>
        <w:t xml:space="preserve">“Eu fico com R$ 70, você recebe R$ 30”</w:t>
      </w:r>
      <w:r>
        <w:t xml:space="preserve">). Respondedor aceita (ambos recebem) ou rejeita (ambos recebem zero).</w:t>
      </w:r>
    </w:p>
    <w:p>
      <w:pPr>
        <w:pStyle w:val="Compact"/>
        <w:numPr>
          <w:ilvl w:val="0"/>
          <w:numId w:val="1402"/>
        </w:numPr>
      </w:pPr>
      <w:r>
        <w:rPr>
          <w:b/>
          <w:bCs/>
        </w:rPr>
        <w:t xml:space="preserve">Rodada 1 — Anônima</w:t>
      </w:r>
      <w:r>
        <w:t xml:space="preserve"> </w:t>
      </w:r>
      <w:r>
        <w:t xml:space="preserve">(5 min): Proponentes escrevem a oferta em papel dobrado. Respondedores decidem sem ver quem propôs. Registre os resultados.</w:t>
      </w:r>
    </w:p>
    <w:p>
      <w:pPr>
        <w:pStyle w:val="Compact"/>
        <w:numPr>
          <w:ilvl w:val="0"/>
          <w:numId w:val="1402"/>
        </w:numPr>
      </w:pPr>
      <w:r>
        <w:rPr>
          <w:b/>
          <w:bCs/>
        </w:rPr>
        <w:t xml:space="preserve">Rodada 2 — Face a face</w:t>
      </w:r>
      <w:r>
        <w:t xml:space="preserve"> </w:t>
      </w:r>
      <w:r>
        <w:t xml:space="preserve">(5 min): Repita com duplas novas, agora olhando nos olhos. Compare: as ofertas são mais generosas?</w:t>
      </w:r>
    </w:p>
    <w:p>
      <w:pPr>
        <w:pStyle w:val="Compact"/>
        <w:numPr>
          <w:ilvl w:val="0"/>
          <w:numId w:val="1402"/>
        </w:numPr>
      </w:pPr>
      <w:r>
        <w:rPr>
          <w:b/>
          <w:bCs/>
        </w:rPr>
        <w:t xml:space="preserve">Debrief</w:t>
      </w:r>
      <w:r>
        <w:t xml:space="preserve"> </w:t>
      </w:r>
      <w:r>
        <w:t xml:space="preserve">(7 min):</w:t>
      </w:r>
    </w:p>
    <w:p>
      <w:pPr>
        <w:pStyle w:val="Compact"/>
        <w:numPr>
          <w:ilvl w:val="1"/>
          <w:numId w:val="1403"/>
        </w:numPr>
      </w:pPr>
      <w:r>
        <w:t xml:space="preserve">“O</w:t>
      </w:r>
      <w:r>
        <w:t xml:space="preserve"> </w:t>
      </w:r>
      <w:r>
        <w:rPr>
          <w:i/>
          <w:iCs/>
        </w:rPr>
        <w:t xml:space="preserve">homo economicus</w:t>
      </w:r>
      <w:r>
        <w:t xml:space="preserve"> </w:t>
      </w:r>
      <w:r>
        <w:t xml:space="preserve">aceitaria R$ 1, porque R$ 1 &gt; R$ 0. Quantos respondedores rejeitaram ofertas abaixo de R$ 20?”</w:t>
      </w:r>
      <w:r>
        <w:t xml:space="preserve"> </w:t>
      </w:r>
      <w:r>
        <w:t xml:space="preserve">→ Muitos.</w:t>
      </w:r>
    </w:p>
    <w:p>
      <w:pPr>
        <w:pStyle w:val="Compact"/>
        <w:numPr>
          <w:ilvl w:val="1"/>
          <w:numId w:val="1403"/>
        </w:numPr>
      </w:pPr>
      <w:r>
        <w:t xml:space="preserve">“O</w:t>
      </w:r>
      <w:r>
        <w:t xml:space="preserve"> </w:t>
      </w:r>
      <w:r>
        <w:rPr>
          <w:i/>
          <w:iCs/>
        </w:rPr>
        <w:t xml:space="preserve">homo economicus</w:t>
      </w:r>
      <w:r>
        <w:t xml:space="preserve"> </w:t>
      </w:r>
      <w:r>
        <w:t xml:space="preserve">ofereceria R$ 1, sabendo que seria aceito. Quanto os proponentes ofereceram em média?”</w:t>
      </w:r>
      <w:r>
        <w:t xml:space="preserve"> </w:t>
      </w:r>
      <w:r>
        <w:t xml:space="preserve">→ Tipicamente 35–45%.</w:t>
      </w:r>
    </w:p>
    <w:p>
      <w:pPr>
        <w:pStyle w:val="Compact"/>
        <w:numPr>
          <w:ilvl w:val="1"/>
          <w:numId w:val="1403"/>
        </w:numPr>
      </w:pPr>
      <w:r>
        <w:t xml:space="preserve">“A rejeição é</w:t>
      </w:r>
      <w:r>
        <w:t xml:space="preserve"> </w:t>
      </w:r>
      <w:r>
        <w:t xml:space="preserve">‘irracional’</w:t>
      </w:r>
      <w:r>
        <w:t xml:space="preserve">? Ou revela que a utilidade inclui</w:t>
      </w:r>
      <w:r>
        <w:t xml:space="preserve"> </w:t>
      </w:r>
      <w:r>
        <w:rPr>
          <w:i/>
          <w:iCs/>
        </w:rPr>
        <w:t xml:space="preserve">justiça</w:t>
      </w:r>
      <w:r>
        <w:t xml:space="preserve">?”</w:t>
      </w:r>
      <w:r>
        <w:t xml:space="preserve"> </w:t>
      </w:r>
      <w:r>
        <w:t xml:space="preserve">→ Modelo de Fehr-Schmidt (Seção 8.4):</w:t>
      </w:r>
      <w:r>
        <w:t xml:space="preserve"> </w:t>
      </w:r>
      <m:oMath>
        <m:sSub>
          <m:e>
            <m:r>
              <m:t>U</m:t>
            </m:r>
          </m:e>
          <m:sub>
            <m:r>
              <m:t>i</m:t>
            </m:r>
          </m:sub>
        </m:sSub>
        <m:r>
          <m:rPr>
            <m:sty m:val="p"/>
          </m:rPr>
          <m:t>=</m:t>
        </m:r>
        <m:sSub>
          <m:e>
            <m:r>
              <m:t>x</m:t>
            </m:r>
          </m:e>
          <m:sub>
            <m:r>
              <m:t>i</m:t>
            </m:r>
          </m:sub>
        </m:sSub>
        <m:r>
          <m:rPr>
            <m:sty m:val="p"/>
          </m:rPr>
          <m:t>−</m:t>
        </m:r>
        <m:r>
          <m:t>α</m:t>
        </m:r>
        <m:r>
          <m:rPr>
            <m:sty m:val="p"/>
          </m:rPr>
          <m:t>max</m:t>
        </m:r>
        <m:r>
          <m:rPr>
            <m:sty m:val="p"/>
          </m:rPr>
          <m:t>(</m:t>
        </m:r>
        <m:sSub>
          <m:e>
            <m:r>
              <m:t>x</m:t>
            </m:r>
          </m:e>
          <m:sub>
            <m:r>
              <m:t>j</m:t>
            </m:r>
          </m:sub>
        </m:sSub>
        <m:r>
          <m:rPr>
            <m:sty m:val="p"/>
          </m:rPr>
          <m:t>−</m:t>
        </m:r>
        <m:sSub>
          <m:e>
            <m:r>
              <m:t>x</m:t>
            </m:r>
          </m:e>
          <m:sub>
            <m:r>
              <m:t>i</m:t>
            </m:r>
          </m:sub>
        </m:sSub>
        <m:r>
          <m:rPr>
            <m:sty m:val="p"/>
          </m:rPr>
          <m:t>,</m:t>
        </m:r>
        <m:r>
          <m:t>0</m:t>
        </m:r>
        <m:r>
          <m:rPr>
            <m:sty m:val="p"/>
          </m:rPr>
          <m:t>)</m:t>
        </m:r>
        <m:r>
          <m:rPr>
            <m:sty m:val="p"/>
          </m:rPr>
          <m:t>−</m:t>
        </m:r>
        <m:r>
          <m:t>β</m:t>
        </m:r>
        <m:r>
          <m:rPr>
            <m:sty m:val="p"/>
          </m:rPr>
          <m:t>max</m:t>
        </m:r>
        <m:r>
          <m:rPr>
            <m:sty m:val="p"/>
          </m:rPr>
          <m:t>(</m:t>
        </m:r>
        <m:sSub>
          <m:e>
            <m:r>
              <m:t>x</m:t>
            </m:r>
          </m:e>
          <m:sub>
            <m:r>
              <m:t>i</m:t>
            </m:r>
          </m:sub>
        </m:sSub>
        <m:r>
          <m:rPr>
            <m:sty m:val="p"/>
          </m:rPr>
          <m:t>−</m:t>
        </m:r>
        <m:sSub>
          <m:e>
            <m:r>
              <m:t>x</m:t>
            </m:r>
          </m:e>
          <m:sub>
            <m:r>
              <m:t>j</m:t>
            </m:r>
          </m:sub>
        </m:sSub>
        <m:r>
          <m:rPr>
            <m:sty m:val="p"/>
          </m:rPr>
          <m:t>,</m:t>
        </m:r>
        <m:r>
          <m:t>0</m:t>
        </m:r>
        <m:r>
          <m:rPr>
            <m:sty m:val="p"/>
          </m:rPr>
          <m:t>)</m:t>
        </m:r>
      </m:oMath>
      <w:r>
        <w:t xml:space="preserve">.</w:t>
      </w:r>
    </w:p>
    <w:p>
      <w:pPr>
        <w:pStyle w:val="Compact"/>
        <w:numPr>
          <w:ilvl w:val="1"/>
          <w:numId w:val="1403"/>
        </w:numPr>
      </w:pPr>
      <w:r>
        <w:t xml:space="preserve">“Na rodada face a face, as ofertas subiram? Por quê?”</w:t>
      </w:r>
      <w:r>
        <w:t xml:space="preserve"> </w:t>
      </w:r>
      <w:r>
        <w:t xml:space="preserve">→ Normas sociais e reciprocidade são mais fortes com identidade revelada.</w:t>
      </w:r>
    </w:p>
    <w:p>
      <w:pPr>
        <w:pStyle w:val="Compact"/>
        <w:numPr>
          <w:ilvl w:val="1"/>
          <w:numId w:val="1403"/>
        </w:numPr>
      </w:pPr>
      <w:r>
        <w:t xml:space="preserve">Conecte com o Jogo do Ultimato (Seção 8.4) e antecipe barganha de Rubinstein (Módulo 9b).</w:t>
      </w:r>
    </w:p>
    <w:p>
      <w:pPr>
        <w:pStyle w:val="BlockText"/>
      </w:pPr>
      <w:r>
        <w:rPr>
          <w:b/>
          <w:bCs/>
        </w:rPr>
        <w:t xml:space="preserve">Conexão com o conteúdo:</w:t>
      </w:r>
      <w:r>
        <w:t xml:space="preserve"> </w:t>
      </w:r>
      <w:r>
        <w:t xml:space="preserve">Seção 8.4 (preferências sociais, Fehr-Schmidt). Referências: Güth, Schmittberger e Schwarze (1982); Fehr e Schmidt (1999). Inspirado em Holt (2007, Cap. 14).</w:t>
      </w:r>
    </w:p>
    <w:p>
      <w:r>
        <w:pict>
          <v:rect style="width:0;height:1.5pt" o:hralign="center" o:hrstd="t" o:hr="t"/>
        </w:pict>
      </w:r>
    </w:p>
    <w:bookmarkEnd w:id="394"/>
    <w:bookmarkEnd w:id="395"/>
    <w:bookmarkStart w:id="399" w:name="X1443a32d8753edfac740f76cba16a28efe59baa"/>
    <w:p>
      <w:pPr>
        <w:pStyle w:val="Heading2"/>
      </w:pPr>
      <w:r>
        <w:t xml:space="preserve">8.4 Eu Me Importo Com Você (Às Vezes): Preferências Sociais</w:t>
      </w:r>
    </w:p>
    <w:p>
      <w:pPr>
        <w:pStyle w:val="FirstParagraph"/>
      </w:pPr>
      <w:r>
        <w:t xml:space="preserve">Até aqui, discutimos como o agente erra ao avaliar riscos e probabilidades. Mas há uma suposição ainda mais básica que merece ser testada: a de que as pessoas</w:t>
      </w:r>
      <w:r>
        <w:t xml:space="preserve"> </w:t>
      </w:r>
      <w:r>
        <w:rPr>
          <w:i/>
          <w:iCs/>
        </w:rPr>
        <w:t xml:space="preserve">só se importam consigo mesmas</w:t>
      </w:r>
      <w:r>
        <w:t xml:space="preserve">. Faça o teste: se alguém lhe oferecesse R$ 100, mas com a condição de que outra pessoa (que você não conhece) receba R$ 1.000, você aceitaria? A maioria aceita. Agora inverta: alguém recebe R$ 100, mas</w:t>
      </w:r>
      <w:r>
        <w:t xml:space="preserve"> </w:t>
      </w:r>
      <w:r>
        <w:rPr>
          <w:i/>
          <w:iCs/>
        </w:rPr>
        <w:t xml:space="preserve">você</w:t>
      </w:r>
      <w:r>
        <w:t xml:space="preserve"> </w:t>
      </w:r>
      <w:r>
        <w:t xml:space="preserve">ganha R$ 0. Justo? A maioria rejeita — mesmo que rejeitar signifique que</w:t>
      </w:r>
      <w:r>
        <w:t xml:space="preserve"> </w:t>
      </w:r>
      <w:r>
        <w:rPr>
          <w:i/>
          <w:iCs/>
        </w:rPr>
        <w:t xml:space="preserve">ninguém</w:t>
      </w:r>
      <w:r>
        <w:t xml:space="preserve"> </w:t>
      </w:r>
      <w:r>
        <w:t xml:space="preserve">recebe nada.</w:t>
      </w:r>
    </w:p>
    <w:p>
      <w:pPr>
        <w:pStyle w:val="BodyText"/>
      </w:pPr>
      <w:r>
        <w:t xml:space="preserve">Esse resultado destruidor aparece em laboratório com a regularidade de um relógio. As pessoas</w:t>
      </w:r>
      <w:r>
        <w:t xml:space="preserve"> </w:t>
      </w:r>
      <w:r>
        <w:rPr>
          <w:i/>
          <w:iCs/>
        </w:rPr>
        <w:t xml:space="preserve">se importam</w:t>
      </w:r>
      <w:r>
        <w:t xml:space="preserve"> </w:t>
      </w:r>
      <w:r>
        <w:t xml:space="preserve">com a distribuição dos resultados, com a justiça e com as intenções dos outros. Essas</w:t>
      </w:r>
      <w:r>
        <w:t xml:space="preserve"> </w:t>
      </w:r>
      <w:r>
        <w:rPr>
          <w:b/>
          <w:bCs/>
        </w:rPr>
        <w:t xml:space="preserve">preferências sociais</w:t>
      </w:r>
      <w:r>
        <w:t xml:space="preserve"> </w:t>
      </w:r>
      <w:r>
        <w:t xml:space="preserve">— aversão à inequidade, reciprocidade, altruísmo punitivo — não são ruído: são padrões robustos que mudam equilíbrios de jogos e resultados de mercado.</w:t>
      </w:r>
    </w:p>
    <w:p>
      <w:pPr>
        <w:pStyle w:val="BodyText"/>
      </w:pPr>
      <w:r>
        <w:t xml:space="preserve">A transição desta seção para as anteriores é relevante: nas Seções 8.2 e 8.3, os desvios comportamentais eram individuais — um único agente, tomando decisões sob risco ou ambiguidade, se afasta das previsões normativas. Aqui, entramos no domínio da interação estratégica, onde o comportamento de cada agente depende de suas crenças sobre os demais. Isso torna o fenômeno das preferências sociais duplamente interessante: ao mesmo tempo que desafia o pressuposto de autointeresse, conecta-se naturalmente à teoria dos jogos (Capítulo 14). A diferença é que, enquanto a teoria dos jogos padrão assume autointeresse e pergunta quais equilíbrios surgem, a economia comportamental das preferências sociais pergunta como os equilíbrios mudam quando os agentes se importam com a distribuição dos resultados e com as intenções alheias.</w:t>
      </w:r>
    </w:p>
    <w:bookmarkStart w:id="396" w:name="X9e27807c53fca67b063df43120f7172b5133aa1"/>
    <w:p>
      <w:pPr>
        <w:pStyle w:val="Heading4"/>
      </w:pPr>
      <w:r>
        <w:t xml:space="preserve">8.4.1 Evidência experimental: os jogos de laboratório</w:t>
      </w:r>
    </w:p>
    <w:p>
      <w:pPr>
        <w:pStyle w:val="FirstParagraph"/>
      </w:pPr>
      <w:r>
        <w:t xml:space="preserve">Três jogos experimentais formam a base empírica das preferências sociais (Dhami 2016, p. 384–404; Wilkinson e Klaes 2012, p. 397–420). A</w:t>
      </w:r>
      <w:r>
        <w:t xml:space="preserve"> </w:t>
      </w:r>
      <w:hyperlink w:anchor="tabela-8-5">
        <w:r>
          <w:rPr>
            <w:rStyle w:val="Hyperlink"/>
          </w:rPr>
          <w:t xml:space="preserve">Tabela 8.5</w:t>
        </w:r>
      </w:hyperlink>
      <w:r>
        <w:t xml:space="preserve"> </w:t>
      </w:r>
      <w:r>
        <w:t xml:space="preserve">sintetiza os resultados. O valor científico desses jogos de laboratório reside em sua</w:t>
      </w:r>
      <w:r>
        <w:t xml:space="preserve"> </w:t>
      </w:r>
      <w:r>
        <w:rPr>
          <w:b/>
          <w:bCs/>
        </w:rPr>
        <w:t xml:space="preserve">transparência estrutural</w:t>
      </w:r>
      <w:r>
        <w:t xml:space="preserve">: as regras, os payoffs e os incentivos são conhecidos por todos os participantes e pelo experimentador. Isso permite isolar o papel das preferências dos demais fatores — informação assimétrica, reputação de longo prazo, normas legais — que normalmente tornam ambíguas as inferências sobre motivações em situações de campo.</w:t>
      </w:r>
    </w:p>
    <w:p>
      <w:pPr>
        <w:pStyle w:val="BodyText"/>
      </w:pPr>
      <w:r>
        <w:rPr>
          <w:b/>
          <w:bCs/>
        </w:rPr>
        <w:t xml:space="preserve">Jogo do Ultimato (Ultimatum Game).</w:t>
      </w:r>
      <w:r>
        <w:t xml:space="preserve"> </w:t>
      </w:r>
      <w:r>
        <w:t xml:space="preserve">Um proponente P divide uma quantia</w:t>
      </w:r>
      <w:r>
        <w:t xml:space="preserve"> </w:t>
      </w:r>
      <m:oMath>
        <m:r>
          <m:t>S</m:t>
        </m:r>
      </m:oMath>
      <w:r>
        <w:t xml:space="preserve"> </w:t>
      </w:r>
      <w:r>
        <w:t xml:space="preserve">com um respondedor R. P oferece</w:t>
      </w:r>
      <w:r>
        <w:t xml:space="preserve"> </w:t>
      </w:r>
      <m:oMath>
        <m:r>
          <m:t>x</m:t>
        </m:r>
      </m:oMath>
      <w:r>
        <w:t xml:space="preserve"> </w:t>
      </w:r>
      <w:r>
        <w:t xml:space="preserve">a R e fica com</w:t>
      </w:r>
      <w:r>
        <w:t xml:space="preserve"> </w:t>
      </w:r>
      <m:oMath>
        <m:r>
          <m:t>S</m:t>
        </m:r>
        <m:r>
          <m:rPr>
            <m:sty m:val="p"/>
          </m:rPr>
          <m:t>−</m:t>
        </m:r>
        <m:r>
          <m:t>x</m:t>
        </m:r>
      </m:oMath>
      <w:r>
        <w:t xml:space="preserve">. R pode aceitar (ambos recebem os valores propostos) ou rejeitar (ambos recebem zero). O equilíbrio de Nash por indução retroativa prevê que P ofereça o mínimo possível e R aceite qualquer oferta positiva. Mas os resultados experimentais são sistematicamente diferentes:</w:t>
      </w:r>
    </w:p>
    <w:p>
      <w:pPr>
        <w:pStyle w:val="Compact"/>
        <w:numPr>
          <w:ilvl w:val="0"/>
          <w:numId w:val="1404"/>
        </w:numPr>
      </w:pPr>
      <w:r>
        <w:t xml:space="preserve">A oferta modal é de</w:t>
      </w:r>
      <w:r>
        <w:t xml:space="preserve"> </w:t>
      </w:r>
      <w:r>
        <w:rPr>
          <w:b/>
          <w:bCs/>
        </w:rPr>
        <w:t xml:space="preserve">40% a 50%</w:t>
      </w:r>
      <w:r>
        <w:t xml:space="preserve"> </w:t>
      </w:r>
      <w:r>
        <w:t xml:space="preserve">do bolo total (Güth, Schmittberger e Schwarze 1982).</w:t>
      </w:r>
    </w:p>
    <w:p>
      <w:pPr>
        <w:pStyle w:val="Compact"/>
        <w:numPr>
          <w:ilvl w:val="0"/>
          <w:numId w:val="1404"/>
        </w:numPr>
      </w:pPr>
      <w:r>
        <w:t xml:space="preserve">Ofertas abaixo de</w:t>
      </w:r>
      <w:r>
        <w:t xml:space="preserve"> </w:t>
      </w:r>
      <w:r>
        <w:rPr>
          <w:b/>
          <w:bCs/>
        </w:rPr>
        <w:t xml:space="preserve">20%</w:t>
      </w:r>
      <w:r>
        <w:t xml:space="preserve"> </w:t>
      </w:r>
      <w:r>
        <w:t xml:space="preserve">são rejeitadas em aproximadamente metade das vezes (Wilkinson e Klaes 2012, p. 416).</w:t>
      </w:r>
    </w:p>
    <w:p>
      <w:pPr>
        <w:pStyle w:val="Compact"/>
        <w:numPr>
          <w:ilvl w:val="0"/>
          <w:numId w:val="1404"/>
        </w:numPr>
      </w:pPr>
      <w:r>
        <w:t xml:space="preserve">Esses padrões são robustos a aumentos de</w:t>
      </w:r>
      <w:r>
        <w:t xml:space="preserve"> </w:t>
      </w:r>
      <w:r>
        <w:rPr>
          <w:i/>
          <w:iCs/>
        </w:rPr>
        <w:t xml:space="preserve">stakes</w:t>
      </w:r>
      <w:r>
        <w:t xml:space="preserve">: mesmo com</w:t>
      </w:r>
      <w:r>
        <w:t xml:space="preserve"> </w:t>
      </w:r>
      <m:oMath>
        <m:r>
          <m:t>S</m:t>
        </m:r>
        <m:r>
          <m:rPr>
            <m:sty m:val="p"/>
          </m:rPr>
          <m:t>=</m:t>
        </m:r>
        <m:r>
          <m:rPr>
            <m:nor/>
            <m:sty m:val="p"/>
          </m:rPr>
          <m:t>US$</m:t>
        </m:r>
        <m:r>
          <m:t> </m:t>
        </m:r>
        <m:r>
          <m:t>400</m:t>
        </m:r>
      </m:oMath>
      <w:r>
        <w:t xml:space="preserve">, um quarto dos respondedores rejeitou ofertas de US$ 100 (List e Cherry 2000).</w:t>
      </w:r>
    </w:p>
    <w:p>
      <w:pPr>
        <w:pStyle w:val="FirstParagraph"/>
      </w:pPr>
      <w:r>
        <w:rPr>
          <w:b/>
          <w:bCs/>
        </w:rPr>
        <w:t xml:space="preserve">Jogo do Ditador (Dictator Game).</w:t>
      </w:r>
      <w:r>
        <w:t xml:space="preserve"> </w:t>
      </w:r>
      <w:r>
        <w:t xml:space="preserve">Idêntico ao jogo do ultimato, mas R não pode rejeitar — recebe passivamente o que P oferece. A previsão autointeressada é</w:t>
      </w:r>
      <w:r>
        <w:t xml:space="preserve"> </w:t>
      </w:r>
      <m:oMath>
        <m:r>
          <m:t>x</m:t>
        </m:r>
        <m:r>
          <m:rPr>
            <m:sty m:val="p"/>
          </m:rPr>
          <m:t>=</m:t>
        </m:r>
        <m:r>
          <m:t>0</m:t>
        </m:r>
      </m:oMath>
      <w:r>
        <w:t xml:space="preserve">. Na prática, ditadores oferecem em média</w:t>
      </w:r>
      <w:r>
        <w:t xml:space="preserve"> </w:t>
      </w:r>
      <w:r>
        <w:rPr>
          <w:b/>
          <w:bCs/>
        </w:rPr>
        <w:t xml:space="preserve">20%</w:t>
      </w:r>
      <w:r>
        <w:t xml:space="preserve"> </w:t>
      </w:r>
      <w:r>
        <w:t xml:space="preserve">do bolo (Forsythe et al. 1994), indicando algum grau de altruísmo genuíno (não motivado pelo medo de rejeição). Com duplo-anonimato, as ofertas caem para cerca de 10% (Hoffman et al. 1994).</w:t>
      </w:r>
    </w:p>
    <w:p>
      <w:pPr>
        <w:pStyle w:val="BodyText"/>
      </w:pPr>
      <w:r>
        <w:rPr>
          <w:b/>
          <w:bCs/>
        </w:rPr>
        <w:t xml:space="preserve">Jogo da Confiança (Trust Game).</w:t>
      </w:r>
      <w:r>
        <w:t xml:space="preserve"> </w:t>
      </w:r>
      <w:r>
        <w:t xml:space="preserve">O investidor I recebe uma dotação</w:t>
      </w:r>
      <w:r>
        <w:t xml:space="preserve"> </w:t>
      </w:r>
      <m:oMath>
        <m:r>
          <m:t>E</m:t>
        </m:r>
      </m:oMath>
      <w:r>
        <w:t xml:space="preserve"> </w:t>
      </w:r>
      <w:r>
        <w:t xml:space="preserve">e decide quanto enviar ao administrador A. O valor enviado é triplicado (representando os ganhos da cooperação). A então decide quanto devolver a I. O equilíbrio autointeressado prevê que A não devolva nada e, antecipando isso, I não envie nada. Na prática, investidores enviam em média</w:t>
      </w:r>
      <w:r>
        <w:t xml:space="preserve"> </w:t>
      </w:r>
      <w:r>
        <w:rPr>
          <w:b/>
          <w:bCs/>
        </w:rPr>
        <w:t xml:space="preserve">50%</w:t>
      </w:r>
      <w:r>
        <w:t xml:space="preserve"> </w:t>
      </w:r>
      <w:r>
        <w:t xml:space="preserve">de sua dotação, e administradores devolvem em média cerca de</w:t>
      </w:r>
      <w:r>
        <w:t xml:space="preserve"> </w:t>
      </w:r>
      <w:r>
        <w:rPr>
          <w:b/>
          <w:bCs/>
        </w:rPr>
        <w:t xml:space="preserve">1/3</w:t>
      </w:r>
      <w:r>
        <w:t xml:space="preserve"> </w:t>
      </w:r>
      <w:r>
        <w:t xml:space="preserve">do valor recebido — suficiente para gerar retorno positivo ao investidor em muitos casos (Berg, Dickhaut e McCabe 1995).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Jogo</w:t>
            </w:r>
          </w:p>
        </w:tc>
        <w:tc>
          <w:tcPr/>
          <w:p>
            <w:pPr>
              <w:pStyle w:val="Compact"/>
            </w:pPr>
            <w:r>
              <w:t xml:space="preserve">Previsão UE autointeressada</w:t>
            </w:r>
          </w:p>
        </w:tc>
        <w:tc>
          <w:tcPr/>
          <w:p>
            <w:pPr>
              <w:pStyle w:val="Compact"/>
            </w:pPr>
            <w:r>
              <w:t xml:space="preserve">Resultado experimental típico</w:t>
            </w:r>
          </w:p>
        </w:tc>
      </w:tr>
      <w:tr>
        <w:tc>
          <w:tcPr/>
          <w:p>
            <w:pPr>
              <w:pStyle w:val="Compact"/>
            </w:pPr>
            <w:r>
              <w:t xml:space="preserve">Ultimato</w:t>
            </w:r>
          </w:p>
        </w:tc>
        <w:tc>
          <w:tcPr/>
          <w:p>
            <w:pPr>
              <w:pStyle w:val="Compact"/>
            </w:pPr>
            <w:r>
              <w:t xml:space="preserve">P oferece</w:t>
            </w:r>
            <w:r>
              <w:t xml:space="preserve"> </w:t>
            </w:r>
            <m:oMath>
              <m:r>
                <m:rPr>
                  <m:sty m:val="p"/>
                </m:rPr>
                <m:t>≈</m:t>
              </m:r>
              <m:r>
                <m:t>0</m:t>
              </m:r>
            </m:oMath>
            <w:r>
              <w:t xml:space="preserve">; R aceita qualquer</w:t>
            </w:r>
            <w:r>
              <w:t xml:space="preserve"> </w:t>
            </w:r>
            <m:oMath>
              <m:r>
                <m:t>x</m:t>
              </m:r>
              <m:r>
                <m:rPr>
                  <m:sty m:val="p"/>
                </m:rPr>
                <m:t>&gt;</m:t>
              </m:r>
              <m:r>
                <m:t>0</m:t>
              </m:r>
            </m:oMath>
          </w:p>
        </w:tc>
        <w:tc>
          <w:tcPr/>
          <w:p>
            <w:pPr>
              <w:pStyle w:val="Compact"/>
            </w:pPr>
            <w:r>
              <w:t xml:space="preserve">Oferta modal 40–50%; rejeição de ofertas</w:t>
            </w:r>
            <w:r>
              <w:t xml:space="preserve"> </w:t>
            </w:r>
            <m:oMath>
              <m:r>
                <m:rPr>
                  <m:sty m:val="p"/>
                </m:rPr>
                <m:t>&lt;</m:t>
              </m:r>
              <m:r>
                <m:t>20</m:t>
              </m:r>
              <m:r>
                <m:rPr>
                  <m:sty m:val="p"/>
                </m:rPr>
                <m:t>%</m:t>
              </m:r>
            </m:oMath>
          </w:p>
        </w:tc>
      </w:tr>
      <w:tr>
        <w:tc>
          <w:tcPr/>
          <w:p>
            <w:pPr>
              <w:pStyle w:val="Compact"/>
            </w:pPr>
            <w:r>
              <w:t xml:space="preserve">Ditador</w:t>
            </w:r>
          </w:p>
        </w:tc>
        <w:tc>
          <w:tcPr/>
          <w:p>
            <w:pPr>
              <w:pStyle w:val="Compact"/>
            </w:pPr>
            <w:r>
              <w:t xml:space="preserve">P oferece</w:t>
            </w:r>
            <w:r>
              <w:t xml:space="preserve"> </w:t>
            </w:r>
            <m:oMath>
              <m:r>
                <m:t>x</m:t>
              </m:r>
              <m:r>
                <m:rPr>
                  <m:sty m:val="p"/>
                </m:rPr>
                <m:t>=</m:t>
              </m:r>
              <m:r>
                <m:t>0</m:t>
              </m:r>
            </m:oMath>
          </w:p>
        </w:tc>
        <w:tc>
          <w:tcPr/>
          <w:p>
            <w:pPr>
              <w:pStyle w:val="Compact"/>
            </w:pPr>
            <w:r>
              <w:t xml:space="preserve">Oferta média</w:t>
            </w:r>
            <w:r>
              <w:t xml:space="preserve"> </w:t>
            </w:r>
            <m:oMath>
              <m:r>
                <m:rPr>
                  <m:sty m:val="p"/>
                </m:rPr>
                <m:t>≈</m:t>
              </m:r>
              <m:r>
                <m:t>20</m:t>
              </m:r>
              <m:r>
                <m:rPr>
                  <m:sty m:val="p"/>
                </m:rPr>
                <m:t>%</m:t>
              </m:r>
            </m:oMath>
          </w:p>
        </w:tc>
      </w:tr>
      <w:tr>
        <w:tc>
          <w:tcPr/>
          <w:p>
            <w:pPr>
              <w:pStyle w:val="Compact"/>
            </w:pPr>
            <w:r>
              <w:t xml:space="preserve">Confiança</w:t>
            </w:r>
          </w:p>
        </w:tc>
        <w:tc>
          <w:tcPr/>
          <w:p>
            <w:pPr>
              <w:pStyle w:val="Compact"/>
            </w:pPr>
            <w:r>
              <w:t xml:space="preserve">I envia 0; A devolve 0</w:t>
            </w:r>
          </w:p>
        </w:tc>
        <w:tc>
          <w:tcPr/>
          <w:p>
            <w:pPr>
              <w:pStyle w:val="Compact"/>
            </w:pPr>
            <w:r>
              <w:t xml:space="preserve">I envia</w:t>
            </w:r>
            <w:r>
              <w:t xml:space="preserve"> </w:t>
            </w:r>
            <m:oMath>
              <m:r>
                <m:rPr>
                  <m:sty m:val="p"/>
                </m:rPr>
                <m:t>≈</m:t>
              </m:r>
              <m:r>
                <m:t>50</m:t>
              </m:r>
              <m:r>
                <m:rPr>
                  <m:sty m:val="p"/>
                </m:rPr>
                <m:t>%</m:t>
              </m:r>
            </m:oMath>
            <w:r>
              <w:t xml:space="preserve">; A devolve</w:t>
            </w:r>
            <w:r>
              <w:t xml:space="preserve"> </w:t>
            </w:r>
            <m:oMath>
              <m:r>
                <m:rPr>
                  <m:sty m:val="p"/>
                </m:rPr>
                <m:t>≈</m:t>
              </m:r>
              <m:r>
                <m:t>33</m:t>
              </m:r>
              <m:r>
                <m:rPr>
                  <m:sty m:val="p"/>
                </m:rPr>
                <m:t>%</m:t>
              </m:r>
            </m:oMath>
            <w:r>
              <w:t xml:space="preserve"> </w:t>
            </w:r>
            <w:r>
              <w:t xml:space="preserve">do recebido</w:t>
            </w:r>
          </w:p>
        </w:tc>
      </w:tr>
      <w:tr>
        <w:tc>
          <w:tcPr/>
          <w:p>
            <w:pPr>
              <w:pStyle w:val="Compact"/>
            </w:pPr>
            <w:r>
              <w:t xml:space="preserve">Bens públicos (sem punição)</w:t>
            </w:r>
          </w:p>
        </w:tc>
        <w:tc>
          <w:tcPr/>
          <w:p>
            <w:pPr>
              <w:pStyle w:val="Compact"/>
            </w:pPr>
            <w:r>
              <w:t xml:space="preserve">Contribuição = 0</w:t>
            </w:r>
          </w:p>
        </w:tc>
        <w:tc>
          <w:tcPr/>
          <w:p>
            <w:pPr>
              <w:pStyle w:val="Compact"/>
            </w:pPr>
            <w:r>
              <w:t xml:space="preserve">Contribuição inicial</w:t>
            </w:r>
            <w:r>
              <w:t xml:space="preserve"> </w:t>
            </w:r>
            <m:oMath>
              <m:r>
                <m:rPr>
                  <m:sty m:val="p"/>
                </m:rPr>
                <m:t>≈</m:t>
              </m:r>
              <m:r>
                <m:t>40</m:t>
              </m:r>
              <m:r>
                <m:rPr>
                  <m:sty m:val="p"/>
                </m:rPr>
                <m:t>−</m:t>
              </m:r>
              <m:r>
                <m:t>60</m:t>
              </m:r>
              <m:r>
                <m:rPr>
                  <m:sty m:val="p"/>
                </m:rPr>
                <m:t>%</m:t>
              </m:r>
            </m:oMath>
            <w:r>
              <w:t xml:space="preserve">; decai com repetição</w:t>
            </w:r>
          </w:p>
        </w:tc>
      </w:tr>
      <w:tr>
        <w:tc>
          <w:tcPr/>
          <w:p>
            <w:pPr>
              <w:pStyle w:val="Compact"/>
            </w:pPr>
            <w:r>
              <w:t xml:space="preserve">Bens públicos (com punição)</w:t>
            </w:r>
          </w:p>
        </w:tc>
        <w:tc>
          <w:tcPr/>
          <w:p>
            <w:pPr>
              <w:pStyle w:val="Compact"/>
            </w:pPr>
            <w:r>
              <w:t xml:space="preserve">Contribuição = 0</w:t>
            </w:r>
          </w:p>
        </w:tc>
        <w:tc>
          <w:tcPr/>
          <w:p>
            <w:pPr>
              <w:pStyle w:val="Compact"/>
            </w:pPr>
            <w:r>
              <w:t xml:space="preserve">Contribuição estável</w:t>
            </w:r>
            <w:r>
              <w:t xml:space="preserve"> </w:t>
            </w:r>
            <m:oMath>
              <m:r>
                <m:rPr>
                  <m:sty m:val="p"/>
                </m:rPr>
                <m:t>≈</m:t>
              </m:r>
              <m:r>
                <m:t>50</m:t>
              </m:r>
              <m:r>
                <m:rPr>
                  <m:sty m:val="p"/>
                </m:rPr>
                <m:t>−</m:t>
              </m:r>
              <m:r>
                <m:t>80</m:t>
              </m:r>
              <m:r>
                <m:rPr>
                  <m:sty m:val="p"/>
                </m:rPr>
                <m:t>%</m:t>
              </m:r>
            </m:oMath>
          </w:p>
        </w:tc>
      </w:tr>
    </w:tbl>
    <w:p>
      <w:pPr>
        <w:pStyle w:val="BodyText"/>
      </w:pPr>
      <w:r>
        <w:rPr>
          <w:b/>
          <w:bCs/>
        </w:rPr>
        <w:t xml:space="preserve">Tabela 8.5 — Resultados experimentais vs. previsão autointeressada.</w:t>
      </w:r>
    </w:p>
    <w:p>
      <w:pPr>
        <w:pStyle w:val="BlockText"/>
      </w:pPr>
      <w:r>
        <w:rPr>
          <w:b/>
          <w:bCs/>
        </w:rPr>
        <w:t xml:space="preserve">[INTUICAO ECONOMICA] Intuição Econômica</w:t>
      </w:r>
    </w:p>
    <w:p>
      <w:pPr>
        <w:pStyle w:val="BlockText"/>
      </w:pPr>
      <w:r>
        <w:rPr>
          <w:b/>
          <w:bCs/>
        </w:rPr>
        <w:t xml:space="preserve">Em uma frase:</w:t>
      </w:r>
      <w:r>
        <w:t xml:space="preserve"> </w:t>
      </w:r>
      <w:r>
        <w:t xml:space="preserve">No jogo do ultimato, as pessoas rejeitam ofertas</w:t>
      </w:r>
      <w:r>
        <w:t xml:space="preserve"> </w:t>
      </w:r>
      <w:r>
        <w:t xml:space="preserve">“injustas”</w:t>
      </w:r>
      <w:r>
        <w:t xml:space="preserve"> </w:t>
      </w:r>
      <w:r>
        <w:t xml:space="preserve">mesmo perdendo dinheiro — porque a dor da desigualdade supera o benefício monetário da aceitação.</w:t>
      </w:r>
    </w:p>
    <w:p>
      <w:pPr>
        <w:pStyle w:val="BlockText"/>
      </w:pPr>
      <w:r>
        <w:rPr>
          <w:b/>
          <w:bCs/>
        </w:rPr>
        <w:t xml:space="preserve">Pense assim:</w:t>
      </w:r>
      <w:r>
        <w:t xml:space="preserve"> </w:t>
      </w:r>
      <w:r>
        <w:t xml:space="preserve">Imagine que alguém vai dividir R$ 200 com você. Ela fica com R$ 170 e oferece R$ 30 para você. Você aceita? A teoria padrão diz</w:t>
      </w:r>
      <w:r>
        <w:t xml:space="preserve"> </w:t>
      </w:r>
      <w:r>
        <w:t xml:space="preserve">“sim, R$ 30 &gt; R$ 0”</w:t>
      </w:r>
      <w:r>
        <w:t xml:space="preserve">. Mas a maioria das pessoas rejeita — R$ 30 de uma divisão de R$ 200 (15%) é percebido como uma afrontação, e a dor de aceitar algo</w:t>
      </w:r>
      <w:r>
        <w:t xml:space="preserve"> </w:t>
      </w:r>
      <w:r>
        <w:t xml:space="preserve">“injusto”</w:t>
      </w:r>
      <w:r>
        <w:t xml:space="preserve"> </w:t>
      </w:r>
      <w:r>
        <w:t xml:space="preserve">supera o ganho de R$ 30. Esse mesmo mecanismo aparece em negociações salariais: trabalhadores rejeitam propostas que percebem como desvantajosas em relação aos colegas, mesmo que o salário em valor absoluto seja adequado.</w:t>
      </w:r>
    </w:p>
    <w:p>
      <w:pPr>
        <w:pStyle w:val="BlockText"/>
      </w:pPr>
      <w:r>
        <w:rPr>
          <w:b/>
          <w:bCs/>
        </w:rPr>
        <w:t xml:space="preserve">Por que isso importa:</w:t>
      </w:r>
      <w:r>
        <w:t xml:space="preserve"> </w:t>
      </w:r>
      <w:r>
        <w:t xml:space="preserve">O equilíbrio de Nash por indução retroativa prevê que qualquer oferta positiva seja aceita — mas essa previsão falha sistematicamente. Qualquer modelo de barganha aplicado a negociações trabalhistas, contratos públicos ou fusões corporativas precisa levar em conta que os agentes reais têm um</w:t>
      </w:r>
      <w:r>
        <w:t xml:space="preserve"> </w:t>
      </w:r>
      <w:r>
        <w:t xml:space="preserve">“preço da dignidade”</w:t>
      </w:r>
      <w:r>
        <w:t xml:space="preserve"> </w:t>
      </w:r>
      <w:r>
        <w:t xml:space="preserve">— um limiar abaixo do qual preferem o impasse à capitulação.</w:t>
      </w:r>
    </w:p>
    <w:p>
      <w:pPr>
        <w:pStyle w:val="BlockText"/>
      </w:pPr>
      <w:r>
        <w:rPr>
          <w:b/>
          <w:bCs/>
        </w:rPr>
        <w:t xml:space="preserve">[BOX BRASIL] Box Brasil 8.5: Preferências sociais e informalidade fiscal</w:t>
      </w:r>
    </w:p>
    <w:p>
      <w:pPr>
        <w:pStyle w:val="BlockText"/>
      </w:pPr>
      <w:r>
        <w:t xml:space="preserve">A alta tolerância à informalidade fiscal no Brasil pode ser interpretada à luz das preferências sociais. Quando os contribuintes percebem que o sistema tributário é</w:t>
      </w:r>
      <w:r>
        <w:t xml:space="preserve"> </w:t>
      </w:r>
      <w:r>
        <w:rPr>
          <w:b/>
          <w:bCs/>
        </w:rPr>
        <w:t xml:space="preserve">inequitativo</w:t>
      </w:r>
      <w:r>
        <w:t xml:space="preserve"> </w:t>
      </w:r>
      <w:r>
        <w:t xml:space="preserve">— com altas alíquotas sobre o trabalho formal e baixa tributação sobre lucros e dividendos —, a reciprocidade negativa pode reduzir a disposição a pagar impostos. Pesquisas de opinião do Ipea indicam que a percepção de injustiça fiscal é um dos principais fatores associados à tolerância com a evasão tributária. O modelo de Fehr-Schmidt (Seção 8.4.2) prevê exatamente esse padrão: agentes com alta aversão à desvantagem (</w:t>
      </w:r>
      <m:oMath>
        <m:sSub>
          <m:e>
            <m:r>
              <m:t>α</m:t>
            </m:r>
          </m:e>
          <m:sub>
            <m:r>
              <m:t>i</m:t>
            </m:r>
          </m:sub>
        </m:sSub>
      </m:oMath>
      <w:r>
        <w:t xml:space="preserve"> </w:t>
      </w:r>
      <w:r>
        <w:t xml:space="preserve">elevado) podem preferir a</w:t>
      </w:r>
      <w:r>
        <w:t xml:space="preserve"> </w:t>
      </w:r>
      <w:r>
        <w:t xml:space="preserve">“punição”</w:t>
      </w:r>
      <w:r>
        <w:t xml:space="preserve"> </w:t>
      </w:r>
      <w:r>
        <w:t xml:space="preserve">de não cooperar a aceitar uma distribuição percebida como injusta.</w:t>
      </w:r>
    </w:p>
    <w:bookmarkEnd w:id="396"/>
    <w:bookmarkStart w:id="397" w:name="X4623f3965c94e8e22dc7275f19fb40d3c6b2198"/>
    <w:p>
      <w:pPr>
        <w:pStyle w:val="Heading4"/>
      </w:pPr>
      <w:r>
        <w:t xml:space="preserve">8.4.2 O modelo de Fehr-Schmidt (aversão à inequidade)</w:t>
      </w:r>
    </w:p>
    <w:p>
      <w:pPr>
        <w:pStyle w:val="FirstParagraph"/>
      </w:pPr>
      <w:r>
        <w:t xml:space="preserve">Os experimentos da subseção anterior documentam o fenômeno — as pessoas se importam com a justiça distributiva. Mas como incorporar essas preferências em um modelo formal que gere previsões testáveis? É necessário ir além da observação empírica e construir uma função de utilidade que capture a aversão à desigualdade de forma tratável e elegante.</w:t>
      </w:r>
    </w:p>
    <w:p>
      <w:pPr>
        <w:pStyle w:val="BodyText"/>
      </w:pPr>
      <w:r>
        <w:t xml:space="preserve">O modelo de Fehr-Schmidt tem um mérito metodológico crucial: é parcimoniosa. Adiciona apenas dois parâmetros (</w:t>
      </w:r>
      <m:oMath>
        <m:sSub>
          <m:e>
            <m:r>
              <m:t>α</m:t>
            </m:r>
          </m:e>
          <m:sub>
            <m:r>
              <m:t>i</m:t>
            </m:r>
          </m:sub>
        </m:sSub>
      </m:oMath>
      <w:r>
        <w:t xml:space="preserve"> </w:t>
      </w:r>
      <w:r>
        <w:t xml:space="preserve">e</w:t>
      </w:r>
      <w:r>
        <w:t xml:space="preserve"> </w:t>
      </w:r>
      <m:oMath>
        <m:sSub>
          <m:e>
            <m:r>
              <m:t>β</m:t>
            </m:r>
          </m:e>
          <m:sub>
            <m:r>
              <m:t>i</m:t>
            </m:r>
          </m:sub>
        </m:sSub>
      </m:oMath>
      <w:r>
        <w:t xml:space="preserve">) ao modelo padrão e, com isso, explica um conjunto muito amplo de resultados experimentais. Essa parcimônia não é cosmética — quanto mais parâmetros um modelo tem, mais fácil é ajustá-lo a dados já observados, mas menor é seu poder preditivo para novos contextos. A robustez do modelo de Fehr-Schmidt, confirmada em inúmeros estudos de replicação e em contextos culturais muito distintos, sugere que a aversão à inequidade é um traço humano genuinamente universal, ainda que com variações quantitativas entre populações e contextos.</w:t>
      </w:r>
    </w:p>
    <w:p>
      <w:pPr>
        <w:pStyle w:val="BodyText"/>
      </w:pPr>
      <w:r>
        <w:t xml:space="preserve">Fehr e Schmidt (1999) formalizaram as preferências sociais com um modelo elegante de</w:t>
      </w:r>
      <w:r>
        <w:t xml:space="preserve"> </w:t>
      </w:r>
      <w:r>
        <w:rPr>
          <w:b/>
          <w:bCs/>
        </w:rPr>
        <w:t xml:space="preserve">aversão à inequidade</w:t>
      </w:r>
      <w:r>
        <w:t xml:space="preserve">. Em um grupo de</w:t>
      </w:r>
      <w:r>
        <w:t xml:space="preserve"> </w:t>
      </w:r>
      <m:oMath>
        <m:r>
          <m:t>n</m:t>
        </m:r>
      </m:oMath>
      <w:r>
        <w:t xml:space="preserve"> </w:t>
      </w:r>
      <w:r>
        <w:t xml:space="preserve">jogadores com payoffs</w:t>
      </w:r>
      <w:r>
        <w:t xml:space="preserve"> </w:t>
      </w:r>
      <m:oMath>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oMath>
      <w:r>
        <w:t xml:space="preserve">, a utilidade do jogador</w:t>
      </w:r>
      <w:r>
        <w:t xml:space="preserve"> </w:t>
      </w:r>
      <m:oMath>
        <m:r>
          <m:t>i</m:t>
        </m:r>
      </m:oMath>
      <w:r>
        <w:t xml:space="preserve"> </w:t>
      </w:r>
      <w:r>
        <w:t xml:space="preserve">é:</w:t>
      </w:r>
    </w:p>
    <w:p>
      <w:pPr>
        <w:pStyle w:val="BodyText"/>
      </w:pPr>
      <m:oMathPara>
        <m:oMathParaPr>
          <m:jc m:val="center"/>
        </m:oMathParaPr>
        <m:oMath>
          <m:sSub>
            <m:e>
              <m:r>
                <m:t>U</m:t>
              </m:r>
            </m:e>
            <m:sub>
              <m:r>
                <m:t>i</m:t>
              </m:r>
            </m:sub>
          </m:sSub>
          <m:r>
            <m:rPr>
              <m:sty m:val="p"/>
            </m:rPr>
            <m:t>(</m:t>
          </m:r>
          <m:r>
            <m:rPr>
              <m:sty m:val="bi"/>
            </m:rPr>
            <m:t>y</m:t>
          </m:r>
          <m:r>
            <m:rPr>
              <m:sty m:val="p"/>
            </m:rPr>
            <m:t>)</m:t>
          </m:r>
          <m:r>
            <m:rPr>
              <m:sty m:val="p"/>
            </m:rPr>
            <m:t>=</m:t>
          </m:r>
          <m:sSub>
            <m:e>
              <m:r>
                <m:t>y</m:t>
              </m:r>
            </m:e>
            <m:sub>
              <m:r>
                <m:t>i</m:t>
              </m:r>
            </m:sub>
          </m:sSub>
          <m:r>
            <m:rPr>
              <m:sty m:val="p"/>
            </m:rPr>
            <m:t>−</m:t>
          </m:r>
          <m:f>
            <m:fPr>
              <m:type m:val="bar"/>
            </m:fPr>
            <m:num>
              <m:sSub>
                <m:e>
                  <m:r>
                    <m:t>α</m:t>
                  </m:r>
                </m:e>
                <m:sub>
                  <m:r>
                    <m:t>i</m:t>
                  </m:r>
                </m:sub>
              </m:sSub>
            </m:num>
            <m:den>
              <m:r>
                <m:t>n</m:t>
              </m:r>
              <m:r>
                <m:rPr>
                  <m:sty m:val="p"/>
                </m:rPr>
                <m:t>−</m:t>
              </m:r>
              <m:r>
                <m:t>1</m:t>
              </m:r>
            </m:den>
          </m:f>
          <m:nary>
            <m:naryPr>
              <m:chr m:val="∑"/>
              <m:limLoc m:val="undOvr"/>
              <m:subHide m:val="off"/>
              <m:supHide m:val="on"/>
            </m:naryPr>
            <m:sub>
              <m:r>
                <m:t>j</m:t>
              </m:r>
              <m:r>
                <m:rPr>
                  <m:sty m:val="p"/>
                </m:rPr>
                <m:t>≠</m:t>
              </m:r>
              <m:r>
                <m:t>i</m:t>
              </m:r>
            </m:sub>
            <m:sup>
              <m:r>
                <m:t>​</m:t>
              </m:r>
            </m:sup>
            <m:e>
              <m:r>
                <m:rPr>
                  <m:sty m:val="p"/>
                </m:rPr>
                <m:t>max</m:t>
              </m:r>
            </m:e>
          </m:nary>
          <m:r>
            <m:rPr>
              <m:sty m:val="p"/>
            </m:rPr>
            <m:t>(</m:t>
          </m:r>
          <m:sSub>
            <m:e>
              <m:r>
                <m:t>y</m:t>
              </m:r>
            </m:e>
            <m:sub>
              <m:r>
                <m:t>j</m:t>
              </m:r>
            </m:sub>
          </m:sSub>
          <m:r>
            <m:rPr>
              <m:sty m:val="p"/>
            </m:rPr>
            <m:t>−</m:t>
          </m:r>
          <m:sSub>
            <m:e>
              <m:r>
                <m:t>y</m:t>
              </m:r>
            </m:e>
            <m:sub>
              <m:r>
                <m:t>i</m:t>
              </m:r>
            </m:sub>
          </m:sSub>
          <m:r>
            <m:rPr>
              <m:sty m:val="p"/>
            </m:rPr>
            <m:t>,</m:t>
          </m:r>
          <m:r>
            <m:t> </m:t>
          </m:r>
          <m:r>
            <m:t>0</m:t>
          </m:r>
          <m:r>
            <m:rPr>
              <m:sty m:val="p"/>
            </m:rPr>
            <m:t>)</m:t>
          </m:r>
          <m:r>
            <m:rPr>
              <m:sty m:val="p"/>
            </m:rPr>
            <m:t>−</m:t>
          </m:r>
          <m:f>
            <m:fPr>
              <m:type m:val="bar"/>
            </m:fPr>
            <m:num>
              <m:sSub>
                <m:e>
                  <m:r>
                    <m:t>β</m:t>
                  </m:r>
                </m:e>
                <m:sub>
                  <m:r>
                    <m:t>i</m:t>
                  </m:r>
                </m:sub>
              </m:sSub>
            </m:num>
            <m:den>
              <m:r>
                <m:t>n</m:t>
              </m:r>
              <m:r>
                <m:rPr>
                  <m:sty m:val="p"/>
                </m:rPr>
                <m:t>−</m:t>
              </m:r>
              <m:r>
                <m:t>1</m:t>
              </m:r>
            </m:den>
          </m:f>
          <m:nary>
            <m:naryPr>
              <m:chr m:val="∑"/>
              <m:limLoc m:val="undOvr"/>
              <m:subHide m:val="off"/>
              <m:supHide m:val="on"/>
            </m:naryPr>
            <m:sub>
              <m:r>
                <m:t>j</m:t>
              </m:r>
              <m:r>
                <m:rPr>
                  <m:sty m:val="p"/>
                </m:rPr>
                <m:t>≠</m:t>
              </m:r>
              <m:r>
                <m:t>i</m:t>
              </m:r>
            </m:sub>
            <m:sup>
              <m:r>
                <m:t>​</m:t>
              </m:r>
            </m:sup>
            <m:e>
              <m:r>
                <m:rPr>
                  <m:sty m:val="p"/>
                </m:rPr>
                <m:t>max</m:t>
              </m:r>
            </m:e>
          </m:nary>
          <m:r>
            <m:rPr>
              <m:sty m:val="p"/>
            </m:rPr>
            <m:t>(</m:t>
          </m:r>
          <m:sSub>
            <m:e>
              <m:r>
                <m:t>y</m:t>
              </m:r>
            </m:e>
            <m:sub>
              <m:r>
                <m:t>i</m:t>
              </m:r>
            </m:sub>
          </m:sSub>
          <m:r>
            <m:rPr>
              <m:sty m:val="p"/>
            </m:rPr>
            <m:t>−</m:t>
          </m:r>
          <m:sSub>
            <m:e>
              <m:r>
                <m:t>y</m:t>
              </m:r>
            </m:e>
            <m:sub>
              <m:r>
                <m:t>j</m:t>
              </m:r>
            </m:sub>
          </m:sSub>
          <m:r>
            <m:rPr>
              <m:sty m:val="p"/>
            </m:rPr>
            <m:t>,</m:t>
          </m:r>
          <m:r>
            <m:t> </m:t>
          </m:r>
          <m:r>
            <m:t>0</m:t>
          </m:r>
          <m:r>
            <m:rPr>
              <m:sty m:val="p"/>
            </m:rPr>
            <m:t>)</m:t>
          </m:r>
        </m:oMath>
      </m:oMathPara>
    </w:p>
    <w:p>
      <w:pPr>
        <w:pStyle w:val="FirstParagraph"/>
      </w:pPr>
      <w:r>
        <w:t xml:space="preserve">onde:</w:t>
      </w:r>
    </w:p>
    <w:p>
      <w:pPr>
        <w:pStyle w:val="Compact"/>
        <w:numPr>
          <w:ilvl w:val="0"/>
          <w:numId w:val="1405"/>
        </w:numPr>
      </w:pPr>
      <m:oMath>
        <m:sSub>
          <m:e>
            <m:r>
              <m:t>α</m:t>
            </m:r>
          </m:e>
          <m:sub>
            <m:r>
              <m:t>i</m:t>
            </m:r>
          </m:sub>
        </m:sSub>
        <m:r>
          <m:rPr>
            <m:sty m:val="p"/>
          </m:rPr>
          <m:t>≥</m:t>
        </m:r>
        <m:r>
          <m:t>0</m:t>
        </m:r>
      </m:oMath>
      <w:r>
        <w:t xml:space="preserve"> </w:t>
      </w:r>
      <w:r>
        <w:t xml:space="preserve">mede a</w:t>
      </w:r>
      <w:r>
        <w:t xml:space="preserve"> </w:t>
      </w:r>
      <w:r>
        <w:rPr>
          <w:b/>
          <w:bCs/>
        </w:rPr>
        <w:t xml:space="preserve">aversão à inequidade desvantajosa</w:t>
      </w:r>
      <w:r>
        <w:t xml:space="preserve"> </w:t>
      </w:r>
      <w:r>
        <w:t xml:space="preserve">(a dor de ganhar menos que os outros).</w:t>
      </w:r>
    </w:p>
    <w:p>
      <w:pPr>
        <w:pStyle w:val="Compact"/>
        <w:numPr>
          <w:ilvl w:val="0"/>
          <w:numId w:val="1405"/>
        </w:numPr>
      </w:pPr>
      <m:oMath>
        <m:r>
          <m:t>0</m:t>
        </m:r>
        <m:r>
          <m:rPr>
            <m:sty m:val="p"/>
          </m:rPr>
          <m:t>≤</m:t>
        </m:r>
        <m:sSub>
          <m:e>
            <m:r>
              <m:t>β</m:t>
            </m:r>
          </m:e>
          <m:sub>
            <m:r>
              <m:t>i</m:t>
            </m:r>
          </m:sub>
        </m:sSub>
        <m:r>
          <m:rPr>
            <m:sty m:val="p"/>
          </m:rPr>
          <m:t>&lt;</m:t>
        </m:r>
        <m:r>
          <m:t>1</m:t>
        </m:r>
      </m:oMath>
      <w:r>
        <w:t xml:space="preserve"> </w:t>
      </w:r>
      <w:r>
        <w:t xml:space="preserve">mede a</w:t>
      </w:r>
      <w:r>
        <w:t xml:space="preserve"> </w:t>
      </w:r>
      <w:r>
        <w:rPr>
          <w:b/>
          <w:bCs/>
        </w:rPr>
        <w:t xml:space="preserve">aversão à inequidade vantajosa</w:t>
      </w:r>
      <w:r>
        <w:t xml:space="preserve"> </w:t>
      </w:r>
      <w:r>
        <w:t xml:space="preserve">(o desconforto de ganhar mais que os outros).</w:t>
      </w:r>
    </w:p>
    <w:p>
      <w:pPr>
        <w:pStyle w:val="Compact"/>
        <w:numPr>
          <w:ilvl w:val="0"/>
          <w:numId w:val="1405"/>
        </w:numPr>
      </w:pPr>
      <w:r>
        <w:t xml:space="preserve">Na equação Eq. (eq:8.4), a restrição</w:t>
      </w:r>
      <w:r>
        <w:t xml:space="preserve"> </w:t>
      </w:r>
      <m:oMath>
        <m:sSub>
          <m:e>
            <m:r>
              <m:t>β</m:t>
            </m:r>
          </m:e>
          <m:sub>
            <m:r>
              <m:t>i</m:t>
            </m:r>
          </m:sub>
        </m:sSub>
        <m:r>
          <m:rPr>
            <m:sty m:val="p"/>
          </m:rPr>
          <m:t>≤</m:t>
        </m:r>
        <m:sSub>
          <m:e>
            <m:r>
              <m:t>α</m:t>
            </m:r>
          </m:e>
          <m:sub>
            <m:r>
              <m:t>i</m:t>
            </m:r>
          </m:sub>
        </m:sSub>
      </m:oMath>
      <w:r>
        <w:t xml:space="preserve"> </w:t>
      </w:r>
      <w:r>
        <w:t xml:space="preserve">garante que a inequidade desvantajosa dói mais que a vantajosa — as pessoas sofrem mais quando estão</w:t>
      </w:r>
      <w:r>
        <w:t xml:space="preserve"> </w:t>
      </w:r>
      <w:r>
        <w:t xml:space="preserve">“por baixo”</w:t>
      </w:r>
      <w:r>
        <w:t xml:space="preserve"> </w:t>
      </w:r>
      <w:r>
        <w:t xml:space="preserve">do que quando estão</w:t>
      </w:r>
      <w:r>
        <w:t xml:space="preserve"> </w:t>
      </w:r>
      <w:r>
        <w:t xml:space="preserve">“por cima”</w:t>
      </w:r>
      <w:r>
        <w:t xml:space="preserve">.</w:t>
      </w:r>
    </w:p>
    <w:p>
      <w:pPr>
        <w:pStyle w:val="BlockText"/>
      </w:pPr>
      <w:r>
        <w:rPr>
          <w:b/>
          <w:bCs/>
        </w:rPr>
        <w:t xml:space="preserve">[DEFINICAO] Aversão à inequidade (Fehr-Schmidt)</w:t>
      </w:r>
    </w:p>
    <w:p>
      <w:pPr>
        <w:pStyle w:val="BlockText"/>
      </w:pPr>
      <w:r>
        <w:t xml:space="preserve">O modelo de Fehr-Schmidt assume que os agentes comparam seus payoffs com os dos demais membros do grupo de referência. A utilidade diminui tanto quando o agente ganha menos que os outros (</w:t>
      </w:r>
      <w:r>
        <w:rPr>
          <w:b/>
          <w:bCs/>
        </w:rPr>
        <w:t xml:space="preserve">inequidade desvantajosa</w:t>
      </w:r>
      <w:r>
        <w:t xml:space="preserve">, ponderada por</w:t>
      </w:r>
      <w:r>
        <w:t xml:space="preserve"> </w:t>
      </w:r>
      <m:oMath>
        <m:sSub>
          <m:e>
            <m:r>
              <m:t>α</m:t>
            </m:r>
          </m:e>
          <m:sub>
            <m:r>
              <m:t>i</m:t>
            </m:r>
          </m:sub>
        </m:sSub>
      </m:oMath>
      <w:r>
        <w:t xml:space="preserve">) quanto quando ganha mais (</w:t>
      </w:r>
      <w:r>
        <w:rPr>
          <w:b/>
          <w:bCs/>
        </w:rPr>
        <w:t xml:space="preserve">inequidade vantajosa</w:t>
      </w:r>
      <w:r>
        <w:t xml:space="preserve">, ponderada por</w:t>
      </w:r>
      <w:r>
        <w:t xml:space="preserve"> </w:t>
      </w:r>
      <m:oMath>
        <m:sSub>
          <m:e>
            <m:r>
              <m:t>β</m:t>
            </m:r>
          </m:e>
          <m:sub>
            <m:r>
              <m:t>i</m:t>
            </m:r>
          </m:sub>
        </m:sSub>
      </m:oMath>
      <w:r>
        <w:t xml:space="preserve">). A restrição</w:t>
      </w:r>
      <w:r>
        <w:t xml:space="preserve"> </w:t>
      </w:r>
      <m:oMath>
        <m:sSub>
          <m:e>
            <m:r>
              <m:t>β</m:t>
            </m:r>
          </m:e>
          <m:sub>
            <m:r>
              <m:t>i</m:t>
            </m:r>
          </m:sub>
        </m:sSub>
        <m:r>
          <m:rPr>
            <m:sty m:val="p"/>
          </m:rPr>
          <m:t>&lt;</m:t>
        </m:r>
        <m:sSub>
          <m:e>
            <m:r>
              <m:t>α</m:t>
            </m:r>
          </m:e>
          <m:sub>
            <m:r>
              <m:t>i</m:t>
            </m:r>
          </m:sub>
        </m:sSub>
      </m:oMath>
      <w:r>
        <w:t xml:space="preserve"> </w:t>
      </w:r>
      <w:r>
        <w:t xml:space="preserve">reflete a assimetria empírica: o ressentimento de ficar atrás é mais forte que a culpa de ficar à frente.</w:t>
      </w:r>
    </w:p>
    <w:p>
      <w:pPr>
        <w:pStyle w:val="FirstParagraph"/>
      </w:pPr>
      <w:r>
        <w:rPr>
          <w:b/>
          <w:bCs/>
        </w:rPr>
        <w:t xml:space="preserve">Aplicação ao jogo do ultimato (caso de 2 jogadores).</w:t>
      </w:r>
      <w:r>
        <w:t xml:space="preserve"> </w:t>
      </w:r>
      <w:r>
        <w:t xml:space="preserve">Com</w:t>
      </w:r>
      <w:r>
        <w:t xml:space="preserve"> </w:t>
      </w:r>
      <m:oMath>
        <m:r>
          <m:t>n</m:t>
        </m:r>
        <m:r>
          <m:rPr>
            <m:sty m:val="p"/>
          </m:rPr>
          <m:t>=</m:t>
        </m:r>
        <m:r>
          <m:t>2</m:t>
        </m:r>
      </m:oMath>
      <w:r>
        <w:t xml:space="preserve">, a utilidade do respondedor R ao aceitar uma oferta</w:t>
      </w:r>
      <w:r>
        <w:t xml:space="preserve"> </w:t>
      </w:r>
      <m:oMath>
        <m:r>
          <m:t>x</m:t>
        </m:r>
      </m:oMath>
      <w:r>
        <w:t xml:space="preserve"> </w:t>
      </w:r>
      <w:r>
        <w:t xml:space="preserve">de um bolo</w:t>
      </w:r>
      <w:r>
        <w:t xml:space="preserve"> </w:t>
      </w:r>
      <m:oMath>
        <m:r>
          <m:t>S</m:t>
        </m:r>
      </m:oMath>
      <w:r>
        <w:t xml:space="preserve"> </w:t>
      </w:r>
      <w:r>
        <w:t xml:space="preserve">é:</w:t>
      </w:r>
    </w:p>
    <w:p>
      <w:pPr>
        <w:pStyle w:val="BodyText"/>
      </w:pPr>
      <m:oMathPara>
        <m:oMathParaPr>
          <m:jc m:val="center"/>
        </m:oMathParaPr>
        <m:oMath>
          <m:sSub>
            <m:e>
              <m:r>
                <m:t>U</m:t>
              </m:r>
            </m:e>
            <m:sub>
              <m:r>
                <m:t>R</m:t>
              </m:r>
            </m:sub>
          </m:sSub>
          <m:r>
            <m:rPr>
              <m:sty m:val="p"/>
            </m:rPr>
            <m:t>(</m:t>
          </m:r>
          <m:r>
            <m:rPr>
              <m:nor/>
              <m:sty m:val="p"/>
            </m:rPr>
            <m:t>aceitar</m:t>
          </m:r>
          <m:r>
            <m:rPr>
              <m:sty m:val="p"/>
            </m:rPr>
            <m:t>)</m:t>
          </m:r>
          <m:r>
            <m:rPr>
              <m:sty m:val="p"/>
            </m:rPr>
            <m:t>=</m:t>
          </m:r>
          <m:r>
            <m:t>x</m:t>
          </m:r>
          <m:r>
            <m:rPr>
              <m:sty m:val="p"/>
            </m:rPr>
            <m:t>−</m:t>
          </m:r>
          <m:sSub>
            <m:e>
              <m:r>
                <m:t>α</m:t>
              </m:r>
            </m:e>
            <m:sub>
              <m:r>
                <m:t>R</m:t>
              </m:r>
            </m:sub>
          </m:sSub>
          <m:r>
            <m:rPr>
              <m:sty m:val="p"/>
            </m:rPr>
            <m:t>max</m:t>
          </m:r>
          <m:r>
            <m:rPr>
              <m:sty m:val="p"/>
            </m:rPr>
            <m:t>(</m:t>
          </m:r>
          <m:r>
            <m:t>S</m:t>
          </m:r>
          <m:r>
            <m:rPr>
              <m:sty m:val="p"/>
            </m:rPr>
            <m:t>−</m:t>
          </m:r>
          <m:r>
            <m:t>2</m:t>
          </m:r>
          <m:r>
            <m:t>x</m:t>
          </m:r>
          <m:r>
            <m:rPr>
              <m:sty m:val="p"/>
            </m:rPr>
            <m:t>,</m:t>
          </m:r>
          <m:r>
            <m:t> </m:t>
          </m:r>
          <m:r>
            <m:t>0</m:t>
          </m:r>
          <m:r>
            <m:rPr>
              <m:sty m:val="p"/>
            </m:rPr>
            <m:t>)</m:t>
          </m:r>
          <m:r>
            <m:rPr>
              <m:sty m:val="p"/>
            </m:rPr>
            <m:t>−</m:t>
          </m:r>
          <m:sSub>
            <m:e>
              <m:r>
                <m:t>β</m:t>
              </m:r>
            </m:e>
            <m:sub>
              <m:r>
                <m:t>R</m:t>
              </m:r>
            </m:sub>
          </m:sSub>
          <m:r>
            <m:rPr>
              <m:sty m:val="p"/>
            </m:rPr>
            <m:t>max</m:t>
          </m:r>
          <m:r>
            <m:rPr>
              <m:sty m:val="p"/>
            </m:rPr>
            <m:t>(</m:t>
          </m:r>
          <m:r>
            <m:t>2</m:t>
          </m:r>
          <m:r>
            <m:t>x</m:t>
          </m:r>
          <m:r>
            <m:rPr>
              <m:sty m:val="p"/>
            </m:rPr>
            <m:t>−</m:t>
          </m:r>
          <m:r>
            <m:t>S</m:t>
          </m:r>
          <m:r>
            <m:rPr>
              <m:sty m:val="p"/>
            </m:rPr>
            <m:t>,</m:t>
          </m:r>
          <m:r>
            <m:t> </m:t>
          </m:r>
          <m:r>
            <m:t>0</m:t>
          </m:r>
          <m:r>
            <m:rPr>
              <m:sty m:val="p"/>
            </m:rPr>
            <m:t>)</m:t>
          </m:r>
        </m:oMath>
      </m:oMathPara>
    </w:p>
    <w:p>
      <w:pPr>
        <w:pStyle w:val="FirstParagraph"/>
      </w:pPr>
      <w:r>
        <w:t xml:space="preserve">Se</w:t>
      </w:r>
      <w:r>
        <w:t xml:space="preserve"> </w:t>
      </w:r>
      <m:oMath>
        <m:r>
          <m:t>x</m:t>
        </m:r>
        <m:r>
          <m:rPr>
            <m:sty m:val="p"/>
          </m:rPr>
          <m:t>&lt;</m:t>
        </m:r>
        <m:r>
          <m:t>S</m:t>
        </m:r>
        <m:r>
          <m:rPr>
            <m:sty m:val="p"/>
          </m:rPr>
          <m:t>/</m:t>
        </m:r>
        <m:r>
          <m:t>2</m:t>
        </m:r>
      </m:oMath>
      <w:r>
        <w:t xml:space="preserve"> </w:t>
      </w:r>
      <w:r>
        <w:t xml:space="preserve">(oferta abaixo da metade), a inequidade é desvantajosa:</w:t>
      </w:r>
      <w:r>
        <w:t xml:space="preserve"> </w:t>
      </w:r>
      <m:oMath>
        <m:sSub>
          <m:e>
            <m:r>
              <m:t>U</m:t>
            </m:r>
          </m:e>
          <m:sub>
            <m:r>
              <m:t>R</m:t>
            </m:r>
          </m:sub>
        </m:sSub>
        <m:r>
          <m:rPr>
            <m:sty m:val="p"/>
          </m:rPr>
          <m:t>=</m:t>
        </m:r>
        <m:r>
          <m:t>x</m:t>
        </m:r>
        <m:r>
          <m:rPr>
            <m:sty m:val="p"/>
          </m:rPr>
          <m:t>−</m:t>
        </m:r>
        <m:sSub>
          <m:e>
            <m:r>
              <m:t>α</m:t>
            </m:r>
          </m:e>
          <m:sub>
            <m:r>
              <m:t>R</m:t>
            </m:r>
          </m:sub>
        </m:sSub>
        <m:r>
          <m:rPr>
            <m:sty m:val="p"/>
          </m:rPr>
          <m:t>(</m:t>
        </m:r>
        <m:r>
          <m:t>S</m:t>
        </m:r>
        <m:r>
          <m:rPr>
            <m:sty m:val="p"/>
          </m:rPr>
          <m:t>−</m:t>
        </m:r>
        <m:r>
          <m:t>2</m:t>
        </m:r>
        <m:r>
          <m:t>x</m:t>
        </m:r>
        <m:r>
          <m:rPr>
            <m:sty m:val="p"/>
          </m:rPr>
          <m:t>)</m:t>
        </m:r>
        <m:r>
          <m:rPr>
            <m:sty m:val="p"/>
          </m:rPr>
          <m:t>=</m:t>
        </m:r>
        <m:r>
          <m:t>x</m:t>
        </m:r>
        <m:r>
          <m:rPr>
            <m:sty m:val="p"/>
          </m:rPr>
          <m:t>(</m:t>
        </m:r>
        <m:r>
          <m:t>1</m:t>
        </m:r>
        <m:r>
          <m:rPr>
            <m:sty m:val="p"/>
          </m:rPr>
          <m:t>+</m:t>
        </m:r>
        <m:r>
          <m:t>2</m:t>
        </m:r>
        <m:sSub>
          <m:e>
            <m:r>
              <m:t>α</m:t>
            </m:r>
          </m:e>
          <m:sub>
            <m:r>
              <m:t>R</m:t>
            </m:r>
          </m:sub>
        </m:sSub>
        <m:r>
          <m:rPr>
            <m:sty m:val="p"/>
          </m:rPr>
          <m:t>)</m:t>
        </m:r>
        <m:r>
          <m:rPr>
            <m:sty m:val="p"/>
          </m:rPr>
          <m:t>−</m:t>
        </m:r>
        <m:sSub>
          <m:e>
            <m:r>
              <m:t>α</m:t>
            </m:r>
          </m:e>
          <m:sub>
            <m:r>
              <m:t>R</m:t>
            </m:r>
          </m:sub>
        </m:sSub>
        <m:r>
          <m:t>S</m:t>
        </m:r>
      </m:oMath>
      <w:r>
        <w:t xml:space="preserve">. O respondedor rejeita se</w:t>
      </w:r>
      <w:r>
        <w:t xml:space="preserve"> </w:t>
      </w:r>
      <m:oMath>
        <m:sSub>
          <m:e>
            <m:r>
              <m:t>U</m:t>
            </m:r>
          </m:e>
          <m:sub>
            <m:r>
              <m:t>R</m:t>
            </m:r>
          </m:sub>
        </m:sSub>
        <m:r>
          <m:rPr>
            <m:sty m:val="p"/>
          </m:rPr>
          <m:t>&lt;</m:t>
        </m:r>
        <m:r>
          <m:t>0</m:t>
        </m:r>
      </m:oMath>
      <w:r>
        <w:t xml:space="preserve">, ou seja, se:</w:t>
      </w:r>
    </w:p>
    <w:p>
      <w:pPr>
        <w:pStyle w:val="BodyText"/>
      </w:pPr>
      <w:r>
        <w:t xml:space="preserve">$$
    x &lt; \frac{\alpha_R}{ 1 + 2\alpha_R} \cdot S
    \label{eq:8.5} \tag{8.5}
    $$</w:t>
      </w:r>
    </w:p>
    <w:p>
      <w:pPr>
        <w:pStyle w:val="FirstParagraph"/>
      </w:pPr>
      <w:r>
        <w:t xml:space="preserve">Com</w:t>
      </w:r>
      <w:r>
        <w:t xml:space="preserve"> </w:t>
      </w:r>
      <m:oMath>
        <m:sSub>
          <m:e>
            <m:r>
              <m:t>α</m:t>
            </m:r>
          </m:e>
          <m:sub>
            <m:r>
              <m:t>R</m:t>
            </m:r>
          </m:sub>
        </m:sSub>
        <m:r>
          <m:rPr>
            <m:sty m:val="p"/>
          </m:rPr>
          <m:t>=</m:t>
        </m:r>
        <m:r>
          <m:t>1</m:t>
        </m:r>
      </m:oMath>
      <w:r>
        <w:t xml:space="preserve">, o limiar é</w:t>
      </w:r>
      <w:r>
        <w:t xml:space="preserve"> </w:t>
      </w:r>
      <m:oMath>
        <m:sSup>
          <m:e>
            <m:r>
              <m:t>x</m:t>
            </m:r>
          </m:e>
          <m:sup>
            <m:r>
              <m:rPr>
                <m:sty m:val="p"/>
              </m:rPr>
              <m:t>*</m:t>
            </m:r>
          </m:sup>
        </m:sSup>
        <m:r>
          <m:rPr>
            <m:sty m:val="p"/>
          </m:rPr>
          <m:t>=</m:t>
        </m:r>
        <m:r>
          <m:t>S</m:t>
        </m:r>
        <m:r>
          <m:rPr>
            <m:sty m:val="p"/>
          </m:rPr>
          <m:t>/</m:t>
        </m:r>
        <m:r>
          <m:t>3</m:t>
        </m:r>
      </m:oMath>
      <w:r>
        <w:t xml:space="preserve"> </w:t>
      </w:r>
      <w:r>
        <w:t xml:space="preserve">— ofertas abaixo de 33% são rejeitadas. Com</w:t>
      </w:r>
      <w:r>
        <w:t xml:space="preserve"> </w:t>
      </w:r>
      <m:oMath>
        <m:sSub>
          <m:e>
            <m:r>
              <m:t>α</m:t>
            </m:r>
          </m:e>
          <m:sub>
            <m:r>
              <m:t>R</m:t>
            </m:r>
          </m:sub>
        </m:sSub>
        <m:r>
          <m:rPr>
            <m:sty m:val="p"/>
          </m:rPr>
          <m:t>=</m:t>
        </m:r>
        <m:r>
          <m:t>4</m:t>
        </m:r>
      </m:oMath>
      <w:r>
        <w:t xml:space="preserve">, o limiar sobe para</w:t>
      </w:r>
      <w:r>
        <w:t xml:space="preserve"> </w:t>
      </w:r>
      <m:oMath>
        <m:sSup>
          <m:e>
            <m:r>
              <m:t>x</m:t>
            </m:r>
          </m:e>
          <m:sup>
            <m:r>
              <m:rPr>
                <m:sty m:val="p"/>
              </m:rPr>
              <m:t>*</m:t>
            </m:r>
          </m:sup>
        </m:sSup>
        <m:r>
          <m:rPr>
            <m:sty m:val="p"/>
          </m:rPr>
          <m:t>≈</m:t>
        </m:r>
        <m:r>
          <m:t>0</m:t>
        </m:r>
        <m:r>
          <m:rPr>
            <m:sty m:val="p"/>
          </m:rPr>
          <m:t>,</m:t>
        </m:r>
        <m:r>
          <m:t>44</m:t>
        </m:r>
        <m:r>
          <m:rPr>
            <m:sty m:val="p"/>
          </m:rPr>
          <m:t>⋅</m:t>
        </m:r>
        <m:r>
          <m:t>S</m:t>
        </m:r>
      </m:oMath>
      <w:r>
        <w:t xml:space="preserve">. O modelo prevê corretamente que respondedores com maior aversão à desvantagem exigem ofertas mais generosas.</w:t>
      </w:r>
    </w:p>
    <w:p>
      <w:pPr>
        <w:pStyle w:val="BodyText"/>
      </w:pPr>
      <w:r>
        <w:t xml:space="preserve">[FIGURA INTERATIVA: /micro-book/graficos/cap08/fehr-schmidt.html — versao interativa disponivel online]</w:t>
      </w:r>
    </w:p>
    <w:p>
      <w:pPr>
        <w:pStyle w:val="BodyText"/>
      </w:pPr>
      <w:r>
        <w:rPr>
          <w:b/>
          <w:bCs/>
        </w:rPr>
        <w:t xml:space="preserve">Figura 8.4 — Utilidade de Fehr-Schmidt para dois jogadores.</w:t>
      </w:r>
      <w:r>
        <w:t xml:space="preserve"> </w:t>
      </w:r>
      <w:r>
        <w:t xml:space="preserve">Ajuste os parâmetros de aversão à desigualdade desvantajosa e vantajosa para observar o efeito sobre a utilidade.</w:t>
      </w:r>
    </w:p>
    <w:p>
      <w:pPr>
        <w:pStyle w:val="BodyText"/>
      </w:pPr>
      <w:r>
        <w:t xml:space="preserve">[FIGURA INTERATIVA: /micro-book/graficos/cap08/ultimatum-game.html — versao interativa disponivel online]</w:t>
      </w:r>
    </w:p>
    <w:p>
      <w:pPr>
        <w:pStyle w:val="BodyText"/>
      </w:pPr>
      <w:r>
        <w:rPr>
          <w:b/>
          <w:bCs/>
        </w:rPr>
        <w:t xml:space="preserve">Figura 8.5 — Jogo do ultimato: decisão do respondedor com preferências de Fehr-Schmidt.</w:t>
      </w:r>
      <w:r>
        <w:t xml:space="preserve"> </w:t>
      </w:r>
      <w:r>
        <w:t xml:space="preserve">Observe como a aversão à inequidade determina o limiar de rejeição.</w:t>
      </w:r>
    </w:p>
    <w:p>
      <w:pPr>
        <w:pStyle w:val="BlockText"/>
      </w:pPr>
      <w:r>
        <w:rPr>
          <w:b/>
          <w:bCs/>
        </w:rPr>
        <w:t xml:space="preserve">[EXERCICIO RESOLVIDO] Exercício Resolvido 8.2 — Fehr-Schmidt no jogo do ultimato</w:t>
      </w:r>
    </w:p>
    <w:p>
      <w:pPr>
        <w:pStyle w:val="BlockText"/>
      </w:pPr>
      <w:r>
        <w:rPr>
          <w:b/>
          <w:bCs/>
        </w:rPr>
        <w:t xml:space="preserve">Enunciado:</w:t>
      </w:r>
      <w:r>
        <w:t xml:space="preserve"> </w:t>
      </w:r>
      <w:r>
        <w:t xml:space="preserve">Em um jogo do ultimato com bolo</w:t>
      </w:r>
      <w:r>
        <w:t xml:space="preserve"> </w:t>
      </w:r>
      <m:oMath>
        <m:r>
          <m:t>S</m:t>
        </m:r>
        <m:r>
          <m:rPr>
            <m:sty m:val="p"/>
          </m:rPr>
          <m:t>=</m:t>
        </m:r>
        <m:r>
          <m:t>100</m:t>
        </m:r>
      </m:oMath>
      <w:r>
        <w:t xml:space="preserve">, o respondedor R tem parâmetros de Fehr-Schmidt</w:t>
      </w:r>
      <w:r>
        <w:t xml:space="preserve"> </w:t>
      </w:r>
      <m:oMath>
        <m:sSub>
          <m:e>
            <m:r>
              <m:t>α</m:t>
            </m:r>
          </m:e>
          <m:sub>
            <m:r>
              <m:t>R</m:t>
            </m:r>
          </m:sub>
        </m:sSub>
        <m:r>
          <m:rPr>
            <m:sty m:val="p"/>
          </m:rPr>
          <m:t>=</m:t>
        </m:r>
        <m:r>
          <m:t>2</m:t>
        </m:r>
      </m:oMath>
      <w:r>
        <w:t xml:space="preserve"> </w:t>
      </w:r>
      <w:r>
        <w:t xml:space="preserve">e</w:t>
      </w:r>
      <w:r>
        <w:t xml:space="preserve"> </w:t>
      </w:r>
      <m:oMath>
        <m:sSub>
          <m:e>
            <m:r>
              <m:t>β</m:t>
            </m:r>
          </m:e>
          <m:sub>
            <m:r>
              <m:t>R</m:t>
            </m:r>
          </m:sub>
        </m:sSub>
        <m:r>
          <m:rPr>
            <m:sty m:val="p"/>
          </m:rPr>
          <m:t>=</m:t>
        </m:r>
        <m:r>
          <m:t>0</m:t>
        </m:r>
        <m:r>
          <m:rPr>
            <m:sty m:val="p"/>
          </m:rPr>
          <m:t>,</m:t>
        </m:r>
        <m:r>
          <m:t>4</m:t>
        </m:r>
      </m:oMath>
      <w:r>
        <w:t xml:space="preserve">. (a) Qual é a oferta mínima que R aceita? (b) Se o proponente P tem</w:t>
      </w:r>
      <w:r>
        <w:t xml:space="preserve"> </w:t>
      </w:r>
      <m:oMath>
        <m:sSub>
          <m:e>
            <m:r>
              <m:t>α</m:t>
            </m:r>
          </m:e>
          <m:sub>
            <m:r>
              <m:t>P</m:t>
            </m:r>
          </m:sub>
        </m:sSub>
        <m:r>
          <m:rPr>
            <m:sty m:val="p"/>
          </m:rPr>
          <m:t>=</m:t>
        </m:r>
        <m:r>
          <m:t>0</m:t>
        </m:r>
        <m:r>
          <m:rPr>
            <m:sty m:val="p"/>
          </m:rPr>
          <m:t>,</m:t>
        </m:r>
        <m:r>
          <m:t>5</m:t>
        </m:r>
      </m:oMath>
      <w:r>
        <w:t xml:space="preserve"> </w:t>
      </w:r>
      <w:r>
        <w:t xml:space="preserve">e</w:t>
      </w:r>
      <w:r>
        <w:t xml:space="preserve"> </w:t>
      </w:r>
      <m:oMath>
        <m:sSub>
          <m:e>
            <m:r>
              <m:t>β</m:t>
            </m:r>
          </m:e>
          <m:sub>
            <m:r>
              <m:t>P</m:t>
            </m:r>
          </m:sub>
        </m:sSub>
        <m:r>
          <m:rPr>
            <m:sty m:val="p"/>
          </m:rPr>
          <m:t>=</m:t>
        </m:r>
        <m:r>
          <m:t>0</m:t>
        </m:r>
        <m:r>
          <m:rPr>
            <m:sty m:val="p"/>
          </m:rPr>
          <m:t>,</m:t>
        </m:r>
        <m:r>
          <m:t>3</m:t>
        </m:r>
      </m:oMath>
      <w:r>
        <w:t xml:space="preserve">, qual é a oferta que maximiza a utilidade de P, sabendo que P conhece os parâmetros de R?</w:t>
      </w:r>
    </w:p>
    <w:p>
      <w:pPr>
        <w:pStyle w:val="BlockText"/>
      </w:pPr>
      <w:r>
        <w:rPr>
          <w:b/>
          <w:bCs/>
        </w:rPr>
        <w:t xml:space="preserve">Dados:</w:t>
      </w:r>
      <w:r>
        <w:t xml:space="preserve"> </w:t>
      </w:r>
      <m:oMath>
        <m:r>
          <m:t>S</m:t>
        </m:r>
        <m:r>
          <m:rPr>
            <m:sty m:val="p"/>
          </m:rPr>
          <m:t>=</m:t>
        </m:r>
        <m:r>
          <m:t>100</m:t>
        </m:r>
      </m:oMath>
      <w:r>
        <w:t xml:space="preserve">,</w:t>
      </w:r>
      <w:r>
        <w:t xml:space="preserve"> </w:t>
      </w:r>
      <m:oMath>
        <m:sSub>
          <m:e>
            <m:r>
              <m:t>α</m:t>
            </m:r>
          </m:e>
          <m:sub>
            <m:r>
              <m:t>R</m:t>
            </m:r>
          </m:sub>
        </m:sSub>
        <m:r>
          <m:rPr>
            <m:sty m:val="p"/>
          </m:rPr>
          <m:t>=</m:t>
        </m:r>
        <m:r>
          <m:t>2</m:t>
        </m:r>
      </m:oMath>
      <w:r>
        <w:t xml:space="preserve">,</w:t>
      </w:r>
      <w:r>
        <w:t xml:space="preserve"> </w:t>
      </w:r>
      <m:oMath>
        <m:sSub>
          <m:e>
            <m:r>
              <m:t>β</m:t>
            </m:r>
          </m:e>
          <m:sub>
            <m:r>
              <m:t>R</m:t>
            </m:r>
          </m:sub>
        </m:sSub>
        <m:r>
          <m:rPr>
            <m:sty m:val="p"/>
          </m:rPr>
          <m:t>=</m:t>
        </m:r>
        <m:r>
          <m:t>0</m:t>
        </m:r>
        <m:r>
          <m:rPr>
            <m:sty m:val="p"/>
          </m:rPr>
          <m:t>,</m:t>
        </m:r>
        <m:r>
          <m:t>4</m:t>
        </m:r>
      </m:oMath>
      <w:r>
        <w:t xml:space="preserve">,</w:t>
      </w:r>
      <w:r>
        <w:t xml:space="preserve"> </w:t>
      </w:r>
      <m:oMath>
        <m:sSub>
          <m:e>
            <m:r>
              <m:t>α</m:t>
            </m:r>
          </m:e>
          <m:sub>
            <m:r>
              <m:t>P</m:t>
            </m:r>
          </m:sub>
        </m:sSub>
        <m:r>
          <m:rPr>
            <m:sty m:val="p"/>
          </m:rPr>
          <m:t>=</m:t>
        </m:r>
        <m:r>
          <m:t>0</m:t>
        </m:r>
        <m:r>
          <m:rPr>
            <m:sty m:val="p"/>
          </m:rPr>
          <m:t>,</m:t>
        </m:r>
        <m:r>
          <m:t>5</m:t>
        </m:r>
      </m:oMath>
      <w:r>
        <w:t xml:space="preserve">,</w:t>
      </w:r>
      <w:r>
        <w:t xml:space="preserve"> </w:t>
      </w:r>
      <m:oMath>
        <m:sSub>
          <m:e>
            <m:r>
              <m:t>β</m:t>
            </m:r>
          </m:e>
          <m:sub>
            <m:r>
              <m:t>P</m:t>
            </m:r>
          </m:sub>
        </m:sSub>
        <m:r>
          <m:rPr>
            <m:sty m:val="p"/>
          </m:rPr>
          <m:t>=</m:t>
        </m:r>
        <m:r>
          <m:t>0</m:t>
        </m:r>
        <m:r>
          <m:rPr>
            <m:sty m:val="p"/>
          </m:rPr>
          <m:t>,</m:t>
        </m:r>
        <m:r>
          <m:t>3</m:t>
        </m:r>
      </m:oMath>
      <w:r>
        <w:t xml:space="preserve">.</w:t>
      </w:r>
    </w:p>
    <w:p>
      <w:pPr>
        <w:pStyle w:val="BlockText"/>
      </w:pPr>
      <w:r>
        <w:rPr>
          <w:b/>
          <w:bCs/>
        </w:rPr>
        <w:t xml:space="preserve">Resolução:</w:t>
      </w:r>
    </w:p>
    <w:p>
      <w:pPr>
        <w:pStyle w:val="BlockText"/>
      </w:pPr>
      <w:r>
        <w:rPr>
          <w:b/>
          <w:bCs/>
        </w:rPr>
        <w:t xml:space="preserve">Passo 1 — Oferta mínima aceita por R</w:t>
      </w:r>
    </w:p>
    <w:p>
      <w:pPr>
        <w:pStyle w:val="BlockText"/>
      </w:pPr>
      <w:r>
        <w:t xml:space="preserve">R aceita se</w:t>
      </w:r>
      <w:r>
        <w:t xml:space="preserve"> </w:t>
      </w:r>
      <m:oMath>
        <m:sSub>
          <m:e>
            <m:r>
              <m:t>U</m:t>
            </m:r>
          </m:e>
          <m:sub>
            <m:r>
              <m:t>R</m:t>
            </m:r>
          </m:sub>
        </m:sSub>
        <m:r>
          <m:rPr>
            <m:sty m:val="p"/>
          </m:rPr>
          <m:t>≥</m:t>
        </m:r>
        <m:r>
          <m:t>0</m:t>
        </m:r>
      </m:oMath>
      <w:r>
        <w:t xml:space="preserve">. Para</w:t>
      </w:r>
      <w:r>
        <w:t xml:space="preserve"> </w:t>
      </w:r>
      <m:oMath>
        <m:r>
          <m:t>x</m:t>
        </m:r>
        <m:r>
          <m:rPr>
            <m:sty m:val="p"/>
          </m:rPr>
          <m:t>&lt;</m:t>
        </m:r>
        <m:r>
          <m:t>50</m:t>
        </m:r>
      </m:oMath>
      <w:r>
        <w:t xml:space="preserve">:</w:t>
      </w:r>
      <w:r>
        <w:t xml:space="preserve"> </w:t>
      </w:r>
      <m:oMath>
        <m:sSub>
          <m:e>
            <m:r>
              <m:t>U</m:t>
            </m:r>
          </m:e>
          <m:sub>
            <m:r>
              <m:t>R</m:t>
            </m:r>
          </m:sub>
        </m:sSub>
        <m:r>
          <m:rPr>
            <m:sty m:val="p"/>
          </m:rPr>
          <m:t>=</m:t>
        </m:r>
        <m:r>
          <m:t>x</m:t>
        </m:r>
        <m:r>
          <m:rPr>
            <m:sty m:val="p"/>
          </m:rPr>
          <m:t>(</m:t>
        </m:r>
        <m:r>
          <m:t>1</m:t>
        </m:r>
        <m:r>
          <m:rPr>
            <m:sty m:val="p"/>
          </m:rPr>
          <m:t>+</m:t>
        </m:r>
        <m:r>
          <m:t>2</m:t>
        </m:r>
        <m:sSub>
          <m:e>
            <m:r>
              <m:t>α</m:t>
            </m:r>
          </m:e>
          <m:sub>
            <m:r>
              <m:t>R</m:t>
            </m:r>
          </m:sub>
        </m:sSub>
        <m:r>
          <m:rPr>
            <m:sty m:val="p"/>
          </m:rPr>
          <m:t>)</m:t>
        </m:r>
        <m:r>
          <m:rPr>
            <m:sty m:val="p"/>
          </m:rPr>
          <m:t>−</m:t>
        </m:r>
        <m:sSub>
          <m:e>
            <m:r>
              <m:t>α</m:t>
            </m:r>
          </m:e>
          <m:sub>
            <m:r>
              <m:t>R</m:t>
            </m:r>
          </m:sub>
        </m:sSub>
        <m:r>
          <m:t>S</m:t>
        </m:r>
        <m:r>
          <m:rPr>
            <m:sty m:val="p"/>
          </m:rPr>
          <m:t>=</m:t>
        </m:r>
        <m:r>
          <m:t>x</m:t>
        </m:r>
        <m:r>
          <m:rPr>
            <m:sty m:val="p"/>
          </m:rPr>
          <m:t>(</m:t>
        </m:r>
        <m:r>
          <m:t>1</m:t>
        </m:r>
        <m:r>
          <m:rPr>
            <m:sty m:val="p"/>
          </m:rPr>
          <m:t>+</m:t>
        </m:r>
        <m:r>
          <m:t>4</m:t>
        </m:r>
        <m:r>
          <m:rPr>
            <m:sty m:val="p"/>
          </m:rPr>
          <m:t>)</m:t>
        </m:r>
        <m:r>
          <m:rPr>
            <m:sty m:val="p"/>
          </m:rPr>
          <m:t>−</m:t>
        </m:r>
        <m:r>
          <m:t>200</m:t>
        </m:r>
        <m:r>
          <m:rPr>
            <m:sty m:val="p"/>
          </m:rPr>
          <m:t>=</m:t>
        </m:r>
        <m:r>
          <m:t>5</m:t>
        </m:r>
        <m:r>
          <m:t>x</m:t>
        </m:r>
        <m:r>
          <m:rPr>
            <m:sty m:val="p"/>
          </m:rPr>
          <m:t>−</m:t>
        </m:r>
        <m:r>
          <m:t>200</m:t>
        </m:r>
      </m:oMath>
      <w:r>
        <w:t xml:space="preserve">.</w:t>
      </w:r>
    </w:p>
    <w:p>
      <w:pPr>
        <w:pStyle w:val="BlockText"/>
      </w:pPr>
      <m:oMath>
        <m:r>
          <m:t>5</m:t>
        </m:r>
        <m:r>
          <m:t>x</m:t>
        </m:r>
        <m:r>
          <m:rPr>
            <m:sty m:val="p"/>
          </m:rPr>
          <m:t>−</m:t>
        </m:r>
        <m:r>
          <m:t>200</m:t>
        </m:r>
        <m:r>
          <m:rPr>
            <m:sty m:val="p"/>
          </m:rPr>
          <m:t>≥</m:t>
        </m:r>
        <m:r>
          <m:t>0</m:t>
        </m:r>
        <m:r>
          <m:rPr>
            <m:sty m:val="p"/>
          </m:rPr>
          <m:t>⟹</m:t>
        </m:r>
        <m:r>
          <m:t>x</m:t>
        </m:r>
        <m:r>
          <m:rPr>
            <m:sty m:val="p"/>
          </m:rPr>
          <m:t>≥</m:t>
        </m:r>
        <m:r>
          <m:t>40</m:t>
        </m:r>
      </m:oMath>
      <w:r>
        <w:t xml:space="preserve">.</w:t>
      </w:r>
    </w:p>
    <w:p>
      <w:pPr>
        <w:pStyle w:val="BlockText"/>
      </w:pPr>
      <w:r>
        <w:t xml:space="preserve">Oferta mínima aceita:</w:t>
      </w:r>
      <w:r>
        <w:t xml:space="preserve"> </w:t>
      </w:r>
      <m:oMath>
        <m:sSup>
          <m:e>
            <m:r>
              <m:t>x</m:t>
            </m:r>
          </m:e>
          <m:sup>
            <m:r>
              <m:rPr>
                <m:sty m:val="p"/>
              </m:rPr>
              <m:t>*</m:t>
            </m:r>
          </m:sup>
        </m:sSup>
        <m:r>
          <m:rPr>
            <m:sty m:val="p"/>
          </m:rPr>
          <m:t>=</m:t>
        </m:r>
        <m:r>
          <m:t>40</m:t>
        </m:r>
      </m:oMath>
      <w:r>
        <w:t xml:space="preserve"> </w:t>
      </w:r>
      <w:r>
        <w:t xml:space="preserve">(ou seja, 40% do bolo).</w:t>
      </w:r>
    </w:p>
    <w:p>
      <w:pPr>
        <w:pStyle w:val="BlockText"/>
      </w:pPr>
      <w:r>
        <w:rPr>
          <w:b/>
          <w:bCs/>
        </w:rPr>
        <w:t xml:space="preserve">Passo 2 — Oferta ótima de P</w:t>
      </w:r>
    </w:p>
    <w:p>
      <w:pPr>
        <w:pStyle w:val="BlockText"/>
      </w:pPr>
      <w:r>
        <w:t xml:space="preserve">P fica com</w:t>
      </w:r>
      <w:r>
        <w:t xml:space="preserve"> </w:t>
      </w:r>
      <m:oMath>
        <m:r>
          <m:t>S</m:t>
        </m:r>
        <m:r>
          <m:rPr>
            <m:sty m:val="p"/>
          </m:rPr>
          <m:t>−</m:t>
        </m:r>
        <m:r>
          <m:t>x</m:t>
        </m:r>
        <m:r>
          <m:rPr>
            <m:sty m:val="p"/>
          </m:rPr>
          <m:t>=</m:t>
        </m:r>
        <m:r>
          <m:t>100</m:t>
        </m:r>
        <m:r>
          <m:rPr>
            <m:sty m:val="p"/>
          </m:rPr>
          <m:t>−</m:t>
        </m:r>
        <m:r>
          <m:t>x</m:t>
        </m:r>
      </m:oMath>
      <w:r>
        <w:t xml:space="preserve"> </w:t>
      </w:r>
      <w:r>
        <w:t xml:space="preserve">e sua utilidade (para</w:t>
      </w:r>
      <w:r>
        <w:t xml:space="preserve"> </w:t>
      </w:r>
      <m:oMath>
        <m:r>
          <m:t>x</m:t>
        </m:r>
        <m:r>
          <m:rPr>
            <m:sty m:val="p"/>
          </m:rPr>
          <m:t>≤</m:t>
        </m:r>
        <m:r>
          <m:t>50</m:t>
        </m:r>
      </m:oMath>
      <w:r>
        <w:t xml:space="preserve">) é:</w:t>
      </w:r>
    </w:p>
    <w:p>
      <w:pPr>
        <w:pStyle w:val="BlockText"/>
      </w:pPr>
      <m:oMath>
        <m:sSub>
          <m:e>
            <m:r>
              <m:t>U</m:t>
            </m:r>
          </m:e>
          <m:sub>
            <m:r>
              <m:t>P</m:t>
            </m:r>
          </m:sub>
        </m:sSub>
        <m:r>
          <m:rPr>
            <m:sty m:val="p"/>
          </m:rPr>
          <m:t>=</m:t>
        </m:r>
        <m:r>
          <m:rPr>
            <m:sty m:val="p"/>
          </m:rPr>
          <m:t>(</m:t>
        </m:r>
        <m:r>
          <m:t>100</m:t>
        </m:r>
        <m:r>
          <m:rPr>
            <m:sty m:val="p"/>
          </m:rPr>
          <m:t>−</m:t>
        </m:r>
        <m:r>
          <m:t>x</m:t>
        </m:r>
        <m:r>
          <m:rPr>
            <m:sty m:val="p"/>
          </m:rPr>
          <m:t>)</m:t>
        </m:r>
        <m:r>
          <m:rPr>
            <m:sty m:val="p"/>
          </m:rPr>
          <m:t>−</m:t>
        </m:r>
        <m:sSub>
          <m:e>
            <m:r>
              <m:t>β</m:t>
            </m:r>
          </m:e>
          <m:sub>
            <m:r>
              <m:t>P</m:t>
            </m:r>
          </m:sub>
        </m:sSub>
        <m:r>
          <m:rPr>
            <m:sty m:val="p"/>
          </m:rPr>
          <m:t>⋅</m:t>
        </m:r>
        <m:r>
          <m:rPr>
            <m:sty m:val="p"/>
          </m:rPr>
          <m:t>(</m:t>
        </m:r>
        <m:r>
          <m:rPr>
            <m:sty m:val="p"/>
          </m:rPr>
          <m:t>(</m:t>
        </m:r>
        <m:r>
          <m:t>100</m:t>
        </m:r>
        <m:r>
          <m:rPr>
            <m:sty m:val="p"/>
          </m:rPr>
          <m:t>−</m:t>
        </m:r>
        <m:r>
          <m:t>x</m:t>
        </m:r>
        <m:r>
          <m:rPr>
            <m:sty m:val="p"/>
          </m:rPr>
          <m:t>)</m:t>
        </m:r>
        <m:r>
          <m:rPr>
            <m:sty m:val="p"/>
          </m:rPr>
          <m:t>−</m:t>
        </m:r>
        <m:r>
          <m:t>x</m:t>
        </m:r>
        <m:r>
          <m:rPr>
            <m:sty m:val="p"/>
          </m:rPr>
          <m:t>)</m:t>
        </m:r>
        <m:r>
          <m:rPr>
            <m:sty m:val="p"/>
          </m:rPr>
          <m:t>=</m:t>
        </m:r>
        <m:r>
          <m:rPr>
            <m:sty m:val="p"/>
          </m:rPr>
          <m:t>(</m:t>
        </m:r>
        <m:r>
          <m:t>100</m:t>
        </m:r>
        <m:r>
          <m:rPr>
            <m:sty m:val="p"/>
          </m:rPr>
          <m:t>−</m:t>
        </m:r>
        <m:r>
          <m:t>x</m:t>
        </m:r>
        <m:r>
          <m:rPr>
            <m:sty m:val="p"/>
          </m:rPr>
          <m:t>)</m:t>
        </m:r>
        <m:r>
          <m:rPr>
            <m:sty m:val="p"/>
          </m:rPr>
          <m:t>−</m:t>
        </m:r>
        <m:r>
          <m:t>0</m:t>
        </m:r>
        <m:r>
          <m:rPr>
            <m:sty m:val="p"/>
          </m:rPr>
          <m:t>,</m:t>
        </m:r>
        <m:r>
          <m:t>3</m:t>
        </m:r>
        <m:r>
          <m:rPr>
            <m:sty m:val="p"/>
          </m:rPr>
          <m:t>(</m:t>
        </m:r>
        <m:r>
          <m:t>100</m:t>
        </m:r>
        <m:r>
          <m:rPr>
            <m:sty m:val="p"/>
          </m:rPr>
          <m:t>−</m:t>
        </m:r>
        <m:r>
          <m:t>2</m:t>
        </m:r>
        <m:r>
          <m:t>x</m:t>
        </m:r>
        <m:r>
          <m:rPr>
            <m:sty m:val="p"/>
          </m:rPr>
          <m:t>)</m:t>
        </m:r>
        <m:r>
          <m:rPr>
            <m:sty m:val="p"/>
          </m:rPr>
          <m:t>=</m:t>
        </m:r>
        <m:r>
          <m:rPr>
            <m:sty m:val="p"/>
          </m:rPr>
          <m:t>(</m:t>
        </m:r>
        <m:r>
          <m:t>100</m:t>
        </m:r>
        <m:r>
          <m:rPr>
            <m:sty m:val="p"/>
          </m:rPr>
          <m:t>−</m:t>
        </m:r>
        <m:r>
          <m:t>x</m:t>
        </m:r>
        <m:r>
          <m:rPr>
            <m:sty m:val="p"/>
          </m:rPr>
          <m:t>)</m:t>
        </m:r>
        <m:r>
          <m:rPr>
            <m:sty m:val="p"/>
          </m:rPr>
          <m:t>−</m:t>
        </m:r>
        <m:r>
          <m:t>30</m:t>
        </m:r>
        <m:r>
          <m:rPr>
            <m:sty m:val="p"/>
          </m:rPr>
          <m:t>+</m:t>
        </m:r>
        <m:r>
          <m:t>0</m:t>
        </m:r>
        <m:r>
          <m:rPr>
            <m:sty m:val="p"/>
          </m:rPr>
          <m:t>,</m:t>
        </m:r>
        <m:r>
          <m:t>6</m:t>
        </m:r>
        <m:r>
          <m:t>x</m:t>
        </m:r>
        <m:r>
          <m:rPr>
            <m:sty m:val="p"/>
          </m:rPr>
          <m:t>=</m:t>
        </m:r>
        <m:r>
          <m:t>70</m:t>
        </m:r>
        <m:r>
          <m:rPr>
            <m:sty m:val="p"/>
          </m:rPr>
          <m:t>−</m:t>
        </m:r>
        <m:r>
          <m:t>0</m:t>
        </m:r>
        <m:r>
          <m:rPr>
            <m:sty m:val="p"/>
          </m:rPr>
          <m:t>,</m:t>
        </m:r>
        <m:r>
          <m:t>4</m:t>
        </m:r>
        <m:r>
          <m:t>x</m:t>
        </m:r>
      </m:oMath>
    </w:p>
    <w:p>
      <w:pPr>
        <w:pStyle w:val="BlockText"/>
      </w:pPr>
      <m:oMath>
        <m:sSub>
          <m:e>
            <m:r>
              <m:t>U</m:t>
            </m:r>
          </m:e>
          <m:sub>
            <m:r>
              <m:t>P</m:t>
            </m:r>
          </m:sub>
        </m:sSub>
      </m:oMath>
      <w:r>
        <w:t xml:space="preserve"> </w:t>
      </w:r>
      <w:r>
        <w:t xml:space="preserve">é decrescente em</w:t>
      </w:r>
      <w:r>
        <w:t xml:space="preserve"> </w:t>
      </w:r>
      <m:oMath>
        <m:r>
          <m:t>x</m:t>
        </m:r>
      </m:oMath>
      <w:r>
        <w:t xml:space="preserve">, então P quer oferecer o</w:t>
      </w:r>
      <w:r>
        <w:t xml:space="preserve"> </w:t>
      </w:r>
      <w:r>
        <w:rPr>
          <w:b/>
          <w:bCs/>
        </w:rPr>
        <w:t xml:space="preserve">mínimo</w:t>
      </w:r>
      <w:r>
        <w:t xml:space="preserve"> </w:t>
      </w:r>
      <w:r>
        <w:t xml:space="preserve">aceito:</w:t>
      </w:r>
      <w:r>
        <w:t xml:space="preserve"> </w:t>
      </w:r>
      <m:oMath>
        <m:r>
          <m:t>x</m:t>
        </m:r>
        <m:r>
          <m:rPr>
            <m:sty m:val="p"/>
          </m:rPr>
          <m:t>=</m:t>
        </m:r>
        <m:r>
          <m:t>40</m:t>
        </m:r>
      </m:oMath>
      <w:r>
        <w:t xml:space="preserve">.</w:t>
      </w:r>
    </w:p>
    <w:p>
      <w:pPr>
        <w:pStyle w:val="BlockText"/>
      </w:pPr>
      <w:r>
        <w:rPr>
          <w:b/>
          <w:bCs/>
        </w:rPr>
        <w:t xml:space="preserve">Resultado:</w:t>
      </w:r>
      <w:r>
        <w:t xml:space="preserve"> </w:t>
      </w:r>
      <w:r>
        <w:t xml:space="preserve">P oferece 40 e fica com 60. Ambos aceitam.</w:t>
      </w:r>
    </w:p>
    <w:p>
      <w:pPr>
        <w:pStyle w:val="BlockText"/>
      </w:pPr>
      <m:oMath>
        <m:sSub>
          <m:e>
            <m:r>
              <m:t>U</m:t>
            </m:r>
          </m:e>
          <m:sub>
            <m:r>
              <m:t>P</m:t>
            </m:r>
          </m:sub>
        </m:sSub>
        <m:r>
          <m:rPr>
            <m:sty m:val="p"/>
          </m:rPr>
          <m:t>=</m:t>
        </m:r>
        <m:r>
          <m:t>70</m:t>
        </m:r>
        <m:r>
          <m:rPr>
            <m:sty m:val="p"/>
          </m:rPr>
          <m:t>−</m:t>
        </m:r>
        <m:r>
          <m:t>0</m:t>
        </m:r>
        <m:r>
          <m:rPr>
            <m:sty m:val="p"/>
          </m:rPr>
          <m:t>,</m:t>
        </m:r>
        <m:r>
          <m:t>4</m:t>
        </m:r>
        <m:r>
          <m:rPr>
            <m:sty m:val="p"/>
          </m:rPr>
          <m:t>×</m:t>
        </m:r>
        <m:r>
          <m:t>40</m:t>
        </m:r>
        <m:r>
          <m:rPr>
            <m:sty m:val="p"/>
          </m:rPr>
          <m:t>=</m:t>
        </m:r>
        <m:r>
          <m:t>54</m:t>
        </m:r>
      </m:oMath>
      <w:r>
        <w:t xml:space="preserve">;</w:t>
      </w:r>
      <w:r>
        <w:t xml:space="preserve"> </w:t>
      </w:r>
      <m:oMath>
        <m:sSub>
          <m:e>
            <m:r>
              <m:t>U</m:t>
            </m:r>
          </m:e>
          <m:sub>
            <m:r>
              <m:t>R</m:t>
            </m:r>
          </m:sub>
        </m:sSub>
        <m:r>
          <m:rPr>
            <m:sty m:val="p"/>
          </m:rPr>
          <m:t>=</m:t>
        </m:r>
        <m:r>
          <m:t>5</m:t>
        </m:r>
        <m:r>
          <m:rPr>
            <m:sty m:val="p"/>
          </m:rPr>
          <m:t>×</m:t>
        </m:r>
        <m:r>
          <m:t>40</m:t>
        </m:r>
        <m:r>
          <m:rPr>
            <m:sty m:val="p"/>
          </m:rPr>
          <m:t>−</m:t>
        </m:r>
        <m:r>
          <m:t>200</m:t>
        </m:r>
        <m:r>
          <m:rPr>
            <m:sty m:val="p"/>
          </m:rPr>
          <m:t>=</m:t>
        </m:r>
        <m:r>
          <m:t>0</m:t>
        </m:r>
      </m:oMath>
      <w:r>
        <w:t xml:space="preserve"> </w:t>
      </w:r>
      <w:r>
        <w:t xml:space="preserve">(indiferente, aceita).</w:t>
      </w:r>
    </w:p>
    <w:p>
      <w:pPr>
        <w:pStyle w:val="BlockText"/>
      </w:pPr>
      <w:r>
        <w:rPr>
          <w:b/>
          <w:bCs/>
        </w:rPr>
        <w:t xml:space="preserve">Interpretação econômica:</w:t>
      </w:r>
      <w:r>
        <w:t xml:space="preserve"> </w:t>
      </w:r>
      <w:r>
        <w:t xml:space="preserve">A aversão à inequidade eleva a oferta de equilíbrio de</w:t>
      </w:r>
      <w:r>
        <w:t xml:space="preserve"> </w:t>
      </w:r>
      <m:oMath>
        <m:r>
          <m:rPr>
            <m:sty m:val="p"/>
          </m:rPr>
          <m:t>≈</m:t>
        </m:r>
        <m:r>
          <m:t>0</m:t>
        </m:r>
      </m:oMath>
      <w:r>
        <w:t xml:space="preserve"> </w:t>
      </w:r>
      <w:r>
        <w:t xml:space="preserve">(previsão autointeressada) para 40% do bolo — próximo aos valores observados experimentalmente. O modelo de Fehr-Schmidt explica</w:t>
      </w:r>
      <w:r>
        <w:t xml:space="preserve"> </w:t>
      </w:r>
      <w:r>
        <w:rPr>
          <w:i/>
          <w:iCs/>
        </w:rPr>
        <w:t xml:space="preserve">por que</w:t>
      </w:r>
      <w:r>
        <w:t xml:space="preserve"> </w:t>
      </w:r>
      <w:r>
        <w:t xml:space="preserve">proponentes fazem ofertas</w:t>
      </w:r>
      <w:r>
        <w:t xml:space="preserve"> </w:t>
      </w:r>
      <w:r>
        <w:t xml:space="preserve">“justas”</w:t>
      </w:r>
      <w:r>
        <w:t xml:space="preserve"> </w:t>
      </w:r>
      <w:r>
        <w:t xml:space="preserve">sem precisar assumir altruísmo: a ameaça crível de rejeição por respondedores avessos à inequidade disciplina os proponentes.</w:t>
      </w:r>
    </w:p>
    <w:bookmarkEnd w:id="397"/>
    <w:bookmarkStart w:id="398" w:name="reciprocidade-e-cooperação"/>
    <w:p>
      <w:pPr>
        <w:pStyle w:val="Heading4"/>
      </w:pPr>
      <w:r>
        <w:t xml:space="preserve">8.4.3 Reciprocidade e cooperação</w:t>
      </w:r>
    </w:p>
    <w:p>
      <w:pPr>
        <w:pStyle w:val="FirstParagraph"/>
      </w:pPr>
      <w:r>
        <w:t xml:space="preserve">O modelo de Fehr-Schmidt é um avanço importante, mas captura apenas a preocupação com a</w:t>
      </w:r>
      <w:r>
        <w:t xml:space="preserve"> </w:t>
      </w:r>
      <w:r>
        <w:rPr>
          <w:b/>
          <w:bCs/>
        </w:rPr>
        <w:t xml:space="preserve">distribuição final</w:t>
      </w:r>
      <w:r>
        <w:t xml:space="preserve"> </w:t>
      </w:r>
      <w:r>
        <w:t xml:space="preserve">dos resultados. Na prática, as pessoas também se importam com as</w:t>
      </w:r>
      <w:r>
        <w:t xml:space="preserve"> </w:t>
      </w:r>
      <w:r>
        <w:rPr>
          <w:i/>
          <w:iCs/>
        </w:rPr>
        <w:t xml:space="preserve">intenções</w:t>
      </w:r>
      <w:r>
        <w:t xml:space="preserve"> </w:t>
      </w:r>
      <w:r>
        <w:t xml:space="preserve">por trás das ações alheias: reagimos de forma diferente a uma oferta baixa feita por um computador e à mesma oferta feita por uma pessoa que sabemos estar agindo estrategicamente. Essa sensibilidade às intenções é o domínio da reciprocidade.</w:t>
      </w:r>
    </w:p>
    <w:p>
      <w:pPr>
        <w:pStyle w:val="BodyText"/>
      </w:pPr>
      <w:r>
        <w:t xml:space="preserve">O modelo de Fehr-Schmidt captura a aversão à</w:t>
      </w:r>
      <w:r>
        <w:t xml:space="preserve"> </w:t>
      </w:r>
      <w:r>
        <w:rPr>
          <w:b/>
          <w:bCs/>
        </w:rPr>
        <w:t xml:space="preserve">desigualdade de resultados</w:t>
      </w:r>
      <w:r>
        <w:t xml:space="preserve">, mas não explica completamente a</w:t>
      </w:r>
      <w:r>
        <w:t xml:space="preserve"> </w:t>
      </w:r>
      <w:r>
        <w:rPr>
          <w:b/>
          <w:bCs/>
        </w:rPr>
        <w:t xml:space="preserve">reciprocidade</w:t>
      </w:r>
      <w:r>
        <w:t xml:space="preserve"> </w:t>
      </w:r>
      <w:r>
        <w:t xml:space="preserve">— a tendência a recompensar comportamento cooperativo e punir comportamento injusto, mesmo a um custo pessoal. Fehr e Gächter (2000) demonstraram o poder da reciprocidade em</w:t>
      </w:r>
      <w:r>
        <w:t xml:space="preserve"> </w:t>
      </w:r>
      <w:r>
        <w:rPr>
          <w:b/>
          <w:bCs/>
        </w:rPr>
        <w:t xml:space="preserve">jogos de bens públicos com punição</w:t>
      </w:r>
      <w:r>
        <w:t xml:space="preserve">: quando os participantes podem punir (a um custo para si mesmos) jogadores que contribuem pouco, as contribuições ao bem público sobem de níveis baixos e declinantes (sem punição) para níveis altos e estáveis.</w:t>
      </w:r>
    </w:p>
    <w:p>
      <w:pPr>
        <w:pStyle w:val="BodyText"/>
      </w:pPr>
      <w:r>
        <w:t xml:space="preserve">Essa disposição à</w:t>
      </w:r>
      <w:r>
        <w:t xml:space="preserve"> </w:t>
      </w:r>
      <w:r>
        <w:rPr>
          <w:b/>
          <w:bCs/>
        </w:rPr>
        <w:t xml:space="preserve">punição altruísta</w:t>
      </w:r>
      <w:r>
        <w:t xml:space="preserve"> </w:t>
      </w:r>
      <w:r>
        <w:t xml:space="preserve">— pagar um custo para punir quem viola normas sociais — é difícil de explicar pelo autointeresse, mas emerge naturalmente de modelos que combinam aversão à inequidade com reciprocidade (Dhami 2016, p. 466–478).</w:t>
      </w:r>
    </w:p>
    <w:p>
      <w:pPr>
        <w:pStyle w:val="BodyText"/>
      </w:pPr>
      <w:r>
        <w:t xml:space="preserve">As implicações para o mercado de trabalho são especialmente importantes. Akerlof (1982) havia proposto o modelo de</w:t>
      </w:r>
      <w:r>
        <w:t xml:space="preserve"> </w:t>
      </w:r>
      <w:r>
        <w:rPr>
          <w:b/>
          <w:bCs/>
        </w:rPr>
        <w:t xml:space="preserve">salário-eficiência</w:t>
      </w:r>
      <w:r>
        <w:t xml:space="preserve">: trabalhadores que percebem seu salário como</w:t>
      </w:r>
      <w:r>
        <w:t xml:space="preserve"> </w:t>
      </w:r>
      <w:r>
        <w:t xml:space="preserve">“justo”</w:t>
      </w:r>
      <w:r>
        <w:t xml:space="preserve"> </w:t>
      </w:r>
      <w:r>
        <w:t xml:space="preserve">— acima do que o mercado exigiria como mínimo — respondem com maior esforço e lealdade, não por altruísmo puro, mas por reciprocidade. A firma faz uma</w:t>
      </w:r>
      <w:r>
        <w:t xml:space="preserve"> </w:t>
      </w:r>
      <w:r>
        <w:t xml:space="preserve">“dádiva”</w:t>
      </w:r>
      <w:r>
        <w:t xml:space="preserve"> </w:t>
      </w:r>
      <w:r>
        <w:t xml:space="preserve">ao trabalhador (salário acima do equilíbrio), e o trabalhador responde com uma</w:t>
      </w:r>
      <w:r>
        <w:t xml:space="preserve"> </w:t>
      </w:r>
      <w:r>
        <w:t xml:space="preserve">“contradádiva”</w:t>
      </w:r>
      <w:r>
        <w:t xml:space="preserve"> </w:t>
      </w:r>
      <w:r>
        <w:t xml:space="preserve">(esforço acima do mínimo contratável). Nesse modelo, os salários não caem até o equilíbrio walrasiano mesmo com desemprego, porque fazê-lo destruiria a reciprocidade e reduziria a produtividade.</w:t>
      </w:r>
    </w:p>
    <w:p>
      <w:pPr>
        <w:pStyle w:val="BodyText"/>
      </w:pPr>
      <w:r>
        <w:t xml:space="preserve">A reciprocidade também tem implicações para o design de contratos de incentivo. Contratos de alto-monitoramento — câmeras, relatórios detalhados, métricas granulares de desempenho — podem transmitir a mensagem de que o empregador não confia no trabalhador, ativando reciprocidade negativa e reduzindo a motivação intrínseca. Fehr, Herz e Wilkening (2013) mostraram experimentalmente que contratos com forte controle externo podem ser menos eficientes do que contratos com menor monitoramento, porque destroem a reciprocidade positiva e substituem motivação intrínseca por motivação extrínseca. Essa tensão entre contratos formais e normas informais de reciprocidade é central para entender por que organizações bem-sucedidas muitas vezes dependem mais de cultura corporativa do que de sistemas de incentivo explícitos.</w:t>
      </w:r>
    </w:p>
    <w:p>
      <w:pPr>
        <w:pStyle w:val="BlockText"/>
      </w:pPr>
      <w:r>
        <w:rPr>
          <w:b/>
          <w:bCs/>
        </w:rPr>
        <w:t xml:space="preserve">[INTUICAO ECONOMICA] Intuição Econômica</w:t>
      </w:r>
    </w:p>
    <w:p>
      <w:pPr>
        <w:pStyle w:val="BlockText"/>
      </w:pPr>
      <w:r>
        <w:rPr>
          <w:b/>
          <w:bCs/>
        </w:rPr>
        <w:t xml:space="preserve">Em uma frase:</w:t>
      </w:r>
      <w:r>
        <w:t xml:space="preserve"> </w:t>
      </w:r>
      <w:r>
        <w:t xml:space="preserve">Reciprocidade positiva (recompensar cooperação) e negativa (punir deserção) criam um mecanismo descentralizado de imposição de normas — mais eficaz que contratos formais em comunidades pequenas.</w:t>
      </w:r>
    </w:p>
    <w:p>
      <w:pPr>
        <w:pStyle w:val="BlockText"/>
      </w:pPr>
      <w:r>
        <w:rPr>
          <w:b/>
          <w:bCs/>
        </w:rPr>
        <w:t xml:space="preserve">Pense assim:</w:t>
      </w:r>
      <w:r>
        <w:t xml:space="preserve"> </w:t>
      </w:r>
      <w:r>
        <w:t xml:space="preserve">Num condomínio, o vizinho que sempre limpa a churrasqueira ganha convites para festas (reciprocidade positiva). O que nunca ajuda é excluído do grupo de WhatsApp (reciprocidade negativa). Ninguém precisa de contrato formal — a pressão social sustenta a cooperação.</w:t>
      </w:r>
    </w:p>
    <w:p>
      <w:pPr>
        <w:pStyle w:val="BlockText"/>
      </w:pPr>
      <w:r>
        <w:rPr>
          <w:b/>
          <w:bCs/>
        </w:rPr>
        <w:t xml:space="preserve">Por que isso importa:</w:t>
      </w:r>
      <w:r>
        <w:t xml:space="preserve"> </w:t>
      </w:r>
      <w:r>
        <w:t xml:space="preserve">Henrich et al. (2001) mostraram que sociedades com maior integração de mercado exibem mais cooperação em jogos experimentais. Entender preferências sociais é essencial para desenhar mecanismos que funcionem com seres humanos reais, não com</w:t>
      </w:r>
      <w:r>
        <w:t xml:space="preserve"> </w:t>
      </w:r>
      <w:r>
        <w:rPr>
          <w:i/>
          <w:iCs/>
        </w:rPr>
        <w:t xml:space="preserve">homo economicus</w:t>
      </w:r>
      <w:r>
        <w:t xml:space="preserve">.</w:t>
      </w:r>
    </w:p>
    <w:bookmarkEnd w:id="398"/>
    <w:bookmarkEnd w:id="399"/>
    <w:bookmarkStart w:id="403" w:name="X4563308fb6febebd5043669f0a45b63e08f4c65"/>
    <w:p>
      <w:pPr>
        <w:pStyle w:val="Heading2"/>
      </w:pPr>
      <w:r>
        <w:t xml:space="preserve">8.3 A Urna Misteriosa: Ambiguidade e o Paradoxo de Ellsberg</w:t>
      </w:r>
    </w:p>
    <w:p>
      <w:pPr>
        <w:pStyle w:val="FirstParagraph"/>
      </w:pPr>
      <w:r>
        <w:t xml:space="preserve">A Teoria do Prospecto pressupõe que você</w:t>
      </w:r>
      <w:r>
        <w:t xml:space="preserve"> </w:t>
      </w:r>
      <w:r>
        <w:rPr>
          <w:i/>
          <w:iCs/>
        </w:rPr>
        <w:t xml:space="preserve">conhece</w:t>
      </w:r>
      <w:r>
        <w:t xml:space="preserve"> </w:t>
      </w:r>
      <w:r>
        <w:t xml:space="preserve">as probabilidades — só as processa de forma distorcida. Mas e quando você não faz</w:t>
      </w:r>
      <w:r>
        <w:t xml:space="preserve"> </w:t>
      </w:r>
      <w:r>
        <w:rPr>
          <w:i/>
          <w:iCs/>
        </w:rPr>
        <w:t xml:space="preserve">ideia</w:t>
      </w:r>
      <w:r>
        <w:t xml:space="preserve"> </w:t>
      </w:r>
      <w:r>
        <w:t xml:space="preserve">das probabilidades? Qual é a chance de uma pandemia? De um golpe de Estado? De a inteligência artificial substituir seu emprego? Nesses casos, não estamos diante de risco (probabilidades conhecidas) nem de ignorância total — estamos na terra da</w:t>
      </w:r>
      <w:r>
        <w:t xml:space="preserve"> </w:t>
      </w:r>
      <w:r>
        <w:rPr>
          <w:b/>
          <w:bCs/>
        </w:rPr>
        <w:t xml:space="preserve">ambiguidade</w:t>
      </w:r>
      <w:r>
        <w:t xml:space="preserve">: sabemos que não sabemos, e isso nos assusta de um jeito que a teoria padrão não captura. Daniel Ellsberg mostrou isso de forma brilhante com duas urnas e umas bolinhas coloridas.</w:t>
      </w:r>
    </w:p>
    <w:bookmarkStart w:id="400" w:name="risco-incerteza-e-ambiguidade"/>
    <w:p>
      <w:pPr>
        <w:pStyle w:val="Heading4"/>
      </w:pPr>
      <w:r>
        <w:t xml:space="preserve">8.3.1 Risco, incerteza e ambiguidade</w:t>
      </w:r>
    </w:p>
    <w:p>
      <w:pPr>
        <w:pStyle w:val="FirstParagraph"/>
      </w:pPr>
      <w:r>
        <w:t xml:space="preserve">O Capítulo 7 tratou de decisões sob</w:t>
      </w:r>
      <w:r>
        <w:t xml:space="preserve"> </w:t>
      </w:r>
      <w:r>
        <w:rPr>
          <w:b/>
          <w:bCs/>
        </w:rPr>
        <w:t xml:space="preserve">risco</w:t>
      </w:r>
      <w:r>
        <w:t xml:space="preserve"> </w:t>
      </w:r>
      <w:r>
        <w:t xml:space="preserve">— situações em que as probabilidades dos estados do mundo são conhecidas. Knight (1921) distinguiu o risco da</w:t>
      </w:r>
      <w:r>
        <w:t xml:space="preserve"> </w:t>
      </w:r>
      <w:r>
        <w:rPr>
          <w:b/>
          <w:bCs/>
        </w:rPr>
        <w:t xml:space="preserve">incerteza</w:t>
      </w:r>
      <w:r>
        <w:t xml:space="preserve"> </w:t>
      </w:r>
      <w:r>
        <w:t xml:space="preserve">(</w:t>
      </w:r>
      <w:r>
        <w:rPr>
          <w:i/>
          <w:iCs/>
        </w:rPr>
        <w:t xml:space="preserve">uncertainty</w:t>
      </w:r>
      <w:r>
        <w:t xml:space="preserve">), em que as probabilidades são desconhecidas. Ellsberg (1961) identificou um fenômeno ainda mais específico: mesmo quando os agentes poderiam atribuir probabilidades subjetivas (como prescreve a UE de Savage), eles sistematicamente</w:t>
      </w:r>
      <w:r>
        <w:t xml:space="preserve"> </w:t>
      </w:r>
      <w:r>
        <w:rPr>
          <w:b/>
          <w:bCs/>
        </w:rPr>
        <w:t xml:space="preserve">evitam</w:t>
      </w:r>
      <w:r>
        <w:t xml:space="preserve"> </w:t>
      </w:r>
      <w:r>
        <w:t xml:space="preserve">situações em que as probabilidades são</w:t>
      </w:r>
      <w:r>
        <w:t xml:space="preserve"> </w:t>
      </w:r>
      <w:r>
        <w:rPr>
          <w:b/>
          <w:bCs/>
        </w:rPr>
        <w:t xml:space="preserve">ambíguas</w:t>
      </w:r>
      <w:r>
        <w:t xml:space="preserve"> </w:t>
      </w:r>
      <w:r>
        <w:t xml:space="preserve">— isto é, pouco informadas ou vagas. A</w:t>
      </w:r>
      <w:r>
        <w:t xml:space="preserve"> </w:t>
      </w:r>
      <w:hyperlink w:anchor="tabela-8-4">
        <w:r>
          <w:rPr>
            <w:rStyle w:val="Hyperlink"/>
          </w:rPr>
          <w:t xml:space="preserve">Tabela 8.4</w:t>
        </w:r>
      </w:hyperlink>
      <w:r>
        <w:t xml:space="preserve"> </w:t>
      </w:r>
      <w:r>
        <w:t xml:space="preserve">distingue esses três conceitos.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Conceito</w:t>
            </w:r>
          </w:p>
        </w:tc>
        <w:tc>
          <w:tcPr/>
          <w:p>
            <w:pPr>
              <w:pStyle w:val="Compact"/>
            </w:pPr>
            <w:r>
              <w:t xml:space="preserve">Probabilidades</w:t>
            </w:r>
          </w:p>
        </w:tc>
        <w:tc>
          <w:tcPr/>
          <w:p>
            <w:pPr>
              <w:pStyle w:val="Compact"/>
            </w:pPr>
            <w:r>
              <w:t xml:space="preserve">Exemplo</w:t>
            </w:r>
          </w:p>
        </w:tc>
      </w:tr>
      <w:tr>
        <w:tc>
          <w:tcPr/>
          <w:p>
            <w:pPr>
              <w:pStyle w:val="Compact"/>
            </w:pPr>
            <w:r>
              <w:rPr>
                <w:b/>
                <w:bCs/>
              </w:rPr>
              <w:t xml:space="preserve">Risco</w:t>
            </w:r>
          </w:p>
        </w:tc>
        <w:tc>
          <w:tcPr/>
          <w:p>
            <w:pPr>
              <w:pStyle w:val="Compact"/>
            </w:pPr>
            <w:r>
              <w:t xml:space="preserve">Conhecidas e objetivas</w:t>
            </w:r>
          </w:p>
        </w:tc>
        <w:tc>
          <w:tcPr/>
          <w:p>
            <w:pPr>
              <w:pStyle w:val="Compact"/>
            </w:pPr>
            <w:r>
              <w:t xml:space="preserve">Roleta:</w:t>
            </w:r>
            <w:r>
              <w:t xml:space="preserve"> </w:t>
            </w:r>
            <m:oMath>
              <m:r>
                <m:t>P</m:t>
              </m:r>
              <m:r>
                <m:rPr>
                  <m:sty m:val="p"/>
                </m:rPr>
                <m:t>(</m:t>
              </m:r>
              <m:r>
                <m:rPr>
                  <m:nor/>
                  <m:sty m:val="p"/>
                </m:rPr>
                <m:t>vermelho</m:t>
              </m:r>
              <m:r>
                <m:rPr>
                  <m:sty m:val="p"/>
                </m:rPr>
                <m:t>)</m:t>
              </m:r>
              <m:r>
                <m:rPr>
                  <m:sty m:val="p"/>
                </m:rPr>
                <m:t>=</m:t>
              </m:r>
              <m:r>
                <m:t>18</m:t>
              </m:r>
              <m:r>
                <m:rPr>
                  <m:sty m:val="p"/>
                </m:rPr>
                <m:t>/</m:t>
              </m:r>
              <m:r>
                <m:t>37</m:t>
              </m:r>
            </m:oMath>
          </w:p>
        </w:tc>
      </w:tr>
      <w:tr>
        <w:tc>
          <w:tcPr/>
          <w:p>
            <w:pPr>
              <w:pStyle w:val="Compact"/>
            </w:pPr>
            <w:r>
              <w:rPr>
                <w:b/>
                <w:bCs/>
              </w:rPr>
              <w:t xml:space="preserve">Incerteza knightiana</w:t>
            </w:r>
          </w:p>
        </w:tc>
        <w:tc>
          <w:tcPr/>
          <w:p>
            <w:pPr>
              <w:pStyle w:val="Compact"/>
            </w:pPr>
            <w:r>
              <w:t xml:space="preserve">Desconhecidas</w:t>
            </w:r>
          </w:p>
        </w:tc>
        <w:tc>
          <w:tcPr/>
          <w:p>
            <w:pPr>
              <w:pStyle w:val="Compact"/>
            </w:pPr>
            <w:r>
              <w:t xml:space="preserve">Resultado de uma revolução política</w:t>
            </w:r>
          </w:p>
        </w:tc>
      </w:tr>
      <w:tr>
        <w:tc>
          <w:tcPr/>
          <w:p>
            <w:pPr>
              <w:pStyle w:val="Compact"/>
            </w:pPr>
            <w:r>
              <w:rPr>
                <w:b/>
                <w:bCs/>
              </w:rPr>
              <w:t xml:space="preserve">Ambiguidade</w:t>
            </w:r>
          </w:p>
        </w:tc>
        <w:tc>
          <w:tcPr/>
          <w:p>
            <w:pPr>
              <w:pStyle w:val="Compact"/>
            </w:pPr>
            <w:r>
              <w:t xml:space="preserve">Formalmente atribuíveis, mas vagas</w:t>
            </w:r>
          </w:p>
        </w:tc>
        <w:tc>
          <w:tcPr/>
          <w:p>
            <w:pPr>
              <w:pStyle w:val="Compact"/>
            </w:pPr>
            <w:r>
              <w:t xml:space="preserve">Urna com composição desconhecida</w:t>
            </w:r>
          </w:p>
        </w:tc>
      </w:tr>
    </w:tbl>
    <w:p>
      <w:pPr>
        <w:pStyle w:val="BodyText"/>
      </w:pPr>
      <w:r>
        <w:rPr>
          <w:b/>
          <w:bCs/>
        </w:rPr>
        <w:t xml:space="preserve">Tabela 8.4 — Risco, incerteza knightiana e ambiguidade.</w:t>
      </w:r>
    </w:p>
    <w:bookmarkEnd w:id="400"/>
    <w:bookmarkStart w:id="401" w:name="o-paradoxo-de-ellsberg"/>
    <w:p>
      <w:pPr>
        <w:pStyle w:val="Heading4"/>
      </w:pPr>
      <w:r>
        <w:t xml:space="preserve">8.3.2 O Paradoxo de Ellsberg</w:t>
      </w:r>
    </w:p>
    <w:p>
      <w:pPr>
        <w:pStyle w:val="FirstParagraph"/>
      </w:pPr>
      <w:r>
        <w:t xml:space="preserve">Daniel Ellsberg — o mesmo que mais tarde ficaria famoso pelos</w:t>
      </w:r>
      <w:r>
        <w:t xml:space="preserve"> </w:t>
      </w:r>
      <w:r>
        <w:rPr>
          <w:i/>
          <w:iCs/>
        </w:rPr>
        <w:t xml:space="preserve">Pentagon Papers</w:t>
      </w:r>
      <w:r>
        <w:t xml:space="preserve"> </w:t>
      </w:r>
      <w:r>
        <w:t xml:space="preserve">— construiu um experimento mental engenhoso que demonstra a aversão à ambiguidade de forma irrefutável.</w:t>
      </w:r>
    </w:p>
    <w:p>
      <w:pPr>
        <w:pStyle w:val="BlockText"/>
      </w:pPr>
      <w:r>
        <w:rPr>
          <w:b/>
          <w:bCs/>
        </w:rPr>
        <w:t xml:space="preserve">[EXEMPLO] Paradoxo de Ellsberg — Duas cores</w:t>
      </w:r>
    </w:p>
    <w:p>
      <w:pPr>
        <w:pStyle w:val="BlockText"/>
      </w:pPr>
      <w:r>
        <w:t xml:space="preserve">Considere duas urnas, cada uma com 100 bolas:</w:t>
      </w:r>
    </w:p>
    <w:p>
      <w:pPr>
        <w:pStyle w:val="Compact"/>
        <w:numPr>
          <w:ilvl w:val="0"/>
          <w:numId w:val="1406"/>
        </w:numPr>
      </w:pPr>
      <w:r>
        <w:rPr>
          <w:b/>
          <w:bCs/>
        </w:rPr>
        <w:t xml:space="preserve">Urna A (conhecida):</w:t>
      </w:r>
      <w:r>
        <w:t xml:space="preserve"> </w:t>
      </w:r>
      <w:r>
        <w:t xml:space="preserve">50 bolas vermelhas e 50 pretas.</w:t>
      </w:r>
    </w:p>
    <w:p>
      <w:pPr>
        <w:pStyle w:val="Compact"/>
        <w:numPr>
          <w:ilvl w:val="0"/>
          <w:numId w:val="1406"/>
        </w:numPr>
      </w:pPr>
      <w:r>
        <w:rPr>
          <w:b/>
          <w:bCs/>
        </w:rPr>
        <w:t xml:space="preserve">Urna B (ambígua):</w:t>
      </w:r>
      <w:r>
        <w:t xml:space="preserve"> </w:t>
      </w:r>
      <w:r>
        <w:t xml:space="preserve">100 bolas, mas a proporção entre vermelhas e pretas é desconhecida.</w:t>
      </w:r>
    </w:p>
    <w:p>
      <w:pPr>
        <w:pStyle w:val="BlockText"/>
      </w:pPr>
      <w:r>
        <w:t xml:space="preserve">Você ganha R$ 100 se uma bola da cor escolhida for sorteada.</w:t>
      </w:r>
    </w:p>
    <w:p>
      <w:pPr>
        <w:pStyle w:val="BlockText"/>
      </w:pPr>
      <w:r>
        <w:rPr>
          <w:b/>
          <w:bCs/>
        </w:rPr>
        <w:t xml:space="preserve">Escolha 1:</w:t>
      </w:r>
      <w:r>
        <w:t xml:space="preserve"> </w:t>
      </w:r>
      <w:r>
        <w:t xml:space="preserve">Apostar em vermelho. A maioria prefere a</w:t>
      </w:r>
      <w:r>
        <w:t xml:space="preserve"> </w:t>
      </w:r>
      <w:r>
        <w:rPr>
          <w:b/>
          <w:bCs/>
        </w:rPr>
        <w:t xml:space="preserve">Urna A</w:t>
      </w:r>
      <w:r>
        <w:t xml:space="preserve">.</w:t>
      </w:r>
    </w:p>
    <w:p>
      <w:pPr>
        <w:pStyle w:val="BlockText"/>
      </w:pPr>
      <w:r>
        <w:rPr>
          <w:b/>
          <w:bCs/>
        </w:rPr>
        <w:t xml:space="preserve">Escolha 2:</w:t>
      </w:r>
      <w:r>
        <w:t xml:space="preserve"> </w:t>
      </w:r>
      <w:r>
        <w:t xml:space="preserve">Apostar em preto. A maioria</w:t>
      </w:r>
      <w:r>
        <w:t xml:space="preserve"> </w:t>
      </w:r>
      <w:r>
        <w:rPr>
          <w:i/>
          <w:iCs/>
        </w:rPr>
        <w:t xml:space="preserve">também</w:t>
      </w:r>
      <w:r>
        <w:t xml:space="preserve"> </w:t>
      </w:r>
      <w:r>
        <w:t xml:space="preserve">prefere a</w:t>
      </w:r>
      <w:r>
        <w:t xml:space="preserve"> </w:t>
      </w:r>
      <w:r>
        <w:rPr>
          <w:b/>
          <w:bCs/>
        </w:rPr>
        <w:t xml:space="preserve">Urna A</w:t>
      </w:r>
      <w:r>
        <w:t xml:space="preserve">.</w:t>
      </w:r>
    </w:p>
    <w:p>
      <w:pPr>
        <w:pStyle w:val="BlockText"/>
      </w:pPr>
      <w:r>
        <w:t xml:space="preserve">Esse padrão viola a UE de Savage. Se o agente atribui probabilidade subjetiva</w:t>
      </w:r>
      <w:r>
        <w:t xml:space="preserve"> </w:t>
      </w:r>
      <m:oMath>
        <m:r>
          <m:t>P</m:t>
        </m:r>
        <m:r>
          <m:rPr>
            <m:sty m:val="p"/>
          </m:rPr>
          <m:t>(</m:t>
        </m:r>
        <m:r>
          <m:rPr>
            <m:nor/>
            <m:sty m:val="p"/>
          </m:rPr>
          <m:t>vermelho em B</m:t>
        </m:r>
        <m:r>
          <m:rPr>
            <m:sty m:val="p"/>
          </m:rPr>
          <m:t>)</m:t>
        </m:r>
        <m:r>
          <m:rPr>
            <m:sty m:val="p"/>
          </m:rPr>
          <m:t>&lt;</m:t>
        </m:r>
        <m:r>
          <m:t>0</m:t>
        </m:r>
        <m:r>
          <m:rPr>
            <m:sty m:val="p"/>
          </m:rPr>
          <m:t>,</m:t>
        </m:r>
        <m:r>
          <m:t>5</m:t>
        </m:r>
      </m:oMath>
      <w:r>
        <w:t xml:space="preserve">, deveria atribuir</w:t>
      </w:r>
      <w:r>
        <w:t xml:space="preserve"> </w:t>
      </w:r>
      <m:oMath>
        <m:r>
          <m:t>P</m:t>
        </m:r>
        <m:r>
          <m:rPr>
            <m:sty m:val="p"/>
          </m:rPr>
          <m:t>(</m:t>
        </m:r>
        <m:r>
          <m:rPr>
            <m:nor/>
            <m:sty m:val="p"/>
          </m:rPr>
          <m:t>preto em B</m:t>
        </m:r>
        <m:r>
          <m:rPr>
            <m:sty m:val="p"/>
          </m:rPr>
          <m:t>)</m:t>
        </m:r>
        <m:r>
          <m:rPr>
            <m:sty m:val="p"/>
          </m:rPr>
          <m:t>&gt;</m:t>
        </m:r>
        <m:r>
          <m:t>0</m:t>
        </m:r>
        <m:r>
          <m:rPr>
            <m:sty m:val="p"/>
          </m:rPr>
          <m:t>,</m:t>
        </m:r>
        <m:r>
          <m:t>5</m:t>
        </m:r>
      </m:oMath>
      <w:r>
        <w:t xml:space="preserve"> </w:t>
      </w:r>
      <w:r>
        <w:t xml:space="preserve">e preferir a Urna B na aposta em preto. A preferência simultânea pela Urna A em ambas as apostas revela uma aversão à</w:t>
      </w:r>
      <w:r>
        <w:t xml:space="preserve"> </w:t>
      </w:r>
      <w:r>
        <w:rPr>
          <w:b/>
          <w:bCs/>
        </w:rPr>
        <w:t xml:space="preserve">ambiguidade</w:t>
      </w:r>
      <w:r>
        <w:t xml:space="preserve"> </w:t>
      </w:r>
      <w:r>
        <w:t xml:space="preserve">— à falta de informação sobre as probabilidades — que vai além da aversão ao risco (Dhami 2016, p. 321–324).</w:t>
      </w:r>
    </w:p>
    <w:p>
      <w:pPr>
        <w:pStyle w:val="FirstParagraph"/>
      </w:pPr>
      <w:r>
        <w:t xml:space="preserve">[FIGURA INTERATIVA: /micro-book/graficos/cap08/ellsberg-urnas.html — versao interativa disponivel online]</w:t>
      </w:r>
    </w:p>
    <w:p>
      <w:pPr>
        <w:pStyle w:val="BodyText"/>
      </w:pPr>
      <w:r>
        <w:rPr>
          <w:b/>
          <w:bCs/>
        </w:rPr>
        <w:t xml:space="preserve">Figura 8.3 — Paradoxo de Ellsberg: duas urnas.</w:t>
      </w:r>
      <w:r>
        <w:t xml:space="preserve"> </w:t>
      </w:r>
      <w:r>
        <w:t xml:space="preserve">Visualize como a aversão à ambiguidade leva à preferência pela urna com probabilidades conhecidas.</w:t>
      </w:r>
    </w:p>
    <w:bookmarkEnd w:id="401"/>
    <w:bookmarkStart w:id="402" w:name="modelos-de-ambiguidade"/>
    <w:p>
      <w:pPr>
        <w:pStyle w:val="Heading4"/>
      </w:pPr>
      <w:r>
        <w:t xml:space="preserve">8.3.3 Modelos de ambiguidade</w:t>
      </w:r>
    </w:p>
    <w:p>
      <w:pPr>
        <w:pStyle w:val="FirstParagraph"/>
      </w:pPr>
      <w:r>
        <w:t xml:space="preserve">O Paradoxo de Ellsberg estabelece o fenômeno empírico — a aversão à ambiguidade é real e robusta. Mas como formalizá-la? Que modelos matemáticos podem acomodar a preferência sistemática por probabilidades conhecidas sem abandonar completamente a estrutura da teoria da decisão? Diversas respostas foram propostas.</w:t>
      </w:r>
    </w:p>
    <w:p>
      <w:pPr>
        <w:pStyle w:val="BodyText"/>
      </w:pPr>
      <w:r>
        <w:t xml:space="preserve">A aversão à ambiguidade motivou o desenvolvimento de vários modelos formais alternativos à UE de Savage:</w:t>
      </w:r>
    </w:p>
    <w:p>
      <w:pPr>
        <w:pStyle w:val="Compact"/>
        <w:numPr>
          <w:ilvl w:val="0"/>
          <w:numId w:val="1407"/>
        </w:numPr>
      </w:pPr>
      <w:r>
        <w:rPr>
          <w:b/>
          <w:bCs/>
        </w:rPr>
        <w:t xml:space="preserve">Utilidade Esperada de Choquet (CEU):</w:t>
      </w:r>
      <w:r>
        <w:t xml:space="preserve"> </w:t>
      </w:r>
      <w:r>
        <w:t xml:space="preserve">aplica a RDU com capacidades não aditivas em vez de probabilidades, permitindo que as crenças do agente violem a aditividade (Dhami 2016, p. 324–326).</w:t>
      </w:r>
    </w:p>
    <w:p>
      <w:pPr>
        <w:pStyle w:val="Compact"/>
        <w:numPr>
          <w:ilvl w:val="0"/>
          <w:numId w:val="1407"/>
        </w:numPr>
      </w:pPr>
      <w:r>
        <w:rPr>
          <w:b/>
          <w:bCs/>
        </w:rPr>
        <w:t xml:space="preserve">Maximin Expected Utility (MEU):</w:t>
      </w:r>
      <w:r>
        <w:t xml:space="preserve"> </w:t>
      </w:r>
      <w:r>
        <w:t xml:space="preserve">o agente considera um conjunto de distribuições de probabilidade possíveis e maximiza a utilidade esperada sob a distribuição mais pessimista (Gilboa e Schmeidler 1989).</w:t>
      </w:r>
    </w:p>
    <w:p>
      <w:pPr>
        <w:pStyle w:val="Compact"/>
        <w:numPr>
          <w:ilvl w:val="0"/>
          <w:numId w:val="1407"/>
        </w:numPr>
      </w:pPr>
      <w:r>
        <w:rPr>
          <w:b/>
          <w:bCs/>
        </w:rPr>
        <w:t xml:space="preserve">Aversão à ambiguidade suave:</w:t>
      </w:r>
      <w:r>
        <w:t xml:space="preserve"> </w:t>
      </w:r>
      <w:r>
        <w:t xml:space="preserve">Klibanoff, Marinacci e Mukerji (2005) propõem um modelo em que o agente tem uma distribuição de segunda ordem sobre as probabilidades possíveis, avaliada por uma função côncava que captura a aversão à ambiguidade.</w:t>
      </w:r>
    </w:p>
    <w:p>
      <w:pPr>
        <w:pStyle w:val="FirstParagraph"/>
      </w:pPr>
      <w:r>
        <w:t xml:space="preserve">A conexão com a incerteza</w:t>
      </w:r>
      <w:r>
        <w:t xml:space="preserve"> </w:t>
      </w:r>
      <w:r>
        <w:rPr>
          <w:b/>
          <w:bCs/>
        </w:rPr>
        <w:t xml:space="preserve">knightiana</w:t>
      </w:r>
      <w:r>
        <w:t xml:space="preserve"> </w:t>
      </w:r>
      <w:r>
        <w:t xml:space="preserve">é direta. Knight (1921) distinguiu risco (probabilidades quantificáveis) de incerteza genuína (probabilidades não quantificáveis) precisamente porque reconheceu que os dois tipos de situações geram respostas comportamentais distintas. A sua intuição foi confirmada pelas evidências experimentais do paradoxo de Ellsberg e formalizou-se nos modelos de ambiguidade mencionados acima. Para a macroeconomia e as finanças, essa distinção é crucial: crises financeiras e recessões severas são frequentemente caracterizadas por um colapso da confiança nas próprias distribuições de probabilidade dos ativos — os agentes passam do estado de</w:t>
      </w:r>
      <w:r>
        <w:t xml:space="preserve"> </w:t>
      </w:r>
      <w:r>
        <w:t xml:space="preserve">“risco”</w:t>
      </w:r>
      <w:r>
        <w:t xml:space="preserve"> </w:t>
      </w:r>
      <w:r>
        <w:t xml:space="preserve">para o de</w:t>
      </w:r>
      <w:r>
        <w:t xml:space="preserve"> </w:t>
      </w:r>
      <w:r>
        <w:t xml:space="preserve">“ambiguidade”</w:t>
      </w:r>
      <w:r>
        <w:t xml:space="preserve">, e o comportamento muda qualitativamente. O aumento súbito dos spreads de crédito durante a crise financeira global de 2008-2009, ou durante a pandemia de Covid-19 em 2020, reflete parcialmente esse movimento: investidores não sabiam apenas</w:t>
      </w:r>
      <w:r>
        <w:t xml:space="preserve"> </w:t>
      </w:r>
      <w:r>
        <w:rPr>
          <w:i/>
          <w:iCs/>
        </w:rPr>
        <w:t xml:space="preserve">qual</w:t>
      </w:r>
      <w:r>
        <w:t xml:space="preserve"> </w:t>
      </w:r>
      <w:r>
        <w:t xml:space="preserve">cenário se materializaria, mas</w:t>
      </w:r>
      <w:r>
        <w:t xml:space="preserve"> </w:t>
      </w:r>
      <w:r>
        <w:rPr>
          <w:i/>
          <w:iCs/>
        </w:rPr>
        <w:t xml:space="preserve">quão confiáveis eram seus próprios modelos</w:t>
      </w:r>
      <w:r>
        <w:t xml:space="preserve"> </w:t>
      </w:r>
      <w:r>
        <w:t xml:space="preserve">para prever os possíveis cenários.</w:t>
      </w:r>
    </w:p>
    <w:p>
      <w:pPr>
        <w:pStyle w:val="BodyText"/>
      </w:pPr>
      <w:r>
        <w:t xml:space="preserve">No Brasil, a instabilidade do marco regulatório e fiscal ao longo das últimas décadas cria um ambiente de ambiguidade persistente para investidores estrangeiros e domésticos. Quando as regras do jogo podem mudar de forma imprevisível — por via legislativa, por decisões judiciais ou por revisões de contratos —, a avaliação de risco usual (que pressupõe distribuições de probabilidade estacionárias) se torna inadequada. Os elevados spreads de crédito corporativo no Brasil, mesmo em períodos de inflação controlada, refletem em parte esse</w:t>
      </w:r>
      <w:r>
        <w:t xml:space="preserve"> </w:t>
      </w:r>
      <w:r>
        <w:rPr>
          <w:b/>
          <w:bCs/>
        </w:rPr>
        <w:t xml:space="preserve">prêmio de ambiguidade</w:t>
      </w:r>
      <w:r>
        <w:t xml:space="preserve"> </w:t>
      </w:r>
      <w:r>
        <w:t xml:space="preserve">que se sobrepõe ao prêmio de risco convencional.</w:t>
      </w:r>
    </w:p>
    <w:p>
      <w:pPr>
        <w:pStyle w:val="BlockText"/>
      </w:pPr>
      <w:r>
        <w:rPr>
          <w:b/>
          <w:bCs/>
        </w:rPr>
        <w:t xml:space="preserve">[INTUICAO ECONOMICA] Intuição Econômica</w:t>
      </w:r>
    </w:p>
    <w:p>
      <w:pPr>
        <w:pStyle w:val="BlockText"/>
      </w:pPr>
      <w:r>
        <w:rPr>
          <w:b/>
          <w:bCs/>
        </w:rPr>
        <w:t xml:space="preserve">Em uma frase:</w:t>
      </w:r>
      <w:r>
        <w:t xml:space="preserve"> </w:t>
      </w:r>
      <w:r>
        <w:t xml:space="preserve">Pessoas preferem riscos conhecidos a incertezas desconhecidas — mesmo quando as probabilidades objetivas são iguais.</w:t>
      </w:r>
    </w:p>
    <w:p>
      <w:pPr>
        <w:pStyle w:val="BlockText"/>
      </w:pPr>
      <w:r>
        <w:rPr>
          <w:b/>
          <w:bCs/>
        </w:rPr>
        <w:t xml:space="preserve">Pense assim:</w:t>
      </w:r>
      <w:r>
        <w:t xml:space="preserve"> </w:t>
      </w:r>
      <w:r>
        <w:t xml:space="preserve">Você prefere apostar numa urna com 50 bolas vermelhas e 50 azuis (risco) ou numa urna com 100 bolas de proporção desconhecida (ambiguidade)? A maioria escolhe a primeira, mesmo que a melhor estimativa para a segunda também seja 50-50. A falta de informação sobre as probabilidades gera desconforto adicional.</w:t>
      </w:r>
    </w:p>
    <w:p>
      <w:pPr>
        <w:pStyle w:val="BlockText"/>
      </w:pPr>
      <w:r>
        <w:rPr>
          <w:b/>
          <w:bCs/>
        </w:rPr>
        <w:t xml:space="preserve">Por que isso importa:</w:t>
      </w:r>
      <w:r>
        <w:t xml:space="preserve"> </w:t>
      </w:r>
      <w:r>
        <w:t xml:space="preserve">Em mercados financeiros, ativos com retornos difíceis de modelar carregam um</w:t>
      </w:r>
      <w:r>
        <w:t xml:space="preserve"> </w:t>
      </w:r>
      <w:r>
        <w:rPr>
          <w:b/>
          <w:bCs/>
        </w:rPr>
        <w:t xml:space="preserve">prêmio de ambiguidade</w:t>
      </w:r>
      <w:r>
        <w:t xml:space="preserve"> </w:t>
      </w:r>
      <w:r>
        <w:t xml:space="preserve">além do prêmio de risco. No Brasil, a imprevisibilidade da política fiscal e regulatória amplifica esse prêmio, contribuindo para os elevados spreads de crédito do mercado corporativo.</w:t>
      </w:r>
    </w:p>
    <w:bookmarkEnd w:id="402"/>
    <w:bookmarkEnd w:id="403"/>
    <w:bookmarkStart w:id="410" w:name="exercícios-e-anpec-6"/>
    <w:p>
      <w:pPr>
        <w:pStyle w:val="Heading2"/>
      </w:pPr>
      <w:r>
        <w:t xml:space="preserve">Exercícios e ANPEC</w:t>
      </w:r>
    </w:p>
    <w:p>
      <w:pPr>
        <w:pStyle w:val="BlockText"/>
      </w:pPr>
      <w:r>
        <w:rPr>
          <w:b/>
          <w:bCs/>
        </w:rPr>
        <w:t xml:space="preserve">[DICA] Dados para exercicios empiricos</w:t>
      </w:r>
    </w:p>
    <w:p>
      <w:pPr>
        <w:pStyle w:val="Compact"/>
        <w:numPr>
          <w:ilvl w:val="0"/>
          <w:numId w:val="1408"/>
        </w:numPr>
      </w:pPr>
      <w:r>
        <w:rPr>
          <w:b/>
          <w:bCs/>
        </w:rPr>
        <w:t xml:space="preserve">Previc / Previdencia complementar:</w:t>
      </w:r>
      <w:r>
        <w:t xml:space="preserve"> </w:t>
      </w:r>
      <w:hyperlink r:id="rId404">
        <w:r>
          <w:rPr>
            <w:rStyle w:val="Hyperlink"/>
          </w:rPr>
          <w:t xml:space="preserve">gov.br/previc</w:t>
        </w:r>
      </w:hyperlink>
      <w:r>
        <w:t xml:space="preserve"> </w:t>
      </w:r>
      <w:r>
        <w:t xml:space="preserve">— Dados sobre adesao a planos de previdencia complementar para analisar o efeito de</w:t>
      </w:r>
      <w:r>
        <w:t xml:space="preserve"> </w:t>
      </w:r>
      <w:r>
        <w:rPr>
          <w:i/>
          <w:iCs/>
        </w:rPr>
        <w:t xml:space="preserve">defaults</w:t>
      </w:r>
      <w:r>
        <w:t xml:space="preserve"> </w:t>
      </w:r>
      <w:r>
        <w:t xml:space="preserve">(opt-in vs. opt-out) — nudge classico.</w:t>
      </w:r>
    </w:p>
    <w:p>
      <w:pPr>
        <w:pStyle w:val="Compact"/>
        <w:numPr>
          <w:ilvl w:val="0"/>
          <w:numId w:val="1408"/>
        </w:numPr>
      </w:pPr>
      <w:r>
        <w:rPr>
          <w:b/>
          <w:bCs/>
        </w:rPr>
        <w:t xml:space="preserve">Efeito disposicao na B3:</w:t>
      </w:r>
      <w:r>
        <w:t xml:space="preserve"> </w:t>
      </w:r>
      <w:hyperlink r:id="rId350">
        <w:r>
          <w:rPr>
            <w:rStyle w:val="Hyperlink"/>
          </w:rPr>
          <w:t xml:space="preserve">b3.com.br</w:t>
        </w:r>
      </w:hyperlink>
      <w:r>
        <w:t xml:space="preserve"> </w:t>
      </w:r>
      <w:r>
        <w:t xml:space="preserve">— Dados de volume e preco para testar se investidores vendem winners cedo demais e seguram losers (aversao a perda em acao).</w:t>
      </w:r>
    </w:p>
    <w:p>
      <w:pPr>
        <w:pStyle w:val="Compact"/>
        <w:numPr>
          <w:ilvl w:val="0"/>
          <w:numId w:val="1408"/>
        </w:numPr>
      </w:pPr>
      <w:r>
        <w:rPr>
          <w:b/>
          <w:bCs/>
        </w:rPr>
        <w:t xml:space="preserve">Notebook:</w:t>
      </w:r>
      <w:r>
        <w:t xml:space="preserve"> </w:t>
      </w:r>
      <w:r>
        <w:t xml:space="preserve">N5 — Vieses cognitivos em dados (experimento de ancoragem simulado).</w:t>
      </w:r>
    </w:p>
    <w:bookmarkStart w:id="405" w:name="revisão-rápida-6"/>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Na Teoria do Prospecto de Kahneman e Tversky, a função valor é:</w:t>
      </w:r>
    </w:p>
    <w:p>
      <w:pPr>
        <w:pStyle w:val="Compact"/>
        <w:numPr>
          <w:ilvl w:val="0"/>
          <w:numId w:val="1409"/>
        </w:numPr>
      </w:pPr>
    </w:p>
    <w:p>
      <w:pPr>
        <w:pStyle w:val="Compact"/>
        <w:numPr>
          <w:ilvl w:val="1"/>
          <w:numId w:val="1410"/>
        </w:numPr>
      </w:pPr>
      <w:r>
        <w:t xml:space="preserve">Côncava para ganhos e côncava para perdas, com simetria</w:t>
      </w:r>
    </w:p>
    <w:p>
      <w:pPr>
        <w:pStyle w:val="Compact"/>
        <w:numPr>
          <w:ilvl w:val="0"/>
          <w:numId w:val="1409"/>
        </w:numPr>
      </w:pPr>
    </w:p>
    <w:p>
      <w:pPr>
        <w:pStyle w:val="Compact"/>
        <w:numPr>
          <w:ilvl w:val="1"/>
          <w:numId w:val="1411"/>
        </w:numPr>
      </w:pPr>
      <w:r>
        <w:t xml:space="preserve">Côncava para ganhos e convexa para perdas, com inclinação mais acentuada para perdas</w:t>
      </w:r>
    </w:p>
    <w:p>
      <w:pPr>
        <w:pStyle w:val="Compact"/>
        <w:numPr>
          <w:ilvl w:val="0"/>
          <w:numId w:val="1409"/>
        </w:numPr>
      </w:pPr>
    </w:p>
    <w:p>
      <w:pPr>
        <w:pStyle w:val="Compact"/>
        <w:numPr>
          <w:ilvl w:val="1"/>
          <w:numId w:val="1412"/>
        </w:numPr>
      </w:pPr>
      <w:r>
        <w:t xml:space="preserve">Convexa para ganhos e côncava para perdas</w:t>
      </w:r>
    </w:p>
    <w:p>
      <w:pPr>
        <w:pStyle w:val="Compact"/>
        <w:numPr>
          <w:ilvl w:val="0"/>
          <w:numId w:val="1409"/>
        </w:numPr>
      </w:pPr>
    </w:p>
    <w:p>
      <w:pPr>
        <w:pStyle w:val="Compact"/>
        <w:numPr>
          <w:ilvl w:val="1"/>
          <w:numId w:val="1413"/>
        </w:numPr>
      </w:pPr>
      <w:r>
        <w:t xml:space="preserve">Linear tanto para ganhos quanto para perdas</w:t>
      </w:r>
    </w:p>
    <w:p>
      <w:pPr>
        <w:pStyle w:val="BlockText"/>
      </w:pPr>
      <w:r>
        <w:t xml:space="preserve">??? success</w:t>
      </w:r>
      <w:r>
        <w:t xml:space="preserve"> </w:t>
      </w:r>
      <w:r>
        <w:t xml:space="preserve">“Resposta”</w:t>
      </w:r>
      <w:r>
        <w:t xml:space="preserve"> </w:t>
      </w:r>
      <w:r>
        <w:rPr>
          <w:b/>
          <w:bCs/>
        </w:rPr>
        <w:t xml:space="preserve">(b)</w:t>
      </w:r>
      <w:r>
        <w:t xml:space="preserve"> </w:t>
      </w:r>
      <w:r>
        <w:t xml:space="preserve">A função valor é definida sobre ganhos e perdas relativos a um ponto de referência: côncava para ganhos (aversão ao risco), convexa para perdas (busca de risco) e mais íngreme para perdas do que para ganhos (aversão à perda,</w:t>
      </w:r>
      <w:r>
        <w:t xml:space="preserve"> </w:t>
      </w:r>
      <m:oMath>
        <m:r>
          <m:t>λ</m:t>
        </m:r>
        <m:r>
          <m:rPr>
            <m:sty m:val="p"/>
          </m:rPr>
          <m:t>≈</m:t>
        </m:r>
        <m:r>
          <m:t>2</m:t>
        </m:r>
        <m:r>
          <m:rPr>
            <m:sty m:val="p"/>
          </m:rPr>
          <m:t>,</m:t>
        </m:r>
        <m:r>
          <m:t>25</m:t>
        </m:r>
      </m:oMath>
      <w:r>
        <w:t xml:space="preserve">). A alternativa (a) ignora a convexidade para perdas e a assimetria; (c) inverte; (d) descreve utilidade esperada linear.</w:t>
      </w:r>
    </w:p>
    <w:p>
      <w:pPr>
        <w:pStyle w:val="BlockText"/>
      </w:pPr>
      <w:r>
        <w:rPr>
          <w:b/>
          <w:bCs/>
        </w:rPr>
        <w:t xml:space="preserve">[QUESTAO] 2. O desconto quasi-hiperbólico (β, δ) difere do exponencial porque:</w:t>
      </w:r>
    </w:p>
    <w:p>
      <w:pPr>
        <w:pStyle w:val="Compact"/>
        <w:numPr>
          <w:ilvl w:val="0"/>
          <w:numId w:val="1414"/>
        </w:numPr>
      </w:pPr>
    </w:p>
    <w:p>
      <w:pPr>
        <w:pStyle w:val="Compact"/>
        <w:numPr>
          <w:ilvl w:val="1"/>
          <w:numId w:val="1415"/>
        </w:numPr>
      </w:pPr>
      <w:r>
        <w:t xml:space="preserve">A taxa de desconto aumenta com o horizonte temporal</w:t>
      </w:r>
    </w:p>
    <w:p>
      <w:pPr>
        <w:pStyle w:val="Compact"/>
        <w:numPr>
          <w:ilvl w:val="0"/>
          <w:numId w:val="1414"/>
        </w:numPr>
      </w:pPr>
    </w:p>
    <w:p>
      <w:pPr>
        <w:pStyle w:val="Compact"/>
        <w:numPr>
          <w:ilvl w:val="1"/>
          <w:numId w:val="1416"/>
        </w:numPr>
      </w:pPr>
      <w:r>
        <w:t xml:space="preserve">Há um desconto extra entre o presente e todos os períodos futuros, gerando viés do presente</w:t>
      </w:r>
    </w:p>
    <w:p>
      <w:pPr>
        <w:pStyle w:val="Compact"/>
        <w:numPr>
          <w:ilvl w:val="0"/>
          <w:numId w:val="1414"/>
        </w:numPr>
      </w:pPr>
    </w:p>
    <w:p>
      <w:pPr>
        <w:pStyle w:val="Compact"/>
        <w:numPr>
          <w:ilvl w:val="1"/>
          <w:numId w:val="1417"/>
        </w:numPr>
      </w:pPr>
      <w:r>
        <w:t xml:space="preserve">O fator de desconto entre períodos futuros consecutivos é β, não δ</w:t>
      </w:r>
    </w:p>
    <w:p>
      <w:pPr>
        <w:pStyle w:val="Compact"/>
        <w:numPr>
          <w:ilvl w:val="0"/>
          <w:numId w:val="1414"/>
        </w:numPr>
      </w:pPr>
    </w:p>
    <w:p>
      <w:pPr>
        <w:pStyle w:val="Compact"/>
        <w:numPr>
          <w:ilvl w:val="1"/>
          <w:numId w:val="1418"/>
        </w:numPr>
      </w:pPr>
      <w:r>
        <w:t xml:space="preserve">O agente é sempre consistente temporalmente</w:t>
      </w:r>
    </w:p>
    <w:p>
      <w:pPr>
        <w:pStyle w:val="BlockText"/>
      </w:pPr>
      <w:r>
        <w:t xml:space="preserve">??? success</w:t>
      </w:r>
      <w:r>
        <w:t xml:space="preserve"> </w:t>
      </w:r>
      <w:r>
        <w:t xml:space="preserve">“Resposta”</w:t>
      </w:r>
      <w:r>
        <w:t xml:space="preserve"> </w:t>
      </w:r>
      <w:r>
        <w:rPr>
          <w:b/>
          <w:bCs/>
        </w:rPr>
        <w:t xml:space="preserve">(b)</w:t>
      </w:r>
      <w:r>
        <w:t xml:space="preserve"> </w:t>
      </w:r>
      <w:r>
        <w:t xml:space="preserve">O modelo</w:t>
      </w:r>
      <w:r>
        <w:t xml:space="preserve"> </w:t>
      </w:r>
      <m:oMath>
        <m:r>
          <m:rPr>
            <m:sty m:val="p"/>
          </m:rPr>
          <m:t>(</m:t>
        </m:r>
        <m:r>
          <m:t>β</m:t>
        </m:r>
        <m:r>
          <m:rPr>
            <m:sty m:val="p"/>
          </m:rPr>
          <m:t>,</m:t>
        </m:r>
        <m:r>
          <m:t>δ</m:t>
        </m:r>
        <m:r>
          <m:rPr>
            <m:sty m:val="p"/>
          </m:rPr>
          <m:t>)</m:t>
        </m:r>
      </m:oMath>
      <w:r>
        <w:t xml:space="preserve"> </w:t>
      </w:r>
      <w:r>
        <w:t xml:space="preserve">aplica um fator extra</w:t>
      </w:r>
      <w:r>
        <w:t xml:space="preserve"> </w:t>
      </w:r>
      <m:oMath>
        <m:r>
          <m:t>β</m:t>
        </m:r>
        <m:r>
          <m:rPr>
            <m:sty m:val="p"/>
          </m:rPr>
          <m:t>&lt;</m:t>
        </m:r>
        <m:r>
          <m:t>1</m:t>
        </m:r>
      </m:oMath>
      <w:r>
        <w:t xml:space="preserve"> </w:t>
      </w:r>
      <w:r>
        <w:t xml:space="preserve">a todos os períodos futuros em relação ao presente (Equação 8.7). Isso cria uma</w:t>
      </w:r>
      <w:r>
        <w:t xml:space="preserve"> </w:t>
      </w:r>
      <w:r>
        <w:t xml:space="preserve">“fronteira psicológica”</w:t>
      </w:r>
      <w:r>
        <w:t xml:space="preserve"> </w:t>
      </w:r>
      <w:r>
        <w:t xml:space="preserve">entre agora e depois, gerando o viés do presente. Dentro do futuro, o desconto entre períodos consecutivos é</w:t>
      </w:r>
      <w:r>
        <w:t xml:space="preserve"> </w:t>
      </w:r>
      <m:oMath>
        <m:r>
          <m:t>δ</m:t>
        </m:r>
      </m:oMath>
      <w:r>
        <w:t xml:space="preserve"> </w:t>
      </w:r>
      <w:r>
        <w:t xml:space="preserve">(como no exponencial). A alternativa (a) é falsa (a taxa implícita</w:t>
      </w:r>
      <w:r>
        <w:t xml:space="preserve"> </w:t>
      </w:r>
      <w:r>
        <w:rPr>
          <w:i/>
          <w:iCs/>
        </w:rPr>
        <w:t xml:space="preserve">diminui</w:t>
      </w:r>
      <w:r>
        <w:t xml:space="preserve">); (c) confunde os fatores; (d) é o oposto do que ocorre.</w:t>
      </w:r>
    </w:p>
    <w:p>
      <w:pPr>
        <w:pStyle w:val="BlockText"/>
      </w:pPr>
      <w:r>
        <w:rPr>
          <w:b/>
          <w:bCs/>
        </w:rPr>
        <w:t xml:space="preserve">[QUESTAO] 3. O Paradoxo de Ellsberg demonstra que:</w:t>
      </w:r>
    </w:p>
    <w:p>
      <w:pPr>
        <w:pStyle w:val="Compact"/>
        <w:numPr>
          <w:ilvl w:val="0"/>
          <w:numId w:val="1419"/>
        </w:numPr>
      </w:pPr>
    </w:p>
    <w:p>
      <w:pPr>
        <w:pStyle w:val="Compact"/>
        <w:numPr>
          <w:ilvl w:val="1"/>
          <w:numId w:val="1420"/>
        </w:numPr>
      </w:pPr>
      <w:r>
        <w:t xml:space="preserve">Agentes são neutros em relação à ambiguidade</w:t>
      </w:r>
    </w:p>
    <w:p>
      <w:pPr>
        <w:pStyle w:val="Compact"/>
        <w:numPr>
          <w:ilvl w:val="0"/>
          <w:numId w:val="1419"/>
        </w:numPr>
      </w:pPr>
    </w:p>
    <w:p>
      <w:pPr>
        <w:pStyle w:val="Compact"/>
        <w:numPr>
          <w:ilvl w:val="1"/>
          <w:numId w:val="1421"/>
        </w:numPr>
      </w:pPr>
      <w:r>
        <w:t xml:space="preserve">Agentes preferem situações com probabilidades conhecidas a situações com probabilidades ambíguas</w:t>
      </w:r>
    </w:p>
    <w:p>
      <w:pPr>
        <w:pStyle w:val="Compact"/>
        <w:numPr>
          <w:ilvl w:val="0"/>
          <w:numId w:val="1419"/>
        </w:numPr>
      </w:pPr>
    </w:p>
    <w:p>
      <w:pPr>
        <w:pStyle w:val="Compact"/>
        <w:numPr>
          <w:ilvl w:val="1"/>
          <w:numId w:val="1422"/>
        </w:numPr>
      </w:pPr>
      <w:r>
        <w:t xml:space="preserve">A utilidade esperada subjetiva de Savage é sempre válida</w:t>
      </w:r>
    </w:p>
    <w:p>
      <w:pPr>
        <w:pStyle w:val="Compact"/>
        <w:numPr>
          <w:ilvl w:val="0"/>
          <w:numId w:val="1419"/>
        </w:numPr>
      </w:pPr>
    </w:p>
    <w:p>
      <w:pPr>
        <w:pStyle w:val="Compact"/>
        <w:numPr>
          <w:ilvl w:val="1"/>
          <w:numId w:val="1423"/>
        </w:numPr>
      </w:pPr>
      <w:r>
        <w:t xml:space="preserve">A aversão à ambiguidade é o mesmo que a aversão ao risco</w:t>
      </w:r>
    </w:p>
    <w:p>
      <w:pPr>
        <w:pStyle w:val="BlockText"/>
      </w:pPr>
      <w:r>
        <w:t xml:space="preserve">??? success</w:t>
      </w:r>
      <w:r>
        <w:t xml:space="preserve"> </w:t>
      </w:r>
      <w:r>
        <w:t xml:space="preserve">“Resposta”</w:t>
      </w:r>
      <w:r>
        <w:t xml:space="preserve"> </w:t>
      </w:r>
      <w:r>
        <w:rPr>
          <w:b/>
          <w:bCs/>
        </w:rPr>
        <w:t xml:space="preserve">(b)</w:t>
      </w:r>
      <w:r>
        <w:t xml:space="preserve"> </w:t>
      </w:r>
      <w:r>
        <w:t xml:space="preserve">O Paradoxo de Ellsberg mostra que agentes sistematicamente preferem apostar em urnas com probabilidades conhecidas (risco) a urnas com probabilidades desconhecidas (ambiguidade), mesmo quando as probabilidades subjetivas implicariam indiferença. Isso viola a UE de Savage e revela</w:t>
      </w:r>
      <w:r>
        <w:t xml:space="preserve"> </w:t>
      </w:r>
      <w:r>
        <w:rPr>
          <w:b/>
          <w:bCs/>
        </w:rPr>
        <w:t xml:space="preserve">aversão à ambiguidade</w:t>
      </w:r>
      <w:r>
        <w:t xml:space="preserve"> </w:t>
      </w:r>
      <w:r>
        <w:t xml:space="preserve">— distinta da aversão ao risco.</w:t>
      </w:r>
    </w:p>
    <w:p>
      <w:pPr>
        <w:pStyle w:val="BlockText"/>
      </w:pPr>
      <w:r>
        <w:rPr>
          <w:b/>
          <w:bCs/>
        </w:rPr>
        <w:t xml:space="preserve">[QUESTAO] 4. No modelo de Fehr-Schmidt, a aversão à inequidade desvantajosa (α) é tipicamente:</w:t>
      </w:r>
    </w:p>
    <w:p>
      <w:pPr>
        <w:pStyle w:val="Compact"/>
        <w:numPr>
          <w:ilvl w:val="0"/>
          <w:numId w:val="1424"/>
        </w:numPr>
      </w:pPr>
    </w:p>
    <w:p>
      <w:pPr>
        <w:pStyle w:val="Compact"/>
        <w:numPr>
          <w:ilvl w:val="1"/>
          <w:numId w:val="1425"/>
        </w:numPr>
      </w:pPr>
      <w:r>
        <w:t xml:space="preserve">Menor que a aversão à inequidade vantajosa (β)</w:t>
      </w:r>
    </w:p>
    <w:p>
      <w:pPr>
        <w:pStyle w:val="Compact"/>
        <w:numPr>
          <w:ilvl w:val="0"/>
          <w:numId w:val="1424"/>
        </w:numPr>
      </w:pPr>
    </w:p>
    <w:p>
      <w:pPr>
        <w:pStyle w:val="Compact"/>
        <w:numPr>
          <w:ilvl w:val="1"/>
          <w:numId w:val="1426"/>
        </w:numPr>
      </w:pPr>
      <w:r>
        <w:t xml:space="preserve">Igual a zero para a maioria dos agentes</w:t>
      </w:r>
    </w:p>
    <w:p>
      <w:pPr>
        <w:pStyle w:val="Compact"/>
        <w:numPr>
          <w:ilvl w:val="0"/>
          <w:numId w:val="1424"/>
        </w:numPr>
      </w:pPr>
    </w:p>
    <w:p>
      <w:pPr>
        <w:pStyle w:val="Compact"/>
        <w:numPr>
          <w:ilvl w:val="1"/>
          <w:numId w:val="1427"/>
        </w:numPr>
      </w:pPr>
      <w:r>
        <w:t xml:space="preserve">Maior que a aversão à inequidade vantajosa (β)</w:t>
      </w:r>
    </w:p>
    <w:p>
      <w:pPr>
        <w:pStyle w:val="Compact"/>
        <w:numPr>
          <w:ilvl w:val="0"/>
          <w:numId w:val="1424"/>
        </w:numPr>
      </w:pPr>
    </w:p>
    <w:p>
      <w:pPr>
        <w:pStyle w:val="Compact"/>
        <w:numPr>
          <w:ilvl w:val="1"/>
          <w:numId w:val="1428"/>
        </w:numPr>
      </w:pPr>
      <w:r>
        <w:t xml:space="preserve">Irrelevante para o resultado do jogo do ultimato</w:t>
      </w:r>
    </w:p>
    <w:p>
      <w:pPr>
        <w:pStyle w:val="BlockText"/>
      </w:pPr>
      <w:r>
        <w:t xml:space="preserve">??? success</w:t>
      </w:r>
      <w:r>
        <w:t xml:space="preserve"> </w:t>
      </w:r>
      <w:r>
        <w:t xml:space="preserve">“Resposta”</w:t>
      </w:r>
      <w:r>
        <w:t xml:space="preserve"> </w:t>
      </w:r>
      <w:r>
        <w:rPr>
          <w:b/>
          <w:bCs/>
        </w:rPr>
        <w:t xml:space="preserve">(c)</w:t>
      </w:r>
      <w:r>
        <w:t xml:space="preserve"> </w:t>
      </w:r>
      <w:r>
        <w:t xml:space="preserve">A restrição</w:t>
      </w:r>
      <w:r>
        <w:t xml:space="preserve"> </w:t>
      </w:r>
      <m:oMath>
        <m:sSub>
          <m:e>
            <m:r>
              <m:t>β</m:t>
            </m:r>
          </m:e>
          <m:sub>
            <m:r>
              <m:t>i</m:t>
            </m:r>
          </m:sub>
        </m:sSub>
        <m:r>
          <m:rPr>
            <m:sty m:val="p"/>
          </m:rPr>
          <m:t>≤</m:t>
        </m:r>
        <m:sSub>
          <m:e>
            <m:r>
              <m:t>α</m:t>
            </m:r>
          </m:e>
          <m:sub>
            <m:r>
              <m:t>i</m:t>
            </m:r>
          </m:sub>
        </m:sSub>
      </m:oMath>
      <w:r>
        <w:t xml:space="preserve"> </w:t>
      </w:r>
      <w:r>
        <w:t xml:space="preserve">garante que a inequidade desvantajosa (ganhar menos que os outros) dói mais que a vantajosa (ganhar mais). Isso reflete a assimetria empírica observada nos jogos experimentais: as pessoas sofrem mais quando estão</w:t>
      </w:r>
      <w:r>
        <w:t xml:space="preserve"> </w:t>
      </w:r>
      <w:r>
        <w:t xml:space="preserve">“por baixo”</w:t>
      </w:r>
      <w:r>
        <w:t xml:space="preserve"> </w:t>
      </w:r>
      <w:r>
        <w:t xml:space="preserve">do que quando estão</w:t>
      </w:r>
      <w:r>
        <w:t xml:space="preserve"> </w:t>
      </w:r>
      <w:r>
        <w:t xml:space="preserve">“por cima”</w:t>
      </w:r>
      <w:r>
        <w:t xml:space="preserve">.</w:t>
      </w:r>
    </w:p>
    <w:p>
      <w:pPr>
        <w:pStyle w:val="BlockText"/>
      </w:pPr>
      <w:r>
        <w:rPr>
          <w:b/>
          <w:bCs/>
        </w:rPr>
        <w:t xml:space="preserve">[QUESTAO] 5. Um nudge, conforme definido por Thaler e Sunstein, deve:</w:t>
      </w:r>
    </w:p>
    <w:p>
      <w:pPr>
        <w:pStyle w:val="Compact"/>
        <w:numPr>
          <w:ilvl w:val="0"/>
          <w:numId w:val="1429"/>
        </w:numPr>
      </w:pPr>
    </w:p>
    <w:p>
      <w:pPr>
        <w:pStyle w:val="Compact"/>
        <w:numPr>
          <w:ilvl w:val="1"/>
          <w:numId w:val="1430"/>
        </w:numPr>
      </w:pPr>
      <w:r>
        <w:t xml:space="preserve">Proibir opções prejudiciais ao agente</w:t>
      </w:r>
    </w:p>
    <w:p>
      <w:pPr>
        <w:pStyle w:val="Compact"/>
        <w:numPr>
          <w:ilvl w:val="0"/>
          <w:numId w:val="1429"/>
        </w:numPr>
      </w:pPr>
    </w:p>
    <w:p>
      <w:pPr>
        <w:pStyle w:val="Compact"/>
        <w:numPr>
          <w:ilvl w:val="1"/>
          <w:numId w:val="1431"/>
        </w:numPr>
      </w:pPr>
      <w:r>
        <w:t xml:space="preserve">Alterar significativamente os incentivos econômicos</w:t>
      </w:r>
    </w:p>
    <w:p>
      <w:pPr>
        <w:pStyle w:val="Compact"/>
        <w:numPr>
          <w:ilvl w:val="0"/>
          <w:numId w:val="1429"/>
        </w:numPr>
      </w:pPr>
    </w:p>
    <w:p>
      <w:pPr>
        <w:pStyle w:val="Compact"/>
        <w:numPr>
          <w:ilvl w:val="1"/>
          <w:numId w:val="1432"/>
        </w:numPr>
      </w:pPr>
      <w:r>
        <w:t xml:space="preserve">Ser fácil e barato de evitar, sem proibir nenhuma opção</w:t>
      </w:r>
    </w:p>
    <w:p>
      <w:pPr>
        <w:pStyle w:val="Compact"/>
        <w:numPr>
          <w:ilvl w:val="0"/>
          <w:numId w:val="1429"/>
        </w:numPr>
      </w:pPr>
    </w:p>
    <w:p>
      <w:pPr>
        <w:pStyle w:val="Compact"/>
        <w:numPr>
          <w:ilvl w:val="1"/>
          <w:numId w:val="1433"/>
        </w:numPr>
      </w:pPr>
      <w:r>
        <w:t xml:space="preserve">Funcionar apenas para agentes sofisticados</w:t>
      </w:r>
    </w:p>
    <w:p>
      <w:pPr>
        <w:pStyle w:val="BlockText"/>
      </w:pPr>
      <w:r>
        <w:t xml:space="preserve">??? success</w:t>
      </w:r>
      <w:r>
        <w:t xml:space="preserve"> </w:t>
      </w:r>
      <w:r>
        <w:t xml:space="preserve">“Resposta”</w:t>
      </w:r>
      <w:r>
        <w:t xml:space="preserve"> </w:t>
      </w:r>
      <w:r>
        <w:rPr>
          <w:b/>
          <w:bCs/>
        </w:rPr>
        <w:t xml:space="preserve">(c)</w:t>
      </w:r>
      <w:r>
        <w:t xml:space="preserve"> </w:t>
      </w:r>
      <w:r>
        <w:t xml:space="preserve">Um nudge altera o comportamento de forma previsível sem proibir opções nem mudar significativamente os incentivos. A intervenção deve ser fácil e barata de evitar — é</w:t>
      </w:r>
      <w:r>
        <w:t xml:space="preserve"> </w:t>
      </w:r>
      <w:r>
        <w:t xml:space="preserve">“libertária”</w:t>
      </w:r>
      <w:r>
        <w:t xml:space="preserve"> </w:t>
      </w:r>
      <w:r>
        <w:t xml:space="preserve">porque preserva a liberdade de escolha. Proibir opções (a) é paternalismo duro; alterar incentivos (b) é política tradicional; (d) é falso — nudges como defaults funcionam para todos.</w:t>
      </w:r>
    </w:p>
    <w:bookmarkEnd w:id="405"/>
    <w:bookmarkStart w:id="406" w:name="resumo-do-capítulo-6"/>
    <w:p>
      <w:pPr>
        <w:pStyle w:val="Heading3"/>
      </w:pPr>
      <w:r>
        <w:t xml:space="preserve">📋 Resumo do Capítulo</w:t>
      </w:r>
    </w:p>
    <w:p>
      <w:pPr>
        <w:pStyle w:val="Compact"/>
        <w:numPr>
          <w:ilvl w:val="0"/>
          <w:numId w:val="1434"/>
        </w:numPr>
      </w:pPr>
      <w:r>
        <w:t xml:space="preserve">Heurísticas cognitivas (representatividade, disponibilidade, ancoragem, excesso de confiança) são atalhos mentais que produzem vieses previsíveis; o modelo dual de Kahneman (Sistema 1 rápido e intuitivo vs. Sistema 2 lento e deliberado) explica por que esses vieses persistem.</w:t>
      </w:r>
    </w:p>
    <w:p>
      <w:pPr>
        <w:pStyle w:val="Compact"/>
        <w:numPr>
          <w:ilvl w:val="0"/>
          <w:numId w:val="1434"/>
        </w:numPr>
      </w:pPr>
      <w:r>
        <w:t xml:space="preserve">A Teoria do Prospecto substitui a utilidade esperada por uma função valor definida sobre ganhos e perdas relativos a um ponto de referência, com três propriedades: concavidade para ganhos, convexidade para perdas e aversão à perda (perdas pesam cerca de 2,25 vezes mais que ganhos equivalentes).</w:t>
      </w:r>
    </w:p>
    <w:p>
      <w:pPr>
        <w:pStyle w:val="Compact"/>
        <w:numPr>
          <w:ilvl w:val="0"/>
          <w:numId w:val="1434"/>
        </w:numPr>
      </w:pPr>
      <w:r>
        <w:t xml:space="preserve">A ponderação não-linear de probabilidades sobrevaloriza eventos raros e subvaloriza probabilidades moderadas a altas, explicando simultaneamente a compra de loterias e a contratação de seguros contra catástrofes; a PT Cumulativa corrige a violação de dominância estocástica da versão original.</w:t>
      </w:r>
    </w:p>
    <w:p>
      <w:pPr>
        <w:pStyle w:val="Compact"/>
        <w:numPr>
          <w:ilvl w:val="0"/>
          <w:numId w:val="1434"/>
        </w:numPr>
      </w:pPr>
      <w:r>
        <w:t xml:space="preserve">A aversão à ambiguidade (Paradoxo de Ellsberg) mostra que agentes distinguem entre risco (probabilidades conhecidas) e ambiguidade (probabilidades vagas), preferindo sistematicamente o risco conhecido, o que viola a utilidade esperada subjetiva de Savage.</w:t>
      </w:r>
    </w:p>
    <w:p>
      <w:pPr>
        <w:pStyle w:val="Compact"/>
        <w:numPr>
          <w:ilvl w:val="0"/>
          <w:numId w:val="1434"/>
        </w:numPr>
      </w:pPr>
      <w:r>
        <w:t xml:space="preserve">Preferências sociais (aversão à inequidade, reciprocidade, punição altruísta) são formalizadas pelo modelo de Fehr-Schmidt e explicam os resultados dos jogos do ultimato, ditador e confiança que contradizem a hipótese de autointeresse puro.</w:t>
      </w:r>
    </w:p>
    <w:p>
      <w:pPr>
        <w:pStyle w:val="Compact"/>
        <w:numPr>
          <w:ilvl w:val="0"/>
          <w:numId w:val="1434"/>
        </w:numPr>
      </w:pPr>
      <w:r>
        <w:t xml:space="preserve">O desconto quasi-hiperbólico captura o viés do presente e gera inconsistência temporal, explicando procrastinação e subpoupança; nudges (opções-padrão, framing, normas sociais, compromisso prévio) aproveitam os vieses comportamentais para melhorar decisões sem restringir a liberdade de escolha.</w:t>
      </w:r>
    </w:p>
    <w:bookmarkEnd w:id="406"/>
    <w:bookmarkStart w:id="407" w:name="conceitos-chave-6"/>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Heurística</w:t>
            </w:r>
          </w:p>
        </w:tc>
        <w:tc>
          <w:tcPr/>
          <w:p>
            <w:pPr>
              <w:pStyle w:val="Compact"/>
            </w:pPr>
            <w:r>
              <w:t xml:space="preserve">Atalho cognitivo que simplifica julgamentos complexos, podendo gerar vieses sistemáticos em contextos específicos.</w:t>
            </w:r>
          </w:p>
        </w:tc>
      </w:tr>
      <w:tr>
        <w:tc>
          <w:tcPr/>
          <w:p>
            <w:pPr>
              <w:pStyle w:val="Compact"/>
            </w:pPr>
            <w:r>
              <w:t xml:space="preserve">Sistema 1 e Sistema 2</w:t>
            </w:r>
          </w:p>
        </w:tc>
        <w:tc>
          <w:tcPr/>
          <w:p>
            <w:pPr>
              <w:pStyle w:val="Compact"/>
            </w:pPr>
            <w:r>
              <w:t xml:space="preserve">Modelo dual de Kahneman: Sistema 1 é rápido, automático e intuitivo; Sistema 2 é lento, deliberado e analítico.</w:t>
            </w:r>
          </w:p>
        </w:tc>
      </w:tr>
      <w:tr>
        <w:tc>
          <w:tcPr/>
          <w:p>
            <w:pPr>
              <w:pStyle w:val="Compact"/>
            </w:pPr>
            <w:r>
              <w:t xml:space="preserve">Teoria do Prospecto</w:t>
            </w:r>
          </w:p>
        </w:tc>
        <w:tc>
          <w:tcPr/>
          <w:p>
            <w:pPr>
              <w:pStyle w:val="Compact"/>
            </w:pPr>
            <w:r>
              <w:t xml:space="preserve">Modelo de decisão sob risco em que o valor é definido sobre ganhos e perdas relativos a um ponto de referência, com aversão à perda e ponderação não-linear de probabilidades.</w:t>
            </w:r>
          </w:p>
        </w:tc>
      </w:tr>
      <w:tr>
        <w:tc>
          <w:tcPr/>
          <w:p>
            <w:pPr>
              <w:pStyle w:val="Compact"/>
            </w:pPr>
            <w:r>
              <w:t xml:space="preserve">Aversão à perda</w:t>
            </w:r>
          </w:p>
        </w:tc>
        <w:tc>
          <w:tcPr/>
          <w:p>
            <w:pPr>
              <w:pStyle w:val="Compact"/>
            </w:pPr>
            <w:r>
              <w:t xml:space="preserve">Assimetria em que perdas produzem impacto psicológico maior que ganhos de mesma magnitude; o coeficiente</w:t>
            </w:r>
            <w:r>
              <w:t xml:space="preserve"> </w:t>
            </w:r>
            <m:oMath>
              <m:r>
                <m:t>λ</m:t>
              </m:r>
            </m:oMath>
            <w:r>
              <w:t xml:space="preserve"> </w:t>
            </w:r>
            <w:r>
              <w:t xml:space="preserve">é tipicamente estimado em torno de 2,25.</w:t>
            </w:r>
          </w:p>
        </w:tc>
      </w:tr>
      <w:tr>
        <w:tc>
          <w:tcPr/>
          <w:p>
            <w:pPr>
              <w:pStyle w:val="Compact"/>
            </w:pPr>
            <w:r>
              <w:t xml:space="preserve">Ponderação de probabilidades</w:t>
            </w:r>
          </w:p>
        </w:tc>
        <w:tc>
          <w:tcPr/>
          <w:p>
            <w:pPr>
              <w:pStyle w:val="Compact"/>
            </w:pPr>
            <w:r>
              <w:t xml:space="preserve">Função que transforma probabilidades objetivas em pesos decisórios, sobrevalorizando eventos raros e subvalorizando eventos prováveis.</w:t>
            </w:r>
          </w:p>
        </w:tc>
      </w:tr>
      <w:tr>
        <w:tc>
          <w:tcPr/>
          <w:p>
            <w:pPr>
              <w:pStyle w:val="Compact"/>
            </w:pPr>
            <w:r>
              <w:t xml:space="preserve">Aversão à ambiguidade</w:t>
            </w:r>
          </w:p>
        </w:tc>
        <w:tc>
          <w:tcPr/>
          <w:p>
            <w:pPr>
              <w:pStyle w:val="Compact"/>
            </w:pPr>
            <w:r>
              <w:t xml:space="preserve">Preferência sistemática por situações com probabilidades conhecidas em relação a situações com probabilidades vagas ou desconhecidas.</w:t>
            </w:r>
          </w:p>
        </w:tc>
      </w:tr>
      <w:tr>
        <w:tc>
          <w:tcPr/>
          <w:p>
            <w:pPr>
              <w:pStyle w:val="Compact"/>
            </w:pPr>
            <w:r>
              <w:t xml:space="preserve">Modelo de Fehr-Schmidt</w:t>
            </w:r>
          </w:p>
        </w:tc>
        <w:tc>
          <w:tcPr/>
          <w:p>
            <w:pPr>
              <w:pStyle w:val="Compact"/>
            </w:pPr>
            <w:r>
              <w:t xml:space="preserve">Modelo de preferências sociais em que a utilidade depende do próprio payoff e das diferenças em relação aos payoffs dos demais, com aversão à inequidade desvantajosa e vantajosa.</w:t>
            </w:r>
          </w:p>
        </w:tc>
      </w:tr>
      <w:tr>
        <w:tc>
          <w:tcPr/>
          <w:p>
            <w:pPr>
              <w:pStyle w:val="Compact"/>
            </w:pPr>
            <w:r>
              <w:t xml:space="preserve">Desconto quasi-hiperbólico</w:t>
            </w:r>
          </w:p>
        </w:tc>
        <w:tc>
          <w:tcPr/>
          <w:p>
            <w:pPr>
              <w:pStyle w:val="Compact"/>
            </w:pPr>
            <w:r>
              <w:t xml:space="preserve">Modelo de desconto intertemporal com parâmetros (</w:t>
            </w:r>
            <m:oMath>
              <m:r>
                <m:t>β</m:t>
              </m:r>
            </m:oMath>
            <w:r>
              <w:t xml:space="preserve">,</w:t>
            </w:r>
            <w:r>
              <w:t xml:space="preserve"> </w:t>
            </w:r>
            <m:oMath>
              <m:r>
                <m:t>δ</m:t>
              </m:r>
            </m:oMath>
            <w:r>
              <w:t xml:space="preserve">) que captura o viés do presente: um desconto extra aplicado a todos os períodos futuros em relação ao presente.</w:t>
            </w:r>
          </w:p>
        </w:tc>
      </w:tr>
      <w:tr>
        <w:tc>
          <w:tcPr/>
          <w:p>
            <w:pPr>
              <w:pStyle w:val="Compact"/>
            </w:pPr>
            <w:r>
              <w:t xml:space="preserve">Contabilidade mental</w:t>
            </w:r>
          </w:p>
        </w:tc>
        <w:tc>
          <w:tcPr/>
          <w:p>
            <w:pPr>
              <w:pStyle w:val="Compact"/>
            </w:pPr>
            <w:r>
              <w:t xml:space="preserve">Tendência de organizar, avaliar e acompanhar atividades financeiras em contas mentais separadas, violando a fungibilidade do dinheiro.</w:t>
            </w:r>
          </w:p>
        </w:tc>
      </w:tr>
      <w:tr>
        <w:tc>
          <w:tcPr/>
          <w:p>
            <w:pPr>
              <w:pStyle w:val="Compact"/>
            </w:pPr>
            <w:r>
              <w:t xml:space="preserve">Nudge</w:t>
            </w:r>
          </w:p>
        </w:tc>
        <w:tc>
          <w:tcPr/>
          <w:p>
            <w:pPr>
              <w:pStyle w:val="Compact"/>
            </w:pPr>
            <w:r>
              <w:t xml:space="preserve">Intervenção na arquitetura de escolha que altera o comportamento de forma previsível sem proibir opções nem alterar incentivos econômicos significativos.</w:t>
            </w:r>
          </w:p>
        </w:tc>
      </w:tr>
    </w:tbl>
    <w:p>
      <w:pPr>
        <w:pStyle w:val="BodyText"/>
      </w:pPr>
      <w:r>
        <w:rPr>
          <w:b/>
          <w:bCs/>
        </w:rPr>
        <w:t xml:space="preserve">Tabela 8.9 — Conceitos-chave.</w:t>
      </w:r>
    </w:p>
    <w:p>
      <w:r>
        <w:pict>
          <v:rect style="width:0;height:1.5pt" o:hralign="center" o:hrstd="t" o:hr="t"/>
        </w:pict>
      </w:r>
    </w:p>
    <w:bookmarkEnd w:id="407"/>
    <w:bookmarkStart w:id="408" w:name="exercícios-6"/>
    <w:p>
      <w:pPr>
        <w:pStyle w:val="Heading3"/>
      </w:pPr>
      <w:r>
        <w:t xml:space="preserve">Exercícios</w:t>
      </w:r>
    </w:p>
    <w:p>
      <w:pPr>
        <w:pStyle w:val="FirstParagraph"/>
      </w:pPr>
      <w:r>
        <w:rPr>
          <w:b/>
          <w:bCs/>
        </w:rPr>
        <w:t xml:space="preserve">Exercício 8.1.</w:t>
      </w:r>
      <w:r>
        <w:t xml:space="preserve"> </w:t>
      </w:r>
      <w:r>
        <w:t xml:space="preserve">Um investidor avalia duas opções: (A) ganhar R$ 500 com certeza; (B) ganhar R$ 1.000 com probabilidade</w:t>
      </w:r>
      <w:r>
        <w:t xml:space="preserve"> </w:t>
      </w:r>
      <m:oMath>
        <m:r>
          <m:t>0</m:t>
        </m:r>
        <m:r>
          <m:rPr>
            <m:sty m:val="p"/>
          </m:rPr>
          <m:t>,</m:t>
        </m:r>
        <m:r>
          <m:t>50</m:t>
        </m:r>
      </m:oMath>
      <w:r>
        <w:t xml:space="preserve">. Sob utilidade esperada com função de utilidade côncava, o investidor prefere A. Agora considere: (C) perder R$ 500 com certeza; (D) perder R$ 1.000 com probabilidade</w:t>
      </w:r>
      <w:r>
        <w:t xml:space="preserve"> </w:t>
      </w:r>
      <m:oMath>
        <m:r>
          <m:t>0</m:t>
        </m:r>
        <m:r>
          <m:rPr>
            <m:sty m:val="p"/>
          </m:rPr>
          <m:t>,</m:t>
        </m:r>
        <m:r>
          <m:t>50</m:t>
        </m:r>
      </m:oMath>
      <w:r>
        <w:t xml:space="preserve">. Sob a Teoria do Prospecto, qual a escolha provável em cada par? Explique usando as propriedades da função valor.</w:t>
      </w:r>
    </w:p>
    <w:p>
      <w:pPr>
        <w:pStyle w:val="BodyText"/>
      </w:pPr>
      <w:r>
        <w:t xml:space="preserve">Ver solução (Cap. 8)</w:t>
      </w:r>
    </w:p>
    <w:p>
      <w:pPr>
        <w:pStyle w:val="BodyText"/>
      </w:pPr>
      <w:r>
        <w:rPr>
          <w:b/>
          <w:bCs/>
        </w:rPr>
        <w:t xml:space="preserve">Exercício 8.2.</w:t>
      </w:r>
      <w:r>
        <w:t xml:space="preserve"> </w:t>
      </w:r>
      <w:r>
        <w:t xml:space="preserve">Usando a função valor paramétrica</w:t>
      </w:r>
      <w:r>
        <w:t xml:space="preserve"> </w:t>
      </w:r>
      <m:oMath>
        <m:r>
          <m:t>v</m:t>
        </m:r>
        <m:r>
          <m:rPr>
            <m:sty m:val="p"/>
          </m:rPr>
          <m:t>(</m:t>
        </m:r>
        <m:r>
          <m:t>x</m:t>
        </m:r>
        <m:r>
          <m:rPr>
            <m:sty m:val="p"/>
          </m:rPr>
          <m:t>)</m:t>
        </m:r>
        <m:r>
          <m:rPr>
            <m:sty m:val="p"/>
          </m:rPr>
          <m:t>=</m:t>
        </m:r>
        <m:sSup>
          <m:e>
            <m:r>
              <m:t>x</m:t>
            </m:r>
          </m:e>
          <m:sup>
            <m:r>
              <m:t>0</m:t>
            </m:r>
            <m:r>
              <m:rPr>
                <m:sty m:val="p"/>
              </m:rPr>
              <m:t>,</m:t>
            </m:r>
            <m:r>
              <m:t>88</m:t>
            </m:r>
          </m:sup>
        </m:sSup>
      </m:oMath>
      <w:r>
        <w:t xml:space="preserve"> </w:t>
      </w:r>
      <w:r>
        <w:t xml:space="preserve">para ganhos e</w:t>
      </w:r>
      <w:r>
        <w:t xml:space="preserve"> </w:t>
      </w:r>
      <m:oMath>
        <m:r>
          <m:t>v</m:t>
        </m:r>
        <m:r>
          <m:rPr>
            <m:sty m:val="p"/>
          </m:rPr>
          <m:t>(</m:t>
        </m:r>
        <m:r>
          <m:t>x</m:t>
        </m:r>
        <m:r>
          <m:rPr>
            <m:sty m:val="p"/>
          </m:rPr>
          <m:t>)</m:t>
        </m:r>
        <m:r>
          <m:rPr>
            <m:sty m:val="p"/>
          </m:rPr>
          <m:t>=</m:t>
        </m:r>
        <m:r>
          <m:rPr>
            <m:sty m:val="p"/>
          </m:rPr>
          <m:t>−</m:t>
        </m:r>
        <m:r>
          <m:t>2</m:t>
        </m:r>
        <m:r>
          <m:rPr>
            <m:sty m:val="p"/>
          </m:rPr>
          <m:t>,</m:t>
        </m:r>
        <m:r>
          <m:t>25</m:t>
        </m:r>
        <m:r>
          <m:rPr>
            <m:sty m:val="p"/>
          </m:rPr>
          <m:t>⋅</m:t>
        </m:r>
        <m:r>
          <m:rPr>
            <m:sty m:val="p"/>
          </m:rPr>
          <m:t>(</m:t>
        </m:r>
        <m:r>
          <m:rPr>
            <m:sty m:val="p"/>
          </m:rPr>
          <m:t>−</m:t>
        </m:r>
        <m:r>
          <m:t>x</m:t>
        </m:r>
        <m:sSup>
          <m:e>
            <m:r>
              <m:rPr>
                <m:sty m:val="p"/>
              </m:rPr>
              <m:t>)</m:t>
            </m:r>
          </m:e>
          <m:sup>
            <m:r>
              <m:t>0</m:t>
            </m:r>
            <m:r>
              <m:rPr>
                <m:sty m:val="p"/>
              </m:rPr>
              <m:t>,</m:t>
            </m:r>
            <m:r>
              <m:t>88</m:t>
            </m:r>
          </m:sup>
        </m:sSup>
      </m:oMath>
      <w:r>
        <w:t xml:space="preserve"> </w:t>
      </w:r>
      <w:r>
        <w:t xml:space="preserve">para perdas, calcule</w:t>
      </w:r>
      <w:r>
        <w:t xml:space="preserve"> </w:t>
      </w:r>
      <m:oMath>
        <m:r>
          <m:t>v</m:t>
        </m:r>
        <m:r>
          <m:rPr>
            <m:sty m:val="p"/>
          </m:rPr>
          <m:t>(</m:t>
        </m:r>
        <m:r>
          <m:t>100</m:t>
        </m:r>
        <m:r>
          <m:rPr>
            <m:sty m:val="p"/>
          </m:rPr>
          <m:t>)</m:t>
        </m:r>
      </m:oMath>
      <w:r>
        <w:t xml:space="preserve">,</w:t>
      </w:r>
      <w:r>
        <w:t xml:space="preserve"> </w:t>
      </w:r>
      <m:oMath>
        <m:r>
          <m:t>v</m:t>
        </m:r>
        <m:r>
          <m:rPr>
            <m:sty m:val="p"/>
          </m:rPr>
          <m:t>(</m:t>
        </m:r>
        <m:r>
          <m:rPr>
            <m:sty m:val="p"/>
          </m:rPr>
          <m:t>−</m:t>
        </m:r>
        <m:r>
          <m:t>100</m:t>
        </m:r>
        <m:r>
          <m:rPr>
            <m:sty m:val="p"/>
          </m:rPr>
          <m:t>)</m:t>
        </m:r>
      </m:oMath>
      <w:r>
        <w:t xml:space="preserve">,</w:t>
      </w:r>
      <w:r>
        <w:t xml:space="preserve"> </w:t>
      </w:r>
      <m:oMath>
        <m:r>
          <m:t>v</m:t>
        </m:r>
        <m:r>
          <m:rPr>
            <m:sty m:val="p"/>
          </m:rPr>
          <m:t>(</m:t>
        </m:r>
        <m:r>
          <m:t>200</m:t>
        </m:r>
        <m:r>
          <m:rPr>
            <m:sty m:val="p"/>
          </m:rPr>
          <m:t>)</m:t>
        </m:r>
      </m:oMath>
      <w:r>
        <w:t xml:space="preserve"> </w:t>
      </w:r>
      <w:r>
        <w:t xml:space="preserve">e</w:t>
      </w:r>
      <w:r>
        <w:t xml:space="preserve"> </w:t>
      </w:r>
      <m:oMath>
        <m:r>
          <m:t>v</m:t>
        </m:r>
        <m:r>
          <m:rPr>
            <m:sty m:val="p"/>
          </m:rPr>
          <m:t>(</m:t>
        </m:r>
        <m:r>
          <m:rPr>
            <m:sty m:val="p"/>
          </m:rPr>
          <m:t>−</m:t>
        </m:r>
        <m:r>
          <m:t>200</m:t>
        </m:r>
        <m:r>
          <m:rPr>
            <m:sty m:val="p"/>
          </m:rPr>
          <m:t>)</m:t>
        </m:r>
      </m:oMath>
      <w:r>
        <w:t xml:space="preserve">. Verifique que</w:t>
      </w:r>
      <w:r>
        <w:t xml:space="preserve"> </w:t>
      </w:r>
      <m:oMath>
        <m:r>
          <m:rPr>
            <m:sty m:val="p"/>
          </m:rPr>
          <m:t>|</m:t>
        </m:r>
        <m:r>
          <m:t>v</m:t>
        </m:r>
        <m:r>
          <m:rPr>
            <m:sty m:val="p"/>
          </m:rPr>
          <m:t>(</m:t>
        </m:r>
        <m:r>
          <m:rPr>
            <m:sty m:val="p"/>
          </m:rPr>
          <m:t>−</m:t>
        </m:r>
        <m:r>
          <m:t>100</m:t>
        </m:r>
        <m:r>
          <m:rPr>
            <m:sty m:val="p"/>
          </m:rPr>
          <m:t>)</m:t>
        </m:r>
        <m:r>
          <m:rPr>
            <m:sty m:val="p"/>
          </m:rPr>
          <m:t>|</m:t>
        </m:r>
        <m:r>
          <m:rPr>
            <m:sty m:val="p"/>
          </m:rPr>
          <m:t>&gt;</m:t>
        </m:r>
        <m:r>
          <m:t>v</m:t>
        </m:r>
        <m:r>
          <m:rPr>
            <m:sty m:val="p"/>
          </m:rPr>
          <m:t>(</m:t>
        </m:r>
        <m:r>
          <m:t>100</m:t>
        </m:r>
        <m:r>
          <m:rPr>
            <m:sty m:val="p"/>
          </m:rPr>
          <m:t>)</m:t>
        </m:r>
      </m:oMath>
      <w:r>
        <w:t xml:space="preserve"> </w:t>
      </w:r>
      <w:r>
        <w:t xml:space="preserve">e interprete economicamente.</w:t>
      </w:r>
    </w:p>
    <w:p>
      <w:pPr>
        <w:pStyle w:val="BodyText"/>
      </w:pPr>
      <w:r>
        <w:t xml:space="preserve">Ver solução (Cap. 8)</w:t>
      </w:r>
    </w:p>
    <w:p>
      <w:pPr>
        <w:pStyle w:val="BodyText"/>
      </w:pPr>
      <w:r>
        <w:rPr>
          <w:b/>
          <w:bCs/>
        </w:rPr>
        <w:t xml:space="preserve">Exercício 8.3.</w:t>
      </w:r>
      <w:r>
        <w:t xml:space="preserve"> </w:t>
      </w:r>
      <w:r>
        <w:t xml:space="preserve">Um consumidor com desconto quasi-hiperbólico</w:t>
      </w:r>
      <w:r>
        <w:t xml:space="preserve"> </w:t>
      </w:r>
      <m:oMath>
        <m:r>
          <m:rPr>
            <m:sty m:val="p"/>
          </m:rPr>
          <m:t>(</m:t>
        </m:r>
        <m:r>
          <m:t>β</m:t>
        </m:r>
        <m:r>
          <m:rPr>
            <m:sty m:val="p"/>
          </m:rPr>
          <m:t>=</m:t>
        </m:r>
        <m:r>
          <m:t>0</m:t>
        </m:r>
        <m:r>
          <m:rPr>
            <m:sty m:val="p"/>
          </m:rPr>
          <m:t>,</m:t>
        </m:r>
        <m:r>
          <m:t>70</m:t>
        </m:r>
        <m:r>
          <m:rPr>
            <m:sty m:val="p"/>
          </m:rPr>
          <m:t>,</m:t>
        </m:r>
        <m:r>
          <m:t> </m:t>
        </m:r>
        <m:r>
          <m:t>δ</m:t>
        </m:r>
        <m:r>
          <m:rPr>
            <m:sty m:val="p"/>
          </m:rPr>
          <m:t>=</m:t>
        </m:r>
        <m:r>
          <m:t>0</m:t>
        </m:r>
        <m:r>
          <m:rPr>
            <m:sty m:val="p"/>
          </m:rPr>
          <m:t>,</m:t>
        </m:r>
        <m:r>
          <m:t>99</m:t>
        </m:r>
        <m:r>
          <m:rPr>
            <m:sty m:val="p"/>
          </m:rPr>
          <m:t>)</m:t>
        </m:r>
      </m:oMath>
      <w:r>
        <w:t xml:space="preserve"> </w:t>
      </w:r>
      <w:r>
        <w:t xml:space="preserve">avalia dois planos de poupança. O Plano X exige um depósito de R$ 100</w:t>
      </w:r>
      <w:r>
        <w:t xml:space="preserve"> </w:t>
      </w:r>
      <w:r>
        <w:rPr>
          <w:b/>
          <w:bCs/>
        </w:rPr>
        <w:t xml:space="preserve">hoje</w:t>
      </w:r>
      <w:r>
        <w:t xml:space="preserve"> </w:t>
      </w:r>
      <w:r>
        <w:t xml:space="preserve">e paga R$ 150 em 1 ano. O Plano Y exige um depósito de R$ 100</w:t>
      </w:r>
      <w:r>
        <w:t xml:space="preserve"> </w:t>
      </w:r>
      <w:r>
        <w:rPr>
          <w:b/>
          <w:bCs/>
        </w:rPr>
        <w:t xml:space="preserve">em 6 meses</w:t>
      </w:r>
      <w:r>
        <w:t xml:space="preserve"> </w:t>
      </w:r>
      <w:r>
        <w:t xml:space="preserve">e paga R$ 150 em 18 meses. (a) Calcule a utilidade descontada de cada plano sob desconto quasi-hiperbólico, assumindo</w:t>
      </w:r>
      <w:r>
        <w:t xml:space="preserve"> </w:t>
      </w:r>
      <m:oMath>
        <m:r>
          <m:t>u</m:t>
        </m:r>
        <m:r>
          <m:rPr>
            <m:sty m:val="p"/>
          </m:rPr>
          <m:t>(</m:t>
        </m:r>
        <m:r>
          <m:t>x</m:t>
        </m:r>
        <m:r>
          <m:rPr>
            <m:sty m:val="p"/>
          </m:rPr>
          <m:t>)</m:t>
        </m:r>
        <m:r>
          <m:rPr>
            <m:sty m:val="p"/>
          </m:rPr>
          <m:t>=</m:t>
        </m:r>
        <m:r>
          <m:t>x</m:t>
        </m:r>
      </m:oMath>
      <w:r>
        <w:t xml:space="preserve">. (b) O consumidor prefere Y hoje, mas quando chegar o mês 6, ele vai aderir? Explique a diferença entre agentes sofisticados e ingênuos.</w:t>
      </w:r>
    </w:p>
    <w:p>
      <w:pPr>
        <w:pStyle w:val="BodyText"/>
      </w:pPr>
      <w:r>
        <w:t xml:space="preserve">Ver solução (Cap. 8)</w:t>
      </w:r>
    </w:p>
    <w:p>
      <w:pPr>
        <w:pStyle w:val="BodyText"/>
      </w:pPr>
      <w:r>
        <w:rPr>
          <w:b/>
          <w:bCs/>
        </w:rPr>
        <w:t xml:space="preserve">Exercício 8.4.</w:t>
      </w:r>
      <w:r>
        <w:t xml:space="preserve"> </w:t>
      </w:r>
      <w:r>
        <w:t xml:space="preserve">Uma empresa oferece dois planos de academia: (A) pagamento mensal de R$ 100; (B) pagamento anual antecipado de R$ 960 (equivalente a R$ 80/mês). DellaVigna e Malmendier (2006) mostram que muitos consumidores escolhem (A) e depois frequentam a academia menos de 5 vezes por mês, pagando mais de R$ 20 por visita — quando poderiam comprar passes avulsos por R$ 12. Explique esse comportamento usando: (i) excesso de confiança sobre o uso futuro; (ii) viés do presente.</w:t>
      </w:r>
    </w:p>
    <w:p>
      <w:pPr>
        <w:pStyle w:val="BodyText"/>
      </w:pPr>
      <w:r>
        <w:t xml:space="preserve">Ver solução (Cap. 8)</w:t>
      </w:r>
    </w:p>
    <w:p>
      <w:pPr>
        <w:pStyle w:val="BodyText"/>
      </w:pPr>
      <w:r>
        <w:rPr>
          <w:b/>
          <w:bCs/>
        </w:rPr>
        <w:t xml:space="preserve">Exercício 8.5.</w:t>
      </w:r>
      <w:r>
        <w:t xml:space="preserve"> </w:t>
      </w:r>
      <w:r>
        <w:t xml:space="preserve">O governo está considerando duas políticas para aumentar a poupança previdenciária: (i) subsídio fiscal de 10% sobre contribuições voluntárias; (ii) adesão automática com</w:t>
      </w:r>
      <w:r>
        <w:t xml:space="preserve"> </w:t>
      </w:r>
      <w:r>
        <w:rPr>
          <w:i/>
          <w:iCs/>
        </w:rPr>
        <w:t xml:space="preserve">opt-out</w:t>
      </w:r>
      <w:r>
        <w:t xml:space="preserve">. Com base na literatura comportamental, qual política provavelmente terá maior impacto sobre a taxa de poupança agregada? Justifique.</w:t>
      </w:r>
    </w:p>
    <w:p>
      <w:pPr>
        <w:pStyle w:val="BodyText"/>
      </w:pPr>
      <w:r>
        <w:t xml:space="preserve">Ver solução (Cap. 8)</w:t>
      </w:r>
    </w:p>
    <w:p>
      <w:pPr>
        <w:pStyle w:val="BodyText"/>
      </w:pPr>
      <w:r>
        <w:rPr>
          <w:b/>
          <w:bCs/>
        </w:rPr>
        <w:t xml:space="preserve">Exercício 8.6.</w:t>
      </w:r>
      <w:r>
        <w:t xml:space="preserve"> </w:t>
      </w:r>
      <w:r>
        <w:t xml:space="preserve">Explique por que o Paradoxo de Allais viola o axioma da independência da utilidade esperada. Mostre formalmente que as preferências</w:t>
      </w:r>
      <w:r>
        <w:t xml:space="preserve"> </w:t>
      </w:r>
      <m:oMath>
        <m:r>
          <m:t>A</m:t>
        </m:r>
        <m:r>
          <m:rPr>
            <m:sty m:val="p"/>
          </m:rPr>
          <m:t>≻</m:t>
        </m:r>
        <m:r>
          <m:t>B</m:t>
        </m:r>
      </m:oMath>
      <w:r>
        <w:t xml:space="preserve"> </w:t>
      </w:r>
      <w:r>
        <w:t xml:space="preserve">e</w:t>
      </w:r>
      <w:r>
        <w:t xml:space="preserve"> </w:t>
      </w:r>
      <m:oMath>
        <m:r>
          <m:t>D</m:t>
        </m:r>
        <m:r>
          <m:rPr>
            <m:sty m:val="p"/>
          </m:rPr>
          <m:t>≻</m:t>
        </m:r>
        <m:r>
          <m:t>C</m:t>
        </m:r>
      </m:oMath>
      <w:r>
        <w:t xml:space="preserve"> </w:t>
      </w:r>
      <w:r>
        <w:t xml:space="preserve">são inconsistentes com a existência de uma função de utilidade de Von Neumann–Morgenstern.</w:t>
      </w:r>
    </w:p>
    <w:p>
      <w:pPr>
        <w:pStyle w:val="BodyText"/>
      </w:pPr>
      <w:r>
        <w:t xml:space="preserve">Ver solução (Cap. 8)</w:t>
      </w:r>
    </w:p>
    <w:p>
      <w:pPr>
        <w:pStyle w:val="BodyText"/>
      </w:pPr>
      <w:r>
        <w:rPr>
          <w:b/>
          <w:bCs/>
        </w:rPr>
        <w:t xml:space="preserve">Exercício 8.7.</w:t>
      </w:r>
      <w:r>
        <w:t xml:space="preserve"> </w:t>
      </w:r>
      <w:r>
        <w:t xml:space="preserve">No Paradoxo de Ellsberg (duas cores), mostre que a preferência simultânea pela Urna A em ambas as apostas (vermelho e preto) é incompatível com qualquer probabilidade subjetiva atribuída à composição da Urna B. Qual axioma da UE de Savage é violado?</w:t>
      </w:r>
    </w:p>
    <w:p>
      <w:pPr>
        <w:pStyle w:val="BodyText"/>
      </w:pPr>
      <w:r>
        <w:t xml:space="preserve">Ver solução (Cap. 8)</w:t>
      </w:r>
    </w:p>
    <w:p>
      <w:pPr>
        <w:pStyle w:val="BodyText"/>
      </w:pPr>
      <w:r>
        <w:rPr>
          <w:b/>
          <w:bCs/>
        </w:rPr>
        <w:t xml:space="preserve">Exercício 8.8.</w:t>
      </w:r>
      <w:r>
        <w:t xml:space="preserve"> </w:t>
      </w:r>
      <w:r>
        <w:t xml:space="preserve">Em um jogo do ultimato com</w:t>
      </w:r>
      <w:r>
        <w:t xml:space="preserve"> </w:t>
      </w:r>
      <m:oMath>
        <m:r>
          <m:t>S</m:t>
        </m:r>
        <m:r>
          <m:rPr>
            <m:sty m:val="p"/>
          </m:rPr>
          <m:t>=</m:t>
        </m:r>
        <m:r>
          <m:t>200</m:t>
        </m:r>
      </m:oMath>
      <w:r>
        <w:t xml:space="preserve">, o respondedor tem parâmetros de Fehr-Schmidt</w:t>
      </w:r>
      <w:r>
        <w:t xml:space="preserve"> </w:t>
      </w:r>
      <m:oMath>
        <m:sSub>
          <m:e>
            <m:r>
              <m:t>α</m:t>
            </m:r>
          </m:e>
          <m:sub>
            <m:r>
              <m:t>R</m:t>
            </m:r>
          </m:sub>
        </m:sSub>
        <m:r>
          <m:rPr>
            <m:sty m:val="p"/>
          </m:rPr>
          <m:t>=</m:t>
        </m:r>
        <m:r>
          <m:t>3</m:t>
        </m:r>
      </m:oMath>
      <w:r>
        <w:t xml:space="preserve"> </w:t>
      </w:r>
      <w:r>
        <w:t xml:space="preserve">e</w:t>
      </w:r>
      <w:r>
        <w:t xml:space="preserve"> </w:t>
      </w:r>
      <m:oMath>
        <m:sSub>
          <m:e>
            <m:r>
              <m:t>β</m:t>
            </m:r>
          </m:e>
          <m:sub>
            <m:r>
              <m:t>R</m:t>
            </m:r>
          </m:sub>
        </m:sSub>
        <m:r>
          <m:rPr>
            <m:sty m:val="p"/>
          </m:rPr>
          <m:t>=</m:t>
        </m:r>
        <m:r>
          <m:t>0</m:t>
        </m:r>
        <m:r>
          <m:rPr>
            <m:sty m:val="p"/>
          </m:rPr>
          <m:t>,</m:t>
        </m:r>
        <m:r>
          <m:t>5</m:t>
        </m:r>
      </m:oMath>
      <w:r>
        <w:t xml:space="preserve">. (a) Calcule a oferta mínima aceita. (b) Se o respondedor fosse puramente autointeressado (</w:t>
      </w:r>
      <m:oMath>
        <m:sSub>
          <m:e>
            <m:r>
              <m:t>α</m:t>
            </m:r>
          </m:e>
          <m:sub>
            <m:r>
              <m:t>R</m:t>
            </m:r>
          </m:sub>
        </m:sSub>
        <m:r>
          <m:rPr>
            <m:sty m:val="p"/>
          </m:rPr>
          <m:t>=</m:t>
        </m:r>
        <m:sSub>
          <m:e>
            <m:r>
              <m:t>β</m:t>
            </m:r>
          </m:e>
          <m:sub>
            <m:r>
              <m:t>R</m:t>
            </m:r>
          </m:sub>
        </m:sSub>
        <m:r>
          <m:rPr>
            <m:sty m:val="p"/>
          </m:rPr>
          <m:t>=</m:t>
        </m:r>
        <m:r>
          <m:t>0</m:t>
        </m:r>
      </m:oMath>
      <w:r>
        <w:t xml:space="preserve">), qual seria a oferta mínima? (c) Interprete a diferença à luz da aversão à inequidade.</w:t>
      </w:r>
    </w:p>
    <w:p>
      <w:pPr>
        <w:pStyle w:val="BodyText"/>
      </w:pPr>
      <w:r>
        <w:t xml:space="preserve">Ver solução (Cap. 8)</w:t>
      </w:r>
    </w:p>
    <w:p>
      <w:pPr>
        <w:pStyle w:val="BodyText"/>
      </w:pPr>
      <w:r>
        <w:rPr>
          <w:b/>
          <w:bCs/>
        </w:rPr>
        <w:t xml:space="preserve">Exercício 8.9.</w:t>
      </w:r>
      <w:r>
        <w:t xml:space="preserve"> </w:t>
      </w:r>
      <w:r>
        <w:t xml:space="preserve">Usando as quatro regras de edição hedônica de Thaler (1985), explique por que: (a) lojas de departamento anunciam promoções como</w:t>
      </w:r>
      <w:r>
        <w:t xml:space="preserve"> </w:t>
      </w:r>
      <w:r>
        <w:t xml:space="preserve">“20% de desconto + 10% extra”</w:t>
      </w:r>
      <w:r>
        <w:t xml:space="preserve"> </w:t>
      </w:r>
      <w:r>
        <w:t xml:space="preserve">em vez de</w:t>
      </w:r>
      <w:r>
        <w:t xml:space="preserve"> </w:t>
      </w:r>
      <w:r>
        <w:t xml:space="preserve">“28% de desconto”</w:t>
      </w:r>
      <w:r>
        <w:t xml:space="preserve">; (b) a cobrança de taxa condominial é mensal (não anual); (c) supermercados oferecem</w:t>
      </w:r>
      <w:r>
        <w:t xml:space="preserve"> </w:t>
      </w:r>
      <w:r>
        <w:t xml:space="preserve">“cashback”</w:t>
      </w:r>
      <w:r>
        <w:t xml:space="preserve"> </w:t>
      </w:r>
      <w:r>
        <w:t xml:space="preserve">em vez de desconto no preço.</w:t>
      </w:r>
    </w:p>
    <w:p>
      <w:pPr>
        <w:pStyle w:val="BodyText"/>
      </w:pPr>
      <w:r>
        <w:t xml:space="preserve">Ver solução (Cap. 8)</w:t>
      </w:r>
    </w:p>
    <w:p>
      <w:pPr>
        <w:pStyle w:val="BodyText"/>
      </w:pPr>
      <w:r>
        <w:rPr>
          <w:b/>
          <w:bCs/>
        </w:rPr>
        <w:t xml:space="preserve">Exercício 8.10.</w:t>
      </w:r>
      <w:r>
        <w:t xml:space="preserve"> </w:t>
      </w:r>
      <w:r>
        <w:t xml:space="preserve">A função de ponderação de probabilidades de Tversky e Kahneman é</w:t>
      </w:r>
      <w:r>
        <w:t xml:space="preserve"> </w:t>
      </w:r>
      <m:oMath>
        <m:r>
          <m:t>w</m:t>
        </m:r>
        <m:r>
          <m:rPr>
            <m:sty m:val="p"/>
          </m:rPr>
          <m:t>(</m:t>
        </m:r>
        <m:r>
          <m:t>p</m:t>
        </m:r>
        <m:r>
          <m:rPr>
            <m:sty m:val="p"/>
          </m:rPr>
          <m:t>)</m:t>
        </m:r>
        <m:r>
          <m:rPr>
            <m:sty m:val="p"/>
          </m:rPr>
          <m:t>=</m:t>
        </m:r>
        <m:sSup>
          <m:e>
            <m:r>
              <m:t>p</m:t>
            </m:r>
          </m:e>
          <m:sup>
            <m:r>
              <m:t>γ</m:t>
            </m:r>
          </m:sup>
        </m:sSup>
        <m:r>
          <m:rPr>
            <m:sty m:val="p"/>
          </m:rPr>
          <m:t>/</m:t>
        </m:r>
        <m:r>
          <m:rPr>
            <m:sty m:val="p"/>
          </m:rPr>
          <m:t>(</m:t>
        </m:r>
        <m:sSup>
          <m:e>
            <m:r>
              <m:t>p</m:t>
            </m:r>
          </m:e>
          <m:sup>
            <m:r>
              <m:t>γ</m:t>
            </m:r>
          </m:sup>
        </m:sSup>
        <m:r>
          <m:rPr>
            <m:sty m:val="p"/>
          </m:rPr>
          <m:t>+</m:t>
        </m:r>
        <m:r>
          <m:rPr>
            <m:sty m:val="p"/>
          </m:rPr>
          <m:t>(</m:t>
        </m:r>
        <m:r>
          <m:t>1</m:t>
        </m:r>
        <m:r>
          <m:rPr>
            <m:sty m:val="p"/>
          </m:rPr>
          <m:t>−</m:t>
        </m:r>
        <m:r>
          <m:t>p</m:t>
        </m:r>
        <m:sSup>
          <m:e>
            <m:r>
              <m:rPr>
                <m:sty m:val="p"/>
              </m:rPr>
              <m:t>)</m:t>
            </m:r>
          </m:e>
          <m:sup>
            <m:r>
              <m:t>γ</m:t>
            </m:r>
          </m:sup>
        </m:sSup>
        <m:sSup>
          <m:e>
            <m:r>
              <m:rPr>
                <m:sty m:val="p"/>
              </m:rPr>
              <m:t>)</m:t>
            </m:r>
          </m:e>
          <m:sup>
            <m:r>
              <m:t>1</m:t>
            </m:r>
            <m:r>
              <m:rPr>
                <m:sty m:val="p"/>
              </m:rPr>
              <m:t>/</m:t>
            </m:r>
            <m:r>
              <m:t>γ</m:t>
            </m:r>
          </m:sup>
        </m:sSup>
      </m:oMath>
      <w:r>
        <w:t xml:space="preserve">. (a) Mostre que</w:t>
      </w:r>
      <w:r>
        <w:t xml:space="preserve"> </w:t>
      </w:r>
      <m:oMath>
        <m:r>
          <m:t>w</m:t>
        </m:r>
        <m:r>
          <m:rPr>
            <m:sty m:val="p"/>
          </m:rPr>
          <m:t>(</m:t>
        </m:r>
        <m:r>
          <m:t>0</m:t>
        </m:r>
        <m:r>
          <m:rPr>
            <m:sty m:val="p"/>
          </m:rPr>
          <m:t>)</m:t>
        </m:r>
        <m:r>
          <m:rPr>
            <m:sty m:val="p"/>
          </m:rPr>
          <m:t>=</m:t>
        </m:r>
        <m:r>
          <m:t>0</m:t>
        </m:r>
      </m:oMath>
      <w:r>
        <w:t xml:space="preserve"> </w:t>
      </w:r>
      <w:r>
        <w:t xml:space="preserve">e</w:t>
      </w:r>
      <w:r>
        <w:t xml:space="preserve"> </w:t>
      </w:r>
      <m:oMath>
        <m:r>
          <m:t>w</m:t>
        </m:r>
        <m:r>
          <m:rPr>
            <m:sty m:val="p"/>
          </m:rPr>
          <m:t>(</m:t>
        </m:r>
        <m:r>
          <m:t>1</m:t>
        </m:r>
        <m:r>
          <m:rPr>
            <m:sty m:val="p"/>
          </m:rPr>
          <m:t>)</m:t>
        </m:r>
        <m:r>
          <m:rPr>
            <m:sty m:val="p"/>
          </m:rPr>
          <m:t>=</m:t>
        </m:r>
        <m:r>
          <m:t>1</m:t>
        </m:r>
      </m:oMath>
      <w:r>
        <w:t xml:space="preserve">. (b) Calcule</w:t>
      </w:r>
      <w:r>
        <w:t xml:space="preserve"> </w:t>
      </w:r>
      <m:oMath>
        <m:r>
          <m:t>w</m:t>
        </m:r>
        <m:r>
          <m:rPr>
            <m:sty m:val="p"/>
          </m:rPr>
          <m:t>(</m:t>
        </m:r>
        <m:r>
          <m:t>0</m:t>
        </m:r>
        <m:r>
          <m:rPr>
            <m:sty m:val="p"/>
          </m:rPr>
          <m:t>,</m:t>
        </m:r>
        <m:r>
          <m:t>01</m:t>
        </m:r>
        <m:r>
          <m:rPr>
            <m:sty m:val="p"/>
          </m:rPr>
          <m:t>)</m:t>
        </m:r>
      </m:oMath>
      <w:r>
        <w:t xml:space="preserve">,</w:t>
      </w:r>
      <w:r>
        <w:t xml:space="preserve"> </w:t>
      </w:r>
      <m:oMath>
        <m:r>
          <m:t>w</m:t>
        </m:r>
        <m:r>
          <m:rPr>
            <m:sty m:val="p"/>
          </m:rPr>
          <m:t>(</m:t>
        </m:r>
        <m:r>
          <m:t>0</m:t>
        </m:r>
        <m:r>
          <m:rPr>
            <m:sty m:val="p"/>
          </m:rPr>
          <m:t>,</m:t>
        </m:r>
        <m:r>
          <m:t>50</m:t>
        </m:r>
        <m:r>
          <m:rPr>
            <m:sty m:val="p"/>
          </m:rPr>
          <m:t>)</m:t>
        </m:r>
      </m:oMath>
      <w:r>
        <w:t xml:space="preserve"> </w:t>
      </w:r>
      <w:r>
        <w:t xml:space="preserve">e</w:t>
      </w:r>
      <w:r>
        <w:t xml:space="preserve"> </w:t>
      </w:r>
      <m:oMath>
        <m:r>
          <m:t>w</m:t>
        </m:r>
        <m:r>
          <m:rPr>
            <m:sty m:val="p"/>
          </m:rPr>
          <m:t>(</m:t>
        </m:r>
        <m:r>
          <m:t>0</m:t>
        </m:r>
        <m:r>
          <m:rPr>
            <m:sty m:val="p"/>
          </m:rPr>
          <m:t>,</m:t>
        </m:r>
        <m:r>
          <m:t>99</m:t>
        </m:r>
        <m:r>
          <m:rPr>
            <m:sty m:val="p"/>
          </m:rPr>
          <m:t>)</m:t>
        </m:r>
      </m:oMath>
      <w:r>
        <w:t xml:space="preserve"> </w:t>
      </w:r>
      <w:r>
        <w:t xml:space="preserve">para</w:t>
      </w:r>
      <w:r>
        <w:t xml:space="preserve"> </w:t>
      </w:r>
      <m:oMath>
        <m:r>
          <m:t>γ</m:t>
        </m:r>
        <m:r>
          <m:rPr>
            <m:sty m:val="p"/>
          </m:rPr>
          <m:t>=</m:t>
        </m:r>
        <m:r>
          <m:t>0</m:t>
        </m:r>
        <m:r>
          <m:rPr>
            <m:sty m:val="p"/>
          </m:rPr>
          <m:t>,</m:t>
        </m:r>
        <m:r>
          <m:t>61</m:t>
        </m:r>
      </m:oMath>
      <w:r>
        <w:t xml:space="preserve">. (c) Verifique a propriedade de subcerteza:</w:t>
      </w:r>
      <w:r>
        <w:t xml:space="preserve"> </w:t>
      </w:r>
      <m:oMath>
        <m:r>
          <m:t>w</m:t>
        </m:r>
        <m:r>
          <m:rPr>
            <m:sty m:val="p"/>
          </m:rPr>
          <m:t>(</m:t>
        </m:r>
        <m:r>
          <m:t>p</m:t>
        </m:r>
        <m:r>
          <m:rPr>
            <m:sty m:val="p"/>
          </m:rPr>
          <m:t>)</m:t>
        </m:r>
        <m:r>
          <m:rPr>
            <m:sty m:val="p"/>
          </m:rPr>
          <m:t>+</m:t>
        </m:r>
        <m:r>
          <m:t>w</m:t>
        </m:r>
        <m:r>
          <m:rPr>
            <m:sty m:val="p"/>
          </m:rPr>
          <m:t>(</m:t>
        </m:r>
        <m:r>
          <m:t>1</m:t>
        </m:r>
        <m:r>
          <m:rPr>
            <m:sty m:val="p"/>
          </m:rPr>
          <m:t>−</m:t>
        </m:r>
        <m:r>
          <m:t>p</m:t>
        </m:r>
        <m:r>
          <m:rPr>
            <m:sty m:val="p"/>
          </m:rPr>
          <m:t>)</m:t>
        </m:r>
        <m:r>
          <m:rPr>
            <m:sty m:val="p"/>
          </m:rPr>
          <m:t>&lt;</m:t>
        </m:r>
        <m:r>
          <m:t>1</m:t>
        </m:r>
      </m:oMath>
      <w:r>
        <w:t xml:space="preserve"> </w:t>
      </w:r>
      <w:r>
        <w:t xml:space="preserve">para</w:t>
      </w:r>
      <w:r>
        <w:t xml:space="preserve"> </w:t>
      </w:r>
      <m:oMath>
        <m:r>
          <m:t>p</m:t>
        </m:r>
        <m:r>
          <m:rPr>
            <m:sty m:val="p"/>
          </m:rPr>
          <m:t>=</m:t>
        </m:r>
        <m:r>
          <m:t>0</m:t>
        </m:r>
        <m:r>
          <m:rPr>
            <m:sty m:val="p"/>
          </m:rPr>
          <m:t>,</m:t>
        </m:r>
        <m:r>
          <m:t>50</m:t>
        </m:r>
      </m:oMath>
      <w:r>
        <w:t xml:space="preserve">.</w:t>
      </w:r>
    </w:p>
    <w:p>
      <w:pPr>
        <w:pStyle w:val="BodyText"/>
      </w:pPr>
      <w:r>
        <w:t xml:space="preserve">Ver solução (Cap. 8)</w:t>
      </w:r>
    </w:p>
    <w:p>
      <w:pPr>
        <w:pStyle w:val="BodyText"/>
      </w:pPr>
      <w:r>
        <w:rPr>
          <w:b/>
          <w:bCs/>
        </w:rPr>
        <w:t xml:space="preserve">Exercício 8.11.</w:t>
      </w:r>
      <w:r>
        <w:t xml:space="preserve"> </w:t>
      </w:r>
      <w:r>
        <w:t xml:space="preserve">Um consumidor tem</w:t>
      </w:r>
      <w:r>
        <w:t xml:space="preserve"> </w:t>
      </w:r>
      <m:oMath>
        <m:r>
          <m:t>u</m:t>
        </m:r>
        <m:r>
          <m:rPr>
            <m:sty m:val="p"/>
          </m:rPr>
          <m:t>(</m:t>
        </m:r>
        <m:r>
          <m:t>x</m:t>
        </m:r>
        <m:r>
          <m:rPr>
            <m:sty m:val="p"/>
          </m:rPr>
          <m:t>)</m:t>
        </m:r>
        <m:r>
          <m:rPr>
            <m:sty m:val="p"/>
          </m:rPr>
          <m:t>=</m:t>
        </m:r>
        <m:sSup>
          <m:e>
            <m:r>
              <m:t>x</m:t>
            </m:r>
          </m:e>
          <m:sup>
            <m:r>
              <m:t>0</m:t>
            </m:r>
            <m:r>
              <m:rPr>
                <m:sty m:val="p"/>
              </m:rPr>
              <m:t>,</m:t>
            </m:r>
            <m:r>
              <m:t>5</m:t>
            </m:r>
          </m:sup>
        </m:sSup>
      </m:oMath>
      <w:r>
        <w:t xml:space="preserve"> </w:t>
      </w:r>
      <w:r>
        <w:t xml:space="preserve">(utilidade esperada padrão) e riqueza inicial</w:t>
      </w:r>
      <w:r>
        <w:t xml:space="preserve"> </w:t>
      </w:r>
      <m:oMath>
        <m:r>
          <m:t>W</m:t>
        </m:r>
        <m:r>
          <m:rPr>
            <m:sty m:val="p"/>
          </m:rPr>
          <m:t>=</m:t>
        </m:r>
        <m:r>
          <m:t>1000</m:t>
        </m:r>
      </m:oMath>
      <w:r>
        <w:t xml:space="preserve">. Compare as seguintes opções: (a) Perda certa de R$ 400 (riqueza final = 600); (b) Loteria: perde R$ 800 com probabilidade</w:t>
      </w:r>
      <w:r>
        <w:t xml:space="preserve"> </w:t>
      </w:r>
      <m:oMath>
        <m:r>
          <m:t>0</m:t>
        </m:r>
        <m:r>
          <m:rPr>
            <m:sty m:val="p"/>
          </m:rPr>
          <m:t>,</m:t>
        </m:r>
        <m:r>
          <m:t>5</m:t>
        </m:r>
      </m:oMath>
      <w:r>
        <w:t xml:space="preserve"> </w:t>
      </w:r>
      <w:r>
        <w:t xml:space="preserve">ou não perde nada com probabilidade</w:t>
      </w:r>
      <w:r>
        <w:t xml:space="preserve"> </w:t>
      </w:r>
      <m:oMath>
        <m:r>
          <m:t>0</m:t>
        </m:r>
        <m:r>
          <m:rPr>
            <m:sty m:val="p"/>
          </m:rPr>
          <m:t>,</m:t>
        </m:r>
        <m:r>
          <m:t>5</m:t>
        </m:r>
      </m:oMath>
      <w:r>
        <w:t xml:space="preserve"> </w:t>
      </w:r>
      <w:r>
        <w:t xml:space="preserve">(riqueza esperada = 600).</w:t>
      </w:r>
      <w:r>
        <w:t xml:space="preserve"> </w:t>
      </w:r>
      <w:r>
        <w:rPr>
          <w:b/>
          <w:bCs/>
        </w:rPr>
        <w:t xml:space="preserve">(i)</w:t>
      </w:r>
      <w:r>
        <w:t xml:space="preserve"> </w:t>
      </w:r>
      <w:r>
        <w:t xml:space="preserve">Sob utilidade esperada, qual opção é preferida?</w:t>
      </w:r>
      <w:r>
        <w:t xml:space="preserve"> </w:t>
      </w:r>
      <w:r>
        <w:rPr>
          <w:b/>
          <w:bCs/>
        </w:rPr>
        <w:t xml:space="preserve">(ii)</w:t>
      </w:r>
      <w:r>
        <w:t xml:space="preserve"> </w:t>
      </w:r>
      <w:r>
        <w:t xml:space="preserve">Sob Teoria do Prospecto com ponto de referência</w:t>
      </w:r>
      <w:r>
        <w:t xml:space="preserve"> </w:t>
      </w:r>
      <m:oMath>
        <m:r>
          <m:t>r</m:t>
        </m:r>
        <m:r>
          <m:rPr>
            <m:sty m:val="p"/>
          </m:rPr>
          <m:t>=</m:t>
        </m:r>
        <m:r>
          <m:t>1000</m:t>
        </m:r>
      </m:oMath>
      <w:r>
        <w:t xml:space="preserve">, função valor</w:t>
      </w:r>
      <w:r>
        <w:t xml:space="preserve"> </w:t>
      </w:r>
      <m:oMath>
        <m:r>
          <m:t>v</m:t>
        </m:r>
        <m:r>
          <m:rPr>
            <m:sty m:val="p"/>
          </m:rPr>
          <m:t>(</m:t>
        </m:r>
        <m:r>
          <m:t>x</m:t>
        </m:r>
        <m:r>
          <m:rPr>
            <m:sty m:val="p"/>
          </m:rPr>
          <m:t>)</m:t>
        </m:r>
        <m:r>
          <m:rPr>
            <m:sty m:val="p"/>
          </m:rPr>
          <m:t>=</m:t>
        </m:r>
        <m:sSup>
          <m:e>
            <m:r>
              <m:t>x</m:t>
            </m:r>
          </m:e>
          <m:sup>
            <m:r>
              <m:t>0</m:t>
            </m:r>
            <m:r>
              <m:rPr>
                <m:sty m:val="p"/>
              </m:rPr>
              <m:t>,</m:t>
            </m:r>
            <m:r>
              <m:t>88</m:t>
            </m:r>
          </m:sup>
        </m:sSup>
      </m:oMath>
      <w:r>
        <w:t xml:space="preserve"> </w:t>
      </w:r>
      <w:r>
        <w:t xml:space="preserve">para ganhos e</w:t>
      </w:r>
      <w:r>
        <w:t xml:space="preserve"> </w:t>
      </w:r>
      <m:oMath>
        <m:r>
          <m:t>v</m:t>
        </m:r>
        <m:r>
          <m:rPr>
            <m:sty m:val="p"/>
          </m:rPr>
          <m:t>(</m:t>
        </m:r>
        <m:r>
          <m:t>x</m:t>
        </m:r>
        <m:r>
          <m:rPr>
            <m:sty m:val="p"/>
          </m:rPr>
          <m:t>)</m:t>
        </m:r>
        <m:r>
          <m:rPr>
            <m:sty m:val="p"/>
          </m:rPr>
          <m:t>=</m:t>
        </m:r>
        <m:r>
          <m:rPr>
            <m:sty m:val="p"/>
          </m:rPr>
          <m:t>−</m:t>
        </m:r>
        <m:r>
          <m:t>2</m:t>
        </m:r>
        <m:r>
          <m:rPr>
            <m:sty m:val="p"/>
          </m:rPr>
          <m:t>,</m:t>
        </m:r>
        <m:r>
          <m:t>25</m:t>
        </m:r>
        <m:r>
          <m:rPr>
            <m:sty m:val="p"/>
          </m:rPr>
          <m:t>(</m:t>
        </m:r>
        <m:r>
          <m:rPr>
            <m:sty m:val="p"/>
          </m:rPr>
          <m:t>−</m:t>
        </m:r>
        <m:r>
          <m:t>x</m:t>
        </m:r>
        <m:sSup>
          <m:e>
            <m:r>
              <m:rPr>
                <m:sty m:val="p"/>
              </m:rPr>
              <m:t>)</m:t>
            </m:r>
          </m:e>
          <m:sup>
            <m:r>
              <m:t>0</m:t>
            </m:r>
            <m:r>
              <m:rPr>
                <m:sty m:val="p"/>
              </m:rPr>
              <m:t>,</m:t>
            </m:r>
            <m:r>
              <m:t>88</m:t>
            </m:r>
          </m:sup>
        </m:sSup>
      </m:oMath>
      <w:r>
        <w:t xml:space="preserve"> </w:t>
      </w:r>
      <w:r>
        <w:t xml:space="preserve">para perdas, e sem ponderação de probabilidades (</w:t>
      </w:r>
      <m:oMath>
        <m:r>
          <m:t>w</m:t>
        </m:r>
        <m:r>
          <m:rPr>
            <m:sty m:val="p"/>
          </m:rPr>
          <m:t>(</m:t>
        </m:r>
        <m:r>
          <m:t>p</m:t>
        </m:r>
        <m:r>
          <m:rPr>
            <m:sty m:val="p"/>
          </m:rPr>
          <m:t>)</m:t>
        </m:r>
        <m:r>
          <m:rPr>
            <m:sty m:val="p"/>
          </m:rPr>
          <m:t>=</m:t>
        </m:r>
        <m:r>
          <m:t>p</m:t>
        </m:r>
      </m:oMath>
      <w:r>
        <w:t xml:space="preserve">), qual opção é preferida?</w:t>
      </w:r>
      <w:r>
        <w:t xml:space="preserve"> </w:t>
      </w:r>
      <w:r>
        <w:rPr>
          <w:b/>
          <w:bCs/>
        </w:rPr>
        <w:t xml:space="preserve">(iii)</w:t>
      </w:r>
      <w:r>
        <w:t xml:space="preserve"> </w:t>
      </w:r>
      <w:r>
        <w:t xml:space="preserve">Explique a diferença entre as previsões dos dois modelos.</w:t>
      </w:r>
    </w:p>
    <w:p>
      <w:pPr>
        <w:pStyle w:val="BodyText"/>
      </w:pPr>
      <w:r>
        <w:t xml:space="preserve">Ver solução (Cap. 8)</w:t>
      </w:r>
    </w:p>
    <w:p>
      <w:pPr>
        <w:pStyle w:val="BodyText"/>
      </w:pPr>
      <w:r>
        <w:rPr>
          <w:b/>
          <w:bCs/>
        </w:rPr>
        <w:t xml:space="preserve">Exercício 8.12.</w:t>
      </w:r>
      <w:r>
        <w:t xml:space="preserve"> </w:t>
      </w:r>
      <w:r>
        <w:t xml:space="preserve">Julgue cada afirmação como Verdadeira (V) ou Falsa (F) e justifique brevemente: (a) A Teoria do Prospecto prevê que agentes exibem busca por risco no domínio das perdas. (b) O efeito dotação contradiz a teoria neoclássica da demanda, pois implica que a disposição a aceitar (WTA) sistematicamente excede a disposição a pagar (WTP). (c) Agentes com desconto quasi-hiperbólico (</w:t>
      </w:r>
      <m:oMath>
        <m:r>
          <m:t>β</m:t>
        </m:r>
        <m:r>
          <m:rPr>
            <m:sty m:val="p"/>
          </m:rPr>
          <m:t>&lt;</m:t>
        </m:r>
        <m:r>
          <m:t>1</m:t>
        </m:r>
      </m:oMath>
      <w:r>
        <w:t xml:space="preserve">) sempre preferem recompensas imediatas a recompensas futuras, independentemente do horizonte. (d) Um nudge restringe o conjunto de escolhas disponíveis ao agente.</w:t>
      </w:r>
    </w:p>
    <w:p>
      <w:pPr>
        <w:pStyle w:val="BodyText"/>
      </w:pPr>
      <w:r>
        <w:t xml:space="preserve">Ver solução (Cap. 8)</w:t>
      </w:r>
    </w:p>
    <w:p>
      <w:pPr>
        <w:pStyle w:val="BodyText"/>
      </w:pPr>
      <w:r>
        <w:rPr>
          <w:b/>
          <w:bCs/>
        </w:rPr>
        <w:t xml:space="preserve">Exercício 8.13.</w:t>
      </w:r>
      <w:r>
        <w:t xml:space="preserve"> </w:t>
      </w:r>
      <w:r>
        <w:t xml:space="preserve">Um agente com preferências</w:t>
      </w:r>
      <w:r>
        <w:t xml:space="preserve"> </w:t>
      </w:r>
      <m:oMath>
        <m:r>
          <m:rPr>
            <m:sty m:val="p"/>
          </m:rPr>
          <m:t>(</m:t>
        </m:r>
        <m:r>
          <m:t>β</m:t>
        </m:r>
        <m:r>
          <m:rPr>
            <m:sty m:val="p"/>
          </m:rPr>
          <m:t>,</m:t>
        </m:r>
        <m:r>
          <m:t>δ</m:t>
        </m:r>
        <m:r>
          <m:rPr>
            <m:sty m:val="p"/>
          </m:rPr>
          <m:t>)</m:t>
        </m:r>
      </m:oMath>
      <w:r>
        <w:t xml:space="preserve"> </w:t>
      </w:r>
      <w:r>
        <w:t xml:space="preserve">e</w:t>
      </w:r>
      <w:r>
        <w:t xml:space="preserve"> </w:t>
      </w:r>
      <m:oMath>
        <m:r>
          <m:t>β</m:t>
        </m:r>
        <m:r>
          <m:rPr>
            <m:sty m:val="p"/>
          </m:rPr>
          <m:t>=</m:t>
        </m:r>
        <m:r>
          <m:t>0</m:t>
        </m:r>
        <m:r>
          <m:rPr>
            <m:sty m:val="p"/>
          </m:rPr>
          <m:t>,</m:t>
        </m:r>
        <m:r>
          <m:t>70</m:t>
        </m:r>
      </m:oMath>
      <w:r>
        <w:t xml:space="preserve">,</w:t>
      </w:r>
      <w:r>
        <w:t xml:space="preserve"> </w:t>
      </w:r>
      <m:oMath>
        <m:r>
          <m:t>δ</m:t>
        </m:r>
        <m:r>
          <m:rPr>
            <m:sty m:val="p"/>
          </m:rPr>
          <m:t>=</m:t>
        </m:r>
        <m:r>
          <m:t>0</m:t>
        </m:r>
        <m:r>
          <m:rPr>
            <m:sty m:val="p"/>
          </m:rPr>
          <m:t>,</m:t>
        </m:r>
        <m:r>
          <m:t>95</m:t>
        </m:r>
      </m:oMath>
      <w:r>
        <w:t xml:space="preserve">, utilidade linear</w:t>
      </w:r>
      <w:r>
        <w:t xml:space="preserve"> </w:t>
      </w:r>
      <m:oMath>
        <m:r>
          <m:t>u</m:t>
        </m:r>
        <m:r>
          <m:rPr>
            <m:sty m:val="p"/>
          </m:rPr>
          <m:t>(</m:t>
        </m:r>
        <m:r>
          <m:t>x</m:t>
        </m:r>
        <m:r>
          <m:rPr>
            <m:sty m:val="p"/>
          </m:rPr>
          <m:t>)</m:t>
        </m:r>
        <m:r>
          <m:rPr>
            <m:sty m:val="p"/>
          </m:rPr>
          <m:t>=</m:t>
        </m:r>
        <m:r>
          <m:t>x</m:t>
        </m:r>
      </m:oMath>
      <w:r>
        <w:t xml:space="preserve">, avalia três opções: (A) receber R$ 100 hoje; (B) receber R$ 120 daqui a 1 mês (</w:t>
      </w:r>
      <m:oMath>
        <m:r>
          <m:t>t</m:t>
        </m:r>
        <m:r>
          <m:rPr>
            <m:sty m:val="p"/>
          </m:rPr>
          <m:t>=</m:t>
        </m:r>
        <m:r>
          <m:t>1</m:t>
        </m:r>
      </m:oMath>
      <w:r>
        <w:t xml:space="preserve">); (C) receber R$ 150 daqui a 3 meses (</w:t>
      </w:r>
      <m:oMath>
        <m:r>
          <m:t>t</m:t>
        </m:r>
        <m:r>
          <m:rPr>
            <m:sty m:val="p"/>
          </m:rPr>
          <m:t>=</m:t>
        </m:r>
        <m:r>
          <m:t>3</m:t>
        </m:r>
      </m:oMath>
      <w:r>
        <w:t xml:space="preserve">).</w:t>
      </w:r>
      <w:r>
        <w:t xml:space="preserve"> </w:t>
      </w:r>
      <w:r>
        <w:rPr>
          <w:b/>
          <w:bCs/>
        </w:rPr>
        <w:t xml:space="preserve">(a)</w:t>
      </w:r>
      <w:r>
        <w:t xml:space="preserve"> </w:t>
      </w:r>
      <w:r>
        <w:t xml:space="preserve">Calcule as utilidades descontadas de A, B e C avaliadas em</w:t>
      </w:r>
      <w:r>
        <w:t xml:space="preserve"> </w:t>
      </w:r>
      <m:oMath>
        <m:r>
          <m:t>t</m:t>
        </m:r>
        <m:r>
          <m:rPr>
            <m:sty m:val="p"/>
          </m:rPr>
          <m:t>=</m:t>
        </m:r>
        <m:r>
          <m:t>0</m:t>
        </m:r>
      </m:oMath>
      <w:r>
        <w:t xml:space="preserve"> </w:t>
      </w:r>
      <w:r>
        <w:t xml:space="preserve">e ordene as opções.</w:t>
      </w:r>
      <w:r>
        <w:t xml:space="preserve"> </w:t>
      </w:r>
      <w:r>
        <w:rPr>
          <w:b/>
          <w:bCs/>
        </w:rPr>
        <w:t xml:space="preserve">(b)</w:t>
      </w:r>
      <w:r>
        <w:t xml:space="preserve"> </w:t>
      </w:r>
      <w:r>
        <w:t xml:space="preserve">Quando chega o mês 1, o agente reavalia B (que agora é imediato) e C (a 2 meses). Calcule as utilidades em</w:t>
      </w:r>
      <w:r>
        <w:t xml:space="preserve"> </w:t>
      </w:r>
      <m:oMath>
        <m:r>
          <m:t>t</m:t>
        </m:r>
        <m:r>
          <m:rPr>
            <m:sty m:val="p"/>
          </m:rPr>
          <m:t>=</m:t>
        </m:r>
        <m:r>
          <m:t>1</m:t>
        </m:r>
      </m:oMath>
      <w:r>
        <w:t xml:space="preserve"> </w:t>
      </w:r>
      <w:r>
        <w:t xml:space="preserve">e ordene novamente.</w:t>
      </w:r>
      <w:r>
        <w:t xml:space="preserve"> </w:t>
      </w:r>
      <w:r>
        <w:rPr>
          <w:b/>
          <w:bCs/>
        </w:rPr>
        <w:t xml:space="preserve">(c)</w:t>
      </w:r>
      <w:r>
        <w:t xml:space="preserve"> </w:t>
      </w:r>
      <w:r>
        <w:t xml:space="preserve">Ocorre inversão de preferências entre</w:t>
      </w:r>
      <w:r>
        <w:t xml:space="preserve"> </w:t>
      </w:r>
      <m:oMath>
        <m:r>
          <m:t>t</m:t>
        </m:r>
        <m:r>
          <m:rPr>
            <m:sty m:val="p"/>
          </m:rPr>
          <m:t>=</m:t>
        </m:r>
        <m:r>
          <m:t>0</m:t>
        </m:r>
      </m:oMath>
      <w:r>
        <w:t xml:space="preserve"> </w:t>
      </w:r>
      <w:r>
        <w:t xml:space="preserve">e</w:t>
      </w:r>
      <w:r>
        <w:t xml:space="preserve"> </w:t>
      </w:r>
      <m:oMath>
        <m:r>
          <m:t>t</m:t>
        </m:r>
        <m:r>
          <m:rPr>
            <m:sty m:val="p"/>
          </m:rPr>
          <m:t>=</m:t>
        </m:r>
        <m:r>
          <m:t>1</m:t>
        </m:r>
      </m:oMath>
      <w:r>
        <w:t xml:space="preserve">? Qual é a fonte da inconsistência?</w:t>
      </w:r>
    </w:p>
    <w:p>
      <w:pPr>
        <w:pStyle w:val="BodyText"/>
      </w:pPr>
      <w:r>
        <w:t xml:space="preserve">Ver solução (Cap. 8)</w:t>
      </w:r>
    </w:p>
    <w:p>
      <w:pPr>
        <w:pStyle w:val="BodyText"/>
      </w:pPr>
      <w:r>
        <w:rPr>
          <w:b/>
          <w:bCs/>
        </w:rPr>
        <w:t xml:space="preserve">Exercício 8.14.</w:t>
      </w:r>
      <w:r>
        <w:t xml:space="preserve"> </w:t>
      </w:r>
      <w:r>
        <w:t xml:space="preserve">Um trabalhador brasileiro pode escolher entre dois contratos:</w:t>
      </w:r>
      <w:r>
        <w:t xml:space="preserve"> </w:t>
      </w:r>
      <w:r>
        <w:rPr>
          <w:b/>
          <w:bCs/>
        </w:rPr>
        <w:t xml:space="preserve">(A)</w:t>
      </w:r>
      <w:r>
        <w:t xml:space="preserve"> </w:t>
      </w:r>
      <w:r>
        <w:t xml:space="preserve">salário fixo de R$ 5.000/mês;</w:t>
      </w:r>
      <w:r>
        <w:t xml:space="preserve"> </w:t>
      </w:r>
      <w:r>
        <w:rPr>
          <w:b/>
          <w:bCs/>
        </w:rPr>
        <w:t xml:space="preserve">(B)</w:t>
      </w:r>
      <w:r>
        <w:t xml:space="preserve"> </w:t>
      </w:r>
      <w:r>
        <w:t xml:space="preserve">salário-base de R$ 4.000 mais bônus uniformemente distribuído entre R$ 0 e R$ 2.000 dependendo do desempenho (valor esperado do bônus = R$ 1.000, então renda esperada de R$ 5.000).</w:t>
      </w:r>
      <w:r>
        <w:t xml:space="preserve"> </w:t>
      </w:r>
      <w:r>
        <w:rPr>
          <w:b/>
          <w:bCs/>
        </w:rPr>
        <w:t xml:space="preserve">(i)</w:t>
      </w:r>
      <w:r>
        <w:t xml:space="preserve"> </w:t>
      </w:r>
      <w:r>
        <w:t xml:space="preserve">Sob utilidade esperada com</w:t>
      </w:r>
      <w:r>
        <w:t xml:space="preserve"> </w:t>
      </w:r>
      <m:oMath>
        <m:r>
          <m:t>u</m:t>
        </m:r>
        <m:r>
          <m:rPr>
            <m:sty m:val="p"/>
          </m:rPr>
          <m:t>(</m:t>
        </m:r>
        <m:r>
          <m:t>x</m:t>
        </m:r>
        <m:r>
          <m:rPr>
            <m:sty m:val="p"/>
          </m:rPr>
          <m:t>)</m:t>
        </m:r>
        <m:r>
          <m:rPr>
            <m:sty m:val="p"/>
          </m:rPr>
          <m:t>=</m:t>
        </m:r>
        <m:sSup>
          <m:e>
            <m:r>
              <m:t>x</m:t>
            </m:r>
          </m:e>
          <m:sup>
            <m:r>
              <m:t>1</m:t>
            </m:r>
            <m:r>
              <m:rPr>
                <m:sty m:val="p"/>
              </m:rPr>
              <m:t>−</m:t>
            </m:r>
            <m:r>
              <m:t>γ</m:t>
            </m:r>
          </m:sup>
        </m:sSup>
        <m:r>
          <m:rPr>
            <m:sty m:val="p"/>
          </m:rPr>
          <m:t>/</m:t>
        </m:r>
        <m:r>
          <m:rPr>
            <m:sty m:val="p"/>
          </m:rPr>
          <m:t>(</m:t>
        </m:r>
        <m:r>
          <m:t>1</m:t>
        </m:r>
        <m:r>
          <m:rPr>
            <m:sty m:val="p"/>
          </m:rPr>
          <m:t>−</m:t>
        </m:r>
        <m:r>
          <m:t>γ</m:t>
        </m:r>
        <m:r>
          <m:rPr>
            <m:sty m:val="p"/>
          </m:rPr>
          <m:t>)</m:t>
        </m:r>
      </m:oMath>
      <w:r>
        <w:t xml:space="preserve">,</w:t>
      </w:r>
      <w:r>
        <w:t xml:space="preserve"> </w:t>
      </w:r>
      <m:oMath>
        <m:r>
          <m:t>γ</m:t>
        </m:r>
        <m:r>
          <m:rPr>
            <m:sty m:val="p"/>
          </m:rPr>
          <m:t>=</m:t>
        </m:r>
        <m:r>
          <m:t>2</m:t>
        </m:r>
      </m:oMath>
      <w:r>
        <w:t xml:space="preserve">, calcule a utilidade esperada de cada contrato e determine qual é preferido. Normalize as rendas dividindo por 1000 para simplificar os cálculos.</w:t>
      </w:r>
      <w:r>
        <w:t xml:space="preserve"> </w:t>
      </w:r>
      <w:r>
        <w:rPr>
          <w:b/>
          <w:bCs/>
        </w:rPr>
        <w:t xml:space="preserve">(ii)</w:t>
      </w:r>
      <w:r>
        <w:t xml:space="preserve"> </w:t>
      </w:r>
      <w:r>
        <w:t xml:space="preserve">Sob Teoria do Prospecto com ponto de referência</w:t>
      </w:r>
      <w:r>
        <w:t xml:space="preserve"> </w:t>
      </w:r>
      <m:oMath>
        <m:r>
          <m:t>r</m:t>
        </m:r>
        <m:r>
          <m:rPr>
            <m:sty m:val="p"/>
          </m:rPr>
          <m:t>=</m:t>
        </m:r>
        <m:r>
          <m:t>5.000</m:t>
        </m:r>
      </m:oMath>
      <w:r>
        <w:t xml:space="preserve">,</w:t>
      </w:r>
      <w:r>
        <w:t xml:space="preserve"> </w:t>
      </w:r>
      <m:oMath>
        <m:r>
          <m:t>λ</m:t>
        </m:r>
        <m:r>
          <m:rPr>
            <m:sty m:val="p"/>
          </m:rPr>
          <m:t>=</m:t>
        </m:r>
        <m:r>
          <m:t>2</m:t>
        </m:r>
      </m:oMath>
      <w:r>
        <w:t xml:space="preserve">, função valor linear por partes (</w:t>
      </w:r>
      <m:oMath>
        <m:r>
          <m:t>v</m:t>
        </m:r>
        <m:r>
          <m:rPr>
            <m:sty m:val="p"/>
          </m:rPr>
          <m:t>(</m:t>
        </m:r>
        <m:r>
          <m:t>x</m:t>
        </m:r>
        <m:r>
          <m:rPr>
            <m:sty m:val="p"/>
          </m:rPr>
          <m:t>)</m:t>
        </m:r>
        <m:r>
          <m:rPr>
            <m:sty m:val="p"/>
          </m:rPr>
          <m:t>=</m:t>
        </m:r>
        <m:r>
          <m:t>x</m:t>
        </m:r>
      </m:oMath>
      <w:r>
        <w:t xml:space="preserve"> </w:t>
      </w:r>
      <w:r>
        <w:t xml:space="preserve">para</w:t>
      </w:r>
      <w:r>
        <w:t xml:space="preserve"> </w:t>
      </w:r>
      <m:oMath>
        <m:r>
          <m:t>x</m:t>
        </m:r>
        <m:r>
          <m:rPr>
            <m:sty m:val="p"/>
          </m:rPr>
          <m:t>≥</m:t>
        </m:r>
        <m:r>
          <m:t>0</m:t>
        </m:r>
      </m:oMath>
      <w:r>
        <w:t xml:space="preserve"> </w:t>
      </w:r>
      <w:r>
        <w:t xml:space="preserve">e</w:t>
      </w:r>
      <w:r>
        <w:t xml:space="preserve"> </w:t>
      </w:r>
      <m:oMath>
        <m:r>
          <m:t>v</m:t>
        </m:r>
        <m:r>
          <m:rPr>
            <m:sty m:val="p"/>
          </m:rPr>
          <m:t>(</m:t>
        </m:r>
        <m:r>
          <m:t>x</m:t>
        </m:r>
        <m:r>
          <m:rPr>
            <m:sty m:val="p"/>
          </m:rPr>
          <m:t>)</m:t>
        </m:r>
        <m:r>
          <m:rPr>
            <m:sty m:val="p"/>
          </m:rPr>
          <m:t>=</m:t>
        </m:r>
        <m:r>
          <m:t>2</m:t>
        </m:r>
        <m:r>
          <m:t>x</m:t>
        </m:r>
      </m:oMath>
      <w:r>
        <w:t xml:space="preserve"> </w:t>
      </w:r>
      <w:r>
        <w:t xml:space="preserve">para</w:t>
      </w:r>
      <w:r>
        <w:t xml:space="preserve"> </w:t>
      </w:r>
      <m:oMath>
        <m:r>
          <m:t>x</m:t>
        </m:r>
        <m:r>
          <m:rPr>
            <m:sty m:val="p"/>
          </m:rPr>
          <m:t>&lt;</m:t>
        </m:r>
        <m:r>
          <m:t>0</m:t>
        </m:r>
      </m:oMath>
      <w:r>
        <w:t xml:space="preserve">) e sem ponderação de probabilidades, calcule o valor esperado do prospecto B e compare com o contrato A.</w:t>
      </w:r>
    </w:p>
    <w:p>
      <w:pPr>
        <w:pStyle w:val="BodyText"/>
      </w:pPr>
      <w:r>
        <w:t xml:space="preserve">Ver solução (Cap. 8)</w:t>
      </w:r>
    </w:p>
    <w:p>
      <w:pPr>
        <w:pStyle w:val="BodyText"/>
      </w:pPr>
      <w:r>
        <w:rPr>
          <w:b/>
          <w:bCs/>
        </w:rPr>
        <w:t xml:space="preserve">Exercício 8.15.</w:t>
      </w:r>
      <w:r>
        <w:t xml:space="preserve"> </w:t>
      </w:r>
      <w:r>
        <w:rPr>
          <w:i/>
          <w:iCs/>
        </w:rPr>
        <w:t xml:space="preserve">(Difícil)</w:t>
      </w:r>
      <w:r>
        <w:t xml:space="preserve"> </w:t>
      </w:r>
      <w:r>
        <w:t xml:space="preserve">Um agente enfrenta uma perda potencial</w:t>
      </w:r>
      <w:r>
        <w:t xml:space="preserve"> </w:t>
      </w:r>
      <m:oMath>
        <m:r>
          <m:t>L</m:t>
        </m:r>
      </m:oMath>
      <w:r>
        <w:t xml:space="preserve"> </w:t>
      </w:r>
      <w:r>
        <w:t xml:space="preserve">com probabilidade</w:t>
      </w:r>
      <w:r>
        <w:t xml:space="preserve"> </w:t>
      </w:r>
      <m:oMath>
        <m:r>
          <m:t>p</m:t>
        </m:r>
      </m:oMath>
      <w:r>
        <w:t xml:space="preserve">, e pode comprar seguro a preço atuarialmente justo. O agente tem preferências da Teoria do Prospecto com: ponto de referência = riqueza inicial</w:t>
      </w:r>
      <w:r>
        <w:t xml:space="preserve"> </w:t>
      </w:r>
      <m:oMath>
        <m:r>
          <m:t>W</m:t>
        </m:r>
      </m:oMath>
      <w:r>
        <w:t xml:space="preserve">, função valor</w:t>
      </w:r>
      <w:r>
        <w:t xml:space="preserve"> </w:t>
      </w:r>
      <m:oMath>
        <m:r>
          <m:t>v</m:t>
        </m:r>
        <m:r>
          <m:rPr>
            <m:sty m:val="p"/>
          </m:rPr>
          <m:t>(</m:t>
        </m:r>
        <m:r>
          <m:t>x</m:t>
        </m:r>
        <m:r>
          <m:rPr>
            <m:sty m:val="p"/>
          </m:rPr>
          <m:t>)</m:t>
        </m:r>
        <m:r>
          <m:rPr>
            <m:sty m:val="p"/>
          </m:rPr>
          <m:t>=</m:t>
        </m:r>
        <m:r>
          <m:t>x</m:t>
        </m:r>
      </m:oMath>
      <w:r>
        <w:t xml:space="preserve"> </w:t>
      </w:r>
      <w:r>
        <w:t xml:space="preserve">para</w:t>
      </w:r>
      <w:r>
        <w:t xml:space="preserve"> </w:t>
      </w:r>
      <m:oMath>
        <m:r>
          <m:t>x</m:t>
        </m:r>
        <m:r>
          <m:rPr>
            <m:sty m:val="p"/>
          </m:rPr>
          <m:t>≥</m:t>
        </m:r>
        <m:r>
          <m:t>0</m:t>
        </m:r>
      </m:oMath>
      <w:r>
        <w:t xml:space="preserve"> </w:t>
      </w:r>
      <w:r>
        <w:t xml:space="preserve">e</w:t>
      </w:r>
      <w:r>
        <w:t xml:space="preserve"> </w:t>
      </w:r>
      <m:oMath>
        <m:r>
          <m:t>v</m:t>
        </m:r>
        <m:r>
          <m:rPr>
            <m:sty m:val="p"/>
          </m:rPr>
          <m:t>(</m:t>
        </m:r>
        <m:r>
          <m:t>x</m:t>
        </m:r>
        <m:r>
          <m:rPr>
            <m:sty m:val="p"/>
          </m:rPr>
          <m:t>)</m:t>
        </m:r>
        <m:r>
          <m:rPr>
            <m:sty m:val="p"/>
          </m:rPr>
          <m:t>=</m:t>
        </m:r>
        <m:r>
          <m:rPr>
            <m:sty m:val="p"/>
          </m:rPr>
          <m:t>−</m:t>
        </m:r>
        <m:r>
          <m:t>λ</m:t>
        </m:r>
        <m:r>
          <m:rPr>
            <m:sty m:val="p"/>
          </m:rPr>
          <m:t>(</m:t>
        </m:r>
        <m:r>
          <m:rPr>
            <m:sty m:val="p"/>
          </m:rPr>
          <m:t>−</m:t>
        </m:r>
        <m:r>
          <m:t>x</m:t>
        </m:r>
        <m:r>
          <m:rPr>
            <m:sty m:val="p"/>
          </m:rPr>
          <m:t>)</m:t>
        </m:r>
      </m:oMath>
      <w:r>
        <w:t xml:space="preserve"> </w:t>
      </w:r>
      <w:r>
        <w:t xml:space="preserve">para</w:t>
      </w:r>
      <w:r>
        <w:t xml:space="preserve"> </w:t>
      </w:r>
      <m:oMath>
        <m:r>
          <m:t>x</m:t>
        </m:r>
        <m:r>
          <m:rPr>
            <m:sty m:val="p"/>
          </m:rPr>
          <m:t>&lt;</m:t>
        </m:r>
        <m:r>
          <m:t>0</m:t>
        </m:r>
      </m:oMath>
      <w:r>
        <w:t xml:space="preserve"> </w:t>
      </w:r>
      <w:r>
        <w:t xml:space="preserve">(com</w:t>
      </w:r>
      <w:r>
        <w:t xml:space="preserve"> </w:t>
      </w:r>
      <m:oMath>
        <m:r>
          <m:t>λ</m:t>
        </m:r>
        <m:r>
          <m:rPr>
            <m:sty m:val="p"/>
          </m:rPr>
          <m:t>&gt;</m:t>
        </m:r>
        <m:r>
          <m:t>1</m:t>
        </m:r>
      </m:oMath>
      <w:r>
        <w:t xml:space="preserve">), e função de ponderação</w:t>
      </w:r>
      <w:r>
        <w:t xml:space="preserve"> </w:t>
      </w:r>
      <m:oMath>
        <m:r>
          <m:t>w</m:t>
        </m:r>
        <m:r>
          <m:rPr>
            <m:sty m:val="p"/>
          </m:rPr>
          <m:t>(</m:t>
        </m:r>
        <m:r>
          <m:t>p</m:t>
        </m:r>
        <m:r>
          <m:rPr>
            <m:sty m:val="p"/>
          </m:rPr>
          <m:t>)</m:t>
        </m:r>
      </m:oMath>
      <w:r>
        <w:t xml:space="preserve"> </w:t>
      </w:r>
      <w:r>
        <w:t xml:space="preserve">satisfazendo</w:t>
      </w:r>
      <w:r>
        <w:t xml:space="preserve"> </w:t>
      </w:r>
      <m:oMath>
        <m:r>
          <m:t>w</m:t>
        </m:r>
        <m:r>
          <m:rPr>
            <m:sty m:val="p"/>
          </m:rPr>
          <m:t>(</m:t>
        </m:r>
        <m:r>
          <m:t>p</m:t>
        </m:r>
        <m:r>
          <m:rPr>
            <m:sty m:val="p"/>
          </m:rPr>
          <m:t>)</m:t>
        </m:r>
        <m:r>
          <m:rPr>
            <m:sty m:val="p"/>
          </m:rPr>
          <m:t>&gt;</m:t>
        </m:r>
        <m:r>
          <m:t>p</m:t>
        </m:r>
      </m:oMath>
      <w:r>
        <w:t xml:space="preserve"> </w:t>
      </w:r>
      <w:r>
        <w:t xml:space="preserve">para</w:t>
      </w:r>
      <w:r>
        <w:t xml:space="preserve"> </w:t>
      </w:r>
      <m:oMath>
        <m:r>
          <m:t>p</m:t>
        </m:r>
      </m:oMath>
      <w:r>
        <w:t xml:space="preserve"> </w:t>
      </w:r>
      <w:r>
        <w:t xml:space="preserve">pequeno e</w:t>
      </w:r>
      <w:r>
        <w:t xml:space="preserve"> </w:t>
      </w:r>
      <m:oMath>
        <m:r>
          <m:t>w</m:t>
        </m:r>
        <m:r>
          <m:rPr>
            <m:sty m:val="p"/>
          </m:rPr>
          <m:t>(</m:t>
        </m:r>
        <m:r>
          <m:t>p</m:t>
        </m:r>
        <m:r>
          <m:rPr>
            <m:sty m:val="p"/>
          </m:rPr>
          <m:t>)</m:t>
        </m:r>
        <m:r>
          <m:rPr>
            <m:sty m:val="p"/>
          </m:rPr>
          <m:t>&lt;</m:t>
        </m:r>
        <m:r>
          <m:t>p</m:t>
        </m:r>
      </m:oMath>
      <w:r>
        <w:t xml:space="preserve"> </w:t>
      </w:r>
      <w:r>
        <w:t xml:space="preserve">para</w:t>
      </w:r>
      <w:r>
        <w:t xml:space="preserve"> </w:t>
      </w:r>
      <m:oMath>
        <m:r>
          <m:t>p</m:t>
        </m:r>
      </m:oMath>
      <w:r>
        <w:t xml:space="preserve"> </w:t>
      </w:r>
      <w:r>
        <w:t xml:space="preserve">grande.</w:t>
      </w:r>
      <w:r>
        <w:t xml:space="preserve"> </w:t>
      </w:r>
      <w:r>
        <w:rPr>
          <w:b/>
          <w:bCs/>
        </w:rPr>
        <w:t xml:space="preserve">(a)</w:t>
      </w:r>
      <w:r>
        <w:t xml:space="preserve"> </w:t>
      </w:r>
      <w:r>
        <w:t xml:space="preserve">Mostre que, para perdas pequenas com probabilidade pequena (</w:t>
      </w:r>
      <m:oMath>
        <m:r>
          <m:t>p</m:t>
        </m:r>
        <m:r>
          <m:rPr>
            <m:sty m:val="p"/>
          </m:rPr>
          <m:t>→</m:t>
        </m:r>
        <m:r>
          <m:t>0</m:t>
        </m:r>
      </m:oMath>
      <w:r>
        <w:t xml:space="preserve">,</w:t>
      </w:r>
      <w:r>
        <w:t xml:space="preserve"> </w:t>
      </w:r>
      <m:oMath>
        <m:r>
          <m:t>L</m:t>
        </m:r>
      </m:oMath>
      <w:r>
        <w:t xml:space="preserve"> </w:t>
      </w:r>
      <w:r>
        <w:t xml:space="preserve">moderado), o agente</w:t>
      </w:r>
      <w:r>
        <w:t xml:space="preserve"> </w:t>
      </w:r>
      <w:r>
        <w:rPr>
          <w:b/>
          <w:bCs/>
        </w:rPr>
        <w:t xml:space="preserve">sobre-segura</w:t>
      </w:r>
      <w:r>
        <w:t xml:space="preserve"> </w:t>
      </w:r>
      <w:r>
        <w:t xml:space="preserve">— isto é, compra mais do que a cobertura completa seria necessária ou está disposto a pagar prêmio acima do atuarialmente justo.</w:t>
      </w:r>
      <w:r>
        <w:t xml:space="preserve"> </w:t>
      </w:r>
      <w:r>
        <w:rPr>
          <w:b/>
          <w:bCs/>
        </w:rPr>
        <w:t xml:space="preserve">(b)</w:t>
      </w:r>
      <w:r>
        <w:t xml:space="preserve"> </w:t>
      </w:r>
      <w:r>
        <w:t xml:space="preserve">Mostre que, para perdas catastróficas com probabilidade pequena (</w:t>
      </w:r>
      <m:oMath>
        <m:r>
          <m:t>p</m:t>
        </m:r>
      </m:oMath>
      <w:r>
        <w:t xml:space="preserve"> </w:t>
      </w:r>
      <w:r>
        <w:t xml:space="preserve">pequeno,</w:t>
      </w:r>
      <w:r>
        <w:t xml:space="preserve"> </w:t>
      </w:r>
      <m:oMath>
        <m:r>
          <m:t>L</m:t>
        </m:r>
        <m:r>
          <m:rPr>
            <m:sty m:val="p"/>
          </m:rPr>
          <m:t>→</m:t>
        </m:r>
        <m:r>
          <m:t>W</m:t>
        </m:r>
      </m:oMath>
      <w:r>
        <w:t xml:space="preserve">), a interação entre</w:t>
      </w:r>
      <w:r>
        <w:t xml:space="preserve"> </w:t>
      </w:r>
      <m:oMath>
        <m:r>
          <m:t>λ</m:t>
        </m:r>
      </m:oMath>
      <w:r>
        <w:t xml:space="preserve"> </w:t>
      </w:r>
      <w:r>
        <w:t xml:space="preserve">e</w:t>
      </w:r>
      <w:r>
        <w:t xml:space="preserve"> </w:t>
      </w:r>
      <m:oMath>
        <m:r>
          <m:t>w</m:t>
        </m:r>
        <m:r>
          <m:rPr>
            <m:sty m:val="p"/>
          </m:rPr>
          <m:t>(</m:t>
        </m:r>
        <m:r>
          <m:t>p</m:t>
        </m:r>
        <m:r>
          <m:rPr>
            <m:sty m:val="p"/>
          </m:rPr>
          <m:t>)</m:t>
        </m:r>
      </m:oMath>
      <w:r>
        <w:t xml:space="preserve"> </w:t>
      </w:r>
      <w:r>
        <w:t xml:space="preserve">pode gerar</w:t>
      </w:r>
      <w:r>
        <w:t xml:space="preserve"> </w:t>
      </w:r>
      <w:r>
        <w:rPr>
          <w:b/>
          <w:bCs/>
        </w:rPr>
        <w:t xml:space="preserve">sub-seguro</w:t>
      </w:r>
      <w:r>
        <w:t xml:space="preserve"> </w:t>
      </w:r>
      <w:r>
        <w:t xml:space="preserve">— o agente rejeita cobertura mesmo a preço justo. Interprete a diferença entre os dois resultados.</w:t>
      </w:r>
    </w:p>
    <w:p>
      <w:pPr>
        <w:pStyle w:val="BodyText"/>
      </w:pPr>
      <w:r>
        <w:t xml:space="preserve">Ver solução (Cap. 8)</w:t>
      </w:r>
    </w:p>
    <w:p>
      <w:r>
        <w:pict>
          <v:rect style="width:0;height:1.5pt" o:hralign="center" o:hrstd="t" o:hr="t"/>
        </w:pict>
      </w:r>
    </w:p>
    <w:bookmarkEnd w:id="408"/>
    <w:bookmarkStart w:id="409" w:name="vem-anpec-6"/>
    <w:p>
      <w:pPr>
        <w:pStyle w:val="Heading3"/>
      </w:pPr>
      <w:r>
        <w:t xml:space="preserve">Vem, ANPEC!</w:t>
      </w:r>
    </w:p>
    <w:p>
      <w:pPr>
        <w:pStyle w:val="BlockText"/>
      </w:pPr>
      <w:r>
        <w:rPr>
          <w:b/>
          <w:bCs/>
        </w:rPr>
        <w:t xml:space="preserve">[INFORMACAO] Nota sobre questões ANPEC</w:t>
      </w:r>
    </w:p>
    <w:p>
      <w:pPr>
        <w:pStyle w:val="BlockText"/>
      </w:pPr>
      <w:r>
        <w:t xml:space="preserve">A economia comportamental é um campo relativamente recente na microeconomia e, até o momento,</w:t>
      </w:r>
      <w:r>
        <w:t xml:space="preserve"> </w:t>
      </w:r>
      <w:r>
        <w:rPr>
          <w:b/>
          <w:bCs/>
        </w:rPr>
        <w:t xml:space="preserve">não aparece como tópico explícito nas provas da ANPEC de Microeconomia</w:t>
      </w:r>
      <w:r>
        <w:t xml:space="preserve"> </w:t>
      </w:r>
      <w:r>
        <w:t xml:space="preserve">(período 2010–2025). As questões de decisão sob incerteza na ANPEC concentram-se na teoria da utilidade esperada, aversão ao risco e equivalente de certeza — temas tratados no Capítulo 7. As questões a seguir são elaboradas no</w:t>
      </w:r>
      <w:r>
        <w:t xml:space="preserve"> </w:t>
      </w:r>
      <w:r>
        <w:rPr>
          <w:b/>
          <w:bCs/>
        </w:rPr>
        <w:t xml:space="preserve">estilo ANPEC</w:t>
      </w:r>
      <w:r>
        <w:t xml:space="preserve"> </w:t>
      </w:r>
      <w:r>
        <w:t xml:space="preserve">para fins de preparação, caso o tema venha a ser cobrado.</w:t>
      </w:r>
    </w:p>
    <w:p>
      <w:pPr>
        <w:pStyle w:val="BlockText"/>
      </w:pPr>
      <w:r>
        <w:rPr>
          <w:b/>
          <w:bCs/>
        </w:rPr>
        <w:t xml:space="preserve">[QUESTAO] ANPEC (estilo) — Teoria do Prospecto e função valor</w:t>
      </w:r>
    </w:p>
    <w:p>
      <w:pPr>
        <w:pStyle w:val="BlockText"/>
      </w:pPr>
      <w:r>
        <w:t xml:space="preserve">Com relação à Teoria do Prospecto de Kahneman e Tversky (1979, 1992) e à função valor, indique quais das afirmações a seguir são verdadeiras e quais são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Na Teoria do Prospecto, os agentes avaliam resultados como ganhos ou perdas relativos a um ponto de referência, e não em termos de riqueza final — o que implica que dois indivíduos com a mesma riqueza total podem tomar decisões diferentes dependendo de suas trajetórias prévias.</w:t>
            </w:r>
          </w:p>
        </w:tc>
      </w:tr>
      <w:tr>
        <w:tc>
          <w:tcPr/>
          <w:p>
            <w:pPr>
              <w:pStyle w:val="Compact"/>
            </w:pPr>
            <w:r>
              <w:t xml:space="preserve">1</w:t>
            </w:r>
          </w:p>
        </w:tc>
        <w:tc>
          <w:tcPr/>
          <w:p>
            <w:pPr>
              <w:pStyle w:val="Compact"/>
            </w:pPr>
            <w:r>
              <w:t xml:space="preserve">A aversão à perda e a aversão ao risco são conceitos equivalentes: ambas decorrem da concavidade da função de utilidade sobre a riqueza.</w:t>
            </w:r>
          </w:p>
        </w:tc>
      </w:tr>
      <w:tr>
        <w:tc>
          <w:tcPr/>
          <w:p>
            <w:pPr>
              <w:pStyle w:val="Compact"/>
            </w:pPr>
            <w:r>
              <w:t xml:space="preserve">2</w:t>
            </w:r>
          </w:p>
        </w:tc>
        <w:tc>
          <w:tcPr/>
          <w:p>
            <w:pPr>
              <w:pStyle w:val="Compact"/>
            </w:pPr>
            <w:r>
              <w:t xml:space="preserve">A função valor da Teoria do Prospecto é côncava para ganhos e convexa para perdas, o que implica que os agentes são avessos ao risco no domínio dos ganhos e propensos ao risco no domínio das perdas.</w:t>
            </w:r>
          </w:p>
        </w:tc>
      </w:tr>
      <w:tr>
        <w:tc>
          <w:tcPr/>
          <w:p>
            <w:pPr>
              <w:pStyle w:val="Compact"/>
            </w:pPr>
            <w:r>
              <w:t xml:space="preserve">3</w:t>
            </w:r>
          </w:p>
        </w:tc>
        <w:tc>
          <w:tcPr/>
          <w:p>
            <w:pPr>
              <w:pStyle w:val="Compact"/>
            </w:pPr>
            <w:r>
              <w:t xml:space="preserve">A função de ponderação de probabilidades</w:t>
            </w:r>
            <w:r>
              <w:t xml:space="preserve"> </w:t>
            </w:r>
            <m:oMath>
              <m:r>
                <m:t>w</m:t>
              </m:r>
              <m:r>
                <m:rPr>
                  <m:sty m:val="p"/>
                </m:rPr>
                <m:t>(</m:t>
              </m:r>
              <m:r>
                <m:t>p</m:t>
              </m:r>
              <m:r>
                <m:rPr>
                  <m:sty m:val="p"/>
                </m:rPr>
                <m:t>)</m:t>
              </m:r>
            </m:oMath>
            <w:r>
              <w:t xml:space="preserve"> </w:t>
            </w:r>
            <w:r>
              <w:t xml:space="preserve">na Teoria do Prospecto é linear, preservando a propriedade de que uma probabilidade de 10% recebe exatamente um décimo do peso de um evento certo.</w:t>
            </w:r>
          </w:p>
        </w:tc>
      </w:tr>
      <w:tr>
        <w:tc>
          <w:tcPr/>
          <w:p>
            <w:pPr>
              <w:pStyle w:val="Compact"/>
            </w:pPr>
            <w:r>
              <w:t xml:space="preserve">4</w:t>
            </w:r>
          </w:p>
        </w:tc>
        <w:tc>
          <w:tcPr/>
          <w:p>
            <w:pPr>
              <w:pStyle w:val="Compact"/>
            </w:pPr>
            <w:r>
              <w:t xml:space="preserve">Considere a função valor paramétrica</w:t>
            </w:r>
            <w:r>
              <w:t xml:space="preserve"> </w:t>
            </w:r>
            <m:oMath>
              <m:r>
                <m:t>v</m:t>
              </m:r>
              <m:r>
                <m:rPr>
                  <m:sty m:val="p"/>
                </m:rPr>
                <m:t>(</m:t>
              </m:r>
              <m:r>
                <m:t>x</m:t>
              </m:r>
              <m:r>
                <m:rPr>
                  <m:sty m:val="p"/>
                </m:rPr>
                <m:t>)</m:t>
              </m:r>
              <m:r>
                <m:rPr>
                  <m:sty m:val="p"/>
                </m:rPr>
                <m:t>=</m:t>
              </m:r>
              <m:sSup>
                <m:e>
                  <m:r>
                    <m:t>x</m:t>
                  </m:r>
                </m:e>
                <m:sup>
                  <m:r>
                    <m:t>α</m:t>
                  </m:r>
                </m:sup>
              </m:sSup>
            </m:oMath>
            <w:r>
              <w:t xml:space="preserve"> </w:t>
            </w:r>
            <w:r>
              <w:t xml:space="preserve">para</w:t>
            </w:r>
            <w:r>
              <w:t xml:space="preserve"> </w:t>
            </w:r>
            <m:oMath>
              <m:r>
                <m:t>x</m:t>
              </m:r>
              <m:r>
                <m:rPr>
                  <m:sty m:val="p"/>
                </m:rPr>
                <m:t>≥</m:t>
              </m:r>
              <m:r>
                <m:t>0</m:t>
              </m:r>
            </m:oMath>
            <w:r>
              <w:t xml:space="preserve"> </w:t>
            </w:r>
            <w:r>
              <w:t xml:space="preserve">e</w:t>
            </w:r>
            <w:r>
              <w:t xml:space="preserve"> </w:t>
            </w:r>
            <m:oMath>
              <m:r>
                <m:t>v</m:t>
              </m:r>
              <m:r>
                <m:rPr>
                  <m:sty m:val="p"/>
                </m:rPr>
                <m:t>(</m:t>
              </m:r>
              <m:r>
                <m:t>x</m:t>
              </m:r>
              <m:r>
                <m:rPr>
                  <m:sty m:val="p"/>
                </m:rPr>
                <m:t>)</m:t>
              </m:r>
              <m:r>
                <m:rPr>
                  <m:sty m:val="p"/>
                </m:rPr>
                <m:t>=</m:t>
              </m:r>
              <m:r>
                <m:rPr>
                  <m:sty m:val="p"/>
                </m:rPr>
                <m:t>−</m:t>
              </m:r>
              <m:r>
                <m:t>λ</m:t>
              </m:r>
              <m:r>
                <m:rPr>
                  <m:sty m:val="p"/>
                </m:rPr>
                <m:t>(</m:t>
              </m:r>
              <m:r>
                <m:rPr>
                  <m:sty m:val="p"/>
                </m:rPr>
                <m:t>−</m:t>
              </m:r>
              <m:r>
                <m:t>x</m:t>
              </m:r>
              <m:sSup>
                <m:e>
                  <m:r>
                    <m:rPr>
                      <m:sty m:val="p"/>
                    </m:rPr>
                    <m:t>)</m:t>
                  </m:r>
                </m:e>
                <m:sup>
                  <m:r>
                    <m:t>β</m:t>
                  </m:r>
                </m:sup>
              </m:sSup>
            </m:oMath>
            <w:r>
              <w:t xml:space="preserve"> </w:t>
            </w:r>
            <w:r>
              <w:t xml:space="preserve">para</w:t>
            </w:r>
            <w:r>
              <w:t xml:space="preserve"> </w:t>
            </w:r>
            <m:oMath>
              <m:r>
                <m:t>x</m:t>
              </m:r>
              <m:r>
                <m:rPr>
                  <m:sty m:val="p"/>
                </m:rPr>
                <m:t>&lt;</m:t>
              </m:r>
              <m:r>
                <m:t>0</m:t>
              </m:r>
            </m:oMath>
            <w:r>
              <w:t xml:space="preserve">, com</w:t>
            </w:r>
            <w:r>
              <w:t xml:space="preserve"> </w:t>
            </w:r>
            <m:oMath>
              <m:r>
                <m:t>α</m:t>
              </m:r>
              <m:r>
                <m:rPr>
                  <m:sty m:val="p"/>
                </m:rPr>
                <m:t>=</m:t>
              </m:r>
              <m:r>
                <m:t>β</m:t>
              </m:r>
              <m:r>
                <m:rPr>
                  <m:sty m:val="p"/>
                </m:rPr>
                <m:t>=</m:t>
              </m:r>
              <m:r>
                <m:t>0</m:t>
              </m:r>
              <m:r>
                <m:rPr>
                  <m:sty m:val="p"/>
                </m:rPr>
                <m:t>,</m:t>
              </m:r>
              <m:r>
                <m:t>88</m:t>
              </m:r>
            </m:oMath>
            <w:r>
              <w:t xml:space="preserve"> </w:t>
            </w:r>
            <w:r>
              <w:t xml:space="preserve">e</w:t>
            </w:r>
            <w:r>
              <w:t xml:space="preserve"> </w:t>
            </w:r>
            <m:oMath>
              <m:r>
                <m:t>λ</m:t>
              </m:r>
              <m:r>
                <m:rPr>
                  <m:sty m:val="p"/>
                </m:rPr>
                <m:t>=</m:t>
              </m:r>
              <m:r>
                <m:t>2</m:t>
              </m:r>
              <m:r>
                <m:rPr>
                  <m:sty m:val="p"/>
                </m:rPr>
                <m:t>,</m:t>
              </m:r>
              <m:r>
                <m:t>25</m:t>
              </m:r>
            </m:oMath>
            <w:r>
              <w:t xml:space="preserve">. Se um agente enfrenta uma aposta simétrica de 50% de ganhar R$ 100 e 50% de perder R$ 100, o valor subjetivo esperado dessa aposta (usando probabilidades não distorcidas) é negativo.</w:t>
            </w:r>
          </w:p>
        </w:tc>
      </w:tr>
    </w:tbl>
    <w:p>
      <w:pPr>
        <w:pStyle w:val="BlockText"/>
      </w:pPr>
      <w:r>
        <w:t xml:space="preserve">??? success</w:t>
      </w:r>
      <w:r>
        <w:t xml:space="preserve"> </w:t>
      </w:r>
      <w:r>
        <w:t xml:space="preserve">“Gabarito”</w:t>
      </w:r>
      <w:r>
        <w:t xml:space="preserve"> </w:t>
      </w:r>
      <w:r>
        <w:rPr>
          <w:b/>
          <w:bCs/>
        </w:rPr>
        <w:t xml:space="preserve">Respostas: V F V F V</w:t>
      </w:r>
    </w:p>
    <w:p>
      <w:pPr>
        <w:pStyle w:val="SourceCode"/>
      </w:pPr>
      <w:r>
        <w:rPr>
          <w:rStyle w:val="VerbatimChar"/>
        </w:rPr>
        <w:t xml:space="preserve">**Justificativa por item:**</w:t>
      </w:r>
      <w:r>
        <w:br/>
      </w:r>
      <w:r>
        <w:br/>
      </w:r>
      <w:r>
        <w:rPr>
          <w:rStyle w:val="VerbatimChar"/>
        </w:rPr>
        <w:t xml:space="preserve">- **Item 0 — V:** A **dependência de referência** é uma das três propriedades fundamentais da função valor (Seção 8.2.2). O portador de valor é a variação $x$ em relação ao ponto de referência (*status quo*), não o nível absoluto de riqueza. Dois indivíduos com riqueza idêntica, mas pontos de referência distintos (por exemplo, um que ganhou e outro que perdeu para chegar àquele nível), avaliarão as mesmas opções de forma diferente.</w:t>
      </w:r>
      <w:r>
        <w:br/>
      </w:r>
      <w:r>
        <w:rPr>
          <w:rStyle w:val="VerbatimChar"/>
        </w:rPr>
        <w:t xml:space="preserve">- **Item 1 — F:** Aversão à perda e aversão ao risco são conceitos distintos (Seção 8.2.2, box "Cuidado"). A **aversão ao risco** decorre da concavidade da função de utilidade sobre a riqueza e descreve a preferência por um resultado certo sobre uma aposta de mesmo valor esperado. A **aversão à perda** é a assimetria $\lambda &gt; 1$ na função valor: $|v(-x)| &gt; v(x)$. Um agente pode ser neutro ao risco (função valor linear) e ainda assim ser avesso à perda.</w:t>
      </w:r>
      <w:r>
        <w:br/>
      </w:r>
      <w:r>
        <w:rPr>
          <w:rStyle w:val="VerbatimChar"/>
        </w:rPr>
        <w:t xml:space="preserve">- **Item 2 — V:** A concavidade para ganhos implica sensibilidade decrescente e aversão ao risco nesse domínio; a convexidade para perdas implica sensibilidade decrescente e propensão ao risco no domínio das perdas. Esse é o **efeito reflexão** documentado por Kahneman e Tversky: no domínio dos ganhos, as pessoas preferem o certo; no das perdas, preferem arriscar para tentar evitar a perda (Seção 8.2.2).</w:t>
      </w:r>
      <w:r>
        <w:br/>
      </w:r>
      <w:r>
        <w:rPr>
          <w:rStyle w:val="VerbatimChar"/>
        </w:rPr>
        <w:t xml:space="preserve">- **Item 3 — F:** A função de ponderação $w(p)$ tem formato de S invertido (Equação 8.2, Seção 8.2.3). Probabilidades pequenas são **sobrevalorizadas** ($w(p) &gt; p$ para $p$ pequeno) e probabilidades altas são **subvalorizadas** ($w(p) &lt; p$ para $p$ grande). Essa não linearidade é justamente o que diferencia a Teoria do Prospecto da utilidade esperada no tratamento das probabilidades.</w:t>
      </w:r>
      <w:r>
        <w:br/>
      </w:r>
      <w:r>
        <w:rPr>
          <w:rStyle w:val="VerbatimChar"/>
        </w:rPr>
        <w:t xml:space="preserve">- **Item 4 — V:** Com $\alpha = \beta = 0{,}88$ e $\lambda = 2{,}25$: $v(100) = 100^{0{,}88} \approx 57{,}54$ e $v(-100) = -2{,}25 \times 100^{0{,}88} \approx -129{,}47$. O valor subjetivo esperado (sem distorção de probabilidades) é $0{,}5 \times 57{,}54 + 0{,}5 \times (-129{,}47) = 28{,}77 - 64{,}74 = -35{,}97 &lt; 0$. A aversão à perda torna a aposta subjetivamente negativa, embora seu valor esperado monetário seja zero — por isso a maioria das pessoas recusa apostas simétricas (Exercício Resolvido 8.1).</w:t>
      </w:r>
    </w:p>
    <w:p>
      <w:pPr>
        <w:pStyle w:val="BlockText"/>
      </w:pPr>
      <w:r>
        <w:rPr>
          <w:b/>
          <w:bCs/>
        </w:rPr>
        <w:t xml:space="preserve">[QUESTAO] ANPEC (estilo) — Vieses cognitivos e efeitos comportamentais</w:t>
      </w:r>
    </w:p>
    <w:p>
      <w:pPr>
        <w:pStyle w:val="BlockText"/>
      </w:pPr>
      <w:r>
        <w:t xml:space="preserve">Considere os vieses cognitivos e os efeitos comportamentais discutidos na economia comportamental. Indique quais das afirmações a seguir são verdadeiras e quais são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A</w:t>
            </w:r>
            <w:r>
              <w:t xml:space="preserve"> </w:t>
            </w:r>
            <w:r>
              <w:rPr>
                <w:b/>
                <w:bCs/>
              </w:rPr>
              <w:t xml:space="preserve">ancoragem</w:t>
            </w:r>
            <w:r>
              <w:t xml:space="preserve"> </w:t>
            </w:r>
            <w:r>
              <w:t xml:space="preserve">é o viés pelo qual um valor inicial — mesmo que arbitrário e irrelevante para a decisão — influencia sistematicamente a estimativa final, como demonstrado no experimento da roda da fortuna de Tversky e Kahneman (1974).</w:t>
            </w:r>
          </w:p>
        </w:tc>
      </w:tr>
      <w:tr>
        <w:tc>
          <w:tcPr/>
          <w:p>
            <w:pPr>
              <w:pStyle w:val="Compact"/>
            </w:pPr>
            <w:r>
              <w:t xml:space="preserve">1</w:t>
            </w:r>
          </w:p>
        </w:tc>
        <w:tc>
          <w:tcPr/>
          <w:p>
            <w:pPr>
              <w:pStyle w:val="Compact"/>
            </w:pPr>
            <w:r>
              <w:t xml:space="preserve">O</w:t>
            </w:r>
            <w:r>
              <w:t xml:space="preserve"> </w:t>
            </w:r>
            <w:r>
              <w:rPr>
                <w:b/>
                <w:bCs/>
              </w:rPr>
              <w:t xml:space="preserve">efeito framing</w:t>
            </w:r>
            <w:r>
              <w:t xml:space="preserve"> </w:t>
            </w:r>
            <w:r>
              <w:t xml:space="preserve">viola o axioma da invariância das preferências: no experimento das</w:t>
            </w:r>
            <w:r>
              <w:t xml:space="preserve"> </w:t>
            </w:r>
            <w:r>
              <w:t xml:space="preserve">“doenças asiáticas”</w:t>
            </w:r>
            <w:r>
              <w:t xml:space="preserve"> </w:t>
            </w:r>
            <w:r>
              <w:t xml:space="preserve">de Tversky e Kahneman (1981), a maioria dos participantes escolheu a opção certa (avessa ao risco) quando o problema foi enquadrado em termos de vidas salvas, mas escolheu a opção arriscada quando o mesmo problema foi enquadrado em termos de mortes.</w:t>
            </w:r>
          </w:p>
        </w:tc>
      </w:tr>
      <w:tr>
        <w:tc>
          <w:tcPr/>
          <w:p>
            <w:pPr>
              <w:pStyle w:val="Compact"/>
            </w:pPr>
            <w:r>
              <w:t xml:space="preserve">2</w:t>
            </w:r>
          </w:p>
        </w:tc>
        <w:tc>
          <w:tcPr/>
          <w:p>
            <w:pPr>
              <w:pStyle w:val="Compact"/>
            </w:pPr>
            <w:r>
              <w:t xml:space="preserve">O</w:t>
            </w:r>
            <w:r>
              <w:t xml:space="preserve"> </w:t>
            </w:r>
            <w:r>
              <w:rPr>
                <w:b/>
                <w:bCs/>
              </w:rPr>
              <w:t xml:space="preserve">viés do</w:t>
            </w:r>
            <w:r>
              <w:rPr>
                <w:b/>
                <w:bCs/>
              </w:rPr>
              <w:t xml:space="preserve"> </w:t>
            </w:r>
            <w:r>
              <w:rPr>
                <w:b/>
                <w:bCs/>
                <w:i/>
                <w:iCs/>
              </w:rPr>
              <w:t xml:space="preserve">status quo</w:t>
            </w:r>
            <w:r>
              <w:t xml:space="preserve"> </w:t>
            </w:r>
            <w:r>
              <w:t xml:space="preserve">e o</w:t>
            </w:r>
            <w:r>
              <w:t xml:space="preserve"> </w:t>
            </w:r>
            <w:r>
              <w:rPr>
                <w:b/>
                <w:bCs/>
              </w:rPr>
              <w:t xml:space="preserve">efeito dotação</w:t>
            </w:r>
            <w:r>
              <w:t xml:space="preserve"> </w:t>
            </w:r>
            <w:r>
              <w:t xml:space="preserve">são fenômenos independentes da aversão à perda: eles decorrem exclusivamente de custos de transação e assimetrias de informação, não de propriedades da função valor.</w:t>
            </w:r>
          </w:p>
        </w:tc>
      </w:tr>
      <w:tr>
        <w:tc>
          <w:tcPr/>
          <w:p>
            <w:pPr>
              <w:pStyle w:val="Compact"/>
            </w:pPr>
            <w:r>
              <w:t xml:space="preserve">3</w:t>
            </w:r>
          </w:p>
        </w:tc>
        <w:tc>
          <w:tcPr/>
          <w:p>
            <w:pPr>
              <w:pStyle w:val="Compact"/>
            </w:pPr>
            <w:r>
              <w:t xml:space="preserve">A</w:t>
            </w:r>
            <w:r>
              <w:t xml:space="preserve"> </w:t>
            </w:r>
            <w:r>
              <w:rPr>
                <w:b/>
                <w:bCs/>
              </w:rPr>
              <w:t xml:space="preserve">contabilidade mental</w:t>
            </w:r>
            <w:r>
              <w:t xml:space="preserve"> </w:t>
            </w:r>
            <w:r>
              <w:t xml:space="preserve">implica que os agentes tratam o dinheiro como perfeitamente fungível, avaliando cada decisão financeira em relação ao orçamento total, conforme prevê a teoria neoclássica.</w:t>
            </w:r>
          </w:p>
        </w:tc>
      </w:tr>
      <w:tr>
        <w:tc>
          <w:tcPr/>
          <w:p>
            <w:pPr>
              <w:pStyle w:val="Compact"/>
            </w:pPr>
            <w:r>
              <w:t xml:space="preserve">4</w:t>
            </w:r>
          </w:p>
        </w:tc>
        <w:tc>
          <w:tcPr/>
          <w:p>
            <w:pPr>
              <w:pStyle w:val="Compact"/>
            </w:pPr>
            <w:r>
              <w:t xml:space="preserve">No contexto de negociações, a ancoragem implica que quem faz a primeira oferta pode capturar uma parcela maior do excedente — não porque a oferta inicial seja mais informativa, mas porque serve de âncora para o processo de ajuste subsequente das partes.</w:t>
            </w:r>
          </w:p>
        </w:tc>
      </w:tr>
    </w:tbl>
    <w:p>
      <w:pPr>
        <w:pStyle w:val="BlockText"/>
      </w:pPr>
      <w:r>
        <w:t xml:space="preserve">??? success</w:t>
      </w:r>
      <w:r>
        <w:t xml:space="preserve"> </w:t>
      </w:r>
      <w:r>
        <w:t xml:space="preserve">“Gabarito”</w:t>
      </w:r>
      <w:r>
        <w:t xml:space="preserve"> </w:t>
      </w:r>
      <w:r>
        <w:rPr>
          <w:b/>
          <w:bCs/>
        </w:rPr>
        <w:t xml:space="preserve">Respostas: V V F F V</w:t>
      </w:r>
    </w:p>
    <w:p>
      <w:pPr>
        <w:pStyle w:val="SourceCode"/>
      </w:pPr>
      <w:r>
        <w:rPr>
          <w:rStyle w:val="VerbatimChar"/>
        </w:rPr>
        <w:t xml:space="preserve">**Justificativa por item:**</w:t>
      </w:r>
      <w:r>
        <w:br/>
      </w:r>
      <w:r>
        <w:br/>
      </w:r>
      <w:r>
        <w:rPr>
          <w:rStyle w:val="VerbatimChar"/>
        </w:rPr>
        <w:t xml:space="preserve">- **Item 0 — V:** A ancoragem é uma das três heurísticas fundamentais identificadas por Tversky e Kahneman (1974). No experimento da roda da fortuna, participantes que viram o número 10 estimaram a proporção de países africanos na ONU em 25%, enquanto os que viram 65 estimaram 45% — embora o número fosse gerado aleatoriamente e fosse irrelevante para a questão (Seção 8.1.3).</w:t>
      </w:r>
      <w:r>
        <w:br/>
      </w:r>
      <w:r>
        <w:rPr>
          <w:rStyle w:val="VerbatimChar"/>
        </w:rPr>
        <w:t xml:space="preserve">- **Item 1 — V:** O experimento das doenças asiáticas é o exemplo clássico do efeito framing (Seção 8.2.5). Os programas A e C são matematicamente idênticos (200 salvas = 400 morrem, de 600), assim como B e D. Mas 72% escolheram A (certeza) no frame positivo e 78% escolheram D (risco) no frame negativo, o que é consistente com a Teoria do Prospecto: aversão ao risco para ganhos e propensão ao risco para perdas.</w:t>
      </w:r>
      <w:r>
        <w:br/>
      </w:r>
      <w:r>
        <w:rPr>
          <w:rStyle w:val="VerbatimChar"/>
        </w:rPr>
        <w:t xml:space="preserve">- **Item 2 — F:** O viés do *status quo* e o efeito dotação são consequências diretas da **aversão à perda** da Teoria do Prospecto (Seções 8.2.5 e 8.6.2). Abrir mão de algo que se possui é codificado como perda, e a perda "pesa" mais do que o ganho equivalente ($\lambda &gt; 1$). O experimento das canecas de Kahneman, Knetsch e Thaler (1990) demonstrou que a simples posse mais que dobrou a valoração do objeto (WTA = US\$ 7,12 vs. WTP = US\$ 2,87), sem que houvesse custos de transação ou assimetria informacional envolvidos.</w:t>
      </w:r>
      <w:r>
        <w:br/>
      </w:r>
      <w:r>
        <w:rPr>
          <w:rStyle w:val="VerbatimChar"/>
        </w:rPr>
        <w:t xml:space="preserve">- **Item 3 — F:** A contabilidade mental descreve exatamente o oposto: os agentes **não** tratam o dinheiro como fungível (Seção 8.2.6). Thaler (1985, 1999) documentou que as pessoas segregam recursos em "contas mentais" separadas (salário, bônus, herança), e a propensão marginal a consumir difere entre essas categorias — violando a fungibilidade prevista pela teoria neoclássica.</w:t>
      </w:r>
      <w:r>
        <w:br/>
      </w:r>
      <w:r>
        <w:rPr>
          <w:rStyle w:val="VerbatimChar"/>
        </w:rPr>
        <w:t xml:space="preserve">- **Item 4 — V:** A ancoragem em negociações é discutida na Seção 8.1.3. Estudos mostram que o preço de listagem de imóveis funciona como âncora mesmo para avaliadores profissionais (Northcraft e Neale 1987). A primeira oferta em uma negociação "ancora" o processo de ajuste, afetando o resultado final independentemente das posições de reserva objetivas.</w:t>
      </w:r>
    </w:p>
    <w:p>
      <w:pPr>
        <w:pStyle w:val="BlockText"/>
      </w:pPr>
      <w:r>
        <w:rPr>
          <w:b/>
          <w:bCs/>
        </w:rPr>
        <w:t xml:space="preserve">[QUESTAO] ANPEC (estilo) — Desconto hiperbólico e inconsistência temporal</w:t>
      </w:r>
    </w:p>
    <w:p>
      <w:pPr>
        <w:pStyle w:val="BlockText"/>
      </w:pPr>
      <w:r>
        <w:t xml:space="preserve">Com relação ao desconto intertemporal e à inconsistência temporal, indique quais das afirmações a seguir são verdadeiras e quais são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No modelo de desconto exponencial (Samuelson 1937), a taxa de desconto entre dois períodos consecutivos é constante, o que garante a</w:t>
            </w:r>
            <w:r>
              <w:t xml:space="preserve"> </w:t>
            </w:r>
            <w:r>
              <w:rPr>
                <w:b/>
                <w:bCs/>
              </w:rPr>
              <w:t xml:space="preserve">consistência temporal</w:t>
            </w:r>
            <w:r>
              <w:t xml:space="preserve">: se um agente prefere a opção A à B quando ambas estão no futuro distante, essa preferência se mantém quando o momento da decisão se aproxima.</w:t>
            </w:r>
          </w:p>
        </w:tc>
      </w:tr>
      <w:tr>
        <w:tc>
          <w:tcPr/>
          <w:p>
            <w:pPr>
              <w:pStyle w:val="Compact"/>
            </w:pPr>
            <w:r>
              <w:t xml:space="preserve">1</w:t>
            </w:r>
          </w:p>
        </w:tc>
        <w:tc>
          <w:tcPr/>
          <w:p>
            <w:pPr>
              <w:pStyle w:val="Compact"/>
            </w:pPr>
            <w:r>
              <w:t xml:space="preserve">No modelo de desconto quasi-hiperbólico</w:t>
            </w:r>
            <w:r>
              <w:t xml:space="preserve"> </w:t>
            </w:r>
            <m:oMath>
              <m:r>
                <m:rPr>
                  <m:sty m:val="p"/>
                </m:rPr>
                <m:t>(</m:t>
              </m:r>
              <m:r>
                <m:t>β</m:t>
              </m:r>
              <m:r>
                <m:rPr>
                  <m:sty m:val="p"/>
                </m:rPr>
                <m:t>,</m:t>
              </m:r>
              <m:r>
                <m:t>δ</m:t>
              </m:r>
              <m:r>
                <m:rPr>
                  <m:sty m:val="p"/>
                </m:rPr>
                <m:t>)</m:t>
              </m:r>
            </m:oMath>
            <w:r>
              <w:t xml:space="preserve">, com</w:t>
            </w:r>
            <w:r>
              <w:t xml:space="preserve"> </w:t>
            </w:r>
            <m:oMath>
              <m:r>
                <m:t>β</m:t>
              </m:r>
              <m:r>
                <m:rPr>
                  <m:sty m:val="p"/>
                </m:rPr>
                <m:t>=</m:t>
              </m:r>
              <m:r>
                <m:t>0</m:t>
              </m:r>
              <m:r>
                <m:rPr>
                  <m:sty m:val="p"/>
                </m:rPr>
                <m:t>,</m:t>
              </m:r>
              <m:r>
                <m:t>70</m:t>
              </m:r>
            </m:oMath>
            <w:r>
              <w:t xml:space="preserve"> </w:t>
            </w:r>
            <w:r>
              <w:t xml:space="preserve">e</w:t>
            </w:r>
            <w:r>
              <w:t xml:space="preserve"> </w:t>
            </w:r>
            <m:oMath>
              <m:r>
                <m:t>δ</m:t>
              </m:r>
              <m:r>
                <m:rPr>
                  <m:sty m:val="p"/>
                </m:rPr>
                <m:t>=</m:t>
              </m:r>
              <m:r>
                <m:t>0</m:t>
              </m:r>
              <m:r>
                <m:rPr>
                  <m:sty m:val="p"/>
                </m:rPr>
                <m:t>,</m:t>
              </m:r>
              <m:r>
                <m:t>95</m:t>
              </m:r>
            </m:oMath>
            <w:r>
              <w:t xml:space="preserve">, o fator de desconto entre</w:t>
            </w:r>
            <w:r>
              <w:t xml:space="preserve"> </w:t>
            </w:r>
            <m:oMath>
              <m:r>
                <m:t>t</m:t>
              </m:r>
              <m:r>
                <m:rPr>
                  <m:sty m:val="p"/>
                </m:rPr>
                <m:t>=</m:t>
              </m:r>
              <m:r>
                <m:t>0</m:t>
              </m:r>
            </m:oMath>
            <w:r>
              <w:t xml:space="preserve"> </w:t>
            </w:r>
            <w:r>
              <w:t xml:space="preserve">e</w:t>
            </w:r>
            <w:r>
              <w:t xml:space="preserve"> </w:t>
            </w:r>
            <m:oMath>
              <m:r>
                <m:t>t</m:t>
              </m:r>
              <m:r>
                <m:rPr>
                  <m:sty m:val="p"/>
                </m:rPr>
                <m:t>=</m:t>
              </m:r>
              <m:r>
                <m:t>1</m:t>
              </m:r>
            </m:oMath>
            <w:r>
              <w:t xml:space="preserve"> </w:t>
            </w:r>
            <w:r>
              <w:t xml:space="preserve">é</w:t>
            </w:r>
            <w:r>
              <w:t xml:space="preserve"> </w:t>
            </w:r>
            <m:oMath>
              <m:r>
                <m:t>β</m:t>
              </m:r>
              <m:r>
                <m:t>δ</m:t>
              </m:r>
              <m:r>
                <m:rPr>
                  <m:sty m:val="p"/>
                </m:rPr>
                <m:t>=</m:t>
              </m:r>
              <m:r>
                <m:t>0</m:t>
              </m:r>
              <m:r>
                <m:rPr>
                  <m:sty m:val="p"/>
                </m:rPr>
                <m:t>,</m:t>
              </m:r>
              <m:r>
                <m:t>665</m:t>
              </m:r>
            </m:oMath>
            <w:r>
              <w:t xml:space="preserve">, enquanto o fator de desconto entre</w:t>
            </w:r>
            <w:r>
              <w:t xml:space="preserve"> </w:t>
            </w:r>
            <m:oMath>
              <m:r>
                <m:t>t</m:t>
              </m:r>
              <m:r>
                <m:rPr>
                  <m:sty m:val="p"/>
                </m:rPr>
                <m:t>=</m:t>
              </m:r>
              <m:r>
                <m:t>5</m:t>
              </m:r>
            </m:oMath>
            <w:r>
              <w:t xml:space="preserve"> </w:t>
            </w:r>
            <w:r>
              <w:t xml:space="preserve">e</w:t>
            </w:r>
            <w:r>
              <w:t xml:space="preserve"> </w:t>
            </w:r>
            <m:oMath>
              <m:r>
                <m:t>t</m:t>
              </m:r>
              <m:r>
                <m:rPr>
                  <m:sty m:val="p"/>
                </m:rPr>
                <m:t>=</m:t>
              </m:r>
              <m:r>
                <m:t>6</m:t>
              </m:r>
            </m:oMath>
            <w:r>
              <w:t xml:space="preserve"> </w:t>
            </w:r>
            <w:r>
              <w:t xml:space="preserve">é</w:t>
            </w:r>
            <w:r>
              <w:t xml:space="preserve"> </w:t>
            </w:r>
            <m:oMath>
              <m:r>
                <m:t>δ</m:t>
              </m:r>
              <m:r>
                <m:rPr>
                  <m:sty m:val="p"/>
                </m:rPr>
                <m:t>=</m:t>
              </m:r>
              <m:r>
                <m:t>0</m:t>
              </m:r>
              <m:r>
                <m:rPr>
                  <m:sty m:val="p"/>
                </m:rPr>
                <m:t>,</m:t>
              </m:r>
              <m:r>
                <m:t>95</m:t>
              </m:r>
            </m:oMath>
            <w:r>
              <w:t xml:space="preserve">. Essa assimetria gera o viés do presente.</w:t>
            </w:r>
          </w:p>
        </w:tc>
      </w:tr>
      <w:tr>
        <w:tc>
          <w:tcPr/>
          <w:p>
            <w:pPr>
              <w:pStyle w:val="Compact"/>
            </w:pPr>
            <w:r>
              <w:t xml:space="preserve">2</w:t>
            </w:r>
          </w:p>
        </w:tc>
        <w:tc>
          <w:tcPr/>
          <w:p>
            <w:pPr>
              <w:pStyle w:val="Compact"/>
            </w:pPr>
            <w:r>
              <w:t xml:space="preserve">Um agente com desconto quasi-hiperbólico</w:t>
            </w:r>
            <w:r>
              <w:t xml:space="preserve"> </w:t>
            </w:r>
            <m:oMath>
              <m:r>
                <m:rPr>
                  <m:sty m:val="p"/>
                </m:rPr>
                <m:t>(</m:t>
              </m:r>
              <m:r>
                <m:t>β</m:t>
              </m:r>
              <m:r>
                <m:rPr>
                  <m:sty m:val="p"/>
                </m:rPr>
                <m:t>=</m:t>
              </m:r>
              <m:r>
                <m:t>0</m:t>
              </m:r>
              <m:r>
                <m:rPr>
                  <m:sty m:val="p"/>
                </m:rPr>
                <m:t>,</m:t>
              </m:r>
              <m:r>
                <m:t>70</m:t>
              </m:r>
              <m:r>
                <m:rPr>
                  <m:sty m:val="p"/>
                </m:rPr>
                <m:t>,</m:t>
              </m:r>
              <m:r>
                <m:t> </m:t>
              </m:r>
              <m:r>
                <m:t>δ</m:t>
              </m:r>
              <m:r>
                <m:rPr>
                  <m:sty m:val="p"/>
                </m:rPr>
                <m:t>=</m:t>
              </m:r>
              <m:r>
                <m:t>0</m:t>
              </m:r>
              <m:r>
                <m:rPr>
                  <m:sty m:val="p"/>
                </m:rPr>
                <m:t>,</m:t>
              </m:r>
              <m:r>
                <m:t>95</m:t>
              </m:r>
              <m:r>
                <m:rPr>
                  <m:sty m:val="p"/>
                </m:rPr>
                <m:t>)</m:t>
              </m:r>
            </m:oMath>
            <w:r>
              <w:t xml:space="preserve"> </w:t>
            </w:r>
            <w:r>
              <w:t xml:space="preserve">e utilidade linear avalia, em</w:t>
            </w:r>
            <w:r>
              <w:t xml:space="preserve"> </w:t>
            </w:r>
            <m:oMath>
              <m:r>
                <m:t>t</m:t>
              </m:r>
              <m:r>
                <m:rPr>
                  <m:sty m:val="p"/>
                </m:rPr>
                <m:t>=</m:t>
              </m:r>
              <m:r>
                <m:t>0</m:t>
              </m:r>
            </m:oMath>
            <w:r>
              <w:t xml:space="preserve">, um pagamento de R$ 1.000 em</w:t>
            </w:r>
            <w:r>
              <w:t xml:space="preserve"> </w:t>
            </w:r>
            <m:oMath>
              <m:r>
                <m:t>t</m:t>
              </m:r>
              <m:r>
                <m:rPr>
                  <m:sty m:val="p"/>
                </m:rPr>
                <m:t>=</m:t>
              </m:r>
              <m:r>
                <m:t>1</m:t>
              </m:r>
            </m:oMath>
            <w:r>
              <w:t xml:space="preserve"> </w:t>
            </w:r>
            <w:r>
              <w:t xml:space="preserve">como equivalente a um pagamento de aproximadamente R$ 665 hoje. Contudo, ao avaliar em</w:t>
            </w:r>
            <w:r>
              <w:t xml:space="preserve"> </w:t>
            </w:r>
            <m:oMath>
              <m:r>
                <m:t>t</m:t>
              </m:r>
              <m:r>
                <m:rPr>
                  <m:sty m:val="p"/>
                </m:rPr>
                <m:t>=</m:t>
              </m:r>
              <m:r>
                <m:t>0</m:t>
              </m:r>
            </m:oMath>
            <w:r>
              <w:t xml:space="preserve"> </w:t>
            </w:r>
            <w:r>
              <w:t xml:space="preserve">dois pagamentos futuros — R$ 1.000 em</w:t>
            </w:r>
            <w:r>
              <w:t xml:space="preserve"> </w:t>
            </w:r>
            <m:oMath>
              <m:r>
                <m:t>t</m:t>
              </m:r>
              <m:r>
                <m:rPr>
                  <m:sty m:val="p"/>
                </m:rPr>
                <m:t>=</m:t>
              </m:r>
              <m:r>
                <m:t>10</m:t>
              </m:r>
            </m:oMath>
            <w:r>
              <w:t xml:space="preserve"> </w:t>
            </w:r>
            <w:r>
              <w:t xml:space="preserve">e R$ 1.000 em</w:t>
            </w:r>
            <w:r>
              <w:t xml:space="preserve"> </w:t>
            </w:r>
            <m:oMath>
              <m:r>
                <m:t>t</m:t>
              </m:r>
              <m:r>
                <m:rPr>
                  <m:sty m:val="p"/>
                </m:rPr>
                <m:t>=</m:t>
              </m:r>
              <m:r>
                <m:t>11</m:t>
              </m:r>
            </m:oMath>
            <w:r>
              <w:t xml:space="preserve"> </w:t>
            </w:r>
            <w:r>
              <w:t xml:space="preserve">—, a razão dos valores presentes é</w:t>
            </w:r>
            <w:r>
              <w:t xml:space="preserve"> </w:t>
            </w:r>
            <m:oMath>
              <m:r>
                <m:t>δ</m:t>
              </m:r>
              <m:r>
                <m:rPr>
                  <m:sty m:val="p"/>
                </m:rPr>
                <m:t>=</m:t>
              </m:r>
              <m:r>
                <m:t>0</m:t>
              </m:r>
              <m:r>
                <m:rPr>
                  <m:sty m:val="p"/>
                </m:rPr>
                <m:t>,</m:t>
              </m:r>
              <m:r>
                <m:t>95</m:t>
              </m:r>
            </m:oMath>
            <w:r>
              <w:t xml:space="preserve">, idêntica à do desconto exponencial.</w:t>
            </w:r>
          </w:p>
        </w:tc>
      </w:tr>
      <w:tr>
        <w:tc>
          <w:tcPr/>
          <w:p>
            <w:pPr>
              <w:pStyle w:val="Compact"/>
            </w:pPr>
            <w:r>
              <w:t xml:space="preserve">3</w:t>
            </w:r>
          </w:p>
        </w:tc>
        <w:tc>
          <w:tcPr/>
          <w:p>
            <w:pPr>
              <w:pStyle w:val="Compact"/>
            </w:pPr>
            <w:r>
              <w:t xml:space="preserve">A distinção entre agentes</w:t>
            </w:r>
            <w:r>
              <w:t xml:space="preserve"> </w:t>
            </w:r>
            <w:r>
              <w:rPr>
                <w:b/>
                <w:bCs/>
              </w:rPr>
              <w:t xml:space="preserve">sofisticados</w:t>
            </w:r>
            <w:r>
              <w:t xml:space="preserve"> </w:t>
            </w:r>
            <w:r>
              <w:t xml:space="preserve">e</w:t>
            </w:r>
            <w:r>
              <w:t xml:space="preserve"> </w:t>
            </w:r>
            <w:r>
              <w:rPr>
                <w:b/>
                <w:bCs/>
              </w:rPr>
              <w:t xml:space="preserve">ingênuos</w:t>
            </w:r>
            <w:r>
              <w:t xml:space="preserve"> </w:t>
            </w:r>
            <w:r>
              <w:t xml:space="preserve">é irrelevante para o desenho de políticas públicas, pois nudges como a adesão automática (</w:t>
            </w:r>
            <w:r>
              <w:rPr>
                <w:i/>
                <w:iCs/>
              </w:rPr>
              <w:t xml:space="preserve">opt-out</w:t>
            </w:r>
            <w:r>
              <w:t xml:space="preserve">) só são eficazes para agentes sofisticados que reconhecem seu viés do presente.</w:t>
            </w:r>
          </w:p>
        </w:tc>
      </w:tr>
      <w:tr>
        <w:tc>
          <w:tcPr/>
          <w:p>
            <w:pPr>
              <w:pStyle w:val="Compact"/>
            </w:pPr>
            <w:r>
              <w:t xml:space="preserve">4</w:t>
            </w:r>
          </w:p>
        </w:tc>
        <w:tc>
          <w:tcPr/>
          <w:p>
            <w:pPr>
              <w:pStyle w:val="Compact"/>
            </w:pPr>
            <w:r>
              <w:t xml:space="preserve">A demanda por</w:t>
            </w:r>
            <w:r>
              <w:t xml:space="preserve"> </w:t>
            </w:r>
            <w:r>
              <w:rPr>
                <w:b/>
                <w:bCs/>
              </w:rPr>
              <w:t xml:space="preserve">mecanismos de compromisso</w:t>
            </w:r>
            <w:r>
              <w:t xml:space="preserve"> </w:t>
            </w:r>
            <w:r>
              <w:t xml:space="preserve">— como planos de previdência com penalidade por resgate antecipado ou o programa</w:t>
            </w:r>
            <w:r>
              <w:t xml:space="preserve"> </w:t>
            </w:r>
            <w:r>
              <w:rPr>
                <w:i/>
                <w:iCs/>
              </w:rPr>
              <w:t xml:space="preserve">Save More Tomorrow</w:t>
            </w:r>
            <w:r>
              <w:t xml:space="preserve"> </w:t>
            </w:r>
            <w:r>
              <w:t xml:space="preserve">— é racional no contexto do modelo quasi-hiperbólico, pois o agente sofisticado reconhece que seu</w:t>
            </w:r>
            <w:r>
              <w:t xml:space="preserve"> </w:t>
            </w:r>
            <w:r>
              <w:t xml:space="preserve">“eu futuro”</w:t>
            </w:r>
            <w:r>
              <w:t xml:space="preserve"> </w:t>
            </w:r>
            <w:r>
              <w:t xml:space="preserve">terá viés do presente e busca restringir seu comportamento futuro.</w:t>
            </w:r>
          </w:p>
        </w:tc>
      </w:tr>
    </w:tbl>
    <w:p>
      <w:pPr>
        <w:pStyle w:val="BlockText"/>
      </w:pPr>
      <w:r>
        <w:t xml:space="preserve">??? success</w:t>
      </w:r>
      <w:r>
        <w:t xml:space="preserve"> </w:t>
      </w:r>
      <w:r>
        <w:t xml:space="preserve">“Gabarito”</w:t>
      </w:r>
      <w:r>
        <w:t xml:space="preserve"> </w:t>
      </w:r>
      <w:r>
        <w:rPr>
          <w:b/>
          <w:bCs/>
        </w:rPr>
        <w:t xml:space="preserve">Respostas: V V V F V</w:t>
      </w:r>
    </w:p>
    <w:p>
      <w:pPr>
        <w:pStyle w:val="SourceCode"/>
      </w:pPr>
      <w:r>
        <w:rPr>
          <w:rStyle w:val="VerbatimChar"/>
        </w:rPr>
        <w:t xml:space="preserve">**Justificativa por item:**</w:t>
      </w:r>
      <w:r>
        <w:br/>
      </w:r>
      <w:r>
        <w:br/>
      </w:r>
      <w:r>
        <w:rPr>
          <w:rStyle w:val="VerbatimChar"/>
        </w:rPr>
        <w:t xml:space="preserve">- **Item 0 — V:** O modelo de utilidade descontada (Equação 8.6, Seção 8.5.1) aplica o fator $\delta^t$ ao período $t$, de modo que a razão entre os fatores de desconto de dois períodos consecutivos é sempre $\delta^{t+1}/\delta^t = \delta$, constante. Essa constância garante que as preferências não se invertem com a passagem do tempo — a propriedade de consistência temporal.</w:t>
      </w:r>
      <w:r>
        <w:br/>
      </w:r>
      <w:r>
        <w:rPr>
          <w:rStyle w:val="VerbatimChar"/>
        </w:rPr>
        <w:t xml:space="preserve">- **Item 1 — V:** No modelo quasi-hiperbólico (Equação 8.7, Seção 8.5.3), o fator de desconto para $t = 1$ visto de $t = 0$ é $\beta\delta = 0{,}70 \times 0{,}95 = 0{,}665$. Para períodos futuros consecutivos ($t \geq 1$), a razão entre os fatores é $\beta\delta^{t+1}/\beta\delta^t = \delta = 0{,}95$. Assim, a transição do presente para o futuro imediato sofre um desconto desproporcionalmente grande ($\beta\delta$ vs. $\delta$), criando o viés do presente (Tabela 8.6).</w:t>
      </w:r>
      <w:r>
        <w:br/>
      </w:r>
      <w:r>
        <w:rPr>
          <w:rStyle w:val="VerbatimChar"/>
        </w:rPr>
        <w:t xml:space="preserve">- **Item 2 — V:** Em $t = 0$: $U_0(t=1) = \beta\delta \times 1000 = 0{,}665 \times 1000 = 665$. Para os pagamentos em $t = 10$ e $t = 11$: $U_0(t=10) = \beta\delta^{10} \times 1000$ e $U_0(t=11) = \beta\delta^{11} \times 1000$. A razão é $\beta\delta^{11}/\beta\delta^{10} = \delta = 0{,}95$. Dentro do futuro, o desconto relativo entre dois períodos consecutivos é idêntico ao exponencial — o viés afeta apenas a fronteira presente/futuro.</w:t>
      </w:r>
      <w:r>
        <w:br/>
      </w:r>
      <w:r>
        <w:rPr>
          <w:rStyle w:val="VerbatimChar"/>
        </w:rPr>
        <w:t xml:space="preserve">- **Item 3 — F:** Nudges como a adesão automática (*opt-out*) são eficazes tanto para agentes sofisticados quanto para ingênuos (Seção 8.5.4). Ambos os tipos permanecem no plano quando o *default* é "aderir", pois a inércia e o viés do *status quo* operam independentemente de o agente reconhecer ou não seu viés. A distinção é relevante para mecanismos de compromisso voluntário (como o *Save More Tomorrow*), que exigem sofisticação — mas nudges universais funcionam para todos.</w:t>
      </w:r>
      <w:r>
        <w:br/>
      </w:r>
      <w:r>
        <w:rPr>
          <w:rStyle w:val="VerbatimChar"/>
        </w:rPr>
        <w:t xml:space="preserve">- **Item 4 — V:** Laibson (1997) formalizou a demanda por mecanismos de compromisso ("golden eggs") no modelo quasi-hiperbólico (Seção 8.5.4). O agente sofisticado antecipa que seu "eu futuro" terá $\beta &lt; 1$ e, portanto, consumirá mais do que o planejado. Ao se vincular a instrumentos ilíquidos (previdência com penalidade, poupança com desconto em folha), o agente restringe racionalmente seu comportamento futuro, protegendo a poupança da tentação de consumo imediato.</w:t>
      </w:r>
    </w:p>
    <w:bookmarkEnd w:id="409"/>
    <w:bookmarkEnd w:id="410"/>
    <w:bookmarkStart w:id="462" w:name="pesquisa-em-ação-7"/>
    <w:p>
      <w:pPr>
        <w:pStyle w:val="Heading2"/>
      </w:pPr>
      <w:r>
        <w:t xml:space="preserve">Pesquisa em Ação</w:t>
      </w:r>
    </w:p>
    <w:p>
      <w:pPr>
        <w:pStyle w:val="BlockText"/>
      </w:pPr>
      <w:r>
        <w:rPr>
          <w:b/>
          <w:bCs/>
        </w:rPr>
        <w:t xml:space="preserve">[PESQUISA EM ACAO] Kahneman, Daniel; Tversky, Amos. (1979).</w:t>
      </w:r>
      <w:r>
        <w:rPr>
          <w:b/>
          <w:bCs/>
        </w:rPr>
        <w:t xml:space="preserve"> </w:t>
      </w:r>
      <w:hyperlink r:id="rId359">
        <w:r>
          <w:rPr>
            <w:rStyle w:val="Hyperlink"/>
            <w:b/>
            <w:bCs/>
          </w:rPr>
          <w:t xml:space="preserve">Prospect Theory: An Analysis of Decision under Risk</w:t>
        </w:r>
      </w:hyperlink>
      <w:r>
        <w:rPr>
          <w:b/>
          <w:bCs/>
        </w:rPr>
        <w:t xml:space="preserve">.</w:t>
      </w:r>
      <w:r>
        <w:rPr>
          <w:b/>
          <w:bCs/>
        </w:rPr>
        <w:t xml:space="preserve"> </w:t>
      </w:r>
      <w:r>
        <w:rPr>
          <w:b/>
          <w:bCs/>
          <w:i/>
          <w:iCs/>
        </w:rPr>
        <w:t xml:space="preserve">Econometrica</w:t>
      </w:r>
      <w:r>
        <w:rPr>
          <w:b/>
          <w:bCs/>
        </w:rPr>
        <w:t xml:space="preserve">, 47(2): 263–291. DOI:</w:t>
      </w:r>
      <w:r>
        <w:rPr>
          <w:b/>
          <w:bCs/>
        </w:rPr>
        <w:t xml:space="preserve"> </w:t>
      </w:r>
      <w:hyperlink r:id="rId359">
        <w:r>
          <w:rPr>
            <w:rStyle w:val="Hyperlink"/>
            <w:b/>
            <w:bCs/>
          </w:rPr>
          <w:t xml:space="preserve">10.2307/1914185</w:t>
        </w:r>
      </w:hyperlink>
    </w:p>
    <w:p>
      <w:pPr>
        <w:pStyle w:val="BlockText"/>
      </w:pPr>
      <w:r>
        <w:rPr>
          <w:b/>
          <w:bCs/>
        </w:rPr>
        <w:t xml:space="preserve">A pergunta</w:t>
      </w:r>
    </w:p>
    <w:p>
      <w:pPr>
        <w:pStyle w:val="BlockText"/>
      </w:pPr>
      <w:r>
        <w:t xml:space="preserve">O modelo de utilidade esperada de Von Neumann e Morgenstern era, até os anos 1970, o arcabouço dominante para analisar decisões sob risco. Mas uma série de experimentos revelava violações sistemáticas de seus axiomas — o paradoxo de Allais, o efeito certeza, a sensibilidade à forma de apresentação dos problemas. Kahneman e Tversky perguntaram: é possível construir um modelo alternativo que descreva melhor o comportamento observado, preservando poder preditivo?</w:t>
      </w:r>
    </w:p>
    <w:p>
      <w:pPr>
        <w:pStyle w:val="BlockText"/>
      </w:pPr>
      <w:r>
        <w:rPr>
          <w:b/>
          <w:bCs/>
        </w:rPr>
        <w:t xml:space="preserve">Como os autores responderam</w:t>
      </w:r>
    </w:p>
    <w:p>
      <w:pPr>
        <w:pStyle w:val="BlockText"/>
      </w:pPr>
      <w:r>
        <w:t xml:space="preserve">O artigo combina evidência experimental com construção teórica. Kahneman e Tversky apresentaram uma série de problemas de escolha a estudantes e docentes universitários, documentando padrões robustos de violação da utilidade esperada: o efeito certeza (sobrevalorização de resultados certos), o efeito reflexão (reversão de atitudes em relação ao risco entre ganhos e perdas) e o efeito isolamento (sensibilidade ao framing). A partir desses padrões, propuseram a Teoria do Prospecto — um modelo em que os agentes avaliam resultados como ganhos ou perdas relativos a um ponto de referência, usando uma função valor côncava para ganhos e convexa para perdas, com inclinação maior no domínio das perdas (aversão à perda). As probabilidades são transformadas por uma função de ponderação não linear.</w:t>
      </w:r>
    </w:p>
    <w:p>
      <w:pPr>
        <w:pStyle w:val="BlockText"/>
      </w:pPr>
      <w:r>
        <w:rPr>
          <w:b/>
          <w:bCs/>
        </w:rPr>
        <w:t xml:space="preserve">O que descobriram</w:t>
      </w:r>
    </w:p>
    <w:p>
      <w:pPr>
        <w:pStyle w:val="BlockText"/>
      </w:pPr>
      <w:r>
        <w:t xml:space="preserve">Os experimentos confirmaram três fenômenos centrais. Primeiro, a maioria dos participantes preferiu um ganho certo de 3.000 a uma loteria com valor esperado superior (4.000 com 80% de chance), mas inverteu a preferência no domínio das perdas (arriscando para evitar uma perda certa). Segundo, a função valor exibiu sensibilidade decrescente tanto para ganhos quanto para perdas — o impacto marginal de cada unidade adicional diminui à medida que nos afastamos do ponto de referência. Terceiro, a ponderação de probabilidades mostrou-se consistentemente não linear: probabilidades pequenas são sobrevalorizadas e probabilidades altas, subvalorizadas.</w:t>
      </w:r>
    </w:p>
    <w:p>
      <w:pPr>
        <w:pStyle w:val="BlockText"/>
      </w:pPr>
      <w:r>
        <w:rPr>
          <w:b/>
          <w:bCs/>
        </w:rPr>
        <w:t xml:space="preserve">Por que isso importa</w:t>
      </w:r>
    </w:p>
    <w:p>
      <w:pPr>
        <w:pStyle w:val="BlockText"/>
      </w:pPr>
      <w:r>
        <w:t xml:space="preserve">O artigo é um dos mais citados na história da economia (mais de 80.000 citações no Google Scholar). Inaugurou o campo da economia comportamental e rendeu a Kahneman o Prêmio Nobel de Economia em 2002 (Tversky havia falecido em 1996). A Teoria do Prospecto transformou áreas como finanças comportamentais, economia da saúde, direito e economia e desenho de políticas públicas.</w:t>
      </w:r>
    </w:p>
    <w:p>
      <w:pPr>
        <w:pStyle w:val="BlockText"/>
      </w:pPr>
      <w:r>
        <w:rPr>
          <w:b/>
          <w:bCs/>
        </w:rPr>
        <w:t xml:space="preserve">Conexão com este capítulo</w:t>
      </w:r>
    </w:p>
    <w:p>
      <w:pPr>
        <w:pStyle w:val="BlockText"/>
      </w:pPr>
      <w:r>
        <w:t xml:space="preserve">O artigo fornece os fundamentos teóricos e experimentais das Seções 8.2.1 a 8.2.5: a função valor em S, a aversão à perda, a ponderação de probabilidades e os efeitos de dotação e framing. Toda a estrutura analítica do capítulo sobre decisão sob risco se apoia neste trabalho seminal.</w:t>
      </w:r>
    </w:p>
    <w:p>
      <w:pPr>
        <w:pStyle w:val="BlockText"/>
      </w:pPr>
      <w:r>
        <w:rPr>
          <w:b/>
          <w:bCs/>
        </w:rPr>
        <w:t xml:space="preserve">[PESQUISA EM ACAO] Fehr, Ernst; Schmidt, Klaus M. (1999).</w:t>
      </w:r>
      <w:r>
        <w:rPr>
          <w:b/>
          <w:bCs/>
        </w:rPr>
        <w:t xml:space="preserve"> </w:t>
      </w:r>
      <w:hyperlink r:id="rId411">
        <w:r>
          <w:rPr>
            <w:rStyle w:val="Hyperlink"/>
            <w:b/>
            <w:bCs/>
          </w:rPr>
          <w:t xml:space="preserve">A Theory of Fairness, Competition, and Cooperation</w:t>
        </w:r>
      </w:hyperlink>
      <w:r>
        <w:rPr>
          <w:b/>
          <w:bCs/>
        </w:rPr>
        <w:t xml:space="preserve">.</w:t>
      </w:r>
      <w:r>
        <w:rPr>
          <w:b/>
          <w:bCs/>
        </w:rPr>
        <w:t xml:space="preserve"> </w:t>
      </w:r>
      <w:r>
        <w:rPr>
          <w:b/>
          <w:bCs/>
          <w:i/>
          <w:iCs/>
        </w:rPr>
        <w:t xml:space="preserve">Quarterly Journal of Economics</w:t>
      </w:r>
      <w:r>
        <w:rPr>
          <w:b/>
          <w:bCs/>
        </w:rPr>
        <w:t xml:space="preserve">, 114(3): 817–868. DOI:</w:t>
      </w:r>
      <w:r>
        <w:rPr>
          <w:b/>
          <w:bCs/>
        </w:rPr>
        <w:t xml:space="preserve"> </w:t>
      </w:r>
      <w:hyperlink r:id="rId411">
        <w:r>
          <w:rPr>
            <w:rStyle w:val="Hyperlink"/>
            <w:b/>
            <w:bCs/>
          </w:rPr>
          <w:t xml:space="preserve">10.1162/003355399556151</w:t>
        </w:r>
      </w:hyperlink>
    </w:p>
    <w:p>
      <w:pPr>
        <w:pStyle w:val="BlockText"/>
      </w:pPr>
      <w:r>
        <w:rPr>
          <w:b/>
          <w:bCs/>
        </w:rPr>
        <w:t xml:space="preserve">A pergunta</w:t>
      </w:r>
    </w:p>
    <w:p>
      <w:pPr>
        <w:pStyle w:val="BlockText"/>
      </w:pPr>
      <w:r>
        <w:t xml:space="preserve">A teoria microeconômica padrão assume que os agentes são puramente autointeressados, mas os resultados de jogos experimentais — ultimato, ditador, bens públicos — contradizem sistematicamente essa premissa. Ao mesmo tempo, em mercados competitivos, o comportamento autointeressado parece prevalecer. É possível construir um modelo que explique</w:t>
      </w:r>
      <w:r>
        <w:t xml:space="preserve"> </w:t>
      </w:r>
      <w:r>
        <w:rPr>
          <w:i/>
          <w:iCs/>
        </w:rPr>
        <w:t xml:space="preserve">ambos</w:t>
      </w:r>
      <w:r>
        <w:t xml:space="preserve"> </w:t>
      </w:r>
      <w:r>
        <w:t xml:space="preserve">os padrões com um único conjunto de preferências?</w:t>
      </w:r>
    </w:p>
    <w:p>
      <w:pPr>
        <w:pStyle w:val="BlockText"/>
      </w:pPr>
      <w:r>
        <w:rPr>
          <w:b/>
          <w:bCs/>
        </w:rPr>
        <w:t xml:space="preserve">Como os autores responderam</w:t>
      </w:r>
    </w:p>
    <w:p>
      <w:pPr>
        <w:pStyle w:val="BlockText"/>
      </w:pPr>
      <w:r>
        <w:t xml:space="preserve">Fehr e Schmidt propuseram um modelo de aversão à inequidade em que a utilidade de cada agente depende não apenas de seu próprio payoff, mas das diferenças entre seu payoff e os dos demais. O modelo tem dois parâmetros:</w:t>
      </w:r>
      <w:r>
        <w:t xml:space="preserve"> </w:t>
      </w:r>
      <m:oMath>
        <m:sSub>
          <m:e>
            <m:r>
              <m:t>α</m:t>
            </m:r>
          </m:e>
          <m:sub>
            <m:r>
              <m:t>i</m:t>
            </m:r>
          </m:sub>
        </m:sSub>
      </m:oMath>
      <w:r>
        <w:t xml:space="preserve"> </w:t>
      </w:r>
      <w:r>
        <w:t xml:space="preserve">(aversão à desvantagem) e</w:t>
      </w:r>
      <w:r>
        <w:t xml:space="preserve"> </w:t>
      </w:r>
      <m:oMath>
        <m:sSub>
          <m:e>
            <m:r>
              <m:t>β</m:t>
            </m:r>
          </m:e>
          <m:sub>
            <m:r>
              <m:t>i</m:t>
            </m:r>
          </m:sub>
        </m:sSub>
      </m:oMath>
      <w:r>
        <w:t xml:space="preserve"> </w:t>
      </w:r>
      <w:r>
        <w:t xml:space="preserve">(aversão à vantagem), com</w:t>
      </w:r>
      <w:r>
        <w:t xml:space="preserve"> </w:t>
      </w:r>
      <m:oMath>
        <m:sSub>
          <m:e>
            <m:r>
              <m:t>β</m:t>
            </m:r>
          </m:e>
          <m:sub>
            <m:r>
              <m:t>i</m:t>
            </m:r>
          </m:sub>
        </m:sSub>
        <m:r>
          <m:rPr>
            <m:sty m:val="p"/>
          </m:rPr>
          <m:t>≤</m:t>
        </m:r>
        <m:sSub>
          <m:e>
            <m:r>
              <m:t>α</m:t>
            </m:r>
          </m:e>
          <m:sub>
            <m:r>
              <m:t>i</m:t>
            </m:r>
          </m:sub>
        </m:sSub>
      </m:oMath>
      <w:r>
        <w:t xml:space="preserve">. Os autores mostraram que, com uma distribuição plausível de tipos na população (alguns autointeressados, outros avessos à inequidade), o modelo gera previsões consistentes com a evidência em jogos de barganha (ofertas generosas), bens públicos (cooperação condicional)</w:t>
      </w:r>
      <w:r>
        <w:t xml:space="preserve"> </w:t>
      </w:r>
      <w:r>
        <w:rPr>
          <w:i/>
          <w:iCs/>
        </w:rPr>
        <w:t xml:space="preserve">e</w:t>
      </w:r>
      <w:r>
        <w:t xml:space="preserve"> </w:t>
      </w:r>
      <w:r>
        <w:t xml:space="preserve">mercados competitivos (convergência para o equilíbrio walrasiano quando há muitos competidores).</w:t>
      </w:r>
    </w:p>
    <w:p>
      <w:pPr>
        <w:pStyle w:val="BlockText"/>
      </w:pPr>
      <w:r>
        <w:rPr>
          <w:b/>
          <w:bCs/>
        </w:rPr>
        <w:t xml:space="preserve">O que descobriram</w:t>
      </w:r>
    </w:p>
    <w:p>
      <w:pPr>
        <w:pStyle w:val="BlockText"/>
      </w:pPr>
      <w:r>
        <w:t xml:space="preserve">A chave é a interação entre tipos: mesmo uma minoria de jogadores com aversão à inequidade pode disciplinar o comportamento dos autointeressados, porque a ameaça crível de punição (rejeição no ultimato, punição em bens públicos) altera os incentivos de todos. Em mercados com muitos competidores, o poder de barganha individual é pequeno e os autointeressados dominam o resultado — explicando por que a teoria neoclássica funciona bem nesse contexto.</w:t>
      </w:r>
    </w:p>
    <w:p>
      <w:pPr>
        <w:pStyle w:val="BlockText"/>
      </w:pPr>
      <w:r>
        <w:rPr>
          <w:b/>
          <w:bCs/>
        </w:rPr>
        <w:t xml:space="preserve">Por que isso importa</w:t>
      </w:r>
    </w:p>
    <w:p>
      <w:pPr>
        <w:pStyle w:val="BlockText"/>
      </w:pPr>
      <w:r>
        <w:t xml:space="preserve">O modelo de Fehr-Schmidt tornou-se a formalização de preferências sociais mais influente em economia. É amplamente utilizado em economia do trabalho, economia experimental, desenho de mecanismos e economia pública. Mostra que a</w:t>
      </w:r>
      <w:r>
        <w:t xml:space="preserve"> </w:t>
      </w:r>
      <w:r>
        <w:t xml:space="preserve">“irracionalidade”</w:t>
      </w:r>
      <w:r>
        <w:t xml:space="preserve"> </w:t>
      </w:r>
      <w:r>
        <w:t xml:space="preserve">dos jogos experimentais é, na verdade, um comportamento racional — dado preferências que incluem aversão à inequidade.</w:t>
      </w:r>
    </w:p>
    <w:p>
      <w:pPr>
        <w:pStyle w:val="BlockText"/>
      </w:pPr>
      <w:r>
        <w:rPr>
          <w:b/>
          <w:bCs/>
        </w:rPr>
        <w:t xml:space="preserve">Conexão com este capítulo</w:t>
      </w:r>
    </w:p>
    <w:p>
      <w:pPr>
        <w:pStyle w:val="BlockText"/>
      </w:pPr>
      <w:r>
        <w:t xml:space="preserve">O modelo formal da Seção 8.4.2 reproduz diretamente a especificação de Fehr-Schmidt. A aplicação ao jogo do ultimato e a discussão sobre cooperação em bens públicos na Seção 8.4.3 se baseiam nas previsões deste artigo.</w:t>
      </w:r>
    </w:p>
    <w:p>
      <w:pPr>
        <w:pStyle w:val="BlockText"/>
      </w:pPr>
      <w:r>
        <w:rPr>
          <w:b/>
          <w:bCs/>
        </w:rPr>
        <w:t xml:space="preserve">[PESQUISA EM ACAO] Madrian, Brigitte C.; Shea, Dennis F. (2001).</w:t>
      </w:r>
      <w:r>
        <w:rPr>
          <w:b/>
          <w:bCs/>
        </w:rPr>
        <w:t xml:space="preserve"> </w:t>
      </w:r>
      <w:hyperlink r:id="rId412">
        <w:r>
          <w:rPr>
            <w:rStyle w:val="Hyperlink"/>
            <w:b/>
            <w:bCs/>
          </w:rPr>
          <w:t xml:space="preserve">The Power of Suggestion: Inertia in 401(k) Participation and Savings Behavior</w:t>
        </w:r>
      </w:hyperlink>
      <w:r>
        <w:rPr>
          <w:b/>
          <w:bCs/>
        </w:rPr>
        <w:t xml:space="preserve">.</w:t>
      </w:r>
      <w:r>
        <w:rPr>
          <w:b/>
          <w:bCs/>
        </w:rPr>
        <w:t xml:space="preserve"> </w:t>
      </w:r>
      <w:r>
        <w:rPr>
          <w:b/>
          <w:bCs/>
          <w:i/>
          <w:iCs/>
        </w:rPr>
        <w:t xml:space="preserve">Quarterly Journal of Economics</w:t>
      </w:r>
      <w:r>
        <w:rPr>
          <w:b/>
          <w:bCs/>
        </w:rPr>
        <w:t xml:space="preserve">, 116(4): 1149–1187. DOI:</w:t>
      </w:r>
      <w:r>
        <w:rPr>
          <w:b/>
          <w:bCs/>
        </w:rPr>
        <w:t xml:space="preserve"> </w:t>
      </w:r>
      <w:hyperlink r:id="rId412">
        <w:r>
          <w:rPr>
            <w:rStyle w:val="Hyperlink"/>
            <w:b/>
            <w:bCs/>
          </w:rPr>
          <w:t xml:space="preserve">10.1162/003355301753265543</w:t>
        </w:r>
      </w:hyperlink>
    </w:p>
    <w:p>
      <w:pPr>
        <w:pStyle w:val="BlockText"/>
      </w:pPr>
      <w:r>
        <w:rPr>
          <w:b/>
          <w:bCs/>
        </w:rPr>
        <w:t xml:space="preserve">A pergunta</w:t>
      </w:r>
    </w:p>
    <w:p>
      <w:pPr>
        <w:pStyle w:val="BlockText"/>
      </w:pPr>
      <w:r>
        <w:t xml:space="preserve">Os planos de poupança previdenciária nos Estados Unidos (401(k)) oferecem vantagens fiscais substanciais, mas muitos trabalhadores elegíveis simplesmente não aderem. A teoria da escolha racional prevê que, diante de incentivos tão generosos, a adesão deveria ser quase universal. Por que não é? E o que acontece quando a arquitetura de escolha muda?</w:t>
      </w:r>
    </w:p>
    <w:p>
      <w:pPr>
        <w:pStyle w:val="BlockText"/>
      </w:pPr>
      <w:r>
        <w:rPr>
          <w:b/>
          <w:bCs/>
        </w:rPr>
        <w:t xml:space="preserve">Como os autores responderam</w:t>
      </w:r>
    </w:p>
    <w:p>
      <w:pPr>
        <w:pStyle w:val="BlockText"/>
      </w:pPr>
      <w:r>
        <w:t xml:space="preserve">Madrian e Shea analisaram uma mudança natural de política em uma grande empresa americana que, em 1998, passou da adesão voluntária (</w:t>
      </w:r>
      <w:r>
        <w:rPr>
          <w:i/>
          <w:iCs/>
        </w:rPr>
        <w:t xml:space="preserve">opt-in</w:t>
      </w:r>
      <w:r>
        <w:t xml:space="preserve">) para a adesão automática (</w:t>
      </w:r>
      <w:r>
        <w:rPr>
          <w:i/>
          <w:iCs/>
        </w:rPr>
        <w:t xml:space="preserve">opt-out</w:t>
      </w:r>
      <w:r>
        <w:t xml:space="preserve">) em seu plano 401(k). Sob o novo regime, todos os novos funcionários eram automaticamente inscritos com uma contribuição de 3% do salário e investimento no fundo conservador padrão, podendo optar por sair ou alterar a configuração a qualquer momento. Os autores compararam coortes de funcionários contratados antes e depois da mudança, controlando por características observáveis.</w:t>
      </w:r>
    </w:p>
    <w:p>
      <w:pPr>
        <w:pStyle w:val="BlockText"/>
      </w:pPr>
      <w:r>
        <w:rPr>
          <w:b/>
          <w:bCs/>
        </w:rPr>
        <w:t xml:space="preserve">O que descobriram</w:t>
      </w:r>
    </w:p>
    <w:p>
      <w:pPr>
        <w:pStyle w:val="BlockText"/>
      </w:pPr>
      <w:r>
        <w:t xml:space="preserve">A taxa de participação no 401(k) saltou de</w:t>
      </w:r>
      <w:r>
        <w:t xml:space="preserve"> </w:t>
      </w:r>
      <w:r>
        <w:rPr>
          <w:b/>
          <w:bCs/>
        </w:rPr>
        <w:t xml:space="preserve">49% para 86%</w:t>
      </w:r>
      <w:r>
        <w:t xml:space="preserve"> </w:t>
      </w:r>
      <w:r>
        <w:t xml:space="preserve">entre funcionários com 3 a 15 meses de empresa. A adesão automática teve impacto particularmente forte entre grupos historicamente sub-representados: trabalhadores jovens, de menor renda e minorias étnicas. No entanto, os autores também identificaram um efeito colateral: muitos funcionários permaneceram na taxa de contribuição</w:t>
      </w:r>
      <w:r>
        <w:t xml:space="preserve"> </w:t>
      </w:r>
      <w:r>
        <w:rPr>
          <w:i/>
          <w:iCs/>
        </w:rPr>
        <w:t xml:space="preserve">default</w:t>
      </w:r>
      <w:r>
        <w:t xml:space="preserve"> </w:t>
      </w:r>
      <w:r>
        <w:t xml:space="preserve">de 3% e no fundo de investimento</w:t>
      </w:r>
      <w:r>
        <w:t xml:space="preserve"> </w:t>
      </w:r>
      <w:r>
        <w:rPr>
          <w:i/>
          <w:iCs/>
        </w:rPr>
        <w:t xml:space="preserve">default</w:t>
      </w:r>
      <w:r>
        <w:t xml:space="preserve"> </w:t>
      </w:r>
      <w:r>
        <w:t xml:space="preserve">— mesmo que uma análise individualizada pudesse sugerir contribuições maiores ou alocações diferentes. A inércia que promove a adesão é a mesma que impede a personalização.</w:t>
      </w:r>
    </w:p>
    <w:p>
      <w:pPr>
        <w:pStyle w:val="BlockText"/>
      </w:pPr>
      <w:r>
        <w:rPr>
          <w:b/>
          <w:bCs/>
        </w:rPr>
        <w:t xml:space="preserve">Por que isso importa</w:t>
      </w:r>
    </w:p>
    <w:p>
      <w:pPr>
        <w:pStyle w:val="BlockText"/>
      </w:pPr>
      <w:r>
        <w:t xml:space="preserve">O estudo demonstrou que a</w:t>
      </w:r>
      <w:r>
        <w:t xml:space="preserve"> </w:t>
      </w:r>
      <w:r>
        <w:rPr>
          <w:b/>
          <w:bCs/>
        </w:rPr>
        <w:t xml:space="preserve">arquitetura de escolha</w:t>
      </w:r>
      <w:r>
        <w:t xml:space="preserve"> </w:t>
      </w:r>
      <w:r>
        <w:t xml:space="preserve">— e não apenas os incentivos econômicos — pode ter impacto de primeira ordem sobre decisões financeiras de longo prazo. Inspirou o programa</w:t>
      </w:r>
      <w:r>
        <w:t xml:space="preserve"> </w:t>
      </w:r>
      <w:r>
        <w:rPr>
          <w:i/>
          <w:iCs/>
        </w:rPr>
        <w:t xml:space="preserve">Save More Tomorrow</w:t>
      </w:r>
      <w:r>
        <w:t xml:space="preserve"> </w:t>
      </w:r>
      <w:r>
        <w:t xml:space="preserve">(Thaler e Benartzi 2004) e influenciou legislações ao redor do mundo, incluindo a adesão automática na Funpresp (previdência complementar de servidores públicos federais brasileiros).</w:t>
      </w:r>
    </w:p>
    <w:p>
      <w:pPr>
        <w:pStyle w:val="BlockText"/>
      </w:pPr>
      <w:r>
        <w:rPr>
          <w:b/>
          <w:bCs/>
        </w:rPr>
        <w:t xml:space="preserve">Conexão com este capítulo</w:t>
      </w:r>
    </w:p>
    <w:p>
      <w:pPr>
        <w:pStyle w:val="BlockText"/>
      </w:pPr>
      <w:r>
        <w:t xml:space="preserve">O artigo é a demonstração empírica central dos conceitos da Seção 8.6: o poder do</w:t>
      </w:r>
      <w:r>
        <w:t xml:space="preserve"> </w:t>
      </w:r>
      <w:r>
        <w:rPr>
          <w:i/>
          <w:iCs/>
        </w:rPr>
        <w:t xml:space="preserve">default</w:t>
      </w:r>
      <w:r>
        <w:t xml:space="preserve">, o viés do</w:t>
      </w:r>
      <w:r>
        <w:t xml:space="preserve"> </w:t>
      </w:r>
      <w:r>
        <w:rPr>
          <w:i/>
          <w:iCs/>
        </w:rPr>
        <w:t xml:space="preserve">status quo</w:t>
      </w:r>
      <w:r>
        <w:t xml:space="preserve"> </w:t>
      </w:r>
      <w:r>
        <w:t xml:space="preserve">e os limites dos nudges. Mostra que a inércia é uma faca de dois gumes — resolve o problema da não adesão, mas pode travar os participantes em configurações subótimas.</w:t>
      </w:r>
    </w:p>
    <w:p>
      <w:pPr>
        <w:pStyle w:val="BlockText"/>
      </w:pPr>
      <w:r>
        <w:rPr>
          <w:b/>
          <w:bCs/>
        </w:rPr>
        <w:t xml:space="preserve">[PESQUISA EM ACAO] Laibson, David. (1997).</w:t>
      </w:r>
      <w:r>
        <w:rPr>
          <w:b/>
          <w:bCs/>
        </w:rPr>
        <w:t xml:space="preserve"> </w:t>
      </w:r>
      <w:hyperlink r:id="rId413">
        <w:r>
          <w:rPr>
            <w:rStyle w:val="Hyperlink"/>
            <w:b/>
            <w:bCs/>
          </w:rPr>
          <w:t xml:space="preserve">Golden Eggs and Hyperbolic Discounting</w:t>
        </w:r>
      </w:hyperlink>
      <w:r>
        <w:rPr>
          <w:b/>
          <w:bCs/>
        </w:rPr>
        <w:t xml:space="preserve">.</w:t>
      </w:r>
      <w:r>
        <w:rPr>
          <w:b/>
          <w:bCs/>
        </w:rPr>
        <w:t xml:space="preserve"> </w:t>
      </w:r>
      <w:r>
        <w:rPr>
          <w:b/>
          <w:bCs/>
          <w:i/>
          <w:iCs/>
        </w:rPr>
        <w:t xml:space="preserve">Quarterly Journal of Economics</w:t>
      </w:r>
      <w:r>
        <w:rPr>
          <w:b/>
          <w:bCs/>
        </w:rPr>
        <w:t xml:space="preserve">, 112(2): 443–478. DOI:</w:t>
      </w:r>
      <w:r>
        <w:rPr>
          <w:b/>
          <w:bCs/>
        </w:rPr>
        <w:t xml:space="preserve"> </w:t>
      </w:r>
      <w:hyperlink r:id="rId413">
        <w:r>
          <w:rPr>
            <w:rStyle w:val="Hyperlink"/>
            <w:b/>
            <w:bCs/>
          </w:rPr>
          <w:t xml:space="preserve">10.1162/003355397555253</w:t>
        </w:r>
      </w:hyperlink>
    </w:p>
    <w:p>
      <w:pPr>
        <w:pStyle w:val="BlockText"/>
      </w:pPr>
      <w:r>
        <w:rPr>
          <w:b/>
          <w:bCs/>
        </w:rPr>
        <w:t xml:space="preserve">A pergunta</w:t>
      </w:r>
    </w:p>
    <w:p>
      <w:pPr>
        <w:pStyle w:val="BlockText"/>
      </w:pPr>
      <w:r>
        <w:t xml:space="preserve">Por que tantas pessoas poupam menos do que gostariam? Por que existem instrumentos financeiros ilíquidos — como planos de previdência com penalidade por resgate antecipado — que os consumidores voluntariamente escolhem, mesmo quando opções líquidas com retornos semelhantes estão disponíveis? A teoria do desconto exponencial não consegue explicar por que os agentes demandam restrições à sua própria liberdade futura.</w:t>
      </w:r>
    </w:p>
    <w:p>
      <w:pPr>
        <w:pStyle w:val="BlockText"/>
      </w:pPr>
      <w:r>
        <w:rPr>
          <w:b/>
          <w:bCs/>
        </w:rPr>
        <w:t xml:space="preserve">Como os autores responderam</w:t>
      </w:r>
    </w:p>
    <w:p>
      <w:pPr>
        <w:pStyle w:val="BlockText"/>
      </w:pPr>
      <w:r>
        <w:t xml:space="preserve">Laibson construiu um modelo de consumo intertemporal em que os agentes descontam o futuro de forma quasi-hiperbólica (usando a estrutura</w:t>
      </w:r>
      <w:r>
        <w:t xml:space="preserve"> </w:t>
      </w:r>
      <m:oMath>
        <m:r>
          <m:t>β</m:t>
        </m:r>
        <m:r>
          <m:rPr>
            <m:sty m:val="p"/>
          </m:rPr>
          <m:t>,</m:t>
        </m:r>
        <m:r>
          <m:t>δ</m:t>
        </m:r>
      </m:oMath>
      <w:r>
        <w:t xml:space="preserve">), em vez de exponencial. Nesse modelo, o agente em cada período tem um viés em favor do consumo presente, mas é sofisticado — reconhece que seus</w:t>
      </w:r>
      <w:r>
        <w:t xml:space="preserve"> </w:t>
      </w:r>
      <w:r>
        <w:t xml:space="preserve">“eus futuros”</w:t>
      </w:r>
      <w:r>
        <w:t xml:space="preserve"> </w:t>
      </w:r>
      <w:r>
        <w:t xml:space="preserve">terão o mesmo viés. Isso cria uma demanda endógena por</w:t>
      </w:r>
      <w:r>
        <w:t xml:space="preserve"> </w:t>
      </w:r>
      <w:r>
        <w:rPr>
          <w:b/>
          <w:bCs/>
        </w:rPr>
        <w:t xml:space="preserve">mecanismos de compromisso</w:t>
      </w:r>
      <w:r>
        <w:t xml:space="preserve">: ativos ilíquidos funcionam como</w:t>
      </w:r>
      <w:r>
        <w:t xml:space="preserve"> </w:t>
      </w:r>
      <w:r>
        <w:t xml:space="preserve">“algemas douradas”</w:t>
      </w:r>
      <w:r>
        <w:t xml:space="preserve"> </w:t>
      </w:r>
      <w:r>
        <w:t xml:space="preserve">(</w:t>
      </w:r>
      <w:r>
        <w:rPr>
          <w:i/>
          <w:iCs/>
        </w:rPr>
        <w:t xml:space="preserve">golden eggs</w:t>
      </w:r>
      <w:r>
        <w:t xml:space="preserve">) que protegem a poupança da tentação de consumir.</w:t>
      </w:r>
    </w:p>
    <w:p>
      <w:pPr>
        <w:pStyle w:val="BlockText"/>
      </w:pPr>
      <w:r>
        <w:rPr>
          <w:b/>
          <w:bCs/>
        </w:rPr>
        <w:t xml:space="preserve">O que descobriram</w:t>
      </w:r>
    </w:p>
    <w:p>
      <w:pPr>
        <w:pStyle w:val="BlockText"/>
      </w:pPr>
      <w:r>
        <w:t xml:space="preserve">O modelo explica simultaneamente vários fatos estilizados: (i) a baixa poupança observada em relação às previsões do modelo de ciclo de vida padrão; (ii) a coexistência de ativos líquidos (com baixa remuneração) e ilíquidos (com retornos maiores) nos portfólios dos consumidores; (iii) a queda abrupta do consumo na aposentadoria (o</w:t>
      </w:r>
      <w:r>
        <w:t xml:space="preserve"> </w:t>
      </w:r>
      <w:r>
        <w:t xml:space="preserve">“enigma da aposentadoria”</w:t>
      </w:r>
      <w:r>
        <w:t xml:space="preserve">); e (iv) a alta sensibilidade do consumo a variações previsíveis de renda, incompatível com a suavização perfeita prevista pelo modelo padrão.</w:t>
      </w:r>
    </w:p>
    <w:p>
      <w:pPr>
        <w:pStyle w:val="BlockText"/>
      </w:pPr>
      <w:r>
        <w:rPr>
          <w:b/>
          <w:bCs/>
        </w:rPr>
        <w:t xml:space="preserve">Por que isso importa</w:t>
      </w:r>
    </w:p>
    <w:p>
      <w:pPr>
        <w:pStyle w:val="BlockText"/>
      </w:pPr>
      <w:r>
        <w:t xml:space="preserve">O artigo formalizou a ideia de que a demanda por iliquidez é racional em um mundo de agentes com viés do presente. Tornou-se a referência central para o uso do modelo</w:t>
      </w:r>
      <w:r>
        <w:t xml:space="preserve"> </w:t>
      </w:r>
      <m:oMath>
        <m:r>
          <m:rPr>
            <m:sty m:val="p"/>
          </m:rPr>
          <m:t>(</m:t>
        </m:r>
        <m:r>
          <m:t>β</m:t>
        </m:r>
        <m:r>
          <m:rPr>
            <m:sty m:val="p"/>
          </m:rPr>
          <m:t>,</m:t>
        </m:r>
        <m:r>
          <m:t>δ</m:t>
        </m:r>
        <m:r>
          <m:rPr>
            <m:sty m:val="p"/>
          </m:rPr>
          <m:t>)</m:t>
        </m:r>
      </m:oMath>
      <w:r>
        <w:t xml:space="preserve"> </w:t>
      </w:r>
      <w:r>
        <w:t xml:space="preserve">em macroeconomia e finanças domésticas, e influenciou o desenho de produtos financeiros e políticas previdenciárias.</w:t>
      </w:r>
    </w:p>
    <w:p>
      <w:pPr>
        <w:pStyle w:val="BlockText"/>
      </w:pPr>
      <w:r>
        <w:rPr>
          <w:b/>
          <w:bCs/>
        </w:rPr>
        <w:t xml:space="preserve">Conexão com este capítulo</w:t>
      </w:r>
    </w:p>
    <w:p>
      <w:pPr>
        <w:pStyle w:val="BlockText"/>
      </w:pPr>
      <w:r>
        <w:t xml:space="preserve">O modelo de Laibson é a formalização teórica direta do desconto quasi-hiperbólico apresentado na Seção 8.5.3. O conceito de</w:t>
      </w:r>
      <w:r>
        <w:t xml:space="preserve"> </w:t>
      </w:r>
      <w:r>
        <w:t xml:space="preserve">“ovos de ouro”</w:t>
      </w:r>
      <w:r>
        <w:t xml:space="preserve"> </w:t>
      </w:r>
      <w:r>
        <w:t xml:space="preserve">conecta a teoria do viés do presente à demanda por instrumentos de compromisso discutida na Seção 8.5.4 e ao Box Brasil sobre crédito rotativo.</w:t>
      </w:r>
    </w:p>
    <w:p>
      <w:pPr>
        <w:pStyle w:val="BlockText"/>
      </w:pPr>
      <w:r>
        <w:rPr>
          <w:b/>
          <w:bCs/>
        </w:rPr>
        <w:t xml:space="preserve">[PESQUISA EM ACAO] Ellsberg, Daniel. (1961).</w:t>
      </w:r>
      <w:r>
        <w:rPr>
          <w:b/>
          <w:bCs/>
        </w:rPr>
        <w:t xml:space="preserve"> </w:t>
      </w:r>
      <w:hyperlink r:id="rId414">
        <w:r>
          <w:rPr>
            <w:rStyle w:val="Hyperlink"/>
            <w:b/>
            <w:bCs/>
          </w:rPr>
          <w:t xml:space="preserve">Risk, Ambiguity, and the Savage Axioms</w:t>
        </w:r>
      </w:hyperlink>
      <w:r>
        <w:rPr>
          <w:b/>
          <w:bCs/>
        </w:rPr>
        <w:t xml:space="preserve">.</w:t>
      </w:r>
      <w:r>
        <w:rPr>
          <w:b/>
          <w:bCs/>
        </w:rPr>
        <w:t xml:space="preserve"> </w:t>
      </w:r>
      <w:r>
        <w:rPr>
          <w:b/>
          <w:bCs/>
          <w:i/>
          <w:iCs/>
        </w:rPr>
        <w:t xml:space="preserve">Quarterly Journal of Economics</w:t>
      </w:r>
      <w:r>
        <w:rPr>
          <w:b/>
          <w:bCs/>
        </w:rPr>
        <w:t xml:space="preserve">, 75(4): 643–669. DOI:</w:t>
      </w:r>
      <w:r>
        <w:rPr>
          <w:b/>
          <w:bCs/>
        </w:rPr>
        <w:t xml:space="preserve"> </w:t>
      </w:r>
      <w:hyperlink r:id="rId414">
        <w:r>
          <w:rPr>
            <w:rStyle w:val="Hyperlink"/>
            <w:b/>
            <w:bCs/>
          </w:rPr>
          <w:t xml:space="preserve">10.2307/1884324</w:t>
        </w:r>
      </w:hyperlink>
    </w:p>
    <w:p>
      <w:pPr>
        <w:pStyle w:val="BlockText"/>
      </w:pPr>
      <w:r>
        <w:rPr>
          <w:b/>
          <w:bCs/>
        </w:rPr>
        <w:t xml:space="preserve">A pergunta</w:t>
      </w:r>
    </w:p>
    <w:p>
      <w:pPr>
        <w:pStyle w:val="BlockText"/>
      </w:pPr>
      <w:r>
        <w:t xml:space="preserve">A teoria da utilidade esperada subjetiva (UES) de Savage (1954) mostrou que, sob axiomas de racionalidade, todo tomador de decisão se comporta</w:t>
      </w:r>
      <w:r>
        <w:t xml:space="preserve"> </w:t>
      </w:r>
      <w:r>
        <w:rPr>
          <w:i/>
          <w:iCs/>
        </w:rPr>
        <w:t xml:space="preserve">como se</w:t>
      </w:r>
      <w:r>
        <w:t xml:space="preserve"> </w:t>
      </w:r>
      <w:r>
        <w:t xml:space="preserve">maximizasse a utilidade esperada com respeito a alguma distribuição de probabilidade subjetiva. Ellsberg perguntou: as pessoas realmente se comportam assim quando a informação sobre as probabilidades é vaga ou ausente?</w:t>
      </w:r>
    </w:p>
    <w:p>
      <w:pPr>
        <w:pStyle w:val="BlockText"/>
      </w:pPr>
      <w:r>
        <w:rPr>
          <w:b/>
          <w:bCs/>
        </w:rPr>
        <w:t xml:space="preserve">Como os autores responderam</w:t>
      </w:r>
    </w:p>
    <w:p>
      <w:pPr>
        <w:pStyle w:val="BlockText"/>
      </w:pPr>
      <w:r>
        <w:t xml:space="preserve">Ellsberg propôs experimentos mentais elegantes — o mais famoso envolvendo urnas com composição conhecida vs. desconhecida — e analisou as implicações lógicas das escolhas observadas. Mostrou que o padrão modal de preferências (preferir apostar em urnas com probabilidades conhecidas em</w:t>
      </w:r>
      <w:r>
        <w:t xml:space="preserve"> </w:t>
      </w:r>
      <w:r>
        <w:rPr>
          <w:i/>
          <w:iCs/>
        </w:rPr>
        <w:t xml:space="preserve">ambas</w:t>
      </w:r>
      <w:r>
        <w:t xml:space="preserve"> </w:t>
      </w:r>
      <w:r>
        <w:t xml:space="preserve">as direções) é logicamente incompatível com a existência de qualquer distribuição de probabilidade subjetiva consistente.</w:t>
      </w:r>
    </w:p>
    <w:p>
      <w:pPr>
        <w:pStyle w:val="BlockText"/>
      </w:pPr>
      <w:r>
        <w:rPr>
          <w:b/>
          <w:bCs/>
        </w:rPr>
        <w:t xml:space="preserve">O que descobriram</w:t>
      </w:r>
    </w:p>
    <w:p>
      <w:pPr>
        <w:pStyle w:val="BlockText"/>
      </w:pPr>
      <w:r>
        <w:t xml:space="preserve">O</w:t>
      </w:r>
      <w:r>
        <w:t xml:space="preserve"> </w:t>
      </w:r>
      <w:r>
        <w:t xml:space="preserve">“paradoxo de Ellsberg”</w:t>
      </w:r>
      <w:r>
        <w:t xml:space="preserve"> </w:t>
      </w:r>
      <w:r>
        <w:t xml:space="preserve">revelou que os agentes distinguem entre</w:t>
      </w:r>
      <w:r>
        <w:t xml:space="preserve"> </w:t>
      </w:r>
      <w:r>
        <w:rPr>
          <w:b/>
          <w:bCs/>
        </w:rPr>
        <w:t xml:space="preserve">risco</w:t>
      </w:r>
      <w:r>
        <w:t xml:space="preserve"> </w:t>
      </w:r>
      <w:r>
        <w:t xml:space="preserve">(probabilidades conhecidas) e</w:t>
      </w:r>
      <w:r>
        <w:t xml:space="preserve"> </w:t>
      </w:r>
      <w:r>
        <w:rPr>
          <w:b/>
          <w:bCs/>
        </w:rPr>
        <w:t xml:space="preserve">ambiguidade</w:t>
      </w:r>
      <w:r>
        <w:t xml:space="preserve"> </w:t>
      </w:r>
      <w:r>
        <w:t xml:space="preserve">(probabilidades desconhecidas ou vagas), e sistematicamente preferem o risco — um comportamento que Ellsberg chamou de</w:t>
      </w:r>
      <w:r>
        <w:t xml:space="preserve"> </w:t>
      </w:r>
      <w:r>
        <w:rPr>
          <w:b/>
          <w:bCs/>
        </w:rPr>
        <w:t xml:space="preserve">aversão à ambiguidade</w:t>
      </w:r>
      <w:r>
        <w:t xml:space="preserve">. Esse fenômeno viola o axioma da certeza (</w:t>
      </w:r>
      <w:r>
        <w:rPr>
          <w:i/>
          <w:iCs/>
        </w:rPr>
        <w:t xml:space="preserve">sure-thing principle</w:t>
      </w:r>
      <w:r>
        <w:t xml:space="preserve">) de Savage e não pode ser capturado por nenhuma função de utilidade de Von Neumann-Morgenstern com probabilidades subjetivas fixas.</w:t>
      </w:r>
    </w:p>
    <w:p>
      <w:pPr>
        <w:pStyle w:val="BlockText"/>
      </w:pPr>
      <w:r>
        <w:rPr>
          <w:b/>
          <w:bCs/>
        </w:rPr>
        <w:t xml:space="preserve">Por que isso importa</w:t>
      </w:r>
    </w:p>
    <w:p>
      <w:pPr>
        <w:pStyle w:val="BlockText"/>
      </w:pPr>
      <w:r>
        <w:t xml:space="preserve">O artigo abriu um programa de pesquisa inteiro sobre decisão sob ambiguidade, gerando modelos como Choquet Expected Utility, Maximin Expected Utility e aversão à ambiguidade suave. Em finanças, o prêmio de ambiguidade ajuda a explicar o</w:t>
      </w:r>
      <w:r>
        <w:t xml:space="preserve"> </w:t>
      </w:r>
      <w:r>
        <w:rPr>
          <w:i/>
          <w:iCs/>
        </w:rPr>
        <w:t xml:space="preserve">equity premium puzzle</w:t>
      </w:r>
      <w:r>
        <w:t xml:space="preserve"> </w:t>
      </w:r>
      <w:r>
        <w:t xml:space="preserve">e a sub-diversificação de portfólios.</w:t>
      </w:r>
    </w:p>
    <w:p>
      <w:pPr>
        <w:pStyle w:val="BlockText"/>
      </w:pPr>
      <w:r>
        <w:rPr>
          <w:b/>
          <w:bCs/>
        </w:rPr>
        <w:t xml:space="preserve">Conexão com este capítulo</w:t>
      </w:r>
    </w:p>
    <w:p>
      <w:pPr>
        <w:pStyle w:val="BlockText"/>
      </w:pPr>
      <w:r>
        <w:t xml:space="preserve">O paradoxo de Ellsberg é apresentado na Seção 8.3, que distingue risco, incerteza knightiana e ambiguidade. Os modelos de ambiguidade discutidos na Seção 8.3.3 são respostas formais ao desafio colocado por este artigo.</w:t>
      </w:r>
    </w:p>
    <w:p>
      <w:pPr>
        <w:pStyle w:val="BlockText"/>
      </w:pPr>
      <w:r>
        <w:rPr>
          <w:b/>
          <w:bCs/>
        </w:rPr>
        <w:t xml:space="preserve">[PESQUISA EM ACAO] Thaler, Richard H.; Sunstein, Cass R. (2003).</w:t>
      </w:r>
      <w:r>
        <w:rPr>
          <w:b/>
          <w:bCs/>
        </w:rPr>
        <w:t xml:space="preserve"> </w:t>
      </w:r>
      <w:hyperlink r:id="rId415">
        <w:r>
          <w:rPr>
            <w:rStyle w:val="Hyperlink"/>
            <w:b/>
            <w:bCs/>
          </w:rPr>
          <w:t xml:space="preserve">Libertarian Paternalism</w:t>
        </w:r>
      </w:hyperlink>
      <w:r>
        <w:rPr>
          <w:b/>
          <w:bCs/>
        </w:rPr>
        <w:t xml:space="preserve">.</w:t>
      </w:r>
      <w:r>
        <w:rPr>
          <w:b/>
          <w:bCs/>
        </w:rPr>
        <w:t xml:space="preserve"> </w:t>
      </w:r>
      <w:r>
        <w:rPr>
          <w:b/>
          <w:bCs/>
          <w:i/>
          <w:iCs/>
        </w:rPr>
        <w:t xml:space="preserve">American Economic Review</w:t>
      </w:r>
      <w:r>
        <w:rPr>
          <w:b/>
          <w:bCs/>
        </w:rPr>
        <w:t xml:space="preserve">, 93(2): 175–179. DOI:</w:t>
      </w:r>
      <w:r>
        <w:rPr>
          <w:b/>
          <w:bCs/>
        </w:rPr>
        <w:t xml:space="preserve"> </w:t>
      </w:r>
      <w:hyperlink r:id="rId415">
        <w:r>
          <w:rPr>
            <w:rStyle w:val="Hyperlink"/>
            <w:b/>
            <w:bCs/>
          </w:rPr>
          <w:t xml:space="preserve">10.1257/000282803321947001</w:t>
        </w:r>
      </w:hyperlink>
    </w:p>
    <w:p>
      <w:pPr>
        <w:pStyle w:val="BlockText"/>
      </w:pPr>
      <w:r>
        <w:rPr>
          <w:b/>
          <w:bCs/>
        </w:rPr>
        <w:t xml:space="preserve">A pergunta</w:t>
      </w:r>
    </w:p>
    <w:p>
      <w:pPr>
        <w:pStyle w:val="BlockText"/>
      </w:pPr>
      <w:r>
        <w:t xml:space="preserve">Existe uma forma de política pública que preserve a liberdade de escolha individual e, ao mesmo tempo, direcione os agentes para decisões que melhorem seu próprio bem-estar? A questão é especialmente premente em contextos onde os agentes cometem erros previsíveis — como na escolha de planos de saúde, programas de poupança ou opções de alimentos — e a inação do governo (laissez-faire) produz resultados piores do que intervenções leves.</w:t>
      </w:r>
    </w:p>
    <w:p>
      <w:pPr>
        <w:pStyle w:val="BlockText"/>
      </w:pPr>
      <w:r>
        <w:rPr>
          <w:b/>
          <w:bCs/>
        </w:rPr>
        <w:t xml:space="preserve">Como os autores responderam</w:t>
      </w:r>
    </w:p>
    <w:p>
      <w:pPr>
        <w:pStyle w:val="BlockText"/>
      </w:pPr>
      <w:r>
        <w:t xml:space="preserve">Thaler e Sunstein introduziram o conceito de</w:t>
      </w:r>
      <w:r>
        <w:t xml:space="preserve"> </w:t>
      </w:r>
      <w:r>
        <w:rPr>
          <w:b/>
          <w:bCs/>
        </w:rPr>
        <w:t xml:space="preserve">paternalismo libertário</w:t>
      </w:r>
      <w:r>
        <w:t xml:space="preserve">: libertário porque preserva a liberdade de escolha — qualquer opção continua disponível e pode ser selecionada com custo próximo de zero; paternalista porque a arquitetura de escolha é desenhada para direcionar as decisões no sentido do bem-estar do próprio agente. A peça central é a noção de que toda situação de escolha tem uma arquitetura — não existe posição neutra. Empresas e governos sempre estabelecem</w:t>
      </w:r>
      <w:r>
        <w:t xml:space="preserve"> </w:t>
      </w:r>
      <w:r>
        <w:rPr>
          <w:i/>
          <w:iCs/>
        </w:rPr>
        <w:t xml:space="preserve">defaults</w:t>
      </w:r>
      <w:r>
        <w:t xml:space="preserve">, orderam opções e enquadram decisões. A questão normativa é: dado que essa arquitetura é inevitável, por que não desenhá-la conscientemente para favorecer o bem-estar?</w:t>
      </w:r>
    </w:p>
    <w:p>
      <w:pPr>
        <w:pStyle w:val="BlockText"/>
      </w:pPr>
      <w:r>
        <w:rPr>
          <w:b/>
          <w:bCs/>
        </w:rPr>
        <w:t xml:space="preserve">O que descobriram</w:t>
      </w:r>
    </w:p>
    <w:p>
      <w:pPr>
        <w:pStyle w:val="BlockText"/>
      </w:pPr>
      <w:r>
        <w:t xml:space="preserve">O artigo ilustra o conceito com exemplos de planos de saúde e benefícios previdenciários, mostrando que pequenas mudanças na apresentação e no</w:t>
      </w:r>
      <w:r>
        <w:t xml:space="preserve"> </w:t>
      </w:r>
      <w:r>
        <w:rPr>
          <w:i/>
          <w:iCs/>
        </w:rPr>
        <w:t xml:space="preserve">default</w:t>
      </w:r>
      <w:r>
        <w:t xml:space="preserve"> </w:t>
      </w:r>
      <w:r>
        <w:t xml:space="preserve">— sem alterar preços ou proibir alternativas — têm efeitos de primeira ordem sobre as escolhas. A chave é que os agentes reais são fortemente influenciados pelo</w:t>
      </w:r>
      <w:r>
        <w:t xml:space="preserve"> </w:t>
      </w:r>
      <w:r>
        <w:rPr>
          <w:i/>
          <w:iCs/>
        </w:rPr>
        <w:t xml:space="preserve">status quo</w:t>
      </w:r>
      <w:r>
        <w:t xml:space="preserve">, pela saliência das opções e pelo esforço cognitivo envolvido em decidir ativamente. O paternalismo libertário aproveita essas tendências em vez de lutar contra elas.</w:t>
      </w:r>
    </w:p>
    <w:p>
      <w:pPr>
        <w:pStyle w:val="BlockText"/>
      </w:pPr>
      <w:r>
        <w:rPr>
          <w:b/>
          <w:bCs/>
        </w:rPr>
        <w:t xml:space="preserve">Por que isso importa</w:t>
      </w:r>
    </w:p>
    <w:p>
      <w:pPr>
        <w:pStyle w:val="BlockText"/>
      </w:pPr>
      <w:r>
        <w:t xml:space="preserve">Este artigo de três páginas inaugurou uma agenda de pesquisa e política pública que transformou governos em todo o mundo. Unidades de economia comportamental (</w:t>
      </w:r>
      <w:r>
        <w:t xml:space="preserve">“nudge units”</w:t>
      </w:r>
      <w:r>
        <w:t xml:space="preserve">) foram criadas em Reino Unido, EUA, Austrália e Brasil, entre outros. O artigo é a síntese filosófica da agenda de nudges, e o livro Nudge (Thaler e Sunstein 2008) expandiu os argumentos com dezenas de exemplos aplicados.</w:t>
      </w:r>
    </w:p>
    <w:p>
      <w:pPr>
        <w:pStyle w:val="BlockText"/>
      </w:pPr>
      <w:r>
        <w:rPr>
          <w:b/>
          <w:bCs/>
        </w:rPr>
        <w:t xml:space="preserve">Conexão com este capítulo</w:t>
      </w:r>
    </w:p>
    <w:p>
      <w:pPr>
        <w:pStyle w:val="BlockText"/>
      </w:pPr>
      <w:r>
        <w:t xml:space="preserve">A filosofia do paternalismo libertário é a fundação teórica da Seção 8.6. O</w:t>
      </w:r>
      <w:r>
        <w:t xml:space="preserve"> </w:t>
      </w:r>
      <w:r>
        <w:rPr>
          <w:i/>
          <w:iCs/>
        </w:rPr>
        <w:t xml:space="preserve">trade-off</w:t>
      </w:r>
      <w:r>
        <w:t xml:space="preserve"> </w:t>
      </w:r>
      <w:r>
        <w:t xml:space="preserve">entre eficácia e respeito à autonomia discutido na Seção 8.6.3 é diretamente motivado pelas questões levantadas neste artigo seminal.</w:t>
      </w:r>
    </w:p>
    <w:p>
      <w:pPr>
        <w:pStyle w:val="BlockText"/>
      </w:pPr>
      <w:r>
        <w:rPr>
          <w:b/>
          <w:bCs/>
        </w:rPr>
        <w:t xml:space="preserve">[PESQUISA EM ACAO] DellaVigna, Stefano. (2009).</w:t>
      </w:r>
      <w:r>
        <w:rPr>
          <w:b/>
          <w:bCs/>
        </w:rPr>
        <w:t xml:space="preserve"> </w:t>
      </w:r>
      <w:hyperlink r:id="rId416">
        <w:r>
          <w:rPr>
            <w:rStyle w:val="Hyperlink"/>
            <w:b/>
            <w:bCs/>
          </w:rPr>
          <w:t xml:space="preserve">Psychology and Economics: Evidence from the Field</w:t>
        </w:r>
      </w:hyperlink>
      <w:r>
        <w:rPr>
          <w:b/>
          <w:bCs/>
        </w:rPr>
        <w:t xml:space="preserve">.</w:t>
      </w:r>
      <w:r>
        <w:rPr>
          <w:b/>
          <w:bCs/>
        </w:rPr>
        <w:t xml:space="preserve"> </w:t>
      </w:r>
      <w:r>
        <w:rPr>
          <w:b/>
          <w:bCs/>
          <w:i/>
          <w:iCs/>
        </w:rPr>
        <w:t xml:space="preserve">Journal of Economic Literature</w:t>
      </w:r>
      <w:r>
        <w:rPr>
          <w:b/>
          <w:bCs/>
        </w:rPr>
        <w:t xml:space="preserve">, 47(2): 315–372. DOI:</w:t>
      </w:r>
      <w:r>
        <w:rPr>
          <w:b/>
          <w:bCs/>
        </w:rPr>
        <w:t xml:space="preserve"> </w:t>
      </w:r>
      <w:hyperlink r:id="rId416">
        <w:r>
          <w:rPr>
            <w:rStyle w:val="Hyperlink"/>
            <w:b/>
            <w:bCs/>
          </w:rPr>
          <w:t xml:space="preserve">10.1257/jel.47.2.315</w:t>
        </w:r>
      </w:hyperlink>
    </w:p>
    <w:p>
      <w:pPr>
        <w:pStyle w:val="BlockText"/>
      </w:pPr>
      <w:r>
        <w:rPr>
          <w:b/>
          <w:bCs/>
        </w:rPr>
        <w:t xml:space="preserve">A pergunta</w:t>
      </w:r>
    </w:p>
    <w:p>
      <w:pPr>
        <w:pStyle w:val="BlockText"/>
      </w:pPr>
      <w:r>
        <w:t xml:space="preserve">A economia comportamental produziu, até o final dos anos 2000, uma vasta literatura experimental de laboratório documentando desvios da racionalidade. Mas esses desvios são relevantes fora do laboratório? Sobrevivem quando os</w:t>
      </w:r>
      <w:r>
        <w:t xml:space="preserve"> </w:t>
      </w:r>
      <w:r>
        <w:rPr>
          <w:i/>
          <w:iCs/>
        </w:rPr>
        <w:t xml:space="preserve">stakes</w:t>
      </w:r>
      <w:r>
        <w:t xml:space="preserve"> </w:t>
      </w:r>
      <w:r>
        <w:t xml:space="preserve">são altos, quando os agentes têm experiência e incentivos fortes para acertar, e quando os mercados competitivos têm a oportunidade de disciplinar o comportamento?</w:t>
      </w:r>
    </w:p>
    <w:p>
      <w:pPr>
        <w:pStyle w:val="BlockText"/>
      </w:pPr>
      <w:r>
        <w:rPr>
          <w:b/>
          <w:bCs/>
        </w:rPr>
        <w:t xml:space="preserve">Como os autores responderam</w:t>
      </w:r>
    </w:p>
    <w:p>
      <w:pPr>
        <w:pStyle w:val="BlockText"/>
      </w:pPr>
      <w:r>
        <w:t xml:space="preserve">DellaVigna realizou uma revisão abrangente das evidências de campo — estudos com dados naturais de empresas, mercados financeiros, mercados de trabalho e decisões de consumo — para testar se as anomalias comportamentais documentadas em laboratório se manifestam em contextos econômicos reais. O artigo organiza as evidências em três categorias: não-otimização padrão (inclui aversão à perda, efeito dotação e framing), preferências não-padrão (desconto quasi-hiperbólico, preferências sociais) e crenças não-padrão (excesso de confiança, aprendizado enviesado).</w:t>
      </w:r>
    </w:p>
    <w:p>
      <w:pPr>
        <w:pStyle w:val="BlockText"/>
      </w:pPr>
      <w:r>
        <w:rPr>
          <w:b/>
          <w:bCs/>
        </w:rPr>
        <w:t xml:space="preserve">O que descobriram</w:t>
      </w:r>
    </w:p>
    <w:p>
      <w:pPr>
        <w:pStyle w:val="BlockText"/>
      </w:pPr>
      <w:r>
        <w:t xml:space="preserve">A evidência de campo confirma, em sua maioria, as predições comportamentais. Por exemplo: trabalhadores de táxi trabalham menos horas em dias com tarifas altas — consistente com metas de renda diária e aversão à perda. Vendedores de imóveis vendem suas próprias casas a preços mais altos e esperam mais tempo do que as que vendem para clientes — consistente com o efeito dotação. Investidores do mercado financeiro exibem o efeito disposição em escala massiva. A adesão automática a planos de previdência aumenta drasticamente a poupança. Esses resultados mostram que os vieses comportamentais não são artefatos de laboratório, mas fenômenos econômicos de grande magnitude.</w:t>
      </w:r>
    </w:p>
    <w:p>
      <w:pPr>
        <w:pStyle w:val="BlockText"/>
      </w:pPr>
      <w:r>
        <w:rPr>
          <w:b/>
          <w:bCs/>
        </w:rPr>
        <w:t xml:space="preserve">Por que isso importa</w:t>
      </w:r>
    </w:p>
    <w:p>
      <w:pPr>
        <w:pStyle w:val="BlockText"/>
      </w:pPr>
      <w:r>
        <w:t xml:space="preserve">O artigo é a referência central para quem quer ir além dos experimentos de laboratório e entender o quanto a economia comportamental importa para mercados reais. Ele também documenta os limites: em alguns contextos — especialmente mercados competitivos com experiência e feedback intenso —, os agentes aprendem a corrigir os vieses. A distinção entre contextos onde os vieses persistem e onde são corrigidos é crucial para o design de políticas.</w:t>
      </w:r>
    </w:p>
    <w:p>
      <w:pPr>
        <w:pStyle w:val="BlockText"/>
      </w:pPr>
      <w:r>
        <w:rPr>
          <w:b/>
          <w:bCs/>
        </w:rPr>
        <w:t xml:space="preserve">Conexão com este capítulo</w:t>
      </w:r>
    </w:p>
    <w:p>
      <w:pPr>
        <w:pStyle w:val="BlockText"/>
      </w:pPr>
      <w:r>
        <w:t xml:space="preserve">O artigo de DellaVigna é a evidência de campo que valida as teorias das Seções 8.2, 8.4 e 8.5. Os exemplos do efeito dotação (Seção 8.2.5), do desconto quasi-hiperbólico (Seção 8.5.3) e dos nudges (Seção 8.6) ganham sustentação empírica com os dados revisados neste survey.</w:t>
      </w:r>
    </w:p>
    <w:p>
      <w:r>
        <w:pict>
          <v:rect style="width:0;height:1.5pt" o:hralign="center" o:hrstd="t" o:hr="t"/>
        </w:pict>
      </w:r>
    </w:p>
    <w:bookmarkStart w:id="461" w:name="referências-do-capítulo-6"/>
    <w:p>
      <w:pPr>
        <w:pStyle w:val="Heading3"/>
      </w:pPr>
      <w:r>
        <w:t xml:space="preserve">Referências do Capítulo</w:t>
      </w:r>
    </w:p>
    <w:p>
      <w:pPr>
        <w:pStyle w:val="Compact"/>
        <w:numPr>
          <w:ilvl w:val="0"/>
          <w:numId w:val="1435"/>
        </w:numPr>
      </w:pPr>
      <w:r>
        <w:t xml:space="preserve">Abdellaoui, Mohammed. 2000.</w:t>
      </w:r>
      <w:r>
        <w:t xml:space="preserve"> </w:t>
      </w:r>
      <w:r>
        <w:t xml:space="preserve">“</w:t>
      </w:r>
      <w:hyperlink r:id="rId417">
        <w:r>
          <w:rPr>
            <w:rStyle w:val="Hyperlink"/>
          </w:rPr>
          <w:t xml:space="preserve">Parameter-Free Elicitation of Utility and Probability Weighting Functions</w:t>
        </w:r>
      </w:hyperlink>
      <w:r>
        <w:t xml:space="preserve">.”</w:t>
      </w:r>
      <w:r>
        <w:t xml:space="preserve"> </w:t>
      </w:r>
      <w:r>
        <w:rPr>
          <w:i/>
          <w:iCs/>
        </w:rPr>
        <w:t xml:space="preserve">Management Science</w:t>
      </w:r>
      <w:r>
        <w:t xml:space="preserve"> </w:t>
      </w:r>
      <w:r>
        <w:t xml:space="preserve">46 (11): 1497–1512.</w:t>
      </w:r>
    </w:p>
    <w:p>
      <w:pPr>
        <w:pStyle w:val="Compact"/>
        <w:numPr>
          <w:ilvl w:val="0"/>
          <w:numId w:val="1435"/>
        </w:numPr>
      </w:pPr>
      <w:r>
        <w:t xml:space="preserve">Allais, Maurice. 1953.</w:t>
      </w:r>
      <w:r>
        <w:t xml:space="preserve"> </w:t>
      </w:r>
      <w:r>
        <w:t xml:space="preserve">“</w:t>
      </w:r>
      <w:hyperlink r:id="rId418">
        <w:r>
          <w:rPr>
            <w:rStyle w:val="Hyperlink"/>
          </w:rPr>
          <w:t xml:space="preserve">Le comportement de l’homme rationnel devant le risque: Critique des postulats et axiomes de l’école américaine</w:t>
        </w:r>
      </w:hyperlink>
      <w:r>
        <w:t xml:space="preserve">.”</w:t>
      </w:r>
      <w:r>
        <w:t xml:space="preserve"> </w:t>
      </w:r>
      <w:r>
        <w:rPr>
          <w:i/>
          <w:iCs/>
        </w:rPr>
        <w:t xml:space="preserve">Econometrica</w:t>
      </w:r>
      <w:r>
        <w:t xml:space="preserve"> </w:t>
      </w:r>
      <w:r>
        <w:t xml:space="preserve">21 (4): 503–546.</w:t>
      </w:r>
    </w:p>
    <w:p>
      <w:pPr>
        <w:pStyle w:val="Compact"/>
        <w:numPr>
          <w:ilvl w:val="0"/>
          <w:numId w:val="1435"/>
        </w:numPr>
      </w:pPr>
      <w:r>
        <w:t xml:space="preserve">Angeletos, George-Marios, David Laibson, Andrea Repetto, Jeremy Tobacman, e Stephen Weinberg. 2001.</w:t>
      </w:r>
      <w:r>
        <w:t xml:space="preserve"> </w:t>
      </w:r>
      <w:r>
        <w:t xml:space="preserve">“</w:t>
      </w:r>
      <w:hyperlink r:id="rId419">
        <w:r>
          <w:rPr>
            <w:rStyle w:val="Hyperlink"/>
          </w:rPr>
          <w:t xml:space="preserve">The Hyperbolic Consumption Model: Calibration, Simulation, and Empirical Evaluation</w:t>
        </w:r>
      </w:hyperlink>
      <w:r>
        <w:t xml:space="preserve">.”</w:t>
      </w:r>
      <w:r>
        <w:t xml:space="preserve"> </w:t>
      </w:r>
      <w:r>
        <w:rPr>
          <w:i/>
          <w:iCs/>
        </w:rPr>
        <w:t xml:space="preserve">Journal of Economic Perspectives</w:t>
      </w:r>
      <w:r>
        <w:t xml:space="preserve"> </w:t>
      </w:r>
      <w:r>
        <w:t xml:space="preserve">15 (3): 47–68.</w:t>
      </w:r>
    </w:p>
    <w:p>
      <w:pPr>
        <w:pStyle w:val="Compact"/>
        <w:numPr>
          <w:ilvl w:val="0"/>
          <w:numId w:val="1435"/>
        </w:numPr>
      </w:pPr>
      <w:r>
        <w:t xml:space="preserve">Augenblick, Ned, Muriel Niederle, e Charles Sprenger. 2015.</w:t>
      </w:r>
      <w:r>
        <w:t xml:space="preserve"> </w:t>
      </w:r>
      <w:r>
        <w:t xml:space="preserve">“</w:t>
      </w:r>
      <w:hyperlink r:id="rId420">
        <w:r>
          <w:rPr>
            <w:rStyle w:val="Hyperlink"/>
          </w:rPr>
          <w:t xml:space="preserve">Working over Time: Dynamic Inconsistency in Real Effort Tasks</w:t>
        </w:r>
      </w:hyperlink>
      <w:r>
        <w:t xml:space="preserve">.”</w:t>
      </w:r>
      <w:r>
        <w:t xml:space="preserve"> </w:t>
      </w:r>
      <w:r>
        <w:rPr>
          <w:i/>
          <w:iCs/>
        </w:rPr>
        <w:t xml:space="preserve">Quarterly Journal of Economics</w:t>
      </w:r>
      <w:r>
        <w:t xml:space="preserve"> </w:t>
      </w:r>
      <w:r>
        <w:t xml:space="preserve">130 (3): 1067–1115.</w:t>
      </w:r>
    </w:p>
    <w:p>
      <w:pPr>
        <w:pStyle w:val="Compact"/>
        <w:numPr>
          <w:ilvl w:val="0"/>
          <w:numId w:val="1435"/>
        </w:numPr>
      </w:pPr>
      <w:r>
        <w:t xml:space="preserve">Barber, Brad M., e Terrance Odean. 2001.</w:t>
      </w:r>
      <w:r>
        <w:t xml:space="preserve"> </w:t>
      </w:r>
      <w:r>
        <w:t xml:space="preserve">“</w:t>
      </w:r>
      <w:hyperlink r:id="rId421">
        <w:r>
          <w:rPr>
            <w:rStyle w:val="Hyperlink"/>
          </w:rPr>
          <w:t xml:space="preserve">Boys Will Be Boys: Gender, Overconfidence, and Common Stock Investment</w:t>
        </w:r>
      </w:hyperlink>
      <w:r>
        <w:t xml:space="preserve">.”</w:t>
      </w:r>
      <w:r>
        <w:t xml:space="preserve"> </w:t>
      </w:r>
      <w:r>
        <w:rPr>
          <w:i/>
          <w:iCs/>
        </w:rPr>
        <w:t xml:space="preserve">Quarterly Journal of Economics</w:t>
      </w:r>
      <w:r>
        <w:t xml:space="preserve"> </w:t>
      </w:r>
      <w:r>
        <w:t xml:space="preserve">116 (1): 261–292.</w:t>
      </w:r>
    </w:p>
    <w:p>
      <w:pPr>
        <w:pStyle w:val="Compact"/>
        <w:numPr>
          <w:ilvl w:val="0"/>
          <w:numId w:val="1435"/>
        </w:numPr>
      </w:pPr>
      <w:r>
        <w:t xml:space="preserve">Berg, Joyce, John Dickhaut, e Kevin McCabe. 1995.</w:t>
      </w:r>
      <w:r>
        <w:t xml:space="preserve"> </w:t>
      </w:r>
      <w:r>
        <w:t xml:space="preserve">“</w:t>
      </w:r>
      <w:hyperlink r:id="rId422">
        <w:r>
          <w:rPr>
            <w:rStyle w:val="Hyperlink"/>
          </w:rPr>
          <w:t xml:space="preserve">Trust, Reciprocity, and Social History</w:t>
        </w:r>
      </w:hyperlink>
      <w:r>
        <w:t xml:space="preserve">.”</w:t>
      </w:r>
      <w:r>
        <w:t xml:space="preserve"> </w:t>
      </w:r>
      <w:r>
        <w:rPr>
          <w:i/>
          <w:iCs/>
        </w:rPr>
        <w:t xml:space="preserve">Games and Economic Behavior</w:t>
      </w:r>
      <w:r>
        <w:t xml:space="preserve"> </w:t>
      </w:r>
      <w:r>
        <w:t xml:space="preserve">10 (1): 122–142.</w:t>
      </w:r>
    </w:p>
    <w:p>
      <w:pPr>
        <w:pStyle w:val="Compact"/>
        <w:numPr>
          <w:ilvl w:val="0"/>
          <w:numId w:val="1435"/>
        </w:numPr>
      </w:pPr>
      <w:r>
        <w:t xml:space="preserve">Booij, Adam S., Bernard M. S. van Praag, e Gijs van de Kuilen. 2010.</w:t>
      </w:r>
      <w:r>
        <w:t xml:space="preserve"> </w:t>
      </w:r>
      <w:r>
        <w:t xml:space="preserve">“</w:t>
      </w:r>
      <w:hyperlink r:id="rId423">
        <w:r>
          <w:rPr>
            <w:rStyle w:val="Hyperlink"/>
          </w:rPr>
          <w:t xml:space="preserve">A Parametric Analysis of Prospect Theory’s Functionals for the General Population</w:t>
        </w:r>
      </w:hyperlink>
      <w:r>
        <w:t xml:space="preserve">.”</w:t>
      </w:r>
      <w:r>
        <w:t xml:space="preserve"> </w:t>
      </w:r>
      <w:r>
        <w:rPr>
          <w:i/>
          <w:iCs/>
        </w:rPr>
        <w:t xml:space="preserve">Theory and Decision</w:t>
      </w:r>
      <w:r>
        <w:t xml:space="preserve"> </w:t>
      </w:r>
      <w:r>
        <w:t xml:space="preserve">68 (1–2): 115–148.</w:t>
      </w:r>
    </w:p>
    <w:p>
      <w:pPr>
        <w:pStyle w:val="Compact"/>
        <w:numPr>
          <w:ilvl w:val="0"/>
          <w:numId w:val="1435"/>
        </w:numPr>
      </w:pPr>
      <w:r>
        <w:t xml:space="preserve">Camerer, Colin F., e Teck-Hua Ho. 1994.</w:t>
      </w:r>
      <w:r>
        <w:t xml:space="preserve"> </w:t>
      </w:r>
      <w:r>
        <w:t xml:space="preserve">“</w:t>
      </w:r>
      <w:hyperlink r:id="rId424">
        <w:r>
          <w:rPr>
            <w:rStyle w:val="Hyperlink"/>
          </w:rPr>
          <w:t xml:space="preserve">Violations of the Betweenness Axiom and Nonlinearity in Probability</w:t>
        </w:r>
      </w:hyperlink>
      <w:r>
        <w:t xml:space="preserve">.”</w:t>
      </w:r>
      <w:r>
        <w:t xml:space="preserve"> </w:t>
      </w:r>
      <w:r>
        <w:rPr>
          <w:i/>
          <w:iCs/>
        </w:rPr>
        <w:t xml:space="preserve">Journal of Risk and Uncertainty</w:t>
      </w:r>
      <w:r>
        <w:t xml:space="preserve"> </w:t>
      </w:r>
      <w:r>
        <w:t xml:space="preserve">8 (2): 167–196.</w:t>
      </w:r>
    </w:p>
    <w:p>
      <w:pPr>
        <w:pStyle w:val="Compact"/>
        <w:numPr>
          <w:ilvl w:val="0"/>
          <w:numId w:val="1435"/>
        </w:numPr>
      </w:pPr>
      <w:r>
        <w:t xml:space="preserve">DellaVigna, Stefano. 2009.</w:t>
      </w:r>
      <w:r>
        <w:t xml:space="preserve"> </w:t>
      </w:r>
      <w:r>
        <w:t xml:space="preserve">“</w:t>
      </w:r>
      <w:hyperlink r:id="rId416">
        <w:r>
          <w:rPr>
            <w:rStyle w:val="Hyperlink"/>
          </w:rPr>
          <w:t xml:space="preserve">Psychology and Economics: Evidence from the Field</w:t>
        </w:r>
      </w:hyperlink>
      <w:r>
        <w:t xml:space="preserve">.”</w:t>
      </w:r>
      <w:r>
        <w:t xml:space="preserve"> </w:t>
      </w:r>
      <w:r>
        <w:rPr>
          <w:i/>
          <w:iCs/>
        </w:rPr>
        <w:t xml:space="preserve">Journal of Economic Literature</w:t>
      </w:r>
      <w:r>
        <w:t xml:space="preserve"> </w:t>
      </w:r>
      <w:r>
        <w:t xml:space="preserve">47 (2): 315–372.</w:t>
      </w:r>
    </w:p>
    <w:p>
      <w:pPr>
        <w:pStyle w:val="Compact"/>
        <w:numPr>
          <w:ilvl w:val="0"/>
          <w:numId w:val="1435"/>
        </w:numPr>
      </w:pPr>
      <w:r>
        <w:t xml:space="preserve">DellaVigna, Stefano, e Ulrike Malmendier. 2006.</w:t>
      </w:r>
      <w:r>
        <w:t xml:space="preserve"> </w:t>
      </w:r>
      <w:r>
        <w:t xml:space="preserve">“</w:t>
      </w:r>
      <w:hyperlink r:id="rId425">
        <w:r>
          <w:rPr>
            <w:rStyle w:val="Hyperlink"/>
          </w:rPr>
          <w:t xml:space="preserve">Paying Not to Go to the Gym</w:t>
        </w:r>
      </w:hyperlink>
      <w:r>
        <w:t xml:space="preserve">.”</w:t>
      </w:r>
      <w:r>
        <w:t xml:space="preserve"> </w:t>
      </w:r>
      <w:r>
        <w:rPr>
          <w:i/>
          <w:iCs/>
        </w:rPr>
        <w:t xml:space="preserve">American Economic Review</w:t>
      </w:r>
      <w:r>
        <w:t xml:space="preserve"> </w:t>
      </w:r>
      <w:r>
        <w:t xml:space="preserve">96 (3): 694–719.</w:t>
      </w:r>
    </w:p>
    <w:p>
      <w:pPr>
        <w:pStyle w:val="Compact"/>
        <w:numPr>
          <w:ilvl w:val="0"/>
          <w:numId w:val="1435"/>
        </w:numPr>
      </w:pPr>
      <w:r>
        <w:t xml:space="preserve">Dhami, Sanjit S. 2016.</w:t>
      </w:r>
      <w:r>
        <w:t xml:space="preserve"> </w:t>
      </w:r>
      <w:hyperlink r:id="rId426">
        <w:r>
          <w:rPr>
            <w:rStyle w:val="Hyperlink"/>
            <w:i/>
            <w:iCs/>
          </w:rPr>
          <w:t xml:space="preserve">The Foundations of Behavioral Economic Analysis</w:t>
        </w:r>
      </w:hyperlink>
      <w:r>
        <w:t xml:space="preserve">. Oxford: Oxford University Press.</w:t>
      </w:r>
    </w:p>
    <w:p>
      <w:pPr>
        <w:pStyle w:val="Compact"/>
        <w:numPr>
          <w:ilvl w:val="0"/>
          <w:numId w:val="1435"/>
        </w:numPr>
      </w:pPr>
      <w:r>
        <w:t xml:space="preserve">Ellsberg, Daniel. 1961.</w:t>
      </w:r>
      <w:r>
        <w:t xml:space="preserve"> </w:t>
      </w:r>
      <w:r>
        <w:t xml:space="preserve">“</w:t>
      </w:r>
      <w:hyperlink r:id="rId414">
        <w:r>
          <w:rPr>
            <w:rStyle w:val="Hyperlink"/>
          </w:rPr>
          <w:t xml:space="preserve">Risk, Ambiguity, and the Savage Axioms</w:t>
        </w:r>
      </w:hyperlink>
      <w:r>
        <w:t xml:space="preserve">.”</w:t>
      </w:r>
      <w:r>
        <w:t xml:space="preserve"> </w:t>
      </w:r>
      <w:r>
        <w:rPr>
          <w:i/>
          <w:iCs/>
        </w:rPr>
        <w:t xml:space="preserve">Quarterly Journal of Economics</w:t>
      </w:r>
      <w:r>
        <w:t xml:space="preserve"> </w:t>
      </w:r>
      <w:r>
        <w:t xml:space="preserve">75 (4): 643–669.</w:t>
      </w:r>
    </w:p>
    <w:p>
      <w:pPr>
        <w:pStyle w:val="Compact"/>
        <w:numPr>
          <w:ilvl w:val="0"/>
          <w:numId w:val="1435"/>
        </w:numPr>
      </w:pPr>
      <w:r>
        <w:t xml:space="preserve">Fehr, Ernst, e Simon Gächter. 2000.</w:t>
      </w:r>
      <w:r>
        <w:t xml:space="preserve"> </w:t>
      </w:r>
      <w:r>
        <w:t xml:space="preserve">“</w:t>
      </w:r>
      <w:hyperlink r:id="rId427">
        <w:r>
          <w:rPr>
            <w:rStyle w:val="Hyperlink"/>
          </w:rPr>
          <w:t xml:space="preserve">Cooperation and Punishment in Public Goods Experiments</w:t>
        </w:r>
      </w:hyperlink>
      <w:r>
        <w:t xml:space="preserve">.”</w:t>
      </w:r>
      <w:r>
        <w:t xml:space="preserve"> </w:t>
      </w:r>
      <w:r>
        <w:rPr>
          <w:i/>
          <w:iCs/>
        </w:rPr>
        <w:t xml:space="preserve">American Economic Review</w:t>
      </w:r>
      <w:r>
        <w:t xml:space="preserve"> </w:t>
      </w:r>
      <w:r>
        <w:t xml:space="preserve">90 (4): 980–994.</w:t>
      </w:r>
    </w:p>
    <w:p>
      <w:pPr>
        <w:pStyle w:val="Compact"/>
        <w:numPr>
          <w:ilvl w:val="0"/>
          <w:numId w:val="1435"/>
        </w:numPr>
      </w:pPr>
      <w:r>
        <w:t xml:space="preserve">Fehr, Ernst, e Klaus M. Schmidt. 1999.</w:t>
      </w:r>
      <w:r>
        <w:t xml:space="preserve"> </w:t>
      </w:r>
      <w:r>
        <w:t xml:space="preserve">“</w:t>
      </w:r>
      <w:hyperlink r:id="rId411">
        <w:r>
          <w:rPr>
            <w:rStyle w:val="Hyperlink"/>
          </w:rPr>
          <w:t xml:space="preserve">A Theory of Fairness, Competition, and Cooperation</w:t>
        </w:r>
      </w:hyperlink>
      <w:r>
        <w:t xml:space="preserve">.”</w:t>
      </w:r>
      <w:r>
        <w:t xml:space="preserve"> </w:t>
      </w:r>
      <w:r>
        <w:rPr>
          <w:i/>
          <w:iCs/>
        </w:rPr>
        <w:t xml:space="preserve">Quarterly Journal of Economics</w:t>
      </w:r>
      <w:r>
        <w:t xml:space="preserve"> </w:t>
      </w:r>
      <w:r>
        <w:t xml:space="preserve">114 (3): 817–868.</w:t>
      </w:r>
    </w:p>
    <w:p>
      <w:pPr>
        <w:pStyle w:val="Compact"/>
        <w:numPr>
          <w:ilvl w:val="0"/>
          <w:numId w:val="1435"/>
        </w:numPr>
      </w:pPr>
      <w:r>
        <w:t xml:space="preserve">Fischhoff, Baruch. 1975.</w:t>
      </w:r>
      <w:r>
        <w:t xml:space="preserve"> </w:t>
      </w:r>
      <w:r>
        <w:t xml:space="preserve">“</w:t>
      </w:r>
      <w:hyperlink r:id="rId428">
        <w:r>
          <w:rPr>
            <w:rStyle w:val="Hyperlink"/>
          </w:rPr>
          <w:t xml:space="preserve">Hindsight ≠ Foresight: The Effect of Outcome Knowledge on Judgment under Uncertainty</w:t>
        </w:r>
      </w:hyperlink>
      <w:r>
        <w:t xml:space="preserve">.”</w:t>
      </w:r>
      <w:r>
        <w:t xml:space="preserve"> </w:t>
      </w:r>
      <w:r>
        <w:rPr>
          <w:i/>
          <w:iCs/>
        </w:rPr>
        <w:t xml:space="preserve">Journal of Experimental Psychology: Human Perception and Performance</w:t>
      </w:r>
      <w:r>
        <w:t xml:space="preserve"> </w:t>
      </w:r>
      <w:r>
        <w:t xml:space="preserve">1 (3): 288–299.</w:t>
      </w:r>
    </w:p>
    <w:p>
      <w:pPr>
        <w:pStyle w:val="Compact"/>
        <w:numPr>
          <w:ilvl w:val="0"/>
          <w:numId w:val="1435"/>
        </w:numPr>
      </w:pPr>
      <w:r>
        <w:t xml:space="preserve">Forsythe, Robert, Joel L. Horowitz, N. E. Savin, e Martin Sefton. 1994.</w:t>
      </w:r>
      <w:r>
        <w:t xml:space="preserve"> </w:t>
      </w:r>
      <w:r>
        <w:t xml:space="preserve">“</w:t>
      </w:r>
      <w:hyperlink r:id="rId429">
        <w:r>
          <w:rPr>
            <w:rStyle w:val="Hyperlink"/>
          </w:rPr>
          <w:t xml:space="preserve">Fairness in Simple Bargaining Experiments</w:t>
        </w:r>
      </w:hyperlink>
      <w:r>
        <w:t xml:space="preserve">.”</w:t>
      </w:r>
      <w:r>
        <w:t xml:space="preserve"> </w:t>
      </w:r>
      <w:r>
        <w:rPr>
          <w:i/>
          <w:iCs/>
        </w:rPr>
        <w:t xml:space="preserve">Games and Economic Behavior</w:t>
      </w:r>
      <w:r>
        <w:t xml:space="preserve"> </w:t>
      </w:r>
      <w:r>
        <w:t xml:space="preserve">6 (3): 347–369.</w:t>
      </w:r>
    </w:p>
    <w:p>
      <w:pPr>
        <w:pStyle w:val="Compact"/>
        <w:numPr>
          <w:ilvl w:val="0"/>
          <w:numId w:val="1435"/>
        </w:numPr>
      </w:pPr>
      <w:r>
        <w:t xml:space="preserve">Frederick, Shane, George Loewenstein, e Ted O’Donoghue. 2002.</w:t>
      </w:r>
      <w:r>
        <w:t xml:space="preserve"> </w:t>
      </w:r>
      <w:r>
        <w:t xml:space="preserve">“</w:t>
      </w:r>
      <w:hyperlink r:id="rId430">
        <w:r>
          <w:rPr>
            <w:rStyle w:val="Hyperlink"/>
          </w:rPr>
          <w:t xml:space="preserve">Time Discounting and Time Preference: A Critical Review</w:t>
        </w:r>
      </w:hyperlink>
      <w:r>
        <w:t xml:space="preserve">.”</w:t>
      </w:r>
      <w:r>
        <w:t xml:space="preserve"> </w:t>
      </w:r>
      <w:r>
        <w:rPr>
          <w:i/>
          <w:iCs/>
        </w:rPr>
        <w:t xml:space="preserve">Journal of Economic Literature</w:t>
      </w:r>
      <w:r>
        <w:t xml:space="preserve"> </w:t>
      </w:r>
      <w:r>
        <w:t xml:space="preserve">40 (2): 351–401.</w:t>
      </w:r>
    </w:p>
    <w:p>
      <w:pPr>
        <w:pStyle w:val="Compact"/>
        <w:numPr>
          <w:ilvl w:val="0"/>
          <w:numId w:val="1435"/>
        </w:numPr>
      </w:pPr>
      <w:r>
        <w:t xml:space="preserve">Gilboa, Itzhak, e David Schmeidler. 1989.</w:t>
      </w:r>
      <w:r>
        <w:t xml:space="preserve"> </w:t>
      </w:r>
      <w:r>
        <w:t xml:space="preserve">“</w:t>
      </w:r>
      <w:hyperlink r:id="rId431">
        <w:r>
          <w:rPr>
            <w:rStyle w:val="Hyperlink"/>
          </w:rPr>
          <w:t xml:space="preserve">Maxmin Expected Utility with Non-Unique Prior</w:t>
        </w:r>
      </w:hyperlink>
      <w:r>
        <w:t xml:space="preserve">.”</w:t>
      </w:r>
      <w:r>
        <w:t xml:space="preserve"> </w:t>
      </w:r>
      <w:r>
        <w:rPr>
          <w:i/>
          <w:iCs/>
        </w:rPr>
        <w:t xml:space="preserve">Journal of Mathematical Economics</w:t>
      </w:r>
      <w:r>
        <w:t xml:space="preserve"> </w:t>
      </w:r>
      <w:r>
        <w:t xml:space="preserve">18 (2): 141–153.</w:t>
      </w:r>
    </w:p>
    <w:p>
      <w:pPr>
        <w:pStyle w:val="Compact"/>
        <w:numPr>
          <w:ilvl w:val="0"/>
          <w:numId w:val="1435"/>
        </w:numPr>
      </w:pPr>
      <w:r>
        <w:t xml:space="preserve">Güth, Werner, Rolf Schmittberger, e Bernd Schwarze. 1982.</w:t>
      </w:r>
      <w:r>
        <w:t xml:space="preserve"> </w:t>
      </w:r>
      <w:r>
        <w:t xml:space="preserve">“</w:t>
      </w:r>
      <w:hyperlink r:id="rId432">
        <w:r>
          <w:rPr>
            <w:rStyle w:val="Hyperlink"/>
          </w:rPr>
          <w:t xml:space="preserve">An Experimental Analysis of Ultimatum Bargaining</w:t>
        </w:r>
      </w:hyperlink>
      <w:r>
        <w:t xml:space="preserve">.”</w:t>
      </w:r>
      <w:r>
        <w:t xml:space="preserve"> </w:t>
      </w:r>
      <w:r>
        <w:rPr>
          <w:i/>
          <w:iCs/>
        </w:rPr>
        <w:t xml:space="preserve">Journal of Economic Behavior &amp; Organization</w:t>
      </w:r>
      <w:r>
        <w:t xml:space="preserve"> </w:t>
      </w:r>
      <w:r>
        <w:t xml:space="preserve">3 (4): 367–388.</w:t>
      </w:r>
    </w:p>
    <w:p>
      <w:pPr>
        <w:pStyle w:val="Compact"/>
        <w:numPr>
          <w:ilvl w:val="0"/>
          <w:numId w:val="1435"/>
        </w:numPr>
      </w:pPr>
      <w:r>
        <w:t xml:space="preserve">Henrich, Joseph, Robert Boyd, Samuel Bowles, Colin Camerer, Ernst Fehr, Herbert Gintis, e Richard McElreath. 2001.</w:t>
      </w:r>
      <w:r>
        <w:t xml:space="preserve"> </w:t>
      </w:r>
      <w:r>
        <w:t xml:space="preserve">“</w:t>
      </w:r>
      <w:hyperlink r:id="rId433">
        <w:r>
          <w:rPr>
            <w:rStyle w:val="Hyperlink"/>
          </w:rPr>
          <w:t xml:space="preserve">In Search of Homo Economicus: Behavioral Experiments in 15 Small-Scale Societies</w:t>
        </w:r>
      </w:hyperlink>
      <w:r>
        <w:t xml:space="preserve">.”</w:t>
      </w:r>
      <w:r>
        <w:t xml:space="preserve"> </w:t>
      </w:r>
      <w:r>
        <w:rPr>
          <w:i/>
          <w:iCs/>
        </w:rPr>
        <w:t xml:space="preserve">American Economic Review</w:t>
      </w:r>
      <w:r>
        <w:t xml:space="preserve"> </w:t>
      </w:r>
      <w:r>
        <w:t xml:space="preserve">91 (2): 73–78.</w:t>
      </w:r>
    </w:p>
    <w:p>
      <w:pPr>
        <w:pStyle w:val="Compact"/>
        <w:numPr>
          <w:ilvl w:val="0"/>
          <w:numId w:val="1435"/>
        </w:numPr>
      </w:pPr>
      <w:r>
        <w:t xml:space="preserve">Hoffman, Elizabeth, Kevin McCabe, e Vernon L. Smith. 1994.</w:t>
      </w:r>
      <w:r>
        <w:t xml:space="preserve"> </w:t>
      </w:r>
      <w:r>
        <w:t xml:space="preserve">“</w:t>
      </w:r>
      <w:hyperlink r:id="rId434">
        <w:r>
          <w:rPr>
            <w:rStyle w:val="Hyperlink"/>
          </w:rPr>
          <w:t xml:space="preserve">Preferences, Property Rights, and Anonymity in Bargaining Games</w:t>
        </w:r>
      </w:hyperlink>
      <w:r>
        <w:t xml:space="preserve">.”</w:t>
      </w:r>
      <w:r>
        <w:t xml:space="preserve"> </w:t>
      </w:r>
      <w:r>
        <w:rPr>
          <w:i/>
          <w:iCs/>
        </w:rPr>
        <w:t xml:space="preserve">Games and Economic Behavior</w:t>
      </w:r>
      <w:r>
        <w:t xml:space="preserve"> </w:t>
      </w:r>
      <w:r>
        <w:t xml:space="preserve">7 (3): 346–380.</w:t>
      </w:r>
    </w:p>
    <w:p>
      <w:pPr>
        <w:pStyle w:val="Compact"/>
        <w:numPr>
          <w:ilvl w:val="0"/>
          <w:numId w:val="1435"/>
        </w:numPr>
      </w:pPr>
      <w:r>
        <w:t xml:space="preserve">Johnson, Eric J., e Daniel Goldstein. 2003.</w:t>
      </w:r>
      <w:r>
        <w:t xml:space="preserve"> </w:t>
      </w:r>
      <w:r>
        <w:t xml:space="preserve">“</w:t>
      </w:r>
      <w:hyperlink r:id="rId435">
        <w:r>
          <w:rPr>
            <w:rStyle w:val="Hyperlink"/>
          </w:rPr>
          <w:t xml:space="preserve">Do Defaults Save Lives?</w:t>
        </w:r>
      </w:hyperlink>
      <w:r>
        <w:t xml:space="preserve">”</w:t>
      </w:r>
      <w:r>
        <w:t xml:space="preserve"> </w:t>
      </w:r>
      <w:r>
        <w:rPr>
          <w:i/>
          <w:iCs/>
        </w:rPr>
        <w:t xml:space="preserve">Science</w:t>
      </w:r>
      <w:r>
        <w:t xml:space="preserve"> </w:t>
      </w:r>
      <w:r>
        <w:t xml:space="preserve">302 (5649): 1338–1339.</w:t>
      </w:r>
    </w:p>
    <w:p>
      <w:pPr>
        <w:pStyle w:val="Compact"/>
        <w:numPr>
          <w:ilvl w:val="0"/>
          <w:numId w:val="1435"/>
        </w:numPr>
      </w:pPr>
      <w:r>
        <w:t xml:space="preserve">Kahneman, Daniel. 2011.</w:t>
      </w:r>
      <w:r>
        <w:t xml:space="preserve"> </w:t>
      </w:r>
      <w:hyperlink r:id="rId436">
        <w:r>
          <w:rPr>
            <w:rStyle w:val="Hyperlink"/>
            <w:i/>
            <w:iCs/>
          </w:rPr>
          <w:t xml:space="preserve">Thinking, Fast and Slow</w:t>
        </w:r>
      </w:hyperlink>
      <w:r>
        <w:t xml:space="preserve">. New York: Farrar, Straus and Giroux.</w:t>
      </w:r>
    </w:p>
    <w:p>
      <w:pPr>
        <w:pStyle w:val="Compact"/>
        <w:numPr>
          <w:ilvl w:val="0"/>
          <w:numId w:val="1435"/>
        </w:numPr>
      </w:pPr>
      <w:r>
        <w:t xml:space="preserve">Kahneman, Daniel, Jack L. Knetsch, e Richard H. Thaler. 1990.</w:t>
      </w:r>
      <w:r>
        <w:t xml:space="preserve"> </w:t>
      </w:r>
      <w:r>
        <w:t xml:space="preserve">“</w:t>
      </w:r>
      <w:hyperlink r:id="rId437">
        <w:r>
          <w:rPr>
            <w:rStyle w:val="Hyperlink"/>
          </w:rPr>
          <w:t xml:space="preserve">Experimental Tests of the Endowment Effect and the Coase Theorem</w:t>
        </w:r>
      </w:hyperlink>
      <w:r>
        <w:t xml:space="preserve">.”</w:t>
      </w:r>
      <w:r>
        <w:t xml:space="preserve"> </w:t>
      </w:r>
      <w:r>
        <w:rPr>
          <w:i/>
          <w:iCs/>
        </w:rPr>
        <w:t xml:space="preserve">Journal of Political Economy</w:t>
      </w:r>
      <w:r>
        <w:t xml:space="preserve"> </w:t>
      </w:r>
      <w:r>
        <w:t xml:space="preserve">98 (6): 1325–1348.</w:t>
      </w:r>
    </w:p>
    <w:p>
      <w:pPr>
        <w:pStyle w:val="Compact"/>
        <w:numPr>
          <w:ilvl w:val="0"/>
          <w:numId w:val="1435"/>
        </w:numPr>
      </w:pPr>
      <w:r>
        <w:t xml:space="preserve">Kahneman, Daniel, e Amos Tversky. 1979.</w:t>
      </w:r>
      <w:r>
        <w:t xml:space="preserve"> </w:t>
      </w:r>
      <w:r>
        <w:t xml:space="preserve">“</w:t>
      </w:r>
      <w:hyperlink r:id="rId359">
        <w:r>
          <w:rPr>
            <w:rStyle w:val="Hyperlink"/>
          </w:rPr>
          <w:t xml:space="preserve">Prospect Theory: An Analysis of Decision under Risk</w:t>
        </w:r>
      </w:hyperlink>
      <w:r>
        <w:t xml:space="preserve">.”</w:t>
      </w:r>
      <w:r>
        <w:t xml:space="preserve"> </w:t>
      </w:r>
      <w:r>
        <w:rPr>
          <w:i/>
          <w:iCs/>
        </w:rPr>
        <w:t xml:space="preserve">Econometrica</w:t>
      </w:r>
      <w:r>
        <w:t xml:space="preserve"> </w:t>
      </w:r>
      <w:r>
        <w:t xml:space="preserve">47 (2): 263–291.</w:t>
      </w:r>
    </w:p>
    <w:p>
      <w:pPr>
        <w:pStyle w:val="Compact"/>
        <w:numPr>
          <w:ilvl w:val="0"/>
          <w:numId w:val="1435"/>
        </w:numPr>
      </w:pPr>
      <w:r>
        <w:t xml:space="preserve">Karsten, Jan Gunnar. 2005.</w:t>
      </w:r>
      <w:r>
        <w:t xml:space="preserve"> </w:t>
      </w:r>
      <w:r>
        <w:t xml:space="preserve">“</w:t>
      </w:r>
      <w:hyperlink r:id="rId438">
        <w:r>
          <w:rPr>
            <w:rStyle w:val="Hyperlink"/>
          </w:rPr>
          <w:t xml:space="preserve">O efeito de disposição: um estudo empírico no Brasil</w:t>
        </w:r>
      </w:hyperlink>
      <w:r>
        <w:t xml:space="preserve">.”</w:t>
      </w:r>
      <w:r>
        <w:t xml:space="preserve"> </w:t>
      </w:r>
      <w:r>
        <w:t xml:space="preserve">Dissertação de mestrado, FGV/EPGE.</w:t>
      </w:r>
    </w:p>
    <w:p>
      <w:pPr>
        <w:pStyle w:val="Compact"/>
        <w:numPr>
          <w:ilvl w:val="0"/>
          <w:numId w:val="1435"/>
        </w:numPr>
      </w:pPr>
      <w:r>
        <w:t xml:space="preserve">Klibanoff, Peter, Massimo Marinacci, e Sujoy Mukerji. 2005.</w:t>
      </w:r>
      <w:r>
        <w:t xml:space="preserve"> </w:t>
      </w:r>
      <w:r>
        <w:t xml:space="preserve">“</w:t>
      </w:r>
      <w:hyperlink r:id="rId439">
        <w:r>
          <w:rPr>
            <w:rStyle w:val="Hyperlink"/>
          </w:rPr>
          <w:t xml:space="preserve">A Smooth Model of Decision Making under Ambiguity</w:t>
        </w:r>
      </w:hyperlink>
      <w:r>
        <w:t xml:space="preserve">.”</w:t>
      </w:r>
      <w:r>
        <w:t xml:space="preserve"> </w:t>
      </w:r>
      <w:r>
        <w:rPr>
          <w:i/>
          <w:iCs/>
        </w:rPr>
        <w:t xml:space="preserve">Econometrica</w:t>
      </w:r>
      <w:r>
        <w:t xml:space="preserve"> </w:t>
      </w:r>
      <w:r>
        <w:t xml:space="preserve">73 (6): 1849–1892.</w:t>
      </w:r>
    </w:p>
    <w:p>
      <w:pPr>
        <w:pStyle w:val="Compact"/>
        <w:numPr>
          <w:ilvl w:val="0"/>
          <w:numId w:val="1435"/>
        </w:numPr>
      </w:pPr>
      <w:r>
        <w:t xml:space="preserve">Knight, Frank H. 1921.</w:t>
      </w:r>
      <w:r>
        <w:t xml:space="preserve"> </w:t>
      </w:r>
      <w:hyperlink r:id="rId440">
        <w:r>
          <w:rPr>
            <w:rStyle w:val="Hyperlink"/>
            <w:i/>
            <w:iCs/>
          </w:rPr>
          <w:t xml:space="preserve">Risk, Uncertainty and Profit</w:t>
        </w:r>
      </w:hyperlink>
      <w:r>
        <w:t xml:space="preserve">. Boston: Houghton Mifflin.</w:t>
      </w:r>
    </w:p>
    <w:p>
      <w:pPr>
        <w:pStyle w:val="Compact"/>
        <w:numPr>
          <w:ilvl w:val="0"/>
          <w:numId w:val="1435"/>
        </w:numPr>
      </w:pPr>
      <w:r>
        <w:t xml:space="preserve">Laibson, David. 1997.</w:t>
      </w:r>
      <w:r>
        <w:t xml:space="preserve"> </w:t>
      </w:r>
      <w:r>
        <w:t xml:space="preserve">“</w:t>
      </w:r>
      <w:hyperlink r:id="rId413">
        <w:r>
          <w:rPr>
            <w:rStyle w:val="Hyperlink"/>
          </w:rPr>
          <w:t xml:space="preserve">Golden Eggs and Hyperbolic Discounting</w:t>
        </w:r>
      </w:hyperlink>
      <w:r>
        <w:t xml:space="preserve">.”</w:t>
      </w:r>
      <w:r>
        <w:t xml:space="preserve"> </w:t>
      </w:r>
      <w:r>
        <w:rPr>
          <w:i/>
          <w:iCs/>
        </w:rPr>
        <w:t xml:space="preserve">Quarterly Journal of Economics</w:t>
      </w:r>
      <w:r>
        <w:t xml:space="preserve"> </w:t>
      </w:r>
      <w:r>
        <w:t xml:space="preserve">112 (2): 443–478.</w:t>
      </w:r>
    </w:p>
    <w:p>
      <w:pPr>
        <w:pStyle w:val="Compact"/>
        <w:numPr>
          <w:ilvl w:val="0"/>
          <w:numId w:val="1435"/>
        </w:numPr>
      </w:pPr>
      <w:r>
        <w:t xml:space="preserve">Lichtenstein, Sarah, Baruch Fischhoff, e Lawrence D. Phillips. 1982.</w:t>
      </w:r>
      <w:r>
        <w:t xml:space="preserve"> </w:t>
      </w:r>
      <w:r>
        <w:t xml:space="preserve">“Calibration of Probabilities: The State of the Art to 1980.”</w:t>
      </w:r>
      <w:r>
        <w:t xml:space="preserve"> </w:t>
      </w:r>
      <w:r>
        <w:t xml:space="preserve">Em</w:t>
      </w:r>
      <w:r>
        <w:t xml:space="preserve"> </w:t>
      </w:r>
      <w:r>
        <w:rPr>
          <w:i/>
          <w:iCs/>
        </w:rPr>
        <w:t xml:space="preserve">Judgment under Uncertainty: Heuristics and Biases</w:t>
      </w:r>
      <w:r>
        <w:t xml:space="preserve">, org. Daniel Kahneman, Paul Slovic e Amos Tversky, 306–334. Cambridge: Cambridge University Press.</w:t>
      </w:r>
    </w:p>
    <w:p>
      <w:pPr>
        <w:pStyle w:val="Compact"/>
        <w:numPr>
          <w:ilvl w:val="0"/>
          <w:numId w:val="1435"/>
        </w:numPr>
      </w:pPr>
      <w:r>
        <w:t xml:space="preserve">List, John A., e Todd L. Cherry. 2000.</w:t>
      </w:r>
      <w:r>
        <w:t xml:space="preserve"> </w:t>
      </w:r>
      <w:r>
        <w:t xml:space="preserve">“</w:t>
      </w:r>
      <w:hyperlink r:id="rId441">
        <w:r>
          <w:rPr>
            <w:rStyle w:val="Hyperlink"/>
          </w:rPr>
          <w:t xml:space="preserve">Learning to Accept in Ultimatum Games: Evidence from an Experimental Design That Generates Low Offers</w:t>
        </w:r>
      </w:hyperlink>
      <w:r>
        <w:t xml:space="preserve">.”</w:t>
      </w:r>
      <w:r>
        <w:t xml:space="preserve"> </w:t>
      </w:r>
      <w:r>
        <w:rPr>
          <w:i/>
          <w:iCs/>
        </w:rPr>
        <w:t xml:space="preserve">Experimental Economics</w:t>
      </w:r>
      <w:r>
        <w:t xml:space="preserve"> </w:t>
      </w:r>
      <w:r>
        <w:t xml:space="preserve">3 (1): 11–29.</w:t>
      </w:r>
    </w:p>
    <w:p>
      <w:pPr>
        <w:pStyle w:val="Compact"/>
        <w:numPr>
          <w:ilvl w:val="0"/>
          <w:numId w:val="1435"/>
        </w:numPr>
      </w:pPr>
      <w:r>
        <w:t xml:space="preserve">Madrian, Brigitte C., e Dennis F. Shea. 2001.</w:t>
      </w:r>
      <w:r>
        <w:t xml:space="preserve"> </w:t>
      </w:r>
      <w:r>
        <w:t xml:space="preserve">“</w:t>
      </w:r>
      <w:hyperlink r:id="rId412">
        <w:r>
          <w:rPr>
            <w:rStyle w:val="Hyperlink"/>
          </w:rPr>
          <w:t xml:space="preserve">The Power of Suggestion: Inertia in 401(k) Participation and Savings Behavior</w:t>
        </w:r>
      </w:hyperlink>
      <w:r>
        <w:t xml:space="preserve">.”</w:t>
      </w:r>
      <w:r>
        <w:t xml:space="preserve"> </w:t>
      </w:r>
      <w:r>
        <w:rPr>
          <w:i/>
          <w:iCs/>
        </w:rPr>
        <w:t xml:space="preserve">Quarterly Journal of Economics</w:t>
      </w:r>
      <w:r>
        <w:t xml:space="preserve"> </w:t>
      </w:r>
      <w:r>
        <w:t xml:space="preserve">116 (4): 1149–1187.</w:t>
      </w:r>
    </w:p>
    <w:p>
      <w:pPr>
        <w:pStyle w:val="Compact"/>
        <w:numPr>
          <w:ilvl w:val="0"/>
          <w:numId w:val="1435"/>
        </w:numPr>
      </w:pPr>
      <w:r>
        <w:t xml:space="preserve">Northcraft, Gregory B., e Margaret A. Neale. 1987.</w:t>
      </w:r>
      <w:r>
        <w:t xml:space="preserve"> </w:t>
      </w:r>
      <w:r>
        <w:t xml:space="preserve">“</w:t>
      </w:r>
      <w:hyperlink r:id="rId442">
        <w:r>
          <w:rPr>
            <w:rStyle w:val="Hyperlink"/>
          </w:rPr>
          <w:t xml:space="preserve">Experts, Amateurs, and Real Estate: An Anchoring-and-Adjustment Perspective on Property Pricing Decisions</w:t>
        </w:r>
      </w:hyperlink>
      <w:r>
        <w:t xml:space="preserve">.”</w:t>
      </w:r>
      <w:r>
        <w:t xml:space="preserve"> </w:t>
      </w:r>
      <w:r>
        <w:rPr>
          <w:i/>
          <w:iCs/>
        </w:rPr>
        <w:t xml:space="preserve">Organizational Behavior and Human Decision Processes</w:t>
      </w:r>
      <w:r>
        <w:t xml:space="preserve"> </w:t>
      </w:r>
      <w:r>
        <w:t xml:space="preserve">39 (1): 84–97.</w:t>
      </w:r>
    </w:p>
    <w:p>
      <w:pPr>
        <w:pStyle w:val="Compact"/>
        <w:numPr>
          <w:ilvl w:val="0"/>
          <w:numId w:val="1435"/>
        </w:numPr>
      </w:pPr>
      <w:r>
        <w:t xml:space="preserve">O’Donoghue, Ted, e Matthew Rabin. 1999.</w:t>
      </w:r>
      <w:r>
        <w:t xml:space="preserve"> </w:t>
      </w:r>
      <w:r>
        <w:t xml:space="preserve">“</w:t>
      </w:r>
      <w:hyperlink r:id="rId443">
        <w:r>
          <w:rPr>
            <w:rStyle w:val="Hyperlink"/>
          </w:rPr>
          <w:t xml:space="preserve">Doing It Now or Later</w:t>
        </w:r>
      </w:hyperlink>
      <w:r>
        <w:t xml:space="preserve">.”</w:t>
      </w:r>
      <w:r>
        <w:t xml:space="preserve"> </w:t>
      </w:r>
      <w:r>
        <w:rPr>
          <w:i/>
          <w:iCs/>
        </w:rPr>
        <w:t xml:space="preserve">American Economic Review</w:t>
      </w:r>
      <w:r>
        <w:t xml:space="preserve"> </w:t>
      </w:r>
      <w:r>
        <w:t xml:space="preserve">89 (1): 103–124.</w:t>
      </w:r>
    </w:p>
    <w:p>
      <w:pPr>
        <w:pStyle w:val="Compact"/>
        <w:numPr>
          <w:ilvl w:val="0"/>
          <w:numId w:val="1435"/>
        </w:numPr>
      </w:pPr>
      <w:r>
        <w:t xml:space="preserve">Prelec, Drazen. 1998.</w:t>
      </w:r>
      <w:r>
        <w:t xml:space="preserve"> </w:t>
      </w:r>
      <w:r>
        <w:t xml:space="preserve">“</w:t>
      </w:r>
      <w:hyperlink r:id="rId444">
        <w:r>
          <w:rPr>
            <w:rStyle w:val="Hyperlink"/>
          </w:rPr>
          <w:t xml:space="preserve">The Probability Weighting Function</w:t>
        </w:r>
      </w:hyperlink>
      <w:r>
        <w:t xml:space="preserve">.”</w:t>
      </w:r>
      <w:r>
        <w:t xml:space="preserve"> </w:t>
      </w:r>
      <w:r>
        <w:rPr>
          <w:i/>
          <w:iCs/>
        </w:rPr>
        <w:t xml:space="preserve">Econometrica</w:t>
      </w:r>
      <w:r>
        <w:t xml:space="preserve"> </w:t>
      </w:r>
      <w:r>
        <w:t xml:space="preserve">66 (3): 497–527.</w:t>
      </w:r>
    </w:p>
    <w:p>
      <w:pPr>
        <w:pStyle w:val="Compact"/>
        <w:numPr>
          <w:ilvl w:val="0"/>
          <w:numId w:val="1435"/>
        </w:numPr>
      </w:pPr>
      <w:r>
        <w:t xml:space="preserve">Prelec, Drazen, e George Loewenstein. 1998.</w:t>
      </w:r>
      <w:r>
        <w:t xml:space="preserve"> </w:t>
      </w:r>
      <w:r>
        <w:t xml:space="preserve">“</w:t>
      </w:r>
      <w:hyperlink r:id="rId445">
        <w:r>
          <w:rPr>
            <w:rStyle w:val="Hyperlink"/>
          </w:rPr>
          <w:t xml:space="preserve">The Red and the Black: Mental Accounting of Savings and Debt</w:t>
        </w:r>
      </w:hyperlink>
      <w:r>
        <w:t xml:space="preserve">.”</w:t>
      </w:r>
      <w:r>
        <w:t xml:space="preserve"> </w:t>
      </w:r>
      <w:r>
        <w:rPr>
          <w:i/>
          <w:iCs/>
        </w:rPr>
        <w:t xml:space="preserve">Marketing Science</w:t>
      </w:r>
      <w:r>
        <w:t xml:space="preserve"> </w:t>
      </w:r>
      <w:r>
        <w:t xml:space="preserve">17 (1): 4–28.</w:t>
      </w:r>
    </w:p>
    <w:p>
      <w:pPr>
        <w:pStyle w:val="Compact"/>
        <w:numPr>
          <w:ilvl w:val="0"/>
          <w:numId w:val="1435"/>
        </w:numPr>
      </w:pPr>
      <w:r>
        <w:t xml:space="preserve">Quiggin, John. 1982.</w:t>
      </w:r>
      <w:r>
        <w:t xml:space="preserve"> </w:t>
      </w:r>
      <w:r>
        <w:t xml:space="preserve">“</w:t>
      </w:r>
      <w:hyperlink r:id="rId446">
        <w:r>
          <w:rPr>
            <w:rStyle w:val="Hyperlink"/>
          </w:rPr>
          <w:t xml:space="preserve">A Theory of Anticipated Utility</w:t>
        </w:r>
      </w:hyperlink>
      <w:r>
        <w:t xml:space="preserve">.”</w:t>
      </w:r>
      <w:r>
        <w:t xml:space="preserve"> </w:t>
      </w:r>
      <w:r>
        <w:rPr>
          <w:i/>
          <w:iCs/>
        </w:rPr>
        <w:t xml:space="preserve">Journal of Economic Behavior &amp; Organization</w:t>
      </w:r>
      <w:r>
        <w:t xml:space="preserve"> </w:t>
      </w:r>
      <w:r>
        <w:t xml:space="preserve">3 (4): 323–343.</w:t>
      </w:r>
    </w:p>
    <w:p>
      <w:pPr>
        <w:pStyle w:val="Compact"/>
        <w:numPr>
          <w:ilvl w:val="0"/>
          <w:numId w:val="1435"/>
        </w:numPr>
      </w:pPr>
      <w:r>
        <w:t xml:space="preserve">Samuelson, Paul A. 1937.</w:t>
      </w:r>
      <w:r>
        <w:t xml:space="preserve"> </w:t>
      </w:r>
      <w:r>
        <w:t xml:space="preserve">“</w:t>
      </w:r>
      <w:hyperlink r:id="rId447">
        <w:r>
          <w:rPr>
            <w:rStyle w:val="Hyperlink"/>
          </w:rPr>
          <w:t xml:space="preserve">A Note on Measurement of Utility</w:t>
        </w:r>
      </w:hyperlink>
      <w:r>
        <w:t xml:space="preserve">.”</w:t>
      </w:r>
      <w:r>
        <w:t xml:space="preserve"> </w:t>
      </w:r>
      <w:r>
        <w:rPr>
          <w:i/>
          <w:iCs/>
        </w:rPr>
        <w:t xml:space="preserve">Review of Economic Studies</w:t>
      </w:r>
      <w:r>
        <w:t xml:space="preserve"> </w:t>
      </w:r>
      <w:r>
        <w:t xml:space="preserve">4 (2): 155–161.</w:t>
      </w:r>
    </w:p>
    <w:p>
      <w:pPr>
        <w:pStyle w:val="Compact"/>
        <w:numPr>
          <w:ilvl w:val="0"/>
          <w:numId w:val="1435"/>
        </w:numPr>
      </w:pPr>
      <w:r>
        <w:t xml:space="preserve">Samuelson, William, e Richard Zeckhauser. 1988.</w:t>
      </w:r>
      <w:r>
        <w:t xml:space="preserve"> </w:t>
      </w:r>
      <w:r>
        <w:t xml:space="preserve">“</w:t>
      </w:r>
      <w:hyperlink r:id="rId448">
        <w:r>
          <w:rPr>
            <w:rStyle w:val="Hyperlink"/>
          </w:rPr>
          <w:t xml:space="preserve">Status Quo Bias in Decision Making</w:t>
        </w:r>
      </w:hyperlink>
      <w:r>
        <w:t xml:space="preserve">.”</w:t>
      </w:r>
      <w:r>
        <w:t xml:space="preserve"> </w:t>
      </w:r>
      <w:r>
        <w:rPr>
          <w:i/>
          <w:iCs/>
        </w:rPr>
        <w:t xml:space="preserve">Journal of Risk and Uncertainty</w:t>
      </w:r>
      <w:r>
        <w:t xml:space="preserve"> </w:t>
      </w:r>
      <w:r>
        <w:t xml:space="preserve">1 (1): 7–59.</w:t>
      </w:r>
    </w:p>
    <w:p>
      <w:pPr>
        <w:pStyle w:val="Compact"/>
        <w:numPr>
          <w:ilvl w:val="0"/>
          <w:numId w:val="1435"/>
        </w:numPr>
      </w:pPr>
      <w:r>
        <w:t xml:space="preserve">Slovic, Paul, Melissa L. Finucane, Ellen Peters, e Donald G. MacGregor. 2007.</w:t>
      </w:r>
      <w:r>
        <w:t xml:space="preserve"> </w:t>
      </w:r>
      <w:r>
        <w:t xml:space="preserve">“</w:t>
      </w:r>
      <w:hyperlink r:id="rId449">
        <w:r>
          <w:rPr>
            <w:rStyle w:val="Hyperlink"/>
          </w:rPr>
          <w:t xml:space="preserve">The Affect Heuristic</w:t>
        </w:r>
      </w:hyperlink>
      <w:r>
        <w:t xml:space="preserve">.”</w:t>
      </w:r>
      <w:r>
        <w:t xml:space="preserve"> </w:t>
      </w:r>
      <w:r>
        <w:rPr>
          <w:i/>
          <w:iCs/>
        </w:rPr>
        <w:t xml:space="preserve">European Journal of Operational Research</w:t>
      </w:r>
      <w:r>
        <w:t xml:space="preserve"> </w:t>
      </w:r>
      <w:r>
        <w:t xml:space="preserve">177 (3): 1333–1352.</w:t>
      </w:r>
    </w:p>
    <w:p>
      <w:pPr>
        <w:pStyle w:val="Compact"/>
        <w:numPr>
          <w:ilvl w:val="0"/>
          <w:numId w:val="1435"/>
        </w:numPr>
      </w:pPr>
      <w:r>
        <w:t xml:space="preserve">Thaler, Richard H. 1985.</w:t>
      </w:r>
      <w:r>
        <w:t xml:space="preserve"> </w:t>
      </w:r>
      <w:r>
        <w:t xml:space="preserve">“</w:t>
      </w:r>
      <w:hyperlink r:id="rId450">
        <w:r>
          <w:rPr>
            <w:rStyle w:val="Hyperlink"/>
          </w:rPr>
          <w:t xml:space="preserve">Mental Accounting and Consumer Choice</w:t>
        </w:r>
      </w:hyperlink>
      <w:r>
        <w:t xml:space="preserve">.”</w:t>
      </w:r>
      <w:r>
        <w:t xml:space="preserve"> </w:t>
      </w:r>
      <w:r>
        <w:rPr>
          <w:i/>
          <w:iCs/>
        </w:rPr>
        <w:t xml:space="preserve">Marketing Science</w:t>
      </w:r>
      <w:r>
        <w:t xml:space="preserve"> </w:t>
      </w:r>
      <w:r>
        <w:t xml:space="preserve">4 (3): 199–214.</w:t>
      </w:r>
    </w:p>
    <w:p>
      <w:pPr>
        <w:pStyle w:val="Compact"/>
        <w:numPr>
          <w:ilvl w:val="0"/>
          <w:numId w:val="1435"/>
        </w:numPr>
      </w:pPr>
      <w:r>
        <w:t xml:space="preserve">Thaler, Richard H. 1999.</w:t>
      </w:r>
      <w:r>
        <w:t xml:space="preserve"> </w:t>
      </w:r>
      <w:r>
        <w:t xml:space="preserve">“</w:t>
      </w:r>
      <w:hyperlink r:id="rId451">
        <w:r>
          <w:rPr>
            <w:rStyle w:val="Hyperlink"/>
          </w:rPr>
          <w:t xml:space="preserve">Mental Accounting Matters</w:t>
        </w:r>
      </w:hyperlink>
      <w:r>
        <w:t xml:space="preserve">.”</w:t>
      </w:r>
      <w:r>
        <w:t xml:space="preserve"> </w:t>
      </w:r>
      <w:r>
        <w:rPr>
          <w:i/>
          <w:iCs/>
        </w:rPr>
        <w:t xml:space="preserve">Journal of Behavioral Decision Making</w:t>
      </w:r>
      <w:r>
        <w:t xml:space="preserve"> </w:t>
      </w:r>
      <w:r>
        <w:t xml:space="preserve">12 (3): 183–206.</w:t>
      </w:r>
    </w:p>
    <w:p>
      <w:pPr>
        <w:pStyle w:val="Compact"/>
        <w:numPr>
          <w:ilvl w:val="0"/>
          <w:numId w:val="1435"/>
        </w:numPr>
      </w:pPr>
      <w:r>
        <w:t xml:space="preserve">Thaler, Richard H., e Shlomo Benartzi. 2004.</w:t>
      </w:r>
      <w:r>
        <w:t xml:space="preserve"> </w:t>
      </w:r>
      <w:r>
        <w:t xml:space="preserve">“</w:t>
      </w:r>
      <w:hyperlink r:id="rId452">
        <w:r>
          <w:rPr>
            <w:rStyle w:val="Hyperlink"/>
          </w:rPr>
          <w:t xml:space="preserve">Save More Tomorrow: Using Behavioral Economics to Increase Employee Saving</w:t>
        </w:r>
      </w:hyperlink>
      <w:r>
        <w:t xml:space="preserve">.”</w:t>
      </w:r>
      <w:r>
        <w:t xml:space="preserve"> </w:t>
      </w:r>
      <w:r>
        <w:rPr>
          <w:i/>
          <w:iCs/>
        </w:rPr>
        <w:t xml:space="preserve">Journal of Political Economy</w:t>
      </w:r>
      <w:r>
        <w:t xml:space="preserve"> </w:t>
      </w:r>
      <w:r>
        <w:t xml:space="preserve">112 (S1): S164–S187.</w:t>
      </w:r>
    </w:p>
    <w:p>
      <w:pPr>
        <w:pStyle w:val="Compact"/>
        <w:numPr>
          <w:ilvl w:val="0"/>
          <w:numId w:val="1435"/>
        </w:numPr>
      </w:pPr>
      <w:r>
        <w:t xml:space="preserve">Thaler, Richard H., e Hersh Shefrin. 1981.</w:t>
      </w:r>
      <w:r>
        <w:t xml:space="preserve"> </w:t>
      </w:r>
      <w:r>
        <w:t xml:space="preserve">“</w:t>
      </w:r>
      <w:hyperlink r:id="rId453">
        <w:r>
          <w:rPr>
            <w:rStyle w:val="Hyperlink"/>
          </w:rPr>
          <w:t xml:space="preserve">An Economic Theory of Self-Control</w:t>
        </w:r>
      </w:hyperlink>
      <w:r>
        <w:t xml:space="preserve">.”</w:t>
      </w:r>
      <w:r>
        <w:t xml:space="preserve"> </w:t>
      </w:r>
      <w:r>
        <w:rPr>
          <w:i/>
          <w:iCs/>
        </w:rPr>
        <w:t xml:space="preserve">Journal of Political Economy</w:t>
      </w:r>
      <w:r>
        <w:t xml:space="preserve"> </w:t>
      </w:r>
      <w:r>
        <w:t xml:space="preserve">89 (2): 392–406.</w:t>
      </w:r>
    </w:p>
    <w:p>
      <w:pPr>
        <w:pStyle w:val="Compact"/>
        <w:numPr>
          <w:ilvl w:val="0"/>
          <w:numId w:val="1435"/>
        </w:numPr>
      </w:pPr>
      <w:r>
        <w:t xml:space="preserve">Thaler, Richard H., e Cass R. Sunstein. 2003.</w:t>
      </w:r>
      <w:r>
        <w:t xml:space="preserve"> </w:t>
      </w:r>
      <w:r>
        <w:t xml:space="preserve">“</w:t>
      </w:r>
      <w:hyperlink r:id="rId415">
        <w:r>
          <w:rPr>
            <w:rStyle w:val="Hyperlink"/>
          </w:rPr>
          <w:t xml:space="preserve">Libertarian Paternalism</w:t>
        </w:r>
      </w:hyperlink>
      <w:r>
        <w:t xml:space="preserve">.”</w:t>
      </w:r>
      <w:r>
        <w:t xml:space="preserve"> </w:t>
      </w:r>
      <w:r>
        <w:rPr>
          <w:i/>
          <w:iCs/>
        </w:rPr>
        <w:t xml:space="preserve">American Economic Review</w:t>
      </w:r>
      <w:r>
        <w:t xml:space="preserve"> </w:t>
      </w:r>
      <w:r>
        <w:t xml:space="preserve">93 (2): 175–179.</w:t>
      </w:r>
    </w:p>
    <w:p>
      <w:pPr>
        <w:pStyle w:val="Compact"/>
        <w:numPr>
          <w:ilvl w:val="0"/>
          <w:numId w:val="1435"/>
        </w:numPr>
      </w:pPr>
      <w:r>
        <w:t xml:space="preserve">Thaler, Richard H., e Cass R. Sunstein. 2008.</w:t>
      </w:r>
      <w:r>
        <w:t xml:space="preserve"> </w:t>
      </w:r>
      <w:hyperlink r:id="rId454">
        <w:r>
          <w:rPr>
            <w:rStyle w:val="Hyperlink"/>
            <w:i/>
            <w:iCs/>
          </w:rPr>
          <w:t xml:space="preserve">Nudge: Improving Decisions about Health, Wealth, and Happiness</w:t>
        </w:r>
      </w:hyperlink>
      <w:r>
        <w:t xml:space="preserve">. New Haven: Yale University Press.</w:t>
      </w:r>
    </w:p>
    <w:p>
      <w:pPr>
        <w:pStyle w:val="Compact"/>
        <w:numPr>
          <w:ilvl w:val="0"/>
          <w:numId w:val="1435"/>
        </w:numPr>
      </w:pPr>
      <w:r>
        <w:t xml:space="preserve">Tversky, Amos, e Daniel Kahneman. 1974.</w:t>
      </w:r>
      <w:r>
        <w:t xml:space="preserve"> </w:t>
      </w:r>
      <w:r>
        <w:t xml:space="preserve">“</w:t>
      </w:r>
      <w:hyperlink r:id="rId455">
        <w:r>
          <w:rPr>
            <w:rStyle w:val="Hyperlink"/>
          </w:rPr>
          <w:t xml:space="preserve">Judgment under Uncertainty: Heuristics and Biases</w:t>
        </w:r>
      </w:hyperlink>
      <w:r>
        <w:t xml:space="preserve">.”</w:t>
      </w:r>
      <w:r>
        <w:t xml:space="preserve"> </w:t>
      </w:r>
      <w:r>
        <w:rPr>
          <w:i/>
          <w:iCs/>
        </w:rPr>
        <w:t xml:space="preserve">Science</w:t>
      </w:r>
      <w:r>
        <w:t xml:space="preserve"> </w:t>
      </w:r>
      <w:r>
        <w:t xml:space="preserve">185 (4157): 1124–1131.</w:t>
      </w:r>
    </w:p>
    <w:p>
      <w:pPr>
        <w:pStyle w:val="Compact"/>
        <w:numPr>
          <w:ilvl w:val="0"/>
          <w:numId w:val="1435"/>
        </w:numPr>
      </w:pPr>
      <w:r>
        <w:t xml:space="preserve">Tversky, Amos, e Daniel Kahneman. 1981.</w:t>
      </w:r>
      <w:r>
        <w:t xml:space="preserve"> </w:t>
      </w:r>
      <w:r>
        <w:t xml:space="preserve">“</w:t>
      </w:r>
      <w:hyperlink r:id="rId456">
        <w:r>
          <w:rPr>
            <w:rStyle w:val="Hyperlink"/>
          </w:rPr>
          <w:t xml:space="preserve">The Framing of Decisions and the Psychology of Choice</w:t>
        </w:r>
      </w:hyperlink>
      <w:r>
        <w:t xml:space="preserve">.”</w:t>
      </w:r>
      <w:r>
        <w:t xml:space="preserve"> </w:t>
      </w:r>
      <w:r>
        <w:rPr>
          <w:i/>
          <w:iCs/>
        </w:rPr>
        <w:t xml:space="preserve">Science</w:t>
      </w:r>
      <w:r>
        <w:t xml:space="preserve"> </w:t>
      </w:r>
      <w:r>
        <w:t xml:space="preserve">211 (4481): 453–458.</w:t>
      </w:r>
    </w:p>
    <w:p>
      <w:pPr>
        <w:pStyle w:val="Compact"/>
        <w:numPr>
          <w:ilvl w:val="0"/>
          <w:numId w:val="1435"/>
        </w:numPr>
      </w:pPr>
      <w:r>
        <w:t xml:space="preserve">Tversky, Amos, e Daniel Kahneman. 1992.</w:t>
      </w:r>
      <w:r>
        <w:t xml:space="preserve"> </w:t>
      </w:r>
      <w:r>
        <w:t xml:space="preserve">“</w:t>
      </w:r>
      <w:hyperlink r:id="rId457">
        <w:r>
          <w:rPr>
            <w:rStyle w:val="Hyperlink"/>
          </w:rPr>
          <w:t xml:space="preserve">Advances in Prospect Theory: Cumulative Representation of Uncertainty</w:t>
        </w:r>
      </w:hyperlink>
      <w:r>
        <w:t xml:space="preserve">.”</w:t>
      </w:r>
      <w:r>
        <w:t xml:space="preserve"> </w:t>
      </w:r>
      <w:r>
        <w:rPr>
          <w:i/>
          <w:iCs/>
        </w:rPr>
        <w:t xml:space="preserve">Journal of Risk and Uncertainty</w:t>
      </w:r>
      <w:r>
        <w:t xml:space="preserve"> </w:t>
      </w:r>
      <w:r>
        <w:t xml:space="preserve">5 (4): 297–323.</w:t>
      </w:r>
    </w:p>
    <w:p>
      <w:pPr>
        <w:pStyle w:val="Compact"/>
        <w:numPr>
          <w:ilvl w:val="0"/>
          <w:numId w:val="1435"/>
        </w:numPr>
      </w:pPr>
      <w:r>
        <w:t xml:space="preserve">Wason, Peter C. 1960.</w:t>
      </w:r>
      <w:r>
        <w:t xml:space="preserve"> </w:t>
      </w:r>
      <w:r>
        <w:t xml:space="preserve">“</w:t>
      </w:r>
      <w:hyperlink r:id="rId458">
        <w:r>
          <w:rPr>
            <w:rStyle w:val="Hyperlink"/>
          </w:rPr>
          <w:t xml:space="preserve">On the Failure to Eliminate Hypotheses in a Conceptual Task</w:t>
        </w:r>
      </w:hyperlink>
      <w:r>
        <w:t xml:space="preserve">.”</w:t>
      </w:r>
      <w:r>
        <w:t xml:space="preserve"> </w:t>
      </w:r>
      <w:r>
        <w:rPr>
          <w:i/>
          <w:iCs/>
        </w:rPr>
        <w:t xml:space="preserve">Quarterly Journal of Experimental Psychology</w:t>
      </w:r>
      <w:r>
        <w:t xml:space="preserve"> </w:t>
      </w:r>
      <w:r>
        <w:t xml:space="preserve">12 (3): 129–140.</w:t>
      </w:r>
    </w:p>
    <w:p>
      <w:pPr>
        <w:pStyle w:val="Compact"/>
        <w:numPr>
          <w:ilvl w:val="0"/>
          <w:numId w:val="1435"/>
        </w:numPr>
      </w:pPr>
      <w:r>
        <w:t xml:space="preserve">Wilkinson, Nick, e Matthias Klaes. 2012.</w:t>
      </w:r>
      <w:r>
        <w:t xml:space="preserve"> </w:t>
      </w:r>
      <w:hyperlink r:id="rId459">
        <w:r>
          <w:rPr>
            <w:rStyle w:val="Hyperlink"/>
            <w:i/>
            <w:iCs/>
          </w:rPr>
          <w:t xml:space="preserve">An Introduction to Behavioral Economics</w:t>
        </w:r>
      </w:hyperlink>
      <w:r>
        <w:t xml:space="preserve">. 2ª ed. London: Palgrave Macmillan.</w:t>
      </w:r>
    </w:p>
    <w:p>
      <w:pPr>
        <w:pStyle w:val="Compact"/>
        <w:numPr>
          <w:ilvl w:val="0"/>
          <w:numId w:val="1435"/>
        </w:numPr>
      </w:pPr>
      <w:r>
        <w:t xml:space="preserve">Wu, George, e Richard Gonzalez. 1996.</w:t>
      </w:r>
      <w:r>
        <w:t xml:space="preserve"> </w:t>
      </w:r>
      <w:r>
        <w:t xml:space="preserve">“</w:t>
      </w:r>
      <w:hyperlink r:id="rId460">
        <w:r>
          <w:rPr>
            <w:rStyle w:val="Hyperlink"/>
          </w:rPr>
          <w:t xml:space="preserve">Curvature of the Probability Weighting Function</w:t>
        </w:r>
      </w:hyperlink>
      <w:r>
        <w:t xml:space="preserve">.”</w:t>
      </w:r>
      <w:r>
        <w:t xml:space="preserve"> </w:t>
      </w:r>
      <w:r>
        <w:rPr>
          <w:i/>
          <w:iCs/>
        </w:rPr>
        <w:t xml:space="preserve">Management Science</w:t>
      </w:r>
      <w:r>
        <w:t xml:space="preserve"> </w:t>
      </w:r>
      <w:r>
        <w:t xml:space="preserve">42 (12): 1676–1690.</w:t>
      </w:r>
    </w:p>
    <w:bookmarkEnd w:id="461"/>
    <w:bookmarkEnd w:id="462"/>
    <w:bookmarkEnd w:id="463"/>
    <w:bookmarkStart w:id="515" w:name="capítulo-9a-pedra-papel-nash"/>
    <w:p>
      <w:pPr>
        <w:sectPr>
          <w:footnotePr>
            <w:numRestart w:val="eachSect"/>
          </w:footnotePr>
        </w:sectPr>
      </w:pPr>
    </w:p>
    <w:p>
      <w:pPr>
        <w:pStyle w:val="Heading1"/>
      </w:pPr>
      <w:r>
        <w:t xml:space="preserve">Capítulo 9a — Pedra, Papel, Nash</w:t>
      </w:r>
    </w:p>
    <w:p>
      <w:pPr>
        <w:pStyle w:val="FirstParagraph"/>
      </w:pPr>
      <w:r>
        <w:t xml:space="preserve">Até aqui, os agentes do nosso livro viviam em solidão confortável. O consumidor maximizava utilidade olhando apenas para preços e renda — sem se preocupar com o que os outros consumidores faziam. A firma igualava custo marginal ao preço de mercado sem pensar nos concorrentes. Cada um no seu canto, todos tomadores de preço.</w:t>
      </w:r>
    </w:p>
    <w:p>
      <w:pPr>
        <w:pStyle w:val="BodyText"/>
      </w:pPr>
      <w:r>
        <w:t xml:space="preserve">A partir deste capítulo, essa inocência acaba. No mundo real, a Ambev fixa o preço da cerveja pensando no que a Heineken vai fazer. O candidato à presidência monta sua plataforma olhando as pesquisas do adversário. A Petrobras decide quanto produzir considerando a reação da OPEP. Em todos esses casos, o resultado para cada jogador depende do que</w:t>
      </w:r>
      <w:r>
        <w:t xml:space="preserve"> </w:t>
      </w:r>
      <w:r>
        <w:rPr>
          <w:i/>
          <w:iCs/>
        </w:rPr>
        <w:t xml:space="preserve">todos</w:t>
      </w:r>
      <w:r>
        <w:t xml:space="preserve"> </w:t>
      </w:r>
      <w:r>
        <w:t xml:space="preserve">os jogadores fazem — e cada um sabe que os outros estão pensando a mesma coisa. Bem-vindo à</w:t>
      </w:r>
      <w:r>
        <w:t xml:space="preserve"> </w:t>
      </w:r>
      <w:r>
        <w:rPr>
          <w:b/>
          <w:bCs/>
        </w:rPr>
        <w:t xml:space="preserve">teoria dos jogos</w:t>
      </w:r>
      <w:r>
        <w:t xml:space="preserve">.</w:t>
      </w:r>
    </w:p>
    <w:p>
      <w:pPr>
        <w:pStyle w:val="BodyText"/>
      </w:pPr>
      <w:r>
        <w:t xml:space="preserve">A</w:t>
      </w:r>
      <w:r>
        <w:t xml:space="preserve"> </w:t>
      </w:r>
      <w:r>
        <w:rPr>
          <w:b/>
          <w:bCs/>
        </w:rPr>
        <w:t xml:space="preserve">teoria dos jogos</w:t>
      </w:r>
      <w:r>
        <w:t xml:space="preserve"> </w:t>
      </w:r>
      <w:r>
        <w:t xml:space="preserve">é o ramo da matemática e da economia que estuda a tomada de decisão em ambientes de</w:t>
      </w:r>
      <w:r>
        <w:t xml:space="preserve"> </w:t>
      </w:r>
      <w:r>
        <w:rPr>
          <w:b/>
          <w:bCs/>
        </w:rPr>
        <w:t xml:space="preserve">interdependência estratégica</w:t>
      </w:r>
      <w:r>
        <w:t xml:space="preserve">. Sua genealogia intelectual remonta a Émile Borel (1921), que formulou os primeiros jogos de soma zero, mas é a obra monumental de Von Neumann e Morgenstern —</w:t>
      </w:r>
      <w:r>
        <w:t xml:space="preserve"> </w:t>
      </w:r>
      <w:r>
        <w:rPr>
          <w:i/>
          <w:iCs/>
        </w:rPr>
        <w:t xml:space="preserve">Theory of Games and Economic Behavior</w:t>
      </w:r>
      <w:r>
        <w:t xml:space="preserve"> </w:t>
      </w:r>
      <w:r>
        <w:t xml:space="preserve">(1944) — que lança os alicerces formais da disciplina. A grande ruptura conceitual veio com o trabalho de doutorado de John Nash em Princeton (1950, 1951): ao introduzir o conceito de equilíbrio que leva seu nome, Nash generalizou a análise de jogos soma-zero para jogos de soma não nula com qualquer número de jogadores. Reinhard Selten (1965) e John Harsanyi (1967–68) refinaram e estenderam o aparato de Nash para jogos dinâmicos e jogos com informação incompleta, respectivamente — contribuições que, juntas com as de Nash, valeram o Prêmio Nobel de Economia de 1994. Paralelamente, os economistas industriais Antoine-Augustin Cournot (1838), Joseph Bertrand (1883) e Heinrich von Stackelberg (1934) já haviam formulado modelos de oligopólio que, quando reinterpretados pela linguagem da teoria dos jogos, revelaram ser casos especiais do equilíbrio de Nash. A teoria dos jogos revolucionou a microeconomia e se tornou ferramenta indispensável em campos tão diversos quanto organização industrial, economia política, relações internacionais e biologia evolutiva.</w:t>
      </w:r>
    </w:p>
    <w:p>
      <w:pPr>
        <w:pStyle w:val="BodyText"/>
      </w:pPr>
      <w:r>
        <w:t xml:space="preserve">Este módulo apresenta os jogos</w:t>
      </w:r>
      <w:r>
        <w:t xml:space="preserve"> </w:t>
      </w:r>
      <w:r>
        <w:rPr>
          <w:b/>
          <w:bCs/>
        </w:rPr>
        <w:t xml:space="preserve">estáticos</w:t>
      </w:r>
      <w:r>
        <w:t xml:space="preserve"> </w:t>
      </w:r>
      <w:r>
        <w:t xml:space="preserve">(simultâneos) com</w:t>
      </w:r>
      <w:r>
        <w:t xml:space="preserve"> </w:t>
      </w:r>
      <w:r>
        <w:rPr>
          <w:b/>
          <w:bCs/>
        </w:rPr>
        <w:t xml:space="preserve">informação completa</w:t>
      </w:r>
      <w:r>
        <w:t xml:space="preserve">: todos os jogadores conhecem a estrutura do jogo — payoffs, estratégias disponíveis e número de jogadores — e escolhem suas ações ao mesmo tempo, sem observar as decisões dos demais. O conceito central de solução é o</w:t>
      </w:r>
      <w:r>
        <w:t xml:space="preserve"> </w:t>
      </w:r>
      <w:r>
        <w:rPr>
          <w:b/>
          <w:bCs/>
        </w:rPr>
        <w:t xml:space="preserve">equilíbrio de Nash</w:t>
      </w:r>
      <w:r>
        <w:t xml:space="preserve">, e as principais aplicações são os modelos clássicos de oligopólio (Cournot, Bertrand e Stackelberg). Os módulos seguintes (9b–9d) generalizam progressivamente: 9b introduz a dimensão temporal (jogos dinâmicos com informação completa), enquanto 9c e 9d incorporam assimetria de informação — território onde os conceitos deste módulo servem de âncora para refinamentos mais sofisticados.</w:t>
      </w:r>
    </w:p>
    <w:p>
      <w:pPr>
        <w:pStyle w:val="BlockText"/>
      </w:pPr>
      <w:r>
        <w:rPr>
          <w:b/>
          <w:bCs/>
        </w:rPr>
        <w:t xml:space="preserve">[NOTA] Estrutura do Capítulo 9</w:t>
      </w:r>
    </w:p>
    <w:p>
      <w:pPr>
        <w:pStyle w:val="BlockText"/>
      </w:pPr>
      <w:r>
        <w:t xml:space="preserve">A teoria dos jogos é dividida em quatro módulos, seguindo a taxonomia de Gibbons (1992):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Módulo</w:t>
            </w:r>
          </w:p>
        </w:tc>
        <w:tc>
          <w:tcPr/>
          <w:p>
            <w:pPr>
              <w:pStyle w:val="Compact"/>
              <w:jc w:val="left"/>
            </w:pPr>
            <w:r>
              <w:t xml:space="preserve">Informação</w:t>
            </w:r>
          </w:p>
        </w:tc>
        <w:tc>
          <w:tcPr/>
          <w:p>
            <w:pPr>
              <w:pStyle w:val="Compact"/>
              <w:jc w:val="left"/>
            </w:pPr>
            <w:r>
              <w:t xml:space="preserve">Timing</w:t>
            </w:r>
          </w:p>
        </w:tc>
        <w:tc>
          <w:tcPr/>
          <w:p>
            <w:pPr>
              <w:pStyle w:val="Compact"/>
              <w:jc w:val="left"/>
            </w:pPr>
            <w:r>
              <w:t xml:space="preserve">Conceito de equilíbrio</w:t>
            </w:r>
          </w:p>
        </w:tc>
      </w:tr>
      <w:tr>
        <w:tc>
          <w:tcPr/>
          <w:p>
            <w:pPr>
              <w:pStyle w:val="Compact"/>
              <w:jc w:val="left"/>
            </w:pPr>
            <w:r>
              <w:rPr>
                <w:b/>
                <w:bCs/>
              </w:rPr>
              <w:t xml:space="preserve">9a</w:t>
            </w:r>
            <w:r>
              <w:t xml:space="preserve"> </w:t>
            </w:r>
            <w:r>
              <w:t xml:space="preserve">(este)</w:t>
            </w:r>
          </w:p>
        </w:tc>
        <w:tc>
          <w:tcPr/>
          <w:p>
            <w:pPr>
              <w:pStyle w:val="Compact"/>
              <w:jc w:val="left"/>
            </w:pPr>
            <w:r>
              <w:t xml:space="preserve">Completa</w:t>
            </w:r>
          </w:p>
        </w:tc>
        <w:tc>
          <w:tcPr/>
          <w:p>
            <w:pPr>
              <w:pStyle w:val="Compact"/>
              <w:jc w:val="left"/>
            </w:pPr>
            <w:r>
              <w:t xml:space="preserve">Estático</w:t>
            </w:r>
          </w:p>
        </w:tc>
        <w:tc>
          <w:tcPr/>
          <w:p>
            <w:pPr>
              <w:pStyle w:val="Compact"/>
              <w:jc w:val="left"/>
            </w:pPr>
            <w:r>
              <w:t xml:space="preserve">Equilíbrio de Nash</w:t>
            </w:r>
          </w:p>
        </w:tc>
      </w:tr>
      <w:tr>
        <w:tc>
          <w:tcPr/>
          <w:p>
            <w:pPr>
              <w:pStyle w:val="Compact"/>
              <w:jc w:val="left"/>
            </w:pPr>
            <w:r>
              <w:t xml:space="preserve">9b (Cap. 9)</w:t>
            </w:r>
          </w:p>
        </w:tc>
        <w:tc>
          <w:tcPr/>
          <w:p>
            <w:pPr>
              <w:pStyle w:val="Compact"/>
              <w:jc w:val="left"/>
            </w:pPr>
            <w:r>
              <w:t xml:space="preserve">Completa</w:t>
            </w:r>
          </w:p>
        </w:tc>
        <w:tc>
          <w:tcPr/>
          <w:p>
            <w:pPr>
              <w:pStyle w:val="Compact"/>
              <w:jc w:val="left"/>
            </w:pPr>
            <w:r>
              <w:t xml:space="preserve">Dinâmico</w:t>
            </w:r>
          </w:p>
        </w:tc>
        <w:tc>
          <w:tcPr/>
          <w:p>
            <w:pPr>
              <w:pStyle w:val="Compact"/>
              <w:jc w:val="left"/>
            </w:pPr>
            <w:r>
              <w:t xml:space="preserve">Equilíbrio Perfeito em Subjogos</w:t>
            </w:r>
          </w:p>
        </w:tc>
      </w:tr>
      <w:tr>
        <w:tc>
          <w:tcPr/>
          <w:p>
            <w:pPr>
              <w:pStyle w:val="Compact"/>
              <w:jc w:val="left"/>
            </w:pPr>
            <w:r>
              <w:t xml:space="preserve">9c (Cap. 9)</w:t>
            </w:r>
          </w:p>
        </w:tc>
        <w:tc>
          <w:tcPr/>
          <w:p>
            <w:pPr>
              <w:pStyle w:val="Compact"/>
              <w:jc w:val="left"/>
            </w:pPr>
            <w:r>
              <w:t xml:space="preserve">Incompleta</w:t>
            </w:r>
          </w:p>
        </w:tc>
        <w:tc>
          <w:tcPr/>
          <w:p>
            <w:pPr>
              <w:pStyle w:val="Compact"/>
              <w:jc w:val="left"/>
            </w:pPr>
            <w:r>
              <w:t xml:space="preserve">Estático</w:t>
            </w:r>
          </w:p>
        </w:tc>
        <w:tc>
          <w:tcPr/>
          <w:p>
            <w:pPr>
              <w:pStyle w:val="Compact"/>
              <w:jc w:val="left"/>
            </w:pPr>
            <w:r>
              <w:t xml:space="preserve">Equilíbrio Bayesiano de Nash</w:t>
            </w:r>
          </w:p>
        </w:tc>
      </w:tr>
      <w:tr>
        <w:tc>
          <w:tcPr/>
          <w:p>
            <w:pPr>
              <w:pStyle w:val="Compact"/>
              <w:jc w:val="left"/>
            </w:pPr>
            <w:r>
              <w:t xml:space="preserve">9d (Cap. 9)</w:t>
            </w:r>
          </w:p>
        </w:tc>
        <w:tc>
          <w:tcPr/>
          <w:p>
            <w:pPr>
              <w:pStyle w:val="Compact"/>
              <w:jc w:val="left"/>
            </w:pPr>
            <w:r>
              <w:t xml:space="preserve">Incompleta</w:t>
            </w:r>
          </w:p>
        </w:tc>
        <w:tc>
          <w:tcPr/>
          <w:p>
            <w:pPr>
              <w:pStyle w:val="Compact"/>
              <w:jc w:val="left"/>
            </w:pPr>
            <w:r>
              <w:t xml:space="preserve">Dinâmico</w:t>
            </w:r>
          </w:p>
        </w:tc>
        <w:tc>
          <w:tcPr/>
          <w:p>
            <w:pPr>
              <w:pStyle w:val="Compact"/>
              <w:jc w:val="left"/>
            </w:pPr>
            <w:r>
              <w:t xml:space="preserve">Equilíbrio Bayesiano Perfeito</w:t>
            </w:r>
          </w:p>
        </w:tc>
      </w:tr>
    </w:tbl>
    <w:p>
      <w:r>
        <w:pict>
          <v:rect style="width:0;height:1.5pt" o:hralign="center" o:hrstd="t" o:hr="t"/>
        </w:pict>
      </w:r>
    </w:p>
    <w:bookmarkStart w:id="464" w:name="roteiro-do-capítulo"/>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9a.1</w:t>
            </w:r>
          </w:p>
        </w:tc>
        <w:tc>
          <w:tcPr/>
          <w:p>
            <w:pPr>
              <w:pStyle w:val="Compact"/>
            </w:pPr>
            <w:r>
              <w:t xml:space="preserve">O que define um</w:t>
            </w:r>
            <w:r>
              <w:t xml:space="preserve"> </w:t>
            </w:r>
            <w:r>
              <w:t xml:space="preserve">“jogo”</w:t>
            </w:r>
            <w:r>
              <w:t xml:space="preserve"> </w:t>
            </w:r>
            <w:r>
              <w:t xml:space="preserve">e quando posso descartar estratégias sem pensar?</w:t>
            </w:r>
          </w:p>
        </w:tc>
        <w:tc>
          <w:tcPr/>
          <w:p>
            <w:pPr>
              <w:pStyle w:val="Compact"/>
            </w:pPr>
            <w:r>
              <w:t xml:space="preserve">Forma normal, forma extensiva, dominância, EIED</w:t>
            </w:r>
          </w:p>
        </w:tc>
        <w:tc>
          <w:tcPr/>
          <w:p>
            <w:pPr>
              <w:pStyle w:val="Compact"/>
              <w:jc w:val="center"/>
            </w:pPr>
            <w:r>
              <w:t xml:space="preserve">Estratégias dominantes</w:t>
            </w:r>
          </w:p>
        </w:tc>
      </w:tr>
      <w:tr>
        <w:tc>
          <w:tcPr/>
          <w:p>
            <w:pPr>
              <w:pStyle w:val="Compact"/>
              <w:jc w:val="center"/>
            </w:pPr>
            <w:r>
              <w:t xml:space="preserve">9a.2</w:t>
            </w:r>
          </w:p>
        </w:tc>
        <w:tc>
          <w:tcPr/>
          <w:p>
            <w:pPr>
              <w:pStyle w:val="Compact"/>
            </w:pPr>
            <w:r>
              <w:t xml:space="preserve">Por que dois mafiosos racionais confessam — e o que isso tem a ver com postos de gasolina?</w:t>
            </w:r>
          </w:p>
        </w:tc>
        <w:tc>
          <w:tcPr/>
          <w:p>
            <w:pPr>
              <w:pStyle w:val="Compact"/>
            </w:pPr>
            <w:r>
              <w:t xml:space="preserve">Dilema dos Prisioneiros, taxonomia dos jogos clássicos</w:t>
            </w:r>
          </w:p>
        </w:tc>
        <w:tc>
          <w:tcPr/>
          <w:p>
            <w:pPr>
              <w:pStyle w:val="Compact"/>
              <w:jc w:val="center"/>
            </w:pPr>
            <w:r>
              <w:t xml:space="preserve">Estratégias dominantes</w:t>
            </w:r>
          </w:p>
        </w:tc>
      </w:tr>
      <w:tr>
        <w:tc>
          <w:tcPr/>
          <w:p>
            <w:pPr>
              <w:pStyle w:val="Compact"/>
              <w:jc w:val="center"/>
            </w:pPr>
            <w:r>
              <w:t xml:space="preserve">9a.3</w:t>
            </w:r>
          </w:p>
        </w:tc>
        <w:tc>
          <w:tcPr/>
          <w:p>
            <w:pPr>
              <w:pStyle w:val="Compact"/>
            </w:pPr>
            <w:r>
              <w:t xml:space="preserve">Se ninguém quer mudar, estamos no equilíbrio?</w:t>
            </w:r>
          </w:p>
        </w:tc>
        <w:tc>
          <w:tcPr/>
          <w:p>
            <w:pPr>
              <w:pStyle w:val="Compact"/>
            </w:pPr>
            <w:r>
              <w:t xml:space="preserve">Equilíbrio de Nash, Batalha dos Sexos, Hawk-Dove</w:t>
            </w:r>
          </w:p>
        </w:tc>
        <w:tc>
          <w:tcPr/>
          <w:p>
            <w:pPr>
              <w:pStyle w:val="Compact"/>
              <w:jc w:val="center"/>
            </w:pPr>
            <w:r>
              <w:t xml:space="preserve">Equilíbrio de Nash</w:t>
            </w:r>
          </w:p>
        </w:tc>
      </w:tr>
      <w:tr>
        <w:tc>
          <w:tcPr/>
          <w:p>
            <w:pPr>
              <w:pStyle w:val="Compact"/>
              <w:jc w:val="center"/>
            </w:pPr>
            <w:r>
              <w:t xml:space="preserve">9a.4</w:t>
            </w:r>
          </w:p>
        </w:tc>
        <w:tc>
          <w:tcPr/>
          <w:p>
            <w:pPr>
              <w:pStyle w:val="Compact"/>
            </w:pPr>
            <w:r>
              <w:t xml:space="preserve">Quando jogar cara ou coroa é a melhor estratégia?</w:t>
            </w:r>
          </w:p>
        </w:tc>
        <w:tc>
          <w:tcPr/>
          <w:p>
            <w:pPr>
              <w:pStyle w:val="Compact"/>
            </w:pPr>
            <w:r>
              <w:t xml:space="preserve">Estratégias mistas, princípio da indiferença, Teorema de Nash</w:t>
            </w:r>
          </w:p>
        </w:tc>
        <w:tc>
          <w:tcPr/>
          <w:p>
            <w:pPr>
              <w:pStyle w:val="Compact"/>
              <w:jc w:val="center"/>
            </w:pPr>
            <w:r>
              <w:t xml:space="preserve">Estratégias mistas</w:t>
            </w:r>
          </w:p>
        </w:tc>
      </w:tr>
      <w:tr>
        <w:tc>
          <w:tcPr/>
          <w:p>
            <w:pPr>
              <w:pStyle w:val="Compact"/>
              <w:jc w:val="center"/>
            </w:pPr>
            <w:r>
              <w:t xml:space="preserve">9a.5</w:t>
            </w:r>
          </w:p>
        </w:tc>
        <w:tc>
          <w:tcPr/>
          <w:p>
            <w:pPr>
              <w:pStyle w:val="Compact"/>
            </w:pPr>
            <w:r>
              <w:t xml:space="preserve">Quanto cerveja a Ambev deve produzir se a Heineken está olhando?</w:t>
            </w:r>
          </w:p>
        </w:tc>
        <w:tc>
          <w:tcPr/>
          <w:p>
            <w:pPr>
              <w:pStyle w:val="Compact"/>
            </w:pPr>
            <w:r>
              <w:t xml:space="preserve">Cournot, Bertrand, Stackelberg, paradoxo de Bertrand</w:t>
            </w:r>
          </w:p>
        </w:tc>
        <w:tc>
          <w:tcPr/>
          <w:p>
            <w:pPr>
              <w:pStyle w:val="Compact"/>
              <w:jc w:val="center"/>
            </w:pPr>
            <w:r>
              <w:t xml:space="preserve">Oligopólio</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Atividades, revisão, exercícios resolvidos e propostos,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bookmarkEnd w:id="464"/>
    <w:bookmarkStart w:id="465" w:name="página-movida"/>
    <w:p>
      <w:pPr>
        <w:pStyle w:val="Heading2"/>
      </w:pPr>
      <w:r>
        <w:t xml:space="preserve">Página movida</w:t>
      </w:r>
    </w:p>
    <w:p>
      <w:pPr>
        <w:pStyle w:val="FirstParagraph"/>
      </w:pPr>
      <w:r>
        <w:t xml:space="preserve">Este conteúdo foi reorganizado. Veja Estratégias Dominantes e o Dilema dos Prisioneiros.</w:t>
      </w:r>
    </w:p>
    <w:bookmarkEnd w:id="465"/>
    <w:bookmarkStart w:id="471" w:name="X1203ff10e199368280ad2db6efaa134d2a25203"/>
    <w:p>
      <w:pPr>
        <w:pStyle w:val="Heading2"/>
      </w:pPr>
      <w:r>
        <w:t xml:space="preserve">Jogadores, Estratégias e o Dilema dos Prisioneiros</w:t>
      </w:r>
    </w:p>
    <w:bookmarkStart w:id="468" w:name="X722ab0eb32f81e74a55b1d08950cf5440a9dbdb"/>
    <w:p>
      <w:pPr>
        <w:pStyle w:val="Heading3"/>
      </w:pPr>
      <w:r>
        <w:t xml:space="preserve">9a.1 As Regras do Tabuleiro: Jogadores, Estratégias e Payoffs</w:t>
      </w:r>
    </w:p>
    <w:p>
      <w:pPr>
        <w:pStyle w:val="FirstParagraph"/>
      </w:pPr>
      <w:r>
        <w:t xml:space="preserve">Antes de jogar, precisamos aprender as regras. A teoria dos jogos exige uma descrição completa do ambiente: quem joga, o que cada um pode fazer, e o que cada combinação de ações rende para cada jogador. Parece burocrático, mas é libertador — uma vez que o jogo está bem definido, a análise se torna mecânica. Duas representações capturam essa informação: a</w:t>
      </w:r>
      <w:r>
        <w:t xml:space="preserve"> </w:t>
      </w:r>
      <w:r>
        <w:rPr>
          <w:b/>
          <w:bCs/>
        </w:rPr>
        <w:t xml:space="preserve">forma normal</w:t>
      </w:r>
      <w:r>
        <w:t xml:space="preserve"> </w:t>
      </w:r>
      <w:r>
        <w:t xml:space="preserve">(uma tabela, ideal para jogos simultâneos como os deste capítulo) e a</w:t>
      </w:r>
      <w:r>
        <w:t xml:space="preserve"> </w:t>
      </w:r>
      <w:r>
        <w:rPr>
          <w:b/>
          <w:bCs/>
        </w:rPr>
        <w:t xml:space="preserve">forma extensiva</w:t>
      </w:r>
      <w:r>
        <w:t xml:space="preserve"> </w:t>
      </w:r>
      <w:r>
        <w:t xml:space="preserve">(uma árvore, ideal para jogos sequenciais do Módulo 9b).</w:t>
      </w:r>
    </w:p>
    <w:p>
      <w:pPr>
        <w:pStyle w:val="BlockText"/>
      </w:pPr>
      <w:r>
        <w:rPr>
          <w:b/>
          <w:bCs/>
        </w:rPr>
        <w:t xml:space="preserve">[DEFINICAO] Jogo na forma normal (ou estratégica)</w:t>
      </w:r>
    </w:p>
    <w:p>
      <w:pPr>
        <w:pStyle w:val="BlockText"/>
      </w:pPr>
      <w:r>
        <w:t xml:space="preserve">Um jogo na</w:t>
      </w:r>
      <w:r>
        <w:t xml:space="preserve"> </w:t>
      </w:r>
      <w:r>
        <w:rPr>
          <w:b/>
          <w:bCs/>
        </w:rPr>
        <w:t xml:space="preserve">forma normal</w:t>
      </w:r>
      <w:r>
        <w:t xml:space="preserve"> </w:t>
      </w:r>
      <w:r>
        <w:t xml:space="preserve">é definido pela tripla</w:t>
      </w:r>
      <w:r>
        <w:t xml:space="preserve"> </w:t>
      </w:r>
      <m:oMath>
        <m:r>
          <m:rPr>
            <m:sty m:val="p"/>
          </m:rPr>
          <m:t>Γ</m:t>
        </m:r>
        <m:r>
          <m:rPr>
            <m:sty m:val="p"/>
          </m:rPr>
          <m:t>=</m:t>
        </m:r>
        <m:r>
          <m:rPr>
            <m:sty m:val="p"/>
          </m:rPr>
          <m:t>⟨</m:t>
        </m:r>
        <m:r>
          <m:t>N</m:t>
        </m:r>
        <m:r>
          <m:rPr>
            <m:sty m:val="p"/>
          </m:rPr>
          <m:t>,</m:t>
        </m:r>
        <m:r>
          <m:rPr>
            <m:sty m:val="p"/>
          </m:rPr>
          <m:t>(</m:t>
        </m:r>
        <m:sSub>
          <m:e>
            <m:r>
              <m:t>S</m:t>
            </m:r>
          </m:e>
          <m:sub>
            <m:r>
              <m:t>i</m:t>
            </m:r>
          </m:sub>
        </m:sSub>
        <m:sSub>
          <m:e>
            <m:r>
              <m:rPr>
                <m:sty m:val="p"/>
              </m:rPr>
              <m:t>)</m:t>
            </m:r>
          </m:e>
          <m:sub>
            <m:r>
              <m:t>i</m:t>
            </m:r>
            <m:r>
              <m:rPr>
                <m:sty m:val="p"/>
              </m:rPr>
              <m:t>∈</m:t>
            </m:r>
            <m:r>
              <m:t>N</m:t>
            </m:r>
          </m:sub>
        </m:sSub>
        <m:r>
          <m:rPr>
            <m:sty m:val="p"/>
          </m:rPr>
          <m:t>,</m:t>
        </m:r>
        <m:r>
          <m:rPr>
            <m:sty m:val="p"/>
          </m:rPr>
          <m:t>(</m:t>
        </m:r>
        <m:sSub>
          <m:e>
            <m:r>
              <m:t>u</m:t>
            </m:r>
          </m:e>
          <m:sub>
            <m:r>
              <m:t>i</m:t>
            </m:r>
          </m:sub>
        </m:sSub>
        <m:sSub>
          <m:e>
            <m:r>
              <m:rPr>
                <m:sty m:val="p"/>
              </m:rPr>
              <m:t>)</m:t>
            </m:r>
          </m:e>
          <m:sub>
            <m:r>
              <m:t>i</m:t>
            </m:r>
            <m:r>
              <m:rPr>
                <m:sty m:val="p"/>
              </m:rPr>
              <m:t>∈</m:t>
            </m:r>
            <m:r>
              <m:t>N</m:t>
            </m:r>
          </m:sub>
        </m:sSub>
        <m:r>
          <m:rPr>
            <m:sty m:val="p"/>
          </m:rPr>
          <m:t>⟩</m:t>
        </m:r>
      </m:oMath>
      <w:r>
        <w:t xml:space="preserve">, onde:</w:t>
      </w:r>
    </w:p>
    <w:p>
      <w:pPr>
        <w:pStyle w:val="Compact"/>
        <w:numPr>
          <w:ilvl w:val="0"/>
          <w:numId w:val="1436"/>
        </w:numPr>
      </w:pPr>
      <m:oMath>
        <m:r>
          <m:t>N</m:t>
        </m:r>
        <m:r>
          <m:rPr>
            <m:sty m:val="p"/>
          </m:rPr>
          <m:t>=</m:t>
        </m:r>
        <m:r>
          <m:rPr>
            <m:sty m:val="p"/>
          </m:rPr>
          <m:t>{</m:t>
        </m:r>
        <m:r>
          <m:t>1</m:t>
        </m:r>
        <m:r>
          <m:rPr>
            <m:sty m:val="p"/>
          </m:rPr>
          <m:t>,</m:t>
        </m:r>
        <m:r>
          <m:t>2</m:t>
        </m:r>
        <m:r>
          <m:rPr>
            <m:sty m:val="p"/>
          </m:rPr>
          <m:t>,</m:t>
        </m:r>
        <m:r>
          <m:rPr>
            <m:sty m:val="p"/>
          </m:rPr>
          <m:t>…</m:t>
        </m:r>
        <m:r>
          <m:rPr>
            <m:sty m:val="p"/>
          </m:rPr>
          <m:t>,</m:t>
        </m:r>
        <m:r>
          <m:t>n</m:t>
        </m:r>
        <m:r>
          <m:rPr>
            <m:sty m:val="p"/>
          </m:rPr>
          <m:t>}</m:t>
        </m:r>
      </m:oMath>
      <w:r>
        <w:t xml:space="preserve"> </w:t>
      </w:r>
      <w:r>
        <w:t xml:space="preserve">é o conjunto finito de</w:t>
      </w:r>
      <w:r>
        <w:t xml:space="preserve"> </w:t>
      </w:r>
      <w:r>
        <w:rPr>
          <w:b/>
          <w:bCs/>
        </w:rPr>
        <w:t xml:space="preserve">jogadores</w:t>
      </w:r>
      <w:r>
        <w:t xml:space="preserve">.</w:t>
      </w:r>
    </w:p>
    <w:p>
      <w:pPr>
        <w:pStyle w:val="Compact"/>
        <w:numPr>
          <w:ilvl w:val="0"/>
          <w:numId w:val="1436"/>
        </w:numPr>
      </w:pPr>
      <m:oMath>
        <m:sSub>
          <m:e>
            <m:r>
              <m:t>S</m:t>
            </m:r>
          </m:e>
          <m:sub>
            <m:r>
              <m:t>i</m:t>
            </m:r>
          </m:sub>
        </m:sSub>
      </m:oMath>
      <w:r>
        <w:t xml:space="preserve"> </w:t>
      </w:r>
      <w:r>
        <w:t xml:space="preserve">é o conjunto de</w:t>
      </w:r>
      <w:r>
        <w:t xml:space="preserve"> </w:t>
      </w:r>
      <w:r>
        <w:rPr>
          <w:b/>
          <w:bCs/>
        </w:rPr>
        <w:t xml:space="preserve">estratégias</w:t>
      </w:r>
      <w:r>
        <w:t xml:space="preserve"> </w:t>
      </w:r>
      <w:r>
        <w:t xml:space="preserve">disponíveis para o jogador</w:t>
      </w:r>
      <w:r>
        <w:t xml:space="preserve"> </w:t>
      </w:r>
      <m:oMath>
        <m:r>
          <m:t>i</m:t>
        </m:r>
      </m:oMath>
      <w:r>
        <w:t xml:space="preserve">. O perfil de estratégias é</w:t>
      </w:r>
      <w:r>
        <w:t xml:space="preserve"> </w:t>
      </w:r>
      <m:oMath>
        <m:r>
          <m:t>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r>
          <m:rPr>
            <m:sty m:val="p"/>
          </m:rPr>
          <m:t>)</m:t>
        </m:r>
        <m:r>
          <m:rPr>
            <m:sty m:val="p"/>
          </m:rPr>
          <m:t>∈</m:t>
        </m:r>
        <m:r>
          <m:t>S</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oMath>
      <w:r>
        <w:t xml:space="preserve">.</w:t>
      </w:r>
    </w:p>
    <w:p>
      <w:pPr>
        <w:pStyle w:val="Compact"/>
        <w:numPr>
          <w:ilvl w:val="0"/>
          <w:numId w:val="1436"/>
        </w:numPr>
      </w:pPr>
      <m:oMath>
        <m:sSub>
          <m:e>
            <m:r>
              <m:t>u</m:t>
            </m:r>
          </m:e>
          <m:sub>
            <m:r>
              <m:t>i</m:t>
            </m:r>
          </m:sub>
        </m:sSub>
        <m:r>
          <m:rPr>
            <m:sty m:val="p"/>
          </m:rPr>
          <m:t>:</m:t>
        </m:r>
        <m:r>
          <m:t>S</m:t>
        </m:r>
        <m:r>
          <m:rPr>
            <m:sty m:val="p"/>
          </m:rPr>
          <m:t>→</m:t>
        </m:r>
        <m:r>
          <m:rPr>
            <m:scr m:val="double-struck"/>
            <m:sty m:val="p"/>
          </m:rPr>
          <m:t>R</m:t>
        </m:r>
      </m:oMath>
      <w:r>
        <w:t xml:space="preserve"> </w:t>
      </w:r>
      <w:r>
        <w:t xml:space="preserve">é a função de</w:t>
      </w:r>
      <w:r>
        <w:t xml:space="preserve"> </w:t>
      </w:r>
      <w:r>
        <w:rPr>
          <w:b/>
          <w:bCs/>
        </w:rPr>
        <w:t xml:space="preserve">payoff</w:t>
      </w:r>
      <w:r>
        <w:t xml:space="preserve"> </w:t>
      </w:r>
      <w:r>
        <w:t xml:space="preserve">(utilidade) do jogador</w:t>
      </w:r>
      <w:r>
        <w:t xml:space="preserve"> </w:t>
      </w:r>
      <m:oMath>
        <m:r>
          <m:t>i</m:t>
        </m:r>
      </m:oMath>
      <w:r>
        <w:t xml:space="preserve">, que associa a cada perfil de estratégias um resultado para</w:t>
      </w:r>
      <w:r>
        <w:t xml:space="preserve"> </w:t>
      </w:r>
      <m:oMath>
        <m:r>
          <m:t>i</m:t>
        </m:r>
      </m:oMath>
      <w:r>
        <w:t xml:space="preserve">.</w:t>
      </w:r>
    </w:p>
    <w:p>
      <w:pPr>
        <w:pStyle w:val="BlockText"/>
      </w:pPr>
      <w:r>
        <w:rPr>
          <w:b/>
          <w:bCs/>
        </w:rPr>
        <w:t xml:space="preserve">[DEFINICAO] Jogo na forma extensiva</w:t>
      </w:r>
    </w:p>
    <w:p>
      <w:pPr>
        <w:pStyle w:val="BlockText"/>
      </w:pPr>
      <w:r>
        <w:t xml:space="preserve">Um jogo na</w:t>
      </w:r>
      <w:r>
        <w:t xml:space="preserve"> </w:t>
      </w:r>
      <w:r>
        <w:rPr>
          <w:b/>
          <w:bCs/>
        </w:rPr>
        <w:t xml:space="preserve">forma extensiva</w:t>
      </w:r>
      <w:r>
        <w:t xml:space="preserve"> </w:t>
      </w:r>
      <w:r>
        <w:t xml:space="preserve">é representado por uma árvore de decisão que especifica:</w:t>
      </w:r>
    </w:p>
    <w:p>
      <w:pPr>
        <w:pStyle w:val="Compact"/>
        <w:numPr>
          <w:ilvl w:val="0"/>
          <w:numId w:val="1437"/>
        </w:numPr>
      </w:pPr>
      <w:r>
        <w:t xml:space="preserve">A ordem cronológica das jogadas.</w:t>
      </w:r>
    </w:p>
    <w:p>
      <w:pPr>
        <w:pStyle w:val="Compact"/>
        <w:numPr>
          <w:ilvl w:val="0"/>
          <w:numId w:val="1437"/>
        </w:numPr>
      </w:pPr>
      <w:r>
        <w:t xml:space="preserve">Os conjuntos de informação de cada jogador (o que cada um sabe quando decide).</w:t>
      </w:r>
    </w:p>
    <w:p>
      <w:pPr>
        <w:pStyle w:val="Compact"/>
        <w:numPr>
          <w:ilvl w:val="0"/>
          <w:numId w:val="1437"/>
        </w:numPr>
      </w:pPr>
      <w:r>
        <w:t xml:space="preserve">As ações disponíveis em cada nó de decisão.</w:t>
      </w:r>
    </w:p>
    <w:p>
      <w:pPr>
        <w:pStyle w:val="Compact"/>
        <w:numPr>
          <w:ilvl w:val="0"/>
          <w:numId w:val="1437"/>
        </w:numPr>
      </w:pPr>
      <w:r>
        <w:t xml:space="preserve">Os payoffs nos nós terminais.</w:t>
      </w:r>
    </w:p>
    <w:p>
      <w:pPr>
        <w:pStyle w:val="Compact"/>
        <w:numPr>
          <w:ilvl w:val="0"/>
          <w:numId w:val="1437"/>
        </w:numPr>
      </w:pPr>
      <w:r>
        <w:t xml:space="preserve">A distribuição de probabilidade nos nós da natureza (se houver).</w:t>
      </w:r>
    </w:p>
    <w:p>
      <w:pPr>
        <w:pStyle w:val="BlockText"/>
      </w:pPr>
      <w:r>
        <w:t xml:space="preserve">A forma extensiva é especialmente útil para jogos</w:t>
      </w:r>
      <w:r>
        <w:t xml:space="preserve"> </w:t>
      </w:r>
      <w:r>
        <w:rPr>
          <w:b/>
          <w:bCs/>
        </w:rPr>
        <w:t xml:space="preserve">sequenciais</w:t>
      </w:r>
      <w:r>
        <w:t xml:space="preserve"> </w:t>
      </w:r>
      <w:r>
        <w:t xml:space="preserve">(Módulo 9b) e jogos com</w:t>
      </w:r>
      <w:r>
        <w:t xml:space="preserve"> </w:t>
      </w:r>
      <w:r>
        <w:rPr>
          <w:b/>
          <w:bCs/>
        </w:rPr>
        <w:t xml:space="preserve">informação imperfeita</w:t>
      </w:r>
      <w:r>
        <w:t xml:space="preserve">.</w:t>
      </w:r>
    </w:p>
    <w:p>
      <w:pPr>
        <w:pStyle w:val="FirstParagraph"/>
      </w:pPr>
      <w:r>
        <w:t xml:space="preserve">Com essas duas representações em mãos, podemos definir os conceitos que serão utilizados ao longo de todo o capítulo. Quais são os ingredientes mínimos que um jogador racional precisa considerar ao tomar uma decisão? A resposta passa pelas noções de estratégia, dominância e melhor resposta. É importante distinguir o conceito de</w:t>
      </w:r>
      <w:r>
        <w:t xml:space="preserve"> </w:t>
      </w:r>
      <w:r>
        <w:rPr>
          <w:i/>
          <w:iCs/>
        </w:rPr>
        <w:t xml:space="preserve">estratégia</w:t>
      </w:r>
      <w:r>
        <w:t xml:space="preserve"> </w:t>
      </w:r>
      <w:r>
        <w:t xml:space="preserve">do conceito de</w:t>
      </w:r>
      <w:r>
        <w:t xml:space="preserve"> </w:t>
      </w:r>
      <w:r>
        <w:rPr>
          <w:i/>
          <w:iCs/>
        </w:rPr>
        <w:t xml:space="preserve">ação</w:t>
      </w:r>
      <w:r>
        <w:t xml:space="preserve">: em jogos estáticos as duas noções coincidem, mas em jogos dinâmicos (Módulo 9b) uma estratégia é um plano completo que especifica a ação do jogador em</w:t>
      </w:r>
      <w:r>
        <w:t xml:space="preserve"> </w:t>
      </w:r>
      <w:r>
        <w:rPr>
          <w:i/>
          <w:iCs/>
        </w:rPr>
        <w:t xml:space="preserve">cada</w:t>
      </w:r>
      <w:r>
        <w:t xml:space="preserve"> </w:t>
      </w:r>
      <w:r>
        <w:t xml:space="preserve">nó de decisão — inclusive aqueles que não são alcançados no equilíbrio. Essa distinção, aparentemente pedante, tem consequências profundas para o refinamento de equilíbrios.</w:t>
      </w:r>
    </w:p>
    <w:bookmarkStart w:id="466" w:name="conceitos-auxiliares"/>
    <w:p>
      <w:pPr>
        <w:pStyle w:val="Heading4"/>
      </w:pPr>
      <w:r>
        <w:t xml:space="preserve">Conceitos auxiliares</w:t>
      </w:r>
    </w:p>
    <w:p>
      <w:pPr>
        <w:pStyle w:val="Compact"/>
        <w:numPr>
          <w:ilvl w:val="0"/>
          <w:numId w:val="1438"/>
        </w:numPr>
      </w:pPr>
      <w:r>
        <w:rPr>
          <w:b/>
          <w:bCs/>
        </w:rPr>
        <w:t xml:space="preserve">Estratégia pura</w:t>
      </w:r>
      <w:r>
        <w:t xml:space="preserve">: uma escolha determinística de ação,</w:t>
      </w:r>
      <w:r>
        <w:t xml:space="preserve"> </w:t>
      </w:r>
      <m:oMath>
        <m:sSub>
          <m:e>
            <m:r>
              <m:t>s</m:t>
            </m:r>
          </m:e>
          <m:sub>
            <m:r>
              <m:t>i</m:t>
            </m:r>
          </m:sub>
        </m:sSub>
        <m:r>
          <m:rPr>
            <m:sty m:val="p"/>
          </m:rPr>
          <m:t>∈</m:t>
        </m:r>
        <m:sSub>
          <m:e>
            <m:r>
              <m:t>S</m:t>
            </m:r>
          </m:e>
          <m:sub>
            <m:r>
              <m:t>i</m:t>
            </m:r>
          </m:sub>
        </m:sSub>
      </m:oMath>
      <w:r>
        <w:t xml:space="preserve">.</w:t>
      </w:r>
    </w:p>
    <w:p>
      <w:pPr>
        <w:pStyle w:val="Compact"/>
        <w:numPr>
          <w:ilvl w:val="0"/>
          <w:numId w:val="1438"/>
        </w:numPr>
      </w:pPr>
      <w:r>
        <w:rPr>
          <w:b/>
          <w:bCs/>
        </w:rPr>
        <w:t xml:space="preserve">Estratégia mista</w:t>
      </w:r>
      <w:r>
        <w:t xml:space="preserve">: uma distribuição de probabilidade sobre as estratégias puras,</w:t>
      </w:r>
      <w:r>
        <w:t xml:space="preserve"> </w:t>
      </w:r>
      <m:oMath>
        <m:sSub>
          <m:e>
            <m:r>
              <m:t>σ</m:t>
            </m:r>
          </m:e>
          <m:sub>
            <m:r>
              <m:t>i</m:t>
            </m:r>
          </m:sub>
        </m:sSub>
        <m:r>
          <m:rPr>
            <m:sty m:val="p"/>
          </m:rPr>
          <m:t>∈</m:t>
        </m:r>
        <m:r>
          <m:rPr>
            <m:sty m:val="p"/>
          </m:rPr>
          <m:t>Δ</m:t>
        </m:r>
        <m:r>
          <m:rPr>
            <m:sty m:val="p"/>
          </m:rPr>
          <m:t>(</m:t>
        </m:r>
        <m:sSub>
          <m:e>
            <m:r>
              <m:t>S</m:t>
            </m:r>
          </m:e>
          <m:sub>
            <m:r>
              <m:t>i</m:t>
            </m:r>
          </m:sub>
        </m:sSub>
        <m:r>
          <m:rPr>
            <m:sty m:val="p"/>
          </m:rPr>
          <m:t>)</m:t>
        </m:r>
      </m:oMath>
      <w:r>
        <w:t xml:space="preserve">.</w:t>
      </w:r>
    </w:p>
    <w:p>
      <w:pPr>
        <w:pStyle w:val="Compact"/>
        <w:numPr>
          <w:ilvl w:val="0"/>
          <w:numId w:val="1438"/>
        </w:numPr>
      </w:pPr>
      <w:r>
        <w:rPr>
          <w:b/>
          <w:bCs/>
        </w:rPr>
        <w:t xml:space="preserve">Estratégia dominante</w:t>
      </w:r>
      <w:r>
        <w:t xml:space="preserve">:</w:t>
      </w:r>
      <w:r>
        <w:t xml:space="preserve"> </w:t>
      </w:r>
      <m:oMath>
        <m:sSubSup>
          <m:e>
            <m:r>
              <m:t>s</m:t>
            </m:r>
          </m:e>
          <m:sub>
            <m:r>
              <m:t>i</m:t>
            </m:r>
          </m:sub>
          <m:sup>
            <m:r>
              <m:rPr>
                <m:sty m:val="p"/>
              </m:rPr>
              <m:t>*</m:t>
            </m:r>
          </m:sup>
        </m:sSubSup>
      </m:oMath>
      <w:r>
        <w:t xml:space="preserve"> </w:t>
      </w:r>
      <w:r>
        <w:t xml:space="preserve">é (estritamente) dominante se</w:t>
      </w:r>
      <w:r>
        <w:t xml:space="preserve"> </w:t>
      </w:r>
      <m:oMath>
        <m:sSub>
          <m:e>
            <m:r>
              <m:t>u</m:t>
            </m:r>
          </m:e>
          <m:sub>
            <m:r>
              <m:t>i</m:t>
            </m:r>
          </m:sub>
        </m:sSub>
        <m:r>
          <m:rPr>
            <m:sty m:val="p"/>
          </m:rPr>
          <m:t>(</m:t>
        </m:r>
        <m:sSubSup>
          <m:e>
            <m:r>
              <m:t>s</m:t>
            </m:r>
          </m:e>
          <m:sub>
            <m:r>
              <m:t>i</m:t>
            </m:r>
          </m:sub>
          <m:sup>
            <m:r>
              <m:rPr>
                <m:sty m:val="p"/>
              </m:rPr>
              <m:t>*</m:t>
            </m:r>
          </m:sup>
        </m:sSubSup>
        <m:r>
          <m:rPr>
            <m:sty m:val="p"/>
          </m:rPr>
          <m:t>,</m:t>
        </m:r>
        <m:sSub>
          <m:e>
            <m:r>
              <m:t>s</m:t>
            </m:r>
          </m:e>
          <m:sub>
            <m:r>
              <m:rPr>
                <m:sty m:val="p"/>
              </m:rPr>
              <m:t>−</m:t>
            </m:r>
            <m:r>
              <m:t>i</m:t>
            </m:r>
          </m:sub>
        </m:sSub>
        <m:r>
          <m:rPr>
            <m:sty m:val="p"/>
          </m:rPr>
          <m:t>)</m:t>
        </m:r>
        <m:r>
          <m:rPr>
            <m:sty m:val="p"/>
          </m:rPr>
          <m:t>&gt;</m:t>
        </m:r>
        <m:sSub>
          <m:e>
            <m:r>
              <m:t>u</m:t>
            </m:r>
          </m:e>
          <m:sub>
            <m:r>
              <m:t>i</m:t>
            </m:r>
          </m:sub>
        </m:sSub>
        <m:r>
          <m:rPr>
            <m:sty m:val="p"/>
          </m:rPr>
          <m:t>(</m:t>
        </m:r>
        <m:sSub>
          <m:e>
            <m:r>
              <m:t>s</m:t>
            </m:r>
          </m:e>
          <m:sub>
            <m:r>
              <m:t>i</m:t>
            </m:r>
          </m:sub>
        </m:sSub>
        <m:r>
          <m:rPr>
            <m:sty m:val="p"/>
          </m:rPr>
          <m:t>,</m:t>
        </m:r>
        <m:sSub>
          <m:e>
            <m:r>
              <m:t>s</m:t>
            </m:r>
          </m:e>
          <m:sub>
            <m:r>
              <m:rPr>
                <m:sty m:val="p"/>
              </m:rPr>
              <m:t>−</m:t>
            </m:r>
            <m:r>
              <m:t>i</m:t>
            </m:r>
          </m:sub>
        </m:sSub>
        <m:r>
          <m:rPr>
            <m:sty m:val="p"/>
          </m:rPr>
          <m:t>)</m:t>
        </m:r>
      </m:oMath>
      <w:r>
        <w:t xml:space="preserve"> </w:t>
      </w:r>
      <w:r>
        <w:t xml:space="preserve">para todo</w:t>
      </w:r>
      <w:r>
        <w:t xml:space="preserve"> </w:t>
      </w:r>
      <m:oMath>
        <m:sSub>
          <m:e>
            <m:r>
              <m:t>s</m:t>
            </m:r>
          </m:e>
          <m:sub>
            <m:r>
              <m:t>i</m:t>
            </m:r>
          </m:sub>
        </m:sSub>
        <m:r>
          <m:rPr>
            <m:sty m:val="p"/>
          </m:rPr>
          <m:t>≠</m:t>
        </m:r>
        <m:sSubSup>
          <m:e>
            <m:r>
              <m:t>s</m:t>
            </m:r>
          </m:e>
          <m:sub>
            <m:r>
              <m:t>i</m:t>
            </m:r>
          </m:sub>
          <m:sup>
            <m:r>
              <m:rPr>
                <m:sty m:val="p"/>
              </m:rPr>
              <m:t>*</m:t>
            </m:r>
          </m:sup>
        </m:sSubSup>
      </m:oMath>
      <w:r>
        <w:t xml:space="preserve"> </w:t>
      </w:r>
      <w:r>
        <w:t xml:space="preserve">e todo</w:t>
      </w:r>
      <w:r>
        <w:t xml:space="preserve"> </w:t>
      </w:r>
      <m:oMath>
        <m:sSub>
          <m:e>
            <m:r>
              <m:t>s</m:t>
            </m:r>
          </m:e>
          <m:sub>
            <m:r>
              <m:rPr>
                <m:sty m:val="p"/>
              </m:rPr>
              <m:t>−</m:t>
            </m:r>
            <m:r>
              <m:t>i</m:t>
            </m:r>
          </m:sub>
        </m:sSub>
        <m:r>
          <m:rPr>
            <m:sty m:val="p"/>
          </m:rPr>
          <m:t>∈</m:t>
        </m:r>
        <m:sSub>
          <m:e>
            <m:r>
              <m:t>S</m:t>
            </m:r>
          </m:e>
          <m:sub>
            <m:r>
              <m:rPr>
                <m:sty m:val="p"/>
              </m:rPr>
              <m:t>−</m:t>
            </m:r>
            <m:r>
              <m:t>i</m:t>
            </m:r>
          </m:sub>
        </m:sSub>
      </m:oMath>
      <w:r>
        <w:t xml:space="preserve">.</w:t>
      </w:r>
    </w:p>
    <w:p>
      <w:pPr>
        <w:pStyle w:val="Compact"/>
        <w:numPr>
          <w:ilvl w:val="0"/>
          <w:numId w:val="1438"/>
        </w:numPr>
      </w:pPr>
      <w:r>
        <w:rPr>
          <w:b/>
          <w:bCs/>
        </w:rPr>
        <w:t xml:space="preserve">Estratégia dominada</w:t>
      </w:r>
      <w:r>
        <w:t xml:space="preserve">:</w:t>
      </w:r>
      <w:r>
        <w:t xml:space="preserve"> </w:t>
      </w:r>
      <m:oMath>
        <m:sSub>
          <m:e>
            <m:r>
              <m:t>s</m:t>
            </m:r>
          </m:e>
          <m:sub>
            <m:r>
              <m:t>i</m:t>
            </m:r>
          </m:sub>
        </m:sSub>
      </m:oMath>
      <w:r>
        <w:t xml:space="preserve"> </w:t>
      </w:r>
      <w:r>
        <w:t xml:space="preserve">é dominada se existe</w:t>
      </w:r>
      <w:r>
        <w:t xml:space="preserve"> </w:t>
      </w:r>
      <m:oMath>
        <m:sSubSup>
          <m:e>
            <m:r>
              <m:t>s</m:t>
            </m:r>
          </m:e>
          <m:sub>
            <m:r>
              <m:t>i</m:t>
            </m:r>
          </m:sub>
          <m:sup>
            <m:r>
              <m:rPr>
                <m:sty m:val="p"/>
              </m:rPr>
              <m:t>′</m:t>
            </m:r>
          </m:sup>
        </m:sSubSup>
      </m:oMath>
      <w:r>
        <w:t xml:space="preserve"> </w:t>
      </w:r>
      <w:r>
        <w:t xml:space="preserve">tal que</w:t>
      </w:r>
      <w:r>
        <w:t xml:space="preserve"> </w:t>
      </w:r>
      <m:oMath>
        <m:sSub>
          <m:e>
            <m:r>
              <m:t>u</m:t>
            </m:r>
          </m:e>
          <m:sub>
            <m:r>
              <m:t>i</m:t>
            </m:r>
          </m:sub>
        </m:sSub>
        <m:r>
          <m:rPr>
            <m:sty m:val="p"/>
          </m:rPr>
          <m:t>(</m:t>
        </m:r>
        <m:sSubSup>
          <m:e>
            <m:r>
              <m:t>s</m:t>
            </m:r>
          </m:e>
          <m:sub>
            <m:r>
              <m:t>i</m:t>
            </m:r>
          </m:sub>
          <m:sup>
            <m:r>
              <m:rPr>
                <m:sty m:val="p"/>
              </m:rPr>
              <m:t>′</m:t>
            </m:r>
          </m:sup>
        </m:sSubSup>
        <m:r>
          <m:rPr>
            <m:sty m:val="p"/>
          </m:rPr>
          <m:t>,</m:t>
        </m:r>
        <m:sSub>
          <m:e>
            <m:r>
              <m:t>s</m:t>
            </m:r>
          </m:e>
          <m:sub>
            <m:r>
              <m:rPr>
                <m:sty m:val="p"/>
              </m:rPr>
              <m:t>−</m:t>
            </m:r>
            <m:r>
              <m:t>i</m:t>
            </m:r>
          </m:sub>
        </m:sSub>
        <m:r>
          <m:rPr>
            <m:sty m:val="p"/>
          </m:rPr>
          <m:t>)</m:t>
        </m:r>
        <m:r>
          <m:rPr>
            <m:sty m:val="p"/>
          </m:rPr>
          <m:t>&gt;</m:t>
        </m:r>
        <m:sSub>
          <m:e>
            <m:r>
              <m:t>u</m:t>
            </m:r>
          </m:e>
          <m:sub>
            <m:r>
              <m:t>i</m:t>
            </m:r>
          </m:sub>
        </m:sSub>
        <m:r>
          <m:rPr>
            <m:sty m:val="p"/>
          </m:rPr>
          <m:t>(</m:t>
        </m:r>
        <m:sSub>
          <m:e>
            <m:r>
              <m:t>s</m:t>
            </m:r>
          </m:e>
          <m:sub>
            <m:r>
              <m:t>i</m:t>
            </m:r>
          </m:sub>
        </m:sSub>
        <m:r>
          <m:rPr>
            <m:sty m:val="p"/>
          </m:rPr>
          <m:t>,</m:t>
        </m:r>
        <m:sSub>
          <m:e>
            <m:r>
              <m:t>s</m:t>
            </m:r>
          </m:e>
          <m:sub>
            <m:r>
              <m:rPr>
                <m:sty m:val="p"/>
              </m:rPr>
              <m:t>−</m:t>
            </m:r>
            <m:r>
              <m:t>i</m:t>
            </m:r>
          </m:sub>
        </m:sSub>
        <m:r>
          <m:rPr>
            <m:sty m:val="p"/>
          </m:rPr>
          <m:t>)</m:t>
        </m:r>
      </m:oMath>
      <w:r>
        <w:t xml:space="preserve"> </w:t>
      </w:r>
      <w:r>
        <w:t xml:space="preserve">para todo</w:t>
      </w:r>
      <w:r>
        <w:t xml:space="preserve"> </w:t>
      </w:r>
      <m:oMath>
        <m:sSub>
          <m:e>
            <m:r>
              <m:t>s</m:t>
            </m:r>
          </m:e>
          <m:sub>
            <m:r>
              <m:rPr>
                <m:sty m:val="p"/>
              </m:rPr>
              <m:t>−</m:t>
            </m:r>
            <m:r>
              <m:t>i</m:t>
            </m:r>
          </m:sub>
        </m:sSub>
      </m:oMath>
      <w:r>
        <w:t xml:space="preserve">.</w:t>
      </w:r>
    </w:p>
    <w:p>
      <w:pPr>
        <w:pStyle w:val="Compact"/>
        <w:numPr>
          <w:ilvl w:val="0"/>
          <w:numId w:val="1438"/>
        </w:numPr>
      </w:pPr>
      <w:r>
        <w:rPr>
          <w:b/>
          <w:bCs/>
        </w:rPr>
        <w:t xml:space="preserve">Notação</w:t>
      </w:r>
      <w:r>
        <w:rPr>
          <w:b/>
          <w:bCs/>
        </w:rPr>
        <w:t xml:space="preserve"> </w:t>
      </w:r>
      <m:oMath>
        <m:sSub>
          <m:e>
            <m:r>
              <m:t>s</m:t>
            </m:r>
          </m:e>
          <m:sub>
            <m:r>
              <m:rPr>
                <m:sty m:val="p"/>
              </m:rPr>
              <m:t>−</m:t>
            </m:r>
            <m:r>
              <m:t>i</m:t>
            </m:r>
          </m:sub>
        </m:sSub>
      </m:oMath>
      <w:r>
        <w:t xml:space="preserve">: perfil de estratégias de todos os jogadores</w:t>
      </w:r>
      <w:r>
        <w:t xml:space="preserve"> </w:t>
      </w:r>
      <w:r>
        <w:rPr>
          <w:i/>
          <w:iCs/>
        </w:rPr>
        <w:t xml:space="preserve">exceto</w:t>
      </w:r>
      <w:r>
        <w:t xml:space="preserve"> </w:t>
      </w:r>
      <m:oMath>
        <m:r>
          <m:t>i</m:t>
        </m:r>
      </m:oMath>
      <w:r>
        <w:t xml:space="preserve">, ou seja,</w:t>
      </w:r>
      <w:r>
        <w:t xml:space="preserve"> </w:t>
      </w:r>
      <m:oMath>
        <m:sSub>
          <m:e>
            <m:r>
              <m:t>s</m:t>
            </m:r>
          </m:e>
          <m:sub>
            <m:r>
              <m:rPr>
                <m:sty m:val="p"/>
              </m:rPr>
              <m:t>−</m:t>
            </m:r>
            <m:r>
              <m:t>i</m:t>
            </m:r>
          </m:sub>
        </m:sSub>
        <m:r>
          <m:rPr>
            <m:sty m:val="p"/>
          </m:rPr>
          <m:t>=</m:t>
        </m:r>
        <m:r>
          <m:rPr>
            <m:sty m:val="p"/>
          </m:rPr>
          <m:t>(</m:t>
        </m:r>
        <m:sSub>
          <m:e>
            <m:r>
              <m:t>s</m:t>
            </m:r>
          </m:e>
          <m:sub>
            <m:r>
              <m:t>1</m:t>
            </m:r>
          </m:sub>
        </m:sSub>
        <m:r>
          <m:rPr>
            <m:sty m:val="p"/>
          </m:rPr>
          <m:t>,</m:t>
        </m:r>
        <m:r>
          <m:rPr>
            <m:sty m:val="p"/>
          </m:rPr>
          <m:t>…</m:t>
        </m:r>
        <m:r>
          <m:rPr>
            <m:sty m:val="p"/>
          </m:rPr>
          <m:t>,</m:t>
        </m:r>
        <m:sSub>
          <m:e>
            <m:r>
              <m:t>s</m:t>
            </m:r>
          </m:e>
          <m:sub>
            <m:r>
              <m:t>i</m:t>
            </m:r>
            <m:r>
              <m:rPr>
                <m:sty m:val="p"/>
              </m:rPr>
              <m:t>−</m:t>
            </m:r>
            <m:r>
              <m:t>1</m:t>
            </m:r>
          </m:sub>
        </m:sSub>
        <m:r>
          <m:rPr>
            <m:sty m:val="p"/>
          </m:rPr>
          <m:t>,</m:t>
        </m:r>
        <m:sSub>
          <m:e>
            <m:r>
              <m:t>s</m:t>
            </m:r>
          </m:e>
          <m:sub>
            <m:r>
              <m:t>i</m:t>
            </m:r>
            <m:r>
              <m:rPr>
                <m:sty m:val="p"/>
              </m:rPr>
              <m:t>+</m:t>
            </m:r>
            <m:r>
              <m:t>1</m:t>
            </m:r>
          </m:sub>
        </m:sSub>
        <m:r>
          <m:rPr>
            <m:sty m:val="p"/>
          </m:rPr>
          <m:t>,</m:t>
        </m:r>
        <m:r>
          <m:rPr>
            <m:sty m:val="p"/>
          </m:rPr>
          <m:t>…</m:t>
        </m:r>
        <m:r>
          <m:rPr>
            <m:sty m:val="p"/>
          </m:rPr>
          <m:t>,</m:t>
        </m:r>
        <m:sSub>
          <m:e>
            <m:r>
              <m:t>s</m:t>
            </m:r>
          </m:e>
          <m:sub>
            <m:r>
              <m:t>n</m:t>
            </m:r>
          </m:sub>
        </m:sSub>
        <m:r>
          <m:rPr>
            <m:sty m:val="p"/>
          </m:rPr>
          <m:t>)</m:t>
        </m:r>
      </m:oMath>
      <w:r>
        <w:t xml:space="preserve">.</w:t>
      </w:r>
    </w:p>
    <w:p>
      <w:pPr>
        <w:pStyle w:val="BlockText"/>
      </w:pPr>
      <w:r>
        <w:rPr>
          <w:b/>
          <w:bCs/>
        </w:rPr>
        <w:t xml:space="preserve">[DEFINICAO] Estratégia Dominante</w:t>
      </w:r>
    </w:p>
    <w:p>
      <w:pPr>
        <w:pStyle w:val="BlockText"/>
      </w:pPr>
      <w:r>
        <w:t xml:space="preserve">A estratégia</w:t>
      </w:r>
      <w:r>
        <w:t xml:space="preserve"> </w:t>
      </w:r>
      <m:oMath>
        <m:sSubSup>
          <m:e>
            <m:r>
              <m:t>s</m:t>
            </m:r>
          </m:e>
          <m:sub>
            <m:r>
              <m:t>i</m:t>
            </m:r>
          </m:sub>
          <m:sup>
            <m:r>
              <m:rPr>
                <m:sty m:val="p"/>
              </m:rPr>
              <m:t>*</m:t>
            </m:r>
          </m:sup>
        </m:sSubSup>
        <m:r>
          <m:rPr>
            <m:sty m:val="p"/>
          </m:rPr>
          <m:t>∈</m:t>
        </m:r>
        <m:sSub>
          <m:e>
            <m:r>
              <m:t>S</m:t>
            </m:r>
          </m:e>
          <m:sub>
            <m:r>
              <m:t>i</m:t>
            </m:r>
          </m:sub>
        </m:sSub>
      </m:oMath>
      <w:r>
        <w:t xml:space="preserve"> </w:t>
      </w:r>
      <w:r>
        <w:t xml:space="preserve">é</w:t>
      </w:r>
      <w:r>
        <w:t xml:space="preserve"> </w:t>
      </w:r>
      <w:r>
        <w:rPr>
          <w:b/>
          <w:bCs/>
        </w:rPr>
        <w:t xml:space="preserve">estritamente dominante</w:t>
      </w:r>
      <w:r>
        <w:t xml:space="preserve"> </w:t>
      </w:r>
      <w:r>
        <w:t xml:space="preserve">para o jogador</w:t>
      </w:r>
      <w:r>
        <w:t xml:space="preserve"> </w:t>
      </w:r>
      <m:oMath>
        <m:r>
          <m:t>i</m:t>
        </m:r>
      </m:oMath>
      <w:r>
        <w:t xml:space="preserve"> </w:t>
      </w:r>
      <w:r>
        <w:t xml:space="preserve">se, para toda estratégia alternativa</w:t>
      </w:r>
      <w:r>
        <w:t xml:space="preserve"> </w:t>
      </w:r>
      <m:oMath>
        <m:sSub>
          <m:e>
            <m:r>
              <m:t>s</m:t>
            </m:r>
          </m:e>
          <m:sub>
            <m:r>
              <m:t>i</m:t>
            </m:r>
          </m:sub>
        </m:sSub>
        <m:r>
          <m:rPr>
            <m:sty m:val="p"/>
          </m:rPr>
          <m:t>∈</m:t>
        </m:r>
        <m:sSub>
          <m:e>
            <m:r>
              <m:t>S</m:t>
            </m:r>
          </m:e>
          <m:sub>
            <m:r>
              <m:t>i</m:t>
            </m:r>
          </m:sub>
        </m:sSub>
      </m:oMath>
      <w:r>
        <w:t xml:space="preserve"> </w:t>
      </w:r>
      <w:r>
        <w:t xml:space="preserve">com</w:t>
      </w:r>
      <w:r>
        <w:t xml:space="preserve"> </w:t>
      </w:r>
      <m:oMath>
        <m:sSub>
          <m:e>
            <m:r>
              <m:t>s</m:t>
            </m:r>
          </m:e>
          <m:sub>
            <m:r>
              <m:t>i</m:t>
            </m:r>
          </m:sub>
        </m:sSub>
        <m:r>
          <m:rPr>
            <m:sty m:val="p"/>
          </m:rPr>
          <m:t>≠</m:t>
        </m:r>
        <m:sSubSup>
          <m:e>
            <m:r>
              <m:t>s</m:t>
            </m:r>
          </m:e>
          <m:sub>
            <m:r>
              <m:t>i</m:t>
            </m:r>
          </m:sub>
          <m:sup>
            <m:r>
              <m:rPr>
                <m:sty m:val="p"/>
              </m:rPr>
              <m:t>*</m:t>
            </m:r>
          </m:sup>
        </m:sSubSup>
      </m:oMath>
      <w:r>
        <w:t xml:space="preserve"> </w:t>
      </w:r>
      <w:r>
        <w:t xml:space="preserve">e para todo perfil de estratégias dos demais jogadores</w:t>
      </w:r>
      <w:r>
        <w:t xml:space="preserve"> </w:t>
      </w:r>
      <m:oMath>
        <m:sSub>
          <m:e>
            <m:r>
              <m:t>s</m:t>
            </m:r>
          </m:e>
          <m:sub>
            <m:r>
              <m:rPr>
                <m:sty m:val="p"/>
              </m:rPr>
              <m:t>−</m:t>
            </m:r>
            <m:r>
              <m:t>i</m:t>
            </m:r>
          </m:sub>
        </m:sSub>
        <m:r>
          <m:rPr>
            <m:sty m:val="p"/>
          </m:rPr>
          <m:t>∈</m:t>
        </m:r>
        <m:sSub>
          <m:e>
            <m:r>
              <m:t>S</m:t>
            </m:r>
          </m:e>
          <m:sub>
            <m:r>
              <m:rPr>
                <m:sty m:val="p"/>
              </m:rPr>
              <m:t>−</m:t>
            </m:r>
            <m:r>
              <m:t>i</m:t>
            </m:r>
          </m:sub>
        </m:sSub>
      </m:oMath>
      <w:r>
        <w:t xml:space="preserve">:</w:t>
      </w:r>
    </w:p>
    <w:p>
      <w:pPr>
        <w:pStyle w:val="BlockText"/>
      </w:pPr>
      <w:r>
        <w:t xml:space="preserve">$$</w:t>
      </w:r>
    </w:p>
    <w:p>
      <w:pPr>
        <w:pStyle w:val="BlockText"/>
      </w:pPr>
      <w:r>
        <w:t xml:space="preserve">u_i(s_i^*, s_{-i}) &gt; u_i(s_i, s_{-i})</w:t>
      </w:r>
    </w:p>
    <w:p>
      <w:pPr>
        <w:pStyle w:val="BlockText"/>
      </w:pPr>
      <w:r>
        <w:t xml:space="preserve">$$</w:t>
      </w:r>
    </w:p>
    <w:p>
      <w:pPr>
        <w:pStyle w:val="BlockText"/>
      </w:pPr>
      <w:r>
        <w:t xml:space="preserve">Ou seja,</w:t>
      </w:r>
      <w:r>
        <w:t xml:space="preserve"> </w:t>
      </w:r>
      <m:oMath>
        <m:sSubSup>
          <m:e>
            <m:r>
              <m:t>s</m:t>
            </m:r>
          </m:e>
          <m:sub>
            <m:r>
              <m:t>i</m:t>
            </m:r>
          </m:sub>
          <m:sup>
            <m:r>
              <m:rPr>
                <m:sty m:val="p"/>
              </m:rPr>
              <m:t>*</m:t>
            </m:r>
          </m:sup>
        </m:sSubSup>
      </m:oMath>
      <w:r>
        <w:t xml:space="preserve"> </w:t>
      </w:r>
      <w:r>
        <w:t xml:space="preserve">é estritamente ótima</w:t>
      </w:r>
      <w:r>
        <w:t xml:space="preserve"> </w:t>
      </w:r>
      <w:r>
        <w:rPr>
          <w:b/>
          <w:bCs/>
        </w:rPr>
        <w:t xml:space="preserve">independentemente</w:t>
      </w:r>
      <w:r>
        <w:t xml:space="preserve"> </w:t>
      </w:r>
      <w:r>
        <w:t xml:space="preserve">do que os outros jogadores façam. Um jogador racional sempre joga sua estratégia dominante quando ela existe — e, se todos os jogadores têm estratégia dominante, a solução do jogo é trivial.</w:t>
      </w:r>
    </w:p>
    <w:p>
      <w:pPr>
        <w:pStyle w:val="BlockText"/>
      </w:pPr>
      <w:r>
        <w:t xml:space="preserve">A estratégia dominante é</w:t>
      </w:r>
      <w:r>
        <w:t xml:space="preserve"> </w:t>
      </w:r>
      <w:r>
        <w:rPr>
          <w:b/>
          <w:bCs/>
        </w:rPr>
        <w:t xml:space="preserve">fracamente</w:t>
      </w:r>
      <w:r>
        <w:t xml:space="preserve"> </w:t>
      </w:r>
      <w:r>
        <w:t xml:space="preserve">dominante se a desigualdade for</w:t>
      </w:r>
      <w:r>
        <w:t xml:space="preserve"> </w:t>
      </w:r>
      <m:oMath>
        <m:r>
          <m:rPr>
            <m:sty m:val="p"/>
          </m:rPr>
          <m:t>≥</m:t>
        </m:r>
      </m:oMath>
      <w:r>
        <w:t xml:space="preserve"> </w:t>
      </w:r>
      <w:r>
        <w:t xml:space="preserve">(em vez de</w:t>
      </w:r>
      <w:r>
        <w:t xml:space="preserve"> </w:t>
      </w:r>
      <m:oMath>
        <m:r>
          <m:rPr>
            <m:sty m:val="p"/>
          </m:rPr>
          <m:t>&gt;</m:t>
        </m:r>
      </m:oMath>
      <w:r>
        <w:t xml:space="preserve">) e estrita em ao menos um perfil</w:t>
      </w:r>
      <w:r>
        <w:t xml:space="preserve"> </w:t>
      </w:r>
      <m:oMath>
        <m:sSub>
          <m:e>
            <m:r>
              <m:t>s</m:t>
            </m:r>
          </m:e>
          <m:sub>
            <m:r>
              <m:rPr>
                <m:sty m:val="p"/>
              </m:rPr>
              <m:t>−</m:t>
            </m:r>
            <m:r>
              <m:t>i</m:t>
            </m:r>
          </m:sub>
        </m:sSub>
      </m:oMath>
      <w:r>
        <w:t xml:space="preserve">.</w:t>
      </w:r>
    </w:p>
    <w:bookmarkEnd w:id="466"/>
    <w:bookmarkStart w:id="467" w:name="X37fab7ffef62e7eacff8e09f8884171dfa4165f"/>
    <w:p>
      <w:pPr>
        <w:pStyle w:val="Heading4"/>
      </w:pPr>
      <w:r>
        <w:t xml:space="preserve">Eliminação Iterada de Estratégias Dominadas (EIED)</w:t>
      </w:r>
    </w:p>
    <w:p>
      <w:pPr>
        <w:pStyle w:val="FirstParagraph"/>
      </w:pPr>
      <w:r>
        <w:t xml:space="preserve">A noção de dominância já sugere um primeiro método de solução. Se um jogador racional jamais escolheria uma estratégia estritamente dominada, e se todos sabem que todos são racionais (e que todos sabem que todos são racionais,</w:t>
      </w:r>
      <w:r>
        <w:t xml:space="preserve"> </w:t>
      </w:r>
      <w:r>
        <w:rPr>
          <w:i/>
          <w:iCs/>
        </w:rPr>
        <w:t xml:space="preserve">ad infinitum</w:t>
      </w:r>
      <w:r>
        <w:t xml:space="preserve"> </w:t>
      </w:r>
      <w:r>
        <w:t xml:space="preserve">— a condição de</w:t>
      </w:r>
      <w:r>
        <w:t xml:space="preserve"> </w:t>
      </w:r>
      <w:r>
        <w:rPr>
          <w:b/>
          <w:bCs/>
        </w:rPr>
        <w:t xml:space="preserve">conhecimento comum de racionalidade</w:t>
      </w:r>
      <w:r>
        <w:t xml:space="preserve">), então é possível eliminar essas estratégias e simplificar o jogo. Repetindo esse raciocínio — agora no jogo reduzido — chega-se ao procedimento de Eliminação Iterada de Estratégias Estritamente Dominadas (EIED).</w:t>
      </w:r>
    </w:p>
    <w:p>
      <w:pPr>
        <w:pStyle w:val="BodyText"/>
      </w:pPr>
      <w:r>
        <w:t xml:space="preserve">Este é um procedimento de solução que não requer o conceito de equilíbrio: elimine, iterativamente, as estratégias estritamente dominadas de cada jogador. O conjunto de estratégias que sobrevive a todas as rodadas de eliminação é o conjunto de</w:t>
      </w:r>
      <w:r>
        <w:t xml:space="preserve"> </w:t>
      </w:r>
      <w:r>
        <w:rPr>
          <w:b/>
          <w:bCs/>
        </w:rPr>
        <w:t xml:space="preserve">estratégias racionalizáveis</w:t>
      </w:r>
      <w:r>
        <w:t xml:space="preserve">. Quando a EIED leva a um único perfil de estratégias, dizemos que o jogo é</w:t>
      </w:r>
      <w:r>
        <w:t xml:space="preserve"> </w:t>
      </w:r>
      <w:r>
        <w:rPr>
          <w:b/>
          <w:bCs/>
        </w:rPr>
        <w:t xml:space="preserve">dominância-solucionável</w:t>
      </w:r>
      <w:r>
        <w:t xml:space="preserve"> </w:t>
      </w:r>
      <w:r>
        <w:t xml:space="preserve">— o resultado decorre apenas da hipótese de racionalidade sem necessidade de coordenação de expectativas. O Dilema dos Prisioneiros é o exemplo canônico: trair domina cooperar para ambos os jogadores, e a EIED resolve o jogo em uma única rodada. Nos mercados financeiros, esse raciocínio embasou a crítica de Milgrom e Stokey (1982) ao paradoxo do não-comércio: se os preços de mercado revelam informação, é difícil que ambos os lados de uma transação acreditem, simultaneamente, estar em vantagem.</w:t>
      </w:r>
    </w:p>
    <w:p>
      <w:pPr>
        <w:pStyle w:val="BlockText"/>
      </w:pPr>
      <w:r>
        <w:rPr>
          <w:b/>
          <w:bCs/>
        </w:rPr>
        <w:t xml:space="preserve">[ATENCAO] Ordem de eliminação</w:t>
      </w:r>
    </w:p>
    <w:p>
      <w:pPr>
        <w:pStyle w:val="BlockText"/>
      </w:pPr>
      <w:r>
        <w:t xml:space="preserve">Para estratégias</w:t>
      </w:r>
      <w:r>
        <w:t xml:space="preserve"> </w:t>
      </w:r>
      <w:r>
        <w:rPr>
          <w:b/>
          <w:bCs/>
        </w:rPr>
        <w:t xml:space="preserve">estritamente</w:t>
      </w:r>
      <w:r>
        <w:t xml:space="preserve"> </w:t>
      </w:r>
      <w:r>
        <w:t xml:space="preserve">dominadas, o resultado da EIED independe da ordem de eliminação. Para estratégias</w:t>
      </w:r>
      <w:r>
        <w:t xml:space="preserve"> </w:t>
      </w:r>
      <w:r>
        <w:rPr>
          <w:b/>
          <w:bCs/>
        </w:rPr>
        <w:t xml:space="preserve">fracamente</w:t>
      </w:r>
      <w:r>
        <w:t xml:space="preserve"> </w:t>
      </w:r>
      <w:r>
        <w:t xml:space="preserve">dominadas, a ordem pode afetar o conjunto sobrevivente — um resultado frequentemente cobrado em provas da ANPEC.</w:t>
      </w:r>
    </w:p>
    <w:p>
      <w:r>
        <w:pict>
          <v:rect style="width:0;height:1.5pt" o:hralign="center" o:hrstd="t" o:hr="t"/>
        </w:pict>
      </w:r>
    </w:p>
    <w:bookmarkEnd w:id="467"/>
    <w:bookmarkEnd w:id="468"/>
    <w:bookmarkStart w:id="470" w:name="X7f0890b3f958db31468d3a66ff88fd525c01641"/>
    <w:p>
      <w:pPr>
        <w:pStyle w:val="Heading3"/>
      </w:pPr>
      <w:r>
        <w:t xml:space="preserve">9a.2 Por Que Mafiosos Confessam: O Dilema dos Prisioneiros</w:t>
      </w:r>
    </w:p>
    <w:p>
      <w:pPr>
        <w:pStyle w:val="FirstParagraph"/>
      </w:pPr>
      <w:r>
        <w:t xml:space="preserve">Com a linguagem formal estabelecida, podemos agora examinar os jogos que deram forma à teoria. Começamos pelo mais influente de todos — um jogo tão simples que pode ser descrito em uma frase, mas tão profundo que suas implicações permeiam a economia, a ciência política e a biologia.</w:t>
      </w:r>
    </w:p>
    <w:p>
      <w:pPr>
        <w:pStyle w:val="BodyText"/>
      </w:pPr>
      <w:r>
        <w:t xml:space="preserve">O</w:t>
      </w:r>
      <w:r>
        <w:t xml:space="preserve"> </w:t>
      </w:r>
      <w:r>
        <w:rPr>
          <w:b/>
          <w:bCs/>
        </w:rPr>
        <w:t xml:space="preserve">Dilema dos Prisioneiros</w:t>
      </w:r>
      <w:r>
        <w:t xml:space="preserve"> </w:t>
      </w:r>
      <w:r>
        <w:t xml:space="preserve">é possivelmente o jogo mais célebre da teoria dos jogos. A história da sua criação é ela mesma fascinante: formulado em 1950 por Merrill Flood e Melvin Dresher no laboratório RAND, e batizado pelo matemático Albert Tucker (orientador de Nash) ao apresentá-lo para uma plateia de psicólogos em Stanford, o Dilema dos Prisioneiros captura, com elegância mínima, a tensão estrutural entre interesse individual e bem coletivo. Dois suspeitos são interrogados separadamente e cada um pode cooperar (ficar calado) ou trair (delatar o outro). A narrativa da prisão é apenas um disfarce: a mesma estrutura de payoffs aparece na corrida armamentista entre países, na concorrência predatória entre firmas, na tragédia dos comuns e na guerra fiscal entre estados brasileiros. É precisamente essa universalidade que torna o Dilema dos Prisioneiros o caso de teste obrigatório para qualquer teoria de comportamento estratégico.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Jogador 2: Cooperar</w:t>
            </w:r>
          </w:p>
        </w:tc>
        <w:tc>
          <w:tcPr/>
          <w:p>
            <w:pPr>
              <w:pStyle w:val="Compact"/>
              <w:jc w:val="center"/>
            </w:pPr>
            <w:r>
              <w:t xml:space="preserve">Jogador 2: Trair</w:t>
            </w:r>
          </w:p>
        </w:tc>
      </w:tr>
      <w:tr>
        <w:tc>
          <w:tcPr/>
          <w:p>
            <w:pPr>
              <w:pStyle w:val="Compact"/>
              <w:jc w:val="left"/>
            </w:pPr>
            <w:r>
              <w:rPr>
                <w:b/>
                <w:bCs/>
              </w:rPr>
              <w:t xml:space="preserve">Jogador 1: Cooperar</w:t>
            </w:r>
          </w:p>
        </w:tc>
        <w:tc>
          <w:tcPr/>
          <w:p>
            <w:pPr>
              <w:pStyle w:val="Compact"/>
              <w:jc w:val="center"/>
            </w:pPr>
            <m:oMath>
              <m:r>
                <m:rPr>
                  <m:sty m:val="p"/>
                </m:rPr>
                <m:t>(</m:t>
              </m:r>
              <m:r>
                <m:rPr>
                  <m:sty m:val="p"/>
                </m:rPr>
                <m:t>−</m:t>
              </m:r>
              <m:r>
                <m:t>1</m:t>
              </m:r>
              <m:r>
                <m:rPr>
                  <m:sty m:val="p"/>
                </m:rPr>
                <m:t>,</m:t>
              </m:r>
              <m:r>
                <m:rPr>
                  <m:sty m:val="p"/>
                </m:rPr>
                <m:t>−</m:t>
              </m:r>
              <m:r>
                <m:t>1</m:t>
              </m:r>
              <m:r>
                <m:rPr>
                  <m:sty m:val="p"/>
                </m:rPr>
                <m:t>)</m:t>
              </m:r>
            </m:oMath>
          </w:p>
        </w:tc>
        <w:tc>
          <w:tcPr/>
          <w:p>
            <w:pPr>
              <w:pStyle w:val="Compact"/>
              <w:jc w:val="center"/>
            </w:pPr>
            <m:oMath>
              <m:r>
                <m:rPr>
                  <m:sty m:val="p"/>
                </m:rPr>
                <m:t>(</m:t>
              </m:r>
              <m:r>
                <m:rPr>
                  <m:sty m:val="p"/>
                </m:rPr>
                <m:t>−</m:t>
              </m:r>
              <m:r>
                <m:t>10</m:t>
              </m:r>
              <m:r>
                <m:rPr>
                  <m:sty m:val="p"/>
                </m:rPr>
                <m:t>,</m:t>
              </m:r>
              <m:r>
                <m:t>0</m:t>
              </m:r>
              <m:r>
                <m:rPr>
                  <m:sty m:val="p"/>
                </m:rPr>
                <m:t>)</m:t>
              </m:r>
            </m:oMath>
          </w:p>
        </w:tc>
      </w:tr>
      <w:tr>
        <w:tc>
          <w:tcPr/>
          <w:p>
            <w:pPr>
              <w:pStyle w:val="Compact"/>
              <w:jc w:val="left"/>
            </w:pPr>
            <w:r>
              <w:rPr>
                <w:b/>
                <w:bCs/>
              </w:rPr>
              <w:t xml:space="preserve">Jogador 1: Trair</w:t>
            </w:r>
          </w:p>
        </w:tc>
        <w:tc>
          <w:tcPr/>
          <w:p>
            <w:pPr>
              <w:pStyle w:val="Compact"/>
              <w:jc w:val="center"/>
            </w:pPr>
            <m:oMath>
              <m:r>
                <m:rPr>
                  <m:sty m:val="p"/>
                </m:rPr>
                <m:t>(</m:t>
              </m:r>
              <m:r>
                <m:t>0</m:t>
              </m:r>
              <m:r>
                <m:rPr>
                  <m:sty m:val="p"/>
                </m:rPr>
                <m:t>,</m:t>
              </m:r>
              <m:r>
                <m:rPr>
                  <m:sty m:val="p"/>
                </m:rPr>
                <m:t>−</m:t>
              </m:r>
              <m:r>
                <m:t>10</m:t>
              </m:r>
              <m:r>
                <m:rPr>
                  <m:sty m:val="p"/>
                </m:rPr>
                <m:t>)</m:t>
              </m:r>
            </m:oMath>
          </w:p>
        </w:tc>
        <w:tc>
          <w:tcPr/>
          <w:p>
            <w:pPr>
              <w:pStyle w:val="Compact"/>
              <w:jc w:val="center"/>
            </w:pPr>
            <m:oMath>
              <m:r>
                <m:rPr>
                  <m:sty m:val="p"/>
                </m:rPr>
                <m:t>(</m:t>
              </m:r>
              <m:r>
                <m:rPr>
                  <m:sty m:val="p"/>
                </m:rPr>
                <m:t>−</m:t>
              </m:r>
              <m:r>
                <m:t>5</m:t>
              </m:r>
              <m:r>
                <m:rPr>
                  <m:sty m:val="p"/>
                </m:rPr>
                <m:t>,</m:t>
              </m:r>
              <m:r>
                <m:rPr>
                  <m:sty m:val="p"/>
                </m:rPr>
                <m:t>−</m:t>
              </m:r>
              <m:r>
                <m:t>5</m:t>
              </m:r>
              <m:r>
                <m:rPr>
                  <m:sty m:val="p"/>
                </m:rPr>
                <m:t>)</m:t>
              </m:r>
            </m:oMath>
          </w:p>
        </w:tc>
      </w:tr>
    </w:tbl>
    <w:p>
      <w:pPr>
        <w:pStyle w:val="BodyText"/>
      </w:pPr>
      <w:r>
        <w:rPr>
          <w:b/>
          <w:bCs/>
        </w:rPr>
        <w:t xml:space="preserve">Tabela 9a.1 — Dilema dos Prisioneiros.</w:t>
      </w:r>
    </w:p>
    <w:p>
      <w:pPr>
        <w:pStyle w:val="BodyText"/>
      </w:pPr>
      <w:r>
        <w:t xml:space="preserve">A estrutura de payoffs satisfaz:</w:t>
      </w:r>
      <w:r>
        <w:t xml:space="preserve"> </w:t>
      </w:r>
      <m:oMath>
        <m:r>
          <m:t>T</m:t>
        </m:r>
        <m:r>
          <m:rPr>
            <m:sty m:val="p"/>
          </m:rPr>
          <m:t>&gt;</m:t>
        </m:r>
        <m:r>
          <m:t>R</m:t>
        </m:r>
        <m:r>
          <m:rPr>
            <m:sty m:val="p"/>
          </m:rPr>
          <m:t>&gt;</m:t>
        </m:r>
        <m:r>
          <m:t>P</m:t>
        </m:r>
        <m:r>
          <m:rPr>
            <m:sty m:val="p"/>
          </m:rPr>
          <m:t>&gt;</m:t>
        </m:r>
        <m:r>
          <m:t>S</m:t>
        </m:r>
      </m:oMath>
      <w:r>
        <w:t xml:space="preserve"> </w:t>
      </w:r>
      <w:r>
        <w:t xml:space="preserve">(onde</w:t>
      </w:r>
      <w:r>
        <w:t xml:space="preserve"> </w:t>
      </w:r>
      <m:oMath>
        <m:r>
          <m:t>T</m:t>
        </m:r>
      </m:oMath>
      <w:r>
        <w:t xml:space="preserve"> </w:t>
      </w:r>
      <w:r>
        <w:t xml:space="preserve">= tentação,</w:t>
      </w:r>
      <w:r>
        <w:t xml:space="preserve"> </w:t>
      </w:r>
      <m:oMath>
        <m:r>
          <m:t>R</m:t>
        </m:r>
      </m:oMath>
      <w:r>
        <w:t xml:space="preserve"> </w:t>
      </w:r>
      <w:r>
        <w:t xml:space="preserve">= recompensa mútua,</w:t>
      </w:r>
      <w:r>
        <w:t xml:space="preserve"> </w:t>
      </w:r>
      <m:oMath>
        <m:r>
          <m:t>P</m:t>
        </m:r>
      </m:oMath>
      <w:r>
        <w:t xml:space="preserve"> </w:t>
      </w:r>
      <w:r>
        <w:t xml:space="preserve">= punição,</w:t>
      </w:r>
      <w:r>
        <w:t xml:space="preserve"> </w:t>
      </w:r>
      <m:oMath>
        <m:r>
          <m:t>S</m:t>
        </m:r>
      </m:oMath>
      <w:r>
        <w:t xml:space="preserve"> </w:t>
      </w:r>
      <w:r>
        <w:t xml:space="preserve">=</w:t>
      </w:r>
      <w:r>
        <w:t xml:space="preserve"> </w:t>
      </w:r>
      <w:r>
        <w:rPr>
          <w:i/>
          <w:iCs/>
        </w:rPr>
        <w:t xml:space="preserve">sucker’s payoff</w:t>
      </w:r>
      <w:r>
        <w:t xml:space="preserve">), com a condição adicional</w:t>
      </w:r>
      <w:r>
        <w:t xml:space="preserve"> </w:t>
      </w:r>
      <m:oMath>
        <m:r>
          <m:t>2</m:t>
        </m:r>
        <m:r>
          <m:t>R</m:t>
        </m:r>
        <m:r>
          <m:rPr>
            <m:sty m:val="p"/>
          </m:rPr>
          <m:t>&gt;</m:t>
        </m:r>
        <m:r>
          <m:t>T</m:t>
        </m:r>
        <m:r>
          <m:rPr>
            <m:sty m:val="p"/>
          </m:rPr>
          <m:t>+</m:t>
        </m:r>
        <m:r>
          <m:t>S</m:t>
        </m:r>
      </m:oMath>
      <w:r>
        <w:t xml:space="preserve">. Essa parametrização não é arbitrária: a desigualdade</w:t>
      </w:r>
      <w:r>
        <w:t xml:space="preserve"> </w:t>
      </w:r>
      <m:oMath>
        <m:r>
          <m:t>T</m:t>
        </m:r>
        <m:r>
          <m:rPr>
            <m:sty m:val="p"/>
          </m:rPr>
          <m:t>&gt;</m:t>
        </m:r>
        <m:r>
          <m:t>R</m:t>
        </m:r>
      </m:oMath>
      <w:r>
        <w:t xml:space="preserve"> </w:t>
      </w:r>
      <w:r>
        <w:t xml:space="preserve">garante que trair seja tentador quando o outro coopera;</w:t>
      </w:r>
      <w:r>
        <w:t xml:space="preserve"> </w:t>
      </w:r>
      <m:oMath>
        <m:r>
          <m:t>R</m:t>
        </m:r>
        <m:r>
          <m:rPr>
            <m:sty m:val="p"/>
          </m:rPr>
          <m:t>&gt;</m:t>
        </m:r>
        <m:r>
          <m:t>P</m:t>
        </m:r>
      </m:oMath>
      <w:r>
        <w:t xml:space="preserve"> </w:t>
      </w:r>
      <w:r>
        <w:t xml:space="preserve">garante que a cooperação mútua seja preferível à traição mútua; e</w:t>
      </w:r>
      <w:r>
        <w:t xml:space="preserve"> </w:t>
      </w:r>
      <m:oMath>
        <m:r>
          <m:t>P</m:t>
        </m:r>
        <m:r>
          <m:rPr>
            <m:sty m:val="p"/>
          </m:rPr>
          <m:t>&gt;</m:t>
        </m:r>
        <m:r>
          <m:t>S</m:t>
        </m:r>
      </m:oMath>
      <w:r>
        <w:t xml:space="preserve"> </w:t>
      </w:r>
      <w:r>
        <w:t xml:space="preserve">garante que ser traído enquanto se coopera é o pior resultado possível. A condição</w:t>
      </w:r>
      <w:r>
        <w:t xml:space="preserve"> </w:t>
      </w:r>
      <m:oMath>
        <m:r>
          <m:t>2</m:t>
        </m:r>
        <m:r>
          <m:t>R</m:t>
        </m:r>
        <m:r>
          <m:rPr>
            <m:sty m:val="p"/>
          </m:rPr>
          <m:t>&gt;</m:t>
        </m:r>
        <m:r>
          <m:t>T</m:t>
        </m:r>
        <m:r>
          <m:rPr>
            <m:sty m:val="p"/>
          </m:rPr>
          <m:t>+</m:t>
        </m:r>
        <m:r>
          <m:t>S</m:t>
        </m:r>
      </m:oMath>
      <w:r>
        <w:t xml:space="preserve"> </w:t>
      </w:r>
      <w:r>
        <w:t xml:space="preserve">assegura que a cooperação mútua gera mais valor total do que a alternância entre traição e cooperação.</w:t>
      </w:r>
    </w:p>
    <w:p>
      <w:pPr>
        <w:pStyle w:val="BodyText"/>
      </w:pPr>
      <w:r>
        <w:t xml:space="preserve">Cada jogador tem uma</w:t>
      </w:r>
      <w:r>
        <w:t xml:space="preserve"> </w:t>
      </w:r>
      <w:r>
        <w:rPr>
          <w:b/>
          <w:bCs/>
        </w:rPr>
        <w:t xml:space="preserve">estratégia estritamente dominante</w:t>
      </w:r>
      <w:r>
        <w:t xml:space="preserve">: Trair. O equilíbrio (Trair, Trair) com payoffs</w:t>
      </w:r>
      <w:r>
        <w:t xml:space="preserve"> </w:t>
      </w:r>
      <m:oMath>
        <m:r>
          <m:rPr>
            <m:sty m:val="p"/>
          </m:rPr>
          <m:t>(</m:t>
        </m:r>
        <m:r>
          <m:rPr>
            <m:sty m:val="p"/>
          </m:rPr>
          <m:t>−</m:t>
        </m:r>
        <m:r>
          <m:t>5</m:t>
        </m:r>
        <m:r>
          <m:rPr>
            <m:sty m:val="p"/>
          </m:rPr>
          <m:t>,</m:t>
        </m:r>
        <m:r>
          <m:rPr>
            <m:sty m:val="p"/>
          </m:rPr>
          <m:t>−</m:t>
        </m:r>
        <m:r>
          <m:t>5</m:t>
        </m:r>
        <m:r>
          <m:rPr>
            <m:sty m:val="p"/>
          </m:rPr>
          <m:t>)</m:t>
        </m:r>
      </m:oMath>
      <w:r>
        <w:t xml:space="preserve"> </w:t>
      </w:r>
      <w:r>
        <w:t xml:space="preserve">é o único equilíbrio de Nash, mas é</w:t>
      </w:r>
      <w:r>
        <w:t xml:space="preserve"> </w:t>
      </w:r>
      <w:r>
        <w:rPr>
          <w:b/>
          <w:bCs/>
        </w:rPr>
        <w:t xml:space="preserve">Pareto-dominado</w:t>
      </w:r>
      <w:r>
        <w:t xml:space="preserve"> </w:t>
      </w:r>
      <w:r>
        <w:t xml:space="preserve">pelo resultado (Cooperar, Cooperar) com payoffs</w:t>
      </w:r>
      <w:r>
        <w:t xml:space="preserve"> </w:t>
      </w:r>
      <m:oMath>
        <m:r>
          <m:rPr>
            <m:sty m:val="p"/>
          </m:rPr>
          <m:t>(</m:t>
        </m:r>
        <m:r>
          <m:rPr>
            <m:sty m:val="p"/>
          </m:rPr>
          <m:t>−</m:t>
        </m:r>
        <m:r>
          <m:t>1</m:t>
        </m:r>
        <m:r>
          <m:rPr>
            <m:sty m:val="p"/>
          </m:rPr>
          <m:t>,</m:t>
        </m:r>
        <m:r>
          <m:rPr>
            <m:sty m:val="p"/>
          </m:rPr>
          <m:t>−</m:t>
        </m:r>
        <m:r>
          <m:t>1</m:t>
        </m:r>
        <m:r>
          <m:rPr>
            <m:sty m:val="p"/>
          </m:rPr>
          <m:t>)</m:t>
        </m:r>
      </m:oMath>
      <w:r>
        <w:t xml:space="preserve">. Essa tensão entre racionalidade individual e eficiência coletiva é o cerne do dilema. Vale notar que o resultado (Cooperar, Cooperar), embora superior para ambos,</w:t>
      </w:r>
      <w:r>
        <w:t xml:space="preserve"> </w:t>
      </w:r>
      <w:r>
        <w:rPr>
          <w:i/>
          <w:iCs/>
        </w:rPr>
        <w:t xml:space="preserve">não</w:t>
      </w:r>
      <w:r>
        <w:t xml:space="preserve"> </w:t>
      </w:r>
      <w:r>
        <w:t xml:space="preserve">é um equilíbrio de Nash: cada jogador teria incentivo unilateral para desviar e trair. O equilíbrio de Nash é um ponto de estabilidade — ninguém deseja mover-se sozinho — mas estabilidade não implica eficiência.</w:t>
      </w:r>
    </w:p>
    <w:p>
      <w:pPr>
        <w:pStyle w:val="BlockText"/>
      </w:pPr>
      <w:r>
        <w:rPr>
          <w:b/>
          <w:bCs/>
        </w:rPr>
        <w:t xml:space="preserve">[ATENCAO] Erro Comum</w:t>
      </w:r>
    </w:p>
    <w:p>
      <w:pPr>
        <w:pStyle w:val="BlockText"/>
      </w:pPr>
      <w:r>
        <w:rPr>
          <w:b/>
          <w:bCs/>
        </w:rPr>
        <w:t xml:space="preserve">Supor que o equilíbrio de Nash é sempre eficiente (Pareto-ótimo).</w:t>
      </w:r>
      <w:r>
        <w:t xml:space="preserve"> </w:t>
      </w:r>
      <w:r>
        <w:t xml:space="preserve">O Dilema dos Prisioneiros demonstra, de forma definitiva, que o equilíbrio de Nash pode ser</w:t>
      </w:r>
      <w:r>
        <w:t xml:space="preserve"> </w:t>
      </w:r>
      <w:r>
        <w:rPr>
          <w:b/>
          <w:bCs/>
        </w:rPr>
        <w:t xml:space="preserve">Pareto-dominado</w:t>
      </w:r>
      <w:r>
        <w:t xml:space="preserve">: existe outro resultado factível em que</w:t>
      </w:r>
      <w:r>
        <w:t xml:space="preserve"> </w:t>
      </w:r>
      <w:r>
        <w:rPr>
          <w:i/>
          <w:iCs/>
        </w:rPr>
        <w:t xml:space="preserve">todos</w:t>
      </w:r>
      <w:r>
        <w:t xml:space="preserve"> </w:t>
      </w:r>
      <w:r>
        <w:t xml:space="preserve">os jogadores estão melhor, mas esse resultado não é sustentável pela racionalidade individual.</w:t>
      </w:r>
    </w:p>
    <w:p>
      <w:pPr>
        <w:pStyle w:val="BlockText"/>
      </w:pPr>
      <w:r>
        <w:t xml:space="preserve">Em linguagem econômica: o equilíbrio de Nash é uma condição de</w:t>
      </w:r>
      <w:r>
        <w:t xml:space="preserve"> </w:t>
      </w:r>
      <w:r>
        <w:rPr>
          <w:b/>
          <w:bCs/>
        </w:rPr>
        <w:t xml:space="preserve">estabilidade</w:t>
      </w:r>
      <w:r>
        <w:t xml:space="preserve"> </w:t>
      </w:r>
      <w:r>
        <w:t xml:space="preserve">(ninguém quer desviar unilateralmente), não de</w:t>
      </w:r>
      <w:r>
        <w:t xml:space="preserve"> </w:t>
      </w:r>
      <w:r>
        <w:rPr>
          <w:b/>
          <w:bCs/>
        </w:rPr>
        <w:t xml:space="preserve">eficiência</w:t>
      </w:r>
      <w:r>
        <w:t xml:space="preserve"> </w:t>
      </w:r>
      <w:r>
        <w:t xml:space="preserve">(ninguém poderia estar melhor sem prejudicar alguém). As duas propriedades coincidem em mercados perfeitamente competitivos (Primeiro Teorema do Bem-Estar, Capítulo 7), mas divergem em situações de externalidades, poder de mercado ou interação estratégica. A distinção importa na prática: reguladores como o CADE, ao reprimir cartéis, estão precisamente forçando a transição de um equilíbrio de Nash eficiente para as firmas (conluio) para um equilíbrio menos lucrativo para elas, mas superior do ponto de vista do bem-estar social.</w:t>
      </w:r>
    </w:p>
    <w:p>
      <w:pPr>
        <w:pStyle w:val="BlockText"/>
      </w:pPr>
      <w:r>
        <w:rPr>
          <w:b/>
          <w:bCs/>
        </w:rPr>
        <w:t xml:space="preserve">Outros exemplos de EN Pareto-dominados:</w:t>
      </w:r>
      <w:r>
        <w:t xml:space="preserve"> </w:t>
      </w:r>
      <w:r>
        <w:t xml:space="preserve">corrida armamentista entre nações (ambas estariam melhor sem armas, mas nenhuma quer desarmar sozinha), propaganda excessiva em mercados oligopolísticos (anular a publicidade do rival é sempre dominante, mesmo que ambas as firmas preferissem cortar gastos de marketing), e tragédia dos comuns na exploração de recursos pesqueiros.</w:t>
      </w:r>
    </w:p>
    <w:p>
      <w:pPr>
        <w:pStyle w:val="BlockText"/>
      </w:pPr>
      <w:r>
        <w:rPr>
          <w:b/>
          <w:bCs/>
        </w:rPr>
        <w:t xml:space="preserve">[INTUICAO ECONOMICA] Intuição Econômica</w:t>
      </w:r>
    </w:p>
    <w:p>
      <w:pPr>
        <w:pStyle w:val="BlockText"/>
      </w:pPr>
      <w:r>
        <w:rPr>
          <w:b/>
          <w:bCs/>
        </w:rPr>
        <w:t xml:space="preserve">Em uma frase:</w:t>
      </w:r>
      <w:r>
        <w:t xml:space="preserve"> </w:t>
      </w:r>
      <w:r>
        <w:t xml:space="preserve">No Dilema dos Prisioneiros, cada um faz o melhor para si e o resultado é ruim para todos.</w:t>
      </w:r>
    </w:p>
    <w:p>
      <w:pPr>
        <w:pStyle w:val="BlockText"/>
      </w:pPr>
      <w:r>
        <w:rPr>
          <w:b/>
          <w:bCs/>
        </w:rPr>
        <w:t xml:space="preserve">Pense assim:</w:t>
      </w:r>
      <w:r>
        <w:t xml:space="preserve"> </w:t>
      </w:r>
      <w:r>
        <w:t xml:space="preserve">Dois quiosques vizinhos na praia de Copacabana poderiam manter preços altos e lucrar bem. Mas cada um pensa:</w:t>
      </w:r>
      <w:r>
        <w:t xml:space="preserve"> </w:t>
      </w:r>
      <w:r>
        <w:t xml:space="preserve">“se eu baixar o preço, roubo os clientes do vizinho”</w:t>
      </w:r>
      <w:r>
        <w:t xml:space="preserve">. Ambos baixam, ambos lucram menos — e nenhum consegue voltar atrás sozinho.</w:t>
      </w:r>
    </w:p>
    <w:p>
      <w:pPr>
        <w:pStyle w:val="BlockText"/>
      </w:pPr>
      <w:r>
        <w:rPr>
          <w:b/>
          <w:bCs/>
        </w:rPr>
        <w:t xml:space="preserve">Por que isso importa:</w:t>
      </w:r>
      <w:r>
        <w:t xml:space="preserve"> </w:t>
      </w:r>
      <w:r>
        <w:t xml:space="preserve">A guerra fiscal entre estados brasileiros, os cartéis de postos de gasolina e o desmatamento da Amazônia são versões reais desse dilema — situações em que o interesse individual corrói o bem coletivo. A repetição do jogo (Módulo 9b) e o desenho institucional são os mecanismos para escapar da armadilha.</w:t>
      </w:r>
    </w:p>
    <w:p>
      <w:pPr>
        <w:pStyle w:val="FirstParagraph"/>
      </w:pPr>
      <w:r>
        <w:rPr>
          <w:b/>
          <w:bCs/>
        </w:rPr>
        <w:t xml:space="preserve">Figura 9a.1 — Matriz de payoffs e equilíbrio de Nash.</w:t>
      </w:r>
      <w:r>
        <w:t xml:space="preserve"> </w:t>
      </w:r>
      <w:r>
        <w:t xml:space="preserve">Edite os payoffs ou selecione um jogo clássico (Dilema dos Prisioneiros, Batalha dos Sexos, Hawk-Dove, Matching Pennies). O solver detecta estratégias dominantes, equilíbrios de Nash em puras e mistas.</w:t>
      </w:r>
    </w:p>
    <w:p>
      <w:pPr>
        <w:pStyle w:val="BlockText"/>
      </w:pPr>
      <w:r>
        <w:rPr>
          <w:b/>
          <w:bCs/>
        </w:rPr>
        <w:t xml:space="preserve">[BOX BRASIL] Brasil na Prática — Operação Lava Jato: o dilema do prisioneiro na delação premiada</w:t>
      </w:r>
    </w:p>
    <w:p>
      <w:pPr>
        <w:pStyle w:val="BlockText"/>
      </w:pPr>
      <w:r>
        <w:rPr>
          <w:b/>
          <w:bCs/>
        </w:rPr>
        <w:t xml:space="preserve">Contexto.</w:t>
      </w:r>
      <w:r>
        <w:t xml:space="preserve"> </w:t>
      </w:r>
      <w:r>
        <w:t xml:space="preserve">A Operação Lava Jato (2014–2021) utilizou extensivamente a</w:t>
      </w:r>
      <w:r>
        <w:t xml:space="preserve"> </w:t>
      </w:r>
      <w:r>
        <w:rPr>
          <w:b/>
          <w:bCs/>
        </w:rPr>
        <w:t xml:space="preserve">colaboração premiada</w:t>
      </w:r>
      <w:r>
        <w:t xml:space="preserve"> </w:t>
      </w:r>
      <w:r>
        <w:t xml:space="preserve">(Lei 12.850/2013), em que réus recebem redução de pena em troca de informação sobre co-conspiradores. A estrutura é</w:t>
      </w:r>
      <w:r>
        <w:t xml:space="preserve"> </w:t>
      </w:r>
      <w:r>
        <w:rPr>
          <w:i/>
          <w:iCs/>
        </w:rPr>
        <w:t xml:space="preserve">exatamente</w:t>
      </w:r>
      <w:r>
        <w:t xml:space="preserve"> </w:t>
      </w:r>
      <w:r>
        <w:t xml:space="preserve">um dilema dos prisioneiros: dois executivos acusados de corrupção, interrogados separadamente, devem decidir se colaboram (delatam) ou permanecem calados.</w:t>
      </w:r>
    </w:p>
    <w:p>
      <w:pPr>
        <w:pStyle w:val="BlockText"/>
      </w:pPr>
      <w:r>
        <w:rPr>
          <w:b/>
          <w:bCs/>
        </w:rPr>
        <w:t xml:space="preserve">Payoffs estilizados.</w:t>
      </w:r>
      <w:r>
        <w:t xml:space="preserve"> </w:t>
      </w:r>
      <w:r>
        <w:t xml:space="preserve">Suponha dois executivos da empreiteira, A e 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B: Calar</w:t>
            </w:r>
          </w:p>
        </w:tc>
        <w:tc>
          <w:tcPr/>
          <w:p>
            <w:pPr>
              <w:pStyle w:val="Compact"/>
              <w:jc w:val="center"/>
            </w:pPr>
            <w:r>
              <w:t xml:space="preserve">B: Delatar</w:t>
            </w:r>
          </w:p>
        </w:tc>
      </w:tr>
      <w:tr>
        <w:tc>
          <w:tcPr/>
          <w:p>
            <w:pPr>
              <w:pStyle w:val="Compact"/>
              <w:jc w:val="left"/>
            </w:pPr>
            <w:r>
              <w:rPr>
                <w:b/>
                <w:bCs/>
              </w:rPr>
              <w:t xml:space="preserve">A: Calar</w:t>
            </w:r>
          </w:p>
        </w:tc>
        <w:tc>
          <w:tcPr/>
          <w:p>
            <w:pPr>
              <w:pStyle w:val="Compact"/>
              <w:jc w:val="center"/>
            </w:pPr>
            <w:r>
              <w:t xml:space="preserve">(−5, −5) — pena média</w:t>
            </w:r>
          </w:p>
        </w:tc>
        <w:tc>
          <w:tcPr/>
          <w:p>
            <w:pPr>
              <w:pStyle w:val="Compact"/>
              <w:jc w:val="center"/>
            </w:pPr>
            <w:r>
              <w:t xml:space="preserve">(−15, −1)</w:t>
            </w:r>
          </w:p>
        </w:tc>
      </w:tr>
      <w:tr>
        <w:tc>
          <w:tcPr/>
          <w:p>
            <w:pPr>
              <w:pStyle w:val="Compact"/>
              <w:jc w:val="left"/>
            </w:pPr>
            <w:r>
              <w:rPr>
                <w:b/>
                <w:bCs/>
              </w:rPr>
              <w:t xml:space="preserve">A: Delatar</w:t>
            </w:r>
          </w:p>
        </w:tc>
        <w:tc>
          <w:tcPr/>
          <w:p>
            <w:pPr>
              <w:pStyle w:val="Compact"/>
              <w:jc w:val="center"/>
            </w:pPr>
            <w:r>
              <w:t xml:space="preserve">(−1, −15) — A sai leve</w:t>
            </w:r>
          </w:p>
        </w:tc>
        <w:tc>
          <w:tcPr/>
          <w:p>
            <w:pPr>
              <w:pStyle w:val="Compact"/>
              <w:jc w:val="center"/>
            </w:pPr>
            <w:r>
              <w:t xml:space="preserve">(−8, −8) — ambos delatam</w:t>
            </w:r>
          </w:p>
        </w:tc>
      </w:tr>
    </w:tbl>
    <w:p>
      <w:pPr>
        <w:pStyle w:val="BlockText"/>
      </w:pPr>
      <w:r>
        <w:t xml:space="preserve">Se ambos calam, a investigação tem menos provas (pena intermediária). Se um delata e o outro cala, o delator recebe grande redução; o calado recebe pena máxima. Se ambos delatam, as provas se acumulam, mas ambos recebem benefício parcial.</w:t>
      </w:r>
      <w:r>
        <w:t xml:space="preserve"> </w:t>
      </w:r>
      <w:r>
        <w:rPr>
          <w:b/>
          <w:bCs/>
        </w:rPr>
        <w:t xml:space="preserve">Delatar é estratégia dominante</w:t>
      </w:r>
      <w:r>
        <w:t xml:space="preserve"> </w:t>
      </w:r>
      <w:r>
        <w:t xml:space="preserve">— exatamente como no modelo. Resultado: ~180 acordos de delação até 2019.</w:t>
      </w:r>
    </w:p>
    <w:p>
      <w:pPr>
        <w:pStyle w:val="BlockText"/>
      </w:pPr>
      <w:r>
        <w:rPr>
          <w:b/>
          <w:bCs/>
        </w:rPr>
        <w:t xml:space="preserve">Conexão com a teoria.</w:t>
      </w:r>
      <w:r>
        <w:t xml:space="preserve"> </w:t>
      </w:r>
      <w:r>
        <w:t xml:space="preserve">O mecanismo da delação premiada é um design de mecanismos (Capítulo 9c) que</w:t>
      </w:r>
      <w:r>
        <w:t xml:space="preserve"> </w:t>
      </w:r>
      <w:r>
        <w:rPr>
          <w:i/>
          <w:iCs/>
        </w:rPr>
        <w:t xml:space="preserve">explora</w:t>
      </w:r>
      <w:r>
        <w:t xml:space="preserve"> </w:t>
      </w:r>
      <w:r>
        <w:t xml:space="preserve">a estrutura do dilema do prisioneiro: cria um incentivo individual tão forte para delatar que a cooperação entre criminosos se torna insustentável. É Trair como equilíbrio de Nash — mas agora a</w:t>
      </w:r>
      <w:r>
        <w:t xml:space="preserve"> </w:t>
      </w:r>
      <w:r>
        <w:t xml:space="preserve">“traição”</w:t>
      </w:r>
      <w:r>
        <w:t xml:space="preserve"> </w:t>
      </w:r>
      <w:r>
        <w:t xml:space="preserve">serve ao interesse público.</w:t>
      </w:r>
    </w:p>
    <w:p>
      <w:pPr>
        <w:pStyle w:val="BlockText"/>
      </w:pPr>
      <w:r>
        <w:rPr>
          <w:b/>
          <w:bCs/>
        </w:rPr>
        <w:t xml:space="preserve">Fonte:</w:t>
      </w:r>
      <w:r>
        <w:t xml:space="preserve"> </w:t>
      </w:r>
      <w:r>
        <w:t xml:space="preserve">MPF,</w:t>
      </w:r>
      <w:r>
        <w:t xml:space="preserve"> </w:t>
      </w:r>
      <w:r>
        <w:rPr>
          <w:i/>
          <w:iCs/>
        </w:rPr>
        <w:t xml:space="preserve">Caso Lava Jato — Resultados</w:t>
      </w:r>
      <w:r>
        <w:t xml:space="preserve">, 2021; Lei 12.850/2013 (Lei das Organizações Criminosas).</w:t>
      </w:r>
    </w:p>
    <w:p>
      <w:pPr>
        <w:pStyle w:val="BlockText"/>
      </w:pPr>
      <w:r>
        <w:rPr>
          <w:b/>
          <w:bCs/>
        </w:rPr>
        <w:t xml:space="preserve">[BOX BRASIL] Brasil na Prática — Licitações públicas e conluio: o jogo se repete</w:t>
      </w:r>
    </w:p>
    <w:p>
      <w:pPr>
        <w:pStyle w:val="BlockText"/>
      </w:pPr>
      <w:r>
        <w:rPr>
          <w:b/>
          <w:bCs/>
        </w:rPr>
        <w:t xml:space="preserve">Contexto.</w:t>
      </w:r>
      <w:r>
        <w:t xml:space="preserve"> </w:t>
      </w:r>
      <w:r>
        <w:t xml:space="preserve">O CADE (Conselho Administrativo de Defesa Econômica) investiga regularmente cartéis em licitações públicas, onde empresas coordenam lances para garantir preços altos. Entre 2006 e 2024, o CADE condenou cartéis em licitações de obras públicas (metrô de SP, Petrobras), material hospitalar, ambulâncias e merenda escolar.</w:t>
      </w:r>
    </w:p>
    <w:p>
      <w:pPr>
        <w:pStyle w:val="BlockText"/>
      </w:pPr>
      <w:r>
        <w:rPr>
          <w:b/>
          <w:bCs/>
        </w:rPr>
        <w:t xml:space="preserve">A estrutura do jogo.</w:t>
      </w:r>
      <w:r>
        <w:t xml:space="preserve"> </w:t>
      </w:r>
      <w:r>
        <w:t xml:space="preserve">Em uma licitação de menor preço,</w:t>
      </w:r>
      <w:r>
        <w:t xml:space="preserve"> </w:t>
      </w:r>
      <m:oMath>
        <m:r>
          <m:t>N</m:t>
        </m:r>
      </m:oMath>
      <w:r>
        <w:t xml:space="preserve"> </w:t>
      </w:r>
      <w:r>
        <w:t xml:space="preserve">empresas decidem simultaneamente seus lances. Sem conluio, a competição à la Bertrand (Seção 9a.5) levaria o preço para o custo marginal. Com conluio, as empresas designam um</w:t>
      </w:r>
      <w:r>
        <w:t xml:space="preserve"> </w:t>
      </w:r>
      <w:r>
        <w:t xml:space="preserve">“vencedor”</w:t>
      </w:r>
      <w:r>
        <w:t xml:space="preserve"> </w:t>
      </w:r>
      <w:r>
        <w:t xml:space="preserve">que cobra preço alto, e as demais apresentam propostas</w:t>
      </w:r>
      <w:r>
        <w:t xml:space="preserve"> </w:t>
      </w:r>
      <w:r>
        <w:t xml:space="preserve">“de fachada”</w:t>
      </w:r>
      <w:r>
        <w:t xml:space="preserve"> </w:t>
      </w:r>
      <w:r>
        <w:t xml:space="preserve">(lance de cobertura). A divisão do sobrepreço é combinada em rodízio ao longo de múltiplas licitações — um jogo repetido (Módulo 9b) sustentado pelo</w:t>
      </w:r>
      <w:r>
        <w:t xml:space="preserve"> </w:t>
      </w:r>
      <w:r>
        <w:rPr>
          <w:i/>
          <w:iCs/>
        </w:rPr>
        <w:t xml:space="preserve">folk theorem</w:t>
      </w:r>
      <w:r>
        <w:t xml:space="preserve">.</w:t>
      </w:r>
    </w:p>
    <w:p>
      <w:pPr>
        <w:pStyle w:val="BlockText"/>
      </w:pPr>
      <w:r>
        <w:rPr>
          <w:b/>
          <w:bCs/>
        </w:rPr>
        <w:t xml:space="preserve">Dados.</w:t>
      </w:r>
      <w:r>
        <w:t xml:space="preserve"> </w:t>
      </w:r>
      <w:r>
        <w:t xml:space="preserve">No cartel do metrô de São Paulo (2013), seis construtoras combinaram lances por mais de uma década. O sobrepreço estimado foi de 20–30% em obras que totalizaram R$ 7+ bilhões. A multa aplicada pelo CADE totalizou R$ 534 milhões. No cartel de ambulâncias (2022), 14 empresas dividiram licitações em 14 estados por 8 anos.</w:t>
      </w:r>
    </w:p>
    <w:p>
      <w:pPr>
        <w:pStyle w:val="BlockText"/>
      </w:pPr>
      <w:r>
        <w:rPr>
          <w:b/>
          <w:bCs/>
        </w:rPr>
        <w:t xml:space="preserve">Fonte:</w:t>
      </w:r>
      <w:r>
        <w:t xml:space="preserve"> </w:t>
      </w:r>
      <w:r>
        <w:t xml:space="preserve">CADE,</w:t>
      </w:r>
      <w:r>
        <w:t xml:space="preserve"> </w:t>
      </w:r>
      <w:r>
        <w:rPr>
          <w:i/>
          <w:iCs/>
        </w:rPr>
        <w:t xml:space="preserve">Relatório de Gestão</w:t>
      </w:r>
      <w:r>
        <w:t xml:space="preserve">, 2024; TCU,</w:t>
      </w:r>
      <w:r>
        <w:t xml:space="preserve"> </w:t>
      </w:r>
      <w:r>
        <w:rPr>
          <w:i/>
          <w:iCs/>
        </w:rPr>
        <w:t xml:space="preserve">Relatórios de auditoria em licitações</w:t>
      </w:r>
      <w:r>
        <w:t xml:space="preserve">.</w:t>
      </w:r>
    </w:p>
    <w:p>
      <w:pPr>
        <w:pStyle w:val="FirstParagraph"/>
      </w:pPr>
      <w:r>
        <w:t xml:space="preserve">O Dilema dos Prisioneiros não é, contudo, o único arquétipo de interação estratégica. Diferentes configurações de payoffs capturam problemas econômicos fundamentalmente distintos — coordenação, anti-coordenação, competição pura. A</w:t>
      </w:r>
      <w:r>
        <w:t xml:space="preserve"> </w:t>
      </w:r>
      <w:hyperlink w:anchor="tabela-9a-2">
        <w:r>
          <w:rPr>
            <w:rStyle w:val="Hyperlink"/>
          </w:rPr>
          <w:t xml:space="preserve">Tabela 9a.2</w:t>
        </w:r>
      </w:hyperlink>
      <w:r>
        <w:t xml:space="preserve"> </w:t>
      </w:r>
      <w:r>
        <w:t xml:space="preserve">sistematiza os jogos clássicos que servirão de referência ao longo dos quatro módulos de teoria dos jogos.</w:t>
      </w:r>
    </w:p>
    <w:bookmarkStart w:id="469" w:name="taxonomia-dos-jogos-clássicos"/>
    <w:p>
      <w:pPr>
        <w:pStyle w:val="Heading4"/>
      </w:pPr>
      <w:r>
        <w:t xml:space="preserve">Taxonomia dos Jogos Clássicos</w:t>
      </w:r>
    </w:p>
    <w:tbl>
      <w:tblPr>
        <w:tblStyle w:val="Table"/>
        <w:tblW w:type="pct" w:w="5000"/>
        <w:tblLayout w:type="fixed"/>
        <w:tblLook w:firstRow="1" w:lastRow="0" w:firstColumn="0" w:lastColumn="0" w:noHBand="0" w:noVBand="0" w:val="0020"/>
      </w:tblPr>
      <w:tblGrid>
        <w:gridCol w:w="601"/>
        <w:gridCol w:w="2005"/>
        <w:gridCol w:w="1303"/>
        <w:gridCol w:w="1303"/>
        <w:gridCol w:w="1604"/>
        <w:gridCol w:w="1102"/>
      </w:tblGrid>
      <w:tr>
        <w:trPr>
          <w:tblHeader w:val="on"/>
        </w:trPr>
        <w:tc>
          <w:tcPr/>
          <w:p>
            <w:pPr>
              <w:pStyle w:val="Compact"/>
              <w:jc w:val="left"/>
            </w:pPr>
            <w:r>
              <w:t xml:space="preserve">Jogo</w:t>
            </w:r>
          </w:p>
        </w:tc>
        <w:tc>
          <w:tcPr/>
          <w:p>
            <w:pPr>
              <w:pStyle w:val="Compact"/>
              <w:jc w:val="left"/>
            </w:pPr>
            <w:r>
              <w:t xml:space="preserve">Payoffs (genéricos)</w:t>
            </w:r>
          </w:p>
        </w:tc>
        <w:tc>
          <w:tcPr/>
          <w:p>
            <w:pPr>
              <w:pStyle w:val="Compact"/>
              <w:jc w:val="left"/>
            </w:pPr>
            <w:r>
              <w:t xml:space="preserve">EN em puras</w:t>
            </w:r>
          </w:p>
        </w:tc>
        <w:tc>
          <w:tcPr/>
          <w:p>
            <w:pPr>
              <w:pStyle w:val="Compact"/>
              <w:jc w:val="left"/>
            </w:pPr>
            <w:r>
              <w:t xml:space="preserve">EN em mistas</w:t>
            </w:r>
          </w:p>
        </w:tc>
        <w:tc>
          <w:tcPr/>
          <w:p>
            <w:pPr>
              <w:pStyle w:val="Compact"/>
              <w:jc w:val="left"/>
            </w:pPr>
            <w:r>
              <w:t xml:space="preserve">Característica</w:t>
            </w:r>
          </w:p>
        </w:tc>
        <w:tc>
          <w:tcPr/>
          <w:p>
            <w:pPr>
              <w:pStyle w:val="Compact"/>
              <w:jc w:val="left"/>
            </w:pPr>
            <w:r>
              <w:t xml:space="preserve">Aplicação</w:t>
            </w:r>
          </w:p>
        </w:tc>
      </w:tr>
      <w:tr>
        <w:tc>
          <w:tcPr/>
          <w:p>
            <w:pPr>
              <w:pStyle w:val="Compact"/>
              <w:jc w:val="left"/>
            </w:pPr>
            <w:r>
              <w:rPr>
                <w:b/>
                <w:bCs/>
              </w:rPr>
              <w:t xml:space="preserve">Dilema dos Prisioneiros</w:t>
            </w:r>
          </w:p>
        </w:tc>
        <w:tc>
          <w:tcPr/>
          <w:p>
            <w:pPr>
              <w:pStyle w:val="Compact"/>
              <w:jc w:val="left"/>
            </w:pPr>
            <m:oMath>
              <m:r>
                <m:t>T</m:t>
              </m:r>
              <m:r>
                <m:rPr>
                  <m:sty m:val="p"/>
                </m:rPr>
                <m:t>&gt;</m:t>
              </m:r>
              <m:r>
                <m:t>R</m:t>
              </m:r>
              <m:r>
                <m:rPr>
                  <m:sty m:val="p"/>
                </m:rPr>
                <m:t>&gt;</m:t>
              </m:r>
              <m:r>
                <m:t>P</m:t>
              </m:r>
              <m:r>
                <m:rPr>
                  <m:sty m:val="p"/>
                </m:rPr>
                <m:t>&gt;</m:t>
              </m:r>
              <m:r>
                <m:t>S</m:t>
              </m:r>
            </m:oMath>
            <w:r>
              <w:t xml:space="preserve">;</w:t>
            </w:r>
            <w:r>
              <w:t xml:space="preserve"> </w:t>
            </w:r>
            <m:oMath>
              <m:r>
                <m:t>2</m:t>
              </m:r>
              <m:r>
                <m:t>R</m:t>
              </m:r>
              <m:r>
                <m:rPr>
                  <m:sty m:val="p"/>
                </m:rPr>
                <m:t>&gt;</m:t>
              </m:r>
              <m:r>
                <m:t>T</m:t>
              </m:r>
              <m:r>
                <m:rPr>
                  <m:sty m:val="p"/>
                </m:rPr>
                <m:t>+</m:t>
              </m:r>
              <m:r>
                <m:t>S</m:t>
              </m:r>
            </m:oMath>
          </w:p>
        </w:tc>
        <w:tc>
          <w:tcPr/>
          <w:p>
            <w:pPr>
              <w:pStyle w:val="Compact"/>
              <w:jc w:val="left"/>
            </w:pPr>
            <w:r>
              <w:t xml:space="preserve">(Trair, Trair) — único</w:t>
            </w:r>
          </w:p>
        </w:tc>
        <w:tc>
          <w:tcPr/>
          <w:p>
            <w:pPr>
              <w:pStyle w:val="Compact"/>
              <w:jc w:val="left"/>
            </w:pPr>
            <w:r>
              <w:t xml:space="preserve">—</w:t>
            </w:r>
          </w:p>
        </w:tc>
        <w:tc>
          <w:tcPr/>
          <w:p>
            <w:pPr>
              <w:pStyle w:val="Compact"/>
              <w:jc w:val="left"/>
            </w:pPr>
            <w:r>
              <w:t xml:space="preserve">Dominância estrita; ineficiência</w:t>
            </w:r>
          </w:p>
        </w:tc>
        <w:tc>
          <w:tcPr/>
          <w:p>
            <w:pPr>
              <w:pStyle w:val="Compact"/>
              <w:jc w:val="left"/>
            </w:pPr>
            <w:r>
              <w:t xml:space="preserve">Cartéis, corrida armamentista</w:t>
            </w:r>
          </w:p>
        </w:tc>
      </w:tr>
      <w:tr>
        <w:tc>
          <w:tcPr/>
          <w:p>
            <w:pPr>
              <w:pStyle w:val="Compact"/>
              <w:jc w:val="left"/>
            </w:pPr>
            <w:r>
              <w:rPr>
                <w:b/>
                <w:bCs/>
              </w:rPr>
              <w:t xml:space="preserve">Batalha dos Sexos</w:t>
            </w:r>
          </w:p>
        </w:tc>
        <w:tc>
          <w:tcPr/>
          <w:p>
            <w:pPr>
              <w:pStyle w:val="Compact"/>
              <w:jc w:val="left"/>
            </w:pPr>
            <w:r>
              <w:t xml:space="preserve">Coordenação com preferências divergentes</w:t>
            </w:r>
          </w:p>
        </w:tc>
        <w:tc>
          <w:tcPr/>
          <w:p>
            <w:pPr>
              <w:pStyle w:val="Compact"/>
              <w:jc w:val="left"/>
            </w:pPr>
            <w:r>
              <w:t xml:space="preserve">(F,F) e (C,C)</w:t>
            </w:r>
          </w:p>
        </w:tc>
        <w:tc>
          <w:tcPr/>
          <w:p>
            <w:pPr>
              <w:pStyle w:val="Compact"/>
              <w:jc w:val="left"/>
            </w:pPr>
            <w:r>
              <w:t xml:space="preserve">Sim — ver Seção 9a.4</w:t>
            </w:r>
          </w:p>
        </w:tc>
        <w:tc>
          <w:tcPr/>
          <w:p>
            <w:pPr>
              <w:pStyle w:val="Compact"/>
              <w:jc w:val="left"/>
            </w:pPr>
            <w:r>
              <w:t xml:space="preserve">Múltiplos equilíbrios</w:t>
            </w:r>
          </w:p>
        </w:tc>
        <w:tc>
          <w:tcPr/>
          <w:p>
            <w:pPr>
              <w:pStyle w:val="Compact"/>
              <w:jc w:val="left"/>
            </w:pPr>
            <w:r>
              <w:t xml:space="preserve">Padrões tecnológicos</w:t>
            </w:r>
          </w:p>
        </w:tc>
      </w:tr>
      <w:tr>
        <w:tc>
          <w:tcPr/>
          <w:p>
            <w:pPr>
              <w:pStyle w:val="Compact"/>
              <w:jc w:val="left"/>
            </w:pPr>
            <w:r>
              <w:rPr>
                <w:b/>
                <w:bCs/>
              </w:rPr>
              <w:t xml:space="preserve">Hawk-Dove</w:t>
            </w:r>
          </w:p>
        </w:tc>
        <w:tc>
          <w:tcPr/>
          <w:p>
            <w:pPr>
              <w:pStyle w:val="Compact"/>
              <w:jc w:val="left"/>
            </w:pPr>
            <m:oMath>
              <m:r>
                <m:t>V</m:t>
              </m:r>
              <m:r>
                <m:rPr>
                  <m:sty m:val="p"/>
                </m:rPr>
                <m:t>&gt;</m:t>
              </m:r>
              <m:r>
                <m:t>0</m:t>
              </m:r>
            </m:oMath>
            <w:r>
              <w:t xml:space="preserve">,</w:t>
            </w:r>
            <w:r>
              <w:t xml:space="preserve"> </w:t>
            </w:r>
            <m:oMath>
              <m:r>
                <m:t>C</m:t>
              </m:r>
              <m:r>
                <m:rPr>
                  <m:sty m:val="p"/>
                </m:rPr>
                <m:t>&gt;</m:t>
              </m:r>
              <m:r>
                <m:t>V</m:t>
              </m:r>
            </m:oMath>
          </w:p>
        </w:tc>
        <w:tc>
          <w:tcPr/>
          <w:p>
            <w:pPr>
              <w:pStyle w:val="Compact"/>
              <w:jc w:val="left"/>
            </w:pPr>
            <w:r>
              <w:t xml:space="preserve">(H,D) e (D,H)</w:t>
            </w:r>
          </w:p>
        </w:tc>
        <w:tc>
          <w:tcPr/>
          <w:p>
            <w:pPr>
              <w:pStyle w:val="Compact"/>
              <w:jc w:val="left"/>
            </w:pPr>
            <m:oMath>
              <m:sSub>
                <m:e>
                  <m:r>
                    <m:t>p</m:t>
                  </m:r>
                </m:e>
                <m:sub>
                  <m:r>
                    <m:t>H</m:t>
                  </m:r>
                </m:sub>
              </m:sSub>
              <m:r>
                <m:rPr>
                  <m:sty m:val="p"/>
                </m:rPr>
                <m:t>=</m:t>
              </m:r>
              <m:r>
                <m:t>V</m:t>
              </m:r>
              <m:r>
                <m:rPr>
                  <m:sty m:val="p"/>
                </m:rPr>
                <m:t>/</m:t>
              </m:r>
              <m:r>
                <m:t>C</m:t>
              </m:r>
            </m:oMath>
          </w:p>
        </w:tc>
        <w:tc>
          <w:tcPr/>
          <w:p>
            <w:pPr>
              <w:pStyle w:val="Compact"/>
              <w:jc w:val="left"/>
            </w:pPr>
            <w:r>
              <w:t xml:space="preserve">Anti-coordenação</w:t>
            </w:r>
          </w:p>
        </w:tc>
        <w:tc>
          <w:tcPr/>
          <w:p>
            <w:pPr>
              <w:pStyle w:val="Compact"/>
              <w:jc w:val="left"/>
            </w:pPr>
            <w:r>
              <w:t xml:space="preserve">Disputas territoriais</w:t>
            </w:r>
          </w:p>
        </w:tc>
      </w:tr>
      <w:tr>
        <w:tc>
          <w:tcPr/>
          <w:p>
            <w:pPr>
              <w:pStyle w:val="Compact"/>
              <w:jc w:val="left"/>
            </w:pPr>
            <w:r>
              <w:rPr>
                <w:b/>
                <w:bCs/>
              </w:rPr>
              <w:t xml:space="preserve">Coordenação Pura</w:t>
            </w:r>
          </w:p>
        </w:tc>
        <w:tc>
          <w:tcPr/>
          <w:p>
            <w:pPr>
              <w:pStyle w:val="Compact"/>
              <w:jc w:val="left"/>
            </w:pPr>
            <w:r>
              <w:t xml:space="preserve">Payoffs altos na diagonal</w:t>
            </w:r>
          </w:p>
        </w:tc>
        <w:tc>
          <w:tcPr/>
          <w:p>
            <w:pPr>
              <w:pStyle w:val="Compact"/>
              <w:jc w:val="left"/>
            </w:pPr>
            <w:r>
              <w:t xml:space="preserve">(A,A) e (B,B)</w:t>
            </w:r>
          </w:p>
        </w:tc>
        <w:tc>
          <w:tcPr/>
          <w:p>
            <w:pPr>
              <w:pStyle w:val="Compact"/>
              <w:jc w:val="left"/>
            </w:pPr>
            <w:r>
              <w:t xml:space="preserve">Sim (instável)</w:t>
            </w:r>
          </w:p>
        </w:tc>
        <w:tc>
          <w:tcPr/>
          <w:p>
            <w:pPr>
              <w:pStyle w:val="Compact"/>
              <w:jc w:val="left"/>
            </w:pPr>
            <w:r>
              <w:t xml:space="preserve">Seleção de equilíbrio</w:t>
            </w:r>
          </w:p>
        </w:tc>
        <w:tc>
          <w:tcPr/>
          <w:p>
            <w:pPr>
              <w:pStyle w:val="Compact"/>
              <w:jc w:val="left"/>
            </w:pPr>
            <w:r>
              <w:t xml:space="preserve">Convenções sociais</w:t>
            </w:r>
          </w:p>
        </w:tc>
      </w:tr>
      <w:tr>
        <w:tc>
          <w:tcPr/>
          <w:p>
            <w:pPr>
              <w:pStyle w:val="Compact"/>
              <w:jc w:val="left"/>
            </w:pPr>
            <w:r>
              <w:rPr>
                <w:b/>
                <w:bCs/>
              </w:rPr>
              <w:t xml:space="preserve">Matching Pennies</w:t>
            </w:r>
          </w:p>
        </w:tc>
        <w:tc>
          <w:tcPr/>
          <w:p>
            <w:pPr>
              <w:pStyle w:val="Compact"/>
              <w:jc w:val="left"/>
            </w:pPr>
            <w:r>
              <w:t xml:space="preserve">Soma zero; interesses opostos</w:t>
            </w:r>
          </w:p>
        </w:tc>
        <w:tc>
          <w:tcPr/>
          <w:p>
            <w:pPr>
              <w:pStyle w:val="Compact"/>
              <w:jc w:val="left"/>
            </w:pPr>
            <w:r>
              <w:t xml:space="preserve">Nenhum</w:t>
            </w:r>
          </w:p>
        </w:tc>
        <w:tc>
          <w:tcPr/>
          <w:p>
            <w:pPr>
              <w:pStyle w:val="Compact"/>
              <w:jc w:val="left"/>
            </w:pPr>
            <m:oMath>
              <m:r>
                <m:rPr>
                  <m:sty m:val="p"/>
                </m:rPr>
                <m:t>(</m:t>
              </m:r>
              <m:r>
                <m:t>1</m:t>
              </m:r>
              <m:r>
                <m:rPr>
                  <m:sty m:val="p"/>
                </m:rPr>
                <m:t>/</m:t>
              </m:r>
              <m:r>
                <m:t>2</m:t>
              </m:r>
              <m:r>
                <m:rPr>
                  <m:sty m:val="p"/>
                </m:rPr>
                <m:t>,</m:t>
              </m:r>
              <m:r>
                <m:t>1</m:t>
              </m:r>
              <m:r>
                <m:rPr>
                  <m:sty m:val="p"/>
                </m:rPr>
                <m:t>/</m:t>
              </m:r>
              <m:r>
                <m:t>2</m:t>
              </m:r>
              <m:r>
                <m:rPr>
                  <m:sty m:val="p"/>
                </m:rPr>
                <m:t>)</m:t>
              </m:r>
            </m:oMath>
            <w:r>
              <w:t xml:space="preserve"> </w:t>
            </w:r>
            <w:r>
              <w:t xml:space="preserve">cada</w:t>
            </w:r>
          </w:p>
        </w:tc>
        <w:tc>
          <w:tcPr/>
          <w:p>
            <w:pPr>
              <w:pStyle w:val="Compact"/>
              <w:jc w:val="left"/>
            </w:pPr>
            <w:r>
              <w:t xml:space="preserve">Jogo estritamente competitivo</w:t>
            </w:r>
          </w:p>
        </w:tc>
        <w:tc>
          <w:tcPr/>
          <w:p>
            <w:pPr>
              <w:pStyle w:val="Compact"/>
              <w:jc w:val="left"/>
            </w:pPr>
            <w:r>
              <w:t xml:space="preserve">Estratégias militares, esportes</w:t>
            </w:r>
          </w:p>
        </w:tc>
      </w:tr>
    </w:tbl>
    <w:p>
      <w:pPr>
        <w:pStyle w:val="BodyText"/>
      </w:pPr>
      <w:r>
        <w:rPr>
          <w:b/>
          <w:bCs/>
        </w:rPr>
        <w:t xml:space="preserve">Tabela 9a.2 — Taxonomia dos jogos clássicos.</w:t>
      </w:r>
    </w:p>
    <w:p>
      <w:pPr>
        <w:pStyle w:val="BlockText"/>
      </w:pPr>
      <w:r>
        <w:rPr>
          <w:b/>
          <w:bCs/>
        </w:rPr>
        <w:t xml:space="preserve">[R-INTERACTIVE] R Interativo — Simulação do Dilema dos Prisioneiros Repetido</w:t>
      </w:r>
    </w:p>
    <w:p>
      <w:pPr>
        <w:pStyle w:val="BlockText"/>
      </w:pPr>
      <w:r>
        <w:t xml:space="preserve">Simule um torneio entre estratégias clássicas no Dilema dos Prisioneiros repetido (à la Axelrod, 1984). Compare</w:t>
      </w:r>
      <w:r>
        <w:t xml:space="preserve"> </w:t>
      </w:r>
      <w:r>
        <w:rPr>
          <w:i/>
          <w:iCs/>
        </w:rPr>
        <w:t xml:space="preserve">tit-for-tat</w:t>
      </w:r>
      <w:r>
        <w:t xml:space="preserve">,</w:t>
      </w:r>
      <w:r>
        <w:t xml:space="preserve"> </w:t>
      </w:r>
      <w:r>
        <w:rPr>
          <w:i/>
          <w:iCs/>
        </w:rPr>
        <w:t xml:space="preserve">always cooperate</w:t>
      </w:r>
      <w:r>
        <w:t xml:space="preserve">,</w:t>
      </w:r>
      <w:r>
        <w:t xml:space="preserve"> </w:t>
      </w:r>
      <w:r>
        <w:rPr>
          <w:i/>
          <w:iCs/>
        </w:rPr>
        <w:t xml:space="preserve">always defect</w:t>
      </w:r>
      <w:r>
        <w:t xml:space="preserve">,</w:t>
      </w:r>
      <w:r>
        <w:t xml:space="preserve"> </w:t>
      </w:r>
      <w:r>
        <w:rPr>
          <w:i/>
          <w:iCs/>
        </w:rPr>
        <w:t xml:space="preserve">grim trigger</w:t>
      </w:r>
      <w:r>
        <w:t xml:space="preserve"> </w:t>
      </w:r>
      <w:r>
        <w:t xml:space="preserve">e</w:t>
      </w:r>
      <w:r>
        <w:t xml:space="preserve"> </w:t>
      </w:r>
      <w:r>
        <w:rPr>
          <w:i/>
          <w:iCs/>
        </w:rPr>
        <w:t xml:space="preserve">random</w:t>
      </w:r>
      <w:r>
        <w:t xml:space="preserve">.</w:t>
      </w:r>
    </w:p>
    <w:p>
      <w:pPr>
        <w:pStyle w:val="SourceCode"/>
      </w:pPr>
      <w:r>
        <w:rPr>
          <w:rStyle w:val="CommentTok"/>
        </w:rPr>
        <w:t xml:space="preserve"># Torneio do Dilema dos Prisioneiros Repetido</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n_rodadas </w:t>
      </w:r>
      <w:r>
        <w:rPr>
          <w:rStyle w:val="OtherTok"/>
        </w:rPr>
        <w:t xml:space="preserve">&lt;-</w:t>
      </w:r>
      <w:r>
        <w:rPr>
          <w:rStyle w:val="NormalTok"/>
        </w:rPr>
        <w:t xml:space="preserve"> </w:t>
      </w:r>
      <w:r>
        <w:rPr>
          <w:rStyle w:val="DecValTok"/>
        </w:rPr>
        <w:t xml:space="preserve">50</w:t>
      </w:r>
      <w:r>
        <w:br/>
      </w:r>
      <w:r>
        <w:br/>
      </w:r>
      <w:r>
        <w:rPr>
          <w:rStyle w:val="CommentTok"/>
        </w:rPr>
        <w:t xml:space="preserve"># Payoffs: (R, R) = (3,3); (T, S) = (5,0); (S, T) = (0,5); (P, P) = (1,1)</w:t>
      </w:r>
      <w:r>
        <w:br/>
      </w:r>
      <w:r>
        <w:rPr>
          <w:rStyle w:val="NormalTok"/>
        </w:rPr>
        <w:t xml:space="preserve">payoff </w:t>
      </w:r>
      <w:r>
        <w:rPr>
          <w:rStyle w:val="OtherTok"/>
        </w:rPr>
        <w:t xml:space="preserve">&lt;-</w:t>
      </w:r>
      <w:r>
        <w:rPr>
          <w:rStyle w:val="NormalTok"/>
        </w:rPr>
        <w:t xml:space="preserve"> </w:t>
      </w:r>
      <w:r>
        <w:rPr>
          <w:rStyle w:val="ControlFlowTok"/>
        </w:rPr>
        <w:t xml:space="preserve">function</w:t>
      </w:r>
      <w:r>
        <w:rPr>
          <w:rStyle w:val="NormalTok"/>
        </w:rPr>
        <w:t xml:space="preserve">(a, b) {</w:t>
      </w:r>
      <w:r>
        <w:br/>
      </w:r>
      <w:r>
        <w:rPr>
          <w:rStyle w:val="NormalTok"/>
        </w:rPr>
        <w:t xml:space="preserve">  </w:t>
      </w:r>
      <w:r>
        <w:rPr>
          <w:rStyle w:val="FunctionTok"/>
        </w:rPr>
        <w:t xml:space="preserve">ifelse</w:t>
      </w:r>
      <w:r>
        <w:rPr>
          <w:rStyle w:val="NormalTok"/>
        </w:rPr>
        <w:t xml:space="preserve">(a </w:t>
      </w:r>
      <w:r>
        <w:rPr>
          <w:rStyle w:val="SpecialCharTok"/>
        </w:rPr>
        <w:t xml:space="preserve">==</w:t>
      </w:r>
      <w:r>
        <w:rPr>
          <w:rStyle w:val="NormalTok"/>
        </w:rPr>
        <w:t xml:space="preserve"> </w:t>
      </w:r>
      <w:r>
        <w:rPr>
          <w:rStyle w:val="StringTok"/>
        </w:rPr>
        <w:t xml:space="preserve">"C"</w:t>
      </w:r>
      <w:r>
        <w:rPr>
          <w:rStyle w:val="NormalTok"/>
        </w:rPr>
        <w:t xml:space="preserve"> </w:t>
      </w:r>
      <w:r>
        <w:rPr>
          <w:rStyle w:val="SpecialCharTok"/>
        </w:rPr>
        <w:t xml:space="preserve">&amp;</w:t>
      </w:r>
      <w:r>
        <w:rPr>
          <w:rStyle w:val="NormalTok"/>
        </w:rPr>
        <w:t xml:space="preserve"> b </w:t>
      </w:r>
      <w:r>
        <w:rPr>
          <w:rStyle w:val="SpecialCharTok"/>
        </w:rPr>
        <w:t xml:space="preserve">==</w:t>
      </w:r>
      <w:r>
        <w:rPr>
          <w:rStyle w:val="NormalTok"/>
        </w:rPr>
        <w:t xml:space="preserve"> </w:t>
      </w:r>
      <w:r>
        <w:rPr>
          <w:rStyle w:val="StringTok"/>
        </w:rPr>
        <w:t xml:space="preserve">"C"</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ifelse</w:t>
      </w:r>
      <w:r>
        <w:rPr>
          <w:rStyle w:val="NormalTok"/>
        </w:rPr>
        <w:t xml:space="preserve">(a </w:t>
      </w:r>
      <w:r>
        <w:rPr>
          <w:rStyle w:val="SpecialCharTok"/>
        </w:rPr>
        <w:t xml:space="preserve">==</w:t>
      </w:r>
      <w:r>
        <w:rPr>
          <w:rStyle w:val="NormalTok"/>
        </w:rPr>
        <w:t xml:space="preserve"> </w:t>
      </w:r>
      <w:r>
        <w:rPr>
          <w:rStyle w:val="StringTok"/>
        </w:rPr>
        <w:t xml:space="preserve">"C"</w:t>
      </w:r>
      <w:r>
        <w:rPr>
          <w:rStyle w:val="NormalTok"/>
        </w:rPr>
        <w:t xml:space="preserve"> </w:t>
      </w:r>
      <w:r>
        <w:rPr>
          <w:rStyle w:val="SpecialCharTok"/>
        </w:rPr>
        <w:t xml:space="preserve">&amp;</w:t>
      </w:r>
      <w:r>
        <w:rPr>
          <w:rStyle w:val="NormalTok"/>
        </w:rPr>
        <w:t xml:space="preserve"> b </w:t>
      </w:r>
      <w:r>
        <w:rPr>
          <w:rStyle w:val="SpecialCharTok"/>
        </w:rPr>
        <w:t xml:space="preserve">==</w:t>
      </w:r>
      <w:r>
        <w:rPr>
          <w:rStyle w:val="NormalTok"/>
        </w:rPr>
        <w:t xml:space="preserve"> </w:t>
      </w:r>
      <w:r>
        <w:rPr>
          <w:rStyle w:val="StringTok"/>
        </w:rPr>
        <w:t xml:space="preserv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ifelse</w:t>
      </w:r>
      <w:r>
        <w:rPr>
          <w:rStyle w:val="NormalTok"/>
        </w:rPr>
        <w:t xml:space="preserve">(a </w:t>
      </w:r>
      <w:r>
        <w:rPr>
          <w:rStyle w:val="SpecialCharTok"/>
        </w:rPr>
        <w:t xml:space="preserve">==</w:t>
      </w:r>
      <w:r>
        <w:rPr>
          <w:rStyle w:val="NormalTok"/>
        </w:rPr>
        <w:t xml:space="preserve"> </w:t>
      </w:r>
      <w:r>
        <w:rPr>
          <w:rStyle w:val="StringTok"/>
        </w:rPr>
        <w:t xml:space="preserve">"D"</w:t>
      </w:r>
      <w:r>
        <w:rPr>
          <w:rStyle w:val="NormalTok"/>
        </w:rPr>
        <w:t xml:space="preserve"> </w:t>
      </w:r>
      <w:r>
        <w:rPr>
          <w:rStyle w:val="SpecialCharTok"/>
        </w:rPr>
        <w:t xml:space="preserve">&amp;</w:t>
      </w:r>
      <w:r>
        <w:rPr>
          <w:rStyle w:val="NormalTok"/>
        </w:rPr>
        <w:t xml:space="preserve"> b </w:t>
      </w:r>
      <w:r>
        <w:rPr>
          <w:rStyle w:val="SpecialCharTok"/>
        </w:rPr>
        <w:t xml:space="preserve">==</w:t>
      </w:r>
      <w:r>
        <w:rPr>
          <w:rStyle w:val="NormalTok"/>
        </w:rPr>
        <w:t xml:space="preserve"> </w:t>
      </w:r>
      <w:r>
        <w:rPr>
          <w:rStyle w:val="StringTok"/>
        </w:rPr>
        <w:t xml:space="preserve">"C"</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CommentTok"/>
        </w:rPr>
        <w:t xml:space="preserve"># Estratégias</w:t>
      </w:r>
      <w:r>
        <w:br/>
      </w:r>
      <w:r>
        <w:rPr>
          <w:rStyle w:val="NormalTok"/>
        </w:rPr>
        <w:t xml:space="preserve">always_c  </w:t>
      </w:r>
      <w:r>
        <w:rPr>
          <w:rStyle w:val="OtherTok"/>
        </w:rPr>
        <w:t xml:space="preserve">&lt;-</w:t>
      </w:r>
      <w:r>
        <w:rPr>
          <w:rStyle w:val="NormalTok"/>
        </w:rPr>
        <w:t xml:space="preserve"> </w:t>
      </w:r>
      <w:r>
        <w:rPr>
          <w:rStyle w:val="ControlFlowTok"/>
        </w:rPr>
        <w:t xml:space="preserve">function</w:t>
      </w:r>
      <w:r>
        <w:rPr>
          <w:rStyle w:val="NormalTok"/>
        </w:rPr>
        <w:t xml:space="preserve">(hist_me, hist_opp, t) </w:t>
      </w:r>
      <w:r>
        <w:rPr>
          <w:rStyle w:val="StringTok"/>
        </w:rPr>
        <w:t xml:space="preserve">"C"</w:t>
      </w:r>
      <w:r>
        <w:br/>
      </w:r>
      <w:r>
        <w:rPr>
          <w:rStyle w:val="NormalTok"/>
        </w:rPr>
        <w:t xml:space="preserve">always_d  </w:t>
      </w:r>
      <w:r>
        <w:rPr>
          <w:rStyle w:val="OtherTok"/>
        </w:rPr>
        <w:t xml:space="preserve">&lt;-</w:t>
      </w:r>
      <w:r>
        <w:rPr>
          <w:rStyle w:val="NormalTok"/>
        </w:rPr>
        <w:t xml:space="preserve"> </w:t>
      </w:r>
      <w:r>
        <w:rPr>
          <w:rStyle w:val="ControlFlowTok"/>
        </w:rPr>
        <w:t xml:space="preserve">function</w:t>
      </w:r>
      <w:r>
        <w:rPr>
          <w:rStyle w:val="NormalTok"/>
        </w:rPr>
        <w:t xml:space="preserve">(hist_me, hist_opp, t) </w:t>
      </w:r>
      <w:r>
        <w:rPr>
          <w:rStyle w:val="StringTok"/>
        </w:rPr>
        <w:t xml:space="preserve">"D"</w:t>
      </w:r>
      <w:r>
        <w:br/>
      </w:r>
      <w:r>
        <w:rPr>
          <w:rStyle w:val="NormalTok"/>
        </w:rPr>
        <w:t xml:space="preserve">tit4tat   </w:t>
      </w:r>
      <w:r>
        <w:rPr>
          <w:rStyle w:val="OtherTok"/>
        </w:rPr>
        <w:t xml:space="preserve">&lt;-</w:t>
      </w:r>
      <w:r>
        <w:rPr>
          <w:rStyle w:val="NormalTok"/>
        </w:rPr>
        <w:t xml:space="preserve"> </w:t>
      </w:r>
      <w:r>
        <w:rPr>
          <w:rStyle w:val="ControlFlowTok"/>
        </w:rPr>
        <w:t xml:space="preserve">function</w:t>
      </w:r>
      <w:r>
        <w:rPr>
          <w:rStyle w:val="NormalTok"/>
        </w:rPr>
        <w:t xml:space="preserve">(hist_me, hist_opp, t) </w:t>
      </w:r>
      <w:r>
        <w:rPr>
          <w:rStyle w:val="FunctionTok"/>
        </w:rPr>
        <w:t xml:space="preserve">ifelse</w:t>
      </w:r>
      <w:r>
        <w:rPr>
          <w:rStyle w:val="NormalTok"/>
        </w:rPr>
        <w:t xml:space="preserve">(t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"C"</w:t>
      </w:r>
      <w:r>
        <w:rPr>
          <w:rStyle w:val="NormalTok"/>
        </w:rPr>
        <w:t xml:space="preserve">, hist_opp[t</w:t>
      </w:r>
      <w:r>
        <w:rPr>
          <w:rStyle w:val="DecValTok"/>
        </w:rPr>
        <w:t xml:space="preserve">-1</w:t>
      </w:r>
      <w:r>
        <w:rPr>
          <w:rStyle w:val="NormalTok"/>
        </w:rPr>
        <w:t xml:space="preserve">])</w:t>
      </w:r>
      <w:r>
        <w:br/>
      </w:r>
      <w:r>
        <w:rPr>
          <w:rStyle w:val="NormalTok"/>
        </w:rPr>
        <w:t xml:space="preserve">grim      </w:t>
      </w:r>
      <w:r>
        <w:rPr>
          <w:rStyle w:val="OtherTok"/>
        </w:rPr>
        <w:t xml:space="preserve">&lt;-</w:t>
      </w:r>
      <w:r>
        <w:rPr>
          <w:rStyle w:val="NormalTok"/>
        </w:rPr>
        <w:t xml:space="preserve"> </w:t>
      </w:r>
      <w:r>
        <w:rPr>
          <w:rStyle w:val="ControlFlowTok"/>
        </w:rPr>
        <w:t xml:space="preserve">function</w:t>
      </w:r>
      <w:r>
        <w:rPr>
          <w:rStyle w:val="NormalTok"/>
        </w:rPr>
        <w:t xml:space="preserve">(hist_me, hist_opp, t) {</w:t>
      </w:r>
      <w:r>
        <w:br/>
      </w:r>
      <w:r>
        <w:rPr>
          <w:rStyle w:val="NormalTok"/>
        </w:rPr>
        <w:t xml:space="preserve">  </w:t>
      </w:r>
      <w:r>
        <w:rPr>
          <w:rStyle w:val="ControlFlowTok"/>
        </w:rPr>
        <w:t xml:space="preserve">if</w:t>
      </w:r>
      <w:r>
        <w:rPr>
          <w:rStyle w:val="NormalTok"/>
        </w:rPr>
        <w:t xml:space="preserve">(t </w:t>
      </w:r>
      <w:r>
        <w:rPr>
          <w:rStyle w:val="SpecialCharTok"/>
        </w:rPr>
        <w:t xml:space="preserve">==</w:t>
      </w:r>
      <w:r>
        <w:rPr>
          <w:rStyle w:val="NormalTok"/>
        </w:rPr>
        <w:t xml:space="preserve"> </w:t>
      </w:r>
      <w:r>
        <w:rPr>
          <w:rStyle w:val="DecValTok"/>
        </w:rPr>
        <w:t xml:space="preserve">1</w:t>
      </w:r>
      <w:r>
        <w:rPr>
          <w:rStyle w:val="NormalTok"/>
        </w:rPr>
        <w:t xml:space="preserve">) </w:t>
      </w:r>
      <w:r>
        <w:rPr>
          <w:rStyle w:val="FunctionTok"/>
        </w:rPr>
        <w:t xml:space="preserve">return</w:t>
      </w:r>
      <w:r>
        <w:rPr>
          <w:rStyle w:val="NormalTok"/>
        </w:rPr>
        <w:t xml:space="preserve">(</w:t>
      </w:r>
      <w:r>
        <w:rPr>
          <w:rStyle w:val="StringTok"/>
        </w:rPr>
        <w:t xml:space="preserve">"C"</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any</w:t>
      </w:r>
      <w:r>
        <w:rPr>
          <w:rStyle w:val="NormalTok"/>
        </w:rPr>
        <w:t xml:space="preserve">(hist_opp[</w:t>
      </w:r>
      <w:r>
        <w:rPr>
          <w:rStyle w:val="DecValTok"/>
        </w:rPr>
        <w:t xml:space="preserve">1</w:t>
      </w:r>
      <w:r>
        <w:rPr>
          <w:rStyle w:val="SpecialCharTok"/>
        </w:rPr>
        <w:t xml:space="preserve">:</w:t>
      </w:r>
      <w:r>
        <w:rPr>
          <w:rStyle w:val="NormalTok"/>
        </w:rPr>
        <w:t xml:space="preserve">(t</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"C"</w:t>
      </w:r>
      <w:r>
        <w:rPr>
          <w:rStyle w:val="NormalTok"/>
        </w:rPr>
        <w:t xml:space="preserve">)</w:t>
      </w:r>
      <w:r>
        <w:br/>
      </w:r>
      <w:r>
        <w:rPr>
          <w:rStyle w:val="NormalTok"/>
        </w:rPr>
        <w:t xml:space="preserve">}</w:t>
      </w:r>
      <w:r>
        <w:br/>
      </w:r>
      <w:r>
        <w:rPr>
          <w:rStyle w:val="NormalTok"/>
        </w:rPr>
        <w:t xml:space="preserve">random_s  </w:t>
      </w:r>
      <w:r>
        <w:rPr>
          <w:rStyle w:val="OtherTok"/>
        </w:rPr>
        <w:t xml:space="preserve">&lt;-</w:t>
      </w:r>
      <w:r>
        <w:rPr>
          <w:rStyle w:val="NormalTok"/>
        </w:rPr>
        <w:t xml:space="preserve"> </w:t>
      </w:r>
      <w:r>
        <w:rPr>
          <w:rStyle w:val="ControlFlowTok"/>
        </w:rPr>
        <w:t xml:space="preserve">function</w:t>
      </w:r>
      <w:r>
        <w:rPr>
          <w:rStyle w:val="NormalTok"/>
        </w:rPr>
        <w:t xml:space="preserve">(hist_me, hist_opp, t)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"C"</w:t>
      </w:r>
      <w:r>
        <w:rPr>
          <w:rStyle w:val="NormalTok"/>
        </w:rPr>
        <w:t xml:space="preserve">,</w:t>
      </w:r>
      <w:r>
        <w:rPr>
          <w:rStyle w:val="StringTok"/>
        </w:rPr>
        <w:t xml:space="preserve">"D"</w:t>
      </w:r>
      <w:r>
        <w:rPr>
          <w:rStyle w:val="NormalTok"/>
        </w:rPr>
        <w:t xml:space="preserve">), </w:t>
      </w:r>
      <w:r>
        <w:rPr>
          <w:rStyle w:val="DecValTok"/>
        </w:rPr>
        <w:t xml:space="preserve">1</w:t>
      </w:r>
      <w:r>
        <w:rPr>
          <w:rStyle w:val="NormalTok"/>
        </w:rPr>
        <w:t xml:space="preserve">)</w:t>
      </w:r>
      <w:r>
        <w:br/>
      </w:r>
      <w:r>
        <w:br/>
      </w:r>
      <w:r>
        <w:rPr>
          <w:rStyle w:val="NormalTok"/>
        </w:rPr>
        <w:t xml:space="preserve">estrategias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"Tit-for-Tat"</w:t>
      </w:r>
      <w:r>
        <w:rPr>
          <w:rStyle w:val="NormalTok"/>
        </w:rPr>
        <w:t xml:space="preserve"> </w:t>
      </w:r>
      <w:r>
        <w:rPr>
          <w:rStyle w:val="OtherTok"/>
        </w:rPr>
        <w:t xml:space="preserve">=</w:t>
      </w:r>
      <w:r>
        <w:rPr>
          <w:rStyle w:val="NormalTok"/>
        </w:rPr>
        <w:t xml:space="preserve"> tit4tat, </w:t>
      </w:r>
      <w:r>
        <w:rPr>
          <w:rStyle w:val="StringTok"/>
        </w:rPr>
        <w:t xml:space="preserve">"Always Cooperate"</w:t>
      </w:r>
      <w:r>
        <w:rPr>
          <w:rStyle w:val="NormalTok"/>
        </w:rPr>
        <w:t xml:space="preserve"> </w:t>
      </w:r>
      <w:r>
        <w:rPr>
          <w:rStyle w:val="OtherTok"/>
        </w:rPr>
        <w:t xml:space="preserve">=</w:t>
      </w:r>
      <w:r>
        <w:rPr>
          <w:rStyle w:val="NormalTok"/>
        </w:rPr>
        <w:t xml:space="preserve"> always_c,</w:t>
      </w:r>
      <w:r>
        <w:br/>
      </w:r>
      <w:r>
        <w:rPr>
          <w:rStyle w:val="NormalTok"/>
        </w:rPr>
        <w:t xml:space="preserve">  </w:t>
      </w:r>
      <w:r>
        <w:rPr>
          <w:rStyle w:val="StringTok"/>
        </w:rPr>
        <w:t xml:space="preserve">"Always Defect"</w:t>
      </w:r>
      <w:r>
        <w:rPr>
          <w:rStyle w:val="NormalTok"/>
        </w:rPr>
        <w:t xml:space="preserve"> </w:t>
      </w:r>
      <w:r>
        <w:rPr>
          <w:rStyle w:val="OtherTok"/>
        </w:rPr>
        <w:t xml:space="preserve">=</w:t>
      </w:r>
      <w:r>
        <w:rPr>
          <w:rStyle w:val="NormalTok"/>
        </w:rPr>
        <w:t xml:space="preserve"> always_d, </w:t>
      </w:r>
      <w:r>
        <w:rPr>
          <w:rStyle w:val="StringTok"/>
        </w:rPr>
        <w:t xml:space="preserve">"Grim Trigger"</w:t>
      </w:r>
      <w:r>
        <w:rPr>
          <w:rStyle w:val="NormalTok"/>
        </w:rPr>
        <w:t xml:space="preserve"> </w:t>
      </w:r>
      <w:r>
        <w:rPr>
          <w:rStyle w:val="OtherTok"/>
        </w:rPr>
        <w:t xml:space="preserve">=</w:t>
      </w:r>
      <w:r>
        <w:rPr>
          <w:rStyle w:val="NormalTok"/>
        </w:rPr>
        <w:t xml:space="preserve"> grim, </w:t>
      </w:r>
      <w:r>
        <w:rPr>
          <w:rStyle w:val="StringTok"/>
        </w:rPr>
        <w:t xml:space="preserve">"Random"</w:t>
      </w:r>
      <w:r>
        <w:rPr>
          <w:rStyle w:val="NormalTok"/>
        </w:rPr>
        <w:t xml:space="preserve"> </w:t>
      </w:r>
      <w:r>
        <w:rPr>
          <w:rStyle w:val="OtherTok"/>
        </w:rPr>
        <w:t xml:space="preserve">=</w:t>
      </w:r>
      <w:r>
        <w:rPr>
          <w:rStyle w:val="NormalTok"/>
        </w:rPr>
        <w:t xml:space="preserve"> random_s</w:t>
      </w:r>
      <w:r>
        <w:br/>
      </w:r>
      <w:r>
        <w:rPr>
          <w:rStyle w:val="NormalTok"/>
        </w:rPr>
        <w:t xml:space="preserve">)</w:t>
      </w:r>
      <w:r>
        <w:br/>
      </w:r>
      <w:r>
        <w:br/>
      </w:r>
      <w:r>
        <w:rPr>
          <w:rStyle w:val="CommentTok"/>
        </w:rPr>
        <w:t xml:space="preserve"># Simular duelo</w:t>
      </w:r>
      <w:r>
        <w:br/>
      </w:r>
      <w:r>
        <w:rPr>
          <w:rStyle w:val="NormalTok"/>
        </w:rPr>
        <w:t xml:space="preserve">duelo </w:t>
      </w:r>
      <w:r>
        <w:rPr>
          <w:rStyle w:val="OtherTok"/>
        </w:rPr>
        <w:t xml:space="preserve">&lt;-</w:t>
      </w:r>
      <w:r>
        <w:rPr>
          <w:rStyle w:val="NormalTok"/>
        </w:rPr>
        <w:t xml:space="preserve"> </w:t>
      </w:r>
      <w:r>
        <w:rPr>
          <w:rStyle w:val="ControlFlowTok"/>
        </w:rPr>
        <w:t xml:space="preserve">function</w:t>
      </w:r>
      <w:r>
        <w:rPr>
          <w:rStyle w:val="NormalTok"/>
        </w:rPr>
        <w:t xml:space="preserve">(s1, s2, n) {</w:t>
      </w:r>
      <w:r>
        <w:br/>
      </w:r>
      <w:r>
        <w:rPr>
          <w:rStyle w:val="NormalTok"/>
        </w:rPr>
        <w:t xml:space="preserve">  h1 </w:t>
      </w:r>
      <w:r>
        <w:rPr>
          <w:rStyle w:val="OtherTok"/>
        </w:rPr>
        <w:t xml:space="preserve">&lt;-</w:t>
      </w:r>
      <w:r>
        <w:rPr>
          <w:rStyle w:val="NormalTok"/>
        </w:rPr>
        <w:t xml:space="preserve"> h2 </w:t>
      </w:r>
      <w:r>
        <w:rPr>
          <w:rStyle w:val="OtherTok"/>
        </w:rPr>
        <w:t xml:space="preserve">&lt;-</w:t>
      </w:r>
      <w:r>
        <w:rPr>
          <w:rStyle w:val="NormalTok"/>
        </w:rPr>
        <w:t xml:space="preserve"> </w:t>
      </w:r>
      <w:r>
        <w:rPr>
          <w:rStyle w:val="FunctionTok"/>
        </w:rPr>
        <w:t xml:space="preserve">character</w:t>
      </w:r>
      <w:r>
        <w:rPr>
          <w:rStyle w:val="NormalTok"/>
        </w:rPr>
        <w:t xml:space="preserve">(n)</w:t>
      </w:r>
      <w:r>
        <w:br/>
      </w:r>
      <w:r>
        <w:rPr>
          <w:rStyle w:val="NormalTok"/>
        </w:rPr>
        <w:t xml:space="preserve">  p1 </w:t>
      </w:r>
      <w:r>
        <w:rPr>
          <w:rStyle w:val="OtherTok"/>
        </w:rPr>
        <w:t xml:space="preserve">&lt;-</w:t>
      </w:r>
      <w:r>
        <w:rPr>
          <w:rStyle w:val="NormalTok"/>
        </w:rPr>
        <w:t xml:space="preserve"> p2 </w:t>
      </w:r>
      <w:r>
        <w:rPr>
          <w:rStyle w:val="OtherTok"/>
        </w:rPr>
        <w:t xml:space="preserve">&lt;-</w:t>
      </w:r>
      <w:r>
        <w:rPr>
          <w:rStyle w:val="NormalTok"/>
        </w:rPr>
        <w:t xml:space="preserve"> </w:t>
      </w:r>
      <w:r>
        <w:rPr>
          <w:rStyle w:val="FunctionTok"/>
        </w:rPr>
        <w:t xml:space="preserve">numeric</w:t>
      </w:r>
      <w:r>
        <w:rPr>
          <w:rStyle w:val="NormalTok"/>
        </w:rPr>
        <w:t xml:space="preserve">(n)</w:t>
      </w:r>
      <w:r>
        <w:br/>
      </w:r>
      <w:r>
        <w:rPr>
          <w:rStyle w:val="NormalTok"/>
        </w:rPr>
        <w:t xml:space="preserve">  </w:t>
      </w:r>
      <w:r>
        <w:rPr>
          <w:rStyle w:val="ControlFlowTok"/>
        </w:rPr>
        <w:t xml:space="preserve">for</w:t>
      </w:r>
      <w:r>
        <w:rPr>
          <w:rStyle w:val="NormalTok"/>
        </w:rPr>
        <w:t xml:space="preserve">(t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 {</w:t>
      </w:r>
      <w:r>
        <w:br/>
      </w:r>
      <w:r>
        <w:rPr>
          <w:rStyle w:val="NormalTok"/>
        </w:rPr>
        <w:t xml:space="preserve">    h1[t] </w:t>
      </w:r>
      <w:r>
        <w:rPr>
          <w:rStyle w:val="OtherTok"/>
        </w:rPr>
        <w:t xml:space="preserve">&lt;-</w:t>
      </w:r>
      <w:r>
        <w:rPr>
          <w:rStyle w:val="NormalTok"/>
        </w:rPr>
        <w:t xml:space="preserve"> </w:t>
      </w:r>
      <w:r>
        <w:rPr>
          <w:rStyle w:val="FunctionTok"/>
        </w:rPr>
        <w:t xml:space="preserve">s1</w:t>
      </w:r>
      <w:r>
        <w:rPr>
          <w:rStyle w:val="NormalTok"/>
        </w:rPr>
        <w:t xml:space="preserve">(h1, h2, t); h2[t] </w:t>
      </w:r>
      <w:r>
        <w:rPr>
          <w:rStyle w:val="OtherTok"/>
        </w:rPr>
        <w:t xml:space="preserve">&lt;-</w:t>
      </w:r>
      <w:r>
        <w:rPr>
          <w:rStyle w:val="NormalTok"/>
        </w:rPr>
        <w:t xml:space="preserve"> </w:t>
      </w:r>
      <w:r>
        <w:rPr>
          <w:rStyle w:val="FunctionTok"/>
        </w:rPr>
        <w:t xml:space="preserve">s2</w:t>
      </w:r>
      <w:r>
        <w:rPr>
          <w:rStyle w:val="NormalTok"/>
        </w:rPr>
        <w:t xml:space="preserve">(h2, h1, t)</w:t>
      </w:r>
      <w:r>
        <w:br/>
      </w:r>
      <w:r>
        <w:rPr>
          <w:rStyle w:val="NormalTok"/>
        </w:rPr>
        <w:t xml:space="preserve">    p1[t] </w:t>
      </w:r>
      <w:r>
        <w:rPr>
          <w:rStyle w:val="OtherTok"/>
        </w:rPr>
        <w:t xml:space="preserve">&lt;-</w:t>
      </w:r>
      <w:r>
        <w:rPr>
          <w:rStyle w:val="NormalTok"/>
        </w:rPr>
        <w:t xml:space="preserve"> </w:t>
      </w:r>
      <w:r>
        <w:rPr>
          <w:rStyle w:val="FunctionTok"/>
        </w:rPr>
        <w:t xml:space="preserve">payoff</w:t>
      </w:r>
      <w:r>
        <w:rPr>
          <w:rStyle w:val="NormalTok"/>
        </w:rPr>
        <w:t xml:space="preserve">(h1[t], h2[t]); p2[t] </w:t>
      </w:r>
      <w:r>
        <w:rPr>
          <w:rStyle w:val="OtherTok"/>
        </w:rPr>
        <w:t xml:space="preserve">&lt;-</w:t>
      </w:r>
      <w:r>
        <w:rPr>
          <w:rStyle w:val="NormalTok"/>
        </w:rPr>
        <w:t xml:space="preserve"> </w:t>
      </w:r>
      <w:r>
        <w:rPr>
          <w:rStyle w:val="FunctionTok"/>
        </w:rPr>
        <w:t xml:space="preserve">payoff</w:t>
      </w:r>
      <w:r>
        <w:rPr>
          <w:rStyle w:val="NormalTok"/>
        </w:rPr>
        <w:t xml:space="preserve">(h2[t], h1[t])</w:t>
      </w:r>
      <w:r>
        <w:br/>
      </w:r>
      <w:r>
        <w:rPr>
          <w:rStyle w:val="NormalTok"/>
        </w:rPr>
        <w:t xml:space="preserve">  }</w:t>
      </w:r>
      <w:r>
        <w:br/>
      </w:r>
      <w:r>
        <w:rPr>
          <w:rStyle w:val="NormalTok"/>
        </w:rPr>
        <w:t xml:space="preserve">  </w:t>
      </w:r>
      <w:r>
        <w:rPr>
          <w:rStyle w:val="FunctionTok"/>
        </w:rPr>
        <w:t xml:space="preserve">c</w:t>
      </w:r>
      <w:r>
        <w:rPr>
          <w:rStyle w:val="NormalTok"/>
        </w:rPr>
        <w:t xml:space="preserve">(</w:t>
      </w:r>
      <w:r>
        <w:rPr>
          <w:rStyle w:val="FunctionTok"/>
        </w:rPr>
        <w:t xml:space="preserve">sum</w:t>
      </w:r>
      <w:r>
        <w:rPr>
          <w:rStyle w:val="NormalTok"/>
        </w:rPr>
        <w:t xml:space="preserve">(p1), </w:t>
      </w:r>
      <w:r>
        <w:rPr>
          <w:rStyle w:val="FunctionTok"/>
        </w:rPr>
        <w:t xml:space="preserve">sum</w:t>
      </w:r>
      <w:r>
        <w:rPr>
          <w:rStyle w:val="NormalTok"/>
        </w:rPr>
        <w:t xml:space="preserve">(p2))</w:t>
      </w:r>
      <w:r>
        <w:br/>
      </w:r>
      <w:r>
        <w:rPr>
          <w:rStyle w:val="NormalTok"/>
        </w:rPr>
        <w:t xml:space="preserve">}</w:t>
      </w:r>
      <w:r>
        <w:br/>
      </w:r>
      <w:r>
        <w:br/>
      </w:r>
      <w:r>
        <w:rPr>
          <w:rStyle w:val="CommentTok"/>
        </w:rPr>
        <w:t xml:space="preserve"># Torneio round-robin</w:t>
      </w:r>
      <w:r>
        <w:br/>
      </w:r>
      <w:r>
        <w:rPr>
          <w:rStyle w:val="NormalTok"/>
        </w:rPr>
        <w:t xml:space="preserve">nomes </w:t>
      </w:r>
      <w:r>
        <w:rPr>
          <w:rStyle w:val="OtherTok"/>
        </w:rPr>
        <w:t xml:space="preserve">&lt;-</w:t>
      </w:r>
      <w:r>
        <w:rPr>
          <w:rStyle w:val="NormalTok"/>
        </w:rPr>
        <w:t xml:space="preserve"> </w:t>
      </w:r>
      <w:r>
        <w:rPr>
          <w:rStyle w:val="FunctionTok"/>
        </w:rPr>
        <w:t xml:space="preserve">names</w:t>
      </w:r>
      <w:r>
        <w:rPr>
          <w:rStyle w:val="NormalTok"/>
        </w:rPr>
        <w:t xml:space="preserve">(estrategias)</w:t>
      </w:r>
      <w:r>
        <w:br/>
      </w:r>
      <w:r>
        <w:rPr>
          <w:rStyle w:val="NormalTok"/>
        </w:rPr>
        <w:t xml:space="preserve">scores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nomes)</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rPr>
          <w:rStyle w:val="NormalTok"/>
        </w:rPr>
        <w:t xml:space="preserve">  res </w:t>
      </w:r>
      <w:r>
        <w:rPr>
          <w:rStyle w:val="OtherTok"/>
        </w:rPr>
        <w:t xml:space="preserve">&lt;-</w:t>
      </w:r>
      <w:r>
        <w:rPr>
          <w:rStyle w:val="NormalTok"/>
        </w:rPr>
        <w:t xml:space="preserve"> </w:t>
      </w:r>
      <w:r>
        <w:rPr>
          <w:rStyle w:val="FunctionTok"/>
        </w:rPr>
        <w:t xml:space="preserve">duelo</w:t>
      </w:r>
      <w:r>
        <w:rPr>
          <w:rStyle w:val="NormalTok"/>
        </w:rPr>
        <w:t xml:space="preserve">(estrategias[[i]], estrategias[[j]], n_rodadas)</w:t>
      </w:r>
      <w:r>
        <w:br/>
      </w:r>
      <w:r>
        <w:rPr>
          <w:rStyle w:val="NormalTok"/>
        </w:rPr>
        <w:t xml:space="preserve">  scores[i] </w:t>
      </w:r>
      <w:r>
        <w:rPr>
          <w:rStyle w:val="OtherTok"/>
        </w:rPr>
        <w:t xml:space="preserve">&lt;-</w:t>
      </w:r>
      <w:r>
        <w:rPr>
          <w:rStyle w:val="NormalTok"/>
        </w:rPr>
        <w:t xml:space="preserve"> scores[i] </w:t>
      </w:r>
      <w:r>
        <w:rPr>
          <w:rStyle w:val="SpecialCharTok"/>
        </w:rPr>
        <w:t xml:space="preserve">+</w:t>
      </w:r>
      <w:r>
        <w:rPr>
          <w:rStyle w:val="NormalTok"/>
        </w:rPr>
        <w:t xml:space="preserve"> res[</w:t>
      </w:r>
      <w:r>
        <w:rPr>
          <w:rStyle w:val="DecValTok"/>
        </w:rPr>
        <w:t xml:space="preserve">1</w:t>
      </w:r>
      <w:r>
        <w:rPr>
          <w:rStyle w:val="NormalTok"/>
        </w:rPr>
        <w:t xml:space="preserve">]</w:t>
      </w:r>
      <w:r>
        <w:br/>
      </w:r>
      <w:r>
        <w:rPr>
          <w:rStyle w:val="NormalTok"/>
        </w:rPr>
        <w:t xml:space="preserve">}</w:t>
      </w:r>
      <w:r>
        <w:br/>
      </w:r>
      <w:r>
        <w:br/>
      </w:r>
      <w:r>
        <w:rPr>
          <w:rStyle w:val="CommentTok"/>
        </w:rPr>
        <w:t xml:space="preserve"># Resultado</w:t>
      </w:r>
      <w:r>
        <w:br/>
      </w:r>
      <w:r>
        <w:rPr>
          <w:rStyle w:val="FunctionTok"/>
        </w:rPr>
        <w:t xml:space="preserve">barplot</w:t>
      </w:r>
      <w:r>
        <w:rPr>
          <w:rStyle w:val="NormalTok"/>
        </w:rPr>
        <w:t xml:space="preserve">(</w:t>
      </w:r>
      <w:r>
        <w:rPr>
          <w:rStyle w:val="FunctionTok"/>
        </w:rPr>
        <w:t xml:space="preserve">sort</w:t>
      </w:r>
      <w:r>
        <w:rPr>
          <w:rStyle w:val="NormalTok"/>
        </w:rPr>
        <w:t xml:space="preserve">(scores, </w:t>
      </w:r>
      <w:r>
        <w:rPr>
          <w:rStyle w:val="AttributeTok"/>
        </w:rPr>
        <w:t xml:space="preserve">decreasing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"Torneio Axelrod — Pontuação Total"</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"Payoff acumulado"</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cex.names =</w:t>
      </w:r>
      <w:r>
        <w:rPr>
          <w:rStyle w:val="NormalTok"/>
        </w:rPr>
        <w:t xml:space="preserve"> </w:t>
      </w:r>
      <w:r>
        <w:rPr>
          <w:rStyle w:val="FloatTok"/>
        </w:rPr>
        <w:t xml:space="preserve">0.8</w:t>
      </w:r>
      <w:r>
        <w:rPr>
          <w:rStyle w:val="NormalTok"/>
        </w:rPr>
        <w:t xml:space="preserve">)</w:t>
      </w:r>
      <w:r>
        <w:br/>
      </w:r>
      <w:r>
        <w:rPr>
          <w:rStyle w:val="FunctionTok"/>
        </w:rPr>
        <w:t xml:space="preserve">cat</w:t>
      </w:r>
      <w:r>
        <w:rPr>
          <w:rStyle w:val="NormalTok"/>
        </w:rPr>
        <w:t xml:space="preserve">(</w:t>
      </w:r>
      <w:r>
        <w:rPr>
          <w:rStyle w:val="StringTok"/>
        </w:rPr>
        <w:t xml:space="preserve">"Ranking:</w:t>
      </w:r>
      <w:r>
        <w:rPr>
          <w:rStyle w:val="SpecialCharTok"/>
        </w:rPr>
        <w:t xml:space="preserve">\n</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sort</w:t>
      </w:r>
      <w:r>
        <w:rPr>
          <w:rStyle w:val="NormalTok"/>
        </w:rPr>
        <w:t xml:space="preserve">(scores, </w:t>
      </w:r>
      <w:r>
        <w:rPr>
          <w:rStyle w:val="AttributeTok"/>
        </w:rPr>
        <w:t xml:space="preserve">decreasing =</w:t>
      </w:r>
      <w:r>
        <w:rPr>
          <w:rStyle w:val="NormalTok"/>
        </w:rPr>
        <w:t xml:space="preserve"> </w:t>
      </w:r>
      <w:r>
        <w:rPr>
          <w:rStyle w:val="ConstantTok"/>
        </w:rPr>
        <w:t xml:space="preserve">TRUE</w:t>
      </w:r>
      <w:r>
        <w:rPr>
          <w:rStyle w:val="NormalTok"/>
        </w:rPr>
        <w:t xml:space="preserve">))</w:t>
      </w:r>
    </w:p>
    <w:p>
      <w:pPr>
        <w:pStyle w:val="BlockText"/>
      </w:pPr>
      <w:r>
        <w:rPr>
          <w:b/>
          <w:bCs/>
        </w:rPr>
        <w:t xml:space="preserve">Experimente:</w:t>
      </w:r>
      <w:r>
        <w:t xml:space="preserve"> </w:t>
      </w:r>
      <w:r>
        <w:t xml:space="preserve">Altere</w:t>
      </w:r>
      <w:r>
        <w:t xml:space="preserve"> </w:t>
      </w:r>
      <w:r>
        <w:rPr>
          <w:rStyle w:val="VerbatimChar"/>
        </w:rPr>
        <w:t xml:space="preserve">n_rodadas</w:t>
      </w:r>
      <w:r>
        <w:t xml:space="preserve"> </w:t>
      </w:r>
      <w:r>
        <w:t xml:space="preserve">para 5 ou 200. Com poucas rodadas,</w:t>
      </w:r>
      <w:r>
        <w:t xml:space="preserve"> </w:t>
      </w:r>
      <w:r>
        <w:rPr>
          <w:i/>
          <w:iCs/>
        </w:rPr>
        <w:t xml:space="preserve">Always Defect</w:t>
      </w:r>
      <w:r>
        <w:t xml:space="preserve"> </w:t>
      </w:r>
      <w:r>
        <w:t xml:space="preserve">se sai melhor? Com muitas,</w:t>
      </w:r>
      <w:r>
        <w:t xml:space="preserve"> </w:t>
      </w:r>
      <w:r>
        <w:rPr>
          <w:i/>
          <w:iCs/>
        </w:rPr>
        <w:t xml:space="preserve">Tit-for-Tat</w:t>
      </w:r>
      <w:r>
        <w:t xml:space="preserve"> </w:t>
      </w:r>
      <w:r>
        <w:t xml:space="preserve">domina? Essa é a intuição do folk theorem: cooperação emerge quando o futuro importa.</w:t>
      </w:r>
    </w:p>
    <w:bookmarkEnd w:id="469"/>
    <w:bookmarkEnd w:id="470"/>
    <w:bookmarkEnd w:id="471"/>
    <w:bookmarkStart w:id="476" w:name="ninguém-quer-mudar-o-equilíbrio-de-nash"/>
    <w:p>
      <w:pPr>
        <w:pStyle w:val="Heading2"/>
      </w:pPr>
      <w:r>
        <w:t xml:space="preserve">Ninguém Quer Mudar: O Equilíbrio de Nash</w:t>
      </w:r>
    </w:p>
    <w:bookmarkStart w:id="475" w:name="X69c716fa99d512b7b4c293123a35abae5b315d7"/>
    <w:p>
      <w:pPr>
        <w:pStyle w:val="Heading3"/>
      </w:pPr>
      <w:r>
        <w:t xml:space="preserve">9a.3 Ninguém Quer Mudar: O Equilíbrio de Nash</w:t>
      </w:r>
    </w:p>
    <w:p>
      <w:pPr>
        <w:pStyle w:val="FirstParagraph"/>
      </w:pPr>
      <w:r>
        <w:t xml:space="preserve">No Dilema dos Prisioneiros, a solução era fácil: trair domina cooperar, aconteça o que acontecer. Mas a maioria dos jogos não é tão generosa. Na Batalha dos Sexos, por exemplo, a melhor ação depende do que o outro jogador faz — não existe</w:t>
      </w:r>
      <w:r>
        <w:t xml:space="preserve"> </w:t>
      </w:r>
      <w:r>
        <w:t xml:space="preserve">“bala de prata”</w:t>
      </w:r>
      <w:r>
        <w:t xml:space="preserve">. Como prever o resultado quando nenhuma estratégia é obviamente superior?</w:t>
      </w:r>
    </w:p>
    <w:p>
      <w:pPr>
        <w:pStyle w:val="BodyText"/>
      </w:pPr>
      <w:r>
        <w:t xml:space="preserve">O equilíbrio de Nash é a ferramenta que generaliza essa lógica: em vez de exigir que uma estratégia ganhe</w:t>
      </w:r>
      <w:r>
        <w:t xml:space="preserve"> </w:t>
      </w:r>
      <w:r>
        <w:rPr>
          <w:i/>
          <w:iCs/>
        </w:rPr>
        <w:t xml:space="preserve">de tudo</w:t>
      </w:r>
      <w:r>
        <w:t xml:space="preserve">, exige apenas que cada jogador esteja fazendo o melhor</w:t>
      </w:r>
      <w:r>
        <w:t xml:space="preserve"> </w:t>
      </w:r>
      <w:r>
        <w:rPr>
          <w:i/>
          <w:iCs/>
        </w:rPr>
        <w:t xml:space="preserve">dado o que o outro faz</w:t>
      </w:r>
      <w:r>
        <w:t xml:space="preserve">. É menos ambicioso que dominância — e por isso funciona em muito mais jogos.</w:t>
      </w:r>
    </w:p>
    <w:p>
      <w:pPr>
        <w:pStyle w:val="BodyText"/>
      </w:pPr>
      <w:r>
        <w:t xml:space="preserve">A resposta de Nash — elegante a ponto de caber numa tese de doutorado de 28 páginas, defendida em Princeton em 1950 sob orientação de Albert Tucker</w:t>
      </w:r>
      <w:r>
        <w:rPr>
          <w:rStyle w:val="FootnoteReference"/>
        </w:rPr>
        <w:footnoteReference w:id="472"/>
      </w:r>
      <w:r>
        <w:t xml:space="preserve"> </w:t>
      </w:r>
      <w:r>
        <w:t xml:space="preserve">— é trocar de pergunta. Em vez de buscar uma estratégia boa</w:t>
      </w:r>
      <w:r>
        <w:t xml:space="preserve"> </w:t>
      </w:r>
      <w:r>
        <w:rPr>
          <w:i/>
          <w:iCs/>
        </w:rPr>
        <w:t xml:space="preserve">contra tudo</w:t>
      </w:r>
      <w:r>
        <w:t xml:space="preserve">, buscar estratégias que sejam boas</w:t>
      </w:r>
      <w:r>
        <w:t xml:space="preserve"> </w:t>
      </w:r>
      <w:r>
        <w:rPr>
          <w:i/>
          <w:iCs/>
        </w:rPr>
        <w:t xml:space="preserve">umas contra as outras</w:t>
      </w:r>
      <w:r>
        <w:t xml:space="preserve">. O equilíbrio de Nash é um perfil de estratégias que se</w:t>
      </w:r>
      <w:r>
        <w:t xml:space="preserve"> </w:t>
      </w:r>
      <w:r>
        <w:rPr>
          <w:i/>
          <w:iCs/>
        </w:rPr>
        <w:t xml:space="preserve">sustenta a si próprio</w:t>
      </w:r>
      <w:r>
        <w:t xml:space="preserve">: se cada jogador acredita que os demais jogarão as estratégias de equilíbrio, então é de fato ótimo para ele jogar sua estratégia de equilíbrio — e a crença se confirma. Essa mudança de perspectiva — de dominância absoluta para consistência mútua — é o salto conceitual que permitiu a Nash generalizar a análise para qualquer jogo.</w:t>
      </w:r>
    </w:p>
    <w:p>
      <w:pPr>
        <w:pStyle w:val="BodyText"/>
      </w:pPr>
      <w:r>
        <w:t xml:space="preserve">Essa propriedade de auto-sustentação tem uma leitura econômica poderosa: o equilíbrio de Nash é uma</w:t>
      </w:r>
      <w:r>
        <w:t xml:space="preserve"> </w:t>
      </w:r>
      <w:r>
        <w:rPr>
          <w:b/>
          <w:bCs/>
        </w:rPr>
        <w:t xml:space="preserve">previsão estável</w:t>
      </w:r>
      <w:r>
        <w:t xml:space="preserve"> </w:t>
      </w:r>
      <w:r>
        <w:t xml:space="preserve">de como agentes racionais e informados jogarão. Não é necessário supor que os jogadores se comuniquem ou façam acordos vinculantes — basta que cada um raciocine corretamente sobre o comportamento dos demais. Em mercados financeiros, os preços de ativos tendem a refletir equilíbrios de Nash entre investidores que simultaneamente tentam explorar desvios de preços e, ao fazê-lo, os eliminam. Em leilões (Capítulo 9c), os lances de equilíbrio são funções das informações privadas de cada participante que formam um equilíbrio bayesiano — generalização direta do conceito de Nash.</w:t>
      </w:r>
    </w:p>
    <w:p>
      <w:pPr>
        <w:pStyle w:val="BodyText"/>
      </w:pPr>
      <w:r>
        <w:t xml:space="preserve">Antes da definição formal, a intuição: um equilíbrio de Nash é uma situação em que</w:t>
      </w:r>
      <w:r>
        <w:t xml:space="preserve"> </w:t>
      </w:r>
      <w:r>
        <w:rPr>
          <w:i/>
          <w:iCs/>
        </w:rPr>
        <w:t xml:space="preserve">ninguém se arrepende</w:t>
      </w:r>
      <w:r>
        <w:t xml:space="preserve">. Cada jogador, ao ver o que os outros fizeram, pensa</w:t>
      </w:r>
      <w:r>
        <w:t xml:space="preserve"> </w:t>
      </w:r>
      <w:r>
        <w:t xml:space="preserve">‘eu não mudaria nada’</w:t>
      </w:r>
      <w:r>
        <w:t xml:space="preserve">. Não é o melhor resultado coletivo (o PD mostrou isso), mas é o resultado</w:t>
      </w:r>
      <w:r>
        <w:t xml:space="preserve"> </w:t>
      </w:r>
      <w:r>
        <w:rPr>
          <w:i/>
          <w:iCs/>
        </w:rPr>
        <w:t xml:space="preserve">estável</w:t>
      </w:r>
      <w:r>
        <w:t xml:space="preserve"> </w:t>
      </w:r>
      <w:r>
        <w:t xml:space="preserve">— aquele do qual ninguém desvia sozinho.</w:t>
      </w:r>
    </w:p>
    <w:p>
      <w:pPr>
        <w:pStyle w:val="BlockText"/>
      </w:pPr>
      <w:r>
        <w:rPr>
          <w:b/>
          <w:bCs/>
        </w:rPr>
        <w:t xml:space="preserve">[DEFINICAO] Equilíbrio de Nash (estratégias puras)</w:t>
      </w:r>
    </w:p>
    <w:p>
      <w:pPr>
        <w:pStyle w:val="BlockText"/>
      </w:pPr>
      <w:r>
        <w:t xml:space="preserve">Um perfil de estratégias</w:t>
      </w:r>
      <w:r>
        <w:t xml:space="preserve"> </w:t>
      </w:r>
      <m:oMath>
        <m:sSup>
          <m:e>
            <m:r>
              <m:t>s</m:t>
            </m:r>
          </m:e>
          <m:sup>
            <m:r>
              <m:rPr>
                <m:sty m:val="p"/>
              </m:rPr>
              <m:t>*</m:t>
            </m:r>
          </m:sup>
        </m:sSup>
        <m:r>
          <m:rPr>
            <m:sty m:val="p"/>
          </m:rPr>
          <m:t>=</m:t>
        </m:r>
        <m:r>
          <m:rPr>
            <m:sty m:val="p"/>
          </m:rPr>
          <m:t>(</m:t>
        </m:r>
        <m:sSubSup>
          <m:e>
            <m:r>
              <m:t>s</m:t>
            </m:r>
          </m:e>
          <m:sub>
            <m:r>
              <m:t>1</m:t>
            </m:r>
          </m:sub>
          <m:sup>
            <m:r>
              <m:rPr>
                <m:sty m:val="p"/>
              </m:rPr>
              <m:t>*</m:t>
            </m:r>
          </m:sup>
        </m:sSubSup>
        <m:r>
          <m:rPr>
            <m:sty m:val="p"/>
          </m:rPr>
          <m:t>,</m:t>
        </m:r>
        <m:sSubSup>
          <m:e>
            <m:r>
              <m:t>s</m:t>
            </m:r>
          </m:e>
          <m:sub>
            <m:r>
              <m:t>2</m:t>
            </m:r>
          </m:sub>
          <m:sup>
            <m:r>
              <m:rPr>
                <m:sty m:val="p"/>
              </m:rPr>
              <m:t>*</m:t>
            </m:r>
          </m:sup>
        </m:sSubSup>
        <m:r>
          <m:rPr>
            <m:sty m:val="p"/>
          </m:rPr>
          <m:t>,</m:t>
        </m:r>
        <m:r>
          <m:rPr>
            <m:sty m:val="p"/>
          </m:rPr>
          <m:t>…</m:t>
        </m:r>
        <m:r>
          <m:rPr>
            <m:sty m:val="p"/>
          </m:rPr>
          <m:t>,</m:t>
        </m:r>
        <m:sSubSup>
          <m:e>
            <m:r>
              <m:t>s</m:t>
            </m:r>
          </m:e>
          <m:sub>
            <m:r>
              <m:t>n</m:t>
            </m:r>
          </m:sub>
          <m:sup>
            <m:r>
              <m:rPr>
                <m:sty m:val="p"/>
              </m:rPr>
              <m:t>*</m:t>
            </m:r>
          </m:sup>
        </m:sSubSup>
        <m:r>
          <m:rPr>
            <m:sty m:val="p"/>
          </m:rPr>
          <m:t>)</m:t>
        </m:r>
      </m:oMath>
      <w:r>
        <w:t xml:space="preserve"> </w:t>
      </w:r>
      <w:r>
        <w:t xml:space="preserve">é um</w:t>
      </w:r>
      <w:r>
        <w:t xml:space="preserve"> </w:t>
      </w:r>
      <w:r>
        <w:rPr>
          <w:b/>
          <w:bCs/>
        </w:rPr>
        <w:t xml:space="preserve">Equilíbrio de Nash</w:t>
      </w:r>
      <w:r>
        <w:t xml:space="preserve"> </w:t>
      </w:r>
      <w:r>
        <w:t xml:space="preserve">se, para todo jogador</w:t>
      </w:r>
      <w:r>
        <w:t xml:space="preserve"> </w:t>
      </w:r>
      <m:oMath>
        <m:r>
          <m:t>i</m:t>
        </m:r>
        <m:r>
          <m:rPr>
            <m:sty m:val="p"/>
          </m:rPr>
          <m:t>∈</m:t>
        </m:r>
        <m:r>
          <m:t>N</m:t>
        </m:r>
      </m:oMath>
      <w:r>
        <w:t xml:space="preserve">:</w:t>
      </w:r>
    </w:p>
    <w:p>
      <w:pPr>
        <w:pStyle w:val="BlockText"/>
      </w:pPr>
      <w:r>
        <w:t xml:space="preserve">$$</w:t>
      </w:r>
    </w:p>
    <w:p>
      <w:pPr>
        <w:pStyle w:val="BlockText"/>
      </w:pPr>
      <w:r>
        <w:t xml:space="preserve">u_i(s_i^</w:t>
      </w:r>
      <w:r>
        <w:rPr>
          <w:i/>
          <w:iCs/>
        </w:rPr>
        <w:t xml:space="preserve">, s_{-i}^</w:t>
      </w:r>
      <w:r>
        <w:t xml:space="preserve">)</w:t>
      </w:r>
      <w:r>
        <w:t xml:space="preserve"> </w:t>
      </w:r>
      <w:r>
        <w:t xml:space="preserve">u_i(s_i, s_{-i}^*)</w:t>
      </w:r>
      <w:r>
        <w:t xml:space="preserve"> </w:t>
      </w:r>
      <w:r>
        <w:t xml:space="preserve">; s_i</w:t>
      </w:r>
      <w:r>
        <w:t xml:space="preserve"> </w:t>
      </w:r>
      <w:r>
        <w:t xml:space="preserve">S_i</w:t>
      </w:r>
      <w:r>
        <w:t xml:space="preserve"> </w:t>
      </w:r>
      <w:r>
        <w:t xml:space="preserve"> </w:t>
      </w:r>
    </w:p>
    <w:p>
      <w:pPr>
        <w:pStyle w:val="BlockText"/>
      </w:pPr>
      <w:r>
        <w:t xml:space="preserve">$$</w:t>
      </w:r>
    </w:p>
    <w:p>
      <w:pPr>
        <w:pStyle w:val="BlockText"/>
      </w:pPr>
      <w:r>
        <w:t xml:space="preserve">Em palavras: nenhum jogador pode melhorar unilateralmente seu payoff desviando de</w:t>
      </w:r>
      <w:r>
        <w:t xml:space="preserve"> </w:t>
      </w:r>
      <m:oMath>
        <m:sSubSup>
          <m:e>
            <m:r>
              <m:t>s</m:t>
            </m:r>
          </m:e>
          <m:sub>
            <m:r>
              <m:t>i</m:t>
            </m:r>
          </m:sub>
          <m:sup>
            <m:r>
              <m:rPr>
                <m:sty m:val="p"/>
              </m:rPr>
              <m:t>*</m:t>
            </m:r>
          </m:sup>
        </m:sSubSup>
      </m:oMath>
      <w:r>
        <w:t xml:space="preserve">, dado que os demais jogadores mantêm suas estratégias de equilíbrio.</w:t>
      </w:r>
    </w:p>
    <w:p>
      <w:pPr>
        <w:pStyle w:val="FirstParagraph"/>
      </w:pPr>
      <w:r>
        <w:t xml:space="preserve">A definição Eq. (eq:9a.1) estabelece um conceito de</w:t>
      </w:r>
      <w:r>
        <w:t xml:space="preserve"> </w:t>
      </w:r>
      <w:r>
        <w:rPr>
          <w:b/>
          <w:bCs/>
        </w:rPr>
        <w:t xml:space="preserve">consistência mútua de expectativas</w:t>
      </w:r>
      <w:r>
        <w:t xml:space="preserve"> </w:t>
      </w:r>
      <w:r>
        <w:t xml:space="preserve">(Gibbons, 1992, Cap. 1): se cada jogador espera que os demais joguem suas estratégias de equilíbrio, então é ótimo para ele também jogar sua estratégia de equilíbrio. Ninguém tem incentivo para desviar unilateralmente.</w:t>
      </w:r>
    </w:p>
    <w:p>
      <w:pPr>
        <w:pStyle w:val="BlockText"/>
      </w:pPr>
      <w:r>
        <w:rPr>
          <w:b/>
          <w:bCs/>
        </w:rPr>
        <w:t xml:space="preserve">[INTUICAO ECONOMICA] Intuição Econômica</w:t>
      </w:r>
    </w:p>
    <w:p>
      <w:pPr>
        <w:pStyle w:val="BlockText"/>
      </w:pPr>
      <w:r>
        <w:rPr>
          <w:b/>
          <w:bCs/>
        </w:rPr>
        <w:t xml:space="preserve">O equilíbrio de Nash como</w:t>
      </w:r>
      <w:r>
        <w:rPr>
          <w:b/>
          <w:bCs/>
        </w:rPr>
        <w:t xml:space="preserve"> </w:t>
      </w:r>
      <w:r>
        <w:rPr>
          <w:b/>
          <w:bCs/>
        </w:rPr>
        <w:t xml:space="preserve">“ausência de arrependimento”</w:t>
      </w:r>
      <w:r>
        <w:rPr>
          <w:b/>
          <w:bCs/>
        </w:rPr>
        <w:t xml:space="preserve"> </w:t>
      </w:r>
      <w:r>
        <w:rPr>
          <w:b/>
          <w:bCs/>
        </w:rPr>
        <w:t xml:space="preserve">(</w:t>
      </w:r>
      <w:r>
        <w:rPr>
          <w:b/>
          <w:bCs/>
          <w:i/>
          <w:iCs/>
        </w:rPr>
        <w:t xml:space="preserve">no-regret</w:t>
      </w:r>
      <w:r>
        <w:rPr>
          <w:b/>
          <w:bCs/>
        </w:rPr>
        <w:t xml:space="preserve">).</w:t>
      </w:r>
    </w:p>
    <w:p>
      <w:pPr>
        <w:pStyle w:val="BlockText"/>
      </w:pPr>
      <w:r>
        <w:t xml:space="preserve">Uma forma intuitiva e memorável de entender o equilíbrio de Nash: um perfil de estratégias</w:t>
      </w:r>
      <w:r>
        <w:t xml:space="preserve"> </w:t>
      </w:r>
      <m:oMath>
        <m:sSup>
          <m:e>
            <m:r>
              <m:t>s</m:t>
            </m:r>
          </m:e>
          <m:sup>
            <m:r>
              <m:rPr>
                <m:sty m:val="p"/>
              </m:rPr>
              <m:t>*</m:t>
            </m:r>
          </m:sup>
        </m:sSup>
      </m:oMath>
      <w:r>
        <w:t xml:space="preserve"> </w:t>
      </w:r>
      <w:r>
        <w:t xml:space="preserve">é um equilíbrio de Nash se e somente se</w:t>
      </w:r>
      <w:r>
        <w:t xml:space="preserve"> </w:t>
      </w:r>
      <w:r>
        <w:rPr>
          <w:b/>
          <w:bCs/>
        </w:rPr>
        <w:t xml:space="preserve">nenhum jogador, ao revelar o que os outros fizeram, deseja ter escolhido diferente</w:t>
      </w:r>
      <w:r>
        <w:t xml:space="preserve">. Depois de ver as ações de todos os demais, cada jogador confirma:</w:t>
      </w:r>
      <w:r>
        <w:t xml:space="preserve"> </w:t>
      </w:r>
      <w:r>
        <w:t xml:space="preserve">“Dada a escolha dos outros, eu não poderia ter feito melhor.”</w:t>
      </w:r>
    </w:p>
    <w:p>
      <w:pPr>
        <w:pStyle w:val="BlockText"/>
      </w:pPr>
      <w:r>
        <w:t xml:space="preserve">Isso distingue o equilíbrio de Nash de um resultado</w:t>
      </w:r>
      <w:r>
        <w:t xml:space="preserve"> </w:t>
      </w:r>
      <w:r>
        <w:rPr>
          <w:i/>
          <w:iCs/>
        </w:rPr>
        <w:t xml:space="preserve">ex ante</w:t>
      </w:r>
      <w:r>
        <w:t xml:space="preserve"> </w:t>
      </w:r>
      <w:r>
        <w:t xml:space="preserve">ótimo (que seria o ótimo de Pareto) e de uma estratégia dominante (que é ótima</w:t>
      </w:r>
      <w:r>
        <w:t xml:space="preserve"> </w:t>
      </w:r>
      <w:r>
        <w:rPr>
          <w:i/>
          <w:iCs/>
        </w:rPr>
        <w:t xml:space="preserve">contra qualquer coisa</w:t>
      </w:r>
      <w:r>
        <w:t xml:space="preserve">). O Nash é o ponto onde expectativas e ações se alinham retroativamente — um estado de</w:t>
      </w:r>
      <w:r>
        <w:t xml:space="preserve"> </w:t>
      </w:r>
      <w:r>
        <w:rPr>
          <w:b/>
          <w:bCs/>
        </w:rPr>
        <w:t xml:space="preserve">consistência epistêmica</w:t>
      </w:r>
      <w:r>
        <w:t xml:space="preserve">.</w:t>
      </w:r>
    </w:p>
    <w:p>
      <w:pPr>
        <w:pStyle w:val="BlockText"/>
      </w:pPr>
      <w:r>
        <w:rPr>
          <w:b/>
          <w:bCs/>
        </w:rPr>
        <w:t xml:space="preserve">Cuidado com a interpretação causal.</w:t>
      </w:r>
      <w:r>
        <w:t xml:space="preserve"> </w:t>
      </w:r>
      <w:r>
        <w:t xml:space="preserve">O equilíbrio de Nash não diz que os jogadores</w:t>
      </w:r>
      <w:r>
        <w:t xml:space="preserve"> </w:t>
      </w:r>
      <w:r>
        <w:rPr>
          <w:i/>
          <w:iCs/>
        </w:rPr>
        <w:t xml:space="preserve">chegam</w:t>
      </w:r>
      <w:r>
        <w:t xml:space="preserve"> </w:t>
      </w:r>
      <w:r>
        <w:t xml:space="preserve">a esse ponto por algum processo de aprendizado. Ele descreve o que acontece</w:t>
      </w:r>
      <w:r>
        <w:t xml:space="preserve"> </w:t>
      </w:r>
      <w:r>
        <w:rPr>
          <w:i/>
          <w:iCs/>
        </w:rPr>
        <w:t xml:space="preserve">se</w:t>
      </w:r>
      <w:r>
        <w:t xml:space="preserve"> </w:t>
      </w:r>
      <w:r>
        <w:t xml:space="preserve">os jogadores têm expectativas corretas sobre as ações dos demais. Como chegam a ter essas expectativas é questão separada — respondida pelos modelos de aprendizado em jogos (fictitious play, best-response dynamics) que vão além do escopo deste módulo.</w:t>
      </w:r>
    </w:p>
    <w:p>
      <w:pPr>
        <w:pStyle w:val="BlockText"/>
      </w:pPr>
      <w:r>
        <w:rPr>
          <w:b/>
          <w:bCs/>
        </w:rPr>
        <w:t xml:space="preserve">[INFORMACAO] 🏅 Prêmio Nobel — John Nash, John Harsanyi e Reinhard Selten (1994)</w:t>
      </w:r>
    </w:p>
    <w:p>
      <w:pPr>
        <w:pStyle w:val="BlockText"/>
      </w:pPr>
      <w:r>
        <w:rPr>
          <w:b/>
          <w:bCs/>
        </w:rPr>
        <w:t xml:space="preserve">John Forbes Nash Jr.</w:t>
      </w:r>
      <w:r>
        <w:t xml:space="preserve"> </w:t>
      </w:r>
      <w:r>
        <w:t xml:space="preserve">(1928–2015) foi um matemático americano, PhD em Princeton, onde formulou o conceito de equilíbrio que leva seu nome.</w:t>
      </w:r>
      <w:r>
        <w:t xml:space="preserve"> </w:t>
      </w:r>
      <w:r>
        <w:rPr>
          <w:b/>
          <w:bCs/>
        </w:rPr>
        <w:t xml:space="preserve">John Charles Harsanyi</w:t>
      </w:r>
      <w:r>
        <w:t xml:space="preserve"> </w:t>
      </w:r>
      <w:r>
        <w:t xml:space="preserve">(1920–2000) foi um economista húngaro-americano, PhD em Stanford, professor em Berkeley.</w:t>
      </w:r>
      <w:r>
        <w:t xml:space="preserve"> </w:t>
      </w:r>
      <w:r>
        <w:rPr>
          <w:b/>
          <w:bCs/>
        </w:rPr>
        <w:t xml:space="preserve">Reinhard Selten</w:t>
      </w:r>
      <w:r>
        <w:t xml:space="preserve"> </w:t>
      </w:r>
      <w:r>
        <w:t xml:space="preserve">(1930–2016) foi um economista alemão, PhD em Frankfurt, professor em Bonn.</w:t>
      </w:r>
    </w:p>
    <w:p>
      <w:pPr>
        <w:pStyle w:val="BlockText"/>
      </w:pPr>
      <w:r>
        <w:rPr>
          <w:b/>
          <w:bCs/>
        </w:rPr>
        <w:t xml:space="preserve">Por que ganharam o Nobel:</w:t>
      </w:r>
      <w:r>
        <w:t xml:space="preserve"> </w:t>
      </w:r>
      <w:r>
        <w:t xml:space="preserve">Premiados por sua análise pioneira de equilíbrios em jogos não cooperativos. Nash demonstrou a existência de pelo menos um equilíbrio em estratégias mistas para todo jogo finito (1950). Harsanyi estendeu a teoria para jogos com informação incompleta, introduzindo o equilíbrio bayesiano (1967–68). Selten refinou o conceito para jogos dinâmicos com o equilíbrio perfeito em subjogos (1965).</w:t>
      </w:r>
    </w:p>
    <w:p>
      <w:pPr>
        <w:pStyle w:val="BlockText"/>
      </w:pPr>
      <w:r>
        <w:rPr>
          <w:b/>
          <w:bCs/>
        </w:rPr>
        <w:t xml:space="preserve">Conexão com este capítulo:</w:t>
      </w:r>
      <w:r>
        <w:t xml:space="preserve"> </w:t>
      </w:r>
      <w:r>
        <w:t xml:space="preserve">O equilíbrio de Nash — perfil de estratégias em que nenhum jogador pode melhorar unilateralmente — é o conceito central deste capítulo. Toda a análise de jogos estáticos com informação completa se organiza em torno da identificação e interpretação desses equilíbrios.</w:t>
      </w:r>
    </w:p>
    <w:p>
      <w:pPr>
        <w:pStyle w:val="BlockText"/>
      </w:pPr>
      <w:r>
        <w:rPr>
          <w:b/>
          <w:bCs/>
        </w:rPr>
        <w:t xml:space="preserve">[INTUICAO ECONOMICA] Intuição Econômica</w:t>
      </w:r>
    </w:p>
    <w:p>
      <w:pPr>
        <w:pStyle w:val="BlockText"/>
      </w:pPr>
      <w:r>
        <w:rPr>
          <w:b/>
          <w:bCs/>
        </w:rPr>
        <w:t xml:space="preserve">Em uma frase:</w:t>
      </w:r>
      <w:r>
        <w:t xml:space="preserve"> </w:t>
      </w:r>
      <w:r>
        <w:t xml:space="preserve">No equilíbrio de Nash, ninguém se arrepende da própria escolha depois de ver o que os outros fizeram.</w:t>
      </w:r>
    </w:p>
    <w:p>
      <w:pPr>
        <w:pStyle w:val="BlockText"/>
      </w:pPr>
      <w:r>
        <w:rPr>
          <w:b/>
          <w:bCs/>
        </w:rPr>
        <w:t xml:space="preserve">Pense assim:</w:t>
      </w:r>
      <w:r>
        <w:t xml:space="preserve"> </w:t>
      </w:r>
      <w:r>
        <w:t xml:space="preserve">Pense no trânsito de São Paulo: se todo mundo usa o Waze e escolhe a rota mais rápida, nenhum motorista individual consegue melhorar seu tempo mudando de caminho — porque todas as alternativas já estão igualmente congestionadas. Isso é um equilíbrio de Nash do trânsito (e uma versão do paradoxo de Braess).</w:t>
      </w:r>
    </w:p>
    <w:p>
      <w:pPr>
        <w:pStyle w:val="BlockText"/>
      </w:pPr>
      <w:r>
        <w:rPr>
          <w:b/>
          <w:bCs/>
        </w:rPr>
        <w:t xml:space="preserve">Por que isso importa:</w:t>
      </w:r>
      <w:r>
        <w:t xml:space="preserve"> </w:t>
      </w:r>
      <w:r>
        <w:t xml:space="preserve">O conceito de equilíbrio de Nash é a pedra angular da regulação de mercados, do desenho de leilões (como os de espectro da</w:t>
      </w:r>
      <w:r>
        <w:t xml:space="preserve"> </w:t>
      </w:r>
      <w:hyperlink r:id="rId473">
        <w:r>
          <w:rPr>
            <w:rStyle w:val="Hyperlink"/>
          </w:rPr>
          <w:t xml:space="preserve">Anatel</w:t>
        </w:r>
      </w:hyperlink>
      <w:r>
        <w:t xml:space="preserve">) e da política antitruste do</w:t>
      </w:r>
      <w:r>
        <w:t xml:space="preserve"> </w:t>
      </w:r>
      <w:hyperlink r:id="rId316">
        <w:r>
          <w:rPr>
            <w:rStyle w:val="Hyperlink"/>
          </w:rPr>
          <w:t xml:space="preserve">CADE</w:t>
        </w:r>
      </w:hyperlink>
      <w:r>
        <w:t xml:space="preserve">. Se quiser prever como firmas se comportarão, procure o Nash.</w:t>
      </w:r>
    </w:p>
    <w:p>
      <w:pPr>
        <w:pStyle w:val="BlockText"/>
      </w:pPr>
      <w:r>
        <w:rPr>
          <w:b/>
          <w:bCs/>
        </w:rPr>
        <w:t xml:space="preserve">O que Nash</w:t>
      </w:r>
      <w:r>
        <w:rPr>
          <w:b/>
          <w:bCs/>
        </w:rPr>
        <w:t xml:space="preserve"> </w:t>
      </w:r>
      <w:r>
        <w:rPr>
          <w:b/>
          <w:bCs/>
          <w:i/>
          <w:iCs/>
        </w:rPr>
        <w:t xml:space="preserve">não</w:t>
      </w:r>
      <w:r>
        <w:rPr>
          <w:b/>
          <w:bCs/>
        </w:rPr>
        <w:t xml:space="preserve"> </w:t>
      </w:r>
      <w:r>
        <w:rPr>
          <w:b/>
          <w:bCs/>
        </w:rPr>
        <w:t xml:space="preserve">garante:</w:t>
      </w:r>
      <w:r>
        <w:t xml:space="preserve"> </w:t>
      </w:r>
      <w:r>
        <w:t xml:space="preserve">O equilíbrio de Nash não implica eficiência (o Dilema dos Prisioneiros mostra isso), nem unicidade (a Batalha dos Sexos tem três equilíbrios), nem que os jogadores o encontrem de fato. É um conceito de consistência, não de otimalidade.</w:t>
      </w:r>
    </w:p>
    <w:p>
      <w:pPr>
        <w:pStyle w:val="FirstParagraph"/>
      </w:pPr>
      <w:r>
        <w:t xml:space="preserve">Para fixar o conceito, vejamos como o equilíbrio de Nash se manifesta em jogos com estruturas distintas. A diferença entre o Dilema dos Prisioneiros (equilíbrio único e ineficiente) e a Batalha dos Sexos (múltiplos equilíbrios e problema de coordenação) ilustra que o conceito de Nash é versátil, mas nem sempre oferece uma previsão única. O procedimento prático para encontrar equilíbrios de Nash em estratégias puras em um jogo finito é direto: para cada perfil de estratégias</w:t>
      </w:r>
      <w:r>
        <w:t xml:space="preserve"> </w:t>
      </w:r>
      <m:oMath>
        <m:r>
          <m:rPr>
            <m:sty m:val="p"/>
          </m:rPr>
          <m:t>(</m:t>
        </m:r>
        <m:sSub>
          <m:e>
            <m:r>
              <m:t>s</m:t>
            </m:r>
          </m:e>
          <m:sub>
            <m:r>
              <m:t>i</m:t>
            </m:r>
          </m:sub>
        </m:sSub>
        <m:r>
          <m:rPr>
            <m:sty m:val="p"/>
          </m:rPr>
          <m:t>,</m:t>
        </m:r>
        <m:sSub>
          <m:e>
            <m:r>
              <m:t>s</m:t>
            </m:r>
          </m:e>
          <m:sub>
            <m:r>
              <m:rPr>
                <m:sty m:val="p"/>
              </m:rPr>
              <m:t>−</m:t>
            </m:r>
            <m:r>
              <m:t>i</m:t>
            </m:r>
          </m:sub>
        </m:sSub>
        <m:r>
          <m:rPr>
            <m:sty m:val="p"/>
          </m:rPr>
          <m:t>)</m:t>
        </m:r>
      </m:oMath>
      <w:r>
        <w:t xml:space="preserve">, verifique se nenhum jogador pode aumentar seu payoff mudando unilateralmente sua estratégia. Em uma matriz 2×2, isso equivale a marcar a melhor resposta de cada jogador para cada estratégia do oponente (sublinhando o maior payoff em cada coluna para J1 e em cada linha para J2) — as células em que ambos os payoffs estão sublinhados são os equilíbrios de Nash.</w:t>
      </w:r>
    </w:p>
    <w:bookmarkStart w:id="474" w:name="exemplos-clássicos"/>
    <w:p>
      <w:pPr>
        <w:pStyle w:val="Heading4"/>
      </w:pPr>
      <w:r>
        <w:t xml:space="preserve">Exemplos clássicos</w:t>
      </w:r>
    </w:p>
    <w:p>
      <w:pPr>
        <w:pStyle w:val="FirstParagraph"/>
      </w:pPr>
      <w:r>
        <w:rPr>
          <w:b/>
          <w:bCs/>
        </w:rPr>
        <w:t xml:space="preserve">Batalha dos Sexos (BoS)</w:t>
      </w:r>
    </w:p>
    <w:p>
      <w:pPr>
        <w:pStyle w:val="BodyText"/>
      </w:pPr>
      <w:r>
        <w:t xml:space="preserve">Dois parceiros querem sair juntos, mas um prefere futebol (F) e o outro prefere cinema (C).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Jogador 2: F</w:t>
            </w:r>
          </w:p>
        </w:tc>
        <w:tc>
          <w:tcPr/>
          <w:p>
            <w:pPr>
              <w:pStyle w:val="Compact"/>
              <w:jc w:val="center"/>
            </w:pPr>
            <w:r>
              <w:t xml:space="preserve">Jogador 2: C</w:t>
            </w:r>
          </w:p>
        </w:tc>
      </w:tr>
      <w:tr>
        <w:tc>
          <w:tcPr/>
          <w:p>
            <w:pPr>
              <w:pStyle w:val="Compact"/>
              <w:jc w:val="left"/>
            </w:pPr>
            <w:r>
              <w:rPr>
                <w:b/>
                <w:bCs/>
              </w:rPr>
              <w:t xml:space="preserve">Jogador 1: F</w:t>
            </w:r>
          </w:p>
        </w:tc>
        <w:tc>
          <w:tcPr/>
          <w:p>
            <w:pPr>
              <w:pStyle w:val="Compact"/>
              <w:jc w:val="center"/>
            </w:pPr>
            <m:oMath>
              <m:r>
                <m:rPr>
                  <m:sty m:val="p"/>
                </m:rPr>
                <m:t>(</m:t>
              </m:r>
              <m:r>
                <m:t>3</m:t>
              </m:r>
              <m:r>
                <m:rPr>
                  <m:sty m:val="p"/>
                </m:rPr>
                <m:t>,</m:t>
              </m:r>
              <m:r>
                <m:t>1</m:t>
              </m:r>
              <m:r>
                <m:rPr>
                  <m:sty m:val="p"/>
                </m:rPr>
                <m:t>)</m:t>
              </m:r>
            </m:oMath>
          </w:p>
        </w:tc>
        <w:tc>
          <w:tcPr/>
          <w:p>
            <w:pPr>
              <w:pStyle w:val="Compact"/>
              <w:jc w:val="center"/>
            </w:pPr>
            <m:oMath>
              <m:r>
                <m:rPr>
                  <m:sty m:val="p"/>
                </m:rPr>
                <m:t>(</m:t>
              </m:r>
              <m:r>
                <m:t>0</m:t>
              </m:r>
              <m:r>
                <m:rPr>
                  <m:sty m:val="p"/>
                </m:rPr>
                <m:t>,</m:t>
              </m:r>
              <m:r>
                <m:t>0</m:t>
              </m:r>
              <m:r>
                <m:rPr>
                  <m:sty m:val="p"/>
                </m:rPr>
                <m:t>)</m:t>
              </m:r>
            </m:oMath>
          </w:p>
        </w:tc>
      </w:tr>
      <w:tr>
        <w:tc>
          <w:tcPr/>
          <w:p>
            <w:pPr>
              <w:pStyle w:val="Compact"/>
              <w:jc w:val="left"/>
            </w:pPr>
            <w:r>
              <w:rPr>
                <w:b/>
                <w:bCs/>
              </w:rPr>
              <w:t xml:space="preserve">Jogador 1: C</w:t>
            </w:r>
          </w:p>
        </w:tc>
        <w:tc>
          <w:tcPr/>
          <w:p>
            <w:pPr>
              <w:pStyle w:val="Compact"/>
              <w:jc w:val="center"/>
            </w:pPr>
            <m:oMath>
              <m:r>
                <m:rPr>
                  <m:sty m:val="p"/>
                </m:rPr>
                <m:t>(</m:t>
              </m:r>
              <m:r>
                <m:t>0</m:t>
              </m:r>
              <m:r>
                <m:rPr>
                  <m:sty m:val="p"/>
                </m:rPr>
                <m:t>,</m:t>
              </m:r>
              <m:r>
                <m:t>0</m:t>
              </m:r>
              <m:r>
                <m:rPr>
                  <m:sty m:val="p"/>
                </m:rPr>
                <m:t>)</m:t>
              </m:r>
            </m:oMath>
          </w:p>
        </w:tc>
        <w:tc>
          <w:tcPr/>
          <w:p>
            <w:pPr>
              <w:pStyle w:val="Compact"/>
              <w:jc w:val="center"/>
            </w:pPr>
            <m:oMath>
              <m:r>
                <m:rPr>
                  <m:sty m:val="p"/>
                </m:rPr>
                <m:t>(</m:t>
              </m:r>
              <m:r>
                <m:t>1</m:t>
              </m:r>
              <m:r>
                <m:rPr>
                  <m:sty m:val="p"/>
                </m:rPr>
                <m:t>,</m:t>
              </m:r>
              <m:r>
                <m:t>3</m:t>
              </m:r>
              <m:r>
                <m:rPr>
                  <m:sty m:val="p"/>
                </m:rPr>
                <m:t>)</m:t>
              </m:r>
            </m:oMath>
          </w:p>
        </w:tc>
      </w:tr>
    </w:tbl>
    <w:p>
      <w:pPr>
        <w:pStyle w:val="BodyText"/>
      </w:pPr>
      <w:r>
        <w:rPr>
          <w:b/>
          <w:bCs/>
        </w:rPr>
        <w:t xml:space="preserve">Tabela 9a.3 — Batalha dos Sexos.</w:t>
      </w:r>
    </w:p>
    <w:p>
      <w:pPr>
        <w:pStyle w:val="BodyText"/>
      </w:pPr>
      <w:r>
        <w:t xml:space="preserve">Existem</w:t>
      </w:r>
      <w:r>
        <w:t xml:space="preserve"> </w:t>
      </w:r>
      <w:r>
        <w:rPr>
          <w:b/>
          <w:bCs/>
        </w:rPr>
        <w:t xml:space="preserve">dois equilíbrios de Nash em estratégias puras</w:t>
      </w:r>
      <w:r>
        <w:t xml:space="preserve">:</w:t>
      </w:r>
      <w:r>
        <w:t xml:space="preserve"> </w:t>
      </w:r>
      <m:oMath>
        <m:r>
          <m:rPr>
            <m:sty m:val="p"/>
          </m:rPr>
          <m:t>(</m:t>
        </m:r>
        <m:r>
          <m:t>F</m:t>
        </m:r>
        <m:r>
          <m:rPr>
            <m:sty m:val="p"/>
          </m:rPr>
          <m:t>,</m:t>
        </m:r>
        <m:r>
          <m:t>F</m:t>
        </m:r>
        <m:r>
          <m:rPr>
            <m:sty m:val="p"/>
          </m:rPr>
          <m:t>)</m:t>
        </m:r>
      </m:oMath>
      <w:r>
        <w:t xml:space="preserve"> </w:t>
      </w:r>
      <w:r>
        <w:t xml:space="preserve">e</w:t>
      </w:r>
      <w:r>
        <w:t xml:space="preserve"> </w:t>
      </w:r>
      <m:oMath>
        <m:r>
          <m:rPr>
            <m:sty m:val="p"/>
          </m:rPr>
          <m:t>(</m:t>
        </m:r>
        <m:r>
          <m:t>C</m:t>
        </m:r>
        <m:r>
          <m:rPr>
            <m:sty m:val="p"/>
          </m:rPr>
          <m:t>,</m:t>
        </m:r>
        <m:r>
          <m:t>C</m:t>
        </m:r>
        <m:r>
          <m:rPr>
            <m:sty m:val="p"/>
          </m:rPr>
          <m:t>)</m:t>
        </m:r>
      </m:oMath>
      <w:r>
        <w:t xml:space="preserve">, e um em estratégias mistas (derivado na Seção 9a.4). O jogo ilustra o problema de</w:t>
      </w:r>
      <w:r>
        <w:t xml:space="preserve"> </w:t>
      </w:r>
      <w:r>
        <w:rPr>
          <w:b/>
          <w:bCs/>
        </w:rPr>
        <w:t xml:space="preserve">coordenação</w:t>
      </w:r>
      <w:r>
        <w:t xml:space="preserve"> </w:t>
      </w:r>
      <w:r>
        <w:t xml:space="preserve">quando existem múltiplos equilíbrios. Diferentemente do Dilema dos Prisioneiros, aqui não há conflito entre racionalidade individual e eficiência coletiva — ambos os equilíbrios em puras são Pareto-eficientes. O problema é outro: como os jogadores se coordenam em um dos equilíbrios sem comunicação prévia? É nesse contexto que os</w:t>
      </w:r>
      <w:r>
        <w:t xml:space="preserve"> </w:t>
      </w:r>
      <w:r>
        <w:t xml:space="preserve">“pontos focais”</w:t>
      </w:r>
      <w:r>
        <w:t xml:space="preserve"> </w:t>
      </w:r>
      <w:r>
        <w:t xml:space="preserve">de Schelling (1960) — soluções que se destacam por saliência cultural, histórica ou contextual — desempenham papel crucial.</w:t>
      </w:r>
    </w:p>
    <w:p>
      <w:pPr>
        <w:pStyle w:val="BodyText"/>
      </w:pPr>
      <w:r>
        <w:rPr>
          <w:b/>
          <w:bCs/>
        </w:rPr>
        <w:t xml:space="preserve">Hawk-Dove (Falcão-Pomba)</w:t>
      </w:r>
    </w:p>
    <w:p>
      <w:pPr>
        <w:pStyle w:val="BodyText"/>
      </w:pPr>
      <w:r>
        <w:t xml:space="preserve">Dois animais (ou firmas) disputam um recurso de valor</w:t>
      </w:r>
      <w:r>
        <w:t xml:space="preserve"> </w:t>
      </w:r>
      <m:oMath>
        <m:r>
          <m:t>V</m:t>
        </m:r>
      </m:oMath>
      <w:r>
        <w:t xml:space="preserve">. Cada um pode ser agressivo (Hawk, H) ou passivo (Dove, D).</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pPr>
          </w:p>
        </w:tc>
        <w:tc>
          <w:tcPr/>
          <w:p>
            <w:pPr>
              <w:pStyle w:val="Compact"/>
              <w:jc w:val="center"/>
            </w:pPr>
            <w:r>
              <w:t xml:space="preserve">Jogador 2: H</w:t>
            </w:r>
          </w:p>
        </w:tc>
        <w:tc>
          <w:tcPr/>
          <w:p>
            <w:pPr>
              <w:pStyle w:val="Compact"/>
              <w:jc w:val="center"/>
            </w:pPr>
            <w:r>
              <w:t xml:space="preserve">Jogador 2: D</w:t>
            </w:r>
          </w:p>
        </w:tc>
      </w:tr>
      <w:tr>
        <w:tc>
          <w:tcPr/>
          <w:p>
            <w:pPr>
              <w:pStyle w:val="Compact"/>
              <w:jc w:val="left"/>
            </w:pPr>
            <w:r>
              <w:rPr>
                <w:b/>
                <w:bCs/>
              </w:rPr>
              <w:t xml:space="preserve">Jogador 1: H</w:t>
            </w:r>
          </w:p>
        </w:tc>
        <w:tc>
          <w:tcPr/>
          <w:p>
            <w:pPr>
              <w:pStyle w:val="Compact"/>
              <w:jc w:val="center"/>
            </w:pPr>
            <m:oMath>
              <m:d>
                <m:dPr>
                  <m:begChr m:val="("/>
                  <m:sepChr m:val=""/>
                  <m:endChr m:val=")"/>
                  <m:grow/>
                </m:dPr>
                <m:e>
                  <m:f>
                    <m:fPr>
                      <m:type m:val="bar"/>
                    </m:fPr>
                    <m:num>
                      <m:r>
                        <m:t>V</m:t>
                      </m:r>
                      <m:r>
                        <m:rPr>
                          <m:sty m:val="p"/>
                        </m:rPr>
                        <m:t>−</m:t>
                      </m:r>
                      <m:r>
                        <m:t>C</m:t>
                      </m:r>
                    </m:num>
                    <m:den>
                      <m:r>
                        <m:t>2</m:t>
                      </m:r>
                    </m:den>
                  </m:f>
                  <m:r>
                    <m:rPr>
                      <m:sty m:val="p"/>
                    </m:rPr>
                    <m:t>,</m:t>
                  </m:r>
                  <m:f>
                    <m:fPr>
                      <m:type m:val="bar"/>
                    </m:fPr>
                    <m:num>
                      <m:r>
                        <m:t>V</m:t>
                      </m:r>
                      <m:r>
                        <m:rPr>
                          <m:sty m:val="p"/>
                        </m:rPr>
                        <m:t>−</m:t>
                      </m:r>
                      <m:r>
                        <m:t>C</m:t>
                      </m:r>
                    </m:num>
                    <m:den>
                      <m:r>
                        <m:t>2</m:t>
                      </m:r>
                    </m:den>
                  </m:f>
                </m:e>
              </m:d>
            </m:oMath>
          </w:p>
        </w:tc>
        <w:tc>
          <w:tcPr/>
          <w:p>
            <w:pPr>
              <w:pStyle w:val="Compact"/>
              <w:jc w:val="center"/>
            </w:pPr>
            <m:oMath>
              <m:r>
                <m:rPr>
                  <m:sty m:val="p"/>
                </m:rPr>
                <m:t>(</m:t>
              </m:r>
              <m:r>
                <m:t>V</m:t>
              </m:r>
              <m:r>
                <m:rPr>
                  <m:sty m:val="p"/>
                </m:rPr>
                <m:t>,</m:t>
              </m:r>
              <m:r>
                <m:t>0</m:t>
              </m:r>
              <m:r>
                <m:rPr>
                  <m:sty m:val="p"/>
                </m:rPr>
                <m:t>)</m:t>
              </m:r>
            </m:oMath>
          </w:p>
        </w:tc>
      </w:tr>
      <w:tr>
        <w:tc>
          <w:tcPr/>
          <w:p>
            <w:pPr>
              <w:pStyle w:val="Compact"/>
              <w:jc w:val="left"/>
            </w:pPr>
            <w:r>
              <w:rPr>
                <w:b/>
                <w:bCs/>
              </w:rPr>
              <w:t xml:space="preserve">Jogador 1: D</w:t>
            </w:r>
          </w:p>
        </w:tc>
        <w:tc>
          <w:tcPr/>
          <w:p>
            <w:pPr>
              <w:pStyle w:val="Compact"/>
              <w:jc w:val="center"/>
            </w:pPr>
            <m:oMath>
              <m:r>
                <m:rPr>
                  <m:sty m:val="p"/>
                </m:rPr>
                <m:t>(</m:t>
              </m:r>
              <m:r>
                <m:t>0</m:t>
              </m:r>
              <m:r>
                <m:rPr>
                  <m:sty m:val="p"/>
                </m:rPr>
                <m:t>,</m:t>
              </m:r>
              <m:r>
                <m:t>V</m:t>
              </m:r>
              <m:r>
                <m:rPr>
                  <m:sty m:val="p"/>
                </m:rPr>
                <m:t>)</m:t>
              </m:r>
            </m:oMath>
          </w:p>
        </w:tc>
        <w:tc>
          <w:tcPr/>
          <w:p>
            <w:pPr>
              <w:pStyle w:val="Compact"/>
              <w:jc w:val="center"/>
            </w:pPr>
            <m:oMath>
              <m:d>
                <m:dPr>
                  <m:begChr m:val="("/>
                  <m:sepChr m:val=""/>
                  <m:endChr m:val=")"/>
                  <m:grow/>
                </m:dPr>
                <m:e>
                  <m:f>
                    <m:fPr>
                      <m:type m:val="bar"/>
                    </m:fPr>
                    <m:num>
                      <m:r>
                        <m:t>V</m:t>
                      </m:r>
                    </m:num>
                    <m:den>
                      <m:r>
                        <m:t>2</m:t>
                      </m:r>
                    </m:den>
                  </m:f>
                  <m:r>
                    <m:rPr>
                      <m:sty m:val="p"/>
                    </m:rPr>
                    <m:t>,</m:t>
                  </m:r>
                  <m:f>
                    <m:fPr>
                      <m:type m:val="bar"/>
                    </m:fPr>
                    <m:num>
                      <m:r>
                        <m:t>V</m:t>
                      </m:r>
                    </m:num>
                    <m:den>
                      <m:r>
                        <m:t>2</m:t>
                      </m:r>
                    </m:den>
                  </m:f>
                </m:e>
              </m:d>
            </m:oMath>
          </w:p>
        </w:tc>
      </w:tr>
    </w:tbl>
    <w:p>
      <w:pPr>
        <w:pStyle w:val="BodyText"/>
      </w:pPr>
      <w:r>
        <w:rPr>
          <w:b/>
          <w:bCs/>
        </w:rPr>
        <w:t xml:space="preserve">Tabela 9a.4 — Hawk-Dove (Falcão-Pomba).</w:t>
      </w:r>
    </w:p>
    <w:p>
      <w:pPr>
        <w:pStyle w:val="BodyText"/>
      </w:pPr>
      <w:r>
        <w:t xml:space="preserve">Quando</w:t>
      </w:r>
      <w:r>
        <w:t xml:space="preserve"> </w:t>
      </w:r>
      <m:oMath>
        <m:r>
          <m:t>C</m:t>
        </m:r>
        <m:r>
          <m:rPr>
            <m:sty m:val="p"/>
          </m:rPr>
          <m:t>&gt;</m:t>
        </m:r>
        <m:r>
          <m:t>V</m:t>
        </m:r>
      </m:oMath>
      <w:r>
        <w:t xml:space="preserve"> </w:t>
      </w:r>
      <w:r>
        <w:t xml:space="preserve">(custo do conflito excede o valor do recurso), existem dois equilíbrios em puras —</w:t>
      </w:r>
      <w:r>
        <w:t xml:space="preserve"> </w:t>
      </w:r>
      <m:oMath>
        <m:r>
          <m:rPr>
            <m:sty m:val="p"/>
          </m:rPr>
          <m:t>(</m:t>
        </m:r>
        <m:r>
          <m:t>H</m:t>
        </m:r>
        <m:r>
          <m:rPr>
            <m:sty m:val="p"/>
          </m:rPr>
          <m:t>,</m:t>
        </m:r>
        <m:r>
          <m:t>D</m:t>
        </m:r>
        <m:r>
          <m:rPr>
            <m:sty m:val="p"/>
          </m:rPr>
          <m:t>)</m:t>
        </m:r>
      </m:oMath>
      <w:r>
        <w:t xml:space="preserve"> </w:t>
      </w:r>
      <w:r>
        <w:t xml:space="preserve">e</w:t>
      </w:r>
      <w:r>
        <w:t xml:space="preserve"> </w:t>
      </w:r>
      <m:oMath>
        <m:r>
          <m:rPr>
            <m:sty m:val="p"/>
          </m:rPr>
          <m:t>(</m:t>
        </m:r>
        <m:r>
          <m:t>D</m:t>
        </m:r>
        <m:r>
          <m:rPr>
            <m:sty m:val="p"/>
          </m:rPr>
          <m:t>,</m:t>
        </m:r>
        <m:r>
          <m:t>H</m:t>
        </m:r>
        <m:r>
          <m:rPr>
            <m:sty m:val="p"/>
          </m:rPr>
          <m:t>)</m:t>
        </m:r>
      </m:oMath>
      <w:r>
        <w:t xml:space="preserve"> </w:t>
      </w:r>
      <w:r>
        <w:t xml:space="preserve">— e um em mistas. Note que, diferentemente da Batalha dos Sexos, o Hawk-Dove é um jogo de</w:t>
      </w:r>
      <w:r>
        <w:t xml:space="preserve"> </w:t>
      </w:r>
      <w:r>
        <w:rPr>
          <w:b/>
          <w:bCs/>
        </w:rPr>
        <w:t xml:space="preserve">anti-coordenação</w:t>
      </w:r>
      <w:r>
        <w:t xml:space="preserve">: os equilíbrios em puras envolvem jogadores fazendo escolhas</w:t>
      </w:r>
      <w:r>
        <w:t xml:space="preserve"> </w:t>
      </w:r>
      <w:r>
        <w:rPr>
          <w:i/>
          <w:iCs/>
        </w:rPr>
        <w:t xml:space="preserve">diferentes</w:t>
      </w:r>
      <w:r>
        <w:t xml:space="preserve"> </w:t>
      </w:r>
      <w:r>
        <w:t xml:space="preserve">(um agressivo, outro passivo). Em mercados, essa estrutura aparece quando firmas segmentam nichos para evitar concorrência destrutiva. A versão biológica desse jogo (Maynard Smith e Price, 1973) está na origem da</w:t>
      </w:r>
      <w:r>
        <w:t xml:space="preserve"> </w:t>
      </w:r>
      <w:r>
        <w:rPr>
          <w:b/>
          <w:bCs/>
        </w:rPr>
        <w:t xml:space="preserve">teoria dos jogos evolutiva</w:t>
      </w:r>
      <w:r>
        <w:t xml:space="preserve">, que estuda como populações de agentes convergem para padrões estáveis de comportamento sem assumir racionalidade individual.</w:t>
      </w:r>
    </w:p>
    <w:bookmarkEnd w:id="474"/>
    <w:bookmarkEnd w:id="475"/>
    <w:bookmarkEnd w:id="476"/>
    <w:bookmarkStart w:id="481" w:name="o-blefe-calculado-estratégias-mistas"/>
    <w:p>
      <w:pPr>
        <w:pStyle w:val="Heading2"/>
      </w:pPr>
      <w:r>
        <w:t xml:space="preserve">O Blefe Calculado: Estratégias Mistas</w:t>
      </w:r>
    </w:p>
    <w:bookmarkStart w:id="480" w:name="a.4-o-blefe-calculado-estratégias-mistas"/>
    <w:p>
      <w:pPr>
        <w:pStyle w:val="Heading3"/>
      </w:pPr>
      <w:r>
        <w:t xml:space="preserve">9a.4 O Blefe Calculado: Estratégias Mistas</w:t>
      </w:r>
    </w:p>
    <w:p>
      <w:pPr>
        <w:pStyle w:val="FirstParagraph"/>
      </w:pPr>
      <w:r>
        <w:t xml:space="preserve">Alguns jogos simplesmente não têm equilíbrio — se os jogadores são obrigados a escolher uma ação fixa. No Matching Pennies, qualquer escolha determinística é explorada pelo adversário. Parece um beco sem saída. A solução de Nash:</w:t>
      </w:r>
      <w:r>
        <w:t xml:space="preserve"> </w:t>
      </w:r>
      <w:r>
        <w:rPr>
          <w:b/>
          <w:bCs/>
        </w:rPr>
        <w:t xml:space="preserve">jogar cara ou coroa</w:t>
      </w:r>
      <w:r>
        <w:t xml:space="preserve"> </w:t>
      </w:r>
      <w:r>
        <w:t xml:space="preserve">— literalmente. Se você randomiza entre suas ações com as probabilidades certas, o adversário não consegue explorar sua estratégia. E Nash provou algo impressionante:</w:t>
      </w:r>
      <w:r>
        <w:t xml:space="preserve"> </w:t>
      </w:r>
      <w:r>
        <w:rPr>
          <w:i/>
          <w:iCs/>
        </w:rPr>
        <w:t xml:space="preserve">todo</w:t>
      </w:r>
      <w:r>
        <w:t xml:space="preserve"> </w:t>
      </w:r>
      <w:r>
        <w:t xml:space="preserve">jogo finito tem equilíbrio, se permitirmos aleatorização. Essa é a ideia de</w:t>
      </w:r>
      <w:r>
        <w:t xml:space="preserve"> </w:t>
      </w:r>
      <w:r>
        <w:rPr>
          <w:b/>
          <w:bCs/>
        </w:rPr>
        <w:t xml:space="preserve">estratégia mista</w:t>
      </w:r>
      <w:r>
        <w:t xml:space="preserve"> </w:t>
      </w:r>
      <w:r>
        <w:t xml:space="preserve">— e ela transforma jogos aparentemente sem solução em jogos com solução garantida.</w:t>
      </w:r>
    </w:p>
    <w:p>
      <w:pPr>
        <w:pStyle w:val="BlockText"/>
      </w:pPr>
      <w:r>
        <w:rPr>
          <w:b/>
          <w:bCs/>
        </w:rPr>
        <w:t xml:space="preserve">[DEFINICAO] Estratégia mista</w:t>
      </w:r>
    </w:p>
    <w:p>
      <w:pPr>
        <w:pStyle w:val="BlockText"/>
      </w:pPr>
      <w:r>
        <w:t xml:space="preserve">Uma</w:t>
      </w:r>
      <w:r>
        <w:t xml:space="preserve"> </w:t>
      </w:r>
      <w:r>
        <w:rPr>
          <w:b/>
          <w:bCs/>
        </w:rPr>
        <w:t xml:space="preserve">estratégia mista</w:t>
      </w:r>
      <w:r>
        <w:t xml:space="preserve"> </w:t>
      </w:r>
      <w:r>
        <w:t xml:space="preserve">para o jogador</w:t>
      </w:r>
      <w:r>
        <w:t xml:space="preserve"> </w:t>
      </w:r>
      <m:oMath>
        <m:r>
          <m:t>i</m:t>
        </m:r>
      </m:oMath>
      <w:r>
        <w:t xml:space="preserve"> </w:t>
      </w:r>
      <w:r>
        <w:t xml:space="preserve">é uma distribuição de probabilidade</w:t>
      </w:r>
      <w:r>
        <w:t xml:space="preserve"> </w:t>
      </w:r>
      <m:oMath>
        <m:sSub>
          <m:e>
            <m:r>
              <m:t>σ</m:t>
            </m:r>
          </m:e>
          <m:sub>
            <m:r>
              <m:t>i</m:t>
            </m:r>
          </m:sub>
        </m:sSub>
        <m:r>
          <m:rPr>
            <m:sty m:val="p"/>
          </m:rPr>
          <m:t>∈</m:t>
        </m:r>
        <m:r>
          <m:rPr>
            <m:sty m:val="p"/>
          </m:rPr>
          <m:t>Δ</m:t>
        </m:r>
        <m:r>
          <m:rPr>
            <m:sty m:val="p"/>
          </m:rPr>
          <m:t>(</m:t>
        </m:r>
        <m:sSub>
          <m:e>
            <m:r>
              <m:t>S</m:t>
            </m:r>
          </m:e>
          <m:sub>
            <m:r>
              <m:t>i</m:t>
            </m:r>
          </m:sub>
        </m:sSub>
        <m:r>
          <m:rPr>
            <m:sty m:val="p"/>
          </m:rPr>
          <m:t>)</m:t>
        </m:r>
      </m:oMath>
      <w:r>
        <w:t xml:space="preserve"> </w:t>
      </w:r>
      <w:r>
        <w:t xml:space="preserve">sobre o conjunto de estratégias puras</w:t>
      </w:r>
      <w:r>
        <w:t xml:space="preserve"> </w:t>
      </w:r>
      <m:oMath>
        <m:sSub>
          <m:e>
            <m:r>
              <m:t>S</m:t>
            </m:r>
          </m:e>
          <m:sub>
            <m:r>
              <m:t>i</m:t>
            </m:r>
          </m:sub>
        </m:sSub>
      </m:oMath>
      <w:r>
        <w:t xml:space="preserve">. Se</w:t>
      </w:r>
      <w:r>
        <w:t xml:space="preserve"> </w:t>
      </w:r>
      <m:oMath>
        <m:sSub>
          <m:e>
            <m:r>
              <m:t>S</m:t>
            </m:r>
          </m:e>
          <m:sub>
            <m:r>
              <m:t>i</m:t>
            </m:r>
          </m:sub>
        </m:sSub>
        <m:r>
          <m:rPr>
            <m:sty m:val="p"/>
          </m:rPr>
          <m:t>=</m:t>
        </m:r>
        <m:r>
          <m:rPr>
            <m:sty m:val="p"/>
          </m:rPr>
          <m:t>{</m:t>
        </m:r>
        <m:sSubSup>
          <m:e>
            <m:r>
              <m:t>s</m:t>
            </m:r>
          </m:e>
          <m:sub>
            <m:r>
              <m:t>i</m:t>
            </m:r>
          </m:sub>
          <m:sup>
            <m:r>
              <m:t>1</m:t>
            </m:r>
          </m:sup>
        </m:sSubSup>
        <m:r>
          <m:rPr>
            <m:sty m:val="p"/>
          </m:rPr>
          <m:t>,</m:t>
        </m:r>
        <m:sSubSup>
          <m:e>
            <m:r>
              <m:t>s</m:t>
            </m:r>
          </m:e>
          <m:sub>
            <m:r>
              <m:t>i</m:t>
            </m:r>
          </m:sub>
          <m:sup>
            <m:r>
              <m:t>2</m:t>
            </m:r>
          </m:sup>
        </m:sSubSup>
        <m:r>
          <m:rPr>
            <m:sty m:val="p"/>
          </m:rPr>
          <m:t>,</m:t>
        </m:r>
        <m:r>
          <m:rPr>
            <m:sty m:val="p"/>
          </m:rPr>
          <m:t>…</m:t>
        </m:r>
        <m:r>
          <m:rPr>
            <m:sty m:val="p"/>
          </m:rPr>
          <m:t>,</m:t>
        </m:r>
        <m:sSubSup>
          <m:e>
            <m:r>
              <m:t>s</m:t>
            </m:r>
          </m:e>
          <m:sub>
            <m:r>
              <m:t>i</m:t>
            </m:r>
          </m:sub>
          <m:sup>
            <m:sSub>
              <m:e>
                <m:r>
                  <m:t>m</m:t>
                </m:r>
              </m:e>
              <m:sub>
                <m:r>
                  <m:t>i</m:t>
                </m:r>
              </m:sub>
            </m:sSub>
          </m:sup>
        </m:sSubSup>
        <m:r>
          <m:rPr>
            <m:sty m:val="p"/>
          </m:rPr>
          <m:t>}</m:t>
        </m:r>
      </m:oMath>
      <w:r>
        <w:t xml:space="preserve">, então:</w:t>
      </w:r>
    </w:p>
    <w:p>
      <w:pPr>
        <w:pStyle w:val="BlockText"/>
      </w:pPr>
      <w:r>
        <w:t xml:space="preserve">$$</w:t>
      </w:r>
    </w:p>
    <w:p>
      <w:pPr>
        <w:pStyle w:val="BlockText"/>
      </w:pPr>
      <w:r>
        <w:rPr>
          <w:i/>
          <w:iCs/>
        </w:rPr>
        <w:t xml:space="preserve">i = (p_i^1, p_i^2,</w:t>
      </w:r>
      <w:r>
        <w:rPr>
          <w:i/>
          <w:iCs/>
        </w:rPr>
        <w:t xml:space="preserve"> </w:t>
      </w:r>
      <w:r>
        <w:rPr>
          <w:i/>
          <w:iCs/>
        </w:rPr>
        <w:t xml:space="preserve">, p_i^{m_i}),</w:t>
      </w:r>
      <w:r>
        <w:rPr>
          <w:i/>
          <w:iCs/>
        </w:rPr>
        <w:t xml:space="preserve"> </w:t>
      </w:r>
      <w:r>
        <w:rPr>
          <w:i/>
          <w:iCs/>
        </w:rPr>
        <w:t xml:space="preserve">p_i^k</w:t>
      </w:r>
      <w:r>
        <w:rPr>
          <w:i/>
          <w:iCs/>
        </w:rPr>
        <w:t xml:space="preserve"> </w:t>
      </w:r>
      <w:r>
        <w:rPr>
          <w:i/>
          <w:iCs/>
        </w:rPr>
        <w:t xml:space="preserve">,</w:t>
      </w:r>
      <w:r>
        <w:rPr>
          <w:i/>
          <w:iCs/>
        </w:rPr>
        <w:t xml:space="preserve"> </w:t>
      </w:r>
      <w:r>
        <w:t xml:space="preserve">{k=1}^{m_i} p_i^k = 1</w:t>
      </w:r>
    </w:p>
    <w:p>
      <w:pPr>
        <w:pStyle w:val="BlockText"/>
      </w:pPr>
      <w:r>
        <w:t xml:space="preserve">$$</w:t>
      </w:r>
    </w:p>
    <w:p>
      <w:pPr>
        <w:pStyle w:val="BlockText"/>
      </w:pPr>
      <w:r>
        <w:t xml:space="preserve">O payoff esperado do jogador</w:t>
      </w:r>
      <w:r>
        <w:t xml:space="preserve"> </w:t>
      </w:r>
      <m:oMath>
        <m:r>
          <m:t>i</m:t>
        </m:r>
      </m:oMath>
      <w:r>
        <w:t xml:space="preserve"> </w:t>
      </w:r>
      <w:r>
        <w:t xml:space="preserve">sob o perfil de estratégias mistas</w:t>
      </w:r>
      <w:r>
        <w:t xml:space="preserve"> </w:t>
      </w:r>
      <m:oMath>
        <m:r>
          <m:t>σ</m:t>
        </m:r>
        <m:r>
          <m:rPr>
            <m:sty m:val="p"/>
          </m:rPr>
          <m:t>=</m:t>
        </m:r>
        <m:r>
          <m:rPr>
            <m:sty m:val="p"/>
          </m:rPr>
          <m:t>(</m:t>
        </m:r>
        <m:sSub>
          <m:e>
            <m:r>
              <m:t>σ</m:t>
            </m:r>
          </m:e>
          <m:sub>
            <m:r>
              <m:t>1</m:t>
            </m:r>
          </m:sub>
        </m:sSub>
        <m:r>
          <m:rPr>
            <m:sty m:val="p"/>
          </m:rPr>
          <m:t>,</m:t>
        </m:r>
        <m:r>
          <m:rPr>
            <m:sty m:val="p"/>
          </m:rPr>
          <m:t>…</m:t>
        </m:r>
        <m:r>
          <m:rPr>
            <m:sty m:val="p"/>
          </m:rPr>
          <m:t>,</m:t>
        </m:r>
        <m:sSub>
          <m:e>
            <m:r>
              <m:t>σ</m:t>
            </m:r>
          </m:e>
          <m:sub>
            <m:r>
              <m:t>n</m:t>
            </m:r>
          </m:sub>
        </m:sSub>
        <m:r>
          <m:rPr>
            <m:sty m:val="p"/>
          </m:rPr>
          <m:t>)</m:t>
        </m:r>
      </m:oMath>
      <w:r>
        <w:t xml:space="preserve"> </w:t>
      </w:r>
      <w:r>
        <w:t xml:space="preserve">é:</w:t>
      </w:r>
    </w:p>
    <w:p>
      <w:pPr>
        <w:pStyle w:val="BlockText"/>
      </w:pPr>
      <w:r>
        <w:t xml:space="preserve">$$</w:t>
      </w:r>
    </w:p>
    <w:p>
      <w:pPr>
        <w:pStyle w:val="BlockText"/>
      </w:pPr>
      <w:r>
        <w:t xml:space="preserve">U_i(</w:t>
      </w:r>
      <w:r>
        <w:t xml:space="preserve">) =</w:t>
      </w:r>
      <w:r>
        <w:t xml:space="preserve"> </w:t>
      </w:r>
      <w:r>
        <w:rPr>
          <w:i/>
          <w:iCs/>
        </w:rPr>
        <w:t xml:space="preserve">{s</w:t>
      </w:r>
      <w:r>
        <w:rPr>
          <w:i/>
          <w:iCs/>
        </w:rPr>
        <w:t xml:space="preserve"> </w:t>
      </w:r>
      <w:r>
        <w:rPr>
          <w:i/>
          <w:iCs/>
        </w:rPr>
        <w:t xml:space="preserve">S}</w:t>
      </w:r>
      <w:r>
        <w:rPr>
          <w:i/>
          <w:iCs/>
        </w:rPr>
        <w:t xml:space="preserve"> </w:t>
      </w:r>
      <w:r>
        <w:rPr>
          <w:i/>
          <w:iCs/>
        </w:rPr>
        <w:t xml:space="preserve">(</w:t>
      </w:r>
      <w:r>
        <w:t xml:space="preserve">{j=1}^{n}</w:t>
      </w:r>
      <w:r>
        <w:t xml:space="preserve"> </w:t>
      </w:r>
      <w:r>
        <w:t xml:space="preserve">_j(s_j)</w:t>
      </w:r>
      <w:r>
        <w:t xml:space="preserve">) u_i(s)</w:t>
      </w:r>
      <w:r>
        <w:t xml:space="preserve"> </w:t>
      </w:r>
      <w:r>
        <w:t xml:space="preserve"> </w:t>
      </w:r>
    </w:p>
    <w:p>
      <w:pPr>
        <w:pStyle w:val="BlockText"/>
      </w:pPr>
      <w:r>
        <w:t xml:space="preserve">$$</w:t>
      </w:r>
    </w:p>
    <w:bookmarkStart w:id="477" w:name="princípio-da-indiferença"/>
    <w:p>
      <w:pPr>
        <w:pStyle w:val="Heading4"/>
      </w:pPr>
      <w:r>
        <w:t xml:space="preserve">Princípio da indiferença</w:t>
      </w:r>
    </w:p>
    <w:p>
      <w:pPr>
        <w:pStyle w:val="FirstParagraph"/>
      </w:pPr>
      <w:r>
        <w:t xml:space="preserve">Como encontrar as probabilidades de equilíbrio? A chave é um resultado que, à primeira vista, parece contra-intuitivo: em equilíbrio misto, cada jogador escolhe suas probabilidades não para maximizar seu</w:t>
      </w:r>
      <w:r>
        <w:t xml:space="preserve"> </w:t>
      </w:r>
      <w:r>
        <w:rPr>
          <w:i/>
          <w:iCs/>
        </w:rPr>
        <w:t xml:space="preserve">próprio</w:t>
      </w:r>
      <w:r>
        <w:t xml:space="preserve"> </w:t>
      </w:r>
      <w:r>
        <w:t xml:space="preserve">payoff, mas de forma a tornar o</w:t>
      </w:r>
      <w:r>
        <w:t xml:space="preserve"> </w:t>
      </w:r>
      <w:r>
        <w:rPr>
          <w:i/>
          <w:iCs/>
        </w:rPr>
        <w:t xml:space="preserve">oponente</w:t>
      </w:r>
      <w:r>
        <w:t xml:space="preserve"> </w:t>
      </w:r>
      <w:r>
        <w:t xml:space="preserve">indiferente entre suas opções. Afinal, se o oponente não fosse indiferente, ele escolheria uma ação com certeza — e não randomizaria.</w:t>
      </w:r>
    </w:p>
    <w:p>
      <w:pPr>
        <w:pStyle w:val="BodyText"/>
      </w:pPr>
      <w:r>
        <w:t xml:space="preserve">Em um equilíbrio em estratégias mistas, cada jogador randomiza de tal forma que os outros jogadores ficam</w:t>
      </w:r>
      <w:r>
        <w:t xml:space="preserve"> </w:t>
      </w:r>
      <w:r>
        <w:rPr>
          <w:b/>
          <w:bCs/>
        </w:rPr>
        <w:t xml:space="preserve">indiferentes</w:t>
      </w:r>
      <w:r>
        <w:t xml:space="preserve"> </w:t>
      </w:r>
      <w:r>
        <w:t xml:space="preserve">entre as estratégias puras que recebem probabilidade positiva. Formalmente, se</w:t>
      </w:r>
      <w:r>
        <w:t xml:space="preserve"> </w:t>
      </w:r>
      <m:oMath>
        <m:sSubSup>
          <m:e>
            <m:r>
              <m:t>σ</m:t>
            </m:r>
          </m:e>
          <m:sub>
            <m:r>
              <m:t>i</m:t>
            </m:r>
          </m:sub>
          <m:sup>
            <m:r>
              <m:rPr>
                <m:sty m:val="p"/>
              </m:rPr>
              <m:t>*</m:t>
            </m:r>
          </m:sup>
        </m:sSubSup>
      </m:oMath>
      <w:r>
        <w:t xml:space="preserve"> </w:t>
      </w:r>
      <w:r>
        <w:t xml:space="preserve">atribui probabilidade positiva a</w:t>
      </w:r>
      <w:r>
        <w:t xml:space="preserve"> </w:t>
      </w:r>
      <m:oMath>
        <m:sSubSup>
          <m:e>
            <m:r>
              <m:t>s</m:t>
            </m:r>
          </m:e>
          <m:sub>
            <m:r>
              <m:t>i</m:t>
            </m:r>
          </m:sub>
          <m:sup>
            <m:r>
              <m:t>k</m:t>
            </m:r>
          </m:sup>
        </m:sSubSup>
      </m:oMath>
      <w:r>
        <w:t xml:space="preserve">, então:</w:t>
      </w:r>
    </w:p>
    <w:p>
      <w:pPr>
        <w:pStyle w:val="BodyText"/>
      </w:pPr>
      <m:oMathPara>
        <m:oMathParaPr>
          <m:jc m:val="center"/>
        </m:oMathParaPr>
        <m:oMath>
          <m:sSub>
            <m:e>
              <m:r>
                <m:t>U</m:t>
              </m:r>
            </m:e>
            <m:sub>
              <m:r>
                <m:t>i</m:t>
              </m:r>
            </m:sub>
          </m:sSub>
          <m:r>
            <m:rPr>
              <m:sty m:val="p"/>
            </m:rPr>
            <m:t>(</m:t>
          </m:r>
          <m:sSubSup>
            <m:e>
              <m:r>
                <m:t>s</m:t>
              </m:r>
            </m:e>
            <m:sub>
              <m:r>
                <m:t>i</m:t>
              </m:r>
            </m:sub>
            <m:sup>
              <m:r>
                <m:t>k</m:t>
              </m:r>
            </m:sup>
          </m:sSubSup>
          <m:r>
            <m:rPr>
              <m:sty m:val="p"/>
            </m:rPr>
            <m:t>,</m:t>
          </m:r>
          <m:sSubSup>
            <m:e>
              <m:r>
                <m:t>σ</m:t>
              </m:r>
            </m:e>
            <m:sub>
              <m:r>
                <m:rPr>
                  <m:sty m:val="p"/>
                </m:rPr>
                <m:t>−</m:t>
              </m:r>
              <m:r>
                <m:t>i</m:t>
              </m:r>
            </m:sub>
            <m:sup>
              <m:r>
                <m:rPr>
                  <m:sty m:val="p"/>
                </m:rPr>
                <m:t>*</m:t>
              </m:r>
            </m:sup>
          </m:sSubSup>
          <m:r>
            <m:rPr>
              <m:sty m:val="p"/>
            </m:rPr>
            <m:t>)</m:t>
          </m:r>
          <m:r>
            <m:rPr>
              <m:sty m:val="p"/>
            </m:rPr>
            <m:t>=</m:t>
          </m:r>
          <m:sSub>
            <m:e>
              <m:r>
                <m:t>U</m:t>
              </m:r>
            </m:e>
            <m:sub>
              <m:r>
                <m:t>i</m:t>
              </m:r>
            </m:sub>
          </m:sSub>
          <m:r>
            <m:rPr>
              <m:sty m:val="p"/>
            </m:rPr>
            <m:t>(</m:t>
          </m:r>
          <m:sSubSup>
            <m:e>
              <m:r>
                <m:t>s</m:t>
              </m:r>
            </m:e>
            <m:sub>
              <m:r>
                <m:t>i</m:t>
              </m:r>
            </m:sub>
            <m:sup>
              <m:r>
                <m:t>l</m:t>
              </m:r>
            </m:sup>
          </m:sSubSup>
          <m:r>
            <m:rPr>
              <m:sty m:val="p"/>
            </m:rPr>
            <m:t>,</m:t>
          </m:r>
          <m:sSubSup>
            <m:e>
              <m:r>
                <m:t>σ</m:t>
              </m:r>
            </m:e>
            <m:sub>
              <m:r>
                <m:rPr>
                  <m:sty m:val="p"/>
                </m:rPr>
                <m:t>−</m:t>
              </m:r>
              <m:r>
                <m:t>i</m:t>
              </m:r>
            </m:sub>
            <m:sup>
              <m:r>
                <m:rPr>
                  <m:sty m:val="p"/>
                </m:rPr>
                <m:t>*</m:t>
              </m:r>
            </m:sup>
          </m:sSubSup>
          <m:r>
            <m:rPr>
              <m:sty m:val="p"/>
            </m:rPr>
            <m:t>)</m:t>
          </m:r>
          <m:r>
            <m:t> </m:t>
          </m:r>
          <m:r>
            <m:rPr>
              <m:nor/>
              <m:sty m:val="p"/>
            </m:rPr>
            <m:t>para todo </m:t>
          </m:r>
          <m:sSubSup>
            <m:e>
              <m:r>
                <m:t>s</m:t>
              </m:r>
            </m:e>
            <m:sub>
              <m:r>
                <m:t>i</m:t>
              </m:r>
            </m:sub>
            <m:sup>
              <m:r>
                <m:t>l</m:t>
              </m:r>
            </m:sup>
          </m:sSubSup>
          <m:r>
            <m:rPr>
              <m:nor/>
              <m:sty m:val="p"/>
            </m:rPr>
            <m:t> com </m:t>
          </m:r>
          <m:sSubSup>
            <m:e>
              <m:r>
                <m:t>σ</m:t>
              </m:r>
            </m:e>
            <m:sub>
              <m:r>
                <m:t>i</m:t>
              </m:r>
            </m:sub>
            <m:sup>
              <m:r>
                <m:rPr>
                  <m:sty m:val="p"/>
                </m:rPr>
                <m:t>*</m:t>
              </m:r>
            </m:sup>
          </m:sSubSup>
          <m:r>
            <m:rPr>
              <m:sty m:val="p"/>
            </m:rPr>
            <m:t>(</m:t>
          </m:r>
          <m:sSubSup>
            <m:e>
              <m:r>
                <m:t>s</m:t>
              </m:r>
            </m:e>
            <m:sub>
              <m:r>
                <m:t>i</m:t>
              </m:r>
            </m:sub>
            <m:sup>
              <m:r>
                <m:t>l</m:t>
              </m:r>
            </m:sup>
          </m:sSubSup>
          <m:r>
            <m:rPr>
              <m:sty m:val="p"/>
            </m:rPr>
            <m:t>)</m:t>
          </m:r>
          <m:r>
            <m:rPr>
              <m:sty m:val="p"/>
            </m:rPr>
            <m:t>&gt;</m:t>
          </m:r>
          <m:r>
            <m:t>0</m:t>
          </m:r>
        </m:oMath>
      </m:oMathPara>
    </w:p>
    <w:p>
      <w:pPr>
        <w:pStyle w:val="BlockText"/>
      </w:pPr>
      <w:r>
        <w:rPr>
          <w:b/>
          <w:bCs/>
        </w:rPr>
        <w:t xml:space="preserve">[INTUICAO ECONOMICA] Intuição Econômica</w:t>
      </w:r>
    </w:p>
    <w:p>
      <w:pPr>
        <w:pStyle w:val="BlockText"/>
      </w:pPr>
      <w:r>
        <w:rPr>
          <w:b/>
          <w:bCs/>
        </w:rPr>
        <w:t xml:space="preserve">Em uma frase:</w:t>
      </w:r>
      <w:r>
        <w:t xml:space="preserve"> </w:t>
      </w:r>
      <w:r>
        <w:t xml:space="preserve">Jogar de forma imprevisível pode ser a melhor estratégia quando qualquer padrão fixo seria explorado pelo adversário.</w:t>
      </w:r>
    </w:p>
    <w:p>
      <w:pPr>
        <w:pStyle w:val="BlockText"/>
      </w:pPr>
      <w:r>
        <w:rPr>
          <w:b/>
          <w:bCs/>
        </w:rPr>
        <w:t xml:space="preserve">Pense assim:</w:t>
      </w:r>
      <w:r>
        <w:t xml:space="preserve"> </w:t>
      </w:r>
      <w:r>
        <w:t xml:space="preserve">Um cobrador de pênaltis que sempre chuta no mesmo canto será facilmente defendido. Por isso, os melhores batedores variam entre esquerda, direita e centro de forma quase aleatória — e a proporção ideal é exatamente aquela que deixa o goleiro indiferente entre os lados. Chiappori, Levitt e Groseclose (2002) confirmaram isso empiricamente com dados de cobranças de pênaltis na Série A italiana e na liga francesa.</w:t>
      </w:r>
    </w:p>
    <w:p>
      <w:pPr>
        <w:pStyle w:val="BlockText"/>
      </w:pPr>
      <w:r>
        <w:rPr>
          <w:b/>
          <w:bCs/>
        </w:rPr>
        <w:t xml:space="preserve">Por que isso importa:</w:t>
      </w:r>
      <w:r>
        <w:t xml:space="preserve"> </w:t>
      </w:r>
      <w:r>
        <w:t xml:space="preserve">Estratégias mistas aparecem em fiscalizações da Receita Federal (auditar aleatoriamente para que ninguém saiba se será fiscalizado), em blitz de trânsito — a imprevisibilidade é o que gera o efeito dissuasório — e em licitações onde o lance ótimo envolve randomização.</w:t>
      </w:r>
    </w:p>
    <w:p>
      <w:pPr>
        <w:pStyle w:val="BlockText"/>
      </w:pPr>
      <w:r>
        <w:rPr>
          <w:b/>
          <w:bCs/>
        </w:rPr>
        <w:t xml:space="preserve">[EXEMPLO] Cálculo de equilíbrio misto: Batalha dos Sexos</w:t>
      </w:r>
    </w:p>
    <w:p>
      <w:pPr>
        <w:pStyle w:val="BlockText"/>
      </w:pPr>
      <w:r>
        <w:t xml:space="preserve">Na Batalha dos Sexos, suponha que o jogador 1 joga F com probabilidade</w:t>
      </w:r>
      <w:r>
        <w:t xml:space="preserve"> </w:t>
      </w:r>
      <m:oMath>
        <m:r>
          <m:t>p</m:t>
        </m:r>
      </m:oMath>
      <w:r>
        <w:t xml:space="preserve"> </w:t>
      </w:r>
      <w:r>
        <w:t xml:space="preserve">e C com probabilidade</w:t>
      </w:r>
      <w:r>
        <w:t xml:space="preserve"> </w:t>
      </w:r>
      <m:oMath>
        <m:r>
          <m:t>1</m:t>
        </m:r>
        <m:r>
          <m:rPr>
            <m:sty m:val="p"/>
          </m:rPr>
          <m:t>−</m:t>
        </m:r>
        <m:r>
          <m:t>p</m:t>
        </m:r>
      </m:oMath>
      <w:r>
        <w:t xml:space="preserve">, enquanto o jogador 2 joga F com probabilidade</w:t>
      </w:r>
      <w:r>
        <w:t xml:space="preserve"> </w:t>
      </w:r>
      <m:oMath>
        <m:r>
          <m:t>q</m:t>
        </m:r>
      </m:oMath>
      <w:r>
        <w:t xml:space="preserve"> </w:t>
      </w:r>
      <w:r>
        <w:t xml:space="preserve">e C com probabilidade</w:t>
      </w:r>
      <w:r>
        <w:t xml:space="preserve"> </w:t>
      </w:r>
      <m:oMath>
        <m:r>
          <m:t>1</m:t>
        </m:r>
        <m:r>
          <m:rPr>
            <m:sty m:val="p"/>
          </m:rPr>
          <m:t>−</m:t>
        </m:r>
        <m:r>
          <m:t>q</m:t>
        </m:r>
      </m:oMath>
      <w:r>
        <w:t xml:space="preserve">.</w:t>
      </w:r>
    </w:p>
    <w:p>
      <w:pPr>
        <w:pStyle w:val="BlockText"/>
      </w:pPr>
      <w:r>
        <w:t xml:space="preserve">Para o jogador 2 ser indiferente:</w:t>
      </w:r>
    </w:p>
    <w:p>
      <w:pPr>
        <w:pStyle w:val="BlockText"/>
      </w:pPr>
      <w:r>
        <w:t xml:space="preserve">$$</w:t>
      </w:r>
    </w:p>
    <w:p>
      <w:pPr>
        <w:pStyle w:val="BlockText"/>
      </w:pPr>
      <w:r>
        <w:t xml:space="preserve">U_2(F; p) = U_2(C; p)</w:t>
      </w:r>
      <w:r>
        <w:t xml:space="preserve"> </w:t>
      </w:r>
      <w:r>
        <w:t xml:space="preserve">p</w:t>
      </w:r>
      <w:r>
        <w:t xml:space="preserve"> </w:t>
      </w:r>
      <w:r>
        <w:t xml:space="preserve"> </w:t>
      </w:r>
      <w:r>
        <w:t xml:space="preserve">+ (1-p)</w:t>
      </w:r>
      <w:r>
        <w:t xml:space="preserve"> </w:t>
      </w:r>
      <w:r>
        <w:t xml:space="preserve"> </w:t>
      </w:r>
      <w:r>
        <w:t xml:space="preserve">= p</w:t>
      </w:r>
      <w:r>
        <w:t xml:space="preserve"> </w:t>
      </w:r>
      <w:r>
        <w:t xml:space="preserve"> </w:t>
      </w:r>
      <w:r>
        <w:t xml:space="preserve">+ (1-p)</w:t>
      </w:r>
      <w:r>
        <w:t xml:space="preserve"> </w:t>
      </w:r>
    </w:p>
    <w:p>
      <w:pPr>
        <w:pStyle w:val="BlockText"/>
      </w:pPr>
      <w:r>
        <w:t xml:space="preserve">$$</w:t>
      </w:r>
    </w:p>
    <w:p>
      <w:pPr>
        <w:pStyle w:val="BlockText"/>
      </w:pPr>
      <w:r>
        <w:t xml:space="preserve">$$</w:t>
      </w:r>
    </w:p>
    <w:p>
      <w:pPr>
        <w:pStyle w:val="BlockText"/>
      </w:pPr>
      <w:r>
        <w:t xml:space="preserve">p = 3(1-p)</w:t>
      </w:r>
      <w:r>
        <w:t xml:space="preserve"> </w:t>
      </w:r>
      <w:r>
        <w:t xml:space="preserve">p = 3 - 3p</w:t>
      </w:r>
      <w:r>
        <w:t xml:space="preserve"> </w:t>
      </w:r>
      <w:r>
        <w:t xml:space="preserve">4p = 3</w:t>
      </w:r>
      <w:r>
        <w:t xml:space="preserve"> </w:t>
      </w:r>
      <w:r>
        <w:t xml:space="preserve">p =</w:t>
      </w:r>
      <w:r>
        <w:t xml:space="preserve"> </w:t>
      </w:r>
    </w:p>
    <w:p>
      <w:pPr>
        <w:pStyle w:val="BlockText"/>
      </w:pPr>
      <w:r>
        <w:t xml:space="preserve">$$</w:t>
      </w:r>
    </w:p>
    <w:p>
      <w:pPr>
        <w:pStyle w:val="BlockText"/>
      </w:pPr>
      <w:r>
        <w:t xml:space="preserve">Para o jogador 1 ser indiferente:</w:t>
      </w:r>
    </w:p>
    <w:p>
      <w:pPr>
        <w:pStyle w:val="BlockText"/>
      </w:pPr>
      <w:r>
        <w:t xml:space="preserve">$$</w:t>
      </w:r>
    </w:p>
    <w:p>
      <w:pPr>
        <w:pStyle w:val="BlockText"/>
      </w:pPr>
      <w:r>
        <w:t xml:space="preserve">U_1(F; q) = U_1(C; q)</w:t>
      </w:r>
      <w:r>
        <w:t xml:space="preserve"> </w:t>
      </w:r>
      <w:r>
        <w:t xml:space="preserve">3q = (1-q)</w:t>
      </w:r>
      <w:r>
        <w:t xml:space="preserve"> </w:t>
      </w:r>
      <w:r>
        <w:t xml:space="preserve">q =</w:t>
      </w:r>
      <w:r>
        <w:t xml:space="preserve"> </w:t>
      </w:r>
    </w:p>
    <w:p>
      <w:pPr>
        <w:pStyle w:val="BlockText"/>
      </w:pPr>
      <w:r>
        <w:t xml:space="preserve">$$</w:t>
      </w:r>
    </w:p>
    <w:p>
      <w:pPr>
        <w:pStyle w:val="BlockText"/>
      </w:pPr>
      <w:r>
        <w:t xml:space="preserve">Logo, o equilíbrio em estratégias mistas é</w:t>
      </w:r>
      <w:r>
        <w:t xml:space="preserve"> </w:t>
      </w:r>
      <m:oMath>
        <m:sSub>
          <m:e>
            <m:r>
              <m:t>σ</m:t>
            </m:r>
          </m:e>
          <m:sub>
            <m:r>
              <m:t>1</m:t>
            </m:r>
          </m:sub>
        </m:sSub>
        <m:r>
          <m:rPr>
            <m:sty m:val="p"/>
          </m:rPr>
          <m:t>=</m:t>
        </m:r>
        <m:r>
          <m:rPr>
            <m:sty m:val="p"/>
          </m:rPr>
          <m:t>(</m:t>
        </m:r>
        <m:r>
          <m:t>3</m:t>
        </m:r>
        <m:r>
          <m:rPr>
            <m:sty m:val="p"/>
          </m:rPr>
          <m:t>/</m:t>
        </m:r>
        <m:r>
          <m:t>4</m:t>
        </m:r>
        <m:r>
          <m:rPr>
            <m:sty m:val="p"/>
          </m:rPr>
          <m:t>,</m:t>
        </m:r>
        <m:r>
          <m:t>1</m:t>
        </m:r>
        <m:r>
          <m:rPr>
            <m:sty m:val="p"/>
          </m:rPr>
          <m:t>/</m:t>
        </m:r>
        <m:r>
          <m:t>4</m:t>
        </m:r>
        <m:r>
          <m:rPr>
            <m:sty m:val="p"/>
          </m:rPr>
          <m:t>)</m:t>
        </m:r>
      </m:oMath>
      <w:r>
        <w:t xml:space="preserve">,</w:t>
      </w:r>
      <w:r>
        <w:t xml:space="preserve"> </w:t>
      </w:r>
      <m:oMath>
        <m:sSub>
          <m:e>
            <m:r>
              <m:t>σ</m:t>
            </m:r>
          </m:e>
          <m:sub>
            <m:r>
              <m:t>2</m:t>
            </m:r>
          </m:sub>
        </m:sSub>
        <m:r>
          <m:rPr>
            <m:sty m:val="p"/>
          </m:rPr>
          <m:t>=</m:t>
        </m:r>
        <m:r>
          <m:rPr>
            <m:sty m:val="p"/>
          </m:rPr>
          <m:t>(</m:t>
        </m:r>
        <m:r>
          <m:t>1</m:t>
        </m:r>
        <m:r>
          <m:rPr>
            <m:sty m:val="p"/>
          </m:rPr>
          <m:t>/</m:t>
        </m:r>
        <m:r>
          <m:t>4</m:t>
        </m:r>
        <m:r>
          <m:rPr>
            <m:sty m:val="p"/>
          </m:rPr>
          <m:t>,</m:t>
        </m:r>
        <m:r>
          <m:t>3</m:t>
        </m:r>
        <m:r>
          <m:rPr>
            <m:sty m:val="p"/>
          </m:rPr>
          <m:t>/</m:t>
        </m:r>
        <m:r>
          <m:t>4</m:t>
        </m:r>
        <m:r>
          <m:rPr>
            <m:sty m:val="p"/>
          </m:rPr>
          <m:t>)</m:t>
        </m:r>
      </m:oMath>
      <w:r>
        <w:t xml:space="preserve">. O payoff esperado de cada jogador é</w:t>
      </w:r>
      <w:r>
        <w:t xml:space="preserve"> </w:t>
      </w:r>
      <m:oMath>
        <m:r>
          <m:t>3</m:t>
        </m:r>
        <m:r>
          <m:rPr>
            <m:sty m:val="p"/>
          </m:rPr>
          <m:t>/</m:t>
        </m:r>
        <m:r>
          <m:t>4</m:t>
        </m:r>
      </m:oMath>
      <w:r>
        <w:t xml:space="preserve">, inferior ao payoff em qualquer dos dois equilíbrios puros — a incerteza sobre a coordenação é custosa.</w:t>
      </w:r>
    </w:p>
    <w:p>
      <w:pPr>
        <w:pStyle w:val="FirstParagraph"/>
      </w:pPr>
      <w:r>
        <w:t xml:space="preserve">[FIGURA INTERATIVA: /micro-book/graficos/cap09/estrategias-mistas.html — versao interativa disponivel online]</w:t>
      </w:r>
    </w:p>
    <w:p>
      <w:pPr>
        <w:pStyle w:val="BodyText"/>
      </w:pPr>
      <w:r>
        <w:rPr>
          <w:b/>
          <w:bCs/>
        </w:rPr>
        <w:t xml:space="preserve">Figura 9a.2 — Equilíbrio em estratégias mistas.</w:t>
      </w:r>
      <w:r>
        <w:t xml:space="preserve"> </w:t>
      </w:r>
      <w:r>
        <w:t xml:space="preserve">Para um jogo 2×2, os gráficos mostram o payoff esperado de cada jogador em função da probabilidade de mistura do oponente. O ponto de interseção determina a probabilidade de equilíbrio (princípio da indiferença). Edite os payoffs e selecione jogos predefinidos.</w:t>
      </w:r>
    </w:p>
    <w:bookmarkEnd w:id="477"/>
    <w:bookmarkStart w:id="479" w:name="existência-de-equilíbrio-teorema-de-nash"/>
    <w:p>
      <w:pPr>
        <w:pStyle w:val="Heading4"/>
      </w:pPr>
      <w:r>
        <w:t xml:space="preserve">Existência de Equilíbrio (Teorema de Nash)</w:t>
      </w:r>
    </w:p>
    <w:p>
      <w:pPr>
        <w:pStyle w:val="FirstParagraph"/>
      </w:pPr>
      <w:r>
        <w:t xml:space="preserve">O exemplo da Batalha dos Sexos ilustra como calcular o equilíbrio misto em um jogo específico. Mas será que</w:t>
      </w:r>
      <w:r>
        <w:t xml:space="preserve"> </w:t>
      </w:r>
      <w:r>
        <w:rPr>
          <w:i/>
          <w:iCs/>
        </w:rPr>
        <w:t xml:space="preserve">todo</w:t>
      </w:r>
      <w:r>
        <w:t xml:space="preserve"> </w:t>
      </w:r>
      <w:r>
        <w:t xml:space="preserve">jogo finito possui ao menos um equilíbrio? A resposta afirmativa — o Teorema de Nash — é um dos resultados mais importantes da matemática aplicada do século XX. Sua demonstração utiliza o Teorema do Ponto Fixo de Kakutani e, embora a apresentação formal possa parecer abstrata, a intuição geométrica é elegante: as correspondências de melhor resposta dos jogadores devem necessariamente se</w:t>
      </w:r>
      <w:r>
        <w:t xml:space="preserve"> </w:t>
      </w:r>
      <w:r>
        <w:t xml:space="preserve">“cruzar”</w:t>
      </w:r>
      <w:r>
        <w:t xml:space="preserve"> </w:t>
      </w:r>
      <w:r>
        <w:t xml:space="preserve">em algum ponto.</w:t>
      </w:r>
    </w:p>
    <w:p>
      <w:pPr>
        <w:pStyle w:val="BlockText"/>
      </w:pPr>
      <w:r>
        <w:rPr>
          <w:b/>
          <w:bCs/>
        </w:rPr>
        <w:t xml:space="preserve">[TEOREMA] Teorema de Nash (1950)</w:t>
      </w:r>
    </w:p>
    <w:p>
      <w:pPr>
        <w:pStyle w:val="BlockText"/>
      </w:pPr>
      <w:r>
        <w:t xml:space="preserve">Todo jogo finito (número finito de jogadores e de estratégias puras para cada jogador) possui pelo menos um</w:t>
      </w:r>
      <w:r>
        <w:t xml:space="preserve"> </w:t>
      </w:r>
      <w:r>
        <w:rPr>
          <w:b/>
          <w:bCs/>
        </w:rPr>
        <w:t xml:space="preserve">equilíbrio de Nash em estratégias mistas</w:t>
      </w:r>
      <w:r>
        <w:t xml:space="preserve">.</w:t>
      </w:r>
      <w:r>
        <w:rPr>
          <w:rStyle w:val="FootnoteReference"/>
        </w:rPr>
        <w:footnoteReference w:id="478"/>
      </w:r>
    </w:p>
    <w:p>
      <w:pPr>
        <w:pStyle w:val="BlockText"/>
      </w:pPr>
      <w:r>
        <w:rPr>
          <w:b/>
          <w:bCs/>
        </w:rPr>
        <w:t xml:space="preserve">[DEMONSTRACAO] Demonstração: Existência de equilíbrio de Nash (caso 2×2)</w:t>
      </w:r>
    </w:p>
    <w:p>
      <w:pPr>
        <w:pStyle w:val="BlockText"/>
      </w:pPr>
      <w:r>
        <w:rPr>
          <w:b/>
          <w:bCs/>
        </w:rPr>
        <w:t xml:space="preserve">Objetivo</w:t>
      </w:r>
      <w:r>
        <w:t xml:space="preserve">: Demonstrar a existência de equilíbrio de Nash em estratégias mistas para um jogo com dois jogadores, cada um com duas estratégias puras.</w:t>
      </w:r>
    </w:p>
    <w:p>
      <w:pPr>
        <w:pStyle w:val="BlockText"/>
      </w:pPr>
      <w:r>
        <w:t xml:space="preserve">Considere um jogo</w:t>
      </w:r>
      <w:r>
        <w:t xml:space="preserve"> </w:t>
      </w:r>
      <m:oMath>
        <m:r>
          <m:t>2</m:t>
        </m:r>
        <m:r>
          <m:rPr>
            <m:sty m:val="p"/>
          </m:rPr>
          <m:t>×</m:t>
        </m:r>
        <m:r>
          <m:t>2</m:t>
        </m:r>
      </m:oMath>
      <w:r>
        <w:t xml:space="preserve"> </w:t>
      </w:r>
      <w:r>
        <w:t xml:space="preserve">com jogadores 1 e 2, cada um com estratégias</w:t>
      </w:r>
      <w:r>
        <w:t xml:space="preserve"> </w:t>
      </w:r>
      <m:oMath>
        <m:r>
          <m:rPr>
            <m:sty m:val="p"/>
          </m:rPr>
          <m:t>{</m:t>
        </m:r>
        <m:r>
          <m:t>A</m:t>
        </m:r>
        <m:r>
          <m:rPr>
            <m:sty m:val="p"/>
          </m:rPr>
          <m:t>,</m:t>
        </m:r>
        <m:r>
          <m:t>B</m:t>
        </m:r>
        <m:r>
          <m:rPr>
            <m:sty m:val="p"/>
          </m:rPr>
          <m:t>}</m:t>
        </m:r>
      </m:oMath>
      <w:r>
        <w:t xml:space="preserve">. O jogador 1 escolhe</w:t>
      </w:r>
      <w:r>
        <w:t xml:space="preserve"> </w:t>
      </w:r>
      <m:oMath>
        <m:r>
          <m:t>A</m:t>
        </m:r>
      </m:oMath>
      <w:r>
        <w:t xml:space="preserve"> </w:t>
      </w:r>
      <w:r>
        <w:t xml:space="preserve">com probabilidade</w:t>
      </w:r>
      <w:r>
        <w:t xml:space="preserve"> </w:t>
      </w:r>
      <m:oMath>
        <m:r>
          <m:t>p</m:t>
        </m:r>
        <m:r>
          <m:rPr>
            <m:sty m:val="p"/>
          </m:rPr>
          <m:t>∈</m:t>
        </m:r>
        <m:r>
          <m:rPr>
            <m:sty m:val="p"/>
          </m:rPr>
          <m:t>[</m:t>
        </m:r>
        <m:r>
          <m:t>0</m:t>
        </m:r>
        <m:r>
          <m:rPr>
            <m:sty m:val="p"/>
          </m:rPr>
          <m:t>,</m:t>
        </m:r>
        <m:r>
          <m:t>1</m:t>
        </m:r>
        <m:r>
          <m:rPr>
            <m:sty m:val="p"/>
          </m:rPr>
          <m:t>]</m:t>
        </m:r>
      </m:oMath>
      <w:r>
        <w:t xml:space="preserve"> </w:t>
      </w:r>
      <w:r>
        <w:t xml:space="preserve">e o jogador 2 escolhe</w:t>
      </w:r>
      <w:r>
        <w:t xml:space="preserve"> </w:t>
      </w:r>
      <m:oMath>
        <m:r>
          <m:t>A</m:t>
        </m:r>
      </m:oMath>
      <w:r>
        <w:t xml:space="preserve"> </w:t>
      </w:r>
      <w:r>
        <w:t xml:space="preserve">com probabilidade</w:t>
      </w:r>
      <w:r>
        <w:t xml:space="preserve"> </w:t>
      </w:r>
      <m:oMath>
        <m:r>
          <m:t>q</m:t>
        </m:r>
        <m:r>
          <m:rPr>
            <m:sty m:val="p"/>
          </m:rPr>
          <m:t>∈</m:t>
        </m:r>
        <m:r>
          <m:rPr>
            <m:sty m:val="p"/>
          </m:rPr>
          <m:t>[</m:t>
        </m:r>
        <m:r>
          <m:t>0</m:t>
        </m:r>
        <m:r>
          <m:rPr>
            <m:sty m:val="p"/>
          </m:rPr>
          <m:t>,</m:t>
        </m:r>
        <m:r>
          <m:t>1</m:t>
        </m:r>
        <m:r>
          <m:rPr>
            <m:sty m:val="p"/>
          </m:rPr>
          <m:t>]</m:t>
        </m:r>
      </m:oMath>
      <w:r>
        <w:t xml:space="preserve">.</w:t>
      </w:r>
    </w:p>
    <w:p>
      <w:pPr>
        <w:pStyle w:val="BlockText"/>
      </w:pPr>
      <w:r>
        <w:rPr>
          <w:b/>
          <w:bCs/>
        </w:rPr>
        <w:t xml:space="preserve">Passo 1 — Funções de melhor resposta.</w:t>
      </w:r>
    </w:p>
    <w:p>
      <w:pPr>
        <w:pStyle w:val="BlockText"/>
      </w:pPr>
      <w:r>
        <w:t xml:space="preserve">O payoff esperado do jogador 1 é linear em</w:t>
      </w:r>
      <w:r>
        <w:t xml:space="preserve"> </w:t>
      </w:r>
      <m:oMath>
        <m:r>
          <m:t>p</m:t>
        </m:r>
      </m:oMath>
      <w:r>
        <w:t xml:space="preserve"> </w:t>
      </w:r>
      <w:r>
        <w:t xml:space="preserve">(para</w:t>
      </w:r>
      <w:r>
        <w:t xml:space="preserve"> </w:t>
      </w:r>
      <m:oMath>
        <m:r>
          <m:t>q</m:t>
        </m:r>
      </m:oMath>
      <w:r>
        <w:t xml:space="preserve"> </w:t>
      </w:r>
      <w:r>
        <w:t xml:space="preserve">fixo):</w:t>
      </w:r>
    </w:p>
    <w:p>
      <w:pPr>
        <w:pStyle w:val="BlockText"/>
      </w:pPr>
      <w:r>
        <w:t xml:space="preserve">$$</w:t>
      </w:r>
    </w:p>
    <w:p>
      <w:pPr>
        <w:pStyle w:val="BlockText"/>
      </w:pPr>
      <w:r>
        <w:t xml:space="preserve">U_1(p, q) = p</w:t>
      </w:r>
      <w:r>
        <w:t xml:space="preserve"> </w:t>
      </w:r>
      <w:r>
        <w:t xml:space="preserve">_{</w:t>
      </w:r>
      <w:r>
        <w:rPr>
          <w:i/>
          <w:iCs/>
        </w:rPr>
        <w:t xml:space="preserve">1(q)} + (1-p)</w:t>
      </w:r>
      <w:r>
        <w:rPr>
          <w:i/>
          <w:iCs/>
        </w:rPr>
        <w:t xml:space="preserve"> </w:t>
      </w:r>
      <w:r>
        <w:t xml:space="preserve">{</w:t>
      </w:r>
      <w:r>
        <w:t xml:space="preserve">_1(q)}</w:t>
      </w:r>
    </w:p>
    <w:p>
      <w:pPr>
        <w:pStyle w:val="BlockText"/>
      </w:pPr>
      <w:r>
        <w:t xml:space="preserve">$$</w:t>
      </w:r>
    </w:p>
    <w:p>
      <w:pPr>
        <w:pStyle w:val="BlockText"/>
      </w:pPr>
      <w:r>
        <w:t xml:space="preserve">A melhor resposta do jogador 1 é:</w:t>
      </w:r>
    </w:p>
    <w:p>
      <w:pPr>
        <w:pStyle w:val="BlockText"/>
      </w:pPr>
      <w:r>
        <w:t xml:space="preserve">$$</w:t>
      </w:r>
    </w:p>
    <w:p>
      <w:pPr>
        <w:pStyle w:val="BlockText"/>
      </w:pPr>
      <w:r>
        <w:t xml:space="preserve">BR_1(q) =</w:t>
      </w:r>
    </w:p>
    <w:p>
      <w:pPr>
        <w:pStyle w:val="BlockText"/>
      </w:pPr>
      <w:r>
        <w:t xml:space="preserve">$$</w:t>
      </w:r>
    </w:p>
    <w:p>
      <w:pPr>
        <w:pStyle w:val="BlockText"/>
      </w:pPr>
      <w:r>
        <w:rPr>
          <w:b/>
          <w:bCs/>
        </w:rPr>
        <w:t xml:space="preserve">Passo 2 — Propriedades das correspondências de melhor resposta.</w:t>
      </w:r>
    </w:p>
    <w:p>
      <w:pPr>
        <w:pStyle w:val="BlockText"/>
      </w:pPr>
      <w:r>
        <w:t xml:space="preserve">Para cada jogador</w:t>
      </w:r>
      <w:r>
        <w:t xml:space="preserve"> </w:t>
      </w:r>
      <m:oMath>
        <m:r>
          <m:t>i</m:t>
        </m:r>
      </m:oMath>
      <w:r>
        <w:t xml:space="preserve">,</w:t>
      </w:r>
      <w:r>
        <w:t xml:space="preserve"> </w:t>
      </w:r>
      <m:oMath>
        <m:r>
          <m:t>B</m:t>
        </m:r>
        <m:sSub>
          <m:e>
            <m:r>
              <m:t>R</m:t>
            </m:r>
          </m:e>
          <m:sub>
            <m:r>
              <m:t>i</m:t>
            </m:r>
          </m:sub>
        </m:sSub>
        <m:r>
          <m:rPr>
            <m:sty m:val="p"/>
          </m:rPr>
          <m:t>:</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 </w:t>
      </w:r>
      <w:r>
        <w:t xml:space="preserve">satisfaz: (i) valores não vazios; (ii) valores convexos (intervalos fechados); (iii) gráfico fechado (semicontinuidade superior).</w:t>
      </w:r>
    </w:p>
    <w:p>
      <w:pPr>
        <w:pStyle w:val="BlockText"/>
      </w:pPr>
      <w:r>
        <w:rPr>
          <w:b/>
          <w:bCs/>
        </w:rPr>
        <w:t xml:space="preserve">Passo 3 — Teorema do Ponto Fixo de Kakutani.</w:t>
      </w:r>
    </w:p>
    <w:p>
      <w:pPr>
        <w:pStyle w:val="BlockText"/>
      </w:pPr>
      <w:r>
        <w:t xml:space="preserve">A correspondência conjunta</w:t>
      </w:r>
      <w:r>
        <w:t xml:space="preserve"> </w:t>
      </w:r>
      <m:oMath>
        <m:r>
          <m:t>B</m:t>
        </m:r>
        <m:r>
          <m:t>R</m:t>
        </m:r>
        <m:r>
          <m:rPr>
            <m:sty m:val="p"/>
          </m:rPr>
          <m:t>(</m:t>
        </m:r>
        <m:r>
          <m:t>p</m:t>
        </m:r>
        <m:r>
          <m:rPr>
            <m:sty m:val="p"/>
          </m:rPr>
          <m:t>,</m:t>
        </m:r>
        <m:r>
          <m:t>q</m:t>
        </m:r>
        <m:r>
          <m:rPr>
            <m:sty m:val="p"/>
          </m:rPr>
          <m:t>)</m:t>
        </m:r>
        <m:r>
          <m:rPr>
            <m:sty m:val="p"/>
          </m:rPr>
          <m:t>=</m:t>
        </m:r>
        <m:r>
          <m:t>B</m:t>
        </m:r>
        <m:sSub>
          <m:e>
            <m:r>
              <m:t>R</m:t>
            </m:r>
          </m:e>
          <m:sub>
            <m:r>
              <m:t>1</m:t>
            </m:r>
          </m:sub>
        </m:sSub>
        <m:r>
          <m:rPr>
            <m:sty m:val="p"/>
          </m:rPr>
          <m:t>(</m:t>
        </m:r>
        <m:r>
          <m:t>q</m:t>
        </m:r>
        <m:r>
          <m:rPr>
            <m:sty m:val="p"/>
          </m:rPr>
          <m:t>)</m:t>
        </m:r>
        <m:r>
          <m:rPr>
            <m:sty m:val="p"/>
          </m:rPr>
          <m:t>×</m:t>
        </m:r>
        <m:r>
          <m:t>B</m:t>
        </m:r>
        <m:sSub>
          <m:e>
            <m:r>
              <m:t>R</m:t>
            </m:r>
          </m:e>
          <m:sub>
            <m:r>
              <m:t>2</m:t>
            </m:r>
          </m:sub>
        </m:sSub>
        <m:r>
          <m:rPr>
            <m:sty m:val="p"/>
          </m:rPr>
          <m:t>(</m:t>
        </m:r>
        <m:r>
          <m:t>p</m:t>
        </m:r>
        <m:r>
          <m:rPr>
            <m:sty m:val="p"/>
          </m:rPr>
          <m:t>)</m:t>
        </m:r>
      </m:oMath>
      <w:r>
        <w:t xml:space="preserve"> </w:t>
      </w:r>
      <w:r>
        <w:t xml:space="preserve">mapeia o compacto convexo</w:t>
      </w:r>
      <w:r>
        <w:t xml:space="preserve"> </w:t>
      </w:r>
      <m:oMath>
        <m:r>
          <m:rPr>
            <m:sty m:val="p"/>
          </m:rPr>
          <m:t>[</m:t>
        </m:r>
        <m:r>
          <m:t>0</m:t>
        </m:r>
        <m:r>
          <m:rPr>
            <m:sty m:val="p"/>
          </m:rPr>
          <m:t>,</m:t>
        </m:r>
        <m:r>
          <m:t>1</m:t>
        </m:r>
        <m:sSup>
          <m:e>
            <m:r>
              <m:rPr>
                <m:sty m:val="p"/>
              </m:rPr>
              <m:t>]</m:t>
            </m:r>
          </m:e>
          <m:sup>
            <m:r>
              <m:t>2</m:t>
            </m:r>
          </m:sup>
        </m:sSup>
      </m:oMath>
      <w:r>
        <w:t xml:space="preserve"> </w:t>
      </w:r>
      <w:r>
        <w:t xml:space="preserve">em si mesmo com valores não vazios, convexos e gráfico fechado. Pelo Teorema de Kakutani, existe</w:t>
      </w:r>
      <w:r>
        <w:t xml:space="preserve"> </w:t>
      </w:r>
      <m:oMath>
        <m:r>
          <m:rPr>
            <m:sty m:val="p"/>
          </m:rPr>
          <m:t>(</m:t>
        </m:r>
        <m:sSup>
          <m:e>
            <m:r>
              <m:t>p</m:t>
            </m:r>
          </m:e>
          <m:sup>
            <m:r>
              <m:rPr>
                <m:sty m:val="p"/>
              </m:rPr>
              <m:t>*</m:t>
            </m:r>
          </m:sup>
        </m:sSup>
        <m:r>
          <m:rPr>
            <m:sty m:val="p"/>
          </m:rPr>
          <m:t>,</m:t>
        </m:r>
        <m:sSup>
          <m:e>
            <m:r>
              <m:t>q</m:t>
            </m:r>
          </m:e>
          <m:sup>
            <m:r>
              <m:rPr>
                <m:sty m:val="p"/>
              </m:rPr>
              <m:t>*</m:t>
            </m:r>
          </m:sup>
        </m:sSup>
        <m:r>
          <m:rPr>
            <m:sty m:val="p"/>
          </m:rPr>
          <m:t>)</m:t>
        </m:r>
      </m:oMath>
      <w:r>
        <w:t xml:space="preserve"> </w:t>
      </w:r>
      <w:r>
        <w:t xml:space="preserve">tal que</w:t>
      </w:r>
      <w:r>
        <w:t xml:space="preserve"> </w:t>
      </w:r>
      <m:oMath>
        <m:sSup>
          <m:e>
            <m:r>
              <m:t>p</m:t>
            </m:r>
          </m:e>
          <m:sup>
            <m:r>
              <m:rPr>
                <m:sty m:val="p"/>
              </m:rPr>
              <m:t>*</m:t>
            </m:r>
          </m:sup>
        </m:sSup>
        <m:r>
          <m:rPr>
            <m:sty m:val="p"/>
          </m:rPr>
          <m:t>∈</m:t>
        </m:r>
        <m:r>
          <m:t>B</m:t>
        </m:r>
        <m:sSub>
          <m:e>
            <m:r>
              <m:t>R</m:t>
            </m:r>
          </m:e>
          <m:sub>
            <m:r>
              <m:t>1</m:t>
            </m:r>
          </m:sub>
        </m:sSub>
        <m:r>
          <m:rPr>
            <m:sty m:val="p"/>
          </m:rPr>
          <m:t>(</m:t>
        </m:r>
        <m:sSup>
          <m:e>
            <m:r>
              <m:t>q</m:t>
            </m:r>
          </m:e>
          <m:sup>
            <m:r>
              <m:rPr>
                <m:sty m:val="p"/>
              </m:rPr>
              <m:t>*</m:t>
            </m:r>
          </m:sup>
        </m:sSup>
        <m:r>
          <m:rPr>
            <m:sty m:val="p"/>
          </m:rPr>
          <m:t>)</m:t>
        </m:r>
      </m:oMath>
      <w:r>
        <w:t xml:space="preserve"> </w:t>
      </w:r>
      <w:r>
        <w:t xml:space="preserve">e</w:t>
      </w:r>
      <w:r>
        <w:t xml:space="preserve"> </w:t>
      </w:r>
      <m:oMath>
        <m:sSup>
          <m:e>
            <m:r>
              <m:t>q</m:t>
            </m:r>
          </m:e>
          <m:sup>
            <m:r>
              <m:rPr>
                <m:sty m:val="p"/>
              </m:rPr>
              <m:t>*</m:t>
            </m:r>
          </m:sup>
        </m:sSup>
        <m:r>
          <m:rPr>
            <m:sty m:val="p"/>
          </m:rPr>
          <m:t>∈</m:t>
        </m:r>
        <m:r>
          <m:t>B</m:t>
        </m:r>
        <m:sSub>
          <m:e>
            <m:r>
              <m:t>R</m:t>
            </m:r>
          </m:e>
          <m:sub>
            <m:r>
              <m:t>2</m:t>
            </m:r>
          </m:sub>
        </m:sSub>
        <m:r>
          <m:rPr>
            <m:sty m:val="p"/>
          </m:rPr>
          <m:t>(</m:t>
        </m:r>
        <m:sSup>
          <m:e>
            <m:r>
              <m:t>p</m:t>
            </m:r>
          </m:e>
          <m:sup>
            <m:r>
              <m:rPr>
                <m:sty m:val="p"/>
              </m:rPr>
              <m:t>*</m:t>
            </m:r>
          </m:sup>
        </m:sSup>
        <m:r>
          <m:rPr>
            <m:sty m:val="p"/>
          </m:rPr>
          <m:t>)</m:t>
        </m:r>
      </m:oMath>
      <w:r>
        <w:t xml:space="preserve"> </w:t>
      </w:r>
      <w:r>
        <w:t xml:space="preserve">— um equilíbrio de Nash.</w:t>
      </w:r>
      <w:r>
        <w:t xml:space="preserve"> </w:t>
      </w:r>
      <m:oMath>
        <m:r>
          <m:rPr>
            <m:sty m:val="p"/>
          </m:rPr>
          <m:t>◼</m:t>
        </m:r>
      </m:oMath>
    </w:p>
    <w:p>
      <w:pPr>
        <w:pStyle w:val="BlockText"/>
      </w:pPr>
      <w:r>
        <w:rPr>
          <w:b/>
          <w:bCs/>
        </w:rPr>
        <w:t xml:space="preserve">[NOTA] Caso geral</w:t>
      </w:r>
    </w:p>
    <w:p>
      <w:pPr>
        <w:pStyle w:val="BlockText"/>
      </w:pPr>
      <w:r>
        <w:t xml:space="preserve">A demonstração para</w:t>
      </w:r>
      <w:r>
        <w:t xml:space="preserve"> </w:t>
      </w:r>
      <m:oMath>
        <m:r>
          <m:t>n</m:t>
        </m:r>
      </m:oMath>
      <w:r>
        <w:t xml:space="preserve"> </w:t>
      </w:r>
      <w:r>
        <w:t xml:space="preserve">jogadores e</w:t>
      </w:r>
      <w:r>
        <w:t xml:space="preserve"> </w:t>
      </w:r>
      <m:oMath>
        <m:r>
          <m:t>m</m:t>
        </m:r>
      </m:oMath>
      <w:r>
        <w:t xml:space="preserve"> </w:t>
      </w:r>
      <w:r>
        <w:t xml:space="preserve">estratégias segue a mesma lógica, aplicando Kakutani no simplexo</w:t>
      </w:r>
      <w:r>
        <w:t xml:space="preserve"> </w:t>
      </w:r>
      <m:oMath>
        <m:r>
          <m:rPr>
            <m:sty m:val="p"/>
          </m:rPr>
          <m:t>Δ</m:t>
        </m:r>
        <m:r>
          <m:rPr>
            <m:sty m:val="p"/>
          </m:rPr>
          <m:t>(</m:t>
        </m:r>
        <m:sSub>
          <m:e>
            <m:r>
              <m:t>S</m:t>
            </m:r>
          </m:e>
          <m:sub>
            <m:r>
              <m:t>1</m:t>
            </m:r>
          </m:sub>
        </m:sSub>
        <m:r>
          <m:rPr>
            <m:sty m:val="p"/>
          </m:rPr>
          <m:t>)</m:t>
        </m:r>
        <m:r>
          <m:rPr>
            <m:sty m:val="p"/>
          </m:rPr>
          <m:t>×</m:t>
        </m:r>
        <m:r>
          <m:rPr>
            <m:sty m:val="p"/>
          </m:rPr>
          <m:t>⋯</m:t>
        </m:r>
        <m:r>
          <m:rPr>
            <m:sty m:val="p"/>
          </m:rPr>
          <m:t>×</m:t>
        </m:r>
        <m:r>
          <m:rPr>
            <m:sty m:val="p"/>
          </m:rPr>
          <m:t>Δ</m:t>
        </m:r>
        <m:r>
          <m:rPr>
            <m:sty m:val="p"/>
          </m:rPr>
          <m:t>(</m:t>
        </m:r>
        <m:sSub>
          <m:e>
            <m:r>
              <m:t>S</m:t>
            </m:r>
          </m:e>
          <m:sub>
            <m:r>
              <m:t>n</m:t>
            </m:r>
          </m:sub>
        </m:sSub>
        <m:r>
          <m:rPr>
            <m:sty m:val="p"/>
          </m:rPr>
          <m:t>)</m:t>
        </m:r>
      </m:oMath>
      <w:r>
        <w:t xml:space="preserve">.</w:t>
      </w:r>
    </w:p>
    <w:p>
      <w:pPr>
        <w:pStyle w:val="BlockText"/>
      </w:pPr>
      <w:r>
        <w:rPr>
          <w:b/>
          <w:bCs/>
        </w:rPr>
        <w:t xml:space="preserve">[BOX MUNDO] Box Mundo 9a.2 — Pênaltis, saques e o equilíbrio misto no esporte profissional</w:t>
      </w:r>
    </w:p>
    <w:p>
      <w:pPr>
        <w:pStyle w:val="BlockText"/>
      </w:pPr>
      <w:r>
        <w:rPr>
          <w:b/>
          <w:bCs/>
        </w:rPr>
        <w:t xml:space="preserve">Contexto:</w:t>
      </w:r>
      <w:r>
        <w:t xml:space="preserve"> </w:t>
      </w:r>
      <w:r>
        <w:t xml:space="preserve">Cobranças de pênaltis no futebol e saques no tênis são laboratórios naturais para o equilíbrio em estratégias mistas. Em ambos os casos, dois jogadores fazem escolhas essencialmente simultâneas (o cobrador escolhe o lado e o goleiro mergulha; o sacador escolhe a direção e o receptor se posiciona), o jogo é de soma zero e qualquer padrão previsível seria explorado pelo adversário. A teoria prevê que, em equilíbrio, cada jogador randomiza de modo a tornar o oponente indiferente entre suas opções — e que as taxas de sucesso devem ser iguais entre as direções escolhidas.</w:t>
      </w:r>
    </w:p>
    <w:p>
      <w:pPr>
        <w:pStyle w:val="BlockText"/>
      </w:pPr>
      <w:r>
        <w:rPr>
          <w:b/>
          <w:bCs/>
        </w:rPr>
        <w:t xml:space="preserve">Dados:</w:t>
      </w:r>
      <w:r>
        <w:t xml:space="preserve"> </w:t>
      </w:r>
      <w:r>
        <w:t xml:space="preserve">Palacios-Huerta (2003), em estudo seminal publicado na</w:t>
      </w:r>
      <w:r>
        <w:t xml:space="preserve"> </w:t>
      </w:r>
      <w:r>
        <w:rPr>
          <w:i/>
          <w:iCs/>
        </w:rPr>
        <w:t xml:space="preserve">Review of Economic Studies</w:t>
      </w:r>
      <w:r>
        <w:t xml:space="preserve">, analisou 1.417 cobranças de pênaltis em ligas profissionais europeias (1995–2000). Os resultados são notavelmente consistentes com o equilíbrio em estratégias mistas: (i) as taxas de sucesso dos cobradores não diferiam significativamente entre chutar à esquerda e à direita do goleiro (~63% em ambos os lados); (ii) não havia correlação serial nas escolhas — cada cobrança era estatisticamente independente das anteriores; (iii) jogadores individuais variavam suas escolhas com frequências próximas às previstas pelo equilíbrio. Walker e Wooders (2001), analisando 10 temporadas de partidas de tênis de Grand Slam, encontraram padrão análogo nos saques: os melhores sacadores distribuíam seus saques entre forehand e backhand do receptor em proporções que igualavam a probabilidade de ganhar o ponto em ambas as direções. Chiappori, Levitt e Groseclose (2002), usando dados da Série A italiana e da liga francesa, confirmaram independentemente os resultados de Palacios-Huerta.</w:t>
      </w:r>
    </w:p>
    <w:p>
      <w:pPr>
        <w:pStyle w:val="BlockText"/>
      </w:pPr>
      <w:r>
        <w:rPr>
          <w:b/>
          <w:bCs/>
        </w:rPr>
        <w:t xml:space="preserve">Análise:</w:t>
      </w:r>
      <w:r>
        <w:t xml:space="preserve"> </w:t>
      </w:r>
      <w:r>
        <w:t xml:space="preserve">Esses resultados são relevantes porque testam uma das previsões mais específicas — e aparentemente implausíveis — da teoria dos jogos: que agentes reais, em ambientes de alta pressão e com milhões em jogo, se comportam</w:t>
      </w:r>
      <w:r>
        <w:t xml:space="preserve"> </w:t>
      </w:r>
      <w:r>
        <w:rPr>
          <w:i/>
          <w:iCs/>
        </w:rPr>
        <w:t xml:space="preserve">como se</w:t>
      </w:r>
      <w:r>
        <w:t xml:space="preserve"> </w:t>
      </w:r>
      <w:r>
        <w:t xml:space="preserve">resolvessem o sistema de equações do princípio da indiferença (Equação 9a.3). A convergência para o equilíbrio misto não exige que os jogadores façam cálculos conscientes — basta que, ao longo de repetidas interações, a seleção competitiva elimine padrões exploráveis. É a mesma lógica do</w:t>
      </w:r>
      <w:r>
        <w:t xml:space="preserve"> </w:t>
      </w:r>
      <w:r>
        <w:rPr>
          <w:i/>
          <w:iCs/>
        </w:rPr>
        <w:t xml:space="preserve">como se</w:t>
      </w:r>
      <w:r>
        <w:t xml:space="preserve"> </w:t>
      </w:r>
      <w:r>
        <w:t xml:space="preserve">friedmaniano aplicada a um contexto observável em tempo real.</w:t>
      </w:r>
    </w:p>
    <w:p>
      <w:pPr>
        <w:pStyle w:val="BlockText"/>
      </w:pPr>
      <w:r>
        <w:rPr>
          <w:b/>
          <w:bCs/>
        </w:rPr>
        <w:t xml:space="preserve">Para refletir:</w:t>
      </w:r>
      <w:r>
        <w:t xml:space="preserve"> </w:t>
      </w:r>
      <w:r>
        <w:t xml:space="preserve">Se um cobrador de pênaltis tem o pé esquerdo mais forte, como isso altera as probabilidades de equilíbrio? (Dica: ele chutará mais vezes para o lado natural — mas não exclusivamente, pois isso o tornaria previsível.)</w:t>
      </w:r>
    </w:p>
    <w:p>
      <w:pPr>
        <w:pStyle w:val="BlockText"/>
      </w:pPr>
      <w:r>
        <w:rPr>
          <w:b/>
          <w:bCs/>
        </w:rPr>
        <w:t xml:space="preserve">Fonte:</w:t>
      </w:r>
      <w:r>
        <w:t xml:space="preserve"> </w:t>
      </w:r>
      <w:r>
        <w:t xml:space="preserve">Palacios-Huerta, Ignacio (2003).</w:t>
      </w:r>
      <w:r>
        <w:t xml:space="preserve"> </w:t>
      </w:r>
      <w:r>
        <w:t xml:space="preserve">“Professionals Play Minimax.”</w:t>
      </w:r>
      <w:r>
        <w:t xml:space="preserve"> </w:t>
      </w:r>
      <w:r>
        <w:rPr>
          <w:i/>
          <w:iCs/>
        </w:rPr>
        <w:t xml:space="preserve">Review of Economic Studies</w:t>
      </w:r>
      <w:r>
        <w:t xml:space="preserve">, 70(2), 395–415. Walker, Mark e Wooders, John (2001).</w:t>
      </w:r>
      <w:r>
        <w:t xml:space="preserve"> </w:t>
      </w:r>
      <w:r>
        <w:t xml:space="preserve">“Minimax Play at Wimbledon.”</w:t>
      </w:r>
      <w:r>
        <w:t xml:space="preserve"> </w:t>
      </w:r>
      <w:r>
        <w:rPr>
          <w:i/>
          <w:iCs/>
        </w:rPr>
        <w:t xml:space="preserve">American Economic Review</w:t>
      </w:r>
      <w:r>
        <w:t xml:space="preserve">, 91(5), 1521–1538. Chiappori, Pierre-André; Levitt, Steven e Groseclose, Tim (2002).</w:t>
      </w:r>
      <w:r>
        <w:t xml:space="preserve"> </w:t>
      </w:r>
      <w:r>
        <w:t xml:space="preserve">“Testing Mixed-Strategy Equilibria When Players Are Heterogeneous: The Case of Penalty Kicks in Soccer.”</w:t>
      </w:r>
      <w:r>
        <w:t xml:space="preserve"> </w:t>
      </w:r>
      <w:r>
        <w:rPr>
          <w:i/>
          <w:iCs/>
        </w:rPr>
        <w:t xml:space="preserve">American Economic Review</w:t>
      </w:r>
      <w:r>
        <w:t xml:space="preserve">, 92(4), 1138–1151.</w:t>
      </w:r>
    </w:p>
    <w:p>
      <w:pPr>
        <w:pStyle w:val="FirstParagraph"/>
      </w:pPr>
      <w:r>
        <w:t xml:space="preserve">Misturar é racional — pergunte a qualquer cobrador de pênaltis. Se ele sempre chuta no mesmo canto, o goleiro aprende. Se randomiza, o goleiro vira loteria. O equilíbrio misto formaliza exatamente essa intuição: quando previsibilidade é punida, imprevisibilidade é ótima.</w:t>
      </w:r>
    </w:p>
    <w:bookmarkEnd w:id="479"/>
    <w:bookmarkEnd w:id="480"/>
    <w:bookmarkEnd w:id="481"/>
    <w:bookmarkStart w:id="487" w:name="X390b183fd68e2ea26cf2424d7329e2938b00a73"/>
    <w:p>
      <w:pPr>
        <w:pStyle w:val="Heading2"/>
      </w:pPr>
      <w:r>
        <w:t xml:space="preserve">Quanto Produzir Quando o Rival Está Olhando: Cournot e Oligopólio</w:t>
      </w:r>
    </w:p>
    <w:bookmarkStart w:id="486" w:name="X4cd1b29adce12a579bf5390794c3b888c6c12a8"/>
    <w:p>
      <w:pPr>
        <w:pStyle w:val="Heading3"/>
      </w:pPr>
      <w:r>
        <w:t xml:space="preserve">9a.5 Quanto Produzir Quando o Rival Está Olhando: Cournot e Oligopólio</w:t>
      </w:r>
    </w:p>
    <w:p>
      <w:pPr>
        <w:pStyle w:val="FirstParagraph"/>
      </w:pPr>
      <w:r>
        <w:t xml:space="preserve">Até agora, os jogos tinham botões:</w:t>
      </w:r>
      <w:r>
        <w:t xml:space="preserve"> </w:t>
      </w:r>
      <w:r>
        <w:t xml:space="preserve">“cooperar ou trair”</w:t>
      </w:r>
      <w:r>
        <w:t xml:space="preserve">,</w:t>
      </w:r>
      <w:r>
        <w:t xml:space="preserve"> </w:t>
      </w:r>
      <w:r>
        <w:t xml:space="preserve">“futebol ou cinema”</w:t>
      </w:r>
      <w:r>
        <w:t xml:space="preserve">. Clique numa opção, fim. Mas a Ambev não escolhe entre</w:t>
      </w:r>
      <w:r>
        <w:t xml:space="preserve"> </w:t>
      </w:r>
      <w:r>
        <w:t xml:space="preserve">“produzir”</w:t>
      </w:r>
      <w:r>
        <w:t xml:space="preserve"> </w:t>
      </w:r>
      <w:r>
        <w:t xml:space="preserve">e</w:t>
      </w:r>
      <w:r>
        <w:t xml:space="preserve"> </w:t>
      </w:r>
      <w:r>
        <w:t xml:space="preserve">“não produzir”</w:t>
      </w:r>
      <w:r>
        <w:t xml:space="preserve"> </w:t>
      </w:r>
      <w:r>
        <w:t xml:space="preserve">— ela escolhe</w:t>
      </w:r>
      <w:r>
        <w:t xml:space="preserve"> </w:t>
      </w:r>
      <w:r>
        <w:rPr>
          <w:i/>
          <w:iCs/>
        </w:rPr>
        <w:t xml:space="preserve">quantos milhões de litros</w:t>
      </w:r>
      <w:r>
        <w:t xml:space="preserve"> </w:t>
      </w:r>
      <w:r>
        <w:t xml:space="preserve">produzir. E o iFood não escolhe entre</w:t>
      </w:r>
      <w:r>
        <w:t xml:space="preserve"> </w:t>
      </w:r>
      <w:r>
        <w:t xml:space="preserve">“cobrar caro”</w:t>
      </w:r>
      <w:r>
        <w:t xml:space="preserve"> </w:t>
      </w:r>
      <w:r>
        <w:t xml:space="preserve">e</w:t>
      </w:r>
      <w:r>
        <w:t xml:space="preserve"> </w:t>
      </w:r>
      <w:r>
        <w:t xml:space="preserve">“cobrar barato”</w:t>
      </w:r>
      <w:r>
        <w:t xml:space="preserve"> </w:t>
      </w:r>
      <w:r>
        <w:t xml:space="preserve">— ele fixa um preço</w:t>
      </w:r>
      <w:r>
        <w:t xml:space="preserve"> </w:t>
      </w:r>
      <w:r>
        <w:rPr>
          <w:i/>
          <w:iCs/>
        </w:rPr>
        <w:t xml:space="preserve">exato</w:t>
      </w:r>
      <w:r>
        <w:t xml:space="preserve">. Os jogos economicamente mais importantes têm estratégias contínuas: números reais, não botões. E os três modelos clássicos de oligopólio — Cournot (quantidades), Bertrand (preços) e Stackelberg (líder-seguidor) — são os exemplos paradigmáticos.</w:t>
      </w:r>
    </w:p>
    <w:p>
      <w:pPr>
        <w:pStyle w:val="BodyText"/>
      </w:pPr>
      <w:r>
        <w:t xml:space="preserve">O conceito de oligopólio remonta, pelo menos, a Cournot (1838), que analisou a competição entre duas firmas que extraem água de um poço mineral — o duopólio de Cournot. Cinquenta anos depois, o matemático Joseph Bertrand (1883) publicou uma resenha do trabalho de Cournot sugerindo que, se as firmas competem em preços em vez de quantidades, o resultado é radicalmente diferente: o preço cai para o custo marginal mesmo com apenas dois concorrentes. O debate Cournot-Bertrand — mesma estrutura de mercado, variável estratégica diferente, resultados opostos — é um dos mais frutíferos da história do pensamento econômico e continua relevante para a análise antitruste moderna. Stackelberg (1934) acrescentou a dimensão da sequencialidade: o que acontece se uma firma é líder e move antes das demais? O resultado, como veremos, depende crucialmente da capacidade de comprometimento crível — tema que será aprofundado no Módulo 9b com o conceito de equilíbrio perfeito em subjogos.</w:t>
      </w:r>
    </w:p>
    <w:p>
      <w:pPr>
        <w:pStyle w:val="BodyText"/>
      </w:pPr>
      <w:r>
        <w:t xml:space="preserve">A pergunta central desta seção é: como a forma da competição (preço vs. quantidade) e a ordem do movimento (simultâneo vs. sequencial) afetam o resultado de mercado? Extensões desses modelos — diferenciação de produto, colusão tácita, dissuasão de entrada, fusões e regulação — são tratadas nos Capítulos 16a e 16b.</w:t>
      </w:r>
    </w:p>
    <w:bookmarkStart w:id="482" w:name="X687b2009e6344dc3482937430e9f6bbae643ab1"/>
    <w:p>
      <w:pPr>
        <w:pStyle w:val="Heading4"/>
      </w:pPr>
      <w:r>
        <w:t xml:space="preserve">Competição de Cournot: quanto produzir quando o vizinho também está produzindo</w:t>
      </w:r>
    </w:p>
    <w:p>
      <w:pPr>
        <w:pStyle w:val="FirstParagraph"/>
      </w:pPr>
      <w:r>
        <w:t xml:space="preserve">Começamos pelo modelo mais antigo e, em muitos sentidos, mais intuitivo de oligopólio. No modelo de Cournot (1838), cada firma decide</w:t>
      </w:r>
      <w:r>
        <w:t xml:space="preserve"> </w:t>
      </w:r>
      <w:r>
        <w:rPr>
          <w:i/>
          <w:iCs/>
        </w:rPr>
        <w:t xml:space="preserve">quanto</w:t>
      </w:r>
      <w:r>
        <w:t xml:space="preserve"> </w:t>
      </w:r>
      <w:r>
        <w:t xml:space="preserve">produzir, e o preço de mercado se ajusta para equilibrar a oferta total com a demanda. A variável estratégica é a quantidade, e o jogo é simultâneo: nenhuma firma observa a decisão da outra antes de se comprometer com sua produção.</w:t>
      </w:r>
    </w:p>
    <w:p>
      <w:pPr>
        <w:pStyle w:val="BodyText"/>
      </w:pPr>
      <w:r>
        <w:t xml:space="preserve">Duas firmas escolhem simultaneamente as quantidades</w:t>
      </w:r>
      <w:r>
        <w:t xml:space="preserve"> </w:t>
      </w:r>
      <m:oMath>
        <m:sSub>
          <m:e>
            <m:r>
              <m:t>q</m:t>
            </m:r>
          </m:e>
          <m:sub>
            <m:r>
              <m:t>1</m:t>
            </m:r>
          </m:sub>
        </m:sSub>
        <m:r>
          <m:rPr>
            <m:sty m:val="p"/>
          </m:rPr>
          <m:t>,</m:t>
        </m:r>
        <m:sSub>
          <m:e>
            <m:r>
              <m:t>q</m:t>
            </m:r>
          </m:e>
          <m:sub>
            <m:r>
              <m:t>2</m:t>
            </m:r>
          </m:sub>
        </m:sSub>
        <m:r>
          <m:rPr>
            <m:sty m:val="p"/>
          </m:rPr>
          <m:t>≥</m:t>
        </m:r>
        <m:r>
          <m:t>0</m:t>
        </m:r>
      </m:oMath>
      <w:r>
        <w:t xml:space="preserve">. A demanda inversa é</w:t>
      </w:r>
      <w:r>
        <w:t xml:space="preserve"> </w:t>
      </w:r>
      <m:oMath>
        <m:r>
          <m:t>P</m:t>
        </m:r>
        <m:r>
          <m:rPr>
            <m:sty m:val="p"/>
          </m:rPr>
          <m:t>(</m:t>
        </m:r>
        <m:r>
          <m:t>Q</m:t>
        </m:r>
        <m:r>
          <m:rPr>
            <m:sty m:val="p"/>
          </m:rPr>
          <m:t>)</m:t>
        </m:r>
        <m:r>
          <m:rPr>
            <m:sty m:val="p"/>
          </m:rPr>
          <m:t>=</m:t>
        </m:r>
        <m:r>
          <m:t>a</m:t>
        </m:r>
        <m:r>
          <m:rPr>
            <m:sty m:val="p"/>
          </m:rPr>
          <m:t>−</m:t>
        </m:r>
        <m:r>
          <m:t>b</m:t>
        </m:r>
        <m:r>
          <m:t>Q</m:t>
        </m:r>
      </m:oMath>
      <w:r>
        <w:t xml:space="preserve">, onde</w:t>
      </w:r>
      <w:r>
        <w:t xml:space="preserve"> </w:t>
      </w:r>
      <m:oMath>
        <m:r>
          <m:t>Q</m:t>
        </m:r>
        <m:r>
          <m:rPr>
            <m:sty m:val="p"/>
          </m:rPr>
          <m:t>=</m:t>
        </m:r>
        <m:sSub>
          <m:e>
            <m:r>
              <m:t>q</m:t>
            </m:r>
          </m:e>
          <m:sub>
            <m:r>
              <m:t>1</m:t>
            </m:r>
          </m:sub>
        </m:sSub>
        <m:r>
          <m:rPr>
            <m:sty m:val="p"/>
          </m:rPr>
          <m:t>+</m:t>
        </m:r>
        <m:sSub>
          <m:e>
            <m:r>
              <m:t>q</m:t>
            </m:r>
          </m:e>
          <m:sub>
            <m:r>
              <m:t>2</m:t>
            </m:r>
          </m:sub>
        </m:sSub>
      </m:oMath>
      <w:r>
        <w:t xml:space="preserve">, e o custo marginal é constante e igual a</w:t>
      </w:r>
      <w:r>
        <w:t xml:space="preserve"> </w:t>
      </w:r>
      <m:oMath>
        <m:r>
          <m:t>c</m:t>
        </m:r>
      </m:oMath>
      <w:r>
        <w:t xml:space="preserve"> </w:t>
      </w:r>
      <w:r>
        <w:t xml:space="preserve">para ambas as firmas.</w:t>
      </w:r>
    </w:p>
    <w:p>
      <w:pPr>
        <w:pStyle w:val="BodyText"/>
      </w:pPr>
      <w:r>
        <w:t xml:space="preserve">O lucro da firma</w:t>
      </w:r>
      <w:r>
        <w:t xml:space="preserve"> </w:t>
      </w:r>
      <m:oMath>
        <m:r>
          <m:t>i</m:t>
        </m:r>
      </m:oMath>
      <w:r>
        <w:t xml:space="preserve"> </w:t>
      </w:r>
      <w:r>
        <w:t xml:space="preserve">é:</w:t>
      </w:r>
    </w:p>
    <w:p>
      <w:pPr>
        <w:pStyle w:val="BodyText"/>
      </w:pPr>
      <w:r>
        <w:t xml:space="preserve">$$
    \pi_i(q_i, q_j) = (a - b(q_i + q_j) - c) \, q_i
    \label{eq:9a.4} \tag{9a.4}
    $$</w:t>
      </w:r>
    </w:p>
    <w:p>
      <w:pPr>
        <w:pStyle w:val="FirstParagraph"/>
      </w:pPr>
      <w:r>
        <w:t xml:space="preserve">Observe que o lucro de cada firma depende não apenas da própria quantidade, mas também da quantidade produzida pela rival — a interdependência estratégica que motiva toda a teoria dos jogos. Cada firma maximiza seu lucro tomando como dada a quantidade da outra, o que gera a seguinte condição de primeira ordem e a correspondente</w:t>
      </w:r>
      <w:r>
        <w:t xml:space="preserve"> </w:t>
      </w:r>
      <w:r>
        <w:rPr>
          <w:b/>
          <w:bCs/>
        </w:rPr>
        <w:t xml:space="preserve">função de melhor-resposta</w:t>
      </w:r>
      <w:r>
        <w:t xml:space="preserve"> </w:t>
      </w:r>
      <w:r>
        <w:t xml:space="preserve">(melhor resposta):</w:t>
      </w:r>
    </w:p>
    <w:p>
      <w:pPr>
        <w:pStyle w:val="BodyText"/>
      </w:pPr>
      <m:oMathPara>
        <m:oMathParaPr>
          <m:jc m:val="center"/>
        </m:oMathParaPr>
        <m:oMath>
          <m:sSubSup>
            <m:e>
              <m:r>
                <m:t>q</m:t>
              </m:r>
            </m:e>
            <m:sub>
              <m:r>
                <m:t>i</m:t>
              </m:r>
            </m:sub>
            <m:sup>
              <m:r>
                <m:rPr>
                  <m:sty m:val="p"/>
                </m:rPr>
                <m:t>*</m:t>
              </m:r>
            </m:sup>
          </m:sSubSup>
          <m:r>
            <m:rPr>
              <m:sty m:val="p"/>
            </m:rPr>
            <m:t>(</m:t>
          </m:r>
          <m:sSub>
            <m:e>
              <m:r>
                <m:t>q</m:t>
              </m:r>
            </m:e>
            <m:sub>
              <m:r>
                <m:t>j</m:t>
              </m:r>
            </m:sub>
          </m:sSub>
          <m:r>
            <m:rPr>
              <m:sty m:val="p"/>
            </m:rPr>
            <m:t>)</m:t>
          </m:r>
          <m:r>
            <m:rPr>
              <m:sty m:val="p"/>
            </m:rPr>
            <m:t>=</m:t>
          </m:r>
          <m:f>
            <m:fPr>
              <m:type m:val="bar"/>
            </m:fPr>
            <m:num>
              <m:r>
                <m:t>a</m:t>
              </m:r>
              <m:r>
                <m:rPr>
                  <m:sty m:val="p"/>
                </m:rPr>
                <m:t>−</m:t>
              </m:r>
              <m:r>
                <m:t>c</m:t>
              </m:r>
              <m:r>
                <m:rPr>
                  <m:sty m:val="p"/>
                </m:rPr>
                <m:t>−</m:t>
              </m:r>
              <m:r>
                <m:t>b</m:t>
              </m:r>
              <m:sSub>
                <m:e>
                  <m:r>
                    <m:t>q</m:t>
                  </m:r>
                </m:e>
                <m:sub>
                  <m:r>
                    <m:t>j</m:t>
                  </m:r>
                </m:sub>
              </m:sSub>
            </m:num>
            <m:den>
              <m:r>
                <m:t>2</m:t>
              </m:r>
              <m:r>
                <m:t>b</m:t>
              </m:r>
            </m:den>
          </m:f>
        </m:oMath>
      </m:oMathPara>
    </w:p>
    <w:p>
      <w:pPr>
        <w:pStyle w:val="FirstParagraph"/>
      </w:pPr>
      <w:r>
        <w:t xml:space="preserve">A função de melhor-resposta é decrescente: quanto mais a rival produz, menos é ótimo para a firma produzir. Em linguagem estratégica, as quantidades são</w:t>
      </w:r>
      <w:r>
        <w:t xml:space="preserve"> </w:t>
      </w:r>
      <w:r>
        <w:rPr>
          <w:b/>
          <w:bCs/>
        </w:rPr>
        <w:t xml:space="preserve">substitutos estratégicos</w:t>
      </w:r>
      <w:r>
        <w:t xml:space="preserve"> </w:t>
      </w:r>
      <w:r>
        <w:t xml:space="preserve">— o aumento da ação de um jogador reduz a melhor resposta do outro. O equilíbrio de Nash (Cournot-Nash) é obtido pela interseção das funções de melhor-resposta:</w:t>
      </w:r>
    </w:p>
    <w:p>
      <w:pPr>
        <w:pStyle w:val="BodyText"/>
      </w:pPr>
      <m:oMathPara>
        <m:oMathParaPr>
          <m:jc m:val="center"/>
        </m:oMathParaPr>
        <m:oMath>
          <m:sSubSup>
            <m:e>
              <m:r>
                <m:t>q</m:t>
              </m:r>
            </m:e>
            <m:sub>
              <m:r>
                <m:t>1</m:t>
              </m:r>
            </m:sub>
            <m:sup>
              <m:r>
                <m:rPr>
                  <m:sty m:val="p"/>
                </m:rPr>
                <m:t>*</m:t>
              </m:r>
            </m:sup>
          </m:sSubSup>
          <m:r>
            <m:rPr>
              <m:sty m:val="p"/>
            </m:rPr>
            <m:t>=</m:t>
          </m:r>
          <m:sSubSup>
            <m:e>
              <m:r>
                <m:t>q</m:t>
              </m:r>
            </m:e>
            <m:sub>
              <m:r>
                <m:t>2</m:t>
              </m:r>
            </m:sub>
            <m:sup>
              <m:r>
                <m:rPr>
                  <m:sty m:val="p"/>
                </m:rPr>
                <m:t>*</m:t>
              </m:r>
            </m:sup>
          </m:sSubSup>
          <m:r>
            <m:rPr>
              <m:sty m:val="p"/>
            </m:rPr>
            <m:t>=</m:t>
          </m:r>
          <m:f>
            <m:fPr>
              <m:type m:val="bar"/>
            </m:fPr>
            <m:num>
              <m:r>
                <m:t>a</m:t>
              </m:r>
              <m:r>
                <m:rPr>
                  <m:sty m:val="p"/>
                </m:rPr>
                <m:t>−</m:t>
              </m:r>
              <m:r>
                <m:t>c</m:t>
              </m:r>
            </m:num>
            <m:den>
              <m:r>
                <m:t>3</m:t>
              </m:r>
              <m:r>
                <m:t>b</m:t>
              </m:r>
            </m:den>
          </m:f>
          <m:r>
            <m:rPr>
              <m:sty m:val="p"/>
            </m:rPr>
            <m:t>,</m:t>
          </m:r>
          <m:r>
            <m:t>  </m:t>
          </m:r>
          <m:sSup>
            <m:e>
              <m:r>
                <m:t>Q</m:t>
              </m:r>
            </m:e>
            <m:sup>
              <m:r>
                <m:rPr>
                  <m:sty m:val="p"/>
                </m:rPr>
                <m:t>*</m:t>
              </m:r>
            </m:sup>
          </m:sSup>
          <m:r>
            <m:rPr>
              <m:sty m:val="p"/>
            </m:rPr>
            <m:t>=</m:t>
          </m:r>
          <m:f>
            <m:fPr>
              <m:type m:val="bar"/>
            </m:fPr>
            <m:num>
              <m:r>
                <m:t>2</m:t>
              </m:r>
              <m:r>
                <m:rPr>
                  <m:sty m:val="p"/>
                </m:rPr>
                <m:t>(</m:t>
              </m:r>
              <m:r>
                <m:t>a</m:t>
              </m:r>
              <m:r>
                <m:rPr>
                  <m:sty m:val="p"/>
                </m:rPr>
                <m:t>−</m:t>
              </m:r>
              <m:r>
                <m:t>c</m:t>
              </m:r>
              <m:r>
                <m:rPr>
                  <m:sty m:val="p"/>
                </m:rPr>
                <m:t>)</m:t>
              </m:r>
            </m:num>
            <m:den>
              <m:r>
                <m:t>3</m:t>
              </m:r>
              <m:r>
                <m:t>b</m:t>
              </m:r>
            </m:den>
          </m:f>
          <m:r>
            <m:rPr>
              <m:sty m:val="p"/>
            </m:rPr>
            <m:t>,</m:t>
          </m:r>
          <m:r>
            <m:t>  </m:t>
          </m:r>
          <m:sSup>
            <m:e>
              <m:r>
                <m:t>P</m:t>
              </m:r>
            </m:e>
            <m:sup>
              <m:r>
                <m:rPr>
                  <m:sty m:val="p"/>
                </m:rPr>
                <m:t>*</m:t>
              </m:r>
            </m:sup>
          </m:sSup>
          <m:r>
            <m:rPr>
              <m:sty m:val="p"/>
            </m:rPr>
            <m:t>=</m:t>
          </m:r>
          <m:f>
            <m:fPr>
              <m:type m:val="bar"/>
            </m:fPr>
            <m:num>
              <m:r>
                <m:t>a</m:t>
              </m:r>
              <m:r>
                <m:rPr>
                  <m:sty m:val="p"/>
                </m:rPr>
                <m:t>+</m:t>
              </m:r>
              <m:r>
                <m:t>2</m:t>
              </m:r>
              <m:r>
                <m:t>c</m:t>
              </m:r>
            </m:num>
            <m:den>
              <m:r>
                <m:t>3</m:t>
              </m:r>
            </m:den>
          </m:f>
        </m:oMath>
      </m:oMathPara>
    </w:p>
    <w:p>
      <w:pPr>
        <w:pStyle w:val="FirstParagraph"/>
      </w:pPr>
      <w:r>
        <w:t xml:space="preserve">O lucro de cada firma no equilíbrio é:</w:t>
      </w:r>
    </w:p>
    <w:p>
      <w:pPr>
        <w:pStyle w:val="BodyText"/>
      </w:pPr>
      <m:oMathPara>
        <m:oMathParaPr>
          <m:jc m:val="center"/>
        </m:oMathParaPr>
        <m:oMath>
          <m:sSubSup>
            <m:e>
              <m:r>
                <m:t>π</m:t>
              </m:r>
            </m:e>
            <m:sub>
              <m:r>
                <m:t>i</m:t>
              </m:r>
            </m:sub>
            <m:sup>
              <m:r>
                <m:rPr>
                  <m:sty m:val="p"/>
                </m:rPr>
                <m:t>*</m:t>
              </m:r>
            </m:sup>
          </m:sSubSup>
          <m:r>
            <m:rPr>
              <m:sty m:val="p"/>
            </m:rPr>
            <m:t>=</m:t>
          </m:r>
          <m:f>
            <m:fPr>
              <m:type m:val="bar"/>
            </m:fPr>
            <m:num>
              <m:r>
                <m:rPr>
                  <m:sty m:val="p"/>
                </m:rPr>
                <m:t>(</m:t>
              </m:r>
              <m:r>
                <m:t>a</m:t>
              </m:r>
              <m:r>
                <m:rPr>
                  <m:sty m:val="p"/>
                </m:rPr>
                <m:t>−</m:t>
              </m:r>
              <m:r>
                <m:t>c</m:t>
              </m:r>
              <m:sSup>
                <m:e>
                  <m:r>
                    <m:rPr>
                      <m:sty m:val="p"/>
                    </m:rPr>
                    <m:t>)</m:t>
                  </m:r>
                </m:e>
                <m:sup>
                  <m:r>
                    <m:t>2</m:t>
                  </m:r>
                </m:sup>
              </m:sSup>
            </m:num>
            <m:den>
              <m:r>
                <m:t>9</m:t>
              </m:r>
              <m:r>
                <m:t>b</m:t>
              </m:r>
            </m:den>
          </m:f>
        </m:oMath>
      </m:oMathPara>
    </w:p>
    <w:p>
      <w:pPr>
        <w:pStyle w:val="FirstParagraph"/>
      </w:pPr>
      <w:r>
        <w:rPr>
          <w:b/>
          <w:bCs/>
        </w:rPr>
        <w:t xml:space="preserve">Extensão:</w:t>
      </w:r>
      <w:r>
        <w:rPr>
          <w:b/>
          <w:bCs/>
        </w:rPr>
        <w:t xml:space="preserve"> </w:t>
      </w:r>
      <m:oMath>
        <m:r>
          <m:t>N</m:t>
        </m:r>
      </m:oMath>
      <w:r>
        <w:rPr>
          <w:b/>
          <w:bCs/>
        </w:rPr>
        <w:t xml:space="preserve"> </w:t>
      </w:r>
      <w:r>
        <w:rPr>
          <w:b/>
          <w:bCs/>
        </w:rPr>
        <w:t xml:space="preserve">firmas simétricas.</w:t>
      </w:r>
      <w:r>
        <w:t xml:space="preserve"> </w:t>
      </w:r>
      <w:r>
        <w:t xml:space="preserve">Com</w:t>
      </w:r>
      <w:r>
        <w:t xml:space="preserve"> </w:t>
      </w:r>
      <m:oMath>
        <m:r>
          <m:t>N</m:t>
        </m:r>
      </m:oMath>
      <w:r>
        <w:t xml:space="preserve"> </w:t>
      </w:r>
      <w:r>
        <w:t xml:space="preserve">firmas idênticas, o equilíbrio de Cournot é:</w:t>
      </w:r>
    </w:p>
    <w:p>
      <w:pPr>
        <w:pStyle w:val="BodyText"/>
      </w:pPr>
      <m:oMathPara>
        <m:oMathParaPr>
          <m:jc m:val="center"/>
        </m:oMathParaPr>
        <m:oMath>
          <m:sSubSup>
            <m:e>
              <m:r>
                <m:t>q</m:t>
              </m:r>
            </m:e>
            <m:sub>
              <m:r>
                <m:t>i</m:t>
              </m:r>
            </m:sub>
            <m:sup>
              <m:r>
                <m:rPr>
                  <m:sty m:val="p"/>
                </m:rPr>
                <m:t>*</m:t>
              </m:r>
            </m:sup>
          </m:sSubSup>
          <m:r>
            <m:rPr>
              <m:sty m:val="p"/>
            </m:rPr>
            <m:t>=</m:t>
          </m:r>
          <m:f>
            <m:fPr>
              <m:type m:val="bar"/>
            </m:fPr>
            <m:num>
              <m:r>
                <m:t>a</m:t>
              </m:r>
              <m:r>
                <m:rPr>
                  <m:sty m:val="p"/>
                </m:rPr>
                <m:t>−</m:t>
              </m:r>
              <m:r>
                <m:t>c</m:t>
              </m:r>
            </m:num>
            <m:den>
              <m:r>
                <m:rPr>
                  <m:sty m:val="p"/>
                </m:rPr>
                <m:t>(</m:t>
              </m:r>
              <m:r>
                <m:t>N</m:t>
              </m:r>
              <m:r>
                <m:rPr>
                  <m:sty m:val="p"/>
                </m:rPr>
                <m:t>+</m:t>
              </m:r>
              <m:r>
                <m:t>1</m:t>
              </m:r>
              <m:r>
                <m:rPr>
                  <m:sty m:val="p"/>
                </m:rPr>
                <m:t>)</m:t>
              </m:r>
              <m:r>
                <m:t>b</m:t>
              </m:r>
            </m:den>
          </m:f>
          <m:r>
            <m:rPr>
              <m:sty m:val="p"/>
            </m:rPr>
            <m:t>,</m:t>
          </m:r>
          <m:r>
            <m:t>  </m:t>
          </m:r>
          <m:sSup>
            <m:e>
              <m:r>
                <m:t>P</m:t>
              </m:r>
            </m:e>
            <m:sup>
              <m:r>
                <m:rPr>
                  <m:sty m:val="p"/>
                </m:rPr>
                <m:t>*</m:t>
              </m:r>
            </m:sup>
          </m:sSup>
          <m:r>
            <m:rPr>
              <m:sty m:val="p"/>
            </m:rPr>
            <m:t>=</m:t>
          </m:r>
          <m:f>
            <m:fPr>
              <m:type m:val="bar"/>
            </m:fPr>
            <m:num>
              <m:r>
                <m:t>a</m:t>
              </m:r>
              <m:r>
                <m:rPr>
                  <m:sty m:val="p"/>
                </m:rPr>
                <m:t>+</m:t>
              </m:r>
              <m:r>
                <m:t>N</m:t>
              </m:r>
              <m:r>
                <m:t>c</m:t>
              </m:r>
            </m:num>
            <m:den>
              <m:r>
                <m:t>N</m:t>
              </m:r>
              <m:r>
                <m:rPr>
                  <m:sty m:val="p"/>
                </m:rPr>
                <m:t>+</m:t>
              </m:r>
              <m:r>
                <m:t>1</m:t>
              </m:r>
            </m:den>
          </m:f>
        </m:oMath>
      </m:oMathPara>
    </w:p>
    <w:p>
      <w:pPr>
        <w:pStyle w:val="FirstParagraph"/>
      </w:pPr>
      <w:r>
        <w:t xml:space="preserve">Pela equação Eq. (eq:9a.8), quando</w:t>
      </w:r>
      <w:r>
        <w:t xml:space="preserve"> </w:t>
      </w:r>
      <m:oMath>
        <m:r>
          <m:t>N</m:t>
        </m:r>
        <m:r>
          <m:rPr>
            <m:sty m:val="p"/>
          </m:rPr>
          <m:t>→</m:t>
        </m:r>
        <m:r>
          <m:rPr>
            <m:sty m:val="p"/>
          </m:rPr>
          <m:t>∞</m:t>
        </m:r>
      </m:oMath>
      <w:r>
        <w:t xml:space="preserve">,</w:t>
      </w:r>
      <w:r>
        <w:t xml:space="preserve"> </w:t>
      </w:r>
      <m:oMath>
        <m:sSup>
          <m:e>
            <m:r>
              <m:t>P</m:t>
            </m:r>
          </m:e>
          <m:sup>
            <m:r>
              <m:rPr>
                <m:sty m:val="p"/>
              </m:rPr>
              <m:t>*</m:t>
            </m:r>
          </m:sup>
        </m:sSup>
        <m:r>
          <m:rPr>
            <m:sty m:val="p"/>
          </m:rPr>
          <m:t>→</m:t>
        </m:r>
        <m:r>
          <m:t>c</m:t>
        </m:r>
      </m:oMath>
      <w:r>
        <w:t xml:space="preserve">: o resultado converge para competição perfeita. Esse resultado é notável: ele conecta a teoria dos jogos à teoria clássica de mercados competitivos, mostrando que a competição perfeita é o caso limite de um oligopólio de Cournot quando o número de firmas cresce indefinidamente.</w:t>
      </w:r>
    </w:p>
    <w:p>
      <w:pPr>
        <w:pStyle w:val="BodyText"/>
      </w:pPr>
      <w:r>
        <w:rPr>
          <w:b/>
          <w:bCs/>
        </w:rPr>
        <w:t xml:space="preserve">Extensão: Custos assimétricos.</w:t>
      </w:r>
      <w:r>
        <w:t xml:space="preserve"> </w:t>
      </w:r>
      <w:r>
        <w:t xml:space="preserve">Com custos marginais</w:t>
      </w:r>
      <w:r>
        <w:t xml:space="preserve"> </w:t>
      </w:r>
      <m:oMath>
        <m:sSub>
          <m:e>
            <m:r>
              <m:t>c</m:t>
            </m:r>
          </m:e>
          <m:sub>
            <m:r>
              <m:t>1</m:t>
            </m:r>
          </m:sub>
        </m:sSub>
        <m:r>
          <m:rPr>
            <m:sty m:val="p"/>
          </m:rPr>
          <m:t>≠</m:t>
        </m:r>
        <m:sSub>
          <m:e>
            <m:r>
              <m:t>c</m:t>
            </m:r>
          </m:e>
          <m:sub>
            <m:r>
              <m:t>2</m:t>
            </m:r>
          </m:sub>
        </m:sSub>
      </m:oMath>
      <w:r>
        <w:t xml:space="preserve">:</w:t>
      </w:r>
    </w:p>
    <w:p>
      <w:pPr>
        <w:pStyle w:val="BodyText"/>
      </w:pPr>
      <m:oMathPara>
        <m:oMathParaPr>
          <m:jc m:val="center"/>
        </m:oMathParaPr>
        <m:oMath>
          <m:sSubSup>
            <m:e>
              <m:r>
                <m:t>q</m:t>
              </m:r>
            </m:e>
            <m:sub>
              <m:r>
                <m:t>1</m:t>
              </m:r>
            </m:sub>
            <m:sup>
              <m:r>
                <m:rPr>
                  <m:sty m:val="p"/>
                </m:rPr>
                <m:t>*</m:t>
              </m:r>
            </m:sup>
          </m:sSubSup>
          <m:r>
            <m:rPr>
              <m:sty m:val="p"/>
            </m:rPr>
            <m:t>=</m:t>
          </m:r>
          <m:f>
            <m:fPr>
              <m:type m:val="bar"/>
            </m:fPr>
            <m:num>
              <m:r>
                <m:t>a</m:t>
              </m:r>
              <m:r>
                <m:rPr>
                  <m:sty m:val="p"/>
                </m:rPr>
                <m:t>−</m:t>
              </m:r>
              <m:r>
                <m:t>2</m:t>
              </m:r>
              <m:sSub>
                <m:e>
                  <m:r>
                    <m:t>c</m:t>
                  </m:r>
                </m:e>
                <m:sub>
                  <m:r>
                    <m:t>1</m:t>
                  </m:r>
                </m:sub>
              </m:sSub>
              <m:r>
                <m:rPr>
                  <m:sty m:val="p"/>
                </m:rPr>
                <m:t>+</m:t>
              </m:r>
              <m:sSub>
                <m:e>
                  <m:r>
                    <m:t>c</m:t>
                  </m:r>
                </m:e>
                <m:sub>
                  <m:r>
                    <m:t>2</m:t>
                  </m:r>
                </m:sub>
              </m:sSub>
            </m:num>
            <m:den>
              <m:r>
                <m:t>3</m:t>
              </m:r>
              <m:r>
                <m:t>b</m:t>
              </m:r>
            </m:den>
          </m:f>
          <m:r>
            <m:rPr>
              <m:sty m:val="p"/>
            </m:rPr>
            <m:t>,</m:t>
          </m:r>
          <m:r>
            <m:t>  </m:t>
          </m:r>
          <m:sSubSup>
            <m:e>
              <m:r>
                <m:t>q</m:t>
              </m:r>
            </m:e>
            <m:sub>
              <m:r>
                <m:t>2</m:t>
              </m:r>
            </m:sub>
            <m:sup>
              <m:r>
                <m:rPr>
                  <m:sty m:val="p"/>
                </m:rPr>
                <m:t>*</m:t>
              </m:r>
            </m:sup>
          </m:sSubSup>
          <m:r>
            <m:rPr>
              <m:sty m:val="p"/>
            </m:rPr>
            <m:t>=</m:t>
          </m:r>
          <m:f>
            <m:fPr>
              <m:type m:val="bar"/>
            </m:fPr>
            <m:num>
              <m:r>
                <m:t>a</m:t>
              </m:r>
              <m:r>
                <m:rPr>
                  <m:sty m:val="p"/>
                </m:rPr>
                <m:t>−</m:t>
              </m:r>
              <m:r>
                <m:t>2</m:t>
              </m:r>
              <m:sSub>
                <m:e>
                  <m:r>
                    <m:t>c</m:t>
                  </m:r>
                </m:e>
                <m:sub>
                  <m:r>
                    <m:t>2</m:t>
                  </m:r>
                </m:sub>
              </m:sSub>
              <m:r>
                <m:rPr>
                  <m:sty m:val="p"/>
                </m:rPr>
                <m:t>+</m:t>
              </m:r>
              <m:sSub>
                <m:e>
                  <m:r>
                    <m:t>c</m:t>
                  </m:r>
                </m:e>
                <m:sub>
                  <m:r>
                    <m:t>1</m:t>
                  </m:r>
                </m:sub>
              </m:sSub>
            </m:num>
            <m:den>
              <m:r>
                <m:t>3</m:t>
              </m:r>
              <m:r>
                <m:t>b</m:t>
              </m:r>
            </m:den>
          </m:f>
        </m:oMath>
      </m:oMathPara>
    </w:p>
    <w:p>
      <w:pPr>
        <w:pStyle w:val="FirstParagraph"/>
      </w:pPr>
      <w:r>
        <w:t xml:space="preserve">Comparando com o equilíbrio simétrico Eq. (eq:9a.6), a firma com menor custo produz mais e obtém lucro maior. Esse resultado tem implicação direta para a análise de fusões: se uma fusão reduz custos (gera eficiências), a firma resultante aumenta sua produção e pode até reduzir o preço de mercado. O CADE precisa ponderar esse efeito de eficiência contra o aumento de poder de mercado.</w:t>
      </w:r>
    </w:p>
    <w:bookmarkEnd w:id="482"/>
    <w:bookmarkStart w:id="483" w:name="X1cc5a35ce28a9b14738beffdb7f4843071ef0ef"/>
    <w:p>
      <w:pPr>
        <w:pStyle w:val="Heading4"/>
      </w:pPr>
      <w:r>
        <w:t xml:space="preserve">Competição de Bertrand: o paradoxo de que dois é multidão</w:t>
      </w:r>
    </w:p>
    <w:p>
      <w:pPr>
        <w:pStyle w:val="FirstParagraph"/>
      </w:pPr>
      <w:r>
        <w:t xml:space="preserve">O que acontece quando as firmas competem em preços em vez de quantidades? A resposta, surpreendente e provocadora, é conhecida como o</w:t>
      </w:r>
      <w:r>
        <w:t xml:space="preserve"> </w:t>
      </w:r>
      <w:r>
        <w:rPr>
          <w:i/>
          <w:iCs/>
        </w:rPr>
        <w:t xml:space="preserve">paradoxo de Bertrand</w:t>
      </w:r>
      <w:r>
        <w:t xml:space="preserve">: bastam duas firmas para que o preço caia até o custo marginal, eliminando completamente os lucros econômicos. A mudança da variável estratégica — de quantidade para preço — transforma radicalmente a natureza da competição.</w:t>
      </w:r>
    </w:p>
    <w:p>
      <w:pPr>
        <w:pStyle w:val="BodyText"/>
      </w:pPr>
      <w:r>
        <w:t xml:space="preserve">Duas firmas com produtos homogêneos e custo marginal constante</w:t>
      </w:r>
      <w:r>
        <w:t xml:space="preserve"> </w:t>
      </w:r>
      <m:oMath>
        <m:r>
          <m:t>c</m:t>
        </m:r>
      </m:oMath>
      <w:r>
        <w:t xml:space="preserve"> </w:t>
      </w:r>
      <w:r>
        <w:t xml:space="preserve">escolhem simultaneamente os preços</w:t>
      </w:r>
      <w:r>
        <w:t xml:space="preserve"> </w:t>
      </w:r>
      <m:oMath>
        <m:sSub>
          <m:e>
            <m:r>
              <m:t>p</m:t>
            </m:r>
          </m:e>
          <m:sub>
            <m:r>
              <m:t>1</m:t>
            </m:r>
          </m:sub>
        </m:sSub>
        <m:r>
          <m:rPr>
            <m:sty m:val="p"/>
          </m:rPr>
          <m:t>,</m:t>
        </m:r>
        <m:sSub>
          <m:e>
            <m:r>
              <m:t>p</m:t>
            </m:r>
          </m:e>
          <m:sub>
            <m:r>
              <m:t>2</m:t>
            </m:r>
          </m:sub>
        </m:sSub>
      </m:oMath>
      <w:r>
        <w:t xml:space="preserve">. Os consumidores compram da firma com menor preço.</w:t>
      </w:r>
    </w:p>
    <w:p>
      <w:pPr>
        <w:pStyle w:val="BodyText"/>
      </w:pPr>
      <w:r>
        <w:t xml:space="preserve">O</w:t>
      </w:r>
      <w:r>
        <w:t xml:space="preserve"> </w:t>
      </w:r>
      <w:r>
        <w:rPr>
          <w:b/>
          <w:bCs/>
        </w:rPr>
        <w:t xml:space="preserve">paradoxo de Bertrand</w:t>
      </w:r>
      <w:r>
        <w:t xml:space="preserve">: o único equilíbrio de Nash é</w:t>
      </w:r>
      <w:r>
        <w:t xml:space="preserve"> </w:t>
      </w:r>
      <m:oMath>
        <m:sSubSup>
          <m:e>
            <m:r>
              <m:t>p</m:t>
            </m:r>
          </m:e>
          <m:sub>
            <m:r>
              <m:t>1</m:t>
            </m:r>
          </m:sub>
          <m:sup>
            <m:r>
              <m:rPr>
                <m:sty m:val="p"/>
              </m:rPr>
              <m:t>*</m:t>
            </m:r>
          </m:sup>
        </m:sSubSup>
        <m:r>
          <m:rPr>
            <m:sty m:val="p"/>
          </m:rPr>
          <m:t>=</m:t>
        </m:r>
        <m:sSubSup>
          <m:e>
            <m:r>
              <m:t>p</m:t>
            </m:r>
          </m:e>
          <m:sub>
            <m:r>
              <m:t>2</m:t>
            </m:r>
          </m:sub>
          <m:sup>
            <m:r>
              <m:rPr>
                <m:sty m:val="p"/>
              </m:rPr>
              <m:t>*</m:t>
            </m:r>
          </m:sup>
        </m:sSubSup>
        <m:r>
          <m:rPr>
            <m:sty m:val="p"/>
          </m:rPr>
          <m:t>=</m:t>
        </m:r>
        <m:r>
          <m:t>c</m:t>
        </m:r>
      </m:oMath>
      <w:r>
        <w:t xml:space="preserve">, com lucro zero para ambas as firmas — mesmo com apenas dois concorrentes, o resultado é competitivo. Por que isso é paradoxal? Porque contradiz a intuição de que um mercado com apenas duas firmas deveria gerar lucros oligopolísticos substanciais. A razão é a extrema sensibilidade da demanda: com produtos perfeitamente homogêneos, uma diferença infinitesimal de preço desloca</w:t>
      </w:r>
      <w:r>
        <w:t xml:space="preserve"> </w:t>
      </w:r>
      <w:r>
        <w:rPr>
          <w:i/>
          <w:iCs/>
        </w:rPr>
        <w:t xml:space="preserve">toda</w:t>
      </w:r>
      <w:r>
        <w:t xml:space="preserve"> </w:t>
      </w:r>
      <w:r>
        <w:t xml:space="preserve">a demanda para a firma mais barata. Essa</w:t>
      </w:r>
      <w:r>
        <w:t xml:space="preserve"> </w:t>
      </w:r>
      <w:r>
        <w:t xml:space="preserve">“competição à navalha”</w:t>
      </w:r>
      <w:r>
        <w:t xml:space="preserve"> </w:t>
      </w:r>
      <w:r>
        <w:t xml:space="preserve">força ambas as firmas ao custo marginal — um resultado idêntico ao de competição perfeita com infinitas firmas.</w:t>
      </w:r>
    </w:p>
    <w:p>
      <w:pPr>
        <w:pStyle w:val="BlockText"/>
      </w:pPr>
      <w:r>
        <w:rPr>
          <w:b/>
          <w:bCs/>
        </w:rPr>
        <w:t xml:space="preserve">[INTUICAO ECONOMICA] Intuição Econômica</w:t>
      </w:r>
    </w:p>
    <w:p>
      <w:pPr>
        <w:pStyle w:val="BlockText"/>
      </w:pPr>
      <w:r>
        <w:rPr>
          <w:b/>
          <w:bCs/>
        </w:rPr>
        <w:t xml:space="preserve">Em uma frase:</w:t>
      </w:r>
      <w:r>
        <w:t xml:space="preserve"> </w:t>
      </w:r>
      <w:r>
        <w:t xml:space="preserve">A variável estratégica da firma — preço ou quantidade — determina radicalmente o equilíbrio do mercado.</w:t>
      </w:r>
    </w:p>
    <w:p>
      <w:pPr>
        <w:pStyle w:val="BlockText"/>
      </w:pPr>
      <w:r>
        <w:rPr>
          <w:b/>
          <w:bCs/>
        </w:rPr>
        <w:t xml:space="preserve">Pense assim:</w:t>
      </w:r>
      <w:r>
        <w:t xml:space="preserve"> </w:t>
      </w:r>
      <w:r>
        <w:t xml:space="preserve">Imagine duas padarias vizinhas no mesmo bairro. Se cada uma decide</w:t>
      </w:r>
      <w:r>
        <w:t xml:space="preserve"> </w:t>
      </w:r>
      <w:r>
        <w:rPr>
          <w:i/>
          <w:iCs/>
        </w:rPr>
        <w:t xml:space="preserve">quantos pães</w:t>
      </w:r>
      <w:r>
        <w:t xml:space="preserve"> </w:t>
      </w:r>
      <w:r>
        <w:t xml:space="preserve">assar de manhã (capacidade), estamos no mundo de Cournot: a produção é decidida antes, e o preço se ajusta pela demanda. Se cada uma decide o</w:t>
      </w:r>
      <w:r>
        <w:t xml:space="preserve"> </w:t>
      </w:r>
      <w:r>
        <w:rPr>
          <w:i/>
          <w:iCs/>
        </w:rPr>
        <w:t xml:space="preserve">preço</w:t>
      </w:r>
      <w:r>
        <w:t xml:space="preserve"> </w:t>
      </w:r>
      <w:r>
        <w:t xml:space="preserve">na vitrine a cada hora (e pode atender toda a demanda), estamos no mundo de Bertrand: qualquer diferença de preço desvia todos os clientes.</w:t>
      </w:r>
    </w:p>
    <w:p>
      <w:pPr>
        <w:pStyle w:val="BlockText"/>
      </w:pPr>
      <w:r>
        <w:rPr>
          <w:b/>
          <w:bCs/>
        </w:rPr>
        <w:t xml:space="preserve">Quando usar cada modelo:</w:t>
      </w:r>
    </w:p>
    <w:p>
      <w:pPr>
        <w:pStyle w:val="Compact"/>
        <w:numPr>
          <w:ilvl w:val="0"/>
          <w:numId w:val="1439"/>
        </w:numPr>
      </w:pPr>
      <w:r>
        <w:rPr>
          <w:b/>
          <w:bCs/>
        </w:rPr>
        <w:t xml:space="preserve">Cournot</w:t>
      </w:r>
      <w:r>
        <w:t xml:space="preserve"> </w:t>
      </w:r>
      <w:r>
        <w:t xml:space="preserve">é mais apropriado quando a capacidade é comprometida antes da competição em preços — petróleo, aço, companhias aéreas em rotas com slots limitados.</w:t>
      </w:r>
    </w:p>
    <w:p>
      <w:pPr>
        <w:pStyle w:val="Compact"/>
        <w:numPr>
          <w:ilvl w:val="0"/>
          <w:numId w:val="1439"/>
        </w:numPr>
      </w:pPr>
      <w:r>
        <w:rPr>
          <w:b/>
          <w:bCs/>
        </w:rPr>
        <w:t xml:space="preserve">Bertrand</w:t>
      </w:r>
      <w:r>
        <w:t xml:space="preserve"> </w:t>
      </w:r>
      <w:r>
        <w:t xml:space="preserve">é mais apropriado quando os preços são flexíveis e a capacidade não é restrição — varejo online, serviços digitais, telecomunicações.</w:t>
      </w:r>
    </w:p>
    <w:p>
      <w:pPr>
        <w:pStyle w:val="Compact"/>
        <w:numPr>
          <w:ilvl w:val="0"/>
          <w:numId w:val="1439"/>
        </w:numPr>
      </w:pPr>
      <w:r>
        <w:rPr>
          <w:b/>
          <w:bCs/>
        </w:rPr>
        <w:t xml:space="preserve">Bertrand com diferenciação</w:t>
      </w:r>
      <w:r>
        <w:t xml:space="preserve"> </w:t>
      </w:r>
      <w:r>
        <w:t xml:space="preserve">(produtos não homogêneos) elimina o paradoxo e gera lucros positivos — a maioria dos mercados reais.</w:t>
      </w:r>
    </w:p>
    <w:p>
      <w:pPr>
        <w:pStyle w:val="BlockText"/>
      </w:pPr>
      <w:r>
        <w:rPr>
          <w:b/>
          <w:bCs/>
        </w:rPr>
        <w:t xml:space="preserve">Por que isso importa para o Brasil:</w:t>
      </w:r>
      <w:r>
        <w:t xml:space="preserve"> </w:t>
      </w:r>
      <w:r>
        <w:t xml:space="preserve">O CADE precisa escolher o modelo correto ao simular fusões. Na aviação (Cournot por slots), fusões têm efeito grande sobre preços; no varejo online (Bertrand com diferenciação), o efeito pode ser menor.</w:t>
      </w:r>
    </w:p>
    <w:p>
      <w:pPr>
        <w:pStyle w:val="BlockText"/>
      </w:pPr>
      <w:r>
        <w:rPr>
          <w:b/>
          <w:bCs/>
        </w:rPr>
        <w:t xml:space="preserve">[INTUICAO ECONOMICA] Intuição Econômica</w:t>
      </w:r>
    </w:p>
    <w:p>
      <w:pPr>
        <w:pStyle w:val="BlockText"/>
      </w:pPr>
      <w:r>
        <w:rPr>
          <w:b/>
          <w:bCs/>
        </w:rPr>
        <w:t xml:space="preserve">Cournot vs. Bertrand: mesma estrutura de mercado, resultados opostos.</w:t>
      </w:r>
    </w:p>
    <w:p>
      <w:pPr>
        <w:pStyle w:val="BlockText"/>
      </w:pPr>
      <w:r>
        <w:t xml:space="preserve">Considere dois mercados com exatamente duas firmas e produtos homogêneos. Em Cournot, o preço de equilíbrio é</w:t>
      </w:r>
      <w:r>
        <w:t xml:space="preserve"> </w:t>
      </w:r>
      <m:oMath>
        <m:sSup>
          <m:e>
            <m:r>
              <m:t>P</m:t>
            </m:r>
          </m:e>
          <m:sup>
            <m:r>
              <m:t>C</m:t>
            </m:r>
          </m:sup>
        </m:sSup>
        <m:r>
          <m:rPr>
            <m:sty m:val="p"/>
          </m:rPr>
          <m:t>=</m:t>
        </m:r>
        <m:r>
          <m:rPr>
            <m:sty m:val="p"/>
          </m:rPr>
          <m:t>(</m:t>
        </m:r>
        <m:r>
          <m:t>a</m:t>
        </m:r>
        <m:r>
          <m:rPr>
            <m:sty m:val="p"/>
          </m:rPr>
          <m:t>+</m:t>
        </m:r>
        <m:r>
          <m:t>2</m:t>
        </m:r>
        <m:r>
          <m:t>c</m:t>
        </m:r>
        <m:r>
          <m:rPr>
            <m:sty m:val="p"/>
          </m:rPr>
          <m:t>)</m:t>
        </m:r>
        <m:r>
          <m:rPr>
            <m:sty m:val="p"/>
          </m:rPr>
          <m:t>/</m:t>
        </m:r>
        <m:r>
          <m:t>3</m:t>
        </m:r>
      </m:oMath>
      <w:r>
        <w:t xml:space="preserve">, com margens positivas para as firmas. Em Bertrand,</w:t>
      </w:r>
      <w:r>
        <w:t xml:space="preserve"> </w:t>
      </w:r>
      <m:oMath>
        <m:sSup>
          <m:e>
            <m:r>
              <m:t>P</m:t>
            </m:r>
          </m:e>
          <m:sup>
            <m:r>
              <m:t>B</m:t>
            </m:r>
          </m:sup>
        </m:sSup>
        <m:r>
          <m:rPr>
            <m:sty m:val="p"/>
          </m:rPr>
          <m:t>=</m:t>
        </m:r>
        <m:r>
          <m:t>c</m:t>
        </m:r>
      </m:oMath>
      <w:r>
        <w:t xml:space="preserve"> </w:t>
      </w:r>
      <w:r>
        <w:t xml:space="preserve">— margem zero. A única diferença é a variável estratégica escolhida: quantidade ou preço.</w:t>
      </w:r>
    </w:p>
    <w:p>
      <w:pPr>
        <w:pStyle w:val="BlockText"/>
      </w:pPr>
      <w:r>
        <w:t xml:space="preserve">Esse resultado — às vezes chamado de</w:t>
      </w:r>
      <w:r>
        <w:t xml:space="preserve"> </w:t>
      </w:r>
      <w:r>
        <w:rPr>
          <w:b/>
          <w:bCs/>
        </w:rPr>
        <w:t xml:space="preserve">paradoxo de Bertrand</w:t>
      </w:r>
      <w:r>
        <w:t xml:space="preserve"> </w:t>
      </w:r>
      <w:r>
        <w:t xml:space="preserve">— captura algo profundo sobre como a natureza da competição é tão importante quanto o número de concorrentes. Dois concorrentes podem gerar resultado competitivo (Bertrand com produtos homogêneos) ou resultado quase monopolístico (Cournot com poucas firmas).</w:t>
      </w:r>
    </w:p>
    <w:p>
      <w:pPr>
        <w:pStyle w:val="BlockText"/>
      </w:pPr>
      <w:r>
        <w:t xml:space="preserve">A resolução do paradoxo em contextos reais vem de três fontes: (i)</w:t>
      </w:r>
      <w:r>
        <w:t xml:space="preserve"> </w:t>
      </w:r>
      <w:r>
        <w:rPr>
          <w:b/>
          <w:bCs/>
        </w:rPr>
        <w:t xml:space="preserve">restrições de capacidade</w:t>
      </w:r>
      <w:r>
        <w:t xml:space="preserve"> </w:t>
      </w:r>
      <w:r>
        <w:t xml:space="preserve">— se cada firma não consegue atender toda a demanda sozinha, a competição Bertrand não leva mais ao custo marginal (resultado de Edgeworth-Kreps-Scheinkman); (ii)</w:t>
      </w:r>
      <w:r>
        <w:t xml:space="preserve"> </w:t>
      </w:r>
      <w:r>
        <w:rPr>
          <w:b/>
          <w:bCs/>
        </w:rPr>
        <w:t xml:space="preserve">diferenciação de produto</w:t>
      </w:r>
      <w:r>
        <w:t xml:space="preserve"> </w:t>
      </w:r>
      <w:r>
        <w:t xml:space="preserve">— com bens substitutos imperfeitos, os clientes não migram instantaneamente para o fornecedor mais barato, restaurando margens positivas; (iii)</w:t>
      </w:r>
      <w:r>
        <w:t xml:space="preserve"> </w:t>
      </w:r>
      <w:r>
        <w:rPr>
          <w:b/>
          <w:bCs/>
        </w:rPr>
        <w:t xml:space="preserve">custos de mudança</w:t>
      </w:r>
      <w:r>
        <w:t xml:space="preserve"> </w:t>
      </w:r>
      <w:r>
        <w:t xml:space="preserve">— lealdade do cliente e custos de troca (switching costs) tornam a demanda menos sensível a pequenas diferenças de preço. Nos mercados reais, os três fatores coexistem — e o julgamento de qual modelo é mais adequado é central para a análise antitruste.</w:t>
      </w:r>
    </w:p>
    <w:p>
      <w:pPr>
        <w:pStyle w:val="FirstParagraph"/>
      </w:pPr>
      <w:r>
        <w:t xml:space="preserve">[FIGURA INTERATIVA: /micro-book/graficos/cap09/cournot-reacao.html — versao interativa disponivel online]</w:t>
      </w:r>
    </w:p>
    <w:p>
      <w:pPr>
        <w:pStyle w:val="BodyText"/>
      </w:pPr>
      <w:r>
        <w:rPr>
          <w:b/>
          <w:bCs/>
        </w:rPr>
        <w:t xml:space="preserve">Figura 9a.3 — Funções de melhor-resposta de Cournot.</w:t>
      </w:r>
      <w:r>
        <w:t xml:space="preserve"> </w:t>
      </w:r>
      <w:r>
        <w:t xml:space="preserve">Ajuste os parâmetros de demanda (</w:t>
      </w:r>
      <m:oMath>
        <m:r>
          <m:t>a</m:t>
        </m:r>
      </m:oMath>
      <w:r>
        <w:t xml:space="preserve">,</w:t>
      </w:r>
      <w:r>
        <w:t xml:space="preserve"> </w:t>
      </w:r>
      <m:oMath>
        <m:r>
          <m:t>b</m:t>
        </m:r>
      </m:oMath>
      <w:r>
        <w:t xml:space="preserve">) e os custos marginais (</w:t>
      </w:r>
      <m:oMath>
        <m:sSub>
          <m:e>
            <m:r>
              <m:t>c</m:t>
            </m:r>
          </m:e>
          <m:sub>
            <m:r>
              <m:t>1</m:t>
            </m:r>
          </m:sub>
        </m:sSub>
      </m:oMath>
      <w:r>
        <w:t xml:space="preserve">,</w:t>
      </w:r>
      <w:r>
        <w:t xml:space="preserve"> </w:t>
      </w:r>
      <m:oMath>
        <m:sSub>
          <m:e>
            <m:r>
              <m:t>c</m:t>
            </m:r>
          </m:e>
          <m:sub>
            <m:r>
              <m:t>2</m:t>
            </m:r>
          </m:sub>
        </m:sSub>
      </m:oMath>
      <w:r>
        <w:t xml:space="preserve">). O equilíbrio de Nash é a interseção. Clique em</w:t>
      </w:r>
      <w:r>
        <w:t xml:space="preserve"> </w:t>
      </w:r>
      <w:r>
        <w:t xml:space="preserve">“Animar convergência”</w:t>
      </w:r>
      <w:r>
        <w:t xml:space="preserve"> </w:t>
      </w:r>
      <w:r>
        <w:t xml:space="preserve">para visualizar a dinâmica de melhores respostas alternadas.</w:t>
      </w:r>
    </w:p>
    <w:bookmarkEnd w:id="483"/>
    <w:bookmarkStart w:id="485" w:name="X9be870cc9f2049799ca607590310432206a5698"/>
    <w:p>
      <w:pPr>
        <w:pStyle w:val="Heading4"/>
      </w:pPr>
      <w:r>
        <w:t xml:space="preserve">Competição de Stackelberg: a vantagem de jogar primeiro</w:t>
      </w:r>
    </w:p>
    <w:p>
      <w:pPr>
        <w:pStyle w:val="FirstParagraph"/>
      </w:pPr>
      <w:r>
        <w:t xml:space="preserve">Os modelos de Cournot e Bertrand pressupõem decisões simultâneas. Mas em muitos mercados, uma firma estabelecida — por tamanho, reputação ou capacidade instalada — age como líder, tomando sua decisão antes das concorrentes. Existe vantagem em mover primeiro? E como a seguidora deve reagir? O modelo de Stackelberg (1934) responde a essas perguntas, introduzindo a dimensão temporal na competição por quantidades.</w:t>
      </w:r>
    </w:p>
    <w:p>
      <w:pPr>
        <w:pStyle w:val="BlockText"/>
      </w:pPr>
      <w:r>
        <w:rPr>
          <w:b/>
          <w:bCs/>
        </w:rPr>
        <w:t xml:space="preserve">[NOTA] Por que Stackelberg está neste módulo?</w:t>
      </w:r>
    </w:p>
    <w:p>
      <w:pPr>
        <w:pStyle w:val="BlockText"/>
      </w:pPr>
      <w:r>
        <w:t xml:space="preserve">Stackelberg é, rigorosamente, um jogo</w:t>
      </w:r>
      <w:r>
        <w:t xml:space="preserve"> </w:t>
      </w:r>
      <w:r>
        <w:rPr>
          <w:i/>
          <w:iCs/>
        </w:rPr>
        <w:t xml:space="preserve">sequencial</w:t>
      </w:r>
      <w:r>
        <w:t xml:space="preserve"> </w:t>
      </w:r>
      <w:r>
        <w:t xml:space="preserve">— e portanto pertenceria ao Módulo 9b. Apresentamo-lo aqui por uma razão pedagógica: a comparação direta com Cournot e Bertrand (mesma estrutura de mercado, variável diferente) é mais iluminadora do que tratá-lo isoladamente. O leitor deve saber, porém, que a justificativa formal para o resultado de Stackelberg — a indução retroativa e o equilíbrio perfeito em subjogos — será desenvolvida no Módulo 9b (Seção 9b.1). Em particular, a</w:t>
      </w:r>
      <w:r>
        <w:t xml:space="preserve"> </w:t>
      </w:r>
      <w:r>
        <w:t xml:space="preserve">“vantagem do primeiro movimento”</w:t>
      </w:r>
      <w:r>
        <w:t xml:space="preserve"> </w:t>
      </w:r>
      <w:r>
        <w:t xml:space="preserve">só existe porque a líder se</w:t>
      </w:r>
      <w:r>
        <w:t xml:space="preserve"> </w:t>
      </w:r>
      <w:r>
        <w:rPr>
          <w:i/>
          <w:iCs/>
        </w:rPr>
        <w:t xml:space="preserve">compromete credivelmente</w:t>
      </w:r>
      <w:r>
        <w:t xml:space="preserve"> </w:t>
      </w:r>
      <w:r>
        <w:t xml:space="preserve">com uma quantidade; se pudesse mudar de ideia, o resultado voltaria a ser Cournot. A credibilidade desse comprometimento é o tema central do próximo módulo.</w:t>
      </w:r>
    </w:p>
    <w:p>
      <w:pPr>
        <w:pStyle w:val="FirstParagraph"/>
      </w:pPr>
      <w:r>
        <w:t xml:space="preserve">No modelo de Stackelberg, a firma 1 (líder) escolhe</w:t>
      </w:r>
      <w:r>
        <w:t xml:space="preserve"> </w:t>
      </w:r>
      <m:oMath>
        <m:sSub>
          <m:e>
            <m:r>
              <m:t>q</m:t>
            </m:r>
          </m:e>
          <m:sub>
            <m:r>
              <m:t>1</m:t>
            </m:r>
          </m:sub>
        </m:sSub>
      </m:oMath>
      <w:r>
        <w:t xml:space="preserve"> </w:t>
      </w:r>
      <w:r>
        <w:rPr>
          <w:i/>
          <w:iCs/>
        </w:rPr>
        <w:t xml:space="preserve">primeiro</w:t>
      </w:r>
      <w:r>
        <w:t xml:space="preserve">, e a firma 2 (seguidora) observa</w:t>
      </w:r>
      <w:r>
        <w:t xml:space="preserve"> </w:t>
      </w:r>
      <m:oMath>
        <m:sSub>
          <m:e>
            <m:r>
              <m:t>q</m:t>
            </m:r>
          </m:e>
          <m:sub>
            <m:r>
              <m:t>1</m:t>
            </m:r>
          </m:sub>
        </m:sSub>
      </m:oMath>
      <w:r>
        <w:t xml:space="preserve"> </w:t>
      </w:r>
      <w:r>
        <w:t xml:space="preserve">e escolhe</w:t>
      </w:r>
      <w:r>
        <w:t xml:space="preserve"> </w:t>
      </w:r>
      <m:oMath>
        <m:sSub>
          <m:e>
            <m:r>
              <m:t>q</m:t>
            </m:r>
          </m:e>
          <m:sub>
            <m:r>
              <m:t>2</m:t>
            </m:r>
          </m:sub>
        </m:sSub>
      </m:oMath>
      <w:r>
        <w:t xml:space="preserve">. A solução é por</w:t>
      </w:r>
      <w:r>
        <w:t xml:space="preserve"> </w:t>
      </w:r>
      <w:r>
        <w:rPr>
          <w:b/>
          <w:bCs/>
        </w:rPr>
        <w:t xml:space="preserve">indução retroativa</w:t>
      </w:r>
      <w:r>
        <w:t xml:space="preserve"> </w:t>
      </w:r>
      <w:r>
        <w:t xml:space="preserve">(conceito formalizado no Módulo 9b, Seção 9b.1).</w:t>
      </w:r>
    </w:p>
    <w:p>
      <w:pPr>
        <w:pStyle w:val="BodyText"/>
      </w:pPr>
      <w:r>
        <w:rPr>
          <w:b/>
          <w:bCs/>
        </w:rPr>
        <w:t xml:space="preserve">Passo 1 — Seguidora.</w:t>
      </w:r>
      <w:r>
        <w:t xml:space="preserve"> </w:t>
      </w:r>
      <w:r>
        <w:t xml:space="preserve">Dado</w:t>
      </w:r>
      <w:r>
        <w:t xml:space="preserve"> </w:t>
      </w:r>
      <m:oMath>
        <m:sSub>
          <m:e>
            <m:r>
              <m:t>q</m:t>
            </m:r>
          </m:e>
          <m:sub>
            <m:r>
              <m:t>1</m:t>
            </m:r>
          </m:sub>
        </m:sSub>
      </m:oMath>
      <w:r>
        <w:t xml:space="preserve">, a firma 2 maximiza</w:t>
      </w:r>
      <w:r>
        <w:t xml:space="preserve"> </w:t>
      </w:r>
      <m:oMath>
        <m:sSub>
          <m:e>
            <m:r>
              <m:t>π</m:t>
            </m:r>
          </m:e>
          <m:sub>
            <m:r>
              <m:t>2</m:t>
            </m:r>
          </m:sub>
        </m:sSub>
      </m:oMath>
      <w:r>
        <w:t xml:space="preserve">:</w:t>
      </w:r>
    </w:p>
    <w:p>
      <w:pPr>
        <w:pStyle w:val="BodyText"/>
      </w:pPr>
      <m:oMathPara>
        <m:oMathParaPr>
          <m:jc m:val="center"/>
        </m:oMathParaPr>
        <m:oMath>
          <m:sSubSup>
            <m:e>
              <m:r>
                <m:t>q</m:t>
              </m:r>
            </m:e>
            <m:sub>
              <m:r>
                <m:t>2</m:t>
              </m:r>
            </m:sub>
            <m:sup>
              <m:r>
                <m:rPr>
                  <m:sty m:val="p"/>
                </m:rPr>
                <m:t>*</m:t>
              </m:r>
            </m:sup>
          </m:sSubSup>
          <m:r>
            <m:rPr>
              <m:sty m:val="p"/>
            </m:rPr>
            <m:t>(</m:t>
          </m:r>
          <m:sSub>
            <m:e>
              <m:r>
                <m:t>q</m:t>
              </m:r>
            </m:e>
            <m:sub>
              <m:r>
                <m:t>1</m:t>
              </m:r>
            </m:sub>
          </m:sSub>
          <m:r>
            <m:rPr>
              <m:sty m:val="p"/>
            </m:rPr>
            <m:t>)</m:t>
          </m:r>
          <m:r>
            <m:rPr>
              <m:sty m:val="p"/>
            </m:rPr>
            <m:t>=</m:t>
          </m:r>
          <m:f>
            <m:fPr>
              <m:type m:val="bar"/>
            </m:fPr>
            <m:num>
              <m:r>
                <m:t>a</m:t>
              </m:r>
              <m:r>
                <m:rPr>
                  <m:sty m:val="p"/>
                </m:rPr>
                <m:t>−</m:t>
              </m:r>
              <m:sSub>
                <m:e>
                  <m:r>
                    <m:t>c</m:t>
                  </m:r>
                </m:e>
                <m:sub>
                  <m:r>
                    <m:t>2</m:t>
                  </m:r>
                </m:sub>
              </m:sSub>
              <m:r>
                <m:rPr>
                  <m:sty m:val="p"/>
                </m:rPr>
                <m:t>−</m:t>
              </m:r>
              <m:r>
                <m:t>b</m:t>
              </m:r>
              <m:sSub>
                <m:e>
                  <m:r>
                    <m:t>q</m:t>
                  </m:r>
                </m:e>
                <m:sub>
                  <m:r>
                    <m:t>1</m:t>
                  </m:r>
                </m:sub>
              </m:sSub>
            </m:num>
            <m:den>
              <m:r>
                <m:t>2</m:t>
              </m:r>
              <m:r>
                <m:t>b</m:t>
              </m:r>
            </m:den>
          </m:f>
        </m:oMath>
      </m:oMathPara>
    </w:p>
    <w:p>
      <w:pPr>
        <w:pStyle w:val="FirstParagraph"/>
      </w:pPr>
      <w:r>
        <w:rPr>
          <w:b/>
          <w:bCs/>
        </w:rPr>
        <w:t xml:space="preserve">Passo 2 — Líder.</w:t>
      </w:r>
      <w:r>
        <w:t xml:space="preserve"> </w:t>
      </w:r>
      <w:r>
        <w:t xml:space="preserve">A firma 1 antecipa a reação da firma 2 e maximiza:</w:t>
      </w:r>
    </w:p>
    <w:p>
      <w:pPr>
        <w:pStyle w:val="BodyText"/>
      </w:pPr>
      <m:oMathPara>
        <m:oMathParaPr>
          <m:jc m:val="center"/>
        </m:oMathParaPr>
        <m:oMath>
          <m:sSub>
            <m:e>
              <m:r>
                <m:t>π</m:t>
              </m:r>
            </m:e>
            <m:sub>
              <m:r>
                <m:t>1</m:t>
              </m:r>
            </m:sub>
          </m:sSub>
          <m:r>
            <m:rPr>
              <m:sty m:val="p"/>
            </m:rPr>
            <m:t>=</m:t>
          </m:r>
          <m:d>
            <m:dPr>
              <m:begChr m:val="("/>
              <m:sepChr m:val=""/>
              <m:endChr m:val=")"/>
              <m:grow/>
            </m:dPr>
            <m:e>
              <m:r>
                <m:t>a</m:t>
              </m:r>
              <m:r>
                <m:rPr>
                  <m:sty m:val="p"/>
                </m:rPr>
                <m:t>−</m:t>
              </m:r>
              <m:r>
                <m:t>b</m:t>
              </m:r>
              <m:sSub>
                <m:e>
                  <m:r>
                    <m:t>q</m:t>
                  </m:r>
                </m:e>
                <m:sub>
                  <m:r>
                    <m:t>1</m:t>
                  </m:r>
                </m:sub>
              </m:sSub>
              <m:r>
                <m:rPr>
                  <m:sty m:val="p"/>
                </m:rPr>
                <m:t>−</m:t>
              </m:r>
              <m:r>
                <m:t>b</m:t>
              </m:r>
              <m:r>
                <m:rPr>
                  <m:sty m:val="p"/>
                </m:rPr>
                <m:t>⋅</m:t>
              </m:r>
              <m:f>
                <m:fPr>
                  <m:type m:val="bar"/>
                </m:fPr>
                <m:num>
                  <m:r>
                    <m:t>a</m:t>
                  </m:r>
                  <m:r>
                    <m:rPr>
                      <m:sty m:val="p"/>
                    </m:rPr>
                    <m:t>−</m:t>
                  </m:r>
                  <m:sSub>
                    <m:e>
                      <m:r>
                        <m:t>c</m:t>
                      </m:r>
                    </m:e>
                    <m:sub>
                      <m:r>
                        <m:t>2</m:t>
                      </m:r>
                    </m:sub>
                  </m:sSub>
                  <m:r>
                    <m:rPr>
                      <m:sty m:val="p"/>
                    </m:rPr>
                    <m:t>−</m:t>
                  </m:r>
                  <m:r>
                    <m:t>b</m:t>
                  </m:r>
                  <m:sSub>
                    <m:e>
                      <m:r>
                        <m:t>q</m:t>
                      </m:r>
                    </m:e>
                    <m:sub>
                      <m:r>
                        <m:t>1</m:t>
                      </m:r>
                    </m:sub>
                  </m:sSub>
                </m:num>
                <m:den>
                  <m:r>
                    <m:t>2</m:t>
                  </m:r>
                  <m:r>
                    <m:t>b</m:t>
                  </m:r>
                </m:den>
              </m:f>
              <m:r>
                <m:rPr>
                  <m:sty m:val="p"/>
                </m:rPr>
                <m:t>−</m:t>
              </m:r>
              <m:sSub>
                <m:e>
                  <m:r>
                    <m:t>c</m:t>
                  </m:r>
                </m:e>
                <m:sub>
                  <m:r>
                    <m:t>1</m:t>
                  </m:r>
                </m:sub>
              </m:sSub>
            </m:e>
          </m:d>
          <m:sSub>
            <m:e>
              <m:r>
                <m:t>q</m:t>
              </m:r>
            </m:e>
            <m:sub>
              <m:r>
                <m:t>1</m:t>
              </m:r>
            </m:sub>
          </m:sSub>
          <m:r>
            <m:rPr>
              <m:sty m:val="p"/>
            </m:rPr>
            <m:t>=</m:t>
          </m:r>
          <m:d>
            <m:dPr>
              <m:begChr m:val="("/>
              <m:sepChr m:val=""/>
              <m:endChr m:val=")"/>
              <m:grow/>
            </m:dPr>
            <m:e>
              <m:f>
                <m:fPr>
                  <m:type m:val="bar"/>
                </m:fPr>
                <m:num>
                  <m:r>
                    <m:t>a</m:t>
                  </m:r>
                  <m:r>
                    <m:rPr>
                      <m:sty m:val="p"/>
                    </m:rPr>
                    <m:t>+</m:t>
                  </m:r>
                  <m:sSub>
                    <m:e>
                      <m:r>
                        <m:t>c</m:t>
                      </m:r>
                    </m:e>
                    <m:sub>
                      <m:r>
                        <m:t>2</m:t>
                      </m:r>
                    </m:sub>
                  </m:sSub>
                  <m:r>
                    <m:rPr>
                      <m:sty m:val="p"/>
                    </m:rPr>
                    <m:t>−</m:t>
                  </m:r>
                  <m:r>
                    <m:t>2</m:t>
                  </m:r>
                  <m:sSub>
                    <m:e>
                      <m:r>
                        <m:t>c</m:t>
                      </m:r>
                    </m:e>
                    <m:sub>
                      <m:r>
                        <m:t>1</m:t>
                      </m:r>
                    </m:sub>
                  </m:sSub>
                </m:num>
                <m:den>
                  <m:r>
                    <m:t>2</m:t>
                  </m:r>
                </m:den>
              </m:f>
              <m:r>
                <m:rPr>
                  <m:sty m:val="p"/>
                </m:rPr>
                <m:t>−</m:t>
              </m:r>
              <m:f>
                <m:fPr>
                  <m:type m:val="bar"/>
                </m:fPr>
                <m:num>
                  <m:r>
                    <m:t>b</m:t>
                  </m:r>
                  <m:sSub>
                    <m:e>
                      <m:r>
                        <m:t>q</m:t>
                      </m:r>
                    </m:e>
                    <m:sub>
                      <m:r>
                        <m:t>1</m:t>
                      </m:r>
                    </m:sub>
                  </m:sSub>
                </m:num>
                <m:den>
                  <m:r>
                    <m:t>2</m:t>
                  </m:r>
                </m:den>
              </m:f>
            </m:e>
          </m:d>
          <m:sSub>
            <m:e>
              <m:r>
                <m:t>q</m:t>
              </m:r>
            </m:e>
            <m:sub>
              <m:r>
                <m:t>1</m:t>
              </m:r>
            </m:sub>
          </m:sSub>
        </m:oMath>
      </m:oMathPara>
    </w:p>
    <w:p>
      <w:pPr>
        <w:pStyle w:val="FirstParagraph"/>
      </w:pPr>
      <w:r>
        <w:t xml:space="preserve">A CPO gera (para</w:t>
      </w:r>
      <w:r>
        <w:t xml:space="preserve"> </w:t>
      </w:r>
      <m:oMath>
        <m:sSub>
          <m:e>
            <m:r>
              <m:t>c</m:t>
            </m:r>
          </m:e>
          <m:sub>
            <m:r>
              <m:t>1</m:t>
            </m:r>
          </m:sub>
        </m:sSub>
        <m:r>
          <m:rPr>
            <m:sty m:val="p"/>
          </m:rPr>
          <m:t>=</m:t>
        </m:r>
        <m:sSub>
          <m:e>
            <m:r>
              <m:t>c</m:t>
            </m:r>
          </m:e>
          <m:sub>
            <m:r>
              <m:t>2</m:t>
            </m:r>
          </m:sub>
        </m:sSub>
        <m:r>
          <m:rPr>
            <m:sty m:val="p"/>
          </m:rPr>
          <m:t>=</m:t>
        </m:r>
        <m:r>
          <m:t>c</m:t>
        </m:r>
      </m:oMath>
      <w:r>
        <w:t xml:space="preserve">):</w:t>
      </w:r>
    </w:p>
    <w:p>
      <w:pPr>
        <w:pStyle w:val="BodyText"/>
      </w:pPr>
      <m:oMathPara>
        <m:oMathParaPr>
          <m:jc m:val="center"/>
        </m:oMathParaPr>
        <m:oMath>
          <m:sSubSup>
            <m:e>
              <m:r>
                <m:t>q</m:t>
              </m:r>
            </m:e>
            <m:sub>
              <m:r>
                <m:t>1</m:t>
              </m:r>
            </m:sub>
            <m:sup>
              <m:r>
                <m:t>S</m:t>
              </m:r>
            </m:sup>
          </m:sSubSup>
          <m:r>
            <m:rPr>
              <m:sty m:val="p"/>
            </m:rPr>
            <m:t>=</m:t>
          </m:r>
          <m:f>
            <m:fPr>
              <m:type m:val="bar"/>
            </m:fPr>
            <m:num>
              <m:r>
                <m:t>a</m:t>
              </m:r>
              <m:r>
                <m:rPr>
                  <m:sty m:val="p"/>
                </m:rPr>
                <m:t>−</m:t>
              </m:r>
              <m:r>
                <m:t>c</m:t>
              </m:r>
            </m:num>
            <m:den>
              <m:r>
                <m:t>2</m:t>
              </m:r>
              <m:r>
                <m:t>b</m:t>
              </m:r>
            </m:den>
          </m:f>
          <m:r>
            <m:rPr>
              <m:sty m:val="p"/>
            </m:rPr>
            <m:t>,</m:t>
          </m:r>
          <m:r>
            <m:t>  </m:t>
          </m:r>
          <m:sSubSup>
            <m:e>
              <m:r>
                <m:t>q</m:t>
              </m:r>
            </m:e>
            <m:sub>
              <m:r>
                <m:t>2</m:t>
              </m:r>
            </m:sub>
            <m:sup>
              <m:r>
                <m:t>S</m:t>
              </m:r>
            </m:sup>
          </m:sSubSup>
          <m:r>
            <m:rPr>
              <m:sty m:val="p"/>
            </m:rPr>
            <m:t>=</m:t>
          </m:r>
          <m:f>
            <m:fPr>
              <m:type m:val="bar"/>
            </m:fPr>
            <m:num>
              <m:r>
                <m:t>a</m:t>
              </m:r>
              <m:r>
                <m:rPr>
                  <m:sty m:val="p"/>
                </m:rPr>
                <m:t>−</m:t>
              </m:r>
              <m:r>
                <m:t>c</m:t>
              </m:r>
            </m:num>
            <m:den>
              <m:r>
                <m:t>4</m:t>
              </m:r>
              <m:r>
                <m:t>b</m:t>
              </m:r>
            </m:den>
          </m:f>
          <m:r>
            <m:rPr>
              <m:sty m:val="p"/>
            </m:rPr>
            <m:t>,</m:t>
          </m:r>
          <m:r>
            <m:t>  </m:t>
          </m:r>
          <m:sSup>
            <m:e>
              <m:r>
                <m:t>Q</m:t>
              </m:r>
            </m:e>
            <m:sup>
              <m:r>
                <m:t>S</m:t>
              </m:r>
            </m:sup>
          </m:sSup>
          <m:r>
            <m:rPr>
              <m:sty m:val="p"/>
            </m:rPr>
            <m:t>=</m:t>
          </m:r>
          <m:f>
            <m:fPr>
              <m:type m:val="bar"/>
            </m:fPr>
            <m:num>
              <m:r>
                <m:t>3</m:t>
              </m:r>
              <m:r>
                <m:rPr>
                  <m:sty m:val="p"/>
                </m:rPr>
                <m:t>(</m:t>
              </m:r>
              <m:r>
                <m:t>a</m:t>
              </m:r>
              <m:r>
                <m:rPr>
                  <m:sty m:val="p"/>
                </m:rPr>
                <m:t>−</m:t>
              </m:r>
              <m:r>
                <m:t>c</m:t>
              </m:r>
              <m:r>
                <m:rPr>
                  <m:sty m:val="p"/>
                </m:rPr>
                <m:t>)</m:t>
              </m:r>
            </m:num>
            <m:den>
              <m:r>
                <m:t>4</m:t>
              </m:r>
              <m:r>
                <m:t>b</m:t>
              </m:r>
            </m:den>
          </m:f>
          <m:r>
            <m:rPr>
              <m:sty m:val="p"/>
            </m:rPr>
            <m:t>,</m:t>
          </m:r>
          <m:r>
            <m:t>  </m:t>
          </m:r>
          <m:sSup>
            <m:e>
              <m:r>
                <m:t>P</m:t>
              </m:r>
            </m:e>
            <m:sup>
              <m:r>
                <m:t>S</m:t>
              </m:r>
            </m:sup>
          </m:sSup>
          <m:r>
            <m:rPr>
              <m:sty m:val="p"/>
            </m:rPr>
            <m:t>=</m:t>
          </m:r>
          <m:f>
            <m:fPr>
              <m:type m:val="bar"/>
            </m:fPr>
            <m:num>
              <m:r>
                <m:t>a</m:t>
              </m:r>
              <m:r>
                <m:rPr>
                  <m:sty m:val="p"/>
                </m:rPr>
                <m:t>+</m:t>
              </m:r>
              <m:r>
                <m:t>3</m:t>
              </m:r>
              <m:r>
                <m:t>c</m:t>
              </m:r>
            </m:num>
            <m:den>
              <m:r>
                <m:t>4</m:t>
              </m:r>
            </m:den>
          </m:f>
        </m:oMath>
      </m:oMathPara>
    </w:p>
    <w:p>
      <w:pPr>
        <w:pStyle w:val="FirstParagraph"/>
      </w:pPr>
      <w:r>
        <w:t xml:space="preserve">A</w:t>
      </w:r>
      <w:r>
        <w:t xml:space="preserve"> </w:t>
      </w:r>
      <w:hyperlink w:anchor="tabela-9a-5">
        <w:r>
          <w:rPr>
            <w:rStyle w:val="Hyperlink"/>
          </w:rPr>
          <w:t xml:space="preserve">Tabela 9a.5</w:t>
        </w:r>
      </w:hyperlink>
      <w:r>
        <w:t xml:space="preserve"> </w:t>
      </w:r>
      <w:r>
        <w:t xml:space="preserve">compara Cournot, Stackelberg, monopólio e competição perfeita:</w:t>
      </w:r>
    </w:p>
    <w:tbl>
      <w:tblPr>
        <w:tblStyle w:val="Table"/>
        <w:tblW w:type="pct" w:w="5000"/>
        <w:tblLayout w:type="fixed"/>
        <w:tblLook w:firstRow="1" w:lastRow="0" w:firstColumn="0" w:lastColumn="0" w:noHBand="0" w:noVBand="0" w:val="0020"/>
      </w:tblPr>
      <w:tblGrid>
        <w:gridCol w:w="772"/>
        <w:gridCol w:w="1159"/>
        <w:gridCol w:w="1159"/>
        <w:gridCol w:w="2221"/>
        <w:gridCol w:w="2607"/>
      </w:tblGrid>
      <w:tr>
        <w:trPr>
          <w:tblHeader w:val="on"/>
        </w:trPr>
        <w:tc>
          <w:tcPr/>
          <w:p>
            <w:pPr>
              <w:pStyle w:val="Compact"/>
              <w:jc w:val="left"/>
            </w:pPr>
            <w:r>
              <w:t xml:space="preserve">Modelo</w:t>
            </w:r>
          </w:p>
        </w:tc>
        <w:tc>
          <w:tcPr/>
          <w:p>
            <w:pPr>
              <w:pStyle w:val="Compact"/>
              <w:jc w:val="left"/>
            </w:pPr>
            <m:oMath>
              <m:r>
                <m:t>Q</m:t>
              </m:r>
            </m:oMath>
            <w:r>
              <w:t xml:space="preserve"> </w:t>
            </w:r>
            <w:r>
              <w:t xml:space="preserve">total</w:t>
            </w:r>
          </w:p>
        </w:tc>
        <w:tc>
          <w:tcPr/>
          <w:p>
            <w:pPr>
              <w:pStyle w:val="Compact"/>
              <w:jc w:val="left"/>
            </w:pPr>
            <w:r>
              <w:t xml:space="preserve">Preço</w:t>
            </w:r>
            <w:r>
              <w:t xml:space="preserve"> </w:t>
            </w:r>
            <m:oMath>
              <m:r>
                <m:t>P</m:t>
              </m:r>
            </m:oMath>
          </w:p>
        </w:tc>
        <w:tc>
          <w:tcPr/>
          <w:p>
            <w:pPr>
              <w:pStyle w:val="Compact"/>
              <w:jc w:val="left"/>
            </w:pPr>
            <m:oMath>
              <m:sSub>
                <m:e>
                  <m:r>
                    <m:t>π</m:t>
                  </m:r>
                </m:e>
                <m:sub>
                  <m:r>
                    <m:rPr>
                      <m:nor/>
                      <m:sty m:val="p"/>
                    </m:rPr>
                    <m:t>líder</m:t>
                  </m:r>
                </m:sub>
              </m:sSub>
            </m:oMath>
          </w:p>
        </w:tc>
        <w:tc>
          <w:tcPr/>
          <w:p>
            <w:pPr>
              <w:pStyle w:val="Compact"/>
              <w:jc w:val="left"/>
            </w:pPr>
            <m:oMath>
              <m:sSub>
                <m:e>
                  <m:r>
                    <m:t>π</m:t>
                  </m:r>
                </m:e>
                <m:sub>
                  <m:r>
                    <m:rPr>
                      <m:nor/>
                      <m:sty m:val="p"/>
                    </m:rPr>
                    <m:t>seguidora</m:t>
                  </m:r>
                </m:sub>
              </m:sSub>
            </m:oMath>
          </w:p>
        </w:tc>
      </w:tr>
      <w:tr>
        <w:tc>
          <w:tcPr/>
          <w:p>
            <w:pPr>
              <w:pStyle w:val="Compact"/>
              <w:jc w:val="left"/>
            </w:pPr>
            <w:r>
              <w:t xml:space="preserve">Monopólio</w:t>
            </w:r>
          </w:p>
        </w:tc>
        <w:tc>
          <w:tcPr/>
          <w:p>
            <w:pPr>
              <w:pStyle w:val="Compact"/>
              <w:jc w:val="left"/>
            </w:pPr>
            <m:oMath>
              <m:f>
                <m:fPr>
                  <m:type m:val="bar"/>
                </m:fPr>
                <m:num>
                  <m:r>
                    <m:t>a</m:t>
                  </m:r>
                  <m:r>
                    <m:rPr>
                      <m:sty m:val="p"/>
                    </m:rPr>
                    <m:t>−</m:t>
                  </m:r>
                  <m:r>
                    <m:t>c</m:t>
                  </m:r>
                </m:num>
                <m:den>
                  <m:r>
                    <m:t>2</m:t>
                  </m:r>
                  <m:r>
                    <m:t>b</m:t>
                  </m:r>
                </m:den>
              </m:f>
            </m:oMath>
          </w:p>
        </w:tc>
        <w:tc>
          <w:tcPr/>
          <w:p>
            <w:pPr>
              <w:pStyle w:val="Compact"/>
              <w:jc w:val="left"/>
            </w:pPr>
            <m:oMath>
              <m:f>
                <m:fPr>
                  <m:type m:val="bar"/>
                </m:fPr>
                <m:num>
                  <m:r>
                    <m:t>a</m:t>
                  </m:r>
                  <m:r>
                    <m:rPr>
                      <m:sty m:val="p"/>
                    </m:rPr>
                    <m:t>+</m:t>
                  </m:r>
                  <m:r>
                    <m:t>c</m:t>
                  </m:r>
                </m:num>
                <m:den>
                  <m:r>
                    <m:t>2</m:t>
                  </m:r>
                </m:den>
              </m:f>
            </m:oMath>
          </w:p>
        </w:tc>
        <w:tc>
          <w:tcPr/>
          <w:p>
            <w:pPr>
              <w:pStyle w:val="Compact"/>
              <w:jc w:val="left"/>
            </w:pPr>
            <m:oMath>
              <m:f>
                <m:fPr>
                  <m:type m:val="bar"/>
                </m:fPr>
                <m:num>
                  <m:r>
                    <m:rPr>
                      <m:sty m:val="p"/>
                    </m:rPr>
                    <m:t>(</m:t>
                  </m:r>
                  <m:r>
                    <m:t>a</m:t>
                  </m:r>
                  <m:r>
                    <m:rPr>
                      <m:sty m:val="p"/>
                    </m:rPr>
                    <m:t>−</m:t>
                  </m:r>
                  <m:r>
                    <m:t>c</m:t>
                  </m:r>
                  <m:sSup>
                    <m:e>
                      <m:r>
                        <m:rPr>
                          <m:sty m:val="p"/>
                        </m:rPr>
                        <m:t>)</m:t>
                      </m:r>
                    </m:e>
                    <m:sup>
                      <m:r>
                        <m:t>2</m:t>
                      </m:r>
                    </m:sup>
                  </m:sSup>
                </m:num>
                <m:den>
                  <m:r>
                    <m:t>4</m:t>
                  </m:r>
                  <m:r>
                    <m:t>b</m:t>
                  </m:r>
                </m:den>
              </m:f>
            </m:oMath>
          </w:p>
        </w:tc>
        <w:tc>
          <w:tcPr/>
          <w:p>
            <w:pPr>
              <w:pStyle w:val="Compact"/>
              <w:jc w:val="left"/>
            </w:pPr>
            <w:r>
              <w:t xml:space="preserve">—</w:t>
            </w:r>
          </w:p>
        </w:tc>
      </w:tr>
      <w:tr>
        <w:tc>
          <w:tcPr/>
          <w:p>
            <w:pPr>
              <w:pStyle w:val="Compact"/>
              <w:jc w:val="left"/>
            </w:pPr>
            <w:r>
              <w:t xml:space="preserve">Stackelberg</w:t>
            </w:r>
          </w:p>
        </w:tc>
        <w:tc>
          <w:tcPr/>
          <w:p>
            <w:pPr>
              <w:pStyle w:val="Compact"/>
              <w:jc w:val="left"/>
            </w:pPr>
            <m:oMath>
              <m:f>
                <m:fPr>
                  <m:type m:val="bar"/>
                </m:fPr>
                <m:num>
                  <m:r>
                    <m:t>3</m:t>
                  </m:r>
                  <m:r>
                    <m:rPr>
                      <m:sty m:val="p"/>
                    </m:rPr>
                    <m:t>(</m:t>
                  </m:r>
                  <m:r>
                    <m:t>a</m:t>
                  </m:r>
                  <m:r>
                    <m:rPr>
                      <m:sty m:val="p"/>
                    </m:rPr>
                    <m:t>−</m:t>
                  </m:r>
                  <m:r>
                    <m:t>c</m:t>
                  </m:r>
                  <m:r>
                    <m:rPr>
                      <m:sty m:val="p"/>
                    </m:rPr>
                    <m:t>)</m:t>
                  </m:r>
                </m:num>
                <m:den>
                  <m:r>
                    <m:t>4</m:t>
                  </m:r>
                  <m:r>
                    <m:t>b</m:t>
                  </m:r>
                </m:den>
              </m:f>
            </m:oMath>
          </w:p>
        </w:tc>
        <w:tc>
          <w:tcPr/>
          <w:p>
            <w:pPr>
              <w:pStyle w:val="Compact"/>
              <w:jc w:val="left"/>
            </w:pPr>
            <m:oMath>
              <m:f>
                <m:fPr>
                  <m:type m:val="bar"/>
                </m:fPr>
                <m:num>
                  <m:r>
                    <m:t>a</m:t>
                  </m:r>
                  <m:r>
                    <m:rPr>
                      <m:sty m:val="p"/>
                    </m:rPr>
                    <m:t>+</m:t>
                  </m:r>
                  <m:r>
                    <m:t>3</m:t>
                  </m:r>
                  <m:r>
                    <m:t>c</m:t>
                  </m:r>
                </m:num>
                <m:den>
                  <m:r>
                    <m:t>4</m:t>
                  </m:r>
                </m:den>
              </m:f>
            </m:oMath>
          </w:p>
        </w:tc>
        <w:tc>
          <w:tcPr/>
          <w:p>
            <w:pPr>
              <w:pStyle w:val="Compact"/>
              <w:jc w:val="left"/>
            </w:pPr>
            <m:oMath>
              <m:f>
                <m:fPr>
                  <m:type m:val="bar"/>
                </m:fPr>
                <m:num>
                  <m:r>
                    <m:rPr>
                      <m:sty m:val="p"/>
                    </m:rPr>
                    <m:t>(</m:t>
                  </m:r>
                  <m:r>
                    <m:t>a</m:t>
                  </m:r>
                  <m:r>
                    <m:rPr>
                      <m:sty m:val="p"/>
                    </m:rPr>
                    <m:t>−</m:t>
                  </m:r>
                  <m:r>
                    <m:t>c</m:t>
                  </m:r>
                  <m:sSup>
                    <m:e>
                      <m:r>
                        <m:rPr>
                          <m:sty m:val="p"/>
                        </m:rPr>
                        <m:t>)</m:t>
                      </m:r>
                    </m:e>
                    <m:sup>
                      <m:r>
                        <m:t>2</m:t>
                      </m:r>
                    </m:sup>
                  </m:sSup>
                </m:num>
                <m:den>
                  <m:r>
                    <m:t>8</m:t>
                  </m:r>
                  <m:r>
                    <m:t>b</m:t>
                  </m:r>
                </m:den>
              </m:f>
            </m:oMath>
          </w:p>
        </w:tc>
        <w:tc>
          <w:tcPr/>
          <w:p>
            <w:pPr>
              <w:pStyle w:val="Compact"/>
              <w:jc w:val="left"/>
            </w:pPr>
            <m:oMath>
              <m:f>
                <m:fPr>
                  <m:type m:val="bar"/>
                </m:fPr>
                <m:num>
                  <m:r>
                    <m:rPr>
                      <m:sty m:val="p"/>
                    </m:rPr>
                    <m:t>(</m:t>
                  </m:r>
                  <m:r>
                    <m:t>a</m:t>
                  </m:r>
                  <m:r>
                    <m:rPr>
                      <m:sty m:val="p"/>
                    </m:rPr>
                    <m:t>−</m:t>
                  </m:r>
                  <m:r>
                    <m:t>c</m:t>
                  </m:r>
                  <m:sSup>
                    <m:e>
                      <m:r>
                        <m:rPr>
                          <m:sty m:val="p"/>
                        </m:rPr>
                        <m:t>)</m:t>
                      </m:r>
                    </m:e>
                    <m:sup>
                      <m:r>
                        <m:t>2</m:t>
                      </m:r>
                    </m:sup>
                  </m:sSup>
                </m:num>
                <m:den>
                  <m:r>
                    <m:t>16</m:t>
                  </m:r>
                  <m:r>
                    <m:t>b</m:t>
                  </m:r>
                </m:den>
              </m:f>
            </m:oMath>
          </w:p>
        </w:tc>
      </w:tr>
      <w:tr>
        <w:tc>
          <w:tcPr/>
          <w:p>
            <w:pPr>
              <w:pStyle w:val="Compact"/>
              <w:jc w:val="left"/>
            </w:pPr>
            <w:r>
              <w:t xml:space="preserve">Cournot</w:t>
            </w:r>
          </w:p>
        </w:tc>
        <w:tc>
          <w:tcPr/>
          <w:p>
            <w:pPr>
              <w:pStyle w:val="Compact"/>
              <w:jc w:val="left"/>
            </w:pPr>
            <m:oMath>
              <m:f>
                <m:fPr>
                  <m:type m:val="bar"/>
                </m:fPr>
                <m:num>
                  <m:r>
                    <m:t>2</m:t>
                  </m:r>
                  <m:r>
                    <m:rPr>
                      <m:sty m:val="p"/>
                    </m:rPr>
                    <m:t>(</m:t>
                  </m:r>
                  <m:r>
                    <m:t>a</m:t>
                  </m:r>
                  <m:r>
                    <m:rPr>
                      <m:sty m:val="p"/>
                    </m:rPr>
                    <m:t>−</m:t>
                  </m:r>
                  <m:r>
                    <m:t>c</m:t>
                  </m:r>
                  <m:r>
                    <m:rPr>
                      <m:sty m:val="p"/>
                    </m:rPr>
                    <m:t>)</m:t>
                  </m:r>
                </m:num>
                <m:den>
                  <m:r>
                    <m:t>3</m:t>
                  </m:r>
                  <m:r>
                    <m:t>b</m:t>
                  </m:r>
                </m:den>
              </m:f>
            </m:oMath>
          </w:p>
        </w:tc>
        <w:tc>
          <w:tcPr/>
          <w:p>
            <w:pPr>
              <w:pStyle w:val="Compact"/>
              <w:jc w:val="left"/>
            </w:pPr>
            <m:oMath>
              <m:f>
                <m:fPr>
                  <m:type m:val="bar"/>
                </m:fPr>
                <m:num>
                  <m:r>
                    <m:t>a</m:t>
                  </m:r>
                  <m:r>
                    <m:rPr>
                      <m:sty m:val="p"/>
                    </m:rPr>
                    <m:t>+</m:t>
                  </m:r>
                  <m:r>
                    <m:t>2</m:t>
                  </m:r>
                  <m:r>
                    <m:t>c</m:t>
                  </m:r>
                </m:num>
                <m:den>
                  <m:r>
                    <m:t>3</m:t>
                  </m:r>
                </m:den>
              </m:f>
            </m:oMath>
          </w:p>
        </w:tc>
        <w:tc>
          <w:tcPr/>
          <w:p>
            <w:pPr>
              <w:pStyle w:val="Compact"/>
              <w:jc w:val="left"/>
            </w:pPr>
            <m:oMath>
              <m:f>
                <m:fPr>
                  <m:type m:val="bar"/>
                </m:fPr>
                <m:num>
                  <m:r>
                    <m:rPr>
                      <m:sty m:val="p"/>
                    </m:rPr>
                    <m:t>(</m:t>
                  </m:r>
                  <m:r>
                    <m:t>a</m:t>
                  </m:r>
                  <m:r>
                    <m:rPr>
                      <m:sty m:val="p"/>
                    </m:rPr>
                    <m:t>−</m:t>
                  </m:r>
                  <m:r>
                    <m:t>c</m:t>
                  </m:r>
                  <m:sSup>
                    <m:e>
                      <m:r>
                        <m:rPr>
                          <m:sty m:val="p"/>
                        </m:rPr>
                        <m:t>)</m:t>
                      </m:r>
                    </m:e>
                    <m:sup>
                      <m:r>
                        <m:t>2</m:t>
                      </m:r>
                    </m:sup>
                  </m:sSup>
                </m:num>
                <m:den>
                  <m:r>
                    <m:t>9</m:t>
                  </m:r>
                  <m:r>
                    <m:t>b</m:t>
                  </m:r>
                </m:den>
              </m:f>
            </m:oMath>
          </w:p>
        </w:tc>
        <w:tc>
          <w:tcPr/>
          <w:p>
            <w:pPr>
              <w:pStyle w:val="Compact"/>
              <w:jc w:val="left"/>
            </w:pPr>
            <m:oMath>
              <m:f>
                <m:fPr>
                  <m:type m:val="bar"/>
                </m:fPr>
                <m:num>
                  <m:r>
                    <m:rPr>
                      <m:sty m:val="p"/>
                    </m:rPr>
                    <m:t>(</m:t>
                  </m:r>
                  <m:r>
                    <m:t>a</m:t>
                  </m:r>
                  <m:r>
                    <m:rPr>
                      <m:sty m:val="p"/>
                    </m:rPr>
                    <m:t>−</m:t>
                  </m:r>
                  <m:r>
                    <m:t>c</m:t>
                  </m:r>
                  <m:sSup>
                    <m:e>
                      <m:r>
                        <m:rPr>
                          <m:sty m:val="p"/>
                        </m:rPr>
                        <m:t>)</m:t>
                      </m:r>
                    </m:e>
                    <m:sup>
                      <m:r>
                        <m:t>2</m:t>
                      </m:r>
                    </m:sup>
                  </m:sSup>
                </m:num>
                <m:den>
                  <m:r>
                    <m:t>9</m:t>
                  </m:r>
                  <m:r>
                    <m:t>b</m:t>
                  </m:r>
                </m:den>
              </m:f>
            </m:oMath>
          </w:p>
        </w:tc>
      </w:tr>
      <w:tr>
        <w:tc>
          <w:tcPr/>
          <w:p>
            <w:pPr>
              <w:pStyle w:val="Compact"/>
              <w:jc w:val="left"/>
            </w:pPr>
            <w:r>
              <w:t xml:space="preserve">Comp. Perfeita</w:t>
            </w:r>
          </w:p>
        </w:tc>
        <w:tc>
          <w:tcPr/>
          <w:p>
            <w:pPr>
              <w:pStyle w:val="Compact"/>
              <w:jc w:val="left"/>
            </w:pPr>
            <m:oMath>
              <m:f>
                <m:fPr>
                  <m:type m:val="bar"/>
                </m:fPr>
                <m:num>
                  <m:r>
                    <m:t>a</m:t>
                  </m:r>
                  <m:r>
                    <m:rPr>
                      <m:sty m:val="p"/>
                    </m:rPr>
                    <m:t>−</m:t>
                  </m:r>
                  <m:r>
                    <m:t>c</m:t>
                  </m:r>
                </m:num>
                <m:den>
                  <m:r>
                    <m:t>b</m:t>
                  </m:r>
                </m:den>
              </m:f>
            </m:oMath>
          </w:p>
        </w:tc>
        <w:tc>
          <w:tcPr/>
          <w:p>
            <w:pPr>
              <w:pStyle w:val="Compact"/>
              <w:jc w:val="left"/>
            </w:pPr>
            <m:oMath>
              <m:r>
                <m:t>c</m:t>
              </m:r>
            </m:oMath>
          </w:p>
        </w:tc>
        <w:tc>
          <w:tcPr/>
          <w:p>
            <w:pPr>
              <w:pStyle w:val="Compact"/>
              <w:jc w:val="left"/>
            </w:pPr>
            <w:r>
              <w:t xml:space="preserve">0</w:t>
            </w:r>
          </w:p>
        </w:tc>
        <w:tc>
          <w:tcPr/>
          <w:p>
            <w:pPr>
              <w:pStyle w:val="Compact"/>
              <w:jc w:val="left"/>
            </w:pPr>
            <w:r>
              <w:t xml:space="preserve">0</w:t>
            </w:r>
          </w:p>
        </w:tc>
      </w:tr>
    </w:tbl>
    <w:p>
      <w:pPr>
        <w:pStyle w:val="BodyText"/>
      </w:pPr>
      <w:r>
        <w:rPr>
          <w:b/>
          <w:bCs/>
        </w:rPr>
        <w:t xml:space="preserve">Tabela 9a.5 — Comparação Cournot, Stackelberg, monopólio e competição perfeita.</w:t>
      </w:r>
    </w:p>
    <w:p>
      <w:pPr>
        <w:pStyle w:val="BodyText"/>
      </w:pPr>
      <w:r>
        <w:t xml:space="preserve">A líder em Stackelberg produz</w:t>
      </w:r>
      <w:r>
        <w:t xml:space="preserve"> </w:t>
      </w:r>
      <w:r>
        <w:rPr>
          <w:i/>
          <w:iCs/>
        </w:rPr>
        <w:t xml:space="preserve">mais</w:t>
      </w:r>
      <w:r>
        <w:t xml:space="preserve"> </w:t>
      </w:r>
      <w:r>
        <w:t xml:space="preserve">e lucra</w:t>
      </w:r>
      <w:r>
        <w:t xml:space="preserve"> </w:t>
      </w:r>
      <w:r>
        <w:rPr>
          <w:i/>
          <w:iCs/>
        </w:rPr>
        <w:t xml:space="preserve">mais</w:t>
      </w:r>
      <w:r>
        <w:t xml:space="preserve"> </w:t>
      </w:r>
      <w:r>
        <w:t xml:space="preserve">que em Cournot. A seguidora produz</w:t>
      </w:r>
      <w:r>
        <w:t xml:space="preserve"> </w:t>
      </w:r>
      <w:r>
        <w:rPr>
          <w:i/>
          <w:iCs/>
        </w:rPr>
        <w:t xml:space="preserve">menos</w:t>
      </w:r>
      <w:r>
        <w:t xml:space="preserve"> </w:t>
      </w:r>
      <w:r>
        <w:t xml:space="preserve">e lucra</w:t>
      </w:r>
      <w:r>
        <w:t xml:space="preserve"> </w:t>
      </w:r>
      <w:r>
        <w:rPr>
          <w:i/>
          <w:iCs/>
        </w:rPr>
        <w:t xml:space="preserve">menos</w:t>
      </w:r>
      <w:r>
        <w:t xml:space="preserve">. A quantidade total é maior e o preço é menor — o consumidor prefere Stackelberg a Cournot. Em termos econômicos, a tabela revela uma hierarquia clara de bem-estar do consumidor: competição perfeita &gt; Stackelberg &gt; Cournot &gt; Monopólio. Quanto mais intensa a competição — seja pelo número de firmas ou pela estrutura do jogo — mais o excedente é transferido dos produtores para os consumidores.</w:t>
      </w:r>
    </w:p>
    <w:p>
      <w:pPr>
        <w:pStyle w:val="BlockText"/>
      </w:pPr>
      <w:r>
        <w:rPr>
          <w:b/>
          <w:bCs/>
        </w:rPr>
        <w:t xml:space="preserve">[DICA] Vantagem do primeiro movimento</w:t>
      </w:r>
    </w:p>
    <w:p>
      <w:pPr>
        <w:pStyle w:val="BlockText"/>
      </w:pPr>
      <w:r>
        <w:t xml:space="preserve">A vantagem da líder em Stackelberg vem do</w:t>
      </w:r>
      <w:r>
        <w:t xml:space="preserve"> </w:t>
      </w:r>
      <w:r>
        <w:rPr>
          <w:b/>
          <w:bCs/>
        </w:rPr>
        <w:t xml:space="preserve">comprometimento crível</w:t>
      </w:r>
      <w:r>
        <w:t xml:space="preserve"> </w:t>
      </w:r>
      <w:r>
        <w:t xml:space="preserve">com uma quantidade alta. Se a líder pudesse mudar de ideia depois de observar</w:t>
      </w:r>
      <w:r>
        <w:t xml:space="preserve"> </w:t>
      </w:r>
      <m:oMath>
        <m:sSub>
          <m:e>
            <m:r>
              <m:t>q</m:t>
            </m:r>
          </m:e>
          <m:sub>
            <m:r>
              <m:t>2</m:t>
            </m:r>
          </m:sub>
        </m:sSub>
      </m:oMath>
      <w:r>
        <w:t xml:space="preserve">, o resultado voltaria a ser Cournot. O comprometimento (ex: investimento irreversível em capacidade) é o que confere poder à líder.</w:t>
      </w:r>
    </w:p>
    <w:p>
      <w:pPr>
        <w:pStyle w:val="FirstParagraph"/>
      </w:pPr>
      <w:r>
        <w:t xml:space="preserve">[FIGURA INTERATIVA: /micro-book/graficos/cap09/stackelberg-reacao.html — versao interativa disponivel online]</w:t>
      </w:r>
    </w:p>
    <w:p>
      <w:pPr>
        <w:pStyle w:val="BodyText"/>
      </w:pPr>
      <w:r>
        <w:rPr>
          <w:b/>
          <w:bCs/>
        </w:rPr>
        <w:t xml:space="preserve">Figura 9a.4 — Stackelberg vs Cournot.</w:t>
      </w:r>
      <w:r>
        <w:t xml:space="preserve"> </w:t>
      </w:r>
      <w:r>
        <w:t xml:space="preserve">A isoprofit da líder tangencia a função de melhor-resposta da seguidora no ponto de Stackelberg. Compare com o equilíbrio de Cournot (interseção das funções de melhor-resposta). Altere os custos para ver o efeito de assimetrias.</w:t>
      </w:r>
    </w:p>
    <w:p>
      <w:pPr>
        <w:pStyle w:val="BlockText"/>
      </w:pPr>
      <w:r>
        <w:rPr>
          <w:b/>
          <w:bCs/>
        </w:rPr>
        <w:t xml:space="preserve">[BOX BRASIL] Box Brasil — CADE, fusões e o mercado de cervejas: Ambev, Heineken e Petrópolis</w:t>
      </w:r>
    </w:p>
    <w:p>
      <w:pPr>
        <w:pStyle w:val="BlockText"/>
      </w:pPr>
      <w:r>
        <w:t xml:space="preserve">O mercado brasileiro de cervejas é um dos mais concentrados do mundo e ilustra com precisão como os modelos de Cournot, Bertrand e Stackelberg se articulam com a análise antitruste do</w:t>
      </w:r>
      <w:r>
        <w:t xml:space="preserve"> </w:t>
      </w:r>
      <w:r>
        <w:rPr>
          <w:b/>
          <w:bCs/>
        </w:rPr>
        <w:t xml:space="preserve">CADE</w:t>
      </w:r>
      <w:r>
        <w:t xml:space="preserve"> </w:t>
      </w:r>
      <w:r>
        <w:t xml:space="preserve">(Conselho Administrativo de Defesa Econômica).</w:t>
      </w:r>
    </w:p>
    <w:p>
      <w:pPr>
        <w:pStyle w:val="BlockText"/>
      </w:pPr>
      <w:r>
        <w:rPr>
          <w:b/>
          <w:bCs/>
        </w:rPr>
        <w:t xml:space="preserve">Estrutura do mercado</w:t>
      </w:r>
    </w:p>
    <w:p>
      <w:pPr>
        <w:pStyle w:val="BlockText"/>
      </w:pPr>
      <w:r>
        <w:t xml:space="preserve">O mercado de cervejas no Brasil é dominado por três grupos: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Grupo</w:t>
            </w:r>
          </w:p>
        </w:tc>
        <w:tc>
          <w:tcPr/>
          <w:p>
            <w:pPr>
              <w:pStyle w:val="Compact"/>
              <w:jc w:val="left"/>
            </w:pPr>
            <w:r>
              <w:t xml:space="preserve">Principais marcas</w:t>
            </w:r>
          </w:p>
        </w:tc>
        <w:tc>
          <w:tcPr/>
          <w:p>
            <w:pPr>
              <w:pStyle w:val="Compact"/>
              <w:jc w:val="center"/>
            </w:pPr>
            <w:r>
              <w:t xml:space="preserve">Market share estimado (2024)</w:t>
            </w:r>
          </w:p>
        </w:tc>
      </w:tr>
      <w:tr>
        <w:tc>
          <w:tcPr/>
          <w:p>
            <w:pPr>
              <w:pStyle w:val="Compact"/>
              <w:jc w:val="left"/>
            </w:pPr>
            <w:r>
              <w:t xml:space="preserve">Ambev (InBev)</w:t>
            </w:r>
          </w:p>
        </w:tc>
        <w:tc>
          <w:tcPr/>
          <w:p>
            <w:pPr>
              <w:pStyle w:val="Compact"/>
              <w:jc w:val="left"/>
            </w:pPr>
            <w:r>
              <w:t xml:space="preserve">Skol, Brahma, Antarctica, Bohemia, Corona</w:t>
            </w:r>
          </w:p>
        </w:tc>
        <w:tc>
          <w:tcPr/>
          <w:p>
            <w:pPr>
              <w:pStyle w:val="Compact"/>
              <w:jc w:val="center"/>
            </w:pPr>
            <w:r>
              <w:t xml:space="preserve">~45%</w:t>
            </w:r>
          </w:p>
        </w:tc>
      </w:tr>
      <w:tr>
        <w:tc>
          <w:tcPr/>
          <w:p>
            <w:pPr>
              <w:pStyle w:val="Compact"/>
              <w:jc w:val="left"/>
            </w:pPr>
            <w:r>
              <w:t xml:space="preserve">Heineken Brasil</w:t>
            </w:r>
          </w:p>
        </w:tc>
        <w:tc>
          <w:tcPr/>
          <w:p>
            <w:pPr>
              <w:pStyle w:val="Compact"/>
              <w:jc w:val="left"/>
            </w:pPr>
            <w:r>
              <w:t xml:space="preserve">Heineken, Kaiser, Amstel, Sol</w:t>
            </w:r>
          </w:p>
        </w:tc>
        <w:tc>
          <w:tcPr/>
          <w:p>
            <w:pPr>
              <w:pStyle w:val="Compact"/>
              <w:jc w:val="center"/>
            </w:pPr>
            <w:r>
              <w:t xml:space="preserve">~20%</w:t>
            </w:r>
          </w:p>
        </w:tc>
      </w:tr>
      <w:tr>
        <w:tc>
          <w:tcPr/>
          <w:p>
            <w:pPr>
              <w:pStyle w:val="Compact"/>
              <w:jc w:val="left"/>
            </w:pPr>
            <w:r>
              <w:t xml:space="preserve">Petrópolis</w:t>
            </w:r>
          </w:p>
        </w:tc>
        <w:tc>
          <w:tcPr/>
          <w:p>
            <w:pPr>
              <w:pStyle w:val="Compact"/>
              <w:jc w:val="left"/>
            </w:pPr>
            <w:r>
              <w:t xml:space="preserve">Itaipava, Crystal, TNT, Black Princess</w:t>
            </w:r>
          </w:p>
        </w:tc>
        <w:tc>
          <w:tcPr/>
          <w:p>
            <w:pPr>
              <w:pStyle w:val="Compact"/>
              <w:jc w:val="center"/>
            </w:pPr>
            <w:r>
              <w:t xml:space="preserve">~11%</w:t>
            </w:r>
          </w:p>
        </w:tc>
      </w:tr>
      <w:tr>
        <w:tc>
          <w:tcPr/>
          <w:p>
            <w:pPr>
              <w:pStyle w:val="Compact"/>
              <w:jc w:val="left"/>
            </w:pPr>
            <w:r>
              <w:t xml:space="preserve">Outros</w:t>
            </w:r>
          </w:p>
        </w:tc>
        <w:tc>
          <w:tcPr/>
          <w:p>
            <w:pPr>
              <w:pStyle w:val="Compact"/>
              <w:jc w:val="left"/>
            </w:pPr>
            <w:r>
              <w:t xml:space="preserve">Backer, Cervas artesanais, importadas</w:t>
            </w:r>
          </w:p>
        </w:tc>
        <w:tc>
          <w:tcPr/>
          <w:p>
            <w:pPr>
              <w:pStyle w:val="Compact"/>
              <w:jc w:val="center"/>
            </w:pPr>
            <w:r>
              <w:t xml:space="preserve">~24%</w:t>
            </w:r>
          </w:p>
        </w:tc>
      </w:tr>
    </w:tbl>
    <w:p>
      <w:pPr>
        <w:pStyle w:val="BlockText"/>
      </w:pPr>
      <w:r>
        <w:t xml:space="preserve">Os três maiores grupos acumulam cerca de</w:t>
      </w:r>
      <w:r>
        <w:t xml:space="preserve"> </w:t>
      </w:r>
      <w:r>
        <w:rPr>
          <w:b/>
          <w:bCs/>
        </w:rPr>
        <w:t xml:space="preserve">76% do mercado</w:t>
      </w:r>
      <w:r>
        <w:t xml:space="preserve">, configurando um oligopólio altamente concentrado — com</w:t>
      </w:r>
      <w:r>
        <w:t xml:space="preserve"> </w:t>
      </w:r>
      <w:r>
        <w:rPr>
          <w:b/>
          <w:bCs/>
        </w:rPr>
        <w:t xml:space="preserve">HHI</w:t>
      </w:r>
      <w:r>
        <w:t xml:space="preserve"> </w:t>
      </w:r>
      <w:r>
        <w:t xml:space="preserve">(Índice Herfindahl-Hirschman) estimado acima de 2.500, bem acima do limiar de 1.500 adotado pelo CADE como sinal de concentração elevada.</w:t>
      </w:r>
    </w:p>
    <w:p>
      <w:pPr>
        <w:pStyle w:val="BlockText"/>
      </w:pPr>
      <w:r>
        <w:rPr>
          <w:b/>
          <w:bCs/>
        </w:rPr>
        <w:t xml:space="preserve">Modelos de oligopólio aplicados ao setor</w:t>
      </w:r>
    </w:p>
    <w:p>
      <w:pPr>
        <w:pStyle w:val="BlockText"/>
      </w:pPr>
      <w:r>
        <w:t xml:space="preserve">A Ambev, como líder histórica de mercado e de custo mais baixo (economias de escala na produção e logística), opera frequentemente como</w:t>
      </w:r>
      <w:r>
        <w:t xml:space="preserve"> </w:t>
      </w:r>
      <w:r>
        <w:rPr>
          <w:b/>
          <w:bCs/>
        </w:rPr>
        <w:t xml:space="preserve">líder de Stackelberg</w:t>
      </w:r>
      <w:r>
        <w:t xml:space="preserve">: define volumes de produção e promoções com antecedência, e os demais ajustam suas estratégias. Em episódios de guerra de preços — como a disputa pelo mercado popular (cervejas abaixo de R$ 3,00 a lata) —, o mercado se aproxima do modelo de</w:t>
      </w:r>
      <w:r>
        <w:t xml:space="preserve"> </w:t>
      </w:r>
      <w:r>
        <w:rPr>
          <w:b/>
          <w:bCs/>
        </w:rPr>
        <w:t xml:space="preserve">Bertrand com diferenciação</w:t>
      </w:r>
      <w:r>
        <w:t xml:space="preserve">: marcas são substitutos imperfeitos, e a migração de consumidores entre marcas depende de preço, disponibilidade no PDV e identidade de marca.</w:t>
      </w:r>
    </w:p>
    <w:p>
      <w:pPr>
        <w:pStyle w:val="BlockText"/>
      </w:pPr>
      <w:r>
        <w:rPr>
          <w:b/>
          <w:bCs/>
        </w:rPr>
        <w:t xml:space="preserve">Análise do CADE: o caso Heineken/Brasil Kirin (2017)</w:t>
      </w:r>
    </w:p>
    <w:p>
      <w:pPr>
        <w:pStyle w:val="BlockText"/>
      </w:pPr>
      <w:r>
        <w:t xml:space="preserve">Em 2017, o CADE analisou a aquisição da Brasil Kirin (Schincariol/Devassa) pela Heineken. Usando simulação de fusão baseada em modelo de Bertrand com diferenciação, o CADE estimou os efeitos sobre preços e market share. O órgão aprovou a operação com restrições: a Heineken foi obrigada a vender a marca Devassa para evitar concentração excessiva em cervejas populares no Nordeste — região em que as marcas eram substitutos mais próximos.</w:t>
      </w:r>
    </w:p>
    <w:p>
      <w:pPr>
        <w:pStyle w:val="BlockText"/>
      </w:pPr>
      <w:r>
        <w:rPr>
          <w:b/>
          <w:bCs/>
        </w:rPr>
        <w:t xml:space="preserve">Lição teórica:</w:t>
      </w:r>
      <w:r>
        <w:t xml:space="preserve"> </w:t>
      </w:r>
      <w:r>
        <w:t xml:space="preserve">A escolha do modelo de oligopólio (Cournot vs. Bertrand vs. Stackelberg) não é indiferente para a análise antitruste. O método GUPPI (</w:t>
      </w:r>
      <w:r>
        <w:rPr>
          <w:i/>
          <w:iCs/>
        </w:rPr>
        <w:t xml:space="preserve">Gross Upward Pricing Pressure Index</w:t>
      </w:r>
      <w:r>
        <w:t xml:space="preserve">), padrão internacional em análise de fusões horizontais, é derivado diretamente de um modelo de Bertrand com diferenciação — e o CADE passou a adotá-lo sistematicamente a partir do Guia para Análise de Atos de Concentração Horizontal (2016).</w:t>
      </w:r>
    </w:p>
    <w:p>
      <w:pPr>
        <w:pStyle w:val="BlockText"/>
      </w:pPr>
      <w:r>
        <w:rPr>
          <w:b/>
          <w:bCs/>
        </w:rPr>
        <w:t xml:space="preserve">Fonte</w:t>
      </w:r>
      <w:r>
        <w:t xml:space="preserve">: CADE, Ato de Concentração nº 08700.001642/2017-05 (Heineken/Brasil Kirin); CADE, Guia para Análise de Atos de Concentração Horizontal (2016).</w:t>
      </w:r>
    </w:p>
    <w:p>
      <w:pPr>
        <w:pStyle w:val="BlockText"/>
      </w:pPr>
      <w:r>
        <w:rPr>
          <w:b/>
          <w:bCs/>
        </w:rPr>
        <w:t xml:space="preserve">[BOX MUNDO] Box Mundo 9a.1 — A OPEP como jogo repetido: cartéis, cotas e traição endêmica</w:t>
      </w:r>
    </w:p>
    <w:p>
      <w:pPr>
        <w:pStyle w:val="BlockText"/>
      </w:pPr>
      <w:r>
        <w:rPr>
          <w:b/>
          <w:bCs/>
        </w:rPr>
        <w:t xml:space="preserve">Contexto:</w:t>
      </w:r>
      <w:r>
        <w:t xml:space="preserve"> </w:t>
      </w:r>
      <w:r>
        <w:t xml:space="preserve">A Organização dos Países Exportadores de Petróleo (OPEP), fundada em 1960, é o cartel mais visível e longevo da economia mundial. Seus membros — incluindo Arábia Saudita, Iraque, Irã, Kuwait, Venezuela e, desde 2016, aliados como a Rússia no formato OPEP+ — controlam aproximadamente 40% da produção mundial de petróleo e detêm cerca de 80% das reservas provadas convencionais. O problema central da OPEP é um dilema dos prisioneiros em escala geopolítica: cada membro se beneficia individualmente ao produzir acima de sua cota (capturando receita extra a preços elevados sustentados pelos demais), mas se todos trapaceiam, a oferta excedente derruba o preço e todos perdem. A estrutura de payoffs satisfaz exatamente a condição</w:t>
      </w:r>
      <w:r>
        <w:t xml:space="preserve"> </w:t>
      </w:r>
      <m:oMath>
        <m:r>
          <m:t>T</m:t>
        </m:r>
        <m:r>
          <m:rPr>
            <m:sty m:val="p"/>
          </m:rPr>
          <m:t>&gt;</m:t>
        </m:r>
        <m:r>
          <m:t>R</m:t>
        </m:r>
        <m:r>
          <m:rPr>
            <m:sty m:val="p"/>
          </m:rPr>
          <m:t>&gt;</m:t>
        </m:r>
        <m:r>
          <m:t>P</m:t>
        </m:r>
        <m:r>
          <m:rPr>
            <m:sty m:val="p"/>
          </m:rPr>
          <m:t>&gt;</m:t>
        </m:r>
        <m:r>
          <m:t>S</m:t>
        </m:r>
      </m:oMath>
      <w:r>
        <w:t xml:space="preserve"> </w:t>
      </w:r>
      <w:r>
        <w:t xml:space="preserve">do Dilema dos Prisioneiros: trair a cota é a estratégia dominante de curto prazo, mas a traição mútua gera o pior resultado coletivo.</w:t>
      </w:r>
    </w:p>
    <w:p>
      <w:pPr>
        <w:pStyle w:val="BlockText"/>
      </w:pPr>
      <w:r>
        <w:t xml:space="preserve">A história da OPEP é, na prática, uma sequência de ciclos cooperação-traição-punição prevista pela teoria de jogos repetidos (Módulo 9b). A Arábia Saudita frequentemente desempenha o papel de</w:t>
      </w:r>
      <w:r>
        <w:t xml:space="preserve"> </w:t>
      </w:r>
      <w:r>
        <w:rPr>
          <w:i/>
          <w:iCs/>
        </w:rPr>
        <w:t xml:space="preserve">swing producer</w:t>
      </w:r>
      <w:r>
        <w:t xml:space="preserve"> </w:t>
      </w:r>
      <w:r>
        <w:t xml:space="preserve">— absorvendo cortes de produção para sustentar o preço, enquanto membros menores excedem suas cotas. Essa assimetria de custos e capacidade ociosa confere à Arábia Saudita uma posição análoga ao líder de Stackelberg: ela define o</w:t>
      </w:r>
      <w:r>
        <w:t xml:space="preserve"> </w:t>
      </w:r>
      <w:r>
        <w:t xml:space="preserve">“tom”</w:t>
      </w:r>
      <w:r>
        <w:t xml:space="preserve"> </w:t>
      </w:r>
      <w:r>
        <w:t xml:space="preserve">da produção e os demais reagem. Quando a traição se torna insustentável, episódios de punição coletiva — como a guerra de preços de 1985–86, a decisão de não cortar produção em 2014–16 e a breve guerra de preços saudita-russa de março de 2020 — restauram temporariamente a disciplina.</w:t>
      </w:r>
    </w:p>
    <w:p>
      <w:pPr>
        <w:pStyle w:val="BlockText"/>
      </w:pPr>
      <w:r>
        <w:rPr>
          <w:b/>
          <w:bCs/>
        </w:rPr>
        <w:t xml:space="preserve">Dados:</w:t>
      </w:r>
      <w:r>
        <w:t xml:space="preserve"> </w:t>
      </w:r>
      <w:r>
        <w:t xml:space="preserve">Alhajji e Huettner (2000), analisando dados de produção da OPEP entre 1973 e 1998, estimaram que os membros excederam suas cotas em média 10–20% ao longo do período, com picos de até 30% em períodos de baixa fiscalização interna. Smith (2005) mostrou que o grau de cumprimento das cotas é positivamente correlacionado com o preço do petróleo (quando o preço está alto, o incentivo para trair é maior, mas o custo da punição também) e negativamente correlacionado com o número de membros efetivos — confirmando a previsão teórica de que cartéis maiores são mais difíceis de sustentar. Estudos mais recentes de Colgan (2014) documentaram que, entre 1980 e 2009, os membros da OPEP cumpriram integralmente suas cotas em apenas cerca de 40% dos trimestres observados.</w:t>
      </w:r>
    </w:p>
    <w:p>
      <w:pPr>
        <w:pStyle w:val="BlockText"/>
      </w:pPr>
      <w:r>
        <w:t xml:space="preserve">No acordo OPEP+ de abril de 2020 — o maior corte coordenado da história (9,7 milhões de barris/dia) —, o monitoramento foi reforçado por um comitê ministerial conjunto, mas Iraque e Nigéria consistentemente excederam suas cotas em 2020–2022, enquanto a Arábia Saudita fez cortes voluntários adicionais para compensar. Em 2024–2025, com a transição energética reduzindo a demanda projetada de longo prazo, a coesão do cartel enfrenta pressão estrutural: o fator de desconto efetivo</w:t>
      </w:r>
      <w:r>
        <w:t xml:space="preserve"> </w:t>
      </w:r>
      <m:oMath>
        <m:r>
          <m:t>δ</m:t>
        </m:r>
      </m:oMath>
      <w:r>
        <w:t xml:space="preserve"> </w:t>
      </w:r>
      <w:r>
        <w:t xml:space="preserve">dos membros diminui à medida que o horizonte de relevância do petróleo encurta.</w:t>
      </w:r>
    </w:p>
    <w:p>
      <w:pPr>
        <w:pStyle w:val="BlockText"/>
      </w:pPr>
      <w:r>
        <w:rPr>
          <w:b/>
          <w:bCs/>
        </w:rPr>
        <w:t xml:space="preserve">Análise:</w:t>
      </w:r>
      <w:r>
        <w:t xml:space="preserve"> </w:t>
      </w:r>
      <w:r>
        <w:t xml:space="preserve">A OPEP ilustra com precisão os modelos de oligopólio e jogos repetidos deste capítulo. A competição por cotas é um jogo de Cournot (firmas escolhem quantidades), e o equilíbrio não cooperativo de Nash-Cournot — em que cada membro produz sua quantidade de melhor resposta — gera preços substancialmente abaixo do nível de cartel. A cooperação (cotas restritivas) é sustentável como equilíbrio de jogo repetido apenas quando</w:t>
      </w:r>
      <w:r>
        <w:t xml:space="preserve"> </w:t>
      </w:r>
      <m:oMath>
        <m:r>
          <m:t>δ</m:t>
        </m:r>
        <m:r>
          <m:rPr>
            <m:sty m:val="p"/>
          </m:rPr>
          <m:t>≥</m:t>
        </m:r>
        <m:sSup>
          <m:e>
            <m:r>
              <m:t>δ</m:t>
            </m:r>
          </m:e>
          <m:sup>
            <m:r>
              <m:rPr>
                <m:sty m:val="p"/>
              </m:rPr>
              <m:t>*</m:t>
            </m:r>
          </m:sup>
        </m:sSup>
        <m:r>
          <m:rPr>
            <m:sty m:val="p"/>
          </m:rPr>
          <m:t>=</m:t>
        </m:r>
        <m:r>
          <m:rPr>
            <m:sty m:val="p"/>
          </m:rPr>
          <m:t>(</m:t>
        </m:r>
        <m:r>
          <m:t>T</m:t>
        </m:r>
        <m:r>
          <m:rPr>
            <m:sty m:val="p"/>
          </m:rPr>
          <m:t>−</m:t>
        </m:r>
        <m:r>
          <m:t>R</m:t>
        </m:r>
        <m:r>
          <m:rPr>
            <m:sty m:val="p"/>
          </m:rPr>
          <m:t>)</m:t>
        </m:r>
        <m:r>
          <m:rPr>
            <m:sty m:val="p"/>
          </m:rPr>
          <m:t>/</m:t>
        </m:r>
        <m:r>
          <m:rPr>
            <m:sty m:val="p"/>
          </m:rPr>
          <m:t>(</m:t>
        </m:r>
        <m:r>
          <m:t>T</m:t>
        </m:r>
        <m:r>
          <m:rPr>
            <m:sty m:val="p"/>
          </m:rPr>
          <m:t>−</m:t>
        </m:r>
        <m:r>
          <m:t>P</m:t>
        </m:r>
        <m:r>
          <m:rPr>
            <m:sty m:val="p"/>
          </m:rPr>
          <m:t>)</m:t>
        </m:r>
      </m:oMath>
      <w:r>
        <w:t xml:space="preserve">, condição que depende da paciência dos membros, da capacidade de monitoramento e do número de participantes. A persistência da traição endêmica confirma que a condição de sustentabilidade é frequentemente violada na prática — seja por heterogeneidade de interesses (países com necessidades fiscais urgentes, como Venezuela e Irã sob sanções, têm</w:t>
      </w:r>
      <w:r>
        <w:t xml:space="preserve"> </w:t>
      </w:r>
      <m:oMath>
        <m:r>
          <m:t>δ</m:t>
        </m:r>
      </m:oMath>
      <w:r>
        <w:t xml:space="preserve"> </w:t>
      </w:r>
      <w:r>
        <w:t xml:space="preserve">efetivamente baixo), seja pela dificuldade de monitoramento preciso da produção real. A OPEP é, simultaneamente, o melhor exemplo de um cartel que funciona</w:t>
      </w:r>
      <w:r>
        <w:t xml:space="preserve"> </w:t>
      </w:r>
      <w:r>
        <w:rPr>
          <w:i/>
          <w:iCs/>
        </w:rPr>
        <w:t xml:space="preserve">parcialmente</w:t>
      </w:r>
      <w:r>
        <w:t xml:space="preserve"> </w:t>
      </w:r>
      <w:r>
        <w:t xml:space="preserve">e a confirmação empírica de que a cooperação plena em dilemas dos prisioneiros é extraordinariamente difícil.</w:t>
      </w:r>
    </w:p>
    <w:p>
      <w:pPr>
        <w:pStyle w:val="BlockText"/>
      </w:pPr>
      <w:r>
        <w:rPr>
          <w:b/>
          <w:bCs/>
        </w:rPr>
        <w:t xml:space="preserve">Fonte:</w:t>
      </w:r>
      <w:r>
        <w:t xml:space="preserve"> </w:t>
      </w:r>
      <w:r>
        <w:t xml:space="preserve">Alhajji, A. F. e Huettner, D. (2000).</w:t>
      </w:r>
      <w:r>
        <w:t xml:space="preserve"> </w:t>
      </w:r>
      <w:r>
        <w:t xml:space="preserve">“OPEC and Other Commodity Cartels: A Comparison.”</w:t>
      </w:r>
      <w:r>
        <w:t xml:space="preserve"> </w:t>
      </w:r>
      <w:r>
        <w:rPr>
          <w:i/>
          <w:iCs/>
        </w:rPr>
        <w:t xml:space="preserve">Energy Policy</w:t>
      </w:r>
      <w:r>
        <w:t xml:space="preserve">, 28(15), 1151–1164. Smith, James L. (2005).</w:t>
      </w:r>
      <w:r>
        <w:t xml:space="preserve"> </w:t>
      </w:r>
      <w:r>
        <w:t xml:space="preserve">“Inscrutable OPEC? Behavioral Tests of the Cartel Hypothesis.”</w:t>
      </w:r>
      <w:r>
        <w:t xml:space="preserve"> </w:t>
      </w:r>
      <w:r>
        <w:rPr>
          <w:i/>
          <w:iCs/>
        </w:rPr>
        <w:t xml:space="preserve">The Energy Journal</w:t>
      </w:r>
      <w:r>
        <w:t xml:space="preserve">, 26(1), 51–82. Colgan, Jeff D. (2014).</w:t>
      </w:r>
      <w:r>
        <w:t xml:space="preserve"> </w:t>
      </w:r>
      <w:r>
        <w:t xml:space="preserve">“The Emperor Has No Clothes: The Limits of OPEC in the Global Oil Market.”</w:t>
      </w:r>
      <w:r>
        <w:t xml:space="preserve"> </w:t>
      </w:r>
      <w:r>
        <w:rPr>
          <w:i/>
          <w:iCs/>
        </w:rPr>
        <w:t xml:space="preserve">International Organization</w:t>
      </w:r>
      <w:r>
        <w:t xml:space="preserve">, 68(3), 599–632.</w:t>
      </w:r>
    </w:p>
    <w:p>
      <w:pPr>
        <w:pStyle w:val="BlockText"/>
      </w:pPr>
      <w:r>
        <w:rPr>
          <w:b/>
          <w:bCs/>
        </w:rPr>
        <w:t xml:space="preserve">[BOX MUNDO] Box Mundo 9a.3 — Leilões de espectro de telecomunicações: bilhões em jogo na teoria dos jogos</w:t>
      </w:r>
    </w:p>
    <w:p>
      <w:pPr>
        <w:pStyle w:val="BlockText"/>
      </w:pPr>
      <w:r>
        <w:rPr>
          <w:b/>
          <w:bCs/>
        </w:rPr>
        <w:t xml:space="preserve">Contexto:</w:t>
      </w:r>
      <w:r>
        <w:t xml:space="preserve"> </w:t>
      </w:r>
      <w:r>
        <w:t xml:space="preserve">Os leilões de espectro eletromagnético para telecomunicações (3G, 4G, 5G) são uma das aplicações mais espetaculares — e lucrativas — da teoria dos jogos ao desenho de políticas públicas. Governos ao redor do mundo vendem licenças de uso de faixas de frequência para operadoras de telecomunicações, e o formato do leilão determina não apenas a receita arrecadada, mas também a eficiência alocativa (se as frequências vão para as empresas que mais as valorizam) e a estrutura de mercado resultante. Os economistas Paul Milgrom e Robert Wilson, laureados com o Nobel de Economia em 2020, revolucionaram esse campo ao desenvolver a teoria de leilões com múltiplos itens interdependentes e ao projetar o</w:t>
      </w:r>
      <w:r>
        <w:t xml:space="preserve"> </w:t>
      </w:r>
      <w:r>
        <w:rPr>
          <w:i/>
          <w:iCs/>
        </w:rPr>
        <w:t xml:space="preserve">Simultaneous Multiple Round Auction</w:t>
      </w:r>
      <w:r>
        <w:t xml:space="preserve"> </w:t>
      </w:r>
      <w:r>
        <w:t xml:space="preserve">(SMRA), adotado pela FCC americana em 1994.</w:t>
      </w:r>
    </w:p>
    <w:p>
      <w:pPr>
        <w:pStyle w:val="BlockText"/>
      </w:pPr>
      <w:r>
        <w:rPr>
          <w:b/>
          <w:bCs/>
        </w:rPr>
        <w:t xml:space="preserve">Dados:</w:t>
      </w:r>
      <w:r>
        <w:t xml:space="preserve"> </w:t>
      </w:r>
      <w:r>
        <w:t xml:space="preserve">O leilão da FCC de 1994 (Broadband PCS) arrecadou US$ 7,7 bilhões — na época, o maior leilão da história. O leilão britânico de 3G em 2000, desenhado pelo economista Ken Binmore com base na teoria de jogos, arrecadou £22,5 bilhões (cerca de 2,5% do PIB do Reino Unido), superando todas as expectativas. Em contraste, o leilão de 3G da Holanda em 2000 arrecadou uma fração do esperado: com apenas cinco licenças e exatamente cinco incumbentes, o formato do leilão eliminou a competição efetiva — um caso clássico de falha no desenho de mecanismo. O leilão brasileiro de 5G em 2021 (Anatel) envolveu compromissos de investimento de R$ 47,2 bilhões e utilizou um formato de leilão combinatório com rodadas ascendentes, exigindo das operadoras (Claro, Vivo, TIM e entrantes regionais) estratégias de lance que são, formalmente, equilíbrios de Nash bayesianos em jogos com informação incompleta (Módulo 9c).</w:t>
      </w:r>
    </w:p>
    <w:p>
      <w:pPr>
        <w:pStyle w:val="BlockText"/>
      </w:pPr>
      <w:r>
        <w:rPr>
          <w:b/>
          <w:bCs/>
        </w:rPr>
        <w:t xml:space="preserve">Análise:</w:t>
      </w:r>
      <w:r>
        <w:t xml:space="preserve"> </w:t>
      </w:r>
      <w:r>
        <w:t xml:space="preserve">Leilões de espectro ilustram vários conceitos deste capítulo e dos módulos seguintes. A interação estratégica entre poucos licitantes (tipicamente 3–6 operadoras) configura um jogo oligopolístico: cada empresa considera não apenas sua própria valoração das frequências, mas como seus lances afetam o comportamento dos rivais. O risco de conluio tácito — operadoras sinalizando intenções através dos dígitos finais dos lances, prática documentada por Cramton e Schwartz (2000) nos leilões da FCC — é um dilema dos prisioneiros: todas se beneficiariam de preços baixos, mas cada uma tem incentivo para desviar se acreditar que obterá uma licença valiosa. O desenho do leilão é, portanto, um exercício de</w:t>
      </w:r>
      <w:r>
        <w:t xml:space="preserve"> </w:t>
      </w:r>
      <w:r>
        <w:rPr>
          <w:b/>
          <w:bCs/>
        </w:rPr>
        <w:t xml:space="preserve">desenho de mecanismo</w:t>
      </w:r>
      <w:r>
        <w:t xml:space="preserve"> </w:t>
      </w:r>
      <w:r>
        <w:t xml:space="preserve">(Módulo 9d): o regulador escolhe as regras do jogo sabendo que os jogadores otimizarão dentro dessas regras.</w:t>
      </w:r>
    </w:p>
    <w:p>
      <w:pPr>
        <w:pStyle w:val="BlockText"/>
      </w:pPr>
      <w:r>
        <w:rPr>
          <w:b/>
          <w:bCs/>
        </w:rPr>
        <w:t xml:space="preserve">Para refletir:</w:t>
      </w:r>
      <w:r>
        <w:t xml:space="preserve"> </w:t>
      </w:r>
      <w:r>
        <w:t xml:space="preserve">Por que o leilão britânico de 3G foi um sucesso e o holandês um fracasso, se ambos vendiam o mesmo tipo de ativo? (Dica: pense no número de licenças versus o número de incumbentes e como isso afeta a intensidade da competição.)</w:t>
      </w:r>
    </w:p>
    <w:p>
      <w:pPr>
        <w:pStyle w:val="BlockText"/>
      </w:pPr>
      <w:r>
        <w:rPr>
          <w:b/>
          <w:bCs/>
        </w:rPr>
        <w:t xml:space="preserve">Fonte:</w:t>
      </w:r>
      <w:r>
        <w:t xml:space="preserve"> </w:t>
      </w:r>
      <w:r>
        <w:t xml:space="preserve">Milgrom, Paul (2004).</w:t>
      </w:r>
      <w:r>
        <w:t xml:space="preserve"> </w:t>
      </w:r>
      <w:r>
        <w:rPr>
          <w:i/>
          <w:iCs/>
        </w:rPr>
        <w:t xml:space="preserve">Putting Auction Theory to Work</w:t>
      </w:r>
      <w:r>
        <w:t xml:space="preserve">. Cambridge University Press. Binmore, Ken e Klemperer, Paul (2002).</w:t>
      </w:r>
      <w:r>
        <w:t xml:space="preserve"> </w:t>
      </w:r>
      <w:r>
        <w:t xml:space="preserve">“The Biggest Auction Ever: the Sale of the British 3G Telecom Licences.”</w:t>
      </w:r>
      <w:r>
        <w:t xml:space="preserve"> </w:t>
      </w:r>
      <w:r>
        <w:rPr>
          <w:i/>
          <w:iCs/>
        </w:rPr>
        <w:t xml:space="preserve">Economic Journal</w:t>
      </w:r>
      <w:r>
        <w:t xml:space="preserve">, 112(478), C74–C96. Cramton, Peter e Schwartz, Jesse (2000).</w:t>
      </w:r>
      <w:r>
        <w:t xml:space="preserve"> </w:t>
      </w:r>
      <w:r>
        <w:t xml:space="preserve">“Collusive Bidding: Lessons from the FCC Spectrum Auctions.”</w:t>
      </w:r>
      <w:r>
        <w:t xml:space="preserve"> </w:t>
      </w:r>
      <w:r>
        <w:rPr>
          <w:i/>
          <w:iCs/>
        </w:rPr>
        <w:t xml:space="preserve">Journal of Regulatory Economics</w:t>
      </w:r>
      <w:r>
        <w:t xml:space="preserve">, 17(3), 229–252.</w:t>
      </w:r>
    </w:p>
    <w:p>
      <w:r>
        <w:pict>
          <v:rect style="width:0;height:1.5pt" o:hralign="center" o:hrstd="t" o:hr="t"/>
        </w:pict>
      </w:r>
    </w:p>
    <w:p>
      <w:pPr>
        <w:pStyle w:val="FirstParagraph"/>
      </w:pPr>
      <w:r>
        <w:t xml:space="preserve">Os modelos de oligopólio apresentados acima não são meros exercícios teóricos — eles fornecem a estrutura analítica que órgãos reguladores como o CADE utilizam diariamente para avaliar práticas anticompetitivas. O primeiro Box Brasil deste capítulo examina precisamente essa conexão entre teoria e prática regulatória.</w:t>
      </w:r>
    </w:p>
    <w:p>
      <w:pPr>
        <w:pStyle w:val="BlockText"/>
      </w:pPr>
      <w:r>
        <w:rPr>
          <w:b/>
          <w:bCs/>
        </w:rPr>
        <w:t xml:space="preserve">[BOX BRASIL] Box Brasil — Cartéis de postos de combustíveis: conluio, detecção e punição</w:t>
      </w:r>
    </w:p>
    <w:p>
      <w:pPr>
        <w:pStyle w:val="BlockText"/>
      </w:pPr>
      <w:r>
        <w:t xml:space="preserve">O mercado de revenda de combustíveis no Brasil é um dos campos mais ativos de investigação antitruste pelo</w:t>
      </w:r>
      <w:r>
        <w:t xml:space="preserve"> </w:t>
      </w:r>
      <w:r>
        <w:rPr>
          <w:b/>
          <w:bCs/>
        </w:rPr>
        <w:t xml:space="preserve">CADE</w:t>
      </w:r>
      <w:r>
        <w:t xml:space="preserve"> </w:t>
      </w:r>
      <w:r>
        <w:t xml:space="preserve">(Conselho Administrativo de Defesa Econômica). A frequência de cartéis nesse setor oferece um laboratório natural para a teoria dos jogos.</w:t>
      </w:r>
    </w:p>
    <w:p>
      <w:pPr>
        <w:pStyle w:val="BlockText"/>
      </w:pPr>
      <w:r>
        <w:rPr>
          <w:b/>
          <w:bCs/>
        </w:rPr>
        <w:t xml:space="preserve">Por que o conluio é frequente nesse mercado?</w:t>
      </w:r>
    </w:p>
    <w:p>
      <w:pPr>
        <w:pStyle w:val="BlockText"/>
      </w:pPr>
      <w:r>
        <w:t xml:space="preserve">A teoria dos jogos repetidos (Módulo 9b) identifica condições que facilitam a sustentação de conluio como equilíbrio: (i) poucas firmas no mercado relevante; (ii) produto homogêneo (gasolina comum é igual em qualquer posto); (iii) preços facilmente observáveis (placas na entrada); (iv) interação repetida entre os mesmos competidores. O mercado de revenda de combustíveis em muitas cidades brasileiras satisfaz todas essas condições.</w:t>
      </w:r>
    </w:p>
    <w:p>
      <w:pPr>
        <w:pStyle w:val="BlockText"/>
      </w:pPr>
      <w:r>
        <w:rPr>
          <w:b/>
          <w:bCs/>
        </w:rPr>
        <w:t xml:space="preserve">Casos recentes</w:t>
      </w:r>
    </w:p>
    <w:p>
      <w:pPr>
        <w:pStyle w:val="BlockText"/>
      </w:pPr>
      <w:r>
        <w:t xml:space="preserve">Apenas entre 2024 e 2025, o CADE condenou cartéis de revenda de combustíveis em três estados:</w:t>
      </w:r>
    </w:p>
    <w:p>
      <w:pPr>
        <w:pStyle w:val="Compact"/>
        <w:numPr>
          <w:ilvl w:val="0"/>
          <w:numId w:val="1440"/>
        </w:numPr>
      </w:pPr>
      <w:r>
        <w:rPr>
          <w:b/>
          <w:bCs/>
        </w:rPr>
        <w:t xml:space="preserve">Distrito Federal (2025)</w:t>
      </w:r>
      <w:r>
        <w:t xml:space="preserve">: sete redes de postos condenadas, com multas superiores a</w:t>
      </w:r>
      <w:r>
        <w:t xml:space="preserve"> </w:t>
      </w:r>
      <w:r>
        <w:rPr>
          <w:b/>
          <w:bCs/>
        </w:rPr>
        <w:t xml:space="preserve">R$ 150 milhões</w:t>
      </w:r>
      <w:r>
        <w:t xml:space="preserve">.</w:t>
      </w:r>
    </w:p>
    <w:p>
      <w:pPr>
        <w:pStyle w:val="Compact"/>
        <w:numPr>
          <w:ilvl w:val="0"/>
          <w:numId w:val="1440"/>
        </w:numPr>
      </w:pPr>
      <w:r>
        <w:rPr>
          <w:b/>
          <w:bCs/>
        </w:rPr>
        <w:t xml:space="preserve">Paraná (2024)</w:t>
      </w:r>
      <w:r>
        <w:t xml:space="preserve">: 12 postos e 2 pessoas físicas condenados em Francisco Beltrão, com multas de</w:t>
      </w:r>
      <w:r>
        <w:t xml:space="preserve"> </w:t>
      </w:r>
      <w:r>
        <w:rPr>
          <w:b/>
          <w:bCs/>
        </w:rPr>
        <w:t xml:space="preserve">R$ 59 milhões</w:t>
      </w:r>
      <w:r>
        <w:t xml:space="preserve">.</w:t>
      </w:r>
    </w:p>
    <w:p>
      <w:pPr>
        <w:pStyle w:val="Compact"/>
        <w:numPr>
          <w:ilvl w:val="0"/>
          <w:numId w:val="1440"/>
        </w:numPr>
      </w:pPr>
      <w:r>
        <w:rPr>
          <w:b/>
          <w:bCs/>
        </w:rPr>
        <w:t xml:space="preserve">Santa Catarina (2024)</w:t>
      </w:r>
      <w:r>
        <w:t xml:space="preserve">: cartel em Joinville condenado com multas de</w:t>
      </w:r>
      <w:r>
        <w:t xml:space="preserve"> </w:t>
      </w:r>
      <w:r>
        <w:rPr>
          <w:b/>
          <w:bCs/>
        </w:rPr>
        <w:t xml:space="preserve">R$ 55 milhões</w:t>
      </w:r>
      <w:r>
        <w:t xml:space="preserve">.</w:t>
      </w:r>
    </w:p>
    <w:p>
      <w:pPr>
        <w:pStyle w:val="BlockText"/>
      </w:pPr>
      <w:r>
        <w:rPr>
          <w:b/>
          <w:bCs/>
        </w:rPr>
        <w:t xml:space="preserve">Mecanismos de sustentação do cartel</w:t>
      </w:r>
    </w:p>
    <w:p>
      <w:pPr>
        <w:pStyle w:val="BlockText"/>
      </w:pPr>
      <w:r>
        <w:t xml:space="preserve">Na linguagem da teoria dos jogos, os postos operam uma estratégia do tipo</w:t>
      </w:r>
      <w:r>
        <w:t xml:space="preserve"> </w:t>
      </w:r>
      <w:r>
        <w:rPr>
          <w:i/>
          <w:iCs/>
        </w:rPr>
        <w:t xml:space="preserve">grim trigger</w:t>
      </w:r>
      <w:r>
        <w:t xml:space="preserve"> </w:t>
      </w:r>
      <w:r>
        <w:t xml:space="preserve">informal: todos praticam preços elevados e, se algum desviar, os demais retomam a competição. A transparência dos preços (afixados em totens luminosos) funciona como mecanismo de monitoramento — qualquer desvio é imediatamente detectável.</w:t>
      </w:r>
    </w:p>
    <w:p>
      <w:pPr>
        <w:pStyle w:val="BlockText"/>
      </w:pPr>
      <w:r>
        <w:rPr>
          <w:b/>
          <w:bCs/>
        </w:rPr>
        <w:t xml:space="preserve">O papel do CADE e do programa de leniência</w:t>
      </w:r>
    </w:p>
    <w:p>
      <w:pPr>
        <w:pStyle w:val="BlockText"/>
      </w:pPr>
      <w:r>
        <w:t xml:space="preserve">O CADE atua como um mecanismo institucional que torna o conluio mais custoso: ao impor multas elevadas (até 20% do faturamento bruto), a autoridade antitruste reduz o payoff esperado da cooperação ilícita. O programa de leniência oferece redução de pena ao primeiro membro do cartel que denunciar, explorando a mesma lógica do Dilema dos Prisioneiros: a tentação de trair o cartel em troca de imunidade desestabiliza o acordo.</w:t>
      </w:r>
    </w:p>
    <w:p>
      <w:pPr>
        <w:pStyle w:val="BlockText"/>
      </w:pPr>
      <w:r>
        <w:rPr>
          <w:b/>
          <w:bCs/>
        </w:rPr>
        <w:t xml:space="preserve">Fonte</w:t>
      </w:r>
      <w:r>
        <w:t xml:space="preserve">: CADE, decisões do Tribunal Administrativo (2024–2025).</w:t>
      </w:r>
    </w:p>
    <w:p>
      <w:r>
        <w:pict>
          <v:rect style="width:0;height:1.5pt" o:hralign="center" o:hrstd="t" o:hr="t"/>
        </w:pict>
      </w:r>
    </w:p>
    <w:p>
      <w:pPr>
        <w:pStyle w:val="FirstParagraph"/>
      </w:pPr>
      <w:r>
        <w:t xml:space="preserve">Se o mercado de combustíveis ilustra a dinâmica de cartéis em mercados locais, o transporte aéreo doméstico oferece um panorama complementar: um oligopólio altamente concentrado em escala nacional, no qual coexistem elementos de Cournot, Bertrand e Stackelberg dependendo da rota e do horizonte temporal.</w:t>
      </w:r>
    </w:p>
    <w:p>
      <w:pPr>
        <w:pStyle w:val="BlockText"/>
      </w:pPr>
      <w:r>
        <w:rPr>
          <w:b/>
          <w:bCs/>
        </w:rPr>
        <w:t xml:space="preserve">[BOX BRASIL] Box Brasil — Gol, Latam e Azul: competição estratégica a 10.000 metros</w:t>
      </w:r>
    </w:p>
    <w:p>
      <w:pPr>
        <w:pStyle w:val="BlockText"/>
      </w:pPr>
      <w:r>
        <w:t xml:space="preserve">O transporte aéreo doméstico no Brasil é um dos mercados mais concentrados do país e ilustra diretamente os modelos de oligopólio.</w:t>
      </w:r>
    </w:p>
    <w:p>
      <w:pPr>
        <w:pStyle w:val="BlockText"/>
      </w:pPr>
      <w:r>
        <w:rPr>
          <w:b/>
          <w:bCs/>
        </w:rPr>
        <w:t xml:space="preserve">Concentração extrema</w:t>
      </w:r>
    </w:p>
    <w:p>
      <w:pPr>
        <w:pStyle w:val="BlockText"/>
      </w:pPr>
      <w:r>
        <w:t xml:space="preserve">Dados da</w:t>
      </w:r>
      <w:r>
        <w:t xml:space="preserve"> </w:t>
      </w:r>
      <w:hyperlink r:id="rId484">
        <w:r>
          <w:rPr>
            <w:rStyle w:val="Hyperlink"/>
            <w:b/>
            <w:bCs/>
          </w:rPr>
          <w:t xml:space="preserve">ANAC</w:t>
        </w:r>
      </w:hyperlink>
      <w:r>
        <w:t xml:space="preserve"> </w:t>
      </w:r>
      <w:r>
        <w:t xml:space="preserve">para 2024 mostram que três companhias detêm</w:t>
      </w:r>
      <w:r>
        <w:t xml:space="preserve"> </w:t>
      </w:r>
      <w:r>
        <w:rPr>
          <w:b/>
          <w:bCs/>
        </w:rPr>
        <w:t xml:space="preserve">98,9%</w:t>
      </w:r>
      <w:r>
        <w:t xml:space="preserve"> </w:t>
      </w:r>
      <w:r>
        <w:t xml:space="preserve">do mercado doméstico: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Companhia</w:t>
            </w:r>
          </w:p>
        </w:tc>
        <w:tc>
          <w:tcPr/>
          <w:p>
            <w:pPr>
              <w:pStyle w:val="Compact"/>
              <w:jc w:val="left"/>
            </w:pPr>
            <w:r>
              <w:t xml:space="preserve">Market share (2024)</w:t>
            </w:r>
          </w:p>
        </w:tc>
      </w:tr>
      <w:tr>
        <w:tc>
          <w:tcPr/>
          <w:p>
            <w:pPr>
              <w:pStyle w:val="Compact"/>
              <w:jc w:val="left"/>
            </w:pPr>
            <w:r>
              <w:t xml:space="preserve">Latam</w:t>
            </w:r>
          </w:p>
        </w:tc>
        <w:tc>
          <w:tcPr/>
          <w:p>
            <w:pPr>
              <w:pStyle w:val="Compact"/>
              <w:jc w:val="left"/>
            </w:pPr>
            <w:r>
              <w:t xml:space="preserve">39,1%</w:t>
            </w:r>
          </w:p>
        </w:tc>
      </w:tr>
      <w:tr>
        <w:tc>
          <w:tcPr/>
          <w:p>
            <w:pPr>
              <w:pStyle w:val="Compact"/>
              <w:jc w:val="left"/>
            </w:pPr>
            <w:r>
              <w:t xml:space="preserve">Gol</w:t>
            </w:r>
          </w:p>
        </w:tc>
        <w:tc>
          <w:tcPr/>
          <w:p>
            <w:pPr>
              <w:pStyle w:val="Compact"/>
              <w:jc w:val="left"/>
            </w:pPr>
            <w:r>
              <w:t xml:space="preserve">30,7%</w:t>
            </w:r>
          </w:p>
        </w:tc>
      </w:tr>
      <w:tr>
        <w:tc>
          <w:tcPr/>
          <w:p>
            <w:pPr>
              <w:pStyle w:val="Compact"/>
              <w:jc w:val="left"/>
            </w:pPr>
            <w:r>
              <w:t xml:space="preserve">Azul</w:t>
            </w:r>
          </w:p>
        </w:tc>
        <w:tc>
          <w:tcPr/>
          <w:p>
            <w:pPr>
              <w:pStyle w:val="Compact"/>
              <w:jc w:val="left"/>
            </w:pPr>
            <w:r>
              <w:t xml:space="preserve">29,7%</w:t>
            </w:r>
          </w:p>
        </w:tc>
      </w:tr>
      <w:tr>
        <w:tc>
          <w:tcPr/>
          <w:p>
            <w:pPr>
              <w:pStyle w:val="Compact"/>
              <w:jc w:val="left"/>
            </w:pPr>
            <w:r>
              <w:t xml:space="preserve">Outras</w:t>
            </w:r>
          </w:p>
        </w:tc>
        <w:tc>
          <w:tcPr/>
          <w:p>
            <w:pPr>
              <w:pStyle w:val="Compact"/>
              <w:jc w:val="left"/>
            </w:pPr>
            <w:r>
              <w:t xml:space="preserve">0,5%</w:t>
            </w:r>
          </w:p>
        </w:tc>
      </w:tr>
    </w:tbl>
    <w:p>
      <w:pPr>
        <w:pStyle w:val="BlockText"/>
      </w:pPr>
      <w:r>
        <w:rPr>
          <w:b/>
          <w:bCs/>
        </w:rPr>
        <w:t xml:space="preserve">Qual modelo se aplica?</w:t>
      </w:r>
    </w:p>
    <w:p>
      <w:pPr>
        <w:pStyle w:val="Compact"/>
        <w:numPr>
          <w:ilvl w:val="0"/>
          <w:numId w:val="1441"/>
        </w:numPr>
      </w:pPr>
      <w:r>
        <w:t xml:space="preserve">Em</w:t>
      </w:r>
      <w:r>
        <w:t xml:space="preserve"> </w:t>
      </w:r>
      <w:r>
        <w:rPr>
          <w:b/>
          <w:bCs/>
        </w:rPr>
        <w:t xml:space="preserve">rotas com concorrência direta</w:t>
      </w:r>
      <w:r>
        <w:t xml:space="preserve"> </w:t>
      </w:r>
      <w:r>
        <w:t xml:space="preserve">(São Paulo–Rio), a competição se aproxima de</w:t>
      </w:r>
      <w:r>
        <w:t xml:space="preserve"> </w:t>
      </w:r>
      <w:r>
        <w:rPr>
          <w:b/>
          <w:bCs/>
        </w:rPr>
        <w:t xml:space="preserve">Bertrand com diferenciação</w:t>
      </w:r>
      <w:r>
        <w:t xml:space="preserve">: preços são a variável estratégica.</w:t>
      </w:r>
    </w:p>
    <w:p>
      <w:pPr>
        <w:pStyle w:val="Compact"/>
        <w:numPr>
          <w:ilvl w:val="0"/>
          <w:numId w:val="1441"/>
        </w:numPr>
      </w:pPr>
      <w:r>
        <w:t xml:space="preserve">Em</w:t>
      </w:r>
      <w:r>
        <w:t xml:space="preserve"> </w:t>
      </w:r>
      <w:r>
        <w:rPr>
          <w:b/>
          <w:bCs/>
        </w:rPr>
        <w:t xml:space="preserve">rotas com slots limitados</w:t>
      </w:r>
      <w:r>
        <w:t xml:space="preserve"> </w:t>
      </w:r>
      <w:r>
        <w:t xml:space="preserve">(Congonhas, Santos Dumont), a competição se aproxima de</w:t>
      </w:r>
      <w:r>
        <w:t xml:space="preserve"> </w:t>
      </w:r>
      <w:r>
        <w:rPr>
          <w:b/>
          <w:bCs/>
        </w:rPr>
        <w:t xml:space="preserve">Cournot</w:t>
      </w:r>
      <w:r>
        <w:t xml:space="preserve">: a oferta de assentos é decidida antecipadamente.</w:t>
      </w:r>
    </w:p>
    <w:p>
      <w:pPr>
        <w:pStyle w:val="Compact"/>
        <w:numPr>
          <w:ilvl w:val="0"/>
          <w:numId w:val="1441"/>
        </w:numPr>
      </w:pPr>
      <w:r>
        <w:t xml:space="preserve">A dinâmica de</w:t>
      </w:r>
      <w:r>
        <w:t xml:space="preserve"> </w:t>
      </w:r>
      <w:r>
        <w:rPr>
          <w:b/>
          <w:bCs/>
        </w:rPr>
        <w:t xml:space="preserve">liderança de preço</w:t>
      </w:r>
      <w:r>
        <w:t xml:space="preserve"> </w:t>
      </w:r>
      <w:r>
        <w:t xml:space="preserve">em promoções evoca o modelo de</w:t>
      </w:r>
      <w:r>
        <w:t xml:space="preserve"> </w:t>
      </w:r>
      <w:r>
        <w:rPr>
          <w:b/>
          <w:bCs/>
        </w:rPr>
        <w:t xml:space="preserve">Stackelberg</w:t>
      </w:r>
      <w:r>
        <w:t xml:space="preserve">, com a Latam frequentemente agindo como líder.</w:t>
      </w:r>
    </w:p>
    <w:p>
      <w:pPr>
        <w:pStyle w:val="BlockText"/>
      </w:pPr>
      <w:r>
        <w:rPr>
          <w:b/>
          <w:bCs/>
        </w:rPr>
        <w:t xml:space="preserve">Barreiras à entrada e credibilidade de ameaças</w:t>
      </w:r>
    </w:p>
    <w:p>
      <w:pPr>
        <w:pStyle w:val="BlockText"/>
      </w:pPr>
      <w:r>
        <w:t xml:space="preserve">A entrada de novas companhias é dificultada por custos afundados (frota, certificação, slots), economias de escala e rede de rotas. A história do setor inclui episódios de guerras de preço que podem ser interpretados como estratégias de deterrência: companhias incumbentes praticaram preços agressivos em rotas disputadas por entrantes (Webjet, Avianca Brasil).</w:t>
      </w:r>
    </w:p>
    <w:p>
      <w:pPr>
        <w:pStyle w:val="BlockText"/>
      </w:pPr>
      <w:r>
        <w:rPr>
          <w:b/>
          <w:bCs/>
        </w:rPr>
        <w:t xml:space="preserve">Fonte</w:t>
      </w:r>
      <w:r>
        <w:t xml:space="preserve">: ANAC, Relatório de Demanda e Oferta do Transporte Aéreo 2024; CADE, Cadernos do CADE — Mercado de Transporte Aéreo.</w:t>
      </w:r>
    </w:p>
    <w:p>
      <w:r>
        <w:pict>
          <v:rect style="width:0;height:1.5pt" o:hralign="center" o:hrstd="t" o:hr="t"/>
        </w:pict>
      </w:r>
    </w:p>
    <w:p>
      <w:pPr>
        <w:pStyle w:val="BlockText"/>
      </w:pPr>
      <w:r>
        <w:rPr>
          <w:b/>
          <w:bCs/>
        </w:rPr>
        <w:t xml:space="preserve">[CODE] R Interativo — Dados reais do game show Friend or Foe (Adams, 2025, Cap. 1)</w:t>
      </w:r>
    </w:p>
    <w:p>
      <w:pPr>
        <w:pStyle w:val="BlockText"/>
      </w:pPr>
      <w:r>
        <w:t xml:space="preserve">No início dos anos 2000, o programa de TV</w:t>
      </w:r>
      <w:r>
        <w:t xml:space="preserve"> </w:t>
      </w:r>
      <w:r>
        <w:rPr>
          <w:i/>
          <w:iCs/>
        </w:rPr>
        <w:t xml:space="preserve">Friend or Foe</w:t>
      </w:r>
      <w:r>
        <w:t xml:space="preserve"> </w:t>
      </w:r>
      <w:r>
        <w:t xml:space="preserve">(Game Show Network) colocava duplas de participantes para jogar um Dilema dos Prisioneiros real — o</w:t>
      </w:r>
      <w:r>
        <w:t xml:space="preserve"> </w:t>
      </w:r>
      <w:r>
        <w:rPr>
          <w:i/>
          <w:iCs/>
        </w:rPr>
        <w:t xml:space="preserve">Trust Box</w:t>
      </w:r>
      <w:r>
        <w:t xml:space="preserve"> </w:t>
      </w:r>
      <w:r>
        <w:t xml:space="preserve">— com milhares de dólares em jogo. Cada jogador escolhia</w:t>
      </w:r>
      <w:r>
        <w:t xml:space="preserve"> </w:t>
      </w:r>
      <w:r>
        <w:t xml:space="preserve">“Friend”</w:t>
      </w:r>
      <w:r>
        <w:t xml:space="preserve"> </w:t>
      </w:r>
      <w:r>
        <w:t xml:space="preserve">(cooperar) ou</w:t>
      </w:r>
      <w:r>
        <w:t xml:space="preserve"> </w:t>
      </w:r>
      <w:r>
        <w:t xml:space="preserve">“Foe”</w:t>
      </w:r>
      <w:r>
        <w:t xml:space="preserve"> </w:t>
      </w:r>
      <w:r>
        <w:t xml:space="preserve">(trair). Se ambos cooperavam, dividiam o prêmio igualmente; se um traía e o outro cooperava, o traidor ficava com tudo; se ambos traíam, ninguém recebia nada.</w:t>
      </w:r>
    </w:p>
    <w:p>
      <w:pPr>
        <w:pStyle w:val="BlockText"/>
      </w:pPr>
      <w:r>
        <w:t xml:space="preserve">Os dados de 227 episódios (Kalist, 2004; List, 2006) estão disponíveis no pacote R</w:t>
      </w:r>
      <w:r>
        <w:t xml:space="preserve"> </w:t>
      </w:r>
      <w:r>
        <w:rPr>
          <w:rStyle w:val="VerbatimChar"/>
        </w:rPr>
        <w:t xml:space="preserve">Ecdat</w:t>
      </w:r>
      <w:r>
        <w:t xml:space="preserve">. Explore: qual fração coopera? A decisão depende do valor em jogo? Da idade?</w:t>
      </w:r>
    </w:p>
    <w:p>
      <w:pPr>
        <w:pStyle w:val="BlockText"/>
      </w:pPr>
      <w:r>
        <w:rPr>
          <w:b/>
          <w:bCs/>
        </w:rPr>
        <w:t xml:space="preserve">Figura 9a.5 — Análise do game show Friend or Foe com dados reais.</w:t>
      </w:r>
      <w:r>
        <w:t xml:space="preserve"> </w:t>
      </w:r>
      <w:r>
        <w:t xml:space="preserve">O WebR executa R diretamente no navegador (sem servidor). Altere o código para explorar: adicione</w:t>
      </w:r>
      <w:r>
        <w:t xml:space="preserve"> </w:t>
      </w:r>
      <w:r>
        <w:t xml:space="preserve">glm(play ==</w:t>
      </w:r>
      <w:r>
        <w:t xml:space="preserve"> </w:t>
      </w:r>
      <w:r>
        <w:t xml:space="preserve">“friend”</w:t>
      </w:r>
      <w:r>
        <w:t xml:space="preserve"> </w:t>
      </w:r>
      <w:r>
        <w:t xml:space="preserve">~ age + cash, family=binomial, data=df)</w:t>
      </w:r>
      <w:r>
        <w:t xml:space="preserve"> </w:t>
      </w:r>
      <w:r>
        <w:t xml:space="preserve">para estimar um modelo logit.</w:t>
      </w:r>
    </w:p>
    <w:p>
      <w:r>
        <w:pict>
          <v:rect style="width:0;height:1.5pt" o:hralign="center" o:hrstd="t" o:hr="t"/>
        </w:pict>
      </w:r>
    </w:p>
    <w:p>
      <w:pPr>
        <w:pStyle w:val="BlockText"/>
      </w:pPr>
      <w:r>
        <w:rPr>
          <w:b/>
          <w:bCs/>
        </w:rPr>
        <w:t xml:space="preserve">[CODE] R Interativo — Cournot Duopólio: equilíbrio analítico e gráfico (Adams, 2025, Cap. 3)</w:t>
      </w:r>
    </w:p>
    <w:p>
      <w:pPr>
        <w:pStyle w:val="BlockText"/>
      </w:pPr>
      <w:r>
        <w:t xml:space="preserve">O modelo de Cournot com demanda linear admite solução analítica. Neste box interativo, você pode alterar os parâmetros de demanda (</w:t>
      </w:r>
      <m:oMath>
        <m:r>
          <m:t>a</m:t>
        </m:r>
      </m:oMath>
      <w:r>
        <w:t xml:space="preserve">,</w:t>
      </w:r>
      <w:r>
        <w:t xml:space="preserve"> </w:t>
      </w:r>
      <m:oMath>
        <m:r>
          <m:t>b</m:t>
        </m:r>
      </m:oMath>
      <w:r>
        <w:t xml:space="preserve">) e os custos marginais (</w:t>
      </w:r>
      <m:oMath>
        <m:sSub>
          <m:e>
            <m:r>
              <m:t>c</m:t>
            </m:r>
          </m:e>
          <m:sub>
            <m:r>
              <m:t>1</m:t>
            </m:r>
          </m:sub>
        </m:sSub>
      </m:oMath>
      <w:r>
        <w:t xml:space="preserve">,</w:t>
      </w:r>
      <w:r>
        <w:t xml:space="preserve"> </w:t>
      </w:r>
      <m:oMath>
        <m:sSub>
          <m:e>
            <m:r>
              <m:t>c</m:t>
            </m:r>
          </m:e>
          <m:sub>
            <m:r>
              <m:t>2</m:t>
            </m:r>
          </m:sub>
        </m:sSub>
      </m:oMath>
      <w:r>
        <w:t xml:space="preserve">) para explorar como o equilíbrio muda. O R calcula quantidades, preço e lucros de equilíbrio e plota as funções de melhor-resposta.</w:t>
      </w:r>
    </w:p>
    <w:p>
      <w:pPr>
        <w:pStyle w:val="BlockText"/>
      </w:pPr>
      <w:r>
        <w:rPr>
          <w:b/>
          <w:bCs/>
        </w:rPr>
        <w:t xml:space="preserve">Exercício sugerido:</w:t>
      </w:r>
      <w:r>
        <w:t xml:space="preserve"> </w:t>
      </w:r>
      <w:r>
        <w:t xml:space="preserve">mude</w:t>
      </w:r>
      <w:r>
        <w:t xml:space="preserve"> </w:t>
      </w:r>
      <m:oMath>
        <m:sSub>
          <m:e>
            <m:r>
              <m:t>c</m:t>
            </m:r>
          </m:e>
          <m:sub>
            <m:r>
              <m:t>2</m:t>
            </m:r>
          </m:sub>
        </m:sSub>
      </m:oMath>
      <w:r>
        <w:t xml:space="preserve"> </w:t>
      </w:r>
      <w:r>
        <w:t xml:space="preserve">para 40 e compare com o caso simétrico. A firma de custo alto produz menos — qual é o efeito sobre o preço de mercado?</w:t>
      </w:r>
    </w:p>
    <w:p>
      <w:pPr>
        <w:pStyle w:val="FirstParagraph"/>
      </w:pPr>
      <w:r>
        <w:t xml:space="preserve">[FIGURA INTERATIVA: /micro-book/graficos/cap09/webr-proto.html — versao interativa disponivel online]</w:t>
      </w:r>
    </w:p>
    <w:p>
      <w:pPr>
        <w:pStyle w:val="BlockText"/>
      </w:pPr>
      <w:r>
        <w:rPr>
          <w:b/>
          <w:bCs/>
        </w:rPr>
        <w:t xml:space="preserve">Figura 9a.6 — Equilíbrio de Cournot com parâmetros editáveis.</w:t>
      </w:r>
      <w:r>
        <w:t xml:space="preserve"> </w:t>
      </w:r>
      <w:r>
        <w:t xml:space="preserve">Altere</w:t>
      </w:r>
      <w:r>
        <w:t xml:space="preserve"> </w:t>
      </w:r>
      <w:r>
        <w:t xml:space="preserve">a</w:t>
      </w:r>
      <w:r>
        <w:t xml:space="preserve">,</w:t>
      </w:r>
      <w:r>
        <w:t xml:space="preserve"> </w:t>
      </w:r>
      <w:r>
        <w:t xml:space="preserve">b</w:t>
      </w:r>
      <w:r>
        <w:t xml:space="preserve">,</w:t>
      </w:r>
      <w:r>
        <w:t xml:space="preserve"> </w:t>
      </w:r>
      <w:r>
        <w:t xml:space="preserve">c1</w:t>
      </w:r>
      <w:r>
        <w:t xml:space="preserve">,</w:t>
      </w:r>
      <w:r>
        <w:t xml:space="preserve"> </w:t>
      </w:r>
      <w:r>
        <w:t xml:space="preserve">c2</w:t>
      </w:r>
      <w:r>
        <w:t xml:space="preserve"> </w:t>
      </w:r>
      <w:r>
        <w:t xml:space="preserve">e re-execute. Baseado em Adams (2025, Cap. 3).</w:t>
      </w:r>
    </w:p>
    <w:p>
      <w:r>
        <w:pict>
          <v:rect style="width:0;height:1.5pt" o:hralign="center" o:hrstd="t" o:hr="t"/>
        </w:pict>
      </w:r>
    </w:p>
    <w:p>
      <w:pPr>
        <w:pStyle w:val="FirstParagraph"/>
      </w:pPr>
      <w:r>
        <w:rPr>
          <w:i/>
          <w:iCs/>
        </w:rPr>
        <w:t xml:space="preserve">Nos jogos simultâneos, todos apostam no escuro. No próximo módulo, alguém move primeiro — e isso muda tudo. And now for something completely different.</w:t>
      </w:r>
    </w:p>
    <w:bookmarkEnd w:id="485"/>
    <w:bookmarkEnd w:id="486"/>
    <w:bookmarkEnd w:id="487"/>
    <w:bookmarkStart w:id="495" w:name="exercícios-e-revisão"/>
    <w:p>
      <w:pPr>
        <w:pStyle w:val="Heading2"/>
      </w:pPr>
      <w:r>
        <w:t xml:space="preserve">Exercícios e Revisão</w:t>
      </w:r>
    </w:p>
    <w:bookmarkStart w:id="488" w:name="atividades-de-sala-de-aula"/>
    <w:p>
      <w:pPr>
        <w:pStyle w:val="Heading3"/>
      </w:pPr>
      <w:r>
        <w:t xml:space="preserve">🧪 Atividades de Sala de Aula</w:t>
      </w:r>
    </w:p>
    <w:p>
      <w:pPr>
        <w:pStyle w:val="BlockText"/>
      </w:pPr>
      <w:r>
        <w:rPr>
          <w:b/>
          <w:bCs/>
        </w:rPr>
        <w:t xml:space="preserve">[ATIVIDADE DE SALA] Atividade 9a.1 — Dilema dos Prisioneiros ao vivo (20 min)</w:t>
      </w:r>
    </w:p>
    <w:p>
      <w:pPr>
        <w:pStyle w:val="BlockText"/>
      </w:pPr>
      <w:r>
        <w:rPr>
          <w:b/>
          <w:bCs/>
        </w:rPr>
        <w:t xml:space="preserve">Objetivo:</w:t>
      </w:r>
      <w:r>
        <w:t xml:space="preserve"> </w:t>
      </w:r>
      <w:r>
        <w:t xml:space="preserve">Demonstrar a tensão entre racionalidade individual e eficiência coletiva — e testar se a cooperação emerge com repetição.</w:t>
      </w:r>
    </w:p>
    <w:p>
      <w:pPr>
        <w:pStyle w:val="BlockText"/>
      </w:pPr>
      <w:r>
        <w:rPr>
          <w:b/>
          <w:bCs/>
        </w:rPr>
        <w:t xml:space="preserve">Material:</w:t>
      </w:r>
      <w:r>
        <w:t xml:space="preserve"> </w:t>
      </w:r>
      <w:r>
        <w:t xml:space="preserve">Cartões com</w:t>
      </w:r>
      <w:r>
        <w:t xml:space="preserve"> </w:t>
      </w:r>
      <w:r>
        <w:t xml:space="preserve">“C”</w:t>
      </w:r>
      <w:r>
        <w:t xml:space="preserve"> </w:t>
      </w:r>
      <w:r>
        <w:t xml:space="preserve">(Cooperar) e</w:t>
      </w:r>
      <w:r>
        <w:t xml:space="preserve"> </w:t>
      </w:r>
      <w:r>
        <w:t xml:space="preserve">“T”</w:t>
      </w:r>
      <w:r>
        <w:t xml:space="preserve"> </w:t>
      </w:r>
      <w:r>
        <w:t xml:space="preserve">(Trair) para cada aluno, tabela de payoffs projetada.</w:t>
      </w:r>
    </w:p>
    <w:p>
      <w:pPr>
        <w:pStyle w:val="BlockText"/>
      </w:pPr>
      <w:r>
        <w:rPr>
          <w:b/>
          <w:bCs/>
        </w:rPr>
        <w:t xml:space="preserve">Protocolo:</w:t>
      </w:r>
    </w:p>
    <w:p>
      <w:pPr>
        <w:pStyle w:val="Compact"/>
        <w:numPr>
          <w:ilvl w:val="0"/>
          <w:numId w:val="1442"/>
        </w:numPr>
      </w:pPr>
      <w:r>
        <w:rPr>
          <w:b/>
          <w:bCs/>
        </w:rPr>
        <w:t xml:space="preserve">Formação de duplas</w:t>
      </w:r>
      <w:r>
        <w:t xml:space="preserve"> </w:t>
      </w:r>
      <w:r>
        <w:t xml:space="preserve">(2 min): Alunos formam pares aleatórios. Cada dupla recebe 2 cartões (C e T).</w:t>
      </w:r>
    </w:p>
    <w:p>
      <w:pPr>
        <w:pStyle w:val="Compact"/>
        <w:numPr>
          <w:ilvl w:val="0"/>
          <w:numId w:val="1442"/>
        </w:numPr>
      </w:pPr>
      <w:r>
        <w:rPr>
          <w:b/>
          <w:bCs/>
        </w:rPr>
        <w:t xml:space="preserve">Rodada única</w:t>
      </w:r>
      <w:r>
        <w:t xml:space="preserve"> </w:t>
      </w:r>
      <w:r>
        <w:t xml:space="preserve">(3 min): Sem comunicação, cada aluno escolhe C ou T simultaneamente (cartões virados para baixo, revelados ao mesmo tempo). Payoffs: (C,C) = 3 pontos cada; (C,T) = 0 e 5; (T,T) = 1 cada. Anote os resultados.</w:t>
      </w:r>
    </w:p>
    <w:p>
      <w:pPr>
        <w:pStyle w:val="Compact"/>
        <w:numPr>
          <w:ilvl w:val="0"/>
          <w:numId w:val="1442"/>
        </w:numPr>
      </w:pPr>
      <w:r>
        <w:rPr>
          <w:b/>
          <w:bCs/>
        </w:rPr>
        <w:t xml:space="preserve">5 rodadas com o mesmo parceiro</w:t>
      </w:r>
      <w:r>
        <w:t xml:space="preserve"> </w:t>
      </w:r>
      <w:r>
        <w:t xml:space="preserve">(8 min): Repita o jogo 5 vezes com o mesmo par. Permita que vejam as escolhas anteriores do parceiro (mas</w:t>
      </w:r>
      <w:r>
        <w:t xml:space="preserve"> </w:t>
      </w:r>
      <w:r>
        <w:rPr>
          <w:b/>
          <w:bCs/>
        </w:rPr>
        <w:t xml:space="preserve">não</w:t>
      </w:r>
      <w:r>
        <w:t xml:space="preserve"> </w:t>
      </w:r>
      <w:r>
        <w:t xml:space="preserve">permitam conversa). Anote rodada a rodada.</w:t>
      </w:r>
    </w:p>
    <w:p>
      <w:pPr>
        <w:pStyle w:val="Compact"/>
        <w:numPr>
          <w:ilvl w:val="0"/>
          <w:numId w:val="1442"/>
        </w:numPr>
      </w:pPr>
      <w:r>
        <w:rPr>
          <w:b/>
          <w:bCs/>
        </w:rPr>
        <w:t xml:space="preserve">Debrief coletivo</w:t>
      </w:r>
      <w:r>
        <w:t xml:space="preserve"> </w:t>
      </w:r>
      <w:r>
        <w:t xml:space="preserve">(7 min):</w:t>
      </w:r>
    </w:p>
    <w:p>
      <w:pPr>
        <w:pStyle w:val="Compact"/>
        <w:numPr>
          <w:ilvl w:val="1"/>
          <w:numId w:val="1443"/>
        </w:numPr>
      </w:pPr>
      <w:r>
        <w:t xml:space="preserve">Projete a distribuição de escolhas (% cooperação) por rodada. Tipicamente, cooperação cresce nas rodadas 2–4 e cai na rodada 5 (efeito de endgame).</w:t>
      </w:r>
    </w:p>
    <w:p>
      <w:pPr>
        <w:pStyle w:val="Compact"/>
        <w:numPr>
          <w:ilvl w:val="1"/>
          <w:numId w:val="1443"/>
        </w:numPr>
      </w:pPr>
      <w:r>
        <w:t xml:space="preserve">Pergunte:</w:t>
      </w:r>
      <w:r>
        <w:t xml:space="preserve"> </w:t>
      </w:r>
      <w:r>
        <w:t xml:space="preserve">“Quem cooperou mais nas rodadas intermediárias? Por quê?”</w:t>
      </w:r>
      <w:r>
        <w:t xml:space="preserve"> </w:t>
      </w:r>
      <w:r>
        <w:t xml:space="preserve">→ Conecte com o</w:t>
      </w:r>
      <w:r>
        <w:t xml:space="preserve"> </w:t>
      </w:r>
      <w:r>
        <w:rPr>
          <w:i/>
          <w:iCs/>
        </w:rPr>
        <w:t xml:space="preserve">shadow of the future</w:t>
      </w:r>
      <w:r>
        <w:t xml:space="preserve"> </w:t>
      </w:r>
      <w:r>
        <w:t xml:space="preserve">(Módulo 9b).</w:t>
      </w:r>
    </w:p>
    <w:p>
      <w:pPr>
        <w:pStyle w:val="Compact"/>
        <w:numPr>
          <w:ilvl w:val="1"/>
          <w:numId w:val="1443"/>
        </w:numPr>
      </w:pPr>
      <w:r>
        <w:t xml:space="preserve">Pergunte:</w:t>
      </w:r>
      <w:r>
        <w:t xml:space="preserve"> </w:t>
      </w:r>
      <w:r>
        <w:t xml:space="preserve">“Quem traiu na última rodada sabendo que não haveria</w:t>
      </w:r>
      <w:r>
        <w:t xml:space="preserve"> </w:t>
      </w:r>
      <w:r>
        <w:t xml:space="preserve">‘amanhã’</w:t>
      </w:r>
      <w:r>
        <w:t xml:space="preserve">?”</w:t>
      </w:r>
      <w:r>
        <w:t xml:space="preserve"> </w:t>
      </w:r>
      <w:r>
        <w:t xml:space="preserve">→ Conecte com</w:t>
      </w:r>
      <w:r>
        <w:t xml:space="preserve"> </w:t>
      </w:r>
      <w:r>
        <w:rPr>
          <w:i/>
          <w:iCs/>
        </w:rPr>
        <w:t xml:space="preserve">unraveling</w:t>
      </w:r>
      <w:r>
        <w:t xml:space="preserve"> </w:t>
      </w:r>
      <w:r>
        <w:t xml:space="preserve">em jogos finitos.</w:t>
      </w:r>
    </w:p>
    <w:p>
      <w:pPr>
        <w:pStyle w:val="Compact"/>
        <w:numPr>
          <w:ilvl w:val="1"/>
          <w:numId w:val="1443"/>
        </w:numPr>
      </w:pPr>
      <w:r>
        <w:t xml:space="preserve">Compare a taxa de cooperação observada com a previsão teórica (0% em jogo de uma rodada; 0% em jogo finito por indução retroativa).</w:t>
      </w:r>
    </w:p>
    <w:p>
      <w:pPr>
        <w:pStyle w:val="BlockText"/>
      </w:pPr>
      <w:r>
        <w:rPr>
          <w:b/>
          <w:bCs/>
        </w:rPr>
        <w:t xml:space="preserve">Variação avançada:</w:t>
      </w:r>
      <w:r>
        <w:t xml:space="preserve"> </w:t>
      </w:r>
      <w:r>
        <w:t xml:space="preserve">Após o debrief, jogue mais 5 rodadas com parceiro</w:t>
      </w:r>
      <w:r>
        <w:t xml:space="preserve"> </w:t>
      </w:r>
      <w:r>
        <w:rPr>
          <w:i/>
          <w:iCs/>
        </w:rPr>
        <w:t xml:space="preserve">aleatório</w:t>
      </w:r>
      <w:r>
        <w:t xml:space="preserve"> </w:t>
      </w:r>
      <w:r>
        <w:t xml:space="preserve">(rematching a cada rodada). Preveja: a cooperação vai cair drasticamente. Por quê? Porque a repetição com parceiro fixo cria reputação; com parceiro aleatório, cada rodada é efetivamente um jogo de uma vez.</w:t>
      </w:r>
    </w:p>
    <w:p>
      <w:pPr>
        <w:pStyle w:val="BlockText"/>
      </w:pPr>
      <w:r>
        <w:rPr>
          <w:b/>
          <w:bCs/>
        </w:rPr>
        <w:t xml:space="preserve">Conexão com o conteúdo:</w:t>
      </w:r>
      <w:r>
        <w:t xml:space="preserve"> </w:t>
      </w:r>
      <w:r>
        <w:t xml:space="preserve">Dilema dos Prisioneiros (Seção 9a.2), Folk Theorem e cooperação em jogos repetidos (Módulo 9b). Evidência experimental: Axelrod (1984),</w:t>
      </w:r>
      <w:r>
        <w:t xml:space="preserve"> </w:t>
      </w:r>
      <w:r>
        <w:rPr>
          <w:i/>
          <w:iCs/>
        </w:rPr>
        <w:t xml:space="preserve">The Evolution of Cooperation</w:t>
      </w:r>
      <w:r>
        <w:t xml:space="preserve">.</w:t>
      </w:r>
    </w:p>
    <w:p>
      <w:pPr>
        <w:pStyle w:val="BlockText"/>
      </w:pPr>
      <w:r>
        <w:rPr>
          <w:b/>
          <w:bCs/>
        </w:rPr>
        <w:t xml:space="preserve">[ATIVIDADE DE SALA] Atividade 9a.2 — Leilão de primeiro preço vs. segundo preço (25 min)</w:t>
      </w:r>
    </w:p>
    <w:p>
      <w:pPr>
        <w:pStyle w:val="BlockText"/>
      </w:pPr>
      <w:r>
        <w:rPr>
          <w:b/>
          <w:bCs/>
        </w:rPr>
        <w:t xml:space="preserve">Objetivo:</w:t>
      </w:r>
      <w:r>
        <w:t xml:space="preserve"> </w:t>
      </w:r>
      <w:r>
        <w:t xml:space="preserve">Verificar empiricamente o Teorema da Equivalência de Receita e o sombreamento de lances (</w:t>
      </w:r>
      <w:r>
        <w:rPr>
          <w:i/>
          <w:iCs/>
        </w:rPr>
        <w:t xml:space="preserve">bid shading</w:t>
      </w:r>
      <w:r>
        <w:t xml:space="preserve">).</w:t>
      </w:r>
    </w:p>
    <w:p>
      <w:pPr>
        <w:pStyle w:val="BlockText"/>
      </w:pPr>
      <w:r>
        <w:rPr>
          <w:b/>
          <w:bCs/>
        </w:rPr>
        <w:t xml:space="preserve">Material:</w:t>
      </w:r>
      <w:r>
        <w:t xml:space="preserve"> </w:t>
      </w:r>
      <w:r>
        <w:t xml:space="preserve">Baralho de cartas (ou geradores aleatórios no celular); envelopes de papel; planilha projetada.</w:t>
      </w:r>
    </w:p>
    <w:p>
      <w:pPr>
        <w:pStyle w:val="BlockText"/>
      </w:pPr>
      <w:r>
        <w:rPr>
          <w:b/>
          <w:bCs/>
        </w:rPr>
        <w:t xml:space="preserve">Protocolo:</w:t>
      </w:r>
    </w:p>
    <w:p>
      <w:pPr>
        <w:pStyle w:val="Compact"/>
        <w:numPr>
          <w:ilvl w:val="0"/>
          <w:numId w:val="1444"/>
        </w:numPr>
      </w:pPr>
      <w:r>
        <w:rPr>
          <w:b/>
          <w:bCs/>
        </w:rPr>
        <w:t xml:space="preserve">Sorteio de valores</w:t>
      </w:r>
      <w:r>
        <w:t xml:space="preserve"> </w:t>
      </w:r>
      <w:r>
        <w:t xml:space="preserve">(2 min): Cada aluno sorteia uma carta de um baralho (Ás = 1, …, Rei = 13). Esse é seu valor privado</w:t>
      </w:r>
      <w:r>
        <w:t xml:space="preserve"> </w:t>
      </w:r>
      <m:oMath>
        <m:sSub>
          <m:e>
            <m:r>
              <m:t>v</m:t>
            </m:r>
          </m:e>
          <m:sub>
            <m:r>
              <m:t>i</m:t>
            </m:r>
          </m:sub>
        </m:sSub>
      </m:oMath>
      <w:r>
        <w:t xml:space="preserve">. Ninguém mostra a carta.</w:t>
      </w:r>
    </w:p>
    <w:p>
      <w:pPr>
        <w:pStyle w:val="Compact"/>
        <w:numPr>
          <w:ilvl w:val="0"/>
          <w:numId w:val="1444"/>
        </w:numPr>
      </w:pPr>
      <w:r>
        <w:rPr>
          <w:b/>
          <w:bCs/>
        </w:rPr>
        <w:t xml:space="preserve">Leilão de primeiro preço</w:t>
      </w:r>
      <w:r>
        <w:t xml:space="preserve"> </w:t>
      </w:r>
      <w:r>
        <w:t xml:space="preserve">(8 min): Grupos de 4 alunos. Cada um escreve seu lance</w:t>
      </w:r>
      <w:r>
        <w:t xml:space="preserve"> </w:t>
      </w:r>
      <m:oMath>
        <m:sSub>
          <m:e>
            <m:r>
              <m:t>b</m:t>
            </m:r>
          </m:e>
          <m:sub>
            <m:r>
              <m:t>i</m:t>
            </m:r>
          </m:sub>
        </m:sSub>
      </m:oMath>
      <w:r>
        <w:t xml:space="preserve"> </w:t>
      </w:r>
      <w:r>
        <w:t xml:space="preserve">em papel dobrado e entrega ao</w:t>
      </w:r>
      <w:r>
        <w:t xml:space="preserve"> </w:t>
      </w:r>
      <w:r>
        <w:t xml:space="preserve">“leiloeiro”</w:t>
      </w:r>
      <w:r>
        <w:t xml:space="preserve"> </w:t>
      </w:r>
      <w:r>
        <w:t xml:space="preserve">(um colega). O maior lance ganha e paga o próprio lance. Lucro =</w:t>
      </w:r>
      <w:r>
        <w:t xml:space="preserve"> </w:t>
      </w:r>
      <m:oMath>
        <m:sSub>
          <m:e>
            <m:r>
              <m:t>v</m:t>
            </m:r>
          </m:e>
          <m:sub>
            <m:r>
              <m:t>i</m:t>
            </m:r>
          </m:sub>
        </m:sSub>
        <m:r>
          <m:rPr>
            <m:sty m:val="p"/>
          </m:rPr>
          <m:t>−</m:t>
        </m:r>
        <m:sSub>
          <m:e>
            <m:r>
              <m:t>b</m:t>
            </m:r>
          </m:e>
          <m:sub>
            <m:r>
              <m:t>i</m:t>
            </m:r>
          </m:sub>
        </m:sSub>
      </m:oMath>
      <w:r>
        <w:t xml:space="preserve"> </w:t>
      </w:r>
      <w:r>
        <w:t xml:space="preserve">se ganhou, 0 se perdeu. Façam 3 rodadas (re-sorteio de cartas a cada rodada).</w:t>
      </w:r>
    </w:p>
    <w:p>
      <w:pPr>
        <w:pStyle w:val="Compact"/>
        <w:numPr>
          <w:ilvl w:val="0"/>
          <w:numId w:val="1444"/>
        </w:numPr>
      </w:pPr>
      <w:r>
        <w:rPr>
          <w:b/>
          <w:bCs/>
        </w:rPr>
        <w:t xml:space="preserve">Leilão de segundo preço</w:t>
      </w:r>
      <w:r>
        <w:t xml:space="preserve"> </w:t>
      </w:r>
      <w:r>
        <w:t xml:space="preserve">(8 min): Mesmos grupos. Agora o maior lance ganha, mas paga o</w:t>
      </w:r>
      <w:r>
        <w:t xml:space="preserve"> </w:t>
      </w:r>
      <w:r>
        <w:rPr>
          <w:i/>
          <w:iCs/>
        </w:rPr>
        <w:t xml:space="preserve">segundo</w:t>
      </w:r>
      <w:r>
        <w:t xml:space="preserve"> </w:t>
      </w:r>
      <w:r>
        <w:t xml:space="preserve">maior lance. Façam 3 rodadas.</w:t>
      </w:r>
    </w:p>
    <w:p>
      <w:pPr>
        <w:pStyle w:val="Compact"/>
        <w:numPr>
          <w:ilvl w:val="0"/>
          <w:numId w:val="1444"/>
        </w:numPr>
      </w:pPr>
      <w:r>
        <w:rPr>
          <w:b/>
          <w:bCs/>
        </w:rPr>
        <w:t xml:space="preserve">Debrief</w:t>
      </w:r>
      <w:r>
        <w:t xml:space="preserve"> </w:t>
      </w:r>
      <w:r>
        <w:t xml:space="preserve">(7 min):</w:t>
      </w:r>
    </w:p>
    <w:p>
      <w:pPr>
        <w:pStyle w:val="Compact"/>
        <w:numPr>
          <w:ilvl w:val="1"/>
          <w:numId w:val="1445"/>
        </w:numPr>
      </w:pPr>
      <w:r>
        <w:t xml:space="preserve">Calcule a receita média em cada formato. São próximas? → Equivalência de receita.</w:t>
      </w:r>
    </w:p>
    <w:p>
      <w:pPr>
        <w:pStyle w:val="Compact"/>
        <w:numPr>
          <w:ilvl w:val="1"/>
          <w:numId w:val="1445"/>
        </w:numPr>
      </w:pPr>
      <w:r>
        <w:t xml:space="preserve">Pergunte:</w:t>
      </w:r>
      <w:r>
        <w:t xml:space="preserve"> </w:t>
      </w:r>
      <w:r>
        <w:t xml:space="preserve">“Quanto você sombreou no primeiro preço?”</w:t>
      </w:r>
      <w:r>
        <w:t xml:space="preserve"> </w:t>
      </w:r>
      <w:r>
        <w:t xml:space="preserve">→ Compare com a fórmula teórica</w:t>
      </w:r>
      <w:r>
        <w:t xml:space="preserve"> </w:t>
      </w:r>
      <m:oMath>
        <m:r>
          <m:t>b</m:t>
        </m:r>
        <m:r>
          <m:rPr>
            <m:sty m:val="p"/>
          </m:rPr>
          <m:t>(</m:t>
        </m:r>
        <m:r>
          <m:t>v</m:t>
        </m:r>
        <m:r>
          <m:rPr>
            <m:sty m:val="p"/>
          </m:rPr>
          <m:t>)</m:t>
        </m:r>
        <m:r>
          <m:rPr>
            <m:sty m:val="p"/>
          </m:rPr>
          <m:t>=</m:t>
        </m:r>
        <m:r>
          <m:t>v</m:t>
        </m:r>
        <m:r>
          <m:rPr>
            <m:sty m:val="p"/>
          </m:rPr>
          <m:t>⋅</m:t>
        </m:r>
        <m:r>
          <m:rPr>
            <m:sty m:val="p"/>
          </m:rPr>
          <m:t>(</m:t>
        </m:r>
        <m:r>
          <m:t>N</m:t>
        </m:r>
        <m:r>
          <m:rPr>
            <m:sty m:val="p"/>
          </m:rPr>
          <m:t>−</m:t>
        </m:r>
        <m:r>
          <m:t>1</m:t>
        </m:r>
        <m:r>
          <m:rPr>
            <m:sty m:val="p"/>
          </m:rPr>
          <m:t>)</m:t>
        </m:r>
        <m:r>
          <m:rPr>
            <m:sty m:val="p"/>
          </m:rPr>
          <m:t>/</m:t>
        </m:r>
        <m:r>
          <m:t>N</m:t>
        </m:r>
        <m:r>
          <m:rPr>
            <m:sty m:val="p"/>
          </m:rPr>
          <m:t>=</m:t>
        </m:r>
        <m:r>
          <m:t>v</m:t>
        </m:r>
        <m:r>
          <m:rPr>
            <m:sty m:val="p"/>
          </m:rPr>
          <m:t>⋅</m:t>
        </m:r>
        <m:r>
          <m:t>3</m:t>
        </m:r>
        <m:r>
          <m:rPr>
            <m:sty m:val="p"/>
          </m:rPr>
          <m:t>/</m:t>
        </m:r>
        <m:r>
          <m:t>4</m:t>
        </m:r>
      </m:oMath>
      <w:r>
        <w:t xml:space="preserve">.</w:t>
      </w:r>
    </w:p>
    <w:p>
      <w:pPr>
        <w:pStyle w:val="Compact"/>
        <w:numPr>
          <w:ilvl w:val="1"/>
          <w:numId w:val="1445"/>
        </w:numPr>
      </w:pPr>
      <w:r>
        <w:t xml:space="preserve">Pergunte:</w:t>
      </w:r>
      <w:r>
        <w:t xml:space="preserve"> </w:t>
      </w:r>
      <w:r>
        <w:t xml:space="preserve">“No segundo preço, alguém lançou abaixo do valor? Acima?”</w:t>
      </w:r>
      <w:r>
        <w:t xml:space="preserve"> </w:t>
      </w:r>
      <w:r>
        <w:t xml:space="preserve">→ Discuta por que</w:t>
      </w:r>
      <w:r>
        <w:t xml:space="preserve"> </w:t>
      </w:r>
      <m:oMath>
        <m:sSub>
          <m:e>
            <m:r>
              <m:t>b</m:t>
            </m:r>
          </m:e>
          <m:sub>
            <m:r>
              <m:t>i</m:t>
            </m:r>
          </m:sub>
        </m:sSub>
        <m:r>
          <m:rPr>
            <m:sty m:val="p"/>
          </m:rPr>
          <m:t>=</m:t>
        </m:r>
        <m:sSub>
          <m:e>
            <m:r>
              <m:t>v</m:t>
            </m:r>
          </m:e>
          <m:sub>
            <m:r>
              <m:t>i</m:t>
            </m:r>
          </m:sub>
        </m:sSub>
      </m:oMath>
      <w:r>
        <w:t xml:space="preserve"> </w:t>
      </w:r>
      <w:r>
        <w:t xml:space="preserve">é dominante.</w:t>
      </w:r>
    </w:p>
    <w:p>
      <w:pPr>
        <w:pStyle w:val="Compact"/>
        <w:numPr>
          <w:ilvl w:val="1"/>
          <w:numId w:val="1445"/>
        </w:numPr>
      </w:pPr>
      <w:r>
        <w:t xml:space="preserve">Alunos que lançaram acima do valor no segundo preço cometeram a</w:t>
      </w:r>
      <w:r>
        <w:t xml:space="preserve"> </w:t>
      </w:r>
      <w:r>
        <w:rPr>
          <w:i/>
          <w:iCs/>
        </w:rPr>
        <w:t xml:space="preserve">maldição do vencedor</w:t>
      </w:r>
      <w:r>
        <w:t xml:space="preserve"> </w:t>
      </w:r>
      <w:r>
        <w:t xml:space="preserve">em miniatura.</w:t>
      </w:r>
    </w:p>
    <w:p>
      <w:pPr>
        <w:pStyle w:val="BlockText"/>
      </w:pPr>
      <w:r>
        <w:rPr>
          <w:b/>
          <w:bCs/>
        </w:rPr>
        <w:t xml:space="preserve">Conexão com o conteúdo:</w:t>
      </w:r>
      <w:r>
        <w:t xml:space="preserve"> </w:t>
      </w:r>
      <w:r>
        <w:t xml:space="preserve">Leilões IPV (Módulo 9c, Seção 9c.3), Teorema da Equivalência de Receita (Myerson, 1981; Riley e Samuelson, 1981). Inspirado em Holt (2007, Cap. 19).</w:t>
      </w:r>
    </w:p>
    <w:p>
      <w:pPr>
        <w:pStyle w:val="BlockText"/>
      </w:pPr>
      <w:r>
        <w:rPr>
          <w:b/>
          <w:bCs/>
        </w:rPr>
        <w:t xml:space="preserve">[ATIVIDADE DE SALA] Atividade 9a.3 — Competição de Cournot com post-its (15 min)</w:t>
      </w:r>
    </w:p>
    <w:p>
      <w:pPr>
        <w:pStyle w:val="BlockText"/>
      </w:pPr>
      <w:r>
        <w:rPr>
          <w:b/>
          <w:bCs/>
        </w:rPr>
        <w:t xml:space="preserve">Objetivo:</w:t>
      </w:r>
      <w:r>
        <w:t xml:space="preserve"> </w:t>
      </w:r>
      <w:r>
        <w:t xml:space="preserve">Demonstrar o equilíbrio de Cournot e a tentação do conluio.</w:t>
      </w:r>
    </w:p>
    <w:p>
      <w:pPr>
        <w:pStyle w:val="BlockText"/>
      </w:pPr>
      <w:r>
        <w:rPr>
          <w:b/>
          <w:bCs/>
        </w:rPr>
        <w:t xml:space="preserve">Material:</w:t>
      </w:r>
      <w:r>
        <w:t xml:space="preserve"> </w:t>
      </w:r>
      <w:r>
        <w:t xml:space="preserve">Post-its, quadro branco.</w:t>
      </w:r>
    </w:p>
    <w:p>
      <w:pPr>
        <w:pStyle w:val="BlockText"/>
      </w:pPr>
      <w:r>
        <w:rPr>
          <w:b/>
          <w:bCs/>
        </w:rPr>
        <w:t xml:space="preserve">Protocolo:</w:t>
      </w:r>
    </w:p>
    <w:p>
      <w:pPr>
        <w:pStyle w:val="Compact"/>
        <w:numPr>
          <w:ilvl w:val="0"/>
          <w:numId w:val="1446"/>
        </w:numPr>
      </w:pPr>
      <w:r>
        <w:rPr>
          <w:b/>
          <w:bCs/>
        </w:rPr>
        <w:t xml:space="preserve">Setup</w:t>
      </w:r>
      <w:r>
        <w:t xml:space="preserve"> </w:t>
      </w:r>
      <w:r>
        <w:t xml:space="preserve">(3 min): Projete: demanda inversa</w:t>
      </w:r>
      <w:r>
        <w:t xml:space="preserve"> </w:t>
      </w:r>
      <m:oMath>
        <m:r>
          <m:t>P</m:t>
        </m:r>
        <m:r>
          <m:rPr>
            <m:sty m:val="p"/>
          </m:rPr>
          <m:t>=</m:t>
        </m:r>
        <m:r>
          <m:t>100</m:t>
        </m:r>
        <m:r>
          <m:rPr>
            <m:sty m:val="p"/>
          </m:rPr>
          <m:t>−</m:t>
        </m:r>
        <m:r>
          <m:t>Q</m:t>
        </m:r>
      </m:oMath>
      <w:r>
        <w:t xml:space="preserve">, custo marginal</w:t>
      </w:r>
      <w:r>
        <w:t xml:space="preserve"> </w:t>
      </w:r>
      <m:oMath>
        <m:r>
          <m:t>c</m:t>
        </m:r>
        <m:r>
          <m:rPr>
            <m:sty m:val="p"/>
          </m:rPr>
          <m:t>=</m:t>
        </m:r>
        <m:r>
          <m:t>10</m:t>
        </m:r>
      </m:oMath>
      <w:r>
        <w:t xml:space="preserve">. Alunos formam duplas (firmas). Cada firma escolhe quantidade</w:t>
      </w:r>
      <w:r>
        <w:t xml:space="preserve"> </w:t>
      </w:r>
      <m:oMath>
        <m:sSub>
          <m:e>
            <m:r>
              <m:t>q</m:t>
            </m:r>
          </m:e>
          <m:sub>
            <m:r>
              <m:t>i</m:t>
            </m:r>
          </m:sub>
        </m:sSub>
        <m:r>
          <m:rPr>
            <m:sty m:val="p"/>
          </m:rPr>
          <m:t>∈</m:t>
        </m:r>
        <m:r>
          <m:rPr>
            <m:sty m:val="p"/>
          </m:rPr>
          <m:t>{</m:t>
        </m:r>
        <m:r>
          <m:t>0</m:t>
        </m:r>
        <m:r>
          <m:rPr>
            <m:sty m:val="p"/>
          </m:rPr>
          <m:t>,</m:t>
        </m:r>
        <m:r>
          <m:t>5</m:t>
        </m:r>
        <m:r>
          <m:rPr>
            <m:sty m:val="p"/>
          </m:rPr>
          <m:t>,</m:t>
        </m:r>
        <m:r>
          <m:t>10</m:t>
        </m:r>
        <m:r>
          <m:rPr>
            <m:sty m:val="p"/>
          </m:rPr>
          <m:t>,</m:t>
        </m:r>
        <m:r>
          <m:rPr>
            <m:sty m:val="p"/>
          </m:rPr>
          <m:t>.</m:t>
        </m:r>
        <m:r>
          <m:rPr>
            <m:sty m:val="p"/>
          </m:rPr>
          <m:t>.</m:t>
        </m:r>
        <m:r>
          <m:rPr>
            <m:sty m:val="p"/>
          </m:rPr>
          <m:t>.</m:t>
        </m:r>
        <m:r>
          <m:rPr>
            <m:sty m:val="p"/>
          </m:rPr>
          <m:t>,</m:t>
        </m:r>
        <m:r>
          <m:t>45</m:t>
        </m:r>
        <m:r>
          <m:rPr>
            <m:sty m:val="p"/>
          </m:rPr>
          <m:t>}</m:t>
        </m:r>
      </m:oMath>
      <w:r>
        <w:t xml:space="preserve">.</w:t>
      </w:r>
    </w:p>
    <w:p>
      <w:pPr>
        <w:pStyle w:val="Compact"/>
        <w:numPr>
          <w:ilvl w:val="0"/>
          <w:numId w:val="1446"/>
        </w:numPr>
      </w:pPr>
      <w:r>
        <w:rPr>
          <w:b/>
          <w:bCs/>
        </w:rPr>
        <w:t xml:space="preserve">Rodada 1 — Sem comunicação</w:t>
      </w:r>
      <w:r>
        <w:t xml:space="preserve"> </w:t>
      </w:r>
      <w:r>
        <w:t xml:space="preserve">(4 min): Cada firma escreve</w:t>
      </w:r>
      <w:r>
        <w:t xml:space="preserve"> </w:t>
      </w:r>
      <m:oMath>
        <m:sSub>
          <m:e>
            <m:r>
              <m:t>q</m:t>
            </m:r>
          </m:e>
          <m:sub>
            <m:r>
              <m:t>i</m:t>
            </m:r>
          </m:sub>
        </m:sSub>
      </m:oMath>
      <w:r>
        <w:t xml:space="preserve"> </w:t>
      </w:r>
      <w:r>
        <w:t xml:space="preserve">no post-it, entrega ao professor. Calcule</w:t>
      </w:r>
      <w:r>
        <w:t xml:space="preserve"> </w:t>
      </w:r>
      <m:oMath>
        <m:r>
          <m:t>Q</m:t>
        </m:r>
      </m:oMath>
      <w:r>
        <w:t xml:space="preserve">,</w:t>
      </w:r>
      <w:r>
        <w:t xml:space="preserve"> </w:t>
      </w:r>
      <m:oMath>
        <m:r>
          <m:t>P</m:t>
        </m:r>
      </m:oMath>
      <w:r>
        <w:t xml:space="preserve"> </w:t>
      </w:r>
      <w:r>
        <w:t xml:space="preserve">e lucros. Projete os resultados.</w:t>
      </w:r>
    </w:p>
    <w:p>
      <w:pPr>
        <w:pStyle w:val="Compact"/>
        <w:numPr>
          <w:ilvl w:val="0"/>
          <w:numId w:val="1446"/>
        </w:numPr>
      </w:pPr>
      <w:r>
        <w:rPr>
          <w:b/>
          <w:bCs/>
        </w:rPr>
        <w:t xml:space="preserve">Rodada 2 — Com comunicação</w:t>
      </w:r>
      <w:r>
        <w:t xml:space="preserve"> </w:t>
      </w:r>
      <w:r>
        <w:t xml:space="preserve">(4 min): Permita que as duplas conversem por 1 minuto antes de decidir (separadamente). Observe: muitas tentarão conluio (</w:t>
      </w:r>
      <m:oMath>
        <m:sSub>
          <m:e>
            <m:r>
              <m:t>q</m:t>
            </m:r>
          </m:e>
          <m:sub>
            <m:r>
              <m:t>1</m:t>
            </m:r>
          </m:sub>
        </m:sSub>
        <m:r>
          <m:rPr>
            <m:sty m:val="p"/>
          </m:rPr>
          <m:t>=</m:t>
        </m:r>
        <m:sSub>
          <m:e>
            <m:r>
              <m:t>q</m:t>
            </m:r>
          </m:e>
          <m:sub>
            <m:r>
              <m:t>2</m:t>
            </m:r>
          </m:sub>
        </m:sSub>
        <m:r>
          <m:rPr>
            <m:sty m:val="p"/>
          </m:rPr>
          <m:t>=</m:t>
        </m:r>
        <m:r>
          <m:t>22</m:t>
        </m:r>
        <m:r>
          <m:rPr>
            <m:sty m:val="p"/>
          </m:rPr>
          <m:t>,</m:t>
        </m:r>
        <m:r>
          <m:t>5</m:t>
        </m:r>
      </m:oMath>
      <w:r>
        <w:t xml:space="preserve">), mas sem enforcement, a tentação de desviar é forte.</w:t>
      </w:r>
    </w:p>
    <w:p>
      <w:pPr>
        <w:pStyle w:val="Compact"/>
        <w:numPr>
          <w:ilvl w:val="0"/>
          <w:numId w:val="1446"/>
        </w:numPr>
      </w:pPr>
      <w:r>
        <w:rPr>
          <w:b/>
          <w:bCs/>
        </w:rPr>
        <w:t xml:space="preserve">Debrief</w:t>
      </w:r>
      <w:r>
        <w:t xml:space="preserve"> </w:t>
      </w:r>
      <w:r>
        <w:t xml:space="preserve">(4 min):</w:t>
      </w:r>
    </w:p>
    <w:p>
      <w:pPr>
        <w:pStyle w:val="Compact"/>
        <w:numPr>
          <w:ilvl w:val="1"/>
          <w:numId w:val="1447"/>
        </w:numPr>
      </w:pPr>
      <w:r>
        <w:t xml:space="preserve">Compare as quantidades observadas com Cournot (</w:t>
      </w:r>
      <m:oMath>
        <m:sSup>
          <m:e>
            <m:r>
              <m:t>q</m:t>
            </m:r>
          </m:e>
          <m:sup>
            <m:r>
              <m:rPr>
                <m:sty m:val="p"/>
              </m:rPr>
              <m:t>*</m:t>
            </m:r>
          </m:sup>
        </m:sSup>
        <m:r>
          <m:rPr>
            <m:sty m:val="p"/>
          </m:rPr>
          <m:t>=</m:t>
        </m:r>
        <m:r>
          <m:t>30</m:t>
        </m:r>
      </m:oMath>
      <w:r>
        <w:t xml:space="preserve"> </w:t>
      </w:r>
      <w:r>
        <w:t xml:space="preserve">cada), monopólio dividido (</w:t>
      </w:r>
      <m:oMath>
        <m:r>
          <m:t>q</m:t>
        </m:r>
        <m:r>
          <m:rPr>
            <m:sty m:val="p"/>
          </m:rPr>
          <m:t>=</m:t>
        </m:r>
        <m:r>
          <m:t>22</m:t>
        </m:r>
        <m:r>
          <m:rPr>
            <m:sty m:val="p"/>
          </m:rPr>
          <m:t>,</m:t>
        </m:r>
        <m:r>
          <m:t>5</m:t>
        </m:r>
      </m:oMath>
      <w:r>
        <w:t xml:space="preserve"> </w:t>
      </w:r>
      <w:r>
        <w:t xml:space="preserve">cada) e Bertrand (</w:t>
      </w:r>
      <m:oMath>
        <m:r>
          <m:t>q</m:t>
        </m:r>
        <m:r>
          <m:rPr>
            <m:sty m:val="p"/>
          </m:rPr>
          <m:t>=</m:t>
        </m:r>
        <m:r>
          <m:t>45</m:t>
        </m:r>
      </m:oMath>
      <w:r>
        <w:t xml:space="preserve"> </w:t>
      </w:r>
      <w:r>
        <w:t xml:space="preserve">cada).</w:t>
      </w:r>
    </w:p>
    <w:p>
      <w:pPr>
        <w:pStyle w:val="Compact"/>
        <w:numPr>
          <w:ilvl w:val="1"/>
          <w:numId w:val="1447"/>
        </w:numPr>
      </w:pPr>
      <w:r>
        <w:t xml:space="preserve">Pergunte:</w:t>
      </w:r>
      <w:r>
        <w:t xml:space="preserve"> </w:t>
      </w:r>
      <w:r>
        <w:t xml:space="preserve">“Quem prometeu produzir 22,5 mas colocou 30 no post-it?”</w:t>
      </w:r>
      <w:r>
        <w:t xml:space="preserve"> </w:t>
      </w:r>
      <w:r>
        <w:t xml:space="preserve">→ Dilema dos Prisioneiros no oligopólio.</w:t>
      </w:r>
    </w:p>
    <w:p>
      <w:pPr>
        <w:pStyle w:val="BlockText"/>
      </w:pPr>
      <w:r>
        <w:rPr>
          <w:b/>
          <w:bCs/>
        </w:rPr>
        <w:t xml:space="preserve">Conexão com o conteúdo:</w:t>
      </w:r>
      <w:r>
        <w:t xml:space="preserve"> </w:t>
      </w:r>
      <w:r>
        <w:t xml:space="preserve">Modelo de Cournot (Seção 9a.5), conluio e incentivo a desviar (Módulo 9b).</w:t>
      </w:r>
    </w:p>
    <w:p>
      <w:r>
        <w:pict>
          <v:rect style="width:0;height:1.5pt" o:hralign="center" o:hrstd="t" o:hr="t"/>
        </w:pict>
      </w:r>
    </w:p>
    <w:bookmarkEnd w:id="488"/>
    <w:bookmarkStart w:id="489" w:name="revisão-rápida-7"/>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Um equilíbrio de Nash é um perfil de estratégias no qual:</w:t>
      </w:r>
    </w:p>
    <w:p>
      <w:pPr>
        <w:pStyle w:val="Compact"/>
        <w:numPr>
          <w:ilvl w:val="0"/>
          <w:numId w:val="1448"/>
        </w:numPr>
      </w:pPr>
    </w:p>
    <w:p>
      <w:pPr>
        <w:pStyle w:val="Compact"/>
        <w:numPr>
          <w:ilvl w:val="1"/>
          <w:numId w:val="1449"/>
        </w:numPr>
      </w:pPr>
      <w:r>
        <w:t xml:space="preserve">Todos os jogadores obtêm o maior payoff possível</w:t>
      </w:r>
    </w:p>
    <w:p>
      <w:pPr>
        <w:pStyle w:val="Compact"/>
        <w:numPr>
          <w:ilvl w:val="0"/>
          <w:numId w:val="1448"/>
        </w:numPr>
      </w:pPr>
    </w:p>
    <w:p>
      <w:pPr>
        <w:pStyle w:val="Compact"/>
        <w:numPr>
          <w:ilvl w:val="1"/>
          <w:numId w:val="1450"/>
        </w:numPr>
      </w:pPr>
      <w:r>
        <w:t xml:space="preserve">Nenhum jogador pode melhorar seu payoff alterando unilateralmente sua estratégia</w:t>
      </w:r>
    </w:p>
    <w:p>
      <w:pPr>
        <w:pStyle w:val="Compact"/>
        <w:numPr>
          <w:ilvl w:val="0"/>
          <w:numId w:val="1448"/>
        </w:numPr>
      </w:pPr>
    </w:p>
    <w:p>
      <w:pPr>
        <w:pStyle w:val="Compact"/>
        <w:numPr>
          <w:ilvl w:val="1"/>
          <w:numId w:val="1451"/>
        </w:numPr>
      </w:pPr>
      <w:r>
        <w:t xml:space="preserve">Todos os jogadores usam estratégias dominantes</w:t>
      </w:r>
    </w:p>
    <w:p>
      <w:pPr>
        <w:pStyle w:val="Compact"/>
        <w:numPr>
          <w:ilvl w:val="0"/>
          <w:numId w:val="1448"/>
        </w:numPr>
      </w:pPr>
    </w:p>
    <w:p>
      <w:pPr>
        <w:pStyle w:val="Compact"/>
        <w:numPr>
          <w:ilvl w:val="1"/>
          <w:numId w:val="1452"/>
        </w:numPr>
      </w:pPr>
      <w:r>
        <w:t xml:space="preserve">A soma dos payoffs é maximizada</w:t>
      </w:r>
    </w:p>
    <w:p>
      <w:pPr>
        <w:pStyle w:val="BlockText"/>
      </w:pPr>
      <w:r>
        <w:t xml:space="preserve">??? success</w:t>
      </w:r>
      <w:r>
        <w:t xml:space="preserve"> </w:t>
      </w:r>
      <w:r>
        <w:t xml:space="preserve">“Resposta”</w:t>
      </w:r>
      <w:r>
        <w:t xml:space="preserve"> </w:t>
      </w:r>
      <w:r>
        <w:rPr>
          <w:b/>
          <w:bCs/>
        </w:rPr>
        <w:t xml:space="preserve">(b)</w:t>
      </w:r>
      <w:r>
        <w:t xml:space="preserve"> </w:t>
      </w:r>
      <w:r>
        <w:t xml:space="preserve">O equilíbrio de Nash exige que cada jogador esteja fazendo a melhor resposta à estratégia dos demais — nenhum tem incentivo a desviar unilateralmente. Não exige que os payoffs sejam máximos (a), que existam estratégias dominantes (c) ou que o resultado seja socialmente ótimo (d). O Dilema dos Prisioneiros ilustra bem: o EN é mutuamente pior, mas ninguém desvia sozinho.</w:t>
      </w:r>
    </w:p>
    <w:p>
      <w:pPr>
        <w:pStyle w:val="BlockText"/>
      </w:pPr>
      <w:r>
        <w:rPr>
          <w:b/>
          <w:bCs/>
        </w:rPr>
        <w:t xml:space="preserve">[QUESTAO] 2. No Dilema dos Prisioneiros, o resultado de equilíbrio é ineficiente porque:</w:t>
      </w:r>
    </w:p>
    <w:p>
      <w:pPr>
        <w:pStyle w:val="Compact"/>
        <w:numPr>
          <w:ilvl w:val="0"/>
          <w:numId w:val="1453"/>
        </w:numPr>
      </w:pPr>
    </w:p>
    <w:p>
      <w:pPr>
        <w:pStyle w:val="Compact"/>
        <w:numPr>
          <w:ilvl w:val="1"/>
          <w:numId w:val="1454"/>
        </w:numPr>
      </w:pPr>
      <w:r>
        <w:t xml:space="preserve">Os jogadores não conseguem se comunicar</w:t>
      </w:r>
    </w:p>
    <w:p>
      <w:pPr>
        <w:pStyle w:val="Compact"/>
        <w:numPr>
          <w:ilvl w:val="0"/>
          <w:numId w:val="1453"/>
        </w:numPr>
      </w:pPr>
    </w:p>
    <w:p>
      <w:pPr>
        <w:pStyle w:val="Compact"/>
        <w:numPr>
          <w:ilvl w:val="1"/>
          <w:numId w:val="1455"/>
        </w:numPr>
      </w:pPr>
      <w:r>
        <w:t xml:space="preserve">Cada jogador tem uma estratégia dominante que leva a um resultado Pareto-inferior à cooperação mútua</w:t>
      </w:r>
    </w:p>
    <w:p>
      <w:pPr>
        <w:pStyle w:val="Compact"/>
        <w:numPr>
          <w:ilvl w:val="0"/>
          <w:numId w:val="1453"/>
        </w:numPr>
      </w:pPr>
    </w:p>
    <w:p>
      <w:pPr>
        <w:pStyle w:val="Compact"/>
        <w:numPr>
          <w:ilvl w:val="1"/>
          <w:numId w:val="1456"/>
        </w:numPr>
      </w:pPr>
      <w:r>
        <w:t xml:space="preserve">O jogo não tem equilíbrio de Nash</w:t>
      </w:r>
    </w:p>
    <w:p>
      <w:pPr>
        <w:pStyle w:val="Compact"/>
        <w:numPr>
          <w:ilvl w:val="0"/>
          <w:numId w:val="1453"/>
        </w:numPr>
      </w:pPr>
    </w:p>
    <w:p>
      <w:pPr>
        <w:pStyle w:val="Compact"/>
        <w:numPr>
          <w:ilvl w:val="1"/>
          <w:numId w:val="1457"/>
        </w:numPr>
      </w:pPr>
      <w:r>
        <w:t xml:space="preserve">Os payoffs são assimétricos entre os jogadores</w:t>
      </w:r>
    </w:p>
    <w:p>
      <w:pPr>
        <w:pStyle w:val="BlockText"/>
      </w:pPr>
      <w:r>
        <w:t xml:space="preserve">??? success</w:t>
      </w:r>
      <w:r>
        <w:t xml:space="preserve"> </w:t>
      </w:r>
      <w:r>
        <w:t xml:space="preserve">“Resposta”</w:t>
      </w:r>
      <w:r>
        <w:t xml:space="preserve"> </w:t>
      </w:r>
      <w:r>
        <w:rPr>
          <w:b/>
          <w:bCs/>
        </w:rPr>
        <w:t xml:space="preserve">(b)</w:t>
      </w:r>
      <w:r>
        <w:t xml:space="preserve"> </w:t>
      </w:r>
      <w:r>
        <w:t xml:space="preserve">Cada prisioneiro tem incentivo individual a confessar (estratégia dominante), independentemente do que o outro faz. Mas quando ambos confessam, obtêm um resultado pior do que se ambos calassem. O problema não é falta de comunicação (a) — mesmo com comunicação, sem enforcement, cada um desvia. O jogo tem EN (c é falsa); a simetria (d) é irrelevante.</w:t>
      </w:r>
    </w:p>
    <w:p>
      <w:pPr>
        <w:pStyle w:val="BlockText"/>
      </w:pPr>
      <w:r>
        <w:rPr>
          <w:b/>
          <w:bCs/>
        </w:rPr>
        <w:t xml:space="preserve">[QUESTAO] 3. No duopólio de Cournot (competição em quantidades), comparado ao monopólio, o preço de equilíbrio é:</w:t>
      </w:r>
    </w:p>
    <w:p>
      <w:pPr>
        <w:pStyle w:val="Compact"/>
        <w:numPr>
          <w:ilvl w:val="0"/>
          <w:numId w:val="1458"/>
        </w:numPr>
      </w:pPr>
    </w:p>
    <w:p>
      <w:pPr>
        <w:pStyle w:val="Compact"/>
        <w:numPr>
          <w:ilvl w:val="1"/>
          <w:numId w:val="1459"/>
        </w:numPr>
      </w:pPr>
      <w:r>
        <w:t xml:space="preserve">Igual ao preço de monopólio</w:t>
      </w:r>
    </w:p>
    <w:p>
      <w:pPr>
        <w:pStyle w:val="Compact"/>
        <w:numPr>
          <w:ilvl w:val="0"/>
          <w:numId w:val="1458"/>
        </w:numPr>
      </w:pPr>
    </w:p>
    <w:p>
      <w:pPr>
        <w:pStyle w:val="Compact"/>
        <w:numPr>
          <w:ilvl w:val="1"/>
          <w:numId w:val="1460"/>
        </w:numPr>
      </w:pPr>
      <w:r>
        <w:t xml:space="preserve">Menor que o de monopólio e maior que o competitivo</w:t>
      </w:r>
    </w:p>
    <w:p>
      <w:pPr>
        <w:pStyle w:val="Compact"/>
        <w:numPr>
          <w:ilvl w:val="0"/>
          <w:numId w:val="1458"/>
        </w:numPr>
      </w:pPr>
    </w:p>
    <w:p>
      <w:pPr>
        <w:pStyle w:val="Compact"/>
        <w:numPr>
          <w:ilvl w:val="1"/>
          <w:numId w:val="1461"/>
        </w:numPr>
      </w:pPr>
      <w:r>
        <w:t xml:space="preserve">Igual ao preço competitivo (custo marginal)</w:t>
      </w:r>
    </w:p>
    <w:p>
      <w:pPr>
        <w:pStyle w:val="Compact"/>
        <w:numPr>
          <w:ilvl w:val="0"/>
          <w:numId w:val="1458"/>
        </w:numPr>
      </w:pPr>
    </w:p>
    <w:p>
      <w:pPr>
        <w:pStyle w:val="Compact"/>
        <w:numPr>
          <w:ilvl w:val="1"/>
          <w:numId w:val="1462"/>
        </w:numPr>
      </w:pPr>
      <w:r>
        <w:t xml:space="preserve">Maior que o preço de monopólio devido à competição</w:t>
      </w:r>
    </w:p>
    <w:p>
      <w:pPr>
        <w:pStyle w:val="BlockText"/>
      </w:pPr>
      <w:r>
        <w:t xml:space="preserve">??? success</w:t>
      </w:r>
      <w:r>
        <w:t xml:space="preserve"> </w:t>
      </w:r>
      <w:r>
        <w:t xml:space="preserve">“Resposta”</w:t>
      </w:r>
      <w:r>
        <w:t xml:space="preserve"> </w:t>
      </w:r>
      <w:r>
        <w:rPr>
          <w:b/>
          <w:bCs/>
        </w:rPr>
        <w:t xml:space="preserve">(b)</w:t>
      </w:r>
      <w:r>
        <w:t xml:space="preserve"> </w:t>
      </w:r>
      <w:r>
        <w:t xml:space="preserve">No Cournot, cada firma produz considerando a produção da rival como dada. O resultado é intermediário: mais produção e menor preço que o monopólio, mas menos produção e maior preço que a concorrência perfeita. À medida que o número de firmas cresce, o resultado converge para o competitivo.</w:t>
      </w:r>
    </w:p>
    <w:p>
      <w:pPr>
        <w:pStyle w:val="BlockText"/>
      </w:pPr>
      <w:r>
        <w:rPr>
          <w:b/>
          <w:bCs/>
        </w:rPr>
        <w:t xml:space="preserve">[QUESTAO] 4. O Paradoxo de Bertrand afirma que, com produtos homogêneos e custos marginais constantes iguais, duas firmas já bastam para:</w:t>
      </w:r>
    </w:p>
    <w:p>
      <w:pPr>
        <w:pStyle w:val="Compact"/>
        <w:numPr>
          <w:ilvl w:val="0"/>
          <w:numId w:val="1463"/>
        </w:numPr>
      </w:pPr>
    </w:p>
    <w:p>
      <w:pPr>
        <w:pStyle w:val="Compact"/>
        <w:numPr>
          <w:ilvl w:val="1"/>
          <w:numId w:val="1464"/>
        </w:numPr>
      </w:pPr>
      <w:r>
        <w:t xml:space="preserve">Manter preços de monopólio indefinidamente</w:t>
      </w:r>
    </w:p>
    <w:p>
      <w:pPr>
        <w:pStyle w:val="Compact"/>
        <w:numPr>
          <w:ilvl w:val="0"/>
          <w:numId w:val="1463"/>
        </w:numPr>
      </w:pPr>
    </w:p>
    <w:p>
      <w:pPr>
        <w:pStyle w:val="Compact"/>
        <w:numPr>
          <w:ilvl w:val="1"/>
          <w:numId w:val="1465"/>
        </w:numPr>
      </w:pPr>
      <w:r>
        <w:t xml:space="preserve">Gerar o resultado competitivo: preço igual ao custo marginal e lucro econômico zero</w:t>
      </w:r>
    </w:p>
    <w:p>
      <w:pPr>
        <w:pStyle w:val="Compact"/>
        <w:numPr>
          <w:ilvl w:val="0"/>
          <w:numId w:val="1463"/>
        </w:numPr>
      </w:pPr>
    </w:p>
    <w:p>
      <w:pPr>
        <w:pStyle w:val="Compact"/>
        <w:numPr>
          <w:ilvl w:val="1"/>
          <w:numId w:val="1466"/>
        </w:numPr>
      </w:pPr>
      <w:r>
        <w:t xml:space="preserve">Produzir quantidades iguais às de Cournot</w:t>
      </w:r>
    </w:p>
    <w:p>
      <w:pPr>
        <w:pStyle w:val="Compact"/>
        <w:numPr>
          <w:ilvl w:val="0"/>
          <w:numId w:val="1463"/>
        </w:numPr>
      </w:pPr>
    </w:p>
    <w:p>
      <w:pPr>
        <w:pStyle w:val="Compact"/>
        <w:numPr>
          <w:ilvl w:val="1"/>
          <w:numId w:val="1467"/>
        </w:numPr>
      </w:pPr>
      <w:r>
        <w:t xml:space="preserve">Eliminar o incentivo à entrada de novas firmas</w:t>
      </w:r>
    </w:p>
    <w:p>
      <w:pPr>
        <w:pStyle w:val="BlockText"/>
      </w:pPr>
      <w:r>
        <w:t xml:space="preserve">??? success</w:t>
      </w:r>
      <w:r>
        <w:t xml:space="preserve"> </w:t>
      </w:r>
      <w:r>
        <w:t xml:space="preserve">“Resposta”</w:t>
      </w:r>
      <w:r>
        <w:t xml:space="preserve"> </w:t>
      </w:r>
      <w:r>
        <w:rPr>
          <w:b/>
          <w:bCs/>
        </w:rPr>
        <w:t xml:space="preserve">(b)</w:t>
      </w:r>
      <w:r>
        <w:t xml:space="preserve"> </w:t>
      </w:r>
      <w:r>
        <w:t xml:space="preserve">No modelo de Bertrand com produtos homogêneos, cada firma tem incentivo a cortar marginalmente o preço para capturar todo o mercado. O único equilíbrio é</w:t>
      </w:r>
      <w:r>
        <w:t xml:space="preserve"> </w:t>
      </w:r>
      <m:oMath>
        <m:sSub>
          <m:e>
            <m:r>
              <m:t>p</m:t>
            </m:r>
          </m:e>
          <m:sub>
            <m:r>
              <m:t>1</m:t>
            </m:r>
          </m:sub>
        </m:sSub>
        <m:r>
          <m:rPr>
            <m:sty m:val="p"/>
          </m:rPr>
          <m:t>=</m:t>
        </m:r>
        <m:sSub>
          <m:e>
            <m:r>
              <m:t>p</m:t>
            </m:r>
          </m:e>
          <m:sub>
            <m:r>
              <m:t>2</m:t>
            </m:r>
          </m:sub>
        </m:sSub>
        <m:r>
          <m:rPr>
            <m:sty m:val="p"/>
          </m:rPr>
          <m:t>=</m:t>
        </m:r>
        <m:r>
          <m:t>c</m:t>
        </m:r>
      </m:oMath>
      <w:r>
        <w:t xml:space="preserve"> </w:t>
      </w:r>
      <w:r>
        <w:t xml:space="preserve">(custo marginal), com lucro zero — resultado idêntico à concorrência perfeita com apenas duas firmas. Isso é</w:t>
      </w:r>
      <w:r>
        <w:t xml:space="preserve"> </w:t>
      </w:r>
      <w:r>
        <w:t xml:space="preserve">‘paradoxal’</w:t>
      </w:r>
      <w:r>
        <w:t xml:space="preserve"> </w:t>
      </w:r>
      <w:r>
        <w:t xml:space="preserve">porque esperaríamos algum poder de mercado com tão poucas firmas.</w:t>
      </w:r>
    </w:p>
    <w:p>
      <w:pPr>
        <w:pStyle w:val="BlockText"/>
      </w:pPr>
      <w:r>
        <w:rPr>
          <w:b/>
          <w:bCs/>
        </w:rPr>
        <w:t xml:space="preserve">[QUESTAO] 5. Um equilíbrio de Nash em estratégias mistas existe:</w:t>
      </w:r>
    </w:p>
    <w:p>
      <w:pPr>
        <w:pStyle w:val="Compact"/>
        <w:numPr>
          <w:ilvl w:val="0"/>
          <w:numId w:val="1468"/>
        </w:numPr>
      </w:pPr>
    </w:p>
    <w:p>
      <w:pPr>
        <w:pStyle w:val="Compact"/>
        <w:numPr>
          <w:ilvl w:val="1"/>
          <w:numId w:val="1469"/>
        </w:numPr>
      </w:pPr>
      <w:r>
        <w:t xml:space="preserve">Apenas em jogos com estratégias dominantes</w:t>
      </w:r>
    </w:p>
    <w:p>
      <w:pPr>
        <w:pStyle w:val="Compact"/>
        <w:numPr>
          <w:ilvl w:val="0"/>
          <w:numId w:val="1468"/>
        </w:numPr>
      </w:pPr>
    </w:p>
    <w:p>
      <w:pPr>
        <w:pStyle w:val="Compact"/>
        <w:numPr>
          <w:ilvl w:val="1"/>
          <w:numId w:val="1470"/>
        </w:numPr>
      </w:pPr>
      <w:r>
        <w:t xml:space="preserve">Apenas quando não há equilíbrio em estratégias puras</w:t>
      </w:r>
    </w:p>
    <w:p>
      <w:pPr>
        <w:pStyle w:val="Compact"/>
        <w:numPr>
          <w:ilvl w:val="0"/>
          <w:numId w:val="1468"/>
        </w:numPr>
      </w:pPr>
    </w:p>
    <w:p>
      <w:pPr>
        <w:pStyle w:val="Compact"/>
        <w:numPr>
          <w:ilvl w:val="1"/>
          <w:numId w:val="1471"/>
        </w:numPr>
      </w:pPr>
      <w:r>
        <w:t xml:space="preserve">Em todo jogo finito (com número finito de jogadores e estratégias), pelo Teorema de Nash</w:t>
      </w:r>
    </w:p>
    <w:p>
      <w:pPr>
        <w:pStyle w:val="Compact"/>
        <w:numPr>
          <w:ilvl w:val="0"/>
          <w:numId w:val="1468"/>
        </w:numPr>
      </w:pPr>
    </w:p>
    <w:p>
      <w:pPr>
        <w:pStyle w:val="Compact"/>
        <w:numPr>
          <w:ilvl w:val="1"/>
          <w:numId w:val="1472"/>
        </w:numPr>
      </w:pPr>
      <w:r>
        <w:t xml:space="preserve">Apenas em jogos de soma zero</w:t>
      </w:r>
    </w:p>
    <w:p>
      <w:pPr>
        <w:pStyle w:val="BlockText"/>
      </w:pPr>
      <w:r>
        <w:t xml:space="preserve">??? success</w:t>
      </w:r>
      <w:r>
        <w:t xml:space="preserve"> </w:t>
      </w:r>
      <w:r>
        <w:t xml:space="preserve">“Resposta”</w:t>
      </w:r>
      <w:r>
        <w:t xml:space="preserve"> </w:t>
      </w:r>
      <w:r>
        <w:rPr>
          <w:b/>
          <w:bCs/>
        </w:rPr>
        <w:t xml:space="preserve">(c)</w:t>
      </w:r>
      <w:r>
        <w:t xml:space="preserve"> </w:t>
      </w:r>
      <w:r>
        <w:t xml:space="preserve">O Teorema de Nash (1950) garante que todo jogo finito possui pelo menos um equilíbrio de Nash, possivelmente em estratégias mistas. A alternativa (b) é incorreta — podem coexistir equilíbrios puros e mistos; (a) é muito restritiva; (d) ignora que o teorema se aplica a jogos gerais, não apenas soma zero.</w:t>
      </w:r>
    </w:p>
    <w:p>
      <w:r>
        <w:pict>
          <v:rect style="width:0;height:1.5pt" o:hralign="center" o:hrstd="t" o:hr="t"/>
        </w:pict>
      </w:r>
    </w:p>
    <w:bookmarkEnd w:id="489"/>
    <w:bookmarkStart w:id="490" w:name="resumo-do-capítulo-7"/>
    <w:p>
      <w:pPr>
        <w:pStyle w:val="Heading3"/>
      </w:pPr>
      <w:r>
        <w:t xml:space="preserve">📋 Resumo do Capítulo</w:t>
      </w:r>
    </w:p>
    <w:p>
      <w:pPr>
        <w:pStyle w:val="Compact"/>
        <w:numPr>
          <w:ilvl w:val="0"/>
          <w:numId w:val="1473"/>
        </w:numPr>
      </w:pPr>
      <w:r>
        <w:t xml:space="preserve">A teoria dos jogos estuda a tomada de decisão em ambientes de interdependência estratégica, nos quais o resultado de cada agente depende das ações de todos os demais. A disciplina foi fundada por Von Neumann e Morgenstern (1944) e revolucionada por Nash (1950, 1951), Selten (1965) e Harsanyi (1967–68).</w:t>
      </w:r>
    </w:p>
    <w:p>
      <w:pPr>
        <w:pStyle w:val="Compact"/>
        <w:numPr>
          <w:ilvl w:val="0"/>
          <w:numId w:val="1473"/>
        </w:numPr>
      </w:pPr>
      <w:r>
        <w:t xml:space="preserve">Jogos estáticos com informação completa são representados na forma normal (matriz de payoffs) e resolvidos pelo conceito de</w:t>
      </w:r>
      <w:r>
        <w:t xml:space="preserve"> </w:t>
      </w:r>
      <w:r>
        <w:rPr>
          <w:b/>
          <w:bCs/>
        </w:rPr>
        <w:t xml:space="preserve">equilíbrio de Nash</w:t>
      </w:r>
      <w:r>
        <w:t xml:space="preserve">: um perfil de estratégias em que nenhum jogador pode melhorar unilateralmente seu payoff — a condição de</w:t>
      </w:r>
      <w:r>
        <w:t xml:space="preserve"> </w:t>
      </w:r>
      <w:r>
        <w:t xml:space="preserve">“ausência de arrependimento”</w:t>
      </w:r>
      <w:r>
        <w:t xml:space="preserve"> </w:t>
      </w:r>
      <w:r>
        <w:t xml:space="preserve">(</w:t>
      </w:r>
      <w:r>
        <w:rPr>
          <w:i/>
          <w:iCs/>
        </w:rPr>
        <w:t xml:space="preserve">no-regret</w:t>
      </w:r>
      <w:r>
        <w:t xml:space="preserve">).</w:t>
      </w:r>
    </w:p>
    <w:p>
      <w:pPr>
        <w:pStyle w:val="Compact"/>
        <w:numPr>
          <w:ilvl w:val="0"/>
          <w:numId w:val="1473"/>
        </w:numPr>
      </w:pPr>
      <w:r>
        <w:t xml:space="preserve">O</w:t>
      </w:r>
      <w:r>
        <w:t xml:space="preserve"> </w:t>
      </w:r>
      <w:r>
        <w:rPr>
          <w:b/>
          <w:bCs/>
        </w:rPr>
        <w:t xml:space="preserve">Dilema dos Prisioneiros</w:t>
      </w:r>
      <w:r>
        <w:t xml:space="preserve"> </w:t>
      </w:r>
      <w:r>
        <w:t xml:space="preserve">ilustra a tensão central entre racionalidade individual e eficiência coletiva: a estratégia dominante de cada jogador leva a um resultado Pareto-dominado. O equilíbrio de Nash é uma condição de estabilidade, não de eficiência.</w:t>
      </w:r>
    </w:p>
    <w:p>
      <w:pPr>
        <w:pStyle w:val="Compact"/>
        <w:numPr>
          <w:ilvl w:val="0"/>
          <w:numId w:val="1473"/>
        </w:numPr>
      </w:pPr>
      <w:r>
        <w:t xml:space="preserve">A</w:t>
      </w:r>
      <w:r>
        <w:t xml:space="preserve"> </w:t>
      </w:r>
      <w:r>
        <w:rPr>
          <w:b/>
          <w:bCs/>
        </w:rPr>
        <w:t xml:space="preserve">Eliminação Iterada de Estratégias Dominadas (EIED)</w:t>
      </w:r>
      <w:r>
        <w:t xml:space="preserve"> </w:t>
      </w:r>
      <w:r>
        <w:t xml:space="preserve">é um procedimento de solução baseado apenas em racionalidade e conhecimento comum de racionalidade. Para estratégias estritamente dominadas, a ordem de eliminação não altera o resultado.</w:t>
      </w:r>
    </w:p>
    <w:p>
      <w:pPr>
        <w:pStyle w:val="Compact"/>
        <w:numPr>
          <w:ilvl w:val="0"/>
          <w:numId w:val="1473"/>
        </w:numPr>
      </w:pPr>
      <w:r>
        <w:rPr>
          <w:b/>
          <w:bCs/>
        </w:rPr>
        <w:t xml:space="preserve">Estratégias mistas</w:t>
      </w:r>
      <w:r>
        <w:t xml:space="preserve"> </w:t>
      </w:r>
      <w:r>
        <w:t xml:space="preserve">garantem a existência de equilíbrio em todo jogo finito (Teorema de Nash) e são determinadas pelo princípio da indiferença — cada jogador randomiza de modo a deixar o oponente indiferente entre suas estratégias puras.</w:t>
      </w:r>
    </w:p>
    <w:p>
      <w:pPr>
        <w:pStyle w:val="Compact"/>
        <w:numPr>
          <w:ilvl w:val="0"/>
          <w:numId w:val="1473"/>
        </w:numPr>
      </w:pPr>
      <w:r>
        <w:t xml:space="preserve">Os modelos de oligopólio (Cournot, Bertrand e Stackelberg) aplicam o equilíbrio de Nash a mercados com poucos concorrentes, mostrando como a variável estratégica (quantidade vs. preço) e a ordem de movimento alteram radicalmente preços, quantidades e lucros.</w:t>
      </w:r>
    </w:p>
    <w:p>
      <w:pPr>
        <w:pStyle w:val="Compact"/>
        <w:numPr>
          <w:ilvl w:val="0"/>
          <w:numId w:val="1473"/>
        </w:numPr>
      </w:pPr>
      <w:r>
        <w:t xml:space="preserve">No Cournot, firmas competem em quantidades (substitutos estratégicos) e o resultado situa-se entre monopólio e competição perfeita; no Bertrand com produtos homogêneos, duas firmas bastam para reproduzir o resultado competitivo (paradoxo de Bertrand); no Stackelberg, a líder obtém vantagem via comprometimento crível com quantidade elevada.</w:t>
      </w:r>
    </w:p>
    <w:p>
      <w:pPr>
        <w:pStyle w:val="Compact"/>
        <w:numPr>
          <w:ilvl w:val="0"/>
          <w:numId w:val="1473"/>
        </w:numPr>
      </w:pPr>
      <w:r>
        <w:t xml:space="preserve">O resultado de Kreps-Scheinkman (1983) unifica Cournot e Bertrand: quando as firmas escolhem capacidade antes de competir em preços, o equilíbrio de dois estágios reproduz o resultado de Cournot.</w:t>
      </w:r>
    </w:p>
    <w:bookmarkEnd w:id="490"/>
    <w:bookmarkStart w:id="491" w:name="conceitos-chave-7"/>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Jogo na forma normal</w:t>
            </w:r>
          </w:p>
        </w:tc>
        <w:tc>
          <w:tcPr/>
          <w:p>
            <w:pPr>
              <w:pStyle w:val="Compact"/>
            </w:pPr>
            <w:r>
              <w:t xml:space="preserve">Tripla</w:t>
            </w:r>
            <w:r>
              <w:t xml:space="preserve"> </w:t>
            </w:r>
            <m:oMath>
              <m:r>
                <m:rPr>
                  <m:sty m:val="p"/>
                </m:rPr>
                <m:t>⟨</m:t>
              </m:r>
              <m:r>
                <m:t>N</m:t>
              </m:r>
              <m:r>
                <m:rPr>
                  <m:sty m:val="p"/>
                </m:rPr>
                <m:t>,</m:t>
              </m:r>
              <m:r>
                <m:rPr>
                  <m:sty m:val="p"/>
                </m:rPr>
                <m:t>(</m:t>
              </m:r>
              <m:sSub>
                <m:e>
                  <m:r>
                    <m:t>S</m:t>
                  </m:r>
                </m:e>
                <m:sub>
                  <m:r>
                    <m:t>i</m:t>
                  </m:r>
                </m:sub>
              </m:sSub>
              <m:r>
                <m:rPr>
                  <m:sty m:val="p"/>
                </m:rPr>
                <m:t>)</m:t>
              </m:r>
              <m:r>
                <m:rPr>
                  <m:sty m:val="p"/>
                </m:rPr>
                <m:t>,</m:t>
              </m:r>
              <m:r>
                <m:rPr>
                  <m:sty m:val="p"/>
                </m:rPr>
                <m:t>(</m:t>
              </m:r>
              <m:sSub>
                <m:e>
                  <m:r>
                    <m:t>u</m:t>
                  </m:r>
                </m:e>
                <m:sub>
                  <m:r>
                    <m:t>i</m:t>
                  </m:r>
                </m:sub>
              </m:sSub>
              <m:r>
                <m:rPr>
                  <m:sty m:val="p"/>
                </m:rPr>
                <m:t>)</m:t>
              </m:r>
              <m:r>
                <m:rPr>
                  <m:sty m:val="p"/>
                </m:rPr>
                <m:t>⟩</m:t>
              </m:r>
            </m:oMath>
            <w:r>
              <w:t xml:space="preserve"> </w:t>
            </w:r>
            <w:r>
              <w:t xml:space="preserve">que especifica jogadores, estratégias e payoffs.</w:t>
            </w:r>
          </w:p>
        </w:tc>
      </w:tr>
      <w:tr>
        <w:tc>
          <w:tcPr/>
          <w:p>
            <w:pPr>
              <w:pStyle w:val="Compact"/>
            </w:pPr>
            <w:r>
              <w:t xml:space="preserve">Equilíbrio de Nash</w:t>
            </w:r>
          </w:p>
        </w:tc>
        <w:tc>
          <w:tcPr/>
          <w:p>
            <w:pPr>
              <w:pStyle w:val="Compact"/>
            </w:pPr>
            <w:r>
              <w:t xml:space="preserve">Perfil de estratégias em que nenhum jogador pode melhorar seu payoff desviando unilateralmente.</w:t>
            </w:r>
          </w:p>
        </w:tc>
      </w:tr>
      <w:tr>
        <w:tc>
          <w:tcPr/>
          <w:p>
            <w:pPr>
              <w:pStyle w:val="Compact"/>
            </w:pPr>
            <w:r>
              <w:t xml:space="preserve">Estratégia dominante</w:t>
            </w:r>
          </w:p>
        </w:tc>
        <w:tc>
          <w:tcPr/>
          <w:p>
            <w:pPr>
              <w:pStyle w:val="Compact"/>
            </w:pPr>
            <w:r>
              <w:t xml:space="preserve">Estratégia que é ótima para um jogador independentemente das ações dos demais.</w:t>
            </w:r>
          </w:p>
        </w:tc>
      </w:tr>
      <w:tr>
        <w:tc>
          <w:tcPr/>
          <w:p>
            <w:pPr>
              <w:pStyle w:val="Compact"/>
            </w:pPr>
            <w:r>
              <w:t xml:space="preserve">Estratégia mista</w:t>
            </w:r>
          </w:p>
        </w:tc>
        <w:tc>
          <w:tcPr/>
          <w:p>
            <w:pPr>
              <w:pStyle w:val="Compact"/>
            </w:pPr>
            <w:r>
              <w:t xml:space="preserve">Distribuição de probabilidade sobre as estratégias puras de um jogador.</w:t>
            </w:r>
          </w:p>
        </w:tc>
      </w:tr>
      <w:tr>
        <w:tc>
          <w:tcPr/>
          <w:p>
            <w:pPr>
              <w:pStyle w:val="Compact"/>
            </w:pPr>
            <w:r>
              <w:t xml:space="preserve">Princípio da indiferença</w:t>
            </w:r>
          </w:p>
        </w:tc>
        <w:tc>
          <w:tcPr/>
          <w:p>
            <w:pPr>
              <w:pStyle w:val="Compact"/>
            </w:pPr>
            <w:r>
              <w:t xml:space="preserve">Em equilíbrio misto, cada jogador randomiza de forma a tornar o oponente indiferente entre suas estratégias puras.</w:t>
            </w:r>
          </w:p>
        </w:tc>
      </w:tr>
      <w:tr>
        <w:tc>
          <w:tcPr/>
          <w:p>
            <w:pPr>
              <w:pStyle w:val="Compact"/>
            </w:pPr>
            <w:r>
              <w:t xml:space="preserve">EIED</w:t>
            </w:r>
          </w:p>
        </w:tc>
        <w:tc>
          <w:tcPr/>
          <w:p>
            <w:pPr>
              <w:pStyle w:val="Compact"/>
            </w:pPr>
            <w:r>
              <w:t xml:space="preserve">Eliminação Iterada de Estratégias Estritamente Dominadas — procedimento de solução que reduz o jogo removendo estratégias que nunca são ótimas.</w:t>
            </w:r>
          </w:p>
        </w:tc>
      </w:tr>
      <w:tr>
        <w:tc>
          <w:tcPr/>
          <w:p>
            <w:pPr>
              <w:pStyle w:val="Compact"/>
            </w:pPr>
            <w:r>
              <w:t xml:space="preserve">Modelo de Cournot</w:t>
            </w:r>
          </w:p>
        </w:tc>
        <w:tc>
          <w:tcPr/>
          <w:p>
            <w:pPr>
              <w:pStyle w:val="Compact"/>
            </w:pPr>
            <w:r>
              <w:t xml:space="preserve">Oligopólio em que firmas escolhem quantidades simultaneamente; o equilíbrio é a interseção das funções de melhor-resposta.</w:t>
            </w:r>
          </w:p>
        </w:tc>
      </w:tr>
      <w:tr>
        <w:tc>
          <w:tcPr/>
          <w:p>
            <w:pPr>
              <w:pStyle w:val="Compact"/>
            </w:pPr>
            <w:r>
              <w:t xml:space="preserve">Modelo de Bertrand</w:t>
            </w:r>
          </w:p>
        </w:tc>
        <w:tc>
          <w:tcPr/>
          <w:p>
            <w:pPr>
              <w:pStyle w:val="Compact"/>
            </w:pPr>
            <w:r>
              <w:t xml:space="preserve">Oligopólio em que firmas escolhem preços simultaneamente; com produtos homogêneos, o preço converge para o custo marginal.</w:t>
            </w:r>
          </w:p>
        </w:tc>
      </w:tr>
      <w:tr>
        <w:tc>
          <w:tcPr/>
          <w:p>
            <w:pPr>
              <w:pStyle w:val="Compact"/>
            </w:pPr>
            <w:r>
              <w:t xml:space="preserve">Modelo de Stackelberg</w:t>
            </w:r>
          </w:p>
        </w:tc>
        <w:tc>
          <w:tcPr/>
          <w:p>
            <w:pPr>
              <w:pStyle w:val="Compact"/>
            </w:pPr>
            <w:r>
              <w:t xml:space="preserve">Oligopólio sequencial em que a líder se compromete com uma quantidade antes da seguidora, obtendo vantagem de primeiro movimento.</w:t>
            </w:r>
          </w:p>
        </w:tc>
      </w:tr>
      <w:tr>
        <w:tc>
          <w:tcPr/>
          <w:p>
            <w:pPr>
              <w:pStyle w:val="Compact"/>
            </w:pPr>
            <w:r>
              <w:t xml:space="preserve">Dilema dos Prisioneiros</w:t>
            </w:r>
          </w:p>
        </w:tc>
        <w:tc>
          <w:tcPr/>
          <w:p>
            <w:pPr>
              <w:pStyle w:val="Compact"/>
            </w:pPr>
            <w:r>
              <w:t xml:space="preserve">Jogo em que a estratégia dominante de cada jogador leva a um resultado coletivamente inferior (Pareto-dominado).</w:t>
            </w:r>
          </w:p>
        </w:tc>
      </w:tr>
    </w:tbl>
    <w:p>
      <w:pPr>
        <w:pStyle w:val="BodyText"/>
      </w:pPr>
      <w:r>
        <w:rPr>
          <w:b/>
          <w:bCs/>
        </w:rPr>
        <w:t xml:space="preserve">Tabela 9a.6 — Conceitos-chave.</w:t>
      </w:r>
    </w:p>
    <w:p>
      <w:r>
        <w:pict>
          <v:rect style="width:0;height:1.5pt" o:hralign="center" o:hrstd="t" o:hr="t"/>
        </w:pict>
      </w:r>
    </w:p>
    <w:bookmarkEnd w:id="491"/>
    <w:bookmarkStart w:id="492" w:name="exercícios-resolvidos"/>
    <w:p>
      <w:pPr>
        <w:pStyle w:val="Heading3"/>
      </w:pPr>
      <w:r>
        <w:t xml:space="preserve">Exercícios Resolvidos</w:t>
      </w:r>
    </w:p>
    <w:p>
      <w:pPr>
        <w:pStyle w:val="BlockText"/>
      </w:pPr>
      <w:r>
        <w:rPr>
          <w:b/>
          <w:bCs/>
        </w:rPr>
        <w:t xml:space="preserve">[EXERCICIO RESOLVIDO] Exercício Resolvido 9a.1 — Equilíbrios de Nash na Batalha dos Sexos</w:t>
      </w:r>
    </w:p>
    <w:p>
      <w:pPr>
        <w:pStyle w:val="BlockText"/>
      </w:pPr>
      <w:r>
        <w:rPr>
          <w:b/>
          <w:bCs/>
        </w:rPr>
        <w:t xml:space="preserve">Enunciado:</w:t>
      </w:r>
      <w:r>
        <w:t xml:space="preserve"> </w:t>
      </w:r>
      <w:r>
        <w:t xml:space="preserve">Encontre todos os equilíbrios de Nash (em puras e em mistas) do seguinte jogo simultâneo: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Jogador 2: E</w:t>
            </w:r>
          </w:p>
        </w:tc>
        <w:tc>
          <w:tcPr/>
          <w:p>
            <w:pPr>
              <w:pStyle w:val="Compact"/>
              <w:jc w:val="center"/>
            </w:pPr>
            <w:r>
              <w:t xml:space="preserve">Jogador 2: D</w:t>
            </w:r>
          </w:p>
        </w:tc>
      </w:tr>
      <w:tr>
        <w:tc>
          <w:tcPr/>
          <w:p>
            <w:pPr>
              <w:pStyle w:val="Compact"/>
              <w:jc w:val="left"/>
            </w:pPr>
            <w:r>
              <w:rPr>
                <w:b/>
                <w:bCs/>
              </w:rPr>
              <w:t xml:space="preserve">Jogador 1: C</w:t>
            </w:r>
          </w:p>
        </w:tc>
        <w:tc>
          <w:tcPr/>
          <w:p>
            <w:pPr>
              <w:pStyle w:val="Compact"/>
              <w:jc w:val="center"/>
            </w:pPr>
            <m:oMath>
              <m:r>
                <m:rPr>
                  <m:sty m:val="p"/>
                </m:rPr>
                <m:t>(</m:t>
              </m:r>
              <m:r>
                <m:t>2</m:t>
              </m:r>
              <m:r>
                <m:rPr>
                  <m:sty m:val="p"/>
                </m:rPr>
                <m:t>,</m:t>
              </m:r>
              <m:r>
                <m:t>1</m:t>
              </m:r>
              <m:r>
                <m:rPr>
                  <m:sty m:val="p"/>
                </m:rPr>
                <m:t>)</m:t>
              </m:r>
            </m:oMath>
          </w:p>
        </w:tc>
        <w:tc>
          <w:tcPr/>
          <w:p>
            <w:pPr>
              <w:pStyle w:val="Compact"/>
              <w:jc w:val="center"/>
            </w:pPr>
            <m:oMath>
              <m:r>
                <m:rPr>
                  <m:sty m:val="p"/>
                </m:rPr>
                <m:t>(</m:t>
              </m:r>
              <m:r>
                <m:t>0</m:t>
              </m:r>
              <m:r>
                <m:rPr>
                  <m:sty m:val="p"/>
                </m:rPr>
                <m:t>,</m:t>
              </m:r>
              <m:r>
                <m:t>0</m:t>
              </m:r>
              <m:r>
                <m:rPr>
                  <m:sty m:val="p"/>
                </m:rPr>
                <m:t>)</m:t>
              </m:r>
            </m:oMath>
          </w:p>
        </w:tc>
      </w:tr>
      <w:tr>
        <w:tc>
          <w:tcPr/>
          <w:p>
            <w:pPr>
              <w:pStyle w:val="Compact"/>
              <w:jc w:val="left"/>
            </w:pPr>
            <w:r>
              <w:rPr>
                <w:b/>
                <w:bCs/>
              </w:rPr>
              <w:t xml:space="preserve">Jogador 1: B</w:t>
            </w:r>
          </w:p>
        </w:tc>
        <w:tc>
          <w:tcPr/>
          <w:p>
            <w:pPr>
              <w:pStyle w:val="Compact"/>
              <w:jc w:val="center"/>
            </w:pPr>
            <m:oMath>
              <m:r>
                <m:rPr>
                  <m:sty m:val="p"/>
                </m:rPr>
                <m:t>(</m:t>
              </m:r>
              <m:r>
                <m:t>0</m:t>
              </m:r>
              <m:r>
                <m:rPr>
                  <m:sty m:val="p"/>
                </m:rPr>
                <m:t>,</m:t>
              </m:r>
              <m:r>
                <m:t>0</m:t>
              </m:r>
              <m:r>
                <m:rPr>
                  <m:sty m:val="p"/>
                </m:rPr>
                <m:t>)</m:t>
              </m:r>
            </m:oMath>
          </w:p>
        </w:tc>
        <w:tc>
          <w:tcPr/>
          <w:p>
            <w:pPr>
              <w:pStyle w:val="Compact"/>
              <w:jc w:val="center"/>
            </w:pPr>
            <m:oMath>
              <m:r>
                <m:rPr>
                  <m:sty m:val="p"/>
                </m:rPr>
                <m:t>(</m:t>
              </m:r>
              <m:r>
                <m:t>1</m:t>
              </m:r>
              <m:r>
                <m:rPr>
                  <m:sty m:val="p"/>
                </m:rPr>
                <m:t>,</m:t>
              </m:r>
              <m:r>
                <m:t>2</m:t>
              </m:r>
              <m:r>
                <m:rPr>
                  <m:sty m:val="p"/>
                </m:rPr>
                <m:t>)</m:t>
              </m:r>
            </m:oMath>
          </w:p>
        </w:tc>
      </w:tr>
    </w:tbl>
    <w:p>
      <w:pPr>
        <w:pStyle w:val="BlockText"/>
      </w:pPr>
      <w:r>
        <w:rPr>
          <w:b/>
          <w:bCs/>
        </w:rPr>
        <w:t xml:space="preserve">Resolução:</w:t>
      </w:r>
    </w:p>
    <w:p>
      <w:pPr>
        <w:pStyle w:val="BlockText"/>
      </w:pPr>
      <w:r>
        <w:rPr>
          <w:b/>
          <w:bCs/>
        </w:rPr>
        <w:t xml:space="preserve">Passo 1 — Equilíbrios em estratégias puras</w:t>
      </w:r>
    </w:p>
    <w:p>
      <w:pPr>
        <w:pStyle w:val="Compact"/>
        <w:numPr>
          <w:ilvl w:val="0"/>
          <w:numId w:val="1474"/>
        </w:numPr>
      </w:pPr>
      <m:oMath>
        <m:r>
          <m:rPr>
            <m:sty m:val="p"/>
          </m:rPr>
          <m:t>(</m:t>
        </m:r>
        <m:r>
          <m:t>C</m:t>
        </m:r>
        <m:r>
          <m:rPr>
            <m:sty m:val="p"/>
          </m:rPr>
          <m:t>,</m:t>
        </m:r>
        <m:r>
          <m:t>E</m:t>
        </m:r>
        <m:r>
          <m:rPr>
            <m:sty m:val="p"/>
          </m:rPr>
          <m:t>)</m:t>
        </m:r>
      </m:oMath>
      <w:r>
        <w:t xml:space="preserve">: J1 obtém 2 (desviar → 0). J2 obtém 1 (desviar → 0).</w:t>
      </w:r>
      <w:r>
        <w:t xml:space="preserve"> </w:t>
      </w:r>
      <w:r>
        <w:rPr>
          <w:b/>
          <w:bCs/>
        </w:rPr>
        <w:t xml:space="preserve">Nash</w:t>
      </w:r>
      <w:r>
        <w:t xml:space="preserve"> </w:t>
      </w:r>
      <w:r>
        <w:t xml:space="preserve">✓</w:t>
      </w:r>
    </w:p>
    <w:p>
      <w:pPr>
        <w:pStyle w:val="Compact"/>
        <w:numPr>
          <w:ilvl w:val="0"/>
          <w:numId w:val="1474"/>
        </w:numPr>
      </w:pPr>
      <m:oMath>
        <m:r>
          <m:rPr>
            <m:sty m:val="p"/>
          </m:rPr>
          <m:t>(</m:t>
        </m:r>
        <m:r>
          <m:t>C</m:t>
        </m:r>
        <m:r>
          <m:rPr>
            <m:sty m:val="p"/>
          </m:rPr>
          <m:t>,</m:t>
        </m:r>
        <m:r>
          <m:t>D</m:t>
        </m:r>
        <m:r>
          <m:rPr>
            <m:sty m:val="p"/>
          </m:rPr>
          <m:t>)</m:t>
        </m:r>
      </m:oMath>
      <w:r>
        <w:t xml:space="preserve">: J1 obtém 0 (desviar → 1).</w:t>
      </w:r>
      <w:r>
        <w:t xml:space="preserve"> </w:t>
      </w:r>
      <w:r>
        <w:rPr>
          <w:b/>
          <w:bCs/>
        </w:rPr>
        <w:t xml:space="preserve">Não é Nash</w:t>
      </w:r>
      <w:r>
        <w:t xml:space="preserve">.</w:t>
      </w:r>
    </w:p>
    <w:p>
      <w:pPr>
        <w:pStyle w:val="Compact"/>
        <w:numPr>
          <w:ilvl w:val="0"/>
          <w:numId w:val="1474"/>
        </w:numPr>
      </w:pPr>
      <m:oMath>
        <m:r>
          <m:rPr>
            <m:sty m:val="p"/>
          </m:rPr>
          <m:t>(</m:t>
        </m:r>
        <m:r>
          <m:t>B</m:t>
        </m:r>
        <m:r>
          <m:rPr>
            <m:sty m:val="p"/>
          </m:rPr>
          <m:t>,</m:t>
        </m:r>
        <m:r>
          <m:t>E</m:t>
        </m:r>
        <m:r>
          <m:rPr>
            <m:sty m:val="p"/>
          </m:rPr>
          <m:t>)</m:t>
        </m:r>
      </m:oMath>
      <w:r>
        <w:t xml:space="preserve">: J1 obtém 0 (desviar → 2).</w:t>
      </w:r>
      <w:r>
        <w:t xml:space="preserve"> </w:t>
      </w:r>
      <w:r>
        <w:rPr>
          <w:b/>
          <w:bCs/>
        </w:rPr>
        <w:t xml:space="preserve">Não é Nash</w:t>
      </w:r>
      <w:r>
        <w:t xml:space="preserve">.</w:t>
      </w:r>
    </w:p>
    <w:p>
      <w:pPr>
        <w:pStyle w:val="Compact"/>
        <w:numPr>
          <w:ilvl w:val="0"/>
          <w:numId w:val="1474"/>
        </w:numPr>
      </w:pPr>
      <m:oMath>
        <m:r>
          <m:rPr>
            <m:sty m:val="p"/>
          </m:rPr>
          <m:t>(</m:t>
        </m:r>
        <m:r>
          <m:t>B</m:t>
        </m:r>
        <m:r>
          <m:rPr>
            <m:sty m:val="p"/>
          </m:rPr>
          <m:t>,</m:t>
        </m:r>
        <m:r>
          <m:t>D</m:t>
        </m:r>
        <m:r>
          <m:rPr>
            <m:sty m:val="p"/>
          </m:rPr>
          <m:t>)</m:t>
        </m:r>
      </m:oMath>
      <w:r>
        <w:t xml:space="preserve">: J1 obtém 1 (desviar → 0). J2 obtém 2 (desviar → 0).</w:t>
      </w:r>
      <w:r>
        <w:t xml:space="preserve"> </w:t>
      </w:r>
      <w:r>
        <w:rPr>
          <w:b/>
          <w:bCs/>
        </w:rPr>
        <w:t xml:space="preserve">Nash</w:t>
      </w:r>
      <w:r>
        <w:t xml:space="preserve"> </w:t>
      </w:r>
      <w:r>
        <w:t xml:space="preserve">✓</w:t>
      </w:r>
    </w:p>
    <w:p>
      <w:pPr>
        <w:pStyle w:val="BlockText"/>
      </w:pPr>
      <w:r>
        <w:rPr>
          <w:b/>
          <w:bCs/>
        </w:rPr>
        <w:t xml:space="preserve">Passo 2 — Equilíbrio em estratégias mistas</w:t>
      </w:r>
    </w:p>
    <w:p>
      <w:pPr>
        <w:pStyle w:val="BlockText"/>
      </w:pPr>
      <w:r>
        <w:t xml:space="preserve">Seja</w:t>
      </w:r>
      <w:r>
        <w:t xml:space="preserve"> </w:t>
      </w:r>
      <m:oMath>
        <m:r>
          <m:t>p</m:t>
        </m:r>
        <m:r>
          <m:rPr>
            <m:sty m:val="p"/>
          </m:rPr>
          <m:t>=</m:t>
        </m:r>
        <m:r>
          <m:rPr>
            <m:sty m:val="p"/>
          </m:rPr>
          <m:t>Pr</m:t>
        </m:r>
        <m:r>
          <m:rPr>
            <m:sty m:val="p"/>
          </m:rPr>
          <m:t>(</m:t>
        </m:r>
        <m:r>
          <m:rPr>
            <m:nor/>
            <m:sty m:val="p"/>
          </m:rPr>
          <m:t>J1 joga C</m:t>
        </m:r>
        <m:r>
          <m:rPr>
            <m:sty m:val="p"/>
          </m:rPr>
          <m:t>)</m:t>
        </m:r>
      </m:oMath>
      <w:r>
        <w:t xml:space="preserve"> </w:t>
      </w:r>
      <w:r>
        <w:t xml:space="preserve">e</w:t>
      </w:r>
      <w:r>
        <w:t xml:space="preserve"> </w:t>
      </w:r>
      <m:oMath>
        <m:r>
          <m:t>q</m:t>
        </m:r>
        <m:r>
          <m:rPr>
            <m:sty m:val="p"/>
          </m:rPr>
          <m:t>=</m:t>
        </m:r>
        <m:r>
          <m:rPr>
            <m:sty m:val="p"/>
          </m:rPr>
          <m:t>Pr</m:t>
        </m:r>
        <m:r>
          <m:rPr>
            <m:sty m:val="p"/>
          </m:rPr>
          <m:t>(</m:t>
        </m:r>
        <m:r>
          <m:rPr>
            <m:nor/>
            <m:sty m:val="p"/>
          </m:rPr>
          <m:t>J2 joga E</m:t>
        </m:r>
        <m:r>
          <m:rPr>
            <m:sty m:val="p"/>
          </m:rPr>
          <m:t>)</m:t>
        </m:r>
      </m:oMath>
      <w:r>
        <w:t xml:space="preserve">.</w:t>
      </w:r>
    </w:p>
    <w:p>
      <w:pPr>
        <w:pStyle w:val="BlockText"/>
      </w:pPr>
      <w:r>
        <w:t xml:space="preserve">Para J2 ser indiferente:</w:t>
      </w:r>
      <w:r>
        <w:t xml:space="preserve"> </w:t>
      </w:r>
      <m:oMath>
        <m:r>
          <m:t>p</m:t>
        </m:r>
        <m:r>
          <m:rPr>
            <m:sty m:val="p"/>
          </m:rPr>
          <m:t>⋅</m:t>
        </m:r>
        <m:r>
          <m:t>1</m:t>
        </m:r>
        <m:r>
          <m:rPr>
            <m:sty m:val="p"/>
          </m:rPr>
          <m:t>=</m:t>
        </m:r>
        <m:r>
          <m:rPr>
            <m:sty m:val="p"/>
          </m:rPr>
          <m:t>(</m:t>
        </m:r>
        <m:r>
          <m:t>1</m:t>
        </m:r>
        <m:r>
          <m:rPr>
            <m:sty m:val="p"/>
          </m:rPr>
          <m:t>−</m:t>
        </m:r>
        <m:r>
          <m:t>p</m:t>
        </m:r>
        <m:r>
          <m:rPr>
            <m:sty m:val="p"/>
          </m:rPr>
          <m:t>)</m:t>
        </m:r>
        <m:r>
          <m:rPr>
            <m:sty m:val="p"/>
          </m:rPr>
          <m:t>⋅</m:t>
        </m:r>
        <m:r>
          <m:t>2</m:t>
        </m:r>
        <m:r>
          <m:rPr>
            <m:sty m:val="p"/>
          </m:rPr>
          <m:t>⟹</m:t>
        </m:r>
        <m:r>
          <m:t>p</m:t>
        </m:r>
        <m:r>
          <m:rPr>
            <m:sty m:val="p"/>
          </m:rPr>
          <m:t>=</m:t>
        </m:r>
        <m:r>
          <m:t>2</m:t>
        </m:r>
        <m:r>
          <m:rPr>
            <m:sty m:val="p"/>
          </m:rPr>
          <m:t>/</m:t>
        </m:r>
        <m:r>
          <m:t>3</m:t>
        </m:r>
      </m:oMath>
    </w:p>
    <w:p>
      <w:pPr>
        <w:pStyle w:val="BlockText"/>
      </w:pPr>
      <w:r>
        <w:t xml:space="preserve">Para J1 ser indiferente:</w:t>
      </w:r>
      <w:r>
        <w:t xml:space="preserve"> </w:t>
      </w:r>
      <m:oMath>
        <m:r>
          <m:t>2</m:t>
        </m:r>
        <m:r>
          <m:t>q</m:t>
        </m:r>
        <m:r>
          <m:rPr>
            <m:sty m:val="p"/>
          </m:rPr>
          <m:t>=</m:t>
        </m:r>
        <m:r>
          <m:rPr>
            <m:sty m:val="p"/>
          </m:rPr>
          <m:t>(</m:t>
        </m:r>
        <m:r>
          <m:t>1</m:t>
        </m:r>
        <m:r>
          <m:rPr>
            <m:sty m:val="p"/>
          </m:rPr>
          <m:t>−</m:t>
        </m:r>
        <m:r>
          <m:t>q</m:t>
        </m:r>
        <m:r>
          <m:rPr>
            <m:sty m:val="p"/>
          </m:rPr>
          <m:t>)</m:t>
        </m:r>
        <m:r>
          <m:rPr>
            <m:sty m:val="p"/>
          </m:rPr>
          <m:t>⟹</m:t>
        </m:r>
        <m:r>
          <m:t>q</m:t>
        </m:r>
        <m:r>
          <m:rPr>
            <m:sty m:val="p"/>
          </m:rPr>
          <m:t>=</m:t>
        </m:r>
        <m:r>
          <m:t>1</m:t>
        </m:r>
        <m:r>
          <m:rPr>
            <m:sty m:val="p"/>
          </m:rPr>
          <m:t>/</m:t>
        </m:r>
        <m:r>
          <m:t>3</m:t>
        </m:r>
      </m:oMath>
    </w:p>
    <w:p>
      <w:pPr>
        <w:pStyle w:val="BlockText"/>
      </w:pPr>
      <w:r>
        <w:rPr>
          <w:b/>
          <w:bCs/>
        </w:rPr>
        <w:t xml:space="preserve">Resultado:</w:t>
      </w:r>
      <w:r>
        <w:t xml:space="preserve"> </w:t>
      </w:r>
      <w:r>
        <w:t xml:space="preserve">Três equilíbrios de Nash:</w:t>
      </w:r>
      <w:r>
        <w:t xml:space="preserve"> </w:t>
      </w:r>
      <m:oMath>
        <m:r>
          <m:rPr>
            <m:sty m:val="p"/>
          </m:rPr>
          <m:t>(</m:t>
        </m:r>
        <m:r>
          <m:t>C</m:t>
        </m:r>
        <m:r>
          <m:rPr>
            <m:sty m:val="p"/>
          </m:rPr>
          <m:t>,</m:t>
        </m:r>
        <m:r>
          <m:t>E</m:t>
        </m:r>
        <m:r>
          <m:rPr>
            <m:sty m:val="p"/>
          </m:rPr>
          <m:t>)</m:t>
        </m:r>
      </m:oMath>
      <w:r>
        <w:t xml:space="preserve">,</w:t>
      </w:r>
      <w:r>
        <w:t xml:space="preserve"> </w:t>
      </w:r>
      <m:oMath>
        <m:r>
          <m:rPr>
            <m:sty m:val="p"/>
          </m:rPr>
          <m:t>(</m:t>
        </m:r>
        <m:r>
          <m:t>B</m:t>
        </m:r>
        <m:r>
          <m:rPr>
            <m:sty m:val="p"/>
          </m:rPr>
          <m:t>,</m:t>
        </m:r>
        <m:r>
          <m:t>D</m:t>
        </m:r>
        <m:r>
          <m:rPr>
            <m:sty m:val="p"/>
          </m:rPr>
          <m:t>)</m:t>
        </m:r>
      </m:oMath>
      <w:r>
        <w:t xml:space="preserve"> </w:t>
      </w:r>
      <w:r>
        <w:t xml:space="preserve">e o misto</w:t>
      </w:r>
      <w:r>
        <w:t xml:space="preserve"> </w:t>
      </w:r>
      <m:oMath>
        <m:sSub>
          <m:e>
            <m:r>
              <m:t>σ</m:t>
            </m:r>
          </m:e>
          <m:sub>
            <m:r>
              <m:t>1</m:t>
            </m:r>
          </m:sub>
        </m:sSub>
        <m:r>
          <m:rPr>
            <m:sty m:val="p"/>
          </m:rPr>
          <m:t>=</m:t>
        </m:r>
        <m:r>
          <m:rPr>
            <m:sty m:val="p"/>
          </m:rPr>
          <m:t>(</m:t>
        </m:r>
        <m:r>
          <m:t>2</m:t>
        </m:r>
        <m:r>
          <m:rPr>
            <m:sty m:val="p"/>
          </m:rPr>
          <m:t>/</m:t>
        </m:r>
        <m:r>
          <m:t>3</m:t>
        </m:r>
        <m:r>
          <m:rPr>
            <m:sty m:val="p"/>
          </m:rPr>
          <m:t>,</m:t>
        </m:r>
        <m:r>
          <m:t>1</m:t>
        </m:r>
        <m:r>
          <m:rPr>
            <m:sty m:val="p"/>
          </m:rPr>
          <m:t>/</m:t>
        </m:r>
        <m:r>
          <m:t>3</m:t>
        </m:r>
        <m:r>
          <m:rPr>
            <m:sty m:val="p"/>
          </m:rPr>
          <m:t>)</m:t>
        </m:r>
      </m:oMath>
      <w:r>
        <w:t xml:space="preserve">,</w:t>
      </w:r>
      <w:r>
        <w:t xml:space="preserve"> </w:t>
      </w:r>
      <m:oMath>
        <m:sSub>
          <m:e>
            <m:r>
              <m:t>σ</m:t>
            </m:r>
          </m:e>
          <m:sub>
            <m:r>
              <m:t>2</m:t>
            </m:r>
          </m:sub>
        </m:sSub>
        <m:r>
          <m:rPr>
            <m:sty m:val="p"/>
          </m:rPr>
          <m:t>=</m:t>
        </m:r>
        <m:r>
          <m:rPr>
            <m:sty m:val="p"/>
          </m:rPr>
          <m:t>(</m:t>
        </m:r>
        <m:r>
          <m:t>1</m:t>
        </m:r>
        <m:r>
          <m:rPr>
            <m:sty m:val="p"/>
          </m:rPr>
          <m:t>/</m:t>
        </m:r>
        <m:r>
          <m:t>3</m:t>
        </m:r>
        <m:r>
          <m:rPr>
            <m:sty m:val="p"/>
          </m:rPr>
          <m:t>,</m:t>
        </m:r>
        <m:r>
          <m:t>2</m:t>
        </m:r>
        <m:r>
          <m:rPr>
            <m:sty m:val="p"/>
          </m:rPr>
          <m:t>/</m:t>
        </m:r>
        <m:r>
          <m:t>3</m:t>
        </m:r>
        <m:r>
          <m:rPr>
            <m:sty m:val="p"/>
          </m:rPr>
          <m:t>)</m:t>
        </m:r>
      </m:oMath>
      <w:r>
        <w:t xml:space="preserve"> </w:t>
      </w:r>
      <w:r>
        <w:t xml:space="preserve">com payoffs esperados</w:t>
      </w:r>
      <w:r>
        <w:t xml:space="preserve"> </w:t>
      </w:r>
      <m:oMath>
        <m:sSub>
          <m:e>
            <m:r>
              <m:t>U</m:t>
            </m:r>
          </m:e>
          <m:sub>
            <m:r>
              <m:t>1</m:t>
            </m:r>
          </m:sub>
        </m:sSub>
        <m:r>
          <m:rPr>
            <m:sty m:val="p"/>
          </m:rPr>
          <m:t>=</m:t>
        </m:r>
        <m:sSub>
          <m:e>
            <m:r>
              <m:t>U</m:t>
            </m:r>
          </m:e>
          <m:sub>
            <m:r>
              <m:t>2</m:t>
            </m:r>
          </m:sub>
        </m:sSub>
        <m:r>
          <m:rPr>
            <m:sty m:val="p"/>
          </m:rPr>
          <m:t>=</m:t>
        </m:r>
        <m:r>
          <m:t>2</m:t>
        </m:r>
        <m:r>
          <m:rPr>
            <m:sty m:val="p"/>
          </m:rPr>
          <m:t>/</m:t>
        </m:r>
        <m:r>
          <m:t>3</m:t>
        </m:r>
      </m:oMath>
      <w:r>
        <w:t xml:space="preserve">.</w:t>
      </w:r>
    </w:p>
    <w:p>
      <w:pPr>
        <w:pStyle w:val="BlockText"/>
      </w:pPr>
      <w:r>
        <w:rPr>
          <w:b/>
          <w:bCs/>
        </w:rPr>
        <w:t xml:space="preserve">Interpretação:</w:t>
      </w:r>
      <w:r>
        <w:t xml:space="preserve"> </w:t>
      </w:r>
      <w:r>
        <w:t xml:space="preserve">Este é um jogo de coordenação com preferências conflitantes. Múltiplos equilíbrios explicam por que convenções, normas (ABNT, INMETRO) e regulamentações são valiosas — funcionam como</w:t>
      </w:r>
      <w:r>
        <w:t xml:space="preserve"> </w:t>
      </w:r>
      <w:r>
        <w:t xml:space="preserve">“pontos focais”</w:t>
      </w:r>
      <w:r>
        <w:t xml:space="preserve"> </w:t>
      </w:r>
      <w:r>
        <w:t xml:space="preserve">(Schelling, 1960).</w:t>
      </w:r>
    </w:p>
    <w:p>
      <w:pPr>
        <w:pStyle w:val="BlockText"/>
      </w:pPr>
      <w:r>
        <w:rPr>
          <w:b/>
          <w:bCs/>
        </w:rPr>
        <w:t xml:space="preserve">[EXERCICIO RESOLVIDO] Exercício Resolvido 9a.2 — Cournot assimétrico no setor aéreo</w:t>
      </w:r>
    </w:p>
    <w:p>
      <w:pPr>
        <w:pStyle w:val="BlockText"/>
      </w:pPr>
      <w:r>
        <w:rPr>
          <w:b/>
          <w:bCs/>
        </w:rPr>
        <w:t xml:space="preserve">Enunciado:</w:t>
      </w:r>
      <w:r>
        <w:t xml:space="preserve"> </w:t>
      </w:r>
      <w:r>
        <w:t xml:space="preserve">Duas companhias aéreas competem à la Cournot em uma rota doméstica. A demanda inversa é</w:t>
      </w:r>
      <w:r>
        <w:t xml:space="preserve"> </w:t>
      </w:r>
      <m:oMath>
        <m:r>
          <m:t>P</m:t>
        </m:r>
        <m:r>
          <m:rPr>
            <m:sty m:val="p"/>
          </m:rPr>
          <m:t>(</m:t>
        </m:r>
        <m:r>
          <m:t>Q</m:t>
        </m:r>
        <m:r>
          <m:rPr>
            <m:sty m:val="p"/>
          </m:rPr>
          <m:t>)</m:t>
        </m:r>
        <m:r>
          <m:rPr>
            <m:sty m:val="p"/>
          </m:rPr>
          <m:t>=</m:t>
        </m:r>
        <m:r>
          <m:t>500</m:t>
        </m:r>
        <m:r>
          <m:rPr>
            <m:sty m:val="p"/>
          </m:rPr>
          <m:t>−</m:t>
        </m:r>
        <m:r>
          <m:t>2</m:t>
        </m:r>
        <m:r>
          <m:t>Q</m:t>
        </m:r>
      </m:oMath>
      <w:r>
        <w:t xml:space="preserve">, onde</w:t>
      </w:r>
      <w:r>
        <w:t xml:space="preserve"> </w:t>
      </w:r>
      <m:oMath>
        <m:r>
          <m:t>Q</m:t>
        </m:r>
        <m:r>
          <m:rPr>
            <m:sty m:val="p"/>
          </m:rPr>
          <m:t>=</m:t>
        </m:r>
        <m:sSub>
          <m:e>
            <m:r>
              <m:t>q</m:t>
            </m:r>
          </m:e>
          <m:sub>
            <m:r>
              <m:t>1</m:t>
            </m:r>
          </m:sub>
        </m:sSub>
        <m:r>
          <m:rPr>
            <m:sty m:val="p"/>
          </m:rPr>
          <m:t>+</m:t>
        </m:r>
        <m:sSub>
          <m:e>
            <m:r>
              <m:t>q</m:t>
            </m:r>
          </m:e>
          <m:sub>
            <m:r>
              <m:t>2</m:t>
            </m:r>
          </m:sub>
        </m:sSub>
      </m:oMath>
      <w:r>
        <w:t xml:space="preserve"> </w:t>
      </w:r>
      <w:r>
        <w:t xml:space="preserve">(em milhares de assentos/mês). A incumbente tem custo marginal</w:t>
      </w:r>
      <w:r>
        <w:t xml:space="preserve"> </w:t>
      </w:r>
      <m:oMath>
        <m:sSub>
          <m:e>
            <m:r>
              <m:t>c</m:t>
            </m:r>
          </m:e>
          <m:sub>
            <m:r>
              <m:t>1</m:t>
            </m:r>
          </m:sub>
        </m:sSub>
        <m:r>
          <m:rPr>
            <m:sty m:val="p"/>
          </m:rPr>
          <m:t>=</m:t>
        </m:r>
        <m:r>
          <m:t>100</m:t>
        </m:r>
      </m:oMath>
      <w:r>
        <w:t xml:space="preserve"> </w:t>
      </w:r>
      <w:r>
        <w:t xml:space="preserve">e a entrante tem</w:t>
      </w:r>
      <w:r>
        <w:t xml:space="preserve"> </w:t>
      </w:r>
      <m:oMath>
        <m:sSub>
          <m:e>
            <m:r>
              <m:t>c</m:t>
            </m:r>
          </m:e>
          <m:sub>
            <m:r>
              <m:t>2</m:t>
            </m:r>
          </m:sub>
        </m:sSub>
        <m:r>
          <m:rPr>
            <m:sty m:val="p"/>
          </m:rPr>
          <m:t>=</m:t>
        </m:r>
        <m:r>
          <m:t>150</m:t>
        </m:r>
      </m:oMath>
      <w:r>
        <w:t xml:space="preserve">. Encontre o equilíbrio de Cournot-Nash.</w:t>
      </w:r>
    </w:p>
    <w:p>
      <w:pPr>
        <w:pStyle w:val="BlockText"/>
      </w:pPr>
      <w:r>
        <w:rPr>
          <w:b/>
          <w:bCs/>
        </w:rPr>
        <w:t xml:space="preserve">Resolução:</w:t>
      </w:r>
    </w:p>
    <w:p>
      <w:pPr>
        <w:pStyle w:val="BlockText"/>
      </w:pPr>
      <w:r>
        <w:rPr>
          <w:b/>
          <w:bCs/>
        </w:rPr>
        <w:t xml:space="preserve">Passo 1 — Funções de melhor-resposta</w:t>
      </w:r>
    </w:p>
    <w:p>
      <w:pPr>
        <w:pStyle w:val="BlockText"/>
      </w:pPr>
      <w:r>
        <w:t xml:space="preserve">CPO da firma 1:</w:t>
      </w:r>
      <w:r>
        <w:t xml:space="preserve"> </w:t>
      </w:r>
      <m:oMath>
        <m:r>
          <m:t>500</m:t>
        </m:r>
        <m:r>
          <m:rPr>
            <m:sty m:val="p"/>
          </m:rPr>
          <m:t>−</m:t>
        </m:r>
        <m:r>
          <m:t>4</m:t>
        </m:r>
        <m:sSub>
          <m:e>
            <m:r>
              <m:t>q</m:t>
            </m:r>
          </m:e>
          <m:sub>
            <m:r>
              <m:t>1</m:t>
            </m:r>
          </m:sub>
        </m:sSub>
        <m:r>
          <m:rPr>
            <m:sty m:val="p"/>
          </m:rPr>
          <m:t>−</m:t>
        </m:r>
        <m:r>
          <m:t>2</m:t>
        </m:r>
        <m:sSub>
          <m:e>
            <m:r>
              <m:t>q</m:t>
            </m:r>
          </m:e>
          <m:sub>
            <m:r>
              <m:t>2</m:t>
            </m:r>
          </m:sub>
        </m:sSub>
        <m:r>
          <m:rPr>
            <m:sty m:val="p"/>
          </m:rPr>
          <m:t>−</m:t>
        </m:r>
        <m:r>
          <m:t>100</m:t>
        </m:r>
        <m:r>
          <m:rPr>
            <m:sty m:val="p"/>
          </m:rPr>
          <m:t>=</m:t>
        </m:r>
        <m:r>
          <m:t>0</m:t>
        </m:r>
        <m:r>
          <m:rPr>
            <m:sty m:val="p"/>
          </m:rPr>
          <m:t>⟹</m:t>
        </m:r>
        <m:sSubSup>
          <m:e>
            <m:r>
              <m:t>q</m:t>
            </m:r>
          </m:e>
          <m:sub>
            <m:r>
              <m:t>1</m:t>
            </m:r>
          </m:sub>
          <m:sup>
            <m:r>
              <m:rPr>
                <m:sty m:val="p"/>
              </m:rPr>
              <m:t>*</m:t>
            </m:r>
          </m:sup>
        </m:sSubSup>
        <m:r>
          <m:rPr>
            <m:sty m:val="p"/>
          </m:rPr>
          <m:t>(</m:t>
        </m:r>
        <m:sSub>
          <m:e>
            <m:r>
              <m:t>q</m:t>
            </m:r>
          </m:e>
          <m:sub>
            <m:r>
              <m:t>2</m:t>
            </m:r>
          </m:sub>
        </m:sSub>
        <m:r>
          <m:rPr>
            <m:sty m:val="p"/>
          </m:rPr>
          <m:t>)</m:t>
        </m:r>
        <m:r>
          <m:rPr>
            <m:sty m:val="p"/>
          </m:rPr>
          <m:t>=</m:t>
        </m:r>
        <m:r>
          <m:t>100</m:t>
        </m:r>
        <m:r>
          <m:rPr>
            <m:sty m:val="p"/>
          </m:rPr>
          <m:t>−</m:t>
        </m:r>
        <m:sSub>
          <m:e>
            <m:r>
              <m:t>q</m:t>
            </m:r>
          </m:e>
          <m:sub>
            <m:r>
              <m:t>2</m:t>
            </m:r>
          </m:sub>
        </m:sSub>
        <m:r>
          <m:rPr>
            <m:sty m:val="p"/>
          </m:rPr>
          <m:t>/</m:t>
        </m:r>
        <m:r>
          <m:t>2</m:t>
        </m:r>
      </m:oMath>
    </w:p>
    <w:p>
      <w:pPr>
        <w:pStyle w:val="BlockText"/>
      </w:pPr>
      <w:r>
        <w:t xml:space="preserve">CPO da firma 2:</w:t>
      </w:r>
      <w:r>
        <w:t xml:space="preserve"> </w:t>
      </w:r>
      <m:oMath>
        <m:r>
          <m:t>500</m:t>
        </m:r>
        <m:r>
          <m:rPr>
            <m:sty m:val="p"/>
          </m:rPr>
          <m:t>−</m:t>
        </m:r>
        <m:r>
          <m:t>2</m:t>
        </m:r>
        <m:sSub>
          <m:e>
            <m:r>
              <m:t>q</m:t>
            </m:r>
          </m:e>
          <m:sub>
            <m:r>
              <m:t>1</m:t>
            </m:r>
          </m:sub>
        </m:sSub>
        <m:r>
          <m:rPr>
            <m:sty m:val="p"/>
          </m:rPr>
          <m:t>−</m:t>
        </m:r>
        <m:r>
          <m:t>4</m:t>
        </m:r>
        <m:sSub>
          <m:e>
            <m:r>
              <m:t>q</m:t>
            </m:r>
          </m:e>
          <m:sub>
            <m:r>
              <m:t>2</m:t>
            </m:r>
          </m:sub>
        </m:sSub>
        <m:r>
          <m:rPr>
            <m:sty m:val="p"/>
          </m:rPr>
          <m:t>−</m:t>
        </m:r>
        <m:r>
          <m:t>150</m:t>
        </m:r>
        <m:r>
          <m:rPr>
            <m:sty m:val="p"/>
          </m:rPr>
          <m:t>=</m:t>
        </m:r>
        <m:r>
          <m:t>0</m:t>
        </m:r>
        <m:r>
          <m:rPr>
            <m:sty m:val="p"/>
          </m:rPr>
          <m:t>⟹</m:t>
        </m:r>
        <m:sSubSup>
          <m:e>
            <m:r>
              <m:t>q</m:t>
            </m:r>
          </m:e>
          <m:sub>
            <m:r>
              <m:t>2</m:t>
            </m:r>
          </m:sub>
          <m:sup>
            <m:r>
              <m:rPr>
                <m:sty m:val="p"/>
              </m:rPr>
              <m:t>*</m:t>
            </m:r>
          </m:sup>
        </m:sSubSup>
        <m:r>
          <m:rPr>
            <m:sty m:val="p"/>
          </m:rPr>
          <m:t>(</m:t>
        </m:r>
        <m:sSub>
          <m:e>
            <m:r>
              <m:t>q</m:t>
            </m:r>
          </m:e>
          <m:sub>
            <m:r>
              <m:t>1</m:t>
            </m:r>
          </m:sub>
        </m:sSub>
        <m:r>
          <m:rPr>
            <m:sty m:val="p"/>
          </m:rPr>
          <m:t>)</m:t>
        </m:r>
        <m:r>
          <m:rPr>
            <m:sty m:val="p"/>
          </m:rPr>
          <m:t>=</m:t>
        </m:r>
        <m:r>
          <m:t>87</m:t>
        </m:r>
        <m:r>
          <m:rPr>
            <m:sty m:val="p"/>
          </m:rPr>
          <m:t>,</m:t>
        </m:r>
        <m:r>
          <m:t>5</m:t>
        </m:r>
        <m:r>
          <m:rPr>
            <m:sty m:val="p"/>
          </m:rPr>
          <m:t>−</m:t>
        </m:r>
        <m:sSub>
          <m:e>
            <m:r>
              <m:t>q</m:t>
            </m:r>
          </m:e>
          <m:sub>
            <m:r>
              <m:t>1</m:t>
            </m:r>
          </m:sub>
        </m:sSub>
        <m:r>
          <m:rPr>
            <m:sty m:val="p"/>
          </m:rPr>
          <m:t>/</m:t>
        </m:r>
        <m:r>
          <m:t>2</m:t>
        </m:r>
      </m:oMath>
    </w:p>
    <w:p>
      <w:pPr>
        <w:pStyle w:val="BlockText"/>
      </w:pPr>
      <w:r>
        <w:rPr>
          <w:b/>
          <w:bCs/>
        </w:rPr>
        <w:t xml:space="preserve">Passo 2 — Equilíbrio</w:t>
      </w:r>
    </w:p>
    <w:p>
      <w:pPr>
        <w:pStyle w:val="BlockText"/>
      </w:pPr>
      <w:r>
        <w:t xml:space="preserve">Substituindo:</w:t>
      </w:r>
      <w:r>
        <w:t xml:space="preserve"> </w:t>
      </w:r>
      <m:oMath>
        <m:sSub>
          <m:e>
            <m:r>
              <m:t>q</m:t>
            </m:r>
          </m:e>
          <m:sub>
            <m:r>
              <m:t>1</m:t>
            </m:r>
          </m:sub>
        </m:sSub>
        <m:r>
          <m:rPr>
            <m:sty m:val="p"/>
          </m:rPr>
          <m:t>=</m:t>
        </m:r>
        <m:r>
          <m:t>100</m:t>
        </m:r>
        <m:r>
          <m:rPr>
            <m:sty m:val="p"/>
          </m:rPr>
          <m:t>−</m:t>
        </m:r>
        <m:r>
          <m:rPr>
            <m:sty m:val="p"/>
          </m:rPr>
          <m:t>(</m:t>
        </m:r>
        <m:r>
          <m:t>87</m:t>
        </m:r>
        <m:r>
          <m:rPr>
            <m:sty m:val="p"/>
          </m:rPr>
          <m:t>,</m:t>
        </m:r>
        <m:r>
          <m:t>5</m:t>
        </m:r>
        <m:r>
          <m:rPr>
            <m:sty m:val="p"/>
          </m:rPr>
          <m:t>−</m:t>
        </m:r>
        <m:sSub>
          <m:e>
            <m:r>
              <m:t>q</m:t>
            </m:r>
          </m:e>
          <m:sub>
            <m:r>
              <m:t>1</m:t>
            </m:r>
          </m:sub>
        </m:sSub>
        <m:r>
          <m:rPr>
            <m:sty m:val="p"/>
          </m:rPr>
          <m:t>/</m:t>
        </m:r>
        <m:r>
          <m:t>2</m:t>
        </m:r>
        <m:r>
          <m:rPr>
            <m:sty m:val="p"/>
          </m:rPr>
          <m:t>)</m:t>
        </m:r>
        <m:r>
          <m:rPr>
            <m:sty m:val="p"/>
          </m:rPr>
          <m:t>/</m:t>
        </m:r>
        <m:r>
          <m:t>2</m:t>
        </m:r>
        <m:r>
          <m:rPr>
            <m:sty m:val="p"/>
          </m:rPr>
          <m:t>=</m:t>
        </m:r>
        <m:r>
          <m:t>56</m:t>
        </m:r>
        <m:r>
          <m:rPr>
            <m:sty m:val="p"/>
          </m:rPr>
          <m:t>,</m:t>
        </m:r>
        <m:r>
          <m:t>25</m:t>
        </m:r>
        <m:r>
          <m:rPr>
            <m:sty m:val="p"/>
          </m:rPr>
          <m:t>+</m:t>
        </m:r>
        <m:sSub>
          <m:e>
            <m:r>
              <m:t>q</m:t>
            </m:r>
          </m:e>
          <m:sub>
            <m:r>
              <m:t>1</m:t>
            </m:r>
          </m:sub>
        </m:sSub>
        <m:r>
          <m:rPr>
            <m:sty m:val="p"/>
          </m:rPr>
          <m:t>/</m:t>
        </m:r>
        <m:r>
          <m:t>4</m:t>
        </m:r>
      </m:oMath>
      <w:r>
        <w:t xml:space="preserve">, logo</w:t>
      </w:r>
      <w:r>
        <w:t xml:space="preserve"> </w:t>
      </w:r>
      <m:oMath>
        <m:sSubSup>
          <m:e>
            <m:r>
              <m:t>q</m:t>
            </m:r>
          </m:e>
          <m:sub>
            <m:r>
              <m:t>1</m:t>
            </m:r>
          </m:sub>
          <m:sup>
            <m:r>
              <m:rPr>
                <m:sty m:val="p"/>
              </m:rPr>
              <m:t>*</m:t>
            </m:r>
          </m:sup>
        </m:sSubSup>
        <m:r>
          <m:rPr>
            <m:sty m:val="p"/>
          </m:rPr>
          <m:t>=</m:t>
        </m:r>
        <m:r>
          <m:t>75</m:t>
        </m:r>
      </m:oMath>
      <w:r>
        <w:t xml:space="preserve">,</w:t>
      </w:r>
      <w:r>
        <w:t xml:space="preserve"> </w:t>
      </w:r>
      <m:oMath>
        <m:sSubSup>
          <m:e>
            <m:r>
              <m:t>q</m:t>
            </m:r>
          </m:e>
          <m:sub>
            <m:r>
              <m:t>2</m:t>
            </m:r>
          </m:sub>
          <m:sup>
            <m:r>
              <m:rPr>
                <m:sty m:val="p"/>
              </m:rPr>
              <m:t>*</m:t>
            </m:r>
          </m:sup>
        </m:sSubSup>
        <m:r>
          <m:rPr>
            <m:sty m:val="p"/>
          </m:rPr>
          <m:t>=</m:t>
        </m:r>
        <m:r>
          <m:t>50</m:t>
        </m:r>
      </m:oMath>
      <w:r>
        <w:t xml:space="preserve">.</w:t>
      </w:r>
    </w:p>
    <w:p>
      <w:pPr>
        <w:pStyle w:val="BlockText"/>
      </w:pPr>
      <w:r>
        <w:rPr>
          <w:b/>
          <w:bCs/>
        </w:rPr>
        <w:t xml:space="preserve">Passo 3 — Preço e lucros</w:t>
      </w:r>
    </w:p>
    <w:p>
      <w:pPr>
        <w:pStyle w:val="BlockText"/>
      </w:pPr>
      <m:oMath>
        <m:sSup>
          <m:e>
            <m:r>
              <m:t>Q</m:t>
            </m:r>
          </m:e>
          <m:sup>
            <m:r>
              <m:rPr>
                <m:sty m:val="p"/>
              </m:rPr>
              <m:t>*</m:t>
            </m:r>
          </m:sup>
        </m:sSup>
        <m:r>
          <m:rPr>
            <m:sty m:val="p"/>
          </m:rPr>
          <m:t>=</m:t>
        </m:r>
        <m:r>
          <m:t>125</m:t>
        </m:r>
      </m:oMath>
      <w:r>
        <w:t xml:space="preserve">,</w:t>
      </w:r>
      <w:r>
        <w:t xml:space="preserve"> </w:t>
      </w:r>
      <m:oMath>
        <m:sSup>
          <m:e>
            <m:r>
              <m:t>P</m:t>
            </m:r>
          </m:e>
          <m:sup>
            <m:r>
              <m:rPr>
                <m:sty m:val="p"/>
              </m:rPr>
              <m:t>*</m:t>
            </m:r>
          </m:sup>
        </m:sSup>
        <m:r>
          <m:rPr>
            <m:sty m:val="p"/>
          </m:rPr>
          <m:t>=</m:t>
        </m:r>
        <m:r>
          <m:t>250</m:t>
        </m:r>
      </m:oMath>
      <w:r>
        <w:t xml:space="preserve">,</w:t>
      </w:r>
      <w:r>
        <w:t xml:space="preserve"> </w:t>
      </w:r>
      <m:oMath>
        <m:sSub>
          <m:e>
            <m:r>
              <m:t>π</m:t>
            </m:r>
          </m:e>
          <m:sub>
            <m:r>
              <m:t>1</m:t>
            </m:r>
          </m:sub>
        </m:sSub>
        <m:r>
          <m:rPr>
            <m:sty m:val="p"/>
          </m:rPr>
          <m:t>=</m:t>
        </m:r>
        <m:r>
          <m:t>150</m:t>
        </m:r>
        <m:r>
          <m:rPr>
            <m:sty m:val="p"/>
          </m:rPr>
          <m:t>×</m:t>
        </m:r>
        <m:r>
          <m:t>75</m:t>
        </m:r>
        <m:r>
          <m:rPr>
            <m:sty m:val="p"/>
          </m:rPr>
          <m:t>=</m:t>
        </m:r>
        <m:r>
          <m:t>11.250</m:t>
        </m:r>
      </m:oMath>
      <w:r>
        <w:t xml:space="preserve">,</w:t>
      </w:r>
      <w:r>
        <w:t xml:space="preserve"> </w:t>
      </w:r>
      <m:oMath>
        <m:sSub>
          <m:e>
            <m:r>
              <m:t>π</m:t>
            </m:r>
          </m:e>
          <m:sub>
            <m:r>
              <m:t>2</m:t>
            </m:r>
          </m:sub>
        </m:sSub>
        <m:r>
          <m:rPr>
            <m:sty m:val="p"/>
          </m:rPr>
          <m:t>=</m:t>
        </m:r>
        <m:r>
          <m:t>100</m:t>
        </m:r>
        <m:r>
          <m:rPr>
            <m:sty m:val="p"/>
          </m:rPr>
          <m:t>×</m:t>
        </m:r>
        <m:r>
          <m:t>50</m:t>
        </m:r>
        <m:r>
          <m:rPr>
            <m:sty m:val="p"/>
          </m:rPr>
          <m:t>=</m:t>
        </m:r>
        <m:r>
          <m:t>5.000</m:t>
        </m:r>
      </m:oMath>
      <w:r>
        <w:t xml:space="preserve">.</w:t>
      </w:r>
    </w:p>
    <w:p>
      <w:pPr>
        <w:pStyle w:val="BlockText"/>
      </w:pPr>
      <w:r>
        <w:rPr>
          <w:b/>
          <w:bCs/>
        </w:rPr>
        <w:t xml:space="preserve">Interpretação:</w:t>
      </w:r>
      <w:r>
        <w:t xml:space="preserve"> </w:t>
      </w:r>
      <w:r>
        <w:t xml:space="preserve">A firma mais eficiente produz mais e lucra mais. Na aviação brasileira, a Latam tem historicamente custos por ASK menores, o que contribui para seu market share de 39,1%.</w:t>
      </w:r>
    </w:p>
    <w:p>
      <w:pPr>
        <w:pStyle w:val="BlockText"/>
      </w:pPr>
      <w:r>
        <w:rPr>
          <w:b/>
          <w:bCs/>
        </w:rPr>
        <w:t xml:space="preserve">[EXERCICIO RESOLVIDO] Exercício Resolvido 9a.3 — Stackelberg no mercado de cervejas</w:t>
      </w:r>
    </w:p>
    <w:p>
      <w:pPr>
        <w:pStyle w:val="BlockText"/>
      </w:pPr>
      <w:r>
        <w:rPr>
          <w:b/>
          <w:bCs/>
        </w:rPr>
        <w:t xml:space="preserve">Enunciado:</w:t>
      </w:r>
      <w:r>
        <w:t xml:space="preserve"> </w:t>
      </w:r>
      <w:r>
        <w:t xml:space="preserve">A Ambev (líder) e a Heineken (seguidora) competem à la Stackelberg no mercado de cerveja premium. A demanda inversa é</w:t>
      </w:r>
      <w:r>
        <w:t xml:space="preserve"> </w:t>
      </w:r>
      <m:oMath>
        <m:r>
          <m:t>P</m:t>
        </m:r>
        <m:r>
          <m:rPr>
            <m:sty m:val="p"/>
          </m:rPr>
          <m:t>=</m:t>
        </m:r>
        <m:r>
          <m:t>20</m:t>
        </m:r>
        <m:r>
          <m:rPr>
            <m:sty m:val="p"/>
          </m:rPr>
          <m:t>−</m:t>
        </m:r>
        <m:r>
          <m:t>Q</m:t>
        </m:r>
      </m:oMath>
      <w:r>
        <w:t xml:space="preserve"> </w:t>
      </w:r>
      <w:r>
        <w:t xml:space="preserve">(R$/litro, em milhões de litros/mês), com</w:t>
      </w:r>
      <w:r>
        <w:t xml:space="preserve"> </w:t>
      </w:r>
      <m:oMath>
        <m:sSub>
          <m:e>
            <m:r>
              <m:t>c</m:t>
            </m:r>
          </m:e>
          <m:sub>
            <m:r>
              <m:t>1</m:t>
            </m:r>
          </m:sub>
        </m:sSub>
        <m:r>
          <m:rPr>
            <m:sty m:val="p"/>
          </m:rPr>
          <m:t>=</m:t>
        </m:r>
        <m:sSub>
          <m:e>
            <m:r>
              <m:t>c</m:t>
            </m:r>
          </m:e>
          <m:sub>
            <m:r>
              <m:t>2</m:t>
            </m:r>
          </m:sub>
        </m:sSub>
        <m:r>
          <m:rPr>
            <m:sty m:val="p"/>
          </m:rPr>
          <m:t>=</m:t>
        </m:r>
        <m:r>
          <m:t>4</m:t>
        </m:r>
      </m:oMath>
      <w:r>
        <w:t xml:space="preserve">.</w:t>
      </w:r>
    </w:p>
    <w:p>
      <w:pPr>
        <w:pStyle w:val="Compact"/>
        <w:numPr>
          <w:ilvl w:val="0"/>
          <w:numId w:val="1475"/>
        </w:numPr>
      </w:pPr>
      <w:r>
        <w:t xml:space="preserve">Encontre o equilíbrio de Stackelberg.</w:t>
      </w:r>
    </w:p>
    <w:p>
      <w:pPr>
        <w:pStyle w:val="Compact"/>
        <w:numPr>
          <w:ilvl w:val="0"/>
          <w:numId w:val="1475"/>
        </w:numPr>
      </w:pPr>
      <w:r>
        <w:t xml:space="preserve">Compare com Cournot.</w:t>
      </w:r>
    </w:p>
    <w:p>
      <w:pPr>
        <w:pStyle w:val="BlockText"/>
      </w:pPr>
      <w:r>
        <w:rPr>
          <w:b/>
          <w:bCs/>
        </w:rPr>
        <w:t xml:space="preserve">Resolução:</w:t>
      </w:r>
    </w:p>
    <w:p>
      <w:pPr>
        <w:pStyle w:val="BlockText"/>
      </w:pPr>
      <w:r>
        <w:rPr>
          <w:b/>
          <w:bCs/>
        </w:rPr>
        <w:t xml:space="preserve">(a) Stackelberg</w:t>
      </w:r>
    </w:p>
    <w:p>
      <w:pPr>
        <w:pStyle w:val="BlockText"/>
      </w:pPr>
      <w:r>
        <w:t xml:space="preserve">Seguidora:</w:t>
      </w:r>
      <w:r>
        <w:t xml:space="preserve"> </w:t>
      </w:r>
      <m:oMath>
        <m:sSubSup>
          <m:e>
            <m:r>
              <m:t>q</m:t>
            </m:r>
          </m:e>
          <m:sub>
            <m:r>
              <m:t>2</m:t>
            </m:r>
          </m:sub>
          <m:sup>
            <m:r>
              <m:rPr>
                <m:sty m:val="p"/>
              </m:rPr>
              <m:t>*</m:t>
            </m:r>
          </m:sup>
        </m:sSubSup>
        <m:r>
          <m:rPr>
            <m:sty m:val="p"/>
          </m:rPr>
          <m:t>(</m:t>
        </m:r>
        <m:sSub>
          <m:e>
            <m:r>
              <m:t>q</m:t>
            </m:r>
          </m:e>
          <m:sub>
            <m:r>
              <m:t>1</m:t>
            </m:r>
          </m:sub>
        </m:sSub>
        <m:r>
          <m:rPr>
            <m:sty m:val="p"/>
          </m:rPr>
          <m:t>)</m:t>
        </m:r>
        <m:r>
          <m:rPr>
            <m:sty m:val="p"/>
          </m:rPr>
          <m:t>=</m:t>
        </m:r>
        <m:r>
          <m:rPr>
            <m:sty m:val="p"/>
          </m:rPr>
          <m:t>(</m:t>
        </m:r>
        <m:r>
          <m:t>20</m:t>
        </m:r>
        <m:r>
          <m:rPr>
            <m:sty m:val="p"/>
          </m:rPr>
          <m:t>−</m:t>
        </m:r>
        <m:r>
          <m:t>4</m:t>
        </m:r>
        <m:r>
          <m:rPr>
            <m:sty m:val="p"/>
          </m:rPr>
          <m:t>−</m:t>
        </m:r>
        <m:sSub>
          <m:e>
            <m:r>
              <m:t>q</m:t>
            </m:r>
          </m:e>
          <m:sub>
            <m:r>
              <m:t>1</m:t>
            </m:r>
          </m:sub>
        </m:sSub>
        <m:r>
          <m:rPr>
            <m:sty m:val="p"/>
          </m:rPr>
          <m:t>)</m:t>
        </m:r>
        <m:r>
          <m:rPr>
            <m:sty m:val="p"/>
          </m:rPr>
          <m:t>/</m:t>
        </m:r>
        <m:r>
          <m:t>2</m:t>
        </m:r>
        <m:r>
          <m:rPr>
            <m:sty m:val="p"/>
          </m:rPr>
          <m:t>=</m:t>
        </m:r>
        <m:r>
          <m:t>8</m:t>
        </m:r>
        <m:r>
          <m:rPr>
            <m:sty m:val="p"/>
          </m:rPr>
          <m:t>−</m:t>
        </m:r>
        <m:sSub>
          <m:e>
            <m:r>
              <m:t>q</m:t>
            </m:r>
          </m:e>
          <m:sub>
            <m:r>
              <m:t>1</m:t>
            </m:r>
          </m:sub>
        </m:sSub>
        <m:r>
          <m:rPr>
            <m:sty m:val="p"/>
          </m:rPr>
          <m:t>/</m:t>
        </m:r>
        <m:r>
          <m:t>2</m:t>
        </m:r>
      </m:oMath>
    </w:p>
    <w:p>
      <w:pPr>
        <w:pStyle w:val="BlockText"/>
      </w:pPr>
      <w:r>
        <w:t xml:space="preserve">Líder:</w:t>
      </w:r>
      <w:r>
        <w:t xml:space="preserve"> </w:t>
      </w:r>
      <m:oMath>
        <m:sSub>
          <m:e>
            <m:r>
              <m:t>π</m:t>
            </m:r>
          </m:e>
          <m:sub>
            <m:r>
              <m:t>1</m:t>
            </m:r>
          </m:sub>
        </m:sSub>
        <m:r>
          <m:rPr>
            <m:sty m:val="p"/>
          </m:rPr>
          <m:t>=</m:t>
        </m:r>
        <m:r>
          <m:rPr>
            <m:sty m:val="p"/>
          </m:rPr>
          <m:t>(</m:t>
        </m:r>
        <m:r>
          <m:t>20</m:t>
        </m:r>
        <m:r>
          <m:rPr>
            <m:sty m:val="p"/>
          </m:rPr>
          <m:t>−</m:t>
        </m:r>
        <m:sSub>
          <m:e>
            <m:r>
              <m:t>q</m:t>
            </m:r>
          </m:e>
          <m:sub>
            <m:r>
              <m:t>1</m:t>
            </m:r>
          </m:sub>
        </m:sSub>
        <m:r>
          <m:rPr>
            <m:sty m:val="p"/>
          </m:rPr>
          <m:t>−</m:t>
        </m:r>
        <m:r>
          <m:t>8</m:t>
        </m:r>
        <m:r>
          <m:rPr>
            <m:sty m:val="p"/>
          </m:rPr>
          <m:t>+</m:t>
        </m:r>
        <m:sSub>
          <m:e>
            <m:r>
              <m:t>q</m:t>
            </m:r>
          </m:e>
          <m:sub>
            <m:r>
              <m:t>1</m:t>
            </m:r>
          </m:sub>
        </m:sSub>
        <m:r>
          <m:rPr>
            <m:sty m:val="p"/>
          </m:rPr>
          <m:t>/</m:t>
        </m:r>
        <m:r>
          <m:t>2</m:t>
        </m:r>
        <m:r>
          <m:rPr>
            <m:sty m:val="p"/>
          </m:rPr>
          <m:t>−</m:t>
        </m:r>
        <m:r>
          <m:t>4</m:t>
        </m:r>
        <m:r>
          <m:rPr>
            <m:sty m:val="p"/>
          </m:rPr>
          <m:t>)</m:t>
        </m:r>
        <m:sSub>
          <m:e>
            <m:r>
              <m:t>q</m:t>
            </m:r>
          </m:e>
          <m:sub>
            <m:r>
              <m:t>1</m:t>
            </m:r>
          </m:sub>
        </m:sSub>
        <m:r>
          <m:rPr>
            <m:sty m:val="p"/>
          </m:rPr>
          <m:t>=</m:t>
        </m:r>
        <m:r>
          <m:rPr>
            <m:sty m:val="p"/>
          </m:rPr>
          <m:t>(</m:t>
        </m:r>
        <m:r>
          <m:t>8</m:t>
        </m:r>
        <m:r>
          <m:rPr>
            <m:sty m:val="p"/>
          </m:rPr>
          <m:t>−</m:t>
        </m:r>
        <m:sSub>
          <m:e>
            <m:r>
              <m:t>q</m:t>
            </m:r>
          </m:e>
          <m:sub>
            <m:r>
              <m:t>1</m:t>
            </m:r>
          </m:sub>
        </m:sSub>
        <m:r>
          <m:rPr>
            <m:sty m:val="p"/>
          </m:rPr>
          <m:t>/</m:t>
        </m:r>
        <m:r>
          <m:t>2</m:t>
        </m:r>
        <m:r>
          <m:rPr>
            <m:sty m:val="p"/>
          </m:rPr>
          <m:t>)</m:t>
        </m:r>
        <m:sSub>
          <m:e>
            <m:r>
              <m:t>q</m:t>
            </m:r>
          </m:e>
          <m:sub>
            <m:r>
              <m:t>1</m:t>
            </m:r>
          </m:sub>
        </m:sSub>
      </m:oMath>
    </w:p>
    <w:p>
      <w:pPr>
        <w:pStyle w:val="BlockText"/>
      </w:pPr>
      <w:r>
        <w:t xml:space="preserve">CPO:</w:t>
      </w:r>
      <w:r>
        <w:t xml:space="preserve"> </w:t>
      </w:r>
      <m:oMath>
        <m:r>
          <m:t>8</m:t>
        </m:r>
        <m:r>
          <m:rPr>
            <m:sty m:val="p"/>
          </m:rPr>
          <m:t>−</m:t>
        </m:r>
        <m:sSub>
          <m:e>
            <m:r>
              <m:t>q</m:t>
            </m:r>
          </m:e>
          <m:sub>
            <m:r>
              <m:t>1</m:t>
            </m:r>
          </m:sub>
        </m:sSub>
        <m:r>
          <m:rPr>
            <m:sty m:val="p"/>
          </m:rPr>
          <m:t>=</m:t>
        </m:r>
        <m:r>
          <m:t>0</m:t>
        </m:r>
        <m:r>
          <m:rPr>
            <m:sty m:val="p"/>
          </m:rPr>
          <m:t>⟹</m:t>
        </m:r>
        <m:sSubSup>
          <m:e>
            <m:r>
              <m:t>q</m:t>
            </m:r>
          </m:e>
          <m:sub>
            <m:r>
              <m:t>1</m:t>
            </m:r>
          </m:sub>
          <m:sup>
            <m:r>
              <m:t>S</m:t>
            </m:r>
          </m:sup>
        </m:sSubSup>
        <m:r>
          <m:rPr>
            <m:sty m:val="p"/>
          </m:rPr>
          <m:t>=</m:t>
        </m:r>
        <m:r>
          <m:t>8</m:t>
        </m:r>
      </m:oMath>
      <w:r>
        <w:t xml:space="preserve">,</w:t>
      </w:r>
      <w:r>
        <w:t xml:space="preserve"> </w:t>
      </w:r>
      <m:oMath>
        <m:sSubSup>
          <m:e>
            <m:r>
              <m:t>q</m:t>
            </m:r>
          </m:e>
          <m:sub>
            <m:r>
              <m:t>2</m:t>
            </m:r>
          </m:sub>
          <m:sup>
            <m:r>
              <m:t>S</m:t>
            </m:r>
          </m:sup>
        </m:sSubSup>
        <m:r>
          <m:rPr>
            <m:sty m:val="p"/>
          </m:rPr>
          <m:t>=</m:t>
        </m:r>
        <m:r>
          <m:t>4</m:t>
        </m:r>
      </m:oMath>
    </w:p>
    <w:p>
      <w:pPr>
        <w:pStyle w:val="BlockText"/>
      </w:pPr>
      <m:oMath>
        <m:sSup>
          <m:e>
            <m:r>
              <m:t>Q</m:t>
            </m:r>
          </m:e>
          <m:sup>
            <m:r>
              <m:t>S</m:t>
            </m:r>
          </m:sup>
        </m:sSup>
        <m:r>
          <m:rPr>
            <m:sty m:val="p"/>
          </m:rPr>
          <m:t>=</m:t>
        </m:r>
        <m:r>
          <m:t>12</m:t>
        </m:r>
      </m:oMath>
      <w:r>
        <w:t xml:space="preserve">,</w:t>
      </w:r>
      <w:r>
        <w:t xml:space="preserve"> </w:t>
      </w:r>
      <m:oMath>
        <m:sSup>
          <m:e>
            <m:r>
              <m:t>P</m:t>
            </m:r>
          </m:e>
          <m:sup>
            <m:r>
              <m:t>S</m:t>
            </m:r>
          </m:sup>
        </m:sSup>
        <m:r>
          <m:rPr>
            <m:sty m:val="p"/>
          </m:rPr>
          <m:t>=</m:t>
        </m:r>
        <m:r>
          <m:t>8</m:t>
        </m:r>
      </m:oMath>
      <w:r>
        <w:t xml:space="preserve">,</w:t>
      </w:r>
      <w:r>
        <w:t xml:space="preserve"> </w:t>
      </w:r>
      <m:oMath>
        <m:sSubSup>
          <m:e>
            <m:r>
              <m:t>π</m:t>
            </m:r>
          </m:e>
          <m:sub>
            <m:r>
              <m:t>1</m:t>
            </m:r>
          </m:sub>
          <m:sup>
            <m:r>
              <m:t>S</m:t>
            </m:r>
          </m:sup>
        </m:sSubSup>
        <m:r>
          <m:rPr>
            <m:sty m:val="p"/>
          </m:rPr>
          <m:t>=</m:t>
        </m:r>
        <m:r>
          <m:t>32</m:t>
        </m:r>
      </m:oMath>
      <w:r>
        <w:t xml:space="preserve">,</w:t>
      </w:r>
      <w:r>
        <w:t xml:space="preserve"> </w:t>
      </w:r>
      <m:oMath>
        <m:sSubSup>
          <m:e>
            <m:r>
              <m:t>π</m:t>
            </m:r>
          </m:e>
          <m:sub>
            <m:r>
              <m:t>2</m:t>
            </m:r>
          </m:sub>
          <m:sup>
            <m:r>
              <m:t>S</m:t>
            </m:r>
          </m:sup>
        </m:sSubSup>
        <m:r>
          <m:rPr>
            <m:sty m:val="p"/>
          </m:rPr>
          <m:t>=</m:t>
        </m:r>
        <m:r>
          <m:t>16</m:t>
        </m:r>
      </m:oMath>
    </w:p>
    <w:p>
      <w:pPr>
        <w:pStyle w:val="BlockText"/>
      </w:pPr>
      <w:r>
        <w:rPr>
          <w:b/>
          <w:bCs/>
        </w:rPr>
        <w:t xml:space="preserve">(b) Cournot</w:t>
      </w:r>
    </w:p>
    <w:p>
      <w:pPr>
        <w:pStyle w:val="BlockText"/>
      </w:pPr>
      <m:oMath>
        <m:sSubSup>
          <m:e>
            <m:r>
              <m:t>q</m:t>
            </m:r>
          </m:e>
          <m:sub>
            <m:r>
              <m:t>1</m:t>
            </m:r>
          </m:sub>
          <m:sup>
            <m:r>
              <m:t>C</m:t>
            </m:r>
          </m:sup>
        </m:sSubSup>
        <m:r>
          <m:rPr>
            <m:sty m:val="p"/>
          </m:rPr>
          <m:t>=</m:t>
        </m:r>
        <m:sSubSup>
          <m:e>
            <m:r>
              <m:t>q</m:t>
            </m:r>
          </m:e>
          <m:sub>
            <m:r>
              <m:t>2</m:t>
            </m:r>
          </m:sub>
          <m:sup>
            <m:r>
              <m:t>C</m:t>
            </m:r>
          </m:sup>
        </m:sSubSup>
        <m:r>
          <m:rPr>
            <m:sty m:val="p"/>
          </m:rPr>
          <m:t>=</m:t>
        </m:r>
        <m:r>
          <m:t>16</m:t>
        </m:r>
        <m:r>
          <m:rPr>
            <m:sty m:val="p"/>
          </m:rPr>
          <m:t>/</m:t>
        </m:r>
        <m:r>
          <m:t>3</m:t>
        </m:r>
        <m:r>
          <m:rPr>
            <m:sty m:val="p"/>
          </m:rPr>
          <m:t>≈</m:t>
        </m:r>
        <m:r>
          <m:t>5</m:t>
        </m:r>
        <m:r>
          <m:rPr>
            <m:sty m:val="p"/>
          </m:rPr>
          <m:t>,</m:t>
        </m:r>
        <m:r>
          <m:t>33</m:t>
        </m:r>
      </m:oMath>
      <w:r>
        <w:t xml:space="preserve">,</w:t>
      </w:r>
      <w:r>
        <w:t xml:space="preserve"> </w:t>
      </w:r>
      <m:oMath>
        <m:sSup>
          <m:e>
            <m:r>
              <m:t>Q</m:t>
            </m:r>
          </m:e>
          <m:sup>
            <m:r>
              <m:t>C</m:t>
            </m:r>
          </m:sup>
        </m:sSup>
        <m:r>
          <m:rPr>
            <m:sty m:val="p"/>
          </m:rPr>
          <m:t>=</m:t>
        </m:r>
        <m:r>
          <m:t>32</m:t>
        </m:r>
        <m:r>
          <m:rPr>
            <m:sty m:val="p"/>
          </m:rPr>
          <m:t>/</m:t>
        </m:r>
        <m:r>
          <m:t>3</m:t>
        </m:r>
        <m:r>
          <m:rPr>
            <m:sty m:val="p"/>
          </m:rPr>
          <m:t>≈</m:t>
        </m:r>
        <m:r>
          <m:t>10</m:t>
        </m:r>
        <m:r>
          <m:rPr>
            <m:sty m:val="p"/>
          </m:rPr>
          <m:t>,</m:t>
        </m:r>
        <m:r>
          <m:t>67</m:t>
        </m:r>
      </m:oMath>
      <w:r>
        <w:t xml:space="preserve">,</w:t>
      </w:r>
      <w:r>
        <w:t xml:space="preserve"> </w:t>
      </w:r>
      <m:oMath>
        <m:sSup>
          <m:e>
            <m:r>
              <m:t>P</m:t>
            </m:r>
          </m:e>
          <m:sup>
            <m:r>
              <m:t>C</m:t>
            </m:r>
          </m:sup>
        </m:sSup>
        <m:r>
          <m:rPr>
            <m:sty m:val="p"/>
          </m:rPr>
          <m:t>=</m:t>
        </m:r>
        <m:r>
          <m:t>28</m:t>
        </m:r>
        <m:r>
          <m:rPr>
            <m:sty m:val="p"/>
          </m:rPr>
          <m:t>/</m:t>
        </m:r>
        <m:r>
          <m:t>3</m:t>
        </m:r>
        <m:r>
          <m:rPr>
            <m:sty m:val="p"/>
          </m:rPr>
          <m:t>≈</m:t>
        </m:r>
        <m:r>
          <m:t>9</m:t>
        </m:r>
        <m:r>
          <m:rPr>
            <m:sty m:val="p"/>
          </m:rPr>
          <m:t>,</m:t>
        </m:r>
        <m:r>
          <m:t>33</m:t>
        </m:r>
      </m:oMath>
    </w:p>
    <w:p>
      <w:pPr>
        <w:pStyle w:val="BlockText"/>
      </w:pPr>
      <m:oMath>
        <m:sSubSup>
          <m:e>
            <m:r>
              <m:t>π</m:t>
            </m:r>
          </m:e>
          <m:sub>
            <m:r>
              <m:t>1</m:t>
            </m:r>
          </m:sub>
          <m:sup>
            <m:r>
              <m:t>C</m:t>
            </m:r>
          </m:sup>
        </m:sSubSup>
        <m:r>
          <m:rPr>
            <m:sty m:val="p"/>
          </m:rPr>
          <m:t>=</m:t>
        </m:r>
        <m:sSubSup>
          <m:e>
            <m:r>
              <m:t>π</m:t>
            </m:r>
          </m:e>
          <m:sub>
            <m:r>
              <m:t>2</m:t>
            </m:r>
          </m:sub>
          <m:sup>
            <m:r>
              <m:t>C</m:t>
            </m:r>
          </m:sup>
        </m:sSubSup>
        <m:r>
          <m:rPr>
            <m:sty m:val="p"/>
          </m:rPr>
          <m:t>=</m:t>
        </m:r>
        <m:r>
          <m:t>256</m:t>
        </m:r>
        <m:r>
          <m:rPr>
            <m:sty m:val="p"/>
          </m:rPr>
          <m:t>/</m:t>
        </m:r>
        <m:r>
          <m:t>9</m:t>
        </m:r>
        <m:r>
          <m:rPr>
            <m:sty m:val="p"/>
          </m:rPr>
          <m:t>≈</m:t>
        </m:r>
        <m:r>
          <m:t>28</m:t>
        </m:r>
        <m:r>
          <m:rPr>
            <m:sty m:val="p"/>
          </m:rPr>
          <m:t>,</m:t>
        </m:r>
        <m:r>
          <m:t>4</m:t>
        </m:r>
      </m:oMath>
    </w:p>
    <w:p>
      <w:pPr>
        <w:pStyle w:val="BlockText"/>
      </w:pPr>
      <w:r>
        <w:rPr>
          <w:b/>
          <w:bCs/>
        </w:rPr>
        <w:t xml:space="preserve">Comparação: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Stackelberg</w:t>
            </w:r>
          </w:p>
        </w:tc>
        <w:tc>
          <w:tcPr/>
          <w:p>
            <w:pPr>
              <w:pStyle w:val="Compact"/>
            </w:pPr>
            <w:r>
              <w:t xml:space="preserve">Cournot</w:t>
            </w:r>
          </w:p>
        </w:tc>
      </w:tr>
      <w:tr>
        <w:tc>
          <w:tcPr/>
          <w:p>
            <w:pPr>
              <w:pStyle w:val="Compact"/>
            </w:pPr>
            <m:oMath>
              <m:sSub>
                <m:e>
                  <m:r>
                    <m:t>q</m:t>
                  </m:r>
                </m:e>
                <m:sub>
                  <m:r>
                    <m:t>1</m:t>
                  </m:r>
                </m:sub>
              </m:sSub>
            </m:oMath>
          </w:p>
        </w:tc>
        <w:tc>
          <w:tcPr/>
          <w:p>
            <w:pPr>
              <w:pStyle w:val="Compact"/>
            </w:pPr>
            <w:r>
              <w:t xml:space="preserve">8</w:t>
            </w:r>
          </w:p>
        </w:tc>
        <w:tc>
          <w:tcPr/>
          <w:p>
            <w:pPr>
              <w:pStyle w:val="Compact"/>
            </w:pPr>
            <w:r>
              <w:t xml:space="preserve">5,33</w:t>
            </w:r>
          </w:p>
        </w:tc>
      </w:tr>
      <w:tr>
        <w:tc>
          <w:tcPr/>
          <w:p>
            <w:pPr>
              <w:pStyle w:val="Compact"/>
            </w:pPr>
            <m:oMath>
              <m:sSub>
                <m:e>
                  <m:r>
                    <m:t>q</m:t>
                  </m:r>
                </m:e>
                <m:sub>
                  <m:r>
                    <m:t>2</m:t>
                  </m:r>
                </m:sub>
              </m:sSub>
            </m:oMath>
          </w:p>
        </w:tc>
        <w:tc>
          <w:tcPr/>
          <w:p>
            <w:pPr>
              <w:pStyle w:val="Compact"/>
            </w:pPr>
            <w:r>
              <w:t xml:space="preserve">4</w:t>
            </w:r>
          </w:p>
        </w:tc>
        <w:tc>
          <w:tcPr/>
          <w:p>
            <w:pPr>
              <w:pStyle w:val="Compact"/>
            </w:pPr>
            <w:r>
              <w:t xml:space="preserve">5,33</w:t>
            </w:r>
          </w:p>
        </w:tc>
      </w:tr>
      <w:tr>
        <w:tc>
          <w:tcPr/>
          <w:p>
            <w:pPr>
              <w:pStyle w:val="Compact"/>
            </w:pPr>
            <w:r>
              <w:t xml:space="preserve">Preço</w:t>
            </w:r>
          </w:p>
        </w:tc>
        <w:tc>
          <w:tcPr/>
          <w:p>
            <w:pPr>
              <w:pStyle w:val="Compact"/>
            </w:pPr>
            <w:r>
              <w:t xml:space="preserve">R$ 8,00</w:t>
            </w:r>
          </w:p>
        </w:tc>
        <w:tc>
          <w:tcPr/>
          <w:p>
            <w:pPr>
              <w:pStyle w:val="Compact"/>
            </w:pPr>
            <w:r>
              <w:t xml:space="preserve">R$ 9,33</w:t>
            </w:r>
          </w:p>
        </w:tc>
      </w:tr>
      <w:tr>
        <w:tc>
          <w:tcPr/>
          <w:p>
            <w:pPr>
              <w:pStyle w:val="Compact"/>
            </w:pPr>
            <m:oMath>
              <m:sSub>
                <m:e>
                  <m:r>
                    <m:t>π</m:t>
                  </m:r>
                </m:e>
                <m:sub>
                  <m:r>
                    <m:rPr>
                      <m:nor/>
                      <m:sty m:val="p"/>
                    </m:rPr>
                    <m:t>líder</m:t>
                  </m:r>
                </m:sub>
              </m:sSub>
            </m:oMath>
          </w:p>
        </w:tc>
        <w:tc>
          <w:tcPr/>
          <w:p>
            <w:pPr>
              <w:pStyle w:val="Compact"/>
            </w:pPr>
            <w:r>
              <w:t xml:space="preserve">32</w:t>
            </w:r>
          </w:p>
        </w:tc>
        <w:tc>
          <w:tcPr/>
          <w:p>
            <w:pPr>
              <w:pStyle w:val="Compact"/>
            </w:pPr>
            <w:r>
              <w:t xml:space="preserve">28,4</w:t>
            </w:r>
          </w:p>
        </w:tc>
      </w:tr>
      <w:tr>
        <w:tc>
          <w:tcPr/>
          <w:p>
            <w:pPr>
              <w:pStyle w:val="Compact"/>
            </w:pPr>
            <m:oMath>
              <m:sSub>
                <m:e>
                  <m:r>
                    <m:t>π</m:t>
                  </m:r>
                </m:e>
                <m:sub>
                  <m:r>
                    <m:rPr>
                      <m:nor/>
                      <m:sty m:val="p"/>
                    </m:rPr>
                    <m:t>seguidora</m:t>
                  </m:r>
                </m:sub>
              </m:sSub>
            </m:oMath>
          </w:p>
        </w:tc>
        <w:tc>
          <w:tcPr/>
          <w:p>
            <w:pPr>
              <w:pStyle w:val="Compact"/>
            </w:pPr>
            <w:r>
              <w:t xml:space="preserve">16</w:t>
            </w:r>
          </w:p>
        </w:tc>
        <w:tc>
          <w:tcPr/>
          <w:p>
            <w:pPr>
              <w:pStyle w:val="Compact"/>
            </w:pPr>
            <w:r>
              <w:t xml:space="preserve">28,4</w:t>
            </w:r>
          </w:p>
        </w:tc>
      </w:tr>
    </w:tbl>
    <w:p>
      <w:pPr>
        <w:pStyle w:val="BlockText"/>
      </w:pPr>
      <w:r>
        <w:t xml:space="preserve">A líder ganha (+12,5%), a seguidora perde (–43,7%), e o consumidor ganha (preço menor, quantidade maior).</w:t>
      </w:r>
    </w:p>
    <w:p>
      <w:r>
        <w:pict>
          <v:rect style="width:0;height:1.5pt" o:hralign="center" o:hrstd="t" o:hr="t"/>
        </w:pict>
      </w:r>
    </w:p>
    <w:bookmarkEnd w:id="492"/>
    <w:bookmarkStart w:id="493" w:name="exercícios-7"/>
    <w:p>
      <w:pPr>
        <w:pStyle w:val="Heading3"/>
      </w:pPr>
      <w:r>
        <w:t xml:space="preserve">Exercícios</w:t>
      </w:r>
    </w:p>
    <w:p>
      <w:pPr>
        <w:pStyle w:val="FirstParagraph"/>
      </w:pPr>
      <w:r>
        <w:rPr>
          <w:b/>
          <w:bCs/>
        </w:rPr>
        <w:t xml:space="preserve">Exercício 9a.1.</w:t>
      </w:r>
      <w:r>
        <w:t xml:space="preserve"> </w:t>
      </w:r>
      <w:r>
        <w:t xml:space="preserve">Considere o seguinte jogo simultâneo: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Jogador 2: L</w:t>
            </w:r>
          </w:p>
        </w:tc>
        <w:tc>
          <w:tcPr/>
          <w:p>
            <w:pPr>
              <w:pStyle w:val="Compact"/>
              <w:jc w:val="center"/>
            </w:pPr>
            <w:r>
              <w:t xml:space="preserve">Jogador 2: R</w:t>
            </w:r>
          </w:p>
        </w:tc>
      </w:tr>
      <w:tr>
        <w:tc>
          <w:tcPr/>
          <w:p>
            <w:pPr>
              <w:pStyle w:val="Compact"/>
              <w:jc w:val="left"/>
            </w:pPr>
            <w:r>
              <w:rPr>
                <w:b/>
                <w:bCs/>
              </w:rPr>
              <w:t xml:space="preserve">Jogador 1: U</w:t>
            </w:r>
          </w:p>
        </w:tc>
        <w:tc>
          <w:tcPr/>
          <w:p>
            <w:pPr>
              <w:pStyle w:val="Compact"/>
              <w:jc w:val="center"/>
            </w:pPr>
            <m:oMath>
              <m:r>
                <m:rPr>
                  <m:sty m:val="p"/>
                </m:rPr>
                <m:t>(</m:t>
              </m:r>
              <m:r>
                <m:t>4</m:t>
              </m:r>
              <m:r>
                <m:rPr>
                  <m:sty m:val="p"/>
                </m:rPr>
                <m:t>,</m:t>
              </m:r>
              <m:r>
                <m:t>3</m:t>
              </m:r>
              <m:r>
                <m:rPr>
                  <m:sty m:val="p"/>
                </m:rPr>
                <m:t>)</m:t>
              </m:r>
            </m:oMath>
          </w:p>
        </w:tc>
        <w:tc>
          <w:tcPr/>
          <w:p>
            <w:pPr>
              <w:pStyle w:val="Compact"/>
              <w:jc w:val="center"/>
            </w:pPr>
            <m:oMath>
              <m:r>
                <m:rPr>
                  <m:sty m:val="p"/>
                </m:rPr>
                <m:t>(</m:t>
              </m:r>
              <m:r>
                <m:t>1</m:t>
              </m:r>
              <m:r>
                <m:rPr>
                  <m:sty m:val="p"/>
                </m:rPr>
                <m:t>,</m:t>
              </m:r>
              <m:r>
                <m:t>5</m:t>
              </m:r>
              <m:r>
                <m:rPr>
                  <m:sty m:val="p"/>
                </m:rPr>
                <m:t>)</m:t>
              </m:r>
            </m:oMath>
          </w:p>
        </w:tc>
      </w:tr>
      <w:tr>
        <w:tc>
          <w:tcPr/>
          <w:p>
            <w:pPr>
              <w:pStyle w:val="Compact"/>
              <w:jc w:val="left"/>
            </w:pPr>
            <w:r>
              <w:rPr>
                <w:b/>
                <w:bCs/>
              </w:rPr>
              <w:t xml:space="preserve">Jogador 1: D</w:t>
            </w:r>
          </w:p>
        </w:tc>
        <w:tc>
          <w:tcPr/>
          <w:p>
            <w:pPr>
              <w:pStyle w:val="Compact"/>
              <w:jc w:val="center"/>
            </w:pPr>
            <m:oMath>
              <m:r>
                <m:rPr>
                  <m:sty m:val="p"/>
                </m:rPr>
                <m:t>(</m:t>
              </m:r>
              <m:r>
                <m:t>3</m:t>
              </m:r>
              <m:r>
                <m:rPr>
                  <m:sty m:val="p"/>
                </m:rPr>
                <m:t>,</m:t>
              </m:r>
              <m:r>
                <m:t>1</m:t>
              </m:r>
              <m:r>
                <m:rPr>
                  <m:sty m:val="p"/>
                </m:rPr>
                <m:t>)</m:t>
              </m:r>
            </m:oMath>
          </w:p>
        </w:tc>
        <w:tc>
          <w:tcPr/>
          <w:p>
            <w:pPr>
              <w:pStyle w:val="Compact"/>
              <w:jc w:val="center"/>
            </w:pPr>
            <m:oMath>
              <m:r>
                <m:rPr>
                  <m:sty m:val="p"/>
                </m:rPr>
                <m:t>(</m:t>
              </m:r>
              <m:r>
                <m:t>2</m:t>
              </m:r>
              <m:r>
                <m:rPr>
                  <m:sty m:val="p"/>
                </m:rPr>
                <m:t>,</m:t>
              </m:r>
              <m:r>
                <m:t>2</m:t>
              </m:r>
              <m:r>
                <m:rPr>
                  <m:sty m:val="p"/>
                </m:rPr>
                <m:t>)</m:t>
              </m:r>
            </m:oMath>
          </w:p>
        </w:tc>
      </w:tr>
    </w:tbl>
    <w:p>
      <w:pPr>
        <w:numPr>
          <w:ilvl w:val="0"/>
          <w:numId w:val="1476"/>
        </w:numPr>
      </w:pPr>
      <w:r>
        <w:t xml:space="preserve">Existem estratégias estritamente dominantes? Justifique.</w:t>
      </w:r>
    </w:p>
    <w:p>
      <w:pPr>
        <w:numPr>
          <w:ilvl w:val="0"/>
          <w:numId w:val="1476"/>
        </w:numPr>
      </w:pPr>
      <w:r>
        <w:t xml:space="preserve">Encontre todos os equilíbrios de Nash em estratégias puras.</w:t>
      </w:r>
    </w:p>
    <w:p>
      <w:pPr>
        <w:numPr>
          <w:ilvl w:val="0"/>
          <w:numId w:val="1476"/>
        </w:numPr>
      </w:pPr>
      <w:r>
        <w:t xml:space="preserve">Encontre o equilíbrio de Nash em estratégias mistas e calcule os payoffs esperados.</w:t>
      </w:r>
    </w:p>
    <w:p>
      <w:pPr>
        <w:pStyle w:val="FirstParagraph"/>
      </w:pPr>
      <w:r>
        <w:t xml:space="preserve">Ver solução (Cap. 9)</w:t>
      </w:r>
    </w:p>
    <w:p>
      <w:r>
        <w:pict>
          <v:rect style="width:0;height:1.5pt" o:hralign="center" o:hrstd="t" o:hr="t"/>
        </w:pict>
      </w:r>
    </w:p>
    <w:p>
      <w:pPr>
        <w:pStyle w:val="FirstParagraph"/>
      </w:pPr>
      <w:r>
        <w:rPr>
          <w:b/>
          <w:bCs/>
        </w:rPr>
        <w:t xml:space="preserve">Exercício 9a.2.</w:t>
      </w:r>
      <w:r>
        <w:t xml:space="preserve"> </w:t>
      </w:r>
      <w:r>
        <w:t xml:space="preserve">Duas firmas idênticas competem à la Cournot com demanda inversa</w:t>
      </w:r>
      <w:r>
        <w:t xml:space="preserve"> </w:t>
      </w:r>
      <m:oMath>
        <m:r>
          <m:t>P</m:t>
        </m:r>
        <m:r>
          <m:rPr>
            <m:sty m:val="p"/>
          </m:rPr>
          <m:t>(</m:t>
        </m:r>
        <m:r>
          <m:t>Q</m:t>
        </m:r>
        <m:r>
          <m:rPr>
            <m:sty m:val="p"/>
          </m:rPr>
          <m:t>)</m:t>
        </m:r>
        <m:r>
          <m:rPr>
            <m:sty m:val="p"/>
          </m:rPr>
          <m:t>=</m:t>
        </m:r>
        <m:r>
          <m:t>120</m:t>
        </m:r>
        <m:r>
          <m:rPr>
            <m:sty m:val="p"/>
          </m:rPr>
          <m:t>−</m:t>
        </m:r>
        <m:r>
          <m:t>Q</m:t>
        </m:r>
      </m:oMath>
      <w:r>
        <w:t xml:space="preserve"> </w:t>
      </w:r>
      <w:r>
        <w:t xml:space="preserve">e custo marginal</w:t>
      </w:r>
      <w:r>
        <w:t xml:space="preserve"> </w:t>
      </w:r>
      <m:oMath>
        <m:r>
          <m:t>c</m:t>
        </m:r>
        <m:r>
          <m:rPr>
            <m:sty m:val="p"/>
          </m:rPr>
          <m:t>=</m:t>
        </m:r>
        <m:r>
          <m:t>30</m:t>
        </m:r>
      </m:oMath>
      <w:r>
        <w:t xml:space="preserve">.</w:t>
      </w:r>
    </w:p>
    <w:p>
      <w:pPr>
        <w:numPr>
          <w:ilvl w:val="0"/>
          <w:numId w:val="1477"/>
        </w:numPr>
      </w:pPr>
      <w:r>
        <w:t xml:space="preserve">Derive as funções de melhor resposta e encontre o equilíbrio de Nash.</w:t>
      </w:r>
    </w:p>
    <w:p>
      <w:pPr>
        <w:numPr>
          <w:ilvl w:val="0"/>
          <w:numId w:val="1477"/>
        </w:numPr>
      </w:pPr>
      <w:r>
        <w:t xml:space="preserve">Compare o resultado com monopólio e competição perfeita.</w:t>
      </w:r>
    </w:p>
    <w:p>
      <w:pPr>
        <w:numPr>
          <w:ilvl w:val="0"/>
          <w:numId w:val="1477"/>
        </w:numPr>
      </w:pPr>
      <w:r>
        <w:t xml:space="preserve">Agora suponha que a firma 1 move primeiro (Stackelberg). Encontre o equilíbrio e compare.</w:t>
      </w:r>
    </w:p>
    <w:p>
      <w:pPr>
        <w:pStyle w:val="FirstParagraph"/>
      </w:pPr>
      <w:r>
        <w:t xml:space="preserve">Ver solução (Cap. 9)</w:t>
      </w:r>
    </w:p>
    <w:p>
      <w:r>
        <w:pict>
          <v:rect style="width:0;height:1.5pt" o:hralign="center" o:hrstd="t" o:hr="t"/>
        </w:pict>
      </w:r>
    </w:p>
    <w:p>
      <w:pPr>
        <w:pStyle w:val="FirstParagraph"/>
      </w:pPr>
      <w:r>
        <w:rPr>
          <w:b/>
          <w:bCs/>
        </w:rPr>
        <w:t xml:space="preserve">Exercício 9a.3.</w:t>
      </w:r>
      <w:r>
        <w:t xml:space="preserve"> </w:t>
      </w:r>
      <w:r>
        <w:t xml:space="preserve">No modelo de Bertrand com diferenciação, as demandas são</w:t>
      </w:r>
      <w:r>
        <w:t xml:space="preserve"> </w:t>
      </w:r>
      <m:oMath>
        <m:sSub>
          <m:e>
            <m:r>
              <m:t>q</m:t>
            </m:r>
          </m:e>
          <m:sub>
            <m:r>
              <m:t>1</m:t>
            </m:r>
          </m:sub>
        </m:sSub>
        <m:r>
          <m:rPr>
            <m:sty m:val="p"/>
          </m:rPr>
          <m:t>=</m:t>
        </m:r>
        <m:r>
          <m:t>a</m:t>
        </m:r>
        <m:r>
          <m:rPr>
            <m:sty m:val="p"/>
          </m:rPr>
          <m:t>−</m:t>
        </m:r>
        <m:r>
          <m:t>b</m:t>
        </m:r>
        <m:sSub>
          <m:e>
            <m:r>
              <m:t>p</m:t>
            </m:r>
          </m:e>
          <m:sub>
            <m:r>
              <m:t>1</m:t>
            </m:r>
          </m:sub>
        </m:sSub>
        <m:r>
          <m:rPr>
            <m:sty m:val="p"/>
          </m:rPr>
          <m:t>+</m:t>
        </m:r>
        <m:r>
          <m:t>d</m:t>
        </m:r>
        <m:sSub>
          <m:e>
            <m:r>
              <m:t>p</m:t>
            </m:r>
          </m:e>
          <m:sub>
            <m:r>
              <m:t>2</m:t>
            </m:r>
          </m:sub>
        </m:sSub>
      </m:oMath>
      <w:r>
        <w:t xml:space="preserve"> </w:t>
      </w:r>
      <w:r>
        <w:t xml:space="preserve">e</w:t>
      </w:r>
      <w:r>
        <w:t xml:space="preserve"> </w:t>
      </w:r>
      <m:oMath>
        <m:sSub>
          <m:e>
            <m:r>
              <m:t>q</m:t>
            </m:r>
          </m:e>
          <m:sub>
            <m:r>
              <m:t>2</m:t>
            </m:r>
          </m:sub>
        </m:sSub>
        <m:r>
          <m:rPr>
            <m:sty m:val="p"/>
          </m:rPr>
          <m:t>=</m:t>
        </m:r>
        <m:r>
          <m:t>a</m:t>
        </m:r>
        <m:r>
          <m:rPr>
            <m:sty m:val="p"/>
          </m:rPr>
          <m:t>−</m:t>
        </m:r>
        <m:r>
          <m:t>b</m:t>
        </m:r>
        <m:sSub>
          <m:e>
            <m:r>
              <m:t>p</m:t>
            </m:r>
          </m:e>
          <m:sub>
            <m:r>
              <m:t>2</m:t>
            </m:r>
          </m:sub>
        </m:sSub>
        <m:r>
          <m:rPr>
            <m:sty m:val="p"/>
          </m:rPr>
          <m:t>+</m:t>
        </m:r>
        <m:r>
          <m:t>d</m:t>
        </m:r>
        <m:sSub>
          <m:e>
            <m:r>
              <m:t>p</m:t>
            </m:r>
          </m:e>
          <m:sub>
            <m:r>
              <m:t>1</m:t>
            </m:r>
          </m:sub>
        </m:sSub>
      </m:oMath>
      <w:r>
        <w:t xml:space="preserve">, com</w:t>
      </w:r>
      <w:r>
        <w:t xml:space="preserve"> </w:t>
      </w:r>
      <m:oMath>
        <m:r>
          <m:t>b</m:t>
        </m:r>
        <m:r>
          <m:rPr>
            <m:sty m:val="p"/>
          </m:rPr>
          <m:t>&gt;</m:t>
        </m:r>
        <m:r>
          <m:t>d</m:t>
        </m:r>
        <m:r>
          <m:rPr>
            <m:sty m:val="p"/>
          </m:rPr>
          <m:t>&gt;</m:t>
        </m:r>
        <m:r>
          <m:t>0</m:t>
        </m:r>
      </m:oMath>
      <w:r>
        <w:t xml:space="preserve"> </w:t>
      </w:r>
      <w:r>
        <w:t xml:space="preserve">e custo marginal</w:t>
      </w:r>
      <w:r>
        <w:t xml:space="preserve"> </w:t>
      </w:r>
      <m:oMath>
        <m:r>
          <m:t>c</m:t>
        </m:r>
      </m:oMath>
      <w:r>
        <w:t xml:space="preserve">.</w:t>
      </w:r>
    </w:p>
    <w:p>
      <w:pPr>
        <w:numPr>
          <w:ilvl w:val="0"/>
          <w:numId w:val="1478"/>
        </w:numPr>
      </w:pPr>
      <w:r>
        <w:t xml:space="preserve">Derive as funções de melhor-resposta em preços e mostre que são crescentes (complementos estratégicos).</w:t>
      </w:r>
    </w:p>
    <w:p>
      <w:pPr>
        <w:numPr>
          <w:ilvl w:val="0"/>
          <w:numId w:val="1478"/>
        </w:numPr>
      </w:pPr>
      <w:r>
        <w:t xml:space="preserve">Encontre o equilíbrio de Nash e mostre que os lucros são positivos (diferentemente do Bertrand homogêneo).</w:t>
      </w:r>
    </w:p>
    <w:p>
      <w:pPr>
        <w:numPr>
          <w:ilvl w:val="0"/>
          <w:numId w:val="1478"/>
        </w:numPr>
      </w:pPr>
      <w:r>
        <w:t xml:space="preserve">O que acontece quando</w:t>
      </w:r>
      <w:r>
        <w:t xml:space="preserve"> </w:t>
      </w:r>
      <m:oMath>
        <m:r>
          <m:t>d</m:t>
        </m:r>
        <m:r>
          <m:rPr>
            <m:sty m:val="p"/>
          </m:rPr>
          <m:t>→</m:t>
        </m:r>
        <m:r>
          <m:t>0</m:t>
        </m:r>
      </m:oMath>
      <w:r>
        <w:t xml:space="preserve">? E quando</w:t>
      </w:r>
      <w:r>
        <w:t xml:space="preserve"> </w:t>
      </w:r>
      <m:oMath>
        <m:r>
          <m:t>d</m:t>
        </m:r>
        <m:r>
          <m:rPr>
            <m:sty m:val="p"/>
          </m:rPr>
          <m:t>→</m:t>
        </m:r>
        <m:r>
          <m:t>b</m:t>
        </m:r>
      </m:oMath>
      <w:r>
        <w:t xml:space="preserve">?</w:t>
      </w:r>
    </w:p>
    <w:p>
      <w:pPr>
        <w:pStyle w:val="FirstParagraph"/>
      </w:pPr>
      <w:r>
        <w:t xml:space="preserve">Ver solução (Cap. 9)</w:t>
      </w:r>
    </w:p>
    <w:p>
      <w:r>
        <w:pict>
          <v:rect style="width:0;height:1.5pt" o:hralign="center" o:hrstd="t" o:hr="t"/>
        </w:pict>
      </w:r>
    </w:p>
    <w:p>
      <w:pPr>
        <w:pStyle w:val="FirstParagraph"/>
      </w:pPr>
      <w:r>
        <w:rPr>
          <w:b/>
          <w:bCs/>
        </w:rPr>
        <w:t xml:space="preserve">Exercício 9a.4.</w:t>
      </w:r>
      <w:r>
        <w:t xml:space="preserve"> </w:t>
      </w:r>
      <w:r>
        <w:t xml:space="preserve">(Jogo Bayesiano — prévia do Módulo 9c) Uma firma incumbente pode ser forte (</w:t>
      </w:r>
      <m:oMath>
        <m:sSub>
          <m:e>
            <m:r>
              <m:t>θ</m:t>
            </m:r>
          </m:e>
          <m:sub>
            <m:r>
              <m:t>F</m:t>
            </m:r>
          </m:sub>
        </m:sSub>
      </m:oMath>
      <w:r>
        <w:t xml:space="preserve">, com probabilidade 0,6) ou fraca (</w:t>
      </w:r>
      <m:oMath>
        <m:sSub>
          <m:e>
            <m:r>
              <m:t>θ</m:t>
            </m:r>
          </m:e>
          <m:sub>
            <m:r>
              <m:t>W</m:t>
            </m:r>
          </m:sub>
        </m:sSub>
      </m:oMath>
      <w:r>
        <w:t xml:space="preserve">, com probabilidade 0,4). Uma entrante decide se entra.</w:t>
      </w:r>
    </w:p>
    <w:p>
      <w:pPr>
        <w:pStyle w:val="Compact"/>
        <w:numPr>
          <w:ilvl w:val="0"/>
          <w:numId w:val="1479"/>
        </w:numPr>
      </w:pPr>
      <w:r>
        <w:t xml:space="preserve">Não entra: I obtém 10, E obtém 0.</w:t>
      </w:r>
    </w:p>
    <w:p>
      <w:pPr>
        <w:pStyle w:val="Compact"/>
        <w:numPr>
          <w:ilvl w:val="0"/>
          <w:numId w:val="1479"/>
        </w:numPr>
      </w:pPr>
      <w:r>
        <w:t xml:space="preserve">Entra + I forte: payoffs (3, –2).</w:t>
      </w:r>
    </w:p>
    <w:p>
      <w:pPr>
        <w:pStyle w:val="Compact"/>
        <w:numPr>
          <w:ilvl w:val="0"/>
          <w:numId w:val="1479"/>
        </w:numPr>
      </w:pPr>
      <w:r>
        <w:t xml:space="preserve">Entra + I fraca: payoffs (2, 4).</w:t>
      </w:r>
    </w:p>
    <w:p>
      <w:pPr>
        <w:numPr>
          <w:ilvl w:val="0"/>
          <w:numId w:val="1480"/>
        </w:numPr>
      </w:pPr>
      <w:r>
        <w:t xml:space="preserve">Calcule o lucro esperado de E se entrar.</w:t>
      </w:r>
    </w:p>
    <w:p>
      <w:pPr>
        <w:numPr>
          <w:ilvl w:val="0"/>
          <w:numId w:val="1480"/>
        </w:numPr>
      </w:pPr>
      <w:r>
        <w:t xml:space="preserve">Encontre o Equilíbrio de Nash Bayesiano.</w:t>
      </w:r>
    </w:p>
    <w:p>
      <w:pPr>
        <w:numPr>
          <w:ilvl w:val="0"/>
          <w:numId w:val="1480"/>
        </w:numPr>
      </w:pPr>
      <w:r>
        <w:t xml:space="preserve">I teria incentivo para sinalizar força? (Tema do Módulo 9d.)</w:t>
      </w:r>
    </w:p>
    <w:p>
      <w:pPr>
        <w:pStyle w:val="FirstParagraph"/>
      </w:pPr>
      <w:r>
        <w:t xml:space="preserve">Ver solução (Cap. 9)</w:t>
      </w:r>
    </w:p>
    <w:p>
      <w:r>
        <w:pict>
          <v:rect style="width:0;height:1.5pt" o:hralign="center" o:hrstd="t" o:hr="t"/>
        </w:pict>
      </w:r>
    </w:p>
    <w:p>
      <w:pPr>
        <w:pStyle w:val="FirstParagraph"/>
      </w:pPr>
      <w:r>
        <w:rPr>
          <w:b/>
          <w:bCs/>
        </w:rPr>
        <w:t xml:space="preserve">Exercício 9a.5.</w:t>
      </w:r>
      <w:r>
        <w:t xml:space="preserve"> </w:t>
      </w:r>
      <w:r>
        <w:t xml:space="preserve">(Sinalização — prévia do Módulo 9d) No modelo de Spence, trabalhadores têm produtividade</w:t>
      </w:r>
      <w:r>
        <w:t xml:space="preserve"> </w:t>
      </w:r>
      <m:oMath>
        <m:sSub>
          <m:e>
            <m:r>
              <m:t>θ</m:t>
            </m:r>
          </m:e>
          <m:sub>
            <m:r>
              <m:t>H</m:t>
            </m:r>
          </m:sub>
        </m:sSub>
        <m:r>
          <m:rPr>
            <m:sty m:val="p"/>
          </m:rPr>
          <m:t>=</m:t>
        </m:r>
        <m:r>
          <m:t>2</m:t>
        </m:r>
      </m:oMath>
      <w:r>
        <w:t xml:space="preserve"> </w:t>
      </w:r>
      <w:r>
        <w:t xml:space="preserve">(prob. 0,5) ou</w:t>
      </w:r>
      <w:r>
        <w:t xml:space="preserve"> </w:t>
      </w:r>
      <m:oMath>
        <m:sSub>
          <m:e>
            <m:r>
              <m:t>θ</m:t>
            </m:r>
          </m:e>
          <m:sub>
            <m:r>
              <m:t>L</m:t>
            </m:r>
          </m:sub>
        </m:sSub>
        <m:r>
          <m:rPr>
            <m:sty m:val="p"/>
          </m:rPr>
          <m:t>=</m:t>
        </m:r>
        <m:r>
          <m:t>1</m:t>
        </m:r>
      </m:oMath>
      <w:r>
        <w:t xml:space="preserve"> </w:t>
      </w:r>
      <w:r>
        <w:t xml:space="preserve">(prob. 0,5). O custo da educação é</w:t>
      </w:r>
      <w:r>
        <w:t xml:space="preserve"> </w:t>
      </w:r>
      <m:oMath>
        <m:r>
          <m:t>c</m:t>
        </m:r>
        <m:r>
          <m:rPr>
            <m:sty m:val="p"/>
          </m:rPr>
          <m:t>(</m:t>
        </m:r>
        <m:r>
          <m:t>e</m:t>
        </m:r>
        <m:r>
          <m:rPr>
            <m:sty m:val="p"/>
          </m:rPr>
          <m:t>,</m:t>
        </m:r>
        <m:r>
          <m:t>θ</m:t>
        </m:r>
        <m:r>
          <m:rPr>
            <m:sty m:val="p"/>
          </m:rPr>
          <m:t>)</m:t>
        </m:r>
        <m:r>
          <m:rPr>
            <m:sty m:val="p"/>
          </m:rPr>
          <m:t>=</m:t>
        </m:r>
        <m:r>
          <m:t>e</m:t>
        </m:r>
        <m:r>
          <m:rPr>
            <m:sty m:val="p"/>
          </m:rPr>
          <m:t>/</m:t>
        </m:r>
        <m:r>
          <m:t>θ</m:t>
        </m:r>
      </m:oMath>
      <w:r>
        <w:t xml:space="preserve">. Encontre um equilíbrio separador e verifique que nenhum tipo desvia.</w:t>
      </w:r>
    </w:p>
    <w:p>
      <w:pPr>
        <w:pStyle w:val="BodyText"/>
      </w:pPr>
      <w:r>
        <w:t xml:space="preserve">Ver solução (Cap. 9)</w:t>
      </w:r>
    </w:p>
    <w:p>
      <w:r>
        <w:pict>
          <v:rect style="width:0;height:1.5pt" o:hralign="center" o:hrstd="t" o:hr="t"/>
        </w:pict>
      </w:r>
    </w:p>
    <w:p>
      <w:pPr>
        <w:pStyle w:val="FirstParagraph"/>
      </w:pPr>
      <w:r>
        <w:rPr>
          <w:b/>
          <w:bCs/>
        </w:rPr>
        <w:t xml:space="preserve">Exercício 9a.6.</w:t>
      </w:r>
      <w:r>
        <w:t xml:space="preserve"> </w:t>
      </w:r>
      <w:r>
        <w:rPr>
          <w:i/>
          <w:iCs/>
        </w:rPr>
        <w:t xml:space="preserve">(Fácil — equilíbrios de Nash em jogo 2×2)</w:t>
      </w:r>
      <w:r>
        <w:t xml:space="preserve"> </w:t>
      </w:r>
      <w:r>
        <w:t xml:space="preserve">Considere o seguinte jogo simultâneo: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Jogador 2: X</w:t>
            </w:r>
          </w:p>
        </w:tc>
        <w:tc>
          <w:tcPr/>
          <w:p>
            <w:pPr>
              <w:pStyle w:val="Compact"/>
              <w:jc w:val="center"/>
            </w:pPr>
            <w:r>
              <w:t xml:space="preserve">Jogador 2: Y</w:t>
            </w:r>
          </w:p>
        </w:tc>
      </w:tr>
      <w:tr>
        <w:tc>
          <w:tcPr/>
          <w:p>
            <w:pPr>
              <w:pStyle w:val="Compact"/>
              <w:jc w:val="left"/>
            </w:pPr>
            <w:r>
              <w:rPr>
                <w:b/>
                <w:bCs/>
              </w:rPr>
              <w:t xml:space="preserve">Jogador 1: A</w:t>
            </w:r>
          </w:p>
        </w:tc>
        <w:tc>
          <w:tcPr/>
          <w:p>
            <w:pPr>
              <w:pStyle w:val="Compact"/>
              <w:jc w:val="center"/>
            </w:pPr>
            <m:oMath>
              <m:r>
                <m:rPr>
                  <m:sty m:val="p"/>
                </m:rPr>
                <m:t>(</m:t>
              </m:r>
              <m:r>
                <m:t>5</m:t>
              </m:r>
              <m:r>
                <m:rPr>
                  <m:sty m:val="p"/>
                </m:rPr>
                <m:t>,</m:t>
              </m:r>
              <m:r>
                <m:t>4</m:t>
              </m:r>
              <m:r>
                <m:rPr>
                  <m:sty m:val="p"/>
                </m:rPr>
                <m:t>)</m:t>
              </m:r>
            </m:oMath>
          </w:p>
        </w:tc>
        <w:tc>
          <w:tcPr/>
          <w:p>
            <w:pPr>
              <w:pStyle w:val="Compact"/>
              <w:jc w:val="center"/>
            </w:pPr>
            <m:oMath>
              <m:r>
                <m:rPr>
                  <m:sty m:val="p"/>
                </m:rPr>
                <m:t>(</m:t>
              </m:r>
              <m:r>
                <m:t>1</m:t>
              </m:r>
              <m:r>
                <m:rPr>
                  <m:sty m:val="p"/>
                </m:rPr>
                <m:t>,</m:t>
              </m:r>
              <m:r>
                <m:t>3</m:t>
              </m:r>
              <m:r>
                <m:rPr>
                  <m:sty m:val="p"/>
                </m:rPr>
                <m:t>)</m:t>
              </m:r>
            </m:oMath>
          </w:p>
        </w:tc>
      </w:tr>
      <w:tr>
        <w:tc>
          <w:tcPr/>
          <w:p>
            <w:pPr>
              <w:pStyle w:val="Compact"/>
              <w:jc w:val="left"/>
            </w:pPr>
            <w:r>
              <w:rPr>
                <w:b/>
                <w:bCs/>
              </w:rPr>
              <w:t xml:space="preserve">Jogador 1: B</w:t>
            </w:r>
          </w:p>
        </w:tc>
        <w:tc>
          <w:tcPr/>
          <w:p>
            <w:pPr>
              <w:pStyle w:val="Compact"/>
              <w:jc w:val="center"/>
            </w:pPr>
            <m:oMath>
              <m:r>
                <m:rPr>
                  <m:sty m:val="p"/>
                </m:rPr>
                <m:t>(</m:t>
              </m:r>
              <m:r>
                <m:t>2</m:t>
              </m:r>
              <m:r>
                <m:rPr>
                  <m:sty m:val="p"/>
                </m:rPr>
                <m:t>,</m:t>
              </m:r>
              <m:r>
                <m:t>6</m:t>
              </m:r>
              <m:r>
                <m:rPr>
                  <m:sty m:val="p"/>
                </m:rPr>
                <m:t>)</m:t>
              </m:r>
            </m:oMath>
          </w:p>
        </w:tc>
        <w:tc>
          <w:tcPr/>
          <w:p>
            <w:pPr>
              <w:pStyle w:val="Compact"/>
              <w:jc w:val="center"/>
            </w:pPr>
            <m:oMath>
              <m:r>
                <m:rPr>
                  <m:sty m:val="p"/>
                </m:rPr>
                <m:t>(</m:t>
              </m:r>
              <m:r>
                <m:t>4</m:t>
              </m:r>
              <m:r>
                <m:rPr>
                  <m:sty m:val="p"/>
                </m:rPr>
                <m:t>,</m:t>
              </m:r>
              <m:r>
                <m:t>2</m:t>
              </m:r>
              <m:r>
                <m:rPr>
                  <m:sty m:val="p"/>
                </m:rPr>
                <m:t>)</m:t>
              </m:r>
            </m:oMath>
          </w:p>
        </w:tc>
      </w:tr>
    </w:tbl>
    <w:p>
      <w:pPr>
        <w:numPr>
          <w:ilvl w:val="0"/>
          <w:numId w:val="1481"/>
        </w:numPr>
      </w:pPr>
      <w:r>
        <w:t xml:space="preserve">Há estratégias estritamente dominantes? Justifique para cada jogador.</w:t>
      </w:r>
    </w:p>
    <w:p>
      <w:pPr>
        <w:numPr>
          <w:ilvl w:val="0"/>
          <w:numId w:val="1481"/>
        </w:numPr>
      </w:pPr>
      <w:r>
        <w:t xml:space="preserve">Encontre todos os equilíbrios de Nash em estratégias puras utilizando o método das melhores respostas (sublinhado de payoffs).</w:t>
      </w:r>
    </w:p>
    <w:p>
      <w:pPr>
        <w:numPr>
          <w:ilvl w:val="0"/>
          <w:numId w:val="1481"/>
        </w:numPr>
      </w:pPr>
      <w:r>
        <w:t xml:space="preserve">Mostre que os equilíbrios encontrados satisfazem a definição formal de Nash: nenhum jogador deseja desviar unilateralmente.</w:t>
      </w:r>
    </w:p>
    <w:p>
      <w:pPr>
        <w:pStyle w:val="FirstParagraph"/>
      </w:pPr>
      <w:r>
        <w:t xml:space="preserve">Ver solução (Cap. 9)</w:t>
      </w:r>
    </w:p>
    <w:p>
      <w:r>
        <w:pict>
          <v:rect style="width:0;height:1.5pt" o:hralign="center" o:hrstd="t" o:hr="t"/>
        </w:pict>
      </w:r>
    </w:p>
    <w:p>
      <w:pPr>
        <w:pStyle w:val="FirstParagraph"/>
      </w:pPr>
      <w:r>
        <w:rPr>
          <w:b/>
          <w:bCs/>
        </w:rPr>
        <w:t xml:space="preserve">Exercício 9a.7.</w:t>
      </w:r>
      <w:r>
        <w:t xml:space="preserve"> </w:t>
      </w:r>
      <w:r>
        <w:rPr>
          <w:i/>
          <w:iCs/>
        </w:rPr>
        <w:t xml:space="preserve">(Fácil — duopólio de Cournot com demanda linear)</w:t>
      </w:r>
      <w:r>
        <w:t xml:space="preserve"> </w:t>
      </w:r>
      <w:r>
        <w:t xml:space="preserve">Duas firmas competem à la Cournot em um mercado com demanda inversa</w:t>
      </w:r>
      <w:r>
        <w:t xml:space="preserve"> </w:t>
      </w:r>
      <m:oMath>
        <m:r>
          <m:t>P</m:t>
        </m:r>
        <m:r>
          <m:rPr>
            <m:sty m:val="p"/>
          </m:rPr>
          <m:t>(</m:t>
        </m:r>
        <m:r>
          <m:t>Q</m:t>
        </m:r>
        <m:r>
          <m:rPr>
            <m:sty m:val="p"/>
          </m:rPr>
          <m:t>)</m:t>
        </m:r>
        <m:r>
          <m:rPr>
            <m:sty m:val="p"/>
          </m:rPr>
          <m:t>=</m:t>
        </m:r>
        <m:r>
          <m:t>100</m:t>
        </m:r>
        <m:r>
          <m:rPr>
            <m:sty m:val="p"/>
          </m:rPr>
          <m:t>−</m:t>
        </m:r>
        <m:r>
          <m:t>Q</m:t>
        </m:r>
      </m:oMath>
      <w:r>
        <w:t xml:space="preserve">, onde</w:t>
      </w:r>
      <w:r>
        <w:t xml:space="preserve"> </w:t>
      </w:r>
      <m:oMath>
        <m:r>
          <m:t>Q</m:t>
        </m:r>
        <m:r>
          <m:rPr>
            <m:sty m:val="p"/>
          </m:rPr>
          <m:t>=</m:t>
        </m:r>
        <m:sSub>
          <m:e>
            <m:r>
              <m:t>q</m:t>
            </m:r>
          </m:e>
          <m:sub>
            <m:r>
              <m:t>1</m:t>
            </m:r>
          </m:sub>
        </m:sSub>
        <m:r>
          <m:rPr>
            <m:sty m:val="p"/>
          </m:rPr>
          <m:t>+</m:t>
        </m:r>
        <m:sSub>
          <m:e>
            <m:r>
              <m:t>q</m:t>
            </m:r>
          </m:e>
          <m:sub>
            <m:r>
              <m:t>2</m:t>
            </m:r>
          </m:sub>
        </m:sSub>
      </m:oMath>
      <w:r>
        <w:t xml:space="preserve">. A firma 1 tem custo marginal</w:t>
      </w:r>
      <w:r>
        <w:t xml:space="preserve"> </w:t>
      </w:r>
      <m:oMath>
        <m:sSub>
          <m:e>
            <m:r>
              <m:t>c</m:t>
            </m:r>
          </m:e>
          <m:sub>
            <m:r>
              <m:t>1</m:t>
            </m:r>
          </m:sub>
        </m:sSub>
        <m:r>
          <m:rPr>
            <m:sty m:val="p"/>
          </m:rPr>
          <m:t>=</m:t>
        </m:r>
        <m:r>
          <m:t>20</m:t>
        </m:r>
      </m:oMath>
      <w:r>
        <w:t xml:space="preserve"> </w:t>
      </w:r>
      <w:r>
        <w:t xml:space="preserve">e a firma 2 tem custo marginal</w:t>
      </w:r>
      <w:r>
        <w:t xml:space="preserve"> </w:t>
      </w:r>
      <m:oMath>
        <m:sSub>
          <m:e>
            <m:r>
              <m:t>c</m:t>
            </m:r>
          </m:e>
          <m:sub>
            <m:r>
              <m:t>2</m:t>
            </m:r>
          </m:sub>
        </m:sSub>
        <m:r>
          <m:rPr>
            <m:sty m:val="p"/>
          </m:rPr>
          <m:t>=</m:t>
        </m:r>
        <m:r>
          <m:t>20</m:t>
        </m:r>
      </m:oMath>
      <w:r>
        <w:t xml:space="preserve">.</w:t>
      </w:r>
    </w:p>
    <w:p>
      <w:pPr>
        <w:numPr>
          <w:ilvl w:val="0"/>
          <w:numId w:val="1482"/>
        </w:numPr>
      </w:pPr>
      <w:r>
        <w:t xml:space="preserve">Derive as funções de melhor resposta (reação) de cada firma.</w:t>
      </w:r>
    </w:p>
    <w:p>
      <w:pPr>
        <w:numPr>
          <w:ilvl w:val="0"/>
          <w:numId w:val="1482"/>
        </w:numPr>
      </w:pPr>
      <w:r>
        <w:t xml:space="preserve">Encontre o equilíbrio de Nash de Cournot</w:t>
      </w:r>
      <w:r>
        <w:t xml:space="preserve"> </w:t>
      </w:r>
      <m:oMath>
        <m:r>
          <m:rPr>
            <m:sty m:val="p"/>
          </m:rPr>
          <m:t>(</m:t>
        </m:r>
        <m:sSubSup>
          <m:e>
            <m:r>
              <m:t>q</m:t>
            </m:r>
          </m:e>
          <m:sub>
            <m:r>
              <m:t>1</m:t>
            </m:r>
          </m:sub>
          <m:sup>
            <m:r>
              <m:rPr>
                <m:sty m:val="p"/>
              </m:rPr>
              <m:t>*</m:t>
            </m:r>
          </m:sup>
        </m:sSubSup>
        <m:r>
          <m:rPr>
            <m:sty m:val="p"/>
          </m:rPr>
          <m:t>,</m:t>
        </m:r>
        <m:sSubSup>
          <m:e>
            <m:r>
              <m:t>q</m:t>
            </m:r>
          </m:e>
          <m:sub>
            <m:r>
              <m:t>2</m:t>
            </m:r>
          </m:sub>
          <m:sup>
            <m:r>
              <m:rPr>
                <m:sty m:val="p"/>
              </m:rPr>
              <m:t>*</m:t>
            </m:r>
          </m:sup>
        </m:sSubSup>
        <m:r>
          <m:rPr>
            <m:sty m:val="p"/>
          </m:rPr>
          <m:t>,</m:t>
        </m:r>
        <m:sSup>
          <m:e>
            <m:r>
              <m:t>P</m:t>
            </m:r>
          </m:e>
          <m:sup>
            <m:r>
              <m:rPr>
                <m:sty m:val="p"/>
              </m:rPr>
              <m:t>*</m:t>
            </m:r>
          </m:sup>
        </m:sSup>
        <m:r>
          <m:rPr>
            <m:sty m:val="p"/>
          </m:rPr>
          <m:t>)</m:t>
        </m:r>
      </m:oMath>
      <w:r>
        <w:t xml:space="preserve"> </w:t>
      </w:r>
      <w:r>
        <w:t xml:space="preserve">e os lucros de equilíbrio.</w:t>
      </w:r>
    </w:p>
    <w:p>
      <w:pPr>
        <w:numPr>
          <w:ilvl w:val="0"/>
          <w:numId w:val="1482"/>
        </w:numPr>
      </w:pPr>
      <w:r>
        <w:t xml:space="preserve">Se</w:t>
      </w:r>
      <w:r>
        <w:t xml:space="preserve"> </w:t>
      </w:r>
      <m:oMath>
        <m:r>
          <m:t>N</m:t>
        </m:r>
      </m:oMath>
      <w:r>
        <w:t xml:space="preserve"> </w:t>
      </w:r>
      <w:r>
        <w:t xml:space="preserve">firmas idênticas competem à la Cournot com os mesmos parâmetros, qual é o preço de equilíbrio para</w:t>
      </w:r>
      <w:r>
        <w:t xml:space="preserve"> </w:t>
      </w:r>
      <m:oMath>
        <m:r>
          <m:t>N</m:t>
        </m:r>
        <m:r>
          <m:rPr>
            <m:sty m:val="p"/>
          </m:rPr>
          <m:t>=</m:t>
        </m:r>
        <m:r>
          <m:t>1</m:t>
        </m:r>
      </m:oMath>
      <w:r>
        <w:t xml:space="preserve"> </w:t>
      </w:r>
      <w:r>
        <w:t xml:space="preserve">(monopólio),</w:t>
      </w:r>
      <w:r>
        <w:t xml:space="preserve"> </w:t>
      </w:r>
      <m:oMath>
        <m:r>
          <m:t>N</m:t>
        </m:r>
        <m:r>
          <m:rPr>
            <m:sty m:val="p"/>
          </m:rPr>
          <m:t>=</m:t>
        </m:r>
        <m:r>
          <m:t>2</m:t>
        </m:r>
      </m:oMath>
      <w:r>
        <w:t xml:space="preserve">,</w:t>
      </w:r>
      <w:r>
        <w:t xml:space="preserve"> </w:t>
      </w:r>
      <m:oMath>
        <m:r>
          <m:t>N</m:t>
        </m:r>
        <m:r>
          <m:rPr>
            <m:sty m:val="p"/>
          </m:rPr>
          <m:t>=</m:t>
        </m:r>
        <m:r>
          <m:t>5</m:t>
        </m:r>
      </m:oMath>
      <w:r>
        <w:t xml:space="preserve"> </w:t>
      </w:r>
      <w:r>
        <w:t xml:space="preserve">e</w:t>
      </w:r>
      <w:r>
        <w:t xml:space="preserve"> </w:t>
      </w:r>
      <m:oMath>
        <m:r>
          <m:t>N</m:t>
        </m:r>
        <m:r>
          <m:rPr>
            <m:sty m:val="p"/>
          </m:rPr>
          <m:t>→</m:t>
        </m:r>
        <m:r>
          <m:rPr>
            <m:sty m:val="p"/>
          </m:rPr>
          <m:t>∞</m:t>
        </m:r>
      </m:oMath>
      <w:r>
        <w:t xml:space="preserve">? Interprete.</w:t>
      </w:r>
    </w:p>
    <w:p>
      <w:pPr>
        <w:pStyle w:val="FirstParagraph"/>
      </w:pPr>
      <w:r>
        <w:t xml:space="preserve">Ver solução (Cap. 9)</w:t>
      </w:r>
    </w:p>
    <w:p>
      <w:r>
        <w:pict>
          <v:rect style="width:0;height:1.5pt" o:hralign="center" o:hrstd="t" o:hr="t"/>
        </w:pict>
      </w:r>
    </w:p>
    <w:p>
      <w:pPr>
        <w:pStyle w:val="FirstParagraph"/>
      </w:pPr>
      <w:r>
        <w:rPr>
          <w:b/>
          <w:bCs/>
        </w:rPr>
        <w:t xml:space="preserve">Exercício 9a.8.</w:t>
      </w:r>
      <w:r>
        <w:t xml:space="preserve"> </w:t>
      </w:r>
      <w:r>
        <w:rPr>
          <w:i/>
          <w:iCs/>
        </w:rPr>
        <w:t xml:space="preserve">(Médio — Bertrand com diferenciação de produto)</w:t>
      </w:r>
      <w:r>
        <w:t xml:space="preserve"> </w:t>
      </w:r>
      <w:r>
        <w:t xml:space="preserve">Duas firmas produzem bens diferenciados com demandas:</w:t>
      </w:r>
    </w:p>
    <w:p>
      <w:pPr>
        <w:pStyle w:val="BodyText"/>
      </w:pPr>
      <m:oMathPara>
        <m:oMathParaPr>
          <m:jc m:val="center"/>
        </m:oMathParaPr>
        <m:oMath>
          <m:sSub>
            <m:e>
              <m:r>
                <m:t>q</m:t>
              </m:r>
            </m:e>
            <m:sub>
              <m:r>
                <m:t>1</m:t>
              </m:r>
            </m:sub>
          </m:sSub>
          <m:r>
            <m:rPr>
              <m:sty m:val="p"/>
            </m:rPr>
            <m:t>=</m:t>
          </m:r>
          <m:r>
            <m:t>60</m:t>
          </m:r>
          <m:r>
            <m:rPr>
              <m:sty m:val="p"/>
            </m:rPr>
            <m:t>−</m:t>
          </m:r>
          <m:r>
            <m:t>2</m:t>
          </m:r>
          <m:sSub>
            <m:e>
              <m:r>
                <m:t>p</m:t>
              </m:r>
            </m:e>
            <m:sub>
              <m:r>
                <m:t>1</m:t>
              </m:r>
            </m:sub>
          </m:sSub>
          <m:r>
            <m:rPr>
              <m:sty m:val="p"/>
            </m:rPr>
            <m:t>+</m:t>
          </m:r>
          <m:sSub>
            <m:e>
              <m:r>
                <m:t>p</m:t>
              </m:r>
            </m:e>
            <m:sub>
              <m:r>
                <m:t>2</m:t>
              </m:r>
            </m:sub>
          </m:sSub>
          <m:r>
            <m:rPr>
              <m:sty m:val="p"/>
            </m:rPr>
            <m:t>,</m:t>
          </m:r>
          <m:r>
            <m:t>  </m:t>
          </m:r>
          <m:sSub>
            <m:e>
              <m:r>
                <m:t>q</m:t>
              </m:r>
            </m:e>
            <m:sub>
              <m:r>
                <m:t>2</m:t>
              </m:r>
            </m:sub>
          </m:sSub>
          <m:r>
            <m:rPr>
              <m:sty m:val="p"/>
            </m:rPr>
            <m:t>=</m:t>
          </m:r>
          <m:r>
            <m:t>60</m:t>
          </m:r>
          <m:r>
            <m:rPr>
              <m:sty m:val="p"/>
            </m:rPr>
            <m:t>−</m:t>
          </m:r>
          <m:r>
            <m:t>2</m:t>
          </m:r>
          <m:sSub>
            <m:e>
              <m:r>
                <m:t>p</m:t>
              </m:r>
            </m:e>
            <m:sub>
              <m:r>
                <m:t>2</m:t>
              </m:r>
            </m:sub>
          </m:sSub>
          <m:r>
            <m:rPr>
              <m:sty m:val="p"/>
            </m:rPr>
            <m:t>+</m:t>
          </m:r>
          <m:sSub>
            <m:e>
              <m:r>
                <m:t>p</m:t>
              </m:r>
            </m:e>
            <m:sub>
              <m:r>
                <m:t>1</m:t>
              </m:r>
            </m:sub>
          </m:sSub>
        </m:oMath>
      </m:oMathPara>
    </w:p>
    <w:p>
      <w:pPr>
        <w:pStyle w:val="FirstParagraph"/>
      </w:pPr>
      <w:r>
        <w:t xml:space="preserve">e custo marginal</w:t>
      </w:r>
      <w:r>
        <w:t xml:space="preserve"> </w:t>
      </w:r>
      <m:oMath>
        <m:r>
          <m:t>c</m:t>
        </m:r>
        <m:r>
          <m:rPr>
            <m:sty m:val="p"/>
          </m:rPr>
          <m:t>=</m:t>
        </m:r>
        <m:r>
          <m:t>10</m:t>
        </m:r>
      </m:oMath>
      <w:r>
        <w:t xml:space="preserve"> </w:t>
      </w:r>
      <w:r>
        <w:t xml:space="preserve">para ambas.</w:t>
      </w:r>
    </w:p>
    <w:p>
      <w:pPr>
        <w:numPr>
          <w:ilvl w:val="0"/>
          <w:numId w:val="1483"/>
        </w:numPr>
      </w:pPr>
      <w:r>
        <w:t xml:space="preserve">Derive a função de melhor resposta em preços de cada firma. As estratégias de preço são complementos ou substitutos estratégicos? Justifique economicamente.</w:t>
      </w:r>
    </w:p>
    <w:p>
      <w:pPr>
        <w:numPr>
          <w:ilvl w:val="0"/>
          <w:numId w:val="1483"/>
        </w:numPr>
      </w:pPr>
      <w:r>
        <w:t xml:space="preserve">Encontre o equilíbrio de Nash de Bertrand com diferenciação: preços, quantidades e lucros.</w:t>
      </w:r>
    </w:p>
    <w:p>
      <w:pPr>
        <w:numPr>
          <w:ilvl w:val="0"/>
          <w:numId w:val="1483"/>
        </w:numPr>
      </w:pPr>
      <w:r>
        <w:t xml:space="preserve">Mostre que os lucros de equilíbrio são positivos e compare com o resultado de Bertrand com produto homogêneo. O que determina a magnitude dos lucros?</w:t>
      </w:r>
    </w:p>
    <w:p>
      <w:pPr>
        <w:pStyle w:val="FirstParagraph"/>
      </w:pPr>
      <w:r>
        <w:t xml:space="preserve">Ver solução (Cap. 9)</w:t>
      </w:r>
    </w:p>
    <w:p>
      <w:r>
        <w:pict>
          <v:rect style="width:0;height:1.5pt" o:hralign="center" o:hrstd="t" o:hr="t"/>
        </w:pict>
      </w:r>
    </w:p>
    <w:p>
      <w:pPr>
        <w:pStyle w:val="FirstParagraph"/>
      </w:pPr>
      <w:r>
        <w:rPr>
          <w:b/>
          <w:bCs/>
        </w:rPr>
        <w:t xml:space="preserve">Exercício 9a.9.</w:t>
      </w:r>
      <w:r>
        <w:t xml:space="preserve"> </w:t>
      </w:r>
      <w:r>
        <w:rPr>
          <w:i/>
          <w:iCs/>
        </w:rPr>
        <w:t xml:space="preserve">(Médio — Brasil — CADE e análise de fusão via HHI de Cournot)</w:t>
      </w:r>
      <w:r>
        <w:t xml:space="preserve"> </w:t>
      </w:r>
      <w:r>
        <w:t xml:space="preserve">Três firmas idênticas competem à la Cournot em um mercado com demanda inversa</w:t>
      </w:r>
      <w:r>
        <w:t xml:space="preserve"> </w:t>
      </w:r>
      <m:oMath>
        <m:r>
          <m:t>P</m:t>
        </m:r>
        <m:r>
          <m:rPr>
            <m:sty m:val="p"/>
          </m:rPr>
          <m:t>(</m:t>
        </m:r>
        <m:r>
          <m:t>Q</m:t>
        </m:r>
        <m:r>
          <m:rPr>
            <m:sty m:val="p"/>
          </m:rPr>
          <m:t>)</m:t>
        </m:r>
        <m:r>
          <m:rPr>
            <m:sty m:val="p"/>
          </m:rPr>
          <m:t>=</m:t>
        </m:r>
        <m:r>
          <m:t>180</m:t>
        </m:r>
        <m:r>
          <m:rPr>
            <m:sty m:val="p"/>
          </m:rPr>
          <m:t>−</m:t>
        </m:r>
        <m:r>
          <m:t>Q</m:t>
        </m:r>
      </m:oMath>
      <w:r>
        <w:t xml:space="preserve"> </w:t>
      </w:r>
      <w:r>
        <w:t xml:space="preserve">e custo marginal</w:t>
      </w:r>
      <w:r>
        <w:t xml:space="preserve"> </w:t>
      </w:r>
      <m:oMath>
        <m:r>
          <m:t>c</m:t>
        </m:r>
        <m:r>
          <m:rPr>
            <m:sty m:val="p"/>
          </m:rPr>
          <m:t>=</m:t>
        </m:r>
        <m:r>
          <m:t>30</m:t>
        </m:r>
      </m:oMath>
      <w:r>
        <w:t xml:space="preserve">. O regulador (CADE) considera uma fusão entre as firmas 2 e 3, que formaria uma única firma com custo marginal</w:t>
      </w:r>
      <w:r>
        <w:t xml:space="preserve"> </w:t>
      </w:r>
      <m:oMath>
        <m:sSub>
          <m:e>
            <m:r>
              <m:t>c</m:t>
            </m:r>
          </m:e>
          <m:sub>
            <m:r>
              <m:t>M</m:t>
            </m:r>
          </m:sub>
        </m:sSub>
        <m:r>
          <m:rPr>
            <m:sty m:val="p"/>
          </m:rPr>
          <m:t>=</m:t>
        </m:r>
        <m:r>
          <m:t>30</m:t>
        </m:r>
      </m:oMath>
      <w:r>
        <w:t xml:space="preserve"> </w:t>
      </w:r>
      <w:r>
        <w:t xml:space="preserve">(sem ganho de eficiência).</w:t>
      </w:r>
    </w:p>
    <w:p>
      <w:pPr>
        <w:numPr>
          <w:ilvl w:val="0"/>
          <w:numId w:val="1484"/>
        </w:numPr>
      </w:pPr>
      <w:r>
        <w:t xml:space="preserve">Calcule o equilíbrio de Cournot pré-fusão: quantidades individuais, preço, lucros e HHI (Índice Herfindahl-Hirschman, definido como</w:t>
      </w:r>
      <w:r>
        <w:t xml:space="preserve"> </w:t>
      </w:r>
      <m:oMath>
        <m:r>
          <m:rPr>
            <m:nor/>
            <m:sty m:val="p"/>
          </m:rPr>
          <m:t>HHI</m:t>
        </m:r>
        <m:r>
          <m:rPr>
            <m:sty m:val="p"/>
          </m:rPr>
          <m:t>=</m:t>
        </m:r>
        <m:nary>
          <m:naryPr>
            <m:chr m:val="∑"/>
            <m:limLoc m:val="undOvr"/>
            <m:subHide m:val="off"/>
            <m:supHide m:val="off"/>
          </m:naryPr>
          <m:sub>
            <m:r>
              <m:t>i</m:t>
            </m:r>
            <m:r>
              <m:rPr>
                <m:sty m:val="p"/>
              </m:rPr>
              <m:t>=</m:t>
            </m:r>
            <m:r>
              <m:t>1</m:t>
            </m:r>
          </m:sub>
          <m:sup>
            <m:r>
              <m:t>N</m:t>
            </m:r>
          </m:sup>
          <m:e>
            <m:sSubSup>
              <m:e>
                <m:r>
                  <m:t>s</m:t>
                </m:r>
              </m:e>
              <m:sub>
                <m:r>
                  <m:t>i</m:t>
                </m:r>
              </m:sub>
              <m:sup>
                <m:r>
                  <m:t>2</m:t>
                </m:r>
              </m:sup>
            </m:sSubSup>
          </m:e>
        </m:nary>
        <m:r>
          <m:rPr>
            <m:sty m:val="p"/>
          </m:rPr>
          <m:t>×</m:t>
        </m:r>
        <m:r>
          <m:t>10000</m:t>
        </m:r>
      </m:oMath>
      <w:r>
        <w:t xml:space="preserve">, onde</w:t>
      </w:r>
      <w:r>
        <w:t xml:space="preserve"> </w:t>
      </w:r>
      <m:oMath>
        <m:sSub>
          <m:e>
            <m:r>
              <m:t>s</m:t>
            </m:r>
          </m:e>
          <m:sub>
            <m:r>
              <m:t>i</m:t>
            </m:r>
          </m:sub>
        </m:sSub>
      </m:oMath>
      <w:r>
        <w:t xml:space="preserve"> </w:t>
      </w:r>
      <w:r>
        <w:t xml:space="preserve">é o market share em decimal).</w:t>
      </w:r>
    </w:p>
    <w:p>
      <w:pPr>
        <w:numPr>
          <w:ilvl w:val="0"/>
          <w:numId w:val="1484"/>
        </w:numPr>
      </w:pPr>
      <w:r>
        <w:t xml:space="preserve">Calcule o equilíbrio de Cournot pós-fusão (duopólio com duas firmas, sendo uma delas a fusionada): quantidades, preço, lucros e HHI.</w:t>
      </w:r>
    </w:p>
    <w:p>
      <w:pPr>
        <w:numPr>
          <w:ilvl w:val="0"/>
          <w:numId w:val="1484"/>
        </w:numPr>
      </w:pPr>
      <w:r>
        <w:t xml:space="preserve">O CADE usa como limiar de preocupação um aumento de HHI (</w:t>
      </w:r>
      <m:oMath>
        <m:r>
          <m:rPr>
            <m:sty m:val="p"/>
          </m:rPr>
          <m:t>Δ</m:t>
        </m:r>
        <m:r>
          <m:rPr>
            <m:nor/>
            <m:sty m:val="p"/>
          </m:rPr>
          <m:t>HHI</m:t>
        </m:r>
      </m:oMath>
      <w:r>
        <w:t xml:space="preserve">) acima de 200 pontos em mercados com HHI pré-fusão acima de 1.500. A fusão deve ser aprovada, aprovada com restrições ou bloqueada? A fusão beneficia consumidores ou produtores?</w:t>
      </w:r>
    </w:p>
    <w:p>
      <w:pPr>
        <w:pStyle w:val="FirstParagraph"/>
      </w:pPr>
      <w:r>
        <w:t xml:space="preserve">Ver solução (Cap. 9)</w:t>
      </w:r>
    </w:p>
    <w:p>
      <w:r>
        <w:pict>
          <v:rect style="width:0;height:1.5pt" o:hralign="center" o:hrstd="t" o:hr="t"/>
        </w:pict>
      </w:r>
    </w:p>
    <w:p>
      <w:pPr>
        <w:pStyle w:val="FirstParagraph"/>
      </w:pPr>
      <w:r>
        <w:rPr>
          <w:b/>
          <w:bCs/>
        </w:rPr>
        <w:t xml:space="preserve">Exercício 9a.10.</w:t>
      </w:r>
      <w:r>
        <w:t xml:space="preserve"> </w:t>
      </w:r>
      <w:r>
        <w:rPr>
          <w:i/>
          <w:iCs/>
        </w:rPr>
        <w:t xml:space="preserve">(Difícil — equilíbrio em estratégias mistas em jogo 3×3)</w:t>
      </w:r>
      <w:r>
        <w:t xml:space="preserve"> </w:t>
      </w:r>
      <w:r>
        <w:t xml:space="preserve">Considere o seguinte jogo simultâneo de soma zero entre dois jogadores (os payoffs indicam o ganho do Jogador 1; o Jogador 2 obtém o negativo):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J2: L</w:t>
            </w:r>
          </w:p>
        </w:tc>
        <w:tc>
          <w:tcPr/>
          <w:p>
            <w:pPr>
              <w:pStyle w:val="Compact"/>
              <w:jc w:val="center"/>
            </w:pPr>
            <w:r>
              <w:t xml:space="preserve">J2: M</w:t>
            </w:r>
          </w:p>
        </w:tc>
        <w:tc>
          <w:tcPr/>
          <w:p>
            <w:pPr>
              <w:pStyle w:val="Compact"/>
              <w:jc w:val="center"/>
            </w:pPr>
            <w:r>
              <w:t xml:space="preserve">J2: R</w:t>
            </w:r>
          </w:p>
        </w:tc>
      </w:tr>
      <w:tr>
        <w:tc>
          <w:tcPr/>
          <w:p>
            <w:pPr>
              <w:pStyle w:val="Compact"/>
              <w:jc w:val="left"/>
            </w:pPr>
            <w:r>
              <w:rPr>
                <w:b/>
                <w:bCs/>
              </w:rPr>
              <w:t xml:space="preserve">J1: T</w:t>
            </w:r>
          </w:p>
        </w:tc>
        <w:tc>
          <w:tcPr/>
          <w:p>
            <w:pPr>
              <w:pStyle w:val="Compact"/>
              <w:jc w:val="center"/>
            </w:pPr>
            <m:oMath>
              <m:r>
                <m:t>3</m:t>
              </m:r>
            </m:oMath>
          </w:p>
        </w:tc>
        <w:tc>
          <w:tcPr/>
          <w:p>
            <w:pPr>
              <w:pStyle w:val="Compact"/>
              <w:jc w:val="center"/>
            </w:pPr>
            <m:oMath>
              <m:r>
                <m:rPr>
                  <m:sty m:val="p"/>
                </m:rPr>
                <m:t>−</m:t>
              </m:r>
              <m:r>
                <m:t>1</m:t>
              </m:r>
            </m:oMath>
          </w:p>
        </w:tc>
        <w:tc>
          <w:tcPr/>
          <w:p>
            <w:pPr>
              <w:pStyle w:val="Compact"/>
              <w:jc w:val="center"/>
            </w:pPr>
            <m:oMath>
              <m:r>
                <m:t>2</m:t>
              </m:r>
            </m:oMath>
          </w:p>
        </w:tc>
      </w:tr>
      <w:tr>
        <w:tc>
          <w:tcPr/>
          <w:p>
            <w:pPr>
              <w:pStyle w:val="Compact"/>
              <w:jc w:val="left"/>
            </w:pPr>
            <w:r>
              <w:rPr>
                <w:b/>
                <w:bCs/>
              </w:rPr>
              <w:t xml:space="preserve">J1: M</w:t>
            </w:r>
          </w:p>
        </w:tc>
        <w:tc>
          <w:tcPr/>
          <w:p>
            <w:pPr>
              <w:pStyle w:val="Compact"/>
              <w:jc w:val="center"/>
            </w:pPr>
            <m:oMath>
              <m:r>
                <m:rPr>
                  <m:sty m:val="p"/>
                </m:rPr>
                <m:t>−</m:t>
              </m:r>
              <m:r>
                <m:t>2</m:t>
              </m:r>
            </m:oMath>
          </w:p>
        </w:tc>
        <w:tc>
          <w:tcPr/>
          <w:p>
            <w:pPr>
              <w:pStyle w:val="Compact"/>
              <w:jc w:val="center"/>
            </w:pPr>
            <m:oMath>
              <m:r>
                <m:t>4</m:t>
              </m:r>
            </m:oMath>
          </w:p>
        </w:tc>
        <w:tc>
          <w:tcPr/>
          <w:p>
            <w:pPr>
              <w:pStyle w:val="Compact"/>
              <w:jc w:val="center"/>
            </w:pPr>
            <m:oMath>
              <m:r>
                <m:rPr>
                  <m:sty m:val="p"/>
                </m:rPr>
                <m:t>−</m:t>
              </m:r>
              <m:r>
                <m:t>1</m:t>
              </m:r>
            </m:oMath>
          </w:p>
        </w:tc>
      </w:tr>
      <w:tr>
        <w:tc>
          <w:tcPr/>
          <w:p>
            <w:pPr>
              <w:pStyle w:val="Compact"/>
              <w:jc w:val="left"/>
            </w:pPr>
            <w:r>
              <w:rPr>
                <w:b/>
                <w:bCs/>
              </w:rPr>
              <w:t xml:space="preserve">J1: B</w:t>
            </w:r>
          </w:p>
        </w:tc>
        <w:tc>
          <w:tcPr/>
          <w:p>
            <w:pPr>
              <w:pStyle w:val="Compact"/>
              <w:jc w:val="center"/>
            </w:pPr>
            <m:oMath>
              <m:r>
                <m:t>1</m:t>
              </m:r>
            </m:oMath>
          </w:p>
        </w:tc>
        <w:tc>
          <w:tcPr/>
          <w:p>
            <w:pPr>
              <w:pStyle w:val="Compact"/>
              <w:jc w:val="center"/>
            </w:pPr>
            <m:oMath>
              <m:r>
                <m:t>0</m:t>
              </m:r>
            </m:oMath>
          </w:p>
        </w:tc>
        <w:tc>
          <w:tcPr/>
          <w:p>
            <w:pPr>
              <w:pStyle w:val="Compact"/>
              <w:jc w:val="center"/>
            </w:pPr>
            <m:oMath>
              <m:r>
                <m:t>3</m:t>
              </m:r>
            </m:oMath>
          </w:p>
        </w:tc>
      </w:tr>
    </w:tbl>
    <w:p>
      <w:pPr>
        <w:numPr>
          <w:ilvl w:val="0"/>
          <w:numId w:val="1485"/>
        </w:numPr>
      </w:pPr>
      <w:r>
        <w:t xml:space="preserve">Verifique se existe alguma estratégia estritamente dominada para algum dos jogadores. Use a EIED para simplificar o jogo, se possível.</w:t>
      </w:r>
    </w:p>
    <w:p>
      <w:pPr>
        <w:numPr>
          <w:ilvl w:val="0"/>
          <w:numId w:val="1485"/>
        </w:numPr>
      </w:pPr>
      <w:r>
        <w:t xml:space="preserve">Após a EIED, encontre o equilíbrio em estratégias mistas do jogo reduzido. (Dica: em jogos de soma zero 2×2, o equilíbrio misto é determinado pelo princípio da indiferença aplicado a ambos os jogadores.)</w:t>
      </w:r>
    </w:p>
    <w:p>
      <w:pPr>
        <w:numPr>
          <w:ilvl w:val="0"/>
          <w:numId w:val="1485"/>
        </w:numPr>
      </w:pPr>
      <w:r>
        <w:t xml:space="preserve">Calcule o valor do jogo (payoff esperado do Jogador 1 no equilíbrio) e interprete economicamente.</w:t>
      </w:r>
    </w:p>
    <w:p>
      <w:pPr>
        <w:pStyle w:val="FirstParagraph"/>
      </w:pPr>
      <w:r>
        <w:t xml:space="preserve">Ver solução (Cap. 9)</w:t>
      </w:r>
    </w:p>
    <w:p>
      <w:r>
        <w:pict>
          <v:rect style="width:0;height:1.5pt" o:hralign="center" o:hrstd="t" o:hr="t"/>
        </w:pict>
      </w:r>
    </w:p>
    <w:bookmarkEnd w:id="493"/>
    <w:bookmarkStart w:id="494" w:name="vem-anpec-7"/>
    <w:p>
      <w:pPr>
        <w:pStyle w:val="Heading3"/>
      </w:pPr>
      <w:r>
        <w:t xml:space="preserve">Vem, ANPEC!</w:t>
      </w:r>
    </w:p>
    <w:p>
      <w:pPr>
        <w:pStyle w:val="BlockText"/>
      </w:pPr>
      <w:r>
        <w:rPr>
          <w:b/>
          <w:bCs/>
        </w:rPr>
        <w:t xml:space="preserve">[QUESTAO] ANPEC 2021 — Questão 11</w:t>
      </w:r>
    </w:p>
    <w:p>
      <w:pPr>
        <w:pStyle w:val="BlockText"/>
      </w:pPr>
      <w:r>
        <w:t xml:space="preserve">Com relação à Teoria dos Jogos, julgue os itens a seguir:</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A ordem em que estratégias fracamente dominadas são eliminadas é relevante, pois pode afetar o conjunto das estratégias sobreviventes.</w:t>
            </w:r>
          </w:p>
        </w:tc>
      </w:tr>
      <w:tr>
        <w:tc>
          <w:tcPr/>
          <w:p>
            <w:pPr>
              <w:pStyle w:val="Compact"/>
            </w:pPr>
            <w:r>
              <w:t xml:space="preserve">1</w:t>
            </w:r>
          </w:p>
        </w:tc>
        <w:tc>
          <w:tcPr/>
          <w:p>
            <w:pPr>
              <w:pStyle w:val="Compact"/>
            </w:pPr>
            <w:r>
              <w:t xml:space="preserve">No jogo abaixo, T, M, B são estratégias de J1 e E, C, D de J2. As estratégias racionalizáveis são T, M, E.</w:t>
            </w:r>
          </w:p>
        </w:tc>
      </w:tr>
    </w:tbl>
    <w:p>
      <w:pPr>
        <w:pStyle w:val="BlockText"/>
      </w:pPr>
      <w:r>
        <w:t xml:space="preserve">Jogo do Item 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J2: E</w:t>
            </w:r>
          </w:p>
        </w:tc>
        <w:tc>
          <w:tcPr/>
          <w:p>
            <w:pPr>
              <w:pStyle w:val="Compact"/>
              <w:jc w:val="center"/>
            </w:pPr>
            <w:r>
              <w:t xml:space="preserve">J2: C</w:t>
            </w:r>
          </w:p>
        </w:tc>
        <w:tc>
          <w:tcPr/>
          <w:p>
            <w:pPr>
              <w:pStyle w:val="Compact"/>
              <w:jc w:val="center"/>
            </w:pPr>
            <w:r>
              <w:t xml:space="preserve">J2: D</w:t>
            </w:r>
          </w:p>
        </w:tc>
      </w:tr>
      <w:tr>
        <w:tc>
          <w:tcPr/>
          <w:p>
            <w:pPr>
              <w:pStyle w:val="Compact"/>
              <w:jc w:val="left"/>
            </w:pPr>
            <w:r>
              <w:rPr>
                <w:b/>
                <w:bCs/>
              </w:rPr>
              <w:t xml:space="preserve">J1: T</w:t>
            </w:r>
          </w:p>
        </w:tc>
        <w:tc>
          <w:tcPr/>
          <w:p>
            <w:pPr>
              <w:pStyle w:val="Compact"/>
              <w:jc w:val="center"/>
            </w:pPr>
            <m:oMath>
              <m:r>
                <m:rPr>
                  <m:sty m:val="p"/>
                </m:rPr>
                <m:t>(</m:t>
              </m:r>
              <m:r>
                <m:t>2</m:t>
              </m:r>
              <m:r>
                <m:rPr>
                  <m:sty m:val="p"/>
                </m:rPr>
                <m:t>,</m:t>
              </m:r>
              <m:r>
                <m:t>0</m:t>
              </m:r>
              <m:r>
                <m:rPr>
                  <m:sty m:val="p"/>
                </m:rPr>
                <m:t>)</m:t>
              </m:r>
            </m:oMath>
          </w:p>
        </w:tc>
        <w:tc>
          <w:tcPr/>
          <w:p>
            <w:pPr>
              <w:pStyle w:val="Compact"/>
              <w:jc w:val="center"/>
            </w:pPr>
            <m:oMath>
              <m:r>
                <m:rPr>
                  <m:sty m:val="p"/>
                </m:rPr>
                <m:t>(</m:t>
              </m:r>
              <m:r>
                <m:t>1</m:t>
              </m:r>
              <m:r>
                <m:rPr>
                  <m:sty m:val="p"/>
                </m:rPr>
                <m:t>,</m:t>
              </m:r>
              <m:r>
                <m:t>1</m:t>
              </m:r>
              <m:r>
                <m:rPr>
                  <m:sty m:val="p"/>
                </m:rPr>
                <m:t>)</m:t>
              </m:r>
            </m:oMath>
          </w:p>
        </w:tc>
        <w:tc>
          <w:tcPr/>
          <w:p>
            <w:pPr>
              <w:pStyle w:val="Compact"/>
              <w:jc w:val="center"/>
            </w:pPr>
            <m:oMath>
              <m:r>
                <m:rPr>
                  <m:sty m:val="p"/>
                </m:rPr>
                <m:t>(</m:t>
              </m:r>
              <m:r>
                <m:t>4</m:t>
              </m:r>
              <m:r>
                <m:rPr>
                  <m:sty m:val="p"/>
                </m:rPr>
                <m:t>,</m:t>
              </m:r>
              <m:r>
                <m:t>2</m:t>
              </m:r>
              <m:r>
                <m:rPr>
                  <m:sty m:val="p"/>
                </m:rPr>
                <m:t>)</m:t>
              </m:r>
            </m:oMath>
          </w:p>
        </w:tc>
      </w:tr>
      <w:tr>
        <w:tc>
          <w:tcPr/>
          <w:p>
            <w:pPr>
              <w:pStyle w:val="Compact"/>
              <w:jc w:val="left"/>
            </w:pPr>
            <w:r>
              <w:rPr>
                <w:b/>
                <w:bCs/>
              </w:rPr>
              <w:t xml:space="preserve">J1: M</w:t>
            </w:r>
          </w:p>
        </w:tc>
        <w:tc>
          <w:tcPr/>
          <w:p>
            <w:pPr>
              <w:pStyle w:val="Compact"/>
              <w:jc w:val="center"/>
            </w:pPr>
            <m:oMath>
              <m:r>
                <m:rPr>
                  <m:sty m:val="p"/>
                </m:rPr>
                <m:t>(</m:t>
              </m:r>
              <m:r>
                <m:t>3</m:t>
              </m:r>
              <m:r>
                <m:rPr>
                  <m:sty m:val="p"/>
                </m:rPr>
                <m:t>,</m:t>
              </m:r>
              <m:r>
                <m:t>4</m:t>
              </m:r>
              <m:r>
                <m:rPr>
                  <m:sty m:val="p"/>
                </m:rPr>
                <m:t>)</m:t>
              </m:r>
            </m:oMath>
          </w:p>
        </w:tc>
        <w:tc>
          <w:tcPr/>
          <w:p>
            <w:pPr>
              <w:pStyle w:val="Compact"/>
              <w:jc w:val="center"/>
            </w:pPr>
            <m:oMath>
              <m:r>
                <m:rPr>
                  <m:sty m:val="p"/>
                </m:rPr>
                <m:t>(</m:t>
              </m:r>
              <m:r>
                <m:t>1</m:t>
              </m:r>
              <m:r>
                <m:rPr>
                  <m:sty m:val="p"/>
                </m:rPr>
                <m:t>,</m:t>
              </m:r>
              <m:r>
                <m:t>2</m:t>
              </m:r>
              <m:r>
                <m:rPr>
                  <m:sty m:val="p"/>
                </m:rPr>
                <m:t>)</m:t>
              </m:r>
            </m:oMath>
          </w:p>
        </w:tc>
        <w:tc>
          <w:tcPr/>
          <w:p>
            <w:pPr>
              <w:pStyle w:val="Compact"/>
              <w:jc w:val="center"/>
            </w:pPr>
            <m:oMath>
              <m:r>
                <m:rPr>
                  <m:sty m:val="p"/>
                </m:rPr>
                <m:t>(</m:t>
              </m:r>
              <m:r>
                <m:t>2</m:t>
              </m:r>
              <m:r>
                <m:rPr>
                  <m:sty m:val="p"/>
                </m:rPr>
                <m:t>,</m:t>
              </m:r>
              <m:r>
                <m:t>3</m:t>
              </m:r>
              <m:r>
                <m:rPr>
                  <m:sty m:val="p"/>
                </m:rPr>
                <m:t>)</m:t>
              </m:r>
            </m:oMath>
          </w:p>
        </w:tc>
      </w:tr>
      <w:tr>
        <w:tc>
          <w:tcPr/>
          <w:p>
            <w:pPr>
              <w:pStyle w:val="Compact"/>
              <w:jc w:val="left"/>
            </w:pPr>
            <w:r>
              <w:rPr>
                <w:b/>
                <w:bCs/>
              </w:rPr>
              <w:t xml:space="preserve">J1: B</w:t>
            </w:r>
          </w:p>
        </w:tc>
        <w:tc>
          <w:tcPr/>
          <w:p>
            <w:pPr>
              <w:pStyle w:val="Compact"/>
              <w:jc w:val="center"/>
            </w:pPr>
            <m:oMath>
              <m:r>
                <m:rPr>
                  <m:sty m:val="p"/>
                </m:rPr>
                <m:t>(</m:t>
              </m:r>
              <m:r>
                <m:t>1</m:t>
              </m:r>
              <m:r>
                <m:rPr>
                  <m:sty m:val="p"/>
                </m:rPr>
                <m:t>,</m:t>
              </m:r>
              <m:r>
                <m:t>3</m:t>
              </m:r>
              <m:r>
                <m:rPr>
                  <m:sty m:val="p"/>
                </m:rPr>
                <m:t>)</m:t>
              </m:r>
            </m:oMath>
          </w:p>
        </w:tc>
        <w:tc>
          <w:tcPr/>
          <w:p>
            <w:pPr>
              <w:pStyle w:val="Compact"/>
              <w:jc w:val="center"/>
            </w:pPr>
            <m:oMath>
              <m:r>
                <m:rPr>
                  <m:sty m:val="p"/>
                </m:rPr>
                <m:t>(</m:t>
              </m:r>
              <m:r>
                <m:t>0</m:t>
              </m:r>
              <m:r>
                <m:rPr>
                  <m:sty m:val="p"/>
                </m:rPr>
                <m:t>,</m:t>
              </m:r>
              <m:r>
                <m:t>2</m:t>
              </m:r>
              <m:r>
                <m:rPr>
                  <m:sty m:val="p"/>
                </m:rPr>
                <m:t>)</m:t>
              </m:r>
            </m:oMath>
          </w:p>
        </w:tc>
        <w:tc>
          <w:tcPr/>
          <w:p>
            <w:pPr>
              <w:pStyle w:val="Compact"/>
              <w:jc w:val="center"/>
            </w:pPr>
            <m:oMath>
              <m:r>
                <m:rPr>
                  <m:sty m:val="p"/>
                </m:rPr>
                <m:t>(</m:t>
              </m:r>
              <m:r>
                <m:t>3</m:t>
              </m:r>
              <m:r>
                <m:rPr>
                  <m:sty m:val="p"/>
                </m:rPr>
                <m:t>,</m:t>
              </m:r>
              <m:r>
                <m:t>0</m:t>
              </m:r>
              <m:r>
                <m:rPr>
                  <m:sty m:val="p"/>
                </m:rPr>
                <m:t>)</m:t>
              </m:r>
            </m:oMath>
          </w:p>
        </w:tc>
      </w:tr>
    </w:tbl>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2</w:t>
            </w:r>
          </w:p>
        </w:tc>
        <w:tc>
          <w:tcPr/>
          <w:p>
            <w:pPr>
              <w:pStyle w:val="Compact"/>
            </w:pPr>
            <w:r>
              <w:t xml:space="preserve">No equilíbrio de Nash em mistas do jogo abaixo, J1 joga T com probabilidade</w:t>
            </w:r>
            <w:r>
              <w:t xml:space="preserve"> </w:t>
            </w:r>
            <m:oMath>
              <m:r>
                <m:t>1</m:t>
              </m:r>
              <m:r>
                <m:rPr>
                  <m:sty m:val="p"/>
                </m:rPr>
                <m:t>/</m:t>
              </m:r>
              <m:r>
                <m:t>3</m:t>
              </m:r>
            </m:oMath>
            <w:r>
              <w:t xml:space="preserve"> </w:t>
            </w:r>
            <w:r>
              <w:t xml:space="preserve">e B com</w:t>
            </w:r>
            <w:r>
              <w:t xml:space="preserve"> </w:t>
            </w:r>
            <m:oMath>
              <m:r>
                <m:t>2</m:t>
              </m:r>
              <m:r>
                <m:rPr>
                  <m:sty m:val="p"/>
                </m:rPr>
                <m:t>/</m:t>
              </m:r>
              <m:r>
                <m:t>3</m:t>
              </m:r>
            </m:oMath>
            <w:r>
              <w:t xml:space="preserve">, J2 joga E com</w:t>
            </w:r>
            <w:r>
              <w:t xml:space="preserve"> </w:t>
            </w:r>
            <m:oMath>
              <m:r>
                <m:t>2</m:t>
              </m:r>
              <m:r>
                <m:rPr>
                  <m:sty m:val="p"/>
                </m:rPr>
                <m:t>/</m:t>
              </m:r>
              <m:r>
                <m:t>3</m:t>
              </m:r>
            </m:oMath>
            <w:r>
              <w:t xml:space="preserve"> </w:t>
            </w:r>
            <w:r>
              <w:t xml:space="preserve">e D com</w:t>
            </w:r>
            <w:r>
              <w:t xml:space="preserve"> </w:t>
            </w:r>
            <m:oMath>
              <m:r>
                <m:t>1</m:t>
              </m:r>
              <m:r>
                <m:rPr>
                  <m:sty m:val="p"/>
                </m:rPr>
                <m:t>/</m:t>
              </m:r>
              <m:r>
                <m:t>3</m:t>
              </m:r>
            </m:oMath>
            <w:r>
              <w:t xml:space="preserv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J2: E</w:t>
            </w:r>
          </w:p>
        </w:tc>
        <w:tc>
          <w:tcPr/>
          <w:p>
            <w:pPr>
              <w:pStyle w:val="Compact"/>
              <w:jc w:val="center"/>
            </w:pPr>
            <w:r>
              <w:t xml:space="preserve">J2: D</w:t>
            </w:r>
          </w:p>
        </w:tc>
      </w:tr>
      <w:tr>
        <w:tc>
          <w:tcPr/>
          <w:p>
            <w:pPr>
              <w:pStyle w:val="Compact"/>
              <w:jc w:val="left"/>
            </w:pPr>
            <w:r>
              <w:rPr>
                <w:b/>
                <w:bCs/>
              </w:rPr>
              <w:t xml:space="preserve">J1: T</w:t>
            </w:r>
          </w:p>
        </w:tc>
        <w:tc>
          <w:tcPr/>
          <w:p>
            <w:pPr>
              <w:pStyle w:val="Compact"/>
              <w:jc w:val="center"/>
            </w:pPr>
            <m:oMath>
              <m:r>
                <m:rPr>
                  <m:sty m:val="p"/>
                </m:rPr>
                <m:t>(</m:t>
              </m:r>
              <m:r>
                <m:t>2</m:t>
              </m:r>
              <m:r>
                <m:rPr>
                  <m:sty m:val="p"/>
                </m:rPr>
                <m:t>,</m:t>
              </m:r>
              <m:r>
                <m:t>0</m:t>
              </m:r>
              <m:r>
                <m:rPr>
                  <m:sty m:val="p"/>
                </m:rPr>
                <m:t>)</m:t>
              </m:r>
            </m:oMath>
          </w:p>
        </w:tc>
        <w:tc>
          <w:tcPr/>
          <w:p>
            <w:pPr>
              <w:pStyle w:val="Compact"/>
              <w:jc w:val="center"/>
            </w:pPr>
            <m:oMath>
              <m:r>
                <m:rPr>
                  <m:sty m:val="p"/>
                </m:rPr>
                <m:t>(</m:t>
              </m:r>
              <m:r>
                <m:t>4</m:t>
              </m:r>
              <m:r>
                <m:rPr>
                  <m:sty m:val="p"/>
                </m:rPr>
                <m:t>,</m:t>
              </m:r>
              <m:r>
                <m:t>2</m:t>
              </m:r>
              <m:r>
                <m:rPr>
                  <m:sty m:val="p"/>
                </m:rPr>
                <m:t>)</m:t>
              </m:r>
            </m:oMath>
          </w:p>
        </w:tc>
      </w:tr>
      <w:tr>
        <w:tc>
          <w:tcPr/>
          <w:p>
            <w:pPr>
              <w:pStyle w:val="Compact"/>
              <w:jc w:val="left"/>
            </w:pPr>
            <w:r>
              <w:rPr>
                <w:b/>
                <w:bCs/>
              </w:rPr>
              <w:t xml:space="preserve">J1: B</w:t>
            </w:r>
          </w:p>
        </w:tc>
        <w:tc>
          <w:tcPr/>
          <w:p>
            <w:pPr>
              <w:pStyle w:val="Compact"/>
              <w:jc w:val="center"/>
            </w:pPr>
            <m:oMath>
              <m:r>
                <m:rPr>
                  <m:sty m:val="p"/>
                </m:rPr>
                <m:t>(</m:t>
              </m:r>
              <m:r>
                <m:t>3</m:t>
              </m:r>
              <m:r>
                <m:rPr>
                  <m:sty m:val="p"/>
                </m:rPr>
                <m:t>,</m:t>
              </m:r>
              <m:r>
                <m:t>4</m:t>
              </m:r>
              <m:r>
                <m:rPr>
                  <m:sty m:val="p"/>
                </m:rPr>
                <m:t>)</m:t>
              </m:r>
            </m:oMath>
          </w:p>
        </w:tc>
        <w:tc>
          <w:tcPr/>
          <w:p>
            <w:pPr>
              <w:pStyle w:val="Compact"/>
              <w:jc w:val="center"/>
            </w:pPr>
            <m:oMath>
              <m:r>
                <m:rPr>
                  <m:sty m:val="p"/>
                </m:rPr>
                <m:t>(</m:t>
              </m:r>
              <m:r>
                <m:t>2</m:t>
              </m:r>
              <m:r>
                <m:rPr>
                  <m:sty m:val="p"/>
                </m:rPr>
                <m:t>,</m:t>
              </m:r>
              <m:r>
                <m:t>3</m:t>
              </m:r>
              <m:r>
                <m:rPr>
                  <m:sty m:val="p"/>
                </m:rPr>
                <m:t>)</m:t>
              </m:r>
            </m:oMath>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3</w:t>
            </w:r>
          </w:p>
        </w:tc>
        <w:tc>
          <w:tcPr/>
          <w:p>
            <w:pPr>
              <w:pStyle w:val="Compact"/>
            </w:pPr>
            <w:r>
              <w:t xml:space="preserve">No jogo abaixo existe um único equilíbrio de Nash em puras.</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J2: E</w:t>
            </w:r>
          </w:p>
        </w:tc>
        <w:tc>
          <w:tcPr/>
          <w:p>
            <w:pPr>
              <w:pStyle w:val="Compact"/>
              <w:jc w:val="center"/>
            </w:pPr>
            <w:r>
              <w:t xml:space="preserve">J2: D</w:t>
            </w:r>
          </w:p>
        </w:tc>
      </w:tr>
      <w:tr>
        <w:tc>
          <w:tcPr/>
          <w:p>
            <w:pPr>
              <w:pStyle w:val="Compact"/>
              <w:jc w:val="left"/>
            </w:pPr>
            <w:r>
              <w:rPr>
                <w:b/>
                <w:bCs/>
              </w:rPr>
              <w:t xml:space="preserve">J1: T</w:t>
            </w:r>
          </w:p>
        </w:tc>
        <w:tc>
          <w:tcPr/>
          <w:p>
            <w:pPr>
              <w:pStyle w:val="Compact"/>
              <w:jc w:val="center"/>
            </w:pPr>
            <m:oMath>
              <m:r>
                <m:rPr>
                  <m:sty m:val="p"/>
                </m:rPr>
                <m:t>(</m:t>
              </m:r>
              <m:r>
                <m:rPr>
                  <m:sty m:val="p"/>
                </m:rPr>
                <m:t>−</m:t>
              </m:r>
              <m:r>
                <m:t>1</m:t>
              </m:r>
              <m:r>
                <m:rPr>
                  <m:sty m:val="p"/>
                </m:rPr>
                <m:t>,</m:t>
              </m:r>
              <m:r>
                <m:rPr>
                  <m:sty m:val="p"/>
                </m:rPr>
                <m:t>−</m:t>
              </m:r>
              <m:r>
                <m:t>1</m:t>
              </m:r>
              <m:r>
                <m:rPr>
                  <m:sty m:val="p"/>
                </m:rPr>
                <m:t>)</m:t>
              </m:r>
            </m:oMath>
          </w:p>
        </w:tc>
        <w:tc>
          <w:tcPr/>
          <w:p>
            <w:pPr>
              <w:pStyle w:val="Compact"/>
              <w:jc w:val="center"/>
            </w:pPr>
            <m:oMath>
              <m:r>
                <m:rPr>
                  <m:sty m:val="p"/>
                </m:rPr>
                <m:t>(</m:t>
              </m:r>
              <m:r>
                <m:t>4</m:t>
              </m:r>
              <m:r>
                <m:rPr>
                  <m:sty m:val="p"/>
                </m:rPr>
                <m:t>,</m:t>
              </m:r>
              <m:r>
                <m:t>0</m:t>
              </m:r>
              <m:r>
                <m:rPr>
                  <m:sty m:val="p"/>
                </m:rPr>
                <m:t>)</m:t>
              </m:r>
            </m:oMath>
          </w:p>
        </w:tc>
      </w:tr>
      <w:tr>
        <w:tc>
          <w:tcPr/>
          <w:p>
            <w:pPr>
              <w:pStyle w:val="Compact"/>
              <w:jc w:val="left"/>
            </w:pPr>
            <w:r>
              <w:rPr>
                <w:b/>
                <w:bCs/>
              </w:rPr>
              <w:t xml:space="preserve">J1: B</w:t>
            </w:r>
          </w:p>
        </w:tc>
        <w:tc>
          <w:tcPr/>
          <w:p>
            <w:pPr>
              <w:pStyle w:val="Compact"/>
              <w:jc w:val="center"/>
            </w:pPr>
            <m:oMath>
              <m:r>
                <m:rPr>
                  <m:sty m:val="p"/>
                </m:rPr>
                <m:t>(</m:t>
              </m:r>
              <m:r>
                <m:t>0</m:t>
              </m:r>
              <m:r>
                <m:rPr>
                  <m:sty m:val="p"/>
                </m:rPr>
                <m:t>,</m:t>
              </m:r>
              <m:r>
                <m:t>4</m:t>
              </m:r>
              <m:r>
                <m:rPr>
                  <m:sty m:val="p"/>
                </m:rPr>
                <m:t>)</m:t>
              </m:r>
            </m:oMath>
          </w:p>
        </w:tc>
        <w:tc>
          <w:tcPr/>
          <w:p>
            <w:pPr>
              <w:pStyle w:val="Compact"/>
              <w:jc w:val="center"/>
            </w:pPr>
            <m:oMath>
              <m:r>
                <m:rPr>
                  <m:sty m:val="p"/>
                </m:rPr>
                <m:t>(</m:t>
              </m:r>
              <m:r>
                <m:t>2</m:t>
              </m:r>
              <m:r>
                <m:rPr>
                  <m:sty m:val="p"/>
                </m:rPr>
                <m:t>,</m:t>
              </m:r>
              <m:r>
                <m:t>2</m:t>
              </m:r>
              <m:r>
                <m:rPr>
                  <m:sty m:val="p"/>
                </m:rPr>
                <m:t>)</m:t>
              </m:r>
            </m:oMath>
          </w:p>
        </w:tc>
      </w:tr>
    </w:tbl>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4</w:t>
            </w:r>
          </w:p>
        </w:tc>
        <w:tc>
          <w:tcPr/>
          <w:p>
            <w:pPr>
              <w:pStyle w:val="Compact"/>
            </w:pPr>
            <w:r>
              <w:t xml:space="preserve">Todo jogo na forma normal possui um equilíbrio de Nash em estratégias mistas.</w:t>
            </w:r>
          </w:p>
        </w:tc>
      </w:tr>
    </w:tbl>
    <w:p>
      <w:pPr>
        <w:pStyle w:val="BlockText"/>
      </w:pPr>
      <w:r>
        <w:t xml:space="preserve">??? success</w:t>
      </w:r>
      <w:r>
        <w:t xml:space="preserve"> </w:t>
      </w:r>
      <w:r>
        <w:t xml:space="preserve">“Gabarito”</w:t>
      </w:r>
      <w:r>
        <w:t xml:space="preserve"> </w:t>
      </w:r>
      <w:r>
        <w:rPr>
          <w:b/>
          <w:bCs/>
        </w:rPr>
        <w:t xml:space="preserve">Respostas: 10100</w:t>
      </w:r>
    </w:p>
    <w:p>
      <w:pPr>
        <w:pStyle w:val="SourceCode"/>
      </w:pPr>
      <w:r>
        <w:rPr>
          <w:rStyle w:val="VerbatimChar"/>
        </w:rPr>
        <w:t xml:space="preserve">- **Item 0 — V:** Resultado clássico. Para estratégias **estritamente** dominadas, a ordem não importa. Para **fracamente** dominadas, a ordem pode alterar o conjunto sobrevivente.</w:t>
      </w:r>
      <w:r>
        <w:br/>
      </w:r>
      <w:r>
        <w:br/>
      </w:r>
      <w:r>
        <w:rPr>
          <w:rStyle w:val="VerbatimChar"/>
        </w:rPr>
        <w:t xml:space="preserve">- **Item 1 — F:** Eliminando B (estritamente dominada por T), resta o jogo 2×3. C é estritamente dominada por uma mistura de E e D para J2. Eliminando C, sobram $\{T, M\} \times \{E, D\}$ — nenhuma é dominada. As racionalizáveis são $\{T, M, E, D\}$, não apenas $\{T, M, E\}$.</w:t>
      </w:r>
      <w:r>
        <w:br/>
      </w:r>
      <w:r>
        <w:br/>
      </w:r>
      <w:r>
        <w:rPr>
          <w:rStyle w:val="VerbatimChar"/>
        </w:rPr>
        <w:t xml:space="preserve">- **Item 2 — V:** Para J2 ser indiferente: $U_2(E; p) = 4(1-p)$ e $U_2(D; p) = 2p + 3(1-p) = 3-p$. Igualando: $4-4p = 3-p \implies p = 1/3$. Para J1: $U_1(T; q) = 2q + 4(1-q) = 4-2q$ e $U_1(B; q) = 3q + 2(1-q) = 2+q$. Igualando: $4-2q = 2+q \implies q = 2/3$. Correto.</w:t>
      </w:r>
      <w:r>
        <w:br/>
      </w:r>
      <w:r>
        <w:br/>
      </w:r>
      <w:r>
        <w:rPr>
          <w:rStyle w:val="VerbatimChar"/>
        </w:rPr>
        <w:t xml:space="preserve">- **Item 3 — F:** Existem **dois** EN em puras: $(T, D)$ com payoffs $(4, 0)$ e $(B, E)$ com payoffs $(0, 4)$.</w:t>
      </w:r>
      <w:r>
        <w:br/>
      </w:r>
      <w:r>
        <w:br/>
      </w:r>
      <w:r>
        <w:rPr>
          <w:rStyle w:val="VerbatimChar"/>
        </w:rPr>
        <w:t xml:space="preserve">- **Item 4 — F:** O Teorema de Nash garante existência para jogos **finitos**. Jogos com espaços infinitos de estratégias podem não ter equilíbrio sem condições adicionais (compacidade, continuidade — Teorema de Glicksberg).</w:t>
      </w:r>
    </w:p>
    <w:p>
      <w:pPr>
        <w:pStyle w:val="BlockText"/>
      </w:pPr>
      <w:r>
        <w:rPr>
          <w:b/>
          <w:bCs/>
        </w:rPr>
        <w:t xml:space="preserve">[QUESTAO] ANPEC 2022 — Questão 11</w:t>
      </w:r>
    </w:p>
    <w:p>
      <w:pPr>
        <w:pStyle w:val="BlockText"/>
      </w:pPr>
      <w:r>
        <w:t xml:space="preserve">Com relação ao oligopólio, julgue os itens: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Em um Duopólio de Cournot com</w:t>
            </w:r>
            <w:r>
              <w:t xml:space="preserve"> </w:t>
            </w:r>
            <m:oMath>
              <m:sSub>
                <m:e>
                  <m:r>
                    <m:t>c</m:t>
                  </m:r>
                </m:e>
                <m:sub>
                  <m:r>
                    <m:t>1</m:t>
                  </m:r>
                </m:sub>
              </m:sSub>
              <m:r>
                <m:rPr>
                  <m:sty m:val="p"/>
                </m:rPr>
                <m:t>(</m:t>
              </m:r>
              <m:sSub>
                <m:e>
                  <m:r>
                    <m:t>q</m:t>
                  </m:r>
                </m:e>
                <m:sub>
                  <m:r>
                    <m:t>1</m:t>
                  </m:r>
                </m:sub>
              </m:sSub>
              <m:r>
                <m:rPr>
                  <m:sty m:val="p"/>
                </m:rPr>
                <m:t>)</m:t>
              </m:r>
              <m:r>
                <m:rPr>
                  <m:sty m:val="p"/>
                </m:rPr>
                <m:t>=</m:t>
              </m:r>
              <m:sSubSup>
                <m:e>
                  <m:r>
                    <m:t>q</m:t>
                  </m:r>
                </m:e>
                <m:sub>
                  <m:r>
                    <m:t>1</m:t>
                  </m:r>
                </m:sub>
                <m:sup>
                  <m:r>
                    <m:t>2</m:t>
                  </m:r>
                </m:sup>
              </m:sSubSup>
              <m:r>
                <m:rPr>
                  <m:sty m:val="p"/>
                </m:rPr>
                <m:t>/</m:t>
              </m:r>
              <m:r>
                <m:t>2</m:t>
              </m:r>
            </m:oMath>
            <w:r>
              <w:t xml:space="preserve">,</w:t>
            </w:r>
            <w:r>
              <w:t xml:space="preserve"> </w:t>
            </w:r>
            <m:oMath>
              <m:sSub>
                <m:e>
                  <m:r>
                    <m:t>c</m:t>
                  </m:r>
                </m:e>
                <m:sub>
                  <m:r>
                    <m:t>2</m:t>
                  </m:r>
                </m:sub>
              </m:sSub>
              <m:r>
                <m:rPr>
                  <m:sty m:val="p"/>
                </m:rPr>
                <m:t>(</m:t>
              </m:r>
              <m:sSub>
                <m:e>
                  <m:r>
                    <m:t>q</m:t>
                  </m:r>
                </m:e>
                <m:sub>
                  <m:r>
                    <m:t>2</m:t>
                  </m:r>
                </m:sub>
              </m:sSub>
              <m:r>
                <m:rPr>
                  <m:sty m:val="p"/>
                </m:rPr>
                <m:t>)</m:t>
              </m:r>
              <m:r>
                <m:rPr>
                  <m:sty m:val="p"/>
                </m:rPr>
                <m:t>=</m:t>
              </m:r>
              <m:sSubSup>
                <m:e>
                  <m:r>
                    <m:t>q</m:t>
                  </m:r>
                </m:e>
                <m:sub>
                  <m:r>
                    <m:t>2</m:t>
                  </m:r>
                </m:sub>
                <m:sup>
                  <m:r>
                    <m:t>2</m:t>
                  </m:r>
                </m:sup>
              </m:sSubSup>
            </m:oMath>
            <w:r>
              <w:t xml:space="preserve"> </w:t>
            </w:r>
            <w:r>
              <w:t xml:space="preserve">e</w:t>
            </w:r>
            <w:r>
              <w:t xml:space="preserve"> </w:t>
            </w:r>
            <m:oMath>
              <m:r>
                <m:t>P</m:t>
              </m:r>
              <m:r>
                <m:rPr>
                  <m:sty m:val="p"/>
                </m:rPr>
                <m:t>(</m:t>
              </m:r>
              <m:r>
                <m:t>Q</m:t>
              </m:r>
              <m:r>
                <m:rPr>
                  <m:sty m:val="p"/>
                </m:rPr>
                <m:t>)</m:t>
              </m:r>
              <m:r>
                <m:rPr>
                  <m:sty m:val="p"/>
                </m:rPr>
                <m:t>=</m:t>
              </m:r>
              <m:r>
                <m:t>11</m:t>
              </m:r>
              <m:r>
                <m:rPr>
                  <m:sty m:val="p"/>
                </m:rPr>
                <m:t>−</m:t>
              </m:r>
              <m:r>
                <m:t>Q</m:t>
              </m:r>
            </m:oMath>
            <w:r>
              <w:t xml:space="preserve">, o equilíbrio é</w:t>
            </w:r>
            <w:r>
              <w:t xml:space="preserve"> </w:t>
            </w:r>
            <m:oMath>
              <m:r>
                <m:rPr>
                  <m:sty m:val="p"/>
                </m:rPr>
                <m:t>(</m:t>
              </m:r>
              <m:sSubSup>
                <m:e>
                  <m:r>
                    <m:t>q</m:t>
                  </m:r>
                </m:e>
                <m:sub>
                  <m:r>
                    <m:t>1</m:t>
                  </m:r>
                </m:sub>
                <m:sup>
                  <m:r>
                    <m:rPr>
                      <m:sty m:val="p"/>
                    </m:rPr>
                    <m:t>*</m:t>
                  </m:r>
                </m:sup>
              </m:sSubSup>
              <m:r>
                <m:rPr>
                  <m:sty m:val="p"/>
                </m:rPr>
                <m:t>,</m:t>
              </m:r>
              <m:sSubSup>
                <m:e>
                  <m:r>
                    <m:t>q</m:t>
                  </m:r>
                </m:e>
                <m:sub>
                  <m:r>
                    <m:t>2</m:t>
                  </m:r>
                </m:sub>
                <m:sup>
                  <m:r>
                    <m:rPr>
                      <m:sty m:val="p"/>
                    </m:rPr>
                    <m:t>*</m:t>
                  </m:r>
                </m:sup>
              </m:sSubSup>
              <m:r>
                <m:rPr>
                  <m:sty m:val="p"/>
                </m:rPr>
                <m:t>;</m:t>
              </m:r>
              <m:sSup>
                <m:e>
                  <m:r>
                    <m:t>P</m:t>
                  </m:r>
                </m:e>
                <m:sup>
                  <m:r>
                    <m:rPr>
                      <m:sty m:val="p"/>
                    </m:rPr>
                    <m:t>*</m:t>
                  </m:r>
                </m:sup>
              </m:sSup>
              <m:r>
                <m:rPr>
                  <m:sty m:val="p"/>
                </m:rPr>
                <m:t>)</m:t>
              </m:r>
              <m:r>
                <m:rPr>
                  <m:sty m:val="p"/>
                </m:rPr>
                <m:t>=</m:t>
              </m:r>
              <m:r>
                <m:rPr>
                  <m:sty m:val="p"/>
                </m:rPr>
                <m:t>(</m:t>
              </m:r>
              <m:r>
                <m:t>3</m:t>
              </m:r>
              <m:r>
                <m:rPr>
                  <m:sty m:val="p"/>
                </m:rPr>
                <m:t>,</m:t>
              </m:r>
              <m:r>
                <m:t>2</m:t>
              </m:r>
              <m:r>
                <m:rPr>
                  <m:sty m:val="p"/>
                </m:rPr>
                <m:t>;</m:t>
              </m:r>
              <m:r>
                <m:t>6</m:t>
              </m:r>
              <m:r>
                <m:rPr>
                  <m:sty m:val="p"/>
                </m:rPr>
                <m:t>)</m:t>
              </m:r>
            </m:oMath>
            <w:r>
              <w:t xml:space="preserve">.</w:t>
            </w:r>
          </w:p>
        </w:tc>
      </w:tr>
      <w:tr>
        <w:tc>
          <w:tcPr/>
          <w:p>
            <w:pPr>
              <w:pStyle w:val="Compact"/>
            </w:pPr>
            <w:r>
              <w:t xml:space="preserve">1</w:t>
            </w:r>
          </w:p>
        </w:tc>
        <w:tc>
          <w:tcPr/>
          <w:p>
            <w:pPr>
              <w:pStyle w:val="Compact"/>
            </w:pPr>
            <w:r>
              <w:t xml:space="preserve">Ao comparar oligopolização pelo Índice de Lerner, a indústria mais oligopolizada tem necessariamente maior HHI.</w:t>
            </w:r>
          </w:p>
        </w:tc>
      </w:tr>
      <w:tr>
        <w:tc>
          <w:tcPr/>
          <w:p>
            <w:pPr>
              <w:pStyle w:val="Compact"/>
            </w:pPr>
            <w:r>
              <w:t xml:space="preserve">2</w:t>
            </w:r>
          </w:p>
        </w:tc>
        <w:tc>
          <w:tcPr/>
          <w:p>
            <w:pPr>
              <w:pStyle w:val="Compact"/>
            </w:pPr>
            <w:r>
              <w:t xml:space="preserve">No equilíbrio de Stackelberg, a seguidora lucra mais que em Cournot.</w:t>
            </w:r>
          </w:p>
        </w:tc>
      </w:tr>
      <w:tr>
        <w:tc>
          <w:tcPr/>
          <w:p>
            <w:pPr>
              <w:pStyle w:val="Compact"/>
            </w:pPr>
            <w:r>
              <w:t xml:space="preserve">3</w:t>
            </w:r>
          </w:p>
        </w:tc>
        <w:tc>
          <w:tcPr/>
          <w:p>
            <w:pPr>
              <w:pStyle w:val="Compact"/>
            </w:pPr>
            <w:r>
              <w:t xml:space="preserve">No equilíbrio de Stackelberg, a isoprofit da líder tangencia a curva de reação da seguidora.</w:t>
            </w:r>
          </w:p>
        </w:tc>
      </w:tr>
      <w:tr>
        <w:tc>
          <w:tcPr/>
          <w:p>
            <w:pPr>
              <w:pStyle w:val="Compact"/>
            </w:pPr>
            <w:r>
              <w:t xml:space="preserve">4</w:t>
            </w:r>
          </w:p>
        </w:tc>
        <w:tc>
          <w:tcPr/>
          <w:p>
            <w:pPr>
              <w:pStyle w:val="Compact"/>
            </w:pPr>
            <w:r>
              <w:t xml:space="preserve">Duopólio de Bertrand repetido infinitamente: se competir dá lucro 0, cartel dá 40 cada, desviar dá 200, então a menor taxa de desconto para sustentar o cartel com GRIM é</w:t>
            </w:r>
            <w:r>
              <w:t xml:space="preserve"> </w:t>
            </w:r>
            <m:oMath>
              <m:r>
                <m:t>δ</m:t>
              </m:r>
              <m:r>
                <m:rPr>
                  <m:sty m:val="p"/>
                </m:rPr>
                <m:t>=</m:t>
              </m:r>
              <m:r>
                <m:t>0</m:t>
              </m:r>
              <m:r>
                <m:rPr>
                  <m:sty m:val="p"/>
                </m:rPr>
                <m:t>,</m:t>
              </m:r>
              <m:r>
                <m:t>25</m:t>
              </m:r>
            </m:oMath>
            <w:r>
              <w:t xml:space="preserve">.</w:t>
            </w:r>
          </w:p>
        </w:tc>
      </w:tr>
    </w:tbl>
    <w:p>
      <w:pPr>
        <w:pStyle w:val="BlockText"/>
      </w:pPr>
      <w:r>
        <w:t xml:space="preserve">??? success</w:t>
      </w:r>
      <w:r>
        <w:t xml:space="preserve"> </w:t>
      </w:r>
      <w:r>
        <w:t xml:space="preserve">“Gabarito”</w:t>
      </w:r>
      <w:r>
        <w:t xml:space="preserve"> </w:t>
      </w:r>
      <w:r>
        <w:rPr>
          <w:b/>
          <w:bCs/>
        </w:rPr>
        <w:t xml:space="preserve">Respostas: 10010</w:t>
      </w:r>
    </w:p>
    <w:p>
      <w:pPr>
        <w:pStyle w:val="SourceCode"/>
      </w:pPr>
      <w:r>
        <w:rPr>
          <w:rStyle w:val="VerbatimChar"/>
        </w:rPr>
        <w:t xml:space="preserve">- **Item 0 — V:** Firma 1: CPO $11 - 2q_1 - q_2 - q_1 = 0 \implies q_1 = (11-q_2)/3$. Firma 2: CPO $11 - q_1 - 2q_2 - 2q_2 = 0 \implies q_2 = (11-q_1)/4$. Resolvendo: $q_1 = 3$, $q_2 = 2$, $P = 6$. ✓</w:t>
      </w:r>
      <w:r>
        <w:br/>
      </w:r>
      <w:r>
        <w:br/>
      </w:r>
      <w:r>
        <w:rPr>
          <w:rStyle w:val="VerbatimChar"/>
        </w:rPr>
        <w:t xml:space="preserve">- **Item 1 — F:** No Cournot, $L = \text{HHI}/|\varepsilon|$. Mesmo HHI pode gerar Lerner diferente se as elasticidades diferem.</w:t>
      </w:r>
      <w:r>
        <w:br/>
      </w:r>
      <w:r>
        <w:br/>
      </w:r>
      <w:r>
        <w:rPr>
          <w:rStyle w:val="VerbatimChar"/>
        </w:rPr>
        <w:t xml:space="preserve">- **Item 2 — F:** A seguidora produz **menos** que em Cournot e obtém lucro **menor**. (Confira na tabela comparativa da Seção 9a.5.)</w:t>
      </w:r>
      <w:r>
        <w:br/>
      </w:r>
      <w:r>
        <w:br/>
      </w:r>
      <w:r>
        <w:rPr>
          <w:rStyle w:val="VerbatimChar"/>
        </w:rPr>
        <w:t xml:space="preserve">- **Item 3 — V:** A líder maximiza lucro **ao longo** da curva de reação da seguidora — ponto de tangência com a isoprofit. (Visível na Figura 9a.4.)</w:t>
      </w:r>
      <w:r>
        <w:br/>
      </w:r>
      <w:r>
        <w:br/>
      </w:r>
      <w:r>
        <w:rPr>
          <w:rStyle w:val="VerbatimChar"/>
        </w:rPr>
        <w:t xml:space="preserve">- **Item 4 — F:** Condição: $40/(1-\delta) \geq 200 \implies \delta \geq 0{,}80$, não $0{,}25$.</w:t>
      </w:r>
    </w:p>
    <w:p>
      <w:r>
        <w:pict>
          <v:rect style="width:0;height:1.5pt" o:hralign="center" o:hrstd="t" o:hr="t"/>
        </w:pict>
      </w:r>
    </w:p>
    <w:p>
      <w:pPr>
        <w:pStyle w:val="BlockText"/>
      </w:pPr>
      <w:r>
        <w:rPr>
          <w:b/>
          <w:bCs/>
        </w:rPr>
        <w:t xml:space="preserve">[DICA] 🤖 Exercício com IA</w:t>
      </w:r>
    </w:p>
    <w:p>
      <w:pPr>
        <w:pStyle w:val="BlockText"/>
      </w:pPr>
      <w:r>
        <w:rPr>
          <w:b/>
          <w:bCs/>
        </w:rPr>
        <w:t xml:space="preserve">IA.2 — Equilíbrios de Nash: Puros e Mistos</w:t>
      </w:r>
    </w:p>
    <w:p>
      <w:pPr>
        <w:pStyle w:val="BlockText"/>
      </w:pPr>
      <w:r>
        <w:t xml:space="preserve">Use a IA para encontrar todos os equilíbrios de Nash (puros e mistos) do jogo com payoffs (U,L)=(3,1), (U,R)=(0,0), (D,L)=(0,0), (D,R)=(1,3). Depois, peça para a IA explicar por que o equilíbrio misto existe. Verifique se as probabilidades calculadas são corretas resolvendo o sistema de indiferença manualmente.</w:t>
      </w:r>
    </w:p>
    <w:p>
      <w:pPr>
        <w:pStyle w:val="BlockText"/>
      </w:pPr>
      <w:r>
        <w:t xml:space="preserve">Ver exercício completo</w:t>
      </w:r>
    </w:p>
    <w:bookmarkEnd w:id="494"/>
    <w:bookmarkEnd w:id="495"/>
    <w:bookmarkStart w:id="514" w:name="pesquisa-em-ação-8"/>
    <w:p>
      <w:pPr>
        <w:pStyle w:val="Heading2"/>
      </w:pPr>
      <w:r>
        <w:t xml:space="preserve">Pesquisa em Ação</w:t>
      </w:r>
    </w:p>
    <w:bookmarkStart w:id="501" w:name="pesquisa-em-ação-9"/>
    <w:p>
      <w:pPr>
        <w:pStyle w:val="Heading3"/>
      </w:pPr>
      <w:r>
        <w:t xml:space="preserve">Pesquisa em Ação</w:t>
      </w:r>
    </w:p>
    <w:p>
      <w:pPr>
        <w:pStyle w:val="BlockText"/>
      </w:pPr>
      <w:r>
        <w:rPr>
          <w:b/>
          <w:bCs/>
        </w:rPr>
        <w:t xml:space="preserve">[PESQUISA EM ACAO] Bresnahan, Timothy F.; Reiss, Peter C. (1991).</w:t>
      </w:r>
      <w:r>
        <w:rPr>
          <w:b/>
          <w:bCs/>
        </w:rPr>
        <w:t xml:space="preserve"> </w:t>
      </w:r>
      <w:hyperlink r:id="rId496">
        <w:r>
          <w:rPr>
            <w:rStyle w:val="Hyperlink"/>
            <w:b/>
            <w:bCs/>
          </w:rPr>
          <w:t xml:space="preserve">Entry and Competition in Concentrated Markets</w:t>
        </w:r>
      </w:hyperlink>
      <w:r>
        <w:rPr>
          <w:b/>
          <w:bCs/>
        </w:rPr>
        <w:t xml:space="preserve">.</w:t>
      </w:r>
      <w:r>
        <w:rPr>
          <w:b/>
          <w:bCs/>
        </w:rPr>
        <w:t xml:space="preserve"> </w:t>
      </w:r>
      <w:r>
        <w:rPr>
          <w:b/>
          <w:bCs/>
          <w:i/>
          <w:iCs/>
        </w:rPr>
        <w:t xml:space="preserve">Journal of Political Economy</w:t>
      </w:r>
      <w:r>
        <w:rPr>
          <w:b/>
          <w:bCs/>
        </w:rPr>
        <w:t xml:space="preserve">, 99(5), 977–1009.</w:t>
      </w:r>
    </w:p>
    <w:p>
      <w:pPr>
        <w:pStyle w:val="BlockText"/>
      </w:pPr>
      <w:r>
        <w:rPr>
          <w:b/>
          <w:bCs/>
        </w:rPr>
        <w:t xml:space="preserve">Pergunta central:</w:t>
      </w:r>
      <w:r>
        <w:t xml:space="preserve"> </w:t>
      </w:r>
      <w:r>
        <w:t xml:space="preserve">Quantas firmas são necessárias para que um mercado se torne efetivamente competitivo?</w:t>
      </w:r>
    </w:p>
    <w:p>
      <w:pPr>
        <w:pStyle w:val="BlockText"/>
      </w:pPr>
      <w:r>
        <w:rPr>
          <w:b/>
          <w:bCs/>
        </w:rPr>
        <w:t xml:space="preserve">Método:</w:t>
      </w:r>
      <w:r>
        <w:t xml:space="preserve"> </w:t>
      </w:r>
      <w:r>
        <w:t xml:space="preserve">Modelo econométrico de entrada em mercados locais geograficamente isolados nos EUA (cidades pequenas com 1 a 5 firmas), usando dados de cinco setores — médicos, dentistas, farmácias, encanadores e lojas de pneus. A ideia-chave: se o mercado precisa ser proporcionalmente maior para sustentar 3 firmas do que para 2, é porque a terceira firma reduz as margens.</w:t>
      </w:r>
    </w:p>
    <w:p>
      <w:pPr>
        <w:pStyle w:val="BlockText"/>
      </w:pPr>
      <w:r>
        <w:rPr>
          <w:b/>
          <w:bCs/>
        </w:rPr>
        <w:t xml:space="preserve">Resultado:</w:t>
      </w:r>
      <w:r>
        <w:t xml:space="preserve"> </w:t>
      </w:r>
      <w:r>
        <w:t xml:space="preserve">A transição de monopólio para duopólio e de duopólio para triopólio gera reduções significativas nas margens. A partir de 3 a 5 firmas, o tamanho por firma se estabiliza — a maior parte dos ganhos competitivos ocorre com as primeiras entrantes.</w:t>
      </w:r>
    </w:p>
    <w:p>
      <w:pPr>
        <w:pStyle w:val="BlockText"/>
      </w:pPr>
      <w:r>
        <w:rPr>
          <w:b/>
          <w:bCs/>
        </w:rPr>
        <w:t xml:space="preserve">Relevância:</w:t>
      </w:r>
      <w:r>
        <w:t xml:space="preserve"> </w:t>
      </w:r>
      <w:r>
        <w:t xml:space="preserve">Para o Brasil, os resultados têm implicações diretas para análise do CADE em atos de concentração. A metodologia é aplicável a mercados de combustíveis, farmácias e serviços de saúde no interior. O artigo testa empiricamente as previsões de Cournot e Bertrand (Seção 9a.5).</w:t>
      </w:r>
    </w:p>
    <w:p>
      <w:pPr>
        <w:pStyle w:val="BlockText"/>
      </w:pPr>
      <w:r>
        <w:rPr>
          <w:b/>
          <w:bCs/>
        </w:rPr>
        <w:t xml:space="preserve">[PESQUISA EM ACAO] Adams, Christopher P. (2025).</w:t>
      </w:r>
      <w:r>
        <w:rPr>
          <w:b/>
          <w:bCs/>
        </w:rPr>
        <w:t xml:space="preserve"> </w:t>
      </w:r>
      <w:r>
        <w:rPr>
          <w:b/>
          <w:bCs/>
          <w:i/>
          <w:iCs/>
        </w:rPr>
        <w:t xml:space="preserve">Game Theory for Applied Econometricians: Data Analytics with R</w:t>
      </w:r>
      <w:r>
        <w:rPr>
          <w:b/>
          <w:bCs/>
        </w:rPr>
        <w:t xml:space="preserve">. Boca Raton: CRC Press. Capítulos 1–5.</w:t>
      </w:r>
    </w:p>
    <w:p>
      <w:pPr>
        <w:pStyle w:val="BlockText"/>
      </w:pPr>
      <w:r>
        <w:rPr>
          <w:b/>
          <w:bCs/>
        </w:rPr>
        <w:t xml:space="preserve">Escopo:</w:t>
      </w:r>
      <w:r>
        <w:t xml:space="preserve"> </w:t>
      </w:r>
      <w:r>
        <w:t xml:space="preserve">Parte I do livro cobre jogos estáticos com informação completa — a matéria deste módulo — com ênfase em aplicações empíricas e análise de dados em R.</w:t>
      </w:r>
    </w:p>
    <w:p>
      <w:pPr>
        <w:pStyle w:val="BlockText"/>
      </w:pPr>
      <w:r>
        <w:rPr>
          <w:b/>
          <w:bCs/>
        </w:rPr>
        <w:t xml:space="preserve">Contribuição pedagógica:</w:t>
      </w:r>
      <w:r>
        <w:t xml:space="preserve"> </w:t>
      </w:r>
      <w:r>
        <w:t xml:space="preserve">Adams conecta cada conceito teórico a um dataset e um script R. O Capítulo 1 analisa o game show</w:t>
      </w:r>
      <w:r>
        <w:t xml:space="preserve"> </w:t>
      </w:r>
      <w:r>
        <w:rPr>
          <w:i/>
          <w:iCs/>
        </w:rPr>
        <w:t xml:space="preserve">Friend or Foe</w:t>
      </w:r>
      <w:r>
        <w:t xml:space="preserve"> </w:t>
      </w:r>
      <w:r>
        <w:t xml:space="preserve">(Dilema dos Prisioneiros com dinheiro real); o Capítulo 2 estuda entrada de firmas no mercado de pneus; o Capítulo 3 modela competição de hambúrgueres; o Capítulo 5 testa estratégias mistas com dados de pênaltis.</w:t>
      </w:r>
    </w:p>
    <w:p>
      <w:pPr>
        <w:pStyle w:val="BlockText"/>
      </w:pPr>
      <w:r>
        <w:rPr>
          <w:b/>
          <w:bCs/>
        </w:rPr>
        <w:t xml:space="preserve">Relevância:</w:t>
      </w:r>
      <w:r>
        <w:t xml:space="preserve"> </w:t>
      </w:r>
      <w:r>
        <w:t xml:space="preserve">Os R Boxes interativos deste módulo (9a.1 e 9a.2) são inspirados nos scripts de Adams, adaptados para execução no navegador via WebR. Os dados do pacote</w:t>
      </w:r>
      <w:r>
        <w:t xml:space="preserve"> </w:t>
      </w:r>
      <w:r>
        <w:rPr>
          <w:rStyle w:val="VerbatimChar"/>
        </w:rPr>
        <w:t xml:space="preserve">Ecdat</w:t>
      </w:r>
      <w:r>
        <w:t xml:space="preserve"> </w:t>
      </w:r>
      <w:r>
        <w:t xml:space="preserve">permitem que o leitor reproduza e modifique as análises sem instalar nada.</w:t>
      </w:r>
    </w:p>
    <w:p>
      <w:pPr>
        <w:pStyle w:val="BlockText"/>
      </w:pPr>
      <w:r>
        <w:rPr>
          <w:b/>
          <w:bCs/>
        </w:rPr>
        <w:t xml:space="preserve">[PESQUISA EM ACAO] Chiappori, Pierre-André; Levitt, Steven; Groseclose, Tim (2002).</w:t>
      </w:r>
      <w:r>
        <w:rPr>
          <w:b/>
          <w:bCs/>
        </w:rPr>
        <w:t xml:space="preserve"> </w:t>
      </w:r>
      <w:hyperlink r:id="rId497">
        <w:r>
          <w:rPr>
            <w:rStyle w:val="Hyperlink"/>
            <w:b/>
            <w:bCs/>
          </w:rPr>
          <w:t xml:space="preserve">Testing Mixed-Strategy Equilibria When Players Are Heterogeneous</w:t>
        </w:r>
      </w:hyperlink>
      <w:r>
        <w:rPr>
          <w:b/>
          <w:bCs/>
        </w:rPr>
        <w:t xml:space="preserve">.</w:t>
      </w:r>
      <w:r>
        <w:rPr>
          <w:b/>
          <w:bCs/>
        </w:rPr>
        <w:t xml:space="preserve"> </w:t>
      </w:r>
      <w:r>
        <w:rPr>
          <w:b/>
          <w:bCs/>
          <w:i/>
          <w:iCs/>
        </w:rPr>
        <w:t xml:space="preserve">American Economic Review</w:t>
      </w:r>
      <w:r>
        <w:rPr>
          <w:b/>
          <w:bCs/>
        </w:rPr>
        <w:t xml:space="preserve">, 92(4), 1138–1147.</w:t>
      </w:r>
    </w:p>
    <w:p>
      <w:pPr>
        <w:pStyle w:val="BlockText"/>
      </w:pPr>
      <w:r>
        <w:rPr>
          <w:b/>
          <w:bCs/>
        </w:rPr>
        <w:t xml:space="preserve">Pergunta central:</w:t>
      </w:r>
      <w:r>
        <w:t xml:space="preserve"> </w:t>
      </w:r>
      <w:r>
        <w:t xml:space="preserve">Os jogadores de futebol profissional jogam estratégias mistas consistentes com a teoria em cobranças de pênalti?</w:t>
      </w:r>
    </w:p>
    <w:p>
      <w:pPr>
        <w:pStyle w:val="BlockText"/>
      </w:pPr>
      <w:r>
        <w:rPr>
          <w:b/>
          <w:bCs/>
        </w:rPr>
        <w:t xml:space="preserve">Método:</w:t>
      </w:r>
      <w:r>
        <w:t xml:space="preserve"> </w:t>
      </w:r>
      <w:r>
        <w:t xml:space="preserve">Dados de 459 pênaltis da Série A italiana e da liga francesa. Cada cobrança é modelada como um jogo 2×2 (cobrador escolhe lado, goleiro escolhe lado). A teoria prevê que as taxas de sucesso devem ser iguais em todos os lados — caso contrário, o cobrador deveria ajustar suas probabilidades.</w:t>
      </w:r>
    </w:p>
    <w:p>
      <w:pPr>
        <w:pStyle w:val="BlockText"/>
      </w:pPr>
      <w:r>
        <w:rPr>
          <w:b/>
          <w:bCs/>
        </w:rPr>
        <w:t xml:space="preserve">Resultado:</w:t>
      </w:r>
      <w:r>
        <w:t xml:space="preserve"> </w:t>
      </w:r>
      <w:r>
        <w:t xml:space="preserve">As taxas de sucesso dos cobradores são estatisticamente indistinguíveis entre esquerda e direita, consistente com a teoria de estratégias mistas. Os cobradores não exibem padrões seriais exploráveis.</w:t>
      </w:r>
    </w:p>
    <w:p>
      <w:pPr>
        <w:pStyle w:val="BlockText"/>
      </w:pPr>
      <w:r>
        <w:rPr>
          <w:b/>
          <w:bCs/>
        </w:rPr>
        <w:t xml:space="preserve">Relevância:</w:t>
      </w:r>
      <w:r>
        <w:t xml:space="preserve"> </w:t>
      </w:r>
      <w:r>
        <w:t xml:space="preserve">Evidência empírica direta do princípio da indiferença (Seção 9a.4) em um contexto de alto incentivo financeiro.</w:t>
      </w:r>
    </w:p>
    <w:p>
      <w:pPr>
        <w:pStyle w:val="BlockText"/>
      </w:pPr>
      <w:r>
        <w:rPr>
          <w:b/>
          <w:bCs/>
        </w:rPr>
        <w:t xml:space="preserve">[PESQUISA EM ACAO] Kreps, David M.; Scheinkman, José A. (1983).</w:t>
      </w:r>
      <w:r>
        <w:rPr>
          <w:b/>
          <w:bCs/>
        </w:rPr>
        <w:t xml:space="preserve"> </w:t>
      </w:r>
      <w:hyperlink r:id="rId498">
        <w:r>
          <w:rPr>
            <w:rStyle w:val="Hyperlink"/>
            <w:b/>
            <w:bCs/>
          </w:rPr>
          <w:t xml:space="preserve">Quantity Precommitment and Bertrand Competition Yield Cournot Outcomes</w:t>
        </w:r>
      </w:hyperlink>
      <w:r>
        <w:rPr>
          <w:b/>
          <w:bCs/>
        </w:rPr>
        <w:t xml:space="preserve">.</w:t>
      </w:r>
      <w:r>
        <w:rPr>
          <w:b/>
          <w:bCs/>
        </w:rPr>
        <w:t xml:space="preserve"> </w:t>
      </w:r>
      <w:r>
        <w:rPr>
          <w:b/>
          <w:bCs/>
          <w:i/>
          <w:iCs/>
        </w:rPr>
        <w:t xml:space="preserve">Bell Journal of Economics</w:t>
      </w:r>
      <w:r>
        <w:rPr>
          <w:b/>
          <w:bCs/>
        </w:rPr>
        <w:t xml:space="preserve">, 14(2), 326–337.</w:t>
      </w:r>
    </w:p>
    <w:p>
      <w:pPr>
        <w:pStyle w:val="BlockText"/>
      </w:pPr>
      <w:r>
        <w:rPr>
          <w:b/>
          <w:bCs/>
        </w:rPr>
        <w:t xml:space="preserve">Pergunta central:</w:t>
      </w:r>
      <w:r>
        <w:t xml:space="preserve"> </w:t>
      </w:r>
      <w:r>
        <w:t xml:space="preserve">Por que o resultado de Cournot emerge em mercados em que as firmas podem competir em preços?</w:t>
      </w:r>
    </w:p>
    <w:p>
      <w:pPr>
        <w:pStyle w:val="BlockText"/>
      </w:pPr>
      <w:r>
        <w:rPr>
          <w:b/>
          <w:bCs/>
        </w:rPr>
        <w:t xml:space="preserve">Método:</w:t>
      </w:r>
      <w:r>
        <w:t xml:space="preserve"> </w:t>
      </w:r>
      <w:r>
        <w:t xml:space="preserve">Modelo de dois estágios: no primeiro estágio, firmas escolhem capacidade produtiva simultaneamente; no segundo, competem em preços à la Bertrand. Capacidade é interpretada como comprometimento de quantidade.</w:t>
      </w:r>
    </w:p>
    <w:p>
      <w:pPr>
        <w:pStyle w:val="BlockText"/>
      </w:pPr>
      <w:r>
        <w:rPr>
          <w:b/>
          <w:bCs/>
        </w:rPr>
        <w:t xml:space="preserve">Resultado:</w:t>
      </w:r>
      <w:r>
        <w:t xml:space="preserve"> </w:t>
      </w:r>
      <w:r>
        <w:t xml:space="preserve">O equilíbrio do jogo de dois estágios reproduz exatamente o resultado de Cournot. A intuição é elegante: dada a capacidade instalada no primeiro estágio, a competição em preços no segundo estágio não pode levar ao preço de custo marginal porque as firmas têm capacidade limitada — e isso garante margens positivas idênticas às de Cournot.</w:t>
      </w:r>
    </w:p>
    <w:p>
      <w:pPr>
        <w:pStyle w:val="BlockText"/>
      </w:pPr>
      <w:r>
        <w:rPr>
          <w:b/>
          <w:bCs/>
        </w:rPr>
        <w:t xml:space="preserve">Relevância:</w:t>
      </w:r>
      <w:r>
        <w:t xml:space="preserve"> </w:t>
      </w:r>
      <w:r>
        <w:t xml:space="preserve">Este artigo resolve o debate Cournot-Bertrand mostrando que os dois modelos são compatíveis quando se incorpora a decisão de capacidade como etapa anterior à precificação. A distinção entre variável estratégica de curto prazo (preço) e compromisso de longo prazo (capacidade) — discutida na Seção 9a.5 e aprofundada no Módulo 9b — é fundamental para a análise de fusões em setores intensivos em capital.</w:t>
      </w:r>
    </w:p>
    <w:p>
      <w:pPr>
        <w:pStyle w:val="BlockText"/>
      </w:pPr>
      <w:r>
        <w:rPr>
          <w:b/>
          <w:bCs/>
        </w:rPr>
        <w:t xml:space="preserve">[PESQUISA EM ACAO] Bajari, Patrick; Benkard, C. Lanier; Levin, Jonathan (2007).</w:t>
      </w:r>
      <w:r>
        <w:rPr>
          <w:b/>
          <w:bCs/>
        </w:rPr>
        <w:t xml:space="preserve"> </w:t>
      </w:r>
      <w:hyperlink r:id="rId499">
        <w:r>
          <w:rPr>
            <w:rStyle w:val="Hyperlink"/>
            <w:b/>
            <w:bCs/>
          </w:rPr>
          <w:t xml:space="preserve">Estimating Dynamic Models of Imperfect Competition</w:t>
        </w:r>
      </w:hyperlink>
      <w:r>
        <w:rPr>
          <w:b/>
          <w:bCs/>
        </w:rPr>
        <w:t xml:space="preserve">.</w:t>
      </w:r>
      <w:r>
        <w:rPr>
          <w:b/>
          <w:bCs/>
        </w:rPr>
        <w:t xml:space="preserve"> </w:t>
      </w:r>
      <w:r>
        <w:rPr>
          <w:b/>
          <w:bCs/>
          <w:i/>
          <w:iCs/>
        </w:rPr>
        <w:t xml:space="preserve">Econometrica</w:t>
      </w:r>
      <w:r>
        <w:rPr>
          <w:b/>
          <w:bCs/>
        </w:rPr>
        <w:t xml:space="preserve">, 75(5), 1331–1370.</w:t>
      </w:r>
    </w:p>
    <w:p>
      <w:pPr>
        <w:pStyle w:val="BlockText"/>
      </w:pPr>
      <w:r>
        <w:rPr>
          <w:b/>
          <w:bCs/>
        </w:rPr>
        <w:t xml:space="preserve">Pergunta central:</w:t>
      </w:r>
      <w:r>
        <w:t xml:space="preserve"> </w:t>
      </w:r>
      <w:r>
        <w:t xml:space="preserve">Como estimar estruturalmente modelos de oligopólio dinâmico sem impor restrições funcionais rígidas?</w:t>
      </w:r>
    </w:p>
    <w:p>
      <w:pPr>
        <w:pStyle w:val="BlockText"/>
      </w:pPr>
      <w:r>
        <w:rPr>
          <w:b/>
          <w:bCs/>
        </w:rPr>
        <w:t xml:space="preserve">Método:</w:t>
      </w:r>
      <w:r>
        <w:t xml:space="preserve"> </w:t>
      </w:r>
      <w:r>
        <w:t xml:space="preserve">Procedimento de estimação em dois estágios (BBL) para jogos dinâmicos de oligopólio. No primeiro estágio, estimam-se as políticas de decisão dos agentes de forma não-paramétrica diretamente dos dados. No segundo, recuperam-se os parâmetros estruturais (custos, payoffs) exigindo que as políticas observadas sejam consistentes com um equilíbrio de Markov perfeito.</w:t>
      </w:r>
    </w:p>
    <w:p>
      <w:pPr>
        <w:pStyle w:val="BlockText"/>
      </w:pPr>
      <w:r>
        <w:rPr>
          <w:b/>
          <w:bCs/>
        </w:rPr>
        <w:t xml:space="preserve">Resultado:</w:t>
      </w:r>
      <w:r>
        <w:t xml:space="preserve"> </w:t>
      </w:r>
      <w:r>
        <w:t xml:space="preserve">O método BBL é computacionalmente tratável mesmo para jogos com muitos estados — um avanço em relação aos métodos de programação dinâmica que exigem resolver explicitamente o equilíbrio. Aplicações empíricas cobrem mercados de cimento, companhias aéreas e varejo.</w:t>
      </w:r>
    </w:p>
    <w:p>
      <w:pPr>
        <w:pStyle w:val="BlockText"/>
      </w:pPr>
      <w:r>
        <w:rPr>
          <w:b/>
          <w:bCs/>
        </w:rPr>
        <w:t xml:space="preserve">Relevância:</w:t>
      </w:r>
      <w:r>
        <w:t xml:space="preserve"> </w:t>
      </w:r>
      <w:r>
        <w:t xml:space="preserve">A estimação de modelos estruturais de oligopólio é o instrumento de fronteira para análise antitruste quantitativa. O CADE e o DOJ americano utilizam abordagens próximas do BBL para simular os efeitos de fusões. Conecta a Seção 9a.5 (equilíbrio estático de Cournot e Bertrand) com os modelos dinâmicos dos Módulos 9b e 9d.</w:t>
      </w:r>
    </w:p>
    <w:p>
      <w:pPr>
        <w:pStyle w:val="BlockText"/>
      </w:pPr>
      <w:r>
        <w:rPr>
          <w:b/>
          <w:bCs/>
        </w:rPr>
        <w:t xml:space="preserve">[PESQUISA EM ACAO] Camerer, Colin F.; Ho, Teck-Hua (1999).</w:t>
      </w:r>
      <w:r>
        <w:rPr>
          <w:b/>
          <w:bCs/>
        </w:rPr>
        <w:t xml:space="preserve"> </w:t>
      </w:r>
      <w:hyperlink r:id="rId500">
        <w:r>
          <w:rPr>
            <w:rStyle w:val="Hyperlink"/>
            <w:b/>
            <w:bCs/>
          </w:rPr>
          <w:t xml:space="preserve">Experience-Weighted Attraction Learning in Normal Form Games</w:t>
        </w:r>
      </w:hyperlink>
      <w:r>
        <w:rPr>
          <w:b/>
          <w:bCs/>
        </w:rPr>
        <w:t xml:space="preserve">.</w:t>
      </w:r>
      <w:r>
        <w:rPr>
          <w:b/>
          <w:bCs/>
        </w:rPr>
        <w:t xml:space="preserve"> </w:t>
      </w:r>
      <w:r>
        <w:rPr>
          <w:b/>
          <w:bCs/>
          <w:i/>
          <w:iCs/>
        </w:rPr>
        <w:t xml:space="preserve">Econometrica</w:t>
      </w:r>
      <w:r>
        <w:rPr>
          <w:b/>
          <w:bCs/>
        </w:rPr>
        <w:t xml:space="preserve">, 67(4), 827–874.</w:t>
      </w:r>
    </w:p>
    <w:p>
      <w:pPr>
        <w:pStyle w:val="BlockText"/>
      </w:pPr>
      <w:r>
        <w:rPr>
          <w:b/>
          <w:bCs/>
        </w:rPr>
        <w:t xml:space="preserve">Pergunta central:</w:t>
      </w:r>
      <w:r>
        <w:t xml:space="preserve"> </w:t>
      </w:r>
      <w:r>
        <w:t xml:space="preserve">Como agentes reais aprendem a jogar equilíbrios de Nash ao longo de experiências repetidas?</w:t>
      </w:r>
    </w:p>
    <w:p>
      <w:pPr>
        <w:pStyle w:val="BlockText"/>
      </w:pPr>
      <w:r>
        <w:rPr>
          <w:b/>
          <w:bCs/>
        </w:rPr>
        <w:t xml:space="preserve">Método:</w:t>
      </w:r>
      <w:r>
        <w:t xml:space="preserve"> </w:t>
      </w:r>
      <w:r>
        <w:t xml:space="preserve">Modelo EWA (</w:t>
      </w:r>
      <w:r>
        <w:rPr>
          <w:i/>
          <w:iCs/>
        </w:rPr>
        <w:t xml:space="preserve">Experience-Weighted Attraction</w:t>
      </w:r>
      <w:r>
        <w:t xml:space="preserve">) que generaliza aprendizado por reforço e</w:t>
      </w:r>
      <w:r>
        <w:t xml:space="preserve"> </w:t>
      </w:r>
      <w:r>
        <w:rPr>
          <w:i/>
          <w:iCs/>
        </w:rPr>
        <w:t xml:space="preserve">fictitious play</w:t>
      </w:r>
      <w:r>
        <w:t xml:space="preserve"> </w:t>
      </w:r>
      <w:r>
        <w:t xml:space="preserve">em um único framework paramétrico. O modelo é estimado em dados de experimentos laboratoriais com jogos como Batalha dos Sexos, Dilema dos Prisioneiros e Matching Pennies com sujeitos humanos.</w:t>
      </w:r>
    </w:p>
    <w:p>
      <w:pPr>
        <w:pStyle w:val="BlockText"/>
      </w:pPr>
      <w:r>
        <w:rPr>
          <w:b/>
          <w:bCs/>
        </w:rPr>
        <w:t xml:space="preserve">Resultado:</w:t>
      </w:r>
      <w:r>
        <w:t xml:space="preserve"> </w:t>
      </w:r>
      <w:r>
        <w:t xml:space="preserve">O modelo EWA se ajusta melhor aos dados do que os modelos concorrentes em 7 dos 8 jogos testados. Em geral, as estratégias dos sujeitos convergem para o equilíbrio de Nash, mas o processo de convergência é lento e heterogêneo entre sujeitos.</w:t>
      </w:r>
    </w:p>
    <w:p>
      <w:pPr>
        <w:pStyle w:val="BlockText"/>
      </w:pPr>
      <w:r>
        <w:rPr>
          <w:b/>
          <w:bCs/>
        </w:rPr>
        <w:t xml:space="preserve">Relevância:</w:t>
      </w:r>
      <w:r>
        <w:t xml:space="preserve"> </w:t>
      </w:r>
      <w:r>
        <w:t xml:space="preserve">Fornece evidência empírica sobre a validade descritiva do equilíbrio de Nash como previsão de comportamento. Os resultados sugerem que o equilíbrio é uma boa aproximação para situações com experiência repetida e incentivos elevados — contexto de muitos mercados industriais —, mas pode falhar em interações únicas entre agentes inexperientes. Dialoga diretamente com a discussão sobre fundamentos do equilíbrio de Nash na Seção 9a.3.</w:t>
      </w:r>
    </w:p>
    <w:p>
      <w:r>
        <w:pict>
          <v:rect style="width:0;height:1.5pt" o:hralign="center" o:hrstd="t" o:hr="t"/>
        </w:pict>
      </w:r>
    </w:p>
    <w:bookmarkEnd w:id="501"/>
    <w:bookmarkStart w:id="513" w:name="referências-do-capítulo-7"/>
    <w:p>
      <w:pPr>
        <w:pStyle w:val="Heading3"/>
      </w:pPr>
      <w:r>
        <w:t xml:space="preserve">Referências do Capítulo</w:t>
      </w:r>
    </w:p>
    <w:p>
      <w:pPr>
        <w:pStyle w:val="Compact"/>
        <w:numPr>
          <w:ilvl w:val="0"/>
          <w:numId w:val="1486"/>
        </w:numPr>
      </w:pPr>
      <w:r>
        <w:t xml:space="preserve">Adams, Christopher P. 2025.</w:t>
      </w:r>
      <w:r>
        <w:t xml:space="preserve"> </w:t>
      </w:r>
      <w:hyperlink r:id="rId502">
        <w:r>
          <w:rPr>
            <w:rStyle w:val="Hyperlink"/>
            <w:i/>
            <w:iCs/>
          </w:rPr>
          <w:t xml:space="preserve">Game Theory for Applied Econometricians: Data Analytics with R</w:t>
        </w:r>
      </w:hyperlink>
      <w:r>
        <w:t xml:space="preserve">. Boca Raton: CRC Press.</w:t>
      </w:r>
    </w:p>
    <w:p>
      <w:pPr>
        <w:pStyle w:val="Compact"/>
        <w:numPr>
          <w:ilvl w:val="0"/>
          <w:numId w:val="1486"/>
        </w:numPr>
      </w:pPr>
      <w:r>
        <w:t xml:space="preserve">Bajari, Patrick, C. Lanier Benkard, e Jonathan Levin. 2007.</w:t>
      </w:r>
      <w:r>
        <w:t xml:space="preserve"> </w:t>
      </w:r>
      <w:r>
        <w:t xml:space="preserve">“Estimating Dynamic Models of Imperfect Competition.”</w:t>
      </w:r>
      <w:r>
        <w:t xml:space="preserve"> </w:t>
      </w:r>
      <w:r>
        <w:rPr>
          <w:i/>
          <w:iCs/>
        </w:rPr>
        <w:t xml:space="preserve">Econometrica</w:t>
      </w:r>
      <w:r>
        <w:t xml:space="preserve"> </w:t>
      </w:r>
      <w:r>
        <w:t xml:space="preserve">75 (5): 1331–1370.</w:t>
      </w:r>
      <w:r>
        <w:t xml:space="preserve"> </w:t>
      </w:r>
      <w:hyperlink r:id="rId499">
        <w:r>
          <w:rPr>
            <w:rStyle w:val="Hyperlink"/>
          </w:rPr>
          <w:t xml:space="preserve">DOI</w:t>
        </w:r>
      </w:hyperlink>
    </w:p>
    <w:p>
      <w:pPr>
        <w:pStyle w:val="Compact"/>
        <w:numPr>
          <w:ilvl w:val="0"/>
          <w:numId w:val="1486"/>
        </w:numPr>
      </w:pPr>
      <w:r>
        <w:t xml:space="preserve">Axelrod, Robert. 1984.</w:t>
      </w:r>
      <w:r>
        <w:t xml:space="preserve"> </w:t>
      </w:r>
      <w:hyperlink r:id="rId503">
        <w:r>
          <w:rPr>
            <w:rStyle w:val="Hyperlink"/>
            <w:i/>
            <w:iCs/>
          </w:rPr>
          <w:t xml:space="preserve">The Evolution of Cooperation</w:t>
        </w:r>
      </w:hyperlink>
      <w:r>
        <w:t xml:space="preserve">. New York: Basic Books.</w:t>
      </w:r>
    </w:p>
    <w:p>
      <w:pPr>
        <w:pStyle w:val="Compact"/>
        <w:numPr>
          <w:ilvl w:val="0"/>
          <w:numId w:val="1486"/>
        </w:numPr>
      </w:pPr>
      <w:r>
        <w:t xml:space="preserve">Bertrand, Joseph. 1883.</w:t>
      </w:r>
      <w:r>
        <w:t xml:space="preserve"> </w:t>
      </w:r>
      <w:r>
        <w:t xml:space="preserve">“Théorie mathématique de la richesse sociale.”</w:t>
      </w:r>
      <w:r>
        <w:t xml:space="preserve"> </w:t>
      </w:r>
      <w:r>
        <w:rPr>
          <w:i/>
          <w:iCs/>
        </w:rPr>
        <w:t xml:space="preserve">Journal des Savants</w:t>
      </w:r>
      <w:r>
        <w:t xml:space="preserve"> </w:t>
      </w:r>
      <w:r>
        <w:t xml:space="preserve">67: 499–508.</w:t>
      </w:r>
    </w:p>
    <w:p>
      <w:pPr>
        <w:pStyle w:val="Compact"/>
        <w:numPr>
          <w:ilvl w:val="0"/>
          <w:numId w:val="1486"/>
        </w:numPr>
      </w:pPr>
      <w:r>
        <w:t xml:space="preserve">Camerer, Colin F., e Teck-Hua Ho. 1999.</w:t>
      </w:r>
      <w:r>
        <w:t xml:space="preserve"> </w:t>
      </w:r>
      <w:r>
        <w:t xml:space="preserve">“Experience-Weighted Attraction Learning in Normal Form Games.”</w:t>
      </w:r>
      <w:r>
        <w:t xml:space="preserve"> </w:t>
      </w:r>
      <w:r>
        <w:rPr>
          <w:i/>
          <w:iCs/>
        </w:rPr>
        <w:t xml:space="preserve">Econometrica</w:t>
      </w:r>
      <w:r>
        <w:t xml:space="preserve"> </w:t>
      </w:r>
      <w:r>
        <w:t xml:space="preserve">67 (4): 827–874.</w:t>
      </w:r>
      <w:r>
        <w:t xml:space="preserve"> </w:t>
      </w:r>
      <w:hyperlink r:id="rId500">
        <w:r>
          <w:rPr>
            <w:rStyle w:val="Hyperlink"/>
          </w:rPr>
          <w:t xml:space="preserve">DOI</w:t>
        </w:r>
      </w:hyperlink>
    </w:p>
    <w:p>
      <w:pPr>
        <w:pStyle w:val="Compact"/>
        <w:numPr>
          <w:ilvl w:val="0"/>
          <w:numId w:val="1486"/>
        </w:numPr>
      </w:pPr>
      <w:r>
        <w:t xml:space="preserve">Bresnahan, Timothy F., e Peter C. Reiss. 1991.</w:t>
      </w:r>
      <w:r>
        <w:t xml:space="preserve"> </w:t>
      </w:r>
      <w:r>
        <w:t xml:space="preserve">“Entry and Competition in Concentrated Markets.”</w:t>
      </w:r>
      <w:r>
        <w:t xml:space="preserve"> </w:t>
      </w:r>
      <w:r>
        <w:rPr>
          <w:i/>
          <w:iCs/>
        </w:rPr>
        <w:t xml:space="preserve">Journal of Political Economy</w:t>
      </w:r>
      <w:r>
        <w:t xml:space="preserve"> </w:t>
      </w:r>
      <w:r>
        <w:t xml:space="preserve">99 (5): 977–1009.</w:t>
      </w:r>
      <w:r>
        <w:t xml:space="preserve"> </w:t>
      </w:r>
      <w:hyperlink r:id="rId496">
        <w:r>
          <w:rPr>
            <w:rStyle w:val="Hyperlink"/>
          </w:rPr>
          <w:t xml:space="preserve">DOI</w:t>
        </w:r>
      </w:hyperlink>
    </w:p>
    <w:p>
      <w:pPr>
        <w:pStyle w:val="Compact"/>
        <w:numPr>
          <w:ilvl w:val="0"/>
          <w:numId w:val="1486"/>
        </w:numPr>
      </w:pPr>
      <w:r>
        <w:t xml:space="preserve">Chiappori, Pierre-André, Steven Levitt, e Tim Groseclose. 2002.</w:t>
      </w:r>
      <w:r>
        <w:t xml:space="preserve"> </w:t>
      </w:r>
      <w:r>
        <w:t xml:space="preserve">“Testing Mixed-Strategy Equilibria When Players Are Heterogeneous.”</w:t>
      </w:r>
      <w:r>
        <w:t xml:space="preserve"> </w:t>
      </w:r>
      <w:r>
        <w:rPr>
          <w:i/>
          <w:iCs/>
        </w:rPr>
        <w:t xml:space="preserve">American Economic Review</w:t>
      </w:r>
      <w:r>
        <w:t xml:space="preserve"> </w:t>
      </w:r>
      <w:r>
        <w:t xml:space="preserve">92 (4): 1138–1147.</w:t>
      </w:r>
      <w:r>
        <w:t xml:space="preserve"> </w:t>
      </w:r>
      <w:hyperlink r:id="rId497">
        <w:r>
          <w:rPr>
            <w:rStyle w:val="Hyperlink"/>
          </w:rPr>
          <w:t xml:space="preserve">DOI</w:t>
        </w:r>
      </w:hyperlink>
    </w:p>
    <w:p>
      <w:pPr>
        <w:pStyle w:val="Compact"/>
        <w:numPr>
          <w:ilvl w:val="0"/>
          <w:numId w:val="1486"/>
        </w:numPr>
      </w:pPr>
      <w:r>
        <w:t xml:space="preserve">Cournot, Antoine-Augustin. 1838.</w:t>
      </w:r>
      <w:r>
        <w:t xml:space="preserve"> </w:t>
      </w:r>
      <w:r>
        <w:rPr>
          <w:i/>
          <w:iCs/>
        </w:rPr>
        <w:t xml:space="preserve">Recherches sur les Principes Mathématiques de la Théorie des Richesses</w:t>
      </w:r>
      <w:r>
        <w:t xml:space="preserve">. Paris: Hachette.</w:t>
      </w:r>
    </w:p>
    <w:p>
      <w:pPr>
        <w:pStyle w:val="Compact"/>
        <w:numPr>
          <w:ilvl w:val="0"/>
          <w:numId w:val="1486"/>
        </w:numPr>
      </w:pPr>
      <w:r>
        <w:t xml:space="preserve">Fudenberg, Drew, e Jean Tirole. 1991.</w:t>
      </w:r>
      <w:r>
        <w:t xml:space="preserve"> </w:t>
      </w:r>
      <w:hyperlink r:id="rId504">
        <w:r>
          <w:rPr>
            <w:rStyle w:val="Hyperlink"/>
            <w:i/>
            <w:iCs/>
          </w:rPr>
          <w:t xml:space="preserve">Game Theory</w:t>
        </w:r>
      </w:hyperlink>
      <w:r>
        <w:t xml:space="preserve">. Cambridge, MA: MIT Press.</w:t>
      </w:r>
    </w:p>
    <w:p>
      <w:pPr>
        <w:pStyle w:val="Compact"/>
        <w:numPr>
          <w:ilvl w:val="0"/>
          <w:numId w:val="1486"/>
        </w:numPr>
      </w:pPr>
      <w:r>
        <w:t xml:space="preserve">Gibbons, Robert. 1992.</w:t>
      </w:r>
      <w:r>
        <w:t xml:space="preserve"> </w:t>
      </w:r>
      <w:hyperlink r:id="rId505">
        <w:r>
          <w:rPr>
            <w:rStyle w:val="Hyperlink"/>
            <w:i/>
            <w:iCs/>
          </w:rPr>
          <w:t xml:space="preserve">Game Theory for Applied Economists</w:t>
        </w:r>
      </w:hyperlink>
      <w:r>
        <w:t xml:space="preserve">. Princeton: Princeton University Press.</w:t>
      </w:r>
    </w:p>
    <w:p>
      <w:pPr>
        <w:pStyle w:val="Compact"/>
        <w:numPr>
          <w:ilvl w:val="0"/>
          <w:numId w:val="1486"/>
        </w:numPr>
      </w:pPr>
      <w:r>
        <w:t xml:space="preserve">Kreps, David M., e José A. Scheinkman. 1983.</w:t>
      </w:r>
      <w:r>
        <w:t xml:space="preserve"> </w:t>
      </w:r>
      <w:r>
        <w:t xml:space="preserve">“Quantity Precommitment and Bertrand Competition Yield Cournot Outcomes.”</w:t>
      </w:r>
      <w:r>
        <w:t xml:space="preserve"> </w:t>
      </w:r>
      <w:r>
        <w:rPr>
          <w:i/>
          <w:iCs/>
        </w:rPr>
        <w:t xml:space="preserve">Bell Journal of Economics</w:t>
      </w:r>
      <w:r>
        <w:t xml:space="preserve"> </w:t>
      </w:r>
      <w:r>
        <w:t xml:space="preserve">14 (2): 326–337.</w:t>
      </w:r>
      <w:r>
        <w:t xml:space="preserve"> </w:t>
      </w:r>
      <w:hyperlink r:id="rId498">
        <w:r>
          <w:rPr>
            <w:rStyle w:val="Hyperlink"/>
          </w:rPr>
          <w:t xml:space="preserve">DOI</w:t>
        </w:r>
      </w:hyperlink>
    </w:p>
    <w:p>
      <w:pPr>
        <w:pStyle w:val="Compact"/>
        <w:numPr>
          <w:ilvl w:val="0"/>
          <w:numId w:val="1486"/>
        </w:numPr>
      </w:pPr>
      <w:r>
        <w:t xml:space="preserve">Kalist, David E. 2004.</w:t>
      </w:r>
      <w:r>
        <w:t xml:space="preserve"> </w:t>
      </w:r>
      <w:r>
        <w:t xml:space="preserve">“Data from the Television Game Show</w:t>
      </w:r>
      <w:r>
        <w:t xml:space="preserve"> </w:t>
      </w:r>
      <w:r>
        <w:t xml:space="preserve">‘Friend or Foe?’</w:t>
      </w:r>
      <w:r>
        <w:t xml:space="preserve">”</w:t>
      </w:r>
      <w:r>
        <w:t xml:space="preserve"> </w:t>
      </w:r>
      <w:r>
        <w:rPr>
          <w:i/>
          <w:iCs/>
        </w:rPr>
        <w:t xml:space="preserve">Journal of Statistics Education</w:t>
      </w:r>
      <w:r>
        <w:t xml:space="preserve"> </w:t>
      </w:r>
      <w:r>
        <w:t xml:space="preserve">12 (3).</w:t>
      </w:r>
      <w:r>
        <w:t xml:space="preserve"> </w:t>
      </w:r>
      <w:hyperlink r:id="rId506">
        <w:r>
          <w:rPr>
            <w:rStyle w:val="Hyperlink"/>
          </w:rPr>
          <w:t xml:space="preserve">DOI</w:t>
        </w:r>
      </w:hyperlink>
    </w:p>
    <w:p>
      <w:pPr>
        <w:pStyle w:val="Compact"/>
        <w:numPr>
          <w:ilvl w:val="0"/>
          <w:numId w:val="1486"/>
        </w:numPr>
      </w:pPr>
      <w:r>
        <w:t xml:space="preserve">List, John A. 2006.</w:t>
      </w:r>
      <w:r>
        <w:t xml:space="preserve"> </w:t>
      </w:r>
      <w:r>
        <w:t xml:space="preserve">“Friend or Foe? A Natural Experiment of the Prisoner’s Dilemma.”</w:t>
      </w:r>
      <w:r>
        <w:t xml:space="preserve"> </w:t>
      </w:r>
      <w:r>
        <w:rPr>
          <w:i/>
          <w:iCs/>
        </w:rPr>
        <w:t xml:space="preserve">Review of Economics and Statistics</w:t>
      </w:r>
      <w:r>
        <w:t xml:space="preserve"> </w:t>
      </w:r>
      <w:r>
        <w:t xml:space="preserve">88 (3): 463–471.</w:t>
      </w:r>
      <w:r>
        <w:t xml:space="preserve"> </w:t>
      </w:r>
      <w:hyperlink r:id="rId507">
        <w:r>
          <w:rPr>
            <w:rStyle w:val="Hyperlink"/>
          </w:rPr>
          <w:t xml:space="preserve">DOI</w:t>
        </w:r>
      </w:hyperlink>
    </w:p>
    <w:p>
      <w:pPr>
        <w:pStyle w:val="Compact"/>
        <w:numPr>
          <w:ilvl w:val="0"/>
          <w:numId w:val="1486"/>
        </w:numPr>
      </w:pPr>
      <w:r>
        <w:t xml:space="preserve">Mas-Colell, Andreu, Michael D. Whinston, e Jerry R. Green. 1995.</w:t>
      </w:r>
      <w:r>
        <w:t xml:space="preserve"> </w:t>
      </w:r>
      <w:hyperlink r:id="rId70">
        <w:r>
          <w:rPr>
            <w:rStyle w:val="Hyperlink"/>
            <w:i/>
            <w:iCs/>
          </w:rPr>
          <w:t xml:space="preserve">Microeconomic Theory</w:t>
        </w:r>
      </w:hyperlink>
      <w:r>
        <w:t xml:space="preserve">. New York: Oxford University Press. Caps. 7–8.</w:t>
      </w:r>
    </w:p>
    <w:p>
      <w:pPr>
        <w:pStyle w:val="Compact"/>
        <w:numPr>
          <w:ilvl w:val="0"/>
          <w:numId w:val="1486"/>
        </w:numPr>
      </w:pPr>
      <w:r>
        <w:t xml:space="preserve">Maynard Smith, John, e George R. Price. 1973.</w:t>
      </w:r>
      <w:r>
        <w:t xml:space="preserve"> </w:t>
      </w:r>
      <w:r>
        <w:t xml:space="preserve">“The Logic of Animal Conflict.”</w:t>
      </w:r>
      <w:r>
        <w:t xml:space="preserve"> </w:t>
      </w:r>
      <w:r>
        <w:rPr>
          <w:i/>
          <w:iCs/>
        </w:rPr>
        <w:t xml:space="preserve">Nature</w:t>
      </w:r>
      <w:r>
        <w:t xml:space="preserve"> </w:t>
      </w:r>
      <w:r>
        <w:t xml:space="preserve">246: 15–18.</w:t>
      </w:r>
      <w:r>
        <w:t xml:space="preserve"> </w:t>
      </w:r>
      <w:hyperlink r:id="rId508">
        <w:r>
          <w:rPr>
            <w:rStyle w:val="Hyperlink"/>
          </w:rPr>
          <w:t xml:space="preserve">DOI</w:t>
        </w:r>
      </w:hyperlink>
    </w:p>
    <w:p>
      <w:pPr>
        <w:pStyle w:val="Compact"/>
        <w:numPr>
          <w:ilvl w:val="0"/>
          <w:numId w:val="1486"/>
        </w:numPr>
      </w:pPr>
      <w:r>
        <w:t xml:space="preserve">Nash, John F. 1950.</w:t>
      </w:r>
      <w:r>
        <w:t xml:space="preserve"> </w:t>
      </w:r>
      <w:r>
        <w:t xml:space="preserve">“Equilibrium Points in N-Person Games.”</w:t>
      </w:r>
      <w:r>
        <w:t xml:space="preserve"> </w:t>
      </w:r>
      <w:r>
        <w:rPr>
          <w:i/>
          <w:iCs/>
        </w:rPr>
        <w:t xml:space="preserve">Proceedings of the National Academy of Sciences</w:t>
      </w:r>
      <w:r>
        <w:t xml:space="preserve"> </w:t>
      </w:r>
      <w:r>
        <w:t xml:space="preserve">36 (1): 48–49.</w:t>
      </w:r>
      <w:r>
        <w:t xml:space="preserve"> </w:t>
      </w:r>
      <w:hyperlink r:id="rId509">
        <w:r>
          <w:rPr>
            <w:rStyle w:val="Hyperlink"/>
          </w:rPr>
          <w:t xml:space="preserve">DOI</w:t>
        </w:r>
      </w:hyperlink>
    </w:p>
    <w:p>
      <w:pPr>
        <w:pStyle w:val="Compact"/>
        <w:numPr>
          <w:ilvl w:val="0"/>
          <w:numId w:val="1486"/>
        </w:numPr>
      </w:pPr>
      <w:r>
        <w:t xml:space="preserve">Nash, John F. 1951.</w:t>
      </w:r>
      <w:r>
        <w:t xml:space="preserve"> </w:t>
      </w:r>
      <w:r>
        <w:t xml:space="preserve">“Non-Cooperative Games.”</w:t>
      </w:r>
      <w:r>
        <w:t xml:space="preserve"> </w:t>
      </w:r>
      <w:r>
        <w:rPr>
          <w:i/>
          <w:iCs/>
        </w:rPr>
        <w:t xml:space="preserve">Annals of Mathematics</w:t>
      </w:r>
      <w:r>
        <w:t xml:space="preserve"> </w:t>
      </w:r>
      <w:r>
        <w:t xml:space="preserve">54 (2): 286–295.</w:t>
      </w:r>
      <w:r>
        <w:t xml:space="preserve"> </w:t>
      </w:r>
      <w:hyperlink r:id="rId510">
        <w:r>
          <w:rPr>
            <w:rStyle w:val="Hyperlink"/>
          </w:rPr>
          <w:t xml:space="preserve">DOI</w:t>
        </w:r>
      </w:hyperlink>
    </w:p>
    <w:p>
      <w:pPr>
        <w:pStyle w:val="Compact"/>
        <w:numPr>
          <w:ilvl w:val="0"/>
          <w:numId w:val="1486"/>
        </w:numPr>
      </w:pPr>
      <w:r>
        <w:t xml:space="preserve">Osborne, Martin J., e Ariel Rubinstein. 1994.</w:t>
      </w:r>
      <w:r>
        <w:t xml:space="preserve"> </w:t>
      </w:r>
      <w:hyperlink r:id="rId511">
        <w:r>
          <w:rPr>
            <w:rStyle w:val="Hyperlink"/>
            <w:i/>
            <w:iCs/>
          </w:rPr>
          <w:t xml:space="preserve">A Course in Game Theory</w:t>
        </w:r>
      </w:hyperlink>
      <w:r>
        <w:t xml:space="preserve">. Cambridge, MA: MIT Press.</w:t>
      </w:r>
    </w:p>
    <w:p>
      <w:pPr>
        <w:pStyle w:val="Compact"/>
        <w:numPr>
          <w:ilvl w:val="0"/>
          <w:numId w:val="1486"/>
        </w:numPr>
      </w:pPr>
      <w:r>
        <w:t xml:space="preserve">Schelling, Thomas C. 1960.</w:t>
      </w:r>
      <w:r>
        <w:t xml:space="preserve"> </w:t>
      </w:r>
      <w:hyperlink r:id="rId512">
        <w:r>
          <w:rPr>
            <w:rStyle w:val="Hyperlink"/>
            <w:i/>
            <w:iCs/>
          </w:rPr>
          <w:t xml:space="preserve">The Strategy of Conflict</w:t>
        </w:r>
      </w:hyperlink>
      <w:r>
        <w:t xml:space="preserve">. Cambridge, MA: Harvard University Press.</w:t>
      </w:r>
    </w:p>
    <w:p>
      <w:pPr>
        <w:pStyle w:val="Compact"/>
        <w:numPr>
          <w:ilvl w:val="0"/>
          <w:numId w:val="1486"/>
        </w:numPr>
      </w:pPr>
      <w:r>
        <w:t xml:space="preserve">Selten, Reinhard. 1965.</w:t>
      </w:r>
      <w:r>
        <w:t xml:space="preserve"> </w:t>
      </w:r>
      <w:r>
        <w:t xml:space="preserve">“Spieltheoretische Behandlung eines Oligopolmodells mit Nachfrageträgheit.”</w:t>
      </w:r>
      <w:r>
        <w:t xml:space="preserve"> </w:t>
      </w:r>
      <w:r>
        <w:rPr>
          <w:i/>
          <w:iCs/>
        </w:rPr>
        <w:t xml:space="preserve">Zeitschrift für die gesamte Staatswissenschaft</w:t>
      </w:r>
      <w:r>
        <w:t xml:space="preserve"> </w:t>
      </w:r>
      <w:r>
        <w:t xml:space="preserve">121: 301–324.</w:t>
      </w:r>
    </w:p>
    <w:p>
      <w:pPr>
        <w:pStyle w:val="Compact"/>
        <w:numPr>
          <w:ilvl w:val="0"/>
          <w:numId w:val="1486"/>
        </w:numPr>
      </w:pPr>
      <w:r>
        <w:t xml:space="preserve">Stackelberg, Heinrich von. 1934.</w:t>
      </w:r>
      <w:r>
        <w:t xml:space="preserve"> </w:t>
      </w:r>
      <w:r>
        <w:rPr>
          <w:i/>
          <w:iCs/>
        </w:rPr>
        <w:t xml:space="preserve">Marktform und Gleichgewicht</w:t>
      </w:r>
      <w:r>
        <w:t xml:space="preserve">. Vienna: Springer.</w:t>
      </w:r>
    </w:p>
    <w:p>
      <w:pPr>
        <w:pStyle w:val="Compact"/>
        <w:numPr>
          <w:ilvl w:val="0"/>
          <w:numId w:val="1486"/>
        </w:numPr>
      </w:pPr>
      <w:r>
        <w:t xml:space="preserve">Von Neumann, John, e Oskar Morgenstern. 1944.</w:t>
      </w:r>
      <w:r>
        <w:t xml:space="preserve"> </w:t>
      </w:r>
      <w:hyperlink r:id="rId367">
        <w:r>
          <w:rPr>
            <w:rStyle w:val="Hyperlink"/>
            <w:i/>
            <w:iCs/>
          </w:rPr>
          <w:t xml:space="preserve">Theory of Games and Economic Behavior</w:t>
        </w:r>
      </w:hyperlink>
      <w:r>
        <w:t xml:space="preserve">. Princeton: Princeton University Press.</w:t>
      </w:r>
    </w:p>
    <w:bookmarkEnd w:id="513"/>
    <w:bookmarkEnd w:id="514"/>
    <w:bookmarkEnd w:id="515"/>
    <w:bookmarkStart w:id="562" w:name="capítulo-9b-pense-de-trás-para-frente"/>
    <w:p>
      <w:pPr>
        <w:sectPr>
          <w:footnotePr>
            <w:numRestart w:val="eachSect"/>
          </w:footnotePr>
        </w:sectPr>
      </w:pPr>
    </w:p>
    <w:p>
      <w:pPr>
        <w:pStyle w:val="Heading1"/>
      </w:pPr>
      <w:r>
        <w:t xml:space="preserve">Capítulo 9b — Pense de Trás para Frente</w:t>
      </w:r>
    </w:p>
    <w:p>
      <w:pPr>
        <w:pStyle w:val="FirstParagraph"/>
      </w:pPr>
      <w:r>
        <w:t xml:space="preserve">No Módulo 9a, os jogadores escolhiam ao mesmo tempo, sem ver o que os outros faziam. Agora, acrescentamos a dimensão temporal: jogadores agem em sequência, observam as ações anteriores e — crucialmente — antecipam o que virá depois. Esse é o território dos</w:t>
      </w:r>
      <w:r>
        <w:t xml:space="preserve"> </w:t>
      </w:r>
      <w:r>
        <w:rPr>
          <w:b/>
          <w:bCs/>
        </w:rPr>
        <w:t xml:space="preserve">jogos dinâmicos com informação completa</w:t>
      </w:r>
      <w:r>
        <w:t xml:space="preserve">, onde a pergunta central muda de</w:t>
      </w:r>
      <w:r>
        <w:t xml:space="preserve"> </w:t>
      </w:r>
      <w:r>
        <w:t xml:space="preserve">“o que fazer?”</w:t>
      </w:r>
      <w:r>
        <w:t xml:space="preserve"> </w:t>
      </w:r>
      <w:r>
        <w:t xml:space="preserve">para</w:t>
      </w:r>
      <w:r>
        <w:t xml:space="preserve"> </w:t>
      </w:r>
      <w:r>
        <w:t xml:space="preserve">“o que fazer</w:t>
      </w:r>
      <w:r>
        <w:t xml:space="preserve"> </w:t>
      </w:r>
      <w:r>
        <w:rPr>
          <w:i/>
          <w:iCs/>
        </w:rPr>
        <w:t xml:space="preserve">sabendo que o outro verá minha escolha e reagirá</w:t>
      </w:r>
      <w:r>
        <w:t xml:space="preserve">?”</w:t>
      </w:r>
    </w:p>
    <w:p>
      <w:pPr>
        <w:pStyle w:val="BodyText"/>
      </w:pPr>
      <w:r>
        <w:t xml:space="preserve">A ferramenta de solução é a</w:t>
      </w:r>
      <w:r>
        <w:t xml:space="preserve"> </w:t>
      </w:r>
      <w:r>
        <w:rPr>
          <w:b/>
          <w:bCs/>
        </w:rPr>
        <w:t xml:space="preserve">indução retroativa</w:t>
      </w:r>
      <w:r>
        <w:t xml:space="preserve">: comece pelo fim do jogo, determine a ação racional em cada nó, e trabalhe de trás para frente. O equilíbrio resultante — o</w:t>
      </w:r>
      <w:r>
        <w:t xml:space="preserve"> </w:t>
      </w:r>
      <w:r>
        <w:rPr>
          <w:b/>
          <w:bCs/>
        </w:rPr>
        <w:t xml:space="preserve">Equilíbrio Perfeito em Subjogos (EPS)</w:t>
      </w:r>
      <w:r>
        <w:t xml:space="preserve"> </w:t>
      </w:r>
      <w:r>
        <w:t xml:space="preserve">— descarta ameaças vazias e produz previsões mais afinadas que o equilíbrio de Nash simples. A ideia de pensar de trás para frente, formalizada por Selten (1965), é ao mesmo tempo elegante e poderosa: ela revela quando uma ameaça é blefe e quando é real.</w:t>
      </w:r>
      <w:r>
        <w:rPr>
          <w:rStyle w:val="FootnoteReference"/>
        </w:rPr>
        <w:footnoteReference w:id="516"/>
      </w:r>
    </w:p>
    <w:p>
      <w:pPr>
        <w:pStyle w:val="BodyText"/>
      </w:pPr>
      <w:r>
        <w:t xml:space="preserve">Este módulo cobre três grandes temas: jogos sequenciais e comprometimento (Seção 9b.1), jogos repetidos e cooperação (Seção 9b.2) e modelos de barganha (Seção 9b.3). Juntos, eles mostram como o tempo — a ordem das jogadas, a repetição e a paciência — transforma a natureza da interação estratégica.</w:t>
      </w:r>
    </w:p>
    <w:p>
      <w:r>
        <w:pict>
          <v:rect style="width:0;height:1.5pt" o:hralign="center" o:hrstd="t" o:hr="t"/>
        </w:pict>
      </w:r>
    </w:p>
    <w:bookmarkStart w:id="517" w:name="roteiro-do-capítulo-1"/>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9b.1</w:t>
            </w:r>
          </w:p>
        </w:tc>
        <w:tc>
          <w:tcPr/>
          <w:p>
            <w:pPr>
              <w:pStyle w:val="Compact"/>
            </w:pPr>
            <w:r>
              <w:t xml:space="preserve">Quando uma ameaça é blefe — e como pensar de trás para frente revela isso?</w:t>
            </w:r>
          </w:p>
        </w:tc>
        <w:tc>
          <w:tcPr/>
          <w:p>
            <w:pPr>
              <w:pStyle w:val="Compact"/>
            </w:pPr>
            <w:r>
              <w:t xml:space="preserve">Forma extensiva, indução retroativa, EPS, comprometimento, Stackelberg</w:t>
            </w:r>
          </w:p>
        </w:tc>
        <w:tc>
          <w:tcPr/>
          <w:p>
            <w:pPr>
              <w:pStyle w:val="Compact"/>
              <w:jc w:val="center"/>
            </w:pPr>
            <w:r>
              <w:t xml:space="preserve">Indução retroativa</w:t>
            </w:r>
          </w:p>
        </w:tc>
      </w:tr>
      <w:tr>
        <w:tc>
          <w:tcPr/>
          <w:p>
            <w:pPr>
              <w:pStyle w:val="Compact"/>
              <w:jc w:val="center"/>
            </w:pPr>
            <w:r>
              <w:t xml:space="preserve">9b.2</w:t>
            </w:r>
          </w:p>
        </w:tc>
        <w:tc>
          <w:tcPr/>
          <w:p>
            <w:pPr>
              <w:pStyle w:val="Compact"/>
            </w:pPr>
            <w:r>
              <w:t xml:space="preserve">Se eu te encontro de novo amanhã, será que cooperamos hoje?</w:t>
            </w:r>
          </w:p>
        </w:tc>
        <w:tc>
          <w:tcPr/>
          <w:p>
            <w:pPr>
              <w:pStyle w:val="Compact"/>
            </w:pPr>
            <w:r>
              <w:t xml:space="preserve">Jogos repetidos, grim trigger, tit-for-tat, Folk Theorem, conluio</w:t>
            </w:r>
          </w:p>
        </w:tc>
        <w:tc>
          <w:tcPr/>
          <w:p>
            <w:pPr>
              <w:pStyle w:val="Compact"/>
              <w:jc w:val="center"/>
            </w:pPr>
            <w:r>
              <w:t xml:space="preserve">Jogos repetidos</w:t>
            </w:r>
          </w:p>
        </w:tc>
      </w:tr>
      <w:tr>
        <w:tc>
          <w:tcPr/>
          <w:p>
            <w:pPr>
              <w:pStyle w:val="Compact"/>
              <w:jc w:val="center"/>
            </w:pPr>
            <w:r>
              <w:t xml:space="preserve">9b.3</w:t>
            </w:r>
          </w:p>
        </w:tc>
        <w:tc>
          <w:tcPr/>
          <w:p>
            <w:pPr>
              <w:pStyle w:val="Compact"/>
            </w:pPr>
            <w:r>
              <w:t xml:space="preserve">Quem leva a maior fatia do bolo — e por quê?</w:t>
            </w:r>
          </w:p>
        </w:tc>
        <w:tc>
          <w:tcPr/>
          <w:p>
            <w:pPr>
              <w:pStyle w:val="Compact"/>
            </w:pPr>
            <w:r>
              <w:t xml:space="preserve">Ultimato, barganha de Rubinstein, opções externas, poder de barganha</w:t>
            </w:r>
          </w:p>
        </w:tc>
        <w:tc>
          <w:tcPr/>
          <w:p>
            <w:pPr>
              <w:pStyle w:val="Compact"/>
              <w:jc w:val="center"/>
            </w:pPr>
            <w:r>
              <w:t xml:space="preserve">Barganha</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Atividades, revisão, exercícios resolvidos e propostos,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bookmarkEnd w:id="517"/>
    <w:bookmarkStart w:id="523" w:name="Xebe10d6cfd00fc8cfe8c801a69a78beca9f8136"/>
    <w:p>
      <w:pPr>
        <w:pStyle w:val="Heading2"/>
      </w:pPr>
      <w:r>
        <w:t xml:space="preserve">Pense de Trás para Frente: Jogos Sequenciais e Indução Retroativa</w:t>
      </w:r>
    </w:p>
    <w:bookmarkStart w:id="522" w:name="X9b245241fb06f3348abb1d1116cf30234b9a912"/>
    <w:p>
      <w:pPr>
        <w:pStyle w:val="Heading3"/>
      </w:pPr>
      <w:r>
        <w:t xml:space="preserve">9b.1 Pense de Trás para Frente: Jogos Sequenciais e Indução Retroativa</w:t>
      </w:r>
    </w:p>
    <w:bookmarkStart w:id="519" w:name="forma-extensiva-e-indução-retroativa"/>
    <w:p>
      <w:pPr>
        <w:pStyle w:val="Heading4"/>
      </w:pPr>
      <w:r>
        <w:t xml:space="preserve">Forma extensiva e indução retroativa</w:t>
      </w:r>
    </w:p>
    <w:p>
      <w:pPr>
        <w:pStyle w:val="FirstParagraph"/>
      </w:pPr>
      <w:r>
        <w:t xml:space="preserve">A ferramenta visual dos jogos sequenciais é a</w:t>
      </w:r>
      <w:r>
        <w:t xml:space="preserve"> </w:t>
      </w:r>
      <w:r>
        <w:rPr>
          <w:b/>
          <w:bCs/>
        </w:rPr>
        <w:t xml:space="preserve">árvore de decisão</w:t>
      </w:r>
      <w:r>
        <w:t xml:space="preserve"> </w:t>
      </w:r>
      <w:r>
        <w:t xml:space="preserve">(forma extensiva): nós são momentos de escolha, ramos são ações, folhas são payoffs. É como um fluxograma — mas onde cada</w:t>
      </w:r>
      <w:r>
        <w:t xml:space="preserve"> </w:t>
      </w:r>
      <w:r>
        <w:t xml:space="preserve">“caixa de decisão”</w:t>
      </w:r>
      <w:r>
        <w:t xml:space="preserve"> </w:t>
      </w:r>
      <w:r>
        <w:t xml:space="preserve">pertence a um jogador diferente, e cada um vê o que os anteriores fizeram.</w:t>
      </w:r>
    </w:p>
    <w:p>
      <w:pPr>
        <w:pStyle w:val="BodyText"/>
      </w:pPr>
      <w:r>
        <w:t xml:space="preserve">Como resolver?</w:t>
      </w:r>
      <w:r>
        <w:t xml:space="preserve"> </w:t>
      </w:r>
      <w:r>
        <w:rPr>
          <w:b/>
          <w:bCs/>
        </w:rPr>
        <w:t xml:space="preserve">Comece pelo fim.</w:t>
      </w:r>
      <w:r>
        <w:t xml:space="preserve"> </w:t>
      </w:r>
      <w:r>
        <w:t xml:space="preserve">Olhe os últimos nós da árvore e pergunte:</w:t>
      </w:r>
      <w:r>
        <w:t xml:space="preserve"> </w:t>
      </w:r>
      <w:r>
        <w:t xml:space="preserve">“o que o jogador faria aqui?”</w:t>
      </w:r>
      <w:r>
        <w:t xml:space="preserve"> </w:t>
      </w:r>
      <w:r>
        <w:t xml:space="preserve">Anote a resposta,</w:t>
      </w:r>
      <w:r>
        <w:t xml:space="preserve"> </w:t>
      </w:r>
      <w:r>
        <w:t xml:space="preserve">“pode”</w:t>
      </w:r>
      <w:r>
        <w:t xml:space="preserve"> </w:t>
      </w:r>
      <w:r>
        <w:t xml:space="preserve">esses nós, suba um nível e repita. Quando chegar ao início, você tem a solução completa. Esse procedimento de</w:t>
      </w:r>
      <w:r>
        <w:t xml:space="preserve"> </w:t>
      </w:r>
      <w:r>
        <w:t xml:space="preserve">“descascar a cebola de fora para dentro”</w:t>
      </w:r>
      <w:r>
        <w:t xml:space="preserve"> </w:t>
      </w:r>
      <w:r>
        <w:t xml:space="preserve">é a</w:t>
      </w:r>
      <w:r>
        <w:t xml:space="preserve"> </w:t>
      </w:r>
      <w:r>
        <w:rPr>
          <w:b/>
          <w:bCs/>
        </w:rPr>
        <w:t xml:space="preserve">indução retroativa</w:t>
      </w:r>
      <w:r>
        <w:t xml:space="preserve">, e o equilíbrio que ela produz é o EPS.</w:t>
      </w:r>
      <w:r>
        <w:rPr>
          <w:rStyle w:val="FootnoteReference"/>
        </w:rPr>
        <w:footnoteReference w:id="518"/>
      </w:r>
    </w:p>
    <w:p>
      <w:pPr>
        <w:pStyle w:val="BlockText"/>
      </w:pPr>
      <w:r>
        <w:rPr>
          <w:b/>
          <w:bCs/>
        </w:rPr>
        <w:t xml:space="preserve">[DEFINICAO] Equilíbrio Perfeito em Subjogos (EPS)</w:t>
      </w:r>
    </w:p>
    <w:p>
      <w:pPr>
        <w:pStyle w:val="BlockText"/>
      </w:pPr>
      <w:r>
        <w:t xml:space="preserve">Um perfil de estratégias constitui um</w:t>
      </w:r>
      <w:r>
        <w:t xml:space="preserve"> </w:t>
      </w:r>
      <w:r>
        <w:rPr>
          <w:b/>
          <w:bCs/>
        </w:rPr>
        <w:t xml:space="preserve">Equilíbrio Perfeito em Subjogos</w:t>
      </w:r>
      <w:r>
        <w:t xml:space="preserve"> </w:t>
      </w:r>
      <w:r>
        <w:t xml:space="preserve">se induz um equilíbrio de Nash em</w:t>
      </w:r>
      <w:r>
        <w:t xml:space="preserve"> </w:t>
      </w:r>
      <w:r>
        <w:rPr>
          <w:b/>
          <w:bCs/>
        </w:rPr>
        <w:t xml:space="preserve">todo subjogo</w:t>
      </w:r>
      <w:r>
        <w:t xml:space="preserve"> </w:t>
      </w:r>
      <w:r>
        <w:t xml:space="preserve">do jogo na forma extensiva.</w:t>
      </w:r>
    </w:p>
    <w:p>
      <w:pPr>
        <w:pStyle w:val="BlockText"/>
      </w:pPr>
      <w:r>
        <w:t xml:space="preserve">Formalmente, um subjogo é qualquer parte do jogo que: (i) começa em um nó de decisão que é um conjunto de informação unitário (singleton); (ii) contém todos os sucessores desse nó; (iii) não</w:t>
      </w:r>
      <w:r>
        <w:t xml:space="preserve"> </w:t>
      </w:r>
      <w:r>
        <w:t xml:space="preserve">“corta”</w:t>
      </w:r>
      <w:r>
        <w:t xml:space="preserve"> </w:t>
      </w:r>
      <w:r>
        <w:t xml:space="preserve">nenhum conjunto de informação.</w:t>
      </w:r>
    </w:p>
    <w:p>
      <w:pPr>
        <w:pStyle w:val="BlockText"/>
      </w:pPr>
      <w:r>
        <w:rPr>
          <w:b/>
          <w:bCs/>
        </w:rPr>
        <w:t xml:space="preserve">[DEFINICAO] Equilíbrio Perfeito em Subjogos — Definição Formal</w:t>
      </w:r>
    </w:p>
    <w:p>
      <w:pPr>
        <w:pStyle w:val="BlockText"/>
      </w:pPr>
      <w:r>
        <w:t xml:space="preserve">Seja</w:t>
      </w:r>
      <w:r>
        <w:t xml:space="preserve"> </w:t>
      </w:r>
      <m:oMath>
        <m:r>
          <m:rPr>
            <m:sty m:val="p"/>
          </m:rPr>
          <m:t>Γ</m:t>
        </m:r>
      </m:oMath>
      <w:r>
        <w:t xml:space="preserve"> </w:t>
      </w:r>
      <w:r>
        <w:t xml:space="preserve">um jogo na forma extensiva com conjunto de jogadores</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Um</w:t>
      </w:r>
      <w:r>
        <w:t xml:space="preserve"> </w:t>
      </w:r>
      <w:r>
        <w:rPr>
          <w:b/>
          <w:bCs/>
        </w:rPr>
        <w:t xml:space="preserve">subjogo</w:t>
      </w:r>
      <w:r>
        <w:t xml:space="preserve"> </w:t>
      </w:r>
      <w:r>
        <w:t xml:space="preserve">de</w:t>
      </w:r>
      <w:r>
        <w:t xml:space="preserve"> </w:t>
      </w:r>
      <m:oMath>
        <m:r>
          <m:rPr>
            <m:sty m:val="p"/>
          </m:rPr>
          <m:t>Γ</m:t>
        </m:r>
      </m:oMath>
      <w:r>
        <w:t xml:space="preserve"> </w:t>
      </w:r>
      <w:r>
        <w:t xml:space="preserve">é qualquer componente</w:t>
      </w:r>
      <w:r>
        <w:t xml:space="preserve"> </w:t>
      </w:r>
      <m:oMath>
        <m:sSup>
          <m:e>
            <m:r>
              <m:rPr>
                <m:sty m:val="p"/>
              </m:rPr>
              <m:t>Γ</m:t>
            </m:r>
          </m:e>
          <m:sup>
            <m:r>
              <m:rPr>
                <m:sty m:val="p"/>
              </m:rPr>
              <m:t>′</m:t>
            </m:r>
          </m:sup>
        </m:sSup>
      </m:oMath>
      <w:r>
        <w:t xml:space="preserve"> </w:t>
      </w:r>
      <w:r>
        <w:t xml:space="preserve">da árvore que começa em um nó de informação singleton</w:t>
      </w:r>
      <w:r>
        <w:t xml:space="preserve"> </w:t>
      </w:r>
      <m:oMath>
        <m:r>
          <m:t>h</m:t>
        </m:r>
      </m:oMath>
      <w:r>
        <w:t xml:space="preserve">, contém todos os nós que sucedem</w:t>
      </w:r>
      <w:r>
        <w:t xml:space="preserve"> </w:t>
      </w:r>
      <m:oMath>
        <m:r>
          <m:t>h</m:t>
        </m:r>
      </m:oMath>
      <w:r>
        <w:t xml:space="preserve"> </w:t>
      </w:r>
      <w:r>
        <w:t xml:space="preserve">e não divide nenhum conjunto de informação.</w:t>
      </w:r>
    </w:p>
    <w:p>
      <w:pPr>
        <w:pStyle w:val="BlockText"/>
      </w:pPr>
      <w:r>
        <w:t xml:space="preserve">Um perfil de estratégias</w:t>
      </w:r>
      <w:r>
        <w:t xml:space="preserve"> </w:t>
      </w:r>
      <m:oMath>
        <m:sSup>
          <m:e>
            <m:r>
              <m:t>s</m:t>
            </m:r>
          </m:e>
          <m:sup>
            <m:r>
              <m:rPr>
                <m:sty m:val="p"/>
              </m:rPr>
              <m:t>*</m:t>
            </m:r>
          </m:sup>
        </m:sSup>
        <m:r>
          <m:rPr>
            <m:sty m:val="p"/>
          </m:rPr>
          <m:t>=</m:t>
        </m:r>
        <m:r>
          <m:rPr>
            <m:sty m:val="p"/>
          </m:rPr>
          <m:t>(</m:t>
        </m:r>
        <m:sSubSup>
          <m:e>
            <m:r>
              <m:t>s</m:t>
            </m:r>
          </m:e>
          <m:sub>
            <m:r>
              <m:t>1</m:t>
            </m:r>
          </m:sub>
          <m:sup>
            <m:r>
              <m:rPr>
                <m:sty m:val="p"/>
              </m:rPr>
              <m:t>*</m:t>
            </m:r>
          </m:sup>
        </m:sSubSup>
        <m:r>
          <m:rPr>
            <m:sty m:val="p"/>
          </m:rPr>
          <m:t>,</m:t>
        </m:r>
        <m:r>
          <m:rPr>
            <m:sty m:val="p"/>
          </m:rPr>
          <m:t>…</m:t>
        </m:r>
        <m:r>
          <m:rPr>
            <m:sty m:val="p"/>
          </m:rPr>
          <m:t>,</m:t>
        </m:r>
        <m:sSubSup>
          <m:e>
            <m:r>
              <m:t>s</m:t>
            </m:r>
          </m:e>
          <m:sub>
            <m:r>
              <m:t>n</m:t>
            </m:r>
          </m:sub>
          <m:sup>
            <m:r>
              <m:rPr>
                <m:sty m:val="p"/>
              </m:rPr>
              <m:t>*</m:t>
            </m:r>
          </m:sup>
        </m:sSubSup>
        <m:r>
          <m:rPr>
            <m:sty m:val="p"/>
          </m:rPr>
          <m:t>)</m:t>
        </m:r>
      </m:oMath>
      <w:r>
        <w:t xml:space="preserve"> </w:t>
      </w:r>
      <w:r>
        <w:t xml:space="preserve">é um</w:t>
      </w:r>
      <w:r>
        <w:t xml:space="preserve"> </w:t>
      </w:r>
      <w:r>
        <w:rPr>
          <w:b/>
          <w:bCs/>
        </w:rPr>
        <w:t xml:space="preserve">Equilíbrio Perfeito em Subjogos</w:t>
      </w:r>
      <w:r>
        <w:t xml:space="preserve"> </w:t>
      </w:r>
      <w:r>
        <w:t xml:space="preserve">se, para</w:t>
      </w:r>
      <w:r>
        <w:t xml:space="preserve"> </w:t>
      </w:r>
      <w:r>
        <w:rPr>
          <w:b/>
          <w:bCs/>
        </w:rPr>
        <w:t xml:space="preserve">todo</w:t>
      </w:r>
      <w:r>
        <w:t xml:space="preserve"> </w:t>
      </w:r>
      <w:r>
        <w:t xml:space="preserve">subjogo</w:t>
      </w:r>
      <w:r>
        <w:t xml:space="preserve"> </w:t>
      </w:r>
      <m:oMath>
        <m:sSup>
          <m:e>
            <m:r>
              <m:rPr>
                <m:sty m:val="p"/>
              </m:rPr>
              <m:t>Γ</m:t>
            </m:r>
          </m:e>
          <m:sup>
            <m:r>
              <m:rPr>
                <m:sty m:val="p"/>
              </m:rPr>
              <m:t>′</m:t>
            </m:r>
          </m:sup>
        </m:sSup>
      </m:oMath>
      <w:r>
        <w:t xml:space="preserve"> </w:t>
      </w:r>
      <w:r>
        <w:t xml:space="preserve">de</w:t>
      </w:r>
      <w:r>
        <w:t xml:space="preserve"> </w:t>
      </w:r>
      <m:oMath>
        <m:r>
          <m:rPr>
            <m:sty m:val="p"/>
          </m:rPr>
          <m:t>Γ</m:t>
        </m:r>
      </m:oMath>
      <w:r>
        <w:t xml:space="preserve">, a restrição</w:t>
      </w:r>
      <w:r>
        <w:t xml:space="preserve"> </w:t>
      </w:r>
      <m:oMath>
        <m:sSup>
          <m:e>
            <m:r>
              <m:t>s</m:t>
            </m:r>
          </m:e>
          <m:sup>
            <m:r>
              <m:rPr>
                <m:sty m:val="p"/>
              </m:rPr>
              <m:t>*</m:t>
            </m:r>
          </m:sup>
        </m:sSup>
        <m:sSub>
          <m:e>
            <m:r>
              <m:rPr>
                <m:sty m:val="p"/>
              </m:rPr>
              <m:t>|</m:t>
            </m:r>
          </m:e>
          <m:sub>
            <m:sSup>
              <m:e>
                <m:r>
                  <m:rPr>
                    <m:sty m:val="p"/>
                  </m:rPr>
                  <m:t>Γ</m:t>
                </m:r>
              </m:e>
              <m:sup>
                <m:r>
                  <m:rPr>
                    <m:sty m:val="p"/>
                  </m:rPr>
                  <m:t>′</m:t>
                </m:r>
              </m:sup>
            </m:sSup>
          </m:sub>
        </m:sSub>
      </m:oMath>
      <w:r>
        <w:t xml:space="preserve"> </w:t>
      </w:r>
      <w:r>
        <w:t xml:space="preserve">constitui um equilíbrio de Nash de</w:t>
      </w:r>
      <w:r>
        <w:t xml:space="preserve"> </w:t>
      </w:r>
      <m:oMath>
        <m:sSup>
          <m:e>
            <m:r>
              <m:rPr>
                <m:sty m:val="p"/>
              </m:rPr>
              <m:t>Γ</m:t>
            </m:r>
          </m:e>
          <m:sup>
            <m:r>
              <m:rPr>
                <m:sty m:val="p"/>
              </m:rPr>
              <m:t>′</m:t>
            </m:r>
          </m:sup>
        </m:sSup>
      </m:oMath>
      <w:r>
        <w:t xml:space="preserve">.</w:t>
      </w:r>
    </w:p>
    <w:p>
      <w:pPr>
        <w:pStyle w:val="BlockText"/>
      </w:pPr>
      <w:r>
        <w:rPr>
          <w:b/>
          <w:bCs/>
        </w:rPr>
        <w:t xml:space="preserve">Implicação imediata:</w:t>
      </w:r>
      <w:r>
        <w:t xml:space="preserve"> </w:t>
      </w:r>
      <w:r>
        <w:t xml:space="preserve">Em jogos de horizonte finito com informação perfeita (cada conjunto de informação é singleton), a indução retroativa identifica o único EPS.</w:t>
      </w:r>
    </w:p>
    <w:p>
      <w:pPr>
        <w:pStyle w:val="FirstParagraph"/>
      </w:pPr>
      <w:r>
        <w:t xml:space="preserve">O EPS é um</w:t>
      </w:r>
      <w:r>
        <w:t xml:space="preserve"> </w:t>
      </w:r>
      <w:r>
        <w:rPr>
          <w:b/>
          <w:bCs/>
        </w:rPr>
        <w:t xml:space="preserve">refinamento</w:t>
      </w:r>
      <w:r>
        <w:t xml:space="preserve"> </w:t>
      </w:r>
      <w:r>
        <w:t xml:space="preserve">do equilíbrio de Nash: todo EPS é um equilíbrio de Nash, mas nem todo equilíbrio de Nash é perfeito em subjogos. O EPS elimina equilíbrios sustentados por</w:t>
      </w:r>
      <w:r>
        <w:t xml:space="preserve"> </w:t>
      </w:r>
      <w:r>
        <w:rPr>
          <w:b/>
          <w:bCs/>
        </w:rPr>
        <w:t xml:space="preserve">ameaças não críveis</w:t>
      </w:r>
      <w:r>
        <w:t xml:space="preserve"> </w:t>
      </w:r>
      <w:r>
        <w:t xml:space="preserve">em subjogos fora do caminho de equilíbrio. Por que essa distinção importa? Porque em jogos dinâmicos, o equilíbrio de Nash permite que um jogador</w:t>
      </w:r>
      <w:r>
        <w:t xml:space="preserve"> </w:t>
      </w:r>
      <w:r>
        <w:t xml:space="preserve">“ameace”</w:t>
      </w:r>
      <w:r>
        <w:t xml:space="preserve"> </w:t>
      </w:r>
      <w:r>
        <w:t xml:space="preserve">com ações que nunca seriam racionais caso ele efetivamente precisasse executá-las. A exigência de racionalidade</w:t>
      </w:r>
      <w:r>
        <w:t xml:space="preserve"> </w:t>
      </w:r>
      <w:r>
        <w:rPr>
          <w:i/>
          <w:iCs/>
        </w:rPr>
        <w:t xml:space="preserve">em cada subjogo</w:t>
      </w:r>
      <w:r>
        <w:t xml:space="preserve"> </w:t>
      </w:r>
      <w:r>
        <w:t xml:space="preserve">— mesmo naqueles que nunca são alcançados em equilíbrio — é o que confere ao EPS seu poder de seleção.</w:t>
      </w:r>
    </w:p>
    <w:p>
      <w:pPr>
        <w:pStyle w:val="BodyText"/>
      </w:pPr>
      <w:r>
        <w:t xml:space="preserve">A noção de</w:t>
      </w:r>
      <w:r>
        <w:t xml:space="preserve"> </w:t>
      </w:r>
      <w:r>
        <w:rPr>
          <w:b/>
          <w:bCs/>
        </w:rPr>
        <w:t xml:space="preserve">credibilidade de ameaças</w:t>
      </w:r>
      <w:r>
        <w:t xml:space="preserve"> </w:t>
      </w:r>
      <w:r>
        <w:t xml:space="preserve">é, portanto, o coração conceitual do EPS. Uma ameaça é crível se, e somente se, o jogador que a profere teria interesse em executá-la caso fosse chamado a agir. Essa distinção é sutil mas economicamente poderosa. Considere um exemplo cotidiano: um pai que ameaça</w:t>
      </w:r>
      <w:r>
        <w:t xml:space="preserve"> </w:t>
      </w:r>
      <w:r>
        <w:t xml:space="preserve">“se você não estudar, vou cancelar as férias da família inteira”</w:t>
      </w:r>
      <w:r>
        <w:t xml:space="preserve"> </w:t>
      </w:r>
      <w:r>
        <w:t xml:space="preserve">profere uma ameaça que prejudica a si mesmo tanto quanto ao filho. Se o filho antecipa que o pai não cumprirá a ameaça (porque o próprio pai quer as férias), a ameaça perde efeito. Esse é precisamente o problema da ameaça não crível no jogo de entrada: a incumbente que ameaça lutar contra a entrante está ameaçando com uma ação que a prejudicaria caso fosse efetivamente executada.</w:t>
      </w:r>
    </w:p>
    <w:p>
      <w:pPr>
        <w:pStyle w:val="BodyText"/>
      </w:pPr>
      <w:r>
        <w:t xml:space="preserve">A distinção entre equilíbrios de Nash e EPS tem consequências práticas diretas. No Módulo 9a, analisamos jogos simultâneos nos quais todos os equilíbrios de Nash são automaticamente perfeitos em subjogos (porque o jogo inteiro é o único subjogo). Em jogos dinâmicos, a multiplicidade de equilíbrios de Nash é frequentemente ilusória: muitos deles dependem de ameaças vazias que ninguém cumpriria. A indução retroativa, ao descartar sistematicamente essas ameaças, reduz o conjunto de equilíbrios e produz previsões mais afinadas e empiricamente mais relevantes.</w:t>
      </w:r>
    </w:p>
    <w:p>
      <w:pPr>
        <w:pStyle w:val="BlockText"/>
      </w:pPr>
      <w:r>
        <w:rPr>
          <w:b/>
          <w:bCs/>
        </w:rPr>
        <w:t xml:space="preserve">[ATENCAO] Erro Comum</w:t>
      </w:r>
    </w:p>
    <w:p>
      <w:pPr>
        <w:pStyle w:val="BlockText"/>
      </w:pPr>
      <w:r>
        <w:rPr>
          <w:b/>
          <w:bCs/>
        </w:rPr>
        <w:t xml:space="preserve">Tratar EPS e equilíbrio de Nash como sinônimos.</w:t>
      </w:r>
    </w:p>
    <w:p>
      <w:pPr>
        <w:pStyle w:val="BlockText"/>
      </w:pPr>
      <w:r>
        <w:t xml:space="preserve">Todo EPS é um equilíbrio de Nash, mas a recíproca é</w:t>
      </w:r>
      <w:r>
        <w:t xml:space="preserve"> </w:t>
      </w:r>
      <w:r>
        <w:rPr>
          <w:b/>
          <w:bCs/>
        </w:rPr>
        <w:t xml:space="preserve">falsa</w:t>
      </w:r>
      <w:r>
        <w:t xml:space="preserve">. A diferença é sutil, mas economicamente crucial.</w:t>
      </w:r>
    </w:p>
    <w:p>
      <w:pPr>
        <w:pStyle w:val="BlockText"/>
      </w:pPr>
      <w:r>
        <w:rPr>
          <w:b/>
          <w:bCs/>
        </w:rPr>
        <w:t xml:space="preserve">Por que todo EPS é NE?</w:t>
      </w:r>
      <w:r>
        <w:t xml:space="preserve"> </w:t>
      </w:r>
      <w:r>
        <w:t xml:space="preserve">Porque o jogo completo é, ele próprio, um subjogo. Logo, um EPS — que exige NE em todo subjogo — exige NE no jogo inteiro.</w:t>
      </w:r>
    </w:p>
    <w:p>
      <w:pPr>
        <w:pStyle w:val="BlockText"/>
      </w:pPr>
      <w:r>
        <w:rPr>
          <w:b/>
          <w:bCs/>
        </w:rPr>
        <w:t xml:space="preserve">Por que NE não implica EPS?</w:t>
      </w:r>
      <w:r>
        <w:t xml:space="preserve"> </w:t>
      </w:r>
      <w:r>
        <w:t xml:space="preserve">O equilíbrio de Nash só exige que nenhum jogador queira desviar</w:t>
      </w:r>
      <w:r>
        <w:t xml:space="preserve"> </w:t>
      </w:r>
      <w:r>
        <w:rPr>
          <w:i/>
          <w:iCs/>
        </w:rPr>
        <w:t xml:space="preserve">dada a estratégia dos outros</w:t>
      </w:r>
      <w:r>
        <w:t xml:space="preserve">. Nada impede que estratégias fora do caminho de equilíbrio sejam irracionais. No jogo de entrada, o equilíbrio (Não entra, Lutar) é um NE — I nunca é chamado a agir, então a ameaça de lutar não é testada. Mas se E entrasse, I preferiria acomodar (</w:t>
      </w:r>
      <m:oMath>
        <m:r>
          <m:t>1</m:t>
        </m:r>
        <m:r>
          <m:rPr>
            <m:sty m:val="p"/>
          </m:rPr>
          <m:t>&gt;</m:t>
        </m:r>
        <m:r>
          <m:rPr>
            <m:sty m:val="p"/>
          </m:rPr>
          <m:t>−</m:t>
        </m:r>
        <m:r>
          <m:t>1</m:t>
        </m:r>
      </m:oMath>
      <w:r>
        <w:t xml:space="preserve">): a ameaça é vazia.</w:t>
      </w:r>
    </w:p>
    <w:p>
      <w:pPr>
        <w:pStyle w:val="BlockText"/>
      </w:pPr>
      <w:r>
        <w:rPr>
          <w:b/>
          <w:bCs/>
        </w:rPr>
        <w:t xml:space="preserve">Regra prática:</w:t>
      </w:r>
      <w:r>
        <w:t xml:space="preserve"> </w:t>
      </w:r>
      <w:r>
        <w:t xml:space="preserve">Use indução retroativa para encontrar o EPS. Se você encontrar múltiplos NE, verifique cada um: o(s) NE que envolve(m) ameaças não críveis em algum subjogo não é(são) EPS.</w:t>
      </w:r>
    </w:p>
    <w:p>
      <w:pPr>
        <w:pStyle w:val="BlockText"/>
      </w:pPr>
      <w:r>
        <w:rPr>
          <w:b/>
          <w:bCs/>
        </w:rPr>
        <w:t xml:space="preserve">[INFORMACAO] 🏅 Prêmio Nobel — Reinhard Selten (1994)</w:t>
      </w:r>
    </w:p>
    <w:p>
      <w:pPr>
        <w:pStyle w:val="BlockText"/>
      </w:pPr>
      <w:r>
        <w:rPr>
          <w:b/>
          <w:bCs/>
        </w:rPr>
        <w:t xml:space="preserve">Reinhard Selten</w:t>
      </w:r>
      <w:r>
        <w:t xml:space="preserve"> </w:t>
      </w:r>
      <w:r>
        <w:t xml:space="preserve">(1930–2016) foi um economista alemão, nascido em Breslau (atual Wrocław, Polônia). Obteve o PhD na Universidade de Frankfurt e foi professor na Universidade de Bonn. Dividiu o Nobel com Nash e Harsanyi.</w:t>
      </w:r>
    </w:p>
    <w:p>
      <w:pPr>
        <w:pStyle w:val="BlockText"/>
      </w:pPr>
      <w:r>
        <w:rPr>
          <w:b/>
          <w:bCs/>
        </w:rPr>
        <w:t xml:space="preserve">Por que ganhou o Nobel:</w:t>
      </w:r>
      <w:r>
        <w:t xml:space="preserve"> </w:t>
      </w:r>
      <w:r>
        <w:t xml:space="preserve">Selten introduziu refinamentos do equilíbrio de Nash que eliminam equilíbrios sustentados por ameaças não críveis. O equilíbrio perfeito em subjogos (1965) exige que a estratégia de cada jogador seja ótima em todo subjogo — não apenas no jogo como um todo. Posteriormente, propôs o conceito de</w:t>
      </w:r>
      <w:r>
        <w:t xml:space="preserve"> </w:t>
      </w:r>
      <w:r>
        <w:rPr>
          <w:i/>
          <w:iCs/>
        </w:rPr>
        <w:t xml:space="preserve">trembling hand perfection</w:t>
      </w:r>
      <w:r>
        <w:t xml:space="preserve"> </w:t>
      </w:r>
      <w:r>
        <w:t xml:space="preserve">(1975), que testa a robustez do equilíbrio a pequenos erros.</w:t>
      </w:r>
    </w:p>
    <w:p>
      <w:pPr>
        <w:pStyle w:val="BlockText"/>
      </w:pPr>
      <w:r>
        <w:rPr>
          <w:b/>
          <w:bCs/>
        </w:rPr>
        <w:t xml:space="preserve">Conexão com este capítulo:</w:t>
      </w:r>
      <w:r>
        <w:t xml:space="preserve"> </w:t>
      </w:r>
      <w:r>
        <w:t xml:space="preserve">O equilíbrio perfeito em subjogos (EPS) é a ferramenta central deste capítulo sobre jogos dinâmicos. A indução retroativa — o método de resolução que identifica o EPS — elimina ameaças não críveis e gera previsões mais refinadas do que o equilíbrio de Nash simples, como demonstrado nos jogos sequenciais analisados aqui.</w:t>
      </w:r>
    </w:p>
    <w:p>
      <w:pPr>
        <w:pStyle w:val="BlockText"/>
      </w:pPr>
      <w:r>
        <w:rPr>
          <w:b/>
          <w:bCs/>
        </w:rPr>
        <w:t xml:space="preserve">[INTUICAO ECONOMICA] Intuição Econômica</w:t>
      </w:r>
    </w:p>
    <w:p>
      <w:pPr>
        <w:pStyle w:val="BlockText"/>
      </w:pPr>
      <w:r>
        <w:rPr>
          <w:b/>
          <w:bCs/>
        </w:rPr>
        <w:t xml:space="preserve">Em uma frase:</w:t>
      </w:r>
      <w:r>
        <w:t xml:space="preserve"> </w:t>
      </w:r>
      <w:r>
        <w:t xml:space="preserve">Indução retroativa significa pensar</w:t>
      </w:r>
      <w:r>
        <w:t xml:space="preserve"> </w:t>
      </w:r>
      <w:r>
        <w:t xml:space="preserve">“de trás para frente”</w:t>
      </w:r>
      <w:r>
        <w:t xml:space="preserve"> </w:t>
      </w:r>
      <w:r>
        <w:t xml:space="preserve">— comece pelo final do jogo, determine o que é racional ali, e trabalhe em direção ao início.</w:t>
      </w:r>
    </w:p>
    <w:p>
      <w:pPr>
        <w:pStyle w:val="BlockText"/>
      </w:pPr>
      <w:r>
        <w:rPr>
          <w:b/>
          <w:bCs/>
        </w:rPr>
        <w:t xml:space="preserve">O método passo a passo:</w:t>
      </w:r>
      <w:r>
        <w:t xml:space="preserve"> </w:t>
      </w:r>
      <w:r>
        <w:t xml:space="preserve">(1) Identifique o último nó de decisão da árvore. (2) Determine a ação ótima do jogador nesse nó. (3) Substitua esse nó pelo payoff resultante e</w:t>
      </w:r>
      <w:r>
        <w:t xml:space="preserve"> </w:t>
      </w:r>
      <w:r>
        <w:t xml:space="preserve">“corte”</w:t>
      </w:r>
      <w:r>
        <w:t xml:space="preserve"> </w:t>
      </w:r>
      <w:r>
        <w:t xml:space="preserve">o galho. (4) Repita o processo para o penúltimo nó, e assim por diante. (5) O resultado é o EPS.</w:t>
      </w:r>
    </w:p>
    <w:p>
      <w:pPr>
        <w:pStyle w:val="BlockText"/>
      </w:pPr>
      <w:r>
        <w:rPr>
          <w:b/>
          <w:bCs/>
        </w:rPr>
        <w:t xml:space="preserve">Pense assim:</w:t>
      </w:r>
      <w:r>
        <w:t xml:space="preserve"> </w:t>
      </w:r>
      <w:r>
        <w:t xml:space="preserve">Quando uma grande rede de supermercados ameaça derrubar preços para expulsar um mercadinho de bairro, o mercadinho precisa avaliar: essa ameaça é crível? Se a guerra de preços der prejuízo também para a rede, ela não vai cumprir a ameaça. Pensar de trás para frente revela quais ameaças são blefe.</w:t>
      </w:r>
    </w:p>
    <w:p>
      <w:pPr>
        <w:pStyle w:val="BlockText"/>
      </w:pPr>
      <w:r>
        <w:rPr>
          <w:b/>
          <w:bCs/>
        </w:rPr>
        <w:t xml:space="preserve">Por que isso importa:</w:t>
      </w:r>
      <w:r>
        <w:t xml:space="preserve"> </w:t>
      </w:r>
      <w:r>
        <w:t xml:space="preserve">O CADE usa essa lógica ao analisar se barreiras à entrada são reais ou apenas ameaças vazias de empresas dominantes. A credibilidade da ameaça — não apenas sua existência — é o que determina o resultado do jogo.</w:t>
      </w:r>
    </w:p>
    <w:p>
      <w:pPr>
        <w:pStyle w:val="BlockText"/>
      </w:pPr>
      <w:r>
        <w:rPr>
          <w:b/>
          <w:bCs/>
        </w:rPr>
        <w:t xml:space="preserve">O paradoxo da credibilidade:</w:t>
      </w:r>
      <w:r>
        <w:t xml:space="preserve"> </w:t>
      </w:r>
      <w:r>
        <w:t xml:space="preserve">Para que uma ameaça funcione, ela</w:t>
      </w:r>
      <w:r>
        <w:t xml:space="preserve"> </w:t>
      </w:r>
      <w:r>
        <w:rPr>
          <w:i/>
          <w:iCs/>
        </w:rPr>
        <w:t xml:space="preserve">não</w:t>
      </w:r>
      <w:r>
        <w:t xml:space="preserve"> </w:t>
      </w:r>
      <w:r>
        <w:t xml:space="preserve">pode ser executada em equilíbrio. Se o rival acredita na ameaça e não entra, a ameaça nunca é testada. Mas se ela não seria executada caso fosse testada, por que o rival acreditaria? Esse é o papel do comprometimento (Schelling, 1960).</w:t>
      </w:r>
    </w:p>
    <w:p>
      <w:pPr>
        <w:pStyle w:val="FirstParagraph"/>
      </w:pPr>
      <w:r>
        <w:t xml:space="preserve">Para tornar esses conceitos concretos, considere o problema clássico de deterrência de entrada — uma situação onipresente em mercados concentrados. Uma firma incumbente ameaça</w:t>
      </w:r>
      <w:r>
        <w:t xml:space="preserve"> </w:t>
      </w:r>
      <w:r>
        <w:t xml:space="preserve">“lutar”</w:t>
      </w:r>
      <w:r>
        <w:t xml:space="preserve"> </w:t>
      </w:r>
      <w:r>
        <w:t xml:space="preserve">caso uma rival entre no mercado. Mas essa ameaça é crível? A indução retroativa nos permite responder com rigor.</w:t>
      </w:r>
    </w:p>
    <w:bookmarkEnd w:id="519"/>
    <w:bookmarkStart w:id="520" w:name="exemplo-jogo-de-entrada"/>
    <w:p>
      <w:pPr>
        <w:pStyle w:val="Heading4"/>
      </w:pPr>
      <w:r>
        <w:t xml:space="preserve">Exemplo: Jogo de entrada</w:t>
      </w:r>
    </w:p>
    <w:p>
      <w:pPr>
        <w:pStyle w:val="BlockText"/>
      </w:pPr>
      <w:r>
        <w:rPr>
          <w:b/>
          <w:bCs/>
        </w:rPr>
        <w:t xml:space="preserve">[EXEMPLO] Jogo de entrada (deterrência)</w:t>
      </w:r>
    </w:p>
    <w:p>
      <w:pPr>
        <w:pStyle w:val="BlockText"/>
      </w:pPr>
      <w:r>
        <w:t xml:space="preserve">A firma entrante (E) decide se entra ou não. Se E entra, a firma incumbente (I) decide se luta (L) ou acomoda (A).</w:t>
      </w:r>
    </w:p>
    <w:p>
      <w:pPr>
        <w:pStyle w:val="BlockText"/>
      </w:pPr>
      <w:r>
        <w:t xml:space="preserve">Payoffs: Se E não entra:</w:t>
      </w:r>
      <w:r>
        <w:t xml:space="preserve"> </w:t>
      </w:r>
      <m:oMath>
        <m:r>
          <m:rPr>
            <m:sty m:val="p"/>
          </m:rPr>
          <m:t>(</m:t>
        </m:r>
        <m:r>
          <m:t>0</m:t>
        </m:r>
        <m:r>
          <m:rPr>
            <m:sty m:val="p"/>
          </m:rPr>
          <m:t>,</m:t>
        </m:r>
        <m:r>
          <m:t>2</m:t>
        </m:r>
        <m:r>
          <m:rPr>
            <m:sty m:val="p"/>
          </m:rPr>
          <m:t>)</m:t>
        </m:r>
      </m:oMath>
      <w:r>
        <w:t xml:space="preserve">. Se E entra e I acomoda:</w:t>
      </w:r>
      <w:r>
        <w:t xml:space="preserve"> </w:t>
      </w:r>
      <m:oMath>
        <m:r>
          <m:rPr>
            <m:sty m:val="p"/>
          </m:rPr>
          <m:t>(</m:t>
        </m:r>
        <m:r>
          <m:t>1</m:t>
        </m:r>
        <m:r>
          <m:rPr>
            <m:sty m:val="p"/>
          </m:rPr>
          <m:t>,</m:t>
        </m:r>
        <m:r>
          <m:t>1</m:t>
        </m:r>
        <m:r>
          <m:rPr>
            <m:sty m:val="p"/>
          </m:rPr>
          <m:t>)</m:t>
        </m:r>
      </m:oMath>
      <w:r>
        <w:t xml:space="preserve">. Se E entra e I luta:</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BlockText"/>
      </w:pPr>
      <w:r>
        <w:rPr>
          <w:b/>
          <w:bCs/>
        </w:rPr>
        <w:t xml:space="preserve">Equilíbrios de Nash</w:t>
      </w:r>
      <w:r>
        <w:t xml:space="preserve">: (Não entra, Luta) e (Entra, Acomoda). Porém, no primeiro equilíbrio a ameaça de I de lutar</w:t>
      </w:r>
      <w:r>
        <w:t xml:space="preserve"> </w:t>
      </w:r>
      <w:r>
        <w:rPr>
          <w:b/>
          <w:bCs/>
        </w:rPr>
        <w:t xml:space="preserve">não é crível</w:t>
      </w:r>
      <w:r>
        <w:t xml:space="preserve">: no subjogo após a entrada, Lutar dá</w:t>
      </w:r>
      <w:r>
        <w:t xml:space="preserve"> </w:t>
      </w:r>
      <m:oMath>
        <m:r>
          <m:rPr>
            <m:sty m:val="p"/>
          </m:rPr>
          <m:t>−</m:t>
        </m:r>
        <m:r>
          <m:t>1</m:t>
        </m:r>
      </m:oMath>
      <w:r>
        <w:t xml:space="preserve"> </w:t>
      </w:r>
      <w:r>
        <w:t xml:space="preserve">a I, enquanto Acomodar dá</w:t>
      </w:r>
      <w:r>
        <w:t xml:space="preserve"> </w:t>
      </w:r>
      <m:oMath>
        <m:r>
          <m:t>1</m:t>
        </m:r>
      </m:oMath>
      <w:r>
        <w:t xml:space="preserve">. Logo, por indução retroativa, o único EPS é</w:t>
      </w:r>
      <w:r>
        <w:t xml:space="preserve"> </w:t>
      </w:r>
      <w:r>
        <w:rPr>
          <w:b/>
          <w:bCs/>
        </w:rPr>
        <w:t xml:space="preserve">(Entra, Acomoda)</w:t>
      </w:r>
      <w:r>
        <w:t xml:space="preserve">.</w:t>
      </w:r>
    </w:p>
    <w:p>
      <w:pPr>
        <w:pStyle w:val="BlockText"/>
      </w:pPr>
      <w:r>
        <w:t xml:space="preserve">A ameaça</w:t>
      </w:r>
      <w:r>
        <w:t xml:space="preserve"> </w:t>
      </w:r>
      <w:r>
        <w:t xml:space="preserve">“se você entrar, eu luto”</w:t>
      </w:r>
      <w:r>
        <w:t xml:space="preserve"> </w:t>
      </w:r>
      <w:r>
        <w:t xml:space="preserve">não é crível porque, no momento em que I precisa decidir, lutar é pior do que acomodar. O EPS descarta esse equilíbrio.</w:t>
      </w:r>
    </w:p>
    <w:p>
      <w:pPr>
        <w:pStyle w:val="FirstParagraph"/>
      </w:pPr>
      <w:r>
        <w:t xml:space="preserve">[FIGURA INTERATIVA: /micro-book/graficos/cap09/jogo-sequencial.html — versao interativa disponivel online]</w:t>
      </w:r>
    </w:p>
    <w:p>
      <w:pPr>
        <w:pStyle w:val="BodyText"/>
      </w:pPr>
      <w:r>
        <w:rPr>
          <w:b/>
          <w:bCs/>
        </w:rPr>
        <w:t xml:space="preserve">Figura 9b.1 — Jogo sequencial na forma extensiva.</w:t>
      </w:r>
      <w:r>
        <w:t xml:space="preserve"> </w:t>
      </w:r>
      <w:r>
        <w:t xml:space="preserve">Selecione um jogo predefinido (Deterrência de Entrada ou Stackelberg), edite os payoffs nos nós terminais e resolva por indução retroativa. O caminho do EPS é destacado em vermelho.</w:t>
      </w:r>
    </w:p>
    <w:p>
      <w:pPr>
        <w:pStyle w:val="BodyText"/>
      </w:pPr>
      <w:r>
        <w:t xml:space="preserve">[FIGURA INTERATIVA: /micro-book/graficos/cap09b/backward-induction.html — versao interativa disponivel online]</w:t>
      </w:r>
    </w:p>
    <w:p>
      <w:pPr>
        <w:pStyle w:val="BodyText"/>
      </w:pPr>
      <w:r>
        <w:rPr>
          <w:b/>
          <w:bCs/>
        </w:rPr>
        <w:t xml:space="preserve">Figura 9b.3 — Indução retroativa interativa.</w:t>
      </w:r>
      <w:r>
        <w:t xml:space="preserve"> </w:t>
      </w:r>
      <w:r>
        <w:t xml:space="preserve">Ajuste os payoffs do entrante e do incumbente e veja a indução retroativa em ação: o EPS muda em tempo real. Quando a ameaça de guerra não é crível, o algoritmo identifica e sinaliza.</w:t>
      </w:r>
    </w:p>
    <w:bookmarkEnd w:id="520"/>
    <w:bookmarkStart w:id="521" w:name="comprometimento-e-vantagem-estratégica"/>
    <w:p>
      <w:pPr>
        <w:pStyle w:val="Heading4"/>
      </w:pPr>
      <w:r>
        <w:t xml:space="preserve">Comprometimento e vantagem estratégica</w:t>
      </w:r>
    </w:p>
    <w:p>
      <w:pPr>
        <w:pStyle w:val="FirstParagraph"/>
      </w:pPr>
      <w:r>
        <w:t xml:space="preserve">No gráfico interativo abaixo, visualize o modelo de Stackelberg vs. Cournot. A líder escolhe</w:t>
      </w:r>
      <w:r>
        <w:t xml:space="preserve"> </w:t>
      </w:r>
      <m:oMath>
        <m:sSub>
          <m:e>
            <m:r>
              <m:t>q</m:t>
            </m:r>
          </m:e>
          <m:sub>
            <m:r>
              <m:t>1</m:t>
            </m:r>
          </m:sub>
        </m:sSub>
      </m:oMath>
      <w:r>
        <w:t xml:space="preserve"> </w:t>
      </w:r>
      <w:r>
        <w:t xml:space="preserve">primeiro e a seguidora responde sobre sua curva de melhor resposta.</w:t>
      </w:r>
    </w:p>
    <w:p>
      <w:pPr>
        <w:pStyle w:val="BodyText"/>
      </w:pPr>
      <w:r>
        <w:t xml:space="preserve">[FIGURA INTERATIVA: /micro-book/graficos/cap09b/commitment-stackelberg.html — versao interativa disponivel online]</w:t>
      </w:r>
    </w:p>
    <w:p>
      <w:pPr>
        <w:pStyle w:val="BodyText"/>
      </w:pPr>
      <w:r>
        <w:rPr>
          <w:b/>
          <w:bCs/>
        </w:rPr>
        <w:t xml:space="preserve">Figura 9b.5 — Stackelberg vs. Cournot.</w:t>
      </w:r>
      <w:r>
        <w:t xml:space="preserve"> </w:t>
      </w:r>
      <w:r>
        <w:t xml:space="preserve">As curvas são as melhores respostas das firmas 1 (vermelho) e 2 (azul). O ponto verde é o equilíbrio de Cournot (simultâneo); o ponto laranja é o de Stackelberg (sequencial). A líder produz mais e lucra mais — o comprometimento de mover primeiro confere vantagem.</w:t>
      </w:r>
    </w:p>
    <w:p>
      <w:pPr>
        <w:pStyle w:val="BodyText"/>
      </w:pPr>
      <w:r>
        <w:t xml:space="preserve">O exemplo anterior mostra que ameaças vazias são descartadas pela indução retroativa. Mas será que a incumbente está condenada a acomodar a entrada? Não necessariamente. Se ela puder tomar ações</w:t>
      </w:r>
      <w:r>
        <w:t xml:space="preserve"> </w:t>
      </w:r>
      <w:r>
        <w:rPr>
          <w:i/>
          <w:iCs/>
        </w:rPr>
        <w:t xml:space="preserve">antes</w:t>
      </w:r>
      <w:r>
        <w:t xml:space="preserve"> </w:t>
      </w:r>
      <w:r>
        <w:t xml:space="preserve">do jogo que alterem seus próprios payoffs futuros, a ameaça pode se tornar crível. Esse é o papel do</w:t>
      </w:r>
      <w:r>
        <w:t xml:space="preserve"> </w:t>
      </w:r>
      <w:r>
        <w:rPr>
          <w:b/>
          <w:bCs/>
        </w:rPr>
        <w:t xml:space="preserve">comprometimento</w:t>
      </w:r>
      <w:r>
        <w:t xml:space="preserve"> </w:t>
      </w:r>
      <w:r>
        <w:t xml:space="preserve">— a arte de restringir as próprias opções para ganhar poder estratégico. Parece paradoxal: como se limitar pode ser vantajoso? A resposta é que, ao eliminar a possibilidade de recuar, o jogador torna sua ameaça inevitável aos olhos do rival. Na prática, o comprometimento assume diversas formas:</w:t>
      </w:r>
    </w:p>
    <w:p>
      <w:pPr>
        <w:pStyle w:val="Compact"/>
        <w:numPr>
          <w:ilvl w:val="0"/>
          <w:numId w:val="1487"/>
        </w:numPr>
      </w:pPr>
      <w:r>
        <w:rPr>
          <w:b/>
          <w:bCs/>
        </w:rPr>
        <w:t xml:space="preserve">Investimento irreversível em capacidade</w:t>
      </w:r>
      <w:r>
        <w:t xml:space="preserve">: se I investe em uma fábrica grande</w:t>
      </w:r>
      <w:r>
        <w:t xml:space="preserve"> </w:t>
      </w:r>
      <w:r>
        <w:rPr>
          <w:i/>
          <w:iCs/>
        </w:rPr>
        <w:t xml:space="preserve">antes</w:t>
      </w:r>
      <w:r>
        <w:t xml:space="preserve"> </w:t>
      </w:r>
      <w:r>
        <w:t xml:space="preserve">da decisão de entrada, o custo de lutar cai (a capacidade já existe), tornando a ameaça crível. Esse mecanismo, formalizado por Dixit (1980), explica por que firmas incumbentes frequentemente superdimensionam sua capacidade produtiva: não por ineficiência, mas como sinalização estratégica.</w:t>
      </w:r>
    </w:p>
    <w:p>
      <w:pPr>
        <w:pStyle w:val="Compact"/>
        <w:numPr>
          <w:ilvl w:val="0"/>
          <w:numId w:val="1487"/>
        </w:numPr>
      </w:pPr>
      <w:r>
        <w:rPr>
          <w:b/>
          <w:bCs/>
        </w:rPr>
        <w:t xml:space="preserve">Contratos vinculantes</w:t>
      </w:r>
      <w:r>
        <w:t xml:space="preserve">: cláusulas de</w:t>
      </w:r>
      <w:r>
        <w:t xml:space="preserve"> </w:t>
      </w:r>
      <w:r>
        <w:t xml:space="preserve">“preço mais baixo garantido”</w:t>
      </w:r>
      <w:r>
        <w:t xml:space="preserve"> </w:t>
      </w:r>
      <w:r>
        <w:t xml:space="preserve">comprometem a firma a igualar preços, alterando os payoffs do jogo. No setor de telecomunicações brasileiro, contratos de fidelidade com penalidades elevadas funcionam como mecanismo de comprometimento contra novas entradas.</w:t>
      </w:r>
    </w:p>
    <w:p>
      <w:pPr>
        <w:pStyle w:val="Compact"/>
        <w:numPr>
          <w:ilvl w:val="0"/>
          <w:numId w:val="1487"/>
        </w:numPr>
      </w:pPr>
      <w:r>
        <w:rPr>
          <w:b/>
          <w:bCs/>
        </w:rPr>
        <w:t xml:space="preserve">Reputação</w:t>
      </w:r>
      <w:r>
        <w:t xml:space="preserve">: em jogos repetidos com múltiplos entrantes, lutar contra o primeiro pode ser racional para estabelecer reputação de dureza. A Ambev, ao responder agressivamente às entradas de cervejas importadas em determinados segmentos, construiu reputação que desincentivou futuros concorrentes.</w:t>
      </w:r>
    </w:p>
    <w:p>
      <w:pPr>
        <w:pStyle w:val="FirstParagraph"/>
      </w:pPr>
      <w:r>
        <w:t xml:space="preserve">A lógica do comprometimento conecta-se diretamente aos resultados do Módulo 9a sobre estratégias dominantes e ao Módulo 9d sobre sinalização: em todos esses contextos, ações cujo custo direto parece injustificado adquirem racionalidade quando se considera seu efeito sobre as crenças e ações do oponente.</w:t>
      </w:r>
    </w:p>
    <w:p>
      <w:pPr>
        <w:pStyle w:val="BodyText"/>
      </w:pPr>
      <w:r>
        <w:t xml:space="preserve">O conceito de</w:t>
      </w:r>
      <w:r>
        <w:t xml:space="preserve"> </w:t>
      </w:r>
      <w:r>
        <w:rPr>
          <w:b/>
          <w:bCs/>
        </w:rPr>
        <w:t xml:space="preserve">dispositivo de comprometimento</w:t>
      </w:r>
      <w:r>
        <w:t xml:space="preserve"> </w:t>
      </w:r>
      <w:r>
        <w:t xml:space="preserve">(</w:t>
      </w:r>
      <w:r>
        <w:rPr>
          <w:i/>
          <w:iCs/>
        </w:rPr>
        <w:t xml:space="preserve">commitment device</w:t>
      </w:r>
      <w:r>
        <w:t xml:space="preserve">) vai além do contexto estratégico. No Capítulo 18, sobre escolha intertemporal, veremos que indivíduos com preferências inconsistentes no tempo (desconto hiperbólico) ganham ao restringir suas próprias opções futuras — contas de poupança com penalidade por saque, metas públicas de política fiscal. O princípio é o mesmo: reduzir o conjunto de ações disponíveis pode ser estrategicamente vantajoso quando essa redução altera as expectativas dos demais agentes (ou do</w:t>
      </w:r>
      <w:r>
        <w:t xml:space="preserve"> </w:t>
      </w:r>
      <w:r>
        <w:t xml:space="preserve">“eu futuro”</w:t>
      </w:r>
      <w:r>
        <w:t xml:space="preserve">). Na política econômica, a independência do Banco Central (LC 179/2021) e as regras fiscais (arcabouço fiscal) são dispositivos de comprometimento: a restrição voluntária torna as ações futuras previsíveis e as promessas críveis.</w:t>
      </w:r>
    </w:p>
    <w:p>
      <w:pPr>
        <w:pStyle w:val="BlockText"/>
      </w:pPr>
      <w:r>
        <w:rPr>
          <w:b/>
          <w:bCs/>
        </w:rPr>
        <w:t xml:space="preserve">[INTUICAO ECONOMICA] Intuição Econômica</w:t>
      </w:r>
    </w:p>
    <w:p>
      <w:pPr>
        <w:pStyle w:val="BlockText"/>
      </w:pPr>
      <w:r>
        <w:rPr>
          <w:b/>
          <w:bCs/>
        </w:rPr>
        <w:t xml:space="preserve">Em uma frase:</w:t>
      </w:r>
      <w:r>
        <w:t xml:space="preserve"> </w:t>
      </w:r>
      <w:r>
        <w:t xml:space="preserve">Comprometer-se é ganhar poder ao restringir suas próprias opções — um paradoxo que está no coração da estratégia.</w:t>
      </w:r>
    </w:p>
    <w:p>
      <w:pPr>
        <w:pStyle w:val="BlockText"/>
      </w:pPr>
      <w:r>
        <w:rPr>
          <w:b/>
          <w:bCs/>
        </w:rPr>
        <w:t xml:space="preserve">O paradoxo de Schelling:</w:t>
      </w:r>
      <w:r>
        <w:t xml:space="preserve"> </w:t>
      </w:r>
      <w:r>
        <w:t xml:space="preserve">Thomas Schelling (1960) demonstrou que, em negociações, a fraqueza pode ser uma força. Um negociador que</w:t>
      </w:r>
      <w:r>
        <w:t xml:space="preserve"> </w:t>
      </w:r>
      <w:r>
        <w:rPr>
          <w:i/>
          <w:iCs/>
        </w:rPr>
        <w:t xml:space="preserve">não pode</w:t>
      </w:r>
      <w:r>
        <w:t xml:space="preserve"> </w:t>
      </w:r>
      <w:r>
        <w:t xml:space="preserve">fazer concessões — porque está vinculado a um mandato rígido, ou porque destruiu a ponte de volta — está em posição mais forte do que um negociador flexível. O oponente sabe que não adianta pressionar: o comprometimento é irrevogável.</w:t>
      </w:r>
    </w:p>
    <w:p>
      <w:pPr>
        <w:pStyle w:val="BlockText"/>
      </w:pPr>
      <w:r>
        <w:rPr>
          <w:b/>
          <w:bCs/>
        </w:rPr>
        <w:t xml:space="preserve">Exemplos no dia a dia:</w:t>
      </w:r>
      <w:r>
        <w:t xml:space="preserve"> </w:t>
      </w:r>
      <w:r>
        <w:t xml:space="preserve">(1) Queimar navios — Cortés eliminou a retirada. (2) Cláusulas contratuais de rescisão elevada — tornam a saída custosa e, portanto, crível a permanência. (3) Investimento em marca e reputação — uma empresa que investiu bilhões em sua marca tem mais a perder com comportamento oportunista, tornando crível seu comprometimento com a qualidade. (4) Metas de inflação públicas — o Banco Central que anuncia uma meta e se submete a prestação de contas torna crível seu comprometimento com a estabilidade de preços.</w:t>
      </w:r>
    </w:p>
    <w:p>
      <w:pPr>
        <w:pStyle w:val="BlockText"/>
      </w:pPr>
      <w:r>
        <w:rPr>
          <w:b/>
          <w:bCs/>
        </w:rPr>
        <w:t xml:space="preserve">Quando o comprometimento falha:</w:t>
      </w:r>
      <w:r>
        <w:t xml:space="preserve"> </w:t>
      </w:r>
      <w:r>
        <w:t xml:space="preserve">O dispositivo de comprometimento perde efeito se: (i) pode ser revertido (a</w:t>
      </w:r>
      <w:r>
        <w:t xml:space="preserve"> </w:t>
      </w:r>
      <w:r>
        <w:t xml:space="preserve">“regra”</w:t>
      </w:r>
      <w:r>
        <w:t xml:space="preserve"> </w:t>
      </w:r>
      <w:r>
        <w:t xml:space="preserve">tem tantas exceções que é letra morta); (ii) o custo do comprometimento excede o benefício estratégico (investir K &gt; 9 no modelo de Dixit); (iii) os rivais não observam ou não acreditam no comprometimento (problema de informação — conecta-se ao Módulo 9d sobre sinalização).</w:t>
      </w:r>
    </w:p>
    <w:bookmarkEnd w:id="521"/>
    <w:bookmarkEnd w:id="522"/>
    <w:bookmarkEnd w:id="523"/>
    <w:bookmarkStart w:id="529" w:name="dividir-o-bolo-modelos-de-barganha"/>
    <w:p>
      <w:pPr>
        <w:pStyle w:val="Heading2"/>
      </w:pPr>
      <w:r>
        <w:t xml:space="preserve">Dividir o Bolo: Modelos de Barganha</w:t>
      </w:r>
    </w:p>
    <w:bookmarkStart w:id="528" w:name="b.3-dividir-o-bolo-modelos-de-barganha"/>
    <w:p>
      <w:pPr>
        <w:pStyle w:val="Heading3"/>
      </w:pPr>
      <w:r>
        <w:t xml:space="preserve">9b.3 Dividir o Bolo: Modelos de Barganha</w:t>
      </w:r>
    </w:p>
    <w:p>
      <w:pPr>
        <w:pStyle w:val="FirstParagraph"/>
      </w:pPr>
      <w:r>
        <w:t xml:space="preserve">Última peça do módulo — e talvez a mais intuitiva. Jogos repetidos tratam de cooperação ao longo do tempo;</w:t>
      </w:r>
      <w:r>
        <w:t xml:space="preserve"> </w:t>
      </w:r>
      <w:r>
        <w:rPr>
          <w:b/>
          <w:bCs/>
        </w:rPr>
        <w:t xml:space="preserve">barganha</w:t>
      </w:r>
      <w:r>
        <w:t xml:space="preserve"> </w:t>
      </w:r>
      <w:r>
        <w:t xml:space="preserve">trata de</w:t>
      </w:r>
      <w:r>
        <w:t xml:space="preserve"> </w:t>
      </w:r>
      <w:r>
        <w:rPr>
          <w:i/>
          <w:iCs/>
        </w:rPr>
        <w:t xml:space="preserve">como dividir o bolo</w:t>
      </w:r>
      <w:r>
        <w:t xml:space="preserve">. Compradores e vendedores pechinchando, sindicatos negociando salário, países dividindo quotas de pesca — todos enfrentam a mesma pergunta:</w:t>
      </w:r>
      <w:r>
        <w:t xml:space="preserve"> </w:t>
      </w:r>
      <w:r>
        <w:t xml:space="preserve">“quanto fica para mim, quanto fica para você?”</w:t>
      </w:r>
      <w:r>
        <w:t xml:space="preserve"> </w:t>
      </w:r>
      <w:r>
        <w:t xml:space="preserve">A teoria da barganha formaliza essa negociação, e o resultado depende de um fator que a sabedoria popular já conhece:</w:t>
      </w:r>
      <w:r>
        <w:t xml:space="preserve"> </w:t>
      </w:r>
      <w:r>
        <w:rPr>
          <w:b/>
          <w:bCs/>
        </w:rPr>
        <w:t xml:space="preserve">quem pode esperar mais, leva mais</w:t>
      </w:r>
      <w:r>
        <w:t xml:space="preserve">. A paciência é poder.</w:t>
      </w:r>
    </w:p>
    <w:bookmarkStart w:id="524" w:name="o-jogo-do-ultimato"/>
    <w:p>
      <w:pPr>
        <w:pStyle w:val="Heading4"/>
      </w:pPr>
      <w:r>
        <w:t xml:space="preserve">O Jogo do Ultimato</w:t>
      </w:r>
    </w:p>
    <w:p>
      <w:pPr>
        <w:pStyle w:val="FirstParagraph"/>
      </w:pPr>
      <w:r>
        <w:t xml:space="preserve">O jogo mais simples de barganha: o jogador 1 (proponente) oferece uma divisão</w:t>
      </w:r>
      <w:r>
        <w:t xml:space="preserve"> </w:t>
      </w:r>
      <m:oMath>
        <m:r>
          <m:t>x</m:t>
        </m:r>
      </m:oMath>
      <w:r>
        <w:t xml:space="preserve"> </w:t>
      </w:r>
      <w:r>
        <w:t xml:space="preserve">de um bolo de tamanho 1. O jogador 2 (respondedor) aceita ou rejeita. Se aceita, payoffs são</w:t>
      </w:r>
      <w:r>
        <w:t xml:space="preserve"> </w:t>
      </w:r>
      <m:oMath>
        <m:r>
          <m:rPr>
            <m:sty m:val="p"/>
          </m:rPr>
          <m:t>(</m:t>
        </m:r>
        <m:r>
          <m:t>x</m:t>
        </m:r>
        <m:r>
          <m:rPr>
            <m:sty m:val="p"/>
          </m:rPr>
          <m:t>,</m:t>
        </m:r>
        <m:r>
          <m:t>1</m:t>
        </m:r>
        <m:r>
          <m:rPr>
            <m:sty m:val="p"/>
          </m:rPr>
          <m:t>−</m:t>
        </m:r>
        <m:r>
          <m:t>x</m:t>
        </m:r>
        <m:r>
          <m:rPr>
            <m:sty m:val="p"/>
          </m:rPr>
          <m:t>)</m:t>
        </m:r>
      </m:oMath>
      <w:r>
        <w:t xml:space="preserve">. Se rejeita, ambos recebem 0.</w:t>
      </w:r>
    </w:p>
    <w:p>
      <w:pPr>
        <w:pStyle w:val="BodyText"/>
      </w:pPr>
      <w:r>
        <w:rPr>
          <w:b/>
          <w:bCs/>
        </w:rPr>
        <w:t xml:space="preserve">Equilíbrio Perfeito em Subjogos:</w:t>
      </w:r>
      <w:r>
        <w:t xml:space="preserve"> </w:t>
      </w:r>
      <w:r>
        <w:t xml:space="preserve">A análise por indução retroativa começa pelo respondedor. No subjogo após qualquer oferta</w:t>
      </w:r>
      <w:r>
        <w:t xml:space="preserve"> </w:t>
      </w:r>
      <m:oMath>
        <m:r>
          <m:t>x</m:t>
        </m:r>
      </m:oMath>
      <w:r>
        <w:t xml:space="preserve">, aceitar dá</w:t>
      </w:r>
      <w:r>
        <w:t xml:space="preserve"> </w:t>
      </w:r>
      <m:oMath>
        <m:r>
          <m:t>1</m:t>
        </m:r>
        <m:r>
          <m:rPr>
            <m:sty m:val="p"/>
          </m:rPr>
          <m:t>−</m:t>
        </m:r>
        <m:r>
          <m:t>x</m:t>
        </m:r>
        <m:r>
          <m:rPr>
            <m:sty m:val="p"/>
          </m:rPr>
          <m:t>≥</m:t>
        </m:r>
        <m:r>
          <m:t>0</m:t>
        </m:r>
      </m:oMath>
      <w:r>
        <w:t xml:space="preserve"> </w:t>
      </w:r>
      <w:r>
        <w:t xml:space="preserve">e rejeitar dá</w:t>
      </w:r>
      <w:r>
        <w:t xml:space="preserve"> </w:t>
      </w:r>
      <m:oMath>
        <m:r>
          <m:t>0</m:t>
        </m:r>
      </m:oMath>
      <w:r>
        <w:t xml:space="preserve">. Portanto, o respondedor aceita qualquer oferta (mesmo a mais miserável). Antecipando isso, o proponente oferece</w:t>
      </w:r>
      <w:r>
        <w:t xml:space="preserve"> </w:t>
      </w:r>
      <m:oMath>
        <m:r>
          <m:t>x</m:t>
        </m:r>
        <m:r>
          <m:rPr>
            <m:sty m:val="p"/>
          </m:rPr>
          <m:t>=</m:t>
        </m:r>
        <m:r>
          <m:t>1</m:t>
        </m:r>
      </m:oMath>
      <w:r>
        <w:t xml:space="preserve"> </w:t>
      </w:r>
      <w:r>
        <w:t xml:space="preserve">(fica com tudo), pois sabe que o respondedor aceitará.</w:t>
      </w:r>
    </w:p>
    <w:p>
      <w:pPr>
        <w:pStyle w:val="BlockText"/>
      </w:pPr>
      <w:r>
        <w:rPr>
          <w:b/>
          <w:bCs/>
        </w:rPr>
        <w:t xml:space="preserve">[ATENCAO] Teoria vs. Evidência</w:t>
      </w:r>
    </w:p>
    <w:p>
      <w:pPr>
        <w:pStyle w:val="BlockText"/>
      </w:pPr>
      <w:r>
        <w:t xml:space="preserve">A previsão teórica — proponente oferece quase nada, respondedor aceita — é sistematicamente rejeitada em experimentos. Ofertas modais são 40-50% do bolo, e ofertas abaixo de 20% são frequentemente rejeitadas. Isso motivou modelos de preferências sociais (Fehr-Schmidt, Módulo 8) e de racionalidade limitada.</w:t>
      </w:r>
    </w:p>
    <w:bookmarkEnd w:id="524"/>
    <w:bookmarkStart w:id="525" w:name="X0aa87fdd285757be59b8a424c61059b83fecb41"/>
    <w:p>
      <w:pPr>
        <w:pStyle w:val="Heading4"/>
      </w:pPr>
      <w:r>
        <w:t xml:space="preserve">Barganha de Rubinstein (ofertas alternadas)</w:t>
      </w:r>
    </w:p>
    <w:p>
      <w:pPr>
        <w:pStyle w:val="FirstParagraph"/>
      </w:pPr>
      <w:r>
        <w:t xml:space="preserve">O jogo do ultimato é extremo: uma única oferta, sem possibilidade de contraproposta. Na prática, a maioria das negociações envolve rodadas de ofertas e contraofertas, e o custo do atraso — salários não pagos durante uma greve, produção perdida, oportunidades desperdiçadas — é o que impele as partes ao acordo. O modelo de Rubinstein captura essa dinâmica com elegância e produz um resultado notavelmente preciso.</w:t>
      </w:r>
    </w:p>
    <w:p>
      <w:pPr>
        <w:pStyle w:val="BodyText"/>
      </w:pPr>
      <w:r>
        <w:t xml:space="preserve">Dois jogadores alternam propostas com fator de desconto</w:t>
      </w:r>
      <w:r>
        <w:t xml:space="preserve"> </w:t>
      </w:r>
      <m:oMath>
        <m:r>
          <m:t>δ</m:t>
        </m:r>
        <m:r>
          <m:rPr>
            <m:sty m:val="p"/>
          </m:rPr>
          <m:t>∈</m:t>
        </m:r>
        <m:r>
          <m:rPr>
            <m:sty m:val="p"/>
          </m:rPr>
          <m:t>(</m:t>
        </m:r>
        <m:r>
          <m:t>0</m:t>
        </m:r>
        <m:r>
          <m:rPr>
            <m:sty m:val="p"/>
          </m:rPr>
          <m:t>,</m:t>
        </m:r>
        <m:r>
          <m:t>1</m:t>
        </m:r>
        <m:r>
          <m:rPr>
            <m:sty m:val="p"/>
          </m:rPr>
          <m:t>)</m:t>
        </m:r>
      </m:oMath>
      <w:r>
        <w:t xml:space="preserve">. No período 1, o jogador 1 propõe; se 2 rejeita, no período 2 o jogador 2 propõe; e assim por diante. Rubinstein (1982) demonstrou que esse jogo, apesar de ter infinitas rodadas de ofertas e contraofertas, possui um</w:t>
      </w:r>
      <w:r>
        <w:t xml:space="preserve"> </w:t>
      </w:r>
      <w:r>
        <w:rPr>
          <w:b/>
          <w:bCs/>
        </w:rPr>
        <w:t xml:space="preserve">único EPS</w:t>
      </w:r>
      <w:r>
        <w:t xml:space="preserve">, com divisão determinada exclusivamente pelos fatores de desconto dos dois jogadores:</w:t>
      </w:r>
    </w:p>
    <w:p>
      <w:pPr>
        <w:pStyle w:val="BodyText"/>
      </w:pPr>
      <m:oMathPara>
        <m:oMathParaPr>
          <m:jc m:val="center"/>
        </m:oMathParaPr>
        <m:oMath>
          <m:sSubSup>
            <m:e>
              <m:r>
                <m:t>x</m:t>
              </m:r>
            </m:e>
            <m:sub>
              <m:r>
                <m:t>1</m:t>
              </m:r>
            </m:sub>
            <m:sup>
              <m:r>
                <m:rPr>
                  <m:sty m:val="p"/>
                </m:rPr>
                <m:t>*</m:t>
              </m:r>
            </m:sup>
          </m:sSubSup>
          <m:r>
            <m:rPr>
              <m:sty m:val="p"/>
            </m:rPr>
            <m:t>=</m:t>
          </m:r>
          <m:f>
            <m:fPr>
              <m:type m:val="bar"/>
            </m:fPr>
            <m:num>
              <m:r>
                <m:t>1</m:t>
              </m:r>
              <m:r>
                <m:rPr>
                  <m:sty m:val="p"/>
                </m:rPr>
                <m:t>−</m:t>
              </m:r>
              <m:sSub>
                <m:e>
                  <m:r>
                    <m:t>δ</m:t>
                  </m:r>
                </m:e>
                <m:sub>
                  <m:r>
                    <m:t>2</m:t>
                  </m:r>
                </m:sub>
              </m:sSub>
            </m:num>
            <m:den>
              <m:r>
                <m:t>1</m:t>
              </m:r>
              <m:r>
                <m:rPr>
                  <m:sty m:val="p"/>
                </m:rPr>
                <m:t>−</m:t>
              </m:r>
              <m:sSub>
                <m:e>
                  <m:r>
                    <m:t>δ</m:t>
                  </m:r>
                </m:e>
                <m:sub>
                  <m:r>
                    <m:t>1</m:t>
                  </m:r>
                </m:sub>
              </m:sSub>
              <m:sSub>
                <m:e>
                  <m:r>
                    <m:t>δ</m:t>
                  </m:r>
                </m:e>
                <m:sub>
                  <m:r>
                    <m:t>2</m:t>
                  </m:r>
                </m:sub>
              </m:sSub>
            </m:den>
          </m:f>
          <m:r>
            <m:rPr>
              <m:sty m:val="p"/>
            </m:rPr>
            <m:t>,</m:t>
          </m:r>
          <m:r>
            <m:t>  </m:t>
          </m:r>
          <m:sSubSup>
            <m:e>
              <m:r>
                <m:t>x</m:t>
              </m:r>
            </m:e>
            <m:sub>
              <m:r>
                <m:t>2</m:t>
              </m:r>
            </m:sub>
            <m:sup>
              <m:r>
                <m:rPr>
                  <m:sty m:val="p"/>
                </m:rPr>
                <m:t>*</m:t>
              </m:r>
            </m:sup>
          </m:sSubSup>
          <m:r>
            <m:rPr>
              <m:sty m:val="p"/>
            </m:rPr>
            <m:t>=</m:t>
          </m:r>
          <m:f>
            <m:fPr>
              <m:type m:val="bar"/>
            </m:fPr>
            <m:num>
              <m:sSub>
                <m:e>
                  <m:r>
                    <m:t>δ</m:t>
                  </m:r>
                </m:e>
                <m:sub>
                  <m:r>
                    <m:t>2</m:t>
                  </m:r>
                </m:sub>
              </m:sSub>
              <m:r>
                <m:rPr>
                  <m:sty m:val="p"/>
                </m:rPr>
                <m:t>(</m:t>
              </m:r>
              <m:r>
                <m:t>1</m:t>
              </m:r>
              <m:r>
                <m:rPr>
                  <m:sty m:val="p"/>
                </m:rPr>
                <m:t>−</m:t>
              </m:r>
              <m:sSub>
                <m:e>
                  <m:r>
                    <m:t>δ</m:t>
                  </m:r>
                </m:e>
                <m:sub>
                  <m:r>
                    <m:t>1</m:t>
                  </m:r>
                </m:sub>
              </m:sSub>
              <m:r>
                <m:rPr>
                  <m:sty m:val="p"/>
                </m:rPr>
                <m:t>)</m:t>
              </m:r>
            </m:num>
            <m:den>
              <m:r>
                <m:t>1</m:t>
              </m:r>
              <m:r>
                <m:rPr>
                  <m:sty m:val="p"/>
                </m:rPr>
                <m:t>−</m:t>
              </m:r>
              <m:sSub>
                <m:e>
                  <m:r>
                    <m:t>δ</m:t>
                  </m:r>
                </m:e>
                <m:sub>
                  <m:r>
                    <m:t>1</m:t>
                  </m:r>
                </m:sub>
              </m:sSub>
              <m:sSub>
                <m:e>
                  <m:r>
                    <m:t>δ</m:t>
                  </m:r>
                </m:e>
                <m:sub>
                  <m:r>
                    <m:t>2</m:t>
                  </m:r>
                </m:sub>
              </m:sSub>
            </m:den>
          </m:f>
        </m:oMath>
      </m:oMathPara>
    </w:p>
    <w:p>
      <w:pPr>
        <w:pStyle w:val="FirstParagraph"/>
      </w:pPr>
      <w:r>
        <w:t xml:space="preserve">Quando</w:t>
      </w:r>
      <w:r>
        <w:t xml:space="preserve"> </w:t>
      </w:r>
      <m:oMath>
        <m:sSub>
          <m:e>
            <m:r>
              <m:t>δ</m:t>
            </m:r>
          </m:e>
          <m:sub>
            <m:r>
              <m:t>1</m:t>
            </m:r>
          </m:sub>
        </m:sSub>
        <m:r>
          <m:rPr>
            <m:sty m:val="p"/>
          </m:rPr>
          <m:t>=</m:t>
        </m:r>
        <m:sSub>
          <m:e>
            <m:r>
              <m:t>δ</m:t>
            </m:r>
          </m:e>
          <m:sub>
            <m:r>
              <m:t>2</m:t>
            </m:r>
          </m:sub>
        </m:sSub>
        <m:r>
          <m:rPr>
            <m:sty m:val="p"/>
          </m:rPr>
          <m:t>=</m:t>
        </m:r>
        <m:r>
          <m:t>δ</m:t>
        </m:r>
      </m:oMath>
      <w:r>
        <w:t xml:space="preserve">, a equação Eq. (eq:9b.2) simplifica-se para:</w:t>
      </w:r>
    </w:p>
    <w:p>
      <w:pPr>
        <w:pStyle w:val="BodyText"/>
      </w:pPr>
      <w:r>
        <w:t xml:space="preserve">$$
    x_1^* = \frac{1}{1 + \delta} \quad \text{(share do proponente)}
    \label{eq:9b.3} \tag{9b.3}
    $$</w:t>
      </w:r>
    </w:p>
    <w:p>
      <w:pPr>
        <w:pStyle w:val="FirstParagraph"/>
      </w:pPr>
      <w:r>
        <w:t xml:space="preserve">A derivação do resultado de Rubinstein ilustra com precisão a força da indução retroativa: para que o jogador 2 aceite a proposta do jogador 1 no período 1, deve receber ao menos tanto quanto receberia sendo o proponente no período 2 (descontado por</w:t>
      </w:r>
      <w:r>
        <w:t xml:space="preserve"> </w:t>
      </w:r>
      <m:oMath>
        <m:sSub>
          <m:e>
            <m:r>
              <m:t>δ</m:t>
            </m:r>
          </m:e>
          <m:sub>
            <m:r>
              <m:t>2</m:t>
            </m:r>
          </m:sub>
        </m:sSub>
      </m:oMath>
      <w:r>
        <w:t xml:space="preserve">). Mas o que o jogador 2 obteria como proponente no período 2 depende do que o jogador 1 aceitaria no período 3 (descontado por</w:t>
      </w:r>
      <w:r>
        <w:t xml:space="preserve"> </w:t>
      </w:r>
      <m:oMath>
        <m:sSub>
          <m:e>
            <m:r>
              <m:t>δ</m:t>
            </m:r>
          </m:e>
          <m:sub>
            <m:r>
              <m:t>1</m:t>
            </m:r>
          </m:sub>
        </m:sSub>
      </m:oMath>
      <w:r>
        <w:t xml:space="preserve">). Esse encadeamento de condições de indiferença — repetido para todas as rodadas possíveis — determina unicamente a divisão do excedente. O resultado é notável: um jogo com infinitas rodadas possíveis tem um único equilíbrio, encontrado pela aplicação sistemática do princípio de racionalidade retrospectiva.</w:t>
      </w:r>
    </w:p>
    <w:p>
      <w:pPr>
        <w:pStyle w:val="BlockText"/>
      </w:pPr>
      <w:r>
        <w:rPr>
          <w:b/>
          <w:bCs/>
        </w:rPr>
        <w:t xml:space="preserve">[INTUICAO ECONOMICA] Intuição Econômica</w:t>
      </w:r>
    </w:p>
    <w:p>
      <w:pPr>
        <w:pStyle w:val="BlockText"/>
      </w:pPr>
      <w:r>
        <w:rPr>
          <w:b/>
          <w:bCs/>
        </w:rPr>
        <w:t xml:space="preserve">Em uma frase:</w:t>
      </w:r>
      <w:r>
        <w:t xml:space="preserve"> </w:t>
      </w:r>
      <w:r>
        <w:t xml:space="preserve">Na barganha de Rubinstein, quem é mais paciente (maior</w:t>
      </w:r>
      <w:r>
        <w:t xml:space="preserve"> </w:t>
      </w:r>
      <m:oMath>
        <m:r>
          <m:t>δ</m:t>
        </m:r>
      </m:oMath>
      <w:r>
        <w:t xml:space="preserve">) fica com a maior fatia — mas o proponente sempre tem uma ligeira vantagem.</w:t>
      </w:r>
    </w:p>
    <w:p>
      <w:pPr>
        <w:pStyle w:val="BlockText"/>
      </w:pPr>
      <w:r>
        <w:rPr>
          <w:b/>
          <w:bCs/>
        </w:rPr>
        <w:t xml:space="preserve">Dois efeitos em ação:</w:t>
      </w:r>
      <w:r>
        <w:t xml:space="preserve"> </w:t>
      </w:r>
      <w:r>
        <w:t xml:space="preserve">O resultado de Rubinstein reflete a interação de dois determinantes do poder de barganha:</w:t>
      </w:r>
    </w:p>
    <w:p>
      <w:pPr>
        <w:pStyle w:val="BlockText"/>
        <w:numPr>
          <w:ilvl w:val="0"/>
          <w:numId w:val="1488"/>
        </w:numPr>
      </w:pPr>
      <w:r>
        <w:rPr>
          <w:b/>
          <w:bCs/>
        </w:rPr>
        <w:t xml:space="preserve">Vantagem do proponente</w:t>
      </w:r>
      <w:r>
        <w:t xml:space="preserve"> </w:t>
      </w:r>
      <w:r>
        <w:t xml:space="preserve">(</w:t>
      </w:r>
      <w:r>
        <w:rPr>
          <w:i/>
          <w:iCs/>
        </w:rPr>
        <w:t xml:space="preserve">first-mover advantage</w:t>
      </w:r>
      <w:r>
        <w:t xml:space="preserve">): mesmo com desconto simétrico (</w:t>
      </w:r>
      <m:oMath>
        <m:sSub>
          <m:e>
            <m:r>
              <m:t>δ</m:t>
            </m:r>
          </m:e>
          <m:sub>
            <m:r>
              <m:t>1</m:t>
            </m:r>
          </m:sub>
        </m:sSub>
        <m:r>
          <m:rPr>
            <m:sty m:val="p"/>
          </m:rPr>
          <m:t>=</m:t>
        </m:r>
        <m:sSub>
          <m:e>
            <m:r>
              <m:t>δ</m:t>
            </m:r>
          </m:e>
          <m:sub>
            <m:r>
              <m:t>2</m:t>
            </m:r>
          </m:sub>
        </m:sSub>
        <m:r>
          <m:rPr>
            <m:sty m:val="p"/>
          </m:rPr>
          <m:t>=</m:t>
        </m:r>
        <m:r>
          <m:t>δ</m:t>
        </m:r>
      </m:oMath>
      <w:r>
        <w:t xml:space="preserve">), o jogador que faz a primeira proposta obtém</w:t>
      </w:r>
      <w:r>
        <w:t xml:space="preserve"> </w:t>
      </w:r>
      <m:oMath>
        <m:r>
          <m:t>1</m:t>
        </m:r>
        <m:r>
          <m:rPr>
            <m:sty m:val="p"/>
          </m:rPr>
          <m:t>/</m:t>
        </m:r>
        <m:r>
          <m:rPr>
            <m:sty m:val="p"/>
          </m:rPr>
          <m:t>(</m:t>
        </m:r>
        <m:r>
          <m:t>1</m:t>
        </m:r>
        <m:r>
          <m:rPr>
            <m:sty m:val="p"/>
          </m:rPr>
          <m:t>+</m:t>
        </m:r>
        <m:r>
          <m:t>δ</m:t>
        </m:r>
        <m:r>
          <m:rPr>
            <m:sty m:val="p"/>
          </m:rPr>
          <m:t>)</m:t>
        </m:r>
        <m:r>
          <m:rPr>
            <m:sty m:val="p"/>
          </m:rPr>
          <m:t>&gt;</m:t>
        </m:r>
        <m:r>
          <m:t>1</m:t>
        </m:r>
        <m:r>
          <m:rPr>
            <m:sty m:val="p"/>
          </m:rPr>
          <m:t>/</m:t>
        </m:r>
        <m:r>
          <m:t>2</m:t>
        </m:r>
      </m:oMath>
      <w:r>
        <w:t xml:space="preserve"> </w:t>
      </w:r>
      <w:r>
        <w:t xml:space="preserve">— mais do que a metade. Essa vantagem vem do fato de que o respondedor enfrenta a escolha entre aceitar</w:t>
      </w:r>
      <w:r>
        <w:t xml:space="preserve"> </w:t>
      </w:r>
      <w:r>
        <w:rPr>
          <w:i/>
          <w:iCs/>
        </w:rPr>
        <w:t xml:space="preserve">agora</w:t>
      </w:r>
      <w:r>
        <w:t xml:space="preserve"> </w:t>
      </w:r>
      <w:r>
        <w:t xml:space="preserve">e esperar (perdendo</w:t>
      </w:r>
      <w:r>
        <w:t xml:space="preserve"> </w:t>
      </w:r>
      <m:oMath>
        <m:r>
          <m:t>δ</m:t>
        </m:r>
      </m:oMath>
      <w:r>
        <w:t xml:space="preserve"> </w:t>
      </w:r>
      <w:r>
        <w:t xml:space="preserve">do valor pelo atraso). A vantagem é pequena quando ambos são pacientes (</w:t>
      </w:r>
      <m:oMath>
        <m:r>
          <m:t>δ</m:t>
        </m:r>
        <m:r>
          <m:rPr>
            <m:sty m:val="p"/>
          </m:rPr>
          <m:t>→</m:t>
        </m:r>
        <m:r>
          <m:t>1</m:t>
        </m:r>
        <m:r>
          <m:rPr>
            <m:sty m:val="p"/>
          </m:rPr>
          <m:t>⟹</m:t>
        </m:r>
        <m:r>
          <m:t>1</m:t>
        </m:r>
        <m:r>
          <m:rPr>
            <m:sty m:val="p"/>
          </m:rPr>
          <m:t>/</m:t>
        </m:r>
        <m:r>
          <m:rPr>
            <m:sty m:val="p"/>
          </m:rPr>
          <m:t>(</m:t>
        </m:r>
        <m:r>
          <m:t>1</m:t>
        </m:r>
        <m:r>
          <m:rPr>
            <m:sty m:val="p"/>
          </m:rPr>
          <m:t>+</m:t>
        </m:r>
        <m:r>
          <m:t>δ</m:t>
        </m:r>
        <m:r>
          <m:rPr>
            <m:sty m:val="p"/>
          </m:rPr>
          <m:t>)</m:t>
        </m:r>
        <m:r>
          <m:rPr>
            <m:sty m:val="p"/>
          </m:rPr>
          <m:t>→</m:t>
        </m:r>
        <m:r>
          <m:t>1</m:t>
        </m:r>
        <m:r>
          <m:rPr>
            <m:sty m:val="p"/>
          </m:rPr>
          <m:t>/</m:t>
        </m:r>
        <m:r>
          <m:t>2</m:t>
        </m:r>
      </m:oMath>
      <w:r>
        <w:t xml:space="preserve">) e grande quando são impacientes (</w:t>
      </w:r>
      <m:oMath>
        <m:r>
          <m:t>δ</m:t>
        </m:r>
        <m:r>
          <m:rPr>
            <m:sty m:val="p"/>
          </m:rPr>
          <m:t>→</m:t>
        </m:r>
        <m:r>
          <m:t>0</m:t>
        </m:r>
        <m:r>
          <m:rPr>
            <m:sty m:val="p"/>
          </m:rPr>
          <m:t>⟹</m:t>
        </m:r>
        <m:r>
          <m:t>1</m:t>
        </m:r>
        <m:r>
          <m:rPr>
            <m:sty m:val="p"/>
          </m:rPr>
          <m:t>/</m:t>
        </m:r>
        <m:r>
          <m:rPr>
            <m:sty m:val="p"/>
          </m:rPr>
          <m:t>(</m:t>
        </m:r>
        <m:r>
          <m:t>1</m:t>
        </m:r>
        <m:r>
          <m:rPr>
            <m:sty m:val="p"/>
          </m:rPr>
          <m:t>+</m:t>
        </m:r>
        <m:r>
          <m:t>δ</m:t>
        </m:r>
        <m:r>
          <m:rPr>
            <m:sty m:val="p"/>
          </m:rPr>
          <m:t>)</m:t>
        </m:r>
        <m:r>
          <m:rPr>
            <m:sty m:val="p"/>
          </m:rPr>
          <m:t>→</m:t>
        </m:r>
        <m:r>
          <m:t>1</m:t>
        </m:r>
      </m:oMath>
      <w:r>
        <w:t xml:space="preserve">, como no jogo do ultimato).</w:t>
      </w:r>
    </w:p>
    <w:p>
      <w:pPr>
        <w:pStyle w:val="BlockText"/>
        <w:numPr>
          <w:ilvl w:val="0"/>
          <w:numId w:val="1488"/>
        </w:numPr>
      </w:pPr>
      <w:r>
        <w:rPr>
          <w:b/>
          <w:bCs/>
        </w:rPr>
        <w:t xml:space="preserve">Vantagem da paciência</w:t>
      </w:r>
      <w:r>
        <w:t xml:space="preserve"> </w:t>
      </w:r>
      <w:r>
        <w:t xml:space="preserve">(</w:t>
      </w:r>
      <w:r>
        <w:rPr>
          <w:i/>
          <w:iCs/>
        </w:rPr>
        <w:t xml:space="preserve">patience advantage</w:t>
      </w:r>
      <w:r>
        <w:t xml:space="preserve">): quando</w:t>
      </w:r>
      <w:r>
        <w:t xml:space="preserve"> </w:t>
      </w:r>
      <m:oMath>
        <m:sSub>
          <m:e>
            <m:r>
              <m:t>δ</m:t>
            </m:r>
          </m:e>
          <m:sub>
            <m:r>
              <m:t>1</m:t>
            </m:r>
          </m:sub>
        </m:sSub>
        <m:r>
          <m:rPr>
            <m:sty m:val="p"/>
          </m:rPr>
          <m:t>≠</m:t>
        </m:r>
        <m:sSub>
          <m:e>
            <m:r>
              <m:t>δ</m:t>
            </m:r>
          </m:e>
          <m:sub>
            <m:r>
              <m:t>2</m:t>
            </m:r>
          </m:sub>
        </m:sSub>
      </m:oMath>
      <w:r>
        <w:t xml:space="preserve">, o jogador mais paciente extrai mais do bolo, independentemente de quem propõe primeiro. Pela equação Eq. (eq:9b.2), se</w:t>
      </w:r>
      <w:r>
        <w:t xml:space="preserve"> </w:t>
      </w:r>
      <m:oMath>
        <m:sSub>
          <m:e>
            <m:r>
              <m:t>δ</m:t>
            </m:r>
          </m:e>
          <m:sub>
            <m:r>
              <m:t>1</m:t>
            </m:r>
          </m:sub>
        </m:sSub>
        <m:r>
          <m:rPr>
            <m:sty m:val="p"/>
          </m:rPr>
          <m:t>&gt;</m:t>
        </m:r>
        <m:sSub>
          <m:e>
            <m:r>
              <m:t>δ</m:t>
            </m:r>
          </m:e>
          <m:sub>
            <m:r>
              <m:t>2</m:t>
            </m:r>
          </m:sub>
        </m:sSub>
      </m:oMath>
      <w:r>
        <w:t xml:space="preserve">, o jogador 1 obtém um share maior. A paciência funciona como poder de barganha porque quem pode esperar mais sem custos elevados é mais difícil de pressionar.</w:t>
      </w:r>
    </w:p>
    <w:p>
      <w:pPr>
        <w:pStyle w:val="BlockText"/>
      </w:pPr>
      <w:r>
        <w:rPr>
          <w:b/>
          <w:bCs/>
        </w:rPr>
        <w:t xml:space="preserve">Pense assim:</w:t>
      </w:r>
      <w:r>
        <w:t xml:space="preserve"> </w:t>
      </w:r>
      <w:r>
        <w:t xml:space="preserve">Numa negociação salarial entre o sindicato dos metalúrgicos e uma montadora, cada rodada sem acordo custa para ambos (trabalhadores perdem salário, empresa perde produção). Quem aguenta mais tempo sem acordo — quem tem mais</w:t>
      </w:r>
      <w:r>
        <w:t xml:space="preserve"> </w:t>
      </w:r>
      <w:r>
        <w:t xml:space="preserve">“reservas”</w:t>
      </w:r>
      <w:r>
        <w:t xml:space="preserve"> </w:t>
      </w:r>
      <w:r>
        <w:t xml:space="preserve">— consegue extrair mais valor.</w:t>
      </w:r>
    </w:p>
    <w:p>
      <w:pPr>
        <w:pStyle w:val="BlockText"/>
      </w:pPr>
      <w:r>
        <w:rPr>
          <w:b/>
          <w:bCs/>
        </w:rPr>
        <w:t xml:space="preserve">Conexão com Nash Bargaining:</w:t>
      </w:r>
      <w:r>
        <w:t xml:space="preserve"> </w:t>
      </w:r>
      <w:r>
        <w:t xml:space="preserve">Rubinstein (1982) mostrou que o EPS de ofertas alternadas converge para a solução de barganha de Nash quando o intervalo entre ofertas vai a zero — uma fundamentação não cooperativa para o modelo cooperativo.</w:t>
      </w:r>
    </w:p>
    <w:p>
      <w:pPr>
        <w:pStyle w:val="BlockText"/>
      </w:pPr>
      <w:r>
        <w:rPr>
          <w:b/>
          <w:bCs/>
        </w:rPr>
        <w:t xml:space="preserve">[BOX MUNDO] Box Mundo 9b.3 — Brexit: barganha sequencial com prazo e paciência assimétrica</w:t>
      </w:r>
    </w:p>
    <w:p>
      <w:pPr>
        <w:pStyle w:val="BlockText"/>
      </w:pPr>
      <w:r>
        <w:rPr>
          <w:b/>
          <w:bCs/>
        </w:rPr>
        <w:t xml:space="preserve">Contexto:</w:t>
      </w:r>
      <w:r>
        <w:t xml:space="preserve"> </w:t>
      </w:r>
      <w:r>
        <w:t xml:space="preserve">A negociação do Brexit (2017–2020) entre o Reino Unido e a União Europeia é um caso notável de barganha sequencial em que a estrutura temporal e a paciência relativa das partes determinaram o resultado — precisamente como prevê o modelo de Rubinstein. O Artigo 50 do Tratado de Lisboa estabelecia um prazo de dois anos para a conclusão das negociações (extensível por unanimidade), criando uma barganha com horizonte finito e deadline conhecido.</w:t>
      </w:r>
    </w:p>
    <w:p>
      <w:pPr>
        <w:pStyle w:val="BlockText"/>
      </w:pPr>
      <w:r>
        <w:rPr>
          <w:b/>
          <w:bCs/>
        </w:rPr>
        <w:t xml:space="preserve">Dados:</w:t>
      </w:r>
      <w:r>
        <w:t xml:space="preserve"> </w:t>
      </w:r>
      <w:r>
        <w:t xml:space="preserve">O processo de negociação durou de março de 2017 (ativação do Artigo 50) a dezembro de 2020 (acordo comercial final). O Reino Unido enfrentou três deadlines de saída (março de 2019, abril de 2019 e outubro de 2019), tendo solicitado duas extensões. O acordo final (Trade and Cooperation Agreement, TCA) foi fechado em 24 de dezembro de 2020, apenas sete dias antes do prazo. A análise do Institute for Government (2021) estimou que o custo anual do Brexit para o PIB britânico seria de 4–5% no longo prazo, enquanto o impacto sobre o PIB da UE-27 seria inferior a 0,5%.</w:t>
      </w:r>
    </w:p>
    <w:p>
      <w:pPr>
        <w:pStyle w:val="BlockText"/>
      </w:pPr>
      <w:r>
        <w:rPr>
          <w:b/>
          <w:bCs/>
        </w:rPr>
        <w:t xml:space="preserve">Análise:</w:t>
      </w:r>
      <w:r>
        <w:t xml:space="preserve"> </w:t>
      </w:r>
      <w:r>
        <w:t xml:space="preserve">A assimetria de paciência era estrutural. Para o Reino Unido, o custo de não-acordo (</w:t>
      </w:r>
      <w:r>
        <w:rPr>
          <w:i/>
          <w:iCs/>
        </w:rPr>
        <w:t xml:space="preserve">no-deal Brexit</w:t>
      </w:r>
      <w:r>
        <w:t xml:space="preserve">) era alto: disrupção de cadeias de suprimento, tarifas da OMC sobre 43% das exportações, perda imediata de acesso ao mercado financeiro europeu. Para a UE, o custo era menor: o Reino Unido representava ~15% do comércio externo da UE, mas a UE representava ~45% do comércio do Reino Unido. Em termos do modelo de Rubinstein,</w:t>
      </w:r>
      <w:r>
        <w:t xml:space="preserve"> </w:t>
      </w:r>
      <m:oMath>
        <m:sSub>
          <m:e>
            <m:r>
              <m:t>δ</m:t>
            </m:r>
          </m:e>
          <m:sub>
            <m:r>
              <m:t>U</m:t>
            </m:r>
            <m:r>
              <m:t>K</m:t>
            </m:r>
          </m:sub>
        </m:sSub>
        <m:r>
          <m:rPr>
            <m:sty m:val="p"/>
          </m:rPr>
          <m:t>&lt;</m:t>
        </m:r>
        <m:sSub>
          <m:e>
            <m:r>
              <m:t>δ</m:t>
            </m:r>
          </m:e>
          <m:sub>
            <m:r>
              <m:t>U</m:t>
            </m:r>
            <m:r>
              <m:t>E</m:t>
            </m:r>
          </m:sub>
        </m:sSub>
      </m:oMath>
      <w:r>
        <w:t xml:space="preserve"> </w:t>
      </w:r>
      <w:r>
        <w:t xml:space="preserve">— a UE era mais paciente porque tinha menos a perder com o atraso. O resultado é previsto pela teoria: o jogador menos paciente (UK) fez concessões desproporcionais. O acordo final incluiu fronteira aduaneira no Mar da Irlanda (concessão britânica), acesso limitado ao mercado de serviços financeiros (antes pleno), e regime de pesca com quotas gradualmente reduzidas — termos significativamente mais próximos da posição inicial da UE do que da britânica. O prazo fixo (deadline) exacerbou a assimetria: à medida que o deadline se aproximava, o custo do atraso para o UK aumentava enquanto a UE podia simplesmente esperar — uma versão real do efeito da impaciência no modelo de Rubinstein.</w:t>
      </w:r>
    </w:p>
    <w:p>
      <w:pPr>
        <w:pStyle w:val="BlockText"/>
      </w:pPr>
      <w:r>
        <w:rPr>
          <w:b/>
          <w:bCs/>
        </w:rPr>
        <w:t xml:space="preserve">Para refletir:</w:t>
      </w:r>
      <w:r>
        <w:t xml:space="preserve"> </w:t>
      </w:r>
      <w:r>
        <w:t xml:space="preserve">Como a existência de uma opção externa para o Reino Unido (acordos bilaterais com EUA, Austrália, Japão) alterou a dinâmica de barganha? O modelo de Rubinstein com opções externas prevê que essas opções só são relevantes se superiores ao payoff de equilíbrio sem elas — foram?</w:t>
      </w:r>
    </w:p>
    <w:p>
      <w:pPr>
        <w:pStyle w:val="BlockText"/>
      </w:pPr>
      <w:r>
        <w:rPr>
          <w:b/>
          <w:bCs/>
        </w:rPr>
        <w:t xml:space="preserve">Fonte:</w:t>
      </w:r>
      <w:r>
        <w:t xml:space="preserve"> </w:t>
      </w:r>
      <w:r>
        <w:t xml:space="preserve">Sampson, Thomas. (2017).</w:t>
      </w:r>
      <w:r>
        <w:t xml:space="preserve"> </w:t>
      </w:r>
      <w:r>
        <w:t xml:space="preserve">“Brexit: The Economics of International Disintegration.”</w:t>
      </w:r>
      <w:r>
        <w:t xml:space="preserve"> </w:t>
      </w:r>
      <w:r>
        <w:rPr>
          <w:i/>
          <w:iCs/>
        </w:rPr>
        <w:t xml:space="preserve">Journal of Economic Perspectives</w:t>
      </w:r>
      <w:r>
        <w:t xml:space="preserve">, 31(4), 163–184. Institute for Government. (2021).</w:t>
      </w:r>
      <w:r>
        <w:t xml:space="preserve"> </w:t>
      </w:r>
      <w:r>
        <w:rPr>
          <w:i/>
          <w:iCs/>
        </w:rPr>
        <w:t xml:space="preserve">The Brexit Effect: How Brexit Has Changed the UK’s Approach to Trade</w:t>
      </w:r>
      <w:r>
        <w:t xml:space="preserve">.</w:t>
      </w:r>
    </w:p>
    <w:bookmarkEnd w:id="525"/>
    <w:bookmarkStart w:id="527" w:name="opções-externas-e-poder-de-barganha"/>
    <w:p>
      <w:pPr>
        <w:pStyle w:val="Heading4"/>
      </w:pPr>
      <w:r>
        <w:t xml:space="preserve">Opções externas e poder de barganha</w:t>
      </w:r>
    </w:p>
    <w:p>
      <w:pPr>
        <w:pStyle w:val="FirstParagraph"/>
      </w:pPr>
      <w:r>
        <w:t xml:space="preserve">O modelo básico de Rubinstein supõe que as partes só podem alcançar um acordo entre si. Na prática, porém, a maioria dos negociadores possui</w:t>
      </w:r>
      <w:r>
        <w:t xml:space="preserve"> </w:t>
      </w:r>
      <w:r>
        <w:rPr>
          <w:b/>
          <w:bCs/>
        </w:rPr>
        <w:t xml:space="preserve">opções externas</w:t>
      </w:r>
      <w:r>
        <w:t xml:space="preserve"> </w:t>
      </w:r>
      <w:r>
        <w:t xml:space="preserve">(</w:t>
      </w:r>
      <w:r>
        <w:rPr>
          <w:i/>
          <w:iCs/>
        </w:rPr>
        <w:t xml:space="preserve">outside options</w:t>
      </w:r>
      <w:r>
        <w:t xml:space="preserve">): o trabalhador pode aceitar uma oferta de outra empresa; o sindicato pode decretar greve e recorrer ao fundo de greve; a empresa pode transferir a produção para outra planta. A presença de opções externas altera fundamentalmente o equilíbrio de barganha.</w:t>
      </w:r>
    </w:p>
    <w:p>
      <w:pPr>
        <w:pStyle w:val="BodyText"/>
      </w:pPr>
      <w:r>
        <w:t xml:space="preserve">O</w:t>
      </w:r>
      <w:r>
        <w:t xml:space="preserve"> </w:t>
      </w:r>
      <w:r>
        <w:rPr>
          <w:b/>
          <w:bCs/>
        </w:rPr>
        <w:t xml:space="preserve">princípio da opção externa</w:t>
      </w:r>
      <w:r>
        <w:t xml:space="preserve"> </w:t>
      </w:r>
      <w:r>
        <w:t xml:space="preserve">(Binmore, Shaked e Sutton, 1989) estabelece que a opção externa de um jogador afeta o resultado da barganha somente se essa opção for suficientemente atraente — mais precisamente, se o payoff da opção externa exceder o que o jogador obteria sem ela no EPS de Rubinstein. Quando a opção externa é</w:t>
      </w:r>
      <w:r>
        <w:t xml:space="preserve"> </w:t>
      </w:r>
      <w:r>
        <w:t xml:space="preserve">“boa o suficiente”</w:t>
      </w:r>
      <w:r>
        <w:t xml:space="preserve"> </w:t>
      </w:r>
      <w:r>
        <w:t xml:space="preserve">para ser vinculante, o jogador recebe exatamente o valor da opção externa (e o outro fica com o resíduo). Quando a opção externa é inferior ao que o jogador obteria de qualquer forma pela barganha, ela é irrelevante para o equilíbrio.</w:t>
      </w:r>
    </w:p>
    <w:p>
      <w:pPr>
        <w:pStyle w:val="BodyText"/>
      </w:pPr>
      <w:r>
        <w:t xml:space="preserve">Essa lógica tem implicações diretas para a economia do trabalho e para a análise de fusões. Na negociação salarial, o</w:t>
      </w:r>
      <w:r>
        <w:t xml:space="preserve"> </w:t>
      </w:r>
      <w:r>
        <w:t xml:space="preserve">“salário reserva”</w:t>
      </w:r>
      <w:r>
        <w:t xml:space="preserve"> </w:t>
      </w:r>
      <w:r>
        <w:t xml:space="preserve">do trabalhador — determinado pelo seguro-desemprego, por oportunidades alternativas de emprego e pela renda informal — funciona como opção externa. Políticas que elevam o salário reserva (como o seguro-desemprego mais generoso ou um mercado de trabalho aquecido) aumentam o poder de barganha dos trabalhadores. Em fusões e aquisições, a existência de um comprador alternativo (</w:t>
      </w:r>
      <w:r>
        <w:t xml:space="preserve">“white knight”</w:t>
      </w:r>
      <w:r>
        <w:t xml:space="preserve">) eleva o preço que o primeiro comprador precisa oferecer — a opção externa do vendedor é vinculante e extrai valor do adquirente.</w:t>
      </w:r>
    </w:p>
    <w:p>
      <w:pPr>
        <w:pStyle w:val="BodyText"/>
      </w:pPr>
      <w:r>
        <w:t xml:space="preserve">A paciência (</w:t>
      </w:r>
      <m:oMath>
        <m:r>
          <m:t>δ</m:t>
        </m:r>
      </m:oMath>
      <w:r>
        <w:t xml:space="preserve">) e as opções externas são os dois determinantes fundamentais do poder de barganha. É instrutivo notar que ambos operam pelo mesmo canal: eles determinam o quanto o jogador perde ao</w:t>
      </w:r>
      <w:r>
        <w:t xml:space="preserve"> </w:t>
      </w:r>
      <w:r>
        <w:rPr>
          <w:i/>
          <w:iCs/>
        </w:rPr>
        <w:t xml:space="preserve">não</w:t>
      </w:r>
      <w:r>
        <w:t xml:space="preserve"> </w:t>
      </w:r>
      <w:r>
        <w:t xml:space="preserve">chegar a um acordo. Um jogador paciente perde pouco com o atraso; um jogador com boa opção externa perde pouco com o impasse. Em ambos os casos, a relutância em aceitar termos desfavoráveis confere poder. A aplicação ao mercado de trabalho no Capítulo 17 (modelos de salário de eficiência e barganha entre firma e sindicato) utiliza extensivamente essa lógica.</w:t>
      </w:r>
    </w:p>
    <w:p>
      <w:r>
        <w:pict>
          <v:rect style="width:0;height:1.5pt" o:hralign="center" o:hrstd="t" o:hr="t"/>
        </w:pict>
      </w:r>
    </w:p>
    <w:p>
      <w:pPr>
        <w:pStyle w:val="FirstParagraph"/>
      </w:pPr>
      <w:r>
        <w:t xml:space="preserve">Os modelos de jogos repetidos e barganha desenvolvidos neste capítulo encontram aplicações diretas na economia brasileira. Os dois Boxes a seguir ilustram, respectivamente, como a lógica do Dilema dos Prisioneiros repetido explica a persistência da guerra fiscal entre estados e como o modelo de Rubinstein ilumina as negociações salariais na indústria automotiva.</w:t>
      </w:r>
    </w:p>
    <w:p>
      <w:pPr>
        <w:pStyle w:val="BlockText"/>
      </w:pPr>
      <w:r>
        <w:rPr>
          <w:b/>
          <w:bCs/>
        </w:rPr>
        <w:t xml:space="preserve">[BOX BRASIL] Box Brasil — A guerra fiscal do ICMS: uma corrida ao fundo</w:t>
      </w:r>
    </w:p>
    <w:p>
      <w:pPr>
        <w:pStyle w:val="BlockText"/>
      </w:pPr>
      <w:r>
        <w:t xml:space="preserve">A competição entre estados brasileiros pela atração de investimentos via benefícios fiscais no</w:t>
      </w:r>
      <w:r>
        <w:t xml:space="preserve"> </w:t>
      </w:r>
      <w:r>
        <w:rPr>
          <w:b/>
          <w:bCs/>
        </w:rPr>
        <w:t xml:space="preserve">ICMS</w:t>
      </w:r>
      <w:r>
        <w:t xml:space="preserve"> </w:t>
      </w:r>
      <w:r>
        <w:t xml:space="preserve">é um dos exemplos mais claros do Dilema dos Prisioneiros na política econômica brasileira.</w:t>
      </w:r>
    </w:p>
    <w:p>
      <w:pPr>
        <w:pStyle w:val="BlockText"/>
      </w:pPr>
      <w:r>
        <w:rPr>
          <w:b/>
          <w:bCs/>
        </w:rPr>
        <w:t xml:space="preserve">A estrutura do jogo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Estado B: Não concede</w:t>
            </w:r>
          </w:p>
        </w:tc>
        <w:tc>
          <w:tcPr/>
          <w:p>
            <w:pPr>
              <w:pStyle w:val="Compact"/>
              <w:jc w:val="center"/>
            </w:pPr>
            <w:r>
              <w:t xml:space="preserve">Estado B: Concede</w:t>
            </w:r>
          </w:p>
        </w:tc>
      </w:tr>
      <w:tr>
        <w:tc>
          <w:tcPr/>
          <w:p>
            <w:pPr>
              <w:pStyle w:val="Compact"/>
              <w:jc w:val="left"/>
            </w:pPr>
            <w:r>
              <w:rPr>
                <w:b/>
                <w:bCs/>
              </w:rPr>
              <w:t xml:space="preserve">Estado A: Não concede</w:t>
            </w:r>
          </w:p>
        </w:tc>
        <w:tc>
          <w:tcPr/>
          <w:p>
            <w:pPr>
              <w:pStyle w:val="Compact"/>
              <w:jc w:val="center"/>
            </w:pPr>
            <m:oMath>
              <m:r>
                <m:rPr>
                  <m:sty m:val="p"/>
                </m:rPr>
                <m:t>(</m:t>
              </m:r>
              <m:r>
                <m:t>100</m:t>
              </m:r>
              <m:r>
                <m:rPr>
                  <m:sty m:val="p"/>
                </m:rPr>
                <m:t>,</m:t>
              </m:r>
              <m:r>
                <m:t>100</m:t>
              </m:r>
              <m:r>
                <m:rPr>
                  <m:sty m:val="p"/>
                </m:rPr>
                <m:t>)</m:t>
              </m:r>
            </m:oMath>
          </w:p>
        </w:tc>
        <w:tc>
          <w:tcPr/>
          <w:p>
            <w:pPr>
              <w:pStyle w:val="Compact"/>
              <w:jc w:val="center"/>
            </w:pPr>
            <m:oMath>
              <m:r>
                <m:rPr>
                  <m:sty m:val="p"/>
                </m:rPr>
                <m:t>(</m:t>
              </m:r>
              <m:r>
                <m:t>60</m:t>
              </m:r>
              <m:r>
                <m:rPr>
                  <m:sty m:val="p"/>
                </m:rPr>
                <m:t>,</m:t>
              </m:r>
              <m:r>
                <m:t>120</m:t>
              </m:r>
              <m:r>
                <m:rPr>
                  <m:sty m:val="p"/>
                </m:rPr>
                <m:t>)</m:t>
              </m:r>
            </m:oMath>
          </w:p>
        </w:tc>
      </w:tr>
      <w:tr>
        <w:tc>
          <w:tcPr/>
          <w:p>
            <w:pPr>
              <w:pStyle w:val="Compact"/>
              <w:jc w:val="left"/>
            </w:pPr>
            <w:r>
              <w:rPr>
                <w:b/>
                <w:bCs/>
              </w:rPr>
              <w:t xml:space="preserve">Estado A: Concede</w:t>
            </w:r>
          </w:p>
        </w:tc>
        <w:tc>
          <w:tcPr/>
          <w:p>
            <w:pPr>
              <w:pStyle w:val="Compact"/>
              <w:jc w:val="center"/>
            </w:pPr>
            <m:oMath>
              <m:r>
                <m:rPr>
                  <m:sty m:val="p"/>
                </m:rPr>
                <m:t>(</m:t>
              </m:r>
              <m:r>
                <m:t>120</m:t>
              </m:r>
              <m:r>
                <m:rPr>
                  <m:sty m:val="p"/>
                </m:rPr>
                <m:t>,</m:t>
              </m:r>
              <m:r>
                <m:t>60</m:t>
              </m:r>
              <m:r>
                <m:rPr>
                  <m:sty m:val="p"/>
                </m:rPr>
                <m:t>)</m:t>
              </m:r>
            </m:oMath>
          </w:p>
        </w:tc>
        <w:tc>
          <w:tcPr/>
          <w:p>
            <w:pPr>
              <w:pStyle w:val="Compact"/>
              <w:jc w:val="center"/>
            </w:pPr>
            <m:oMath>
              <m:r>
                <m:rPr>
                  <m:sty m:val="p"/>
                </m:rPr>
                <m:t>(</m:t>
              </m:r>
              <m:r>
                <m:t>70</m:t>
              </m:r>
              <m:r>
                <m:rPr>
                  <m:sty m:val="p"/>
                </m:rPr>
                <m:t>,</m:t>
              </m:r>
              <m:r>
                <m:t>70</m:t>
              </m:r>
              <m:r>
                <m:rPr>
                  <m:sty m:val="p"/>
                </m:rPr>
                <m:t>)</m:t>
              </m:r>
            </m:oMath>
          </w:p>
        </w:tc>
      </w:tr>
    </w:tbl>
    <w:p>
      <w:pPr>
        <w:pStyle w:val="BlockText"/>
      </w:pPr>
      <w:r>
        <w:t xml:space="preserve">Conceder incentivos é estratégia dominante. O resultado (70, 70) é Pareto-dominado por (100, 100).</w:t>
      </w:r>
    </w:p>
    <w:p>
      <w:pPr>
        <w:pStyle w:val="BlockText"/>
      </w:pPr>
      <w:r>
        <w:rPr>
          <w:b/>
          <w:bCs/>
        </w:rPr>
        <w:t xml:space="preserve">Por que a cooperação falhou?</w:t>
      </w:r>
    </w:p>
    <w:p>
      <w:pPr>
        <w:pStyle w:val="BlockText"/>
      </w:pPr>
      <w:r>
        <w:t xml:space="preserve">Usando os payoffs acima:</w:t>
      </w:r>
      <w:r>
        <w:t xml:space="preserve"> </w:t>
      </w:r>
      <m:oMath>
        <m:sSup>
          <m:e>
            <m:r>
              <m:t>δ</m:t>
            </m:r>
          </m:e>
          <m:sup>
            <m:r>
              <m:rPr>
                <m:sty m:val="p"/>
              </m:rPr>
              <m:t>*</m:t>
            </m:r>
          </m:sup>
        </m:sSup>
        <m:r>
          <m:rPr>
            <m:sty m:val="p"/>
          </m:rPr>
          <m:t>=</m:t>
        </m:r>
        <m:r>
          <m:rPr>
            <m:sty m:val="p"/>
          </m:rPr>
          <m:t>(</m:t>
        </m:r>
        <m:r>
          <m:t>T</m:t>
        </m:r>
        <m:r>
          <m:rPr>
            <m:sty m:val="p"/>
          </m:rPr>
          <m:t>−</m:t>
        </m:r>
        <m:r>
          <m:t>R</m:t>
        </m:r>
        <m:r>
          <m:rPr>
            <m:sty m:val="p"/>
          </m:rPr>
          <m:t>)</m:t>
        </m:r>
        <m:r>
          <m:rPr>
            <m:sty m:val="p"/>
          </m:rPr>
          <m:t>/</m:t>
        </m:r>
        <m:r>
          <m:rPr>
            <m:sty m:val="p"/>
          </m:rPr>
          <m:t>(</m:t>
        </m:r>
        <m:r>
          <m:t>T</m:t>
        </m:r>
        <m:r>
          <m:rPr>
            <m:sty m:val="p"/>
          </m:rPr>
          <m:t>−</m:t>
        </m:r>
        <m:r>
          <m:t>P</m:t>
        </m:r>
        <m:r>
          <m:rPr>
            <m:sty m:val="p"/>
          </m:rPr>
          <m:t>)</m:t>
        </m:r>
        <m:r>
          <m:rPr>
            <m:sty m:val="p"/>
          </m:rPr>
          <m:t>=</m:t>
        </m:r>
        <m:r>
          <m:rPr>
            <m:sty m:val="p"/>
          </m:rPr>
          <m:t>(</m:t>
        </m:r>
        <m:r>
          <m:t>120</m:t>
        </m:r>
        <m:r>
          <m:rPr>
            <m:sty m:val="p"/>
          </m:rPr>
          <m:t>−</m:t>
        </m:r>
        <m:r>
          <m:t>100</m:t>
        </m:r>
        <m:r>
          <m:rPr>
            <m:sty m:val="p"/>
          </m:rPr>
          <m:t>)</m:t>
        </m:r>
        <m:r>
          <m:rPr>
            <m:sty m:val="p"/>
          </m:rPr>
          <m:t>/</m:t>
        </m:r>
        <m:r>
          <m:rPr>
            <m:sty m:val="p"/>
          </m:rPr>
          <m:t>(</m:t>
        </m:r>
        <m:r>
          <m:t>120</m:t>
        </m:r>
        <m:r>
          <m:rPr>
            <m:sty m:val="p"/>
          </m:rPr>
          <m:t>−</m:t>
        </m:r>
        <m:r>
          <m:t>70</m:t>
        </m:r>
        <m:r>
          <m:rPr>
            <m:sty m:val="p"/>
          </m:rPr>
          <m:t>)</m:t>
        </m:r>
        <m:r>
          <m:rPr>
            <m:sty m:val="p"/>
          </m:rPr>
          <m:t>=</m:t>
        </m:r>
        <m:r>
          <m:t>0</m:t>
        </m:r>
        <m:r>
          <m:rPr>
            <m:sty m:val="p"/>
          </m:rPr>
          <m:t>,</m:t>
        </m:r>
        <m:r>
          <m:t>4</m:t>
        </m:r>
      </m:oMath>
      <w:r>
        <w:t xml:space="preserve">. Bastaria</w:t>
      </w:r>
      <w:r>
        <w:t xml:space="preserve"> </w:t>
      </w:r>
      <m:oMath>
        <m:r>
          <m:t>δ</m:t>
        </m:r>
        <m:r>
          <m:rPr>
            <m:sty m:val="p"/>
          </m:rPr>
          <m:t>≥</m:t>
        </m:r>
        <m:r>
          <m:t>0</m:t>
        </m:r>
        <m:r>
          <m:rPr>
            <m:sty m:val="p"/>
          </m:rPr>
          <m:t>,</m:t>
        </m:r>
        <m:r>
          <m:t>4</m:t>
        </m:r>
      </m:oMath>
      <w:r>
        <w:t xml:space="preserve"> </w:t>
      </w:r>
      <w:r>
        <w:t xml:space="preserve">para sustentar cooperação com grim trigger — um limiar baixo! Então por que a guerra fiscal persiste?</w:t>
      </w:r>
    </w:p>
    <w:p>
      <w:pPr>
        <w:pStyle w:val="Compact"/>
        <w:numPr>
          <w:ilvl w:val="0"/>
          <w:numId w:val="1489"/>
        </w:numPr>
      </w:pPr>
      <w:r>
        <w:rPr>
          <w:b/>
          <w:bCs/>
        </w:rPr>
        <w:t xml:space="preserve">Horizonte curto dos governadores</w:t>
      </w:r>
      <w:r>
        <w:t xml:space="preserve">: mandatos de 4 anos geram</w:t>
      </w:r>
      <w:r>
        <w:t xml:space="preserve"> </w:t>
      </w:r>
      <m:oMath>
        <m:r>
          <m:t>δ</m:t>
        </m:r>
      </m:oMath>
      <w:r>
        <w:t xml:space="preserve"> </w:t>
      </w:r>
      <w:r>
        <w:t xml:space="preserve">efetivo baixo (desconto político é altíssimo).</w:t>
      </w:r>
    </w:p>
    <w:p>
      <w:pPr>
        <w:pStyle w:val="Compact"/>
        <w:numPr>
          <w:ilvl w:val="0"/>
          <w:numId w:val="1489"/>
        </w:numPr>
      </w:pPr>
      <w:r>
        <w:rPr>
          <w:b/>
          <w:bCs/>
        </w:rPr>
        <w:t xml:space="preserve">Confaz fraco</w:t>
      </w:r>
      <w:r>
        <w:t xml:space="preserve">: o mecanismo de enforcement (unanimidade para novos benefícios) foi sistematicamente violado.</w:t>
      </w:r>
    </w:p>
    <w:p>
      <w:pPr>
        <w:pStyle w:val="Compact"/>
        <w:numPr>
          <w:ilvl w:val="0"/>
          <w:numId w:val="1489"/>
        </w:numPr>
      </w:pPr>
      <w:r>
        <w:rPr>
          <w:b/>
          <w:bCs/>
        </w:rPr>
        <w:t xml:space="preserve">Assimetria entre estados</w:t>
      </w:r>
      <w:r>
        <w:t xml:space="preserve">: estados menores ganham mais com o desvio, pois atraem investimentos proporcionalmente maiores.</w:t>
      </w:r>
    </w:p>
    <w:p>
      <w:pPr>
        <w:pStyle w:val="BlockText"/>
      </w:pPr>
      <w:r>
        <w:rPr>
          <w:b/>
          <w:bCs/>
        </w:rPr>
        <w:t xml:space="preserve">A Reforma Tributária como mudança de regras do jogo</w:t>
      </w:r>
    </w:p>
    <w:p>
      <w:pPr>
        <w:pStyle w:val="BlockText"/>
      </w:pPr>
      <w:r>
        <w:t xml:space="preserve">A EC 132/2023 (IBS com alíquota uniforme e cobrança no destino) não tenta sustentar cooperação no jogo existente — ela</w:t>
      </w:r>
      <w:r>
        <w:t xml:space="preserve"> </w:t>
      </w:r>
      <w:r>
        <w:rPr>
          <w:b/>
          <w:bCs/>
        </w:rPr>
        <w:t xml:space="preserve">redesenha o jogo</w:t>
      </w:r>
      <w:r>
        <w:t xml:space="preserve"> </w:t>
      </w:r>
      <w:r>
        <w:t xml:space="preserve">eliminando o instrumento (ICMS na origem) que permitia a concessão unilateral de benefícios.</w:t>
      </w:r>
    </w:p>
    <w:p>
      <w:r>
        <w:pict>
          <v:rect style="width:0;height:1.5pt" o:hralign="center" o:hrstd="t" o:hr="t"/>
        </w:pict>
      </w:r>
    </w:p>
    <w:p>
      <w:pPr>
        <w:pStyle w:val="BlockText"/>
      </w:pPr>
      <w:r>
        <w:rPr>
          <w:b/>
          <w:bCs/>
        </w:rPr>
        <w:t xml:space="preserve">[BOX BRASIL] Box Brasil — Metalúrgicos vs. Montadoras: barganha à brasileira</w:t>
      </w:r>
    </w:p>
    <w:p>
      <w:pPr>
        <w:pStyle w:val="BlockText"/>
      </w:pPr>
      <w:r>
        <w:t xml:space="preserve">As negociações salariais anuais entre o</w:t>
      </w:r>
      <w:r>
        <w:t xml:space="preserve"> </w:t>
      </w:r>
      <w:r>
        <w:rPr>
          <w:b/>
          <w:bCs/>
        </w:rPr>
        <w:t xml:space="preserve">Sindicato dos Metalúrgicos do ABC</w:t>
      </w:r>
      <w:r>
        <w:t xml:space="preserve"> </w:t>
      </w:r>
      <w:r>
        <w:t xml:space="preserve">e as montadoras (Volkswagen, Mercedes-Benz, Toyota) são um exemplo clássico de barganha com ofertas alternadas.</w:t>
      </w:r>
    </w:p>
    <w:p>
      <w:pPr>
        <w:pStyle w:val="BlockText"/>
      </w:pPr>
      <w:r>
        <w:rPr>
          <w:b/>
          <w:bCs/>
        </w:rPr>
        <w:t xml:space="preserve">Estrutura da barganha</w:t>
      </w:r>
    </w:p>
    <w:p>
      <w:pPr>
        <w:pStyle w:val="Compact"/>
        <w:numPr>
          <w:ilvl w:val="0"/>
          <w:numId w:val="1490"/>
        </w:numPr>
      </w:pPr>
      <w:r>
        <w:t xml:space="preserve">O sindicato apresenta uma pauta de reivindicações (reajuste + PLR + benefícios).</w:t>
      </w:r>
    </w:p>
    <w:p>
      <w:pPr>
        <w:pStyle w:val="Compact"/>
        <w:numPr>
          <w:ilvl w:val="0"/>
          <w:numId w:val="1490"/>
        </w:numPr>
      </w:pPr>
      <w:r>
        <w:t xml:space="preserve">A empresa contrapropõe.</w:t>
      </w:r>
    </w:p>
    <w:p>
      <w:pPr>
        <w:pStyle w:val="Compact"/>
        <w:numPr>
          <w:ilvl w:val="0"/>
          <w:numId w:val="1490"/>
        </w:numPr>
      </w:pPr>
      <w:r>
        <w:t xml:space="preserve">Se não há acordo, pode haver greve (custo para ambos: trabalhadores perdem salários, empresa perde produção).</w:t>
      </w:r>
    </w:p>
    <w:p>
      <w:pPr>
        <w:pStyle w:val="Compact"/>
        <w:numPr>
          <w:ilvl w:val="0"/>
          <w:numId w:val="1490"/>
        </w:numPr>
      </w:pPr>
      <w:r>
        <w:t xml:space="preserve">Rodadas se sucedem até o acordo.</w:t>
      </w:r>
    </w:p>
    <w:p>
      <w:pPr>
        <w:pStyle w:val="BlockText"/>
      </w:pPr>
      <w:r>
        <w:rPr>
          <w:b/>
          <w:bCs/>
        </w:rPr>
        <w:t xml:space="preserve">Fatores que afetam o poder de barganha (</w:t>
      </w:r>
      <m:oMath>
        <m:r>
          <m:t>δ</m:t>
        </m:r>
      </m:oMath>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Fator</w:t>
            </w:r>
          </w:p>
        </w:tc>
        <w:tc>
          <w:tcPr/>
          <w:p>
            <w:pPr>
              <w:pStyle w:val="Compact"/>
              <w:jc w:val="left"/>
            </w:pPr>
            <w:r>
              <w:t xml:space="preserve">Efeito sobre o sindicato</w:t>
            </w:r>
          </w:p>
        </w:tc>
        <w:tc>
          <w:tcPr/>
          <w:p>
            <w:pPr>
              <w:pStyle w:val="Compact"/>
              <w:jc w:val="left"/>
            </w:pPr>
            <w:r>
              <w:t xml:space="preserve">Efeito sobre a empresa</w:t>
            </w:r>
          </w:p>
        </w:tc>
      </w:tr>
      <w:tr>
        <w:tc>
          <w:tcPr/>
          <w:p>
            <w:pPr>
              <w:pStyle w:val="Compact"/>
              <w:jc w:val="left"/>
            </w:pPr>
            <w:r>
              <w:t xml:space="preserve">Fundo de greve</w:t>
            </w:r>
          </w:p>
        </w:tc>
        <w:tc>
          <w:tcPr/>
          <w:p>
            <w:pPr>
              <w:pStyle w:val="Compact"/>
              <w:jc w:val="left"/>
            </w:pPr>
            <w:r>
              <w:t xml:space="preserve">Aumenta</w:t>
            </w:r>
            <w:r>
              <w:t xml:space="preserve"> </w:t>
            </w:r>
            <m:oMath>
              <m:sSub>
                <m:e>
                  <m:r>
                    <m:t>δ</m:t>
                  </m:r>
                </m:e>
                <m:sub>
                  <m:r>
                    <m:rPr>
                      <m:nor/>
                      <m:sty m:val="p"/>
                    </m:rPr>
                    <m:t>sind</m:t>
                  </m:r>
                </m:sub>
              </m:sSub>
            </m:oMath>
          </w:p>
        </w:tc>
        <w:tc>
          <w:tcPr/>
          <w:p>
            <w:pPr>
              <w:pStyle w:val="Compact"/>
              <w:jc w:val="left"/>
            </w:pPr>
            <w:r>
              <w:t xml:space="preserve">—</w:t>
            </w:r>
          </w:p>
        </w:tc>
      </w:tr>
      <w:tr>
        <w:tc>
          <w:tcPr/>
          <w:p>
            <w:pPr>
              <w:pStyle w:val="Compact"/>
              <w:jc w:val="left"/>
            </w:pPr>
            <w:r>
              <w:t xml:space="preserve">Estoques altos</w:t>
            </w:r>
          </w:p>
        </w:tc>
        <w:tc>
          <w:tcPr/>
          <w:p>
            <w:pPr>
              <w:pStyle w:val="Compact"/>
              <w:jc w:val="left"/>
            </w:pPr>
            <w:r>
              <w:t xml:space="preserve">—</w:t>
            </w:r>
          </w:p>
        </w:tc>
        <w:tc>
          <w:tcPr/>
          <w:p>
            <w:pPr>
              <w:pStyle w:val="Compact"/>
              <w:jc w:val="left"/>
            </w:pPr>
            <w:r>
              <w:t xml:space="preserve">Aumenta</w:t>
            </w:r>
            <w:r>
              <w:t xml:space="preserve"> </w:t>
            </w:r>
            <m:oMath>
              <m:sSub>
                <m:e>
                  <m:r>
                    <m:t>δ</m:t>
                  </m:r>
                </m:e>
                <m:sub>
                  <m:r>
                    <m:rPr>
                      <m:nor/>
                      <m:sty m:val="p"/>
                    </m:rPr>
                    <m:t>emp</m:t>
                  </m:r>
                </m:sub>
              </m:sSub>
            </m:oMath>
          </w:p>
        </w:tc>
      </w:tr>
      <w:tr>
        <w:tc>
          <w:tcPr/>
          <w:p>
            <w:pPr>
              <w:pStyle w:val="Compact"/>
              <w:jc w:val="left"/>
            </w:pPr>
            <w:r>
              <w:t xml:space="preserve">Desemprego alto</w:t>
            </w:r>
          </w:p>
        </w:tc>
        <w:tc>
          <w:tcPr/>
          <w:p>
            <w:pPr>
              <w:pStyle w:val="Compact"/>
              <w:jc w:val="left"/>
            </w:pPr>
            <w:r>
              <w:t xml:space="preserve">Reduz</w:t>
            </w:r>
            <w:r>
              <w:t xml:space="preserve"> </w:t>
            </w:r>
            <m:oMath>
              <m:sSub>
                <m:e>
                  <m:r>
                    <m:t>δ</m:t>
                  </m:r>
                </m:e>
                <m:sub>
                  <m:r>
                    <m:rPr>
                      <m:nor/>
                      <m:sty m:val="p"/>
                    </m:rPr>
                    <m:t>sind</m:t>
                  </m:r>
                </m:sub>
              </m:sSub>
            </m:oMath>
          </w:p>
        </w:tc>
        <w:tc>
          <w:tcPr/>
          <w:p>
            <w:pPr>
              <w:pStyle w:val="Compact"/>
              <w:jc w:val="left"/>
            </w:pPr>
            <w:r>
              <w:t xml:space="preserve">—</w:t>
            </w:r>
          </w:p>
        </w:tc>
      </w:tr>
      <w:tr>
        <w:tc>
          <w:tcPr/>
          <w:p>
            <w:pPr>
              <w:pStyle w:val="Compact"/>
              <w:jc w:val="left"/>
            </w:pPr>
            <w:r>
              <w:t xml:space="preserve">Demanda aquecida</w:t>
            </w:r>
          </w:p>
        </w:tc>
        <w:tc>
          <w:tcPr/>
          <w:p>
            <w:pPr>
              <w:pStyle w:val="Compact"/>
              <w:jc w:val="left"/>
            </w:pPr>
            <w:r>
              <w:t xml:space="preserve">—</w:t>
            </w:r>
          </w:p>
        </w:tc>
        <w:tc>
          <w:tcPr/>
          <w:p>
            <w:pPr>
              <w:pStyle w:val="Compact"/>
              <w:jc w:val="left"/>
            </w:pPr>
            <w:r>
              <w:t xml:space="preserve">Reduz</w:t>
            </w:r>
            <w:r>
              <w:t xml:space="preserve"> </w:t>
            </w:r>
            <m:oMath>
              <m:sSub>
                <m:e>
                  <m:r>
                    <m:t>δ</m:t>
                  </m:r>
                </m:e>
                <m:sub>
                  <m:r>
                    <m:rPr>
                      <m:nor/>
                      <m:sty m:val="p"/>
                    </m:rPr>
                    <m:t>emp</m:t>
                  </m:r>
                </m:sub>
              </m:sSub>
            </m:oMath>
          </w:p>
        </w:tc>
      </w:tr>
    </w:tbl>
    <w:p>
      <w:pPr>
        <w:pStyle w:val="BlockText"/>
      </w:pPr>
      <w:r>
        <w:rPr>
          <w:b/>
          <w:bCs/>
        </w:rPr>
        <w:t xml:space="preserve">Dados recentes</w:t>
      </w:r>
    </w:p>
    <w:p>
      <w:pPr>
        <w:pStyle w:val="BlockText"/>
      </w:pPr>
      <w:r>
        <w:t xml:space="preserve">Em 2024, o Sindicato dos Metalúrgicos do ABC negociou reajuste de</w:t>
      </w:r>
      <w:r>
        <w:t xml:space="preserve"> </w:t>
      </w:r>
      <w:r>
        <w:rPr>
          <w:b/>
          <w:bCs/>
        </w:rPr>
        <w:t xml:space="preserve">5,5%</w:t>
      </w:r>
      <w:r>
        <w:t xml:space="preserve"> </w:t>
      </w:r>
      <w:r>
        <w:t xml:space="preserve">(inflação + ganho real) com a Volkswagen, após duas rodadas de negociação — consistente com o modelo de Rubinstein onde o proponente com informação sobre o custo do atraso faz uma oferta próxima do EPS logo na primeira rodada.</w:t>
      </w:r>
    </w:p>
    <w:p>
      <w:pPr>
        <w:pStyle w:val="BlockText"/>
      </w:pPr>
      <w:r>
        <w:rPr>
          <w:b/>
          <w:bCs/>
        </w:rPr>
        <w:t xml:space="preserve">Fonte</w:t>
      </w:r>
      <w:r>
        <w:t xml:space="preserve">: DIEESE, Subsistema de Negociações Coletivas; Sindicato dos Metalúrgicos do ABC.</w:t>
      </w:r>
    </w:p>
    <w:p>
      <w:pPr>
        <w:pStyle w:val="BlockText"/>
      </w:pPr>
      <w:r>
        <w:rPr>
          <w:b/>
          <w:bCs/>
        </w:rPr>
        <w:t xml:space="preserve">[BOX BRASIL] Brasil na Prática — Acordo de Leniência e o Fim do Cartel</w:t>
      </w:r>
    </w:p>
    <w:p>
      <w:pPr>
        <w:pStyle w:val="BlockText"/>
      </w:pPr>
      <w:r>
        <w:t xml:space="preserve">O programa de leniência do CADE (Lei 12.529/2011) é uma aplicação direta da teoria de jogos repetidos à política antitruste. O mecanismo funciona assim: a primeira empresa do cartel que denunciar os parceiros recebe imunidade administrativa e redução de 1/3 a 2/3 da multa criminal. As demais pagam multas de até 20% do faturamento.</w:t>
      </w:r>
    </w:p>
    <w:p>
      <w:pPr>
        <w:pStyle w:val="BlockText"/>
      </w:pPr>
      <w:r>
        <w:rPr>
          <w:b/>
          <w:bCs/>
        </w:rPr>
        <w:t xml:space="preserve">Modelagem:</w:t>
      </w:r>
      <w:r>
        <w:t xml:space="preserve"> </w:t>
      </w:r>
      <w:r>
        <w:t xml:space="preserve">O cartel é um equilíbrio cooperativo sustentado por punição (folk theorem). O programa de leniência altera os payoffs do jogo: o ganho de desviar (denunciar) passa a superar o ganho de cooperar (manter o cartel), especialmente quando há risco de que outro membro denuncie primeiro. O resultado é uma corrida para denunciar — exatamente o que o regulador deseja.</w:t>
      </w:r>
    </w:p>
    <w:p>
      <w:pPr>
        <w:pStyle w:val="BlockText"/>
      </w:pPr>
      <w:r>
        <w:rPr>
          <w:b/>
          <w:bCs/>
        </w:rPr>
        <w:t xml:space="preserve">Caso emblemático:</w:t>
      </w:r>
      <w:r>
        <w:t xml:space="preserve"> </w:t>
      </w:r>
      <w:r>
        <w:t xml:space="preserve">O cartel de cimentos (condenado em 2014) envolveu Votorantim, Nassau, Itabira, Cimpor e outras empresas. Multas totais: R$ 3,1 bilhões — a maior da história do CADE até então. A investigação revelou que o cartel operou por cerca de 20 anos, coordenando preços e dividindo mercados regionais. A Votorantim, identificada como líder do esquema, recebeu a maior multa individual: R$ 1,5 bilhão.</w:t>
      </w:r>
    </w:p>
    <w:p>
      <w:pPr>
        <w:pStyle w:val="BlockText"/>
      </w:pPr>
      <w:r>
        <w:rPr>
          <w:b/>
          <w:bCs/>
        </w:rPr>
        <w:t xml:space="preserve">Conexão teórica:</w:t>
      </w:r>
      <w:r>
        <w:t xml:space="preserve"> </w:t>
      </w:r>
      <w:r>
        <w:t xml:space="preserve">O programa de leniência transforma um jogo repetido (onde cooperar = manter cartel é equilíbrio sustentável) em um jogo com incentivo unilateral a desviar (onde denunciar primeiro é estratégia dominante). É o dilema do prisioneiro aplicado à vida real — e o regulador explora exatamente a instabilidade do equilíbrio cooperativo para desmontá-lo.</w:t>
      </w:r>
    </w:p>
    <w:p>
      <w:pPr>
        <w:pStyle w:val="BlockText"/>
      </w:pPr>
      <w:r>
        <w:rPr>
          <w:b/>
          <w:bCs/>
        </w:rPr>
        <w:t xml:space="preserve">Fonte:</w:t>
      </w:r>
      <w:r>
        <w:t xml:space="preserve"> </w:t>
      </w:r>
      <w:r>
        <w:t xml:space="preserve">CADE (2014).</w:t>
      </w:r>
      <w:r>
        <w:t xml:space="preserve"> </w:t>
      </w:r>
      <w:hyperlink r:id="rId526">
        <w:r>
          <w:rPr>
            <w:rStyle w:val="Hyperlink"/>
          </w:rPr>
          <w:t xml:space="preserve">Cade multa em R$ 3,1 bilhões o cartel do cimento</w:t>
        </w:r>
      </w:hyperlink>
      <w:r>
        <w:t xml:space="preserve">.</w:t>
      </w:r>
    </w:p>
    <w:p>
      <w:r>
        <w:pict>
          <v:rect style="width:0;height:1.5pt" o:hralign="center" o:hrstd="t" o:hr="t"/>
        </w:pict>
      </w:r>
    </w:p>
    <w:p>
      <w:pPr>
        <w:pStyle w:val="BlockText"/>
      </w:pPr>
      <w:r>
        <w:rPr>
          <w:b/>
          <w:bCs/>
        </w:rPr>
        <w:t xml:space="preserve">[CODE] R Interativo — Ultimatum Game: teoria vs. experimento (Adams, 2025, Cap. 8)</w:t>
      </w:r>
    </w:p>
    <w:p>
      <w:pPr>
        <w:pStyle w:val="BlockText"/>
      </w:pPr>
      <w:r>
        <w:t xml:space="preserve">O jogo do ultimato é um dos mais estudados em economia experimental. A previsão teórica (oferta mínima, aceitação total) é sistematicamente violada: ofertas modais são 40-50% e ofertas abaixo de 20% são frequentemente rejeitadas.</w:t>
      </w:r>
    </w:p>
    <w:p>
      <w:pPr>
        <w:pStyle w:val="BlockText"/>
      </w:pPr>
      <w:r>
        <w:t xml:space="preserve">Andersen et al. (2011) realizaram experimentos na Índia com stakes variando de US$ 0,50 a US$ 200 (até 8 meses de salário local). Com stakes muito altos, as ofertas convergem para a previsão teórica — sugerindo que preferências por fairness têm um preço.</w:t>
      </w:r>
    </w:p>
    <w:p>
      <w:pPr>
        <w:pStyle w:val="FirstParagraph"/>
      </w:pPr>
      <w:r>
        <w:t xml:space="preserve">[FIGURA INTERATIVA: /micro-book/graficos/cap09/webr-ultimatum.html — versao interativa disponivel online]</w:t>
      </w:r>
    </w:p>
    <w:p>
      <w:pPr>
        <w:pStyle w:val="BlockText"/>
      </w:pPr>
      <w:r>
        <w:rPr>
          <w:b/>
          <w:bCs/>
        </w:rPr>
        <w:t xml:space="preserve">Figura 9b.3 — Simulação de um experimento de ultimatum game com modelo logit.</w:t>
      </w:r>
      <w:r>
        <w:t xml:space="preserve"> </w:t>
      </w:r>
      <w:r>
        <w:t xml:space="preserve">Altere os parâmetros da simulação e estime a probabilidade de aceitar em função da oferta.</w:t>
      </w:r>
    </w:p>
    <w:p>
      <w:r>
        <w:pict>
          <v:rect style="width:0;height:1.5pt" o:hralign="center" o:hrstd="t" o:hr="t"/>
        </w:pict>
      </w:r>
    </w:p>
    <w:p>
      <w:pPr>
        <w:pStyle w:val="BlockText"/>
      </w:pPr>
      <w:r>
        <w:rPr>
          <w:b/>
          <w:bCs/>
        </w:rPr>
        <w:t xml:space="preserve">[CODE] R Interativo — Dinâmica de preços e conluio em Perth (Adams, 2025, Cap. 7)</w:t>
      </w:r>
    </w:p>
    <w:p>
      <w:pPr>
        <w:pStyle w:val="BlockText"/>
      </w:pPr>
      <w:r>
        <w:t xml:space="preserve">Wang (2009) e Clark e Roos (2019) documentaram padrões de preços cíclicos (</w:t>
      </w:r>
      <w:r>
        <w:t xml:space="preserve">“Edgeworth cycles”</w:t>
      </w:r>
      <w:r>
        <w:t xml:space="preserve">) no mercado de gasolina de Perth, Austrália — evidência empírica da dinâmica cooperação/punição prevista pelos modelos de jogos repetidos.</w:t>
      </w:r>
    </w:p>
    <w:p>
      <w:pPr>
        <w:pStyle w:val="BlockText"/>
      </w:pPr>
      <w:r>
        <w:t xml:space="preserve">Este box simula os ciclos de Edgeworth: preços sobem gradualmente (fase cooperativa) e depois desabam (fase de punição/undercut), gerando o padrão</w:t>
      </w:r>
      <w:r>
        <w:t xml:space="preserve"> </w:t>
      </w:r>
      <w:r>
        <w:t xml:space="preserve">“dente de serra”</w:t>
      </w:r>
      <w:r>
        <w:t xml:space="preserve">.</w:t>
      </w:r>
    </w:p>
    <w:p>
      <w:pPr>
        <w:pStyle w:val="FirstParagraph"/>
      </w:pPr>
      <w:r>
        <w:t xml:space="preserve">[FIGURA INTERATIVA: /micro-book/graficos/cap09/webr-gasoline.html — versao interativa disponivel online]</w:t>
      </w:r>
    </w:p>
    <w:p>
      <w:pPr>
        <w:pStyle w:val="BlockText"/>
      </w:pPr>
      <w:r>
        <w:rPr>
          <w:b/>
          <w:bCs/>
        </w:rPr>
        <w:t xml:space="preserve">Figura 9b.4 — Simulação de ciclos de Edgeworth no mercado de gasolina.</w:t>
      </w:r>
      <w:r>
        <w:t xml:space="preserve"> </w:t>
      </w:r>
      <w:r>
        <w:t xml:space="preserve">Baseado em Adams (2025, Cap. 7) e dados de Perth.</w:t>
      </w:r>
    </w:p>
    <w:p>
      <w:r>
        <w:pict>
          <v:rect style="width:0;height:1.5pt" o:hralign="center" o:hrstd="t" o:hr="t"/>
        </w:pict>
      </w:r>
    </w:p>
    <w:p>
      <w:pPr>
        <w:pStyle w:val="FirstParagraph"/>
      </w:pPr>
      <w:r>
        <w:rPr>
          <w:i/>
          <w:iCs/>
        </w:rPr>
        <w:t xml:space="preserve">Jogos repetidos e barganha revelam o poder do tempo. No próximo módulo, tiramos a última certeza: os jogadores nem sabem contra quem estão jogando. And now for something completely different.</w:t>
      </w:r>
    </w:p>
    <w:bookmarkEnd w:id="527"/>
    <w:bookmarkEnd w:id="528"/>
    <w:bookmarkEnd w:id="529"/>
    <w:bookmarkStart w:id="535" w:name="X68e82cf40604f5f3ad86c71e043c5508cbfd488"/>
    <w:p>
      <w:pPr>
        <w:pStyle w:val="Heading2"/>
      </w:pPr>
      <w:r>
        <w:t xml:space="preserve">Amanhã Nos Encontramos de Novo: Jogos Repetidos e Cooperação</w:t>
      </w:r>
    </w:p>
    <w:bookmarkStart w:id="534" w:name="Xd8022bfcd2fdb7c5b28379d4a577b191fa440b2"/>
    <w:p>
      <w:pPr>
        <w:pStyle w:val="Heading3"/>
      </w:pPr>
      <w:r>
        <w:t xml:space="preserve">9b.2 Amanhã Nos Encontramos de Novo: Jogos Repetidos e Cooperação</w:t>
      </w:r>
    </w:p>
    <w:p>
      <w:pPr>
        <w:pStyle w:val="FirstParagraph"/>
      </w:pPr>
      <w:r>
        <w:t xml:space="preserve">A seção anterior tratou de interações que acontecem uma vez e acabam. Mas pense nas relações econômicas que realmente importam: Ambev e Heineken competem</w:t>
      </w:r>
      <w:r>
        <w:t xml:space="preserve"> </w:t>
      </w:r>
      <w:r>
        <w:rPr>
          <w:i/>
          <w:iCs/>
        </w:rPr>
        <w:t xml:space="preserve">todo mês</w:t>
      </w:r>
      <w:r>
        <w:t xml:space="preserve">. Brasil e Argentina negociam comércio</w:t>
      </w:r>
      <w:r>
        <w:t xml:space="preserve"> </w:t>
      </w:r>
      <w:r>
        <w:rPr>
          <w:i/>
          <w:iCs/>
        </w:rPr>
        <w:t xml:space="preserve">todo ano</w:t>
      </w:r>
      <w:r>
        <w:t xml:space="preserve">. Você e seu colega de trabalho interagem</w:t>
      </w:r>
      <w:r>
        <w:t xml:space="preserve"> </w:t>
      </w:r>
      <w:r>
        <w:rPr>
          <w:i/>
          <w:iCs/>
        </w:rPr>
        <w:t xml:space="preserve">todo dia</w:t>
      </w:r>
      <w:r>
        <w:t xml:space="preserve">. Quando o jogo se repete, uma possibilidade fascinante emerge:</w:t>
      </w:r>
      <w:r>
        <w:t xml:space="preserve"> </w:t>
      </w:r>
      <w:r>
        <w:rPr>
          <w:b/>
          <w:bCs/>
        </w:rPr>
        <w:t xml:space="preserve">a sombra do futuro disciplina o presente</w:t>
      </w:r>
      <w:r>
        <w:t xml:space="preserve">. Se eu sei que te encontro amanhã, tenho incentivo para não te trair hoje — porque amanhã você pode me punir. Será que a cooperação pode nascer do puro egoísmo, sem contratos, sem regulador, sem lei?</w:t>
      </w:r>
    </w:p>
    <w:p>
      <w:pPr>
        <w:pStyle w:val="BodyText"/>
      </w:pPr>
      <w:r>
        <w:t xml:space="preserve">É fundamental distinguir entre dois conceitos relacionados: o</w:t>
      </w:r>
      <w:r>
        <w:t xml:space="preserve"> </w:t>
      </w:r>
      <w:r>
        <w:rPr>
          <w:b/>
          <w:bCs/>
        </w:rPr>
        <w:t xml:space="preserve">jogo de estágio</w:t>
      </w:r>
      <w:r>
        <w:t xml:space="preserve"> </w:t>
      </w:r>
      <w:r>
        <w:t xml:space="preserve">(o jogo original, jogado a cada período) e o</w:t>
      </w:r>
      <w:r>
        <w:t xml:space="preserve"> </w:t>
      </w:r>
      <w:r>
        <w:rPr>
          <w:b/>
          <w:bCs/>
        </w:rPr>
        <w:t xml:space="preserve">jogo repetido</w:t>
      </w:r>
      <w:r>
        <w:t xml:space="preserve"> </w:t>
      </w:r>
      <w:r>
        <w:t xml:space="preserve">(a sequência de interações ao longo do tempo). O jogo de estágio captura a estrutura de incentivos de cada interação isolada; o jogo repetido adiciona a dimensão temporal e a possibilidade de condicionamento das ações à história passada. Estratégias no jogo repetido são, portanto,</w:t>
      </w:r>
      <w:r>
        <w:t xml:space="preserve"> </w:t>
      </w:r>
      <w:r>
        <w:rPr>
          <w:b/>
          <w:bCs/>
        </w:rPr>
        <w:t xml:space="preserve">planos contingentes</w:t>
      </w:r>
      <w:r>
        <w:t xml:space="preserve"> </w:t>
      </w:r>
      <w:r>
        <w:t xml:space="preserve">que podem depender de tudo que aconteceu até o período corrente — e essa riqueza estratégica é o que abre espaço para a cooperação.</w:t>
      </w:r>
    </w:p>
    <w:bookmarkStart w:id="530" w:name="jogos-finitamente-repetidos"/>
    <w:p>
      <w:pPr>
        <w:pStyle w:val="Heading4"/>
      </w:pPr>
      <w:r>
        <w:t xml:space="preserve">Jogos finitamente repetidos</w:t>
      </w:r>
    </w:p>
    <w:p>
      <w:pPr>
        <w:pStyle w:val="FirstParagraph"/>
      </w:pPr>
      <w:r>
        <w:t xml:space="preserve">A primeira pergunta é natural: se o Dilema dos Prisioneiros é jogado repetidamente entre os mesmos jogadores, a cooperação pode emergir? Se o número de repetições é finito e conhecido, a resposta é decepcionantemente negativa. A lógica é a seguinte: no último período</w:t>
      </w:r>
      <w:r>
        <w:t xml:space="preserve"> </w:t>
      </w:r>
      <m:oMath>
        <m:r>
          <m:t>T</m:t>
        </m:r>
      </m:oMath>
      <w:r>
        <w:t xml:space="preserve">, não há futuro — e portanto nenhuma ameaça de punição futura funciona. Ambos traem em</w:t>
      </w:r>
      <w:r>
        <w:t xml:space="preserve"> </w:t>
      </w:r>
      <m:oMath>
        <m:r>
          <m:t>T</m:t>
        </m:r>
      </m:oMath>
      <w:r>
        <w:t xml:space="preserve">. Mas então, em</w:t>
      </w:r>
      <w:r>
        <w:t xml:space="preserve"> </w:t>
      </w:r>
      <m:oMath>
        <m:r>
          <m:t>T</m:t>
        </m:r>
        <m:r>
          <m:rPr>
            <m:sty m:val="p"/>
          </m:rPr>
          <m:t>−</m:t>
        </m:r>
        <m:r>
          <m:t>1</m:t>
        </m:r>
      </m:oMath>
      <w:r>
        <w:t xml:space="preserve">, ambos sabem que a traição ocorrerá em</w:t>
      </w:r>
      <w:r>
        <w:t xml:space="preserve"> </w:t>
      </w:r>
      <m:oMath>
        <m:r>
          <m:t>T</m:t>
        </m:r>
      </m:oMath>
      <w:r>
        <w:t xml:space="preserve"> </w:t>
      </w:r>
      <w:r>
        <w:t xml:space="preserve">independentemente do que aconteça em</w:t>
      </w:r>
      <w:r>
        <w:t xml:space="preserve"> </w:t>
      </w:r>
      <m:oMath>
        <m:r>
          <m:t>T</m:t>
        </m:r>
        <m:r>
          <m:rPr>
            <m:sty m:val="p"/>
          </m:rPr>
          <m:t>−</m:t>
        </m:r>
        <m:r>
          <m:t>1</m:t>
        </m:r>
      </m:oMath>
      <w:r>
        <w:t xml:space="preserve"> </w:t>
      </w:r>
      <w:r>
        <w:t xml:space="preserve">— logo não há incentivo para cooperar em</w:t>
      </w:r>
      <w:r>
        <w:t xml:space="preserve"> </w:t>
      </w:r>
      <m:oMath>
        <m:r>
          <m:t>T</m:t>
        </m:r>
        <m:r>
          <m:rPr>
            <m:sty m:val="p"/>
          </m:rPr>
          <m:t>−</m:t>
        </m:r>
        <m:r>
          <m:t>1</m:t>
        </m:r>
      </m:oMath>
      <w:r>
        <w:t xml:space="preserve">. O argumento se desenrola até o primeiro período, como um dominó que desmorona de trás para frente.</w:t>
      </w:r>
    </w:p>
    <w:p>
      <w:pPr>
        <w:pStyle w:val="BodyText"/>
      </w:pPr>
      <w:r>
        <w:t xml:space="preserve">Se o Dilema dos Prisioneiros é repetido um número finito</w:t>
      </w:r>
      <w:r>
        <w:t xml:space="preserve"> </w:t>
      </w:r>
      <m:oMath>
        <m:r>
          <m:t>T</m:t>
        </m:r>
      </m:oMath>
      <w:r>
        <w:t xml:space="preserve"> </w:t>
      </w:r>
      <w:r>
        <w:t xml:space="preserve">de vezes (e isso é conhecimento comum), a indução retroativa a partir do período</w:t>
      </w:r>
      <w:r>
        <w:t xml:space="preserve"> </w:t>
      </w:r>
      <m:oMath>
        <m:r>
          <m:t>T</m:t>
        </m:r>
      </m:oMath>
      <w:r>
        <w:t xml:space="preserve"> </w:t>
      </w:r>
      <w:r>
        <w:t xml:space="preserve">implica que o único EPS é a repetição do equilíbrio de estágio (Trair, Trair) em todos os períodos.</w:t>
      </w:r>
    </w:p>
    <w:p>
      <w:pPr>
        <w:pStyle w:val="BodyText"/>
      </w:pPr>
      <w:r>
        <w:t xml:space="preserve">O resultado de</w:t>
      </w:r>
      <w:r>
        <w:t xml:space="preserve"> </w:t>
      </w:r>
      <w:r>
        <w:rPr>
          <w:i/>
          <w:iCs/>
        </w:rPr>
        <w:t xml:space="preserve">unraveling</w:t>
      </w:r>
      <w:r>
        <w:t xml:space="preserve"> </w:t>
      </w:r>
      <w:r>
        <w:t xml:space="preserve">tem uma implicação prática importante para a economia brasileira: acordos de leniência no CADE frequentemente geram o rompimento do cartel precisamente porque introduzem a possibilidade de que o jogo</w:t>
      </w:r>
      <w:r>
        <w:t xml:space="preserve"> </w:t>
      </w:r>
      <w:r>
        <w:t xml:space="preserve">“termine”</w:t>
      </w:r>
      <w:r>
        <w:t xml:space="preserve"> </w:t>
      </w:r>
      <w:r>
        <w:t xml:space="preserve">— um membro pode delatar e romper a cooperação antes que os outros o façam. A perspectiva de um término iminente destrói o mecanismo de sustentação cooperativa.</w:t>
      </w:r>
    </w:p>
    <w:p>
      <w:pPr>
        <w:pStyle w:val="BodyText"/>
      </w:pPr>
      <w:r>
        <w:t xml:space="preserve">Vale notar que o</w:t>
      </w:r>
      <w:r>
        <w:t xml:space="preserve"> </w:t>
      </w:r>
      <w:r>
        <w:rPr>
          <w:i/>
          <w:iCs/>
        </w:rPr>
        <w:t xml:space="preserve">unraveling</w:t>
      </w:r>
      <w:r>
        <w:t xml:space="preserve"> </w:t>
      </w:r>
      <w:r>
        <w:t xml:space="preserve">é um fenômeno geral que aparece em diversos contextos econômicos além do Dilema dos Prisioneiros. No mercado de trabalho, a contratação antecipada de profissionais (recrutamento de estudantes universitários antes da formatura) é um exemplo de</w:t>
      </w:r>
      <w:r>
        <w:t xml:space="preserve"> </w:t>
      </w:r>
      <w:r>
        <w:rPr>
          <w:i/>
          <w:iCs/>
        </w:rPr>
        <w:t xml:space="preserve">unraveling</w:t>
      </w:r>
      <w:r>
        <w:t xml:space="preserve">: cada empregador tem incentivo para antecipar sua oferta antes dos demais, e esse incentivo se propaga retroativamente até que ofertas são feitas cada vez mais cedo — resultando em ineficiência. O fenômeno é tão disseminado que motivou a criação de mecanismos centralizados de alocação, como o</w:t>
      </w:r>
      <w:r>
        <w:t xml:space="preserve"> </w:t>
      </w:r>
      <w:r>
        <w:rPr>
          <w:i/>
          <w:iCs/>
        </w:rPr>
        <w:t xml:space="preserve">matching</w:t>
      </w:r>
      <w:r>
        <w:t xml:space="preserve"> </w:t>
      </w:r>
      <w:r>
        <w:t xml:space="preserve">hospitalar (Roth e Peranson, 1999), analisado no Capítulo 22.</w:t>
      </w:r>
    </w:p>
    <w:p>
      <w:pPr>
        <w:pStyle w:val="BlockText"/>
      </w:pPr>
      <w:r>
        <w:rPr>
          <w:b/>
          <w:bCs/>
        </w:rPr>
        <w:t xml:space="preserve">[NOTA] Unraveling e exceções</w:t>
      </w:r>
    </w:p>
    <w:p>
      <w:pPr>
        <w:pStyle w:val="BlockText"/>
      </w:pPr>
      <w:r>
        <w:t xml:space="preserve">O resultado de</w:t>
      </w:r>
      <w:r>
        <w:t xml:space="preserve"> </w:t>
      </w:r>
      <w:r>
        <w:t xml:space="preserve">“desvendamento”</w:t>
      </w:r>
      <w:r>
        <w:t xml:space="preserve"> </w:t>
      </w:r>
      <w:r>
        <w:t xml:space="preserve">(</w:t>
      </w:r>
      <w:r>
        <w:rPr>
          <w:i/>
          <w:iCs/>
        </w:rPr>
        <w:t xml:space="preserve">unraveling</w:t>
      </w:r>
      <w:r>
        <w:t xml:space="preserve">) é forte mas depende de hipóteses restritivas: (i) jogo de estágio com equilíbrio único; (ii) horizonte finito conhecido. Se o jogo de estágio tem múltiplos equilíbrios (como BoS), ou se há incerteza sobre o horizonte, a cooperação pode ser sustentada mesmo em jogos finitos (Benoit e Krishna, 1985).</w:t>
      </w:r>
    </w:p>
    <w:p>
      <w:pPr>
        <w:pStyle w:val="BlockText"/>
      </w:pPr>
      <w:r>
        <w:t xml:space="preserve">Kreps, Milgrom, Roberts e Wilson (1982) mostraram que, mesmo com horizonte finito, a cooperação pode emergir no Dilema dos Prisioneiros se houver</w:t>
      </w:r>
      <w:r>
        <w:t xml:space="preserve"> </w:t>
      </w:r>
      <w:r>
        <w:rPr>
          <w:i/>
          <w:iCs/>
        </w:rPr>
        <w:t xml:space="preserve">incerteza sobre os tipos dos jogadores</w:t>
      </w:r>
      <w:r>
        <w:t xml:space="preserve"> </w:t>
      </w:r>
      <w:r>
        <w:t xml:space="preserve">— por exemplo, se cada jogador acredita que há uma pequena probabilidade de o outro ser</w:t>
      </w:r>
      <w:r>
        <w:t xml:space="preserve"> </w:t>
      </w:r>
      <w:r>
        <w:t xml:space="preserve">“irracional”</w:t>
      </w:r>
      <w:r>
        <w:t xml:space="preserve"> </w:t>
      </w:r>
      <w:r>
        <w:t xml:space="preserve">e cooperar incondicionalmente. Essa possibilidade, por menor que seja, é suficiente para sustentar cooperação nos primeiros períodos, colapsando apenas perto do final. Esse resultado conecta jogos finitos repetidos com os modelos de informação incompleta do Módulo 9c.</w:t>
      </w:r>
    </w:p>
    <w:bookmarkEnd w:id="530"/>
    <w:bookmarkStart w:id="531" w:name="jogos-infinitamente-repetidos"/>
    <w:p>
      <w:pPr>
        <w:pStyle w:val="Heading4"/>
      </w:pPr>
      <w:r>
        <w:t xml:space="preserve">Jogos infinitamente repetidos</w:t>
      </w:r>
    </w:p>
    <w:p>
      <w:pPr>
        <w:pStyle w:val="FirstParagraph"/>
      </w:pPr>
      <w:r>
        <w:t xml:space="preserve">O resultado de</w:t>
      </w:r>
      <w:r>
        <w:t xml:space="preserve"> </w:t>
      </w:r>
      <w:r>
        <w:rPr>
          <w:i/>
          <w:iCs/>
        </w:rPr>
        <w:t xml:space="preserve">unraveling</w:t>
      </w:r>
      <w:r>
        <w:t xml:space="preserve"> </w:t>
      </w:r>
      <w:r>
        <w:t xml:space="preserve">em jogos finitos é desanimador para quem espera cooperação. Mas o que acontece quando o horizonte é infinito — ou, de forma mais realista, quando os jogadores não sabem exatamente quando o jogo terminará? Nesse caso, o argumento de indução retroativa deixa de funcionar (não há</w:t>
      </w:r>
      <w:r>
        <w:t xml:space="preserve"> </w:t>
      </w:r>
      <w:r>
        <w:t xml:space="preserve">“último período”</w:t>
      </w:r>
      <w:r>
        <w:t xml:space="preserve"> </w:t>
      </w:r>
      <w:r>
        <w:t xml:space="preserve">para iniciar o raciocínio), e a cooperação pode emergir como equilíbrio. Na prática, a maioria das relações econômicas se encaixa melhor no caso de horizonte incerto do que no finito conhecido: uma empresa não sabe exatamente quando seu concorrente principal encerrará as atividades; um empregado não sabe com certeza por quantos anos trabalhará com o mesmo chefe. Modelar o horizonte como infinito — ou, equivalentemente, como finito com probabilidade de continuação</w:t>
      </w:r>
      <w:r>
        <w:t xml:space="preserve"> </w:t>
      </w:r>
      <m:oMath>
        <m:r>
          <m:t>δ</m:t>
        </m:r>
      </m:oMath>
      <w:r>
        <w:t xml:space="preserve"> </w:t>
      </w:r>
      <w:r>
        <w:t xml:space="preserve">a cada período — é, portanto, não apenas matematicamente conveniente, mas economicamente mais realista.</w:t>
      </w:r>
    </w:p>
    <w:p>
      <w:pPr>
        <w:pStyle w:val="BlockText"/>
      </w:pPr>
      <w:r>
        <w:rPr>
          <w:b/>
          <w:bCs/>
        </w:rPr>
        <w:t xml:space="preserve">[DEFINICAO] Estratégia de gatilho (</w:t>
      </w:r>
      <w:r>
        <w:rPr>
          <w:b/>
          <w:bCs/>
          <w:i/>
          <w:iCs/>
        </w:rPr>
        <w:t xml:space="preserve">Grim Trigger</w:t>
      </w:r>
      <w:r>
        <w:rPr>
          <w:b/>
          <w:bCs/>
        </w:rPr>
        <w:t xml:space="preserve">)</w:t>
      </w:r>
    </w:p>
    <w:p>
      <w:pPr>
        <w:pStyle w:val="BlockText"/>
      </w:pPr>
      <w:r>
        <w:t xml:space="preserve">A estratégia de gatilho prescreve: coopere no primeiro período e continue cooperando enquanto todos cooperarem. Se qualquer jogador desviar, puna jogando a estratégia não cooperativa</w:t>
      </w:r>
      <w:r>
        <w:t xml:space="preserve"> </w:t>
      </w:r>
      <w:r>
        <w:rPr>
          <w:b/>
          <w:bCs/>
        </w:rPr>
        <w:t xml:space="preserve">para sempre</w:t>
      </w:r>
      <w:r>
        <w:t xml:space="preserve">.</w:t>
      </w:r>
    </w:p>
    <w:p>
      <w:pPr>
        <w:pStyle w:val="FirstParagraph"/>
      </w:pPr>
      <w:r>
        <w:t xml:space="preserve">No Dilema dos Prisioneiros repetido infinitamente com fator de desconto</w:t>
      </w:r>
      <w:r>
        <w:t xml:space="preserve"> </w:t>
      </w:r>
      <m:oMath>
        <m:r>
          <m:t>δ</m:t>
        </m:r>
        <m:r>
          <m:rPr>
            <m:sty m:val="p"/>
          </m:rPr>
          <m:t>∈</m:t>
        </m:r>
        <m:r>
          <m:rPr>
            <m:sty m:val="p"/>
          </m:rPr>
          <m:t>(</m:t>
        </m:r>
        <m:r>
          <m:t>0</m:t>
        </m:r>
        <m:r>
          <m:rPr>
            <m:sty m:val="p"/>
          </m:rPr>
          <m:t>,</m:t>
        </m:r>
        <m:r>
          <m:t>1</m:t>
        </m:r>
        <m:r>
          <m:rPr>
            <m:sty m:val="p"/>
          </m:rPr>
          <m:t>)</m:t>
        </m:r>
      </m:oMath>
      <w:r>
        <w:t xml:space="preserve"> </w:t>
      </w:r>
      <w:r>
        <w:t xml:space="preserve">e payoffs</w:t>
      </w:r>
      <w:r>
        <w:t xml:space="preserve"> </w:t>
      </w:r>
      <m:oMath>
        <m:r>
          <m:t>T</m:t>
        </m:r>
        <m:r>
          <m:rPr>
            <m:sty m:val="p"/>
          </m:rPr>
          <m:t>&gt;</m:t>
        </m:r>
        <m:r>
          <m:t>R</m:t>
        </m:r>
        <m:r>
          <m:rPr>
            <m:sty m:val="p"/>
          </m:rPr>
          <m:t>&gt;</m:t>
        </m:r>
        <m:r>
          <m:t>P</m:t>
        </m:r>
        <m:r>
          <m:rPr>
            <m:sty m:val="p"/>
          </m:rPr>
          <m:t>&gt;</m:t>
        </m:r>
        <m:r>
          <m:t>S</m:t>
        </m:r>
      </m:oMath>
      <w:r>
        <w:t xml:space="preserve"> </w:t>
      </w:r>
      <w:r>
        <w:t xml:space="preserve">(onde</w:t>
      </w:r>
      <w:r>
        <w:t xml:space="preserve"> </w:t>
      </w:r>
      <m:oMath>
        <m:r>
          <m:t>T</m:t>
        </m:r>
      </m:oMath>
      <w:r>
        <w:t xml:space="preserve"> </w:t>
      </w:r>
      <w:r>
        <w:t xml:space="preserve">= tentação de trair,</w:t>
      </w:r>
      <w:r>
        <w:t xml:space="preserve"> </w:t>
      </w:r>
      <m:oMath>
        <m:r>
          <m:t>R</m:t>
        </m:r>
      </m:oMath>
      <w:r>
        <w:t xml:space="preserve"> </w:t>
      </w:r>
      <w:r>
        <w:t xml:space="preserve">= recompensa da cooperação mútua,</w:t>
      </w:r>
      <w:r>
        <w:t xml:space="preserve"> </w:t>
      </w:r>
      <m:oMath>
        <m:r>
          <m:t>P</m:t>
        </m:r>
      </m:oMath>
      <w:r>
        <w:t xml:space="preserve"> </w:t>
      </w:r>
      <w:r>
        <w:t xml:space="preserve">= punição da traição mútua e</w:t>
      </w:r>
      <w:r>
        <w:t xml:space="preserve"> </w:t>
      </w:r>
      <m:oMath>
        <m:r>
          <m:t>S</m:t>
        </m:r>
      </m:oMath>
      <w:r>
        <w:t xml:space="preserve"> </w:t>
      </w:r>
      <w:r>
        <w:t xml:space="preserve">=</w:t>
      </w:r>
      <w:r>
        <w:t xml:space="preserve"> </w:t>
      </w:r>
      <w:r>
        <w:rPr>
          <w:i/>
          <w:iCs/>
        </w:rPr>
        <w:t xml:space="preserve">sucker’s payoff</w:t>
      </w:r>
      <w:r>
        <w:t xml:space="preserve"> </w:t>
      </w:r>
      <w:r>
        <w:t xml:space="preserve">— conforme definido no Módulo 9a, Seção 9a.2), a cooperação é sustentável pela estratégia de gatilho se e somente se:</w:t>
      </w:r>
    </w:p>
    <w:p>
      <w:pPr>
        <w:pStyle w:val="BodyText"/>
      </w:pPr>
      <m:oMathPara>
        <m:oMathParaPr>
          <m:jc m:val="center"/>
        </m:oMathParaPr>
        <m:oMath>
          <m:f>
            <m:fPr>
              <m:type m:val="bar"/>
            </m:fPr>
            <m:num>
              <m:r>
                <m:t>R</m:t>
              </m:r>
            </m:num>
            <m:den>
              <m:r>
                <m:t>1</m:t>
              </m:r>
              <m:r>
                <m:rPr>
                  <m:sty m:val="p"/>
                </m:rPr>
                <m:t>−</m:t>
              </m:r>
              <m:r>
                <m:t>δ</m:t>
              </m:r>
            </m:den>
          </m:f>
          <m:r>
            <m:rPr>
              <m:sty m:val="p"/>
            </m:rPr>
            <m:t>≥</m:t>
          </m:r>
          <m:r>
            <m:t>T</m:t>
          </m:r>
          <m:r>
            <m:rPr>
              <m:sty m:val="p"/>
            </m:rPr>
            <m:t>+</m:t>
          </m:r>
          <m:f>
            <m:fPr>
              <m:type m:val="bar"/>
            </m:fPr>
            <m:num>
              <m:r>
                <m:t>δ</m:t>
              </m:r>
              <m:r>
                <m:t>P</m:t>
              </m:r>
            </m:num>
            <m:den>
              <m:r>
                <m:t>1</m:t>
              </m:r>
              <m:r>
                <m:rPr>
                  <m:sty m:val="p"/>
                </m:rPr>
                <m:t>−</m:t>
              </m:r>
              <m:r>
                <m:t>δ</m:t>
              </m:r>
            </m:den>
          </m:f>
          <m:r>
            <m:t> </m:t>
          </m:r>
          <m:r>
            <m:rPr>
              <m:sty m:val="p"/>
            </m:rPr>
            <m:t>⇔</m:t>
          </m:r>
          <m:r>
            <m:t> </m:t>
          </m:r>
          <m:r>
            <m:t>δ</m:t>
          </m:r>
          <m:r>
            <m:rPr>
              <m:sty m:val="p"/>
            </m:rPr>
            <m:t>≥</m:t>
          </m:r>
          <m:f>
            <m:fPr>
              <m:type m:val="bar"/>
            </m:fPr>
            <m:num>
              <m:r>
                <m:t>T</m:t>
              </m:r>
              <m:r>
                <m:rPr>
                  <m:sty m:val="p"/>
                </m:rPr>
                <m:t>−</m:t>
              </m:r>
              <m:r>
                <m:t>R</m:t>
              </m:r>
            </m:num>
            <m:den>
              <m:r>
                <m:t>T</m:t>
              </m:r>
              <m:r>
                <m:rPr>
                  <m:sty m:val="p"/>
                </m:rPr>
                <m:t>−</m:t>
              </m:r>
              <m:r>
                <m:t>P</m:t>
              </m:r>
            </m:den>
          </m:f>
          <m:r>
            <m:rPr>
              <m:sty m:val="p"/>
            </m:rPr>
            <m:t>≡</m:t>
          </m:r>
          <m:sSup>
            <m:e>
              <m:r>
                <m:t>δ</m:t>
              </m:r>
            </m:e>
            <m:sup>
              <m:r>
                <m:rPr>
                  <m:sty m:val="p"/>
                </m:rPr>
                <m:t>*</m:t>
              </m:r>
            </m:sup>
          </m:sSup>
        </m:oMath>
      </m:oMathPara>
    </w:p>
    <w:p>
      <w:pPr>
        <w:pStyle w:val="FirstParagraph"/>
      </w:pPr>
      <w:r>
        <w:t xml:space="preserve">O fator de desconto</w:t>
      </w:r>
      <w:r>
        <w:t xml:space="preserve"> </w:t>
      </w:r>
      <m:oMath>
        <m:r>
          <m:t>δ</m:t>
        </m:r>
      </m:oMath>
      <w:r>
        <w:t xml:space="preserve"> </w:t>
      </w:r>
      <w:r>
        <w:t xml:space="preserve">na equação Eq. (eq:9b.1) pode ser interpretado como a</w:t>
      </w:r>
      <w:r>
        <w:t xml:space="preserve"> </w:t>
      </w:r>
      <w:r>
        <w:t xml:space="preserve">“paciência”</w:t>
      </w:r>
      <w:r>
        <w:t xml:space="preserve"> </w:t>
      </w:r>
      <w:r>
        <w:t xml:space="preserve">dos jogadores ou a probabilidade de que o jogo continue. A condição é intuitivamente clara: a cooperação exige que o ganho imediato de trair (</w:t>
      </w:r>
      <m:oMath>
        <m:r>
          <m:t>T</m:t>
        </m:r>
        <m:r>
          <m:rPr>
            <m:sty m:val="p"/>
          </m:rPr>
          <m:t>−</m:t>
        </m:r>
        <m:r>
          <m:t>R</m:t>
        </m:r>
      </m:oMath>
      <w:r>
        <w:t xml:space="preserve">) seja compensado pela perda futura de ser punido (diferença entre</w:t>
      </w:r>
      <w:r>
        <w:t xml:space="preserve"> </w:t>
      </w:r>
      <m:oMath>
        <m:r>
          <m:t>R</m:t>
        </m:r>
      </m:oMath>
      <w:r>
        <w:t xml:space="preserve"> </w:t>
      </w:r>
      <w:r>
        <w:t xml:space="preserve">e</w:t>
      </w:r>
      <w:r>
        <w:t xml:space="preserve"> </w:t>
      </w:r>
      <m:oMath>
        <m:r>
          <m:t>P</m:t>
        </m:r>
      </m:oMath>
      <w:r>
        <w:t xml:space="preserve">, descontada por</w:t>
      </w:r>
      <w:r>
        <w:t xml:space="preserve"> </w:t>
      </w:r>
      <m:oMath>
        <m:r>
          <m:t>δ</m:t>
        </m:r>
      </m:oMath>
      <w:r>
        <w:t xml:space="preserve">). Quanto mais pacientes os jogadores (maior</w:t>
      </w:r>
      <w:r>
        <w:t xml:space="preserve"> </w:t>
      </w:r>
      <m:oMath>
        <m:r>
          <m:t>δ</m:t>
        </m:r>
      </m:oMath>
      <w:r>
        <w:t xml:space="preserve">), mais fácil é sustentar a cooperação.</w:t>
      </w:r>
    </w:p>
    <w:p>
      <w:pPr>
        <w:pStyle w:val="BodyText"/>
      </w:pPr>
      <w:r>
        <w:t xml:space="preserve">No gráfico interativo abaixo, ajuste os payoffs do Dilema dos Prisioneiros e observe como o limiar</w:t>
      </w:r>
      <w:r>
        <w:t xml:space="preserve"> </w:t>
      </w:r>
      <m:oMath>
        <m:sSup>
          <m:e>
            <m:r>
              <m:t>δ</m:t>
            </m:r>
          </m:e>
          <m:sup>
            <m:r>
              <m:rPr>
                <m:sty m:val="p"/>
              </m:rPr>
              <m:t>*</m:t>
            </m:r>
          </m:sup>
        </m:sSup>
      </m:oMath>
      <w:r>
        <w:t xml:space="preserve"> </w:t>
      </w:r>
      <w:r>
        <w:t xml:space="preserve">se move — e como as curvas de payoff de cooperação e desvio se cruzam.</w:t>
      </w:r>
    </w:p>
    <w:p>
      <w:pPr>
        <w:pStyle w:val="BodyText"/>
      </w:pPr>
      <w:r>
        <w:t xml:space="preserve">[FIGURA INTERATIVA: /micro-book/graficos/cap09b/repeated-game-threshold.html — versao interativa disponivel online]</w:t>
      </w:r>
    </w:p>
    <w:p>
      <w:pPr>
        <w:pStyle w:val="BodyText"/>
      </w:pPr>
      <w:r>
        <w:rPr>
          <w:b/>
          <w:bCs/>
        </w:rPr>
        <w:t xml:space="preserve">Figura 9b.4 — Limiar de Cooperação</w:t>
      </w:r>
      <w:r>
        <w:rPr>
          <w:b/>
          <w:bCs/>
        </w:rPr>
        <w:t xml:space="preserve"> </w:t>
      </w:r>
      <m:oMath>
        <m:sSup>
          <m:e>
            <m:r>
              <m:t>δ</m:t>
            </m:r>
          </m:e>
          <m:sup>
            <m:r>
              <m:rPr>
                <m:sty m:val="p"/>
              </m:rPr>
              <m:t>*</m:t>
            </m:r>
          </m:sup>
        </m:sSup>
      </m:oMath>
      <w:r>
        <w:rPr>
          <w:b/>
          <w:bCs/>
        </w:rPr>
        <w:t xml:space="preserve">.</w:t>
      </w:r>
      <w:r>
        <w:t xml:space="preserve"> </w:t>
      </w:r>
      <w:r>
        <w:t xml:space="preserve">A curva azul é o payoff de cooperar para sempre; a curva laranja é o payoff de trair e ser punido. Quando</w:t>
      </w:r>
      <w:r>
        <w:t xml:space="preserve"> </w:t>
      </w:r>
      <m:oMath>
        <m:r>
          <m:t>δ</m:t>
        </m:r>
        <m:r>
          <m:rPr>
            <m:sty m:val="p"/>
          </m:rPr>
          <m:t>&gt;</m:t>
        </m:r>
        <m:sSup>
          <m:e>
            <m:r>
              <m:t>δ</m:t>
            </m:r>
          </m:e>
          <m:sup>
            <m:r>
              <m:rPr>
                <m:sty m:val="p"/>
              </m:rPr>
              <m:t>*</m:t>
            </m:r>
          </m:sup>
        </m:sSup>
      </m:oMath>
      <w:r>
        <w:t xml:space="preserve">, a cooperação compensa — a sombra do futuro é longa o suficiente.</w:t>
      </w:r>
    </w:p>
    <w:p>
      <w:pPr>
        <w:pStyle w:val="BlockText"/>
      </w:pPr>
      <w:r>
        <w:rPr>
          <w:b/>
          <w:bCs/>
        </w:rPr>
        <w:t xml:space="preserve">[INTUICAO ECONOMICA] Intuição Econômica</w:t>
      </w:r>
    </w:p>
    <w:p>
      <w:pPr>
        <w:pStyle w:val="BlockText"/>
      </w:pPr>
      <w:r>
        <w:rPr>
          <w:b/>
          <w:bCs/>
        </w:rPr>
        <w:t xml:space="preserve">Em uma frase:</w:t>
      </w:r>
      <w:r>
        <w:t xml:space="preserve"> </w:t>
      </w:r>
      <w:r>
        <w:t xml:space="preserve">A cooperação é sustentável quando a</w:t>
      </w:r>
      <w:r>
        <w:t xml:space="preserve"> </w:t>
      </w:r>
      <w:r>
        <w:t xml:space="preserve">“sombra do futuro”</w:t>
      </w:r>
      <w:r>
        <w:t xml:space="preserve"> </w:t>
      </w:r>
      <w:r>
        <w:t xml:space="preserve">é longa o suficiente para que a ameaça de punição supere o ganho imediato de trair.</w:t>
      </w:r>
    </w:p>
    <w:p>
      <w:pPr>
        <w:pStyle w:val="BlockText"/>
      </w:pPr>
      <w:r>
        <w:rPr>
          <w:b/>
          <w:bCs/>
        </w:rPr>
        <w:t xml:space="preserve">O que é a sombra do futuro?</w:t>
      </w:r>
      <w:r>
        <w:t xml:space="preserve"> </w:t>
      </w:r>
      <w:r>
        <w:t xml:space="preserve">É a influência das consequências futuras sobre as decisões presentes. Quanto mais o jogador valoriza o que acontece amanhã (maior</w:t>
      </w:r>
      <w:r>
        <w:t xml:space="preserve"> </w:t>
      </w:r>
      <m:oMath>
        <m:r>
          <m:t>δ</m:t>
        </m:r>
      </m:oMath>
      <w:r>
        <w:t xml:space="preserve">), mais pesada é essa sombra — e mais eficaz a ameaça de punição. A metáfora é de Axelrod (1984): em relações de longo prazo, o futuro</w:t>
      </w:r>
      <w:r>
        <w:t xml:space="preserve"> </w:t>
      </w:r>
      <w:r>
        <w:t xml:space="preserve">“projeta uma sombra”</w:t>
      </w:r>
      <w:r>
        <w:t xml:space="preserve"> </w:t>
      </w:r>
      <w:r>
        <w:t xml:space="preserve">sobre o presente que disciplina o comportamento oportunista.</w:t>
      </w:r>
    </w:p>
    <w:p>
      <w:pPr>
        <w:pStyle w:val="BlockText"/>
      </w:pPr>
      <w:r>
        <w:rPr>
          <w:b/>
          <w:bCs/>
        </w:rPr>
        <w:t xml:space="preserve">Por que</w:t>
      </w:r>
      <w:r>
        <w:rPr>
          <w:b/>
          <w:bCs/>
        </w:rPr>
        <w:t xml:space="preserve"> </w:t>
      </w:r>
      <m:oMath>
        <m:r>
          <m:t>δ</m:t>
        </m:r>
      </m:oMath>
      <w:r>
        <w:rPr>
          <w:b/>
          <w:bCs/>
        </w:rPr>
        <w:t xml:space="preserve"> </w:t>
      </w:r>
      <w:r>
        <w:rPr>
          <w:b/>
          <w:bCs/>
        </w:rPr>
        <w:t xml:space="preserve">pode ser baixo mesmo em interações de longo prazo?</w:t>
      </w:r>
    </w:p>
    <w:p>
      <w:pPr>
        <w:pStyle w:val="Compact"/>
        <w:numPr>
          <w:ilvl w:val="0"/>
          <w:numId w:val="1491"/>
        </w:numPr>
      </w:pPr>
      <w:r>
        <w:rPr>
          <w:b/>
          <w:bCs/>
        </w:rPr>
        <w:t xml:space="preserve">Instabilidade do ambiente:</w:t>
      </w:r>
      <w:r>
        <w:t xml:space="preserve"> </w:t>
      </w:r>
      <w:r>
        <w:t xml:space="preserve">Quando há risco de a empresa fechar ou ser vendida, o</w:t>
      </w:r>
      <w:r>
        <w:t xml:space="preserve"> </w:t>
      </w:r>
      <m:oMath>
        <m:r>
          <m:t>δ</m:t>
        </m:r>
      </m:oMath>
      <w:r>
        <w:t xml:space="preserve"> </w:t>
      </w:r>
      <w:r>
        <w:t xml:space="preserve">efetivo cai mesmo que as interações sejam recorrentes.</w:t>
      </w:r>
    </w:p>
    <w:p>
      <w:pPr>
        <w:pStyle w:val="Compact"/>
        <w:numPr>
          <w:ilvl w:val="0"/>
          <w:numId w:val="1491"/>
        </w:numPr>
      </w:pPr>
      <w:r>
        <w:rPr>
          <w:b/>
          <w:bCs/>
        </w:rPr>
        <w:t xml:space="preserve">Mudança de gestão:</w:t>
      </w:r>
      <w:r>
        <w:t xml:space="preserve"> </w:t>
      </w:r>
      <w:r>
        <w:t xml:space="preserve">Executivos com horizontes curtos (bônus anuais, rotatividade alta) têm</w:t>
      </w:r>
      <w:r>
        <w:t xml:space="preserve"> </w:t>
      </w:r>
      <m:oMath>
        <m:r>
          <m:t>δ</m:t>
        </m:r>
      </m:oMath>
      <w:r>
        <w:t xml:space="preserve"> </w:t>
      </w:r>
      <w:r>
        <w:t xml:space="preserve">efetivo baixo, mesmo que a empresa exista indefinidamente.</w:t>
      </w:r>
    </w:p>
    <w:p>
      <w:pPr>
        <w:pStyle w:val="Compact"/>
        <w:numPr>
          <w:ilvl w:val="0"/>
          <w:numId w:val="1491"/>
        </w:numPr>
      </w:pPr>
      <w:r>
        <w:rPr>
          <w:b/>
          <w:bCs/>
        </w:rPr>
        <w:t xml:space="preserve">Inflação e taxa de juros altas:</w:t>
      </w:r>
      <w:r>
        <w:t xml:space="preserve"> </w:t>
      </w:r>
      <w:r>
        <w:t xml:space="preserve">No Brasil das décadas de 1980–90, taxas de juros reais altíssimas comprimiam o valor do futuro. Isso tornava a cooperação de longo prazo estruturalmente mais difícil — e pode explicar a prevalência de conluios de curto prazo e contratos spot em detrimento de relações de longo prazo.</w:t>
      </w:r>
    </w:p>
    <w:p>
      <w:pPr>
        <w:pStyle w:val="BlockText"/>
      </w:pPr>
      <w:r>
        <w:rPr>
          <w:b/>
          <w:bCs/>
        </w:rPr>
        <w:t xml:space="preserve">Pense assim:</w:t>
      </w:r>
      <w:r>
        <w:t xml:space="preserve"> </w:t>
      </w:r>
      <w:r>
        <w:t xml:space="preserve">Dois vizinhos que se encontram todo dia no elevador cooperam mais do que dois desconhecidos que interagem uma única vez. O vizinho sabe que se agir de forma oportunista hoje, enfrentará a hostilidade do outro por anos. É o mesmo princípio que sustenta o conluio tácito entre postos de gasolina: a interação repetida e a facilidade de monitoramento (preços em totens) criam as condições para cooperação.</w:t>
      </w:r>
    </w:p>
    <w:p>
      <w:pPr>
        <w:pStyle w:val="BlockText"/>
      </w:pPr>
      <w:r>
        <w:rPr>
          <w:b/>
          <w:bCs/>
        </w:rPr>
        <w:t xml:space="preserve">Quando a cooperação falha:</w:t>
      </w:r>
    </w:p>
    <w:p>
      <w:pPr>
        <w:pStyle w:val="Compact"/>
        <w:numPr>
          <w:ilvl w:val="0"/>
          <w:numId w:val="1492"/>
        </w:numPr>
      </w:pPr>
      <w:r>
        <w:rPr>
          <w:b/>
          <w:bCs/>
        </w:rPr>
        <w:t xml:space="preserve">Horizonte curto</w:t>
      </w:r>
      <w:r>
        <w:t xml:space="preserve"> </w:t>
      </w:r>
      <w:r>
        <w:t xml:space="preserve">(</w:t>
      </w:r>
      <m:oMath>
        <m:r>
          <m:t>δ</m:t>
        </m:r>
      </m:oMath>
      <w:r>
        <w:t xml:space="preserve"> </w:t>
      </w:r>
      <w:r>
        <w:t xml:space="preserve">baixo): governadores com mandatos de 4 anos têm incentivo para atrair investimentos com guerra fiscal (ICMS), sem internalizar os custos de longo prazo.</w:t>
      </w:r>
    </w:p>
    <w:p>
      <w:pPr>
        <w:pStyle w:val="Compact"/>
        <w:numPr>
          <w:ilvl w:val="0"/>
          <w:numId w:val="1492"/>
        </w:numPr>
      </w:pPr>
      <w:r>
        <w:rPr>
          <w:b/>
          <w:bCs/>
        </w:rPr>
        <w:t xml:space="preserve">Monitoramento difícil</w:t>
      </w:r>
      <w:r>
        <w:t xml:space="preserve">: cartéis em mercados com preços opacos ou transações customizadas são mais frágeis.</w:t>
      </w:r>
    </w:p>
    <w:p>
      <w:pPr>
        <w:pStyle w:val="Compact"/>
        <w:numPr>
          <w:ilvl w:val="0"/>
          <w:numId w:val="1492"/>
        </w:numPr>
      </w:pPr>
      <w:r>
        <w:rPr>
          <w:b/>
          <w:bCs/>
        </w:rPr>
        <w:t xml:space="preserve">Muitos jogadores</w:t>
      </w:r>
      <w:r>
        <w:t xml:space="preserve">: quanto mais firmas no mercado, mais difícil sustentar cooperação (cada uma ganha menos com cooperação e a detecção de desvios é mais lenta).</w:t>
      </w:r>
    </w:p>
    <w:bookmarkEnd w:id="531"/>
    <w:bookmarkStart w:id="532" w:name="folk-theorem"/>
    <w:p>
      <w:pPr>
        <w:pStyle w:val="Heading4"/>
      </w:pPr>
      <w:r>
        <w:t xml:space="preserve">Folk Theorem</w:t>
      </w:r>
    </w:p>
    <w:p>
      <w:pPr>
        <w:pStyle w:val="FirstParagraph"/>
      </w:pPr>
      <w:r>
        <w:t xml:space="preserve">A estratégia de gatilho mostra que a cooperação</w:t>
      </w:r>
      <w:r>
        <w:t xml:space="preserve"> </w:t>
      </w:r>
      <w:r>
        <w:rPr>
          <w:i/>
          <w:iCs/>
        </w:rPr>
        <w:t xml:space="preserve">pode</w:t>
      </w:r>
      <w:r>
        <w:t xml:space="preserve"> </w:t>
      </w:r>
      <w:r>
        <w:t xml:space="preserve">ser sustentada. Mas até que ponto a repetição amplia o conjunto de resultados possíveis? O Folk Theorem — assim chamado porque circulava informalmente entre teóricos antes de ser formalmente demonstrado — fornece uma resposta surpreendente e, ao mesmo tempo, perturbadora.</w:t>
      </w:r>
    </w:p>
    <w:p>
      <w:pPr>
        <w:pStyle w:val="BlockText"/>
      </w:pPr>
      <w:r>
        <w:rPr>
          <w:b/>
          <w:bCs/>
        </w:rPr>
        <w:t xml:space="preserve">[TEOREMA] Folk Theorem (versão informal)</w:t>
      </w:r>
    </w:p>
    <w:p>
      <w:pPr>
        <w:pStyle w:val="BlockText"/>
      </w:pPr>
      <w:r>
        <w:t xml:space="preserve">Em jogos infinitamente repetidos com fator de desconto suficientemente próximo de 1,</w:t>
      </w:r>
      <w:r>
        <w:t xml:space="preserve"> </w:t>
      </w:r>
      <w:r>
        <w:rPr>
          <w:b/>
          <w:bCs/>
        </w:rPr>
        <w:t xml:space="preserve">qualquer</w:t>
      </w:r>
      <w:r>
        <w:t xml:space="preserve"> </w:t>
      </w:r>
      <w:r>
        <w:t xml:space="preserve">payoff individualmente racional e factível pode ser sustentado como equilíbrio de Nash do jogo repetido.</w:t>
      </w:r>
    </w:p>
    <w:p>
      <w:pPr>
        <w:pStyle w:val="BlockText"/>
      </w:pPr>
      <w:r>
        <w:t xml:space="preserve">Um payoff é</w:t>
      </w:r>
      <w:r>
        <w:t xml:space="preserve"> </w:t>
      </w:r>
      <w:r>
        <w:rPr>
          <w:b/>
          <w:bCs/>
        </w:rPr>
        <w:t xml:space="preserve">individualmente racional</w:t>
      </w:r>
      <w:r>
        <w:t xml:space="preserve"> </w:t>
      </w:r>
      <w:r>
        <w:t xml:space="preserve">para o jogador</w:t>
      </w:r>
      <w:r>
        <w:t xml:space="preserve"> </w:t>
      </w:r>
      <m:oMath>
        <m:r>
          <m:t>i</m:t>
        </m:r>
      </m:oMath>
      <w:r>
        <w:t xml:space="preserve"> </w:t>
      </w:r>
      <w:r>
        <w:t xml:space="preserve">se é pelo menos tão bom quanto seu</w:t>
      </w:r>
      <w:r>
        <w:t xml:space="preserve"> </w:t>
      </w:r>
      <w:r>
        <w:rPr>
          <w:b/>
          <w:bCs/>
        </w:rPr>
        <w:t xml:space="preserve">payoff de minimax</w:t>
      </w:r>
      <w:r>
        <w:t xml:space="preserve">. Um payoff é</w:t>
      </w:r>
      <w:r>
        <w:t xml:space="preserve"> </w:t>
      </w:r>
      <w:r>
        <w:rPr>
          <w:b/>
          <w:bCs/>
        </w:rPr>
        <w:t xml:space="preserve">factível</w:t>
      </w:r>
      <w:r>
        <w:t xml:space="preserve"> </w:t>
      </w:r>
      <w:r>
        <w:t xml:space="preserve">se pertence ao fecho convexo dos payoffs realizáveis do jogo de estágio.</w:t>
      </w:r>
    </w:p>
    <w:p>
      <w:pPr>
        <w:pStyle w:val="BlockText"/>
      </w:pPr>
      <w:r>
        <w:rPr>
          <w:b/>
          <w:bCs/>
        </w:rPr>
        <w:t xml:space="preserve">[NOTA] Implicações do Folk Theorem</w:t>
      </w:r>
    </w:p>
    <w:p>
      <w:pPr>
        <w:pStyle w:val="BlockText"/>
      </w:pPr>
      <w:r>
        <w:t xml:space="preserve">O Folk Theorem é simultaneamente poderoso e problemático. Poderoso porque mostra que a repetição pode resolver dilemas de cooperação. Problemático porque gera uma</w:t>
      </w:r>
      <w:r>
        <w:t xml:space="preserve"> </w:t>
      </w:r>
      <w:r>
        <w:rPr>
          <w:b/>
          <w:bCs/>
        </w:rPr>
        <w:t xml:space="preserve">multiplicidade</w:t>
      </w:r>
      <w:r>
        <w:t xml:space="preserve"> </w:t>
      </w:r>
      <w:r>
        <w:t xml:space="preserve">enorme de equilíbrios — praticamente qualquer resultado razoável pode ser sustentado, o que limita o poder preditivo da teoria.</w:t>
      </w:r>
    </w:p>
    <w:p>
      <w:pPr>
        <w:pStyle w:val="FirstParagraph"/>
      </w:pPr>
      <w:r>
        <w:t xml:space="preserve">O Folk Theorem tem versões progressivamente mais fortes. A versão para equilíbrios de Nash (sem refinamento) é devida a Friedman (1971), que mostrou que qualquer payoff acima do equilíbrio de Nash do jogo de estágio pode ser sustentado. Fudenberg e Maskin (1986) fortaleceram o resultado para EPS: com</w:t>
      </w:r>
      <w:r>
        <w:t xml:space="preserve"> </w:t>
      </w:r>
      <m:oMath>
        <m:r>
          <m:t>δ</m:t>
        </m:r>
      </m:oMath>
      <w:r>
        <w:t xml:space="preserve"> </w:t>
      </w:r>
      <w:r>
        <w:t xml:space="preserve">suficientemente próximo de 1, qualquer payoff estritamente acima do minimax pode ser sustentado como EPS — desde que a dimensão do conjunto de payoffs factíveis seja suficientemente grande. O resultado é notável: a cooperação não é apenas</w:t>
      </w:r>
      <w:r>
        <w:t xml:space="preserve"> </w:t>
      </w:r>
      <w:r>
        <w:rPr>
          <w:i/>
          <w:iCs/>
        </w:rPr>
        <w:t xml:space="preserve">um</w:t>
      </w:r>
      <w:r>
        <w:t xml:space="preserve"> </w:t>
      </w:r>
      <w:r>
        <w:t xml:space="preserve">equilíbrio possível, mas sim</w:t>
      </w:r>
      <w:r>
        <w:t xml:space="preserve"> </w:t>
      </w:r>
      <w:r>
        <w:rPr>
          <w:i/>
          <w:iCs/>
        </w:rPr>
        <w:t xml:space="preserve">qualquer grau</w:t>
      </w:r>
      <w:r>
        <w:t xml:space="preserve"> </w:t>
      </w:r>
      <w:r>
        <w:t xml:space="preserve">de cooperação pode ser sustentado, junto com qualquer nível de assimetria na distribuição dos ganhos.</w:t>
      </w:r>
    </w:p>
    <w:p>
      <w:pPr>
        <w:pStyle w:val="BodyText"/>
      </w:pPr>
      <w:r>
        <w:t xml:space="preserve">Para a economia aplicada, essa multiplicidade é tanto uma benção quanto uma maldição. É uma benção porque implica que a cooperação é robustamente sustentável — não é um resultado frágil que depende de parâmetros específicos. É uma maldição porque a teoria, por si só, não prevê</w:t>
      </w:r>
      <w:r>
        <w:t xml:space="preserve"> </w:t>
      </w:r>
      <w:r>
        <w:rPr>
          <w:i/>
          <w:iCs/>
        </w:rPr>
        <w:t xml:space="preserve">qual</w:t>
      </w:r>
      <w:r>
        <w:t xml:space="preserve"> </w:t>
      </w:r>
      <w:r>
        <w:t xml:space="preserve">equilíbrio será selecionado. Isso abre espaço para fatores institucionais, culturais e históricos determinarem o grau de cooperação observado — o que explica por que cartéis em alguns mercados são estáveis por décadas enquanto em outros colapsam rapidamente, mesmo quando a estrutura de incentivos é similar.</w:t>
      </w:r>
    </w:p>
    <w:p>
      <w:pPr>
        <w:pStyle w:val="BodyText"/>
      </w:pPr>
      <w:r>
        <w:t xml:space="preserve">Uma resposta à multiplicidade de equilíbrios do Folk Theorem é o conceito de</w:t>
      </w:r>
      <w:r>
        <w:t xml:space="preserve"> </w:t>
      </w:r>
      <w:r>
        <w:rPr>
          <w:b/>
          <w:bCs/>
        </w:rPr>
        <w:t xml:space="preserve">prova de renegociação</w:t>
      </w:r>
      <w:r>
        <w:t xml:space="preserve"> </w:t>
      </w:r>
      <w:r>
        <w:t xml:space="preserve">(</w:t>
      </w:r>
      <w:r>
        <w:rPr>
          <w:i/>
          <w:iCs/>
        </w:rPr>
        <w:t xml:space="preserve">renegotiation-proofness</w:t>
      </w:r>
      <w:r>
        <w:t xml:space="preserve">), proposto por Farrell e Maskin (1989) e Bernheim e Ray (1989). A ideia central é simples mas poderosa: uma estratégia de punição é crível apenas se, no momento de executá-la, os jogadores não teriam incentivo para renegociar e retornar a um equilíbrio mais favorável para todos. O grim trigger, por exemplo, falha nesse critério: após um desvio, a punição perpétua (Nash para sempre) é Pareto-dominada pela retomada da cooperação. Se os jogadores podem se comunicar, por que ambos se puniriam eternamente quando poderiam voltar a cooperar? A exigência de prova de renegociação elimina muitos equilíbrios do Folk Theorem e produz previsões mais realistas, embora o conjunto de equilíbrios remanescente continue sendo grande.</w:t>
      </w:r>
    </w:p>
    <w:p>
      <w:pPr>
        <w:pStyle w:val="BlockText"/>
      </w:pPr>
      <w:r>
        <w:rPr>
          <w:b/>
          <w:bCs/>
        </w:rPr>
        <w:t xml:space="preserve">[INTUICAO ECONOMICA] Intuição Econômica</w:t>
      </w:r>
    </w:p>
    <w:p>
      <w:pPr>
        <w:pStyle w:val="BlockText"/>
      </w:pPr>
      <w:r>
        <w:rPr>
          <w:b/>
          <w:bCs/>
        </w:rPr>
        <w:t xml:space="preserve">Em uma frase:</w:t>
      </w:r>
      <w:r>
        <w:t xml:space="preserve"> </w:t>
      </w:r>
      <w:r>
        <w:t xml:space="preserve">O Folk Theorem diz que</w:t>
      </w:r>
      <w:r>
        <w:t xml:space="preserve"> </w:t>
      </w:r>
      <w:r>
        <w:t xml:space="preserve">“quase tudo é possível”</w:t>
      </w:r>
      <w:r>
        <w:t xml:space="preserve"> </w:t>
      </w:r>
      <w:r>
        <w:t xml:space="preserve">em jogos repetidos — o que é poderoso mas também frustrante para quem quer previsões precisas.</w:t>
      </w:r>
    </w:p>
    <w:p>
      <w:pPr>
        <w:pStyle w:val="BlockText"/>
      </w:pPr>
      <w:r>
        <w:rPr>
          <w:b/>
          <w:bCs/>
        </w:rPr>
        <w:t xml:space="preserve">O problema da multiplicidade:</w:t>
      </w:r>
      <w:r>
        <w:t xml:space="preserve"> </w:t>
      </w:r>
      <w:r>
        <w:t xml:space="preserve">Imagine um mercado com três empresas que interagem repetidamente. O Folk Theorem garante que é possível sustentar como equilíbrio: conluio perfeito (monopólio dividido em três), concorrência branda (lucros intermediários), conluio parcial (duas cooperam e excluem a terceira), ou qualquer outra combinação factível. A teoria não diz qual desses cenários ocorrerá — isso depende de fatores que o modelo não captura (história do mercado, personalidade dos gestores, regulação).</w:t>
      </w:r>
    </w:p>
    <w:p>
      <w:pPr>
        <w:pStyle w:val="BlockText"/>
      </w:pPr>
      <w:r>
        <w:rPr>
          <w:b/>
          <w:bCs/>
        </w:rPr>
        <w:t xml:space="preserve">Para que serve, então?</w:t>
      </w:r>
      <w:r>
        <w:t xml:space="preserve"> </w:t>
      </w:r>
      <w:r>
        <w:t xml:space="preserve">O Folk Theorem é útil não por</w:t>
      </w:r>
      <w:r>
        <w:t xml:space="preserve"> </w:t>
      </w:r>
      <w:r>
        <w:rPr>
          <w:i/>
          <w:iCs/>
        </w:rPr>
        <w:t xml:space="preserve">prever</w:t>
      </w:r>
      <w:r>
        <w:t xml:space="preserve"> </w:t>
      </w:r>
      <w:r>
        <w:t xml:space="preserve">o equilíbrio, mas por</w:t>
      </w:r>
      <w:r>
        <w:t xml:space="preserve"> </w:t>
      </w:r>
      <w:r>
        <w:rPr>
          <w:i/>
          <w:iCs/>
        </w:rPr>
        <w:t xml:space="preserve">delimitar</w:t>
      </w:r>
      <w:r>
        <w:t xml:space="preserve"> </w:t>
      </w:r>
      <w:r>
        <w:t xml:space="preserve">o que é possível. Ele diz ao analista antitruste:</w:t>
      </w:r>
      <w:r>
        <w:t xml:space="preserve"> </w:t>
      </w:r>
      <w:r>
        <w:t xml:space="preserve">“se o</w:t>
      </w:r>
      <w:r>
        <w:t xml:space="preserve"> </w:t>
      </w:r>
      <m:oMath>
        <m:r>
          <m:t>δ</m:t>
        </m:r>
      </m:oMath>
      <w:r>
        <w:t xml:space="preserve"> </w:t>
      </w:r>
      <w:r>
        <w:t xml:space="preserve">efetivo for alto o suficiente, a cooperação é</w:t>
      </w:r>
      <w:r>
        <w:t xml:space="preserve"> </w:t>
      </w:r>
      <w:r>
        <w:rPr>
          <w:i/>
          <w:iCs/>
        </w:rPr>
        <w:t xml:space="preserve">possível</w:t>
      </w:r>
      <w:r>
        <w:t xml:space="preserve"> </w:t>
      </w:r>
      <w:r>
        <w:t xml:space="preserve">neste mercado”</w:t>
      </w:r>
      <w:r>
        <w:t xml:space="preserve">. A pergunta empírica — se de fato</w:t>
      </w:r>
      <w:r>
        <w:t xml:space="preserve"> </w:t>
      </w:r>
      <w:r>
        <w:rPr>
          <w:i/>
          <w:iCs/>
        </w:rPr>
        <w:t xml:space="preserve">ocorre</w:t>
      </w:r>
      <w:r>
        <w:t xml:space="preserve"> </w:t>
      </w:r>
      <w:r>
        <w:t xml:space="preserve">— requer dados, não apenas teoria.</w:t>
      </w:r>
    </w:p>
    <w:p>
      <w:pPr>
        <w:pStyle w:val="BlockText"/>
      </w:pPr>
      <w:r>
        <w:rPr>
          <w:b/>
          <w:bCs/>
        </w:rPr>
        <w:t xml:space="preserve">Renegociação como critério de seleção:</w:t>
      </w:r>
      <w:r>
        <w:t xml:space="preserve"> </w:t>
      </w:r>
      <w:r>
        <w:t xml:space="preserve">Punições extremas (como o grim trigger) podem ser teóricas mas não práticas: nenhum cartel manteria uma guerra de preços destrutiva</w:t>
      </w:r>
      <w:r>
        <w:t xml:space="preserve"> </w:t>
      </w:r>
      <w:r>
        <w:rPr>
          <w:i/>
          <w:iCs/>
        </w:rPr>
        <w:t xml:space="preserve">para sempre</w:t>
      </w:r>
      <w:r>
        <w:t xml:space="preserve"> </w:t>
      </w:r>
      <w:r>
        <w:t xml:space="preserve">quando ambos poderiam lucrar retomando a cooperação. A prova de renegociação captura essa intuição e seleciona equilíbrios com punições moderadas e temporárias — mais próximas do que observamos empiricamente em oligopólios reais.</w:t>
      </w:r>
    </w:p>
    <w:p>
      <w:pPr>
        <w:pStyle w:val="BlockText"/>
      </w:pPr>
      <w:r>
        <w:rPr>
          <w:b/>
          <w:bCs/>
        </w:rPr>
        <w:t xml:space="preserve">[BOX MUNDO] Box Mundo 9b.2 — Guerras de preços em aviação e tecnologia: punição em ação</w:t>
      </w:r>
    </w:p>
    <w:p>
      <w:pPr>
        <w:pStyle w:val="BlockText"/>
      </w:pPr>
      <w:r>
        <w:rPr>
          <w:b/>
          <w:bCs/>
        </w:rPr>
        <w:t xml:space="preserve">Contexto:</w:t>
      </w:r>
      <w:r>
        <w:t xml:space="preserve"> </w:t>
      </w:r>
      <w:r>
        <w:t xml:space="preserve">Os modelos de jogos repetidos preveem que a cooperação tácita (conluio) é periodicamente interrompida por</w:t>
      </w:r>
      <w:r>
        <w:t xml:space="preserve"> </w:t>
      </w:r>
      <w:r>
        <w:t xml:space="preserve">“guerras de preços”</w:t>
      </w:r>
      <w:r>
        <w:t xml:space="preserve"> </w:t>
      </w:r>
      <w:r>
        <w:t xml:space="preserve">— fases de punição que restauram a disciplina cooperativa. Guerras de preços são a execução, no mundo real, das estratégias de punição modeladas neste capítulo. A aviação comercial e o setor de tecnologia oferecem exemplos paradigmáticos.</w:t>
      </w:r>
    </w:p>
    <w:p>
      <w:pPr>
        <w:pStyle w:val="BlockText"/>
      </w:pPr>
      <w:r>
        <w:rPr>
          <w:b/>
          <w:bCs/>
        </w:rPr>
        <w:t xml:space="preserve">Dados — Aviação comercial:</w:t>
      </w:r>
    </w:p>
    <w:p>
      <w:pPr>
        <w:pStyle w:val="BlockText"/>
      </w:pPr>
      <w:r>
        <w:t xml:space="preserve">A guerra de preços entre companhias aéreas americanas no início dos anos 1990 é um dos casos mais estudados. Em 1992, American Airlines lançou a promoção</w:t>
      </w:r>
      <w:r>
        <w:t xml:space="preserve"> </w:t>
      </w:r>
      <w:r>
        <w:t xml:space="preserve">“Value Pricing”</w:t>
      </w:r>
      <w:r>
        <w:t xml:space="preserve"> </w:t>
      </w:r>
      <w:r>
        <w:t xml:space="preserve">que reduziu tarifas em até 38%. As rivais (United, Delta, Northwest) retaliaram com descontos agressivos, gerando perdas estimadas em US$ 4 bilhões para o setor em um único ano (Morrison e Winston, 1996). A dinâmica seguiu o padrão previsto pelo modelo de Green e Porter (1984): um choque (queda de demanda pós-recessão) tornou impossível distinguir entre queda legítima de demanda e desvio do conluio, desencadeando a fase de punição. O episódio terminou com retorno gradual aos preços pré-guerra — exatamente como prevê o</w:t>
      </w:r>
      <w:r>
        <w:t xml:space="preserve"> </w:t>
      </w:r>
      <w:r>
        <w:rPr>
          <w:i/>
          <w:iCs/>
        </w:rPr>
        <w:t xml:space="preserve">tit-for-tat</w:t>
      </w:r>
      <w:r>
        <w:t xml:space="preserve">.</w:t>
      </w:r>
    </w:p>
    <w:p>
      <w:pPr>
        <w:pStyle w:val="BlockText"/>
      </w:pPr>
      <w:r>
        <w:t xml:space="preserve">No Brasil, a entrada da Gol em 2001 como companhia</w:t>
      </w:r>
      <w:r>
        <w:t xml:space="preserve"> </w:t>
      </w:r>
      <w:r>
        <w:rPr>
          <w:i/>
          <w:iCs/>
        </w:rPr>
        <w:t xml:space="preserve">low-cost</w:t>
      </w:r>
      <w:r>
        <w:t xml:space="preserve"> </w:t>
      </w:r>
      <w:r>
        <w:t xml:space="preserve">desencadeou respostas agressivas de TAM e Varig. A Varig, incapaz de sustentar as perdas da guerra de preços (seu</w:t>
      </w:r>
      <w:r>
        <w:t xml:space="preserve"> </w:t>
      </w:r>
      <m:oMath>
        <m:r>
          <m:t>δ</m:t>
        </m:r>
      </m:oMath>
      <w:r>
        <w:t xml:space="preserve"> </w:t>
      </w:r>
      <w:r>
        <w:t xml:space="preserve">efetivo era baixo devido à crise financeira), foi a primeira a sair do mercado — falindo em 2006. Esse resultado é consistente com o modelo: em guerras de preços, sobrevive quem é mais paciente (maior</w:t>
      </w:r>
      <w:r>
        <w:t xml:space="preserve"> </w:t>
      </w:r>
      <m:oMath>
        <m:r>
          <m:t>δ</m:t>
        </m:r>
      </m:oMath>
      <w:r>
        <w:t xml:space="preserve">).</w:t>
      </w:r>
    </w:p>
    <w:p>
      <w:pPr>
        <w:pStyle w:val="BlockText"/>
      </w:pPr>
      <w:r>
        <w:rPr>
          <w:b/>
          <w:bCs/>
        </w:rPr>
        <w:t xml:space="preserve">Dados — Tecnologia e plataformas:</w:t>
      </w:r>
    </w:p>
    <w:p>
      <w:pPr>
        <w:pStyle w:val="BlockText"/>
      </w:pPr>
      <w:r>
        <w:t xml:space="preserve">A guerra de subsídios entre Uber e Lyft nos EUA (2014–2019) custou bilhões de dólares: ambas ofereciam corridas abaixo do custo para conquistar participação de mercado. A dinâmica é a de um jogo de entrada com deterrência: cada plataforma investia em capacidade (rede de motoristas) para tornar crível a ameaça de permanência no mercado. Após o IPO de ambas em 2019, os subsídios diminuíram e os preços subiram — o retorno ao equilíbrio cooperativo previsto pela teoria.</w:t>
      </w:r>
    </w:p>
    <w:p>
      <w:pPr>
        <w:pStyle w:val="BlockText"/>
      </w:pPr>
      <w:r>
        <w:t xml:space="preserve">Na guerra do streaming (2019–2024), Disney+, HBO Max, Peacock e Apple TV+ entraram com preços abaixo do custo e orçamentos inflacionados de conteúdo, competindo com a Netflix. Em 2023–2024, após perdas acumuladas superiores a US$ 30 bilhões, a maioria elevou preços e reduziu investimentos — o fim da fase de punição/entrada e o início da consolidação cooperativa.</w:t>
      </w:r>
    </w:p>
    <w:p>
      <w:pPr>
        <w:pStyle w:val="BlockText"/>
      </w:pPr>
      <w:r>
        <w:rPr>
          <w:b/>
          <w:bCs/>
        </w:rPr>
        <w:t xml:space="preserve">Análise:</w:t>
      </w:r>
      <w:r>
        <w:t xml:space="preserve"> </w:t>
      </w:r>
      <w:r>
        <w:t xml:space="preserve">Em todos esses casos, a guerra de preços foi</w:t>
      </w:r>
      <w:r>
        <w:t xml:space="preserve"> </w:t>
      </w:r>
      <w:r>
        <w:rPr>
          <w:i/>
          <w:iCs/>
        </w:rPr>
        <w:t xml:space="preserve">temporária</w:t>
      </w:r>
      <w:r>
        <w:t xml:space="preserve"> </w:t>
      </w:r>
      <w:r>
        <w:t xml:space="preserve">— exatamente como prevê a teoria de jogos repetidos. A fase de punição é custosa para todos os jogadores, mas funciona como mecanismo disciplinador: ao demonstrar que o desvio será punido, restaura as condições para o retorno à cooperação. O padrão empírico confirma a previsão teórica: guerras de preços são mais prováveis após choques de demanda, entrada de novos concorrentes ou mudanças regulatórias que alteram os payoffs do jogo.</w:t>
      </w:r>
    </w:p>
    <w:p>
      <w:pPr>
        <w:pStyle w:val="BlockText"/>
      </w:pPr>
      <w:r>
        <w:rPr>
          <w:b/>
          <w:bCs/>
        </w:rPr>
        <w:t xml:space="preserve">Para refletir:</w:t>
      </w:r>
      <w:r>
        <w:t xml:space="preserve"> </w:t>
      </w:r>
      <w:r>
        <w:t xml:space="preserve">Por que as guerras de preços tendem a ser mais longas em setores com altos custos fixos e baixos custos marginais (como aviação e streaming)? Como o conceito de prova de renegociação se aplica a esses episódios?</w:t>
      </w:r>
    </w:p>
    <w:p>
      <w:pPr>
        <w:pStyle w:val="BlockText"/>
      </w:pPr>
      <w:r>
        <w:rPr>
          <w:b/>
          <w:bCs/>
        </w:rPr>
        <w:t xml:space="preserve">Fonte:</w:t>
      </w:r>
      <w:r>
        <w:t xml:space="preserve"> </w:t>
      </w:r>
      <w:r>
        <w:t xml:space="preserve">Morrison, Steven A. e Winston, Clifford. (1996).</w:t>
      </w:r>
      <w:r>
        <w:t xml:space="preserve"> </w:t>
      </w:r>
      <w:r>
        <w:t xml:space="preserve">“Causes and Consequences of Airline Fare Wars.”</w:t>
      </w:r>
      <w:r>
        <w:t xml:space="preserve"> </w:t>
      </w:r>
      <w:r>
        <w:rPr>
          <w:i/>
          <w:iCs/>
        </w:rPr>
        <w:t xml:space="preserve">Brookings Papers on Economic Activity: Microeconomics</w:t>
      </w:r>
      <w:r>
        <w:t xml:space="preserve">, 85–131. Green, Edward J. e Porter, Robert H. (1984).</w:t>
      </w:r>
      <w:r>
        <w:t xml:space="preserve"> </w:t>
      </w:r>
      <w:r>
        <w:t xml:space="preserve">“Noncooperative Collusion under Imperfect Price Information.”</w:t>
      </w:r>
      <w:r>
        <w:t xml:space="preserve"> </w:t>
      </w:r>
      <w:r>
        <w:rPr>
          <w:i/>
          <w:iCs/>
        </w:rPr>
        <w:t xml:space="preserve">Econometrica</w:t>
      </w:r>
      <w:r>
        <w:t xml:space="preserve">, 52(1), 87–100.</w:t>
      </w:r>
    </w:p>
    <w:bookmarkEnd w:id="532"/>
    <w:bookmarkStart w:id="533" w:name="estratégias-de-punição-alternativas"/>
    <w:p>
      <w:pPr>
        <w:pStyle w:val="Heading4"/>
      </w:pPr>
      <w:r>
        <w:t xml:space="preserve">Estratégias de punição alternativas</w:t>
      </w:r>
    </w:p>
    <w:p>
      <w:pPr>
        <w:pStyle w:val="FirstParagraph"/>
      </w:pPr>
      <w:r>
        <w:t xml:space="preserve">O grim trigger é a estratégia de punição mais simples e severa: uma única traição condena os jogadores à não cooperação perpétua. Mas será que essa punição draconiana é realista? No mundo real, relações comerciais se recuperam de rupturas, parceiros se reconciliam após conflitos. Estratégias mais sofisticadas capturam essa possibilidade de</w:t>
      </w:r>
      <w:r>
        <w:t xml:space="preserve"> </w:t>
      </w:r>
      <w:r>
        <w:t xml:space="preserve">“perdão”</w:t>
      </w:r>
      <w:r>
        <w:t xml:space="preserve"> </w:t>
      </w:r>
      <w:r>
        <w:t xml:space="preserve">e, em muitos contextos, se mostram mais robustas.</w:t>
      </w:r>
    </w:p>
    <w:p>
      <w:pPr>
        <w:pStyle w:val="BodyText"/>
      </w:pPr>
      <w:r>
        <w:t xml:space="preserve">Além do grim trigger, existem estratégias mais sofisticadas, comparadas na</w:t>
      </w:r>
      <w:r>
        <w:t xml:space="preserve"> </w:t>
      </w:r>
      <w:hyperlink w:anchor="tabela-9b-1">
        <w:r>
          <w:rPr>
            <w:rStyle w:val="Hyperlink"/>
          </w:rPr>
          <w:t xml:space="preserve">Tabela 9b.1</w:t>
        </w:r>
      </w:hyperlink>
      <w:r>
        <w:t xml:space="preserve">:</w:t>
      </w:r>
    </w:p>
    <w:tbl>
      <w:tblPr>
        <w:tblStyle w:val="Table"/>
        <w:tblW w:type="pct" w:w="5000"/>
        <w:tblLayout w:type="fixed"/>
        <w:tblLook w:firstRow="1" w:lastRow="0" w:firstColumn="0" w:lastColumn="0" w:noHBand="0" w:noVBand="0" w:val="0020"/>
      </w:tblPr>
      <w:tblGrid>
        <w:gridCol w:w="1610"/>
        <w:gridCol w:w="1476"/>
        <w:gridCol w:w="1745"/>
        <w:gridCol w:w="1342"/>
        <w:gridCol w:w="1745"/>
      </w:tblGrid>
      <w:tr>
        <w:trPr>
          <w:tblHeader w:val="on"/>
        </w:trPr>
        <w:tc>
          <w:tcPr/>
          <w:p>
            <w:pPr>
              <w:pStyle w:val="Compact"/>
              <w:jc w:val="left"/>
            </w:pPr>
            <w:r>
              <w:t xml:space="preserve">Estratégia</w:t>
            </w:r>
          </w:p>
        </w:tc>
        <w:tc>
          <w:tcPr/>
          <w:p>
            <w:pPr>
              <w:pStyle w:val="Compact"/>
              <w:jc w:val="left"/>
            </w:pPr>
            <w:r>
              <w:t xml:space="preserve">Descrição</w:t>
            </w:r>
          </w:p>
        </w:tc>
        <w:tc>
          <w:tcPr/>
          <w:p>
            <w:pPr>
              <w:pStyle w:val="Compact"/>
              <w:jc w:val="left"/>
            </w:pPr>
            <m:oMath>
              <m:sSup>
                <m:e>
                  <m:r>
                    <m:t>δ</m:t>
                  </m:r>
                </m:e>
                <m:sup>
                  <m:r>
                    <m:rPr>
                      <m:sty m:val="p"/>
                    </m:rPr>
                    <m:t>*</m:t>
                  </m:r>
                </m:sup>
              </m:sSup>
            </m:oMath>
          </w:p>
        </w:tc>
        <w:tc>
          <w:tcPr/>
          <w:p>
            <w:pPr>
              <w:pStyle w:val="Compact"/>
              <w:jc w:val="left"/>
            </w:pPr>
            <w:r>
              <w:t xml:space="preserve">Vantagem</w:t>
            </w:r>
          </w:p>
        </w:tc>
        <w:tc>
          <w:tcPr/>
          <w:p>
            <w:pPr>
              <w:pStyle w:val="Compact"/>
              <w:jc w:val="left"/>
            </w:pPr>
            <w:r>
              <w:t xml:space="preserve">Desvantagem</w:t>
            </w:r>
          </w:p>
        </w:tc>
      </w:tr>
      <w:tr>
        <w:tc>
          <w:tcPr/>
          <w:p>
            <w:pPr>
              <w:pStyle w:val="Compact"/>
              <w:jc w:val="left"/>
            </w:pPr>
            <w:r>
              <w:rPr>
                <w:b/>
                <w:bCs/>
              </w:rPr>
              <w:t xml:space="preserve">Grim Trigger</w:t>
            </w:r>
          </w:p>
        </w:tc>
        <w:tc>
          <w:tcPr/>
          <w:p>
            <w:pPr>
              <w:pStyle w:val="Compact"/>
              <w:jc w:val="left"/>
            </w:pPr>
            <w:r>
              <w:t xml:space="preserve">Coopera até primeiro desvio, depois pune para sempre</w:t>
            </w:r>
          </w:p>
        </w:tc>
        <w:tc>
          <w:tcPr/>
          <w:p>
            <w:pPr>
              <w:pStyle w:val="Compact"/>
              <w:jc w:val="left"/>
            </w:pPr>
            <m:oMath>
              <m:f>
                <m:fPr>
                  <m:type m:val="bar"/>
                </m:fPr>
                <m:num>
                  <m:r>
                    <m:t>T</m:t>
                  </m:r>
                  <m:r>
                    <m:rPr>
                      <m:sty m:val="p"/>
                    </m:rPr>
                    <m:t>−</m:t>
                  </m:r>
                  <m:r>
                    <m:t>R</m:t>
                  </m:r>
                </m:num>
                <m:den>
                  <m:r>
                    <m:t>T</m:t>
                  </m:r>
                  <m:r>
                    <m:rPr>
                      <m:sty m:val="p"/>
                    </m:rPr>
                    <m:t>−</m:t>
                  </m:r>
                  <m:r>
                    <m:t>P</m:t>
                  </m:r>
                </m:den>
              </m:f>
            </m:oMath>
          </w:p>
        </w:tc>
        <w:tc>
          <w:tcPr/>
          <w:p>
            <w:pPr>
              <w:pStyle w:val="Compact"/>
              <w:jc w:val="left"/>
            </w:pPr>
            <w:r>
              <w:t xml:space="preserve">Máxima deterrência</w:t>
            </w:r>
          </w:p>
        </w:tc>
        <w:tc>
          <w:tcPr/>
          <w:p>
            <w:pPr>
              <w:pStyle w:val="Compact"/>
              <w:jc w:val="left"/>
            </w:pPr>
            <w:r>
              <w:t xml:space="preserve">Punição desproporcional; não perdoa erros</w:t>
            </w:r>
          </w:p>
        </w:tc>
      </w:tr>
      <w:tr>
        <w:tc>
          <w:tcPr/>
          <w:p>
            <w:pPr>
              <w:pStyle w:val="Compact"/>
              <w:jc w:val="left"/>
            </w:pPr>
            <w:r>
              <w:rPr>
                <w:b/>
                <w:bCs/>
              </w:rPr>
              <w:t xml:space="preserve">Tit-for-Tat</w:t>
            </w:r>
          </w:p>
        </w:tc>
        <w:tc>
          <w:tcPr/>
          <w:p>
            <w:pPr>
              <w:pStyle w:val="Compact"/>
              <w:jc w:val="left"/>
            </w:pPr>
            <w:r>
              <w:t xml:space="preserve">Coopera no 1º período; depois copia a ação do oponente no período anterior</w:t>
            </w:r>
          </w:p>
        </w:tc>
        <w:tc>
          <w:tcPr/>
          <w:p>
            <w:pPr>
              <w:pStyle w:val="Compact"/>
              <w:jc w:val="left"/>
            </w:pPr>
            <m:oMath>
              <m:f>
                <m:fPr>
                  <m:type m:val="bar"/>
                </m:fPr>
                <m:num>
                  <m:r>
                    <m:t>T</m:t>
                  </m:r>
                  <m:r>
                    <m:rPr>
                      <m:sty m:val="p"/>
                    </m:rPr>
                    <m:t>−</m:t>
                  </m:r>
                  <m:r>
                    <m:t>R</m:t>
                  </m:r>
                </m:num>
                <m:den>
                  <m:r>
                    <m:t>T</m:t>
                  </m:r>
                  <m:r>
                    <m:rPr>
                      <m:sty m:val="p"/>
                    </m:rPr>
                    <m:t>−</m:t>
                  </m:r>
                  <m:r>
                    <m:t>P</m:t>
                  </m:r>
                </m:den>
              </m:f>
            </m:oMath>
          </w:p>
        </w:tc>
        <w:tc>
          <w:tcPr/>
          <w:p>
            <w:pPr>
              <w:pStyle w:val="Compact"/>
              <w:jc w:val="left"/>
            </w:pPr>
            <w:r>
              <w:t xml:space="preserve">Simples,</w:t>
            </w:r>
            <w:r>
              <w:t xml:space="preserve"> </w:t>
            </w:r>
            <w:r>
              <w:t xml:space="preserve">“perdoa”</w:t>
            </w:r>
            <w:r>
              <w:t xml:space="preserve">; venceu os torneios de Axelrod</w:t>
            </w:r>
          </w:p>
        </w:tc>
        <w:tc>
          <w:tcPr/>
          <w:p>
            <w:pPr>
              <w:pStyle w:val="Compact"/>
              <w:jc w:val="left"/>
            </w:pPr>
            <w:r>
              <w:t xml:space="preserve">Vulnerável a erros; ciclos de retaliação</w:t>
            </w:r>
          </w:p>
        </w:tc>
      </w:tr>
      <w:tr>
        <w:tc>
          <w:tcPr/>
          <w:p>
            <w:pPr>
              <w:pStyle w:val="Compact"/>
              <w:jc w:val="left"/>
            </w:pPr>
            <w:r>
              <w:rPr>
                <w:b/>
                <w:bCs/>
              </w:rPr>
              <w:t xml:space="preserve">Win-Stay, Lose-Shift</w:t>
            </w:r>
          </w:p>
        </w:tc>
        <w:tc>
          <w:tcPr/>
          <w:p>
            <w:pPr>
              <w:pStyle w:val="Compact"/>
              <w:jc w:val="left"/>
            </w:pPr>
            <w:r>
              <w:t xml:space="preserve">Mantém a ação se o payoff foi bom, muda se foi ruim</w:t>
            </w:r>
          </w:p>
        </w:tc>
        <w:tc>
          <w:tcPr/>
          <w:p>
            <w:pPr>
              <w:pStyle w:val="Compact"/>
              <w:jc w:val="left"/>
            </w:pPr>
            <w:r>
              <w:t xml:space="preserve">Variável</w:t>
            </w:r>
          </w:p>
        </w:tc>
        <w:tc>
          <w:tcPr/>
          <w:p>
            <w:pPr>
              <w:pStyle w:val="Compact"/>
              <w:jc w:val="left"/>
            </w:pPr>
            <w:r>
              <w:t xml:space="preserve">Autocorreção</w:t>
            </w:r>
          </w:p>
        </w:tc>
        <w:tc>
          <w:tcPr/>
          <w:p>
            <w:pPr>
              <w:pStyle w:val="Compact"/>
              <w:jc w:val="left"/>
            </w:pPr>
            <w:r>
              <w:t xml:space="preserve">Pode não ser EPS</w:t>
            </w:r>
          </w:p>
        </w:tc>
      </w:tr>
    </w:tbl>
    <w:p>
      <w:pPr>
        <w:pStyle w:val="BodyText"/>
      </w:pPr>
      <w:r>
        <w:rPr>
          <w:b/>
          <w:bCs/>
        </w:rPr>
        <w:t xml:space="preserve">Tabela 9b.1 — Estratégias de cooperação em jogos repetidos.</w:t>
      </w:r>
    </w:p>
    <w:p>
      <w:pPr>
        <w:pStyle w:val="BodyText"/>
      </w:pPr>
      <w:r>
        <w:t xml:space="preserve">[FIGURA INTERATIVA: /micro-book/graficos/cap09/delta-cooperacao.html — versao interativa disponivel online]</w:t>
      </w:r>
    </w:p>
    <w:p>
      <w:pPr>
        <w:pStyle w:val="BodyText"/>
      </w:pPr>
      <w:r>
        <w:rPr>
          <w:b/>
          <w:bCs/>
        </w:rPr>
        <w:t xml:space="preserve">Figura 9b.2 — Cooperação no Dilema dos Prisioneiros repetido.</w:t>
      </w:r>
      <w:r>
        <w:t xml:space="preserve"> </w:t>
      </w:r>
      <w:r>
        <w:t xml:space="preserve">Altere os payoffs</w:t>
      </w:r>
      <w:r>
        <w:t xml:space="preserve"> </w:t>
      </w:r>
      <m:oMath>
        <m:r>
          <m:t>T</m:t>
        </m:r>
      </m:oMath>
      <w:r>
        <w:t xml:space="preserve">,</w:t>
      </w:r>
      <w:r>
        <w:t xml:space="preserve"> </w:t>
      </w:r>
      <m:oMath>
        <m:r>
          <m:t>R</m:t>
        </m:r>
      </m:oMath>
      <w:r>
        <w:t xml:space="preserve">,</w:t>
      </w:r>
      <w:r>
        <w:t xml:space="preserve"> </w:t>
      </w:r>
      <m:oMath>
        <m:r>
          <m:t>P</m:t>
        </m:r>
      </m:oMath>
      <w:r>
        <w:t xml:space="preserve"> </w:t>
      </w:r>
      <w:r>
        <w:t xml:space="preserve">e o fator de desconto</w:t>
      </w:r>
      <w:r>
        <w:t xml:space="preserve"> </w:t>
      </w:r>
      <m:oMath>
        <m:r>
          <m:t>δ</m:t>
        </m:r>
      </m:oMath>
      <w:r>
        <w:t xml:space="preserve"> </w:t>
      </w:r>
      <w:r>
        <w:t xml:space="preserve">para ver quando a cooperação é sustentável pela estratégia de gatilho. A curva verde (</w:t>
      </w:r>
      <m:oMath>
        <m:sSub>
          <m:e>
            <m:r>
              <m:t>V</m:t>
            </m:r>
          </m:e>
          <m:sub>
            <m:r>
              <m:rPr>
                <m:nor/>
                <m:sty m:val="p"/>
              </m:rPr>
              <m:t>coop</m:t>
            </m:r>
          </m:sub>
        </m:sSub>
      </m:oMath>
      <w:r>
        <w:t xml:space="preserve">) deve estar acima da vermelha (</w:t>
      </w:r>
      <m:oMath>
        <m:sSub>
          <m:e>
            <m:r>
              <m:t>V</m:t>
            </m:r>
          </m:e>
          <m:sub>
            <m:r>
              <m:rPr>
                <m:nor/>
                <m:sty m:val="p"/>
              </m:rPr>
              <m:t>desvio</m:t>
            </m:r>
          </m:sub>
        </m:sSub>
      </m:oMath>
      <w:r>
        <w:t xml:space="preserve">).</w:t>
      </w:r>
    </w:p>
    <w:p>
      <w:pPr>
        <w:pStyle w:val="BlockText"/>
      </w:pPr>
      <w:r>
        <w:rPr>
          <w:b/>
          <w:bCs/>
        </w:rPr>
        <w:t xml:space="preserve">[BOX BRASIL] Box Brasil — Conluio na Distribuição de Combustíveis: o CADE em Ação</w:t>
      </w:r>
    </w:p>
    <w:p>
      <w:pPr>
        <w:pStyle w:val="BlockText"/>
      </w:pPr>
      <w:r>
        <w:t xml:space="preserve">O mercado de distribuição de combustíveis no Brasil oferece um laboratório privilegiado para os modelos de jogos repetidos. Entre 2010 e 2023, o</w:t>
      </w:r>
      <w:r>
        <w:t xml:space="preserve"> </w:t>
      </w:r>
      <w:r>
        <w:rPr>
          <w:b/>
          <w:bCs/>
        </w:rPr>
        <w:t xml:space="preserve">CADE</w:t>
      </w:r>
      <w:r>
        <w:t xml:space="preserve"> </w:t>
      </w:r>
      <w:r>
        <w:t xml:space="preserve">julgou mais de trinta processos administrativos envolvendo cartéis em distribuidoras de combustíveis — de grandes grupos nacionais como Raízen (Shell/Cosan) e Vibra (BR Distribuidora) a distribuidoras regionais.</w:t>
      </w:r>
    </w:p>
    <w:p>
      <w:pPr>
        <w:pStyle w:val="BlockText"/>
      </w:pPr>
      <w:r>
        <w:rPr>
          <w:b/>
          <w:bCs/>
        </w:rPr>
        <w:t xml:space="preserve">A estrutura do jogo de conluio</w:t>
      </w:r>
    </w:p>
    <w:p>
      <w:pPr>
        <w:pStyle w:val="BlockText"/>
      </w:pPr>
      <w:r>
        <w:t xml:space="preserve">Distribuidoras maiores fixam margens acima do nível competitivo e monitoram os preços dos concorrentes via anúncios públicos e associações setoriais. O mercado de distribuição tem características que favorecem a sustentação do conluio:</w:t>
      </w:r>
    </w:p>
    <w:p>
      <w:pPr>
        <w:pStyle w:val="Compact"/>
        <w:numPr>
          <w:ilvl w:val="0"/>
          <w:numId w:val="1493"/>
        </w:numPr>
      </w:pPr>
      <w:r>
        <w:rPr>
          <w:b/>
          <w:bCs/>
        </w:rPr>
        <w:t xml:space="preserve">Poucos participantes</w:t>
      </w:r>
      <w:r>
        <w:t xml:space="preserve"> </w:t>
      </w:r>
      <w:r>
        <w:t xml:space="preserve">no atacado: concentração facilita a punição de desvios.</w:t>
      </w:r>
    </w:p>
    <w:p>
      <w:pPr>
        <w:pStyle w:val="Compact"/>
        <w:numPr>
          <w:ilvl w:val="0"/>
          <w:numId w:val="1493"/>
        </w:numPr>
      </w:pPr>
      <w:r>
        <w:rPr>
          <w:b/>
          <w:bCs/>
        </w:rPr>
        <w:t xml:space="preserve">Preços observáveis</w:t>
      </w:r>
      <w:r>
        <w:t xml:space="preserve">: tabelas de preços publicadas no atacado reduzem o custo de monitoramento.</w:t>
      </w:r>
    </w:p>
    <w:p>
      <w:pPr>
        <w:pStyle w:val="Compact"/>
        <w:numPr>
          <w:ilvl w:val="0"/>
          <w:numId w:val="1493"/>
        </w:numPr>
      </w:pPr>
      <w:r>
        <w:rPr>
          <w:b/>
          <w:bCs/>
        </w:rPr>
        <w:t xml:space="preserve">Interação repetida densa</w:t>
      </w:r>
      <w:r>
        <w:t xml:space="preserve">: negociações diárias entre distribuidoras e postos revendem.</w:t>
      </w:r>
    </w:p>
    <w:p>
      <w:pPr>
        <w:pStyle w:val="BlockText"/>
      </w:pPr>
      <w:r>
        <w:rPr>
          <w:b/>
          <w:bCs/>
        </w:rPr>
        <w:t xml:space="preserve">O papel do Programa de Leniência</w:t>
      </w:r>
    </w:p>
    <w:p>
      <w:pPr>
        <w:pStyle w:val="BlockText"/>
      </w:pPr>
      <w:r>
        <w:t xml:space="preserve">O Programa de Leniência do CADE (Lei 12.529/2011) é, do ponto de vista da teoria dos jogos, um mecanismo que destrói a estabilidade do equilíbrio cooperativo: ao oferecer imunidade ao primeiro a delatar, o programa converte o jogo em um</w:t>
      </w:r>
      <w:r>
        <w:t xml:space="preserve"> </w:t>
      </w:r>
      <w:r>
        <w:rPr>
          <w:b/>
          <w:bCs/>
        </w:rPr>
        <w:t xml:space="preserve">Dilema dos Prisioneiros de uma rodada</w:t>
      </w:r>
      <w:r>
        <w:t xml:space="preserve"> </w:t>
      </w:r>
      <w:r>
        <w:t xml:space="preserve">— cada membro do cartel tem incentivo para ser o primeiro a cooperar com o CADE, antes que os outros o façam.</w:t>
      </w:r>
    </w:p>
    <w:p>
      <w:pPr>
        <w:pStyle w:val="BlockText"/>
      </w:pPr>
      <w:r>
        <w:rPr>
          <w:b/>
          <w:bCs/>
        </w:rPr>
        <w:t xml:space="preserve">Fator de desconto e taxas de juros brasileiras</w:t>
      </w:r>
    </w:p>
    <w:p>
      <w:pPr>
        <w:pStyle w:val="BlockText"/>
      </w:pPr>
      <w:r>
        <w:t xml:space="preserve">A taxa Selic elevada (historicamente entre 10% e 14% a.a.) reduz o fator de desconto efetivo das firmas. Com</w:t>
      </w:r>
      <w:r>
        <w:t xml:space="preserve"> </w:t>
      </w:r>
      <m:oMath>
        <m:r>
          <m:t>r</m:t>
        </m:r>
        <m:r>
          <m:rPr>
            <m:sty m:val="p"/>
          </m:rPr>
          <m:t>=</m:t>
        </m:r>
        <m:r>
          <m:t>0</m:t>
        </m:r>
        <m:r>
          <m:rPr>
            <m:sty m:val="p"/>
          </m:rPr>
          <m:t>,</m:t>
        </m:r>
        <m:r>
          <m:t>12</m:t>
        </m:r>
      </m:oMath>
      <w:r>
        <w:t xml:space="preserve"> </w:t>
      </w:r>
      <w:r>
        <w:t xml:space="preserve">ao ano e periodicidade mensal,</w:t>
      </w:r>
      <w:r>
        <w:t xml:space="preserve"> </w:t>
      </w:r>
      <m:oMath>
        <m:r>
          <m:t>δ</m:t>
        </m:r>
        <m:r>
          <m:rPr>
            <m:sty m:val="p"/>
          </m:rPr>
          <m:t>=</m:t>
        </m:r>
        <m:r>
          <m:t>1</m:t>
        </m:r>
        <m:r>
          <m:rPr>
            <m:sty m:val="p"/>
          </m:rPr>
          <m:t>/</m:t>
        </m:r>
        <m:r>
          <m:rPr>
            <m:sty m:val="p"/>
          </m:rPr>
          <m:t>(</m:t>
        </m:r>
        <m:r>
          <m:t>1</m:t>
        </m:r>
        <m:r>
          <m:rPr>
            <m:sty m:val="p"/>
          </m:rPr>
          <m:t>+</m:t>
        </m:r>
        <m:r>
          <m:t>r</m:t>
        </m:r>
        <m:r>
          <m:rPr>
            <m:sty m:val="p"/>
          </m:rPr>
          <m:t>/</m:t>
        </m:r>
        <m:r>
          <m:t>12</m:t>
        </m:r>
        <m:r>
          <m:rPr>
            <m:sty m:val="p"/>
          </m:rPr>
          <m:t>)</m:t>
        </m:r>
        <m:r>
          <m:rPr>
            <m:sty m:val="p"/>
          </m:rPr>
          <m:t>≈</m:t>
        </m:r>
        <m:r>
          <m:t>0</m:t>
        </m:r>
        <m:r>
          <m:rPr>
            <m:sty m:val="p"/>
          </m:rPr>
          <m:t>,</m:t>
        </m:r>
        <m:r>
          <m:t>99</m:t>
        </m:r>
      </m:oMath>
      <w:r>
        <w:t xml:space="preserve"> </w:t>
      </w:r>
      <w:r>
        <w:t xml:space="preserve">— ainda alto. Mas choques regulatórios ou mudanças de gestão podem comprimir</w:t>
      </w:r>
      <w:r>
        <w:t xml:space="preserve"> </w:t>
      </w:r>
      <m:oMath>
        <m:r>
          <m:t>δ</m:t>
        </m:r>
      </m:oMath>
      <w:r>
        <w:t xml:space="preserve"> </w:t>
      </w:r>
      <w:r>
        <w:t xml:space="preserve">abruptamente, desestabilizando o conluio de dentro para fora.</w:t>
      </w:r>
    </w:p>
    <w:p>
      <w:pPr>
        <w:pStyle w:val="BlockText"/>
      </w:pPr>
      <w:r>
        <w:rPr>
          <w:b/>
          <w:bCs/>
        </w:rPr>
        <w:t xml:space="preserve">Fonte:</w:t>
      </w:r>
      <w:r>
        <w:t xml:space="preserve"> </w:t>
      </w:r>
      <w:r>
        <w:t xml:space="preserve">CADE, Processos Administrativos 08012.010936/2007-01 (Distribuidoras de GLP) e relatórios anuais do DEE/CADE.</w:t>
      </w:r>
    </w:p>
    <w:p>
      <w:pPr>
        <w:pStyle w:val="BlockText"/>
      </w:pPr>
      <w:r>
        <w:rPr>
          <w:b/>
          <w:bCs/>
        </w:rPr>
        <w:t xml:space="preserve">[BOX MUNDO] Box Mundo 9b.1 — Cooperação comercial internacional: a OMC como jogo repetido e a guerra comercial EUA-China</w:t>
      </w:r>
    </w:p>
    <w:p>
      <w:pPr>
        <w:pStyle w:val="BlockText"/>
      </w:pPr>
      <w:r>
        <w:rPr>
          <w:b/>
          <w:bCs/>
        </w:rPr>
        <w:t xml:space="preserve">Contexto:</w:t>
      </w:r>
      <w:r>
        <w:t xml:space="preserve"> </w:t>
      </w:r>
      <w:r>
        <w:t xml:space="preserve">O sistema multilateral de comércio — institucionalizado pelo GATT (1947) e pela Organização Mundial do Comércio (OMC, 1995) — pode ser interpretado como um mecanismo de sustentação de cooperação em um jogo repetido entre nações. Cada país tem incentivo unilateral para proteger sua indústria doméstica com tarifas, subsídios ou barreiras não tarifárias — exatamente como no Dilema dos Prisioneiros, onde</w:t>
      </w:r>
      <w:r>
        <w:t xml:space="preserve"> </w:t>
      </w:r>
      <w:r>
        <w:t xml:space="preserve">“trair”</w:t>
      </w:r>
      <w:r>
        <w:t xml:space="preserve"> </w:t>
      </w:r>
      <w:r>
        <w:t xml:space="preserve">(proteger) domina</w:t>
      </w:r>
      <w:r>
        <w:t xml:space="preserve"> </w:t>
      </w:r>
      <w:r>
        <w:t xml:space="preserve">“cooperar”</w:t>
      </w:r>
      <w:r>
        <w:t xml:space="preserve"> </w:t>
      </w:r>
      <w:r>
        <w:t xml:space="preserve">(abrir o mercado) no jogo de estágio. Mas como o comércio é uma interação repetida indefinidamente entre os mesmos parceiros, a OMC funciona como arcabouço institucional que reduz o custo de monitoramento (mecanismo de revisão de políticas comerciais), aumenta o custo da punição (sistema de solução de controvérsias com autorização de retaliação) e, portanto, sustenta um equilíbrio cooperativo — desde que os fatores de desconto efetivos dos membros sejam suficientemente altos.</w:t>
      </w:r>
    </w:p>
    <w:p>
      <w:pPr>
        <w:pStyle w:val="BlockText"/>
      </w:pPr>
      <w:r>
        <w:t xml:space="preserve">A escalada tarifária entre Estados Unidos e China iniciada em 2018 é o episódio mais dramático de defecção desse equilíbrio cooperativo desde a criação da OMC. A administração Trump impôs tarifas sobre US$ 360 bilhões em importações chinesas (seções 201, 232 e 301); a China retaliou com tarifas sobre US$ 110 bilhões em produtos americanos. A dinâmica replicou com precisão a estratégia de</w:t>
      </w:r>
      <w:r>
        <w:t xml:space="preserve"> </w:t>
      </w:r>
      <w:r>
        <w:rPr>
          <w:i/>
          <w:iCs/>
        </w:rPr>
        <w:t xml:space="preserve">tit-for-tat</w:t>
      </w:r>
      <w:r>
        <w:t xml:space="preserve">: cada rodada de tarifas americanas foi respondida com retaliação proporcional chinesa, seguida de nova escalada. O</w:t>
      </w:r>
      <w:r>
        <w:t xml:space="preserve"> </w:t>
      </w:r>
      <w:r>
        <w:t xml:space="preserve">“Phase One Deal”</w:t>
      </w:r>
      <w:r>
        <w:t xml:space="preserve"> </w:t>
      </w:r>
      <w:r>
        <w:t xml:space="preserve">de janeiro de 2020 representou uma tentativa de retorno ao equilíbrio cooperativo, mas com compromissos de compra quantitativa que se mostraram largamente descumpridos.</w:t>
      </w:r>
    </w:p>
    <w:p>
      <w:pPr>
        <w:pStyle w:val="BlockText"/>
      </w:pPr>
      <w:r>
        <w:rPr>
          <w:b/>
          <w:bCs/>
        </w:rPr>
        <w:t xml:space="preserve">Dados:</w:t>
      </w:r>
      <w:r>
        <w:t xml:space="preserve"> </w:t>
      </w:r>
      <w:r>
        <w:t xml:space="preserve">Fajgelbaum et al. (2020), em estudo publicado no</w:t>
      </w:r>
      <w:r>
        <w:t xml:space="preserve"> </w:t>
      </w:r>
      <w:r>
        <w:rPr>
          <w:i/>
          <w:iCs/>
        </w:rPr>
        <w:t xml:space="preserve">Quarterly Journal of Economics</w:t>
      </w:r>
      <w:r>
        <w:t xml:space="preserve">, estimaram que as tarifas da guerra comercial EUA-China custaram aos consumidores e importadores americanos US$ 51 bilhões por ano (em preços de 2018), com perda líquida de bem-estar de US$ 7,2 bilhões anuais — uma estimativa conservadora que não inclui efeitos de incerteza sobre investimento. Amiti, Redding e Weinstein (2019) mostraram que a incidência das tarifas recaiu quase integralmente sobre consumidores e firmas americanas, não sobre exportadores chineses — contradizendo a narrativa política de que</w:t>
      </w:r>
      <w:r>
        <w:t xml:space="preserve"> </w:t>
      </w:r>
      <w:r>
        <w:t xml:space="preserve">“a China paga as tarifas”</w:t>
      </w:r>
      <w:r>
        <w:t xml:space="preserve">. Do lado chinês, Handley, Kamal e Monarch (2020) documentaram redução de 25% nas exportações chinesas nos produtos tarifados, com desvio de comércio significativo para Vietnã, México e outros países — evidência de substituição estratégica no comércio internacional.</w:t>
      </w:r>
    </w:p>
    <w:p>
      <w:pPr>
        <w:pStyle w:val="BlockText"/>
      </w:pPr>
      <w:r>
        <w:t xml:space="preserve">Bagwell e Staiger (1999, 2002) formalizaram a OMC como mecanismo de sustentação cooperativa em jogos repetidos entre governos: as regras de reciprocidade e de nação mais favorecida funcionam como estratégias de cooperação condicional (análogas ao</w:t>
      </w:r>
      <w:r>
        <w:t xml:space="preserve"> </w:t>
      </w:r>
      <w:r>
        <w:rPr>
          <w:i/>
          <w:iCs/>
        </w:rPr>
        <w:t xml:space="preserve">tit-for-tat</w:t>
      </w:r>
      <w:r>
        <w:t xml:space="preserve">), e o Órgão de Solução de Controvérsias (OSC) da OMC como mecanismo de enforcement que reduz o limiar</w:t>
      </w:r>
      <w:r>
        <w:t xml:space="preserve"> </w:t>
      </w:r>
      <m:oMath>
        <m:sSup>
          <m:e>
            <m:r>
              <m:t>δ</m:t>
            </m:r>
          </m:e>
          <m:sup>
            <m:r>
              <m:rPr>
                <m:sty m:val="p"/>
              </m:rPr>
              <m:t>*</m:t>
            </m:r>
          </m:sup>
        </m:sSup>
      </m:oMath>
      <w:r>
        <w:t xml:space="preserve"> </w:t>
      </w:r>
      <w:r>
        <w:t xml:space="preserve">necessário para sustentar a cooperação. A paralisia do Órgão de Apelação da OMC desde dezembro de 2019 — resultado do bloqueio americano à nomeação de novos juízes — enfraqueceu precisamente esse mecanismo de punição, elevando o</w:t>
      </w:r>
      <w:r>
        <w:t xml:space="preserve"> </w:t>
      </w:r>
      <m:oMath>
        <m:sSup>
          <m:e>
            <m:r>
              <m:t>δ</m:t>
            </m:r>
          </m:e>
          <m:sup>
            <m:r>
              <m:rPr>
                <m:sty m:val="p"/>
              </m:rPr>
              <m:t>*</m:t>
            </m:r>
          </m:sup>
        </m:sSup>
      </m:oMath>
      <w:r>
        <w:t xml:space="preserve"> </w:t>
      </w:r>
      <w:r>
        <w:t xml:space="preserve">efetivo e tornando a cooperação mais difícil de sustentar.</w:t>
      </w:r>
    </w:p>
    <w:p>
      <w:pPr>
        <w:pStyle w:val="BlockText"/>
      </w:pPr>
      <w:r>
        <w:rPr>
          <w:b/>
          <w:bCs/>
        </w:rPr>
        <w:t xml:space="preserve">Análise:</w:t>
      </w:r>
      <w:r>
        <w:t xml:space="preserve"> </w:t>
      </w:r>
      <w:r>
        <w:t xml:space="preserve">A guerra comercial EUA-China ilustra a fragilidade do equilíbrio cooperativo quando os fatores de desconto se alteram. Do lado americano, a percepção de que a China não cumpria compromissos de abertura (propriedade intelectual, subsídios a estatais) equivale a uma reavaliação do payoff de cooperação</w:t>
      </w:r>
      <w:r>
        <w:t xml:space="preserve"> </w:t>
      </w:r>
      <m:oMath>
        <m:r>
          <m:t>R</m:t>
        </m:r>
      </m:oMath>
      <w:r>
        <w:t xml:space="preserve">, reduzindo-o relativamente ao payoff de desvio</w:t>
      </w:r>
      <w:r>
        <w:t xml:space="preserve"> </w:t>
      </w:r>
      <m:oMath>
        <m:r>
          <m:t>T</m:t>
        </m:r>
      </m:oMath>
      <w:r>
        <w:t xml:space="preserve"> </w:t>
      </w:r>
      <w:r>
        <w:t xml:space="preserve">— o que eleva o</w:t>
      </w:r>
      <w:r>
        <w:t xml:space="preserve"> </w:t>
      </w:r>
      <m:oMath>
        <m:sSup>
          <m:e>
            <m:r>
              <m:t>δ</m:t>
            </m:r>
          </m:e>
          <m:sup>
            <m:r>
              <m:rPr>
                <m:sty m:val="p"/>
              </m:rPr>
              <m:t>*</m:t>
            </m:r>
          </m:sup>
        </m:sSup>
      </m:oMath>
      <w:r>
        <w:t xml:space="preserve"> </w:t>
      </w:r>
      <w:r>
        <w:t xml:space="preserve">mínimo para sustentar cooperação. Do lado chinês, a retaliação proporcional segue a lógica exata do</w:t>
      </w:r>
      <w:r>
        <w:t xml:space="preserve"> </w:t>
      </w:r>
      <w:r>
        <w:rPr>
          <w:i/>
          <w:iCs/>
        </w:rPr>
        <w:t xml:space="preserve">tit-for-tat</w:t>
      </w:r>
      <w:r>
        <w:t xml:space="preserve">: punir a defecção alheia para sinalizar que a cooperação futura exige reciprocidade. A teoria prevê que o retorno à cooperação é possível (</w:t>
      </w:r>
      <w:r>
        <w:rPr>
          <w:i/>
          <w:iCs/>
        </w:rPr>
        <w:t xml:space="preserve">tit-for-tat</w:t>
      </w:r>
      <w:r>
        <w:t xml:space="preserve"> </w:t>
      </w:r>
      <w:r>
        <w:t xml:space="preserve">“perdoa”</w:t>
      </w:r>
      <w:r>
        <w:t xml:space="preserve"> </w:t>
      </w:r>
      <w:r>
        <w:t xml:space="preserve">após punir), mas a acumulação de retaliações e a erosão institucional da OMC criam histerese — o custo de reconstruir a confiança excede o custo de um simples retorno ao status quo ante. Para o Brasil, as implicações são diretas: como beneficiário líquido do sistema multilateral (exportações de commodities dependem de regras estáveis), o enfraquecimento da OMC aumenta a incerteza e reduz o valor esperado do comércio — um custo que não aparece nas estimativas de impacto direto das tarifas bilaterais.</w:t>
      </w:r>
    </w:p>
    <w:p>
      <w:pPr>
        <w:pStyle w:val="BlockText"/>
      </w:pPr>
      <w:r>
        <w:rPr>
          <w:b/>
          <w:bCs/>
        </w:rPr>
        <w:t xml:space="preserve">Fonte:</w:t>
      </w:r>
      <w:r>
        <w:t xml:space="preserve"> </w:t>
      </w:r>
      <w:r>
        <w:t xml:space="preserve">Fajgelbaum, Pablo D. et al. (2020).</w:t>
      </w:r>
      <w:r>
        <w:t xml:space="preserve"> </w:t>
      </w:r>
      <w:r>
        <w:t xml:space="preserve">“The Return to Protectionism.”</w:t>
      </w:r>
      <w:r>
        <w:t xml:space="preserve"> </w:t>
      </w:r>
      <w:r>
        <w:rPr>
          <w:i/>
          <w:iCs/>
        </w:rPr>
        <w:t xml:space="preserve">Quarterly Journal of Economics</w:t>
      </w:r>
      <w:r>
        <w:t xml:space="preserve">, 135(1), 1–55. Amiti, Mary, Redding, Stephen J. e Weinstein, David E. (2019).</w:t>
      </w:r>
      <w:r>
        <w:t xml:space="preserve"> </w:t>
      </w:r>
      <w:r>
        <w:t xml:space="preserve">“The Impact of the 2018 Tariffs on Prices and Welfare.”</w:t>
      </w:r>
      <w:r>
        <w:t xml:space="preserve"> </w:t>
      </w:r>
      <w:r>
        <w:rPr>
          <w:i/>
          <w:iCs/>
        </w:rPr>
        <w:t xml:space="preserve">Journal of Economic Perspectives</w:t>
      </w:r>
      <w:r>
        <w:t xml:space="preserve">, 33(4), 187–210. Bagwell, Kyle e Staiger, Robert W. (2002).</w:t>
      </w:r>
      <w:r>
        <w:t xml:space="preserve"> </w:t>
      </w:r>
      <w:r>
        <w:rPr>
          <w:i/>
          <w:iCs/>
        </w:rPr>
        <w:t xml:space="preserve">The Economics of the World Trading System</w:t>
      </w:r>
      <w:r>
        <w:t xml:space="preserve">. Cambridge, MA: MIT Press.</w:t>
      </w:r>
    </w:p>
    <w:p>
      <w:pPr>
        <w:pStyle w:val="BlockText"/>
      </w:pPr>
      <w:r>
        <w:rPr>
          <w:b/>
          <w:bCs/>
        </w:rPr>
        <w:t xml:space="preserve">[R-INTERACTIVE] R Interativo — Dinâmica de Cournot com melhor resposta iterativa</w:t>
      </w:r>
    </w:p>
    <w:p>
      <w:pPr>
        <w:pStyle w:val="BlockText"/>
      </w:pPr>
      <w:r>
        <w:t xml:space="preserve">Simule a convergência para o equilíbrio de Nash-Cournot via dinâmica de melhor resposta (</w:t>
      </w:r>
      <w:r>
        <w:rPr>
          <w:i/>
          <w:iCs/>
        </w:rPr>
        <w:t xml:space="preserve">best-response dynamics</w:t>
      </w:r>
      <w:r>
        <w:t xml:space="preserve">). Duas firmas ajustam suas quantidades iterativamente, cada uma respondendo de forma ótima à produção da outra no período anterior.</w:t>
      </w:r>
    </w:p>
    <w:p>
      <w:pPr>
        <w:pStyle w:val="SourceCode"/>
      </w:pPr>
      <w:r>
        <w:rPr>
          <w:rStyle w:val="CommentTok"/>
        </w:rPr>
        <w:t xml:space="preserve"># Parâmetros</w:t>
      </w:r>
      <w:r>
        <w:br/>
      </w:r>
      <w:r>
        <w:rPr>
          <w:rStyle w:val="NormalTok"/>
        </w:rPr>
        <w:t xml:space="preserve">a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Intercepto da demanda inversa: P = a - b*Q</w:t>
      </w:r>
      <w:r>
        <w:br/>
      </w:r>
      <w:r>
        <w:rPr>
          <w:rStyle w:val="NormalTok"/>
        </w:rPr>
        <w:t xml:space="preserve">b </w:t>
      </w:r>
      <w:r>
        <w:rPr>
          <w:rStyle w:val="OtherTok"/>
        </w:rPr>
        <w:t xml:space="preserve">&lt;-</w:t>
      </w:r>
      <w:r>
        <w:rPr>
          <w:rStyle w:val="NormalTok"/>
        </w:rPr>
        <w:t xml:space="preserve"> </w:t>
      </w:r>
      <w:r>
        <w:rPr>
          <w:rStyle w:val="DecValTok"/>
        </w:rPr>
        <w:t xml:space="preserve">1</w:t>
      </w:r>
      <w:r>
        <w:rPr>
          <w:rStyle w:val="NormalTok"/>
        </w:rPr>
        <w:t xml:space="preserve">     </w:t>
      </w:r>
      <w:r>
        <w:rPr>
          <w:rStyle w:val="CommentTok"/>
        </w:rPr>
        <w:t xml:space="preserve"># Inclinação</w:t>
      </w:r>
      <w:r>
        <w:br/>
      </w:r>
      <w:r>
        <w:rPr>
          <w:rStyle w:val="NormalTok"/>
        </w:rPr>
        <w:t xml:space="preserve">c1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Custo marginal firma 1</w:t>
      </w:r>
      <w:r>
        <w:br/>
      </w:r>
      <w:r>
        <w:rPr>
          <w:rStyle w:val="NormalTok"/>
        </w:rPr>
        <w:t xml:space="preserve">c2 </w:t>
      </w:r>
      <w:r>
        <w:rPr>
          <w:rStyle w:val="OtherTok"/>
        </w:rPr>
        <w:t xml:space="preserve">&lt;-</w:t>
      </w:r>
      <w:r>
        <w:rPr>
          <w:rStyle w:val="NormalTok"/>
        </w:rPr>
        <w:t xml:space="preserve"> </w:t>
      </w:r>
      <w:r>
        <w:rPr>
          <w:rStyle w:val="DecValTok"/>
        </w:rPr>
        <w:t xml:space="preserve">20</w:t>
      </w:r>
      <w:r>
        <w:rPr>
          <w:rStyle w:val="NormalTok"/>
        </w:rPr>
        <w:t xml:space="preserve">   </w:t>
      </w:r>
      <w:r>
        <w:rPr>
          <w:rStyle w:val="CommentTok"/>
        </w:rPr>
        <w:t xml:space="preserve"># Custo marginal firma 2</w:t>
      </w:r>
      <w:r>
        <w:br/>
      </w:r>
      <w:r>
        <w:br/>
      </w:r>
      <w:r>
        <w:rPr>
          <w:rStyle w:val="CommentTok"/>
        </w:rPr>
        <w:t xml:space="preserve"># Funções de melhor resposta: q_i = (a - c_i - b*q_j) / (2*b)</w:t>
      </w:r>
      <w:r>
        <w:br/>
      </w:r>
      <w:r>
        <w:rPr>
          <w:rStyle w:val="NormalTok"/>
        </w:rPr>
        <w:t xml:space="preserve">br1 </w:t>
      </w:r>
      <w:r>
        <w:rPr>
          <w:rStyle w:val="OtherTok"/>
        </w:rPr>
        <w:t xml:space="preserve">&lt;-</w:t>
      </w:r>
      <w:r>
        <w:rPr>
          <w:rStyle w:val="NormalTok"/>
        </w:rPr>
        <w:t xml:space="preserve"> </w:t>
      </w:r>
      <w:r>
        <w:rPr>
          <w:rStyle w:val="ControlFlowTok"/>
        </w:rPr>
        <w:t xml:space="preserve">function</w:t>
      </w:r>
      <w:r>
        <w:rPr>
          <w:rStyle w:val="NormalTok"/>
        </w:rPr>
        <w:t xml:space="preserve">(q2) </w:t>
      </w:r>
      <w:r>
        <w:rPr>
          <w:rStyle w:val="FunctionTok"/>
        </w:rPr>
        <w:t xml:space="preserve">max</w:t>
      </w:r>
      <w:r>
        <w:rPr>
          <w:rStyle w:val="NormalTok"/>
        </w:rPr>
        <w:t xml:space="preserve">(</w:t>
      </w:r>
      <w:r>
        <w:rPr>
          <w:rStyle w:val="DecValTok"/>
        </w:rPr>
        <w:t xml:space="preserve">0</w:t>
      </w:r>
      <w:r>
        <w:rPr>
          <w:rStyle w:val="NormalTok"/>
        </w:rPr>
        <w:t xml:space="preserve">, (a </w:t>
      </w:r>
      <w:r>
        <w:rPr>
          <w:rStyle w:val="SpecialCharTok"/>
        </w:rPr>
        <w:t xml:space="preserve">-</w:t>
      </w:r>
      <w:r>
        <w:rPr>
          <w:rStyle w:val="NormalTok"/>
        </w:rPr>
        <w:t xml:space="preserve"> c1 </w:t>
      </w:r>
      <w:r>
        <w:rPr>
          <w:rStyle w:val="SpecialCharTok"/>
        </w:rPr>
        <w:t xml:space="preserve">-</w:t>
      </w:r>
      <w:r>
        <w:rPr>
          <w:rStyle w:val="NormalTok"/>
        </w:rPr>
        <w:t xml:space="preserve"> b </w:t>
      </w:r>
      <w:r>
        <w:rPr>
          <w:rStyle w:val="SpecialCharTok"/>
        </w:rPr>
        <w:t xml:space="preserve">*</w:t>
      </w:r>
      <w:r>
        <w:rPr>
          <w:rStyle w:val="NormalTok"/>
        </w:rPr>
        <w:t xml:space="preserve"> q2)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b))</w:t>
      </w:r>
      <w:r>
        <w:br/>
      </w:r>
      <w:r>
        <w:rPr>
          <w:rStyle w:val="NormalTok"/>
        </w:rPr>
        <w:t xml:space="preserve">br2 </w:t>
      </w:r>
      <w:r>
        <w:rPr>
          <w:rStyle w:val="OtherTok"/>
        </w:rPr>
        <w:t xml:space="preserve">&lt;-</w:t>
      </w:r>
      <w:r>
        <w:rPr>
          <w:rStyle w:val="NormalTok"/>
        </w:rPr>
        <w:t xml:space="preserve"> </w:t>
      </w:r>
      <w:r>
        <w:rPr>
          <w:rStyle w:val="ControlFlowTok"/>
        </w:rPr>
        <w:t xml:space="preserve">function</w:t>
      </w:r>
      <w:r>
        <w:rPr>
          <w:rStyle w:val="NormalTok"/>
        </w:rPr>
        <w:t xml:space="preserve">(q1) </w:t>
      </w:r>
      <w:r>
        <w:rPr>
          <w:rStyle w:val="FunctionTok"/>
        </w:rPr>
        <w:t xml:space="preserve">max</w:t>
      </w:r>
      <w:r>
        <w:rPr>
          <w:rStyle w:val="NormalTok"/>
        </w:rPr>
        <w:t xml:space="preserve">(</w:t>
      </w:r>
      <w:r>
        <w:rPr>
          <w:rStyle w:val="DecValTok"/>
        </w:rPr>
        <w:t xml:space="preserve">0</w:t>
      </w:r>
      <w:r>
        <w:rPr>
          <w:rStyle w:val="NormalTok"/>
        </w:rPr>
        <w:t xml:space="preserve">, (a </w:t>
      </w:r>
      <w:r>
        <w:rPr>
          <w:rStyle w:val="SpecialCharTok"/>
        </w:rPr>
        <w:t xml:space="preserve">-</w:t>
      </w:r>
      <w:r>
        <w:rPr>
          <w:rStyle w:val="NormalTok"/>
        </w:rPr>
        <w:t xml:space="preserve"> c2 </w:t>
      </w:r>
      <w:r>
        <w:rPr>
          <w:rStyle w:val="SpecialCharTok"/>
        </w:rPr>
        <w:t xml:space="preserve">-</w:t>
      </w:r>
      <w:r>
        <w:rPr>
          <w:rStyle w:val="NormalTok"/>
        </w:rPr>
        <w:t xml:space="preserve"> b </w:t>
      </w:r>
      <w:r>
        <w:rPr>
          <w:rStyle w:val="SpecialCharTok"/>
        </w:rPr>
        <w:t xml:space="preserve">*</w:t>
      </w:r>
      <w:r>
        <w:rPr>
          <w:rStyle w:val="NormalTok"/>
        </w:rPr>
        <w:t xml:space="preserve"> q1)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b))</w:t>
      </w:r>
      <w:r>
        <w:br/>
      </w:r>
      <w:r>
        <w:br/>
      </w:r>
      <w:r>
        <w:rPr>
          <w:rStyle w:val="CommentTok"/>
        </w:rPr>
        <w:t xml:space="preserve"># Dinâmica iterativa</w:t>
      </w:r>
      <w:r>
        <w:br/>
      </w:r>
      <w:r>
        <w:rPr>
          <w:rStyle w:val="NormalTok"/>
        </w:rPr>
        <w:t xml:space="preserve">T </w:t>
      </w:r>
      <w:r>
        <w:rPr>
          <w:rStyle w:val="OtherTok"/>
        </w:rPr>
        <w:t xml:space="preserve">&lt;-</w:t>
      </w:r>
      <w:r>
        <w:rPr>
          <w:rStyle w:val="NormalTok"/>
        </w:rPr>
        <w:t xml:space="preserve"> </w:t>
      </w:r>
      <w:r>
        <w:rPr>
          <w:rStyle w:val="DecValTok"/>
        </w:rPr>
        <w:t xml:space="preserve">20</w:t>
      </w:r>
      <w:r>
        <w:br/>
      </w:r>
      <w:r>
        <w:rPr>
          <w:rStyle w:val="NormalTok"/>
        </w:rPr>
        <w:t xml:space="preserve">q1 </w:t>
      </w:r>
      <w:r>
        <w:rPr>
          <w:rStyle w:val="OtherTok"/>
        </w:rPr>
        <w:t xml:space="preserve">&lt;-</w:t>
      </w:r>
      <w:r>
        <w:rPr>
          <w:rStyle w:val="NormalTok"/>
        </w:rPr>
        <w:t xml:space="preserve"> q2 </w:t>
      </w:r>
      <w:r>
        <w:rPr>
          <w:rStyle w:val="OtherTok"/>
        </w:rPr>
        <w:t xml:space="preserve">&lt;-</w:t>
      </w:r>
      <w:r>
        <w:rPr>
          <w:rStyle w:val="NormalTok"/>
        </w:rPr>
        <w:t xml:space="preserve"> </w:t>
      </w:r>
      <w:r>
        <w:rPr>
          <w:rStyle w:val="FunctionTok"/>
        </w:rPr>
        <w:t xml:space="preserve">numeric</w:t>
      </w:r>
      <w:r>
        <w:rPr>
          <w:rStyle w:val="NormalTok"/>
        </w:rPr>
        <w:t xml:space="preserve">(T)</w:t>
      </w:r>
      <w:r>
        <w:br/>
      </w:r>
      <w:r>
        <w:rPr>
          <w:rStyle w:val="NormalTok"/>
        </w:rPr>
        <w:t xml:space="preserve">q1[</w:t>
      </w:r>
      <w:r>
        <w:rPr>
          <w:rStyle w:val="DecValTok"/>
        </w:rPr>
        <w:t xml:space="preserve">1</w:t>
      </w:r>
      <w:r>
        <w:rPr>
          <w:rStyle w:val="NormalTok"/>
        </w:rPr>
        <w:t xml:space="preserve">] </w:t>
      </w:r>
      <w:r>
        <w:rPr>
          <w:rStyle w:val="OtherTok"/>
        </w:rPr>
        <w:t xml:space="preserve">&lt;-</w:t>
      </w:r>
      <w:r>
        <w:rPr>
          <w:rStyle w:val="NormalTok"/>
        </w:rPr>
        <w:t xml:space="preserve"> </w:t>
      </w:r>
      <w:r>
        <w:rPr>
          <w:rStyle w:val="DecValTok"/>
        </w:rPr>
        <w:t xml:space="preserve">0</w:t>
      </w:r>
      <w:r>
        <w:rPr>
          <w:rStyle w:val="NormalTok"/>
        </w:rPr>
        <w:t xml:space="preserve">; q2[</w:t>
      </w:r>
      <w:r>
        <w:rPr>
          <w:rStyle w:val="DecValTok"/>
        </w:rPr>
        <w:t xml:space="preserve">1</w:t>
      </w:r>
      <w:r>
        <w:rPr>
          <w:rStyle w:val="NormalTok"/>
        </w:rPr>
        <w:t xml:space="preserve">]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Ponto inicial</w:t>
      </w:r>
      <w:r>
        <w:br/>
      </w:r>
      <w:r>
        <w:br/>
      </w:r>
      <w:r>
        <w:rPr>
          <w:rStyle w:val="ControlFlowTok"/>
        </w:rPr>
        <w:t xml:space="preserve">for</w:t>
      </w:r>
      <w:r>
        <w:rPr>
          <w:rStyle w:val="NormalTok"/>
        </w:rPr>
        <w:t xml:space="preserve">(t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T) {</w:t>
      </w:r>
      <w:r>
        <w:br/>
      </w:r>
      <w:r>
        <w:rPr>
          <w:rStyle w:val="NormalTok"/>
        </w:rPr>
        <w:t xml:space="preserve">  q1[t] </w:t>
      </w:r>
      <w:r>
        <w:rPr>
          <w:rStyle w:val="OtherTok"/>
        </w:rPr>
        <w:t xml:space="preserve">&lt;-</w:t>
      </w:r>
      <w:r>
        <w:rPr>
          <w:rStyle w:val="NormalTok"/>
        </w:rPr>
        <w:t xml:space="preserve"> </w:t>
      </w:r>
      <w:r>
        <w:rPr>
          <w:rStyle w:val="FunctionTok"/>
        </w:rPr>
        <w:t xml:space="preserve">br1</w:t>
      </w:r>
      <w:r>
        <w:rPr>
          <w:rStyle w:val="NormalTok"/>
        </w:rPr>
        <w:t xml:space="preserve">(q2[t</w:t>
      </w:r>
      <w:r>
        <w:rPr>
          <w:rStyle w:val="DecValTok"/>
        </w:rPr>
        <w:t xml:space="preserve">-1</w:t>
      </w:r>
      <w:r>
        <w:rPr>
          <w:rStyle w:val="NormalTok"/>
        </w:rPr>
        <w:t xml:space="preserve">])</w:t>
      </w:r>
      <w:r>
        <w:br/>
      </w:r>
      <w:r>
        <w:rPr>
          <w:rStyle w:val="NormalTok"/>
        </w:rPr>
        <w:t xml:space="preserve">  q2[t] </w:t>
      </w:r>
      <w:r>
        <w:rPr>
          <w:rStyle w:val="OtherTok"/>
        </w:rPr>
        <w:t xml:space="preserve">&lt;-</w:t>
      </w:r>
      <w:r>
        <w:rPr>
          <w:rStyle w:val="NormalTok"/>
        </w:rPr>
        <w:t xml:space="preserve"> </w:t>
      </w:r>
      <w:r>
        <w:rPr>
          <w:rStyle w:val="FunctionTok"/>
        </w:rPr>
        <w:t xml:space="preserve">br2</w:t>
      </w:r>
      <w:r>
        <w:rPr>
          <w:rStyle w:val="NormalTok"/>
        </w:rPr>
        <w:t xml:space="preserve">(q1[t</w:t>
      </w:r>
      <w:r>
        <w:rPr>
          <w:rStyle w:val="DecValTok"/>
        </w:rPr>
        <w:t xml:space="preserve">-1</w:t>
      </w:r>
      <w:r>
        <w:rPr>
          <w:rStyle w:val="NormalTok"/>
        </w:rPr>
        <w:t xml:space="preserve">])</w:t>
      </w:r>
      <w:r>
        <w:br/>
      </w:r>
      <w:r>
        <w:rPr>
          <w:rStyle w:val="NormalTok"/>
        </w:rPr>
        <w:t xml:space="preserve">}</w:t>
      </w:r>
      <w:r>
        <w:br/>
      </w:r>
      <w:r>
        <w:br/>
      </w:r>
      <w:r>
        <w:rPr>
          <w:rStyle w:val="CommentTok"/>
        </w:rPr>
        <w:t xml:space="preserve"># Equilíbrio analítico</w:t>
      </w:r>
      <w:r>
        <w:br/>
      </w:r>
      <w:r>
        <w:rPr>
          <w:rStyle w:val="NormalTok"/>
        </w:rPr>
        <w:t xml:space="preserve">q1_star </w:t>
      </w:r>
      <w:r>
        <w:rPr>
          <w:rStyle w:val="OtherTok"/>
        </w:rPr>
        <w:t xml:space="preserve">&lt;-</w:t>
      </w:r>
      <w:r>
        <w:rPr>
          <w:rStyle w:val="NormalTok"/>
        </w:rPr>
        <w:t xml:space="preserve"> (a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c1 </w:t>
      </w:r>
      <w:r>
        <w:rPr>
          <w:rStyle w:val="SpecialCharTok"/>
        </w:rPr>
        <w:t xml:space="preserve">+</w:t>
      </w:r>
      <w:r>
        <w:rPr>
          <w:rStyle w:val="NormalTok"/>
        </w:rPr>
        <w:t xml:space="preserve"> c2) </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b)</w:t>
      </w:r>
      <w:r>
        <w:br/>
      </w:r>
      <w:r>
        <w:rPr>
          <w:rStyle w:val="NormalTok"/>
        </w:rPr>
        <w:t xml:space="preserve">q2_star </w:t>
      </w:r>
      <w:r>
        <w:rPr>
          <w:rStyle w:val="OtherTok"/>
        </w:rPr>
        <w:t xml:space="preserve">&lt;-</w:t>
      </w:r>
      <w:r>
        <w:rPr>
          <w:rStyle w:val="NormalTok"/>
        </w:rPr>
        <w:t xml:space="preserve"> (a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c2 </w:t>
      </w:r>
      <w:r>
        <w:rPr>
          <w:rStyle w:val="SpecialCharTok"/>
        </w:rPr>
        <w:t xml:space="preserve">+</w:t>
      </w:r>
      <w:r>
        <w:rPr>
          <w:rStyle w:val="NormalTok"/>
        </w:rPr>
        <w:t xml:space="preserve"> c1) </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b)</w:t>
      </w:r>
      <w:r>
        <w:br/>
      </w:r>
      <w:r>
        <w:br/>
      </w:r>
      <w:r>
        <w:rPr>
          <w:rStyle w:val="CommentTok"/>
        </w:rPr>
        <w:t xml:space="preserve"># Gráfico da convergência</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NormalTok"/>
        </w:rPr>
        <w:t xml:space="preserve">T, q1,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"Iteração"</w:t>
      </w:r>
      <w:r>
        <w:rPr>
          <w:rStyle w:val="NormalTok"/>
        </w:rPr>
        <w:t xml:space="preserve">, </w:t>
      </w:r>
      <w:r>
        <w:rPr>
          <w:rStyle w:val="AttributeTok"/>
        </w:rPr>
        <w:t xml:space="preserve">ylab =</w:t>
      </w:r>
      <w:r>
        <w:rPr>
          <w:rStyle w:val="NormalTok"/>
        </w:rPr>
        <w:t xml:space="preserve"> </w:t>
      </w:r>
      <w:r>
        <w:rPr>
          <w:rStyle w:val="StringTok"/>
        </w:rPr>
        <w:t xml:space="preserve">"Quantidade"</w:t>
      </w:r>
      <w:r>
        <w:rPr>
          <w:rStyle w:val="NormalTok"/>
        </w:rPr>
        <w:t xml:space="preserve">, </w:t>
      </w:r>
      <w:r>
        <w:rPr>
          <w:rStyle w:val="AttributeTok"/>
        </w:rPr>
        <w:t xml:space="preserve">main =</w:t>
      </w:r>
      <w:r>
        <w:rPr>
          <w:rStyle w:val="NormalTok"/>
        </w:rPr>
        <w:t xml:space="preserve"> </w:t>
      </w:r>
      <w:r>
        <w:rPr>
          <w:rStyle w:val="StringTok"/>
        </w:rPr>
        <w:t xml:space="preserve">"Convergência para Nash-Cournot"</w:t>
      </w:r>
      <w:r>
        <w:rPr>
          <w:rStyle w:val="NormalTok"/>
        </w:rPr>
        <w:t xml:space="preserve">)</w:t>
      </w:r>
      <w:r>
        <w:br/>
      </w:r>
      <w:r>
        <w:rPr>
          <w:rStyle w:val="FunctionTok"/>
        </w:rPr>
        <w:t xml:space="preserve">lines</w:t>
      </w:r>
      <w:r>
        <w:rPr>
          <w:rStyle w:val="NormalTok"/>
        </w:rPr>
        <w:t xml:space="preserve">(</w:t>
      </w:r>
      <w:r>
        <w:rPr>
          <w:rStyle w:val="DecValTok"/>
        </w:rPr>
        <w:t xml:space="preserve">1</w:t>
      </w:r>
      <w:r>
        <w:rPr>
          <w:rStyle w:val="SpecialCharTok"/>
        </w:rPr>
        <w:t xml:space="preserve">:</w:t>
      </w:r>
      <w:r>
        <w:rPr>
          <w:rStyle w:val="NormalTok"/>
        </w:rPr>
        <w:t xml:space="preserve">T, q2,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pch =</w:t>
      </w:r>
      <w:r>
        <w:rPr>
          <w:rStyle w:val="NormalTok"/>
        </w:rPr>
        <w:t xml:space="preserve"> </w:t>
      </w:r>
      <w:r>
        <w:rPr>
          <w:rStyle w:val="DecValTok"/>
        </w:rPr>
        <w:t xml:space="preserve">17</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q1_star,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q2_star,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r>
        <w:br/>
      </w:r>
      <w:r>
        <w:rPr>
          <w:rStyle w:val="FunctionTok"/>
        </w:rPr>
        <w:t xml:space="preserve">legend</w:t>
      </w:r>
      <w:r>
        <w:rPr>
          <w:rStyle w:val="NormalTok"/>
        </w:rPr>
        <w:t xml:space="preserve">(</w:t>
      </w:r>
      <w:r>
        <w:rPr>
          <w:rStyle w:val="StringTok"/>
        </w:rPr>
        <w:t xml:space="preserve">"right"</w:t>
      </w:r>
      <w:r>
        <w:rPr>
          <w:rStyle w:val="NormalTok"/>
        </w:rPr>
        <w:t xml:space="preserve">, </w:t>
      </w:r>
      <w:r>
        <w:rPr>
          <w:rStyle w:val="FunctionTok"/>
        </w:rPr>
        <w:t xml:space="preserve">c</w:t>
      </w:r>
      <w:r>
        <w:rPr>
          <w:rStyle w:val="NormalTok"/>
        </w:rPr>
        <w:t xml:space="preserve">(</w:t>
      </w:r>
      <w:r>
        <w:rPr>
          <w:rStyle w:val="StringTok"/>
        </w:rPr>
        <w:t xml:space="preserve">"Firma 1"</w:t>
      </w:r>
      <w:r>
        <w:rPr>
          <w:rStyle w:val="NormalTok"/>
        </w:rPr>
        <w:t xml:space="preserve">, </w:t>
      </w:r>
      <w:r>
        <w:rPr>
          <w:rStyle w:val="StringTok"/>
        </w:rPr>
        <w:t xml:space="preserve">"Firma 2"</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"red"</w:t>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16</w:t>
      </w:r>
      <w:r>
        <w:rPr>
          <w:rStyle w:val="NormalTok"/>
        </w:rPr>
        <w:t xml:space="preserve">,</w:t>
      </w:r>
      <w:r>
        <w:rPr>
          <w:rStyle w:val="DecValTok"/>
        </w:rPr>
        <w:t xml:space="preserve">17</w:t>
      </w:r>
      <w:r>
        <w:rPr>
          <w:rStyle w:val="NormalTok"/>
        </w:rPr>
        <w:t xml:space="preserve">))</w:t>
      </w:r>
      <w:r>
        <w:br/>
      </w:r>
      <w:r>
        <w:br/>
      </w:r>
      <w:r>
        <w:rPr>
          <w:rStyle w:val="CommentTok"/>
        </w:rPr>
        <w:t xml:space="preserve"># Funções de melhor resposta no espaço (q1, q2)</w:t>
      </w:r>
      <w:r>
        <w:br/>
      </w:r>
      <w:r>
        <w:rPr>
          <w:rStyle w:val="NormalTok"/>
        </w:rPr>
        <w:t xml:space="preserve">q_range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FunctionTok"/>
        </w:rPr>
        <w:t xml:space="preserve">plot</w:t>
      </w:r>
      <w:r>
        <w:rPr>
          <w:rStyle w:val="NormalTok"/>
        </w:rPr>
        <w:t xml:space="preserve">(q_range, </w:t>
      </w:r>
      <w:r>
        <w:rPr>
          <w:rStyle w:val="FunctionTok"/>
        </w:rPr>
        <w:t xml:space="preserve">sapply</w:t>
      </w:r>
      <w:r>
        <w:rPr>
          <w:rStyle w:val="NormalTok"/>
        </w:rPr>
        <w:t xml:space="preserve">(q_range, br1),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"q2"</w:t>
      </w:r>
      <w:r>
        <w:rPr>
          <w:rStyle w:val="NormalTok"/>
        </w:rPr>
        <w:t xml:space="preserve">, </w:t>
      </w:r>
      <w:r>
        <w:rPr>
          <w:rStyle w:val="AttributeTok"/>
        </w:rPr>
        <w:t xml:space="preserve">ylab =</w:t>
      </w:r>
      <w:r>
        <w:rPr>
          <w:rStyle w:val="NormalTok"/>
        </w:rPr>
        <w:t xml:space="preserve"> </w:t>
      </w:r>
      <w:r>
        <w:rPr>
          <w:rStyle w:val="StringTok"/>
        </w:rPr>
        <w:t xml:space="preserve">"q1"</w:t>
      </w:r>
      <w:r>
        <w:rPr>
          <w:rStyle w:val="NormalTok"/>
        </w:rPr>
        <w:t xml:space="preserve">, </w:t>
      </w:r>
      <w:r>
        <w:rPr>
          <w:rStyle w:val="AttributeTok"/>
        </w:rPr>
        <w:t xml:space="preserve">main =</w:t>
      </w:r>
      <w:r>
        <w:rPr>
          <w:rStyle w:val="NormalTok"/>
        </w:rPr>
        <w:t xml:space="preserve"> </w:t>
      </w:r>
      <w:r>
        <w:rPr>
          <w:rStyle w:val="StringTok"/>
        </w:rPr>
        <w:t xml:space="preserve">"Funções de Melhor Resposta"</w:t>
      </w:r>
      <w:r>
        <w:rPr>
          <w:rStyle w:val="NormalTok"/>
        </w:rPr>
        <w:t xml:space="preserve">)</w:t>
      </w:r>
      <w:r>
        <w:br/>
      </w:r>
      <w:r>
        <w:rPr>
          <w:rStyle w:val="FunctionTok"/>
        </w:rPr>
        <w:t xml:space="preserve">lines</w:t>
      </w:r>
      <w:r>
        <w:rPr>
          <w:rStyle w:val="NormalTok"/>
        </w:rPr>
        <w:t xml:space="preserve">(</w:t>
      </w:r>
      <w:r>
        <w:rPr>
          <w:rStyle w:val="FunctionTok"/>
        </w:rPr>
        <w:t xml:space="preserve">sapply</w:t>
      </w:r>
      <w:r>
        <w:rPr>
          <w:rStyle w:val="NormalTok"/>
        </w:rPr>
        <w:t xml:space="preserve">(q_range, br2), q_range,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points</w:t>
      </w:r>
      <w:r>
        <w:rPr>
          <w:rStyle w:val="NormalTok"/>
        </w:rPr>
        <w:t xml:space="preserve">(q2_star, q1_star,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(q2_star </w:t>
      </w:r>
      <w:r>
        <w:rPr>
          <w:rStyle w:val="SpecialCharTok"/>
        </w:rPr>
        <w:t xml:space="preserve">+</w:t>
      </w:r>
      <w:r>
        <w:rPr>
          <w:rStyle w:val="NormalTok"/>
        </w:rPr>
        <w:t xml:space="preserve"> </w:t>
      </w:r>
      <w:r>
        <w:rPr>
          <w:rStyle w:val="DecValTok"/>
        </w:rPr>
        <w:t xml:space="preserve">3</w:t>
      </w:r>
      <w:r>
        <w:rPr>
          <w:rStyle w:val="NormalTok"/>
        </w:rPr>
        <w:t xml:space="preserve">, q1_star, </w:t>
      </w:r>
      <w:r>
        <w:rPr>
          <w:rStyle w:val="FunctionTok"/>
        </w:rPr>
        <w:t xml:space="preserve">paste0</w:t>
      </w:r>
      <w:r>
        <w:rPr>
          <w:rStyle w:val="NormalTok"/>
        </w:rPr>
        <w:t xml:space="preserve">(</w:t>
      </w:r>
      <w:r>
        <w:rPr>
          <w:rStyle w:val="StringTok"/>
        </w:rPr>
        <w:t xml:space="preserve">"Nash ("</w:t>
      </w:r>
      <w:r>
        <w:rPr>
          <w:rStyle w:val="NormalTok"/>
        </w:rPr>
        <w:t xml:space="preserve">, </w:t>
      </w:r>
      <w:r>
        <w:rPr>
          <w:rStyle w:val="FunctionTok"/>
        </w:rPr>
        <w:t xml:space="preserve">round</w:t>
      </w:r>
      <w:r>
        <w:rPr>
          <w:rStyle w:val="NormalTok"/>
        </w:rPr>
        <w:t xml:space="preserve">(q1_star,</w:t>
      </w:r>
      <w:r>
        <w:rPr>
          <w:rStyle w:val="DecValTok"/>
        </w:rPr>
        <w:t xml:space="preserve">1</w:t>
      </w:r>
      <w:r>
        <w:rPr>
          <w:rStyle w:val="NormalTok"/>
        </w:rPr>
        <w:t xml:space="preserve">), </w:t>
      </w:r>
      <w:r>
        <w:rPr>
          <w:rStyle w:val="StringTok"/>
        </w:rPr>
        <w:t xml:space="preserve">", "</w:t>
      </w:r>
      <w:r>
        <w:rPr>
          <w:rStyle w:val="NormalTok"/>
        </w:rPr>
        <w:t xml:space="preserve">, </w:t>
      </w:r>
      <w:r>
        <w:rPr>
          <w:rStyle w:val="FunctionTok"/>
        </w:rPr>
        <w:t xml:space="preserve">round</w:t>
      </w:r>
      <w:r>
        <w:rPr>
          <w:rStyle w:val="NormalTok"/>
        </w:rPr>
        <w:t xml:space="preserve">(q2_star,</w:t>
      </w:r>
      <w:r>
        <w:rPr>
          <w:rStyle w:val="DecValTok"/>
        </w:rPr>
        <w:t xml:space="preserve">1</w:t>
      </w:r>
      <w:r>
        <w:rPr>
          <w:rStyle w:val="NormalTok"/>
        </w:rPr>
        <w:t xml:space="preserve">), </w:t>
      </w:r>
      <w:r>
        <w:rPr>
          <w:rStyle w:val="StringTok"/>
        </w:rPr>
        <w:t xml:space="preserve">")"</w:t>
      </w:r>
      <w:r>
        <w:rPr>
          <w:rStyle w:val="NormalTok"/>
        </w:rPr>
        <w:t xml:space="preserve">))</w:t>
      </w:r>
      <w:r>
        <w:br/>
      </w:r>
      <w:r>
        <w:rPr>
          <w:rStyle w:val="ControlFlowTok"/>
        </w:rPr>
        <w:t xml:space="preserve">for</w:t>
      </w:r>
      <w:r>
        <w:rPr>
          <w:rStyle w:val="NormalTok"/>
        </w:rPr>
        <w:t xml:space="preserve">(t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(T</w:t>
      </w:r>
      <w:r>
        <w:rPr>
          <w:rStyle w:val="DecValTok"/>
        </w:rPr>
        <w:t xml:space="preserve">-1</w:t>
      </w:r>
      <w:r>
        <w:rPr>
          <w:rStyle w:val="NormalTok"/>
        </w:rPr>
        <w:t xml:space="preserve">)) </w:t>
      </w:r>
      <w:r>
        <w:rPr>
          <w:rStyle w:val="FunctionTok"/>
        </w:rPr>
        <w:t xml:space="preserve">arrows</w:t>
      </w:r>
      <w:r>
        <w:rPr>
          <w:rStyle w:val="NormalTok"/>
        </w:rPr>
        <w:t xml:space="preserve">(q2[t], q1[t], q2[t</w:t>
      </w:r>
      <w:r>
        <w:rPr>
          <w:rStyle w:val="SpecialCharTok"/>
        </w:rPr>
        <w:t xml:space="preserve">+</w:t>
      </w:r>
      <w:r>
        <w:rPr>
          <w:rStyle w:val="DecValTok"/>
        </w:rPr>
        <w:t xml:space="preserve">1</w:t>
      </w:r>
      <w:r>
        <w:rPr>
          <w:rStyle w:val="NormalTok"/>
        </w:rPr>
        <w:t xml:space="preserve">], q1[t</w:t>
      </w:r>
      <w:r>
        <w:rPr>
          <w:rStyle w:val="SpecialCharTok"/>
        </w:rPr>
        <w:t xml:space="preserve">+</w:t>
      </w:r>
      <w:r>
        <w:rPr>
          <w:rStyle w:val="DecValTok"/>
        </w:rPr>
        <w:t xml:space="preserve">1</w:t>
      </w:r>
      <w:r>
        <w:rPr>
          <w:rStyle w:val="NormalTok"/>
        </w:rPr>
        <w:t xml:space="preserve">], </w:t>
      </w:r>
      <w:r>
        <w:rPr>
          <w:rStyle w:val="AttributeTok"/>
        </w:rPr>
        <w:t xml:space="preserve">length =</w:t>
      </w:r>
      <w:r>
        <w:rPr>
          <w:rStyle w:val="NormalTok"/>
        </w:rPr>
        <w:t xml:space="preserve"> </w:t>
      </w:r>
      <w:r>
        <w:rPr>
          <w:rStyle w:val="FloatTok"/>
        </w:rPr>
        <w:t xml:space="preserve">0.08</w:t>
      </w:r>
      <w:r>
        <w:rPr>
          <w:rStyle w:val="NormalTok"/>
        </w:rPr>
        <w:t xml:space="preserve">, </w:t>
      </w:r>
      <w:r>
        <w:rPr>
          <w:rStyle w:val="AttributeTok"/>
        </w:rPr>
        <w:t xml:space="preserve">col =</w:t>
      </w:r>
      <w:r>
        <w:rPr>
          <w:rStyle w:val="NormalTok"/>
        </w:rPr>
        <w:t xml:space="preserve"> </w:t>
      </w:r>
      <w:r>
        <w:rPr>
          <w:rStyle w:val="StringTok"/>
        </w:rPr>
        <w:t xml:space="preserve">"gray40"</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FunctionTok"/>
        </w:rPr>
        <w:t xml:space="preserve">c</w:t>
      </w:r>
      <w:r>
        <w:rPr>
          <w:rStyle w:val="NormalTok"/>
        </w:rPr>
        <w:t xml:space="preserve">(</w:t>
      </w:r>
      <w:r>
        <w:rPr>
          <w:rStyle w:val="StringTok"/>
        </w:rPr>
        <w:t xml:space="preserve">"BR Firma 1"</w:t>
      </w:r>
      <w:r>
        <w:rPr>
          <w:rStyle w:val="NormalTok"/>
        </w:rPr>
        <w:t xml:space="preserve">, </w:t>
      </w:r>
      <w:r>
        <w:rPr>
          <w:rStyle w:val="StringTok"/>
        </w:rPr>
        <w:t xml:space="preserve">"BR Firma 2"</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BlockText"/>
      </w:pPr>
      <w:r>
        <w:rPr>
          <w:b/>
          <w:bCs/>
        </w:rPr>
        <w:t xml:space="preserve">Experimente:</w:t>
      </w:r>
      <w:r>
        <w:t xml:space="preserve"> </w:t>
      </w:r>
      <w:r>
        <w:t xml:space="preserve">Altere os custos marginais</w:t>
      </w:r>
      <w:r>
        <w:t xml:space="preserve"> </w:t>
      </w:r>
      <w:r>
        <w:rPr>
          <w:rStyle w:val="VerbatimChar"/>
        </w:rPr>
        <w:t xml:space="preserve">c1</w:t>
      </w:r>
      <w:r>
        <w:t xml:space="preserve"> </w:t>
      </w:r>
      <w:r>
        <w:t xml:space="preserve">e</w:t>
      </w:r>
      <w:r>
        <w:t xml:space="preserve"> </w:t>
      </w:r>
      <w:r>
        <w:rPr>
          <w:rStyle w:val="VerbatimChar"/>
        </w:rPr>
        <w:t xml:space="preserve">c2</w:t>
      </w:r>
      <w:r>
        <w:t xml:space="preserve">. Quando as firmas são simétricas (</w:t>
      </w:r>
      <m:oMath>
        <m:sSub>
          <m:e>
            <m:r>
              <m:t>c</m:t>
            </m:r>
          </m:e>
          <m:sub>
            <m:r>
              <m:t>1</m:t>
            </m:r>
          </m:sub>
        </m:sSub>
        <m:r>
          <m:rPr>
            <m:sty m:val="p"/>
          </m:rPr>
          <m:t>=</m:t>
        </m:r>
        <m:sSub>
          <m:e>
            <m:r>
              <m:t>c</m:t>
            </m:r>
          </m:e>
          <m:sub>
            <m:r>
              <m:t>2</m:t>
            </m:r>
          </m:sub>
        </m:sSub>
      </m:oMath>
      <w:r>
        <w:t xml:space="preserve">), o equilíbrio é simétrico. Quando uma firma tem custo muito maior, ela pode ser expulsa do mercado (</w:t>
      </w:r>
      <m:oMath>
        <m:sSubSup>
          <m:e>
            <m:r>
              <m:t>q</m:t>
            </m:r>
          </m:e>
          <m:sub>
            <m:r>
              <m:t>i</m:t>
            </m:r>
          </m:sub>
          <m:sup>
            <m:r>
              <m:rPr>
                <m:sty m:val="p"/>
              </m:rPr>
              <m:t>*</m:t>
            </m:r>
          </m:sup>
        </m:sSubSup>
        <m:r>
          <m:rPr>
            <m:sty m:val="p"/>
          </m:rPr>
          <m:t>=</m:t>
        </m:r>
        <m:r>
          <m:t>0</m:t>
        </m:r>
      </m:oMath>
      <w:r>
        <w:t xml:space="preserve">). Teste com</w:t>
      </w:r>
      <w:r>
        <w:t xml:space="preserve"> </w:t>
      </w:r>
      <m:oMath>
        <m:sSub>
          <m:e>
            <m:r>
              <m:t>c</m:t>
            </m:r>
          </m:e>
          <m:sub>
            <m:r>
              <m:t>2</m:t>
            </m:r>
          </m:sub>
        </m:sSub>
        <m:r>
          <m:rPr>
            <m:sty m:val="p"/>
          </m:rPr>
          <m:t>=</m:t>
        </m:r>
        <m:r>
          <m:t>80</m:t>
        </m:r>
      </m:oMath>
      <w:r>
        <w:t xml:space="preserve">.</w:t>
      </w:r>
    </w:p>
    <w:bookmarkEnd w:id="533"/>
    <w:bookmarkEnd w:id="534"/>
    <w:bookmarkEnd w:id="535"/>
    <w:bookmarkStart w:id="543" w:name="exercícios-8"/>
    <w:p>
      <w:pPr>
        <w:pStyle w:val="Heading2"/>
      </w:pPr>
      <w:r>
        <w:t xml:space="preserve">Exercícios</w:t>
      </w:r>
    </w:p>
    <w:bookmarkStart w:id="536" w:name="atividades-de-sala-de-aula-1"/>
    <w:p>
      <w:pPr>
        <w:pStyle w:val="Heading3"/>
      </w:pPr>
      <w:r>
        <w:t xml:space="preserve">🧪 Atividades de Sala de Aula</w:t>
      </w:r>
    </w:p>
    <w:p>
      <w:pPr>
        <w:pStyle w:val="BlockText"/>
      </w:pPr>
      <w:r>
        <w:rPr>
          <w:b/>
          <w:bCs/>
        </w:rPr>
        <w:t xml:space="preserve">[ATIVIDADE DE SALA] Atividade 9b.1 — Jogo do Ultimato com dinheiro real (20 min)</w:t>
      </w:r>
    </w:p>
    <w:p>
      <w:pPr>
        <w:pStyle w:val="BlockText"/>
      </w:pPr>
      <w:r>
        <w:rPr>
          <w:b/>
          <w:bCs/>
        </w:rPr>
        <w:t xml:space="preserve">Objetivo:</w:t>
      </w:r>
      <w:r>
        <w:t xml:space="preserve"> </w:t>
      </w:r>
      <w:r>
        <w:t xml:space="preserve">Confrontar a previsão teórica (proponente oferece quase nada, respondedor aceita) com o comportamento observado — e motivar a discussão sobre preferências sociais (Capítulo 8) e limites da racionalidade.</w:t>
      </w:r>
    </w:p>
    <w:p>
      <w:pPr>
        <w:pStyle w:val="BlockText"/>
      </w:pPr>
      <w:r>
        <w:rPr>
          <w:b/>
          <w:bCs/>
        </w:rPr>
        <w:t xml:space="preserve">Material:</w:t>
      </w:r>
      <w:r>
        <w:t xml:space="preserve"> </w:t>
      </w:r>
      <w:r>
        <w:t xml:space="preserve">Envelopes com R$ 10 em moedas de R$ 1 (ou fichas/pontos equivalentes); formulários de proposta e resposta.</w:t>
      </w:r>
    </w:p>
    <w:p>
      <w:pPr>
        <w:pStyle w:val="BlockText"/>
      </w:pPr>
      <w:r>
        <w:rPr>
          <w:b/>
          <w:bCs/>
        </w:rPr>
        <w:t xml:space="preserve">Protocolo:</w:t>
      </w:r>
    </w:p>
    <w:p>
      <w:pPr>
        <w:pStyle w:val="Compact"/>
        <w:numPr>
          <w:ilvl w:val="0"/>
          <w:numId w:val="1494"/>
        </w:numPr>
      </w:pPr>
      <w:r>
        <w:rPr>
          <w:b/>
          <w:bCs/>
        </w:rPr>
        <w:t xml:space="preserve">Formação de pares anônimos</w:t>
      </w:r>
      <w:r>
        <w:t xml:space="preserve"> </w:t>
      </w:r>
      <w:r>
        <w:t xml:space="preserve">(3 min): Divida a turma em proponentes e respondedores. Pares são formados anonimamente (proponente não sabe quem é seu respondedor e vice-versa). Use números aleatórios.</w:t>
      </w:r>
    </w:p>
    <w:p>
      <w:pPr>
        <w:pStyle w:val="Compact"/>
        <w:numPr>
          <w:ilvl w:val="0"/>
          <w:numId w:val="1494"/>
        </w:numPr>
      </w:pPr>
      <w:r>
        <w:rPr>
          <w:b/>
          <w:bCs/>
        </w:rPr>
        <w:t xml:space="preserve">Proposta</w:t>
      </w:r>
      <w:r>
        <w:t xml:space="preserve"> </w:t>
      </w:r>
      <w:r>
        <w:t xml:space="preserve">(3 min): Cada proponente decide como dividir R$ 10: escreve em papel fechado</w:t>
      </w:r>
      <w:r>
        <w:t xml:space="preserve"> </w:t>
      </w:r>
      <w:r>
        <w:t xml:space="preserve">“Ofereço R$ X ao respondedor, fico com R$ (10 - X)”</w:t>
      </w:r>
      <w:r>
        <w:t xml:space="preserve">.</w:t>
      </w:r>
    </w:p>
    <w:p>
      <w:pPr>
        <w:pStyle w:val="Compact"/>
        <w:numPr>
          <w:ilvl w:val="0"/>
          <w:numId w:val="1494"/>
        </w:numPr>
      </w:pPr>
      <w:r>
        <w:rPr>
          <w:b/>
          <w:bCs/>
        </w:rPr>
        <w:t xml:space="preserve">Resposta</w:t>
      </w:r>
      <w:r>
        <w:t xml:space="preserve"> </w:t>
      </w:r>
      <w:r>
        <w:t xml:space="preserve">(3 min): Cada respondedor recebe a oferta (sem saber quem fez) e decide: Aceitar (ambos recebem conforme a divisão) ou Rejeitar (ambos recebem R$ 0).</w:t>
      </w:r>
    </w:p>
    <w:p>
      <w:pPr>
        <w:pStyle w:val="Compact"/>
        <w:numPr>
          <w:ilvl w:val="0"/>
          <w:numId w:val="1494"/>
        </w:numPr>
      </w:pPr>
      <w:r>
        <w:rPr>
          <w:b/>
          <w:bCs/>
        </w:rPr>
        <w:t xml:space="preserve">Coleta de dados</w:t>
      </w:r>
      <w:r>
        <w:t xml:space="preserve"> </w:t>
      </w:r>
      <w:r>
        <w:t xml:space="preserve">(3 min): Registre todas as ofertas e respostas. Projete a distribuição.</w:t>
      </w:r>
    </w:p>
    <w:p>
      <w:pPr>
        <w:pStyle w:val="Compact"/>
        <w:numPr>
          <w:ilvl w:val="0"/>
          <w:numId w:val="1494"/>
        </w:numPr>
      </w:pPr>
      <w:r>
        <w:rPr>
          <w:b/>
          <w:bCs/>
        </w:rPr>
        <w:t xml:space="preserve">Debrief</w:t>
      </w:r>
      <w:r>
        <w:t xml:space="preserve"> </w:t>
      </w:r>
      <w:r>
        <w:t xml:space="preserve">(8 min):</w:t>
      </w:r>
    </w:p>
    <w:p>
      <w:pPr>
        <w:pStyle w:val="Compact"/>
        <w:numPr>
          <w:ilvl w:val="1"/>
          <w:numId w:val="1495"/>
        </w:numPr>
      </w:pPr>
      <w:r>
        <w:rPr>
          <w:b/>
          <w:bCs/>
        </w:rPr>
        <w:t xml:space="preserve">Previsão teórica</w:t>
      </w:r>
      <w:r>
        <w:t xml:space="preserve">: proponente oferece R$ 0 (ou R$ 1), respondedor aceita. Quantas ofertas foram ≤ R$ 2? Quantas foram rejeitadas?</w:t>
      </w:r>
    </w:p>
    <w:p>
      <w:pPr>
        <w:pStyle w:val="Compact"/>
        <w:numPr>
          <w:ilvl w:val="1"/>
          <w:numId w:val="1495"/>
        </w:numPr>
      </w:pPr>
      <w:r>
        <w:rPr>
          <w:b/>
          <w:bCs/>
        </w:rPr>
        <w:t xml:space="preserve">Resultado típico</w:t>
      </w:r>
      <w:r>
        <w:t xml:space="preserve">: ofertas modais entre R$ 4 e R$ 5; ofertas abaixo de R$ 2 frequentemente rejeitadas.</w:t>
      </w:r>
    </w:p>
    <w:p>
      <w:pPr>
        <w:pStyle w:val="Compact"/>
        <w:numPr>
          <w:ilvl w:val="1"/>
          <w:numId w:val="1495"/>
        </w:numPr>
      </w:pPr>
      <w:r>
        <w:rPr>
          <w:b/>
          <w:bCs/>
        </w:rPr>
        <w:t xml:space="preserve">Discussão</w:t>
      </w:r>
      <w:r>
        <w:t xml:space="preserve">:</w:t>
      </w:r>
      <w:r>
        <w:t xml:space="preserve"> </w:t>
      </w:r>
      <w:r>
        <w:t xml:space="preserve">“Por que respondedores rejeitam ofertas positivas (recusam dinheiro grátis)?”</w:t>
      </w:r>
      <w:r>
        <w:t xml:space="preserve"> </w:t>
      </w:r>
      <w:r>
        <w:t xml:space="preserve">→ Aversão à inequidade (Fehr-Schmidt, Cap. 8), punição altruísta, normas de fairness.</w:t>
      </w:r>
    </w:p>
    <w:p>
      <w:pPr>
        <w:pStyle w:val="Compact"/>
        <w:numPr>
          <w:ilvl w:val="1"/>
          <w:numId w:val="1495"/>
        </w:numPr>
      </w:pPr>
      <w:r>
        <w:t xml:space="preserve">“Se fossem dois bots racionais, qual seria o resultado?”</w:t>
      </w:r>
      <w:r>
        <w:t xml:space="preserve"> </w:t>
      </w:r>
      <w:r>
        <w:t xml:space="preserve">→ EPS por indução retroativa.</w:t>
      </w:r>
    </w:p>
    <w:p>
      <w:pPr>
        <w:pStyle w:val="Compact"/>
        <w:numPr>
          <w:ilvl w:val="1"/>
          <w:numId w:val="1495"/>
        </w:numPr>
      </w:pPr>
      <w:r>
        <w:t xml:space="preserve">“O que muda se o proponente sabe o nome do respondedor?”</w:t>
      </w:r>
      <w:r>
        <w:t xml:space="preserve"> </w:t>
      </w:r>
      <w:r>
        <w:t xml:space="preserve">→ Normas sociais, identidade, efeito do anonimato.</w:t>
      </w:r>
    </w:p>
    <w:p>
      <w:pPr>
        <w:pStyle w:val="BlockText"/>
      </w:pPr>
      <w:r>
        <w:rPr>
          <w:b/>
          <w:bCs/>
        </w:rPr>
        <w:t xml:space="preserve">Conexão com o conteúdo:</w:t>
      </w:r>
      <w:r>
        <w:t xml:space="preserve"> </w:t>
      </w:r>
      <w:r>
        <w:t xml:space="preserve">Jogo do ultimato (Seção 9b.3), EPS vs. comportamento observado, ponte com economia comportamental (Cap. 8). Referência: Güth, Schmittberger e Schwarze (1982),</w:t>
      </w:r>
      <w:r>
        <w:t xml:space="preserve"> </w:t>
      </w:r>
      <w:r>
        <w:t xml:space="preserve">“An Experimental Analysis of Ultimatum Bargaining”</w:t>
      </w:r>
      <w:r>
        <w:t xml:space="preserve">,</w:t>
      </w:r>
      <w:r>
        <w:t xml:space="preserve"> </w:t>
      </w:r>
      <w:r>
        <w:rPr>
          <w:i/>
          <w:iCs/>
        </w:rPr>
        <w:t xml:space="preserve">Journal of Economic Behavior &amp; Organization</w:t>
      </w:r>
      <w:r>
        <w:t xml:space="preserve">.</w:t>
      </w:r>
    </w:p>
    <w:p>
      <w:pPr>
        <w:pStyle w:val="BlockText"/>
      </w:pPr>
      <w:r>
        <w:rPr>
          <w:b/>
          <w:bCs/>
        </w:rPr>
        <w:t xml:space="preserve">[ATIVIDADE DE SALA] Atividade 9b.2 — Mercado de limões ao vivo (25 min)</w:t>
      </w:r>
    </w:p>
    <w:p>
      <w:pPr>
        <w:pStyle w:val="BlockText"/>
      </w:pPr>
      <w:r>
        <w:rPr>
          <w:b/>
          <w:bCs/>
        </w:rPr>
        <w:t xml:space="preserve">Objetivo:</w:t>
      </w:r>
      <w:r>
        <w:t xml:space="preserve"> </w:t>
      </w:r>
      <w:r>
        <w:t xml:space="preserve">Demonstrar visualmente o</w:t>
      </w:r>
      <w:r>
        <w:t xml:space="preserve"> </w:t>
      </w:r>
      <w:r>
        <w:rPr>
          <w:i/>
          <w:iCs/>
        </w:rPr>
        <w:t xml:space="preserve">market unraveling</w:t>
      </w:r>
      <w:r>
        <w:t xml:space="preserve"> </w:t>
      </w:r>
      <w:r>
        <w:t xml:space="preserve">de Akerlof — observar a seleção adversa destruindo o mercado em tempo real.</w:t>
      </w:r>
    </w:p>
    <w:p>
      <w:pPr>
        <w:pStyle w:val="BlockText"/>
      </w:pPr>
      <w:r>
        <w:rPr>
          <w:b/>
          <w:bCs/>
        </w:rPr>
        <w:t xml:space="preserve">Material:</w:t>
      </w:r>
      <w:r>
        <w:t xml:space="preserve"> </w:t>
      </w:r>
      <w:r>
        <w:t xml:space="preserve">Cartas de baralho (Ás a 10 = qualidades 1 a 10); fichas de</w:t>
      </w:r>
      <w:r>
        <w:t xml:space="preserve"> </w:t>
      </w:r>
      <w:r>
        <w:t xml:space="preserve">“dinheiro”</w:t>
      </w:r>
      <w:r>
        <w:t xml:space="preserve">; quadro para registrar transações.</w:t>
      </w:r>
    </w:p>
    <w:p>
      <w:pPr>
        <w:pStyle w:val="BlockText"/>
      </w:pPr>
      <w:r>
        <w:rPr>
          <w:b/>
          <w:bCs/>
        </w:rPr>
        <w:t xml:space="preserve">Protocolo:</w:t>
      </w:r>
    </w:p>
    <w:p>
      <w:pPr>
        <w:pStyle w:val="Compact"/>
        <w:numPr>
          <w:ilvl w:val="0"/>
          <w:numId w:val="1496"/>
        </w:numPr>
      </w:pPr>
      <w:r>
        <w:rPr>
          <w:b/>
          <w:bCs/>
        </w:rPr>
        <w:t xml:space="preserve">Setup</w:t>
      </w:r>
      <w:r>
        <w:t xml:space="preserve"> </w:t>
      </w:r>
      <w:r>
        <w:t xml:space="preserve">(5 min): Metade da turma são vendedores, metade compradores. Cada vendedor sorteia uma carta (qualidade</w:t>
      </w:r>
      <w:r>
        <w:t xml:space="preserve"> </w:t>
      </w:r>
      <m:oMath>
        <m:r>
          <m:t>q</m:t>
        </m:r>
      </m:oMath>
      <w:r>
        <w:t xml:space="preserve">, secreta). Valor do carro para o vendedor =</w:t>
      </w:r>
      <w:r>
        <w:t xml:space="preserve"> </w:t>
      </w:r>
      <m:oMath>
        <m:r>
          <m:t>q</m:t>
        </m:r>
      </m:oMath>
      <w:r>
        <w:t xml:space="preserve">; valor para o comprador =</w:t>
      </w:r>
      <w:r>
        <w:t xml:space="preserve"> </w:t>
      </w:r>
      <m:oMath>
        <m:r>
          <m:t>1</m:t>
        </m:r>
        <m:r>
          <m:rPr>
            <m:sty m:val="p"/>
          </m:rPr>
          <m:t>,</m:t>
        </m:r>
        <m:r>
          <m:t>5</m:t>
        </m:r>
        <m:r>
          <m:t>q</m:t>
        </m:r>
      </m:oMath>
      <w:r>
        <w:t xml:space="preserve">. Há ganhos de troca em</w:t>
      </w:r>
      <w:r>
        <w:t xml:space="preserve"> </w:t>
      </w:r>
      <w:r>
        <w:rPr>
          <w:i/>
          <w:iCs/>
        </w:rPr>
        <w:t xml:space="preserve">toda</w:t>
      </w:r>
      <w:r>
        <w:t xml:space="preserve"> </w:t>
      </w:r>
      <w:r>
        <w:t xml:space="preserve">transação (comprador valoriza mais).</w:t>
      </w:r>
    </w:p>
    <w:p>
      <w:pPr>
        <w:pStyle w:val="Compact"/>
        <w:numPr>
          <w:ilvl w:val="0"/>
          <w:numId w:val="1496"/>
        </w:numPr>
      </w:pPr>
      <w:r>
        <w:rPr>
          <w:b/>
          <w:bCs/>
        </w:rPr>
        <w:t xml:space="preserve">Rodada 1 — Informação simétrica</w:t>
      </w:r>
      <w:r>
        <w:t xml:space="preserve"> </w:t>
      </w:r>
      <w:r>
        <w:t xml:space="preserve">(5 min): Vendedores mostram a carta. Compradores e vendedores negociam livremente. Registre preços e qualidades transacionadas. Resultado esperado: todas as transações ocorrem a preços entre</w:t>
      </w:r>
      <w:r>
        <w:t xml:space="preserve"> </w:t>
      </w:r>
      <m:oMath>
        <m:r>
          <m:t>q</m:t>
        </m:r>
      </m:oMath>
      <w:r>
        <w:t xml:space="preserve"> </w:t>
      </w:r>
      <w:r>
        <w:t xml:space="preserve">e</w:t>
      </w:r>
      <w:r>
        <w:t xml:space="preserve"> </w:t>
      </w:r>
      <m:oMath>
        <m:r>
          <m:t>1</m:t>
        </m:r>
        <m:r>
          <m:rPr>
            <m:sty m:val="p"/>
          </m:rPr>
          <m:t>,</m:t>
        </m:r>
        <m:r>
          <m:t>5</m:t>
        </m:r>
        <m:r>
          <m:t>q</m:t>
        </m:r>
      </m:oMath>
      <w:r>
        <w:t xml:space="preserve">.</w:t>
      </w:r>
    </w:p>
    <w:p>
      <w:pPr>
        <w:pStyle w:val="Compact"/>
        <w:numPr>
          <w:ilvl w:val="0"/>
          <w:numId w:val="1496"/>
        </w:numPr>
      </w:pPr>
      <w:r>
        <w:rPr>
          <w:b/>
          <w:bCs/>
        </w:rPr>
        <w:t xml:space="preserve">Rodada 2 — Informação assimétrica</w:t>
      </w:r>
      <w:r>
        <w:t xml:space="preserve"> </w:t>
      </w:r>
      <w:r>
        <w:t xml:space="preserve">(8 min): Vendedores</w:t>
      </w:r>
      <w:r>
        <w:t xml:space="preserve"> </w:t>
      </w:r>
      <w:r>
        <w:rPr>
          <w:i/>
          <w:iCs/>
        </w:rPr>
        <w:t xml:space="preserve">não</w:t>
      </w:r>
      <w:r>
        <w:t xml:space="preserve"> </w:t>
      </w:r>
      <w:r>
        <w:t xml:space="preserve">mostram a carta. O comprador sabe apenas a distribuição (uniforme de 1 a 10). Negociação livre. Registre o que acontece.</w:t>
      </w:r>
    </w:p>
    <w:p>
      <w:pPr>
        <w:pStyle w:val="Compact"/>
        <w:numPr>
          <w:ilvl w:val="0"/>
          <w:numId w:val="1496"/>
        </w:numPr>
      </w:pPr>
      <w:r>
        <w:rPr>
          <w:b/>
          <w:bCs/>
        </w:rPr>
        <w:t xml:space="preserve">Debrief</w:t>
      </w:r>
      <w:r>
        <w:t xml:space="preserve"> </w:t>
      </w:r>
      <w:r>
        <w:t xml:space="preserve">(7 min):</w:t>
      </w:r>
    </w:p>
    <w:p>
      <w:pPr>
        <w:pStyle w:val="Compact"/>
        <w:numPr>
          <w:ilvl w:val="1"/>
          <w:numId w:val="1497"/>
        </w:numPr>
      </w:pPr>
      <w:r>
        <w:t xml:space="preserve">Compare a quantidade de transações nas Rodadas 1 e 2. Na Rodada 2, carros de alta qualidade foram vendidos?</w:t>
      </w:r>
    </w:p>
    <w:p>
      <w:pPr>
        <w:pStyle w:val="Compact"/>
        <w:numPr>
          <w:ilvl w:val="1"/>
          <w:numId w:val="1497"/>
        </w:numPr>
      </w:pPr>
      <w:r>
        <w:t xml:space="preserve">“Quem saiu do mercado primeiro?”</w:t>
      </w:r>
      <w:r>
        <w:t xml:space="preserve"> </w:t>
      </w:r>
      <w:r>
        <w:t xml:space="preserve">→ Vendedores de carros bons (o preço médio era baixo demais).</w:t>
      </w:r>
    </w:p>
    <w:p>
      <w:pPr>
        <w:pStyle w:val="Compact"/>
        <w:numPr>
          <w:ilvl w:val="1"/>
          <w:numId w:val="1497"/>
        </w:numPr>
      </w:pPr>
      <w:r>
        <w:t xml:space="preserve">“Isso acontece no mundo real?”</w:t>
      </w:r>
      <w:r>
        <w:t xml:space="preserve"> </w:t>
      </w:r>
      <w:r>
        <w:t xml:space="preserve">→ Carros usados, planos de saúde individuais (Box Brasil ANS, Cap. 9d).</w:t>
      </w:r>
    </w:p>
    <w:p>
      <w:pPr>
        <w:pStyle w:val="Compact"/>
        <w:numPr>
          <w:ilvl w:val="1"/>
          <w:numId w:val="1497"/>
        </w:numPr>
      </w:pPr>
      <w:r>
        <w:t xml:space="preserve">“Que mecanismo poderia resolver?”</w:t>
      </w:r>
      <w:r>
        <w:t xml:space="preserve"> </w:t>
      </w:r>
      <w:r>
        <w:t xml:space="preserve">→ Garantias (sinalização), vistoria (certificação), obrigatoriedade (regulação).</w:t>
      </w:r>
    </w:p>
    <w:p>
      <w:pPr>
        <w:pStyle w:val="BlockText"/>
      </w:pPr>
      <w:r>
        <w:rPr>
          <w:b/>
          <w:bCs/>
        </w:rPr>
        <w:t xml:space="preserve">Conexão com o conteúdo:</w:t>
      </w:r>
      <w:r>
        <w:t xml:space="preserve"> </w:t>
      </w:r>
      <w:r>
        <w:t xml:space="preserve">Seleção adversa de Akerlof (Módulo 9d, Seção 9d.5),</w:t>
      </w:r>
      <w:r>
        <w:t xml:space="preserve"> </w:t>
      </w:r>
      <w:r>
        <w:rPr>
          <w:i/>
          <w:iCs/>
        </w:rPr>
        <w:t xml:space="preserve">market unraveling</w:t>
      </w:r>
      <w:r>
        <w:t xml:space="preserve">, mecanismos de mitigação. Inspirado em Holt (2007, Cap. 24) e Bergstrom e Miller (2000, Cap. 32).</w:t>
      </w:r>
    </w:p>
    <w:p>
      <w:r>
        <w:pict>
          <v:rect style="width:0;height:1.5pt" o:hralign="center" o:hrstd="t" o:hr="t"/>
        </w:pict>
      </w:r>
    </w:p>
    <w:bookmarkEnd w:id="536"/>
    <w:bookmarkStart w:id="537" w:name="revisão-rápida-8"/>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O Equilíbrio Perfeito em Subjogos (EPS) refina o equilíbrio de Nash ao:</w:t>
      </w:r>
    </w:p>
    <w:p>
      <w:pPr>
        <w:pStyle w:val="Compact"/>
        <w:numPr>
          <w:ilvl w:val="0"/>
          <w:numId w:val="1498"/>
        </w:numPr>
      </w:pPr>
    </w:p>
    <w:p>
      <w:pPr>
        <w:pStyle w:val="Compact"/>
        <w:numPr>
          <w:ilvl w:val="1"/>
          <w:numId w:val="1499"/>
        </w:numPr>
      </w:pPr>
      <w:r>
        <w:t xml:space="preserve">Exigir que todos os jogadores usem estratégias dominantes</w:t>
      </w:r>
    </w:p>
    <w:p>
      <w:pPr>
        <w:pStyle w:val="Compact"/>
        <w:numPr>
          <w:ilvl w:val="0"/>
          <w:numId w:val="1498"/>
        </w:numPr>
      </w:pPr>
    </w:p>
    <w:p>
      <w:pPr>
        <w:pStyle w:val="Compact"/>
        <w:numPr>
          <w:ilvl w:val="1"/>
          <w:numId w:val="1500"/>
        </w:numPr>
      </w:pPr>
      <w:r>
        <w:t xml:space="preserve">Eliminar equilíbrios sustentados por ameaças não críveis em subjogos</w:t>
      </w:r>
    </w:p>
    <w:p>
      <w:pPr>
        <w:pStyle w:val="Compact"/>
        <w:numPr>
          <w:ilvl w:val="0"/>
          <w:numId w:val="1498"/>
        </w:numPr>
      </w:pPr>
    </w:p>
    <w:p>
      <w:pPr>
        <w:pStyle w:val="Compact"/>
        <w:numPr>
          <w:ilvl w:val="1"/>
          <w:numId w:val="1501"/>
        </w:numPr>
      </w:pPr>
      <w:r>
        <w:t xml:space="preserve">Permitir que jogadores revisem suas estratégias a cada rodada</w:t>
      </w:r>
    </w:p>
    <w:p>
      <w:pPr>
        <w:pStyle w:val="Compact"/>
        <w:numPr>
          <w:ilvl w:val="0"/>
          <w:numId w:val="1498"/>
        </w:numPr>
      </w:pPr>
    </w:p>
    <w:p>
      <w:pPr>
        <w:pStyle w:val="Compact"/>
        <w:numPr>
          <w:ilvl w:val="1"/>
          <w:numId w:val="1502"/>
        </w:numPr>
      </w:pPr>
      <w:r>
        <w:t xml:space="preserve">Garantir que o resultado seja Pareto-ótimo</w:t>
      </w:r>
    </w:p>
    <w:p>
      <w:pPr>
        <w:pStyle w:val="BlockText"/>
      </w:pPr>
      <w:r>
        <w:t xml:space="preserve">??? success</w:t>
      </w:r>
      <w:r>
        <w:t xml:space="preserve"> </w:t>
      </w:r>
      <w:r>
        <w:t xml:space="preserve">“Resposta”</w:t>
      </w:r>
      <w:r>
        <w:t xml:space="preserve"> </w:t>
      </w:r>
      <w:r>
        <w:rPr>
          <w:b/>
          <w:bCs/>
        </w:rPr>
        <w:t xml:space="preserve">(b)</w:t>
      </w:r>
      <w:r>
        <w:t xml:space="preserve"> </w:t>
      </w:r>
      <w:r>
        <w:t xml:space="preserve">O EPS exige que a estratégia de cada jogador constitua um equilíbrio de Nash em todo subjogo do jogo, eliminando ameaças que o jogador não teria incentivo a cumprir se o momento chegasse. Todo EPS é EN, mas nem todo EN é EPS. A alternativa (d) é falsa — o EPS pode ser ineficiente.</w:t>
      </w:r>
    </w:p>
    <w:p>
      <w:pPr>
        <w:pStyle w:val="BlockText"/>
      </w:pPr>
      <w:r>
        <w:rPr>
          <w:b/>
          <w:bCs/>
        </w:rPr>
        <w:t xml:space="preserve">[QUESTAO] 2. A indução retroativa (backward induction) resolve jogos sequenciais começando:</w:t>
      </w:r>
    </w:p>
    <w:p>
      <w:pPr>
        <w:pStyle w:val="Compact"/>
        <w:numPr>
          <w:ilvl w:val="0"/>
          <w:numId w:val="1503"/>
        </w:numPr>
      </w:pPr>
    </w:p>
    <w:p>
      <w:pPr>
        <w:pStyle w:val="Compact"/>
        <w:numPr>
          <w:ilvl w:val="1"/>
          <w:numId w:val="1504"/>
        </w:numPr>
      </w:pPr>
      <w:r>
        <w:t xml:space="preserve">Pelo primeiro nó de decisão e avançando para frente</w:t>
      </w:r>
    </w:p>
    <w:p>
      <w:pPr>
        <w:pStyle w:val="Compact"/>
        <w:numPr>
          <w:ilvl w:val="0"/>
          <w:numId w:val="1503"/>
        </w:numPr>
      </w:pPr>
    </w:p>
    <w:p>
      <w:pPr>
        <w:pStyle w:val="Compact"/>
        <w:numPr>
          <w:ilvl w:val="1"/>
          <w:numId w:val="1505"/>
        </w:numPr>
      </w:pPr>
      <w:r>
        <w:t xml:space="preserve">Pelos nós terminais, determinando a melhor ação em cada nó de trás para frente</w:t>
      </w:r>
    </w:p>
    <w:p>
      <w:pPr>
        <w:pStyle w:val="Compact"/>
        <w:numPr>
          <w:ilvl w:val="0"/>
          <w:numId w:val="1503"/>
        </w:numPr>
      </w:pPr>
    </w:p>
    <w:p>
      <w:pPr>
        <w:pStyle w:val="Compact"/>
        <w:numPr>
          <w:ilvl w:val="1"/>
          <w:numId w:val="1506"/>
        </w:numPr>
      </w:pPr>
      <w:r>
        <w:t xml:space="preserve">Pelo jogador com mais estratégias disponíveis</w:t>
      </w:r>
    </w:p>
    <w:p>
      <w:pPr>
        <w:pStyle w:val="Compact"/>
        <w:numPr>
          <w:ilvl w:val="0"/>
          <w:numId w:val="1503"/>
        </w:numPr>
      </w:pPr>
    </w:p>
    <w:p>
      <w:pPr>
        <w:pStyle w:val="Compact"/>
        <w:numPr>
          <w:ilvl w:val="1"/>
          <w:numId w:val="1507"/>
        </w:numPr>
      </w:pPr>
      <w:r>
        <w:t xml:space="preserve">Pela eliminação aleatória de estratégias dominadas</w:t>
      </w:r>
    </w:p>
    <w:p>
      <w:pPr>
        <w:pStyle w:val="BlockText"/>
      </w:pPr>
      <w:r>
        <w:t xml:space="preserve">??? success</w:t>
      </w:r>
      <w:r>
        <w:t xml:space="preserve"> </w:t>
      </w:r>
      <w:r>
        <w:t xml:space="preserve">“Resposta”</w:t>
      </w:r>
      <w:r>
        <w:t xml:space="preserve"> </w:t>
      </w:r>
      <w:r>
        <w:rPr>
          <w:b/>
          <w:bCs/>
        </w:rPr>
        <w:t xml:space="preserve">(b)</w:t>
      </w:r>
      <w:r>
        <w:t xml:space="preserve"> </w:t>
      </w:r>
      <w:r>
        <w:t xml:space="preserve">A indução retroativa começa nos nós finais da árvore do jogo, determina a ação ótima do jogador que decide por último, substitui esse nó pelo payoff resultante e recua até o início. Isso garante credibilidade em cada estágio. A alternativa (a) descreve indução progressiva, que não elimina ameaças não críveis.</w:t>
      </w:r>
    </w:p>
    <w:p>
      <w:pPr>
        <w:pStyle w:val="BlockText"/>
      </w:pPr>
      <w:r>
        <w:rPr>
          <w:b/>
          <w:bCs/>
        </w:rPr>
        <w:t xml:space="preserve">[QUESTAO] 3. No Folk Theorem para jogos repetidos infinitamente, a cooperação pode ser sustentada em equilíbrio se:</w:t>
      </w:r>
    </w:p>
    <w:p>
      <w:pPr>
        <w:pStyle w:val="Compact"/>
        <w:numPr>
          <w:ilvl w:val="0"/>
          <w:numId w:val="1508"/>
        </w:numPr>
      </w:pPr>
    </w:p>
    <w:p>
      <w:pPr>
        <w:pStyle w:val="Compact"/>
        <w:numPr>
          <w:ilvl w:val="1"/>
          <w:numId w:val="1509"/>
        </w:numPr>
      </w:pPr>
      <w:r>
        <w:t xml:space="preserve">Os jogadores são altruístas e se importam com o bem-estar dos outros</w:t>
      </w:r>
    </w:p>
    <w:p>
      <w:pPr>
        <w:pStyle w:val="Compact"/>
        <w:numPr>
          <w:ilvl w:val="0"/>
          <w:numId w:val="1508"/>
        </w:numPr>
      </w:pPr>
    </w:p>
    <w:p>
      <w:pPr>
        <w:pStyle w:val="Compact"/>
        <w:numPr>
          <w:ilvl w:val="1"/>
          <w:numId w:val="1510"/>
        </w:numPr>
      </w:pPr>
      <w:r>
        <w:t xml:space="preserve">O fator de desconto é suficientemente alto (jogadores são pacientes), permitindo que punições futuras disciplinem desvios presentes</w:t>
      </w:r>
    </w:p>
    <w:p>
      <w:pPr>
        <w:pStyle w:val="Compact"/>
        <w:numPr>
          <w:ilvl w:val="0"/>
          <w:numId w:val="1508"/>
        </w:numPr>
      </w:pPr>
    </w:p>
    <w:p>
      <w:pPr>
        <w:pStyle w:val="Compact"/>
        <w:numPr>
          <w:ilvl w:val="1"/>
          <w:numId w:val="1511"/>
        </w:numPr>
      </w:pPr>
      <w:r>
        <w:t xml:space="preserve">O jogo é jogado um número finito e conhecido de vezes</w:t>
      </w:r>
    </w:p>
    <w:p>
      <w:pPr>
        <w:pStyle w:val="Compact"/>
        <w:numPr>
          <w:ilvl w:val="0"/>
          <w:numId w:val="1508"/>
        </w:numPr>
      </w:pPr>
    </w:p>
    <w:p>
      <w:pPr>
        <w:pStyle w:val="Compact"/>
        <w:numPr>
          <w:ilvl w:val="1"/>
          <w:numId w:val="1512"/>
        </w:numPr>
      </w:pPr>
      <w:r>
        <w:t xml:space="preserve">Existe um mecanismo externo de enforcement</w:t>
      </w:r>
    </w:p>
    <w:p>
      <w:pPr>
        <w:pStyle w:val="BlockText"/>
      </w:pPr>
      <w:r>
        <w:t xml:space="preserve">??? success</w:t>
      </w:r>
      <w:r>
        <w:t xml:space="preserve"> </w:t>
      </w:r>
      <w:r>
        <w:t xml:space="preserve">“Resposta”</w:t>
      </w:r>
      <w:r>
        <w:t xml:space="preserve"> </w:t>
      </w:r>
      <w:r>
        <w:rPr>
          <w:b/>
          <w:bCs/>
        </w:rPr>
        <w:t xml:space="preserve">(b)</w:t>
      </w:r>
      <w:r>
        <w:t xml:space="preserve"> </w:t>
      </w:r>
      <w:r>
        <w:t xml:space="preserve">O Folk Theorem mostra que, se os jogadores são suficientemente pacientes (</w:t>
      </w:r>
      <m:oMath>
        <m:r>
          <m:t>δ</m:t>
        </m:r>
      </m:oMath>
      <w:r>
        <w:t xml:space="preserve"> </w:t>
      </w:r>
      <w:r>
        <w:t xml:space="preserve">alto), qualquer payoff individualmente racional pode ser sustentado como equilíbrio do jogo repetido infinitamente, usando estratégias de punição (como trigger/grim). A alternativa (c) leva ao resultado oposto — pelo argumento de indução retroativa, a cooperação se desfaz; (a) não é necessário; (d) não é necessário quando a repetição fornece enforcement endógeno.</w:t>
      </w:r>
    </w:p>
    <w:p>
      <w:pPr>
        <w:pStyle w:val="BlockText"/>
      </w:pPr>
      <w:r>
        <w:rPr>
          <w:b/>
          <w:bCs/>
        </w:rPr>
        <w:t xml:space="preserve">[QUESTAO] 4. No modelo de barganha de Rubinstein com ofertas alternadas, o poder de barganha de um jogador aumenta quando:</w:t>
      </w:r>
    </w:p>
    <w:p>
      <w:pPr>
        <w:pStyle w:val="Compact"/>
        <w:numPr>
          <w:ilvl w:val="0"/>
          <w:numId w:val="1513"/>
        </w:numPr>
      </w:pPr>
    </w:p>
    <w:p>
      <w:pPr>
        <w:pStyle w:val="Compact"/>
        <w:numPr>
          <w:ilvl w:val="1"/>
          <w:numId w:val="1514"/>
        </w:numPr>
      </w:pPr>
      <w:r>
        <w:t xml:space="preserve">Seu fator de desconto diminui (fica mais impaciente)</w:t>
      </w:r>
    </w:p>
    <w:p>
      <w:pPr>
        <w:pStyle w:val="Compact"/>
        <w:numPr>
          <w:ilvl w:val="0"/>
          <w:numId w:val="1513"/>
        </w:numPr>
      </w:pPr>
    </w:p>
    <w:p>
      <w:pPr>
        <w:pStyle w:val="Compact"/>
        <w:numPr>
          <w:ilvl w:val="1"/>
          <w:numId w:val="1515"/>
        </w:numPr>
      </w:pPr>
      <w:r>
        <w:t xml:space="preserve">Seu fator de desconto aumenta (fica mais paciente) em relação ao do oponente</w:t>
      </w:r>
    </w:p>
    <w:p>
      <w:pPr>
        <w:pStyle w:val="Compact"/>
        <w:numPr>
          <w:ilvl w:val="0"/>
          <w:numId w:val="1513"/>
        </w:numPr>
      </w:pPr>
    </w:p>
    <w:p>
      <w:pPr>
        <w:pStyle w:val="Compact"/>
        <w:numPr>
          <w:ilvl w:val="1"/>
          <w:numId w:val="1516"/>
        </w:numPr>
      </w:pPr>
      <w:r>
        <w:t xml:space="preserve">O número total de rodadas aumenta</w:t>
      </w:r>
    </w:p>
    <w:p>
      <w:pPr>
        <w:pStyle w:val="Compact"/>
        <w:numPr>
          <w:ilvl w:val="0"/>
          <w:numId w:val="1513"/>
        </w:numPr>
      </w:pPr>
    </w:p>
    <w:p>
      <w:pPr>
        <w:pStyle w:val="Compact"/>
        <w:numPr>
          <w:ilvl w:val="1"/>
          <w:numId w:val="1517"/>
        </w:numPr>
      </w:pPr>
      <w:r>
        <w:t xml:space="preserve">Ambos os jogadores têm o mesmo fator de desconto</w:t>
      </w:r>
    </w:p>
    <w:p>
      <w:pPr>
        <w:pStyle w:val="BlockText"/>
      </w:pPr>
      <w:r>
        <w:t xml:space="preserve">??? success</w:t>
      </w:r>
      <w:r>
        <w:t xml:space="preserve"> </w:t>
      </w:r>
      <w:r>
        <w:t xml:space="preserve">“Resposta”</w:t>
      </w:r>
      <w:r>
        <w:t xml:space="preserve"> </w:t>
      </w:r>
      <w:r>
        <w:rPr>
          <w:b/>
          <w:bCs/>
        </w:rPr>
        <w:t xml:space="preserve">(b)</w:t>
      </w:r>
      <w:r>
        <w:t xml:space="preserve"> </w:t>
      </w:r>
      <w:r>
        <w:t xml:space="preserve">No equilíbrio de Rubinstein, o jogador mais paciente obtém uma fatia maior do excedente. Paciência (</w:t>
      </w:r>
      <m:oMath>
        <m:r>
          <m:t>δ</m:t>
        </m:r>
      </m:oMath>
      <w:r>
        <w:t xml:space="preserve"> </w:t>
      </w:r>
      <w:r>
        <w:t xml:space="preserve">alto) significa que o custo de esperar é menor, o que fortalece a posição de barganha. A alternativa (a) reduz o poder; (c) é irrelevante no modelo com horizonte infinito; (d) implica divisão simétrica, não aumento de poder.</w:t>
      </w:r>
    </w:p>
    <w:p>
      <w:pPr>
        <w:pStyle w:val="BlockText"/>
      </w:pPr>
      <w:r>
        <w:rPr>
          <w:b/>
          <w:bCs/>
        </w:rPr>
        <w:t xml:space="preserve">[QUESTAO] 5. Em um jogo finito repetido</w:t>
      </w:r>
      <w:r>
        <w:rPr>
          <w:b/>
          <w:bCs/>
        </w:rPr>
        <w:t xml:space="preserve"> </w:t>
      </w:r>
      <m:oMath>
        <m:r>
          <m:t>T</m:t>
        </m:r>
      </m:oMath>
      <w:r>
        <w:rPr>
          <w:b/>
          <w:bCs/>
        </w:rPr>
        <w:t xml:space="preserve"> </w:t>
      </w:r>
      <w:r>
        <w:rPr>
          <w:b/>
          <w:bCs/>
        </w:rPr>
        <w:t xml:space="preserve">vezes (com</w:t>
      </w:r>
      <w:r>
        <w:rPr>
          <w:b/>
          <w:bCs/>
        </w:rPr>
        <w:t xml:space="preserve"> </w:t>
      </w:r>
      <m:oMath>
        <m:r>
          <m:t>T</m:t>
        </m:r>
      </m:oMath>
      <w:r>
        <w:rPr>
          <w:b/>
          <w:bCs/>
        </w:rPr>
        <w:t xml:space="preserve"> </w:t>
      </w:r>
      <w:r>
        <w:rPr>
          <w:b/>
          <w:bCs/>
        </w:rPr>
        <w:t xml:space="preserve">conhecido), o argumento de</w:t>
      </w:r>
      <w:r>
        <w:rPr>
          <w:b/>
          <w:bCs/>
        </w:rPr>
        <w:t xml:space="preserve"> </w:t>
      </w:r>
      <w:r>
        <w:rPr>
          <w:b/>
          <w:bCs/>
        </w:rPr>
        <w:t xml:space="preserve">‘unraveling’</w:t>
      </w:r>
      <w:r>
        <w:rPr>
          <w:b/>
          <w:bCs/>
        </w:rPr>
        <w:t xml:space="preserve"> </w:t>
      </w:r>
      <w:r>
        <w:rPr>
          <w:b/>
          <w:bCs/>
        </w:rPr>
        <w:t xml:space="preserve">(desvendamento) implica que:</w:t>
      </w:r>
    </w:p>
    <w:p>
      <w:pPr>
        <w:pStyle w:val="Compact"/>
        <w:numPr>
          <w:ilvl w:val="0"/>
          <w:numId w:val="1518"/>
        </w:numPr>
      </w:pPr>
    </w:p>
    <w:p>
      <w:pPr>
        <w:pStyle w:val="Compact"/>
        <w:numPr>
          <w:ilvl w:val="1"/>
          <w:numId w:val="1519"/>
        </w:numPr>
      </w:pPr>
      <w:r>
        <w:t xml:space="preserve">A cooperação é sustentável em todas as rodadas, desde que</w:t>
      </w:r>
      <w:r>
        <w:t xml:space="preserve"> </w:t>
      </w:r>
      <m:oMath>
        <m:r>
          <m:t>T</m:t>
        </m:r>
      </m:oMath>
      <w:r>
        <w:t xml:space="preserve"> </w:t>
      </w:r>
      <w:r>
        <w:t xml:space="preserve">seja grande</w:t>
      </w:r>
    </w:p>
    <w:p>
      <w:pPr>
        <w:pStyle w:val="Compact"/>
        <w:numPr>
          <w:ilvl w:val="0"/>
          <w:numId w:val="1518"/>
        </w:numPr>
      </w:pPr>
    </w:p>
    <w:p>
      <w:pPr>
        <w:pStyle w:val="Compact"/>
        <w:numPr>
          <w:ilvl w:val="1"/>
          <w:numId w:val="1520"/>
        </w:numPr>
      </w:pPr>
      <w:r>
        <w:t xml:space="preserve">A cooperação se desfaz por indução retroativa: na última rodada não há incentivo a cooperar, logo na penúltima também não, e assim por diante</w:t>
      </w:r>
    </w:p>
    <w:p>
      <w:pPr>
        <w:pStyle w:val="Compact"/>
        <w:numPr>
          <w:ilvl w:val="0"/>
          <w:numId w:val="1518"/>
        </w:numPr>
      </w:pPr>
    </w:p>
    <w:p>
      <w:pPr>
        <w:pStyle w:val="Compact"/>
        <w:numPr>
          <w:ilvl w:val="1"/>
          <w:numId w:val="1521"/>
        </w:numPr>
      </w:pPr>
      <w:r>
        <w:t xml:space="preserve">Os jogadores cooperam nas primeiras rodadas e desviam apenas nas últimas</w:t>
      </w:r>
    </w:p>
    <w:p>
      <w:pPr>
        <w:pStyle w:val="Compact"/>
        <w:numPr>
          <w:ilvl w:val="0"/>
          <w:numId w:val="1518"/>
        </w:numPr>
      </w:pPr>
    </w:p>
    <w:p>
      <w:pPr>
        <w:pStyle w:val="Compact"/>
        <w:numPr>
          <w:ilvl w:val="1"/>
          <w:numId w:val="1522"/>
        </w:numPr>
      </w:pPr>
      <w:r>
        <w:t xml:space="preserve">O resultado depende exclusivamente do número de jogadores</w:t>
      </w:r>
    </w:p>
    <w:p>
      <w:pPr>
        <w:pStyle w:val="BlockText"/>
      </w:pPr>
      <w:r>
        <w:t xml:space="preserve">??? success</w:t>
      </w:r>
      <w:r>
        <w:t xml:space="preserve"> </w:t>
      </w:r>
      <w:r>
        <w:t xml:space="preserve">“Resposta”</w:t>
      </w:r>
      <w:r>
        <w:t xml:space="preserve"> </w:t>
      </w:r>
      <w:r>
        <w:rPr>
          <w:b/>
          <w:bCs/>
        </w:rPr>
        <w:t xml:space="preserve">(b)</w:t>
      </w:r>
      <w:r>
        <w:t xml:space="preserve"> </w:t>
      </w:r>
      <w:r>
        <w:t xml:space="preserve">Com</w:t>
      </w:r>
      <w:r>
        <w:t xml:space="preserve"> </w:t>
      </w:r>
      <m:oMath>
        <m:r>
          <m:t>T</m:t>
        </m:r>
      </m:oMath>
      <w:r>
        <w:t xml:space="preserve"> </w:t>
      </w:r>
      <w:r>
        <w:t xml:space="preserve">finito e conhecido, a indução retroativa parte da rodada</w:t>
      </w:r>
      <w:r>
        <w:t xml:space="preserve"> </w:t>
      </w:r>
      <m:oMath>
        <m:r>
          <m:t>T</m:t>
        </m:r>
      </m:oMath>
      <w:r>
        <w:t xml:space="preserve"> </w:t>
      </w:r>
      <w:r>
        <w:t xml:space="preserve">(onde não há futuro para punir, logo ninguém coopera), propaga para</w:t>
      </w:r>
      <w:r>
        <w:t xml:space="preserve"> </w:t>
      </w:r>
      <m:oMath>
        <m:r>
          <m:t>T</m:t>
        </m:r>
        <m:r>
          <m:rPr>
            <m:sty m:val="p"/>
          </m:rPr>
          <m:t>−</m:t>
        </m:r>
        <m:r>
          <m:t>1</m:t>
        </m:r>
      </m:oMath>
      <w:r>
        <w:t xml:space="preserve">, e assim por diante até a rodada 1. O único EPS é a repetição do EN do jogo estático em todas as rodadas. A alternativa (c) pode ocorrer com incerteza sobre</w:t>
      </w:r>
      <w:r>
        <w:t xml:space="preserve"> </w:t>
      </w:r>
      <m:oMath>
        <m:r>
          <m:t>T</m:t>
        </m:r>
      </m:oMath>
      <w:r>
        <w:t xml:space="preserve"> </w:t>
      </w:r>
      <w:r>
        <w:t xml:space="preserve">ou com tipos comportamentais, mas não no modelo padrão com</w:t>
      </w:r>
      <w:r>
        <w:t xml:space="preserve"> </w:t>
      </w:r>
      <m:oMath>
        <m:r>
          <m:t>T</m:t>
        </m:r>
      </m:oMath>
      <w:r>
        <w:t xml:space="preserve"> </w:t>
      </w:r>
      <w:r>
        <w:t xml:space="preserve">conhecido.</w:t>
      </w:r>
    </w:p>
    <w:p>
      <w:r>
        <w:pict>
          <v:rect style="width:0;height:1.5pt" o:hralign="center" o:hrstd="t" o:hr="t"/>
        </w:pict>
      </w:r>
    </w:p>
    <w:bookmarkEnd w:id="537"/>
    <w:bookmarkStart w:id="538" w:name="resumo-do-capítulo-8"/>
    <w:p>
      <w:pPr>
        <w:pStyle w:val="Heading3"/>
      </w:pPr>
      <w:r>
        <w:t xml:space="preserve">📋 Resumo do Capítulo</w:t>
      </w:r>
    </w:p>
    <w:p>
      <w:pPr>
        <w:pStyle w:val="Compact"/>
        <w:numPr>
          <w:ilvl w:val="0"/>
          <w:numId w:val="1523"/>
        </w:numPr>
      </w:pPr>
      <w:r>
        <w:t xml:space="preserve">Jogos dinâmicos com informação completa envolvem jogadores que agem em sequência, podendo observar as ações anteriores. O conceito de solução central é o</w:t>
      </w:r>
      <w:r>
        <w:t xml:space="preserve"> </w:t>
      </w:r>
      <w:r>
        <w:rPr>
          <w:b/>
          <w:bCs/>
        </w:rPr>
        <w:t xml:space="preserve">Equilíbrio Perfeito em Subjogos (EPS)</w:t>
      </w:r>
      <w:r>
        <w:t xml:space="preserve">, obtido por</w:t>
      </w:r>
      <w:r>
        <w:t xml:space="preserve"> </w:t>
      </w:r>
      <w:r>
        <w:rPr>
          <w:b/>
          <w:bCs/>
        </w:rPr>
        <w:t xml:space="preserve">indução retroativa</w:t>
      </w:r>
      <w:r>
        <w:t xml:space="preserve">.</w:t>
      </w:r>
    </w:p>
    <w:p>
      <w:pPr>
        <w:pStyle w:val="Compact"/>
        <w:numPr>
          <w:ilvl w:val="0"/>
          <w:numId w:val="1523"/>
        </w:numPr>
      </w:pPr>
      <w:r>
        <w:t xml:space="preserve">O EPS refina o equilíbrio de Nash ao eliminar equilíbrios sustentados por</w:t>
      </w:r>
      <w:r>
        <w:t xml:space="preserve"> </w:t>
      </w:r>
      <w:r>
        <w:rPr>
          <w:b/>
          <w:bCs/>
        </w:rPr>
        <w:t xml:space="preserve">ameaças não críveis</w:t>
      </w:r>
      <w:r>
        <w:t xml:space="preserve"> </w:t>
      </w:r>
      <w:r>
        <w:t xml:space="preserve">— ações que o jogador não teria incentivo para executar se o momento chegasse. Todo EPS é NE, mas a recíproca é falsa.</w:t>
      </w:r>
    </w:p>
    <w:p>
      <w:pPr>
        <w:pStyle w:val="Compact"/>
        <w:numPr>
          <w:ilvl w:val="0"/>
          <w:numId w:val="1523"/>
        </w:numPr>
      </w:pPr>
      <w:r>
        <w:t xml:space="preserve">Em</w:t>
      </w:r>
      <w:r>
        <w:t xml:space="preserve"> </w:t>
      </w:r>
      <w:r>
        <w:rPr>
          <w:b/>
          <w:bCs/>
        </w:rPr>
        <w:t xml:space="preserve">jogos finitamente repetidos</w:t>
      </w:r>
      <w:r>
        <w:t xml:space="preserve"> </w:t>
      </w:r>
      <w:r>
        <w:t xml:space="preserve">com equilíbrio de estágio único, a indução retroativa implica repetição do equilíbrio de estágio em todos os períodos (</w:t>
      </w:r>
      <w:r>
        <w:rPr>
          <w:i/>
          <w:iCs/>
        </w:rPr>
        <w:t xml:space="preserve">unraveling</w:t>
      </w:r>
      <w:r>
        <w:t xml:space="preserve">).</w:t>
      </w:r>
    </w:p>
    <w:p>
      <w:pPr>
        <w:pStyle w:val="Compact"/>
        <w:numPr>
          <w:ilvl w:val="0"/>
          <w:numId w:val="1523"/>
        </w:numPr>
      </w:pPr>
      <w:r>
        <w:t xml:space="preserve">Em</w:t>
      </w:r>
      <w:r>
        <w:t xml:space="preserve"> </w:t>
      </w:r>
      <w:r>
        <w:rPr>
          <w:b/>
          <w:bCs/>
        </w:rPr>
        <w:t xml:space="preserve">jogos repetidos infinitamente</w:t>
      </w:r>
      <w:r>
        <w:t xml:space="preserve">, a cooperação pode ser sustentada em equilíbrio via estratégias de punição (grim trigger,</w:t>
      </w:r>
      <w:r>
        <w:t xml:space="preserve"> </w:t>
      </w:r>
      <w:r>
        <w:rPr>
          <w:i/>
          <w:iCs/>
        </w:rPr>
        <w:t xml:space="preserve">tit-for-tat</w:t>
      </w:r>
      <w:r>
        <w:t xml:space="preserve">), desde que os jogadores sejam suficientemente pacientes (</w:t>
      </w:r>
      <m:oMath>
        <m:r>
          <m:t>δ</m:t>
        </m:r>
        <m:r>
          <m:rPr>
            <m:sty m:val="p"/>
          </m:rPr>
          <m:t>≥</m:t>
        </m:r>
        <m:sSup>
          <m:e>
            <m:r>
              <m:t>δ</m:t>
            </m:r>
          </m:e>
          <m:sup>
            <m:r>
              <m:rPr>
                <m:sty m:val="p"/>
              </m:rPr>
              <m:t>*</m:t>
            </m:r>
          </m:sup>
        </m:sSup>
      </m:oMath>
      <w:r>
        <w:t xml:space="preserve">). A</w:t>
      </w:r>
      <w:r>
        <w:t xml:space="preserve"> </w:t>
      </w:r>
      <w:r>
        <w:t xml:space="preserve">“sombra do futuro”</w:t>
      </w:r>
      <w:r>
        <w:t xml:space="preserve"> </w:t>
      </w:r>
      <w:r>
        <w:t xml:space="preserve">é o mecanismo disciplinador.</w:t>
      </w:r>
    </w:p>
    <w:p>
      <w:pPr>
        <w:pStyle w:val="Compact"/>
        <w:numPr>
          <w:ilvl w:val="0"/>
          <w:numId w:val="1523"/>
        </w:numPr>
      </w:pPr>
      <w:r>
        <w:t xml:space="preserve">O</w:t>
      </w:r>
      <w:r>
        <w:t xml:space="preserve"> </w:t>
      </w:r>
      <w:r>
        <w:rPr>
          <w:b/>
          <w:bCs/>
        </w:rPr>
        <w:t xml:space="preserve">Folk Theorem</w:t>
      </w:r>
      <w:r>
        <w:t xml:space="preserve"> </w:t>
      </w:r>
      <w:r>
        <w:t xml:space="preserve">mostra que, com</w:t>
      </w:r>
      <w:r>
        <w:t xml:space="preserve"> </w:t>
      </w:r>
      <m:oMath>
        <m:r>
          <m:t>δ</m:t>
        </m:r>
      </m:oMath>
      <w:r>
        <w:t xml:space="preserve"> </w:t>
      </w:r>
      <w:r>
        <w:t xml:space="preserve">suficientemente alto, qualquer payoff individualmente racional e factível pode ser sustentado como equilíbrio — gerando multiplicidade de equilíbrios e limitando o poder preditivo.</w:t>
      </w:r>
    </w:p>
    <w:p>
      <w:pPr>
        <w:pStyle w:val="Compact"/>
        <w:numPr>
          <w:ilvl w:val="0"/>
          <w:numId w:val="1523"/>
        </w:numPr>
      </w:pPr>
      <w:r>
        <w:t xml:space="preserve">Na</w:t>
      </w:r>
      <w:r>
        <w:t xml:space="preserve"> </w:t>
      </w:r>
      <w:r>
        <w:rPr>
          <w:b/>
          <w:bCs/>
        </w:rPr>
        <w:t xml:space="preserve">barganha de Rubinstein</w:t>
      </w:r>
      <w:r>
        <w:t xml:space="preserve"> </w:t>
      </w:r>
      <w:r>
        <w:t xml:space="preserve">(ofertas alternadas), o único EPS gera uma divisão determinada pelos fatores de desconto: o jogador mais paciente obtém a maior fatia.</w:t>
      </w:r>
    </w:p>
    <w:p>
      <w:pPr>
        <w:pStyle w:val="Compact"/>
        <w:numPr>
          <w:ilvl w:val="0"/>
          <w:numId w:val="1523"/>
        </w:numPr>
      </w:pPr>
      <w:r>
        <w:t xml:space="preserve">O</w:t>
      </w:r>
      <w:r>
        <w:t xml:space="preserve"> </w:t>
      </w:r>
      <w:r>
        <w:rPr>
          <w:b/>
          <w:bCs/>
        </w:rPr>
        <w:t xml:space="preserve">comprometimento</w:t>
      </w:r>
      <w:r>
        <w:t xml:space="preserve"> </w:t>
      </w:r>
      <w:r>
        <w:t xml:space="preserve">— investimento irreversível, contratos vinculantes ou reputação — é o mecanismo que torna ameaças críveis e confere vantagem estratégica. Dispositivos de comprometimento restringem as próprias opções do agente para alterar as expectativas dos demais — um princípio que se estende à escolha intertemporal (Capítulo 18).</w:t>
      </w:r>
    </w:p>
    <w:p>
      <w:pPr>
        <w:pStyle w:val="Compact"/>
        <w:numPr>
          <w:ilvl w:val="0"/>
          <w:numId w:val="1523"/>
        </w:numPr>
      </w:pPr>
      <w:r>
        <w:t xml:space="preserve">A exigência de</w:t>
      </w:r>
      <w:r>
        <w:t xml:space="preserve"> </w:t>
      </w:r>
      <w:r>
        <w:rPr>
          <w:b/>
          <w:bCs/>
        </w:rPr>
        <w:t xml:space="preserve">prova de renegociação</w:t>
      </w:r>
      <w:r>
        <w:t xml:space="preserve"> </w:t>
      </w:r>
      <w:r>
        <w:t xml:space="preserve">refina os equilíbrios do Folk Theorem: estratégias de punição só são críveis se os jogadores não teriam incentivo para renegociar e retornar à cooperação durante a fase de punição.</w:t>
      </w:r>
    </w:p>
    <w:p>
      <w:pPr>
        <w:pStyle w:val="Compact"/>
        <w:numPr>
          <w:ilvl w:val="0"/>
          <w:numId w:val="1523"/>
        </w:numPr>
      </w:pPr>
      <w:r>
        <w:t xml:space="preserve">As</w:t>
      </w:r>
      <w:r>
        <w:t xml:space="preserve"> </w:t>
      </w:r>
      <w:r>
        <w:rPr>
          <w:b/>
          <w:bCs/>
        </w:rPr>
        <w:t xml:space="preserve">opções externas</w:t>
      </w:r>
      <w:r>
        <w:t xml:space="preserve"> </w:t>
      </w:r>
      <w:r>
        <w:t xml:space="preserve">dos negociadores afetam o resultado da barganha quando são suficientemente atrativas para serem vinculantes — alterando o ponto de referência do acordo.</w:t>
      </w:r>
    </w:p>
    <w:bookmarkEnd w:id="538"/>
    <w:bookmarkStart w:id="539" w:name="conceitos-chave-8"/>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Indução retroativa</w:t>
            </w:r>
          </w:p>
        </w:tc>
        <w:tc>
          <w:tcPr/>
          <w:p>
            <w:pPr>
              <w:pStyle w:val="Compact"/>
            </w:pPr>
            <w:r>
              <w:t xml:space="preserve">Método de solução que resolve o jogo</w:t>
            </w:r>
            <w:r>
              <w:t xml:space="preserve"> </w:t>
            </w:r>
            <w:r>
              <w:t xml:space="preserve">“de trás para frente”</w:t>
            </w:r>
            <w:r>
              <w:t xml:space="preserve">, determinando ações ótimas a partir dos últimos nós de decisão.</w:t>
            </w:r>
          </w:p>
        </w:tc>
      </w:tr>
      <w:tr>
        <w:tc>
          <w:tcPr/>
          <w:p>
            <w:pPr>
              <w:pStyle w:val="Compact"/>
            </w:pPr>
            <w:r>
              <w:t xml:space="preserve">Equilíbrio Perfeito em Subjogos (EPS)</w:t>
            </w:r>
          </w:p>
        </w:tc>
        <w:tc>
          <w:tcPr/>
          <w:p>
            <w:pPr>
              <w:pStyle w:val="Compact"/>
            </w:pPr>
            <w:r>
              <w:t xml:space="preserve">Perfil de estratégias que constitui um equilíbrio de Nash em todo subjogo do jogo na forma extensiva.</w:t>
            </w:r>
          </w:p>
        </w:tc>
      </w:tr>
      <w:tr>
        <w:tc>
          <w:tcPr/>
          <w:p>
            <w:pPr>
              <w:pStyle w:val="Compact"/>
            </w:pPr>
            <w:r>
              <w:t xml:space="preserve">Ameaça não crível</w:t>
            </w:r>
          </w:p>
        </w:tc>
        <w:tc>
          <w:tcPr/>
          <w:p>
            <w:pPr>
              <w:pStyle w:val="Compact"/>
            </w:pPr>
            <w:r>
              <w:t xml:space="preserve">Ação que um jogador ameaça executar mas que não seria ótima no momento da decisão; eliminada pelo EPS.</w:t>
            </w:r>
          </w:p>
        </w:tc>
      </w:tr>
      <w:tr>
        <w:tc>
          <w:tcPr/>
          <w:p>
            <w:pPr>
              <w:pStyle w:val="Compact"/>
            </w:pPr>
            <w:r>
              <w:t xml:space="preserve">Comprometimento</w:t>
            </w:r>
          </w:p>
        </w:tc>
        <w:tc>
          <w:tcPr/>
          <w:p>
            <w:pPr>
              <w:pStyle w:val="Compact"/>
            </w:pPr>
            <w:r>
              <w:t xml:space="preserve">Ação irreversível que altera os payoffs futuros, tornando uma ameaça ou promessa crível.</w:t>
            </w:r>
          </w:p>
        </w:tc>
      </w:tr>
      <w:tr>
        <w:tc>
          <w:tcPr/>
          <w:p>
            <w:pPr>
              <w:pStyle w:val="Compact"/>
            </w:pPr>
            <w:r>
              <w:t xml:space="preserve">Estratégia de gatilho (Grim Trigger)</w:t>
            </w:r>
          </w:p>
        </w:tc>
        <w:tc>
          <w:tcPr/>
          <w:p>
            <w:pPr>
              <w:pStyle w:val="Compact"/>
            </w:pPr>
            <w:r>
              <w:t xml:space="preserve">Coopera enquanto todos cooperam; se alguém desvia, pune para sempre jogando a estratégia não cooperativa.</w:t>
            </w:r>
          </w:p>
        </w:tc>
      </w:tr>
      <w:tr>
        <w:tc>
          <w:tcPr/>
          <w:p>
            <w:pPr>
              <w:pStyle w:val="Compact"/>
            </w:pPr>
            <w:r>
              <w:t xml:space="preserve">Tit-for-Tat</w:t>
            </w:r>
          </w:p>
        </w:tc>
        <w:tc>
          <w:tcPr/>
          <w:p>
            <w:pPr>
              <w:pStyle w:val="Compact"/>
            </w:pPr>
            <w:r>
              <w:t xml:space="preserve">Coopera no primeiro período; depois copia a ação do oponente no período anterior.</w:t>
            </w:r>
          </w:p>
        </w:tc>
      </w:tr>
      <w:tr>
        <w:tc>
          <w:tcPr/>
          <w:p>
            <w:pPr>
              <w:pStyle w:val="Compact"/>
            </w:pPr>
            <w:r>
              <w:t xml:space="preserve">Folk Theorem</w:t>
            </w:r>
          </w:p>
        </w:tc>
        <w:tc>
          <w:tcPr/>
          <w:p>
            <w:pPr>
              <w:pStyle w:val="Compact"/>
            </w:pPr>
            <w:r>
              <w:t xml:space="preserve">Resultado que afirma que qualquer payoff factível e individualmente racional pode ser sustentado em equilíbrio de jogo repetido infinitamente com</w:t>
            </w:r>
            <w:r>
              <w:t xml:space="preserve"> </w:t>
            </w:r>
            <m:oMath>
              <m:r>
                <m:t>δ</m:t>
              </m:r>
            </m:oMath>
            <w:r>
              <w:t xml:space="preserve"> </w:t>
            </w:r>
            <w:r>
              <w:t xml:space="preserve">suficientemente alto.</w:t>
            </w:r>
          </w:p>
        </w:tc>
      </w:tr>
      <w:tr>
        <w:tc>
          <w:tcPr/>
          <w:p>
            <w:pPr>
              <w:pStyle w:val="Compact"/>
            </w:pPr>
            <w:r>
              <w:t xml:space="preserve">Fator de desconto (</w:t>
            </w:r>
            <m:oMath>
              <m:r>
                <m:t>δ</m:t>
              </m:r>
            </m:oMath>
            <w:r>
              <w:t xml:space="preserve">)</w:t>
            </w:r>
          </w:p>
        </w:tc>
        <w:tc>
          <w:tcPr/>
          <w:p>
            <w:pPr>
              <w:pStyle w:val="Compact"/>
            </w:pPr>
            <w:r>
              <w:t xml:space="preserve">Medida da paciência dos jogadores ou da probabilidade de continuação do jogo; determina a viabilidade da cooperação.</w:t>
            </w:r>
          </w:p>
        </w:tc>
      </w:tr>
      <w:tr>
        <w:tc>
          <w:tcPr/>
          <w:p>
            <w:pPr>
              <w:pStyle w:val="Compact"/>
            </w:pPr>
            <w:r>
              <w:t xml:space="preserve">Barganha de Rubinstein</w:t>
            </w:r>
          </w:p>
        </w:tc>
        <w:tc>
          <w:tcPr/>
          <w:p>
            <w:pPr>
              <w:pStyle w:val="Compact"/>
            </w:pPr>
            <w:r>
              <w:t xml:space="preserve">Modelo de ofertas alternadas com desconto cujo único EPS gera divisão proporcional à paciência relativa dos jogadores.</w:t>
            </w:r>
          </w:p>
        </w:tc>
      </w:tr>
      <w:tr>
        <w:tc>
          <w:tcPr/>
          <w:p>
            <w:pPr>
              <w:pStyle w:val="Compact"/>
            </w:pPr>
            <w:r>
              <w:t xml:space="preserve">Jogo do Ultimato</w:t>
            </w:r>
          </w:p>
        </w:tc>
        <w:tc>
          <w:tcPr/>
          <w:p>
            <w:pPr>
              <w:pStyle w:val="Compact"/>
            </w:pPr>
            <w:r>
              <w:t xml:space="preserve">Jogo de barganha em que o proponente faz uma oferta e o respondedor aceita ou rejeita; o EPS prevê oferta mínima, mas experimentos mostram ofertas de 40-50%.</w:t>
            </w:r>
          </w:p>
        </w:tc>
      </w:tr>
      <w:tr>
        <w:tc>
          <w:tcPr/>
          <w:p>
            <w:pPr>
              <w:pStyle w:val="Compact"/>
            </w:pPr>
            <w:r>
              <w:t xml:space="preserve">Dispositivo de comprometimento</w:t>
            </w:r>
          </w:p>
        </w:tc>
        <w:tc>
          <w:tcPr/>
          <w:p>
            <w:pPr>
              <w:pStyle w:val="Compact"/>
            </w:pPr>
            <w:r>
              <w:t xml:space="preserve">Ação ou mecanismo que restringe as opções futuras do agente, tornando críveis suas ameaças ou promessas (ex.: investimento irreversível, regras fiscais, independência do Banco Central).</w:t>
            </w:r>
          </w:p>
        </w:tc>
      </w:tr>
      <w:tr>
        <w:tc>
          <w:tcPr/>
          <w:p>
            <w:pPr>
              <w:pStyle w:val="Compact"/>
            </w:pPr>
            <w:r>
              <w:t xml:space="preserve">Prova de renegociação</w:t>
            </w:r>
          </w:p>
        </w:tc>
        <w:tc>
          <w:tcPr/>
          <w:p>
            <w:pPr>
              <w:pStyle w:val="Compact"/>
            </w:pPr>
            <w:r>
              <w:t xml:space="preserve">Critério de refinamento que exige que a estratégia de punição não seja Pareto-dominada por um retorno à cooperação — punições que ambos os jogadores prefeririam abandonar não são críveis.</w:t>
            </w:r>
          </w:p>
        </w:tc>
      </w:tr>
      <w:tr>
        <w:tc>
          <w:tcPr/>
          <w:p>
            <w:pPr>
              <w:pStyle w:val="Compact"/>
            </w:pPr>
            <w:r>
              <w:t xml:space="preserve">Opção externa (</w:t>
            </w:r>
            <w:r>
              <w:rPr>
                <w:i/>
                <w:iCs/>
              </w:rPr>
              <w:t xml:space="preserve">outside option</w:t>
            </w:r>
            <w:r>
              <w:t xml:space="preserve">)</w:t>
            </w:r>
          </w:p>
        </w:tc>
        <w:tc>
          <w:tcPr/>
          <w:p>
            <w:pPr>
              <w:pStyle w:val="Compact"/>
            </w:pPr>
            <w:r>
              <w:t xml:space="preserve">Payoff disponível a um negociador fora da barganha corrente; vinculante quando excede o payoff de equilíbrio sem ela.</w:t>
            </w:r>
          </w:p>
        </w:tc>
      </w:tr>
      <w:tr>
        <w:tc>
          <w:tcPr/>
          <w:p>
            <w:pPr>
              <w:pStyle w:val="Compact"/>
            </w:pPr>
            <w:r>
              <w:t xml:space="preserve">Payoff de minimax</w:t>
            </w:r>
          </w:p>
        </w:tc>
        <w:tc>
          <w:tcPr/>
          <w:p>
            <w:pPr>
              <w:pStyle w:val="Compact"/>
            </w:pPr>
            <w:r>
              <w:t xml:space="preserve">Menor payoff que os demais jogadores podem impor ao jogador</w:t>
            </w:r>
            <w:r>
              <w:t xml:space="preserve"> </w:t>
            </w:r>
            <m:oMath>
              <m:r>
                <m:t>i</m:t>
              </m:r>
            </m:oMath>
            <w:r>
              <w:t xml:space="preserve">, supondo que</w:t>
            </w:r>
            <w:r>
              <w:t xml:space="preserve"> </w:t>
            </w:r>
            <m:oMath>
              <m:r>
                <m:t>i</m:t>
              </m:r>
            </m:oMath>
            <w:r>
              <w:t xml:space="preserve"> </w:t>
            </w:r>
            <w:r>
              <w:t xml:space="preserve">jogue sua melhor resposta; é o limiar inferior para payoffs sustentáveis no Folk Theorem.</w:t>
            </w:r>
          </w:p>
        </w:tc>
      </w:tr>
    </w:tbl>
    <w:p>
      <w:pPr>
        <w:pStyle w:val="BodyText"/>
      </w:pPr>
      <w:r>
        <w:rPr>
          <w:b/>
          <w:bCs/>
        </w:rPr>
        <w:t xml:space="preserve">Tabela 9b.2 — Conceitos-chave.</w:t>
      </w:r>
    </w:p>
    <w:p>
      <w:r>
        <w:pict>
          <v:rect style="width:0;height:1.5pt" o:hralign="center" o:hrstd="t" o:hr="t"/>
        </w:pict>
      </w:r>
    </w:p>
    <w:bookmarkEnd w:id="539"/>
    <w:bookmarkStart w:id="540" w:name="exercícios-resolvidos-1"/>
    <w:p>
      <w:pPr>
        <w:pStyle w:val="Heading3"/>
      </w:pPr>
      <w:r>
        <w:t xml:space="preserve">Exercícios Resolvidos</w:t>
      </w:r>
    </w:p>
    <w:p>
      <w:pPr>
        <w:pStyle w:val="BlockText"/>
      </w:pPr>
      <w:r>
        <w:rPr>
          <w:b/>
          <w:bCs/>
        </w:rPr>
        <w:t xml:space="preserve">[EXERCICIO RESOLVIDO] Exercício Resolvido 9b.1 — Grim Trigger em postos de combustíveis</w:t>
      </w:r>
    </w:p>
    <w:p>
      <w:pPr>
        <w:pStyle w:val="BlockText"/>
      </w:pPr>
      <w:r>
        <w:rPr>
          <w:b/>
          <w:bCs/>
        </w:rPr>
        <w:t xml:space="preserve">Enunciado:</w:t>
      </w:r>
      <w:r>
        <w:t xml:space="preserve"> </w:t>
      </w:r>
      <w:r>
        <w:t xml:space="preserve">Dois postos de combustíveis interagem repetidamente. Payoffs: se ambos mantêm preço alto (cooperam), cada um lucra R$ 8.000/mês; se ambos cortam preço (traem), cada um lucra R$ 2.000/mês; se um corta e outro mantém, o que cortou lucra R$ 12.000 e o outro lucra R$ 0. Qual o fator de desconto mínimo para sustentar cooperação com grim trigger?</w:t>
      </w:r>
    </w:p>
    <w:p>
      <w:pPr>
        <w:pStyle w:val="BlockText"/>
      </w:pPr>
      <w:r>
        <w:rPr>
          <w:b/>
          <w:bCs/>
        </w:rPr>
        <w:t xml:space="preserve">Dados:</w:t>
      </w:r>
      <w:r>
        <w:t xml:space="preserve"> </w:t>
      </w:r>
      <m:oMath>
        <m:r>
          <m:t>T</m:t>
        </m:r>
        <m:r>
          <m:rPr>
            <m:sty m:val="p"/>
          </m:rPr>
          <m:t>=</m:t>
        </m:r>
        <m:r>
          <m:t>12.000</m:t>
        </m:r>
      </m:oMath>
      <w:r>
        <w:t xml:space="preserve">,</w:t>
      </w:r>
      <w:r>
        <w:t xml:space="preserve"> </w:t>
      </w:r>
      <m:oMath>
        <m:r>
          <m:t>R</m:t>
        </m:r>
        <m:r>
          <m:rPr>
            <m:sty m:val="p"/>
          </m:rPr>
          <m:t>=</m:t>
        </m:r>
        <m:r>
          <m:t>8.000</m:t>
        </m:r>
      </m:oMath>
      <w:r>
        <w:t xml:space="preserve">,</w:t>
      </w:r>
      <w:r>
        <w:t xml:space="preserve"> </w:t>
      </w:r>
      <m:oMath>
        <m:r>
          <m:t>P</m:t>
        </m:r>
        <m:r>
          <m:rPr>
            <m:sty m:val="p"/>
          </m:rPr>
          <m:t>=</m:t>
        </m:r>
        <m:r>
          <m:t>2.000</m:t>
        </m:r>
      </m:oMath>
      <w:r>
        <w:t xml:space="preserve">,</w:t>
      </w:r>
      <w:r>
        <w:t xml:space="preserve"> </w:t>
      </w:r>
      <m:oMath>
        <m:r>
          <m:t>S</m:t>
        </m:r>
        <m:r>
          <m:rPr>
            <m:sty m:val="p"/>
          </m:rPr>
          <m:t>=</m:t>
        </m:r>
        <m:r>
          <m:t>0</m:t>
        </m:r>
      </m:oMath>
      <w:r>
        <w:t xml:space="preserve">.</w:t>
      </w:r>
    </w:p>
    <w:p>
      <w:pPr>
        <w:pStyle w:val="BlockText"/>
      </w:pPr>
      <w:r>
        <w:rPr>
          <w:b/>
          <w:bCs/>
        </w:rPr>
        <w:t xml:space="preserve">Resolução:</w:t>
      </w:r>
    </w:p>
    <w:p>
      <w:pPr>
        <w:pStyle w:val="BlockText"/>
      </w:pPr>
      <w:r>
        <w:t xml:space="preserve">Valor presente de cooperar:</w:t>
      </w:r>
      <w:r>
        <w:t xml:space="preserve"> </w:t>
      </w:r>
      <m:oMath>
        <m:sSub>
          <m:e>
            <m:r>
              <m:t>V</m:t>
            </m:r>
          </m:e>
          <m:sub>
            <m:r>
              <m:rPr>
                <m:nor/>
                <m:sty m:val="p"/>
              </m:rPr>
              <m:t>coop</m:t>
            </m:r>
          </m:sub>
        </m:sSub>
        <m:r>
          <m:rPr>
            <m:sty m:val="p"/>
          </m:rPr>
          <m:t>=</m:t>
        </m:r>
        <m:r>
          <m:t>8.000</m:t>
        </m:r>
        <m:r>
          <m:rPr>
            <m:sty m:val="p"/>
          </m:rPr>
          <m:t>/</m:t>
        </m:r>
        <m:r>
          <m:rPr>
            <m:sty m:val="p"/>
          </m:rPr>
          <m:t>(</m:t>
        </m:r>
        <m:r>
          <m:t>1</m:t>
        </m:r>
        <m:r>
          <m:rPr>
            <m:sty m:val="p"/>
          </m:rPr>
          <m:t>−</m:t>
        </m:r>
        <m:r>
          <m:t>δ</m:t>
        </m:r>
        <m:r>
          <m:rPr>
            <m:sty m:val="p"/>
          </m:rPr>
          <m:t>)</m:t>
        </m:r>
      </m:oMath>
    </w:p>
    <w:p>
      <w:pPr>
        <w:pStyle w:val="BlockText"/>
      </w:pPr>
      <w:r>
        <w:t xml:space="preserve">Valor presente de desviar:</w:t>
      </w:r>
      <w:r>
        <w:t xml:space="preserve"> </w:t>
      </w:r>
      <m:oMath>
        <m:sSub>
          <m:e>
            <m:r>
              <m:t>V</m:t>
            </m:r>
          </m:e>
          <m:sub>
            <m:r>
              <m:rPr>
                <m:nor/>
                <m:sty m:val="p"/>
              </m:rPr>
              <m:t>desvio</m:t>
            </m:r>
          </m:sub>
        </m:sSub>
        <m:r>
          <m:rPr>
            <m:sty m:val="p"/>
          </m:rPr>
          <m:t>=</m:t>
        </m:r>
        <m:r>
          <m:t>12.000</m:t>
        </m:r>
        <m:r>
          <m:rPr>
            <m:sty m:val="p"/>
          </m:rPr>
          <m:t>+</m:t>
        </m:r>
        <m:r>
          <m:t>2.000</m:t>
        </m:r>
        <m:r>
          <m:t>δ</m:t>
        </m:r>
        <m:r>
          <m:rPr>
            <m:sty m:val="p"/>
          </m:rPr>
          <m:t>/</m:t>
        </m:r>
        <m:r>
          <m:rPr>
            <m:sty m:val="p"/>
          </m:rPr>
          <m:t>(</m:t>
        </m:r>
        <m:r>
          <m:t>1</m:t>
        </m:r>
        <m:r>
          <m:rPr>
            <m:sty m:val="p"/>
          </m:rPr>
          <m:t>−</m:t>
        </m:r>
        <m:r>
          <m:t>δ</m:t>
        </m:r>
        <m:r>
          <m:rPr>
            <m:sty m:val="p"/>
          </m:rPr>
          <m:t>)</m:t>
        </m:r>
      </m:oMath>
    </w:p>
    <w:p>
      <w:pPr>
        <w:pStyle w:val="BlockText"/>
      </w:pPr>
      <w:r>
        <w:t xml:space="preserve">Condição:</w:t>
      </w:r>
      <w:r>
        <w:t xml:space="preserve"> </w:t>
      </w:r>
      <m:oMath>
        <m:sSub>
          <m:e>
            <m:r>
              <m:t>V</m:t>
            </m:r>
          </m:e>
          <m:sub>
            <m:r>
              <m:rPr>
                <m:nor/>
                <m:sty m:val="p"/>
              </m:rPr>
              <m:t>coop</m:t>
            </m:r>
          </m:sub>
        </m:sSub>
        <m:r>
          <m:rPr>
            <m:sty m:val="p"/>
          </m:rPr>
          <m:t>≥</m:t>
        </m:r>
        <m:sSub>
          <m:e>
            <m:r>
              <m:t>V</m:t>
            </m:r>
          </m:e>
          <m:sub>
            <m:r>
              <m:rPr>
                <m:nor/>
                <m:sty m:val="p"/>
              </m:rPr>
              <m:t>desvio</m:t>
            </m:r>
          </m:sub>
        </m:sSub>
      </m:oMath>
    </w:p>
    <w:p>
      <w:pPr>
        <w:pStyle w:val="BlockText"/>
      </w:pPr>
      <w:r>
        <w:t xml:space="preserve">$$</w:t>
      </w:r>
    </w:p>
    <w:p>
      <w:pPr>
        <w:pStyle w:val="BlockText"/>
      </w:pPr>
      <w:r>
        <w:t xml:space="preserve"> </w:t>
      </w:r>
      <w:r>
        <w:t xml:space="preserve"> </w:t>
      </w:r>
      <w:r>
        <w:t xml:space="preserve">+</w:t>
      </w:r>
      <w:r>
        <w:t xml:space="preserve"> </w:t>
      </w:r>
    </w:p>
    <w:p>
      <w:pPr>
        <w:pStyle w:val="BlockText"/>
      </w:pPr>
      <w:r>
        <w:t xml:space="preserve">$$</w:t>
      </w:r>
    </w:p>
    <w:p>
      <w:pPr>
        <w:pStyle w:val="BlockText"/>
      </w:pPr>
      <w:r>
        <w:t xml:space="preserve">$$</w:t>
      </w:r>
    </w:p>
    <w:p>
      <w:pPr>
        <w:pStyle w:val="BlockText"/>
      </w:pPr>
      <w:r>
        <w:t xml:space="preserve">8.000 - 2.000</w:t>
      </w:r>
      <w:r>
        <w:t xml:space="preserve">(1-</w:t>
      </w:r>
      <w:r>
        <w:t xml:space="preserve">)</w:t>
      </w:r>
      <w:r>
        <w:t xml:space="preserve"> </w:t>
      </w:r>
      <w:r>
        <w:t xml:space="preserve"> </w:t>
      </w:r>
      <w:r>
        <w:t xml:space="preserve">4</w:t>
      </w:r>
    </w:p>
    <w:p>
      <w:pPr>
        <w:pStyle w:val="BlockText"/>
      </w:pPr>
      <w:r>
        <w:t xml:space="preserve">$$</w:t>
      </w:r>
    </w:p>
    <w:p>
      <w:pPr>
        <w:pStyle w:val="BlockText"/>
      </w:pPr>
      <w:r>
        <w:t xml:space="preserve">Pela fórmula:</w:t>
      </w:r>
      <w:r>
        <w:t xml:space="preserve"> </w:t>
      </w:r>
      <m:oMath>
        <m:sSup>
          <m:e>
            <m:r>
              <m:t>δ</m:t>
            </m:r>
          </m:e>
          <m:sup>
            <m:r>
              <m:rPr>
                <m:sty m:val="p"/>
              </m:rPr>
              <m:t>*</m:t>
            </m:r>
          </m:sup>
        </m:sSup>
        <m:r>
          <m:rPr>
            <m:sty m:val="p"/>
          </m:rPr>
          <m:t>=</m:t>
        </m:r>
        <m:r>
          <m:rPr>
            <m:sty m:val="p"/>
          </m:rPr>
          <m:t>(</m:t>
        </m:r>
        <m:r>
          <m:t>T</m:t>
        </m:r>
        <m:r>
          <m:rPr>
            <m:sty m:val="p"/>
          </m:rPr>
          <m:t>−</m:t>
        </m:r>
        <m:r>
          <m:t>R</m:t>
        </m:r>
        <m:r>
          <m:rPr>
            <m:sty m:val="p"/>
          </m:rPr>
          <m:t>)</m:t>
        </m:r>
        <m:r>
          <m:rPr>
            <m:sty m:val="p"/>
          </m:rPr>
          <m:t>/</m:t>
        </m:r>
        <m:r>
          <m:rPr>
            <m:sty m:val="p"/>
          </m:rPr>
          <m:t>(</m:t>
        </m:r>
        <m:r>
          <m:t>T</m:t>
        </m:r>
        <m:r>
          <m:rPr>
            <m:sty m:val="p"/>
          </m:rPr>
          <m:t>−</m:t>
        </m:r>
        <m:r>
          <m:t>P</m:t>
        </m:r>
        <m:r>
          <m:rPr>
            <m:sty m:val="p"/>
          </m:rPr>
          <m:t>)</m:t>
        </m:r>
        <m:r>
          <m:rPr>
            <m:sty m:val="p"/>
          </m:rPr>
          <m:t>=</m:t>
        </m:r>
        <m:r>
          <m:t>4.000</m:t>
        </m:r>
        <m:r>
          <m:rPr>
            <m:sty m:val="p"/>
          </m:rPr>
          <m:t>/</m:t>
        </m:r>
        <m:r>
          <m:t>10.000</m:t>
        </m:r>
        <m:r>
          <m:rPr>
            <m:sty m:val="p"/>
          </m:rPr>
          <m:t>=</m:t>
        </m:r>
        <m:r>
          <m:t>0</m:t>
        </m:r>
        <m:r>
          <m:rPr>
            <m:sty m:val="p"/>
          </m:rPr>
          <m:t>,</m:t>
        </m:r>
        <m:r>
          <m:t>4</m:t>
        </m:r>
      </m:oMath>
      <w:r>
        <w:t xml:space="preserve">. ✓</w:t>
      </w:r>
    </w:p>
    <w:p>
      <w:pPr>
        <w:pStyle w:val="BlockText"/>
      </w:pPr>
      <w:r>
        <w:rPr>
          <w:b/>
          <w:bCs/>
        </w:rPr>
        <w:t xml:space="preserve">Interpretação:</w:t>
      </w:r>
      <w:r>
        <w:t xml:space="preserve"> </w:t>
      </w:r>
      <m:oMath>
        <m:sSup>
          <m:e>
            <m:r>
              <m:t>δ</m:t>
            </m:r>
          </m:e>
          <m:sup>
            <m:r>
              <m:rPr>
                <m:sty m:val="p"/>
              </m:rPr>
              <m:t>*</m:t>
            </m:r>
          </m:sup>
        </m:sSup>
        <m:r>
          <m:rPr>
            <m:sty m:val="p"/>
          </m:rPr>
          <m:t>=</m:t>
        </m:r>
        <m:r>
          <m:t>0</m:t>
        </m:r>
        <m:r>
          <m:rPr>
            <m:sty m:val="p"/>
          </m:rPr>
          <m:t>,</m:t>
        </m:r>
        <m:r>
          <m:t>4</m:t>
        </m:r>
      </m:oMath>
      <w:r>
        <w:t xml:space="preserve"> </w:t>
      </w:r>
      <w:r>
        <w:t xml:space="preserve">é baixo, indicando que a cooperação é fácil de sustentar — consistente com a prevalência de cartéis no setor. Com interação diária, o fator efetivo é próximo de 1, muito acima de 0,4. Isso explica por que o CADE precisa intervir ativamente.</w:t>
      </w:r>
    </w:p>
    <w:p>
      <w:pPr>
        <w:pStyle w:val="BlockText"/>
      </w:pPr>
      <w:r>
        <w:rPr>
          <w:b/>
          <w:bCs/>
        </w:rPr>
        <w:t xml:space="preserve">[EXERCICIO RESOLVIDO] Exercício Resolvido 9b.2 — Barganha de Rubinstein</w:t>
      </w:r>
    </w:p>
    <w:p>
      <w:pPr>
        <w:pStyle w:val="BlockText"/>
      </w:pPr>
      <w:r>
        <w:rPr>
          <w:b/>
          <w:bCs/>
        </w:rPr>
        <w:t xml:space="preserve">Enunciado:</w:t>
      </w:r>
      <w:r>
        <w:t xml:space="preserve"> </w:t>
      </w:r>
      <w:r>
        <w:t xml:space="preserve">Dois agentes negociam a divisão de R$ 1 milhão com ofertas alternadas. O jogador 1 (proponente) tem</w:t>
      </w:r>
      <w:r>
        <w:t xml:space="preserve"> </w:t>
      </w:r>
      <m:oMath>
        <m:sSub>
          <m:e>
            <m:r>
              <m:t>δ</m:t>
            </m:r>
          </m:e>
          <m:sub>
            <m:r>
              <m:t>1</m:t>
            </m:r>
          </m:sub>
        </m:sSub>
        <m:r>
          <m:rPr>
            <m:sty m:val="p"/>
          </m:rPr>
          <m:t>=</m:t>
        </m:r>
        <m:r>
          <m:t>0</m:t>
        </m:r>
        <m:r>
          <m:rPr>
            <m:sty m:val="p"/>
          </m:rPr>
          <m:t>,</m:t>
        </m:r>
        <m:r>
          <m:t>9</m:t>
        </m:r>
      </m:oMath>
      <w:r>
        <w:t xml:space="preserve"> </w:t>
      </w:r>
      <w:r>
        <w:t xml:space="preserve">e o jogador 2 (respondedor) tem</w:t>
      </w:r>
      <w:r>
        <w:t xml:space="preserve"> </w:t>
      </w:r>
      <m:oMath>
        <m:sSub>
          <m:e>
            <m:r>
              <m:t>δ</m:t>
            </m:r>
          </m:e>
          <m:sub>
            <m:r>
              <m:t>2</m:t>
            </m:r>
          </m:sub>
        </m:sSub>
        <m:r>
          <m:rPr>
            <m:sty m:val="p"/>
          </m:rPr>
          <m:t>=</m:t>
        </m:r>
        <m:r>
          <m:t>0</m:t>
        </m:r>
        <m:r>
          <m:rPr>
            <m:sty m:val="p"/>
          </m:rPr>
          <m:t>,</m:t>
        </m:r>
        <m:r>
          <m:t>8</m:t>
        </m:r>
      </m:oMath>
      <w:r>
        <w:t xml:space="preserve">. Encontre a divisão no EPS.</w:t>
      </w:r>
    </w:p>
    <w:p>
      <w:pPr>
        <w:pStyle w:val="BlockText"/>
      </w:pPr>
      <w:r>
        <w:rPr>
          <w:b/>
          <w:bCs/>
        </w:rPr>
        <w:t xml:space="preserve">Resolução:</w:t>
      </w:r>
    </w:p>
    <w:p>
      <w:pPr>
        <w:pStyle w:val="BlockText"/>
      </w:pPr>
      <w:r>
        <w:t xml:space="preserve">No EPS de Rubinstein:</w:t>
      </w:r>
    </w:p>
    <w:p>
      <w:pPr>
        <w:pStyle w:val="BlockText"/>
      </w:pPr>
      <w:r>
        <w:t xml:space="preserve">$$</w:t>
      </w:r>
    </w:p>
    <w:p>
      <w:pPr>
        <w:pStyle w:val="BlockText"/>
      </w:pPr>
      <w:r>
        <w:t xml:space="preserve">x_1^* =</w:t>
      </w:r>
      <w:r>
        <w:t xml:space="preserve"> </w:t>
      </w:r>
      <w:r>
        <w:t xml:space="preserve"> </w:t>
      </w:r>
      <w:r>
        <w:t xml:space="preserve">=</w:t>
      </w:r>
      <w:r>
        <w:t xml:space="preserve"> </w:t>
      </w:r>
      <w:r>
        <w:t xml:space="preserve"> </w:t>
      </w:r>
      <w:r>
        <w:t xml:space="preserve">=</w:t>
      </w:r>
      <w:r>
        <w:t xml:space="preserve"> </w:t>
      </w:r>
      <w:r>
        <w:t xml:space="preserve"> </w:t>
      </w:r>
      <w:r>
        <w:t xml:space="preserve">714</w:t>
      </w:r>
    </w:p>
    <w:p>
      <w:pPr>
        <w:pStyle w:val="BlockText"/>
      </w:pPr>
      <w:r>
        <w:t xml:space="preserve">$$</w:t>
      </w:r>
    </w:p>
    <w:p>
      <w:pPr>
        <w:pStyle w:val="BlockText"/>
      </w:pPr>
      <w:r>
        <w:t xml:space="preserve">$$</w:t>
      </w:r>
    </w:p>
    <w:p>
      <w:pPr>
        <w:pStyle w:val="BlockText"/>
      </w:pPr>
      <w:r>
        <w:t xml:space="preserve">x_2^* = 1 - x_1^*</w:t>
      </w:r>
      <w:r>
        <w:t xml:space="preserve"> </w:t>
      </w:r>
      <w:r>
        <w:t xml:space="preserve">286</w:t>
      </w:r>
    </w:p>
    <w:p>
      <w:pPr>
        <w:pStyle w:val="BlockText"/>
      </w:pPr>
      <w:r>
        <w:t xml:space="preserve">$$</w:t>
      </w:r>
    </w:p>
    <w:p>
      <w:pPr>
        <w:pStyle w:val="BlockText"/>
      </w:pPr>
      <w:r>
        <w:rPr>
          <w:b/>
          <w:bCs/>
        </w:rPr>
        <w:t xml:space="preserve">Resultado:</w:t>
      </w:r>
      <w:r>
        <w:t xml:space="preserve"> </w:t>
      </w:r>
      <w:r>
        <w:t xml:space="preserve">Jogador 1 (mais paciente) fica com ≈ R$ 714.000 e jogador 2 fica com ≈ R$ 286.000.</w:t>
      </w:r>
    </w:p>
    <w:p>
      <w:pPr>
        <w:pStyle w:val="BlockText"/>
      </w:pPr>
      <w:r>
        <w:rPr>
          <w:b/>
          <w:bCs/>
        </w:rPr>
        <w:t xml:space="preserve">Interpretação:</w:t>
      </w:r>
      <w:r>
        <w:t xml:space="preserve"> </w:t>
      </w:r>
      <w:r>
        <w:t xml:space="preserve">A paciência confere poder na barganha. O jogador 1, com</w:t>
      </w:r>
      <w:r>
        <w:t xml:space="preserve"> </w:t>
      </w:r>
      <m:oMath>
        <m:sSub>
          <m:e>
            <m:r>
              <m:t>δ</m:t>
            </m:r>
          </m:e>
          <m:sub>
            <m:r>
              <m:t>1</m:t>
            </m:r>
          </m:sub>
        </m:sSub>
        <m:r>
          <m:rPr>
            <m:sty m:val="p"/>
          </m:rPr>
          <m:t>=</m:t>
        </m:r>
        <m:r>
          <m:t>0</m:t>
        </m:r>
        <m:r>
          <m:rPr>
            <m:sty m:val="p"/>
          </m:rPr>
          <m:t>,</m:t>
        </m:r>
        <m:r>
          <m:t>9</m:t>
        </m:r>
        <m:r>
          <m:rPr>
            <m:sty m:val="p"/>
          </m:rPr>
          <m:t>&gt;</m:t>
        </m:r>
        <m:sSub>
          <m:e>
            <m:r>
              <m:t>δ</m:t>
            </m:r>
          </m:e>
          <m:sub>
            <m:r>
              <m:t>2</m:t>
            </m:r>
          </m:sub>
        </m:sSub>
        <m:r>
          <m:rPr>
            <m:sty m:val="p"/>
          </m:rPr>
          <m:t>=</m:t>
        </m:r>
        <m:r>
          <m:t>0</m:t>
        </m:r>
        <m:r>
          <m:rPr>
            <m:sty m:val="p"/>
          </m:rPr>
          <m:t>,</m:t>
        </m:r>
        <m:r>
          <m:t>8</m:t>
        </m:r>
      </m:oMath>
      <w:r>
        <w:t xml:space="preserve">, obtém uma fatia 2,5 vezes maior. No caso simétrico (</w:t>
      </w:r>
      <m:oMath>
        <m:sSub>
          <m:e>
            <m:r>
              <m:t>δ</m:t>
            </m:r>
          </m:e>
          <m:sub>
            <m:r>
              <m:t>1</m:t>
            </m:r>
          </m:sub>
        </m:sSub>
        <m:r>
          <m:rPr>
            <m:sty m:val="p"/>
          </m:rPr>
          <m:t>=</m:t>
        </m:r>
        <m:sSub>
          <m:e>
            <m:r>
              <m:t>δ</m:t>
            </m:r>
          </m:e>
          <m:sub>
            <m:r>
              <m:t>2</m:t>
            </m:r>
          </m:sub>
        </m:sSub>
        <m:r>
          <m:rPr>
            <m:sty m:val="p"/>
          </m:rPr>
          <m:t>=</m:t>
        </m:r>
        <m:r>
          <m:t>0</m:t>
        </m:r>
        <m:r>
          <m:rPr>
            <m:sty m:val="p"/>
          </m:rPr>
          <m:t>,</m:t>
        </m:r>
        <m:r>
          <m:t>9</m:t>
        </m:r>
      </m:oMath>
      <w:r>
        <w:t xml:space="preserve">), a divisão seria</w:t>
      </w:r>
      <w:r>
        <w:t xml:space="preserve"> </w:t>
      </w:r>
      <m:oMath>
        <m:r>
          <m:t>1</m:t>
        </m:r>
        <m:r>
          <m:rPr>
            <m:sty m:val="p"/>
          </m:rPr>
          <m:t>/</m:t>
        </m:r>
        <m:r>
          <m:rPr>
            <m:sty m:val="p"/>
          </m:rPr>
          <m:t>(</m:t>
        </m:r>
        <m:r>
          <m:t>1</m:t>
        </m:r>
        <m:r>
          <m:rPr>
            <m:sty m:val="p"/>
          </m:rPr>
          <m:t>+</m:t>
        </m:r>
        <m:r>
          <m:t>0</m:t>
        </m:r>
        <m:r>
          <m:rPr>
            <m:sty m:val="p"/>
          </m:rPr>
          <m:t>,</m:t>
        </m:r>
        <m:r>
          <m:t>9</m:t>
        </m:r>
        <m:r>
          <m:rPr>
            <m:sty m:val="p"/>
          </m:rPr>
          <m:t>)</m:t>
        </m:r>
        <m:r>
          <m:rPr>
            <m:sty m:val="p"/>
          </m:rPr>
          <m:t>≈</m:t>
        </m:r>
        <m:r>
          <m:t>52</m:t>
        </m:r>
        <m:r>
          <m:rPr>
            <m:sty m:val="p"/>
          </m:rPr>
          <m:t>,</m:t>
        </m:r>
        <m:r>
          <m:t>6</m:t>
        </m:r>
        <m:r>
          <m:rPr>
            <m:sty m:val="p"/>
          </m:rPr>
          <m:t>%</m:t>
        </m:r>
      </m:oMath>
      <w:r>
        <w:t xml:space="preserve"> </w:t>
      </w:r>
      <w:r>
        <w:t xml:space="preserve">vs</w:t>
      </w:r>
      <w:r>
        <w:t xml:space="preserve"> </w:t>
      </w:r>
      <m:oMath>
        <m:r>
          <m:t>47</m:t>
        </m:r>
        <m:r>
          <m:rPr>
            <m:sty m:val="p"/>
          </m:rPr>
          <m:t>,</m:t>
        </m:r>
        <m:r>
          <m:t>4</m:t>
        </m:r>
        <m:r>
          <m:rPr>
            <m:sty m:val="p"/>
          </m:rPr>
          <m:t>%</m:t>
        </m:r>
      </m:oMath>
      <w:r>
        <w:t xml:space="preserve"> </w:t>
      </w:r>
      <w:r>
        <w:t xml:space="preserve">— a vantagem do proponente (first-mover).</w:t>
      </w:r>
    </w:p>
    <w:p>
      <w:pPr>
        <w:pStyle w:val="BlockText"/>
      </w:pPr>
      <w:r>
        <w:rPr>
          <w:b/>
          <w:bCs/>
        </w:rPr>
        <w:t xml:space="preserve">[EXERCICIO RESOLVIDO] Exercício Resolvido 9b.3 — Cooperação com punição temporária (Tit-for-Two-Tats)</w:t>
      </w:r>
    </w:p>
    <w:p>
      <w:pPr>
        <w:pStyle w:val="BlockText"/>
      </w:pPr>
      <w:r>
        <w:rPr>
          <w:b/>
          <w:bCs/>
        </w:rPr>
        <w:t xml:space="preserve">Enunciado:</w:t>
      </w:r>
      <w:r>
        <w:t xml:space="preserve"> </w:t>
      </w:r>
      <w:r>
        <w:t xml:space="preserve">Dois duopolistas jogam o Dilema dos Prisioneiros repetido infinitamente com payoffs</w:t>
      </w:r>
      <w:r>
        <w:t xml:space="preserve"> </w:t>
      </w:r>
      <m:oMath>
        <m:r>
          <m:t>T</m:t>
        </m:r>
        <m:r>
          <m:rPr>
            <m:sty m:val="p"/>
          </m:rPr>
          <m:t>=</m:t>
        </m:r>
        <m:r>
          <m:t>10</m:t>
        </m:r>
      </m:oMath>
      <w:r>
        <w:t xml:space="preserve">,</w:t>
      </w:r>
      <w:r>
        <w:t xml:space="preserve"> </w:t>
      </w:r>
      <m:oMath>
        <m:r>
          <m:t>R</m:t>
        </m:r>
        <m:r>
          <m:rPr>
            <m:sty m:val="p"/>
          </m:rPr>
          <m:t>=</m:t>
        </m:r>
        <m:r>
          <m:t>6</m:t>
        </m:r>
      </m:oMath>
      <w:r>
        <w:t xml:space="preserve">,</w:t>
      </w:r>
      <w:r>
        <w:t xml:space="preserve"> </w:t>
      </w:r>
      <m:oMath>
        <m:r>
          <m:t>P</m:t>
        </m:r>
        <m:r>
          <m:rPr>
            <m:sty m:val="p"/>
          </m:rPr>
          <m:t>=</m:t>
        </m:r>
        <m:r>
          <m:t>2</m:t>
        </m:r>
      </m:oMath>
      <w:r>
        <w:t xml:space="preserve">,</w:t>
      </w:r>
      <w:r>
        <w:t xml:space="preserve"> </w:t>
      </w:r>
      <m:oMath>
        <m:r>
          <m:t>S</m:t>
        </m:r>
        <m:r>
          <m:rPr>
            <m:sty m:val="p"/>
          </m:rPr>
          <m:t>=</m:t>
        </m:r>
        <m:r>
          <m:t>0</m:t>
        </m:r>
      </m:oMath>
      <w:r>
        <w:t xml:space="preserve"> </w:t>
      </w:r>
      <w:r>
        <w:t xml:space="preserve">e fator de desconto</w:t>
      </w:r>
      <w:r>
        <w:t xml:space="preserve"> </w:t>
      </w:r>
      <m:oMath>
        <m:r>
          <m:t>δ</m:t>
        </m:r>
      </m:oMath>
      <w:r>
        <w:t xml:space="preserve">. Considere a estratégia</w:t>
      </w:r>
      <w:r>
        <w:t xml:space="preserve"> </w:t>
      </w:r>
      <w:r>
        <w:t xml:space="preserve">“Tit-for-Two-Tats”</w:t>
      </w:r>
      <w:r>
        <w:t xml:space="preserve"> </w:t>
      </w:r>
      <w:r>
        <w:t xml:space="preserve">(TF2T): coopere no primeiro período; só puna (jogue D) se o oponente desviou nos</w:t>
      </w:r>
      <w:r>
        <w:t xml:space="preserve"> </w:t>
      </w:r>
      <w:r>
        <w:rPr>
          <w:i/>
          <w:iCs/>
        </w:rPr>
        <w:t xml:space="preserve">dois</w:t>
      </w:r>
      <w:r>
        <w:t xml:space="preserve"> </w:t>
      </w:r>
      <w:r>
        <w:t xml:space="preserve">últimos períodos consecutivos; caso contrário, coopere.</w:t>
      </w:r>
    </w:p>
    <w:p>
      <w:pPr>
        <w:pStyle w:val="BlockText"/>
        <w:numPr>
          <w:ilvl w:val="0"/>
          <w:numId w:val="1524"/>
        </w:numPr>
      </w:pPr>
      <w:r>
        <w:t xml:space="preserve">Qual é o</w:t>
      </w:r>
      <w:r>
        <w:t xml:space="preserve"> </w:t>
      </w:r>
      <m:oMath>
        <m:sSup>
          <m:e>
            <m:r>
              <m:t>δ</m:t>
            </m:r>
          </m:e>
          <m:sup>
            <m:r>
              <m:rPr>
                <m:sty m:val="p"/>
              </m:rPr>
              <m:t>*</m:t>
            </m:r>
          </m:sup>
        </m:sSup>
      </m:oMath>
      <w:r>
        <w:t xml:space="preserve"> </w:t>
      </w:r>
      <w:r>
        <w:t xml:space="preserve">mínimo para sustentar cooperação com TF2T?</w:t>
      </w:r>
    </w:p>
    <w:p>
      <w:pPr>
        <w:pStyle w:val="BlockText"/>
        <w:numPr>
          <w:ilvl w:val="0"/>
          <w:numId w:val="1524"/>
        </w:numPr>
      </w:pPr>
      <w:r>
        <w:t xml:space="preserve">Compare com o grim trigger e o</w:t>
      </w:r>
      <w:r>
        <w:t xml:space="preserve"> </w:t>
      </w:r>
      <w:r>
        <w:rPr>
          <w:i/>
          <w:iCs/>
        </w:rPr>
        <w:t xml:space="preserve">tit-for-tat</w:t>
      </w:r>
      <w:r>
        <w:t xml:space="preserve"> </w:t>
      </w:r>
      <w:r>
        <w:t xml:space="preserve">padrão. Qual estratégia é mais</w:t>
      </w:r>
      <w:r>
        <w:t xml:space="preserve"> </w:t>
      </w:r>
      <w:r>
        <w:t xml:space="preserve">“permissiva”</w:t>
      </w:r>
      <w:r>
        <w:t xml:space="preserve">?</w:t>
      </w:r>
    </w:p>
    <w:p>
      <w:pPr>
        <w:pStyle w:val="BlockText"/>
        <w:numPr>
          <w:ilvl w:val="0"/>
          <w:numId w:val="1524"/>
        </w:numPr>
      </w:pPr>
      <w:r>
        <w:t xml:space="preserve">Discuta a vantagem da TF2T em termos de prova de renegociação.</w:t>
      </w:r>
    </w:p>
    <w:p>
      <w:pPr>
        <w:pStyle w:val="BlockText"/>
      </w:pPr>
      <w:r>
        <w:rPr>
          <w:b/>
          <w:bCs/>
        </w:rPr>
        <w:t xml:space="preserve">Resolução:</w:t>
      </w:r>
    </w:p>
    <w:p>
      <w:pPr>
        <w:pStyle w:val="BlockText"/>
      </w:pPr>
      <w:r>
        <w:rPr>
          <w:b/>
          <w:bCs/>
        </w:rPr>
        <w:t xml:space="preserve">(a)</w:t>
      </w:r>
      <w:r>
        <w:t xml:space="preserve"> </w:t>
      </w:r>
      <w:r>
        <w:t xml:space="preserve">Com TF2T, um desvio isolado em um período não é punido (o oponente</w:t>
      </w:r>
      <w:r>
        <w:t xml:space="preserve"> </w:t>
      </w:r>
      <w:r>
        <w:t xml:space="preserve">“perdoa”</w:t>
      </w:r>
      <w:r>
        <w:t xml:space="preserve"> </w:t>
      </w:r>
      <w:r>
        <w:t xml:space="preserve">um desvio). Para explorar a TF2T, o jogador precisa desviar em</w:t>
      </w:r>
      <w:r>
        <w:t xml:space="preserve"> </w:t>
      </w:r>
      <w:r>
        <w:rPr>
          <w:i/>
          <w:iCs/>
        </w:rPr>
        <w:t xml:space="preserve">dois</w:t>
      </w:r>
      <w:r>
        <w:t xml:space="preserve"> </w:t>
      </w:r>
      <w:r>
        <w:t xml:space="preserve">períodos consecutivos. O desvio mais lucrativo é:</w:t>
      </w:r>
    </w:p>
    <w:p>
      <w:pPr>
        <w:pStyle w:val="Compact"/>
        <w:numPr>
          <w:ilvl w:val="0"/>
          <w:numId w:val="1525"/>
        </w:numPr>
      </w:pPr>
      <w:r>
        <w:t xml:space="preserve">Período</w:t>
      </w:r>
      <w:r>
        <w:t xml:space="preserve"> </w:t>
      </w:r>
      <m:oMath>
        <m:r>
          <m:t>t</m:t>
        </m:r>
      </m:oMath>
      <w:r>
        <w:t xml:space="preserve">: desviar → ganho</w:t>
      </w:r>
      <w:r>
        <w:t xml:space="preserve"> </w:t>
      </w:r>
      <m:oMath>
        <m:r>
          <m:t>T</m:t>
        </m:r>
        <m:r>
          <m:rPr>
            <m:sty m:val="p"/>
          </m:rPr>
          <m:t>=</m:t>
        </m:r>
        <m:r>
          <m:t>10</m:t>
        </m:r>
      </m:oMath>
      <w:r>
        <w:t xml:space="preserve"> </w:t>
      </w:r>
      <w:r>
        <w:t xml:space="preserve">(em vez de</w:t>
      </w:r>
      <w:r>
        <w:t xml:space="preserve"> </w:t>
      </w:r>
      <m:oMath>
        <m:r>
          <m:t>R</m:t>
        </m:r>
        <m:r>
          <m:rPr>
            <m:sty m:val="p"/>
          </m:rPr>
          <m:t>=</m:t>
        </m:r>
        <m:r>
          <m:t>6</m:t>
        </m:r>
      </m:oMath>
      <w:r>
        <w:t xml:space="preserve">).</w:t>
      </w:r>
    </w:p>
    <w:p>
      <w:pPr>
        <w:pStyle w:val="Compact"/>
        <w:numPr>
          <w:ilvl w:val="0"/>
          <w:numId w:val="1525"/>
        </w:numPr>
      </w:pPr>
      <w:r>
        <w:t xml:space="preserve">Período</w:t>
      </w:r>
      <w:r>
        <w:t xml:space="preserve"> </w:t>
      </w:r>
      <m:oMath>
        <m:r>
          <m:t>t</m:t>
        </m:r>
        <m:r>
          <m:rPr>
            <m:sty m:val="p"/>
          </m:rPr>
          <m:t>+</m:t>
        </m:r>
        <m:r>
          <m:t>1</m:t>
        </m:r>
      </m:oMath>
      <w:r>
        <w:t xml:space="preserve">: desviar novamente → ganho</w:t>
      </w:r>
      <w:r>
        <w:t xml:space="preserve"> </w:t>
      </w:r>
      <m:oMath>
        <m:r>
          <m:t>T</m:t>
        </m:r>
        <m:r>
          <m:rPr>
            <m:sty m:val="p"/>
          </m:rPr>
          <m:t>=</m:t>
        </m:r>
        <m:r>
          <m:t>10</m:t>
        </m:r>
      </m:oMath>
      <w:r>
        <w:t xml:space="preserve"> </w:t>
      </w:r>
      <w:r>
        <w:t xml:space="preserve">(o oponente ainda coopera, pois foi apenas um desvio).</w:t>
      </w:r>
    </w:p>
    <w:p>
      <w:pPr>
        <w:pStyle w:val="Compact"/>
        <w:numPr>
          <w:ilvl w:val="0"/>
          <w:numId w:val="1525"/>
        </w:numPr>
      </w:pPr>
      <w:r>
        <w:t xml:space="preserve">Período</w:t>
      </w:r>
      <w:r>
        <w:t xml:space="preserve"> </w:t>
      </w:r>
      <m:oMath>
        <m:r>
          <m:t>t</m:t>
        </m:r>
        <m:r>
          <m:rPr>
            <m:sty m:val="p"/>
          </m:rPr>
          <m:t>+</m:t>
        </m:r>
        <m:r>
          <m:t>2</m:t>
        </m:r>
      </m:oMath>
      <w:r>
        <w:t xml:space="preserve"> </w:t>
      </w:r>
      <w:r>
        <w:t xml:space="preserve">em diante: punição ativada, oponente joga D. Retornando à cooperação após a punição.</w:t>
      </w:r>
    </w:p>
    <w:p>
      <w:pPr>
        <w:pStyle w:val="BlockText"/>
      </w:pPr>
      <w:r>
        <w:t xml:space="preserve">Na verdade, com TF2T, após dois desvios consecutivos, o oponente pune por um período. O fluxo de payoffs do desvio ótimo (desviar uma vez e voltar a cooperar) é:</w:t>
      </w:r>
    </w:p>
    <w:p>
      <w:pPr>
        <w:pStyle w:val="BlockText"/>
      </w:pPr>
      <w:r>
        <w:t xml:space="preserve">$$</w:t>
      </w:r>
    </w:p>
    <w:p>
      <w:pPr>
        <w:pStyle w:val="BlockText"/>
      </w:pPr>
      <w:r>
        <w:t xml:space="preserve">V_{</w:t>
      </w:r>
      <w:r>
        <w:t xml:space="preserve">} = 10 +</w:t>
      </w:r>
      <w:r>
        <w:t xml:space="preserve"> </w:t>
      </w:r>
    </w:p>
    <w:p>
      <w:pPr>
        <w:pStyle w:val="BlockText"/>
      </w:pPr>
      <w:r>
        <w:t xml:space="preserve">$$</w:t>
      </w:r>
    </w:p>
    <w:p>
      <w:pPr>
        <w:pStyle w:val="BlockText"/>
      </w:pPr>
      <w:r>
        <w:t xml:space="preserve">pois um único desvio não ativa punição. Para que a cooperação seja sustentável, precisamos que</w:t>
      </w:r>
      <w:r>
        <w:t xml:space="preserve"> </w:t>
      </w:r>
      <w:r>
        <w:rPr>
          <w:i/>
          <w:iCs/>
        </w:rPr>
        <w:t xml:space="preserve">nenhum</w:t>
      </w:r>
      <w:r>
        <w:t xml:space="preserve"> </w:t>
      </w:r>
      <w:r>
        <w:t xml:space="preserve">padrão de desvios seja lucrativo. O desvio permanente (desviar para sempre) dá:</w:t>
      </w:r>
    </w:p>
    <w:p>
      <w:pPr>
        <w:pStyle w:val="BlockText"/>
      </w:pPr>
      <w:r>
        <w:t xml:space="preserve">$$</w:t>
      </w:r>
    </w:p>
    <w:p>
      <w:pPr>
        <w:pStyle w:val="BlockText"/>
      </w:pPr>
      <w:r>
        <w:t xml:space="preserve">V_{</w:t>
      </w:r>
      <w:r>
        <w:t xml:space="preserve">} = 10 + 10</w:t>
      </w:r>
      <w:r>
        <w:t xml:space="preserve">+</w:t>
      </w:r>
      <w:r>
        <w:t xml:space="preserve"> </w:t>
      </w:r>
    </w:p>
    <w:p>
      <w:pPr>
        <w:pStyle w:val="BlockText"/>
      </w:pPr>
      <w:r>
        <w:t xml:space="preserve">$$</w:t>
      </w:r>
    </w:p>
    <w:p>
      <w:pPr>
        <w:pStyle w:val="BlockText"/>
      </w:pPr>
      <w:r>
        <w:t xml:space="preserve">(dois períodos de</w:t>
      </w:r>
      <w:r>
        <w:t xml:space="preserve"> </w:t>
      </w:r>
      <m:oMath>
        <m:r>
          <m:t>T</m:t>
        </m:r>
        <m:r>
          <m:rPr>
            <m:sty m:val="p"/>
          </m:rPr>
          <m:t>=</m:t>
        </m:r>
        <m:r>
          <m:t>10</m:t>
        </m:r>
      </m:oMath>
      <w:r>
        <w:t xml:space="preserve"> </w:t>
      </w:r>
      <w:r>
        <w:t xml:space="preserve">pois no segundo o oponente ainda coopera, depois punição perpétua).</w:t>
      </w:r>
    </w:p>
    <w:p>
      <w:pPr>
        <w:pStyle w:val="BlockText"/>
      </w:pPr>
      <w:r>
        <w:t xml:space="preserve">Cooperação:</w:t>
      </w:r>
      <w:r>
        <w:t xml:space="preserve"> </w:t>
      </w:r>
      <m:oMath>
        <m:sSub>
          <m:e>
            <m:r>
              <m:t>V</m:t>
            </m:r>
          </m:e>
          <m:sub>
            <m:r>
              <m:rPr>
                <m:nor/>
                <m:sty m:val="p"/>
              </m:rPr>
              <m:t>coop</m:t>
            </m:r>
          </m:sub>
        </m:sSub>
        <m:r>
          <m:rPr>
            <m:sty m:val="p"/>
          </m:rPr>
          <m:t>=</m:t>
        </m:r>
        <m:r>
          <m:t>6</m:t>
        </m:r>
        <m:r>
          <m:rPr>
            <m:sty m:val="p"/>
          </m:rPr>
          <m:t>/</m:t>
        </m:r>
        <m:r>
          <m:rPr>
            <m:sty m:val="p"/>
          </m:rPr>
          <m:t>(</m:t>
        </m:r>
        <m:r>
          <m:t>1</m:t>
        </m:r>
        <m:r>
          <m:rPr>
            <m:sty m:val="p"/>
          </m:rPr>
          <m:t>−</m:t>
        </m:r>
        <m:r>
          <m:t>δ</m:t>
        </m:r>
        <m:r>
          <m:rPr>
            <m:sty m:val="p"/>
          </m:rPr>
          <m:t>)</m:t>
        </m:r>
      </m:oMath>
      <w:r>
        <w:t xml:space="preserve">.</w:t>
      </w:r>
    </w:p>
    <w:p>
      <w:pPr>
        <w:pStyle w:val="BlockText"/>
      </w:pPr>
      <w:r>
        <w:t xml:space="preserve">A condição vinculante é contra o desvio permanente:</w:t>
      </w:r>
    </w:p>
    <w:p>
      <w:pPr>
        <w:pStyle w:val="BlockText"/>
      </w:pPr>
      <w:r>
        <w:t xml:space="preserve">$$</w:t>
      </w:r>
    </w:p>
    <w:p>
      <w:pPr>
        <w:pStyle w:val="BlockText"/>
      </w:pPr>
      <w:r>
        <w:t xml:space="preserve"> </w:t>
      </w:r>
      <w:r>
        <w:t xml:space="preserve"> </w:t>
      </w:r>
      <w:r>
        <w:t xml:space="preserve">+ 10</w:t>
      </w:r>
      <w:r>
        <w:t xml:space="preserve">+</w:t>
      </w:r>
      <w:r>
        <w:t xml:space="preserve"> </w:t>
      </w:r>
    </w:p>
    <w:p>
      <w:pPr>
        <w:pStyle w:val="BlockText"/>
      </w:pPr>
      <w:r>
        <w:t xml:space="preserve">$$</w:t>
      </w:r>
    </w:p>
    <w:p>
      <w:pPr>
        <w:pStyle w:val="BlockText"/>
      </w:pPr>
      <w:r>
        <w:t xml:space="preserve">$$</w:t>
      </w:r>
    </w:p>
    <w:p>
      <w:pPr>
        <w:pStyle w:val="BlockText"/>
      </w:pPr>
      <w:r>
        <w:t xml:space="preserve">6</w:t>
      </w:r>
      <w:r>
        <w:t xml:space="preserve"> </w:t>
      </w:r>
      <w:r>
        <w:t xml:space="preserve">(1-</w:t>
      </w:r>
      <w:r>
        <w:t xml:space="preserve">) + 10</w:t>
      </w:r>
      <w:r>
        <w:t xml:space="preserve">(1-</w:t>
      </w:r>
      <w:r>
        <w:t xml:space="preserve">) + 2</w:t>
      </w:r>
      <w:r>
        <w:t xml:space="preserve">^2 = 10 - 10</w:t>
      </w:r>
      <w:r>
        <w:t xml:space="preserve">+ 10</w:t>
      </w:r>
      <w:r>
        <w:t xml:space="preserve">- 10</w:t>
      </w:r>
      <w:r>
        <w:t xml:space="preserve">^2 + 2</w:t>
      </w:r>
      <w:r>
        <w:t xml:space="preserve">^2</w:t>
      </w:r>
    </w:p>
    <w:p>
      <w:pPr>
        <w:pStyle w:val="BlockText"/>
      </w:pPr>
      <w:r>
        <w:t xml:space="preserve">$$</w:t>
      </w:r>
    </w:p>
    <w:p>
      <w:pPr>
        <w:pStyle w:val="BlockText"/>
      </w:pPr>
      <w:r>
        <w:t xml:space="preserve">$$</w:t>
      </w:r>
    </w:p>
    <w:p>
      <w:pPr>
        <w:pStyle w:val="BlockText"/>
      </w:pPr>
      <w:r>
        <w:t xml:space="preserve">6</w:t>
      </w:r>
      <w:r>
        <w:t xml:space="preserve"> </w:t>
      </w:r>
      <w:r>
        <w:t xml:space="preserve"> </w:t>
      </w:r>
      <w:r>
        <w:t xml:space="preserve">- 8</w:t>
      </w:r>
      <w:r>
        <w:t xml:space="preserve">^2</w:t>
      </w:r>
      <w:r>
        <w:t xml:space="preserve"> </w:t>
      </w:r>
      <w:r>
        <w:t xml:space="preserve">^2</w:t>
      </w:r>
      <w:r>
        <w:t xml:space="preserve"> </w:t>
      </w:r>
      <w:r>
        <w:t xml:space="preserve"> </w:t>
      </w:r>
      <w:r>
        <w:t xml:space="preserve"> </w:t>
      </w:r>
      <w:r>
        <w:t xml:space="preserve">707</w:t>
      </w:r>
    </w:p>
    <w:p>
      <w:pPr>
        <w:pStyle w:val="BlockText"/>
      </w:pPr>
      <w:r>
        <w:t xml:space="preserve">$$</w:t>
      </w:r>
    </w:p>
    <w:p>
      <w:pPr>
        <w:pStyle w:val="BlockText"/>
      </w:pPr>
      <w:r>
        <w:rPr>
          <w:b/>
          <w:bCs/>
        </w:rPr>
        <w:t xml:space="preserve">(b)</w:t>
      </w:r>
      <w:r>
        <w:t xml:space="preserve"> </w:t>
      </w:r>
      <w:r>
        <w:t xml:space="preserve">Com grim trigger:</w:t>
      </w:r>
      <w:r>
        <w:t xml:space="preserve"> </w:t>
      </w:r>
      <m:oMath>
        <m:sSup>
          <m:e>
            <m:r>
              <m:t>δ</m:t>
            </m:r>
          </m:e>
          <m:sup>
            <m:r>
              <m:rPr>
                <m:sty m:val="p"/>
              </m:rPr>
              <m:t>*</m:t>
            </m:r>
          </m:sup>
        </m:sSup>
        <m:r>
          <m:rPr>
            <m:sty m:val="p"/>
          </m:rPr>
          <m:t>=</m:t>
        </m:r>
        <m:r>
          <m:rPr>
            <m:sty m:val="p"/>
          </m:rPr>
          <m:t>(</m:t>
        </m:r>
        <m:r>
          <m:t>T</m:t>
        </m:r>
        <m:r>
          <m:rPr>
            <m:sty m:val="p"/>
          </m:rPr>
          <m:t>−</m:t>
        </m:r>
        <m:r>
          <m:t>R</m:t>
        </m:r>
        <m:r>
          <m:rPr>
            <m:sty m:val="p"/>
          </m:rPr>
          <m:t>)</m:t>
        </m:r>
        <m:r>
          <m:rPr>
            <m:sty m:val="p"/>
          </m:rPr>
          <m:t>/</m:t>
        </m:r>
        <m:r>
          <m:rPr>
            <m:sty m:val="p"/>
          </m:rPr>
          <m:t>(</m:t>
        </m:r>
        <m:r>
          <m:t>T</m:t>
        </m:r>
        <m:r>
          <m:rPr>
            <m:sty m:val="p"/>
          </m:rPr>
          <m:t>−</m:t>
        </m:r>
        <m:r>
          <m:t>P</m:t>
        </m:r>
        <m:r>
          <m:rPr>
            <m:sty m:val="p"/>
          </m:rPr>
          <m:t>)</m:t>
        </m:r>
        <m:r>
          <m:rPr>
            <m:sty m:val="p"/>
          </m:rPr>
          <m:t>=</m:t>
        </m:r>
        <m:r>
          <m:t>4</m:t>
        </m:r>
        <m:r>
          <m:rPr>
            <m:sty m:val="p"/>
          </m:rPr>
          <m:t>/</m:t>
        </m:r>
        <m:r>
          <m:t>8</m:t>
        </m:r>
        <m:r>
          <m:rPr>
            <m:sty m:val="p"/>
          </m:rPr>
          <m:t>=</m:t>
        </m:r>
        <m:r>
          <m:t>0</m:t>
        </m:r>
        <m:r>
          <m:rPr>
            <m:sty m:val="p"/>
          </m:rPr>
          <m:t>,</m:t>
        </m:r>
        <m:r>
          <m:t>5</m:t>
        </m:r>
      </m:oMath>
      <w:r>
        <w:t xml:space="preserve">. Com</w:t>
      </w:r>
      <w:r>
        <w:t xml:space="preserve"> </w:t>
      </w:r>
      <w:r>
        <w:rPr>
          <w:i/>
          <w:iCs/>
        </w:rPr>
        <w:t xml:space="preserve">tit-for-tat</w:t>
      </w:r>
      <w:r>
        <w:t xml:space="preserve"> </w:t>
      </w:r>
      <w:r>
        <w:t xml:space="preserve">padrão:</w:t>
      </w:r>
      <w:r>
        <w:t xml:space="preserve"> </w:t>
      </w:r>
      <m:oMath>
        <m:sSup>
          <m:e>
            <m:r>
              <m:t>δ</m:t>
            </m:r>
          </m:e>
          <m:sup>
            <m:r>
              <m:rPr>
                <m:sty m:val="p"/>
              </m:rPr>
              <m:t>*</m:t>
            </m:r>
          </m:sup>
        </m:sSup>
        <m:r>
          <m:rPr>
            <m:sty m:val="p"/>
          </m:rPr>
          <m:t>=</m:t>
        </m:r>
        <m:r>
          <m:t>0</m:t>
        </m:r>
        <m:r>
          <m:rPr>
            <m:sty m:val="p"/>
          </m:rPr>
          <m:t>,</m:t>
        </m:r>
        <m:r>
          <m:t>5</m:t>
        </m:r>
      </m:oMath>
      <w:r>
        <w:t xml:space="preserve"> </w:t>
      </w:r>
      <w:r>
        <w:t xml:space="preserve">(mesma fórmula). Com TF2T:</w:t>
      </w:r>
      <w:r>
        <w:t xml:space="preserve"> </w:t>
      </w:r>
      <m:oMath>
        <m:sSup>
          <m:e>
            <m:r>
              <m:t>δ</m:t>
            </m:r>
          </m:e>
          <m:sup>
            <m:r>
              <m:rPr>
                <m:sty m:val="p"/>
              </m:rPr>
              <m:t>*</m:t>
            </m:r>
          </m:sup>
        </m:sSup>
        <m:r>
          <m:rPr>
            <m:sty m:val="p"/>
          </m:rPr>
          <m:t>≈</m:t>
        </m:r>
        <m:r>
          <m:t>0</m:t>
        </m:r>
        <m:r>
          <m:rPr>
            <m:sty m:val="p"/>
          </m:rPr>
          <m:t>,</m:t>
        </m:r>
        <m:r>
          <m:t>707</m:t>
        </m:r>
      </m:oMath>
      <w:r>
        <w:t xml:space="preserve">.</w:t>
      </w:r>
    </w:p>
    <w:p>
      <w:pPr>
        <w:pStyle w:val="BlockText"/>
      </w:pPr>
      <w:r>
        <w:t xml:space="preserve">A TF2T é</w:t>
      </w:r>
      <w:r>
        <w:t xml:space="preserve"> </w:t>
      </w:r>
      <w:r>
        <w:rPr>
          <w:b/>
          <w:bCs/>
        </w:rPr>
        <w:t xml:space="preserve">mais exigente</w:t>
      </w:r>
      <w:r>
        <w:t xml:space="preserve"> </w:t>
      </w:r>
      <w:r>
        <w:t xml:space="preserve">em termos de paciência — requer</w:t>
      </w:r>
      <w:r>
        <w:t xml:space="preserve"> </w:t>
      </w:r>
      <m:oMath>
        <m:r>
          <m:t>δ</m:t>
        </m:r>
      </m:oMath>
      <w:r>
        <w:t xml:space="preserve"> </w:t>
      </w:r>
      <w:r>
        <w:t xml:space="preserve">mais alto para sustentar cooperação, porque a punição é mais branda (tolera um desvio), o que reduz a deterrência.</w:t>
      </w:r>
    </w:p>
    <w:p>
      <w:pPr>
        <w:pStyle w:val="BlockText"/>
      </w:pPr>
      <w:r>
        <w:rPr>
          <w:b/>
          <w:bCs/>
        </w:rPr>
        <w:t xml:space="preserve">(c)</w:t>
      </w:r>
      <w:r>
        <w:t xml:space="preserve"> </w:t>
      </w:r>
      <w:r>
        <w:t xml:space="preserve">A vantagem da TF2T é que ela é mais</w:t>
      </w:r>
      <w:r>
        <w:t xml:space="preserve"> </w:t>
      </w:r>
      <w:r>
        <w:rPr>
          <w:b/>
          <w:bCs/>
        </w:rPr>
        <w:t xml:space="preserve">robusta a erros</w:t>
      </w:r>
      <w:r>
        <w:t xml:space="preserve"> </w:t>
      </w:r>
      <w:r>
        <w:t xml:space="preserve">e mais</w:t>
      </w:r>
      <w:r>
        <w:t xml:space="preserve"> </w:t>
      </w:r>
      <w:r>
        <w:rPr>
          <w:b/>
          <w:bCs/>
        </w:rPr>
        <w:t xml:space="preserve">crível como punição</w:t>
      </w:r>
      <w:r>
        <w:t xml:space="preserve">. Numa relação comercial real, é implausível que uma empresa abandone permanentemente a cooperação por causa de um único desvio (que poderia ser um erro ou um choque temporário). A TF2T filtra esses</w:t>
      </w:r>
      <w:r>
        <w:t xml:space="preserve"> </w:t>
      </w:r>
      <w:r>
        <w:t xml:space="preserve">“ruídos”</w:t>
      </w:r>
      <w:r>
        <w:t xml:space="preserve"> </w:t>
      </w:r>
      <w:r>
        <w:t xml:space="preserve">e só pune padrões consistentes de não-cooperação. Em termos de prova de renegociação, a punição da TF2T (um período de D) é temporária e proporcional, não envolvendo destruição mútua perpétua — é mais crível que a punição do grim trigger, que nenhum par de jogadores racionais manteria voluntariamente.</w:t>
      </w:r>
    </w:p>
    <w:p>
      <w:r>
        <w:pict>
          <v:rect style="width:0;height:1.5pt" o:hralign="center" o:hrstd="t" o:hr="t"/>
        </w:pict>
      </w:r>
    </w:p>
    <w:bookmarkEnd w:id="540"/>
    <w:bookmarkStart w:id="541" w:name="exercícios-9"/>
    <w:p>
      <w:pPr>
        <w:pStyle w:val="Heading3"/>
      </w:pPr>
      <w:r>
        <w:t xml:space="preserve">Exercícios</w:t>
      </w:r>
    </w:p>
    <w:p>
      <w:pPr>
        <w:pStyle w:val="FirstParagraph"/>
      </w:pPr>
      <w:r>
        <w:rPr>
          <w:b/>
          <w:bCs/>
        </w:rPr>
        <w:t xml:space="preserve">Exercício 9b.1.</w:t>
      </w:r>
      <w:r>
        <w:t xml:space="preserve"> </w:t>
      </w:r>
      <w:r>
        <w:t xml:space="preserve">(Credibilidade de ameaças) Considere o jogo de entrada com 3 estágios: (1) E decide se entra; (2) I decide se investe K em capacidade; (3) se E entrou, I decide se luta ou acomoda.</w:t>
      </w:r>
    </w:p>
    <w:p>
      <w:pPr>
        <w:pStyle w:val="BodyText"/>
      </w:pPr>
      <w:r>
        <w:t xml:space="preserve">Payoffs sem investimento: como no exemplo da Seção 9b.1.</w:t>
      </w:r>
      <w:r>
        <w:t xml:space="preserve"> </w:t>
      </w:r>
      <w:r>
        <w:t xml:space="preserve">Payoffs com investimento: se E entra e I luta, I obtém 0 (em vez de –1); o custo K reduz o payoff de I quando não luta em 1.</w:t>
      </w:r>
    </w:p>
    <w:p>
      <w:pPr>
        <w:numPr>
          <w:ilvl w:val="0"/>
          <w:numId w:val="1526"/>
        </w:numPr>
      </w:pPr>
      <w:r>
        <w:t xml:space="preserve">Para que valores de K a ameaça de lutar se torna crível?</w:t>
      </w:r>
    </w:p>
    <w:p>
      <w:pPr>
        <w:numPr>
          <w:ilvl w:val="0"/>
          <w:numId w:val="1526"/>
        </w:numPr>
      </w:pPr>
      <w:r>
        <w:t xml:space="preserve">Encontre o EPS para K que torna a ameaça crível.</w:t>
      </w:r>
    </w:p>
    <w:p>
      <w:pPr>
        <w:pStyle w:val="FirstParagraph"/>
      </w:pPr>
      <w:r>
        <w:t xml:space="preserve">Ver solução (Cap. 9)</w:t>
      </w:r>
    </w:p>
    <w:p>
      <w:r>
        <w:pict>
          <v:rect style="width:0;height:1.5pt" o:hralign="center" o:hrstd="t" o:hr="t"/>
        </w:pict>
      </w:r>
    </w:p>
    <w:p>
      <w:pPr>
        <w:pStyle w:val="FirstParagraph"/>
      </w:pPr>
      <w:r>
        <w:rPr>
          <w:b/>
          <w:bCs/>
        </w:rPr>
        <w:t xml:space="preserve">Exercício 9b.2.</w:t>
      </w:r>
      <w:r>
        <w:t xml:space="preserve"> </w:t>
      </w:r>
      <w:r>
        <w:t xml:space="preserve">(Tit-for-Tat) No Dilema dos Prisioneiros repetido com payoffs</w:t>
      </w:r>
      <w:r>
        <w:t xml:space="preserve"> </w:t>
      </w:r>
      <m:oMath>
        <m:r>
          <m:t>T</m:t>
        </m:r>
        <m:r>
          <m:rPr>
            <m:sty m:val="p"/>
          </m:rPr>
          <m:t>=</m:t>
        </m:r>
        <m:r>
          <m:t>5</m:t>
        </m:r>
      </m:oMath>
      <w:r>
        <w:t xml:space="preserve">,</w:t>
      </w:r>
      <w:r>
        <w:t xml:space="preserve"> </w:t>
      </w:r>
      <m:oMath>
        <m:r>
          <m:t>R</m:t>
        </m:r>
        <m:r>
          <m:rPr>
            <m:sty m:val="p"/>
          </m:rPr>
          <m:t>=</m:t>
        </m:r>
        <m:r>
          <m:t>3</m:t>
        </m:r>
      </m:oMath>
      <w:r>
        <w:t xml:space="preserve">,</w:t>
      </w:r>
      <w:r>
        <w:t xml:space="preserve"> </w:t>
      </w:r>
      <m:oMath>
        <m:r>
          <m:t>P</m:t>
        </m:r>
        <m:r>
          <m:rPr>
            <m:sty m:val="p"/>
          </m:rPr>
          <m:t>=</m:t>
        </m:r>
        <m:r>
          <m:t>1</m:t>
        </m:r>
      </m:oMath>
      <w:r>
        <w:t xml:space="preserve">,</w:t>
      </w:r>
      <w:r>
        <w:t xml:space="preserve"> </w:t>
      </w:r>
      <m:oMath>
        <m:r>
          <m:t>S</m:t>
        </m:r>
        <m:r>
          <m:rPr>
            <m:sty m:val="p"/>
          </m:rPr>
          <m:t>=</m:t>
        </m:r>
        <m:r>
          <m:t>0</m:t>
        </m:r>
      </m:oMath>
      <w:r>
        <w:t xml:space="preserve">:</w:t>
      </w:r>
    </w:p>
    <w:p>
      <w:pPr>
        <w:numPr>
          <w:ilvl w:val="0"/>
          <w:numId w:val="1527"/>
        </w:numPr>
      </w:pPr>
      <w:r>
        <w:t xml:space="preserve">Mostre que a cooperação com Tit-for-Tat requer</w:t>
      </w:r>
      <w:r>
        <w:t xml:space="preserve"> </w:t>
      </w:r>
      <m:oMath>
        <m:r>
          <m:t>δ</m:t>
        </m:r>
        <m:r>
          <m:rPr>
            <m:sty m:val="p"/>
          </m:rPr>
          <m:t>≥</m:t>
        </m:r>
        <m:r>
          <m:rPr>
            <m:sty m:val="p"/>
          </m:rPr>
          <m:t>(</m:t>
        </m:r>
        <m:r>
          <m:t>T</m:t>
        </m:r>
        <m:r>
          <m:rPr>
            <m:sty m:val="p"/>
          </m:rPr>
          <m:t>−</m:t>
        </m:r>
        <m:r>
          <m:t>R</m:t>
        </m:r>
        <m:r>
          <m:rPr>
            <m:sty m:val="p"/>
          </m:rPr>
          <m:t>)</m:t>
        </m:r>
        <m:r>
          <m:rPr>
            <m:sty m:val="p"/>
          </m:rPr>
          <m:t>/</m:t>
        </m:r>
        <m:r>
          <m:rPr>
            <m:sty m:val="p"/>
          </m:rPr>
          <m:t>(</m:t>
        </m:r>
        <m:r>
          <m:t>T</m:t>
        </m:r>
        <m:r>
          <m:rPr>
            <m:sty m:val="p"/>
          </m:rPr>
          <m:t>−</m:t>
        </m:r>
        <m:r>
          <m:t>P</m:t>
        </m:r>
        <m:r>
          <m:rPr>
            <m:sty m:val="p"/>
          </m:rPr>
          <m:t>)</m:t>
        </m:r>
        <m:r>
          <m:rPr>
            <m:sty m:val="p"/>
          </m:rPr>
          <m:t>=</m:t>
        </m:r>
        <m:r>
          <m:t>2</m:t>
        </m:r>
        <m:r>
          <m:rPr>
            <m:sty m:val="p"/>
          </m:rPr>
          <m:t>/</m:t>
        </m:r>
        <m:r>
          <m:t>4</m:t>
        </m:r>
        <m:r>
          <m:rPr>
            <m:sty m:val="p"/>
          </m:rPr>
          <m:t>=</m:t>
        </m:r>
        <m:r>
          <m:t>1</m:t>
        </m:r>
        <m:r>
          <m:rPr>
            <m:sty m:val="p"/>
          </m:rPr>
          <m:t>/</m:t>
        </m:r>
        <m:r>
          <m:t>2</m:t>
        </m:r>
      </m:oMath>
      <w:r>
        <w:t xml:space="preserve">.</w:t>
      </w:r>
    </w:p>
    <w:p>
      <w:pPr>
        <w:numPr>
          <w:ilvl w:val="0"/>
          <w:numId w:val="1527"/>
        </w:numPr>
      </w:pPr>
      <w:r>
        <w:t xml:space="preserve">Compare com o grim trigger. Qual estratégia requer menor</w:t>
      </w:r>
      <w:r>
        <w:t xml:space="preserve"> </w:t>
      </w:r>
      <m:oMath>
        <m:sSup>
          <m:e>
            <m:r>
              <m:t>δ</m:t>
            </m:r>
          </m:e>
          <m:sup>
            <m:r>
              <m:rPr>
                <m:sty m:val="p"/>
              </m:rPr>
              <m:t>*</m:t>
            </m:r>
          </m:sup>
        </m:sSup>
      </m:oMath>
      <w:r>
        <w:t xml:space="preserve">?</w:t>
      </w:r>
    </w:p>
    <w:p>
      <w:pPr>
        <w:numPr>
          <w:ilvl w:val="0"/>
          <w:numId w:val="1527"/>
        </w:numPr>
      </w:pPr>
      <w:r>
        <w:t xml:space="preserve">Discuta as vantagens do Tit-for-Tat à luz dos torneios de Axelrod (1984).</w:t>
      </w:r>
    </w:p>
    <w:p>
      <w:pPr>
        <w:pStyle w:val="FirstParagraph"/>
      </w:pPr>
      <w:r>
        <w:t xml:space="preserve">Ver solução (Cap. 9)</w:t>
      </w:r>
    </w:p>
    <w:p>
      <w:r>
        <w:pict>
          <v:rect style="width:0;height:1.5pt" o:hralign="center" o:hrstd="t" o:hr="t"/>
        </w:pict>
      </w:r>
    </w:p>
    <w:p>
      <w:pPr>
        <w:pStyle w:val="FirstParagraph"/>
      </w:pPr>
      <w:r>
        <w:rPr>
          <w:b/>
          <w:bCs/>
        </w:rPr>
        <w:t xml:space="preserve">Exercício 9b.3.</w:t>
      </w:r>
      <w:r>
        <w:t xml:space="preserve"> </w:t>
      </w:r>
      <w:r>
        <w:t xml:space="preserve">(Barganha) Dois sindicatos negociam com uma empresa. O sindicato A tem</w:t>
      </w:r>
      <w:r>
        <w:t xml:space="preserve"> </w:t>
      </w:r>
      <m:oMath>
        <m:sSub>
          <m:e>
            <m:r>
              <m:t>δ</m:t>
            </m:r>
          </m:e>
          <m:sub>
            <m:r>
              <m:t>A</m:t>
            </m:r>
          </m:sub>
        </m:sSub>
        <m:r>
          <m:rPr>
            <m:sty m:val="p"/>
          </m:rPr>
          <m:t>=</m:t>
        </m:r>
        <m:r>
          <m:t>0</m:t>
        </m:r>
        <m:r>
          <m:rPr>
            <m:sty m:val="p"/>
          </m:rPr>
          <m:t>,</m:t>
        </m:r>
        <m:r>
          <m:t>95</m:t>
        </m:r>
      </m:oMath>
      <w:r>
        <w:t xml:space="preserve"> </w:t>
      </w:r>
      <w:r>
        <w:t xml:space="preserve">e o sindicato B tem</w:t>
      </w:r>
      <w:r>
        <w:t xml:space="preserve"> </w:t>
      </w:r>
      <m:oMath>
        <m:sSub>
          <m:e>
            <m:r>
              <m:t>δ</m:t>
            </m:r>
          </m:e>
          <m:sub>
            <m:r>
              <m:t>B</m:t>
            </m:r>
          </m:sub>
        </m:sSub>
        <m:r>
          <m:rPr>
            <m:sty m:val="p"/>
          </m:rPr>
          <m:t>=</m:t>
        </m:r>
        <m:r>
          <m:t>0</m:t>
        </m:r>
        <m:r>
          <m:rPr>
            <m:sty m:val="p"/>
          </m:rPr>
          <m:t>,</m:t>
        </m:r>
        <m:r>
          <m:t>7</m:t>
        </m:r>
      </m:oMath>
      <w:r>
        <w:t xml:space="preserve">. Qual sindicato obtém um acordo melhor no modelo de Rubinstein? Quantifique.</w:t>
      </w:r>
    </w:p>
    <w:p>
      <w:pPr>
        <w:pStyle w:val="BodyText"/>
      </w:pPr>
      <w:r>
        <w:t xml:space="preserve">Ver solução (Cap. 9)</w:t>
      </w:r>
    </w:p>
    <w:p>
      <w:r>
        <w:pict>
          <v:rect style="width:0;height:1.5pt" o:hralign="center" o:hrstd="t" o:hr="t"/>
        </w:pict>
      </w:r>
    </w:p>
    <w:p>
      <w:pPr>
        <w:pStyle w:val="FirstParagraph"/>
      </w:pPr>
      <w:r>
        <w:rPr>
          <w:b/>
          <w:bCs/>
        </w:rPr>
        <w:t xml:space="preserve">Exercício 9b.4.</w:t>
      </w:r>
      <w:r>
        <w:t xml:space="preserve"> </w:t>
      </w:r>
      <w:r>
        <w:t xml:space="preserve">(Conluio com N firmas) Mostre que no Cournot repetido infinitamente com</w:t>
      </w:r>
      <w:r>
        <w:t xml:space="preserve"> </w:t>
      </w:r>
      <m:oMath>
        <m:r>
          <m:t>N</m:t>
        </m:r>
      </m:oMath>
      <w:r>
        <w:t xml:space="preserve"> </w:t>
      </w:r>
      <w:r>
        <w:t xml:space="preserve">firmas simétricas, a cooperação requer</w:t>
      </w:r>
      <w:r>
        <w:t xml:space="preserve"> </w:t>
      </w:r>
      <m:oMath>
        <m:r>
          <m:t>δ</m:t>
        </m:r>
        <m:r>
          <m:rPr>
            <m:sty m:val="p"/>
          </m:rPr>
          <m:t>≥</m:t>
        </m:r>
        <m:f>
          <m:fPr>
            <m:type m:val="bar"/>
          </m:fPr>
          <m:num>
            <m:r>
              <m:rPr>
                <m:sty m:val="p"/>
              </m:rPr>
              <m:t>(</m:t>
            </m:r>
            <m:r>
              <m:t>N</m:t>
            </m:r>
            <m:r>
              <m:rPr>
                <m:sty m:val="p"/>
              </m:rPr>
              <m:t>−</m:t>
            </m:r>
            <m:r>
              <m:t>1</m:t>
            </m:r>
            <m:sSup>
              <m:e>
                <m:r>
                  <m:rPr>
                    <m:sty m:val="p"/>
                  </m:rPr>
                  <m:t>)</m:t>
                </m:r>
              </m:e>
              <m:sup>
                <m:r>
                  <m:t>2</m:t>
                </m:r>
              </m:sup>
            </m:sSup>
            <m:r>
              <m:rPr>
                <m:sty m:val="p"/>
              </m:rPr>
              <m:t>(</m:t>
            </m:r>
            <m:r>
              <m:t>N</m:t>
            </m:r>
            <m:r>
              <m:rPr>
                <m:sty m:val="p"/>
              </m:rPr>
              <m:t>+</m:t>
            </m:r>
            <m:r>
              <m:t>1</m:t>
            </m:r>
            <m:sSup>
              <m:e>
                <m:r>
                  <m:rPr>
                    <m:sty m:val="p"/>
                  </m:rPr>
                  <m:t>)</m:t>
                </m:r>
              </m:e>
              <m:sup>
                <m:r>
                  <m:t>2</m:t>
                </m:r>
              </m:sup>
            </m:sSup>
          </m:num>
          <m:den>
            <m:r>
              <m:rPr>
                <m:sty m:val="p"/>
              </m:rPr>
              <m:t>(</m:t>
            </m:r>
            <m:r>
              <m:t>N</m:t>
            </m:r>
            <m:r>
              <m:rPr>
                <m:sty m:val="p"/>
              </m:rPr>
              <m:t>+</m:t>
            </m:r>
            <m:r>
              <m:t>1</m:t>
            </m:r>
            <m:sSup>
              <m:e>
                <m:r>
                  <m:rPr>
                    <m:sty m:val="p"/>
                  </m:rPr>
                  <m:t>)</m:t>
                </m:r>
              </m:e>
              <m:sup>
                <m:r>
                  <m:t>4</m:t>
                </m:r>
              </m:sup>
            </m:sSup>
            <m:r>
              <m:rPr>
                <m:sty m:val="p"/>
              </m:rPr>
              <m:t>−</m:t>
            </m:r>
            <m:r>
              <m:t>16</m:t>
            </m:r>
            <m:sSup>
              <m:e>
                <m:r>
                  <m:t>N</m:t>
                </m:r>
              </m:e>
              <m:sup>
                <m:r>
                  <m:t>2</m:t>
                </m:r>
              </m:sup>
            </m:sSup>
          </m:den>
        </m:f>
      </m:oMath>
      <w:r>
        <w:t xml:space="preserve">. Para</w:t>
      </w:r>
      <w:r>
        <w:t xml:space="preserve"> </w:t>
      </w:r>
      <m:oMath>
        <m:r>
          <m:t>N</m:t>
        </m:r>
        <m:r>
          <m:rPr>
            <m:sty m:val="p"/>
          </m:rPr>
          <m:t>=</m:t>
        </m:r>
        <m:r>
          <m:t>2</m:t>
        </m:r>
      </m:oMath>
      <w:r>
        <w:t xml:space="preserve">, qual é</w:t>
      </w:r>
      <w:r>
        <w:t xml:space="preserve"> </w:t>
      </w:r>
      <m:oMath>
        <m:sSup>
          <m:e>
            <m:r>
              <m:t>δ</m:t>
            </m:r>
          </m:e>
          <m:sup>
            <m:r>
              <m:rPr>
                <m:sty m:val="p"/>
              </m:rPr>
              <m:t>*</m:t>
            </m:r>
          </m:sup>
        </m:sSup>
      </m:oMath>
      <w:r>
        <w:t xml:space="preserve">? E para</w:t>
      </w:r>
      <w:r>
        <w:t xml:space="preserve"> </w:t>
      </w:r>
      <m:oMath>
        <m:r>
          <m:t>N</m:t>
        </m:r>
        <m:r>
          <m:rPr>
            <m:sty m:val="p"/>
          </m:rPr>
          <m:t>=</m:t>
        </m:r>
        <m:r>
          <m:t>10</m:t>
        </m:r>
      </m:oMath>
      <w:r>
        <w:t xml:space="preserve">?</w:t>
      </w:r>
    </w:p>
    <w:p>
      <w:pPr>
        <w:pStyle w:val="BodyText"/>
      </w:pPr>
      <w:r>
        <w:t xml:space="preserve">Ver solução (Cap. 9)</w:t>
      </w:r>
    </w:p>
    <w:p>
      <w:r>
        <w:pict>
          <v:rect style="width:0;height:1.5pt" o:hralign="center" o:hrstd="t" o:hr="t"/>
        </w:pict>
      </w:r>
    </w:p>
    <w:p>
      <w:pPr>
        <w:pStyle w:val="FirstParagraph"/>
      </w:pPr>
      <w:r>
        <w:rPr>
          <w:b/>
          <w:bCs/>
        </w:rPr>
        <w:t xml:space="preserve">Exercício 9b.5.</w:t>
      </w:r>
      <w:r>
        <w:t xml:space="preserve"> </w:t>
      </w:r>
      <w:r>
        <w:t xml:space="preserve">(Fácil — Indução retroativa num jogo de entrada em 2 estágios) Uma firma entrante (E) decide se entra num mercado. Se entrar, a incumbente (I) decide se luta ou acomoda. Os payoffs são os seguintes:</w:t>
      </w:r>
    </w:p>
    <w:p>
      <w:pPr>
        <w:pStyle w:val="Compact"/>
        <w:numPr>
          <w:ilvl w:val="0"/>
          <w:numId w:val="1528"/>
        </w:numPr>
      </w:pPr>
      <w:r>
        <w:t xml:space="preserve">E não entra:</w:t>
      </w:r>
      <w:r>
        <w:t xml:space="preserve"> </w:t>
      </w:r>
      <m:oMath>
        <m:r>
          <m:rPr>
            <m:sty m:val="p"/>
          </m:rPr>
          <m:t>(</m:t>
        </m:r>
        <m:r>
          <m:t>0</m:t>
        </m:r>
        <m:r>
          <m:rPr>
            <m:sty m:val="p"/>
          </m:rPr>
          <m:t>,</m:t>
        </m:r>
        <m:r>
          <m:t>10</m:t>
        </m:r>
        <m:r>
          <m:rPr>
            <m:sty m:val="p"/>
          </m:rPr>
          <m:t>)</m:t>
        </m:r>
      </m:oMath>
    </w:p>
    <w:p>
      <w:pPr>
        <w:pStyle w:val="Compact"/>
        <w:numPr>
          <w:ilvl w:val="0"/>
          <w:numId w:val="1528"/>
        </w:numPr>
      </w:pPr>
      <w:r>
        <w:t xml:space="preserve">E entra, I acomoda:</w:t>
      </w:r>
      <w:r>
        <w:t xml:space="preserve"> </w:t>
      </w:r>
      <m:oMath>
        <m:r>
          <m:rPr>
            <m:sty m:val="p"/>
          </m:rPr>
          <m:t>(</m:t>
        </m:r>
        <m:r>
          <m:t>4</m:t>
        </m:r>
        <m:r>
          <m:rPr>
            <m:sty m:val="p"/>
          </m:rPr>
          <m:t>,</m:t>
        </m:r>
        <m:r>
          <m:t>4</m:t>
        </m:r>
        <m:r>
          <m:rPr>
            <m:sty m:val="p"/>
          </m:rPr>
          <m:t>)</m:t>
        </m:r>
      </m:oMath>
    </w:p>
    <w:p>
      <w:pPr>
        <w:pStyle w:val="Compact"/>
        <w:numPr>
          <w:ilvl w:val="0"/>
          <w:numId w:val="1528"/>
        </w:numPr>
      </w:pPr>
      <w:r>
        <w:t xml:space="preserve">E entra, I luta:</w:t>
      </w:r>
      <w:r>
        <w:t xml:space="preserve"> </w:t>
      </w:r>
      <m:oMath>
        <m:r>
          <m:rPr>
            <m:sty m:val="p"/>
          </m:rPr>
          <m:t>(</m:t>
        </m:r>
        <m:r>
          <m:rPr>
            <m:sty m:val="p"/>
          </m:rPr>
          <m:t>−</m:t>
        </m:r>
        <m:r>
          <m:t>2</m:t>
        </m:r>
        <m:r>
          <m:rPr>
            <m:sty m:val="p"/>
          </m:rPr>
          <m:t>,</m:t>
        </m:r>
        <m:r>
          <m:rPr>
            <m:sty m:val="p"/>
          </m:rPr>
          <m:t>−</m:t>
        </m:r>
        <m:r>
          <m:t>2</m:t>
        </m:r>
        <m:r>
          <m:rPr>
            <m:sty m:val="p"/>
          </m:rPr>
          <m:t>)</m:t>
        </m:r>
      </m:oMath>
    </w:p>
    <w:p>
      <w:pPr>
        <w:numPr>
          <w:ilvl w:val="0"/>
          <w:numId w:val="1529"/>
        </w:numPr>
      </w:pPr>
      <w:r>
        <w:t xml:space="preserve">Represente o jogo na forma extensiva (árvore) e identifique todos os subjogos.</w:t>
      </w:r>
    </w:p>
    <w:p>
      <w:pPr>
        <w:numPr>
          <w:ilvl w:val="0"/>
          <w:numId w:val="1529"/>
        </w:numPr>
      </w:pPr>
      <w:r>
        <w:t xml:space="preserve">Encontre todos os equilíbrios de Nash do jogo (em forma normal).</w:t>
      </w:r>
    </w:p>
    <w:p>
      <w:pPr>
        <w:numPr>
          <w:ilvl w:val="0"/>
          <w:numId w:val="1529"/>
        </w:numPr>
      </w:pPr>
      <w:r>
        <w:t xml:space="preserve">Aplique indução retroativa e identifique o único EPS. Qual ameaça é eliminada?</w:t>
      </w:r>
    </w:p>
    <w:p>
      <w:pPr>
        <w:pStyle w:val="FirstParagraph"/>
      </w:pPr>
      <w:r>
        <w:t xml:space="preserve">Ver solução (Cap. 9)</w:t>
      </w:r>
    </w:p>
    <w:p>
      <w:r>
        <w:pict>
          <v:rect style="width:0;height:1.5pt" o:hralign="center" o:hrstd="t" o:hr="t"/>
        </w:pict>
      </w:r>
    </w:p>
    <w:p>
      <w:pPr>
        <w:pStyle w:val="FirstParagraph"/>
      </w:pPr>
      <w:r>
        <w:rPr>
          <w:b/>
          <w:bCs/>
        </w:rPr>
        <w:t xml:space="preserve">Exercício 9b.6.</w:t>
      </w:r>
      <w:r>
        <w:t xml:space="preserve"> </w:t>
      </w:r>
      <w:r>
        <w:t xml:space="preserve">(Fácil — EPS em barganha sequencial de 2 rodadas) Dois agentes negociam a divisão de R$ 100. Na rodada 1, o agente A propõe uma divisão</w:t>
      </w:r>
      <w:r>
        <w:t xml:space="preserve"> </w:t>
      </w:r>
      <m:oMath>
        <m:r>
          <m:rPr>
            <m:sty m:val="p"/>
          </m:rPr>
          <m:t>(</m:t>
        </m:r>
        <m:r>
          <m:t>x</m:t>
        </m:r>
        <m:r>
          <m:rPr>
            <m:sty m:val="p"/>
          </m:rPr>
          <m:t>,</m:t>
        </m:r>
        <m:r>
          <m:t>100</m:t>
        </m:r>
        <m:r>
          <m:rPr>
            <m:sty m:val="p"/>
          </m:rPr>
          <m:t>−</m:t>
        </m:r>
        <m:r>
          <m:t>x</m:t>
        </m:r>
        <m:r>
          <m:rPr>
            <m:sty m:val="p"/>
          </m:rPr>
          <m:t>)</m:t>
        </m:r>
      </m:oMath>
      <w:r>
        <w:t xml:space="preserve">. Se B aceita, o jogo termina. Se B rejeita, na rodada 2 o agente B propõe</w:t>
      </w:r>
      <w:r>
        <w:t xml:space="preserve"> </w:t>
      </w:r>
      <m:oMath>
        <m:r>
          <m:rPr>
            <m:sty m:val="p"/>
          </m:rPr>
          <m:t>(</m:t>
        </m:r>
        <m:r>
          <m:t>y</m:t>
        </m:r>
        <m:r>
          <m:rPr>
            <m:sty m:val="p"/>
          </m:rPr>
          <m:t>,</m:t>
        </m:r>
        <m:r>
          <m:t>100</m:t>
        </m:r>
        <m:r>
          <m:rPr>
            <m:sty m:val="p"/>
          </m:rPr>
          <m:t>−</m:t>
        </m:r>
        <m:r>
          <m:t>y</m:t>
        </m:r>
        <m:r>
          <m:rPr>
            <m:sty m:val="p"/>
          </m:rPr>
          <m:t>)</m:t>
        </m:r>
      </m:oMath>
      <w:r>
        <w:t xml:space="preserve">; A aceita ou rejeita (se A rejeita, ambos recebem 0). Ambos têm fator de desconto</w:t>
      </w:r>
      <w:r>
        <w:t xml:space="preserve"> </w:t>
      </w:r>
      <m:oMath>
        <m:r>
          <m:t>δ</m:t>
        </m:r>
        <m:r>
          <m:rPr>
            <m:sty m:val="p"/>
          </m:rPr>
          <m:t>=</m:t>
        </m:r>
        <m:r>
          <m:t>0</m:t>
        </m:r>
        <m:r>
          <m:rPr>
            <m:sty m:val="p"/>
          </m:rPr>
          <m:t>,</m:t>
        </m:r>
        <m:r>
          <m:t>8</m:t>
        </m:r>
      </m:oMath>
      <w:r>
        <w:t xml:space="preserve"> </w:t>
      </w:r>
      <w:r>
        <w:t xml:space="preserve">(o valor do acordo diminui em 20% a cada rodada rejeitada).</w:t>
      </w:r>
    </w:p>
    <w:p>
      <w:pPr>
        <w:numPr>
          <w:ilvl w:val="0"/>
          <w:numId w:val="1530"/>
        </w:numPr>
      </w:pPr>
      <w:r>
        <w:t xml:space="preserve">Resolva por indução retroativa, começando pela rodada 2.</w:t>
      </w:r>
    </w:p>
    <w:p>
      <w:pPr>
        <w:numPr>
          <w:ilvl w:val="0"/>
          <w:numId w:val="1530"/>
        </w:numPr>
      </w:pPr>
      <w:r>
        <w:t xml:space="preserve">Qual é a oferta de equilíbrio de A na rodada 1?</w:t>
      </w:r>
    </w:p>
    <w:p>
      <w:pPr>
        <w:numPr>
          <w:ilvl w:val="0"/>
          <w:numId w:val="1530"/>
        </w:numPr>
      </w:pPr>
      <w:r>
        <w:t xml:space="preserve">Como muda a divisão se</w:t>
      </w:r>
      <w:r>
        <w:t xml:space="preserve"> </w:t>
      </w:r>
      <m:oMath>
        <m:r>
          <m:t>δ</m:t>
        </m:r>
      </m:oMath>
      <w:r>
        <w:t xml:space="preserve"> </w:t>
      </w:r>
      <w:r>
        <w:t xml:space="preserve">cai para 0,5? Interprete economicamente.</w:t>
      </w:r>
    </w:p>
    <w:p>
      <w:pPr>
        <w:pStyle w:val="FirstParagraph"/>
      </w:pPr>
      <w:r>
        <w:t xml:space="preserve">Ver solução (Cap. 9)</w:t>
      </w:r>
    </w:p>
    <w:p>
      <w:r>
        <w:pict>
          <v:rect style="width:0;height:1.5pt" o:hralign="center" o:hrstd="t" o:hr="t"/>
        </w:pict>
      </w:r>
    </w:p>
    <w:p>
      <w:pPr>
        <w:pStyle w:val="FirstParagraph"/>
      </w:pPr>
      <w:r>
        <w:rPr>
          <w:b/>
          <w:bCs/>
        </w:rPr>
        <w:t xml:space="preserve">Exercício 9b.7.</w:t>
      </w:r>
      <w:r>
        <w:t xml:space="preserve"> </w:t>
      </w:r>
      <w:r>
        <w:t xml:space="preserve">(Médio — Dilema dos Prisioneiros finitamente repetido) Dois concorrentes jogam o seguinte Dilema dos Prisioneiros exatamente</w:t>
      </w:r>
      <w:r>
        <w:t xml:space="preserve"> </w:t>
      </w:r>
      <m:oMath>
        <m:r>
          <m:t>T</m:t>
        </m:r>
        <m:r>
          <m:rPr>
            <m:sty m:val="p"/>
          </m:rPr>
          <m:t>=</m:t>
        </m:r>
        <m:r>
          <m:t>3</m:t>
        </m:r>
      </m:oMath>
      <w:r>
        <w:t xml:space="preserve"> </w:t>
      </w:r>
      <w:r>
        <w:t xml:space="preserve">vezes: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C</w:t>
            </w:r>
          </w:p>
        </w:tc>
        <w:tc>
          <w:tcPr/>
          <w:p>
            <w:pPr>
              <w:pStyle w:val="Compact"/>
              <w:jc w:val="center"/>
            </w:pPr>
            <w:r>
              <w:t xml:space="preserve">D</w:t>
            </w:r>
          </w:p>
        </w:tc>
      </w:tr>
      <w:tr>
        <w:tc>
          <w:tcPr/>
          <w:p>
            <w:pPr>
              <w:pStyle w:val="Compact"/>
              <w:jc w:val="left"/>
            </w:pPr>
            <w:r>
              <w:rPr>
                <w:b/>
                <w:bCs/>
              </w:rPr>
              <w:t xml:space="preserve">C</w:t>
            </w:r>
          </w:p>
        </w:tc>
        <w:tc>
          <w:tcPr/>
          <w:p>
            <w:pPr>
              <w:pStyle w:val="Compact"/>
              <w:jc w:val="center"/>
            </w:pPr>
            <m:oMath>
              <m:r>
                <m:rPr>
                  <m:sty m:val="p"/>
                </m:rPr>
                <m:t>(</m:t>
              </m:r>
              <m:r>
                <m:t>3</m:t>
              </m:r>
              <m:r>
                <m:rPr>
                  <m:sty m:val="p"/>
                </m:rPr>
                <m:t>,</m:t>
              </m:r>
              <m:r>
                <m:t>3</m:t>
              </m:r>
              <m:r>
                <m:rPr>
                  <m:sty m:val="p"/>
                </m:rPr>
                <m:t>)</m:t>
              </m:r>
            </m:oMath>
          </w:p>
        </w:tc>
        <w:tc>
          <w:tcPr/>
          <w:p>
            <w:pPr>
              <w:pStyle w:val="Compact"/>
              <w:jc w:val="center"/>
            </w:pPr>
            <m:oMath>
              <m:r>
                <m:rPr>
                  <m:sty m:val="p"/>
                </m:rPr>
                <m:t>(</m:t>
              </m:r>
              <m:r>
                <m:t>0</m:t>
              </m:r>
              <m:r>
                <m:rPr>
                  <m:sty m:val="p"/>
                </m:rPr>
                <m:t>,</m:t>
              </m:r>
              <m:r>
                <m:t>5</m:t>
              </m:r>
              <m:r>
                <m:rPr>
                  <m:sty m:val="p"/>
                </m:rPr>
                <m:t>)</m:t>
              </m:r>
            </m:oMath>
          </w:p>
        </w:tc>
      </w:tr>
      <w:tr>
        <w:tc>
          <w:tcPr/>
          <w:p>
            <w:pPr>
              <w:pStyle w:val="Compact"/>
              <w:jc w:val="left"/>
            </w:pPr>
            <w:r>
              <w:rPr>
                <w:b/>
                <w:bCs/>
              </w:rPr>
              <w:t xml:space="preserve">D</w:t>
            </w:r>
          </w:p>
        </w:tc>
        <w:tc>
          <w:tcPr/>
          <w:p>
            <w:pPr>
              <w:pStyle w:val="Compact"/>
              <w:jc w:val="center"/>
            </w:pPr>
            <m:oMath>
              <m:r>
                <m:rPr>
                  <m:sty m:val="p"/>
                </m:rPr>
                <m:t>(</m:t>
              </m:r>
              <m:r>
                <m:t>5</m:t>
              </m:r>
              <m:r>
                <m:rPr>
                  <m:sty m:val="p"/>
                </m:rPr>
                <m:t>,</m:t>
              </m:r>
              <m:r>
                <m:t>0</m:t>
              </m:r>
              <m:r>
                <m:rPr>
                  <m:sty m:val="p"/>
                </m:rPr>
                <m:t>)</m:t>
              </m:r>
            </m:oMath>
          </w:p>
        </w:tc>
        <w:tc>
          <w:tcPr/>
          <w:p>
            <w:pPr>
              <w:pStyle w:val="Compact"/>
              <w:jc w:val="center"/>
            </w:pPr>
            <m:oMath>
              <m:r>
                <m:rPr>
                  <m:sty m:val="p"/>
                </m:rPr>
                <m:t>(</m:t>
              </m:r>
              <m:r>
                <m:t>1</m:t>
              </m:r>
              <m:r>
                <m:rPr>
                  <m:sty m:val="p"/>
                </m:rPr>
                <m:t>,</m:t>
              </m:r>
              <m:r>
                <m:t>1</m:t>
              </m:r>
              <m:r>
                <m:rPr>
                  <m:sty m:val="p"/>
                </m:rPr>
                <m:t>)</m:t>
              </m:r>
            </m:oMath>
          </w:p>
        </w:tc>
      </w:tr>
    </w:tbl>
    <w:p>
      <w:pPr>
        <w:numPr>
          <w:ilvl w:val="0"/>
          <w:numId w:val="1531"/>
        </w:numPr>
      </w:pPr>
      <w:r>
        <w:t xml:space="preserve">Usando indução retroativa, mostre que o único EPS prescreve (D, D) em todos os 3 períodos.</w:t>
      </w:r>
    </w:p>
    <w:p>
      <w:pPr>
        <w:numPr>
          <w:ilvl w:val="0"/>
          <w:numId w:val="1531"/>
        </w:numPr>
      </w:pPr>
      <w:r>
        <w:t xml:space="preserve">Agora suponha que no período 3, além de (D, D), existe um segundo equilíbrio de estágio</w:t>
      </w:r>
      <w:r>
        <w:t xml:space="preserve"> </w:t>
      </w:r>
      <m:oMath>
        <m:r>
          <m:rPr>
            <m:sty m:val="p"/>
          </m:rPr>
          <m:t>(</m:t>
        </m:r>
        <m:r>
          <m:t>C</m:t>
        </m:r>
        <m:r>
          <m:rPr>
            <m:sty m:val="p"/>
          </m:rPr>
          <m:t>,</m:t>
        </m:r>
        <m:r>
          <m:t>C</m:t>
        </m:r>
        <m:r>
          <m:rPr>
            <m:sty m:val="p"/>
          </m:rPr>
          <m:t>)</m:t>
        </m:r>
      </m:oMath>
      <w:r>
        <w:t xml:space="preserve"> </w:t>
      </w:r>
      <w:r>
        <w:t xml:space="preserve">com payoff</w:t>
      </w:r>
      <w:r>
        <w:t xml:space="preserve"> </w:t>
      </w:r>
      <m:oMath>
        <m:r>
          <m:rPr>
            <m:sty m:val="p"/>
          </m:rPr>
          <m:t>(</m:t>
        </m:r>
        <m:r>
          <m:t>3</m:t>
        </m:r>
        <m:r>
          <m:rPr>
            <m:sty m:val="p"/>
          </m:rPr>
          <m:t>,</m:t>
        </m:r>
        <m:r>
          <m:t>3</m:t>
        </m:r>
        <m:r>
          <m:rPr>
            <m:sty m:val="p"/>
          </m:rPr>
          <m:t>)</m:t>
        </m:r>
      </m:oMath>
      <w:r>
        <w:t xml:space="preserve"> </w:t>
      </w:r>
      <w:r>
        <w:t xml:space="preserve">— por exemplo, por efeitos reputacionais externos. Como isso afeta a possibilidade de cooperação nos períodos 1 e 2? (Discuta qualitativamente, com base em Benoit e Krishna, 1985.)</w:t>
      </w:r>
    </w:p>
    <w:p>
      <w:pPr>
        <w:numPr>
          <w:ilvl w:val="0"/>
          <w:numId w:val="1531"/>
        </w:numPr>
      </w:pPr>
      <w:r>
        <w:t xml:space="preserve">Quantos EPS existem no jogo finitamente repetido do item (a)?</w:t>
      </w:r>
    </w:p>
    <w:p>
      <w:pPr>
        <w:pStyle w:val="FirstParagraph"/>
      </w:pPr>
      <w:r>
        <w:t xml:space="preserve">Ver solução (Cap. 9)</w:t>
      </w:r>
    </w:p>
    <w:p>
      <w:r>
        <w:pict>
          <v:rect style="width:0;height:1.5pt" o:hralign="center" o:hrstd="t" o:hr="t"/>
        </w:pict>
      </w:r>
    </w:p>
    <w:p>
      <w:pPr>
        <w:pStyle w:val="FirstParagraph"/>
      </w:pPr>
      <w:r>
        <w:rPr>
          <w:b/>
          <w:bCs/>
        </w:rPr>
        <w:t xml:space="preserve">Exercício 9b.8.</w:t>
      </w:r>
      <w:r>
        <w:t xml:space="preserve"> </w:t>
      </w:r>
      <w:r>
        <w:t xml:space="preserve">(Médio — Brasil — Sustentabilidade do conluio com taxa Selic) Duas distribuidoras de combustível interagem mensalmente. Os payoffs mensais (em R$ mil) são: cooperar = (50, 50); desviar unilateralmente = (80, 0) ou (0, 80); punição mútua permanente = (20, 20).</w:t>
      </w:r>
    </w:p>
    <w:p>
      <w:pPr>
        <w:numPr>
          <w:ilvl w:val="0"/>
          <w:numId w:val="1532"/>
        </w:numPr>
      </w:pPr>
      <w:r>
        <w:t xml:space="preserve">Qual é o</w:t>
      </w:r>
      <w:r>
        <w:t xml:space="preserve"> </w:t>
      </w:r>
      <m:oMath>
        <m:sSup>
          <m:e>
            <m:r>
              <m:t>δ</m:t>
            </m:r>
          </m:e>
          <m:sup>
            <m:r>
              <m:rPr>
                <m:sty m:val="p"/>
              </m:rPr>
              <m:t>*</m:t>
            </m:r>
          </m:sup>
        </m:sSup>
      </m:oMath>
      <w:r>
        <w:t xml:space="preserve"> </w:t>
      </w:r>
      <w:r>
        <w:t xml:space="preserve">mínimo para sustentar cooperação com grim trigger?</w:t>
      </w:r>
    </w:p>
    <w:p>
      <w:pPr>
        <w:numPr>
          <w:ilvl w:val="0"/>
          <w:numId w:val="1532"/>
        </w:numPr>
      </w:pPr>
      <w:r>
        <w:t xml:space="preserve">Com a taxa Selic a</w:t>
      </w:r>
      <w:r>
        <w:t xml:space="preserve"> </w:t>
      </w:r>
      <w:r>
        <w:rPr>
          <w:b/>
          <w:bCs/>
        </w:rPr>
        <w:t xml:space="preserve">13,75% a.a.</w:t>
      </w:r>
      <w:r>
        <w:t xml:space="preserve"> </w:t>
      </w:r>
      <w:r>
        <w:t xml:space="preserve">(pico de 2023), calcule o fator de desconto mensal</w:t>
      </w:r>
      <w:r>
        <w:t xml:space="preserve"> </w:t>
      </w:r>
      <m:oMath>
        <m:r>
          <m:t>δ</m:t>
        </m:r>
        <m:r>
          <m:rPr>
            <m:sty m:val="p"/>
          </m:rPr>
          <m:t>=</m:t>
        </m:r>
        <m:r>
          <m:t>1</m:t>
        </m:r>
        <m:r>
          <m:rPr>
            <m:sty m:val="p"/>
          </m:rPr>
          <m:t>/</m:t>
        </m:r>
        <m:r>
          <m:rPr>
            <m:sty m:val="p"/>
          </m:rPr>
          <m:t>(</m:t>
        </m:r>
        <m:r>
          <m:t>1</m:t>
        </m:r>
        <m:r>
          <m:rPr>
            <m:sty m:val="p"/>
          </m:rPr>
          <m:t>+</m:t>
        </m:r>
        <m:sSub>
          <m:e>
            <m:r>
              <m:t>r</m:t>
            </m:r>
          </m:e>
          <m:sub>
            <m:r>
              <m:rPr>
                <m:nor/>
                <m:sty m:val="p"/>
              </m:rPr>
              <m:t>mensal</m:t>
            </m:r>
          </m:sub>
        </m:sSub>
        <m:r>
          <m:rPr>
            <m:sty m:val="p"/>
          </m:rPr>
          <m:t>)</m:t>
        </m:r>
      </m:oMath>
      <w:r>
        <w:t xml:space="preserve"> </w:t>
      </w:r>
      <w:r>
        <w:t xml:space="preserve">e verifique se a cooperação é sustentável.</w:t>
      </w:r>
    </w:p>
    <w:p>
      <w:pPr>
        <w:numPr>
          <w:ilvl w:val="0"/>
          <w:numId w:val="1532"/>
        </w:numPr>
      </w:pPr>
      <w:r>
        <w:t xml:space="preserve">Com a Selic a</w:t>
      </w:r>
      <w:r>
        <w:t xml:space="preserve"> </w:t>
      </w:r>
      <w:r>
        <w:rPr>
          <w:b/>
          <w:bCs/>
        </w:rPr>
        <w:t xml:space="preserve">10,5% a.a.</w:t>
      </w:r>
      <w:r>
        <w:t xml:space="preserve"> </w:t>
      </w:r>
      <w:r>
        <w:t xml:space="preserve">(referência de 2024), recalcule</w:t>
      </w:r>
      <w:r>
        <w:t xml:space="preserve"> </w:t>
      </w:r>
      <m:oMath>
        <m:r>
          <m:t>δ</m:t>
        </m:r>
      </m:oMath>
      <w:r>
        <w:t xml:space="preserve"> </w:t>
      </w:r>
      <w:r>
        <w:t xml:space="preserve">e compare. Taxas de juros mais baixas facilitam ou dificultam o conluio? Discuta as implicações para a política antitruste.</w:t>
      </w:r>
    </w:p>
    <w:p>
      <w:pPr>
        <w:pStyle w:val="FirstParagraph"/>
      </w:pPr>
      <w:r>
        <w:t xml:space="preserve">Ver solução (Cap. 9)</w:t>
      </w:r>
    </w:p>
    <w:p>
      <w:r>
        <w:pict>
          <v:rect style="width:0;height:1.5pt" o:hralign="center" o:hrstd="t" o:hr="t"/>
        </w:pict>
      </w:r>
    </w:p>
    <w:p>
      <w:pPr>
        <w:pStyle w:val="FirstParagraph"/>
      </w:pPr>
      <w:r>
        <w:rPr>
          <w:b/>
          <w:bCs/>
        </w:rPr>
        <w:t xml:space="preserve">Exercício 9b.9.</w:t>
      </w:r>
      <w:r>
        <w:t xml:space="preserve"> </w:t>
      </w:r>
      <w:r>
        <w:t xml:space="preserve">(Difícil — Barganha de Rubinstein com paciência assimétrica) Dois agentes negociam a divisão de um bolo de tamanho 1 com ofertas alternadas. O agente 1 (proponente ímpar) tem fator de desconto</w:t>
      </w:r>
      <w:r>
        <w:t xml:space="preserve"> </w:t>
      </w:r>
      <m:oMath>
        <m:sSub>
          <m:e>
            <m:r>
              <m:t>δ</m:t>
            </m:r>
          </m:e>
          <m:sub>
            <m:r>
              <m:t>1</m:t>
            </m:r>
          </m:sub>
        </m:sSub>
      </m:oMath>
      <w:r>
        <w:t xml:space="preserve"> </w:t>
      </w:r>
      <w:r>
        <w:t xml:space="preserve">e o agente 2 (proponente par) tem</w:t>
      </w:r>
      <w:r>
        <w:t xml:space="preserve"> </w:t>
      </w:r>
      <m:oMath>
        <m:sSub>
          <m:e>
            <m:r>
              <m:t>δ</m:t>
            </m:r>
          </m:e>
          <m:sub>
            <m:r>
              <m:t>2</m:t>
            </m:r>
          </m:sub>
        </m:sSub>
      </m:oMath>
      <w:r>
        <w:t xml:space="preserve">, com</w:t>
      </w:r>
      <w:r>
        <w:t xml:space="preserve"> </w:t>
      </w:r>
      <m:oMath>
        <m:sSub>
          <m:e>
            <m:r>
              <m:t>δ</m:t>
            </m:r>
          </m:e>
          <m:sub>
            <m:r>
              <m:t>1</m:t>
            </m:r>
          </m:sub>
        </m:sSub>
        <m:r>
          <m:rPr>
            <m:sty m:val="p"/>
          </m:rPr>
          <m:t>≠</m:t>
        </m:r>
        <m:sSub>
          <m:e>
            <m:r>
              <m:t>δ</m:t>
            </m:r>
          </m:e>
          <m:sub>
            <m:r>
              <m:t>2</m:t>
            </m:r>
          </m:sub>
        </m:sSub>
      </m:oMath>
      <w:r>
        <w:t xml:space="preserve">.</w:t>
      </w:r>
    </w:p>
    <w:p>
      <w:pPr>
        <w:numPr>
          <w:ilvl w:val="0"/>
          <w:numId w:val="1533"/>
        </w:numPr>
      </w:pPr>
      <w:r>
        <w:t xml:space="preserve">Derive o único EPS de Rubinstein usando as condições de indiferença: o respondedor deve ser indiferente entre aceitar e rejeitar em equilíbrio. Mostre que as equações de ponto fixo levam à fórmula Eq. (eq:9b.2).</w:t>
      </w:r>
    </w:p>
    <w:p>
      <w:pPr>
        <w:numPr>
          <w:ilvl w:val="0"/>
          <w:numId w:val="1533"/>
        </w:numPr>
      </w:pPr>
      <w:r>
        <w:t xml:space="preserve">Calcule a divisão para</w:t>
      </w:r>
      <w:r>
        <w:t xml:space="preserve"> </w:t>
      </w:r>
      <m:oMath>
        <m:sSub>
          <m:e>
            <m:r>
              <m:t>δ</m:t>
            </m:r>
          </m:e>
          <m:sub>
            <m:r>
              <m:t>1</m:t>
            </m:r>
          </m:sub>
        </m:sSub>
        <m:r>
          <m:rPr>
            <m:sty m:val="p"/>
          </m:rPr>
          <m:t>=</m:t>
        </m:r>
        <m:r>
          <m:t>0</m:t>
        </m:r>
        <m:r>
          <m:rPr>
            <m:sty m:val="p"/>
          </m:rPr>
          <m:t>,</m:t>
        </m:r>
        <m:r>
          <m:t>9</m:t>
        </m:r>
      </m:oMath>
      <w:r>
        <w:t xml:space="preserve"> </w:t>
      </w:r>
      <w:r>
        <w:t xml:space="preserve">e</w:t>
      </w:r>
      <w:r>
        <w:t xml:space="preserve"> </w:t>
      </w:r>
      <m:oMath>
        <m:sSub>
          <m:e>
            <m:r>
              <m:t>δ</m:t>
            </m:r>
          </m:e>
          <m:sub>
            <m:r>
              <m:t>2</m:t>
            </m:r>
          </m:sub>
        </m:sSub>
        <m:r>
          <m:rPr>
            <m:sty m:val="p"/>
          </m:rPr>
          <m:t>=</m:t>
        </m:r>
        <m:r>
          <m:t>0</m:t>
        </m:r>
        <m:r>
          <m:rPr>
            <m:sty m:val="p"/>
          </m:rPr>
          <m:t>,</m:t>
        </m:r>
        <m:r>
          <m:t>5</m:t>
        </m:r>
      </m:oMath>
      <w:r>
        <w:t xml:space="preserve">. Quem tem maior poder de barganha?</w:t>
      </w:r>
    </w:p>
    <w:p>
      <w:pPr>
        <w:numPr>
          <w:ilvl w:val="0"/>
          <w:numId w:val="1533"/>
        </w:numPr>
      </w:pPr>
      <w:r>
        <w:t xml:space="preserve">Mostre que quando</w:t>
      </w:r>
      <w:r>
        <w:t xml:space="preserve"> </w:t>
      </w:r>
      <m:oMath>
        <m:sSub>
          <m:e>
            <m:r>
              <m:t>δ</m:t>
            </m:r>
          </m:e>
          <m:sub>
            <m:r>
              <m:t>1</m:t>
            </m:r>
          </m:sub>
        </m:sSub>
        <m:r>
          <m:rPr>
            <m:sty m:val="p"/>
          </m:rPr>
          <m:t>=</m:t>
        </m:r>
        <m:sSub>
          <m:e>
            <m:r>
              <m:t>δ</m:t>
            </m:r>
          </m:e>
          <m:sub>
            <m:r>
              <m:t>2</m:t>
            </m:r>
          </m:sub>
        </m:sSub>
        <m:r>
          <m:rPr>
            <m:sty m:val="p"/>
          </m:rPr>
          <m:t>=</m:t>
        </m:r>
        <m:r>
          <m:t>δ</m:t>
        </m:r>
      </m:oMath>
      <w:r>
        <w:t xml:space="preserve">, a vantagem do proponente desaparece quando</w:t>
      </w:r>
      <w:r>
        <w:t xml:space="preserve"> </w:t>
      </w:r>
      <m:oMath>
        <m:r>
          <m:t>δ</m:t>
        </m:r>
        <m:r>
          <m:rPr>
            <m:sty m:val="p"/>
          </m:rPr>
          <m:t>→</m:t>
        </m:r>
        <m:r>
          <m:t>1</m:t>
        </m:r>
      </m:oMath>
      <w:r>
        <w:t xml:space="preserve">. Qual é a interpretação econômica desse limite?</w:t>
      </w:r>
    </w:p>
    <w:p>
      <w:pPr>
        <w:numPr>
          <w:ilvl w:val="0"/>
          <w:numId w:val="1533"/>
        </w:numPr>
      </w:pPr>
      <w:r>
        <w:rPr>
          <w:b/>
          <w:bCs/>
        </w:rPr>
        <w:t xml:space="preserve">Aplicação:</w:t>
      </w:r>
      <w:r>
        <w:t xml:space="preserve"> </w:t>
      </w:r>
      <w:r>
        <w:t xml:space="preserve">Uma negociação trabalhista no Brasil tem</w:t>
      </w:r>
      <w:r>
        <w:t xml:space="preserve"> </w:t>
      </w:r>
      <m:oMath>
        <m:sSub>
          <m:e>
            <m:r>
              <m:t>δ</m:t>
            </m:r>
          </m:e>
          <m:sub>
            <m:r>
              <m:rPr>
                <m:nor/>
                <m:sty m:val="p"/>
              </m:rPr>
              <m:t>sind</m:t>
            </m:r>
          </m:sub>
        </m:sSub>
        <m:r>
          <m:rPr>
            <m:sty m:val="p"/>
          </m:rPr>
          <m:t>=</m:t>
        </m:r>
        <m:r>
          <m:t>0</m:t>
        </m:r>
        <m:r>
          <m:rPr>
            <m:sty m:val="p"/>
          </m:rPr>
          <m:t>,</m:t>
        </m:r>
        <m:r>
          <m:t>95</m:t>
        </m:r>
      </m:oMath>
      <w:r>
        <w:t xml:space="preserve"> </w:t>
      </w:r>
      <w:r>
        <w:t xml:space="preserve">(sindicato com fundo de greve robusto) e</w:t>
      </w:r>
      <w:r>
        <w:t xml:space="preserve"> </w:t>
      </w:r>
      <m:oMath>
        <m:sSub>
          <m:e>
            <m:r>
              <m:t>δ</m:t>
            </m:r>
          </m:e>
          <m:sub>
            <m:r>
              <m:rPr>
                <m:nor/>
                <m:sty m:val="p"/>
              </m:rPr>
              <m:t>emp</m:t>
            </m:r>
          </m:sub>
        </m:sSub>
        <m:r>
          <m:rPr>
            <m:sty m:val="p"/>
          </m:rPr>
          <m:t>=</m:t>
        </m:r>
        <m:r>
          <m:t>0</m:t>
        </m:r>
        <m:r>
          <m:rPr>
            <m:sty m:val="p"/>
          </m:rPr>
          <m:t>,</m:t>
        </m:r>
        <m:r>
          <m:t>7</m:t>
        </m:r>
      </m:oMath>
      <w:r>
        <w:t xml:space="preserve"> </w:t>
      </w:r>
      <w:r>
        <w:t xml:space="preserve">(empresa com estoque baixo e demanda aquecida). Qual fração do excedente o sindicato captura se ele propõe primeiro? E se a empresa propõe primeiro?</w:t>
      </w:r>
    </w:p>
    <w:p>
      <w:pPr>
        <w:pStyle w:val="FirstParagraph"/>
      </w:pPr>
      <w:r>
        <w:t xml:space="preserve">Ver solução (Cap. 9)</w:t>
      </w:r>
    </w:p>
    <w:p>
      <w:r>
        <w:pict>
          <v:rect style="width:0;height:1.5pt" o:hralign="center" o:hrstd="t" o:hr="t"/>
        </w:pict>
      </w:r>
    </w:p>
    <w:p>
      <w:pPr>
        <w:pStyle w:val="FirstParagraph"/>
      </w:pPr>
      <w:r>
        <w:rPr>
          <w:b/>
          <w:bCs/>
        </w:rPr>
        <w:t xml:space="preserve">Exercício 9b.10.</w:t>
      </w:r>
      <w:r>
        <w:t xml:space="preserve"> </w:t>
      </w:r>
      <w:r>
        <w:t xml:space="preserve">(Difícil — Dilema dos Prisioneiros finitamente repetido com horizonte incerto) Dois jogadores jogam o Dilema dos Prisioneiros com payoffs</w:t>
      </w:r>
      <w:r>
        <w:t xml:space="preserve"> </w:t>
      </w:r>
      <m:oMath>
        <m:r>
          <m:t>T</m:t>
        </m:r>
        <m:r>
          <m:rPr>
            <m:sty m:val="p"/>
          </m:rPr>
          <m:t>=</m:t>
        </m:r>
        <m:r>
          <m:t>8</m:t>
        </m:r>
      </m:oMath>
      <w:r>
        <w:t xml:space="preserve">,</w:t>
      </w:r>
      <w:r>
        <w:t xml:space="preserve"> </w:t>
      </w:r>
      <m:oMath>
        <m:r>
          <m:t>R</m:t>
        </m:r>
        <m:r>
          <m:rPr>
            <m:sty m:val="p"/>
          </m:rPr>
          <m:t>=</m:t>
        </m:r>
        <m:r>
          <m:t>5</m:t>
        </m:r>
      </m:oMath>
      <w:r>
        <w:t xml:space="preserve">,</w:t>
      </w:r>
      <w:r>
        <w:t xml:space="preserve"> </w:t>
      </w:r>
      <m:oMath>
        <m:r>
          <m:t>P</m:t>
        </m:r>
        <m:r>
          <m:rPr>
            <m:sty m:val="p"/>
          </m:rPr>
          <m:t>=</m:t>
        </m:r>
        <m:r>
          <m:t>1</m:t>
        </m:r>
      </m:oMath>
      <w:r>
        <w:t xml:space="preserve">,</w:t>
      </w:r>
      <w:r>
        <w:t xml:space="preserve"> </w:t>
      </w:r>
      <m:oMath>
        <m:r>
          <m:t>S</m:t>
        </m:r>
        <m:r>
          <m:rPr>
            <m:sty m:val="p"/>
          </m:rPr>
          <m:t>=</m:t>
        </m:r>
        <m:r>
          <m:t>0</m:t>
        </m:r>
      </m:oMath>
      <w:r>
        <w:t xml:space="preserve">. O jogo é repetido, mas após cada período há uma probabilidade</w:t>
      </w:r>
      <w:r>
        <w:t xml:space="preserve"> </w:t>
      </w:r>
      <m:oMath>
        <m:r>
          <m:t>p</m:t>
        </m:r>
      </m:oMath>
      <w:r>
        <w:t xml:space="preserve"> </w:t>
      </w:r>
      <w:r>
        <w:t xml:space="preserve">de que o jogo termine (e</w:t>
      </w:r>
      <w:r>
        <w:t xml:space="preserve"> </w:t>
      </w:r>
      <m:oMath>
        <m:r>
          <m:t>1</m:t>
        </m:r>
        <m:r>
          <m:rPr>
            <m:sty m:val="p"/>
          </m:rPr>
          <m:t>−</m:t>
        </m:r>
        <m:r>
          <m:t>p</m:t>
        </m:r>
      </m:oMath>
      <w:r>
        <w:t xml:space="preserve"> </w:t>
      </w:r>
      <w:r>
        <w:t xml:space="preserve">de que continue).</w:t>
      </w:r>
    </w:p>
    <w:p>
      <w:pPr>
        <w:numPr>
          <w:ilvl w:val="0"/>
          <w:numId w:val="1534"/>
        </w:numPr>
      </w:pPr>
      <w:r>
        <w:t xml:space="preserve">Mostre que o fator de desconto efetivo é</w:t>
      </w:r>
      <w:r>
        <w:t xml:space="preserve"> </w:t>
      </w:r>
      <m:oMath>
        <m:sSub>
          <m:e>
            <m:r>
              <m:t>δ</m:t>
            </m:r>
          </m:e>
          <m:sub>
            <m:r>
              <m:rPr>
                <m:nor/>
                <m:sty m:val="p"/>
              </m:rPr>
              <m:t>ef</m:t>
            </m:r>
          </m:sub>
        </m:sSub>
        <m:r>
          <m:rPr>
            <m:sty m:val="p"/>
          </m:rPr>
          <m:t>=</m:t>
        </m:r>
        <m:r>
          <m:t>δ</m:t>
        </m:r>
        <m:r>
          <m:rPr>
            <m:sty m:val="p"/>
          </m:rPr>
          <m:t>(</m:t>
        </m:r>
        <m:r>
          <m:t>1</m:t>
        </m:r>
        <m:r>
          <m:rPr>
            <m:sty m:val="p"/>
          </m:rPr>
          <m:t>−</m:t>
        </m:r>
        <m:r>
          <m:t>p</m:t>
        </m:r>
        <m:r>
          <m:rPr>
            <m:sty m:val="p"/>
          </m:rPr>
          <m:t>)</m:t>
        </m:r>
      </m:oMath>
      <w:r>
        <w:t xml:space="preserve">, onde</w:t>
      </w:r>
      <w:r>
        <w:t xml:space="preserve"> </w:t>
      </w:r>
      <m:oMath>
        <m:r>
          <m:t>δ</m:t>
        </m:r>
      </m:oMath>
      <w:r>
        <w:t xml:space="preserve"> </w:t>
      </w:r>
      <w:r>
        <w:t xml:space="preserve">é o fator de desconto puro. Derive a condição para sustentabilidade da cooperação com grim trigger em termos de</w:t>
      </w:r>
      <w:r>
        <w:t xml:space="preserve"> </w:t>
      </w:r>
      <m:oMath>
        <m:r>
          <m:t>δ</m:t>
        </m:r>
      </m:oMath>
      <w:r>
        <w:t xml:space="preserve"> </w:t>
      </w:r>
      <w:r>
        <w:t xml:space="preserve">e</w:t>
      </w:r>
      <w:r>
        <w:t xml:space="preserve"> </w:t>
      </w:r>
      <m:oMath>
        <m:r>
          <m:t>p</m:t>
        </m:r>
      </m:oMath>
      <w:r>
        <w:t xml:space="preserve">.</w:t>
      </w:r>
    </w:p>
    <w:p>
      <w:pPr>
        <w:numPr>
          <w:ilvl w:val="0"/>
          <w:numId w:val="1534"/>
        </w:numPr>
      </w:pPr>
      <w:r>
        <w:t xml:space="preserve">Se</w:t>
      </w:r>
      <w:r>
        <w:t xml:space="preserve"> </w:t>
      </w:r>
      <m:oMath>
        <m:r>
          <m:t>δ</m:t>
        </m:r>
        <m:r>
          <m:rPr>
            <m:sty m:val="p"/>
          </m:rPr>
          <m:t>=</m:t>
        </m:r>
        <m:r>
          <m:t>0</m:t>
        </m:r>
        <m:r>
          <m:rPr>
            <m:sty m:val="p"/>
          </m:rPr>
          <m:t>,</m:t>
        </m:r>
        <m:r>
          <m:t>95</m:t>
        </m:r>
      </m:oMath>
      <w:r>
        <w:t xml:space="preserve">, qual é a probabilidade máxima de término</w:t>
      </w:r>
      <w:r>
        <w:t xml:space="preserve"> </w:t>
      </w:r>
      <m:oMath>
        <m:sSup>
          <m:e>
            <m:r>
              <m:t>p</m:t>
            </m:r>
          </m:e>
          <m:sup>
            <m:r>
              <m:rPr>
                <m:sty m:val="p"/>
              </m:rPr>
              <m:t>*</m:t>
            </m:r>
          </m:sup>
        </m:sSup>
      </m:oMath>
      <w:r>
        <w:t xml:space="preserve"> </w:t>
      </w:r>
      <w:r>
        <w:t xml:space="preserve">que ainda permite sustentar cooperação?</w:t>
      </w:r>
    </w:p>
    <w:p>
      <w:pPr>
        <w:numPr>
          <w:ilvl w:val="0"/>
          <w:numId w:val="1534"/>
        </w:numPr>
      </w:pPr>
      <w:r>
        <w:t xml:space="preserve">Interprete o resultado: em mercados onde há alta probabilidade de saída de concorrentes (p alto), o conluio é mais ou menos estável? Relacione com a concentração do mercado de cimento no Brasil, onde poucas firmas operam com horizonte de longo prazo.</w:t>
      </w:r>
    </w:p>
    <w:p>
      <w:pPr>
        <w:pStyle w:val="FirstParagraph"/>
      </w:pPr>
      <w:r>
        <w:t xml:space="preserve">Ver solução (Cap. 9)</w:t>
      </w:r>
    </w:p>
    <w:p>
      <w:r>
        <w:pict>
          <v:rect style="width:0;height:1.5pt" o:hralign="center" o:hrstd="t" o:hr="t"/>
        </w:pict>
      </w:r>
    </w:p>
    <w:bookmarkEnd w:id="541"/>
    <w:bookmarkStart w:id="542" w:name="vem-anpec-8"/>
    <w:p>
      <w:pPr>
        <w:pStyle w:val="Heading3"/>
      </w:pPr>
      <w:r>
        <w:t xml:space="preserve">Vem, ANPEC!</w:t>
      </w:r>
    </w:p>
    <w:p>
      <w:pPr>
        <w:pStyle w:val="BlockText"/>
      </w:pPr>
      <w:r>
        <w:rPr>
          <w:b/>
          <w:bCs/>
        </w:rPr>
        <w:t xml:space="preserve">[QUESTAO] ANPEC 2010 — Questão 10</w:t>
      </w:r>
    </w:p>
    <w:p>
      <w:pPr>
        <w:pStyle w:val="BlockText"/>
      </w:pPr>
      <w:r>
        <w:t xml:space="preserve">Considere o jogo</w:t>
      </w:r>
      <w:r>
        <w:t xml:space="preserve"> </w:t>
      </w:r>
      <w:r>
        <w:t xml:space="preserve">“caça ao cervo”</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Caçador 2: Cervo</w:t>
            </w:r>
          </w:p>
        </w:tc>
        <w:tc>
          <w:tcPr/>
          <w:p>
            <w:pPr>
              <w:pStyle w:val="Compact"/>
              <w:jc w:val="center"/>
            </w:pPr>
            <w:r>
              <w:t xml:space="preserve">Caçador 2: Lebre</w:t>
            </w:r>
          </w:p>
        </w:tc>
      </w:tr>
      <w:tr>
        <w:tc>
          <w:tcPr/>
          <w:p>
            <w:pPr>
              <w:pStyle w:val="Compact"/>
              <w:jc w:val="left"/>
            </w:pPr>
            <w:r>
              <w:rPr>
                <w:b/>
                <w:bCs/>
              </w:rPr>
              <w:t xml:space="preserve">Caçador 1: Cervo</w:t>
            </w:r>
          </w:p>
        </w:tc>
        <w:tc>
          <w:tcPr/>
          <w:p>
            <w:pPr>
              <w:pStyle w:val="Compact"/>
              <w:jc w:val="center"/>
            </w:pPr>
            <m:oMath>
              <m:r>
                <m:rPr>
                  <m:sty m:val="p"/>
                </m:rPr>
                <m:t>(</m:t>
              </m:r>
              <m:r>
                <m:t>3</m:t>
              </m:r>
              <m:r>
                <m:rPr>
                  <m:sty m:val="p"/>
                </m:rPr>
                <m:t>,</m:t>
              </m:r>
              <m:r>
                <m:t>3</m:t>
              </m:r>
              <m:r>
                <m:rPr>
                  <m:sty m:val="p"/>
                </m:rPr>
                <m:t>)</m:t>
              </m:r>
            </m:oMath>
          </w:p>
        </w:tc>
        <w:tc>
          <w:tcPr/>
          <w:p>
            <w:pPr>
              <w:pStyle w:val="Compact"/>
              <w:jc w:val="center"/>
            </w:pPr>
            <m:oMath>
              <m:r>
                <m:rPr>
                  <m:sty m:val="p"/>
                </m:rPr>
                <m:t>(</m:t>
              </m:r>
              <m:r>
                <m:t>x</m:t>
              </m:r>
              <m:r>
                <m:rPr>
                  <m:sty m:val="p"/>
                </m:rPr>
                <m:t>,</m:t>
              </m:r>
              <m:r>
                <m:t>1</m:t>
              </m:r>
              <m:r>
                <m:rPr>
                  <m:sty m:val="p"/>
                </m:rPr>
                <m:t>)</m:t>
              </m:r>
            </m:oMath>
          </w:p>
        </w:tc>
      </w:tr>
      <w:tr>
        <w:tc>
          <w:tcPr/>
          <w:p>
            <w:pPr>
              <w:pStyle w:val="Compact"/>
              <w:jc w:val="left"/>
            </w:pPr>
            <w:r>
              <w:rPr>
                <w:b/>
                <w:bCs/>
              </w:rPr>
              <w:t xml:space="preserve">Caçador 1: Lebre</w:t>
            </w:r>
          </w:p>
        </w:tc>
        <w:tc>
          <w:tcPr/>
          <w:p>
            <w:pPr>
              <w:pStyle w:val="Compact"/>
              <w:jc w:val="center"/>
            </w:pPr>
            <m:oMath>
              <m:r>
                <m:rPr>
                  <m:sty m:val="p"/>
                </m:rPr>
                <m:t>(</m:t>
              </m:r>
              <m:r>
                <m:t>1</m:t>
              </m:r>
              <m:r>
                <m:rPr>
                  <m:sty m:val="p"/>
                </m:rPr>
                <m:t>,</m:t>
              </m:r>
              <m:r>
                <m:t>x</m:t>
              </m:r>
              <m:r>
                <m:rPr>
                  <m:sty m:val="p"/>
                </m:rPr>
                <m:t>)</m:t>
              </m:r>
            </m:oMath>
          </w:p>
        </w:tc>
        <w:tc>
          <w:tcPr/>
          <w:p>
            <w:pPr>
              <w:pStyle w:val="Compact"/>
              <w:jc w:val="center"/>
            </w:pPr>
            <m:oMath>
              <m:r>
                <m:rPr>
                  <m:sty m:val="p"/>
                </m:rPr>
                <m:t>(</m:t>
              </m:r>
              <m:r>
                <m:t>1</m:t>
              </m:r>
              <m:r>
                <m:rPr>
                  <m:sty m:val="p"/>
                </m:rPr>
                <m:t>,</m:t>
              </m:r>
              <m:r>
                <m:t>1</m:t>
              </m:r>
              <m:r>
                <m:rPr>
                  <m:sty m:val="p"/>
                </m:rPr>
                <m:t>)</m:t>
              </m:r>
            </m:oMath>
          </w:p>
        </w:tc>
      </w:tr>
    </w:tbl>
    <w:p>
      <w:pPr>
        <w:pStyle w:val="BlockText"/>
      </w:pPr>
      <w:r>
        <w:t xml:space="preserve">com</w:t>
      </w:r>
      <w:r>
        <w:t xml:space="preserve"> </w:t>
      </w:r>
      <m:oMath>
        <m:r>
          <m:t>0</m:t>
        </m:r>
        <m:r>
          <m:rPr>
            <m:sty m:val="p"/>
          </m:rPr>
          <m:t>≤</m:t>
        </m:r>
        <m:r>
          <m:t>x</m:t>
        </m:r>
        <m:r>
          <m:rPr>
            <m:sty m:val="p"/>
          </m:rPr>
          <m:t>&lt;</m:t>
        </m:r>
        <m:r>
          <m:t>1</m:t>
        </m:r>
      </m:oMath>
      <w:r>
        <w:t xml:space="preserve">. Avalie:</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Trata-se de um jogo de informação imperfeita.</w:t>
            </w:r>
          </w:p>
        </w:tc>
      </w:tr>
      <w:tr>
        <w:tc>
          <w:tcPr/>
          <w:p>
            <w:pPr>
              <w:pStyle w:val="Compact"/>
            </w:pPr>
            <w:r>
              <w:t xml:space="preserve">1</w:t>
            </w:r>
          </w:p>
        </w:tc>
        <w:tc>
          <w:tcPr/>
          <w:p>
            <w:pPr>
              <w:pStyle w:val="Compact"/>
            </w:pPr>
            <w:r>
              <w:t xml:space="preserve">Há dois equilíbrios de Nash.</w:t>
            </w:r>
          </w:p>
        </w:tc>
      </w:tr>
      <w:tr>
        <w:tc>
          <w:tcPr/>
          <w:p>
            <w:pPr>
              <w:pStyle w:val="Compact"/>
            </w:pPr>
            <w:r>
              <w:t xml:space="preserve">2</w:t>
            </w:r>
          </w:p>
        </w:tc>
        <w:tc>
          <w:tcPr/>
          <w:p>
            <w:pPr>
              <w:pStyle w:val="Compact"/>
            </w:pPr>
            <w:r>
              <w:t xml:space="preserve">Os dois caçadores possuem estratégias fracamente dominantes.</w:t>
            </w:r>
          </w:p>
        </w:tc>
      </w:tr>
      <w:tr>
        <w:tc>
          <w:tcPr/>
          <w:p>
            <w:pPr>
              <w:pStyle w:val="Compact"/>
            </w:pPr>
            <w:r>
              <w:t xml:space="preserve">3</w:t>
            </w:r>
          </w:p>
        </w:tc>
        <w:tc>
          <w:tcPr/>
          <w:p>
            <w:pPr>
              <w:pStyle w:val="Compact"/>
            </w:pPr>
            <w:r>
              <w:t xml:space="preserve">Se</w:t>
            </w:r>
            <w:r>
              <w:t xml:space="preserve"> </w:t>
            </w:r>
            <m:oMath>
              <m:r>
                <m:t>x</m:t>
              </m:r>
              <m:r>
                <m:rPr>
                  <m:sty m:val="p"/>
                </m:rPr>
                <m:t>=</m:t>
              </m:r>
              <m:r>
                <m:t>0</m:t>
              </m:r>
            </m:oMath>
            <w:r>
              <w:t xml:space="preserve">, o equilíbrio misto prescreve Cervo com probabilidade</w:t>
            </w:r>
            <w:r>
              <w:t xml:space="preserve"> </w:t>
            </w:r>
            <m:oMath>
              <m:r>
                <m:t>1</m:t>
              </m:r>
              <m:r>
                <m:rPr>
                  <m:sty m:val="p"/>
                </m:rPr>
                <m:t>/</m:t>
              </m:r>
              <m:r>
                <m:t>3</m:t>
              </m:r>
            </m:oMath>
            <w:r>
              <w:t xml:space="preserve">.</w:t>
            </w:r>
          </w:p>
        </w:tc>
      </w:tr>
      <w:tr>
        <w:tc>
          <w:tcPr/>
          <w:p>
            <w:pPr>
              <w:pStyle w:val="Compact"/>
            </w:pPr>
            <w:r>
              <w:t xml:space="preserve">4</w:t>
            </w:r>
          </w:p>
        </w:tc>
        <w:tc>
          <w:tcPr/>
          <w:p>
            <w:pPr>
              <w:pStyle w:val="Compact"/>
            </w:pPr>
            <w:r>
              <w:t xml:space="preserve">Se</w:t>
            </w:r>
            <w:r>
              <w:t xml:space="preserve"> </w:t>
            </w:r>
            <m:oMath>
              <m:r>
                <m:t>x</m:t>
              </m:r>
              <m:r>
                <m:rPr>
                  <m:sty m:val="p"/>
                </m:rPr>
                <m:t>→</m:t>
              </m:r>
              <m:r>
                <m:t>1</m:t>
              </m:r>
            </m:oMath>
            <w:r>
              <w:t xml:space="preserve">, o equilíbrio misto converge para o EN Pareto-dominado (Lebre, Lebre).</w:t>
            </w:r>
          </w:p>
        </w:tc>
      </w:tr>
    </w:tbl>
    <w:p>
      <w:pPr>
        <w:pStyle w:val="BlockText"/>
      </w:pPr>
      <w:r>
        <w:t xml:space="preserve">??? success</w:t>
      </w:r>
      <w:r>
        <w:t xml:space="preserve"> </w:t>
      </w:r>
      <w:r>
        <w:t xml:space="preserve">“Gabarito”</w:t>
      </w:r>
      <w:r>
        <w:t xml:space="preserve"> </w:t>
      </w:r>
      <w:r>
        <w:rPr>
          <w:b/>
          <w:bCs/>
        </w:rPr>
        <w:t xml:space="preserve">Respostas: 11011</w:t>
      </w:r>
    </w:p>
    <w:p>
      <w:pPr>
        <w:pStyle w:val="SourceCode"/>
      </w:pPr>
      <w:r>
        <w:rPr>
          <w:rStyle w:val="VerbatimChar"/>
        </w:rPr>
        <w:t xml:space="preserve">- **Item 0 — V:** Jogos simultâneos são de informação imperfeita (cada jogador desconhece a ação do outro no momento da decisão).</w:t>
      </w:r>
      <w:r>
        <w:br/>
      </w:r>
      <w:r>
        <w:br/>
      </w:r>
      <w:r>
        <w:rPr>
          <w:rStyle w:val="VerbatimChar"/>
        </w:rPr>
        <w:t xml:space="preserve">- **Item 1 — V:** Dois EN em puras: (Cervo, Cervo) e (Lebre, Lebre). Em ambos, nenhum desvia ($3 &gt; 1$ e $1 &gt; x$).</w:t>
      </w:r>
      <w:r>
        <w:br/>
      </w:r>
      <w:r>
        <w:br/>
      </w:r>
      <w:r>
        <w:rPr>
          <w:rStyle w:val="VerbatimChar"/>
        </w:rPr>
        <w:t xml:space="preserve">- **Item 2 — F:** Nenhuma estratégia é dominante. Cervo é melhor se o outro joga Cervo ($3 &gt; 1$), mas Lebre é melhor se o outro joga Lebre ($1 &gt; x$).</w:t>
      </w:r>
      <w:r>
        <w:br/>
      </w:r>
      <w:r>
        <w:br/>
      </w:r>
      <w:r>
        <w:rPr>
          <w:rStyle w:val="VerbatimChar"/>
        </w:rPr>
        <w:t xml:space="preserve">- **Item 3 — V:** Com $x=0$: $U_2(\text{Cervo}; p) = 3p$, $U_2(\text{Lebre}; p) = 1$. Igualando: $p = 1/3$.</w:t>
      </w:r>
      <w:r>
        <w:br/>
      </w:r>
      <w:r>
        <w:br/>
      </w:r>
      <w:r>
        <w:rPr>
          <w:rStyle w:val="VerbatimChar"/>
        </w:rPr>
        <w:t xml:space="preserve">- **Item 4 — V:** Probabilidade de Cervo: $p = (1-x)/(3-x)$. Quando $x \to 1$: $p \to 0$, convergindo para (Lebre, Lebre).</w:t>
      </w:r>
    </w:p>
    <w:p>
      <w:pPr>
        <w:pStyle w:val="BlockText"/>
      </w:pPr>
      <w:r>
        <w:rPr>
          <w:b/>
          <w:bCs/>
        </w:rPr>
        <w:t xml:space="preserve">[QUESTAO] ANPEC — Jogos dinâmicos, EPS e jogos repetidos</w:t>
      </w:r>
    </w:p>
    <w:p>
      <w:pPr>
        <w:pStyle w:val="BlockText"/>
      </w:pPr>
      <w:r>
        <w:t xml:space="preserve">Considere jogos dinâmicos com informação completa. Avalie as afirmações: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Em todo jogo finito com informação perfeita, a indução retroativa identifica pelo menos um Equilíbrio Perfeito em Subjogos.</w:t>
            </w:r>
          </w:p>
        </w:tc>
      </w:tr>
      <w:tr>
        <w:tc>
          <w:tcPr/>
          <w:p>
            <w:pPr>
              <w:pStyle w:val="Compact"/>
            </w:pPr>
            <w:r>
              <w:t xml:space="preserve">1</w:t>
            </w:r>
          </w:p>
        </w:tc>
        <w:tc>
          <w:tcPr/>
          <w:p>
            <w:pPr>
              <w:pStyle w:val="Compact"/>
            </w:pPr>
            <w:r>
              <w:t xml:space="preserve">No Dilema dos Prisioneiros repetido infinitamente, a cooperação pode ser sustentada como EPS para qualquer valor do fator de desconto</w:t>
            </w:r>
            <w:r>
              <w:t xml:space="preserve"> </w:t>
            </w:r>
            <m:oMath>
              <m:r>
                <m:t>δ</m:t>
              </m:r>
              <m:r>
                <m:rPr>
                  <m:sty m:val="p"/>
                </m:rPr>
                <m:t>∈</m:t>
              </m:r>
              <m:r>
                <m:rPr>
                  <m:sty m:val="p"/>
                </m:rPr>
                <m:t>(</m:t>
              </m:r>
              <m:r>
                <m:t>0</m:t>
              </m:r>
              <m:r>
                <m:rPr>
                  <m:sty m:val="p"/>
                </m:rPr>
                <m:t>,</m:t>
              </m:r>
              <m:r>
                <m:t>1</m:t>
              </m:r>
              <m:r>
                <m:rPr>
                  <m:sty m:val="p"/>
                </m:rPr>
                <m:t>)</m:t>
              </m:r>
            </m:oMath>
            <w:r>
              <w:t xml:space="preserve">.</w:t>
            </w:r>
          </w:p>
        </w:tc>
      </w:tr>
      <w:tr>
        <w:tc>
          <w:tcPr/>
          <w:p>
            <w:pPr>
              <w:pStyle w:val="Compact"/>
            </w:pPr>
            <w:r>
              <w:t xml:space="preserve">2</w:t>
            </w:r>
          </w:p>
        </w:tc>
        <w:tc>
          <w:tcPr/>
          <w:p>
            <w:pPr>
              <w:pStyle w:val="Compact"/>
            </w:pPr>
            <w:r>
              <w:t xml:space="preserve">No modelo de barganha de Rubinstein com fatores de desconto simétricos</w:t>
            </w:r>
            <w:r>
              <w:t xml:space="preserve"> </w:t>
            </w:r>
            <m:oMath>
              <m:sSub>
                <m:e>
                  <m:r>
                    <m:t>δ</m:t>
                  </m:r>
                </m:e>
                <m:sub>
                  <m:r>
                    <m:t>1</m:t>
                  </m:r>
                </m:sub>
              </m:sSub>
              <m:r>
                <m:rPr>
                  <m:sty m:val="p"/>
                </m:rPr>
                <m:t>=</m:t>
              </m:r>
              <m:sSub>
                <m:e>
                  <m:r>
                    <m:t>δ</m:t>
                  </m:r>
                </m:e>
                <m:sub>
                  <m:r>
                    <m:t>2</m:t>
                  </m:r>
                </m:sub>
              </m:sSub>
              <m:r>
                <m:rPr>
                  <m:sty m:val="p"/>
                </m:rPr>
                <m:t>=</m:t>
              </m:r>
              <m:r>
                <m:t>δ</m:t>
              </m:r>
            </m:oMath>
            <w:r>
              <w:t xml:space="preserve">, o jogador que propõe primeiro sempre obtém mais do que metade do excedente, para qualquer</w:t>
            </w:r>
            <w:r>
              <w:t xml:space="preserve"> </w:t>
            </w:r>
            <m:oMath>
              <m:r>
                <m:t>δ</m:t>
              </m:r>
              <m:r>
                <m:rPr>
                  <m:sty m:val="p"/>
                </m:rPr>
                <m:t>∈</m:t>
              </m:r>
              <m:r>
                <m:rPr>
                  <m:sty m:val="p"/>
                </m:rPr>
                <m:t>(</m:t>
              </m:r>
              <m:r>
                <m:t>0</m:t>
              </m:r>
              <m:r>
                <m:rPr>
                  <m:sty m:val="p"/>
                </m:rPr>
                <m:t>,</m:t>
              </m:r>
              <m:r>
                <m:t>1</m:t>
              </m:r>
              <m:r>
                <m:rPr>
                  <m:sty m:val="p"/>
                </m:rPr>
                <m:t>)</m:t>
              </m:r>
            </m:oMath>
            <w:r>
              <w:t xml:space="preserve">.</w:t>
            </w:r>
          </w:p>
        </w:tc>
      </w:tr>
      <w:tr>
        <w:tc>
          <w:tcPr/>
          <w:p>
            <w:pPr>
              <w:pStyle w:val="Compact"/>
            </w:pPr>
            <w:r>
              <w:t xml:space="preserve">3</w:t>
            </w:r>
          </w:p>
        </w:tc>
        <w:tc>
          <w:tcPr/>
          <w:p>
            <w:pPr>
              <w:pStyle w:val="Compact"/>
            </w:pPr>
            <w:r>
              <w:t xml:space="preserve">O Folk Theorem garante que, em jogos infinitamente repetidos com</w:t>
            </w:r>
            <w:r>
              <w:t xml:space="preserve"> </w:t>
            </w:r>
            <m:oMath>
              <m:r>
                <m:t>δ</m:t>
              </m:r>
            </m:oMath>
            <w:r>
              <w:t xml:space="preserve"> </w:t>
            </w:r>
            <w:r>
              <w:t xml:space="preserve">suficientemente alto, qualquer perfil de payoffs factível e individualmente racional pode ser sustentado como equilíbrio.</w:t>
            </w:r>
          </w:p>
        </w:tc>
      </w:tr>
      <w:tr>
        <w:tc>
          <w:tcPr/>
          <w:p>
            <w:pPr>
              <w:pStyle w:val="Compact"/>
            </w:pPr>
            <w:r>
              <w:t xml:space="preserve">4</w:t>
            </w:r>
          </w:p>
        </w:tc>
        <w:tc>
          <w:tcPr/>
          <w:p>
            <w:pPr>
              <w:pStyle w:val="Compact"/>
            </w:pPr>
            <w:r>
              <w:t xml:space="preserve">No Dilema dos Prisioneiros repetido finitamente (com horizonte</w:t>
            </w:r>
            <w:r>
              <w:t xml:space="preserve"> </w:t>
            </w:r>
            <m:oMath>
              <m:r>
                <m:t>T</m:t>
              </m:r>
            </m:oMath>
            <w:r>
              <w:t xml:space="preserve"> </w:t>
            </w:r>
            <w:r>
              <w:t xml:space="preserve">conhecido), o único EPS é a repetição do equilíbrio de Nash do jogo de estágio em todos os</w:t>
            </w:r>
            <w:r>
              <w:t xml:space="preserve"> </w:t>
            </w:r>
            <m:oMath>
              <m:r>
                <m:t>T</m:t>
              </m:r>
            </m:oMath>
            <w:r>
              <w:t xml:space="preserve"> </w:t>
            </w:r>
            <w:r>
              <w:t xml:space="preserve">períodos, desde que o jogo de estágio tenha equilíbrio de Nash único.</w:t>
            </w:r>
          </w:p>
        </w:tc>
      </w:tr>
    </w:tbl>
    <w:p>
      <w:pPr>
        <w:pStyle w:val="BlockText"/>
      </w:pPr>
      <w:r>
        <w:t xml:space="preserve">??? success</w:t>
      </w:r>
      <w:r>
        <w:t xml:space="preserve"> </w:t>
      </w:r>
      <w:r>
        <w:t xml:space="preserve">“Gabarito”</w:t>
      </w:r>
      <w:r>
        <w:t xml:space="preserve"> </w:t>
      </w:r>
      <w:r>
        <w:rPr>
          <w:b/>
          <w:bCs/>
        </w:rPr>
        <w:t xml:space="preserve">Respostas: 10111</w:t>
      </w:r>
    </w:p>
    <w:p>
      <w:pPr>
        <w:pStyle w:val="SourceCode"/>
      </w:pPr>
      <w:r>
        <w:rPr>
          <w:rStyle w:val="VerbatimChar"/>
        </w:rPr>
        <w:t xml:space="preserve">- **Item 0 — V:** Pelo Teorema de Kuhn, todo jogo finito com informação perfeita possui pelo menos um EPS, identificável por indução retroativa. Se os payoffs são genéricos (sem empates), o EPS é único.</w:t>
      </w:r>
      <w:r>
        <w:br/>
      </w:r>
      <w:r>
        <w:br/>
      </w:r>
      <w:r>
        <w:rPr>
          <w:rStyle w:val="VerbatimChar"/>
        </w:rPr>
        <w:t xml:space="preserve">- **Item 1 — F:** A cooperação exige $\delta \geq \delta^* = (T-R)/(T-P)$. Para $\delta &lt; \delta^*$, a cooperação não é sustentável — o ganho imediato da traição supera a perda futura da punição. Portanto, não é para *qualquer* $\delta$, mas apenas para $\delta$ suficientemente alto.</w:t>
      </w:r>
      <w:r>
        <w:br/>
      </w:r>
      <w:r>
        <w:br/>
      </w:r>
      <w:r>
        <w:rPr>
          <w:rStyle w:val="VerbatimChar"/>
        </w:rPr>
        <w:t xml:space="preserve">- **Item 2 — V:** Com $\delta_1 = \delta_2 = \delta$, o proponente obtém $x_1^* = 1/(1+\delta)$. Como $\delta \in (0,1)$, temos $1+\delta \in (1,2)$, logo $x_1^* \in (1/2, 1)$. O proponente sempre obtém mais da metade — é a "vantagem do primeiro movimento" (*first-mover advantage*). A vantagem diminui quando $\delta \to 1$ (convergência para 50/50) mas nunca desaparece para $\delta &lt; 1$.</w:t>
      </w:r>
      <w:r>
        <w:br/>
      </w:r>
      <w:r>
        <w:br/>
      </w:r>
      <w:r>
        <w:rPr>
          <w:rStyle w:val="VerbatimChar"/>
        </w:rPr>
        <w:t xml:space="preserve">- **Item 3 — V:** Essa é a afirmação central do Folk Theorem (Fudenberg e Maskin, 1986). A versão para EPS requer $\delta$ suficientemente próximo de 1 e que a dimensão do conjunto de payoffs factíveis seja adequada, mas a afirmação geral é verdadeira.</w:t>
      </w:r>
      <w:r>
        <w:br/>
      </w:r>
      <w:r>
        <w:br/>
      </w:r>
      <w:r>
        <w:rPr>
          <w:rStyle w:val="VerbatimChar"/>
        </w:rPr>
        <w:t xml:space="preserve">- **Item 4 — V:** Com jogo de estágio que possui equilíbrio de Nash único, a indução retroativa a partir do período $T$ implica que o equilíbrio de estágio é jogado em todos os períodos. Esse é o resultado clássico de *unraveling*. A condição crucial é que o equilíbrio de estágio seja único — com múltiplos equilíbrios (Benoit e Krishna, 1985), a cooperação pode emergir mesmo em jogos finitos.</w:t>
      </w:r>
    </w:p>
    <w:bookmarkEnd w:id="542"/>
    <w:bookmarkEnd w:id="543"/>
    <w:bookmarkStart w:id="561" w:name="pesquisa-em-ação-10"/>
    <w:p>
      <w:pPr>
        <w:pStyle w:val="Heading2"/>
      </w:pPr>
      <w:r>
        <w:t xml:space="preserve">Pesquisa em Ação</w:t>
      </w:r>
    </w:p>
    <w:bookmarkStart w:id="548" w:name="pesquisa-em-ação-11"/>
    <w:p>
      <w:pPr>
        <w:pStyle w:val="Heading3"/>
      </w:pPr>
      <w:r>
        <w:t xml:space="preserve">Pesquisa em Ação</w:t>
      </w:r>
    </w:p>
    <w:p>
      <w:pPr>
        <w:pStyle w:val="BlockText"/>
      </w:pPr>
      <w:r>
        <w:rPr>
          <w:b/>
          <w:bCs/>
        </w:rPr>
        <w:t xml:space="preserve">[PESQUISA EM ACAO] Porter, Robert H. (1983).</w:t>
      </w:r>
      <w:r>
        <w:rPr>
          <w:b/>
          <w:bCs/>
        </w:rPr>
        <w:t xml:space="preserve"> </w:t>
      </w:r>
      <w:hyperlink r:id="rId544">
        <w:r>
          <w:rPr>
            <w:rStyle w:val="Hyperlink"/>
            <w:b/>
            <w:bCs/>
          </w:rPr>
          <w:t xml:space="preserve">A Study of Cartel Stability: The Joint Executive Committee, 1880–1886</w:t>
        </w:r>
      </w:hyperlink>
      <w:r>
        <w:rPr>
          <w:b/>
          <w:bCs/>
        </w:rPr>
        <w:t xml:space="preserve">.</w:t>
      </w:r>
      <w:r>
        <w:rPr>
          <w:b/>
          <w:bCs/>
        </w:rPr>
        <w:t xml:space="preserve"> </w:t>
      </w:r>
      <w:r>
        <w:rPr>
          <w:b/>
          <w:bCs/>
          <w:i/>
          <w:iCs/>
        </w:rPr>
        <w:t xml:space="preserve">The Bell Journal of Economics</w:t>
      </w:r>
      <w:r>
        <w:rPr>
          <w:b/>
          <w:bCs/>
        </w:rPr>
        <w:t xml:space="preserve">, 14(2), 301–314.</w:t>
      </w:r>
    </w:p>
    <w:p>
      <w:pPr>
        <w:pStyle w:val="BlockText"/>
      </w:pPr>
      <w:r>
        <w:rPr>
          <w:b/>
          <w:bCs/>
        </w:rPr>
        <w:t xml:space="preserve">Pergunta:</w:t>
      </w:r>
      <w:r>
        <w:t xml:space="preserve"> </w:t>
      </w:r>
      <w:r>
        <w:t xml:space="preserve">Os modelos de jogos repetidos preveem alternância entre conluio e guerras de preço. Essa dinâmica é observável em dados reais?</w:t>
      </w:r>
    </w:p>
    <w:p>
      <w:pPr>
        <w:pStyle w:val="BlockText"/>
      </w:pPr>
      <w:r>
        <w:rPr>
          <w:b/>
          <w:bCs/>
        </w:rPr>
        <w:t xml:space="preserve">Método:</w:t>
      </w:r>
      <w:r>
        <w:t xml:space="preserve"> </w:t>
      </w:r>
      <w:r>
        <w:t xml:space="preserve">Dados semanais do</w:t>
      </w:r>
      <w:r>
        <w:t xml:space="preserve"> </w:t>
      </w:r>
      <w:r>
        <w:rPr>
          <w:i/>
          <w:iCs/>
        </w:rPr>
        <w:t xml:space="preserve">Joint Executive Committee</w:t>
      </w:r>
      <w:r>
        <w:t xml:space="preserve"> </w:t>
      </w:r>
      <w:r>
        <w:t xml:space="preserve">(cartel ferroviário, EUA, 1880–86). Modelo de</w:t>
      </w:r>
      <w:r>
        <w:t xml:space="preserve"> </w:t>
      </w:r>
      <w:r>
        <w:rPr>
          <w:i/>
          <w:iCs/>
        </w:rPr>
        <w:t xml:space="preserve">switching regression</w:t>
      </w:r>
      <w:r>
        <w:t xml:space="preserve"> </w:t>
      </w:r>
      <w:r>
        <w:t xml:space="preserve">para identificar fases cooperativas e de guerra de preços.</w:t>
      </w:r>
    </w:p>
    <w:p>
      <w:pPr>
        <w:pStyle w:val="BlockText"/>
      </w:pPr>
      <w:r>
        <w:rPr>
          <w:b/>
          <w:bCs/>
        </w:rPr>
        <w:t xml:space="preserve">Resultado:</w:t>
      </w:r>
      <w:r>
        <w:t xml:space="preserve"> </w:t>
      </w:r>
      <w:r>
        <w:t xml:space="preserve">O cartel alternava entre cooperação (preços altos) e guerras de preço (preços baixos), precipitadas por choques de demanda — consistente com Green e Porter (1984).</w:t>
      </w:r>
    </w:p>
    <w:p>
      <w:pPr>
        <w:pStyle w:val="BlockText"/>
      </w:pPr>
      <w:r>
        <w:rPr>
          <w:b/>
          <w:bCs/>
        </w:rPr>
        <w:t xml:space="preserve">Relevância:</w:t>
      </w:r>
      <w:r>
        <w:t xml:space="preserve"> </w:t>
      </w:r>
      <w:r>
        <w:t xml:space="preserve">Metodologia aplicável à investigação do CADE: padrões de preços que alternam</w:t>
      </w:r>
      <w:r>
        <w:t xml:space="preserve"> </w:t>
      </w:r>
      <w:r>
        <w:t xml:space="preserve">“estabilidade”</w:t>
      </w:r>
      <w:r>
        <w:t xml:space="preserve"> </w:t>
      </w:r>
      <w:r>
        <w:t xml:space="preserve">e</w:t>
      </w:r>
      <w:r>
        <w:t xml:space="preserve"> </w:t>
      </w:r>
      <w:r>
        <w:t xml:space="preserve">“guerra”</w:t>
      </w:r>
      <w:r>
        <w:t xml:space="preserve"> </w:t>
      </w:r>
      <w:r>
        <w:t xml:space="preserve">podem indicar conluio tácito.</w:t>
      </w:r>
    </w:p>
    <w:p>
      <w:pPr>
        <w:pStyle w:val="BlockText"/>
      </w:pPr>
      <w:r>
        <w:rPr>
          <w:b/>
          <w:bCs/>
        </w:rPr>
        <w:t xml:space="preserve">[PESQUISA EM ACAO] Axelrod, Robert (1984).</w:t>
      </w:r>
      <w:r>
        <w:rPr>
          <w:b/>
          <w:bCs/>
        </w:rPr>
        <w:t xml:space="preserve"> </w:t>
      </w:r>
      <w:hyperlink r:id="rId503">
        <w:r>
          <w:rPr>
            <w:rStyle w:val="Hyperlink"/>
            <w:b/>
            <w:bCs/>
            <w:i/>
            <w:iCs/>
          </w:rPr>
          <w:t xml:space="preserve">The Evolution of Cooperation</w:t>
        </w:r>
      </w:hyperlink>
      <w:r>
        <w:rPr>
          <w:b/>
          <w:bCs/>
        </w:rPr>
        <w:t xml:space="preserve">. New York: Basic Books.</w:t>
      </w:r>
    </w:p>
    <w:p>
      <w:pPr>
        <w:pStyle w:val="BlockText"/>
      </w:pPr>
      <w:r>
        <w:rPr>
          <w:b/>
          <w:bCs/>
        </w:rPr>
        <w:t xml:space="preserve">Contribuição:</w:t>
      </w:r>
      <w:r>
        <w:t xml:space="preserve"> </w:t>
      </w:r>
      <w:r>
        <w:t xml:space="preserve">Axelrod organizou dois torneios de computador onde especialistas submeteram estratégias para o Dilema dos Prisioneiros repetido. A vencedora foi</w:t>
      </w:r>
      <w:r>
        <w:t xml:space="preserve"> </w:t>
      </w:r>
      <w:r>
        <w:rPr>
          <w:b/>
          <w:bCs/>
        </w:rPr>
        <w:t xml:space="preserve">Tit-for-Tat</w:t>
      </w:r>
      <w:r>
        <w:t xml:space="preserve"> </w:t>
      </w:r>
      <w:r>
        <w:t xml:space="preserve">(Anatol Rapoport): simples,</w:t>
      </w:r>
      <w:r>
        <w:t xml:space="preserve"> </w:t>
      </w:r>
      <w:r>
        <w:t xml:space="preserve">“nice”</w:t>
      </w:r>
      <w:r>
        <w:t xml:space="preserve"> </w:t>
      </w:r>
      <w:r>
        <w:t xml:space="preserve">(coopera primeiro), retaliadora (pune imediatamente) e</w:t>
      </w:r>
      <w:r>
        <w:t xml:space="preserve"> </w:t>
      </w:r>
      <w:r>
        <w:t xml:space="preserve">“forgiving”</w:t>
      </w:r>
      <w:r>
        <w:t xml:space="preserve"> </w:t>
      </w:r>
      <w:r>
        <w:t xml:space="preserve">(volta a cooperar).</w:t>
      </w:r>
    </w:p>
    <w:p>
      <w:pPr>
        <w:pStyle w:val="BlockText"/>
      </w:pPr>
      <w:r>
        <w:rPr>
          <w:b/>
          <w:bCs/>
        </w:rPr>
        <w:t xml:space="preserve">Resultado:</w:t>
      </w:r>
      <w:r>
        <w:t xml:space="preserve"> </w:t>
      </w:r>
      <w:r>
        <w:t xml:space="preserve">Estratégias</w:t>
      </w:r>
      <w:r>
        <w:t xml:space="preserve"> </w:t>
      </w:r>
      <w:r>
        <w:t xml:space="preserve">“nice”</w:t>
      </w:r>
      <w:r>
        <w:t xml:space="preserve"> </w:t>
      </w:r>
      <w:r>
        <w:t xml:space="preserve">(que nunca iniciam a traição) dominaram. A cooperação emerge não por altruísmo, mas por auto-interesse esclarecido — a</w:t>
      </w:r>
      <w:r>
        <w:t xml:space="preserve"> </w:t>
      </w:r>
      <w:r>
        <w:t xml:space="preserve">“sombra do futuro”</w:t>
      </w:r>
      <w:r>
        <w:t xml:space="preserve"> </w:t>
      </w:r>
      <w:r>
        <w:t xml:space="preserve">é suficiente.</w:t>
      </w:r>
    </w:p>
    <w:p>
      <w:pPr>
        <w:pStyle w:val="BlockText"/>
      </w:pPr>
      <w:r>
        <w:rPr>
          <w:b/>
          <w:bCs/>
        </w:rPr>
        <w:t xml:space="preserve">Relevância:</w:t>
      </w:r>
      <w:r>
        <w:t xml:space="preserve"> </w:t>
      </w:r>
      <w:r>
        <w:t xml:space="preserve">Os torneios de Axelrod influenciaram o desenho de mecanismos de regulação (programas de leniência, que exploram a instabilidade do conluio via incentivos à delação).</w:t>
      </w:r>
    </w:p>
    <w:p>
      <w:pPr>
        <w:pStyle w:val="BlockText"/>
      </w:pPr>
      <w:r>
        <w:rPr>
          <w:b/>
          <w:bCs/>
        </w:rPr>
        <w:t xml:space="preserve">[PESQUISA EM ACAO] Rubinstein, Ariel (1982).</w:t>
      </w:r>
      <w:r>
        <w:rPr>
          <w:b/>
          <w:bCs/>
        </w:rPr>
        <w:t xml:space="preserve"> </w:t>
      </w:r>
      <w:hyperlink r:id="rId545">
        <w:r>
          <w:rPr>
            <w:rStyle w:val="Hyperlink"/>
            <w:b/>
            <w:bCs/>
          </w:rPr>
          <w:t xml:space="preserve">Perfect Equilibrium in a Bargaining Model</w:t>
        </w:r>
      </w:hyperlink>
      <w:r>
        <w:rPr>
          <w:b/>
          <w:bCs/>
        </w:rPr>
        <w:t xml:space="preserve">.</w:t>
      </w:r>
      <w:r>
        <w:rPr>
          <w:b/>
          <w:bCs/>
        </w:rPr>
        <w:t xml:space="preserve"> </w:t>
      </w:r>
      <w:r>
        <w:rPr>
          <w:b/>
          <w:bCs/>
          <w:i/>
          <w:iCs/>
        </w:rPr>
        <w:t xml:space="preserve">Econometrica</w:t>
      </w:r>
      <w:r>
        <w:rPr>
          <w:b/>
          <w:bCs/>
        </w:rPr>
        <w:t xml:space="preserve">, 50(1), 97–109.</w:t>
      </w:r>
    </w:p>
    <w:p>
      <w:pPr>
        <w:pStyle w:val="BlockText"/>
      </w:pPr>
      <w:r>
        <w:rPr>
          <w:b/>
          <w:bCs/>
        </w:rPr>
        <w:t xml:space="preserve">Contribuição:</w:t>
      </w:r>
      <w:r>
        <w:t xml:space="preserve"> </w:t>
      </w:r>
      <w:r>
        <w:t xml:space="preserve">Rubinstein mostrou que o jogo de ofertas alternadas com desconto tem um</w:t>
      </w:r>
      <w:r>
        <w:t xml:space="preserve"> </w:t>
      </w:r>
      <w:r>
        <w:rPr>
          <w:b/>
          <w:bCs/>
        </w:rPr>
        <w:t xml:space="preserve">único</w:t>
      </w:r>
      <w:r>
        <w:t xml:space="preserve"> </w:t>
      </w:r>
      <w:r>
        <w:t xml:space="preserve">EPS, com divisão determinada pelos fatores de desconto. Quando o intervalo entre ofertas vai a zero, o resultado converge para a solução de barganha de Nash — uma fundamentação não cooperativa para a teoria cooperativa.</w:t>
      </w:r>
    </w:p>
    <w:p>
      <w:pPr>
        <w:pStyle w:val="BlockText"/>
      </w:pPr>
      <w:r>
        <w:rPr>
          <w:b/>
          <w:bCs/>
        </w:rPr>
        <w:t xml:space="preserve">Relevância:</w:t>
      </w:r>
      <w:r>
        <w:t xml:space="preserve"> </w:t>
      </w:r>
      <w:r>
        <w:t xml:space="preserve">Base teórica para a análise de negociações salariais, disputas comerciais e arbitragem.</w:t>
      </w:r>
    </w:p>
    <w:p>
      <w:pPr>
        <w:pStyle w:val="BlockText"/>
      </w:pPr>
      <w:r>
        <w:rPr>
          <w:b/>
          <w:bCs/>
        </w:rPr>
        <w:t xml:space="preserve">[PESQUISA EM ACAO] Selten, Reinhard (1965).</w:t>
      </w:r>
      <w:r>
        <w:rPr>
          <w:b/>
          <w:bCs/>
        </w:rPr>
        <w:t xml:space="preserve"> </w:t>
      </w:r>
      <w:hyperlink r:id="rId546">
        <w:r>
          <w:rPr>
            <w:rStyle w:val="Hyperlink"/>
            <w:b/>
            <w:bCs/>
          </w:rPr>
          <w:t xml:space="preserve">Spieltheoretische Behandlung eines Oligopolmodells mit Nachfrageträgheit</w:t>
        </w:r>
      </w:hyperlink>
      <w:r>
        <w:rPr>
          <w:b/>
          <w:bCs/>
        </w:rPr>
        <w:t xml:space="preserve">.</w:t>
      </w:r>
      <w:r>
        <w:rPr>
          <w:b/>
          <w:bCs/>
        </w:rPr>
        <w:t xml:space="preserve"> </w:t>
      </w:r>
      <w:r>
        <w:rPr>
          <w:b/>
          <w:bCs/>
          <w:i/>
          <w:iCs/>
        </w:rPr>
        <w:t xml:space="preserve">Zeitschrift für die gesamte Staatswissenschaft</w:t>
      </w:r>
      <w:r>
        <w:rPr>
          <w:b/>
          <w:bCs/>
        </w:rPr>
        <w:t xml:space="preserve">, 121(2), 301–324 e 667–689.</w:t>
      </w:r>
    </w:p>
    <w:p>
      <w:pPr>
        <w:pStyle w:val="BlockText"/>
      </w:pPr>
      <w:r>
        <w:rPr>
          <w:b/>
          <w:bCs/>
        </w:rPr>
        <w:t xml:space="preserve">Contribuição:</w:t>
      </w:r>
      <w:r>
        <w:t xml:space="preserve"> </w:t>
      </w:r>
      <w:r>
        <w:t xml:space="preserve">Selten introduziu o conceito de</w:t>
      </w:r>
      <w:r>
        <w:t xml:space="preserve"> </w:t>
      </w:r>
      <w:r>
        <w:rPr>
          <w:b/>
          <w:bCs/>
        </w:rPr>
        <w:t xml:space="preserve">equilíbrio perfeito em subjogos</w:t>
      </w:r>
      <w:r>
        <w:t xml:space="preserve"> </w:t>
      </w:r>
      <w:r>
        <w:t xml:space="preserve">neste artigo seminal. Ao analisar um modelo de oligopólio com inercia de demanda, Selten percebeu que o equilíbrio de Nash permitia ameaças que nunca seriam executadas racionalmente — e propôs o refinamento que exige equilíbrio de Nash em todo subjogo.</w:t>
      </w:r>
    </w:p>
    <w:p>
      <w:pPr>
        <w:pStyle w:val="BlockText"/>
      </w:pPr>
      <w:r>
        <w:rPr>
          <w:b/>
          <w:bCs/>
        </w:rPr>
        <w:t xml:space="preserve">Relevância:</w:t>
      </w:r>
      <w:r>
        <w:t xml:space="preserve"> </w:t>
      </w:r>
      <w:r>
        <w:t xml:space="preserve">O EPS é a ferramenta central deste capítulo e de toda a teoria dos jogos dinâmicos com informação completa. A contribuição de Selten foi decisiva para o Prêmio Nobel de 1994.</w:t>
      </w:r>
    </w:p>
    <w:p>
      <w:pPr>
        <w:pStyle w:val="BlockText"/>
      </w:pPr>
      <w:r>
        <w:rPr>
          <w:b/>
          <w:bCs/>
        </w:rPr>
        <w:t xml:space="preserve">[PESQUISA EM ACAO] Dixit, Avinash K. (1980).</w:t>
      </w:r>
      <w:r>
        <w:rPr>
          <w:b/>
          <w:bCs/>
        </w:rPr>
        <w:t xml:space="preserve"> </w:t>
      </w:r>
      <w:hyperlink r:id="rId547">
        <w:r>
          <w:rPr>
            <w:rStyle w:val="Hyperlink"/>
            <w:b/>
            <w:bCs/>
          </w:rPr>
          <w:t xml:space="preserve">The Role of Investment in Entry-Deterrence</w:t>
        </w:r>
      </w:hyperlink>
      <w:r>
        <w:rPr>
          <w:b/>
          <w:bCs/>
        </w:rPr>
        <w:t xml:space="preserve">.</w:t>
      </w:r>
      <w:r>
        <w:rPr>
          <w:b/>
          <w:bCs/>
        </w:rPr>
        <w:t xml:space="preserve"> </w:t>
      </w:r>
      <w:r>
        <w:rPr>
          <w:b/>
          <w:bCs/>
          <w:i/>
          <w:iCs/>
        </w:rPr>
        <w:t xml:space="preserve">The Economic Journal</w:t>
      </w:r>
      <w:r>
        <w:rPr>
          <w:b/>
          <w:bCs/>
        </w:rPr>
        <w:t xml:space="preserve">, 90(357), 95–106.</w:t>
      </w:r>
    </w:p>
    <w:p>
      <w:pPr>
        <w:pStyle w:val="BlockText"/>
      </w:pPr>
      <w:r>
        <w:rPr>
          <w:b/>
          <w:bCs/>
        </w:rPr>
        <w:t xml:space="preserve">Contribuição:</w:t>
      </w:r>
      <w:r>
        <w:t xml:space="preserve"> </w:t>
      </w:r>
      <w:r>
        <w:t xml:space="preserve">Dixit formalizou como investimento irreversível em capacidade pode tornar crível a ameaça de guerra de preços. O modelo demonstra que a capacidade instalada muda os payoffs do jogo subsequente, convertendo uma ameaça vazia em comprometimento estratégico.</w:t>
      </w:r>
    </w:p>
    <w:p>
      <w:pPr>
        <w:pStyle w:val="BlockText"/>
      </w:pPr>
      <w:r>
        <w:rPr>
          <w:b/>
          <w:bCs/>
        </w:rPr>
        <w:t xml:space="preserve">Relevância:</w:t>
      </w:r>
      <w:r>
        <w:t xml:space="preserve"> </w:t>
      </w:r>
      <w:r>
        <w:t xml:space="preserve">Explica comportamentos de firmas incumbentes em telecomunicações, energia e outras indústrias intensivas em capital no Brasil — inclusive algumas investigações do CADE sobre sobreinvestimento estratégico.</w:t>
      </w:r>
    </w:p>
    <w:p>
      <w:r>
        <w:pict>
          <v:rect style="width:0;height:1.5pt" o:hralign="center" o:hrstd="t" o:hr="t"/>
        </w:pict>
      </w:r>
    </w:p>
    <w:bookmarkEnd w:id="548"/>
    <w:bookmarkStart w:id="560" w:name="referências-do-capítulo-8"/>
    <w:p>
      <w:pPr>
        <w:pStyle w:val="Heading3"/>
      </w:pPr>
      <w:r>
        <w:t xml:space="preserve">Referências do Capítulo</w:t>
      </w:r>
    </w:p>
    <w:p>
      <w:pPr>
        <w:pStyle w:val="Compact"/>
        <w:numPr>
          <w:ilvl w:val="0"/>
          <w:numId w:val="1535"/>
        </w:numPr>
      </w:pPr>
      <w:r>
        <w:t xml:space="preserve">Adams, Christopher P. 2025.</w:t>
      </w:r>
      <w:r>
        <w:t xml:space="preserve"> </w:t>
      </w:r>
      <w:hyperlink r:id="rId502">
        <w:r>
          <w:rPr>
            <w:rStyle w:val="Hyperlink"/>
            <w:i/>
            <w:iCs/>
          </w:rPr>
          <w:t xml:space="preserve">Game Theory for Applied Econometricians</w:t>
        </w:r>
      </w:hyperlink>
      <w:r>
        <w:t xml:space="preserve">. Boca Raton: CRC Press. Caps. 6–8.</w:t>
      </w:r>
    </w:p>
    <w:p>
      <w:pPr>
        <w:pStyle w:val="Compact"/>
        <w:numPr>
          <w:ilvl w:val="0"/>
          <w:numId w:val="1535"/>
        </w:numPr>
      </w:pPr>
      <w:r>
        <w:t xml:space="preserve">Andersen, Steffen, Seda Ertaç, Uri Gneezy, Moshe Hoffman, e John A. List. 2011.</w:t>
      </w:r>
      <w:r>
        <w:t xml:space="preserve"> </w:t>
      </w:r>
      <w:r>
        <w:t xml:space="preserve">“Stakes Matter in Ultimatum Games.”</w:t>
      </w:r>
      <w:r>
        <w:t xml:space="preserve"> </w:t>
      </w:r>
      <w:r>
        <w:rPr>
          <w:i/>
          <w:iCs/>
        </w:rPr>
        <w:t xml:space="preserve">American Economic Review</w:t>
      </w:r>
      <w:r>
        <w:t xml:space="preserve"> </w:t>
      </w:r>
      <w:r>
        <w:t xml:space="preserve">101 (7): 3427–3439.</w:t>
      </w:r>
      <w:r>
        <w:t xml:space="preserve"> </w:t>
      </w:r>
      <w:hyperlink r:id="rId549">
        <w:r>
          <w:rPr>
            <w:rStyle w:val="Hyperlink"/>
          </w:rPr>
          <w:t xml:space="preserve">DOI</w:t>
        </w:r>
      </w:hyperlink>
    </w:p>
    <w:p>
      <w:pPr>
        <w:pStyle w:val="Compact"/>
        <w:numPr>
          <w:ilvl w:val="0"/>
          <w:numId w:val="1535"/>
        </w:numPr>
      </w:pPr>
      <w:r>
        <w:t xml:space="preserve">Axelrod, Robert. 1984.</w:t>
      </w:r>
      <w:r>
        <w:t xml:space="preserve"> </w:t>
      </w:r>
      <w:hyperlink r:id="rId503">
        <w:r>
          <w:rPr>
            <w:rStyle w:val="Hyperlink"/>
            <w:i/>
            <w:iCs/>
          </w:rPr>
          <w:t xml:space="preserve">The Evolution of Cooperation</w:t>
        </w:r>
      </w:hyperlink>
      <w:r>
        <w:t xml:space="preserve">. New York: Basic Books.</w:t>
      </w:r>
    </w:p>
    <w:p>
      <w:pPr>
        <w:pStyle w:val="Compact"/>
        <w:numPr>
          <w:ilvl w:val="0"/>
          <w:numId w:val="1535"/>
        </w:numPr>
      </w:pPr>
      <w:r>
        <w:t xml:space="preserve">Bernheim, B. Douglas, e Debraj Ray. 1989.</w:t>
      </w:r>
      <w:r>
        <w:t xml:space="preserve"> </w:t>
      </w:r>
      <w:r>
        <w:t xml:space="preserve">“Collective Dynamic Consistency in Repeated Games.”</w:t>
      </w:r>
      <w:r>
        <w:t xml:space="preserve"> </w:t>
      </w:r>
      <w:r>
        <w:rPr>
          <w:i/>
          <w:iCs/>
        </w:rPr>
        <w:t xml:space="preserve">Games and Economic Behavior</w:t>
      </w:r>
      <w:r>
        <w:t xml:space="preserve"> </w:t>
      </w:r>
      <w:r>
        <w:t xml:space="preserve">1 (4): 295–326.</w:t>
      </w:r>
      <w:r>
        <w:t xml:space="preserve"> </w:t>
      </w:r>
      <w:hyperlink r:id="rId550">
        <w:r>
          <w:rPr>
            <w:rStyle w:val="Hyperlink"/>
          </w:rPr>
          <w:t xml:space="preserve">DOI</w:t>
        </w:r>
      </w:hyperlink>
    </w:p>
    <w:p>
      <w:pPr>
        <w:pStyle w:val="Compact"/>
        <w:numPr>
          <w:ilvl w:val="0"/>
          <w:numId w:val="1535"/>
        </w:numPr>
      </w:pPr>
      <w:r>
        <w:t xml:space="preserve">Benoit, Jean-Pierre, e Vijay Krishna. 1985.</w:t>
      </w:r>
      <w:r>
        <w:t xml:space="preserve"> </w:t>
      </w:r>
      <w:r>
        <w:t xml:space="preserve">“Finitely Repeated Games.”</w:t>
      </w:r>
      <w:r>
        <w:t xml:space="preserve"> </w:t>
      </w:r>
      <w:r>
        <w:rPr>
          <w:i/>
          <w:iCs/>
        </w:rPr>
        <w:t xml:space="preserve">Econometrica</w:t>
      </w:r>
      <w:r>
        <w:t xml:space="preserve"> </w:t>
      </w:r>
      <w:r>
        <w:t xml:space="preserve">53 (4): 905–922.</w:t>
      </w:r>
      <w:r>
        <w:t xml:space="preserve"> </w:t>
      </w:r>
      <w:hyperlink r:id="rId551">
        <w:r>
          <w:rPr>
            <w:rStyle w:val="Hyperlink"/>
          </w:rPr>
          <w:t xml:space="preserve">DOI</w:t>
        </w:r>
      </w:hyperlink>
    </w:p>
    <w:p>
      <w:pPr>
        <w:pStyle w:val="Compact"/>
        <w:numPr>
          <w:ilvl w:val="0"/>
          <w:numId w:val="1535"/>
        </w:numPr>
      </w:pPr>
      <w:r>
        <w:t xml:space="preserve">Binmore, Ken, Avner Shaked, e John Sutton. 1989.</w:t>
      </w:r>
      <w:r>
        <w:t xml:space="preserve"> </w:t>
      </w:r>
      <w:r>
        <w:t xml:space="preserve">“An Outside Option Experiment.”</w:t>
      </w:r>
      <w:r>
        <w:t xml:space="preserve"> </w:t>
      </w:r>
      <w:r>
        <w:rPr>
          <w:i/>
          <w:iCs/>
        </w:rPr>
        <w:t xml:space="preserve">Quarterly Journal of Economics</w:t>
      </w:r>
      <w:r>
        <w:t xml:space="preserve"> </w:t>
      </w:r>
      <w:r>
        <w:t xml:space="preserve">104 (4): 753–770.</w:t>
      </w:r>
      <w:r>
        <w:t xml:space="preserve"> </w:t>
      </w:r>
      <w:hyperlink r:id="rId552">
        <w:r>
          <w:rPr>
            <w:rStyle w:val="Hyperlink"/>
          </w:rPr>
          <w:t xml:space="preserve">DOI</w:t>
        </w:r>
      </w:hyperlink>
    </w:p>
    <w:p>
      <w:pPr>
        <w:pStyle w:val="Compact"/>
        <w:numPr>
          <w:ilvl w:val="0"/>
          <w:numId w:val="1535"/>
        </w:numPr>
      </w:pPr>
      <w:r>
        <w:t xml:space="preserve">Clark, Robert, e Jean-François Roos. 2019.</w:t>
      </w:r>
      <w:r>
        <w:t xml:space="preserve"> </w:t>
      </w:r>
      <w:r>
        <w:t xml:space="preserve">“Learning to Coordinate: A Study in Retail Gasoline.”</w:t>
      </w:r>
      <w:r>
        <w:t xml:space="preserve"> </w:t>
      </w:r>
      <w:r>
        <w:t xml:space="preserve">Working Paper.</w:t>
      </w:r>
    </w:p>
    <w:p>
      <w:pPr>
        <w:pStyle w:val="Compact"/>
        <w:numPr>
          <w:ilvl w:val="0"/>
          <w:numId w:val="1535"/>
        </w:numPr>
      </w:pPr>
      <w:r>
        <w:t xml:space="preserve">Dixit, Avinash K. 1980.</w:t>
      </w:r>
      <w:r>
        <w:t xml:space="preserve"> </w:t>
      </w:r>
      <w:r>
        <w:t xml:space="preserve">“The Role of Investment in Entry-Deterrence.”</w:t>
      </w:r>
      <w:r>
        <w:t xml:space="preserve"> </w:t>
      </w:r>
      <w:r>
        <w:rPr>
          <w:i/>
          <w:iCs/>
        </w:rPr>
        <w:t xml:space="preserve">The Economic Journal</w:t>
      </w:r>
      <w:r>
        <w:t xml:space="preserve"> </w:t>
      </w:r>
      <w:r>
        <w:t xml:space="preserve">90 (357): 95–106.</w:t>
      </w:r>
      <w:r>
        <w:t xml:space="preserve"> </w:t>
      </w:r>
      <w:hyperlink r:id="rId547">
        <w:r>
          <w:rPr>
            <w:rStyle w:val="Hyperlink"/>
          </w:rPr>
          <w:t xml:space="preserve">DOI</w:t>
        </w:r>
      </w:hyperlink>
    </w:p>
    <w:p>
      <w:pPr>
        <w:pStyle w:val="Compact"/>
        <w:numPr>
          <w:ilvl w:val="0"/>
          <w:numId w:val="1535"/>
        </w:numPr>
      </w:pPr>
      <w:r>
        <w:t xml:space="preserve">Farrell, Joseph, e Eric Maskin. 1989.</w:t>
      </w:r>
      <w:r>
        <w:t xml:space="preserve"> </w:t>
      </w:r>
      <w:r>
        <w:t xml:space="preserve">“Renegotiation in Repeated Games.”</w:t>
      </w:r>
      <w:r>
        <w:t xml:space="preserve"> </w:t>
      </w:r>
      <w:r>
        <w:rPr>
          <w:i/>
          <w:iCs/>
        </w:rPr>
        <w:t xml:space="preserve">Games and Economic Behavior</w:t>
      </w:r>
      <w:r>
        <w:t xml:space="preserve"> </w:t>
      </w:r>
      <w:r>
        <w:t xml:space="preserve">1 (4): 327–360.</w:t>
      </w:r>
      <w:r>
        <w:t xml:space="preserve"> </w:t>
      </w:r>
      <w:hyperlink r:id="rId553">
        <w:r>
          <w:rPr>
            <w:rStyle w:val="Hyperlink"/>
          </w:rPr>
          <w:t xml:space="preserve">DOI</w:t>
        </w:r>
      </w:hyperlink>
    </w:p>
    <w:p>
      <w:pPr>
        <w:pStyle w:val="Compact"/>
        <w:numPr>
          <w:ilvl w:val="0"/>
          <w:numId w:val="1535"/>
        </w:numPr>
      </w:pPr>
      <w:r>
        <w:t xml:space="preserve">Friedman, James W. 1971.</w:t>
      </w:r>
      <w:r>
        <w:t xml:space="preserve"> </w:t>
      </w:r>
      <w:r>
        <w:t xml:space="preserve">“A Non-cooperative Equilibrium for Supergames.”</w:t>
      </w:r>
      <w:r>
        <w:t xml:space="preserve"> </w:t>
      </w:r>
      <w:r>
        <w:rPr>
          <w:i/>
          <w:iCs/>
        </w:rPr>
        <w:t xml:space="preserve">Review of Economic Studies</w:t>
      </w:r>
      <w:r>
        <w:t xml:space="preserve"> </w:t>
      </w:r>
      <w:r>
        <w:t xml:space="preserve">38 (1): 1–12.</w:t>
      </w:r>
      <w:r>
        <w:t xml:space="preserve"> </w:t>
      </w:r>
      <w:hyperlink r:id="rId554">
        <w:r>
          <w:rPr>
            <w:rStyle w:val="Hyperlink"/>
          </w:rPr>
          <w:t xml:space="preserve">DOI</w:t>
        </w:r>
      </w:hyperlink>
    </w:p>
    <w:p>
      <w:pPr>
        <w:pStyle w:val="Compact"/>
        <w:numPr>
          <w:ilvl w:val="0"/>
          <w:numId w:val="1535"/>
        </w:numPr>
      </w:pPr>
      <w:r>
        <w:t xml:space="preserve">Fudenberg, Drew, e Eric Maskin. 1986.</w:t>
      </w:r>
      <w:r>
        <w:t xml:space="preserve"> </w:t>
      </w:r>
      <w:r>
        <w:t xml:space="preserve">“The Folk Theorem in Repeated Games with Discounting or with Incomplete Information.”</w:t>
      </w:r>
      <w:r>
        <w:t xml:space="preserve"> </w:t>
      </w:r>
      <w:r>
        <w:rPr>
          <w:i/>
          <w:iCs/>
        </w:rPr>
        <w:t xml:space="preserve">Econometrica</w:t>
      </w:r>
      <w:r>
        <w:t xml:space="preserve"> </w:t>
      </w:r>
      <w:r>
        <w:t xml:space="preserve">54 (3): 533–554.</w:t>
      </w:r>
      <w:r>
        <w:t xml:space="preserve"> </w:t>
      </w:r>
      <w:hyperlink r:id="rId555">
        <w:r>
          <w:rPr>
            <w:rStyle w:val="Hyperlink"/>
          </w:rPr>
          <w:t xml:space="preserve">DOI</w:t>
        </w:r>
      </w:hyperlink>
    </w:p>
    <w:p>
      <w:pPr>
        <w:pStyle w:val="Compact"/>
        <w:numPr>
          <w:ilvl w:val="0"/>
          <w:numId w:val="1535"/>
        </w:numPr>
      </w:pPr>
      <w:r>
        <w:t xml:space="preserve">Fudenberg, Drew, e Jean Tirole. 1991.</w:t>
      </w:r>
      <w:r>
        <w:t xml:space="preserve"> </w:t>
      </w:r>
      <w:hyperlink r:id="rId504">
        <w:r>
          <w:rPr>
            <w:rStyle w:val="Hyperlink"/>
            <w:i/>
            <w:iCs/>
          </w:rPr>
          <w:t xml:space="preserve">Game Theory</w:t>
        </w:r>
      </w:hyperlink>
      <w:r>
        <w:t xml:space="preserve">. Cambridge, MA: MIT Press.</w:t>
      </w:r>
    </w:p>
    <w:p>
      <w:pPr>
        <w:pStyle w:val="Compact"/>
        <w:numPr>
          <w:ilvl w:val="0"/>
          <w:numId w:val="1535"/>
        </w:numPr>
      </w:pPr>
      <w:r>
        <w:t xml:space="preserve">Gibbons, Robert. 1992.</w:t>
      </w:r>
      <w:r>
        <w:t xml:space="preserve"> </w:t>
      </w:r>
      <w:hyperlink r:id="rId505">
        <w:r>
          <w:rPr>
            <w:rStyle w:val="Hyperlink"/>
            <w:i/>
            <w:iCs/>
          </w:rPr>
          <w:t xml:space="preserve">Game Theory for Applied Economists</w:t>
        </w:r>
      </w:hyperlink>
      <w:r>
        <w:t xml:space="preserve">. Princeton: Princeton University Press.</w:t>
      </w:r>
    </w:p>
    <w:p>
      <w:pPr>
        <w:pStyle w:val="Compact"/>
        <w:numPr>
          <w:ilvl w:val="0"/>
          <w:numId w:val="1535"/>
        </w:numPr>
      </w:pPr>
      <w:r>
        <w:t xml:space="preserve">Green, Edward J., e Robert H. Porter. 1984.</w:t>
      </w:r>
      <w:r>
        <w:t xml:space="preserve"> </w:t>
      </w:r>
      <w:r>
        <w:t xml:space="preserve">“Noncooperative Collusion under Imperfect Price Information.”</w:t>
      </w:r>
      <w:r>
        <w:t xml:space="preserve"> </w:t>
      </w:r>
      <w:r>
        <w:rPr>
          <w:i/>
          <w:iCs/>
        </w:rPr>
        <w:t xml:space="preserve">Econometrica</w:t>
      </w:r>
      <w:r>
        <w:t xml:space="preserve"> </w:t>
      </w:r>
      <w:r>
        <w:t xml:space="preserve">52 (1): 87–100.</w:t>
      </w:r>
      <w:r>
        <w:t xml:space="preserve"> </w:t>
      </w:r>
      <w:hyperlink r:id="rId556">
        <w:r>
          <w:rPr>
            <w:rStyle w:val="Hyperlink"/>
          </w:rPr>
          <w:t xml:space="preserve">DOI</w:t>
        </w:r>
      </w:hyperlink>
    </w:p>
    <w:p>
      <w:pPr>
        <w:pStyle w:val="Compact"/>
        <w:numPr>
          <w:ilvl w:val="0"/>
          <w:numId w:val="1535"/>
        </w:numPr>
      </w:pPr>
      <w:r>
        <w:t xml:space="preserve">Kreps, David M., Paul Milgrom, John Roberts, e Robert Wilson. 1982.</w:t>
      </w:r>
      <w:r>
        <w:t xml:space="preserve"> </w:t>
      </w:r>
      <w:r>
        <w:t xml:space="preserve">“Rational Cooperation in the Finitely Repeated Prisoners’ Dilemma.”</w:t>
      </w:r>
      <w:r>
        <w:t xml:space="preserve"> </w:t>
      </w:r>
      <w:r>
        <w:rPr>
          <w:i/>
          <w:iCs/>
        </w:rPr>
        <w:t xml:space="preserve">Journal of Economic Theory</w:t>
      </w:r>
      <w:r>
        <w:t xml:space="preserve"> </w:t>
      </w:r>
      <w:r>
        <w:t xml:space="preserve">27 (2): 245–252.</w:t>
      </w:r>
      <w:r>
        <w:t xml:space="preserve"> </w:t>
      </w:r>
      <w:hyperlink r:id="rId557">
        <w:r>
          <w:rPr>
            <w:rStyle w:val="Hyperlink"/>
          </w:rPr>
          <w:t xml:space="preserve">DOI</w:t>
        </w:r>
      </w:hyperlink>
    </w:p>
    <w:p>
      <w:pPr>
        <w:pStyle w:val="Compact"/>
        <w:numPr>
          <w:ilvl w:val="0"/>
          <w:numId w:val="1535"/>
        </w:numPr>
      </w:pPr>
      <w:r>
        <w:t xml:space="preserve">Morrison, Steven A., e Clifford Winston. 1996.</w:t>
      </w:r>
      <w:r>
        <w:t xml:space="preserve"> </w:t>
      </w:r>
      <w:r>
        <w:t xml:space="preserve">“Causes and Consequences of Airline Fare Wars.”</w:t>
      </w:r>
      <w:r>
        <w:t xml:space="preserve"> </w:t>
      </w:r>
      <w:r>
        <w:rPr>
          <w:i/>
          <w:iCs/>
        </w:rPr>
        <w:t xml:space="preserve">Brookings Papers on Economic Activity: Microeconomics</w:t>
      </w:r>
      <w:r>
        <w:t xml:space="preserve">, 85–131.</w:t>
      </w:r>
    </w:p>
    <w:p>
      <w:pPr>
        <w:pStyle w:val="Compact"/>
        <w:numPr>
          <w:ilvl w:val="0"/>
          <w:numId w:val="1535"/>
        </w:numPr>
      </w:pPr>
      <w:r>
        <w:t xml:space="preserve">Sampson, Thomas. 2017.</w:t>
      </w:r>
      <w:r>
        <w:t xml:space="preserve"> </w:t>
      </w:r>
      <w:r>
        <w:t xml:space="preserve">“Brexit: The Economics of International Disintegration.”</w:t>
      </w:r>
      <w:r>
        <w:t xml:space="preserve"> </w:t>
      </w:r>
      <w:r>
        <w:rPr>
          <w:i/>
          <w:iCs/>
        </w:rPr>
        <w:t xml:space="preserve">Journal of Economic Perspectives</w:t>
      </w:r>
      <w:r>
        <w:t xml:space="preserve"> </w:t>
      </w:r>
      <w:r>
        <w:t xml:space="preserve">31 (4): 163–184.</w:t>
      </w:r>
      <w:r>
        <w:t xml:space="preserve"> </w:t>
      </w:r>
      <w:hyperlink r:id="rId558">
        <w:r>
          <w:rPr>
            <w:rStyle w:val="Hyperlink"/>
          </w:rPr>
          <w:t xml:space="preserve">DOI</w:t>
        </w:r>
      </w:hyperlink>
    </w:p>
    <w:p>
      <w:pPr>
        <w:pStyle w:val="Compact"/>
        <w:numPr>
          <w:ilvl w:val="0"/>
          <w:numId w:val="1535"/>
        </w:numPr>
      </w:pPr>
      <w:r>
        <w:t xml:space="preserve">Porter, Robert H. 1983.</w:t>
      </w:r>
      <w:r>
        <w:t xml:space="preserve"> </w:t>
      </w:r>
      <w:r>
        <w:t xml:space="preserve">“A Study of Cartel Stability: The Joint Executive Committee, 1880–1886.”</w:t>
      </w:r>
      <w:r>
        <w:t xml:space="preserve"> </w:t>
      </w:r>
      <w:r>
        <w:rPr>
          <w:i/>
          <w:iCs/>
        </w:rPr>
        <w:t xml:space="preserve">The Bell Journal of Economics</w:t>
      </w:r>
      <w:r>
        <w:t xml:space="preserve"> </w:t>
      </w:r>
      <w:r>
        <w:t xml:space="preserve">14 (2): 301–314.</w:t>
      </w:r>
      <w:r>
        <w:t xml:space="preserve"> </w:t>
      </w:r>
      <w:hyperlink r:id="rId544">
        <w:r>
          <w:rPr>
            <w:rStyle w:val="Hyperlink"/>
          </w:rPr>
          <w:t xml:space="preserve">DOI</w:t>
        </w:r>
      </w:hyperlink>
    </w:p>
    <w:p>
      <w:pPr>
        <w:pStyle w:val="Compact"/>
        <w:numPr>
          <w:ilvl w:val="0"/>
          <w:numId w:val="1535"/>
        </w:numPr>
      </w:pPr>
      <w:r>
        <w:t xml:space="preserve">Rubinstein, Ariel. 1982.</w:t>
      </w:r>
      <w:r>
        <w:t xml:space="preserve"> </w:t>
      </w:r>
      <w:r>
        <w:t xml:space="preserve">“Perfect Equilibrium in a Bargaining Model.”</w:t>
      </w:r>
      <w:r>
        <w:t xml:space="preserve"> </w:t>
      </w:r>
      <w:r>
        <w:rPr>
          <w:i/>
          <w:iCs/>
        </w:rPr>
        <w:t xml:space="preserve">Econometrica</w:t>
      </w:r>
      <w:r>
        <w:t xml:space="preserve"> </w:t>
      </w:r>
      <w:r>
        <w:t xml:space="preserve">50 (1): 97–109.</w:t>
      </w:r>
      <w:r>
        <w:t xml:space="preserve"> </w:t>
      </w:r>
      <w:hyperlink r:id="rId545">
        <w:r>
          <w:rPr>
            <w:rStyle w:val="Hyperlink"/>
          </w:rPr>
          <w:t xml:space="preserve">DOI</w:t>
        </w:r>
      </w:hyperlink>
    </w:p>
    <w:p>
      <w:pPr>
        <w:pStyle w:val="Compact"/>
        <w:numPr>
          <w:ilvl w:val="0"/>
          <w:numId w:val="1535"/>
        </w:numPr>
      </w:pPr>
      <w:r>
        <w:t xml:space="preserve">Schelling, Thomas C. 1960.</w:t>
      </w:r>
      <w:r>
        <w:t xml:space="preserve"> </w:t>
      </w:r>
      <w:hyperlink r:id="rId512">
        <w:r>
          <w:rPr>
            <w:rStyle w:val="Hyperlink"/>
            <w:i/>
            <w:iCs/>
          </w:rPr>
          <w:t xml:space="preserve">The Strategy of Conflict</w:t>
        </w:r>
      </w:hyperlink>
      <w:r>
        <w:t xml:space="preserve">. Cambridge, MA: Harvard University Press.</w:t>
      </w:r>
    </w:p>
    <w:p>
      <w:pPr>
        <w:pStyle w:val="Compact"/>
        <w:numPr>
          <w:ilvl w:val="0"/>
          <w:numId w:val="1535"/>
        </w:numPr>
      </w:pPr>
      <w:r>
        <w:t xml:space="preserve">Selten, Reinhard. 1965.</w:t>
      </w:r>
      <w:r>
        <w:t xml:space="preserve"> </w:t>
      </w:r>
      <w:r>
        <w:t xml:space="preserve">“Spieltheoretische Behandlung eines Oligopolmodells mit Nachfrageträgheit.”</w:t>
      </w:r>
      <w:r>
        <w:t xml:space="preserve"> </w:t>
      </w:r>
      <w:r>
        <w:rPr>
          <w:i/>
          <w:iCs/>
        </w:rPr>
        <w:t xml:space="preserve">Zeitschrift für die gesamte Staatswissenschaft</w:t>
      </w:r>
      <w:r>
        <w:t xml:space="preserve"> </w:t>
      </w:r>
      <w:r>
        <w:t xml:space="preserve">121 (2): 301–324.</w:t>
      </w:r>
      <w:r>
        <w:t xml:space="preserve"> </w:t>
      </w:r>
      <w:hyperlink r:id="rId546">
        <w:r>
          <w:rPr>
            <w:rStyle w:val="Hyperlink"/>
          </w:rPr>
          <w:t xml:space="preserve">DOI</w:t>
        </w:r>
      </w:hyperlink>
    </w:p>
    <w:p>
      <w:pPr>
        <w:pStyle w:val="Compact"/>
        <w:numPr>
          <w:ilvl w:val="0"/>
          <w:numId w:val="1535"/>
        </w:numPr>
      </w:pPr>
      <w:r>
        <w:t xml:space="preserve">Wang, Zhongmin. 2009.</w:t>
      </w:r>
      <w:r>
        <w:t xml:space="preserve"> </w:t>
      </w:r>
      <w:r>
        <w:t xml:space="preserve">“(Mixed) Strategy in Oligopoly Pricing: Evidence from Gasoline Price Cycles Before and Under a Timing Regulation.”</w:t>
      </w:r>
      <w:r>
        <w:t xml:space="preserve"> </w:t>
      </w:r>
      <w:r>
        <w:rPr>
          <w:i/>
          <w:iCs/>
        </w:rPr>
        <w:t xml:space="preserve">Journal of Political Economy</w:t>
      </w:r>
      <w:r>
        <w:t xml:space="preserve"> </w:t>
      </w:r>
      <w:r>
        <w:t xml:space="preserve">117 (6): 987–1030.</w:t>
      </w:r>
      <w:r>
        <w:t xml:space="preserve"> </w:t>
      </w:r>
      <w:hyperlink r:id="rId559">
        <w:r>
          <w:rPr>
            <w:rStyle w:val="Hyperlink"/>
          </w:rPr>
          <w:t xml:space="preserve">DOI</w:t>
        </w:r>
      </w:hyperlink>
    </w:p>
    <w:bookmarkEnd w:id="560"/>
    <w:bookmarkEnd w:id="561"/>
    <w:bookmarkEnd w:id="562"/>
    <w:bookmarkStart w:id="596" w:name="X001128e3c7f6e13c763eb13af48ba49969121a7"/>
    <w:p>
      <w:pPr>
        <w:sectPr>
          <w:footnotePr>
            <w:numRestart w:val="eachSect"/>
          </w:footnotePr>
        </w:sectPr>
      </w:pPr>
    </w:p>
    <w:p>
      <w:pPr>
        <w:pStyle w:val="Heading1"/>
      </w:pPr>
      <w:r>
        <w:t xml:space="preserve">Capítulo 9c — Jogando no Escuro (E Fingindo Que Sabe)</w:t>
      </w:r>
    </w:p>
    <w:p>
      <w:pPr>
        <w:pStyle w:val="FirstParagraph"/>
      </w:pPr>
      <w:r>
        <w:t xml:space="preserve">Em 2013, o governo brasileiro leiloou o campo de Libra, a maior reserva de petróleo do pré-sal — e apenas um consórcio apresentou lance. O ágio foi zero. Bilhões de barris de petróleo, e o leilão pareceu um fracasso. O que deu errado? A resposta está neste capítulo: os licitantes enfrentavam incerteza radical sobre os custos de extração, sobre o que os rivais sabiam, e sobre a</w:t>
      </w:r>
      <w:r>
        <w:t xml:space="preserve"> </w:t>
      </w:r>
      <w:r>
        <w:t xml:space="preserve">“maldição do vencedor”</w:t>
      </w:r>
      <w:r>
        <w:t xml:space="preserve"> </w:t>
      </w:r>
      <w:r>
        <w:t xml:space="preserve">— o risco de que ganhar o leilão significasse ter sido o mais otimista, não o mais informado. Para analisar essa situação, precisamos de jogos onde os jogadores não sabem</w:t>
      </w:r>
      <w:r>
        <w:t xml:space="preserve"> </w:t>
      </w:r>
      <w:r>
        <w:rPr>
          <w:i/>
          <w:iCs/>
        </w:rPr>
        <w:t xml:space="preserve">contra quem</w:t>
      </w:r>
      <w:r>
        <w:t xml:space="preserve"> </w:t>
      </w:r>
      <w:r>
        <w:t xml:space="preserve">estão jogando.</w:t>
      </w:r>
    </w:p>
    <w:p>
      <w:pPr>
        <w:pStyle w:val="BodyText"/>
      </w:pPr>
      <w:r>
        <w:t xml:space="preserve">Nos módulos anteriores, todo mundo sabia tudo: os payoffs, as estratégias, quem era quem. Jogo de cartas com todas as cartas na mesa. Confortável — e completamente irreal. No mundo de verdade, a firma entrante não sabe se a incumbente é eficiente ou desperdiçadora. O licitante no leilão do pré-sal não faz ideia de quanto os concorrentes estão dispostos a pagar. A seguradora não sabe se o cliente é prudente ou desleixado. A pergunta que paralisou a teoria dos jogos por anos: como analisar um jogo quando os jogadores nem concordam sobre</w:t>
      </w:r>
      <w:r>
        <w:t xml:space="preserve"> </w:t>
      </w:r>
      <w:r>
        <w:rPr>
          <w:i/>
          <w:iCs/>
        </w:rPr>
        <w:t xml:space="preserve">qual jogo</w:t>
      </w:r>
      <w:r>
        <w:t xml:space="preserve"> </w:t>
      </w:r>
      <w:r>
        <w:t xml:space="preserve">estão jogando?</w:t>
      </w:r>
    </w:p>
    <w:p>
      <w:pPr>
        <w:pStyle w:val="BodyText"/>
      </w:pPr>
      <w:r>
        <w:t xml:space="preserve">A resposta — uma das ideias mais engenhosas da economia — veio de John Harsanyi. O truque: introduzir um novo</w:t>
      </w:r>
      <w:r>
        <w:t xml:space="preserve"> </w:t>
      </w:r>
      <w:r>
        <w:t xml:space="preserve">“jogador”</w:t>
      </w:r>
      <w:r>
        <w:t xml:space="preserve"> </w:t>
      </w:r>
      <w:r>
        <w:t xml:space="preserve">chamado</w:t>
      </w:r>
      <w:r>
        <w:t xml:space="preserve"> </w:t>
      </w:r>
      <w:r>
        <w:rPr>
          <w:b/>
          <w:bCs/>
        </w:rPr>
        <w:t xml:space="preserve">natureza</w:t>
      </w:r>
      <w:r>
        <w:t xml:space="preserve">, que sorteia as cartas no início do jogo. Cada jogador vê suas próprias cartas mas não as dos outros. Pronto: o jogo com informação</w:t>
      </w:r>
      <w:r>
        <w:t xml:space="preserve"> </w:t>
      </w:r>
      <w:r>
        <w:rPr>
          <w:i/>
          <w:iCs/>
        </w:rPr>
        <w:t xml:space="preserve">incompleta</w:t>
      </w:r>
      <w:r>
        <w:t xml:space="preserve"> </w:t>
      </w:r>
      <w:r>
        <w:t xml:space="preserve">vira um jogo com informação</w:t>
      </w:r>
      <w:r>
        <w:t xml:space="preserve"> </w:t>
      </w:r>
      <w:r>
        <w:rPr>
          <w:i/>
          <w:iCs/>
        </w:rPr>
        <w:t xml:space="preserve">imperfeita</w:t>
      </w:r>
      <w:r>
        <w:t xml:space="preserve"> </w:t>
      </w:r>
      <w:r>
        <w:t xml:space="preserve">— e esse último já sabemos resolver.</w:t>
      </w:r>
    </w:p>
    <w:p>
      <w:pPr>
        <w:pStyle w:val="BodyText"/>
      </w:pPr>
      <w:r>
        <w:t xml:space="preserve">Este módulo cobre jogos bayesianos estáticos e sua principal aplicação: a</w:t>
      </w:r>
      <w:r>
        <w:t xml:space="preserve"> </w:t>
      </w:r>
      <w:r>
        <w:rPr>
          <w:b/>
          <w:bCs/>
        </w:rPr>
        <w:t xml:space="preserve">teoria de leilões</w:t>
      </w:r>
      <w:r>
        <w:t xml:space="preserve"> </w:t>
      </w:r>
      <w:r>
        <w:t xml:space="preserve">(Gibbons, 1992, Cap. 3). Começamos pela formalização do jogo bayesiano e do conceito de tipo (Seção 9c.1), passamos ao equilíbrio (Seção 9c.2), aplicamos o arcabouço à teoria de leilões (Seção 9c.3) e culminamos com a inversão do problema — o desenho de mecanismos (Seção 9c.4). Os conceitos aqui desenvolvidos conectam-se diretamente ao Módulo 9d (jogos dinâmicos com informação incompleta), onde a assimetria informacional persiste ao longo de múltiplos estágios, e ao Capítulo 19, onde seleção adversa, risco moral e contratos ótimos são, em essência, aplicações do desenho de mecanismos a contextos específicos de mercado.</w:t>
      </w:r>
    </w:p>
    <w:p>
      <w:r>
        <w:pict>
          <v:rect style="width:0;height:1.5pt" o:hralign="center" o:hrstd="t" o:hr="t"/>
        </w:pict>
      </w:r>
    </w:p>
    <w:bookmarkStart w:id="563" w:name="roteiro-do-capítulo-2"/>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9c.1–9c.2</w:t>
            </w:r>
          </w:p>
        </w:tc>
        <w:tc>
          <w:tcPr/>
          <w:p>
            <w:pPr>
              <w:pStyle w:val="Compact"/>
            </w:pPr>
            <w:r>
              <w:t xml:space="preserve">Como jogar um jogo quando você não sabe contra quem está jogando?</w:t>
            </w:r>
          </w:p>
        </w:tc>
        <w:tc>
          <w:tcPr/>
          <w:p>
            <w:pPr>
              <w:pStyle w:val="Compact"/>
            </w:pPr>
            <w:r>
              <w:t xml:space="preserve">Tipos, transformação de Harsanyi, Equilíbrio Bayesiano de Nash</w:t>
            </w:r>
          </w:p>
        </w:tc>
        <w:tc>
          <w:tcPr/>
          <w:p>
            <w:pPr>
              <w:pStyle w:val="Compact"/>
              <w:jc w:val="center"/>
            </w:pPr>
            <w:r>
              <w:t xml:space="preserve">Tipos e BNE</w:t>
            </w:r>
          </w:p>
        </w:tc>
      </w:tr>
      <w:tr>
        <w:tc>
          <w:tcPr/>
          <w:p>
            <w:pPr>
              <w:pStyle w:val="Compact"/>
              <w:jc w:val="center"/>
            </w:pPr>
            <w:r>
              <w:t xml:space="preserve">9c.3</w:t>
            </w:r>
          </w:p>
        </w:tc>
        <w:tc>
          <w:tcPr/>
          <w:p>
            <w:pPr>
              <w:pStyle w:val="Compact"/>
            </w:pPr>
            <w:r>
              <w:t xml:space="preserve">Quem dá mais — e quanto deveria oferecer?</w:t>
            </w:r>
          </w:p>
        </w:tc>
        <w:tc>
          <w:tcPr/>
          <w:p>
            <w:pPr>
              <w:pStyle w:val="Compact"/>
            </w:pPr>
            <w:r>
              <w:t xml:space="preserve">Leilões IPV, Vickrey, primeiro preço, equivalência de receita, maldição do vencedor</w:t>
            </w:r>
          </w:p>
        </w:tc>
        <w:tc>
          <w:tcPr/>
          <w:p>
            <w:pPr>
              <w:pStyle w:val="Compact"/>
              <w:jc w:val="center"/>
            </w:pPr>
            <w:r>
              <w:t xml:space="preserve">Leilões</w:t>
            </w:r>
          </w:p>
        </w:tc>
      </w:tr>
      <w:tr>
        <w:tc>
          <w:tcPr/>
          <w:p>
            <w:pPr>
              <w:pStyle w:val="Compact"/>
              <w:jc w:val="center"/>
            </w:pPr>
            <w:r>
              <w:t xml:space="preserve">9c.4</w:t>
            </w:r>
          </w:p>
        </w:tc>
        <w:tc>
          <w:tcPr/>
          <w:p>
            <w:pPr>
              <w:pStyle w:val="Compact"/>
            </w:pPr>
            <w:r>
              <w:t xml:space="preserve">Se o resultado depende das regras, quem projeta as regras?</w:t>
            </w:r>
          </w:p>
        </w:tc>
        <w:tc>
          <w:tcPr/>
          <w:p>
            <w:pPr>
              <w:pStyle w:val="Compact"/>
            </w:pPr>
            <w:r>
              <w:t xml:space="preserve">Desenho de mecanismos, Princípio da Revelação, VCG, leilão ótimo de Myerson</w:t>
            </w:r>
          </w:p>
        </w:tc>
        <w:tc>
          <w:tcPr/>
          <w:p>
            <w:pPr>
              <w:pStyle w:val="Compact"/>
              <w:jc w:val="center"/>
            </w:pPr>
            <w:r>
              <w:t xml:space="preserve">Mecanismos</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Atividades, revisão, exercícios resolvidos e propostos,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bookmarkEnd w:id="563"/>
    <w:bookmarkStart w:id="566" w:name="X08113ec3d66593964b0eef6ebe52e4b5865c7f6"/>
    <w:p>
      <w:pPr>
        <w:pStyle w:val="Heading2"/>
      </w:pPr>
      <w:r>
        <w:t xml:space="preserve">Quem É Quem? Informação Incompleta, Tipos e Equilíbrio Bayesiano</w:t>
      </w:r>
    </w:p>
    <w:bookmarkStart w:id="564" w:name="X9334d1cd45b341249fe18e13dc63957a04013b3"/>
    <w:p>
      <w:pPr>
        <w:pStyle w:val="Heading3"/>
      </w:pPr>
      <w:r>
        <w:t xml:space="preserve">9c.1 Quem É Quem? Informação Incompleta e Tipos</w:t>
      </w:r>
    </w:p>
    <w:p>
      <w:pPr>
        <w:pStyle w:val="FirstParagraph"/>
      </w:pPr>
      <w:r>
        <w:t xml:space="preserve">A mecânica da transformação de Harsanyi é simples. Cada jogador recebe um</w:t>
      </w:r>
      <w:r>
        <w:t xml:space="preserve"> </w:t>
      </w:r>
      <w:r>
        <w:rPr>
          <w:b/>
          <w:bCs/>
        </w:rPr>
        <w:t xml:space="preserve">tipo</w:t>
      </w:r>
      <w:r>
        <w:t xml:space="preserve"> </w:t>
      </w:r>
      <w:r>
        <w:t xml:space="preserve">— uma característica privada (custo, valor, produtividade) sorteada pela natureza. Cada um vê seu tipo, mas não o dos outros. A distribuição de probabilidade sobre os tipos é conhecida por todos (é a</w:t>
      </w:r>
      <w:r>
        <w:t xml:space="preserve"> </w:t>
      </w:r>
      <w:r>
        <w:t xml:space="preserve">“prior comum”</w:t>
      </w:r>
      <w:r>
        <w:t xml:space="preserve">). Com essa reformulação, o jogo se torna analisável: cada jogador escolhe uma estratégia que depende do seu tipo, maximizando o payoff esperado dadas suas crenças sobre os tipos alheios.</w:t>
      </w:r>
    </w:p>
    <w:p>
      <w:pPr>
        <w:pStyle w:val="BodyText"/>
      </w:pPr>
      <w:r>
        <w:t xml:space="preserve">Para fixar ideias, um exemplo concreto antes da formalização. Uma empresa incumbente pode ter custo marginal baixo (</w:t>
      </w:r>
      <m:oMath>
        <m:r>
          <m:t>θ</m:t>
        </m:r>
        <m:r>
          <m:rPr>
            <m:sty m:val="p"/>
          </m:rPr>
          <m:t>=</m:t>
        </m:r>
        <m:r>
          <m:t>L</m:t>
        </m:r>
      </m:oMath>
      <w:r>
        <w:t xml:space="preserve">, firma eficiente) ou alto (</w:t>
      </w:r>
      <m:oMath>
        <m:r>
          <m:t>θ</m:t>
        </m:r>
        <m:r>
          <m:rPr>
            <m:sty m:val="p"/>
          </m:rPr>
          <m:t>=</m:t>
        </m:r>
        <m:r>
          <m:t>H</m:t>
        </m:r>
      </m:oMath>
      <w:r>
        <w:t xml:space="preserve">, firma ineficiente). Uma entrante potencial não observa o tipo da incumbente, mas sabe que a probabilidade de enfrentar uma firma eficiente é</w:t>
      </w:r>
      <w:r>
        <w:t xml:space="preserve"> </w:t>
      </w:r>
      <m:oMath>
        <m:r>
          <m:t>p</m:t>
        </m:r>
      </m:oMath>
      <w:r>
        <w:t xml:space="preserve">. A decisão de entrar ou não no mercado depende crucialmente da crença sobre</w:t>
      </w:r>
      <w:r>
        <w:t xml:space="preserve"> </w:t>
      </w:r>
      <m:oMath>
        <m:r>
          <m:t>p</m:t>
        </m:r>
      </m:oMath>
      <w:r>
        <w:t xml:space="preserve">: se</w:t>
      </w:r>
      <w:r>
        <w:t xml:space="preserve"> </w:t>
      </w:r>
      <m:oMath>
        <m:r>
          <m:t>p</m:t>
        </m:r>
      </m:oMath>
      <w:r>
        <w:t xml:space="preserve"> </w:t>
      </w:r>
      <w:r>
        <w:t xml:space="preserve">é alto (a incumbente provavelmente é eficiente), a entrada é arriscada; se</w:t>
      </w:r>
      <w:r>
        <w:t xml:space="preserve"> </w:t>
      </w:r>
      <m:oMath>
        <m:r>
          <m:t>p</m:t>
        </m:r>
      </m:oMath>
      <w:r>
        <w:t xml:space="preserve"> </w:t>
      </w:r>
      <w:r>
        <w:t xml:space="preserve">é baixo, a entrada pode ser lucrativa. O jogo bayesiano formaliza exatamente essa situação — a natureza sorteia o tipo da incumbente, a entrante forma suas crenças usando</w:t>
      </w:r>
      <w:r>
        <w:t xml:space="preserve"> </w:t>
      </w:r>
      <m:oMath>
        <m:r>
          <m:t>p</m:t>
        </m:r>
      </m:oMath>
      <w:r>
        <w:t xml:space="preserve">, e ambas as partes agem racionalmente dado o que sabem.</w:t>
      </w:r>
    </w:p>
    <w:p>
      <w:pPr>
        <w:pStyle w:val="BlockText"/>
      </w:pPr>
      <w:r>
        <w:rPr>
          <w:b/>
          <w:bCs/>
        </w:rPr>
        <w:t xml:space="preserve">[DEFINICAO] Jogo Bayesiano</w:t>
      </w:r>
    </w:p>
    <w:p>
      <w:pPr>
        <w:pStyle w:val="BlockText"/>
      </w:pPr>
      <w:r>
        <w:t xml:space="preserve">Um</w:t>
      </w:r>
      <w:r>
        <w:t xml:space="preserve"> </w:t>
      </w:r>
      <w:r>
        <w:rPr>
          <w:b/>
          <w:bCs/>
        </w:rPr>
        <w:t xml:space="preserve">jogo Bayesiano</w:t>
      </w:r>
      <w:r>
        <w:t xml:space="preserve"> </w:t>
      </w:r>
      <w:r>
        <w:t xml:space="preserve">é definido por:</w:t>
      </w:r>
    </w:p>
    <w:p>
      <w:pPr>
        <w:pStyle w:val="BlockText"/>
      </w:pPr>
      <w:r>
        <w:t xml:space="preserve">$$</w:t>
      </w:r>
    </w:p>
    <w:p>
      <w:pPr>
        <w:pStyle w:val="BlockText"/>
      </w:pPr>
      <w:r>
        <w:t xml:space="preserve">^B =</w:t>
      </w:r>
      <w:r>
        <w:t xml:space="preserve"> </w:t>
      </w:r>
      <w:r>
        <w:t xml:space="preserve">N, (S_i)</w:t>
      </w:r>
      <w:r>
        <w:rPr>
          <w:i/>
          <w:iCs/>
        </w:rPr>
        <w:t xml:space="preserve">{i</w:t>
      </w:r>
      <w:r>
        <w:rPr>
          <w:i/>
          <w:iCs/>
        </w:rPr>
        <w:t xml:space="preserve"> </w:t>
      </w:r>
      <w:r>
        <w:rPr>
          <w:i/>
          <w:iCs/>
        </w:rPr>
        <w:t xml:space="preserve">N}, (</w:t>
      </w:r>
      <w:r>
        <w:rPr>
          <w:i/>
          <w:i/>
          <w:iCs/>
          <w:iCs/>
        </w:rPr>
        <w:t xml:space="preserve">i)</w:t>
      </w:r>
      <w:r>
        <w:rPr>
          <w:i/>
          <w:iCs/>
        </w:rPr>
        <w:t xml:space="preserve">{i</w:t>
      </w:r>
      <w:r>
        <w:rPr>
          <w:i/>
          <w:iCs/>
        </w:rPr>
        <w:t xml:space="preserve"> </w:t>
      </w:r>
      <w:r>
        <w:rPr>
          <w:i/>
          <w:iCs/>
        </w:rPr>
        <w:t xml:space="preserve">N}, (u_i)</w:t>
      </w:r>
      <w:r>
        <w:t xml:space="preserve">{i</w:t>
      </w:r>
      <w:r>
        <w:t xml:space="preserve"> </w:t>
      </w:r>
      <w:r>
        <w:t xml:space="preserve">N}, p</w:t>
      </w:r>
      <w:r>
        <w:t xml:space="preserve"> </w:t>
      </w:r>
      <w:r>
        <w:t xml:space="preserve"> </w:t>
      </w:r>
      <w:r>
        <w:t xml:space="preserve"> </w:t>
      </w:r>
    </w:p>
    <w:p>
      <w:pPr>
        <w:pStyle w:val="BlockText"/>
      </w:pPr>
      <w:r>
        <w:t xml:space="preserve">$$</w:t>
      </w:r>
    </w:p>
    <w:p>
      <w:pPr>
        <w:pStyle w:val="BlockText"/>
      </w:pPr>
      <w:r>
        <w:t xml:space="preserve">onde</w:t>
      </w:r>
      <w:r>
        <w:t xml:space="preserve"> </w:t>
      </w:r>
      <m:oMath>
        <m:sSub>
          <m:e>
            <m:r>
              <m:rPr>
                <m:sty m:val="p"/>
              </m:rPr>
              <m:t>Θ</m:t>
            </m:r>
          </m:e>
          <m:sub>
            <m:r>
              <m:t>i</m:t>
            </m:r>
          </m:sub>
        </m:sSub>
      </m:oMath>
      <w:r>
        <w:t xml:space="preserve"> </w:t>
      </w:r>
      <w:r>
        <w:t xml:space="preserve">é o conjunto de tipos do jogador</w:t>
      </w:r>
      <w:r>
        <w:t xml:space="preserve"> </w:t>
      </w:r>
      <m:oMath>
        <m:r>
          <m:t>i</m:t>
        </m:r>
      </m:oMath>
      <w:r>
        <w:t xml:space="preserve">,</w:t>
      </w:r>
      <w:r>
        <w:t xml:space="preserve"> </w:t>
      </w:r>
      <m:oMath>
        <m:sSub>
          <m:e>
            <m:r>
              <m:t>u</m:t>
            </m:r>
          </m:e>
          <m:sub>
            <m:r>
              <m:t>i</m:t>
            </m:r>
          </m:sub>
        </m:sSub>
        <m:r>
          <m:rPr>
            <m:sty m:val="p"/>
          </m:rPr>
          <m:t>(</m:t>
        </m:r>
        <m:r>
          <m:t>s</m:t>
        </m:r>
        <m:r>
          <m:rPr>
            <m:sty m:val="p"/>
          </m:rPr>
          <m:t>,</m:t>
        </m:r>
        <m:r>
          <m:t>θ</m:t>
        </m:r>
        <m:r>
          <m:rPr>
            <m:sty m:val="p"/>
          </m:rPr>
          <m:t>)</m:t>
        </m:r>
      </m:oMath>
      <w:r>
        <w:t xml:space="preserve"> </w:t>
      </w:r>
      <w:r>
        <w:t xml:space="preserve">é o payoff, e</w:t>
      </w:r>
      <w:r>
        <w:t xml:space="preserve"> </w:t>
      </w:r>
      <m:oMath>
        <m:r>
          <m:t>p</m:t>
        </m:r>
        <m:r>
          <m:rPr>
            <m:sty m:val="p"/>
          </m:rPr>
          <m:t>(</m:t>
        </m:r>
        <m:r>
          <m:t>θ</m:t>
        </m:r>
        <m:r>
          <m:rPr>
            <m:sty m:val="p"/>
          </m:rPr>
          <m:t>)</m:t>
        </m:r>
      </m:oMath>
      <w:r>
        <w:t xml:space="preserve"> </w:t>
      </w:r>
      <w:r>
        <w:t xml:space="preserve">é a distribuição conjunta sobre o perfil de tipos (prior comum).</w:t>
      </w:r>
    </w:p>
    <w:p>
      <w:pPr>
        <w:pStyle w:val="FirstParagraph"/>
      </w:pPr>
      <w:r>
        <w:t xml:space="preserve">A transformação de Harsanyi converte um jogo com informação incompleta em um jogo com informação imperfeita (mas completa): a</w:t>
      </w:r>
      <w:r>
        <w:t xml:space="preserve"> </w:t>
      </w:r>
      <w:r>
        <w:t xml:space="preserve">“natureza”</w:t>
      </w:r>
      <w:r>
        <w:t xml:space="preserve"> </w:t>
      </w:r>
      <w:r>
        <w:t xml:space="preserve">sorteia os tipos, cada jogador observa apenas o próprio tipo, e o jogo prossegue como um jogo simultâneo em que cada tipo é tratado como um</w:t>
      </w:r>
      <w:r>
        <w:t xml:space="preserve"> </w:t>
      </w:r>
      <w:r>
        <w:t xml:space="preserve">“jogador”</w:t>
      </w:r>
      <w:r>
        <w:t xml:space="preserve"> </w:t>
      </w:r>
      <w:r>
        <w:t xml:space="preserve">separado. O que antes era genuína ignorância sobre a estrutura do jogo, formalizada pela equação Eq. (eq:9c.1), torna-se meramente incerteza sobre um lance aleatório — algo que as ferramentas probabilísticas podem tratar rigorosamente.</w:t>
      </w:r>
    </w:p>
    <w:p>
      <w:pPr>
        <w:pStyle w:val="BodyText"/>
      </w:pPr>
      <w:r>
        <w:t xml:space="preserve">É importante notar a diferença entre</w:t>
      </w:r>
      <w:r>
        <w:t xml:space="preserve"> </w:t>
      </w:r>
      <w:r>
        <w:rPr>
          <w:b/>
          <w:bCs/>
        </w:rPr>
        <w:t xml:space="preserve">informação incompleta</w:t>
      </w:r>
      <w:r>
        <w:t xml:space="preserve"> </w:t>
      </w:r>
      <w:r>
        <w:t xml:space="preserve">e</w:t>
      </w:r>
      <w:r>
        <w:t xml:space="preserve"> </w:t>
      </w:r>
      <w:r>
        <w:rPr>
          <w:b/>
          <w:bCs/>
        </w:rPr>
        <w:t xml:space="preserve">informação imperfeita</w:t>
      </w:r>
      <w:r>
        <w:t xml:space="preserve"> </w:t>
      </w:r>
      <w:r>
        <w:t xml:space="preserve">(introduzida no Capítulo 9b). Informação imperfeita significa que os jogadores não observam todas as ações passadas; informação incompleta significa que não conhecem as características fundamentais dos adversários — custos, valores, preferências. A genialidade da transformação de Harsanyi é reduzir o segundo tipo ao primeiro, unificando o tratamento analítico. Uma vez que o jogo bayesiano está definido, as estratégias passam a ser</w:t>
      </w:r>
      <w:r>
        <w:t xml:space="preserve"> </w:t>
      </w:r>
      <w:r>
        <w:rPr>
          <w:i/>
          <w:iCs/>
        </w:rPr>
        <w:t xml:space="preserve">funções dos tipos</w:t>
      </w:r>
      <w:r>
        <w:t xml:space="preserve">: em vez de escolher uma ação, cada jogador escolhe um plano contingente que especifica o que fazer para cada possível realização do seu tipo privado.</w:t>
      </w:r>
    </w:p>
    <w:p>
      <w:pPr>
        <w:pStyle w:val="BodyText"/>
      </w:pPr>
      <w:r>
        <w:t xml:space="preserve">Essa distinção tem consequências profundas para a modelagem econômica. Em jogos com informação completa (Cap. 9a), basta especificar uma ação para cada jogador. Em jogos bayesianos, uma estratégia é um</w:t>
      </w:r>
      <w:r>
        <w:t xml:space="preserve"> </w:t>
      </w:r>
      <w:r>
        <w:rPr>
          <w:i/>
          <w:iCs/>
        </w:rPr>
        <w:t xml:space="preserve">mapeamento</w:t>
      </w:r>
      <w:r>
        <w:t xml:space="preserve"> </w:t>
      </w:r>
      <w:r>
        <w:t xml:space="preserve">do espaço de tipos para o espaço de ações:</w:t>
      </w:r>
      <w:r>
        <w:t xml:space="preserve"> </w:t>
      </w:r>
      <m:oMath>
        <m:sSub>
          <m:e>
            <m:r>
              <m:t>σ</m:t>
            </m:r>
          </m:e>
          <m:sub>
            <m:r>
              <m:t>i</m:t>
            </m:r>
          </m:sub>
        </m:sSub>
        <m:r>
          <m:rPr>
            <m:sty m:val="p"/>
          </m:rPr>
          <m:t>:</m:t>
        </m:r>
        <m:sSub>
          <m:e>
            <m:r>
              <m:rPr>
                <m:sty m:val="p"/>
              </m:rPr>
              <m:t>Θ</m:t>
            </m:r>
          </m:e>
          <m:sub>
            <m:r>
              <m:t>i</m:t>
            </m:r>
          </m:sub>
        </m:sSub>
        <m:r>
          <m:rPr>
            <m:sty m:val="p"/>
          </m:rPr>
          <m:t>→</m:t>
        </m:r>
        <m:sSub>
          <m:e>
            <m:r>
              <m:t>S</m:t>
            </m:r>
          </m:e>
          <m:sub>
            <m:r>
              <m:t>i</m:t>
            </m:r>
          </m:sub>
        </m:sSub>
      </m:oMath>
      <w:r>
        <w:t xml:space="preserve"> </w:t>
      </w:r>
      <w:r>
        <w:t xml:space="preserve">(ou, em estratégias mistas,</w:t>
      </w:r>
      <w:r>
        <w:t xml:space="preserve"> </w:t>
      </w:r>
      <m:oMath>
        <m:sSub>
          <m:e>
            <m:r>
              <m:t>σ</m:t>
            </m:r>
          </m:e>
          <m:sub>
            <m:r>
              <m:t>i</m:t>
            </m:r>
          </m:sub>
        </m:sSub>
        <m:r>
          <m:rPr>
            <m:sty m:val="p"/>
          </m:rPr>
          <m:t>:</m:t>
        </m:r>
        <m:sSub>
          <m:e>
            <m:r>
              <m:rPr>
                <m:sty m:val="p"/>
              </m:rPr>
              <m:t>Θ</m:t>
            </m:r>
          </m:e>
          <m:sub>
            <m:r>
              <m:t>i</m:t>
            </m:r>
          </m:sub>
        </m:sSub>
        <m:r>
          <m:rPr>
            <m:sty m:val="p"/>
          </m:rPr>
          <m:t>→</m:t>
        </m:r>
        <m:r>
          <m:rPr>
            <m:sty m:val="p"/>
          </m:rPr>
          <m:t>Δ</m:t>
        </m:r>
        <m:r>
          <m:rPr>
            <m:sty m:val="p"/>
          </m:rPr>
          <m:t>(</m:t>
        </m:r>
        <m:sSub>
          <m:e>
            <m:r>
              <m:t>S</m:t>
            </m:r>
          </m:e>
          <m:sub>
            <m:r>
              <m:t>i</m:t>
            </m:r>
          </m:sub>
        </m:sSub>
        <m:r>
          <m:rPr>
            <m:sty m:val="p"/>
          </m:rPr>
          <m:t>)</m:t>
        </m:r>
      </m:oMath>
      <w:r>
        <w:t xml:space="preserve">). Essa mudança de perspectiva — de ações para planos contingentes — é o que torna possível analisar mercados com informação assimétrica, leilões com licitantes heterogêneos, e toda a gama de problemas de economia da informação que exploraremos ao longo deste livro.</w:t>
      </w:r>
    </w:p>
    <w:p>
      <w:pPr>
        <w:pStyle w:val="BodyText"/>
      </w:pPr>
      <w:r>
        <w:t xml:space="preserve">A hipótese de</w:t>
      </w:r>
      <w:r>
        <w:t xml:space="preserve"> </w:t>
      </w:r>
      <w:r>
        <w:rPr>
          <w:b/>
          <w:bCs/>
        </w:rPr>
        <w:t xml:space="preserve">distribuição a priori comum</w:t>
      </w:r>
      <w:r>
        <w:t xml:space="preserve"> </w:t>
      </w:r>
      <w:r>
        <w:t xml:space="preserve">(</w:t>
      </w:r>
      <w:r>
        <w:rPr>
          <w:i/>
          <w:iCs/>
        </w:rPr>
        <w:t xml:space="preserve">common prior</w:t>
      </w:r>
      <w:r>
        <w:t xml:space="preserve">) — de que todos os jogadores compartilham a mesma distribuição de probabilidade sobre os tipos — merece atenção especial. Essa hipótese, formalmente</w:t>
      </w:r>
      <w:r>
        <w:t xml:space="preserve"> </w:t>
      </w:r>
      <m:oMath>
        <m:r>
          <m:t>p</m:t>
        </m:r>
        <m:r>
          <m:rPr>
            <m:sty m:val="p"/>
          </m:rPr>
          <m:t>(</m:t>
        </m:r>
        <m:r>
          <m:t>θ</m:t>
        </m:r>
        <m:r>
          <m:rPr>
            <m:sty m:val="p"/>
          </m:rPr>
          <m:t>)</m:t>
        </m:r>
      </m:oMath>
      <w:r>
        <w:t xml:space="preserve"> </w:t>
      </w:r>
      <w:r>
        <w:t xml:space="preserve">na equação Eq. (eq:9c.1), significa que a incerteza dos jogadores não vem de discordância sobre o modelo do mundo, mas apenas de</w:t>
      </w:r>
      <w:r>
        <w:t xml:space="preserve"> </w:t>
      </w:r>
      <w:r>
        <w:rPr>
          <w:i/>
          <w:iCs/>
        </w:rPr>
        <w:t xml:space="preserve">informação privada</w:t>
      </w:r>
      <w:r>
        <w:t xml:space="preserve">: cada um sabe algo que os outros não sabem, mas todos concordam sobre a estrutura probabilística subjacente. Sem essa hipótese, seria necessário modelar crenças sobre crenças sobre crenças ad infinitum — o que Harsanyi mostrou ser equivalente a uma hierarquia infinita de tipos que pode ser colapsada em uma prior comum sob condições razoáveis.</w:t>
      </w:r>
    </w:p>
    <w:p>
      <w:pPr>
        <w:pStyle w:val="BodyText"/>
      </w:pPr>
      <w:r>
        <w:t xml:space="preserve">Com a formalização do jogo bayesiano e a noção de estratégias contingentes ao tipo, estamos em posição de definir o conceito de equilíbrio — o Equilíbrio Bayesiano de Nash — que captura o comportamento racional quando cada jogador utiliza sua informação privada de forma ótima.</w:t>
      </w:r>
    </w:p>
    <w:p>
      <w:r>
        <w:pict>
          <v:rect style="width:0;height:1.5pt" o:hralign="center" o:hrstd="t" o:hr="t"/>
        </w:pict>
      </w:r>
    </w:p>
    <w:bookmarkEnd w:id="564"/>
    <w:bookmarkStart w:id="565" w:name="X8e04ca252d487e89416d552b9b7d55b4a2d072f"/>
    <w:p>
      <w:pPr>
        <w:pStyle w:val="Heading3"/>
      </w:pPr>
      <w:r>
        <w:t xml:space="preserve">9c.2 Chutar Com Base no Que Você Sabe: Equilíbrio Bayesiano de Nash</w:t>
      </w:r>
    </w:p>
    <w:p>
      <w:pPr>
        <w:pStyle w:val="FirstParagraph"/>
      </w:pPr>
      <w:r>
        <w:t xml:space="preserve">O jogo está definido; falta o conceito de equilíbrio. A ideia é natural: cada</w:t>
      </w:r>
      <w:r>
        <w:t xml:space="preserve"> </w:t>
      </w:r>
      <w:r>
        <w:rPr>
          <w:i/>
          <w:iCs/>
        </w:rPr>
        <w:t xml:space="preserve">tipo</w:t>
      </w:r>
      <w:r>
        <w:t xml:space="preserve"> </w:t>
      </w:r>
      <w:r>
        <w:t xml:space="preserve">de cada jogador deve estar jogando a melhor resposta, dadas suas crenças sobre os tipos dos adversários. É um equilíbrio de Nash, mas</w:t>
      </w:r>
      <w:r>
        <w:t xml:space="preserve"> </w:t>
      </w:r>
      <w:r>
        <w:t xml:space="preserve">“por tipo”</w:t>
      </w:r>
      <w:r>
        <w:t xml:space="preserve"> </w:t>
      </w:r>
      <w:r>
        <w:t xml:space="preserve">— como se cada tipo fosse um jogador separado que sabe seu próprio tipo e forma expectativas sobre os demais usando a prior. Esse é o</w:t>
      </w:r>
      <w:r>
        <w:t xml:space="preserve"> </w:t>
      </w:r>
      <w:r>
        <w:rPr>
          <w:b/>
          <w:bCs/>
        </w:rPr>
        <w:t xml:space="preserve">Equilíbrio Bayesiano de Nash</w:t>
      </w:r>
      <w:r>
        <w:t xml:space="preserve"> </w:t>
      </w:r>
      <w:r>
        <w:t xml:space="preserve">(BNE). O jogador tipo</w:t>
      </w:r>
      <w:r>
        <w:t xml:space="preserve"> </w:t>
      </w:r>
      <m:oMath>
        <m:sSub>
          <m:e>
            <m:r>
              <m:t>θ</m:t>
            </m:r>
          </m:e>
          <m:sub>
            <m:r>
              <m:t>i</m:t>
            </m:r>
          </m:sub>
        </m:sSub>
      </m:oMath>
      <w:r>
        <w:t xml:space="preserve"> </w:t>
      </w:r>
      <w:r>
        <w:t xml:space="preserve">não sabe quais tipos os outros receberam, mas pode calcular a expectativa de seu payoff usando a distribuição condicional</w:t>
      </w:r>
      <w:r>
        <w:t xml:space="preserve"> </w:t>
      </w:r>
      <m:oMath>
        <m:r>
          <m:t>p</m:t>
        </m:r>
        <m:r>
          <m:rPr>
            <m:sty m:val="p"/>
          </m:rPr>
          <m:t>(</m:t>
        </m:r>
        <m:sSub>
          <m:e>
            <m:r>
              <m:t>θ</m:t>
            </m:r>
          </m:e>
          <m:sub>
            <m:r>
              <m:rPr>
                <m:sty m:val="p"/>
              </m:rPr>
              <m:t>−</m:t>
            </m:r>
            <m:r>
              <m:t>i</m:t>
            </m:r>
          </m:sub>
        </m:sSub>
        <m:r>
          <m:rPr>
            <m:sty m:val="p"/>
          </m:rPr>
          <m:t>|</m:t>
        </m:r>
        <m:sSub>
          <m:e>
            <m:r>
              <m:t>θ</m:t>
            </m:r>
          </m:e>
          <m:sub>
            <m:r>
              <m:t>i</m:t>
            </m:r>
          </m:sub>
        </m:sSub>
        <m:r>
          <m:rPr>
            <m:sty m:val="p"/>
          </m:rPr>
          <m:t>)</m:t>
        </m:r>
      </m:oMath>
      <w:r>
        <w:t xml:space="preserve"> </w:t>
      </w:r>
      <w:r>
        <w:t xml:space="preserve">e as estratégias de equilíbrio</w:t>
      </w:r>
      <w:r>
        <w:t xml:space="preserve"> </w:t>
      </w:r>
      <m:oMath>
        <m:sSubSup>
          <m:e>
            <m:r>
              <m:t>σ</m:t>
            </m:r>
          </m:e>
          <m:sub>
            <m:r>
              <m:rPr>
                <m:sty m:val="p"/>
              </m:rPr>
              <m:t>−</m:t>
            </m:r>
            <m:r>
              <m:t>i</m:t>
            </m:r>
          </m:sub>
          <m:sup>
            <m:r>
              <m:rPr>
                <m:sty m:val="p"/>
              </m:rPr>
              <m:t>*</m:t>
            </m:r>
          </m:sup>
        </m:sSubSup>
        <m:r>
          <m:rPr>
            <m:sty m:val="p"/>
          </m:rPr>
          <m:t>(</m:t>
        </m:r>
        <m:sSub>
          <m:e>
            <m:r>
              <m:t>θ</m:t>
            </m:r>
          </m:e>
          <m:sub>
            <m:r>
              <m:rPr>
                <m:sty m:val="p"/>
              </m:rPr>
              <m:t>−</m:t>
            </m:r>
            <m:r>
              <m:t>i</m:t>
            </m:r>
          </m:sub>
        </m:sSub>
        <m:r>
          <m:rPr>
            <m:sty m:val="p"/>
          </m:rPr>
          <m:t>)</m:t>
        </m:r>
      </m:oMath>
      <w:r>
        <w:t xml:space="preserve">. Se tipos são independentes — como ocorre no modelo de valores privados independentes que será central na teoria de leilões — a distribuição condicional coincide com a prior marginal, simplificando consideravelmente o cálculo.</w:t>
      </w:r>
    </w:p>
    <w:p>
      <w:pPr>
        <w:pStyle w:val="BlockText"/>
      </w:pPr>
      <w:r>
        <w:rPr>
          <w:b/>
          <w:bCs/>
        </w:rPr>
        <w:t xml:space="preserve">[DEFINICAO] Equilíbrio de Nash Bayesiano</w:t>
      </w:r>
    </w:p>
    <w:p>
      <w:pPr>
        <w:pStyle w:val="BlockText"/>
      </w:pPr>
      <w:r>
        <w:t xml:space="preserve">Um perfil de estratégias</w:t>
      </w:r>
      <w:r>
        <w:t xml:space="preserve"> </w:t>
      </w:r>
      <m:oMath>
        <m:sSup>
          <m:e>
            <m:r>
              <m:t>σ</m:t>
            </m:r>
          </m:e>
          <m:sup>
            <m:r>
              <m:rPr>
                <m:sty m:val="p"/>
              </m:rPr>
              <m:t>*</m:t>
            </m:r>
          </m:sup>
        </m:sSup>
        <m:r>
          <m:rPr>
            <m:sty m:val="p"/>
          </m:rPr>
          <m:t>=</m:t>
        </m:r>
        <m:r>
          <m:rPr>
            <m:sty m:val="p"/>
          </m:rPr>
          <m:t>(</m:t>
        </m:r>
        <m:sSubSup>
          <m:e>
            <m:r>
              <m:t>σ</m:t>
            </m:r>
          </m:e>
          <m:sub>
            <m:r>
              <m:t>1</m:t>
            </m:r>
          </m:sub>
          <m:sup>
            <m:r>
              <m:rPr>
                <m:sty m:val="p"/>
              </m:rPr>
              <m:t>*</m:t>
            </m:r>
          </m:sup>
        </m:sSubSup>
        <m:r>
          <m:rPr>
            <m:sty m:val="p"/>
          </m:rPr>
          <m:t>,</m:t>
        </m:r>
        <m:r>
          <m:rPr>
            <m:sty m:val="p"/>
          </m:rPr>
          <m:t>…</m:t>
        </m:r>
        <m:r>
          <m:rPr>
            <m:sty m:val="p"/>
          </m:rPr>
          <m:t>,</m:t>
        </m:r>
        <m:sSubSup>
          <m:e>
            <m:r>
              <m:t>σ</m:t>
            </m:r>
          </m:e>
          <m:sub>
            <m:r>
              <m:t>n</m:t>
            </m:r>
          </m:sub>
          <m:sup>
            <m:r>
              <m:rPr>
                <m:sty m:val="p"/>
              </m:rPr>
              <m:t>*</m:t>
            </m:r>
          </m:sup>
        </m:sSubSup>
        <m:r>
          <m:rPr>
            <m:sty m:val="p"/>
          </m:rPr>
          <m:t>)</m:t>
        </m:r>
      </m:oMath>
      <w:r>
        <w:t xml:space="preserve">, onde</w:t>
      </w:r>
      <w:r>
        <w:t xml:space="preserve"> </w:t>
      </w:r>
      <m:oMath>
        <m:sSubSup>
          <m:e>
            <m:r>
              <m:t>σ</m:t>
            </m:r>
          </m:e>
          <m:sub>
            <m:r>
              <m:t>i</m:t>
            </m:r>
          </m:sub>
          <m:sup>
            <m:r>
              <m:rPr>
                <m:sty m:val="p"/>
              </m:rPr>
              <m:t>*</m:t>
            </m:r>
          </m:sup>
        </m:sSubSup>
        <m:r>
          <m:rPr>
            <m:sty m:val="p"/>
          </m:rPr>
          <m:t>:</m:t>
        </m:r>
        <m:sSub>
          <m:e>
            <m:r>
              <m:rPr>
                <m:sty m:val="p"/>
              </m:rPr>
              <m:t>Θ</m:t>
            </m:r>
          </m:e>
          <m:sub>
            <m:r>
              <m:t>i</m:t>
            </m:r>
          </m:sub>
        </m:sSub>
        <m:r>
          <m:rPr>
            <m:sty m:val="p"/>
          </m:rPr>
          <m:t>→</m:t>
        </m:r>
        <m:r>
          <m:rPr>
            <m:sty m:val="p"/>
          </m:rPr>
          <m:t>Δ</m:t>
        </m:r>
        <m:r>
          <m:rPr>
            <m:sty m:val="p"/>
          </m:rPr>
          <m:t>(</m:t>
        </m:r>
        <m:sSub>
          <m:e>
            <m:r>
              <m:t>S</m:t>
            </m:r>
          </m:e>
          <m:sub>
            <m:r>
              <m:t>i</m:t>
            </m:r>
          </m:sub>
        </m:sSub>
        <m:r>
          <m:rPr>
            <m:sty m:val="p"/>
          </m:rPr>
          <m:t>)</m:t>
        </m:r>
      </m:oMath>
      <w:r>
        <w:t xml:space="preserve">, é um BNE se, para todo</w:t>
      </w:r>
      <w:r>
        <w:t xml:space="preserve"> </w:t>
      </w:r>
      <m:oMath>
        <m:r>
          <m:t>i</m:t>
        </m:r>
      </m:oMath>
      <w:r>
        <w:t xml:space="preserve"> </w:t>
      </w:r>
      <w:r>
        <w:t xml:space="preserve">e todo</w:t>
      </w:r>
      <w:r>
        <w:t xml:space="preserve"> </w:t>
      </w:r>
      <m:oMath>
        <m:sSub>
          <m:e>
            <m:r>
              <m:t>θ</m:t>
            </m:r>
          </m:e>
          <m:sub>
            <m:r>
              <m:t>i</m:t>
            </m:r>
          </m:sub>
        </m:sSub>
        <m:r>
          <m:rPr>
            <m:sty m:val="p"/>
          </m:rPr>
          <m:t>∈</m:t>
        </m:r>
        <m:sSub>
          <m:e>
            <m:r>
              <m:rPr>
                <m:sty m:val="p"/>
              </m:rPr>
              <m:t>Θ</m:t>
            </m:r>
          </m:e>
          <m:sub>
            <m:r>
              <m:t>i</m:t>
            </m:r>
          </m:sub>
        </m:sSub>
      </m:oMath>
      <w:r>
        <w:t xml:space="preserve">:</w:t>
      </w:r>
    </w:p>
    <w:p>
      <w:pPr>
        <w:pStyle w:val="BlockText"/>
      </w:pPr>
      <w:r>
        <w:t xml:space="preserve">$$</w:t>
      </w:r>
    </w:p>
    <w:p>
      <w:pPr>
        <w:pStyle w:val="BlockText"/>
      </w:pPr>
      <w:r>
        <w:t xml:space="preserve">_i^*(</w:t>
      </w:r>
      <w:r>
        <w:rPr>
          <w:i/>
          <w:iCs/>
        </w:rPr>
        <w:t xml:space="preserve">i)</w:t>
      </w:r>
      <w:r>
        <w:rPr>
          <w:i/>
          <w:iCs/>
        </w:rPr>
        <w:t xml:space="preserve"> </w:t>
      </w:r>
      <w:r>
        <w:t xml:space="preserve">{s_i</w:t>
      </w:r>
      <w:r>
        <w:t xml:space="preserve"> </w:t>
      </w:r>
      <w:r>
        <w:t xml:space="preserve">S_i} ; E_{</w:t>
      </w:r>
      <w:r>
        <w:t xml:space="preserve">_{-i}|</w:t>
      </w:r>
      <w:r>
        <w:t xml:space="preserve">_i}</w:t>
      </w:r>
      <w:r>
        <w:t xml:space="preserve"> </w:t>
      </w:r>
    </w:p>
    <w:p>
      <w:pPr>
        <w:pStyle w:val="BlockText"/>
      </w:pPr>
      <w:r>
        <w:t xml:space="preserve">$$</w:t>
      </w:r>
    </w:p>
    <w:p>
      <w:pPr>
        <w:pStyle w:val="BlockText"/>
      </w:pPr>
      <w:r>
        <w:t xml:space="preserve">Cada tipo de cada jogador maximiza seu payoff esperado, condicionando nas crenças sobre os tipos dos outros e nas estratégias de equilíbrio dos demais.</w:t>
      </w:r>
    </w:p>
    <w:p>
      <w:pPr>
        <w:pStyle w:val="BlockText"/>
      </w:pPr>
      <w:r>
        <w:rPr>
          <w:b/>
          <w:bCs/>
        </w:rPr>
        <w:t xml:space="preserve">[DEFINICAO] Equilíbrio Bayesiano de Nash — Definição Operacional</w:t>
      </w:r>
    </w:p>
    <w:p>
      <w:pPr>
        <w:pStyle w:val="BlockText"/>
      </w:pPr>
      <w:r>
        <w:t xml:space="preserve">Dito de forma equivalente,</w:t>
      </w:r>
      <w:r>
        <w:t xml:space="preserve"> </w:t>
      </w:r>
      <m:oMath>
        <m:sSup>
          <m:e>
            <m:r>
              <m:t>σ</m:t>
            </m:r>
          </m:e>
          <m:sup>
            <m:r>
              <m:rPr>
                <m:sty m:val="p"/>
              </m:rPr>
              <m:t>*</m:t>
            </m:r>
          </m:sup>
        </m:sSup>
      </m:oMath>
      <w:r>
        <w:t xml:space="preserve"> </w:t>
      </w:r>
      <w:r>
        <w:t xml:space="preserve">é um</w:t>
      </w:r>
      <w:r>
        <w:t xml:space="preserve"> </w:t>
      </w:r>
      <w:r>
        <w:rPr>
          <w:b/>
          <w:bCs/>
        </w:rPr>
        <w:t xml:space="preserve">BNE</w:t>
      </w:r>
      <w:r>
        <w:t xml:space="preserve"> </w:t>
      </w:r>
      <w:r>
        <w:t xml:space="preserve">se e somente se, para cada jogador</w:t>
      </w:r>
      <w:r>
        <w:t xml:space="preserve"> </w:t>
      </w:r>
      <m:oMath>
        <m:r>
          <m:t>i</m:t>
        </m:r>
      </m:oMath>
      <w:r>
        <w:t xml:space="preserve"> </w:t>
      </w:r>
      <w:r>
        <w:t xml:space="preserve">e cada tipo</w:t>
      </w:r>
      <w:r>
        <w:t xml:space="preserve"> </w:t>
      </w:r>
      <m:oMath>
        <m:sSub>
          <m:e>
            <m:r>
              <m:t>θ</m:t>
            </m:r>
          </m:e>
          <m:sub>
            <m:r>
              <m:t>i</m:t>
            </m:r>
          </m:sub>
        </m:sSub>
      </m:oMath>
      <w:r>
        <w:t xml:space="preserve"> </w:t>
      </w:r>
      <w:r>
        <w:t xml:space="preserve">com probabilidade positiva, a ação</w:t>
      </w:r>
      <w:r>
        <w:t xml:space="preserve"> </w:t>
      </w:r>
      <m:oMath>
        <m:sSubSup>
          <m:e>
            <m:r>
              <m:t>σ</m:t>
            </m:r>
          </m:e>
          <m:sub>
            <m:r>
              <m:t>i</m:t>
            </m:r>
          </m:sub>
          <m:sup>
            <m:r>
              <m:rPr>
                <m:sty m:val="p"/>
              </m:rPr>
              <m:t>*</m:t>
            </m:r>
          </m:sup>
        </m:sSubSup>
        <m:r>
          <m:rPr>
            <m:sty m:val="p"/>
          </m:rPr>
          <m:t>(</m:t>
        </m:r>
        <m:sSub>
          <m:e>
            <m:r>
              <m:t>θ</m:t>
            </m:r>
          </m:e>
          <m:sub>
            <m:r>
              <m:t>i</m:t>
            </m:r>
          </m:sub>
        </m:sSub>
        <m:r>
          <m:rPr>
            <m:sty m:val="p"/>
          </m:rPr>
          <m:t>)</m:t>
        </m:r>
      </m:oMath>
      <w:r>
        <w:t xml:space="preserve"> </w:t>
      </w:r>
      <w:r>
        <w:t xml:space="preserve">é uma melhor resposta às estratégias dos demais, tomando a expectativa sobre</w:t>
      </w:r>
      <w:r>
        <w:t xml:space="preserve"> </w:t>
      </w:r>
      <m:oMath>
        <m:sSub>
          <m:e>
            <m:r>
              <m:t>θ</m:t>
            </m:r>
          </m:e>
          <m:sub>
            <m:r>
              <m:rPr>
                <m:sty m:val="p"/>
              </m:rPr>
              <m:t>−</m:t>
            </m:r>
            <m:r>
              <m:t>i</m:t>
            </m:r>
          </m:sub>
        </m:sSub>
      </m:oMath>
      <w:r>
        <w:t xml:space="preserve"> </w:t>
      </w:r>
      <w:r>
        <w:t xml:space="preserve">usando a distribuição posterior de</w:t>
      </w:r>
      <w:r>
        <w:t xml:space="preserve"> </w:t>
      </w:r>
      <m:oMath>
        <m:r>
          <m:t>i</m:t>
        </m:r>
      </m:oMath>
      <w:r>
        <w:t xml:space="preserve"> </w:t>
      </w:r>
      <w:r>
        <w:t xml:space="preserve">sobre os tipos dos outros, condicionada em</w:t>
      </w:r>
      <w:r>
        <w:t xml:space="preserve"> </w:t>
      </w:r>
      <m:oMath>
        <m:sSub>
          <m:e>
            <m:r>
              <m:t>θ</m:t>
            </m:r>
          </m:e>
          <m:sub>
            <m:r>
              <m:t>i</m:t>
            </m:r>
          </m:sub>
        </m:sSub>
      </m:oMath>
      <w:r>
        <w:t xml:space="preserve">.</w:t>
      </w:r>
    </w:p>
    <w:p>
      <w:pPr>
        <w:pStyle w:val="BlockText"/>
      </w:pPr>
      <w:r>
        <w:t xml:space="preserve">Em termos práticos: encontrar um BNE equivale a resolver um sistema de problemas de otimização interligados — um para cada par (jogador, tipo) — em que as melhores respostas devem ser mutuamente consistentes.</w:t>
      </w:r>
    </w:p>
    <w:p>
      <w:pPr>
        <w:pStyle w:val="FirstParagraph"/>
      </w:pPr>
      <w:r>
        <w:t xml:space="preserve">O BNE herda as propriedades do equilíbrio de Nash: em jogos finitos, sempre existe pelo menos um BNE (possivelmente em estratégias mistas). A diferença fundamental está na</w:t>
      </w:r>
      <w:r>
        <w:t xml:space="preserve"> </w:t>
      </w:r>
      <w:r>
        <w:rPr>
          <w:i/>
          <w:iCs/>
        </w:rPr>
        <w:t xml:space="preserve">dimensionalidade</w:t>
      </w:r>
      <w:r>
        <w:t xml:space="preserve"> </w:t>
      </w:r>
      <w:r>
        <w:t xml:space="preserve">do problema de equilíbrio: com</w:t>
      </w:r>
      <w:r>
        <w:t xml:space="preserve"> </w:t>
      </w:r>
      <m:oMath>
        <m:r>
          <m:t>n</m:t>
        </m:r>
      </m:oMath>
      <w:r>
        <w:t xml:space="preserve"> </w:t>
      </w:r>
      <w:r>
        <w:t xml:space="preserve">jogadores e</w:t>
      </w:r>
      <w:r>
        <w:t xml:space="preserve"> </w:t>
      </w:r>
      <m:oMath>
        <m:r>
          <m:rPr>
            <m:sty m:val="p"/>
          </m:rPr>
          <m:t>|</m:t>
        </m:r>
        <m:sSub>
          <m:e>
            <m:r>
              <m:rPr>
                <m:sty m:val="p"/>
              </m:rPr>
              <m:t>Θ</m:t>
            </m:r>
          </m:e>
          <m:sub>
            <m:r>
              <m:t>i</m:t>
            </m:r>
          </m:sub>
        </m:sSub>
        <m:r>
          <m:rPr>
            <m:sty m:val="p"/>
          </m:rPr>
          <m:t>|</m:t>
        </m:r>
      </m:oMath>
      <w:r>
        <w:t xml:space="preserve"> </w:t>
      </w:r>
      <w:r>
        <w:t xml:space="preserve">tipos cada, o número de condições de otimização cresce proporcionalmente ao produto dos tamanhos dos conjuntos de tipos — muito mais complexo do que o jogo de informação completa correspondente.</w:t>
      </w:r>
    </w:p>
    <w:p>
      <w:pPr>
        <w:pStyle w:val="BodyText"/>
      </w:pPr>
      <w:r>
        <w:t xml:space="preserve">Para resolver um jogo bayesiano e encontrar o BNE na prática, o procedimento padrão segue três passos. Primeiro, enumerar as estratégias possíveis de cada jogador — lembrando que uma estratégia é uma</w:t>
      </w:r>
      <w:r>
        <w:t xml:space="preserve"> </w:t>
      </w:r>
      <w:r>
        <w:rPr>
          <w:i/>
          <w:iCs/>
        </w:rPr>
        <w:t xml:space="preserve">função</w:t>
      </w:r>
      <w:r>
        <w:t xml:space="preserve"> </w:t>
      </w:r>
      <w:r>
        <w:t xml:space="preserve">do tipo para ações, não simplesmente uma ação. Segundo, para cada perfil de estratégias candidato, verificar se cada tipo de cada jogador está jogando uma melhor resposta, tomando a expectativa sobre os tipos dos demais. Terceiro, identificar os perfis que satisfazem a condição de melhor resposta simultaneamente para todos os pares (jogador, tipo). Em jogos com tipos contínuos — como os leilões que estudaremos a seguir — os passos são análogos, mas envolvem a solução de equações diferenciais em vez de enumeração discreta.</w:t>
      </w:r>
    </w:p>
    <w:p>
      <w:pPr>
        <w:pStyle w:val="BodyText"/>
      </w:pPr>
      <w:r>
        <w:t xml:space="preserve">É útil contrastar o BNE com o equilíbrio de Nash de informação completa. No equilíbrio de Nash padrão (Cap. 9a), cada jogador maximiza contra as</w:t>
      </w:r>
      <w:r>
        <w:t xml:space="preserve"> </w:t>
      </w:r>
      <w:r>
        <w:rPr>
          <w:i/>
          <w:iCs/>
        </w:rPr>
        <w:t xml:space="preserve">ações</w:t>
      </w:r>
      <w:r>
        <w:t xml:space="preserve"> </w:t>
      </w:r>
      <w:r>
        <w:t xml:space="preserve">dos demais. No BNE, cada tipo maximiza contra a</w:t>
      </w:r>
      <w:r>
        <w:t xml:space="preserve"> </w:t>
      </w:r>
      <w:r>
        <w:rPr>
          <w:i/>
          <w:iCs/>
        </w:rPr>
        <w:t xml:space="preserve">distribuição de ações</w:t>
      </w:r>
      <w:r>
        <w:t xml:space="preserve"> </w:t>
      </w:r>
      <w:r>
        <w:t xml:space="preserve">dos demais, induzida pelas estratégias de equilíbrio e pela distribuição de tipos. A incerteza sobre os tipos dos adversários introduz uma camada adicional de raciocínio probabilístico que é, ao mesmo tempo, a riqueza e a dificuldade dos jogos bayesianos.</w:t>
      </w:r>
    </w:p>
    <w:p>
      <w:pPr>
        <w:pStyle w:val="BlockText"/>
      </w:pPr>
      <w:r>
        <w:rPr>
          <w:b/>
          <w:bCs/>
        </w:rPr>
        <w:t xml:space="preserve">[INTUICAO ECONOMICA] Intuição Econômica</w:t>
      </w:r>
    </w:p>
    <w:p>
      <w:pPr>
        <w:pStyle w:val="BlockText"/>
      </w:pPr>
      <w:r>
        <w:rPr>
          <w:b/>
          <w:bCs/>
        </w:rPr>
        <w:t xml:space="preserve">BNE: escolher melhor resposta dado o que você acredita sobre os tipos alheios</w:t>
      </w:r>
    </w:p>
    <w:p>
      <w:pPr>
        <w:pStyle w:val="BlockText"/>
      </w:pPr>
      <w:r>
        <w:rPr>
          <w:b/>
          <w:bCs/>
        </w:rPr>
        <w:t xml:space="preserve">Em uma frase:</w:t>
      </w:r>
      <w:r>
        <w:t xml:space="preserve"> </w:t>
      </w:r>
      <w:r>
        <w:t xml:space="preserve">No BNE, cada tipo de cada jogador age como o melhor que pode, dado o que acredita saber sobre quem está do outro lado da mesa.</w:t>
      </w:r>
    </w:p>
    <w:p>
      <w:pPr>
        <w:pStyle w:val="BlockText"/>
      </w:pPr>
      <w:r>
        <w:rPr>
          <w:b/>
          <w:bCs/>
        </w:rPr>
        <w:t xml:space="preserve">Pense assim:</w:t>
      </w:r>
      <w:r>
        <w:t xml:space="preserve"> </w:t>
      </w:r>
      <w:r>
        <w:t xml:space="preserve">Imagine que você negocia um contrato com uma empresa fornecedora. Você não sabe se ela é eficiente (custo baixo) ou ineficiente (custo alto). Mas sabe que, historicamente, 40% das fornecedoras são eficientes. No BNE, você formula uma proposta ótima contra essa distribuição de 40/60, e cada tipo da fornecedora responde com sua melhor oferta. Ninguém sabe o tipo do outro, mas todos agem racionalmente dado o que sabem.</w:t>
      </w:r>
    </w:p>
    <w:p>
      <w:pPr>
        <w:pStyle w:val="BlockText"/>
      </w:pPr>
      <w:r>
        <w:rPr>
          <w:b/>
          <w:bCs/>
        </w:rPr>
        <w:t xml:space="preserve">Por que isso importa:</w:t>
      </w:r>
      <w:r>
        <w:t xml:space="preserve"> </w:t>
      </w:r>
      <w:r>
        <w:t xml:space="preserve">O BNE é o conceito que unifica leilões, seguros, mercados de trabalho e regulação sob um mesmo arcabouço. Em todos esses contextos, há agentes com informação privada tomando decisões simultâneas — e o BNE captura exatamente o que acontece quando todos são racionais e as crenças são consistentes.</w:t>
      </w:r>
    </w:p>
    <w:p>
      <w:pPr>
        <w:pStyle w:val="BlockText"/>
      </w:pPr>
      <w:r>
        <w:rPr>
          <w:b/>
          <w:bCs/>
        </w:rPr>
        <w:t xml:space="preserve">[INFORMACAO] 🏅 Prêmio Nobel — John C. Harsanyi (1994)</w:t>
      </w:r>
    </w:p>
    <w:p>
      <w:pPr>
        <w:pStyle w:val="BlockText"/>
      </w:pPr>
      <w:r>
        <w:rPr>
          <w:b/>
          <w:bCs/>
        </w:rPr>
        <w:t xml:space="preserve">John Charles Harsanyi</w:t>
      </w:r>
      <w:r>
        <w:t xml:space="preserve"> </w:t>
      </w:r>
      <w:r>
        <w:t xml:space="preserve">(1920–2000) foi um economista húngaro-americano. Fugiu da Hungria comunista em 1950, obteve o PhD em Stanford sob orientação de Kenneth Arrow e foi professor na UC Berkeley. Dividiu o Nobel com Nash e Selten.</w:t>
      </w:r>
    </w:p>
    <w:p>
      <w:pPr>
        <w:pStyle w:val="BlockText"/>
      </w:pPr>
      <w:r>
        <w:rPr>
          <w:b/>
          <w:bCs/>
        </w:rPr>
        <w:t xml:space="preserve">Por que ganhou o Nobel:</w:t>
      </w:r>
      <w:r>
        <w:t xml:space="preserve"> </w:t>
      </w:r>
      <w:r>
        <w:t xml:space="preserve">Harsanyi resolveu o problema fundamental de como analisar jogos em que os jogadores não conhecem as características uns dos outros. Sua</w:t>
      </w:r>
      <w:r>
        <w:t xml:space="preserve"> </w:t>
      </w:r>
      <w:r>
        <w:rPr>
          <w:i/>
          <w:iCs/>
        </w:rPr>
        <w:t xml:space="preserve">transformação de Harsanyi</w:t>
      </w:r>
      <w:r>
        <w:t xml:space="preserve"> </w:t>
      </w:r>
      <w:r>
        <w:t xml:space="preserve">(1967–68) converte um jogo com informação incompleta em um jogo com informação imperfeita, introduzindo a</w:t>
      </w:r>
      <w:r>
        <w:t xml:space="preserve"> </w:t>
      </w:r>
      <w:r>
        <w:t xml:space="preserve">“Natureza”</w:t>
      </w:r>
      <w:r>
        <w:t xml:space="preserve"> </w:t>
      </w:r>
      <w:r>
        <w:t xml:space="preserve">como jogador que sorteia os tipos privados. Isso tornou possível aplicar o conceito de equilíbrio de Nash a situações de incerteza sobre os adversários.</w:t>
      </w:r>
    </w:p>
    <w:p>
      <w:pPr>
        <w:pStyle w:val="BlockText"/>
      </w:pPr>
      <w:r>
        <w:rPr>
          <w:b/>
          <w:bCs/>
        </w:rPr>
        <w:t xml:space="preserve">Conexão com este capítulo:</w:t>
      </w:r>
      <w:r>
        <w:t xml:space="preserve"> </w:t>
      </w:r>
      <w:r>
        <w:t xml:space="preserve">O equilíbrio bayesiano de Nash (BNE) — conceito central deste capítulo — é a aplicação direta da transformação de Harsanyi. A ideia de que cada jogador possui um</w:t>
      </w:r>
      <w:r>
        <w:t xml:space="preserve"> </w:t>
      </w:r>
      <w:r>
        <w:t xml:space="preserve">“tipo”</w:t>
      </w:r>
      <w:r>
        <w:t xml:space="preserve"> </w:t>
      </w:r>
      <w:r>
        <w:t xml:space="preserve">privado sorteado pela Natureza, e que as estratégias são funções do tipo, fundamenta toda a análise de jogos com informação incompleta apresentada aqui.</w:t>
      </w:r>
    </w:p>
    <w:p>
      <w:pPr>
        <w:pStyle w:val="BlockText"/>
      </w:pPr>
      <w:r>
        <w:rPr>
          <w:b/>
          <w:bCs/>
        </w:rPr>
        <w:t xml:space="preserve">[INTUICAO ECONOMICA] Intuição Econômica</w:t>
      </w:r>
    </w:p>
    <w:p>
      <w:pPr>
        <w:pStyle w:val="BlockText"/>
      </w:pPr>
      <w:r>
        <w:rPr>
          <w:b/>
          <w:bCs/>
        </w:rPr>
        <w:t xml:space="preserve">Em uma frase:</w:t>
      </w:r>
      <w:r>
        <w:t xml:space="preserve"> </w:t>
      </w:r>
      <w:r>
        <w:t xml:space="preserve">Em jogos bayesianos, cada jogador usa sua informação privada para extrair vantagem, mas o equilíbrio incorpora essa assimetria.</w:t>
      </w:r>
    </w:p>
    <w:p>
      <w:pPr>
        <w:pStyle w:val="BlockText"/>
      </w:pPr>
      <w:r>
        <w:rPr>
          <w:b/>
          <w:bCs/>
        </w:rPr>
        <w:t xml:space="preserve">Pense assim:</w:t>
      </w:r>
      <w:r>
        <w:t xml:space="preserve"> </w:t>
      </w:r>
      <w:r>
        <w:t xml:space="preserve">Num leilão de arte, você sabe quanto o quadro vale para você, mas não para os outros. Se lançar seu valor verdadeiro num leilão de primeiro preço, paga demais quando ganha. O equilíbrio envolve</w:t>
      </w:r>
      <w:r>
        <w:t xml:space="preserve"> </w:t>
      </w:r>
      <w:r>
        <w:rPr>
          <w:i/>
          <w:iCs/>
        </w:rPr>
        <w:t xml:space="preserve">bid shading</w:t>
      </w:r>
      <w:r>
        <w:t xml:space="preserve"> </w:t>
      </w:r>
      <w:r>
        <w:t xml:space="preserve">— lançar abaixo do valor. Mas num leilão de segundo preço (Vickrey), lançar o valor verdadeiro é estratégia dominante!</w:t>
      </w:r>
    </w:p>
    <w:p>
      <w:pPr>
        <w:pStyle w:val="BlockText"/>
      </w:pPr>
      <w:r>
        <w:rPr>
          <w:b/>
          <w:bCs/>
        </w:rPr>
        <w:t xml:space="preserve">Por que isso importa:</w:t>
      </w:r>
      <w:r>
        <w:t xml:space="preserve"> </w:t>
      </w:r>
      <w:r>
        <w:t xml:space="preserve">O desenho do mecanismo (formato do leilão, regra de pagamento) determina se os participantes revelam informação verdadeira ou estratégica. A ANP e a ANEEL precisam escolher formatos que maximizem receita e eficiência nos leilões de petróleo e energia.</w:t>
      </w:r>
    </w:p>
    <w:p>
      <w:pPr>
        <w:pStyle w:val="FirstParagraph"/>
      </w:pPr>
      <w:r>
        <w:t xml:space="preserve">Com o conceito de BNE firmemente estabelecido, passamos à aplicação que mais transformou a teoria em prática: a teoria de leilões. Veremos que os leilões são o campo de testes por excelência dos jogos bayesianos — cada formato de leilão define um jogo bayesiano específico, e a análise do BNE correspondente revela propriedades surpreendentes sobre receita, eficiência e incentivos.</w:t>
      </w:r>
    </w:p>
    <w:bookmarkEnd w:id="565"/>
    <w:bookmarkEnd w:id="566"/>
    <w:bookmarkStart w:id="570" w:name="projetando-o-jogo-desenho-de-mecanismos"/>
    <w:p>
      <w:pPr>
        <w:pStyle w:val="Heading2"/>
      </w:pPr>
      <w:r>
        <w:t xml:space="preserve">Projetando o Jogo: Desenho de Mecanismos</w:t>
      </w:r>
    </w:p>
    <w:bookmarkStart w:id="569" w:name="X2a7b78cea8579bdad60e86acae2a4d4aeced71a"/>
    <w:p>
      <w:pPr>
        <w:pStyle w:val="Heading3"/>
      </w:pPr>
      <w:r>
        <w:t xml:space="preserve">9c.4 Projetando o Jogo: Desenho de Mecanismos</w:t>
      </w:r>
    </w:p>
    <w:p>
      <w:pPr>
        <w:pStyle w:val="FirstParagraph"/>
      </w:pPr>
      <w:r>
        <w:t xml:space="preserve">Se formatos diferentes rendem receitas diferentes, a pergunta inevitável: qual formato é</w:t>
      </w:r>
      <w:r>
        <w:t xml:space="preserve"> </w:t>
      </w:r>
      <w:r>
        <w:rPr>
          <w:i/>
          <w:iCs/>
        </w:rPr>
        <w:t xml:space="preserve">o melhor</w:t>
      </w:r>
      <w:r>
        <w:t xml:space="preserve">? Mas essa pergunta é um caso especial de algo muito maior. Até aqui, o jogo era dado e nós buscávamos o equilíbrio. Agora</w:t>
      </w:r>
      <w:r>
        <w:t xml:space="preserve"> </w:t>
      </w:r>
      <w:r>
        <w:rPr>
          <w:i/>
          <w:iCs/>
        </w:rPr>
        <w:t xml:space="preserve">invertemos</w:t>
      </w:r>
      <w:r>
        <w:t xml:space="preserve">: o resultado desejado é dado, e nós</w:t>
      </w:r>
      <w:r>
        <w:t xml:space="preserve"> </w:t>
      </w:r>
      <w:r>
        <w:rPr>
          <w:b/>
          <w:bCs/>
        </w:rPr>
        <w:t xml:space="preserve">projetamos o jogo</w:t>
      </w:r>
      <w:r>
        <w:t xml:space="preserve"> </w:t>
      </w:r>
      <w:r>
        <w:t xml:space="preserve">que o produz. Essa inversão — de jogador para</w:t>
      </w:r>
      <w:r>
        <w:t xml:space="preserve"> </w:t>
      </w:r>
      <w:r>
        <w:rPr>
          <w:i/>
          <w:iCs/>
        </w:rPr>
        <w:t xml:space="preserve">arquiteto de jogos</w:t>
      </w:r>
      <w:r>
        <w:t xml:space="preserve"> </w:t>
      </w:r>
      <w:r>
        <w:t xml:space="preserve">— é o</w:t>
      </w:r>
      <w:r>
        <w:t xml:space="preserve"> </w:t>
      </w:r>
      <w:r>
        <w:rPr>
          <w:b/>
          <w:bCs/>
        </w:rPr>
        <w:t xml:space="preserve">desenho de mecanismos</w:t>
      </w:r>
      <w:r>
        <w:t xml:space="preserve">, e rendeu o Nobel de 2007 a Hurwicz, Maskin e Myerson. É a teoria por trás de tudo, desde leilões de espectro até matching de médicos residentes e doação de órgãos.</w:t>
      </w:r>
    </w:p>
    <w:p>
      <w:pPr>
        <w:pStyle w:val="BlockText"/>
      </w:pPr>
      <w:r>
        <w:rPr>
          <w:b/>
          <w:bCs/>
        </w:rPr>
        <w:t xml:space="preserve">[DEFINICAO] Mecanismo</w:t>
      </w:r>
    </w:p>
    <w:p>
      <w:pPr>
        <w:pStyle w:val="BlockText"/>
      </w:pPr>
      <w:r>
        <w:t xml:space="preserve">Um</w:t>
      </w:r>
      <w:r>
        <w:t xml:space="preserve"> </w:t>
      </w:r>
      <w:r>
        <w:rPr>
          <w:b/>
          <w:bCs/>
        </w:rPr>
        <w:t xml:space="preserve">mecanismo</w:t>
      </w:r>
      <w:r>
        <w:t xml:space="preserve"> </w:t>
      </w:r>
      <m:oMath>
        <m:r>
          <m:rPr>
            <m:scr m:val="script"/>
            <m:sty m:val="p"/>
          </m:rPr>
          <m:t>M</m:t>
        </m:r>
        <m:r>
          <m:rPr>
            <m:sty m:val="p"/>
          </m:rPr>
          <m:t>=</m:t>
        </m:r>
        <m:r>
          <m:rPr>
            <m:sty m:val="p"/>
          </m:rPr>
          <m:t>⟨</m:t>
        </m:r>
        <m:sSub>
          <m:e>
            <m:r>
              <m:t>M</m:t>
            </m:r>
          </m:e>
          <m:sub>
            <m:r>
              <m:t>1</m:t>
            </m:r>
          </m:sub>
        </m:sSub>
        <m:r>
          <m:rPr>
            <m:sty m:val="p"/>
          </m:rPr>
          <m:t>,</m:t>
        </m:r>
        <m:r>
          <m:rPr>
            <m:sty m:val="p"/>
          </m:rPr>
          <m:t>…</m:t>
        </m:r>
        <m:r>
          <m:rPr>
            <m:sty m:val="p"/>
          </m:rPr>
          <m:t>,</m:t>
        </m:r>
        <m:sSub>
          <m:e>
            <m:r>
              <m:t>M</m:t>
            </m:r>
          </m:e>
          <m:sub>
            <m:r>
              <m:t>n</m:t>
            </m:r>
          </m:sub>
        </m:sSub>
        <m:r>
          <m:rPr>
            <m:sty m:val="p"/>
          </m:rPr>
          <m:t>,</m:t>
        </m:r>
        <m:r>
          <m:t>g</m:t>
        </m:r>
        <m:r>
          <m:rPr>
            <m:sty m:val="p"/>
          </m:rPr>
          <m:t>⟩</m:t>
        </m:r>
      </m:oMath>
      <w:r>
        <w:t xml:space="preserve"> </w:t>
      </w:r>
      <w:r>
        <w:t xml:space="preserve">consiste em: (i) um espaço de mensagens</w:t>
      </w:r>
      <w:r>
        <w:t xml:space="preserve"> </w:t>
      </w:r>
      <m:oMath>
        <m:sSub>
          <m:e>
            <m:r>
              <m:t>M</m:t>
            </m:r>
          </m:e>
          <m:sub>
            <m:r>
              <m:t>i</m:t>
            </m:r>
          </m:sub>
        </m:sSub>
      </m:oMath>
      <w:r>
        <w:t xml:space="preserve"> </w:t>
      </w:r>
      <w:r>
        <w:t xml:space="preserve">para cada agente</w:t>
      </w:r>
      <w:r>
        <w:t xml:space="preserve"> </w:t>
      </w:r>
      <m:oMath>
        <m:r>
          <m:t>i</m:t>
        </m:r>
      </m:oMath>
      <w:r>
        <w:t xml:space="preserve">; e (ii) uma função de resultado</w:t>
      </w:r>
      <w:r>
        <w:t xml:space="preserve"> </w:t>
      </w:r>
      <m:oMath>
        <m:r>
          <m:t>g</m:t>
        </m:r>
        <m:r>
          <m:rPr>
            <m:sty m:val="p"/>
          </m:rPr>
          <m:t>:</m:t>
        </m:r>
        <m:sSub>
          <m:e>
            <m:r>
              <m:t>M</m:t>
            </m:r>
          </m:e>
          <m:sub>
            <m:r>
              <m:t>1</m:t>
            </m:r>
          </m:sub>
        </m:sSub>
        <m:r>
          <m:rPr>
            <m:sty m:val="p"/>
          </m:rPr>
          <m:t>×</m:t>
        </m:r>
        <m:r>
          <m:rPr>
            <m:sty m:val="p"/>
          </m:rPr>
          <m:t>⋯</m:t>
        </m:r>
        <m:r>
          <m:rPr>
            <m:sty m:val="p"/>
          </m:rPr>
          <m:t>×</m:t>
        </m:r>
        <m:sSub>
          <m:e>
            <m:r>
              <m:t>M</m:t>
            </m:r>
          </m:e>
          <m:sub>
            <m:r>
              <m:t>n</m:t>
            </m:r>
          </m:sub>
        </m:sSub>
        <m:r>
          <m:rPr>
            <m:sty m:val="p"/>
          </m:rPr>
          <m:t>→</m:t>
        </m:r>
        <m:r>
          <m:t>O</m:t>
        </m:r>
      </m:oMath>
      <w:r>
        <w:t xml:space="preserve"> </w:t>
      </w:r>
      <w:r>
        <w:t xml:space="preserve">que mapeia o perfil de mensagens em um resultado (alocação e pagamentos). O mecanismo define as</w:t>
      </w:r>
      <w:r>
        <w:t xml:space="preserve"> </w:t>
      </w:r>
      <w:r>
        <w:t xml:space="preserve">“regras do jogo”</w:t>
      </w:r>
      <w:r>
        <w:t xml:space="preserve"> </w:t>
      </w:r>
      <w:r>
        <w:t xml:space="preserve">— cada agente escolhe uma mensagem, e a função</w:t>
      </w:r>
      <w:r>
        <w:t xml:space="preserve"> </w:t>
      </w:r>
      <m:oMath>
        <m:r>
          <m:t>g</m:t>
        </m:r>
      </m:oMath>
      <w:r>
        <w:t xml:space="preserve"> </w:t>
      </w:r>
      <w:r>
        <w:t xml:space="preserve">determina o que acontece.</w:t>
      </w:r>
    </w:p>
    <w:p>
      <w:pPr>
        <w:pStyle w:val="BlockText"/>
      </w:pPr>
      <w:r>
        <w:rPr>
          <w:b/>
          <w:bCs/>
        </w:rPr>
        <w:t xml:space="preserve">[DEFINICAO] Princípio da Revelação</w:t>
      </w:r>
    </w:p>
    <w:p>
      <w:pPr>
        <w:pStyle w:val="BlockText"/>
      </w:pPr>
      <w:r>
        <w:t xml:space="preserve">Para qualquer mecanismo e qualquer BNE desse mecanismo, existe um mecanismo de</w:t>
      </w:r>
      <w:r>
        <w:t xml:space="preserve"> </w:t>
      </w:r>
      <w:r>
        <w:rPr>
          <w:b/>
          <w:bCs/>
        </w:rPr>
        <w:t xml:space="preserve">revelação direta</w:t>
      </w:r>
      <w:r>
        <w:t xml:space="preserve"> </w:t>
      </w:r>
      <w:r>
        <w:t xml:space="preserve">(onde cada agente simplesmente reporta seu tipo) em que reportar verdadeiramente é um BNE e que produz o mesmo resultado.</w:t>
      </w:r>
    </w:p>
    <w:p>
      <w:pPr>
        <w:pStyle w:val="BlockText"/>
      </w:pPr>
      <w:r>
        <w:t xml:space="preserve">Implicação prática: ao buscar o mecanismo ótimo, basta considerar mecanismos de revelação direta com compatibilidade de incentivos.</w:t>
      </w:r>
    </w:p>
    <w:p>
      <w:pPr>
        <w:pStyle w:val="FirstParagraph"/>
      </w:pPr>
      <w:r>
        <w:t xml:space="preserve">O Princípio da Revelação é uma das ferramentas mais poderosas da teoria econômica. Sua importância prática é enorme: em vez de procurar entre</w:t>
      </w:r>
      <w:r>
        <w:t xml:space="preserve"> </w:t>
      </w:r>
      <w:r>
        <w:rPr>
          <w:i/>
          <w:iCs/>
        </w:rPr>
        <w:t xml:space="preserve">todos</w:t>
      </w:r>
      <w:r>
        <w:t xml:space="preserve"> </w:t>
      </w:r>
      <w:r>
        <w:t xml:space="preserve">os mecanismos possíveis (uma classe imensamente grande), o designer pode restringir a busca a mecanismos de revelação direta — nos quais cada agente simplesmente reporta seu tipo — e impor a condição de que dizer a verdade seja ótimo (compatibilidade de incentivos). Essa restrição simplifica dramaticamente o problema de otimização, transformando-o de uma busca sobre um espaço infinito-dimensional de mecanismos em um problema de otimização com restrições de compatibilidade de incentivos e racionalidade individual.</w:t>
      </w:r>
    </w:p>
    <w:p>
      <w:pPr>
        <w:pStyle w:val="BodyText"/>
      </w:pPr>
      <w:r>
        <w:t xml:space="preserve">O desenho de mecanismos inverte a pergunta da teoria dos jogos: em vez de</w:t>
      </w:r>
      <w:r>
        <w:t xml:space="preserve"> </w:t>
      </w:r>
      <w:r>
        <w:t xml:space="preserve">“dado o jogo, qual é o equilíbrio?”</w:t>
      </w:r>
      <w:r>
        <w:t xml:space="preserve">, pergunta-se</w:t>
      </w:r>
      <w:r>
        <w:t xml:space="preserve"> </w:t>
      </w:r>
      <w:r>
        <w:t xml:space="preserve">“dado o resultado desejado, qual jogo gera esse resultado em equilíbrio?”</w:t>
      </w:r>
      <w:r>
        <w:t xml:space="preserve"> </w:t>
      </w:r>
      <w:r>
        <w:t xml:space="preserve">Essa inversão é profundamente prática: o regulador que projeta um leilão, o governo que desenha uma licitação, a empresa que cria um processo seletivo — todos estão fazendo desenho de mecanismos. O Princípio da Revelação simplifica a tarefa ao mostrar que basta considerar mecanismos nos quais os participantes reportam seus tipos — desde que dizer a verdade seja ótimo.</w:t>
      </w:r>
    </w:p>
    <w:bookmarkStart w:id="567" w:name="o-mecanismo-vcg-vickrey-clarke-groves"/>
    <w:p>
      <w:pPr>
        <w:pStyle w:val="Heading4"/>
      </w:pPr>
      <w:r>
        <w:t xml:space="preserve">O mecanismo VCG (Vickrey-Clarke-Groves)</w:t>
      </w:r>
    </w:p>
    <w:p>
      <w:pPr>
        <w:pStyle w:val="FirstParagraph"/>
      </w:pPr>
      <w:r>
        <w:t xml:space="preserve">Um resultado central do desenho de mecanismos é o</w:t>
      </w:r>
      <w:r>
        <w:t xml:space="preserve"> </w:t>
      </w:r>
      <w:r>
        <w:rPr>
          <w:b/>
          <w:bCs/>
        </w:rPr>
        <w:t xml:space="preserve">mecanismo VCG</w:t>
      </w:r>
      <w:r>
        <w:t xml:space="preserve"> </w:t>
      </w:r>
      <w:r>
        <w:t xml:space="preserve">(Vickrey, 1961; Clarke, 1971; Groves, 1973), que generaliza o leilão de segundo preço para contextos com múltiplos objetos e externalidades. No mecanismo VCG, cada agente reporta seu tipo (valor), o mecanismo aloca eficientemente (maximizando o bem-estar total), e cada agente paga um montante igual à</w:t>
      </w:r>
      <w:r>
        <w:t xml:space="preserve"> </w:t>
      </w:r>
      <w:r>
        <w:rPr>
          <w:i/>
          <w:iCs/>
        </w:rPr>
        <w:t xml:space="preserve">externalidade</w:t>
      </w:r>
      <w:r>
        <w:t xml:space="preserve"> </w:t>
      </w:r>
      <w:r>
        <w:t xml:space="preserve">que impõe aos demais — ou seja, a redução no bem-estar total dos outros agentes causada pela presença de</w:t>
      </w:r>
      <w:r>
        <w:t xml:space="preserve"> </w:t>
      </w:r>
      <m:oMath>
        <m:r>
          <m:t>i</m:t>
        </m:r>
      </m:oMath>
      <w:r>
        <w:t xml:space="preserve">.</w:t>
      </w:r>
    </w:p>
    <w:p>
      <w:pPr>
        <w:pStyle w:val="BodyText"/>
      </w:pPr>
      <w:r>
        <w:t xml:space="preserve">Formalmente, o pagamento do agente</w:t>
      </w:r>
      <w:r>
        <w:t xml:space="preserve"> </w:t>
      </w:r>
      <m:oMath>
        <m:r>
          <m:t>i</m:t>
        </m:r>
      </m:oMath>
      <w:r>
        <w:t xml:space="preserve"> </w:t>
      </w:r>
      <w:r>
        <w:t xml:space="preserve">no mecanismo VCG é:</w:t>
      </w:r>
    </w:p>
    <w:p>
      <w:pPr>
        <w:pStyle w:val="BodyText"/>
      </w:pPr>
      <m:oMathPara>
        <m:oMathParaPr>
          <m:jc m:val="center"/>
        </m:oMathParaPr>
        <m:oMath>
          <m:sSub>
            <m:e>
              <m:r>
                <m:t>t</m:t>
              </m:r>
            </m:e>
            <m:sub>
              <m:r>
                <m:t>i</m:t>
              </m:r>
            </m:sub>
          </m:sSub>
          <m:r>
            <m:rPr>
              <m:sty m:val="p"/>
            </m:rPr>
            <m:t>(</m:t>
          </m:r>
          <m:acc>
            <m:accPr>
              <m:chr m:val="̂"/>
            </m:accPr>
            <m:e>
              <m:r>
                <m:t>θ</m:t>
              </m:r>
            </m:e>
          </m:acc>
          <m:r>
            <m:rPr>
              <m:sty m:val="p"/>
            </m:rPr>
            <m:t>)</m:t>
          </m:r>
          <m:r>
            <m:rPr>
              <m:sty m:val="p"/>
            </m:rPr>
            <m:t>=</m:t>
          </m:r>
          <m:limLow>
            <m:e>
              <m:r>
                <m:rPr>
                  <m:sty m:val="p"/>
                </m:rPr>
                <m:t>max</m:t>
              </m:r>
            </m:e>
            <m:lim>
              <m:r>
                <m:t>a</m:t>
              </m:r>
              <m:r>
                <m:rPr>
                  <m:sty m:val="p"/>
                </m:rPr>
                <m:t>∈</m:t>
              </m:r>
              <m:r>
                <m:t>A</m:t>
              </m:r>
            </m:lim>
          </m:limLow>
          <m:nary>
            <m:naryPr>
              <m:chr m:val="∑"/>
              <m:limLoc m:val="undOvr"/>
              <m:subHide m:val="off"/>
              <m:supHide m:val="on"/>
            </m:naryPr>
            <m:sub>
              <m:r>
                <m:t>j</m:t>
              </m:r>
              <m:r>
                <m:rPr>
                  <m:sty m:val="p"/>
                </m:rPr>
                <m:t>≠</m:t>
              </m:r>
              <m:r>
                <m:t>i</m:t>
              </m:r>
            </m:sub>
            <m:sup>
              <m:r>
                <m:t>​</m:t>
              </m:r>
            </m:sup>
            <m:e>
              <m:sSub>
                <m:e>
                  <m:r>
                    <m:t>u</m:t>
                  </m:r>
                </m:e>
                <m:sub>
                  <m:r>
                    <m:t>j</m:t>
                  </m:r>
                </m:sub>
              </m:sSub>
            </m:e>
          </m:nary>
          <m:r>
            <m:rPr>
              <m:sty m:val="p"/>
            </m:rPr>
            <m:t>(</m:t>
          </m:r>
          <m:r>
            <m:t>a</m:t>
          </m:r>
          <m:r>
            <m:rPr>
              <m:sty m:val="p"/>
            </m:rPr>
            <m:t>,</m:t>
          </m:r>
          <m:sSub>
            <m:e>
              <m:acc>
                <m:accPr>
                  <m:chr m:val="̂"/>
                </m:accPr>
                <m:e>
                  <m:r>
                    <m:t>θ</m:t>
                  </m:r>
                </m:e>
              </m:acc>
            </m:e>
            <m:sub>
              <m:r>
                <m:t>j</m:t>
              </m:r>
            </m:sub>
          </m:sSub>
          <m:r>
            <m:rPr>
              <m:sty m:val="p"/>
            </m:rPr>
            <m:t>)</m:t>
          </m:r>
          <m:r>
            <m:rPr>
              <m:sty m:val="p"/>
            </m:rPr>
            <m:t>−</m:t>
          </m:r>
          <m:nary>
            <m:naryPr>
              <m:chr m:val="∑"/>
              <m:limLoc m:val="undOvr"/>
              <m:subHide m:val="off"/>
              <m:supHide m:val="on"/>
            </m:naryPr>
            <m:sub>
              <m:r>
                <m:t>j</m:t>
              </m:r>
              <m:r>
                <m:rPr>
                  <m:sty m:val="p"/>
                </m:rPr>
                <m:t>≠</m:t>
              </m:r>
              <m:r>
                <m:t>i</m:t>
              </m:r>
            </m:sub>
            <m:sup>
              <m:r>
                <m:t>​</m:t>
              </m:r>
            </m:sup>
            <m:e>
              <m:sSub>
                <m:e>
                  <m:r>
                    <m:t>u</m:t>
                  </m:r>
                </m:e>
                <m:sub>
                  <m:r>
                    <m:t>j</m:t>
                  </m:r>
                </m:sub>
              </m:sSub>
            </m:e>
          </m:nary>
          <m:r>
            <m:rPr>
              <m:sty m:val="p"/>
            </m:rPr>
            <m:t>(</m:t>
          </m:r>
          <m:sSup>
            <m:e>
              <m:r>
                <m:t>a</m:t>
              </m:r>
            </m:e>
            <m:sup>
              <m:r>
                <m:rPr>
                  <m:sty m:val="p"/>
                </m:rPr>
                <m:t>*</m:t>
              </m:r>
            </m:sup>
          </m:sSup>
          <m:r>
            <m:rPr>
              <m:sty m:val="p"/>
            </m:rPr>
            <m:t>(</m:t>
          </m:r>
          <m:acc>
            <m:accPr>
              <m:chr m:val="̂"/>
            </m:accPr>
            <m:e>
              <m:r>
                <m:t>θ</m:t>
              </m:r>
            </m:e>
          </m:acc>
          <m:r>
            <m:rPr>
              <m:sty m:val="p"/>
            </m:rPr>
            <m:t>)</m:t>
          </m:r>
          <m:r>
            <m:rPr>
              <m:sty m:val="p"/>
            </m:rPr>
            <m:t>,</m:t>
          </m:r>
          <m:sSub>
            <m:e>
              <m:acc>
                <m:accPr>
                  <m:chr m:val="̂"/>
                </m:accPr>
                <m:e>
                  <m:r>
                    <m:t>θ</m:t>
                  </m:r>
                </m:e>
              </m:acc>
            </m:e>
            <m:sub>
              <m:r>
                <m:t>j</m:t>
              </m:r>
            </m:sub>
          </m:sSub>
          <m:r>
            <m:rPr>
              <m:sty m:val="p"/>
            </m:rPr>
            <m:t>)</m:t>
          </m:r>
        </m:oMath>
      </m:oMathPara>
    </w:p>
    <w:p>
      <w:pPr>
        <w:pStyle w:val="FirstParagraph"/>
      </w:pPr>
      <w:r>
        <w:t xml:space="preserve">onde</w:t>
      </w:r>
      <w:r>
        <w:t xml:space="preserve"> </w:t>
      </w:r>
      <m:oMath>
        <m:sSup>
          <m:e>
            <m:r>
              <m:t>a</m:t>
            </m:r>
          </m:e>
          <m:sup>
            <m:r>
              <m:rPr>
                <m:sty m:val="p"/>
              </m:rPr>
              <m:t>*</m:t>
            </m:r>
          </m:sup>
        </m:sSup>
        <m:r>
          <m:rPr>
            <m:sty m:val="p"/>
          </m:rPr>
          <m:t>(</m:t>
        </m:r>
        <m:acc>
          <m:accPr>
            <m:chr m:val="̂"/>
          </m:accPr>
          <m:e>
            <m:r>
              <m:t>θ</m:t>
            </m:r>
          </m:e>
        </m:acc>
        <m:r>
          <m:rPr>
            <m:sty m:val="p"/>
          </m:rPr>
          <m:t>)</m:t>
        </m:r>
      </m:oMath>
      <w:r>
        <w:t xml:space="preserve"> </w:t>
      </w:r>
      <w:r>
        <w:t xml:space="preserve">é a alocação eficiente dado o perfil de tipos reportados</w:t>
      </w:r>
      <w:r>
        <w:t xml:space="preserve"> </w:t>
      </w:r>
      <m:oMath>
        <m:acc>
          <m:accPr>
            <m:chr m:val="̂"/>
          </m:accPr>
          <m:e>
            <m:r>
              <m:t>θ</m:t>
            </m:r>
          </m:e>
        </m:acc>
      </m:oMath>
      <w:r>
        <w:t xml:space="preserve">. O primeiro termo é o máximo bem-estar dos outros</w:t>
      </w:r>
      <w:r>
        <w:t xml:space="preserve"> </w:t>
      </w:r>
      <w:r>
        <w:rPr>
          <w:i/>
          <w:iCs/>
        </w:rPr>
        <w:t xml:space="preserve">sem</w:t>
      </w:r>
      <w:r>
        <w:t xml:space="preserve"> </w:t>
      </w:r>
      <w:r>
        <w:t xml:space="preserve">a presença de</w:t>
      </w:r>
      <w:r>
        <w:t xml:space="preserve"> </w:t>
      </w:r>
      <m:oMath>
        <m:r>
          <m:t>i</m:t>
        </m:r>
      </m:oMath>
      <w:r>
        <w:t xml:space="preserve">; o segundo é o bem-estar dos outros</w:t>
      </w:r>
      <w:r>
        <w:t xml:space="preserve"> </w:t>
      </w:r>
      <w:r>
        <w:rPr>
          <w:i/>
          <w:iCs/>
        </w:rPr>
        <w:t xml:space="preserve">com</w:t>
      </w:r>
      <w:r>
        <w:t xml:space="preserve"> </w:t>
      </w:r>
      <m:oMath>
        <m:r>
          <m:t>i</m:t>
        </m:r>
      </m:oMath>
      <w:r>
        <w:t xml:space="preserve">. A diferença é a externalidade.</w:t>
      </w:r>
    </w:p>
    <w:p>
      <w:pPr>
        <w:pStyle w:val="BodyText"/>
      </w:pPr>
      <w:r>
        <w:t xml:space="preserve">O leilão de segundo preço de Vickrey é o caso especial do mecanismo VCG com um único objeto: o vencedor (quem tem o maior valor) paga a externalidade que impõe — o valor que o segundo colocado teria obtido se o vencedor não existisse, que é exatamente o segundo maior lance. Essa conexão entre o leilão de Vickrey e o mecanismo VCG revela que a propriedade de revelação de verdade do segundo preço não é acidental: é uma instância de um princípio geral de que pagamentos baseados em externalidade induzem revelação verdadeira.</w:t>
      </w:r>
    </w:p>
    <w:p>
      <w:pPr>
        <w:pStyle w:val="BlockText"/>
      </w:pPr>
      <w:r>
        <w:rPr>
          <w:b/>
          <w:bCs/>
        </w:rPr>
        <w:t xml:space="preserve">[INTUICAO ECONOMICA] Intuição Econômica</w:t>
      </w:r>
    </w:p>
    <w:p>
      <w:pPr>
        <w:pStyle w:val="BlockText"/>
      </w:pPr>
      <w:r>
        <w:rPr>
          <w:b/>
          <w:bCs/>
        </w:rPr>
        <w:t xml:space="preserve">Desenho de mecanismos: engenharia reversa do jogo</w:t>
      </w:r>
    </w:p>
    <w:p>
      <w:pPr>
        <w:pStyle w:val="BlockText"/>
      </w:pPr>
      <w:r>
        <w:rPr>
          <w:b/>
          <w:bCs/>
        </w:rPr>
        <w:t xml:space="preserve">Em uma frase:</w:t>
      </w:r>
      <w:r>
        <w:t xml:space="preserve"> </w:t>
      </w:r>
      <w:r>
        <w:t xml:space="preserve">Desenho de mecanismos é a arte de construir o</w:t>
      </w:r>
      <w:r>
        <w:t xml:space="preserve"> </w:t>
      </w:r>
      <w:r>
        <w:t xml:space="preserve">“jogo”</w:t>
      </w:r>
      <w:r>
        <w:t xml:space="preserve"> </w:t>
      </w:r>
      <w:r>
        <w:t xml:space="preserve">para que o comportamento racional e egoísta dos participantes produza o resultado que o designer quer.</w:t>
      </w:r>
    </w:p>
    <w:p>
      <w:pPr>
        <w:pStyle w:val="BlockText"/>
      </w:pPr>
      <w:r>
        <w:rPr>
          <w:b/>
          <w:bCs/>
        </w:rPr>
        <w:t xml:space="preserve">Pense assim:</w:t>
      </w:r>
      <w:r>
        <w:t xml:space="preserve"> </w:t>
      </w:r>
      <w:r>
        <w:t xml:space="preserve">Um governo quer vender uma licença de espectro de rádio ao operador que mais valoriza o recurso (eficiência alocativa) e maximizar a receita para os cofres públicos. Não pode simplesmente perguntar</w:t>
      </w:r>
      <w:r>
        <w:t xml:space="preserve"> </w:t>
      </w:r>
      <w:r>
        <w:t xml:space="preserve">“quanto você paga?”</w:t>
      </w:r>
      <w:r>
        <w:t xml:space="preserve">, pois as empresas mentiriam. A solução do mecanismo design é construir um formato de leilão em que dizer a verdade</w:t>
      </w:r>
      <w:r>
        <w:t xml:space="preserve"> </w:t>
      </w:r>
      <w:r>
        <w:rPr>
          <w:i/>
          <w:iCs/>
        </w:rPr>
        <w:t xml:space="preserve">ou</w:t>
      </w:r>
      <w:r>
        <w:t xml:space="preserve"> </w:t>
      </w:r>
      <w:r>
        <w:t xml:space="preserve">lançar o lance estrategicamente ótimo resulte, em equilíbrio, na alocação eficiente.</w:t>
      </w:r>
    </w:p>
    <w:p>
      <w:pPr>
        <w:pStyle w:val="BlockText"/>
      </w:pPr>
      <w:r>
        <w:rPr>
          <w:b/>
          <w:bCs/>
        </w:rPr>
        <w:t xml:space="preserve">Por que isso importa:</w:t>
      </w:r>
      <w:r>
        <w:t xml:space="preserve"> </w:t>
      </w:r>
      <w:r>
        <w:t xml:space="preserve">O campo surgiu do reconhecimento de que as regras do jogo não são dadas — elas são</w:t>
      </w:r>
      <w:r>
        <w:t xml:space="preserve"> </w:t>
      </w:r>
      <w:r>
        <w:rPr>
          <w:i/>
          <w:iCs/>
        </w:rPr>
        <w:t xml:space="preserve">escolhas de política</w:t>
      </w:r>
      <w:r>
        <w:t xml:space="preserve">. Myerson (2007), Hurwicz (2007) e Maskin (2007) receberam o Nobel por formalizar como desenhar mecanismos que funcionam mesmo quando os participantes têm informação privada e interesses próprios.</w:t>
      </w:r>
    </w:p>
    <w:bookmarkEnd w:id="567"/>
    <w:bookmarkStart w:id="568" w:name="o-leilão-ótimo-de-myerson"/>
    <w:p>
      <w:pPr>
        <w:pStyle w:val="Heading4"/>
      </w:pPr>
      <w:r>
        <w:t xml:space="preserve">O leilão ótimo de Myerson</w:t>
      </w:r>
    </w:p>
    <w:p>
      <w:pPr>
        <w:pStyle w:val="FirstParagraph"/>
      </w:pPr>
      <w:r>
        <w:t xml:space="preserve">O resultado central do desenho de mecanismos para leilões — o</w:t>
      </w:r>
      <w:r>
        <w:t xml:space="preserve"> </w:t>
      </w:r>
      <w:r>
        <w:rPr>
          <w:i/>
          <w:iCs/>
        </w:rPr>
        <w:t xml:space="preserve">leilão ótimo</w:t>
      </w:r>
      <w:r>
        <w:t xml:space="preserve"> </w:t>
      </w:r>
      <w:r>
        <w:t xml:space="preserve">de Myerson — combina dois elementos: um</w:t>
      </w:r>
      <w:r>
        <w:t xml:space="preserve"> </w:t>
      </w:r>
      <w:r>
        <w:rPr>
          <w:b/>
          <w:bCs/>
        </w:rPr>
        <w:t xml:space="preserve">preço de reserva</w:t>
      </w:r>
      <w:r>
        <w:t xml:space="preserve"> </w:t>
      </w:r>
      <w:r>
        <w:t xml:space="preserve">(que exclui licitantes com valores baixos, aumentando a receita esperada ao custo de ineficiência ocasional) e</w:t>
      </w:r>
      <w:r>
        <w:t xml:space="preserve"> </w:t>
      </w:r>
      <w:r>
        <w:rPr>
          <w:b/>
          <w:bCs/>
        </w:rPr>
        <w:t xml:space="preserve">discriminação entre licitantes assimétricos</w:t>
      </w:r>
      <w:r>
        <w:t xml:space="preserve"> </w:t>
      </w:r>
      <w:r>
        <w:t xml:space="preserve">(um licitante sistematicamente mais fraco recebe tratamento favorável para aumentar a competição e extrair mais receita do licitante mais forte). Esse resultado surpreende a intuição: às vezes, excluir participantes ou distorcer a alocação</w:t>
      </w:r>
      <w:r>
        <w:t xml:space="preserve"> </w:t>
      </w:r>
      <w:r>
        <w:rPr>
          <w:i/>
          <w:iCs/>
        </w:rPr>
        <w:t xml:space="preserve">aumenta</w:t>
      </w:r>
      <w:r>
        <w:t xml:space="preserve"> </w:t>
      </w:r>
      <w:r>
        <w:t xml:space="preserve">a receita esperada. O Princípio da Revelação torna esse resultado tratável ao permitir que o designer procure entre mecanismos com compatibilidade de incentivos, em vez de entre todos os mecanismos possíveis.</w:t>
      </w:r>
    </w:p>
    <w:p>
      <w:pPr>
        <w:pStyle w:val="BodyText"/>
      </w:pPr>
      <w:r>
        <w:t xml:space="preserve">A derivação de Myerson (1981) procede em três passos. Primeiro, pelo Princípio da Revelação, restringe a busca a mecanismos de revelação direta incentivo-compatíveis. Segundo, usa a condição de compatibilidade de incentivos para expressar a receita esperada em termos dos</w:t>
      </w:r>
      <w:r>
        <w:t xml:space="preserve"> </w:t>
      </w:r>
      <w:r>
        <w:rPr>
          <w:i/>
          <w:iCs/>
        </w:rPr>
        <w:t xml:space="preserve">valores virtuais</w:t>
      </w:r>
      <w:r>
        <w:t xml:space="preserve"> </w:t>
      </w:r>
      <w:r>
        <w:t xml:space="preserve">dos licitantes:</w:t>
      </w:r>
    </w:p>
    <w:p>
      <w:pPr>
        <w:pStyle w:val="BodyText"/>
      </w:pPr>
      <m:oMathPara>
        <m:oMathParaPr>
          <m:jc m:val="center"/>
        </m:oMathParaPr>
        <m:oMath>
          <m:r>
            <m:t>ψ</m:t>
          </m:r>
          <m:r>
            <m:rPr>
              <m:sty m:val="p"/>
            </m:rPr>
            <m:t>(</m:t>
          </m:r>
          <m:r>
            <m:t>v</m:t>
          </m:r>
          <m:r>
            <m:rPr>
              <m:sty m:val="p"/>
            </m:rPr>
            <m:t>)</m:t>
          </m:r>
          <m:r>
            <m:rPr>
              <m:sty m:val="p"/>
            </m:rPr>
            <m:t>=</m:t>
          </m:r>
          <m:r>
            <m:t>v</m:t>
          </m:r>
          <m:r>
            <m:rPr>
              <m:sty m:val="p"/>
            </m:rPr>
            <m:t>−</m:t>
          </m:r>
          <m:f>
            <m:fPr>
              <m:type m:val="bar"/>
            </m:fPr>
            <m:num>
              <m:r>
                <m:t>1</m:t>
              </m:r>
              <m:r>
                <m:rPr>
                  <m:sty m:val="p"/>
                </m:rPr>
                <m:t>−</m:t>
              </m:r>
              <m:r>
                <m:t>F</m:t>
              </m:r>
              <m:r>
                <m:rPr>
                  <m:sty m:val="p"/>
                </m:rPr>
                <m:t>(</m:t>
              </m:r>
              <m:r>
                <m:t>v</m:t>
              </m:r>
              <m:r>
                <m:rPr>
                  <m:sty m:val="p"/>
                </m:rPr>
                <m:t>)</m:t>
              </m:r>
            </m:num>
            <m:den>
              <m:r>
                <m:t>f</m:t>
              </m:r>
              <m:r>
                <m:rPr>
                  <m:sty m:val="p"/>
                </m:rPr>
                <m:t>(</m:t>
              </m:r>
              <m:r>
                <m:t>v</m:t>
              </m:r>
              <m:r>
                <m:rPr>
                  <m:sty m:val="p"/>
                </m:rPr>
                <m:t>)</m:t>
              </m:r>
            </m:den>
          </m:f>
        </m:oMath>
      </m:oMathPara>
    </w:p>
    <w:p>
      <w:pPr>
        <w:pStyle w:val="FirstParagraph"/>
      </w:pPr>
      <w:r>
        <w:t xml:space="preserve">O valor virtual</w:t>
      </w:r>
      <w:r>
        <w:t xml:space="preserve"> </w:t>
      </w:r>
      <m:oMath>
        <m:r>
          <m:t>ψ</m:t>
        </m:r>
        <m:r>
          <m:rPr>
            <m:sty m:val="p"/>
          </m:rPr>
          <m:t>(</m:t>
        </m:r>
        <m:r>
          <m:t>v</m:t>
        </m:r>
        <m:r>
          <m:rPr>
            <m:sty m:val="p"/>
          </m:rPr>
          <m:t>)</m:t>
        </m:r>
      </m:oMath>
      <w:r>
        <w:t xml:space="preserve"> </w:t>
      </w:r>
      <w:r>
        <w:t xml:space="preserve">desconta o valor real</w:t>
      </w:r>
      <w:r>
        <w:t xml:space="preserve"> </w:t>
      </w:r>
      <m:oMath>
        <m:r>
          <m:t>v</m:t>
        </m:r>
      </m:oMath>
      <w:r>
        <w:t xml:space="preserve"> </w:t>
      </w:r>
      <w:r>
        <w:t xml:space="preserve">por um termo que captura a</w:t>
      </w:r>
      <w:r>
        <w:t xml:space="preserve"> </w:t>
      </w:r>
      <w:r>
        <w:rPr>
          <w:i/>
          <w:iCs/>
        </w:rPr>
        <w:t xml:space="preserve">renda informacional</w:t>
      </w:r>
      <w:r>
        <w:t xml:space="preserve"> </w:t>
      </w:r>
      <w:r>
        <w:t xml:space="preserve">que o licitante extrai — a quantidade</w:t>
      </w:r>
      <w:r>
        <w:t xml:space="preserve"> </w:t>
      </w:r>
      <m:oMath>
        <m:r>
          <m:rPr>
            <m:sty m:val="p"/>
          </m:rPr>
          <m:t>(</m:t>
        </m:r>
        <m:r>
          <m:t>1</m:t>
        </m:r>
        <m:r>
          <m:rPr>
            <m:sty m:val="p"/>
          </m:rPr>
          <m:t>−</m:t>
        </m:r>
        <m:r>
          <m:t>F</m:t>
        </m:r>
        <m:r>
          <m:rPr>
            <m:sty m:val="p"/>
          </m:rPr>
          <m:t>(</m:t>
        </m:r>
        <m:r>
          <m:t>v</m:t>
        </m:r>
        <m:r>
          <m:rPr>
            <m:sty m:val="p"/>
          </m:rPr>
          <m:t>)</m:t>
        </m:r>
        <m:r>
          <m:rPr>
            <m:sty m:val="p"/>
          </m:rPr>
          <m:t>)</m:t>
        </m:r>
        <m:r>
          <m:rPr>
            <m:sty m:val="p"/>
          </m:rPr>
          <m:t>/</m:t>
        </m:r>
        <m:r>
          <m:t>f</m:t>
        </m:r>
        <m:r>
          <m:rPr>
            <m:sty m:val="p"/>
          </m:rPr>
          <m:t>(</m:t>
        </m:r>
        <m:r>
          <m:t>v</m:t>
        </m:r>
        <m:r>
          <m:rPr>
            <m:sty m:val="p"/>
          </m:rPr>
          <m:t>)</m:t>
        </m:r>
      </m:oMath>
      <w:r>
        <w:t xml:space="preserve"> </w:t>
      </w:r>
      <w:r>
        <w:t xml:space="preserve">é o inverso da taxa de risco (</w:t>
      </w:r>
      <w:r>
        <w:rPr>
          <w:i/>
          <w:iCs/>
        </w:rPr>
        <w:t xml:space="preserve">hazard rate</w:t>
      </w:r>
      <w:r>
        <w:t xml:space="preserve">), e mede o custo para o leiloeiro de</w:t>
      </w:r>
      <w:r>
        <w:t xml:space="preserve"> </w:t>
      </w:r>
      <w:r>
        <w:t xml:space="preserve">“convencer”</w:t>
      </w:r>
      <w:r>
        <w:t xml:space="preserve"> </w:t>
      </w:r>
      <w:r>
        <w:t xml:space="preserve">o tipo</w:t>
      </w:r>
      <w:r>
        <w:t xml:space="preserve"> </w:t>
      </w:r>
      <m:oMath>
        <m:r>
          <m:t>v</m:t>
        </m:r>
      </m:oMath>
      <w:r>
        <w:t xml:space="preserve"> </w:t>
      </w:r>
      <w:r>
        <w:t xml:space="preserve">a revelar-se. Terceiro, o leilão ótimo maximiza a soma dos valores virtuais, o que equivale a atribuir o objeto ao licitante com o maior valor virtual (não o maior valor real) e excluir licitantes com valor virtual negativo.</w:t>
      </w:r>
    </w:p>
    <w:p>
      <w:pPr>
        <w:pStyle w:val="BodyText"/>
      </w:pPr>
      <w:r>
        <w:t xml:space="preserve">Quando a função de valor virtual</w:t>
      </w:r>
      <w:r>
        <w:t xml:space="preserve"> </w:t>
      </w:r>
      <m:oMath>
        <m:r>
          <m:t>ψ</m:t>
        </m:r>
        <m:r>
          <m:rPr>
            <m:sty m:val="p"/>
          </m:rPr>
          <m:t>(</m:t>
        </m:r>
        <m:r>
          <m:t>v</m:t>
        </m:r>
        <m:r>
          <m:rPr>
            <m:sty m:val="p"/>
          </m:rPr>
          <m:t>)</m:t>
        </m:r>
      </m:oMath>
      <w:r>
        <w:t xml:space="preserve"> </w:t>
      </w:r>
      <w:r>
        <w:t xml:space="preserve">é crescente (a chamada</w:t>
      </w:r>
      <w:r>
        <w:t xml:space="preserve"> </w:t>
      </w:r>
      <w:r>
        <w:rPr>
          <w:i/>
          <w:iCs/>
        </w:rPr>
        <w:t xml:space="preserve">condição de regularidade</w:t>
      </w:r>
      <w:r>
        <w:t xml:space="preserve">, satisfeita por distribuições comuns como uniforme, exponencial e normal truncada), o leilão ótimo tem uma forma simples: atribuir o objeto ao licitante com maior valor virtual, desde que este seja não negativo. No caso simétrico com</w:t>
      </w:r>
      <w:r>
        <w:t xml:space="preserve"> </w:t>
      </w:r>
      <m:oMath>
        <m:r>
          <m:t>v</m:t>
        </m:r>
        <m:r>
          <m:rPr>
            <m:sty m:val="p"/>
          </m:rPr>
          <m:t>∼</m:t>
        </m:r>
        <m:r>
          <m:t>U</m:t>
        </m:r>
        <m:r>
          <m:rPr>
            <m:sty m:val="p"/>
          </m:rPr>
          <m:t>[</m:t>
        </m:r>
        <m:r>
          <m:t>0</m:t>
        </m:r>
        <m:r>
          <m:rPr>
            <m:sty m:val="p"/>
          </m:rPr>
          <m:t>,</m:t>
        </m:r>
        <m:r>
          <m:t>1</m:t>
        </m:r>
        <m:r>
          <m:rPr>
            <m:sty m:val="p"/>
          </m:rPr>
          <m:t>]</m:t>
        </m:r>
      </m:oMath>
      <w:r>
        <w:t xml:space="preserve">, o preço de reserva ótimo é</w:t>
      </w:r>
      <w:r>
        <w:t xml:space="preserve"> </w:t>
      </w:r>
      <m:oMath>
        <m:sSup>
          <m:e>
            <m:r>
              <m:t>r</m:t>
            </m:r>
          </m:e>
          <m:sup>
            <m:r>
              <m:rPr>
                <m:sty m:val="p"/>
              </m:rPr>
              <m:t>*</m:t>
            </m:r>
          </m:sup>
        </m:sSup>
        <m:r>
          <m:rPr>
            <m:sty m:val="p"/>
          </m:rPr>
          <m:t>=</m:t>
        </m:r>
        <m:r>
          <m:t>1</m:t>
        </m:r>
        <m:r>
          <m:rPr>
            <m:sty m:val="p"/>
          </m:rPr>
          <m:t>/</m:t>
        </m:r>
        <m:r>
          <m:t>2</m:t>
        </m:r>
      </m:oMath>
      <w:r>
        <w:t xml:space="preserve"> </w:t>
      </w:r>
      <w:r>
        <w:t xml:space="preserve">— surpreendentemente alto, excluindo metade dos licitantes potenciais.</w:t>
      </w:r>
    </w:p>
    <w:p>
      <w:pPr>
        <w:pStyle w:val="BodyText"/>
      </w:pPr>
      <w:r>
        <w:t xml:space="preserve">O desenho de mecanismos conecta-se diretamente ao Capítulo 9d: nos jogos dinâmicos com informação incompleta, a questão não é apenas</w:t>
      </w:r>
      <w:r>
        <w:t xml:space="preserve"> </w:t>
      </w:r>
      <w:r>
        <w:t xml:space="preserve">“qual equilíbrio?”</w:t>
      </w:r>
      <w:r>
        <w:t xml:space="preserve"> </w:t>
      </w:r>
      <w:r>
        <w:t xml:space="preserve">mas também</w:t>
      </w:r>
      <w:r>
        <w:t xml:space="preserve"> </w:t>
      </w:r>
      <w:r>
        <w:t xml:space="preserve">“como desenhar a sequência de comunicação e ação para que o equilíbrio desejado seja sustentável?”</w:t>
      </w:r>
      <w:r>
        <w:t xml:space="preserve">. Os conceitos de compatibilidade de incentivos e racionalidade individual desenvolvidos aqui são os blocos fundamentais para essa análise mais avançada. Além disso, o arcabouço de desenho de mecanismos reaparece no Capítulo 19, na análise de contratos ótimos sob seleção adversa — onde o</w:t>
      </w:r>
      <w:r>
        <w:t xml:space="preserve"> </w:t>
      </w:r>
      <w:r>
        <w:t xml:space="preserve">“principal”</w:t>
      </w:r>
      <w:r>
        <w:t xml:space="preserve"> </w:t>
      </w:r>
      <w:r>
        <w:t xml:space="preserve">(empregador, seguradora, regulador) desenha um menu de contratos para separar diferentes tipos de</w:t>
      </w:r>
      <w:r>
        <w:t xml:space="preserve"> </w:t>
      </w:r>
      <w:r>
        <w:t xml:space="preserve">“agente”</w:t>
      </w:r>
      <w:r>
        <w:t xml:space="preserve">, usando exatamente as ferramentas de incentivo-compatibilidade formalizadas nesta seção.</w:t>
      </w:r>
    </w:p>
    <w:p>
      <w:r>
        <w:pict>
          <v:rect style="width:0;height:1.5pt" o:hralign="center" o:hrstd="t" o:hr="t"/>
        </w:pict>
      </w:r>
    </w:p>
    <w:p>
      <w:pPr>
        <w:pStyle w:val="FirstParagraph"/>
      </w:pPr>
      <w:r>
        <w:t xml:space="preserve">Os conceitos desenvolvidos nas seções anteriores — BNE, sombreamento de lances, maldição do vencedor e desenho de mecanismos — estão longe de ser abstrações acadêmicas. No Brasil, bilhões de reais são alocados anualmente por meio de leilões cujos formatos refletem diretamente as preocupações da teoria.</w:t>
      </w:r>
    </w:p>
    <w:p>
      <w:pPr>
        <w:pStyle w:val="BlockText"/>
      </w:pPr>
      <w:r>
        <w:rPr>
          <w:b/>
          <w:bCs/>
        </w:rPr>
        <w:t xml:space="preserve">[BOX BRASIL] Box Brasil — Leilões de petróleo e energia: quando o formato importa</w:t>
      </w:r>
    </w:p>
    <w:p>
      <w:pPr>
        <w:pStyle w:val="BlockText"/>
      </w:pPr>
      <w:r>
        <w:t xml:space="preserve">O Brasil utiliza leilões em setores estratégicos onde a teoria de leilões tem aplicação direta:</w:t>
      </w:r>
    </w:p>
    <w:p>
      <w:pPr>
        <w:pStyle w:val="BlockText"/>
      </w:pPr>
      <w:r>
        <w:rPr>
          <w:b/>
          <w:bCs/>
        </w:rPr>
        <w:t xml:space="preserve">Leilões de petróleo (ANP)</w:t>
      </w:r>
    </w:p>
    <w:p>
      <w:pPr>
        <w:pStyle w:val="BlockText"/>
      </w:pPr>
      <w:r>
        <w:t xml:space="preserve">A</w:t>
      </w:r>
      <w:r>
        <w:t xml:space="preserve"> </w:t>
      </w:r>
      <w:r>
        <w:rPr>
          <w:b/>
          <w:bCs/>
        </w:rPr>
        <w:t xml:space="preserve">Agência Nacional do Petróleo</w:t>
      </w:r>
      <w:r>
        <w:t xml:space="preserve"> </w:t>
      </w:r>
      <w:r>
        <w:t xml:space="preserve">conduz rodadas de licitação para blocos exploratórios desde 1999. O formato é de</w:t>
      </w:r>
      <w:r>
        <w:t xml:space="preserve"> </w:t>
      </w:r>
      <w:r>
        <w:rPr>
          <w:b/>
          <w:bCs/>
        </w:rPr>
        <w:t xml:space="preserve">oferta em envelope fechado</w:t>
      </w:r>
      <w:r>
        <w:t xml:space="preserve"> </w:t>
      </w:r>
      <w:r>
        <w:t xml:space="preserve">(primeiro preço), com critérios que combinam bônus de assinatura, programa exploratório e conteúdo local.</w:t>
      </w:r>
    </w:p>
    <w:p>
      <w:pPr>
        <w:pStyle w:val="Compact"/>
        <w:numPr>
          <w:ilvl w:val="0"/>
          <w:numId w:val="1536"/>
        </w:numPr>
      </w:pPr>
      <w:r>
        <w:t xml:space="preserve">A</w:t>
      </w:r>
      <w:r>
        <w:t xml:space="preserve"> </w:t>
      </w:r>
      <w:r>
        <w:rPr>
          <w:b/>
          <w:bCs/>
        </w:rPr>
        <w:t xml:space="preserve">maldição do vencedor</w:t>
      </w:r>
      <w:r>
        <w:t xml:space="preserve"> </w:t>
      </w:r>
      <w:r>
        <w:t xml:space="preserve">é relevante: blocos do pré-sal têm valor comum (volume de óleo incerto), e empresas que superestimam o potencial pagam prêmios excessivos.</w:t>
      </w:r>
    </w:p>
    <w:p>
      <w:pPr>
        <w:pStyle w:val="Compact"/>
        <w:numPr>
          <w:ilvl w:val="0"/>
          <w:numId w:val="1536"/>
        </w:numPr>
      </w:pPr>
      <w:r>
        <w:t xml:space="preserve">O regime de</w:t>
      </w:r>
      <w:r>
        <w:t xml:space="preserve"> </w:t>
      </w:r>
      <w:r>
        <w:rPr>
          <w:b/>
          <w:bCs/>
        </w:rPr>
        <w:t xml:space="preserve">partilha de produção</w:t>
      </w:r>
      <w:r>
        <w:t xml:space="preserve"> </w:t>
      </w:r>
      <w:r>
        <w:t xml:space="preserve">(Lei 12.351/2010) para o pré-sal altera os incentivos: o bônus fixo e a oferta de excedente em óleo para a União reduzem o risco de maldição do vencedor para as empresas.</w:t>
      </w:r>
    </w:p>
    <w:p>
      <w:pPr>
        <w:pStyle w:val="BlockText"/>
      </w:pPr>
      <w:r>
        <w:rPr>
          <w:b/>
          <w:bCs/>
        </w:rPr>
        <w:t xml:space="preserve">Leilões de energia (ANEEL)</w:t>
      </w:r>
    </w:p>
    <w:p>
      <w:pPr>
        <w:pStyle w:val="BlockText"/>
      </w:pPr>
      <w:r>
        <w:t xml:space="preserve">A</w:t>
      </w:r>
      <w:r>
        <w:t xml:space="preserve"> </w:t>
      </w:r>
      <w:r>
        <w:rPr>
          <w:b/>
          <w:bCs/>
        </w:rPr>
        <w:t xml:space="preserve">ANEEL</w:t>
      </w:r>
      <w:r>
        <w:t xml:space="preserve"> </w:t>
      </w:r>
      <w:r>
        <w:t xml:space="preserve">organiza leilões de energia nova e existente para garantir o suprimento. O formato é de</w:t>
      </w:r>
      <w:r>
        <w:t xml:space="preserve"> </w:t>
      </w:r>
      <w:r>
        <w:rPr>
          <w:b/>
          <w:bCs/>
        </w:rPr>
        <w:t xml:space="preserve">leilão descendente</w:t>
      </w:r>
      <w:r>
        <w:t xml:space="preserve"> </w:t>
      </w:r>
      <w:r>
        <w:t xml:space="preserve">(relógio): o preço começa alto e cai até que a oferta iguale a demanda.</w:t>
      </w:r>
    </w:p>
    <w:p>
      <w:pPr>
        <w:pStyle w:val="Compact"/>
        <w:numPr>
          <w:ilvl w:val="0"/>
          <w:numId w:val="1537"/>
        </w:numPr>
      </w:pPr>
      <w:r>
        <w:t xml:space="preserve">O leilão descendente com múltiplos vencedores reduz a maldição do vencedor e incentiva a participação.</w:t>
      </w:r>
    </w:p>
    <w:p>
      <w:pPr>
        <w:pStyle w:val="Compact"/>
        <w:numPr>
          <w:ilvl w:val="0"/>
          <w:numId w:val="1537"/>
        </w:numPr>
      </w:pPr>
      <w:r>
        <w:t xml:space="preserve">Leilões de energia renovável (eólica, solar) geraram reduções de preço de</w:t>
      </w:r>
      <w:r>
        <w:t xml:space="preserve"> </w:t>
      </w:r>
      <w:r>
        <w:rPr>
          <w:b/>
          <w:bCs/>
        </w:rPr>
        <w:t xml:space="preserve">80%</w:t>
      </w:r>
      <w:r>
        <w:t xml:space="preserve"> </w:t>
      </w:r>
      <w:r>
        <w:t xml:space="preserve">entre 2009 e 2023 — evidência de que a competição entre licitantes funciona.</w:t>
      </w:r>
    </w:p>
    <w:p>
      <w:pPr>
        <w:pStyle w:val="BlockText"/>
      </w:pPr>
      <w:r>
        <w:rPr>
          <w:b/>
          <w:bCs/>
        </w:rPr>
        <w:t xml:space="preserve">Fonte</w:t>
      </w:r>
      <w:r>
        <w:t xml:space="preserve">: ANP, Rodadas de Licitação; ANEEL, Leilões de Energia.</w:t>
      </w:r>
    </w:p>
    <w:p>
      <w:r>
        <w:pict>
          <v:rect style="width:0;height:1.5pt" o:hralign="center" o:hrstd="t" o:hr="t"/>
        </w:pict>
      </w:r>
    </w:p>
    <w:p>
      <w:pPr>
        <w:pStyle w:val="FirstParagraph"/>
      </w:pPr>
      <w:r>
        <w:t xml:space="preserve">Se os leilões de petróleo e energia ilustram o lado virtuoso da competição entre licitantes, as licitações públicas revelam o lado sombrio: quando os participantes se coordenam para suprimir a competição, os leilões podem se tornar instrumentos de extração de renda pública — exatamente o oposto do que a teoria prescreve.</w:t>
      </w:r>
    </w:p>
    <w:p>
      <w:pPr>
        <w:pStyle w:val="BlockText"/>
      </w:pPr>
      <w:r>
        <w:rPr>
          <w:b/>
          <w:bCs/>
        </w:rPr>
        <w:t xml:space="preserve">[BOX BRASIL] Box Brasil — Cartéis em licitações: o outro lado dos leilões</w:t>
      </w:r>
    </w:p>
    <w:p>
      <w:pPr>
        <w:pStyle w:val="BlockText"/>
      </w:pPr>
      <w:r>
        <w:t xml:space="preserve">Leilões de compras governamentais (licitações) são vulneráveis a colusão entre licitantes — o oposto do que a teoria competitiva prevê.</w:t>
      </w:r>
    </w:p>
    <w:p>
      <w:pPr>
        <w:pStyle w:val="BlockText"/>
      </w:pPr>
      <w:r>
        <w:rPr>
          <w:b/>
          <w:bCs/>
        </w:rPr>
        <w:t xml:space="preserve">Mecanismos de colusão</w:t>
      </w:r>
    </w:p>
    <w:p>
      <w:pPr>
        <w:pStyle w:val="Compact"/>
        <w:numPr>
          <w:ilvl w:val="0"/>
          <w:numId w:val="1538"/>
        </w:numPr>
      </w:pPr>
      <w:r>
        <w:rPr>
          <w:b/>
          <w:bCs/>
        </w:rPr>
        <w:t xml:space="preserve">Rotação de vencedores</w:t>
      </w:r>
      <w:r>
        <w:t xml:space="preserve">: firmas combinam quem ganha cada licitação, dividindo o mercado ao longo do tempo.</w:t>
      </w:r>
    </w:p>
    <w:p>
      <w:pPr>
        <w:pStyle w:val="Compact"/>
        <w:numPr>
          <w:ilvl w:val="0"/>
          <w:numId w:val="1538"/>
        </w:numPr>
      </w:pPr>
      <w:r>
        <w:rPr>
          <w:b/>
          <w:bCs/>
        </w:rPr>
        <w:t xml:space="preserve">Lances de cobertura</w:t>
      </w:r>
      <w:r>
        <w:t xml:space="preserve"> </w:t>
      </w:r>
      <w:r>
        <w:t xml:space="preserve">(</w:t>
      </w:r>
      <w:r>
        <w:rPr>
          <w:i/>
          <w:iCs/>
        </w:rPr>
        <w:t xml:space="preserve">cover bidding</w:t>
      </w:r>
      <w:r>
        <w:t xml:space="preserve">): firmas apresentam lances propositalmente altos para dar aparência de competição enquanto uma firma pré-determinada ganha.</w:t>
      </w:r>
    </w:p>
    <w:p>
      <w:pPr>
        <w:pStyle w:val="Compact"/>
        <w:numPr>
          <w:ilvl w:val="0"/>
          <w:numId w:val="1538"/>
        </w:numPr>
      </w:pPr>
      <w:r>
        <w:rPr>
          <w:b/>
          <w:bCs/>
        </w:rPr>
        <w:t xml:space="preserve">Supressão de lances</w:t>
      </w:r>
      <w:r>
        <w:t xml:space="preserve">: algumas firmas simplesmente não participam de certas licitações.</w:t>
      </w:r>
    </w:p>
    <w:p>
      <w:pPr>
        <w:pStyle w:val="BlockText"/>
      </w:pPr>
      <w:r>
        <w:rPr>
          <w:b/>
          <w:bCs/>
        </w:rPr>
        <w:t xml:space="preserve">Casos brasileiros</w:t>
      </w:r>
    </w:p>
    <w:p>
      <w:pPr>
        <w:pStyle w:val="BlockText"/>
      </w:pPr>
      <w:r>
        <w:t xml:space="preserve">O CADE tem investigado cartéis em licitações de obras públicas, alimentos para merenda escolar e medicamentos. O</w:t>
      </w:r>
      <w:r>
        <w:t xml:space="preserve"> </w:t>
      </w:r>
      <w:r>
        <w:t xml:space="preserve">“Cartel do Metrô de SP”</w:t>
      </w:r>
      <w:r>
        <w:t xml:space="preserve"> </w:t>
      </w:r>
      <w:r>
        <w:t xml:space="preserve">(2013) envolveu construtoras que se coordenavam para dividir contratos de obras de metrô — com sobrepreço estimado em 30%.</w:t>
      </w:r>
    </w:p>
    <w:p>
      <w:pPr>
        <w:pStyle w:val="BlockText"/>
      </w:pPr>
      <w:r>
        <w:rPr>
          <w:b/>
          <w:bCs/>
        </w:rPr>
        <w:t xml:space="preserve">Implicações da teoria:</w:t>
      </w:r>
      <w:r>
        <w:t xml:space="preserve"> </w:t>
      </w:r>
      <w:r>
        <w:t xml:space="preserve">A colusão é mais fácil em leilões de primeiro preço do que de segundo preço (McAfee e McMillan, 1992). Leilões ascendentes (ingleses) são ainda mais vulneráveis pois permitem sinalização durante o leilão. Isso explica por que o formato do leilão é um instrumento de política antitruste.</w:t>
      </w:r>
    </w:p>
    <w:p>
      <w:pPr>
        <w:pStyle w:val="BlockText"/>
      </w:pPr>
      <w:r>
        <w:rPr>
          <w:b/>
          <w:bCs/>
        </w:rPr>
        <w:t xml:space="preserve">[BOX BRASIL] Box Brasil — Leilões de espectro da ANATEL: teoria e prática</w:t>
      </w:r>
    </w:p>
    <w:p>
      <w:pPr>
        <w:pStyle w:val="BlockText"/>
      </w:pPr>
      <w:r>
        <w:t xml:space="preserve">Os leilões de espectro de radiofrequências organizados pela</w:t>
      </w:r>
      <w:r>
        <w:t xml:space="preserve"> </w:t>
      </w:r>
      <w:r>
        <w:rPr>
          <w:b/>
          <w:bCs/>
        </w:rPr>
        <w:t xml:space="preserve">ANATEL</w:t>
      </w:r>
      <w:r>
        <w:t xml:space="preserve"> </w:t>
      </w:r>
      <w:r>
        <w:t xml:space="preserve">para concessão de bandas 4G e 5G são um laboratório de desenho de mecanismos aplicado ao contexto brasileiro.</w:t>
      </w:r>
    </w:p>
    <w:p>
      <w:pPr>
        <w:pStyle w:val="BlockText"/>
      </w:pPr>
      <w:r>
        <w:rPr>
          <w:b/>
          <w:bCs/>
        </w:rPr>
        <w:t xml:space="preserve">O problema do designer (ANATEL):</w:t>
      </w:r>
      <w:r>
        <w:t xml:space="preserve"> </w:t>
      </w:r>
      <w:r>
        <w:t xml:space="preserve">Alocar faixas de espectro de forma eficiente (aos operadores que mais as valorizam), maximizar receita para a União e garantir cobertura em áreas remotas — objetivos frequentemente conflitantes.</w:t>
      </w:r>
    </w:p>
    <w:p>
      <w:pPr>
        <w:pStyle w:val="BlockText"/>
      </w:pPr>
      <w:r>
        <w:rPr>
          <w:b/>
          <w:bCs/>
        </w:rPr>
        <w:t xml:space="preserve">Soluções de desenho de mecanismos adotadas:</w:t>
      </w:r>
    </w:p>
    <w:p>
      <w:pPr>
        <w:pStyle w:val="Compact"/>
        <w:numPr>
          <w:ilvl w:val="0"/>
          <w:numId w:val="1539"/>
        </w:numPr>
      </w:pPr>
      <w:r>
        <w:rPr>
          <w:b/>
          <w:bCs/>
        </w:rPr>
        <w:t xml:space="preserve">Leilão combinatório:</w:t>
      </w:r>
      <w:r>
        <w:t xml:space="preserve"> </w:t>
      </w:r>
      <w:r>
        <w:t xml:space="preserve">Operadores fazem lances sobre</w:t>
      </w:r>
      <w:r>
        <w:t xml:space="preserve"> </w:t>
      </w:r>
      <w:r>
        <w:rPr>
          <w:i/>
          <w:iCs/>
        </w:rPr>
        <w:t xml:space="preserve">pacotes</w:t>
      </w:r>
      <w:r>
        <w:t xml:space="preserve"> </w:t>
      </w:r>
      <w:r>
        <w:t xml:space="preserve">de frequências, não sobre frequências individuais, evitando o problema de complementaridade (quando o valor de duas faixas juntas supera a soma dos valores individuais).</w:t>
      </w:r>
    </w:p>
    <w:p>
      <w:pPr>
        <w:pStyle w:val="Compact"/>
        <w:numPr>
          <w:ilvl w:val="0"/>
          <w:numId w:val="1539"/>
        </w:numPr>
      </w:pPr>
      <w:r>
        <w:rPr>
          <w:b/>
          <w:bCs/>
        </w:rPr>
        <w:t xml:space="preserve">Obrigações de cobertura:</w:t>
      </w:r>
      <w:r>
        <w:t xml:space="preserve"> </w:t>
      </w:r>
      <w:r>
        <w:t xml:space="preserve">Em vez de apenas maximizar o bônus de assinatura, o edital impõe metas de cobertura em municípios rurais — um mecanismo que transfere parte do excedente para regiões menos lucrativas.</w:t>
      </w:r>
    </w:p>
    <w:p>
      <w:pPr>
        <w:pStyle w:val="Compact"/>
        <w:numPr>
          <w:ilvl w:val="0"/>
          <w:numId w:val="1539"/>
        </w:numPr>
      </w:pPr>
      <w:r>
        <w:rPr>
          <w:b/>
          <w:bCs/>
        </w:rPr>
        <w:t xml:space="preserve">Preços de reserva diferenciados:</w:t>
      </w:r>
      <w:r>
        <w:t xml:space="preserve"> </w:t>
      </w:r>
      <w:r>
        <w:t xml:space="preserve">Lotes em regiões com menor demanda têm preços de reserva mais baixos, incentivando a participação e evitando lotes não arrematados.</w:t>
      </w:r>
    </w:p>
    <w:p>
      <w:pPr>
        <w:pStyle w:val="BlockText"/>
      </w:pPr>
      <w:r>
        <w:rPr>
          <w:b/>
          <w:bCs/>
        </w:rPr>
        <w:t xml:space="preserve">Leilão do 5G (2021):</w:t>
      </w:r>
      <w:r>
        <w:t xml:space="preserve"> </w:t>
      </w:r>
      <w:r>
        <w:t xml:space="preserve">Arrecadou R$ 47,2 bilhões, incluindo R$ 40,5 bilhões em compromissos de cobertura e implantação de rede. A ANATEL escolheu deliberadamente um formato que priorizava cobertura sobre receita imediata — uma decisão de desenho de mecanismos com impacto estrutural de longo prazo.</w:t>
      </w:r>
    </w:p>
    <w:p>
      <w:pPr>
        <w:pStyle w:val="BlockText"/>
      </w:pPr>
      <w:r>
        <w:rPr>
          <w:b/>
          <w:bCs/>
        </w:rPr>
        <w:t xml:space="preserve">Conexão teórica:</w:t>
      </w:r>
      <w:r>
        <w:t xml:space="preserve"> </w:t>
      </w:r>
      <w:r>
        <w:t xml:space="preserve">O formato do leilão de espectro da ANATEL ilustra que o</w:t>
      </w:r>
      <w:r>
        <w:t xml:space="preserve"> </w:t>
      </w:r>
      <w:r>
        <w:t xml:space="preserve">“leilão ótimo”</w:t>
      </w:r>
      <w:r>
        <w:t xml:space="preserve"> </w:t>
      </w:r>
      <w:r>
        <w:t xml:space="preserve">de Myerson raramente é adotado literalmente na prática. Em vez de maximizar receita pura, os reguladores combinam múltiplos objetivos usando restrições de equilíbrio bayesiano como ferramentas de planejamento.</w:t>
      </w:r>
    </w:p>
    <w:p>
      <w:pPr>
        <w:pStyle w:val="BlockText"/>
      </w:pPr>
      <w:r>
        <w:rPr>
          <w:b/>
          <w:bCs/>
        </w:rPr>
        <w:t xml:space="preserve">Fonte</w:t>
      </w:r>
      <w:r>
        <w:t xml:space="preserve">: ANATEL, Editais de licitação de radiofrequências (2014, 2021).</w:t>
      </w:r>
    </w:p>
    <w:p>
      <w:r>
        <w:pict>
          <v:rect style="width:0;height:1.5pt" o:hralign="center" o:hrstd="t" o:hr="t"/>
        </w:pict>
      </w:r>
    </w:p>
    <w:p>
      <w:pPr>
        <w:pStyle w:val="BlockText"/>
      </w:pPr>
      <w:r>
        <w:rPr>
          <w:b/>
          <w:bCs/>
        </w:rPr>
        <w:t xml:space="preserve">[CODE] R Interativo — Leilão de Valor Privado: Monte Carlo (Adams, 2025, Cap. 10)</w:t>
      </w:r>
    </w:p>
    <w:p>
      <w:pPr>
        <w:pStyle w:val="BlockText"/>
      </w:pPr>
      <w:r>
        <w:t xml:space="preserve">Este box simula leilões de primeiro e segundo preço com N licitantes e valores uniformes. Compare as receitas e verifique o Teorema da Equivalência de Receita.</w:t>
      </w:r>
    </w:p>
    <w:p>
      <w:pPr>
        <w:pStyle w:val="BlockText"/>
      </w:pPr>
      <w:r>
        <w:rPr>
          <w:b/>
          <w:bCs/>
        </w:rPr>
        <w:t xml:space="preserve">Exercício:</w:t>
      </w:r>
      <w:r>
        <w:t xml:space="preserve"> </w:t>
      </w:r>
      <w:r>
        <w:t xml:space="preserve">Mude</w:t>
      </w:r>
      <w:r>
        <w:t xml:space="preserve"> </w:t>
      </w:r>
      <w:r>
        <w:rPr>
          <w:rStyle w:val="VerbatimChar"/>
        </w:rPr>
        <w:t xml:space="preserve">N</w:t>
      </w:r>
      <w:r>
        <w:t xml:space="preserve"> </w:t>
      </w:r>
      <w:r>
        <w:t xml:space="preserve">de 3 para 10. O que acontece com a receita? E com o surplus do vencedor?</w:t>
      </w:r>
    </w:p>
    <w:p>
      <w:pPr>
        <w:pStyle w:val="FirstParagraph"/>
      </w:pPr>
      <w:r>
        <w:t xml:space="preserve">[FIGURA INTERATIVA: /micro-book/graficos/cap09/webr-auction.html — versao interativa disponivel online]</w:t>
      </w:r>
    </w:p>
    <w:p>
      <w:pPr>
        <w:pStyle w:val="BlockText"/>
      </w:pPr>
      <w:r>
        <w:rPr>
          <w:b/>
          <w:bCs/>
        </w:rPr>
        <w:t xml:space="preserve">Figura 9c.1 — Simulação Monte Carlo de leilões de 1º e 2º preço.</w:t>
      </w:r>
      <w:r>
        <w:t xml:space="preserve"> </w:t>
      </w:r>
      <w:r>
        <w:t xml:space="preserve">Altere</w:t>
      </w:r>
      <w:r>
        <w:t xml:space="preserve"> </w:t>
      </w:r>
      <w:r>
        <w:t xml:space="preserve">N</w:t>
      </w:r>
      <w:r>
        <w:t xml:space="preserve"> </w:t>
      </w:r>
      <w:r>
        <w:t xml:space="preserve">(licitantes) e</w:t>
      </w:r>
      <w:r>
        <w:t xml:space="preserve"> </w:t>
      </w:r>
      <w:r>
        <w:t xml:space="preserve">n_sim</w:t>
      </w:r>
      <w:r>
        <w:t xml:space="preserve"> </w:t>
      </w:r>
      <w:r>
        <w:t xml:space="preserve">(simulações) para explorar o Teorema da Equivalência de Receita.</w:t>
      </w:r>
    </w:p>
    <w:p>
      <w:r>
        <w:pict>
          <v:rect style="width:0;height:1.5pt" o:hralign="center" o:hrstd="t" o:hr="t"/>
        </w:pict>
      </w:r>
    </w:p>
    <w:p>
      <w:pPr>
        <w:pStyle w:val="FirstParagraph"/>
      </w:pPr>
      <w:r>
        <w:t xml:space="preserve">Começamos este módulo com uma pergunta que paralisou a teoria dos jogos: como analisar um jogo quando os jogadores nem concordam sobre</w:t>
      </w:r>
      <w:r>
        <w:t xml:space="preserve"> </w:t>
      </w:r>
      <w:r>
        <w:rPr>
          <w:i/>
          <w:iCs/>
        </w:rPr>
        <w:t xml:space="preserve">qual jogo</w:t>
      </w:r>
      <w:r>
        <w:t xml:space="preserve"> </w:t>
      </w:r>
      <w:r>
        <w:t xml:space="preserve">estão jogando? O truque de Harsanyi — um lance da natureza que distribui tipos privados — transformou ignorância genuína em incerteza tratável, e dessa transformação nasceram o BNE, a teoria de leilões e o desenho de mecanismos. Do leilão do pré-sal à alocação de espectro, as cartas continuam escondidas — mas agora sabemos jogar.</w:t>
      </w:r>
    </w:p>
    <w:p>
      <w:pPr>
        <w:pStyle w:val="BodyText"/>
      </w:pPr>
      <w:r>
        <w:rPr>
          <w:i/>
          <w:iCs/>
        </w:rPr>
        <w:t xml:space="preserve">Leilões revelam tipos; no próximo módulo, os tipos tentam se esconder — ou se exibir. Sinalização, moral hazard e seleção adversa entram em cena. And now for something completely different.</w:t>
      </w:r>
    </w:p>
    <w:bookmarkEnd w:id="568"/>
    <w:bookmarkEnd w:id="569"/>
    <w:bookmarkEnd w:id="570"/>
    <w:bookmarkStart w:id="575" w:name="quem-dá-mais-leilões-de-valor-privado"/>
    <w:p>
      <w:pPr>
        <w:pStyle w:val="Heading2"/>
      </w:pPr>
      <w:r>
        <w:t xml:space="preserve">Quem Dá Mais? Leilões de Valor Privado</w:t>
      </w:r>
    </w:p>
    <w:bookmarkStart w:id="574" w:name="X7be141640c63750c2ae0c0de74597f8a949b009"/>
    <w:p>
      <w:pPr>
        <w:pStyle w:val="Heading3"/>
      </w:pPr>
      <w:r>
        <w:t xml:space="preserve">9c.3 Quem Dá Mais? Leilões de Valor Privado</w:t>
      </w:r>
    </w:p>
    <w:p>
      <w:pPr>
        <w:pStyle w:val="FirstParagraph"/>
      </w:pPr>
      <w:r>
        <w:t xml:space="preserve">Agora a aplicação mais espetacular dos jogos bayesianos:</w:t>
      </w:r>
      <w:r>
        <w:t xml:space="preserve"> </w:t>
      </w:r>
      <w:r>
        <w:rPr>
          <w:b/>
          <w:bCs/>
        </w:rPr>
        <w:t xml:space="preserve">leilões</w:t>
      </w:r>
      <w:r>
        <w:t xml:space="preserve">. Quando a Petrobras disputa um bloco do pré-sal, ela sabe quanto vale para</w:t>
      </w:r>
      <w:r>
        <w:t xml:space="preserve"> </w:t>
      </w:r>
      <w:r>
        <w:rPr>
          <w:i/>
          <w:iCs/>
        </w:rPr>
        <w:t xml:space="preserve">ela</w:t>
      </w:r>
      <w:r>
        <w:t xml:space="preserve"> </w:t>
      </w:r>
      <w:r>
        <w:t xml:space="preserve">— mas não faz ideia de quanto vale para a Shell ou a TotalEnergies. Cada licitante tem informação privada sobre seu próprio valor e precisa decidir quanto oferecer sem ver as cartas dos adversários. Um jogo bayesiano puro, com bilhões de dólares na mesa. Não por acaso, leilões são o campo onde a teoria dos jogos provou ser mais útil — e mais lucrativa — na prática.</w:t>
      </w:r>
    </w:p>
    <w:p>
      <w:pPr>
        <w:pStyle w:val="BodyText"/>
      </w:pPr>
      <w:r>
        <w:t xml:space="preserve">A teoria moderna de leilões foi inaugurada por Vickrey (1961), que demonstrou a propriedade de revelação de verdade no leilão de segundo preço e estabeleceu as bases para a análise de bem-estar. Duas décadas depois, Myerson (1981) e Riley e Samuelson (1981) completaram o edifício com a derivação do leilão ótimo e o teorema da equivalência de receita. William Vickrey dividiu o Nobel de 1996 com James Mirrlees precisamente por essas contribuições — e Roger Myerson recebeu o Nobel de 2007 (junto com Hurwicz e Maskin) pelo desenho de mecanismos. Raramente uma área da teoria econômica gerou tanto reconhecimento tão rápido, o que reflete a importância prática imediata dos resultados.</w:t>
      </w:r>
    </w:p>
    <w:bookmarkStart w:id="571" w:name="Xe6a8e52e419a1ead3a2dab5977c2f516584c5bc"/>
    <w:p>
      <w:pPr>
        <w:pStyle w:val="Heading4"/>
      </w:pPr>
      <w:r>
        <w:t xml:space="preserve">Modelo básico: IPV (Valores Privados Independentes)</w:t>
      </w:r>
    </w:p>
    <w:p>
      <w:pPr>
        <w:pStyle w:val="FirstParagraph"/>
      </w:pPr>
      <m:oMath>
        <m:r>
          <m:t>N</m:t>
        </m:r>
      </m:oMath>
      <w:r>
        <w:t xml:space="preserve"> </w:t>
      </w:r>
      <w:r>
        <w:t xml:space="preserve">licitantes com valores</w:t>
      </w:r>
      <w:r>
        <w:t xml:space="preserve"> </w:t>
      </w:r>
      <m:oMath>
        <m:sSub>
          <m:e>
            <m:r>
              <m:t>v</m:t>
            </m:r>
          </m:e>
          <m:sub>
            <m:r>
              <m:t>i</m:t>
            </m:r>
          </m:sub>
        </m:sSub>
      </m:oMath>
      <w:r>
        <w:t xml:space="preserve"> </w:t>
      </w:r>
      <w:r>
        <w:t xml:space="preserve">sorteados independentemente de</w:t>
      </w:r>
      <w:r>
        <w:t xml:space="preserve"> </w:t>
      </w:r>
      <m:oMath>
        <m:r>
          <m:t>F</m:t>
        </m:r>
      </m:oMath>
      <w:r>
        <w:t xml:space="preserve"> </w:t>
      </w:r>
      <w:r>
        <w:t xml:space="preserve">no intervalo</w:t>
      </w:r>
      <w:r>
        <w:t xml:space="preserve"> </w:t>
      </w:r>
      <m:oMath>
        <m:r>
          <m:rPr>
            <m:sty m:val="p"/>
          </m:rPr>
          <m:t>[</m:t>
        </m:r>
        <m:r>
          <m:t>0</m:t>
        </m:r>
        <m:r>
          <m:rPr>
            <m:sty m:val="p"/>
          </m:rPr>
          <m:t>,</m:t>
        </m:r>
        <m:acc>
          <m:accPr>
            <m:chr m:val="‾"/>
          </m:accPr>
          <m:e>
            <m:r>
              <m:t>v</m:t>
            </m:r>
          </m:e>
        </m:acc>
        <m:r>
          <m:rPr>
            <m:sty m:val="p"/>
          </m:rPr>
          <m:t>]</m:t>
        </m:r>
      </m:oMath>
      <w:r>
        <w:t xml:space="preserve">. Cada licitante conhece</w:t>
      </w:r>
      <w:r>
        <w:t xml:space="preserve"> </w:t>
      </w:r>
      <m:oMath>
        <m:sSub>
          <m:e>
            <m:r>
              <m:t>v</m:t>
            </m:r>
          </m:e>
          <m:sub>
            <m:r>
              <m:t>i</m:t>
            </m:r>
          </m:sub>
        </m:sSub>
      </m:oMath>
      <w:r>
        <w:t xml:space="preserve"> </w:t>
      </w:r>
      <w:r>
        <w:t xml:space="preserve">mas não os valores dos demais. O modelo IPV captura situações em que o valor do objeto é puramente subjetivo — como em leilões de arte, onde cada colecionador tem uma apreciação pessoal pelo quadro que não depende do que os outros acham. A independência entre os valores significa que o fato de outro licitante valorizar muito o objeto não informa nada sobre seu próprio valor — uma hipótese que será relaxada quando discutirmos valores comuns e afiliados.</w:t>
      </w:r>
    </w:p>
    <w:p>
      <w:pPr>
        <w:pStyle w:val="BodyText"/>
      </w:pPr>
      <w:r>
        <w:t xml:space="preserve">O modelo IPV é a bancada de trabalho (</w:t>
      </w:r>
      <w:r>
        <w:rPr>
          <w:i/>
          <w:iCs/>
        </w:rPr>
        <w:t xml:space="preserve">workhorse</w:t>
      </w:r>
      <w:r>
        <w:t xml:space="preserve">) da teoria de leilões porque permite derivar resultados limpos e elegantes. Quatro formatos de leilão merecem atenção especial, pois constituem os</w:t>
      </w:r>
      <w:r>
        <w:t xml:space="preserve"> </w:t>
      </w:r>
      <w:r>
        <w:t xml:space="preserve">“blocos fundamentais”</w:t>
      </w:r>
      <w:r>
        <w:t xml:space="preserve"> </w:t>
      </w:r>
      <w:r>
        <w:t xml:space="preserve">a partir dos quais formatos mais complexos são construídos:</w:t>
      </w:r>
    </w:p>
    <w:p>
      <w:pPr>
        <w:numPr>
          <w:ilvl w:val="0"/>
          <w:numId w:val="1540"/>
        </w:numPr>
      </w:pPr>
      <w:r>
        <w:rPr>
          <w:b/>
          <w:bCs/>
        </w:rPr>
        <w:t xml:space="preserve">Leilão inglês (ascendente):</w:t>
      </w:r>
      <w:r>
        <w:t xml:space="preserve"> </w:t>
      </w:r>
      <w:r>
        <w:t xml:space="preserve">O preço sobe continuamente até que reste apenas um licitante. O vencedor paga o preço no qual o penúltimo desistiu — que equivale, sob IPV, ao segundo maior valor.</w:t>
      </w:r>
    </w:p>
    <w:p>
      <w:pPr>
        <w:numPr>
          <w:ilvl w:val="0"/>
          <w:numId w:val="1540"/>
        </w:numPr>
      </w:pPr>
      <w:r>
        <w:rPr>
          <w:b/>
          <w:bCs/>
        </w:rPr>
        <w:t xml:space="preserve">Leilão holandês (descendente):</w:t>
      </w:r>
      <w:r>
        <w:t xml:space="preserve"> </w:t>
      </w:r>
      <w:r>
        <w:t xml:space="preserve">O preço começa alto e desce até que alguém aceite. O vencedor paga o preço que aceitou — equivalente, estrategicamente, ao leilão de primeiro preço em envelope fechado.</w:t>
      </w:r>
    </w:p>
    <w:p>
      <w:pPr>
        <w:numPr>
          <w:ilvl w:val="0"/>
          <w:numId w:val="1540"/>
        </w:numPr>
      </w:pPr>
      <w:r>
        <w:rPr>
          <w:b/>
          <w:bCs/>
        </w:rPr>
        <w:t xml:space="preserve">Leilão de primeiro preço (envelope fechado):</w:t>
      </w:r>
      <w:r>
        <w:t xml:space="preserve"> </w:t>
      </w:r>
      <w:r>
        <w:t xml:space="preserve">Cada licitante submete um lance em envelope fechado. O maior lance ganha e paga o próprio lance.</w:t>
      </w:r>
    </w:p>
    <w:p>
      <w:pPr>
        <w:numPr>
          <w:ilvl w:val="0"/>
          <w:numId w:val="1540"/>
        </w:numPr>
      </w:pPr>
      <w:r>
        <w:rPr>
          <w:b/>
          <w:bCs/>
        </w:rPr>
        <w:t xml:space="preserve">Leilão de segundo preço / Vickrey (envelope fechado):</w:t>
      </w:r>
      <w:r>
        <w:t xml:space="preserve"> </w:t>
      </w:r>
      <w:r>
        <w:t xml:space="preserve">Cada licitante submete um lance em envelope fechado. O maior lance ganha, mas paga o</w:t>
      </w:r>
      <w:r>
        <w:t xml:space="preserve"> </w:t>
      </w:r>
      <w:r>
        <w:rPr>
          <w:i/>
          <w:iCs/>
        </w:rPr>
        <w:t xml:space="preserve">segundo</w:t>
      </w:r>
      <w:r>
        <w:t xml:space="preserve"> </w:t>
      </w:r>
      <w:r>
        <w:t xml:space="preserve">maior lance.</w:t>
      </w:r>
    </w:p>
    <w:p>
      <w:pPr>
        <w:pStyle w:val="FirstParagraph"/>
      </w:pPr>
      <w:r>
        <w:rPr>
          <w:b/>
          <w:bCs/>
        </w:rPr>
        <w:t xml:space="preserve">Leilão de segundo preço (Vickrey):</w:t>
      </w:r>
      <w:r>
        <w:t xml:space="preserve"> </w:t>
      </w:r>
      <w:r>
        <w:t xml:space="preserve">O licitante com o maior lance ganha e paga o</w:t>
      </w:r>
      <w:r>
        <w:t xml:space="preserve"> </w:t>
      </w:r>
      <w:r>
        <w:rPr>
          <w:i/>
          <w:iCs/>
        </w:rPr>
        <w:t xml:space="preserve">segundo</w:t>
      </w:r>
      <w:r>
        <w:t xml:space="preserve"> </w:t>
      </w:r>
      <w:r>
        <w:t xml:space="preserve">maior lance. Lançar</w:t>
      </w:r>
      <w:r>
        <w:t xml:space="preserve"> </w:t>
      </w:r>
      <m:oMath>
        <m:sSub>
          <m:e>
            <m:r>
              <m:t>b</m:t>
            </m:r>
          </m:e>
          <m:sub>
            <m:r>
              <m:t>i</m:t>
            </m:r>
          </m:sub>
        </m:sSub>
        <m:r>
          <m:rPr>
            <m:sty m:val="p"/>
          </m:rPr>
          <m:t>=</m:t>
        </m:r>
        <m:sSub>
          <m:e>
            <m:r>
              <m:t>v</m:t>
            </m:r>
          </m:e>
          <m:sub>
            <m:r>
              <m:t>i</m:t>
            </m:r>
          </m:sub>
        </m:sSub>
      </m:oMath>
      <w:r>
        <w:t xml:space="preserve"> </w:t>
      </w:r>
      <w:r>
        <w:t xml:space="preserve">é</w:t>
      </w:r>
      <w:r>
        <w:t xml:space="preserve"> </w:t>
      </w:r>
      <w:r>
        <w:rPr>
          <w:b/>
          <w:bCs/>
        </w:rPr>
        <w:t xml:space="preserve">estratégia fracamente dominante</w:t>
      </w:r>
      <w:r>
        <w:t xml:space="preserve"> </w:t>
      </w:r>
      <w:r>
        <w:t xml:space="preserve">— não depende das crenças sobre os outros.</w:t>
      </w:r>
    </w:p>
    <w:p>
      <w:pPr>
        <w:pStyle w:val="BlockText"/>
      </w:pPr>
      <w:r>
        <w:rPr>
          <w:b/>
          <w:bCs/>
        </w:rPr>
        <w:t xml:space="preserve">[DEMONSTRACAO] Demonstração: Verdade é ótimo no leilão de Vickrey</w:t>
      </w:r>
    </w:p>
    <w:p>
      <w:pPr>
        <w:pStyle w:val="BlockText"/>
      </w:pPr>
      <w:r>
        <w:t xml:space="preserve">Seja</w:t>
      </w:r>
      <w:r>
        <w:t xml:space="preserve"> </w:t>
      </w:r>
      <m:oMath>
        <m:sSub>
          <m:e>
            <m:r>
              <m:t>b</m:t>
            </m:r>
          </m:e>
          <m:sub>
            <m:r>
              <m:t>i</m:t>
            </m:r>
          </m:sub>
        </m:sSub>
        <m:r>
          <m:rPr>
            <m:sty m:val="p"/>
          </m:rPr>
          <m:t>=</m:t>
        </m:r>
        <m:sSub>
          <m:e>
            <m:r>
              <m:t>v</m:t>
            </m:r>
          </m:e>
          <m:sub>
            <m:r>
              <m:t>i</m:t>
            </m:r>
          </m:sub>
        </m:sSub>
      </m:oMath>
      <w:r>
        <w:t xml:space="preserve"> </w:t>
      </w:r>
      <w:r>
        <w:t xml:space="preserve">o lance do jogador</w:t>
      </w:r>
      <w:r>
        <w:t xml:space="preserve"> </w:t>
      </w:r>
      <m:oMath>
        <m:r>
          <m:t>i</m:t>
        </m:r>
      </m:oMath>
      <w:r>
        <w:t xml:space="preserve"> </w:t>
      </w:r>
      <w:r>
        <w:t xml:space="preserve">e</w:t>
      </w:r>
      <w:r>
        <w:t xml:space="preserve"> </w:t>
      </w:r>
      <m:oMath>
        <m:sSubSup>
          <m:e>
            <m:r>
              <m:t>b</m:t>
            </m:r>
          </m:e>
          <m:sub>
            <m:r>
              <m:rPr>
                <m:sty m:val="p"/>
              </m:rPr>
              <m:t>(</m:t>
            </m:r>
            <m:r>
              <m:t>1</m:t>
            </m:r>
            <m:r>
              <m:rPr>
                <m:sty m:val="p"/>
              </m:rPr>
              <m:t>)</m:t>
            </m:r>
          </m:sub>
          <m:sup>
            <m:r>
              <m:rPr>
                <m:sty m:val="p"/>
              </m:rPr>
              <m:t>−</m:t>
            </m:r>
            <m:r>
              <m:t>i</m:t>
            </m:r>
          </m:sup>
        </m:sSubSup>
      </m:oMath>
      <w:r>
        <w:t xml:space="preserve"> </w:t>
      </w:r>
      <w:r>
        <w:t xml:space="preserve">o maior lance dos demais. Se</w:t>
      </w:r>
      <w:r>
        <w:t xml:space="preserve"> </w:t>
      </w:r>
      <m:oMath>
        <m:sSub>
          <m:e>
            <m:r>
              <m:t>b</m:t>
            </m:r>
          </m:e>
          <m:sub>
            <m:r>
              <m:t>i</m:t>
            </m:r>
          </m:sub>
        </m:sSub>
        <m:r>
          <m:rPr>
            <m:sty m:val="p"/>
          </m:rPr>
          <m:t>&gt;</m:t>
        </m:r>
        <m:sSubSup>
          <m:e>
            <m:r>
              <m:t>b</m:t>
            </m:r>
          </m:e>
          <m:sub>
            <m:r>
              <m:rPr>
                <m:sty m:val="p"/>
              </m:rPr>
              <m:t>(</m:t>
            </m:r>
            <m:r>
              <m:t>1</m:t>
            </m:r>
            <m:r>
              <m:rPr>
                <m:sty m:val="p"/>
              </m:rPr>
              <m:t>)</m:t>
            </m:r>
          </m:sub>
          <m:sup>
            <m:r>
              <m:rPr>
                <m:sty m:val="p"/>
              </m:rPr>
              <m:t>−</m:t>
            </m:r>
            <m:r>
              <m:t>i</m:t>
            </m:r>
          </m:sup>
        </m:sSubSup>
      </m:oMath>
      <w:r>
        <w:t xml:space="preserve">,</w:t>
      </w:r>
      <w:r>
        <w:t xml:space="preserve"> </w:t>
      </w:r>
      <m:oMath>
        <m:r>
          <m:t>i</m:t>
        </m:r>
      </m:oMath>
      <w:r>
        <w:t xml:space="preserve"> </w:t>
      </w:r>
      <w:r>
        <w:t xml:space="preserve">ganha e paga</w:t>
      </w:r>
      <w:r>
        <w:t xml:space="preserve"> </w:t>
      </w:r>
      <m:oMath>
        <m:sSubSup>
          <m:e>
            <m:r>
              <m:t>b</m:t>
            </m:r>
          </m:e>
          <m:sub>
            <m:r>
              <m:rPr>
                <m:sty m:val="p"/>
              </m:rPr>
              <m:t>(</m:t>
            </m:r>
            <m:r>
              <m:t>1</m:t>
            </m:r>
            <m:r>
              <m:rPr>
                <m:sty m:val="p"/>
              </m:rPr>
              <m:t>)</m:t>
            </m:r>
          </m:sub>
          <m:sup>
            <m:r>
              <m:rPr>
                <m:sty m:val="p"/>
              </m:rPr>
              <m:t>−</m:t>
            </m:r>
            <m:r>
              <m:t>i</m:t>
            </m:r>
          </m:sup>
        </m:sSubSup>
      </m:oMath>
      <w:r>
        <w:t xml:space="preserve">, obtendo</w:t>
      </w:r>
      <w:r>
        <w:t xml:space="preserve"> </w:t>
      </w:r>
      <m:oMath>
        <m:sSub>
          <m:e>
            <m:r>
              <m:t>v</m:t>
            </m:r>
          </m:e>
          <m:sub>
            <m:r>
              <m:t>i</m:t>
            </m:r>
          </m:sub>
        </m:sSub>
        <m:r>
          <m:rPr>
            <m:sty m:val="p"/>
          </m:rPr>
          <m:t>−</m:t>
        </m:r>
        <m:sSubSup>
          <m:e>
            <m:r>
              <m:t>b</m:t>
            </m:r>
          </m:e>
          <m:sub>
            <m:r>
              <m:rPr>
                <m:sty m:val="p"/>
              </m:rPr>
              <m:t>(</m:t>
            </m:r>
            <m:r>
              <m:t>1</m:t>
            </m:r>
            <m:r>
              <m:rPr>
                <m:sty m:val="p"/>
              </m:rPr>
              <m:t>)</m:t>
            </m:r>
          </m:sub>
          <m:sup>
            <m:r>
              <m:rPr>
                <m:sty m:val="p"/>
              </m:rPr>
              <m:t>−</m:t>
            </m:r>
            <m:r>
              <m:t>i</m:t>
            </m:r>
          </m:sup>
        </m:sSubSup>
        <m:r>
          <m:rPr>
            <m:sty m:val="p"/>
          </m:rPr>
          <m:t>≥</m:t>
        </m:r>
        <m:r>
          <m:t>0</m:t>
        </m:r>
      </m:oMath>
      <w:r>
        <w:t xml:space="preserve">. Suponha que</w:t>
      </w:r>
      <w:r>
        <w:t xml:space="preserve"> </w:t>
      </w:r>
      <m:oMath>
        <m:r>
          <m:t>i</m:t>
        </m:r>
      </m:oMath>
      <w:r>
        <w:t xml:space="preserve"> </w:t>
      </w:r>
      <w:r>
        <w:t xml:space="preserve">desvie:</w:t>
      </w:r>
    </w:p>
    <w:p>
      <w:pPr>
        <w:pStyle w:val="Compact"/>
        <w:numPr>
          <w:ilvl w:val="0"/>
          <w:numId w:val="1541"/>
        </w:numPr>
      </w:pPr>
      <w:r>
        <w:rPr>
          <w:b/>
          <w:bCs/>
        </w:rPr>
        <w:t xml:space="preserve">Lance acima</w:t>
      </w:r>
      <w:r>
        <w:t xml:space="preserve"> </w:t>
      </w:r>
      <w:r>
        <w:t xml:space="preserve">(</w:t>
      </w:r>
      <m:oMath>
        <m:sSubSup>
          <m:e>
            <m:r>
              <m:t>b</m:t>
            </m:r>
          </m:e>
          <m:sub>
            <m:r>
              <m:t>i</m:t>
            </m:r>
          </m:sub>
          <m:sup>
            <m:r>
              <m:rPr>
                <m:sty m:val="p"/>
              </m:rPr>
              <m:t>′</m:t>
            </m:r>
          </m:sup>
        </m:sSubSup>
        <m:r>
          <m:rPr>
            <m:sty m:val="p"/>
          </m:rPr>
          <m:t>&gt;</m:t>
        </m:r>
        <m:sSub>
          <m:e>
            <m:r>
              <m:t>v</m:t>
            </m:r>
          </m:e>
          <m:sub>
            <m:r>
              <m:t>i</m:t>
            </m:r>
          </m:sub>
        </m:sSub>
      </m:oMath>
      <w:r>
        <w:t xml:space="preserve">): Ganha com mais frequência, mas nos casos extras paga</w:t>
      </w:r>
      <w:r>
        <w:t xml:space="preserve"> </w:t>
      </w:r>
      <m:oMath>
        <m:sSubSup>
          <m:e>
            <m:r>
              <m:t>b</m:t>
            </m:r>
          </m:e>
          <m:sub>
            <m:r>
              <m:rPr>
                <m:sty m:val="p"/>
              </m:rPr>
              <m:t>(</m:t>
            </m:r>
            <m:r>
              <m:t>1</m:t>
            </m:r>
            <m:r>
              <m:rPr>
                <m:sty m:val="p"/>
              </m:rPr>
              <m:t>)</m:t>
            </m:r>
          </m:sub>
          <m:sup>
            <m:r>
              <m:rPr>
                <m:sty m:val="p"/>
              </m:rPr>
              <m:t>−</m:t>
            </m:r>
            <m:r>
              <m:t>i</m:t>
            </m:r>
          </m:sup>
        </m:sSubSup>
        <m:r>
          <m:rPr>
            <m:sty m:val="p"/>
          </m:rPr>
          <m:t>&gt;</m:t>
        </m:r>
        <m:sSub>
          <m:e>
            <m:r>
              <m:t>v</m:t>
            </m:r>
          </m:e>
          <m:sub>
            <m:r>
              <m:t>i</m:t>
            </m:r>
          </m:sub>
        </m:sSub>
      </m:oMath>
      <w:r>
        <w:t xml:space="preserve"> </w:t>
      </w:r>
      <w:r>
        <w:t xml:space="preserve">— lucro negativo.</w:t>
      </w:r>
    </w:p>
    <w:p>
      <w:pPr>
        <w:pStyle w:val="Compact"/>
        <w:numPr>
          <w:ilvl w:val="0"/>
          <w:numId w:val="1541"/>
        </w:numPr>
      </w:pPr>
      <w:r>
        <w:rPr>
          <w:b/>
          <w:bCs/>
        </w:rPr>
        <w:t xml:space="preserve">Lance abaixo</w:t>
      </w:r>
      <w:r>
        <w:t xml:space="preserve"> </w:t>
      </w:r>
      <w:r>
        <w:t xml:space="preserve">(</w:t>
      </w:r>
      <m:oMath>
        <m:sSubSup>
          <m:e>
            <m:r>
              <m:t>b</m:t>
            </m:r>
          </m:e>
          <m:sub>
            <m:r>
              <m:t>i</m:t>
            </m:r>
          </m:sub>
          <m:sup>
            <m:r>
              <m:rPr>
                <m:sty m:val="p"/>
              </m:rPr>
              <m:t>′</m:t>
            </m:r>
          </m:sup>
        </m:sSubSup>
        <m:r>
          <m:rPr>
            <m:sty m:val="p"/>
          </m:rPr>
          <m:t>&lt;</m:t>
        </m:r>
        <m:sSub>
          <m:e>
            <m:r>
              <m:t>v</m:t>
            </m:r>
          </m:e>
          <m:sub>
            <m:r>
              <m:t>i</m:t>
            </m:r>
          </m:sub>
        </m:sSub>
      </m:oMath>
      <w:r>
        <w:t xml:space="preserve">): Perde quando</w:t>
      </w:r>
      <w:r>
        <w:t xml:space="preserve"> </w:t>
      </w:r>
      <m:oMath>
        <m:sSubSup>
          <m:e>
            <m:r>
              <m:t>b</m:t>
            </m:r>
          </m:e>
          <m:sub>
            <m:r>
              <m:t>i</m:t>
            </m:r>
          </m:sub>
          <m:sup>
            <m:r>
              <m:rPr>
                <m:sty m:val="p"/>
              </m:rPr>
              <m:t>′</m:t>
            </m:r>
          </m:sup>
        </m:sSubSup>
        <m:r>
          <m:rPr>
            <m:sty m:val="p"/>
          </m:rPr>
          <m:t>&lt;</m:t>
        </m:r>
        <m:sSubSup>
          <m:e>
            <m:r>
              <m:t>b</m:t>
            </m:r>
          </m:e>
          <m:sub>
            <m:r>
              <m:rPr>
                <m:sty m:val="p"/>
              </m:rPr>
              <m:t>(</m:t>
            </m:r>
            <m:r>
              <m:t>1</m:t>
            </m:r>
            <m:r>
              <m:rPr>
                <m:sty m:val="p"/>
              </m:rPr>
              <m:t>)</m:t>
            </m:r>
          </m:sub>
          <m:sup>
            <m:r>
              <m:rPr>
                <m:sty m:val="p"/>
              </m:rPr>
              <m:t>−</m:t>
            </m:r>
            <m:r>
              <m:t>i</m:t>
            </m:r>
          </m:sup>
        </m:sSubSup>
        <m:r>
          <m:rPr>
            <m:sty m:val="p"/>
          </m:rPr>
          <m:t>&lt;</m:t>
        </m:r>
        <m:sSub>
          <m:e>
            <m:r>
              <m:t>v</m:t>
            </m:r>
          </m:e>
          <m:sub>
            <m:r>
              <m:t>i</m:t>
            </m:r>
          </m:sub>
        </m:sSub>
      </m:oMath>
      <w:r>
        <w:t xml:space="preserve"> </w:t>
      </w:r>
      <w:r>
        <w:t xml:space="preserve">— desiste de lucro positivo.</w:t>
      </w:r>
    </w:p>
    <w:p>
      <w:pPr>
        <w:pStyle w:val="BlockText"/>
      </w:pPr>
      <w:r>
        <w:t xml:space="preserve">Portanto,</w:t>
      </w:r>
      <w:r>
        <w:t xml:space="preserve"> </w:t>
      </w:r>
      <m:oMath>
        <m:sSub>
          <m:e>
            <m:r>
              <m:t>b</m:t>
            </m:r>
          </m:e>
          <m:sub>
            <m:r>
              <m:t>i</m:t>
            </m:r>
          </m:sub>
        </m:sSub>
        <m:r>
          <m:rPr>
            <m:sty m:val="p"/>
          </m:rPr>
          <m:t>=</m:t>
        </m:r>
        <m:sSub>
          <m:e>
            <m:r>
              <m:t>v</m:t>
            </m:r>
          </m:e>
          <m:sub>
            <m:r>
              <m:t>i</m:t>
            </m:r>
          </m:sub>
        </m:sSub>
      </m:oMath>
      <w:r>
        <w:t xml:space="preserve"> </w:t>
      </w:r>
      <w:r>
        <w:t xml:space="preserve">é fracamente dominante.</w:t>
      </w:r>
      <w:r>
        <w:t xml:space="preserve"> </w:t>
      </w:r>
      <m:oMath>
        <m:r>
          <m:rPr>
            <m:sty m:val="p"/>
          </m:rPr>
          <m:t>◼</m:t>
        </m:r>
      </m:oMath>
    </w:p>
    <w:p>
      <w:pPr>
        <w:pStyle w:val="FirstParagraph"/>
      </w:pPr>
      <w:r>
        <w:t xml:space="preserve">No gráfico interativo abaixo, experimente o leilão de Vickrey: ajuste seu valor, seu lance e o lance rival. Observe que o payoff depende do lance rival, mas a estratégia ótima (lançar o valor) não.</w:t>
      </w:r>
    </w:p>
    <w:p>
      <w:pPr>
        <w:pStyle w:val="BodyText"/>
      </w:pPr>
      <w:r>
        <w:t xml:space="preserve">[FIGURA INTERATIVA: /micro-book/graficos/cap09c/leilao-segundo-preco.html — versao interativa disponivel online]</w:t>
      </w:r>
    </w:p>
    <w:p>
      <w:pPr>
        <w:pStyle w:val="BodyText"/>
      </w:pPr>
      <w:r>
        <w:rPr>
          <w:b/>
          <w:bCs/>
        </w:rPr>
        <w:t xml:space="preserve">Figura 9c.2 — Leilão de Vickrey.</w:t>
      </w:r>
      <w:r>
        <w:t xml:space="preserve"> </w:t>
      </w:r>
      <w:r>
        <w:t xml:space="preserve">O payoff (azul) é uma função degrau no lance rival: ganha</w:t>
      </w:r>
      <w:r>
        <w:t xml:space="preserve"> </w:t>
      </w:r>
      <m:oMath>
        <m:sSub>
          <m:e>
            <m:r>
              <m:t>v</m:t>
            </m:r>
          </m:e>
          <m:sub>
            <m:r>
              <m:t>i</m:t>
            </m:r>
          </m:sub>
        </m:sSub>
        <m:r>
          <m:rPr>
            <m:sty m:val="p"/>
          </m:rPr>
          <m:t>−</m:t>
        </m:r>
        <m:sSub>
          <m:e>
            <m:r>
              <m:t>b</m:t>
            </m:r>
          </m:e>
          <m:sub>
            <m:r>
              <m:rPr>
                <m:sty m:val="p"/>
              </m:rPr>
              <m:t>−</m:t>
            </m:r>
            <m:r>
              <m:t>i</m:t>
            </m:r>
          </m:sub>
        </m:sSub>
      </m:oMath>
      <w:r>
        <w:t xml:space="preserve"> </w:t>
      </w:r>
      <w:r>
        <w:t xml:space="preserve">se</w:t>
      </w:r>
      <w:r>
        <w:t xml:space="preserve"> </w:t>
      </w:r>
      <m:oMath>
        <m:sSub>
          <m:e>
            <m:r>
              <m:t>b</m:t>
            </m:r>
          </m:e>
          <m:sub>
            <m:r>
              <m:t>i</m:t>
            </m:r>
          </m:sub>
        </m:sSub>
        <m:r>
          <m:rPr>
            <m:sty m:val="p"/>
          </m:rPr>
          <m:t>&gt;</m:t>
        </m:r>
        <m:sSub>
          <m:e>
            <m:r>
              <m:t>b</m:t>
            </m:r>
          </m:e>
          <m:sub>
            <m:r>
              <m:rPr>
                <m:sty m:val="p"/>
              </m:rPr>
              <m:t>−</m:t>
            </m:r>
            <m:r>
              <m:t>i</m:t>
            </m:r>
          </m:sub>
        </m:sSub>
      </m:oMath>
      <w:r>
        <w:t xml:space="preserve">, zero caso contrário. Como o payoff ao ganhar não depende de</w:t>
      </w:r>
      <w:r>
        <w:t xml:space="preserve"> </w:t>
      </w:r>
      <m:oMath>
        <m:sSub>
          <m:e>
            <m:r>
              <m:t>b</m:t>
            </m:r>
          </m:e>
          <m:sub>
            <m:r>
              <m:t>i</m:t>
            </m:r>
          </m:sub>
        </m:sSub>
      </m:oMath>
      <w:r>
        <w:t xml:space="preserve">, lançar</w:t>
      </w:r>
      <w:r>
        <w:t xml:space="preserve"> </w:t>
      </w:r>
      <m:oMath>
        <m:sSub>
          <m:e>
            <m:r>
              <m:t>b</m:t>
            </m:r>
          </m:e>
          <m:sub>
            <m:r>
              <m:t>i</m:t>
            </m:r>
          </m:sub>
        </m:sSub>
        <m:r>
          <m:rPr>
            <m:sty m:val="p"/>
          </m:rPr>
          <m:t>=</m:t>
        </m:r>
        <m:sSub>
          <m:e>
            <m:r>
              <m:t>v</m:t>
            </m:r>
          </m:e>
          <m:sub>
            <m:r>
              <m:t>i</m:t>
            </m:r>
          </m:sub>
        </m:sSub>
      </m:oMath>
      <w:r>
        <w:t xml:space="preserve"> </w:t>
      </w:r>
      <w:r>
        <w:t xml:space="preserve">é sempre (fracamente) ótimo.</w:t>
      </w:r>
    </w:p>
    <w:p>
      <w:pPr>
        <w:pStyle w:val="BodyText"/>
      </w:pPr>
      <w:r>
        <w:t xml:space="preserve">No leilão de Vickrey, portanto, a verdade é ótima independentemente do que os outros fazem. A elegância dessa propriedade não pode ser subestimada: o licitante não precisa se preocupar com quantos concorrentes tem, quais são suas distribuições de valor, ou se eles são racionais. A estratégia ótima é a mesma em todos os cenários — lançar o valor verdadeiro. Essa robustez é a razão pela qual o leilão de segundo preço é o ponto de partida natural para a teoria. Mas e quando o vencedor paga seu</w:t>
      </w:r>
      <w:r>
        <w:t xml:space="preserve"> </w:t>
      </w:r>
      <w:r>
        <w:rPr>
          <w:i/>
          <w:iCs/>
        </w:rPr>
        <w:t xml:space="preserve">próprio</w:t>
      </w:r>
      <w:r>
        <w:t xml:space="preserve"> </w:t>
      </w:r>
      <w:r>
        <w:t xml:space="preserve">lance? Nesse caso, lançar o valor verdadeiro seria desastroso, e a estratégia ótima exige</w:t>
      </w:r>
      <w:r>
        <w:t xml:space="preserve"> </w:t>
      </w:r>
      <w:r>
        <w:rPr>
          <w:i/>
          <w:iCs/>
        </w:rPr>
        <w:t xml:space="preserve">sombreamento</w:t>
      </w:r>
      <w:r>
        <w:t xml:space="preserve">.</w:t>
      </w:r>
    </w:p>
    <w:p>
      <w:pPr>
        <w:pStyle w:val="BodyText"/>
      </w:pPr>
      <w:r>
        <w:rPr>
          <w:b/>
          <w:bCs/>
        </w:rPr>
        <w:t xml:space="preserve">Leilão de primeiro preço:</w:t>
      </w:r>
      <w:r>
        <w:t xml:space="preserve"> </w:t>
      </w:r>
      <w:r>
        <w:t xml:space="preserve">O vencedor paga seu próprio lance. BNE simétrico com</w:t>
      </w:r>
      <w:r>
        <w:t xml:space="preserve"> </w:t>
      </w:r>
      <m:oMath>
        <m:sSub>
          <m:e>
            <m:r>
              <m:t>v</m:t>
            </m:r>
          </m:e>
          <m:sub>
            <m:r>
              <m:t>i</m:t>
            </m:r>
          </m:sub>
        </m:sSub>
        <m:r>
          <m:rPr>
            <m:sty m:val="p"/>
          </m:rPr>
          <m:t>∼</m:t>
        </m:r>
        <m:r>
          <m:t>U</m:t>
        </m:r>
        <m:r>
          <m:rPr>
            <m:sty m:val="p"/>
          </m:rPr>
          <m:t>[</m:t>
        </m:r>
        <m:r>
          <m:t>0</m:t>
        </m:r>
        <m:r>
          <m:rPr>
            <m:sty m:val="p"/>
          </m:rPr>
          <m:t>,</m:t>
        </m:r>
        <m:acc>
          <m:accPr>
            <m:chr m:val="‾"/>
          </m:accPr>
          <m:e>
            <m:r>
              <m:t>v</m:t>
            </m:r>
          </m:e>
        </m:acc>
        <m:r>
          <m:rPr>
            <m:sty m:val="p"/>
          </m:rPr>
          <m:t>]</m:t>
        </m:r>
      </m:oMath>
      <w:r>
        <w:t xml:space="preserve">:</w:t>
      </w:r>
    </w:p>
    <w:p>
      <w:pPr>
        <w:pStyle w:val="BodyText"/>
      </w:pPr>
      <m:oMathPara>
        <m:oMathParaPr>
          <m:jc m:val="center"/>
        </m:oMathParaPr>
        <m:oMath>
          <m:r>
            <m:t>b</m:t>
          </m:r>
          <m:r>
            <m:rPr>
              <m:sty m:val="p"/>
            </m:rPr>
            <m:t>(</m:t>
          </m:r>
          <m:r>
            <m:t>v</m:t>
          </m:r>
          <m:r>
            <m:rPr>
              <m:sty m:val="p"/>
            </m:rPr>
            <m:t>)</m:t>
          </m:r>
          <m:r>
            <m:rPr>
              <m:sty m:val="p"/>
            </m:rPr>
            <m:t>=</m:t>
          </m:r>
          <m:r>
            <m:t>v</m:t>
          </m:r>
          <m:r>
            <m:rPr>
              <m:sty m:val="p"/>
            </m:rPr>
            <m:t>⋅</m:t>
          </m:r>
          <m:f>
            <m:fPr>
              <m:type m:val="bar"/>
            </m:fPr>
            <m:num>
              <m:r>
                <m:t>N</m:t>
              </m:r>
              <m:r>
                <m:rPr>
                  <m:sty m:val="p"/>
                </m:rPr>
                <m:t>−</m:t>
              </m:r>
              <m:r>
                <m:t>1</m:t>
              </m:r>
            </m:num>
            <m:den>
              <m:r>
                <m:t>N</m:t>
              </m:r>
            </m:den>
          </m:f>
        </m:oMath>
      </m:oMathPara>
    </w:p>
    <w:p>
      <w:pPr>
        <w:pStyle w:val="FirstParagraph"/>
      </w:pPr>
      <w:r>
        <w:t xml:space="preserve">Pela equação Eq. (eq:9c.3), cada licitante</w:t>
      </w:r>
      <w:r>
        <w:t xml:space="preserve"> </w:t>
      </w:r>
      <w:r>
        <w:t xml:space="preserve">“sombreia”</w:t>
      </w:r>
      <w:r>
        <w:t xml:space="preserve"> </w:t>
      </w:r>
      <w:r>
        <w:t xml:space="preserve">seu lance por um fator</w:t>
      </w:r>
      <w:r>
        <w:t xml:space="preserve"> </w:t>
      </w:r>
      <m:oMath>
        <m:r>
          <m:rPr>
            <m:sty m:val="p"/>
          </m:rPr>
          <m:t>(</m:t>
        </m:r>
        <m:r>
          <m:t>N</m:t>
        </m:r>
        <m:r>
          <m:rPr>
            <m:sty m:val="p"/>
          </m:rPr>
          <m:t>−</m:t>
        </m:r>
        <m:r>
          <m:t>1</m:t>
        </m:r>
        <m:r>
          <m:rPr>
            <m:sty m:val="p"/>
          </m:rPr>
          <m:t>)</m:t>
        </m:r>
        <m:r>
          <m:rPr>
            <m:sty m:val="p"/>
          </m:rPr>
          <m:t>/</m:t>
        </m:r>
        <m:r>
          <m:t>N</m:t>
        </m:r>
      </m:oMath>
      <w:r>
        <w:t xml:space="preserve">. Com 2 licitantes, o lance é metade do valor; com muitos, converge para o valor verdadeiro. Com mais concorrentes, o risco de perder o leilão aumenta e o sombreamento diminui — no limite, com infinitos licitantes, cada um lança (quase) seu valor verdadeiro.</w:t>
      </w:r>
    </w:p>
    <w:p>
      <w:pPr>
        <w:pStyle w:val="BodyText"/>
      </w:pPr>
      <w:r>
        <w:t xml:space="preserve">A intuição por trás do sombreamento é fundamental: no leilão de primeiro preço, o licitante enfrenta um</w:t>
      </w:r>
      <w:r>
        <w:t xml:space="preserve"> </w:t>
      </w:r>
      <w:r>
        <w:rPr>
          <w:i/>
          <w:iCs/>
        </w:rPr>
        <w:t xml:space="preserve">trade-off</w:t>
      </w:r>
      <w:r>
        <w:t xml:space="preserve"> </w:t>
      </w:r>
      <w:r>
        <w:t xml:space="preserve">entre a probabilidade de ganhar e o lucro condicional à vitória. Lançar mais alto aumenta a chance de ganhar, mas reduz o ganho se vencer. A fórmula do BNE simétrico resolve esse trade-off de forma ótima: o sombreamento ótimo é exatamente proporcional ao valor, com fator</w:t>
      </w:r>
      <w:r>
        <w:t xml:space="preserve"> </w:t>
      </w:r>
      <m:oMath>
        <m:r>
          <m:rPr>
            <m:sty m:val="p"/>
          </m:rPr>
          <m:t>(</m:t>
        </m:r>
        <m:r>
          <m:t>N</m:t>
        </m:r>
        <m:r>
          <m:rPr>
            <m:sty m:val="p"/>
          </m:rPr>
          <m:t>−</m:t>
        </m:r>
        <m:r>
          <m:t>1</m:t>
        </m:r>
        <m:r>
          <m:rPr>
            <m:sty m:val="p"/>
          </m:rPr>
          <m:t>)</m:t>
        </m:r>
        <m:r>
          <m:rPr>
            <m:sty m:val="p"/>
          </m:rPr>
          <m:t>/</m:t>
        </m:r>
        <m:r>
          <m:t>N</m:t>
        </m:r>
      </m:oMath>
      <w:r>
        <w:t xml:space="preserve"> </w:t>
      </w:r>
      <w:r>
        <w:t xml:space="preserve">que cresce em</w:t>
      </w:r>
      <w:r>
        <w:t xml:space="preserve"> </w:t>
      </w:r>
      <m:oMath>
        <m:r>
          <m:t>N</m:t>
        </m:r>
      </m:oMath>
      <w:r>
        <w:t xml:space="preserve">. Essa elegância matemática reflete uma lógica econômica profunda — o licitante</w:t>
      </w:r>
      <w:r>
        <w:t xml:space="preserve"> </w:t>
      </w:r>
      <w:r>
        <w:t xml:space="preserve">“compra”</w:t>
      </w:r>
      <w:r>
        <w:t xml:space="preserve"> </w:t>
      </w:r>
      <w:r>
        <w:t xml:space="preserve">probabilidade de vitória ao custo de lucro esperado, e o equilíbrio iguala os benefícios marginais de ambos os lados.</w:t>
      </w:r>
    </w:p>
    <w:p>
      <w:pPr>
        <w:pStyle w:val="BodyText"/>
      </w:pPr>
      <w:r>
        <w:t xml:space="preserve">Para derivar a equação Eq. (eq:9c.3), considere o problema do licitante</w:t>
      </w:r>
      <w:r>
        <w:t xml:space="preserve"> </w:t>
      </w:r>
      <m:oMath>
        <m:r>
          <m:t>i</m:t>
        </m:r>
      </m:oMath>
      <w:r>
        <w:t xml:space="preserve"> </w:t>
      </w:r>
      <w:r>
        <w:t xml:space="preserve">com valor</w:t>
      </w:r>
      <w:r>
        <w:t xml:space="preserve"> </w:t>
      </w:r>
      <m:oMath>
        <m:r>
          <m:t>v</m:t>
        </m:r>
      </m:oMath>
      <w:r>
        <w:t xml:space="preserve"> </w:t>
      </w:r>
      <w:r>
        <w:t xml:space="preserve">que escolhe o lance</w:t>
      </w:r>
      <w:r>
        <w:t xml:space="preserve"> </w:t>
      </w:r>
      <m:oMath>
        <m:r>
          <m:t>b</m:t>
        </m:r>
      </m:oMath>
      <w:r>
        <w:t xml:space="preserve">, dado que os demais</w:t>
      </w:r>
      <w:r>
        <w:t xml:space="preserve"> </w:t>
      </w:r>
      <m:oMath>
        <m:r>
          <m:t>N</m:t>
        </m:r>
        <m:r>
          <m:rPr>
            <m:sty m:val="p"/>
          </m:rPr>
          <m:t>−</m:t>
        </m:r>
        <m:r>
          <m:t>1</m:t>
        </m:r>
      </m:oMath>
      <w:r>
        <w:t xml:space="preserve"> </w:t>
      </w:r>
      <w:r>
        <w:t xml:space="preserve">licitantes usam a estratégia crescente</w:t>
      </w:r>
      <w:r>
        <w:t xml:space="preserve"> </w:t>
      </w:r>
      <m:oMath>
        <m:r>
          <m:t>β</m:t>
        </m:r>
        <m:r>
          <m:rPr>
            <m:sty m:val="p"/>
          </m:rPr>
          <m:t>(</m:t>
        </m:r>
        <m:r>
          <m:rPr>
            <m:sty m:val="p"/>
          </m:rPr>
          <m:t>⋅</m:t>
        </m:r>
        <m:r>
          <m:rPr>
            <m:sty m:val="p"/>
          </m:rPr>
          <m:t>)</m:t>
        </m:r>
      </m:oMath>
      <w:r>
        <w:t xml:space="preserve">. A probabilidade de ganhar é</w:t>
      </w:r>
      <w:r>
        <w:t xml:space="preserve"> </w:t>
      </w:r>
      <m:oMath>
        <m:r>
          <m:rPr>
            <m:sty m:val="p"/>
          </m:rPr>
          <m:t>Pr</m:t>
        </m:r>
        <m:r>
          <m:rPr>
            <m:sty m:val="p"/>
          </m:rPr>
          <m:t>(</m:t>
        </m:r>
        <m:r>
          <m:t>β</m:t>
        </m:r>
        <m:r>
          <m:rPr>
            <m:sty m:val="p"/>
          </m:rPr>
          <m:t>(</m:t>
        </m:r>
        <m:sSub>
          <m:e>
            <m:r>
              <m:t>v</m:t>
            </m:r>
          </m:e>
          <m:sub>
            <m:r>
              <m:t>j</m:t>
            </m:r>
          </m:sub>
        </m:sSub>
        <m:r>
          <m:rPr>
            <m:sty m:val="p"/>
          </m:rPr>
          <m:t>)</m:t>
        </m:r>
        <m:r>
          <m:rPr>
            <m:sty m:val="p"/>
          </m:rPr>
          <m:t>&lt;</m:t>
        </m:r>
        <m:r>
          <m:t>b</m:t>
        </m:r>
        <m:r>
          <m:t> </m:t>
        </m:r>
        <m:r>
          <m:rPr>
            <m:sty m:val="p"/>
          </m:rPr>
          <m:t>∀</m:t>
        </m:r>
        <m:r>
          <m:t>j</m:t>
        </m:r>
        <m:r>
          <m:rPr>
            <m:sty m:val="p"/>
          </m:rPr>
          <m:t>≠</m:t>
        </m:r>
        <m:r>
          <m:t>i</m:t>
        </m:r>
        <m:r>
          <m:rPr>
            <m:sty m:val="p"/>
          </m:rPr>
          <m:t>)</m:t>
        </m:r>
        <m:r>
          <m:rPr>
            <m:sty m:val="p"/>
          </m:rPr>
          <m:t>=</m:t>
        </m:r>
        <m:r>
          <m:t>F</m:t>
        </m:r>
        <m:r>
          <m:rPr>
            <m:sty m:val="p"/>
          </m:rPr>
          <m:t>(</m:t>
        </m:r>
        <m:sSup>
          <m:e>
            <m:r>
              <m:t>β</m:t>
            </m:r>
          </m:e>
          <m:sup>
            <m:r>
              <m:rPr>
                <m:sty m:val="p"/>
              </m:rPr>
              <m:t>−</m:t>
            </m:r>
            <m:r>
              <m:t>1</m:t>
            </m:r>
          </m:sup>
        </m:sSup>
        <m:r>
          <m:rPr>
            <m:sty m:val="p"/>
          </m:rPr>
          <m:t>(</m:t>
        </m:r>
        <m:r>
          <m:t>b</m:t>
        </m:r>
        <m:r>
          <m:rPr>
            <m:sty m:val="p"/>
          </m:rPr>
          <m:t>)</m:t>
        </m:r>
        <m:sSup>
          <m:e>
            <m:r>
              <m:rPr>
                <m:sty m:val="p"/>
              </m:rPr>
              <m:t>)</m:t>
            </m:r>
          </m:e>
          <m:sup>
            <m:r>
              <m:t>N</m:t>
            </m:r>
            <m:r>
              <m:rPr>
                <m:sty m:val="p"/>
              </m:rPr>
              <m:t>−</m:t>
            </m:r>
            <m:r>
              <m:t>1</m:t>
            </m:r>
          </m:sup>
        </m:sSup>
      </m:oMath>
      <w:r>
        <w:t xml:space="preserve">. Com</w:t>
      </w:r>
      <w:r>
        <w:t xml:space="preserve"> </w:t>
      </w:r>
      <m:oMath>
        <m:r>
          <m:t>F</m:t>
        </m:r>
      </m:oMath>
      <w:r>
        <w:t xml:space="preserve"> </w:t>
      </w:r>
      <w:r>
        <w:t xml:space="preserve">uniforme em</w:t>
      </w:r>
      <w:r>
        <w:t xml:space="preserve"> </w:t>
      </w:r>
      <m:oMath>
        <m:r>
          <m:rPr>
            <m:sty m:val="p"/>
          </m:rPr>
          <m:t>[</m:t>
        </m:r>
        <m:r>
          <m:t>0</m:t>
        </m:r>
        <m:r>
          <m:rPr>
            <m:sty m:val="p"/>
          </m:rPr>
          <m:t>,</m:t>
        </m:r>
        <m:acc>
          <m:accPr>
            <m:chr m:val="‾"/>
          </m:accPr>
          <m:e>
            <m:r>
              <m:t>v</m:t>
            </m:r>
          </m:e>
        </m:acc>
        <m:r>
          <m:rPr>
            <m:sty m:val="p"/>
          </m:rPr>
          <m:t>]</m:t>
        </m:r>
      </m:oMath>
      <w:r>
        <w:t xml:space="preserve">, o problema se simplifica consideravelmente:</w:t>
      </w:r>
    </w:p>
    <w:p>
      <w:pPr>
        <w:pStyle w:val="BodyText"/>
      </w:pPr>
      <m:oMathPara>
        <m:oMathParaPr>
          <m:jc m:val="center"/>
        </m:oMathParaPr>
        <m:oMath>
          <m:limLow>
            <m:e>
              <m:r>
                <m:rPr>
                  <m:sty m:val="p"/>
                </m:rPr>
                <m:t>max</m:t>
              </m:r>
            </m:e>
            <m:lim>
              <m:r>
                <m:t>b</m:t>
              </m:r>
            </m:lim>
          </m:limLow>
          <m:r>
            <m:t> </m:t>
          </m:r>
          <m:r>
            <m:rPr>
              <m:sty m:val="p"/>
            </m:rPr>
            <m:t>(</m:t>
          </m:r>
          <m:r>
            <m:t>v</m:t>
          </m:r>
          <m:r>
            <m:rPr>
              <m:sty m:val="p"/>
            </m:rPr>
            <m:t>−</m:t>
          </m:r>
          <m:r>
            <m:t>b</m:t>
          </m:r>
          <m:r>
            <m:rPr>
              <m:sty m:val="p"/>
            </m:rPr>
            <m:t>)</m:t>
          </m:r>
          <m:r>
            <m:rPr>
              <m:sty m:val="p"/>
            </m:rPr>
            <m:t>⋅</m:t>
          </m:r>
          <m:sSup>
            <m:e>
              <m:d>
                <m:dPr>
                  <m:begChr m:val="("/>
                  <m:sepChr m:val=""/>
                  <m:endChr m:val=")"/>
                  <m:grow/>
                </m:dPr>
                <m:e>
                  <m:f>
                    <m:fPr>
                      <m:type m:val="bar"/>
                    </m:fPr>
                    <m:num>
                      <m:sSup>
                        <m:e>
                          <m:r>
                            <m:t>β</m:t>
                          </m:r>
                        </m:e>
                        <m:sup>
                          <m:r>
                            <m:rPr>
                              <m:sty m:val="p"/>
                            </m:rPr>
                            <m:t>−</m:t>
                          </m:r>
                          <m:r>
                            <m:t>1</m:t>
                          </m:r>
                        </m:sup>
                      </m:sSup>
                      <m:r>
                        <m:rPr>
                          <m:sty m:val="p"/>
                        </m:rPr>
                        <m:t>(</m:t>
                      </m:r>
                      <m:r>
                        <m:t>b</m:t>
                      </m:r>
                      <m:r>
                        <m:rPr>
                          <m:sty m:val="p"/>
                        </m:rPr>
                        <m:t>)</m:t>
                      </m:r>
                    </m:num>
                    <m:den>
                      <m:acc>
                        <m:accPr>
                          <m:chr m:val="‾"/>
                        </m:accPr>
                        <m:e>
                          <m:r>
                            <m:t>v</m:t>
                          </m:r>
                        </m:e>
                      </m:acc>
                    </m:den>
                  </m:f>
                </m:e>
              </m:d>
            </m:e>
            <m:sup>
              <m:r>
                <m:t>N</m:t>
              </m:r>
              <m:r>
                <m:rPr>
                  <m:sty m:val="p"/>
                </m:rPr>
                <m:t>−</m:t>
              </m:r>
              <m:r>
                <m:t>1</m:t>
              </m:r>
            </m:sup>
          </m:sSup>
        </m:oMath>
      </m:oMathPara>
    </w:p>
    <w:p>
      <w:pPr>
        <w:pStyle w:val="FirstParagraph"/>
      </w:pPr>
      <w:r>
        <w:t xml:space="preserve">No equilíbrio simétrico,</w:t>
      </w:r>
      <w:r>
        <w:t xml:space="preserve"> </w:t>
      </w:r>
      <m:oMath>
        <m:sSup>
          <m:e>
            <m:r>
              <m:t>β</m:t>
            </m:r>
          </m:e>
          <m:sup>
            <m:r>
              <m:rPr>
                <m:sty m:val="p"/>
              </m:rPr>
              <m:t>−</m:t>
            </m:r>
            <m:r>
              <m:t>1</m:t>
            </m:r>
          </m:sup>
        </m:sSup>
        <m:r>
          <m:rPr>
            <m:sty m:val="p"/>
          </m:rPr>
          <m:t>(</m:t>
        </m:r>
        <m:r>
          <m:t>b</m:t>
        </m:r>
        <m:r>
          <m:rPr>
            <m:sty m:val="p"/>
          </m:rPr>
          <m:t>)</m:t>
        </m:r>
        <m:r>
          <m:rPr>
            <m:sty m:val="p"/>
          </m:rPr>
          <m:t>=</m:t>
        </m:r>
        <m:r>
          <m:t>v</m:t>
        </m:r>
      </m:oMath>
      <w:r>
        <w:t xml:space="preserve"> </w:t>
      </w:r>
      <w:r>
        <w:t xml:space="preserve">quando</w:t>
      </w:r>
      <w:r>
        <w:t xml:space="preserve"> </w:t>
      </w:r>
      <m:oMath>
        <m:r>
          <m:t>b</m:t>
        </m:r>
        <m:r>
          <m:rPr>
            <m:sty m:val="p"/>
          </m:rPr>
          <m:t>=</m:t>
        </m:r>
        <m:r>
          <m:t>β</m:t>
        </m:r>
        <m:r>
          <m:rPr>
            <m:sty m:val="p"/>
          </m:rPr>
          <m:t>(</m:t>
        </m:r>
        <m:r>
          <m:t>v</m:t>
        </m:r>
        <m:r>
          <m:rPr>
            <m:sty m:val="p"/>
          </m:rPr>
          <m:t>)</m:t>
        </m:r>
      </m:oMath>
      <w:r>
        <w:t xml:space="preserve">. A condição de primeira ordem, após alguma álgebra, produz a equação diferencial cuja solução (com condição de fronteira</w:t>
      </w:r>
      <w:r>
        <w:t xml:space="preserve"> </w:t>
      </w:r>
      <m:oMath>
        <m:r>
          <m:t>β</m:t>
        </m:r>
        <m:r>
          <m:rPr>
            <m:sty m:val="p"/>
          </m:rPr>
          <m:t>(</m:t>
        </m:r>
        <m:r>
          <m:t>0</m:t>
        </m:r>
        <m:r>
          <m:rPr>
            <m:sty m:val="p"/>
          </m:rPr>
          <m:t>)</m:t>
        </m:r>
        <m:r>
          <m:rPr>
            <m:sty m:val="p"/>
          </m:rPr>
          <m:t>=</m:t>
        </m:r>
        <m:r>
          <m:t>0</m:t>
        </m:r>
      </m:oMath>
      <w:r>
        <w:t xml:space="preserve">) é exatamente Eq. (eq:9c.3). A derivação completa para distribuições gerais aparece no Exercício 9c.8.</w:t>
      </w:r>
    </w:p>
    <w:p>
      <w:pPr>
        <w:pStyle w:val="BodyText"/>
      </w:pPr>
      <w:r>
        <w:rPr>
          <w:b/>
          <w:bCs/>
        </w:rPr>
        <w:t xml:space="preserve">Receita esperada:</w:t>
      </w:r>
      <w:r>
        <w:t xml:space="preserve"> </w:t>
      </w:r>
      <w:r>
        <w:t xml:space="preserve">Com</w:t>
      </w:r>
      <w:r>
        <w:t xml:space="preserve"> </w:t>
      </w:r>
      <m:oMath>
        <m:sSub>
          <m:e>
            <m:r>
              <m:t>v</m:t>
            </m:r>
          </m:e>
          <m:sub>
            <m:r>
              <m:t>i</m:t>
            </m:r>
          </m:sub>
        </m:sSub>
        <m:r>
          <m:rPr>
            <m:sty m:val="p"/>
          </m:rPr>
          <m:t>∼</m:t>
        </m:r>
        <m:r>
          <m:t>U</m:t>
        </m:r>
        <m:r>
          <m:rPr>
            <m:sty m:val="p"/>
          </m:rPr>
          <m:t>[</m:t>
        </m:r>
        <m:r>
          <m:t>0</m:t>
        </m:r>
        <m:r>
          <m:rPr>
            <m:sty m:val="p"/>
          </m:rPr>
          <m:t>,</m:t>
        </m:r>
        <m:r>
          <m:t>1</m:t>
        </m:r>
        <m:r>
          <m:rPr>
            <m:sty m:val="p"/>
          </m:rPr>
          <m:t>]</m:t>
        </m:r>
      </m:oMath>
      <w:r>
        <w:t xml:space="preserve">:</w:t>
      </w:r>
    </w:p>
    <w:p>
      <w:pPr>
        <w:pStyle w:val="BodyText"/>
      </w:pPr>
      <m:oMathPara>
        <m:oMathParaPr>
          <m:jc m:val="center"/>
        </m:oMathParaPr>
        <m:oMath>
          <m:r>
            <m:t>E</m:t>
          </m:r>
          <m:r>
            <m:rPr>
              <m:sty m:val="p"/>
            </m:rPr>
            <m:t>[</m:t>
          </m:r>
          <m:r>
            <m:rPr>
              <m:nor/>
              <m:sty m:val="p"/>
            </m:rPr>
            <m:t>Receita</m:t>
          </m:r>
          <m:r>
            <m:rPr>
              <m:sty m:val="p"/>
            </m:rPr>
            <m:t>]</m:t>
          </m:r>
          <m:r>
            <m:rPr>
              <m:sty m:val="p"/>
            </m:rPr>
            <m:t>=</m:t>
          </m:r>
          <m:f>
            <m:fPr>
              <m:type m:val="bar"/>
            </m:fPr>
            <m:num>
              <m:r>
                <m:t>N</m:t>
              </m:r>
              <m:r>
                <m:rPr>
                  <m:sty m:val="p"/>
                </m:rPr>
                <m:t>−</m:t>
              </m:r>
              <m:r>
                <m:t>1</m:t>
              </m:r>
            </m:num>
            <m:den>
              <m:r>
                <m:t>N</m:t>
              </m:r>
              <m:r>
                <m:rPr>
                  <m:sty m:val="p"/>
                </m:rPr>
                <m:t>+</m:t>
              </m:r>
              <m:r>
                <m:t>1</m:t>
              </m:r>
            </m:den>
          </m:f>
        </m:oMath>
      </m:oMathPara>
    </w:p>
    <w:p>
      <w:pPr>
        <w:pStyle w:val="FirstParagraph"/>
      </w:pPr>
      <w:r>
        <w:t xml:space="preserve">[FIGURA INTERATIVA: /micro-book/graficos/cap09c/leilao-primeiro-preco.html — versao interativa disponivel online]</w:t>
      </w:r>
    </w:p>
    <w:p>
      <w:pPr>
        <w:pStyle w:val="BodyText"/>
      </w:pPr>
      <w:r>
        <w:rPr>
          <w:b/>
          <w:bCs/>
        </w:rPr>
        <w:t xml:space="preserve">Figura 9c.2 — Leilão de primeiro preço com N licitantes.</w:t>
      </w:r>
      <w:r>
        <w:t xml:space="preserve"> </w:t>
      </w:r>
      <w:r>
        <w:t xml:space="preserve">A função de lance ótimo</w:t>
      </w:r>
      <w:r>
        <w:t xml:space="preserve"> </w:t>
      </w:r>
      <m:oMath>
        <m:r>
          <m:t>b</m:t>
        </m:r>
        <m:r>
          <m:rPr>
            <m:sty m:val="p"/>
          </m:rPr>
          <m:t>(</m:t>
        </m:r>
        <m:r>
          <m:t>v</m:t>
        </m:r>
        <m:r>
          <m:rPr>
            <m:sty m:val="p"/>
          </m:rPr>
          <m:t>)</m:t>
        </m:r>
        <m:r>
          <m:rPr>
            <m:sty m:val="p"/>
          </m:rPr>
          <m:t>=</m:t>
        </m:r>
        <m:r>
          <m:t>v</m:t>
        </m:r>
        <m:r>
          <m:rPr>
            <m:sty m:val="p"/>
          </m:rPr>
          <m:t>⋅</m:t>
        </m:r>
        <m:r>
          <m:rPr>
            <m:sty m:val="p"/>
          </m:rPr>
          <m:t>(</m:t>
        </m:r>
        <m:r>
          <m:t>N</m:t>
        </m:r>
        <m:r>
          <m:rPr>
            <m:sty m:val="p"/>
          </m:rPr>
          <m:t>−</m:t>
        </m:r>
        <m:r>
          <m:t>1</m:t>
        </m:r>
        <m:r>
          <m:rPr>
            <m:sty m:val="p"/>
          </m:rPr>
          <m:t>)</m:t>
        </m:r>
        <m:r>
          <m:rPr>
            <m:sty m:val="p"/>
          </m:rPr>
          <m:t>/</m:t>
        </m:r>
        <m:r>
          <m:t>N</m:t>
        </m:r>
      </m:oMath>
      <w:r>
        <w:t xml:space="preserve"> </w:t>
      </w:r>
      <w:r>
        <w:t xml:space="preserve">mostra o sombreamento (</w:t>
      </w:r>
      <w:r>
        <w:rPr>
          <w:i/>
          <w:iCs/>
        </w:rPr>
        <w:t xml:space="preserve">bid shading</w:t>
      </w:r>
      <w:r>
        <w:t xml:space="preserve">): cada licitante lança abaixo do seu valor verdadeiro. Ajuste</w:t>
      </w:r>
      <w:r>
        <w:t xml:space="preserve"> </w:t>
      </w:r>
      <m:oMath>
        <m:r>
          <m:t>N</m:t>
        </m:r>
      </m:oMath>
      <w:r>
        <w:t xml:space="preserve"> </w:t>
      </w:r>
      <w:r>
        <w:t xml:space="preserve">para ver como o sombreamento diminui com mais concorrentes.</w:t>
      </w:r>
    </w:p>
    <w:bookmarkEnd w:id="571"/>
    <w:bookmarkStart w:id="572" w:name="teorema-da-equivalência-de-receita"/>
    <w:p>
      <w:pPr>
        <w:pStyle w:val="Heading4"/>
      </w:pPr>
      <w:r>
        <w:t xml:space="preserve">Teorema da Equivalência de Receita</w:t>
      </w:r>
    </w:p>
    <w:p>
      <w:pPr>
        <w:pStyle w:val="FirstParagraph"/>
      </w:pPr>
      <w:r>
        <w:t xml:space="preserve">Os leilões de primeiro e segundo preço parecem radicalmente distintos. No primeiro preço, o vencedor paga seu próprio lance (sombreado); no segundo preço, paga o lance do competidor mais próximo (sem sombreamento). As receitas deveriam diferir, certo? Surpreendentemente, não: sob condições bastante gerais, a receita esperada é</w:t>
      </w:r>
      <w:r>
        <w:t xml:space="preserve"> </w:t>
      </w:r>
      <w:r>
        <w:rPr>
          <w:i/>
          <w:iCs/>
        </w:rPr>
        <w:t xml:space="preserve">idêntica</w:t>
      </w:r>
      <w:r>
        <w:t xml:space="preserve"> </w:t>
      </w:r>
      <w:r>
        <w:t xml:space="preserve">em todos os formatos padrão.</w:t>
      </w:r>
    </w:p>
    <w:p>
      <w:pPr>
        <w:pStyle w:val="BlockText"/>
      </w:pPr>
      <w:r>
        <w:rPr>
          <w:b/>
          <w:bCs/>
        </w:rPr>
        <w:t xml:space="preserve">[TEOREMA] Revenue Equivalence Theorem (Myerson, 1981; Riley e Samuelson, 1981)</w:t>
      </w:r>
    </w:p>
    <w:p>
      <w:pPr>
        <w:pStyle w:val="BlockText"/>
      </w:pPr>
      <w:r>
        <w:t xml:space="preserve">Com licitantes simétricos, IPV, risco-neutros, e qualquer mecanismo que (i) atribui o objeto ao licitante com maior valor e (ii) dá payoff zero ao tipo mais baixo, a</w:t>
      </w:r>
      <w:r>
        <w:t xml:space="preserve"> </w:t>
      </w:r>
      <w:r>
        <w:rPr>
          <w:b/>
          <w:bCs/>
        </w:rPr>
        <w:t xml:space="preserve">receita esperada</w:t>
      </w:r>
      <w:r>
        <w:t xml:space="preserve"> </w:t>
      </w:r>
      <w:r>
        <w:t xml:space="preserve">do leiloeiro é a mesma.</w:t>
      </w:r>
    </w:p>
    <w:p>
      <w:pPr>
        <w:pStyle w:val="BlockText"/>
      </w:pPr>
      <w:r>
        <w:t xml:space="preserve">Consequência: leilão de 1º preço, 2º preço, inglês e holandês geram a mesma receita esperada, como confirma a equação Eq. (eq:9c.4).</w:t>
      </w:r>
    </w:p>
    <w:p>
      <w:pPr>
        <w:pStyle w:val="FirstParagraph"/>
      </w:pPr>
      <w:r>
        <w:t xml:space="preserve">A intuição por trás da equivalência de receita é uma das mais elegantes da microeconomia. Considere dois leilões que satisfazem as condições do teorema. Em ambos, o objeto vai para quem tem o maior valor — portanto, a alocação é idêntica. Agora, o payoff esperado do licitante com o menor valor possível (</w:t>
      </w:r>
      <m:oMath>
        <m:r>
          <m:t>v</m:t>
        </m:r>
        <m:r>
          <m:rPr>
            <m:sty m:val="p"/>
          </m:rPr>
          <m:t>=</m:t>
        </m:r>
        <m:r>
          <m:t>0</m:t>
        </m:r>
      </m:oMath>
      <w:r>
        <w:t xml:space="preserve">) é zero em ambos os formatos (condição de participação). Pelo</w:t>
      </w:r>
      <w:r>
        <w:t xml:space="preserve"> </w:t>
      </w:r>
      <w:r>
        <w:rPr>
          <w:i/>
          <w:iCs/>
        </w:rPr>
        <w:t xml:space="preserve">envelope theorem</w:t>
      </w:r>
      <w:r>
        <w:t xml:space="preserve">, o payoff esperado de um licitante com valor</w:t>
      </w:r>
      <w:r>
        <w:t xml:space="preserve"> </w:t>
      </w:r>
      <m:oMath>
        <m:r>
          <m:t>v</m:t>
        </m:r>
      </m:oMath>
      <w:r>
        <w:t xml:space="preserve"> </w:t>
      </w:r>
      <w:r>
        <w:t xml:space="preserve">é completamente determinado pela probabilidade de vencer — que é</w:t>
      </w:r>
      <w:r>
        <w:t xml:space="preserve"> </w:t>
      </w:r>
      <m:oMath>
        <m:r>
          <m:t>F</m:t>
        </m:r>
        <m:r>
          <m:rPr>
            <m:sty m:val="p"/>
          </m:rPr>
          <m:t>(</m:t>
        </m:r>
        <m:r>
          <m:t>v</m:t>
        </m:r>
        <m:sSup>
          <m:e>
            <m:r>
              <m:rPr>
                <m:sty m:val="p"/>
              </m:rPr>
              <m:t>)</m:t>
            </m:r>
          </m:e>
          <m:sup>
            <m:r>
              <m:t>N</m:t>
            </m:r>
            <m:r>
              <m:rPr>
                <m:sty m:val="p"/>
              </m:rPr>
              <m:t>−</m:t>
            </m:r>
            <m:r>
              <m:t>1</m:t>
            </m:r>
          </m:sup>
        </m:sSup>
      </m:oMath>
      <w:r>
        <w:t xml:space="preserve"> </w:t>
      </w:r>
      <w:r>
        <w:t xml:space="preserve">em ambos os formatos (pois a alocação é eficiente). Assim:</w:t>
      </w:r>
    </w:p>
    <w:p>
      <w:pPr>
        <w:pStyle w:val="BodyText"/>
      </w:pPr>
      <w:r>
        <w:t xml:space="preserve">$$
    \Pi(v) = \int_0^v F(t)^{N-1} \, dt
    \label{eq:9c.5} \tag{9c.5}
    $$</w:t>
      </w:r>
    </w:p>
    <w:p>
      <w:pPr>
        <w:pStyle w:val="FirstParagraph"/>
      </w:pPr>
      <w:r>
        <w:t xml:space="preserve">Como o excedente total (valor do vencedor) é o mesmo e os payoffs dos licitantes são os mesmos, a receita do leiloeiro — que é a diferença — também deve ser a mesma. O argumento formal é desenvolvido no Exercício 9c.8(c), mas a lógica é transparente: se a alocação e os payoffs dos agentes são fixados, o</w:t>
      </w:r>
      <w:r>
        <w:t xml:space="preserve"> </w:t>
      </w:r>
      <w:r>
        <w:t xml:space="preserve">“resíduo”</w:t>
      </w:r>
      <w:r>
        <w:t xml:space="preserve"> </w:t>
      </w:r>
      <w:r>
        <w:t xml:space="preserve">para o principal (leiloeiro) está determinado.</w:t>
      </w:r>
    </w:p>
    <w:p>
      <w:pPr>
        <w:pStyle w:val="BodyText"/>
      </w:pPr>
      <w:r>
        <w:t xml:space="preserve">No gráfico interativo abaixo, compare visualmente as funções de lance dos dois formatos e observe que a receita esperada é idêntica — apesar de os lances serem completamente diferentes.</w:t>
      </w:r>
    </w:p>
    <w:p>
      <w:pPr>
        <w:pStyle w:val="BodyText"/>
      </w:pPr>
      <w:r>
        <w:t xml:space="preserve">[FIGURA INTERATIVA: /micro-book/graficos/cap09c/receita-equivalente.html — versao interativa disponivel online]</w:t>
      </w:r>
    </w:p>
    <w:p>
      <w:pPr>
        <w:pStyle w:val="BodyText"/>
      </w:pPr>
      <w:r>
        <w:rPr>
          <w:b/>
          <w:bCs/>
        </w:rPr>
        <w:t xml:space="preserve">Figura 9c.3 — Equivalência de Receita.</w:t>
      </w:r>
      <w:r>
        <w:t xml:space="preserve"> </w:t>
      </w:r>
      <w:r>
        <w:t xml:space="preserve">Painel superior: funções de lance — no 1º preço (vermelho), o lance é sombreado; no 2º preço (azul), coincide com o valor. Painel inferior: a receita esperada</w:t>
      </w:r>
      <w:r>
        <w:t xml:space="preserve"> </w:t>
      </w:r>
      <m:oMath>
        <m:r>
          <m:t>E</m:t>
        </m:r>
        <m:r>
          <m:rPr>
            <m:sty m:val="p"/>
          </m:rPr>
          <m:t>[</m:t>
        </m:r>
        <m:r>
          <m:t>R</m:t>
        </m:r>
        <m:r>
          <m:t>e</m:t>
        </m:r>
        <m:r>
          <m:t>v</m:t>
        </m:r>
        <m:r>
          <m:rPr>
            <m:sty m:val="p"/>
          </m:rPr>
          <m:t>]</m:t>
        </m:r>
        <m:r>
          <m:rPr>
            <m:sty m:val="p"/>
          </m:rPr>
          <m:t>=</m:t>
        </m:r>
        <m:acc>
          <m:accPr>
            <m:chr m:val="‾"/>
          </m:accPr>
          <m:e>
            <m:r>
              <m:t>v</m:t>
            </m:r>
          </m:e>
        </m:acc>
        <m:r>
          <m:rPr>
            <m:sty m:val="p"/>
          </m:rPr>
          <m:t>(</m:t>
        </m:r>
        <m:r>
          <m:t>N</m:t>
        </m:r>
        <m:r>
          <m:rPr>
            <m:sty m:val="p"/>
          </m:rPr>
          <m:t>−</m:t>
        </m:r>
        <m:r>
          <m:t>1</m:t>
        </m:r>
        <m:r>
          <m:rPr>
            <m:sty m:val="p"/>
          </m:rPr>
          <m:t>)</m:t>
        </m:r>
        <m:r>
          <m:rPr>
            <m:sty m:val="p"/>
          </m:rPr>
          <m:t>/</m:t>
        </m:r>
        <m:r>
          <m:rPr>
            <m:sty m:val="p"/>
          </m:rPr>
          <m:t>(</m:t>
        </m:r>
        <m:r>
          <m:t>N</m:t>
        </m:r>
        <m:r>
          <m:rPr>
            <m:sty m:val="p"/>
          </m:rPr>
          <m:t>+</m:t>
        </m:r>
        <m:r>
          <m:t>1</m:t>
        </m:r>
        <m:r>
          <m:rPr>
            <m:sty m:val="p"/>
          </m:rPr>
          <m:t>)</m:t>
        </m:r>
      </m:oMath>
      <w:r>
        <w:t xml:space="preserve"> </w:t>
      </w:r>
      <w:r>
        <w:t xml:space="preserve">é a mesma em ambos os formatos.</w:t>
      </w:r>
    </w:p>
    <w:p>
      <w:pPr>
        <w:pStyle w:val="BlockText"/>
      </w:pPr>
      <w:r>
        <w:rPr>
          <w:b/>
          <w:bCs/>
        </w:rPr>
        <w:t xml:space="preserve">[NOTA] Quando a equivalência falha</w:t>
      </w:r>
    </w:p>
    <w:p>
      <w:pPr>
        <w:pStyle w:val="BlockText"/>
      </w:pPr>
      <w:r>
        <w:t xml:space="preserve">A equivalência de receita falha com: (i) aversão ao risco (1º preço gera mais receita); (ii) assimetria entre licitantes; (iii) valores afiliados/comuns; (iv) colusão. Nesses casos, o formato do leilão importa — e o desenho ótimo de mecanismo (Myerson, 1981) se torna relevante.</w:t>
      </w:r>
    </w:p>
    <w:p>
      <w:pPr>
        <w:pStyle w:val="FirstParagraph"/>
      </w:pPr>
      <w:r>
        <w:t xml:space="preserve">Cada uma dessas violações merece um comentário. A</w:t>
      </w:r>
      <w:r>
        <w:t xml:space="preserve"> </w:t>
      </w:r>
      <w:r>
        <w:rPr>
          <w:b/>
          <w:bCs/>
        </w:rPr>
        <w:t xml:space="preserve">aversão ao risco</w:t>
      </w:r>
      <w:r>
        <w:t xml:space="preserve"> </w:t>
      </w:r>
      <w:r>
        <w:t xml:space="preserve">faz com que licitantes no primeiro preço sombreiem</w:t>
      </w:r>
      <w:r>
        <w:t xml:space="preserve"> </w:t>
      </w:r>
      <w:r>
        <w:rPr>
          <w:i/>
          <w:iCs/>
        </w:rPr>
        <w:t xml:space="preserve">menos</w:t>
      </w:r>
      <w:r>
        <w:t xml:space="preserve"> </w:t>
      </w:r>
      <w:r>
        <w:t xml:space="preserve">seus lances — preferem pagar um pouco mais para reduzir o risco de perder, aumentando a receita. A</w:t>
      </w:r>
      <w:r>
        <w:t xml:space="preserve"> </w:t>
      </w:r>
      <w:r>
        <w:rPr>
          <w:b/>
          <w:bCs/>
        </w:rPr>
        <w:t xml:space="preserve">assimetria</w:t>
      </w:r>
      <w:r>
        <w:t xml:space="preserve"> </w:t>
      </w:r>
      <w:r>
        <w:t xml:space="preserve">— quando licitantes têm distribuições de valor diferentes — quebra a condição de que a alocação eficiente depende apenas do formato; licitantes mais</w:t>
      </w:r>
      <w:r>
        <w:t xml:space="preserve"> </w:t>
      </w:r>
      <w:r>
        <w:t xml:space="preserve">“fracos”</w:t>
      </w:r>
      <w:r>
        <w:t xml:space="preserve"> </w:t>
      </w:r>
      <w:r>
        <w:t xml:space="preserve">tendem a lançar mais agressivamente no primeiro preço, e o efeito líquido sobre a receita é ambíguo. Os</w:t>
      </w:r>
      <w:r>
        <w:t xml:space="preserve"> </w:t>
      </w:r>
      <w:r>
        <w:rPr>
          <w:b/>
          <w:bCs/>
        </w:rPr>
        <w:t xml:space="preserve">valores afiliados</w:t>
      </w:r>
      <w:r>
        <w:t xml:space="preserve"> </w:t>
      </w:r>
      <w:r>
        <w:t xml:space="preserve">introduzem uma ligação informacional entre os valores dos licitantes: quando os valores são correlacionados, o</w:t>
      </w:r>
      <w:r>
        <w:t xml:space="preserve"> </w:t>
      </w:r>
      <w:r>
        <w:rPr>
          <w:i/>
          <w:iCs/>
        </w:rPr>
        <w:t xml:space="preserve">linkage principle</w:t>
      </w:r>
      <w:r>
        <w:t xml:space="preserve"> </w:t>
      </w:r>
      <w:r>
        <w:t xml:space="preserve">de Milgrom e Weber (1982) mostra que leilões que revelam mais informação (como o inglês) geram mais receita do que leilões de envelope fechado. Por fim, a</w:t>
      </w:r>
      <w:r>
        <w:t xml:space="preserve"> </w:t>
      </w:r>
      <w:r>
        <w:rPr>
          <w:b/>
          <w:bCs/>
        </w:rPr>
        <w:t xml:space="preserve">colusão</w:t>
      </w:r>
      <w:r>
        <w:t xml:space="preserve"> </w:t>
      </w:r>
      <w:r>
        <w:t xml:space="preserve">— em que licitantes coordenam para suprimir a competição — é mais facilmente sustentável em certos formatos do que em outros, como discutiremos no Box Brasil sobre cartéis.</w:t>
      </w:r>
    </w:p>
    <w:p>
      <w:pPr>
        <w:pStyle w:val="BlockText"/>
      </w:pPr>
      <w:r>
        <w:rPr>
          <w:b/>
          <w:bCs/>
        </w:rPr>
        <w:t xml:space="preserve">[ATENCAO] Erro Comum</w:t>
      </w:r>
    </w:p>
    <w:p>
      <w:pPr>
        <w:pStyle w:val="BlockText"/>
      </w:pPr>
      <w:r>
        <w:rPr>
          <w:b/>
          <w:bCs/>
        </w:rPr>
        <w:t xml:space="preserve">Atribuir a</w:t>
      </w:r>
      <w:r>
        <w:rPr>
          <w:b/>
          <w:bCs/>
        </w:rPr>
        <w:t xml:space="preserve"> </w:t>
      </w:r>
      <w:r>
        <w:rPr>
          <w:b/>
          <w:bCs/>
        </w:rPr>
        <w:t xml:space="preserve">“maldição do vencedor”</w:t>
      </w:r>
      <w:r>
        <w:rPr>
          <w:b/>
          <w:bCs/>
        </w:rPr>
        <w:t xml:space="preserve"> </w:t>
      </w:r>
      <w:r>
        <w:rPr>
          <w:b/>
          <w:bCs/>
        </w:rPr>
        <w:t xml:space="preserve">a má sorte, quando na verdade é um problema de seleção adversa.</w:t>
      </w:r>
    </w:p>
    <w:p>
      <w:pPr>
        <w:pStyle w:val="BlockText"/>
      </w:pPr>
      <w:r>
        <w:t xml:space="preserve">Um erro comum ao estudar leilões de valor comum é pensar que a</w:t>
      </w:r>
      <w:r>
        <w:t xml:space="preserve"> </w:t>
      </w:r>
      <w:r>
        <w:t xml:space="preserve">“maldição do vencedor”</w:t>
      </w:r>
      <w:r>
        <w:t xml:space="preserve"> </w:t>
      </w:r>
      <w:r>
        <w:t xml:space="preserve">é apenas um desvio comportamental ou resultado de irracionalidade. Na verdade, trata-se de um</w:t>
      </w:r>
      <w:r>
        <w:t xml:space="preserve"> </w:t>
      </w:r>
      <w:r>
        <w:rPr>
          <w:b/>
          <w:bCs/>
        </w:rPr>
        <w:t xml:space="preserve">problema estrutural de seleção adversa</w:t>
      </w:r>
      <w:r>
        <w:t xml:space="preserve">: vencer um leilão de valor comum revela que sua estimativa era a mais alta entre todos os participantes, o que é uma</w:t>
      </w:r>
      <w:r>
        <w:t xml:space="preserve"> </w:t>
      </w:r>
      <w:r>
        <w:rPr>
          <w:i/>
          <w:iCs/>
        </w:rPr>
        <w:t xml:space="preserve">má notícia</w:t>
      </w:r>
      <w:r>
        <w:t xml:space="preserve"> </w:t>
      </w:r>
      <w:r>
        <w:t xml:space="preserve">sobre o valor real do objeto.</w:t>
      </w:r>
    </w:p>
    <w:p>
      <w:pPr>
        <w:pStyle w:val="BlockText"/>
      </w:pPr>
      <w:r>
        <w:rPr>
          <w:b/>
          <w:bCs/>
        </w:rPr>
        <w:t xml:space="preserve">Erro típico:</w:t>
      </w:r>
      <w:r>
        <w:t xml:space="preserve"> </w:t>
      </w:r>
      <w:r>
        <w:t xml:space="preserve">“Minha estimativa é R$ 120 milhões, então vou lançar R$ 120 milhões.”</w:t>
      </w:r>
      <w:r>
        <w:t xml:space="preserve"> </w:t>
      </w:r>
      <w:r>
        <w:t xml:space="preserve">— Errado! Se você ganha, significa que todos os outros estimaram</w:t>
      </w:r>
      <w:r>
        <w:t xml:space="preserve"> </w:t>
      </w:r>
      <w:r>
        <w:rPr>
          <w:i/>
          <w:iCs/>
        </w:rPr>
        <w:t xml:space="preserve">menos</w:t>
      </w:r>
      <w:r>
        <w:t xml:space="preserve"> </w:t>
      </w:r>
      <w:r>
        <w:t xml:space="preserve">que R$ 120 milhões. O valor real provavelmente é menor.</w:t>
      </w:r>
    </w:p>
    <w:p>
      <w:pPr>
        <w:pStyle w:val="BlockText"/>
      </w:pPr>
      <w:r>
        <w:rPr>
          <w:b/>
          <w:bCs/>
        </w:rPr>
        <w:t xml:space="preserve">Correção:</w:t>
      </w:r>
      <w:r>
        <w:t xml:space="preserve"> </w:t>
      </w:r>
      <w:r>
        <w:t xml:space="preserve">O lance ótimo condiciona na informação revelada pela vitória:</w:t>
      </w:r>
      <w:r>
        <w:t xml:space="preserve"> </w:t>
      </w:r>
      <m:oMath>
        <m:sSup>
          <m:e>
            <m:r>
              <m:t>b</m:t>
            </m:r>
          </m:e>
          <m:sup>
            <m:r>
              <m:rPr>
                <m:sty m:val="p"/>
              </m:rPr>
              <m:t>*</m:t>
            </m:r>
          </m:sup>
        </m:sSup>
        <m:r>
          <m:rPr>
            <m:sty m:val="p"/>
          </m:rPr>
          <m:t>=</m:t>
        </m:r>
        <m:r>
          <m:t>E</m:t>
        </m:r>
        <m:r>
          <m:rPr>
            <m:sty m:val="p"/>
          </m:rPr>
          <m:t>[</m:t>
        </m:r>
        <m:r>
          <m:t>V</m:t>
        </m:r>
        <m:r>
          <m:rPr>
            <m:sty m:val="p"/>
          </m:rPr>
          <m:t>∣</m:t>
        </m:r>
        <m:sSub>
          <m:e>
            <m:r>
              <m:t>s</m:t>
            </m:r>
          </m:e>
          <m:sub>
            <m:r>
              <m:t>i</m:t>
            </m:r>
          </m:sub>
        </m:sSub>
        <m:r>
          <m:rPr>
            <m:sty m:val="p"/>
          </m:rPr>
          <m:t>=</m:t>
        </m:r>
        <m:sSub>
          <m:e>
            <m:r>
              <m:rPr>
                <m:sty m:val="p"/>
              </m:rPr>
              <m:t>max</m:t>
            </m:r>
          </m:e>
          <m:sub>
            <m:r>
              <m:t>j</m:t>
            </m:r>
          </m:sub>
        </m:sSub>
        <m:sSub>
          <m:e>
            <m:r>
              <m:t>s</m:t>
            </m:r>
          </m:e>
          <m:sub>
            <m:r>
              <m:t>j</m:t>
            </m:r>
          </m:sub>
        </m:sSub>
        <m:r>
          <m:rPr>
            <m:sty m:val="p"/>
          </m:rPr>
          <m:t>]</m:t>
        </m:r>
      </m:oMath>
      <w:r>
        <w:t xml:space="preserve">, que é</w:t>
      </w:r>
      <w:r>
        <w:t xml:space="preserve"> </w:t>
      </w:r>
      <w:r>
        <w:rPr>
          <w:i/>
          <w:iCs/>
        </w:rPr>
        <w:t xml:space="preserve">sempre menor</w:t>
      </w:r>
      <w:r>
        <w:t xml:space="preserve"> </w:t>
      </w:r>
      <w:r>
        <w:t xml:space="preserve">que</w:t>
      </w:r>
      <w:r>
        <w:t xml:space="preserve"> </w:t>
      </w:r>
      <m:oMath>
        <m:sSub>
          <m:e>
            <m:r>
              <m:t>s</m:t>
            </m:r>
          </m:e>
          <m:sub>
            <m:r>
              <m:t>i</m:t>
            </m:r>
          </m:sub>
        </m:sSub>
      </m:oMath>
      <w:r>
        <w:t xml:space="preserve"> </w:t>
      </w:r>
      <w:r>
        <w:t xml:space="preserve">quando há mais de um licitante. A diferença</w:t>
      </w:r>
      <w:r>
        <w:t xml:space="preserve"> </w:t>
      </w:r>
      <m:oMath>
        <m:sSub>
          <m:e>
            <m:r>
              <m:t>s</m:t>
            </m:r>
          </m:e>
          <m:sub>
            <m:r>
              <m:t>i</m:t>
            </m:r>
          </m:sub>
        </m:sSub>
        <m:r>
          <m:rPr>
            <m:sty m:val="p"/>
          </m:rPr>
          <m:t>−</m:t>
        </m:r>
        <m:sSup>
          <m:e>
            <m:r>
              <m:t>b</m:t>
            </m:r>
          </m:e>
          <m:sup>
            <m:r>
              <m:rPr>
                <m:sty m:val="p"/>
              </m:rPr>
              <m:t>*</m:t>
            </m:r>
          </m:sup>
        </m:sSup>
      </m:oMath>
      <w:r>
        <w:t xml:space="preserve"> </w:t>
      </w:r>
      <w:r>
        <w:t xml:space="preserve">cresce com o número de concorrentes — mais licitantes significa mais seleção adversa.</w:t>
      </w:r>
    </w:p>
    <w:p>
      <w:pPr>
        <w:pStyle w:val="BlockText"/>
      </w:pPr>
      <w:r>
        <w:rPr>
          <w:b/>
          <w:bCs/>
        </w:rPr>
        <w:t xml:space="preserve">Aplicação brasileira:</w:t>
      </w:r>
      <w:r>
        <w:t xml:space="preserve"> </w:t>
      </w:r>
      <w:r>
        <w:t xml:space="preserve">Em licitações de obras públicas, empresas que ignoram a maldição do vencedor frequentemente ganham contratos que se tornam prejudiciais, levando a renegociações ou abandono de obras — um problema crônico na infraestrutura nacional.</w:t>
      </w:r>
    </w:p>
    <w:bookmarkEnd w:id="572"/>
    <w:bookmarkStart w:id="573" w:name="Xf68b777ce27c5e1ecb2228c4834233c135238c2"/>
    <w:p>
      <w:pPr>
        <w:pStyle w:val="Heading4"/>
      </w:pPr>
      <w:r>
        <w:t xml:space="preserve">Leilões de valor comum e a maldição do vencedor</w:t>
      </w:r>
    </w:p>
    <w:p>
      <w:pPr>
        <w:pStyle w:val="FirstParagraph"/>
      </w:pPr>
      <w:r>
        <w:t xml:space="preserve">Até aqui, assumimos valores privados. Em muitos contextos, porém, o objeto tem um valor</w:t>
      </w:r>
      <w:r>
        <w:t xml:space="preserve"> </w:t>
      </w:r>
      <w:r>
        <w:rPr>
          <w:i/>
          <w:iCs/>
        </w:rPr>
        <w:t xml:space="preserve">comum</w:t>
      </w:r>
      <w:r>
        <w:t xml:space="preserve"> </w:t>
      </w:r>
      <w:r>
        <w:t xml:space="preserve">que ninguém conhece com certeza — em leilões de petróleo, por exemplo, o volume de óleo é o mesmo para qualquer empresa, mas cada uma tem sua estimativa. Essa mudança de premissa introduz um fenômeno perverso.</w:t>
      </w:r>
    </w:p>
    <w:p>
      <w:pPr>
        <w:pStyle w:val="BodyText"/>
      </w:pPr>
      <w:r>
        <w:t xml:space="preserve">No modelo de valor comum puro, o objeto tem um valor</w:t>
      </w:r>
      <w:r>
        <w:t xml:space="preserve"> </w:t>
      </w:r>
      <m:oMath>
        <m:r>
          <m:t>V</m:t>
        </m:r>
      </m:oMath>
      <w:r>
        <w:t xml:space="preserve"> </w:t>
      </w:r>
      <w:r>
        <w:t xml:space="preserve">desconhecido, e cada licitante</w:t>
      </w:r>
      <w:r>
        <w:t xml:space="preserve"> </w:t>
      </w:r>
      <m:oMath>
        <m:r>
          <m:t>i</m:t>
        </m:r>
      </m:oMath>
      <w:r>
        <w:t xml:space="preserve"> </w:t>
      </w:r>
      <w:r>
        <w:t xml:space="preserve">observa um sinal ruidoso</w:t>
      </w:r>
      <w:r>
        <w:t xml:space="preserve"> </w:t>
      </w:r>
      <m:oMath>
        <m:sSub>
          <m:e>
            <m:r>
              <m:t>s</m:t>
            </m:r>
          </m:e>
          <m:sub>
            <m:r>
              <m:t>i</m:t>
            </m:r>
          </m:sub>
        </m:sSub>
        <m:r>
          <m:rPr>
            <m:sty m:val="p"/>
          </m:rPr>
          <m:t>=</m:t>
        </m:r>
        <m:r>
          <m:t>V</m:t>
        </m:r>
        <m:r>
          <m:rPr>
            <m:sty m:val="p"/>
          </m:rPr>
          <m:t>+</m:t>
        </m:r>
        <m:sSub>
          <m:e>
            <m:r>
              <m:t>ε</m:t>
            </m:r>
          </m:e>
          <m:sub>
            <m:r>
              <m:t>i</m:t>
            </m:r>
          </m:sub>
        </m:sSub>
      </m:oMath>
      <w:r>
        <w:t xml:space="preserve">, onde</w:t>
      </w:r>
      <w:r>
        <w:t xml:space="preserve"> </w:t>
      </w:r>
      <m:oMath>
        <m:sSub>
          <m:e>
            <m:r>
              <m:t>ε</m:t>
            </m:r>
          </m:e>
          <m:sub>
            <m:r>
              <m:t>i</m:t>
            </m:r>
          </m:sub>
        </m:sSub>
      </m:oMath>
      <w:r>
        <w:t xml:space="preserve"> </w:t>
      </w:r>
      <w:r>
        <w:t xml:space="preserve">são erros de estimação independentes com média zero. A diferença crucial em relação ao modelo IPV é que agora a informação dos</w:t>
      </w:r>
      <w:r>
        <w:t xml:space="preserve"> </w:t>
      </w:r>
      <w:r>
        <w:rPr>
          <w:i/>
          <w:iCs/>
        </w:rPr>
        <w:t xml:space="preserve">outros</w:t>
      </w:r>
      <w:r>
        <w:t xml:space="preserve"> </w:t>
      </w:r>
      <w:r>
        <w:t xml:space="preserve">licitantes é relevante para o</w:t>
      </w:r>
      <w:r>
        <w:t xml:space="preserve"> </w:t>
      </w:r>
      <w:r>
        <w:rPr>
          <w:i/>
          <w:iCs/>
        </w:rPr>
        <w:t xml:space="preserve">próprio</w:t>
      </w:r>
      <w:r>
        <w:t xml:space="preserve"> </w:t>
      </w:r>
      <w:r>
        <w:t xml:space="preserve">valor — se todos os concorrentes estimaram valores baixos, é provável que o verdadeiro</w:t>
      </w:r>
      <w:r>
        <w:t xml:space="preserve"> </w:t>
      </w:r>
      <m:oMath>
        <m:r>
          <m:t>V</m:t>
        </m:r>
      </m:oMath>
      <w:r>
        <w:t xml:space="preserve"> </w:t>
      </w:r>
      <w:r>
        <w:t xml:space="preserve">seja baixo, independentemente da estimativa individual de</w:t>
      </w:r>
      <w:r>
        <w:t xml:space="preserve"> </w:t>
      </w:r>
      <m:oMath>
        <m:r>
          <m:t>i</m:t>
        </m:r>
      </m:oMath>
      <w:r>
        <w:t xml:space="preserve">.</w:t>
      </w:r>
    </w:p>
    <w:p>
      <w:pPr>
        <w:pStyle w:val="BodyText"/>
      </w:pPr>
      <w:r>
        <w:t xml:space="preserve">A maldição do vencedor emerge da seguinte lógica: condicional a vencer, o licitante descobre (implicitamente) que sua estimativa era a mais alta entre todas. Como os erros são simétricos, a estimativa mais alta tende a ser a mais</w:t>
      </w:r>
      <w:r>
        <w:t xml:space="preserve"> </w:t>
      </w:r>
      <w:r>
        <w:rPr>
          <w:i/>
          <w:iCs/>
        </w:rPr>
        <w:t xml:space="preserve">otimista</w:t>
      </w:r>
      <w:r>
        <w:t xml:space="preserve"> </w:t>
      </w:r>
      <w:r>
        <w:t xml:space="preserve">— ou seja, aquela que mais sobreestimou</w:t>
      </w:r>
      <w:r>
        <w:t xml:space="preserve"> </w:t>
      </w:r>
      <m:oMath>
        <m:r>
          <m:t>V</m:t>
        </m:r>
      </m:oMath>
      <w:r>
        <w:t xml:space="preserve">. O licitante racional deve, portanto,</w:t>
      </w:r>
      <w:r>
        <w:t xml:space="preserve"> </w:t>
      </w:r>
      <w:r>
        <w:rPr>
          <w:i/>
          <w:iCs/>
        </w:rPr>
        <w:t xml:space="preserve">ajustar seu lance para baixo</w:t>
      </w:r>
      <w:r>
        <w:t xml:space="preserve">, levando em conta a informação adversa contida na vitória.</w:t>
      </w:r>
    </w:p>
    <w:p>
      <w:pPr>
        <w:pStyle w:val="BodyText"/>
      </w:pPr>
      <w:r>
        <w:t xml:space="preserve">Formalmente, o lance ótimo no modelo de valor comum satisfaz:</w:t>
      </w:r>
    </w:p>
    <w:p>
      <w:pPr>
        <w:pStyle w:val="BodyText"/>
      </w:pPr>
      <m:oMathPara>
        <m:oMathParaPr>
          <m:jc m:val="center"/>
        </m:oMathParaPr>
        <m:oMath>
          <m:r>
            <m:t>b</m:t>
          </m:r>
          <m:r>
            <m:rPr>
              <m:sty m:val="p"/>
            </m:rPr>
            <m:t>(</m:t>
          </m:r>
          <m:sSub>
            <m:e>
              <m:r>
                <m:t>s</m:t>
              </m:r>
            </m:e>
            <m:sub>
              <m:r>
                <m:t>i</m:t>
              </m:r>
            </m:sub>
          </m:sSub>
          <m:r>
            <m:rPr>
              <m:sty m:val="p"/>
            </m:rPr>
            <m:t>)</m:t>
          </m:r>
          <m:r>
            <m:rPr>
              <m:sty m:val="p"/>
            </m:rPr>
            <m:t>=</m:t>
          </m:r>
          <m:r>
            <m:t>E</m:t>
          </m:r>
          <m:r>
            <m:rPr>
              <m:sty m:val="p"/>
            </m:rPr>
            <m:t>[</m:t>
          </m:r>
          <m:r>
            <m:t>V</m:t>
          </m:r>
          <m:r>
            <m:rPr>
              <m:sty m:val="p"/>
            </m:rPr>
            <m:t>∣</m:t>
          </m:r>
          <m:sSub>
            <m:e>
              <m:r>
                <m:t>s</m:t>
              </m:r>
            </m:e>
            <m:sub>
              <m:r>
                <m:t>i</m:t>
              </m:r>
            </m:sub>
          </m:sSub>
          <m:r>
            <m:rPr>
              <m:sty m:val="p"/>
            </m:rPr>
            <m:t>,</m:t>
          </m:r>
          <m:r>
            <m:t> </m:t>
          </m:r>
          <m:sSub>
            <m:e>
              <m:r>
                <m:t>s</m:t>
              </m:r>
            </m:e>
            <m:sub>
              <m:r>
                <m:t>i</m:t>
              </m:r>
            </m:sub>
          </m:sSub>
          <m:r>
            <m:rPr>
              <m:sty m:val="p"/>
            </m:rPr>
            <m:t>=</m:t>
          </m:r>
          <m:limLow>
            <m:e>
              <m:r>
                <m:rPr>
                  <m:sty m:val="p"/>
                </m:rPr>
                <m:t>max</m:t>
              </m:r>
            </m:e>
            <m:lim>
              <m:r>
                <m:t>j</m:t>
              </m:r>
            </m:lim>
          </m:limLow>
          <m:sSub>
            <m:e>
              <m:r>
                <m:t>s</m:t>
              </m:r>
            </m:e>
            <m:sub>
              <m:r>
                <m:t>j</m:t>
              </m:r>
            </m:sub>
          </m:sSub>
          <m:r>
            <m:rPr>
              <m:sty m:val="p"/>
            </m:rPr>
            <m:t>]</m:t>
          </m:r>
        </m:oMath>
      </m:oMathPara>
    </w:p>
    <w:p>
      <w:pPr>
        <w:pStyle w:val="FirstParagraph"/>
      </w:pPr>
      <w:r>
        <w:t xml:space="preserve">A equação Eq. (eq:9c.6) mostra que o licitante deve condicionar não apenas em seu sinal, mas no</w:t>
      </w:r>
      <w:r>
        <w:t xml:space="preserve"> </w:t>
      </w:r>
      <w:r>
        <w:rPr>
          <w:i/>
          <w:iCs/>
        </w:rPr>
        <w:t xml:space="preserve">evento de vencer</w:t>
      </w:r>
      <w:r>
        <w:t xml:space="preserve"> </w:t>
      </w:r>
      <w:r>
        <w:t xml:space="preserve">— ou seja, no fato de que seu sinal é o maior. Essa expectativa condicional é sempre menor que</w:t>
      </w:r>
      <w:r>
        <w:t xml:space="preserve"> </w:t>
      </w:r>
      <m:oMath>
        <m:sSub>
          <m:e>
            <m:r>
              <m:t>s</m:t>
            </m:r>
          </m:e>
          <m:sub>
            <m:r>
              <m:t>i</m:t>
            </m:r>
          </m:sub>
        </m:sSub>
      </m:oMath>
      <w:r>
        <w:t xml:space="preserve"> </w:t>
      </w:r>
      <w:r>
        <w:t xml:space="preserve">quando há dois ou mais licitantes, e a diferença cresce com</w:t>
      </w:r>
      <w:r>
        <w:t xml:space="preserve"> </w:t>
      </w:r>
      <m:oMath>
        <m:r>
          <m:t>N</m:t>
        </m:r>
      </m:oMath>
      <w:r>
        <w:t xml:space="preserve">. A magnitude do ajuste depende da variância do ruído e do número de competidores: mais licitantes e mais ruído exigem sombreamento mais agressivo.</w:t>
      </w:r>
    </w:p>
    <w:p>
      <w:pPr>
        <w:pStyle w:val="BlockText"/>
      </w:pPr>
      <w:r>
        <w:rPr>
          <w:b/>
          <w:bCs/>
        </w:rPr>
        <w:t xml:space="preserve">[INTUICAO ECONOMICA] Intuição Econômica</w:t>
      </w:r>
    </w:p>
    <w:p>
      <w:pPr>
        <w:pStyle w:val="BlockText"/>
      </w:pPr>
      <w:r>
        <w:rPr>
          <w:b/>
          <w:bCs/>
        </w:rPr>
        <w:t xml:space="preserve">Em uma frase:</w:t>
      </w:r>
      <w:r>
        <w:t xml:space="preserve"> </w:t>
      </w:r>
      <w:r>
        <w:t xml:space="preserve">Em leilões de valor comum, ganhar é uma má notícia — significa que você estimou o valor mais alto que todos.</w:t>
      </w:r>
    </w:p>
    <w:p>
      <w:pPr>
        <w:pStyle w:val="BlockText"/>
      </w:pPr>
      <w:r>
        <w:rPr>
          <w:b/>
          <w:bCs/>
        </w:rPr>
        <w:t xml:space="preserve">Pense assim:</w:t>
      </w:r>
      <w:r>
        <w:t xml:space="preserve"> </w:t>
      </w:r>
      <w:r>
        <w:t xml:space="preserve">Num leilão de direitos de exploração de petróleo (como os da ANP), o bloco vale o mesmo para todos, mas cada empresa tem uma estimativa diferente do volume de óleo. Quem ganha é quem estimou mais. Se todos cometem erros simétricos de estimação, o vencedor é o mais otimista — e provavelmente pagou demais.</w:t>
      </w:r>
    </w:p>
    <w:p>
      <w:pPr>
        <w:pStyle w:val="BlockText"/>
      </w:pPr>
      <w:r>
        <w:rPr>
          <w:b/>
          <w:bCs/>
        </w:rPr>
        <w:t xml:space="preserve">Solução:</w:t>
      </w:r>
      <w:r>
        <w:t xml:space="preserve"> </w:t>
      </w:r>
      <w:r>
        <w:t xml:space="preserve">Licitantes racionais</w:t>
      </w:r>
      <w:r>
        <w:t xml:space="preserve"> </w:t>
      </w:r>
      <w:r>
        <w:rPr>
          <w:i/>
          <w:iCs/>
        </w:rPr>
        <w:t xml:space="preserve">sombreiam</w:t>
      </w:r>
      <w:r>
        <w:t xml:space="preserve"> </w:t>
      </w:r>
      <w:r>
        <w:t xml:space="preserve">seus lances adicionalmente para corrigir a maldição. A magnitude do ajuste depende do número de concorrentes: mais licitantes → mais seleção adversa → mais sombreamento.</w:t>
      </w:r>
    </w:p>
    <w:p>
      <w:pPr>
        <w:pStyle w:val="BlockText"/>
      </w:pPr>
      <w:r>
        <w:rPr>
          <w:b/>
          <w:bCs/>
        </w:rPr>
        <w:t xml:space="preserve">Evidência:</w:t>
      </w:r>
      <w:r>
        <w:t xml:space="preserve"> </w:t>
      </w:r>
      <w:r>
        <w:t xml:space="preserve">Capen, Clapp e Campbell (1971) documentaram que empresas de petróleo no Golfo do México sistematicamente superestimaram o valor dos blocos — a maldição do vencedor em ação.</w:t>
      </w:r>
    </w:p>
    <w:p>
      <w:pPr>
        <w:pStyle w:val="FirstParagraph"/>
      </w:pPr>
      <w:r>
        <w:t xml:space="preserve">A evidência empírica e experimental sobre a maldição do vencedor é robusta e consistente. Em laboratório, Kagel e Levin (1986) mostraram que participantes inexperientes sistematicamente lançam acima do ajuste ótimo em leilões de valor comum, obtendo lucros negativos em média. Apenas após repetida experiência — e, crucialmente, após sofrerem perdas — os licitantes aprendem a ajustar seus lances. No campo, a documentação de Capen, Clapp e Campbell (1971) sobre os leilões de petróleo offshore nos EUA foi seminal: empresas que venceram leilões no Golfo do México obtiveram retornos sistematicamente abaixo do custo de capital, evidência direta de que não ajustavam suficientemente para a maldição do vencedor.</w:t>
      </w:r>
    </w:p>
    <w:p>
      <w:pPr>
        <w:pStyle w:val="BlockText"/>
      </w:pPr>
      <w:r>
        <w:rPr>
          <w:b/>
          <w:bCs/>
        </w:rPr>
        <w:t xml:space="preserve">[BOX MUNDO] Box Mundo 9c.1 — Desenho de leilões de espectro: o Nobel de 2020 e as lições dos leilões da FCC</w:t>
      </w:r>
    </w:p>
    <w:p>
      <w:pPr>
        <w:pStyle w:val="BlockText"/>
      </w:pPr>
      <w:r>
        <w:rPr>
          <w:b/>
          <w:bCs/>
        </w:rPr>
        <w:t xml:space="preserve">Contexto:</w:t>
      </w:r>
      <w:r>
        <w:t xml:space="preserve"> </w:t>
      </w:r>
      <w:r>
        <w:t xml:space="preserve">Em outubro de 2020, o Prêmio Nobel de Economia foi concedido a Paul Milgrom e Robert Wilson</w:t>
      </w:r>
      <w:r>
        <w:t xml:space="preserve"> </w:t>
      </w:r>
      <w:r>
        <w:t xml:space="preserve">“por melhorias na teoria de leilões e invenções de novos formatos de leilão”</w:t>
      </w:r>
      <w:r>
        <w:t xml:space="preserve">. A distinção reconheceu não apenas contribuições teóricas fundamentais — como o modelo de valores afiliados de Milgrom e Weber (1982) e a formalização da maldição do vencedor por Wilson (1969, 1977) — mas, sobretudo, a aplicação prática dessas ideias ao desenho de leilões de espectro eletromagnético pela Federal Communications Commission (FCC) dos Estados Unidos. Antes de 1994, a FCC alocava licenças de espectro por</w:t>
      </w:r>
      <w:r>
        <w:t xml:space="preserve"> </w:t>
      </w:r>
      <w:r>
        <w:rPr>
          <w:i/>
          <w:iCs/>
        </w:rPr>
        <w:t xml:space="preserve">beauty contests</w:t>
      </w:r>
      <w:r>
        <w:t xml:space="preserve"> </w:t>
      </w:r>
      <w:r>
        <w:t xml:space="preserve">(processos administrativos discricionários) e loterias — métodos que não revelavam informação sobre valores e geravam alocações ineficientes, além de oportunidades de rent-seeking. A transição para leilões competitivos, informada pela teoria de Milgrom e Wilson, transformou radicalmente a alocação de um dos recursos públicos mais valiosos do mundo.</w:t>
      </w:r>
    </w:p>
    <w:p>
      <w:pPr>
        <w:pStyle w:val="BlockText"/>
      </w:pPr>
      <w:r>
        <w:t xml:space="preserve">O desafio técnico era formidável. Licenças de espectro são complementares: uma operadora que detém frequências adjacentes em regiões geográficas contíguas obtém valor substancialmente maior do que a soma das partes. Essa complementaridade cria o</w:t>
      </w:r>
      <w:r>
        <w:t xml:space="preserve"> </w:t>
      </w:r>
      <w:r>
        <w:rPr>
          <w:i/>
          <w:iCs/>
        </w:rPr>
        <w:t xml:space="preserve">problema da exposição</w:t>
      </w:r>
      <w:r>
        <w:t xml:space="preserve"> </w:t>
      </w:r>
      <w:r>
        <w:t xml:space="preserve">— em leilões separados para cada licença, um licitante pode acabar comprando parte de um pacote desejado a preços inflados, sem garantia de obter as peças restantes. Milgrom, em colaboração com Wilson e outros economistas, desenhou o</w:t>
      </w:r>
      <w:r>
        <w:t xml:space="preserve"> </w:t>
      </w:r>
      <w:r>
        <w:rPr>
          <w:i/>
          <w:iCs/>
        </w:rPr>
        <w:t xml:space="preserve">Simultaneous Multiple Round Auction</w:t>
      </w:r>
      <w:r>
        <w:t xml:space="preserve"> </w:t>
      </w:r>
      <w:r>
        <w:t xml:space="preserve">(SMRA): todas as licenças são leiloadas simultaneamente em rodadas ascendentes, permitindo que os licitantes ajustem seus lances entre licenças à medida que os preços relativos se revelam. Posteriormente, Milgrom desenvolveu o</w:t>
      </w:r>
      <w:r>
        <w:t xml:space="preserve"> </w:t>
      </w:r>
      <w:r>
        <w:rPr>
          <w:i/>
          <w:iCs/>
        </w:rPr>
        <w:t xml:space="preserve">Combinatorial Clock Auction</w:t>
      </w:r>
      <w:r>
        <w:t xml:space="preserve"> </w:t>
      </w:r>
      <w:r>
        <w:t xml:space="preserve">(CCA) e o</w:t>
      </w:r>
      <w:r>
        <w:t xml:space="preserve"> </w:t>
      </w:r>
      <w:r>
        <w:rPr>
          <w:i/>
          <w:iCs/>
        </w:rPr>
        <w:t xml:space="preserve">incentive auction</w:t>
      </w:r>
      <w:r>
        <w:t xml:space="preserve"> </w:t>
      </w:r>
      <w:r>
        <w:t xml:space="preserve">(2016–17), que simultaneamente realocou espectro de TV para uso de banda larga — um</w:t>
      </w:r>
      <w:r>
        <w:t xml:space="preserve"> </w:t>
      </w:r>
      <w:r>
        <w:t xml:space="preserve">“leilão reverso”</w:t>
      </w:r>
      <w:r>
        <w:t xml:space="preserve"> </w:t>
      </w:r>
      <w:r>
        <w:t xml:space="preserve">para comprar licenças de emissoras combinado com um</w:t>
      </w:r>
      <w:r>
        <w:t xml:space="preserve"> </w:t>
      </w:r>
      <w:r>
        <w:t xml:space="preserve">“leilão direto”</w:t>
      </w:r>
      <w:r>
        <w:t xml:space="preserve"> </w:t>
      </w:r>
      <w:r>
        <w:t xml:space="preserve">para vendê-las a operadoras de telecomunicações.</w:t>
      </w:r>
    </w:p>
    <w:p>
      <w:pPr>
        <w:pStyle w:val="BlockText"/>
      </w:pPr>
      <w:r>
        <w:rPr>
          <w:b/>
          <w:bCs/>
        </w:rPr>
        <w:t xml:space="preserve">Dados:</w:t>
      </w:r>
      <w:r>
        <w:t xml:space="preserve"> </w:t>
      </w:r>
      <w:r>
        <w:t xml:space="preserve">Desde 1994, os leilões de espectro da FCC arrecadaram mais de US$ 230 bilhões em receita para o Tesouro americano. O leilão de espectro AWS-3 (2015) arrecadou US$ 44,9 bilhões; o incentive auction (Leilão 1000–1002, 2016–17) arrecadou US$ 19,8 bilhões e liberou 84 MHz de espectro para banda larga 5G. Na Europa, os leilões de espectro 5G realizados entre 2018 e 2022 geraram resultados heterogêneos: a Itália arrecadou €6,6 bilhões (2018), a Alemanha €6,5 bilhões (2019), mas a Espanha apenas €438 milhões (2018) — diferenças atribuídas em grande parte ao desenho do leilão (número de lotes, preço de reserva, obrigações de cobertura). Cramton (2013) documentou que leilões mal desenhados — como o leilão 3G do Reino Unido em 2000 (£22,5 bilhões, com vencedores que subsequentemente enfrentaram dificuldades financeiras) e o fiasco do leilão neozelandês de 1990 (formato de segundo preço que gerou receita mínima) — demonstram que a qualidade do desenho de mecanismo importa tanto quanto a competição entre licitantes.</w:t>
      </w:r>
    </w:p>
    <w:p>
      <w:pPr>
        <w:pStyle w:val="BlockText"/>
      </w:pPr>
      <w:r>
        <w:rPr>
          <w:b/>
          <w:bCs/>
        </w:rPr>
        <w:t xml:space="preserve">Análise:</w:t>
      </w:r>
      <w:r>
        <w:t xml:space="preserve"> </w:t>
      </w:r>
      <w:r>
        <w:t xml:space="preserve">Os leilões de espectro são a aplicação mais direta e espetacular dos conceitos desenvolvidos neste capítulo. O formato SMRA de Milgrom e Wilson resolve simultaneamente três problemas teóricos: (i) a maldição do vencedor (leilões ascendentes com informação revelada reduzem o risco de superestimação, pelo</w:t>
      </w:r>
      <w:r>
        <w:t xml:space="preserve"> </w:t>
      </w:r>
      <w:r>
        <w:rPr>
          <w:i/>
          <w:iCs/>
        </w:rPr>
        <w:t xml:space="preserve">linkage principle</w:t>
      </w:r>
      <w:r>
        <w:t xml:space="preserve"> </w:t>
      </w:r>
      <w:r>
        <w:t xml:space="preserve">de Milgrom e Weber); (ii) complementaridade entre licenças (licitação simultânea permite ajuste entre mercados); e (iii) colusão (regras de atividade e lances mínimos dificultam sinalização entre licitantes). O Teorema da Equivalência de Receita, demonstrado na seção anterior, pressupõe licitantes simétricos e valores privados independentes — condições que</w:t>
      </w:r>
      <w:r>
        <w:t xml:space="preserve"> </w:t>
      </w:r>
      <w:r>
        <w:rPr>
          <w:i/>
          <w:iCs/>
        </w:rPr>
        <w:t xml:space="preserve">não</w:t>
      </w:r>
      <w:r>
        <w:t xml:space="preserve"> </w:t>
      </w:r>
      <w:r>
        <w:t xml:space="preserve">valem nos leilões de espectro, onde licitantes são assimétricos (incumbentes vs. entrantes) e os valores são afiliados (o valor de uma licença depende do valor das licenças adjacentes). É precisamente por essas violações que o formato do leilão importa e que o desenho de mecanismos — a</w:t>
      </w:r>
      <w:r>
        <w:t xml:space="preserve"> </w:t>
      </w:r>
      <w:r>
        <w:t xml:space="preserve">“engenharia reversa”</w:t>
      </w:r>
      <w:r>
        <w:t xml:space="preserve"> </w:t>
      </w:r>
      <w:r>
        <w:t xml:space="preserve">do jogo desenvolvida na Seção 9c.4 — tem consequências econômicas da ordem de dezenas de bilhões de dólares. O leilão brasileiro de 5G da ANATEL (2021, R$ 47,2 bilhões) inspirou-se diretamente nos formatos desenvolvidos por Milgrom e Wilson, adaptados ao contexto regulatório brasileiro com obrigações de cobertura em áreas rurais.</w:t>
      </w:r>
    </w:p>
    <w:p>
      <w:pPr>
        <w:pStyle w:val="BlockText"/>
      </w:pPr>
      <w:r>
        <w:rPr>
          <w:b/>
          <w:bCs/>
        </w:rPr>
        <w:t xml:space="preserve">Fonte:</w:t>
      </w:r>
      <w:r>
        <w:t xml:space="preserve"> </w:t>
      </w:r>
      <w:r>
        <w:t xml:space="preserve">Milgrom, Paul (2004).</w:t>
      </w:r>
      <w:r>
        <w:t xml:space="preserve"> </w:t>
      </w:r>
      <w:r>
        <w:rPr>
          <w:i/>
          <w:iCs/>
        </w:rPr>
        <w:t xml:space="preserve">Putting Auction Theory to Work</w:t>
      </w:r>
      <w:r>
        <w:t xml:space="preserve">. Cambridge University Press. Cramton, Peter (2013).</w:t>
      </w:r>
      <w:r>
        <w:t xml:space="preserve"> </w:t>
      </w:r>
      <w:r>
        <w:t xml:space="preserve">“Spectrum Auction Design.”</w:t>
      </w:r>
      <w:r>
        <w:t xml:space="preserve"> </w:t>
      </w:r>
      <w:r>
        <w:rPr>
          <w:i/>
          <w:iCs/>
        </w:rPr>
        <w:t xml:space="preserve">Review of Industrial Organization</w:t>
      </w:r>
      <w:r>
        <w:t xml:space="preserve">, 42(2), 161–190. The Royal Swedish Academy of Sciences (2020).</w:t>
      </w:r>
      <w:r>
        <w:t xml:space="preserve"> </w:t>
      </w:r>
      <w:r>
        <w:t xml:space="preserve">“Improvements to Auction Theory and Inventions of New Auction Formats.”</w:t>
      </w:r>
      <w:r>
        <w:t xml:space="preserve"> </w:t>
      </w:r>
      <w:r>
        <w:t xml:space="preserve">Scientific Background on the Sveriges Riksbank Prize in Economic Sciences.</w:t>
      </w:r>
    </w:p>
    <w:p>
      <w:pPr>
        <w:pStyle w:val="BlockText"/>
      </w:pPr>
      <w:r>
        <w:rPr>
          <w:b/>
          <w:bCs/>
        </w:rPr>
        <w:t xml:space="preserve">[BOX MUNDO] Box Mundo 9c.2 — O leilão de anúncios do Google: a Generalized Second Price Auction</w:t>
      </w:r>
    </w:p>
    <w:p>
      <w:pPr>
        <w:pStyle w:val="BlockText"/>
      </w:pPr>
      <w:r>
        <w:rPr>
          <w:b/>
          <w:bCs/>
        </w:rPr>
        <w:t xml:space="preserve">Contexto:</w:t>
      </w:r>
      <w:r>
        <w:t xml:space="preserve"> </w:t>
      </w:r>
      <w:r>
        <w:t xml:space="preserve">Quando você digita uma busca no Google, os anúncios que aparecem no topo da página não são escolhidos arbitrariamente — são alocados por um leilão que ocorre em milissegundos, repetido bilhões de vezes por dia. O mecanismo utilizado pelo Google (e, com variações, pelo Meta, Microsoft Bing e outras plataformas) é a</w:t>
      </w:r>
      <w:r>
        <w:t xml:space="preserve"> </w:t>
      </w:r>
      <w:r>
        <w:rPr>
          <w:i/>
          <w:iCs/>
        </w:rPr>
        <w:t xml:space="preserve">Generalized Second Price Auction</w:t>
      </w:r>
      <w:r>
        <w:t xml:space="preserve"> </w:t>
      </w:r>
      <w:r>
        <w:t xml:space="preserve">(GSP), um formato que combina elementos da teoria de leilões com as peculiaridades dos mercados de publicidade online. O GSP é, possivelmente, o mecanismo econômico mais frequentemente executado na história: o Google realiza centenas de bilhões de leilões por ano, alocando posições de anúncios em páginas de busca, vídeos do YouTube e aplicativos.</w:t>
      </w:r>
    </w:p>
    <w:p>
      <w:pPr>
        <w:pStyle w:val="BlockText"/>
      </w:pPr>
      <w:r>
        <w:rPr>
          <w:b/>
          <w:bCs/>
        </w:rPr>
        <w:t xml:space="preserve">Dados:</w:t>
      </w:r>
      <w:r>
        <w:t xml:space="preserve"> </w:t>
      </w:r>
      <w:r>
        <w:t xml:space="preserve">Em 2024, a receita de publicidade do Alphabet (controladora do Google) atingiu aproximadamente US$ 265 bilhões, representando cerca de 27% do mercado global de publicidade digital. O leilão GSP aloca múltiplas posições de anúncio em cada página de resultados: a posição mais alta gera mais cliques (e portanto mais valor para o anunciante), mas o anunciante paga por clique o lance do próximo anunciante abaixo. Edelman, Ostrovsky e Schwarz (2007) e Varian (2007) — este último então economista-chefe do Google — formalizaram simultaneamente o modelo teórico da GSP e mostraram que, embora o GSP</w:t>
      </w:r>
      <w:r>
        <w:t xml:space="preserve"> </w:t>
      </w:r>
      <w:r>
        <w:rPr>
          <w:i/>
          <w:iCs/>
        </w:rPr>
        <w:t xml:space="preserve">não</w:t>
      </w:r>
      <w:r>
        <w:t xml:space="preserve"> </w:t>
      </w:r>
      <w:r>
        <w:t xml:space="preserve">seja estrategicamente equivalente ao mecanismo VCG (que garantiria revelação de verdade), seus equilíbrios sob certas condições geram receitas idênticas às do VCG. O Google migrou parcialmente para um sistema baseado em VCG com o chamado</w:t>
      </w:r>
      <w:r>
        <w:t xml:space="preserve"> </w:t>
      </w:r>
      <w:r>
        <w:rPr>
          <w:i/>
          <w:iCs/>
        </w:rPr>
        <w:t xml:space="preserve">Enhanced Cost Per Click</w:t>
      </w:r>
      <w:r>
        <w:t xml:space="preserve"> </w:t>
      </w:r>
      <w:r>
        <w:t xml:space="preserve">e, mais recentemente, para leilões automatizados com aprendizado de máquina (</w:t>
      </w:r>
      <w:r>
        <w:rPr>
          <w:i/>
          <w:iCs/>
        </w:rPr>
        <w:t xml:space="preserve">smart bidding</w:t>
      </w:r>
      <w:r>
        <w:t xml:space="preserve">), que estimam o valor de conversão de cada impressão em tempo real.</w:t>
      </w:r>
    </w:p>
    <w:p>
      <w:pPr>
        <w:pStyle w:val="BlockText"/>
      </w:pPr>
      <w:r>
        <w:rPr>
          <w:b/>
          <w:bCs/>
        </w:rPr>
        <w:t xml:space="preserve">Análise:</w:t>
      </w:r>
      <w:r>
        <w:t xml:space="preserve"> </w:t>
      </w:r>
      <w:r>
        <w:t xml:space="preserve">A GSP é um caso fascinante em que a teoria de leilões encontra a engenharia de software. O mecanismo não é de segundo preço puro no sentido de Vickrey — trata-se de uma</w:t>
      </w:r>
      <w:r>
        <w:t xml:space="preserve"> </w:t>
      </w:r>
      <w:r>
        <w:rPr>
          <w:i/>
          <w:iCs/>
        </w:rPr>
        <w:t xml:space="preserve">generalização</w:t>
      </w:r>
      <w:r>
        <w:t xml:space="preserve"> </w:t>
      </w:r>
      <w:r>
        <w:t xml:space="preserve">para múltiplos objetos (posições) onde cada vencedor paga o lance do próximo. No leilão de Vickrey para um único objeto, lançar o valor verdadeiro é estratégia dominante. Na GSP, isso</w:t>
      </w:r>
      <w:r>
        <w:t xml:space="preserve"> </w:t>
      </w:r>
      <w:r>
        <w:rPr>
          <w:i/>
          <w:iCs/>
        </w:rPr>
        <w:t xml:space="preserve">não</w:t>
      </w:r>
      <w:r>
        <w:t xml:space="preserve"> </w:t>
      </w:r>
      <w:r>
        <w:t xml:space="preserve">vale: licitantes podem querer lançar abaixo de seus valores verdadeiros para pagar menos por uma posição inferior que ainda gera lucro positivo. Edelman, Ostrovsky e Schwarz (2007) identificaram o conceito de</w:t>
      </w:r>
      <w:r>
        <w:t xml:space="preserve"> </w:t>
      </w:r>
      <w:r>
        <w:rPr>
          <w:i/>
          <w:iCs/>
        </w:rPr>
        <w:t xml:space="preserve">equilíbrio localmente invejoso</w:t>
      </w:r>
      <w:r>
        <w:t xml:space="preserve"> </w:t>
      </w:r>
      <w:r>
        <w:t xml:space="preserve">(</w:t>
      </w:r>
      <w:r>
        <w:rPr>
          <w:i/>
          <w:iCs/>
        </w:rPr>
        <w:t xml:space="preserve">locally envy-free equilibrium</w:t>
      </w:r>
      <w:r>
        <w:t xml:space="preserve">), no qual nenhum anunciante preferiria trocar de posição e lance com o anunciante imediatamente acima. Esse conceito de equilíbrio refinado, específico para a GSP, produz receitas equivalentes às do mecanismo VCG — uma instância notável da equivalência de receita em um contexto multi-objeto. A transição recente para leilões de primeiro preço em publicidade programática (liderada pelo Google em 2019) ilustra que mesmo mercados digitais maduros continuam redesenhando seus mecanismos de alocação à luz da teoria.</w:t>
      </w:r>
    </w:p>
    <w:p>
      <w:pPr>
        <w:pStyle w:val="BlockText"/>
      </w:pPr>
      <w:r>
        <w:rPr>
          <w:b/>
          <w:bCs/>
        </w:rPr>
        <w:t xml:space="preserve">Para refletir:</w:t>
      </w:r>
      <w:r>
        <w:t xml:space="preserve"> </w:t>
      </w:r>
      <w:r>
        <w:t xml:space="preserve">Se o Google adotasse um leilão de primeiro preço puro (em vez da GSP), como os anunciantes ajustariam seus lances? A equivalência de receita se manteria nesse contexto multi-objeto com valores assimétricos e orçamentos limitados?</w:t>
      </w:r>
    </w:p>
    <w:p>
      <w:pPr>
        <w:pStyle w:val="BlockText"/>
      </w:pPr>
      <w:r>
        <w:rPr>
          <w:b/>
          <w:bCs/>
        </w:rPr>
        <w:t xml:space="preserve">Fonte:</w:t>
      </w:r>
      <w:r>
        <w:t xml:space="preserve"> </w:t>
      </w:r>
      <w:r>
        <w:t xml:space="preserve">Edelman, Benjamin, Michael Ostrovsky, e Michael Schwarz (2007).</w:t>
      </w:r>
      <w:r>
        <w:t xml:space="preserve"> </w:t>
      </w:r>
      <w:r>
        <w:t xml:space="preserve">“Internet Advertising and the Generalized Second-Price Auction.”</w:t>
      </w:r>
      <w:r>
        <w:t xml:space="preserve"> </w:t>
      </w:r>
      <w:r>
        <w:rPr>
          <w:i/>
          <w:iCs/>
        </w:rPr>
        <w:t xml:space="preserve">American Economic Review</w:t>
      </w:r>
      <w:r>
        <w:t xml:space="preserve">, 97(1), 242–259. Varian, Hal R. (2007).</w:t>
      </w:r>
      <w:r>
        <w:t xml:space="preserve"> </w:t>
      </w:r>
      <w:r>
        <w:t xml:space="preserve">“Position Auctions.”</w:t>
      </w:r>
      <w:r>
        <w:t xml:space="preserve"> </w:t>
      </w:r>
      <w:r>
        <w:rPr>
          <w:i/>
          <w:iCs/>
        </w:rPr>
        <w:t xml:space="preserve">International Journal of Industrial Organization</w:t>
      </w:r>
      <w:r>
        <w:t xml:space="preserve">, 25(6), 1163–1178.</w:t>
      </w:r>
    </w:p>
    <w:p>
      <w:pPr>
        <w:pStyle w:val="BlockText"/>
      </w:pPr>
      <w:r>
        <w:rPr>
          <w:b/>
          <w:bCs/>
        </w:rPr>
        <w:t xml:space="preserve">[BOX MUNDO] Box Mundo 9c.3 — Leilões de espectro 3G/4G/5G: bilhões de dólares e desenho de mecanismos na prática</w:t>
      </w:r>
    </w:p>
    <w:p>
      <w:pPr>
        <w:pStyle w:val="BlockText"/>
      </w:pPr>
      <w:r>
        <w:rPr>
          <w:b/>
          <w:bCs/>
        </w:rPr>
        <w:t xml:space="preserve">Contexto:</w:t>
      </w:r>
      <w:r>
        <w:t xml:space="preserve"> </w:t>
      </w:r>
      <w:r>
        <w:t xml:space="preserve">Os leilões de espectro de telecomunicações são o maior campo de aplicação prática da teoria de leilões, com transações que totalizam centenas de bilhões de dólares globalmente. Cada geração de tecnologia móvel — 3G, 4G e 5G — gerou uma nova rodada de leilões com desafios de desenho de mecanismos progressivamente mais complexos. A experiência acumulada ao longo de três décadas ilustra como a teoria econômica se traduziu em bilhões de dólares de diferença na receita pública, dependendo da qualidade do desenho institucional.</w:t>
      </w:r>
    </w:p>
    <w:p>
      <w:pPr>
        <w:pStyle w:val="BlockText"/>
      </w:pPr>
      <w:r>
        <w:rPr>
          <w:b/>
          <w:bCs/>
        </w:rPr>
        <w:t xml:space="preserve">Dados:</w:t>
      </w:r>
      <w:r>
        <w:t xml:space="preserve"> </w:t>
      </w:r>
      <w:r>
        <w:t xml:space="preserve">O leilão 3G do Reino Unido (2000), desenhado por Ken Binmore e Paul Klemperer, arrecadou £22,5 bilhões — cinco vezes mais que a previsão inicial do governo — ao introduzir uma licença extra para atrair um entrante (aumentando</w:t>
      </w:r>
      <w:r>
        <w:t xml:space="preserve"> </w:t>
      </w:r>
      <m:oMath>
        <m:r>
          <m:t>N</m:t>
        </m:r>
      </m:oMath>
      <w:r>
        <w:t xml:space="preserve"> </w:t>
      </w:r>
      <w:r>
        <w:t xml:space="preserve">de 4 para 5, o que intensificou dramaticamente a competição). Em contraste, o leilão 3G da Holanda, com formato de leilão ascendente e número de licenças igual ao de incumbentes, arrecadou apenas €2,7 bilhões — menos de 30% per capita do resultado britânico. Na era 4G, o leilão brasileiro de 2012 (ANATEL) arrecadou R$ 2,9 bilhões, enquanto o leilão indiano de 2010 arrecadou US$ 14,6 bilhões. Os leilões 5G globais (2018–2023) movimentaram mais de US$ 200 bilhões: os EUA (banda C, 2021) arrecadaram US$ 81 bilhões; a Alemanha €6,5 bilhões (2019); o Japão, surpreendentemente, atribuiu espectro 5G sem leilão (por</w:t>
      </w:r>
      <w:r>
        <w:t xml:space="preserve"> </w:t>
      </w:r>
      <w:r>
        <w:rPr>
          <w:i/>
          <w:iCs/>
        </w:rPr>
        <w:t xml:space="preserve">beauty contest</w:t>
      </w:r>
      <w:r>
        <w:t xml:space="preserve">), priorizando velocidade de implantação sobre receita. O Brasil (2021) arrecadou R$ 47,2 bilhões, dos quais R$ 40,5 bilhões em compromissos de investimento em cobertura.</w:t>
      </w:r>
    </w:p>
    <w:p>
      <w:pPr>
        <w:pStyle w:val="BlockText"/>
      </w:pPr>
      <w:r>
        <w:rPr>
          <w:b/>
          <w:bCs/>
        </w:rPr>
        <w:t xml:space="preserve">Análise:</w:t>
      </w:r>
      <w:r>
        <w:t xml:space="preserve"> </w:t>
      </w:r>
      <w:r>
        <w:t xml:space="preserve">A variação dramática nos resultados entre países demonstra que o formato do leilão importa mais do que as condições macroeconômicas ou o tamanho do mercado. Três lições emergiram da experiência global. Primeira: o número de licenças relativo ao número de incumbentes é crucial — quando há mais licenças que incumbentes (como no Reino Unido), a competição por licenças é mais intensa. Segunda: leilões ascendentes simultâneos (SMRA) são superiores a leilões sequenciais quando as licenças são complementares, pois permitem que os licitantes gerenciem o risco de exposição. Terceira: obrigações de cobertura incorporadas ao leilão (como no caso brasileiro do 5G) transferem o objetivo de política industrial para dentro do mecanismo — um exemplo de desenho de mecanismos com múltiplos objetivos que vai além do leilão ótimo de Myerson (que maximiza uma única dimensão: receita). A teoria do Capítulo 9c.4 explica</w:t>
      </w:r>
      <w:r>
        <w:t xml:space="preserve"> </w:t>
      </w:r>
      <w:r>
        <w:rPr>
          <w:i/>
          <w:iCs/>
        </w:rPr>
        <w:t xml:space="preserve">por que</w:t>
      </w:r>
      <w:r>
        <w:t xml:space="preserve"> </w:t>
      </w:r>
      <w:r>
        <w:t xml:space="preserve">o formato importa: quando as condições da equivalência de receita falham (assimetria entre operadores, complementaridade entre faixas, valores afiliados), o desenho do mecanismo determina tanto a receita quanto a eficiência alocativa.</w:t>
      </w:r>
    </w:p>
    <w:p>
      <w:pPr>
        <w:pStyle w:val="BlockText"/>
      </w:pPr>
      <w:r>
        <w:rPr>
          <w:b/>
          <w:bCs/>
        </w:rPr>
        <w:t xml:space="preserve">Para refletir:</w:t>
      </w:r>
      <w:r>
        <w:t xml:space="preserve"> </w:t>
      </w:r>
      <w:r>
        <w:t xml:space="preserve">O Japão optou por não leiloar espectro 5G, alocando por decisão administrativa. Quais são os custos de eficiência dessa escolha à luz do Teorema da Equivalência de Receita? E quais são os possíveis benefícios em termos de velocidade de implantação e coordenação de investimentos?</w:t>
      </w:r>
    </w:p>
    <w:p>
      <w:pPr>
        <w:pStyle w:val="BlockText"/>
      </w:pPr>
      <w:r>
        <w:rPr>
          <w:b/>
          <w:bCs/>
        </w:rPr>
        <w:t xml:space="preserve">Fonte:</w:t>
      </w:r>
      <w:r>
        <w:t xml:space="preserve"> </w:t>
      </w:r>
      <w:r>
        <w:t xml:space="preserve">Klemperer, Paul (2002).</w:t>
      </w:r>
      <w:r>
        <w:t xml:space="preserve"> </w:t>
      </w:r>
      <w:r>
        <w:t xml:space="preserve">“What Really Matters in Auction Design.”</w:t>
      </w:r>
      <w:r>
        <w:t xml:space="preserve"> </w:t>
      </w:r>
      <w:r>
        <w:rPr>
          <w:i/>
          <w:iCs/>
        </w:rPr>
        <w:t xml:space="preserve">Journal of Economic Perspectives</w:t>
      </w:r>
      <w:r>
        <w:t xml:space="preserve">, 16(1), 169–189. Cramton, Peter (2013).</w:t>
      </w:r>
      <w:r>
        <w:t xml:space="preserve"> </w:t>
      </w:r>
      <w:r>
        <w:t xml:space="preserve">“Spectrum Auction Design.”</w:t>
      </w:r>
      <w:r>
        <w:t xml:space="preserve"> </w:t>
      </w:r>
      <w:r>
        <w:rPr>
          <w:i/>
          <w:iCs/>
        </w:rPr>
        <w:t xml:space="preserve">Review of Industrial Organization</w:t>
      </w:r>
      <w:r>
        <w:t xml:space="preserve">, 42(2), 161–190. ANATEL (2021). Edital de licitação do 5G.</w:t>
      </w:r>
    </w:p>
    <w:p>
      <w:pPr>
        <w:pStyle w:val="FirstParagraph"/>
      </w:pPr>
      <w:r>
        <w:t xml:space="preserve">A passagem dos leilões de valor privado para os de valor comum — e, mais geralmente, para modelos com valores afiliados que combinam elementos privados e comuns — revela a riqueza do arcabouço bayesiano. Mas a teoria levanta uma questão ainda mais fundamental: se a receita depende do formato, é possível encontrar o formato</w:t>
      </w:r>
      <w:r>
        <w:t xml:space="preserve"> </w:t>
      </w:r>
      <w:r>
        <w:rPr>
          <w:i/>
          <w:iCs/>
        </w:rPr>
        <w:t xml:space="preserve">ótimo</w:t>
      </w:r>
      <w:r>
        <w:t xml:space="preserve">? Essa pergunta nos leva ao campo do desenho de mecanismos.</w:t>
      </w:r>
    </w:p>
    <w:bookmarkEnd w:id="573"/>
    <w:bookmarkEnd w:id="574"/>
    <w:bookmarkEnd w:id="575"/>
    <w:bookmarkStart w:id="584" w:name="exercícios-10"/>
    <w:p>
      <w:pPr>
        <w:pStyle w:val="Heading2"/>
      </w:pPr>
      <w:r>
        <w:t xml:space="preserve">Exercícios</w:t>
      </w:r>
    </w:p>
    <w:bookmarkStart w:id="577" w:name="atividades-de-sala-de-aula-2"/>
    <w:p>
      <w:pPr>
        <w:pStyle w:val="Heading3"/>
      </w:pPr>
      <w:r>
        <w:t xml:space="preserve">🧪 Atividades de Sala de Aula</w:t>
      </w:r>
    </w:p>
    <w:p>
      <w:pPr>
        <w:pStyle w:val="BlockText"/>
      </w:pPr>
      <w:r>
        <w:rPr>
          <w:b/>
          <w:bCs/>
        </w:rPr>
        <w:t xml:space="preserve">[ATIVIDADE DE SALA] Atividade 9c.1 — Leilão de envelopes: primeiro preço vs. segundo preço (25 min)</w:t>
      </w:r>
    </w:p>
    <w:p>
      <w:pPr>
        <w:pStyle w:val="BlockText"/>
      </w:pPr>
      <w:r>
        <w:rPr>
          <w:b/>
          <w:bCs/>
        </w:rPr>
        <w:t xml:space="preserve">Objetivo:</w:t>
      </w:r>
      <w:r>
        <w:t xml:space="preserve"> </w:t>
      </w:r>
      <w:r>
        <w:t xml:space="preserve">Verificar empiricamente o</w:t>
      </w:r>
      <w:r>
        <w:t xml:space="preserve"> </w:t>
      </w:r>
      <w:r>
        <w:rPr>
          <w:i/>
          <w:iCs/>
        </w:rPr>
        <w:t xml:space="preserve">bid shading</w:t>
      </w:r>
      <w:r>
        <w:t xml:space="preserve"> </w:t>
      </w:r>
      <w:r>
        <w:t xml:space="preserve">no primeiro preço, a revelação de verdade no segundo preço, e o Teorema da Equivalência de Receita.</w:t>
      </w:r>
    </w:p>
    <w:p>
      <w:pPr>
        <w:pStyle w:val="BlockText"/>
      </w:pPr>
      <w:r>
        <w:rPr>
          <w:b/>
          <w:bCs/>
        </w:rPr>
        <w:t xml:space="preserve">Material:</w:t>
      </w:r>
      <w:r>
        <w:t xml:space="preserve"> </w:t>
      </w:r>
      <w:r>
        <w:t xml:space="preserve">Envelopes numerados contendo</w:t>
      </w:r>
      <w:r>
        <w:t xml:space="preserve"> </w:t>
      </w:r>
      <w:r>
        <w:t xml:space="preserve">“fichas”</w:t>
      </w:r>
      <w:r>
        <w:t xml:space="preserve"> </w:t>
      </w:r>
      <w:r>
        <w:t xml:space="preserve">de valores conhecidos apenas pelo titular (cartões com números de 1 a 100, sorteados aleatoriamente); formulários de lance; planilha projetada.</w:t>
      </w:r>
    </w:p>
    <w:p>
      <w:pPr>
        <w:pStyle w:val="BlockText"/>
      </w:pPr>
      <w:r>
        <w:rPr>
          <w:b/>
          <w:bCs/>
        </w:rPr>
        <w:t xml:space="preserve">Protocolo:</w:t>
      </w:r>
    </w:p>
    <w:p>
      <w:pPr>
        <w:pStyle w:val="Compact"/>
        <w:numPr>
          <w:ilvl w:val="0"/>
          <w:numId w:val="1542"/>
        </w:numPr>
      </w:pPr>
      <w:r>
        <w:rPr>
          <w:b/>
          <w:bCs/>
        </w:rPr>
        <w:t xml:space="preserve">Sorteio de valores</w:t>
      </w:r>
      <w:r>
        <w:t xml:space="preserve"> </w:t>
      </w:r>
      <w:r>
        <w:t xml:space="preserve">(3 min): Cada aluno sorteia um número de 1 a 100 (sem revelar). Esse é seu valor privado</w:t>
      </w:r>
      <w:r>
        <w:t xml:space="preserve"> </w:t>
      </w:r>
      <m:oMath>
        <m:sSub>
          <m:e>
            <m:r>
              <m:t>v</m:t>
            </m:r>
          </m:e>
          <m:sub>
            <m:r>
              <m:t>i</m:t>
            </m:r>
          </m:sub>
        </m:sSub>
      </m:oMath>
      <w:r>
        <w:t xml:space="preserve">. Forme grupos de 4 licitantes.</w:t>
      </w:r>
    </w:p>
    <w:p>
      <w:pPr>
        <w:pStyle w:val="Compact"/>
        <w:numPr>
          <w:ilvl w:val="0"/>
          <w:numId w:val="1542"/>
        </w:numPr>
      </w:pPr>
      <w:r>
        <w:rPr>
          <w:b/>
          <w:bCs/>
        </w:rPr>
        <w:t xml:space="preserve">Fase 1 — Leilão de segundo preço</w:t>
      </w:r>
      <w:r>
        <w:t xml:space="preserve"> </w:t>
      </w:r>
      <w:r>
        <w:t xml:space="preserve">(8 min): Cada licitante escreve seu lance em papel fechado. O maior lance ganha e paga o</w:t>
      </w:r>
      <w:r>
        <w:t xml:space="preserve"> </w:t>
      </w:r>
      <w:r>
        <w:rPr>
          <w:i/>
          <w:iCs/>
        </w:rPr>
        <w:t xml:space="preserve">segundo</w:t>
      </w:r>
      <w:r>
        <w:t xml:space="preserve"> </w:t>
      </w:r>
      <w:r>
        <w:t xml:space="preserve">maior lance. Repita 3 vezes (re-sorteio a cada rodada). Registre: lance, valor, quem ganhou, quanto pagou.</w:t>
      </w:r>
    </w:p>
    <w:p>
      <w:pPr>
        <w:pStyle w:val="Compact"/>
        <w:numPr>
          <w:ilvl w:val="0"/>
          <w:numId w:val="1542"/>
        </w:numPr>
      </w:pPr>
      <w:r>
        <w:rPr>
          <w:b/>
          <w:bCs/>
        </w:rPr>
        <w:t xml:space="preserve">Fase 2 — Leilão de primeiro preço</w:t>
      </w:r>
      <w:r>
        <w:t xml:space="preserve"> </w:t>
      </w:r>
      <w:r>
        <w:t xml:space="preserve">(8 min): Mesmo procedimento, mas agora o vencedor paga o</w:t>
      </w:r>
      <w:r>
        <w:t xml:space="preserve"> </w:t>
      </w:r>
      <w:r>
        <w:rPr>
          <w:i/>
          <w:iCs/>
        </w:rPr>
        <w:t xml:space="preserve">próprio</w:t>
      </w:r>
      <w:r>
        <w:t xml:space="preserve"> </w:t>
      </w:r>
      <w:r>
        <w:t xml:space="preserve">lance. Repita 3 rodadas.</w:t>
      </w:r>
    </w:p>
    <w:p>
      <w:pPr>
        <w:pStyle w:val="Compact"/>
        <w:numPr>
          <w:ilvl w:val="0"/>
          <w:numId w:val="1542"/>
        </w:numPr>
      </w:pPr>
      <w:r>
        <w:rPr>
          <w:b/>
          <w:bCs/>
        </w:rPr>
        <w:t xml:space="preserve">Debrief</w:t>
      </w:r>
      <w:r>
        <w:t xml:space="preserve"> </w:t>
      </w:r>
      <w:r>
        <w:t xml:space="preserve">(6 min):</w:t>
      </w:r>
    </w:p>
    <w:p>
      <w:pPr>
        <w:pStyle w:val="Compact"/>
        <w:numPr>
          <w:ilvl w:val="1"/>
          <w:numId w:val="1543"/>
        </w:numPr>
      </w:pPr>
      <w:r>
        <w:t xml:space="preserve">Projete os dados: lance médio vs. valor médio em cada formato.</w:t>
      </w:r>
    </w:p>
    <w:p>
      <w:pPr>
        <w:pStyle w:val="Compact"/>
        <w:numPr>
          <w:ilvl w:val="1"/>
          <w:numId w:val="1543"/>
        </w:numPr>
      </w:pPr>
      <w:r>
        <w:rPr>
          <w:b/>
          <w:bCs/>
        </w:rPr>
        <w:t xml:space="preserve">Segundo preço</w:t>
      </w:r>
      <w:r>
        <w:t xml:space="preserve">: os alunos lançaram</w:t>
      </w:r>
      <w:r>
        <w:t xml:space="preserve"> </w:t>
      </w:r>
      <m:oMath>
        <m:sSub>
          <m:e>
            <m:r>
              <m:t>b</m:t>
            </m:r>
          </m:e>
          <m:sub>
            <m:r>
              <m:t>i</m:t>
            </m:r>
          </m:sub>
        </m:sSub>
        <m:r>
          <m:rPr>
            <m:sty m:val="p"/>
          </m:rPr>
          <m:t>≈</m:t>
        </m:r>
        <m:sSub>
          <m:e>
            <m:r>
              <m:t>v</m:t>
            </m:r>
          </m:e>
          <m:sub>
            <m:r>
              <m:t>i</m:t>
            </m:r>
          </m:sub>
        </m:sSub>
      </m:oMath>
      <w:r>
        <w:t xml:space="preserve">? Quem lançou acima do valor? (Erro — potencial lucro negativo!)</w:t>
      </w:r>
    </w:p>
    <w:p>
      <w:pPr>
        <w:pStyle w:val="Compact"/>
        <w:numPr>
          <w:ilvl w:val="1"/>
          <w:numId w:val="1543"/>
        </w:numPr>
      </w:pPr>
      <w:r>
        <w:rPr>
          <w:b/>
          <w:bCs/>
        </w:rPr>
        <w:t xml:space="preserve">Primeiro preço</w:t>
      </w:r>
      <w:r>
        <w:t xml:space="preserve">: quanto sombrearam? Calcule</w:t>
      </w:r>
      <w:r>
        <w:t xml:space="preserve"> </w:t>
      </w:r>
      <m:oMath>
        <m:sSub>
          <m:e>
            <m:r>
              <m:t>b</m:t>
            </m:r>
          </m:e>
          <m:sub>
            <m:r>
              <m:t>i</m:t>
            </m:r>
          </m:sub>
        </m:sSub>
        <m:r>
          <m:rPr>
            <m:sty m:val="p"/>
          </m:rPr>
          <m:t>/</m:t>
        </m:r>
        <m:sSub>
          <m:e>
            <m:r>
              <m:t>v</m:t>
            </m:r>
          </m:e>
          <m:sub>
            <m:r>
              <m:t>i</m:t>
            </m:r>
          </m:sub>
        </m:sSub>
      </m:oMath>
      <w:r>
        <w:t xml:space="preserve"> </w:t>
      </w:r>
      <w:r>
        <w:t xml:space="preserve">médio e compare com</w:t>
      </w:r>
      <w:r>
        <w:t xml:space="preserve"> </w:t>
      </w:r>
      <m:oMath>
        <m:r>
          <m:rPr>
            <m:sty m:val="p"/>
          </m:rPr>
          <m:t>(</m:t>
        </m:r>
        <m:r>
          <m:t>N</m:t>
        </m:r>
        <m:r>
          <m:rPr>
            <m:sty m:val="p"/>
          </m:rPr>
          <m:t>−</m:t>
        </m:r>
        <m:r>
          <m:t>1</m:t>
        </m:r>
        <m:r>
          <m:rPr>
            <m:sty m:val="p"/>
          </m:rPr>
          <m:t>)</m:t>
        </m:r>
        <m:r>
          <m:rPr>
            <m:sty m:val="p"/>
          </m:rPr>
          <m:t>/</m:t>
        </m:r>
        <m:r>
          <m:t>N</m:t>
        </m:r>
        <m:r>
          <m:rPr>
            <m:sty m:val="p"/>
          </m:rPr>
          <m:t>=</m:t>
        </m:r>
        <m:r>
          <m:t>3</m:t>
        </m:r>
        <m:r>
          <m:rPr>
            <m:sty m:val="p"/>
          </m:rPr>
          <m:t>/</m:t>
        </m:r>
        <m:r>
          <m:t>4</m:t>
        </m:r>
        <m:r>
          <m:rPr>
            <m:sty m:val="p"/>
          </m:rPr>
          <m:t>=</m:t>
        </m:r>
        <m:r>
          <m:t>0</m:t>
        </m:r>
        <m:r>
          <m:rPr>
            <m:sty m:val="p"/>
          </m:rPr>
          <m:t>,</m:t>
        </m:r>
        <m:r>
          <m:t>75</m:t>
        </m:r>
      </m:oMath>
      <w:r>
        <w:t xml:space="preserve">.</w:t>
      </w:r>
    </w:p>
    <w:p>
      <w:pPr>
        <w:pStyle w:val="Compact"/>
        <w:numPr>
          <w:ilvl w:val="1"/>
          <w:numId w:val="1543"/>
        </w:numPr>
      </w:pPr>
      <w:r>
        <w:rPr>
          <w:b/>
          <w:bCs/>
        </w:rPr>
        <w:t xml:space="preserve">Equivalência de receita</w:t>
      </w:r>
      <w:r>
        <w:t xml:space="preserve">: a receita média foi similar nos dois formatos? (Tipicamente sim, com amostra grande.)</w:t>
      </w:r>
    </w:p>
    <w:p>
      <w:pPr>
        <w:pStyle w:val="Compact"/>
        <w:numPr>
          <w:ilvl w:val="1"/>
          <w:numId w:val="1543"/>
        </w:numPr>
      </w:pPr>
      <w:r>
        <w:t xml:space="preserve">Pergunte:</w:t>
      </w:r>
      <w:r>
        <w:t xml:space="preserve"> </w:t>
      </w:r>
      <w:r>
        <w:t xml:space="preserve">“Se vocês fossem a ANP leiloando um bloco do pré-sal, qual formato escolheriam? O que muda se houver</w:t>
      </w:r>
      <w:r>
        <w:t xml:space="preserve"> </w:t>
      </w:r>
      <w:r>
        <w:rPr>
          <w:i/>
          <w:iCs/>
        </w:rPr>
        <w:t xml:space="preserve">valor comum</w:t>
      </w:r>
      <w:r>
        <w:t xml:space="preserve">?”</w:t>
      </w:r>
    </w:p>
    <w:p>
      <w:pPr>
        <w:pStyle w:val="BlockText"/>
      </w:pPr>
      <w:r>
        <w:rPr>
          <w:b/>
          <w:bCs/>
        </w:rPr>
        <w:t xml:space="preserve">Conexão com o conteúdo:</w:t>
      </w:r>
      <w:r>
        <w:t xml:space="preserve"> </w:t>
      </w:r>
      <w:r>
        <w:t xml:space="preserve">Leilões IPV (Seção 9c.3),</w:t>
      </w:r>
      <w:r>
        <w:t xml:space="preserve"> </w:t>
      </w:r>
      <w:r>
        <w:rPr>
          <w:i/>
          <w:iCs/>
        </w:rPr>
        <w:t xml:space="preserve">bid shading</w:t>
      </w:r>
      <w:r>
        <w:t xml:space="preserve"> </w:t>
      </w:r>
      <w:r>
        <w:t xml:space="preserve">(eq. 9c.3), Teorema da Equivalência de Receita (Seção 9c.3). Inspirado em Holt (2007, Cap. 19) e Kagel (1995).</w:t>
      </w:r>
    </w:p>
    <w:p>
      <w:pPr>
        <w:pStyle w:val="BlockText"/>
      </w:pPr>
      <w:r>
        <w:rPr>
          <w:b/>
          <w:bCs/>
        </w:rPr>
        <w:t xml:space="preserve">[ATIVIDADE DE SALA] Atividade 9c.2 — Desenhando um mecanismo: o problema do bolo (15 min)</w:t>
      </w:r>
    </w:p>
    <w:p>
      <w:pPr>
        <w:pStyle w:val="BlockText"/>
      </w:pPr>
      <w:r>
        <w:rPr>
          <w:b/>
          <w:bCs/>
        </w:rPr>
        <w:t xml:space="preserve">Objetivo:</w:t>
      </w:r>
      <w:r>
        <w:t xml:space="preserve"> </w:t>
      </w:r>
      <w:r>
        <w:t xml:space="preserve">Introduzir intuitivamente o desenho de mecanismos — mostrar que as</w:t>
      </w:r>
      <w:r>
        <w:t xml:space="preserve"> </w:t>
      </w:r>
      <w:r>
        <w:rPr>
          <w:i/>
          <w:iCs/>
        </w:rPr>
        <w:t xml:space="preserve">regras do jogo</w:t>
      </w:r>
      <w:r>
        <w:t xml:space="preserve"> </w:t>
      </w:r>
      <w:r>
        <w:t xml:space="preserve">determinam o resultado.</w:t>
      </w:r>
    </w:p>
    <w:p>
      <w:pPr>
        <w:pStyle w:val="BlockText"/>
      </w:pPr>
      <w:r>
        <w:rPr>
          <w:b/>
          <w:bCs/>
        </w:rPr>
        <w:t xml:space="preserve">Material:</w:t>
      </w:r>
      <w:r>
        <w:t xml:space="preserve"> </w:t>
      </w:r>
      <w:r>
        <w:t xml:space="preserve">Nenhum (apenas projeção e discussão).</w:t>
      </w:r>
    </w:p>
    <w:p>
      <w:pPr>
        <w:pStyle w:val="BlockText"/>
      </w:pPr>
      <w:r>
        <w:rPr>
          <w:b/>
          <w:bCs/>
        </w:rPr>
        <w:t xml:space="preserve">Protocolo:</w:t>
      </w:r>
    </w:p>
    <w:p>
      <w:pPr>
        <w:pStyle w:val="Compact"/>
        <w:numPr>
          <w:ilvl w:val="0"/>
          <w:numId w:val="1544"/>
        </w:numPr>
      </w:pPr>
      <w:r>
        <w:rPr>
          <w:b/>
          <w:bCs/>
        </w:rPr>
        <w:t xml:space="preserve">O problema</w:t>
      </w:r>
      <w:r>
        <w:t xml:space="preserve"> </w:t>
      </w:r>
      <w:r>
        <w:t xml:space="preserve">(2 min):</w:t>
      </w:r>
      <w:r>
        <w:t xml:space="preserve"> </w:t>
      </w:r>
      <w:r>
        <w:t xml:space="preserve">“Dois irmãos precisam dividir um bolo. Cada um acha que merece mais da metade. Vocês são o</w:t>
      </w:r>
      <w:r>
        <w:t xml:space="preserve"> </w:t>
      </w:r>
      <w:r>
        <w:rPr>
          <w:i/>
          <w:iCs/>
        </w:rPr>
        <w:t xml:space="preserve">designer de mecanismo</w:t>
      </w:r>
      <w:r>
        <w:t xml:space="preserve">: inventem uma regra de divisão que seja justa e à prova de manipulação.”</w:t>
      </w:r>
    </w:p>
    <w:p>
      <w:pPr>
        <w:pStyle w:val="Compact"/>
        <w:numPr>
          <w:ilvl w:val="0"/>
          <w:numId w:val="1544"/>
        </w:numPr>
      </w:pPr>
      <w:r>
        <w:rPr>
          <w:b/>
          <w:bCs/>
        </w:rPr>
        <w:t xml:space="preserve">Brainstorm em pares</w:t>
      </w:r>
      <w:r>
        <w:t xml:space="preserve"> </w:t>
      </w:r>
      <w:r>
        <w:t xml:space="preserve">(5 min): Duplas propõem mecanismos. Registre no quadro.</w:t>
      </w:r>
    </w:p>
    <w:p>
      <w:pPr>
        <w:pStyle w:val="Compact"/>
        <w:numPr>
          <w:ilvl w:val="0"/>
          <w:numId w:val="1544"/>
        </w:numPr>
      </w:pPr>
      <w:r>
        <w:rPr>
          <w:b/>
          <w:bCs/>
        </w:rPr>
        <w:t xml:space="preserve">Discussão coletiva</w:t>
      </w:r>
      <w:r>
        <w:t xml:space="preserve"> </w:t>
      </w:r>
      <w:r>
        <w:t xml:space="preserve">(8 min):</w:t>
      </w:r>
    </w:p>
    <w:p>
      <w:pPr>
        <w:pStyle w:val="Compact"/>
        <w:numPr>
          <w:ilvl w:val="1"/>
          <w:numId w:val="1545"/>
        </w:numPr>
      </w:pPr>
      <w:r>
        <w:t xml:space="preserve">Mecanismo clássico:</w:t>
      </w:r>
      <w:r>
        <w:t xml:space="preserve"> </w:t>
      </w:r>
      <w:r>
        <w:t xml:space="preserve">“Um corta, o outro escolhe.”</w:t>
      </w:r>
      <w:r>
        <w:t xml:space="preserve"> </w:t>
      </w:r>
      <w:r>
        <w:t xml:space="preserve">Por que funciona? → Quem corta tem incentivo a dividir igualmente (senão o outro pega o pedaço maior). É um mecanismo</w:t>
      </w:r>
      <w:r>
        <w:t xml:space="preserve"> </w:t>
      </w:r>
      <w:r>
        <w:rPr>
          <w:i/>
          <w:iCs/>
        </w:rPr>
        <w:t xml:space="preserve">incentivo-compatível</w:t>
      </w:r>
      <w:r>
        <w:t xml:space="preserve">: a ação egoísta gera o resultado eficiente.</w:t>
      </w:r>
    </w:p>
    <w:p>
      <w:pPr>
        <w:pStyle w:val="Compact"/>
        <w:numPr>
          <w:ilvl w:val="1"/>
          <w:numId w:val="1545"/>
        </w:numPr>
      </w:pPr>
      <w:r>
        <w:t xml:space="preserve">Compare com:</w:t>
      </w:r>
      <w:r>
        <w:t xml:space="preserve"> </w:t>
      </w:r>
      <w:r>
        <w:t xml:space="preserve">“Cada um diz quanto quer e o juiz decide.”</w:t>
      </w:r>
      <w:r>
        <w:t xml:space="preserve"> </w:t>
      </w:r>
      <w:r>
        <w:t xml:space="preserve">→ Incentivo a exagerar (cheap talk!).</w:t>
      </w:r>
    </w:p>
    <w:p>
      <w:pPr>
        <w:pStyle w:val="Compact"/>
        <w:numPr>
          <w:ilvl w:val="1"/>
          <w:numId w:val="1545"/>
        </w:numPr>
      </w:pPr>
      <w:r>
        <w:t xml:space="preserve">Compare com:</w:t>
      </w:r>
      <w:r>
        <w:t xml:space="preserve"> </w:t>
      </w:r>
      <w:r>
        <w:t xml:space="preserve">“Leilão: quem paga mais fica com o bolo.”</w:t>
      </w:r>
      <w:r>
        <w:t xml:space="preserve"> </w:t>
      </w:r>
      <w:r>
        <w:t xml:space="preserve">→ Eficiente mas não justo para quem é mais pobre.</w:t>
      </w:r>
    </w:p>
    <w:p>
      <w:pPr>
        <w:pStyle w:val="Compact"/>
        <w:numPr>
          <w:ilvl w:val="1"/>
          <w:numId w:val="1545"/>
        </w:numPr>
      </w:pPr>
      <w:r>
        <w:t xml:space="preserve">Conecte ao Princípio da Revelação: o mecanismo</w:t>
      </w:r>
      <w:r>
        <w:t xml:space="preserve"> </w:t>
      </w:r>
      <w:r>
        <w:t xml:space="preserve">“um corta, outro escolhe”</w:t>
      </w:r>
      <w:r>
        <w:t xml:space="preserve"> </w:t>
      </w:r>
      <w:r>
        <w:rPr>
          <w:i/>
          <w:iCs/>
        </w:rPr>
        <w:t xml:space="preserve">induz</w:t>
      </w:r>
      <w:r>
        <w:t xml:space="preserve"> </w:t>
      </w:r>
      <w:r>
        <w:t xml:space="preserve">revelação verdadeira das preferências sem exigi-la explicitamente — como o leilão de Vickrey induz lances verdadeiros.</w:t>
      </w:r>
    </w:p>
    <w:p>
      <w:pPr>
        <w:pStyle w:val="Compact"/>
        <w:numPr>
          <w:ilvl w:val="1"/>
          <w:numId w:val="1545"/>
        </w:numPr>
      </w:pPr>
      <w:r>
        <w:t xml:space="preserve">Referência pythonesca</w:t>
      </w:r>
      <w:r>
        <w:rPr>
          <w:rStyle w:val="FootnoteReference"/>
        </w:rPr>
        <w:footnoteReference w:id="576"/>
      </w:r>
      <w:r>
        <w:t xml:space="preserve">:</w:t>
      </w:r>
      <w:r>
        <w:t xml:space="preserve"> </w:t>
      </w:r>
      <w:r>
        <w:rPr>
          <w:i/>
          <w:iCs/>
        </w:rPr>
        <w:t xml:space="preserve">“First shalt thou take out the Holy Pin. Then shalt thou count to three. No more. No less.”</w:t>
      </w:r>
      <w:r>
        <w:t xml:space="preserve"> </w:t>
      </w:r>
      <w:r>
        <w:t xml:space="preserve">— A Santa Granada de Antioquia só funciona se o protocolo for seguido exatamente. Mecanismos são assim: a especificação precisa das regras é o que garante o resultado desejado. Conte até quatro e tudo explode (literalmente).</w:t>
      </w:r>
    </w:p>
    <w:p>
      <w:pPr>
        <w:pStyle w:val="BlockText"/>
      </w:pPr>
      <w:r>
        <w:rPr>
          <w:b/>
          <w:bCs/>
        </w:rPr>
        <w:t xml:space="preserve">Conexão com o conteúdo:</w:t>
      </w:r>
      <w:r>
        <w:t xml:space="preserve"> </w:t>
      </w:r>
      <w:r>
        <w:t xml:space="preserve">Desenho de mecanismos (Seção 9c.4), Princípio da Revelação, mecanismo VCG.</w:t>
      </w:r>
    </w:p>
    <w:p>
      <w:r>
        <w:pict>
          <v:rect style="width:0;height:1.5pt" o:hralign="center" o:hrstd="t" o:hr="t"/>
        </w:pict>
      </w:r>
    </w:p>
    <w:bookmarkEnd w:id="577"/>
    <w:bookmarkStart w:id="578" w:name="revisão-rápida-9"/>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No Equilíbrio Bayesiano de Nash (BNE), cada jogador:</w:t>
      </w:r>
    </w:p>
    <w:p>
      <w:pPr>
        <w:pStyle w:val="Compact"/>
        <w:numPr>
          <w:ilvl w:val="0"/>
          <w:numId w:val="1546"/>
        </w:numPr>
      </w:pPr>
    </w:p>
    <w:p>
      <w:pPr>
        <w:pStyle w:val="Compact"/>
        <w:numPr>
          <w:ilvl w:val="1"/>
          <w:numId w:val="1547"/>
        </w:numPr>
      </w:pPr>
      <w:r>
        <w:t xml:space="preserve">Conhece perfeitamente o tipo de todos os demais jogadores</w:t>
      </w:r>
    </w:p>
    <w:p>
      <w:pPr>
        <w:pStyle w:val="Compact"/>
        <w:numPr>
          <w:ilvl w:val="0"/>
          <w:numId w:val="1546"/>
        </w:numPr>
      </w:pPr>
    </w:p>
    <w:p>
      <w:pPr>
        <w:pStyle w:val="Compact"/>
        <w:numPr>
          <w:ilvl w:val="1"/>
          <w:numId w:val="1548"/>
        </w:numPr>
      </w:pPr>
      <w:r>
        <w:t xml:space="preserve">Maximiza seu payoff esperado condicionando nas crenças sobre os tipos dos demais e nas estratégias de equilíbrio</w:t>
      </w:r>
    </w:p>
    <w:p>
      <w:pPr>
        <w:pStyle w:val="Compact"/>
        <w:numPr>
          <w:ilvl w:val="0"/>
          <w:numId w:val="1546"/>
        </w:numPr>
      </w:pPr>
    </w:p>
    <w:p>
      <w:pPr>
        <w:pStyle w:val="Compact"/>
        <w:numPr>
          <w:ilvl w:val="1"/>
          <w:numId w:val="1549"/>
        </w:numPr>
      </w:pPr>
      <w:r>
        <w:t xml:space="preserve">Escolhe a estratégia que maximiza o payoff no pior cenário possível (maximin)</w:t>
      </w:r>
    </w:p>
    <w:p>
      <w:pPr>
        <w:pStyle w:val="Compact"/>
        <w:numPr>
          <w:ilvl w:val="0"/>
          <w:numId w:val="1546"/>
        </w:numPr>
      </w:pPr>
    </w:p>
    <w:p>
      <w:pPr>
        <w:pStyle w:val="Compact"/>
        <w:numPr>
          <w:ilvl w:val="1"/>
          <w:numId w:val="1550"/>
        </w:numPr>
      </w:pPr>
      <w:r>
        <w:t xml:space="preserve">Observa as ações anteriores dos demais antes de decidir</w:t>
      </w:r>
    </w:p>
    <w:p>
      <w:pPr>
        <w:pStyle w:val="BlockText"/>
      </w:pPr>
      <w:r>
        <w:t xml:space="preserve">??? success</w:t>
      </w:r>
      <w:r>
        <w:t xml:space="preserve"> </w:t>
      </w:r>
      <w:r>
        <w:t xml:space="preserve">“Resposta”</w:t>
      </w:r>
      <w:r>
        <w:t xml:space="preserve"> </w:t>
      </w:r>
      <w:r>
        <w:rPr>
          <w:b/>
          <w:bCs/>
        </w:rPr>
        <w:t xml:space="preserve">(b)</w:t>
      </w:r>
      <w:r>
        <w:t xml:space="preserve"> </w:t>
      </w:r>
      <w:r>
        <w:t xml:space="preserve">No BNE, cada tipo de cada jogador escolhe a ação que maximiza seu payoff esperado, dado suas crenças (prior bayesiano) sobre os tipos dos demais e dado que os demais jogam suas estratégias de equilíbrio. A alternativa (a) descreve informação completa; (c) descreve maximin, não Nash bayesiano; (d) descreve jogos dinâmicos, não estáticos com informação incompleta.</w:t>
      </w:r>
    </w:p>
    <w:p>
      <w:pPr>
        <w:pStyle w:val="BlockText"/>
      </w:pPr>
      <w:r>
        <w:rPr>
          <w:b/>
          <w:bCs/>
        </w:rPr>
        <w:t xml:space="preserve">[QUESTAO] 2. Em um leilão de segundo preço (Vickrey) com valores privados independentes, a estratégia dominante de cada participante é:</w:t>
      </w:r>
    </w:p>
    <w:p>
      <w:pPr>
        <w:pStyle w:val="Compact"/>
        <w:numPr>
          <w:ilvl w:val="0"/>
          <w:numId w:val="1551"/>
        </w:numPr>
      </w:pPr>
    </w:p>
    <w:p>
      <w:pPr>
        <w:pStyle w:val="Compact"/>
        <w:numPr>
          <w:ilvl w:val="1"/>
          <w:numId w:val="1552"/>
        </w:numPr>
      </w:pPr>
      <w:r>
        <w:t xml:space="preserve">Ofertar abaixo do próprio valor para obter lucro positivo</w:t>
      </w:r>
    </w:p>
    <w:p>
      <w:pPr>
        <w:pStyle w:val="Compact"/>
        <w:numPr>
          <w:ilvl w:val="0"/>
          <w:numId w:val="1551"/>
        </w:numPr>
      </w:pPr>
    </w:p>
    <w:p>
      <w:pPr>
        <w:pStyle w:val="Compact"/>
        <w:numPr>
          <w:ilvl w:val="1"/>
          <w:numId w:val="1553"/>
        </w:numPr>
      </w:pPr>
      <w:r>
        <w:t xml:space="preserve">Ofertar exatamente o próprio valor verdadeiro</w:t>
      </w:r>
    </w:p>
    <w:p>
      <w:pPr>
        <w:pStyle w:val="Compact"/>
        <w:numPr>
          <w:ilvl w:val="0"/>
          <w:numId w:val="1551"/>
        </w:numPr>
      </w:pPr>
    </w:p>
    <w:p>
      <w:pPr>
        <w:pStyle w:val="Compact"/>
        <w:numPr>
          <w:ilvl w:val="1"/>
          <w:numId w:val="1554"/>
        </w:numPr>
      </w:pPr>
      <w:r>
        <w:t xml:space="preserve">Ofertar acima do próprio valor para aumentar a chance de vencer</w:t>
      </w:r>
    </w:p>
    <w:p>
      <w:pPr>
        <w:pStyle w:val="Compact"/>
        <w:numPr>
          <w:ilvl w:val="0"/>
          <w:numId w:val="1551"/>
        </w:numPr>
      </w:pPr>
    </w:p>
    <w:p>
      <w:pPr>
        <w:pStyle w:val="Compact"/>
        <w:numPr>
          <w:ilvl w:val="1"/>
          <w:numId w:val="1555"/>
        </w:numPr>
      </w:pPr>
      <w:r>
        <w:t xml:space="preserve">Ofertar a média entre seu valor e o valor esperado dos demais</w:t>
      </w:r>
    </w:p>
    <w:p>
      <w:pPr>
        <w:pStyle w:val="BlockText"/>
      </w:pPr>
      <w:r>
        <w:t xml:space="preserve">??? success</w:t>
      </w:r>
      <w:r>
        <w:t xml:space="preserve"> </w:t>
      </w:r>
      <w:r>
        <w:t xml:space="preserve">“Resposta”</w:t>
      </w:r>
      <w:r>
        <w:t xml:space="preserve"> </w:t>
      </w:r>
      <w:r>
        <w:rPr>
          <w:b/>
          <w:bCs/>
        </w:rPr>
        <w:t xml:space="preserve">(b)</w:t>
      </w:r>
      <w:r>
        <w:t xml:space="preserve"> </w:t>
      </w:r>
      <w:r>
        <w:t xml:space="preserve">No leilão de Vickrey, o vencedor paga o segundo maior lance. Ofertar o valor verdadeiro é estratégia fracamente dominante: ofertar menos reduz a chance de vencer sem alterar o preço pago; ofertar mais pode levar a vencer e pagar mais do que o bem vale. A alternativa (a) descreve bid shading, ótimo em leilão de primeiro preço; (c) gera</w:t>
      </w:r>
      <w:r>
        <w:t xml:space="preserve"> </w:t>
      </w:r>
      <w:r>
        <w:t xml:space="preserve">‘winner’s curse’</w:t>
      </w:r>
      <w:r>
        <w:t xml:space="preserve">.</w:t>
      </w:r>
    </w:p>
    <w:p>
      <w:pPr>
        <w:pStyle w:val="BlockText"/>
      </w:pPr>
      <w:r>
        <w:rPr>
          <w:b/>
          <w:bCs/>
        </w:rPr>
        <w:t xml:space="preserve">[QUESTAO] 3. O Teorema da Equivalência de Receita afirma que, sob certas condições, todos os formatos de leilão padrão geram:</w:t>
      </w:r>
    </w:p>
    <w:p>
      <w:pPr>
        <w:pStyle w:val="Compact"/>
        <w:numPr>
          <w:ilvl w:val="0"/>
          <w:numId w:val="1556"/>
        </w:numPr>
      </w:pPr>
    </w:p>
    <w:p>
      <w:pPr>
        <w:pStyle w:val="Compact"/>
        <w:numPr>
          <w:ilvl w:val="1"/>
          <w:numId w:val="1557"/>
        </w:numPr>
      </w:pPr>
      <w:r>
        <w:t xml:space="preserve">O mesmo vencedor e o mesmo preço pago em cada realização</w:t>
      </w:r>
    </w:p>
    <w:p>
      <w:pPr>
        <w:pStyle w:val="Compact"/>
        <w:numPr>
          <w:ilvl w:val="0"/>
          <w:numId w:val="1556"/>
        </w:numPr>
      </w:pPr>
    </w:p>
    <w:p>
      <w:pPr>
        <w:pStyle w:val="Compact"/>
        <w:numPr>
          <w:ilvl w:val="1"/>
          <w:numId w:val="1558"/>
        </w:numPr>
      </w:pPr>
      <w:r>
        <w:t xml:space="preserve">A mesma receita esperada para o leiloeiro</w:t>
      </w:r>
    </w:p>
    <w:p>
      <w:pPr>
        <w:pStyle w:val="Compact"/>
        <w:numPr>
          <w:ilvl w:val="0"/>
          <w:numId w:val="1556"/>
        </w:numPr>
      </w:pPr>
    </w:p>
    <w:p>
      <w:pPr>
        <w:pStyle w:val="Compact"/>
        <w:numPr>
          <w:ilvl w:val="1"/>
          <w:numId w:val="1559"/>
        </w:numPr>
      </w:pPr>
      <w:r>
        <w:t xml:space="preserve">O mesmo lance ótimo para cada participante</w:t>
      </w:r>
    </w:p>
    <w:p>
      <w:pPr>
        <w:pStyle w:val="Compact"/>
        <w:numPr>
          <w:ilvl w:val="0"/>
          <w:numId w:val="1556"/>
        </w:numPr>
      </w:pPr>
    </w:p>
    <w:p>
      <w:pPr>
        <w:pStyle w:val="Compact"/>
        <w:numPr>
          <w:ilvl w:val="1"/>
          <w:numId w:val="1560"/>
        </w:numPr>
      </w:pPr>
      <w:r>
        <w:t xml:space="preserve">Eficiência alocativa apenas em leilões de segundo preço</w:t>
      </w:r>
    </w:p>
    <w:p>
      <w:pPr>
        <w:pStyle w:val="BlockText"/>
      </w:pPr>
      <w:r>
        <w:t xml:space="preserve">??? success</w:t>
      </w:r>
      <w:r>
        <w:t xml:space="preserve"> </w:t>
      </w:r>
      <w:r>
        <w:t xml:space="preserve">“Resposta”</w:t>
      </w:r>
      <w:r>
        <w:t xml:space="preserve"> </w:t>
      </w:r>
      <w:r>
        <w:rPr>
          <w:b/>
          <w:bCs/>
        </w:rPr>
        <w:t xml:space="preserve">(b)</w:t>
      </w:r>
      <w:r>
        <w:t xml:space="preserve"> </w:t>
      </w:r>
      <w:r>
        <w:t xml:space="preserve">Com valores privados independentes, simetria, aversão ao risco neutra e certas condições de regularidade, todos os leilões padrão (primeiro preço, segundo preço, inglês, holandês) geram a mesma receita esperada para o vendedor. O vencedor é sempre o mesmo (quem tem maior valor), mas o preço pago pode diferir em cada realização — a equivalência é em expectativa. A alternativa (a) confunde valores realizados com esperados.</w:t>
      </w:r>
    </w:p>
    <w:p>
      <w:pPr>
        <w:pStyle w:val="BlockText"/>
      </w:pPr>
      <w:r>
        <w:rPr>
          <w:b/>
          <w:bCs/>
        </w:rPr>
        <w:t xml:space="preserve">[QUESTAO] 4. No leilão de primeiro preço com valores privados, o bid shading (ofertar abaixo do valor) é ótimo porque:</w:t>
      </w:r>
    </w:p>
    <w:p>
      <w:pPr>
        <w:pStyle w:val="Compact"/>
        <w:numPr>
          <w:ilvl w:val="0"/>
          <w:numId w:val="1561"/>
        </w:numPr>
      </w:pPr>
    </w:p>
    <w:p>
      <w:pPr>
        <w:pStyle w:val="Compact"/>
        <w:numPr>
          <w:ilvl w:val="1"/>
          <w:numId w:val="1562"/>
        </w:numPr>
      </w:pPr>
      <w:r>
        <w:t xml:space="preserve">O participante quer minimizar seu gasto total</w:t>
      </w:r>
    </w:p>
    <w:p>
      <w:pPr>
        <w:pStyle w:val="Compact"/>
        <w:numPr>
          <w:ilvl w:val="0"/>
          <w:numId w:val="1561"/>
        </w:numPr>
      </w:pPr>
    </w:p>
    <w:p>
      <w:pPr>
        <w:pStyle w:val="Compact"/>
        <w:numPr>
          <w:ilvl w:val="1"/>
          <w:numId w:val="1563"/>
        </w:numPr>
      </w:pPr>
      <w:r>
        <w:t xml:space="preserve">Ofertar o valor verdadeiro resultaria em lucro zero quando vencer, então vale a pena sacrificar alguma probabilidade de vencer por lucro positivo</w:t>
      </w:r>
    </w:p>
    <w:p>
      <w:pPr>
        <w:pStyle w:val="Compact"/>
        <w:numPr>
          <w:ilvl w:val="0"/>
          <w:numId w:val="1561"/>
        </w:numPr>
      </w:pPr>
    </w:p>
    <w:p>
      <w:pPr>
        <w:pStyle w:val="Compact"/>
        <w:numPr>
          <w:ilvl w:val="1"/>
          <w:numId w:val="1564"/>
        </w:numPr>
      </w:pPr>
      <w:r>
        <w:t xml:space="preserve">É ilegal ofertar o valor verdadeiro</w:t>
      </w:r>
    </w:p>
    <w:p>
      <w:pPr>
        <w:pStyle w:val="Compact"/>
        <w:numPr>
          <w:ilvl w:val="0"/>
          <w:numId w:val="1561"/>
        </w:numPr>
      </w:pPr>
    </w:p>
    <w:p>
      <w:pPr>
        <w:pStyle w:val="Compact"/>
        <w:numPr>
          <w:ilvl w:val="1"/>
          <w:numId w:val="1565"/>
        </w:numPr>
      </w:pPr>
      <w:r>
        <w:t xml:space="preserve">Todos os outros participantes ofertam zero</w:t>
      </w:r>
    </w:p>
    <w:p>
      <w:pPr>
        <w:pStyle w:val="BlockText"/>
      </w:pPr>
      <w:r>
        <w:t xml:space="preserve">??? success</w:t>
      </w:r>
      <w:r>
        <w:t xml:space="preserve"> </w:t>
      </w:r>
      <w:r>
        <w:t xml:space="preserve">“Resposta”</w:t>
      </w:r>
      <w:r>
        <w:t xml:space="preserve"> </w:t>
      </w:r>
      <w:r>
        <w:rPr>
          <w:b/>
          <w:bCs/>
        </w:rPr>
        <w:t xml:space="preserve">(b)</w:t>
      </w:r>
      <w:r>
        <w:t xml:space="preserve"> </w:t>
      </w:r>
      <w:r>
        <w:t xml:space="preserve">No primeiro preço, o vencedor paga seu próprio lance. Ofertar</w:t>
      </w:r>
      <w:r>
        <w:t xml:space="preserve"> </w:t>
      </w:r>
      <m:oMath>
        <m:sSub>
          <m:e>
            <m:r>
              <m:t>v</m:t>
            </m:r>
          </m:e>
          <m:sub>
            <m:r>
              <m:t>i</m:t>
            </m:r>
          </m:sub>
        </m:sSub>
      </m:oMath>
      <w:r>
        <w:t xml:space="preserve"> </w:t>
      </w:r>
      <w:r>
        <w:t xml:space="preserve">garante lucro zero se vencer. Ao ofertar</w:t>
      </w:r>
      <w:r>
        <w:t xml:space="preserve"> </w:t>
      </w:r>
      <m:oMath>
        <m:sSub>
          <m:e>
            <m:r>
              <m:t>b</m:t>
            </m:r>
          </m:e>
          <m:sub>
            <m:r>
              <m:t>i</m:t>
            </m:r>
          </m:sub>
        </m:sSub>
        <m:r>
          <m:rPr>
            <m:sty m:val="p"/>
          </m:rPr>
          <m:t>&lt;</m:t>
        </m:r>
        <m:sSub>
          <m:e>
            <m:r>
              <m:t>v</m:t>
            </m:r>
          </m:e>
          <m:sub>
            <m:r>
              <m:t>i</m:t>
            </m:r>
          </m:sub>
        </m:sSub>
      </m:oMath>
      <w:r>
        <w:t xml:space="preserve">, o participante obtém lucro</w:t>
      </w:r>
      <w:r>
        <w:t xml:space="preserve"> </w:t>
      </w:r>
      <m:oMath>
        <m:sSub>
          <m:e>
            <m:r>
              <m:t>v</m:t>
            </m:r>
          </m:e>
          <m:sub>
            <m:r>
              <m:t>i</m:t>
            </m:r>
          </m:sub>
        </m:sSub>
        <m:r>
          <m:rPr>
            <m:sty m:val="p"/>
          </m:rPr>
          <m:t>−</m:t>
        </m:r>
        <m:sSub>
          <m:e>
            <m:r>
              <m:t>b</m:t>
            </m:r>
          </m:e>
          <m:sub>
            <m:r>
              <m:t>i</m:t>
            </m:r>
          </m:sub>
        </m:sSub>
        <m:r>
          <m:rPr>
            <m:sty m:val="p"/>
          </m:rPr>
          <m:t>&gt;</m:t>
        </m:r>
        <m:r>
          <m:t>0</m:t>
        </m:r>
      </m:oMath>
      <w:r>
        <w:t xml:space="preserve"> </w:t>
      </w:r>
      <w:r>
        <w:t xml:space="preserve">quando vence, ao custo de uma menor probabilidade de vitória. O lance ótimo equilibra esse trade-off. O grau de shading depende do número de competidores — com mais competidores, shading diminui.</w:t>
      </w:r>
    </w:p>
    <w:p>
      <w:pPr>
        <w:pStyle w:val="BlockText"/>
      </w:pPr>
      <w:r>
        <w:rPr>
          <w:b/>
          <w:bCs/>
        </w:rPr>
        <w:t xml:space="preserve">[QUESTAO] 5. A</w:t>
      </w:r>
      <w:r>
        <w:rPr>
          <w:b/>
          <w:bCs/>
        </w:rPr>
        <w:t xml:space="preserve"> </w:t>
      </w:r>
      <w:r>
        <w:rPr>
          <w:b/>
          <w:bCs/>
        </w:rPr>
        <w:t xml:space="preserve">‘maldição do vencedor’</w:t>
      </w:r>
      <w:r>
        <w:rPr>
          <w:b/>
          <w:bCs/>
        </w:rPr>
        <w:t xml:space="preserve"> </w:t>
      </w:r>
      <w:r>
        <w:rPr>
          <w:b/>
          <w:bCs/>
        </w:rPr>
        <w:t xml:space="preserve">(winner’s curse) ocorre tipicamente em leilões de:</w:t>
      </w:r>
    </w:p>
    <w:p>
      <w:pPr>
        <w:pStyle w:val="Compact"/>
        <w:numPr>
          <w:ilvl w:val="0"/>
          <w:numId w:val="1566"/>
        </w:numPr>
      </w:pPr>
    </w:p>
    <w:p>
      <w:pPr>
        <w:pStyle w:val="Compact"/>
        <w:numPr>
          <w:ilvl w:val="1"/>
          <w:numId w:val="1567"/>
        </w:numPr>
      </w:pPr>
      <w:r>
        <w:t xml:space="preserve">Valores privados independentes</w:t>
      </w:r>
    </w:p>
    <w:p>
      <w:pPr>
        <w:pStyle w:val="Compact"/>
        <w:numPr>
          <w:ilvl w:val="0"/>
          <w:numId w:val="1566"/>
        </w:numPr>
      </w:pPr>
    </w:p>
    <w:p>
      <w:pPr>
        <w:pStyle w:val="Compact"/>
        <w:numPr>
          <w:ilvl w:val="1"/>
          <w:numId w:val="1568"/>
        </w:numPr>
      </w:pPr>
      <w:r>
        <w:t xml:space="preserve">Valor comum, onde o fato de ter o maior lance sugere que se superestimou o valor do objeto</w:t>
      </w:r>
    </w:p>
    <w:p>
      <w:pPr>
        <w:pStyle w:val="Compact"/>
        <w:numPr>
          <w:ilvl w:val="0"/>
          <w:numId w:val="1566"/>
        </w:numPr>
      </w:pPr>
    </w:p>
    <w:p>
      <w:pPr>
        <w:pStyle w:val="Compact"/>
        <w:numPr>
          <w:ilvl w:val="1"/>
          <w:numId w:val="1569"/>
        </w:numPr>
      </w:pPr>
      <w:r>
        <w:t xml:space="preserve">Segundo preço, onde o pagamento é sempre justo</w:t>
      </w:r>
    </w:p>
    <w:p>
      <w:pPr>
        <w:pStyle w:val="Compact"/>
        <w:numPr>
          <w:ilvl w:val="0"/>
          <w:numId w:val="1566"/>
        </w:numPr>
      </w:pPr>
    </w:p>
    <w:p>
      <w:pPr>
        <w:pStyle w:val="Compact"/>
        <w:numPr>
          <w:ilvl w:val="1"/>
          <w:numId w:val="1570"/>
        </w:numPr>
      </w:pPr>
      <w:r>
        <w:t xml:space="preserve">Qualquer formato, independentemente da estrutura de valores</w:t>
      </w:r>
    </w:p>
    <w:p>
      <w:pPr>
        <w:pStyle w:val="BlockText"/>
      </w:pPr>
      <w:r>
        <w:t xml:space="preserve">??? success</w:t>
      </w:r>
      <w:r>
        <w:t xml:space="preserve"> </w:t>
      </w:r>
      <w:r>
        <w:t xml:space="preserve">“Resposta”</w:t>
      </w:r>
      <w:r>
        <w:t xml:space="preserve"> </w:t>
      </w:r>
      <w:r>
        <w:rPr>
          <w:b/>
          <w:bCs/>
        </w:rPr>
        <w:t xml:space="preserve">(b)</w:t>
      </w:r>
      <w:r>
        <w:t xml:space="preserve"> </w:t>
      </w:r>
      <w:r>
        <w:t xml:space="preserve">Em leilões de valor comum (ex.: leilão de direitos de exploração de petróleo), o objeto tem o mesmo valor para todos, mas cada um tem uma estimativa com ruído. O vencedor é quem teve a estimativa mais otimista, o que sistematicamente superestima o valor. Licitantes racionais antecipam isso e ajustam seus lances para baixo. Em valores privados (a), não há maldição do vencedor.</w:t>
      </w:r>
    </w:p>
    <w:p>
      <w:r>
        <w:pict>
          <v:rect style="width:0;height:1.5pt" o:hralign="center" o:hrstd="t" o:hr="t"/>
        </w:pict>
      </w:r>
    </w:p>
    <w:bookmarkEnd w:id="578"/>
    <w:bookmarkStart w:id="579" w:name="resumo-do-capítulo-9"/>
    <w:p>
      <w:pPr>
        <w:pStyle w:val="Heading3"/>
      </w:pPr>
      <w:r>
        <w:t xml:space="preserve">📋 Resumo do Capítulo</w:t>
      </w:r>
    </w:p>
    <w:p>
      <w:pPr>
        <w:pStyle w:val="Compact"/>
        <w:numPr>
          <w:ilvl w:val="0"/>
          <w:numId w:val="1571"/>
        </w:numPr>
      </w:pPr>
      <w:r>
        <w:t xml:space="preserve">Jogos com</w:t>
      </w:r>
      <w:r>
        <w:t xml:space="preserve"> </w:t>
      </w:r>
      <w:r>
        <w:rPr>
          <w:b/>
          <w:bCs/>
        </w:rPr>
        <w:t xml:space="preserve">informação incompleta</w:t>
      </w:r>
      <w:r>
        <w:t xml:space="preserve"> </w:t>
      </w:r>
      <w:r>
        <w:t xml:space="preserve">modelam situações em que os jogadores não conhecem plenamente as características dos demais (payoffs, custos, tipo). A transformação de Harsanyi converte essa incerteza em um jogo bayesiano com</w:t>
      </w:r>
      <w:r>
        <w:t xml:space="preserve"> </w:t>
      </w:r>
      <w:r>
        <w:t xml:space="preserve">“tipos”</w:t>
      </w:r>
      <w:r>
        <w:t xml:space="preserve"> </w:t>
      </w:r>
      <w:r>
        <w:t xml:space="preserve">privados sorteados pela natureza.</w:t>
      </w:r>
    </w:p>
    <w:p>
      <w:pPr>
        <w:pStyle w:val="Compact"/>
        <w:numPr>
          <w:ilvl w:val="0"/>
          <w:numId w:val="1571"/>
        </w:numPr>
      </w:pPr>
      <w:r>
        <w:t xml:space="preserve">O conceito de equilíbrio é o</w:t>
      </w:r>
      <w:r>
        <w:t xml:space="preserve"> </w:t>
      </w:r>
      <w:r>
        <w:rPr>
          <w:b/>
          <w:bCs/>
        </w:rPr>
        <w:t xml:space="preserve">Equilíbrio Bayesiano de Nash (BNE)</w:t>
      </w:r>
      <w:r>
        <w:t xml:space="preserve">: cada tipo de cada jogador maximiza seu payoff esperado, condicionando nas crenças sobre os tipos dos outros e nas estratégias de equilíbrio dos demais.</w:t>
      </w:r>
    </w:p>
    <w:p>
      <w:pPr>
        <w:pStyle w:val="Compact"/>
        <w:numPr>
          <w:ilvl w:val="0"/>
          <w:numId w:val="1571"/>
        </w:numPr>
      </w:pPr>
      <w:r>
        <w:t xml:space="preserve">Em</w:t>
      </w:r>
      <w:r>
        <w:t xml:space="preserve"> </w:t>
      </w:r>
      <w:r>
        <w:rPr>
          <w:b/>
          <w:bCs/>
        </w:rPr>
        <w:t xml:space="preserve">leilões de valor privado</w:t>
      </w:r>
      <w:r>
        <w:t xml:space="preserve">, a estratégia ótima depende do formato: no leilão de segundo preço (Vickrey), lançar o valor verdadeiro é estratégia fracamente dominante; no de primeiro preço, licitantes</w:t>
      </w:r>
      <w:r>
        <w:t xml:space="preserve"> </w:t>
      </w:r>
      <w:r>
        <w:t xml:space="preserve">“sombreiam”</w:t>
      </w:r>
      <w:r>
        <w:t xml:space="preserve"> </w:t>
      </w:r>
      <w:r>
        <w:t xml:space="preserve">seus lances por um fator</w:t>
      </w:r>
      <w:r>
        <w:t xml:space="preserve"> </w:t>
      </w:r>
      <m:oMath>
        <m:r>
          <m:rPr>
            <m:sty m:val="p"/>
          </m:rPr>
          <m:t>(</m:t>
        </m:r>
        <m:r>
          <m:t>N</m:t>
        </m:r>
        <m:r>
          <m:rPr>
            <m:sty m:val="p"/>
          </m:rPr>
          <m:t>−</m:t>
        </m:r>
        <m:r>
          <m:t>1</m:t>
        </m:r>
        <m:r>
          <m:rPr>
            <m:sty m:val="p"/>
          </m:rPr>
          <m:t>)</m:t>
        </m:r>
        <m:r>
          <m:rPr>
            <m:sty m:val="p"/>
          </m:rPr>
          <m:t>/</m:t>
        </m:r>
        <m:r>
          <m:t>N</m:t>
        </m:r>
      </m:oMath>
      <w:r>
        <w:t xml:space="preserve">.</w:t>
      </w:r>
    </w:p>
    <w:p>
      <w:pPr>
        <w:pStyle w:val="Compact"/>
        <w:numPr>
          <w:ilvl w:val="0"/>
          <w:numId w:val="1571"/>
        </w:numPr>
      </w:pPr>
      <w:r>
        <w:t xml:space="preserve">O</w:t>
      </w:r>
      <w:r>
        <w:t xml:space="preserve"> </w:t>
      </w:r>
      <w:r>
        <w:rPr>
          <w:b/>
          <w:bCs/>
        </w:rPr>
        <w:t xml:space="preserve">Teorema da Equivalência de Receita</w:t>
      </w:r>
      <w:r>
        <w:t xml:space="preserve"> </w:t>
      </w:r>
      <w:r>
        <w:t xml:space="preserve">estabelece que, sob hipóteses padrão (simetria, IPV, risco-neutralidade), todos os formatos de leilão que atribuem o objeto ao maior valor geram a mesma receita esperada. A intuição vem do envelope theorem: os payoffs dos licitantes e a alocação são determinados pelas mesmas probabilidades, portanto o</w:t>
      </w:r>
      <w:r>
        <w:t xml:space="preserve"> </w:t>
      </w:r>
      <w:r>
        <w:t xml:space="preserve">“resíduo”</w:t>
      </w:r>
      <w:r>
        <w:t xml:space="preserve"> </w:t>
      </w:r>
      <w:r>
        <w:t xml:space="preserve">para o leiloeiro é fixo.</w:t>
      </w:r>
    </w:p>
    <w:p>
      <w:pPr>
        <w:pStyle w:val="Compact"/>
        <w:numPr>
          <w:ilvl w:val="0"/>
          <w:numId w:val="1571"/>
        </w:numPr>
      </w:pPr>
      <w:r>
        <w:t xml:space="preserve">Em</w:t>
      </w:r>
      <w:r>
        <w:t xml:space="preserve"> </w:t>
      </w:r>
      <w:r>
        <w:rPr>
          <w:b/>
          <w:bCs/>
        </w:rPr>
        <w:t xml:space="preserve">leilões de valor comum</w:t>
      </w:r>
      <w:r>
        <w:t xml:space="preserve">, a</w:t>
      </w:r>
      <w:r>
        <w:t xml:space="preserve"> </w:t>
      </w:r>
      <w:r>
        <w:rPr>
          <w:b/>
          <w:bCs/>
        </w:rPr>
        <w:t xml:space="preserve">maldição do vencedor</w:t>
      </w:r>
      <w:r>
        <w:t xml:space="preserve"> </w:t>
      </w:r>
      <w:r>
        <w:t xml:space="preserve">faz com que o ganhador tenda a superestimar o valor do objeto, exigindo sombreamento adicional dos lances. O ajuste ótimo condiciona no evento de vencer.</w:t>
      </w:r>
    </w:p>
    <w:p>
      <w:pPr>
        <w:pStyle w:val="Compact"/>
        <w:numPr>
          <w:ilvl w:val="0"/>
          <w:numId w:val="1571"/>
        </w:numPr>
      </w:pPr>
      <w:r>
        <w:t xml:space="preserve">O</w:t>
      </w:r>
      <w:r>
        <w:t xml:space="preserve"> </w:t>
      </w:r>
      <w:r>
        <w:rPr>
          <w:b/>
          <w:bCs/>
        </w:rPr>
        <w:t xml:space="preserve">desenho de mecanismos</w:t>
      </w:r>
      <w:r>
        <w:t xml:space="preserve"> </w:t>
      </w:r>
      <w:r>
        <w:t xml:space="preserve">inverte a pergunta da teoria dos jogos: dado o resultado desejado, qual jogo o implementa em equilíbrio? O Princípio da Revelação simplifica a busca ao limitar a análise a mecanismos de revelação direta.</w:t>
      </w:r>
    </w:p>
    <w:p>
      <w:pPr>
        <w:pStyle w:val="Compact"/>
        <w:numPr>
          <w:ilvl w:val="0"/>
          <w:numId w:val="1571"/>
        </w:numPr>
      </w:pPr>
      <w:r>
        <w:t xml:space="preserve">O</w:t>
      </w:r>
      <w:r>
        <w:t xml:space="preserve"> </w:t>
      </w:r>
      <w:r>
        <w:rPr>
          <w:b/>
          <w:bCs/>
        </w:rPr>
        <w:t xml:space="preserve">mecanismo VCG</w:t>
      </w:r>
      <w:r>
        <w:t xml:space="preserve"> </w:t>
      </w:r>
      <w:r>
        <w:t xml:space="preserve">generaliza o leilão de Vickrey para contextos multi-objeto, cobrando de cada agente a externalidade que impõe aos demais.</w:t>
      </w:r>
    </w:p>
    <w:p>
      <w:pPr>
        <w:pStyle w:val="Compact"/>
        <w:numPr>
          <w:ilvl w:val="0"/>
          <w:numId w:val="1571"/>
        </w:numPr>
      </w:pPr>
      <w:r>
        <w:t xml:space="preserve">O</w:t>
      </w:r>
      <w:r>
        <w:t xml:space="preserve"> </w:t>
      </w:r>
      <w:r>
        <w:rPr>
          <w:b/>
          <w:bCs/>
        </w:rPr>
        <w:t xml:space="preserve">leilão ótimo de Myerson</w:t>
      </w:r>
      <w:r>
        <w:t xml:space="preserve"> </w:t>
      </w:r>
      <w:r>
        <w:t xml:space="preserve">maximiza receita usando valores virtuais, preço de reserva e possível discriminação entre licitantes assimétricos.</w:t>
      </w:r>
    </w:p>
    <w:bookmarkEnd w:id="579"/>
    <w:bookmarkStart w:id="580" w:name="conceitos-chave-9"/>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Jogo bayesiano</w:t>
            </w:r>
          </w:p>
        </w:tc>
        <w:tc>
          <w:tcPr/>
          <w:p>
            <w:pPr>
              <w:pStyle w:val="Compact"/>
            </w:pPr>
            <w:r>
              <w:t xml:space="preserve">Jogo em que cada jogador possui um tipo privado sorteado pela natureza, com payoffs que dependem do perfil de tipos.</w:t>
            </w:r>
          </w:p>
        </w:tc>
      </w:tr>
      <w:tr>
        <w:tc>
          <w:tcPr/>
          <w:p>
            <w:pPr>
              <w:pStyle w:val="Compact"/>
            </w:pPr>
            <w:r>
              <w:t xml:space="preserve">Transformação de Harsanyi</w:t>
            </w:r>
          </w:p>
        </w:tc>
        <w:tc>
          <w:tcPr/>
          <w:p>
            <w:pPr>
              <w:pStyle w:val="Compact"/>
            </w:pPr>
            <w:r>
              <w:t xml:space="preserve">Técnica que converte um jogo com informação incompleta em um jogo com informação imperfeita, introduzindo a natureza como jogador que sorteia tipos.</w:t>
            </w:r>
          </w:p>
        </w:tc>
      </w:tr>
      <w:tr>
        <w:tc>
          <w:tcPr/>
          <w:p>
            <w:pPr>
              <w:pStyle w:val="Compact"/>
            </w:pPr>
            <w:r>
              <w:t xml:space="preserve">Equilíbrio Bayesiano de Nash (BNE)</w:t>
            </w:r>
          </w:p>
        </w:tc>
        <w:tc>
          <w:tcPr/>
          <w:p>
            <w:pPr>
              <w:pStyle w:val="Compact"/>
            </w:pPr>
            <w:r>
              <w:t xml:space="preserve">Perfil de estratégias (funções do tipo) em que cada tipo maximiza o payoff esperado, dadas as crenças e estratégias dos demais.</w:t>
            </w:r>
          </w:p>
        </w:tc>
      </w:tr>
      <w:tr>
        <w:tc>
          <w:tcPr/>
          <w:p>
            <w:pPr>
              <w:pStyle w:val="Compact"/>
            </w:pPr>
            <w:r>
              <w:t xml:space="preserve">Valores Privados Independentes (IPV)</w:t>
            </w:r>
          </w:p>
        </w:tc>
        <w:tc>
          <w:tcPr/>
          <w:p>
            <w:pPr>
              <w:pStyle w:val="Compact"/>
            </w:pPr>
            <w:r>
              <w:t xml:space="preserve">Modelo em que cada licitante conhece apenas seu próprio valor, sorteado independentemente dos demais.</w:t>
            </w:r>
          </w:p>
        </w:tc>
      </w:tr>
      <w:tr>
        <w:tc>
          <w:tcPr/>
          <w:p>
            <w:pPr>
              <w:pStyle w:val="Compact"/>
            </w:pPr>
            <w:r>
              <w:t xml:space="preserve">Leilão de segundo preço (Vickrey)</w:t>
            </w:r>
          </w:p>
        </w:tc>
        <w:tc>
          <w:tcPr/>
          <w:p>
            <w:pPr>
              <w:pStyle w:val="Compact"/>
            </w:pPr>
            <w:r>
              <w:t xml:space="preserve">Leilão em que o vencedor paga o segundo maior lance; lançar o valor verdadeiro é estratégia fracamente dominante.</w:t>
            </w:r>
          </w:p>
        </w:tc>
      </w:tr>
      <w:tr>
        <w:tc>
          <w:tcPr/>
          <w:p>
            <w:pPr>
              <w:pStyle w:val="Compact"/>
            </w:pPr>
            <w:r>
              <w:t xml:space="preserve">Leilão de primeiro preço</w:t>
            </w:r>
          </w:p>
        </w:tc>
        <w:tc>
          <w:tcPr/>
          <w:p>
            <w:pPr>
              <w:pStyle w:val="Compact"/>
            </w:pPr>
            <w:r>
              <w:t xml:space="preserve">Leilão em que o vencedor paga seu próprio lance; o BNE envolve sombreamento (</w:t>
            </w:r>
            <m:oMath>
              <m:r>
                <m:t>b</m:t>
              </m:r>
              <m:r>
                <m:t>i</m:t>
              </m:r>
              <m:r>
                <m:t>d</m:t>
              </m:r>
              <m:r>
                <m:t> </m:t>
              </m:r>
              <m:r>
                <m:t>s</m:t>
              </m:r>
              <m:r>
                <m:t>h</m:t>
              </m:r>
              <m:r>
                <m:t>a</m:t>
              </m:r>
              <m:r>
                <m:t>d</m:t>
              </m:r>
              <m:r>
                <m:t>i</m:t>
              </m:r>
              <m:r>
                <m:t>n</m:t>
              </m:r>
              <m:r>
                <m:t>g</m:t>
              </m:r>
            </m:oMath>
            <w:r>
              <w:t xml:space="preserve">) do lance abaixo do valor.</w:t>
            </w:r>
          </w:p>
        </w:tc>
      </w:tr>
      <w:tr>
        <w:tc>
          <w:tcPr/>
          <w:p>
            <w:pPr>
              <w:pStyle w:val="Compact"/>
            </w:pPr>
            <w:r>
              <w:t xml:space="preserve">Teorema da Equivalência de Receita</w:t>
            </w:r>
          </w:p>
        </w:tc>
        <w:tc>
          <w:tcPr/>
          <w:p>
            <w:pPr>
              <w:pStyle w:val="Compact"/>
            </w:pPr>
            <w:r>
              <w:t xml:space="preserve">Sob IPV, simetria e risco-neutralidade, todos os formatos de leilão padrão geram a mesma receita esperada.</w:t>
            </w:r>
          </w:p>
        </w:tc>
      </w:tr>
      <w:tr>
        <w:tc>
          <w:tcPr/>
          <w:p>
            <w:pPr>
              <w:pStyle w:val="Compact"/>
            </w:pPr>
            <w:r>
              <w:t xml:space="preserve">Equivalência de receita (intuição)</w:t>
            </w:r>
          </w:p>
        </w:tc>
        <w:tc>
          <w:tcPr/>
          <w:p>
            <w:pPr>
              <w:pStyle w:val="Compact"/>
            </w:pPr>
            <w:r>
              <w:t xml:space="preserve">O envelope theorem fixa os payoffs dos licitantes; como a alocação é a mesma, o</w:t>
            </w:r>
            <w:r>
              <w:t xml:space="preserve"> </w:t>
            </w:r>
            <w:r>
              <w:t xml:space="preserve">“resíduo”</w:t>
            </w:r>
            <w:r>
              <w:t xml:space="preserve"> </w:t>
            </w:r>
            <w:r>
              <w:t xml:space="preserve">(receita) é determinado.</w:t>
            </w:r>
          </w:p>
        </w:tc>
      </w:tr>
      <w:tr>
        <w:tc>
          <w:tcPr/>
          <w:p>
            <w:pPr>
              <w:pStyle w:val="Compact"/>
            </w:pPr>
            <w:r>
              <w:t xml:space="preserve">Maldição do vencedor</w:t>
            </w:r>
          </w:p>
        </w:tc>
        <w:tc>
          <w:tcPr/>
          <w:p>
            <w:pPr>
              <w:pStyle w:val="Compact"/>
            </w:pPr>
            <w:r>
              <w:t xml:space="preserve">Fenômeno em leilões de valor comum: o vencedor tende a ser o licitante mais otimista, pagando acima do valor real.</w:t>
            </w:r>
          </w:p>
        </w:tc>
      </w:tr>
      <w:tr>
        <w:tc>
          <w:tcPr/>
          <w:p>
            <w:pPr>
              <w:pStyle w:val="Compact"/>
            </w:pPr>
            <w:r>
              <w:t xml:space="preserve">Princípio da Revelação</w:t>
            </w:r>
          </w:p>
        </w:tc>
        <w:tc>
          <w:tcPr/>
          <w:p>
            <w:pPr>
              <w:pStyle w:val="Compact"/>
            </w:pPr>
            <w:r>
              <w:t xml:space="preserve">Para qualquer mecanismo e BNE, existe um mecanismo de revelação direta equivalente em que reportar o tipo verdadeiro é equilíbrio.</w:t>
            </w:r>
          </w:p>
        </w:tc>
      </w:tr>
      <w:tr>
        <w:tc>
          <w:tcPr/>
          <w:p>
            <w:pPr>
              <w:pStyle w:val="Compact"/>
            </w:pPr>
            <w:r>
              <w:t xml:space="preserve">Mecanismo VCG</w:t>
            </w:r>
          </w:p>
        </w:tc>
        <w:tc>
          <w:tcPr/>
          <w:p>
            <w:pPr>
              <w:pStyle w:val="Compact"/>
            </w:pPr>
            <w:r>
              <w:t xml:space="preserve">Mecanismo de revelação direta que aloca eficientemente e cobra de cada agente a externalidade que impõe aos demais; generaliza o leilão de Vickrey.</w:t>
            </w:r>
          </w:p>
        </w:tc>
      </w:tr>
      <w:tr>
        <w:tc>
          <w:tcPr/>
          <w:p>
            <w:pPr>
              <w:pStyle w:val="Compact"/>
            </w:pPr>
            <w:r>
              <w:t xml:space="preserve">Valor virtual (Myerson)</w:t>
            </w:r>
          </w:p>
        </w:tc>
        <w:tc>
          <w:tcPr/>
          <w:p>
            <w:pPr>
              <w:pStyle w:val="Compact"/>
            </w:pPr>
            <m:oMath>
              <m:r>
                <m:t>ψ</m:t>
              </m:r>
              <m:r>
                <m:rPr>
                  <m:sty m:val="p"/>
                </m:rPr>
                <m:t>(</m:t>
              </m:r>
              <m:r>
                <m:t>v</m:t>
              </m:r>
              <m:r>
                <m:rPr>
                  <m:sty m:val="p"/>
                </m:rPr>
                <m:t>)</m:t>
              </m:r>
              <m:r>
                <m:rPr>
                  <m:sty m:val="p"/>
                </m:rPr>
                <m:t>=</m:t>
              </m:r>
              <m:r>
                <m:t>v</m:t>
              </m:r>
              <m:r>
                <m:rPr>
                  <m:sty m:val="p"/>
                </m:rPr>
                <m:t>−</m:t>
              </m:r>
              <m:r>
                <m:rPr>
                  <m:sty m:val="p"/>
                </m:rPr>
                <m:t>(</m:t>
              </m:r>
              <m:r>
                <m:t>1</m:t>
              </m:r>
              <m:r>
                <m:rPr>
                  <m:sty m:val="p"/>
                </m:rPr>
                <m:t>−</m:t>
              </m:r>
              <m:r>
                <m:t>F</m:t>
              </m:r>
              <m:r>
                <m:rPr>
                  <m:sty m:val="p"/>
                </m:rPr>
                <m:t>(</m:t>
              </m:r>
              <m:r>
                <m:t>v</m:t>
              </m:r>
              <m:r>
                <m:rPr>
                  <m:sty m:val="p"/>
                </m:rPr>
                <m:t>)</m:t>
              </m:r>
              <m:r>
                <m:rPr>
                  <m:sty m:val="p"/>
                </m:rPr>
                <m:t>)</m:t>
              </m:r>
              <m:r>
                <m:rPr>
                  <m:sty m:val="p"/>
                </m:rPr>
                <m:t>/</m:t>
              </m:r>
              <m:r>
                <m:t>f</m:t>
              </m:r>
              <m:r>
                <m:rPr>
                  <m:sty m:val="p"/>
                </m:rPr>
                <m:t>(</m:t>
              </m:r>
              <m:r>
                <m:t>v</m:t>
              </m:r>
              <m:r>
                <m:rPr>
                  <m:sty m:val="p"/>
                </m:rPr>
                <m:t>)</m:t>
              </m:r>
            </m:oMath>
            <w:r>
              <w:t xml:space="preserve">; desconta o valor real pela renda informacional do agente. O leilão ótimo atribui ao maior valor virtual.</w:t>
            </w:r>
          </w:p>
        </w:tc>
      </w:tr>
    </w:tbl>
    <w:p>
      <w:pPr>
        <w:pStyle w:val="BodyText"/>
      </w:pPr>
      <w:r>
        <w:rPr>
          <w:b/>
          <w:bCs/>
        </w:rPr>
        <w:t xml:space="preserve">Tabela 9c.1 — Conceitos-chave.</w:t>
      </w:r>
    </w:p>
    <w:p>
      <w:r>
        <w:pict>
          <v:rect style="width:0;height:1.5pt" o:hralign="center" o:hrstd="t" o:hr="t"/>
        </w:pict>
      </w:r>
    </w:p>
    <w:bookmarkEnd w:id="580"/>
    <w:bookmarkStart w:id="581" w:name="exercícios-resolvidos-2"/>
    <w:p>
      <w:pPr>
        <w:pStyle w:val="Heading3"/>
      </w:pPr>
      <w:r>
        <w:t xml:space="preserve">Exercícios Resolvidos</w:t>
      </w:r>
    </w:p>
    <w:p>
      <w:pPr>
        <w:pStyle w:val="BlockText"/>
      </w:pPr>
      <w:r>
        <w:rPr>
          <w:b/>
          <w:bCs/>
        </w:rPr>
        <w:t xml:space="preserve">[EXERCICIO RESOLVIDO] Exercício Resolvido 9c.1 — BNE em jogo de entrada com tipos</w:t>
      </w:r>
    </w:p>
    <w:p>
      <w:pPr>
        <w:pStyle w:val="BlockText"/>
      </w:pPr>
      <w:r>
        <w:rPr>
          <w:b/>
          <w:bCs/>
        </w:rPr>
        <w:t xml:space="preserve">Enunciado:</w:t>
      </w:r>
      <w:r>
        <w:t xml:space="preserve"> </w:t>
      </w:r>
      <w:r>
        <w:t xml:space="preserve">Uma incumbente pode ser forte (</w:t>
      </w:r>
      <m:oMath>
        <m:sSub>
          <m:e>
            <m:r>
              <m:t>θ</m:t>
            </m:r>
          </m:e>
          <m:sub>
            <m:r>
              <m:t>F</m:t>
            </m:r>
          </m:sub>
        </m:sSub>
      </m:oMath>
      <w:r>
        <w:t xml:space="preserve">, prob. 0,6) ou fraca (</w:t>
      </w:r>
      <m:oMath>
        <m:sSub>
          <m:e>
            <m:r>
              <m:t>θ</m:t>
            </m:r>
          </m:e>
          <m:sub>
            <m:r>
              <m:t>W</m:t>
            </m:r>
          </m:sub>
        </m:sSub>
      </m:oMath>
      <w:r>
        <w:t xml:space="preserve">, prob. 0,4). A entrante decide se entra. Payoffs: não entra → (10, 0); entra + forte → (3, –2); entra + fraca → (2, 4).</w:t>
      </w:r>
    </w:p>
    <w:p>
      <w:pPr>
        <w:pStyle w:val="BlockText"/>
      </w:pPr>
      <w:r>
        <w:rPr>
          <w:b/>
          <w:bCs/>
        </w:rPr>
        <w:t xml:space="preserve">Resolução:</w:t>
      </w:r>
    </w:p>
    <w:p>
      <w:pPr>
        <w:pStyle w:val="BlockText"/>
      </w:pPr>
      <w:r>
        <w:t xml:space="preserve">Lucro esperado da entrante se entrar:</w:t>
      </w:r>
    </w:p>
    <w:p>
      <w:pPr>
        <w:pStyle w:val="BlockText"/>
      </w:pPr>
      <w:r>
        <w:t xml:space="preserve">$$</w:t>
      </w:r>
    </w:p>
    <w:p>
      <w:pPr>
        <w:pStyle w:val="BlockText"/>
      </w:pPr>
      <w:r>
        <w:t xml:space="preserve">E[</w:t>
      </w:r>
      <w:r>
        <w:t xml:space="preserve">_E] = 0{,}6</w:t>
      </w:r>
      <w:r>
        <w:t xml:space="preserve"> </w:t>
      </w:r>
      <w:r>
        <w:t xml:space="preserve">(-2) + 0{,}4</w:t>
      </w:r>
      <w:r>
        <w:t xml:space="preserve"> </w:t>
      </w:r>
      <w:r>
        <w:t xml:space="preserve"> </w:t>
      </w:r>
      <w:r>
        <w:t xml:space="preserve">= -1{,}2 + 1{,}6 = 0{,}4 &gt; 0</w:t>
      </w:r>
    </w:p>
    <w:p>
      <w:pPr>
        <w:pStyle w:val="BlockText"/>
      </w:pPr>
      <w:r>
        <w:t xml:space="preserve">$$</w:t>
      </w:r>
    </w:p>
    <w:p>
      <w:pPr>
        <w:pStyle w:val="BlockText"/>
      </w:pPr>
      <w:r>
        <w:rPr>
          <w:b/>
          <w:bCs/>
        </w:rPr>
        <w:t xml:space="preserve">BNE:</w:t>
      </w:r>
      <w:r>
        <w:t xml:space="preserve"> </w:t>
      </w:r>
      <w:r>
        <w:t xml:space="preserve">A entrante entra (independente do tipo da incumbente, pois</w:t>
      </w:r>
      <w:r>
        <w:t xml:space="preserve"> </w:t>
      </w:r>
      <m:oMath>
        <m:r>
          <m:t>E</m:t>
        </m:r>
        <m:r>
          <m:rPr>
            <m:sty m:val="p"/>
          </m:rPr>
          <m:t>[</m:t>
        </m:r>
        <m:sSub>
          <m:e>
            <m:r>
              <m:t>π</m:t>
            </m:r>
          </m:e>
          <m:sub>
            <m:r>
              <m:t>E</m:t>
            </m:r>
          </m:sub>
        </m:sSub>
        <m:r>
          <m:rPr>
            <m:sty m:val="p"/>
          </m:rPr>
          <m:t>]</m:t>
        </m:r>
        <m:r>
          <m:rPr>
            <m:sty m:val="p"/>
          </m:rPr>
          <m:t>&gt;</m:t>
        </m:r>
        <m:r>
          <m:t>0</m:t>
        </m:r>
      </m:oMath>
      <w:r>
        <w:t xml:space="preserve">).</w:t>
      </w:r>
    </w:p>
    <w:p>
      <w:pPr>
        <w:pStyle w:val="BlockText"/>
      </w:pPr>
      <w:r>
        <w:t xml:space="preserve">Se</w:t>
      </w:r>
      <w:r>
        <w:t xml:space="preserve"> </w:t>
      </w:r>
      <m:oMath>
        <m:r>
          <m:t>p</m:t>
        </m:r>
        <m:r>
          <m:rPr>
            <m:sty m:val="p"/>
          </m:rPr>
          <m:t>&gt;</m:t>
        </m:r>
        <m:r>
          <m:t>2</m:t>
        </m:r>
        <m:r>
          <m:rPr>
            <m:sty m:val="p"/>
          </m:rPr>
          <m:t>/</m:t>
        </m:r>
        <m:r>
          <m:t>3</m:t>
        </m:r>
      </m:oMath>
      <w:r>
        <w:t xml:space="preserve">,</w:t>
      </w:r>
      <w:r>
        <w:t xml:space="preserve"> </w:t>
      </w:r>
      <m:oMath>
        <m:r>
          <m:t>E</m:t>
        </m:r>
        <m:r>
          <m:rPr>
            <m:sty m:val="p"/>
          </m:rPr>
          <m:t>[</m:t>
        </m:r>
        <m:sSub>
          <m:e>
            <m:r>
              <m:t>π</m:t>
            </m:r>
          </m:e>
          <m:sub>
            <m:r>
              <m:t>E</m:t>
            </m:r>
          </m:sub>
        </m:sSub>
        <m:r>
          <m:rPr>
            <m:sty m:val="p"/>
          </m:rPr>
          <m:t>]</m:t>
        </m:r>
        <m:r>
          <m:rPr>
            <m:sty m:val="p"/>
          </m:rPr>
          <m:t>&lt;</m:t>
        </m:r>
        <m:r>
          <m:t>0</m:t>
        </m:r>
      </m:oMath>
      <w:r>
        <w:t xml:space="preserve"> </w:t>
      </w:r>
      <w:r>
        <w:t xml:space="preserve">e a entrante não entra. O ponto de indiferença é</w:t>
      </w:r>
      <w:r>
        <w:t xml:space="preserve"> </w:t>
      </w:r>
      <m:oMath>
        <m:sSup>
          <m:e>
            <m:r>
              <m:t>p</m:t>
            </m:r>
          </m:e>
          <m:sup>
            <m:r>
              <m:rPr>
                <m:sty m:val="p"/>
              </m:rPr>
              <m:t>*</m:t>
            </m:r>
          </m:sup>
        </m:sSup>
        <m:r>
          <m:rPr>
            <m:sty m:val="p"/>
          </m:rPr>
          <m:t>=</m:t>
        </m:r>
        <m:r>
          <m:t>2</m:t>
        </m:r>
        <m:r>
          <m:rPr>
            <m:sty m:val="p"/>
          </m:rPr>
          <m:t>/</m:t>
        </m:r>
        <m:r>
          <m:t>3</m:t>
        </m:r>
      </m:oMath>
      <w:r>
        <w:t xml:space="preserve">.</w:t>
      </w:r>
    </w:p>
    <w:p>
      <w:pPr>
        <w:pStyle w:val="BlockText"/>
      </w:pPr>
      <w:r>
        <w:rPr>
          <w:b/>
          <w:bCs/>
        </w:rPr>
        <w:t xml:space="preserve">[EXERCICIO RESOLVIDO] Exercício Resolvido 9c.2 — Leilão de primeiro preço com 3 licitantes</w:t>
      </w:r>
    </w:p>
    <w:p>
      <w:pPr>
        <w:pStyle w:val="BlockText"/>
      </w:pPr>
      <w:r>
        <w:rPr>
          <w:b/>
          <w:bCs/>
        </w:rPr>
        <w:t xml:space="preserve">Enunciado:</w:t>
      </w:r>
      <w:r>
        <w:t xml:space="preserve"> </w:t>
      </w:r>
      <w:r>
        <w:t xml:space="preserve">Três licitantes com valores</w:t>
      </w:r>
      <w:r>
        <w:t xml:space="preserve"> </w:t>
      </w:r>
      <m:oMath>
        <m:sSub>
          <m:e>
            <m:r>
              <m:t>v</m:t>
            </m:r>
          </m:e>
          <m:sub>
            <m:r>
              <m:t>i</m:t>
            </m:r>
          </m:sub>
        </m:sSub>
        <m:r>
          <m:rPr>
            <m:sty m:val="p"/>
          </m:rPr>
          <m:t>∼</m:t>
        </m:r>
        <m:r>
          <m:t>U</m:t>
        </m:r>
        <m:r>
          <m:rPr>
            <m:sty m:val="p"/>
          </m:rPr>
          <m:t>[</m:t>
        </m:r>
        <m:r>
          <m:t>0</m:t>
        </m:r>
        <m:r>
          <m:rPr>
            <m:sty m:val="p"/>
          </m:rPr>
          <m:t>,</m:t>
        </m:r>
        <m:r>
          <m:t>100</m:t>
        </m:r>
        <m:r>
          <m:rPr>
            <m:sty m:val="p"/>
          </m:rPr>
          <m:t>]</m:t>
        </m:r>
      </m:oMath>
      <w:r>
        <w:t xml:space="preserve"> </w:t>
      </w:r>
      <w:r>
        <w:t xml:space="preserve">participam de um leilão de primeiro preço. (a) Encontre a estratégia de equilíbrio. (b) Calcule a receita esperada. (c) Compare com o leilão de segundo preço.</w:t>
      </w:r>
    </w:p>
    <w:p>
      <w:pPr>
        <w:pStyle w:val="BlockText"/>
      </w:pPr>
      <w:r>
        <w:rPr>
          <w:b/>
          <w:bCs/>
        </w:rPr>
        <w:t xml:space="preserve">Resolução:</w:t>
      </w:r>
    </w:p>
    <w:p>
      <w:pPr>
        <w:pStyle w:val="BlockText"/>
      </w:pPr>
      <w:r>
        <w:rPr>
          <w:b/>
          <w:bCs/>
        </w:rPr>
        <w:t xml:space="preserve">(a)</w:t>
      </w:r>
      <w:r>
        <w:t xml:space="preserve"> </w:t>
      </w:r>
      <w:r>
        <w:t xml:space="preserve">BNE simétrico:</w:t>
      </w:r>
      <w:r>
        <w:t xml:space="preserve"> </w:t>
      </w:r>
      <m:oMath>
        <m:r>
          <m:t>b</m:t>
        </m:r>
        <m:r>
          <m:rPr>
            <m:sty m:val="p"/>
          </m:rPr>
          <m:t>(</m:t>
        </m:r>
        <m:r>
          <m:t>v</m:t>
        </m:r>
        <m:r>
          <m:rPr>
            <m:sty m:val="p"/>
          </m:rPr>
          <m:t>)</m:t>
        </m:r>
        <m:r>
          <m:rPr>
            <m:sty m:val="p"/>
          </m:rPr>
          <m:t>=</m:t>
        </m:r>
        <m:r>
          <m:t>v</m:t>
        </m:r>
        <m:r>
          <m:rPr>
            <m:sty m:val="p"/>
          </m:rPr>
          <m:t>⋅</m:t>
        </m:r>
        <m:r>
          <m:rPr>
            <m:sty m:val="p"/>
          </m:rPr>
          <m:t>(</m:t>
        </m:r>
        <m:r>
          <m:t>N</m:t>
        </m:r>
        <m:r>
          <m:rPr>
            <m:sty m:val="p"/>
          </m:rPr>
          <m:t>−</m:t>
        </m:r>
        <m:r>
          <m:t>1</m:t>
        </m:r>
        <m:r>
          <m:rPr>
            <m:sty m:val="p"/>
          </m:rPr>
          <m:t>)</m:t>
        </m:r>
        <m:r>
          <m:rPr>
            <m:sty m:val="p"/>
          </m:rPr>
          <m:t>/</m:t>
        </m:r>
        <m:r>
          <m:t>N</m:t>
        </m:r>
        <m:r>
          <m:rPr>
            <m:sty m:val="p"/>
          </m:rPr>
          <m:t>=</m:t>
        </m:r>
        <m:r>
          <m:t>v</m:t>
        </m:r>
        <m:r>
          <m:rPr>
            <m:sty m:val="p"/>
          </m:rPr>
          <m:t>⋅</m:t>
        </m:r>
        <m:r>
          <m:t>2</m:t>
        </m:r>
        <m:r>
          <m:rPr>
            <m:sty m:val="p"/>
          </m:rPr>
          <m:t>/</m:t>
        </m:r>
        <m:r>
          <m:t>3</m:t>
        </m:r>
      </m:oMath>
      <w:r>
        <w:t xml:space="preserve">. Cada licitante faz um lance igual a 2/3 de seu valor.</w:t>
      </w:r>
    </w:p>
    <w:p>
      <w:pPr>
        <w:pStyle w:val="BlockText"/>
      </w:pPr>
      <w:r>
        <w:rPr>
          <w:b/>
          <w:bCs/>
        </w:rPr>
        <w:t xml:space="preserve">(b)</w:t>
      </w:r>
      <w:r>
        <w:t xml:space="preserve"> </w:t>
      </w:r>
      <w:r>
        <w:t xml:space="preserve">Receita esperada =</w:t>
      </w:r>
      <w:r>
        <w:t xml:space="preserve"> </w:t>
      </w:r>
      <m:oMath>
        <m:r>
          <m:t>E</m:t>
        </m:r>
        <m:r>
          <m:rPr>
            <m:sty m:val="p"/>
          </m:rPr>
          <m:t>[</m:t>
        </m:r>
        <m:r>
          <m:rPr>
            <m:nor/>
            <m:sty m:val="p"/>
          </m:rPr>
          <m:t>2º maior lance</m:t>
        </m:r>
        <m:r>
          <m:rPr>
            <m:sty m:val="p"/>
          </m:rPr>
          <m:t>]</m:t>
        </m:r>
      </m:oMath>
      <w:r>
        <w:t xml:space="preserve">. Com</w:t>
      </w:r>
      <w:r>
        <w:t xml:space="preserve"> </w:t>
      </w:r>
      <m:oMath>
        <m:r>
          <m:t>v</m:t>
        </m:r>
        <m:r>
          <m:rPr>
            <m:sty m:val="p"/>
          </m:rPr>
          <m:t>∼</m:t>
        </m:r>
        <m:r>
          <m:t>U</m:t>
        </m:r>
        <m:r>
          <m:rPr>
            <m:sty m:val="p"/>
          </m:rPr>
          <m:t>[</m:t>
        </m:r>
        <m:r>
          <m:t>0</m:t>
        </m:r>
        <m:r>
          <m:rPr>
            <m:sty m:val="p"/>
          </m:rPr>
          <m:t>,</m:t>
        </m:r>
        <m:r>
          <m:t>100</m:t>
        </m:r>
        <m:r>
          <m:rPr>
            <m:sty m:val="p"/>
          </m:rPr>
          <m:t>]</m:t>
        </m:r>
      </m:oMath>
      <w:r>
        <w:t xml:space="preserve"> </w:t>
      </w:r>
      <w:r>
        <w:t xml:space="preserve">e</w:t>
      </w:r>
      <w:r>
        <w:t xml:space="preserve"> </w:t>
      </w:r>
      <m:oMath>
        <m:r>
          <m:t>N</m:t>
        </m:r>
        <m:r>
          <m:rPr>
            <m:sty m:val="p"/>
          </m:rPr>
          <m:t>=</m:t>
        </m:r>
        <m:r>
          <m:t>3</m:t>
        </m:r>
      </m:oMath>
      <w:r>
        <w:t xml:space="preserve">:</w:t>
      </w:r>
    </w:p>
    <w:p>
      <w:pPr>
        <w:pStyle w:val="BlockText"/>
      </w:pPr>
      <w:r>
        <w:t xml:space="preserve">$$</w:t>
      </w:r>
    </w:p>
    <w:p>
      <w:pPr>
        <w:pStyle w:val="BlockText"/>
      </w:pPr>
      <w:r>
        <w:t xml:space="preserve">E[R] = 100</w:t>
      </w:r>
      <w:r>
        <w:t xml:space="preserve"> </w:t>
      </w:r>
      <w:r>
        <w:t xml:space="preserve"> </w:t>
      </w:r>
      <w:r>
        <w:t xml:space="preserve">= 100</w:t>
      </w:r>
      <w:r>
        <w:t xml:space="preserve"> </w:t>
      </w:r>
      <w:r>
        <w:t xml:space="preserve"> </w:t>
      </w:r>
      <w:r>
        <w:t xml:space="preserve">= 50</w:t>
      </w:r>
    </w:p>
    <w:p>
      <w:pPr>
        <w:pStyle w:val="BlockText"/>
      </w:pPr>
      <w:r>
        <w:t xml:space="preserve">$$</w:t>
      </w:r>
    </w:p>
    <w:p>
      <w:pPr>
        <w:pStyle w:val="BlockText"/>
      </w:pPr>
      <w:r>
        <w:rPr>
          <w:b/>
          <w:bCs/>
        </w:rPr>
        <w:t xml:space="preserve">(c)</w:t>
      </w:r>
      <w:r>
        <w:t xml:space="preserve"> </w:t>
      </w:r>
      <w:r>
        <w:t xml:space="preserve">No leilão de segundo preço,</w:t>
      </w:r>
      <w:r>
        <w:t xml:space="preserve"> </w:t>
      </w:r>
      <m:oMath>
        <m:r>
          <m:t>b</m:t>
        </m:r>
        <m:r>
          <m:rPr>
            <m:sty m:val="p"/>
          </m:rPr>
          <m:t>(</m:t>
        </m:r>
        <m:r>
          <m:t>v</m:t>
        </m:r>
        <m:r>
          <m:rPr>
            <m:sty m:val="p"/>
          </m:rPr>
          <m:t>)</m:t>
        </m:r>
        <m:r>
          <m:rPr>
            <m:sty m:val="p"/>
          </m:rPr>
          <m:t>=</m:t>
        </m:r>
        <m:r>
          <m:t>v</m:t>
        </m:r>
      </m:oMath>
      <w:r>
        <w:t xml:space="preserve"> </w:t>
      </w:r>
      <w:r>
        <w:t xml:space="preserve">e a receita esperada é a mesma (50), pelo Teorema da Equivalência. As distribuições de receita diferem — o segundo preço tem maior variância.</w:t>
      </w:r>
    </w:p>
    <w:p>
      <w:pPr>
        <w:pStyle w:val="BlockText"/>
      </w:pPr>
      <w:r>
        <w:rPr>
          <w:b/>
          <w:bCs/>
        </w:rPr>
        <w:t xml:space="preserve">[EXERCICIO RESOLVIDO] Exercício Resolvido 9c.3 — Leilão de primeiro preço com distribuição uniforme</w:t>
      </w:r>
    </w:p>
    <w:p>
      <w:pPr>
        <w:pStyle w:val="BlockText"/>
      </w:pPr>
      <w:r>
        <w:rPr>
          <w:b/>
          <w:bCs/>
        </w:rPr>
        <w:t xml:space="preserve">Enunciado:</w:t>
      </w:r>
      <w:r>
        <w:t xml:space="preserve"> </w:t>
      </w:r>
      <w:r>
        <w:t xml:space="preserve">Dois jogadores disputam um objeto em um leilão selado de primeiro preço. Os valores privados são i.i.d. com distribuição uniforme em</w:t>
      </w:r>
      <w:r>
        <w:t xml:space="preserve"> </w:t>
      </w:r>
      <m:oMath>
        <m:r>
          <m:rPr>
            <m:sty m:val="p"/>
          </m:rPr>
          <m:t>[</m:t>
        </m:r>
        <m:r>
          <m:t>0</m:t>
        </m:r>
        <m:r>
          <m:rPr>
            <m:sty m:val="p"/>
          </m:rPr>
          <m:t>,</m:t>
        </m:r>
        <m:r>
          <m:t>100</m:t>
        </m:r>
        <m:r>
          <m:rPr>
            <m:sty m:val="p"/>
          </m:rPr>
          <m:t>]</m:t>
        </m:r>
      </m:oMath>
      <w:r>
        <w:t xml:space="preserve">. (a) Derive a estratégia de equilíbrio bayesiano de Nash (função de lance ótimo). (b) Calcule o lance ótimo se seu valor é</w:t>
      </w:r>
      <w:r>
        <w:t xml:space="preserve"> </w:t>
      </w:r>
      <m:oMath>
        <m:r>
          <m:t>v</m:t>
        </m:r>
        <m:r>
          <m:rPr>
            <m:sty m:val="p"/>
          </m:rPr>
          <m:t>=</m:t>
        </m:r>
        <m:r>
          <m:t>80</m:t>
        </m:r>
      </m:oMath>
      <w:r>
        <w:t xml:space="preserve">. (c) Calcule a receita esperada do leiloeiro. (d) Verifique o Teorema da Equivalência de Receita comparando com o leilão de segundo preço.</w:t>
      </w:r>
    </w:p>
    <w:p>
      <w:pPr>
        <w:pStyle w:val="BlockText"/>
      </w:pPr>
      <w:r>
        <w:rPr>
          <w:b/>
          <w:bCs/>
        </w:rPr>
        <w:t xml:space="preserve">Resolução:</w:t>
      </w:r>
    </w:p>
    <w:p>
      <w:pPr>
        <w:pStyle w:val="BlockText"/>
      </w:pPr>
      <w:r>
        <w:rPr>
          <w:b/>
          <w:bCs/>
        </w:rPr>
        <w:t xml:space="preserve">(a)</w:t>
      </w:r>
      <w:r>
        <w:t xml:space="preserve"> </w:t>
      </w:r>
      <w:r>
        <w:t xml:space="preserve">Buscamos um BNE simétrico em estratégias estritamente crescentes</w:t>
      </w:r>
      <w:r>
        <w:t xml:space="preserve"> </w:t>
      </w:r>
      <m:oMath>
        <m:r>
          <m:t>β</m:t>
        </m:r>
        <m:r>
          <m:rPr>
            <m:sty m:val="p"/>
          </m:rPr>
          <m:t>(</m:t>
        </m:r>
        <m:r>
          <m:t>v</m:t>
        </m:r>
        <m:r>
          <m:rPr>
            <m:sty m:val="p"/>
          </m:rPr>
          <m:t>)</m:t>
        </m:r>
      </m:oMath>
      <w:r>
        <w:t xml:space="preserve">. Suponha que o oponente use</w:t>
      </w:r>
      <w:r>
        <w:t xml:space="preserve"> </w:t>
      </w:r>
      <m:oMath>
        <m:r>
          <m:t>β</m:t>
        </m:r>
      </m:oMath>
      <w:r>
        <w:t xml:space="preserve">. O licitante com valor</w:t>
      </w:r>
      <w:r>
        <w:t xml:space="preserve"> </w:t>
      </w:r>
      <m:oMath>
        <m:r>
          <m:t>v</m:t>
        </m:r>
      </m:oMath>
      <w:r>
        <w:t xml:space="preserve"> </w:t>
      </w:r>
      <w:r>
        <w:t xml:space="preserve">escolhe o lance</w:t>
      </w:r>
      <w:r>
        <w:t xml:space="preserve"> </w:t>
      </w:r>
      <m:oMath>
        <m:r>
          <m:t>b</m:t>
        </m:r>
      </m:oMath>
      <w:r>
        <w:t xml:space="preserve"> </w:t>
      </w:r>
      <w:r>
        <w:t xml:space="preserve">para maximizar o payoff esperado:</w:t>
      </w:r>
    </w:p>
    <w:p>
      <w:pPr>
        <w:pStyle w:val="BlockText"/>
      </w:pPr>
      <w:r>
        <w:t xml:space="preserve">$$</w:t>
      </w:r>
    </w:p>
    <w:p>
      <w:pPr>
        <w:pStyle w:val="BlockText"/>
      </w:pPr>
      <w:r>
        <w:t xml:space="preserve">_b ; (v - b)</w:t>
      </w:r>
      <w:r>
        <w:t xml:space="preserve"> </w:t>
      </w:r>
      <w:r>
        <w:t xml:space="preserve">(</w:t>
      </w:r>
      <w:r>
        <w:t xml:space="preserve"> </w:t>
      </w:r>
      <w:r>
        <w:t xml:space="preserve">b)</w:t>
      </w:r>
    </w:p>
    <w:p>
      <w:pPr>
        <w:pStyle w:val="BlockText"/>
      </w:pPr>
      <w:r>
        <w:t xml:space="preserve">$$</w:t>
      </w:r>
    </w:p>
    <w:p>
      <w:pPr>
        <w:pStyle w:val="BlockText"/>
      </w:pPr>
      <w:r>
        <w:t xml:space="preserve">Se o oponente usa</w:t>
      </w:r>
      <w:r>
        <w:t xml:space="preserve"> </w:t>
      </w:r>
      <m:oMath>
        <m:r>
          <m:t>β</m:t>
        </m:r>
        <m:r>
          <m:rPr>
            <m:sty m:val="p"/>
          </m:rPr>
          <m:t>(</m:t>
        </m:r>
        <m:sSub>
          <m:e>
            <m:r>
              <m:t>v</m:t>
            </m:r>
          </m:e>
          <m:sub>
            <m:r>
              <m:t>j</m:t>
            </m:r>
          </m:sub>
        </m:sSub>
        <m:r>
          <m:rPr>
            <m:sty m:val="p"/>
          </m:rPr>
          <m:t>)</m:t>
        </m:r>
        <m:r>
          <m:rPr>
            <m:sty m:val="p"/>
          </m:rPr>
          <m:t>=</m:t>
        </m:r>
        <m:f>
          <m:fPr>
            <m:type m:val="bar"/>
          </m:fPr>
          <m:num>
            <m:sSub>
              <m:e>
                <m:r>
                  <m:t>v</m:t>
                </m:r>
              </m:e>
              <m:sub>
                <m:r>
                  <m:t>j</m:t>
                </m:r>
              </m:sub>
            </m:sSub>
          </m:num>
          <m:den>
            <m:r>
              <m:t>2</m:t>
            </m:r>
          </m:den>
        </m:f>
      </m:oMath>
      <w:r>
        <w:t xml:space="preserve"> </w:t>
      </w:r>
      <w:r>
        <w:t xml:space="preserve">(conjectura a ser verificada), vencer exige</w:t>
      </w:r>
      <w:r>
        <w:t xml:space="preserve"> </w:t>
      </w:r>
      <m:oMath>
        <m:r>
          <m:t>b</m:t>
        </m:r>
        <m:r>
          <m:rPr>
            <m:sty m:val="p"/>
          </m:rPr>
          <m:t>&gt;</m:t>
        </m:r>
        <m:r>
          <m:t>β</m:t>
        </m:r>
        <m:r>
          <m:rPr>
            <m:sty m:val="p"/>
          </m:rPr>
          <m:t>(</m:t>
        </m:r>
        <m:sSub>
          <m:e>
            <m:r>
              <m:t>v</m:t>
            </m:r>
          </m:e>
          <m:sub>
            <m:r>
              <m:t>j</m:t>
            </m:r>
          </m:sub>
        </m:sSub>
        <m:r>
          <m:rPr>
            <m:sty m:val="p"/>
          </m:rPr>
          <m:t>)</m:t>
        </m:r>
      </m:oMath>
      <w:r>
        <w:t xml:space="preserve">, ou seja,</w:t>
      </w:r>
      <w:r>
        <w:t xml:space="preserve"> </w:t>
      </w:r>
      <m:oMath>
        <m:sSub>
          <m:e>
            <m:r>
              <m:t>v</m:t>
            </m:r>
          </m:e>
          <m:sub>
            <m:r>
              <m:t>j</m:t>
            </m:r>
          </m:sub>
        </m:sSub>
        <m:r>
          <m:rPr>
            <m:sty m:val="p"/>
          </m:rPr>
          <m:t>&lt;</m:t>
        </m:r>
        <m:r>
          <m:t>2</m:t>
        </m:r>
        <m:r>
          <m:t>b</m:t>
        </m:r>
      </m:oMath>
      <w:r>
        <w:t xml:space="preserve">. Como</w:t>
      </w:r>
      <w:r>
        <w:t xml:space="preserve"> </w:t>
      </w:r>
      <m:oMath>
        <m:sSub>
          <m:e>
            <m:r>
              <m:t>v</m:t>
            </m:r>
          </m:e>
          <m:sub>
            <m:r>
              <m:t>j</m:t>
            </m:r>
          </m:sub>
        </m:sSub>
        <m:r>
          <m:rPr>
            <m:sty m:val="p"/>
          </m:rPr>
          <m:t>∼</m:t>
        </m:r>
        <m:r>
          <m:t>U</m:t>
        </m:r>
        <m:r>
          <m:rPr>
            <m:sty m:val="p"/>
          </m:rPr>
          <m:t>[</m:t>
        </m:r>
        <m:r>
          <m:t>0</m:t>
        </m:r>
        <m:r>
          <m:rPr>
            <m:sty m:val="p"/>
          </m:rPr>
          <m:t>,</m:t>
        </m:r>
        <m:r>
          <m:t>100</m:t>
        </m:r>
        <m:r>
          <m:rPr>
            <m:sty m:val="p"/>
          </m:rPr>
          <m:t>]</m:t>
        </m:r>
      </m:oMath>
      <w:r>
        <w:t xml:space="preserve">:</w:t>
      </w:r>
    </w:p>
    <w:p>
      <w:pPr>
        <w:pStyle w:val="BlockText"/>
      </w:pPr>
      <w:r>
        <w:t xml:space="preserve">$$</w:t>
      </w:r>
    </w:p>
    <w:p>
      <w:pPr>
        <w:pStyle w:val="BlockText"/>
      </w:pPr>
      <w:r>
        <w:t xml:space="preserve">(v_j &lt; 2b) =</w:t>
      </w:r>
      <w:r>
        <w:t xml:space="preserve"> </w:t>
      </w:r>
    </w:p>
    <w:p>
      <w:pPr>
        <w:pStyle w:val="BlockText"/>
      </w:pPr>
      <w:r>
        <w:t xml:space="preserve">$$</w:t>
      </w:r>
    </w:p>
    <w:p>
      <w:pPr>
        <w:pStyle w:val="BlockText"/>
      </w:pPr>
      <w:r>
        <w:t xml:space="preserve">O problema torna-se:</w:t>
      </w:r>
    </w:p>
    <w:p>
      <w:pPr>
        <w:pStyle w:val="BlockText"/>
      </w:pPr>
      <w:r>
        <w:t xml:space="preserve">$$</w:t>
      </w:r>
    </w:p>
    <w:p>
      <w:pPr>
        <w:pStyle w:val="BlockText"/>
      </w:pPr>
      <w:r>
        <w:t xml:space="preserve">_b ; (v - b)</w:t>
      </w:r>
      <w:r>
        <w:t xml:space="preserve"> </w:t>
      </w:r>
    </w:p>
    <w:p>
      <w:pPr>
        <w:pStyle w:val="BlockText"/>
      </w:pPr>
      <w:r>
        <w:t xml:space="preserve">$$</w:t>
      </w:r>
    </w:p>
    <w:p>
      <w:pPr>
        <w:pStyle w:val="BlockText"/>
      </w:pPr>
      <w:r>
        <w:t xml:space="preserve">A condição de primeira ordem é:</w:t>
      </w:r>
    </w:p>
    <w:p>
      <w:pPr>
        <w:pStyle w:val="BlockText"/>
      </w:pPr>
      <w:r>
        <w:t xml:space="preserve">$$</w:t>
      </w:r>
    </w:p>
    <w:p>
      <w:pPr>
        <w:pStyle w:val="BlockText"/>
      </w:pPr>
      <w:r>
        <w:t xml:space="preserve">= 2v - 4b = 0</w:t>
      </w:r>
      <w:r>
        <w:t xml:space="preserve"> </w:t>
      </w:r>
      <w:r>
        <w:t xml:space="preserve">b^*(v) =</w:t>
      </w:r>
      <w:r>
        <w:t xml:space="preserve"> </w:t>
      </w:r>
    </w:p>
    <w:p>
      <w:pPr>
        <w:pStyle w:val="BlockText"/>
      </w:pPr>
      <w:r>
        <w:t xml:space="preserve">$$</w:t>
      </w:r>
    </w:p>
    <w:p>
      <w:pPr>
        <w:pStyle w:val="BlockText"/>
      </w:pPr>
      <w:r>
        <w:t xml:space="preserve">Isso confirma a conjectura. Para</w:t>
      </w:r>
      <w:r>
        <w:t xml:space="preserve"> </w:t>
      </w:r>
      <m:oMath>
        <m:r>
          <m:t>N</m:t>
        </m:r>
      </m:oMath>
      <w:r>
        <w:t xml:space="preserve"> </w:t>
      </w:r>
      <w:r>
        <w:t xml:space="preserve">licitantes com</w:t>
      </w:r>
      <w:r>
        <w:t xml:space="preserve"> </w:t>
      </w:r>
      <m:oMath>
        <m:sSub>
          <m:e>
            <m:r>
              <m:t>v</m:t>
            </m:r>
          </m:e>
          <m:sub>
            <m:r>
              <m:t>i</m:t>
            </m:r>
          </m:sub>
        </m:sSub>
        <m:r>
          <m:rPr>
            <m:sty m:val="p"/>
          </m:rPr>
          <m:t>∼</m:t>
        </m:r>
        <m:r>
          <m:t>U</m:t>
        </m:r>
        <m:r>
          <m:rPr>
            <m:sty m:val="p"/>
          </m:rPr>
          <m:t>[</m:t>
        </m:r>
        <m:r>
          <m:t>0</m:t>
        </m:r>
        <m:r>
          <m:rPr>
            <m:sty m:val="p"/>
          </m:rPr>
          <m:t>,</m:t>
        </m:r>
        <m:acc>
          <m:accPr>
            <m:chr m:val="‾"/>
          </m:accPr>
          <m:e>
            <m:r>
              <m:t>v</m:t>
            </m:r>
          </m:e>
        </m:acc>
        <m:r>
          <m:rPr>
            <m:sty m:val="p"/>
          </m:rPr>
          <m:t>]</m:t>
        </m:r>
      </m:oMath>
      <w:r>
        <w:t xml:space="preserve">, a fórmula geral é:</w:t>
      </w:r>
    </w:p>
    <w:p>
      <w:pPr>
        <w:pStyle w:val="BlockText"/>
      </w:pPr>
      <w:r>
        <w:t xml:space="preserve">$$</w:t>
      </w:r>
    </w:p>
    <w:p>
      <w:pPr>
        <w:pStyle w:val="BlockText"/>
      </w:pPr>
      <w:r>
        <w:t xml:space="preserve">$$</w:t>
      </w:r>
    </w:p>
    <w:p>
      <w:pPr>
        <w:pStyle w:val="BlockText"/>
      </w:pPr>
      <w:r>
        <w:t xml:space="preserve">Com</w:t>
      </w:r>
      <w:r>
        <w:t xml:space="preserve"> </w:t>
      </w:r>
      <m:oMath>
        <m:r>
          <m:t>N</m:t>
        </m:r>
        <m:r>
          <m:rPr>
            <m:sty m:val="p"/>
          </m:rPr>
          <m:t>=</m:t>
        </m:r>
        <m:r>
          <m:t>2</m:t>
        </m:r>
      </m:oMath>
      <w:r>
        <w:t xml:space="preserve">:</w:t>
      </w:r>
      <w:r>
        <w:t xml:space="preserve"> </w:t>
      </w:r>
      <m:oMath>
        <m:r>
          <m:t>β</m:t>
        </m:r>
        <m:r>
          <m:rPr>
            <m:sty m:val="p"/>
          </m:rPr>
          <m:t>(</m:t>
        </m:r>
        <m:r>
          <m:t>v</m:t>
        </m:r>
        <m:r>
          <m:rPr>
            <m:sty m:val="p"/>
          </m:rPr>
          <m:t>)</m:t>
        </m:r>
        <m:r>
          <m:rPr>
            <m:sty m:val="p"/>
          </m:rPr>
          <m:t>=</m:t>
        </m:r>
        <m:r>
          <m:t>v</m:t>
        </m:r>
        <m:r>
          <m:rPr>
            <m:sty m:val="p"/>
          </m:rPr>
          <m:t>/</m:t>
        </m:r>
        <m:r>
          <m:t>2</m:t>
        </m:r>
      </m:oMath>
      <w:r>
        <w:t xml:space="preserve">. Cada licitante faz um lance igual à metade de seu valor privado.</w:t>
      </w:r>
    </w:p>
    <w:p>
      <w:pPr>
        <w:pStyle w:val="BlockText"/>
      </w:pPr>
      <w:r>
        <w:rPr>
          <w:b/>
          <w:bCs/>
        </w:rPr>
        <w:t xml:space="preserve">(b)</w:t>
      </w:r>
      <w:r>
        <w:t xml:space="preserve"> </w:t>
      </w:r>
      <w:r>
        <w:t xml:space="preserve">Para</w:t>
      </w:r>
      <w:r>
        <w:t xml:space="preserve"> </w:t>
      </w:r>
      <m:oMath>
        <m:r>
          <m:t>v</m:t>
        </m:r>
        <m:r>
          <m:rPr>
            <m:sty m:val="p"/>
          </m:rPr>
          <m:t>=</m:t>
        </m:r>
        <m:r>
          <m:t>80</m:t>
        </m:r>
      </m:oMath>
      <w:r>
        <w:t xml:space="preserve">:</w:t>
      </w:r>
    </w:p>
    <w:p>
      <w:pPr>
        <w:pStyle w:val="BlockText"/>
      </w:pPr>
      <w:r>
        <w:t xml:space="preserve">$$</w:t>
      </w:r>
    </w:p>
    <w:p>
      <w:pPr>
        <w:pStyle w:val="BlockText"/>
      </w:pPr>
      <w:r>
        <w:t xml:space="preserve">(80) =</w:t>
      </w:r>
      <w:r>
        <w:t xml:space="preserve"> </w:t>
      </w:r>
      <w:r>
        <w:t xml:space="preserve"> </w:t>
      </w:r>
      <w:r>
        <w:t xml:space="preserve">= 40</w:t>
      </w:r>
    </w:p>
    <w:p>
      <w:pPr>
        <w:pStyle w:val="BlockText"/>
      </w:pPr>
      <w:r>
        <w:t xml:space="preserve">$$</w:t>
      </w:r>
    </w:p>
    <w:p>
      <w:pPr>
        <w:pStyle w:val="BlockText"/>
      </w:pPr>
      <w:r>
        <w:t xml:space="preserve">O lance ótimo é</w:t>
      </w:r>
      <w:r>
        <w:t xml:space="preserve"> </w:t>
      </w:r>
      <w:r>
        <w:rPr>
          <w:b/>
          <w:bCs/>
        </w:rPr>
        <w:t xml:space="preserve">R$ 40</w:t>
      </w:r>
      <w:r>
        <w:t xml:space="preserve">.</w:t>
      </w:r>
    </w:p>
    <w:p>
      <w:pPr>
        <w:pStyle w:val="BlockText"/>
      </w:pPr>
      <w:r>
        <w:rPr>
          <w:b/>
          <w:bCs/>
        </w:rPr>
        <w:t xml:space="preserve">(c)</w:t>
      </w:r>
      <w:r>
        <w:t xml:space="preserve"> </w:t>
      </w:r>
      <w:r>
        <w:t xml:space="preserve">A receita do leiloeiro é o maior lance, que corresponde a</w:t>
      </w:r>
      <w:r>
        <w:t xml:space="preserve"> </w:t>
      </w:r>
      <m:oMath>
        <m:r>
          <m:t>β</m:t>
        </m:r>
        <m:r>
          <m:rPr>
            <m:sty m:val="p"/>
          </m:rPr>
          <m:t>(</m:t>
        </m:r>
        <m:sSub>
          <m:e>
            <m:r>
              <m:t>v</m:t>
            </m:r>
          </m:e>
          <m:sub>
            <m:r>
              <m:rPr>
                <m:sty m:val="p"/>
              </m:rPr>
              <m:t>(</m:t>
            </m:r>
            <m:r>
              <m:t>1</m:t>
            </m:r>
            <m:r>
              <m:rPr>
                <m:sty m:val="p"/>
              </m:rPr>
              <m:t>)</m:t>
            </m:r>
          </m:sub>
        </m:sSub>
        <m:r>
          <m:rPr>
            <m:sty m:val="p"/>
          </m:rPr>
          <m:t>)</m:t>
        </m:r>
      </m:oMath>
      <w:r>
        <w:t xml:space="preserve">, onde</w:t>
      </w:r>
      <w:r>
        <w:t xml:space="preserve"> </w:t>
      </w:r>
      <m:oMath>
        <m:sSub>
          <m:e>
            <m:r>
              <m:t>v</m:t>
            </m:r>
          </m:e>
          <m:sub>
            <m:r>
              <m:rPr>
                <m:sty m:val="p"/>
              </m:rPr>
              <m:t>(</m:t>
            </m:r>
            <m:r>
              <m:t>1</m:t>
            </m:r>
            <m:r>
              <m:rPr>
                <m:sty m:val="p"/>
              </m:rPr>
              <m:t>)</m:t>
            </m:r>
          </m:sub>
        </m:sSub>
      </m:oMath>
      <w:r>
        <w:t xml:space="preserve"> </w:t>
      </w:r>
      <w:r>
        <w:t xml:space="preserve">é a maior estatística de ordem. Com</w:t>
      </w:r>
      <w:r>
        <w:t xml:space="preserve"> </w:t>
      </w:r>
      <m:oMath>
        <m:r>
          <m:t>N</m:t>
        </m:r>
        <m:r>
          <m:rPr>
            <m:sty m:val="p"/>
          </m:rPr>
          <m:t>=</m:t>
        </m:r>
        <m:r>
          <m:t>2</m:t>
        </m:r>
      </m:oMath>
      <w:r>
        <w:t xml:space="preserve"> </w:t>
      </w:r>
      <w:r>
        <w:t xml:space="preserve">e</w:t>
      </w:r>
      <w:r>
        <w:t xml:space="preserve"> </w:t>
      </w:r>
      <m:oMath>
        <m:r>
          <m:t>v</m:t>
        </m:r>
        <m:r>
          <m:rPr>
            <m:sty m:val="p"/>
          </m:rPr>
          <m:t>∼</m:t>
        </m:r>
        <m:r>
          <m:t>U</m:t>
        </m:r>
        <m:r>
          <m:rPr>
            <m:sty m:val="p"/>
          </m:rPr>
          <m:t>[</m:t>
        </m:r>
        <m:r>
          <m:t>0</m:t>
        </m:r>
        <m:r>
          <m:rPr>
            <m:sty m:val="p"/>
          </m:rPr>
          <m:t>,</m:t>
        </m:r>
        <m:r>
          <m:t>100</m:t>
        </m:r>
        <m:r>
          <m:rPr>
            <m:sty m:val="p"/>
          </m:rPr>
          <m:t>]</m:t>
        </m:r>
      </m:oMath>
      <w:r>
        <w:t xml:space="preserve">, a esperança da maior estatística de ordem é</w:t>
      </w:r>
      <w:r>
        <w:t xml:space="preserve"> </w:t>
      </w:r>
      <m:oMath>
        <m:r>
          <m:t>E</m:t>
        </m:r>
        <m:r>
          <m:rPr>
            <m:sty m:val="p"/>
          </m:rPr>
          <m:t>[</m:t>
        </m:r>
        <m:sSub>
          <m:e>
            <m:r>
              <m:t>v</m:t>
            </m:r>
          </m:e>
          <m:sub>
            <m:r>
              <m:rPr>
                <m:sty m:val="p"/>
              </m:rPr>
              <m:t>(</m:t>
            </m:r>
            <m:r>
              <m:t>1</m:t>
            </m:r>
            <m:r>
              <m:rPr>
                <m:sty m:val="p"/>
              </m:rPr>
              <m:t>)</m:t>
            </m:r>
          </m:sub>
        </m:sSub>
        <m:r>
          <m:rPr>
            <m:sty m:val="p"/>
          </m:rPr>
          <m:t>]</m:t>
        </m:r>
        <m:r>
          <m:rPr>
            <m:sty m:val="p"/>
          </m:rPr>
          <m:t>=</m:t>
        </m:r>
        <m:r>
          <m:t>100</m:t>
        </m:r>
        <m:r>
          <m:rPr>
            <m:sty m:val="p"/>
          </m:rPr>
          <m:t>⋅</m:t>
        </m:r>
        <m:f>
          <m:fPr>
            <m:type m:val="bar"/>
          </m:fPr>
          <m:num>
            <m:r>
              <m:t>N</m:t>
            </m:r>
          </m:num>
          <m:den>
            <m:r>
              <m:t>N</m:t>
            </m:r>
            <m:r>
              <m:rPr>
                <m:sty m:val="p"/>
              </m:rPr>
              <m:t>+</m:t>
            </m:r>
            <m:r>
              <m:t>1</m:t>
            </m:r>
          </m:den>
        </m:f>
        <m:r>
          <m:rPr>
            <m:sty m:val="p"/>
          </m:rPr>
          <m:t>=</m:t>
        </m:r>
        <m:f>
          <m:fPr>
            <m:type m:val="bar"/>
          </m:fPr>
          <m:num>
            <m:r>
              <m:t>200</m:t>
            </m:r>
          </m:num>
          <m:den>
            <m:r>
              <m:t>3</m:t>
            </m:r>
          </m:den>
        </m:f>
      </m:oMath>
      <w:r>
        <w:t xml:space="preserve">. Como cada licitante lança metade de seu valor:</w:t>
      </w:r>
    </w:p>
    <w:p>
      <w:pPr>
        <w:pStyle w:val="BlockText"/>
      </w:pPr>
      <w:r>
        <w:t xml:space="preserve">$$</w:t>
      </w:r>
    </w:p>
    <w:p>
      <w:pPr>
        <w:pStyle w:val="BlockText"/>
      </w:pPr>
      <w:r>
        <w:t xml:space="preserve">E[R] = E!</w:t>
      </w:r>
      <w:r>
        <w:t xml:space="preserve">=</w:t>
      </w:r>
      <w:r>
        <w:t xml:space="preserve"> </w:t>
      </w:r>
      <w:r>
        <w:t xml:space="preserve"> </w:t>
      </w:r>
      <w:r>
        <w:t xml:space="preserve"> </w:t>
      </w:r>
      <w:r>
        <w:t xml:space="preserve">=</w:t>
      </w:r>
      <w:r>
        <w:t xml:space="preserve"> </w:t>
      </w:r>
      <w:r>
        <w:t xml:space="preserve"> </w:t>
      </w:r>
      <w:r>
        <w:t xml:space="preserve">33</w:t>
      </w:r>
    </w:p>
    <w:p>
      <w:pPr>
        <w:pStyle w:val="BlockText"/>
      </w:pPr>
      <w:r>
        <w:t xml:space="preserve">$$</w:t>
      </w:r>
    </w:p>
    <w:p>
      <w:pPr>
        <w:pStyle w:val="BlockText"/>
      </w:pPr>
      <w:r>
        <w:t xml:space="preserve">Equivalentemente, pela fórmula direta:</w:t>
      </w:r>
    </w:p>
    <w:p>
      <w:pPr>
        <w:pStyle w:val="BlockText"/>
      </w:pPr>
      <w:r>
        <w:t xml:space="preserve">$$</w:t>
      </w:r>
    </w:p>
    <w:p>
      <w:pPr>
        <w:pStyle w:val="BlockText"/>
      </w:pPr>
      <w:r>
        <w:t xml:space="preserve">E[R] =</w:t>
      </w:r>
      <w:r>
        <w:t xml:space="preserve"> </w:t>
      </w:r>
      <w:r>
        <w:t xml:space="preserve">{v}</w:t>
      </w:r>
      <w:r>
        <w:t xml:space="preserve"> </w:t>
      </w:r>
      <w:r>
        <w:t xml:space="preserve"> </w:t>
      </w:r>
      <w:r>
        <w:t xml:space="preserve">= 100</w:t>
      </w:r>
      <w:r>
        <w:t xml:space="preserve"> </w:t>
      </w:r>
      <w:r>
        <w:t xml:space="preserve"> </w:t>
      </w:r>
      <w:r>
        <w:t xml:space="preserve">= 33{,}33</w:t>
      </w:r>
    </w:p>
    <w:p>
      <w:pPr>
        <w:pStyle w:val="BlockText"/>
      </w:pPr>
      <w:r>
        <w:t xml:space="preserve">$$</w:t>
      </w:r>
    </w:p>
    <w:p>
      <w:pPr>
        <w:pStyle w:val="BlockText"/>
      </w:pPr>
      <w:r>
        <w:rPr>
          <w:b/>
          <w:bCs/>
        </w:rPr>
        <w:t xml:space="preserve">(d)</w:t>
      </w:r>
      <w:r>
        <w:t xml:space="preserve"> </w:t>
      </w:r>
      <w:r>
        <w:t xml:space="preserve">No leilão de segundo preço,</w:t>
      </w:r>
      <w:r>
        <w:t xml:space="preserve"> </w:t>
      </w:r>
      <m:oMath>
        <m:r>
          <m:t>β</m:t>
        </m:r>
        <m:r>
          <m:rPr>
            <m:sty m:val="p"/>
          </m:rPr>
          <m:t>(</m:t>
        </m:r>
        <m:r>
          <m:t>v</m:t>
        </m:r>
        <m:r>
          <m:rPr>
            <m:sty m:val="p"/>
          </m:rPr>
          <m:t>)</m:t>
        </m:r>
        <m:r>
          <m:rPr>
            <m:sty m:val="p"/>
          </m:rPr>
          <m:t>=</m:t>
        </m:r>
        <m:r>
          <m:t>v</m:t>
        </m:r>
      </m:oMath>
      <w:r>
        <w:t xml:space="preserve"> </w:t>
      </w:r>
      <w:r>
        <w:t xml:space="preserve">é estratégia dominante e a receita é a segunda maior estatística de ordem. Com</w:t>
      </w:r>
      <w:r>
        <w:t xml:space="preserve"> </w:t>
      </w:r>
      <m:oMath>
        <m:r>
          <m:t>N</m:t>
        </m:r>
        <m:r>
          <m:rPr>
            <m:sty m:val="p"/>
          </m:rPr>
          <m:t>=</m:t>
        </m:r>
        <m:r>
          <m:t>2</m:t>
        </m:r>
      </m:oMath>
      <w:r>
        <w:t xml:space="preserve">:</w:t>
      </w:r>
    </w:p>
    <w:p>
      <w:pPr>
        <w:pStyle w:val="BlockText"/>
      </w:pPr>
      <w:r>
        <w:t xml:space="preserve">$$</w:t>
      </w:r>
    </w:p>
    <w:p>
      <w:pPr>
        <w:pStyle w:val="BlockText"/>
      </w:pPr>
      <w:r>
        <w:t xml:space="preserve">E[v_{(2)}] = 100</w:t>
      </w:r>
      <w:r>
        <w:t xml:space="preserve"> </w:t>
      </w:r>
      <w:r>
        <w:t xml:space="preserve"> </w:t>
      </w:r>
      <w:r>
        <w:t xml:space="preserve">= 100</w:t>
      </w:r>
      <w:r>
        <w:t xml:space="preserve"> </w:t>
      </w:r>
      <w:r>
        <w:t xml:space="preserve"> </w:t>
      </w:r>
      <w:r>
        <w:t xml:space="preserve">= 33{,}33</w:t>
      </w:r>
    </w:p>
    <w:p>
      <w:pPr>
        <w:pStyle w:val="BlockText"/>
      </w:pPr>
      <w:r>
        <w:t xml:space="preserve">$$</w:t>
      </w:r>
    </w:p>
    <w:p>
      <w:pPr>
        <w:pStyle w:val="BlockText"/>
      </w:pPr>
      <w:r>
        <w:t xml:space="preserve">As receitas esperadas são idênticas (</w:t>
      </w:r>
      <m:oMath>
        <m:r>
          <m:t>33</m:t>
        </m:r>
        <m:r>
          <m:rPr>
            <m:sty m:val="p"/>
          </m:rPr>
          <m:t>,</m:t>
        </m:r>
        <m:r>
          <m:t>33</m:t>
        </m:r>
      </m:oMath>
      <w:r>
        <w:t xml:space="preserve">), confirmando o</w:t>
      </w:r>
      <w:r>
        <w:t xml:space="preserve"> </w:t>
      </w:r>
      <w:r>
        <w:rPr>
          <w:b/>
          <w:bCs/>
        </w:rPr>
        <w:t xml:space="preserve">Teorema da Equivalência de Receita</w:t>
      </w:r>
      <w:r>
        <w:t xml:space="preserve">: sob as hipóteses de valores privados independentes, simetria, neutralidade ao risco e mesma alocação ao tipo mais baixo, qualquer mecanismo eficiente gera a mesma receita esperada. A diferença está na</w:t>
      </w:r>
      <w:r>
        <w:t xml:space="preserve"> </w:t>
      </w:r>
      <w:r>
        <w:rPr>
          <w:b/>
          <w:bCs/>
        </w:rPr>
        <w:t xml:space="preserve">variância</w:t>
      </w:r>
      <w:r>
        <w:t xml:space="preserve"> </w:t>
      </w:r>
      <w:r>
        <w:t xml:space="preserve">— o leilão de segundo preço tem receita mais volátil.</w:t>
      </w:r>
    </w:p>
    <w:p>
      <w:r>
        <w:pict>
          <v:rect style="width:0;height:1.5pt" o:hralign="center" o:hrstd="t" o:hr="t"/>
        </w:pict>
      </w:r>
    </w:p>
    <w:bookmarkEnd w:id="581"/>
    <w:bookmarkStart w:id="582" w:name="exercícios-11"/>
    <w:p>
      <w:pPr>
        <w:pStyle w:val="Heading3"/>
      </w:pPr>
      <w:r>
        <w:t xml:space="preserve">Exercícios</w:t>
      </w:r>
    </w:p>
    <w:p>
      <w:pPr>
        <w:pStyle w:val="FirstParagraph"/>
      </w:pPr>
      <w:r>
        <w:rPr>
          <w:b/>
          <w:bCs/>
        </w:rPr>
        <w:t xml:space="preserve">Exercício 9c.1.</w:t>
      </w:r>
      <w:r>
        <w:t xml:space="preserve"> </w:t>
      </w:r>
      <w:r>
        <w:t xml:space="preserve">Em um jogo bayesiano 2×2, o jogador 1 tem tipo</w:t>
      </w:r>
      <w:r>
        <w:t xml:space="preserve"> </w:t>
      </w:r>
      <m:oMath>
        <m:r>
          <m:t>θ</m:t>
        </m:r>
        <m:r>
          <m:rPr>
            <m:sty m:val="p"/>
          </m:rPr>
          <m:t>∈</m:t>
        </m:r>
        <m:r>
          <m:rPr>
            <m:sty m:val="p"/>
          </m:rPr>
          <m:t>{</m:t>
        </m:r>
        <m:r>
          <m:t>H</m:t>
        </m:r>
        <m:r>
          <m:rPr>
            <m:sty m:val="p"/>
          </m:rPr>
          <m:t>,</m:t>
        </m:r>
        <m:r>
          <m:t>L</m:t>
        </m:r>
        <m:r>
          <m:rPr>
            <m:sty m:val="p"/>
          </m:rPr>
          <m:t>}</m:t>
        </m:r>
      </m:oMath>
      <w:r>
        <w:t xml:space="preserve"> </w:t>
      </w:r>
      <w:r>
        <w:t xml:space="preserve">com</w:t>
      </w:r>
      <w:r>
        <w:t xml:space="preserve"> </w:t>
      </w:r>
      <m:oMath>
        <m:r>
          <m:rPr>
            <m:sty m:val="p"/>
          </m:rPr>
          <m:t>Pr</m:t>
        </m:r>
        <m:r>
          <m:rPr>
            <m:sty m:val="p"/>
          </m:rPr>
          <m:t>(</m:t>
        </m:r>
        <m:r>
          <m:t>H</m:t>
        </m:r>
        <m:r>
          <m:rPr>
            <m:sty m:val="p"/>
          </m:rPr>
          <m:t>)</m:t>
        </m:r>
        <m:r>
          <m:rPr>
            <m:sty m:val="p"/>
          </m:rPr>
          <m:t>=</m:t>
        </m:r>
        <m:r>
          <m:t>0</m:t>
        </m:r>
        <m:r>
          <m:rPr>
            <m:sty m:val="p"/>
          </m:rPr>
          <m:t>,</m:t>
        </m:r>
        <m:r>
          <m:t>5</m:t>
        </m:r>
      </m:oMath>
      <w:r>
        <w:t xml:space="preserve">. O jogador 2 não tem tipo privado. Os payoffs dependem do tipo de 1. Encontre o BNE.</w:t>
      </w:r>
    </w:p>
    <w:p>
      <w:pPr>
        <w:pStyle w:val="BodyText"/>
      </w:pPr>
      <w:r>
        <w:t xml:space="preserve">Ver solução (Cap. 9)</w:t>
      </w:r>
    </w:p>
    <w:p>
      <w:r>
        <w:pict>
          <v:rect style="width:0;height:1.5pt" o:hralign="center" o:hrstd="t" o:hr="t"/>
        </w:pict>
      </w:r>
    </w:p>
    <w:p>
      <w:pPr>
        <w:pStyle w:val="FirstParagraph"/>
      </w:pPr>
      <w:r>
        <w:rPr>
          <w:b/>
          <w:bCs/>
        </w:rPr>
        <w:t xml:space="preserve">Exercício 9c.2.</w:t>
      </w:r>
      <w:r>
        <w:t xml:space="preserve"> </w:t>
      </w:r>
      <w:r>
        <w:t xml:space="preserve">Dois licitantes com</w:t>
      </w:r>
      <w:r>
        <w:t xml:space="preserve"> </w:t>
      </w:r>
      <m:oMath>
        <m:sSub>
          <m:e>
            <m:r>
              <m:t>v</m:t>
            </m:r>
          </m:e>
          <m:sub>
            <m:r>
              <m:t>i</m:t>
            </m:r>
          </m:sub>
        </m:sSub>
        <m:r>
          <m:rPr>
            <m:sty m:val="p"/>
          </m:rPr>
          <m:t>∼</m:t>
        </m:r>
        <m:r>
          <m:t>U</m:t>
        </m:r>
        <m:r>
          <m:rPr>
            <m:sty m:val="p"/>
          </m:rPr>
          <m:t>[</m:t>
        </m:r>
        <m:r>
          <m:t>0</m:t>
        </m:r>
        <m:r>
          <m:rPr>
            <m:sty m:val="p"/>
          </m:rPr>
          <m:t>,</m:t>
        </m:r>
        <m:r>
          <m:t>1</m:t>
        </m:r>
        <m:r>
          <m:rPr>
            <m:sty m:val="p"/>
          </m:rPr>
          <m:t>]</m:t>
        </m:r>
      </m:oMath>
      <w:r>
        <w:t xml:space="preserve"> </w:t>
      </w:r>
      <w:r>
        <w:t xml:space="preserve">participam de um leilão</w:t>
      </w:r>
      <w:r>
        <w:t xml:space="preserve"> </w:t>
      </w:r>
      <w:r>
        <w:rPr>
          <w:i/>
          <w:iCs/>
        </w:rPr>
        <w:t xml:space="preserve">all-pay</w:t>
      </w:r>
      <w:r>
        <w:t xml:space="preserve"> </w:t>
      </w:r>
      <w:r>
        <w:t xml:space="preserve">(todos pagam seu lance, apenas o maior lance ganha). Encontre o BNE simétrico e a receita esperada. Compare com o primeiro preço.</w:t>
      </w:r>
    </w:p>
    <w:p>
      <w:pPr>
        <w:pStyle w:val="BodyText"/>
      </w:pPr>
      <w:r>
        <w:t xml:space="preserve">Ver solução (Cap. 9)</w:t>
      </w:r>
    </w:p>
    <w:p>
      <w:r>
        <w:pict>
          <v:rect style="width:0;height:1.5pt" o:hralign="center" o:hrstd="t" o:hr="t"/>
        </w:pict>
      </w:r>
    </w:p>
    <w:p>
      <w:pPr>
        <w:pStyle w:val="FirstParagraph"/>
      </w:pPr>
      <w:r>
        <w:rPr>
          <w:b/>
          <w:bCs/>
        </w:rPr>
        <w:t xml:space="preserve">Exercício 9c.3.</w:t>
      </w:r>
      <w:r>
        <w:t xml:space="preserve"> </w:t>
      </w:r>
      <w:r>
        <w:t xml:space="preserve">(Maldição do vencedor) Três empresas licitam por um bloco de petróleo cujo valor verdadeiro é</w:t>
      </w:r>
      <w:r>
        <w:t xml:space="preserve"> </w:t>
      </w:r>
      <m:oMath>
        <m:r>
          <m:t>V</m:t>
        </m:r>
        <m:r>
          <m:rPr>
            <m:sty m:val="p"/>
          </m:rPr>
          <m:t>=</m:t>
        </m:r>
        <m:r>
          <m:t>100</m:t>
        </m:r>
      </m:oMath>
      <w:r>
        <w:t xml:space="preserve">. Cada empresa observa um sinal</w:t>
      </w:r>
      <w:r>
        <w:t xml:space="preserve"> </w:t>
      </w:r>
      <m:oMath>
        <m:sSub>
          <m:e>
            <m:r>
              <m:t>s</m:t>
            </m:r>
          </m:e>
          <m:sub>
            <m:r>
              <m:t>i</m:t>
            </m:r>
          </m:sub>
        </m:sSub>
        <m:r>
          <m:rPr>
            <m:sty m:val="p"/>
          </m:rPr>
          <m:t>=</m:t>
        </m:r>
        <m:r>
          <m:t>V</m:t>
        </m:r>
        <m:r>
          <m:rPr>
            <m:sty m:val="p"/>
          </m:rPr>
          <m:t>+</m:t>
        </m:r>
        <m:sSub>
          <m:e>
            <m:r>
              <m:t>ε</m:t>
            </m:r>
          </m:e>
          <m:sub>
            <m:r>
              <m:t>i</m:t>
            </m:r>
          </m:sub>
        </m:sSub>
      </m:oMath>
      <w:r>
        <w:t xml:space="preserve">, onde</w:t>
      </w:r>
      <w:r>
        <w:t xml:space="preserve"> </w:t>
      </w:r>
      <m:oMath>
        <m:sSub>
          <m:e>
            <m:r>
              <m:t>ε</m:t>
            </m:r>
          </m:e>
          <m:sub>
            <m:r>
              <m:t>i</m:t>
            </m:r>
          </m:sub>
        </m:sSub>
        <m:r>
          <m:rPr>
            <m:sty m:val="p"/>
          </m:rPr>
          <m:t>∼</m:t>
        </m:r>
        <m:r>
          <m:t>U</m:t>
        </m:r>
        <m:r>
          <m:rPr>
            <m:sty m:val="p"/>
          </m:rPr>
          <m:t>[</m:t>
        </m:r>
        <m:r>
          <m:rPr>
            <m:sty m:val="p"/>
          </m:rPr>
          <m:t>−</m:t>
        </m:r>
        <m:r>
          <m:t>20</m:t>
        </m:r>
        <m:r>
          <m:rPr>
            <m:sty m:val="p"/>
          </m:rPr>
          <m:t>,</m:t>
        </m:r>
        <m:r>
          <m:t>20</m:t>
        </m:r>
        <m:r>
          <m:rPr>
            <m:sty m:val="p"/>
          </m:rPr>
          <m:t>]</m:t>
        </m:r>
      </m:oMath>
      <w:r>
        <w:t xml:space="preserve"> </w:t>
      </w:r>
      <w:r>
        <w:t xml:space="preserve">independentes. Se cada empresa lançar seu sinal, qual é o lucro esperado do vencedor? Como o lance ótimo deveria ser ajustado?</w:t>
      </w:r>
    </w:p>
    <w:p>
      <w:pPr>
        <w:pStyle w:val="BodyText"/>
      </w:pPr>
      <w:r>
        <w:t xml:space="preserve">Ver solução (Cap. 9)</w:t>
      </w:r>
    </w:p>
    <w:p>
      <w:r>
        <w:pict>
          <v:rect style="width:0;height:1.5pt" o:hralign="center" o:hrstd="t" o:hr="t"/>
        </w:pict>
      </w:r>
    </w:p>
    <w:p>
      <w:pPr>
        <w:pStyle w:val="FirstParagraph"/>
      </w:pPr>
      <w:r>
        <w:rPr>
          <w:b/>
          <w:bCs/>
        </w:rPr>
        <w:t xml:space="preserve">Exercício 9c.4.</w:t>
      </w:r>
      <w:r>
        <w:t xml:space="preserve"> </w:t>
      </w:r>
      <w:r>
        <w:t xml:space="preserve">(BNE em jogo de 2 tipos e 2 ações — Fácil) Considere um jogo bayesiano em que o Jogador 1 tem tipo</w:t>
      </w:r>
      <w:r>
        <w:t xml:space="preserve"> </w:t>
      </w:r>
      <m:oMath>
        <m:r>
          <m:t>θ</m:t>
        </m:r>
        <m:r>
          <m:rPr>
            <m:sty m:val="p"/>
          </m:rPr>
          <m:t>∈</m:t>
        </m:r>
        <m:r>
          <m:rPr>
            <m:sty m:val="p"/>
          </m:rPr>
          <m:t>{</m:t>
        </m:r>
        <m:r>
          <m:t>A</m:t>
        </m:r>
        <m:r>
          <m:rPr>
            <m:sty m:val="p"/>
          </m:rPr>
          <m:t>,</m:t>
        </m:r>
        <m:r>
          <m:t>B</m:t>
        </m:r>
        <m:r>
          <m:rPr>
            <m:sty m:val="p"/>
          </m:rPr>
          <m:t>}</m:t>
        </m:r>
      </m:oMath>
      <w:r>
        <w:t xml:space="preserve"> </w:t>
      </w:r>
      <w:r>
        <w:t xml:space="preserve">com probabilidades</w:t>
      </w:r>
      <w:r>
        <w:t xml:space="preserve"> </w:t>
      </w:r>
      <m:oMath>
        <m:r>
          <m:rPr>
            <m:sty m:val="p"/>
          </m:rPr>
          <m:t>Pr</m:t>
        </m:r>
        <m:r>
          <m:rPr>
            <m:sty m:val="p"/>
          </m:rPr>
          <m:t>(</m:t>
        </m:r>
        <m:r>
          <m:t>A</m:t>
        </m:r>
        <m:r>
          <m:rPr>
            <m:sty m:val="p"/>
          </m:rPr>
          <m:t>)</m:t>
        </m:r>
        <m:r>
          <m:rPr>
            <m:sty m:val="p"/>
          </m:rPr>
          <m:t>=</m:t>
        </m:r>
        <m:r>
          <m:t>0</m:t>
        </m:r>
        <m:r>
          <m:rPr>
            <m:sty m:val="p"/>
          </m:rPr>
          <m:t>,</m:t>
        </m:r>
        <m:r>
          <m:t>3</m:t>
        </m:r>
      </m:oMath>
      <w:r>
        <w:t xml:space="preserve"> </w:t>
      </w:r>
      <w:r>
        <w:t xml:space="preserve">e</w:t>
      </w:r>
      <w:r>
        <w:t xml:space="preserve"> </w:t>
      </w:r>
      <m:oMath>
        <m:r>
          <m:rPr>
            <m:sty m:val="p"/>
          </m:rPr>
          <m:t>Pr</m:t>
        </m:r>
        <m:r>
          <m:rPr>
            <m:sty m:val="p"/>
          </m:rPr>
          <m:t>(</m:t>
        </m:r>
        <m:r>
          <m:t>B</m:t>
        </m:r>
        <m:r>
          <m:rPr>
            <m:sty m:val="p"/>
          </m:rPr>
          <m:t>)</m:t>
        </m:r>
        <m:r>
          <m:rPr>
            <m:sty m:val="p"/>
          </m:rPr>
          <m:t>=</m:t>
        </m:r>
        <m:r>
          <m:t>0</m:t>
        </m:r>
        <m:r>
          <m:rPr>
            <m:sty m:val="p"/>
          </m:rPr>
          <m:t>,</m:t>
        </m:r>
        <m:r>
          <m:t>7</m:t>
        </m:r>
      </m:oMath>
      <w:r>
        <w:t xml:space="preserve">. Cada jogador escolhe entre as ações</w:t>
      </w:r>
      <w:r>
        <w:t xml:space="preserve"> </w:t>
      </w:r>
      <m:oMath>
        <m:r>
          <m:rPr>
            <m:sty m:val="p"/>
          </m:rPr>
          <m:t>{</m:t>
        </m:r>
        <m:r>
          <m:t>X</m:t>
        </m:r>
        <m:r>
          <m:rPr>
            <m:sty m:val="p"/>
          </m:rPr>
          <m:t>,</m:t>
        </m:r>
        <m:r>
          <m:t>Y</m:t>
        </m:r>
        <m:r>
          <m:rPr>
            <m:sty m:val="p"/>
          </m:rPr>
          <m:t>}</m:t>
        </m:r>
      </m:oMath>
      <w:r>
        <w:t xml:space="preserve">. Os payoffs (J1, J2) são:</w:t>
      </w:r>
    </w:p>
    <w:p>
      <w:pPr>
        <w:pStyle w:val="Compact"/>
        <w:numPr>
          <w:ilvl w:val="0"/>
          <w:numId w:val="1572"/>
        </w:numPr>
      </w:pPr>
      <w:r>
        <w:t xml:space="preserve">Tipo A: (X,X) = (4,1); (X,Y) = (2,3); (Y,X) = (1,2); (Y,Y) = (3,0)</w:t>
      </w:r>
    </w:p>
    <w:p>
      <w:pPr>
        <w:pStyle w:val="Compact"/>
        <w:numPr>
          <w:ilvl w:val="0"/>
          <w:numId w:val="1572"/>
        </w:numPr>
      </w:pPr>
      <w:r>
        <w:t xml:space="preserve">Tipo B: (X,X) = (1,1); (X,Y) = (3,2); (Y,X) = (2,3); (Y,Y) = (0,1)</w:t>
      </w:r>
    </w:p>
    <w:p>
      <w:pPr>
        <w:pStyle w:val="FirstParagraph"/>
      </w:pPr>
      <w:r>
        <w:t xml:space="preserve">Encontre todos os BNEs puros. Justifique o procedimento de solução passo a passo.</w:t>
      </w:r>
    </w:p>
    <w:p>
      <w:pPr>
        <w:pStyle w:val="BodyText"/>
      </w:pPr>
      <w:r>
        <w:t xml:space="preserve">Ver solução (Cap. 9)</w:t>
      </w:r>
    </w:p>
    <w:p>
      <w:r>
        <w:pict>
          <v:rect style="width:0;height:1.5pt" o:hralign="center" o:hrstd="t" o:hr="t"/>
        </w:pict>
      </w:r>
    </w:p>
    <w:p>
      <w:pPr>
        <w:pStyle w:val="FirstParagraph"/>
      </w:pPr>
      <w:r>
        <w:rPr>
          <w:b/>
          <w:bCs/>
        </w:rPr>
        <w:t xml:space="preserve">Exercício 9c.5.</w:t>
      </w:r>
      <w:r>
        <w:t xml:space="preserve"> </w:t>
      </w:r>
      <w:r>
        <w:t xml:space="preserve">(Leilão de segundo preço — Fácil) Dois licitantes com valores</w:t>
      </w:r>
      <w:r>
        <w:t xml:space="preserve"> </w:t>
      </w:r>
      <m:oMath>
        <m:sSub>
          <m:e>
            <m:r>
              <m:t>v</m:t>
            </m:r>
          </m:e>
          <m:sub>
            <m:r>
              <m:t>1</m:t>
            </m:r>
          </m:sub>
        </m:sSub>
        <m:r>
          <m:rPr>
            <m:sty m:val="p"/>
          </m:rPr>
          <m:t>=</m:t>
        </m:r>
        <m:r>
          <m:t>80</m:t>
        </m:r>
      </m:oMath>
      <w:r>
        <w:t xml:space="preserve"> </w:t>
      </w:r>
      <w:r>
        <w:t xml:space="preserve">e</w:t>
      </w:r>
      <w:r>
        <w:t xml:space="preserve"> </w:t>
      </w:r>
      <m:oMath>
        <m:sSub>
          <m:e>
            <m:r>
              <m:t>v</m:t>
            </m:r>
          </m:e>
          <m:sub>
            <m:r>
              <m:t>2</m:t>
            </m:r>
          </m:sub>
        </m:sSub>
        <m:r>
          <m:rPr>
            <m:sty m:val="p"/>
          </m:rPr>
          <m:t>=</m:t>
        </m:r>
        <m:r>
          <m:t>60</m:t>
        </m:r>
      </m:oMath>
      <w:r>
        <w:t xml:space="preserve"> </w:t>
      </w:r>
      <w:r>
        <w:t xml:space="preserve">(ambos conhecidos apenas pelo próprio detentor) participam de um leilão de segundo preço (Vickrey). (a) Mostre que</w:t>
      </w:r>
      <w:r>
        <w:t xml:space="preserve"> </w:t>
      </w:r>
      <m:oMath>
        <m:sSub>
          <m:e>
            <m:r>
              <m:t>b</m:t>
            </m:r>
          </m:e>
          <m:sub>
            <m:r>
              <m:t>i</m:t>
            </m:r>
          </m:sub>
        </m:sSub>
        <m:r>
          <m:rPr>
            <m:sty m:val="p"/>
          </m:rPr>
          <m:t>=</m:t>
        </m:r>
        <m:sSub>
          <m:e>
            <m:r>
              <m:t>v</m:t>
            </m:r>
          </m:e>
          <m:sub>
            <m:r>
              <m:t>i</m:t>
            </m:r>
          </m:sub>
        </m:sSub>
      </m:oMath>
      <w:r>
        <w:t xml:space="preserve"> </w:t>
      </w:r>
      <w:r>
        <w:t xml:space="preserve">é estratégia fracamente dominante para ambos. (b) Quem ganha e quanto paga? (c) Qual é o excedente do vencedor? (d) O que acontece se o vendedor adiciona um preço de reserva de R$ 70?</w:t>
      </w:r>
    </w:p>
    <w:p>
      <w:pPr>
        <w:pStyle w:val="BodyText"/>
      </w:pPr>
      <w:r>
        <w:t xml:space="preserve">Ver solução (Cap. 9)</w:t>
      </w:r>
    </w:p>
    <w:p>
      <w:r>
        <w:pict>
          <v:rect style="width:0;height:1.5pt" o:hralign="center" o:hrstd="t" o:hr="t"/>
        </w:pict>
      </w:r>
    </w:p>
    <w:p>
      <w:pPr>
        <w:pStyle w:val="FirstParagraph"/>
      </w:pPr>
      <w:r>
        <w:rPr>
          <w:b/>
          <w:bCs/>
        </w:rPr>
        <w:t xml:space="preserve">Exercício 9c.6.</w:t>
      </w:r>
      <w:r>
        <w:t xml:space="preserve"> </w:t>
      </w:r>
      <w:r>
        <w:t xml:space="preserve">(Comparação de receitas — Médio) Quatro licitantes com valores</w:t>
      </w:r>
      <w:r>
        <w:t xml:space="preserve"> </w:t>
      </w:r>
      <m:oMath>
        <m:sSub>
          <m:e>
            <m:r>
              <m:t>v</m:t>
            </m:r>
          </m:e>
          <m:sub>
            <m:r>
              <m:t>i</m:t>
            </m:r>
          </m:sub>
        </m:sSub>
        <m:r>
          <m:rPr>
            <m:sty m:val="p"/>
          </m:rPr>
          <m:t>∼</m:t>
        </m:r>
        <m:r>
          <m:t>U</m:t>
        </m:r>
        <m:r>
          <m:rPr>
            <m:sty m:val="p"/>
          </m:rPr>
          <m:t>[</m:t>
        </m:r>
        <m:r>
          <m:t>0</m:t>
        </m:r>
        <m:r>
          <m:rPr>
            <m:sty m:val="p"/>
          </m:rPr>
          <m:t>,</m:t>
        </m:r>
        <m:r>
          <m:t>200</m:t>
        </m:r>
        <m:r>
          <m:rPr>
            <m:sty m:val="p"/>
          </m:rPr>
          <m:t>]</m:t>
        </m:r>
      </m:oMath>
      <w:r>
        <w:t xml:space="preserve"> </w:t>
      </w:r>
      <w:r>
        <w:t xml:space="preserve">participam de um leilão. (a) Calcule a receita esperada no leilão de primeiro preço. (b) Calcule a receita esperada no leilão de segundo preço (use a fórmula da segunda estatística de ordem). (c) Verifique numericamente a equivalência de receitas. (d) Como a receita se altera se um dos licitantes tem custo de participação de R$ 10 e decide não participar?</w:t>
      </w:r>
    </w:p>
    <w:p>
      <w:pPr>
        <w:pStyle w:val="BodyText"/>
      </w:pPr>
      <w:r>
        <w:t xml:space="preserve">Ver solução (Cap. 9)</w:t>
      </w:r>
    </w:p>
    <w:p>
      <w:r>
        <w:pict>
          <v:rect style="width:0;height:1.5pt" o:hralign="center" o:hrstd="t" o:hr="t"/>
        </w:pict>
      </w:r>
    </w:p>
    <w:p>
      <w:pPr>
        <w:pStyle w:val="FirstParagraph"/>
      </w:pPr>
      <w:r>
        <w:rPr>
          <w:b/>
          <w:bCs/>
        </w:rPr>
        <w:t xml:space="preserve">Exercício 9c.7.</w:t>
      </w:r>
      <w:r>
        <w:t xml:space="preserve"> </w:t>
      </w:r>
      <w:r>
        <w:t xml:space="preserve">(Desenho de leilão da ANP — Médio, Brasileiro) A ANP quer leiloar um bloco de petróleo no pré-sal. Há dois tipos de empresas:</w:t>
      </w:r>
      <w:r>
        <w:t xml:space="preserve"> </w:t>
      </w:r>
      <w:r>
        <w:rPr>
          <w:i/>
          <w:iCs/>
        </w:rPr>
        <w:t xml:space="preserve">grandes</w:t>
      </w:r>
      <w:r>
        <w:t xml:space="preserve"> </w:t>
      </w:r>
      <w:r>
        <w:t xml:space="preserve">(custo de extração baixo,</w:t>
      </w:r>
      <w:r>
        <w:t xml:space="preserve"> </w:t>
      </w:r>
      <m:oMath>
        <m:sSub>
          <m:e>
            <m:r>
              <m:t>c</m:t>
            </m:r>
          </m:e>
          <m:sub>
            <m:r>
              <m:t>G</m:t>
            </m:r>
          </m:sub>
        </m:sSub>
        <m:r>
          <m:rPr>
            <m:sty m:val="p"/>
          </m:rPr>
          <m:t>=</m:t>
        </m:r>
        <m:r>
          <m:t>20</m:t>
        </m:r>
      </m:oMath>
      <w:r>
        <w:t xml:space="preserve">) e</w:t>
      </w:r>
      <w:r>
        <w:t xml:space="preserve"> </w:t>
      </w:r>
      <w:r>
        <w:rPr>
          <w:i/>
          <w:iCs/>
        </w:rPr>
        <w:t xml:space="preserve">pequenas</w:t>
      </w:r>
      <w:r>
        <w:t xml:space="preserve"> </w:t>
      </w:r>
      <w:r>
        <w:t xml:space="preserve">(custo alto,</w:t>
      </w:r>
      <w:r>
        <w:t xml:space="preserve"> </w:t>
      </w:r>
      <m:oMath>
        <m:sSub>
          <m:e>
            <m:r>
              <m:t>c</m:t>
            </m:r>
          </m:e>
          <m:sub>
            <m:r>
              <m:t>P</m:t>
            </m:r>
          </m:sub>
        </m:sSub>
        <m:r>
          <m:rPr>
            <m:sty m:val="p"/>
          </m:rPr>
          <m:t>=</m:t>
        </m:r>
        <m:r>
          <m:t>50</m:t>
        </m:r>
      </m:oMath>
      <w:r>
        <w:t xml:space="preserve">), com probabilidades iguais. O valor do bloco é</w:t>
      </w:r>
      <w:r>
        <w:t xml:space="preserve"> </w:t>
      </w:r>
      <m:oMath>
        <m:r>
          <m:t>V</m:t>
        </m:r>
        <m:r>
          <m:rPr>
            <m:sty m:val="p"/>
          </m:rPr>
          <m:t>=</m:t>
        </m:r>
        <m:r>
          <m:t>100</m:t>
        </m:r>
      </m:oMath>
      <w:r>
        <w:t xml:space="preserve">. (a) Se a ANP usa um leilão de primeiro preço com lance sobre o bônus de assinatura, quais são as estratégias de BNE de cada tipo? (b) Qual formato de leilão maximiza a receita esperada da ANP? (c) Como o regime de partilha de produção (onde a empresa oferece uma percentagem do excedente em óleo) altera os incentivos, comparado ao bônus de assinatura? (d) Discuta se o formato atual da ANP está próximo do leilão ótimo de Myerson.</w:t>
      </w:r>
    </w:p>
    <w:p>
      <w:pPr>
        <w:pStyle w:val="BodyText"/>
      </w:pPr>
      <w:r>
        <w:t xml:space="preserve">Ver solução (Cap. 9)</w:t>
      </w:r>
    </w:p>
    <w:p>
      <w:r>
        <w:pict>
          <v:rect style="width:0;height:1.5pt" o:hralign="center" o:hrstd="t" o:hr="t"/>
        </w:pict>
      </w:r>
    </w:p>
    <w:p>
      <w:pPr>
        <w:pStyle w:val="FirstParagraph"/>
      </w:pPr>
      <w:r>
        <w:rPr>
          <w:b/>
          <w:bCs/>
        </w:rPr>
        <w:t xml:space="preserve">Exercício 9c.8.</w:t>
      </w:r>
      <w:r>
        <w:t xml:space="preserve"> </w:t>
      </w:r>
      <w:r>
        <w:t xml:space="preserve">(Teorema da Equivalência de Receita — Difícil) Considere</w:t>
      </w:r>
      <w:r>
        <w:t xml:space="preserve"> </w:t>
      </w:r>
      <m:oMath>
        <m:r>
          <m:t>N</m:t>
        </m:r>
      </m:oMath>
      <w:r>
        <w:t xml:space="preserve"> </w:t>
      </w:r>
      <w:r>
        <w:t xml:space="preserve">licitantes com valores</w:t>
      </w:r>
      <w:r>
        <w:t xml:space="preserve"> </w:t>
      </w:r>
      <m:oMath>
        <m:sSub>
          <m:e>
            <m:r>
              <m:t>v</m:t>
            </m:r>
          </m:e>
          <m:sub>
            <m:r>
              <m:t>i</m:t>
            </m:r>
          </m:sub>
        </m:sSub>
      </m:oMath>
      <w:r>
        <w:t xml:space="preserve"> </w:t>
      </w:r>
      <w:r>
        <w:t xml:space="preserve">sorteados i.i.d. de uma distribuição</w:t>
      </w:r>
      <w:r>
        <w:t xml:space="preserve"> </w:t>
      </w:r>
      <m:oMath>
        <m:r>
          <m:t>F</m:t>
        </m:r>
      </m:oMath>
      <w:r>
        <w:t xml:space="preserve"> </w:t>
      </w:r>
      <w:r>
        <w:t xml:space="preserve">com densidade</w:t>
      </w:r>
      <w:r>
        <w:t xml:space="preserve"> </w:t>
      </w:r>
      <m:oMath>
        <m:r>
          <m:t>f</m:t>
        </m:r>
      </m:oMath>
      <w:r>
        <w:t xml:space="preserve"> </w:t>
      </w:r>
      <w:r>
        <w:t xml:space="preserve">contínua e suporte</w:t>
      </w:r>
      <w:r>
        <w:t xml:space="preserve"> </w:t>
      </w:r>
      <m:oMath>
        <m:r>
          <m:rPr>
            <m:sty m:val="p"/>
          </m:rPr>
          <m:t>[</m:t>
        </m:r>
        <m:r>
          <m:t>0</m:t>
        </m:r>
        <m:r>
          <m:rPr>
            <m:sty m:val="p"/>
          </m:rPr>
          <m:t>,</m:t>
        </m:r>
        <m:r>
          <m:t>1</m:t>
        </m:r>
        <m:r>
          <m:rPr>
            <m:sty m:val="p"/>
          </m:rPr>
          <m:t>]</m:t>
        </m:r>
      </m:oMath>
      <w:r>
        <w:t xml:space="preserve">. (a) Derive a condição de otimização de primeira ordem para o BNE simétrico de um leilão de primeiro preço, obtendo a equação diferencial ordinária que</w:t>
      </w:r>
      <w:r>
        <w:t xml:space="preserve"> </w:t>
      </w:r>
      <m:oMath>
        <m:r>
          <m:t>b</m:t>
        </m:r>
        <m:r>
          <m:rPr>
            <m:sty m:val="p"/>
          </m:rPr>
          <m:t>(</m:t>
        </m:r>
        <m:r>
          <m:t>v</m:t>
        </m:r>
        <m:r>
          <m:rPr>
            <m:sty m:val="p"/>
          </m:rPr>
          <m:t>)</m:t>
        </m:r>
      </m:oMath>
      <w:r>
        <w:t xml:space="preserve"> </w:t>
      </w:r>
      <w:r>
        <w:t xml:space="preserve">deve satisfazer. (b) Mostre que a solução é</w:t>
      </w:r>
      <w:r>
        <w:t xml:space="preserve"> </w:t>
      </w:r>
      <m:oMath>
        <m:r>
          <m:t>b</m:t>
        </m:r>
        <m:r>
          <m:rPr>
            <m:sty m:val="p"/>
          </m:rPr>
          <m:t>(</m:t>
        </m:r>
        <m:r>
          <m:t>v</m:t>
        </m:r>
        <m:r>
          <m:rPr>
            <m:sty m:val="p"/>
          </m:rPr>
          <m:t>)</m:t>
        </m:r>
        <m:r>
          <m:rPr>
            <m:sty m:val="p"/>
          </m:rPr>
          <m:t>=</m:t>
        </m:r>
        <m:r>
          <m:t>v</m:t>
        </m:r>
        <m:r>
          <m:rPr>
            <m:sty m:val="p"/>
          </m:rPr>
          <m:t>−</m:t>
        </m:r>
        <m:nary>
          <m:naryPr>
            <m:chr m:val="∫"/>
            <m:limLoc m:val="subSup"/>
            <m:subHide m:val="off"/>
            <m:supHide m:val="off"/>
          </m:naryPr>
          <m:sub>
            <m:r>
              <m:t>0</m:t>
            </m:r>
          </m:sub>
          <m:sup>
            <m:r>
              <m:t>v</m:t>
            </m:r>
          </m:sup>
          <m:e>
            <m:r>
              <m:t>F</m:t>
            </m:r>
          </m:e>
        </m:nary>
        <m:r>
          <m:rPr>
            <m:sty m:val="p"/>
          </m:rPr>
          <m:t>(</m:t>
        </m:r>
        <m:r>
          <m:t>t</m:t>
        </m:r>
        <m:sSup>
          <m:e>
            <m:r>
              <m:rPr>
                <m:sty m:val="p"/>
              </m:rPr>
              <m:t>)</m:t>
            </m:r>
          </m:e>
          <m:sup>
            <m:r>
              <m:t>N</m:t>
            </m:r>
            <m:r>
              <m:rPr>
                <m:sty m:val="p"/>
              </m:rPr>
              <m:t>−</m:t>
            </m:r>
            <m:r>
              <m:t>1</m:t>
            </m:r>
          </m:sup>
        </m:sSup>
        <m:r>
          <m:t>d</m:t>
        </m:r>
        <m:r>
          <m:t>t</m:t>
        </m:r>
        <m:r>
          <m:rPr>
            <m:sty m:val="p"/>
          </m:rPr>
          <m:t>/</m:t>
        </m:r>
        <m:r>
          <m:t>F</m:t>
        </m:r>
        <m:r>
          <m:rPr>
            <m:sty m:val="p"/>
          </m:rPr>
          <m:t>(</m:t>
        </m:r>
        <m:r>
          <m:t>v</m:t>
        </m:r>
        <m:sSup>
          <m:e>
            <m:r>
              <m:rPr>
                <m:sty m:val="p"/>
              </m:rPr>
              <m:t>)</m:t>
            </m:r>
          </m:e>
          <m:sup>
            <m:r>
              <m:t>N</m:t>
            </m:r>
            <m:r>
              <m:rPr>
                <m:sty m:val="p"/>
              </m:rPr>
              <m:t>−</m:t>
            </m:r>
            <m:r>
              <m:t>1</m:t>
            </m:r>
          </m:sup>
        </m:sSup>
      </m:oMath>
      <w:r>
        <w:t xml:space="preserve">, que é a esperança condicional da maior estatística de ordem entre os demais, dado que é menor que</w:t>
      </w:r>
      <w:r>
        <w:t xml:space="preserve"> </w:t>
      </w:r>
      <m:oMath>
        <m:r>
          <m:t>v</m:t>
        </m:r>
      </m:oMath>
      <w:r>
        <w:t xml:space="preserve">. (c) Use o envelope theorem para demonstrar que a receita esperada em qualquer mecanismo eficiente e individualmente racional é a mesma, independente do formato. (d) Identifique quais das hipóteses (IPV, simetria, risco-neutralidade, eficiência) são essenciais para o resultado e dê um contra-exemplo para cada uma.</w:t>
      </w:r>
    </w:p>
    <w:p>
      <w:pPr>
        <w:pStyle w:val="BodyText"/>
      </w:pPr>
      <w:r>
        <w:t xml:space="preserve">Ver solução (Cap. 9)</w:t>
      </w:r>
    </w:p>
    <w:p>
      <w:r>
        <w:pict>
          <v:rect style="width:0;height:1.5pt" o:hralign="center" o:hrstd="t" o:hr="t"/>
        </w:pict>
      </w:r>
    </w:p>
    <w:p>
      <w:pPr>
        <w:pStyle w:val="FirstParagraph"/>
      </w:pPr>
      <w:r>
        <w:rPr>
          <w:b/>
          <w:bCs/>
        </w:rPr>
        <w:t xml:space="preserve">Exercício 9c.9.</w:t>
      </w:r>
      <w:r>
        <w:t xml:space="preserve"> </w:t>
      </w:r>
      <w:r>
        <w:t xml:space="preserve">(BNE com tipos contínuos — Médio) Dois jogadores disputam um recurso. Cada jogador</w:t>
      </w:r>
      <w:r>
        <w:t xml:space="preserve"> </w:t>
      </w:r>
      <m:oMath>
        <m:r>
          <m:t>i</m:t>
        </m:r>
      </m:oMath>
      <w:r>
        <w:t xml:space="preserve"> </w:t>
      </w:r>
      <w:r>
        <w:t xml:space="preserve">tem tipo</w:t>
      </w:r>
      <w:r>
        <w:t xml:space="preserve"> </w:t>
      </w:r>
      <m:oMath>
        <m:sSub>
          <m:e>
            <m:r>
              <m:t>θ</m:t>
            </m:r>
          </m:e>
          <m:sub>
            <m:r>
              <m:t>i</m:t>
            </m:r>
          </m:sub>
        </m:sSub>
        <m:r>
          <m:rPr>
            <m:sty m:val="p"/>
          </m:rPr>
          <m:t>∼</m:t>
        </m:r>
        <m:r>
          <m:t>U</m:t>
        </m:r>
        <m:r>
          <m:rPr>
            <m:sty m:val="p"/>
          </m:rPr>
          <m:t>[</m:t>
        </m:r>
        <m:r>
          <m:t>0</m:t>
        </m:r>
        <m:r>
          <m:rPr>
            <m:sty m:val="p"/>
          </m:rPr>
          <m:t>,</m:t>
        </m:r>
        <m:r>
          <m:t>1</m:t>
        </m:r>
        <m:r>
          <m:rPr>
            <m:sty m:val="p"/>
          </m:rPr>
          <m:t>]</m:t>
        </m:r>
      </m:oMath>
      <w:r>
        <w:t xml:space="preserve"> </w:t>
      </w:r>
      <w:r>
        <w:t xml:space="preserve">(independentes) e escolhe um esforço</w:t>
      </w:r>
      <w:r>
        <w:t xml:space="preserve"> </w:t>
      </w:r>
      <m:oMath>
        <m:sSub>
          <m:e>
            <m:r>
              <m:t>e</m:t>
            </m:r>
          </m:e>
          <m:sub>
            <m:r>
              <m:t>i</m:t>
            </m:r>
          </m:sub>
        </m:sSub>
        <m:r>
          <m:rPr>
            <m:sty m:val="p"/>
          </m:rPr>
          <m:t>≥</m:t>
        </m:r>
        <m:r>
          <m:t>0</m:t>
        </m:r>
      </m:oMath>
      <w:r>
        <w:t xml:space="preserve">. O jogador com maior esforço ganha um prêmio de valor</w:t>
      </w:r>
      <w:r>
        <w:t xml:space="preserve"> </w:t>
      </w:r>
      <m:oMath>
        <m:sSub>
          <m:e>
            <m:r>
              <m:t>θ</m:t>
            </m:r>
          </m:e>
          <m:sub>
            <m:r>
              <m:t>i</m:t>
            </m:r>
          </m:sub>
        </m:sSub>
      </m:oMath>
      <w:r>
        <w:t xml:space="preserve"> </w:t>
      </w:r>
      <w:r>
        <w:t xml:space="preserve">(específico ao tipo), mas ambos pagam o custo do esforço. Formalmente, o payoff do jogador</w:t>
      </w:r>
      <w:r>
        <w:t xml:space="preserve"> </w:t>
      </w:r>
      <m:oMath>
        <m:r>
          <m:t>i</m:t>
        </m:r>
      </m:oMath>
      <w:r>
        <w:t xml:space="preserve"> </w:t>
      </w:r>
      <w:r>
        <w:t xml:space="preserve">é</w:t>
      </w:r>
      <w:r>
        <w:t xml:space="preserve"> </w:t>
      </w:r>
      <m:oMath>
        <m:sSub>
          <m:e>
            <m:r>
              <m:t>u</m:t>
            </m:r>
          </m:e>
          <m:sub>
            <m:r>
              <m:t>i</m:t>
            </m:r>
          </m:sub>
        </m:sSub>
        <m:r>
          <m:rPr>
            <m:sty m:val="p"/>
          </m:rPr>
          <m:t>=</m:t>
        </m:r>
        <m:sSub>
          <m:e>
            <m:r>
              <m:t>θ</m:t>
            </m:r>
          </m:e>
          <m:sub>
            <m:r>
              <m:t>i</m:t>
            </m:r>
          </m:sub>
        </m:sSub>
        <m:r>
          <m:rPr>
            <m:sty m:val="p"/>
          </m:rPr>
          <m:t>⋅</m:t>
        </m:r>
        <m:sSub>
          <m:e>
            <m:r>
              <m:rPr>
                <m:sty m:val="b"/>
              </m:rPr>
              <m:t>1</m:t>
            </m:r>
          </m:e>
          <m:sub>
            <m:r>
              <m:rPr>
                <m:sty m:val="p"/>
              </m:rPr>
              <m:t>[</m:t>
            </m:r>
            <m:sSub>
              <m:e>
                <m:r>
                  <m:t>e</m:t>
                </m:r>
              </m:e>
              <m:sub>
                <m:r>
                  <m:t>i</m:t>
                </m:r>
              </m:sub>
            </m:sSub>
            <m:r>
              <m:rPr>
                <m:sty m:val="p"/>
              </m:rPr>
              <m:t>&gt;</m:t>
            </m:r>
            <m:sSub>
              <m:e>
                <m:r>
                  <m:t>e</m:t>
                </m:r>
              </m:e>
              <m:sub>
                <m:r>
                  <m:t>j</m:t>
                </m:r>
              </m:sub>
            </m:sSub>
            <m:r>
              <m:rPr>
                <m:sty m:val="p"/>
              </m:rPr>
              <m:t>]</m:t>
            </m:r>
          </m:sub>
        </m:sSub>
        <m:r>
          <m:rPr>
            <m:sty m:val="p"/>
          </m:rPr>
          <m:t>−</m:t>
        </m:r>
        <m:sSub>
          <m:e>
            <m:r>
              <m:t>e</m:t>
            </m:r>
          </m:e>
          <m:sub>
            <m:r>
              <m:t>i</m:t>
            </m:r>
          </m:sub>
        </m:sSub>
      </m:oMath>
      <w:r>
        <w:t xml:space="preserve">. (a) Interprete este jogo como um leilão</w:t>
      </w:r>
      <w:r>
        <w:t xml:space="preserve"> </w:t>
      </w:r>
      <w:r>
        <w:rPr>
          <w:i/>
          <w:iCs/>
        </w:rPr>
        <w:t xml:space="preserve">all-pay</w:t>
      </w:r>
      <w:r>
        <w:t xml:space="preserve"> </w:t>
      </w:r>
      <w:r>
        <w:t xml:space="preserve">com valores privados. (b) Encontre o BNE simétrico em estratégias puras crescentes</w:t>
      </w:r>
      <w:r>
        <w:t xml:space="preserve"> </w:t>
      </w:r>
      <m:oMath>
        <m:r>
          <m:t>e</m:t>
        </m:r>
        <m:r>
          <m:rPr>
            <m:sty m:val="p"/>
          </m:rPr>
          <m:t>(</m:t>
        </m:r>
        <m:r>
          <m:t>θ</m:t>
        </m:r>
        <m:r>
          <m:rPr>
            <m:sty m:val="p"/>
          </m:rPr>
          <m:t>)</m:t>
        </m:r>
      </m:oMath>
      <w:r>
        <w:t xml:space="preserve">. (c) Calcule o esforço total esperado e compare com o valor esperado do prêmio para o vencedor. Há</w:t>
      </w:r>
      <w:r>
        <w:t xml:space="preserve"> </w:t>
      </w:r>
      <w:r>
        <w:t xml:space="preserve">“desperdício”</w:t>
      </w:r>
      <w:r>
        <w:t xml:space="preserve"> </w:t>
      </w:r>
      <w:r>
        <w:t xml:space="preserve">de recursos? (d) Discuta como este modelo se aplica a competições por promoção em empresas (</w:t>
      </w:r>
      <w:r>
        <w:rPr>
          <w:i/>
          <w:iCs/>
        </w:rPr>
        <w:t xml:space="preserve">tournaments</w:t>
      </w:r>
      <w:r>
        <w:t xml:space="preserve">) e investimentos em lobby político.</w:t>
      </w:r>
    </w:p>
    <w:p>
      <w:pPr>
        <w:pStyle w:val="BodyText"/>
      </w:pPr>
      <w:r>
        <w:t xml:space="preserve">Ver solução (Cap. 9)</w:t>
      </w:r>
    </w:p>
    <w:p>
      <w:r>
        <w:pict>
          <v:rect style="width:0;height:1.5pt" o:hralign="center" o:hrstd="t" o:hr="t"/>
        </w:pict>
      </w:r>
    </w:p>
    <w:p>
      <w:pPr>
        <w:pStyle w:val="FirstParagraph"/>
      </w:pPr>
      <w:r>
        <w:rPr>
          <w:b/>
          <w:bCs/>
        </w:rPr>
        <w:t xml:space="preserve">Exercício 9c.10.</w:t>
      </w:r>
      <w:r>
        <w:t xml:space="preserve"> </w:t>
      </w:r>
      <w:r>
        <w:t xml:space="preserve">(Desenho de mecanismo e preço de reserva ótimo — Difícil) Um leiloeiro vende um objeto a</w:t>
      </w:r>
      <w:r>
        <w:t xml:space="preserve"> </w:t>
      </w:r>
      <m:oMath>
        <m:r>
          <m:t>N</m:t>
        </m:r>
        <m:r>
          <m:rPr>
            <m:sty m:val="p"/>
          </m:rPr>
          <m:t>=</m:t>
        </m:r>
        <m:r>
          <m:t>2</m:t>
        </m:r>
      </m:oMath>
      <w:r>
        <w:t xml:space="preserve"> </w:t>
      </w:r>
      <w:r>
        <w:t xml:space="preserve">licitantes com valores</w:t>
      </w:r>
      <w:r>
        <w:t xml:space="preserve"> </w:t>
      </w:r>
      <m:oMath>
        <m:sSub>
          <m:e>
            <m:r>
              <m:t>v</m:t>
            </m:r>
          </m:e>
          <m:sub>
            <m:r>
              <m:t>i</m:t>
            </m:r>
          </m:sub>
        </m:sSub>
        <m:r>
          <m:rPr>
            <m:sty m:val="p"/>
          </m:rPr>
          <m:t>∼</m:t>
        </m:r>
        <m:r>
          <m:t>U</m:t>
        </m:r>
        <m:r>
          <m:rPr>
            <m:sty m:val="p"/>
          </m:rPr>
          <m:t>[</m:t>
        </m:r>
        <m:r>
          <m:t>0</m:t>
        </m:r>
        <m:r>
          <m:rPr>
            <m:sty m:val="p"/>
          </m:rPr>
          <m:t>,</m:t>
        </m:r>
        <m:r>
          <m:t>1</m:t>
        </m:r>
        <m:r>
          <m:rPr>
            <m:sty m:val="p"/>
          </m:rPr>
          <m:t>]</m:t>
        </m:r>
      </m:oMath>
      <w:r>
        <w:t xml:space="preserve">. O valor de reserva do leiloeiro (seu valor pelo objeto se não vender) é</w:t>
      </w:r>
      <w:r>
        <w:t xml:space="preserve"> </w:t>
      </w:r>
      <m:oMath>
        <m:sSub>
          <m:e>
            <m:r>
              <m:t>v</m:t>
            </m:r>
          </m:e>
          <m:sub>
            <m:r>
              <m:t>0</m:t>
            </m:r>
          </m:sub>
        </m:sSub>
        <m:r>
          <m:rPr>
            <m:sty m:val="p"/>
          </m:rPr>
          <m:t>=</m:t>
        </m:r>
        <m:r>
          <m:t>0</m:t>
        </m:r>
      </m:oMath>
      <w:r>
        <w:t xml:space="preserve">. (a) Calcule a receita esperada do leilão de segundo preço</w:t>
      </w:r>
      <w:r>
        <w:t xml:space="preserve"> </w:t>
      </w:r>
      <w:r>
        <w:rPr>
          <w:i/>
          <w:iCs/>
        </w:rPr>
        <w:t xml:space="preserve">sem</w:t>
      </w:r>
      <w:r>
        <w:t xml:space="preserve"> </w:t>
      </w:r>
      <w:r>
        <w:t xml:space="preserve">preço de reserva. (b) Agora, suponha que o leiloeiro impõe um preço de reserva</w:t>
      </w:r>
      <w:r>
        <w:t xml:space="preserve"> </w:t>
      </w:r>
      <m:oMath>
        <m:r>
          <m:t>r</m:t>
        </m:r>
      </m:oMath>
      <w:r>
        <w:t xml:space="preserve">. Derive a receita esperada como função de</w:t>
      </w:r>
      <w:r>
        <w:t xml:space="preserve"> </w:t>
      </w:r>
      <m:oMath>
        <m:r>
          <m:t>r</m:t>
        </m:r>
      </m:oMath>
      <w:r>
        <w:t xml:space="preserve">. (c) Encontre o preço de reserva ótimo</w:t>
      </w:r>
      <w:r>
        <w:t xml:space="preserve"> </w:t>
      </w:r>
      <m:oMath>
        <m:sSup>
          <m:e>
            <m:r>
              <m:t>r</m:t>
            </m:r>
          </m:e>
          <m:sup>
            <m:r>
              <m:rPr>
                <m:sty m:val="p"/>
              </m:rPr>
              <m:t>*</m:t>
            </m:r>
          </m:sup>
        </m:sSup>
      </m:oMath>
      <w:r>
        <w:t xml:space="preserve"> </w:t>
      </w:r>
      <w:r>
        <w:t xml:space="preserve">que maximiza a receita esperada. (d) Calcule a receita esperada no ótimo e compare com o item (a). Qual é o ganho percentual? (e) Mostre que</w:t>
      </w:r>
      <w:r>
        <w:t xml:space="preserve"> </w:t>
      </w:r>
      <m:oMath>
        <m:sSup>
          <m:e>
            <m:r>
              <m:t>r</m:t>
            </m:r>
          </m:e>
          <m:sup>
            <m:r>
              <m:rPr>
                <m:sty m:val="p"/>
              </m:rPr>
              <m:t>*</m:t>
            </m:r>
          </m:sup>
        </m:sSup>
        <m:r>
          <m:rPr>
            <m:sty m:val="p"/>
          </m:rPr>
          <m:t>=</m:t>
        </m:r>
        <m:r>
          <m:t>1</m:t>
        </m:r>
        <m:r>
          <m:rPr>
            <m:sty m:val="p"/>
          </m:rPr>
          <m:t>/</m:t>
        </m:r>
        <m:r>
          <m:t>2</m:t>
        </m:r>
      </m:oMath>
      <w:r>
        <w:t xml:space="preserve"> </w:t>
      </w:r>
      <w:r>
        <w:t xml:space="preserve">coincide com o preço de reserva do leilão ótimo de Myerson, usando a condição de valor virtual</w:t>
      </w:r>
      <w:r>
        <w:t xml:space="preserve"> </w:t>
      </w:r>
      <m:oMath>
        <m:r>
          <m:t>ψ</m:t>
        </m:r>
        <m:r>
          <m:rPr>
            <m:sty m:val="p"/>
          </m:rPr>
          <m:t>(</m:t>
        </m:r>
        <m:sSup>
          <m:e>
            <m:r>
              <m:t>r</m:t>
            </m:r>
          </m:e>
          <m:sup>
            <m:r>
              <m:rPr>
                <m:sty m:val="p"/>
              </m:rPr>
              <m:t>*</m:t>
            </m:r>
          </m:sup>
        </m:sSup>
        <m:r>
          <m:rPr>
            <m:sty m:val="p"/>
          </m:rPr>
          <m:t>)</m:t>
        </m:r>
        <m:r>
          <m:rPr>
            <m:sty m:val="p"/>
          </m:rPr>
          <m:t>=</m:t>
        </m:r>
        <m:sSub>
          <m:e>
            <m:r>
              <m:t>v</m:t>
            </m:r>
          </m:e>
          <m:sub>
            <m:r>
              <m:t>0</m:t>
            </m:r>
          </m:sub>
        </m:sSub>
      </m:oMath>
      <w:r>
        <w:t xml:space="preserve">.</w:t>
      </w:r>
    </w:p>
    <w:p>
      <w:pPr>
        <w:pStyle w:val="BodyText"/>
      </w:pPr>
      <w:r>
        <w:t xml:space="preserve">Ver solução (Cap. 9)</w:t>
      </w:r>
    </w:p>
    <w:p>
      <w:r>
        <w:pict>
          <v:rect style="width:0;height:1.5pt" o:hralign="center" o:hrstd="t" o:hr="t"/>
        </w:pict>
      </w:r>
    </w:p>
    <w:bookmarkEnd w:id="582"/>
    <w:bookmarkStart w:id="583" w:name="vem-anpec-9"/>
    <w:p>
      <w:pPr>
        <w:pStyle w:val="Heading3"/>
      </w:pPr>
      <w:r>
        <w:t xml:space="preserve">Vem, ANPEC!</w:t>
      </w:r>
    </w:p>
    <w:p>
      <w:pPr>
        <w:pStyle w:val="BlockText"/>
      </w:pPr>
      <w:r>
        <w:rPr>
          <w:b/>
          <w:bCs/>
        </w:rPr>
        <w:t xml:space="preserve">[QUESTAO] ANPEC 2018 — Questão 10 (adaptada)</w:t>
      </w:r>
    </w:p>
    <w:p>
      <w:pPr>
        <w:pStyle w:val="BlockText"/>
      </w:pPr>
      <w:r>
        <w:t xml:space="preserve">Considere um leilão de primeiro preço com dois licitantes cujos valores são sorteados independentemente de</w:t>
      </w:r>
      <w:r>
        <w:t xml:space="preserve"> </w:t>
      </w:r>
      <m:oMath>
        <m:r>
          <m:t>U</m:t>
        </m:r>
        <m:r>
          <m:rPr>
            <m:sty m:val="p"/>
          </m:rPr>
          <m:t>[</m:t>
        </m:r>
        <m:r>
          <m:t>0</m:t>
        </m:r>
        <m:r>
          <m:rPr>
            <m:sty m:val="p"/>
          </m:rPr>
          <m:t>,</m:t>
        </m:r>
        <m:r>
          <m:t>1</m:t>
        </m:r>
        <m:r>
          <m:rPr>
            <m:sty m:val="p"/>
          </m:rPr>
          <m:t>]</m:t>
        </m:r>
      </m:oMath>
      <w:r>
        <w:t xml:space="preserve">.</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A estratégia de equilíbrio simétrico é</w:t>
            </w:r>
            <w:r>
              <w:t xml:space="preserve"> </w:t>
            </w:r>
            <m:oMath>
              <m:r>
                <m:t>b</m:t>
              </m:r>
              <m:r>
                <m:rPr>
                  <m:sty m:val="p"/>
                </m:rPr>
                <m:t>(</m:t>
              </m:r>
              <m:r>
                <m:t>v</m:t>
              </m:r>
              <m:r>
                <m:rPr>
                  <m:sty m:val="p"/>
                </m:rPr>
                <m:t>)</m:t>
              </m:r>
              <m:r>
                <m:rPr>
                  <m:sty m:val="p"/>
                </m:rPr>
                <m:t>=</m:t>
              </m:r>
              <m:r>
                <m:t>v</m:t>
              </m:r>
              <m:r>
                <m:rPr>
                  <m:sty m:val="p"/>
                </m:rPr>
                <m:t>/</m:t>
              </m:r>
              <m:r>
                <m:t>2</m:t>
              </m:r>
            </m:oMath>
            <w:r>
              <w:t xml:space="preserve">.</w:t>
            </w:r>
          </w:p>
        </w:tc>
      </w:tr>
      <w:tr>
        <w:tc>
          <w:tcPr/>
          <w:p>
            <w:pPr>
              <w:pStyle w:val="Compact"/>
            </w:pPr>
            <w:r>
              <w:t xml:space="preserve">1</w:t>
            </w:r>
          </w:p>
        </w:tc>
        <w:tc>
          <w:tcPr/>
          <w:p>
            <w:pPr>
              <w:pStyle w:val="Compact"/>
            </w:pPr>
            <w:r>
              <w:t xml:space="preserve">A receita esperada do leiloeiro é 1/3.</w:t>
            </w:r>
          </w:p>
        </w:tc>
      </w:tr>
      <w:tr>
        <w:tc>
          <w:tcPr/>
          <w:p>
            <w:pPr>
              <w:pStyle w:val="Compact"/>
            </w:pPr>
            <w:r>
              <w:t xml:space="preserve">2</w:t>
            </w:r>
          </w:p>
        </w:tc>
        <w:tc>
          <w:tcPr/>
          <w:p>
            <w:pPr>
              <w:pStyle w:val="Compact"/>
            </w:pPr>
            <w:r>
              <w:t xml:space="preserve">No leilão de segundo preço, a receita esperada também é 1/3.</w:t>
            </w:r>
          </w:p>
        </w:tc>
      </w:tr>
      <w:tr>
        <w:tc>
          <w:tcPr/>
          <w:p>
            <w:pPr>
              <w:pStyle w:val="Compact"/>
            </w:pPr>
            <w:r>
              <w:t xml:space="preserve">3</w:t>
            </w:r>
          </w:p>
        </w:tc>
        <w:tc>
          <w:tcPr/>
          <w:p>
            <w:pPr>
              <w:pStyle w:val="Compact"/>
            </w:pPr>
            <w:r>
              <w:t xml:space="preserve">Com aversão ao risco dos licitantes, o leilão de primeiro preço gera mais receita que o de segundo.</w:t>
            </w:r>
          </w:p>
        </w:tc>
      </w:tr>
      <w:tr>
        <w:tc>
          <w:tcPr/>
          <w:p>
            <w:pPr>
              <w:pStyle w:val="Compact"/>
            </w:pPr>
            <w:r>
              <w:t xml:space="preserve">4</w:t>
            </w:r>
          </w:p>
        </w:tc>
        <w:tc>
          <w:tcPr/>
          <w:p>
            <w:pPr>
              <w:pStyle w:val="Compact"/>
            </w:pPr>
            <w:r>
              <w:t xml:space="preserve">A colusão é mais fácil de sustentar no leilão ascendente (inglês) do que no de envelope fechado.</w:t>
            </w:r>
          </w:p>
        </w:tc>
      </w:tr>
    </w:tbl>
    <w:p>
      <w:pPr>
        <w:pStyle w:val="BlockText"/>
      </w:pPr>
      <w:r>
        <w:t xml:space="preserve">??? success</w:t>
      </w:r>
      <w:r>
        <w:t xml:space="preserve"> </w:t>
      </w:r>
      <w:r>
        <w:t xml:space="preserve">“Gabarito”</w:t>
      </w:r>
      <w:r>
        <w:t xml:space="preserve"> </w:t>
      </w:r>
      <w:r>
        <w:rPr>
          <w:b/>
          <w:bCs/>
        </w:rPr>
        <w:t xml:space="preserve">Respostas: 11111</w:t>
      </w:r>
    </w:p>
    <w:p>
      <w:pPr>
        <w:pStyle w:val="SourceCode"/>
      </w:pPr>
      <w:r>
        <w:rPr>
          <w:rStyle w:val="VerbatimChar"/>
        </w:rPr>
        <w:t xml:space="preserve">- **Item 0 — V:** Com $N=2$ e $v \sim U[0,1]$, BNE: $b(v) = v(N-1)/N = v/2$.</w:t>
      </w:r>
      <w:r>
        <w:br/>
      </w:r>
      <w:r>
        <w:rPr>
          <w:rStyle w:val="VerbatimChar"/>
        </w:rPr>
        <w:t xml:space="preserve">- **Item 1 — V:** $E[R] = (N-1)/(N+1) = 1/3$.</w:t>
      </w:r>
      <w:r>
        <w:br/>
      </w:r>
      <w:r>
        <w:rPr>
          <w:rStyle w:val="VerbatimChar"/>
        </w:rPr>
        <w:t xml:space="preserve">- **Item 2 — V:** Revenue Equivalence Theorem.</w:t>
      </w:r>
      <w:r>
        <w:br/>
      </w:r>
      <w:r>
        <w:rPr>
          <w:rStyle w:val="VerbatimChar"/>
        </w:rPr>
        <w:t xml:space="preserve">- **Item 3 — V:** Com aversão ao risco, licitantes sombreiam menos no 1º preço → receita maior. A equivalência falha.</w:t>
      </w:r>
      <w:r>
        <w:br/>
      </w:r>
      <w:r>
        <w:rPr>
          <w:rStyle w:val="VerbatimChar"/>
        </w:rPr>
        <w:t xml:space="preserve">- **Item 4 — V:** No leilão inglês, licitantes observam os lances uns dos outros, facilitando sinalização e punição de desvios do cartel (McAfee e McMillan, 1992).</w:t>
      </w:r>
    </w:p>
    <w:p>
      <w:pPr>
        <w:pStyle w:val="BlockText"/>
      </w:pPr>
      <w:r>
        <w:rPr>
          <w:b/>
          <w:bCs/>
        </w:rPr>
        <w:t xml:space="preserve">[QUESTAO] ANPEC 2015 — Questão 8 (adaptada)</w:t>
      </w:r>
    </w:p>
    <w:p>
      <w:pPr>
        <w:pStyle w:val="BlockText"/>
      </w:pPr>
      <w:r>
        <w:t xml:space="preserve">Sobre jogos bayesianos e leilões, avalie as seguintes afirmativas: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No equilíbrio bayesiano de Nash, cada tipo de cada jogador maximiza seu payoff esperado, condicionando na distribuição dos tipos dos demais e nas estratégias de equilíbrio.</w:t>
            </w:r>
          </w:p>
        </w:tc>
      </w:tr>
      <w:tr>
        <w:tc>
          <w:tcPr/>
          <w:p>
            <w:pPr>
              <w:pStyle w:val="Compact"/>
            </w:pPr>
            <w:r>
              <w:t xml:space="preserve">1</w:t>
            </w:r>
          </w:p>
        </w:tc>
        <w:tc>
          <w:tcPr/>
          <w:p>
            <w:pPr>
              <w:pStyle w:val="Compact"/>
            </w:pPr>
            <w:r>
              <w:t xml:space="preserve">No leilão de segundo preço (Vickrey), lançar o valor verdadeiro é estratégia estritamente dominante.</w:t>
            </w:r>
          </w:p>
        </w:tc>
      </w:tr>
      <w:tr>
        <w:tc>
          <w:tcPr/>
          <w:p>
            <w:pPr>
              <w:pStyle w:val="Compact"/>
            </w:pPr>
            <w:r>
              <w:t xml:space="preserve">2</w:t>
            </w:r>
          </w:p>
        </w:tc>
        <w:tc>
          <w:tcPr/>
          <w:p>
            <w:pPr>
              <w:pStyle w:val="Compact"/>
            </w:pPr>
            <w:r>
              <w:t xml:space="preserve">O Teorema da Equivalência de Receita implica que a receita de qualquer leilão é sempre a mesma, independentemente do formato.</w:t>
            </w:r>
          </w:p>
        </w:tc>
      </w:tr>
      <w:tr>
        <w:tc>
          <w:tcPr/>
          <w:p>
            <w:pPr>
              <w:pStyle w:val="Compact"/>
            </w:pPr>
            <w:r>
              <w:t xml:space="preserve">3</w:t>
            </w:r>
          </w:p>
        </w:tc>
        <w:tc>
          <w:tcPr/>
          <w:p>
            <w:pPr>
              <w:pStyle w:val="Compact"/>
            </w:pPr>
            <w:r>
              <w:t xml:space="preserve">A maldição do vencedor é um fenômeno que ocorre exclusivamente em leilões de valor comum, não em leilões de valor privado.</w:t>
            </w:r>
          </w:p>
        </w:tc>
      </w:tr>
      <w:tr>
        <w:tc>
          <w:tcPr/>
          <w:p>
            <w:pPr>
              <w:pStyle w:val="Compact"/>
            </w:pPr>
            <w:r>
              <w:t xml:space="preserve">4</w:t>
            </w:r>
          </w:p>
        </w:tc>
        <w:tc>
          <w:tcPr/>
          <w:p>
            <w:pPr>
              <w:pStyle w:val="Compact"/>
            </w:pPr>
            <w:r>
              <w:t xml:space="preserve">O Princípio da Revelação afirma que, para qualquer mecanismo e qualquer BNE, existe um mecanismo de revelação direta equivalente em que reportar o tipo verdadeiro é equilíbrio.</w:t>
            </w:r>
          </w:p>
        </w:tc>
      </w:tr>
    </w:tbl>
    <w:p>
      <w:pPr>
        <w:pStyle w:val="BlockText"/>
      </w:pPr>
      <w:r>
        <w:t xml:space="preserve">??? success</w:t>
      </w:r>
      <w:r>
        <w:t xml:space="preserve"> </w:t>
      </w:r>
      <w:r>
        <w:t xml:space="preserve">“Gabarito”</w:t>
      </w:r>
      <w:r>
        <w:t xml:space="preserve"> </w:t>
      </w:r>
      <w:r>
        <w:rPr>
          <w:b/>
          <w:bCs/>
        </w:rPr>
        <w:t xml:space="preserve">Respostas: 10011</w:t>
      </w:r>
    </w:p>
    <w:p>
      <w:pPr>
        <w:pStyle w:val="SourceCode"/>
      </w:pPr>
      <w:r>
        <w:rPr>
          <w:rStyle w:val="VerbatimChar"/>
        </w:rPr>
        <w:t xml:space="preserve">- **Item 0 — V:** Definição correta do BNE — cada tipo maximiza contra a distribuição dos demais.</w:t>
      </w:r>
      <w:r>
        <w:br/>
      </w:r>
      <w:r>
        <w:rPr>
          <w:rStyle w:val="VerbatimChar"/>
        </w:rPr>
        <w:t xml:space="preserve">- **Item 1 — F:** No leilão de Vickrey, lançar $b_i = v_i$ é estratégia *fracamente* dominante, não *estritamente* dominante. A diferença é sutil mas importante: quando $b_i = b_{(1)}^{-i}$, o lance não faz diferença (o jogador é indiferente).</w:t>
      </w:r>
      <w:r>
        <w:br/>
      </w:r>
      <w:r>
        <w:rPr>
          <w:rStyle w:val="VerbatimChar"/>
        </w:rPr>
        <w:t xml:space="preserve">- **Item 2 — F:** O Teorema da Equivalência de Receita vale apenas sob condições específicas: IPV, simetria, risco-neutralidade e eficiência. Com aversão ao risco, assimetria ou valores comuns, a equivalência falha e o formato importa.</w:t>
      </w:r>
      <w:r>
        <w:br/>
      </w:r>
      <w:r>
        <w:rPr>
          <w:rStyle w:val="VerbatimChar"/>
        </w:rPr>
        <w:t xml:space="preserve">- **Item 3 — V:** Em leilões de valor privado puro, o valor do objeto não depende das estimativas dos outros — portanto, vencer não é "má notícia". A maldição do vencedor é um fenômeno específico de valores comuns (ou, mais geralmente, valores afiliados).</w:t>
      </w:r>
      <w:r>
        <w:br/>
      </w:r>
      <w:r>
        <w:rPr>
          <w:rStyle w:val="VerbatimChar"/>
        </w:rPr>
        <w:t xml:space="preserve">- **Item 4 — V:** Enunciado correto do Princípio da Revelação (Myerson, 1981). Note que o princípio garante a *existência* do mecanismo de revelação direta equivalente, não que este seja o mecanismo utilizado na prática.</w:t>
      </w:r>
    </w:p>
    <w:p>
      <w:r>
        <w:pict>
          <v:rect style="width:0;height:1.5pt" o:hralign="center" o:hrstd="t" o:hr="t"/>
        </w:pict>
      </w:r>
    </w:p>
    <w:p>
      <w:pPr>
        <w:pStyle w:val="BlockText"/>
      </w:pPr>
      <w:r>
        <w:rPr>
          <w:b/>
          <w:bCs/>
        </w:rPr>
        <w:t xml:space="preserve">[DICA] 🤖 Exercício com IA</w:t>
      </w:r>
    </w:p>
    <w:p>
      <w:pPr>
        <w:pStyle w:val="BlockText"/>
      </w:pPr>
      <w:r>
        <w:rPr>
          <w:b/>
          <w:bCs/>
        </w:rPr>
        <w:t xml:space="preserve">IA.4 — Simulação de Leilões de Primeiro Preço</w:t>
      </w:r>
    </w:p>
    <w:p>
      <w:pPr>
        <w:pStyle w:val="BlockText"/>
      </w:pPr>
      <w:r>
        <w:t xml:space="preserve">Peça à IA para simular 1000 leilões de primeiro preço com 5 licitantes e valores uniformes em</w:t>
      </w:r>
      <w:r>
        <w:t xml:space="preserve"> </w:t>
      </w:r>
      <m:oMath>
        <m:r>
          <m:rPr>
            <m:sty m:val="p"/>
          </m:rPr>
          <m:t>[</m:t>
        </m:r>
        <m:r>
          <m:t>0</m:t>
        </m:r>
        <m:r>
          <m:rPr>
            <m:sty m:val="p"/>
          </m:rPr>
          <m:t>,</m:t>
        </m:r>
        <m:r>
          <m:t>100</m:t>
        </m:r>
        <m:r>
          <m:rPr>
            <m:sty m:val="p"/>
          </m:rPr>
          <m:t>]</m:t>
        </m:r>
      </m:oMath>
      <w:r>
        <w:t xml:space="preserve">, usando a estratégia de equilíbrio</w:t>
      </w:r>
      <w:r>
        <w:t xml:space="preserve"> </w:t>
      </w:r>
      <m:oMath>
        <m:r>
          <m:t>b</m:t>
        </m:r>
        <m:r>
          <m:rPr>
            <m:sty m:val="p"/>
          </m:rPr>
          <m:t>(</m:t>
        </m:r>
        <m:r>
          <m:t>v</m:t>
        </m:r>
        <m:r>
          <m:rPr>
            <m:sty m:val="p"/>
          </m:rPr>
          <m:t>)</m:t>
        </m:r>
        <m:r>
          <m:rPr>
            <m:sty m:val="p"/>
          </m:rPr>
          <m:t>=</m:t>
        </m:r>
        <m:r>
          <m:t>v</m:t>
        </m:r>
        <m:r>
          <m:rPr>
            <m:sty m:val="p"/>
          </m:rPr>
          <m:t>⋅</m:t>
        </m:r>
        <m:r>
          <m:t>4</m:t>
        </m:r>
        <m:r>
          <m:rPr>
            <m:sty m:val="p"/>
          </m:rPr>
          <m:t>/</m:t>
        </m:r>
        <m:r>
          <m:t>5</m:t>
        </m:r>
      </m:oMath>
      <w:r>
        <w:t xml:space="preserve">. Calcule a receita média e compare com a previsão teórica</w:t>
      </w:r>
      <w:r>
        <w:t xml:space="preserve"> </w:t>
      </w:r>
      <m:oMath>
        <m:r>
          <m:t>E</m:t>
        </m:r>
        <m:r>
          <m:rPr>
            <m:sty m:val="p"/>
          </m:rPr>
          <m:t>[</m:t>
        </m:r>
        <m:r>
          <m:t>R</m:t>
        </m:r>
        <m:r>
          <m:rPr>
            <m:sty m:val="p"/>
          </m:rPr>
          <m:t>]</m:t>
        </m:r>
        <m:r>
          <m:rPr>
            <m:sty m:val="p"/>
          </m:rPr>
          <m:t>=</m:t>
        </m:r>
        <m:r>
          <m:t>66</m:t>
        </m:r>
        <m:r>
          <m:rPr>
            <m:sty m:val="p"/>
          </m:rPr>
          <m:t>,</m:t>
        </m:r>
        <m:r>
          <m:t>67</m:t>
        </m:r>
      </m:oMath>
      <w:r>
        <w:t xml:space="preserve">. O resultado simulado convergiu?</w:t>
      </w:r>
    </w:p>
    <w:p>
      <w:pPr>
        <w:pStyle w:val="BlockText"/>
      </w:pPr>
      <w:r>
        <w:t xml:space="preserve">Ver exercício completo</w:t>
      </w:r>
    </w:p>
    <w:bookmarkEnd w:id="583"/>
    <w:bookmarkEnd w:id="584"/>
    <w:bookmarkStart w:id="595" w:name="pesquisa-em-ação-12"/>
    <w:p>
      <w:pPr>
        <w:pStyle w:val="Heading2"/>
      </w:pPr>
      <w:r>
        <w:t xml:space="preserve">Pesquisa em Ação</w:t>
      </w:r>
    </w:p>
    <w:bookmarkStart w:id="590" w:name="pesquisa-em-ação-13"/>
    <w:p>
      <w:pPr>
        <w:pStyle w:val="Heading3"/>
      </w:pPr>
      <w:r>
        <w:t xml:space="preserve">Pesquisa em Ação</w:t>
      </w:r>
    </w:p>
    <w:p>
      <w:pPr>
        <w:pStyle w:val="BlockText"/>
      </w:pPr>
      <w:r>
        <w:rPr>
          <w:b/>
          <w:bCs/>
        </w:rPr>
        <w:t xml:space="preserve">[PESQUISA EM ACAO] Athey, Susan, e Philip A. Haile (2007).</w:t>
      </w:r>
      <w:r>
        <w:rPr>
          <w:b/>
          <w:bCs/>
        </w:rPr>
        <w:t xml:space="preserve"> </w:t>
      </w:r>
      <w:hyperlink r:id="rId585">
        <w:r>
          <w:rPr>
            <w:rStyle w:val="Hyperlink"/>
            <w:b/>
            <w:bCs/>
          </w:rPr>
          <w:t xml:space="preserve">Nonparametric Approaches to Auctions</w:t>
        </w:r>
      </w:hyperlink>
      <w:r>
        <w:rPr>
          <w:b/>
          <w:bCs/>
        </w:rPr>
        <w:t xml:space="preserve">. In:</w:t>
      </w:r>
      <w:r>
        <w:rPr>
          <w:b/>
          <w:bCs/>
        </w:rPr>
        <w:t xml:space="preserve"> </w:t>
      </w:r>
      <w:r>
        <w:rPr>
          <w:b/>
          <w:bCs/>
          <w:i/>
          <w:iCs/>
        </w:rPr>
        <w:t xml:space="preserve">Handbook of Econometrics</w:t>
      </w:r>
      <w:r>
        <w:rPr>
          <w:b/>
          <w:bCs/>
        </w:rPr>
        <w:t xml:space="preserve">, Vol. 6A, 3847–3965.</w:t>
      </w:r>
    </w:p>
    <w:p>
      <w:pPr>
        <w:pStyle w:val="BlockText"/>
      </w:pPr>
      <w:r>
        <w:rPr>
          <w:b/>
          <w:bCs/>
        </w:rPr>
        <w:t xml:space="preserve">Contribuição:</w:t>
      </w:r>
      <w:r>
        <w:t xml:space="preserve"> </w:t>
      </w:r>
      <w:r>
        <w:t xml:space="preserve">Survey abrangente sobre métodos econométricos para estimar modelos estruturais de leilões. Mostra como recuperar a distribuição de valores privados a partir de dados de lances observados — identificação não paramétrica.</w:t>
      </w:r>
    </w:p>
    <w:p>
      <w:pPr>
        <w:pStyle w:val="BlockText"/>
      </w:pPr>
      <w:r>
        <w:rPr>
          <w:b/>
          <w:bCs/>
        </w:rPr>
        <w:t xml:space="preserve">Relevância:</w:t>
      </w:r>
      <w:r>
        <w:t xml:space="preserve"> </w:t>
      </w:r>
      <w:r>
        <w:t xml:space="preserve">Base metodológica para análise empírica de leilões da ANP e ANEEL. Os métodos permitem testar se licitantes jogam o BNE, estimar o grau de colusão e avaliar formatos alternativos de leilão.</w:t>
      </w:r>
    </w:p>
    <w:p>
      <w:pPr>
        <w:pStyle w:val="BlockText"/>
      </w:pPr>
      <w:r>
        <w:rPr>
          <w:b/>
          <w:bCs/>
        </w:rPr>
        <w:t xml:space="preserve">[PESQUISA EM ACAO] Myerson, Roger B. (1981).</w:t>
      </w:r>
      <w:r>
        <w:rPr>
          <w:b/>
          <w:bCs/>
        </w:rPr>
        <w:t xml:space="preserve"> </w:t>
      </w:r>
      <w:hyperlink r:id="rId586">
        <w:r>
          <w:rPr>
            <w:rStyle w:val="Hyperlink"/>
            <w:b/>
            <w:bCs/>
          </w:rPr>
          <w:t xml:space="preserve">Optimal Auction Design</w:t>
        </w:r>
      </w:hyperlink>
      <w:r>
        <w:rPr>
          <w:b/>
          <w:bCs/>
        </w:rPr>
        <w:t xml:space="preserve">.</w:t>
      </w:r>
      <w:r>
        <w:rPr>
          <w:b/>
          <w:bCs/>
        </w:rPr>
        <w:t xml:space="preserve"> </w:t>
      </w:r>
      <w:r>
        <w:rPr>
          <w:b/>
          <w:bCs/>
          <w:i/>
          <w:iCs/>
        </w:rPr>
        <w:t xml:space="preserve">Mathematics of Operations Research</w:t>
      </w:r>
      <w:r>
        <w:rPr>
          <w:b/>
          <w:bCs/>
        </w:rPr>
        <w:t xml:space="preserve">, 6(1), 58–73.</w:t>
      </w:r>
    </w:p>
    <w:p>
      <w:pPr>
        <w:pStyle w:val="BlockText"/>
      </w:pPr>
      <w:r>
        <w:rPr>
          <w:b/>
          <w:bCs/>
        </w:rPr>
        <w:t xml:space="preserve">Contribuição:</w:t>
      </w:r>
      <w:r>
        <w:t xml:space="preserve"> </w:t>
      </w:r>
      <w:r>
        <w:t xml:space="preserve">Myerson derivou o leilão ótimo (que maximiza receita esperada do leiloeiro) usando o Princípio da Revelação. O resultado inclui um preço de reserva ótimo e, com assimetria, discriminação entre licitantes.</w:t>
      </w:r>
    </w:p>
    <w:p>
      <w:pPr>
        <w:pStyle w:val="BlockText"/>
      </w:pPr>
      <w:r>
        <w:rPr>
          <w:b/>
          <w:bCs/>
        </w:rPr>
        <w:t xml:space="preserve">Relevância:</w:t>
      </w:r>
      <w:r>
        <w:t xml:space="preserve"> </w:t>
      </w:r>
      <w:r>
        <w:t xml:space="preserve">Fundamentação teórica para o desenho de leilões governamentais. O preço de reserva — que exclui licitantes com valores baixos — aumenta a receita esperada mesmo ao risco de não vender o objeto.</w:t>
      </w:r>
    </w:p>
    <w:p>
      <w:pPr>
        <w:pStyle w:val="BlockText"/>
      </w:pPr>
      <w:r>
        <w:rPr>
          <w:b/>
          <w:bCs/>
        </w:rPr>
        <w:t xml:space="preserve">[PESQUISA EM ACAO] Milgrom, Paul R., e Robert J. Weber (1982).</w:t>
      </w:r>
      <w:r>
        <w:rPr>
          <w:b/>
          <w:bCs/>
        </w:rPr>
        <w:t xml:space="preserve"> </w:t>
      </w:r>
      <w:hyperlink r:id="rId587">
        <w:r>
          <w:rPr>
            <w:rStyle w:val="Hyperlink"/>
            <w:b/>
            <w:bCs/>
          </w:rPr>
          <w:t xml:space="preserve">A Theory of Auctions and Competitive Bidding</w:t>
        </w:r>
      </w:hyperlink>
      <w:r>
        <w:rPr>
          <w:b/>
          <w:bCs/>
        </w:rPr>
        <w:t xml:space="preserve">.</w:t>
      </w:r>
      <w:r>
        <w:rPr>
          <w:b/>
          <w:bCs/>
        </w:rPr>
        <w:t xml:space="preserve"> </w:t>
      </w:r>
      <w:r>
        <w:rPr>
          <w:b/>
          <w:bCs/>
          <w:i/>
          <w:iCs/>
        </w:rPr>
        <w:t xml:space="preserve">Econometrica</w:t>
      </w:r>
      <w:r>
        <w:rPr>
          <w:b/>
          <w:bCs/>
        </w:rPr>
        <w:t xml:space="preserve">, 50(5), 1089–1122.</w:t>
      </w:r>
    </w:p>
    <w:p>
      <w:pPr>
        <w:pStyle w:val="BlockText"/>
      </w:pPr>
      <w:r>
        <w:rPr>
          <w:b/>
          <w:bCs/>
        </w:rPr>
        <w:t xml:space="preserve">Contribuição:</w:t>
      </w:r>
      <w:r>
        <w:t xml:space="preserve"> </w:t>
      </w:r>
      <w:r>
        <w:t xml:space="preserve">Milgrom e Weber generalizaram a teoria de leilões para valores afiliados (correlacionados), demonstrando o</w:t>
      </w:r>
      <w:r>
        <w:t xml:space="preserve"> </w:t>
      </w:r>
      <w:r>
        <w:t xml:space="preserve">“linkage principle”</w:t>
      </w:r>
      <w:r>
        <w:t xml:space="preserve">: leilões que divulgam mais informação geram mais receita. Também mostraram que leilões abertos (inglês) dominam fechados quando os valores são afiliados.</w:t>
      </w:r>
    </w:p>
    <w:p>
      <w:pPr>
        <w:pStyle w:val="BlockText"/>
      </w:pPr>
      <w:r>
        <w:rPr>
          <w:b/>
          <w:bCs/>
        </w:rPr>
        <w:t xml:space="preserve">Relevância:</w:t>
      </w:r>
      <w:r>
        <w:t xml:space="preserve"> </w:t>
      </w:r>
      <w:r>
        <w:t xml:space="preserve">Explica por que a ANP usa rodadas com publicação de dados sísmicos (aumenta a informação disponível, reduz a maldição do vencedor e aumenta a receita). O linkage principle é um dos resultados mais aplicados na política de leilões.</w:t>
      </w:r>
    </w:p>
    <w:p>
      <w:pPr>
        <w:pStyle w:val="BlockText"/>
      </w:pPr>
      <w:r>
        <w:rPr>
          <w:b/>
          <w:bCs/>
        </w:rPr>
        <w:t xml:space="preserve">[PESQUISA EM ACAO] Edelman, Benjamin, Michael Ostrovsky, e Michael Schwarz (2007).</w:t>
      </w:r>
      <w:r>
        <w:rPr>
          <w:b/>
          <w:bCs/>
        </w:rPr>
        <w:t xml:space="preserve"> </w:t>
      </w:r>
      <w:hyperlink r:id="rId588">
        <w:r>
          <w:rPr>
            <w:rStyle w:val="Hyperlink"/>
            <w:b/>
            <w:bCs/>
          </w:rPr>
          <w:t xml:space="preserve">Internet Advertising and the Generalized Second-Price Auction</w:t>
        </w:r>
      </w:hyperlink>
      <w:r>
        <w:rPr>
          <w:b/>
          <w:bCs/>
        </w:rPr>
        <w:t xml:space="preserve">.</w:t>
      </w:r>
      <w:r>
        <w:rPr>
          <w:b/>
          <w:bCs/>
        </w:rPr>
        <w:t xml:space="preserve"> </w:t>
      </w:r>
      <w:r>
        <w:rPr>
          <w:b/>
          <w:bCs/>
          <w:i/>
          <w:iCs/>
        </w:rPr>
        <w:t xml:space="preserve">American Economic Review</w:t>
      </w:r>
      <w:r>
        <w:rPr>
          <w:b/>
          <w:bCs/>
        </w:rPr>
        <w:t xml:space="preserve">, 97(1), 242–259.</w:t>
      </w:r>
    </w:p>
    <w:p>
      <w:pPr>
        <w:pStyle w:val="BlockText"/>
      </w:pPr>
      <w:r>
        <w:rPr>
          <w:b/>
          <w:bCs/>
        </w:rPr>
        <w:t xml:space="preserve">Contribuição:</w:t>
      </w:r>
      <w:r>
        <w:t xml:space="preserve"> </w:t>
      </w:r>
      <w:r>
        <w:t xml:space="preserve">Formalização teórica do leilão de anúncios do Google (GSP —</w:t>
      </w:r>
      <w:r>
        <w:t xml:space="preserve"> </w:t>
      </w:r>
      <w:r>
        <w:rPr>
          <w:i/>
          <w:iCs/>
        </w:rPr>
        <w:t xml:space="preserve">Generalized Second Price</w:t>
      </w:r>
      <w:r>
        <w:t xml:space="preserve">). Mostraram que, embora a GSP não tenha revelação de verdade como estratégia dominante, existe um equilíbrio</w:t>
      </w:r>
      <w:r>
        <w:t xml:space="preserve"> </w:t>
      </w:r>
      <w:r>
        <w:t xml:space="preserve">“localmente invejoso”</w:t>
      </w:r>
      <w:r>
        <w:t xml:space="preserve"> </w:t>
      </w:r>
      <w:r>
        <w:t xml:space="preserve">(</w:t>
      </w:r>
      <w:r>
        <w:rPr>
          <w:i/>
          <w:iCs/>
        </w:rPr>
        <w:t xml:space="preserve">locally envy-free</w:t>
      </w:r>
      <w:r>
        <w:t xml:space="preserve">) que gera receitas equivalentes ao mecanismo VCG. Conectaram a prática do mercado de publicidade digital à teoria de leilões multi-objeto.</w:t>
      </w:r>
    </w:p>
    <w:p>
      <w:pPr>
        <w:pStyle w:val="BlockText"/>
      </w:pPr>
      <w:r>
        <w:rPr>
          <w:b/>
          <w:bCs/>
        </w:rPr>
        <w:t xml:space="preserve">Relevância:</w:t>
      </w:r>
      <w:r>
        <w:t xml:space="preserve"> </w:t>
      </w:r>
      <w:r>
        <w:t xml:space="preserve">O artigo demonstra que a teoria de leilões tem aplicação direta nos mercados digitais mais lucrativos do mundo. A análise do equilíbrio da GSP é fundamental para entender a formação de preços em publicidade online — um mercado de centenas de bilhões de dólares anuais.</w:t>
      </w:r>
    </w:p>
    <w:p>
      <w:pPr>
        <w:pStyle w:val="BlockText"/>
      </w:pPr>
      <w:r>
        <w:rPr>
          <w:b/>
          <w:bCs/>
        </w:rPr>
        <w:t xml:space="preserve">[PESQUISA EM ACAO] Hendricks, Kenneth, e Robert H. Porter (1988).</w:t>
      </w:r>
      <w:r>
        <w:rPr>
          <w:b/>
          <w:bCs/>
        </w:rPr>
        <w:t xml:space="preserve"> </w:t>
      </w:r>
      <w:hyperlink r:id="rId589">
        <w:r>
          <w:rPr>
            <w:rStyle w:val="Hyperlink"/>
            <w:b/>
            <w:bCs/>
          </w:rPr>
          <w:t xml:space="preserve">An Empirical Study of an Auction with Asymmetric Information</w:t>
        </w:r>
      </w:hyperlink>
      <w:r>
        <w:rPr>
          <w:b/>
          <w:bCs/>
        </w:rPr>
        <w:t xml:space="preserve">.</w:t>
      </w:r>
      <w:r>
        <w:rPr>
          <w:b/>
          <w:bCs/>
        </w:rPr>
        <w:t xml:space="preserve"> </w:t>
      </w:r>
      <w:r>
        <w:rPr>
          <w:b/>
          <w:bCs/>
          <w:i/>
          <w:iCs/>
        </w:rPr>
        <w:t xml:space="preserve">American Economic Review</w:t>
      </w:r>
      <w:r>
        <w:rPr>
          <w:b/>
          <w:bCs/>
        </w:rPr>
        <w:t xml:space="preserve">, 78(5), 865–883.</w:t>
      </w:r>
    </w:p>
    <w:p>
      <w:pPr>
        <w:pStyle w:val="BlockText"/>
      </w:pPr>
      <w:r>
        <w:rPr>
          <w:b/>
          <w:bCs/>
        </w:rPr>
        <w:t xml:space="preserve">Contribuição:</w:t>
      </w:r>
      <w:r>
        <w:t xml:space="preserve"> </w:t>
      </w:r>
      <w:r>
        <w:t xml:space="preserve">Estudo empírico seminal sobre leilões de petróleo no Golfo do México, testando as previsões da teoria de leilões com informação assimétrica. Compararam o comportamento de firmas vizinhas (</w:t>
      </w:r>
      <w:r>
        <w:rPr>
          <w:i/>
          <w:iCs/>
        </w:rPr>
        <w:t xml:space="preserve">neighbors</w:t>
      </w:r>
      <w:r>
        <w:t xml:space="preserve">), que possuem informação geológica superior sobre os blocos adjacentes, com firmas não vizinhas (</w:t>
      </w:r>
      <w:r>
        <w:rPr>
          <w:i/>
          <w:iCs/>
        </w:rPr>
        <w:t xml:space="preserve">non-neighbors</w:t>
      </w:r>
      <w:r>
        <w:t xml:space="preserve">). Os resultados confirmaram que firmas vizinhas lançam com mais frequência e obtêm retornos maiores — evidência direta da maldição do vencedor e de vantagem informacional.</w:t>
      </w:r>
    </w:p>
    <w:p>
      <w:pPr>
        <w:pStyle w:val="BlockText"/>
      </w:pPr>
      <w:r>
        <w:rPr>
          <w:b/>
          <w:bCs/>
        </w:rPr>
        <w:t xml:space="preserve">Relevância:</w:t>
      </w:r>
      <w:r>
        <w:t xml:space="preserve"> </w:t>
      </w:r>
      <w:r>
        <w:t xml:space="preserve">Teste empírico clássico das previsões do modelo de valor comum. Os resultados são diretamente aplicáveis aos leilões de petróleo da ANP no Brasil, onde a Petrobras frequentemente possui vantagem informacional como operadora de blocos adjacentes — uma assimetria que o desenho do leilão deve considerar.</w:t>
      </w:r>
    </w:p>
    <w:p>
      <w:r>
        <w:pict>
          <v:rect style="width:0;height:1.5pt" o:hralign="center" o:hrstd="t" o:hr="t"/>
        </w:pict>
      </w:r>
    </w:p>
    <w:bookmarkEnd w:id="590"/>
    <w:bookmarkStart w:id="594" w:name="referências-do-capítulo-9"/>
    <w:p>
      <w:pPr>
        <w:pStyle w:val="Heading3"/>
      </w:pPr>
      <w:r>
        <w:t xml:space="preserve">Referências do Capítulo</w:t>
      </w:r>
    </w:p>
    <w:p>
      <w:pPr>
        <w:pStyle w:val="Compact"/>
        <w:numPr>
          <w:ilvl w:val="0"/>
          <w:numId w:val="1573"/>
        </w:numPr>
      </w:pPr>
      <w:r>
        <w:t xml:space="preserve">Adams, Christopher P. 2025.</w:t>
      </w:r>
      <w:r>
        <w:t xml:space="preserve"> </w:t>
      </w:r>
      <w:hyperlink r:id="rId502">
        <w:r>
          <w:rPr>
            <w:rStyle w:val="Hyperlink"/>
            <w:i/>
            <w:iCs/>
          </w:rPr>
          <w:t xml:space="preserve">Game Theory for Applied Econometricians</w:t>
        </w:r>
      </w:hyperlink>
      <w:r>
        <w:t xml:space="preserve">. Boca Raton: CRC Press. Caps. 9–11.</w:t>
      </w:r>
    </w:p>
    <w:p>
      <w:pPr>
        <w:pStyle w:val="Compact"/>
        <w:numPr>
          <w:ilvl w:val="0"/>
          <w:numId w:val="1573"/>
        </w:numPr>
      </w:pPr>
      <w:r>
        <w:t xml:space="preserve">Athey, Susan, e Philip A. Haile. 2007.</w:t>
      </w:r>
      <w:r>
        <w:t xml:space="preserve"> </w:t>
      </w:r>
      <w:r>
        <w:t xml:space="preserve">“Nonparametric Approaches to Auctions.”</w:t>
      </w:r>
      <w:r>
        <w:t xml:space="preserve"> </w:t>
      </w:r>
      <w:r>
        <w:t xml:space="preserve">In</w:t>
      </w:r>
      <w:r>
        <w:t xml:space="preserve"> </w:t>
      </w:r>
      <w:r>
        <w:rPr>
          <w:i/>
          <w:iCs/>
        </w:rPr>
        <w:t xml:space="preserve">Handbook of Econometrics</w:t>
      </w:r>
      <w:r>
        <w:t xml:space="preserve">, Vol. 6A, 3847–3965.</w:t>
      </w:r>
      <w:r>
        <w:t xml:space="preserve"> </w:t>
      </w:r>
      <w:hyperlink r:id="rId585">
        <w:r>
          <w:rPr>
            <w:rStyle w:val="Hyperlink"/>
          </w:rPr>
          <w:t xml:space="preserve">DOI</w:t>
        </w:r>
      </w:hyperlink>
    </w:p>
    <w:p>
      <w:pPr>
        <w:pStyle w:val="Compact"/>
        <w:numPr>
          <w:ilvl w:val="0"/>
          <w:numId w:val="1573"/>
        </w:numPr>
      </w:pPr>
      <w:r>
        <w:t xml:space="preserve">Capen, Edward C., Robert V. Clapp, e William M. Campbell. 1971.</w:t>
      </w:r>
      <w:r>
        <w:t xml:space="preserve"> </w:t>
      </w:r>
      <w:r>
        <w:t xml:space="preserve">“Competitive Bidding in High-Risk Situations.”</w:t>
      </w:r>
      <w:r>
        <w:t xml:space="preserve"> </w:t>
      </w:r>
      <w:r>
        <w:rPr>
          <w:i/>
          <w:iCs/>
        </w:rPr>
        <w:t xml:space="preserve">Journal of Petroleum Technology</w:t>
      </w:r>
      <w:r>
        <w:t xml:space="preserve"> </w:t>
      </w:r>
      <w:r>
        <w:t xml:space="preserve">23 (6): 641–653.</w:t>
      </w:r>
    </w:p>
    <w:p>
      <w:pPr>
        <w:pStyle w:val="Compact"/>
        <w:numPr>
          <w:ilvl w:val="0"/>
          <w:numId w:val="1573"/>
        </w:numPr>
      </w:pPr>
      <w:r>
        <w:t xml:space="preserve">Clarke, Edward H. 1971.</w:t>
      </w:r>
      <w:r>
        <w:t xml:space="preserve"> </w:t>
      </w:r>
      <w:r>
        <w:t xml:space="preserve">“Multipart Pricing of Public Goods.”</w:t>
      </w:r>
      <w:r>
        <w:t xml:space="preserve"> </w:t>
      </w:r>
      <w:r>
        <w:rPr>
          <w:i/>
          <w:iCs/>
        </w:rPr>
        <w:t xml:space="preserve">Public Choice</w:t>
      </w:r>
      <w:r>
        <w:t xml:space="preserve"> </w:t>
      </w:r>
      <w:r>
        <w:t xml:space="preserve">11: 17–33.</w:t>
      </w:r>
    </w:p>
    <w:p>
      <w:pPr>
        <w:pStyle w:val="Compact"/>
        <w:numPr>
          <w:ilvl w:val="0"/>
          <w:numId w:val="1573"/>
        </w:numPr>
      </w:pPr>
      <w:r>
        <w:t xml:space="preserve">Edelman, Benjamin, Michael Ostrovsky, e Michael Schwarz. 2007.</w:t>
      </w:r>
      <w:r>
        <w:t xml:space="preserve"> </w:t>
      </w:r>
      <w:r>
        <w:t xml:space="preserve">“Internet Advertising and the Generalized Second-Price Auction.”</w:t>
      </w:r>
      <w:r>
        <w:t xml:space="preserve"> </w:t>
      </w:r>
      <w:r>
        <w:rPr>
          <w:i/>
          <w:iCs/>
        </w:rPr>
        <w:t xml:space="preserve">American Economic Review</w:t>
      </w:r>
      <w:r>
        <w:t xml:space="preserve"> </w:t>
      </w:r>
      <w:r>
        <w:t xml:space="preserve">97 (1): 242–259.</w:t>
      </w:r>
      <w:r>
        <w:t xml:space="preserve"> </w:t>
      </w:r>
      <w:hyperlink r:id="rId588">
        <w:r>
          <w:rPr>
            <w:rStyle w:val="Hyperlink"/>
          </w:rPr>
          <w:t xml:space="preserve">DOI</w:t>
        </w:r>
      </w:hyperlink>
    </w:p>
    <w:p>
      <w:pPr>
        <w:pStyle w:val="Compact"/>
        <w:numPr>
          <w:ilvl w:val="0"/>
          <w:numId w:val="1573"/>
        </w:numPr>
      </w:pPr>
      <w:r>
        <w:t xml:space="preserve">Gibbons, Robert. 1992.</w:t>
      </w:r>
      <w:r>
        <w:t xml:space="preserve"> </w:t>
      </w:r>
      <w:hyperlink r:id="rId505">
        <w:r>
          <w:rPr>
            <w:rStyle w:val="Hyperlink"/>
            <w:i/>
            <w:iCs/>
          </w:rPr>
          <w:t xml:space="preserve">Game Theory for Applied Economists</w:t>
        </w:r>
      </w:hyperlink>
      <w:r>
        <w:t xml:space="preserve">. Princeton: Princeton University Press. Cap. 3.</w:t>
      </w:r>
    </w:p>
    <w:p>
      <w:pPr>
        <w:pStyle w:val="Compact"/>
        <w:numPr>
          <w:ilvl w:val="0"/>
          <w:numId w:val="1573"/>
        </w:numPr>
      </w:pPr>
      <w:r>
        <w:t xml:space="preserve">Groves, Theodore. 1973.</w:t>
      </w:r>
      <w:r>
        <w:t xml:space="preserve"> </w:t>
      </w:r>
      <w:r>
        <w:t xml:space="preserve">“Incentives in Teams.”</w:t>
      </w:r>
      <w:r>
        <w:t xml:space="preserve"> </w:t>
      </w:r>
      <w:r>
        <w:rPr>
          <w:i/>
          <w:iCs/>
        </w:rPr>
        <w:t xml:space="preserve">Econometrica</w:t>
      </w:r>
      <w:r>
        <w:t xml:space="preserve"> </w:t>
      </w:r>
      <w:r>
        <w:t xml:space="preserve">41 (4): 617–631.</w:t>
      </w:r>
    </w:p>
    <w:p>
      <w:pPr>
        <w:pStyle w:val="Compact"/>
        <w:numPr>
          <w:ilvl w:val="0"/>
          <w:numId w:val="1573"/>
        </w:numPr>
      </w:pPr>
      <w:r>
        <w:t xml:space="preserve">Harsanyi, John C. 1967–68.</w:t>
      </w:r>
      <w:r>
        <w:t xml:space="preserve"> </w:t>
      </w:r>
      <w:r>
        <w:t xml:space="preserve">“Games with Incomplete Information Played by</w:t>
      </w:r>
      <w:r>
        <w:t xml:space="preserve"> </w:t>
      </w:r>
      <w:r>
        <w:t xml:space="preserve">‘Bayesian’</w:t>
      </w:r>
      <w:r>
        <w:t xml:space="preserve"> </w:t>
      </w:r>
      <w:r>
        <w:t xml:space="preserve">Players.”</w:t>
      </w:r>
      <w:r>
        <w:t xml:space="preserve"> </w:t>
      </w:r>
      <w:r>
        <w:rPr>
          <w:i/>
          <w:iCs/>
        </w:rPr>
        <w:t xml:space="preserve">Management Science</w:t>
      </w:r>
      <w:r>
        <w:t xml:space="preserve"> </w:t>
      </w:r>
      <w:r>
        <w:t xml:space="preserve">14 (3, 5, 7): 159–182, 320–334, 486–502.</w:t>
      </w:r>
    </w:p>
    <w:p>
      <w:pPr>
        <w:pStyle w:val="Compact"/>
        <w:numPr>
          <w:ilvl w:val="0"/>
          <w:numId w:val="1573"/>
        </w:numPr>
      </w:pPr>
      <w:r>
        <w:t xml:space="preserve">Hendricks, Kenneth, e Robert H. Porter. 1988.</w:t>
      </w:r>
      <w:r>
        <w:t xml:space="preserve"> </w:t>
      </w:r>
      <w:r>
        <w:t xml:space="preserve">“An Empirical Study of an Auction with Asymmetric Information.”</w:t>
      </w:r>
      <w:r>
        <w:t xml:space="preserve"> </w:t>
      </w:r>
      <w:r>
        <w:rPr>
          <w:i/>
          <w:iCs/>
        </w:rPr>
        <w:t xml:space="preserve">American Economic Review</w:t>
      </w:r>
      <w:r>
        <w:t xml:space="preserve"> </w:t>
      </w:r>
      <w:r>
        <w:t xml:space="preserve">78 (5): 865–883.</w:t>
      </w:r>
      <w:r>
        <w:t xml:space="preserve"> </w:t>
      </w:r>
      <w:hyperlink r:id="rId589">
        <w:r>
          <w:rPr>
            <w:rStyle w:val="Hyperlink"/>
          </w:rPr>
          <w:t xml:space="preserve">DOI</w:t>
        </w:r>
      </w:hyperlink>
    </w:p>
    <w:p>
      <w:pPr>
        <w:pStyle w:val="Compact"/>
        <w:numPr>
          <w:ilvl w:val="0"/>
          <w:numId w:val="1573"/>
        </w:numPr>
      </w:pPr>
      <w:r>
        <w:t xml:space="preserve">Klemperer, Paul. 2002.</w:t>
      </w:r>
      <w:r>
        <w:t xml:space="preserve"> </w:t>
      </w:r>
      <w:r>
        <w:t xml:space="preserve">“What Really Matters in Auction Design.”</w:t>
      </w:r>
      <w:r>
        <w:t xml:space="preserve"> </w:t>
      </w:r>
      <w:r>
        <w:rPr>
          <w:i/>
          <w:iCs/>
        </w:rPr>
        <w:t xml:space="preserve">Journal of Economic Perspectives</w:t>
      </w:r>
      <w:r>
        <w:t xml:space="preserve"> </w:t>
      </w:r>
      <w:r>
        <w:t xml:space="preserve">16 (1): 169–189.</w:t>
      </w:r>
    </w:p>
    <w:p>
      <w:pPr>
        <w:pStyle w:val="Compact"/>
        <w:numPr>
          <w:ilvl w:val="0"/>
          <w:numId w:val="1573"/>
        </w:numPr>
      </w:pPr>
      <w:r>
        <w:t xml:space="preserve">Krishna, Vijay. 2010.</w:t>
      </w:r>
      <w:r>
        <w:t xml:space="preserve"> </w:t>
      </w:r>
      <w:hyperlink r:id="rId591">
        <w:r>
          <w:rPr>
            <w:rStyle w:val="Hyperlink"/>
            <w:i/>
            <w:iCs/>
          </w:rPr>
          <w:t xml:space="preserve">Auction Theory</w:t>
        </w:r>
      </w:hyperlink>
      <w:r>
        <w:t xml:space="preserve">. 2nd ed. San Diego: Academic Press.</w:t>
      </w:r>
    </w:p>
    <w:p>
      <w:pPr>
        <w:pStyle w:val="Compact"/>
        <w:numPr>
          <w:ilvl w:val="0"/>
          <w:numId w:val="1573"/>
        </w:numPr>
      </w:pPr>
      <w:r>
        <w:t xml:space="preserve">McAfee, R. Preston, e John McMillan. 1992.</w:t>
      </w:r>
      <w:r>
        <w:t xml:space="preserve"> </w:t>
      </w:r>
      <w:r>
        <w:t xml:space="preserve">“Bidding Rings.”</w:t>
      </w:r>
      <w:r>
        <w:t xml:space="preserve"> </w:t>
      </w:r>
      <w:r>
        <w:rPr>
          <w:i/>
          <w:iCs/>
        </w:rPr>
        <w:t xml:space="preserve">American Economic Review</w:t>
      </w:r>
      <w:r>
        <w:t xml:space="preserve"> </w:t>
      </w:r>
      <w:r>
        <w:t xml:space="preserve">82 (3): 579–599.</w:t>
      </w:r>
    </w:p>
    <w:p>
      <w:pPr>
        <w:pStyle w:val="Compact"/>
        <w:numPr>
          <w:ilvl w:val="0"/>
          <w:numId w:val="1573"/>
        </w:numPr>
      </w:pPr>
      <w:r>
        <w:t xml:space="preserve">Milgrom, Paul R. 2004.</w:t>
      </w:r>
      <w:r>
        <w:t xml:space="preserve"> </w:t>
      </w:r>
      <w:hyperlink r:id="rId592">
        <w:r>
          <w:rPr>
            <w:rStyle w:val="Hyperlink"/>
            <w:i/>
            <w:iCs/>
          </w:rPr>
          <w:t xml:space="preserve">Putting Auction Theory to Work</w:t>
        </w:r>
      </w:hyperlink>
      <w:r>
        <w:t xml:space="preserve">. Cambridge: Cambridge University Press.</w:t>
      </w:r>
    </w:p>
    <w:p>
      <w:pPr>
        <w:pStyle w:val="Compact"/>
        <w:numPr>
          <w:ilvl w:val="0"/>
          <w:numId w:val="1573"/>
        </w:numPr>
      </w:pPr>
      <w:r>
        <w:t xml:space="preserve">Milgrom, Paul R., e Robert J. Weber. 1982.</w:t>
      </w:r>
      <w:r>
        <w:t xml:space="preserve"> </w:t>
      </w:r>
      <w:r>
        <w:t xml:space="preserve">“A Theory of Auctions and Competitive Bidding.”</w:t>
      </w:r>
      <w:r>
        <w:t xml:space="preserve"> </w:t>
      </w:r>
      <w:r>
        <w:rPr>
          <w:i/>
          <w:iCs/>
        </w:rPr>
        <w:t xml:space="preserve">Econometrica</w:t>
      </w:r>
      <w:r>
        <w:t xml:space="preserve"> </w:t>
      </w:r>
      <w:r>
        <w:t xml:space="preserve">50 (5): 1089–1122.</w:t>
      </w:r>
      <w:r>
        <w:t xml:space="preserve"> </w:t>
      </w:r>
      <w:hyperlink r:id="rId587">
        <w:r>
          <w:rPr>
            <w:rStyle w:val="Hyperlink"/>
          </w:rPr>
          <w:t xml:space="preserve">DOI</w:t>
        </w:r>
      </w:hyperlink>
    </w:p>
    <w:p>
      <w:pPr>
        <w:pStyle w:val="Compact"/>
        <w:numPr>
          <w:ilvl w:val="0"/>
          <w:numId w:val="1573"/>
        </w:numPr>
      </w:pPr>
      <w:r>
        <w:t xml:space="preserve">Myerson, Roger B. 1981.</w:t>
      </w:r>
      <w:r>
        <w:t xml:space="preserve"> </w:t>
      </w:r>
      <w:r>
        <w:t xml:space="preserve">“Optimal Auction Design.”</w:t>
      </w:r>
      <w:r>
        <w:t xml:space="preserve"> </w:t>
      </w:r>
      <w:r>
        <w:rPr>
          <w:i/>
          <w:iCs/>
        </w:rPr>
        <w:t xml:space="preserve">Mathematics of Operations Research</w:t>
      </w:r>
      <w:r>
        <w:t xml:space="preserve"> </w:t>
      </w:r>
      <w:r>
        <w:t xml:space="preserve">6 (1): 58–73.</w:t>
      </w:r>
      <w:r>
        <w:t xml:space="preserve"> </w:t>
      </w:r>
      <w:hyperlink r:id="rId586">
        <w:r>
          <w:rPr>
            <w:rStyle w:val="Hyperlink"/>
          </w:rPr>
          <w:t xml:space="preserve">DOI</w:t>
        </w:r>
      </w:hyperlink>
    </w:p>
    <w:p>
      <w:pPr>
        <w:pStyle w:val="Compact"/>
        <w:numPr>
          <w:ilvl w:val="0"/>
          <w:numId w:val="1573"/>
        </w:numPr>
      </w:pPr>
      <w:r>
        <w:t xml:space="preserve">Riley, John G., e William F. Samuelson. 1981.</w:t>
      </w:r>
      <w:r>
        <w:t xml:space="preserve"> </w:t>
      </w:r>
      <w:r>
        <w:t xml:space="preserve">“Optimal Auctions.”</w:t>
      </w:r>
      <w:r>
        <w:t xml:space="preserve"> </w:t>
      </w:r>
      <w:r>
        <w:rPr>
          <w:i/>
          <w:iCs/>
        </w:rPr>
        <w:t xml:space="preserve">American Economic Review</w:t>
      </w:r>
      <w:r>
        <w:t xml:space="preserve"> </w:t>
      </w:r>
      <w:r>
        <w:t xml:space="preserve">71 (3): 381–392.</w:t>
      </w:r>
    </w:p>
    <w:p>
      <w:pPr>
        <w:pStyle w:val="Compact"/>
        <w:numPr>
          <w:ilvl w:val="0"/>
          <w:numId w:val="1573"/>
        </w:numPr>
      </w:pPr>
      <w:r>
        <w:t xml:space="preserve">Varian, Hal R. 2007.</w:t>
      </w:r>
      <w:r>
        <w:t xml:space="preserve"> </w:t>
      </w:r>
      <w:r>
        <w:t xml:space="preserve">“Position Auctions.”</w:t>
      </w:r>
      <w:r>
        <w:t xml:space="preserve"> </w:t>
      </w:r>
      <w:r>
        <w:rPr>
          <w:i/>
          <w:iCs/>
        </w:rPr>
        <w:t xml:space="preserve">International Journal of Industrial Organization</w:t>
      </w:r>
      <w:r>
        <w:t xml:space="preserve"> </w:t>
      </w:r>
      <w:r>
        <w:t xml:space="preserve">25 (6): 1163–1178.</w:t>
      </w:r>
    </w:p>
    <w:p>
      <w:pPr>
        <w:pStyle w:val="Compact"/>
        <w:numPr>
          <w:ilvl w:val="0"/>
          <w:numId w:val="1573"/>
        </w:numPr>
      </w:pPr>
      <w:r>
        <w:t xml:space="preserve">Vickrey, William. 1961.</w:t>
      </w:r>
      <w:r>
        <w:t xml:space="preserve"> </w:t>
      </w:r>
      <w:r>
        <w:t xml:space="preserve">“Counterspeculation, Auctions, and Competitive Sealed Tenders.”</w:t>
      </w:r>
      <w:r>
        <w:t xml:space="preserve"> </w:t>
      </w:r>
      <w:r>
        <w:rPr>
          <w:i/>
          <w:iCs/>
        </w:rPr>
        <w:t xml:space="preserve">Journal of Finance</w:t>
      </w:r>
      <w:r>
        <w:t xml:space="preserve"> </w:t>
      </w:r>
      <w:r>
        <w:t xml:space="preserve">16 (1): 8–37.</w:t>
      </w:r>
      <w:r>
        <w:t xml:space="preserve"> </w:t>
      </w:r>
      <w:hyperlink r:id="rId593">
        <w:r>
          <w:rPr>
            <w:rStyle w:val="Hyperlink"/>
          </w:rPr>
          <w:t xml:space="preserve">DOI</w:t>
        </w:r>
      </w:hyperlink>
    </w:p>
    <w:bookmarkEnd w:id="594"/>
    <w:bookmarkEnd w:id="595"/>
    <w:bookmarkEnd w:id="596"/>
    <w:bookmarkStart w:id="638" w:name="Xbbdfb14f70a0e9328e9d9a47d4a0ee1d3982242"/>
    <w:p>
      <w:pPr>
        <w:sectPr>
          <w:footnotePr>
            <w:numRestart w:val="eachSect"/>
          </w:footnotePr>
        </w:sectPr>
      </w:pPr>
    </w:p>
    <w:p>
      <w:pPr>
        <w:pStyle w:val="Heading1"/>
      </w:pPr>
      <w:r>
        <w:t xml:space="preserve">Capítulo 9d — O Diploma É Caro, Mas O Sinal É Grátis?</w:t>
      </w:r>
    </w:p>
    <w:p>
      <w:pPr>
        <w:pStyle w:val="FirstParagraph"/>
      </w:pPr>
      <w:r>
        <w:t xml:space="preserve">No módulo anterior, jogadores com informação privada agiam ao mesmo tempo — cada um no escuro sobre os demais. Agora, adicionamos sequencialidade: alguém age</w:t>
      </w:r>
      <w:r>
        <w:t xml:space="preserve"> </w:t>
      </w:r>
      <w:r>
        <w:rPr>
          <w:i/>
          <w:iCs/>
        </w:rPr>
        <w:t xml:space="preserve">primeiro</w:t>
      </w:r>
      <w:r>
        <w:t xml:space="preserve">, e os outros</w:t>
      </w:r>
      <w:r>
        <w:t xml:space="preserve"> </w:t>
      </w:r>
      <w:r>
        <w:rPr>
          <w:i/>
          <w:iCs/>
        </w:rPr>
        <w:t xml:space="preserve">observam</w:t>
      </w:r>
      <w:r>
        <w:t xml:space="preserve">. Essa combinação muda tudo, porque a ação do primeiro jogador</w:t>
      </w:r>
      <w:r>
        <w:t xml:space="preserve"> </w:t>
      </w:r>
      <w:r>
        <w:rPr>
          <w:i/>
          <w:iCs/>
        </w:rPr>
        <w:t xml:space="preserve">fala</w:t>
      </w:r>
      <w:r>
        <w:t xml:space="preserve">. Quando um candidato a emprego exibe um MBA de escola prestigiosa, ele não está apenas consumindo educação — está</w:t>
      </w:r>
      <w:r>
        <w:t xml:space="preserve"> </w:t>
      </w:r>
      <w:r>
        <w:rPr>
          <w:i/>
          <w:iCs/>
        </w:rPr>
        <w:t xml:space="preserve">dizendo</w:t>
      </w:r>
      <w:r>
        <w:t xml:space="preserve"> </w:t>
      </w:r>
      <w:r>
        <w:t xml:space="preserve">algo ao empregador sobre sua qualidade. Quando uma empresa oferece garantia de 5 anos no produto, está</w:t>
      </w:r>
      <w:r>
        <w:t xml:space="preserve"> </w:t>
      </w:r>
      <w:r>
        <w:rPr>
          <w:i/>
          <w:iCs/>
        </w:rPr>
        <w:t xml:space="preserve">comunicando</w:t>
      </w:r>
      <w:r>
        <w:t xml:space="preserve"> </w:t>
      </w:r>
      <w:r>
        <w:t xml:space="preserve">que confia na própria qualidade. A ação se torna</w:t>
      </w:r>
      <w:r>
        <w:t xml:space="preserve"> </w:t>
      </w:r>
      <w:r>
        <w:rPr>
          <w:b/>
          <w:bCs/>
        </w:rPr>
        <w:t xml:space="preserve">sinal</w:t>
      </w:r>
      <w:r>
        <w:t xml:space="preserve"> </w:t>
      </w:r>
      <w:r>
        <w:t xml:space="preserve">— e o jogo vira uma conversa estratégica onde cada movimento é uma mensagem.</w:t>
      </w:r>
    </w:p>
    <w:p>
      <w:pPr>
        <w:pStyle w:val="BodyText"/>
      </w:pPr>
      <w:r>
        <w:t xml:space="preserve">O conceito de equilíbrio é o</w:t>
      </w:r>
      <w:r>
        <w:t xml:space="preserve"> </w:t>
      </w:r>
      <w:r>
        <w:rPr>
          <w:b/>
          <w:bCs/>
        </w:rPr>
        <w:t xml:space="preserve">Equilíbrio Bayesiano Perfeito</w:t>
      </w:r>
      <w:r>
        <w:t xml:space="preserve"> </w:t>
      </w:r>
      <w:r>
        <w:t xml:space="preserve">(PBE), que combina otimalidade sequencial (como no EPS) com consistência bayesiana das crenças (como no BNE). As aplicações centrais são</w:t>
      </w:r>
      <w:r>
        <w:t xml:space="preserve"> </w:t>
      </w:r>
      <w:r>
        <w:rPr>
          <w:b/>
          <w:bCs/>
        </w:rPr>
        <w:t xml:space="preserve">sinalização</w:t>
      </w:r>
      <w:r>
        <w:t xml:space="preserve"> </w:t>
      </w:r>
      <w:r>
        <w:t xml:space="preserve">(Spence, 1973),</w:t>
      </w:r>
      <w:r>
        <w:t xml:space="preserve"> </w:t>
      </w:r>
      <w:r>
        <w:rPr>
          <w:b/>
          <w:bCs/>
        </w:rPr>
        <w:t xml:space="preserve">moral hazard</w:t>
      </w:r>
      <w:r>
        <w:t xml:space="preserve"> </w:t>
      </w:r>
      <w:r>
        <w:t xml:space="preserve">e</w:t>
      </w:r>
      <w:r>
        <w:t xml:space="preserve"> </w:t>
      </w:r>
      <w:r>
        <w:rPr>
          <w:b/>
          <w:bCs/>
        </w:rPr>
        <w:t xml:space="preserve">seleção adversa</w:t>
      </w:r>
      <w:r>
        <w:t xml:space="preserve"> </w:t>
      </w:r>
      <w:r>
        <w:t xml:space="preserve">— os problemas clássicos de informação assimétrica que George Akerlof, Michael Spence e Joseph Stiglitz formalizaram ao longo das décadas de 1970 e 1980, trabalho que culminou no Prêmio Nobel de Economia de 2001.</w:t>
      </w:r>
    </w:p>
    <w:p>
      <w:pPr>
        <w:pStyle w:val="BodyText"/>
      </w:pPr>
      <w:r>
        <w:t xml:space="preserve">Se você veio direto do Cap. 7 (Seções 7.7–7.8) (Cap. 7), ótimo — os ativos contingentes e a abordagem de estado-preferência são exatamente a ponte para o que faremos aqui.</w:t>
      </w:r>
    </w:p>
    <w:p>
      <w:pPr>
        <w:pStyle w:val="BodyText"/>
      </w:pPr>
      <w:r>
        <w:t xml:space="preserve">A importância prática desse arcabouço dificilmente pode ser subestimada. Mercados de carros usados, planos de saúde, crédito bancário, relações de emprego e regulação pública todos exibem, em maior ou menor grau, problemas gerados pela assimetria informacional. A teoria desenvolvida neste capítulo oferece uma linguagem precisa para identificar esses problemas e avaliar mecanismos de mitigação. Ela também dialoga diretamente com o Capítulo 7 (risco e decisão em condições de incerteza) — pois o moral hazard é inseparável da aversão ao risco do agente — e com o Capítulo 8 (economia comportamental), cuja agenda em parte questiona até que ponto os agentes reais atualizam crenças de forma bayesiana e respondem racionalmente a incentivos contratuais.</w:t>
      </w:r>
    </w:p>
    <w:p>
      <w:pPr>
        <w:pStyle w:val="BodyText"/>
      </w:pPr>
      <w:r>
        <w:t xml:space="preserve">Este módulo completa a taxonomia de Gibbons (1992, Cap. 4) e faz ponte com o Capítulo 19 (Limões, Sinais e Contratos), que aprofunda os modelos de seleção adversa e screening em mercados competitivos. Enquanto o presente capítulo desenvolve a teoria dos jogos que fundamenta esses fenômenos — PBE, sinalização, incentivos —, o Capítulo 19 os estuda na perspectiva de equilíbrio de mercado e de desenho de mecanismos. Os dois capítulos são complementares: o leitor que dominar a formalização de jogos aqui terá a base necessária para a análise de mecanismos de revelação e contratos ótimos lá. A conexão com o módulo 9c também é direta: naquele capítulo, estudamos leilões como jogos bayesianos simultâneos; aqui, veremos que os mesmos problemas de informação privada ganham uma dimensão estratégica adicional quando as ações são sequenciais e observáveis.</w:t>
      </w:r>
    </w:p>
    <w:p>
      <w:r>
        <w:pict>
          <v:rect style="width:0;height:1.5pt" o:hralign="center" o:hrstd="t" o:hr="t"/>
        </w:pict>
      </w:r>
    </w:p>
    <w:bookmarkStart w:id="597" w:name="roteiro-do-capítulo-3"/>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9d.1</w:t>
            </w:r>
          </w:p>
        </w:tc>
        <w:tc>
          <w:tcPr/>
          <w:p>
            <w:pPr>
              <w:pStyle w:val="Compact"/>
            </w:pPr>
            <w:r>
              <w:t xml:space="preserve">Como exigir crenças que fazem sentido num jogo sequencial com tipos ocultos?</w:t>
            </w:r>
          </w:p>
        </w:tc>
        <w:tc>
          <w:tcPr/>
          <w:p>
            <w:pPr>
              <w:pStyle w:val="Compact"/>
            </w:pPr>
            <w:r>
              <w:t xml:space="preserve">PBE: otimalidade sequencial + consistência bayesiana; refinamentos (Cho-Kreps)</w:t>
            </w:r>
          </w:p>
        </w:tc>
        <w:tc>
          <w:tcPr/>
          <w:p>
            <w:pPr>
              <w:pStyle w:val="Compact"/>
              <w:jc w:val="center"/>
            </w:pPr>
            <w:r>
              <w:t xml:space="preserve">PBE</w:t>
            </w:r>
          </w:p>
        </w:tc>
      </w:tr>
      <w:tr>
        <w:tc>
          <w:tcPr/>
          <w:p>
            <w:pPr>
              <w:pStyle w:val="Compact"/>
              <w:jc w:val="center"/>
            </w:pPr>
            <w:r>
              <w:t xml:space="preserve">9d.2</w:t>
            </w:r>
          </w:p>
        </w:tc>
        <w:tc>
          <w:tcPr/>
          <w:p>
            <w:pPr>
              <w:pStyle w:val="Compact"/>
            </w:pPr>
            <w:r>
              <w:t xml:space="preserve">O MBA ensina algo — ou apenas sinaliza?</w:t>
            </w:r>
          </w:p>
        </w:tc>
        <w:tc>
          <w:tcPr/>
          <w:p>
            <w:pPr>
              <w:pStyle w:val="Compact"/>
            </w:pPr>
            <w:r>
              <w:t xml:space="preserve">Modelo de Spence, single-crossing, equilíbrio separador vs. pooling, inflação de diplomas</w:t>
            </w:r>
          </w:p>
        </w:tc>
        <w:tc>
          <w:tcPr/>
          <w:p>
            <w:pPr>
              <w:pStyle w:val="Compact"/>
              <w:jc w:val="center"/>
            </w:pPr>
            <w:r>
              <w:t xml:space="preserve">Sinalização</w:t>
            </w:r>
          </w:p>
        </w:tc>
      </w:tr>
      <w:tr>
        <w:tc>
          <w:tcPr/>
          <w:p>
            <w:pPr>
              <w:pStyle w:val="Compact"/>
              <w:jc w:val="center"/>
            </w:pPr>
            <w:r>
              <w:t xml:space="preserve">9d.3</w:t>
            </w:r>
          </w:p>
        </w:tc>
        <w:tc>
          <w:tcPr/>
          <w:p>
            <w:pPr>
              <w:pStyle w:val="Compact"/>
            </w:pPr>
            <w:r>
              <w:t xml:space="preserve">Quando falar é de graça, alguém deveria acreditar?</w:t>
            </w:r>
          </w:p>
        </w:tc>
        <w:tc>
          <w:tcPr/>
          <w:p>
            <w:pPr>
              <w:pStyle w:val="Compact"/>
            </w:pPr>
            <w:r>
              <w:t xml:space="preserve">Cheap talk, Crawford-Sobel, forward guidance do BCB, publicidade</w:t>
            </w:r>
          </w:p>
        </w:tc>
        <w:tc>
          <w:tcPr/>
          <w:p>
            <w:pPr>
              <w:pStyle w:val="Compact"/>
              <w:jc w:val="center"/>
            </w:pPr>
            <w:r>
              <w:t xml:space="preserve">Cheap Talk</w:t>
            </w:r>
          </w:p>
        </w:tc>
      </w:tr>
      <w:tr>
        <w:tc>
          <w:tcPr/>
          <w:p>
            <w:pPr>
              <w:pStyle w:val="Compact"/>
              <w:jc w:val="center"/>
            </w:pPr>
            <w:r>
              <w:t xml:space="preserve">9d.4</w:t>
            </w:r>
          </w:p>
        </w:tc>
        <w:tc>
          <w:tcPr/>
          <w:p>
            <w:pPr>
              <w:pStyle w:val="Compact"/>
            </w:pPr>
            <w:r>
              <w:t xml:space="preserve">Como fazer alguém se esforçar quando ninguém está olhando?</w:t>
            </w:r>
          </w:p>
        </w:tc>
        <w:tc>
          <w:tcPr/>
          <w:p>
            <w:pPr>
              <w:pStyle w:val="Compact"/>
            </w:pPr>
            <w:r>
              <w:t xml:space="preserve">Principal-agente, IC/IR, Holmström, multitarefa, custo de agência</w:t>
            </w:r>
          </w:p>
        </w:tc>
        <w:tc>
          <w:tcPr/>
          <w:p>
            <w:pPr>
              <w:pStyle w:val="Compact"/>
              <w:jc w:val="center"/>
            </w:pPr>
            <w:r>
              <w:t xml:space="preserve">Moral Hazard</w:t>
            </w:r>
          </w:p>
        </w:tc>
      </w:tr>
      <w:tr>
        <w:tc>
          <w:tcPr/>
          <w:p>
            <w:pPr>
              <w:pStyle w:val="Compact"/>
              <w:jc w:val="center"/>
            </w:pPr>
            <w:r>
              <w:t xml:space="preserve">9d.5</w:t>
            </w:r>
          </w:p>
        </w:tc>
        <w:tc>
          <w:tcPr/>
          <w:p>
            <w:pPr>
              <w:pStyle w:val="Compact"/>
            </w:pPr>
            <w:r>
              <w:t xml:space="preserve">Por que carros usados valem tão menos — e mercados podem colapsar?</w:t>
            </w:r>
          </w:p>
        </w:tc>
        <w:tc>
          <w:tcPr/>
          <w:p>
            <w:pPr>
              <w:pStyle w:val="Compact"/>
            </w:pPr>
            <w:r>
              <w:t xml:space="preserve">Akerlof, market unraveling, Rothschild-Stiglitz, sinalização vs. screening vs. regulação</w:t>
            </w:r>
          </w:p>
        </w:tc>
        <w:tc>
          <w:tcPr/>
          <w:p>
            <w:pPr>
              <w:pStyle w:val="Compact"/>
              <w:jc w:val="center"/>
            </w:pPr>
            <w:r>
              <w:t xml:space="preserve">Seleção Adversa</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Atividades, revisão, exercícios resolvidos e propostos,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bookmarkEnd w:id="597"/>
    <w:bookmarkStart w:id="604" w:name="o-mercado-dos-limões-seleção-adversa"/>
    <w:p>
      <w:pPr>
        <w:pStyle w:val="Heading2"/>
      </w:pPr>
      <w:r>
        <w:t xml:space="preserve">O Mercado dos Limões: Seleção Adversa</w:t>
      </w:r>
    </w:p>
    <w:bookmarkStart w:id="602" w:name="d.5-o-mercado-dos-limões-seleção-adversa"/>
    <w:p>
      <w:pPr>
        <w:pStyle w:val="Heading3"/>
      </w:pPr>
      <w:r>
        <w:t xml:space="preserve">9d.5 O Mercado dos Limões: Seleção Adversa</w:t>
      </w:r>
    </w:p>
    <w:p>
      <w:pPr>
        <w:pStyle w:val="BlockText"/>
      </w:pPr>
      <w:r>
        <w:rPr>
          <w:b/>
          <w:bCs/>
        </w:rPr>
        <w:t xml:space="preserve">[DICA] Onde estou no livro?</w:t>
      </w:r>
    </w:p>
    <w:p>
      <w:pPr>
        <w:pStyle w:val="BlockText"/>
      </w:pPr>
      <w:r>
        <w:t xml:space="preserve">Este capítulo formaliza a seleção adversa como</w:t>
      </w:r>
      <w:r>
        <w:t xml:space="preserve"> </w:t>
      </w:r>
      <w:r>
        <w:rPr>
          <w:b/>
          <w:bCs/>
        </w:rPr>
        <w:t xml:space="preserve">jogo de informação incompleta</w:t>
      </w:r>
      <w:r>
        <w:t xml:space="preserve">: o mecanismo de desintegração do mercado, o</w:t>
      </w:r>
      <w:r>
        <w:t xml:space="preserve"> </w:t>
      </w:r>
      <w:r>
        <w:rPr>
          <w:i/>
          <w:iCs/>
        </w:rPr>
        <w:t xml:space="preserve">market unraveling</w:t>
      </w:r>
      <w:r>
        <w:t xml:space="preserve"> </w:t>
      </w:r>
      <w:r>
        <w:t xml:space="preserve">iterativo e a conexão com o desenho de mecanismos (Princípio da Revelação). Para</w:t>
      </w:r>
      <w:r>
        <w:t xml:space="preserve"> </w:t>
      </w:r>
      <w:r>
        <w:rPr>
          <w:b/>
          <w:bCs/>
        </w:rPr>
        <w:t xml:space="preserve">aplicações a mercados reais</w:t>
      </w:r>
      <w:r>
        <w:t xml:space="preserve"> </w:t>
      </w:r>
      <w:r>
        <w:t xml:space="preserve">— limões, seguros, crédito, mercado de trabalho — com exemplos numéricos e dados brasileiros, veja o Capítulo 19 — Seleção Adversa (Cap. 19).</w:t>
      </w:r>
    </w:p>
    <w:p>
      <w:pPr>
        <w:pStyle w:val="FirstParagraph"/>
      </w:pPr>
      <w:r>
        <w:t xml:space="preserve">Moral hazard é sobre o que o agente</w:t>
      </w:r>
      <w:r>
        <w:t xml:space="preserve"> </w:t>
      </w:r>
      <w:r>
        <w:rPr>
          <w:i/>
          <w:iCs/>
        </w:rPr>
        <w:t xml:space="preserve">faz</w:t>
      </w:r>
      <w:r>
        <w:t xml:space="preserve"> </w:t>
      </w:r>
      <w:r>
        <w:t xml:space="preserve">depois do contrato. Seleção adversa é sobre o que o agente</w:t>
      </w:r>
      <w:r>
        <w:t xml:space="preserve"> </w:t>
      </w:r>
      <w:r>
        <w:rPr>
          <w:i/>
          <w:iCs/>
        </w:rPr>
        <w:t xml:space="preserve">é</w:t>
      </w:r>
      <w:r>
        <w:t xml:space="preserve"> </w:t>
      </w:r>
      <w:r>
        <w:t xml:space="preserve">antes do contrato. A diferença: se o problema é que o motorista dirige mal</w:t>
      </w:r>
      <w:r>
        <w:t xml:space="preserve"> </w:t>
      </w:r>
      <w:r>
        <w:rPr>
          <w:i/>
          <w:iCs/>
        </w:rPr>
        <w:t xml:space="preserve">após</w:t>
      </w:r>
      <w:r>
        <w:t xml:space="preserve"> </w:t>
      </w:r>
      <w:r>
        <w:t xml:space="preserve">contratar o seguro, é moral hazard. Se o problema é que</w:t>
      </w:r>
      <w:r>
        <w:t xml:space="preserve"> </w:t>
      </w:r>
      <w:r>
        <w:rPr>
          <w:i/>
          <w:iCs/>
        </w:rPr>
        <w:t xml:space="preserve">quem procura seguro já é mau motorista</w:t>
      </w:r>
      <w:r>
        <w:t xml:space="preserve">, é seleção adversa. Timing diferente, soluções diferentes. Confundir os dois é o erro mais clássico em provas de micro — e a distinção é sempre a mesma pergunta: ações ocultas (pós) ou tipos ocultos (pré)?</w:t>
      </w:r>
    </w:p>
    <w:p>
      <w:pPr>
        <w:pStyle w:val="BlockText"/>
      </w:pPr>
      <w:r>
        <w:rPr>
          <w:b/>
          <w:bCs/>
        </w:rPr>
        <w:t xml:space="preserve">[DEFINICAO] Seleção Adversa</w:t>
      </w:r>
    </w:p>
    <w:p>
      <w:pPr>
        <w:pStyle w:val="BlockText"/>
      </w:pPr>
      <w:r>
        <w:t xml:space="preserve">Situação em que uma parte tem informação privada sobre suas próprias características</w:t>
      </w:r>
      <w:r>
        <w:t xml:space="preserve"> </w:t>
      </w:r>
      <w:r>
        <w:rPr>
          <w:i/>
          <w:iCs/>
        </w:rPr>
        <w:t xml:space="preserve">antes</w:t>
      </w:r>
      <w:r>
        <w:t xml:space="preserve"> </w:t>
      </w:r>
      <w:r>
        <w:t xml:space="preserve">de firmar um contrato, e a parte desinformada não consegue distinguir os tipos. Em equilíbrio, a parte desinformada oferece condições baseadas na qualidade</w:t>
      </w:r>
      <w:r>
        <w:t xml:space="preserve"> </w:t>
      </w:r>
      <w:r>
        <w:rPr>
          <w:i/>
          <w:iCs/>
        </w:rPr>
        <w:t xml:space="preserve">média</w:t>
      </w:r>
      <w:r>
        <w:t xml:space="preserve"> </w:t>
      </w:r>
      <w:r>
        <w:t xml:space="preserve">do pool, o que:</w:t>
      </w:r>
    </w:p>
    <w:p>
      <w:pPr>
        <w:pStyle w:val="Compact"/>
        <w:numPr>
          <w:ilvl w:val="0"/>
          <w:numId w:val="1574"/>
        </w:numPr>
      </w:pPr>
      <w:r>
        <w:rPr>
          <w:b/>
          <w:bCs/>
        </w:rPr>
        <w:t xml:space="preserve">Atrai desproporcionalmente os tipos</w:t>
      </w:r>
      <w:r>
        <w:rPr>
          <w:b/>
          <w:bCs/>
        </w:rPr>
        <w:t xml:space="preserve"> </w:t>
      </w:r>
      <w:r>
        <w:rPr>
          <w:b/>
          <w:bCs/>
        </w:rPr>
        <w:t xml:space="preserve">“ruins”</w:t>
      </w:r>
      <w:r>
        <w:rPr>
          <w:b/>
          <w:bCs/>
        </w:rPr>
        <w:t xml:space="preserve">:</w:t>
      </w:r>
      <w:r>
        <w:t xml:space="preserve"> </w:t>
      </w:r>
      <w:r>
        <w:t xml:space="preserve">quem sabe que é de alto risco, baixa qualidade ou alta demanda tem mais incentivo para transacionar nessas condições.</w:t>
      </w:r>
    </w:p>
    <w:p>
      <w:pPr>
        <w:pStyle w:val="Compact"/>
        <w:numPr>
          <w:ilvl w:val="0"/>
          <w:numId w:val="1574"/>
        </w:numPr>
      </w:pPr>
      <w:r>
        <w:rPr>
          <w:b/>
          <w:bCs/>
        </w:rPr>
        <w:t xml:space="preserve">Afasta os tipos</w:t>
      </w:r>
      <w:r>
        <w:rPr>
          <w:b/>
          <w:bCs/>
        </w:rPr>
        <w:t xml:space="preserve"> </w:t>
      </w:r>
      <w:r>
        <w:rPr>
          <w:b/>
          <w:bCs/>
        </w:rPr>
        <w:t xml:space="preserve">“bons”</w:t>
      </w:r>
      <w:r>
        <w:rPr>
          <w:b/>
          <w:bCs/>
        </w:rPr>
        <w:t xml:space="preserve">:</w:t>
      </w:r>
      <w:r>
        <w:t xml:space="preserve"> </w:t>
      </w:r>
      <w:r>
        <w:t xml:space="preserve">para quem é de baixo risco ou alta qualidade, o preço médio é desfavorável — eles pagam mais do que seu tipo justificaria.</w:t>
      </w:r>
    </w:p>
    <w:p>
      <w:pPr>
        <w:pStyle w:val="Compact"/>
        <w:numPr>
          <w:ilvl w:val="0"/>
          <w:numId w:val="1574"/>
        </w:numPr>
      </w:pPr>
      <w:r>
        <w:rPr>
          <w:b/>
          <w:bCs/>
        </w:rPr>
        <w:t xml:space="preserve">Deteriora o pool:</w:t>
      </w:r>
      <w:r>
        <w:t xml:space="preserve"> </w:t>
      </w:r>
      <w:r>
        <w:t xml:space="preserve">a saída dos tipos bons piora a composição média, forçando preços ainda mais altos, numa espiral que pode culminar no colapso do mercado.</w:t>
      </w:r>
    </w:p>
    <w:p>
      <w:pPr>
        <w:pStyle w:val="BlockText"/>
      </w:pPr>
      <w:r>
        <w:t xml:space="preserve">A seleção adversa é um problema de</w:t>
      </w:r>
      <w:r>
        <w:t xml:space="preserve"> </w:t>
      </w:r>
      <w:r>
        <w:rPr>
          <w:i/>
          <w:iCs/>
        </w:rPr>
        <w:t xml:space="preserve">características ocultas</w:t>
      </w:r>
      <w:r>
        <w:t xml:space="preserve"> </w:t>
      </w:r>
      <w:r>
        <w:t xml:space="preserve">(antes do contrato), em contraste com o moral hazard, que é de</w:t>
      </w:r>
      <w:r>
        <w:t xml:space="preserve"> </w:t>
      </w:r>
      <w:r>
        <w:rPr>
          <w:i/>
          <w:iCs/>
        </w:rPr>
        <w:t xml:space="preserve">ações ocultas</w:t>
      </w:r>
      <w:r>
        <w:t xml:space="preserve"> </w:t>
      </w:r>
      <w:r>
        <w:t xml:space="preserve">(após o contrato). Formulação original: Akerlof (1970).</w:t>
      </w:r>
    </w:p>
    <w:p>
      <w:pPr>
        <w:pStyle w:val="BlockText"/>
      </w:pPr>
      <w:r>
        <w:rPr>
          <w:b/>
          <w:bCs/>
        </w:rPr>
        <w:t xml:space="preserve">[INFORMACAO] 🏅 Prêmio Nobel — George A. Akerlof e Joseph E. Stiglitz (2001)</w:t>
      </w:r>
    </w:p>
    <w:p>
      <w:pPr>
        <w:pStyle w:val="BlockText"/>
      </w:pPr>
      <w:r>
        <w:rPr>
          <w:b/>
          <w:bCs/>
        </w:rPr>
        <w:t xml:space="preserve">George A. Akerlof</w:t>
      </w:r>
      <w:r>
        <w:t xml:space="preserve"> </w:t>
      </w:r>
      <w:r>
        <w:t xml:space="preserve">(1940–presente) e</w:t>
      </w:r>
      <w:r>
        <w:t xml:space="preserve"> </w:t>
      </w:r>
      <w:r>
        <w:rPr>
          <w:b/>
          <w:bCs/>
        </w:rPr>
        <w:t xml:space="preserve">Joseph E. Stiglitz</w:t>
      </w:r>
      <w:r>
        <w:t xml:space="preserve"> </w:t>
      </w:r>
      <w:r>
        <w:t xml:space="preserve">(1943–presente) dividiram o Nobel de 2001 com Michael Spence, pelos trabalhos fundadores sobre mercados com informação assimétrica.</w:t>
      </w:r>
    </w:p>
    <w:p>
      <w:pPr>
        <w:pStyle w:val="BlockText"/>
      </w:pPr>
      <w:r>
        <w:rPr>
          <w:b/>
          <w:bCs/>
        </w:rPr>
        <w:t xml:space="preserve">Akerlof:</w:t>
      </w:r>
      <w:r>
        <w:t xml:space="preserve"> </w:t>
      </w:r>
      <w:r>
        <w:t xml:space="preserve">Em</w:t>
      </w:r>
      <w:r>
        <w:t xml:space="preserve"> </w:t>
      </w:r>
      <w:r>
        <w:t xml:space="preserve">“The Market for</w:t>
      </w:r>
      <w:r>
        <w:t xml:space="preserve"> </w:t>
      </w:r>
      <w:r>
        <w:t xml:space="preserve">‘Lemons’</w:t>
      </w:r>
      <w:r>
        <w:t xml:space="preserve">”</w:t>
      </w:r>
      <w:r>
        <w:t xml:space="preserve"> </w:t>
      </w:r>
      <w:r>
        <w:t xml:space="preserve">(1970), mostrou que informação assimétrica sobre qualidade pode levar ao colapso completo de mercados. O artigo foi rejeitado por três grandes revistas antes de ser publicado no</w:t>
      </w:r>
      <w:r>
        <w:t xml:space="preserve"> </w:t>
      </w:r>
      <w:r>
        <w:rPr>
          <w:i/>
          <w:iCs/>
        </w:rPr>
        <w:t xml:space="preserve">Quarterly Journal of Economics</w:t>
      </w:r>
      <w:r>
        <w:rPr>
          <w:rStyle w:val="FootnoteReference"/>
        </w:rPr>
        <w:footnoteReference w:id="598"/>
      </w:r>
      <w:r>
        <w:t xml:space="preserve"> </w:t>
      </w:r>
      <w:r>
        <w:t xml:space="preserve">— ironia frequentemente citada como exemplo de seleção adversa no mercado editorial acadêmico.</w:t>
      </w:r>
    </w:p>
    <w:p>
      <w:pPr>
        <w:pStyle w:val="BlockText"/>
      </w:pPr>
      <w:r>
        <w:rPr>
          <w:b/>
          <w:bCs/>
        </w:rPr>
        <w:t xml:space="preserve">Stiglitz:</w:t>
      </w:r>
      <w:r>
        <w:t xml:space="preserve"> </w:t>
      </w:r>
      <w:r>
        <w:t xml:space="preserve">Com Michael Rothschild, desenvolveu a teoria do equilíbrio em mercados de seguros competitivos com informação assimétrica (Rothschild e Stiglitz, 1976), mostrando que o equilíbrio de mercado — quando existe — envolve separação de tipos por menus de contratos, e que pode não existir equilíbrio pooling estável. Stiglitz também contribuiu para a teoria de screening em mercados de crédito e trabalho.</w:t>
      </w:r>
    </w:p>
    <w:p>
      <w:pPr>
        <w:pStyle w:val="BlockText"/>
      </w:pPr>
      <w:r>
        <w:rPr>
          <w:b/>
          <w:bCs/>
        </w:rPr>
        <w:t xml:space="preserve">Conexão com este capítulo:</w:t>
      </w:r>
      <w:r>
        <w:t xml:space="preserve"> </w:t>
      </w:r>
      <w:r>
        <w:t xml:space="preserve">O trabalho conjunto desses três pesquisadores forma o núcleo teórico deste capítulo: Akerlof (seleção adversa), Spence (sinalização) e Stiglitz (screening e equilíbrio de mercados com informação assimétrica).</w:t>
      </w:r>
    </w:p>
    <w:p>
      <w:pPr>
        <w:pStyle w:val="FirstParagraph"/>
      </w:pPr>
      <w:r>
        <w:t xml:space="preserve">Akerlof ilustrou o mecanismo com o mercado de carros usados — o artigo que lhe valeu o Nobel de 2001.</w:t>
      </w:r>
      <w:r>
        <w:rPr>
          <w:rStyle w:val="FootnoteReference"/>
        </w:rPr>
        <w:footnoteReference w:id="599"/>
      </w:r>
      <w:r>
        <w:t xml:space="preserve"> </w:t>
      </w:r>
      <w:r>
        <w:t xml:space="preserve">O argumento é elegante: o vendedor sabe se o carro é confiável (</w:t>
      </w:r>
      <w:r>
        <w:t xml:space="preserve">“pêssego”</w:t>
      </w:r>
      <w:r>
        <w:t xml:space="preserve">) ou defeituoso (</w:t>
      </w:r>
      <w:r>
        <w:t xml:space="preserve">“limão”</w:t>
      </w:r>
      <w:r>
        <w:t xml:space="preserve">). O comprador não sabe.</w:t>
      </w:r>
    </w:p>
    <w:p>
      <w:pPr>
        <w:pStyle w:val="BodyText"/>
      </w:pPr>
      <w:r>
        <w:t xml:space="preserve">[FIGURA INTERATIVA: /micro-book/graficos/cap09d/selecao-adversa.html — versao interativa disponivel online]</w:t>
      </w:r>
    </w:p>
    <w:p>
      <w:pPr>
        <w:pStyle w:val="BodyText"/>
      </w:pPr>
      <w:r>
        <w:rPr>
          <w:b/>
          <w:bCs/>
        </w:rPr>
        <w:t xml:space="preserve">Figura 9d.6 — Market unraveling (Akerlof).</w:t>
      </w:r>
      <w:r>
        <w:t xml:space="preserve"> </w:t>
      </w:r>
      <w:r>
        <w:t xml:space="preserve">Ajuste o ganho de troca</w:t>
      </w:r>
      <w:r>
        <w:t xml:space="preserve"> </w:t>
      </w:r>
      <m:oMath>
        <m:r>
          <m:t>α</m:t>
        </m:r>
      </m:oMath>
      <w:r>
        <w:t xml:space="preserve"> </w:t>
      </w:r>
      <w:r>
        <w:t xml:space="preserve">e observe o mercado colapsar iterativamente quando</w:t>
      </w:r>
      <w:r>
        <w:t xml:space="preserve"> </w:t>
      </w:r>
      <m:oMath>
        <m:r>
          <m:t>α</m:t>
        </m:r>
        <m:r>
          <m:rPr>
            <m:sty m:val="p"/>
          </m:rPr>
          <m:t>&lt;</m:t>
        </m:r>
        <m:r>
          <m:t>2</m:t>
        </m:r>
      </m:oMath>
      <w:r>
        <w:t xml:space="preserve">: a cada rodada, os vendedores de melhor qualidade saem, o preço cai, e mais vendedores saem. Com</w:t>
      </w:r>
      <w:r>
        <w:t xml:space="preserve"> </w:t>
      </w:r>
      <m:oMath>
        <m:r>
          <m:t>α</m:t>
        </m:r>
        <m:r>
          <m:rPr>
            <m:sty m:val="p"/>
          </m:rPr>
          <m:t>≥</m:t>
        </m:r>
        <m:r>
          <m:t>2</m:t>
        </m:r>
      </m:oMath>
      <w:r>
        <w:t xml:space="preserve">, o ganho de troca é suficiente para sustentar o mercado.</w:t>
      </w:r>
    </w:p>
    <w:p>
      <w:pPr>
        <w:pStyle w:val="BodyText"/>
      </w:pPr>
      <w:r>
        <w:t xml:space="preserve">O mecanismo de desintegração do mercado (</w:t>
      </w:r>
      <w:r>
        <w:rPr>
          <w:i/>
          <w:iCs/>
        </w:rPr>
        <w:t xml:space="preserve">market unraveling</w:t>
      </w:r>
      <w:r>
        <w:t xml:space="preserve">) pode ser descrito em etapas formais. Considere um contínuo de qualidades</w:t>
      </w:r>
      <w:r>
        <w:t xml:space="preserve"> </w:t>
      </w:r>
      <m:oMath>
        <m:r>
          <m:t>q</m:t>
        </m:r>
        <m:r>
          <m:rPr>
            <m:sty m:val="p"/>
          </m:rPr>
          <m:t>∼</m:t>
        </m:r>
        <m:r>
          <m:t>U</m:t>
        </m:r>
        <m:r>
          <m:rPr>
            <m:sty m:val="p"/>
          </m:rPr>
          <m:t>[</m:t>
        </m:r>
        <m:r>
          <m:t>0</m:t>
        </m:r>
        <m:r>
          <m:rPr>
            <m:sty m:val="p"/>
          </m:rPr>
          <m:t>,</m:t>
        </m:r>
        <m:r>
          <m:t>1</m:t>
        </m:r>
        <m:r>
          <m:rPr>
            <m:sty m:val="p"/>
          </m:rPr>
          <m:t>]</m:t>
        </m:r>
      </m:oMath>
      <w:r>
        <w:t xml:space="preserve">, onde o vendedor conhece</w:t>
      </w:r>
      <w:r>
        <w:t xml:space="preserve"> </w:t>
      </w:r>
      <m:oMath>
        <m:r>
          <m:t>q</m:t>
        </m:r>
      </m:oMath>
      <w:r>
        <w:t xml:space="preserve"> </w:t>
      </w:r>
      <w:r>
        <w:t xml:space="preserve">e o comprador não. O valor do carro para o vendedor é</w:t>
      </w:r>
      <w:r>
        <w:t xml:space="preserve"> </w:t>
      </w:r>
      <m:oMath>
        <m:sSub>
          <m:e>
            <m:r>
              <m:t>v</m:t>
            </m:r>
          </m:e>
          <m:sub>
            <m:r>
              <m:t>S</m:t>
            </m:r>
          </m:sub>
        </m:sSub>
        <m:r>
          <m:rPr>
            <m:sty m:val="p"/>
          </m:rPr>
          <m:t>(</m:t>
        </m:r>
        <m:r>
          <m:t>q</m:t>
        </m:r>
        <m:r>
          <m:rPr>
            <m:sty m:val="p"/>
          </m:rPr>
          <m:t>)</m:t>
        </m:r>
        <m:r>
          <m:rPr>
            <m:sty m:val="p"/>
          </m:rPr>
          <m:t>=</m:t>
        </m:r>
        <m:r>
          <m:t>q</m:t>
        </m:r>
      </m:oMath>
      <w:r>
        <w:t xml:space="preserve">, e para o comprador é</w:t>
      </w:r>
      <w:r>
        <w:t xml:space="preserve"> </w:t>
      </w:r>
      <m:oMath>
        <m:sSub>
          <m:e>
            <m:r>
              <m:t>v</m:t>
            </m:r>
          </m:e>
          <m:sub>
            <m:r>
              <m:t>B</m:t>
            </m:r>
          </m:sub>
        </m:sSub>
        <m:r>
          <m:rPr>
            <m:sty m:val="p"/>
          </m:rPr>
          <m:t>(</m:t>
        </m:r>
        <m:r>
          <m:t>q</m:t>
        </m:r>
        <m:r>
          <m:rPr>
            <m:sty m:val="p"/>
          </m:rPr>
          <m:t>)</m:t>
        </m:r>
        <m:r>
          <m:rPr>
            <m:sty m:val="p"/>
          </m:rPr>
          <m:t>=</m:t>
        </m:r>
        <m:r>
          <m:t>α</m:t>
        </m:r>
        <m:r>
          <m:t>q</m:t>
        </m:r>
      </m:oMath>
      <w:r>
        <w:t xml:space="preserve"> </w:t>
      </w:r>
      <w:r>
        <w:t xml:space="preserve">com</w:t>
      </w:r>
      <w:r>
        <w:t xml:space="preserve"> </w:t>
      </w:r>
      <m:oMath>
        <m:r>
          <m:t>α</m:t>
        </m:r>
        <m:r>
          <m:rPr>
            <m:sty m:val="p"/>
          </m:rPr>
          <m:t>&gt;</m:t>
        </m:r>
        <m:r>
          <m:t>1</m:t>
        </m:r>
      </m:oMath>
      <w:r>
        <w:t xml:space="preserve"> </w:t>
      </w:r>
      <w:r>
        <w:t xml:space="preserve">(o comprador valoriza mais). Se o comprador acredita que todos os tipos estão no mercado, o valor esperado é</w:t>
      </w:r>
      <w:r>
        <w:t xml:space="preserve"> </w:t>
      </w:r>
      <m:oMath>
        <m:r>
          <m:t>α</m:t>
        </m:r>
        <m:r>
          <m:rPr>
            <m:sty m:val="p"/>
          </m:rPr>
          <m:t>/</m:t>
        </m:r>
        <m:r>
          <m:t>2</m:t>
        </m:r>
      </m:oMath>
      <w:r>
        <w:t xml:space="preserve">. Mas a esse preço, apenas vendedores com</w:t>
      </w:r>
      <w:r>
        <w:t xml:space="preserve"> </w:t>
      </w:r>
      <m:oMath>
        <m:r>
          <m:t>q</m:t>
        </m:r>
        <m:r>
          <m:rPr>
            <m:sty m:val="p"/>
          </m:rPr>
          <m:t>≤</m:t>
        </m:r>
        <m:r>
          <m:t>α</m:t>
        </m:r>
        <m:r>
          <m:rPr>
            <m:sty m:val="p"/>
          </m:rPr>
          <m:t>/</m:t>
        </m:r>
        <m:r>
          <m:t>2</m:t>
        </m:r>
      </m:oMath>
      <w:r>
        <w:t xml:space="preserve"> </w:t>
      </w:r>
      <w:r>
        <w:t xml:space="preserve">aceitam vender. O comprador antecipa isso e revisa o valor esperado para</w:t>
      </w:r>
      <w:r>
        <w:t xml:space="preserve"> </w:t>
      </w:r>
      <m:oMath>
        <m:r>
          <m:t>α</m:t>
        </m:r>
        <m:r>
          <m:rPr>
            <m:sty m:val="p"/>
          </m:rPr>
          <m:t>⋅</m:t>
        </m:r>
        <m:r>
          <m:t>E</m:t>
        </m:r>
        <m:r>
          <m:rPr>
            <m:sty m:val="p"/>
          </m:rPr>
          <m:t>[</m:t>
        </m:r>
        <m:r>
          <m:t>q</m:t>
        </m:r>
        <m:r>
          <m:rPr>
            <m:sty m:val="p"/>
          </m:rPr>
          <m:t>∣</m:t>
        </m:r>
        <m:r>
          <m:t>q</m:t>
        </m:r>
        <m:r>
          <m:rPr>
            <m:sty m:val="p"/>
          </m:rPr>
          <m:t>≤</m:t>
        </m:r>
        <m:r>
          <m:t>α</m:t>
        </m:r>
        <m:r>
          <m:rPr>
            <m:sty m:val="p"/>
          </m:rPr>
          <m:t>/</m:t>
        </m:r>
        <m:r>
          <m:t>2</m:t>
        </m:r>
        <m:r>
          <m:rPr>
            <m:sty m:val="p"/>
          </m:rPr>
          <m:t>]</m:t>
        </m:r>
        <m:r>
          <m:rPr>
            <m:sty m:val="p"/>
          </m:rPr>
          <m:t>=</m:t>
        </m:r>
        <m:sSup>
          <m:e>
            <m:r>
              <m:t>α</m:t>
            </m:r>
          </m:e>
          <m:sup>
            <m:r>
              <m:t>2</m:t>
            </m:r>
          </m:sup>
        </m:sSup>
        <m:r>
          <m:rPr>
            <m:sty m:val="p"/>
          </m:rPr>
          <m:t>/</m:t>
        </m:r>
        <m:r>
          <m:t>4</m:t>
        </m:r>
      </m:oMath>
      <w:r>
        <w:t xml:space="preserve">. Vendedores com</w:t>
      </w:r>
      <w:r>
        <w:t xml:space="preserve"> </w:t>
      </w:r>
      <m:oMath>
        <m:r>
          <m:t>q</m:t>
        </m:r>
        <m:r>
          <m:rPr>
            <m:sty m:val="p"/>
          </m:rPr>
          <m:t>&gt;</m:t>
        </m:r>
        <m:sSup>
          <m:e>
            <m:r>
              <m:t>α</m:t>
            </m:r>
          </m:e>
          <m:sup>
            <m:r>
              <m:t>2</m:t>
            </m:r>
          </m:sup>
        </m:sSup>
        <m:r>
          <m:rPr>
            <m:sty m:val="p"/>
          </m:rPr>
          <m:t>/</m:t>
        </m:r>
        <m:r>
          <m:t>4</m:t>
        </m:r>
      </m:oMath>
      <w:r>
        <w:t xml:space="preserve"> </w:t>
      </w:r>
      <w:r>
        <w:t xml:space="preserve">saem. O processo converge iterativamente: a cada rodada, o pior vendedor remanescente é o melhor da rodada anterior, e o preço que o comprador aceita pagar cai. Se</w:t>
      </w:r>
      <w:r>
        <w:t xml:space="preserve"> </w:t>
      </w:r>
      <m:oMath>
        <m:r>
          <m:t>α</m:t>
        </m:r>
        <m:r>
          <m:rPr>
            <m:sty m:val="p"/>
          </m:rPr>
          <m:t>&lt;</m:t>
        </m:r>
        <m:r>
          <m:t>2</m:t>
        </m:r>
      </m:oMath>
      <w:r>
        <w:t xml:space="preserve">, o mercado colapsa completamente — nenhuma transação ocorre. Quando</w:t>
      </w:r>
      <w:r>
        <w:t xml:space="preserve"> </w:t>
      </w:r>
      <m:oMath>
        <m:r>
          <m:t>α</m:t>
        </m:r>
        <m:r>
          <m:rPr>
            <m:sty m:val="p"/>
          </m:rPr>
          <m:t>≥</m:t>
        </m:r>
        <m:r>
          <m:t>2</m:t>
        </m:r>
      </m:oMath>
      <w:r>
        <w:t xml:space="preserve"> </w:t>
      </w:r>
      <w:r>
        <w:t xml:space="preserve">(ganho de troca suficientemente grande), o mercado sobrevive parcialmente, mas sempre com ineficiência: transações que beneficiariam ambas as partes não se realizam.</w:t>
      </w:r>
    </w:p>
    <w:bookmarkStart w:id="600" w:name="soluções-para-a-seleção-adversa"/>
    <w:p>
      <w:pPr>
        <w:pStyle w:val="Heading4"/>
      </w:pPr>
      <w:r>
        <w:t xml:space="preserve">Soluções para a seleção adversa</w:t>
      </w:r>
    </w:p>
    <w:p>
      <w:pPr>
        <w:pStyle w:val="FirstParagraph"/>
      </w:pPr>
      <w:r>
        <w:t xml:space="preserve">O mercado e o Estado desenvolveram respostas institucionais ao problema de Akerlof. Essas respostas podem ser classificadas conforme a parte que age para mitigar a assimetria informacional.</w:t>
      </w:r>
    </w:p>
    <w:p>
      <w:pPr>
        <w:pStyle w:val="BodyText"/>
      </w:pPr>
      <w:r>
        <w:rPr>
          <w:b/>
          <w:bCs/>
        </w:rPr>
        <w:t xml:space="preserve">Sinalização</w:t>
      </w:r>
      <w:r>
        <w:t xml:space="preserve"> </w:t>
      </w:r>
      <w:r>
        <w:t xml:space="preserve">(a parte informada age): o vendedor de um carro bom oferece garantia estendida, a empresa saudável distribui dividendos, o trabalhador qualificado investe em educação. A eficácia da sinalização depende da condição de single-crossing — o custo do sinal deve ser menor para o tipo bom.</w:t>
      </w:r>
    </w:p>
    <w:p>
      <w:pPr>
        <w:pStyle w:val="BodyText"/>
      </w:pPr>
      <w:r>
        <w:rPr>
          <w:b/>
          <w:bCs/>
        </w:rPr>
        <w:t xml:space="preserve">Screening</w:t>
      </w:r>
      <w:r>
        <w:t xml:space="preserve"> </w:t>
      </w:r>
      <w:r>
        <w:t xml:space="preserve">(a parte desinformada age): a seguradora oferece um menu de contratos com diferentes combinações de prêmio e franquia, desenhado para que cada tipo se auto-selecione revelando informação. O resultado fundamental de Rothschild e Stiglitz (1976) é que, em mercados competitivos, o equilíbrio — quando existe — é necessariamente separador: o tipo de baixo risco recebe cobertura incompleta (distorção downward) para impedir que o tipo de alto risco o imite. O tipo de alto risco recebe cobertura total ao prêmio atuarialmente justo. A distorção no contrato do tipo baixo é o preço da informação assimétrica.</w:t>
      </w:r>
    </w:p>
    <w:p>
      <w:pPr>
        <w:pStyle w:val="BodyText"/>
      </w:pPr>
      <w:r>
        <w:rPr>
          <w:b/>
          <w:bCs/>
        </w:rPr>
        <w:t xml:space="preserve">Certificação</w:t>
      </w:r>
      <w:r>
        <w:t xml:space="preserve"> </w:t>
      </w:r>
      <w:r>
        <w:t xml:space="preserve">(um terceiro age): agências de rating (Serasa, S&amp;P, Fitch), laudos de vistoria (carros), selos de qualidade (Inmetro), e auditorias externas reduzem a assimetria ao produzir informação verificável sobre a qualidade do agente. O terceiro tem credibilidade porque sua receita depende da precisão — uma agência que sistematicamente dá ratings inflados perde reputação e clientes.</w:t>
      </w:r>
    </w:p>
    <w:p>
      <w:pPr>
        <w:pStyle w:val="BodyText"/>
      </w:pPr>
      <w:r>
        <w:rPr>
          <w:b/>
          <w:bCs/>
        </w:rPr>
        <w:t xml:space="preserve">Regulação</w:t>
      </w:r>
      <w:r>
        <w:t xml:space="preserve"> </w:t>
      </w:r>
      <w:r>
        <w:t xml:space="preserve">(o Estado age): seguros obrigatórios (como o extinto DPVAT), cobertura universal (SUS), e restrições sobre práticas de exclusão (como as regras da ANS) combatem a seleção adversa ao forçar todos os tipos a participar do pool. Quando o pool é obrigatório, não há autosseleção — o mecanismo de Akerlof é neutralizado. O custo é que os tipos de baixo risco subsidiam os de alto risco, o que é redistributivo (e pode ser socialmente desejável) mas gera uma ineficiência do lado da demanda.</w:t>
      </w:r>
    </w:p>
    <w:p>
      <w:pPr>
        <w:pStyle w:val="BlockText"/>
      </w:pPr>
      <w:r>
        <w:rPr>
          <w:b/>
          <w:bCs/>
        </w:rPr>
        <w:t xml:space="preserve">[INTUICAO ECONOMICA] Intuição Econômica</w:t>
      </w:r>
    </w:p>
    <w:p>
      <w:pPr>
        <w:pStyle w:val="BlockText"/>
      </w:pPr>
      <w:r>
        <w:rPr>
          <w:b/>
          <w:bCs/>
        </w:rPr>
        <w:t xml:space="preserve">O mercado dos limões (Akerlof, 1970):</w:t>
      </w:r>
      <w:r>
        <w:t xml:space="preserve"> </w:t>
      </w:r>
      <w:r>
        <w:t xml:space="preserve">Por que carros usados valem tão menos que carros novos, mesmo quando saem da concessionária com zero quilômetros?</w:t>
      </w:r>
    </w:p>
    <w:p>
      <w:pPr>
        <w:pStyle w:val="BlockText"/>
      </w:pPr>
      <w:r>
        <w:rPr>
          <w:b/>
          <w:bCs/>
        </w:rPr>
        <w:t xml:space="preserve">A lógica:</w:t>
      </w:r>
      <w:r>
        <w:t xml:space="preserve"> </w:t>
      </w:r>
      <w:r>
        <w:t xml:space="preserve">Você compra um carro novo hoje. Amanhã, precisa vender. O comprador potencial sabe que carros usados são colocados à venda por dois motivos: o dono não gosta mais (nenhum problema) ou descobriu um defeito (problema!). Como o comprador não sabe qual é o caso, desconta o preço para se proteger do segundo cenário. Isso afasta os vendedores do primeiro tipo — que não conseguem preço justo — e reforça a suspeita do comprador. O resultado: mesmo carros perfeitamente bons valem menos no mercado de usados, simplesmente porque fazem parte de um pool onde</w:t>
      </w:r>
      <w:r>
        <w:t xml:space="preserve"> </w:t>
      </w:r>
      <w:r>
        <w:t xml:space="preserve">“limões”</w:t>
      </w:r>
      <w:r>
        <w:t xml:space="preserve"> </w:t>
      </w:r>
      <w:r>
        <w:t xml:space="preserve">existem.</w:t>
      </w:r>
    </w:p>
    <w:p>
      <w:pPr>
        <w:pStyle w:val="BlockText"/>
      </w:pPr>
      <w:r>
        <w:rPr>
          <w:b/>
          <w:bCs/>
        </w:rPr>
        <w:t xml:space="preserve">A generalização:</w:t>
      </w:r>
      <w:r>
        <w:t xml:space="preserve"> </w:t>
      </w:r>
      <w:r>
        <w:t xml:space="preserve">O mesmo mecanismo opera em mercados de crédito (o tomador sabe mais sobre seu risco de inadimplência do que o banco), em seguros de saúde (o segurado sabe mais sobre sua saúde do que a seguradora) e em mercados de trabalho (o candidato sabe mais sobre sua produtividade do que o empregador). Em todos esses casos, a informação assimétrica faz com que o preço médio de equilíbrio seja</w:t>
      </w:r>
      <w:r>
        <w:t xml:space="preserve"> </w:t>
      </w:r>
      <w:r>
        <w:t xml:space="preserve">“errado”</w:t>
      </w:r>
      <w:r>
        <w:t xml:space="preserve"> </w:t>
      </w:r>
      <w:r>
        <w:t xml:space="preserve">para ambos os lados — caro demais para os tipos bons, barato demais para os ruins.</w:t>
      </w:r>
    </w:p>
    <w:p>
      <w:pPr>
        <w:pStyle w:val="BlockText"/>
      </w:pPr>
      <w:r>
        <w:rPr>
          <w:b/>
          <w:bCs/>
        </w:rPr>
        <w:t xml:space="preserve">Por que isso importa para políticas públicas?</w:t>
      </w:r>
      <w:r>
        <w:t xml:space="preserve"> </w:t>
      </w:r>
      <w:r>
        <w:t xml:space="preserve">Quando a seleção adversa leva ao colapso de mercados com valor social positivo (como seguros de saúde para idosos ou crédito para pequenas empresas), há espaço para intervenção estatal que melhore o bem-estar de Pareto: seguro obrigatório, garantias públicas de crédito e regulação de screening.</w:t>
      </w:r>
    </w:p>
    <w:bookmarkEnd w:id="600"/>
    <w:bookmarkStart w:id="601" w:name="desenho-de-mecanismos-o-fio-condutor"/>
    <w:p>
      <w:pPr>
        <w:pStyle w:val="Heading4"/>
      </w:pPr>
      <w:r>
        <w:t xml:space="preserve">Desenho de mecanismos: o fio condutor</w:t>
      </w:r>
    </w:p>
    <w:p>
      <w:pPr>
        <w:pStyle w:val="FirstParagraph"/>
      </w:pPr>
      <w:r>
        <w:t xml:space="preserve">Sinalização, moral hazard e seleção adversa podem parecer problemas distintos, mas compartilham uma estrutura unificadora: em todos os casos, uma parte tem informação privada (sobre tipo ou sobre ação), e a eficiência depende de um</w:t>
      </w:r>
      <w:r>
        <w:t xml:space="preserve"> </w:t>
      </w:r>
      <w:r>
        <w:rPr>
          <w:b/>
          <w:bCs/>
        </w:rPr>
        <w:t xml:space="preserve">mecanismo</w:t>
      </w:r>
      <w:r>
        <w:t xml:space="preserve"> </w:t>
      </w:r>
      <w:r>
        <w:t xml:space="preserve">que induza a revelação ou o alinhamento de comportamento. O campo do</w:t>
      </w:r>
      <w:r>
        <w:t xml:space="preserve"> </w:t>
      </w:r>
      <w:r>
        <w:rPr>
          <w:i/>
          <w:iCs/>
        </w:rPr>
        <w:t xml:space="preserve">desenho de mecanismos</w:t>
      </w:r>
      <w:r>
        <w:t xml:space="preserve"> </w:t>
      </w:r>
      <w:r>
        <w:t xml:space="preserve">(</w:t>
      </w:r>
      <w:r>
        <w:rPr>
          <w:i/>
          <w:iCs/>
        </w:rPr>
        <w:t xml:space="preserve">mechanism design</w:t>
      </w:r>
      <w:r>
        <w:t xml:space="preserve">) — desenvolvido por Leonid Hurwicz, Eric Maskin e Roger Myerson (Nobel 2007) — formaliza essa ideia: dado um objetivo social (eficiência, maximização de receita, redistribuição), qual é o melhor conjunto de regras que pode ser implementado quando os agentes são estratégicos e informados? O</w:t>
      </w:r>
      <w:r>
        <w:t xml:space="preserve"> </w:t>
      </w:r>
      <w:r>
        <w:rPr>
          <w:b/>
          <w:bCs/>
        </w:rPr>
        <w:t xml:space="preserve">Princípio da Revelação</w:t>
      </w:r>
      <w:r>
        <w:t xml:space="preserve"> </w:t>
      </w:r>
      <w:r>
        <w:t xml:space="preserve">garante que, para qualquer mecanismo e equilíbrio, existe um mecanismo direto e equivalente em que os agentes reportam seus tipos verdadeiros. Esse resultado não resolve o problema — apenas mostra que podemos restringir a busca a mecanismos diretos e incentivo-compatíveis —, mas é a pedra angular da teoria moderna de contratos e leilões. O Capítulo 19 desenvolve essas ideias em maior profundidade; aqui, basta reconhecer que os contratos de seguro de Rothschild-Stiglitz, os sinais de Spence e os contratos de incentivo de Holmström são todos exemplos específicos de mecanismos desenhados para lidar com informação assimétrica.</w:t>
      </w:r>
    </w:p>
    <w:p>
      <w:pPr>
        <w:pStyle w:val="BodyText"/>
      </w:pPr>
      <w:r>
        <w:t xml:space="preserve">No mercado de seguros, o mecanismo de Akerlof opera com especial virulência. Considere um mercado de planos de saúde individual: quem sabe que tem histórico familiar de doenças graves, hábitos de vida prejudiciais à saúde ou condições preexistentes tem muito mais incentivo para comprar um plano abrangente a qualquer preço razoável. A seguradora, não podendo observar esses fatores com precisão, precifica pela média — e isso afasta as pessoas jovens e saudáveis, que percebem o plano como caro para seu risco efetivo. O pool que permanece é progressivamente mais doente, o custo médio sobe, o prêmio sobe, mais pessoas saudáveis saem. A espiral pode ser travada por regulação (cobertura obrigatória, que força todos a entrar no pool) ou por screening (menus de contratos com carências e coparticipações que induzem cada tipo a se revelar).</w:t>
      </w:r>
    </w:p>
    <w:p>
      <w:pPr>
        <w:pStyle w:val="BodyText"/>
      </w:pPr>
      <w:r>
        <w:t xml:space="preserve">A</w:t>
      </w:r>
      <w:r>
        <w:t xml:space="preserve"> </w:t>
      </w:r>
      <w:hyperlink w:anchor="tabela-9d-1">
        <w:r>
          <w:rPr>
            <w:rStyle w:val="Hyperlink"/>
          </w:rPr>
          <w:t xml:space="preserve">Tabela 9d.1</w:t>
        </w:r>
      </w:hyperlink>
      <w:r>
        <w:t xml:space="preserve"> </w:t>
      </w:r>
      <w:r>
        <w:t xml:space="preserve">resume os mecanismos de mitigação:</w:t>
      </w:r>
    </w:p>
    <w:tbl>
      <w:tblPr>
        <w:tblStyle w:val="Table"/>
        <w:tblW w:type="pct" w:w="5000"/>
        <w:tblLayout w:type="fixed"/>
        <w:tblLook w:firstRow="1" w:lastRow="0" w:firstColumn="0" w:lastColumn="0" w:noHBand="0" w:noVBand="0" w:val="0020"/>
      </w:tblPr>
      <w:tblGrid>
        <w:gridCol w:w="2904"/>
        <w:gridCol w:w="2376"/>
        <w:gridCol w:w="2640"/>
      </w:tblGrid>
      <w:tr>
        <w:trPr>
          <w:tblHeader w:val="on"/>
        </w:trPr>
        <w:tc>
          <w:tcPr/>
          <w:p>
            <w:pPr>
              <w:pStyle w:val="Compact"/>
              <w:jc w:val="left"/>
            </w:pPr>
            <w:r>
              <w:t xml:space="preserve">Mecanismo</w:t>
            </w:r>
          </w:p>
        </w:tc>
        <w:tc>
          <w:tcPr/>
          <w:p>
            <w:pPr>
              <w:pStyle w:val="Compact"/>
              <w:jc w:val="left"/>
            </w:pPr>
            <w:r>
              <w:t xml:space="preserve">Exemplo</w:t>
            </w:r>
          </w:p>
        </w:tc>
        <w:tc>
          <w:tcPr/>
          <w:p>
            <w:pPr>
              <w:pStyle w:val="Compact"/>
              <w:jc w:val="left"/>
            </w:pPr>
            <w:r>
              <w:t xml:space="preserve">Quem age</w:t>
            </w:r>
          </w:p>
        </w:tc>
      </w:tr>
      <w:tr>
        <w:tc>
          <w:tcPr/>
          <w:p>
            <w:pPr>
              <w:pStyle w:val="Compact"/>
              <w:jc w:val="left"/>
            </w:pPr>
            <w:r>
              <w:rPr>
                <w:b/>
                <w:bCs/>
              </w:rPr>
              <w:t xml:space="preserve">Sinalização</w:t>
            </w:r>
          </w:p>
        </w:tc>
        <w:tc>
          <w:tcPr/>
          <w:p>
            <w:pPr>
              <w:pStyle w:val="Compact"/>
              <w:jc w:val="left"/>
            </w:pPr>
            <w:r>
              <w:t xml:space="preserve">Garantia do vendedor (carro usado)</w:t>
            </w:r>
          </w:p>
        </w:tc>
        <w:tc>
          <w:tcPr/>
          <w:p>
            <w:pPr>
              <w:pStyle w:val="Compact"/>
              <w:jc w:val="left"/>
            </w:pPr>
            <w:r>
              <w:t xml:space="preserve">Parte informada</w:t>
            </w:r>
          </w:p>
        </w:tc>
      </w:tr>
      <w:tr>
        <w:tc>
          <w:tcPr/>
          <w:p>
            <w:pPr>
              <w:pStyle w:val="Compact"/>
              <w:jc w:val="left"/>
            </w:pPr>
            <w:r>
              <w:rPr>
                <w:b/>
                <w:bCs/>
              </w:rPr>
              <w:t xml:space="preserve">Screening</w:t>
            </w:r>
          </w:p>
        </w:tc>
        <w:tc>
          <w:tcPr/>
          <w:p>
            <w:pPr>
              <w:pStyle w:val="Compact"/>
              <w:jc w:val="left"/>
            </w:pPr>
            <w:r>
              <w:t xml:space="preserve">Menu de contratos (seguro com franquias)</w:t>
            </w:r>
          </w:p>
        </w:tc>
        <w:tc>
          <w:tcPr/>
          <w:p>
            <w:pPr>
              <w:pStyle w:val="Compact"/>
              <w:jc w:val="left"/>
            </w:pPr>
            <w:r>
              <w:t xml:space="preserve">Parte desinformada</w:t>
            </w:r>
          </w:p>
        </w:tc>
      </w:tr>
      <w:tr>
        <w:tc>
          <w:tcPr/>
          <w:p>
            <w:pPr>
              <w:pStyle w:val="Compact"/>
              <w:jc w:val="left"/>
            </w:pPr>
            <w:r>
              <w:rPr>
                <w:b/>
                <w:bCs/>
              </w:rPr>
              <w:t xml:space="preserve">Certificação</w:t>
            </w:r>
          </w:p>
        </w:tc>
        <w:tc>
          <w:tcPr/>
          <w:p>
            <w:pPr>
              <w:pStyle w:val="Compact"/>
              <w:jc w:val="left"/>
            </w:pPr>
            <w:r>
              <w:t xml:space="preserve">Rating de crédito (Serasa, S&amp;P)</w:t>
            </w:r>
          </w:p>
        </w:tc>
        <w:tc>
          <w:tcPr/>
          <w:p>
            <w:pPr>
              <w:pStyle w:val="Compact"/>
              <w:jc w:val="left"/>
            </w:pPr>
            <w:r>
              <w:t xml:space="preserve">Terceiro</w:t>
            </w:r>
          </w:p>
        </w:tc>
      </w:tr>
      <w:tr>
        <w:tc>
          <w:tcPr/>
          <w:p>
            <w:pPr>
              <w:pStyle w:val="Compact"/>
              <w:jc w:val="left"/>
            </w:pPr>
            <w:r>
              <w:rPr>
                <w:b/>
                <w:bCs/>
              </w:rPr>
              <w:t xml:space="preserve">Regulação</w:t>
            </w:r>
          </w:p>
        </w:tc>
        <w:tc>
          <w:tcPr/>
          <w:p>
            <w:pPr>
              <w:pStyle w:val="Compact"/>
              <w:jc w:val="left"/>
            </w:pPr>
            <w:r>
              <w:t xml:space="preserve">Seguro obrigatório (DPVAT)</w:t>
            </w:r>
          </w:p>
        </w:tc>
        <w:tc>
          <w:tcPr/>
          <w:p>
            <w:pPr>
              <w:pStyle w:val="Compact"/>
              <w:jc w:val="left"/>
            </w:pPr>
            <w:r>
              <w:t xml:space="preserve">Estado</w:t>
            </w:r>
          </w:p>
        </w:tc>
      </w:tr>
    </w:tbl>
    <w:p>
      <w:pPr>
        <w:pStyle w:val="BodyText"/>
      </w:pPr>
      <w:r>
        <w:rPr>
          <w:b/>
          <w:bCs/>
        </w:rPr>
        <w:t xml:space="preserve">Tabela 9d.1 — Mecanismos de mitigação da seleção adversa.</w:t>
      </w:r>
    </w:p>
    <w:p>
      <w:r>
        <w:pict>
          <v:rect style="width:0;height:1.5pt" o:hralign="center" o:hrstd="t" o:hr="t"/>
        </w:pict>
      </w:r>
    </w:p>
    <w:p>
      <w:pPr>
        <w:pStyle w:val="BlockText"/>
      </w:pPr>
      <w:r>
        <w:rPr>
          <w:b/>
          <w:bCs/>
        </w:rPr>
        <w:t xml:space="preserve">[BOX BRASIL] Box Brasil — Seleção adversa nos planos de saúde individuais (ANS)</w:t>
      </w:r>
    </w:p>
    <w:p>
      <w:pPr>
        <w:pStyle w:val="BlockText"/>
      </w:pPr>
      <w:r>
        <w:t xml:space="preserve">O mercado brasileiro de planos de saúde individuais é um dos exemplos mais documentados de seleção adversa em economia aplicada. A Lei 9.656/1998 e a criação da</w:t>
      </w:r>
      <w:r>
        <w:t xml:space="preserve"> </w:t>
      </w:r>
      <w:r>
        <w:rPr>
          <w:b/>
          <w:bCs/>
        </w:rPr>
        <w:t xml:space="preserve">ANS</w:t>
      </w:r>
      <w:r>
        <w:t xml:space="preserve"> </w:t>
      </w:r>
      <w:r>
        <w:t xml:space="preserve">(Agência Nacional de Saúde Suplementar) em 2000 foram, em larga medida, respostas regulatórias ao colapso desse mercado que a teoria de Akerlof prediz.</w:t>
      </w:r>
    </w:p>
    <w:p>
      <w:pPr>
        <w:pStyle w:val="BlockText"/>
      </w:pPr>
      <w:r>
        <w:rPr>
          <w:b/>
          <w:bCs/>
        </w:rPr>
        <w:t xml:space="preserve">O problema pré-ANS</w:t>
      </w:r>
    </w:p>
    <w:p>
      <w:pPr>
        <w:pStyle w:val="BlockText"/>
      </w:pPr>
      <w:r>
        <w:t xml:space="preserve">Antes da regulação, operadoras podiam recusar cobertura para doenças preexistentes, excluir beneficiários que se tornavam custosos e diferenciar prêmios livremente por histórico médico. O resultado teórico é exatamente o previsto pelo modelo de seleção adversa: planos individuais tornaram-se proibitivamente caros para quem mais precisava deles, e acessíveis apenas para quem menos precisava — exatamente o inverso do papel social do seguro.</w:t>
      </w:r>
    </w:p>
    <w:p>
      <w:pPr>
        <w:pStyle w:val="BlockText"/>
      </w:pPr>
      <w:r>
        <w:rPr>
          <w:b/>
          <w:bCs/>
        </w:rPr>
        <w:t xml:space="preserve">Mecanismos regulatórios da ANS e sua lógica econômica</w:t>
      </w:r>
    </w:p>
    <w:tbl>
      <w:tblPr>
        <w:tblStyle w:val="Table"/>
        <w:tblW w:type="pct" w:w="5000"/>
        <w:tblLayout w:type="fixed"/>
        <w:tblLook w:firstRow="1" w:lastRow="0" w:firstColumn="0" w:lastColumn="0" w:noHBand="0" w:noVBand="0" w:val="0020"/>
      </w:tblPr>
      <w:tblGrid>
        <w:gridCol w:w="3046"/>
        <w:gridCol w:w="2558"/>
        <w:gridCol w:w="2315"/>
      </w:tblGrid>
      <w:tr>
        <w:trPr>
          <w:tblHeader w:val="on"/>
        </w:trPr>
        <w:tc>
          <w:tcPr/>
          <w:p>
            <w:pPr>
              <w:pStyle w:val="Compact"/>
              <w:jc w:val="left"/>
            </w:pPr>
            <w:r>
              <w:t xml:space="preserve">Instrumento regulatório</w:t>
            </w:r>
          </w:p>
        </w:tc>
        <w:tc>
          <w:tcPr/>
          <w:p>
            <w:pPr>
              <w:pStyle w:val="Compact"/>
              <w:jc w:val="left"/>
            </w:pPr>
            <w:r>
              <w:t xml:space="preserve">Problema que mitiga</w:t>
            </w:r>
          </w:p>
        </w:tc>
        <w:tc>
          <w:tcPr/>
          <w:p>
            <w:pPr>
              <w:pStyle w:val="Compact"/>
              <w:jc w:val="left"/>
            </w:pPr>
            <w:r>
              <w:t xml:space="preserve">Mecanismo teórico</w:t>
            </w:r>
          </w:p>
        </w:tc>
      </w:tr>
      <w:tr>
        <w:tc>
          <w:tcPr/>
          <w:p>
            <w:pPr>
              <w:pStyle w:val="Compact"/>
              <w:jc w:val="left"/>
            </w:pPr>
            <w:r>
              <w:t xml:space="preserve">Cobertura obrigatória (rol mínimo)</w:t>
            </w:r>
          </w:p>
        </w:tc>
        <w:tc>
          <w:tcPr/>
          <w:p>
            <w:pPr>
              <w:pStyle w:val="Compact"/>
              <w:jc w:val="left"/>
            </w:pPr>
            <w:r>
              <w:t xml:space="preserve">Seleção adversa por exclusão de cobertura</w:t>
            </w:r>
          </w:p>
        </w:tc>
        <w:tc>
          <w:tcPr/>
          <w:p>
            <w:pPr>
              <w:pStyle w:val="Compact"/>
              <w:jc w:val="left"/>
            </w:pPr>
            <w:r>
              <w:t xml:space="preserve">Obriga o pool a ser heterogêneo</w:t>
            </w:r>
          </w:p>
        </w:tc>
      </w:tr>
      <w:tr>
        <w:tc>
          <w:tcPr/>
          <w:p>
            <w:pPr>
              <w:pStyle w:val="Compact"/>
              <w:jc w:val="left"/>
            </w:pPr>
            <w:r>
              <w:t xml:space="preserve">Proibição de cancelamento unilateral</w:t>
            </w:r>
          </w:p>
        </w:tc>
        <w:tc>
          <w:tcPr/>
          <w:p>
            <w:pPr>
              <w:pStyle w:val="Compact"/>
              <w:jc w:val="left"/>
            </w:pPr>
            <w:r>
              <w:t xml:space="preserve">Seleção adversa dinâmica</w:t>
            </w:r>
          </w:p>
        </w:tc>
        <w:tc>
          <w:tcPr/>
          <w:p>
            <w:pPr>
              <w:pStyle w:val="Compact"/>
              <w:jc w:val="left"/>
            </w:pPr>
            <w:r>
              <w:t xml:space="preserve">Impede exclusão dos tipos</w:t>
            </w:r>
            <w:r>
              <w:t xml:space="preserve"> </w:t>
            </w:r>
            <w:r>
              <w:t xml:space="preserve">“ruins”</w:t>
            </w:r>
            <w:r>
              <w:t xml:space="preserve"> </w:t>
            </w:r>
            <w:r>
              <w:t xml:space="preserve">após revelação do tipo</w:t>
            </w:r>
          </w:p>
        </w:tc>
      </w:tr>
      <w:tr>
        <w:tc>
          <w:tcPr/>
          <w:p>
            <w:pPr>
              <w:pStyle w:val="Compact"/>
              <w:jc w:val="left"/>
            </w:pPr>
            <w:r>
              <w:t xml:space="preserve">Carência (período de espera)</w:t>
            </w:r>
          </w:p>
        </w:tc>
        <w:tc>
          <w:tcPr/>
          <w:p>
            <w:pPr>
              <w:pStyle w:val="Compact"/>
              <w:jc w:val="left"/>
            </w:pPr>
            <w:r>
              <w:t xml:space="preserve">Seleção adversa por doenças preexistentes</w:t>
            </w:r>
          </w:p>
        </w:tc>
        <w:tc>
          <w:tcPr/>
          <w:p>
            <w:pPr>
              <w:pStyle w:val="Compact"/>
              <w:jc w:val="left"/>
            </w:pPr>
            <w:r>
              <w:t xml:space="preserve">Screening implícito: quem tem condição preexistente revela tipo ao tentar acionar imediatamente</w:t>
            </w:r>
          </w:p>
        </w:tc>
      </w:tr>
      <w:tr>
        <w:tc>
          <w:tcPr/>
          <w:p>
            <w:pPr>
              <w:pStyle w:val="Compact"/>
              <w:jc w:val="left"/>
            </w:pPr>
            <w:r>
              <w:rPr>
                <w:b/>
                <w:bCs/>
              </w:rPr>
              <w:t xml:space="preserve">Portabilidade de carências</w:t>
            </w:r>
            <w:r>
              <w:t xml:space="preserve"> </w:t>
            </w:r>
            <w:r>
              <w:t xml:space="preserve">(RN 438/2018)</w:t>
            </w:r>
          </w:p>
        </w:tc>
        <w:tc>
          <w:tcPr/>
          <w:p>
            <w:pPr>
              <w:pStyle w:val="Compact"/>
              <w:jc w:val="left"/>
            </w:pPr>
            <w:r>
              <w:t xml:space="preserve">Moral hazard de aprisionamento (</w:t>
            </w:r>
            <w:r>
              <w:rPr>
                <w:i/>
                <w:iCs/>
              </w:rPr>
              <w:t xml:space="preserve">lock-in</w:t>
            </w:r>
            <w:r>
              <w:t xml:space="preserve">)</w:t>
            </w:r>
          </w:p>
        </w:tc>
        <w:tc>
          <w:tcPr/>
          <w:p>
            <w:pPr>
              <w:pStyle w:val="Compact"/>
              <w:jc w:val="left"/>
            </w:pPr>
            <w:r>
              <w:t xml:space="preserve">Reduz custo de migração, aumentando concorrência</w:t>
            </w:r>
          </w:p>
        </w:tc>
      </w:tr>
      <w:tr>
        <w:tc>
          <w:tcPr/>
          <w:p>
            <w:pPr>
              <w:pStyle w:val="Compact"/>
              <w:jc w:val="left"/>
            </w:pPr>
            <w:r>
              <w:t xml:space="preserve">Variação por faixa etária limitada (máx. 6x entre faixa 1 e 10)</w:t>
            </w:r>
          </w:p>
        </w:tc>
        <w:tc>
          <w:tcPr/>
          <w:p>
            <w:pPr>
              <w:pStyle w:val="Compact"/>
              <w:jc w:val="left"/>
            </w:pPr>
            <w:r>
              <w:t xml:space="preserve">Seleção adversa de idosos</w:t>
            </w:r>
          </w:p>
        </w:tc>
        <w:tc>
          <w:tcPr/>
          <w:p>
            <w:pPr>
              <w:pStyle w:val="Compact"/>
              <w:jc w:val="left"/>
            </w:pPr>
            <w:r>
              <w:t xml:space="preserve">Subsídio cruzado entre jovens e idosos</w:t>
            </w:r>
          </w:p>
        </w:tc>
      </w:tr>
    </w:tbl>
    <w:p>
      <w:pPr>
        <w:pStyle w:val="BlockText"/>
      </w:pPr>
      <w:r>
        <w:rPr>
          <w:b/>
          <w:bCs/>
        </w:rPr>
        <w:t xml:space="preserve">A portabilidade de carências</w:t>
      </w:r>
      <w:r>
        <w:t xml:space="preserve"> </w:t>
      </w:r>
      <w:r>
        <w:t xml:space="preserve">merece atenção especial: ao permitir que o beneficiário transfira seu histórico de carências cumpridas ao migrar de operadora, a ANS reduziu o</w:t>
      </w:r>
      <w:r>
        <w:t xml:space="preserve"> </w:t>
      </w:r>
      <w:r>
        <w:rPr>
          <w:i/>
          <w:iCs/>
        </w:rPr>
        <w:t xml:space="preserve">lock-in</w:t>
      </w:r>
      <w:r>
        <w:t xml:space="preserve"> </w:t>
      </w:r>
      <w:r>
        <w:t xml:space="preserve">que antes aprisionava beneficiários doentes (que precisavam da cobertura e não podiam sair sem recumprir carências). Economicamente, isso aumenta a concorrência entre operadoras sem agravar a seleção adversa — um avanço regulatório que usa a teoria dos contratos para resolver simultaneamente dois problemas de informação assimétrica.</w:t>
      </w:r>
    </w:p>
    <w:p>
      <w:pPr>
        <w:pStyle w:val="BlockText"/>
      </w:pPr>
      <w:r>
        <w:rPr>
          <w:b/>
          <w:bCs/>
        </w:rPr>
        <w:t xml:space="preserve">Evidência:</w:t>
      </w:r>
      <w:r>
        <w:t xml:space="preserve"> </w:t>
      </w:r>
      <w:r>
        <w:t xml:space="preserve">O mercado de planos individuais encolheu de ~12 milhões de beneficiários no início dos anos 2000 para ~8–9 milhões em 2023, mesmo com crescimento da renda. O crescimento ocorreu nos planos coletivos por adesão (onde o grupo funciona como mecanismo de pooling), confirmando que a seleção adversa continua sendo uma força poderosa no segmento individual.</w:t>
      </w:r>
    </w:p>
    <w:p>
      <w:pPr>
        <w:pStyle w:val="BlockText"/>
      </w:pPr>
      <w:r>
        <w:rPr>
          <w:b/>
          <w:bCs/>
        </w:rPr>
        <w:t xml:space="preserve">Fonte:</w:t>
      </w:r>
      <w:r>
        <w:t xml:space="preserve"> </w:t>
      </w:r>
      <w:r>
        <w:t xml:space="preserve">ANS, Caderno de Informação da Saúde Suplementar; RN ANS 438/2018.</w:t>
      </w:r>
    </w:p>
    <w:p>
      <w:r>
        <w:pict>
          <v:rect style="width:0;height:1.5pt" o:hralign="center" o:hrstd="t" o:hr="t"/>
        </w:pict>
      </w:r>
    </w:p>
    <w:p>
      <w:pPr>
        <w:pStyle w:val="BlockText"/>
      </w:pPr>
      <w:r>
        <w:rPr>
          <w:b/>
          <w:bCs/>
        </w:rPr>
        <w:t xml:space="preserve">[BOX BRASIL] Box Brasil — Forward guidance do BCB: cheap talk ou sinalização crível?</w:t>
      </w:r>
    </w:p>
    <w:p>
      <w:pPr>
        <w:pStyle w:val="BlockText"/>
      </w:pPr>
      <w:r>
        <w:t xml:space="preserve">O</w:t>
      </w:r>
      <w:r>
        <w:t xml:space="preserve"> </w:t>
      </w:r>
      <w:r>
        <w:rPr>
          <w:b/>
          <w:bCs/>
        </w:rPr>
        <w:t xml:space="preserve">Banco Central do Brasil</w:t>
      </w:r>
      <w:r>
        <w:t xml:space="preserve"> </w:t>
      </w:r>
      <w:r>
        <w:t xml:space="preserve">comunica suas intenções de política monetária por meio de comunicados, atas do Copom e o Relatório de Inflação. Essa comunicação pode ser analisada como um jogo de sinalização:</w:t>
      </w:r>
    </w:p>
    <w:p>
      <w:pPr>
        <w:pStyle w:val="BlockText"/>
      </w:pPr>
      <w:r>
        <w:rPr>
          <w:b/>
          <w:bCs/>
        </w:rPr>
        <w:t xml:space="preserve">Estrutura do jogo</w:t>
      </w:r>
    </w:p>
    <w:p>
      <w:pPr>
        <w:pStyle w:val="Compact"/>
        <w:numPr>
          <w:ilvl w:val="0"/>
          <w:numId w:val="1575"/>
        </w:numPr>
      </w:pPr>
      <w:r>
        <w:t xml:space="preserve">O BCB (remetente) tem informação privada sobre o estado da economia e suas preferências.</w:t>
      </w:r>
    </w:p>
    <w:p>
      <w:pPr>
        <w:pStyle w:val="Compact"/>
        <w:numPr>
          <w:ilvl w:val="0"/>
          <w:numId w:val="1575"/>
        </w:numPr>
      </w:pPr>
      <w:r>
        <w:t xml:space="preserve">O mercado (receptor) observa o comunicado e forma expectativas sobre a taxa Selic futura.</w:t>
      </w:r>
    </w:p>
    <w:p>
      <w:pPr>
        <w:pStyle w:val="Compact"/>
        <w:numPr>
          <w:ilvl w:val="0"/>
          <w:numId w:val="1575"/>
        </w:numPr>
      </w:pPr>
      <w:r>
        <w:t xml:space="preserve">A ação do mercado (expectativas de inflação, curva de juros) afeta a eficácia da política monetária.</w:t>
      </w:r>
    </w:p>
    <w:p>
      <w:pPr>
        <w:pStyle w:val="BlockText"/>
      </w:pPr>
      <w:r>
        <w:rPr>
          <w:b/>
          <w:bCs/>
        </w:rPr>
        <w:t xml:space="preserve">Quando a comunicação é eficaz?</w:t>
      </w:r>
    </w:p>
    <w:p>
      <w:pPr>
        <w:pStyle w:val="BlockText"/>
      </w:pPr>
      <w:r>
        <w:t xml:space="preserve">No framework de Crawford-Sobel, a eficácia depende do alinhamento de interesses:</w:t>
      </w:r>
    </w:p>
    <w:p>
      <w:pPr>
        <w:pStyle w:val="Compact"/>
        <w:numPr>
          <w:ilvl w:val="0"/>
          <w:numId w:val="1576"/>
        </w:numPr>
      </w:pPr>
      <w:r>
        <w:t xml:space="preserve">Se o mercado acredita que o BCB tem viés inflacionário (interesses desalinhados), a comunicação é parcialmente descontada → equilibrium com partição grosseira.</w:t>
      </w:r>
    </w:p>
    <w:p>
      <w:pPr>
        <w:pStyle w:val="Compact"/>
        <w:numPr>
          <w:ilvl w:val="0"/>
          <w:numId w:val="1576"/>
        </w:numPr>
      </w:pPr>
      <w:r>
        <w:t xml:space="preserve">Se o BCB tem credibilidade (autonomia institucional, meta de inflação bem definida), a comunicação é quase revelação completa.</w:t>
      </w:r>
    </w:p>
    <w:p>
      <w:pPr>
        <w:pStyle w:val="BlockText"/>
      </w:pPr>
      <w:r>
        <w:rPr>
          <w:b/>
          <w:bCs/>
        </w:rPr>
        <w:t xml:space="preserve">Evidência recente</w:t>
      </w:r>
      <w:r>
        <w:t xml:space="preserve">: A autonomia formal do BCB (LC 179/2021) aumentou a credibilidade — evidenciada pela redução da volatilidade da curva de juros em torno dos comunicados do Copom.</w:t>
      </w:r>
    </w:p>
    <w:p>
      <w:pPr>
        <w:pStyle w:val="BlockText"/>
      </w:pPr>
      <w:r>
        <w:rPr>
          <w:b/>
          <w:bCs/>
        </w:rPr>
        <w:t xml:space="preserve">Fonte</w:t>
      </w:r>
      <w:r>
        <w:t xml:space="preserve">: BCB, Relatório de Inflação; BACEN, Comunicados do COPOM.</w:t>
      </w:r>
    </w:p>
    <w:p>
      <w:r>
        <w:pict>
          <v:rect style="width:0;height:1.5pt" o:hralign="center" o:hrstd="t" o:hr="t"/>
        </w:pict>
      </w:r>
    </w:p>
    <w:p>
      <w:pPr>
        <w:pStyle w:val="BlockText"/>
      </w:pPr>
      <w:r>
        <w:rPr>
          <w:b/>
          <w:bCs/>
        </w:rPr>
        <w:t xml:space="preserve">[BOX BRASIL] Box Brasil — Regulação de telecom: quando a Anatel não sabe os custos</w:t>
      </w:r>
    </w:p>
    <w:p>
      <w:pPr>
        <w:pStyle w:val="BlockText"/>
      </w:pPr>
      <w:r>
        <w:t xml:space="preserve">A regulação de telecomunicações no Brasil enfrenta um problema clássico de informação assimétrica: a</w:t>
      </w:r>
      <w:r>
        <w:t xml:space="preserve"> </w:t>
      </w:r>
      <w:r>
        <w:rPr>
          <w:b/>
          <w:bCs/>
        </w:rPr>
        <w:t xml:space="preserve">Anatel</w:t>
      </w:r>
      <w:r>
        <w:t xml:space="preserve"> </w:t>
      </w:r>
      <w:r>
        <w:t xml:space="preserve">precisa fixar tarifas, mas não observa os custos verdadeiros das operadoras (Vivo, Claro, TIM).</w:t>
      </w:r>
    </w:p>
    <w:p>
      <w:pPr>
        <w:pStyle w:val="BlockText"/>
      </w:pPr>
      <w:r>
        <w:rPr>
          <w:b/>
          <w:bCs/>
        </w:rPr>
        <w:t xml:space="preserve">O dilema do regulador (moral hazard)</w:t>
      </w:r>
    </w:p>
    <w:p>
      <w:pPr>
        <w:pStyle w:val="BlockText"/>
      </w:pPr>
      <w:r>
        <w:t xml:space="preserve">Se a Anatel fixa a tarifa com base no custo reportado pela operadora, esta tem incentivo para inflar os custos (</w:t>
      </w:r>
      <w:r>
        <w:rPr>
          <w:i/>
          <w:iCs/>
        </w:rPr>
        <w:t xml:space="preserve">cost padding</w:t>
      </w:r>
      <w:r>
        <w:t xml:space="preserve">). Se fixa com base em um benchmark (</w:t>
      </w:r>
      <w:r>
        <w:rPr>
          <w:i/>
          <w:iCs/>
        </w:rPr>
        <w:t xml:space="preserve">price cap</w:t>
      </w:r>
      <w:r>
        <w:t xml:space="preserve">), a operadora tem incentivo para reduzir custos e embolsar a diferença.</w:t>
      </w:r>
    </w:p>
    <w:p>
      <w:pPr>
        <w:pStyle w:val="BlockText"/>
      </w:pPr>
      <w:r>
        <w:rPr>
          <w:b/>
          <w:bCs/>
        </w:rPr>
        <w:t xml:space="preserve">Mecanismos regulatórios brasileiros</w:t>
      </w:r>
    </w:p>
    <w:tbl>
      <w:tblPr>
        <w:tblStyle w:val="Table"/>
        <w:tblW w:type="pct" w:w="5000"/>
        <w:tblLayout w:type="fixed"/>
        <w:tblLook w:firstRow="1" w:lastRow="0" w:firstColumn="0" w:lastColumn="0" w:noHBand="0" w:noVBand="0" w:val="0020"/>
      </w:tblPr>
      <w:tblGrid>
        <w:gridCol w:w="2420"/>
        <w:gridCol w:w="1980"/>
        <w:gridCol w:w="3520"/>
      </w:tblGrid>
      <w:tr>
        <w:trPr>
          <w:tblHeader w:val="on"/>
        </w:trPr>
        <w:tc>
          <w:tcPr/>
          <w:p>
            <w:pPr>
              <w:pStyle w:val="Compact"/>
              <w:jc w:val="left"/>
            </w:pPr>
            <w:r>
              <w:t xml:space="preserve">Mecanismo</w:t>
            </w:r>
          </w:p>
        </w:tc>
        <w:tc>
          <w:tcPr/>
          <w:p>
            <w:pPr>
              <w:pStyle w:val="Compact"/>
              <w:jc w:val="left"/>
            </w:pPr>
            <w:r>
              <w:t xml:space="preserve">Período</w:t>
            </w:r>
          </w:p>
        </w:tc>
        <w:tc>
          <w:tcPr/>
          <w:p>
            <w:pPr>
              <w:pStyle w:val="Compact"/>
              <w:jc w:val="left"/>
            </w:pPr>
            <w:r>
              <w:t xml:space="preserve">Lógica teórica</w:t>
            </w:r>
          </w:p>
        </w:tc>
      </w:tr>
      <w:tr>
        <w:tc>
          <w:tcPr/>
          <w:p>
            <w:pPr>
              <w:pStyle w:val="Compact"/>
              <w:jc w:val="left"/>
            </w:pPr>
            <w:r>
              <w:t xml:space="preserve">Rate-of-return</w:t>
            </w:r>
          </w:p>
        </w:tc>
        <w:tc>
          <w:tcPr/>
          <w:p>
            <w:pPr>
              <w:pStyle w:val="Compact"/>
              <w:jc w:val="left"/>
            </w:pPr>
            <w:r>
              <w:t xml:space="preserve">até 2005</w:t>
            </w:r>
          </w:p>
        </w:tc>
        <w:tc>
          <w:tcPr/>
          <w:p>
            <w:pPr>
              <w:pStyle w:val="Compact"/>
              <w:jc w:val="left"/>
            </w:pPr>
            <w:r>
              <w:t xml:space="preserve">Sem incentivo a eficiência (moral hazard)</w:t>
            </w:r>
          </w:p>
        </w:tc>
      </w:tr>
      <w:tr>
        <w:tc>
          <w:tcPr/>
          <w:p>
            <w:pPr>
              <w:pStyle w:val="Compact"/>
              <w:jc w:val="left"/>
            </w:pPr>
            <w:r>
              <w:t xml:space="preserve">Price cap (IST-IGPM)</w:t>
            </w:r>
          </w:p>
        </w:tc>
        <w:tc>
          <w:tcPr/>
          <w:p>
            <w:pPr>
              <w:pStyle w:val="Compact"/>
              <w:jc w:val="left"/>
            </w:pPr>
            <w:r>
              <w:t xml:space="preserve">2005–2019</w:t>
            </w:r>
          </w:p>
        </w:tc>
        <w:tc>
          <w:tcPr/>
          <w:p>
            <w:pPr>
              <w:pStyle w:val="Compact"/>
              <w:jc w:val="left"/>
            </w:pPr>
            <w:r>
              <w:t xml:space="preserve">Incentivo a eficiência; risco de subinvestimento</w:t>
            </w:r>
          </w:p>
        </w:tc>
      </w:tr>
      <w:tr>
        <w:tc>
          <w:tcPr/>
          <w:p>
            <w:pPr>
              <w:pStyle w:val="Compact"/>
              <w:jc w:val="left"/>
            </w:pPr>
            <w:r>
              <w:t xml:space="preserve">Revenue cap</w:t>
            </w:r>
          </w:p>
        </w:tc>
        <w:tc>
          <w:tcPr/>
          <w:p>
            <w:pPr>
              <w:pStyle w:val="Compact"/>
              <w:jc w:val="left"/>
            </w:pPr>
            <w:r>
              <w:t xml:space="preserve">2019–</w:t>
            </w:r>
          </w:p>
        </w:tc>
        <w:tc>
          <w:tcPr/>
          <w:p>
            <w:pPr>
              <w:pStyle w:val="Compact"/>
              <w:jc w:val="left"/>
            </w:pPr>
            <w:r>
              <w:t xml:space="preserve">Equilíbrio entre incentivos e investimento</w:t>
            </w:r>
          </w:p>
        </w:tc>
      </w:tr>
    </w:tbl>
    <w:p>
      <w:pPr>
        <w:pStyle w:val="BlockText"/>
      </w:pPr>
      <w:r>
        <w:t xml:space="preserve">A transição de rate-of-return para price cap é exatamente a resposta teórica ao problema de moral hazard: ao desvincular a tarifa do custo reportado, o regulador cria incentivos para a firma se tornar mais eficiente.</w:t>
      </w:r>
    </w:p>
    <w:p>
      <w:pPr>
        <w:pStyle w:val="BlockText"/>
      </w:pPr>
      <w:r>
        <w:rPr>
          <w:b/>
          <w:bCs/>
        </w:rPr>
        <w:t xml:space="preserve">Fonte</w:t>
      </w:r>
      <w:r>
        <w:t xml:space="preserve">: Anatel, Planos Gerais de Outorgas; OECD, Telecom Regulatory Reviews — Brazil.</w:t>
      </w:r>
    </w:p>
    <w:p>
      <w:r>
        <w:pict>
          <v:rect style="width:0;height:1.5pt" o:hralign="center" o:hrstd="t" o:hr="t"/>
        </w:pict>
      </w:r>
    </w:p>
    <w:p>
      <w:pPr>
        <w:pStyle w:val="BlockText"/>
      </w:pPr>
      <w:r>
        <w:rPr>
          <w:b/>
          <w:bCs/>
        </w:rPr>
        <w:t xml:space="preserve">[BOX MUNDO] Box Mundo 9d.2 — Garantias, lemon laws e proteção ao consumidor: sinais contra limões</w:t>
      </w:r>
    </w:p>
    <w:p>
      <w:pPr>
        <w:pStyle w:val="BlockText"/>
      </w:pPr>
      <w:r>
        <w:rPr>
          <w:b/>
          <w:bCs/>
        </w:rPr>
        <w:t xml:space="preserve">Contexto:</w:t>
      </w:r>
      <w:r>
        <w:t xml:space="preserve"> </w:t>
      </w:r>
      <w:r>
        <w:t xml:space="preserve">O modelo de Akerlof prevê que mercados com informação assimétrica sobre qualidade podem colapsar — mas na prática, mercados de carros usados existem e movimentam trilhões de dólares globalmente. Uma das razões é que vendedores e legisladores desenvolveram mecanismos de sinalização e proteção que mitigam o problema dos limões: garantias oferecidas pelo vendedor e leis que protegem o comprador (</w:t>
      </w:r>
      <w:r>
        <w:rPr>
          <w:i/>
          <w:iCs/>
        </w:rPr>
        <w:t xml:space="preserve">lemon laws</w:t>
      </w:r>
      <w:r>
        <w:t xml:space="preserve">).</w:t>
      </w:r>
    </w:p>
    <w:p>
      <w:pPr>
        <w:pStyle w:val="BlockText"/>
      </w:pPr>
      <w:r>
        <w:rPr>
          <w:b/>
          <w:bCs/>
        </w:rPr>
        <w:t xml:space="preserve">Garantias como sinalização.</w:t>
      </w:r>
      <w:r>
        <w:t xml:space="preserve"> </w:t>
      </w:r>
      <w:r>
        <w:t xml:space="preserve">Uma garantia estendida é um sinal crível de qualidade porque satisfaz a condição de single-crossing: o custo esperado de honrar a garantia é muito menor para o vendedor de um carro bom do que para o vendedor de um limão. Se o carro é bom, a probabilidade de acionamento é baixa e o custo esperado é pequeno; se é um limão, o acionamento é quase certo e o custo pode exceder o lucro da venda. Assim, apenas vendedores de carros bons oferecem garantias longas de forma sustentável — exatamente como no equilíbrio separador de Spence, onde o tipo bom investe em um sinal que o tipo ruim acha proibitivamente custoso.</w:t>
      </w:r>
    </w:p>
    <w:p>
      <w:pPr>
        <w:pStyle w:val="BlockText"/>
      </w:pPr>
      <w:r>
        <w:rPr>
          <w:b/>
          <w:bCs/>
        </w:rPr>
        <w:t xml:space="preserve">Lemon laws nos EUA.</w:t>
      </w:r>
      <w:r>
        <w:t xml:space="preserve"> </w:t>
      </w:r>
      <w:r>
        <w:t xml:space="preserve">Todos os 50 estados americanos possuem alguma forma de</w:t>
      </w:r>
      <w:r>
        <w:t xml:space="preserve"> </w:t>
      </w:r>
      <w:r>
        <w:rPr>
          <w:i/>
          <w:iCs/>
        </w:rPr>
        <w:t xml:space="preserve">lemon law</w:t>
      </w:r>
      <w:r>
        <w:t xml:space="preserve">, legislação que garante ao comprador de um veículo novo o direito de substituição ou reembolso caso o veículo apresente defeitos recorrentes dentro de um período especificado (tipicamente 1–2 anos ou 12.000–24.000 milhas). A Lei Magnuson-Moss (1975), federal, complementa as leis estaduais ao exigir que garantias sejam claramente redigidas e que fabricantes que ofereçam garantias cumpram obrigações mínimas. A FTC (Federal Trade Commission) estima que lemon laws cobrem aproximadamente 150.000 reclamações por ano nos EUA. O efeito econômico é duplo: (i) reduzem o custo do limão para o comprador, aumentando sua disposição a pagar e sustentando o mercado; (ii) criam incentivos para fabricantes investirem em qualidade, pois o custo de honrar lemon laws recai sobre quem produziu o defeito.</w:t>
      </w:r>
    </w:p>
    <w:p>
      <w:pPr>
        <w:pStyle w:val="BlockText"/>
      </w:pPr>
      <w:r>
        <w:rPr>
          <w:b/>
          <w:bCs/>
        </w:rPr>
        <w:t xml:space="preserve">Proteção ao consumidor na UE.</w:t>
      </w:r>
      <w:r>
        <w:t xml:space="preserve"> </w:t>
      </w:r>
      <w:r>
        <w:t xml:space="preserve">A Diretiva 1999/44/CE (atualizada pela Diretiva 2019/771) garante uma garantia legal mínima de 2 anos para bens de consumo em todos os estados-membros. Diferentemente das lemon laws americanas (focadas em automóveis), a proteção europeia cobre qualquer bem de consumo. A inversão do ônus da prova durante os primeiros 12 meses (o vendedor deve provar que o defeito não existia na entrega) é um mecanismo de screening implícito: reduz o custo de reclamação para o consumidor de boa-fé e aumenta o custo para vendedores de produtos defeituosos.</w:t>
      </w:r>
    </w:p>
    <w:p>
      <w:pPr>
        <w:pStyle w:val="BlockText"/>
      </w:pPr>
      <w:r>
        <w:rPr>
          <w:b/>
          <w:bCs/>
        </w:rPr>
        <w:t xml:space="preserve">No Brasil</w:t>
      </w:r>
      <w:r>
        <w:t xml:space="preserve">, o Código de Defesa do Consumidor (1990) estabelece garantia legal de 30 dias para bens não duráveis e 90 dias para bens duráveis, complementada por garantias contratuais voluntárias dos fabricantes. No mercado automotivo, plataformas como iCarros e Webmotors passaram a oferecer laudos de vistoria veicular (cautelares) — um mecanismo de certificação por terceiros que reduz a assimetria informacional no mercado secundário. A Tabela FIPE funciona como um benchmark público de preços, facilitando a precificação mesmo sob informação imperfeita.</w:t>
      </w:r>
    </w:p>
    <w:p>
      <w:pPr>
        <w:pStyle w:val="BlockText"/>
      </w:pPr>
      <w:r>
        <w:rPr>
          <w:b/>
          <w:bCs/>
        </w:rPr>
        <w:t xml:space="preserve">Dados:</w:t>
      </w:r>
      <w:r>
        <w:t xml:space="preserve"> </w:t>
      </w:r>
      <w:r>
        <w:t xml:space="preserve">O mercado global de carros usados movimentou aproximadamente US$ 1,5 trilhão em 2023 (Statista). Nos EUA, carros usados certificados (</w:t>
      </w:r>
      <w:r>
        <w:rPr>
          <w:i/>
          <w:iCs/>
        </w:rPr>
        <w:t xml:space="preserve">certified pre-owned</w:t>
      </w:r>
      <w:r>
        <w:t xml:space="preserve">, CPO) — que vêm com garantia estendida do fabricante — representam ~15% das vendas de usados e comandam um prêmio de preço de 5–10% sobre veículos não certificados, evidência direta do valor de mercado da sinalização via garantia.</w:t>
      </w:r>
    </w:p>
    <w:p>
      <w:pPr>
        <w:pStyle w:val="BlockText"/>
      </w:pPr>
      <w:r>
        <w:rPr>
          <w:b/>
          <w:bCs/>
        </w:rPr>
        <w:t xml:space="preserve">Análise:</w:t>
      </w:r>
      <w:r>
        <w:t xml:space="preserve"> </w:t>
      </w:r>
      <w:r>
        <w:t xml:space="preserve">Lemon laws e garantias são soluções complementares ao problema de Akerlof. Garantias são sinais de mercado (parte informada age voluntariamente); lemon laws são regulação estatal (força todas as partes a internalizar o risco de limões). Juntas, elas impedem o colapso total do mercado previsto pelo modelo — mas não eliminam a ineficiência. Compradores ainda descontam preços de usados (o chamado</w:t>
      </w:r>
      <w:r>
        <w:t xml:space="preserve"> </w:t>
      </w:r>
      <w:r>
        <w:rPr>
          <w:i/>
          <w:iCs/>
        </w:rPr>
        <w:t xml:space="preserve">depreciation cliff</w:t>
      </w:r>
      <w:r>
        <w:t xml:space="preserve"> </w:t>
      </w:r>
      <w:r>
        <w:t xml:space="preserve">do primeiro ano), e mercados de carros usados em países com proteção ao consumidor fraca (como muitos países em desenvolvimento) sofrem de seleção adversa mais severa.</w:t>
      </w:r>
    </w:p>
    <w:p>
      <w:pPr>
        <w:pStyle w:val="BlockText"/>
      </w:pPr>
      <w:r>
        <w:rPr>
          <w:b/>
          <w:bCs/>
        </w:rPr>
        <w:t xml:space="preserve">Fonte:</w:t>
      </w:r>
      <w:r>
        <w:t xml:space="preserve"> </w:t>
      </w:r>
      <w:r>
        <w:t xml:space="preserve">FTC,</w:t>
      </w:r>
      <w:r>
        <w:t xml:space="preserve"> </w:t>
      </w:r>
      <w:r>
        <w:rPr>
          <w:i/>
          <w:iCs/>
        </w:rPr>
        <w:t xml:space="preserve">Understanding Used Car Warranty Protection</w:t>
      </w:r>
      <w:r>
        <w:t xml:space="preserve">; EU, Directive 2019/771; IBGE/DENATRAN, Frota de Veículos Automotores.</w:t>
      </w:r>
    </w:p>
    <w:p>
      <w:r>
        <w:pict>
          <v:rect style="width:0;height:1.5pt" o:hralign="center" o:hrstd="t" o:hr="t"/>
        </w:pict>
      </w:r>
    </w:p>
    <w:p>
      <w:pPr>
        <w:pStyle w:val="BlockText"/>
      </w:pPr>
      <w:r>
        <w:rPr>
          <w:b/>
          <w:bCs/>
        </w:rPr>
        <w:t xml:space="preserve">[BOX MUNDO] Box Mundo 9d.3 — Remuneração de CEOs e o problema principal-agente: evidência internacional</w:t>
      </w:r>
    </w:p>
    <w:p>
      <w:pPr>
        <w:pStyle w:val="BlockText"/>
      </w:pPr>
      <w:r>
        <w:rPr>
          <w:b/>
          <w:bCs/>
        </w:rPr>
        <w:t xml:space="preserve">Contexto:</w:t>
      </w:r>
      <w:r>
        <w:t xml:space="preserve"> </w:t>
      </w:r>
      <w:r>
        <w:t xml:space="preserve">A remuneração de executivos de grandes corporações é um dos campos de aplicação mais visíveis e controversos da teoria do principal-agente. Os acionistas (principais) não podem observar diretamente o esforço e a qualidade das decisões dos CEOs (agentes); por isso, desenham contratos que vinculam a remuneração ao desempenho da empresa — stock options, bônus por lucro, ações restritas. A teoria de Holmström (1979) prevê que o contrato ótimo equilibra incentivos (alta sensibilidade da remuneração ao desempenho) e seguro (baixa variabilidade salarial), e que a parcela variável deve depender de indicadores informativos sobre o esforço do CEO.</w:t>
      </w:r>
    </w:p>
    <w:p>
      <w:pPr>
        <w:pStyle w:val="BlockText"/>
      </w:pPr>
      <w:r>
        <w:rPr>
          <w:b/>
          <w:bCs/>
        </w:rPr>
        <w:t xml:space="preserve">Dados internacionais.</w:t>
      </w:r>
      <w:r>
        <w:t xml:space="preserve"> </w:t>
      </w:r>
      <w:r>
        <w:t xml:space="preserve">A razão entre a remuneração do CEO e a do trabalhador mediano (CEO pay ratio) varia dramaticamente entre países e ao longo do tempo:</w:t>
      </w:r>
    </w:p>
    <w:tbl>
      <w:tblPr>
        <w:tblStyle w:val="Table"/>
        <w:tblW w:type="pct" w:w="5000"/>
        <w:tblLayout w:type="fixed"/>
        <w:tblLook w:firstRow="1" w:lastRow="0" w:firstColumn="0" w:lastColumn="0" w:noHBand="0" w:noVBand="0" w:val="0020"/>
      </w:tblPr>
      <w:tblGrid>
        <w:gridCol w:w="805"/>
        <w:gridCol w:w="3892"/>
        <w:gridCol w:w="3221"/>
      </w:tblGrid>
      <w:tr>
        <w:trPr>
          <w:tblHeader w:val="on"/>
        </w:trPr>
        <w:tc>
          <w:tcPr/>
          <w:p>
            <w:pPr>
              <w:pStyle w:val="Compact"/>
              <w:jc w:val="left"/>
            </w:pPr>
            <w:r>
              <w:t xml:space="preserve">País</w:t>
            </w:r>
          </w:p>
        </w:tc>
        <w:tc>
          <w:tcPr/>
          <w:p>
            <w:pPr>
              <w:pStyle w:val="Compact"/>
              <w:jc w:val="left"/>
            </w:pPr>
            <w:r>
              <w:t xml:space="preserve">CEO pay ratio (aprox., 2023)</w:t>
            </w:r>
          </w:p>
        </w:tc>
        <w:tc>
          <w:tcPr/>
          <w:p>
            <w:pPr>
              <w:pStyle w:val="Compact"/>
              <w:jc w:val="left"/>
            </w:pPr>
            <w:r>
              <w:t xml:space="preserve">Estrutura predominante</w:t>
            </w:r>
          </w:p>
        </w:tc>
      </w:tr>
      <w:tr>
        <w:tc>
          <w:tcPr/>
          <w:p>
            <w:pPr>
              <w:pStyle w:val="Compact"/>
              <w:jc w:val="left"/>
            </w:pPr>
            <w:r>
              <w:t xml:space="preserve">EUA</w:t>
            </w:r>
          </w:p>
        </w:tc>
        <w:tc>
          <w:tcPr/>
          <w:p>
            <w:pPr>
              <w:pStyle w:val="Compact"/>
              <w:jc w:val="left"/>
            </w:pPr>
            <w:r>
              <w:t xml:space="preserve">344:1</w:t>
            </w:r>
          </w:p>
        </w:tc>
        <w:tc>
          <w:tcPr/>
          <w:p>
            <w:pPr>
              <w:pStyle w:val="Compact"/>
              <w:jc w:val="left"/>
            </w:pPr>
            <w:r>
              <w:t xml:space="preserve">Stock options + ações restritas (~70% variável)</w:t>
            </w:r>
          </w:p>
        </w:tc>
      </w:tr>
      <w:tr>
        <w:tc>
          <w:tcPr/>
          <w:p>
            <w:pPr>
              <w:pStyle w:val="Compact"/>
              <w:jc w:val="left"/>
            </w:pPr>
            <w:r>
              <w:t xml:space="preserve">Reino Unido</w:t>
            </w:r>
          </w:p>
        </w:tc>
        <w:tc>
          <w:tcPr/>
          <w:p>
            <w:pPr>
              <w:pStyle w:val="Compact"/>
              <w:jc w:val="left"/>
            </w:pPr>
            <w:r>
              <w:t xml:space="preserve">120:1</w:t>
            </w:r>
          </w:p>
        </w:tc>
        <w:tc>
          <w:tcPr/>
          <w:p>
            <w:pPr>
              <w:pStyle w:val="Compact"/>
              <w:jc w:val="left"/>
            </w:pPr>
            <w:r>
              <w:t xml:space="preserve">Bônus + ações (~55% variável)</w:t>
            </w:r>
          </w:p>
        </w:tc>
      </w:tr>
      <w:tr>
        <w:tc>
          <w:tcPr/>
          <w:p>
            <w:pPr>
              <w:pStyle w:val="Compact"/>
              <w:jc w:val="left"/>
            </w:pPr>
            <w:r>
              <w:t xml:space="preserve">Alemanha</w:t>
            </w:r>
          </w:p>
        </w:tc>
        <w:tc>
          <w:tcPr/>
          <w:p>
            <w:pPr>
              <w:pStyle w:val="Compact"/>
              <w:jc w:val="left"/>
            </w:pPr>
            <w:r>
              <w:t xml:space="preserve">65:1</w:t>
            </w:r>
          </w:p>
        </w:tc>
        <w:tc>
          <w:tcPr/>
          <w:p>
            <w:pPr>
              <w:pStyle w:val="Compact"/>
              <w:jc w:val="left"/>
            </w:pPr>
            <w:r>
              <w:t xml:space="preserve">Salário fixo + bônus moderado (~40% variável)</w:t>
            </w:r>
          </w:p>
        </w:tc>
      </w:tr>
      <w:tr>
        <w:tc>
          <w:tcPr/>
          <w:p>
            <w:pPr>
              <w:pStyle w:val="Compact"/>
              <w:jc w:val="left"/>
            </w:pPr>
            <w:r>
              <w:t xml:space="preserve">Japão</w:t>
            </w:r>
          </w:p>
        </w:tc>
        <w:tc>
          <w:tcPr/>
          <w:p>
            <w:pPr>
              <w:pStyle w:val="Compact"/>
              <w:jc w:val="left"/>
            </w:pPr>
            <w:r>
              <w:t xml:space="preserve">50:1</w:t>
            </w:r>
          </w:p>
        </w:tc>
        <w:tc>
          <w:tcPr/>
          <w:p>
            <w:pPr>
              <w:pStyle w:val="Compact"/>
              <w:jc w:val="left"/>
            </w:pPr>
            <w:r>
              <w:t xml:space="preserve">Salário fixo alto (~70% fixo)</w:t>
            </w:r>
          </w:p>
        </w:tc>
      </w:tr>
      <w:tr>
        <w:tc>
          <w:tcPr/>
          <w:p>
            <w:pPr>
              <w:pStyle w:val="Compact"/>
              <w:jc w:val="left"/>
            </w:pPr>
            <w:r>
              <w:t xml:space="preserve">Brasil</w:t>
            </w:r>
          </w:p>
        </w:tc>
        <w:tc>
          <w:tcPr/>
          <w:p>
            <w:pPr>
              <w:pStyle w:val="Compact"/>
              <w:jc w:val="left"/>
            </w:pPr>
            <w:r>
              <w:t xml:space="preserve">35–50:1</w:t>
            </w:r>
          </w:p>
        </w:tc>
        <w:tc>
          <w:tcPr/>
          <w:p>
            <w:pPr>
              <w:pStyle w:val="Compact"/>
              <w:jc w:val="left"/>
            </w:pPr>
            <w:r>
              <w:t xml:space="preserve">Misto (salário + bônus; stock options em crescimento)</w:t>
            </w:r>
          </w:p>
        </w:tc>
      </w:tr>
    </w:tbl>
    <w:p>
      <w:pPr>
        <w:pStyle w:val="BlockText"/>
      </w:pPr>
      <w:r>
        <w:rPr>
          <w:b/>
          <w:bCs/>
        </w:rPr>
        <w:t xml:space="preserve">Fonte:</w:t>
      </w:r>
      <w:r>
        <w:t xml:space="preserve"> </w:t>
      </w:r>
      <w:r>
        <w:t xml:space="preserve">Economic Policy Institute (EPI), 2023; Towers Watson Global CEO Pay Study; CVM (Brasil).</w:t>
      </w:r>
    </w:p>
    <w:p>
      <w:pPr>
        <w:pStyle w:val="BlockText"/>
      </w:pPr>
      <w:r>
        <w:t xml:space="preserve">Nos EUA, a razão CEO/trabalhador era de ~20:1 nos anos 1960, cresceu para ~60:1 nos anos 1990 e explodiu para mais de 300:1 após a difusão massiva de stock options nos anos 2000. A SEC (Securities and Exchange Commission) passou a exigir a divulgação do CEO pay ratio a partir de 2018 (Dodd-Frank Act, Seção 953b).</w:t>
      </w:r>
    </w:p>
    <w:p>
      <w:pPr>
        <w:pStyle w:val="BlockText"/>
      </w:pPr>
      <w:r>
        <w:rPr>
          <w:b/>
          <w:bCs/>
        </w:rPr>
        <w:t xml:space="preserve">Análise pela teoria do principal-agente.</w:t>
      </w:r>
      <w:r>
        <w:t xml:space="preserve"> </w:t>
      </w:r>
      <w:r>
        <w:t xml:space="preserve">A remuneração variável elevada nos EUA é consistente com a teoria de Holmström: mercados de capitais líquidos e diversificados permitem que acionistas imponham risco elevado aos CEOs (que, por sua vez, exigem compensação pelo risco — o prêmio de risco é parte do custo de agência). No Japão, onde a cultura corporativa valoriza relações de longo prazo e a mobilidade entre empresas é menor, o salário fixo alto funciona como um contrato relacional (</w:t>
      </w:r>
      <w:r>
        <w:rPr>
          <w:i/>
          <w:iCs/>
        </w:rPr>
        <w:t xml:space="preserve">implicit contract</w:t>
      </w:r>
      <w:r>
        <w:t xml:space="preserve">): o CEO é incentivado pela perspectiva de manutenção do emprego e pela reputação dentro do keiretsu, não pela remuneração variável de curto prazo. A Alemanha, com seu sistema de codeterminação (</w:t>
      </w:r>
      <w:r>
        <w:rPr>
          <w:i/>
          <w:iCs/>
        </w:rPr>
        <w:t xml:space="preserve">Mitbestimmung</w:t>
      </w:r>
      <w:r>
        <w:t xml:space="preserve">, onde trabalhadores têm assento no conselho), impõe restrições institucionais que moderam a remuneração variável.</w:t>
      </w:r>
    </w:p>
    <w:p>
      <w:pPr>
        <w:pStyle w:val="BlockText"/>
      </w:pPr>
      <w:r>
        <w:t xml:space="preserve">O debate normativo é intenso. Bebchuk e Fried (2004), em</w:t>
      </w:r>
      <w:r>
        <w:t xml:space="preserve"> </w:t>
      </w:r>
      <w:r>
        <w:rPr>
          <w:i/>
          <w:iCs/>
        </w:rPr>
        <w:t xml:space="preserve">Pay Without Performance</w:t>
      </w:r>
      <w:r>
        <w:t xml:space="preserve">, argumentam que a remuneração de CEOs nos EUA reflete não o contrato ótimo de Holmström, mas o poder de barganha do CEO sobre o conselho (</w:t>
      </w:r>
      <w:r>
        <w:rPr>
          <w:i/>
          <w:iCs/>
        </w:rPr>
        <w:t xml:space="preserve">managerial power theory</w:t>
      </w:r>
      <w:r>
        <w:t xml:space="preserve">): CEOs influenciam seus próprios contratos, capturando rendas que não correspondem ao esforço. A evidência empírica de Bertrand e Mullainathan (2001) mostra que CEOs são recompensados por aumentos de lucro que decorrem de fatores exógenos (como o preço do petróleo para empresas petrolíferas) — uma violação direta do Princípio da Informatividade de Holmström, que recomenda filtrar choques não informativos do contrato.</w:t>
      </w:r>
    </w:p>
    <w:p>
      <w:pPr>
        <w:pStyle w:val="BlockText"/>
      </w:pPr>
      <w:r>
        <w:t xml:space="preserve">No Brasil, a CVM (Comissão de Valores Mobiliários) regulamenta a divulgação da remuneração de administradores de empresas listadas (Instrução 480/2009), mas a transparência ainda é limitada comparada aos EUA. A cultura de remuneração variável em empresas brasileiras listadas na B3 cresceu significativamente nas últimas duas décadas, com adoção crescente de stock options e ações restritas — um movimento consistente com a profissionalização da governança corporativa e a influência do modelo anglo-saxão.</w:t>
      </w:r>
    </w:p>
    <w:p>
      <w:pPr>
        <w:pStyle w:val="BlockText"/>
      </w:pPr>
      <w:r>
        <w:rPr>
          <w:b/>
          <w:bCs/>
        </w:rPr>
        <w:t xml:space="preserve">Fonte:</w:t>
      </w:r>
      <w:r>
        <w:t xml:space="preserve"> </w:t>
      </w:r>
      <w:r>
        <w:t xml:space="preserve">Bebchuk, Lucian A. e Fried, Jesse M. (2004).</w:t>
      </w:r>
      <w:r>
        <w:t xml:space="preserve"> </w:t>
      </w:r>
      <w:r>
        <w:rPr>
          <w:i/>
          <w:iCs/>
        </w:rPr>
        <w:t xml:space="preserve">Pay Without Performance: The Unfulfilled Promise of Executive Compensation</w:t>
      </w:r>
      <w:r>
        <w:t xml:space="preserve">. Harvard University Press. Bertrand, Marianne e Mullainathan, Sendhil (2001).</w:t>
      </w:r>
      <w:r>
        <w:t xml:space="preserve"> </w:t>
      </w:r>
      <w:r>
        <w:t xml:space="preserve">“Are CEOs Rewarded for Luck?”</w:t>
      </w:r>
      <w:r>
        <w:t xml:space="preserve"> </w:t>
      </w:r>
      <w:r>
        <w:rPr>
          <w:i/>
          <w:iCs/>
        </w:rPr>
        <w:t xml:space="preserve">Quarterly Journal of Economics</w:t>
      </w:r>
      <w:r>
        <w:t xml:space="preserve">, 116(3), 901–932. Economic Policy Institute,</w:t>
      </w:r>
      <w:r>
        <w:t xml:space="preserve"> </w:t>
      </w:r>
      <w:r>
        <w:t xml:space="preserve">“CEO Pay Has Skyrocketed 1,460% Since 1978”</w:t>
      </w:r>
      <w:r>
        <w:t xml:space="preserve"> </w:t>
      </w:r>
      <w:r>
        <w:t xml:space="preserve">(2023).</w:t>
      </w:r>
    </w:p>
    <w:p>
      <w:r>
        <w:pict>
          <v:rect style="width:0;height:1.5pt" o:hralign="center" o:hrstd="t" o:hr="t"/>
        </w:pict>
      </w:r>
    </w:p>
    <w:p>
      <w:pPr>
        <w:pStyle w:val="BlockText"/>
      </w:pPr>
      <w:r>
        <w:rPr>
          <w:b/>
          <w:bCs/>
        </w:rPr>
        <w:t xml:space="preserve">[CODE] R Interativo — Modelo de Spence: custo da sinalização e equilíbrio separador</w:t>
      </w:r>
    </w:p>
    <w:p>
      <w:pPr>
        <w:pStyle w:val="BlockText"/>
      </w:pPr>
      <w:r>
        <w:t xml:space="preserve">Este box permite explorar o modelo de Spence variando os parâmetros de produtividade e custo da educação. Veja como o equilíbrio separador muda quando a diferença de custos entre tipos diminui.</w:t>
      </w:r>
    </w:p>
    <w:p>
      <w:pPr>
        <w:pStyle w:val="FirstParagraph"/>
      </w:pPr>
      <w:r>
        <w:t xml:space="preserve">[FIGURA INTERATIVA: /micro-book/graficos/cap09/webr-spence.html — versao interativa disponivel online]</w:t>
      </w:r>
    </w:p>
    <w:p>
      <w:pPr>
        <w:pStyle w:val="BlockText"/>
      </w:pPr>
      <w:r>
        <w:rPr>
          <w:b/>
          <w:bCs/>
        </w:rPr>
        <w:t xml:space="preserve">Figura 9d.1 — Modelo de Spence: equilíbrio separador.</w:t>
      </w:r>
      <w:r>
        <w:t xml:space="preserve"> </w:t>
      </w:r>
      <w:r>
        <w:t xml:space="preserve">Altere as produtividades e custos para ver o nível de educação mínimo que separa os tipos.</w:t>
      </w:r>
    </w:p>
    <w:p>
      <w:r>
        <w:pict>
          <v:rect style="width:0;height:1.5pt" o:hralign="center" o:hrstd="t" o:hr="t"/>
        </w:pict>
      </w:r>
    </w:p>
    <w:p>
      <w:pPr>
        <w:pStyle w:val="BlockText"/>
      </w:pPr>
      <w:r>
        <w:rPr>
          <w:b/>
          <w:bCs/>
        </w:rPr>
        <w:t xml:space="preserve">[CODE] R Interativo — Seleção adversa: simulação de mercado de seguros (Adams, 2025, Cap. 13)</w:t>
      </w:r>
    </w:p>
    <w:p>
      <w:pPr>
        <w:pStyle w:val="BlockText"/>
      </w:pPr>
      <w:r>
        <w:t xml:space="preserve">Este box simula um mercado de seguros de saúde com tipos heterogêneos (risco alto/baixo). Veja como a seleção adversa pode levar ao colapso do mercado quando o prêmio é calculado pela média.</w:t>
      </w:r>
    </w:p>
    <w:p>
      <w:pPr>
        <w:pStyle w:val="FirstParagraph"/>
      </w:pPr>
      <w:r>
        <w:t xml:space="preserve">[FIGURA INTERATIVA: /micro-book/graficos/cap09/webr-insurance.html — versao interativa disponivel online]</w:t>
      </w:r>
    </w:p>
    <w:p>
      <w:pPr>
        <w:pStyle w:val="BlockText"/>
      </w:pPr>
      <w:r>
        <w:rPr>
          <w:b/>
          <w:bCs/>
        </w:rPr>
        <w:t xml:space="preserve">Figura 9d.2 — Seleção adversa no mercado de seguros.</w:t>
      </w:r>
      <w:r>
        <w:t xml:space="preserve"> </w:t>
      </w:r>
      <w:r>
        <w:t xml:space="preserve">Varie a proporção de tipos de alto risco para ver quando o mercado colapsa. Baseado em Adams (2025, Cap. 13).</w:t>
      </w:r>
    </w:p>
    <w:p>
      <w:r>
        <w:pict>
          <v:rect style="width:0;height:1.5pt" o:hralign="center" o:hrstd="t" o:hr="t"/>
        </w:pict>
      </w:r>
    </w:p>
    <w:p>
      <w:pPr>
        <w:pStyle w:val="FirstParagraph"/>
      </w:pPr>
      <w:r>
        <w:t xml:space="preserve">Abrimos este módulo com uma observação simples: quando alguém age primeiro e os outros observam, a ação</w:t>
      </w:r>
      <w:r>
        <w:t xml:space="preserve"> </w:t>
      </w:r>
      <w:r>
        <w:rPr>
          <w:i/>
          <w:iCs/>
        </w:rPr>
        <w:t xml:space="preserve">fala</w:t>
      </w:r>
      <w:r>
        <w:t xml:space="preserve">. O MBA de Spence, a garantia do carro usado, o contrato do seguro — em cada caso, a ação é mensagem, e o equilíbrio é uma conversa estratégica entre quem sabe e quem precisa adivinhar. Do PBE à seleção adversa, mapeamos as três faces da assimetria informacional: sinalização (o informado grita), moral hazard (o informado se esconde) e seleção adversa (o informado aparece demais).</w:t>
      </w:r>
    </w:p>
    <w:p>
      <w:pPr>
        <w:pStyle w:val="BodyText"/>
      </w:pPr>
      <w:r>
        <w:rPr>
          <w:i/>
          <w:iCs/>
        </w:rPr>
        <w:t xml:space="preserve">Informação assimétrica não é só teoria dos jogos — é o tecido do mercado. Os Capítulos 10–12 voltam à firma; o Capítulo 19 aprofunda contratos e mecanismos. And now for something completely different — a firma.</w:t>
      </w:r>
    </w:p>
    <w:p>
      <w:r>
        <w:pict>
          <v:rect style="width:0;height:1.5pt" o:hralign="center" o:hrstd="t" o:hr="t"/>
        </w:pict>
      </w:r>
    </w:p>
    <w:bookmarkEnd w:id="601"/>
    <w:bookmarkEnd w:id="602"/>
    <w:bookmarkStart w:id="603" w:name="X81b5c5ad63146c644e6166e097828633d3c7180"/>
    <w:p>
      <w:pPr>
        <w:pStyle w:val="Heading3"/>
      </w:pPr>
      <w:r>
        <w:t xml:space="preserve">Visão Geral do Capítulo 9: Os Quatro Módulos</w:t>
      </w:r>
    </w:p>
    <w:p>
      <w:pPr>
        <w:pStyle w:val="FirstParagraph"/>
      </w:pPr>
      <w:r>
        <w:t xml:space="preserve">A tabela abaixo sintetiza os quatro módulos de teoria dos jogos, fechando o arco narrativo iniciado no Módulo 9a. Cada linha corresponde a uma combinação de timing (estático/dinâmico) e informação (completa/incompleta), com o conceito de equilíbrio correspondente e a aplicação-âncora.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9a — Pedra, Papel, Nash</w:t>
            </w:r>
          </w:p>
        </w:tc>
        <w:tc>
          <w:tcPr/>
          <w:p>
            <w:pPr>
              <w:pStyle w:val="Compact"/>
              <w:jc w:val="left"/>
            </w:pPr>
            <w:r>
              <w:rPr>
                <w:b/>
                <w:bCs/>
              </w:rPr>
              <w:t xml:space="preserve">9b — Primeiro Você, Depois Eu</w:t>
            </w:r>
          </w:p>
        </w:tc>
        <w:tc>
          <w:tcPr/>
          <w:p>
            <w:pPr>
              <w:pStyle w:val="Compact"/>
              <w:jc w:val="left"/>
            </w:pPr>
            <w:r>
              <w:rPr>
                <w:b/>
                <w:bCs/>
              </w:rPr>
              <w:t xml:space="preserve">9c — Jogando no Escuro</w:t>
            </w:r>
          </w:p>
        </w:tc>
        <w:tc>
          <w:tcPr/>
          <w:p>
            <w:pPr>
              <w:pStyle w:val="Compact"/>
              <w:jc w:val="left"/>
            </w:pPr>
            <w:r>
              <w:rPr>
                <w:b/>
                <w:bCs/>
              </w:rPr>
              <w:t xml:space="preserve">9d — O Diploma É Caro</w:t>
            </w:r>
          </w:p>
        </w:tc>
      </w:tr>
      <w:tr>
        <w:tc>
          <w:tcPr/>
          <w:p>
            <w:pPr>
              <w:pStyle w:val="Compact"/>
              <w:jc w:val="left"/>
            </w:pPr>
            <w:r>
              <w:rPr>
                <w:b/>
                <w:bCs/>
              </w:rPr>
              <w:t xml:space="preserve">Timing</w:t>
            </w:r>
          </w:p>
        </w:tc>
        <w:tc>
          <w:tcPr/>
          <w:p>
            <w:pPr>
              <w:pStyle w:val="Compact"/>
              <w:jc w:val="left"/>
            </w:pPr>
            <w:r>
              <w:t xml:space="preserve">Estático (simultâneo)</w:t>
            </w:r>
          </w:p>
        </w:tc>
        <w:tc>
          <w:tcPr/>
          <w:p>
            <w:pPr>
              <w:pStyle w:val="Compact"/>
              <w:jc w:val="left"/>
            </w:pPr>
            <w:r>
              <w:t xml:space="preserve">Dinâmico (sequencial)</w:t>
            </w:r>
          </w:p>
        </w:tc>
        <w:tc>
          <w:tcPr/>
          <w:p>
            <w:pPr>
              <w:pStyle w:val="Compact"/>
              <w:jc w:val="left"/>
            </w:pPr>
            <w:r>
              <w:t xml:space="preserve">Estático (simultâneo)</w:t>
            </w:r>
          </w:p>
        </w:tc>
        <w:tc>
          <w:tcPr/>
          <w:p>
            <w:pPr>
              <w:pStyle w:val="Compact"/>
              <w:jc w:val="left"/>
            </w:pPr>
            <w:r>
              <w:t xml:space="preserve">Dinâmico (sequencial)</w:t>
            </w:r>
          </w:p>
        </w:tc>
      </w:tr>
      <w:tr>
        <w:tc>
          <w:tcPr/>
          <w:p>
            <w:pPr>
              <w:pStyle w:val="Compact"/>
              <w:jc w:val="left"/>
            </w:pPr>
            <w:r>
              <w:rPr>
                <w:b/>
                <w:bCs/>
              </w:rPr>
              <w:t xml:space="preserve">Informação</w:t>
            </w:r>
          </w:p>
        </w:tc>
        <w:tc>
          <w:tcPr/>
          <w:p>
            <w:pPr>
              <w:pStyle w:val="Compact"/>
              <w:jc w:val="left"/>
            </w:pPr>
            <w:r>
              <w:t xml:space="preserve">Completa</w:t>
            </w:r>
          </w:p>
        </w:tc>
        <w:tc>
          <w:tcPr/>
          <w:p>
            <w:pPr>
              <w:pStyle w:val="Compact"/>
              <w:jc w:val="left"/>
            </w:pPr>
            <w:r>
              <w:t xml:space="preserve">Completa</w:t>
            </w:r>
          </w:p>
        </w:tc>
        <w:tc>
          <w:tcPr/>
          <w:p>
            <w:pPr>
              <w:pStyle w:val="Compact"/>
              <w:jc w:val="left"/>
            </w:pPr>
            <w:r>
              <w:t xml:space="preserve">Incompleta</w:t>
            </w:r>
          </w:p>
        </w:tc>
        <w:tc>
          <w:tcPr/>
          <w:p>
            <w:pPr>
              <w:pStyle w:val="Compact"/>
              <w:jc w:val="left"/>
            </w:pPr>
            <w:r>
              <w:t xml:space="preserve">Incompleta</w:t>
            </w:r>
          </w:p>
        </w:tc>
      </w:tr>
      <w:tr>
        <w:tc>
          <w:tcPr/>
          <w:p>
            <w:pPr>
              <w:pStyle w:val="Compact"/>
              <w:jc w:val="left"/>
            </w:pPr>
            <w:r>
              <w:rPr>
                <w:b/>
                <w:bCs/>
              </w:rPr>
              <w:t xml:space="preserve">Equilíbrio</w:t>
            </w:r>
          </w:p>
        </w:tc>
        <w:tc>
          <w:tcPr/>
          <w:p>
            <w:pPr>
              <w:pStyle w:val="Compact"/>
              <w:jc w:val="left"/>
            </w:pPr>
            <w:r>
              <w:t xml:space="preserve">Nash (EN)</w:t>
            </w:r>
          </w:p>
        </w:tc>
        <w:tc>
          <w:tcPr/>
          <w:p>
            <w:pPr>
              <w:pStyle w:val="Compact"/>
              <w:jc w:val="left"/>
            </w:pPr>
            <w:r>
              <w:t xml:space="preserve">Perfeito em Subjogos (EPS)</w:t>
            </w:r>
          </w:p>
        </w:tc>
        <w:tc>
          <w:tcPr/>
          <w:p>
            <w:pPr>
              <w:pStyle w:val="Compact"/>
              <w:jc w:val="left"/>
            </w:pPr>
            <w:r>
              <w:t xml:space="preserve">Bayesiano de Nash (BNE)</w:t>
            </w:r>
          </w:p>
        </w:tc>
        <w:tc>
          <w:tcPr/>
          <w:p>
            <w:pPr>
              <w:pStyle w:val="Compact"/>
              <w:jc w:val="left"/>
            </w:pPr>
            <w:r>
              <w:t xml:space="preserve">Bayesiano Perfeito (PBE)</w:t>
            </w:r>
          </w:p>
        </w:tc>
      </w:tr>
      <w:tr>
        <w:tc>
          <w:tcPr/>
          <w:p>
            <w:pPr>
              <w:pStyle w:val="Compact"/>
              <w:jc w:val="left"/>
            </w:pPr>
            <w:r>
              <w:rPr>
                <w:b/>
                <w:bCs/>
              </w:rPr>
              <w:t xml:space="preserve">Ideia central</w:t>
            </w:r>
          </w:p>
        </w:tc>
        <w:tc>
          <w:tcPr/>
          <w:p>
            <w:pPr>
              <w:pStyle w:val="Compact"/>
              <w:jc w:val="left"/>
            </w:pPr>
            <w:r>
              <w:t xml:space="preserve">Melhor resposta mútua</w:t>
            </w:r>
          </w:p>
        </w:tc>
        <w:tc>
          <w:tcPr/>
          <w:p>
            <w:pPr>
              <w:pStyle w:val="Compact"/>
              <w:jc w:val="left"/>
            </w:pPr>
            <w:r>
              <w:t xml:space="preserve">Ameaças críveis</w:t>
            </w:r>
          </w:p>
        </w:tc>
        <w:tc>
          <w:tcPr/>
          <w:p>
            <w:pPr>
              <w:pStyle w:val="Compact"/>
              <w:jc w:val="left"/>
            </w:pPr>
            <w:r>
              <w:t xml:space="preserve">Otimização com tipos privados</w:t>
            </w:r>
          </w:p>
        </w:tc>
        <w:tc>
          <w:tcPr/>
          <w:p>
            <w:pPr>
              <w:pStyle w:val="Compact"/>
              <w:jc w:val="left"/>
            </w:pPr>
            <w:r>
              <w:t xml:space="preserve">Sinais e crenças</w:t>
            </w:r>
          </w:p>
        </w:tc>
      </w:tr>
      <w:tr>
        <w:tc>
          <w:tcPr/>
          <w:p>
            <w:pPr>
              <w:pStyle w:val="Compact"/>
              <w:jc w:val="left"/>
            </w:pPr>
            <w:r>
              <w:rPr>
                <w:b/>
                <w:bCs/>
              </w:rPr>
              <w:t xml:space="preserve">Aplicação-âncora</w:t>
            </w:r>
          </w:p>
        </w:tc>
        <w:tc>
          <w:tcPr/>
          <w:p>
            <w:pPr>
              <w:pStyle w:val="Compact"/>
              <w:jc w:val="left"/>
            </w:pPr>
            <w:r>
              <w:t xml:space="preserve">Oligopólio (Cournot/Bertrand)</w:t>
            </w:r>
          </w:p>
        </w:tc>
        <w:tc>
          <w:tcPr/>
          <w:p>
            <w:pPr>
              <w:pStyle w:val="Compact"/>
              <w:jc w:val="left"/>
            </w:pPr>
            <w:r>
              <w:t xml:space="preserve">Barganha, jogos repetidos</w:t>
            </w:r>
          </w:p>
        </w:tc>
        <w:tc>
          <w:tcPr/>
          <w:p>
            <w:pPr>
              <w:pStyle w:val="Compact"/>
              <w:jc w:val="left"/>
            </w:pPr>
            <w:r>
              <w:t xml:space="preserve">Leilões, desenho de mecanismos</w:t>
            </w:r>
          </w:p>
        </w:tc>
        <w:tc>
          <w:tcPr/>
          <w:p>
            <w:pPr>
              <w:pStyle w:val="Compact"/>
              <w:jc w:val="left"/>
            </w:pPr>
            <w:r>
              <w:t xml:space="preserve">Sinalização, moral hazard, seleção adversa</w:t>
            </w:r>
          </w:p>
        </w:tc>
      </w:tr>
      <w:tr>
        <w:tc>
          <w:tcPr/>
          <w:p>
            <w:pPr>
              <w:pStyle w:val="Compact"/>
              <w:jc w:val="left"/>
            </w:pPr>
            <w:r>
              <w:rPr>
                <w:b/>
                <w:bCs/>
              </w:rPr>
              <w:t xml:space="preserve">Box Brasil</w:t>
            </w:r>
          </w:p>
        </w:tc>
        <w:tc>
          <w:tcPr/>
          <w:p>
            <w:pPr>
              <w:pStyle w:val="Compact"/>
              <w:jc w:val="left"/>
            </w:pPr>
            <w:r>
              <w:t xml:space="preserve">CADE e cervejas</w:t>
            </w:r>
          </w:p>
        </w:tc>
        <w:tc>
          <w:tcPr/>
          <w:p>
            <w:pPr>
              <w:pStyle w:val="Compact"/>
              <w:jc w:val="left"/>
            </w:pPr>
            <w:r>
              <w:t xml:space="preserve">Guerra fiscal do ICMS</w:t>
            </w:r>
          </w:p>
        </w:tc>
        <w:tc>
          <w:tcPr/>
          <w:p>
            <w:pPr>
              <w:pStyle w:val="Compact"/>
              <w:jc w:val="left"/>
            </w:pPr>
            <w:r>
              <w:t xml:space="preserve">ANP e ANEEL</w:t>
            </w:r>
          </w:p>
        </w:tc>
        <w:tc>
          <w:tcPr/>
          <w:p>
            <w:pPr>
              <w:pStyle w:val="Compact"/>
              <w:jc w:val="left"/>
            </w:pPr>
            <w:r>
              <w:t xml:space="preserve">ANS e planos de saúde</w:t>
            </w:r>
          </w:p>
        </w:tc>
      </w:tr>
      <w:tr>
        <w:tc>
          <w:tcPr/>
          <w:p>
            <w:pPr>
              <w:pStyle w:val="Compact"/>
              <w:jc w:val="left"/>
            </w:pPr>
            <w:r>
              <w:rPr>
                <w:b/>
                <w:bCs/>
              </w:rPr>
              <w:t xml:space="preserve">Monty Python</w:t>
            </w:r>
          </w:p>
        </w:tc>
        <w:tc>
          <w:tcPr/>
          <w:p>
            <w:pPr>
              <w:pStyle w:val="Compact"/>
              <w:jc w:val="left"/>
            </w:pPr>
            <w:r>
              <w:t xml:space="preserve">—</w:t>
            </w:r>
          </w:p>
        </w:tc>
        <w:tc>
          <w:tcPr/>
          <w:p>
            <w:pPr>
              <w:pStyle w:val="Compact"/>
              <w:jc w:val="left"/>
            </w:pPr>
            <w:r>
              <w:t xml:space="preserve">Spanish Inquisition (indução retroativa)</w:t>
            </w:r>
          </w:p>
        </w:tc>
        <w:tc>
          <w:tcPr/>
          <w:p>
            <w:pPr>
              <w:pStyle w:val="Compact"/>
              <w:jc w:val="left"/>
            </w:pPr>
            <w:r>
              <w:t xml:space="preserve">Holy Hand Grenade (mecanismos)</w:t>
            </w:r>
          </w:p>
        </w:tc>
        <w:tc>
          <w:tcPr/>
          <w:p>
            <w:pPr>
              <w:pStyle w:val="Compact"/>
              <w:jc w:val="left"/>
            </w:pPr>
            <w:r>
              <w:t xml:space="preserve">Dead Parrot (cheap talk), Cheese Shop (market unraveling)</w:t>
            </w:r>
          </w:p>
        </w:tc>
      </w:tr>
    </w:tbl>
    <w:p>
      <w:pPr>
        <w:pStyle w:val="BodyText"/>
      </w:pPr>
      <w:r>
        <w:t xml:space="preserve">A progressão dos módulos segue a taxonomia de Gibbons (1992): cada módulo relaxa uma hipótese e introduz o conceito de equilíbrio correspondente. O leitor que domina os quatro módulos está equipado para a análise de qualquer interação estratégica — de leilões de petróleo a negociações salariais, de cartéis a contratos de seguro.</w:t>
      </w:r>
    </w:p>
    <w:bookmarkEnd w:id="603"/>
    <w:bookmarkEnd w:id="604"/>
    <w:bookmarkStart w:id="610" w:name="Xf29f98012c3b4cdb5aa7fdb9c80dc9b4d815088"/>
    <w:p>
      <w:pPr>
        <w:pStyle w:val="Heading2"/>
      </w:pPr>
      <w:r>
        <w:t xml:space="preserve">O MBA Não Ensina Nada — Mas Sinaliza Tudo: O Modelo de Spence</w:t>
      </w:r>
    </w:p>
    <w:bookmarkStart w:id="609" w:name="X4e1fabb706ec3bacf1725d73e9bdac0bd2b13c2"/>
    <w:p>
      <w:pPr>
        <w:pStyle w:val="Heading3"/>
      </w:pPr>
      <w:r>
        <w:t xml:space="preserve">9d.2 O MBA Não Ensina Nada — Mas Sinaliza Tudo: O Modelo de Spence</w:t>
      </w:r>
    </w:p>
    <w:p>
      <w:pPr>
        <w:pStyle w:val="BlockText"/>
      </w:pPr>
      <w:r>
        <w:rPr>
          <w:b/>
          <w:bCs/>
        </w:rPr>
        <w:t xml:space="preserve">[DICA] Onde estou no livro?</w:t>
      </w:r>
    </w:p>
    <w:p>
      <w:pPr>
        <w:pStyle w:val="BlockText"/>
      </w:pPr>
      <w:r>
        <w:t xml:space="preserve">Este capítulo desenvolve a</w:t>
      </w:r>
      <w:r>
        <w:t xml:space="preserve"> </w:t>
      </w:r>
      <w:r>
        <w:rPr>
          <w:b/>
          <w:bCs/>
        </w:rPr>
        <w:t xml:space="preserve">teoria dos jogos</w:t>
      </w:r>
      <w:r>
        <w:t xml:space="preserve"> </w:t>
      </w:r>
      <w:r>
        <w:t xml:space="preserve">por trás da sinalização: derivação formal do PBE separador e agregador,</w:t>
      </w:r>
      <w:r>
        <w:t xml:space="preserve"> </w:t>
      </w:r>
      <w:r>
        <w:rPr>
          <w:i/>
          <w:iCs/>
        </w:rPr>
        <w:t xml:space="preserve">single-crossing condition</w:t>
      </w:r>
      <w:r>
        <w:t xml:space="preserve">, refinamento de Cho-Kreps. Para</w:t>
      </w:r>
      <w:r>
        <w:t xml:space="preserve"> </w:t>
      </w:r>
      <w:r>
        <w:rPr>
          <w:b/>
          <w:bCs/>
        </w:rPr>
        <w:t xml:space="preserve">aplicações a mercados de trabalho, educação e políticas públicas</w:t>
      </w:r>
      <w:r>
        <w:t xml:space="preserve">, incluindo dados da PNAD e do Enem/Sisu, veja o Capítulo 19 — Sinalização e Screening (Cap. 19).</w:t>
      </w:r>
    </w:p>
    <w:p>
      <w:pPr>
        <w:pStyle w:val="FirstParagraph"/>
      </w:pPr>
      <w:r>
        <w:t xml:space="preserve">Aqui está a aplicação mais famosa — e mais provocativa — do PBE. A pergunta de Spence (1973): por que as pessoas fazem faculdade? Resposta óbvia: para aprender. Resposta de Spence:</w:t>
      </w:r>
      <w:r>
        <w:t xml:space="preserve"> </w:t>
      </w:r>
      <w:r>
        <w:rPr>
          <w:i/>
          <w:iCs/>
        </w:rPr>
        <w:t xml:space="preserve">talvez não</w:t>
      </w:r>
      <w:r>
        <w:t xml:space="preserve">. Talvez o diploma seja apenas um</w:t>
      </w:r>
      <w:r>
        <w:t xml:space="preserve"> </w:t>
      </w:r>
      <w:r>
        <w:rPr>
          <w:b/>
          <w:bCs/>
        </w:rPr>
        <w:t xml:space="preserve">sinal</w:t>
      </w:r>
      <w:r>
        <w:t xml:space="preserve"> </w:t>
      </w:r>
      <w:r>
        <w:t xml:space="preserve">— uma forma custosa de dizer ao empregador</w:t>
      </w:r>
      <w:r>
        <w:t xml:space="preserve"> </w:t>
      </w:r>
      <w:r>
        <w:t xml:space="preserve">“sou do tipo produtivo”</w:t>
      </w:r>
      <w:r>
        <w:t xml:space="preserve">, mesmo que o conteúdo do curso seja irrelevante. O truque: ir à faculdade é mais</w:t>
      </w:r>
      <w:r>
        <w:t xml:space="preserve"> </w:t>
      </w:r>
      <w:r>
        <w:rPr>
          <w:i/>
          <w:iCs/>
        </w:rPr>
        <w:t xml:space="preserve">fácil</w:t>
      </w:r>
      <w:r>
        <w:t xml:space="preserve"> </w:t>
      </w:r>
      <w:r>
        <w:t xml:space="preserve">(menos custoso) para quem é produtivo. Logo, o diploma funciona como filtro.</w:t>
      </w:r>
    </w:p>
    <w:p>
      <w:pPr>
        <w:pStyle w:val="BodyText"/>
      </w:pPr>
      <w:r>
        <w:t xml:space="preserve">Essa lógica se estende muito além da educação: garantia de 5 anos no carro usado (só quem confia oferece), dividendos altos (só firma saudável distribui caixa), e até o pavão com cauda absurdamente grande (só quem é geneticamente apto sobrevive com aquilo). O mecanismo é sempre o mesmo: uma ação custosa que o tipo ruim acha proibitiva demais para imitar.</w:t>
      </w:r>
    </w:p>
    <w:p>
      <w:pPr>
        <w:pStyle w:val="BodyText"/>
      </w:pPr>
      <w:r>
        <w:t xml:space="preserve">Formalmente, jogos de sinalização são jogos sequenciais com informação incompleta nos quais a parte informada (o</w:t>
      </w:r>
      <w:r>
        <w:t xml:space="preserve"> </w:t>
      </w:r>
      <w:r>
        <w:t xml:space="preserve">“remetente”</w:t>
      </w:r>
      <w:r>
        <w:t xml:space="preserve">) age primeiro, escolhendo um sinal observável.</w:t>
      </w:r>
    </w:p>
    <w:p>
      <w:pPr>
        <w:pStyle w:val="BlockText"/>
      </w:pPr>
      <w:r>
        <w:rPr>
          <w:b/>
          <w:bCs/>
        </w:rPr>
        <w:t xml:space="preserve">[DEFINICAO] Estrutura de um jogo de sinalização</w:t>
      </w:r>
    </w:p>
    <w:p>
      <w:pPr>
        <w:pStyle w:val="Compact"/>
        <w:numPr>
          <w:ilvl w:val="0"/>
          <w:numId w:val="1577"/>
        </w:numPr>
      </w:pPr>
      <w:r>
        <w:t xml:space="preserve">A natureza sorteia o tipo</w:t>
      </w:r>
      <w:r>
        <w:t xml:space="preserve"> </w:t>
      </w:r>
      <m:oMath>
        <m:r>
          <m:t>θ</m:t>
        </m:r>
        <m:r>
          <m:rPr>
            <m:sty m:val="p"/>
          </m:rPr>
          <m:t>∈</m:t>
        </m:r>
        <m:r>
          <m:rPr>
            <m:sty m:val="p"/>
          </m:rPr>
          <m:t>Θ</m:t>
        </m:r>
      </m:oMath>
      <w:r>
        <w:t xml:space="preserve"> </w:t>
      </w:r>
      <w:r>
        <w:t xml:space="preserve">do remetente.</w:t>
      </w:r>
    </w:p>
    <w:p>
      <w:pPr>
        <w:pStyle w:val="Compact"/>
        <w:numPr>
          <w:ilvl w:val="0"/>
          <w:numId w:val="1577"/>
        </w:numPr>
      </w:pPr>
      <w:r>
        <w:t xml:space="preserve">O remetente observa</w:t>
      </w:r>
      <w:r>
        <w:t xml:space="preserve"> </w:t>
      </w:r>
      <m:oMath>
        <m:r>
          <m:t>θ</m:t>
        </m:r>
      </m:oMath>
      <w:r>
        <w:t xml:space="preserve"> </w:t>
      </w:r>
      <w:r>
        <w:t xml:space="preserve">e escolhe um sinal</w:t>
      </w:r>
      <w:r>
        <w:t xml:space="preserve"> </w:t>
      </w:r>
      <m:oMath>
        <m:r>
          <m:t>m</m:t>
        </m:r>
        <m:r>
          <m:rPr>
            <m:sty m:val="p"/>
          </m:rPr>
          <m:t>∈</m:t>
        </m:r>
        <m:r>
          <m:t>M</m:t>
        </m:r>
      </m:oMath>
      <w:r>
        <w:t xml:space="preserve">.</w:t>
      </w:r>
    </w:p>
    <w:p>
      <w:pPr>
        <w:pStyle w:val="Compact"/>
        <w:numPr>
          <w:ilvl w:val="0"/>
          <w:numId w:val="1577"/>
        </w:numPr>
      </w:pPr>
      <w:r>
        <w:t xml:space="preserve">O receptor observa</w:t>
      </w:r>
      <w:r>
        <w:t xml:space="preserve"> </w:t>
      </w:r>
      <m:oMath>
        <m:r>
          <m:t>m</m:t>
        </m:r>
      </m:oMath>
      <w:r>
        <w:t xml:space="preserve"> </w:t>
      </w:r>
      <w:r>
        <w:t xml:space="preserve">(mas não</w:t>
      </w:r>
      <w:r>
        <w:t xml:space="preserve"> </w:t>
      </w:r>
      <m:oMath>
        <m:r>
          <m:t>θ</m:t>
        </m:r>
      </m:oMath>
      <w:r>
        <w:t xml:space="preserve">), atualiza crenças via Bayes e escolhe</w:t>
      </w:r>
      <w:r>
        <w:t xml:space="preserve"> </w:t>
      </w:r>
      <m:oMath>
        <m:r>
          <m:t>a</m:t>
        </m:r>
        <m:r>
          <m:rPr>
            <m:sty m:val="p"/>
          </m:rPr>
          <m:t>∈</m:t>
        </m:r>
        <m:r>
          <m:t>A</m:t>
        </m:r>
      </m:oMath>
      <w:r>
        <w:t xml:space="preserve">.</w:t>
      </w:r>
    </w:p>
    <w:p>
      <w:pPr>
        <w:pStyle w:val="Compact"/>
        <w:numPr>
          <w:ilvl w:val="0"/>
          <w:numId w:val="1577"/>
        </w:numPr>
      </w:pPr>
      <w:r>
        <w:t xml:space="preserve">Payoffs:</w:t>
      </w:r>
      <w:r>
        <w:t xml:space="preserve"> </w:t>
      </w:r>
      <m:oMath>
        <m:sSub>
          <m:e>
            <m:r>
              <m:t>u</m:t>
            </m:r>
          </m:e>
          <m:sub>
            <m:r>
              <m:t>R</m:t>
            </m:r>
          </m:sub>
        </m:sSub>
        <m:r>
          <m:rPr>
            <m:sty m:val="p"/>
          </m:rPr>
          <m:t>(</m:t>
        </m:r>
        <m:r>
          <m:t>m</m:t>
        </m:r>
        <m:r>
          <m:rPr>
            <m:sty m:val="p"/>
          </m:rPr>
          <m:t>,</m:t>
        </m:r>
        <m:r>
          <m:t>a</m:t>
        </m:r>
        <m:r>
          <m:rPr>
            <m:sty m:val="p"/>
          </m:rPr>
          <m:t>,</m:t>
        </m:r>
        <m:r>
          <m:t>θ</m:t>
        </m:r>
        <m:r>
          <m:rPr>
            <m:sty m:val="p"/>
          </m:rPr>
          <m:t>)</m:t>
        </m:r>
      </m:oMath>
      <w:r>
        <w:t xml:space="preserve"> </w:t>
      </w:r>
      <w:r>
        <w:t xml:space="preserve">e</w:t>
      </w:r>
      <w:r>
        <w:t xml:space="preserve"> </w:t>
      </w:r>
      <m:oMath>
        <m:sSub>
          <m:e>
            <m:r>
              <m:t>u</m:t>
            </m:r>
          </m:e>
          <m:sub>
            <m:r>
              <m:t>S</m:t>
            </m:r>
          </m:sub>
        </m:sSub>
        <m:r>
          <m:rPr>
            <m:sty m:val="p"/>
          </m:rPr>
          <m:t>(</m:t>
        </m:r>
        <m:r>
          <m:t>m</m:t>
        </m:r>
        <m:r>
          <m:rPr>
            <m:sty m:val="p"/>
          </m:rPr>
          <m:t>,</m:t>
        </m:r>
        <m:r>
          <m:t>a</m:t>
        </m:r>
        <m:r>
          <m:rPr>
            <m:sty m:val="p"/>
          </m:rPr>
          <m:t>,</m:t>
        </m:r>
        <m:r>
          <m:t>θ</m:t>
        </m:r>
        <m:r>
          <m:rPr>
            <m:sty m:val="p"/>
          </m:rPr>
          <m:t>)</m:t>
        </m:r>
      </m:oMath>
      <w:r>
        <w:t xml:space="preserve">.</w:t>
      </w:r>
    </w:p>
    <w:p>
      <w:pPr>
        <w:pStyle w:val="BlockText"/>
      </w:pPr>
      <w:r>
        <w:rPr>
          <w:b/>
          <w:bCs/>
        </w:rPr>
        <w:t xml:space="preserve">[INFORMACAO] 🏅 Prêmio Nobel — A. Michael Spence (2001)</w:t>
      </w:r>
    </w:p>
    <w:p>
      <w:pPr>
        <w:pStyle w:val="BlockText"/>
      </w:pPr>
      <w:r>
        <w:rPr>
          <w:b/>
          <w:bCs/>
        </w:rPr>
        <w:t xml:space="preserve">Andrew Michael Spence</w:t>
      </w:r>
      <w:r>
        <w:t xml:space="preserve"> </w:t>
      </w:r>
      <w:r>
        <w:t xml:space="preserve">(1943–presente) é um economista americano. Obteve o PhD em Harvard sob orientação de Kenneth Arrow e foi professor em Harvard e Stanford, onde foi também reitor da Graduate School of Business. Dividiu o Nobel com George Akerlof e Joseph Stiglitz.</w:t>
      </w:r>
    </w:p>
    <w:p>
      <w:pPr>
        <w:pStyle w:val="BlockText"/>
      </w:pPr>
      <w:r>
        <w:rPr>
          <w:b/>
          <w:bCs/>
        </w:rPr>
        <w:t xml:space="preserve">Por que ganhou o Nobel:</w:t>
      </w:r>
      <w:r>
        <w:t xml:space="preserve"> </w:t>
      </w:r>
      <w:r>
        <w:t xml:space="preserve">Premiado por sua análise de mercados com informação assimétrica. Em</w:t>
      </w:r>
      <w:r>
        <w:t xml:space="preserve"> </w:t>
      </w:r>
      <w:r>
        <w:rPr>
          <w:i/>
          <w:iCs/>
        </w:rPr>
        <w:t xml:space="preserve">Job Market Signaling</w:t>
      </w:r>
      <w:r>
        <w:t xml:space="preserve"> </w:t>
      </w:r>
      <w:r>
        <w:t xml:space="preserve">(1973), Spence mostrou como um agente mais bem informado pode usar ações custosas e observáveis — como investir em educação — para sinalizar credivelmente suas características não observáveis ao mercado. A chave é que o custo do sinal é menor para os tipos de alta qualidade, tornando a imitação não lucrativa.</w:t>
      </w:r>
    </w:p>
    <w:p>
      <w:pPr>
        <w:pStyle w:val="BlockText"/>
      </w:pPr>
      <w:r>
        <w:rPr>
          <w:b/>
          <w:bCs/>
        </w:rPr>
        <w:t xml:space="preserve">Conexão com este capítulo:</w:t>
      </w:r>
      <w:r>
        <w:t xml:space="preserve"> </w:t>
      </w:r>
      <w:r>
        <w:t xml:space="preserve">O modelo de Spence — em que trabalhadores de alta produtividade investem em educação para se distinguir dos de baixa produtividade — é o exemplo central de jogo de sinalização analisado neste capítulo. Os conceitos de equilíbrio separador e agregador, e as condições para que a sinalização funcione como mecanismo de revelação de informação, são desenvolvidos diretamente a partir do framework de Spence.</w:t>
      </w:r>
    </w:p>
    <w:p>
      <w:pPr>
        <w:pStyle w:val="BlockText"/>
      </w:pPr>
      <w:r>
        <w:rPr>
          <w:b/>
          <w:bCs/>
        </w:rPr>
        <w:t xml:space="preserve">[INTUICAO ECONOMICA] Intuição Econômica</w:t>
      </w:r>
    </w:p>
    <w:p>
      <w:pPr>
        <w:pStyle w:val="BlockText"/>
      </w:pPr>
      <w:r>
        <w:rPr>
          <w:b/>
          <w:bCs/>
        </w:rPr>
        <w:t xml:space="preserve">A lógica da sinalização em uma frase:</w:t>
      </w:r>
      <w:r>
        <w:t xml:space="preserve"> </w:t>
      </w:r>
      <w:r>
        <w:t xml:space="preserve">Uma ação cara e observável revela informação oculta — mas só funciona quando o custo é menor para quem realmente tem a qualidade que está sendo sinalizada.</w:t>
      </w:r>
    </w:p>
    <w:p>
      <w:pPr>
        <w:pStyle w:val="BlockText"/>
      </w:pPr>
      <w:r>
        <w:rPr>
          <w:b/>
          <w:bCs/>
        </w:rPr>
        <w:t xml:space="preserve">Por que o custo precisa ser diferencial?</w:t>
      </w:r>
      <w:r>
        <w:t xml:space="preserve"> </w:t>
      </w:r>
      <w:r>
        <w:t xml:space="preserve">Se o sinal custasse o mesmo para todos os tipos, qualquer agente de baixa qualidade poderia imitá-lo sem desvantagem. A separação de tipos depende precisamente de que o custo de</w:t>
      </w:r>
      <w:r>
        <w:t xml:space="preserve"> </w:t>
      </w:r>
      <w:r>
        <w:t xml:space="preserve">“fingir”</w:t>
      </w:r>
      <w:r>
        <w:t xml:space="preserve"> </w:t>
      </w:r>
      <w:r>
        <w:t xml:space="preserve">seja proibitivo para o tipo ruim. Essa é a condição de single-crossing: as curvas de indiferença dos dois tipos só se cruzam uma vez no espaço (sinal, salário/preço), o que garante que o nível de sinal que o tipo bom aceita obter seja alto demais para o tipo ruim.</w:t>
      </w:r>
    </w:p>
    <w:p>
      <w:pPr>
        <w:pStyle w:val="BlockText"/>
      </w:pPr>
      <w:r>
        <w:rPr>
          <w:b/>
          <w:bCs/>
        </w:rPr>
        <w:t xml:space="preserve">Exemplos práticos:</w:t>
      </w:r>
    </w:p>
    <w:p>
      <w:pPr>
        <w:pStyle w:val="Compact"/>
        <w:numPr>
          <w:ilvl w:val="0"/>
          <w:numId w:val="1578"/>
        </w:numPr>
      </w:pPr>
      <w:r>
        <w:rPr>
          <w:i/>
          <w:iCs/>
        </w:rPr>
        <w:t xml:space="preserve">Garantia estendida de carro:</w:t>
      </w:r>
      <w:r>
        <w:t xml:space="preserve"> </w:t>
      </w:r>
      <w:r>
        <w:t xml:space="preserve">um vendedor de</w:t>
      </w:r>
      <w:r>
        <w:t xml:space="preserve"> </w:t>
      </w:r>
      <w:r>
        <w:t xml:space="preserve">“limão”</w:t>
      </w:r>
      <w:r>
        <w:t xml:space="preserve"> </w:t>
      </w:r>
      <w:r>
        <w:t xml:space="preserve">não oferece porque sabe que vai ter que honrá-la.</w:t>
      </w:r>
    </w:p>
    <w:p>
      <w:pPr>
        <w:pStyle w:val="Compact"/>
        <w:numPr>
          <w:ilvl w:val="0"/>
          <w:numId w:val="1578"/>
        </w:numPr>
      </w:pPr>
      <w:r>
        <w:rPr>
          <w:i/>
          <w:iCs/>
        </w:rPr>
        <w:t xml:space="preserve">Dividendos elevados:</w:t>
      </w:r>
      <w:r>
        <w:t xml:space="preserve"> </w:t>
      </w:r>
      <w:r>
        <w:t xml:space="preserve">uma firma com fluxo de caixa fraco não poderia distribuí-los de forma sustentável.</w:t>
      </w:r>
    </w:p>
    <w:p>
      <w:pPr>
        <w:pStyle w:val="Compact"/>
        <w:numPr>
          <w:ilvl w:val="0"/>
          <w:numId w:val="1578"/>
        </w:numPr>
      </w:pPr>
      <w:r>
        <w:rPr>
          <w:i/>
          <w:iCs/>
        </w:rPr>
        <w:t xml:space="preserve">ENEM de alto desempenho:</w:t>
      </w:r>
      <w:r>
        <w:t xml:space="preserve"> </w:t>
      </w:r>
      <w:r>
        <w:t xml:space="preserve">o custo de obter a nota exige capacidade que o candidato fraco não tem, ou tem a um custo muito maior de esforço.</w:t>
      </w:r>
    </w:p>
    <w:p>
      <w:pPr>
        <w:pStyle w:val="BlockText"/>
      </w:pPr>
      <w:r>
        <w:rPr>
          <w:b/>
          <w:bCs/>
        </w:rPr>
        <w:t xml:space="preserve">A eficiência importa:</w:t>
      </w:r>
      <w:r>
        <w:t xml:space="preserve"> </w:t>
      </w:r>
      <w:r>
        <w:t xml:space="preserve">No equilíbrio separador, a informação privada é revelada — o que é bom para a parte desinformada. Mas o custo da sinalização é puro desperdício social se o sinal não cria valor (educação que não aumenta produtividade, garantias que nunca são acionadas). Esse é o dilema de Spence: credibilidade tem um custo.</w:t>
      </w:r>
    </w:p>
    <w:bookmarkStart w:id="605" w:name="tipos-de-equilíbrio"/>
    <w:p>
      <w:pPr>
        <w:pStyle w:val="Heading4"/>
      </w:pPr>
      <w:r>
        <w:t xml:space="preserve">Tipos de equilíbrio</w:t>
      </w:r>
    </w:p>
    <w:p>
      <w:pPr>
        <w:pStyle w:val="FirstParagraph"/>
      </w:pPr>
      <w:r>
        <w:t xml:space="preserve">Os jogos de sinalização admitem uma rica variedade de equilíbrios, dependendo de como os diferentes tipos escolhem seus sinais. A classificação a seguir é fundamental para toda a análise subsequente.</w:t>
      </w:r>
    </w:p>
    <w:p>
      <w:pPr>
        <w:pStyle w:val="Compact"/>
        <w:numPr>
          <w:ilvl w:val="0"/>
          <w:numId w:val="1579"/>
        </w:numPr>
      </w:pPr>
      <w:r>
        <w:rPr>
          <w:b/>
          <w:bCs/>
        </w:rPr>
        <w:t xml:space="preserve">Separador</w:t>
      </w:r>
      <w:r>
        <w:t xml:space="preserve">: tipos diferentes escolhem sinais diferentes → o sinal revela perfeitamente o tipo.</w:t>
      </w:r>
    </w:p>
    <w:p>
      <w:pPr>
        <w:pStyle w:val="Compact"/>
        <w:numPr>
          <w:ilvl w:val="0"/>
          <w:numId w:val="1579"/>
        </w:numPr>
      </w:pPr>
      <w:r>
        <w:rPr>
          <w:b/>
          <w:bCs/>
        </w:rPr>
        <w:t xml:space="preserve">Agregador</w:t>
      </w:r>
      <w:r>
        <w:t xml:space="preserve"> </w:t>
      </w:r>
      <w:r>
        <w:t xml:space="preserve">(</w:t>
      </w:r>
      <w:r>
        <w:rPr>
          <w:i/>
          <w:iCs/>
        </w:rPr>
        <w:t xml:space="preserve">pooling</w:t>
      </w:r>
      <w:r>
        <w:t xml:space="preserve">): todos os tipos escolhem o mesmo sinal → o receptor não aprende nada.</w:t>
      </w:r>
    </w:p>
    <w:p>
      <w:pPr>
        <w:pStyle w:val="Compact"/>
        <w:numPr>
          <w:ilvl w:val="0"/>
          <w:numId w:val="1579"/>
        </w:numPr>
      </w:pPr>
      <w:r>
        <w:rPr>
          <w:b/>
          <w:bCs/>
        </w:rPr>
        <w:t xml:space="preserve">Semi-separador</w:t>
      </w:r>
      <w:r>
        <w:t xml:space="preserve">: alguns tipos randomizam, permitindo revelação parcial.</w:t>
      </w:r>
    </w:p>
    <w:bookmarkEnd w:id="605"/>
    <w:bookmarkStart w:id="606" w:name="modelo-de-spence-sinalização-educacional"/>
    <w:p>
      <w:pPr>
        <w:pStyle w:val="Heading4"/>
      </w:pPr>
      <w:r>
        <w:t xml:space="preserve">Modelo de Spence (sinalização educacional)</w:t>
      </w:r>
    </w:p>
    <w:p>
      <w:pPr>
        <w:pStyle w:val="FirstParagraph"/>
      </w:pPr>
      <w:r>
        <w:t xml:space="preserve">Trabalhadores têm habilidade</w:t>
      </w:r>
      <w:r>
        <w:t xml:space="preserve"> </w:t>
      </w:r>
      <m:oMath>
        <m:sSub>
          <m:e>
            <m:r>
              <m:t>θ</m:t>
            </m:r>
          </m:e>
          <m:sub>
            <m:r>
              <m:t>H</m:t>
            </m:r>
          </m:sub>
        </m:sSub>
      </m:oMath>
      <w:r>
        <w:t xml:space="preserve"> </w:t>
      </w:r>
      <w:r>
        <w:t xml:space="preserve">(alta) ou</w:t>
      </w:r>
      <w:r>
        <w:t xml:space="preserve"> </w:t>
      </w:r>
      <m:oMath>
        <m:sSub>
          <m:e>
            <m:r>
              <m:t>θ</m:t>
            </m:r>
          </m:e>
          <m:sub>
            <m:r>
              <m:t>L</m:t>
            </m:r>
          </m:sub>
        </m:sSub>
      </m:oMath>
      <w:r>
        <w:t xml:space="preserve"> </w:t>
      </w:r>
      <w:r>
        <w:t xml:space="preserve">(baixa). A educação</w:t>
      </w:r>
      <w:r>
        <w:t xml:space="preserve"> </w:t>
      </w:r>
      <m:oMath>
        <m:r>
          <m:t>e</m:t>
        </m:r>
      </m:oMath>
      <w:r>
        <w:t xml:space="preserve"> </w:t>
      </w:r>
      <w:r>
        <w:t xml:space="preserve">é custosa, com custo menor para trabalhadores hábeis:</w:t>
      </w:r>
    </w:p>
    <w:p>
      <w:pPr>
        <w:pStyle w:val="BodyText"/>
      </w:pPr>
      <m:oMathPara>
        <m:oMathParaPr>
          <m:jc m:val="center"/>
        </m:oMathParaPr>
        <m:oMath>
          <m:r>
            <m:t>c</m:t>
          </m:r>
          <m:r>
            <m:rPr>
              <m:sty m:val="p"/>
            </m:rPr>
            <m:t>(</m:t>
          </m:r>
          <m:r>
            <m:t>e</m:t>
          </m:r>
          <m:r>
            <m:rPr>
              <m:sty m:val="p"/>
            </m:rPr>
            <m:t>,</m:t>
          </m:r>
          <m:sSub>
            <m:e>
              <m:r>
                <m:t>θ</m:t>
              </m:r>
            </m:e>
            <m:sub>
              <m:r>
                <m:t>H</m:t>
              </m:r>
            </m:sub>
          </m:sSub>
          <m:r>
            <m:rPr>
              <m:sty m:val="p"/>
            </m:rPr>
            <m:t>)</m:t>
          </m:r>
          <m:r>
            <m:rPr>
              <m:sty m:val="p"/>
            </m:rPr>
            <m:t>&lt;</m:t>
          </m:r>
          <m:r>
            <m:t>c</m:t>
          </m:r>
          <m:r>
            <m:rPr>
              <m:sty m:val="p"/>
            </m:rPr>
            <m:t>(</m:t>
          </m:r>
          <m:r>
            <m:t>e</m:t>
          </m:r>
          <m:r>
            <m:rPr>
              <m:sty m:val="p"/>
            </m:rPr>
            <m:t>,</m:t>
          </m:r>
          <m:sSub>
            <m:e>
              <m:r>
                <m:t>θ</m:t>
              </m:r>
            </m:e>
            <m:sub>
              <m:r>
                <m:t>L</m:t>
              </m:r>
            </m:sub>
          </m:sSub>
          <m:r>
            <m:rPr>
              <m:sty m:val="p"/>
            </m:rPr>
            <m:t>)</m:t>
          </m:r>
          <m:r>
            <m:t> </m:t>
          </m:r>
          <m:r>
            <m:rPr>
              <m:nor/>
              <m:sty m:val="p"/>
            </m:rPr>
            <m:t>para todo </m:t>
          </m:r>
          <m:r>
            <m:t>e</m:t>
          </m:r>
          <m:r>
            <m:rPr>
              <m:sty m:val="p"/>
            </m:rPr>
            <m:t>&gt;</m:t>
          </m:r>
          <m:r>
            <m:t>0</m:t>
          </m:r>
        </m:oMath>
      </m:oMathPara>
    </w:p>
    <w:p>
      <w:pPr>
        <w:pStyle w:val="FirstParagraph"/>
      </w:pPr>
      <w:r>
        <w:t xml:space="preserve">A condição de</w:t>
      </w:r>
      <w:r>
        <w:t xml:space="preserve"> </w:t>
      </w:r>
      <w:r>
        <w:rPr>
          <w:b/>
          <w:bCs/>
        </w:rPr>
        <w:t xml:space="preserve">single-crossing</w:t>
      </w:r>
      <w:r>
        <w:t xml:space="preserve"> </w:t>
      </w:r>
      <w:r>
        <w:t xml:space="preserve">da equação Eq. (eq:9d.1) é o ingrediente-chave que torna a sinalização possível. Se os custos fossem iguais para ambos os tipos, nada impediria a imitação — e o sinal perderia conteúdo informacional. É a assimetria de custos que garante que, em equilíbrio separador, o nível de educação que o tipo alto aceita obter seja proibitivamente custoso para o tipo baixo.</w:t>
      </w:r>
    </w:p>
    <w:p>
      <w:pPr>
        <w:pStyle w:val="BlockText"/>
      </w:pPr>
      <w:r>
        <w:rPr>
          <w:b/>
          <w:bCs/>
        </w:rPr>
        <w:t xml:space="preserve">[INTUICAO ECONOMICA] Intuição Econômica</w:t>
      </w:r>
    </w:p>
    <w:p>
      <w:pPr>
        <w:pStyle w:val="BlockText"/>
      </w:pPr>
      <w:r>
        <w:rPr>
          <w:b/>
          <w:bCs/>
        </w:rPr>
        <w:t xml:space="preserve">Em uma frase:</w:t>
      </w:r>
      <w:r>
        <w:t xml:space="preserve"> </w:t>
      </w:r>
      <w:r>
        <w:t xml:space="preserve">No modelo de Spence, a educação tem valor de sinalização</w:t>
      </w:r>
      <w:r>
        <w:t xml:space="preserve"> </w:t>
      </w:r>
      <w:r>
        <w:rPr>
          <w:i/>
          <w:iCs/>
        </w:rPr>
        <w:t xml:space="preserve">mesmo que não aumente a produtividade</w:t>
      </w:r>
      <w:r>
        <w:t xml:space="preserve">.</w:t>
      </w:r>
    </w:p>
    <w:p>
      <w:pPr>
        <w:pStyle w:val="BlockText"/>
      </w:pPr>
      <w:r>
        <w:rPr>
          <w:b/>
          <w:bCs/>
        </w:rPr>
        <w:t xml:space="preserve">Pense assim:</w:t>
      </w:r>
      <w:r>
        <w:t xml:space="preserve"> </w:t>
      </w:r>
      <w:r>
        <w:t xml:space="preserve">Uma empresa não sabe se o candidato é talentoso ou não. O candidato talentoso acha mais fácil (menos custoso) obter um MBA. Então ele faz o MBA não porque aprende algo novo, mas para</w:t>
      </w:r>
      <w:r>
        <w:t xml:space="preserve"> </w:t>
      </w:r>
      <w:r>
        <w:rPr>
          <w:i/>
          <w:iCs/>
        </w:rPr>
        <w:t xml:space="preserve">provar</w:t>
      </w:r>
      <w:r>
        <w:t xml:space="preserve"> </w:t>
      </w:r>
      <w:r>
        <w:t xml:space="preserve">que é talentoso. A educação funciona como um filtro que separa tipos.</w:t>
      </w:r>
    </w:p>
    <w:p>
      <w:pPr>
        <w:pStyle w:val="BlockText"/>
      </w:pPr>
      <w:r>
        <w:rPr>
          <w:b/>
          <w:bCs/>
        </w:rPr>
        <w:t xml:space="preserve">O teste da redundância:</w:t>
      </w:r>
      <w:r>
        <w:t xml:space="preserve"> </w:t>
      </w:r>
      <w:r>
        <w:t xml:space="preserve">Se todo mundo fosse obrigado a ter MBA, o sinal perderia valor — porque deixaria de separar. Isso é exatamente o que ocorre quando a inflação de diplomas torna certificações ubíquas.</w:t>
      </w:r>
    </w:p>
    <w:p>
      <w:pPr>
        <w:pStyle w:val="BlockText"/>
      </w:pPr>
      <w:r>
        <w:rPr>
          <w:b/>
          <w:bCs/>
        </w:rPr>
        <w:t xml:space="preserve">Spence vs. Becker:</w:t>
      </w:r>
      <w:r>
        <w:t xml:space="preserve"> </w:t>
      </w:r>
      <w:r>
        <w:t xml:space="preserve">Na teoria do capital humano (Becker, 1964), a educação aumenta a produtividade diretamente. Na teoria de sinalização (Spence, 1973), a educação não precisa aumentar a produtividade — basta que satisfaça a condição Eq. (eq:9d.1) de custo diferencialmente menor para o tipo hábil. Na prática, ambos os canais coexistem.</w:t>
      </w:r>
    </w:p>
    <w:bookmarkEnd w:id="606"/>
    <w:bookmarkStart w:id="607" w:name="equilíbrio-separador-derivação"/>
    <w:p>
      <w:pPr>
        <w:pStyle w:val="Heading4"/>
      </w:pPr>
      <w:r>
        <w:t xml:space="preserve">Equilíbrio separador: derivação</w:t>
      </w:r>
    </w:p>
    <w:p>
      <w:pPr>
        <w:pStyle w:val="FirstParagraph"/>
      </w:pPr>
      <w:r>
        <w:t xml:space="preserve">[FIGURA INTERATIVA: /micro-book/graficos/cap09d/sinalizacao-spence.html — versao interativa disponivel online]</w:t>
      </w:r>
    </w:p>
    <w:p>
      <w:pPr>
        <w:pStyle w:val="BodyText"/>
      </w:pPr>
      <w:r>
        <w:rPr>
          <w:b/>
          <w:bCs/>
        </w:rPr>
        <w:t xml:space="preserve">Figura 9d.3 — Sinalização de Spence.</w:t>
      </w:r>
      <w:r>
        <w:t xml:space="preserve"> </w:t>
      </w:r>
      <w:r>
        <w:t xml:space="preserve">Ajuste as produtividades</w:t>
      </w:r>
      <w:r>
        <w:t xml:space="preserve"> </w:t>
      </w:r>
      <m:oMath>
        <m:sSub>
          <m:e>
            <m:r>
              <m:t>θ</m:t>
            </m:r>
          </m:e>
          <m:sub>
            <m:r>
              <m:t>H</m:t>
            </m:r>
          </m:sub>
        </m:sSub>
      </m:oMath>
      <w:r>
        <w:t xml:space="preserve"> </w:t>
      </w:r>
      <w:r>
        <w:t xml:space="preserve">e</w:t>
      </w:r>
      <w:r>
        <w:t xml:space="preserve"> </w:t>
      </w:r>
      <m:oMath>
        <m:sSub>
          <m:e>
            <m:r>
              <m:t>θ</m:t>
            </m:r>
          </m:e>
          <m:sub>
            <m:r>
              <m:t>L</m:t>
            </m:r>
          </m:sub>
        </m:sSub>
      </m:oMath>
      <w:r>
        <w:t xml:space="preserve"> </w:t>
      </w:r>
      <w:r>
        <w:t xml:space="preserve">e a prior</w:t>
      </w:r>
      <w:r>
        <w:t xml:space="preserve"> </w:t>
      </w:r>
      <m:oMath>
        <m:r>
          <m:t>p</m:t>
        </m:r>
      </m:oMath>
      <w:r>
        <w:t xml:space="preserve"> </w:t>
      </w:r>
      <w:r>
        <w:t xml:space="preserve">para ver como a região de equilíbrios separadores se expande ou contrai. Quando os tipos são próximos, a separação exige sinalização cara — e o equilíbrio pooling pode dominar.</w:t>
      </w:r>
    </w:p>
    <w:p>
      <w:pPr>
        <w:pStyle w:val="BodyText"/>
      </w:pPr>
      <w:r>
        <w:t xml:space="preserve">Como encontrar formalmente o equilíbrio? O método consiste em determinar o nível mínimo de educação que separa os tipos, usando duas restrições de compatibilidade de incentivos (IC) que delimitam o intervalo de equilíbrios separadores.</w:t>
      </w:r>
    </w:p>
    <w:p>
      <w:pPr>
        <w:pStyle w:val="BodyText"/>
      </w:pPr>
      <w:r>
        <w:t xml:space="preserve">Com</w:t>
      </w:r>
      <w:r>
        <w:t xml:space="preserve"> </w:t>
      </w:r>
      <m:oMath>
        <m:sSub>
          <m:e>
            <m:r>
              <m:t>θ</m:t>
            </m:r>
          </m:e>
          <m:sub>
            <m:r>
              <m:t>H</m:t>
            </m:r>
          </m:sub>
        </m:sSub>
        <m:r>
          <m:rPr>
            <m:sty m:val="p"/>
          </m:rPr>
          <m:t>=</m:t>
        </m:r>
        <m:r>
          <m:t>2</m:t>
        </m:r>
      </m:oMath>
      <w:r>
        <w:t xml:space="preserve">,</w:t>
      </w:r>
      <w:r>
        <w:t xml:space="preserve"> </w:t>
      </w:r>
      <m:oMath>
        <m:sSub>
          <m:e>
            <m:r>
              <m:t>θ</m:t>
            </m:r>
          </m:e>
          <m:sub>
            <m:r>
              <m:t>L</m:t>
            </m:r>
          </m:sub>
        </m:sSub>
        <m:r>
          <m:rPr>
            <m:sty m:val="p"/>
          </m:rPr>
          <m:t>=</m:t>
        </m:r>
        <m:r>
          <m:t>1</m:t>
        </m:r>
      </m:oMath>
      <w:r>
        <w:t xml:space="preserve">,</w:t>
      </w:r>
      <w:r>
        <w:t xml:space="preserve"> </w:t>
      </w:r>
      <m:oMath>
        <m:r>
          <m:t>c</m:t>
        </m:r>
        <m:r>
          <m:rPr>
            <m:sty m:val="p"/>
          </m:rPr>
          <m:t>(</m:t>
        </m:r>
        <m:r>
          <m:t>e</m:t>
        </m:r>
        <m:r>
          <m:rPr>
            <m:sty m:val="p"/>
          </m:rPr>
          <m:t>,</m:t>
        </m:r>
        <m:r>
          <m:t>θ</m:t>
        </m:r>
        <m:r>
          <m:rPr>
            <m:sty m:val="p"/>
          </m:rPr>
          <m:t>)</m:t>
        </m:r>
        <m:r>
          <m:rPr>
            <m:sty m:val="p"/>
          </m:rPr>
          <m:t>=</m:t>
        </m:r>
        <m:r>
          <m:t>e</m:t>
        </m:r>
        <m:r>
          <m:rPr>
            <m:sty m:val="p"/>
          </m:rPr>
          <m:t>/</m:t>
        </m:r>
        <m:r>
          <m:t>θ</m:t>
        </m:r>
      </m:oMath>
      <w:r>
        <w:t xml:space="preserve">, e firmas competitivas que pagam salário igual à produtividade esperada:</w:t>
      </w:r>
    </w:p>
    <w:p>
      <w:pPr>
        <w:pStyle w:val="BodyText"/>
      </w:pPr>
      <w:r>
        <w:t xml:space="preserve">No equilíbrio separador, o tipo L escolhe</w:t>
      </w:r>
      <w:r>
        <w:t xml:space="preserve"> </w:t>
      </w:r>
      <m:oMath>
        <m:sSub>
          <m:e>
            <m:r>
              <m:t>e</m:t>
            </m:r>
          </m:e>
          <m:sub>
            <m:r>
              <m:t>L</m:t>
            </m:r>
          </m:sub>
        </m:sSub>
        <m:r>
          <m:rPr>
            <m:sty m:val="p"/>
          </m:rPr>
          <m:t>=</m:t>
        </m:r>
        <m:r>
          <m:t>0</m:t>
        </m:r>
      </m:oMath>
      <w:r>
        <w:t xml:space="preserve"> </w:t>
      </w:r>
      <w:r>
        <w:t xml:space="preserve">e o tipo H escolhe</w:t>
      </w:r>
      <w:r>
        <w:t xml:space="preserve"> </w:t>
      </w:r>
      <m:oMath>
        <m:sSub>
          <m:e>
            <m:r>
              <m:t>e</m:t>
            </m:r>
          </m:e>
          <m:sub>
            <m:r>
              <m:t>H</m:t>
            </m:r>
          </m:sub>
        </m:sSub>
        <m:r>
          <m:rPr>
            <m:sty m:val="p"/>
          </m:rPr>
          <m:t>=</m:t>
        </m:r>
        <m:sSup>
          <m:e>
            <m:r>
              <m:t>e</m:t>
            </m:r>
          </m:e>
          <m:sup>
            <m:r>
              <m:rPr>
                <m:sty m:val="p"/>
              </m:rPr>
              <m:t>*</m:t>
            </m:r>
          </m:sup>
        </m:sSup>
      </m:oMath>
      <w:r>
        <w:t xml:space="preserve">, onde</w:t>
      </w:r>
      <w:r>
        <w:t xml:space="preserve"> </w:t>
      </w:r>
      <m:oMath>
        <m:sSup>
          <m:e>
            <m:r>
              <m:t>e</m:t>
            </m:r>
          </m:e>
          <m:sup>
            <m:r>
              <m:rPr>
                <m:sty m:val="p"/>
              </m:rPr>
              <m:t>*</m:t>
            </m:r>
          </m:sup>
        </m:sSup>
      </m:oMath>
      <w:r>
        <w:t xml:space="preserve"> </w:t>
      </w:r>
      <w:r>
        <w:t xml:space="preserve">deve satisfazer:</w:t>
      </w:r>
    </w:p>
    <w:p>
      <w:pPr>
        <w:pStyle w:val="Compact"/>
        <w:numPr>
          <w:ilvl w:val="0"/>
          <w:numId w:val="1580"/>
        </w:numPr>
      </w:pPr>
      <w:r>
        <w:rPr>
          <w:b/>
          <w:bCs/>
        </w:rPr>
        <w:t xml:space="preserve">Tipo H não desvia para</w:t>
      </w:r>
      <w:r>
        <w:rPr>
          <w:b/>
          <w:bCs/>
        </w:rPr>
        <w:t xml:space="preserve"> </w:t>
      </w:r>
      <m:oMath>
        <m:r>
          <m:t>e</m:t>
        </m:r>
        <m:r>
          <m:rPr>
            <m:sty m:val="p"/>
          </m:rPr>
          <m:t>=</m:t>
        </m:r>
        <m:r>
          <m:t>0</m:t>
        </m:r>
      </m:oMath>
      <w:r>
        <w:rPr>
          <w:b/>
          <w:bCs/>
        </w:rPr>
        <w:t xml:space="preserve">:</w:t>
      </w:r>
      <w:r>
        <w:t xml:space="preserve"> </w:t>
      </w:r>
      <m:oMath>
        <m:r>
          <m:t>2</m:t>
        </m:r>
        <m:r>
          <m:rPr>
            <m:sty m:val="p"/>
          </m:rPr>
          <m:t>−</m:t>
        </m:r>
        <m:sSup>
          <m:e>
            <m:r>
              <m:t>e</m:t>
            </m:r>
          </m:e>
          <m:sup>
            <m:r>
              <m:rPr>
                <m:sty m:val="p"/>
              </m:rPr>
              <m:t>*</m:t>
            </m:r>
          </m:sup>
        </m:sSup>
        <m:r>
          <m:rPr>
            <m:sty m:val="p"/>
          </m:rPr>
          <m:t>/</m:t>
        </m:r>
        <m:r>
          <m:t>2</m:t>
        </m:r>
        <m:r>
          <m:rPr>
            <m:sty m:val="p"/>
          </m:rPr>
          <m:t>≥</m:t>
        </m:r>
        <m:r>
          <m:t>1</m:t>
        </m:r>
      </m:oMath>
      <w:r>
        <w:t xml:space="preserve">, logo</w:t>
      </w:r>
      <w:r>
        <w:t xml:space="preserve"> </w:t>
      </w:r>
      <m:oMath>
        <m:sSup>
          <m:e>
            <m:r>
              <m:t>e</m:t>
            </m:r>
          </m:e>
          <m:sup>
            <m:r>
              <m:rPr>
                <m:sty m:val="p"/>
              </m:rPr>
              <m:t>*</m:t>
            </m:r>
          </m:sup>
        </m:sSup>
        <m:r>
          <m:rPr>
            <m:sty m:val="p"/>
          </m:rPr>
          <m:t>≤</m:t>
        </m:r>
        <m:r>
          <m:t>2</m:t>
        </m:r>
      </m:oMath>
      <w:r>
        <w:t xml:space="preserve">.</w:t>
      </w:r>
    </w:p>
    <w:p>
      <w:pPr>
        <w:pStyle w:val="Compact"/>
        <w:numPr>
          <w:ilvl w:val="0"/>
          <w:numId w:val="1580"/>
        </w:numPr>
      </w:pPr>
      <w:r>
        <w:rPr>
          <w:b/>
          <w:bCs/>
        </w:rPr>
        <w:t xml:space="preserve">Tipo L não desvia para</w:t>
      </w:r>
      <w:r>
        <w:rPr>
          <w:b/>
          <w:bCs/>
        </w:rPr>
        <w:t xml:space="preserve"> </w:t>
      </w:r>
      <m:oMath>
        <m:r>
          <m:t>e</m:t>
        </m:r>
        <m:r>
          <m:rPr>
            <m:sty m:val="p"/>
          </m:rPr>
          <m:t>=</m:t>
        </m:r>
        <m:sSup>
          <m:e>
            <m:r>
              <m:t>e</m:t>
            </m:r>
          </m:e>
          <m:sup>
            <m:r>
              <m:rPr>
                <m:sty m:val="p"/>
              </m:rPr>
              <m:t>*</m:t>
            </m:r>
          </m:sup>
        </m:sSup>
      </m:oMath>
      <w:r>
        <w:rPr>
          <w:b/>
          <w:bCs/>
        </w:rPr>
        <w:t xml:space="preserve">:</w:t>
      </w:r>
      <w:r>
        <w:t xml:space="preserve"> </w:t>
      </w:r>
      <m:oMath>
        <m:r>
          <m:t>1</m:t>
        </m:r>
        <m:r>
          <m:rPr>
            <m:sty m:val="p"/>
          </m:rPr>
          <m:t>≥</m:t>
        </m:r>
        <m:r>
          <m:t>2</m:t>
        </m:r>
        <m:r>
          <m:rPr>
            <m:sty m:val="p"/>
          </m:rPr>
          <m:t>−</m:t>
        </m:r>
        <m:sSup>
          <m:e>
            <m:r>
              <m:t>e</m:t>
            </m:r>
          </m:e>
          <m:sup>
            <m:r>
              <m:rPr>
                <m:sty m:val="p"/>
              </m:rPr>
              <m:t>*</m:t>
            </m:r>
          </m:sup>
        </m:sSup>
      </m:oMath>
      <w:r>
        <w:t xml:space="preserve">, logo</w:t>
      </w:r>
      <w:r>
        <w:t xml:space="preserve"> </w:t>
      </w:r>
      <m:oMath>
        <m:sSup>
          <m:e>
            <m:r>
              <m:t>e</m:t>
            </m:r>
          </m:e>
          <m:sup>
            <m:r>
              <m:rPr>
                <m:sty m:val="p"/>
              </m:rPr>
              <m:t>*</m:t>
            </m:r>
          </m:sup>
        </m:sSup>
        <m:r>
          <m:rPr>
            <m:sty m:val="p"/>
          </m:rPr>
          <m:t>≥</m:t>
        </m:r>
        <m:r>
          <m:t>1</m:t>
        </m:r>
      </m:oMath>
      <w:r>
        <w:t xml:space="preserve">.</w:t>
      </w:r>
    </w:p>
    <w:p>
      <w:pPr>
        <w:pStyle w:val="FirstParagraph"/>
      </w:pPr>
      <w:r>
        <w:t xml:space="preserve">O equilíbrio separador menos custoso (preferido pelo jogador informado) é</w:t>
      </w:r>
      <w:r>
        <w:t xml:space="preserve"> </w:t>
      </w:r>
      <m:oMath>
        <m:sSup>
          <m:e>
            <m:r>
              <m:t>e</m:t>
            </m:r>
          </m:e>
          <m:sup>
            <m:r>
              <m:rPr>
                <m:sty m:val="p"/>
              </m:rPr>
              <m:t>*</m:t>
            </m:r>
          </m:sup>
        </m:sSup>
        <m:r>
          <m:rPr>
            <m:sty m:val="p"/>
          </m:rPr>
          <m:t>=</m:t>
        </m:r>
        <m:r>
          <m:t>1</m:t>
        </m:r>
      </m:oMath>
      <w:r>
        <w:t xml:space="preserve">. Nesse equilíbrio, o custo da sinalização é puro desperdício social — se os empregadores pudessem observar a habilidade diretamente, nenhum investimento em sinalização seria necessário.</w:t>
      </w:r>
    </w:p>
    <w:p>
      <w:pPr>
        <w:pStyle w:val="BodyText"/>
      </w:pPr>
      <w:r>
        <w:t xml:space="preserve">Note que o equilíbrio separador não é único: qualquer</w:t>
      </w:r>
      <w:r>
        <w:t xml:space="preserve"> </w:t>
      </w:r>
      <m:oMath>
        <m:sSup>
          <m:e>
            <m:r>
              <m:t>e</m:t>
            </m:r>
          </m:e>
          <m:sup>
            <m:r>
              <m:rPr>
                <m:sty m:val="p"/>
              </m:rPr>
              <m:t>*</m:t>
            </m:r>
          </m:sup>
        </m:sSup>
        <m:r>
          <m:rPr>
            <m:sty m:val="p"/>
          </m:rPr>
          <m:t>∈</m:t>
        </m:r>
        <m:r>
          <m:rPr>
            <m:sty m:val="p"/>
          </m:rPr>
          <m:t>[</m:t>
        </m:r>
        <m:r>
          <m:t>1</m:t>
        </m:r>
        <m:r>
          <m:rPr>
            <m:sty m:val="p"/>
          </m:rPr>
          <m:t>,</m:t>
        </m:r>
        <m:r>
          <m:t>2</m:t>
        </m:r>
        <m:r>
          <m:rPr>
            <m:sty m:val="p"/>
          </m:rPr>
          <m:t>]</m:t>
        </m:r>
      </m:oMath>
      <w:r>
        <w:t xml:space="preserve"> </w:t>
      </w:r>
      <w:r>
        <w:t xml:space="preserve">sustenta um equilíbrio separador, pois ambas as restrições de incentivo são satisfeitas. A multiplicidade de equilíbrios é uma característica geral dos jogos de sinalização — e motiva o uso de refinamentos como o</w:t>
      </w:r>
      <w:r>
        <w:t xml:space="preserve"> </w:t>
      </w:r>
      <w:r>
        <w:rPr>
          <w:b/>
          <w:bCs/>
        </w:rPr>
        <w:t xml:space="preserve">Critério de Dominância Intuitiva de Cho e Kreps (1987)</w:t>
      </w:r>
      <w:r>
        <w:t xml:space="preserve">. Esse critério seleciona o equilíbrio separador de menor custo (</w:t>
      </w:r>
      <m:oMath>
        <m:sSup>
          <m:e>
            <m:r>
              <m:t>e</m:t>
            </m:r>
          </m:e>
          <m:sup>
            <m:r>
              <m:rPr>
                <m:sty m:val="p"/>
              </m:rPr>
              <m:t>*</m:t>
            </m:r>
          </m:sup>
        </m:sSup>
        <m:r>
          <m:rPr>
            <m:sty m:val="p"/>
          </m:rPr>
          <m:t>=</m:t>
        </m:r>
        <m:r>
          <m:t>1</m:t>
        </m:r>
      </m:oMath>
      <w:r>
        <w:t xml:space="preserve">) ao eliminar equilíbrios sustentados por crenças off-path implausíveis. O argumento é o seguinte: se o receptor observa um nível de educação</w:t>
      </w:r>
      <w:r>
        <w:t xml:space="preserve"> </w:t>
      </w:r>
      <m:oMath>
        <m:r>
          <m:t>e</m:t>
        </m:r>
        <m:r>
          <m:rPr>
            <m:sty m:val="p"/>
          </m:rPr>
          <m:t>∈</m:t>
        </m:r>
        <m:r>
          <m:rPr>
            <m:sty m:val="p"/>
          </m:rPr>
          <m:t>(</m:t>
        </m:r>
        <m:r>
          <m:t>1</m:t>
        </m:r>
        <m:r>
          <m:rPr>
            <m:sty m:val="p"/>
          </m:rPr>
          <m:t>,</m:t>
        </m:r>
        <m:r>
          <m:t>2</m:t>
        </m:r>
        <m:r>
          <m:rPr>
            <m:sty m:val="p"/>
          </m:rPr>
          <m:t>)</m:t>
        </m:r>
      </m:oMath>
      <w:r>
        <w:t xml:space="preserve">, ele deveria atribuir probabilidade 1 ao tipo H — porque o tipo L jamais se beneficiaria de escolher esse nível, independentemente da crença do receptor, ao passo que o tipo H poderia se beneficiar se o receptor respondesse favoravelmente. O critério disciplina as crenças fora do caminho de equilíbrio e reduz a multiplicidade, tornando a previsão teórica mais precisa.</w:t>
      </w:r>
    </w:p>
    <w:p>
      <w:pPr>
        <w:pStyle w:val="BodyText"/>
      </w:pPr>
      <w:r>
        <w:t xml:space="preserve">A intuição do Critério de Cho-Kreps é elegante: quando um desvio nunca seria racional para um tipo mas poderia ser racional para outro, o receptor deve atribuir o desvio ao tipo para o qual ele faz sentido. Em termos formais, seja</w:t>
      </w:r>
      <w:r>
        <w:t xml:space="preserve"> </w:t>
      </w:r>
      <m:oMath>
        <m:r>
          <m:t>D</m:t>
        </m:r>
        <m:r>
          <m:rPr>
            <m:sty m:val="p"/>
          </m:rPr>
          <m:t>(</m:t>
        </m:r>
        <m:r>
          <m:t>θ</m:t>
        </m:r>
        <m:r>
          <m:rPr>
            <m:sty m:val="p"/>
          </m:rPr>
          <m:t>)</m:t>
        </m:r>
      </m:oMath>
      <w:r>
        <w:t xml:space="preserve"> </w:t>
      </w:r>
      <w:r>
        <w:t xml:space="preserve">o conjunto de respostas do receptor que tornam o desvio lucrativo para o tipo</w:t>
      </w:r>
      <w:r>
        <w:t xml:space="preserve"> </w:t>
      </w:r>
      <m:oMath>
        <m:r>
          <m:t>θ</m:t>
        </m:r>
      </m:oMath>
      <w:r>
        <w:t xml:space="preserve">. Se</w:t>
      </w:r>
      <w:r>
        <w:t xml:space="preserve"> </w:t>
      </w:r>
      <m:oMath>
        <m:r>
          <m:t>D</m:t>
        </m:r>
        <m:r>
          <m:rPr>
            <m:sty m:val="p"/>
          </m:rPr>
          <m:t>(</m:t>
        </m:r>
        <m:sSub>
          <m:e>
            <m:r>
              <m:t>θ</m:t>
            </m:r>
          </m:e>
          <m:sub>
            <m:r>
              <m:t>L</m:t>
            </m:r>
          </m:sub>
        </m:sSub>
        <m:r>
          <m:rPr>
            <m:sty m:val="p"/>
          </m:rPr>
          <m:t>)</m:t>
        </m:r>
        <m:r>
          <m:rPr>
            <m:sty m:val="p"/>
          </m:rPr>
          <m:t>=</m:t>
        </m:r>
        <m:r>
          <m:rPr>
            <m:sty m:val="p"/>
          </m:rPr>
          <m:t>⌀</m:t>
        </m:r>
      </m:oMath>
      <w:r>
        <w:t xml:space="preserve"> </w:t>
      </w:r>
      <w:r>
        <w:t xml:space="preserve">e</w:t>
      </w:r>
      <w:r>
        <w:t xml:space="preserve"> </w:t>
      </w:r>
      <m:oMath>
        <m:r>
          <m:t>D</m:t>
        </m:r>
        <m:r>
          <m:rPr>
            <m:sty m:val="p"/>
          </m:rPr>
          <m:t>(</m:t>
        </m:r>
        <m:sSub>
          <m:e>
            <m:r>
              <m:t>θ</m:t>
            </m:r>
          </m:e>
          <m:sub>
            <m:r>
              <m:t>H</m:t>
            </m:r>
          </m:sub>
        </m:sSub>
        <m:r>
          <m:rPr>
            <m:sty m:val="p"/>
          </m:rPr>
          <m:t>)</m:t>
        </m:r>
        <m:r>
          <m:rPr>
            <m:sty m:val="p"/>
          </m:rPr>
          <m:t>≠</m:t>
        </m:r>
        <m:r>
          <m:rPr>
            <m:sty m:val="p"/>
          </m:rPr>
          <m:t>⌀</m:t>
        </m:r>
      </m:oMath>
      <w:r>
        <w:t xml:space="preserve">, então o receptor deve colocar probabilidade zero no tipo L ao observar o desvio.</w:t>
      </w:r>
    </w:p>
    <w:bookmarkEnd w:id="607"/>
    <w:bookmarkStart w:id="608" w:name="X4fef43bb538e6c0328284eb68bddb42a36d7aa0"/>
    <w:p>
      <w:pPr>
        <w:pStyle w:val="Heading4"/>
      </w:pPr>
      <w:r>
        <w:t xml:space="preserve">Equilíbrio agregador (pooling): quando a separação falha</w:t>
      </w:r>
    </w:p>
    <w:p>
      <w:pPr>
        <w:pStyle w:val="FirstParagraph"/>
      </w:pPr>
      <w:r>
        <w:t xml:space="preserve">Nem todo jogo de sinalização produz separação. No equilíbrio agregador, ambos os tipos escolhem o mesmo nível de sinal, e o receptor não consegue distingui-los. Isso ocorre quando o intervalo de sinais que satisfazem as condições de incentivo dos dois tipos é vazio — ou seja, quando não existe um</w:t>
      </w:r>
      <w:r>
        <w:t xml:space="preserve"> </w:t>
      </w:r>
      <m:oMath>
        <m:sSup>
          <m:e>
            <m:r>
              <m:t>e</m:t>
            </m:r>
          </m:e>
          <m:sup>
            <m:r>
              <m:rPr>
                <m:sty m:val="p"/>
              </m:rPr>
              <m:t>*</m:t>
            </m:r>
          </m:sup>
        </m:sSup>
      </m:oMath>
      <w:r>
        <w:t xml:space="preserve"> </w:t>
      </w:r>
      <w:r>
        <w:t xml:space="preserve">suficientemente alto para deter a imitação do tipo baixo sem ser excessivamente custoso para o tipo alto.</w:t>
      </w:r>
    </w:p>
    <w:p>
      <w:pPr>
        <w:pStyle w:val="BodyText"/>
      </w:pPr>
      <w:r>
        <w:t xml:space="preserve">Formalmente, no equilíbrio pooling em</w:t>
      </w:r>
      <w:r>
        <w:t xml:space="preserve"> </w:t>
      </w:r>
      <m:oMath>
        <m:sSub>
          <m:e>
            <m:r>
              <m:t>e</m:t>
            </m:r>
          </m:e>
          <m:sub>
            <m:r>
              <m:t>P</m:t>
            </m:r>
          </m:sub>
        </m:sSub>
      </m:oMath>
      <w:r>
        <w:t xml:space="preserve">, ambos os tipos escolhem o mesmo sinal e o receptor paga o salário da produtividade média:</w:t>
      </w:r>
      <w:r>
        <w:t xml:space="preserve"> </w:t>
      </w:r>
      <m:oMath>
        <m:sSub>
          <m:e>
            <m:r>
              <m:t>w</m:t>
            </m:r>
          </m:e>
          <m:sub>
            <m:r>
              <m:t>P</m:t>
            </m:r>
          </m:sub>
        </m:sSub>
        <m:r>
          <m:rPr>
            <m:sty m:val="p"/>
          </m:rPr>
          <m:t>=</m:t>
        </m:r>
        <m:r>
          <m:t>p</m:t>
        </m:r>
        <m:r>
          <m:rPr>
            <m:sty m:val="p"/>
          </m:rPr>
          <m:t>⋅</m:t>
        </m:r>
        <m:sSub>
          <m:e>
            <m:r>
              <m:t>θ</m:t>
            </m:r>
          </m:e>
          <m:sub>
            <m:r>
              <m:t>H</m:t>
            </m:r>
          </m:sub>
        </m:sSub>
        <m:r>
          <m:rPr>
            <m:sty m:val="p"/>
          </m:rPr>
          <m:t>+</m:t>
        </m:r>
        <m:r>
          <m:rPr>
            <m:sty m:val="p"/>
          </m:rPr>
          <m:t>(</m:t>
        </m:r>
        <m:r>
          <m:t>1</m:t>
        </m:r>
        <m:r>
          <m:rPr>
            <m:sty m:val="p"/>
          </m:rPr>
          <m:t>−</m:t>
        </m:r>
        <m:r>
          <m:t>p</m:t>
        </m:r>
        <m:r>
          <m:rPr>
            <m:sty m:val="p"/>
          </m:rPr>
          <m:t>)</m:t>
        </m:r>
        <m:r>
          <m:rPr>
            <m:sty m:val="p"/>
          </m:rPr>
          <m:t>⋅</m:t>
        </m:r>
        <m:sSub>
          <m:e>
            <m:r>
              <m:t>θ</m:t>
            </m:r>
          </m:e>
          <m:sub>
            <m:r>
              <m:t>L</m:t>
            </m:r>
          </m:sub>
        </m:sSub>
      </m:oMath>
      <w:r>
        <w:t xml:space="preserve">, onde</w:t>
      </w:r>
      <w:r>
        <w:t xml:space="preserve"> </w:t>
      </w:r>
      <m:oMath>
        <m:r>
          <m:t>p</m:t>
        </m:r>
      </m:oMath>
      <w:r>
        <w:t xml:space="preserve"> </w:t>
      </w:r>
      <w:r>
        <w:t xml:space="preserve">é a probabilidade prior de tipo H. Para que o pooling seja sustentável, é necessário que nenhum tipo desvie para outro nível de sinal. Isso requer crenças off-path suficientemente pessimistas: se o receptor acredita que qualquer desvio de</w:t>
      </w:r>
      <w:r>
        <w:t xml:space="preserve"> </w:t>
      </w:r>
      <m:oMath>
        <m:sSub>
          <m:e>
            <m:r>
              <m:t>e</m:t>
            </m:r>
          </m:e>
          <m:sub>
            <m:r>
              <m:t>P</m:t>
            </m:r>
          </m:sub>
        </m:sSub>
      </m:oMath>
      <w:r>
        <w:t xml:space="preserve"> </w:t>
      </w:r>
      <w:r>
        <w:t xml:space="preserve">provém do tipo L, o salário pós-desvio é</w:t>
      </w:r>
      <w:r>
        <w:t xml:space="preserve"> </w:t>
      </w:r>
      <m:oMath>
        <m:sSub>
          <m:e>
            <m:r>
              <m:t>θ</m:t>
            </m:r>
          </m:e>
          <m:sub>
            <m:r>
              <m:t>L</m:t>
            </m:r>
          </m:sub>
        </m:sSub>
      </m:oMath>
      <w:r>
        <w:t xml:space="preserve">, o que pode tornar o desvio não lucrativo para ambos os tipos.</w:t>
      </w:r>
    </w:p>
    <w:p>
      <w:pPr>
        <w:pStyle w:val="BodyText"/>
      </w:pPr>
      <w:r>
        <w:t xml:space="preserve">No exemplo acima, se</w:t>
      </w:r>
      <w:r>
        <w:t xml:space="preserve"> </w:t>
      </w:r>
      <m:oMath>
        <m:sSub>
          <m:e>
            <m:r>
              <m:t>θ</m:t>
            </m:r>
          </m:e>
          <m:sub>
            <m:r>
              <m:t>H</m:t>
            </m:r>
          </m:sub>
        </m:sSub>
        <m:r>
          <m:rPr>
            <m:sty m:val="p"/>
          </m:rPr>
          <m:t>=</m:t>
        </m:r>
        <m:r>
          <m:t>1</m:t>
        </m:r>
        <m:r>
          <m:rPr>
            <m:sty m:val="p"/>
          </m:rPr>
          <m:t>,</m:t>
        </m:r>
        <m:r>
          <m:t>2</m:t>
        </m:r>
      </m:oMath>
      <w:r>
        <w:t xml:space="preserve"> </w:t>
      </w:r>
      <w:r>
        <w:t xml:space="preserve">e</w:t>
      </w:r>
      <w:r>
        <w:t xml:space="preserve"> </w:t>
      </w:r>
      <m:oMath>
        <m:sSub>
          <m:e>
            <m:r>
              <m:t>θ</m:t>
            </m:r>
          </m:e>
          <m:sub>
            <m:r>
              <m:t>L</m:t>
            </m:r>
          </m:sub>
        </m:sSub>
        <m:r>
          <m:rPr>
            <m:sty m:val="p"/>
          </m:rPr>
          <m:t>=</m:t>
        </m:r>
        <m:r>
          <m:t>1</m:t>
        </m:r>
      </m:oMath>
      <w:r>
        <w:t xml:space="preserve"> </w:t>
      </w:r>
      <w:r>
        <w:t xml:space="preserve">(tipos muito próximos), a diferença de custo entre os tipos é pequena. As ICs se tornam incompatíveis num sentido prático: o nível de educação que dissuadiria o tipo L de imitar o tipo H exige um custo tão alto que o tipo H prefere não sinalizar. O resultado é um equilíbrio agregador em que ambos os tipos escolhem</w:t>
      </w:r>
      <w:r>
        <w:t xml:space="preserve"> </w:t>
      </w:r>
      <m:oMath>
        <m:r>
          <m:t>e</m:t>
        </m:r>
        <m:r>
          <m:rPr>
            <m:sty m:val="p"/>
          </m:rPr>
          <m:t>=</m:t>
        </m:r>
        <m:r>
          <m:t>0</m:t>
        </m:r>
      </m:oMath>
      <w:r>
        <w:t xml:space="preserve"> </w:t>
      </w:r>
      <w:r>
        <w:t xml:space="preserve">e recebem o salário da produtividade média — exatamente como no problema de informação oculta sem sinalização.</w:t>
      </w:r>
    </w:p>
    <w:p>
      <w:pPr>
        <w:pStyle w:val="BodyText"/>
      </w:pPr>
      <w:r>
        <w:t xml:space="preserve">A comparação entre os dois tipos de equilíbrio revela um trade-off fundamental: o equilíbrio separador é informacionalmente eficiente (revela os tipos) mas alocativamente ineficiente (o custo da sinalização é puro desperdício); o equilíbrio pooling é informacionalmente ineficiente (não revela tipos) mas pode ser alocativamente menos custoso (evita o gasto com sinalização). Qual equilíbrio prevalece depende da magnitude da diferença de produtividade entre os tipos, do custo da sinalização e das crenças fora do caminho de equilíbrio. Quando o Critério de Dominância Intuitiva elimina o pooling, o equilíbrio separador de menor custo é a previsão teórica selecionada — mas isso não significa que o equilíbrio separador seja socialmente ótimo.</w:t>
      </w:r>
    </w:p>
    <w:p>
      <w:pPr>
        <w:pStyle w:val="BodyText"/>
      </w:pPr>
      <w:r>
        <w:t xml:space="preserve">O modelo brasileiro oferece um exemplo instrutivo. O diploma universitário no Brasil tornou-se, nas últimas décadas, progressivamente mais difundido. Se no final dos anos 1980 apenas uma fração pequena dos trabalhadores tinha formação superior, hoje a proporção é consideravelmente maior. A teoria de Spence prevê que, com isso, o valor de sinalização do diploma genérico diminuiu: como mais pessoas o detêm, ele discrimina menos entre tipos. A resposta do mercado foi buscar sinais de maior resolução — pós-graduação, certificações técnicas, universidades de prestígio — num processo de corrida armamentista informacional que o modelo formaliza com precisão.</w:t>
      </w:r>
    </w:p>
    <w:p>
      <w:pPr>
        <w:pStyle w:val="BlockText"/>
      </w:pPr>
      <w:r>
        <w:rPr>
          <w:b/>
          <w:bCs/>
        </w:rPr>
        <w:t xml:space="preserve">[BOX BRASIL] Brasil na Prática — O diploma universitário no Brasil como sinal: dados da PNAD</w:t>
      </w:r>
    </w:p>
    <w:p>
      <w:pPr>
        <w:pStyle w:val="BlockText"/>
      </w:pPr>
      <w:r>
        <w:rPr>
          <w:b/>
          <w:bCs/>
        </w:rPr>
        <w:t xml:space="preserve">Contexto.</w:t>
      </w:r>
      <w:r>
        <w:t xml:space="preserve"> </w:t>
      </w:r>
      <w:r>
        <w:t xml:space="preserve">O Brasil tem um dos maiores prêmios salariais para educação superior do mundo: em 2023, trabalhadores com diploma de graduação ganhavam em média 2,5× mais que trabalhadores com ensino médio completo — um prêmio de ~150% (PNAD Contínua/IBGE, 2023). Nos EUA, o prêmio equivalente é ~65%; na OCDE, ~45%.</w:t>
      </w:r>
    </w:p>
    <w:p>
      <w:pPr>
        <w:pStyle w:val="BlockText"/>
      </w:pPr>
      <w:r>
        <w:rPr>
          <w:b/>
          <w:bCs/>
        </w:rPr>
        <w:t xml:space="preserve">Sinalização ou capital humano?</w:t>
      </w:r>
      <w:r>
        <w:t xml:space="preserve"> </w:t>
      </w:r>
      <w:r>
        <w:t xml:space="preserve">O prêmio elevado é consistente com</w:t>
      </w:r>
      <w:r>
        <w:t xml:space="preserve"> </w:t>
      </w:r>
      <w:r>
        <w:rPr>
          <w:i/>
          <w:iCs/>
        </w:rPr>
        <w:t xml:space="preserve">ambas</w:t>
      </w:r>
      <w:r>
        <w:t xml:space="preserve"> </w:t>
      </w:r>
      <w:r>
        <w:t xml:space="preserve">as teorias. Se sinalização: alta assimetria de informação no mercado de trabalho brasileiro (poucas referências profissionais, baixa qualidade de informação sobre candidatos) torna o diploma um sinal valioso. Se capital humano: a escassez de trabalhadores qualificados (apenas ~21% dos adultos têm diploma superior, vs. ~50% na OCDE) eleva o retorno marginal da educação.</w:t>
      </w:r>
    </w:p>
    <w:p>
      <w:pPr>
        <w:pStyle w:val="BlockText"/>
      </w:pPr>
      <w:r>
        <w:rPr>
          <w:b/>
          <w:bCs/>
        </w:rPr>
        <w:t xml:space="preserve">Evidência discriminante.</w:t>
      </w:r>
      <w:r>
        <w:t xml:space="preserve"> </w:t>
      </w:r>
      <w:r>
        <w:t xml:space="preserve">A expansão das universidades privadas pós-2005 (FIES/PROUNI) aumentou o número de graduados de ~3 milhões para ~9 milhões de matriculados (2023). Se o diploma fosse</w:t>
      </w:r>
      <w:r>
        <w:t xml:space="preserve"> </w:t>
      </w:r>
      <w:r>
        <w:rPr>
          <w:i/>
          <w:iCs/>
        </w:rPr>
        <w:t xml:space="preserve">apenas</w:t>
      </w:r>
      <w:r>
        <w:t xml:space="preserve"> </w:t>
      </w:r>
      <w:r>
        <w:t xml:space="preserve">sinal, o prêmio deveria ter caído proporcionalmente (inflação de diplomas). A queda foi modesta (~10–15 p.p.), sugerindo que parte significativa do retorno é capital humano genuíno — mas a compressão nos retornos de diplomas de instituições de menor prestígio é consistente com a teoria de sinalização.</w:t>
      </w:r>
    </w:p>
    <w:p>
      <w:pPr>
        <w:pStyle w:val="BlockText"/>
      </w:pPr>
      <w:r>
        <w:rPr>
          <w:b/>
          <w:bCs/>
        </w:rPr>
        <w:t xml:space="preserve">Fonte:</w:t>
      </w:r>
      <w:r>
        <w:t xml:space="preserve"> </w:t>
      </w:r>
      <w:r>
        <w:t xml:space="preserve">IBGE, PNAD Contínua 2023; Barbosa Filho e Pessôa (2008),</w:t>
      </w:r>
      <w:r>
        <w:t xml:space="preserve"> </w:t>
      </w:r>
      <w:r>
        <w:t xml:space="preserve">“Retorno da educação no Brasil”</w:t>
      </w:r>
      <w:r>
        <w:t xml:space="preserve">,</w:t>
      </w:r>
      <w:r>
        <w:t xml:space="preserve"> </w:t>
      </w:r>
      <w:r>
        <w:rPr>
          <w:i/>
          <w:iCs/>
        </w:rPr>
        <w:t xml:space="preserve">Pesquisa e Planejamento Econômico</w:t>
      </w:r>
      <w:r>
        <w:t xml:space="preserve">, 38(1), 97–125.</w:t>
      </w:r>
    </w:p>
    <w:p>
      <w:pPr>
        <w:pStyle w:val="BlockText"/>
      </w:pPr>
      <w:r>
        <w:rPr>
          <w:b/>
          <w:bCs/>
        </w:rPr>
        <w:t xml:space="preserve">[BOX BRASIL] Brasil na Prática — Enem/Sisu como mecanismo de screening</w:t>
      </w:r>
    </w:p>
    <w:p>
      <w:pPr>
        <w:pStyle w:val="BlockText"/>
      </w:pPr>
      <w:r>
        <w:rPr>
          <w:b/>
          <w:bCs/>
        </w:rPr>
        <w:t xml:space="preserve">Contexto.</w:t>
      </w:r>
      <w:r>
        <w:t xml:space="preserve"> </w:t>
      </w:r>
      <w:r>
        <w:t xml:space="preserve">O Sistema de Seleção Unificada (Sisu), criado em 2010, usa a nota do Enem como critério de entrada em universidades federais. O sistema é um mecanismo de</w:t>
      </w:r>
      <w:r>
        <w:t xml:space="preserve"> </w:t>
      </w:r>
      <w:r>
        <w:rPr>
          <w:b/>
          <w:bCs/>
        </w:rPr>
        <w:t xml:space="preserve">screening</w:t>
      </w:r>
      <w:r>
        <w:t xml:space="preserve"> </w:t>
      </w:r>
      <w:r>
        <w:t xml:space="preserve">(Capítulo 19): a universidade (parte desinformada) usa a nota do Enem como filtro para selecionar alunos de maior habilidade (parte informada).</w:t>
      </w:r>
    </w:p>
    <w:p>
      <w:pPr>
        <w:pStyle w:val="BlockText"/>
      </w:pPr>
      <w:r>
        <w:rPr>
          <w:b/>
          <w:bCs/>
        </w:rPr>
        <w:t xml:space="preserve">Conexão com a teoria.</w:t>
      </w:r>
      <w:r>
        <w:t xml:space="preserve"> </w:t>
      </w:r>
      <w:r>
        <w:t xml:space="preserve">No modelo de Rothschild-Stiglitz, o principal (universidade) oferece um</w:t>
      </w:r>
      <w:r>
        <w:t xml:space="preserve"> </w:t>
      </w:r>
      <w:r>
        <w:t xml:space="preserve">“menu de contratos”</w:t>
      </w:r>
      <w:r>
        <w:t xml:space="preserve"> </w:t>
      </w:r>
      <w:r>
        <w:t xml:space="preserve">(cursos com notas de corte diferentes) e o agente (aluno) se autoseleciona. Cursos mais concorridos (Medicina, Engenharia em federais de elite) funcionam como contratos com</w:t>
      </w:r>
      <w:r>
        <w:t xml:space="preserve"> </w:t>
      </w:r>
      <w:r>
        <w:t xml:space="preserve">“prêmio alto e exigência alta”</w:t>
      </w:r>
      <w:r>
        <w:t xml:space="preserve"> </w:t>
      </w:r>
      <w:r>
        <w:t xml:space="preserve">— atraindo alunos de tipo alto. Cursos com nota de corte baixa funcionam como contratos com</w:t>
      </w:r>
      <w:r>
        <w:t xml:space="preserve"> </w:t>
      </w:r>
      <w:r>
        <w:t xml:space="preserve">“prêmio modesto”</w:t>
      </w:r>
      <w:r>
        <w:t xml:space="preserve"> </w:t>
      </w:r>
      <w:r>
        <w:t xml:space="preserve">— atraindo tipos menos competitivos. A condição de single-crossing é satisfeita: alunos mais habilidosos têm custo menor de obter nota alta no Enem.</w:t>
      </w:r>
    </w:p>
    <w:p>
      <w:pPr>
        <w:pStyle w:val="BlockText"/>
      </w:pPr>
      <w:r>
        <w:rPr>
          <w:b/>
          <w:bCs/>
        </w:rPr>
        <w:t xml:space="preserve">Dados.</w:t>
      </w:r>
      <w:r>
        <w:t xml:space="preserve"> </w:t>
      </w:r>
      <w:r>
        <w:t xml:space="preserve">Em 2024, a nota de corte para Medicina na USP/Sisu foi ~820/1000; para Pedagogia na mesma universidade, ~620. A diferença de 200 pontos funciona como a</w:t>
      </w:r>
      <w:r>
        <w:t xml:space="preserve"> </w:t>
      </w:r>
      <w:r>
        <w:t xml:space="preserve">“educação custosa”</w:t>
      </w:r>
      <w:r>
        <w:t xml:space="preserve"> </w:t>
      </w:r>
      <w:r>
        <w:t xml:space="preserve">do modelo de Spence: só quem é genuinamente preparado consegue ultrapassar o limiar. O Sisu resolveu um problema de coordenação do vestibular tradicional (alunos tinham que</w:t>
      </w:r>
      <w:r>
        <w:t xml:space="preserve"> </w:t>
      </w:r>
      <w:r>
        <w:t xml:space="preserve">“apostar”</w:t>
      </w:r>
      <w:r>
        <w:t xml:space="preserve"> </w:t>
      </w:r>
      <w:r>
        <w:t xml:space="preserve">em uma única universidade), mas criou novos problemas — como a migração de alunos de alta nota para vagas em universidades distantes, gerando evasão.</w:t>
      </w:r>
    </w:p>
    <w:p>
      <w:pPr>
        <w:pStyle w:val="BlockText"/>
      </w:pPr>
      <w:r>
        <w:rPr>
          <w:b/>
          <w:bCs/>
        </w:rPr>
        <w:t xml:space="preserve">Fonte:</w:t>
      </w:r>
      <w:r>
        <w:t xml:space="preserve"> </w:t>
      </w:r>
      <w:r>
        <w:t xml:space="preserve">MEC/INEP,</w:t>
      </w:r>
      <w:r>
        <w:t xml:space="preserve"> </w:t>
      </w:r>
      <w:r>
        <w:rPr>
          <w:i/>
          <w:iCs/>
        </w:rPr>
        <w:t xml:space="preserve">Relatório do Sisu</w:t>
      </w:r>
      <w:r>
        <w:t xml:space="preserve">, 2024.</w:t>
      </w:r>
    </w:p>
    <w:p>
      <w:pPr>
        <w:pStyle w:val="BlockText"/>
      </w:pPr>
      <w:r>
        <w:rPr>
          <w:b/>
          <w:bCs/>
        </w:rPr>
        <w:t xml:space="preserve">[DICA] Sinalização vs. Capital Humano</w:t>
      </w:r>
    </w:p>
    <w:p>
      <w:pPr>
        <w:pStyle w:val="BlockText"/>
      </w:pPr>
      <w:r>
        <w:t xml:space="preserve">Na realidade, a educação provavelmente combina sinalização e capital humano: parte do retorno é habilidades genuinamente adquiridas, e parte é sinalização. Separar empiricamente os dois canais é um dos desafios metodológicos centrais da economia da educação — tema que o Box Mundo 9d.1, a seguir, explora em profundidade.</w:t>
      </w:r>
    </w:p>
    <w:p>
      <w:pPr>
        <w:pStyle w:val="BlockText"/>
      </w:pPr>
      <w:r>
        <w:rPr>
          <w:b/>
          <w:bCs/>
        </w:rPr>
        <w:t xml:space="preserve">[BOX MUNDO] Box Mundo 9d.1 — Retornos à educação como sinalização: Caplan, inflação de diplomas e evidência internacional</w:t>
      </w:r>
    </w:p>
    <w:p>
      <w:pPr>
        <w:pStyle w:val="BlockText"/>
      </w:pPr>
      <w:r>
        <w:rPr>
          <w:b/>
          <w:bCs/>
        </w:rPr>
        <w:t xml:space="preserve">Contexto:</w:t>
      </w:r>
      <w:r>
        <w:t xml:space="preserve"> </w:t>
      </w:r>
      <w:r>
        <w:t xml:space="preserve">A questão central levantada pelo modelo de Spence — a educação aumenta a produtividade ou apenas sinaliza habilidade preexistente? — permanece um dos debates mais vivos da economia aplicada. Bryan Caplan, economista da George Mason University, levou o argumento da sinalização ao seu limite no livro</w:t>
      </w:r>
      <w:r>
        <w:t xml:space="preserve"> </w:t>
      </w:r>
      <w:r>
        <w:rPr>
          <w:i/>
          <w:iCs/>
        </w:rPr>
        <w:t xml:space="preserve">The Case Against Education</w:t>
      </w:r>
      <w:r>
        <w:t xml:space="preserve"> </w:t>
      </w:r>
      <w:r>
        <w:t xml:space="preserve">(2018), defendendo que a maior parte do retorno privado à educação (estimado em 80% por Caplan) provém de sinalização, não de capital humano genuíno. Se Caplan estiver correto, o investimento público massivo em educação superior seria largamente um desperdício social: uma corrida armamentista informacional em que cada indivíduo investe em credenciais para se diferenciar, mas o efeito agregado é nulo quando todos investem igualmente — exatamente o equilíbrio pooling ineficiente previsto pelo modelo de Spence quando a sinalização se generaliza.</w:t>
      </w:r>
    </w:p>
    <w:p>
      <w:pPr>
        <w:pStyle w:val="BlockText"/>
      </w:pPr>
      <w:r>
        <w:t xml:space="preserve">O fenômeno da</w:t>
      </w:r>
      <w:r>
        <w:t xml:space="preserve"> </w:t>
      </w:r>
      <w:r>
        <w:rPr>
          <w:i/>
          <w:iCs/>
        </w:rPr>
        <w:t xml:space="preserve">inflação de diplomas</w:t>
      </w:r>
      <w:r>
        <w:t xml:space="preserve"> </w:t>
      </w:r>
      <w:r>
        <w:t xml:space="preserve">(</w:t>
      </w:r>
      <w:r>
        <w:rPr>
          <w:i/>
          <w:iCs/>
        </w:rPr>
        <w:t xml:space="preserve">credential inflation</w:t>
      </w:r>
      <w:r>
        <w:t xml:space="preserve">) é global e particularmente agudo na Ásia Oriental. No Japão, a proporção de jovens com educação superior passou de 15% em 1970 para mais de 60% em 2020, mas os retornos salariais do diploma universitário genérico comprimiram-se significativamente — enquanto os retornos de universidades de elite (Todai, Kyoto, Waseda) permaneceram elevados, consistente com a teoria de sinalização em que o</w:t>
      </w:r>
      <w:r>
        <w:t xml:space="preserve"> </w:t>
      </w:r>
      <w:r>
        <w:rPr>
          <w:i/>
          <w:iCs/>
        </w:rPr>
        <w:t xml:space="preserve">ranking</w:t>
      </w:r>
      <w:r>
        <w:t xml:space="preserve"> </w:t>
      </w:r>
      <w:r>
        <w:t xml:space="preserve">da instituição funciona como sinal de resolução superior. Na Coreia do Sul, o fenômeno é ainda mais extremo: mais de 70% dos jovens adultos possuem diploma universitário (a maior taxa da OCDE), e o país gasta aproximadamente US$ 20 bilhões por ano em</w:t>
      </w:r>
      <w:r>
        <w:t xml:space="preserve"> </w:t>
      </w:r>
      <w:r>
        <w:rPr>
          <w:i/>
          <w:iCs/>
        </w:rPr>
        <w:t xml:space="preserve">hagwons</w:t>
      </w:r>
      <w:r>
        <w:t xml:space="preserve"> </w:t>
      </w:r>
      <w:r>
        <w:t xml:space="preserve">(academias privadas preparatórias), numa corrida armamentista educacional que reproduz, em escala nacional, a dinâmica do modelo de Spence com inflação de sinais. Nos Estados Unidos, a exigência de diploma de bacharelado para empregos que anteriormente não o requeriam — um fenômeno documentado como</w:t>
      </w:r>
      <w:r>
        <w:t xml:space="preserve"> </w:t>
      </w:r>
      <w:r>
        <w:rPr>
          <w:i/>
          <w:iCs/>
        </w:rPr>
        <w:t xml:space="preserve">degree inflation</w:t>
      </w:r>
      <w:r>
        <w:t xml:space="preserve"> </w:t>
      </w:r>
      <w:r>
        <w:t xml:space="preserve">por Burning Glass Technologies (2017) — reduziu o valor informacional do diploma genérico enquanto elevou os retornos relativos de credenciais especializadas (mestrado, certificações técnicas, bootcamps de programação).</w:t>
      </w:r>
    </w:p>
    <w:p>
      <w:pPr>
        <w:pStyle w:val="BlockText"/>
      </w:pPr>
      <w:r>
        <w:rPr>
          <w:b/>
          <w:bCs/>
        </w:rPr>
        <w:t xml:space="preserve">Dados:</w:t>
      </w:r>
      <w:r>
        <w:t xml:space="preserve"> </w:t>
      </w:r>
      <w:r>
        <w:t xml:space="preserve">Caplan (2018) cita três tipos de evidência a favor da sinalização: (i) o</w:t>
      </w:r>
      <w:r>
        <w:t xml:space="preserve"> </w:t>
      </w:r>
      <w:r>
        <w:rPr>
          <w:i/>
          <w:iCs/>
        </w:rPr>
        <w:t xml:space="preserve">sheepskin effect</w:t>
      </w:r>
      <w:r>
        <w:t xml:space="preserve"> </w:t>
      </w:r>
      <w:r>
        <w:t xml:space="preserve">— saltos discretos de salário associados à conclusão do diploma, não ao acúmulo gradual de anos de estudo, inconsistente com o modelo de capital humano em que cada ano adicional deveria aumentar a produtividade marginalmente; (ii) a irrelevância do conteúdo curricular — trabalhadores raramente usam no emprego o que aprenderam na faculdade, sugerindo que o diploma atesta capacidade genérica, não habilidade específica; (iii) o efeito nulo sobre produtividade em estudos quasi-experimentais que exploram variação exógena no acesso à educação.</w:t>
      </w:r>
    </w:p>
    <w:p>
      <w:pPr>
        <w:pStyle w:val="BlockText"/>
      </w:pPr>
      <w:r>
        <w:t xml:space="preserve">Clark e Martorell (2014), usando dados do Texas, exploraram a descontinuidade no limiar de aprovação do exame de conclusão do ensino médio e encontraram retornos à conclusão do diploma de ~8%, atribuíveis inteiramente ao efeito sheepskin (sinalização), sem evidência de aumento de produtividade. Lange e Topel (2006) estimaram que entre 30% e 50% do retorno à educação nos EUA é atribuível a sinalização. Hanushek e Woessmann (2012), usando dados do PISA e PIAAC para 23 países, mostraram que habilidades cognitivas efetivamente mensuradas — não anos de escolaridade — explicam diferenças de renda entre países, sugerindo que o canal de capital humano opera via competências adquiridas, não via credenciais formais.</w:t>
      </w:r>
    </w:p>
    <w:p>
      <w:pPr>
        <w:pStyle w:val="BlockText"/>
      </w:pPr>
      <w:r>
        <w:t xml:space="preserve">No Brasil, Barbosa Filho e Pessôa (2008) estimaram retornos à educação de 10–15% por ano adicional de escolaridade, entre os mais altos do mundo — consistente tanto com capital humano (baixa oferta de trabalhadores qualificados eleva o prêmio) quanto com sinalização (em mercados com alta assimetria informacional, sinais formais são mais valiosos). A expansão do ensino superior brasileiro — de 3 milhões de matrículas em 2000 para mais de 9 milhões em 2023 — começou a comprimir os retornos do diploma genérico, enquanto os retornos de universidades federais de elite e de pós-graduação permaneceram elevados.</w:t>
      </w:r>
    </w:p>
    <w:p>
      <w:pPr>
        <w:pStyle w:val="BlockText"/>
      </w:pPr>
      <w:r>
        <w:rPr>
          <w:b/>
          <w:bCs/>
        </w:rPr>
        <w:t xml:space="preserve">Análise:</w:t>
      </w:r>
      <w:r>
        <w:t xml:space="preserve"> </w:t>
      </w:r>
      <w:r>
        <w:t xml:space="preserve">O debate Caplan-Becker é, na essência, uma questão empírica sobre a decomposição do retorno à educação entre sinalização e capital humano — e a resposta depende do contexto. Em mercados com alta assimetria informacional (mercado de trabalho brasileiro, onde o empregador conhece pouco o candidato), a sinalização tende a ser mais importante. Em mercados com melhor informação (profissões com exames de certificação, como medicina e advocacia), o capital humano adquirido tem peso maior. A condição de single-crossing (equação Eq. (eq:9d.1)) é satisfeita em ambos os casos — o custo de obter o diploma é menor para quem tem mais habilidade —, mas a implicação de política difere radicalmente: se a educação é principalmente sinalização, subsidiar universidades é transferir renda para a classe média sem ganho social líquido; se é principalmente capital humano, o subsídio é investimento com retorno social positivo. A evidência empírica sugere que ambos os canais coexistem, com proporções que variam por nível educacional (sinalização mais forte no diploma de bacharelado genérico; capital humano mais forte em formação técnica e profissional), por país (sinalização mais forte onde o mercado de trabalho é mais opaco) e por período histórico (sinalização cresce à medida que a inflação de diplomas reduz o conteúdo informacional das credenciais).</w:t>
      </w:r>
    </w:p>
    <w:p>
      <w:pPr>
        <w:pStyle w:val="BlockText"/>
      </w:pPr>
      <w:r>
        <w:rPr>
          <w:b/>
          <w:bCs/>
        </w:rPr>
        <w:t xml:space="preserve">Fonte:</w:t>
      </w:r>
      <w:r>
        <w:t xml:space="preserve"> </w:t>
      </w:r>
      <w:r>
        <w:t xml:space="preserve">Caplan, Bryan (2018).</w:t>
      </w:r>
      <w:r>
        <w:t xml:space="preserve"> </w:t>
      </w:r>
      <w:r>
        <w:rPr>
          <w:i/>
          <w:iCs/>
        </w:rPr>
        <w:t xml:space="preserve">The Case Against Education: Why the Education System Is a Waste of Time and Money</w:t>
      </w:r>
      <w:r>
        <w:t xml:space="preserve">. Princeton University Press. Clark, Damon e Martorell, Paco (2014).</w:t>
      </w:r>
      <w:r>
        <w:t xml:space="preserve"> </w:t>
      </w:r>
      <w:r>
        <w:t xml:space="preserve">“The Signaling Value of a High School Diploma.”</w:t>
      </w:r>
      <w:r>
        <w:t xml:space="preserve"> </w:t>
      </w:r>
      <w:r>
        <w:rPr>
          <w:i/>
          <w:iCs/>
        </w:rPr>
        <w:t xml:space="preserve">Journal of Political Economy</w:t>
      </w:r>
      <w:r>
        <w:t xml:space="preserve">, 122(2), 282–318. Hanushek, Eric A. e Woessmann, Ludger (2012).</w:t>
      </w:r>
      <w:r>
        <w:t xml:space="preserve"> </w:t>
      </w:r>
      <w:r>
        <w:t xml:space="preserve">“Do Better Schools Lead to More Growth? Cognitive Skills, Economic Outcomes, and Causation.”</w:t>
      </w:r>
      <w:r>
        <w:t xml:space="preserve"> </w:t>
      </w:r>
      <w:r>
        <w:rPr>
          <w:i/>
          <w:iCs/>
        </w:rPr>
        <w:t xml:space="preserve">Journal of Economic Growth</w:t>
      </w:r>
      <w:r>
        <w:t xml:space="preserve">, 17(4), 267–321.</w:t>
      </w:r>
    </w:p>
    <w:bookmarkEnd w:id="608"/>
    <w:bookmarkEnd w:id="609"/>
    <w:bookmarkEnd w:id="610"/>
    <w:bookmarkStart w:id="612" w:name="X9320e053a3ca57d8e2e1fa5114a783a71aeb150"/>
    <w:p>
      <w:pPr>
        <w:pStyle w:val="Heading2"/>
      </w:pPr>
      <w:r>
        <w:t xml:space="preserve">Crenças Que Fazem Sentido: Equilíbrio Bayesiano Perfeito</w:t>
      </w:r>
    </w:p>
    <w:bookmarkStart w:id="611" w:name="Xe12607605d7d85119f26d24080264b288e328ea"/>
    <w:p>
      <w:pPr>
        <w:pStyle w:val="Heading3"/>
      </w:pPr>
      <w:r>
        <w:t xml:space="preserve">9d.1 Crenças Que Fazem Sentido: Equilíbrio Bayesiano Perfeito</w:t>
      </w:r>
    </w:p>
    <w:p>
      <w:pPr>
        <w:pStyle w:val="FirstParagraph"/>
      </w:pPr>
      <w:r>
        <w:t xml:space="preserve">Precisamos de um conceito de equilíbrio que faça duas coisas ao mesmo tempo: exigir que cada jogador aja racionalmente</w:t>
      </w:r>
      <w:r>
        <w:t xml:space="preserve"> </w:t>
      </w:r>
      <w:r>
        <w:rPr>
          <w:i/>
          <w:iCs/>
        </w:rPr>
        <w:t xml:space="preserve">em cada ponto do jogo</w:t>
      </w:r>
      <w:r>
        <w:t xml:space="preserve"> </w:t>
      </w:r>
      <w:r>
        <w:t xml:space="preserve">(herança do EPS, Seção 9b.1) e que as crenças sejam atualizadas de forma consistente quando nova informação chega (herança do BNE, Seção 9c.2). O</w:t>
      </w:r>
      <w:r>
        <w:t xml:space="preserve"> </w:t>
      </w:r>
      <w:r>
        <w:rPr>
          <w:b/>
          <w:bCs/>
        </w:rPr>
        <w:t xml:space="preserve">Equilíbrio Bayesiano Perfeito</w:t>
      </w:r>
      <w:r>
        <w:t xml:space="preserve"> </w:t>
      </w:r>
      <w:r>
        <w:t xml:space="preserve">é esse casamento: EPS + Bayes.</w:t>
      </w:r>
    </w:p>
    <w:p>
      <w:pPr>
        <w:pStyle w:val="BlockText"/>
      </w:pPr>
      <w:r>
        <w:rPr>
          <w:b/>
          <w:bCs/>
        </w:rPr>
        <w:t xml:space="preserve">[DEFINICAO] Equilíbrio Bayesiano Perfeito</w:t>
      </w:r>
    </w:p>
    <w:p>
      <w:pPr>
        <w:pStyle w:val="BlockText"/>
      </w:pPr>
      <w:r>
        <w:t xml:space="preserve">Um PBE consiste em:</w:t>
      </w:r>
    </w:p>
    <w:p>
      <w:pPr>
        <w:pStyle w:val="Compact"/>
        <w:numPr>
          <w:ilvl w:val="0"/>
          <w:numId w:val="1581"/>
        </w:numPr>
      </w:pPr>
      <w:r>
        <w:rPr>
          <w:b/>
          <w:bCs/>
        </w:rPr>
        <w:t xml:space="preserve">Estratégias</w:t>
      </w:r>
      <w:r>
        <w:t xml:space="preserve"> </w:t>
      </w:r>
      <m:oMath>
        <m:sSup>
          <m:e>
            <m:r>
              <m:t>σ</m:t>
            </m:r>
          </m:e>
          <m:sup>
            <m:r>
              <m:rPr>
                <m:sty m:val="p"/>
              </m:rPr>
              <m:t>*</m:t>
            </m:r>
          </m:sup>
        </m:sSup>
      </m:oMath>
      <w:r>
        <w:t xml:space="preserve"> </w:t>
      </w:r>
      <w:r>
        <w:t xml:space="preserve">para cada jogador em cada conjunto de informação.</w:t>
      </w:r>
    </w:p>
    <w:p>
      <w:pPr>
        <w:pStyle w:val="Compact"/>
        <w:numPr>
          <w:ilvl w:val="0"/>
          <w:numId w:val="1581"/>
        </w:numPr>
      </w:pPr>
      <w:r>
        <w:rPr>
          <w:b/>
          <w:bCs/>
        </w:rPr>
        <w:t xml:space="preserve">Crenças</w:t>
      </w:r>
      <w:r>
        <w:t xml:space="preserve"> </w:t>
      </w:r>
      <m:oMath>
        <m:r>
          <m:t>μ</m:t>
        </m:r>
      </m:oMath>
      <w:r>
        <w:t xml:space="preserve"> </w:t>
      </w:r>
      <w:r>
        <w:t xml:space="preserve">(distribuição sobre os nós em cada conjunto de informação).</w:t>
      </w:r>
    </w:p>
    <w:p>
      <w:pPr>
        <w:pStyle w:val="BlockText"/>
      </w:pPr>
      <w:r>
        <w:t xml:space="preserve">satisfazendo:</w:t>
      </w:r>
    </w:p>
    <w:p>
      <w:pPr>
        <w:pStyle w:val="Compact"/>
        <w:numPr>
          <w:ilvl w:val="0"/>
          <w:numId w:val="1582"/>
        </w:numPr>
      </w:pPr>
      <w:r>
        <w:rPr>
          <w:b/>
          <w:bCs/>
        </w:rPr>
        <w:t xml:space="preserve">Otimalidade sequencial:</w:t>
      </w:r>
      <w:r>
        <w:t xml:space="preserve"> </w:t>
      </w:r>
      <w:r>
        <w:t xml:space="preserve">Dado</w:t>
      </w:r>
      <w:r>
        <w:t xml:space="preserve"> </w:t>
      </w:r>
      <m:oMath>
        <m:r>
          <m:t>μ</m:t>
        </m:r>
      </m:oMath>
      <w:r>
        <w:t xml:space="preserve">, cada jogador maximiza seu payoff esperado em cada conjunto de informação.</w:t>
      </w:r>
    </w:p>
    <w:p>
      <w:pPr>
        <w:pStyle w:val="Compact"/>
        <w:numPr>
          <w:ilvl w:val="0"/>
          <w:numId w:val="1582"/>
        </w:numPr>
      </w:pPr>
      <w:r>
        <w:rPr>
          <w:b/>
          <w:bCs/>
        </w:rPr>
        <w:t xml:space="preserve">Consistência bayesiana:</w:t>
      </w:r>
      <w:r>
        <w:t xml:space="preserve"> </w:t>
      </w:r>
      <w:r>
        <w:t xml:space="preserve">Onde possível,</w:t>
      </w:r>
      <w:r>
        <w:t xml:space="preserve"> </w:t>
      </w:r>
      <m:oMath>
        <m:r>
          <m:t>μ</m:t>
        </m:r>
      </m:oMath>
      <w:r>
        <w:t xml:space="preserve"> </w:t>
      </w:r>
      <w:r>
        <w:t xml:space="preserve">é derivada das estratégias de equilíbrio</w:t>
      </w:r>
      <w:r>
        <w:t xml:space="preserve"> </w:t>
      </w:r>
      <m:oMath>
        <m:sSup>
          <m:e>
            <m:r>
              <m:t>σ</m:t>
            </m:r>
          </m:e>
          <m:sup>
            <m:r>
              <m:rPr>
                <m:sty m:val="p"/>
              </m:rPr>
              <m:t>*</m:t>
            </m:r>
          </m:sup>
        </m:sSup>
      </m:oMath>
      <w:r>
        <w:t xml:space="preserve"> </w:t>
      </w:r>
      <w:r>
        <w:t xml:space="preserve">pela regra de Bayes.</w:t>
      </w:r>
    </w:p>
    <w:p>
      <w:pPr>
        <w:pStyle w:val="FirstParagraph"/>
      </w:pPr>
      <w:r>
        <w:t xml:space="preserve">O PBE refina o BNE ao exigir que as crenças sejam consistentes com as estratégias</w:t>
      </w:r>
      <w:r>
        <w:t xml:space="preserve"> </w:t>
      </w:r>
      <w:r>
        <w:rPr>
          <w:i/>
          <w:iCs/>
        </w:rPr>
        <w:t xml:space="preserve">em cada ponto do jogo</w:t>
      </w:r>
      <w:r>
        <w:t xml:space="preserve">, não apenas no início. Isso elimina equilíbrios sustentados por crenças arbitrárias em conjuntos de informação fora do caminho de equilíbrio. Em termos econômicos, a exigência força o analista a especificar</w:t>
      </w:r>
      <w:r>
        <w:t xml:space="preserve"> </w:t>
      </w:r>
      <w:r>
        <w:rPr>
          <w:i/>
          <w:iCs/>
        </w:rPr>
        <w:t xml:space="preserve">o que o receptor acreditaria</w:t>
      </w:r>
      <w:r>
        <w:t xml:space="preserve"> </w:t>
      </w:r>
      <w:r>
        <w:t xml:space="preserve">caso observasse um sinal inesperado, distinguindo equilíbrios robustos daqueles sustentados por suposições arbitrárias.</w:t>
      </w:r>
    </w:p>
    <w:p>
      <w:pPr>
        <w:pStyle w:val="BodyText"/>
      </w:pPr>
      <w:r>
        <w:t xml:space="preserve">A consistência bayesiana das crenças é, ao mesmo tempo, a virtude e a limitação do PBE. A virtude é que ela disciplina o comportamento fora do caminho de equilíbrio: o analista não pode simplesmente</w:t>
      </w:r>
      <w:r>
        <w:t xml:space="preserve"> </w:t>
      </w:r>
      <w:r>
        <w:t xml:space="preserve">“atribuir”</w:t>
      </w:r>
      <w:r>
        <w:t xml:space="preserve"> </w:t>
      </w:r>
      <w:r>
        <w:t xml:space="preserve">crenças convenientes para sustentar um equilíbrio. A limitação é que, fora do caminho de equilíbrio, a regra de Bayes não se aplica diretamente (o evento observado tem probabilidade zero sob as estratégias de equilíbrio), abrindo espaço para múltiplos equilíbrios. Refinamentos como o Critério de Dominância Intuitiva de Cho e Kreps (1987) foram desenvolvidos exatamente para reduzir essa multiplicidade, eliminando equilíbrios sustentados por crenças</w:t>
      </w:r>
      <w:r>
        <w:t xml:space="preserve"> </w:t>
      </w:r>
      <w:r>
        <w:t xml:space="preserve">“implausíveis”</w:t>
      </w:r>
      <w:r>
        <w:t xml:space="preserve"> </w:t>
      </w:r>
      <w:r>
        <w:t xml:space="preserve">fora do caminho.</w:t>
      </w:r>
    </w:p>
    <w:bookmarkEnd w:id="611"/>
    <w:bookmarkEnd w:id="612"/>
    <w:bookmarkStart w:id="616" w:name="Xf2bd1c6222e19ea450647a2a4d3aa5d6d471f6e"/>
    <w:p>
      <w:pPr>
        <w:pStyle w:val="Heading2"/>
      </w:pPr>
      <w:r>
        <w:t xml:space="preserve">Quando o Seguro Incentiva o Descuido: Moral Hazard</w:t>
      </w:r>
    </w:p>
    <w:bookmarkStart w:id="615" w:name="Xb45182a7ec49dc3fa436f2bfdae31b332e50760"/>
    <w:p>
      <w:pPr>
        <w:pStyle w:val="Heading3"/>
      </w:pPr>
      <w:r>
        <w:t xml:space="preserve">9d.4 Quando o Seguro Incentiva o Descuido:</w:t>
      </w:r>
      <w:r>
        <w:t xml:space="preserve"> </w:t>
      </w:r>
      <w:r>
        <w:rPr>
          <w:i/>
          <w:iCs/>
        </w:rPr>
        <w:t xml:space="preserve">Moral Hazard</w:t>
      </w:r>
    </w:p>
    <w:p>
      <w:pPr>
        <w:pStyle w:val="BlockText"/>
      </w:pPr>
      <w:r>
        <w:rPr>
          <w:b/>
          <w:bCs/>
        </w:rPr>
        <w:t xml:space="preserve">[DICA] Como este capítulo se relaciona com o Capítulo 19</w:t>
      </w:r>
    </w:p>
    <w:p>
      <w:pPr>
        <w:pStyle w:val="BlockText"/>
      </w:pPr>
      <w:r>
        <w:t xml:space="preserve">Os Capítulos 9d e 19 tratam dos mesmos fenômenos — moral hazard, seleção adversa, sinalização — mas com ênfases complementares.</w:t>
      </w:r>
      <w:r>
        <w:t xml:space="preserve"> </w:t>
      </w:r>
      <w:r>
        <w:rPr>
          <w:b/>
          <w:bCs/>
        </w:rPr>
        <w:t xml:space="preserve">Aqui (9d)</w:t>
      </w:r>
      <w:r>
        <w:t xml:space="preserve">, o foco é a</w:t>
      </w:r>
      <w:r>
        <w:t xml:space="preserve"> </w:t>
      </w:r>
      <w:r>
        <w:rPr>
          <w:b/>
          <w:bCs/>
        </w:rPr>
        <w:t xml:space="preserve">teoria dos jogos</w:t>
      </w:r>
      <w:r>
        <w:t xml:space="preserve">: definimos o PBE, formalizamos jogos de sinalização, derivamos equilíbrios separadores e agregadores, e discutimos refinamentos (Cho-Kreps).</w:t>
      </w:r>
      <w:r>
        <w:t xml:space="preserve"> </w:t>
      </w:r>
      <w:r>
        <w:rPr>
          <w:b/>
          <w:bCs/>
        </w:rPr>
        <w:t xml:space="preserve">No Capítulo 19</w:t>
      </w:r>
      <w:r>
        <w:t xml:space="preserve">, o foco é a</w:t>
      </w:r>
      <w:r>
        <w:t xml:space="preserve"> </w:t>
      </w:r>
      <w:r>
        <w:rPr>
          <w:b/>
          <w:bCs/>
        </w:rPr>
        <w:t xml:space="preserve">economia de mercado</w:t>
      </w:r>
      <w:r>
        <w:t xml:space="preserve">: como a seleção adversa destrói mercados (Akerlof), como contratos ótimos equilibram incentivos e seguro (Holmström), como o screening opera em seguros (Rothschild-Stiglitz) e como leilões e matching funcionam na prática. O leitor pode seguir duas rotas: (i) primeiro a teoria dos jogos (9d), depois as aplicações de mercado (19) — a rota recomendada para pós-graduação; ou (ii) primeiro as aplicações intuitivas (19), depois a formalização em jogos (9d) — a rota recomendada para graduação.</w:t>
      </w:r>
    </w:p>
    <w:p>
      <w:pPr>
        <w:pStyle w:val="FirstParagraph"/>
      </w:pPr>
      <w:r>
        <w:t xml:space="preserve">Mudança de cenário. Até aqui, o problema era de</w:t>
      </w:r>
      <w:r>
        <w:t xml:space="preserve"> </w:t>
      </w:r>
      <w:r>
        <w:rPr>
          <w:i/>
          <w:iCs/>
        </w:rPr>
        <w:t xml:space="preserve">tipo</w:t>
      </w:r>
      <w:r>
        <w:t xml:space="preserve">: o agente sabe quem ele é, o receptor não. Agora o problema é de</w:t>
      </w:r>
      <w:r>
        <w:t xml:space="preserve"> </w:t>
      </w:r>
      <w:r>
        <w:rPr>
          <w:i/>
          <w:iCs/>
        </w:rPr>
        <w:t xml:space="preserve">ação</w:t>
      </w:r>
      <w:r>
        <w:t xml:space="preserve">: o agente escolhe o que faz depois de assinar o contrato, e o principal não consegue ver. Você contrata um seguro de carro e passa a estacionar em lugar perigoso — porque, afinal, está segurado. A empresa contrata o gerente e não consegue verificar se ele está trabalhando duro ou navegando na internet. O governo empresta dinheiro ao banco e o banco assume riscos excessivos — sabendo que, se der errado, o governo socorre.</w:t>
      </w:r>
    </w:p>
    <w:p>
      <w:pPr>
        <w:pStyle w:val="BodyText"/>
      </w:pPr>
      <w:r>
        <w:t xml:space="preserve">Esse é o</w:t>
      </w:r>
      <w:r>
        <w:t xml:space="preserve"> </w:t>
      </w:r>
      <w:r>
        <w:rPr>
          <w:b/>
          <w:bCs/>
        </w:rPr>
        <w:t xml:space="preserve">moral hazard</w:t>
      </w:r>
      <w:r>
        <w:t xml:space="preserve"> </w:t>
      </w:r>
      <w:r>
        <w:t xml:space="preserve">(risco moral): a ação oculta que muda de comportamento</w:t>
      </w:r>
      <w:r>
        <w:t xml:space="preserve"> </w:t>
      </w:r>
      <w:r>
        <w:rPr>
          <w:i/>
          <w:iCs/>
        </w:rPr>
        <w:t xml:space="preserve">porque</w:t>
      </w:r>
      <w:r>
        <w:t xml:space="preserve"> </w:t>
      </w:r>
      <w:r>
        <w:t xml:space="preserve">alguém está protegido. O desafio: como desenhar um contrato que faça o agente</w:t>
      </w:r>
      <w:r>
        <w:t xml:space="preserve"> </w:t>
      </w:r>
      <w:r>
        <w:rPr>
          <w:i/>
          <w:iCs/>
        </w:rPr>
        <w:t xml:space="preserve">querer</w:t>
      </w:r>
      <w:r>
        <w:t xml:space="preserve"> </w:t>
      </w:r>
      <w:r>
        <w:t xml:space="preserve">se esforçar, mesmo quando ninguém está olhando?</w:t>
      </w:r>
    </w:p>
    <w:p>
      <w:pPr>
        <w:pStyle w:val="BlockText"/>
      </w:pPr>
      <w:r>
        <w:rPr>
          <w:b/>
          <w:bCs/>
        </w:rPr>
        <w:t xml:space="preserve">[DEFINICAO] Moral Hazard</w:t>
      </w:r>
    </w:p>
    <w:p>
      <w:pPr>
        <w:pStyle w:val="BlockText"/>
      </w:pPr>
      <w:r>
        <w:t xml:space="preserve">Situação em que uma parte (o</w:t>
      </w:r>
      <w:r>
        <w:t xml:space="preserve"> </w:t>
      </w:r>
      <w:r>
        <w:rPr>
          <w:b/>
          <w:bCs/>
        </w:rPr>
        <w:t xml:space="preserve">agente</w:t>
      </w:r>
      <w:r>
        <w:t xml:space="preserve">) toma uma ação não observável que afeta o payoff de outra parte (o</w:t>
      </w:r>
      <w:r>
        <w:t xml:space="preserve"> </w:t>
      </w:r>
      <w:r>
        <w:rPr>
          <w:b/>
          <w:bCs/>
        </w:rPr>
        <w:t xml:space="preserve">principal</w:t>
      </w:r>
      <w:r>
        <w:t xml:space="preserve">). O principal não pode monitorar diretamente o esforço do agente.</w:t>
      </w:r>
    </w:p>
    <w:p>
      <w:pPr>
        <w:pStyle w:val="BlockText"/>
      </w:pPr>
      <w:r>
        <w:rPr>
          <w:b/>
          <w:bCs/>
        </w:rPr>
        <w:t xml:space="preserve">[ATENCAO] Erro Comum</w:t>
      </w:r>
    </w:p>
    <w:p>
      <w:pPr>
        <w:pStyle w:val="BlockText"/>
      </w:pPr>
      <w:r>
        <w:rPr>
          <w:b/>
          <w:bCs/>
        </w:rPr>
        <w:t xml:space="preserve">Tratar risco moral (moral hazard) como sinônimo de fraude.</w:t>
      </w:r>
      <w:r>
        <w:t xml:space="preserve"> </w:t>
      </w:r>
      <w:r>
        <w:t xml:space="preserve">Um equívoco frequente — mesmo em provas e concursos — é tratar risco moral como sinônimo de comportamento desonesto ou fraudulento. A distinção é precisa e juridicamente relevante.</w:t>
      </w:r>
    </w:p>
    <w:p>
      <w:pPr>
        <w:pStyle w:val="BlockText"/>
      </w:pPr>
      <w:r>
        <w:rPr>
          <w:b/>
          <w:bCs/>
        </w:rPr>
        <w:t xml:space="preserve">Moral hazard:</w:t>
      </w:r>
      <w:r>
        <w:t xml:space="preserve"> </w:t>
      </w:r>
      <w:r>
        <w:t xml:space="preserve">O agente age</w:t>
      </w:r>
      <w:r>
        <w:t xml:space="preserve"> </w:t>
      </w:r>
      <w:r>
        <w:rPr>
          <w:i/>
          <w:iCs/>
        </w:rPr>
        <w:t xml:space="preserve">racionalmente</w:t>
      </w:r>
      <w:r>
        <w:t xml:space="preserve"> </w:t>
      </w:r>
      <w:r>
        <w:t xml:space="preserve">em resposta a incentivos gerados pelo próprio contrato. Não há intenção de enganar: o agente simplesmente maximiza sua utilidade dado o ambiente que o seguro, o emprego ou o crédito criou. O comportamento é previsível e, em tese, evitável com o redesenho do contrato.</w:t>
      </w:r>
    </w:p>
    <w:p>
      <w:pPr>
        <w:pStyle w:val="BlockText"/>
      </w:pPr>
      <w:r>
        <w:rPr>
          <w:b/>
          <w:bCs/>
        </w:rPr>
        <w:t xml:space="preserve">Fraude:</w:t>
      </w:r>
      <w:r>
        <w:t xml:space="preserve"> </w:t>
      </w:r>
      <w:r>
        <w:t xml:space="preserve">Ação intencional para obter benefício indevido — tipicamente por declarações falsas, ocultação deliberada de informação ou falsificação de documentos. Fraude é crime; moral hazard é ineficiência contratual.</w:t>
      </w:r>
    </w:p>
    <w:p>
      <w:pPr>
        <w:pStyle w:val="BlockText"/>
      </w:pPr>
      <w:r>
        <w:rPr>
          <w:b/>
          <w:bCs/>
        </w:rPr>
        <w:t xml:space="preserve">Exemplo no mercado de saúde brasileiro:</w:t>
      </w:r>
      <w:r>
        <w:t xml:space="preserve"> </w:t>
      </w:r>
      <w:r>
        <w:t xml:space="preserve">Uma pessoa com plano de saúde que faz check-ups adicionais por serem gratuitos ao ponto de uso está exibindo</w:t>
      </w:r>
      <w:r>
        <w:t xml:space="preserve"> </w:t>
      </w:r>
      <w:r>
        <w:rPr>
          <w:i/>
          <w:iCs/>
        </w:rPr>
        <w:t xml:space="preserve">moral hazard</w:t>
      </w:r>
      <w:r>
        <w:t xml:space="preserve"> </w:t>
      </w:r>
      <w:r>
        <w:t xml:space="preserve">(responde ao preço zero da consulta). Uma pessoa que declara uma doença preexistente que não possui para acionar a cobertura está praticando</w:t>
      </w:r>
      <w:r>
        <w:t xml:space="preserve"> </w:t>
      </w:r>
      <w:r>
        <w:rPr>
          <w:i/>
          <w:iCs/>
        </w:rPr>
        <w:t xml:space="preserve">fraude</w:t>
      </w:r>
      <w:r>
        <w:t xml:space="preserve">. A ANS regula ambos por instrumentos distintos: copagamentos e carências mitigam moral hazard; auditoria médica e perícias combatem fraude.</w:t>
      </w:r>
    </w:p>
    <w:p>
      <w:pPr>
        <w:pStyle w:val="BlockText"/>
      </w:pPr>
      <w:r>
        <w:t xml:space="preserve">O tratamento correto: moral hazard requer redesenho dos incentivos (franquias, copagamentos, bônus por desempenho); fraude requer monitoramento, auditoria e sanções legais.</w:t>
      </w:r>
    </w:p>
    <w:p>
      <w:pPr>
        <w:pStyle w:val="FirstParagraph"/>
      </w:pPr>
      <w:r>
        <w:t xml:space="preserve">O modelo básico de principal-agente formaliza essa situação: o principal oferece um contrato, o agente decide se aceita e, em caso positivo, escolhe seu nível de esforço. O desafio é que o esforço não é verificável — apenas o resultado, que depende tanto do esforço quanto de choques aleatórios, pode ser contratado.</w:t>
      </w:r>
    </w:p>
    <w:p>
      <w:pPr>
        <w:pStyle w:val="Compact"/>
        <w:numPr>
          <w:ilvl w:val="0"/>
          <w:numId w:val="1583"/>
        </w:numPr>
      </w:pPr>
      <w:r>
        <w:t xml:space="preserve">O principal oferece um contrato</w:t>
      </w:r>
      <w:r>
        <w:t xml:space="preserve"> </w:t>
      </w:r>
      <m:oMath>
        <m:r>
          <m:t>w</m:t>
        </m:r>
        <m:r>
          <m:rPr>
            <m:sty m:val="p"/>
          </m:rPr>
          <m:t>(</m:t>
        </m:r>
        <m:r>
          <m:t>q</m:t>
        </m:r>
        <m:r>
          <m:rPr>
            <m:sty m:val="p"/>
          </m:rPr>
          <m:t>)</m:t>
        </m:r>
      </m:oMath>
      <w:r>
        <w:t xml:space="preserve"> </w:t>
      </w:r>
      <w:r>
        <w:t xml:space="preserve">(pagamento condicionado ao resultado</w:t>
      </w:r>
      <w:r>
        <w:t xml:space="preserve"> </w:t>
      </w:r>
      <m:oMath>
        <m:r>
          <m:t>q</m:t>
        </m:r>
      </m:oMath>
      <w:r>
        <w:t xml:space="preserve">).</w:t>
      </w:r>
    </w:p>
    <w:p>
      <w:pPr>
        <w:pStyle w:val="Compact"/>
        <w:numPr>
          <w:ilvl w:val="0"/>
          <w:numId w:val="1583"/>
        </w:numPr>
      </w:pPr>
      <w:r>
        <w:t xml:space="preserve">O agente escolhe esforço</w:t>
      </w:r>
      <w:r>
        <w:t xml:space="preserve"> </w:t>
      </w:r>
      <m:oMath>
        <m:r>
          <m:t>e</m:t>
        </m:r>
      </m:oMath>
      <w:r>
        <w:t xml:space="preserve"> </w:t>
      </w:r>
      <w:r>
        <w:t xml:space="preserve">(não observável). Esforço é custoso:</w:t>
      </w:r>
      <w:r>
        <w:t xml:space="preserve"> </w:t>
      </w:r>
      <m:oMath>
        <m:r>
          <m:t>c</m:t>
        </m:r>
        <m:r>
          <m:rPr>
            <m:sty m:val="p"/>
          </m:rPr>
          <m:t>(</m:t>
        </m:r>
        <m:r>
          <m:t>e</m:t>
        </m:r>
        <m:r>
          <m:rPr>
            <m:sty m:val="p"/>
          </m:rPr>
          <m:t>)</m:t>
        </m:r>
      </m:oMath>
      <w:r>
        <w:t xml:space="preserve">.</w:t>
      </w:r>
    </w:p>
    <w:p>
      <w:pPr>
        <w:pStyle w:val="Compact"/>
        <w:numPr>
          <w:ilvl w:val="0"/>
          <w:numId w:val="1583"/>
        </w:numPr>
      </w:pPr>
      <w:r>
        <w:t xml:space="preserve">O resultado</w:t>
      </w:r>
      <w:r>
        <w:t xml:space="preserve"> </w:t>
      </w:r>
      <m:oMath>
        <m:r>
          <m:t>q</m:t>
        </m:r>
      </m:oMath>
      <w:r>
        <w:t xml:space="preserve"> </w:t>
      </w:r>
      <w:r>
        <w:t xml:space="preserve">depende de</w:t>
      </w:r>
      <w:r>
        <w:t xml:space="preserve"> </w:t>
      </w:r>
      <m:oMath>
        <m:r>
          <m:t>e</m:t>
        </m:r>
      </m:oMath>
      <w:r>
        <w:t xml:space="preserve"> </w:t>
      </w:r>
      <w:r>
        <w:t xml:space="preserve">e de choque aleatório</w:t>
      </w:r>
      <w:r>
        <w:t xml:space="preserve"> </w:t>
      </w:r>
      <m:oMath>
        <m:r>
          <m:t>ε</m:t>
        </m:r>
      </m:oMath>
      <w:r>
        <w:t xml:space="preserve">:</w:t>
      </w:r>
      <w:r>
        <w:t xml:space="preserve"> </w:t>
      </w:r>
      <m:oMath>
        <m:r>
          <m:t>q</m:t>
        </m:r>
        <m:r>
          <m:rPr>
            <m:sty m:val="p"/>
          </m:rPr>
          <m:t>=</m:t>
        </m:r>
        <m:r>
          <m:t>f</m:t>
        </m:r>
        <m:r>
          <m:rPr>
            <m:sty m:val="p"/>
          </m:rPr>
          <m:t>(</m:t>
        </m:r>
        <m:r>
          <m:t>e</m:t>
        </m:r>
        <m:r>
          <m:rPr>
            <m:sty m:val="p"/>
          </m:rPr>
          <m:t>,</m:t>
        </m:r>
        <m:r>
          <m:t>ε</m:t>
        </m:r>
        <m:r>
          <m:rPr>
            <m:sty m:val="p"/>
          </m:rPr>
          <m:t>)</m:t>
        </m:r>
      </m:oMath>
      <w:r>
        <w:t xml:space="preserve">.</w:t>
      </w:r>
    </w:p>
    <w:p>
      <w:pPr>
        <w:pStyle w:val="Compact"/>
        <w:numPr>
          <w:ilvl w:val="0"/>
          <w:numId w:val="1583"/>
        </w:numPr>
      </w:pPr>
      <w:r>
        <w:t xml:space="preserve">O principal quer maximizar</w:t>
      </w:r>
      <w:r>
        <w:t xml:space="preserve"> </w:t>
      </w:r>
      <m:oMath>
        <m:r>
          <m:t>E</m:t>
        </m:r>
        <m:r>
          <m:rPr>
            <m:sty m:val="p"/>
          </m:rPr>
          <m:t>[</m:t>
        </m:r>
        <m:r>
          <m:t>q</m:t>
        </m:r>
        <m:r>
          <m:rPr>
            <m:sty m:val="p"/>
          </m:rPr>
          <m:t>−</m:t>
        </m:r>
        <m:r>
          <m:t>w</m:t>
        </m:r>
        <m:r>
          <m:rPr>
            <m:sty m:val="p"/>
          </m:rPr>
          <m:t>(</m:t>
        </m:r>
        <m:r>
          <m:t>q</m:t>
        </m:r>
        <m:r>
          <m:rPr>
            <m:sty m:val="p"/>
          </m:rPr>
          <m:t>)</m:t>
        </m:r>
        <m:r>
          <m:rPr>
            <m:sty m:val="p"/>
          </m:rPr>
          <m:t>]</m:t>
        </m:r>
      </m:oMath>
      <w:r>
        <w:t xml:space="preserve">; o agente quer maximizar</w:t>
      </w:r>
      <w:r>
        <w:t xml:space="preserve"> </w:t>
      </w:r>
      <m:oMath>
        <m:r>
          <m:t>E</m:t>
        </m:r>
        <m:r>
          <m:rPr>
            <m:sty m:val="p"/>
          </m:rPr>
          <m:t>[</m:t>
        </m:r>
        <m:r>
          <m:t>w</m:t>
        </m:r>
        <m:r>
          <m:rPr>
            <m:sty m:val="p"/>
          </m:rPr>
          <m:t>(</m:t>
        </m:r>
        <m:r>
          <m:t>q</m:t>
        </m:r>
        <m:r>
          <m:rPr>
            <m:sty m:val="p"/>
          </m:rPr>
          <m:t>)</m:t>
        </m:r>
        <m:r>
          <m:rPr>
            <m:sty m:val="p"/>
          </m:rPr>
          <m:t>]</m:t>
        </m:r>
        <m:r>
          <m:rPr>
            <m:sty m:val="p"/>
          </m:rPr>
          <m:t>−</m:t>
        </m:r>
        <m:r>
          <m:t>c</m:t>
        </m:r>
        <m:r>
          <m:rPr>
            <m:sty m:val="p"/>
          </m:rPr>
          <m:t>(</m:t>
        </m:r>
        <m:r>
          <m:t>e</m:t>
        </m:r>
        <m:r>
          <m:rPr>
            <m:sty m:val="p"/>
          </m:rPr>
          <m:t>)</m:t>
        </m:r>
      </m:oMath>
      <w:r>
        <w:t xml:space="preserve">.</w:t>
      </w:r>
    </w:p>
    <w:p>
      <w:pPr>
        <w:pStyle w:val="FirstParagraph"/>
      </w:pPr>
      <w:r>
        <w:rPr>
          <w:b/>
          <w:bCs/>
        </w:rPr>
        <w:t xml:space="preserve">Trade-off central:</w:t>
      </w:r>
      <w:r>
        <w:t xml:space="preserve"> </w:t>
      </w:r>
      <w:r>
        <w:t xml:space="preserve">Para incentivar esforço, o contrato deve vincular pagamento ao resultado. Mas isso expõe o agente (avesso ao risco) a risco — gerando custo de seguro. O contrato ótimo equilibra incentivos e seguro. Esse dilema entre risco e incentivos é onipresente na economia.</w:t>
      </w:r>
    </w:p>
    <w:p>
      <w:pPr>
        <w:pStyle w:val="BodyText"/>
      </w:pPr>
      <w:r>
        <w:t xml:space="preserve">[FIGURA INTERATIVA: /micro-book/graficos/cap09d/moral-hazard.html — versao interativa disponivel online]</w:t>
      </w:r>
    </w:p>
    <w:p>
      <w:pPr>
        <w:pStyle w:val="BodyText"/>
      </w:pPr>
      <w:r>
        <w:rPr>
          <w:b/>
          <w:bCs/>
        </w:rPr>
        <w:t xml:space="preserve">Figura 9d.5 — Principal-Agente: trade-off incentivos vs seguro.</w:t>
      </w:r>
      <w:r>
        <w:t xml:space="preserve"> </w:t>
      </w:r>
      <w:r>
        <w:t xml:space="preserve">O slider</w:t>
      </w:r>
      <w:r>
        <w:t xml:space="preserve"> </w:t>
      </w:r>
      <m:oMath>
        <m:r>
          <m:t>β</m:t>
        </m:r>
      </m:oMath>
      <w:r>
        <w:t xml:space="preserve"> </w:t>
      </w:r>
      <w:r>
        <w:t xml:space="preserve">controla a participação do agente no resultado. Aumente a aversão ao risco</w:t>
      </w:r>
      <w:r>
        <w:t xml:space="preserve"> </w:t>
      </w:r>
      <m:oMath>
        <m:r>
          <m:t>r</m:t>
        </m:r>
      </m:oMath>
      <w:r>
        <w:t xml:space="preserve"> </w:t>
      </w:r>
      <w:r>
        <w:t xml:space="preserve">ou o ruído</w:t>
      </w:r>
      <w:r>
        <w:t xml:space="preserve"> </w:t>
      </w:r>
      <m:oMath>
        <m:r>
          <m:t>σ</m:t>
        </m:r>
      </m:oMath>
      <w:r>
        <w:t xml:space="preserve"> </w:t>
      </w:r>
      <w:r>
        <w:t xml:space="preserve">e observe o</w:t>
      </w:r>
      <w:r>
        <w:t xml:space="preserve"> </w:t>
      </w:r>
      <m:oMath>
        <m:sSup>
          <m:e>
            <m:r>
              <m:t>β</m:t>
            </m:r>
          </m:e>
          <m:sup>
            <m:r>
              <m:rPr>
                <m:sty m:val="p"/>
              </m:rPr>
              <m:t>*</m:t>
            </m:r>
          </m:sup>
        </m:sSup>
      </m:oMath>
      <w:r>
        <w:t xml:space="preserve"> </w:t>
      </w:r>
      <w:r>
        <w:t xml:space="preserve">ótimo encolher — o custo de agência cresce. No primeiro melhor (FB),</w:t>
      </w:r>
      <w:r>
        <w:t xml:space="preserve"> </w:t>
      </w:r>
      <m:oMath>
        <m:r>
          <m:t>β</m:t>
        </m:r>
        <m:r>
          <m:rPr>
            <m:sty m:val="p"/>
          </m:rPr>
          <m:t>=</m:t>
        </m:r>
        <m:r>
          <m:t>1</m:t>
        </m:r>
      </m:oMath>
      <w:r>
        <w:t xml:space="preserve"> </w:t>
      </w:r>
      <w:r>
        <w:t xml:space="preserve">e não há custo de agência.</w:t>
      </w:r>
    </w:p>
    <w:bookmarkStart w:id="613" w:name="primeiro-melhor-vs.-segundo-melhor"/>
    <w:p>
      <w:pPr>
        <w:pStyle w:val="Heading4"/>
      </w:pPr>
      <w:r>
        <w:t xml:space="preserve">Primeiro melhor vs. segundo melhor</w:t>
      </w:r>
    </w:p>
    <w:p>
      <w:pPr>
        <w:pStyle w:val="FirstParagraph"/>
      </w:pPr>
      <w:r>
        <w:t xml:space="preserve">A distinção entre primeiro melhor (</w:t>
      </w:r>
      <w:r>
        <w:rPr>
          <w:i/>
          <w:iCs/>
        </w:rPr>
        <w:t xml:space="preserve">first-best</w:t>
      </w:r>
      <w:r>
        <w:t xml:space="preserve">) e segundo melhor (</w:t>
      </w:r>
      <w:r>
        <w:rPr>
          <w:i/>
          <w:iCs/>
        </w:rPr>
        <w:t xml:space="preserve">second-best</w:t>
      </w:r>
      <w:r>
        <w:t xml:space="preserve">) é central na teoria de contratos e permeia toda a análise de moral hazard. No</w:t>
      </w:r>
      <w:r>
        <w:t xml:space="preserve"> </w:t>
      </w:r>
      <w:r>
        <w:rPr>
          <w:b/>
          <w:bCs/>
        </w:rPr>
        <w:t xml:space="preserve">primeiro melhor</w:t>
      </w:r>
      <w:r>
        <w:t xml:space="preserve">, o esforço é observável e verificável: o principal pode escrever um contrato que especifica diretamente o nível de esforço desejado e paga um salário fixo condicionado à execução desse esforço. Como o agente é avesso ao risco, o contrato ótimo é um salário fixo</w:t>
      </w:r>
      <w:r>
        <w:t xml:space="preserve"> </w:t>
      </w:r>
      <m:oMath>
        <m:sSup>
          <m:e>
            <m:r>
              <m:t>w</m:t>
            </m:r>
          </m:e>
          <m:sup>
            <m:r>
              <m:t>F</m:t>
            </m:r>
            <m:r>
              <m:t>B</m:t>
            </m:r>
          </m:sup>
        </m:sSup>
      </m:oMath>
      <w:r>
        <w:t xml:space="preserve"> </w:t>
      </w:r>
      <w:r>
        <w:t xml:space="preserve">que satisfaz exatamente a restrição de participação — sem variabilidade, sem risco para o agente, sem custo de incentivos. O agente é perfeitamente segurado.</w:t>
      </w:r>
    </w:p>
    <w:p>
      <w:pPr>
        <w:pStyle w:val="BodyText"/>
      </w:pPr>
      <w:r>
        <w:t xml:space="preserve">No</w:t>
      </w:r>
      <w:r>
        <w:t xml:space="preserve"> </w:t>
      </w:r>
      <w:r>
        <w:rPr>
          <w:b/>
          <w:bCs/>
        </w:rPr>
        <w:t xml:space="preserve">segundo melhor</w:t>
      </w:r>
      <w:r>
        <w:t xml:space="preserve">, o esforço não é observável. O principal só pode condicionar o pagamento ao resultado, que é um indicador ruidoso do esforço. O contrato ótimo deve satisfazer duas restrições simultaneamente:</w:t>
      </w:r>
    </w:p>
    <w:p>
      <w:pPr>
        <w:pStyle w:val="BodyText"/>
      </w:pPr>
      <m:oMathPara>
        <m:oMathParaPr>
          <m:jc m:val="center"/>
        </m:oMathParaPr>
        <m:oMath>
          <m:r>
            <m:rPr>
              <m:nor/>
              <m:sty m:val="p"/>
            </m:rPr>
            <m:t>IC:</m:t>
          </m:r>
          <m:r>
            <m:t> </m:t>
          </m:r>
          <m:r>
            <m:t>E</m:t>
          </m:r>
          <m:r>
            <m:rPr>
              <m:sty m:val="p"/>
            </m:rPr>
            <m:t>[</m:t>
          </m:r>
          <m:r>
            <m:t>u</m:t>
          </m:r>
          <m:r>
            <m:rPr>
              <m:sty m:val="p"/>
            </m:rPr>
            <m:t>(</m:t>
          </m:r>
          <m:r>
            <m:t>w</m:t>
          </m:r>
          <m:r>
            <m:rPr>
              <m:sty m:val="p"/>
            </m:rPr>
            <m:t>(</m:t>
          </m:r>
          <m:r>
            <m:t>q</m:t>
          </m:r>
          <m:r>
            <m:rPr>
              <m:sty m:val="p"/>
            </m:rPr>
            <m:t>)</m:t>
          </m:r>
          <m:r>
            <m:rPr>
              <m:sty m:val="p"/>
            </m:rPr>
            <m:t>)</m:t>
          </m:r>
          <m:r>
            <m:rPr>
              <m:sty m:val="p"/>
            </m:rPr>
            <m:t>∣</m:t>
          </m:r>
          <m:sSub>
            <m:e>
              <m:r>
                <m:t>e</m:t>
              </m:r>
            </m:e>
            <m:sub>
              <m:r>
                <m:t>H</m:t>
              </m:r>
            </m:sub>
          </m:sSub>
          <m:r>
            <m:rPr>
              <m:sty m:val="p"/>
            </m:rPr>
            <m:t>]</m:t>
          </m:r>
          <m:r>
            <m:rPr>
              <m:sty m:val="p"/>
            </m:rPr>
            <m:t>−</m:t>
          </m:r>
          <m:r>
            <m:t>c</m:t>
          </m:r>
          <m:r>
            <m:rPr>
              <m:sty m:val="p"/>
            </m:rPr>
            <m:t>(</m:t>
          </m:r>
          <m:sSub>
            <m:e>
              <m:r>
                <m:t>e</m:t>
              </m:r>
            </m:e>
            <m:sub>
              <m:r>
                <m:t>H</m:t>
              </m:r>
            </m:sub>
          </m:sSub>
          <m:r>
            <m:rPr>
              <m:sty m:val="p"/>
            </m:rPr>
            <m:t>)</m:t>
          </m:r>
          <m:r>
            <m:rPr>
              <m:sty m:val="p"/>
            </m:rPr>
            <m:t>≥</m:t>
          </m:r>
          <m:r>
            <m:t>E</m:t>
          </m:r>
          <m:r>
            <m:rPr>
              <m:sty m:val="p"/>
            </m:rPr>
            <m:t>[</m:t>
          </m:r>
          <m:r>
            <m:t>u</m:t>
          </m:r>
          <m:r>
            <m:rPr>
              <m:sty m:val="p"/>
            </m:rPr>
            <m:t>(</m:t>
          </m:r>
          <m:r>
            <m:t>w</m:t>
          </m:r>
          <m:r>
            <m:rPr>
              <m:sty m:val="p"/>
            </m:rPr>
            <m:t>(</m:t>
          </m:r>
          <m:r>
            <m:t>q</m:t>
          </m:r>
          <m:r>
            <m:rPr>
              <m:sty m:val="p"/>
            </m:rPr>
            <m:t>)</m:t>
          </m:r>
          <m:r>
            <m:rPr>
              <m:sty m:val="p"/>
            </m:rPr>
            <m:t>)</m:t>
          </m:r>
          <m:r>
            <m:rPr>
              <m:sty m:val="p"/>
            </m:rPr>
            <m:t>∣</m:t>
          </m:r>
          <m:sSub>
            <m:e>
              <m:r>
                <m:t>e</m:t>
              </m:r>
            </m:e>
            <m:sub>
              <m:r>
                <m:t>L</m:t>
              </m:r>
            </m:sub>
          </m:sSub>
          <m:r>
            <m:rPr>
              <m:sty m:val="p"/>
            </m:rPr>
            <m:t>]</m:t>
          </m:r>
          <m:r>
            <m:rPr>
              <m:sty m:val="p"/>
            </m:rPr>
            <m:t>−</m:t>
          </m:r>
          <m:r>
            <m:t>c</m:t>
          </m:r>
          <m:r>
            <m:rPr>
              <m:sty m:val="p"/>
            </m:rPr>
            <m:t>(</m:t>
          </m:r>
          <m:sSub>
            <m:e>
              <m:r>
                <m:t>e</m:t>
              </m:r>
            </m:e>
            <m:sub>
              <m:r>
                <m:t>L</m:t>
              </m:r>
            </m:sub>
          </m:sSub>
          <m:r>
            <m:rPr>
              <m:sty m:val="p"/>
            </m:rPr>
            <m:t>)</m:t>
          </m:r>
        </m:oMath>
      </m:oMathPara>
    </w:p>
    <w:p>
      <w:pPr>
        <w:pStyle w:val="FirstParagraph"/>
      </w:pPr>
      <m:oMathPara>
        <m:oMathParaPr>
          <m:jc m:val="center"/>
        </m:oMathParaPr>
        <m:oMath>
          <m:r>
            <m:rPr>
              <m:nor/>
              <m:sty m:val="p"/>
            </m:rPr>
            <m:t>IR:</m:t>
          </m:r>
          <m:r>
            <m:t> </m:t>
          </m:r>
          <m:r>
            <m:t>E</m:t>
          </m:r>
          <m:r>
            <m:rPr>
              <m:sty m:val="p"/>
            </m:rPr>
            <m:t>[</m:t>
          </m:r>
          <m:r>
            <m:t>u</m:t>
          </m:r>
          <m:r>
            <m:rPr>
              <m:sty m:val="p"/>
            </m:rPr>
            <m:t>(</m:t>
          </m:r>
          <m:r>
            <m:t>w</m:t>
          </m:r>
          <m:r>
            <m:rPr>
              <m:sty m:val="p"/>
            </m:rPr>
            <m:t>(</m:t>
          </m:r>
          <m:r>
            <m:t>q</m:t>
          </m:r>
          <m:r>
            <m:rPr>
              <m:sty m:val="p"/>
            </m:rPr>
            <m:t>)</m:t>
          </m:r>
          <m:r>
            <m:rPr>
              <m:sty m:val="p"/>
            </m:rPr>
            <m:t>)</m:t>
          </m:r>
          <m:r>
            <m:rPr>
              <m:sty m:val="p"/>
            </m:rPr>
            <m:t>∣</m:t>
          </m:r>
          <m:sSub>
            <m:e>
              <m:r>
                <m:t>e</m:t>
              </m:r>
            </m:e>
            <m:sub>
              <m:r>
                <m:t>H</m:t>
              </m:r>
            </m:sub>
          </m:sSub>
          <m:r>
            <m:rPr>
              <m:sty m:val="p"/>
            </m:rPr>
            <m:t>]</m:t>
          </m:r>
          <m:r>
            <m:rPr>
              <m:sty m:val="p"/>
            </m:rPr>
            <m:t>−</m:t>
          </m:r>
          <m:r>
            <m:t>c</m:t>
          </m:r>
          <m:r>
            <m:rPr>
              <m:sty m:val="p"/>
            </m:rPr>
            <m:t>(</m:t>
          </m:r>
          <m:sSub>
            <m:e>
              <m:r>
                <m:t>e</m:t>
              </m:r>
            </m:e>
            <m:sub>
              <m:r>
                <m:t>H</m:t>
              </m:r>
            </m:sub>
          </m:sSub>
          <m:r>
            <m:rPr>
              <m:sty m:val="p"/>
            </m:rPr>
            <m:t>)</m:t>
          </m:r>
          <m:r>
            <m:rPr>
              <m:sty m:val="p"/>
            </m:rPr>
            <m:t>≥</m:t>
          </m:r>
          <m:acc>
            <m:accPr>
              <m:chr m:val="‾"/>
            </m:accPr>
            <m:e>
              <m:r>
                <m:t>u</m:t>
              </m:r>
            </m:e>
          </m:acc>
        </m:oMath>
      </m:oMathPara>
    </w:p>
    <w:p>
      <w:pPr>
        <w:pStyle w:val="FirstParagraph"/>
      </w:pPr>
      <w:r>
        <w:t xml:space="preserve">A IC (compatibilidade de incentivos, equação Eq. (eq:9d.2)) garante que o agente prefira esforço alto a esforço baixo. A IR (restrição de participação, equação Eq. (eq:9d.3)) garante que o agente prefira aceitar o contrato a sua alternativa externa. No ótimo do segundo melhor, ambas as restrições vinculam: a IC força variabilidade salarial (</w:t>
      </w:r>
      <m:oMath>
        <m:sSub>
          <m:e>
            <m:r>
              <m:t>w</m:t>
            </m:r>
          </m:e>
          <m:sub>
            <m:r>
              <m:t>B</m:t>
            </m:r>
          </m:sub>
        </m:sSub>
        <m:r>
          <m:rPr>
            <m:sty m:val="p"/>
          </m:rPr>
          <m:t>&gt;</m:t>
        </m:r>
        <m:sSub>
          <m:e>
            <m:r>
              <m:t>w</m:t>
            </m:r>
          </m:e>
          <m:sub>
            <m:r>
              <m:t>R</m:t>
            </m:r>
          </m:sub>
        </m:sSub>
      </m:oMath>
      <w:r>
        <w:t xml:space="preserve">), e a IR fixa o nível de utilidade esperada do agente. A diferença de custo esperado entre o segundo melhor e o primeiro melhor é o</w:t>
      </w:r>
      <w:r>
        <w:t xml:space="preserve"> </w:t>
      </w:r>
      <w:r>
        <w:rPr>
          <w:b/>
          <w:bCs/>
        </w:rPr>
        <w:t xml:space="preserve">custo de agência</w:t>
      </w:r>
      <w:r>
        <w:t xml:space="preserve"> </w:t>
      </w:r>
      <w:r>
        <w:t xml:space="preserve">— o preço que a sociedade paga pela informação assimétrica sobre o esforço.</w:t>
      </w:r>
    </w:p>
    <w:p>
      <w:pPr>
        <w:pStyle w:val="BodyText"/>
      </w:pPr>
      <w:r>
        <w:t xml:space="preserve">O resultado fundamental de Holmström (1979) é que o contrato ótimo de segundo melhor segue o</w:t>
      </w:r>
      <w:r>
        <w:t xml:space="preserve"> </w:t>
      </w:r>
      <w:r>
        <w:rPr>
          <w:b/>
          <w:bCs/>
        </w:rPr>
        <w:t xml:space="preserve">Princípio da Informatividade</w:t>
      </w:r>
      <w:r>
        <w:t xml:space="preserve">: a remuneração do agente deve depender de qualquer estatística do resultado que contenha informação sobre o esforço. Se o desempenho de outros agentes em circunstâncias semelhantes é observável, ele deve entrar no contrato — não porque o principal queira incentivar competição, mas porque a comparação permite filtrar o ruído do choque aleatório, melhorando a inferência sobre o esforço. Isso fundamenta o uso de benchmarks setoriais em contratos de executivos, avaliações relativas de desempenho entre professores e comparação entre hospitais na regulação de saúde.</w:t>
      </w:r>
    </w:p>
    <w:bookmarkEnd w:id="613"/>
    <w:bookmarkStart w:id="614" w:name="multitarefa-e-os-limites-dos-incentivos"/>
    <w:p>
      <w:pPr>
        <w:pStyle w:val="Heading4"/>
      </w:pPr>
      <w:r>
        <w:t xml:space="preserve">Multitarefa e os limites dos incentivos</w:t>
      </w:r>
    </w:p>
    <w:p>
      <w:pPr>
        <w:pStyle w:val="FirstParagraph"/>
      </w:pPr>
      <w:r>
        <w:t xml:space="preserve">O modelo básico assume que o agente tem uma única dimensão de esforço. Na prática, a maioria dos trabalhos envolve múltiplas tarefas — um professor ensina, pesquisa, orienta e faz extensão; um médico trata, previne e documenta; um gestor gera lucro, gerencia risco e investe em inovação. Holmström e Milgrom (1991) mostraram que, quando o esforço é multidimensional e algumas dimensões são mais facilmente mensuráveis que outras, incentivos fortes na dimensão mensurável podem distorcer o esforço</w:t>
      </w:r>
      <w:r>
        <w:t xml:space="preserve"> </w:t>
      </w:r>
      <w:r>
        <w:rPr>
          <w:i/>
          <w:iCs/>
        </w:rPr>
        <w:t xml:space="preserve">para longe</w:t>
      </w:r>
      <w:r>
        <w:t xml:space="preserve"> </w:t>
      </w:r>
      <w:r>
        <w:t xml:space="preserve">das dimensões não mensuráveis. Esse é o problema de</w:t>
      </w:r>
      <w:r>
        <w:t xml:space="preserve"> </w:t>
      </w:r>
      <w:r>
        <w:rPr>
          <w:b/>
          <w:bCs/>
        </w:rPr>
        <w:t xml:space="preserve">multitarefa</w:t>
      </w:r>
      <w:r>
        <w:t xml:space="preserve">: um professor avaliado exclusivamente por notas de alunos em provas padronizadas pode</w:t>
      </w:r>
      <w:r>
        <w:t xml:space="preserve"> </w:t>
      </w:r>
      <w:r>
        <w:rPr>
          <w:i/>
          <w:iCs/>
        </w:rPr>
        <w:t xml:space="preserve">ensinar para a prova</w:t>
      </w:r>
      <w:r>
        <w:t xml:space="preserve"> </w:t>
      </w:r>
      <w:r>
        <w:t xml:space="preserve">(dimensão mensurável) às custas do desenvolvimento de pensamento crítico (dimensão não mensurável).</w:t>
      </w:r>
    </w:p>
    <w:p>
      <w:pPr>
        <w:pStyle w:val="BodyText"/>
      </w:pPr>
      <w:r>
        <w:t xml:space="preserve">A implicação prática é que incentivos muito potentes podem ser piores do que incentivos moderados ou até do que salário fixo — quando o agente tem margem para realocar esforço entre tarefas. A regulação educacional brasileira enfrenta esse dilema diretamente: programas como o IDESP (São Paulo) e o SPAECE (Ceará) vinculam recursos e bônus ao desempenho em avaliações padronizadas, criando incentivos potencialmente distorcivos na dimensão do ensino que a prova não captura.</w:t>
      </w:r>
    </w:p>
    <w:p>
      <w:pPr>
        <w:pStyle w:val="BodyText"/>
      </w:pPr>
      <w:r>
        <w:t xml:space="preserve">A conexão com o Capítulo 7 é direta: o moral hazard existe, na sua forma mais intratável, precisamente porque os agentes são avessos ao risco. Se o agente fosse neutro ao risco, o principal poderia transferir toda a renda residual para o agente (</w:t>
      </w:r>
      <w:r>
        <w:t xml:space="preserve">“vender a empresa”</w:t>
      </w:r>
      <w:r>
        <w:t xml:space="preserve">), tornando-o o reclamante residual completo — e eliminando o problema de incentivos sem custo de seguro. É a aversão ao risco que torna esse contrato inviável e força a solução de segunda ordem: uma participação parcial nos resultados que equilibra incentivos e proteção.</w:t>
      </w:r>
    </w:p>
    <w:p>
      <w:pPr>
        <w:pStyle w:val="BodyText"/>
      </w:pPr>
      <w:r>
        <w:t xml:space="preserve">O Capítulo 8 (economia comportamental) acrescenta uma camada adicional: evidências experimentais de Kahneman e Tversky sugerem que agentes são mais sensíveis a perdas do que a ganhos de mesma magnitude (aversão à perda). Isso afeta o design de contratos: penalidades pecuniárias por baixo desempenho podem ter poder de incentivo desproporcional ao seu valor monetário, o que tem implicações para contratos de gestores e para políticas de bônus.</w:t>
      </w:r>
    </w:p>
    <w:p>
      <w:pPr>
        <w:pStyle w:val="BlockText"/>
      </w:pPr>
      <w:r>
        <w:rPr>
          <w:b/>
          <w:bCs/>
        </w:rPr>
        <w:t xml:space="preserve">[INFORMACAO] 🏅 Prêmio Nobel — Bengt Holmström e Oliver Hart (2016)</w:t>
      </w:r>
    </w:p>
    <w:p>
      <w:pPr>
        <w:pStyle w:val="BlockText"/>
      </w:pPr>
      <w:r>
        <w:rPr>
          <w:b/>
          <w:bCs/>
        </w:rPr>
        <w:t xml:space="preserve">Bengt Holmström</w:t>
      </w:r>
      <w:r>
        <w:t xml:space="preserve"> </w:t>
      </w:r>
      <w:r>
        <w:t xml:space="preserve">(1949–presente) é um economista finlandês, PhD em Stanford, professor no MIT.</w:t>
      </w:r>
      <w:r>
        <w:t xml:space="preserve"> </w:t>
      </w:r>
      <w:r>
        <w:rPr>
          <w:b/>
          <w:bCs/>
        </w:rPr>
        <w:t xml:space="preserve">Oliver Hart</w:t>
      </w:r>
      <w:r>
        <w:t xml:space="preserve"> </w:t>
      </w:r>
      <w:r>
        <w:t xml:space="preserve">(1948–presente) é um economista britânico-americano, PhD em Princeton, professor em Harvard.</w:t>
      </w:r>
    </w:p>
    <w:p>
      <w:pPr>
        <w:pStyle w:val="BlockText"/>
      </w:pPr>
      <w:r>
        <w:rPr>
          <w:b/>
          <w:bCs/>
        </w:rPr>
        <w:t xml:space="preserve">Por que ganharam o Nobel:</w:t>
      </w:r>
      <w:r>
        <w:t xml:space="preserve"> </w:t>
      </w:r>
      <w:r>
        <w:t xml:space="preserve">Premiados por suas contribuições à</w:t>
      </w:r>
      <w:r>
        <w:t xml:space="preserve"> </w:t>
      </w:r>
      <w:r>
        <w:rPr>
          <w:b/>
          <w:bCs/>
        </w:rPr>
        <w:t xml:space="preserve">teoria dos contratos</w:t>
      </w:r>
      <w:r>
        <w:t xml:space="preserve">. Holmström formalizou o problema do principal-agente com moral hazard (1979), derivou o Princípio da Informatividade (o contrato ótimo deve usar toda informação disponível sobre o esforço), e mostrou com Milgrom (1991) que incentivos fortes em tarefas mensuráveis distorcem o esforço para longe de tarefas não mensuráveis (multitarefa). Hart, com Grossman e Moore, desenvolveu a teoria dos</w:t>
      </w:r>
      <w:r>
        <w:t xml:space="preserve"> </w:t>
      </w:r>
      <w:r>
        <w:rPr>
          <w:b/>
          <w:bCs/>
        </w:rPr>
        <w:t xml:space="preserve">contratos incompletos</w:t>
      </w:r>
      <w:r>
        <w:t xml:space="preserve"> </w:t>
      </w:r>
      <w:r>
        <w:t xml:space="preserve">— a ideia de que, como é impossível prever e contratar todas as contingências futuras, a alocação de</w:t>
      </w:r>
      <w:r>
        <w:t xml:space="preserve"> </w:t>
      </w:r>
      <w:r>
        <w:rPr>
          <w:b/>
          <w:bCs/>
        </w:rPr>
        <w:t xml:space="preserve">direitos de propriedade</w:t>
      </w:r>
      <w:r>
        <w:t xml:space="preserve"> </w:t>
      </w:r>
      <w:r>
        <w:t xml:space="preserve">determina quem tem poder de decisão residual e, portanto, quem tem incentivos para investir. A teoria de contratos incompletos fundamenta a análise de fronteiras da firma (</w:t>
      </w:r>
      <w:r>
        <w:t xml:space="preserve">“make or buy”</w:t>
      </w:r>
      <w:r>
        <w:t xml:space="preserve">), fusões, privatizações e parcerias público-privadas.</w:t>
      </w:r>
    </w:p>
    <w:p>
      <w:pPr>
        <w:pStyle w:val="BlockText"/>
      </w:pPr>
      <w:r>
        <w:rPr>
          <w:b/>
          <w:bCs/>
        </w:rPr>
        <w:t xml:space="preserve">Conexão com este capítulo:</w:t>
      </w:r>
      <w:r>
        <w:t xml:space="preserve"> </w:t>
      </w:r>
      <w:r>
        <w:t xml:space="preserve">O modelo de principal-agente, o Princípio da Informatividade e o problema de multitarefa — todos desenvolvidos por Holmström — são os pilares da Seção 9d.4. A teoria de contratos incompletos de Hart complementa a análise ao explicar por que muitas relações econômicas</w:t>
      </w:r>
      <w:r>
        <w:t xml:space="preserve"> </w:t>
      </w:r>
      <w:r>
        <w:rPr>
          <w:i/>
          <w:iCs/>
        </w:rPr>
        <w:t xml:space="preserve">não</w:t>
      </w:r>
      <w:r>
        <w:t xml:space="preserve"> </w:t>
      </w:r>
      <w:r>
        <w:t xml:space="preserve">são governadas por contratos explícitos (como prevê o modelo de Holmström), mas por estruturas de propriedade e governança que alocam poder de decisão residual. Os dois frameworks — contratos completos de Holmström e contratos incompletos de Hart — são complementares e, juntos, formam a base da economia organizacional moderna.</w:t>
      </w:r>
    </w:p>
    <w:p>
      <w:pPr>
        <w:pStyle w:val="BlockText"/>
      </w:pPr>
      <w:r>
        <w:rPr>
          <w:b/>
          <w:bCs/>
        </w:rPr>
        <w:t xml:space="preserve">Nota para o estudante:</w:t>
      </w:r>
      <w:r>
        <w:t xml:space="preserve"> </w:t>
      </w:r>
      <w:r>
        <w:t xml:space="preserve">Se Holmström responde</w:t>
      </w:r>
      <w:r>
        <w:t xml:space="preserve"> </w:t>
      </w:r>
      <w:r>
        <w:t xml:space="preserve">“como desenhar o contrato ótimo</w:t>
      </w:r>
      <w:r>
        <w:t xml:space="preserve"> </w:t>
      </w:r>
      <w:r>
        <w:rPr>
          <w:i/>
          <w:iCs/>
        </w:rPr>
        <w:t xml:space="preserve">dentro</w:t>
      </w:r>
      <w:r>
        <w:t xml:space="preserve"> </w:t>
      </w:r>
      <w:r>
        <w:t xml:space="preserve">de uma relação”</w:t>
      </w:r>
      <w:r>
        <w:t xml:space="preserve">, Hart responde</w:t>
      </w:r>
      <w:r>
        <w:t xml:space="preserve"> </w:t>
      </w:r>
      <w:r>
        <w:t xml:space="preserve">“como estruturar a relação</w:t>
      </w:r>
      <w:r>
        <w:t xml:space="preserve"> </w:t>
      </w:r>
      <w:r>
        <w:rPr>
          <w:i/>
          <w:iCs/>
        </w:rPr>
        <w:t xml:space="preserve">em si</w:t>
      </w:r>
      <w:r>
        <w:t xml:space="preserve">”</w:t>
      </w:r>
      <w:r>
        <w:t xml:space="preserve">. Os Capítulos 16 (organização industrial) e 19 (contratos e mecanismos) desenvolvem ambas as perspectivas.</w:t>
      </w:r>
    </w:p>
    <w:p>
      <w:pPr>
        <w:pStyle w:val="BlockText"/>
      </w:pPr>
      <w:r>
        <w:rPr>
          <w:b/>
          <w:bCs/>
        </w:rPr>
        <w:t xml:space="preserve">[INTUICAO ECONOMICA] Intuição Econômica</w:t>
      </w:r>
    </w:p>
    <w:p>
      <w:pPr>
        <w:pStyle w:val="BlockText"/>
      </w:pPr>
      <w:r>
        <w:rPr>
          <w:b/>
          <w:bCs/>
        </w:rPr>
        <w:t xml:space="preserve">Em uma frase:</w:t>
      </w:r>
      <w:r>
        <w:t xml:space="preserve"> </w:t>
      </w:r>
      <w:r>
        <w:t xml:space="preserve">Quando alguém não arca com as consequências de suas ações, tende a agir de forma mais arriscada.</w:t>
      </w:r>
    </w:p>
    <w:p>
      <w:pPr>
        <w:pStyle w:val="BlockText"/>
      </w:pPr>
      <w:r>
        <w:rPr>
          <w:b/>
          <w:bCs/>
        </w:rPr>
        <w:t xml:space="preserve">Pense assim:</w:t>
      </w:r>
      <w:r>
        <w:t xml:space="preserve"> </w:t>
      </w:r>
      <w:r>
        <w:t xml:space="preserve">Uma pessoa com seguro de saúde completo pode cuidar menos da saúde (alimentação, exercício, prevenção) do que alguém sem seguro. O seguro</w:t>
      </w:r>
      <w:r>
        <w:t xml:space="preserve"> </w:t>
      </w:r>
      <w:r>
        <w:rPr>
          <w:i/>
          <w:iCs/>
        </w:rPr>
        <w:t xml:space="preserve">causa</w:t>
      </w:r>
      <w:r>
        <w:t xml:space="preserve"> </w:t>
      </w:r>
      <w:r>
        <w:t xml:space="preserve">comportamento mais arriscado — não apenas o cobre.</w:t>
      </w:r>
    </w:p>
    <w:p>
      <w:pPr>
        <w:pStyle w:val="BlockText"/>
      </w:pPr>
      <w:r>
        <w:rPr>
          <w:b/>
          <w:bCs/>
        </w:rPr>
        <w:t xml:space="preserve">No mundo corporativo:</w:t>
      </w:r>
      <w:r>
        <w:t xml:space="preserve"> </w:t>
      </w:r>
      <w:r>
        <w:t xml:space="preserve">Um CEO com salário fixo (sem bônus vinculado ao desempenho) tem menos incentivo para se esforçar. Contratos com stock options e bônus por performance são mecanismos para mitigar o moral hazard.</w:t>
      </w:r>
    </w:p>
    <w:p>
      <w:pPr>
        <w:pStyle w:val="BlockText"/>
      </w:pPr>
      <w:r>
        <w:rPr>
          <w:b/>
          <w:bCs/>
        </w:rPr>
        <w:t xml:space="preserve">Cross-reference:</w:t>
      </w:r>
      <w:r>
        <w:t xml:space="preserve"> </w:t>
      </w:r>
      <w:r>
        <w:t xml:space="preserve">O Capítulo 19 aprofunda o desenho de contratos ótimos e mecanismos de screening.</w:t>
      </w:r>
    </w:p>
    <w:bookmarkEnd w:id="614"/>
    <w:bookmarkEnd w:id="615"/>
    <w:bookmarkEnd w:id="616"/>
    <w:bookmarkStart w:id="621" w:name="Xd6567ab354bfba1a4c5af62d304dd9666fda270"/>
    <w:p>
      <w:pPr>
        <w:pStyle w:val="Heading2"/>
      </w:pPr>
      <w:r>
        <w:t xml:space="preserve">Conversa Barata: Cheap Talk e Comunicação Estratégica</w:t>
      </w:r>
    </w:p>
    <w:bookmarkStart w:id="620" w:name="Xf37edde4a289dff232a9bedeade148f2a216b1f"/>
    <w:p>
      <w:pPr>
        <w:pStyle w:val="Heading3"/>
      </w:pPr>
      <w:r>
        <w:t xml:space="preserve">9d.3 Conversa Barata:</w:t>
      </w:r>
      <w:r>
        <w:t xml:space="preserve"> </w:t>
      </w:r>
      <w:r>
        <w:rPr>
          <w:i/>
          <w:iCs/>
        </w:rPr>
        <w:t xml:space="preserve">Cheap Talk</w:t>
      </w:r>
      <w:r>
        <w:t xml:space="preserve"> </w:t>
      </w:r>
      <w:r>
        <w:t xml:space="preserve">e Comunicação Estratégica</w:t>
      </w:r>
    </w:p>
    <w:p>
      <w:pPr>
        <w:pStyle w:val="FirstParagraph"/>
      </w:pPr>
      <w:r>
        <w:t xml:space="preserve">No modelo de Spence, o sinal é crível porque é</w:t>
      </w:r>
      <w:r>
        <w:t xml:space="preserve"> </w:t>
      </w:r>
      <w:r>
        <w:rPr>
          <w:i/>
          <w:iCs/>
        </w:rPr>
        <w:t xml:space="preserve">custoso</w:t>
      </w:r>
      <w:r>
        <w:t xml:space="preserve">. Mas grande parte da comunicação no mundo real é gratuita: publicidade, discursos políticos, promessas de campanha, relatórios de analistas de mercado, descrições em apps de namoro. Quando a comunicação não envolve custo direto — o que a teoria chama de</w:t>
      </w:r>
      <w:r>
        <w:t xml:space="preserve"> </w:t>
      </w:r>
      <w:r>
        <w:rPr>
          <w:b/>
          <w:bCs/>
        </w:rPr>
        <w:t xml:space="preserve">cheap talk</w:t>
      </w:r>
      <w:r>
        <w:t xml:space="preserve"> </w:t>
      </w:r>
      <w:r>
        <w:t xml:space="preserve">— a pergunta central é:</w:t>
      </w:r>
      <w:r>
        <w:t xml:space="preserve"> </w:t>
      </w:r>
      <w:r>
        <w:rPr>
          <w:i/>
          <w:iCs/>
        </w:rPr>
        <w:t xml:space="preserve">alguém deveria acreditar?</w:t>
      </w:r>
      <w:r>
        <w:rPr>
          <w:rStyle w:val="FootnoteReference"/>
        </w:rPr>
        <w:footnoteReference w:id="617"/>
      </w:r>
    </w:p>
    <w:p>
      <w:pPr>
        <w:pStyle w:val="BodyText"/>
      </w:pPr>
      <w:r>
        <w:t xml:space="preserve">Crawford e Sobel (1982) formalizaram essa intuição num modelo elegante. Um remetente (</w:t>
      </w:r>
      <w:r>
        <w:rPr>
          <w:i/>
          <w:iCs/>
        </w:rPr>
        <w:t xml:space="preserve">sender</w:t>
      </w:r>
      <w:r>
        <w:t xml:space="preserve">) observa o estado do mundo</w:t>
      </w:r>
      <w:r>
        <w:t xml:space="preserve"> </w:t>
      </w:r>
      <m:oMath>
        <m:r>
          <m:t>θ</m:t>
        </m:r>
        <m:r>
          <m:rPr>
            <m:sty m:val="p"/>
          </m:rPr>
          <m:t>∼</m:t>
        </m:r>
        <m:r>
          <m:t>U</m:t>
        </m:r>
        <m:r>
          <m:rPr>
            <m:sty m:val="p"/>
          </m:rPr>
          <m:t>[</m:t>
        </m:r>
        <m:r>
          <m:t>0</m:t>
        </m:r>
        <m:r>
          <m:rPr>
            <m:sty m:val="p"/>
          </m:rPr>
          <m:t>,</m:t>
        </m:r>
        <m:r>
          <m:t>1</m:t>
        </m:r>
        <m:r>
          <m:rPr>
            <m:sty m:val="p"/>
          </m:rPr>
          <m:t>]</m:t>
        </m:r>
      </m:oMath>
      <w:r>
        <w:t xml:space="preserve"> </w:t>
      </w:r>
      <w:r>
        <w:t xml:space="preserve">e envia uma mensagem</w:t>
      </w:r>
      <w:r>
        <w:t xml:space="preserve"> </w:t>
      </w:r>
      <m:oMath>
        <m:r>
          <m:t>m</m:t>
        </m:r>
      </m:oMath>
      <w:r>
        <w:t xml:space="preserve"> </w:t>
      </w:r>
      <w:r>
        <w:t xml:space="preserve">(sem custo) ao receptor (</w:t>
      </w:r>
      <w:r>
        <w:rPr>
          <w:i/>
          <w:iCs/>
        </w:rPr>
        <w:t xml:space="preserve">receiver</w:t>
      </w:r>
      <w:r>
        <w:t xml:space="preserve">), que então escolhe uma ação</w:t>
      </w:r>
      <w:r>
        <w:t xml:space="preserve"> </w:t>
      </w:r>
      <m:oMath>
        <m:r>
          <m:t>a</m:t>
        </m:r>
      </m:oMath>
      <w:r>
        <w:t xml:space="preserve">. O remetente quer que o receptor escolha</w:t>
      </w:r>
      <w:r>
        <w:t xml:space="preserve"> </w:t>
      </w:r>
      <m:oMath>
        <m:r>
          <m:t>a</m:t>
        </m:r>
        <m:r>
          <m:rPr>
            <m:sty m:val="p"/>
          </m:rPr>
          <m:t>=</m:t>
        </m:r>
        <m:r>
          <m:t>θ</m:t>
        </m:r>
        <m:r>
          <m:rPr>
            <m:sty m:val="p"/>
          </m:rPr>
          <m:t>+</m:t>
        </m:r>
        <m:r>
          <m:t>b</m:t>
        </m:r>
      </m:oMath>
      <w:r>
        <w:t xml:space="preserve">, onde</w:t>
      </w:r>
      <w:r>
        <w:t xml:space="preserve"> </w:t>
      </w:r>
      <m:oMath>
        <m:r>
          <m:t>b</m:t>
        </m:r>
        <m:r>
          <m:rPr>
            <m:sty m:val="p"/>
          </m:rPr>
          <m:t>&gt;</m:t>
        </m:r>
        <m:r>
          <m:t>0</m:t>
        </m:r>
      </m:oMath>
      <w:r>
        <w:t xml:space="preserve"> </w:t>
      </w:r>
      <w:r>
        <w:t xml:space="preserve">é o</w:t>
      </w:r>
      <w:r>
        <w:t xml:space="preserve"> </w:t>
      </w:r>
      <w:r>
        <w:rPr>
          <w:b/>
          <w:bCs/>
        </w:rPr>
        <w:t xml:space="preserve">viés</w:t>
      </w:r>
      <w:r>
        <w:t xml:space="preserve"> </w:t>
      </w:r>
      <w:r>
        <w:t xml:space="preserve">— a distância entre a ação ideal do remetente e a do receptor (que quer</w:t>
      </w:r>
      <w:r>
        <w:t xml:space="preserve"> </w:t>
      </w:r>
      <m:oMath>
        <m:r>
          <m:t>a</m:t>
        </m:r>
        <m:r>
          <m:rPr>
            <m:sty m:val="p"/>
          </m:rPr>
          <m:t>=</m:t>
        </m:r>
        <m:r>
          <m:t>θ</m:t>
        </m:r>
      </m:oMath>
      <w:r>
        <w:t xml:space="preserve">). O viés captura o desalinhamento de interesses: quanto maior</w:t>
      </w:r>
      <w:r>
        <w:t xml:space="preserve"> </w:t>
      </w:r>
      <m:oMath>
        <m:r>
          <m:t>b</m:t>
        </m:r>
      </m:oMath>
      <w:r>
        <w:t xml:space="preserve">, mais o remetente quer</w:t>
      </w:r>
      <w:r>
        <w:t xml:space="preserve"> </w:t>
      </w:r>
      <w:r>
        <w:t xml:space="preserve">“empurrar”</w:t>
      </w:r>
      <w:r>
        <w:t xml:space="preserve"> </w:t>
      </w:r>
      <w:r>
        <w:t xml:space="preserve">a ação do receptor para cima.</w:t>
      </w:r>
    </w:p>
    <w:bookmarkStart w:id="618" w:name="Xadc5a4f41c4fe0246057b2a2c9f224dcc47c7ef"/>
    <w:p>
      <w:pPr>
        <w:pStyle w:val="Heading4"/>
      </w:pPr>
      <w:r>
        <w:t xml:space="preserve">O resultado central: equilíbrio de partição</w:t>
      </w:r>
    </w:p>
    <w:p>
      <w:pPr>
        <w:pStyle w:val="FirstParagraph"/>
      </w:pPr>
      <w:r>
        <w:t xml:space="preserve">[FIGURA INTERATIVA: /micro-book/graficos/cap09d/cheap-talk.html — versao interativa disponivel online]</w:t>
      </w:r>
    </w:p>
    <w:p>
      <w:pPr>
        <w:pStyle w:val="BodyText"/>
      </w:pPr>
      <w:r>
        <w:rPr>
          <w:b/>
          <w:bCs/>
        </w:rPr>
        <w:t xml:space="preserve">Figura 9d.4 — Cheap Talk (Crawford-Sobel).</w:t>
      </w:r>
      <w:r>
        <w:t xml:space="preserve"> </w:t>
      </w:r>
      <w:r>
        <w:t xml:space="preserve">Aumente o viés</w:t>
      </w:r>
      <w:r>
        <w:t xml:space="preserve"> </w:t>
      </w:r>
      <m:oMath>
        <m:r>
          <m:t>b</m:t>
        </m:r>
      </m:oMath>
      <w:r>
        <w:t xml:space="preserve"> </w:t>
      </w:r>
      <w:r>
        <w:t xml:space="preserve">e observe a partição ficar mais grosseira: menos intervalos, menos informação transmitida. Com</w:t>
      </w:r>
      <w:r>
        <w:t xml:space="preserve"> </w:t>
      </w:r>
      <m:oMath>
        <m:r>
          <m:t>b</m:t>
        </m:r>
        <m:r>
          <m:rPr>
            <m:sty m:val="p"/>
          </m:rPr>
          <m:t>=</m:t>
        </m:r>
        <m:r>
          <m:t>0</m:t>
        </m:r>
      </m:oMath>
      <w:r>
        <w:t xml:space="preserve">, revelação completa; com</w:t>
      </w:r>
      <w:r>
        <w:t xml:space="preserve"> </w:t>
      </w:r>
      <m:oMath>
        <m:r>
          <m:t>b</m:t>
        </m:r>
        <m:r>
          <m:rPr>
            <m:sty m:val="p"/>
          </m:rPr>
          <m:t>≥</m:t>
        </m:r>
        <m:r>
          <m:t>0.25</m:t>
        </m:r>
      </m:oMath>
      <w:r>
        <w:t xml:space="preserve">, babbling — nenhuma informação.</w:t>
      </w:r>
    </w:p>
    <w:p>
      <w:pPr>
        <w:pStyle w:val="BodyText"/>
      </w:pPr>
      <w:r>
        <w:t xml:space="preserve">O resultado de Crawford-Sobel é que, em equilíbrio, a comunicação assume a forma de uma</w:t>
      </w:r>
      <w:r>
        <w:t xml:space="preserve"> </w:t>
      </w:r>
      <w:r>
        <w:rPr>
          <w:b/>
          <w:bCs/>
        </w:rPr>
        <w:t xml:space="preserve">partição</w:t>
      </w:r>
      <w:r>
        <w:t xml:space="preserve"> </w:t>
      </w:r>
      <w:r>
        <w:t xml:space="preserve">do espaço de estados. O remetente não diz o valor exato de</w:t>
      </w:r>
      <w:r>
        <w:t xml:space="preserve"> </w:t>
      </w:r>
      <m:oMath>
        <m:r>
          <m:t>θ</m:t>
        </m:r>
      </m:oMath>
      <w:r>
        <w:t xml:space="preserve">, mas indica em qual</w:t>
      </w:r>
      <w:r>
        <w:t xml:space="preserve"> </w:t>
      </w:r>
      <w:r>
        <w:rPr>
          <w:i/>
          <w:iCs/>
        </w:rPr>
        <w:t xml:space="preserve">intervalo</w:t>
      </w:r>
      <w:r>
        <w:t xml:space="preserve"> </w:t>
      </w:r>
      <m:oMath>
        <m:r>
          <m:t>θ</m:t>
        </m:r>
      </m:oMath>
      <w:r>
        <w:t xml:space="preserve"> </w:t>
      </w:r>
      <w:r>
        <w:t xml:space="preserve">se encontra. O receptor, sabendo o intervalo, escolhe a ação ótima dado esse conhecimento parcial.</w:t>
      </w:r>
    </w:p>
    <w:p>
      <w:pPr>
        <w:pStyle w:val="Compact"/>
        <w:numPr>
          <w:ilvl w:val="0"/>
          <w:numId w:val="1584"/>
        </w:numPr>
      </w:pPr>
      <w:r>
        <w:t xml:space="preserve">Se o</w:t>
      </w:r>
      <w:r>
        <w:t xml:space="preserve"> </w:t>
      </w:r>
      <w:r>
        <w:rPr>
          <w:b/>
          <w:bCs/>
        </w:rPr>
        <w:t xml:space="preserve">viés é zero</w:t>
      </w:r>
      <w:r>
        <w:t xml:space="preserve"> </w:t>
      </w:r>
      <w:r>
        <w:t xml:space="preserve">(</w:t>
      </w:r>
      <m:oMath>
        <m:r>
          <m:t>b</m:t>
        </m:r>
        <m:r>
          <m:rPr>
            <m:sty m:val="p"/>
          </m:rPr>
          <m:t>=</m:t>
        </m:r>
        <m:r>
          <m:t>0</m:t>
        </m:r>
      </m:oMath>
      <w:r>
        <w:t xml:space="preserve">): interesses perfeitamente alinhados. Revelação completa é possível — o remetente diz a verdade e o receptor acredita. É o caso do consultor imparcial.</w:t>
      </w:r>
    </w:p>
    <w:p>
      <w:pPr>
        <w:pStyle w:val="Compact"/>
        <w:numPr>
          <w:ilvl w:val="0"/>
          <w:numId w:val="1584"/>
        </w:numPr>
      </w:pPr>
      <w:r>
        <w:t xml:space="preserve">Se o</w:t>
      </w:r>
      <w:r>
        <w:t xml:space="preserve"> </w:t>
      </w:r>
      <w:r>
        <w:rPr>
          <w:b/>
          <w:bCs/>
        </w:rPr>
        <w:t xml:space="preserve">viés é pequeno</w:t>
      </w:r>
      <w:r>
        <w:t xml:space="preserve">: a partição é fina — muitos intervalos, muita informação transmitida. O receptor aprende bastante, embora não tudo.</w:t>
      </w:r>
    </w:p>
    <w:p>
      <w:pPr>
        <w:pStyle w:val="Compact"/>
        <w:numPr>
          <w:ilvl w:val="0"/>
          <w:numId w:val="1584"/>
        </w:numPr>
      </w:pPr>
      <w:r>
        <w:t xml:space="preserve">Se o</w:t>
      </w:r>
      <w:r>
        <w:t xml:space="preserve"> </w:t>
      </w:r>
      <w:r>
        <w:rPr>
          <w:b/>
          <w:bCs/>
        </w:rPr>
        <w:t xml:space="preserve">viés é grande</w:t>
      </w:r>
      <w:r>
        <w:t xml:space="preserve">: a partição é grosseira — poucos intervalos, pouca informação. No limite, quando</w:t>
      </w:r>
      <w:r>
        <w:t xml:space="preserve"> </w:t>
      </w:r>
      <m:oMath>
        <m:r>
          <m:t>b</m:t>
        </m:r>
      </m:oMath>
      <w:r>
        <w:t xml:space="preserve"> </w:t>
      </w:r>
      <w:r>
        <w:t xml:space="preserve">é suficientemente grande, a única partição é o intervalo inteiro</w:t>
      </w:r>
      <w:r>
        <w:t xml:space="preserve"> </w:t>
      </w:r>
      <m:oMath>
        <m:r>
          <m:rPr>
            <m:sty m:val="p"/>
          </m:rPr>
          <m:t>[</m:t>
        </m:r>
        <m:r>
          <m:t>0</m:t>
        </m:r>
        <m:r>
          <m:rPr>
            <m:sty m:val="p"/>
          </m:rPr>
          <m:t>,</m:t>
        </m:r>
        <m:r>
          <m:t>1</m:t>
        </m:r>
        <m:r>
          <m:rPr>
            <m:sty m:val="p"/>
          </m:rPr>
          <m:t>]</m:t>
        </m:r>
      </m:oMath>
      <w:r>
        <w:t xml:space="preserve"> </w:t>
      </w:r>
      <w:r>
        <w:t xml:space="preserve">— o remetente não transmite</w:t>
      </w:r>
      <w:r>
        <w:t xml:space="preserve"> </w:t>
      </w:r>
      <w:r>
        <w:rPr>
          <w:i/>
          <w:iCs/>
        </w:rPr>
        <w:t xml:space="preserve">nenhuma</w:t>
      </w:r>
      <w:r>
        <w:t xml:space="preserve"> </w:t>
      </w:r>
      <w:r>
        <w:t xml:space="preserve">informação, e a mensagem é puro ruído (como o vendedor do papagaio morto).</w:t>
      </w:r>
    </w:p>
    <w:p>
      <w:pPr>
        <w:pStyle w:val="FirstParagraph"/>
      </w:pPr>
      <w:r>
        <w:t xml:space="preserve">O número máximo de intervalos na partição de equilíbrio é decrescente em</w:t>
      </w:r>
      <w:r>
        <w:t xml:space="preserve"> </w:t>
      </w:r>
      <m:oMath>
        <m:r>
          <m:t>b</m:t>
        </m:r>
      </m:oMath>
      <w:r>
        <w:t xml:space="preserve">: quanto maior o desalinhamento, menos informação é credível. Formalmente, existe um equilíbrio com</w:t>
      </w:r>
      <w:r>
        <w:t xml:space="preserve"> </w:t>
      </w:r>
      <m:oMath>
        <m:r>
          <m:t>N</m:t>
        </m:r>
      </m:oMath>
      <w:r>
        <w:t xml:space="preserve"> </w:t>
      </w:r>
      <w:r>
        <w:t xml:space="preserve">intervalos se e somente se</w:t>
      </w:r>
      <w:r>
        <w:t xml:space="preserve"> </w:t>
      </w:r>
      <m:oMath>
        <m:r>
          <m:t>b</m:t>
        </m:r>
        <m:r>
          <m:rPr>
            <m:sty m:val="p"/>
          </m:rPr>
          <m:t>&lt;</m:t>
        </m:r>
        <m:r>
          <m:t>1</m:t>
        </m:r>
        <m:r>
          <m:rPr>
            <m:sty m:val="p"/>
          </m:rPr>
          <m:t>/</m:t>
        </m:r>
        <m:r>
          <m:rPr>
            <m:sty m:val="p"/>
          </m:rPr>
          <m:t>(</m:t>
        </m:r>
        <m:r>
          <m:t>2</m:t>
        </m:r>
        <m:r>
          <m:t>N</m:t>
        </m:r>
        <m:r>
          <m:rPr>
            <m:sty m:val="p"/>
          </m:rPr>
          <m:t>(</m:t>
        </m:r>
        <m:r>
          <m:t>N</m:t>
        </m:r>
        <m:r>
          <m:rPr>
            <m:sty m:val="p"/>
          </m:rPr>
          <m:t>−</m:t>
        </m:r>
        <m:r>
          <m:t>1</m:t>
        </m:r>
        <m:r>
          <m:rPr>
            <m:sty m:val="p"/>
          </m:rPr>
          <m:t>)</m:t>
        </m:r>
        <m:r>
          <m:rPr>
            <m:sty m:val="p"/>
          </m:rPr>
          <m:t>)</m:t>
        </m:r>
      </m:oMath>
      <w:r>
        <w:t xml:space="preserve">. Para</w:t>
      </w:r>
      <w:r>
        <w:t xml:space="preserve"> </w:t>
      </w:r>
      <m:oMath>
        <m:r>
          <m:t>b</m:t>
        </m:r>
        <m:r>
          <m:rPr>
            <m:sty m:val="p"/>
          </m:rPr>
          <m:t>≥</m:t>
        </m:r>
        <m:r>
          <m:t>1</m:t>
        </m:r>
        <m:r>
          <m:rPr>
            <m:sty m:val="p"/>
          </m:rPr>
          <m:t>/</m:t>
        </m:r>
        <m:r>
          <m:t>4</m:t>
        </m:r>
      </m:oMath>
      <w:r>
        <w:t xml:space="preserve">, apenas o equilíbrio</w:t>
      </w:r>
      <w:r>
        <w:t xml:space="preserve"> </w:t>
      </w:r>
      <w:r>
        <w:t xml:space="preserve">“babbling”</w:t>
      </w:r>
      <w:r>
        <w:t xml:space="preserve"> </w:t>
      </w:r>
      <w:r>
        <w:t xml:space="preserve">(nenhuma informação) existe.</w:t>
      </w:r>
    </w:p>
    <w:p>
      <w:pPr>
        <w:pStyle w:val="BlockText"/>
      </w:pPr>
      <w:r>
        <w:rPr>
          <w:b/>
          <w:bCs/>
        </w:rPr>
        <w:t xml:space="preserve">[INTUICAO ECONOMICA] Intuição Econômica</w:t>
      </w:r>
    </w:p>
    <w:p>
      <w:pPr>
        <w:pStyle w:val="BlockText"/>
      </w:pPr>
      <w:r>
        <w:rPr>
          <w:b/>
          <w:bCs/>
        </w:rPr>
        <w:t xml:space="preserve">Em uma frase:</w:t>
      </w:r>
      <w:r>
        <w:t xml:space="preserve"> </w:t>
      </w:r>
      <w:r>
        <w:t xml:space="preserve">Quando falar é de graça, a credibilidade depende inteiramente de quanto os interesses do emissor estão alinhados com os do receptor.</w:t>
      </w:r>
    </w:p>
    <w:p>
      <w:pPr>
        <w:pStyle w:val="BlockText"/>
      </w:pPr>
      <w:r>
        <w:rPr>
          <w:b/>
          <w:bCs/>
        </w:rPr>
        <w:t xml:space="preserve">Pense assim:</w:t>
      </w:r>
      <w:r>
        <w:t xml:space="preserve"> </w:t>
      </w:r>
      <w:r>
        <w:t xml:space="preserve">Um corretor de imóveis diz que o apartamento é</w:t>
      </w:r>
      <w:r>
        <w:t xml:space="preserve"> </w:t>
      </w:r>
      <w:r>
        <w:t xml:space="preserve">“uma oportunidade imperdível”</w:t>
      </w:r>
      <w:r>
        <w:t xml:space="preserve">. Você acredita? O corretor ganha comissão na venda (viés positivo) — logo, tem incentivo para exagerar a qualidade. Mas ele não mente</w:t>
      </w:r>
      <w:r>
        <w:t xml:space="preserve"> </w:t>
      </w:r>
      <w:r>
        <w:rPr>
          <w:i/>
          <w:iCs/>
        </w:rPr>
        <w:t xml:space="preserve">completamente</w:t>
      </w:r>
      <w:r>
        <w:t xml:space="preserve">, porque tem reputação a zelar e você pode verificar informações básicas. O resultado é comunicação parcial: o corretor transmite</w:t>
      </w:r>
      <w:r>
        <w:t xml:space="preserve"> </w:t>
      </w:r>
      <w:r>
        <w:rPr>
          <w:i/>
          <w:iCs/>
        </w:rPr>
        <w:t xml:space="preserve">alguma</w:t>
      </w:r>
      <w:r>
        <w:t xml:space="preserve"> </w:t>
      </w:r>
      <w:r>
        <w:t xml:space="preserve">informação (localização, metragem, preço), mas o comprador racionalmente desconta a avaliação subjetiva de qualidade.</w:t>
      </w:r>
    </w:p>
    <w:p>
      <w:pPr>
        <w:pStyle w:val="BlockText"/>
      </w:pPr>
      <w:r>
        <w:rPr>
          <w:b/>
          <w:bCs/>
        </w:rPr>
        <w:t xml:space="preserve">Exemplos de cheap talk com viés variável:</w:t>
      </w:r>
    </w:p>
    <w:tbl>
      <w:tblPr>
        <w:tblStyle w:val="Table"/>
        <w:tblW w:type="pct" w:w="5000"/>
        <w:tblLayout w:type="fixed"/>
        <w:tblLook w:firstRow="1" w:lastRow="0" w:firstColumn="0" w:lastColumn="0" w:noHBand="0" w:noVBand="0" w:val="0020"/>
      </w:tblPr>
      <w:tblGrid>
        <w:gridCol w:w="1742"/>
        <w:gridCol w:w="1584"/>
        <w:gridCol w:w="950"/>
        <w:gridCol w:w="3643"/>
      </w:tblGrid>
      <w:tr>
        <w:trPr>
          <w:tblHeader w:val="on"/>
        </w:trPr>
        <w:tc>
          <w:tcPr/>
          <w:p>
            <w:pPr>
              <w:pStyle w:val="Compact"/>
              <w:jc w:val="left"/>
            </w:pPr>
            <w:r>
              <w:t xml:space="preserve">Remetente</w:t>
            </w:r>
          </w:p>
        </w:tc>
        <w:tc>
          <w:tcPr/>
          <w:p>
            <w:pPr>
              <w:pStyle w:val="Compact"/>
              <w:jc w:val="left"/>
            </w:pPr>
            <w:r>
              <w:t xml:space="preserve">Receptor</w:t>
            </w:r>
          </w:p>
        </w:tc>
        <w:tc>
          <w:tcPr/>
          <w:p>
            <w:pPr>
              <w:pStyle w:val="Compact"/>
              <w:jc w:val="left"/>
            </w:pPr>
            <w:r>
              <w:t xml:space="preserve">Viés</w:t>
            </w:r>
          </w:p>
        </w:tc>
        <w:tc>
          <w:tcPr/>
          <w:p>
            <w:pPr>
              <w:pStyle w:val="Compact"/>
              <w:jc w:val="left"/>
            </w:pPr>
            <w:r>
              <w:t xml:space="preserve">Informação transmitida</w:t>
            </w:r>
          </w:p>
        </w:tc>
      </w:tr>
      <w:tr>
        <w:tc>
          <w:tcPr/>
          <w:p>
            <w:pPr>
              <w:pStyle w:val="Compact"/>
              <w:jc w:val="left"/>
            </w:pPr>
            <w:r>
              <w:t xml:space="preserve">Meteorologista</w:t>
            </w:r>
          </w:p>
        </w:tc>
        <w:tc>
          <w:tcPr/>
          <w:p>
            <w:pPr>
              <w:pStyle w:val="Compact"/>
              <w:jc w:val="left"/>
            </w:pPr>
            <w:r>
              <w:t xml:space="preserve">Público</w:t>
            </w:r>
          </w:p>
        </w:tc>
        <w:tc>
          <w:tcPr/>
          <w:p>
            <w:pPr>
              <w:pStyle w:val="Compact"/>
              <w:jc w:val="left"/>
            </w:pPr>
            <w:r>
              <w:t xml:space="preserve">~Zero</w:t>
            </w:r>
          </w:p>
        </w:tc>
        <w:tc>
          <w:tcPr/>
          <w:p>
            <w:pPr>
              <w:pStyle w:val="Compact"/>
              <w:jc w:val="left"/>
            </w:pPr>
            <w:r>
              <w:t xml:space="preserve">Quase completa (previsão precisa)</w:t>
            </w:r>
          </w:p>
        </w:tc>
      </w:tr>
      <w:tr>
        <w:tc>
          <w:tcPr/>
          <w:p>
            <w:pPr>
              <w:pStyle w:val="Compact"/>
              <w:jc w:val="left"/>
            </w:pPr>
            <w:r>
              <w:t xml:space="preserve">Médico do SUS</w:t>
            </w:r>
          </w:p>
        </w:tc>
        <w:tc>
          <w:tcPr/>
          <w:p>
            <w:pPr>
              <w:pStyle w:val="Compact"/>
              <w:jc w:val="left"/>
            </w:pPr>
            <w:r>
              <w:t xml:space="preserve">Paciente</w:t>
            </w:r>
          </w:p>
        </w:tc>
        <w:tc>
          <w:tcPr/>
          <w:p>
            <w:pPr>
              <w:pStyle w:val="Compact"/>
              <w:jc w:val="left"/>
            </w:pPr>
            <w:r>
              <w:t xml:space="preserve">Baixo</w:t>
            </w:r>
          </w:p>
        </w:tc>
        <w:tc>
          <w:tcPr/>
          <w:p>
            <w:pPr>
              <w:pStyle w:val="Compact"/>
              <w:jc w:val="left"/>
            </w:pPr>
            <w:r>
              <w:t xml:space="preserve">Alta (interesse alinhado na saúde)</w:t>
            </w:r>
          </w:p>
        </w:tc>
      </w:tr>
      <w:tr>
        <w:tc>
          <w:tcPr/>
          <w:p>
            <w:pPr>
              <w:pStyle w:val="Compact"/>
              <w:jc w:val="left"/>
            </w:pPr>
            <w:r>
              <w:t xml:space="preserve">Vendedor de carro</w:t>
            </w:r>
          </w:p>
        </w:tc>
        <w:tc>
          <w:tcPr/>
          <w:p>
            <w:pPr>
              <w:pStyle w:val="Compact"/>
              <w:jc w:val="left"/>
            </w:pPr>
            <w:r>
              <w:t xml:space="preserve">Comprador</w:t>
            </w:r>
          </w:p>
        </w:tc>
        <w:tc>
          <w:tcPr/>
          <w:p>
            <w:pPr>
              <w:pStyle w:val="Compact"/>
              <w:jc w:val="left"/>
            </w:pPr>
            <w:r>
              <w:t xml:space="preserve">Alto</w:t>
            </w:r>
          </w:p>
        </w:tc>
        <w:tc>
          <w:tcPr/>
          <w:p>
            <w:pPr>
              <w:pStyle w:val="Compact"/>
              <w:jc w:val="left"/>
            </w:pPr>
            <w:r>
              <w:t xml:space="preserve">Muito parcial (desconta elogios)</w:t>
            </w:r>
          </w:p>
        </w:tc>
      </w:tr>
      <w:tr>
        <w:tc>
          <w:tcPr/>
          <w:p>
            <w:pPr>
              <w:pStyle w:val="Compact"/>
              <w:jc w:val="left"/>
            </w:pPr>
            <w:r>
              <w:t xml:space="preserve">Político em campanha</w:t>
            </w:r>
          </w:p>
        </w:tc>
        <w:tc>
          <w:tcPr/>
          <w:p>
            <w:pPr>
              <w:pStyle w:val="Compact"/>
              <w:jc w:val="left"/>
            </w:pPr>
            <w:r>
              <w:t xml:space="preserve">Eleitor</w:t>
            </w:r>
          </w:p>
        </w:tc>
        <w:tc>
          <w:tcPr/>
          <w:p>
            <w:pPr>
              <w:pStyle w:val="Compact"/>
              <w:jc w:val="left"/>
            </w:pPr>
            <w:r>
              <w:t xml:space="preserve">Variável</w:t>
            </w:r>
          </w:p>
        </w:tc>
        <w:tc>
          <w:tcPr/>
          <w:p>
            <w:pPr>
              <w:pStyle w:val="Compact"/>
              <w:jc w:val="left"/>
            </w:pPr>
            <w:r>
              <w:t xml:space="preserve">Depende do histórico e da instituição</w:t>
            </w:r>
          </w:p>
        </w:tc>
      </w:tr>
      <w:tr>
        <w:tc>
          <w:tcPr/>
          <w:p>
            <w:pPr>
              <w:pStyle w:val="Compact"/>
              <w:jc w:val="left"/>
            </w:pPr>
            <w:r>
              <w:t xml:space="preserve">Analista de sell-side</w:t>
            </w:r>
          </w:p>
        </w:tc>
        <w:tc>
          <w:tcPr/>
          <w:p>
            <w:pPr>
              <w:pStyle w:val="Compact"/>
              <w:jc w:val="left"/>
            </w:pPr>
            <w:r>
              <w:t xml:space="preserve">Investidores</w:t>
            </w:r>
          </w:p>
        </w:tc>
        <w:tc>
          <w:tcPr/>
          <w:p>
            <w:pPr>
              <w:pStyle w:val="Compact"/>
              <w:jc w:val="left"/>
            </w:pPr>
            <w:r>
              <w:t xml:space="preserve">Moderado-alto</w:t>
            </w:r>
          </w:p>
        </w:tc>
        <w:tc>
          <w:tcPr/>
          <w:p>
            <w:pPr>
              <w:pStyle w:val="Compact"/>
              <w:jc w:val="left"/>
            </w:pPr>
            <w:r>
              <w:t xml:space="preserve">Parcial (viés de recomendação)</w:t>
            </w:r>
          </w:p>
        </w:tc>
      </w:tr>
    </w:tbl>
    <w:bookmarkEnd w:id="618"/>
    <w:bookmarkStart w:id="619" w:name="aplicações"/>
    <w:p>
      <w:pPr>
        <w:pStyle w:val="Heading4"/>
      </w:pPr>
      <w:r>
        <w:t xml:space="preserve">Aplicações</w:t>
      </w:r>
    </w:p>
    <w:p>
      <w:pPr>
        <w:pStyle w:val="FirstParagraph"/>
      </w:pPr>
      <w:r>
        <w:rPr>
          <w:b/>
          <w:bCs/>
        </w:rPr>
        <w:t xml:space="preserve">Forward guidance do Banco Central.</w:t>
      </w:r>
      <w:r>
        <w:t xml:space="preserve"> </w:t>
      </w:r>
      <w:r>
        <w:t xml:space="preserve">A comunicação do BCB com o mercado é um caso paradigmático de cheap talk institucional. Quando o Copom sinaliza</w:t>
      </w:r>
      <w:r>
        <w:t xml:space="preserve"> </w:t>
      </w:r>
      <w:r>
        <w:t xml:space="preserve">“manutenção da taxa Selic na próxima reunião”</w:t>
      </w:r>
      <w:r>
        <w:t xml:space="preserve">, o mercado precisa avaliar: essa comunicação é informativa ou estratégica? A resposta depende do viés percebido. Se o mercado acredita que o BCB tem viés inflacionário (interesses desalinhados), desconta a comunicação e a curva de juros não se move. Se confia na autonomia institucional (interesses mais alinhados), a comunicação é eficaz e as expectativas se ajustam. A LC 179/2021, ao formalizar a autonomia do BCB, reduziu o viés percebido e aumentou a informatividade do forward guidance — evidenciada pela redução da volatilidade da curva de juros em torno dos comunicados do Copom (ver Box Brasil 9d sobre forward guidance).</w:t>
      </w:r>
    </w:p>
    <w:p>
      <w:pPr>
        <w:pStyle w:val="BodyText"/>
      </w:pPr>
      <w:r>
        <w:rPr>
          <w:b/>
          <w:bCs/>
        </w:rPr>
        <w:t xml:space="preserve">Publicidade e regulação.</w:t>
      </w:r>
      <w:r>
        <w:t xml:space="preserve"> </w:t>
      </w:r>
      <w:r>
        <w:t xml:space="preserve">A propaganda comercial é cheap talk com viés: o anunciante tem incentivo para exagerar as qualidades do produto. A regulação de publicidade (Conar, Procon) funciona como mecanismo que</w:t>
      </w:r>
      <w:r>
        <w:t xml:space="preserve"> </w:t>
      </w:r>
      <w:r>
        <w:rPr>
          <w:i/>
          <w:iCs/>
        </w:rPr>
        <w:t xml:space="preserve">aumenta o custo</w:t>
      </w:r>
      <w:r>
        <w:t xml:space="preserve"> </w:t>
      </w:r>
      <w:r>
        <w:t xml:space="preserve">de mentir, convertendo cheap talk em comunicação parcialmente custosa — e, portanto, mais crível. Quando a Anvisa exige que embalagens de cigarro carreguem imagens de advertência, está forçando a revelação de informação que o remetente (fabricante) preferiria omitir.</w:t>
      </w:r>
    </w:p>
    <w:p>
      <w:pPr>
        <w:pStyle w:val="BodyText"/>
      </w:pPr>
      <w:r>
        <w:rPr>
          <w:b/>
          <w:bCs/>
        </w:rPr>
        <w:t xml:space="preserve">Promessas de campanha.</w:t>
      </w:r>
      <w:r>
        <w:t xml:space="preserve"> </w:t>
      </w:r>
      <w:r>
        <w:t xml:space="preserve">Promessas eleitorais são cheap talk por excelência: o candidato fala antes da eleição, e a ação (governar) ocorre depois. O modelo prevê que eleitores deveriam descontar promessas na proporção do viés percebido — e é exatamente o que dados de confiança institucional mostram: em países com alto grau de desconfiança em políticos (como o Brasil, onde apenas ~15% confiam nos partidos, segundo o Latinobarómetro), promessas de campanha têm baixíssima informatividade.</w:t>
      </w:r>
    </w:p>
    <w:bookmarkEnd w:id="619"/>
    <w:bookmarkEnd w:id="620"/>
    <w:bookmarkEnd w:id="621"/>
    <w:bookmarkStart w:id="629" w:name="exercícios-12"/>
    <w:p>
      <w:pPr>
        <w:pStyle w:val="Heading2"/>
      </w:pPr>
      <w:r>
        <w:t xml:space="preserve">Exercícios</w:t>
      </w:r>
    </w:p>
    <w:bookmarkStart w:id="622" w:name="atividades-de-sala-de-aula-3"/>
    <w:p>
      <w:pPr>
        <w:pStyle w:val="Heading3"/>
      </w:pPr>
      <w:r>
        <w:t xml:space="preserve">🧪 Atividades de Sala de Aula</w:t>
      </w:r>
    </w:p>
    <w:p>
      <w:pPr>
        <w:pStyle w:val="BlockText"/>
      </w:pPr>
      <w:r>
        <w:rPr>
          <w:b/>
          <w:bCs/>
        </w:rPr>
        <w:t xml:space="preserve">[ATIVIDADE DE SALA] Atividade 9d.1 — Role-play: mercado de limões com garantias (25 min)</w:t>
      </w:r>
    </w:p>
    <w:p>
      <w:pPr>
        <w:pStyle w:val="BlockText"/>
      </w:pPr>
      <w:r>
        <w:rPr>
          <w:b/>
          <w:bCs/>
        </w:rPr>
        <w:t xml:space="preserve">Objetivo:</w:t>
      </w:r>
      <w:r>
        <w:t xml:space="preserve"> </w:t>
      </w:r>
      <w:r>
        <w:t xml:space="preserve">Demonstrar ao vivo como a seleção adversa destrói um mercado e como a sinalização (garantia) o restaura.</w:t>
      </w:r>
    </w:p>
    <w:p>
      <w:pPr>
        <w:pStyle w:val="BlockText"/>
      </w:pPr>
      <w:r>
        <w:rPr>
          <w:b/>
          <w:bCs/>
        </w:rPr>
        <w:t xml:space="preserve">Material:</w:t>
      </w:r>
      <w:r>
        <w:t xml:space="preserve"> </w:t>
      </w:r>
      <w:r>
        <w:t xml:space="preserve">Cartas de baralho (qualidades 1-10); fichas de dinheiro; adesivos</w:t>
      </w:r>
      <w:r>
        <w:t xml:space="preserve"> </w:t>
      </w:r>
      <w:r>
        <w:t xml:space="preserve">“GARANTIA”</w:t>
      </w:r>
      <w:r>
        <w:t xml:space="preserve"> </w:t>
      </w:r>
      <w:r>
        <w:t xml:space="preserve">(para a Fase 2).</w:t>
      </w:r>
    </w:p>
    <w:p>
      <w:pPr>
        <w:pStyle w:val="BlockText"/>
      </w:pPr>
      <w:r>
        <w:rPr>
          <w:b/>
          <w:bCs/>
        </w:rPr>
        <w:t xml:space="preserve">Protocolo:</w:t>
      </w:r>
    </w:p>
    <w:p>
      <w:pPr>
        <w:pStyle w:val="Compact"/>
        <w:numPr>
          <w:ilvl w:val="0"/>
          <w:numId w:val="1585"/>
        </w:numPr>
      </w:pPr>
      <w:r>
        <w:rPr>
          <w:b/>
          <w:bCs/>
        </w:rPr>
        <w:t xml:space="preserve">Setup</w:t>
      </w:r>
      <w:r>
        <w:t xml:space="preserve"> </w:t>
      </w:r>
      <w:r>
        <w:t xml:space="preserve">(3 min): Metade da turma são vendedores, metade compradores. Cada vendedor sorteia uma carta de qualidade</w:t>
      </w:r>
      <w:r>
        <w:t xml:space="preserve"> </w:t>
      </w:r>
      <m:oMath>
        <m:r>
          <m:t>q</m:t>
        </m:r>
      </m:oMath>
      <w:r>
        <w:t xml:space="preserve"> </w:t>
      </w:r>
      <w:r>
        <w:t xml:space="preserve">(secreta). Valor para o vendedor =</w:t>
      </w:r>
      <w:r>
        <w:t xml:space="preserve"> </w:t>
      </w:r>
      <m:oMath>
        <m:r>
          <m:t>q</m:t>
        </m:r>
      </m:oMath>
      <w:r>
        <w:t xml:space="preserve">; valor para o comprador =</w:t>
      </w:r>
      <w:r>
        <w:t xml:space="preserve"> </w:t>
      </w:r>
      <m:oMath>
        <m:r>
          <m:t>1</m:t>
        </m:r>
        <m:r>
          <m:rPr>
            <m:sty m:val="p"/>
          </m:rPr>
          <m:t>,</m:t>
        </m:r>
        <m:r>
          <m:t>5</m:t>
        </m:r>
        <m:r>
          <m:t>q</m:t>
        </m:r>
      </m:oMath>
      <w:r>
        <w:t xml:space="preserve">.</w:t>
      </w:r>
    </w:p>
    <w:p>
      <w:pPr>
        <w:pStyle w:val="Compact"/>
        <w:numPr>
          <w:ilvl w:val="0"/>
          <w:numId w:val="1585"/>
        </w:numPr>
      </w:pPr>
      <w:r>
        <w:rPr>
          <w:b/>
          <w:bCs/>
        </w:rPr>
        <w:t xml:space="preserve">Fase 1 — Sem sinalização</w:t>
      </w:r>
      <w:r>
        <w:t xml:space="preserve"> </w:t>
      </w:r>
      <w:r>
        <w:t xml:space="preserve">(8 min): Vendedores e compradores negociam livremente. Vendedores</w:t>
      </w:r>
      <w:r>
        <w:t xml:space="preserve"> </w:t>
      </w:r>
      <w:r>
        <w:rPr>
          <w:i/>
          <w:iCs/>
        </w:rPr>
        <w:t xml:space="preserve">não</w:t>
      </w:r>
      <w:r>
        <w:t xml:space="preserve"> </w:t>
      </w:r>
      <w:r>
        <w:t xml:space="preserve">revelam a qualidade. Compradores oferecem preço; vendedores aceitam ou recusam. Registre todas as transações (preço, qualidade real). Após 4 minutos, observe: vendedores de carros bons (q ≥ 7) conseguem vender? Provavelmente não — o preço médio é baixo demais.</w:t>
      </w:r>
    </w:p>
    <w:p>
      <w:pPr>
        <w:pStyle w:val="Compact"/>
        <w:numPr>
          <w:ilvl w:val="0"/>
          <w:numId w:val="1585"/>
        </w:numPr>
      </w:pPr>
      <w:r>
        <w:rPr>
          <w:b/>
          <w:bCs/>
        </w:rPr>
        <w:t xml:space="preserve">Fase 2 — Com sinalização</w:t>
      </w:r>
      <w:r>
        <w:t xml:space="preserve"> </w:t>
      </w:r>
      <w:r>
        <w:t xml:space="preserve">(8 min): Agora, vendedores podem oferecer</w:t>
      </w:r>
      <w:r>
        <w:t xml:space="preserve"> </w:t>
      </w:r>
      <w:r>
        <w:t xml:space="preserve">“garantia”</w:t>
      </w:r>
      <w:r>
        <w:t xml:space="preserve"> </w:t>
      </w:r>
      <w:r>
        <w:t xml:space="preserve">(adesivo). O custo da garantia: se o comprador acionar (sorteio de dado: 1-2 = aciona, 3-6 = não aciona), o vendedor paga</w:t>
      </w:r>
      <w:r>
        <w:t xml:space="preserve"> </w:t>
      </w:r>
      <m:oMath>
        <m:sSub>
          <m:e>
            <m:r>
              <m:t>q</m:t>
            </m:r>
          </m:e>
          <m:sub>
            <m:r>
              <m:rPr>
                <m:nor/>
                <m:sty m:val="p"/>
              </m:rPr>
              <m:t>defeito</m:t>
            </m:r>
          </m:sub>
        </m:sSub>
        <m:r>
          <m:rPr>
            <m:sty m:val="p"/>
          </m:rPr>
          <m:t>=</m:t>
        </m:r>
        <m:r>
          <m:t>10</m:t>
        </m:r>
        <m:r>
          <m:rPr>
            <m:sty m:val="p"/>
          </m:rPr>
          <m:t>−</m:t>
        </m:r>
        <m:r>
          <m:t>q</m:t>
        </m:r>
      </m:oMath>
      <w:r>
        <w:t xml:space="preserve"> </w:t>
      </w:r>
      <w:r>
        <w:t xml:space="preserve">ao comprador. Para carros bons (q alto), o custo esperado da garantia é</w:t>
      </w:r>
      <w:r>
        <w:t xml:space="preserve"> </w:t>
      </w:r>
      <w:r>
        <w:rPr>
          <w:i/>
          <w:iCs/>
        </w:rPr>
        <w:t xml:space="preserve">baixo</w:t>
      </w:r>
      <w:r>
        <w:t xml:space="preserve">; para limões (q baixo), é</w:t>
      </w:r>
      <w:r>
        <w:t xml:space="preserve"> </w:t>
      </w:r>
      <w:r>
        <w:rPr>
          <w:i/>
          <w:iCs/>
        </w:rPr>
        <w:t xml:space="preserve">alto</w:t>
      </w:r>
      <w:r>
        <w:t xml:space="preserve">. Condição de single-crossing satisfeita!</w:t>
      </w:r>
    </w:p>
    <w:p>
      <w:pPr>
        <w:pStyle w:val="Compact"/>
        <w:numPr>
          <w:ilvl w:val="0"/>
          <w:numId w:val="1585"/>
        </w:numPr>
      </w:pPr>
      <w:r>
        <w:rPr>
          <w:b/>
          <w:bCs/>
        </w:rPr>
        <w:t xml:space="preserve">Debrief</w:t>
      </w:r>
      <w:r>
        <w:t xml:space="preserve"> </w:t>
      </w:r>
      <w:r>
        <w:t xml:space="preserve">(6 min):</w:t>
      </w:r>
    </w:p>
    <w:p>
      <w:pPr>
        <w:pStyle w:val="Compact"/>
        <w:numPr>
          <w:ilvl w:val="1"/>
          <w:numId w:val="1586"/>
        </w:numPr>
      </w:pPr>
      <w:r>
        <w:t xml:space="preserve">Compare transações nas Fases 1 e 2: mais carros bons vendidos na Fase 2?</w:t>
      </w:r>
    </w:p>
    <w:p>
      <w:pPr>
        <w:pStyle w:val="Compact"/>
        <w:numPr>
          <w:ilvl w:val="1"/>
          <w:numId w:val="1586"/>
        </w:numPr>
      </w:pPr>
      <w:r>
        <w:t xml:space="preserve">Quem ofereceu garantia? Os vendedores de carros bons ou de limões? → Equilíbrio separador.</w:t>
      </w:r>
    </w:p>
    <w:p>
      <w:pPr>
        <w:pStyle w:val="Compact"/>
        <w:numPr>
          <w:ilvl w:val="1"/>
          <w:numId w:val="1586"/>
        </w:numPr>
      </w:pPr>
      <w:r>
        <w:t xml:space="preserve">Conecte com Spence (1973): a garantia funciona como o diploma — sinal custoso que o tipo bom acha barato e o tipo ruim acha caro.</w:t>
      </w:r>
    </w:p>
    <w:p>
      <w:pPr>
        <w:pStyle w:val="Compact"/>
        <w:numPr>
          <w:ilvl w:val="1"/>
          <w:numId w:val="1586"/>
        </w:numPr>
      </w:pPr>
      <w:r>
        <w:t xml:space="preserve">“A Tabela FIPE e o laudo cautelar funcionam como que tipo de mecanismo?”</w:t>
      </w:r>
      <w:r>
        <w:t xml:space="preserve"> </w:t>
      </w:r>
      <w:r>
        <w:t xml:space="preserve">→ Certificação (terceiro).</w:t>
      </w:r>
    </w:p>
    <w:p>
      <w:pPr>
        <w:pStyle w:val="BlockText"/>
      </w:pPr>
      <w:r>
        <w:rPr>
          <w:b/>
          <w:bCs/>
        </w:rPr>
        <w:t xml:space="preserve">Conexão com o conteúdo:</w:t>
      </w:r>
      <w:r>
        <w:t xml:space="preserve"> </w:t>
      </w:r>
      <w:r>
        <w:t xml:space="preserve">Seleção adversa (Seção 9d.5), sinalização (Seção 9d.2), mecanismos de mitigação (Tabela 9d.1). Inspirado em Bergstrom e Miller (2000, Cap. 32).</w:t>
      </w:r>
    </w:p>
    <w:p>
      <w:pPr>
        <w:pStyle w:val="BlockText"/>
      </w:pPr>
      <w:r>
        <w:rPr>
          <w:b/>
          <w:bCs/>
        </w:rPr>
        <w:t xml:space="preserve">[ATIVIDADE DE SALA] Atividade 9d.2 — Contrato de incentivos: quanto pagar pelo esforço? (15 min)</w:t>
      </w:r>
    </w:p>
    <w:p>
      <w:pPr>
        <w:pStyle w:val="BlockText"/>
      </w:pPr>
      <w:r>
        <w:rPr>
          <w:b/>
          <w:bCs/>
        </w:rPr>
        <w:t xml:space="preserve">Objetivo:</w:t>
      </w:r>
      <w:r>
        <w:t xml:space="preserve"> </w:t>
      </w:r>
      <w:r>
        <w:t xml:space="preserve">Mostrar o trade-off entre incentivos e seguro no problema do principal-agente.</w:t>
      </w:r>
    </w:p>
    <w:p>
      <w:pPr>
        <w:pStyle w:val="BlockText"/>
      </w:pPr>
      <w:r>
        <w:rPr>
          <w:b/>
          <w:bCs/>
        </w:rPr>
        <w:t xml:space="preserve">Material:</w:t>
      </w:r>
      <w:r>
        <w:t xml:space="preserve"> </w:t>
      </w:r>
      <w:r>
        <w:t xml:space="preserve">Dados (1 dado por grupo); planilha projetada.</w:t>
      </w:r>
    </w:p>
    <w:p>
      <w:pPr>
        <w:pStyle w:val="BlockText"/>
      </w:pPr>
      <w:r>
        <w:rPr>
          <w:b/>
          <w:bCs/>
        </w:rPr>
        <w:t xml:space="preserve">Protocolo:</w:t>
      </w:r>
    </w:p>
    <w:p>
      <w:pPr>
        <w:pStyle w:val="Compact"/>
        <w:numPr>
          <w:ilvl w:val="0"/>
          <w:numId w:val="1587"/>
        </w:numPr>
      </w:pPr>
      <w:r>
        <w:rPr>
          <w:b/>
          <w:bCs/>
        </w:rPr>
        <w:t xml:space="preserve">Setup</w:t>
      </w:r>
      <w:r>
        <w:t xml:space="preserve"> </w:t>
      </w:r>
      <w:r>
        <w:t xml:space="preserve">(3 min): Grupos de 3: 1 principal, 1 agente, 1 observador/registrador. O agente pode escolher</w:t>
      </w:r>
      <w:r>
        <w:t xml:space="preserve"> </w:t>
      </w:r>
      <w:r>
        <w:t xml:space="preserve">“esforço alto”</w:t>
      </w:r>
      <w:r>
        <w:t xml:space="preserve"> </w:t>
      </w:r>
      <w:r>
        <w:t xml:space="preserve">(custo = 2 fichas) ou</w:t>
      </w:r>
      <w:r>
        <w:t xml:space="preserve"> </w:t>
      </w:r>
      <w:r>
        <w:t xml:space="preserve">“esforço baixo”</w:t>
      </w:r>
      <w:r>
        <w:t xml:space="preserve"> </w:t>
      </w:r>
      <w:r>
        <w:t xml:space="preserve">(custo = 0). Esforço alto: dado ≥ 3 → resultado bom (10 fichas); dado ≤ 2 → resultado ruim (0). Esforço baixo: dado ≥ 5 → resultado bom; dado ≤ 4 → resultado ruim.</w:t>
      </w:r>
    </w:p>
    <w:p>
      <w:pPr>
        <w:pStyle w:val="Compact"/>
        <w:numPr>
          <w:ilvl w:val="0"/>
          <w:numId w:val="1587"/>
        </w:numPr>
      </w:pPr>
      <w:r>
        <w:rPr>
          <w:b/>
          <w:bCs/>
        </w:rPr>
        <w:t xml:space="preserve">Fase 1 — Salário fixo</w:t>
      </w:r>
      <w:r>
        <w:t xml:space="preserve"> </w:t>
      </w:r>
      <w:r>
        <w:t xml:space="preserve">(3 min): Principal oferece salário fixo de 3 fichas, independente do resultado. O agente escolhe esforço (secretamente — esconde a ficha de custo). Jogue o dado.</w:t>
      </w:r>
    </w:p>
    <w:p>
      <w:pPr>
        <w:pStyle w:val="Compact"/>
        <w:numPr>
          <w:ilvl w:val="0"/>
          <w:numId w:val="1587"/>
        </w:numPr>
      </w:pPr>
      <w:r>
        <w:rPr>
          <w:b/>
          <w:bCs/>
        </w:rPr>
        <w:t xml:space="preserve">Fase 2 — Contrato variável</w:t>
      </w:r>
      <w:r>
        <w:t xml:space="preserve"> </w:t>
      </w:r>
      <w:r>
        <w:t xml:space="preserve">(3 min): Principal propõe:</w:t>
      </w:r>
      <w:r>
        <w:t xml:space="preserve"> </w:t>
      </w:r>
      <w:r>
        <w:t xml:space="preserve">“Pago</w:t>
      </w:r>
      <w:r>
        <w:t xml:space="preserve"> </w:t>
      </w:r>
      <m:oMath>
        <m:sSub>
          <m:e>
            <m:r>
              <m:t>w</m:t>
            </m:r>
          </m:e>
          <m:sub>
            <m:r>
              <m:t>B</m:t>
            </m:r>
          </m:sub>
        </m:sSub>
      </m:oMath>
      <w:r>
        <w:t xml:space="preserve"> </w:t>
      </w:r>
      <w:r>
        <w:t xml:space="preserve">se bom,</w:t>
      </w:r>
      <w:r>
        <w:t xml:space="preserve"> </w:t>
      </w:r>
      <m:oMath>
        <m:sSub>
          <m:e>
            <m:r>
              <m:t>w</m:t>
            </m:r>
          </m:e>
          <m:sub>
            <m:r>
              <m:t>R</m:t>
            </m:r>
          </m:sub>
        </m:sSub>
      </m:oMath>
      <w:r>
        <w:t xml:space="preserve"> </w:t>
      </w:r>
      <w:r>
        <w:t xml:space="preserve">se ruim”</w:t>
      </w:r>
      <w:r>
        <w:t xml:space="preserve">. O agente aceita ou recusa. Se aceitar, escolhe esforço (secretamente). Jogue o dado.</w:t>
      </w:r>
    </w:p>
    <w:p>
      <w:pPr>
        <w:pStyle w:val="Compact"/>
        <w:numPr>
          <w:ilvl w:val="0"/>
          <w:numId w:val="1587"/>
        </w:numPr>
      </w:pPr>
      <w:r>
        <w:rPr>
          <w:b/>
          <w:bCs/>
        </w:rPr>
        <w:t xml:space="preserve">Debrief</w:t>
      </w:r>
      <w:r>
        <w:t xml:space="preserve"> </w:t>
      </w:r>
      <w:r>
        <w:t xml:space="preserve">(6 min):</w:t>
      </w:r>
    </w:p>
    <w:p>
      <w:pPr>
        <w:pStyle w:val="Compact"/>
        <w:numPr>
          <w:ilvl w:val="1"/>
          <w:numId w:val="1588"/>
        </w:numPr>
      </w:pPr>
      <w:r>
        <w:t xml:space="preserve">Na Fase 1, o agente se esforçou? (Provavelmente não — salário fixo, sem incentivo.)</w:t>
      </w:r>
    </w:p>
    <w:p>
      <w:pPr>
        <w:pStyle w:val="Compact"/>
        <w:numPr>
          <w:ilvl w:val="1"/>
          <w:numId w:val="1588"/>
        </w:numPr>
      </w:pPr>
      <w:r>
        <w:t xml:space="preserve">Na Fase 2, que contrato funcionou? Calcule: a IC exige</w:t>
      </w:r>
      <w:r>
        <w:t xml:space="preserve"> </w:t>
      </w:r>
      <m:oMath>
        <m:sSub>
          <m:e>
            <m:r>
              <m:t>w</m:t>
            </m:r>
          </m:e>
          <m:sub>
            <m:r>
              <m:t>B</m:t>
            </m:r>
          </m:sub>
        </m:sSub>
        <m:r>
          <m:rPr>
            <m:sty m:val="p"/>
          </m:rPr>
          <m:t>−</m:t>
        </m:r>
        <m:sSub>
          <m:e>
            <m:r>
              <m:t>w</m:t>
            </m:r>
          </m:e>
          <m:sub>
            <m:r>
              <m:t>R</m:t>
            </m:r>
          </m:sub>
        </m:sSub>
        <m:r>
          <m:rPr>
            <m:sty m:val="p"/>
          </m:rPr>
          <m:t>≥</m:t>
        </m:r>
      </m:oMath>
      <w:r>
        <w:t xml:space="preserve"> </w:t>
      </w:r>
      <w:r>
        <w:t xml:space="preserve">quanto?</w:t>
      </w:r>
    </w:p>
    <w:p>
      <w:pPr>
        <w:pStyle w:val="Compact"/>
        <w:numPr>
          <w:ilvl w:val="1"/>
          <w:numId w:val="1588"/>
        </w:numPr>
      </w:pPr>
      <w:r>
        <w:t xml:space="preserve">“Se o agente é avesso ao risco, o que muda?”</w:t>
      </w:r>
      <w:r>
        <w:t xml:space="preserve"> </w:t>
      </w:r>
      <w:r>
        <w:t xml:space="preserve">→ O principal precisa compensar o risco com salário esperado maior → custo de agência.</w:t>
      </w:r>
    </w:p>
    <w:p>
      <w:pPr>
        <w:pStyle w:val="Compact"/>
        <w:numPr>
          <w:ilvl w:val="1"/>
          <w:numId w:val="1588"/>
        </w:numPr>
      </w:pPr>
      <w:r>
        <w:t xml:space="preserve">Conecte com Holmström (1979): o resultado (dado) é um sinal ruidoso do esforço.</w:t>
      </w:r>
    </w:p>
    <w:p>
      <w:pPr>
        <w:pStyle w:val="BlockText"/>
      </w:pPr>
      <w:r>
        <w:rPr>
          <w:b/>
          <w:bCs/>
        </w:rPr>
        <w:t xml:space="preserve">Conexão com o conteúdo:</w:t>
      </w:r>
      <w:r>
        <w:t xml:space="preserve"> </w:t>
      </w:r>
      <w:r>
        <w:t xml:space="preserve">Moral hazard (Seção 9d.4), primeiro melhor vs. segundo melhor, Princípio da Informatividade (Holmström, 1979).</w:t>
      </w:r>
    </w:p>
    <w:p>
      <w:r>
        <w:pict>
          <v:rect style="width:0;height:1.5pt" o:hralign="center" o:hrstd="t" o:hr="t"/>
        </w:pict>
      </w:r>
    </w:p>
    <w:bookmarkEnd w:id="622"/>
    <w:bookmarkStart w:id="623" w:name="revisão-rápida-10"/>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No modelo de sinalização de Spence, a educação funciona como sinal de habilidade porque:</w:t>
      </w:r>
    </w:p>
    <w:p>
      <w:pPr>
        <w:pStyle w:val="Compact"/>
        <w:numPr>
          <w:ilvl w:val="0"/>
          <w:numId w:val="1589"/>
        </w:numPr>
      </w:pPr>
    </w:p>
    <w:p>
      <w:pPr>
        <w:pStyle w:val="Compact"/>
        <w:numPr>
          <w:ilvl w:val="1"/>
          <w:numId w:val="1590"/>
        </w:numPr>
      </w:pPr>
      <w:r>
        <w:t xml:space="preserve">A educação sempre aumenta a produtividade do trabalhador</w:t>
      </w:r>
    </w:p>
    <w:p>
      <w:pPr>
        <w:pStyle w:val="Compact"/>
        <w:numPr>
          <w:ilvl w:val="0"/>
          <w:numId w:val="1589"/>
        </w:numPr>
      </w:pPr>
    </w:p>
    <w:p>
      <w:pPr>
        <w:pStyle w:val="Compact"/>
        <w:numPr>
          <w:ilvl w:val="1"/>
          <w:numId w:val="1591"/>
        </w:numPr>
      </w:pPr>
      <w:r>
        <w:t xml:space="preserve">O custo de obter educação é menor para trabalhadores de alta habilidade (condição de single-crossing)</w:t>
      </w:r>
    </w:p>
    <w:p>
      <w:pPr>
        <w:pStyle w:val="Compact"/>
        <w:numPr>
          <w:ilvl w:val="0"/>
          <w:numId w:val="1589"/>
        </w:numPr>
      </w:pPr>
    </w:p>
    <w:p>
      <w:pPr>
        <w:pStyle w:val="Compact"/>
        <w:numPr>
          <w:ilvl w:val="1"/>
          <w:numId w:val="1592"/>
        </w:numPr>
      </w:pPr>
      <w:r>
        <w:t xml:space="preserve">Os empregadores observam diretamente a habilidade dos candidatos</w:t>
      </w:r>
    </w:p>
    <w:p>
      <w:pPr>
        <w:pStyle w:val="Compact"/>
        <w:numPr>
          <w:ilvl w:val="0"/>
          <w:numId w:val="1589"/>
        </w:numPr>
      </w:pPr>
    </w:p>
    <w:p>
      <w:pPr>
        <w:pStyle w:val="Compact"/>
        <w:numPr>
          <w:ilvl w:val="1"/>
          <w:numId w:val="1593"/>
        </w:numPr>
      </w:pPr>
      <w:r>
        <w:t xml:space="preserve">Todos os trabalhadores obtêm o mesmo nível de educação</w:t>
      </w:r>
    </w:p>
    <w:p>
      <w:pPr>
        <w:pStyle w:val="BlockText"/>
      </w:pPr>
      <w:r>
        <w:t xml:space="preserve">??? success</w:t>
      </w:r>
      <w:r>
        <w:t xml:space="preserve"> </w:t>
      </w:r>
      <w:r>
        <w:t xml:space="preserve">“Resposta”</w:t>
      </w:r>
      <w:r>
        <w:t xml:space="preserve"> </w:t>
      </w:r>
      <w:r>
        <w:rPr>
          <w:b/>
          <w:bCs/>
        </w:rPr>
        <w:t xml:space="preserve">(b)</w:t>
      </w:r>
      <w:r>
        <w:t xml:space="preserve"> </w:t>
      </w:r>
      <w:r>
        <w:t xml:space="preserve">A sinalização funciona porque o custo do sinal é negativamente correlacionado com o tipo: trabalhadores de alta habilidade obtêm educação a custo menor. No equilíbrio separador, apenas os de alta habilidade se educam, revelando seu tipo. A alternativa (a) é irrelevante — no modelo de Spence, a educação pode ter produtividade zero; (c) eliminaria a necessidade de sinal; (d) descreve o equilíbrio pooling.</w:t>
      </w:r>
    </w:p>
    <w:p>
      <w:pPr>
        <w:pStyle w:val="BlockText"/>
      </w:pPr>
      <w:r>
        <w:rPr>
          <w:b/>
          <w:bCs/>
        </w:rPr>
        <w:t xml:space="preserve">[QUESTAO] 2. Em um equilíbrio separador, diferentes tipos de agentes:</w:t>
      </w:r>
    </w:p>
    <w:p>
      <w:pPr>
        <w:pStyle w:val="Compact"/>
        <w:numPr>
          <w:ilvl w:val="0"/>
          <w:numId w:val="1594"/>
        </w:numPr>
      </w:pPr>
    </w:p>
    <w:p>
      <w:pPr>
        <w:pStyle w:val="Compact"/>
        <w:numPr>
          <w:ilvl w:val="1"/>
          <w:numId w:val="1595"/>
        </w:numPr>
      </w:pPr>
      <w:r>
        <w:t xml:space="preserve">Escolhem a mesma ação, tornando impossível distingui-los</w:t>
      </w:r>
    </w:p>
    <w:p>
      <w:pPr>
        <w:pStyle w:val="Compact"/>
        <w:numPr>
          <w:ilvl w:val="0"/>
          <w:numId w:val="1594"/>
        </w:numPr>
      </w:pPr>
    </w:p>
    <w:p>
      <w:pPr>
        <w:pStyle w:val="Compact"/>
        <w:numPr>
          <w:ilvl w:val="1"/>
          <w:numId w:val="1596"/>
        </w:numPr>
      </w:pPr>
      <w:r>
        <w:t xml:space="preserve">Escolhem ações diferentes, permitindo que a parte desinformada infira o tipo</w:t>
      </w:r>
    </w:p>
    <w:p>
      <w:pPr>
        <w:pStyle w:val="Compact"/>
        <w:numPr>
          <w:ilvl w:val="0"/>
          <w:numId w:val="1594"/>
        </w:numPr>
      </w:pPr>
    </w:p>
    <w:p>
      <w:pPr>
        <w:pStyle w:val="Compact"/>
        <w:numPr>
          <w:ilvl w:val="1"/>
          <w:numId w:val="1597"/>
        </w:numPr>
      </w:pPr>
      <w:r>
        <w:t xml:space="preserve">São agrupados e recebem o mesmo contrato</w:t>
      </w:r>
    </w:p>
    <w:p>
      <w:pPr>
        <w:pStyle w:val="Compact"/>
        <w:numPr>
          <w:ilvl w:val="0"/>
          <w:numId w:val="1594"/>
        </w:numPr>
      </w:pPr>
    </w:p>
    <w:p>
      <w:pPr>
        <w:pStyle w:val="Compact"/>
        <w:numPr>
          <w:ilvl w:val="1"/>
          <w:numId w:val="1598"/>
        </w:numPr>
      </w:pPr>
      <w:r>
        <w:t xml:space="preserve">Revelam seu tipo verbalmente antes de agir</w:t>
      </w:r>
    </w:p>
    <w:p>
      <w:pPr>
        <w:pStyle w:val="BlockText"/>
      </w:pPr>
      <w:r>
        <w:t xml:space="preserve">??? success</w:t>
      </w:r>
      <w:r>
        <w:t xml:space="preserve"> </w:t>
      </w:r>
      <w:r>
        <w:t xml:space="preserve">“Resposta”</w:t>
      </w:r>
      <w:r>
        <w:t xml:space="preserve"> </w:t>
      </w:r>
      <w:r>
        <w:rPr>
          <w:b/>
          <w:bCs/>
        </w:rPr>
        <w:t xml:space="preserve">(b)</w:t>
      </w:r>
      <w:r>
        <w:t xml:space="preserve"> </w:t>
      </w:r>
      <w:r>
        <w:t xml:space="preserve">No equilíbrio separador, cada tipo escolhe uma ação distinta (ex.: nível de educação diferente), permitindo que o receptor do sinal identifique o tipo do emissor. A alternativa (a) descreve equilíbrio pooling; (c) também descreve pooling; (d) ignora que</w:t>
      </w:r>
      <w:r>
        <w:t xml:space="preserve"> </w:t>
      </w:r>
      <w:r>
        <w:t xml:space="preserve">‘cheap talk’</w:t>
      </w:r>
      <w:r>
        <w:t xml:space="preserve"> </w:t>
      </w:r>
      <w:r>
        <w:t xml:space="preserve">sem custo não é crível.</w:t>
      </w:r>
    </w:p>
    <w:p>
      <w:pPr>
        <w:pStyle w:val="BlockText"/>
      </w:pPr>
      <w:r>
        <w:rPr>
          <w:b/>
          <w:bCs/>
        </w:rPr>
        <w:t xml:space="preserve">[QUESTAO] 3. O Equilíbrio Bayesiano Perfeito (PBE) exige:</w:t>
      </w:r>
    </w:p>
    <w:p>
      <w:pPr>
        <w:pStyle w:val="Compact"/>
        <w:numPr>
          <w:ilvl w:val="0"/>
          <w:numId w:val="1599"/>
        </w:numPr>
      </w:pPr>
    </w:p>
    <w:p>
      <w:pPr>
        <w:pStyle w:val="Compact"/>
        <w:numPr>
          <w:ilvl w:val="1"/>
          <w:numId w:val="1600"/>
        </w:numPr>
      </w:pPr>
      <w:r>
        <w:t xml:space="preserve">Apenas otimalidade das estratégias, sem restrições sobre crenças</w:t>
      </w:r>
    </w:p>
    <w:p>
      <w:pPr>
        <w:pStyle w:val="Compact"/>
        <w:numPr>
          <w:ilvl w:val="0"/>
          <w:numId w:val="1599"/>
        </w:numPr>
      </w:pPr>
    </w:p>
    <w:p>
      <w:pPr>
        <w:pStyle w:val="Compact"/>
        <w:numPr>
          <w:ilvl w:val="1"/>
          <w:numId w:val="1601"/>
        </w:numPr>
      </w:pPr>
      <w:r>
        <w:t xml:space="preserve">Que as crenças sejam consistentes com a regra de Bayes nos conjuntos de informação alcançados em equilíbrio, e que as estratégias sejam sequencialmente racionais</w:t>
      </w:r>
    </w:p>
    <w:p>
      <w:pPr>
        <w:pStyle w:val="Compact"/>
        <w:numPr>
          <w:ilvl w:val="0"/>
          <w:numId w:val="1599"/>
        </w:numPr>
      </w:pPr>
    </w:p>
    <w:p>
      <w:pPr>
        <w:pStyle w:val="Compact"/>
        <w:numPr>
          <w:ilvl w:val="1"/>
          <w:numId w:val="1602"/>
        </w:numPr>
      </w:pPr>
      <w:r>
        <w:t xml:space="preserve">Que os jogadores tenham informação completa sobre os payoffs</w:t>
      </w:r>
    </w:p>
    <w:p>
      <w:pPr>
        <w:pStyle w:val="Compact"/>
        <w:numPr>
          <w:ilvl w:val="0"/>
          <w:numId w:val="1599"/>
        </w:numPr>
      </w:pPr>
    </w:p>
    <w:p>
      <w:pPr>
        <w:pStyle w:val="Compact"/>
        <w:numPr>
          <w:ilvl w:val="1"/>
          <w:numId w:val="1603"/>
        </w:numPr>
      </w:pPr>
      <w:r>
        <w:t xml:space="preserve">Que o jogo seja de soma zero</w:t>
      </w:r>
    </w:p>
    <w:p>
      <w:pPr>
        <w:pStyle w:val="BlockText"/>
      </w:pPr>
      <w:r>
        <w:t xml:space="preserve">??? success</w:t>
      </w:r>
      <w:r>
        <w:t xml:space="preserve"> </w:t>
      </w:r>
      <w:r>
        <w:t xml:space="preserve">“Resposta”</w:t>
      </w:r>
      <w:r>
        <w:t xml:space="preserve"> </w:t>
      </w:r>
      <w:r>
        <w:rPr>
          <w:b/>
          <w:bCs/>
        </w:rPr>
        <w:t xml:space="preserve">(b)</w:t>
      </w:r>
      <w:r>
        <w:t xml:space="preserve"> </w:t>
      </w:r>
      <w:r>
        <w:t xml:space="preserve">O PBE combina otimalidade sequencial (cada jogador maximiza dado crenças e estratégias dos demais em cada conjunto de informação) com consistência bayesiana das crenças (atualizadas pela regra de Bayes onde possível). A alternativa (a) é insuficiente; (c) descreve jogos de informação completa; (d) é uma restrição desnecessária.</w:t>
      </w:r>
    </w:p>
    <w:p>
      <w:pPr>
        <w:pStyle w:val="BlockText"/>
      </w:pPr>
      <w:r>
        <w:rPr>
          <w:b/>
          <w:bCs/>
        </w:rPr>
        <w:t xml:space="preserve">[QUESTAO] 4. O risco moral (moral hazard) difere da seleção adversa porque:</w:t>
      </w:r>
    </w:p>
    <w:p>
      <w:pPr>
        <w:pStyle w:val="Compact"/>
        <w:numPr>
          <w:ilvl w:val="0"/>
          <w:numId w:val="1604"/>
        </w:numPr>
      </w:pPr>
    </w:p>
    <w:p>
      <w:pPr>
        <w:pStyle w:val="Compact"/>
        <w:numPr>
          <w:ilvl w:val="1"/>
          <w:numId w:val="1605"/>
        </w:numPr>
      </w:pPr>
      <w:r>
        <w:t xml:space="preserve">No risco moral, a assimetria informacional é sobre ações (pós-contrato); na seleção adversa, sobre tipos (pré-contrato)</w:t>
      </w:r>
    </w:p>
    <w:p>
      <w:pPr>
        <w:pStyle w:val="Compact"/>
        <w:numPr>
          <w:ilvl w:val="0"/>
          <w:numId w:val="1604"/>
        </w:numPr>
      </w:pPr>
    </w:p>
    <w:p>
      <w:pPr>
        <w:pStyle w:val="Compact"/>
        <w:numPr>
          <w:ilvl w:val="1"/>
          <w:numId w:val="1606"/>
        </w:numPr>
      </w:pPr>
      <w:r>
        <w:t xml:space="preserve">O risco moral ocorre apenas em mercados de seguros</w:t>
      </w:r>
    </w:p>
    <w:p>
      <w:pPr>
        <w:pStyle w:val="Compact"/>
        <w:numPr>
          <w:ilvl w:val="0"/>
          <w:numId w:val="1604"/>
        </w:numPr>
      </w:pPr>
    </w:p>
    <w:p>
      <w:pPr>
        <w:pStyle w:val="Compact"/>
        <w:numPr>
          <w:ilvl w:val="1"/>
          <w:numId w:val="1607"/>
        </w:numPr>
      </w:pPr>
      <w:r>
        <w:t xml:space="preserve">A seleção adversa sempre leva ao colapso total do mercado</w:t>
      </w:r>
    </w:p>
    <w:p>
      <w:pPr>
        <w:pStyle w:val="Compact"/>
        <w:numPr>
          <w:ilvl w:val="0"/>
          <w:numId w:val="1604"/>
        </w:numPr>
      </w:pPr>
    </w:p>
    <w:p>
      <w:pPr>
        <w:pStyle w:val="Compact"/>
        <w:numPr>
          <w:ilvl w:val="1"/>
          <w:numId w:val="1608"/>
        </w:numPr>
      </w:pPr>
      <w:r>
        <w:t xml:space="preserve">No risco moral, o principal conhece perfeitamente o tipo do agente e suas ações</w:t>
      </w:r>
    </w:p>
    <w:p>
      <w:pPr>
        <w:pStyle w:val="BlockText"/>
      </w:pPr>
      <w:r>
        <w:t xml:space="preserve">??? success</w:t>
      </w:r>
      <w:r>
        <w:t xml:space="preserve"> </w:t>
      </w:r>
      <w:r>
        <w:t xml:space="preserve">“Resposta”</w:t>
      </w:r>
      <w:r>
        <w:t xml:space="preserve"> </w:t>
      </w:r>
      <w:r>
        <w:rPr>
          <w:b/>
          <w:bCs/>
        </w:rPr>
        <w:t xml:space="preserve">(a)</w:t>
      </w:r>
      <w:r>
        <w:t xml:space="preserve"> </w:t>
      </w:r>
      <w:r>
        <w:t xml:space="preserve">A seleção adversa é um problema de informação oculta (hidden information) sobre características do agente antes da contratação. O risco moral é um problema de ação oculta (hidden action) após a contratação — o agente pode reduzir esforço ou tomar mais risco sem ser observado. A alternativa (b) é restritiva; (c) não é necessário; (d) contradiz a definição.</w:t>
      </w:r>
    </w:p>
    <w:p>
      <w:pPr>
        <w:pStyle w:val="BlockText"/>
      </w:pPr>
      <w:r>
        <w:rPr>
          <w:b/>
          <w:bCs/>
        </w:rPr>
        <w:t xml:space="preserve">[QUESTAO] 5. O critério de Cho-Kreps (Critério de Dominância Intuitiva) refina o PBE ao:</w:t>
      </w:r>
    </w:p>
    <w:p>
      <w:pPr>
        <w:pStyle w:val="Compact"/>
        <w:numPr>
          <w:ilvl w:val="0"/>
          <w:numId w:val="1609"/>
        </w:numPr>
      </w:pPr>
    </w:p>
    <w:p>
      <w:pPr>
        <w:pStyle w:val="Compact"/>
        <w:numPr>
          <w:ilvl w:val="1"/>
          <w:numId w:val="1610"/>
        </w:numPr>
      </w:pPr>
      <w:r>
        <w:t xml:space="preserve">Eliminar todos os equilíbrios separadores, mantendo apenas os pooling</w:t>
      </w:r>
    </w:p>
    <w:p>
      <w:pPr>
        <w:pStyle w:val="Compact"/>
        <w:numPr>
          <w:ilvl w:val="0"/>
          <w:numId w:val="1609"/>
        </w:numPr>
      </w:pPr>
    </w:p>
    <w:p>
      <w:pPr>
        <w:pStyle w:val="Compact"/>
        <w:numPr>
          <w:ilvl w:val="1"/>
          <w:numId w:val="1611"/>
        </w:numPr>
      </w:pPr>
      <w:r>
        <w:t xml:space="preserve">Restringir crenças fora do caminho de equilíbrio, eliminando equilíbrios sustentados por crenças implausíveis sobre desvios</w:t>
      </w:r>
    </w:p>
    <w:p>
      <w:pPr>
        <w:pStyle w:val="Compact"/>
        <w:numPr>
          <w:ilvl w:val="0"/>
          <w:numId w:val="1609"/>
        </w:numPr>
      </w:pPr>
    </w:p>
    <w:p>
      <w:pPr>
        <w:pStyle w:val="Compact"/>
        <w:numPr>
          <w:ilvl w:val="1"/>
          <w:numId w:val="1612"/>
        </w:numPr>
      </w:pPr>
      <w:r>
        <w:t xml:space="preserve">Exigir que todos os tipos escolham a mesma ação</w:t>
      </w:r>
    </w:p>
    <w:p>
      <w:pPr>
        <w:pStyle w:val="Compact"/>
        <w:numPr>
          <w:ilvl w:val="0"/>
          <w:numId w:val="1609"/>
        </w:numPr>
      </w:pPr>
    </w:p>
    <w:p>
      <w:pPr>
        <w:pStyle w:val="Compact"/>
        <w:numPr>
          <w:ilvl w:val="1"/>
          <w:numId w:val="1613"/>
        </w:numPr>
      </w:pPr>
      <w:r>
        <w:t xml:space="preserve">Permitir comunicação direta entre os jogadores</w:t>
      </w:r>
    </w:p>
    <w:p>
      <w:pPr>
        <w:pStyle w:val="BlockText"/>
      </w:pPr>
      <w:r>
        <w:t xml:space="preserve">??? success</w:t>
      </w:r>
      <w:r>
        <w:t xml:space="preserve"> </w:t>
      </w:r>
      <w:r>
        <w:t xml:space="preserve">“Resposta”</w:t>
      </w:r>
      <w:r>
        <w:t xml:space="preserve"> </w:t>
      </w:r>
      <w:r>
        <w:rPr>
          <w:b/>
          <w:bCs/>
        </w:rPr>
        <w:t xml:space="preserve">(b)</w:t>
      </w:r>
      <w:r>
        <w:t xml:space="preserve"> </w:t>
      </w:r>
      <w:r>
        <w:t xml:space="preserve">Cho-Kreps restringe crenças off-path: se um desvio observado só poderia beneficiar um tipo específico (e nunca outro), a crença deve atribuir probabilidade 1 a esse tipo. Isso elimina equilíbrios pooling</w:t>
      </w:r>
      <w:r>
        <w:t xml:space="preserve"> </w:t>
      </w:r>
      <w:r>
        <w:t xml:space="preserve">‘ruins’</w:t>
      </w:r>
      <w:r>
        <w:t xml:space="preserve"> </w:t>
      </w:r>
      <w:r>
        <w:t xml:space="preserve">e seleciona tipicamente o equilíbrio separador de menor custo. A alternativa (a) é o oposto do efeito usual; (c) descreve pooling; (d) não faz parte do conceito.</w:t>
      </w:r>
    </w:p>
    <w:p>
      <w:r>
        <w:pict>
          <v:rect style="width:0;height:1.5pt" o:hralign="center" o:hrstd="t" o:hr="t"/>
        </w:pict>
      </w:r>
    </w:p>
    <w:bookmarkEnd w:id="623"/>
    <w:bookmarkStart w:id="624" w:name="resumo-do-capítulo-10"/>
    <w:p>
      <w:pPr>
        <w:pStyle w:val="Heading3"/>
      </w:pPr>
      <w:r>
        <w:t xml:space="preserve">📋 Resumo do Capítulo</w:t>
      </w:r>
    </w:p>
    <w:p>
      <w:pPr>
        <w:pStyle w:val="Compact"/>
        <w:numPr>
          <w:ilvl w:val="0"/>
          <w:numId w:val="1614"/>
        </w:numPr>
      </w:pPr>
      <w:r>
        <w:t xml:space="preserve">Jogos dinâmicos com informação incompleta combinam ação sequencial com assimetria informacional. O conceito de equilíbrio é o</w:t>
      </w:r>
      <w:r>
        <w:t xml:space="preserve"> </w:t>
      </w:r>
      <w:r>
        <w:rPr>
          <w:b/>
          <w:bCs/>
        </w:rPr>
        <w:t xml:space="preserve">Equilíbrio Bayesiano Perfeito (PBE)</w:t>
      </w:r>
      <w:r>
        <w:t xml:space="preserve">, que exige otimalidade sequencial das estratégias e consistência bayesiana das crenças em cada conjunto de informação. O Critério de Dominância Intuitiva de Cho e Kreps (1987) refina o PBE eliminando equilíbrios sustentados por crenças off-path implausíveis.</w:t>
      </w:r>
    </w:p>
    <w:p>
      <w:pPr>
        <w:pStyle w:val="Compact"/>
        <w:numPr>
          <w:ilvl w:val="0"/>
          <w:numId w:val="1614"/>
        </w:numPr>
      </w:pPr>
      <w:r>
        <w:t xml:space="preserve">No</w:t>
      </w:r>
      <w:r>
        <w:t xml:space="preserve"> </w:t>
      </w:r>
      <w:r>
        <w:rPr>
          <w:b/>
          <w:bCs/>
        </w:rPr>
        <w:t xml:space="preserve">modelo de sinalização de Spence</w:t>
      </w:r>
      <w:r>
        <w:t xml:space="preserve"> </w:t>
      </w:r>
      <w:r>
        <w:t xml:space="preserve">(Nobel 2001), a educação funciona como sinal de habilidade mesmo sem aumentar a produtividade: a condição de single-crossing (custo menor para tipos melhores) permite que o equilíbrio separador revele o tipo do trabalhador. O mesmo mecanismo explica garantias no mercado de carros usados, dividendos em finanças corporativas e o valor do ENEM como sinal de aptidão. O equilíbrio separador tipicamente não é único; refinamentos como Cho-Kreps selecionam o de menor custo.</w:t>
      </w:r>
    </w:p>
    <w:p>
      <w:pPr>
        <w:pStyle w:val="Compact"/>
        <w:numPr>
          <w:ilvl w:val="0"/>
          <w:numId w:val="1614"/>
        </w:numPr>
      </w:pPr>
      <w:r>
        <w:t xml:space="preserve">Existem três tipos de equilíbrio em jogos de sinalização:</w:t>
      </w:r>
      <w:r>
        <w:t xml:space="preserve"> </w:t>
      </w:r>
      <w:r>
        <w:rPr>
          <w:b/>
          <w:bCs/>
        </w:rPr>
        <w:t xml:space="preserve">separador</w:t>
      </w:r>
      <w:r>
        <w:t xml:space="preserve"> </w:t>
      </w:r>
      <w:r>
        <w:t xml:space="preserve">(tipos revelados),</w:t>
      </w:r>
      <w:r>
        <w:t xml:space="preserve"> </w:t>
      </w:r>
      <w:r>
        <w:rPr>
          <w:b/>
          <w:bCs/>
        </w:rPr>
        <w:t xml:space="preserve">agregador/pooling</w:t>
      </w:r>
      <w:r>
        <w:t xml:space="preserve"> </w:t>
      </w:r>
      <w:r>
        <w:t xml:space="preserve">(nenhuma informação revelada) e</w:t>
      </w:r>
      <w:r>
        <w:t xml:space="preserve"> </w:t>
      </w:r>
      <w:r>
        <w:rPr>
          <w:b/>
          <w:bCs/>
        </w:rPr>
        <w:t xml:space="preserve">semi-separador</w:t>
      </w:r>
      <w:r>
        <w:t xml:space="preserve"> </w:t>
      </w:r>
      <w:r>
        <w:t xml:space="preserve">(revelação parcial). O Critério de Dominância Intuitiva tende a selecionar equilíbrios separadores. O trade-off fundamental é entre eficiência informacional (separador) e eficiência alocativa (pooling evita o custo de sinalização).</w:t>
      </w:r>
    </w:p>
    <w:p>
      <w:pPr>
        <w:pStyle w:val="Compact"/>
        <w:numPr>
          <w:ilvl w:val="0"/>
          <w:numId w:val="1614"/>
        </w:numPr>
      </w:pPr>
      <w:r>
        <w:rPr>
          <w:b/>
          <w:bCs/>
        </w:rPr>
        <w:t xml:space="preserve">Cheap talk</w:t>
      </w:r>
      <w:r>
        <w:t xml:space="preserve"> </w:t>
      </w:r>
      <w:r>
        <w:t xml:space="preserve">(comunicação sem custo) transmite informação apenas quando os interesses de remetente e receptor estão suficientemente alinhados (Crawford-Sobel, 1982). A autonomia institucional do BCB é um mecanismo para aumentar a credibilidade do forward guidance.</w:t>
      </w:r>
    </w:p>
    <w:p>
      <w:pPr>
        <w:pStyle w:val="Compact"/>
        <w:numPr>
          <w:ilvl w:val="0"/>
          <w:numId w:val="1614"/>
        </w:numPr>
      </w:pPr>
      <w:r>
        <w:t xml:space="preserve">O</w:t>
      </w:r>
      <w:r>
        <w:t xml:space="preserve"> </w:t>
      </w:r>
      <w:r>
        <w:rPr>
          <w:b/>
          <w:bCs/>
        </w:rPr>
        <w:t xml:space="preserve">moral hazard</w:t>
      </w:r>
      <w:r>
        <w:t xml:space="preserve"> </w:t>
      </w:r>
      <w:r>
        <w:t xml:space="preserve">(risco moral) surge quando o agente toma ações não observáveis pelo principal; o contrato ótimo equilibra incentivos ao esforço com seguro contra risco.</w:t>
      </w:r>
      <w:r>
        <w:t xml:space="preserve"> </w:t>
      </w:r>
      <w:r>
        <w:rPr>
          <w:b/>
          <w:bCs/>
        </w:rPr>
        <w:t xml:space="preserve">Moral hazard não é fraude</w:t>
      </w:r>
      <w:r>
        <w:t xml:space="preserve">: é desalinhamento de incentivos, não intenção de enganar. A aversão ao risco do agente (Capítulo 7) é o que torna o problema intratável. A distinção entre</w:t>
      </w:r>
      <w:r>
        <w:t xml:space="preserve"> </w:t>
      </w:r>
      <w:r>
        <w:rPr>
          <w:b/>
          <w:bCs/>
        </w:rPr>
        <w:t xml:space="preserve">primeiro melhor</w:t>
      </w:r>
      <w:r>
        <w:t xml:space="preserve"> </w:t>
      </w:r>
      <w:r>
        <w:t xml:space="preserve">(esforço observável → salário fixo) e</w:t>
      </w:r>
      <w:r>
        <w:t xml:space="preserve"> </w:t>
      </w:r>
      <w:r>
        <w:rPr>
          <w:b/>
          <w:bCs/>
        </w:rPr>
        <w:t xml:space="preserve">segundo melhor</w:t>
      </w:r>
      <w:r>
        <w:t xml:space="preserve"> </w:t>
      </w:r>
      <w:r>
        <w:t xml:space="preserve">(esforço não observável → contrato contingente) é central: a diferença de custo é o</w:t>
      </w:r>
      <w:r>
        <w:t xml:space="preserve"> </w:t>
      </w:r>
      <w:r>
        <w:rPr>
          <w:b/>
          <w:bCs/>
        </w:rPr>
        <w:t xml:space="preserve">custo de agência</w:t>
      </w:r>
      <w:r>
        <w:t xml:space="preserve">.</w:t>
      </w:r>
    </w:p>
    <w:p>
      <w:pPr>
        <w:pStyle w:val="Compact"/>
        <w:numPr>
          <w:ilvl w:val="0"/>
          <w:numId w:val="1614"/>
        </w:numPr>
      </w:pPr>
      <w:r>
        <w:t xml:space="preserve">O</w:t>
      </w:r>
      <w:r>
        <w:t xml:space="preserve"> </w:t>
      </w:r>
      <w:r>
        <w:rPr>
          <w:b/>
          <w:bCs/>
        </w:rPr>
        <w:t xml:space="preserve">Princípio da Informatividade</w:t>
      </w:r>
      <w:r>
        <w:t xml:space="preserve"> </w:t>
      </w:r>
      <w:r>
        <w:t xml:space="preserve">(Holmström, 1979) afirma que qualquer variável correlacionada com o esforço do agente deve ser incluída no contrato ótimo. O problema de</w:t>
      </w:r>
      <w:r>
        <w:t xml:space="preserve"> </w:t>
      </w:r>
      <w:r>
        <w:rPr>
          <w:b/>
          <w:bCs/>
        </w:rPr>
        <w:t xml:space="preserve">multitarefa</w:t>
      </w:r>
      <w:r>
        <w:t xml:space="preserve"> </w:t>
      </w:r>
      <w:r>
        <w:t xml:space="preserve">(Holmström e Milgrom, 1991) mostra que incentivos fortes em uma dimensão podem distorcer o esforço para longe de dimensões não mensuráveis.</w:t>
      </w:r>
    </w:p>
    <w:p>
      <w:pPr>
        <w:pStyle w:val="Compact"/>
        <w:numPr>
          <w:ilvl w:val="0"/>
          <w:numId w:val="1614"/>
        </w:numPr>
      </w:pPr>
      <w:r>
        <w:t xml:space="preserve">A</w:t>
      </w:r>
      <w:r>
        <w:t xml:space="preserve"> </w:t>
      </w:r>
      <w:r>
        <w:rPr>
          <w:b/>
          <w:bCs/>
        </w:rPr>
        <w:t xml:space="preserve">seleção adversa</w:t>
      </w:r>
      <w:r>
        <w:t xml:space="preserve"> </w:t>
      </w:r>
      <w:r>
        <w:t xml:space="preserve">(Nobel 2001 — Akerlof) ocorre quando informação privada pré-contratual atrai desproporcionalmente os tipos</w:t>
      </w:r>
      <w:r>
        <w:t xml:space="preserve"> </w:t>
      </w:r>
      <w:r>
        <w:t xml:space="preserve">“ruins”</w:t>
      </w:r>
      <w:r>
        <w:t xml:space="preserve">, podendo destruir mercados inteiros. O modelo de Rothschild e Stiglitz (1976) mostra que o equilíbrio em mercados de seguros competitivos é separador, com o tipo baixo risco recebendo cobertura incompleta. Mecanismos de mitigação incluem sinalização, screening, certificação e regulação obrigatória — como as regras da ANS para planos de saúde individuais no Brasil. Garantias e</w:t>
      </w:r>
      <w:r>
        <w:t xml:space="preserve"> </w:t>
      </w:r>
      <w:r>
        <w:rPr>
          <w:i/>
          <w:iCs/>
        </w:rPr>
        <w:t xml:space="preserve">lemon laws</w:t>
      </w:r>
      <w:r>
        <w:t xml:space="preserve"> </w:t>
      </w:r>
      <w:r>
        <w:t xml:space="preserve">são respostas institucionais que reduzem a assimetria informacional e sustentam mercados que, sem elas, colapsariam.</w:t>
      </w:r>
    </w:p>
    <w:p>
      <w:pPr>
        <w:pStyle w:val="Compact"/>
        <w:numPr>
          <w:ilvl w:val="0"/>
          <w:numId w:val="1614"/>
        </w:numPr>
      </w:pPr>
      <w:r>
        <w:t xml:space="preserve">O</w:t>
      </w:r>
      <w:r>
        <w:t xml:space="preserve"> </w:t>
      </w:r>
      <w:r>
        <w:rPr>
          <w:b/>
          <w:bCs/>
        </w:rPr>
        <w:t xml:space="preserve">desenho de mecanismos</w:t>
      </w:r>
      <w:r>
        <w:t xml:space="preserve"> </w:t>
      </w:r>
      <w:r>
        <w:t xml:space="preserve">(Hurwicz, Maskin, Myerson — Nobel 2007) unifica os problemas de sinalização, moral hazard e seleção adversa sob um framework comum: dado que agentes são estratégicos e informados, qual é o melhor conjunto de regras? O Princípio da Revelação garante que a busca pode ser restrita a mecanismos diretos e incentivo-compatíveis.</w:t>
      </w:r>
    </w:p>
    <w:bookmarkEnd w:id="624"/>
    <w:bookmarkStart w:id="625" w:name="conceitos-chave-10"/>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Equilíbrio Bayesiano Perfeito (PBE)</w:t>
            </w:r>
          </w:p>
        </w:tc>
        <w:tc>
          <w:tcPr/>
          <w:p>
            <w:pPr>
              <w:pStyle w:val="Compact"/>
            </w:pPr>
            <w:r>
              <w:t xml:space="preserve">Combinação de estratégias e crenças satisfazendo otimalidade sequencial e consistência bayesiana em cada conjunto de informação.</w:t>
            </w:r>
          </w:p>
        </w:tc>
      </w:tr>
      <w:tr>
        <w:tc>
          <w:tcPr/>
          <w:p>
            <w:pPr>
              <w:pStyle w:val="Compact"/>
            </w:pPr>
            <w:r>
              <w:t xml:space="preserve">Jogo de sinalização</w:t>
            </w:r>
          </w:p>
        </w:tc>
        <w:tc>
          <w:tcPr/>
          <w:p>
            <w:pPr>
              <w:pStyle w:val="Compact"/>
            </w:pPr>
            <w:r>
              <w:t xml:space="preserve">Jogo sequencial em que a parte informada (remetente) escolhe um sinal observável antes que a parte desinformada (receptor) tome sua decisão.</w:t>
            </w:r>
          </w:p>
        </w:tc>
      </w:tr>
      <w:tr>
        <w:tc>
          <w:tcPr/>
          <w:p>
            <w:pPr>
              <w:pStyle w:val="Compact"/>
            </w:pPr>
            <w:r>
              <w:t xml:space="preserve">Equilíbrio separador</w:t>
            </w:r>
          </w:p>
        </w:tc>
        <w:tc>
          <w:tcPr/>
          <w:p>
            <w:pPr>
              <w:pStyle w:val="Compact"/>
            </w:pPr>
            <w:r>
              <w:t xml:space="preserve">Equilíbrio em que tipos diferentes escolhem sinais diferentes, revelando perfeitamente a informação privada.</w:t>
            </w:r>
          </w:p>
        </w:tc>
      </w:tr>
      <w:tr>
        <w:tc>
          <w:tcPr/>
          <w:p>
            <w:pPr>
              <w:pStyle w:val="Compact"/>
            </w:pPr>
            <w:r>
              <w:t xml:space="preserve">Equilíbrio agregador (pooling)</w:t>
            </w:r>
          </w:p>
        </w:tc>
        <w:tc>
          <w:tcPr/>
          <w:p>
            <w:pPr>
              <w:pStyle w:val="Compact"/>
            </w:pPr>
            <w:r>
              <w:t xml:space="preserve">Equilíbrio em que todos os tipos escolhem o mesmo sinal, impedindo o receptor de aprender sobre o tipo.</w:t>
            </w:r>
          </w:p>
        </w:tc>
      </w:tr>
      <w:tr>
        <w:tc>
          <w:tcPr/>
          <w:p>
            <w:pPr>
              <w:pStyle w:val="Compact"/>
            </w:pPr>
            <w:r>
              <w:t xml:space="preserve">Condição de single-crossing</w:t>
            </w:r>
          </w:p>
        </w:tc>
        <w:tc>
          <w:tcPr/>
          <w:p>
            <w:pPr>
              <w:pStyle w:val="Compact"/>
            </w:pPr>
            <w:r>
              <w:t xml:space="preserve">O custo marginal do sinal é menor para os tipos de alta qualidade, garantindo que a imitação não seja lucrativa.</w:t>
            </w:r>
          </w:p>
        </w:tc>
      </w:tr>
      <w:tr>
        <w:tc>
          <w:tcPr/>
          <w:p>
            <w:pPr>
              <w:pStyle w:val="Compact"/>
            </w:pPr>
            <w:r>
              <w:t xml:space="preserve">Critério de Cho-Kreps</w:t>
            </w:r>
          </w:p>
        </w:tc>
        <w:tc>
          <w:tcPr/>
          <w:p>
            <w:pPr>
              <w:pStyle w:val="Compact"/>
            </w:pPr>
            <w:r>
              <w:t xml:space="preserve">Refinamento que elimina equilíbrios sustentados por crenças off-path implausíveis; seleciona o equilíbrio separador de menor custo.</w:t>
            </w:r>
          </w:p>
        </w:tc>
      </w:tr>
      <w:tr>
        <w:tc>
          <w:tcPr/>
          <w:p>
            <w:pPr>
              <w:pStyle w:val="Compact"/>
            </w:pPr>
            <w:r>
              <w:t xml:space="preserve">Cheap talk</w:t>
            </w:r>
          </w:p>
        </w:tc>
        <w:tc>
          <w:tcPr/>
          <w:p>
            <w:pPr>
              <w:pStyle w:val="Compact"/>
            </w:pPr>
            <w:r>
              <w:t xml:space="preserve">Comunicação sem custo direto; a quantidade de informação transmitida depende do alinhamento de interesses entre remetente e receptor.</w:t>
            </w:r>
          </w:p>
        </w:tc>
      </w:tr>
      <w:tr>
        <w:tc>
          <w:tcPr/>
          <w:p>
            <w:pPr>
              <w:pStyle w:val="Compact"/>
            </w:pPr>
            <w:r>
              <w:t xml:space="preserve">Moral hazard (risco moral)</w:t>
            </w:r>
          </w:p>
        </w:tc>
        <w:tc>
          <w:tcPr/>
          <w:p>
            <w:pPr>
              <w:pStyle w:val="Compact"/>
            </w:pPr>
            <w:r>
              <w:t xml:space="preserve">Problema de incentivos em que o agente toma ações não observáveis pelo principal, exigindo contratos que vinculem pagamento a resultados.</w:t>
            </w:r>
          </w:p>
        </w:tc>
      </w:tr>
      <w:tr>
        <w:tc>
          <w:tcPr/>
          <w:p>
            <w:pPr>
              <w:pStyle w:val="Compact"/>
            </w:pPr>
            <w:r>
              <w:t xml:space="preserve">Primeiro melhor vs. segundo melhor</w:t>
            </w:r>
          </w:p>
        </w:tc>
        <w:tc>
          <w:tcPr/>
          <w:p>
            <w:pPr>
              <w:pStyle w:val="Compact"/>
            </w:pPr>
            <w:r>
              <w:t xml:space="preserve">Primeiro melhor: esforço observável, salário fixo ótimo. Segundo melhor: esforço não observável, contrato contingente com custo de agência positivo.</w:t>
            </w:r>
          </w:p>
        </w:tc>
      </w:tr>
      <w:tr>
        <w:tc>
          <w:tcPr/>
          <w:p>
            <w:pPr>
              <w:pStyle w:val="Compact"/>
            </w:pPr>
            <w:r>
              <w:t xml:space="preserve">Princípio da Informatividade</w:t>
            </w:r>
          </w:p>
        </w:tc>
        <w:tc>
          <w:tcPr/>
          <w:p>
            <w:pPr>
              <w:pStyle w:val="Compact"/>
            </w:pPr>
            <w:r>
              <w:t xml:space="preserve">Qualquer variável correlacionada com o esforço do agente deve ser incluída no contrato ótimo (Holmström, 1979).</w:t>
            </w:r>
          </w:p>
        </w:tc>
      </w:tr>
      <w:tr>
        <w:tc>
          <w:tcPr/>
          <w:p>
            <w:pPr>
              <w:pStyle w:val="Compact"/>
            </w:pPr>
            <w:r>
              <w:t xml:space="preserve">Multitarefa</w:t>
            </w:r>
          </w:p>
        </w:tc>
        <w:tc>
          <w:tcPr/>
          <w:p>
            <w:pPr>
              <w:pStyle w:val="Compact"/>
            </w:pPr>
            <w:r>
              <w:t xml:space="preserve">Quando o agente aloca esforço entre múltiplas dimensões, incentivos fortes em uma podem distorcer o esforço para longe das demais (Holmström-Milgrom, 1991).</w:t>
            </w:r>
          </w:p>
        </w:tc>
      </w:tr>
      <w:tr>
        <w:tc>
          <w:tcPr/>
          <w:p>
            <w:pPr>
              <w:pStyle w:val="Compact"/>
            </w:pPr>
            <w:r>
              <w:t xml:space="preserve">Seleção adversa</w:t>
            </w:r>
          </w:p>
        </w:tc>
        <w:tc>
          <w:tcPr/>
          <w:p>
            <w:pPr>
              <w:pStyle w:val="Compact"/>
            </w:pPr>
            <w:r>
              <w:t xml:space="preserve">Situação pré-contratual em que informação privada sobre qualidade leva os piores tipos a se auto-selecionarem para a transação.</w:t>
            </w:r>
          </w:p>
        </w:tc>
      </w:tr>
      <w:tr>
        <w:tc>
          <w:tcPr/>
          <w:p>
            <w:pPr>
              <w:pStyle w:val="Compact"/>
            </w:pPr>
            <w:r>
              <w:t xml:space="preserve">Market unraveling</w:t>
            </w:r>
          </w:p>
        </w:tc>
        <w:tc>
          <w:tcPr/>
          <w:p>
            <w:pPr>
              <w:pStyle w:val="Compact"/>
            </w:pPr>
            <w:r>
              <w:t xml:space="preserve">Processo iterativo de deterioração do pool de vendedores/segurados que pode levar ao colapso completo do mercado.</w:t>
            </w:r>
          </w:p>
        </w:tc>
      </w:tr>
      <w:tr>
        <w:tc>
          <w:tcPr/>
          <w:p>
            <w:pPr>
              <w:pStyle w:val="Compact"/>
            </w:pPr>
            <w:r>
              <w:t xml:space="preserve">Screening</w:t>
            </w:r>
          </w:p>
        </w:tc>
        <w:tc>
          <w:tcPr/>
          <w:p>
            <w:pPr>
              <w:pStyle w:val="Compact"/>
            </w:pPr>
            <w:r>
              <w:t xml:space="preserve">Mecanismo pelo qual a parte desinformada oferece um menu de contratos desenhado para que cada tipo se auto-selecione revelando informação.</w:t>
            </w:r>
          </w:p>
        </w:tc>
      </w:tr>
      <w:tr>
        <w:tc>
          <w:tcPr/>
          <w:p>
            <w:pPr>
              <w:pStyle w:val="Compact"/>
            </w:pPr>
            <w:r>
              <w:t xml:space="preserve">Desenho de mecanismos</w:t>
            </w:r>
          </w:p>
        </w:tc>
        <w:tc>
          <w:tcPr/>
          <w:p>
            <w:pPr>
              <w:pStyle w:val="Compact"/>
            </w:pPr>
            <w:r>
              <w:t xml:space="preserve">Campo que estuda as regras ótimas para induzir revelação de informação ou alinhamento de comportamento quando agentes são estratégicos.</w:t>
            </w:r>
          </w:p>
        </w:tc>
      </w:tr>
      <w:tr>
        <w:tc>
          <w:tcPr/>
          <w:p>
            <w:pPr>
              <w:pStyle w:val="Compact"/>
            </w:pPr>
            <w:r>
              <w:t xml:space="preserve">Princípio da Revelação</w:t>
            </w:r>
          </w:p>
        </w:tc>
        <w:tc>
          <w:tcPr/>
          <w:p>
            <w:pPr>
              <w:pStyle w:val="Compact"/>
            </w:pPr>
            <w:r>
              <w:t xml:space="preserve">Para qualquer mecanismo e equilíbrio, existe um mecanismo direto equivalente em que reportar o tipo verdadeiro é ótimo.</w:t>
            </w:r>
          </w:p>
        </w:tc>
      </w:tr>
    </w:tbl>
    <w:p>
      <w:pPr>
        <w:pStyle w:val="BodyText"/>
      </w:pPr>
      <w:r>
        <w:rPr>
          <w:b/>
          <w:bCs/>
        </w:rPr>
        <w:t xml:space="preserve">Tabela 9d.2 — Conceitos-chave.</w:t>
      </w:r>
    </w:p>
    <w:p>
      <w:r>
        <w:pict>
          <v:rect style="width:0;height:1.5pt" o:hralign="center" o:hrstd="t" o:hr="t"/>
        </w:pict>
      </w:r>
    </w:p>
    <w:bookmarkEnd w:id="625"/>
    <w:bookmarkStart w:id="626" w:name="exercícios-resolvidos-3"/>
    <w:p>
      <w:pPr>
        <w:pStyle w:val="Heading3"/>
      </w:pPr>
      <w:r>
        <w:t xml:space="preserve">Exercícios Resolvidos</w:t>
      </w:r>
    </w:p>
    <w:p>
      <w:pPr>
        <w:pStyle w:val="BlockText"/>
      </w:pPr>
      <w:r>
        <w:rPr>
          <w:b/>
          <w:bCs/>
        </w:rPr>
        <w:t xml:space="preserve">[EXERCICIO RESOLVIDO] Exercício Resolvido 9d.1 — Equilíbrio separador de Spence</w:t>
      </w:r>
    </w:p>
    <w:p>
      <w:pPr>
        <w:pStyle w:val="BlockText"/>
      </w:pPr>
      <w:r>
        <w:rPr>
          <w:b/>
          <w:bCs/>
        </w:rPr>
        <w:t xml:space="preserve">Enunciado:</w:t>
      </w:r>
      <w:r>
        <w:t xml:space="preserve"> </w:t>
      </w:r>
      <w:r>
        <w:t xml:space="preserve">Trabalhadores têm produtividade</w:t>
      </w:r>
      <w:r>
        <w:t xml:space="preserve"> </w:t>
      </w:r>
      <m:oMath>
        <m:sSub>
          <m:e>
            <m:r>
              <m:t>θ</m:t>
            </m:r>
          </m:e>
          <m:sub>
            <m:r>
              <m:t>H</m:t>
            </m:r>
          </m:sub>
        </m:sSub>
        <m:r>
          <m:rPr>
            <m:sty m:val="p"/>
          </m:rPr>
          <m:t>=</m:t>
        </m:r>
        <m:r>
          <m:t>2</m:t>
        </m:r>
      </m:oMath>
      <w:r>
        <w:t xml:space="preserve"> </w:t>
      </w:r>
      <w:r>
        <w:t xml:space="preserve">(prob. 0,5) ou</w:t>
      </w:r>
      <w:r>
        <w:t xml:space="preserve"> </w:t>
      </w:r>
      <m:oMath>
        <m:sSub>
          <m:e>
            <m:r>
              <m:t>θ</m:t>
            </m:r>
          </m:e>
          <m:sub>
            <m:r>
              <m:t>L</m:t>
            </m:r>
          </m:sub>
        </m:sSub>
        <m:r>
          <m:rPr>
            <m:sty m:val="p"/>
          </m:rPr>
          <m:t>=</m:t>
        </m:r>
        <m:r>
          <m:t>1</m:t>
        </m:r>
      </m:oMath>
      <w:r>
        <w:t xml:space="preserve"> </w:t>
      </w:r>
      <w:r>
        <w:t xml:space="preserve">(prob. 0,5). O custo da educação é</w:t>
      </w:r>
      <w:r>
        <w:t xml:space="preserve"> </w:t>
      </w:r>
      <m:oMath>
        <m:r>
          <m:t>c</m:t>
        </m:r>
        <m:r>
          <m:rPr>
            <m:sty m:val="p"/>
          </m:rPr>
          <m:t>(</m:t>
        </m:r>
        <m:r>
          <m:t>e</m:t>
        </m:r>
        <m:r>
          <m:rPr>
            <m:sty m:val="p"/>
          </m:rPr>
          <m:t>,</m:t>
        </m:r>
        <m:r>
          <m:t>θ</m:t>
        </m:r>
        <m:r>
          <m:rPr>
            <m:sty m:val="p"/>
          </m:rPr>
          <m:t>)</m:t>
        </m:r>
        <m:r>
          <m:rPr>
            <m:sty m:val="p"/>
          </m:rPr>
          <m:t>=</m:t>
        </m:r>
        <m:r>
          <m:t>e</m:t>
        </m:r>
        <m:r>
          <m:rPr>
            <m:sty m:val="p"/>
          </m:rPr>
          <m:t>/</m:t>
        </m:r>
        <m:r>
          <m:t>θ</m:t>
        </m:r>
      </m:oMath>
      <w:r>
        <w:t xml:space="preserve">. Firmas pagam salário = produtividade esperada condicionada em</w:t>
      </w:r>
      <w:r>
        <w:t xml:space="preserve"> </w:t>
      </w:r>
      <m:oMath>
        <m:r>
          <m:t>e</m:t>
        </m:r>
      </m:oMath>
      <w:r>
        <w:t xml:space="preserve">. Encontre o equilíbrio separador com menor custo.</w:t>
      </w:r>
    </w:p>
    <w:p>
      <w:pPr>
        <w:pStyle w:val="BlockText"/>
      </w:pPr>
      <w:r>
        <w:rPr>
          <w:b/>
          <w:bCs/>
        </w:rPr>
        <w:t xml:space="preserve">Resolução:</w:t>
      </w:r>
    </w:p>
    <w:p>
      <w:pPr>
        <w:pStyle w:val="BlockText"/>
      </w:pPr>
      <w:r>
        <w:t xml:space="preserve">No equilíbrio separador: tipo L escolhe</w:t>
      </w:r>
      <w:r>
        <w:t xml:space="preserve"> </w:t>
      </w:r>
      <m:oMath>
        <m:sSub>
          <m:e>
            <m:r>
              <m:t>e</m:t>
            </m:r>
          </m:e>
          <m:sub>
            <m:r>
              <m:t>L</m:t>
            </m:r>
          </m:sub>
        </m:sSub>
        <m:r>
          <m:rPr>
            <m:sty m:val="p"/>
          </m:rPr>
          <m:t>=</m:t>
        </m:r>
        <m:r>
          <m:t>0</m:t>
        </m:r>
      </m:oMath>
      <w:r>
        <w:t xml:space="preserve"> </w:t>
      </w:r>
      <w:r>
        <w:t xml:space="preserve">(salário = 1); tipo H escolhe</w:t>
      </w:r>
      <w:r>
        <w:t xml:space="preserve"> </w:t>
      </w:r>
      <m:oMath>
        <m:sSub>
          <m:e>
            <m:r>
              <m:t>e</m:t>
            </m:r>
          </m:e>
          <m:sub>
            <m:r>
              <m:t>H</m:t>
            </m:r>
          </m:sub>
        </m:sSub>
        <m:r>
          <m:rPr>
            <m:sty m:val="p"/>
          </m:rPr>
          <m:t>=</m:t>
        </m:r>
        <m:sSup>
          <m:e>
            <m:r>
              <m:t>e</m:t>
            </m:r>
          </m:e>
          <m:sup>
            <m:r>
              <m:rPr>
                <m:sty m:val="p"/>
              </m:rPr>
              <m:t>*</m:t>
            </m:r>
          </m:sup>
        </m:sSup>
      </m:oMath>
      <w:r>
        <w:t xml:space="preserve"> </w:t>
      </w:r>
      <w:r>
        <w:t xml:space="preserve">(salário = 2).</w:t>
      </w:r>
    </w:p>
    <w:p>
      <w:pPr>
        <w:pStyle w:val="BlockText"/>
      </w:pPr>
      <w:r>
        <w:rPr>
          <w:b/>
          <w:bCs/>
        </w:rPr>
        <w:t xml:space="preserve">Restrição IC do tipo L (não imitar H):</w:t>
      </w:r>
      <w:r>
        <w:t xml:space="preserve"> </w:t>
      </w:r>
      <m:oMath>
        <m:r>
          <m:t>1</m:t>
        </m:r>
        <m:r>
          <m:rPr>
            <m:sty m:val="p"/>
          </m:rPr>
          <m:t>−</m:t>
        </m:r>
        <m:r>
          <m:t>0</m:t>
        </m:r>
        <m:r>
          <m:rPr>
            <m:sty m:val="p"/>
          </m:rPr>
          <m:t>≥</m:t>
        </m:r>
        <m:r>
          <m:t>2</m:t>
        </m:r>
        <m:r>
          <m:rPr>
            <m:sty m:val="p"/>
          </m:rPr>
          <m:t>−</m:t>
        </m:r>
        <m:sSup>
          <m:e>
            <m:r>
              <m:t>e</m:t>
            </m:r>
          </m:e>
          <m:sup>
            <m:r>
              <m:rPr>
                <m:sty m:val="p"/>
              </m:rPr>
              <m:t>*</m:t>
            </m:r>
          </m:sup>
        </m:sSup>
        <m:r>
          <m:rPr>
            <m:sty m:val="p"/>
          </m:rPr>
          <m:t>/</m:t>
        </m:r>
        <m:r>
          <m:t>1</m:t>
        </m:r>
        <m:r>
          <m:rPr>
            <m:sty m:val="p"/>
          </m:rPr>
          <m:t>⟹</m:t>
        </m:r>
        <m:sSup>
          <m:e>
            <m:r>
              <m:t>e</m:t>
            </m:r>
          </m:e>
          <m:sup>
            <m:r>
              <m:rPr>
                <m:sty m:val="p"/>
              </m:rPr>
              <m:t>*</m:t>
            </m:r>
          </m:sup>
        </m:sSup>
        <m:r>
          <m:rPr>
            <m:sty m:val="p"/>
          </m:rPr>
          <m:t>≥</m:t>
        </m:r>
        <m:r>
          <m:t>1</m:t>
        </m:r>
      </m:oMath>
    </w:p>
    <w:p>
      <w:pPr>
        <w:pStyle w:val="BlockText"/>
      </w:pPr>
      <w:r>
        <w:rPr>
          <w:b/>
          <w:bCs/>
        </w:rPr>
        <w:t xml:space="preserve">Restrição IC do tipo H (não imitar L):</w:t>
      </w:r>
      <w:r>
        <w:t xml:space="preserve"> </w:t>
      </w:r>
      <m:oMath>
        <m:r>
          <m:t>2</m:t>
        </m:r>
        <m:r>
          <m:rPr>
            <m:sty m:val="p"/>
          </m:rPr>
          <m:t>−</m:t>
        </m:r>
        <m:sSup>
          <m:e>
            <m:r>
              <m:t>e</m:t>
            </m:r>
          </m:e>
          <m:sup>
            <m:r>
              <m:rPr>
                <m:sty m:val="p"/>
              </m:rPr>
              <m:t>*</m:t>
            </m:r>
          </m:sup>
        </m:sSup>
        <m:r>
          <m:rPr>
            <m:sty m:val="p"/>
          </m:rPr>
          <m:t>/</m:t>
        </m:r>
        <m:r>
          <m:t>2</m:t>
        </m:r>
        <m:r>
          <m:rPr>
            <m:sty m:val="p"/>
          </m:rPr>
          <m:t>≥</m:t>
        </m:r>
        <m:r>
          <m:t>1</m:t>
        </m:r>
        <m:r>
          <m:rPr>
            <m:sty m:val="p"/>
          </m:rPr>
          <m:t>⟹</m:t>
        </m:r>
        <m:sSup>
          <m:e>
            <m:r>
              <m:t>e</m:t>
            </m:r>
          </m:e>
          <m:sup>
            <m:r>
              <m:rPr>
                <m:sty m:val="p"/>
              </m:rPr>
              <m:t>*</m:t>
            </m:r>
          </m:sup>
        </m:sSup>
        <m:r>
          <m:rPr>
            <m:sty m:val="p"/>
          </m:rPr>
          <m:t>≤</m:t>
        </m:r>
        <m:r>
          <m:t>2</m:t>
        </m:r>
      </m:oMath>
    </w:p>
    <w:p>
      <w:pPr>
        <w:pStyle w:val="BlockText"/>
      </w:pPr>
      <w:r>
        <w:rPr>
          <w:b/>
          <w:bCs/>
        </w:rPr>
        <w:t xml:space="preserve">Equilíbrio separador menos custoso:</w:t>
      </w:r>
      <w:r>
        <w:t xml:space="preserve"> </w:t>
      </w:r>
      <m:oMath>
        <m:sSup>
          <m:e>
            <m:r>
              <m:t>e</m:t>
            </m:r>
          </m:e>
          <m:sup>
            <m:r>
              <m:rPr>
                <m:sty m:val="p"/>
              </m:rPr>
              <m:t>*</m:t>
            </m:r>
          </m:sup>
        </m:sSup>
        <m:r>
          <m:rPr>
            <m:sty m:val="p"/>
          </m:rPr>
          <m:t>=</m:t>
        </m:r>
        <m:r>
          <m:t>1</m:t>
        </m:r>
      </m:oMath>
      <w:r>
        <w:t xml:space="preserve">.</w:t>
      </w:r>
    </w:p>
    <w:p>
      <w:pPr>
        <w:pStyle w:val="BlockText"/>
      </w:pPr>
      <w:r>
        <w:t xml:space="preserve">Payoffs: tipo H obtém</w:t>
      </w:r>
      <w:r>
        <w:t xml:space="preserve"> </w:t>
      </w:r>
      <m:oMath>
        <m:r>
          <m:t>2</m:t>
        </m:r>
        <m:r>
          <m:rPr>
            <m:sty m:val="p"/>
          </m:rPr>
          <m:t>−</m:t>
        </m:r>
        <m:r>
          <m:t>1</m:t>
        </m:r>
        <m:r>
          <m:rPr>
            <m:sty m:val="p"/>
          </m:rPr>
          <m:t>/</m:t>
        </m:r>
        <m:r>
          <m:t>2</m:t>
        </m:r>
        <m:r>
          <m:rPr>
            <m:sty m:val="p"/>
          </m:rPr>
          <m:t>=</m:t>
        </m:r>
        <m:r>
          <m:t>1</m:t>
        </m:r>
        <m:r>
          <m:rPr>
            <m:sty m:val="p"/>
          </m:rPr>
          <m:t>,</m:t>
        </m:r>
        <m:r>
          <m:t>5</m:t>
        </m:r>
      </m:oMath>
      <w:r>
        <w:t xml:space="preserve">; tipo L obtém 1.</w:t>
      </w:r>
    </w:p>
    <w:p>
      <w:pPr>
        <w:pStyle w:val="BlockText"/>
      </w:pPr>
      <w:r>
        <w:rPr>
          <w:b/>
          <w:bCs/>
        </w:rPr>
        <w:t xml:space="preserve">Eficiência:</w:t>
      </w:r>
      <w:r>
        <w:t xml:space="preserve"> </w:t>
      </w:r>
      <w:r>
        <w:t xml:space="preserve">Se a informação fosse simétrica, cada tipo receberia sua produtividade sem custo de sinalização. O custo total da sinalização é</w:t>
      </w:r>
      <w:r>
        <w:t xml:space="preserve"> </w:t>
      </w:r>
      <m:oMath>
        <m:r>
          <m:t>0</m:t>
        </m:r>
        <m:r>
          <m:rPr>
            <m:sty m:val="p"/>
          </m:rPr>
          <m:t>,</m:t>
        </m:r>
        <m:r>
          <m:t>5</m:t>
        </m:r>
        <m:r>
          <m:rPr>
            <m:sty m:val="p"/>
          </m:rPr>
          <m:t>×</m:t>
        </m:r>
        <m:r>
          <m:rPr>
            <m:sty m:val="p"/>
          </m:rPr>
          <m:t>(</m:t>
        </m:r>
        <m:r>
          <m:t>1</m:t>
        </m:r>
        <m:r>
          <m:rPr>
            <m:sty m:val="p"/>
          </m:rPr>
          <m:t>/</m:t>
        </m:r>
        <m:r>
          <m:t>2</m:t>
        </m:r>
        <m:r>
          <m:rPr>
            <m:sty m:val="p"/>
          </m:rPr>
          <m:t>)</m:t>
        </m:r>
        <m:r>
          <m:rPr>
            <m:sty m:val="p"/>
          </m:rPr>
          <m:t>=</m:t>
        </m:r>
        <m:r>
          <m:t>0</m:t>
        </m:r>
        <m:r>
          <m:rPr>
            <m:sty m:val="p"/>
          </m:rPr>
          <m:t>,</m:t>
        </m:r>
        <m:r>
          <m:t>25</m:t>
        </m:r>
      </m:oMath>
      <w:r>
        <w:t xml:space="preserve"> </w:t>
      </w:r>
      <w:r>
        <w:t xml:space="preserve">— puro desperdício social, pois a educação não aumenta a produtividade neste modelo.</w:t>
      </w:r>
    </w:p>
    <w:p>
      <w:pPr>
        <w:pStyle w:val="BlockText"/>
      </w:pPr>
      <w:r>
        <w:rPr>
          <w:b/>
          <w:bCs/>
        </w:rPr>
        <w:t xml:space="preserve">[EXERCICIO RESOLVIDO] Exercício Resolvido 9d.2 — Contrato ótimo com moral hazard</w:t>
      </w:r>
    </w:p>
    <w:p>
      <w:pPr>
        <w:pStyle w:val="BlockText"/>
      </w:pPr>
      <w:r>
        <w:rPr>
          <w:b/>
          <w:bCs/>
        </w:rPr>
        <w:t xml:space="preserve">Enunciado:</w:t>
      </w:r>
      <w:r>
        <w:t xml:space="preserve"> </w:t>
      </w:r>
      <w:r>
        <w:t xml:space="preserve">Um principal contrata um agente. O agente pode exercer esforço alto (</w:t>
      </w:r>
      <m:oMath>
        <m:sSub>
          <m:e>
            <m:r>
              <m:t>e</m:t>
            </m:r>
          </m:e>
          <m:sub>
            <m:r>
              <m:t>H</m:t>
            </m:r>
          </m:sub>
        </m:sSub>
      </m:oMath>
      <w:r>
        <w:t xml:space="preserve">, custo 2) ou baixo (</w:t>
      </w:r>
      <m:oMath>
        <m:sSub>
          <m:e>
            <m:r>
              <m:t>e</m:t>
            </m:r>
          </m:e>
          <m:sub>
            <m:r>
              <m:t>L</m:t>
            </m:r>
          </m:sub>
        </m:sSub>
      </m:oMath>
      <w:r>
        <w:t xml:space="preserve">, custo 0). Com esforço alto, o resultado é bom (100) com prob. 0,8 e ruim (0) com prob. 0,2. Com esforço baixo, é bom com prob. 0,3 e ruim com prob. 0,7. O agente é neutro ao risco e tem utilidade de reserva 0.</w:t>
      </w:r>
    </w:p>
    <w:p>
      <w:pPr>
        <w:pStyle w:val="Compact"/>
        <w:numPr>
          <w:ilvl w:val="0"/>
          <w:numId w:val="1615"/>
        </w:numPr>
      </w:pPr>
      <w:r>
        <w:t xml:space="preserve">Qual contrato implementa esforço alto?</w:t>
      </w:r>
    </w:p>
    <w:p>
      <w:pPr>
        <w:pStyle w:val="BlockText"/>
      </w:pPr>
      <w:r>
        <w:rPr>
          <w:b/>
          <w:bCs/>
        </w:rPr>
        <w:t xml:space="preserve">Resolução:</w:t>
      </w:r>
    </w:p>
    <w:p>
      <w:pPr>
        <w:pStyle w:val="BlockText"/>
      </w:pPr>
      <w:r>
        <w:t xml:space="preserve">Contrato:</w:t>
      </w:r>
      <w:r>
        <w:t xml:space="preserve"> </w:t>
      </w:r>
      <m:oMath>
        <m:sSub>
          <m:e>
            <m:r>
              <m:t>w</m:t>
            </m:r>
          </m:e>
          <m:sub>
            <m:r>
              <m:t>B</m:t>
            </m:r>
          </m:sub>
        </m:sSub>
      </m:oMath>
      <w:r>
        <w:t xml:space="preserve"> </w:t>
      </w:r>
      <w:r>
        <w:t xml:space="preserve">se resultado bom,</w:t>
      </w:r>
      <w:r>
        <w:t xml:space="preserve"> </w:t>
      </w:r>
      <m:oMath>
        <m:sSub>
          <m:e>
            <m:r>
              <m:t>w</m:t>
            </m:r>
          </m:e>
          <m:sub>
            <m:r>
              <m:t>R</m:t>
            </m:r>
          </m:sub>
        </m:sSub>
      </m:oMath>
      <w:r>
        <w:t xml:space="preserve"> </w:t>
      </w:r>
      <w:r>
        <w:t xml:space="preserve">se resultado ruim.</w:t>
      </w:r>
    </w:p>
    <w:p>
      <w:pPr>
        <w:pStyle w:val="BlockText"/>
      </w:pPr>
      <w:r>
        <w:rPr>
          <w:b/>
          <w:bCs/>
        </w:rPr>
        <w:t xml:space="preserve">Restrição de incentivo (IC):</w:t>
      </w:r>
      <w:r>
        <w:t xml:space="preserve"> </w:t>
      </w:r>
      <m:oMath>
        <m:r>
          <m:t>0</m:t>
        </m:r>
        <m:r>
          <m:rPr>
            <m:sty m:val="p"/>
          </m:rPr>
          <m:t>,</m:t>
        </m:r>
        <m:r>
          <m:t>8</m:t>
        </m:r>
        <m:sSub>
          <m:e>
            <m:r>
              <m:t>w</m:t>
            </m:r>
          </m:e>
          <m:sub>
            <m:r>
              <m:t>B</m:t>
            </m:r>
          </m:sub>
        </m:sSub>
        <m:r>
          <m:rPr>
            <m:sty m:val="p"/>
          </m:rPr>
          <m:t>+</m:t>
        </m:r>
        <m:r>
          <m:t>0</m:t>
        </m:r>
        <m:r>
          <m:rPr>
            <m:sty m:val="p"/>
          </m:rPr>
          <m:t>,</m:t>
        </m:r>
        <m:r>
          <m:t>2</m:t>
        </m:r>
        <m:sSub>
          <m:e>
            <m:r>
              <m:t>w</m:t>
            </m:r>
          </m:e>
          <m:sub>
            <m:r>
              <m:t>R</m:t>
            </m:r>
          </m:sub>
        </m:sSub>
        <m:r>
          <m:rPr>
            <m:sty m:val="p"/>
          </m:rPr>
          <m:t>−</m:t>
        </m:r>
        <m:r>
          <m:t>2</m:t>
        </m:r>
        <m:r>
          <m:rPr>
            <m:sty m:val="p"/>
          </m:rPr>
          <m:t>≥</m:t>
        </m:r>
        <m:r>
          <m:t>0</m:t>
        </m:r>
        <m:r>
          <m:rPr>
            <m:sty m:val="p"/>
          </m:rPr>
          <m:t>,</m:t>
        </m:r>
        <m:r>
          <m:t>3</m:t>
        </m:r>
        <m:sSub>
          <m:e>
            <m:r>
              <m:t>w</m:t>
            </m:r>
          </m:e>
          <m:sub>
            <m:r>
              <m:t>B</m:t>
            </m:r>
          </m:sub>
        </m:sSub>
        <m:r>
          <m:rPr>
            <m:sty m:val="p"/>
          </m:rPr>
          <m:t>+</m:t>
        </m:r>
        <m:r>
          <m:t>0</m:t>
        </m:r>
        <m:r>
          <m:rPr>
            <m:sty m:val="p"/>
          </m:rPr>
          <m:t>,</m:t>
        </m:r>
        <m:r>
          <m:t>7</m:t>
        </m:r>
        <m:sSub>
          <m:e>
            <m:r>
              <m:t>w</m:t>
            </m:r>
          </m:e>
          <m:sub>
            <m:r>
              <m:t>R</m:t>
            </m:r>
          </m:sub>
        </m:sSub>
      </m:oMath>
    </w:p>
    <w:p>
      <w:pPr>
        <w:pStyle w:val="BlockText"/>
      </w:pPr>
      <m:oMath>
        <m:r>
          <m:rPr>
            <m:sty m:val="p"/>
          </m:rPr>
          <m:t>⟹</m:t>
        </m:r>
        <m:r>
          <m:t>0</m:t>
        </m:r>
        <m:r>
          <m:rPr>
            <m:sty m:val="p"/>
          </m:rPr>
          <m:t>,</m:t>
        </m:r>
        <m:r>
          <m:t>5</m:t>
        </m:r>
        <m:sSub>
          <m:e>
            <m:r>
              <m:t>w</m:t>
            </m:r>
          </m:e>
          <m:sub>
            <m:r>
              <m:t>B</m:t>
            </m:r>
          </m:sub>
        </m:sSub>
        <m:r>
          <m:rPr>
            <m:sty m:val="p"/>
          </m:rPr>
          <m:t>−</m:t>
        </m:r>
        <m:r>
          <m:t>0</m:t>
        </m:r>
        <m:r>
          <m:rPr>
            <m:sty m:val="p"/>
          </m:rPr>
          <m:t>,</m:t>
        </m:r>
        <m:r>
          <m:t>5</m:t>
        </m:r>
        <m:sSub>
          <m:e>
            <m:r>
              <m:t>w</m:t>
            </m:r>
          </m:e>
          <m:sub>
            <m:r>
              <m:t>R</m:t>
            </m:r>
          </m:sub>
        </m:sSub>
        <m:r>
          <m:rPr>
            <m:sty m:val="p"/>
          </m:rPr>
          <m:t>≥</m:t>
        </m:r>
        <m:r>
          <m:t>2</m:t>
        </m:r>
        <m:r>
          <m:rPr>
            <m:sty m:val="p"/>
          </m:rPr>
          <m:t>⟹</m:t>
        </m:r>
        <m:sSub>
          <m:e>
            <m:r>
              <m:t>w</m:t>
            </m:r>
          </m:e>
          <m:sub>
            <m:r>
              <m:t>B</m:t>
            </m:r>
          </m:sub>
        </m:sSub>
        <m:r>
          <m:rPr>
            <m:sty m:val="p"/>
          </m:rPr>
          <m:t>−</m:t>
        </m:r>
        <m:sSub>
          <m:e>
            <m:r>
              <m:t>w</m:t>
            </m:r>
          </m:e>
          <m:sub>
            <m:r>
              <m:t>R</m:t>
            </m:r>
          </m:sub>
        </m:sSub>
        <m:r>
          <m:rPr>
            <m:sty m:val="p"/>
          </m:rPr>
          <m:t>≥</m:t>
        </m:r>
        <m:r>
          <m:t>4</m:t>
        </m:r>
      </m:oMath>
    </w:p>
    <w:p>
      <w:pPr>
        <w:pStyle w:val="BlockText"/>
      </w:pPr>
      <w:r>
        <w:rPr>
          <w:b/>
          <w:bCs/>
        </w:rPr>
        <w:t xml:space="preserve">Restrição de participação (IR):</w:t>
      </w:r>
      <w:r>
        <w:t xml:space="preserve"> </w:t>
      </w:r>
      <m:oMath>
        <m:r>
          <m:t>0</m:t>
        </m:r>
        <m:r>
          <m:rPr>
            <m:sty m:val="p"/>
          </m:rPr>
          <m:t>,</m:t>
        </m:r>
        <m:r>
          <m:t>8</m:t>
        </m:r>
        <m:sSub>
          <m:e>
            <m:r>
              <m:t>w</m:t>
            </m:r>
          </m:e>
          <m:sub>
            <m:r>
              <m:t>B</m:t>
            </m:r>
          </m:sub>
        </m:sSub>
        <m:r>
          <m:rPr>
            <m:sty m:val="p"/>
          </m:rPr>
          <m:t>+</m:t>
        </m:r>
        <m:r>
          <m:t>0</m:t>
        </m:r>
        <m:r>
          <m:rPr>
            <m:sty m:val="p"/>
          </m:rPr>
          <m:t>,</m:t>
        </m:r>
        <m:r>
          <m:t>2</m:t>
        </m:r>
        <m:sSub>
          <m:e>
            <m:r>
              <m:t>w</m:t>
            </m:r>
          </m:e>
          <m:sub>
            <m:r>
              <m:t>R</m:t>
            </m:r>
          </m:sub>
        </m:sSub>
        <m:r>
          <m:rPr>
            <m:sty m:val="p"/>
          </m:rPr>
          <m:t>−</m:t>
        </m:r>
        <m:r>
          <m:t>2</m:t>
        </m:r>
        <m:r>
          <m:rPr>
            <m:sty m:val="p"/>
          </m:rPr>
          <m:t>≥</m:t>
        </m:r>
        <m:r>
          <m:t>0</m:t>
        </m:r>
      </m:oMath>
    </w:p>
    <w:p>
      <w:pPr>
        <w:pStyle w:val="BlockText"/>
      </w:pPr>
      <w:r>
        <w:t xml:space="preserve">Minimizando o custo para o principal:</w:t>
      </w:r>
      <w:r>
        <w:t xml:space="preserve"> </w:t>
      </w:r>
      <m:oMath>
        <m:sSub>
          <m:e>
            <m:r>
              <m:t>w</m:t>
            </m:r>
          </m:e>
          <m:sub>
            <m:r>
              <m:t>R</m:t>
            </m:r>
          </m:sub>
        </m:sSub>
        <m:r>
          <m:rPr>
            <m:sty m:val="p"/>
          </m:rPr>
          <m:t>=</m:t>
        </m:r>
        <m:r>
          <m:t>0</m:t>
        </m:r>
      </m:oMath>
      <w:r>
        <w:t xml:space="preserve">,</w:t>
      </w:r>
      <w:r>
        <w:t xml:space="preserve"> </w:t>
      </w:r>
      <m:oMath>
        <m:sSub>
          <m:e>
            <m:r>
              <m:t>w</m:t>
            </m:r>
          </m:e>
          <m:sub>
            <m:r>
              <m:t>B</m:t>
            </m:r>
          </m:sub>
        </m:sSub>
        <m:r>
          <m:rPr>
            <m:sty m:val="p"/>
          </m:rPr>
          <m:t>=</m:t>
        </m:r>
        <m:r>
          <m:t>2</m:t>
        </m:r>
        <m:r>
          <m:rPr>
            <m:sty m:val="p"/>
          </m:rPr>
          <m:t>/</m:t>
        </m:r>
        <m:r>
          <m:rPr>
            <m:sty m:val="p"/>
          </m:rPr>
          <m:t>(</m:t>
        </m:r>
        <m:r>
          <m:t>0</m:t>
        </m:r>
        <m:r>
          <m:rPr>
            <m:sty m:val="p"/>
          </m:rPr>
          <m:t>,</m:t>
        </m:r>
        <m:r>
          <m:t>5</m:t>
        </m:r>
        <m:r>
          <m:rPr>
            <m:sty m:val="p"/>
          </m:rPr>
          <m:t>)</m:t>
        </m:r>
        <m:r>
          <m:rPr>
            <m:sty m:val="p"/>
          </m:rPr>
          <m:t>=</m:t>
        </m:r>
        <m:r>
          <m:t>4</m:t>
        </m:r>
      </m:oMath>
      <w:r>
        <w:t xml:space="preserve">… Verificando:</w:t>
      </w:r>
      <w:r>
        <w:t xml:space="preserve"> </w:t>
      </w:r>
      <m:oMath>
        <m:r>
          <m:t>0</m:t>
        </m:r>
        <m:r>
          <m:rPr>
            <m:sty m:val="p"/>
          </m:rPr>
          <m:t>,</m:t>
        </m:r>
        <m:r>
          <m:t>8</m:t>
        </m:r>
        <m:r>
          <m:rPr>
            <m:sty m:val="p"/>
          </m:rPr>
          <m:t>×</m:t>
        </m:r>
        <m:r>
          <m:t>4</m:t>
        </m:r>
        <m:r>
          <m:rPr>
            <m:sty m:val="p"/>
          </m:rPr>
          <m:t>+</m:t>
        </m:r>
        <m:r>
          <m:t>0</m:t>
        </m:r>
        <m:r>
          <m:rPr>
            <m:sty m:val="p"/>
          </m:rPr>
          <m:t>,</m:t>
        </m:r>
        <m:r>
          <m:t>2</m:t>
        </m:r>
        <m:r>
          <m:rPr>
            <m:sty m:val="p"/>
          </m:rPr>
          <m:t>×</m:t>
        </m:r>
        <m:r>
          <m:t>0</m:t>
        </m:r>
        <m:r>
          <m:rPr>
            <m:sty m:val="p"/>
          </m:rPr>
          <m:t>−</m:t>
        </m:r>
        <m:r>
          <m:t>2</m:t>
        </m:r>
        <m:r>
          <m:rPr>
            <m:sty m:val="p"/>
          </m:rPr>
          <m:t>=</m:t>
        </m:r>
        <m:r>
          <m:t>1</m:t>
        </m:r>
        <m:r>
          <m:rPr>
            <m:sty m:val="p"/>
          </m:rPr>
          <m:t>,</m:t>
        </m:r>
        <m:r>
          <m:t>2</m:t>
        </m:r>
        <m:r>
          <m:rPr>
            <m:sty m:val="p"/>
          </m:rPr>
          <m:t>≥</m:t>
        </m:r>
        <m:r>
          <m:t>0</m:t>
        </m:r>
      </m:oMath>
      <w:r>
        <w:t xml:space="preserve">. ✓</w:t>
      </w:r>
    </w:p>
    <w:p>
      <w:pPr>
        <w:pStyle w:val="BlockText"/>
      </w:pPr>
      <w:r>
        <w:t xml:space="preserve">Mas podemos fazer melhor: com</w:t>
      </w:r>
      <w:r>
        <w:t xml:space="preserve"> </w:t>
      </w:r>
      <m:oMath>
        <m:sSub>
          <m:e>
            <m:r>
              <m:t>w</m:t>
            </m:r>
          </m:e>
          <m:sub>
            <m:r>
              <m:t>R</m:t>
            </m:r>
          </m:sub>
        </m:sSub>
        <m:r>
          <m:rPr>
            <m:sty m:val="p"/>
          </m:rPr>
          <m:t>=</m:t>
        </m:r>
        <m:r>
          <m:t>0</m:t>
        </m:r>
      </m:oMath>
      <w:r>
        <w:t xml:space="preserve">, IC dá</w:t>
      </w:r>
      <w:r>
        <w:t xml:space="preserve"> </w:t>
      </w:r>
      <m:oMath>
        <m:sSub>
          <m:e>
            <m:r>
              <m:t>w</m:t>
            </m:r>
          </m:e>
          <m:sub>
            <m:r>
              <m:t>B</m:t>
            </m:r>
          </m:sub>
        </m:sSub>
        <m:r>
          <m:rPr>
            <m:sty m:val="p"/>
          </m:rPr>
          <m:t>≥</m:t>
        </m:r>
        <m:r>
          <m:t>4</m:t>
        </m:r>
      </m:oMath>
      <w:r>
        <w:t xml:space="preserve">. IR com</w:t>
      </w:r>
      <w:r>
        <w:t xml:space="preserve"> </w:t>
      </w:r>
      <m:oMath>
        <m:sSub>
          <m:e>
            <m:r>
              <m:t>w</m:t>
            </m:r>
          </m:e>
          <m:sub>
            <m:r>
              <m:t>B</m:t>
            </m:r>
          </m:sub>
        </m:sSub>
        <m:r>
          <m:rPr>
            <m:sty m:val="p"/>
          </m:rPr>
          <m:t>=</m:t>
        </m:r>
        <m:r>
          <m:t>4</m:t>
        </m:r>
      </m:oMath>
      <w:r>
        <w:t xml:space="preserve">:</w:t>
      </w:r>
      <w:r>
        <w:t xml:space="preserve"> </w:t>
      </w:r>
      <m:oMath>
        <m:r>
          <m:t>3</m:t>
        </m:r>
        <m:r>
          <m:rPr>
            <m:sty m:val="p"/>
          </m:rPr>
          <m:t>,</m:t>
        </m:r>
        <m:r>
          <m:t>2</m:t>
        </m:r>
        <m:r>
          <m:rPr>
            <m:sty m:val="p"/>
          </m:rPr>
          <m:t>−</m:t>
        </m:r>
        <m:r>
          <m:t>2</m:t>
        </m:r>
        <m:r>
          <m:rPr>
            <m:sty m:val="p"/>
          </m:rPr>
          <m:t>=</m:t>
        </m:r>
        <m:r>
          <m:t>1</m:t>
        </m:r>
        <m:r>
          <m:rPr>
            <m:sty m:val="p"/>
          </m:rPr>
          <m:t>,</m:t>
        </m:r>
        <m:r>
          <m:t>2</m:t>
        </m:r>
        <m:r>
          <m:rPr>
            <m:sty m:val="p"/>
          </m:rPr>
          <m:t>&gt;</m:t>
        </m:r>
        <m:r>
          <m:t>0</m:t>
        </m:r>
      </m:oMath>
      <w:r>
        <w:t xml:space="preserve"> </w:t>
      </w:r>
      <w:r>
        <w:t xml:space="preserve">— renda extra para o agente.</w:t>
      </w:r>
    </w:p>
    <w:p>
      <w:pPr>
        <w:pStyle w:val="BlockText"/>
      </w:pPr>
      <w:r>
        <w:t xml:space="preserve">O contrato ótimo iguala IR:</w:t>
      </w:r>
      <w:r>
        <w:t xml:space="preserve"> </w:t>
      </w:r>
      <m:oMath>
        <m:r>
          <m:t>0</m:t>
        </m:r>
        <m:r>
          <m:rPr>
            <m:sty m:val="p"/>
          </m:rPr>
          <m:t>,</m:t>
        </m:r>
        <m:r>
          <m:t>8</m:t>
        </m:r>
        <m:sSub>
          <m:e>
            <m:r>
              <m:t>w</m:t>
            </m:r>
          </m:e>
          <m:sub>
            <m:r>
              <m:t>B</m:t>
            </m:r>
          </m:sub>
        </m:sSub>
        <m:r>
          <m:rPr>
            <m:sty m:val="p"/>
          </m:rPr>
          <m:t>+</m:t>
        </m:r>
        <m:r>
          <m:t>0</m:t>
        </m:r>
        <m:r>
          <m:rPr>
            <m:sty m:val="p"/>
          </m:rPr>
          <m:t>,</m:t>
        </m:r>
        <m:r>
          <m:t>2</m:t>
        </m:r>
        <m:sSub>
          <m:e>
            <m:r>
              <m:t>w</m:t>
            </m:r>
          </m:e>
          <m:sub>
            <m:r>
              <m:t>R</m:t>
            </m:r>
          </m:sub>
        </m:sSub>
        <m:r>
          <m:rPr>
            <m:sty m:val="p"/>
          </m:rPr>
          <m:t>−</m:t>
        </m:r>
        <m:r>
          <m:t>2</m:t>
        </m:r>
        <m:r>
          <m:rPr>
            <m:sty m:val="p"/>
          </m:rPr>
          <m:t>=</m:t>
        </m:r>
        <m:r>
          <m:t>0</m:t>
        </m:r>
      </m:oMath>
      <w:r>
        <w:t xml:space="preserve"> </w:t>
      </w:r>
      <w:r>
        <w:t xml:space="preserve">e IC:</w:t>
      </w:r>
      <w:r>
        <w:t xml:space="preserve"> </w:t>
      </w:r>
      <m:oMath>
        <m:sSub>
          <m:e>
            <m:r>
              <m:t>w</m:t>
            </m:r>
          </m:e>
          <m:sub>
            <m:r>
              <m:t>B</m:t>
            </m:r>
          </m:sub>
        </m:sSub>
        <m:r>
          <m:rPr>
            <m:sty m:val="p"/>
          </m:rPr>
          <m:t>−</m:t>
        </m:r>
        <m:sSub>
          <m:e>
            <m:r>
              <m:t>w</m:t>
            </m:r>
          </m:e>
          <m:sub>
            <m:r>
              <m:t>R</m:t>
            </m:r>
          </m:sub>
        </m:sSub>
        <m:r>
          <m:rPr>
            <m:sty m:val="p"/>
          </m:rPr>
          <m:t>=</m:t>
        </m:r>
        <m:r>
          <m:t>4</m:t>
        </m:r>
      </m:oMath>
      <w:r>
        <w:t xml:space="preserve">.</w:t>
      </w:r>
    </w:p>
    <w:p>
      <w:pPr>
        <w:pStyle w:val="BlockText"/>
      </w:pPr>
      <w:r>
        <w:t xml:space="preserve">Sistema:</w:t>
      </w:r>
      <w:r>
        <w:t xml:space="preserve"> </w:t>
      </w:r>
      <m:oMath>
        <m:sSub>
          <m:e>
            <m:r>
              <m:t>w</m:t>
            </m:r>
          </m:e>
          <m:sub>
            <m:r>
              <m:t>B</m:t>
            </m:r>
          </m:sub>
        </m:sSub>
        <m:r>
          <m:rPr>
            <m:sty m:val="p"/>
          </m:rPr>
          <m:t>=</m:t>
        </m:r>
        <m:sSub>
          <m:e>
            <m:r>
              <m:t>w</m:t>
            </m:r>
          </m:e>
          <m:sub>
            <m:r>
              <m:t>R</m:t>
            </m:r>
          </m:sub>
        </m:sSub>
        <m:r>
          <m:rPr>
            <m:sty m:val="p"/>
          </m:rPr>
          <m:t>+</m:t>
        </m:r>
        <m:r>
          <m:t>4</m:t>
        </m:r>
      </m:oMath>
      <w:r>
        <w:t xml:space="preserve"> </w:t>
      </w:r>
      <w:r>
        <w:t xml:space="preserve">e</w:t>
      </w:r>
      <w:r>
        <w:t xml:space="preserve"> </w:t>
      </w:r>
      <m:oMath>
        <m:r>
          <m:t>0</m:t>
        </m:r>
        <m:r>
          <m:rPr>
            <m:sty m:val="p"/>
          </m:rPr>
          <m:t>,</m:t>
        </m:r>
        <m:r>
          <m:t>8</m:t>
        </m:r>
        <m:r>
          <m:rPr>
            <m:sty m:val="p"/>
          </m:rPr>
          <m:t>(</m:t>
        </m:r>
        <m:sSub>
          <m:e>
            <m:r>
              <m:t>w</m:t>
            </m:r>
          </m:e>
          <m:sub>
            <m:r>
              <m:t>R</m:t>
            </m:r>
          </m:sub>
        </m:sSub>
        <m:r>
          <m:rPr>
            <m:sty m:val="p"/>
          </m:rPr>
          <m:t>+</m:t>
        </m:r>
        <m:r>
          <m:t>4</m:t>
        </m:r>
        <m:r>
          <m:rPr>
            <m:sty m:val="p"/>
          </m:rPr>
          <m:t>)</m:t>
        </m:r>
        <m:r>
          <m:rPr>
            <m:sty m:val="p"/>
          </m:rPr>
          <m:t>+</m:t>
        </m:r>
        <m:r>
          <m:t>0</m:t>
        </m:r>
        <m:r>
          <m:rPr>
            <m:sty m:val="p"/>
          </m:rPr>
          <m:t>,</m:t>
        </m:r>
        <m:r>
          <m:t>2</m:t>
        </m:r>
        <m:sSub>
          <m:e>
            <m:r>
              <m:t>w</m:t>
            </m:r>
          </m:e>
          <m:sub>
            <m:r>
              <m:t>R</m:t>
            </m:r>
          </m:sub>
        </m:sSub>
        <m:r>
          <m:rPr>
            <m:sty m:val="p"/>
          </m:rPr>
          <m:t>=</m:t>
        </m:r>
        <m:r>
          <m:t>2</m:t>
        </m:r>
        <m:r>
          <m:rPr>
            <m:sty m:val="p"/>
          </m:rPr>
          <m:t>⟹</m:t>
        </m:r>
        <m:sSub>
          <m:e>
            <m:r>
              <m:t>w</m:t>
            </m:r>
          </m:e>
          <m:sub>
            <m:r>
              <m:t>R</m:t>
            </m:r>
          </m:sub>
        </m:sSub>
        <m:r>
          <m:rPr>
            <m:sty m:val="p"/>
          </m:rPr>
          <m:t>=</m:t>
        </m:r>
        <m:r>
          <m:rPr>
            <m:sty m:val="p"/>
          </m:rPr>
          <m:t>−</m:t>
        </m:r>
        <m:r>
          <m:t>1</m:t>
        </m:r>
        <m:r>
          <m:rPr>
            <m:sty m:val="p"/>
          </m:rPr>
          <m:t>,</m:t>
        </m:r>
        <m:r>
          <m:t>2</m:t>
        </m:r>
      </m:oMath>
      <w:r>
        <w:t xml:space="preserve">,</w:t>
      </w:r>
      <w:r>
        <w:t xml:space="preserve"> </w:t>
      </w:r>
      <m:oMath>
        <m:sSub>
          <m:e>
            <m:r>
              <m:t>w</m:t>
            </m:r>
          </m:e>
          <m:sub>
            <m:r>
              <m:t>B</m:t>
            </m:r>
          </m:sub>
        </m:sSub>
        <m:r>
          <m:rPr>
            <m:sty m:val="p"/>
          </m:rPr>
          <m:t>=</m:t>
        </m:r>
        <m:r>
          <m:t>2</m:t>
        </m:r>
        <m:r>
          <m:rPr>
            <m:sty m:val="p"/>
          </m:rPr>
          <m:t>,</m:t>
        </m:r>
        <m:r>
          <m:t>8</m:t>
        </m:r>
      </m:oMath>
      <w:r>
        <w:t xml:space="preserve">.</w:t>
      </w:r>
    </w:p>
    <w:p>
      <w:pPr>
        <w:pStyle w:val="BlockText"/>
      </w:pPr>
      <w:r>
        <w:t xml:space="preserve">Com</w:t>
      </w:r>
      <w:r>
        <w:t xml:space="preserve"> </w:t>
      </w:r>
      <m:oMath>
        <m:sSub>
          <m:e>
            <m:r>
              <m:t>w</m:t>
            </m:r>
          </m:e>
          <m:sub>
            <m:r>
              <m:t>R</m:t>
            </m:r>
          </m:sub>
        </m:sSub>
        <m:r>
          <m:rPr>
            <m:sty m:val="p"/>
          </m:rPr>
          <m:t>&lt;</m:t>
        </m:r>
        <m:r>
          <m:t>0</m:t>
        </m:r>
      </m:oMath>
      <w:r>
        <w:t xml:space="preserve"> </w:t>
      </w:r>
      <w:r>
        <w:t xml:space="preserve">(multa), o principal implementa esforço alto ao menor custo. Se multas não são possíveis (</w:t>
      </w:r>
      <m:oMath>
        <m:sSub>
          <m:e>
            <m:r>
              <m:t>w</m:t>
            </m:r>
          </m:e>
          <m:sub>
            <m:r>
              <m:t>R</m:t>
            </m:r>
          </m:sub>
        </m:sSub>
        <m:r>
          <m:rPr>
            <m:sty m:val="p"/>
          </m:rPr>
          <m:t>≥</m:t>
        </m:r>
        <m:r>
          <m:t>0</m:t>
        </m:r>
      </m:oMath>
      <w:r>
        <w:t xml:space="preserve">), o custo sobe — limitação de responsabilidade encarece os incentivos.</w:t>
      </w:r>
    </w:p>
    <w:p>
      <w:pPr>
        <w:pStyle w:val="BlockText"/>
      </w:pPr>
      <w:r>
        <w:rPr>
          <w:b/>
          <w:bCs/>
        </w:rPr>
        <w:t xml:space="preserve">[EXERCICIO RESOLVIDO] Exercício Resolvido 9d.3 — Seleção adversa e equilíbrio de Akerlof com tipos contínuos</w:t>
      </w:r>
    </w:p>
    <w:p>
      <w:pPr>
        <w:pStyle w:val="BlockText"/>
      </w:pPr>
      <w:r>
        <w:rPr>
          <w:b/>
          <w:bCs/>
        </w:rPr>
        <w:t xml:space="preserve">Enunciado:</w:t>
      </w:r>
      <w:r>
        <w:t xml:space="preserve"> </w:t>
      </w:r>
      <w:r>
        <w:t xml:space="preserve">No mercado de carros usados, a qualidade</w:t>
      </w:r>
      <w:r>
        <w:t xml:space="preserve"> </w:t>
      </w:r>
      <m:oMath>
        <m:r>
          <m:t>q</m:t>
        </m:r>
      </m:oMath>
      <w:r>
        <w:t xml:space="preserve"> </w:t>
      </w:r>
      <w:r>
        <w:t xml:space="preserve">é distribuída uniformemente em</w:t>
      </w:r>
      <w:r>
        <w:t xml:space="preserve"> </w:t>
      </w:r>
      <m:oMath>
        <m:r>
          <m:rPr>
            <m:sty m:val="p"/>
          </m:rPr>
          <m:t>[</m:t>
        </m:r>
        <m:r>
          <m:t>0</m:t>
        </m:r>
        <m:r>
          <m:rPr>
            <m:sty m:val="p"/>
          </m:rPr>
          <m:t>,</m:t>
        </m:r>
        <m:r>
          <m:t>10</m:t>
        </m:r>
        <m:r>
          <m:rPr>
            <m:sty m:val="p"/>
          </m:rPr>
          <m:t>]</m:t>
        </m:r>
      </m:oMath>
      <w:r>
        <w:t xml:space="preserve">. O valor do carro para o vendedor é</w:t>
      </w:r>
      <w:r>
        <w:t xml:space="preserve"> </w:t>
      </w:r>
      <m:oMath>
        <m:sSub>
          <m:e>
            <m:r>
              <m:t>v</m:t>
            </m:r>
          </m:e>
          <m:sub>
            <m:r>
              <m:t>S</m:t>
            </m:r>
          </m:sub>
        </m:sSub>
        <m:r>
          <m:rPr>
            <m:sty m:val="p"/>
          </m:rPr>
          <m:t>=</m:t>
        </m:r>
        <m:r>
          <m:t>q</m:t>
        </m:r>
      </m:oMath>
      <w:r>
        <w:t xml:space="preserve">, e para o comprador é</w:t>
      </w:r>
      <w:r>
        <w:t xml:space="preserve"> </w:t>
      </w:r>
      <m:oMath>
        <m:sSub>
          <m:e>
            <m:r>
              <m:t>v</m:t>
            </m:r>
          </m:e>
          <m:sub>
            <m:r>
              <m:t>B</m:t>
            </m:r>
          </m:sub>
        </m:sSub>
        <m:r>
          <m:rPr>
            <m:sty m:val="p"/>
          </m:rPr>
          <m:t>=</m:t>
        </m:r>
        <m:r>
          <m:t>1</m:t>
        </m:r>
        <m:r>
          <m:rPr>
            <m:sty m:val="p"/>
          </m:rPr>
          <m:t>,</m:t>
        </m:r>
        <m:r>
          <m:t>5</m:t>
        </m:r>
        <m:r>
          <m:t>q</m:t>
        </m:r>
      </m:oMath>
      <w:r>
        <w:t xml:space="preserve">. O vendedor conhece</w:t>
      </w:r>
      <w:r>
        <w:t xml:space="preserve"> </w:t>
      </w:r>
      <m:oMath>
        <m:r>
          <m:t>q</m:t>
        </m:r>
      </m:oMath>
      <w:r>
        <w:t xml:space="preserve">; o comprador não. Apenas carros cujo preço de mercado</w:t>
      </w:r>
      <w:r>
        <w:t xml:space="preserve"> </w:t>
      </w:r>
      <m:oMath>
        <m:r>
          <m:t>P</m:t>
        </m:r>
      </m:oMath>
      <w:r>
        <w:t xml:space="preserve"> </w:t>
      </w:r>
      <w:r>
        <w:t xml:space="preserve">é pelo menos igual ao valor de reserva do vendedor (</w:t>
      </w:r>
      <m:oMath>
        <m:sSub>
          <m:e>
            <m:r>
              <m:t>v</m:t>
            </m:r>
          </m:e>
          <m:sub>
            <m:r>
              <m:t>S</m:t>
            </m:r>
          </m:sub>
        </m:sSub>
        <m:r>
          <m:rPr>
            <m:sty m:val="p"/>
          </m:rPr>
          <m:t>=</m:t>
        </m:r>
        <m:r>
          <m:t>q</m:t>
        </m:r>
      </m:oMath>
      <w:r>
        <w:t xml:space="preserve">) são colocados à venda. (a) Se o comprador acredita que todos os carros estão à venda, qual é o preço máximo que aceita pagar? (b) Dado esse preço, quais carros são realmente oferecidos? O mercado funciona? (c) Encontre o equilíbrio. (d) Que valor mínimo de</w:t>
      </w:r>
      <w:r>
        <w:t xml:space="preserve"> </w:t>
      </w:r>
      <m:oMath>
        <m:r>
          <m:t>α</m:t>
        </m:r>
      </m:oMath>
      <w:r>
        <w:t xml:space="preserve"> </w:t>
      </w:r>
      <w:r>
        <w:t xml:space="preserve">(onde</w:t>
      </w:r>
      <w:r>
        <w:t xml:space="preserve"> </w:t>
      </w:r>
      <m:oMath>
        <m:sSub>
          <m:e>
            <m:r>
              <m:t>v</m:t>
            </m:r>
          </m:e>
          <m:sub>
            <m:r>
              <m:t>B</m:t>
            </m:r>
          </m:sub>
        </m:sSub>
        <m:r>
          <m:rPr>
            <m:sty m:val="p"/>
          </m:rPr>
          <m:t>=</m:t>
        </m:r>
        <m:r>
          <m:t>α</m:t>
        </m:r>
        <m:r>
          <m:t>q</m:t>
        </m:r>
      </m:oMath>
      <w:r>
        <w:t xml:space="preserve">) sustenta um mercado com transações?</w:t>
      </w:r>
    </w:p>
    <w:p>
      <w:pPr>
        <w:pStyle w:val="BlockText"/>
      </w:pPr>
      <w:r>
        <w:rPr>
          <w:b/>
          <w:bCs/>
        </w:rPr>
        <w:t xml:space="preserve">Resolução:</w:t>
      </w:r>
    </w:p>
    <w:p>
      <w:pPr>
        <w:pStyle w:val="BlockText"/>
      </w:pPr>
      <w:r>
        <w:rPr>
          <w:b/>
          <w:bCs/>
        </w:rPr>
        <w:t xml:space="preserve">(a)</w:t>
      </w:r>
      <w:r>
        <w:t xml:space="preserve"> </w:t>
      </w:r>
      <w:r>
        <w:t xml:space="preserve">Se todos os carros estão à venda,</w:t>
      </w:r>
      <w:r>
        <w:t xml:space="preserve"> </w:t>
      </w:r>
      <m:oMath>
        <m:r>
          <m:t>q</m:t>
        </m:r>
        <m:r>
          <m:rPr>
            <m:sty m:val="p"/>
          </m:rPr>
          <m:t>∼</m:t>
        </m:r>
        <m:r>
          <m:t>U</m:t>
        </m:r>
        <m:r>
          <m:rPr>
            <m:sty m:val="p"/>
          </m:rPr>
          <m:t>[</m:t>
        </m:r>
        <m:r>
          <m:t>0</m:t>
        </m:r>
        <m:r>
          <m:rPr>
            <m:sty m:val="p"/>
          </m:rPr>
          <m:t>,</m:t>
        </m:r>
        <m:r>
          <m:t>10</m:t>
        </m:r>
        <m:r>
          <m:rPr>
            <m:sty m:val="p"/>
          </m:rPr>
          <m:t>]</m:t>
        </m:r>
      </m:oMath>
      <w:r>
        <w:t xml:space="preserve"> </w:t>
      </w:r>
      <w:r>
        <w:t xml:space="preserve">e o valor esperado para o comprador é:</w:t>
      </w:r>
    </w:p>
    <w:p>
      <w:pPr>
        <w:pStyle w:val="BlockText"/>
      </w:pPr>
      <w:r>
        <w:t xml:space="preserve">$$</w:t>
      </w:r>
    </w:p>
    <w:p>
      <w:pPr>
        <w:pStyle w:val="BlockText"/>
      </w:pPr>
      <w:r>
        <w:t xml:space="preserve">E[v_B] = 1{,}5</w:t>
      </w:r>
      <w:r>
        <w:t xml:space="preserve"> </w:t>
      </w:r>
      <w:r>
        <w:t xml:space="preserve">E[q] = 1{,}5</w:t>
      </w:r>
      <w:r>
        <w:t xml:space="preserve"> </w:t>
      </w:r>
      <w:r>
        <w:t xml:space="preserve"> </w:t>
      </w:r>
      <w:r>
        <w:t xml:space="preserve">= 7{,}5</w:t>
      </w:r>
    </w:p>
    <w:p>
      <w:pPr>
        <w:pStyle w:val="BlockText"/>
      </w:pPr>
      <w:r>
        <w:t xml:space="preserve">$$</w:t>
      </w:r>
    </w:p>
    <w:p>
      <w:pPr>
        <w:pStyle w:val="BlockText"/>
      </w:pPr>
      <w:r>
        <w:t xml:space="preserve">O comprador aceita pagar até</w:t>
      </w:r>
      <w:r>
        <w:t xml:space="preserve"> </w:t>
      </w:r>
      <m:oMath>
        <m:r>
          <m:t>P</m:t>
        </m:r>
        <m:r>
          <m:rPr>
            <m:sty m:val="p"/>
          </m:rPr>
          <m:t>=</m:t>
        </m:r>
        <m:r>
          <m:t>7</m:t>
        </m:r>
        <m:r>
          <m:rPr>
            <m:sty m:val="p"/>
          </m:rPr>
          <m:t>,</m:t>
        </m:r>
        <m:r>
          <m:t>5</m:t>
        </m:r>
      </m:oMath>
      <w:r>
        <w:t xml:space="preserve">.</w:t>
      </w:r>
    </w:p>
    <w:p>
      <w:pPr>
        <w:pStyle w:val="BlockText"/>
      </w:pPr>
      <w:r>
        <w:rPr>
          <w:b/>
          <w:bCs/>
        </w:rPr>
        <w:t xml:space="preserve">(b)</w:t>
      </w:r>
      <w:r>
        <w:t xml:space="preserve"> </w:t>
      </w:r>
      <w:r>
        <w:t xml:space="preserve">A</w:t>
      </w:r>
      <w:r>
        <w:t xml:space="preserve"> </w:t>
      </w:r>
      <m:oMath>
        <m:r>
          <m:t>P</m:t>
        </m:r>
        <m:r>
          <m:rPr>
            <m:sty m:val="p"/>
          </m:rPr>
          <m:t>=</m:t>
        </m:r>
        <m:r>
          <m:t>7</m:t>
        </m:r>
        <m:r>
          <m:rPr>
            <m:sty m:val="p"/>
          </m:rPr>
          <m:t>,</m:t>
        </m:r>
        <m:r>
          <m:t>5</m:t>
        </m:r>
      </m:oMath>
      <w:r>
        <w:t xml:space="preserve">, vendem-se apenas carros com</w:t>
      </w:r>
      <w:r>
        <w:t xml:space="preserve"> </w:t>
      </w:r>
      <m:oMath>
        <m:r>
          <m:t>q</m:t>
        </m:r>
        <m:r>
          <m:rPr>
            <m:sty m:val="p"/>
          </m:rPr>
          <m:t>≤</m:t>
        </m:r>
        <m:r>
          <m:t>7</m:t>
        </m:r>
        <m:r>
          <m:rPr>
            <m:sty m:val="p"/>
          </m:rPr>
          <m:t>,</m:t>
        </m:r>
        <m:r>
          <m:t>5</m:t>
        </m:r>
      </m:oMath>
      <w:r>
        <w:t xml:space="preserve">. A qualidade média dos carros à venda é:</w:t>
      </w:r>
    </w:p>
    <w:p>
      <w:pPr>
        <w:pStyle w:val="BlockText"/>
      </w:pPr>
      <w:r>
        <w:t xml:space="preserve">$$</w:t>
      </w:r>
    </w:p>
    <w:p>
      <w:pPr>
        <w:pStyle w:val="BlockText"/>
      </w:pPr>
      <w:r>
        <w:t xml:space="preserve">E[q</w:t>
      </w:r>
      <w:r>
        <w:t xml:space="preserve"> </w:t>
      </w:r>
      <w:r>
        <w:t xml:space="preserve">q</w:t>
      </w:r>
      <w:r>
        <w:t xml:space="preserve"> </w:t>
      </w:r>
      <w:r>
        <w:t xml:space="preserve">5] = 7{,}5 / 2 = 3{,}75</w:t>
      </w:r>
    </w:p>
    <w:p>
      <w:pPr>
        <w:pStyle w:val="BlockText"/>
      </w:pPr>
      <w:r>
        <w:t xml:space="preserve">$$</w:t>
      </w:r>
    </w:p>
    <w:p>
      <w:pPr>
        <w:pStyle w:val="BlockText"/>
      </w:pPr>
      <w:r>
        <w:t xml:space="preserve">Valor esperado do comprador dado o pool efetivo:</w:t>
      </w:r>
      <w:r>
        <w:t xml:space="preserve"> </w:t>
      </w:r>
      <m:oMath>
        <m:r>
          <m:t>1</m:t>
        </m:r>
        <m:r>
          <m:rPr>
            <m:sty m:val="p"/>
          </m:rPr>
          <m:t>,</m:t>
        </m:r>
        <m:r>
          <m:t>5</m:t>
        </m:r>
        <m:r>
          <m:rPr>
            <m:sty m:val="p"/>
          </m:rPr>
          <m:t>×</m:t>
        </m:r>
        <m:r>
          <m:t>3</m:t>
        </m:r>
        <m:r>
          <m:rPr>
            <m:sty m:val="p"/>
          </m:rPr>
          <m:t>,</m:t>
        </m:r>
        <m:r>
          <m:t>75</m:t>
        </m:r>
        <m:r>
          <m:rPr>
            <m:sty m:val="p"/>
          </m:rPr>
          <m:t>=</m:t>
        </m:r>
        <m:r>
          <m:t>5</m:t>
        </m:r>
        <m:r>
          <m:rPr>
            <m:sty m:val="p"/>
          </m:rPr>
          <m:t>,</m:t>
        </m:r>
        <m:r>
          <m:t>625</m:t>
        </m:r>
      </m:oMath>
      <w:r>
        <w:t xml:space="preserve">. Mas o comprador racional antecipa que o pool é</w:t>
      </w:r>
      <w:r>
        <w:t xml:space="preserve"> </w:t>
      </w:r>
      <m:oMath>
        <m:r>
          <m:rPr>
            <m:sty m:val="p"/>
          </m:rPr>
          <m:t>[</m:t>
        </m:r>
        <m:r>
          <m:t>0</m:t>
        </m:r>
        <m:r>
          <m:rPr>
            <m:sty m:val="p"/>
          </m:rPr>
          <m:t>,</m:t>
        </m:r>
        <m:r>
          <m:t>7</m:t>
        </m:r>
        <m:r>
          <m:rPr>
            <m:sty m:val="p"/>
          </m:rPr>
          <m:t>,</m:t>
        </m:r>
        <m:r>
          <m:t>5</m:t>
        </m:r>
        <m:r>
          <m:rPr>
            <m:sty m:val="p"/>
          </m:rPr>
          <m:t>]</m:t>
        </m:r>
      </m:oMath>
      <w:r>
        <w:t xml:space="preserve"> </w:t>
      </w:r>
      <w:r>
        <w:t xml:space="preserve">— logo, revisa</w:t>
      </w:r>
      <w:r>
        <w:t xml:space="preserve"> </w:t>
      </w:r>
      <m:oMath>
        <m:r>
          <m:t>P</m:t>
        </m:r>
      </m:oMath>
      <w:r>
        <w:t xml:space="preserve"> </w:t>
      </w:r>
      <w:r>
        <w:t xml:space="preserve">para</w:t>
      </w:r>
      <w:r>
        <w:t xml:space="preserve"> </w:t>
      </w:r>
      <m:oMath>
        <m:r>
          <m:t>5</m:t>
        </m:r>
        <m:r>
          <m:rPr>
            <m:sty m:val="p"/>
          </m:rPr>
          <m:t>,</m:t>
        </m:r>
        <m:r>
          <m:t>625</m:t>
        </m:r>
      </m:oMath>
      <w:r>
        <w:t xml:space="preserve">. A esse novo preço, só vendem-se carros com</w:t>
      </w:r>
      <w:r>
        <w:t xml:space="preserve"> </w:t>
      </w:r>
      <m:oMath>
        <m:r>
          <m:t>q</m:t>
        </m:r>
        <m:r>
          <m:rPr>
            <m:sty m:val="p"/>
          </m:rPr>
          <m:t>≤</m:t>
        </m:r>
        <m:r>
          <m:t>5</m:t>
        </m:r>
        <m:r>
          <m:rPr>
            <m:sty m:val="p"/>
          </m:rPr>
          <m:t>,</m:t>
        </m:r>
        <m:r>
          <m:t>625</m:t>
        </m:r>
      </m:oMath>
      <w:r>
        <w:t xml:space="preserve">, e o valor esperado cai para</w:t>
      </w:r>
      <w:r>
        <w:t xml:space="preserve"> </w:t>
      </w:r>
      <m:oMath>
        <m:r>
          <m:t>1</m:t>
        </m:r>
        <m:r>
          <m:rPr>
            <m:sty m:val="p"/>
          </m:rPr>
          <m:t>,</m:t>
        </m:r>
        <m:r>
          <m:t>5</m:t>
        </m:r>
        <m:r>
          <m:rPr>
            <m:sty m:val="p"/>
          </m:rPr>
          <m:t>×</m:t>
        </m:r>
        <m:r>
          <m:t>5</m:t>
        </m:r>
        <m:r>
          <m:rPr>
            <m:sty m:val="p"/>
          </m:rPr>
          <m:t>,</m:t>
        </m:r>
        <m:r>
          <m:t>625</m:t>
        </m:r>
        <m:r>
          <m:rPr>
            <m:sty m:val="p"/>
          </m:rPr>
          <m:t>/</m:t>
        </m:r>
        <m:r>
          <m:t>2</m:t>
        </m:r>
        <m:r>
          <m:rPr>
            <m:sty m:val="p"/>
          </m:rPr>
          <m:t>=</m:t>
        </m:r>
        <m:r>
          <m:t>4</m:t>
        </m:r>
        <m:r>
          <m:rPr>
            <m:sty m:val="p"/>
          </m:rPr>
          <m:t>,</m:t>
        </m:r>
        <m:r>
          <m:t>22</m:t>
        </m:r>
      </m:oMath>
      <w:r>
        <w:t xml:space="preserve">. O processo iterativo converge a zero: o mercado colapsa.</w:t>
      </w:r>
    </w:p>
    <w:p>
      <w:pPr>
        <w:pStyle w:val="BlockText"/>
      </w:pPr>
      <w:r>
        <w:rPr>
          <w:b/>
          <w:bCs/>
        </w:rPr>
        <w:t xml:space="preserve">(c)</w:t>
      </w:r>
      <w:r>
        <w:t xml:space="preserve"> </w:t>
      </w:r>
      <w:r>
        <w:t xml:space="preserve">Formalmente, seja</w:t>
      </w:r>
      <w:r>
        <w:t xml:space="preserve"> </w:t>
      </w:r>
      <m:oMath>
        <m:sSub>
          <m:e>
            <m:acc>
              <m:accPr>
                <m:chr m:val="‾"/>
              </m:accPr>
              <m:e>
                <m:r>
                  <m:t>q</m:t>
                </m:r>
              </m:e>
            </m:acc>
          </m:e>
          <m:sub>
            <m:r>
              <m:t>n</m:t>
            </m:r>
          </m:sub>
        </m:sSub>
      </m:oMath>
      <w:r>
        <w:t xml:space="preserve"> </w:t>
      </w:r>
      <w:r>
        <w:t xml:space="preserve">o limiar de qualidade na rodada</w:t>
      </w:r>
      <w:r>
        <w:t xml:space="preserve"> </w:t>
      </w:r>
      <m:oMath>
        <m:r>
          <m:t>n</m:t>
        </m:r>
      </m:oMath>
      <w:r>
        <w:t xml:space="preserve">. Temos</w:t>
      </w:r>
      <w:r>
        <w:t xml:space="preserve"> </w:t>
      </w:r>
      <m:oMath>
        <m:sSub>
          <m:e>
            <m:acc>
              <m:accPr>
                <m:chr m:val="‾"/>
              </m:accPr>
              <m:e>
                <m:r>
                  <m:t>q</m:t>
                </m:r>
              </m:e>
            </m:acc>
          </m:e>
          <m:sub>
            <m:r>
              <m:t>0</m:t>
            </m:r>
          </m:sub>
        </m:sSub>
        <m:r>
          <m:rPr>
            <m:sty m:val="p"/>
          </m:rPr>
          <m:t>=</m:t>
        </m:r>
        <m:r>
          <m:t>10</m:t>
        </m:r>
      </m:oMath>
      <w:r>
        <w:t xml:space="preserve"> </w:t>
      </w:r>
      <w:r>
        <w:t xml:space="preserve">e:</w:t>
      </w:r>
    </w:p>
    <w:p>
      <w:pPr>
        <w:pStyle w:val="BlockText"/>
      </w:pPr>
      <w:r>
        <w:t xml:space="preserve">$$</w:t>
      </w:r>
    </w:p>
    <w:p>
      <w:pPr>
        <w:pStyle w:val="BlockText"/>
      </w:pPr>
      <w:r>
        <w:t xml:space="preserve">{q}_{n+1} = 1{,}5</w:t>
      </w:r>
      <w:r>
        <w:t xml:space="preserve"> </w:t>
      </w:r>
      <w:r>
        <w:t xml:space="preserve">{q}_n / 2 = 0{,}75</w:t>
      </w:r>
      <w:r>
        <w:t xml:space="preserve"> </w:t>
      </w:r>
      <w:r>
        <w:t xml:space="preserve">{q}_n</w:t>
      </w:r>
    </w:p>
    <w:p>
      <w:pPr>
        <w:pStyle w:val="BlockText"/>
      </w:pPr>
      <w:r>
        <w:t xml:space="preserve">$$</w:t>
      </w:r>
    </w:p>
    <w:p>
      <w:pPr>
        <w:pStyle w:val="BlockText"/>
      </w:pPr>
      <w:r>
        <w:t xml:space="preserve">Como</w:t>
      </w:r>
      <w:r>
        <w:t xml:space="preserve"> </w:t>
      </w:r>
      <m:oMath>
        <m:r>
          <m:t>0</m:t>
        </m:r>
        <m:r>
          <m:rPr>
            <m:sty m:val="p"/>
          </m:rPr>
          <m:t>,</m:t>
        </m:r>
        <m:r>
          <m:t>75</m:t>
        </m:r>
        <m:r>
          <m:rPr>
            <m:sty m:val="p"/>
          </m:rPr>
          <m:t>&lt;</m:t>
        </m:r>
        <m:r>
          <m:t>1</m:t>
        </m:r>
      </m:oMath>
      <w:r>
        <w:t xml:space="preserve">, a sequência converge a</w:t>
      </w:r>
      <w:r>
        <w:t xml:space="preserve"> </w:t>
      </w:r>
      <m:oMath>
        <m:sSup>
          <m:e>
            <m:acc>
              <m:accPr>
                <m:chr m:val="‾"/>
              </m:accPr>
              <m:e>
                <m:r>
                  <m:t>q</m:t>
                </m:r>
              </m:e>
            </m:acc>
          </m:e>
          <m:sup>
            <m:r>
              <m:rPr>
                <m:sty m:val="p"/>
              </m:rPr>
              <m:t>*</m:t>
            </m:r>
          </m:sup>
        </m:sSup>
        <m:r>
          <m:rPr>
            <m:sty m:val="p"/>
          </m:rPr>
          <m:t>=</m:t>
        </m:r>
        <m:r>
          <m:t>0</m:t>
        </m:r>
      </m:oMath>
      <w:r>
        <w:t xml:space="preserve">. O único equilíbrio é o colapso total: nenhum carro é vendido. Isso ocorre apesar de existirem ganhos de troca em todas as transações (</w:t>
      </w:r>
      <m:oMath>
        <m:sSub>
          <m:e>
            <m:r>
              <m:t>v</m:t>
            </m:r>
          </m:e>
          <m:sub>
            <m:r>
              <m:t>B</m:t>
            </m:r>
          </m:sub>
        </m:sSub>
        <m:r>
          <m:rPr>
            <m:sty m:val="p"/>
          </m:rPr>
          <m:t>=</m:t>
        </m:r>
        <m:r>
          <m:t>1</m:t>
        </m:r>
        <m:r>
          <m:rPr>
            <m:sty m:val="p"/>
          </m:rPr>
          <m:t>,</m:t>
        </m:r>
        <m:r>
          <m:t>5</m:t>
        </m:r>
        <m:r>
          <m:t>q</m:t>
        </m:r>
        <m:r>
          <m:rPr>
            <m:sty m:val="p"/>
          </m:rPr>
          <m:t>&gt;</m:t>
        </m:r>
        <m:r>
          <m:t>q</m:t>
        </m:r>
        <m:r>
          <m:rPr>
            <m:sty m:val="p"/>
          </m:rPr>
          <m:t>=</m:t>
        </m:r>
        <m:sSub>
          <m:e>
            <m:r>
              <m:t>v</m:t>
            </m:r>
          </m:e>
          <m:sub>
            <m:r>
              <m:t>S</m:t>
            </m:r>
          </m:sub>
        </m:sSub>
      </m:oMath>
      <w:r>
        <w:t xml:space="preserve"> </w:t>
      </w:r>
      <w:r>
        <w:t xml:space="preserve">para todo</w:t>
      </w:r>
      <w:r>
        <w:t xml:space="preserve"> </w:t>
      </w:r>
      <m:oMath>
        <m:r>
          <m:t>q</m:t>
        </m:r>
        <m:r>
          <m:rPr>
            <m:sty m:val="p"/>
          </m:rPr>
          <m:t>&gt;</m:t>
        </m:r>
        <m:r>
          <m:t>0</m:t>
        </m:r>
      </m:oMath>
      <w:r>
        <w:t xml:space="preserve">).</w:t>
      </w:r>
    </w:p>
    <w:p>
      <w:pPr>
        <w:pStyle w:val="BlockText"/>
      </w:pPr>
      <w:r>
        <w:rPr>
          <w:b/>
          <w:bCs/>
        </w:rPr>
        <w:t xml:space="preserve">(d)</w:t>
      </w:r>
      <w:r>
        <w:t xml:space="preserve"> </w:t>
      </w:r>
      <w:r>
        <w:t xml:space="preserve">Para</w:t>
      </w:r>
      <w:r>
        <w:t xml:space="preserve"> </w:t>
      </w:r>
      <m:oMath>
        <m:sSub>
          <m:e>
            <m:r>
              <m:t>v</m:t>
            </m:r>
          </m:e>
          <m:sub>
            <m:r>
              <m:t>B</m:t>
            </m:r>
          </m:sub>
        </m:sSub>
        <m:r>
          <m:rPr>
            <m:sty m:val="p"/>
          </m:rPr>
          <m:t>=</m:t>
        </m:r>
        <m:r>
          <m:t>α</m:t>
        </m:r>
        <m:r>
          <m:t>q</m:t>
        </m:r>
      </m:oMath>
      <w:r>
        <w:t xml:space="preserve">, a recursão é</w:t>
      </w:r>
      <w:r>
        <w:t xml:space="preserve"> </w:t>
      </w:r>
      <m:oMath>
        <m:sSub>
          <m:e>
            <m:acc>
              <m:accPr>
                <m:chr m:val="‾"/>
              </m:accPr>
              <m:e>
                <m:r>
                  <m:t>q</m:t>
                </m:r>
              </m:e>
            </m:acc>
          </m:e>
          <m:sub>
            <m:r>
              <m:t>n</m:t>
            </m:r>
            <m:r>
              <m:rPr>
                <m:sty m:val="p"/>
              </m:rPr>
              <m:t>+</m:t>
            </m:r>
            <m:r>
              <m:t>1</m:t>
            </m:r>
          </m:sub>
        </m:sSub>
        <m:r>
          <m:rPr>
            <m:sty m:val="p"/>
          </m:rPr>
          <m:t>=</m:t>
        </m:r>
        <m:r>
          <m:rPr>
            <m:sty m:val="p"/>
          </m:rPr>
          <m:t>(</m:t>
        </m:r>
        <m:r>
          <m:t>α</m:t>
        </m:r>
        <m:r>
          <m:rPr>
            <m:sty m:val="p"/>
          </m:rPr>
          <m:t>/</m:t>
        </m:r>
        <m:r>
          <m:t>2</m:t>
        </m:r>
        <m:r>
          <m:rPr>
            <m:sty m:val="p"/>
          </m:rPr>
          <m:t>)</m:t>
        </m:r>
        <m:sSub>
          <m:e>
            <m:acc>
              <m:accPr>
                <m:chr m:val="‾"/>
              </m:accPr>
              <m:e>
                <m:r>
                  <m:t>q</m:t>
                </m:r>
              </m:e>
            </m:acc>
          </m:e>
          <m:sub>
            <m:r>
              <m:t>n</m:t>
            </m:r>
          </m:sub>
        </m:sSub>
      </m:oMath>
      <w:r>
        <w:t xml:space="preserve">. O mercado não colapsa se e somente se</w:t>
      </w:r>
      <w:r>
        <w:t xml:space="preserve"> </w:t>
      </w:r>
      <m:oMath>
        <m:r>
          <m:t>α</m:t>
        </m:r>
        <m:r>
          <m:rPr>
            <m:sty m:val="p"/>
          </m:rPr>
          <m:t>/</m:t>
        </m:r>
        <m:r>
          <m:t>2</m:t>
        </m:r>
        <m:r>
          <m:rPr>
            <m:sty m:val="p"/>
          </m:rPr>
          <m:t>≥</m:t>
        </m:r>
        <m:r>
          <m:t>1</m:t>
        </m:r>
      </m:oMath>
      <w:r>
        <w:t xml:space="preserve">, ou seja,</w:t>
      </w:r>
      <w:r>
        <w:t xml:space="preserve"> </w:t>
      </w:r>
      <m:oMath>
        <m:r>
          <m:t>α</m:t>
        </m:r>
        <m:r>
          <m:rPr>
            <m:sty m:val="p"/>
          </m:rPr>
          <m:t>≥</m:t>
        </m:r>
        <m:r>
          <m:t>2</m:t>
        </m:r>
      </m:oMath>
      <w:r>
        <w:t xml:space="preserve">. Com</w:t>
      </w:r>
      <w:r>
        <w:t xml:space="preserve"> </w:t>
      </w:r>
      <m:oMath>
        <m:r>
          <m:t>α</m:t>
        </m:r>
        <m:r>
          <m:rPr>
            <m:sty m:val="p"/>
          </m:rPr>
          <m:t>=</m:t>
        </m:r>
        <m:r>
          <m:t>2</m:t>
        </m:r>
      </m:oMath>
      <w:r>
        <w:t xml:space="preserve">, o comprador valoriza o carro duas vezes mais que o vendedor, e o preço de equilíbrio sustenta todo o mercado (</w:t>
      </w:r>
      <m:oMath>
        <m:sSup>
          <m:e>
            <m:acc>
              <m:accPr>
                <m:chr m:val="‾"/>
              </m:accPr>
              <m:e>
                <m:r>
                  <m:t>q</m:t>
                </m:r>
              </m:e>
            </m:acc>
          </m:e>
          <m:sup>
            <m:r>
              <m:rPr>
                <m:sty m:val="p"/>
              </m:rPr>
              <m:t>*</m:t>
            </m:r>
          </m:sup>
        </m:sSup>
        <m:r>
          <m:rPr>
            <m:sty m:val="p"/>
          </m:rPr>
          <m:t>=</m:t>
        </m:r>
        <m:r>
          <m:t>10</m:t>
        </m:r>
      </m:oMath>
      <w:r>
        <w:t xml:space="preserve">). Com</w:t>
      </w:r>
      <w:r>
        <w:t xml:space="preserve"> </w:t>
      </w:r>
      <m:oMath>
        <m:r>
          <m:t>α</m:t>
        </m:r>
        <m:r>
          <m:rPr>
            <m:sty m:val="p"/>
          </m:rPr>
          <m:t>&lt;</m:t>
        </m:r>
        <m:r>
          <m:t>2</m:t>
        </m:r>
      </m:oMath>
      <w:r>
        <w:t xml:space="preserve">, o mercado colapsa integralmente.</w:t>
      </w:r>
    </w:p>
    <w:p>
      <w:pPr>
        <w:pStyle w:val="BlockText"/>
      </w:pPr>
      <w:r>
        <w:rPr>
          <w:b/>
          <w:bCs/>
        </w:rPr>
        <w:t xml:space="preserve">Interpretação econômica:</w:t>
      </w:r>
      <w:r>
        <w:t xml:space="preserve"> </w:t>
      </w:r>
      <w:r>
        <w:t xml:space="preserve">O resultado</w:t>
      </w:r>
      <w:r>
        <w:t xml:space="preserve"> </w:t>
      </w:r>
      <m:oMath>
        <m:r>
          <m:t>α</m:t>
        </m:r>
        <m:r>
          <m:rPr>
            <m:sty m:val="p"/>
          </m:rPr>
          <m:t>≥</m:t>
        </m:r>
        <m:r>
          <m:t>2</m:t>
        </m:r>
      </m:oMath>
      <w:r>
        <w:t xml:space="preserve"> </w:t>
      </w:r>
      <w:r>
        <w:t xml:space="preserve">é surpreendentemente restritivo — exige que o comprador valorize o bem pelo menos o dobro do vendedor para que a seleção adversa não destrua o mercado. Na prática, mercados sobrevivem porque mecanismos como garantias, vistorias e lemon laws reduzem a assimetria informacional, efetivamente aumentando o</w:t>
      </w:r>
      <w:r>
        <w:t xml:space="preserve"> </w:t>
      </w:r>
      <w:r>
        <w:t xml:space="preserve">“</w:t>
      </w:r>
      <m:oMath>
        <m:r>
          <m:t>α</m:t>
        </m:r>
      </m:oMath>
      <w:r>
        <w:t xml:space="preserve"> </w:t>
      </w:r>
      <w:r>
        <w:t xml:space="preserve">efetivo”</w:t>
      </w:r>
      <w:r>
        <w:t xml:space="preserve"> </w:t>
      </w:r>
      <w:r>
        <w:t xml:space="preserve">ao diminuir o risco percebido pelo comprador. O modelo ilustra por que a seleção adversa é mais severa em mercados onde esses mecanismos são fracos — como mercados informais de veículos em economias em desenvolvimento.</w:t>
      </w:r>
    </w:p>
    <w:p>
      <w:r>
        <w:pict>
          <v:rect style="width:0;height:1.5pt" o:hralign="center" o:hrstd="t" o:hr="t"/>
        </w:pict>
      </w:r>
    </w:p>
    <w:bookmarkEnd w:id="626"/>
    <w:bookmarkStart w:id="627" w:name="exercícios-13"/>
    <w:p>
      <w:pPr>
        <w:pStyle w:val="Heading3"/>
      </w:pPr>
      <w:r>
        <w:t xml:space="preserve">Exercícios</w:t>
      </w:r>
    </w:p>
    <w:p>
      <w:pPr>
        <w:pStyle w:val="FirstParagraph"/>
      </w:pPr>
      <w:r>
        <w:rPr>
          <w:b/>
          <w:bCs/>
        </w:rPr>
        <w:t xml:space="preserve">Exercício 9d.1.</w:t>
      </w:r>
      <w:r>
        <w:t xml:space="preserve"> </w:t>
      </w:r>
      <w:r>
        <w:t xml:space="preserve">No modelo de Spence com</w:t>
      </w:r>
      <w:r>
        <w:t xml:space="preserve"> </w:t>
      </w:r>
      <m:oMath>
        <m:sSub>
          <m:e>
            <m:r>
              <m:t>θ</m:t>
            </m:r>
          </m:e>
          <m:sub>
            <m:r>
              <m:t>H</m:t>
            </m:r>
          </m:sub>
        </m:sSub>
        <m:r>
          <m:rPr>
            <m:sty m:val="p"/>
          </m:rPr>
          <m:t>=</m:t>
        </m:r>
        <m:r>
          <m:t>3</m:t>
        </m:r>
      </m:oMath>
      <w:r>
        <w:t xml:space="preserve"> </w:t>
      </w:r>
      <w:r>
        <w:t xml:space="preserve">e</w:t>
      </w:r>
      <w:r>
        <w:t xml:space="preserve"> </w:t>
      </w:r>
      <m:oMath>
        <m:sSub>
          <m:e>
            <m:r>
              <m:t>θ</m:t>
            </m:r>
          </m:e>
          <m:sub>
            <m:r>
              <m:t>L</m:t>
            </m:r>
          </m:sub>
        </m:sSub>
        <m:r>
          <m:rPr>
            <m:sty m:val="p"/>
          </m:rPr>
          <m:t>=</m:t>
        </m:r>
        <m:r>
          <m:t>1</m:t>
        </m:r>
      </m:oMath>
      <w:r>
        <w:t xml:space="preserve">, e custo</w:t>
      </w:r>
      <w:r>
        <w:t xml:space="preserve"> </w:t>
      </w:r>
      <m:oMath>
        <m:r>
          <m:t>c</m:t>
        </m:r>
        <m:r>
          <m:rPr>
            <m:sty m:val="p"/>
          </m:rPr>
          <m:t>(</m:t>
        </m:r>
        <m:r>
          <m:t>e</m:t>
        </m:r>
        <m:r>
          <m:rPr>
            <m:sty m:val="p"/>
          </m:rPr>
          <m:t>,</m:t>
        </m:r>
        <m:r>
          <m:t>θ</m:t>
        </m:r>
        <m:r>
          <m:rPr>
            <m:sty m:val="p"/>
          </m:rPr>
          <m:t>)</m:t>
        </m:r>
        <m:r>
          <m:rPr>
            <m:sty m:val="p"/>
          </m:rPr>
          <m:t>=</m:t>
        </m:r>
        <m:sSup>
          <m:e>
            <m:r>
              <m:t>e</m:t>
            </m:r>
          </m:e>
          <m:sup>
            <m:r>
              <m:t>2</m:t>
            </m:r>
          </m:sup>
        </m:sSup>
        <m:r>
          <m:rPr>
            <m:sty m:val="p"/>
          </m:rPr>
          <m:t>/</m:t>
        </m:r>
        <m:r>
          <m:rPr>
            <m:sty m:val="p"/>
          </m:rPr>
          <m:t>(</m:t>
        </m:r>
        <m:r>
          <m:t>2</m:t>
        </m:r>
        <m:r>
          <m:t>θ</m:t>
        </m:r>
        <m:r>
          <m:rPr>
            <m:sty m:val="p"/>
          </m:rPr>
          <m:t>)</m:t>
        </m:r>
      </m:oMath>
      <w:r>
        <w:t xml:space="preserve">, encontre o equilíbrio separador de menor custo. Compare o custo social da sinalização com o caso</w:t>
      </w:r>
      <w:r>
        <w:t xml:space="preserve"> </w:t>
      </w:r>
      <m:oMath>
        <m:sSub>
          <m:e>
            <m:r>
              <m:t>θ</m:t>
            </m:r>
          </m:e>
          <m:sub>
            <m:r>
              <m:t>H</m:t>
            </m:r>
          </m:sub>
        </m:sSub>
        <m:r>
          <m:rPr>
            <m:sty m:val="p"/>
          </m:rPr>
          <m:t>=</m:t>
        </m:r>
        <m:r>
          <m:t>2</m:t>
        </m:r>
      </m:oMath>
      <w:r>
        <w:t xml:space="preserve">.</w:t>
      </w:r>
    </w:p>
    <w:p>
      <w:pPr>
        <w:pStyle w:val="BodyText"/>
      </w:pPr>
      <w:r>
        <w:t xml:space="preserve">Ver solução (Cap. 9)</w:t>
      </w:r>
    </w:p>
    <w:p>
      <w:r>
        <w:pict>
          <v:rect style="width:0;height:1.5pt" o:hralign="center" o:hrstd="t" o:hr="t"/>
        </w:pict>
      </w:r>
    </w:p>
    <w:p>
      <w:pPr>
        <w:pStyle w:val="FirstParagraph"/>
      </w:pPr>
      <w:r>
        <w:rPr>
          <w:b/>
          <w:bCs/>
        </w:rPr>
        <w:t xml:space="preserve">Exercício 9d.2.</w:t>
      </w:r>
      <w:r>
        <w:t xml:space="preserve"> </w:t>
      </w:r>
      <w:r>
        <w:t xml:space="preserve">(Cheap talk) Um vendedor sabe que o carro vale 0 (limão) ou 10 (bom), cada com prob. 0,5. O vendedor pode dizer</w:t>
      </w:r>
      <w:r>
        <w:t xml:space="preserve"> </w:t>
      </w:r>
      <w:r>
        <w:t xml:space="preserve">“bom”</w:t>
      </w:r>
      <w:r>
        <w:t xml:space="preserve"> </w:t>
      </w:r>
      <w:r>
        <w:t xml:space="preserve">ou</w:t>
      </w:r>
      <w:r>
        <w:t xml:space="preserve"> </w:t>
      </w:r>
      <w:r>
        <w:t xml:space="preserve">“limão”</w:t>
      </w:r>
      <w:r>
        <w:t xml:space="preserve">. O comprador decide se compra por preço fixo 6. Existe equilíbrio em que o comprador acredita no vendedor? Por quê?</w:t>
      </w:r>
    </w:p>
    <w:p>
      <w:pPr>
        <w:pStyle w:val="BodyText"/>
      </w:pPr>
      <w:r>
        <w:t xml:space="preserve">Ver solução (Cap. 9)</w:t>
      </w:r>
    </w:p>
    <w:p>
      <w:r>
        <w:pict>
          <v:rect style="width:0;height:1.5pt" o:hralign="center" o:hrstd="t" o:hr="t"/>
        </w:pict>
      </w:r>
    </w:p>
    <w:p>
      <w:pPr>
        <w:pStyle w:val="FirstParagraph"/>
      </w:pPr>
      <w:r>
        <w:rPr>
          <w:b/>
          <w:bCs/>
        </w:rPr>
        <w:t xml:space="preserve">Exercício 9d.3.</w:t>
      </w:r>
      <w:r>
        <w:t xml:space="preserve"> </w:t>
      </w:r>
      <w:r>
        <w:t xml:space="preserve">(Seleção adversa) Num mercado de seguros, 60% dos agentes são de baixo risco (custo esperado 1.000) e 40% de alto risco (custo esperado 5.000). Se o seguro cobra um prêmio atuarialmente justo para a média, qual tipo compra? Que prêmio equilibra o mercado? Existe equilíbrio?</w:t>
      </w:r>
    </w:p>
    <w:p>
      <w:pPr>
        <w:pStyle w:val="BodyText"/>
      </w:pPr>
      <w:r>
        <w:t xml:space="preserve">Ver solução (Cap. 9)</w:t>
      </w:r>
    </w:p>
    <w:p>
      <w:r>
        <w:pict>
          <v:rect style="width:0;height:1.5pt" o:hralign="center" o:hrstd="t" o:hr="t"/>
        </w:pict>
      </w:r>
    </w:p>
    <w:p>
      <w:pPr>
        <w:pStyle w:val="FirstParagraph"/>
      </w:pPr>
      <w:r>
        <w:rPr>
          <w:b/>
          <w:bCs/>
        </w:rPr>
        <w:t xml:space="preserve">Exercício 9d.4.</w:t>
      </w:r>
      <w:r>
        <w:t xml:space="preserve"> </w:t>
      </w:r>
      <w:r>
        <w:t xml:space="preserve">(Moral hazard) Discuta como as seguintes instituições brasileiras mitigam problemas de moral hazard: (a) bônus por desempenho de professores (Ceará); (b) DPVAT com franquia; (c) stock options de executivos em empresas listadas na B3.</w:t>
      </w:r>
    </w:p>
    <w:p>
      <w:pPr>
        <w:pStyle w:val="BodyText"/>
      </w:pPr>
      <w:r>
        <w:t xml:space="preserve">Ver solução (Cap. 9)</w:t>
      </w:r>
    </w:p>
    <w:p>
      <w:r>
        <w:pict>
          <v:rect style="width:0;height:1.5pt" o:hralign="center" o:hrstd="t" o:hr="t"/>
        </w:pict>
      </w:r>
    </w:p>
    <w:p>
      <w:pPr>
        <w:pStyle w:val="FirstParagraph"/>
      </w:pPr>
      <w:r>
        <w:rPr>
          <w:b/>
          <w:bCs/>
        </w:rPr>
        <w:t xml:space="preserve">Exercício 9d.5.</w:t>
      </w:r>
      <w:r>
        <w:t xml:space="preserve"> </w:t>
      </w:r>
      <w:r>
        <w:rPr>
          <w:i/>
          <w:iCs/>
        </w:rPr>
        <w:t xml:space="preserve">(Fácil — Seleção adversa: equilíbrio de Akerlof)</w:t>
      </w:r>
      <w:r>
        <w:t xml:space="preserve"> </w:t>
      </w:r>
      <w:r>
        <w:t xml:space="preserve">No mercado de carros usados, existem dois tipos de veículos: bons (valor 12.000) e limões (valor 4.000). A proporção de carros bons é</w:t>
      </w:r>
      <w:r>
        <w:t xml:space="preserve"> </w:t>
      </w:r>
      <m:oMath>
        <m:r>
          <m:t>λ</m:t>
        </m:r>
      </m:oMath>
      <w:r>
        <w:t xml:space="preserve">. Os vendedores conhecem o tipo do próprio carro; os compradores não. O valor de reserva do vendedor é 0,9 do valor do carro (ele prefere ficar com o carro se o preço for inferior a esse limiar).</w:t>
      </w:r>
    </w:p>
    <w:p>
      <w:pPr>
        <w:pStyle w:val="BodyText"/>
      </w:pPr>
      <w:r>
        <w:rPr>
          <w:b/>
          <w:bCs/>
        </w:rPr>
        <w:t xml:space="preserve">(a)</w:t>
      </w:r>
      <w:r>
        <w:t xml:space="preserve"> </w:t>
      </w:r>
      <w:r>
        <w:t xml:space="preserve">Qual é o preço máximo que um comprador racional aceita pagar se acredita que a fração</w:t>
      </w:r>
      <w:r>
        <w:t xml:space="preserve"> </w:t>
      </w:r>
      <m:oMath>
        <m:r>
          <m:t>λ</m:t>
        </m:r>
      </m:oMath>
      <w:r>
        <w:t xml:space="preserve"> </w:t>
      </w:r>
      <w:r>
        <w:t xml:space="preserve">dos carros à venda são bons?</w:t>
      </w:r>
    </w:p>
    <w:p>
      <w:pPr>
        <w:pStyle w:val="BodyText"/>
      </w:pPr>
      <w:r>
        <w:rPr>
          <w:b/>
          <w:bCs/>
        </w:rPr>
        <w:t xml:space="preserve">(b)</w:t>
      </w:r>
      <w:r>
        <w:t xml:space="preserve"> </w:t>
      </w:r>
      <w:r>
        <w:t xml:space="preserve">Para quais valores de</w:t>
      </w:r>
      <w:r>
        <w:t xml:space="preserve"> </w:t>
      </w:r>
      <m:oMath>
        <m:r>
          <m:t>λ</m:t>
        </m:r>
      </m:oMath>
      <w:r>
        <w:t xml:space="preserve"> </w:t>
      </w:r>
      <w:r>
        <w:t xml:space="preserve">existe um equilíbrio em que ambos os tipos são vendidos? Para quais valores o mercado colapsa para somente limões?</w:t>
      </w:r>
    </w:p>
    <w:p>
      <w:pPr>
        <w:pStyle w:val="BodyText"/>
      </w:pPr>
      <w:r>
        <w:rPr>
          <w:b/>
          <w:bCs/>
        </w:rPr>
        <w:t xml:space="preserve">(c)</w:t>
      </w:r>
      <w:r>
        <w:t xml:space="preserve"> </w:t>
      </w:r>
      <w:r>
        <w:t xml:space="preserve">Se</w:t>
      </w:r>
      <w:r>
        <w:t xml:space="preserve"> </w:t>
      </w:r>
      <m:oMath>
        <m:r>
          <m:t>λ</m:t>
        </m:r>
        <m:r>
          <m:rPr>
            <m:sty m:val="p"/>
          </m:rPr>
          <m:t>=</m:t>
        </m:r>
        <m:r>
          <m:t>0</m:t>
        </m:r>
        <m:r>
          <m:rPr>
            <m:sty m:val="p"/>
          </m:rPr>
          <m:t>,</m:t>
        </m:r>
        <m:r>
          <m:t>6</m:t>
        </m:r>
      </m:oMath>
      <w:r>
        <w:t xml:space="preserve">, descreva o equilíbrio. O que acontece com o bem-estar quando o mercado colapsa?</w:t>
      </w:r>
    </w:p>
    <w:p>
      <w:pPr>
        <w:pStyle w:val="BodyText"/>
      </w:pPr>
      <w:r>
        <w:t xml:space="preserve">Ver solução (Cap. 9)</w:t>
      </w:r>
    </w:p>
    <w:p>
      <w:r>
        <w:pict>
          <v:rect style="width:0;height:1.5pt" o:hralign="center" o:hrstd="t" o:hr="t"/>
        </w:pict>
      </w:r>
    </w:p>
    <w:p>
      <w:pPr>
        <w:pStyle w:val="FirstParagraph"/>
      </w:pPr>
      <w:r>
        <w:rPr>
          <w:b/>
          <w:bCs/>
        </w:rPr>
        <w:t xml:space="preserve">Exercício 9d.6.</w:t>
      </w:r>
      <w:r>
        <w:t xml:space="preserve"> </w:t>
      </w:r>
      <w:r>
        <w:rPr>
          <w:i/>
          <w:iCs/>
        </w:rPr>
        <w:t xml:space="preserve">(Fácil — Identificação: moral hazard vs. seleção adversa)</w:t>
      </w:r>
      <w:r>
        <w:t xml:space="preserve"> </w:t>
      </w:r>
      <w:r>
        <w:t xml:space="preserve">Para cada situação abaixo, identifique se o problema primário é de</w:t>
      </w:r>
      <w:r>
        <w:t xml:space="preserve"> </w:t>
      </w:r>
      <w:r>
        <w:rPr>
          <w:b/>
          <w:bCs/>
        </w:rPr>
        <w:t xml:space="preserve">moral hazard</w:t>
      </w:r>
      <w:r>
        <w:t xml:space="preserve">,</w:t>
      </w:r>
      <w:r>
        <w:t xml:space="preserve"> </w:t>
      </w:r>
      <w:r>
        <w:rPr>
          <w:b/>
          <w:bCs/>
        </w:rPr>
        <w:t xml:space="preserve">seleção adversa</w:t>
      </w:r>
      <w:r>
        <w:t xml:space="preserve"> </w:t>
      </w:r>
      <w:r>
        <w:t xml:space="preserve">ou</w:t>
      </w:r>
      <w:r>
        <w:t xml:space="preserve"> </w:t>
      </w:r>
      <w:r>
        <w:rPr>
          <w:b/>
          <w:bCs/>
        </w:rPr>
        <w:t xml:space="preserve">ambos</w:t>
      </w:r>
      <w:r>
        <w:t xml:space="preserve">, e justifique em uma ou duas frases.</w:t>
      </w:r>
    </w:p>
    <w:p>
      <w:pPr>
        <w:pStyle w:val="BodyText"/>
      </w:pPr>
      <w:r>
        <w:rPr>
          <w:b/>
          <w:bCs/>
        </w:rPr>
        <w:t xml:space="preserve">(a)</w:t>
      </w:r>
      <w:r>
        <w:t xml:space="preserve"> </w:t>
      </w:r>
      <w:r>
        <w:t xml:space="preserve">Um banco oferece crédito pessoal a uma taxa uniforme. Os tomadores que mais solicitam o empréstimo são exatamente os que têm maior probabilidade de não pagar.</w:t>
      </w:r>
    </w:p>
    <w:p>
      <w:pPr>
        <w:pStyle w:val="BodyText"/>
      </w:pPr>
      <w:r>
        <w:rPr>
          <w:b/>
          <w:bCs/>
        </w:rPr>
        <w:t xml:space="preserve">(b)</w:t>
      </w:r>
      <w:r>
        <w:t xml:space="preserve"> </w:t>
      </w:r>
      <w:r>
        <w:t xml:space="preserve">Uma empresa contrata um gerente a salário fixo. O gerente dedica parte do seu tempo a projetos pessoais em vez de projetos da empresa.</w:t>
      </w:r>
    </w:p>
    <w:p>
      <w:pPr>
        <w:pStyle w:val="BodyText"/>
      </w:pPr>
      <w:r>
        <w:rPr>
          <w:b/>
          <w:bCs/>
        </w:rPr>
        <w:t xml:space="preserve">(c)</w:t>
      </w:r>
      <w:r>
        <w:t xml:space="preserve"> </w:t>
      </w:r>
      <w:r>
        <w:t xml:space="preserve">Uma seguradora de automóveis percebe que, após a contratação, os segurados batem mais o carro do que antes de ter seguro.</w:t>
      </w:r>
    </w:p>
    <w:p>
      <w:pPr>
        <w:pStyle w:val="BodyText"/>
      </w:pPr>
      <w:r>
        <w:rPr>
          <w:b/>
          <w:bCs/>
        </w:rPr>
        <w:t xml:space="preserve">(d)</w:t>
      </w:r>
      <w:r>
        <w:t xml:space="preserve"> </w:t>
      </w:r>
      <w:r>
        <w:t xml:space="preserve">Uma empresa de plano de saúde coletivo nota que os funcionários que aderem ao plano são sistematicamente mais doentes do que a média da população.</w:t>
      </w:r>
    </w:p>
    <w:p>
      <w:pPr>
        <w:pStyle w:val="BodyText"/>
      </w:pPr>
      <w:r>
        <w:rPr>
          <w:b/>
          <w:bCs/>
        </w:rPr>
        <w:t xml:space="preserve">(e)</w:t>
      </w:r>
      <w:r>
        <w:t xml:space="preserve"> </w:t>
      </w:r>
      <w:r>
        <w:t xml:space="preserve">Um sistema de crédito imobiliário subsidiado pelo governo atrai compradores que sabem que não conseguirão pagar as prestações no médio prazo.</w:t>
      </w:r>
    </w:p>
    <w:p>
      <w:pPr>
        <w:pStyle w:val="BodyText"/>
      </w:pPr>
      <w:r>
        <w:t xml:space="preserve">Ver solução (Cap. 9)</w:t>
      </w:r>
    </w:p>
    <w:p>
      <w:r>
        <w:pict>
          <v:rect style="width:0;height:1.5pt" o:hralign="center" o:hrstd="t" o:hr="t"/>
        </w:pict>
      </w:r>
    </w:p>
    <w:p>
      <w:pPr>
        <w:pStyle w:val="FirstParagraph"/>
      </w:pPr>
      <w:r>
        <w:rPr>
          <w:b/>
          <w:bCs/>
        </w:rPr>
        <w:t xml:space="preserve">Exercício 9d.7.</w:t>
      </w:r>
      <w:r>
        <w:t xml:space="preserve"> </w:t>
      </w:r>
      <w:r>
        <w:rPr>
          <w:i/>
          <w:iCs/>
        </w:rPr>
        <w:t xml:space="preserve">(Médio — Equilíbrio pooling vs. separador de Spence)</w:t>
      </w:r>
      <w:r>
        <w:t xml:space="preserve"> </w:t>
      </w:r>
      <w:r>
        <w:t xml:space="preserve">No modelo de Spence com dois tipos,</w:t>
      </w:r>
      <w:r>
        <w:t xml:space="preserve"> </w:t>
      </w:r>
      <m:oMath>
        <m:sSub>
          <m:e>
            <m:r>
              <m:t>θ</m:t>
            </m:r>
          </m:e>
          <m:sub>
            <m:r>
              <m:t>H</m:t>
            </m:r>
          </m:sub>
        </m:sSub>
        <m:r>
          <m:rPr>
            <m:sty m:val="p"/>
          </m:rPr>
          <m:t>=</m:t>
        </m:r>
        <m:r>
          <m:t>4</m:t>
        </m:r>
      </m:oMath>
      <w:r>
        <w:t xml:space="preserve"> </w:t>
      </w:r>
      <w:r>
        <w:t xml:space="preserve">e</w:t>
      </w:r>
      <w:r>
        <w:t xml:space="preserve"> </w:t>
      </w:r>
      <m:oMath>
        <m:sSub>
          <m:e>
            <m:r>
              <m:t>θ</m:t>
            </m:r>
          </m:e>
          <m:sub>
            <m:r>
              <m:t>L</m:t>
            </m:r>
          </m:sub>
        </m:sSub>
        <m:r>
          <m:rPr>
            <m:sty m:val="p"/>
          </m:rPr>
          <m:t>=</m:t>
        </m:r>
        <m:r>
          <m:t>1</m:t>
        </m:r>
      </m:oMath>
      <w:r>
        <w:t xml:space="preserve">, custo de educação</w:t>
      </w:r>
      <w:r>
        <w:t xml:space="preserve"> </w:t>
      </w:r>
      <m:oMath>
        <m:r>
          <m:t>c</m:t>
        </m:r>
        <m:r>
          <m:rPr>
            <m:sty m:val="p"/>
          </m:rPr>
          <m:t>(</m:t>
        </m:r>
        <m:r>
          <m:t>e</m:t>
        </m:r>
        <m:r>
          <m:rPr>
            <m:sty m:val="p"/>
          </m:rPr>
          <m:t>,</m:t>
        </m:r>
        <m:r>
          <m:t>θ</m:t>
        </m:r>
        <m:r>
          <m:rPr>
            <m:sty m:val="p"/>
          </m:rPr>
          <m:t>)</m:t>
        </m:r>
        <m:r>
          <m:rPr>
            <m:sty m:val="p"/>
          </m:rPr>
          <m:t>=</m:t>
        </m:r>
        <m:r>
          <m:t>e</m:t>
        </m:r>
        <m:r>
          <m:rPr>
            <m:sty m:val="p"/>
          </m:rPr>
          <m:t>/</m:t>
        </m:r>
        <m:r>
          <m:t>θ</m:t>
        </m:r>
      </m:oMath>
      <w:r>
        <w:t xml:space="preserve">, e proporção de tipos altos igual a</w:t>
      </w:r>
      <w:r>
        <w:t xml:space="preserve"> </w:t>
      </w:r>
      <m:oMath>
        <m:r>
          <m:t>p</m:t>
        </m:r>
        <m:r>
          <m:rPr>
            <m:sty m:val="p"/>
          </m:rPr>
          <m:t>=</m:t>
        </m:r>
        <m:r>
          <m:t>0</m:t>
        </m:r>
        <m:r>
          <m:rPr>
            <m:sty m:val="p"/>
          </m:rPr>
          <m:t>,</m:t>
        </m:r>
        <m:r>
          <m:t>5</m:t>
        </m:r>
      </m:oMath>
      <w:r>
        <w:t xml:space="preserve">:</w:t>
      </w:r>
    </w:p>
    <w:p>
      <w:pPr>
        <w:pStyle w:val="BodyText"/>
      </w:pPr>
      <w:r>
        <w:rPr>
          <w:b/>
          <w:bCs/>
        </w:rPr>
        <w:t xml:space="preserve">(a)</w:t>
      </w:r>
      <w:r>
        <w:t xml:space="preserve"> </w:t>
      </w:r>
      <w:r>
        <w:t xml:space="preserve">Encontre o equilíbrio separador de menor custo.</w:t>
      </w:r>
    </w:p>
    <w:p>
      <w:pPr>
        <w:pStyle w:val="BodyText"/>
      </w:pPr>
      <w:r>
        <w:rPr>
          <w:b/>
          <w:bCs/>
        </w:rPr>
        <w:t xml:space="preserve">(b)</w:t>
      </w:r>
      <w:r>
        <w:t xml:space="preserve"> </w:t>
      </w:r>
      <w:r>
        <w:t xml:space="preserve">Existe equilíbrio</w:t>
      </w:r>
      <w:r>
        <w:t xml:space="preserve"> </w:t>
      </w:r>
      <w:r>
        <w:rPr>
          <w:i/>
          <w:iCs/>
        </w:rPr>
        <w:t xml:space="preserve">pooling</w:t>
      </w:r>
      <w:r>
        <w:t xml:space="preserve"> </w:t>
      </w:r>
      <w:r>
        <w:t xml:space="preserve">em</w:t>
      </w:r>
      <w:r>
        <w:t xml:space="preserve"> </w:t>
      </w:r>
      <m:oMath>
        <m:r>
          <m:t>e</m:t>
        </m:r>
        <m:r>
          <m:rPr>
            <m:sty m:val="p"/>
          </m:rPr>
          <m:t>=</m:t>
        </m:r>
        <m:r>
          <m:t>0</m:t>
        </m:r>
      </m:oMath>
      <w:r>
        <w:t xml:space="preserve">? Especifique as crenças off-path que sustentam esse equilíbrio.</w:t>
      </w:r>
    </w:p>
    <w:p>
      <w:pPr>
        <w:pStyle w:val="BodyText"/>
      </w:pPr>
      <w:r>
        <w:rPr>
          <w:b/>
          <w:bCs/>
        </w:rPr>
        <w:t xml:space="preserve">(c)</w:t>
      </w:r>
      <w:r>
        <w:t xml:space="preserve"> </w:t>
      </w:r>
      <w:r>
        <w:t xml:space="preserve">O equilíbrio pooling em</w:t>
      </w:r>
      <w:r>
        <w:t xml:space="preserve"> </w:t>
      </w:r>
      <m:oMath>
        <m:r>
          <m:t>e</m:t>
        </m:r>
        <m:r>
          <m:rPr>
            <m:sty m:val="p"/>
          </m:rPr>
          <m:t>=</m:t>
        </m:r>
        <m:r>
          <m:t>0</m:t>
        </m:r>
      </m:oMath>
      <w:r>
        <w:t xml:space="preserve"> </w:t>
      </w:r>
      <w:r>
        <w:t xml:space="preserve">sobrevive ao Critério de Dominância Intuitiva de Cho e Kreps (1987)? Justifique.</w:t>
      </w:r>
    </w:p>
    <w:p>
      <w:pPr>
        <w:pStyle w:val="BodyText"/>
      </w:pPr>
      <w:r>
        <w:rPr>
          <w:b/>
          <w:bCs/>
        </w:rPr>
        <w:t xml:space="preserve">(d)</w:t>
      </w:r>
      <w:r>
        <w:t xml:space="preserve"> </w:t>
      </w:r>
      <w:r>
        <w:t xml:space="preserve">Compare o bem-estar do tipo H nos dois equilíbrios. Qual equilíbrio o tipo H prefere?</w:t>
      </w:r>
    </w:p>
    <w:p>
      <w:pPr>
        <w:pStyle w:val="BodyText"/>
      </w:pPr>
      <w:r>
        <w:t xml:space="preserve">Ver solução (Cap. 9)</w:t>
      </w:r>
    </w:p>
    <w:p>
      <w:r>
        <w:pict>
          <v:rect style="width:0;height:1.5pt" o:hralign="center" o:hrstd="t" o:hr="t"/>
        </w:pict>
      </w:r>
    </w:p>
    <w:p>
      <w:pPr>
        <w:pStyle w:val="FirstParagraph"/>
      </w:pPr>
      <w:r>
        <w:rPr>
          <w:b/>
          <w:bCs/>
        </w:rPr>
        <w:t xml:space="preserve">Exercício 9d.8.</w:t>
      </w:r>
      <w:r>
        <w:t xml:space="preserve"> </w:t>
      </w:r>
      <w:r>
        <w:rPr>
          <w:i/>
          <w:iCs/>
        </w:rPr>
        <w:t xml:space="preserve">(Médio — Brasil: triagem (screening) da ANS)</w:t>
      </w:r>
      <w:r>
        <w:t xml:space="preserve"> </w:t>
      </w:r>
      <w:r>
        <w:t xml:space="preserve">Uma operadora de planos de saúde individual enfrenta dois tipos de beneficiários: baixo risco (custo esperado anual R$ 2.000, fração 70%) e alto risco (custo esperado anual R$ 10.000, fração 30%). A operadora não observa o tipo, mas pode oferecer um menu de contratos</w:t>
      </w:r>
      <w:r>
        <w:t xml:space="preserve"> </w:t>
      </w:r>
      <m:oMath>
        <m:r>
          <m:rPr>
            <m:sty m:val="p"/>
          </m:rPr>
          <m:t>{</m:t>
        </m:r>
        <m:r>
          <m:rPr>
            <m:sty m:val="p"/>
          </m:rPr>
          <m:t>(</m:t>
        </m:r>
        <m:sSub>
          <m:e>
            <m:r>
              <m:t>P</m:t>
            </m:r>
          </m:e>
          <m:sub>
            <m:r>
              <m:t>L</m:t>
            </m:r>
          </m:sub>
        </m:sSub>
        <m:r>
          <m:rPr>
            <m:sty m:val="p"/>
          </m:rPr>
          <m:t>,</m:t>
        </m:r>
        <m:sSub>
          <m:e>
            <m:r>
              <m:t>C</m:t>
            </m:r>
          </m:e>
          <m:sub>
            <m:r>
              <m:t>L</m:t>
            </m:r>
          </m:sub>
        </m:sSub>
        <m:r>
          <m:rPr>
            <m:sty m:val="p"/>
          </m:rPr>
          <m:t>)</m:t>
        </m:r>
        <m:r>
          <m:rPr>
            <m:sty m:val="p"/>
          </m:rPr>
          <m:t>,</m:t>
        </m:r>
        <m:r>
          <m:rPr>
            <m:sty m:val="p"/>
          </m:rPr>
          <m:t>(</m:t>
        </m:r>
        <m:sSub>
          <m:e>
            <m:r>
              <m:t>P</m:t>
            </m:r>
          </m:e>
          <m:sub>
            <m:r>
              <m:t>H</m:t>
            </m:r>
          </m:sub>
        </m:sSub>
        <m:r>
          <m:rPr>
            <m:sty m:val="p"/>
          </m:rPr>
          <m:t>,</m:t>
        </m:r>
        <m:sSub>
          <m:e>
            <m:r>
              <m:t>C</m:t>
            </m:r>
          </m:e>
          <m:sub>
            <m:r>
              <m:t>H</m:t>
            </m:r>
          </m:sub>
        </m:sSub>
        <m:r>
          <m:rPr>
            <m:sty m:val="p"/>
          </m:rPr>
          <m:t>)</m:t>
        </m:r>
        <m:r>
          <m:rPr>
            <m:sty m:val="p"/>
          </m:rPr>
          <m:t>}</m:t>
        </m:r>
      </m:oMath>
      <w:r>
        <w:t xml:space="preserve">, onde</w:t>
      </w:r>
      <w:r>
        <w:t xml:space="preserve"> </w:t>
      </w:r>
      <m:oMath>
        <m:r>
          <m:t>P</m:t>
        </m:r>
      </m:oMath>
      <w:r>
        <w:t xml:space="preserve"> </w:t>
      </w:r>
      <w:r>
        <w:t xml:space="preserve">é o prêmio anual e</w:t>
      </w:r>
      <w:r>
        <w:t xml:space="preserve"> </w:t>
      </w:r>
      <m:oMath>
        <m:r>
          <m:t>C</m:t>
        </m:r>
      </m:oMath>
      <w:r>
        <w:t xml:space="preserve"> </w:t>
      </w:r>
      <w:r>
        <w:t xml:space="preserve">é a cobertura (em fração do custo coberto,</w:t>
      </w:r>
      <w:r>
        <w:t xml:space="preserve"> </w:t>
      </w:r>
      <m:oMath>
        <m:r>
          <m:t>0</m:t>
        </m:r>
        <m:r>
          <m:rPr>
            <m:sty m:val="p"/>
          </m:rPr>
          <m:t>≤</m:t>
        </m:r>
        <m:r>
          <m:t>C</m:t>
        </m:r>
        <m:r>
          <m:rPr>
            <m:sty m:val="p"/>
          </m:rPr>
          <m:t>≤</m:t>
        </m:r>
        <m:r>
          <m:t>1</m:t>
        </m:r>
      </m:oMath>
      <w:r>
        <w:t xml:space="preserve">). Assuma que a utilidade de cada tipo é</w:t>
      </w:r>
      <w:r>
        <w:t xml:space="preserve"> </w:t>
      </w:r>
      <m:oMath>
        <m:r>
          <m:t>U</m:t>
        </m:r>
        <m:r>
          <m:rPr>
            <m:sty m:val="p"/>
          </m:rPr>
          <m:t>=</m:t>
        </m:r>
        <m:r>
          <m:t>C</m:t>
        </m:r>
        <m:r>
          <m:rPr>
            <m:sty m:val="p"/>
          </m:rPr>
          <m:t>⋅</m:t>
        </m:r>
        <m:r>
          <m:rPr>
            <m:nor/>
            <m:sty m:val="p"/>
          </m:rPr>
          <m:t>custo esperado</m:t>
        </m:r>
        <m:r>
          <m:rPr>
            <m:sty m:val="p"/>
          </m:rPr>
          <m:t>−</m:t>
        </m:r>
        <m:r>
          <m:t>P</m:t>
        </m:r>
      </m:oMath>
      <w:r>
        <w:t xml:space="preserve"> </w:t>
      </w:r>
      <w:r>
        <w:t xml:space="preserve">(linear na cobertura).</w:t>
      </w:r>
    </w:p>
    <w:p>
      <w:pPr>
        <w:pStyle w:val="BodyText"/>
      </w:pPr>
      <w:r>
        <w:rPr>
          <w:b/>
          <w:bCs/>
        </w:rPr>
        <w:t xml:space="preserve">(a)</w:t>
      </w:r>
      <w:r>
        <w:t xml:space="preserve"> </w:t>
      </w:r>
      <w:r>
        <w:t xml:space="preserve">Qual é o prêmio atuarialmente justo para cada tipo se a operadora observasse o tipo?</w:t>
      </w:r>
    </w:p>
    <w:p>
      <w:pPr>
        <w:pStyle w:val="BodyText"/>
      </w:pPr>
      <w:r>
        <w:rPr>
          <w:b/>
          <w:bCs/>
        </w:rPr>
        <w:t xml:space="preserve">(b)</w:t>
      </w:r>
      <w:r>
        <w:t xml:space="preserve"> </w:t>
      </w:r>
      <w:r>
        <w:t xml:space="preserve">Se a operadora oferecer apenas um contrato com prêmio médio</w:t>
      </w:r>
      <w:r>
        <w:t xml:space="preserve"> </w:t>
      </w:r>
      <m:oMath>
        <m:sSub>
          <m:e>
            <m:r>
              <m:t>P</m:t>
            </m:r>
          </m:e>
          <m:sub>
            <m:r>
              <m:rPr>
                <m:nor/>
                <m:sty m:val="p"/>
              </m:rPr>
              <m:t>med</m:t>
            </m:r>
          </m:sub>
        </m:sSub>
      </m:oMath>
      <w:r>
        <w:t xml:space="preserve"> </w:t>
      </w:r>
      <w:r>
        <w:t xml:space="preserve">e cobertura total (</w:t>
      </w:r>
      <m:oMath>
        <m:r>
          <m:t>C</m:t>
        </m:r>
        <m:r>
          <m:rPr>
            <m:sty m:val="p"/>
          </m:rPr>
          <m:t>=</m:t>
        </m:r>
        <m:r>
          <m:t>1</m:t>
        </m:r>
      </m:oMath>
      <w:r>
        <w:t xml:space="preserve">), que tipos aceitam? Calcule o lucro esperado por beneficiário.</w:t>
      </w:r>
    </w:p>
    <w:p>
      <w:pPr>
        <w:pStyle w:val="BodyText"/>
      </w:pPr>
      <w:r>
        <w:rPr>
          <w:b/>
          <w:bCs/>
        </w:rPr>
        <w:t xml:space="preserve">(c)</w:t>
      </w:r>
      <w:r>
        <w:t xml:space="preserve"> </w:t>
      </w:r>
      <w:r>
        <w:t xml:space="preserve">Projete um menu de contratos que separe os tipos: especifique</w:t>
      </w:r>
      <w:r>
        <w:t xml:space="preserve"> </w:t>
      </w:r>
      <m:oMath>
        <m:r>
          <m:rPr>
            <m:sty m:val="p"/>
          </m:rPr>
          <m:t>(</m:t>
        </m:r>
        <m:sSub>
          <m:e>
            <m:r>
              <m:t>P</m:t>
            </m:r>
          </m:e>
          <m:sub>
            <m:r>
              <m:t>L</m:t>
            </m:r>
          </m:sub>
        </m:sSub>
        <m:r>
          <m:rPr>
            <m:sty m:val="p"/>
          </m:rPr>
          <m:t>,</m:t>
        </m:r>
        <m:sSub>
          <m:e>
            <m:r>
              <m:t>C</m:t>
            </m:r>
          </m:e>
          <m:sub>
            <m:r>
              <m:t>L</m:t>
            </m:r>
          </m:sub>
        </m:sSub>
        <m:r>
          <m:rPr>
            <m:sty m:val="p"/>
          </m:rPr>
          <m:t>)</m:t>
        </m:r>
      </m:oMath>
      <w:r>
        <w:t xml:space="preserve"> </w:t>
      </w:r>
      <w:r>
        <w:t xml:space="preserve">e</w:t>
      </w:r>
      <w:r>
        <w:t xml:space="preserve"> </w:t>
      </w:r>
      <m:oMath>
        <m:r>
          <m:rPr>
            <m:sty m:val="p"/>
          </m:rPr>
          <m:t>(</m:t>
        </m:r>
        <m:sSub>
          <m:e>
            <m:r>
              <m:t>P</m:t>
            </m:r>
          </m:e>
          <m:sub>
            <m:r>
              <m:t>H</m:t>
            </m:r>
          </m:sub>
        </m:sSub>
        <m:r>
          <m:rPr>
            <m:sty m:val="p"/>
          </m:rPr>
          <m:t>,</m:t>
        </m:r>
        <m:sSub>
          <m:e>
            <m:r>
              <m:t>C</m:t>
            </m:r>
          </m:e>
          <m:sub>
            <m:r>
              <m:t>H</m:t>
            </m:r>
          </m:sub>
        </m:sSub>
        <m:r>
          <m:rPr>
            <m:sty m:val="p"/>
          </m:rPr>
          <m:t>)</m:t>
        </m:r>
      </m:oMath>
      <w:r>
        <w:t xml:space="preserve"> </w:t>
      </w:r>
      <w:r>
        <w:t xml:space="preserve">satisfazendo as restrições de incentivo (IC) e participação (IR) de cada tipo. (Dica: o tipo alto recebe contrato com cobertura total; o tipo baixo recebe contrato com cobertura reduzida.)</w:t>
      </w:r>
    </w:p>
    <w:p>
      <w:pPr>
        <w:pStyle w:val="BodyText"/>
      </w:pPr>
      <w:r>
        <w:rPr>
          <w:b/>
          <w:bCs/>
        </w:rPr>
        <w:t xml:space="preserve">(d)</w:t>
      </w:r>
      <w:r>
        <w:t xml:space="preserve"> </w:t>
      </w:r>
      <w:r>
        <w:t xml:space="preserve">A Resolução Normativa ANS 195/2009 limita a variação de prêmios por faixa etária (razão máxima de 6x entre a primeira e a última faixa). Analise como essa restrição afeta a capacidade da operadora de fazer screening eficiente.</w:t>
      </w:r>
    </w:p>
    <w:p>
      <w:pPr>
        <w:pStyle w:val="BodyText"/>
      </w:pPr>
      <w:r>
        <w:t xml:space="preserve">Ver solução (Cap. 9)</w:t>
      </w:r>
    </w:p>
    <w:p>
      <w:r>
        <w:pict>
          <v:rect style="width:0;height:1.5pt" o:hralign="center" o:hrstd="t" o:hr="t"/>
        </w:pict>
      </w:r>
    </w:p>
    <w:p>
      <w:pPr>
        <w:pStyle w:val="FirstParagraph"/>
      </w:pPr>
      <w:r>
        <w:rPr>
          <w:b/>
          <w:bCs/>
        </w:rPr>
        <w:t xml:space="preserve">Exercício 9d.9.</w:t>
      </w:r>
      <w:r>
        <w:t xml:space="preserve"> </w:t>
      </w:r>
      <w:r>
        <w:rPr>
          <w:i/>
          <w:iCs/>
        </w:rPr>
        <w:t xml:space="preserve">(Difícil — Contrato ótimo com moral hazard e aversão ao risco)</w:t>
      </w:r>
      <w:r>
        <w:t xml:space="preserve"> </w:t>
      </w:r>
      <w:r>
        <w:t xml:space="preserve">Um principal contrata um agente avesso ao risco com função de utilidade</w:t>
      </w:r>
      <w:r>
        <w:t xml:space="preserve"> </w:t>
      </w:r>
      <m:oMath>
        <m:r>
          <m:t>u</m:t>
        </m:r>
        <m:r>
          <m:rPr>
            <m:sty m:val="p"/>
          </m:rPr>
          <m:t>(</m:t>
        </m:r>
        <m:r>
          <m:t>w</m:t>
        </m:r>
        <m:r>
          <m:rPr>
            <m:sty m:val="p"/>
          </m:rPr>
          <m:t>)</m:t>
        </m:r>
        <m:r>
          <m:rPr>
            <m:sty m:val="p"/>
          </m:rPr>
          <m:t>=</m:t>
        </m:r>
        <m:rad>
          <m:radPr>
            <m:degHide m:val="on"/>
          </m:radPr>
          <m:deg/>
          <m:e>
            <m:r>
              <m:t>w</m:t>
            </m:r>
          </m:e>
        </m:rad>
      </m:oMath>
      <w:r>
        <w:t xml:space="preserve"> </w:t>
      </w:r>
      <w:r>
        <w:t xml:space="preserve">e custo de esforço</w:t>
      </w:r>
      <w:r>
        <w:t xml:space="preserve"> </w:t>
      </w:r>
      <m:oMath>
        <m:r>
          <m:t>c</m:t>
        </m:r>
        <m:r>
          <m:rPr>
            <m:sty m:val="p"/>
          </m:rPr>
          <m:t>(</m:t>
        </m:r>
        <m:sSub>
          <m:e>
            <m:r>
              <m:t>e</m:t>
            </m:r>
          </m:e>
          <m:sub>
            <m:r>
              <m:t>H</m:t>
            </m:r>
          </m:sub>
        </m:sSub>
        <m:r>
          <m:rPr>
            <m:sty m:val="p"/>
          </m:rPr>
          <m:t>)</m:t>
        </m:r>
        <m:r>
          <m:rPr>
            <m:sty m:val="p"/>
          </m:rPr>
          <m:t>=</m:t>
        </m:r>
        <m:r>
          <m:t>1</m:t>
        </m:r>
        <m:r>
          <m:rPr>
            <m:sty m:val="p"/>
          </m:rPr>
          <m:t>,</m:t>
        </m:r>
        <m:r>
          <m:t>5</m:t>
        </m:r>
      </m:oMath>
      <w:r>
        <w:t xml:space="preserve">,</w:t>
      </w:r>
      <w:r>
        <w:t xml:space="preserve"> </w:t>
      </w:r>
      <m:oMath>
        <m:r>
          <m:t>c</m:t>
        </m:r>
        <m:r>
          <m:rPr>
            <m:sty m:val="p"/>
          </m:rPr>
          <m:t>(</m:t>
        </m:r>
        <m:sSub>
          <m:e>
            <m:r>
              <m:t>e</m:t>
            </m:r>
          </m:e>
          <m:sub>
            <m:r>
              <m:t>L</m:t>
            </m:r>
          </m:sub>
        </m:sSub>
        <m:r>
          <m:rPr>
            <m:sty m:val="p"/>
          </m:rPr>
          <m:t>)</m:t>
        </m:r>
        <m:r>
          <m:rPr>
            <m:sty m:val="p"/>
          </m:rPr>
          <m:t>=</m:t>
        </m:r>
        <m:r>
          <m:t>0</m:t>
        </m:r>
      </m:oMath>
      <w:r>
        <w:t xml:space="preserve">. Com esforço alto (</w:t>
      </w:r>
      <m:oMath>
        <m:sSub>
          <m:e>
            <m:r>
              <m:t>e</m:t>
            </m:r>
          </m:e>
          <m:sub>
            <m:r>
              <m:t>H</m:t>
            </m:r>
          </m:sub>
        </m:sSub>
      </m:oMath>
      <w:r>
        <w:t xml:space="preserve">), o resultado é bom (R$ 100) com prob. 0,8 e ruim (R$ 0) com prob. 0,2. Com esforço baixo (</w:t>
      </w:r>
      <m:oMath>
        <m:sSub>
          <m:e>
            <m:r>
              <m:t>e</m:t>
            </m:r>
          </m:e>
          <m:sub>
            <m:r>
              <m:t>L</m:t>
            </m:r>
          </m:sub>
        </m:sSub>
      </m:oMath>
      <w:r>
        <w:t xml:space="preserve">), as probabilidades são 0,4 e 0,6, respectivamente. A utilidade de reserva do agente é</w:t>
      </w:r>
      <w:r>
        <w:t xml:space="preserve"> </w:t>
      </w:r>
      <m:oMath>
        <m:acc>
          <m:accPr>
            <m:chr m:val="‾"/>
          </m:accPr>
          <m:e>
            <m:r>
              <m:t>u</m:t>
            </m:r>
          </m:e>
        </m:acc>
        <m:r>
          <m:rPr>
            <m:sty m:val="p"/>
          </m:rPr>
          <m:t>=</m:t>
        </m:r>
        <m:r>
          <m:t>2</m:t>
        </m:r>
      </m:oMath>
      <w:r>
        <w:t xml:space="preserve"> </w:t>
      </w:r>
      <w:r>
        <w:t xml:space="preserve">(equivalente a salário certo de 4).</w:t>
      </w:r>
    </w:p>
    <w:p>
      <w:pPr>
        <w:pStyle w:val="BodyText"/>
      </w:pPr>
      <w:r>
        <w:rPr>
          <w:b/>
          <w:bCs/>
        </w:rPr>
        <w:t xml:space="preserve">(a)</w:t>
      </w:r>
      <w:r>
        <w:t xml:space="preserve"> </w:t>
      </w:r>
      <w:r>
        <w:t xml:space="preserve">Escreva as restrições IC (incentivo) e IR (participação) para que o contrato</w:t>
      </w:r>
      <w:r>
        <w:t xml:space="preserve"> </w:t>
      </w:r>
      <m:oMath>
        <m:r>
          <m:rPr>
            <m:sty m:val="p"/>
          </m:rPr>
          <m:t>(</m:t>
        </m:r>
        <m:sSub>
          <m:e>
            <m:r>
              <m:t>w</m:t>
            </m:r>
          </m:e>
          <m:sub>
            <m:r>
              <m:t>B</m:t>
            </m:r>
          </m:sub>
        </m:sSub>
        <m:r>
          <m:rPr>
            <m:sty m:val="p"/>
          </m:rPr>
          <m:t>,</m:t>
        </m:r>
        <m:sSub>
          <m:e>
            <m:r>
              <m:t>w</m:t>
            </m:r>
          </m:e>
          <m:sub>
            <m:r>
              <m:t>R</m:t>
            </m:r>
          </m:sub>
        </m:sSub>
        <m:r>
          <m:rPr>
            <m:sty m:val="p"/>
          </m:rPr>
          <m:t>)</m:t>
        </m:r>
      </m:oMath>
      <w:r>
        <w:t xml:space="preserve"> </w:t>
      </w:r>
      <w:r>
        <w:t xml:space="preserve">implemente esforço alto.</w:t>
      </w:r>
    </w:p>
    <w:p>
      <w:pPr>
        <w:pStyle w:val="BodyText"/>
      </w:pPr>
      <w:r>
        <w:rPr>
          <w:b/>
          <w:bCs/>
        </w:rPr>
        <w:t xml:space="preserve">(b)</w:t>
      </w:r>
      <w:r>
        <w:t xml:space="preserve"> </w:t>
      </w:r>
      <w:r>
        <w:t xml:space="preserve">Resolva o problema de minimização de custo para o principal. Encontre</w:t>
      </w:r>
      <w:r>
        <w:t xml:space="preserve"> </w:t>
      </w:r>
      <m:oMath>
        <m:r>
          <m:rPr>
            <m:sty m:val="p"/>
          </m:rPr>
          <m:t>(</m:t>
        </m:r>
        <m:sSubSup>
          <m:e>
            <m:r>
              <m:t>w</m:t>
            </m:r>
          </m:e>
          <m:sub>
            <m:r>
              <m:t>B</m:t>
            </m:r>
          </m:sub>
          <m:sup>
            <m:r>
              <m:rPr>
                <m:sty m:val="p"/>
              </m:rPr>
              <m:t>*</m:t>
            </m:r>
          </m:sup>
        </m:sSubSup>
        <m:r>
          <m:rPr>
            <m:sty m:val="p"/>
          </m:rPr>
          <m:t>,</m:t>
        </m:r>
        <m:sSubSup>
          <m:e>
            <m:r>
              <m:t>w</m:t>
            </m:r>
          </m:e>
          <m:sub>
            <m:r>
              <m:t>R</m:t>
            </m:r>
          </m:sub>
          <m:sup>
            <m:r>
              <m:rPr>
                <m:sty m:val="p"/>
              </m:rPr>
              <m:t>*</m:t>
            </m:r>
          </m:sup>
        </m:sSubSup>
        <m:r>
          <m:rPr>
            <m:sty m:val="p"/>
          </m:rPr>
          <m:t>)</m:t>
        </m:r>
      </m:oMath>
      <w:r>
        <w:t xml:space="preserve">.</w:t>
      </w:r>
    </w:p>
    <w:p>
      <w:pPr>
        <w:pStyle w:val="BodyText"/>
      </w:pPr>
      <w:r>
        <w:rPr>
          <w:b/>
          <w:bCs/>
        </w:rPr>
        <w:t xml:space="preserve">(c)</w:t>
      </w:r>
      <w:r>
        <w:t xml:space="preserve"> </w:t>
      </w:r>
      <w:r>
        <w:t xml:space="preserve">Compare com o primeiro melhor (informação simétrica): qual seria o salário ótimo se o esforço fosse observável? Calcule o custo de agência (diferença entre os custos esperados nos dois casos).</w:t>
      </w:r>
    </w:p>
    <w:p>
      <w:pPr>
        <w:pStyle w:val="BodyText"/>
      </w:pPr>
      <w:r>
        <w:rPr>
          <w:b/>
          <w:bCs/>
        </w:rPr>
        <w:t xml:space="preserve">(d)</w:t>
      </w:r>
      <w:r>
        <w:t xml:space="preserve"> </w:t>
      </w:r>
      <w:r>
        <w:t xml:space="preserve">Como a aversão ao risco do agente aumenta o custo de agência em comparação com o caso de agente neutro ao risco? Intuição econômica.</w:t>
      </w:r>
    </w:p>
    <w:p>
      <w:pPr>
        <w:pStyle w:val="BodyText"/>
      </w:pPr>
      <w:r>
        <w:t xml:space="preserve">Ver solução (Cap. 9)</w:t>
      </w:r>
    </w:p>
    <w:p>
      <w:r>
        <w:pict>
          <v:rect style="width:0;height:1.5pt" o:hralign="center" o:hrstd="t" o:hr="t"/>
        </w:pict>
      </w:r>
    </w:p>
    <w:p>
      <w:pPr>
        <w:pStyle w:val="FirstParagraph"/>
      </w:pPr>
      <w:r>
        <w:rPr>
          <w:b/>
          <w:bCs/>
        </w:rPr>
        <w:t xml:space="preserve">Exercício 9d.10.</w:t>
      </w:r>
      <w:r>
        <w:t xml:space="preserve"> </w:t>
      </w:r>
      <w:r>
        <w:rPr>
          <w:i/>
          <w:iCs/>
        </w:rPr>
        <w:t xml:space="preserve">(Médio — Sinalização com custo quadrático e três tipos)</w:t>
      </w:r>
      <w:r>
        <w:t xml:space="preserve"> </w:t>
      </w:r>
      <w:r>
        <w:t xml:space="preserve">Considere um modelo de Spence com</w:t>
      </w:r>
      <w:r>
        <w:t xml:space="preserve"> </w:t>
      </w:r>
      <w:r>
        <w:rPr>
          <w:b/>
          <w:bCs/>
        </w:rPr>
        <w:t xml:space="preserve">três</w:t>
      </w:r>
      <w:r>
        <w:t xml:space="preserve"> </w:t>
      </w:r>
      <w:r>
        <w:t xml:space="preserve">tipos de trabalhadores:</w:t>
      </w:r>
      <w:r>
        <w:t xml:space="preserve"> </w:t>
      </w:r>
      <m:oMath>
        <m:sSub>
          <m:e>
            <m:r>
              <m:t>θ</m:t>
            </m:r>
          </m:e>
          <m:sub>
            <m:r>
              <m:t>H</m:t>
            </m:r>
          </m:sub>
        </m:sSub>
        <m:r>
          <m:rPr>
            <m:sty m:val="p"/>
          </m:rPr>
          <m:t>=</m:t>
        </m:r>
        <m:r>
          <m:t>6</m:t>
        </m:r>
      </m:oMath>
      <w:r>
        <w:t xml:space="preserve">,</w:t>
      </w:r>
      <w:r>
        <w:t xml:space="preserve"> </w:t>
      </w:r>
      <m:oMath>
        <m:sSub>
          <m:e>
            <m:r>
              <m:t>θ</m:t>
            </m:r>
          </m:e>
          <m:sub>
            <m:r>
              <m:t>M</m:t>
            </m:r>
          </m:sub>
        </m:sSub>
        <m:r>
          <m:rPr>
            <m:sty m:val="p"/>
          </m:rPr>
          <m:t>=</m:t>
        </m:r>
        <m:r>
          <m:t>3</m:t>
        </m:r>
      </m:oMath>
      <w:r>
        <w:t xml:space="preserve"> </w:t>
      </w:r>
      <w:r>
        <w:t xml:space="preserve">e</w:t>
      </w:r>
      <w:r>
        <w:t xml:space="preserve"> </w:t>
      </w:r>
      <m:oMath>
        <m:sSub>
          <m:e>
            <m:r>
              <m:t>θ</m:t>
            </m:r>
          </m:e>
          <m:sub>
            <m:r>
              <m:t>L</m:t>
            </m:r>
          </m:sub>
        </m:sSub>
        <m:r>
          <m:rPr>
            <m:sty m:val="p"/>
          </m:rPr>
          <m:t>=</m:t>
        </m:r>
        <m:r>
          <m:t>1</m:t>
        </m:r>
      </m:oMath>
      <w:r>
        <w:t xml:space="preserve">, com proporções iguais (</w:t>
      </w:r>
      <m:oMath>
        <m:r>
          <m:t>1</m:t>
        </m:r>
        <m:r>
          <m:rPr>
            <m:sty m:val="p"/>
          </m:rPr>
          <m:t>/</m:t>
        </m:r>
        <m:r>
          <m:t>3</m:t>
        </m:r>
      </m:oMath>
      <w:r>
        <w:t xml:space="preserve"> </w:t>
      </w:r>
      <w:r>
        <w:t xml:space="preserve">cada). O custo da educação é</w:t>
      </w:r>
      <w:r>
        <w:t xml:space="preserve"> </w:t>
      </w:r>
      <m:oMath>
        <m:r>
          <m:t>c</m:t>
        </m:r>
        <m:r>
          <m:rPr>
            <m:sty m:val="p"/>
          </m:rPr>
          <m:t>(</m:t>
        </m:r>
        <m:r>
          <m:t>e</m:t>
        </m:r>
        <m:r>
          <m:rPr>
            <m:sty m:val="p"/>
          </m:rPr>
          <m:t>,</m:t>
        </m:r>
        <m:r>
          <m:t>θ</m:t>
        </m:r>
        <m:r>
          <m:rPr>
            <m:sty m:val="p"/>
          </m:rPr>
          <m:t>)</m:t>
        </m:r>
        <m:r>
          <m:rPr>
            <m:sty m:val="p"/>
          </m:rPr>
          <m:t>=</m:t>
        </m:r>
        <m:sSup>
          <m:e>
            <m:r>
              <m:t>e</m:t>
            </m:r>
          </m:e>
          <m:sup>
            <m:r>
              <m:t>2</m:t>
            </m:r>
          </m:sup>
        </m:sSup>
        <m:r>
          <m:rPr>
            <m:sty m:val="p"/>
          </m:rPr>
          <m:t>/</m:t>
        </m:r>
        <m:r>
          <m:rPr>
            <m:sty m:val="p"/>
          </m:rPr>
          <m:t>(</m:t>
        </m:r>
        <m:r>
          <m:t>2</m:t>
        </m:r>
        <m:r>
          <m:t>θ</m:t>
        </m:r>
        <m:r>
          <m:rPr>
            <m:sty m:val="p"/>
          </m:rPr>
          <m:t>)</m:t>
        </m:r>
      </m:oMath>
      <w:r>
        <w:t xml:space="preserve">. Firmas competitivas pagam salário igual à produtividade esperada.</w:t>
      </w:r>
    </w:p>
    <w:p>
      <w:pPr>
        <w:pStyle w:val="BodyText"/>
      </w:pPr>
      <w:r>
        <w:rPr>
          <w:b/>
          <w:bCs/>
        </w:rPr>
        <w:t xml:space="preserve">(a)</w:t>
      </w:r>
      <w:r>
        <w:t xml:space="preserve"> </w:t>
      </w:r>
      <w:r>
        <w:t xml:space="preserve">Encontre o equilíbrio separador completo de menor custo, em que cada tipo escolhe um nível de educação diferente e recebe salário igual à sua produtividade. Especifique os limiares</w:t>
      </w:r>
      <w:r>
        <w:t xml:space="preserve"> </w:t>
      </w:r>
      <m:oMath>
        <m:sSubSup>
          <m:e>
            <m:r>
              <m:t>e</m:t>
            </m:r>
          </m:e>
          <m:sub>
            <m:r>
              <m:t>M</m:t>
            </m:r>
          </m:sub>
          <m:sup>
            <m:r>
              <m:rPr>
                <m:sty m:val="p"/>
              </m:rPr>
              <m:t>*</m:t>
            </m:r>
          </m:sup>
        </m:sSubSup>
      </m:oMath>
      <w:r>
        <w:t xml:space="preserve"> </w:t>
      </w:r>
      <w:r>
        <w:t xml:space="preserve">e</w:t>
      </w:r>
      <w:r>
        <w:t xml:space="preserve"> </w:t>
      </w:r>
      <m:oMath>
        <m:sSubSup>
          <m:e>
            <m:r>
              <m:t>e</m:t>
            </m:r>
          </m:e>
          <m:sub>
            <m:r>
              <m:t>H</m:t>
            </m:r>
          </m:sub>
          <m:sup>
            <m:r>
              <m:rPr>
                <m:sty m:val="p"/>
              </m:rPr>
              <m:t>*</m:t>
            </m:r>
          </m:sup>
        </m:sSubSup>
      </m:oMath>
      <w:r>
        <w:t xml:space="preserve"> </w:t>
      </w:r>
      <w:r>
        <w:t xml:space="preserve">(assuma</w:t>
      </w:r>
      <w:r>
        <w:t xml:space="preserve"> </w:t>
      </w:r>
      <m:oMath>
        <m:sSub>
          <m:e>
            <m:r>
              <m:t>e</m:t>
            </m:r>
          </m:e>
          <m:sub>
            <m:r>
              <m:t>L</m:t>
            </m:r>
          </m:sub>
        </m:sSub>
        <m:r>
          <m:rPr>
            <m:sty m:val="p"/>
          </m:rPr>
          <m:t>=</m:t>
        </m:r>
        <m:r>
          <m:t>0</m:t>
        </m:r>
      </m:oMath>
      <w:r>
        <w:t xml:space="preserve">).</w:t>
      </w:r>
    </w:p>
    <w:p>
      <w:pPr>
        <w:pStyle w:val="BodyText"/>
      </w:pPr>
      <w:r>
        <w:rPr>
          <w:b/>
          <w:bCs/>
        </w:rPr>
        <w:t xml:space="preserve">(b)</w:t>
      </w:r>
      <w:r>
        <w:t xml:space="preserve"> </w:t>
      </w:r>
      <w:r>
        <w:t xml:space="preserve">Calcule o payoff de cada tipo no equilíbrio separador.</w:t>
      </w:r>
    </w:p>
    <w:p>
      <w:pPr>
        <w:pStyle w:val="BodyText"/>
      </w:pPr>
      <w:r>
        <w:rPr>
          <w:b/>
          <w:bCs/>
        </w:rPr>
        <w:t xml:space="preserve">(c)</w:t>
      </w:r>
      <w:r>
        <w:t xml:space="preserve"> </w:t>
      </w:r>
      <w:r>
        <w:t xml:space="preserve">Considere agora um equilíbrio semi-separador em que os tipos M e L fazem</w:t>
      </w:r>
      <w:r>
        <w:t xml:space="preserve"> </w:t>
      </w:r>
      <w:r>
        <w:rPr>
          <w:i/>
          <w:iCs/>
        </w:rPr>
        <w:t xml:space="preserve">pooling</w:t>
      </w:r>
      <w:r>
        <w:t xml:space="preserve"> </w:t>
      </w:r>
      <w:r>
        <w:t xml:space="preserve">em</w:t>
      </w:r>
      <w:r>
        <w:t xml:space="preserve"> </w:t>
      </w:r>
      <m:oMath>
        <m:r>
          <m:t>e</m:t>
        </m:r>
        <m:r>
          <m:rPr>
            <m:sty m:val="p"/>
          </m:rPr>
          <m:t>=</m:t>
        </m:r>
        <m:r>
          <m:t>0</m:t>
        </m:r>
      </m:oMath>
      <w:r>
        <w:t xml:space="preserve"> </w:t>
      </w:r>
      <w:r>
        <w:t xml:space="preserve">(recebendo salário médio</w:t>
      </w:r>
      <w:r>
        <w:t xml:space="preserve"> </w:t>
      </w:r>
      <m:oMath>
        <m:r>
          <m:rPr>
            <m:sty m:val="p"/>
          </m:rPr>
          <m:t>(</m:t>
        </m:r>
        <m:r>
          <m:t>3</m:t>
        </m:r>
        <m:r>
          <m:rPr>
            <m:sty m:val="p"/>
          </m:rPr>
          <m:t>+</m:t>
        </m:r>
        <m:r>
          <m:t>1</m:t>
        </m:r>
        <m:r>
          <m:rPr>
            <m:sty m:val="p"/>
          </m:rPr>
          <m:t>)</m:t>
        </m:r>
        <m:r>
          <m:rPr>
            <m:sty m:val="p"/>
          </m:rPr>
          <m:t>/</m:t>
        </m:r>
        <m:r>
          <m:t>2</m:t>
        </m:r>
        <m:r>
          <m:rPr>
            <m:sty m:val="p"/>
          </m:rPr>
          <m:t>=</m:t>
        </m:r>
        <m:r>
          <m:t>2</m:t>
        </m:r>
      </m:oMath>
      <w:r>
        <w:t xml:space="preserve">) e o tipo H se separa com</w:t>
      </w:r>
      <w:r>
        <w:t xml:space="preserve"> </w:t>
      </w:r>
      <m:oMath>
        <m:sSub>
          <m:e>
            <m:r>
              <m:t>e</m:t>
            </m:r>
          </m:e>
          <m:sub>
            <m:r>
              <m:t>H</m:t>
            </m:r>
          </m:sub>
        </m:sSub>
        <m:r>
          <m:rPr>
            <m:sty m:val="p"/>
          </m:rPr>
          <m:t>=</m:t>
        </m:r>
        <m:sSup>
          <m:e>
            <m:r>
              <m:t>e</m:t>
            </m:r>
          </m:e>
          <m:sup>
            <m:r>
              <m:rPr>
                <m:sty m:val="p"/>
              </m:rPr>
              <m:t>*</m:t>
            </m:r>
            <m:r>
              <m:rPr>
                <m:sty m:val="p"/>
              </m:rPr>
              <m:t>*</m:t>
            </m:r>
          </m:sup>
        </m:sSup>
      </m:oMath>
      <w:r>
        <w:t xml:space="preserve">. Encontre o menor</w:t>
      </w:r>
      <w:r>
        <w:t xml:space="preserve"> </w:t>
      </w:r>
      <m:oMath>
        <m:sSup>
          <m:e>
            <m:r>
              <m:t>e</m:t>
            </m:r>
          </m:e>
          <m:sup>
            <m:r>
              <m:rPr>
                <m:sty m:val="p"/>
              </m:rPr>
              <m:t>*</m:t>
            </m:r>
            <m:r>
              <m:rPr>
                <m:sty m:val="p"/>
              </m:rPr>
              <m:t>*</m:t>
            </m:r>
          </m:sup>
        </m:sSup>
      </m:oMath>
      <w:r>
        <w:t xml:space="preserve"> </w:t>
      </w:r>
      <w:r>
        <w:t xml:space="preserve">que sustenta esse equilíbrio. Compare o payoff do tipo M neste equilíbrio com o do equilíbrio separador completo.</w:t>
      </w:r>
    </w:p>
    <w:p>
      <w:pPr>
        <w:pStyle w:val="BodyText"/>
      </w:pPr>
      <w:r>
        <w:t xml:space="preserve">Ver solução (Cap. 9)</w:t>
      </w:r>
    </w:p>
    <w:p>
      <w:r>
        <w:pict>
          <v:rect style="width:0;height:1.5pt" o:hralign="center" o:hrstd="t" o:hr="t"/>
        </w:pict>
      </w:r>
    </w:p>
    <w:bookmarkEnd w:id="627"/>
    <w:bookmarkStart w:id="628" w:name="vem-anpec-10"/>
    <w:p>
      <w:pPr>
        <w:pStyle w:val="Heading3"/>
      </w:pPr>
      <w:r>
        <w:t xml:space="preserve">Vem, ANPEC!</w:t>
      </w:r>
    </w:p>
    <w:p>
      <w:pPr>
        <w:pStyle w:val="FirstParagraph"/>
      </w:pPr>
      <w:r>
        <w:t xml:space="preserve">Pratique com questões reais do Exame Nacional da ANPEC (Associação Nacional dos Centros de Pós-Graduação em Economia). As questões seguem o formato oficial: cinco itens (0 a 4) a serem julgados como Verdadeiro (V) ou Falso (F).</w:t>
      </w:r>
    </w:p>
    <w:p>
      <w:pPr>
        <w:pStyle w:val="BlockText"/>
      </w:pPr>
      <w:r>
        <w:rPr>
          <w:b/>
          <w:bCs/>
        </w:rPr>
        <w:t xml:space="preserve">[QUESTAO] ANPEC 2017 — Questão 11</w:t>
      </w:r>
    </w:p>
    <w:p>
      <w:pPr>
        <w:pStyle w:val="BlockText"/>
      </w:pPr>
      <w:r>
        <w:t xml:space="preserve">Com relação aos problemas de assimetria de informação, indique quais entre as afirmativas abaixo estão corretas: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Seleção adversa diz respeito a uma ação não observável.</w:t>
            </w:r>
          </w:p>
        </w:tc>
      </w:tr>
      <w:tr>
        <w:tc>
          <w:tcPr/>
          <w:p>
            <w:pPr>
              <w:pStyle w:val="Compact"/>
            </w:pPr>
            <w:r>
              <w:t xml:space="preserve">1</w:t>
            </w:r>
          </w:p>
        </w:tc>
        <w:tc>
          <w:tcPr/>
          <w:p>
            <w:pPr>
              <w:pStyle w:val="Compact"/>
            </w:pPr>
            <w:r>
              <w:t xml:space="preserve">Problemas morais dizem respeito a características não observáveis.</w:t>
            </w:r>
          </w:p>
        </w:tc>
      </w:tr>
      <w:tr>
        <w:tc>
          <w:tcPr/>
          <w:p>
            <w:pPr>
              <w:pStyle w:val="Compact"/>
            </w:pPr>
            <w:r>
              <w:t xml:space="preserve">2</w:t>
            </w:r>
          </w:p>
        </w:tc>
        <w:tc>
          <w:tcPr/>
          <w:p>
            <w:pPr>
              <w:pStyle w:val="Compact"/>
            </w:pPr>
            <w:r>
              <w:t xml:space="preserve">Quando empresas de seguros reúnem informações sobre demandantes de seguros, diz-se que elas estão fazendo screening.</w:t>
            </w:r>
          </w:p>
        </w:tc>
      </w:tr>
      <w:tr>
        <w:tc>
          <w:tcPr/>
          <w:p>
            <w:pPr>
              <w:pStyle w:val="Compact"/>
            </w:pPr>
            <w:r>
              <w:t xml:space="preserve">3</w:t>
            </w:r>
          </w:p>
        </w:tc>
        <w:tc>
          <w:tcPr/>
          <w:p>
            <w:pPr>
              <w:pStyle w:val="Compact"/>
            </w:pPr>
            <w:r>
              <w:t xml:space="preserve">Certificações de produtos são uma forma de reduzir o</w:t>
            </w:r>
            <w:r>
              <w:t xml:space="preserve"> </w:t>
            </w:r>
            <w:r>
              <w:t xml:space="preserve">“problema dos limões”</w:t>
            </w:r>
            <w:r>
              <w:t xml:space="preserve"> </w:t>
            </w:r>
            <w:r>
              <w:t xml:space="preserve">decorrente de seleção adversa.</w:t>
            </w:r>
          </w:p>
        </w:tc>
      </w:tr>
      <w:tr>
        <w:tc>
          <w:tcPr/>
          <w:p>
            <w:pPr>
              <w:pStyle w:val="Compact"/>
            </w:pPr>
            <w:r>
              <w:t xml:space="preserve">4</w:t>
            </w:r>
          </w:p>
        </w:tc>
        <w:tc>
          <w:tcPr/>
          <w:p>
            <w:pPr>
              <w:pStyle w:val="Compact"/>
            </w:pPr>
            <w:r>
              <w:t xml:space="preserve">Seguros com cobertura universal obrigatória podem ser uma forma de prevenir seleção adversa.</w:t>
            </w:r>
          </w:p>
        </w:tc>
      </w:tr>
    </w:tbl>
    <w:p>
      <w:pPr>
        <w:pStyle w:val="BlockText"/>
      </w:pPr>
      <w:r>
        <w:t xml:space="preserve">??? success</w:t>
      </w:r>
      <w:r>
        <w:t xml:space="preserve"> </w:t>
      </w:r>
      <w:r>
        <w:t xml:space="preserve">“Gabarito”</w:t>
      </w:r>
      <w:r>
        <w:t xml:space="preserve"> </w:t>
      </w:r>
      <w:r>
        <w:rPr>
          <w:b/>
          <w:bCs/>
        </w:rPr>
        <w:t xml:space="preserve">Respostas: 00111</w:t>
      </w:r>
    </w:p>
    <w:p>
      <w:pPr>
        <w:pStyle w:val="SourceCode"/>
      </w:pPr>
      <w:r>
        <w:rPr>
          <w:rStyle w:val="VerbatimChar"/>
        </w:rPr>
        <w:t xml:space="preserve">- **Item 0 — F:** Seleção adversa diz respeito a **características** (tipos) não observáveis, não a ações. Ações não observáveis configuram **risco moral** (moral hazard). A seleção adversa é pré-contratual (tipos ocultos); o risco moral é pós-contratual (ações ocultas).</w:t>
      </w:r>
      <w:r>
        <w:br/>
      </w:r>
      <w:r>
        <w:rPr>
          <w:rStyle w:val="VerbatimChar"/>
        </w:rPr>
        <w:t xml:space="preserve">- **Item 1 — F:** "Problemas morais" (risco moral / *moral hazard*) dizem respeito a **ações** não observáveis, não a características. O item inverte as definições: quem se refere a características não observáveis é a **seleção adversa**.</w:t>
      </w:r>
      <w:r>
        <w:br/>
      </w:r>
      <w:r>
        <w:rPr>
          <w:rStyle w:val="VerbatimChar"/>
        </w:rPr>
        <w:t xml:space="preserve">- **Item 2 — V:** *Screening* (triagem) é o mecanismo pelo qual a parte desinformada (seguradoras) coleta informações sobre a parte informada (segurados) para classificá-los por risco.</w:t>
      </w:r>
      <w:r>
        <w:br/>
      </w:r>
      <w:r>
        <w:rPr>
          <w:rStyle w:val="VerbatimChar"/>
        </w:rPr>
        <w:t xml:space="preserve">- **Item 3 — V:** Certificações de produtos (como laudos de vistoria, selos de qualidade, garantias de fábrica) reduzem a assimetria de informação entre vendedores e compradores, atenuando o problema dos limões de Akerlof.</w:t>
      </w:r>
      <w:r>
        <w:br/>
      </w:r>
      <w:r>
        <w:rPr>
          <w:rStyle w:val="VerbatimChar"/>
        </w:rPr>
        <w:t xml:space="preserve">- **Item 4 — V:** Se o seguro é **universal e obrigatório**, não há autosseleção: todos os tipos (alto e baixo risco) participam do pool. Isso elimina o mecanismo de seleção adversa. O SUS brasileiro é um exemplo de cobertura universal que evita a antisseleção.</w:t>
      </w:r>
      <w:r>
        <w:br/>
      </w:r>
      <w:r>
        <w:br/>
      </w:r>
      <w:r>
        <w:rPr>
          <w:rStyle w:val="VerbatimChar"/>
        </w:rPr>
        <w:t xml:space="preserve">**Nota:** Esta questão também aparece no Capítulo 19 (Limões, Sinais e Contratos), onde é discutida no contexto mais amplo dos mecanismos de mercado para informação assimétrica.</w:t>
      </w:r>
    </w:p>
    <w:p>
      <w:pPr>
        <w:pStyle w:val="BlockText"/>
      </w:pPr>
      <w:r>
        <w:rPr>
          <w:b/>
          <w:bCs/>
        </w:rPr>
        <w:t xml:space="preserve">[QUESTAO] ANPEC — Sinalização, moral hazard e contratos (questão adaptada)</w:t>
      </w:r>
    </w:p>
    <w:p>
      <w:pPr>
        <w:pStyle w:val="BlockText"/>
      </w:pPr>
      <w:r>
        <w:t xml:space="preserve">Sobre sinalização, moral hazard e desenho de contratos em mercados com informação assimétrica, julgue os itens: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No modelo de Spence, se o custo de obter educação fosse idêntico para trabalhadores de alta e baixa produtividade, o equilíbrio separador ainda seria sustentável, pois bastaria que o tipo alto investisse mais.</w:t>
            </w:r>
          </w:p>
        </w:tc>
      </w:tr>
      <w:tr>
        <w:tc>
          <w:tcPr/>
          <w:p>
            <w:pPr>
              <w:pStyle w:val="Compact"/>
            </w:pPr>
            <w:r>
              <w:t xml:space="preserve">1</w:t>
            </w:r>
          </w:p>
        </w:tc>
        <w:tc>
          <w:tcPr/>
          <w:p>
            <w:pPr>
              <w:pStyle w:val="Compact"/>
            </w:pPr>
            <w:r>
              <w:t xml:space="preserve">O problema do moral hazard surge porque o agente toma ações não observáveis pelo principal</w:t>
            </w:r>
            <w:r>
              <w:t xml:space="preserve"> </w:t>
            </w:r>
            <w:r>
              <w:rPr>
                <w:i/>
                <w:iCs/>
              </w:rPr>
              <w:t xml:space="preserve">após</w:t>
            </w:r>
            <w:r>
              <w:t xml:space="preserve"> </w:t>
            </w:r>
            <w:r>
              <w:t xml:space="preserve">a celebração do contrato; se o esforço fosse observável e verificável, o primeiro melhor seria alcançável com salário fixo.</w:t>
            </w:r>
          </w:p>
        </w:tc>
      </w:tr>
      <w:tr>
        <w:tc>
          <w:tcPr/>
          <w:p>
            <w:pPr>
              <w:pStyle w:val="Compact"/>
            </w:pPr>
            <w:r>
              <w:t xml:space="preserve">2</w:t>
            </w:r>
          </w:p>
        </w:tc>
        <w:tc>
          <w:tcPr/>
          <w:p>
            <w:pPr>
              <w:pStyle w:val="Compact"/>
            </w:pPr>
            <w:r>
              <w:t xml:space="preserve">No modelo de Rothschild-Stiglitz, o equilíbrio de mercado competitivo com informação assimétrica é sempre do tipo</w:t>
            </w:r>
            <w:r>
              <w:t xml:space="preserve"> </w:t>
            </w:r>
            <w:r>
              <w:rPr>
                <w:i/>
                <w:iCs/>
              </w:rPr>
              <w:t xml:space="preserve">pooling</w:t>
            </w:r>
            <w:r>
              <w:t xml:space="preserve">, em que ambos os tipos recebem o mesmo contrato.</w:t>
            </w:r>
          </w:p>
        </w:tc>
      </w:tr>
      <w:tr>
        <w:tc>
          <w:tcPr/>
          <w:p>
            <w:pPr>
              <w:pStyle w:val="Compact"/>
            </w:pPr>
            <w:r>
              <w:t xml:space="preserve">3</w:t>
            </w:r>
          </w:p>
        </w:tc>
        <w:tc>
          <w:tcPr/>
          <w:p>
            <w:pPr>
              <w:pStyle w:val="Compact"/>
            </w:pPr>
            <w:r>
              <w:t xml:space="preserve">O Princípio da Informatividade de Holmström (1979) implica que o contrato ótimo de incentivos deve incluir qualquer variável correlacionada com o esforço do agente, mesmo que essa variável seja um indicador imperfeito.</w:t>
            </w:r>
          </w:p>
        </w:tc>
      </w:tr>
      <w:tr>
        <w:tc>
          <w:tcPr/>
          <w:p>
            <w:pPr>
              <w:pStyle w:val="Compact"/>
            </w:pPr>
            <w:r>
              <w:t xml:space="preserve">4</w:t>
            </w:r>
          </w:p>
        </w:tc>
        <w:tc>
          <w:tcPr/>
          <w:p>
            <w:pPr>
              <w:pStyle w:val="Compact"/>
            </w:pPr>
            <w:r>
              <w:t xml:space="preserve">No equilíbrio separador do modelo de sinalização, o custo social da sinalização é zero, pois a informação é revelada e os salários correspondem às produtividades verdadeiras.</w:t>
            </w:r>
          </w:p>
        </w:tc>
      </w:tr>
    </w:tbl>
    <w:p>
      <w:pPr>
        <w:pStyle w:val="BlockText"/>
      </w:pPr>
      <w:r>
        <w:t xml:space="preserve">??? success</w:t>
      </w:r>
      <w:r>
        <w:t xml:space="preserve"> </w:t>
      </w:r>
      <w:r>
        <w:t xml:space="preserve">“Gabarito”</w:t>
      </w:r>
      <w:r>
        <w:t xml:space="preserve"> </w:t>
      </w:r>
      <w:r>
        <w:rPr>
          <w:b/>
          <w:bCs/>
        </w:rPr>
        <w:t xml:space="preserve">Respostas: 01010</w:t>
      </w:r>
    </w:p>
    <w:p>
      <w:pPr>
        <w:pStyle w:val="SourceCode"/>
      </w:pPr>
      <w:r>
        <w:rPr>
          <w:rStyle w:val="VerbatimChar"/>
        </w:rPr>
        <w:t xml:space="preserve">- **Item 0 — F:** A condição de single-crossing (custo diferencial entre tipos) é essencial para a sustentabilidade do equilíbrio separador. Se o custo da educação fosse idêntico para ambos os tipos, o tipo baixo poderia imitar qualquer nível de educação escolhido pelo tipo alto sem desvantagem, destruindo a separação. A sinalização funciona precisamente porque "fingir" é mais caro para o tipo ruim.</w:t>
      </w:r>
      <w:r>
        <w:br/>
      </w:r>
      <w:r>
        <w:rPr>
          <w:rStyle w:val="VerbatimChar"/>
        </w:rPr>
        <w:t xml:space="preserve">- **Item 1 — V:** O moral hazard é um problema de ação oculta pós-contratual. Se o esforço fosse observável e verificável por um tribunal, o principal poderia escrever um contrato condicionado diretamente ao esforço, pagando um salário fixo que satisfaz a restrição de participação — sem necessidade de vincular pagamento a resultados e sem expor o agente avesso ao risco à variabilidade salarial. Esse é o primeiro melhor.</w:t>
      </w:r>
      <w:r>
        <w:br/>
      </w:r>
      <w:r>
        <w:rPr>
          <w:rStyle w:val="VerbatimChar"/>
        </w:rPr>
        <w:t xml:space="preserve">- **Item 2 — F:** O resultado central de Rothschild e Stiglitz (1976) é exatamente o oposto: o equilíbrio, quando existe, é necessariamente **separador**. Nenhum equilíbrio *pooling* estável existe em mercados competitivos de seguros com informação assimétrica, porque uma seguradora entrante sempre poderia oferecer um contrato que atraia apenas os tipos de baixo risco, quebrando o pool.</w:t>
      </w:r>
      <w:r>
        <w:br/>
      </w:r>
      <w:r>
        <w:rPr>
          <w:rStyle w:val="VerbatimChar"/>
        </w:rPr>
        <w:t xml:space="preserve">- **Item 3 — V:** Esse é o conteúdo exato do Princípio da Informatividade. Qualquer estatística que seja informativa sobre o esforço do agente — mesmo ruidosa — deve ser incluída no contrato, pois melhora a inferência e reduz o custo de agência. Isso fundamenta o uso de benchmarks setoriais e desempenho relativo em contratos de executivos.</w:t>
      </w:r>
      <w:r>
        <w:br/>
      </w:r>
      <w:r>
        <w:rPr>
          <w:rStyle w:val="VerbatimChar"/>
        </w:rPr>
        <w:t xml:space="preserve">- **Item 4 — F:** No equilíbrio separador, a informação é revelada e os salários correspondem às produtividades, mas o custo social da sinalização é **positivo**, não zero. O tipo alto investe em educação que, no modelo puro de Spence, não aumenta a produtividade — é puro desperdício social. O custo $c(e^*, \theta_H)$ é o preço da credibilidade informacional.</w:t>
      </w:r>
    </w:p>
    <w:bookmarkEnd w:id="628"/>
    <w:bookmarkEnd w:id="629"/>
    <w:bookmarkStart w:id="637" w:name="pesquisa-em-ação-14"/>
    <w:p>
      <w:pPr>
        <w:pStyle w:val="Heading2"/>
      </w:pPr>
      <w:r>
        <w:t xml:space="preserve">Pesquisa em Ação</w:t>
      </w:r>
    </w:p>
    <w:bookmarkStart w:id="632" w:name="pesquisa-em-ação-15"/>
    <w:p>
      <w:pPr>
        <w:pStyle w:val="Heading3"/>
      </w:pPr>
      <w:r>
        <w:t xml:space="preserve">Pesquisa em Ação</w:t>
      </w:r>
    </w:p>
    <w:p>
      <w:pPr>
        <w:pStyle w:val="BlockText"/>
      </w:pPr>
      <w:r>
        <w:rPr>
          <w:b/>
          <w:bCs/>
        </w:rPr>
        <w:t xml:space="preserve">[PESQUISA EM ACAO] Spence, Michael (1973).</w:t>
      </w:r>
      <w:r>
        <w:rPr>
          <w:b/>
          <w:bCs/>
        </w:rPr>
        <w:t xml:space="preserve"> </w:t>
      </w:r>
      <w:hyperlink r:id="rId630">
        <w:r>
          <w:rPr>
            <w:rStyle w:val="Hyperlink"/>
            <w:b/>
            <w:bCs/>
          </w:rPr>
          <w:t xml:space="preserve">Job Market Signaling</w:t>
        </w:r>
      </w:hyperlink>
      <w:r>
        <w:rPr>
          <w:b/>
          <w:bCs/>
        </w:rPr>
        <w:t xml:space="preserve">.</w:t>
      </w:r>
      <w:r>
        <w:rPr>
          <w:b/>
          <w:bCs/>
        </w:rPr>
        <w:t xml:space="preserve"> </w:t>
      </w:r>
      <w:r>
        <w:rPr>
          <w:b/>
          <w:bCs/>
          <w:i/>
          <w:iCs/>
        </w:rPr>
        <w:t xml:space="preserve">Quarterly Journal of Economics</w:t>
      </w:r>
      <w:r>
        <w:rPr>
          <w:b/>
          <w:bCs/>
        </w:rPr>
        <w:t xml:space="preserve">, 87(3), 355–374.</w:t>
      </w:r>
    </w:p>
    <w:p>
      <w:pPr>
        <w:pStyle w:val="BlockText"/>
      </w:pPr>
      <w:r>
        <w:rPr>
          <w:b/>
          <w:bCs/>
        </w:rPr>
        <w:t xml:space="preserve">Contribuição:</w:t>
      </w:r>
      <w:r>
        <w:t xml:space="preserve"> </w:t>
      </w:r>
      <w:r>
        <w:t xml:space="preserve">Spence formalizou a ideia de que a educação pode funcionar como sinal de habilidade, mesmo sem aumentar a produtividade. O modelo introduziu os conceitos de equilíbrio separador, pooling e a condição de single-crossing.</w:t>
      </w:r>
    </w:p>
    <w:p>
      <w:pPr>
        <w:pStyle w:val="BlockText"/>
      </w:pPr>
      <w:r>
        <w:rPr>
          <w:b/>
          <w:bCs/>
        </w:rPr>
        <w:t xml:space="preserve">Impacto:</w:t>
      </w:r>
      <w:r>
        <w:t xml:space="preserve"> </w:t>
      </w:r>
      <w:r>
        <w:t xml:space="preserve">O artigo fundamentou a teoria de sinalização, aplicada hoje a finanças (dividendos como sinal de qualidade), marketing (preço como sinal de qualidade) e regulação (certificações como sinal de competência).</w:t>
      </w:r>
    </w:p>
    <w:p>
      <w:pPr>
        <w:pStyle w:val="BlockText"/>
      </w:pPr>
      <w:r>
        <w:rPr>
          <w:b/>
          <w:bCs/>
        </w:rPr>
        <w:t xml:space="preserve">[PESQUISA EM ACAO] Akerlof, George A. (1970).</w:t>
      </w:r>
      <w:r>
        <w:rPr>
          <w:b/>
          <w:bCs/>
        </w:rPr>
        <w:t xml:space="preserve"> </w:t>
      </w:r>
      <w:hyperlink r:id="rId362">
        <w:r>
          <w:rPr>
            <w:rStyle w:val="Hyperlink"/>
            <w:b/>
            <w:bCs/>
          </w:rPr>
          <w:t xml:space="preserve">The Market for</w:t>
        </w:r>
        <w:r>
          <w:rPr>
            <w:rStyle w:val="Hyperlink"/>
            <w:b/>
            <w:bCs/>
          </w:rPr>
          <w:t xml:space="preserve"> </w:t>
        </w:r>
        <w:r>
          <w:rPr>
            <w:rStyle w:val="Hyperlink"/>
            <w:b/>
            <w:bCs/>
          </w:rPr>
          <w:t xml:space="preserve">‘Lemons’</w:t>
        </w:r>
      </w:hyperlink>
      <w:r>
        <w:rPr>
          <w:b/>
          <w:bCs/>
        </w:rPr>
        <w:t xml:space="preserve">.</w:t>
      </w:r>
      <w:r>
        <w:rPr>
          <w:b/>
          <w:bCs/>
        </w:rPr>
        <w:t xml:space="preserve"> </w:t>
      </w:r>
      <w:r>
        <w:rPr>
          <w:b/>
          <w:bCs/>
          <w:i/>
          <w:iCs/>
        </w:rPr>
        <w:t xml:space="preserve">Quarterly Journal of Economics</w:t>
      </w:r>
      <w:r>
        <w:rPr>
          <w:b/>
          <w:bCs/>
        </w:rPr>
        <w:t xml:space="preserve">, 84(3), 488–500.</w:t>
      </w:r>
    </w:p>
    <w:p>
      <w:pPr>
        <w:pStyle w:val="BlockText"/>
      </w:pPr>
      <w:r>
        <w:rPr>
          <w:b/>
          <w:bCs/>
        </w:rPr>
        <w:t xml:space="preserve">Contribuição:</w:t>
      </w:r>
      <w:r>
        <w:t xml:space="preserve"> </w:t>
      </w:r>
      <w:r>
        <w:t xml:space="preserve">Akerlof mostrou que informação assimétrica sobre qualidade pode levar ao colapso de mercados — o problema dos</w:t>
      </w:r>
      <w:r>
        <w:t xml:space="preserve"> </w:t>
      </w:r>
      <w:r>
        <w:t xml:space="preserve">“limões”</w:t>
      </w:r>
      <w:r>
        <w:t xml:space="preserve">. Se vendedores sabem a qualidade e compradores não, o preço reflete a qualidade</w:t>
      </w:r>
      <w:r>
        <w:t xml:space="preserve"> </w:t>
      </w:r>
      <w:r>
        <w:rPr>
          <w:i/>
          <w:iCs/>
        </w:rPr>
        <w:t xml:space="preserve">média</w:t>
      </w:r>
      <w:r>
        <w:t xml:space="preserve">, afastando vendedores de carros bons.</w:t>
      </w:r>
    </w:p>
    <w:p>
      <w:pPr>
        <w:pStyle w:val="BlockText"/>
      </w:pPr>
      <w:r>
        <w:rPr>
          <w:b/>
          <w:bCs/>
        </w:rPr>
        <w:t xml:space="preserve">Relevância para o Brasil:</w:t>
      </w:r>
      <w:r>
        <w:t xml:space="preserve"> </w:t>
      </w:r>
      <w:r>
        <w:t xml:space="preserve">Mercados de carros usados, crédito (spread bancário elevado reflete seleção adversa) e planos de saúde (cobertura obrigatória como resposta ao problema de seleção). Cross-reference com Capítulo 19.</w:t>
      </w:r>
    </w:p>
    <w:p>
      <w:pPr>
        <w:pStyle w:val="BlockText"/>
      </w:pPr>
      <w:r>
        <w:rPr>
          <w:b/>
          <w:bCs/>
        </w:rPr>
        <w:t xml:space="preserve">[PESQUISA EM ACAO] Adams, Christopher P. (2025).</w:t>
      </w:r>
      <w:r>
        <w:rPr>
          <w:b/>
          <w:bCs/>
        </w:rPr>
        <w:t xml:space="preserve"> </w:t>
      </w:r>
      <w:r>
        <w:rPr>
          <w:b/>
          <w:bCs/>
          <w:i/>
          <w:iCs/>
        </w:rPr>
        <w:t xml:space="preserve">Game Theory for Applied Econometricians</w:t>
      </w:r>
      <w:r>
        <w:rPr>
          <w:b/>
          <w:bCs/>
        </w:rPr>
        <w:t xml:space="preserve">. Caps. 12–13.</w:t>
      </w:r>
    </w:p>
    <w:p>
      <w:pPr>
        <w:pStyle w:val="BlockText"/>
      </w:pPr>
      <w:r>
        <w:rPr>
          <w:b/>
          <w:bCs/>
        </w:rPr>
        <w:t xml:space="preserve">Escopo:</w:t>
      </w:r>
      <w:r>
        <w:t xml:space="preserve"> </w:t>
      </w:r>
      <w:r>
        <w:t xml:space="preserve">Parte IV cobre moral hazard (Cap. 12: corporações baleeiras como principal-agente) e seleção adversa (Cap. 13: seguros de saúde). Ambos com datasets e scripts R.</w:t>
      </w:r>
    </w:p>
    <w:p>
      <w:pPr>
        <w:pStyle w:val="BlockText"/>
      </w:pPr>
      <w:r>
        <w:rPr>
          <w:b/>
          <w:bCs/>
        </w:rPr>
        <w:t xml:space="preserve">Relevância:</w:t>
      </w:r>
      <w:r>
        <w:t xml:space="preserve"> </w:t>
      </w:r>
      <w:r>
        <w:t xml:space="preserve">Os R Boxes deste módulo são inspirados nos scripts de Adams, demonstrando como estimar empiricamente o efeito de informação assimétrica em dados reais.</w:t>
      </w:r>
    </w:p>
    <w:p>
      <w:pPr>
        <w:pStyle w:val="BlockText"/>
      </w:pPr>
      <w:r>
        <w:rPr>
          <w:b/>
          <w:bCs/>
        </w:rPr>
        <w:t xml:space="preserve">[PESQUISA EM ACAO] Rothschild, Michael, e Joseph Stiglitz (1976).</w:t>
      </w:r>
      <w:r>
        <w:rPr>
          <w:b/>
          <w:bCs/>
        </w:rPr>
        <w:t xml:space="preserve"> </w:t>
      </w:r>
      <w:hyperlink r:id="rId631">
        <w:r>
          <w:rPr>
            <w:rStyle w:val="Hyperlink"/>
            <w:b/>
            <w:bCs/>
          </w:rPr>
          <w:t xml:space="preserve">Equilibrium in Competitive Insurance Markets</w:t>
        </w:r>
      </w:hyperlink>
      <w:r>
        <w:rPr>
          <w:b/>
          <w:bCs/>
        </w:rPr>
        <w:t xml:space="preserve">.</w:t>
      </w:r>
      <w:r>
        <w:rPr>
          <w:b/>
          <w:bCs/>
        </w:rPr>
        <w:t xml:space="preserve"> </w:t>
      </w:r>
      <w:r>
        <w:rPr>
          <w:b/>
          <w:bCs/>
          <w:i/>
          <w:iCs/>
        </w:rPr>
        <w:t xml:space="preserve">Quarterly Journal of Economics</w:t>
      </w:r>
      <w:r>
        <w:rPr>
          <w:b/>
          <w:bCs/>
        </w:rPr>
        <w:t xml:space="preserve">, 90(4), 629–649.</w:t>
      </w:r>
    </w:p>
    <w:p>
      <w:pPr>
        <w:pStyle w:val="BlockText"/>
      </w:pPr>
      <w:r>
        <w:rPr>
          <w:b/>
          <w:bCs/>
        </w:rPr>
        <w:t xml:space="preserve">Contribuição:</w:t>
      </w:r>
      <w:r>
        <w:t xml:space="preserve"> </w:t>
      </w:r>
      <w:r>
        <w:t xml:space="preserve">Rothschild e Stiglitz analisaram o equilíbrio em mercados de seguros competitivos com informação assimétrica. Mostraram que o equilíbrio — quando existe — é necessariamente separador: a seguradora oferece um menu de contratos que induz cada tipo a se autoidentificar via escolha de cobertura. Provaram que nenhum equilíbrio</w:t>
      </w:r>
      <w:r>
        <w:t xml:space="preserve"> </w:t>
      </w:r>
      <w:r>
        <w:rPr>
          <w:i/>
          <w:iCs/>
        </w:rPr>
        <w:t xml:space="preserve">pooling</w:t>
      </w:r>
      <w:r>
        <w:t xml:space="preserve"> </w:t>
      </w:r>
      <w:r>
        <w:t xml:space="preserve">estável existe em mercados competitivos de seguros, e que o equilíbrio separador pode não existir quando a proporção de tipos ruins é suficientemente grande.</w:t>
      </w:r>
    </w:p>
    <w:p>
      <w:pPr>
        <w:pStyle w:val="BlockText"/>
      </w:pPr>
      <w:r>
        <w:rPr>
          <w:b/>
          <w:bCs/>
        </w:rPr>
        <w:t xml:space="preserve">Relevância para o Brasil:</w:t>
      </w:r>
      <w:r>
        <w:t xml:space="preserve"> </w:t>
      </w:r>
      <w:r>
        <w:t xml:space="preserve">O modelo Rothschild-Stiglitz é o fundamento teórico direto das regras de carência e coparticipação da ANS. Os menus de contratos que a ANS obriga as operadoras a oferecer (planos com diferentes coberturas e preços) são implementações práticas do mecanismo de screening de Rothschild-Stiglitz.</w:t>
      </w:r>
    </w:p>
    <w:p>
      <w:pPr>
        <w:pStyle w:val="BlockText"/>
      </w:pPr>
      <w:r>
        <w:rPr>
          <w:b/>
          <w:bCs/>
        </w:rPr>
        <w:t xml:space="preserve">[PESQUISA EM ACAO] Holmström, Bengt (1979). Moral Hazard and Observability.</w:t>
      </w:r>
      <w:r>
        <w:rPr>
          <w:b/>
          <w:bCs/>
        </w:rPr>
        <w:t xml:space="preserve"> </w:t>
      </w:r>
      <w:r>
        <w:rPr>
          <w:b/>
          <w:bCs/>
          <w:i/>
          <w:iCs/>
        </w:rPr>
        <w:t xml:space="preserve">Bell Journal of Economics</w:t>
      </w:r>
      <w:r>
        <w:rPr>
          <w:b/>
          <w:bCs/>
        </w:rPr>
        <w:t xml:space="preserve">, 10(1), 74–91.</w:t>
      </w:r>
    </w:p>
    <w:p>
      <w:pPr>
        <w:pStyle w:val="BlockText"/>
      </w:pPr>
      <w:r>
        <w:rPr>
          <w:b/>
          <w:bCs/>
        </w:rPr>
        <w:t xml:space="preserve">Contribuição:</w:t>
      </w:r>
      <w:r>
        <w:t xml:space="preserve"> </w:t>
      </w:r>
      <w:r>
        <w:t xml:space="preserve">Holmström formalizou o problema do principal-agente com moral hazard e derivou o</w:t>
      </w:r>
      <w:r>
        <w:t xml:space="preserve"> </w:t>
      </w:r>
      <w:r>
        <w:rPr>
          <w:b/>
          <w:bCs/>
        </w:rPr>
        <w:t xml:space="preserve">Princípio da Informatividade</w:t>
      </w:r>
      <w:r>
        <w:t xml:space="preserve">: qualquer sinal que contenha informação sobre o esforço do agente, mesmo que imperfeitamente, deve ser incluído no contrato ótimo. Isso fundamenta o uso de benchmarks de desempenho relativo em contratos de executivos (comparação com pares do setor) e explica por que contratos reais raramente dependem de um único indicador.</w:t>
      </w:r>
    </w:p>
    <w:p>
      <w:pPr>
        <w:pStyle w:val="BlockText"/>
      </w:pPr>
      <w:r>
        <w:rPr>
          <w:b/>
          <w:bCs/>
        </w:rPr>
        <w:t xml:space="preserve">Relevância:</w:t>
      </w:r>
      <w:r>
        <w:t xml:space="preserve"> </w:t>
      </w:r>
      <w:r>
        <w:t xml:space="preserve">Holmström recebeu o Prêmio Nobel de 2016 (com Oliver Hart) por sua contribuição à teoria dos contratos. O princípio da informatividade é aplicado no Brasil em contratos de gestores públicos (remuneração vinculada a indicadores de desempenho setorial) e na regulação por incentivos da Aneel e Anatel.</w:t>
      </w:r>
    </w:p>
    <w:p>
      <w:r>
        <w:pict>
          <v:rect style="width:0;height:1.5pt" o:hralign="center" o:hrstd="t" o:hr="t"/>
        </w:pict>
      </w:r>
    </w:p>
    <w:bookmarkEnd w:id="632"/>
    <w:bookmarkStart w:id="636" w:name="referências-do-capítulo-10"/>
    <w:p>
      <w:pPr>
        <w:pStyle w:val="Heading3"/>
      </w:pPr>
      <w:r>
        <w:t xml:space="preserve">Referências do Capítulo</w:t>
      </w:r>
    </w:p>
    <w:p>
      <w:pPr>
        <w:pStyle w:val="Compact"/>
        <w:numPr>
          <w:ilvl w:val="0"/>
          <w:numId w:val="1616"/>
        </w:numPr>
      </w:pPr>
      <w:r>
        <w:t xml:space="preserve">Adams, Christopher P. 2025.</w:t>
      </w:r>
      <w:r>
        <w:t xml:space="preserve"> </w:t>
      </w:r>
      <w:hyperlink r:id="rId502">
        <w:r>
          <w:rPr>
            <w:rStyle w:val="Hyperlink"/>
            <w:i/>
            <w:iCs/>
          </w:rPr>
          <w:t xml:space="preserve">Game Theory for Applied Econometricians</w:t>
        </w:r>
      </w:hyperlink>
      <w:r>
        <w:t xml:space="preserve">. Boca Raton: CRC Press. Caps. 12–13.</w:t>
      </w:r>
    </w:p>
    <w:p>
      <w:pPr>
        <w:pStyle w:val="Compact"/>
        <w:numPr>
          <w:ilvl w:val="0"/>
          <w:numId w:val="1616"/>
        </w:numPr>
      </w:pPr>
      <w:r>
        <w:t xml:space="preserve">Akerlof, George A. 1970.</w:t>
      </w:r>
      <w:r>
        <w:t xml:space="preserve"> </w:t>
      </w:r>
      <w:r>
        <w:t xml:space="preserve">“The Market for</w:t>
      </w:r>
      <w:r>
        <w:t xml:space="preserve"> </w:t>
      </w:r>
      <w:r>
        <w:t xml:space="preserve">‘Lemons’</w:t>
      </w:r>
      <w:r>
        <w:t xml:space="preserve">: Quality Uncertainty and the Market Mechanism.”</w:t>
      </w:r>
      <w:r>
        <w:t xml:space="preserve"> </w:t>
      </w:r>
      <w:r>
        <w:rPr>
          <w:i/>
          <w:iCs/>
        </w:rPr>
        <w:t xml:space="preserve">Quarterly Journal of Economics</w:t>
      </w:r>
      <w:r>
        <w:t xml:space="preserve"> </w:t>
      </w:r>
      <w:r>
        <w:t xml:space="preserve">84 (3): 488–500.</w:t>
      </w:r>
      <w:r>
        <w:t xml:space="preserve"> </w:t>
      </w:r>
      <w:hyperlink r:id="rId362">
        <w:r>
          <w:rPr>
            <w:rStyle w:val="Hyperlink"/>
          </w:rPr>
          <w:t xml:space="preserve">DOI</w:t>
        </w:r>
      </w:hyperlink>
    </w:p>
    <w:p>
      <w:pPr>
        <w:pStyle w:val="Compact"/>
        <w:numPr>
          <w:ilvl w:val="0"/>
          <w:numId w:val="1616"/>
        </w:numPr>
      </w:pPr>
      <w:r>
        <w:t xml:space="preserve">Becker, Gary S. 1964.</w:t>
      </w:r>
      <w:r>
        <w:t xml:space="preserve"> </w:t>
      </w:r>
      <w:hyperlink r:id="rId633">
        <w:r>
          <w:rPr>
            <w:rStyle w:val="Hyperlink"/>
            <w:i/>
            <w:iCs/>
          </w:rPr>
          <w:t xml:space="preserve">Human Capital</w:t>
        </w:r>
      </w:hyperlink>
      <w:r>
        <w:t xml:space="preserve">. New York: Columbia University Press.</w:t>
      </w:r>
    </w:p>
    <w:p>
      <w:pPr>
        <w:pStyle w:val="Compact"/>
        <w:numPr>
          <w:ilvl w:val="0"/>
          <w:numId w:val="1616"/>
        </w:numPr>
      </w:pPr>
      <w:r>
        <w:t xml:space="preserve">Cho, In-Koo, e David M. Kreps. 1987.</w:t>
      </w:r>
      <w:r>
        <w:t xml:space="preserve"> </w:t>
      </w:r>
      <w:r>
        <w:t xml:space="preserve">“Signaling Games and Stable Equilibria.”</w:t>
      </w:r>
      <w:r>
        <w:t xml:space="preserve"> </w:t>
      </w:r>
      <w:r>
        <w:rPr>
          <w:i/>
          <w:iCs/>
        </w:rPr>
        <w:t xml:space="preserve">Quarterly Journal of Economics</w:t>
      </w:r>
      <w:r>
        <w:t xml:space="preserve"> </w:t>
      </w:r>
      <w:r>
        <w:t xml:space="preserve">102 (2): 179–221.</w:t>
      </w:r>
      <w:r>
        <w:t xml:space="preserve"> </w:t>
      </w:r>
      <w:hyperlink r:id="rId634">
        <w:r>
          <w:rPr>
            <w:rStyle w:val="Hyperlink"/>
          </w:rPr>
          <w:t xml:space="preserve">DOI</w:t>
        </w:r>
      </w:hyperlink>
    </w:p>
    <w:p>
      <w:pPr>
        <w:pStyle w:val="Compact"/>
        <w:numPr>
          <w:ilvl w:val="0"/>
          <w:numId w:val="1616"/>
        </w:numPr>
      </w:pPr>
      <w:r>
        <w:t xml:space="preserve">Crawford, Vincent P., e Joel Sobel. 1982.</w:t>
      </w:r>
      <w:r>
        <w:t xml:space="preserve"> </w:t>
      </w:r>
      <w:r>
        <w:t xml:space="preserve">“Strategic Information Transmission.”</w:t>
      </w:r>
      <w:r>
        <w:t xml:space="preserve"> </w:t>
      </w:r>
      <w:r>
        <w:rPr>
          <w:i/>
          <w:iCs/>
        </w:rPr>
        <w:t xml:space="preserve">Econometrica</w:t>
      </w:r>
      <w:r>
        <w:t xml:space="preserve"> </w:t>
      </w:r>
      <w:r>
        <w:t xml:space="preserve">50 (6): 1431–1451.</w:t>
      </w:r>
      <w:r>
        <w:t xml:space="preserve"> </w:t>
      </w:r>
      <w:hyperlink r:id="rId635">
        <w:r>
          <w:rPr>
            <w:rStyle w:val="Hyperlink"/>
          </w:rPr>
          <w:t xml:space="preserve">DOI</w:t>
        </w:r>
      </w:hyperlink>
    </w:p>
    <w:p>
      <w:pPr>
        <w:pStyle w:val="Compact"/>
        <w:numPr>
          <w:ilvl w:val="0"/>
          <w:numId w:val="1616"/>
        </w:numPr>
      </w:pPr>
      <w:r>
        <w:t xml:space="preserve">Gibbons, Robert. 1992.</w:t>
      </w:r>
      <w:r>
        <w:t xml:space="preserve"> </w:t>
      </w:r>
      <w:hyperlink r:id="rId505">
        <w:r>
          <w:rPr>
            <w:rStyle w:val="Hyperlink"/>
            <w:i/>
            <w:iCs/>
          </w:rPr>
          <w:t xml:space="preserve">Game Theory for Applied Economists</w:t>
        </w:r>
      </w:hyperlink>
      <w:r>
        <w:t xml:space="preserve">. Princeton: Princeton University Press. Cap. 4.</w:t>
      </w:r>
    </w:p>
    <w:p>
      <w:pPr>
        <w:pStyle w:val="Compact"/>
        <w:numPr>
          <w:ilvl w:val="0"/>
          <w:numId w:val="1616"/>
        </w:numPr>
      </w:pPr>
      <w:r>
        <w:t xml:space="preserve">Holmström, Bengt. 1979.</w:t>
      </w:r>
      <w:r>
        <w:t xml:space="preserve"> </w:t>
      </w:r>
      <w:r>
        <w:t xml:space="preserve">“Moral Hazard and Observability.”</w:t>
      </w:r>
      <w:r>
        <w:t xml:space="preserve"> </w:t>
      </w:r>
      <w:r>
        <w:rPr>
          <w:i/>
          <w:iCs/>
        </w:rPr>
        <w:t xml:space="preserve">Bell Journal of Economics</w:t>
      </w:r>
      <w:r>
        <w:t xml:space="preserve"> </w:t>
      </w:r>
      <w:r>
        <w:t xml:space="preserve">10 (1): 74–91.</w:t>
      </w:r>
    </w:p>
    <w:p>
      <w:pPr>
        <w:pStyle w:val="Compact"/>
        <w:numPr>
          <w:ilvl w:val="0"/>
          <w:numId w:val="1616"/>
        </w:numPr>
      </w:pPr>
      <w:r>
        <w:t xml:space="preserve">Holmström, Bengt, e Paul Milgrom. 1991.</w:t>
      </w:r>
      <w:r>
        <w:t xml:space="preserve"> </w:t>
      </w:r>
      <w:r>
        <w:t xml:space="preserve">“Multitask Principal-Agent Analyses: Incentive Contracts, Asset Ownership, and Job Design.”</w:t>
      </w:r>
      <w:r>
        <w:t xml:space="preserve"> </w:t>
      </w:r>
      <w:r>
        <w:rPr>
          <w:i/>
          <w:iCs/>
        </w:rPr>
        <w:t xml:space="preserve">Journal of Law, Economics, &amp; Organization</w:t>
      </w:r>
      <w:r>
        <w:t xml:space="preserve"> </w:t>
      </w:r>
      <w:r>
        <w:t xml:space="preserve">7: 24–52.</w:t>
      </w:r>
    </w:p>
    <w:p>
      <w:pPr>
        <w:pStyle w:val="Compact"/>
        <w:numPr>
          <w:ilvl w:val="0"/>
          <w:numId w:val="1616"/>
        </w:numPr>
      </w:pPr>
      <w:r>
        <w:t xml:space="preserve">Rothschild, Michael, e Joseph Stiglitz. 1976.</w:t>
      </w:r>
      <w:r>
        <w:t xml:space="preserve"> </w:t>
      </w:r>
      <w:r>
        <w:t xml:space="preserve">“Equilibrium in Competitive Insurance Markets.”</w:t>
      </w:r>
      <w:r>
        <w:t xml:space="preserve"> </w:t>
      </w:r>
      <w:r>
        <w:rPr>
          <w:i/>
          <w:iCs/>
        </w:rPr>
        <w:t xml:space="preserve">Quarterly Journal of Economics</w:t>
      </w:r>
      <w:r>
        <w:t xml:space="preserve"> </w:t>
      </w:r>
      <w:r>
        <w:t xml:space="preserve">90 (4): 629–649.</w:t>
      </w:r>
      <w:r>
        <w:t xml:space="preserve"> </w:t>
      </w:r>
      <w:hyperlink r:id="rId631">
        <w:r>
          <w:rPr>
            <w:rStyle w:val="Hyperlink"/>
          </w:rPr>
          <w:t xml:space="preserve">DOI</w:t>
        </w:r>
      </w:hyperlink>
    </w:p>
    <w:p>
      <w:pPr>
        <w:pStyle w:val="Compact"/>
        <w:numPr>
          <w:ilvl w:val="0"/>
          <w:numId w:val="1616"/>
        </w:numPr>
      </w:pPr>
      <w:r>
        <w:t xml:space="preserve">Spence, Michael. 1973.</w:t>
      </w:r>
      <w:r>
        <w:t xml:space="preserve"> </w:t>
      </w:r>
      <w:r>
        <w:t xml:space="preserve">“Job Market Signaling.”</w:t>
      </w:r>
      <w:r>
        <w:t xml:space="preserve"> </w:t>
      </w:r>
      <w:r>
        <w:rPr>
          <w:i/>
          <w:iCs/>
        </w:rPr>
        <w:t xml:space="preserve">Quarterly Journal of Economics</w:t>
      </w:r>
      <w:r>
        <w:t xml:space="preserve"> </w:t>
      </w:r>
      <w:r>
        <w:t xml:space="preserve">87 (3): 355–374.</w:t>
      </w:r>
      <w:r>
        <w:t xml:space="preserve"> </w:t>
      </w:r>
      <w:hyperlink r:id="rId630">
        <w:r>
          <w:rPr>
            <w:rStyle w:val="Hyperlink"/>
          </w:rPr>
          <w:t xml:space="preserve">DOI</w:t>
        </w:r>
      </w:hyperlink>
    </w:p>
    <w:bookmarkEnd w:id="636"/>
    <w:bookmarkEnd w:id="637"/>
    <w:bookmarkEnd w:id="638"/>
    <w:bookmarkStart w:id="690" w:name="Xdb865d04843e16585d2c9ba58aafc3897860b84"/>
    <w:p>
      <w:pPr>
        <w:sectPr>
          <w:footnotePr>
            <w:numRestart w:val="eachSect"/>
          </w:footnotePr>
        </w:sectPr>
      </w:pPr>
    </w:p>
    <w:p>
      <w:pPr>
        <w:pStyle w:val="Heading1"/>
      </w:pPr>
      <w:r>
        <w:t xml:space="preserve">Capítulo 10 — Mais Mãos, Mais Máquinas — Mais Produto?</w:t>
      </w:r>
    </w:p>
    <w:p>
      <w:pPr>
        <w:pStyle w:val="FirstParagraph"/>
      </w:pPr>
      <w:r>
        <w:t xml:space="preserve">Três padeiros, três fornos, mesma farinha — e um produz o dobro do outro. Os padeiros são parecidos, os fornos são iguais. O que difere? A</w:t>
      </w:r>
      <w:r>
        <w:t xml:space="preserve"> </w:t>
      </w:r>
      <w:r>
        <w:rPr>
          <w:i/>
          <w:iCs/>
        </w:rPr>
        <w:t xml:space="preserve">tecnologia</w:t>
      </w:r>
      <w:r>
        <w:t xml:space="preserve">: a forma como insumos são combinados para gerar produto. Se você já se perguntou por que uma padaria com três fornos não triplica a produção só de contratar mais gente, parabéns — você já intuiu a lei mais testada da microeconomia.</w:t>
      </w:r>
      <w:r>
        <w:rPr>
          <w:rStyle w:val="FootnoteReference"/>
        </w:rPr>
        <w:footnoteReference w:id="639"/>
      </w:r>
      <w:r>
        <w:t xml:space="preserve"> </w:t>
      </w:r>
      <w:r>
        <w:t xml:space="preserve">Até agora, estudamos consumidores tentando espremer o máximo de felicidade de cada real. Agora trocamos de lado do balcão: entramos no mundo das</w:t>
      </w:r>
      <w:r>
        <w:t xml:space="preserve"> </w:t>
      </w:r>
      <w:r>
        <w:rPr>
          <w:b/>
          <w:bCs/>
        </w:rPr>
        <w:t xml:space="preserve">firmas</w:t>
      </w:r>
      <w:r>
        <w:t xml:space="preserve">, agentes cuja razão de existir é transformar insumos (trabalho, capital, terra, materiais) em produtos e serviços. Compreender</w:t>
      </w:r>
      <w:r>
        <w:t xml:space="preserve"> </w:t>
      </w:r>
      <w:r>
        <w:rPr>
          <w:i/>
          <w:iCs/>
        </w:rPr>
        <w:t xml:space="preserve">como</w:t>
      </w:r>
      <w:r>
        <w:t xml:space="preserve"> </w:t>
      </w:r>
      <w:r>
        <w:t xml:space="preserve">essa transformação ocorre, quais são suas regularidades empíricas e como representá-la matematicamente é o objetivo central deste capítulo.</w:t>
      </w:r>
    </w:p>
    <w:p>
      <w:pPr>
        <w:pStyle w:val="BodyText"/>
      </w:pPr>
      <w:r>
        <w:t xml:space="preserve">A</w:t>
      </w:r>
      <w:r>
        <w:t xml:space="preserve"> </w:t>
      </w:r>
      <w:r>
        <w:rPr>
          <w:b/>
          <w:bCs/>
        </w:rPr>
        <w:t xml:space="preserve">função de produção</w:t>
      </w:r>
      <w:r>
        <w:t xml:space="preserve"> </w:t>
      </w:r>
      <w:r>
        <w:t xml:space="preserve">é o instrumento analítico que sintetiza a tecnologia disponível para a firma. A partir dela, derivamos conceitos fundamentais — produtividade marginal, isoquantas, taxa marginal de substituição técnica (TMST), rendimentos de escala e elasticidade de substituição — que serão mobilizados nos capítulos seguintes para construir as curvas de custo e de oferta.</w:t>
      </w:r>
    </w:p>
    <w:p>
      <w:pPr>
        <w:pStyle w:val="BodyText"/>
      </w:pPr>
      <w:r>
        <w:t xml:space="preserve">O material deste capítulo pressupõe familiaridade com as ferramentas matemáticas do Capítulo 2 — em especial diferenciação de funções multivariadas, regra da cadeia e diferenciação implícita — e conecta-se à teoria do consumidor do Capítulo 4 por meio de uma dualidade formal: a firma que minimiza custos sujeita a uma restrição de produto resolve um problema analiticamente idêntico ao do consumidor que minimiza gastos sujeita a uma restrição de utilidade. Essa dualidade, explorada nos Capítulos 11 e 12, permite derivar resultados sobre oferta e custos aproveitando diretamente a intuição desenvolvida no lado do consumidor.</w:t>
      </w:r>
    </w:p>
    <w:p>
      <w:pPr>
        <w:pStyle w:val="BlockText"/>
      </w:pPr>
      <w:r>
        <w:rPr>
          <w:b/>
          <w:bCs/>
        </w:rPr>
        <w:t xml:space="preserve">[RESUMO] 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10.1</w:t>
            </w:r>
          </w:p>
        </w:tc>
        <w:tc>
          <w:tcPr/>
          <w:p>
            <w:pPr>
              <w:pStyle w:val="Compact"/>
            </w:pPr>
            <w:r>
              <w:t xml:space="preserve">Contratar mais um padeiro aumenta a produção em quanto?</w:t>
            </w:r>
          </w:p>
        </w:tc>
        <w:tc>
          <w:tcPr/>
          <w:p>
            <w:pPr>
              <w:pStyle w:val="Compact"/>
            </w:pPr>
            <w:r>
              <w:t xml:space="preserve">PMg, PMe, rendimentos marginais decrescentes</w:t>
            </w:r>
          </w:p>
        </w:tc>
        <w:tc>
          <w:tcPr/>
          <w:p>
            <w:pPr>
              <w:pStyle w:val="Compact"/>
              <w:jc w:val="center"/>
            </w:pPr>
            <w:r>
              <w:t xml:space="preserve">Produtividade</w:t>
            </w:r>
          </w:p>
        </w:tc>
      </w:tr>
      <w:tr>
        <w:tc>
          <w:tcPr/>
          <w:p>
            <w:pPr>
              <w:pStyle w:val="Compact"/>
              <w:jc w:val="center"/>
            </w:pPr>
            <w:r>
              <w:t xml:space="preserve">10.2</w:t>
            </w:r>
          </w:p>
        </w:tc>
        <w:tc>
          <w:tcPr/>
          <w:p>
            <w:pPr>
              <w:pStyle w:val="Compact"/>
            </w:pPr>
            <w:r>
              <w:t xml:space="preserve">Que combinações de trabalho e capital geram o mesmo produto?</w:t>
            </w:r>
          </w:p>
        </w:tc>
        <w:tc>
          <w:tcPr/>
          <w:p>
            <w:pPr>
              <w:pStyle w:val="Compact"/>
            </w:pPr>
            <w:r>
              <w:t xml:space="preserve">Isoquantas, TMST, taxa de troca entre insumos</w:t>
            </w:r>
          </w:p>
        </w:tc>
        <w:tc>
          <w:tcPr/>
          <w:p>
            <w:pPr>
              <w:pStyle w:val="Compact"/>
              <w:jc w:val="center"/>
            </w:pPr>
            <w:r>
              <w:t xml:space="preserve">Isoquantas</w:t>
            </w:r>
          </w:p>
        </w:tc>
      </w:tr>
      <w:tr>
        <w:tc>
          <w:tcPr/>
          <w:p>
            <w:pPr>
              <w:pStyle w:val="Compact"/>
              <w:jc w:val="center"/>
            </w:pPr>
            <w:r>
              <w:t xml:space="preserve">10.3</w:t>
            </w:r>
          </w:p>
        </w:tc>
        <w:tc>
          <w:tcPr/>
          <w:p>
            <w:pPr>
              <w:pStyle w:val="Compact"/>
            </w:pPr>
            <w:r>
              <w:t xml:space="preserve">Clonar a firma dobra o produto?</w:t>
            </w:r>
          </w:p>
        </w:tc>
        <w:tc>
          <w:tcPr/>
          <w:p>
            <w:pPr>
              <w:pStyle w:val="Compact"/>
            </w:pPr>
            <w:r>
              <w:t xml:space="preserve">CRS, IRS, DRS — rendimentos de escala</w:t>
            </w:r>
          </w:p>
        </w:tc>
        <w:tc>
          <w:tcPr/>
          <w:p>
            <w:pPr>
              <w:pStyle w:val="Compact"/>
              <w:jc w:val="center"/>
            </w:pPr>
            <w:r>
              <w:t xml:space="preserve">Rendimentos de escala</w:t>
            </w:r>
          </w:p>
        </w:tc>
      </w:tr>
      <w:tr>
        <w:tc>
          <w:tcPr/>
          <w:p>
            <w:pPr>
              <w:pStyle w:val="Compact"/>
              <w:jc w:val="center"/>
            </w:pPr>
            <w:r>
              <w:t xml:space="preserve">10.4</w:t>
            </w:r>
          </w:p>
        </w:tc>
        <w:tc>
          <w:tcPr/>
          <w:p>
            <w:pPr>
              <w:pStyle w:val="Compact"/>
            </w:pPr>
            <w:r>
              <w:t xml:space="preserve">Quão fácil é trocar braços por máquinas?</w:t>
            </w:r>
          </w:p>
        </w:tc>
        <w:tc>
          <w:tcPr/>
          <w:p>
            <w:pPr>
              <w:pStyle w:val="Compact"/>
            </w:pPr>
            <w:r>
              <w:t xml:space="preserve">Elasticidade de substituição σ</w:t>
            </w:r>
          </w:p>
        </w:tc>
        <w:tc>
          <w:tcPr/>
          <w:p>
            <w:pPr>
              <w:pStyle w:val="Compact"/>
              <w:jc w:val="center"/>
            </w:pPr>
            <w:r>
              <w:t xml:space="preserve">Elasticidade</w:t>
            </w:r>
          </w:p>
        </w:tc>
      </w:tr>
      <w:tr>
        <w:tc>
          <w:tcPr/>
          <w:p>
            <w:pPr>
              <w:pStyle w:val="Compact"/>
              <w:jc w:val="center"/>
            </w:pPr>
            <w:r>
              <w:t xml:space="preserve">10.5</w:t>
            </w:r>
          </w:p>
        </w:tc>
        <w:tc>
          <w:tcPr/>
          <w:p>
            <w:pPr>
              <w:pStyle w:val="Compact"/>
            </w:pPr>
            <w:r>
              <w:t xml:space="preserve">Que funções a profissão usa — e quando usar cada uma?</w:t>
            </w:r>
          </w:p>
        </w:tc>
        <w:tc>
          <w:tcPr/>
          <w:p>
            <w:pPr>
              <w:pStyle w:val="Compact"/>
            </w:pPr>
            <w:r>
              <w:t xml:space="preserve">Linear, Leontief, Cobb-Douglas, CES</w:t>
            </w:r>
          </w:p>
        </w:tc>
        <w:tc>
          <w:tcPr/>
          <w:p>
            <w:pPr>
              <w:pStyle w:val="Compact"/>
              <w:jc w:val="center"/>
            </w:pPr>
            <w:r>
              <w:t xml:space="preserve">Funções de produção</w:t>
            </w:r>
          </w:p>
        </w:tc>
      </w:tr>
      <w:tr>
        <w:tc>
          <w:tcPr/>
          <w:p>
            <w:pPr>
              <w:pStyle w:val="Compact"/>
              <w:jc w:val="center"/>
            </w:pPr>
            <w:r>
              <w:t xml:space="preserve">10.6</w:t>
            </w:r>
          </w:p>
        </w:tc>
        <w:tc>
          <w:tcPr/>
          <w:p>
            <w:pPr>
              <w:pStyle w:val="Compact"/>
            </w:pPr>
            <w:r>
              <w:t xml:space="preserve">De onde vem o crescimento que não é trabalho nem capital?</w:t>
            </w:r>
          </w:p>
        </w:tc>
        <w:tc>
          <w:tcPr/>
          <w:p>
            <w:pPr>
              <w:pStyle w:val="Compact"/>
            </w:pPr>
            <w:r>
              <w:t xml:space="preserve">A(t), PTF, resíduo de Solow, neutralidade</w:t>
            </w:r>
          </w:p>
        </w:tc>
        <w:tc>
          <w:tcPr/>
          <w:p>
            <w:pPr>
              <w:pStyle w:val="Compact"/>
              <w:jc w:val="center"/>
            </w:pPr>
            <w:r>
              <w:t xml:space="preserve">Progresso técnico</w:t>
            </w:r>
          </w:p>
        </w:tc>
      </w:tr>
      <w:tr>
        <w:tc>
          <w:tcPr/>
          <w:p>
            <w:pPr>
              <w:pStyle w:val="Compact"/>
              <w:jc w:val="center"/>
            </w:pPr>
            <w:r>
              <w:t xml:space="preserve">10.7</w:t>
            </w:r>
          </w:p>
        </w:tc>
        <w:tc>
          <w:tcPr/>
          <w:p>
            <w:pPr>
              <w:pStyle w:val="Compact"/>
            </w:pPr>
            <w:r>
              <w:t xml:space="preserve">Quando o caminho de expansão é uma reta?</w:t>
            </w:r>
          </w:p>
        </w:tc>
        <w:tc>
          <w:tcPr/>
          <w:p>
            <w:pPr>
              <w:pStyle w:val="Compact"/>
            </w:pPr>
            <w:r>
              <w:t xml:space="preserve">Funções homotéticas e separabilidade da função custo</w:t>
            </w:r>
          </w:p>
        </w:tc>
        <w:tc>
          <w:tcPr/>
          <w:p>
            <w:pPr>
              <w:pStyle w:val="Compact"/>
              <w:jc w:val="center"/>
            </w:pPr>
            <w:r>
              <w:t xml:space="preserve">Homotéticas</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Atividades, WebR, 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Gasques et al., Oberfield &amp; Raval, Solow, Griliches, Bustos et al.</w:t>
            </w:r>
          </w:p>
        </w:tc>
        <w:tc>
          <w:tcPr/>
          <w:p>
            <w:pPr>
              <w:pStyle w:val="Compact"/>
              <w:jc w:val="center"/>
            </w:pPr>
            <w:r>
              <w:t xml:space="preserve">Pesquisa</w:t>
            </w:r>
          </w:p>
        </w:tc>
      </w:tr>
    </w:tbl>
    <w:p>
      <w:pPr>
        <w:pStyle w:val="BlockText"/>
      </w:pPr>
      <w:r>
        <w:rPr>
          <w:b/>
          <w:bCs/>
        </w:rPr>
        <w:t xml:space="preserve">[ATIVIDADE DE SALA] Atividade em Sala — Fábrica de Aviões de Papel (20 min)</w:t>
      </w:r>
    </w:p>
    <w:p>
      <w:pPr>
        <w:pStyle w:val="BlockText"/>
      </w:pPr>
      <w:r>
        <w:rPr>
          <w:b/>
          <w:bCs/>
        </w:rPr>
        <w:t xml:space="preserve">Formato:</w:t>
      </w:r>
      <w:r>
        <w:t xml:space="preserve"> </w:t>
      </w:r>
      <w:r>
        <w:t xml:space="preserve">Experimento de sala de aula |</w:t>
      </w:r>
      <w:r>
        <w:t xml:space="preserve"> </w:t>
      </w:r>
      <w:r>
        <w:rPr>
          <w:b/>
          <w:bCs/>
        </w:rPr>
        <w:t xml:space="preserve">Duração:</w:t>
      </w:r>
      <w:r>
        <w:t xml:space="preserve"> </w:t>
      </w:r>
      <w:r>
        <w:t xml:space="preserve">20 min |</w:t>
      </w:r>
      <w:r>
        <w:t xml:space="preserve"> </w:t>
      </w:r>
      <w:r>
        <w:rPr>
          <w:b/>
          <w:bCs/>
        </w:rPr>
        <w:t xml:space="preserve">Material:</w:t>
      </w:r>
      <w:r>
        <w:t xml:space="preserve"> </w:t>
      </w:r>
      <w:r>
        <w:t xml:space="preserve">Folhas A4, 1 tesoura e 1 régua por grupo, cronômetro</w:t>
      </w:r>
    </w:p>
    <w:p>
      <w:pPr>
        <w:pStyle w:val="BlockText"/>
      </w:pPr>
      <w:r>
        <w:rPr>
          <w:b/>
          <w:bCs/>
        </w:rPr>
        <w:t xml:space="preserve">Protocolo:</w:t>
      </w:r>
    </w:p>
    <w:p>
      <w:pPr>
        <w:pStyle w:val="BlockText"/>
        <w:numPr>
          <w:ilvl w:val="0"/>
          <w:numId w:val="1617"/>
        </w:numPr>
      </w:pPr>
      <w:r>
        <w:rPr>
          <w:b/>
          <w:bCs/>
        </w:rPr>
        <w:t xml:space="preserve">(3 min) Setup.</w:t>
      </w:r>
      <w:r>
        <w:t xml:space="preserve"> </w:t>
      </w:r>
      <w:r>
        <w:t xml:space="preserve">Grupos de 6 alunos. Cada grupo é uma</w:t>
      </w:r>
      <w:r>
        <w:t xml:space="preserve"> </w:t>
      </w:r>
      <w:r>
        <w:t xml:space="preserve">“firma”</w:t>
      </w:r>
      <w:r>
        <w:t xml:space="preserve"> </w:t>
      </w:r>
      <w:r>
        <w:t xml:space="preserve">com capital fixo: 1 tesoura, 1 régua, 1 mesa. O</w:t>
      </w:r>
      <w:r>
        <w:t xml:space="preserve"> </w:t>
      </w:r>
      <w:r>
        <w:t xml:space="preserve">“produto”</w:t>
      </w:r>
      <w:r>
        <w:t xml:space="preserve"> </w:t>
      </w:r>
      <w:r>
        <w:t xml:space="preserve">é um avião de papel padronizado (deve voar pelo menos 2 metros). Um aluno fica de fora como</w:t>
      </w:r>
      <w:r>
        <w:t xml:space="preserve"> </w:t>
      </w:r>
      <w:r>
        <w:t xml:space="preserve">“gerente de qualidade”</w:t>
      </w:r>
      <w:r>
        <w:t xml:space="preserve"> </w:t>
      </w:r>
      <w:r>
        <w:t xml:space="preserve">(controle).</w:t>
      </w:r>
    </w:p>
    <w:p>
      <w:pPr>
        <w:pStyle w:val="BlockText"/>
        <w:numPr>
          <w:ilvl w:val="0"/>
          <w:numId w:val="1617"/>
        </w:numPr>
      </w:pPr>
      <w:r>
        <w:rPr>
          <w:b/>
          <w:bCs/>
        </w:rPr>
        <w:t xml:space="preserve">(8 min) Rodadas de produção.</w:t>
      </w:r>
      <w:r>
        <w:t xml:space="preserve"> </w:t>
      </w:r>
      <w:r>
        <w:t xml:space="preserve">Rodada 1: apenas 1 aluno produz aviões por 2 min (anote TP₁). Rodadas 2–5: adicione 1 trabalhador por rodada (2 min cada). Anote TP₂ a TP₅.</w:t>
      </w:r>
    </w:p>
    <w:p>
      <w:pPr>
        <w:pStyle w:val="BlockText"/>
        <w:numPr>
          <w:ilvl w:val="0"/>
          <w:numId w:val="1617"/>
        </w:numPr>
      </w:pPr>
      <w:r>
        <w:rPr>
          <w:b/>
          <w:bCs/>
        </w:rPr>
        <w:t xml:space="preserve">(5 min) Cálculos.</w:t>
      </w:r>
      <w:r>
        <w:t xml:space="preserve"> </w:t>
      </w:r>
      <w:r>
        <w:t xml:space="preserve">Cada grupo calcula PMg (= TPₙ − TPₙ₋₁) e PMe (= TPₙ/n). Projete os resultados.</w:t>
      </w:r>
    </w:p>
    <w:p>
      <w:pPr>
        <w:pStyle w:val="BlockText"/>
        <w:numPr>
          <w:ilvl w:val="0"/>
          <w:numId w:val="1617"/>
        </w:numPr>
      </w:pPr>
      <w:r>
        <w:rPr>
          <w:b/>
          <w:bCs/>
        </w:rPr>
        <w:t xml:space="preserve">(4 min) Debrief.</w:t>
      </w:r>
    </w:p>
    <w:p>
      <w:pPr>
        <w:pStyle w:val="Compact"/>
        <w:numPr>
          <w:ilvl w:val="1"/>
          <w:numId w:val="1618"/>
        </w:numPr>
      </w:pPr>
      <w:r>
        <w:t xml:space="preserve">“O PMg cresceu ou caiu nas últimas rodadas?”</w:t>
      </w:r>
      <w:r>
        <w:t xml:space="preserve"> </w:t>
      </w:r>
      <w:r>
        <w:t xml:space="preserve">→ Tipicamente cai a partir do 3º ou 4º trabalhador.</w:t>
      </w:r>
    </w:p>
    <w:p>
      <w:pPr>
        <w:pStyle w:val="Compact"/>
        <w:numPr>
          <w:ilvl w:val="1"/>
          <w:numId w:val="1618"/>
        </w:numPr>
      </w:pPr>
      <w:r>
        <w:t xml:space="preserve">“Em que rodada PMe atingiu o máximo? Era a rodada em que PMg = PMe?”</w:t>
      </w:r>
    </w:p>
    <w:p>
      <w:pPr>
        <w:pStyle w:val="Compact"/>
        <w:numPr>
          <w:ilvl w:val="1"/>
          <w:numId w:val="1618"/>
        </w:numPr>
      </w:pPr>
      <w:r>
        <w:t xml:space="preserve">“Se eu desse a cada grupo uma segunda tesoura (dobrasse o capital), o que aconteceria?”</w:t>
      </w:r>
    </w:p>
    <w:p>
      <w:pPr>
        <w:pStyle w:val="Compact"/>
        <w:numPr>
          <w:ilvl w:val="1"/>
          <w:numId w:val="1618"/>
        </w:numPr>
      </w:pPr>
      <w:r>
        <w:t xml:space="preserve">“Vocês acabaram de estimar uma função de produção de curto prazo. A Embrapa fez a mesma coisa com a soja — mas com dados de 50 anos.”</w:t>
      </w:r>
    </w:p>
    <w:bookmarkStart w:id="643" w:name="o-trabalhador-extra-herói-ou-peso-morto"/>
    <w:p>
      <w:pPr>
        <w:pStyle w:val="Heading2"/>
      </w:pPr>
      <w:r>
        <w:t xml:space="preserve">10.1 O Trabalhador Extra: Herói ou Peso Morto?</w:t>
      </w:r>
    </w:p>
    <w:bookmarkStart w:id="640" w:name="a-função-de-produção"/>
    <w:p>
      <w:pPr>
        <w:pStyle w:val="Heading4"/>
      </w:pPr>
      <w:r>
        <w:t xml:space="preserve">A função de produção</w:t>
      </w:r>
    </w:p>
    <w:p>
      <w:pPr>
        <w:pStyle w:val="FirstParagraph"/>
      </w:pPr>
      <w:r>
        <w:t xml:space="preserve">Duas fábricas de cerveja, mesma quantidade de cevada e de funcionários — e uma produz o dobro da outra. Mágica? Não:</w:t>
      </w:r>
      <w:r>
        <w:t xml:space="preserve"> </w:t>
      </w:r>
      <w:r>
        <w:rPr>
          <w:b/>
          <w:bCs/>
        </w:rPr>
        <w:t xml:space="preserve">tecnologia</w:t>
      </w:r>
      <w:r>
        <w:t xml:space="preserve">. A diferença está no conjunto de conhecimentos e processos que determinam como insumos são combinados para gerar produto. A função de produção é a representação matemática dessa</w:t>
      </w:r>
      <w:r>
        <w:t xml:space="preserve"> </w:t>
      </w:r>
      <w:r>
        <w:t xml:space="preserve">“receita secreta”</w:t>
      </w:r>
      <w:r>
        <w:t xml:space="preserve">.</w:t>
      </w:r>
    </w:p>
    <w:p>
      <w:pPr>
        <w:pStyle w:val="BodyText"/>
      </w:pPr>
      <w:r>
        <w:t xml:space="preserve">A teoria da produção ocupa na análise da firma o mesmo papel que a teoria das preferências ocupa na análise do consumidor: ela descreve o que é</w:t>
      </w:r>
      <w:r>
        <w:t xml:space="preserve"> </w:t>
      </w:r>
      <w:r>
        <w:rPr>
          <w:i/>
          <w:iCs/>
        </w:rPr>
        <w:t xml:space="preserve">tecnologicamente possível</w:t>
      </w:r>
      <w:r>
        <w:t xml:space="preserve">, sem ainda incorporar considerações de preço ou custo. Assim como no Capítulo 2 aprendemos as ferramentas matemáticas de diferenciação e otimização com restrições, aqui as mobilizamos para caracterizar como o produto reage a variações nos insumos. E assim como no Capítulo 4 a função de utilidade descrevia as preferências do consumidor, a função de produção descreve as possibilidades tecnológicas da firma — os capítulos seguintes (11 e 12) irão adicionar os preços dos fatores para derivar custos e a oferta.</w:t>
      </w:r>
    </w:p>
    <w:p>
      <w:pPr>
        <w:pStyle w:val="BodyText"/>
      </w:pPr>
      <w:r>
        <w:t xml:space="preserve">É útil pensar na função de produção literalmente como uma receita de cozinha. Dois cozinheiros na mesma cozinha produzem quase o dobro de um; três, talvez 2,5 vezes; mas enfie dez cozinheiros numa cozinha de 10 m² e o resultado é caos, cotovelos batendo e ninguém encontrando a espátula — rendimentos marginais decrescentes encarnados em forma de brigadeiro queimado. A função de produção captura exatamente essa lógica: para cada combinação de insumos, ela indica o máximo de produto que pode ser obtido. Esse</w:t>
      </w:r>
      <w:r>
        <w:t xml:space="preserve"> </w:t>
      </w:r>
      <w:r>
        <w:rPr>
          <w:i/>
          <w:iCs/>
        </w:rPr>
        <w:t xml:space="preserve">máximo</w:t>
      </w:r>
      <w:r>
        <w:t xml:space="preserve"> </w:t>
      </w:r>
      <w:r>
        <w:t xml:space="preserve">é a chave — a função de produção descreve a</w:t>
      </w:r>
      <w:r>
        <w:t xml:space="preserve"> </w:t>
      </w:r>
      <w:r>
        <w:rPr>
          <w:b/>
          <w:bCs/>
        </w:rPr>
        <w:t xml:space="preserve">fronteira</w:t>
      </w:r>
      <w:r>
        <w:t xml:space="preserve"> </w:t>
      </w:r>
      <w:r>
        <w:t xml:space="preserve">das possibilidades produtivas, não qualquer combinação ineficiente abaixo dela. Na prática, a econometria de produção (um campo ativo desde os trabalhos de Solow em 1957 e dos estudos de Griliches sobre a agricultura americana na década de 1960) busca estimar esses parâmetros tecnológicos a partir de dados observacionais, separando a eficiência técnica da firma da tecnologia do setor.</w:t>
      </w:r>
    </w:p>
    <w:p>
      <w:pPr>
        <w:pStyle w:val="BlockText"/>
      </w:pPr>
      <w:r>
        <w:rPr>
          <w:b/>
          <w:bCs/>
        </w:rPr>
        <w:t xml:space="preserve">[DEFINICAO] Função de produção</w:t>
      </w:r>
    </w:p>
    <w:p>
      <w:pPr>
        <w:pStyle w:val="BlockText"/>
      </w:pPr>
      <w:r>
        <w:t xml:space="preserve">A</w:t>
      </w:r>
      <w:r>
        <w:t xml:space="preserve"> </w:t>
      </w:r>
      <w:r>
        <w:rPr>
          <w:b/>
          <w:bCs/>
        </w:rPr>
        <w:t xml:space="preserve">função de produção</w:t>
      </w:r>
      <w:r>
        <w:t xml:space="preserve"> </w:t>
      </w:r>
      <m:oMath>
        <m:r>
          <m:t>q</m:t>
        </m:r>
        <m:r>
          <m:rPr>
            <m:sty m:val="p"/>
          </m:rPr>
          <m:t>=</m:t>
        </m:r>
        <m:r>
          <m:t>f</m:t>
        </m:r>
        <m:r>
          <m:rPr>
            <m:sty m:val="p"/>
          </m:rPr>
          <m:t>(</m:t>
        </m:r>
        <m:r>
          <m:t>K</m:t>
        </m:r>
        <m:r>
          <m:rPr>
            <m:sty m:val="p"/>
          </m:rPr>
          <m:t>,</m:t>
        </m:r>
        <m:r>
          <m:t>L</m:t>
        </m:r>
        <m:r>
          <m:rPr>
            <m:sty m:val="p"/>
          </m:rPr>
          <m:t>)</m:t>
        </m:r>
      </m:oMath>
      <w:r>
        <w:t xml:space="preserve"> </w:t>
      </w:r>
      <w:r>
        <w:t xml:space="preserve">descreve a quantidade máxima de produto</w:t>
      </w:r>
      <w:r>
        <w:t xml:space="preserve"> </w:t>
      </w:r>
      <m:oMath>
        <m:r>
          <m:t>q</m:t>
        </m:r>
      </m:oMath>
      <w:r>
        <w:t xml:space="preserve"> </w:t>
      </w:r>
      <w:r>
        <w:t xml:space="preserve">que pode ser obtida a partir de quantidades de capital</w:t>
      </w:r>
      <w:r>
        <w:t xml:space="preserve"> </w:t>
      </w:r>
      <m:oMath>
        <m:r>
          <m:t>K</m:t>
        </m:r>
      </m:oMath>
      <w:r>
        <w:t xml:space="preserve"> </w:t>
      </w:r>
      <w:r>
        <w:t xml:space="preserve">e trabalho</w:t>
      </w:r>
      <w:r>
        <w:t xml:space="preserve"> </w:t>
      </w:r>
      <m:oMath>
        <m:r>
          <m:t>L</m:t>
        </m:r>
      </m:oMath>
      <w:r>
        <w:t xml:space="preserve">, dada a tecnologia disponível.</w:t>
      </w:r>
    </w:p>
    <w:p>
      <w:pPr>
        <w:pStyle w:val="FirstParagraph"/>
      </w:pPr>
      <w:r>
        <w:t xml:space="preserve">Quando um dos insumos é mantido fixo — por exemplo, o capital no curto prazo —, obtemos a</w:t>
      </w:r>
      <w:r>
        <w:t xml:space="preserve"> </w:t>
      </w:r>
      <w:r>
        <w:rPr>
          <w:b/>
          <w:bCs/>
        </w:rPr>
        <w:t xml:space="preserve">função de produção de curto prazo</w:t>
      </w:r>
      <w:r>
        <w:t xml:space="preserve">:</w:t>
      </w:r>
    </w:p>
    <w:p>
      <w:pPr>
        <w:pStyle w:val="BodyText"/>
      </w:pPr>
      <m:oMathPara>
        <m:oMathParaPr>
          <m:jc m:val="center"/>
        </m:oMathParaPr>
        <m:oMath>
          <m:r>
            <m:t>q</m:t>
          </m:r>
          <m:r>
            <m:rPr>
              <m:sty m:val="p"/>
            </m:rPr>
            <m:t>=</m:t>
          </m:r>
          <m:r>
            <m:t>f</m:t>
          </m:r>
          <m:r>
            <m:rPr>
              <m:sty m:val="p"/>
            </m:rPr>
            <m:t>(</m:t>
          </m:r>
          <m:acc>
            <m:accPr>
              <m:chr m:val="‾"/>
            </m:accPr>
            <m:e>
              <m:r>
                <m:t>K</m:t>
              </m:r>
            </m:e>
          </m:acc>
          <m:r>
            <m:rPr>
              <m:sty m:val="p"/>
            </m:rPr>
            <m:t>,</m:t>
          </m:r>
          <m:r>
            <m:t>L</m:t>
          </m:r>
          <m:r>
            <m:rPr>
              <m:sty m:val="p"/>
            </m:rPr>
            <m:t>)</m:t>
          </m:r>
          <m:r>
            <m:rPr>
              <m:sty m:val="p"/>
            </m:rPr>
            <m:t>≡</m:t>
          </m:r>
          <m:r>
            <m:rPr>
              <m:sty m:val="p"/>
            </m:rPr>
            <m:t>T</m:t>
          </m:r>
          <m:r>
            <m:rPr>
              <m:sty m:val="p"/>
            </m:rPr>
            <m:t>P</m:t>
          </m:r>
          <m:r>
            <m:rPr>
              <m:sty m:val="p"/>
            </m:rPr>
            <m:t>(</m:t>
          </m:r>
          <m:r>
            <m:t>L</m:t>
          </m:r>
          <m:r>
            <m:rPr>
              <m:sty m:val="p"/>
            </m:rPr>
            <m:t>)</m:t>
          </m:r>
        </m:oMath>
      </m:oMathPara>
    </w:p>
    <w:p>
      <w:pPr>
        <w:pStyle w:val="FirstParagraph"/>
      </w:pPr>
      <w:r>
        <w:t xml:space="preserve">onde</w:t>
      </w:r>
      <w:r>
        <w:t xml:space="preserve"> </w:t>
      </w:r>
      <m:oMath>
        <m:r>
          <m:rPr>
            <m:sty m:val="p"/>
          </m:rPr>
          <m:t>T</m:t>
        </m:r>
        <m:r>
          <m:rPr>
            <m:sty m:val="p"/>
          </m:rPr>
          <m:t>P</m:t>
        </m:r>
        <m:r>
          <m:rPr>
            <m:sty m:val="p"/>
          </m:rPr>
          <m:t>(</m:t>
        </m:r>
        <m:r>
          <m:t>L</m:t>
        </m:r>
        <m:r>
          <m:rPr>
            <m:sty m:val="p"/>
          </m:rPr>
          <m:t>)</m:t>
        </m:r>
      </m:oMath>
      <w:r>
        <w:t xml:space="preserve"> </w:t>
      </w:r>
      <w:r>
        <w:t xml:space="preserve">é o produto total do trabalho. Essa distinção entre curto e longo prazo será fundamental para a análise de custos no próximo capítulo.</w:t>
      </w:r>
    </w:p>
    <w:bookmarkEnd w:id="640"/>
    <w:bookmarkStart w:id="641" w:name="produto-marginal-e-produto-médio"/>
    <w:p>
      <w:pPr>
        <w:pStyle w:val="Heading4"/>
      </w:pPr>
      <w:r>
        <w:t xml:space="preserve">Produto marginal e produto médio</w:t>
      </w:r>
    </w:p>
    <w:p>
      <w:pPr>
        <w:pStyle w:val="FirstParagraph"/>
      </w:pPr>
      <w:r>
        <w:t xml:space="preserve">Definida a função de produção, a pergunta natural é: quanto produto adicional se obtém ao empregar mais uma unidade de trabalho? E como a produtividade por trabalhador evolui à medida que a firma cresce? Essas perguntas são respondidas por duas medidas essenciais de produtividade — o produto marginal e o produto médio —, cuja relação é uma das mais frequentemente cobradas em provas da ANPEC.</w:t>
      </w:r>
    </w:p>
    <w:p>
      <w:pPr>
        <w:pStyle w:val="BlockText"/>
      </w:pPr>
      <w:r>
        <w:rPr>
          <w:b/>
          <w:bCs/>
        </w:rPr>
        <w:t xml:space="preserve">[DEFINICAO] Produto marginal</w:t>
      </w:r>
    </w:p>
    <w:p>
      <w:pPr>
        <w:pStyle w:val="BlockText"/>
      </w:pPr>
      <w:r>
        <w:t xml:space="preserve">O</w:t>
      </w:r>
      <w:r>
        <w:t xml:space="preserve"> </w:t>
      </w:r>
      <w:r>
        <w:rPr>
          <w:b/>
          <w:bCs/>
        </w:rPr>
        <w:t xml:space="preserve">produto marginal do trabalho</w:t>
      </w:r>
      <w:r>
        <w:t xml:space="preserve"> </w:t>
      </w:r>
      <w:r>
        <w:t xml:space="preserve">é a variação do produto total decorrente de uma unidade adicional de trabalho, mantido o capital constante:</w:t>
      </w:r>
    </w:p>
    <w:p>
      <w:pPr>
        <w:pStyle w:val="BlockText"/>
      </w:pPr>
      <w:r>
        <w:t xml:space="preserve">$$</w:t>
      </w:r>
    </w:p>
    <w:p>
      <w:pPr>
        <w:pStyle w:val="BlockText"/>
      </w:pPr>
      <w:r>
        <w:t xml:space="preserve">_L =</w:t>
      </w:r>
      <w:r>
        <w:t xml:space="preserve"> </w:t>
      </w:r>
      <w:r>
        <w:t xml:space="preserve"> </w:t>
      </w:r>
      <w:r>
        <w:t xml:space="preserve"> </w:t>
      </w:r>
    </w:p>
    <w:p>
      <w:pPr>
        <w:pStyle w:val="BlockText"/>
      </w:pPr>
      <w:r>
        <w:t xml:space="preserve">$$</w:t>
      </w:r>
    </w:p>
    <w:p>
      <w:pPr>
        <w:pStyle w:val="BlockText"/>
      </w:pPr>
      <w:r>
        <w:t xml:space="preserve">Analogamente, o</w:t>
      </w:r>
      <w:r>
        <w:t xml:space="preserve"> </w:t>
      </w:r>
      <w:r>
        <w:rPr>
          <w:b/>
          <w:bCs/>
        </w:rPr>
        <w:t xml:space="preserve">produto marginal do capital</w:t>
      </w:r>
      <w:r>
        <w:t xml:space="preserve"> </w:t>
      </w:r>
      <w:r>
        <w:t xml:space="preserve">é:</w:t>
      </w:r>
    </w:p>
    <w:p>
      <w:pPr>
        <w:pStyle w:val="BlockText"/>
      </w:pPr>
      <w:r>
        <w:t xml:space="preserve">$$</w:t>
      </w:r>
    </w:p>
    <w:p>
      <w:pPr>
        <w:pStyle w:val="BlockText"/>
      </w:pPr>
      <w:r>
        <w:t xml:space="preserve">_K =</w:t>
      </w:r>
      <w:r>
        <w:t xml:space="preserve"> </w:t>
      </w:r>
    </w:p>
    <w:p>
      <w:pPr>
        <w:pStyle w:val="BlockText"/>
      </w:pPr>
      <w:r>
        <w:t xml:space="preserve">$$</w:t>
      </w:r>
    </w:p>
    <w:p>
      <w:pPr>
        <w:pStyle w:val="FirstParagraph"/>
      </w:pPr>
      <w:r>
        <w:t xml:space="preserve">O</w:t>
      </w:r>
      <w:r>
        <w:t xml:space="preserve"> </w:t>
      </w:r>
      <w:r>
        <w:rPr>
          <w:b/>
          <w:bCs/>
        </w:rPr>
        <w:t xml:space="preserve">produto médio do trabalho</w:t>
      </w:r>
      <w:r>
        <w:t xml:space="preserve"> </w:t>
      </w:r>
      <w:r>
        <w:t xml:space="preserve">é definido como:</w:t>
      </w:r>
    </w:p>
    <w:p>
      <w:pPr>
        <w:pStyle w:val="BodyText"/>
      </w:pPr>
      <m:oMathPara>
        <m:oMathParaPr>
          <m:jc m:val="center"/>
        </m:oMathParaPr>
        <m:oMath>
          <m:sSub>
            <m:e>
              <m:r>
                <m:rPr>
                  <m:sty m:val="p"/>
                </m:rPr>
                <m:t>P</m:t>
              </m:r>
              <m:r>
                <m:rPr>
                  <m:sty m:val="p"/>
                </m:rPr>
                <m:t>M</m:t>
              </m:r>
              <m:r>
                <m:rPr>
                  <m:sty m:val="p"/>
                </m:rPr>
                <m:t>e</m:t>
              </m:r>
            </m:e>
            <m:sub>
              <m:r>
                <m:t>L</m:t>
              </m:r>
            </m:sub>
          </m:sSub>
          <m:r>
            <m:rPr>
              <m:sty m:val="p"/>
            </m:rPr>
            <m:t>=</m:t>
          </m:r>
          <m:f>
            <m:fPr>
              <m:type m:val="bar"/>
            </m:fPr>
            <m:num>
              <m:r>
                <m:t>f</m:t>
              </m:r>
              <m:r>
                <m:rPr>
                  <m:sty m:val="p"/>
                </m:rPr>
                <m:t>(</m:t>
              </m:r>
              <m:r>
                <m:t>K</m:t>
              </m:r>
              <m:r>
                <m:rPr>
                  <m:sty m:val="p"/>
                </m:rPr>
                <m:t>,</m:t>
              </m:r>
              <m:r>
                <m:t>L</m:t>
              </m:r>
              <m:r>
                <m:rPr>
                  <m:sty m:val="p"/>
                </m:rPr>
                <m:t>)</m:t>
              </m:r>
            </m:num>
            <m:den>
              <m:r>
                <m:t>L</m:t>
              </m:r>
            </m:den>
          </m:f>
        </m:oMath>
      </m:oMathPara>
    </w:p>
    <w:p>
      <w:pPr>
        <w:pStyle w:val="FirstParagraph"/>
      </w:pPr>
      <w:r>
        <w:t xml:space="preserve">A relação entre produto marginal Eq. (eq:10.2) e produto médio Eq. (eq:10.3) é análoga àquela entre custo marginal e custo médio: quando</w:t>
      </w:r>
      <w:r>
        <w:t xml:space="preserve"> </w:t>
      </w:r>
      <m:oMath>
        <m:sSub>
          <m:e>
            <m:r>
              <m:rPr>
                <m:sty m:val="p"/>
              </m:rPr>
              <m:t>P</m:t>
            </m:r>
            <m:r>
              <m:rPr>
                <m:sty m:val="p"/>
              </m:rPr>
              <m:t>M</m:t>
            </m:r>
            <m:r>
              <m:rPr>
                <m:sty m:val="p"/>
              </m:rPr>
              <m:t>g</m:t>
            </m:r>
          </m:e>
          <m:sub>
            <m:r>
              <m:t>L</m:t>
            </m:r>
          </m:sub>
        </m:sSub>
        <m:r>
          <m:rPr>
            <m:sty m:val="p"/>
          </m:rPr>
          <m:t>&gt;</m:t>
        </m:r>
        <m:sSub>
          <m:e>
            <m:r>
              <m:rPr>
                <m:sty m:val="p"/>
              </m:rPr>
              <m:t>P</m:t>
            </m:r>
            <m:r>
              <m:rPr>
                <m:sty m:val="p"/>
              </m:rPr>
              <m:t>M</m:t>
            </m:r>
            <m:r>
              <m:rPr>
                <m:sty m:val="p"/>
              </m:rPr>
              <m:t>e</m:t>
            </m:r>
          </m:e>
          <m:sub>
            <m:r>
              <m:t>L</m:t>
            </m:r>
          </m:sub>
        </m:sSub>
      </m:oMath>
      <w:r>
        <w:t xml:space="preserve">, o produto médio é crescente; quando</w:t>
      </w:r>
      <w:r>
        <w:t xml:space="preserve"> </w:t>
      </w:r>
      <m:oMath>
        <m:sSub>
          <m:e>
            <m:r>
              <m:rPr>
                <m:sty m:val="p"/>
              </m:rPr>
              <m:t>P</m:t>
            </m:r>
            <m:r>
              <m:rPr>
                <m:sty m:val="p"/>
              </m:rPr>
              <m:t>M</m:t>
            </m:r>
            <m:r>
              <m:rPr>
                <m:sty m:val="p"/>
              </m:rPr>
              <m:t>g</m:t>
            </m:r>
          </m:e>
          <m:sub>
            <m:r>
              <m:t>L</m:t>
            </m:r>
          </m:sub>
        </m:sSub>
        <m:r>
          <m:rPr>
            <m:sty m:val="p"/>
          </m:rPr>
          <m:t>&lt;</m:t>
        </m:r>
        <m:sSub>
          <m:e>
            <m:r>
              <m:rPr>
                <m:sty m:val="p"/>
              </m:rPr>
              <m:t>P</m:t>
            </m:r>
            <m:r>
              <m:rPr>
                <m:sty m:val="p"/>
              </m:rPr>
              <m:t>M</m:t>
            </m:r>
            <m:r>
              <m:rPr>
                <m:sty m:val="p"/>
              </m:rPr>
              <m:t>e</m:t>
            </m:r>
          </m:e>
          <m:sub>
            <m:r>
              <m:t>L</m:t>
            </m:r>
          </m:sub>
        </m:sSub>
      </m:oMath>
      <w:r>
        <w:t xml:space="preserve">, o produto médio é decrescente; e quando</w:t>
      </w:r>
      <w:r>
        <w:t xml:space="preserve"> </w:t>
      </w:r>
      <m:oMath>
        <m:sSub>
          <m:e>
            <m:r>
              <m:rPr>
                <m:sty m:val="p"/>
              </m:rPr>
              <m:t>P</m:t>
            </m:r>
            <m:r>
              <m:rPr>
                <m:sty m:val="p"/>
              </m:rPr>
              <m:t>M</m:t>
            </m:r>
            <m:r>
              <m:rPr>
                <m:sty m:val="p"/>
              </m:rPr>
              <m:t>g</m:t>
            </m:r>
          </m:e>
          <m:sub>
            <m:r>
              <m:t>L</m:t>
            </m:r>
          </m:sub>
        </m:sSub>
        <m:r>
          <m:rPr>
            <m:sty m:val="p"/>
          </m:rPr>
          <m:t>=</m:t>
        </m:r>
        <m:sSub>
          <m:e>
            <m:r>
              <m:rPr>
                <m:sty m:val="p"/>
              </m:rPr>
              <m:t>P</m:t>
            </m:r>
            <m:r>
              <m:rPr>
                <m:sty m:val="p"/>
              </m:rPr>
              <m:t>M</m:t>
            </m:r>
            <m:r>
              <m:rPr>
                <m:sty m:val="p"/>
              </m:rPr>
              <m:t>e</m:t>
            </m:r>
          </m:e>
          <m:sub>
            <m:r>
              <m:t>L</m:t>
            </m:r>
          </m:sub>
        </m:sSub>
      </m:oMath>
      <w:r>
        <w:t xml:space="preserve">, o produto médio atinge seu máximo.</w:t>
      </w:r>
    </w:p>
    <w:p>
      <w:pPr>
        <w:pStyle w:val="BlockText"/>
      </w:pPr>
      <w:r>
        <w:rPr>
          <w:b/>
          <w:bCs/>
        </w:rPr>
        <w:t xml:space="preserve">[INTUICAO ECONOMICA] Intuição Econômica</w:t>
      </w:r>
    </w:p>
    <w:p>
      <w:pPr>
        <w:pStyle w:val="BlockText"/>
      </w:pPr>
      <w:r>
        <w:rPr>
          <w:b/>
          <w:bCs/>
        </w:rPr>
        <w:t xml:space="preserve">Em uma frase:</w:t>
      </w:r>
      <w:r>
        <w:t xml:space="preserve"> </w:t>
      </w:r>
      <w:r>
        <w:t xml:space="preserve">Se o trabalhador adicional produz mais do que a média dos anteriores, ele</w:t>
      </w:r>
      <w:r>
        <w:t xml:space="preserve"> </w:t>
      </w:r>
      <w:r>
        <w:t xml:space="preserve">“puxa”</w:t>
      </w:r>
      <w:r>
        <w:t xml:space="preserve"> </w:t>
      </w:r>
      <w:r>
        <w:t xml:space="preserve">a média para cima; se produz menos, puxa para baixo.</w:t>
      </w:r>
    </w:p>
    <w:p>
      <w:pPr>
        <w:pStyle w:val="BlockText"/>
      </w:pPr>
      <w:r>
        <w:rPr>
          <w:b/>
          <w:bCs/>
        </w:rPr>
        <w:t xml:space="preserve">Pense assim:</w:t>
      </w:r>
      <w:r>
        <w:t xml:space="preserve"> </w:t>
      </w:r>
      <w:r>
        <w:t xml:space="preserve">Numa partida de futebol, se o jogador que entra no segundo tempo faz mais gols que a média do time até ali, a média de gols por jogador sobe. Se ele erra tudo, a média cai. O produto marginal é o</w:t>
      </w:r>
      <w:r>
        <w:t xml:space="preserve"> </w:t>
      </w:r>
      <w:r>
        <w:t xml:space="preserve">“gol do substituto”</w:t>
      </w:r>
      <w:r>
        <w:t xml:space="preserve"> </w:t>
      </w:r>
      <w:r>
        <w:t xml:space="preserve">— e ele determina a direção do produto médio.</w:t>
      </w:r>
    </w:p>
    <w:p>
      <w:pPr>
        <w:pStyle w:val="BlockText"/>
      </w:pPr>
      <w:r>
        <w:rPr>
          <w:b/>
          <w:bCs/>
        </w:rPr>
        <w:t xml:space="preserve">Por que isso importa:</w:t>
      </w:r>
      <w:r>
        <w:t xml:space="preserve"> </w:t>
      </w:r>
      <w:r>
        <w:t xml:space="preserve">Essa relação é a base para entender por que firmas contratam até o ponto em que o valor do produto marginal iguala o salário — e por que o produto médio é uma medida enganosa de produtividade quando usada isoladamente.</w:t>
      </w:r>
    </w:p>
    <w:bookmarkEnd w:id="641"/>
    <w:bookmarkStart w:id="642" w:name="X3bb77afdca88cf07e344878da9705644c1645e5"/>
    <w:p>
      <w:pPr>
        <w:pStyle w:val="Heading4"/>
      </w:pPr>
      <w:r>
        <w:t xml:space="preserve">Lei dos rendimentos marginais decrescentes</w:t>
      </w:r>
    </w:p>
    <w:p>
      <w:pPr>
        <w:pStyle w:val="FirstParagraph"/>
      </w:pPr>
      <w:r>
        <w:t xml:space="preserve">A relação entre produto marginal e produto médio revela um padrão importante: à medida que a firma emprega mais e mais trabalhadores com capital fixo, a produtividade marginal de cada trabalhador adicional tende a cair. Esse padrão é tão recorrente na prática que recebeu o estatuto de</w:t>
      </w:r>
      <w:r>
        <w:t xml:space="preserve"> </w:t>
      </w:r>
      <w:r>
        <w:t xml:space="preserve">“lei”</w:t>
      </w:r>
      <w:r>
        <w:t xml:space="preserve"> </w:t>
      </w:r>
      <w:r>
        <w:t xml:space="preserve">— embora, como veremos, trate-se de uma regularidade empírica, não de uma necessidade lógica.</w:t>
      </w:r>
    </w:p>
    <w:p>
      <w:pPr>
        <w:pStyle w:val="BlockText"/>
      </w:pPr>
      <w:r>
        <w:rPr>
          <w:b/>
          <w:bCs/>
        </w:rPr>
        <w:t xml:space="preserve">[TEOREMA] Lei dos rendimentos marginais decrescentes</w:t>
      </w:r>
    </w:p>
    <w:p>
      <w:pPr>
        <w:pStyle w:val="BlockText"/>
      </w:pPr>
      <w:r>
        <w:t xml:space="preserve">Se um insumo variável é adicionado a um insumo fixo, a partir de certo ponto o produto marginal do insumo variável torna-se decrescente. Formalmente, existe</w:t>
      </w:r>
      <w:r>
        <w:t xml:space="preserve"> </w:t>
      </w:r>
      <m:oMath>
        <m:sSup>
          <m:e>
            <m:r>
              <m:t>L</m:t>
            </m:r>
          </m:e>
          <m:sup>
            <m:r>
              <m:rPr>
                <m:sty m:val="p"/>
              </m:rPr>
              <m:t>*</m:t>
            </m:r>
          </m:sup>
        </m:sSup>
      </m:oMath>
      <w:r>
        <w:t xml:space="preserve"> </w:t>
      </w:r>
      <w:r>
        <w:t xml:space="preserve">tal que para</w:t>
      </w:r>
      <w:r>
        <w:t xml:space="preserve"> </w:t>
      </w:r>
      <m:oMath>
        <m:r>
          <m:t>L</m:t>
        </m:r>
        <m:r>
          <m:rPr>
            <m:sty m:val="p"/>
          </m:rPr>
          <m:t>&gt;</m:t>
        </m:r>
        <m:sSup>
          <m:e>
            <m:r>
              <m:t>L</m:t>
            </m:r>
          </m:e>
          <m:sup>
            <m:r>
              <m:rPr>
                <m:sty m:val="p"/>
              </m:rPr>
              <m:t>*</m:t>
            </m:r>
          </m:sup>
        </m:sSup>
      </m:oMath>
      <w:r>
        <w:t xml:space="preserve">:</w:t>
      </w:r>
    </w:p>
    <w:p>
      <w:pPr>
        <w:pStyle w:val="BlockText"/>
      </w:pPr>
      <w:r>
        <w:t xml:space="preserve">$$</w:t>
      </w:r>
    </w:p>
    <w:p>
      <w:pPr>
        <w:pStyle w:val="BlockText"/>
      </w:pPr>
      <w:r>
        <w:t xml:space="preserve"> </w:t>
      </w:r>
      <w:r>
        <w:t xml:space="preserve">&lt; 0</w:t>
      </w:r>
      <w:r>
        <w:t xml:space="preserve"> </w:t>
      </w:r>
      <w:r>
        <w:t xml:space="preserve"> </w:t>
      </w:r>
    </w:p>
    <w:p>
      <w:pPr>
        <w:pStyle w:val="BlockText"/>
      </w:pPr>
      <w:r>
        <w:t xml:space="preserve">$$</w:t>
      </w:r>
    </w:p>
    <w:p>
      <w:pPr>
        <w:pStyle w:val="FirstParagraph"/>
      </w:pPr>
      <w:r>
        <w:t xml:space="preserve">É crucial observar que esta</w:t>
      </w:r>
      <w:r>
        <w:t xml:space="preserve"> </w:t>
      </w:r>
      <w:r>
        <w:t xml:space="preserve">“lei”</w:t>
      </w:r>
      <w:r>
        <w:t xml:space="preserve"> </w:t>
      </w:r>
      <w:r>
        <w:t xml:space="preserve">é uma regularidade empírica, não um resultado lógico necessário. Ela se aplica ao</w:t>
      </w:r>
      <w:r>
        <w:t xml:space="preserve"> </w:t>
      </w:r>
      <w:r>
        <w:rPr>
          <w:b/>
          <w:bCs/>
        </w:rPr>
        <w:t xml:space="preserve">curto prazo</w:t>
      </w:r>
      <w:r>
        <w:t xml:space="preserve">, quando pelo menos um fator é fixo. Não deve ser confundida com rendimentos decrescentes de escala, que dizem respeito à variação simultânea de todos os insumos — uma distinção frequentemente cobrada em provas da ANPEC.</w:t>
      </w:r>
    </w:p>
    <w:p>
      <w:pPr>
        <w:pStyle w:val="BlockText"/>
      </w:pPr>
      <w:r>
        <w:rPr>
          <w:b/>
          <w:bCs/>
        </w:rPr>
        <w:t xml:space="preserve">[INTUICAO ECONOMICA] Intuição Econômica</w:t>
      </w:r>
    </w:p>
    <w:p>
      <w:pPr>
        <w:pStyle w:val="BlockText"/>
      </w:pPr>
      <w:r>
        <w:rPr>
          <w:b/>
          <w:bCs/>
        </w:rPr>
        <w:t xml:space="preserve">Em uma frase:</w:t>
      </w:r>
      <w:r>
        <w:t xml:space="preserve"> </w:t>
      </w:r>
      <w:r>
        <w:t xml:space="preserve">O 10º trabalhador produz menos que o 1º não porque é menos capaz, mas porque tem menos capital com que trabalhar.</w:t>
      </w:r>
    </w:p>
    <w:p>
      <w:pPr>
        <w:pStyle w:val="BlockText"/>
      </w:pPr>
      <w:r>
        <w:rPr>
          <w:b/>
          <w:bCs/>
        </w:rPr>
        <w:t xml:space="preserve">Pense assim:</w:t>
      </w:r>
      <w:r>
        <w:t xml:space="preserve"> </w:t>
      </w:r>
      <w:r>
        <w:t xml:space="preserve">Em uma cozinha de restaurante com quatro bocas de fogão, o primeiro cozinheiro é muito produtivo. O segundo ajuda bastante. O terceiro já começa a esbarrar nos outros. O quarto fica esperando uma boca liberar. O fogão não mudou — é o trabalhador extra que rende menos. Numa linha de montagem com 5 máquinas de solda, o décimo operário fica ocioso boa parte do turno aguardando uma máquina liberar. O problema não é o trabalhador — é a proporção de máquinas por trabalhador, que cai com cada contratação. Matematicamente:</w:t>
      </w:r>
      <w:r>
        <w:t xml:space="preserve"> </w:t>
      </w:r>
      <m:oMath>
        <m:sSup>
          <m:e>
            <m:r>
              <m:rPr>
                <m:sty m:val="p"/>
              </m:rPr>
              <m:t>∂</m:t>
            </m:r>
          </m:e>
          <m:sup>
            <m:r>
              <m:t>2</m:t>
            </m:r>
          </m:sup>
        </m:sSup>
        <m:r>
          <m:t>f</m:t>
        </m:r>
        <m:r>
          <m:rPr>
            <m:sty m:val="p"/>
          </m:rPr>
          <m:t>/</m:t>
        </m:r>
        <m:r>
          <m:rPr>
            <m:sty m:val="p"/>
          </m:rPr>
          <m:t>∂</m:t>
        </m:r>
        <m:sSup>
          <m:e>
            <m:r>
              <m:t>L</m:t>
            </m:r>
          </m:e>
          <m:sup>
            <m:r>
              <m:t>2</m:t>
            </m:r>
          </m:sup>
        </m:sSup>
        <m:r>
          <m:rPr>
            <m:sty m:val="p"/>
          </m:rPr>
          <m:t>&lt;</m:t>
        </m:r>
        <m:r>
          <m:t>0</m:t>
        </m:r>
      </m:oMath>
      <w:r>
        <w:t xml:space="preserve">.</w:t>
      </w:r>
    </w:p>
    <w:p>
      <w:pPr>
        <w:pStyle w:val="BlockText"/>
      </w:pPr>
      <w:r>
        <w:rPr>
          <w:b/>
          <w:bCs/>
        </w:rPr>
        <w:t xml:space="preserve">Por que isso importa:</w:t>
      </w:r>
      <w:r>
        <w:t xml:space="preserve"> </w:t>
      </w:r>
      <w:r>
        <w:t xml:space="preserve">Essa intuição explica tanto por que simplesmente contratar mais gente não resolve o problema de produtividade da economia brasileira quanto o retorno elevado à mecanização: cada máquina adicional</w:t>
      </w:r>
      <w:r>
        <w:t xml:space="preserve"> </w:t>
      </w:r>
      <w:r>
        <w:t xml:space="preserve">“libera”</w:t>
      </w:r>
      <w:r>
        <w:t xml:space="preserve"> </w:t>
      </w:r>
      <w:r>
        <w:t xml:space="preserve">o potencial de múltiplos trabalhadores. A Embrapa documentou esse efeito na agricultura do Cerrado, onde a introdução de maquinário pesado elevou substancialmente o produto por trabalhador mesmo sem aumentar o número de trabalhadores.</w:t>
      </w:r>
    </w:p>
    <w:p>
      <w:pPr>
        <w:pStyle w:val="BlockText"/>
      </w:pPr>
      <w:r>
        <w:rPr>
          <w:b/>
          <w:bCs/>
        </w:rPr>
        <w:t xml:space="preserve">[EXEMPLO] Exemplo: Rendimentos marginais na cafeicultura mineira</w:t>
      </w:r>
    </w:p>
    <w:p>
      <w:pPr>
        <w:pStyle w:val="BlockText"/>
      </w:pPr>
      <w:r>
        <w:t xml:space="preserve">Considere uma fazenda de café em Minas Gerais com área fixa de 50 hectares. Com poucos trabalhadores, cada contratação adicional eleva significativamente a colheita — há muita terra por trabalhador. À medida que se adicionam trabalhadores, porém, eles passam a competir pelas mesmas fileiras de café, e o ganho marginal de cada um diminui. Em termos formais, o produto marginal do trabalho</w:t>
      </w:r>
      <w:r>
        <w:t xml:space="preserve"> </w:t>
      </w:r>
      <m:oMath>
        <m:sSub>
          <m:e>
            <m:r>
              <m:rPr>
                <m:sty m:val="p"/>
              </m:rPr>
              <m:t>P</m:t>
            </m:r>
            <m:r>
              <m:rPr>
                <m:sty m:val="p"/>
              </m:rPr>
              <m:t>M</m:t>
            </m:r>
            <m:r>
              <m:rPr>
                <m:sty m:val="p"/>
              </m:rPr>
              <m:t>g</m:t>
            </m:r>
          </m:e>
          <m:sub>
            <m:r>
              <m:t>L</m:t>
            </m:r>
          </m:sub>
        </m:sSub>
      </m:oMath>
      <w:r>
        <w:t xml:space="preserve"> </w:t>
      </w:r>
      <w:r>
        <w:t xml:space="preserve">decresce com</w:t>
      </w:r>
      <w:r>
        <w:t xml:space="preserve"> </w:t>
      </w:r>
      <m:oMath>
        <m:r>
          <m:t>L</m:t>
        </m:r>
      </m:oMath>
      <w:r>
        <w:t xml:space="preserve"> </w:t>
      </w:r>
      <w:r>
        <w:t xml:space="preserve">para</w:t>
      </w:r>
      <w:r>
        <w:t xml:space="preserve"> </w:t>
      </w:r>
      <m:oMath>
        <m:acc>
          <m:accPr>
            <m:chr m:val="‾"/>
          </m:accPr>
          <m:e>
            <m:r>
              <m:t>K</m:t>
            </m:r>
          </m:e>
        </m:acc>
      </m:oMath>
      <w:r>
        <w:t xml:space="preserve"> </w:t>
      </w:r>
      <w:r>
        <w:t xml:space="preserve">(terra) fixo. Esse padrão é amplamente documentado na agricultura brasileira, onde a mecanização da colheita (que efetivamente aumenta</w:t>
      </w:r>
      <w:r>
        <w:t xml:space="preserve"> </w:t>
      </w:r>
      <m:oMath>
        <m:acc>
          <m:accPr>
            <m:chr m:val="‾"/>
          </m:accPr>
          <m:e>
            <m:r>
              <m:t>K</m:t>
            </m:r>
          </m:e>
        </m:acc>
      </m:oMath>
      <w:r>
        <w:t xml:space="preserve">) deslocou a curva de produto marginal para cima, mitigando o efeito dos rendimentos decrescentes.</w:t>
      </w:r>
    </w:p>
    <w:p>
      <w:pPr>
        <w:pStyle w:val="BlockText"/>
      </w:pPr>
      <w:r>
        <w:rPr>
          <w:b/>
          <w:bCs/>
        </w:rPr>
        <w:t xml:space="preserve">[BOX BRASIL] Box Brasil: Produtividade do trabalho na indústria brasileira</w:t>
      </w:r>
    </w:p>
    <w:p>
      <w:pPr>
        <w:pStyle w:val="BlockText"/>
      </w:pPr>
      <w:r>
        <w:t xml:space="preserve">A produtividade do trabalho — medida como valor adicionado por hora trabalhada — é uma aplicação direta do conceito de produto médio do trabalho (</w:t>
      </w:r>
      <m:oMath>
        <m:sSub>
          <m:e>
            <m:r>
              <m:rPr>
                <m:sty m:val="p"/>
              </m:rPr>
              <m:t>P</m:t>
            </m:r>
            <m:r>
              <m:rPr>
                <m:sty m:val="p"/>
              </m:rPr>
              <m:t>M</m:t>
            </m:r>
            <m:r>
              <m:rPr>
                <m:sty m:val="p"/>
              </m:rPr>
              <m:t>e</m:t>
            </m:r>
          </m:e>
          <m:sub>
            <m:r>
              <m:t>L</m:t>
            </m:r>
          </m:sub>
        </m:sSub>
      </m:oMath>
      <w:r>
        <w:t xml:space="preserve">). Dados das Contas Nacionais do IBGE e da PNAD Contínua, compilados pelo FGV/IBRE, mostram que a produtividade por hora trabalhada no Brasil cresceu em média</w:t>
      </w:r>
      <w:r>
        <w:t xml:space="preserve"> </w:t>
      </w:r>
      <w:r>
        <w:rPr>
          <w:b/>
          <w:bCs/>
        </w:rPr>
        <w:t xml:space="preserve">+1,6% ao ano entre 2000 e 2010</w:t>
      </w:r>
      <w:r>
        <w:t xml:space="preserve">, mas desacelerou para apenas</w:t>
      </w:r>
      <w:r>
        <w:t xml:space="preserve"> </w:t>
      </w:r>
      <w:r>
        <w:rPr>
          <w:b/>
          <w:bCs/>
        </w:rPr>
        <w:t xml:space="preserve">+0,3% ao ano entre 2010 e 2023</w:t>
      </w:r>
      <w:r>
        <w:t xml:space="preserve"> </w:t>
      </w:r>
      <w:r>
        <w:t xml:space="preserve">— e a média de longo prazo (1981–2023) é de modestos</w:t>
      </w:r>
      <w:r>
        <w:t xml:space="preserve"> </w:t>
      </w:r>
      <w:r>
        <w:rPr>
          <w:b/>
          <w:bCs/>
        </w:rPr>
        <w:t xml:space="preserve">+0,5% ao ano</w:t>
      </w:r>
      <w:r>
        <w:t xml:space="preserve">.</w:t>
      </w:r>
    </w:p>
    <w:p>
      <w:pPr>
        <w:pStyle w:val="BlockText"/>
      </w:pPr>
      <w:r>
        <w:t xml:space="preserve">A teoria da produção ajuda a explicar esse padrão. Com investimento em capital (</w:t>
      </w:r>
      <m:oMath>
        <m:r>
          <m:t>K</m:t>
        </m:r>
      </m:oMath>
      <w:r>
        <w:t xml:space="preserve">) crescendo lentamente, o produto marginal e o produto médio do trabalho avançam de forma modesta. A</w:t>
      </w:r>
      <w:r>
        <w:t xml:space="preserve"> </w:t>
      </w:r>
      <w:r>
        <w:rPr>
          <w:b/>
          <w:bCs/>
        </w:rPr>
        <w:t xml:space="preserve">intensidade de capital</w:t>
      </w:r>
      <w:r>
        <w:t xml:space="preserve"> </w:t>
      </w:r>
      <w:r>
        <w:t xml:space="preserve">(</w:t>
      </w:r>
      <m:oMath>
        <m:r>
          <m:t>K</m:t>
        </m:r>
        <m:r>
          <m:rPr>
            <m:sty m:val="p"/>
          </m:rPr>
          <m:t>/</m:t>
        </m:r>
        <m:r>
          <m:t>L</m:t>
        </m:r>
      </m:oMath>
      <w:r>
        <w:t xml:space="preserve">) varia enormemente entre setores: a PIA/IBGE mostra que setores intensivos em capital (como refino de petróleo e extração mineral) apresentam VTI por trabalhador ordens de grandeza acima de setores intensivos em trabalho (como confecções e calçados). Essa dispersão setorial é uma consequência direta da função de produção: para dado nível tecnológico, mais capital por trabalhador implica maior produto médio do trabalho.</w:t>
      </w:r>
    </w:p>
    <w:bookmarkEnd w:id="642"/>
    <w:bookmarkEnd w:id="643"/>
    <w:bookmarkStart w:id="648" w:name="isoquantas-tmst-e-rendimentos-de-escala"/>
    <w:p>
      <w:pPr>
        <w:pStyle w:val="Heading2"/>
      </w:pPr>
      <w:r>
        <w:t xml:space="preserve">10.2–10.3 Isoquantas, TMST e Rendimentos de Escala</w:t>
      </w:r>
    </w:p>
    <w:bookmarkStart w:id="646" w:name="X8306ae139ac98f432932286151dc0ec55580eca"/>
    <w:p>
      <w:pPr>
        <w:pStyle w:val="Heading3"/>
      </w:pPr>
      <w:r>
        <w:t xml:space="preserve">10.2 A Curva da Troca: Isoquantas e TMST</w:t>
      </w:r>
    </w:p>
    <w:p>
      <w:pPr>
        <w:pStyle w:val="FirstParagraph"/>
      </w:pPr>
      <w:r>
        <w:t xml:space="preserve">Na Seção 10.1, mantivemos o capital preso no chão e só mexemos no trabalho — como um chef que só pode variar a quantidade de sal, sem tocar nos outros temperos. A vida real é mais generosa: firmas podem trocar máquinas por gente, robôs por operários, caixas de supermercado por totens de autoatendimento. Que instrumento analítico nos permite estudar essas possibilidades de troca entre insumos?</w:t>
      </w:r>
    </w:p>
    <w:p>
      <w:pPr>
        <w:pStyle w:val="BodyText"/>
      </w:pPr>
      <w:r>
        <w:t xml:space="preserve">A resposta está nas</w:t>
      </w:r>
      <w:r>
        <w:t xml:space="preserve"> </w:t>
      </w:r>
      <w:r>
        <w:rPr>
          <w:b/>
          <w:bCs/>
        </w:rPr>
        <w:t xml:space="preserve">isoquantas</w:t>
      </w:r>
      <w:r>
        <w:t xml:space="preserve"> </w:t>
      </w:r>
      <w:r>
        <w:t xml:space="preserve">e na</w:t>
      </w:r>
      <w:r>
        <w:t xml:space="preserve"> </w:t>
      </w:r>
      <w:r>
        <w:rPr>
          <w:b/>
          <w:bCs/>
        </w:rPr>
        <w:t xml:space="preserve">taxa marginal de substituição técnica (TMST)</w:t>
      </w:r>
      <w:r>
        <w:t xml:space="preserve">, ferramentas que capturam, respectivamente, o conjunto de combinações de insumos que geram o mesmo produto e a</w:t>
      </w:r>
      <w:r>
        <w:t xml:space="preserve"> </w:t>
      </w:r>
      <w:r>
        <w:t xml:space="preserve">“taxa de câmbio”</w:t>
      </w:r>
      <w:r>
        <w:t xml:space="preserve"> </w:t>
      </w:r>
      <w:r>
        <w:t xml:space="preserve">entre um fator e outro ao longo desse conjunto. A analogia com a teoria do consumidor é direta — e proposital: as isoquantas são o equivalente produtivo das curvas de indiferença estudadas no Capítulo 4, e a TMST desempenha papel análogo à taxa marginal de substituição do consumidor. Mais do que uma analogia superficial, trata-se de uma dualidade profunda: a firma que minimiza custos para um dado produto resolve um problema formalmente idêntico ao do consumidor que maximiza utilidade para um dado orçamento. Essa simetria, explorada em detalhes nos Capítulos 11 e 12, permite importar diretamente os resultados do lado da demanda para o lado da oferta.</w:t>
      </w:r>
    </w:p>
    <w:p>
      <w:pPr>
        <w:pStyle w:val="BodyText"/>
      </w:pPr>
      <w:r>
        <w:t xml:space="preserve">A figura interativa a seguir ilustra como diferentes tecnologias de produção geram mapas de isoquantas com formatos distintos — da reta (substitutos perfeitos) ao ângulo reto (complementares perfeitos), passando pela hipérbole convexa da Cobb-Douglas e pela curva intermediária da CES. Compreender visualmente esses formatos é fundamental para desenvolver intuição sobre substituibilidade antes de passar às fórmulas.</w:t>
      </w:r>
    </w:p>
    <w:p>
      <w:pPr>
        <w:pStyle w:val="BodyText"/>
      </w:pPr>
      <w:r>
        <w:t xml:space="preserve">[FIGURA INTERATIVA: /micro-book/graficos/cap10/isoquantas.html — versao interativa disponivel online]</w:t>
      </w:r>
    </w:p>
    <w:p>
      <w:pPr>
        <w:pStyle w:val="BodyText"/>
      </w:pPr>
      <w:r>
        <w:rPr>
          <w:b/>
          <w:bCs/>
        </w:rPr>
        <w:t xml:space="preserve">Figura 10.1 — Mapa de isoquantas interativo.</w:t>
      </w:r>
      <w:r>
        <w:t xml:space="preserve"> </w:t>
      </w:r>
      <w:r>
        <w:t xml:space="preserve">Alterne entre Cobb-Douglas, Leontief, Linear e CES. Arraste o ponto sobre a isoquanta para visualizar a TMST em cada combinação de insumos.</w:t>
      </w:r>
    </w:p>
    <w:bookmarkStart w:id="644" w:name="isoquantas"/>
    <w:p>
      <w:pPr>
        <w:pStyle w:val="Heading4"/>
      </w:pPr>
      <w:r>
        <w:t xml:space="preserve">Isoquantas</w:t>
      </w:r>
    </w:p>
    <w:p>
      <w:pPr>
        <w:pStyle w:val="BlockText"/>
      </w:pPr>
      <w:r>
        <w:rPr>
          <w:b/>
          <w:bCs/>
        </w:rPr>
        <w:t xml:space="preserve">[DEFINICAO] Isoquanta</w:t>
      </w:r>
    </w:p>
    <w:p>
      <w:pPr>
        <w:pStyle w:val="BlockText"/>
      </w:pPr>
      <w:r>
        <w:t xml:space="preserve">Uma</w:t>
      </w:r>
      <w:r>
        <w:t xml:space="preserve"> </w:t>
      </w:r>
      <w:r>
        <w:rPr>
          <w:b/>
          <w:bCs/>
        </w:rPr>
        <w:t xml:space="preserve">isoquanta</w:t>
      </w:r>
      <w:r>
        <w:t xml:space="preserve"> </w:t>
      </w:r>
      <w:r>
        <w:t xml:space="preserve">é o conjunto de todas as combinações de insumos</w:t>
      </w:r>
      <w:r>
        <w:t xml:space="preserve"> </w:t>
      </w:r>
      <m:oMath>
        <m:r>
          <m:rPr>
            <m:sty m:val="p"/>
          </m:rPr>
          <m:t>(</m:t>
        </m:r>
        <m:r>
          <m:t>K</m:t>
        </m:r>
        <m:r>
          <m:rPr>
            <m:sty m:val="p"/>
          </m:rPr>
          <m:t>,</m:t>
        </m:r>
        <m:r>
          <m:t>L</m:t>
        </m:r>
        <m:r>
          <m:rPr>
            <m:sty m:val="p"/>
          </m:rPr>
          <m:t>)</m:t>
        </m:r>
      </m:oMath>
      <w:r>
        <w:t xml:space="preserve"> </w:t>
      </w:r>
      <w:r>
        <w:t xml:space="preserve">que geram o mesmo nível de produto</w:t>
      </w:r>
      <w:r>
        <w:t xml:space="preserve"> </w:t>
      </w:r>
      <m:oMath>
        <m:sSub>
          <m:e>
            <m:r>
              <m:t>q</m:t>
            </m:r>
          </m:e>
          <m:sub>
            <m:r>
              <m:t>0</m:t>
            </m:r>
          </m:sub>
        </m:sSub>
      </m:oMath>
      <w:r>
        <w:t xml:space="preserve">:</w:t>
      </w:r>
    </w:p>
    <w:p>
      <w:pPr>
        <w:pStyle w:val="BlockText"/>
      </w:pPr>
      <w:r>
        <w:t xml:space="preserve">$$</w:t>
      </w:r>
    </w:p>
    <w:p>
      <w:pPr>
        <w:pStyle w:val="BlockText"/>
      </w:pPr>
      <w:r>
        <w:t xml:space="preserve">{(K, L)</w:t>
      </w:r>
      <w:r>
        <w:t xml:space="preserve"> </w:t>
      </w:r>
      <w:r>
        <w:t xml:space="preserve">f(K, L) = q_0}</w:t>
      </w:r>
    </w:p>
    <w:p>
      <w:pPr>
        <w:pStyle w:val="BlockText"/>
      </w:pPr>
      <w:r>
        <w:t xml:space="preserve">$$</w:t>
      </w:r>
    </w:p>
    <w:p>
      <w:pPr>
        <w:pStyle w:val="FirstParagraph"/>
      </w:pPr>
      <w:r>
        <w:t xml:space="preserve">As isoquantas são o análogo, na teoria da produção, das curvas de indiferença na teoria do consumidor. Suas propriedades são:</w:t>
      </w:r>
    </w:p>
    <w:p>
      <w:pPr>
        <w:pStyle w:val="Compact"/>
        <w:numPr>
          <w:ilvl w:val="0"/>
          <w:numId w:val="1619"/>
        </w:numPr>
      </w:pPr>
      <w:r>
        <w:rPr>
          <w:b/>
          <w:bCs/>
        </w:rPr>
        <w:t xml:space="preserve">Completude</w:t>
      </w:r>
      <w:r>
        <w:t xml:space="preserve">: para cada nível de produto existe uma isoquanta.</w:t>
      </w:r>
    </w:p>
    <w:p>
      <w:pPr>
        <w:pStyle w:val="Compact"/>
        <w:numPr>
          <w:ilvl w:val="0"/>
          <w:numId w:val="1619"/>
        </w:numPr>
      </w:pPr>
      <w:r>
        <w:rPr>
          <w:b/>
          <w:bCs/>
        </w:rPr>
        <w:t xml:space="preserve">Não se cruzam</w:t>
      </w:r>
      <w:r>
        <w:t xml:space="preserve">: se duas isoquantas se cruzassem, a mesma combinação de insumos geraria dois níveis distintos de produto, contradizendo a definição de função.</w:t>
      </w:r>
    </w:p>
    <w:p>
      <w:pPr>
        <w:pStyle w:val="Compact"/>
        <w:numPr>
          <w:ilvl w:val="0"/>
          <w:numId w:val="1619"/>
        </w:numPr>
      </w:pPr>
      <w:r>
        <w:rPr>
          <w:b/>
          <w:bCs/>
        </w:rPr>
        <w:t xml:space="preserve">Inclinação negativa</w:t>
      </w:r>
      <w:r>
        <w:t xml:space="preserve">: sob a hipótese de que os produtos marginais são positivos, aumentar um insumo exige reduzir o outro para manter o mesmo produto.</w:t>
      </w:r>
    </w:p>
    <w:p>
      <w:pPr>
        <w:pStyle w:val="Compact"/>
        <w:numPr>
          <w:ilvl w:val="0"/>
          <w:numId w:val="1619"/>
        </w:numPr>
      </w:pPr>
      <w:r>
        <w:rPr>
          <w:b/>
          <w:bCs/>
        </w:rPr>
        <w:t xml:space="preserve">Convexidade</w:t>
      </w:r>
      <w:r>
        <w:t xml:space="preserve">: a TMST é decrescente ao longo da isoquanta (as isoquantas são convexas em relação à origem).</w:t>
      </w:r>
    </w:p>
    <w:bookmarkEnd w:id="644"/>
    <w:bookmarkStart w:id="645" w:name="X32b71ad8b80b5ed64c63149f94d71b3d445936b"/>
    <w:p>
      <w:pPr>
        <w:pStyle w:val="Heading4"/>
      </w:pPr>
      <w:r>
        <w:t xml:space="preserve">Taxa marginal de substituição técnica (TMST)</w:t>
      </w:r>
    </w:p>
    <w:p>
      <w:pPr>
        <w:pStyle w:val="BlockText"/>
      </w:pPr>
      <w:r>
        <w:rPr>
          <w:b/>
          <w:bCs/>
        </w:rPr>
        <w:t xml:space="preserve">[DEFINICAO] TMST</w:t>
      </w:r>
    </w:p>
    <w:p>
      <w:pPr>
        <w:pStyle w:val="BlockText"/>
      </w:pPr>
      <w:r>
        <w:t xml:space="preserve">A</w:t>
      </w:r>
      <w:r>
        <w:t xml:space="preserve"> </w:t>
      </w:r>
      <w:r>
        <w:rPr>
          <w:b/>
          <w:bCs/>
        </w:rPr>
        <w:t xml:space="preserve">taxa marginal de substituição técnica</w:t>
      </w:r>
      <w:r>
        <w:t xml:space="preserve"> </w:t>
      </w:r>
      <w:r>
        <w:t xml:space="preserve">de</w:t>
      </w:r>
      <w:r>
        <w:t xml:space="preserve"> </w:t>
      </w:r>
      <m:oMath>
        <m:r>
          <m:t>L</m:t>
        </m:r>
      </m:oMath>
      <w:r>
        <w:t xml:space="preserve"> </w:t>
      </w:r>
      <w:r>
        <w:t xml:space="preserve">por</w:t>
      </w:r>
      <w:r>
        <w:t xml:space="preserve"> </w:t>
      </w:r>
      <m:oMath>
        <m:r>
          <m:t>K</m:t>
        </m:r>
      </m:oMath>
      <w:r>
        <w:t xml:space="preserve"> </w:t>
      </w:r>
      <w:r>
        <w:t xml:space="preserve">mede a taxa à qual a firma pode substituir capital por trabalho mantendo o produto constante:</w:t>
      </w:r>
    </w:p>
    <w:p>
      <w:pPr>
        <w:pStyle w:val="BlockText"/>
      </w:pPr>
      <w:r>
        <w:t xml:space="preserve">$$</w:t>
      </w:r>
    </w:p>
    <w:p>
      <w:pPr>
        <w:pStyle w:val="BlockText"/>
      </w:pPr>
      <w:r>
        <w:rPr>
          <w:i/>
          <w:iCs/>
        </w:rPr>
        <w:t xml:space="preserve">{L,K} = -</w:t>
      </w:r>
      <w:r>
        <w:rPr>
          <w:i/>
          <w:iCs/>
        </w:rPr>
        <w:t xml:space="preserve">|</w:t>
      </w:r>
      <w:r>
        <w:t xml:space="preserve">{q = q_0} =</w:t>
      </w:r>
      <w:r>
        <w:t xml:space="preserve"> </w:t>
      </w:r>
      <w:r>
        <w:t xml:space="preserve"> </w:t>
      </w:r>
      <w:r>
        <w:t xml:space="preserve">=</w:t>
      </w:r>
      <w:r>
        <w:t xml:space="preserve"> </w:t>
      </w:r>
      <w:r>
        <w:t xml:space="preserve"> </w:t>
      </w:r>
      <w:r>
        <w:t xml:space="preserve"> </w:t>
      </w:r>
    </w:p>
    <w:p>
      <w:pPr>
        <w:pStyle w:val="BlockText"/>
      </w:pPr>
      <w:r>
        <w:t xml:space="preserve">$$</w:t>
      </w:r>
    </w:p>
    <w:p>
      <w:pPr>
        <w:pStyle w:val="FirstParagraph"/>
      </w:pPr>
      <w:r>
        <w:t xml:space="preserve">A derivação da equação Eq. (eq:10.5) segue da diferenciação total da isoquanta</w:t>
      </w:r>
      <w:r>
        <w:t xml:space="preserve"> </w:t>
      </w:r>
      <m:oMath>
        <m:r>
          <m:t>f</m:t>
        </m:r>
        <m:r>
          <m:rPr>
            <m:sty m:val="p"/>
          </m:rPr>
          <m:t>(</m:t>
        </m:r>
        <m:r>
          <m:t>K</m:t>
        </m:r>
        <m:r>
          <m:rPr>
            <m:sty m:val="p"/>
          </m:rPr>
          <m:t>,</m:t>
        </m:r>
        <m:r>
          <m:t>L</m:t>
        </m:r>
        <m:r>
          <m:rPr>
            <m:sty m:val="p"/>
          </m:rPr>
          <m:t>)</m:t>
        </m:r>
        <m:r>
          <m:rPr>
            <m:sty m:val="p"/>
          </m:rPr>
          <m:t>=</m:t>
        </m:r>
        <m:sSub>
          <m:e>
            <m:r>
              <m:t>q</m:t>
            </m:r>
          </m:e>
          <m:sub>
            <m:r>
              <m:t>0</m:t>
            </m:r>
          </m:sub>
        </m:sSub>
      </m:oMath>
      <w:r>
        <w:t xml:space="preserve">:</w:t>
      </w:r>
    </w:p>
    <w:p>
      <w:pPr>
        <w:pStyle w:val="BodyText"/>
      </w:pPr>
      <m:oMathPara>
        <m:oMathParaPr>
          <m:jc m:val="center"/>
        </m:oMathParaPr>
        <m:oMath>
          <m:sSub>
            <m:e>
              <m:r>
                <m:t>f</m:t>
              </m:r>
            </m:e>
            <m:sub>
              <m:r>
                <m:t>K</m:t>
              </m:r>
            </m:sub>
          </m:sSub>
          <m:r>
            <m:t> </m:t>
          </m:r>
          <m:r>
            <m:t>d</m:t>
          </m:r>
          <m:r>
            <m:t>K</m:t>
          </m:r>
          <m:r>
            <m:rPr>
              <m:sty m:val="p"/>
            </m:rPr>
            <m:t>+</m:t>
          </m:r>
          <m:sSub>
            <m:e>
              <m:r>
                <m:t>f</m:t>
              </m:r>
            </m:e>
            <m:sub>
              <m:r>
                <m:t>L</m:t>
              </m:r>
            </m:sub>
          </m:sSub>
          <m:r>
            <m:t> </m:t>
          </m:r>
          <m:r>
            <m:t>d</m:t>
          </m:r>
          <m:r>
            <m:t>L</m:t>
          </m:r>
          <m:r>
            <m:rPr>
              <m:sty m:val="p"/>
            </m:rPr>
            <m:t>=</m:t>
          </m:r>
          <m:r>
            <m:t>0</m:t>
          </m:r>
          <m:r>
            <m:rPr>
              <m:sty m:val="p"/>
            </m:rPr>
            <m:t>⟹</m:t>
          </m:r>
          <m:r>
            <m:rPr>
              <m:sty m:val="p"/>
            </m:rPr>
            <m:t>−</m:t>
          </m:r>
          <m:f>
            <m:fPr>
              <m:type m:val="bar"/>
            </m:fPr>
            <m:num>
              <m:r>
                <m:t>d</m:t>
              </m:r>
              <m:r>
                <m:t>K</m:t>
              </m:r>
            </m:num>
            <m:den>
              <m:r>
                <m:t>d</m:t>
              </m:r>
              <m:r>
                <m:t>L</m:t>
              </m:r>
            </m:den>
          </m:f>
          <m:r>
            <m:rPr>
              <m:sty m:val="p"/>
            </m:rPr>
            <m:t>=</m:t>
          </m:r>
          <m:f>
            <m:fPr>
              <m:type m:val="bar"/>
            </m:fPr>
            <m:num>
              <m:sSub>
                <m:e>
                  <m:r>
                    <m:t>f</m:t>
                  </m:r>
                </m:e>
                <m:sub>
                  <m:r>
                    <m:t>L</m:t>
                  </m:r>
                </m:sub>
              </m:sSub>
            </m:num>
            <m:den>
              <m:sSub>
                <m:e>
                  <m:r>
                    <m:t>f</m:t>
                  </m:r>
                </m:e>
                <m:sub>
                  <m:r>
                    <m:t>K</m:t>
                  </m:r>
                </m:sub>
              </m:sSub>
            </m:den>
          </m:f>
        </m:oMath>
      </m:oMathPara>
    </w:p>
    <w:p>
      <w:pPr>
        <w:pStyle w:val="FirstParagraph"/>
      </w:pPr>
      <w:r>
        <w:t xml:space="preserve">O que essa expressão nos diz economicamente? A TMST decrescente reflete a dificuldade crescente de substituir um fator pelo outro à medida que a combinação se torna mais extrema. Quando a firma já emprega muito trabalho e pouco capital, cada unidade adicional de trabalho compensa menos capital perdido — exatamente porque os rendimentos marginais do trabalho são decrescentes. Esse fenômeno é intuitivamente análogo à taxa marginal de substituição decrescente no consumo, e a convexidade das isoquantas é sua expressão geométrica.</w:t>
      </w:r>
    </w:p>
    <w:p>
      <w:pPr>
        <w:pStyle w:val="BlockText"/>
      </w:pPr>
      <w:r>
        <w:rPr>
          <w:b/>
          <w:bCs/>
        </w:rPr>
        <w:t xml:space="preserve">[INTUICAO ECONOMICA] Intuição Econômica</w:t>
      </w:r>
    </w:p>
    <w:p>
      <w:pPr>
        <w:pStyle w:val="BlockText"/>
      </w:pPr>
      <w:r>
        <w:rPr>
          <w:b/>
          <w:bCs/>
        </w:rPr>
        <w:t xml:space="preserve">Em uma frase:</w:t>
      </w:r>
      <w:r>
        <w:t xml:space="preserve"> </w:t>
      </w:r>
      <w:r>
        <w:t xml:space="preserve">A TMST mede quantas unidades de um insumo a firma pode trocar por uma unidade do outro sem perder produção.</w:t>
      </w:r>
    </w:p>
    <w:p>
      <w:pPr>
        <w:pStyle w:val="BlockText"/>
      </w:pPr>
      <w:r>
        <w:rPr>
          <w:b/>
          <w:bCs/>
        </w:rPr>
        <w:t xml:space="preserve">Pense assim:</w:t>
      </w:r>
      <w:r>
        <w:t xml:space="preserve"> </w:t>
      </w:r>
      <w:r>
        <w:t xml:space="preserve">Numa fazenda de café altamente mecanizada, cada colheitadeira a menos exige muitos trabalhadores extras para compensar. Mas numa fazenda com muita mão de obra e pouca máquina, dispensar um trabalhador custa pouca mecanização adicional. A troca fica mais difícil conforme a firma se torna mais</w:t>
      </w:r>
      <w:r>
        <w:t xml:space="preserve"> </w:t>
      </w:r>
      <w:r>
        <w:t xml:space="preserve">“desequilibrada”</w:t>
      </w:r>
      <w:r>
        <w:t xml:space="preserve">.</w:t>
      </w:r>
    </w:p>
    <w:p>
      <w:pPr>
        <w:pStyle w:val="BlockText"/>
      </w:pPr>
      <w:r>
        <w:rPr>
          <w:b/>
          <w:bCs/>
        </w:rPr>
        <w:t xml:space="preserve">Por que isso importa:</w:t>
      </w:r>
      <w:r>
        <w:t xml:space="preserve"> </w:t>
      </w:r>
      <w:r>
        <w:t xml:space="preserve">Quando o salário mínimo sobe no Brasil, a TMST indica o quanto as firmas conseguem substituir trabalho por máquinas — e em setores com baixa substituibilidade, o impacto no emprego é menor.</w:t>
      </w:r>
    </w:p>
    <w:p>
      <w:pPr>
        <w:pStyle w:val="BlockText"/>
      </w:pPr>
      <w:r>
        <w:rPr>
          <w:b/>
          <w:bCs/>
        </w:rPr>
        <w:t xml:space="preserve">[ATENCAO] Erro Comum</w:t>
      </w:r>
    </w:p>
    <w:p>
      <w:pPr>
        <w:pStyle w:val="BlockText"/>
      </w:pPr>
      <w:r>
        <w:rPr>
          <w:b/>
          <w:bCs/>
        </w:rPr>
        <w:t xml:space="preserve">Confundir rendimentos marginais decrescentes com rendimentos de escala decrescentes.</w:t>
      </w:r>
      <w:r>
        <w:t xml:space="preserve"> </w:t>
      </w:r>
      <w:r>
        <w:t xml:space="preserve">Esses dois conceitos são frequentemente confundidos, mas descrevem fenômenos completamente distintos.</w:t>
      </w:r>
    </w:p>
    <w:p>
      <w:pPr>
        <w:pStyle w:val="BlockText"/>
      </w:pPr>
      <w:r>
        <w:rPr>
          <w:b/>
          <w:bCs/>
        </w:rPr>
        <w:t xml:space="preserve">Rendimentos marginais decrescentes</w:t>
      </w:r>
      <w:r>
        <w:t xml:space="preserve"> </w:t>
      </w:r>
      <w:r>
        <w:t xml:space="preserve">referem-se ao comportamento do produto quando</w:t>
      </w:r>
      <w:r>
        <w:t xml:space="preserve"> </w:t>
      </w:r>
      <w:r>
        <w:rPr>
          <w:b/>
          <w:bCs/>
        </w:rPr>
        <w:t xml:space="preserve">um único fator</w:t>
      </w:r>
      <w:r>
        <w:t xml:space="preserve"> </w:t>
      </w:r>
      <w:r>
        <w:t xml:space="preserve">aumenta mantendo os demais fixos — é um fenômeno de</w:t>
      </w:r>
      <w:r>
        <w:t xml:space="preserve"> </w:t>
      </w:r>
      <w:r>
        <w:rPr>
          <w:b/>
          <w:bCs/>
        </w:rPr>
        <w:t xml:space="preserve">curto prazo</w:t>
      </w:r>
      <w:r>
        <w:t xml:space="preserve"> </w:t>
      </w:r>
      <w:r>
        <w:t xml:space="preserve">(quando pelo menos um insumo está fixo). Formalmente:</w:t>
      </w:r>
      <w:r>
        <w:t xml:space="preserve"> </w:t>
      </w:r>
      <m:oMath>
        <m:sSup>
          <m:e>
            <m:r>
              <m:rPr>
                <m:sty m:val="p"/>
              </m:rPr>
              <m:t>∂</m:t>
            </m:r>
          </m:e>
          <m:sup>
            <m:r>
              <m:t>2</m:t>
            </m:r>
          </m:sup>
        </m:sSup>
        <m:r>
          <m:t>f</m:t>
        </m:r>
        <m:r>
          <m:rPr>
            <m:sty m:val="p"/>
          </m:rPr>
          <m:t>/</m:t>
        </m:r>
        <m:r>
          <m:rPr>
            <m:sty m:val="p"/>
          </m:rPr>
          <m:t>∂</m:t>
        </m:r>
        <m:sSup>
          <m:e>
            <m:r>
              <m:t>L</m:t>
            </m:r>
          </m:e>
          <m:sup>
            <m:r>
              <m:t>2</m:t>
            </m:r>
          </m:sup>
        </m:sSup>
        <m:r>
          <m:rPr>
            <m:sty m:val="p"/>
          </m:rPr>
          <m:t>&lt;</m:t>
        </m:r>
        <m:r>
          <m:t>0</m:t>
        </m:r>
      </m:oMath>
      <w:r>
        <w:t xml:space="preserve">, mantendo</w:t>
      </w:r>
      <w:r>
        <w:t xml:space="preserve"> </w:t>
      </w:r>
      <m:oMath>
        <m:acc>
          <m:accPr>
            <m:chr m:val="‾"/>
          </m:accPr>
          <m:e>
            <m:r>
              <m:t>K</m:t>
            </m:r>
          </m:e>
        </m:acc>
      </m:oMath>
      <w:r>
        <w:t xml:space="preserve"> </w:t>
      </w:r>
      <w:r>
        <w:t xml:space="preserve">fixo.</w:t>
      </w:r>
    </w:p>
    <w:p>
      <w:pPr>
        <w:pStyle w:val="BlockText"/>
      </w:pPr>
      <w:r>
        <w:rPr>
          <w:b/>
          <w:bCs/>
        </w:rPr>
        <w:t xml:space="preserve">Rendimentos de escala</w:t>
      </w:r>
      <w:r>
        <w:t xml:space="preserve"> </w:t>
      </w:r>
      <w:r>
        <w:t xml:space="preserve">referem-se ao que ocorre quando</w:t>
      </w:r>
      <w:r>
        <w:t xml:space="preserve"> </w:t>
      </w:r>
      <w:r>
        <w:rPr>
          <w:b/>
          <w:bCs/>
        </w:rPr>
        <w:t xml:space="preserve">todos os fatores</w:t>
      </w:r>
      <w:r>
        <w:t xml:space="preserve"> </w:t>
      </w:r>
      <w:r>
        <w:t xml:space="preserve">aumentam na mesma proporção — é um fenômeno de</w:t>
      </w:r>
      <w:r>
        <w:t xml:space="preserve"> </w:t>
      </w:r>
      <w:r>
        <w:rPr>
          <w:b/>
          <w:bCs/>
        </w:rPr>
        <w:t xml:space="preserve">longo prazo</w:t>
      </w:r>
      <w:r>
        <w:t xml:space="preserve"> </w:t>
      </w:r>
      <w:r>
        <w:t xml:space="preserve">(todos os insumos são variáveis). Formalmente: comparar</w:t>
      </w:r>
      <w:r>
        <w:t xml:space="preserve"> </w:t>
      </w:r>
      <m:oMath>
        <m:r>
          <m:t>f</m:t>
        </m:r>
        <m:r>
          <m:rPr>
            <m:sty m:val="p"/>
          </m:rPr>
          <m:t>(</m:t>
        </m:r>
        <m:r>
          <m:t>t</m:t>
        </m:r>
        <m:r>
          <m:t>K</m:t>
        </m:r>
        <m:r>
          <m:rPr>
            <m:sty m:val="p"/>
          </m:rPr>
          <m:t>,</m:t>
        </m:r>
        <m:r>
          <m:t>t</m:t>
        </m:r>
        <m:r>
          <m:t>L</m:t>
        </m:r>
        <m:r>
          <m:rPr>
            <m:sty m:val="p"/>
          </m:rPr>
          <m:t>)</m:t>
        </m:r>
      </m:oMath>
      <w:r>
        <w:t xml:space="preserve"> </w:t>
      </w:r>
      <w:r>
        <w:t xml:space="preserve">com</w:t>
      </w:r>
      <w:r>
        <w:t xml:space="preserve"> </w:t>
      </w:r>
      <m:oMath>
        <m:r>
          <m:t>t</m:t>
        </m:r>
        <m:r>
          <m:rPr>
            <m:sty m:val="p"/>
          </m:rPr>
          <m:t>⋅</m:t>
        </m:r>
        <m:r>
          <m:t>f</m:t>
        </m:r>
        <m:r>
          <m:rPr>
            <m:sty m:val="p"/>
          </m:rPr>
          <m:t>(</m:t>
        </m:r>
        <m:r>
          <m:t>K</m:t>
        </m:r>
        <m:r>
          <m:rPr>
            <m:sty m:val="p"/>
          </m:rPr>
          <m:t>,</m:t>
        </m:r>
        <m:r>
          <m:t>L</m:t>
        </m:r>
        <m:r>
          <m:rPr>
            <m:sty m:val="p"/>
          </m:rPr>
          <m:t>)</m:t>
        </m:r>
      </m:oMath>
      <w:r>
        <w:t xml:space="preserve"> </w:t>
      </w:r>
      <w:r>
        <w:t xml:space="preserve">para</w:t>
      </w:r>
      <w:r>
        <w:t xml:space="preserve"> </w:t>
      </w:r>
      <m:oMath>
        <m:r>
          <m:t>t</m:t>
        </m:r>
        <m:r>
          <m:rPr>
            <m:sty m:val="p"/>
          </m:rPr>
          <m:t>&gt;</m:t>
        </m:r>
        <m:r>
          <m:t>1</m:t>
        </m:r>
      </m:oMath>
      <w:r>
        <w:t xml:space="preserve">.</w:t>
      </w:r>
    </w:p>
    <w:p>
      <w:pPr>
        <w:pStyle w:val="BlockText"/>
      </w:pPr>
      <w:r>
        <w:t xml:space="preserve">Uma firma pode ter</w:t>
      </w:r>
      <w:r>
        <w:t xml:space="preserve"> </w:t>
      </w:r>
      <w:r>
        <w:rPr>
          <w:b/>
          <w:bCs/>
        </w:rPr>
        <w:t xml:space="preserve">simultaneamente</w:t>
      </w:r>
      <w:r>
        <w:t xml:space="preserve"> </w:t>
      </w:r>
      <w:r>
        <w:t xml:space="preserve">rendimentos marginais decrescentes (em cada fator isoladamente) e rendimentos</w:t>
      </w:r>
      <w:r>
        <w:t xml:space="preserve"> </w:t>
      </w:r>
      <w:r>
        <w:rPr>
          <w:b/>
          <w:bCs/>
        </w:rPr>
        <w:t xml:space="preserve">crescentes</w:t>
      </w:r>
      <w:r>
        <w:t xml:space="preserve"> </w:t>
      </w:r>
      <w:r>
        <w:t xml:space="preserve">de escala. Exemplo:</w:t>
      </w:r>
      <w:r>
        <w:t xml:space="preserve"> </w:t>
      </w:r>
      <m:oMath>
        <m:r>
          <m:t>f</m:t>
        </m:r>
        <m:r>
          <m:rPr>
            <m:sty m:val="p"/>
          </m:rPr>
          <m:t>(</m:t>
        </m:r>
        <m:r>
          <m:t>K</m:t>
        </m:r>
        <m:r>
          <m:rPr>
            <m:sty m:val="p"/>
          </m:rPr>
          <m:t>,</m:t>
        </m:r>
        <m:r>
          <m:t>L</m:t>
        </m:r>
        <m:r>
          <m:rPr>
            <m:sty m:val="p"/>
          </m:rPr>
          <m:t>)</m:t>
        </m:r>
        <m:r>
          <m:rPr>
            <m:sty m:val="p"/>
          </m:rPr>
          <m:t>=</m:t>
        </m:r>
        <m:sSup>
          <m:e>
            <m:r>
              <m:t>K</m:t>
            </m:r>
          </m:e>
          <m:sup>
            <m:r>
              <m:t>0</m:t>
            </m:r>
            <m:r>
              <m:rPr>
                <m:sty m:val="p"/>
              </m:rPr>
              <m:t>,</m:t>
            </m:r>
            <m:r>
              <m:t>6</m:t>
            </m:r>
          </m:sup>
        </m:sSup>
        <m:sSup>
          <m:e>
            <m:r>
              <m:t>L</m:t>
            </m:r>
          </m:e>
          <m:sup>
            <m:r>
              <m:t>0</m:t>
            </m:r>
            <m:r>
              <m:rPr>
                <m:sty m:val="p"/>
              </m:rPr>
              <m:t>,</m:t>
            </m:r>
            <m:r>
              <m:t>8</m:t>
            </m:r>
          </m:sup>
        </m:sSup>
      </m:oMath>
      <w:r>
        <w:t xml:space="preserve"> </w:t>
      </w:r>
      <w:r>
        <w:t xml:space="preserve">tem</w:t>
      </w:r>
      <w:r>
        <w:t xml:space="preserve"> </w:t>
      </w:r>
      <m:oMath>
        <m:sSup>
          <m:e>
            <m:r>
              <m:rPr>
                <m:sty m:val="p"/>
              </m:rPr>
              <m:t>∂</m:t>
            </m:r>
          </m:e>
          <m:sup>
            <m:r>
              <m:t>2</m:t>
            </m:r>
          </m:sup>
        </m:sSup>
        <m:r>
          <m:t>f</m:t>
        </m:r>
        <m:r>
          <m:rPr>
            <m:sty m:val="p"/>
          </m:rPr>
          <m:t>/</m:t>
        </m:r>
        <m:r>
          <m:rPr>
            <m:sty m:val="p"/>
          </m:rPr>
          <m:t>∂</m:t>
        </m:r>
        <m:sSup>
          <m:e>
            <m:r>
              <m:t>L</m:t>
            </m:r>
          </m:e>
          <m:sup>
            <m:r>
              <m:t>2</m:t>
            </m:r>
          </m:sup>
        </m:sSup>
        <m:r>
          <m:rPr>
            <m:sty m:val="p"/>
          </m:rPr>
          <m:t>&lt;</m:t>
        </m:r>
        <m:r>
          <m:t>0</m:t>
        </m:r>
      </m:oMath>
      <w:r>
        <w:t xml:space="preserve"> </w:t>
      </w:r>
      <w:r>
        <w:t xml:space="preserve">e</w:t>
      </w:r>
      <w:r>
        <w:t xml:space="preserve"> </w:t>
      </w:r>
      <m:oMath>
        <m:sSup>
          <m:e>
            <m:r>
              <m:rPr>
                <m:sty m:val="p"/>
              </m:rPr>
              <m:t>∂</m:t>
            </m:r>
          </m:e>
          <m:sup>
            <m:r>
              <m:t>2</m:t>
            </m:r>
          </m:sup>
        </m:sSup>
        <m:r>
          <m:t>f</m:t>
        </m:r>
        <m:r>
          <m:rPr>
            <m:sty m:val="p"/>
          </m:rPr>
          <m:t>/</m:t>
        </m:r>
        <m:r>
          <m:rPr>
            <m:sty m:val="p"/>
          </m:rPr>
          <m:t>∂</m:t>
        </m:r>
        <m:sSup>
          <m:e>
            <m:r>
              <m:t>K</m:t>
            </m:r>
          </m:e>
          <m:sup>
            <m:r>
              <m:t>2</m:t>
            </m:r>
          </m:sup>
        </m:sSup>
        <m:r>
          <m:rPr>
            <m:sty m:val="p"/>
          </m:rPr>
          <m:t>&lt;</m:t>
        </m:r>
        <m:r>
          <m:t>0</m:t>
        </m:r>
      </m:oMath>
      <w:r>
        <w:t xml:space="preserve">, mas</w:t>
      </w:r>
      <w:r>
        <w:t xml:space="preserve"> </w:t>
      </w:r>
      <m:oMath>
        <m:r>
          <m:t>f</m:t>
        </m:r>
        <m:r>
          <m:rPr>
            <m:sty m:val="p"/>
          </m:rPr>
          <m:t>(</m:t>
        </m:r>
        <m:r>
          <m:t>t</m:t>
        </m:r>
        <m:r>
          <m:t>K</m:t>
        </m:r>
        <m:r>
          <m:rPr>
            <m:sty m:val="p"/>
          </m:rPr>
          <m:t>,</m:t>
        </m:r>
        <m:r>
          <m:t>t</m:t>
        </m:r>
        <m:r>
          <m:t>L</m:t>
        </m:r>
        <m:r>
          <m:rPr>
            <m:sty m:val="p"/>
          </m:rPr>
          <m:t>)</m:t>
        </m:r>
        <m:r>
          <m:rPr>
            <m:sty m:val="p"/>
          </m:rPr>
          <m:t>=</m:t>
        </m:r>
        <m:sSup>
          <m:e>
            <m:r>
              <m:t>t</m:t>
            </m:r>
          </m:e>
          <m:sup>
            <m:r>
              <m:t>1</m:t>
            </m:r>
            <m:r>
              <m:rPr>
                <m:sty m:val="p"/>
              </m:rPr>
              <m:t>,</m:t>
            </m:r>
            <m:r>
              <m:t>4</m:t>
            </m:r>
          </m:sup>
        </m:sSup>
        <m:r>
          <m:t>f</m:t>
        </m:r>
        <m:r>
          <m:rPr>
            <m:sty m:val="p"/>
          </m:rPr>
          <m:t>(</m:t>
        </m:r>
        <m:r>
          <m:t>K</m:t>
        </m:r>
        <m:r>
          <m:rPr>
            <m:sty m:val="p"/>
          </m:rPr>
          <m:t>,</m:t>
        </m:r>
        <m:r>
          <m:t>L</m:t>
        </m:r>
        <m:r>
          <m:rPr>
            <m:sty m:val="p"/>
          </m:rPr>
          <m:t>)</m:t>
        </m:r>
        <m:r>
          <m:rPr>
            <m:sty m:val="p"/>
          </m:rPr>
          <m:t>&gt;</m:t>
        </m:r>
        <m:r>
          <m:t>t</m:t>
        </m:r>
        <m:r>
          <m:t>f</m:t>
        </m:r>
        <m:r>
          <m:rPr>
            <m:sty m:val="p"/>
          </m:rPr>
          <m:t>(</m:t>
        </m:r>
        <m:r>
          <m:t>K</m:t>
        </m:r>
        <m:r>
          <m:rPr>
            <m:sty m:val="p"/>
          </m:rPr>
          <m:t>,</m:t>
        </m:r>
        <m:r>
          <m:t>L</m:t>
        </m:r>
        <m:r>
          <m:rPr>
            <m:sty m:val="p"/>
          </m:rPr>
          <m:t>)</m:t>
        </m:r>
      </m:oMath>
      <w:r>
        <w:t xml:space="preserve"> </w:t>
      </w:r>
      <w:r>
        <w:t xml:space="preserve">— rendimentos crescentes de escala. A distinção temporal e conceitual é fundamental: não confunda</w:t>
      </w:r>
      <w:r>
        <w:t xml:space="preserve"> </w:t>
      </w:r>
      <w:r>
        <w:t xml:space="preserve">“o fogão está lotado”</w:t>
      </w:r>
      <w:r>
        <w:t xml:space="preserve"> </w:t>
      </w:r>
      <w:r>
        <w:t xml:space="preserve">(curto prazo, fator fixo) com</w:t>
      </w:r>
      <w:r>
        <w:t xml:space="preserve"> </w:t>
      </w:r>
      <w:r>
        <w:t xml:space="preserve">“a padaria cresceu”</w:t>
      </w:r>
      <w:r>
        <w:t xml:space="preserve"> </w:t>
      </w:r>
      <w:r>
        <w:t xml:space="preserve">(longo prazo, tudo dobrou).</w:t>
      </w:r>
    </w:p>
    <w:p>
      <w:pPr>
        <w:pStyle w:val="BlockText"/>
      </w:pPr>
      <w:r>
        <w:rPr>
          <w:b/>
          <w:bCs/>
        </w:rPr>
        <w:t xml:space="preserve">[EXERCICIO RESOLVIDO] Exercício Resolvido 10.1</w:t>
      </w:r>
    </w:p>
    <w:p>
      <w:pPr>
        <w:pStyle w:val="BlockText"/>
      </w:pPr>
      <w:r>
        <w:rPr>
          <w:b/>
          <w:bCs/>
        </w:rPr>
        <w:t xml:space="preserve">Enunciado:</w:t>
      </w:r>
      <w:r>
        <w:t xml:space="preserve"> </w:t>
      </w:r>
      <w:r>
        <w:t xml:space="preserve">Uma firma produz com a função</w:t>
      </w:r>
      <w:r>
        <w:t xml:space="preserve"> </w:t>
      </w:r>
      <m:oMath>
        <m:r>
          <m:t>q</m:t>
        </m:r>
        <m:r>
          <m:rPr>
            <m:sty m:val="p"/>
          </m:rPr>
          <m:t>=</m:t>
        </m:r>
        <m:r>
          <m:t>20</m:t>
        </m:r>
        <m:sSup>
          <m:e>
            <m:r>
              <m:t>K</m:t>
            </m:r>
          </m:e>
          <m:sup>
            <m:r>
              <m:t>0</m:t>
            </m:r>
            <m:r>
              <m:rPr>
                <m:sty m:val="p"/>
              </m:rPr>
              <m:t>,</m:t>
            </m:r>
            <m:r>
              <m:t>5</m:t>
            </m:r>
          </m:sup>
        </m:sSup>
        <m:sSup>
          <m:e>
            <m:r>
              <m:t>L</m:t>
            </m:r>
          </m:e>
          <m:sup>
            <m:r>
              <m:t>0</m:t>
            </m:r>
            <m:r>
              <m:rPr>
                <m:sty m:val="p"/>
              </m:rPr>
              <m:t>,</m:t>
            </m:r>
            <m:r>
              <m:t>5</m:t>
            </m:r>
          </m:sup>
        </m:sSup>
      </m:oMath>
      <w:r>
        <w:t xml:space="preserve">. Atualmente utiliza</w:t>
      </w:r>
      <w:r>
        <w:t xml:space="preserve"> </w:t>
      </w:r>
      <m:oMath>
        <m:r>
          <m:t>K</m:t>
        </m:r>
        <m:r>
          <m:rPr>
            <m:sty m:val="p"/>
          </m:rPr>
          <m:t>=</m:t>
        </m:r>
        <m:r>
          <m:t>25</m:t>
        </m:r>
      </m:oMath>
      <w:r>
        <w:t xml:space="preserve"> </w:t>
      </w:r>
      <w:r>
        <w:t xml:space="preserve">e</w:t>
      </w:r>
      <w:r>
        <w:t xml:space="preserve"> </w:t>
      </w:r>
      <m:oMath>
        <m:r>
          <m:t>L</m:t>
        </m:r>
        <m:r>
          <m:rPr>
            <m:sty m:val="p"/>
          </m:rPr>
          <m:t>=</m:t>
        </m:r>
        <m:r>
          <m:t>16</m:t>
        </m:r>
      </m:oMath>
      <w:r>
        <w:t xml:space="preserve">. Calcule o produto total, os produtos marginais e a TMST.</w:t>
      </w:r>
    </w:p>
    <w:p>
      <w:pPr>
        <w:pStyle w:val="BlockText"/>
      </w:pPr>
      <w:r>
        <w:rPr>
          <w:b/>
          <w:bCs/>
        </w:rPr>
        <w:t xml:space="preserve">Dados:</w:t>
      </w:r>
      <w:r>
        <w:t xml:space="preserve"> </w:t>
      </w:r>
      <m:oMath>
        <m:r>
          <m:t>A</m:t>
        </m:r>
        <m:r>
          <m:rPr>
            <m:sty m:val="p"/>
          </m:rPr>
          <m:t>=</m:t>
        </m:r>
        <m:r>
          <m:t>20</m:t>
        </m:r>
      </m:oMath>
      <w:r>
        <w:t xml:space="preserve">,</w:t>
      </w:r>
      <w:r>
        <w:t xml:space="preserve"> </w:t>
      </w:r>
      <m:oMath>
        <m:r>
          <m:t>α</m:t>
        </m:r>
        <m:r>
          <m:rPr>
            <m:sty m:val="p"/>
          </m:rPr>
          <m:t>=</m:t>
        </m:r>
        <m:r>
          <m:t>0</m:t>
        </m:r>
        <m:r>
          <m:rPr>
            <m:sty m:val="p"/>
          </m:rPr>
          <m:t>,</m:t>
        </m:r>
        <m:r>
          <m:t>5</m:t>
        </m:r>
      </m:oMath>
      <w:r>
        <w:t xml:space="preserve">,</w:t>
      </w:r>
      <w:r>
        <w:t xml:space="preserve"> </w:t>
      </w:r>
      <m:oMath>
        <m:r>
          <m:t>β</m:t>
        </m:r>
        <m:r>
          <m:rPr>
            <m:sty m:val="p"/>
          </m:rPr>
          <m:t>=</m:t>
        </m:r>
        <m:r>
          <m:t>0</m:t>
        </m:r>
        <m:r>
          <m:rPr>
            <m:sty m:val="p"/>
          </m:rPr>
          <m:t>,</m:t>
        </m:r>
        <m:r>
          <m:t>5</m:t>
        </m:r>
      </m:oMath>
      <w:r>
        <w:t xml:space="preserve">,</w:t>
      </w:r>
      <w:r>
        <w:t xml:space="preserve"> </w:t>
      </w:r>
      <m:oMath>
        <m:r>
          <m:t>K</m:t>
        </m:r>
        <m:r>
          <m:rPr>
            <m:sty m:val="p"/>
          </m:rPr>
          <m:t>=</m:t>
        </m:r>
        <m:r>
          <m:t>25</m:t>
        </m:r>
      </m:oMath>
      <w:r>
        <w:t xml:space="preserve">,</w:t>
      </w:r>
      <w:r>
        <w:t xml:space="preserve"> </w:t>
      </w:r>
      <m:oMath>
        <m:r>
          <m:t>L</m:t>
        </m:r>
        <m:r>
          <m:rPr>
            <m:sty m:val="p"/>
          </m:rPr>
          <m:t>=</m:t>
        </m:r>
        <m:r>
          <m:t>16</m:t>
        </m:r>
      </m:oMath>
      <w:r>
        <w:t xml:space="preserve">.</w:t>
      </w:r>
    </w:p>
    <w:p>
      <w:pPr>
        <w:pStyle w:val="BlockText"/>
      </w:pPr>
      <w:r>
        <w:rPr>
          <w:b/>
          <w:bCs/>
        </w:rPr>
        <w:t xml:space="preserve">Resolução:</w:t>
      </w:r>
    </w:p>
    <w:p>
      <w:pPr>
        <w:pStyle w:val="BlockText"/>
      </w:pPr>
      <w:r>
        <w:rPr>
          <w:b/>
          <w:bCs/>
        </w:rPr>
        <w:t xml:space="preserve">Passo 1 — Produto total</w:t>
      </w:r>
    </w:p>
    <w:p>
      <w:pPr>
        <w:pStyle w:val="BlockText"/>
      </w:pPr>
      <w:r>
        <w:t xml:space="preserve">$$</w:t>
      </w:r>
    </w:p>
    <w:p>
      <w:pPr>
        <w:pStyle w:val="BlockText"/>
      </w:pPr>
      <w:r>
        <w:t xml:space="preserve">q = 20</w:t>
      </w:r>
      <w:r>
        <w:t xml:space="preserve"> </w:t>
      </w:r>
      <w:r>
        <w:t xml:space="preserve">^{0,5}</w:t>
      </w:r>
      <w:r>
        <w:t xml:space="preserve"> </w:t>
      </w:r>
      <w:r>
        <w:t xml:space="preserve">^{0,5} = 20</w:t>
      </w:r>
      <w:r>
        <w:t xml:space="preserve"> </w:t>
      </w:r>
      <w:r>
        <w:t xml:space="preserve"> </w:t>
      </w:r>
      <w:r>
        <w:t xml:space="preserve"> </w:t>
      </w:r>
      <w:r>
        <w:t xml:space="preserve">= 400</w:t>
      </w:r>
    </w:p>
    <w:p>
      <w:pPr>
        <w:pStyle w:val="BlockText"/>
      </w:pPr>
      <w:r>
        <w:t xml:space="preserve">$$</w:t>
      </w:r>
    </w:p>
    <w:p>
      <w:pPr>
        <w:pStyle w:val="BlockText"/>
      </w:pPr>
      <w:r>
        <w:rPr>
          <w:b/>
          <w:bCs/>
        </w:rPr>
        <w:t xml:space="preserve">Passo 2 — Produtos marginais</w:t>
      </w:r>
    </w:p>
    <w:p>
      <w:pPr>
        <w:pStyle w:val="BlockText"/>
      </w:pPr>
      <w:r>
        <w:t xml:space="preserve">$$</w:t>
      </w:r>
    </w:p>
    <w:p>
      <w:pPr>
        <w:pStyle w:val="BlockText"/>
      </w:pPr>
      <w:r>
        <w:t xml:space="preserve">_L =</w:t>
      </w:r>
      <w:r>
        <w:t xml:space="preserve"> </w:t>
      </w:r>
      <w:r>
        <w:t xml:space="preserve">A K^{</w:t>
      </w:r>
      <w:r>
        <w:t xml:space="preserve">} L^{</w:t>
      </w:r>
      <w:r>
        <w:t xml:space="preserve">- 1} = 0{,}5</w:t>
      </w:r>
      <w:r>
        <w:t xml:space="preserve"> </w:t>
      </w:r>
      <w:r>
        <w:t xml:space="preserve"> </w:t>
      </w:r>
      <w:r>
        <w:t xml:space="preserve">^{0,5}</w:t>
      </w:r>
      <w:r>
        <w:t xml:space="preserve"> </w:t>
      </w:r>
      <w:r>
        <w:t xml:space="preserve">^{-0,5} = 0{,}5</w:t>
      </w:r>
      <w:r>
        <w:t xml:space="preserve"> </w:t>
      </w:r>
      <w:r>
        <w:t xml:space="preserve"> </w:t>
      </w:r>
      <w:r>
        <w:t xml:space="preserve"> </w:t>
      </w:r>
      <w:r>
        <w:t xml:space="preserve">25 = 12{,}5</w:t>
      </w:r>
    </w:p>
    <w:p>
      <w:pPr>
        <w:pStyle w:val="BlockText"/>
      </w:pPr>
      <w:r>
        <w:t xml:space="preserve">$$</w:t>
      </w:r>
    </w:p>
    <w:p>
      <w:pPr>
        <w:pStyle w:val="BlockText"/>
      </w:pPr>
      <w:r>
        <w:t xml:space="preserve">$$</w:t>
      </w:r>
    </w:p>
    <w:p>
      <w:pPr>
        <w:pStyle w:val="BlockText"/>
      </w:pPr>
      <w:r>
        <w:t xml:space="preserve">_K =</w:t>
      </w:r>
      <w:r>
        <w:t xml:space="preserve"> </w:t>
      </w:r>
      <w:r>
        <w:t xml:space="preserve">A K^{</w:t>
      </w:r>
      <w:r>
        <w:t xml:space="preserve">- 1} L^{</w:t>
      </w:r>
      <w:r>
        <w:t xml:space="preserve">} = 0{,}5</w:t>
      </w:r>
      <w:r>
        <w:t xml:space="preserve"> </w:t>
      </w:r>
      <w:r>
        <w:t xml:space="preserve"> </w:t>
      </w:r>
      <w:r>
        <w:t xml:space="preserve">^{-0,5}</w:t>
      </w:r>
      <w:r>
        <w:t xml:space="preserve"> </w:t>
      </w:r>
      <w:r>
        <w:t xml:space="preserve">^{0,5} = 0{,}5</w:t>
      </w:r>
      <w:r>
        <w:t xml:space="preserve"> </w:t>
      </w:r>
      <w:r>
        <w:t xml:space="preserve"> </w:t>
      </w:r>
      <w:r>
        <w:t xml:space="preserve">2</w:t>
      </w:r>
      <w:r>
        <w:t xml:space="preserve"> </w:t>
      </w:r>
      <w:r>
        <w:t xml:space="preserve"> </w:t>
      </w:r>
      <w:r>
        <w:t xml:space="preserve">= 8</w:t>
      </w:r>
    </w:p>
    <w:p>
      <w:pPr>
        <w:pStyle w:val="BlockText"/>
      </w:pPr>
      <w:r>
        <w:t xml:space="preserve">$$</w:t>
      </w:r>
    </w:p>
    <w:p>
      <w:pPr>
        <w:pStyle w:val="BlockText"/>
      </w:pPr>
      <w:r>
        <w:rPr>
          <w:b/>
          <w:bCs/>
        </w:rPr>
        <w:t xml:space="preserve">Passo 3 — TMST</w:t>
      </w:r>
    </w:p>
    <w:p>
      <w:pPr>
        <w:pStyle w:val="BlockText"/>
      </w:pPr>
      <w:r>
        <w:t xml:space="preserve">$$</w:t>
      </w:r>
    </w:p>
    <w:p>
      <w:pPr>
        <w:pStyle w:val="BlockText"/>
      </w:pPr>
      <w:r>
        <w:t xml:space="preserve">_{L,K} =</w:t>
      </w:r>
      <w:r>
        <w:t xml:space="preserve"> </w:t>
      </w:r>
      <w:r>
        <w:t xml:space="preserve"> </w:t>
      </w:r>
      <w:r>
        <w:t xml:space="preserve">=</w:t>
      </w:r>
      <w:r>
        <w:t xml:space="preserve"> </w:t>
      </w:r>
      <w:r>
        <w:t xml:space="preserve"> </w:t>
      </w:r>
      <w:r>
        <w:t xml:space="preserve">= 1{,}5625</w:t>
      </w:r>
    </w:p>
    <w:p>
      <w:pPr>
        <w:pStyle w:val="BlockText"/>
      </w:pPr>
      <w:r>
        <w:t xml:space="preserve">$$</w:t>
      </w:r>
    </w:p>
    <w:p>
      <w:pPr>
        <w:pStyle w:val="BlockText"/>
      </w:pPr>
      <w:r>
        <w:t xml:space="preserve">Verificação pela fórmula direta:</w:t>
      </w:r>
      <w:r>
        <w:t xml:space="preserve"> </w:t>
      </w:r>
      <m:oMath>
        <m:r>
          <m:rPr>
            <m:sty m:val="p"/>
          </m:rPr>
          <m:t>T</m:t>
        </m:r>
        <m:r>
          <m:rPr>
            <m:sty m:val="p"/>
          </m:rPr>
          <m:t>M</m:t>
        </m:r>
        <m:r>
          <m:rPr>
            <m:sty m:val="p"/>
          </m:rPr>
          <m:t>S</m:t>
        </m:r>
        <m:r>
          <m:rPr>
            <m:sty m:val="p"/>
          </m:rPr>
          <m:t>T</m:t>
        </m:r>
        <m:r>
          <m:rPr>
            <m:sty m:val="p"/>
          </m:rPr>
          <m:t>=</m:t>
        </m:r>
        <m:f>
          <m:fPr>
            <m:type m:val="bar"/>
          </m:fPr>
          <m:num>
            <m:r>
              <m:t>β</m:t>
            </m:r>
          </m:num>
          <m:den>
            <m:r>
              <m:t>α</m:t>
            </m:r>
          </m:den>
        </m:f>
        <m:r>
          <m:rPr>
            <m:sty m:val="p"/>
          </m:rPr>
          <m:t>⋅</m:t>
        </m:r>
        <m:f>
          <m:fPr>
            <m:type m:val="bar"/>
          </m:fPr>
          <m:num>
            <m:r>
              <m:t>K</m:t>
            </m:r>
          </m:num>
          <m:den>
            <m:r>
              <m:t>L</m:t>
            </m:r>
          </m:den>
        </m:f>
        <m:r>
          <m:rPr>
            <m:sty m:val="p"/>
          </m:rPr>
          <m:t>=</m:t>
        </m:r>
        <m:f>
          <m:fPr>
            <m:type m:val="bar"/>
          </m:fPr>
          <m:num>
            <m:r>
              <m:t>0</m:t>
            </m:r>
            <m:r>
              <m:rPr>
                <m:sty m:val="p"/>
              </m:rPr>
              <m:t>,</m:t>
            </m:r>
            <m:r>
              <m:t>5</m:t>
            </m:r>
          </m:num>
          <m:den>
            <m:r>
              <m:t>0</m:t>
            </m:r>
            <m:r>
              <m:rPr>
                <m:sty m:val="p"/>
              </m:rPr>
              <m:t>,</m:t>
            </m:r>
            <m:r>
              <m:t>5</m:t>
            </m:r>
          </m:den>
        </m:f>
        <m:r>
          <m:rPr>
            <m:sty m:val="p"/>
          </m:rPr>
          <m:t>⋅</m:t>
        </m:r>
        <m:f>
          <m:fPr>
            <m:type m:val="bar"/>
          </m:fPr>
          <m:num>
            <m:r>
              <m:t>25</m:t>
            </m:r>
          </m:num>
          <m:den>
            <m:r>
              <m:t>16</m:t>
            </m:r>
          </m:den>
        </m:f>
        <m:r>
          <m:rPr>
            <m:sty m:val="p"/>
          </m:rPr>
          <m:t>=</m:t>
        </m:r>
        <m:r>
          <m:t>1</m:t>
        </m:r>
        <m:r>
          <m:rPr>
            <m:sty m:val="p"/>
          </m:rPr>
          <m:t>,</m:t>
        </m:r>
        <m:r>
          <m:t>5625</m:t>
        </m:r>
      </m:oMath>
      <w:r>
        <w:t xml:space="preserve"> </w:t>
      </w:r>
      <w:r>
        <w:t xml:space="preserve">✓</w:t>
      </w:r>
    </w:p>
    <w:p>
      <w:pPr>
        <w:pStyle w:val="BlockText"/>
      </w:pPr>
      <w:r>
        <w:rPr>
          <w:b/>
          <w:bCs/>
        </w:rPr>
        <w:t xml:space="preserve">Resultado:</w:t>
      </w:r>
      <w:r>
        <w:t xml:space="preserve"> </w:t>
      </w:r>
      <m:oMath>
        <m:r>
          <m:t>q</m:t>
        </m:r>
        <m:r>
          <m:rPr>
            <m:sty m:val="p"/>
          </m:rPr>
          <m:t>=</m:t>
        </m:r>
        <m:r>
          <m:t>400</m:t>
        </m:r>
      </m:oMath>
      <w:r>
        <w:t xml:space="preserve">,</w:t>
      </w:r>
      <w:r>
        <w:t xml:space="preserve"> </w:t>
      </w:r>
      <m:oMath>
        <m:sSub>
          <m:e>
            <m:r>
              <m:rPr>
                <m:sty m:val="p"/>
              </m:rPr>
              <m:t>P</m:t>
            </m:r>
            <m:r>
              <m:rPr>
                <m:sty m:val="p"/>
              </m:rPr>
              <m:t>M</m:t>
            </m:r>
            <m:r>
              <m:rPr>
                <m:sty m:val="p"/>
              </m:rPr>
              <m:t>g</m:t>
            </m:r>
          </m:e>
          <m:sub>
            <m:r>
              <m:t>L</m:t>
            </m:r>
          </m:sub>
        </m:sSub>
        <m:r>
          <m:rPr>
            <m:sty m:val="p"/>
          </m:rPr>
          <m:t>=</m:t>
        </m:r>
        <m:r>
          <m:t>12</m:t>
        </m:r>
        <m:r>
          <m:rPr>
            <m:sty m:val="p"/>
          </m:rPr>
          <m:t>,</m:t>
        </m:r>
        <m:r>
          <m:t>5</m:t>
        </m:r>
      </m:oMath>
      <w:r>
        <w:t xml:space="preserve">,</w:t>
      </w:r>
      <w:r>
        <w:t xml:space="preserve"> </w:t>
      </w:r>
      <m:oMath>
        <m:sSub>
          <m:e>
            <m:r>
              <m:rPr>
                <m:sty m:val="p"/>
              </m:rPr>
              <m:t>P</m:t>
            </m:r>
            <m:r>
              <m:rPr>
                <m:sty m:val="p"/>
              </m:rPr>
              <m:t>M</m:t>
            </m:r>
            <m:r>
              <m:rPr>
                <m:sty m:val="p"/>
              </m:rPr>
              <m:t>g</m:t>
            </m:r>
          </m:e>
          <m:sub>
            <m:r>
              <m:t>K</m:t>
            </m:r>
          </m:sub>
        </m:sSub>
        <m:r>
          <m:rPr>
            <m:sty m:val="p"/>
          </m:rPr>
          <m:t>=</m:t>
        </m:r>
        <m:r>
          <m:t>8</m:t>
        </m:r>
      </m:oMath>
      <w:r>
        <w:t xml:space="preserve">,</w:t>
      </w:r>
      <w:r>
        <w:t xml:space="preserve"> </w:t>
      </w:r>
      <m:oMath>
        <m:r>
          <m:rPr>
            <m:sty m:val="p"/>
          </m:rPr>
          <m:t>T</m:t>
        </m:r>
        <m:r>
          <m:rPr>
            <m:sty m:val="p"/>
          </m:rPr>
          <m:t>M</m:t>
        </m:r>
        <m:r>
          <m:rPr>
            <m:sty m:val="p"/>
          </m:rPr>
          <m:t>S</m:t>
        </m:r>
        <m:r>
          <m:rPr>
            <m:sty m:val="p"/>
          </m:rPr>
          <m:t>T</m:t>
        </m:r>
        <m:r>
          <m:rPr>
            <m:sty m:val="p"/>
          </m:rPr>
          <m:t>=</m:t>
        </m:r>
        <m:r>
          <m:t>1</m:t>
        </m:r>
        <m:r>
          <m:rPr>
            <m:sty m:val="p"/>
          </m:rPr>
          <m:t>,</m:t>
        </m:r>
        <m:r>
          <m:t>5625</m:t>
        </m:r>
      </m:oMath>
      <w:r>
        <w:t xml:space="preserve">.</w:t>
      </w:r>
    </w:p>
    <w:p>
      <w:pPr>
        <w:pStyle w:val="BlockText"/>
      </w:pPr>
      <w:r>
        <w:rPr>
          <w:b/>
          <w:bCs/>
        </w:rPr>
        <w:t xml:space="preserve">Interpretação econômica:</w:t>
      </w:r>
      <w:r>
        <w:t xml:space="preserve"> </w:t>
      </w:r>
      <w:r>
        <w:t xml:space="preserve">A TMST de 1,56 indica que, nessa combinação, a firma pode substituir 1 unidade de capital por aproximadamente 1,56 unidades de trabalho sem alterar o produto. O trabalho é relativamente mais produtivo na margem porque a firma opera com proporção capital-trabalho elevada (</w:t>
      </w:r>
      <m:oMath>
        <m:r>
          <m:t>K</m:t>
        </m:r>
        <m:r>
          <m:rPr>
            <m:sty m:val="p"/>
          </m:rPr>
          <m:t>/</m:t>
        </m:r>
        <m:r>
          <m:t>L</m:t>
        </m:r>
        <m:r>
          <m:rPr>
            <m:sty m:val="p"/>
          </m:rPr>
          <m:t>=</m:t>
        </m:r>
        <m:r>
          <m:t>1</m:t>
        </m:r>
        <m:r>
          <m:rPr>
            <m:sty m:val="p"/>
          </m:rPr>
          <m:t>,</m:t>
        </m:r>
        <m:r>
          <m:t>56</m:t>
        </m:r>
      </m:oMath>
      <w:r>
        <w:t xml:space="preserve">), o que torna cada trabalhador adicional mais valioso.</w:t>
      </w:r>
    </w:p>
    <w:p>
      <w:r>
        <w:pict>
          <v:rect style="width:0;height:1.5pt" o:hralign="center" o:hrstd="t" o:hr="t"/>
        </w:pict>
      </w:r>
    </w:p>
    <w:bookmarkEnd w:id="645"/>
    <w:bookmarkEnd w:id="646"/>
    <w:bookmarkStart w:id="647" w:name="X34385f53d1bd0c1b8493e44d0dfd4c8e88a04bb"/>
    <w:p>
      <w:pPr>
        <w:pStyle w:val="Heading3"/>
      </w:pPr>
      <w:r>
        <w:t xml:space="preserve">10.3 Clonar a Firma: Quando o Tamanho Compensa</w:t>
      </w:r>
    </w:p>
    <w:p>
      <w:pPr>
        <w:pStyle w:val="FirstParagraph"/>
      </w:pPr>
      <w:r>
        <w:t xml:space="preserve">Até aqui, mexemos em um insumo de cada vez (Seção 10.1) e trocamos um pelo outro (Seção 10.2). Agora vem a pergunta que todo dono de franquia se faz: se eu clonar a operação inteira — dobrar fábricas, máquinas, funcionários, tudo —, o faturamento dobra junto? Quem dera fosse tão simples. A resposta, que define os rendimentos de escala, tem implicações profundas para a estrutura de mercado — pois determina se há vantagem em ser grande ou pequeno, e por que algumas indústrias são dominadas por gigantes enquanto outras florescem com milhares de pequenas firmas.</w:t>
      </w:r>
    </w:p>
    <w:p>
      <w:pPr>
        <w:pStyle w:val="BodyText"/>
      </w:pPr>
      <w:r>
        <w:t xml:space="preserve">[FIGURA INTERATIVA: /micro-book/graficos/cap10/rendimentos-escala.html — versao interativa disponivel online]</w:t>
      </w:r>
    </w:p>
    <w:p>
      <w:pPr>
        <w:pStyle w:val="BodyText"/>
      </w:pPr>
      <w:r>
        <w:rPr>
          <w:b/>
          <w:bCs/>
        </w:rPr>
        <w:t xml:space="preserve">Figura 10.2 — Rendimentos de escala.</w:t>
      </w:r>
      <w:r>
        <w:t xml:space="preserve"> </w:t>
      </w:r>
      <w:r>
        <w:t xml:space="preserve">Compare o espaçamento das isoquantas sob rendimentos constantes (CRS), crescentes (IRS) e decrescentes (DRS). O slider</w:t>
      </w:r>
      <w:r>
        <w:t xml:space="preserve"> </w:t>
      </w:r>
      <m:oMath>
        <m:r>
          <m:t>t</m:t>
        </m:r>
      </m:oMath>
      <w:r>
        <w:t xml:space="preserve"> </w:t>
      </w:r>
      <w:r>
        <w:t xml:space="preserve">controla o fator de escala aplicado aos insumos.</w:t>
      </w:r>
    </w:p>
    <w:p>
      <w:pPr>
        <w:pStyle w:val="BlockText"/>
      </w:pPr>
      <w:r>
        <w:rPr>
          <w:b/>
          <w:bCs/>
        </w:rPr>
        <w:t xml:space="preserve">[DEFINICAO] Rendimentos de escala</w:t>
      </w:r>
    </w:p>
    <w:p>
      <w:pPr>
        <w:pStyle w:val="BlockText"/>
      </w:pPr>
      <w:r>
        <w:t xml:space="preserve">Considere a função de produção</w:t>
      </w:r>
      <w:r>
        <w:t xml:space="preserve"> </w:t>
      </w:r>
      <m:oMath>
        <m:r>
          <m:t>f</m:t>
        </m:r>
        <m:r>
          <m:rPr>
            <m:sty m:val="p"/>
          </m:rPr>
          <m:t>(</m:t>
        </m:r>
        <m:r>
          <m:t>K</m:t>
        </m:r>
        <m:r>
          <m:rPr>
            <m:sty m:val="p"/>
          </m:rPr>
          <m:t>,</m:t>
        </m:r>
        <m:r>
          <m:t>L</m:t>
        </m:r>
        <m:r>
          <m:rPr>
            <m:sty m:val="p"/>
          </m:rPr>
          <m:t>)</m:t>
        </m:r>
      </m:oMath>
      <w:r>
        <w:t xml:space="preserve"> </w:t>
      </w:r>
      <w:r>
        <w:t xml:space="preserve">e um escalar</w:t>
      </w:r>
      <w:r>
        <w:t xml:space="preserve"> </w:t>
      </w:r>
      <m:oMath>
        <m:r>
          <m:t>t</m:t>
        </m:r>
        <m:r>
          <m:rPr>
            <m:sty m:val="p"/>
          </m:rPr>
          <m:t>&gt;</m:t>
        </m:r>
        <m:r>
          <m:t>1</m:t>
        </m:r>
      </m:oMath>
      <w:r>
        <w:t xml:space="preserve">. Os</w:t>
      </w:r>
      <w:r>
        <w:t xml:space="preserve"> </w:t>
      </w:r>
      <w:r>
        <w:rPr>
          <w:b/>
          <w:bCs/>
        </w:rPr>
        <w:t xml:space="preserve">rendimentos de escala</w:t>
      </w:r>
      <w:r>
        <w:t xml:space="preserve"> </w:t>
      </w:r>
      <w:r>
        <w:t xml:space="preserve">classificam-se em:</w:t>
      </w:r>
    </w:p>
    <w:p>
      <w:pPr>
        <w:pStyle w:val="Compact"/>
        <w:numPr>
          <w:ilvl w:val="0"/>
          <w:numId w:val="1620"/>
        </w:numPr>
      </w:pPr>
      <w:r>
        <w:rPr>
          <w:b/>
          <w:bCs/>
        </w:rPr>
        <w:t xml:space="preserve">Constantes</w:t>
      </w:r>
      <w:r>
        <w:t xml:space="preserve"> </w:t>
      </w:r>
      <w:r>
        <w:t xml:space="preserve">(CRS):</w:t>
      </w:r>
      <w:r>
        <w:t xml:space="preserve"> </w:t>
      </w:r>
      <m:oMath>
        <m:r>
          <m:t>f</m:t>
        </m:r>
        <m:r>
          <m:rPr>
            <m:sty m:val="p"/>
          </m:rPr>
          <m:t>(</m:t>
        </m:r>
        <m:r>
          <m:t>t</m:t>
        </m:r>
        <m:r>
          <m:t>K</m:t>
        </m:r>
        <m:r>
          <m:rPr>
            <m:sty m:val="p"/>
          </m:rPr>
          <m:t>,</m:t>
        </m:r>
        <m:r>
          <m:t>t</m:t>
        </m:r>
        <m:r>
          <m:t>L</m:t>
        </m:r>
        <m:r>
          <m:rPr>
            <m:sty m:val="p"/>
          </m:rPr>
          <m:t>)</m:t>
        </m:r>
        <m:r>
          <m:rPr>
            <m:sty m:val="p"/>
          </m:rPr>
          <m:t>=</m:t>
        </m:r>
        <m:r>
          <m:t>t</m:t>
        </m:r>
        <m:r>
          <m:rPr>
            <m:sty m:val="p"/>
          </m:rPr>
          <m:t>⋅</m:t>
        </m:r>
        <m:r>
          <m:t>f</m:t>
        </m:r>
        <m:r>
          <m:rPr>
            <m:sty m:val="p"/>
          </m:rPr>
          <m:t>(</m:t>
        </m:r>
        <m:r>
          <m:t>K</m:t>
        </m:r>
        <m:r>
          <m:rPr>
            <m:sty m:val="p"/>
          </m:rPr>
          <m:t>,</m:t>
        </m:r>
        <m:r>
          <m:t>L</m:t>
        </m:r>
        <m:r>
          <m:rPr>
            <m:sty m:val="p"/>
          </m:rPr>
          <m:t>)</m:t>
        </m:r>
      </m:oMath>
      <w:r>
        <w:t xml:space="preserve"> </w:t>
      </w:r>
      <w:r>
        <w:t xml:space="preserve">— a função é homogênea de grau 1.</w:t>
      </w:r>
    </w:p>
    <w:p>
      <w:pPr>
        <w:pStyle w:val="Compact"/>
        <w:numPr>
          <w:ilvl w:val="0"/>
          <w:numId w:val="1620"/>
        </w:numPr>
      </w:pPr>
      <w:r>
        <w:rPr>
          <w:b/>
          <w:bCs/>
        </w:rPr>
        <w:t xml:space="preserve">Crescentes</w:t>
      </w:r>
      <w:r>
        <w:t xml:space="preserve"> </w:t>
      </w:r>
      <w:r>
        <w:t xml:space="preserve">(IRS):</w:t>
      </w:r>
      <w:r>
        <w:t xml:space="preserve"> </w:t>
      </w:r>
      <m:oMath>
        <m:r>
          <m:t>f</m:t>
        </m:r>
        <m:r>
          <m:rPr>
            <m:sty m:val="p"/>
          </m:rPr>
          <m:t>(</m:t>
        </m:r>
        <m:r>
          <m:t>t</m:t>
        </m:r>
        <m:r>
          <m:t>K</m:t>
        </m:r>
        <m:r>
          <m:rPr>
            <m:sty m:val="p"/>
          </m:rPr>
          <m:t>,</m:t>
        </m:r>
        <m:r>
          <m:t>t</m:t>
        </m:r>
        <m:r>
          <m:t>L</m:t>
        </m:r>
        <m:r>
          <m:rPr>
            <m:sty m:val="p"/>
          </m:rPr>
          <m:t>)</m:t>
        </m:r>
        <m:r>
          <m:rPr>
            <m:sty m:val="p"/>
          </m:rPr>
          <m:t>&gt;</m:t>
        </m:r>
        <m:r>
          <m:t>t</m:t>
        </m:r>
        <m:r>
          <m:rPr>
            <m:sty m:val="p"/>
          </m:rPr>
          <m:t>⋅</m:t>
        </m:r>
        <m:r>
          <m:t>f</m:t>
        </m:r>
        <m:r>
          <m:rPr>
            <m:sty m:val="p"/>
          </m:rPr>
          <m:t>(</m:t>
        </m:r>
        <m:r>
          <m:t>K</m:t>
        </m:r>
        <m:r>
          <m:rPr>
            <m:sty m:val="p"/>
          </m:rPr>
          <m:t>,</m:t>
        </m:r>
        <m:r>
          <m:t>L</m:t>
        </m:r>
        <m:r>
          <m:rPr>
            <m:sty m:val="p"/>
          </m:rPr>
          <m:t>)</m:t>
        </m:r>
      </m:oMath>
      <w:r>
        <w:t xml:space="preserve"> </w:t>
      </w:r>
      <w:r>
        <w:t xml:space="preserve">— dobrar os insumos mais que dobra o produto.</w:t>
      </w:r>
    </w:p>
    <w:p>
      <w:pPr>
        <w:pStyle w:val="Compact"/>
        <w:numPr>
          <w:ilvl w:val="0"/>
          <w:numId w:val="1620"/>
        </w:numPr>
      </w:pPr>
      <w:r>
        <w:rPr>
          <w:b/>
          <w:bCs/>
        </w:rPr>
        <w:t xml:space="preserve">Decrescentes</w:t>
      </w:r>
      <w:r>
        <w:t xml:space="preserve"> </w:t>
      </w:r>
      <w:r>
        <w:t xml:space="preserve">(DRS):</w:t>
      </w:r>
      <w:r>
        <w:t xml:space="preserve"> </w:t>
      </w:r>
      <m:oMath>
        <m:r>
          <m:t>f</m:t>
        </m:r>
        <m:r>
          <m:rPr>
            <m:sty m:val="p"/>
          </m:rPr>
          <m:t>(</m:t>
        </m:r>
        <m:r>
          <m:t>t</m:t>
        </m:r>
        <m:r>
          <m:t>K</m:t>
        </m:r>
        <m:r>
          <m:rPr>
            <m:sty m:val="p"/>
          </m:rPr>
          <m:t>,</m:t>
        </m:r>
        <m:r>
          <m:t>t</m:t>
        </m:r>
        <m:r>
          <m:t>L</m:t>
        </m:r>
        <m:r>
          <m:rPr>
            <m:sty m:val="p"/>
          </m:rPr>
          <m:t>)</m:t>
        </m:r>
        <m:r>
          <m:rPr>
            <m:sty m:val="p"/>
          </m:rPr>
          <m:t>&lt;</m:t>
        </m:r>
        <m:r>
          <m:t>t</m:t>
        </m:r>
        <m:r>
          <m:rPr>
            <m:sty m:val="p"/>
          </m:rPr>
          <m:t>⋅</m:t>
        </m:r>
        <m:r>
          <m:t>f</m:t>
        </m:r>
        <m:r>
          <m:rPr>
            <m:sty m:val="p"/>
          </m:rPr>
          <m:t>(</m:t>
        </m:r>
        <m:r>
          <m:t>K</m:t>
        </m:r>
        <m:r>
          <m:rPr>
            <m:sty m:val="p"/>
          </m:rPr>
          <m:t>,</m:t>
        </m:r>
        <m:r>
          <m:t>L</m:t>
        </m:r>
        <m:r>
          <m:rPr>
            <m:sty m:val="p"/>
          </m:rPr>
          <m:t>)</m:t>
        </m:r>
      </m:oMath>
      <w:r>
        <w:t xml:space="preserve"> </w:t>
      </w:r>
      <w:r>
        <w:t xml:space="preserve">— dobrar os insumos menos que dobra o produto.</w:t>
      </w:r>
    </w:p>
    <w:p>
      <w:pPr>
        <w:pStyle w:val="FirstParagraph"/>
      </w:pPr>
      <w:r>
        <w:t xml:space="preserve">Uma medida local dos rendimentos de escala é dada pela</w:t>
      </w:r>
      <w:r>
        <w:t xml:space="preserve"> </w:t>
      </w:r>
      <w:r>
        <w:rPr>
          <w:b/>
          <w:bCs/>
        </w:rPr>
        <w:t xml:space="preserve">elasticidade de escala</w:t>
      </w:r>
      <w:r>
        <w:t xml:space="preserve"> </w:t>
      </w:r>
      <m:oMath>
        <m:r>
          <m:t>e</m:t>
        </m:r>
      </m:oMath>
      <w:r>
        <w:t xml:space="preserve">:</w:t>
      </w:r>
    </w:p>
    <w:p>
      <w:pPr>
        <w:pStyle w:val="BodyText"/>
      </w:pPr>
      <w:r>
        <w:t xml:space="preserve">$$
    e = \frac{\partial \ln f(tK, tL)}{\partial \ln t}\bigg|_{t=1} = \frac{f_K \cdot K + f_L \cdot L}{f(K, L)} = \varepsilon_K + \varepsilon_L
    \label{eq:10.7} \tag{10.7}
    $$</w:t>
      </w:r>
    </w:p>
    <w:p>
      <w:pPr>
        <w:pStyle w:val="FirstParagraph"/>
      </w:pPr>
      <w:r>
        <w:t xml:space="preserve">onde</w:t>
      </w:r>
      <w:r>
        <w:t xml:space="preserve"> </w:t>
      </w:r>
      <m:oMath>
        <m:sSub>
          <m:e>
            <m:r>
              <m:t>ε</m:t>
            </m:r>
          </m:e>
          <m:sub>
            <m:r>
              <m:t>K</m:t>
            </m:r>
          </m:sub>
        </m:sSub>
      </m:oMath>
      <w:r>
        <w:t xml:space="preserve"> </w:t>
      </w:r>
      <w:r>
        <w:t xml:space="preserve">e</w:t>
      </w:r>
      <w:r>
        <w:t xml:space="preserve"> </w:t>
      </w:r>
      <m:oMath>
        <m:sSub>
          <m:e>
            <m:r>
              <m:t>ε</m:t>
            </m:r>
          </m:e>
          <m:sub>
            <m:r>
              <m:t>L</m:t>
            </m:r>
          </m:sub>
        </m:sSub>
      </m:oMath>
      <w:r>
        <w:t xml:space="preserve"> </w:t>
      </w:r>
      <w:r>
        <w:t xml:space="preserve">são as elasticidades do produto em relação a cada insumo. Se</w:t>
      </w:r>
      <w:r>
        <w:t xml:space="preserve"> </w:t>
      </w:r>
      <m:oMath>
        <m:r>
          <m:t>e</m:t>
        </m:r>
        <m:r>
          <m:rPr>
            <m:sty m:val="p"/>
          </m:rPr>
          <m:t>=</m:t>
        </m:r>
        <m:r>
          <m:t>1</m:t>
        </m:r>
      </m:oMath>
      <w:r>
        <w:t xml:space="preserve">, rendimentos constantes; se</w:t>
      </w:r>
      <w:r>
        <w:t xml:space="preserve"> </w:t>
      </w:r>
      <m:oMath>
        <m:r>
          <m:t>e</m:t>
        </m:r>
        <m:r>
          <m:rPr>
            <m:sty m:val="p"/>
          </m:rPr>
          <m:t>&gt;</m:t>
        </m:r>
        <m:r>
          <m:t>1</m:t>
        </m:r>
      </m:oMath>
      <w:r>
        <w:t xml:space="preserve">, crescentes; se</w:t>
      </w:r>
      <w:r>
        <w:t xml:space="preserve"> </w:t>
      </w:r>
      <m:oMath>
        <m:r>
          <m:t>e</m:t>
        </m:r>
        <m:r>
          <m:rPr>
            <m:sty m:val="p"/>
          </m:rPr>
          <m:t>&lt;</m:t>
        </m:r>
        <m:r>
          <m:t>1</m:t>
        </m:r>
      </m:oMath>
      <w:r>
        <w:t xml:space="preserve">, decrescentes.</w:t>
      </w:r>
    </w:p>
    <w:p>
      <w:pPr>
        <w:pStyle w:val="BodyText"/>
      </w:pPr>
      <w:r>
        <w:t xml:space="preserve">A elasticidade de escala Eq. (eq:10.7) é uma medida</w:t>
      </w:r>
      <w:r>
        <w:t xml:space="preserve"> </w:t>
      </w:r>
      <w:r>
        <w:rPr>
          <w:b/>
          <w:bCs/>
        </w:rPr>
        <w:t xml:space="preserve">local</w:t>
      </w:r>
      <w:r>
        <w:t xml:space="preserve">: pode variar ao longo da função de produção, de modo que a mesma firma pode exibir rendimentos crescentes em escalas baixas, constantes em escalas intermediárias e decrescentes em escalas altas. Esse padrão em</w:t>
      </w:r>
      <w:r>
        <w:t xml:space="preserve"> </w:t>
      </w:r>
      <w:r>
        <w:t xml:space="preserve">“U”</w:t>
      </w:r>
      <w:r>
        <w:t xml:space="preserve"> </w:t>
      </w:r>
      <w:r>
        <w:t xml:space="preserve">da elasticidade de escala é, aliás, o que fundamenta a curva de custo médio de longo prazo em</w:t>
      </w:r>
      <w:r>
        <w:t xml:space="preserve"> </w:t>
      </w:r>
      <w:r>
        <w:t xml:space="preserve">“U”</w:t>
      </w:r>
      <w:r>
        <w:t xml:space="preserve"> </w:t>
      </w:r>
      <w:r>
        <w:t xml:space="preserve">que estudaremos no Capítulo 11. A noção de</w:t>
      </w:r>
      <w:r>
        <w:t xml:space="preserve"> </w:t>
      </w:r>
      <w:r>
        <w:rPr>
          <w:b/>
          <w:bCs/>
        </w:rPr>
        <w:t xml:space="preserve">escala mínima eficiente</w:t>
      </w:r>
      <w:r>
        <w:t xml:space="preserve"> </w:t>
      </w:r>
      <w:r>
        <w:t xml:space="preserve">(EME) — o nível de produção a partir do qual as economias de escala se esgotam — é uma aplicação direta: é o ponto em que</w:t>
      </w:r>
      <w:r>
        <w:t xml:space="preserve"> </w:t>
      </w:r>
      <m:oMath>
        <m:r>
          <m:t>e</m:t>
        </m:r>
      </m:oMath>
      <w:r>
        <w:t xml:space="preserve"> </w:t>
      </w:r>
      <w:r>
        <w:t xml:space="preserve">passa de maior que 1 para igual a 1.</w:t>
      </w:r>
    </w:p>
    <w:p>
      <w:pPr>
        <w:pStyle w:val="BodyText"/>
      </w:pPr>
      <w:r>
        <w:t xml:space="preserve">Para funções Cobb-Douglas</w:t>
      </w:r>
      <w:r>
        <w:t xml:space="preserve"> </w:t>
      </w:r>
      <m:oMath>
        <m:r>
          <m:t>f</m:t>
        </m:r>
        <m:r>
          <m:rPr>
            <m:sty m:val="p"/>
          </m:rPr>
          <m:t>=</m:t>
        </m:r>
        <m:r>
          <m:t>A</m:t>
        </m:r>
        <m:sSup>
          <m:e>
            <m:r>
              <m:t>K</m:t>
            </m:r>
          </m:e>
          <m:sup>
            <m:r>
              <m:t>α</m:t>
            </m:r>
          </m:sup>
        </m:sSup>
        <m:sSup>
          <m:e>
            <m:r>
              <m:t>L</m:t>
            </m:r>
          </m:e>
          <m:sup>
            <m:r>
              <m:t>β</m:t>
            </m:r>
          </m:sup>
        </m:sSup>
      </m:oMath>
      <w:r>
        <w:t xml:space="preserve">, a elasticidade de escala é constante e igual a</w:t>
      </w:r>
      <w:r>
        <w:t xml:space="preserve"> </w:t>
      </w:r>
      <m:oMath>
        <m:r>
          <m:t>α</m:t>
        </m:r>
        <m:r>
          <m:rPr>
            <m:sty m:val="p"/>
          </m:rPr>
          <m:t>+</m:t>
        </m:r>
        <m:r>
          <m:t>β</m:t>
        </m:r>
      </m:oMath>
      <w:r>
        <w:t xml:space="preserve">, o que explica sua popularidade em modelos teóricos: o pesquisador pode calibrar os rendimentos de escala simplesmente escolhendo os expoentes. Para a CES, a elasticidade de escala é o parâmetro</w:t>
      </w:r>
      <w:r>
        <w:t xml:space="preserve"> </w:t>
      </w:r>
      <m:oMath>
        <m:r>
          <m:t>γ</m:t>
        </m:r>
      </m:oMath>
      <w:r>
        <w:t xml:space="preserve">, independente de</w:t>
      </w:r>
      <w:r>
        <w:t xml:space="preserve"> </w:t>
      </w:r>
      <m:oMath>
        <m:r>
          <m:t>ρ</m:t>
        </m:r>
      </m:oMath>
      <w:r>
        <w:t xml:space="preserve"> </w:t>
      </w:r>
      <w:r>
        <w:t xml:space="preserve">(elasticidade de substituição) — as duas propriedades são parametrizadas de forma ortogonal, o que facilita enormemente a análise empírica.</w:t>
      </w:r>
    </w:p>
    <w:p>
      <w:pPr>
        <w:pStyle w:val="BodyText"/>
      </w:pPr>
      <w:r>
        <w:t xml:space="preserve">Note que, pela equação Eq. (eq:10.7), uma função pode apresentar simultaneamente rendimentos crescentes de escala e produtos marginais decrescentes em cada fator isoladamente. Isso não é uma contradição: rendimentos de escala referem-se à variação conjunta de todos os insumos, enquanto produtos marginais decrescentes referem-se à variação de um único fator com os demais fixos. Confundir esses dois conceitos é um erro recorrente — e compreensível, pois ambos tratam de</w:t>
      </w:r>
      <w:r>
        <w:t xml:space="preserve"> </w:t>
      </w:r>
      <w:r>
        <w:t xml:space="preserve">“rendimentos”</w:t>
      </w:r>
      <w:r>
        <w:t xml:space="preserve">. A distinção é temporal e conceitual: os rendimentos marginais decrescentes são um fenômeno de curto prazo (um fator fixo); os rendimentos de escala são um fenômeno de longo prazo (todos os fatores variáveis). Uma siderúrgica pode ter rendimentos crescentes de escala (produzir mais aço por real investido ao dobrar toda a operação) e, simultaneamente, rendimentos marginais decrescentes do trabalho (cada operário adicional em uma planta fixa produz menos que o anterior).</w:t>
      </w:r>
    </w:p>
    <w:p>
      <w:pPr>
        <w:pStyle w:val="BlockText"/>
      </w:pPr>
      <w:r>
        <w:rPr>
          <w:b/>
          <w:bCs/>
        </w:rPr>
        <w:t xml:space="preserve">[INTUICAO ECONOMICA] Intuição Econômica</w:t>
      </w:r>
    </w:p>
    <w:p>
      <w:pPr>
        <w:pStyle w:val="BlockText"/>
      </w:pPr>
      <w:r>
        <w:rPr>
          <w:b/>
          <w:bCs/>
        </w:rPr>
        <w:t xml:space="preserve">Em uma frase:</w:t>
      </w:r>
      <w:r>
        <w:t xml:space="preserve"> </w:t>
      </w:r>
      <w:r>
        <w:t xml:space="preserve">Rendimentos de escala respondem à pergunta: se a firma dobrar tudo — máquinas, trabalhadores, espaço —, o produto mais que dobra, dobra exatamente ou menos que dobra?</w:t>
      </w:r>
    </w:p>
    <w:p>
      <w:pPr>
        <w:pStyle w:val="BlockText"/>
      </w:pPr>
      <w:r>
        <w:rPr>
          <w:b/>
          <w:bCs/>
        </w:rPr>
        <w:t xml:space="preserve">Pense assim:</w:t>
      </w:r>
      <w:r>
        <w:t xml:space="preserve"> </w:t>
      </w:r>
      <w:r>
        <w:t xml:space="preserve">Uma padaria de bairro que abre uma segunda unidade idêntica produz o dobro de pães (rendimentos constantes). Já uma siderúrgica que duplica o alto-forno produz mais que o dobro de aço, porque o volume do forno cresce com o cubo do raio enquanto o custo do material cresce com o quadrado (rendimentos crescentes). É a lógica que explica por que usinas são enormes e padarias são pequenas.</w:t>
      </w:r>
    </w:p>
    <w:p>
      <w:pPr>
        <w:pStyle w:val="BlockText"/>
      </w:pPr>
      <w:r>
        <w:rPr>
          <w:b/>
          <w:bCs/>
        </w:rPr>
        <w:t xml:space="preserve">Por que isso importa:</w:t>
      </w:r>
      <w:r>
        <w:t xml:space="preserve"> </w:t>
      </w:r>
      <w:r>
        <w:t xml:space="preserve">Rendimentos crescentes de escala justificam a existência de grandes empresas e são o principal argumento usado em fusões analisadas pelo</w:t>
      </w:r>
      <w:r>
        <w:t xml:space="preserve"> </w:t>
      </w:r>
      <w:hyperlink r:id="rId316">
        <w:r>
          <w:rPr>
            <w:rStyle w:val="Hyperlink"/>
          </w:rPr>
          <w:t xml:space="preserve">CADE</w:t>
        </w:r>
      </w:hyperlink>
      <w:r>
        <w:t xml:space="preserve">.</w:t>
      </w:r>
    </w:p>
    <w:p>
      <w:pPr>
        <w:pStyle w:val="BlockText"/>
      </w:pPr>
      <w:r>
        <w:rPr>
          <w:b/>
          <w:bCs/>
        </w:rPr>
        <w:t xml:space="preserve">[EXEMPLO] Exemplo: Economias de escala na indústria automobilística brasileira</w:t>
      </w:r>
    </w:p>
    <w:p>
      <w:pPr>
        <w:pStyle w:val="BlockText"/>
      </w:pPr>
      <w:r>
        <w:t xml:space="preserve">A indústria automobilística ilustra rendimentos crescentes de escala na faixa relevante de produção. Uma linha de montagem exige investimento fixo elevado em robôs, estamparia e pintura, independentemente do volume produzido. Estudos setoriais indicam que a escala mínima eficiente de uma planta de montagem situa-se entre 100 e 200 mil veículos/ano — abaixo desse patamar, o custo médio por veículo é significativamente mais alto. Essa lógica de rendimentos crescentes explica a concentração geográfica da produção automotiva brasileira no ABC paulista e em polos como Betim (MG) e Camaçari (BA), onde a escala viabiliza custos competitivos.</w:t>
      </w:r>
    </w:p>
    <w:p>
      <w:pPr>
        <w:pStyle w:val="BlockText"/>
      </w:pPr>
      <w:r>
        <w:rPr>
          <w:b/>
          <w:bCs/>
        </w:rPr>
        <w:t xml:space="preserve">[BOX BRASIL] Box Brasil: Economias de escala e fusões no CADE</w:t>
      </w:r>
    </w:p>
    <w:p>
      <w:pPr>
        <w:pStyle w:val="BlockText"/>
      </w:pPr>
      <w:r>
        <w:t xml:space="preserve">O</w:t>
      </w:r>
      <w:r>
        <w:t xml:space="preserve"> </w:t>
      </w:r>
      <w:r>
        <w:rPr>
          <w:b/>
          <w:bCs/>
        </w:rPr>
        <w:t xml:space="preserve">Conselho Administrativo de Defesa Econômica (CADE)</w:t>
      </w:r>
      <w:r>
        <w:t xml:space="preserve"> </w:t>
      </w:r>
      <w:r>
        <w:t xml:space="preserve">avalia rotineiramente alegações de economias de escala em processos de fusão e aquisição. Um caso emblemático foi a fusão entre</w:t>
      </w:r>
      <w:r>
        <w:t xml:space="preserve"> </w:t>
      </w:r>
      <w:r>
        <w:rPr>
          <w:b/>
          <w:bCs/>
        </w:rPr>
        <w:t xml:space="preserve">Sadia e Perdigão</w:t>
      </w:r>
      <w:r>
        <w:t xml:space="preserve"> </w:t>
      </w:r>
      <w:r>
        <w:t xml:space="preserve">(2009), que criou a BRF — uma das maiores empresas de alimentos do mundo. As partes argumentaram que a fusão geraria ganhos de eficiência por meio de economias de escala na produção de aves e suínos, na logística de distribuição refrigerada e na diluição de custos fixos de P&amp;D.</w:t>
      </w:r>
    </w:p>
    <w:p>
      <w:pPr>
        <w:pStyle w:val="BlockText"/>
      </w:pPr>
      <w:r>
        <w:t xml:space="preserve">O CADE aprovou a operação com restrições, exigindo a venda de marcas e ativos em mercados onde a concentração era excessiva. Em termos da teoria da produção, o argumento das empresas equivale a afirmar que a função de produção conjunta apresenta rendimentos crescentes de escala (</w:t>
      </w:r>
      <m:oMath>
        <m:r>
          <m:t>e</m:t>
        </m:r>
        <m:r>
          <m:rPr>
            <m:sty m:val="p"/>
          </m:rPr>
          <m:t>&gt;</m:t>
        </m:r>
        <m:r>
          <m:t>1</m:t>
        </m:r>
      </m:oMath>
      <w:r>
        <w:t xml:space="preserve">) na faixa relevante — a firma maior produz a um custo médio menor que as duas firmas separadas. O CADE, por sua vez, ponderou que os ganhos de escala precisavam ser contrastados com os riscos de poder de mercado — tema que retomaremos nos capítulos sobre concorrência imperfeita.</w:t>
      </w:r>
    </w:p>
    <w:p>
      <w:pPr>
        <w:pStyle w:val="BlockText"/>
      </w:pPr>
      <w:r>
        <w:rPr>
          <w:b/>
          <w:bCs/>
        </w:rPr>
        <w:t xml:space="preserve">[EXERCICIO RESOLVIDO] Exercício Resolvido 10.2</w:t>
      </w:r>
    </w:p>
    <w:p>
      <w:pPr>
        <w:pStyle w:val="BlockText"/>
      </w:pPr>
      <w:r>
        <w:rPr>
          <w:b/>
          <w:bCs/>
        </w:rPr>
        <w:t xml:space="preserve">Enunciado:</w:t>
      </w:r>
      <w:r>
        <w:t xml:space="preserve"> </w:t>
      </w:r>
      <w:r>
        <w:t xml:space="preserve">Classifique os rendimentos de escala das seguintes funções de produção: (a)</w:t>
      </w:r>
      <w:r>
        <w:t xml:space="preserve"> </w:t>
      </w:r>
      <m:oMath>
        <m:r>
          <m:t>q</m:t>
        </m:r>
        <m:r>
          <m:rPr>
            <m:sty m:val="p"/>
          </m:rPr>
          <m:t>=</m:t>
        </m:r>
        <m:r>
          <m:t>3</m:t>
        </m:r>
        <m:r>
          <m:t>K</m:t>
        </m:r>
        <m:r>
          <m:rPr>
            <m:sty m:val="p"/>
          </m:rPr>
          <m:t>+</m:t>
        </m:r>
        <m:r>
          <m:t>7</m:t>
        </m:r>
        <m:r>
          <m:t>L</m:t>
        </m:r>
      </m:oMath>
      <w:r>
        <w:t xml:space="preserve">; (b)</w:t>
      </w:r>
      <w:r>
        <w:t xml:space="preserve"> </w:t>
      </w:r>
      <m:oMath>
        <m:r>
          <m:t>q</m:t>
        </m:r>
        <m:r>
          <m:rPr>
            <m:sty m:val="p"/>
          </m:rPr>
          <m:t>=</m:t>
        </m:r>
        <m:sSup>
          <m:e>
            <m:r>
              <m:t>K</m:t>
            </m:r>
          </m:e>
          <m:sup>
            <m:r>
              <m:t>0</m:t>
            </m:r>
            <m:r>
              <m:rPr>
                <m:sty m:val="p"/>
              </m:rPr>
              <m:t>,</m:t>
            </m:r>
            <m:r>
              <m:t>4</m:t>
            </m:r>
          </m:sup>
        </m:sSup>
        <m:sSup>
          <m:e>
            <m:r>
              <m:t>L</m:t>
            </m:r>
          </m:e>
          <m:sup>
            <m:r>
              <m:t>0</m:t>
            </m:r>
            <m:r>
              <m:rPr>
                <m:sty m:val="p"/>
              </m:rPr>
              <m:t>,</m:t>
            </m:r>
            <m:r>
              <m:t>8</m:t>
            </m:r>
          </m:sup>
        </m:sSup>
      </m:oMath>
      <w:r>
        <w:t xml:space="preserve">; (c)</w:t>
      </w:r>
      <w:r>
        <w:t xml:space="preserve"> </w:t>
      </w:r>
      <m:oMath>
        <m:r>
          <m:t>q</m:t>
        </m:r>
        <m:r>
          <m:rPr>
            <m:sty m:val="p"/>
          </m:rPr>
          <m:t>=</m:t>
        </m:r>
        <m:r>
          <m:rPr>
            <m:sty m:val="p"/>
          </m:rPr>
          <m:t>min</m:t>
        </m:r>
        <m:r>
          <m:rPr>
            <m:sty m:val="p"/>
          </m:rPr>
          <m:t>{</m:t>
        </m:r>
        <m:r>
          <m:t>2</m:t>
        </m:r>
        <m:r>
          <m:t>K</m:t>
        </m:r>
        <m:r>
          <m:rPr>
            <m:sty m:val="p"/>
          </m:rPr>
          <m:t>,</m:t>
        </m:r>
        <m:r>
          <m:t>5</m:t>
        </m:r>
        <m:r>
          <m:t>L</m:t>
        </m:r>
        <m:r>
          <m:rPr>
            <m:sty m:val="p"/>
          </m:rPr>
          <m:t>}</m:t>
        </m:r>
      </m:oMath>
      <w:r>
        <w:t xml:space="preserve">.</w:t>
      </w:r>
    </w:p>
    <w:p>
      <w:pPr>
        <w:pStyle w:val="BlockText"/>
      </w:pPr>
      <w:r>
        <w:rPr>
          <w:b/>
          <w:bCs/>
        </w:rPr>
        <w:t xml:space="preserve">Resolução:</w:t>
      </w:r>
    </w:p>
    <w:p>
      <w:pPr>
        <w:pStyle w:val="BlockText"/>
      </w:pPr>
      <w:r>
        <w:rPr>
          <w:b/>
          <w:bCs/>
        </w:rPr>
        <w:t xml:space="preserve">Passo 1 — Função linear</w:t>
      </w:r>
      <w:r>
        <w:rPr>
          <w:b/>
          <w:bCs/>
        </w:rPr>
        <w:t xml:space="preserve"> </w:t>
      </w:r>
      <m:oMath>
        <m:r>
          <m:t>q</m:t>
        </m:r>
        <m:r>
          <m:rPr>
            <m:sty m:val="p"/>
          </m:rPr>
          <m:t>=</m:t>
        </m:r>
        <m:r>
          <m:t>3</m:t>
        </m:r>
        <m:r>
          <m:t>K</m:t>
        </m:r>
        <m:r>
          <m:rPr>
            <m:sty m:val="p"/>
          </m:rPr>
          <m:t>+</m:t>
        </m:r>
        <m:r>
          <m:t>7</m:t>
        </m:r>
        <m:r>
          <m:t>L</m:t>
        </m:r>
      </m:oMath>
    </w:p>
    <w:p>
      <w:pPr>
        <w:pStyle w:val="BlockText"/>
      </w:pPr>
      <w:r>
        <w:t xml:space="preserve">$$</w:t>
      </w:r>
    </w:p>
    <w:p>
      <w:pPr>
        <w:pStyle w:val="BlockText"/>
      </w:pPr>
      <w:r>
        <w:t xml:space="preserve">f(tK, tL) = 3tK + 7tL = t(3K + 7L) = t</w:t>
      </w:r>
      <w:r>
        <w:t xml:space="preserve"> </w:t>
      </w:r>
      <w:r>
        <w:t xml:space="preserve">f(K, L)</w:t>
      </w:r>
    </w:p>
    <w:p>
      <w:pPr>
        <w:pStyle w:val="BlockText"/>
      </w:pPr>
      <w:r>
        <w:t xml:space="preserve">$$</w:t>
      </w:r>
    </w:p>
    <w:p>
      <w:pPr>
        <w:pStyle w:val="BlockText"/>
      </w:pPr>
      <w:r>
        <w:t xml:space="preserve">A função é homogênea de grau 1. Rendimentos</w:t>
      </w:r>
      <w:r>
        <w:t xml:space="preserve"> </w:t>
      </w:r>
      <w:r>
        <w:rPr>
          <w:b/>
          <w:bCs/>
        </w:rPr>
        <w:t xml:space="preserve">constantes</w:t>
      </w:r>
      <w:r>
        <w:t xml:space="preserve"> </w:t>
      </w:r>
      <w:r>
        <w:t xml:space="preserve">de escala.</w:t>
      </w:r>
    </w:p>
    <w:p>
      <w:pPr>
        <w:pStyle w:val="BlockText"/>
      </w:pPr>
      <w:r>
        <w:rPr>
          <w:b/>
          <w:bCs/>
        </w:rPr>
        <w:t xml:space="preserve">Passo 2 — Cobb-Douglas</w:t>
      </w:r>
      <w:r>
        <w:rPr>
          <w:b/>
          <w:bCs/>
        </w:rPr>
        <w:t xml:space="preserve"> </w:t>
      </w:r>
      <m:oMath>
        <m:r>
          <m:t>q</m:t>
        </m:r>
        <m:r>
          <m:rPr>
            <m:sty m:val="p"/>
          </m:rPr>
          <m:t>=</m:t>
        </m:r>
        <m:sSup>
          <m:e>
            <m:r>
              <m:t>K</m:t>
            </m:r>
          </m:e>
          <m:sup>
            <m:r>
              <m:t>0</m:t>
            </m:r>
            <m:r>
              <m:rPr>
                <m:sty m:val="p"/>
              </m:rPr>
              <m:t>,</m:t>
            </m:r>
            <m:r>
              <m:t>4</m:t>
            </m:r>
          </m:sup>
        </m:sSup>
        <m:sSup>
          <m:e>
            <m:r>
              <m:t>L</m:t>
            </m:r>
          </m:e>
          <m:sup>
            <m:r>
              <m:t>0</m:t>
            </m:r>
            <m:r>
              <m:rPr>
                <m:sty m:val="p"/>
              </m:rPr>
              <m:t>,</m:t>
            </m:r>
            <m:r>
              <m:t>8</m:t>
            </m:r>
          </m:sup>
        </m:sSup>
      </m:oMath>
    </w:p>
    <w:p>
      <w:pPr>
        <w:pStyle w:val="BlockText"/>
      </w:pPr>
      <w:r>
        <w:t xml:space="preserve">$$</w:t>
      </w:r>
    </w:p>
    <w:p>
      <w:pPr>
        <w:pStyle w:val="BlockText"/>
      </w:pPr>
      <w:r>
        <w:t xml:space="preserve">f(tK, tL) = (tK)</w:t>
      </w:r>
      <w:r>
        <w:rPr>
          <w:vertAlign w:val="superscript"/>
        </w:rPr>
        <w:t xml:space="preserve">{0,4}(tL)</w:t>
      </w:r>
      <w:r>
        <w:t xml:space="preserve">{0,8} = t^{0,4 + 0,8} K</w:t>
      </w:r>
      <w:r>
        <w:rPr>
          <w:vertAlign w:val="superscript"/>
        </w:rPr>
        <w:t xml:space="preserve">{0,4}L</w:t>
      </w:r>
      <w:r>
        <w:t xml:space="preserve">{0,8} = t^{1,2}</w:t>
      </w:r>
      <w:r>
        <w:t xml:space="preserve"> </w:t>
      </w:r>
      <w:r>
        <w:t xml:space="preserve">f(K, L)</w:t>
      </w:r>
    </w:p>
    <w:p>
      <w:pPr>
        <w:pStyle w:val="BlockText"/>
      </w:pPr>
      <w:r>
        <w:t xml:space="preserve">$$</w:t>
      </w:r>
    </w:p>
    <w:p>
      <w:pPr>
        <w:pStyle w:val="BlockText"/>
      </w:pPr>
      <w:r>
        <w:t xml:space="preserve">Como</w:t>
      </w:r>
      <w:r>
        <w:t xml:space="preserve"> </w:t>
      </w:r>
      <m:oMath>
        <m:sSup>
          <m:e>
            <m:r>
              <m:t>t</m:t>
            </m:r>
          </m:e>
          <m:sup>
            <m:r>
              <m:t>1</m:t>
            </m:r>
            <m:r>
              <m:rPr>
                <m:sty m:val="p"/>
              </m:rPr>
              <m:t>,</m:t>
            </m:r>
            <m:r>
              <m:t>2</m:t>
            </m:r>
          </m:sup>
        </m:sSup>
        <m:r>
          <m:rPr>
            <m:sty m:val="p"/>
          </m:rPr>
          <m:t>&gt;</m:t>
        </m:r>
        <m:r>
          <m:t>t</m:t>
        </m:r>
      </m:oMath>
      <w:r>
        <w:t xml:space="preserve"> </w:t>
      </w:r>
      <w:r>
        <w:t xml:space="preserve">para</w:t>
      </w:r>
      <w:r>
        <w:t xml:space="preserve"> </w:t>
      </w:r>
      <m:oMath>
        <m:r>
          <m:t>t</m:t>
        </m:r>
        <m:r>
          <m:rPr>
            <m:sty m:val="p"/>
          </m:rPr>
          <m:t>&gt;</m:t>
        </m:r>
        <m:r>
          <m:t>1</m:t>
        </m:r>
      </m:oMath>
      <w:r>
        <w:t xml:space="preserve">, os rendimentos são</w:t>
      </w:r>
      <w:r>
        <w:t xml:space="preserve"> </w:t>
      </w:r>
      <w:r>
        <w:rPr>
          <w:b/>
          <w:bCs/>
        </w:rPr>
        <w:t xml:space="preserve">crescentes</w:t>
      </w:r>
      <w:r>
        <w:t xml:space="preserve">. A elasticidade de escala é</w:t>
      </w:r>
      <w:r>
        <w:t xml:space="preserve"> </w:t>
      </w:r>
      <m:oMath>
        <m:r>
          <m:t>e</m:t>
        </m:r>
        <m:r>
          <m:rPr>
            <m:sty m:val="p"/>
          </m:rPr>
          <m:t>=</m:t>
        </m:r>
        <m:r>
          <m:t>α</m:t>
        </m:r>
        <m:r>
          <m:rPr>
            <m:sty m:val="p"/>
          </m:rPr>
          <m:t>+</m:t>
        </m:r>
        <m:r>
          <m:t>β</m:t>
        </m:r>
        <m:r>
          <m:rPr>
            <m:sty m:val="p"/>
          </m:rPr>
          <m:t>=</m:t>
        </m:r>
        <m:r>
          <m:t>0</m:t>
        </m:r>
        <m:r>
          <m:rPr>
            <m:sty m:val="p"/>
          </m:rPr>
          <m:t>,</m:t>
        </m:r>
        <m:r>
          <m:t>4</m:t>
        </m:r>
        <m:r>
          <m:rPr>
            <m:sty m:val="p"/>
          </m:rPr>
          <m:t>+</m:t>
        </m:r>
        <m:r>
          <m:t>0</m:t>
        </m:r>
        <m:r>
          <m:rPr>
            <m:sty m:val="p"/>
          </m:rPr>
          <m:t>,</m:t>
        </m:r>
        <m:r>
          <m:t>8</m:t>
        </m:r>
        <m:r>
          <m:rPr>
            <m:sty m:val="p"/>
          </m:rPr>
          <m:t>=</m:t>
        </m:r>
        <m:r>
          <m:t>1</m:t>
        </m:r>
        <m:r>
          <m:rPr>
            <m:sty m:val="p"/>
          </m:rPr>
          <m:t>,</m:t>
        </m:r>
        <m:r>
          <m:t>2</m:t>
        </m:r>
      </m:oMath>
      <w:r>
        <w:t xml:space="preserve">.</w:t>
      </w:r>
    </w:p>
    <w:p>
      <w:pPr>
        <w:pStyle w:val="BlockText"/>
      </w:pPr>
      <w:r>
        <w:rPr>
          <w:b/>
          <w:bCs/>
        </w:rPr>
        <w:t xml:space="preserve">Passo 3 — Leontief</w:t>
      </w:r>
      <w:r>
        <w:rPr>
          <w:b/>
          <w:bCs/>
        </w:rPr>
        <w:t xml:space="preserve"> </w:t>
      </w:r>
      <m:oMath>
        <m:r>
          <m:t>q</m:t>
        </m:r>
        <m:r>
          <m:rPr>
            <m:sty m:val="p"/>
          </m:rPr>
          <m:t>=</m:t>
        </m:r>
        <m:r>
          <m:rPr>
            <m:sty m:val="p"/>
          </m:rPr>
          <m:t>min</m:t>
        </m:r>
        <m:r>
          <m:rPr>
            <m:sty m:val="p"/>
          </m:rPr>
          <m:t>{</m:t>
        </m:r>
        <m:r>
          <m:t>2</m:t>
        </m:r>
        <m:r>
          <m:t>K</m:t>
        </m:r>
        <m:r>
          <m:rPr>
            <m:sty m:val="p"/>
          </m:rPr>
          <m:t>,</m:t>
        </m:r>
        <m:r>
          <m:t>5</m:t>
        </m:r>
        <m:r>
          <m:t>L</m:t>
        </m:r>
        <m:r>
          <m:rPr>
            <m:sty m:val="p"/>
          </m:rPr>
          <m:t>}</m:t>
        </m:r>
      </m:oMath>
    </w:p>
    <w:p>
      <w:pPr>
        <w:pStyle w:val="BlockText"/>
      </w:pPr>
      <w:r>
        <w:t xml:space="preserve">$$</w:t>
      </w:r>
    </w:p>
    <w:p>
      <w:pPr>
        <w:pStyle w:val="BlockText"/>
      </w:pPr>
      <w:r>
        <w:t xml:space="preserve">f(tK, tL) =</w:t>
      </w:r>
      <w:r>
        <w:t xml:space="preserve"> </w:t>
      </w:r>
      <w:r>
        <w:t xml:space="preserve">{2tK, 5tL} = t</w:t>
      </w:r>
      <w:r>
        <w:t xml:space="preserve"> </w:t>
      </w:r>
      <w:r>
        <w:t xml:space="preserve">{2K, 5L} = t</w:t>
      </w:r>
      <w:r>
        <w:t xml:space="preserve"> </w:t>
      </w:r>
      <w:r>
        <w:t xml:space="preserve">f(K, L)</w:t>
      </w:r>
    </w:p>
    <w:p>
      <w:pPr>
        <w:pStyle w:val="BlockText"/>
      </w:pPr>
      <w:r>
        <w:t xml:space="preserve">$$</w:t>
      </w:r>
    </w:p>
    <w:p>
      <w:pPr>
        <w:pStyle w:val="BlockText"/>
      </w:pPr>
      <w:r>
        <w:t xml:space="preserve">Rendimentos</w:t>
      </w:r>
      <w:r>
        <w:t xml:space="preserve"> </w:t>
      </w:r>
      <w:r>
        <w:rPr>
          <w:b/>
          <w:bCs/>
        </w:rPr>
        <w:t xml:space="preserve">constantes</w:t>
      </w:r>
      <w:r>
        <w:t xml:space="preserve"> </w:t>
      </w:r>
      <w:r>
        <w:t xml:space="preserve">de escala.</w:t>
      </w:r>
    </w:p>
    <w:p>
      <w:pPr>
        <w:pStyle w:val="BlockText"/>
      </w:pPr>
      <w:r>
        <w:rPr>
          <w:b/>
          <w:bCs/>
        </w:rPr>
        <w:t xml:space="preserve">Resultado:</w:t>
      </w:r>
      <w:r>
        <w:t xml:space="preserve"> </w:t>
      </w:r>
      <w:r>
        <w:t xml:space="preserve">(a) constantes; (b) crescentes (</w:t>
      </w:r>
      <m:oMath>
        <m:r>
          <m:t>e</m:t>
        </m:r>
        <m:r>
          <m:rPr>
            <m:sty m:val="p"/>
          </m:rPr>
          <m:t>=</m:t>
        </m:r>
        <m:r>
          <m:t>1</m:t>
        </m:r>
        <m:r>
          <m:rPr>
            <m:sty m:val="p"/>
          </m:rPr>
          <m:t>,</m:t>
        </m:r>
        <m:r>
          <m:t>2</m:t>
        </m:r>
      </m:oMath>
      <w:r>
        <w:t xml:space="preserve">); (c) constantes.</w:t>
      </w:r>
    </w:p>
    <w:p>
      <w:pPr>
        <w:pStyle w:val="BlockText"/>
      </w:pPr>
      <w:r>
        <w:rPr>
          <w:b/>
          <w:bCs/>
        </w:rPr>
        <w:t xml:space="preserve">Interpretação econômica:</w:t>
      </w:r>
      <w:r>
        <w:t xml:space="preserve"> </w:t>
      </w:r>
      <w:r>
        <w:t xml:space="preserve">Na função (b), dobrar ambos os insumos aumenta o produto em</w:t>
      </w:r>
      <w:r>
        <w:t xml:space="preserve"> </w:t>
      </w:r>
      <m:oMath>
        <m:sSup>
          <m:e>
            <m:r>
              <m:t>2</m:t>
            </m:r>
          </m:e>
          <m:sup>
            <m:r>
              <m:t>1</m:t>
            </m:r>
            <m:r>
              <m:rPr>
                <m:sty m:val="p"/>
              </m:rPr>
              <m:t>,</m:t>
            </m:r>
            <m:r>
              <m:t>2</m:t>
            </m:r>
          </m:sup>
        </m:sSup>
        <m:r>
          <m:rPr>
            <m:sty m:val="p"/>
          </m:rPr>
          <m:t>≈</m:t>
        </m:r>
        <m:r>
          <m:t>2</m:t>
        </m:r>
        <m:r>
          <m:rPr>
            <m:sty m:val="p"/>
          </m:rPr>
          <m:t>,</m:t>
        </m:r>
        <m:r>
          <m:t>30</m:t>
        </m:r>
      </m:oMath>
      <w:r>
        <w:t xml:space="preserve"> </w:t>
      </w:r>
      <w:r>
        <w:t xml:space="preserve">vezes — quase 15% a mais do que o dobro. Em setores com essa tecnologia, há incentivo natural à concentração em firmas maiores, como ocorre na siderurgia e na petroquímica brasileiras.</w:t>
      </w:r>
    </w:p>
    <w:p>
      <w:pPr>
        <w:pStyle w:val="BlockText"/>
      </w:pPr>
      <w:r>
        <w:rPr>
          <w:b/>
          <w:bCs/>
        </w:rPr>
        <w:t xml:space="preserve">[BOX MUNDO] Box Mundo 10.1 — Rendimentos de escala na indústria automobilística: EUA e Japão</w:t>
      </w:r>
    </w:p>
    <w:p>
      <w:pPr>
        <w:pStyle w:val="BlockText"/>
      </w:pPr>
      <w:r>
        <w:rPr>
          <w:b/>
          <w:bCs/>
        </w:rPr>
        <w:t xml:space="preserve">Contexto:</w:t>
      </w:r>
      <w:r>
        <w:t xml:space="preserve"> </w:t>
      </w:r>
      <w:r>
        <w:t xml:space="preserve">A indústria automobilística é um laboratório clássico para o estudo de rendimentos de escala. Desde a introdução da linha de montagem por Henry Ford em 1913, a produção em massa explorou intensamente as economias de escala — mas o modelo japonês de produção enxuta (</w:t>
      </w:r>
      <w:r>
        <w:rPr>
          <w:i/>
          <w:iCs/>
        </w:rPr>
        <w:t xml:space="preserve">lean manufacturing</w:t>
      </w:r>
      <w:r>
        <w:t xml:space="preserve">) desenvolvido pela Toyota a partir da década de 1950 mostrou que escala e eficiência não precisam ser sinônimos.</w:t>
      </w:r>
    </w:p>
    <w:p>
      <w:pPr>
        <w:pStyle w:val="BlockText"/>
      </w:pPr>
      <w:r>
        <w:rPr>
          <w:b/>
          <w:bCs/>
        </w:rPr>
        <w:t xml:space="preserve">Dados:</w:t>
      </w:r>
      <w:r>
        <w:t xml:space="preserve"> </w:t>
      </w:r>
      <w:r>
        <w:t xml:space="preserve">Estudos setoriais compilados pela OCDE e pelo Bureau of Labor Statistics (BLS) dos EUA estimam que a</w:t>
      </w:r>
      <w:r>
        <w:t xml:space="preserve"> </w:t>
      </w:r>
      <w:r>
        <w:rPr>
          <w:b/>
          <w:bCs/>
        </w:rPr>
        <w:t xml:space="preserve">escala mínima eficiente</w:t>
      </w:r>
      <w:r>
        <w:t xml:space="preserve"> </w:t>
      </w:r>
      <w:r>
        <w:t xml:space="preserve">(EME) de uma planta de montagem de automóveis situa-se entre 150 e 250 mil veículos por ano — volume abaixo do qual o custo médio por veículo é significativamente superior ao da fronteira tecnológica. A GM, em seu auge na década de 1970, produzia mais de 5 milhões de veículos anuais em plantas de grande escala, aproveitando as economias estáticas de escala. A Toyota, com volumes inicialmente menores, compensou com eficiência operacional: o</w:t>
      </w:r>
      <w:r>
        <w:t xml:space="preserve"> </w:t>
      </w:r>
      <w:r>
        <w:rPr>
          <w:b/>
          <w:bCs/>
        </w:rPr>
        <w:t xml:space="preserve">Sistema Toyota de Produção</w:t>
      </w:r>
      <w:r>
        <w:t xml:space="preserve"> </w:t>
      </w:r>
      <w:r>
        <w:t xml:space="preserve">(STP) reduziu estoques, minimizou desperdícios e elevou a produtividade do trabalho sem exigir mega-plantas.</w:t>
      </w:r>
    </w:p>
    <w:p>
      <w:pPr>
        <w:pStyle w:val="BlockText"/>
      </w:pPr>
      <w:r>
        <w:rPr>
          <w:b/>
          <w:bCs/>
        </w:rPr>
        <w:t xml:space="preserve">Análise:</w:t>
      </w:r>
      <w:r>
        <w:t xml:space="preserve"> </w:t>
      </w:r>
      <w:r>
        <w:t xml:space="preserve">Estimativas econométricas de funções de custo para a indústria automobilística mundial (Friedlaender, Winston &amp; Wang, 1983,</w:t>
      </w:r>
      <w:r>
        <w:t xml:space="preserve"> </w:t>
      </w:r>
      <w:r>
        <w:rPr>
          <w:i/>
          <w:iCs/>
        </w:rPr>
        <w:t xml:space="preserve">Bell Journal of Economics</w:t>
      </w:r>
      <w:r>
        <w:t xml:space="preserve">) encontram elasticidades de escala entre 1,10 e 1,25 na faixa de 100 a 300 mil veículos/ano — rendimentos</w:t>
      </w:r>
      <w:r>
        <w:t xml:space="preserve"> </w:t>
      </w:r>
      <w:r>
        <w:rPr>
          <w:b/>
          <w:bCs/>
        </w:rPr>
        <w:t xml:space="preserve">crescentes</w:t>
      </w:r>
      <w:r>
        <w:t xml:space="preserve"> </w:t>
      </w:r>
      <w:r>
        <w:t xml:space="preserve">de escala. Acima de 300 mil unidades, as economias de escala se esgotam e a elasticidade converge para 1 (rendimentos constantes). No caso japonês, a vantagem competitiva veio não de escala absoluta, mas de um deslocamento para cima da função de produção (</w:t>
      </w:r>
      <m:oMath>
        <m:r>
          <m:t>A</m:t>
        </m:r>
      </m:oMath>
      <w:r>
        <w:t xml:space="preserve"> </w:t>
      </w:r>
      <w:r>
        <w:t xml:space="preserve">maior) — progresso técnico organizacional e não expansão do volume. A comparação GM vs. Toyota ilustra a diferença fundamental entre</w:t>
      </w:r>
      <w:r>
        <w:t xml:space="preserve"> </w:t>
      </w:r>
      <w:r>
        <w:rPr>
          <w:i/>
          <w:iCs/>
        </w:rPr>
        <w:t xml:space="preserve">mover-se ao longo</w:t>
      </w:r>
      <w:r>
        <w:t xml:space="preserve"> </w:t>
      </w:r>
      <w:r>
        <w:t xml:space="preserve">de uma isoquanta (mais capital e trabalho para produzir mais) e</w:t>
      </w:r>
      <w:r>
        <w:t xml:space="preserve"> </w:t>
      </w:r>
      <w:r>
        <w:rPr>
          <w:i/>
          <w:iCs/>
        </w:rPr>
        <w:t xml:space="preserve">deslocar</w:t>
      </w:r>
      <w:r>
        <w:t xml:space="preserve"> </w:t>
      </w:r>
      <w:r>
        <w:t xml:space="preserve">a função de produção (inovar para produzir mais com os mesmos insumos).</w:t>
      </w:r>
    </w:p>
    <w:p>
      <w:pPr>
        <w:pStyle w:val="BlockText"/>
      </w:pPr>
      <w:r>
        <w:rPr>
          <w:b/>
          <w:bCs/>
        </w:rPr>
        <w:t xml:space="preserve">Fonte:</w:t>
      </w:r>
      <w:r>
        <w:t xml:space="preserve"> </w:t>
      </w:r>
      <w:r>
        <w:t xml:space="preserve">Friedlaender, A. F.; Winston, C.; Wang, K. (1983).</w:t>
      </w:r>
      <w:r>
        <w:t xml:space="preserve"> </w:t>
      </w:r>
      <w:r>
        <w:t xml:space="preserve">“Costs, Technology, and Productivity in the U.S. Automobile Industry.”</w:t>
      </w:r>
      <w:r>
        <w:t xml:space="preserve"> </w:t>
      </w:r>
      <w:r>
        <w:rPr>
          <w:i/>
          <w:iCs/>
        </w:rPr>
        <w:t xml:space="preserve">Bell Journal of Economics</w:t>
      </w:r>
      <w:r>
        <w:t xml:space="preserve">, 14(1), 1–20. OCDE (2023).</w:t>
      </w:r>
      <w:r>
        <w:t xml:space="preserve"> </w:t>
      </w:r>
      <w:r>
        <w:rPr>
          <w:i/>
          <w:iCs/>
        </w:rPr>
        <w:t xml:space="preserve">Automotive Industry: Productivity and Technology</w:t>
      </w:r>
      <w:r>
        <w:t xml:space="preserve">. Paris: OECD Publishing. Bureau of Labor Statistics (2023).</w:t>
      </w:r>
      <w:r>
        <w:t xml:space="preserve"> </w:t>
      </w:r>
      <w:r>
        <w:rPr>
          <w:i/>
          <w:iCs/>
        </w:rPr>
        <w:t xml:space="preserve">Industry Productivity Statistics, Motor Vehicles</w:t>
      </w:r>
      <w:r>
        <w:t xml:space="preserve">.</w:t>
      </w:r>
    </w:p>
    <w:bookmarkEnd w:id="647"/>
    <w:bookmarkEnd w:id="648"/>
    <w:bookmarkStart w:id="651" w:name="X26188db0a769e6046d1b4dcca93ba22940fbbd3"/>
    <w:p>
      <w:pPr>
        <w:pStyle w:val="Heading2"/>
      </w:pPr>
      <w:r>
        <w:t xml:space="preserve">10.4 Braços ou Máquinas? A Elasticidade de Substituição</w:t>
      </w:r>
    </w:p>
    <w:p>
      <w:pPr>
        <w:pStyle w:val="FirstParagraph"/>
      </w:pPr>
      <w:r>
        <w:t xml:space="preserve">Quando o salário mínimo sobe, o iFood substitui motoboys por drones? Quando o juro cai, a montadora troca robôs por operários? A TMST nos diz</w:t>
      </w:r>
      <w:r>
        <w:t xml:space="preserve"> </w:t>
      </w:r>
      <w:r>
        <w:rPr>
          <w:i/>
          <w:iCs/>
        </w:rPr>
        <w:t xml:space="preserve">que</w:t>
      </w:r>
      <w:r>
        <w:t xml:space="preserve"> </w:t>
      </w:r>
      <w:r>
        <w:t xml:space="preserve">a firma pode trocar um insumo por outro — mas não responde o quanto essa troca é fácil ou dolorosa. É aqui que entra a elasticidade de substituição: um único número que resume se a tecnologia da firma é flexível como um canivete suíço ou rígida como uma receita de bolo.</w:t>
      </w:r>
    </w:p>
    <w:p>
      <w:pPr>
        <w:pStyle w:val="BodyText"/>
      </w:pPr>
      <w:r>
        <w:t xml:space="preserve">A</w:t>
      </w:r>
      <w:r>
        <w:t xml:space="preserve"> </w:t>
      </w:r>
      <w:r>
        <w:rPr>
          <w:b/>
          <w:bCs/>
        </w:rPr>
        <w:t xml:space="preserve">elasticidade de substituição</w:t>
      </w:r>
      <w:r>
        <w:t xml:space="preserve"> </w:t>
      </w:r>
      <w:r>
        <w:t xml:space="preserve">é o parâmetro que responde a essa pergunta. Trata-se de uma medida adimensional que sintetiza a curvatura da isoquanta e, portanto, a facilidade de substituição entre insumos. Esse conceito é central não apenas para a teoria da produção, mas também para a análise da distribuição funcional da renda e o debate contemporâneo sobre automação e desigualdade.</w:t>
      </w:r>
    </w:p>
    <w:p>
      <w:pPr>
        <w:pStyle w:val="BodyText"/>
      </w:pPr>
      <w:r>
        <w:t xml:space="preserve">É importante compreender a intuição geométrica por trás da definição: a elasticidade de substituição captura o quanto a isoquanta</w:t>
      </w:r>
      <w:r>
        <w:t xml:space="preserve"> </w:t>
      </w:r>
      <w:r>
        <w:t xml:space="preserve">“se dobra”</w:t>
      </w:r>
      <w:r>
        <w:t xml:space="preserve">. Uma isoquanta muito curvada (quase em forma de L) implica baixa elasticidade — mover-se ao longo dela exige uma grande variação percentual na TMST para obter uma pequena variação na razão</w:t>
      </w:r>
      <w:r>
        <w:t xml:space="preserve"> </w:t>
      </w:r>
      <m:oMath>
        <m:r>
          <m:t>K</m:t>
        </m:r>
        <m:r>
          <m:rPr>
            <m:sty m:val="p"/>
          </m:rPr>
          <m:t>/</m:t>
        </m:r>
        <m:r>
          <m:t>L</m:t>
        </m:r>
      </m:oMath>
      <w:r>
        <w:t xml:space="preserve">. Uma isoquanta mais reta implica alta elasticidade — uma pequena mudança na TMST já provoca uma grande mudança na proporção de insumos. Matematicamente,</w:t>
      </w:r>
      <w:r>
        <w:t xml:space="preserve"> </w:t>
      </w:r>
      <m:oMath>
        <m:r>
          <m:t>σ</m:t>
        </m:r>
      </m:oMath>
      <w:r>
        <w:t xml:space="preserve"> </w:t>
      </w:r>
      <w:r>
        <w:t xml:space="preserve">é o inverso da elasticidade da TMST em relação à razão</w:t>
      </w:r>
      <w:r>
        <w:t xml:space="preserve"> </w:t>
      </w:r>
      <m:oMath>
        <m:r>
          <m:t>K</m:t>
        </m:r>
        <m:r>
          <m:rPr>
            <m:sty m:val="p"/>
          </m:rPr>
          <m:t>/</m:t>
        </m:r>
        <m:r>
          <m:t>L</m:t>
        </m:r>
      </m:oMath>
      <w:r>
        <w:t xml:space="preserve">: quanto menos a isoquanta</w:t>
      </w:r>
      <w:r>
        <w:t xml:space="preserve"> </w:t>
      </w:r>
      <w:r>
        <w:t xml:space="preserve">“resiste”</w:t>
      </w:r>
      <w:r>
        <w:t xml:space="preserve"> </w:t>
      </w:r>
      <w:r>
        <w:t xml:space="preserve">ao movimento, maior é</w:t>
      </w:r>
      <w:r>
        <w:t xml:space="preserve"> </w:t>
      </w:r>
      <m:oMath>
        <m:r>
          <m:t>σ</m:t>
        </m:r>
      </m:oMath>
      <w:r>
        <w:t xml:space="preserve">.</w:t>
      </w:r>
    </w:p>
    <w:p>
      <w:pPr>
        <w:pStyle w:val="BodyText"/>
      </w:pPr>
      <w:r>
        <w:t xml:space="preserve">A ligação com a distribuição de renda é fundamental. Sob mercados competitivos, o salário real iguala o produto marginal do trabalho e o retorno ao capital iguala o produto marginal do capital. A participação do trabalho na renda é</w:t>
      </w:r>
      <w:r>
        <w:t xml:space="preserve"> </w:t>
      </w:r>
      <m:oMath>
        <m:r>
          <m:t>w</m:t>
        </m:r>
        <m:r>
          <m:t>L</m:t>
        </m:r>
        <m:r>
          <m:rPr>
            <m:sty m:val="p"/>
          </m:rPr>
          <m:t>/</m:t>
        </m:r>
        <m:r>
          <m:t>q</m:t>
        </m:r>
        <m:r>
          <m:rPr>
            <m:sty m:val="p"/>
          </m:rPr>
          <m:t>=</m:t>
        </m:r>
        <m:sSub>
          <m:e>
            <m:r>
              <m:rPr>
                <m:sty m:val="p"/>
              </m:rPr>
              <m:t>P</m:t>
            </m:r>
            <m:r>
              <m:rPr>
                <m:sty m:val="p"/>
              </m:rPr>
              <m:t>M</m:t>
            </m:r>
            <m:r>
              <m:rPr>
                <m:sty m:val="p"/>
              </m:rPr>
              <m:t>g</m:t>
            </m:r>
          </m:e>
          <m:sub>
            <m:r>
              <m:t>L</m:t>
            </m:r>
          </m:sub>
        </m:sSub>
        <m:r>
          <m:rPr>
            <m:sty m:val="p"/>
          </m:rPr>
          <m:t>⋅</m:t>
        </m:r>
        <m:r>
          <m:t>L</m:t>
        </m:r>
        <m:r>
          <m:rPr>
            <m:sty m:val="p"/>
          </m:rPr>
          <m:t>/</m:t>
        </m:r>
        <m:r>
          <m:t>q</m:t>
        </m:r>
      </m:oMath>
      <w:r>
        <w:t xml:space="preserve">. Para a Cobb-Douglas com CRS, essa participação é sempre</w:t>
      </w:r>
      <w:r>
        <w:t xml:space="preserve"> </w:t>
      </w:r>
      <m:oMath>
        <m:r>
          <m:t>β</m:t>
        </m:r>
      </m:oMath>
      <w:r>
        <w:t xml:space="preserve"> </w:t>
      </w:r>
      <w:r>
        <w:t xml:space="preserve">— constante, independentemente dos preços dos fatores. Para a CES com</w:t>
      </w:r>
      <w:r>
        <w:t xml:space="preserve"> </w:t>
      </w:r>
      <m:oMath>
        <m:r>
          <m:t>σ</m:t>
        </m:r>
        <m:r>
          <m:rPr>
            <m:sty m:val="p"/>
          </m:rPr>
          <m:t>≠</m:t>
        </m:r>
        <m:r>
          <m:t>1</m:t>
        </m:r>
      </m:oMath>
      <w:r>
        <w:t xml:space="preserve">, a participação do trabalho varia com</w:t>
      </w:r>
      <w:r>
        <w:t xml:space="preserve"> </w:t>
      </w:r>
      <m:oMath>
        <m:r>
          <m:t>w</m:t>
        </m:r>
        <m:r>
          <m:rPr>
            <m:sty m:val="p"/>
          </m:rPr>
          <m:t>/</m:t>
        </m:r>
        <m:r>
          <m:t>r</m:t>
        </m:r>
      </m:oMath>
      <w:r>
        <w:t xml:space="preserve">: se</w:t>
      </w:r>
      <w:r>
        <w:t xml:space="preserve"> </w:t>
      </w:r>
      <m:oMath>
        <m:r>
          <m:t>σ</m:t>
        </m:r>
        <m:r>
          <m:rPr>
            <m:sty m:val="p"/>
          </m:rPr>
          <m:t>&gt;</m:t>
        </m:r>
        <m:r>
          <m:t>1</m:t>
        </m:r>
      </m:oMath>
      <w:r>
        <w:t xml:space="preserve">, uma queda no custo do capital eleva a participação do capital; se</w:t>
      </w:r>
      <w:r>
        <w:t xml:space="preserve"> </w:t>
      </w:r>
      <m:oMath>
        <m:r>
          <m:t>σ</m:t>
        </m:r>
        <m:r>
          <m:rPr>
            <m:sty m:val="p"/>
          </m:rPr>
          <m:t>&lt;</m:t>
        </m:r>
        <m:r>
          <m:t>1</m:t>
        </m:r>
      </m:oMath>
      <w:r>
        <w:t xml:space="preserve">, ocorre o contrário. Esse mecanismo está no centro das preocupações de economistas como Lawrence Katz, Alan Krueger e, mais recentemente, Daron Acemoglu sobre os impactos distributivos da automação. Acemoglu e Restrepo (2019) modelam o efeito da automação como substituição de</w:t>
      </w:r>
      <w:r>
        <w:t xml:space="preserve"> </w:t>
      </w:r>
      <w:r>
        <w:rPr>
          <w:i/>
          <w:iCs/>
        </w:rPr>
        <w:t xml:space="preserve">tarefas</w:t>
      </w:r>
      <w:r>
        <w:t xml:space="preserve"> </w:t>
      </w:r>
      <w:r>
        <w:t xml:space="preserve">antes realizadas por trabalho: quando</w:t>
      </w:r>
      <w:r>
        <w:t xml:space="preserve"> </w:t>
      </w:r>
      <m:oMath>
        <m:r>
          <m:t>σ</m:t>
        </m:r>
      </m:oMath>
      <w:r>
        <w:t xml:space="preserve"> </w:t>
      </w:r>
      <w:r>
        <w:t xml:space="preserve">é alto, a automação desloca trabalhadores para novas tarefas; quando</w:t>
      </w:r>
      <w:r>
        <w:t xml:space="preserve"> </w:t>
      </w:r>
      <m:oMath>
        <m:r>
          <m:t>σ</m:t>
        </m:r>
      </m:oMath>
      <w:r>
        <w:t xml:space="preserve"> </w:t>
      </w:r>
      <w:r>
        <w:t xml:space="preserve">é baixo, o deslocamento é mais doloroso e lento — exatamente a tensão que define o debate sobre IA e futuro do trabalho.</w:t>
      </w:r>
      <w:r>
        <w:rPr>
          <w:rStyle w:val="FootnoteReference"/>
        </w:rPr>
        <w:footnoteReference w:id="649"/>
      </w:r>
    </w:p>
    <w:p>
      <w:pPr>
        <w:pStyle w:val="BlockText"/>
      </w:pPr>
      <w:r>
        <w:rPr>
          <w:b/>
          <w:bCs/>
        </w:rPr>
        <w:t xml:space="preserve">[DEFINICAO] Elasticidade de substituição</w:t>
      </w:r>
    </w:p>
    <w:p>
      <w:pPr>
        <w:pStyle w:val="BlockText"/>
      </w:pPr>
      <w:r>
        <w:t xml:space="preserve">A</w:t>
      </w:r>
      <w:r>
        <w:t xml:space="preserve"> </w:t>
      </w:r>
      <w:r>
        <w:rPr>
          <w:b/>
          <w:bCs/>
        </w:rPr>
        <w:t xml:space="preserve">elasticidade de substituição</w:t>
      </w:r>
      <w:r>
        <w:t xml:space="preserve"> </w:t>
      </w:r>
      <m:oMath>
        <m:r>
          <m:t>σ</m:t>
        </m:r>
      </m:oMath>
      <w:r>
        <w:t xml:space="preserve"> </w:t>
      </w:r>
      <w:r>
        <w:t xml:space="preserve">mede a facilidade com que a firma pode substituir um insumo por outro ao longo de uma isoquanta. Formalmente:</w:t>
      </w:r>
    </w:p>
    <w:p>
      <w:pPr>
        <w:pStyle w:val="BlockText"/>
      </w:pPr>
      <w:r>
        <w:t xml:space="preserve">$$</w:t>
      </w:r>
    </w:p>
    <w:p>
      <w:pPr>
        <w:pStyle w:val="BlockText"/>
      </w:pPr>
      <w:r>
        <w:t xml:space="preserve">=</w:t>
      </w:r>
      <w:r>
        <w:t xml:space="preserve"> </w:t>
      </w:r>
      <w:r>
        <w:t xml:space="preserve"> </w:t>
      </w:r>
      <w:r>
        <w:t xml:space="preserve">=</w:t>
      </w:r>
      <w:r>
        <w:t xml:space="preserve"> </w:t>
      </w:r>
      <w:r>
        <w:t xml:space="preserve"> </w:t>
      </w:r>
      <w:r>
        <w:t xml:space="preserve"> </w:t>
      </w:r>
    </w:p>
    <w:p>
      <w:pPr>
        <w:pStyle w:val="BlockText"/>
      </w:pPr>
      <w:r>
        <w:t xml:space="preserve">$$</w:t>
      </w:r>
    </w:p>
    <w:p>
      <w:pPr>
        <w:pStyle w:val="FirstParagraph"/>
      </w:pPr>
      <w:r>
        <w:t xml:space="preserve">Intuitivamente,</w:t>
      </w:r>
      <w:r>
        <w:t xml:space="preserve"> </w:t>
      </w:r>
      <m:oMath>
        <m:r>
          <m:t>σ</m:t>
        </m:r>
      </m:oMath>
      <w:r>
        <w:t xml:space="preserve"> </w:t>
      </w:r>
      <w:r>
        <w:t xml:space="preserve">capta a curvatura da isoquanta:</w:t>
      </w:r>
    </w:p>
    <w:p>
      <w:pPr>
        <w:pStyle w:val="Compact"/>
        <w:numPr>
          <w:ilvl w:val="0"/>
          <w:numId w:val="1621"/>
        </w:numPr>
      </w:pPr>
      <w:r>
        <w:t xml:space="preserve">Se</w:t>
      </w:r>
      <w:r>
        <w:t xml:space="preserve"> </w:t>
      </w:r>
      <m:oMath>
        <m:r>
          <m:t>σ</m:t>
        </m:r>
        <m:r>
          <m:rPr>
            <m:sty m:val="p"/>
          </m:rPr>
          <m:t>→</m:t>
        </m:r>
        <m:r>
          <m:rPr>
            <m:sty m:val="p"/>
          </m:rPr>
          <m:t>∞</m:t>
        </m:r>
      </m:oMath>
      <w:r>
        <w:t xml:space="preserve">, os insumos são</w:t>
      </w:r>
      <w:r>
        <w:t xml:space="preserve"> </w:t>
      </w:r>
      <w:r>
        <w:rPr>
          <w:b/>
          <w:bCs/>
        </w:rPr>
        <w:t xml:space="preserve">substitutos perfeitos</w:t>
      </w:r>
      <w:r>
        <w:t xml:space="preserve"> </w:t>
      </w:r>
      <w:r>
        <w:t xml:space="preserve">(isoquanta linear).</w:t>
      </w:r>
    </w:p>
    <w:p>
      <w:pPr>
        <w:pStyle w:val="Compact"/>
        <w:numPr>
          <w:ilvl w:val="0"/>
          <w:numId w:val="1621"/>
        </w:numPr>
      </w:pPr>
      <w:r>
        <w:t xml:space="preserve">Se</w:t>
      </w:r>
      <w:r>
        <w:t xml:space="preserve"> </w:t>
      </w:r>
      <m:oMath>
        <m:r>
          <m:t>σ</m:t>
        </m:r>
        <m:r>
          <m:rPr>
            <m:sty m:val="p"/>
          </m:rPr>
          <m:t>→</m:t>
        </m:r>
        <m:r>
          <m:t>0</m:t>
        </m:r>
      </m:oMath>
      <w:r>
        <w:t xml:space="preserve">, os insumos são</w:t>
      </w:r>
      <w:r>
        <w:t xml:space="preserve"> </w:t>
      </w:r>
      <w:r>
        <w:rPr>
          <w:b/>
          <w:bCs/>
        </w:rPr>
        <w:t xml:space="preserve">complementares perfeitos</w:t>
      </w:r>
      <w:r>
        <w:t xml:space="preserve"> </w:t>
      </w:r>
      <w:r>
        <w:t xml:space="preserve">(isoquanta em L, Leontief).</w:t>
      </w:r>
    </w:p>
    <w:p>
      <w:pPr>
        <w:pStyle w:val="Compact"/>
        <w:numPr>
          <w:ilvl w:val="0"/>
          <w:numId w:val="1621"/>
        </w:numPr>
      </w:pPr>
      <w:r>
        <w:t xml:space="preserve">Se</w:t>
      </w:r>
      <w:r>
        <w:t xml:space="preserve"> </w:t>
      </w:r>
      <m:oMath>
        <m:r>
          <m:t>σ</m:t>
        </m:r>
        <m:r>
          <m:rPr>
            <m:sty m:val="p"/>
          </m:rPr>
          <m:t>=</m:t>
        </m:r>
        <m:r>
          <m:t>1</m:t>
        </m:r>
      </m:oMath>
      <w:r>
        <w:t xml:space="preserve">, temos o caso intermediário da</w:t>
      </w:r>
      <w:r>
        <w:t xml:space="preserve"> </w:t>
      </w:r>
      <w:r>
        <w:rPr>
          <w:b/>
          <w:bCs/>
        </w:rPr>
        <w:t xml:space="preserve">Cobb-Douglas</w:t>
      </w:r>
      <w:r>
        <w:t xml:space="preserve">.</w:t>
      </w:r>
    </w:p>
    <w:p>
      <w:pPr>
        <w:pStyle w:val="FirstParagraph"/>
      </w:pPr>
      <w:r>
        <w:t xml:space="preserve">A elasticidade de substituição é um parâmetro central na análise da distribuição funcional da renda, pois determina como mudanças nos preços relativos dos fatores afetam as participações do capital e do trabalho na renda total. Quando</w:t>
      </w:r>
      <w:r>
        <w:t xml:space="preserve"> </w:t>
      </w:r>
      <m:oMath>
        <m:r>
          <m:t>σ</m:t>
        </m:r>
        <m:r>
          <m:rPr>
            <m:sty m:val="p"/>
          </m:rPr>
          <m:t>&gt;</m:t>
        </m:r>
        <m:r>
          <m:t>1</m:t>
        </m:r>
      </m:oMath>
      <w:r>
        <w:t xml:space="preserve">, um barateamento relativo do capital leva a uma substituição tão intensa que a participação do capital na renda</w:t>
      </w:r>
      <w:r>
        <w:t xml:space="preserve"> </w:t>
      </w:r>
      <w:r>
        <w:rPr>
          <w:i/>
          <w:iCs/>
        </w:rPr>
        <w:t xml:space="preserve">aumenta</w:t>
      </w:r>
      <w:r>
        <w:t xml:space="preserve">; quando</w:t>
      </w:r>
      <w:r>
        <w:t xml:space="preserve"> </w:t>
      </w:r>
      <m:oMath>
        <m:r>
          <m:t>σ</m:t>
        </m:r>
        <m:r>
          <m:rPr>
            <m:sty m:val="p"/>
          </m:rPr>
          <m:t>&lt;</m:t>
        </m:r>
        <m:r>
          <m:t>1</m:t>
        </m:r>
      </m:oMath>
      <w:r>
        <w:t xml:space="preserve">, o efeito é o oposto. Esse mecanismo está no centro do debate contemporâneo sobre desigualdade, como argumentou Thomas Piketty em</w:t>
      </w:r>
      <w:r>
        <w:t xml:space="preserve"> </w:t>
      </w:r>
      <w:r>
        <w:rPr>
          <w:i/>
          <w:iCs/>
        </w:rPr>
        <w:t xml:space="preserve">O Capital no Século XXI</w:t>
      </w:r>
      <w:r>
        <w:t xml:space="preserve"> </w:t>
      </w:r>
      <w:r>
        <w:t xml:space="preserve">(2014).</w:t>
      </w:r>
    </w:p>
    <w:p>
      <w:pPr>
        <w:pStyle w:val="BlockText"/>
      </w:pPr>
      <w:r>
        <w:rPr>
          <w:b/>
          <w:bCs/>
        </w:rPr>
        <w:t xml:space="preserve">[INTUICAO ECONOMICA] Intuição Econômica</w:t>
      </w:r>
    </w:p>
    <w:p>
      <w:pPr>
        <w:pStyle w:val="BlockText"/>
      </w:pPr>
      <w:r>
        <w:rPr>
          <w:b/>
          <w:bCs/>
        </w:rPr>
        <w:t xml:space="preserve">Em uma frase:</w:t>
      </w:r>
      <w:r>
        <w:t xml:space="preserve"> </w:t>
      </w:r>
      <w:r>
        <w:t xml:space="preserve">A elasticidade de substituição mede o quão fácil é trocar máquinas por pessoas (ou vice-versa) sem perder produção.</w:t>
      </w:r>
    </w:p>
    <w:p>
      <w:pPr>
        <w:pStyle w:val="BlockText"/>
      </w:pPr>
      <w:r>
        <w:rPr>
          <w:b/>
          <w:bCs/>
        </w:rPr>
        <w:t xml:space="preserve">Pense assim:</w:t>
      </w:r>
      <w:r>
        <w:t xml:space="preserve"> </w:t>
      </w:r>
      <w:r>
        <w:t xml:space="preserve">Em um call center, substituir atendentes humanos por chatbots de IA é relativamente fácil (elasticidade alta). Já em uma cirurgia cardíaca, trocar o cirurgião por um robô é muito mais difícil (elasticidade baixa). Quanto mais rígida a receita de produção, menor a elasticidade.</w:t>
      </w:r>
    </w:p>
    <w:p>
      <w:pPr>
        <w:pStyle w:val="BlockText"/>
      </w:pPr>
      <w:r>
        <w:rPr>
          <w:b/>
          <w:bCs/>
        </w:rPr>
        <w:t xml:space="preserve">Por que isso importa:</w:t>
      </w:r>
      <w:r>
        <w:t xml:space="preserve"> </w:t>
      </w:r>
      <w:r>
        <w:t xml:space="preserve">A elasticidade de substituição determina quem ganha e quem perde quando o salário mínimo sobe ou quando a automação avança — questões centrais no debate sobre desigualdade e futuro do trabalho no Brasil.</w:t>
      </w:r>
    </w:p>
    <w:bookmarkStart w:id="650" w:name="Xd60382d2192029f2cdca60cd3d4bc6ee3d4a53b"/>
    <w:p>
      <w:pPr>
        <w:pStyle w:val="Heading4"/>
      </w:pPr>
      <w:r>
        <w:t xml:space="preserve">Demonstração: Elasticidade de substituição para Cobb-Douglas</w:t>
      </w:r>
    </w:p>
    <w:p>
      <w:pPr>
        <w:pStyle w:val="BlockText"/>
      </w:pPr>
      <w:r>
        <w:rPr>
          <w:b/>
          <w:bCs/>
        </w:rPr>
        <w:t xml:space="preserve">[DEMONSTRACAO] Demonstração:</w:t>
      </w:r>
      <w:r>
        <w:rPr>
          <w:b/>
          <w:bCs/>
        </w:rPr>
        <w:t xml:space="preserve"> </w:t>
      </w:r>
      <m:oMath>
        <m:r>
          <m:t>σ</m:t>
        </m:r>
        <m:r>
          <m:rPr>
            <m:sty m:val="p"/>
          </m:rPr>
          <m:t>=</m:t>
        </m:r>
        <m:r>
          <m:t>1</m:t>
        </m:r>
      </m:oMath>
      <w:r>
        <w:rPr>
          <w:b/>
          <w:bCs/>
        </w:rPr>
        <w:t xml:space="preserve"> </w:t>
      </w:r>
      <w:r>
        <w:rPr>
          <w:b/>
          <w:bCs/>
        </w:rPr>
        <w:t xml:space="preserve">para a função Cobb-Douglas</w:t>
      </w:r>
    </w:p>
    <w:p>
      <w:pPr>
        <w:pStyle w:val="BlockText"/>
      </w:pPr>
      <w:r>
        <w:t xml:space="preserve">Considere a função de produção Cobb-Douglas:</w:t>
      </w:r>
    </w:p>
    <w:p>
      <w:pPr>
        <w:pStyle w:val="BlockText"/>
      </w:pPr>
      <w:r>
        <w:t xml:space="preserve">$$</w:t>
      </w:r>
    </w:p>
    <w:p>
      <w:pPr>
        <w:pStyle w:val="BlockText"/>
      </w:pPr>
      <w:r>
        <w:t xml:space="preserve">q = A K^{</w:t>
      </w:r>
      <w:r>
        <w:t xml:space="preserve">} L^{</w:t>
      </w:r>
      <w:r>
        <w:t xml:space="preserve">}</w:t>
      </w:r>
    </w:p>
    <w:p>
      <w:pPr>
        <w:pStyle w:val="BlockText"/>
      </w:pPr>
      <w:r>
        <w:t xml:space="preserve">$$</w:t>
      </w:r>
    </w:p>
    <w:p>
      <w:pPr>
        <w:pStyle w:val="BlockText"/>
      </w:pPr>
      <w:r>
        <w:rPr>
          <w:b/>
          <w:bCs/>
        </w:rPr>
        <w:t xml:space="preserve">Passo 1.</w:t>
      </w:r>
      <w:r>
        <w:t xml:space="preserve"> </w:t>
      </w:r>
      <w:r>
        <w:t xml:space="preserve">Calculamos os produtos marginais:</w:t>
      </w:r>
    </w:p>
    <w:p>
      <w:pPr>
        <w:pStyle w:val="BlockText"/>
      </w:pPr>
      <w:r>
        <w:t xml:space="preserve">$$</w:t>
      </w:r>
    </w:p>
    <w:p>
      <w:pPr>
        <w:pStyle w:val="BlockText"/>
      </w:pPr>
      <w:r>
        <w:t xml:space="preserve">f_K =</w:t>
      </w:r>
      <w:r>
        <w:t xml:space="preserve"> </w:t>
      </w:r>
      <w:r>
        <w:t xml:space="preserve">A K^{</w:t>
      </w:r>
      <w:r>
        <w:t xml:space="preserve">- 1} L^{</w:t>
      </w:r>
      <w:r>
        <w:t xml:space="preserve">},</w:t>
      </w:r>
      <w:r>
        <w:t xml:space="preserve"> </w:t>
      </w:r>
      <w:r>
        <w:t xml:space="preserve">f_L =</w:t>
      </w:r>
      <w:r>
        <w:t xml:space="preserve"> </w:t>
      </w:r>
      <w:r>
        <w:t xml:space="preserve">A K^{</w:t>
      </w:r>
      <w:r>
        <w:t xml:space="preserve">} L^{</w:t>
      </w:r>
      <w:r>
        <w:t xml:space="preserve">- 1}</w:t>
      </w:r>
    </w:p>
    <w:p>
      <w:pPr>
        <w:pStyle w:val="BlockText"/>
      </w:pPr>
      <w:r>
        <w:t xml:space="preserve">$$</w:t>
      </w:r>
    </w:p>
    <w:p>
      <w:pPr>
        <w:pStyle w:val="BlockText"/>
      </w:pPr>
      <w:r>
        <w:rPr>
          <w:b/>
          <w:bCs/>
        </w:rPr>
        <w:t xml:space="preserve">Passo 2.</w:t>
      </w:r>
      <w:r>
        <w:t xml:space="preserve"> </w:t>
      </w:r>
      <w:r>
        <w:t xml:space="preserve">A TMST é:</w:t>
      </w:r>
    </w:p>
    <w:p>
      <w:pPr>
        <w:pStyle w:val="BlockText"/>
      </w:pPr>
      <w:r>
        <w:t xml:space="preserve">$$</w:t>
      </w:r>
    </w:p>
    <w:p>
      <w:pPr>
        <w:pStyle w:val="BlockText"/>
      </w:pPr>
      <w:r>
        <w:t xml:space="preserve">_{L,K} =</w:t>
      </w:r>
      <w:r>
        <w:t xml:space="preserve"> </w:t>
      </w:r>
      <w:r>
        <w:t xml:space="preserve"> </w:t>
      </w:r>
      <w:r>
        <w:t xml:space="preserve">=</w:t>
      </w:r>
      <w:r>
        <w:t xml:space="preserve"> </w:t>
      </w:r>
      <w:r>
        <w:t xml:space="preserve"> </w:t>
      </w:r>
      <w:r>
        <w:t xml:space="preserve">=</w:t>
      </w:r>
      <w:r>
        <w:t xml:space="preserve"> </w:t>
      </w:r>
      <w:r>
        <w:t xml:space="preserve"> </w:t>
      </w:r>
    </w:p>
    <w:p>
      <w:pPr>
        <w:pStyle w:val="BlockText"/>
      </w:pPr>
      <w:r>
        <w:t xml:space="preserve">$$</w:t>
      </w:r>
    </w:p>
    <w:p>
      <w:pPr>
        <w:pStyle w:val="BlockText"/>
      </w:pPr>
      <w:r>
        <w:rPr>
          <w:b/>
          <w:bCs/>
        </w:rPr>
        <w:t xml:space="preserve">Passo 3.</w:t>
      </w:r>
      <w:r>
        <w:t xml:space="preserve"> </w:t>
      </w:r>
      <w:r>
        <w:t xml:space="preserve">Portanto:</w:t>
      </w:r>
    </w:p>
    <w:p>
      <w:pPr>
        <w:pStyle w:val="BlockText"/>
      </w:pPr>
      <w:r>
        <w:t xml:space="preserve">$$</w:t>
      </w:r>
    </w:p>
    <w:p>
      <w:pPr>
        <w:pStyle w:val="BlockText"/>
      </w:pPr>
      <w:r>
        <w:t xml:space="preserve">(</w:t>
      </w:r>
      <w:r>
        <w:t xml:space="preserve">) =</w:t>
      </w:r>
      <w:r>
        <w:t xml:space="preserve"> </w:t>
      </w:r>
      <w:r>
        <w:t xml:space="preserve">(</w:t>
      </w:r>
      <w:r>
        <w:t xml:space="preserve">) +</w:t>
      </w:r>
      <w:r>
        <w:t xml:space="preserve"> </w:t>
      </w:r>
      <w:r>
        <w:t xml:space="preserve">(</w:t>
      </w:r>
      <w:r>
        <w:t xml:space="preserve">_{L,K})</w:t>
      </w:r>
    </w:p>
    <w:p>
      <w:pPr>
        <w:pStyle w:val="BlockText"/>
      </w:pPr>
      <w:r>
        <w:t xml:space="preserve">$$</w:t>
      </w:r>
    </w:p>
    <w:p>
      <w:pPr>
        <w:pStyle w:val="BlockText"/>
      </w:pPr>
      <w:r>
        <w:rPr>
          <w:b/>
          <w:bCs/>
        </w:rPr>
        <w:t xml:space="preserve">Passo 4.</w:t>
      </w:r>
      <w:r>
        <w:t xml:space="preserve"> </w:t>
      </w:r>
      <w:r>
        <w:t xml:space="preserve">Diferenciando:</w:t>
      </w:r>
    </w:p>
    <w:p>
      <w:pPr>
        <w:pStyle w:val="BlockText"/>
      </w:pPr>
      <w:r>
        <w:t xml:space="preserve">$$</w:t>
      </w:r>
    </w:p>
    <w:p>
      <w:pPr>
        <w:pStyle w:val="BlockText"/>
      </w:pPr>
      <w:r>
        <w:t xml:space="preserve">=</w:t>
      </w:r>
      <w:r>
        <w:t xml:space="preserve"> </w:t>
      </w:r>
      <w:r>
        <w:t xml:space="preserve"> </w:t>
      </w:r>
      <w:r>
        <w:t xml:space="preserve">= 1</w:t>
      </w:r>
    </w:p>
    <w:p>
      <w:pPr>
        <w:pStyle w:val="BlockText"/>
      </w:pPr>
      <w:r>
        <w:t xml:space="preserve">$$</w:t>
      </w:r>
    </w:p>
    <w:p>
      <w:pPr>
        <w:pStyle w:val="BlockText"/>
      </w:pPr>
      <w:r>
        <w:t xml:space="preserve">Portanto, a elasticidade de substituição da função Cobb-Douglas é unitária, independentemente dos valores de</w:t>
      </w:r>
      <w:r>
        <w:t xml:space="preserve"> </w:t>
      </w:r>
      <m:oMath>
        <m:r>
          <m:t>α</m:t>
        </m:r>
      </m:oMath>
      <w:r>
        <w:t xml:space="preserve"> </w:t>
      </w:r>
      <w:r>
        <w:t xml:space="preserve">e</w:t>
      </w:r>
      <w:r>
        <w:t xml:space="preserve"> </w:t>
      </w:r>
      <m:oMath>
        <m:r>
          <m:t>β</m:t>
        </m:r>
      </m:oMath>
      <w:r>
        <w:t xml:space="preserve">.</w:t>
      </w:r>
      <w:r>
        <w:t xml:space="preserve"> </w:t>
      </w:r>
      <m:oMath>
        <m:r>
          <m:rPr>
            <m:sty m:val="p"/>
          </m:rPr>
          <m:t>◼</m:t>
        </m:r>
      </m:oMath>
    </w:p>
    <w:p>
      <w:pPr>
        <w:pStyle w:val="BlockText"/>
      </w:pPr>
      <w:r>
        <w:rPr>
          <w:b/>
          <w:bCs/>
        </w:rPr>
        <w:t xml:space="preserve">[EXEMPLO] Exemplo: Elasticidade de substituição na indústria brasileira</w:t>
      </w:r>
    </w:p>
    <w:p>
      <w:pPr>
        <w:pStyle w:val="BlockText"/>
      </w:pPr>
      <w:r>
        <w:t xml:space="preserve">A elasticidade de substituição tem implicações diretas para o mercado de trabalho. Quando</w:t>
      </w:r>
      <w:r>
        <w:t xml:space="preserve"> </w:t>
      </w:r>
      <m:oMath>
        <m:r>
          <m:t>σ</m:t>
        </m:r>
      </m:oMath>
      <w:r>
        <w:t xml:space="preserve"> </w:t>
      </w:r>
      <w:r>
        <w:t xml:space="preserve">é alto, as firmas substituem trabalho por capital (automação) com relativa facilidade. A literatura empírica aponta valores de</w:t>
      </w:r>
      <w:r>
        <w:t xml:space="preserve"> </w:t>
      </w:r>
      <m:oMath>
        <m:r>
          <m:t>σ</m:t>
        </m:r>
      </m:oMath>
      <w:r>
        <w:t xml:space="preserve"> </w:t>
      </w:r>
      <w:r>
        <w:t xml:space="preserve">entre 0,4 e 0,6 para o setor manufatureiro em diversas economias (Chirinko, 2008), e estudos com dados brasileiros encontram valores consistentemente abaixo de 1. Isso indica que capital e trabalho são complementares — mas não tanto quanto no caso Leontief puro (</w:t>
      </w:r>
      <m:oMath>
        <m:r>
          <m:t>σ</m:t>
        </m:r>
        <m:r>
          <m:rPr>
            <m:sty m:val="p"/>
          </m:rPr>
          <m:t>=</m:t>
        </m:r>
        <m:r>
          <m:t>0</m:t>
        </m:r>
      </m:oMath>
      <w:r>
        <w:t xml:space="preserve">). Esse grau intermediário de complementaridade ajuda a explicar por que a automação industrial desloca trabalhadores de forma menos abrupta do que ocorreria com</w:t>
      </w:r>
      <w:r>
        <w:t xml:space="preserve"> </w:t>
      </w:r>
      <m:oMath>
        <m:r>
          <m:t>σ</m:t>
        </m:r>
      </m:oMath>
      <w:r>
        <w:t xml:space="preserve"> </w:t>
      </w:r>
      <w:r>
        <w:t xml:space="preserve">mais elevado, mas ainda assim gera pressão sobre ocupações de baixa qualificação.</w:t>
      </w:r>
    </w:p>
    <w:p>
      <w:pPr>
        <w:pStyle w:val="BlockText"/>
      </w:pPr>
      <w:r>
        <w:rPr>
          <w:b/>
          <w:bCs/>
        </w:rPr>
        <w:t xml:space="preserve">[EXERCICIO RESOLVIDO] Exercício Resolvido 10.4</w:t>
      </w:r>
    </w:p>
    <w:p>
      <w:pPr>
        <w:pStyle w:val="BlockText"/>
      </w:pPr>
      <w:r>
        <w:rPr>
          <w:b/>
          <w:bCs/>
        </w:rPr>
        <w:t xml:space="preserve">Enunciado:</w:t>
      </w:r>
      <w:r>
        <w:t xml:space="preserve"> </w:t>
      </w:r>
      <w:r>
        <w:t xml:space="preserve">Uma firma opera com a função de produção CES</w:t>
      </w:r>
      <w:r>
        <w:t xml:space="preserve"> </w:t>
      </w:r>
      <m:oMath>
        <m:r>
          <m:t>q</m:t>
        </m:r>
        <m:r>
          <m:rPr>
            <m:sty m:val="p"/>
          </m:rPr>
          <m:t>=</m:t>
        </m:r>
        <m:sSup>
          <m:e>
            <m:d>
              <m:dPr>
                <m:begChr m:val="["/>
                <m:sepChr m:val=""/>
                <m:endChr m:val="]"/>
                <m:grow/>
              </m:dPr>
              <m:e>
                <m:r>
                  <m:t>0</m:t>
                </m:r>
                <m:r>
                  <m:rPr>
                    <m:sty m:val="p"/>
                  </m:rPr>
                  <m:t>,</m:t>
                </m:r>
                <m:r>
                  <m:t>5</m:t>
                </m:r>
                <m:sSup>
                  <m:e>
                    <m:r>
                      <m:t>K</m:t>
                    </m:r>
                  </m:e>
                  <m:sup>
                    <m:r>
                      <m:rPr>
                        <m:sty m:val="p"/>
                      </m:rPr>
                      <m:t>−</m:t>
                    </m:r>
                    <m:r>
                      <m:t>1</m:t>
                    </m:r>
                  </m:sup>
                </m:sSup>
                <m:r>
                  <m:rPr>
                    <m:sty m:val="p"/>
                  </m:rPr>
                  <m:t>+</m:t>
                </m:r>
                <m:r>
                  <m:t>0</m:t>
                </m:r>
                <m:r>
                  <m:rPr>
                    <m:sty m:val="p"/>
                  </m:rPr>
                  <m:t>,</m:t>
                </m:r>
                <m:r>
                  <m:t>5</m:t>
                </m:r>
                <m:sSup>
                  <m:e>
                    <m:r>
                      <m:t>L</m:t>
                    </m:r>
                  </m:e>
                  <m:sup>
                    <m:r>
                      <m:rPr>
                        <m:sty m:val="p"/>
                      </m:rPr>
                      <m:t>−</m:t>
                    </m:r>
                    <m:r>
                      <m:t>1</m:t>
                    </m:r>
                  </m:sup>
                </m:sSup>
              </m:e>
            </m:d>
          </m:e>
          <m:sup>
            <m:r>
              <m:rPr>
                <m:sty m:val="p"/>
              </m:rPr>
              <m:t>−</m:t>
            </m:r>
            <m:r>
              <m:t>1</m:t>
            </m:r>
          </m:sup>
        </m:sSup>
      </m:oMath>
      <w:r>
        <w:t xml:space="preserve">. Calcule a elasticidade de substituição e a TMST quando</w:t>
      </w:r>
      <w:r>
        <w:t xml:space="preserve"> </w:t>
      </w:r>
      <m:oMath>
        <m:r>
          <m:t>K</m:t>
        </m:r>
        <m:r>
          <m:rPr>
            <m:sty m:val="p"/>
          </m:rPr>
          <m:t>=</m:t>
        </m:r>
        <m:r>
          <m:t>8</m:t>
        </m:r>
      </m:oMath>
      <w:r>
        <w:t xml:space="preserve"> </w:t>
      </w:r>
      <w:r>
        <w:t xml:space="preserve">e</w:t>
      </w:r>
      <w:r>
        <w:t xml:space="preserve"> </w:t>
      </w:r>
      <m:oMath>
        <m:r>
          <m:t>L</m:t>
        </m:r>
        <m:r>
          <m:rPr>
            <m:sty m:val="p"/>
          </m:rPr>
          <m:t>=</m:t>
        </m:r>
        <m:r>
          <m:t>2</m:t>
        </m:r>
      </m:oMath>
      <w:r>
        <w:t xml:space="preserve">.</w:t>
      </w:r>
    </w:p>
    <w:p>
      <w:pPr>
        <w:pStyle w:val="BlockText"/>
      </w:pPr>
      <w:r>
        <w:rPr>
          <w:b/>
          <w:bCs/>
        </w:rPr>
        <w:t xml:space="preserve">Dados:</w:t>
      </w:r>
      <w:r>
        <w:t xml:space="preserve"> </w:t>
      </w:r>
      <m:oMath>
        <m:r>
          <m:t>δ</m:t>
        </m:r>
        <m:r>
          <m:rPr>
            <m:sty m:val="p"/>
          </m:rPr>
          <m:t>=</m:t>
        </m:r>
        <m:r>
          <m:t>0</m:t>
        </m:r>
        <m:r>
          <m:rPr>
            <m:sty m:val="p"/>
          </m:rPr>
          <m:t>,</m:t>
        </m:r>
        <m:r>
          <m:t>5</m:t>
        </m:r>
      </m:oMath>
      <w:r>
        <w:t xml:space="preserve">,</w:t>
      </w:r>
      <w:r>
        <w:t xml:space="preserve"> </w:t>
      </w:r>
      <m:oMath>
        <m:r>
          <m:t>ρ</m:t>
        </m:r>
        <m:r>
          <m:rPr>
            <m:sty m:val="p"/>
          </m:rPr>
          <m:t>=</m:t>
        </m:r>
        <m:r>
          <m:rPr>
            <m:sty m:val="p"/>
          </m:rPr>
          <m:t>−</m:t>
        </m:r>
        <m:r>
          <m:t>1</m:t>
        </m:r>
      </m:oMath>
      <w:r>
        <w:t xml:space="preserve">,</w:t>
      </w:r>
      <w:r>
        <w:t xml:space="preserve"> </w:t>
      </w:r>
      <m:oMath>
        <m:r>
          <m:t>γ</m:t>
        </m:r>
        <m:r>
          <m:rPr>
            <m:sty m:val="p"/>
          </m:rPr>
          <m:t>=</m:t>
        </m:r>
        <m:r>
          <m:t>1</m:t>
        </m:r>
      </m:oMath>
      <w:r>
        <w:t xml:space="preserve">.</w:t>
      </w:r>
    </w:p>
    <w:p>
      <w:pPr>
        <w:pStyle w:val="BlockText"/>
      </w:pPr>
      <w:r>
        <w:rPr>
          <w:b/>
          <w:bCs/>
        </w:rPr>
        <w:t xml:space="preserve">Resolução:</w:t>
      </w:r>
    </w:p>
    <w:p>
      <w:pPr>
        <w:pStyle w:val="BlockText"/>
      </w:pPr>
      <w:r>
        <w:rPr>
          <w:b/>
          <w:bCs/>
        </w:rPr>
        <w:t xml:space="preserve">Passo 1 — Elasticidade de substituição</w:t>
      </w:r>
    </w:p>
    <w:p>
      <w:pPr>
        <w:pStyle w:val="BlockText"/>
      </w:pPr>
      <w:r>
        <w:t xml:space="preserve">Para a CES,</w:t>
      </w:r>
      <w:r>
        <w:t xml:space="preserve"> </w:t>
      </w:r>
      <m:oMath>
        <m:r>
          <m:t>σ</m:t>
        </m:r>
        <m:r>
          <m:rPr>
            <m:sty m:val="p"/>
          </m:rPr>
          <m:t>=</m:t>
        </m:r>
        <m:f>
          <m:fPr>
            <m:type m:val="bar"/>
          </m:fPr>
          <m:num>
            <m:r>
              <m:t>1</m:t>
            </m:r>
          </m:num>
          <m:den>
            <m:r>
              <m:t>1</m:t>
            </m:r>
            <m:r>
              <m:rPr>
                <m:sty m:val="p"/>
              </m:rPr>
              <m:t>−</m:t>
            </m:r>
            <m:r>
              <m:t>ρ</m:t>
            </m:r>
          </m:den>
        </m:f>
        <m:r>
          <m:rPr>
            <m:sty m:val="p"/>
          </m:rPr>
          <m:t>=</m:t>
        </m:r>
        <m:f>
          <m:fPr>
            <m:type m:val="bar"/>
          </m:fPr>
          <m:num>
            <m:r>
              <m:t>1</m:t>
            </m:r>
          </m:num>
          <m:den>
            <m:r>
              <m:t>1</m:t>
            </m:r>
            <m:r>
              <m:rPr>
                <m:sty m:val="p"/>
              </m:rPr>
              <m:t>−</m:t>
            </m:r>
            <m:r>
              <m:rPr>
                <m:sty m:val="p"/>
              </m:rPr>
              <m:t>(</m:t>
            </m:r>
            <m:r>
              <m:rPr>
                <m:sty m:val="p"/>
              </m:rPr>
              <m:t>−</m:t>
            </m:r>
            <m:r>
              <m:t>1</m:t>
            </m:r>
            <m:r>
              <m:rPr>
                <m:sty m:val="p"/>
              </m:rPr>
              <m:t>)</m:t>
            </m:r>
          </m:den>
        </m:f>
        <m:r>
          <m:rPr>
            <m:sty m:val="p"/>
          </m:rPr>
          <m:t>=</m:t>
        </m:r>
        <m:f>
          <m:fPr>
            <m:type m:val="bar"/>
          </m:fPr>
          <m:num>
            <m:r>
              <m:t>1</m:t>
            </m:r>
          </m:num>
          <m:den>
            <m:r>
              <m:t>2</m:t>
            </m:r>
          </m:den>
        </m:f>
        <m:r>
          <m:rPr>
            <m:sty m:val="p"/>
          </m:rPr>
          <m:t>=</m:t>
        </m:r>
        <m:r>
          <m:t>0</m:t>
        </m:r>
        <m:r>
          <m:rPr>
            <m:sty m:val="p"/>
          </m:rPr>
          <m:t>,</m:t>
        </m:r>
        <m:r>
          <m:t>5</m:t>
        </m:r>
      </m:oMath>
      <w:r>
        <w:t xml:space="preserve">.</w:t>
      </w:r>
    </w:p>
    <w:p>
      <w:pPr>
        <w:pStyle w:val="BlockText"/>
      </w:pPr>
      <w:r>
        <w:rPr>
          <w:b/>
          <w:bCs/>
        </w:rPr>
        <w:t xml:space="preserve">Passo 2 — Produto total</w:t>
      </w:r>
    </w:p>
    <w:p>
      <w:pPr>
        <w:pStyle w:val="BlockText"/>
      </w:pPr>
      <w:r>
        <w:t xml:space="preserve">$$</w:t>
      </w:r>
    </w:p>
    <w:p>
      <w:pPr>
        <w:pStyle w:val="BlockText"/>
      </w:pPr>
      <w:r>
        <w:t xml:space="preserve">q =</w:t>
      </w:r>
      <w:r>
        <w:t xml:space="preserve"> </w:t>
      </w:r>
      <w:r>
        <w:t xml:space="preserve">^{-1} =</w:t>
      </w:r>
      <w:r>
        <w:t xml:space="preserve"> </w:t>
      </w:r>
      <w:r>
        <w:t xml:space="preserve">^{-1} =</w:t>
      </w:r>
      <w:r>
        <w:t xml:space="preserve"> </w:t>
      </w:r>
      <w:r>
        <w:t xml:space="preserve">^{-1} = (0{,}3125)^{-1} = 3{,}2</w:t>
      </w:r>
    </w:p>
    <w:p>
      <w:pPr>
        <w:pStyle w:val="BlockText"/>
      </w:pPr>
      <w:r>
        <w:t xml:space="preserve">$$</w:t>
      </w:r>
    </w:p>
    <w:p>
      <w:pPr>
        <w:pStyle w:val="BlockText"/>
      </w:pPr>
      <w:r>
        <w:rPr>
          <w:b/>
          <w:bCs/>
        </w:rPr>
        <w:t xml:space="preserve">Passo 3 — TMST</w:t>
      </w:r>
    </w:p>
    <w:p>
      <w:pPr>
        <w:pStyle w:val="BlockText"/>
      </w:pPr>
      <w:r>
        <w:t xml:space="preserve">Para a CES:</w:t>
      </w:r>
      <w:r>
        <w:t xml:space="preserve"> </w:t>
      </w:r>
      <m:oMath>
        <m:sSub>
          <m:e>
            <m:r>
              <m:rPr>
                <m:sty m:val="p"/>
              </m:rPr>
              <m:t>T</m:t>
            </m:r>
            <m:r>
              <m:rPr>
                <m:sty m:val="p"/>
              </m:rPr>
              <m:t>M</m:t>
            </m:r>
            <m:r>
              <m:rPr>
                <m:sty m:val="p"/>
              </m:rPr>
              <m:t>S</m:t>
            </m:r>
            <m:r>
              <m:rPr>
                <m:sty m:val="p"/>
              </m:rPr>
              <m:t>T</m:t>
            </m:r>
          </m:e>
          <m:sub>
            <m:r>
              <m:t>L</m:t>
            </m:r>
            <m:r>
              <m:rPr>
                <m:sty m:val="p"/>
              </m:rPr>
              <m:t>,</m:t>
            </m:r>
            <m:r>
              <m:t>K</m:t>
            </m:r>
          </m:sub>
        </m:sSub>
        <m:r>
          <m:rPr>
            <m:sty m:val="p"/>
          </m:rPr>
          <m:t>=</m:t>
        </m:r>
        <m:f>
          <m:fPr>
            <m:type m:val="bar"/>
          </m:fPr>
          <m:num>
            <m:r>
              <m:t>1</m:t>
            </m:r>
            <m:r>
              <m:rPr>
                <m:sty m:val="p"/>
              </m:rPr>
              <m:t>−</m:t>
            </m:r>
            <m:r>
              <m:t>δ</m:t>
            </m:r>
          </m:num>
          <m:den>
            <m:r>
              <m:t>δ</m:t>
            </m:r>
          </m:den>
        </m:f>
        <m:sSup>
          <m:e>
            <m:d>
              <m:dPr>
                <m:begChr m:val="("/>
                <m:sepChr m:val=""/>
                <m:endChr m:val=")"/>
                <m:grow/>
              </m:dPr>
              <m:e>
                <m:f>
                  <m:fPr>
                    <m:type m:val="bar"/>
                  </m:fPr>
                  <m:num>
                    <m:r>
                      <m:t>K</m:t>
                    </m:r>
                  </m:num>
                  <m:den>
                    <m:r>
                      <m:t>L</m:t>
                    </m:r>
                  </m:den>
                </m:f>
              </m:e>
            </m:d>
          </m:e>
          <m:sup>
            <m:r>
              <m:t>1</m:t>
            </m:r>
            <m:r>
              <m:rPr>
                <m:sty m:val="p"/>
              </m:rPr>
              <m:t>−</m:t>
            </m:r>
            <m:r>
              <m:t>ρ</m:t>
            </m:r>
          </m:sup>
        </m:sSup>
        <m:r>
          <m:rPr>
            <m:sty m:val="p"/>
          </m:rPr>
          <m:t>=</m:t>
        </m:r>
        <m:f>
          <m:fPr>
            <m:type m:val="bar"/>
          </m:fPr>
          <m:num>
            <m:r>
              <m:t>0</m:t>
            </m:r>
            <m:r>
              <m:rPr>
                <m:sty m:val="p"/>
              </m:rPr>
              <m:t>,</m:t>
            </m:r>
            <m:r>
              <m:t>5</m:t>
            </m:r>
          </m:num>
          <m:den>
            <m:r>
              <m:t>0</m:t>
            </m:r>
            <m:r>
              <m:rPr>
                <m:sty m:val="p"/>
              </m:rPr>
              <m:t>,</m:t>
            </m:r>
            <m:r>
              <m:t>5</m:t>
            </m:r>
          </m:den>
        </m:f>
        <m:sSup>
          <m:e>
            <m:d>
              <m:dPr>
                <m:begChr m:val="("/>
                <m:sepChr m:val=""/>
                <m:endChr m:val=")"/>
                <m:grow/>
              </m:dPr>
              <m:e>
                <m:f>
                  <m:fPr>
                    <m:type m:val="bar"/>
                  </m:fPr>
                  <m:num>
                    <m:r>
                      <m:t>8</m:t>
                    </m:r>
                  </m:num>
                  <m:den>
                    <m:r>
                      <m:t>2</m:t>
                    </m:r>
                  </m:den>
                </m:f>
              </m:e>
            </m:d>
          </m:e>
          <m:sup>
            <m:r>
              <m:t>1</m:t>
            </m:r>
            <m:r>
              <m:rPr>
                <m:sty m:val="p"/>
              </m:rPr>
              <m:t>−</m:t>
            </m:r>
            <m:r>
              <m:rPr>
                <m:sty m:val="p"/>
              </m:rPr>
              <m:t>(</m:t>
            </m:r>
            <m:r>
              <m:rPr>
                <m:sty m:val="p"/>
              </m:rPr>
              <m:t>−</m:t>
            </m:r>
            <m:r>
              <m:t>1</m:t>
            </m:r>
            <m:r>
              <m:rPr>
                <m:sty m:val="p"/>
              </m:rPr>
              <m:t>)</m:t>
            </m:r>
          </m:sup>
        </m:sSup>
        <m:r>
          <m:rPr>
            <m:sty m:val="p"/>
          </m:rPr>
          <m:t>=</m:t>
        </m:r>
        <m:r>
          <m:t>1</m:t>
        </m:r>
        <m:r>
          <m:rPr>
            <m:sty m:val="p"/>
          </m:rPr>
          <m:t>⋅</m:t>
        </m:r>
        <m:sSup>
          <m:e>
            <m:r>
              <m:t>4</m:t>
            </m:r>
          </m:e>
          <m:sup>
            <m:r>
              <m:t>2</m:t>
            </m:r>
          </m:sup>
        </m:sSup>
        <m:r>
          <m:rPr>
            <m:sty m:val="p"/>
          </m:rPr>
          <m:t>=</m:t>
        </m:r>
        <m:r>
          <m:t>16</m:t>
        </m:r>
      </m:oMath>
    </w:p>
    <w:p>
      <w:pPr>
        <w:pStyle w:val="BlockText"/>
      </w:pPr>
      <w:r>
        <w:rPr>
          <w:b/>
          <w:bCs/>
        </w:rPr>
        <w:t xml:space="preserve">Resultado:</w:t>
      </w:r>
      <w:r>
        <w:t xml:space="preserve"> </w:t>
      </w:r>
      <m:oMath>
        <m:r>
          <m:t>σ</m:t>
        </m:r>
        <m:r>
          <m:rPr>
            <m:sty m:val="p"/>
          </m:rPr>
          <m:t>=</m:t>
        </m:r>
        <m:r>
          <m:t>0</m:t>
        </m:r>
        <m:r>
          <m:rPr>
            <m:sty m:val="p"/>
          </m:rPr>
          <m:t>,</m:t>
        </m:r>
        <m:r>
          <m:t>5</m:t>
        </m:r>
      </m:oMath>
      <w:r>
        <w:t xml:space="preserve">,</w:t>
      </w:r>
      <w:r>
        <w:t xml:space="preserve"> </w:t>
      </w:r>
      <m:oMath>
        <m:r>
          <m:t>q</m:t>
        </m:r>
        <m:r>
          <m:rPr>
            <m:sty m:val="p"/>
          </m:rPr>
          <m:t>=</m:t>
        </m:r>
        <m:r>
          <m:t>3</m:t>
        </m:r>
        <m:r>
          <m:rPr>
            <m:sty m:val="p"/>
          </m:rPr>
          <m:t>,</m:t>
        </m:r>
        <m:r>
          <m:t>2</m:t>
        </m:r>
      </m:oMath>
      <w:r>
        <w:t xml:space="preserve">,</w:t>
      </w:r>
      <w:r>
        <w:t xml:space="preserve"> </w:t>
      </w:r>
      <m:oMath>
        <m:r>
          <m:rPr>
            <m:sty m:val="p"/>
          </m:rPr>
          <m:t>T</m:t>
        </m:r>
        <m:r>
          <m:rPr>
            <m:sty m:val="p"/>
          </m:rPr>
          <m:t>M</m:t>
        </m:r>
        <m:r>
          <m:rPr>
            <m:sty m:val="p"/>
          </m:rPr>
          <m:t>S</m:t>
        </m:r>
        <m:r>
          <m:rPr>
            <m:sty m:val="p"/>
          </m:rPr>
          <m:t>T</m:t>
        </m:r>
        <m:r>
          <m:rPr>
            <m:sty m:val="p"/>
          </m:rPr>
          <m:t>=</m:t>
        </m:r>
        <m:r>
          <m:t>16</m:t>
        </m:r>
      </m:oMath>
      <w:r>
        <w:t xml:space="preserve">.</w:t>
      </w:r>
    </w:p>
    <w:p>
      <w:pPr>
        <w:pStyle w:val="BlockText"/>
      </w:pPr>
      <w:r>
        <w:rPr>
          <w:b/>
          <w:bCs/>
        </w:rPr>
        <w:t xml:space="preserve">Interpretação econômica:</w:t>
      </w:r>
      <w:r>
        <w:t xml:space="preserve"> </w:t>
      </w:r>
      <w:r>
        <w:t xml:space="preserve">Com</w:t>
      </w:r>
      <w:r>
        <w:t xml:space="preserve"> </w:t>
      </w:r>
      <m:oMath>
        <m:r>
          <m:t>σ</m:t>
        </m:r>
        <m:r>
          <m:rPr>
            <m:sty m:val="p"/>
          </m:rPr>
          <m:t>=</m:t>
        </m:r>
        <m:r>
          <m:t>0</m:t>
        </m:r>
        <m:r>
          <m:rPr>
            <m:sty m:val="p"/>
          </m:rPr>
          <m:t>,</m:t>
        </m:r>
        <m:r>
          <m:t>5</m:t>
        </m:r>
        <m:r>
          <m:rPr>
            <m:sty m:val="p"/>
          </m:rPr>
          <m:t>&lt;</m:t>
        </m:r>
        <m:r>
          <m:t>1</m:t>
        </m:r>
      </m:oMath>
      <w:r>
        <w:t xml:space="preserve">, capital e trabalho são mais complementares do que na Cobb-Douglas. A TMST de 16 indica que, nessa combinação capital-intensiva (</w:t>
      </w:r>
      <m:oMath>
        <m:r>
          <m:t>K</m:t>
        </m:r>
        <m:r>
          <m:rPr>
            <m:sty m:val="p"/>
          </m:rPr>
          <m:t>/</m:t>
        </m:r>
        <m:r>
          <m:t>L</m:t>
        </m:r>
        <m:r>
          <m:rPr>
            <m:sty m:val="p"/>
          </m:rPr>
          <m:t>=</m:t>
        </m:r>
        <m:r>
          <m:t>4</m:t>
        </m:r>
      </m:oMath>
      <w:r>
        <w:t xml:space="preserve">), a firma precisaria de 16 unidades adicionais de trabalho para compensar a perda de 1 unidade de capital — a substituição é muito difícil, justamente porque a baixa elasticidade torna os insumos pouco intercambiáveis. Esse padrão é compatível com setores industriais brasileiros como a petroquímica, onde a substituição entre trabalho e capital é limitada pela natureza dos processos produtivos.</w:t>
      </w:r>
    </w:p>
    <w:p>
      <w:pPr>
        <w:pStyle w:val="BlockText"/>
      </w:pPr>
      <w:r>
        <w:rPr>
          <w:b/>
          <w:bCs/>
        </w:rPr>
        <w:t xml:space="preserve">[BOX MUNDO] Box Mundo 10.2 — A elasticidade de substituição capital-trabalho na Europa</w:t>
      </w:r>
    </w:p>
    <w:p>
      <w:pPr>
        <w:pStyle w:val="BlockText"/>
      </w:pPr>
      <w:r>
        <w:rPr>
          <w:b/>
          <w:bCs/>
        </w:rPr>
        <w:t xml:space="preserve">Contexto:</w:t>
      </w:r>
      <w:r>
        <w:t xml:space="preserve"> </w:t>
      </w:r>
      <w:r>
        <w:t xml:space="preserve">A participação do trabalho na renda nacional — a fração do PIB que vai para salários e remunerações — declinou em quase todos os países desenvolvidos entre 1975 e 2012. Entender esse fenômeno exige estimar a elasticidade de substituição</w:t>
      </w:r>
      <w:r>
        <w:t xml:space="preserve"> </w:t>
      </w:r>
      <m:oMath>
        <m:r>
          <m:t>σ</m:t>
        </m:r>
      </m:oMath>
      <w:r>
        <w:t xml:space="preserve"> </w:t>
      </w:r>
      <w:r>
        <w:t xml:space="preserve">entre capital e trabalho: se</w:t>
      </w:r>
      <w:r>
        <w:t xml:space="preserve"> </w:t>
      </w:r>
      <m:oMath>
        <m:r>
          <m:t>σ</m:t>
        </m:r>
        <m:r>
          <m:rPr>
            <m:sty m:val="p"/>
          </m:rPr>
          <m:t>&gt;</m:t>
        </m:r>
        <m:r>
          <m:t>1</m:t>
        </m:r>
      </m:oMath>
      <w:r>
        <w:t xml:space="preserve">, a queda no preço relativo do capital (impulsionada pela revolução das TIC e pela globalização) leva as firmas a substituir trabalho por capital tão intensamente que a participação do capital na renda</w:t>
      </w:r>
      <w:r>
        <w:t xml:space="preserve"> </w:t>
      </w:r>
      <w:r>
        <w:rPr>
          <w:i/>
          <w:iCs/>
        </w:rPr>
        <w:t xml:space="preserve">aumenta</w:t>
      </w:r>
      <w:r>
        <w:t xml:space="preserve"> </w:t>
      </w:r>
      <w:r>
        <w:t xml:space="preserve">e a do trabalho</w:t>
      </w:r>
      <w:r>
        <w:t xml:space="preserve"> </w:t>
      </w:r>
      <w:r>
        <w:rPr>
          <w:i/>
          <w:iCs/>
        </w:rPr>
        <w:t xml:space="preserve">cai</w:t>
      </w:r>
      <w:r>
        <w:t xml:space="preserve">.</w:t>
      </w:r>
    </w:p>
    <w:p>
      <w:pPr>
        <w:pStyle w:val="BlockText"/>
      </w:pPr>
      <w:r>
        <w:rPr>
          <w:b/>
          <w:bCs/>
        </w:rPr>
        <w:t xml:space="preserve">Dados:</w:t>
      </w:r>
      <w:r>
        <w:t xml:space="preserve"> </w:t>
      </w:r>
      <w:r>
        <w:t xml:space="preserve">Karabarbounis e Neiman (2014) compilaram dados de 59 países ao longo de três décadas e documentaram uma queda média da participação do trabalho na renda de aproximadamente</w:t>
      </w:r>
      <w:r>
        <w:t xml:space="preserve"> </w:t>
      </w:r>
      <w:r>
        <w:rPr>
          <w:b/>
          <w:bCs/>
        </w:rPr>
        <w:t xml:space="preserve">5 pontos percentuais</w:t>
      </w:r>
      <w:r>
        <w:t xml:space="preserve"> </w:t>
      </w:r>
      <w:r>
        <w:t xml:space="preserve">— um declínio expressivo e generalizável. O preço relativo dos bens de capital (máquinas, equipamentos) caiu em média 25% no mesmo período, refletindo os ganhos de produtividade na indústria de TI. No Brasil, o IBGE registra participação dos salários no valor adicionado em torno de 40–45%, abaixo da média de economias avançadas (50–55%).</w:t>
      </w:r>
    </w:p>
    <w:p>
      <w:pPr>
        <w:pStyle w:val="BlockText"/>
      </w:pPr>
      <w:r>
        <w:rPr>
          <w:b/>
          <w:bCs/>
        </w:rPr>
        <w:t xml:space="preserve">Análise:</w:t>
      </w:r>
      <w:r>
        <w:t xml:space="preserve"> </w:t>
      </w:r>
      <w:r>
        <w:t xml:space="preserve">Usando uma especificação CES para a função de produção agregada, Karabarbounis e Neiman estimam</w:t>
      </w:r>
      <w:r>
        <w:t xml:space="preserve"> </w:t>
      </w:r>
      <m:oMath>
        <m:acc>
          <m:accPr>
            <m:chr m:val="̂"/>
          </m:accPr>
          <m:e>
            <m:r>
              <m:t>σ</m:t>
            </m:r>
          </m:e>
        </m:acc>
        <m:r>
          <m:rPr>
            <m:sty m:val="p"/>
          </m:rPr>
          <m:t>≈</m:t>
        </m:r>
        <m:r>
          <m:t>1</m:t>
        </m:r>
        <m:r>
          <m:rPr>
            <m:sty m:val="p"/>
          </m:rPr>
          <m:t>,</m:t>
        </m:r>
        <m:r>
          <m:t>25</m:t>
        </m:r>
      </m:oMath>
      <w:r>
        <w:t xml:space="preserve"> </w:t>
      </w:r>
      <w:r>
        <w:t xml:space="preserve">—</w:t>
      </w:r>
      <w:r>
        <w:t xml:space="preserve"> </w:t>
      </w:r>
      <w:r>
        <w:rPr>
          <w:i/>
          <w:iCs/>
        </w:rPr>
        <w:t xml:space="preserve">acima</w:t>
      </w:r>
      <w:r>
        <w:t xml:space="preserve"> </w:t>
      </w:r>
      <w:r>
        <w:t xml:space="preserve">de 1. Isso significa que, com a queda no custo do capital, as firmas o substituíram pelo trabalho mais do que proporcionalmente, reduzindo a participação salarial. A implicação para a teoria da produção é direta: a escolha entre Cobb-Douglas (</w:t>
      </w:r>
      <m:oMath>
        <m:r>
          <m:t>σ</m:t>
        </m:r>
        <m:r>
          <m:rPr>
            <m:sty m:val="p"/>
          </m:rPr>
          <m:t>=</m:t>
        </m:r>
        <m:r>
          <m:t>1</m:t>
        </m:r>
      </m:oMath>
      <w:r>
        <w:t xml:space="preserve">) e CES (</w:t>
      </w:r>
      <m:oMath>
        <m:r>
          <m:t>σ</m:t>
        </m:r>
        <m:r>
          <m:rPr>
            <m:sty m:val="p"/>
          </m:rPr>
          <m:t>≠</m:t>
        </m:r>
        <m:r>
          <m:t>1</m:t>
        </m:r>
      </m:oMath>
      <w:r>
        <w:t xml:space="preserve">) não é indiferente — ela determina previsões qualitativas distintas sobre distribuição de renda. Oberfield &amp; Raval (2021,</w:t>
      </w:r>
      <w:r>
        <w:t xml:space="preserve"> </w:t>
      </w:r>
      <w:r>
        <w:rPr>
          <w:i/>
          <w:iCs/>
        </w:rPr>
        <w:t xml:space="preserve">Econometrica</w:t>
      </w:r>
      <w:r>
        <w:t xml:space="preserve">), usando microdados de plantas industriais americanas, chegam a estimativas menores (</w:t>
      </w:r>
      <m:oMath>
        <m:r>
          <m:t>σ</m:t>
        </m:r>
        <m:r>
          <m:rPr>
            <m:sty m:val="p"/>
          </m:rPr>
          <m:t>≈</m:t>
        </m:r>
        <m:r>
          <m:t>0</m:t>
        </m:r>
        <m:r>
          <m:rPr>
            <m:sty m:val="p"/>
          </m:rPr>
          <m:t>,</m:t>
        </m:r>
        <m:r>
          <m:t>7</m:t>
        </m:r>
      </m:oMath>
      <w:r>
        <w:t xml:space="preserve">), ilustrando que a elasticidade de substituição é sensível ao nível de agregação analisado.</w:t>
      </w:r>
    </w:p>
    <w:p>
      <w:pPr>
        <w:pStyle w:val="BlockText"/>
      </w:pPr>
      <w:r>
        <w:rPr>
          <w:b/>
          <w:bCs/>
        </w:rPr>
        <w:t xml:space="preserve">Fonte:</w:t>
      </w:r>
      <w:r>
        <w:t xml:space="preserve"> </w:t>
      </w:r>
      <w:r>
        <w:t xml:space="preserve">Karabarbounis, L.; Neiman, B. (2014).</w:t>
      </w:r>
      <w:r>
        <w:t xml:space="preserve"> </w:t>
      </w:r>
      <w:r>
        <w:t xml:space="preserve">“The Global Decline of the Labor Share.”</w:t>
      </w:r>
      <w:r>
        <w:t xml:space="preserve"> </w:t>
      </w:r>
      <w:r>
        <w:rPr>
          <w:i/>
          <w:iCs/>
        </w:rPr>
        <w:t xml:space="preserve">Quarterly Journal of Economics</w:t>
      </w:r>
      <w:r>
        <w:t xml:space="preserve">, 129(1), 61–103. Oberfield, E.; Raval, D. (2021).</w:t>
      </w:r>
      <w:r>
        <w:t xml:space="preserve"> </w:t>
      </w:r>
      <w:r>
        <w:t xml:space="preserve">“Micro Data and Macro Technology.”</w:t>
      </w:r>
      <w:r>
        <w:t xml:space="preserve"> </w:t>
      </w:r>
      <w:r>
        <w:rPr>
          <w:i/>
          <w:iCs/>
        </w:rPr>
        <w:t xml:space="preserve">Econometrica</w:t>
      </w:r>
      <w:r>
        <w:t xml:space="preserve">, 89(2), 703–732.</w:t>
      </w:r>
    </w:p>
    <w:bookmarkEnd w:id="650"/>
    <w:bookmarkEnd w:id="651"/>
    <w:bookmarkStart w:id="656" w:name="X1d06205e89a7187c0ebb5ee010afdcb4c40f469"/>
    <w:p>
      <w:pPr>
        <w:pStyle w:val="Heading2"/>
      </w:pPr>
      <w:r>
        <w:t xml:space="preserve">10.5 O Cardápio Tecnológico: Quatro Receitas para uma Firma</w:t>
      </w:r>
    </w:p>
    <w:p>
      <w:pPr>
        <w:pStyle w:val="FirstParagraph"/>
      </w:pPr>
      <w:r>
        <w:t xml:space="preserve">Temos os conceitos — produtividade marginal, isoquantas, TMST, rendimentos de escala, elasticidade de substituição. Falta o corpo: quais equações concretas damos a essas ideias quando sentamos para resolver um problema ou estimar um modelo? Esta seção apresenta o</w:t>
      </w:r>
      <w:r>
        <w:t xml:space="preserve"> </w:t>
      </w:r>
      <w:r>
        <w:t xml:space="preserve">“cardápio”</w:t>
      </w:r>
      <w:r>
        <w:t xml:space="preserve"> </w:t>
      </w:r>
      <w:r>
        <w:t xml:space="preserve">clássico — quatro funções de produção que cobrem todo o espectro de substituibilidade, da rigidez absoluta (Leontief, o brigadeiro que só funciona com a proporção exata) à flexibilidade total (linear, o suco que aceita qualquer fruta). Cada uma captura um padrão tecnológico distinto, e a escolha da forma funcional adequada depende do setor e do problema em análise. Dominar essas quatro formas é indispensável tanto para provas da ANPEC quanto para trabalhos empíricos.</w:t>
      </w:r>
    </w:p>
    <w:bookmarkStart w:id="652" w:name="função-de-produção-linear"/>
    <w:p>
      <w:pPr>
        <w:pStyle w:val="Heading4"/>
      </w:pPr>
      <w:r>
        <w:t xml:space="preserve">Função de produção linear</w:t>
      </w:r>
    </w:p>
    <w:p>
      <w:pPr>
        <w:pStyle w:val="FirstParagraph"/>
      </w:pPr>
      <w:r>
        <w:t xml:space="preserve">Comecemos pelo caso extremo de máxima flexibilidade na substituição entre insumos. A função linear captura situações em que os insumos realizam a mesma tarefa de forma intercambiável — por exemplo, uma linha de produção que pode ser operada por robôs ou por trabalhadores com resultado idêntico, ou uma usina que pode gerar eletricidade queimando gás natural ou óleo combustível.</w:t>
      </w:r>
    </w:p>
    <w:p>
      <w:pPr>
        <w:pStyle w:val="BodyText"/>
      </w:pPr>
      <m:oMathPara>
        <m:oMathParaPr>
          <m:jc m:val="center"/>
        </m:oMathParaPr>
        <m:oMath>
          <m:r>
            <m:t>q</m:t>
          </m:r>
          <m:r>
            <m:rPr>
              <m:sty m:val="p"/>
            </m:rPr>
            <m:t>=</m:t>
          </m:r>
          <m:r>
            <m:t>a</m:t>
          </m:r>
          <m:r>
            <m:t>K</m:t>
          </m:r>
          <m:r>
            <m:rPr>
              <m:sty m:val="p"/>
            </m:rPr>
            <m:t>+</m:t>
          </m:r>
          <m:r>
            <m:t>b</m:t>
          </m:r>
          <m:r>
            <m:t>L</m:t>
          </m:r>
          <m:r>
            <m:rPr>
              <m:sty m:val="p"/>
            </m:rPr>
            <m:t>,</m:t>
          </m:r>
          <m:r>
            <m:t>  </m:t>
          </m:r>
          <m:r>
            <m:t>a</m:t>
          </m:r>
          <m:r>
            <m:rPr>
              <m:sty m:val="p"/>
            </m:rPr>
            <m:t>,</m:t>
          </m:r>
          <m:r>
            <m:t>b</m:t>
          </m:r>
          <m:r>
            <m:rPr>
              <m:sty m:val="p"/>
            </m:rPr>
            <m:t>&gt;</m:t>
          </m:r>
          <m:r>
            <m:t>0</m:t>
          </m:r>
        </m:oMath>
      </m:oMathPara>
    </w:p>
    <w:p>
      <w:pPr>
        <w:pStyle w:val="FirstParagraph"/>
      </w:pPr>
      <w:r>
        <w:t xml:space="preserve">Os insumos são</w:t>
      </w:r>
      <w:r>
        <w:t xml:space="preserve"> </w:t>
      </w:r>
      <w:r>
        <w:rPr>
          <w:b/>
          <w:bCs/>
        </w:rPr>
        <w:t xml:space="preserve">substitutos perfeitos</w:t>
      </w:r>
      <w:r>
        <w:t xml:space="preserve">. A TMST é constante e igual a</w:t>
      </w:r>
      <w:r>
        <w:t xml:space="preserve"> </w:t>
      </w:r>
      <m:oMath>
        <m:r>
          <m:t>b</m:t>
        </m:r>
        <m:r>
          <m:rPr>
            <m:sty m:val="p"/>
          </m:rPr>
          <m:t>/</m:t>
        </m:r>
        <m:r>
          <m:t>a</m:t>
        </m:r>
      </m:oMath>
      <w:r>
        <w:t xml:space="preserve">. A elasticidade de substituição é</w:t>
      </w:r>
      <w:r>
        <w:t xml:space="preserve"> </w:t>
      </w:r>
      <m:oMath>
        <m:r>
          <m:t>σ</m:t>
        </m:r>
        <m:r>
          <m:rPr>
            <m:sty m:val="p"/>
          </m:rPr>
          <m:t>=</m:t>
        </m:r>
        <m:r>
          <m:rPr>
            <m:sty m:val="p"/>
          </m:rPr>
          <m:t>∞</m:t>
        </m:r>
      </m:oMath>
      <w:r>
        <w:t xml:space="preserve">. Os rendimentos de escala são constantes (a função é homogênea de grau 1).</w:t>
      </w:r>
    </w:p>
    <w:bookmarkEnd w:id="652"/>
    <w:bookmarkStart w:id="653" w:name="Xa679ed22ee385bfe83eaece033b4cd152dcf4a4"/>
    <w:p>
      <w:pPr>
        <w:pStyle w:val="Heading4"/>
      </w:pPr>
      <w:r>
        <w:t xml:space="preserve">Função de produção de proporções fixas (Leontief)</w:t>
      </w:r>
    </w:p>
    <w:p>
      <w:pPr>
        <w:pStyle w:val="FirstParagraph"/>
      </w:pPr>
      <w:r>
        <w:t xml:space="preserve">No extremo oposto da escala de substituibilidade, encontramos a função Leontief, que descreve processos em que os insumos devem ser combinados em proporções rígidas — como receitas químicas, onde cada molécula de água exige exatamente dois átomos de hidrogênio e um de oxigênio, ou postos de trabalho que exigem uma máquina por operador, como um taxista e seu veículo.</w:t>
      </w:r>
    </w:p>
    <w:p>
      <w:pPr>
        <w:pStyle w:val="BodyText"/>
      </w:pPr>
      <m:oMathPara>
        <m:oMathParaPr>
          <m:jc m:val="center"/>
        </m:oMathParaPr>
        <m:oMath>
          <m:r>
            <m:t>q</m:t>
          </m:r>
          <m:r>
            <m:rPr>
              <m:sty m:val="p"/>
            </m:rPr>
            <m:t>=</m:t>
          </m:r>
          <m:r>
            <m:rPr>
              <m:sty m:val="p"/>
            </m:rPr>
            <m:t>min</m:t>
          </m:r>
          <m:d>
            <m:dPr>
              <m:begChr m:val="{"/>
              <m:sepChr m:val=""/>
              <m:endChr m:val="}"/>
              <m:grow/>
            </m:dPr>
            <m:e>
              <m:f>
                <m:fPr>
                  <m:type m:val="bar"/>
                </m:fPr>
                <m:num>
                  <m:r>
                    <m:t>K</m:t>
                  </m:r>
                </m:num>
                <m:den>
                  <m:r>
                    <m:t>a</m:t>
                  </m:r>
                </m:den>
              </m:f>
              <m:r>
                <m:rPr>
                  <m:sty m:val="p"/>
                </m:rPr>
                <m:t>,</m:t>
              </m:r>
              <m:f>
                <m:fPr>
                  <m:type m:val="bar"/>
                </m:fPr>
                <m:num>
                  <m:r>
                    <m:t>L</m:t>
                  </m:r>
                </m:num>
                <m:den>
                  <m:r>
                    <m:t>b</m:t>
                  </m:r>
                </m:den>
              </m:f>
            </m:e>
          </m:d>
          <m:r>
            <m:rPr>
              <m:sty m:val="p"/>
            </m:rPr>
            <m:t>,</m:t>
          </m:r>
          <m:r>
            <m:t>  </m:t>
          </m:r>
          <m:r>
            <m:t>a</m:t>
          </m:r>
          <m:r>
            <m:rPr>
              <m:sty m:val="p"/>
            </m:rPr>
            <m:t>,</m:t>
          </m:r>
          <m:r>
            <m:t>b</m:t>
          </m:r>
          <m:r>
            <m:rPr>
              <m:sty m:val="p"/>
            </m:rPr>
            <m:t>&gt;</m:t>
          </m:r>
          <m:r>
            <m:t>0</m:t>
          </m:r>
        </m:oMath>
      </m:oMathPara>
    </w:p>
    <w:p>
      <w:pPr>
        <w:pStyle w:val="FirstParagraph"/>
      </w:pPr>
      <w:r>
        <w:t xml:space="preserve">Os insumos são</w:t>
      </w:r>
      <w:r>
        <w:t xml:space="preserve"> </w:t>
      </w:r>
      <w:r>
        <w:rPr>
          <w:b/>
          <w:bCs/>
        </w:rPr>
        <w:t xml:space="preserve">complementares perfeitos</w:t>
      </w:r>
      <w:r>
        <w:t xml:space="preserve">: devem ser utilizados na proporção fixa</w:t>
      </w:r>
      <w:r>
        <w:t xml:space="preserve"> </w:t>
      </w:r>
      <m:oMath>
        <m:r>
          <m:t>K</m:t>
        </m:r>
        <m:r>
          <m:rPr>
            <m:sty m:val="p"/>
          </m:rPr>
          <m:t>/</m:t>
        </m:r>
        <m:r>
          <m:t>L</m:t>
        </m:r>
        <m:r>
          <m:rPr>
            <m:sty m:val="p"/>
          </m:rPr>
          <m:t>=</m:t>
        </m:r>
        <m:r>
          <m:t>a</m:t>
        </m:r>
        <m:r>
          <m:rPr>
            <m:sty m:val="p"/>
          </m:rPr>
          <m:t>/</m:t>
        </m:r>
        <m:r>
          <m:t>b</m:t>
        </m:r>
      </m:oMath>
      <w:r>
        <w:t xml:space="preserve">. A TMST não é definida no vértice, e</w:t>
      </w:r>
      <w:r>
        <w:t xml:space="preserve"> </w:t>
      </w:r>
      <m:oMath>
        <m:r>
          <m:t>σ</m:t>
        </m:r>
        <m:r>
          <m:rPr>
            <m:sty m:val="p"/>
          </m:rPr>
          <m:t>=</m:t>
        </m:r>
        <m:r>
          <m:t>0</m:t>
        </m:r>
      </m:oMath>
      <w:r>
        <w:t xml:space="preserve">. Os rendimentos de escala são constantes.</w:t>
      </w:r>
    </w:p>
    <w:bookmarkEnd w:id="653"/>
    <w:bookmarkStart w:id="654" w:name="função-de-produção-cobb-douglas"/>
    <w:p>
      <w:pPr>
        <w:pStyle w:val="Heading4"/>
      </w:pPr>
      <w:r>
        <w:t xml:space="preserve">Função de produção Cobb-Douglas</w:t>
      </w:r>
    </w:p>
    <w:p>
      <w:pPr>
        <w:pStyle w:val="FirstParagraph"/>
      </w:pPr>
      <w:r>
        <w:t xml:space="preserve">Entre a rigidez total do Leontief e a flexibilidade ilimitada da linear, situa-se a função mais célebre da economia: a</w:t>
      </w:r>
      <w:r>
        <w:t xml:space="preserve"> </w:t>
      </w:r>
      <w:r>
        <w:rPr>
          <w:b/>
          <w:bCs/>
        </w:rPr>
        <w:t xml:space="preserve">Cobb-Douglas</w:t>
      </w:r>
      <w:r>
        <w:t xml:space="preserve">. Proposta por Charles Cobb (matemático) e Paul Douglas (economista) em 1928 para descrever a produção industrial nos EUA, ela se tornou a forma funcional mais utilizada em trabalhos empíricos — da contabilidade do crescimento à estimação de funções de custo — graças a uma combinação invejável de flexibilidade e tratabilidade analítica.</w:t>
      </w:r>
    </w:p>
    <w:p>
      <w:pPr>
        <w:pStyle w:val="BodyText"/>
      </w:pPr>
      <w:r>
        <w:t xml:space="preserve">O trabalho original de Cobb e Douglas (1928,</w:t>
      </w:r>
      <w:r>
        <w:t xml:space="preserve"> </w:t>
      </w:r>
      <w:r>
        <w:rPr>
          <w:i/>
          <w:iCs/>
        </w:rPr>
        <w:t xml:space="preserve">American Economic Review</w:t>
      </w:r>
      <w:r>
        <w:t xml:space="preserve">) ajustou a função</w:t>
      </w:r>
      <w:r>
        <w:t xml:space="preserve"> </w:t>
      </w:r>
      <m:oMath>
        <m:r>
          <m:t>q</m:t>
        </m:r>
        <m:r>
          <m:rPr>
            <m:sty m:val="p"/>
          </m:rPr>
          <m:t>=</m:t>
        </m:r>
        <m:r>
          <m:t>A</m:t>
        </m:r>
        <m:sSup>
          <m:e>
            <m:r>
              <m:t>K</m:t>
            </m:r>
          </m:e>
          <m:sup>
            <m:r>
              <m:t>α</m:t>
            </m:r>
          </m:sup>
        </m:sSup>
        <m:sSup>
          <m:e>
            <m:r>
              <m:t>L</m:t>
            </m:r>
          </m:e>
          <m:sup>
            <m:r>
              <m:t>1</m:t>
            </m:r>
            <m:r>
              <m:rPr>
                <m:sty m:val="p"/>
              </m:rPr>
              <m:t>−</m:t>
            </m:r>
            <m:r>
              <m:t>α</m:t>
            </m:r>
          </m:sup>
        </m:sSup>
      </m:oMath>
      <w:r>
        <w:t xml:space="preserve"> </w:t>
      </w:r>
      <w:r>
        <w:t xml:space="preserve">a dados da manufatura americana entre 1899 e 1922 e obteve</w:t>
      </w:r>
      <w:r>
        <w:t xml:space="preserve"> </w:t>
      </w:r>
      <m:oMath>
        <m:acc>
          <m:accPr>
            <m:chr m:val="̂"/>
          </m:accPr>
          <m:e>
            <m:r>
              <m:t>α</m:t>
            </m:r>
          </m:e>
        </m:acc>
        <m:r>
          <m:rPr>
            <m:sty m:val="p"/>
          </m:rPr>
          <m:t>≈</m:t>
        </m:r>
        <m:r>
          <m:t>0</m:t>
        </m:r>
        <m:r>
          <m:rPr>
            <m:sty m:val="p"/>
          </m:rPr>
          <m:t>,</m:t>
        </m:r>
        <m:r>
          <m:t>25</m:t>
        </m:r>
      </m:oMath>
      <w:r>
        <w:t xml:space="preserve"> </w:t>
      </w:r>
      <w:r>
        <w:t xml:space="preserve">— sugerindo que a participação do capital na renda era cerca de 25%, valor surpreendentemente próximo das estimativas das Contas Nacionais. Essa consistência entre o parâmetro estimado da função de produção e a participação fatorial observada não é coincidência: com rendimentos constantes de escala e mercados competitivos, os parâmetros</w:t>
      </w:r>
      <w:r>
        <w:t xml:space="preserve"> </w:t>
      </w:r>
      <m:oMath>
        <m:r>
          <m:t>α</m:t>
        </m:r>
      </m:oMath>
      <w:r>
        <w:t xml:space="preserve"> </w:t>
      </w:r>
      <w:r>
        <w:t xml:space="preserve">e</w:t>
      </w:r>
      <w:r>
        <w:t xml:space="preserve"> </w:t>
      </w:r>
      <m:oMath>
        <m:r>
          <m:t>1</m:t>
        </m:r>
        <m:r>
          <m:rPr>
            <m:sty m:val="p"/>
          </m:rPr>
          <m:t>−</m:t>
        </m:r>
        <m:r>
          <m:t>α</m:t>
        </m:r>
      </m:oMath>
      <w:r>
        <w:t xml:space="preserve"> </w:t>
      </w:r>
      <w:r>
        <w:t xml:space="preserve">da Cobb-Douglas correspondem exatamente às parcelas de capital e trabalho na renda, respectivamente. Foi Robert Solow (1957) quem mostrou que essa propriedade poderia ser usada para medir a contribuição do progresso técnico ao crescimento — o chamado</w:t>
      </w:r>
      <w:r>
        <w:t xml:space="preserve"> </w:t>
      </w:r>
      <w:r>
        <w:t xml:space="preserve">“resíduo de Solow”</w:t>
      </w:r>
      <w:r>
        <w:t xml:space="preserve"> </w:t>
      </w:r>
      <w:r>
        <w:t xml:space="preserve">discutido na Seção 10.6.</w:t>
      </w:r>
    </w:p>
    <w:p>
      <w:pPr>
        <w:pStyle w:val="BodyText"/>
      </w:pPr>
      <w:r>
        <w:t xml:space="preserve">A Cobb-Douglas é também a base analítica para a derivação das funções de custo de longo prazo no Capítulo 11: com CRS e preços de fatores</w:t>
      </w:r>
      <w:r>
        <w:t xml:space="preserve"> </w:t>
      </w:r>
      <m:oMath>
        <m:r>
          <m:t>w</m:t>
        </m:r>
      </m:oMath>
      <w:r>
        <w:t xml:space="preserve"> </w:t>
      </w:r>
      <w:r>
        <w:t xml:space="preserve">(salário) e</w:t>
      </w:r>
      <w:r>
        <w:t xml:space="preserve"> </w:t>
      </w:r>
      <m:oMath>
        <m:r>
          <m:t>r</m:t>
        </m:r>
      </m:oMath>
      <w:r>
        <w:t xml:space="preserve"> </w:t>
      </w:r>
      <w:r>
        <w:t xml:space="preserve">(custo do capital), a função de custo mínimo assume a forma</w:t>
      </w:r>
      <w:r>
        <w:t xml:space="preserve"> </w:t>
      </w:r>
      <m:oMath>
        <m:r>
          <m:t>C</m:t>
        </m:r>
        <m:r>
          <m:rPr>
            <m:sty m:val="p"/>
          </m:rPr>
          <m:t>(</m:t>
        </m:r>
        <m:r>
          <m:t>w</m:t>
        </m:r>
        <m:r>
          <m:rPr>
            <m:sty m:val="p"/>
          </m:rPr>
          <m:t>,</m:t>
        </m:r>
        <m:r>
          <m:t>r</m:t>
        </m:r>
        <m:r>
          <m:rPr>
            <m:sty m:val="p"/>
          </m:rPr>
          <m:t>,</m:t>
        </m:r>
        <m:r>
          <m:t>q</m:t>
        </m:r>
        <m:r>
          <m:rPr>
            <m:sty m:val="p"/>
          </m:rPr>
          <m:t>)</m:t>
        </m:r>
        <m:r>
          <m:rPr>
            <m:sty m:val="p"/>
          </m:rPr>
          <m:t>=</m:t>
        </m:r>
        <m:acc>
          <m:accPr>
            <m:chr m:val="̃"/>
          </m:accPr>
          <m:e>
            <m:r>
              <m:t>c</m:t>
            </m:r>
          </m:e>
        </m:acc>
        <m:r>
          <m:rPr>
            <m:sty m:val="p"/>
          </m:rPr>
          <m:t>(</m:t>
        </m:r>
        <m:r>
          <m:t>w</m:t>
        </m:r>
        <m:r>
          <m:rPr>
            <m:sty m:val="p"/>
          </m:rPr>
          <m:t>,</m:t>
        </m:r>
        <m:r>
          <m:t>r</m:t>
        </m:r>
        <m:r>
          <m:rPr>
            <m:sty m:val="p"/>
          </m:rPr>
          <m:t>)</m:t>
        </m:r>
        <m:r>
          <m:rPr>
            <m:sty m:val="p"/>
          </m:rPr>
          <m:t>⋅</m:t>
        </m:r>
        <m:r>
          <m:t>q</m:t>
        </m:r>
      </m:oMath>
      <w:r>
        <w:t xml:space="preserve">, onde</w:t>
      </w:r>
      <w:r>
        <w:t xml:space="preserve"> </w:t>
      </w:r>
      <m:oMath>
        <m:acc>
          <m:accPr>
            <m:chr m:val="̃"/>
          </m:accPr>
          <m:e>
            <m:r>
              <m:t>c</m:t>
            </m:r>
          </m:e>
        </m:acc>
      </m:oMath>
      <w:r>
        <w:t xml:space="preserve"> </w:t>
      </w:r>
      <w:r>
        <w:t xml:space="preserve">depende apenas dos preços. Essa separabilidade é uma propriedade direta da homoteticidade da Cobb-Douglas, explorada na Seção 10.7.</w:t>
      </w:r>
    </w:p>
    <w:p>
      <w:pPr>
        <w:pStyle w:val="BodyText"/>
      </w:pPr>
      <m:oMathPara>
        <m:oMathParaPr>
          <m:jc m:val="center"/>
        </m:oMathParaPr>
        <m:oMath>
          <m:r>
            <m:t>q</m:t>
          </m:r>
          <m:r>
            <m:rPr>
              <m:sty m:val="p"/>
            </m:rPr>
            <m:t>=</m:t>
          </m:r>
          <m:r>
            <m:t>A</m:t>
          </m:r>
          <m:sSup>
            <m:e>
              <m:r>
                <m:t>K</m:t>
              </m:r>
            </m:e>
            <m:sup>
              <m:r>
                <m:t>α</m:t>
              </m:r>
            </m:sup>
          </m:sSup>
          <m:sSup>
            <m:e>
              <m:r>
                <m:t>L</m:t>
              </m:r>
            </m:e>
            <m:sup>
              <m:r>
                <m:t>β</m:t>
              </m:r>
            </m:sup>
          </m:sSup>
          <m:r>
            <m:rPr>
              <m:sty m:val="p"/>
            </m:rPr>
            <m:t>,</m:t>
          </m:r>
          <m:r>
            <m:t>  </m:t>
          </m:r>
          <m:r>
            <m:t>A</m:t>
          </m:r>
          <m:r>
            <m:rPr>
              <m:sty m:val="p"/>
            </m:rPr>
            <m:t>&gt;</m:t>
          </m:r>
          <m:r>
            <m:t>0</m:t>
          </m:r>
          <m:r>
            <m:rPr>
              <m:sty m:val="p"/>
            </m:rPr>
            <m:t>,</m:t>
          </m:r>
          <m:r>
            <m:t> </m:t>
          </m:r>
          <m:r>
            <m:t>α</m:t>
          </m:r>
          <m:r>
            <m:rPr>
              <m:sty m:val="p"/>
            </m:rPr>
            <m:t>,</m:t>
          </m:r>
          <m:r>
            <m:t>β</m:t>
          </m:r>
          <m:r>
            <m:rPr>
              <m:sty m:val="p"/>
            </m:rPr>
            <m:t>&gt;</m:t>
          </m:r>
          <m:r>
            <m:t>0</m:t>
          </m:r>
        </m:oMath>
      </m:oMathPara>
    </w:p>
    <w:p>
      <w:pPr>
        <w:pStyle w:val="FirstParagraph"/>
      </w:pPr>
      <w:r>
        <w:t xml:space="preserve">As propriedades dependem dos parâmetros: rendimentos constantes se</w:t>
      </w:r>
      <w:r>
        <w:t xml:space="preserve"> </w:t>
      </w:r>
      <m:oMath>
        <m:r>
          <m:t>α</m:t>
        </m:r>
        <m:r>
          <m:rPr>
            <m:sty m:val="p"/>
          </m:rPr>
          <m:t>+</m:t>
        </m:r>
        <m:r>
          <m:t>β</m:t>
        </m:r>
        <m:r>
          <m:rPr>
            <m:sty m:val="p"/>
          </m:rPr>
          <m:t>=</m:t>
        </m:r>
        <m:r>
          <m:t>1</m:t>
        </m:r>
      </m:oMath>
      <w:r>
        <w:t xml:space="preserve">, crescentes se</w:t>
      </w:r>
      <w:r>
        <w:t xml:space="preserve"> </w:t>
      </w:r>
      <m:oMath>
        <m:r>
          <m:t>α</m:t>
        </m:r>
        <m:r>
          <m:rPr>
            <m:sty m:val="p"/>
          </m:rPr>
          <m:t>+</m:t>
        </m:r>
        <m:r>
          <m:t>β</m:t>
        </m:r>
        <m:r>
          <m:rPr>
            <m:sty m:val="p"/>
          </m:rPr>
          <m:t>&gt;</m:t>
        </m:r>
        <m:r>
          <m:t>1</m:t>
        </m:r>
      </m:oMath>
      <w:r>
        <w:t xml:space="preserve">, decrescentes se</w:t>
      </w:r>
      <w:r>
        <w:t xml:space="preserve"> </w:t>
      </w:r>
      <m:oMath>
        <m:r>
          <m:t>α</m:t>
        </m:r>
        <m:r>
          <m:rPr>
            <m:sty m:val="p"/>
          </m:rPr>
          <m:t>+</m:t>
        </m:r>
        <m:r>
          <m:t>β</m:t>
        </m:r>
        <m:r>
          <m:rPr>
            <m:sty m:val="p"/>
          </m:rPr>
          <m:t>&lt;</m:t>
        </m:r>
        <m:r>
          <m:t>1</m:t>
        </m:r>
      </m:oMath>
      <w:r>
        <w:t xml:space="preserve">. A TMST é</w:t>
      </w:r>
      <w:r>
        <w:t xml:space="preserve"> </w:t>
      </w:r>
      <m:oMath>
        <m:r>
          <m:rPr>
            <m:sty m:val="p"/>
          </m:rPr>
          <m:t>(</m:t>
        </m:r>
        <m:r>
          <m:t>β</m:t>
        </m:r>
        <m:r>
          <m:rPr>
            <m:sty m:val="p"/>
          </m:rPr>
          <m:t>/</m:t>
        </m:r>
        <m:r>
          <m:t>α</m:t>
        </m:r>
        <m:r>
          <m:rPr>
            <m:sty m:val="p"/>
          </m:rPr>
          <m:t>)</m:t>
        </m:r>
        <m:r>
          <m:rPr>
            <m:sty m:val="p"/>
          </m:rPr>
          <m:t>(</m:t>
        </m:r>
        <m:r>
          <m:t>K</m:t>
        </m:r>
        <m:r>
          <m:rPr>
            <m:sty m:val="p"/>
          </m:rPr>
          <m:t>/</m:t>
        </m:r>
        <m:r>
          <m:t>L</m:t>
        </m:r>
        <m:r>
          <m:rPr>
            <m:sty m:val="p"/>
          </m:rPr>
          <m:t>)</m:t>
        </m:r>
      </m:oMath>
      <w:r>
        <w:t xml:space="preserve"> </w:t>
      </w:r>
      <w:r>
        <w:t xml:space="preserve">e</w:t>
      </w:r>
      <w:r>
        <w:t xml:space="preserve"> </w:t>
      </w:r>
      <m:oMath>
        <m:r>
          <m:t>σ</m:t>
        </m:r>
        <m:r>
          <m:rPr>
            <m:sty m:val="p"/>
          </m:rPr>
          <m:t>=</m:t>
        </m:r>
        <m:r>
          <m:t>1</m:t>
        </m:r>
      </m:oMath>
      <w:r>
        <w:t xml:space="preserve">.</w:t>
      </w:r>
    </w:p>
    <w:bookmarkEnd w:id="654"/>
    <w:bookmarkStart w:id="655" w:name="X116593f1a433bf51af53049f1b53900e881268e"/>
    <w:p>
      <w:pPr>
        <w:pStyle w:val="Heading4"/>
      </w:pPr>
      <w:r>
        <w:t xml:space="preserve">Função de produção CES (Elasticidade de Substituição Constante)</w:t>
      </w:r>
    </w:p>
    <w:p>
      <w:pPr>
        <w:pStyle w:val="BlockText"/>
      </w:pPr>
      <w:r>
        <w:rPr>
          <w:b/>
          <w:bCs/>
        </w:rPr>
        <w:t xml:space="preserve">[INFORMACAO] Material Avançado</w:t>
      </w:r>
    </w:p>
    <w:p>
      <w:pPr>
        <w:pStyle w:val="BlockText"/>
      </w:pPr>
      <w:r>
        <w:t xml:space="preserve">A derivação completa da CES a partir dos axiomas de Arrow et al. (1961), a estimação de</w:t>
      </w:r>
      <w:r>
        <w:t xml:space="preserve"> </w:t>
      </w:r>
      <m:oMath>
        <m:r>
          <m:t>σ</m:t>
        </m:r>
      </m:oMath>
      <w:r>
        <w:t xml:space="preserve"> </w:t>
      </w:r>
      <w:r>
        <w:t xml:space="preserve">com dados industriais brasileiros (PIA/IBGE) e as extensões CES aninhada (</w:t>
      </w:r>
      <w:r>
        <w:rPr>
          <w:i/>
          <w:iCs/>
        </w:rPr>
        <w:t xml:space="preserve">nested CES</w:t>
      </w:r>
      <w:r>
        <w:t xml:space="preserve">) usadas em modelos CGE são</w:t>
      </w:r>
      <w:r>
        <w:t xml:space="preserve"> </w:t>
      </w:r>
      <w:r>
        <w:rPr>
          <w:b/>
          <w:bCs/>
        </w:rPr>
        <w:t xml:space="preserve">material complementar</w:t>
      </w:r>
      <w:r>
        <w:t xml:space="preserve"> </w:t>
      </w:r>
      <w:r>
        <w:t xml:space="preserve">— podem ser omitidas numa primeira leitura. Recomendadas para cursos de pós-graduação e para o Notebook N9.</w:t>
      </w:r>
    </w:p>
    <w:p>
      <w:pPr>
        <w:pStyle w:val="FirstParagraph"/>
      </w:pPr>
      <w:r>
        <w:t xml:space="preserve">A função CES (</w:t>
      </w:r>
      <w:r>
        <w:rPr>
          <w:i/>
          <w:iCs/>
        </w:rPr>
        <w:t xml:space="preserve">Constant Elasticity of Substitution</w:t>
      </w:r>
      <w:r>
        <w:t xml:space="preserve">), introduzida por Arrow, Chenery, Minhas e Solow no seminal artigo de 1961 no</w:t>
      </w:r>
      <w:r>
        <w:t xml:space="preserve"> </w:t>
      </w:r>
      <w:r>
        <w:rPr>
          <w:i/>
          <w:iCs/>
        </w:rPr>
        <w:t xml:space="preserve">American Economic Review</w:t>
      </w:r>
      <w:r>
        <w:t xml:space="preserve">, representa o passo decisivo na direção de uma forma funcional verdadeiramente geral. A motivação era clara: a Cobb-Douglas impõe</w:t>
      </w:r>
      <w:r>
        <w:t xml:space="preserve"> </w:t>
      </w:r>
      <m:oMath>
        <m:r>
          <m:t>σ</m:t>
        </m:r>
        <m:r>
          <m:rPr>
            <m:sty m:val="p"/>
          </m:rPr>
          <m:t>=</m:t>
        </m:r>
        <m:r>
          <m:t>1</m:t>
        </m:r>
      </m:oMath>
      <w:r>
        <w:t xml:space="preserve"> </w:t>
      </w:r>
      <w:r>
        <w:t xml:space="preserve">por construção, mas não há razão teórica para que todas as tecnologias apresentem essa elasticidade específica. Arrow et al. derivaram a CES mostrando que ela é a única forma funcional compatível com três hipóteses: (i) isoquantas convexas, (ii) homogeneidade de grau</w:t>
      </w:r>
      <w:r>
        <w:t xml:space="preserve"> </w:t>
      </w:r>
      <m:oMath>
        <m:r>
          <m:t>γ</m:t>
        </m:r>
      </m:oMath>
      <w:r>
        <w:t xml:space="preserve">, e (iii) elasticidade de substituição</w:t>
      </w:r>
      <w:r>
        <w:t xml:space="preserve"> </w:t>
      </w:r>
      <w:r>
        <w:rPr>
          <w:b/>
          <w:bCs/>
        </w:rPr>
        <w:t xml:space="preserve">constante</w:t>
      </w:r>
      <w:r>
        <w:t xml:space="preserve"> </w:t>
      </w:r>
      <w:r>
        <w:t xml:space="preserve">(não necessariamente igual a 1) ao longo de qualquer isoquanta. O resultado é uma família paramétrica que engloba todas as formas anteriores como casos limite ou especiais — um teorema de unificação para a teoria da produção.</w:t>
      </w:r>
    </w:p>
    <w:p>
      <w:pPr>
        <w:pStyle w:val="BodyText"/>
      </w:pPr>
      <m:oMathPara>
        <m:oMathParaPr>
          <m:jc m:val="center"/>
        </m:oMathParaPr>
        <m:oMath>
          <m:r>
            <m:t>q</m:t>
          </m:r>
          <m:r>
            <m:rPr>
              <m:sty m:val="p"/>
            </m:rPr>
            <m:t>=</m:t>
          </m:r>
          <m:r>
            <m:t>A</m:t>
          </m:r>
          <m:sSup>
            <m:e>
              <m:d>
                <m:dPr>
                  <m:begChr m:val="["/>
                  <m:sepChr m:val=""/>
                  <m:endChr m:val="]"/>
                  <m:grow/>
                </m:dPr>
                <m:e>
                  <m:r>
                    <m:t>δ</m:t>
                  </m:r>
                  <m:sSup>
                    <m:e>
                      <m:r>
                        <m:t>K</m:t>
                      </m:r>
                    </m:e>
                    <m:sup>
                      <m:r>
                        <m:t>ρ</m:t>
                      </m:r>
                    </m:sup>
                  </m:sSup>
                  <m:r>
                    <m:rPr>
                      <m:sty m:val="p"/>
                    </m:rPr>
                    <m:t>+</m:t>
                  </m:r>
                  <m:r>
                    <m:rPr>
                      <m:sty m:val="p"/>
                    </m:rPr>
                    <m:t>(</m:t>
                  </m:r>
                  <m:r>
                    <m:t>1</m:t>
                  </m:r>
                  <m:r>
                    <m:rPr>
                      <m:sty m:val="p"/>
                    </m:rPr>
                    <m:t>−</m:t>
                  </m:r>
                  <m:r>
                    <m:t>δ</m:t>
                  </m:r>
                  <m:r>
                    <m:rPr>
                      <m:sty m:val="p"/>
                    </m:rPr>
                    <m:t>)</m:t>
                  </m:r>
                  <m:sSup>
                    <m:e>
                      <m:r>
                        <m:t>L</m:t>
                      </m:r>
                    </m:e>
                    <m:sup>
                      <m:r>
                        <m:t>ρ</m:t>
                      </m:r>
                    </m:sup>
                  </m:sSup>
                </m:e>
              </m:d>
            </m:e>
            <m:sup>
              <m:r>
                <m:t>γ</m:t>
              </m:r>
              <m:r>
                <m:rPr>
                  <m:sty m:val="p"/>
                </m:rPr>
                <m:t>/</m:t>
              </m:r>
              <m:r>
                <m:t>ρ</m:t>
              </m:r>
            </m:sup>
          </m:sSup>
          <m:r>
            <m:rPr>
              <m:sty m:val="p"/>
            </m:rPr>
            <m:t>,</m:t>
          </m:r>
          <m:r>
            <m:t>  </m:t>
          </m:r>
          <m:r>
            <m:t>ρ</m:t>
          </m:r>
          <m:r>
            <m:rPr>
              <m:sty m:val="p"/>
            </m:rPr>
            <m:t>≤</m:t>
          </m:r>
          <m:r>
            <m:t>1</m:t>
          </m:r>
          <m:r>
            <m:rPr>
              <m:sty m:val="p"/>
            </m:rPr>
            <m:t>,</m:t>
          </m:r>
          <m:r>
            <m:t> </m:t>
          </m:r>
          <m:r>
            <m:t>ρ</m:t>
          </m:r>
          <m:r>
            <m:rPr>
              <m:sty m:val="p"/>
            </m:rPr>
            <m:t>≠</m:t>
          </m:r>
          <m:r>
            <m:t>0</m:t>
          </m:r>
          <m:r>
            <m:rPr>
              <m:sty m:val="p"/>
            </m:rPr>
            <m:t>,</m:t>
          </m:r>
          <m:r>
            <m:t> </m:t>
          </m:r>
          <m:r>
            <m:t>0</m:t>
          </m:r>
          <m:r>
            <m:rPr>
              <m:sty m:val="p"/>
            </m:rPr>
            <m:t>&lt;</m:t>
          </m:r>
          <m:r>
            <m:t>δ</m:t>
          </m:r>
          <m:r>
            <m:rPr>
              <m:sty m:val="p"/>
            </m:rPr>
            <m:t>&lt;</m:t>
          </m:r>
          <m:r>
            <m:t>1</m:t>
          </m:r>
        </m:oMath>
      </m:oMathPara>
    </w:p>
    <w:p>
      <w:pPr>
        <w:pStyle w:val="FirstParagraph"/>
      </w:pPr>
      <w:r>
        <w:t xml:space="preserve">onde:</w:t>
      </w:r>
    </w:p>
    <w:p>
      <w:pPr>
        <w:pStyle w:val="Compact"/>
        <w:numPr>
          <w:ilvl w:val="0"/>
          <w:numId w:val="1622"/>
        </w:numPr>
      </w:pPr>
      <m:oMath>
        <m:r>
          <m:t>σ</m:t>
        </m:r>
        <m:r>
          <m:rPr>
            <m:sty m:val="p"/>
          </m:rPr>
          <m:t>=</m:t>
        </m:r>
        <m:f>
          <m:fPr>
            <m:type m:val="bar"/>
          </m:fPr>
          <m:num>
            <m:r>
              <m:t>1</m:t>
            </m:r>
          </m:num>
          <m:den>
            <m:r>
              <m:t>1</m:t>
            </m:r>
            <m:r>
              <m:rPr>
                <m:sty m:val="p"/>
              </m:rPr>
              <m:t>−</m:t>
            </m:r>
            <m:r>
              <m:t>ρ</m:t>
            </m:r>
          </m:den>
        </m:f>
      </m:oMath>
      <w:r>
        <w:t xml:space="preserve"> </w:t>
      </w:r>
      <w:r>
        <w:t xml:space="preserve">é a elasticidade de substituição,</w:t>
      </w:r>
    </w:p>
    <w:p>
      <w:pPr>
        <w:pStyle w:val="Compact"/>
        <w:numPr>
          <w:ilvl w:val="0"/>
          <w:numId w:val="1622"/>
        </w:numPr>
      </w:pPr>
      <m:oMath>
        <m:r>
          <m:t>γ</m:t>
        </m:r>
      </m:oMath>
      <w:r>
        <w:t xml:space="preserve"> </w:t>
      </w:r>
      <w:r>
        <w:t xml:space="preserve">é o parâmetro de rendimentos de escala (constantes se</w:t>
      </w:r>
      <w:r>
        <w:t xml:space="preserve"> </w:t>
      </w:r>
      <m:oMath>
        <m:r>
          <m:t>γ</m:t>
        </m:r>
        <m:r>
          <m:rPr>
            <m:sty m:val="p"/>
          </m:rPr>
          <m:t>=</m:t>
        </m:r>
        <m:r>
          <m:t>1</m:t>
        </m:r>
      </m:oMath>
      <w:r>
        <w:t xml:space="preserve">),</w:t>
      </w:r>
    </w:p>
    <w:p>
      <w:pPr>
        <w:pStyle w:val="Compact"/>
        <w:numPr>
          <w:ilvl w:val="0"/>
          <w:numId w:val="1622"/>
        </w:numPr>
      </w:pPr>
      <m:oMath>
        <m:r>
          <m:t>δ</m:t>
        </m:r>
      </m:oMath>
      <w:r>
        <w:t xml:space="preserve"> </w:t>
      </w:r>
      <w:r>
        <w:t xml:space="preserve">é o parâmetro de distribuição.</w:t>
      </w:r>
    </w:p>
    <w:p>
      <w:pPr>
        <w:pStyle w:val="FirstParagraph"/>
      </w:pPr>
      <w:r>
        <w:t xml:space="preserve">A CES</w:t>
      </w:r>
      <w:r>
        <w:t xml:space="preserve"> </w:t>
      </w:r>
      <w:r>
        <w:rPr>
          <w:b/>
          <w:bCs/>
        </w:rPr>
        <w:t xml:space="preserve">generaliza</w:t>
      </w:r>
      <w:r>
        <w:t xml:space="preserve"> </w:t>
      </w:r>
      <w:r>
        <w:t xml:space="preserve">as três funções anteriores:</w:t>
      </w:r>
    </w:p>
    <w:p>
      <w:pPr>
        <w:pStyle w:val="Compact"/>
        <w:numPr>
          <w:ilvl w:val="0"/>
          <w:numId w:val="1623"/>
        </w:numPr>
      </w:pPr>
      <m:oMath>
        <m:r>
          <m:t>ρ</m:t>
        </m:r>
        <m:r>
          <m:rPr>
            <m:sty m:val="p"/>
          </m:rPr>
          <m:t>→</m:t>
        </m:r>
        <m:r>
          <m:t>0</m:t>
        </m:r>
        <m:r>
          <m:rPr>
            <m:sty m:val="p"/>
          </m:rPr>
          <m:t>⇒</m:t>
        </m:r>
      </m:oMath>
      <w:r>
        <w:t xml:space="preserve"> </w:t>
      </w:r>
      <w:r>
        <w:t xml:space="preserve">Cobb-Douglas</w:t>
      </w:r>
      <w:r>
        <w:t xml:space="preserve"> </w:t>
      </w:r>
      <m:oMath>
        <m:r>
          <m:rPr>
            <m:sty m:val="p"/>
          </m:rPr>
          <m:t>(</m:t>
        </m:r>
        <m:r>
          <m:t>σ</m:t>
        </m:r>
        <m:r>
          <m:rPr>
            <m:sty m:val="p"/>
          </m:rPr>
          <m:t>=</m:t>
        </m:r>
        <m:r>
          <m:t>1</m:t>
        </m:r>
        <m:r>
          <m:rPr>
            <m:sty m:val="p"/>
          </m:rPr>
          <m:t>)</m:t>
        </m:r>
      </m:oMath>
      <w:r>
        <w:t xml:space="preserve">,</w:t>
      </w:r>
    </w:p>
    <w:p>
      <w:pPr>
        <w:pStyle w:val="Compact"/>
        <w:numPr>
          <w:ilvl w:val="0"/>
          <w:numId w:val="1623"/>
        </w:numPr>
      </w:pPr>
      <m:oMath>
        <m:r>
          <m:t>ρ</m:t>
        </m:r>
        <m:r>
          <m:rPr>
            <m:sty m:val="p"/>
          </m:rPr>
          <m:t>=</m:t>
        </m:r>
        <m:r>
          <m:t>1</m:t>
        </m:r>
        <m:r>
          <m:rPr>
            <m:sty m:val="p"/>
          </m:rPr>
          <m:t>⇒</m:t>
        </m:r>
      </m:oMath>
      <w:r>
        <w:t xml:space="preserve"> </w:t>
      </w:r>
      <w:r>
        <w:t xml:space="preserve">Linear</w:t>
      </w:r>
      <w:r>
        <w:t xml:space="preserve"> </w:t>
      </w:r>
      <m:oMath>
        <m:r>
          <m:rPr>
            <m:sty m:val="p"/>
          </m:rPr>
          <m:t>(</m:t>
        </m:r>
        <m:r>
          <m:t>σ</m:t>
        </m:r>
        <m:r>
          <m:rPr>
            <m:sty m:val="p"/>
          </m:rPr>
          <m:t>=</m:t>
        </m:r>
        <m:r>
          <m:rPr>
            <m:sty m:val="p"/>
          </m:rPr>
          <m:t>∞</m:t>
        </m:r>
        <m:r>
          <m:rPr>
            <m:sty m:val="p"/>
          </m:rPr>
          <m:t>)</m:t>
        </m:r>
      </m:oMath>
      <w:r>
        <w:t xml:space="preserve">,</w:t>
      </w:r>
    </w:p>
    <w:p>
      <w:pPr>
        <w:pStyle w:val="Compact"/>
        <w:numPr>
          <w:ilvl w:val="0"/>
          <w:numId w:val="1623"/>
        </w:numPr>
      </w:pPr>
      <m:oMath>
        <m:r>
          <m:t>ρ</m:t>
        </m:r>
        <m:r>
          <m:rPr>
            <m:sty m:val="p"/>
          </m:rPr>
          <m:t>→</m:t>
        </m:r>
        <m:r>
          <m:rPr>
            <m:sty m:val="p"/>
          </m:rPr>
          <m:t>−</m:t>
        </m:r>
        <m:r>
          <m:rPr>
            <m:sty m:val="p"/>
          </m:rPr>
          <m:t>∞</m:t>
        </m:r>
        <m:r>
          <m:rPr>
            <m:sty m:val="p"/>
          </m:rPr>
          <m:t>⇒</m:t>
        </m:r>
      </m:oMath>
      <w:r>
        <w:t xml:space="preserve"> </w:t>
      </w:r>
      <w:r>
        <w:t xml:space="preserve">Leontief</w:t>
      </w:r>
      <w:r>
        <w:t xml:space="preserve"> </w:t>
      </w:r>
      <m:oMath>
        <m:r>
          <m:rPr>
            <m:sty m:val="p"/>
          </m:rPr>
          <m:t>(</m:t>
        </m:r>
        <m:r>
          <m:t>σ</m:t>
        </m:r>
        <m:r>
          <m:rPr>
            <m:sty m:val="p"/>
          </m:rPr>
          <m:t>=</m:t>
        </m:r>
        <m:r>
          <m:t>0</m:t>
        </m:r>
        <m:r>
          <m:rPr>
            <m:sty m:val="p"/>
          </m:rPr>
          <m:t>)</m:t>
        </m:r>
      </m:oMath>
      <w:r>
        <w:t xml:space="preserve">:</w:t>
      </w:r>
      <w:r>
        <w:t xml:space="preserve"> </w:t>
      </w:r>
      <m:oMath>
        <m:r>
          <m:t>q</m:t>
        </m:r>
        <m:r>
          <m:rPr>
            <m:sty m:val="p"/>
          </m:rPr>
          <m:t>→</m:t>
        </m:r>
        <m:r>
          <m:t>A</m:t>
        </m:r>
        <m:r>
          <m:rPr>
            <m:sty m:val="p"/>
          </m:rPr>
          <m:t>min</m:t>
        </m:r>
        <m:r>
          <m:rPr>
            <m:sty m:val="p"/>
          </m:rPr>
          <m:t>{</m:t>
        </m:r>
        <m:r>
          <m:t>K</m:t>
        </m:r>
        <m:r>
          <m:rPr>
            <m:sty m:val="p"/>
          </m:rPr>
          <m:t>,</m:t>
        </m:r>
        <m:r>
          <m:t>L</m:t>
        </m:r>
        <m:r>
          <m:rPr>
            <m:sty m:val="p"/>
          </m:rPr>
          <m:t>}</m:t>
        </m:r>
      </m:oMath>
      <w:r>
        <w:t xml:space="preserve">. (Para obter a forma geral</w:t>
      </w:r>
      <w:r>
        <w:t xml:space="preserve"> </w:t>
      </w:r>
      <m:oMath>
        <m:r>
          <m:rPr>
            <m:sty m:val="p"/>
          </m:rPr>
          <m:t>min</m:t>
        </m:r>
        <m:r>
          <m:rPr>
            <m:sty m:val="p"/>
          </m:rPr>
          <m:t>{</m:t>
        </m:r>
        <m:r>
          <m:t>K</m:t>
        </m:r>
        <m:r>
          <m:rPr>
            <m:sty m:val="p"/>
          </m:rPr>
          <m:t>/</m:t>
        </m:r>
        <m:r>
          <m:t>a</m:t>
        </m:r>
        <m:r>
          <m:rPr>
            <m:sty m:val="p"/>
          </m:rPr>
          <m:t>,</m:t>
        </m:r>
        <m:r>
          <m:t>L</m:t>
        </m:r>
        <m:r>
          <m:rPr>
            <m:sty m:val="p"/>
          </m:rPr>
          <m:t>/</m:t>
        </m:r>
        <m:r>
          <m:t>b</m:t>
        </m:r>
        <m:r>
          <m:rPr>
            <m:sty m:val="p"/>
          </m:rPr>
          <m:t>}</m:t>
        </m:r>
      </m:oMath>
      <w:r>
        <w:t xml:space="preserve">, é necessário colocar os coeficientes dentro da função</w:t>
      </w:r>
      <w:r>
        <w:t xml:space="preserve"> </w:t>
      </w:r>
      <m:oMath>
        <m:r>
          <m:rPr>
            <m:sty m:val="p"/>
          </m:rPr>
          <m:t>min</m:t>
        </m:r>
      </m:oMath>
      <w:r>
        <w:t xml:space="preserve">, e não como pesos</w:t>
      </w:r>
      <w:r>
        <w:t xml:space="preserve"> </w:t>
      </w:r>
      <m:oMath>
        <m:r>
          <m:t>δ</m:t>
        </m:r>
        <m:r>
          <m:rPr>
            <m:sty m:val="p"/>
          </m:rPr>
          <m:t>,</m:t>
        </m:r>
        <m:r>
          <m:t>1</m:t>
        </m:r>
        <m:r>
          <m:rPr>
            <m:sty m:val="p"/>
          </m:rPr>
          <m:t>−</m:t>
        </m:r>
        <m:r>
          <m:t>δ</m:t>
        </m:r>
      </m:oMath>
      <w:r>
        <w:t xml:space="preserve"> </w:t>
      </w:r>
      <w:r>
        <w:t xml:space="preserve">na CES.)</w:t>
      </w:r>
    </w:p>
    <w:p>
      <w:pPr>
        <w:pStyle w:val="BlockText"/>
      </w:pPr>
      <w:r>
        <w:rPr>
          <w:b/>
          <w:bCs/>
        </w:rPr>
        <w:t xml:space="preserve">[INTUICAO ECONOMICA] Intuição Econômica</w:t>
      </w:r>
    </w:p>
    <w:p>
      <w:pPr>
        <w:pStyle w:val="BlockText"/>
      </w:pPr>
      <w:r>
        <w:rPr>
          <w:b/>
          <w:bCs/>
        </w:rPr>
        <w:t xml:space="preserve">Em uma frase:</w:t>
      </w:r>
      <w:r>
        <w:t xml:space="preserve"> </w:t>
      </w:r>
      <w:r>
        <w:t xml:space="preserve">A CES é o</w:t>
      </w:r>
      <w:r>
        <w:t xml:space="preserve"> </w:t>
      </w:r>
      <w:r>
        <w:t xml:space="preserve">“canivete suíço”</w:t>
      </w:r>
      <w:r>
        <w:t xml:space="preserve"> </w:t>
      </w:r>
      <w:r>
        <w:t xml:space="preserve">das funções de produção — um único modelo que, ao variar o parâmetro</w:t>
      </w:r>
      <w:r>
        <w:t xml:space="preserve"> </w:t>
      </w:r>
      <m:oMath>
        <m:r>
          <m:t>ρ</m:t>
        </m:r>
      </m:oMath>
      <w:r>
        <w:t xml:space="preserve">, reproduz toda a família de tecnologias, dos complementares perfeitos aos substitutos perfeitos.</w:t>
      </w:r>
    </w:p>
    <w:p>
      <w:pPr>
        <w:pStyle w:val="BlockText"/>
      </w:pPr>
      <w:r>
        <w:rPr>
          <w:b/>
          <w:bCs/>
        </w:rPr>
        <w:t xml:space="preserve">Pense assim:</w:t>
      </w:r>
      <w:r>
        <w:t xml:space="preserve"> </w:t>
      </w:r>
      <w:r>
        <w:t xml:space="preserve">Imagine um controle deslizante com</w:t>
      </w:r>
      <w:r>
        <w:t xml:space="preserve"> </w:t>
      </w:r>
      <w:r>
        <w:t xml:space="preserve">“Leontief”</w:t>
      </w:r>
      <w:r>
        <w:t xml:space="preserve"> </w:t>
      </w:r>
      <w:r>
        <w:t xml:space="preserve">em um extremo (proporções rígidas, como uma receita química) e</w:t>
      </w:r>
      <w:r>
        <w:t xml:space="preserve"> </w:t>
      </w:r>
      <w:r>
        <w:t xml:space="preserve">“Linear”</w:t>
      </w:r>
      <w:r>
        <w:t xml:space="preserve"> </w:t>
      </w:r>
      <w:r>
        <w:t xml:space="preserve">no outro (substituição total, como dois tipos de combustível). A posição atual do controle é determinada por</w:t>
      </w:r>
      <w:r>
        <w:t xml:space="preserve"> </w:t>
      </w:r>
      <m:oMath>
        <m:r>
          <m:t>ρ</m:t>
        </m:r>
      </m:oMath>
      <w:r>
        <w:t xml:space="preserve">. Em</w:t>
      </w:r>
      <w:r>
        <w:t xml:space="preserve"> </w:t>
      </w:r>
      <m:oMath>
        <m:r>
          <m:t>ρ</m:t>
        </m:r>
        <m:r>
          <m:rPr>
            <m:sty m:val="p"/>
          </m:rPr>
          <m:t>=</m:t>
        </m:r>
        <m:r>
          <m:t>0</m:t>
        </m:r>
      </m:oMath>
      <w:r>
        <w:t xml:space="preserve"> </w:t>
      </w:r>
      <w:r>
        <w:t xml:space="preserve">(ou seja,</w:t>
      </w:r>
      <w:r>
        <w:t xml:space="preserve"> </w:t>
      </w:r>
      <m:oMath>
        <m:r>
          <m:t>σ</m:t>
        </m:r>
        <m:r>
          <m:rPr>
            <m:sty m:val="p"/>
          </m:rPr>
          <m:t>=</m:t>
        </m:r>
        <m:r>
          <m:t>1</m:t>
        </m:r>
      </m:oMath>
      <w:r>
        <w:t xml:space="preserve">), o controle está exatamente no meio — e a tecnologia é Cobb-Douglas. Ao empurrar o controle para a esquerda (</w:t>
      </w:r>
      <m:oMath>
        <m:r>
          <m:t>ρ</m:t>
        </m:r>
        <m:r>
          <m:rPr>
            <m:sty m:val="p"/>
          </m:rPr>
          <m:t>→</m:t>
        </m:r>
        <m:r>
          <m:rPr>
            <m:sty m:val="p"/>
          </m:rPr>
          <m:t>−</m:t>
        </m:r>
        <m:r>
          <m:rPr>
            <m:sty m:val="p"/>
          </m:rPr>
          <m:t>∞</m:t>
        </m:r>
      </m:oMath>
      <w:r>
        <w:t xml:space="preserve">,</w:t>
      </w:r>
      <w:r>
        <w:t xml:space="preserve"> </w:t>
      </w:r>
      <m:oMath>
        <m:r>
          <m:t>σ</m:t>
        </m:r>
        <m:r>
          <m:rPr>
            <m:sty m:val="p"/>
          </m:rPr>
          <m:t>→</m:t>
        </m:r>
        <m:r>
          <m:t>0</m:t>
        </m:r>
      </m:oMath>
      <w:r>
        <w:t xml:space="preserve">), as isoquantas ficam cada vez mais</w:t>
      </w:r>
      <w:r>
        <w:t xml:space="preserve"> </w:t>
      </w:r>
      <w:r>
        <w:t xml:space="preserve">“anguladas”</w:t>
      </w:r>
      <w:r>
        <w:t xml:space="preserve"> </w:t>
      </w:r>
      <w:r>
        <w:t xml:space="preserve">até se tornarem um L perfeito. Ao empurrar para a direita (</w:t>
      </w:r>
      <m:oMath>
        <m:r>
          <m:t>ρ</m:t>
        </m:r>
        <m:r>
          <m:rPr>
            <m:sty m:val="p"/>
          </m:rPr>
          <m:t>→</m:t>
        </m:r>
        <m:r>
          <m:t>1</m:t>
        </m:r>
      </m:oMath>
      <w:r>
        <w:t xml:space="preserve">,</w:t>
      </w:r>
      <w:r>
        <w:t xml:space="preserve"> </w:t>
      </w:r>
      <m:oMath>
        <m:r>
          <m:t>σ</m:t>
        </m:r>
        <m:r>
          <m:rPr>
            <m:sty m:val="p"/>
          </m:rPr>
          <m:t>→</m:t>
        </m:r>
        <m:r>
          <m:rPr>
            <m:sty m:val="p"/>
          </m:rPr>
          <m:t>∞</m:t>
        </m:r>
      </m:oMath>
      <w:r>
        <w:t xml:space="preserve">), as isoquantas ficam mais retas até serem linhas paralelas.</w:t>
      </w:r>
    </w:p>
    <w:p>
      <w:pPr>
        <w:pStyle w:val="BlockText"/>
      </w:pPr>
      <w:r>
        <w:rPr>
          <w:b/>
          <w:bCs/>
        </w:rPr>
        <w:t xml:space="preserve">Por que isso importa:</w:t>
      </w:r>
      <w:r>
        <w:t xml:space="preserve"> </w:t>
      </w:r>
      <w:r>
        <w:t xml:space="preserve">Na estimação empírica, a CES permite</w:t>
      </w:r>
      <w:r>
        <w:t xml:space="preserve"> </w:t>
      </w:r>
      <w:r>
        <w:rPr>
          <w:i/>
          <w:iCs/>
        </w:rPr>
        <w:t xml:space="preserve">testar</w:t>
      </w:r>
      <w:r>
        <w:t xml:space="preserve"> </w:t>
      </w:r>
      <w:r>
        <w:t xml:space="preserve">se a Cobb-Douglas é uma boa aproximação (</w:t>
      </w:r>
      <m:oMath>
        <m:r>
          <m:t>σ</m:t>
        </m:r>
        <m:r>
          <m:rPr>
            <m:sty m:val="p"/>
          </m:rPr>
          <m:t>=</m:t>
        </m:r>
        <m:r>
          <m:t>1</m:t>
        </m:r>
      </m:oMath>
      <w:r>
        <w:t xml:space="preserve">) ou se a tecnologia exige uma elasticidade diferente. Arrow et al. (1961) encontraram</w:t>
      </w:r>
      <w:r>
        <w:t xml:space="preserve"> </w:t>
      </w:r>
      <m:oMath>
        <m:r>
          <m:t>σ</m:t>
        </m:r>
      </m:oMath>
      <w:r>
        <w:t xml:space="preserve"> </w:t>
      </w:r>
      <w:r>
        <w:t xml:space="preserve">sistematicamente abaixo de 1 em dados industriais internacionais — o que motivou décadas de pesquisa sobre a verdadeira elasticidade de substituição nas economias modernas.</w:t>
      </w:r>
    </w:p>
    <w:p>
      <w:pPr>
        <w:pStyle w:val="BlockText"/>
      </w:pPr>
      <w:r>
        <w:rPr>
          <w:b/>
          <w:bCs/>
        </w:rPr>
        <w:t xml:space="preserve">[INFORMACAO] Prêmio Nobel — Kenneth J. Arrow (1972)</w:t>
      </w:r>
    </w:p>
    <w:p>
      <w:pPr>
        <w:pStyle w:val="BlockText"/>
      </w:pPr>
      <w:r>
        <w:rPr>
          <w:b/>
          <w:bCs/>
        </w:rPr>
        <w:t xml:space="preserve">Kenneth Joseph Arrow</w:t>
      </w:r>
      <w:r>
        <w:t xml:space="preserve"> </w:t>
      </w:r>
      <w:r>
        <w:t xml:space="preserve">(1921–2017) dividiu o Nobel de 1972 com John Hicks por suas contribuições à teoria do equilíbrio geral e à economia do bem-estar. Mas suas contribuições vão muito além: o Teorema da Impossibilidade de Arrow (Capítulo 14, Seção 14.12), o modelo Arrow-Debreu de equilíbrio geral com mercados completos (Capítulo 14), os fundamentos da economia da informação e, diretamente relevante para este capítulo, a função de produção CES.</w:t>
      </w:r>
    </w:p>
    <w:p>
      <w:pPr>
        <w:pStyle w:val="BlockText"/>
      </w:pPr>
      <w:r>
        <w:rPr>
          <w:b/>
          <w:bCs/>
        </w:rPr>
        <w:t xml:space="preserve">Conexão com este capítulo:</w:t>
      </w:r>
      <w:r>
        <w:t xml:space="preserve"> </w:t>
      </w:r>
      <w:r>
        <w:t xml:space="preserve">Arrow, junto com Chenery, Minhas e Solow, derivou a CES (1961) como a forma funcional mais geral compatível com elasticidade de substituição constante — unificando linear, Leontief e Cobb-Douglas num único modelo. A CES é provavelmente o objeto mais versátil da caixa de ferramentas do economista empírico: de funções de produção a funções de utilidade, de modelos de comércio internacional a modelos de crescimento, ela aparece em toda parte. Arrow demonstrou que restringir</w:t>
      </w:r>
      <w:r>
        <w:t xml:space="preserve"> </w:t>
      </w:r>
      <m:oMath>
        <m:r>
          <m:t>σ</m:t>
        </m:r>
        <m:r>
          <m:rPr>
            <m:sty m:val="p"/>
          </m:rPr>
          <m:t>=</m:t>
        </m:r>
        <m:r>
          <m:t>1</m:t>
        </m:r>
      </m:oMath>
      <w:r>
        <w:t xml:space="preserve"> </w:t>
      </w:r>
      <w:r>
        <w:t xml:space="preserve">(Cobb-Douglas) era uma hipótese desnecessária — e a evidência empírica lhe deu razão.</w:t>
      </w:r>
    </w:p>
    <w:p>
      <w:pPr>
        <w:pStyle w:val="FirstParagraph"/>
      </w:pPr>
      <w:r>
        <w:t xml:space="preserve">A</w:t>
      </w:r>
      <w:r>
        <w:t xml:space="preserve"> </w:t>
      </w:r>
      <w:hyperlink w:anchor="tabela-10-1">
        <w:r>
          <w:rPr>
            <w:rStyle w:val="Hyperlink"/>
          </w:rPr>
          <w:t xml:space="preserve">Tabela 10.1</w:t>
        </w:r>
      </w:hyperlink>
      <w:r>
        <w:t xml:space="preserve"> </w:t>
      </w:r>
      <w:r>
        <w:t xml:space="preserve">compara as propriedades das quatro funções de produção.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Propriedade</w:t>
            </w:r>
          </w:p>
        </w:tc>
        <w:tc>
          <w:tcPr/>
          <w:p>
            <w:pPr>
              <w:pStyle w:val="Compact"/>
              <w:jc w:val="left"/>
            </w:pPr>
            <w:r>
              <w:t xml:space="preserve">Linear</w:t>
            </w:r>
          </w:p>
        </w:tc>
        <w:tc>
          <w:tcPr/>
          <w:p>
            <w:pPr>
              <w:pStyle w:val="Compact"/>
              <w:jc w:val="left"/>
            </w:pPr>
            <w:r>
              <w:t xml:space="preserve">Leontief</w:t>
            </w:r>
          </w:p>
        </w:tc>
        <w:tc>
          <w:tcPr/>
          <w:p>
            <w:pPr>
              <w:pStyle w:val="Compact"/>
              <w:jc w:val="left"/>
            </w:pPr>
            <w:r>
              <w:t xml:space="preserve">Cobb-Douglas</w:t>
            </w:r>
          </w:p>
        </w:tc>
        <w:tc>
          <w:tcPr/>
          <w:p>
            <w:pPr>
              <w:pStyle w:val="Compact"/>
              <w:jc w:val="left"/>
            </w:pPr>
            <w:r>
              <w:t xml:space="preserve">CES</w:t>
            </w:r>
          </w:p>
        </w:tc>
      </w:tr>
      <w:tr>
        <w:tc>
          <w:tcPr/>
          <w:p>
            <w:pPr>
              <w:pStyle w:val="Compact"/>
              <w:jc w:val="left"/>
            </w:pPr>
            <w:r>
              <w:rPr>
                <w:b/>
                <w:bCs/>
              </w:rPr>
              <w:t xml:space="preserve">Fórmula</w:t>
            </w:r>
          </w:p>
        </w:tc>
        <w:tc>
          <w:tcPr/>
          <w:p>
            <w:pPr>
              <w:pStyle w:val="Compact"/>
              <w:jc w:val="left"/>
            </w:pPr>
            <m:oMath>
              <m:r>
                <m:t>a</m:t>
              </m:r>
              <m:r>
                <m:t>K</m:t>
              </m:r>
              <m:r>
                <m:rPr>
                  <m:sty m:val="p"/>
                </m:rPr>
                <m:t>+</m:t>
              </m:r>
              <m:r>
                <m:t>b</m:t>
              </m:r>
              <m:r>
                <m:t>L</m:t>
              </m:r>
            </m:oMath>
          </w:p>
        </w:tc>
        <w:tc>
          <w:tcPr/>
          <w:p>
            <w:pPr>
              <w:pStyle w:val="Compact"/>
              <w:jc w:val="left"/>
            </w:pPr>
            <m:oMath>
              <m:r>
                <m:rPr>
                  <m:sty m:val="p"/>
                </m:rPr>
                <m:t>min</m:t>
              </m:r>
              <m:r>
                <m:rPr>
                  <m:sty m:val="p"/>
                </m:rPr>
                <m:t>{</m:t>
              </m:r>
              <m:r>
                <m:t>K</m:t>
              </m:r>
              <m:r>
                <m:rPr>
                  <m:sty m:val="p"/>
                </m:rPr>
                <m:t>/</m:t>
              </m:r>
              <m:r>
                <m:t>a</m:t>
              </m:r>
              <m:r>
                <m:rPr>
                  <m:sty m:val="p"/>
                </m:rPr>
                <m:t>,</m:t>
              </m:r>
              <m:r>
                <m:t>L</m:t>
              </m:r>
              <m:r>
                <m:rPr>
                  <m:sty m:val="p"/>
                </m:rPr>
                <m:t>/</m:t>
              </m:r>
              <m:r>
                <m:t>b</m:t>
              </m:r>
              <m:r>
                <m:rPr>
                  <m:sty m:val="p"/>
                </m:rPr>
                <m:t>}</m:t>
              </m:r>
            </m:oMath>
          </w:p>
        </w:tc>
        <w:tc>
          <w:tcPr/>
          <w:p>
            <w:pPr>
              <w:pStyle w:val="Compact"/>
              <w:jc w:val="left"/>
            </w:pPr>
            <m:oMath>
              <m:r>
                <m:t>A</m:t>
              </m:r>
              <m:sSup>
                <m:e>
                  <m:r>
                    <m:t>K</m:t>
                  </m:r>
                </m:e>
                <m:sup>
                  <m:r>
                    <m:t>α</m:t>
                  </m:r>
                </m:sup>
              </m:sSup>
              <m:sSup>
                <m:e>
                  <m:r>
                    <m:t>L</m:t>
                  </m:r>
                </m:e>
                <m:sup>
                  <m:r>
                    <m:t>β</m:t>
                  </m:r>
                </m:sup>
              </m:sSup>
            </m:oMath>
          </w:p>
        </w:tc>
        <w:tc>
          <w:tcPr/>
          <w:p>
            <w:pPr>
              <w:pStyle w:val="Compact"/>
              <w:jc w:val="left"/>
            </w:pPr>
            <m:oMath>
              <m:r>
                <m:t>A</m:t>
              </m:r>
              <m:r>
                <m:rPr>
                  <m:sty m:val="p"/>
                </m:rPr>
                <m:t>[</m:t>
              </m:r>
              <m:r>
                <m:t>δ</m:t>
              </m:r>
              <m:sSup>
                <m:e>
                  <m:r>
                    <m:t>K</m:t>
                  </m:r>
                </m:e>
                <m:sup>
                  <m:r>
                    <m:t>ρ</m:t>
                  </m:r>
                </m:sup>
              </m:sSup>
              <m:r>
                <m:rPr>
                  <m:sty m:val="p"/>
                </m:rPr>
                <m:t>+</m:t>
              </m:r>
              <m:r>
                <m:rPr>
                  <m:sty m:val="p"/>
                </m:rPr>
                <m:t>(</m:t>
              </m:r>
              <m:r>
                <m:t>1</m:t>
              </m:r>
              <m:r>
                <m:rPr>
                  <m:sty m:val="p"/>
                </m:rPr>
                <m:t>−</m:t>
              </m:r>
              <m:r>
                <m:t>δ</m:t>
              </m:r>
              <m:r>
                <m:rPr>
                  <m:sty m:val="p"/>
                </m:rPr>
                <m:t>)</m:t>
              </m:r>
              <m:sSup>
                <m:e>
                  <m:r>
                    <m:t>L</m:t>
                  </m:r>
                </m:e>
                <m:sup>
                  <m:r>
                    <m:t>ρ</m:t>
                  </m:r>
                </m:sup>
              </m:sSup>
              <m:sSup>
                <m:e>
                  <m:r>
                    <m:rPr>
                      <m:sty m:val="p"/>
                    </m:rPr>
                    <m:t>]</m:t>
                  </m:r>
                </m:e>
                <m:sup>
                  <m:r>
                    <m:t>γ</m:t>
                  </m:r>
                  <m:r>
                    <m:rPr>
                      <m:sty m:val="p"/>
                    </m:rPr>
                    <m:t>/</m:t>
                  </m:r>
                  <m:r>
                    <m:t>ρ</m:t>
                  </m:r>
                </m:sup>
              </m:sSup>
            </m:oMath>
          </w:p>
        </w:tc>
      </w:tr>
      <w:tr>
        <w:tc>
          <w:tcPr/>
          <w:p>
            <w:pPr>
              <w:pStyle w:val="Compact"/>
              <w:jc w:val="left"/>
            </w:pPr>
            <w:r>
              <w:rPr>
                <w:b/>
                <w:bCs/>
              </w:rPr>
              <w:t xml:space="preserve">TMST</w:t>
            </w:r>
          </w:p>
        </w:tc>
        <w:tc>
          <w:tcPr/>
          <w:p>
            <w:pPr>
              <w:pStyle w:val="Compact"/>
              <w:jc w:val="left"/>
            </w:pPr>
            <m:oMath>
              <m:r>
                <m:t>b</m:t>
              </m:r>
              <m:r>
                <m:rPr>
                  <m:sty m:val="p"/>
                </m:rPr>
                <m:t>/</m:t>
              </m:r>
              <m:r>
                <m:t>a</m:t>
              </m:r>
            </m:oMath>
            <w:r>
              <w:t xml:space="preserve"> </w:t>
            </w:r>
            <w:r>
              <w:t xml:space="preserve">(constante)</w:t>
            </w:r>
          </w:p>
        </w:tc>
        <w:tc>
          <w:tcPr/>
          <w:p>
            <w:pPr>
              <w:pStyle w:val="Compact"/>
              <w:jc w:val="left"/>
            </w:pPr>
            <w:r>
              <w:t xml:space="preserve">Indefinida no vértice</w:t>
            </w:r>
          </w:p>
        </w:tc>
        <w:tc>
          <w:tcPr/>
          <w:p>
            <w:pPr>
              <w:pStyle w:val="Compact"/>
              <w:jc w:val="left"/>
            </w:pPr>
            <m:oMath>
              <m:r>
                <m:rPr>
                  <m:sty m:val="p"/>
                </m:rPr>
                <m:t>(</m:t>
              </m:r>
              <m:r>
                <m:t>β</m:t>
              </m:r>
              <m:r>
                <m:rPr>
                  <m:sty m:val="p"/>
                </m:rPr>
                <m:t>/</m:t>
              </m:r>
              <m:r>
                <m:t>α</m:t>
              </m:r>
              <m:r>
                <m:rPr>
                  <m:sty m:val="p"/>
                </m:rPr>
                <m:t>)</m:t>
              </m:r>
              <m:r>
                <m:rPr>
                  <m:sty m:val="p"/>
                </m:rPr>
                <m:t>(</m:t>
              </m:r>
              <m:r>
                <m:t>K</m:t>
              </m:r>
              <m:r>
                <m:rPr>
                  <m:sty m:val="p"/>
                </m:rPr>
                <m:t>/</m:t>
              </m:r>
              <m:r>
                <m:t>L</m:t>
              </m:r>
              <m:r>
                <m:rPr>
                  <m:sty m:val="p"/>
                </m:rPr>
                <m:t>)</m:t>
              </m:r>
            </m:oMath>
          </w:p>
        </w:tc>
        <w:tc>
          <w:tcPr/>
          <w:p>
            <w:pPr>
              <w:pStyle w:val="Compact"/>
              <w:jc w:val="left"/>
            </w:pPr>
            <m:oMath>
              <m:f>
                <m:fPr>
                  <m:type m:val="bar"/>
                </m:fPr>
                <m:num>
                  <m:r>
                    <m:t>1</m:t>
                  </m:r>
                  <m:r>
                    <m:rPr>
                      <m:sty m:val="p"/>
                    </m:rPr>
                    <m:t>−</m:t>
                  </m:r>
                  <m:r>
                    <m:t>δ</m:t>
                  </m:r>
                </m:num>
                <m:den>
                  <m:r>
                    <m:t>δ</m:t>
                  </m:r>
                </m:den>
              </m:f>
              <m:sSup>
                <m:e>
                  <m:d>
                    <m:dPr>
                      <m:begChr m:val="("/>
                      <m:sepChr m:val=""/>
                      <m:endChr m:val=")"/>
                      <m:grow/>
                    </m:dPr>
                    <m:e>
                      <m:f>
                        <m:fPr>
                          <m:type m:val="bar"/>
                        </m:fPr>
                        <m:num>
                          <m:r>
                            <m:t>K</m:t>
                          </m:r>
                        </m:num>
                        <m:den>
                          <m:r>
                            <m:t>L</m:t>
                          </m:r>
                        </m:den>
                      </m:f>
                    </m:e>
                  </m:d>
                </m:e>
                <m:sup>
                  <m:r>
                    <m:t>1</m:t>
                  </m:r>
                  <m:r>
                    <m:rPr>
                      <m:sty m:val="p"/>
                    </m:rPr>
                    <m:t>−</m:t>
                  </m:r>
                  <m:r>
                    <m:t>ρ</m:t>
                  </m:r>
                </m:sup>
              </m:sSup>
            </m:oMath>
          </w:p>
        </w:tc>
      </w:tr>
      <w:tr>
        <w:tc>
          <w:tcPr/>
          <w:p>
            <w:pPr>
              <w:pStyle w:val="Compact"/>
              <w:jc w:val="left"/>
            </w:pPr>
            <w:r>
              <w:rPr>
                <w:b/>
                <w:bCs/>
              </w:rPr>
              <w:t xml:space="preserve">Elasticidade de substituição</w:t>
            </w:r>
            <w:r>
              <w:rPr>
                <w:b/>
                <w:bCs/>
              </w:rPr>
              <w:t xml:space="preserve"> </w:t>
            </w:r>
            <m:oMath>
              <m:r>
                <m:t>σ</m:t>
              </m:r>
            </m:oMath>
          </w:p>
        </w:tc>
        <w:tc>
          <w:tcPr/>
          <w:p>
            <w:pPr>
              <w:pStyle w:val="Compact"/>
              <w:jc w:val="left"/>
            </w:pPr>
            <m:oMath>
              <m:r>
                <m:rPr>
                  <m:sty m:val="p"/>
                </m:rPr>
                <m:t>∞</m:t>
              </m:r>
            </m:oMath>
          </w:p>
        </w:tc>
        <w:tc>
          <w:tcPr/>
          <w:p>
            <w:pPr>
              <w:pStyle w:val="Compact"/>
              <w:jc w:val="left"/>
            </w:pPr>
            <m:oMath>
              <m:r>
                <m:t>0</m:t>
              </m:r>
            </m:oMath>
          </w:p>
        </w:tc>
        <w:tc>
          <w:tcPr/>
          <w:p>
            <w:pPr>
              <w:pStyle w:val="Compact"/>
              <w:jc w:val="left"/>
            </w:pPr>
            <m:oMath>
              <m:r>
                <m:t>1</m:t>
              </m:r>
            </m:oMath>
          </w:p>
        </w:tc>
        <w:tc>
          <w:tcPr/>
          <w:p>
            <w:pPr>
              <w:pStyle w:val="Compact"/>
              <w:jc w:val="left"/>
            </w:pPr>
            <m:oMath>
              <m:f>
                <m:fPr>
                  <m:type m:val="bar"/>
                </m:fPr>
                <m:num>
                  <m:r>
                    <m:t>1</m:t>
                  </m:r>
                </m:num>
                <m:den>
                  <m:r>
                    <m:t>1</m:t>
                  </m:r>
                  <m:r>
                    <m:rPr>
                      <m:sty m:val="p"/>
                    </m:rPr>
                    <m:t>−</m:t>
                  </m:r>
                  <m:r>
                    <m:t>ρ</m:t>
                  </m:r>
                </m:den>
              </m:f>
            </m:oMath>
          </w:p>
        </w:tc>
      </w:tr>
      <w:tr>
        <w:tc>
          <w:tcPr/>
          <w:p>
            <w:pPr>
              <w:pStyle w:val="Compact"/>
              <w:jc w:val="left"/>
            </w:pPr>
            <w:r>
              <w:rPr>
                <w:b/>
                <w:bCs/>
              </w:rPr>
              <w:t xml:space="preserve">Rendimentos de escala</w:t>
            </w:r>
          </w:p>
        </w:tc>
        <w:tc>
          <w:tcPr/>
          <w:p>
            <w:pPr>
              <w:pStyle w:val="Compact"/>
              <w:jc w:val="left"/>
            </w:pPr>
            <w:r>
              <w:t xml:space="preserve">Constantes</w:t>
            </w:r>
          </w:p>
        </w:tc>
        <w:tc>
          <w:tcPr/>
          <w:p>
            <w:pPr>
              <w:pStyle w:val="Compact"/>
              <w:jc w:val="left"/>
            </w:pPr>
            <w:r>
              <w:t xml:space="preserve">Constantes</w:t>
            </w:r>
          </w:p>
        </w:tc>
        <w:tc>
          <w:tcPr/>
          <w:p>
            <w:pPr>
              <w:pStyle w:val="Compact"/>
              <w:jc w:val="left"/>
            </w:pPr>
            <w:r>
              <w:t xml:space="preserve">Depende de</w:t>
            </w:r>
            <w:r>
              <w:t xml:space="preserve"> </w:t>
            </w:r>
            <m:oMath>
              <m:r>
                <m:t>α</m:t>
              </m:r>
              <m:r>
                <m:rPr>
                  <m:sty m:val="p"/>
                </m:rPr>
                <m:t>+</m:t>
              </m:r>
              <m:r>
                <m:t>β</m:t>
              </m:r>
            </m:oMath>
          </w:p>
        </w:tc>
        <w:tc>
          <w:tcPr/>
          <w:p>
            <w:pPr>
              <w:pStyle w:val="Compact"/>
              <w:jc w:val="left"/>
            </w:pPr>
            <w:r>
              <w:t xml:space="preserve">Depende de</w:t>
            </w:r>
            <w:r>
              <w:t xml:space="preserve"> </w:t>
            </w:r>
            <m:oMath>
              <m:r>
                <m:t>γ</m:t>
              </m:r>
            </m:oMath>
          </w:p>
        </w:tc>
      </w:tr>
      <w:tr>
        <w:tc>
          <w:tcPr/>
          <w:p>
            <w:pPr>
              <w:pStyle w:val="Compact"/>
              <w:jc w:val="left"/>
            </w:pPr>
            <w:r>
              <w:rPr>
                <w:b/>
                <w:bCs/>
              </w:rPr>
              <w:t xml:space="preserve">Isoquantas</w:t>
            </w:r>
          </w:p>
        </w:tc>
        <w:tc>
          <w:tcPr/>
          <w:p>
            <w:pPr>
              <w:pStyle w:val="Compact"/>
              <w:jc w:val="left"/>
            </w:pPr>
            <w:r>
              <w:t xml:space="preserve">Retas</w:t>
            </w:r>
          </w:p>
        </w:tc>
        <w:tc>
          <w:tcPr/>
          <w:p>
            <w:pPr>
              <w:pStyle w:val="Compact"/>
              <w:jc w:val="left"/>
            </w:pPr>
            <w:r>
              <w:t xml:space="preserve">Ângulos retos</w:t>
            </w:r>
          </w:p>
        </w:tc>
        <w:tc>
          <w:tcPr/>
          <w:p>
            <w:pPr>
              <w:pStyle w:val="Compact"/>
              <w:jc w:val="left"/>
            </w:pPr>
            <w:r>
              <w:t xml:space="preserve">Hipérboles convexas</w:t>
            </w:r>
          </w:p>
        </w:tc>
        <w:tc>
          <w:tcPr/>
          <w:p>
            <w:pPr>
              <w:pStyle w:val="Compact"/>
              <w:jc w:val="left"/>
            </w:pPr>
            <w:r>
              <w:t xml:space="preserve">Curvas convexas</w:t>
            </w:r>
          </w:p>
        </w:tc>
      </w:tr>
      <w:tr>
        <w:tc>
          <w:tcPr/>
          <w:p>
            <w:pPr>
              <w:pStyle w:val="Compact"/>
              <w:jc w:val="left"/>
            </w:pPr>
            <w:r>
              <w:rPr>
                <w:b/>
                <w:bCs/>
              </w:rPr>
              <w:t xml:space="preserve">Casos especiais</w:t>
            </w:r>
          </w:p>
        </w:tc>
        <w:tc>
          <w:tcPr/>
          <w:p>
            <w:pPr>
              <w:pStyle w:val="Compact"/>
              <w:jc w:val="left"/>
            </w:pPr>
            <w:r>
              <w:t xml:space="preserve">—</w:t>
            </w:r>
          </w:p>
        </w:tc>
        <w:tc>
          <w:tcPr/>
          <w:p>
            <w:pPr>
              <w:pStyle w:val="Compact"/>
              <w:jc w:val="left"/>
            </w:pPr>
            <w:r>
              <w:t xml:space="preserve">—</w:t>
            </w:r>
          </w:p>
        </w:tc>
        <w:tc>
          <w:tcPr/>
          <w:p>
            <w:pPr>
              <w:pStyle w:val="Compact"/>
              <w:jc w:val="left"/>
            </w:pPr>
            <w:r>
              <w:t xml:space="preserve">CES com</w:t>
            </w:r>
            <w:r>
              <w:t xml:space="preserve"> </w:t>
            </w:r>
            <m:oMath>
              <m:r>
                <m:t>ρ</m:t>
              </m:r>
              <m:r>
                <m:rPr>
                  <m:sty m:val="p"/>
                </m:rPr>
                <m:t>→</m:t>
              </m:r>
              <m:r>
                <m:t>0</m:t>
              </m:r>
            </m:oMath>
          </w:p>
        </w:tc>
        <w:tc>
          <w:tcPr/>
          <w:p>
            <w:pPr>
              <w:pStyle w:val="Compact"/>
              <w:jc w:val="left"/>
            </w:pPr>
            <w:r>
              <w:t xml:space="preserve">Generaliza todas</w:t>
            </w:r>
          </w:p>
        </w:tc>
      </w:tr>
    </w:tbl>
    <w:p>
      <w:pPr>
        <w:pStyle w:val="BodyText"/>
      </w:pPr>
      <w:r>
        <w:rPr>
          <w:b/>
          <w:bCs/>
        </w:rPr>
        <w:t xml:space="preserve">Tabela 10.1 — Comparativa das funções de produção.</w:t>
      </w:r>
    </w:p>
    <w:p>
      <w:pPr>
        <w:pStyle w:val="BodyText"/>
      </w:pPr>
      <w:r>
        <w:t xml:space="preserve">As quatro funções acima descrevem a tecnologia em um instante do tempo. Mas a tecnologia evolui — e a incorporação dessa evolução ao modelo é o tema da próxima seção.</w:t>
      </w:r>
    </w:p>
    <w:p>
      <w:pPr>
        <w:pStyle w:val="BlockText"/>
      </w:pPr>
      <w:r>
        <w:rPr>
          <w:b/>
          <w:bCs/>
        </w:rPr>
        <w:t xml:space="preserve">[EXERCICIO RESOLVIDO] Exercício Resolvido 10.5</w:t>
      </w:r>
    </w:p>
    <w:p>
      <w:pPr>
        <w:pStyle w:val="BlockText"/>
      </w:pPr>
      <w:r>
        <w:rPr>
          <w:b/>
          <w:bCs/>
        </w:rPr>
        <w:t xml:space="preserve">Enunciado:</w:t>
      </w:r>
      <w:r>
        <w:t xml:space="preserve"> </w:t>
      </w:r>
      <w:r>
        <w:t xml:space="preserve">A função de produção de uma pizzaria é</w:t>
      </w:r>
      <w:r>
        <w:t xml:space="preserve"> </w:t>
      </w:r>
      <m:oMath>
        <m:r>
          <m:t>Q</m:t>
        </m:r>
        <m:r>
          <m:rPr>
            <m:sty m:val="p"/>
          </m:rPr>
          <m:t>=</m:t>
        </m:r>
        <m:r>
          <m:t>30</m:t>
        </m:r>
        <m:sSup>
          <m:e>
            <m:r>
              <m:t>K</m:t>
            </m:r>
          </m:e>
          <m:sup>
            <m:r>
              <m:t>0</m:t>
            </m:r>
            <m:r>
              <m:rPr>
                <m:sty m:val="p"/>
              </m:rPr>
              <m:t>,</m:t>
            </m:r>
            <m:r>
              <m:t>5</m:t>
            </m:r>
          </m:sup>
        </m:sSup>
        <m:sSup>
          <m:e>
            <m:r>
              <m:t>L</m:t>
            </m:r>
          </m:e>
          <m:sup>
            <m:r>
              <m:t>0</m:t>
            </m:r>
            <m:r>
              <m:rPr>
                <m:sty m:val="p"/>
              </m:rPr>
              <m:t>,</m:t>
            </m:r>
            <m:r>
              <m:t>5</m:t>
            </m:r>
          </m:sup>
        </m:sSup>
      </m:oMath>
      <w:r>
        <w:t xml:space="preserve">, com</w:t>
      </w:r>
      <w:r>
        <w:t xml:space="preserve"> </w:t>
      </w:r>
      <m:oMath>
        <m:r>
          <m:t>K</m:t>
        </m:r>
      </m:oMath>
      <w:r>
        <w:t xml:space="preserve"> </w:t>
      </w:r>
      <w:r>
        <w:t xml:space="preserve">fornos fixados em 4 no curto prazo. (a) Escreva a função de produção de curto prazo. (b) Calcule o produto total com 9 trabalhadores. (c) Calcule o produto marginal e o produto médio com 9 trabalhadores. (d) Classifique os rendimentos de escala.</w:t>
      </w:r>
    </w:p>
    <w:p>
      <w:pPr>
        <w:pStyle w:val="BlockText"/>
      </w:pPr>
      <w:r>
        <w:rPr>
          <w:b/>
          <w:bCs/>
        </w:rPr>
        <w:t xml:space="preserve">Dados:</w:t>
      </w:r>
      <w:r>
        <w:t xml:space="preserve"> </w:t>
      </w:r>
      <m:oMath>
        <m:r>
          <m:t>A</m:t>
        </m:r>
        <m:r>
          <m:rPr>
            <m:sty m:val="p"/>
          </m:rPr>
          <m:t>=</m:t>
        </m:r>
        <m:r>
          <m:t>30</m:t>
        </m:r>
      </m:oMath>
      <w:r>
        <w:t xml:space="preserve">,</w:t>
      </w:r>
      <w:r>
        <w:t xml:space="preserve"> </w:t>
      </w:r>
      <m:oMath>
        <m:r>
          <m:t>α</m:t>
        </m:r>
        <m:r>
          <m:rPr>
            <m:sty m:val="p"/>
          </m:rPr>
          <m:t>=</m:t>
        </m:r>
        <m:r>
          <m:t>0</m:t>
        </m:r>
        <m:r>
          <m:rPr>
            <m:sty m:val="p"/>
          </m:rPr>
          <m:t>,</m:t>
        </m:r>
        <m:r>
          <m:t>5</m:t>
        </m:r>
      </m:oMath>
      <w:r>
        <w:t xml:space="preserve">,</w:t>
      </w:r>
      <w:r>
        <w:t xml:space="preserve"> </w:t>
      </w:r>
      <m:oMath>
        <m:r>
          <m:t>β</m:t>
        </m:r>
        <m:r>
          <m:rPr>
            <m:sty m:val="p"/>
          </m:rPr>
          <m:t>=</m:t>
        </m:r>
        <m:r>
          <m:t>0</m:t>
        </m:r>
        <m:r>
          <m:rPr>
            <m:sty m:val="p"/>
          </m:rPr>
          <m:t>,</m:t>
        </m:r>
        <m:r>
          <m:t>5</m:t>
        </m:r>
      </m:oMath>
      <w:r>
        <w:t xml:space="preserve">,</w:t>
      </w:r>
      <w:r>
        <w:t xml:space="preserve"> </w:t>
      </w:r>
      <m:oMath>
        <m:acc>
          <m:accPr>
            <m:chr m:val="‾"/>
          </m:accPr>
          <m:e>
            <m:r>
              <m:t>K</m:t>
            </m:r>
          </m:e>
        </m:acc>
        <m:r>
          <m:rPr>
            <m:sty m:val="p"/>
          </m:rPr>
          <m:t>=</m:t>
        </m:r>
        <m:r>
          <m:t>4</m:t>
        </m:r>
      </m:oMath>
      <w:r>
        <w:t xml:space="preserve">.</w:t>
      </w:r>
    </w:p>
    <w:p>
      <w:pPr>
        <w:pStyle w:val="BlockText"/>
      </w:pPr>
      <w:r>
        <w:rPr>
          <w:b/>
          <w:bCs/>
        </w:rPr>
        <w:t xml:space="preserve">Resolução:</w:t>
      </w:r>
    </w:p>
    <w:p>
      <w:pPr>
        <w:pStyle w:val="BlockText"/>
      </w:pPr>
      <w:r>
        <w:rPr>
          <w:b/>
          <w:bCs/>
        </w:rPr>
        <w:t xml:space="preserve">Passo 1 — Função de curto prazo</w:t>
      </w:r>
    </w:p>
    <w:p>
      <w:pPr>
        <w:pStyle w:val="BlockText"/>
      </w:pPr>
      <w:r>
        <w:t xml:space="preserve">$$</w:t>
      </w:r>
    </w:p>
    <w:p>
      <w:pPr>
        <w:pStyle w:val="BlockText"/>
      </w:pPr>
      <w:r>
        <w:t xml:space="preserve">Q = 30</w:t>
      </w:r>
      <w:r>
        <w:t xml:space="preserve"> </w:t>
      </w:r>
      <w:r>
        <w:t xml:space="preserve">^{0,5}</w:t>
      </w:r>
      <w:r>
        <w:t xml:space="preserve"> </w:t>
      </w:r>
      <w:r>
        <w:t xml:space="preserve">L^{0,5} = 30</w:t>
      </w:r>
      <w:r>
        <w:t xml:space="preserve"> </w:t>
      </w:r>
      <w:r>
        <w:t xml:space="preserve"> </w:t>
      </w:r>
      <w:r>
        <w:t xml:space="preserve">L^{0,5} = 60L^{0,5}</w:t>
      </w:r>
    </w:p>
    <w:p>
      <w:pPr>
        <w:pStyle w:val="BlockText"/>
      </w:pPr>
      <w:r>
        <w:t xml:space="preserve">$$</w:t>
      </w:r>
    </w:p>
    <w:p>
      <w:pPr>
        <w:pStyle w:val="BlockText"/>
      </w:pPr>
      <w:r>
        <w:rPr>
          <w:b/>
          <w:bCs/>
        </w:rPr>
        <w:t xml:space="preserve">Passo 2 — Produto total com</w:t>
      </w:r>
      <w:r>
        <w:rPr>
          <w:b/>
          <w:bCs/>
        </w:rPr>
        <w:t xml:space="preserve"> </w:t>
      </w:r>
      <m:oMath>
        <m:r>
          <m:t>L</m:t>
        </m:r>
        <m:r>
          <m:rPr>
            <m:sty m:val="p"/>
          </m:rPr>
          <m:t>=</m:t>
        </m:r>
        <m:r>
          <m:t>9</m:t>
        </m:r>
      </m:oMath>
    </w:p>
    <w:p>
      <w:pPr>
        <w:pStyle w:val="BlockText"/>
      </w:pPr>
      <w:r>
        <w:t xml:space="preserve">$$</w:t>
      </w:r>
    </w:p>
    <w:p>
      <w:pPr>
        <w:pStyle w:val="BlockText"/>
      </w:pPr>
      <w:r>
        <w:t xml:space="preserve">Q = 60</w:t>
      </w:r>
      <w:r>
        <w:t xml:space="preserve"> </w:t>
      </w:r>
      <w:r>
        <w:t xml:space="preserve">^{0,5} = 60</w:t>
      </w:r>
      <w:r>
        <w:t xml:space="preserve"> </w:t>
      </w:r>
      <w:r>
        <w:t xml:space="preserve"> </w:t>
      </w:r>
      <w:r>
        <w:t xml:space="preserve">= 180</w:t>
      </w:r>
      <w:r>
        <w:t xml:space="preserve"> </w:t>
      </w:r>
    </w:p>
    <w:p>
      <w:pPr>
        <w:pStyle w:val="BlockText"/>
      </w:pPr>
      <w:r>
        <w:t xml:space="preserve">$$</w:t>
      </w:r>
    </w:p>
    <w:p>
      <w:pPr>
        <w:pStyle w:val="BlockText"/>
      </w:pPr>
      <w:r>
        <w:rPr>
          <w:b/>
          <w:bCs/>
        </w:rPr>
        <w:t xml:space="preserve">Passo 3 — Produto marginal e produto médio</w:t>
      </w:r>
    </w:p>
    <w:p>
      <w:pPr>
        <w:pStyle w:val="BlockText"/>
      </w:pPr>
      <w:r>
        <w:t xml:space="preserve">$$</w:t>
      </w:r>
    </w:p>
    <w:p>
      <w:pPr>
        <w:pStyle w:val="BlockText"/>
      </w:pPr>
      <w:r>
        <w:t xml:space="preserve">_L = 60</w:t>
      </w:r>
      <w:r>
        <w:t xml:space="preserve"> </w:t>
      </w:r>
      <w:r>
        <w:t xml:space="preserve">5</w:t>
      </w:r>
      <w:r>
        <w:t xml:space="preserve"> </w:t>
      </w:r>
      <w:r>
        <w:t xml:space="preserve">L^{-0,5} = 30L^{-0,5} =</w:t>
      </w:r>
      <w:r>
        <w:t xml:space="preserve"> </w:t>
      </w:r>
      <w:r>
        <w:t xml:space="preserve"> </w:t>
      </w:r>
      <w:r>
        <w:t xml:space="preserve">= 10</w:t>
      </w:r>
    </w:p>
    <w:p>
      <w:pPr>
        <w:pStyle w:val="BlockText"/>
      </w:pPr>
      <w:r>
        <w:t xml:space="preserve">$$</w:t>
      </w:r>
    </w:p>
    <w:p>
      <w:pPr>
        <w:pStyle w:val="BlockText"/>
      </w:pPr>
      <w:r>
        <w:t xml:space="preserve">$$</w:t>
      </w:r>
    </w:p>
    <w:p>
      <w:pPr>
        <w:pStyle w:val="BlockText"/>
      </w:pPr>
      <w:r>
        <w:t xml:space="preserve">_L =</w:t>
      </w:r>
      <w:r>
        <w:t xml:space="preserve"> </w:t>
      </w:r>
      <w:r>
        <w:t xml:space="preserve"> </w:t>
      </w:r>
      <w:r>
        <w:t xml:space="preserve">=</w:t>
      </w:r>
      <w:r>
        <w:t xml:space="preserve"> </w:t>
      </w:r>
      <w:r>
        <w:t xml:space="preserve"> </w:t>
      </w:r>
      <w:r>
        <w:t xml:space="preserve">= 20</w:t>
      </w:r>
    </w:p>
    <w:p>
      <w:pPr>
        <w:pStyle w:val="BlockText"/>
      </w:pPr>
      <w:r>
        <w:t xml:space="preserve">$$</w:t>
      </w:r>
    </w:p>
    <w:p>
      <w:pPr>
        <w:pStyle w:val="BlockText"/>
      </w:pPr>
      <w:r>
        <w:t xml:space="preserve">Como</w:t>
      </w:r>
      <w:r>
        <w:t xml:space="preserve"> </w:t>
      </w:r>
      <m:oMath>
        <m:sSub>
          <m:e>
            <m:r>
              <m:rPr>
                <m:sty m:val="p"/>
              </m:rPr>
              <m:t>P</m:t>
            </m:r>
            <m:r>
              <m:rPr>
                <m:sty m:val="p"/>
              </m:rPr>
              <m:t>M</m:t>
            </m:r>
            <m:r>
              <m:rPr>
                <m:sty m:val="p"/>
              </m:rPr>
              <m:t>g</m:t>
            </m:r>
          </m:e>
          <m:sub>
            <m:r>
              <m:t>L</m:t>
            </m:r>
          </m:sub>
        </m:sSub>
        <m:r>
          <m:rPr>
            <m:sty m:val="p"/>
          </m:rPr>
          <m:t>=</m:t>
        </m:r>
        <m:r>
          <m:t>10</m:t>
        </m:r>
        <m:r>
          <m:rPr>
            <m:sty m:val="p"/>
          </m:rPr>
          <m:t>&lt;</m:t>
        </m:r>
        <m:r>
          <m:t>20</m:t>
        </m:r>
        <m:r>
          <m:rPr>
            <m:sty m:val="p"/>
          </m:rPr>
          <m:t>=</m:t>
        </m:r>
        <m:sSub>
          <m:e>
            <m:r>
              <m:rPr>
                <m:sty m:val="p"/>
              </m:rPr>
              <m:t>P</m:t>
            </m:r>
            <m:r>
              <m:rPr>
                <m:sty m:val="p"/>
              </m:rPr>
              <m:t>M</m:t>
            </m:r>
            <m:r>
              <m:rPr>
                <m:sty m:val="p"/>
              </m:rPr>
              <m:t>e</m:t>
            </m:r>
          </m:e>
          <m:sub>
            <m:r>
              <m:t>L</m:t>
            </m:r>
          </m:sub>
        </m:sSub>
      </m:oMath>
      <w:r>
        <w:t xml:space="preserve">, o produto médio é decrescente — cada trabalhador adicional puxa a média para baixo.</w:t>
      </w:r>
    </w:p>
    <w:p>
      <w:pPr>
        <w:pStyle w:val="BlockText"/>
      </w:pPr>
      <w:r>
        <w:rPr>
          <w:b/>
          <w:bCs/>
        </w:rPr>
        <w:t xml:space="preserve">Passo 4 — Rendimentos de escala</w:t>
      </w:r>
    </w:p>
    <w:p>
      <w:pPr>
        <w:pStyle w:val="BlockText"/>
      </w:pPr>
      <m:oMath>
        <m:r>
          <m:t>α</m:t>
        </m:r>
        <m:r>
          <m:rPr>
            <m:sty m:val="p"/>
          </m:rPr>
          <m:t>+</m:t>
        </m:r>
        <m:r>
          <m:t>β</m:t>
        </m:r>
        <m:r>
          <m:rPr>
            <m:sty m:val="p"/>
          </m:rPr>
          <m:t>=</m:t>
        </m:r>
        <m:r>
          <m:t>0</m:t>
        </m:r>
        <m:r>
          <m:rPr>
            <m:sty m:val="p"/>
          </m:rPr>
          <m:t>,</m:t>
        </m:r>
        <m:r>
          <m:t>5</m:t>
        </m:r>
        <m:r>
          <m:rPr>
            <m:sty m:val="p"/>
          </m:rPr>
          <m:t>+</m:t>
        </m:r>
        <m:r>
          <m:t>0</m:t>
        </m:r>
        <m:r>
          <m:rPr>
            <m:sty m:val="p"/>
          </m:rPr>
          <m:t>,</m:t>
        </m:r>
        <m:r>
          <m:t>5</m:t>
        </m:r>
        <m:r>
          <m:rPr>
            <m:sty m:val="p"/>
          </m:rPr>
          <m:t>=</m:t>
        </m:r>
        <m:r>
          <m:t>1</m:t>
        </m:r>
      </m:oMath>
      <w:r>
        <w:t xml:space="preserve">: rendimentos</w:t>
      </w:r>
      <w:r>
        <w:t xml:space="preserve"> </w:t>
      </w:r>
      <w:r>
        <w:rPr>
          <w:b/>
          <w:bCs/>
        </w:rPr>
        <w:t xml:space="preserve">constantes</w:t>
      </w:r>
      <w:r>
        <w:t xml:space="preserve"> </w:t>
      </w:r>
      <w:r>
        <w:t xml:space="preserve">de escala.</w:t>
      </w:r>
    </w:p>
    <w:p>
      <w:pPr>
        <w:pStyle w:val="BlockText"/>
      </w:pPr>
      <w:r>
        <w:rPr>
          <w:b/>
          <w:bCs/>
        </w:rPr>
        <w:t xml:space="preserve">Resultado:</w:t>
      </w:r>
      <w:r>
        <w:t xml:space="preserve"> </w:t>
      </w:r>
      <w:r>
        <w:t xml:space="preserve">(a)</w:t>
      </w:r>
      <w:r>
        <w:t xml:space="preserve"> </w:t>
      </w:r>
      <m:oMath>
        <m:r>
          <m:t>Q</m:t>
        </m:r>
        <m:r>
          <m:rPr>
            <m:sty m:val="p"/>
          </m:rPr>
          <m:t>=</m:t>
        </m:r>
        <m:r>
          <m:t>60</m:t>
        </m:r>
        <m:sSup>
          <m:e>
            <m:r>
              <m:t>L</m:t>
            </m:r>
          </m:e>
          <m:sup>
            <m:r>
              <m:t>0</m:t>
            </m:r>
            <m:r>
              <m:rPr>
                <m:sty m:val="p"/>
              </m:rPr>
              <m:t>,</m:t>
            </m:r>
            <m:r>
              <m:t>5</m:t>
            </m:r>
          </m:sup>
        </m:sSup>
      </m:oMath>
      <w:r>
        <w:t xml:space="preserve">; (b) 180 pizzas; (c)</w:t>
      </w:r>
      <w:r>
        <w:t xml:space="preserve"> </w:t>
      </w:r>
      <m:oMath>
        <m:sSub>
          <m:e>
            <m:r>
              <m:rPr>
                <m:sty m:val="p"/>
              </m:rPr>
              <m:t>P</m:t>
            </m:r>
            <m:r>
              <m:rPr>
                <m:sty m:val="p"/>
              </m:rPr>
              <m:t>M</m:t>
            </m:r>
            <m:r>
              <m:rPr>
                <m:sty m:val="p"/>
              </m:rPr>
              <m:t>g</m:t>
            </m:r>
          </m:e>
          <m:sub>
            <m:r>
              <m:t>L</m:t>
            </m:r>
          </m:sub>
        </m:sSub>
        <m:r>
          <m:rPr>
            <m:sty m:val="p"/>
          </m:rPr>
          <m:t>=</m:t>
        </m:r>
        <m:r>
          <m:t>10</m:t>
        </m:r>
      </m:oMath>
      <w:r>
        <w:t xml:space="preserve">,</w:t>
      </w:r>
      <w:r>
        <w:t xml:space="preserve"> </w:t>
      </w:r>
      <m:oMath>
        <m:sSub>
          <m:e>
            <m:r>
              <m:rPr>
                <m:sty m:val="p"/>
              </m:rPr>
              <m:t>P</m:t>
            </m:r>
            <m:r>
              <m:rPr>
                <m:sty m:val="p"/>
              </m:rPr>
              <m:t>M</m:t>
            </m:r>
            <m:r>
              <m:rPr>
                <m:sty m:val="p"/>
              </m:rPr>
              <m:t>e</m:t>
            </m:r>
          </m:e>
          <m:sub>
            <m:r>
              <m:t>L</m:t>
            </m:r>
          </m:sub>
        </m:sSub>
        <m:r>
          <m:rPr>
            <m:sty m:val="p"/>
          </m:rPr>
          <m:t>=</m:t>
        </m:r>
        <m:r>
          <m:t>20</m:t>
        </m:r>
      </m:oMath>
      <w:r>
        <w:t xml:space="preserve">; (d) CRS.</w:t>
      </w:r>
    </w:p>
    <w:p>
      <w:pPr>
        <w:pStyle w:val="BlockText"/>
      </w:pPr>
      <w:r>
        <w:rPr>
          <w:b/>
          <w:bCs/>
        </w:rPr>
        <w:t xml:space="preserve">Interpretação econômica:</w:t>
      </w:r>
      <w:r>
        <w:t xml:space="preserve"> </w:t>
      </w:r>
      <w:r>
        <w:t xml:space="preserve">Embora os rendimentos de escala sejam constantes (dobrar fornos e trabalhadores dobra a produção), no curto prazo, com fornos fixos, cada trabalhador adicional produz menos que o anterior — os rendimentos marginais são decrescentes. Esse exemplo ilustra a diferença entre rendimentos de escala (conceito de longo prazo) e rendimentos marginais decrescentes (curto prazo), uma distinção muito explorada pela ANPEC.</w:t>
      </w:r>
    </w:p>
    <w:bookmarkEnd w:id="655"/>
    <w:bookmarkEnd w:id="656"/>
    <w:bookmarkStart w:id="664" w:name="progresso-técnico-e-funções-homotéticas"/>
    <w:p>
      <w:pPr>
        <w:pStyle w:val="Heading2"/>
      </w:pPr>
      <w:r>
        <w:t xml:space="preserve">10.6–10.7 Progresso Técnico e Funções Homotéticas</w:t>
      </w:r>
    </w:p>
    <w:bookmarkStart w:id="661" w:name="X224f997fc148baa0b7f81c1eda6fcc3fd003db0"/>
    <w:p>
      <w:pPr>
        <w:pStyle w:val="Heading3"/>
      </w:pPr>
      <w:r>
        <w:t xml:space="preserve">10.6 A Mão Invisível do Tempo: Progresso Técnico e o Resíduo de Solow</w:t>
      </w:r>
    </w:p>
    <w:p>
      <w:pPr>
        <w:pStyle w:val="FirstParagraph"/>
      </w:pPr>
      <w:r>
        <w:t xml:space="preserve">Até aqui, cada função de produção era uma fotografia — um instantâneo congelado no tempo. Mas o Cerrado conta outra história: a mesma terra e o mesmo número de braços que arrancavam 1.700 kg de soja por hectare nos anos 1970 hoje entregam mais de 3.300 kg. Ninguém dobrou o Cerrado nem clonou os agricultores. De onde vem esse ganho?</w:t>
      </w:r>
    </w:p>
    <w:p>
      <w:pPr>
        <w:pStyle w:val="BodyText"/>
      </w:pPr>
      <w:r>
        <w:t xml:space="preserve">A resposta reside no</w:t>
      </w:r>
      <w:r>
        <w:t xml:space="preserve"> </w:t>
      </w:r>
      <w:r>
        <w:rPr>
          <w:b/>
          <w:bCs/>
        </w:rPr>
        <w:t xml:space="preserve">progresso técnico</w:t>
      </w:r>
      <w:r>
        <w:t xml:space="preserve"> </w:t>
      </w:r>
      <w:r>
        <w:t xml:space="preserve">— o deslocamento da própria função de produção ao longo do tempo. Incorporar essa dimensão temporal é essencial para conectar a microeconomia da produção à macroeconomia do crescimento, e o instrumento-chave para essa conexão é o</w:t>
      </w:r>
      <w:r>
        <w:t xml:space="preserve"> </w:t>
      </w:r>
      <w:r>
        <w:rPr>
          <w:b/>
          <w:bCs/>
        </w:rPr>
        <w:t xml:space="preserve">resíduo de Solow</w:t>
      </w:r>
      <w:r>
        <w:t xml:space="preserve">, que mede a parcela do crescimento do produto não explicada pela acumulação de fatores.</w:t>
      </w:r>
    </w:p>
    <w:p>
      <w:pPr>
        <w:pStyle w:val="BodyText"/>
      </w:pPr>
      <w:r>
        <w:t xml:space="preserve">A ideia é elegante em sua simplicidade. Se observamos o produto crescendo a 4% ao ano, o capital crescendo a 3% e o trabalho a 1%, e se sabemos que a participação do capital na renda é de 40% e a do trabalho é de 60%, então a acumulação de fatores explica</w:t>
      </w:r>
      <w:r>
        <w:t xml:space="preserve"> </w:t>
      </w:r>
      <m:oMath>
        <m:r>
          <m:t>0</m:t>
        </m:r>
        <m:r>
          <m:rPr>
            <m:sty m:val="p"/>
          </m:rPr>
          <m:t>,</m:t>
        </m:r>
        <m:r>
          <m:t>4</m:t>
        </m:r>
        <m:r>
          <m:rPr>
            <m:sty m:val="p"/>
          </m:rPr>
          <m:t>×</m:t>
        </m:r>
        <m:r>
          <m:t>3</m:t>
        </m:r>
        <m:r>
          <m:rPr>
            <m:sty m:val="p"/>
          </m:rPr>
          <m:t>%</m:t>
        </m:r>
        <m:r>
          <m:rPr>
            <m:sty m:val="p"/>
          </m:rPr>
          <m:t>+</m:t>
        </m:r>
        <m:r>
          <m:t>0</m:t>
        </m:r>
        <m:r>
          <m:rPr>
            <m:sty m:val="p"/>
          </m:rPr>
          <m:t>,</m:t>
        </m:r>
        <m:r>
          <m:t>6</m:t>
        </m:r>
        <m:r>
          <m:rPr>
            <m:sty m:val="p"/>
          </m:rPr>
          <m:t>×</m:t>
        </m:r>
        <m:r>
          <m:t>1</m:t>
        </m:r>
        <m:r>
          <m:rPr>
            <m:sty m:val="p"/>
          </m:rPr>
          <m:t>%</m:t>
        </m:r>
        <m:r>
          <m:rPr>
            <m:sty m:val="p"/>
          </m:rPr>
          <m:t>=</m:t>
        </m:r>
        <m:r>
          <m:t>1</m:t>
        </m:r>
        <m:r>
          <m:rPr>
            <m:sty m:val="p"/>
          </m:rPr>
          <m:t>,</m:t>
        </m:r>
        <m:r>
          <m:t>8</m:t>
        </m:r>
        <m:r>
          <m:rPr>
            <m:sty m:val="p"/>
          </m:rPr>
          <m:t>%</m:t>
        </m:r>
      </m:oMath>
      <w:r>
        <w:t xml:space="preserve"> </w:t>
      </w:r>
      <w:r>
        <w:t xml:space="preserve">do crescimento. Os restantes</w:t>
      </w:r>
      <w:r>
        <w:t xml:space="preserve"> </w:t>
      </w:r>
      <m:oMath>
        <m:r>
          <m:t>4</m:t>
        </m:r>
        <m:r>
          <m:rPr>
            <m:sty m:val="p"/>
          </m:rPr>
          <m:t>%</m:t>
        </m:r>
        <m:r>
          <m:rPr>
            <m:sty m:val="p"/>
          </m:rPr>
          <m:t>−</m:t>
        </m:r>
        <m:r>
          <m:t>1</m:t>
        </m:r>
        <m:r>
          <m:rPr>
            <m:sty m:val="p"/>
          </m:rPr>
          <m:t>,</m:t>
        </m:r>
        <m:r>
          <m:t>8</m:t>
        </m:r>
        <m:r>
          <m:rPr>
            <m:sty m:val="p"/>
          </m:rPr>
          <m:t>%</m:t>
        </m:r>
        <m:r>
          <m:rPr>
            <m:sty m:val="p"/>
          </m:rPr>
          <m:t>=</m:t>
        </m:r>
        <m:r>
          <m:t>2</m:t>
        </m:r>
        <m:r>
          <m:rPr>
            <m:sty m:val="p"/>
          </m:rPr>
          <m:t>,</m:t>
        </m:r>
        <m:r>
          <m:t>2</m:t>
        </m:r>
        <m:r>
          <m:rPr>
            <m:sty m:val="p"/>
          </m:rPr>
          <m:t>%</m:t>
        </m:r>
      </m:oMath>
      <w:r>
        <w:t xml:space="preserve"> </w:t>
      </w:r>
      <w:r>
        <w:t xml:space="preserve">constituem o resíduo — a fração não explicada, atribuída ao progresso técnico. Esse exercício de contabilidade, introduzido por Solow (1957) e refinado por Griliches (1963), revelou que o progresso técnico era quantitativamente mais importante para o crescimento de longo prazo do que a simples acumulação de capital — uma conclusão que redirecionou toda a teoria do crescimento econômico para o papel da inovação, da educação e da pesquisa.</w:t>
      </w:r>
    </w:p>
    <w:p>
      <w:pPr>
        <w:pStyle w:val="BodyText"/>
      </w:pPr>
      <w:r>
        <w:t xml:space="preserve">Do ponto de vista microeconômico, o progresso técnico manifesta-se visualmente como um</w:t>
      </w:r>
      <w:r>
        <w:t xml:space="preserve"> </w:t>
      </w:r>
      <w:r>
        <w:rPr>
          <w:b/>
          <w:bCs/>
        </w:rPr>
        <w:t xml:space="preserve">deslocamento para dentro das isoquantas</w:t>
      </w:r>
      <w:r>
        <w:t xml:space="preserve">: a mesma quantidade de produto</w:t>
      </w:r>
      <w:r>
        <w:t xml:space="preserve"> </w:t>
      </w:r>
      <m:oMath>
        <m:sSub>
          <m:e>
            <m:r>
              <m:t>q</m:t>
            </m:r>
          </m:e>
          <m:sub>
            <m:r>
              <m:t>0</m:t>
            </m:r>
          </m:sub>
        </m:sSub>
      </m:oMath>
      <w:r>
        <w:t xml:space="preserve"> </w:t>
      </w:r>
      <w:r>
        <w:t xml:space="preserve">pode ser produzida com</w:t>
      </w:r>
      <w:r>
        <w:t xml:space="preserve"> </w:t>
      </w:r>
      <w:r>
        <w:rPr>
          <w:i/>
          <w:iCs/>
        </w:rPr>
        <w:t xml:space="preserve">menos</w:t>
      </w:r>
      <w:r>
        <w:t xml:space="preserve"> </w:t>
      </w:r>
      <w:r>
        <w:t xml:space="preserve">de ambos os insumos. Geometricamente, a função de produção</w:t>
      </w:r>
      <w:r>
        <w:t xml:space="preserve"> </w:t>
      </w:r>
      <w:r>
        <w:t xml:space="preserve">“sobe”</w:t>
      </w:r>
      <w:r>
        <w:t xml:space="preserve"> </w:t>
      </w:r>
      <w:r>
        <w:t xml:space="preserve">— para qualquer combinação</w:t>
      </w:r>
      <w:r>
        <w:t xml:space="preserve"> </w:t>
      </w:r>
      <m:oMath>
        <m:r>
          <m:rPr>
            <m:sty m:val="p"/>
          </m:rPr>
          <m:t>(</m:t>
        </m:r>
        <m:r>
          <m:t>K</m:t>
        </m:r>
        <m:r>
          <m:rPr>
            <m:sty m:val="p"/>
          </m:rPr>
          <m:t>,</m:t>
        </m:r>
        <m:r>
          <m:t>L</m:t>
        </m:r>
        <m:r>
          <m:rPr>
            <m:sty m:val="p"/>
          </m:rPr>
          <m:t>)</m:t>
        </m:r>
      </m:oMath>
      <w:r>
        <w:t xml:space="preserve">, o produto aumenta. Algebricamente, o parâmetro</w:t>
      </w:r>
      <w:r>
        <w:t xml:space="preserve"> </w:t>
      </w:r>
      <m:oMath>
        <m:r>
          <m:t>A</m:t>
        </m:r>
        <m:r>
          <m:rPr>
            <m:sty m:val="p"/>
          </m:rPr>
          <m:t>(</m:t>
        </m:r>
        <m:r>
          <m:t>t</m:t>
        </m:r>
        <m:r>
          <m:rPr>
            <m:sty m:val="p"/>
          </m:rPr>
          <m:t>)</m:t>
        </m:r>
      </m:oMath>
      <w:r>
        <w:t xml:space="preserve"> </w:t>
      </w:r>
      <w:r>
        <w:t xml:space="preserve">cresce ao longo do tempo. A questão de</w:t>
      </w:r>
      <w:r>
        <w:t xml:space="preserve"> </w:t>
      </w:r>
      <w:r>
        <w:rPr>
          <w:i/>
          <w:iCs/>
        </w:rPr>
        <w:t xml:space="preserve">como</w:t>
      </w:r>
      <w:r>
        <w:t xml:space="preserve"> </w:t>
      </w:r>
      <w:r>
        <w:t xml:space="preserve">ele cresce — se de forma que favoreça capital ou trabalho, ou de forma neutra — é classificada pelas diferentes definições de neutralidade discutidas a seguir.</w:t>
      </w:r>
    </w:p>
    <w:p>
      <w:pPr>
        <w:pStyle w:val="BodyText"/>
      </w:pPr>
      <w:r>
        <w:t xml:space="preserve">[FIGURA INTERATIVA: /micro-book/graficos/cap10/progresso-tecnico.html — versao interativa disponivel online]</w:t>
      </w:r>
    </w:p>
    <w:p>
      <w:pPr>
        <w:pStyle w:val="BodyText"/>
      </w:pPr>
      <w:r>
        <w:rPr>
          <w:b/>
          <w:bCs/>
        </w:rPr>
        <w:t xml:space="preserve">Figura 10.3 — Progresso técnico e deslocamento de isoquantas.</w:t>
      </w:r>
      <w:r>
        <w:t xml:space="preserve"> </w:t>
      </w:r>
      <w:r>
        <w:t xml:space="preserve">Alterne entre Hicks-neutro, Harrod-neutro e Solow-neutro. Aumente</w:t>
      </w:r>
      <w:r>
        <w:t xml:space="preserve"> </w:t>
      </w:r>
      <m:oMath>
        <m:r>
          <m:t>A</m:t>
        </m:r>
      </m:oMath>
      <w:r>
        <w:t xml:space="preserve"> </w:t>
      </w:r>
      <w:r>
        <w:t xml:space="preserve">para observar a isoquanta se deslocando para dentro (menos insumos necessários para o mesmo produto).</w:t>
      </w:r>
    </w:p>
    <w:p>
      <w:pPr>
        <w:pStyle w:val="BodyText"/>
      </w:pPr>
      <w:r>
        <w:t xml:space="preserve">Formalmente, introduzimos o tempo</w:t>
      </w:r>
      <w:r>
        <w:t xml:space="preserve"> </w:t>
      </w:r>
      <m:oMath>
        <m:r>
          <m:t>t</m:t>
        </m:r>
      </m:oMath>
      <w:r>
        <w:t xml:space="preserve"> </w:t>
      </w:r>
      <w:r>
        <w:t xml:space="preserve">na função de produção. A formulação mais simples é:</w:t>
      </w:r>
    </w:p>
    <w:p>
      <w:pPr>
        <w:pStyle w:val="BodyText"/>
      </w:pPr>
      <m:oMathPara>
        <m:oMathParaPr>
          <m:jc m:val="center"/>
        </m:oMathParaPr>
        <m:oMath>
          <m:r>
            <m:t>q</m:t>
          </m:r>
          <m:r>
            <m:rPr>
              <m:sty m:val="p"/>
            </m:rPr>
            <m:t>=</m:t>
          </m:r>
          <m:r>
            <m:t>A</m:t>
          </m:r>
          <m:r>
            <m:rPr>
              <m:sty m:val="p"/>
            </m:rPr>
            <m:t>(</m:t>
          </m:r>
          <m:r>
            <m:t>t</m:t>
          </m:r>
          <m:r>
            <m:rPr>
              <m:sty m:val="p"/>
            </m:rPr>
            <m:t>)</m:t>
          </m:r>
          <m:r>
            <m:rPr>
              <m:sty m:val="p"/>
            </m:rPr>
            <m:t>⋅</m:t>
          </m:r>
          <m:r>
            <m:t>f</m:t>
          </m:r>
          <m:r>
            <m:rPr>
              <m:sty m:val="p"/>
            </m:rPr>
            <m:t>(</m:t>
          </m:r>
          <m:r>
            <m:t>K</m:t>
          </m:r>
          <m:r>
            <m:rPr>
              <m:sty m:val="p"/>
            </m:rPr>
            <m:t>,</m:t>
          </m:r>
          <m:r>
            <m:t>L</m:t>
          </m:r>
          <m:r>
            <m:rPr>
              <m:sty m:val="p"/>
            </m:rPr>
            <m:t>)</m:t>
          </m:r>
        </m:oMath>
      </m:oMathPara>
    </w:p>
    <w:p>
      <w:pPr>
        <w:pStyle w:val="FirstParagraph"/>
      </w:pPr>
      <w:r>
        <w:t xml:space="preserve">Essa especificação corresponde ao progresso</w:t>
      </w:r>
      <w:r>
        <w:t xml:space="preserve"> </w:t>
      </w:r>
      <w:r>
        <w:rPr>
          <w:b/>
          <w:bCs/>
        </w:rPr>
        <w:t xml:space="preserve">neutro de Hicks</w:t>
      </w:r>
      <w:r>
        <w:t xml:space="preserve">: o parâmetro</w:t>
      </w:r>
      <w:r>
        <w:t xml:space="preserve"> </w:t>
      </w:r>
      <m:oMath>
        <m:r>
          <m:t>A</m:t>
        </m:r>
        <m:r>
          <m:rPr>
            <m:sty m:val="p"/>
          </m:rPr>
          <m:t>(</m:t>
        </m:r>
        <m:r>
          <m:t>t</m:t>
        </m:r>
        <m:r>
          <m:rPr>
            <m:sty m:val="p"/>
          </m:rPr>
          <m:t>)</m:t>
        </m:r>
      </m:oMath>
      <w:r>
        <w:t xml:space="preserve"> </w:t>
      </w:r>
      <w:r>
        <w:t xml:space="preserve">aumenta o produto na mesma proporção para qualquer combinação de insumos, sem alterar a TMST para uma dada razão</w:t>
      </w:r>
      <w:r>
        <w:t xml:space="preserve"> </w:t>
      </w:r>
      <m:oMath>
        <m:r>
          <m:t>K</m:t>
        </m:r>
        <m:r>
          <m:rPr>
            <m:sty m:val="p"/>
          </m:rPr>
          <m:t>/</m:t>
        </m:r>
        <m:r>
          <m:t>L</m:t>
        </m:r>
      </m:oMath>
      <w:r>
        <w:t xml:space="preserve">.</w:t>
      </w:r>
    </w:p>
    <w:bookmarkStart w:id="657" w:name="classificações-do-progresso-técnico"/>
    <w:p>
      <w:pPr>
        <w:pStyle w:val="Heading4"/>
      </w:pPr>
      <w:r>
        <w:t xml:space="preserve">Classificações do progresso técnico</w:t>
      </w:r>
    </w:p>
    <w:p>
      <w:pPr>
        <w:pStyle w:val="BlockText"/>
      </w:pPr>
      <w:r>
        <w:rPr>
          <w:b/>
          <w:bCs/>
        </w:rPr>
        <w:t xml:space="preserve">[DEFINICAO] Tipos de progresso técnico</w:t>
      </w:r>
    </w:p>
    <w:p>
      <w:pPr>
        <w:pStyle w:val="BlockText"/>
        <w:numPr>
          <w:ilvl w:val="0"/>
          <w:numId w:val="1624"/>
        </w:numPr>
      </w:pPr>
      <w:r>
        <w:rPr>
          <w:b/>
          <w:bCs/>
        </w:rPr>
        <w:t xml:space="preserve">Neutro de Hicks</w:t>
      </w:r>
      <w:r>
        <w:t xml:space="preserve">:</w:t>
      </w:r>
      <w:r>
        <w:t xml:space="preserve"> </w:t>
      </w:r>
      <m:oMath>
        <m:r>
          <m:t>q</m:t>
        </m:r>
        <m:r>
          <m:rPr>
            <m:sty m:val="p"/>
          </m:rPr>
          <m:t>=</m:t>
        </m:r>
        <m:r>
          <m:t>A</m:t>
        </m:r>
        <m:r>
          <m:rPr>
            <m:sty m:val="p"/>
          </m:rPr>
          <m:t>(</m:t>
        </m:r>
        <m:r>
          <m:t>t</m:t>
        </m:r>
        <m:r>
          <m:rPr>
            <m:sty m:val="p"/>
          </m:rPr>
          <m:t>)</m:t>
        </m:r>
        <m:r>
          <m:rPr>
            <m:sty m:val="p"/>
          </m:rPr>
          <m:t>⋅</m:t>
        </m:r>
        <m:r>
          <m:t>f</m:t>
        </m:r>
        <m:r>
          <m:rPr>
            <m:sty m:val="p"/>
          </m:rPr>
          <m:t>(</m:t>
        </m:r>
        <m:r>
          <m:t>K</m:t>
        </m:r>
        <m:r>
          <m:rPr>
            <m:sty m:val="p"/>
          </m:rPr>
          <m:t>,</m:t>
        </m:r>
        <m:r>
          <m:t>L</m:t>
        </m:r>
        <m:r>
          <m:rPr>
            <m:sty m:val="p"/>
          </m:rPr>
          <m:t>)</m:t>
        </m:r>
      </m:oMath>
      <w:r>
        <w:t xml:space="preserve">. A TMST depende apenas de</w:t>
      </w:r>
      <w:r>
        <w:t xml:space="preserve"> </w:t>
      </w:r>
      <m:oMath>
        <m:r>
          <m:t>K</m:t>
        </m:r>
        <m:r>
          <m:rPr>
            <m:sty m:val="p"/>
          </m:rPr>
          <m:t>/</m:t>
        </m:r>
        <m:r>
          <m:t>L</m:t>
        </m:r>
      </m:oMath>
      <w:r>
        <w:t xml:space="preserve">, não de</w:t>
      </w:r>
      <w:r>
        <w:t xml:space="preserve"> </w:t>
      </w:r>
      <m:oMath>
        <m:r>
          <m:t>t</m:t>
        </m:r>
      </m:oMath>
      <w:r>
        <w:t xml:space="preserve">. As isoquantas se contraem homoteticamente em direção à origem.</w:t>
      </w:r>
    </w:p>
    <w:p>
      <w:pPr>
        <w:pStyle w:val="BlockText"/>
        <w:numPr>
          <w:ilvl w:val="0"/>
          <w:numId w:val="1624"/>
        </w:numPr>
      </w:pPr>
      <w:r>
        <w:rPr>
          <w:b/>
          <w:bCs/>
        </w:rPr>
        <w:t xml:space="preserve">Neutro de Harrod</w:t>
      </w:r>
      <w:r>
        <w:t xml:space="preserve"> </w:t>
      </w:r>
      <w:r>
        <w:t xml:space="preserve">(aumentador de trabalho):</w:t>
      </w:r>
      <w:r>
        <w:t xml:space="preserve"> </w:t>
      </w:r>
      <m:oMath>
        <m:r>
          <m:t>q</m:t>
        </m:r>
        <m:r>
          <m:rPr>
            <m:sty m:val="p"/>
          </m:rPr>
          <m:t>=</m:t>
        </m:r>
        <m:r>
          <m:t>f</m:t>
        </m:r>
        <m:r>
          <m:rPr>
            <m:sty m:val="p"/>
          </m:rPr>
          <m:t>(</m:t>
        </m:r>
        <m:r>
          <m:t>K</m:t>
        </m:r>
        <m:r>
          <m:rPr>
            <m:sty m:val="p"/>
          </m:rPr>
          <m:t>,</m:t>
        </m:r>
        <m:r>
          <m:t>A</m:t>
        </m:r>
        <m:r>
          <m:rPr>
            <m:sty m:val="p"/>
          </m:rPr>
          <m:t>(</m:t>
        </m:r>
        <m:r>
          <m:t>t</m:t>
        </m:r>
        <m:r>
          <m:rPr>
            <m:sty m:val="p"/>
          </m:rPr>
          <m:t>)</m:t>
        </m:r>
        <m:r>
          <m:rPr>
            <m:sty m:val="p"/>
          </m:rPr>
          <m:t>⋅</m:t>
        </m:r>
        <m:r>
          <m:t>L</m:t>
        </m:r>
        <m:r>
          <m:rPr>
            <m:sty m:val="p"/>
          </m:rPr>
          <m:t>)</m:t>
        </m:r>
      </m:oMath>
      <w:r>
        <w:t xml:space="preserve">. O progresso técnico equivale a um aumento na quantidade efetiva de trabalho. A razão capital-produto</w:t>
      </w:r>
      <w:r>
        <w:t xml:space="preserve"> </w:t>
      </w:r>
      <m:oMath>
        <m:r>
          <m:t>K</m:t>
        </m:r>
        <m:r>
          <m:rPr>
            <m:sty m:val="p"/>
          </m:rPr>
          <m:t>/</m:t>
        </m:r>
        <m:r>
          <m:t>q</m:t>
        </m:r>
      </m:oMath>
      <w:r>
        <w:t xml:space="preserve"> </w:t>
      </w:r>
      <w:r>
        <w:t xml:space="preserve">permanece constante quando a razão</w:t>
      </w:r>
      <w:r>
        <w:t xml:space="preserve"> </w:t>
      </w:r>
      <m:oMath>
        <m:r>
          <m:t>K</m:t>
        </m:r>
        <m:r>
          <m:rPr>
            <m:sty m:val="p"/>
          </m:rPr>
          <m:t>/</m:t>
        </m:r>
        <m:r>
          <m:rPr>
            <m:sty m:val="p"/>
          </m:rPr>
          <m:t>(</m:t>
        </m:r>
        <m:r>
          <m:t>A</m:t>
        </m:r>
        <m:r>
          <m:t>L</m:t>
        </m:r>
        <m:r>
          <m:rPr>
            <m:sty m:val="p"/>
          </m:rPr>
          <m:t>)</m:t>
        </m:r>
      </m:oMath>
      <w:r>
        <w:t xml:space="preserve"> </w:t>
      </w:r>
      <w:r>
        <w:t xml:space="preserve">é constante. Este é o tipo de progresso técnico compatível com crescimento equilibrado no modelo de Solow.</w:t>
      </w:r>
    </w:p>
    <w:p>
      <w:pPr>
        <w:pStyle w:val="BlockText"/>
        <w:numPr>
          <w:ilvl w:val="0"/>
          <w:numId w:val="1624"/>
        </w:numPr>
      </w:pPr>
      <w:r>
        <w:rPr>
          <w:b/>
          <w:bCs/>
        </w:rPr>
        <w:t xml:space="preserve">Neutro de Solow</w:t>
      </w:r>
      <w:r>
        <w:t xml:space="preserve"> </w:t>
      </w:r>
      <w:r>
        <w:t xml:space="preserve">(aumentador de capital):</w:t>
      </w:r>
      <w:r>
        <w:t xml:space="preserve"> </w:t>
      </w:r>
      <m:oMath>
        <m:r>
          <m:t>q</m:t>
        </m:r>
        <m:r>
          <m:rPr>
            <m:sty m:val="p"/>
          </m:rPr>
          <m:t>=</m:t>
        </m:r>
        <m:r>
          <m:t>f</m:t>
        </m:r>
        <m:r>
          <m:rPr>
            <m:sty m:val="p"/>
          </m:rPr>
          <m:t>(</m:t>
        </m:r>
        <m:r>
          <m:t>A</m:t>
        </m:r>
        <m:r>
          <m:rPr>
            <m:sty m:val="p"/>
          </m:rPr>
          <m:t>(</m:t>
        </m:r>
        <m:r>
          <m:t>t</m:t>
        </m:r>
        <m:r>
          <m:rPr>
            <m:sty m:val="p"/>
          </m:rPr>
          <m:t>)</m:t>
        </m:r>
        <m:r>
          <m:rPr>
            <m:sty m:val="p"/>
          </m:rPr>
          <m:t>⋅</m:t>
        </m:r>
        <m:r>
          <m:t>K</m:t>
        </m:r>
        <m:r>
          <m:rPr>
            <m:sty m:val="p"/>
          </m:rPr>
          <m:t>,</m:t>
        </m:r>
        <m:r>
          <m:t>L</m:t>
        </m:r>
        <m:r>
          <m:rPr>
            <m:sty m:val="p"/>
          </m:rPr>
          <m:t>)</m:t>
        </m:r>
      </m:oMath>
      <w:r>
        <w:t xml:space="preserve">. O progresso técnico equivale a um aumento na quantidade efetiva de capital. A razão trabalho-produto</w:t>
      </w:r>
      <w:r>
        <w:t xml:space="preserve"> </w:t>
      </w:r>
      <m:oMath>
        <m:r>
          <m:t>L</m:t>
        </m:r>
        <m:r>
          <m:rPr>
            <m:sty m:val="p"/>
          </m:rPr>
          <m:t>/</m:t>
        </m:r>
        <m:r>
          <m:t>q</m:t>
        </m:r>
      </m:oMath>
      <w:r>
        <w:t xml:space="preserve"> </w:t>
      </w:r>
      <w:r>
        <w:t xml:space="preserve">permanece constante quando</w:t>
      </w:r>
      <w:r>
        <w:t xml:space="preserve"> </w:t>
      </w:r>
      <m:oMath>
        <m:r>
          <m:t>L</m:t>
        </m:r>
      </m:oMath>
      <w:r>
        <w:t xml:space="preserve"> </w:t>
      </w:r>
      <w:r>
        <w:t xml:space="preserve">é constante.</w:t>
      </w:r>
    </w:p>
    <w:p>
      <w:pPr>
        <w:pStyle w:val="FirstParagraph"/>
      </w:pPr>
      <w:r>
        <w:t xml:space="preserve">Na função Cobb-Douglas</w:t>
      </w:r>
      <w:r>
        <w:t xml:space="preserve"> </w:t>
      </w:r>
      <m:oMath>
        <m:r>
          <m:t>q</m:t>
        </m:r>
        <m:r>
          <m:rPr>
            <m:sty m:val="p"/>
          </m:rPr>
          <m:t>=</m:t>
        </m:r>
        <m:r>
          <m:t>A</m:t>
        </m:r>
        <m:r>
          <m:rPr>
            <m:sty m:val="p"/>
          </m:rPr>
          <m:t>(</m:t>
        </m:r>
        <m:r>
          <m:t>t</m:t>
        </m:r>
        <m:r>
          <m:rPr>
            <m:sty m:val="p"/>
          </m:rPr>
          <m:t>)</m:t>
        </m:r>
        <m:sSup>
          <m:e>
            <m:r>
              <m:t>K</m:t>
            </m:r>
          </m:e>
          <m:sup>
            <m:r>
              <m:t>α</m:t>
            </m:r>
          </m:sup>
        </m:sSup>
        <m:sSup>
          <m:e>
            <m:r>
              <m:t>L</m:t>
            </m:r>
          </m:e>
          <m:sup>
            <m:r>
              <m:t>1</m:t>
            </m:r>
            <m:r>
              <m:rPr>
                <m:sty m:val="p"/>
              </m:rPr>
              <m:t>−</m:t>
            </m:r>
            <m:r>
              <m:t>α</m:t>
            </m:r>
          </m:sup>
        </m:sSup>
      </m:oMath>
      <w:r>
        <w:t xml:space="preserve">, os três tipos de neutralidade são equivalentes, pois:</w:t>
      </w:r>
    </w:p>
    <w:p>
      <w:pPr>
        <w:pStyle w:val="BodyText"/>
      </w:pPr>
      <m:oMathPara>
        <m:oMathParaPr>
          <m:jc m:val="center"/>
        </m:oMathParaPr>
        <m:oMath>
          <m:r>
            <m:t>A</m:t>
          </m:r>
          <m:r>
            <m:rPr>
              <m:sty m:val="p"/>
            </m:rPr>
            <m:t>(</m:t>
          </m:r>
          <m:r>
            <m:t>t</m:t>
          </m:r>
          <m:r>
            <m:rPr>
              <m:sty m:val="p"/>
            </m:rPr>
            <m:t>)</m:t>
          </m:r>
          <m:sSup>
            <m:e>
              <m:r>
                <m:t>K</m:t>
              </m:r>
            </m:e>
            <m:sup>
              <m:r>
                <m:t>α</m:t>
              </m:r>
            </m:sup>
          </m:sSup>
          <m:sSup>
            <m:e>
              <m:r>
                <m:t>L</m:t>
              </m:r>
            </m:e>
            <m:sup>
              <m:r>
                <m:t>1</m:t>
              </m:r>
              <m:r>
                <m:rPr>
                  <m:sty m:val="p"/>
                </m:rPr>
                <m:t>−</m:t>
              </m:r>
              <m:r>
                <m:t>α</m:t>
              </m:r>
            </m:sup>
          </m:sSup>
          <m:r>
            <m:rPr>
              <m:sty m:val="p"/>
            </m:rPr>
            <m:t>=</m:t>
          </m:r>
          <m:sSup>
            <m:e>
              <m:r>
                <m:t>K</m:t>
              </m:r>
            </m:e>
            <m:sup>
              <m:r>
                <m:t>α</m:t>
              </m:r>
            </m:sup>
          </m:sSup>
          <m:r>
            <m:rPr>
              <m:sty m:val="p"/>
            </m:rPr>
            <m:t>[</m:t>
          </m:r>
          <m:r>
            <m:t>A</m:t>
          </m:r>
          <m:r>
            <m:rPr>
              <m:sty m:val="p"/>
            </m:rPr>
            <m:t>(</m:t>
          </m:r>
          <m:r>
            <m:t>t</m:t>
          </m:r>
          <m:sSup>
            <m:e>
              <m:r>
                <m:rPr>
                  <m:sty m:val="p"/>
                </m:rPr>
                <m:t>)</m:t>
              </m:r>
            </m:e>
            <m:sup>
              <m:r>
                <m:t>1</m:t>
              </m:r>
              <m:r>
                <m:rPr>
                  <m:sty m:val="p"/>
                </m:rPr>
                <m:t>/</m:t>
              </m:r>
              <m:r>
                <m:rPr>
                  <m:sty m:val="p"/>
                </m:rPr>
                <m:t>(</m:t>
              </m:r>
              <m:r>
                <m:t>1</m:t>
              </m:r>
              <m:r>
                <m:rPr>
                  <m:sty m:val="p"/>
                </m:rPr>
                <m:t>−</m:t>
              </m:r>
              <m:r>
                <m:t>α</m:t>
              </m:r>
              <m:r>
                <m:rPr>
                  <m:sty m:val="p"/>
                </m:rPr>
                <m:t>)</m:t>
              </m:r>
            </m:sup>
          </m:sSup>
          <m:r>
            <m:t>L</m:t>
          </m:r>
          <m:sSup>
            <m:e>
              <m:r>
                <m:rPr>
                  <m:sty m:val="p"/>
                </m:rPr>
                <m:t>]</m:t>
              </m:r>
            </m:e>
            <m:sup>
              <m:r>
                <m:t>1</m:t>
              </m:r>
              <m:r>
                <m:rPr>
                  <m:sty m:val="p"/>
                </m:rPr>
                <m:t>−</m:t>
              </m:r>
              <m:r>
                <m:t>α</m:t>
              </m:r>
            </m:sup>
          </m:sSup>
          <m:r>
            <m:rPr>
              <m:sty m:val="p"/>
            </m:rPr>
            <m:t>=</m:t>
          </m:r>
          <m:r>
            <m:rPr>
              <m:sty m:val="p"/>
            </m:rPr>
            <m:t>[</m:t>
          </m:r>
          <m:r>
            <m:t>A</m:t>
          </m:r>
          <m:r>
            <m:rPr>
              <m:sty m:val="p"/>
            </m:rPr>
            <m:t>(</m:t>
          </m:r>
          <m:r>
            <m:t>t</m:t>
          </m:r>
          <m:sSup>
            <m:e>
              <m:r>
                <m:rPr>
                  <m:sty m:val="p"/>
                </m:rPr>
                <m:t>)</m:t>
              </m:r>
            </m:e>
            <m:sup>
              <m:r>
                <m:t>1</m:t>
              </m:r>
              <m:r>
                <m:rPr>
                  <m:sty m:val="p"/>
                </m:rPr>
                <m:t>/</m:t>
              </m:r>
              <m:r>
                <m:t>α</m:t>
              </m:r>
            </m:sup>
          </m:sSup>
          <m:r>
            <m:t>K</m:t>
          </m:r>
          <m:sSup>
            <m:e>
              <m:r>
                <m:rPr>
                  <m:sty m:val="p"/>
                </m:rPr>
                <m:t>]</m:t>
              </m:r>
            </m:e>
            <m:sup>
              <m:r>
                <m:t>α</m:t>
              </m:r>
            </m:sup>
          </m:sSup>
          <m:sSup>
            <m:e>
              <m:r>
                <m:t>L</m:t>
              </m:r>
            </m:e>
            <m:sup>
              <m:r>
                <m:t>1</m:t>
              </m:r>
              <m:r>
                <m:rPr>
                  <m:sty m:val="p"/>
                </m:rPr>
                <m:t>−</m:t>
              </m:r>
              <m:r>
                <m:t>α</m:t>
              </m:r>
            </m:sup>
          </m:sSup>
        </m:oMath>
      </m:oMathPara>
    </w:p>
    <w:p>
      <w:pPr>
        <w:pStyle w:val="FirstParagraph"/>
      </w:pPr>
      <w:r>
        <w:t xml:space="preserve">Para funções de produção mais gerais (como a CES com</w:t>
      </w:r>
      <w:r>
        <w:t xml:space="preserve"> </w:t>
      </w:r>
      <m:oMath>
        <m:r>
          <m:t>σ</m:t>
        </m:r>
        <m:r>
          <m:rPr>
            <m:sty m:val="p"/>
          </m:rPr>
          <m:t>≠</m:t>
        </m:r>
        <m:r>
          <m:t>1</m:t>
        </m:r>
      </m:oMath>
      <w:r>
        <w:t xml:space="preserve">), as três classificações geram resultados distintos, e a escolha do tipo de progresso técnico tem implicações importantes para a dinâmica de crescimento e a distribuição funcional da renda. A razão pela qual a classificação de Harrod é a mais utilizada em modelos de crescimento econômico é que apenas o progresso técnico aumentador de trabalho é compatível com um</w:t>
      </w:r>
      <w:r>
        <w:t xml:space="preserve"> </w:t>
      </w:r>
      <w:r>
        <w:t xml:space="preserve">“estado estacionário”</w:t>
      </w:r>
      <w:r>
        <w:t xml:space="preserve"> </w:t>
      </w:r>
      <w:r>
        <w:t xml:space="preserve">(trajetória de crescimento equilibrado) em que todas as variáveis per capita crescem a taxas constantes — uma propriedade desejável para a modelagem de longo prazo.</w:t>
      </w:r>
    </w:p>
    <w:bookmarkEnd w:id="657"/>
    <w:bookmarkStart w:id="660" w:name="X6620d88f254282621dda643695c4e6acc6ab084"/>
    <w:p>
      <w:pPr>
        <w:pStyle w:val="Heading4"/>
      </w:pPr>
      <w:r>
        <w:t xml:space="preserve">Medindo o progresso técnico: o resíduo de Solow</w:t>
      </w:r>
    </w:p>
    <w:p>
      <w:pPr>
        <w:pStyle w:val="FirstParagraph"/>
      </w:pPr>
      <w:r>
        <w:t xml:space="preserve">As classificações de neutralidade nos dizem</w:t>
      </w:r>
      <w:r>
        <w:t xml:space="preserve"> </w:t>
      </w:r>
      <w:r>
        <w:rPr>
          <w:i/>
          <w:iCs/>
        </w:rPr>
        <w:t xml:space="preserve">como</w:t>
      </w:r>
      <w:r>
        <w:t xml:space="preserve"> </w:t>
      </w:r>
      <w:r>
        <w:t xml:space="preserve">o progresso técnico opera, mas não</w:t>
      </w:r>
      <w:r>
        <w:t xml:space="preserve"> </w:t>
      </w:r>
      <w:r>
        <w:rPr>
          <w:i/>
          <w:iCs/>
        </w:rPr>
        <w:t xml:space="preserve">quanto</w:t>
      </w:r>
      <w:r>
        <w:t xml:space="preserve"> </w:t>
      </w:r>
      <w:r>
        <w:t xml:space="preserve">dele há. Como medir, em termos quantitativos, a contribuição do progresso técnico para o crescimento do produto? A resposta é a decomposição do crescimento, que permite isolar o</w:t>
      </w:r>
      <w:r>
        <w:t xml:space="preserve"> </w:t>
      </w:r>
      <w:r>
        <w:rPr>
          <w:b/>
          <w:bCs/>
        </w:rPr>
        <w:t xml:space="preserve">resíduo de Solow</w:t>
      </w:r>
      <w:r>
        <w:t xml:space="preserve"> </w:t>
      </w:r>
      <w:r>
        <w:t xml:space="preserve">— a parcela do crescimento não explicada pela acumulação de fatores.</w:t>
      </w:r>
    </w:p>
    <w:p>
      <w:pPr>
        <w:pStyle w:val="BodyText"/>
      </w:pPr>
      <w:r>
        <w:t xml:space="preserve">A taxa de crescimento do produto pode ser decomposta como:</w:t>
      </w:r>
    </w:p>
    <w:p>
      <w:pPr>
        <w:pStyle w:val="BodyText"/>
      </w:pPr>
      <m:oMathPara>
        <m:oMathParaPr>
          <m:jc m:val="center"/>
        </m:oMathParaPr>
        <m:oMath>
          <m:f>
            <m:fPr>
              <m:type m:val="bar"/>
            </m:fPr>
            <m:num>
              <m:acc>
                <m:accPr>
                  <m:chr m:val="̇"/>
                </m:accPr>
                <m:e>
                  <m:r>
                    <m:t>q</m:t>
                  </m:r>
                </m:e>
              </m:acc>
            </m:num>
            <m:den>
              <m:r>
                <m:t>q</m:t>
              </m:r>
            </m:den>
          </m:f>
          <m:r>
            <m:rPr>
              <m:sty m:val="p"/>
            </m:rPr>
            <m:t>=</m:t>
          </m:r>
          <m:f>
            <m:fPr>
              <m:type m:val="bar"/>
            </m:fPr>
            <m:num>
              <m:acc>
                <m:accPr>
                  <m:chr m:val="̇"/>
                </m:accPr>
                <m:e>
                  <m:r>
                    <m:t>A</m:t>
                  </m:r>
                </m:e>
              </m:acc>
            </m:num>
            <m:den>
              <m:r>
                <m:t>A</m:t>
              </m:r>
            </m:den>
          </m:f>
          <m:r>
            <m:rPr>
              <m:sty m:val="p"/>
            </m:rPr>
            <m:t>+</m:t>
          </m:r>
          <m:r>
            <m:t>α</m:t>
          </m:r>
          <m:f>
            <m:fPr>
              <m:type m:val="bar"/>
            </m:fPr>
            <m:num>
              <m:acc>
                <m:accPr>
                  <m:chr m:val="̇"/>
                </m:accPr>
                <m:e>
                  <m:r>
                    <m:t>K</m:t>
                  </m:r>
                </m:e>
              </m:acc>
            </m:num>
            <m:den>
              <m:r>
                <m:t>K</m:t>
              </m:r>
            </m:den>
          </m:f>
          <m:r>
            <m:rPr>
              <m:sty m:val="p"/>
            </m:rPr>
            <m:t>+</m:t>
          </m:r>
          <m:r>
            <m:t>β</m:t>
          </m:r>
          <m:f>
            <m:fPr>
              <m:type m:val="bar"/>
            </m:fPr>
            <m:num>
              <m:acc>
                <m:accPr>
                  <m:chr m:val="̇"/>
                </m:accPr>
                <m:e>
                  <m:r>
                    <m:t>L</m:t>
                  </m:r>
                </m:e>
              </m:acc>
            </m:num>
            <m:den>
              <m:r>
                <m:t>L</m:t>
              </m:r>
            </m:den>
          </m:f>
        </m:oMath>
      </m:oMathPara>
    </w:p>
    <w:p>
      <w:pPr>
        <w:pStyle w:val="FirstParagraph"/>
      </w:pPr>
      <w:r>
        <w:t xml:space="preserve">O termo</w:t>
      </w:r>
      <w:r>
        <w:t xml:space="preserve"> </w:t>
      </w:r>
      <m:oMath>
        <m:acc>
          <m:accPr>
            <m:chr m:val="̇"/>
          </m:accPr>
          <m:e>
            <m:r>
              <m:t>A</m:t>
            </m:r>
          </m:e>
        </m:acc>
        <m:r>
          <m:rPr>
            <m:sty m:val="p"/>
          </m:rPr>
          <m:t>/</m:t>
        </m:r>
        <m:r>
          <m:t>A</m:t>
        </m:r>
      </m:oMath>
      <w:r>
        <w:t xml:space="preserve"> </w:t>
      </w:r>
      <w:r>
        <w:t xml:space="preserve">é a</w:t>
      </w:r>
      <w:r>
        <w:t xml:space="preserve"> </w:t>
      </w:r>
      <w:r>
        <w:rPr>
          <w:b/>
          <w:bCs/>
        </w:rPr>
        <w:t xml:space="preserve">produtividade total dos fatores</w:t>
      </w:r>
      <w:r>
        <w:t xml:space="preserve"> </w:t>
      </w:r>
      <w:r>
        <w:t xml:space="preserve">(PTF), frequentemente chamada de</w:t>
      </w:r>
      <w:r>
        <w:t xml:space="preserve"> </w:t>
      </w:r>
      <w:r>
        <w:rPr>
          <w:b/>
          <w:bCs/>
        </w:rPr>
        <w:t xml:space="preserve">resíduo de Solow</w:t>
      </w:r>
      <w:r>
        <w:t xml:space="preserve">.</w:t>
      </w:r>
      <w:r>
        <w:rPr>
          <w:rStyle w:val="FootnoteReference"/>
        </w:rPr>
        <w:footnoteReference w:id="658"/>
      </w:r>
      <w:r>
        <w:t xml:space="preserve"> </w:t>
      </w:r>
      <w:r>
        <w:t xml:space="preserve">Ele capta o crescimento do produto que não é explicado pelo crescimento dos insumos — isto é, o efeito puro do progresso técnico.</w:t>
      </w:r>
    </w:p>
    <w:p>
      <w:pPr>
        <w:pStyle w:val="BlockText"/>
      </w:pPr>
      <w:r>
        <w:rPr>
          <w:b/>
          <w:bCs/>
        </w:rPr>
        <w:t xml:space="preserve">[INFORMACAO] Prêmio Nobel — Robert M. Solow (1987)</w:t>
      </w:r>
    </w:p>
    <w:p>
      <w:pPr>
        <w:pStyle w:val="BlockText"/>
      </w:pPr>
      <w:r>
        <w:rPr>
          <w:b/>
          <w:bCs/>
        </w:rPr>
        <w:t xml:space="preserve">Robert Merton Solow</w:t>
      </w:r>
      <w:r>
        <w:t xml:space="preserve"> </w:t>
      </w:r>
      <w:r>
        <w:t xml:space="preserve">(1924–2023) foi um economista americano. Obteve o PhD em Harvard sob orientação de Wassily Leontief e foi professor no MIT por mais de cinco décadas.</w:t>
      </w:r>
    </w:p>
    <w:p>
      <w:pPr>
        <w:pStyle w:val="BlockText"/>
      </w:pPr>
      <w:r>
        <w:rPr>
          <w:b/>
          <w:bCs/>
        </w:rPr>
        <w:t xml:space="preserve">Por que ganhou o Nobel:</w:t>
      </w:r>
      <w:r>
        <w:t xml:space="preserve"> </w:t>
      </w:r>
      <w:r>
        <w:t xml:space="preserve">Premiado por suas contribuições à teoria do crescimento econômico. Solow desenvolveu o modelo neoclássico de crescimento (1956) e introduziu a contabilidade do crescimento (1957), que decompõe o crescimento do produto nas contribuições de capital, trabalho e um resíduo — a produtividade total dos fatores (PTF). O</w:t>
      </w:r>
      <w:r>
        <w:t xml:space="preserve"> </w:t>
      </w:r>
      <w:r>
        <w:t xml:space="preserve">“resíduo de Solow”</w:t>
      </w:r>
      <w:r>
        <w:t xml:space="preserve"> </w:t>
      </w:r>
      <w:r>
        <w:t xml:space="preserve">revelou que o progresso técnico, e não a mera acumulação de fatores, é o principal motor do crescimento de longo prazo.</w:t>
      </w:r>
    </w:p>
    <w:p>
      <w:pPr>
        <w:pStyle w:val="BlockText"/>
      </w:pPr>
      <w:r>
        <w:rPr>
          <w:b/>
          <w:bCs/>
        </w:rPr>
        <w:t xml:space="preserve">Conexão com este capítulo:</w:t>
      </w:r>
      <w:r>
        <w:t xml:space="preserve"> </w:t>
      </w:r>
      <w:r>
        <w:t xml:space="preserve">A decomposição do crescimento — que atribui parcelas do crescimento do produto a capital, trabalho e PTF — é apresentada neste capítulo como aplicação direta da função de produção Cobb-Douglas. O resíduo de Solow, interpretado como medida de progresso técnico, conecta a teoria da produção à questão central do crescimento econômico.</w:t>
      </w:r>
    </w:p>
    <w:p>
      <w:pPr>
        <w:pStyle w:val="BlockText"/>
      </w:pPr>
      <w:r>
        <w:rPr>
          <w:b/>
          <w:bCs/>
        </w:rPr>
        <w:t xml:space="preserve">[EXERCICIO RESOLVIDO] Exercício Resolvido 10.3</w:t>
      </w:r>
    </w:p>
    <w:p>
      <w:pPr>
        <w:pStyle w:val="BlockText"/>
      </w:pPr>
      <w:r>
        <w:rPr>
          <w:b/>
          <w:bCs/>
        </w:rPr>
        <w:t xml:space="preserve">Enunciado:</w:t>
      </w:r>
      <w:r>
        <w:t xml:space="preserve"> </w:t>
      </w:r>
      <w:r>
        <w:t xml:space="preserve">Uma firma opera com</w:t>
      </w:r>
      <w:r>
        <w:t xml:space="preserve"> </w:t>
      </w:r>
      <m:oMath>
        <m:r>
          <m:t>q</m:t>
        </m:r>
        <m:r>
          <m:rPr>
            <m:sty m:val="p"/>
          </m:rPr>
          <m:t>=</m:t>
        </m:r>
        <m:r>
          <m:t>A</m:t>
        </m:r>
        <m:r>
          <m:rPr>
            <m:sty m:val="p"/>
          </m:rPr>
          <m:t>(</m:t>
        </m:r>
        <m:r>
          <m:t>t</m:t>
        </m:r>
        <m:r>
          <m:rPr>
            <m:sty m:val="p"/>
          </m:rPr>
          <m:t>)</m:t>
        </m:r>
        <m:r>
          <m:rPr>
            <m:sty m:val="p"/>
          </m:rPr>
          <m:t>⋅</m:t>
        </m:r>
        <m:sSup>
          <m:e>
            <m:r>
              <m:t>K</m:t>
            </m:r>
          </m:e>
          <m:sup>
            <m:r>
              <m:t>0</m:t>
            </m:r>
            <m:r>
              <m:rPr>
                <m:sty m:val="p"/>
              </m:rPr>
              <m:t>,</m:t>
            </m:r>
            <m:r>
              <m:t>3</m:t>
            </m:r>
          </m:sup>
        </m:sSup>
        <m:sSup>
          <m:e>
            <m:r>
              <m:t>L</m:t>
            </m:r>
          </m:e>
          <m:sup>
            <m:r>
              <m:t>0</m:t>
            </m:r>
            <m:r>
              <m:rPr>
                <m:sty m:val="p"/>
              </m:rPr>
              <m:t>,</m:t>
            </m:r>
            <m:r>
              <m:t>7</m:t>
            </m:r>
          </m:sup>
        </m:sSup>
      </m:oMath>
      <w:r>
        <w:t xml:space="preserve">, onde</w:t>
      </w:r>
      <w:r>
        <w:t xml:space="preserve"> </w:t>
      </w:r>
      <m:oMath>
        <m:r>
          <m:t>A</m:t>
        </m:r>
        <m:r>
          <m:rPr>
            <m:sty m:val="p"/>
          </m:rPr>
          <m:t>(</m:t>
        </m:r>
        <m:r>
          <m:t>0</m:t>
        </m:r>
        <m:r>
          <m:rPr>
            <m:sty m:val="p"/>
          </m:rPr>
          <m:t>)</m:t>
        </m:r>
        <m:r>
          <m:rPr>
            <m:sty m:val="p"/>
          </m:rPr>
          <m:t>=</m:t>
        </m:r>
        <m:r>
          <m:t>1</m:t>
        </m:r>
      </m:oMath>
      <w:r>
        <w:t xml:space="preserve"> </w:t>
      </w:r>
      <w:r>
        <w:t xml:space="preserve">e</w:t>
      </w:r>
      <w:r>
        <w:t xml:space="preserve"> </w:t>
      </w:r>
      <m:oMath>
        <m:r>
          <m:t>A</m:t>
        </m:r>
      </m:oMath>
      <w:r>
        <w:t xml:space="preserve"> </w:t>
      </w:r>
      <w:r>
        <w:t xml:space="preserve">cresce a 2% ao ano. O capital cresce a 4% ao ano e o trabalho a 1% ao ano. Calcule a taxa de crescimento do produto e decomponha-a nas contribuições de cada fonte.</w:t>
      </w:r>
    </w:p>
    <w:p>
      <w:pPr>
        <w:pStyle w:val="BlockText"/>
      </w:pPr>
      <w:r>
        <w:rPr>
          <w:b/>
          <w:bCs/>
        </w:rPr>
        <w:t xml:space="preserve">Dados:</w:t>
      </w:r>
      <w:r>
        <w:t xml:space="preserve"> </w:t>
      </w:r>
      <m:oMath>
        <m:r>
          <m:t>α</m:t>
        </m:r>
        <m:r>
          <m:rPr>
            <m:sty m:val="p"/>
          </m:rPr>
          <m:t>=</m:t>
        </m:r>
        <m:r>
          <m:t>0</m:t>
        </m:r>
        <m:r>
          <m:rPr>
            <m:sty m:val="p"/>
          </m:rPr>
          <m:t>,</m:t>
        </m:r>
        <m:r>
          <m:t>3</m:t>
        </m:r>
      </m:oMath>
      <w:r>
        <w:t xml:space="preserve">,</w:t>
      </w:r>
      <w:r>
        <w:t xml:space="preserve"> </w:t>
      </w:r>
      <m:oMath>
        <m:r>
          <m:t>β</m:t>
        </m:r>
        <m:r>
          <m:rPr>
            <m:sty m:val="p"/>
          </m:rPr>
          <m:t>=</m:t>
        </m:r>
        <m:r>
          <m:t>0</m:t>
        </m:r>
        <m:r>
          <m:rPr>
            <m:sty m:val="p"/>
          </m:rPr>
          <m:t>,</m:t>
        </m:r>
        <m:r>
          <m:t>7</m:t>
        </m:r>
      </m:oMath>
      <w:r>
        <w:t xml:space="preserve">,</w:t>
      </w:r>
      <w:r>
        <w:t xml:space="preserve"> </w:t>
      </w:r>
      <m:oMath>
        <m:acc>
          <m:accPr>
            <m:chr m:val="̇"/>
          </m:accPr>
          <m:e>
            <m:r>
              <m:t>A</m:t>
            </m:r>
          </m:e>
        </m:acc>
        <m:r>
          <m:rPr>
            <m:sty m:val="p"/>
          </m:rPr>
          <m:t>/</m:t>
        </m:r>
        <m:r>
          <m:t>A</m:t>
        </m:r>
        <m:r>
          <m:rPr>
            <m:sty m:val="p"/>
          </m:rPr>
          <m:t>=</m:t>
        </m:r>
        <m:r>
          <m:t>0</m:t>
        </m:r>
        <m:r>
          <m:rPr>
            <m:sty m:val="p"/>
          </m:rPr>
          <m:t>,</m:t>
        </m:r>
        <m:r>
          <m:t>02</m:t>
        </m:r>
      </m:oMath>
      <w:r>
        <w:t xml:space="preserve">,</w:t>
      </w:r>
      <w:r>
        <w:t xml:space="preserve"> </w:t>
      </w:r>
      <m:oMath>
        <m:acc>
          <m:accPr>
            <m:chr m:val="̇"/>
          </m:accPr>
          <m:e>
            <m:r>
              <m:t>K</m:t>
            </m:r>
          </m:e>
        </m:acc>
        <m:r>
          <m:rPr>
            <m:sty m:val="p"/>
          </m:rPr>
          <m:t>/</m:t>
        </m:r>
        <m:r>
          <m:t>K</m:t>
        </m:r>
        <m:r>
          <m:rPr>
            <m:sty m:val="p"/>
          </m:rPr>
          <m:t>=</m:t>
        </m:r>
        <m:r>
          <m:t>0</m:t>
        </m:r>
        <m:r>
          <m:rPr>
            <m:sty m:val="p"/>
          </m:rPr>
          <m:t>,</m:t>
        </m:r>
        <m:r>
          <m:t>04</m:t>
        </m:r>
      </m:oMath>
      <w:r>
        <w:t xml:space="preserve">,</w:t>
      </w:r>
      <w:r>
        <w:t xml:space="preserve"> </w:t>
      </w:r>
      <m:oMath>
        <m:acc>
          <m:accPr>
            <m:chr m:val="̇"/>
          </m:accPr>
          <m:e>
            <m:r>
              <m:t>L</m:t>
            </m:r>
          </m:e>
        </m:acc>
        <m:r>
          <m:rPr>
            <m:sty m:val="p"/>
          </m:rPr>
          <m:t>/</m:t>
        </m:r>
        <m:r>
          <m:t>L</m:t>
        </m:r>
        <m:r>
          <m:rPr>
            <m:sty m:val="p"/>
          </m:rPr>
          <m:t>=</m:t>
        </m:r>
        <m:r>
          <m:t>0</m:t>
        </m:r>
        <m:r>
          <m:rPr>
            <m:sty m:val="p"/>
          </m:rPr>
          <m:t>,</m:t>
        </m:r>
        <m:r>
          <m:t>01</m:t>
        </m:r>
      </m:oMath>
      <w:r>
        <w:t xml:space="preserve">.</w:t>
      </w:r>
    </w:p>
    <w:p>
      <w:pPr>
        <w:pStyle w:val="BlockText"/>
      </w:pPr>
      <w:r>
        <w:rPr>
          <w:b/>
          <w:bCs/>
        </w:rPr>
        <w:t xml:space="preserve">Resolução:</w:t>
      </w:r>
    </w:p>
    <w:p>
      <w:pPr>
        <w:pStyle w:val="BlockText"/>
      </w:pPr>
      <w:r>
        <w:rPr>
          <w:b/>
          <w:bCs/>
        </w:rPr>
        <w:t xml:space="preserve">Passo 1 — Aplicar a decomposição do crescimento</w:t>
      </w:r>
    </w:p>
    <w:p>
      <w:pPr>
        <w:pStyle w:val="BlockText"/>
      </w:pPr>
      <w:r>
        <w:t xml:space="preserve">$$</w:t>
      </w:r>
    </w:p>
    <w:p>
      <w:pPr>
        <w:pStyle w:val="BlockText"/>
      </w:pPr>
      <w:r>
        <w:t xml:space="preserve"> </w:t>
      </w:r>
      <w:r>
        <w:t xml:space="preserve">=</w:t>
      </w:r>
      <w:r>
        <w:t xml:space="preserve"> </w:t>
      </w:r>
      <w:r>
        <w:t xml:space="preserve"> </w:t>
      </w:r>
      <w:r>
        <w:t xml:space="preserve">+</w:t>
      </w:r>
      <w:r>
        <w:t xml:space="preserve"> </w:t>
      </w:r>
      <w:r>
        <w:t xml:space="preserve"> </w:t>
      </w:r>
      <w:r>
        <w:t xml:space="preserve">+</w:t>
      </w:r>
      <w:r>
        <w:t xml:space="preserve"> </w:t>
      </w:r>
    </w:p>
    <w:p>
      <w:pPr>
        <w:pStyle w:val="BlockText"/>
      </w:pPr>
      <w:r>
        <w:t xml:space="preserve">$$</w:t>
      </w:r>
    </w:p>
    <w:p>
      <w:pPr>
        <w:pStyle w:val="BlockText"/>
      </w:pPr>
      <w:r>
        <w:rPr>
          <w:b/>
          <w:bCs/>
        </w:rPr>
        <w:t xml:space="preserve">Passo 2 — Substituir os valores</w:t>
      </w:r>
    </w:p>
    <w:p>
      <w:pPr>
        <w:pStyle w:val="BlockText"/>
      </w:pPr>
      <w:r>
        <w:t xml:space="preserve">$$</w:t>
      </w:r>
    </w:p>
    <w:p>
      <w:pPr>
        <w:pStyle w:val="BlockText"/>
      </w:pPr>
      <w:r>
        <w:t xml:space="preserve"> </w:t>
      </w:r>
      <w:r>
        <w:t xml:space="preserve">= 0{,}02 + 0{,}3</w:t>
      </w:r>
      <w:r>
        <w:t xml:space="preserve"> </w:t>
      </w:r>
      <w:r>
        <w:t xml:space="preserve">04 + 0{,}7</w:t>
      </w:r>
      <w:r>
        <w:t xml:space="preserve"> </w:t>
      </w:r>
      <w:r>
        <w:t xml:space="preserve">01 = 0{,}02 + 0{,}012 + 0{,}007 = 0{,}039</w:t>
      </w:r>
    </w:p>
    <w:p>
      <w:pPr>
        <w:pStyle w:val="BlockText"/>
      </w:pPr>
      <w:r>
        <w:t xml:space="preserve">$$</w:t>
      </w:r>
    </w:p>
    <w:p>
      <w:pPr>
        <w:pStyle w:val="BlockText"/>
      </w:pPr>
      <w:r>
        <w:rPr>
          <w:b/>
          <w:bCs/>
        </w:rPr>
        <w:t xml:space="preserve">Passo 3 — Decomposição percentual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Fonte</w:t>
            </w:r>
          </w:p>
        </w:tc>
        <w:tc>
          <w:tcPr/>
          <w:p>
            <w:pPr>
              <w:pStyle w:val="Compact"/>
            </w:pPr>
            <w:r>
              <w:t xml:space="preserve">Contribuição</w:t>
            </w:r>
          </w:p>
        </w:tc>
        <w:tc>
          <w:tcPr/>
          <w:p>
            <w:pPr>
              <w:pStyle w:val="Compact"/>
            </w:pPr>
            <w:r>
              <w:t xml:space="preserve">% do total</w:t>
            </w:r>
          </w:p>
        </w:tc>
      </w:tr>
      <w:tr>
        <w:tc>
          <w:tcPr/>
          <w:p>
            <w:pPr>
              <w:pStyle w:val="Compact"/>
            </w:pPr>
            <w:r>
              <w:t xml:space="preserve">PTF (progresso técnico)</w:t>
            </w:r>
          </w:p>
        </w:tc>
        <w:tc>
          <w:tcPr/>
          <w:p>
            <w:pPr>
              <w:pStyle w:val="Compact"/>
            </w:pPr>
            <w:r>
              <w:t xml:space="preserve">2,0 p.p.</w:t>
            </w:r>
          </w:p>
        </w:tc>
        <w:tc>
          <w:tcPr/>
          <w:p>
            <w:pPr>
              <w:pStyle w:val="Compact"/>
            </w:pPr>
            <w:r>
              <w:t xml:space="preserve">51,3%</w:t>
            </w:r>
          </w:p>
        </w:tc>
      </w:tr>
      <w:tr>
        <w:tc>
          <w:tcPr/>
          <w:p>
            <w:pPr>
              <w:pStyle w:val="Compact"/>
            </w:pPr>
            <w:r>
              <w:t xml:space="preserve">Capital</w:t>
            </w:r>
          </w:p>
        </w:tc>
        <w:tc>
          <w:tcPr/>
          <w:p>
            <w:pPr>
              <w:pStyle w:val="Compact"/>
            </w:pPr>
            <w:r>
              <w:t xml:space="preserve">1,2 p.p.</w:t>
            </w:r>
          </w:p>
        </w:tc>
        <w:tc>
          <w:tcPr/>
          <w:p>
            <w:pPr>
              <w:pStyle w:val="Compact"/>
            </w:pPr>
            <w:r>
              <w:t xml:space="preserve">30,8%</w:t>
            </w:r>
          </w:p>
        </w:tc>
      </w:tr>
      <w:tr>
        <w:tc>
          <w:tcPr/>
          <w:p>
            <w:pPr>
              <w:pStyle w:val="Compact"/>
            </w:pPr>
            <w:r>
              <w:t xml:space="preserve">Trabalho</w:t>
            </w:r>
          </w:p>
        </w:tc>
        <w:tc>
          <w:tcPr/>
          <w:p>
            <w:pPr>
              <w:pStyle w:val="Compact"/>
            </w:pPr>
            <w:r>
              <w:t xml:space="preserve">0,7 p.p.</w:t>
            </w:r>
          </w:p>
        </w:tc>
        <w:tc>
          <w:tcPr/>
          <w:p>
            <w:pPr>
              <w:pStyle w:val="Compact"/>
            </w:pPr>
            <w:r>
              <w:t xml:space="preserve">17,9%</w:t>
            </w:r>
          </w:p>
        </w:tc>
      </w:tr>
      <w:tr>
        <w:tc>
          <w:tcPr/>
          <w:p>
            <w:pPr>
              <w:pStyle w:val="Compact"/>
            </w:pPr>
            <w:r>
              <w:rPr>
                <w:b/>
                <w:bCs/>
              </w:rPr>
              <w:t xml:space="preserve">Total</w:t>
            </w:r>
          </w:p>
        </w:tc>
        <w:tc>
          <w:tcPr/>
          <w:p>
            <w:pPr>
              <w:pStyle w:val="Compact"/>
            </w:pPr>
            <w:r>
              <w:rPr>
                <w:b/>
                <w:bCs/>
              </w:rPr>
              <w:t xml:space="preserve">3,9 p.p.</w:t>
            </w:r>
          </w:p>
        </w:tc>
        <w:tc>
          <w:tcPr/>
          <w:p>
            <w:pPr>
              <w:pStyle w:val="Compact"/>
            </w:pPr>
            <w:r>
              <w:rPr>
                <w:b/>
                <w:bCs/>
              </w:rPr>
              <w:t xml:space="preserve">100%</w:t>
            </w:r>
          </w:p>
        </w:tc>
      </w:tr>
    </w:tbl>
    <w:p>
      <w:pPr>
        <w:pStyle w:val="BlockText"/>
      </w:pPr>
      <w:r>
        <w:rPr>
          <w:b/>
          <w:bCs/>
        </w:rPr>
        <w:t xml:space="preserve">Resultado:</w:t>
      </w:r>
      <w:r>
        <w:t xml:space="preserve"> </w:t>
      </w:r>
      <w:r>
        <w:t xml:space="preserve">O produto cresce a 3,9% ao ano, com mais da metade explicada pelo progresso técnico.</w:t>
      </w:r>
    </w:p>
    <w:p>
      <w:pPr>
        <w:pStyle w:val="BlockText"/>
      </w:pPr>
      <w:r>
        <w:rPr>
          <w:b/>
          <w:bCs/>
        </w:rPr>
        <w:t xml:space="preserve">Interpretação econômica:</w:t>
      </w:r>
      <w:r>
        <w:t xml:space="preserve"> </w:t>
      </w:r>
      <w:r>
        <w:t xml:space="preserve">A predominância da PTF no crescimento é consistente com o padrão observado na agricultura brasileira pós-Embrapa (ver Box Brasil a seguir), onde a inovação tecnológica respondeu por parcela majoritária dos ganhos de produtividade. Como a função é Cobb-Douglas, o progresso técnico é simultaneamente neutro no sentido de Hicks, Harrod e Solow — as três classificações convergem (Seção 10.6).</w:t>
      </w:r>
    </w:p>
    <w:p>
      <w:pPr>
        <w:pStyle w:val="BlockText"/>
      </w:pPr>
      <w:r>
        <w:rPr>
          <w:b/>
          <w:bCs/>
        </w:rPr>
        <w:t xml:space="preserve">[BOX BRASIL] Box Brasil: Produtividade agrícola e a função de produção da soja no Cerrado</w:t>
      </w:r>
    </w:p>
    <w:p>
      <w:pPr>
        <w:pStyle w:val="BlockText"/>
      </w:pPr>
      <w:r>
        <w:t xml:space="preserve">Os dados do</w:t>
      </w:r>
      <w:r>
        <w:t xml:space="preserve"> </w:t>
      </w:r>
      <w:hyperlink r:id="rId168">
        <w:r>
          <w:rPr>
            <w:rStyle w:val="Hyperlink"/>
            <w:b/>
            <w:bCs/>
          </w:rPr>
          <w:t xml:space="preserve">IBGE/SIDRA</w:t>
        </w:r>
      </w:hyperlink>
      <w:r>
        <w:t xml:space="preserve"> </w:t>
      </w:r>
      <w:r>
        <w:t xml:space="preserve">(Pesquisa Agrícola Municipal) permitem estimar funções de produção para culturas brasileiras. Considere a soja no Cerrado. Entre 2000 e 2023, a área plantada de soja no Brasil cresceu de 13,6 para 44,1 milhões de hectares, enquanto a produção saltou de 32,8 para 154,6 milhões de toneladas (dados</w:t>
      </w:r>
      <w:r>
        <w:t xml:space="preserve"> </w:t>
      </w:r>
      <w:hyperlink r:id="rId659">
        <w:r>
          <w:rPr>
            <w:rStyle w:val="Hyperlink"/>
          </w:rPr>
          <w:t xml:space="preserve">CONAB</w:t>
        </w:r>
      </w:hyperlink>
      <w:r>
        <w:t xml:space="preserve">, safra 2022/23). A produtividade média passou de 2.403 para 3.509 kg/ha.</w:t>
      </w:r>
    </w:p>
    <w:p>
      <w:pPr>
        <w:pStyle w:val="BlockText"/>
      </w:pPr>
      <w:r>
        <w:t xml:space="preserve">Uma decomposição simples do crescimento à la Solow revela que:</w:t>
      </w:r>
    </w:p>
    <w:p>
      <w:pPr>
        <w:pStyle w:val="Compact"/>
        <w:numPr>
          <w:ilvl w:val="0"/>
          <w:numId w:val="1625"/>
        </w:numPr>
      </w:pPr>
      <w:r>
        <w:t xml:space="preserve">O crescimento da</w:t>
      </w:r>
      <w:r>
        <w:t xml:space="preserve"> </w:t>
      </w:r>
      <w:r>
        <w:rPr>
          <w:b/>
          <w:bCs/>
        </w:rPr>
        <w:t xml:space="preserve">área</w:t>
      </w:r>
      <w:r>
        <w:t xml:space="preserve"> </w:t>
      </w:r>
      <w:r>
        <w:t xml:space="preserve">(terra) respondeu por aproximadamente 60% do aumento da produção (expansão extensiva).</w:t>
      </w:r>
    </w:p>
    <w:p>
      <w:pPr>
        <w:pStyle w:val="Compact"/>
        <w:numPr>
          <w:ilvl w:val="0"/>
          <w:numId w:val="1625"/>
        </w:numPr>
      </w:pPr>
      <w:r>
        <w:t xml:space="preserve">O crescimento da</w:t>
      </w:r>
      <w:r>
        <w:t xml:space="preserve"> </w:t>
      </w:r>
      <w:r>
        <w:rPr>
          <w:b/>
          <w:bCs/>
        </w:rPr>
        <w:t xml:space="preserve">produtividade</w:t>
      </w:r>
      <w:r>
        <w:t xml:space="preserve"> </w:t>
      </w:r>
      <w:r>
        <w:t xml:space="preserve">(PTF + intensificação de insumos) respondeu pelos 40% restantes.</w:t>
      </w:r>
    </w:p>
    <w:p>
      <w:pPr>
        <w:pStyle w:val="BlockText"/>
      </w:pPr>
      <w:r>
        <w:t xml:space="preserve">A parcela atribuída à PTF — novas cultivares, manejo de solo, integração lavoura-pecuária — é o</w:t>
      </w:r>
      <w:r>
        <w:t xml:space="preserve"> </w:t>
      </w:r>
      <w:r>
        <w:t xml:space="preserve">“resíduo de Solow”</w:t>
      </w:r>
      <w:r>
        <w:t xml:space="preserve"> </w:t>
      </w:r>
      <w:r>
        <w:t xml:space="preserve">aplicado à agricultura. Segundo estimativas da Embrapa, a pesquisa agropecuária respondeu por cerca de 60% dos ganhos de PTF na agricultura brasileira entre 1975 e 2020.</w:t>
      </w:r>
    </w:p>
    <w:p>
      <w:r>
        <w:pict>
          <v:rect style="width:0;height:1.5pt" o:hralign="center" o:hrstd="t" o:hr="t"/>
        </w:pict>
      </w:r>
    </w:p>
    <w:p>
      <w:pPr>
        <w:pStyle w:val="BlockText"/>
      </w:pPr>
      <w:r>
        <w:rPr>
          <w:b/>
          <w:bCs/>
        </w:rPr>
        <w:t xml:space="preserve">[BOX BRASIL] Box Brasil: A revolução da Embrapa — progresso técnico no Cerrado</w:t>
      </w:r>
    </w:p>
    <w:p>
      <w:pPr>
        <w:pStyle w:val="BlockText"/>
      </w:pPr>
      <w:r>
        <w:t xml:space="preserve">A agropecuária brasileira vivenciou, nas últimas cinco décadas, uma das mais impressionantes transformações produtivas do mundo. O protagonista dessa revolução foi a</w:t>
      </w:r>
      <w:r>
        <w:t xml:space="preserve"> </w:t>
      </w:r>
      <w:r>
        <w:rPr>
          <w:b/>
          <w:bCs/>
        </w:rPr>
        <w:t xml:space="preserve">Empresa Brasileira de Pesquisa Agropecuária (</w:t>
      </w:r>
      <w:hyperlink r:id="rId345">
        <w:r>
          <w:rPr>
            <w:rStyle w:val="Hyperlink"/>
            <w:b/>
            <w:bCs/>
          </w:rPr>
          <w:t xml:space="preserve">Embrapa</w:t>
        </w:r>
      </w:hyperlink>
      <w:r>
        <w:rPr>
          <w:b/>
          <w:bCs/>
        </w:rPr>
        <w:t xml:space="preserve">)</w:t>
      </w:r>
      <w:r>
        <w:t xml:space="preserve">, fundada em 1973, cuja atuação é um caso emblemático de progresso técnico aplicado à produção.</w:t>
      </w:r>
    </w:p>
    <w:tbl>
      <w:tblPr>
        <w:tblStyle w:val="Table"/>
        <w:tblW w:type="pct" w:w="5000"/>
        <w:tblLayout w:type="fixed"/>
        <w:tblLook w:firstRow="1" w:lastRow="0" w:firstColumn="0" w:lastColumn="0" w:noHBand="0" w:noVBand="0" w:val="0020"/>
      </w:tblPr>
      <w:tblGrid>
        <w:gridCol w:w="1272"/>
        <w:gridCol w:w="2828"/>
        <w:gridCol w:w="2828"/>
        <w:gridCol w:w="990"/>
      </w:tblGrid>
      <w:tr>
        <w:trPr>
          <w:tblHeader w:val="on"/>
        </w:trPr>
        <w:tc>
          <w:tcPr/>
          <w:p>
            <w:pPr>
              <w:pStyle w:val="Compact"/>
            </w:pPr>
            <w:r>
              <w:t xml:space="preserve">Cultura</w:t>
            </w:r>
          </w:p>
        </w:tc>
        <w:tc>
          <w:tcPr/>
          <w:p>
            <w:pPr>
              <w:pStyle w:val="Compact"/>
              <w:jc w:val="right"/>
            </w:pPr>
            <w:r>
              <w:t xml:space="preserve">Produtividade ~1977</w:t>
            </w:r>
          </w:p>
        </w:tc>
        <w:tc>
          <w:tcPr/>
          <w:p>
            <w:pPr>
              <w:pStyle w:val="Compact"/>
              <w:jc w:val="right"/>
            </w:pPr>
            <w:r>
              <w:t xml:space="preserve">Produtividade ~2024</w:t>
            </w:r>
          </w:p>
        </w:tc>
        <w:tc>
          <w:tcPr/>
          <w:p>
            <w:pPr>
              <w:pStyle w:val="Compact"/>
              <w:jc w:val="center"/>
            </w:pPr>
            <w:r>
              <w:t xml:space="preserve">Fator de multiplicação</w:t>
            </w:r>
          </w:p>
        </w:tc>
      </w:tr>
      <w:tr>
        <w:tc>
          <w:tcPr/>
          <w:p>
            <w:pPr>
              <w:pStyle w:val="Compact"/>
            </w:pPr>
            <w:r>
              <w:rPr>
                <w:b/>
                <w:bCs/>
              </w:rPr>
              <w:t xml:space="preserve">Soja</w:t>
            </w:r>
          </w:p>
        </w:tc>
        <w:tc>
          <w:tcPr/>
          <w:p>
            <w:pPr>
              <w:pStyle w:val="Compact"/>
              <w:jc w:val="right"/>
            </w:pPr>
            <w:r>
              <w:t xml:space="preserve">~1.700 kg/ha</w:t>
            </w:r>
          </w:p>
        </w:tc>
        <w:tc>
          <w:tcPr/>
          <w:p>
            <w:pPr>
              <w:pStyle w:val="Compact"/>
              <w:jc w:val="right"/>
            </w:pPr>
            <w:r>
              <w:t xml:space="preserve">~3.300 kg/ha</w:t>
            </w:r>
          </w:p>
        </w:tc>
        <w:tc>
          <w:tcPr/>
          <w:p>
            <w:pPr>
              <w:pStyle w:val="Compact"/>
              <w:jc w:val="center"/>
            </w:pPr>
            <w:r>
              <w:t xml:space="preserve">×1,9</w:t>
            </w:r>
          </w:p>
        </w:tc>
      </w:tr>
      <w:tr>
        <w:tc>
          <w:tcPr/>
          <w:p>
            <w:pPr>
              <w:pStyle w:val="Compact"/>
            </w:pPr>
            <w:r>
              <w:rPr>
                <w:b/>
                <w:bCs/>
              </w:rPr>
              <w:t xml:space="preserve">Milho</w:t>
            </w:r>
          </w:p>
        </w:tc>
        <w:tc>
          <w:tcPr/>
          <w:p>
            <w:pPr>
              <w:pStyle w:val="Compact"/>
              <w:jc w:val="right"/>
            </w:pPr>
            <w:r>
              <w:t xml:space="preserve">~1.600 kg/ha</w:t>
            </w:r>
          </w:p>
        </w:tc>
        <w:tc>
          <w:tcPr/>
          <w:p>
            <w:pPr>
              <w:pStyle w:val="Compact"/>
              <w:jc w:val="right"/>
            </w:pPr>
            <w:r>
              <w:t xml:space="preserve">~6.000 kg/ha</w:t>
            </w:r>
          </w:p>
        </w:tc>
        <w:tc>
          <w:tcPr/>
          <w:p>
            <w:pPr>
              <w:pStyle w:val="Compact"/>
              <w:jc w:val="center"/>
            </w:pPr>
            <w:r>
              <w:t xml:space="preserve">×3,8</w:t>
            </w:r>
          </w:p>
        </w:tc>
      </w:tr>
    </w:tbl>
    <w:p>
      <w:pPr>
        <w:pStyle w:val="BlockText"/>
      </w:pPr>
      <w:r>
        <w:rPr>
          <w:i/>
          <w:iCs/>
        </w:rPr>
        <w:t xml:space="preserve">Fontes:</w:t>
      </w:r>
      <w:r>
        <w:rPr>
          <w:i/>
          <w:iCs/>
        </w:rPr>
        <w:t xml:space="preserve"> </w:t>
      </w:r>
      <w:hyperlink r:id="rId659">
        <w:r>
          <w:rPr>
            <w:rStyle w:val="Hyperlink"/>
            <w:i/>
            <w:iCs/>
          </w:rPr>
          <w:t xml:space="preserve">CONAB</w:t>
        </w:r>
      </w:hyperlink>
      <w:r>
        <w:rPr>
          <w:i/>
          <w:iCs/>
        </w:rPr>
        <w:t xml:space="preserve"> </w:t>
      </w:r>
      <w:r>
        <w:rPr>
          <w:i/>
          <w:iCs/>
        </w:rPr>
        <w:t xml:space="preserve">(safras 2023/24); IBGE/PAM.</w:t>
      </w:r>
    </w:p>
    <w:p>
      <w:pPr>
        <w:pStyle w:val="BlockText"/>
      </w:pPr>
      <w:r>
        <w:t xml:space="preserve">A área de soja expandiu-se de 7 para 46 milhões de hectares no período, mas a produtividade por hectare quase dobrou — evidenciando que o crescimento do produto decorreu tanto da expansão extensiva (mais terra) quanto do progresso técnico (mais produto por unidade de terra). A transformação do Cerrado — via calagem, cultivares tropicais e plantio direto — converteu solos antes improdutivos no maior polo agropecuário do país.</w:t>
      </w:r>
    </w:p>
    <w:p>
      <w:pPr>
        <w:pStyle w:val="BlockText"/>
      </w:pPr>
      <w:r>
        <w:rPr>
          <w:b/>
          <w:bCs/>
        </w:rPr>
        <w:t xml:space="preserve">Interpretação microeconômica.</w:t>
      </w:r>
      <w:r>
        <w:t xml:space="preserve"> </w:t>
      </w:r>
      <w:r>
        <w:t xml:space="preserve">Em termos da teoria da produção, a atuação da Embrapa representa um deslocamento da função de produção agrícola — um aumento do parâmetro</w:t>
      </w:r>
      <w:r>
        <w:t xml:space="preserve"> </w:t>
      </w:r>
      <m:oMath>
        <m:r>
          <m:t>A</m:t>
        </m:r>
        <m:r>
          <m:rPr>
            <m:sty m:val="p"/>
          </m:rPr>
          <m:t>(</m:t>
        </m:r>
        <m:r>
          <m:t>t</m:t>
        </m:r>
        <m:r>
          <m:rPr>
            <m:sty m:val="p"/>
          </m:rPr>
          <m:t>)</m:t>
        </m:r>
      </m:oMath>
      <w:r>
        <w:t xml:space="preserve">. Trata-se predominantemente de progresso técnico</w:t>
      </w:r>
      <w:r>
        <w:t xml:space="preserve"> </w:t>
      </w:r>
      <w:r>
        <w:rPr>
          <w:b/>
          <w:bCs/>
        </w:rPr>
        <w:t xml:space="preserve">aumentador de terra</w:t>
      </w:r>
      <w:r>
        <w:t xml:space="preserve"> </w:t>
      </w:r>
      <w:r>
        <w:t xml:space="preserve">(análogo ao neutro de Solow aplicado ao fator terra), pois a inovação principal foi tornar produtivos solos antes imprestáveis, multiplicando o fator terra efetivo. A Embrapa estima que a tecnologia gerada pela pesquisa agropecuária foi responsável por cerca de</w:t>
      </w:r>
      <w:r>
        <w:t xml:space="preserve"> </w:t>
      </w:r>
      <w:r>
        <w:rPr>
          <w:b/>
          <w:bCs/>
        </w:rPr>
        <w:t xml:space="preserve">60% do crescimento da PTF</w:t>
      </w:r>
      <w:r>
        <w:t xml:space="preserve"> </w:t>
      </w:r>
      <w:r>
        <w:t xml:space="preserve">na agricultura brasileira entre 1975 e 2020. Goolsbee, Levitt &amp; Syverson (2020, Cap. 6) documentam padrões similares na agricultura estadunidense.</w:t>
      </w:r>
    </w:p>
    <w:p>
      <w:pPr>
        <w:pStyle w:val="BlockText"/>
      </w:pPr>
      <w:r>
        <w:rPr>
          <w:b/>
          <w:bCs/>
        </w:rPr>
        <w:t xml:space="preserve">[BOX MUNDO] Box Mundo 10.3 — O resíduo de Solow e o milagre do Leste Asiático</w:t>
      </w:r>
    </w:p>
    <w:p>
      <w:pPr>
        <w:pStyle w:val="BlockText"/>
      </w:pPr>
      <w:r>
        <w:rPr>
          <w:b/>
          <w:bCs/>
        </w:rPr>
        <w:t xml:space="preserve">Contexto:</w:t>
      </w:r>
      <w:r>
        <w:t xml:space="preserve"> </w:t>
      </w:r>
      <w:r>
        <w:t xml:space="preserve">Entre 1960 e 1990, as economias de Coreia do Sul, Singapura, Taiwan e Hong Kong cresceram a taxas entre 6% e 9% ao ano — o</w:t>
      </w:r>
      <w:r>
        <w:t xml:space="preserve"> </w:t>
      </w:r>
      <w:r>
        <w:t xml:space="preserve">“milagre”</w:t>
      </w:r>
      <w:r>
        <w:t xml:space="preserve"> </w:t>
      </w:r>
      <w:r>
        <w:t xml:space="preserve">do Leste Asiático. O debate econômico em torno desse crescimento tornou-se uma das mais acesas controvérsias da macroeconomia do desenvolvimento: o crescimento derivou de acumulação extraordinária de fatores (capital e trabalho) ou de ganhos genuínos de produtividade total dos fatores (PTF)?</w:t>
      </w:r>
    </w:p>
    <w:p>
      <w:pPr>
        <w:pStyle w:val="BlockText"/>
      </w:pPr>
      <w:r>
        <w:rPr>
          <w:b/>
          <w:bCs/>
        </w:rPr>
        <w:t xml:space="preserve">Dados:</w:t>
      </w:r>
      <w:r>
        <w:t xml:space="preserve"> </w:t>
      </w:r>
      <w:r>
        <w:t xml:space="preserve">Alwyn Young (1995,</w:t>
      </w:r>
      <w:r>
        <w:t xml:space="preserve"> </w:t>
      </w:r>
      <w:r>
        <w:rPr>
          <w:i/>
          <w:iCs/>
        </w:rPr>
        <w:t xml:space="preserve">Quarterly Journal of Economics</w:t>
      </w:r>
      <w:r>
        <w:t xml:space="preserve">) aplicou a contabilidade de crescimento de Solow a dados de Coreia, Singapura, Taiwan e Hong Kong para o período 1966–1990. Seus resultados foram surpreendentes:</w:t>
      </w:r>
      <w:r>
        <w:t xml:space="preserve"> </w:t>
      </w:r>
      <w:r>
        <w:rPr>
          <w:b/>
          <w:bCs/>
        </w:rPr>
        <w:t xml:space="preserve">quase todo o crescimento</w:t>
      </w:r>
      <w:r>
        <w:t xml:space="preserve"> </w:t>
      </w:r>
      <w:r>
        <w:t xml:space="preserve">era explicado por acumulação de capital e aumento da força de trabalho — a PTF crescia muito pouco ou até negativamente em Singapura. As taxas de investimento (capital físico + capital humano) excepcionalmente elevadas — em Singapura, a taxa de poupança chegou a 47% do PIB — explicavam os números, não a inovação.</w:t>
      </w:r>
    </w:p>
    <w:p>
      <w:pPr>
        <w:pStyle w:val="BlockText"/>
      </w:pPr>
      <w:r>
        <w:rPr>
          <w:b/>
          <w:bCs/>
        </w:rPr>
        <w:t xml:space="preserve">Análise:</w:t>
      </w:r>
      <w:r>
        <w:t xml:space="preserve"> </w:t>
      </w:r>
      <w:r>
        <w:t xml:space="preserve">O resultado de Young foi contestado por Hsieh (2002,</w:t>
      </w:r>
      <w:r>
        <w:t xml:space="preserve"> </w:t>
      </w:r>
      <w:r>
        <w:rPr>
          <w:i/>
          <w:iCs/>
        </w:rPr>
        <w:t xml:space="preserve">AER</w:t>
      </w:r>
      <w:r>
        <w:t xml:space="preserve">), que usou dados de remuneração de fatores em vez de quantidades físicas e encontrou PTF positiva e relevante para Singapura e Taiwan. A divergência ilustra um ponto metodológico central: o resíduo de Solow é medido como</w:t>
      </w:r>
      <w:r>
        <w:t xml:space="preserve"> </w:t>
      </w:r>
      <w:r>
        <w:rPr>
          <w:b/>
          <w:bCs/>
        </w:rPr>
        <w:t xml:space="preserve">diferença</w:t>
      </w:r>
      <w:r>
        <w:t xml:space="preserve"> </w:t>
      </w:r>
      <w:r>
        <w:t xml:space="preserve">entre crescimento do produto e crescimento ponderado dos insumos — e qualquer erro de medição nos insumos se reflete diretamente na estimativa de PTF. Para o Brasil, Bonelli &amp; Fonseca (1998, IPEA) e Gomes et al. (2003) aplicaram a mesma metodologia ao período 1970–2000 e encontraram PTF</w:t>
      </w:r>
      <w:r>
        <w:t xml:space="preserve"> </w:t>
      </w:r>
      <w:r>
        <w:rPr>
          <w:b/>
          <w:bCs/>
        </w:rPr>
        <w:t xml:space="preserve">negativa</w:t>
      </w:r>
      <w:r>
        <w:t xml:space="preserve"> </w:t>
      </w:r>
      <w:r>
        <w:t xml:space="preserve">nos anos 1980 (a</w:t>
      </w:r>
      <w:r>
        <w:t xml:space="preserve"> </w:t>
      </w:r>
      <w:r>
        <w:t xml:space="preserve">“década perdida”</w:t>
      </w:r>
      <w:r>
        <w:t xml:space="preserve">), consistente com a crise e a hiperinflação que desorganizaram a alocação de recursos. O</w:t>
      </w:r>
      <w:r>
        <w:t xml:space="preserve"> </w:t>
      </w:r>
      <w:r>
        <w:t xml:space="preserve">“milagre econômico”</w:t>
      </w:r>
      <w:r>
        <w:t xml:space="preserve"> </w:t>
      </w:r>
      <w:r>
        <w:t xml:space="preserve">brasileiro de 1968–1973 apresentou PTF positiva, mas calcada em combinação de acumulação de capital, redução do subemprego e importação tecnológica.</w:t>
      </w:r>
    </w:p>
    <w:p>
      <w:pPr>
        <w:pStyle w:val="BlockText"/>
      </w:pPr>
      <w:r>
        <w:rPr>
          <w:b/>
          <w:bCs/>
        </w:rPr>
        <w:t xml:space="preserve">Fonte:</w:t>
      </w:r>
      <w:r>
        <w:t xml:space="preserve"> </w:t>
      </w:r>
      <w:r>
        <w:t xml:space="preserve">Young, A. (1995).</w:t>
      </w:r>
      <w:r>
        <w:t xml:space="preserve"> </w:t>
      </w:r>
      <w:r>
        <w:t xml:space="preserve">“The Tyranny of Numbers: Confronting the Statistical Realities of the East Asian Growth Experience.”</w:t>
      </w:r>
      <w:r>
        <w:t xml:space="preserve"> </w:t>
      </w:r>
      <w:r>
        <w:rPr>
          <w:i/>
          <w:iCs/>
        </w:rPr>
        <w:t xml:space="preserve">Quarterly Journal of Economics</w:t>
      </w:r>
      <w:r>
        <w:t xml:space="preserve">, 110(3), 641–680. Hsieh, C.-T. (2002).</w:t>
      </w:r>
      <w:r>
        <w:t xml:space="preserve"> </w:t>
      </w:r>
      <w:r>
        <w:t xml:space="preserve">“What Explains the Industrial Revolution in East Asia?”</w:t>
      </w:r>
      <w:r>
        <w:t xml:space="preserve"> </w:t>
      </w:r>
      <w:r>
        <w:rPr>
          <w:i/>
          <w:iCs/>
        </w:rPr>
        <w:t xml:space="preserve">American Economic Review</w:t>
      </w:r>
      <w:r>
        <w:t xml:space="preserve">, 92(3), 502–526. Solow, R. M. (1957).</w:t>
      </w:r>
      <w:r>
        <w:t xml:space="preserve"> </w:t>
      </w:r>
      <w:r>
        <w:t xml:space="preserve">“Technical Change and the Aggregate Production Function.”</w:t>
      </w:r>
      <w:r>
        <w:t xml:space="preserve"> </w:t>
      </w:r>
      <w:r>
        <w:rPr>
          <w:i/>
          <w:iCs/>
        </w:rPr>
        <w:t xml:space="preserve">Review of Economics and Statistics</w:t>
      </w:r>
      <w:r>
        <w:t xml:space="preserve">, 39(3), 312–320.</w:t>
      </w:r>
    </w:p>
    <w:p>
      <w:r>
        <w:pict>
          <v:rect style="width:0;height:1.5pt" o:hralign="center" o:hrstd="t" o:hr="t"/>
        </w:pict>
      </w:r>
    </w:p>
    <w:bookmarkEnd w:id="660"/>
    <w:bookmarkEnd w:id="661"/>
    <w:bookmarkStart w:id="663" w:name="X24e05dc77239f3a15dab766aaa59a9e432efde7"/>
    <w:p>
      <w:pPr>
        <w:pStyle w:val="Heading3"/>
      </w:pPr>
      <w:r>
        <w:t xml:space="preserve">10.7 A Receita que Não Muda: Funções Homotéticas e o Caminho de Expansão</w:t>
      </w:r>
    </w:p>
    <w:p>
      <w:pPr>
        <w:pStyle w:val="FirstParagraph"/>
      </w:pPr>
      <w:r>
        <w:t xml:space="preserve">Imagine uma rede de cafeterias que usa exatamente 20 g de café para cada 200 ml de água em todo espresso — seja na loja do centro que serve 500 cafés por dia, seja na do aeroporto que serve 3.000. A receita não muda com a escala. Se os preços do café e da água se alterarem, a proporção pode mudar; mas se os preços permanecerem os mesmos, a loja grande é uma cópia ampliada da pequena. Essa é a essência da</w:t>
      </w:r>
      <w:r>
        <w:t xml:space="preserve"> </w:t>
      </w:r>
      <w:r>
        <w:rPr>
          <w:b/>
          <w:bCs/>
        </w:rPr>
        <w:t xml:space="preserve">homoteticidade</w:t>
      </w:r>
      <w:r>
        <w:t xml:space="preserve">: a</w:t>
      </w:r>
      <w:r>
        <w:t xml:space="preserve"> </w:t>
      </w:r>
      <w:r>
        <w:t xml:space="preserve">“receita”</w:t>
      </w:r>
      <w:r>
        <w:t xml:space="preserve"> </w:t>
      </w:r>
      <w:r>
        <w:t xml:space="preserve">ótima de insumos depende dos preços relativos, não do tamanho da operação.</w:t>
      </w:r>
      <w:r>
        <w:rPr>
          <w:rStyle w:val="FootnoteReference"/>
        </w:rPr>
        <w:footnoteReference w:id="662"/>
      </w:r>
    </w:p>
    <w:p>
      <w:pPr>
        <w:pStyle w:val="BodyText"/>
      </w:pPr>
      <w:r>
        <w:t xml:space="preserve">Ao longo deste capítulo, notamos que certas propriedades das funções de produção — como o fato de a TMST depender apenas da razão</w:t>
      </w:r>
      <w:r>
        <w:t xml:space="preserve"> </w:t>
      </w:r>
      <m:oMath>
        <m:r>
          <m:t>K</m:t>
        </m:r>
        <m:r>
          <m:rPr>
            <m:sty m:val="p"/>
          </m:rPr>
          <m:t>/</m:t>
        </m:r>
        <m:r>
          <m:t>L</m:t>
        </m:r>
      </m:oMath>
      <w:r>
        <w:t xml:space="preserve">, e não dos níveis absolutos dos insumos — simplificam enormemente a análise. Essas propriedades não são acidentais: elas decorrem de uma estrutura matemática particular chamada</w:t>
      </w:r>
      <w:r>
        <w:t xml:space="preserve"> </w:t>
      </w:r>
      <w:r>
        <w:rPr>
          <w:b/>
          <w:bCs/>
        </w:rPr>
        <w:t xml:space="preserve">homoteticidade</w:t>
      </w:r>
      <w:r>
        <w:t xml:space="preserve">. Compreender essa estrutura é importante por uma razão muito prática: ela determina se a firma que cresce mantém a mesma combinação de insumos ou precisa redesenhar toda a sua operação.</w:t>
      </w:r>
    </w:p>
    <w:p>
      <w:pPr>
        <w:pStyle w:val="BodyText"/>
      </w:pPr>
      <w:r>
        <w:t xml:space="preserve">A relevância econômica da homoteticidade vai além da elegância matemática — ela é a ponte entre este capítulo e o próximo. Quando a função de produção é homotética, as decisões de</w:t>
      </w:r>
      <w:r>
        <w:t xml:space="preserve"> </w:t>
      </w:r>
      <w:r>
        <w:rPr>
          <w:i/>
          <w:iCs/>
        </w:rPr>
        <w:t xml:space="preserve">quais insumos usar</w:t>
      </w:r>
      <w:r>
        <w:t xml:space="preserve"> </w:t>
      </w:r>
      <w:r>
        <w:t xml:space="preserve">(determinada pelos preços relativos) e</w:t>
      </w:r>
      <w:r>
        <w:t xml:space="preserve"> </w:t>
      </w:r>
      <w:r>
        <w:rPr>
          <w:i/>
          <w:iCs/>
        </w:rPr>
        <w:t xml:space="preserve">quanto produzir</w:t>
      </w:r>
      <w:r>
        <w:t xml:space="preserve"> </w:t>
      </w:r>
      <w:r>
        <w:t xml:space="preserve">(determinada pela demanda) são completamente separáveis. Traduzindo: a firma que decide dobrar sua produção simplesmente dobra todas as quantidades de insumos na mesma proporção — ela não altera sua</w:t>
      </w:r>
      <w:r>
        <w:t xml:space="preserve"> </w:t>
      </w:r>
      <w:r>
        <w:t xml:space="preserve">“receita”</w:t>
      </w:r>
      <w:r>
        <w:t xml:space="preserve">. Essa propriedade é a chave que conecta a teoria da produção (Capítulo 10) à teoria dos custos (Capítulo 11): funções de custo derivadas de tecnologias homotéticas têm a forma</w:t>
      </w:r>
      <w:r>
        <w:t xml:space="preserve"> </w:t>
      </w:r>
      <m:oMath>
        <m:r>
          <m:t>C</m:t>
        </m:r>
        <m:r>
          <m:rPr>
            <m:sty m:val="p"/>
          </m:rPr>
          <m:t>(</m:t>
        </m:r>
        <m:r>
          <m:t>w</m:t>
        </m:r>
        <m:r>
          <m:rPr>
            <m:sty m:val="p"/>
          </m:rPr>
          <m:t>,</m:t>
        </m:r>
        <m:r>
          <m:t>r</m:t>
        </m:r>
        <m:r>
          <m:rPr>
            <m:sty m:val="p"/>
          </m:rPr>
          <m:t>,</m:t>
        </m:r>
        <m:r>
          <m:t>q</m:t>
        </m:r>
        <m:r>
          <m:rPr>
            <m:sty m:val="p"/>
          </m:rPr>
          <m:t>)</m:t>
        </m:r>
        <m:r>
          <m:rPr>
            <m:sty m:val="p"/>
          </m:rPr>
          <m:t>=</m:t>
        </m:r>
        <m:r>
          <m:t>c</m:t>
        </m:r>
        <m:r>
          <m:rPr>
            <m:sty m:val="p"/>
          </m:rPr>
          <m:t>(</m:t>
        </m:r>
        <m:r>
          <m:t>w</m:t>
        </m:r>
        <m:r>
          <m:rPr>
            <m:sty m:val="p"/>
          </m:rPr>
          <m:t>,</m:t>
        </m:r>
        <m:r>
          <m:t>r</m:t>
        </m:r>
        <m:r>
          <m:rPr>
            <m:sty m:val="p"/>
          </m:rPr>
          <m:t>)</m:t>
        </m:r>
        <m:r>
          <m:rPr>
            <m:sty m:val="p"/>
          </m:rPr>
          <m:t>⋅</m:t>
        </m:r>
        <m:r>
          <m:t>g</m:t>
        </m:r>
        <m:r>
          <m:rPr>
            <m:sty m:val="p"/>
          </m:rPr>
          <m:t>(</m:t>
        </m:r>
        <m:r>
          <m:t>q</m:t>
        </m:r>
        <m:r>
          <m:rPr>
            <m:sty m:val="p"/>
          </m:rPr>
          <m:t>)</m:t>
        </m:r>
      </m:oMath>
      <w:r>
        <w:t xml:space="preserve">, onde os custos se separam limpa e elegantemente em um componente de preços e um componente de quantidade. Sem homoteticidade, a análise de custos se torna consideravelmente mais complexa, pois a proporção ótima de insumos muda a cada nível de produção — e a função custo perde essa estrutura separável que tanto facilita a vida do economista.</w:t>
      </w:r>
    </w:p>
    <w:p>
      <w:pPr>
        <w:pStyle w:val="BlockText"/>
      </w:pPr>
      <w:r>
        <w:rPr>
          <w:b/>
          <w:bCs/>
        </w:rPr>
        <w:t xml:space="preserve">[DICA] Ferramentas do Cap. 2</w:t>
      </w:r>
    </w:p>
    <w:p>
      <w:pPr>
        <w:pStyle w:val="BlockText"/>
      </w:pPr>
      <w:r>
        <w:t xml:space="preserve">Esta seção usa homogeneidade de funções e o Teorema de Euler (Cap. 2). Se precisar relembrar, volte lá — leva 10 minutos.</w:t>
      </w:r>
    </w:p>
    <w:p>
      <w:pPr>
        <w:pStyle w:val="FirstParagraph"/>
      </w:pPr>
      <w:r>
        <w:t xml:space="preserve">Uma função de produção</w:t>
      </w:r>
      <w:r>
        <w:t xml:space="preserve"> </w:t>
      </w:r>
      <m:oMath>
        <m:r>
          <m:t>f</m:t>
        </m:r>
        <m:r>
          <m:rPr>
            <m:sty m:val="p"/>
          </m:rPr>
          <m:t>(</m:t>
        </m:r>
        <m:r>
          <m:t>K</m:t>
        </m:r>
        <m:r>
          <m:rPr>
            <m:sty m:val="p"/>
          </m:rPr>
          <m:t>,</m:t>
        </m:r>
        <m:r>
          <m:t>L</m:t>
        </m:r>
        <m:r>
          <m:rPr>
            <m:sty m:val="p"/>
          </m:rPr>
          <m:t>)</m:t>
        </m:r>
      </m:oMath>
      <w:r>
        <w:t xml:space="preserve"> </w:t>
      </w:r>
      <w:r>
        <w:t xml:space="preserve">é</w:t>
      </w:r>
      <w:r>
        <w:t xml:space="preserve"> </w:t>
      </w:r>
      <w:r>
        <w:rPr>
          <w:b/>
          <w:bCs/>
        </w:rPr>
        <w:t xml:space="preserve">homotética</w:t>
      </w:r>
      <w:r>
        <w:t xml:space="preserve"> </w:t>
      </w:r>
      <w:r>
        <w:t xml:space="preserve">se pode ser escrita como uma transformação monotônica crescente de uma função homogênea de grau 1:</w:t>
      </w:r>
    </w:p>
    <w:p>
      <w:pPr>
        <w:pStyle w:val="BodyText"/>
      </w:pPr>
      <m:oMathPara>
        <m:oMathParaPr>
          <m:jc m:val="center"/>
        </m:oMathParaPr>
        <m:oMath>
          <m:r>
            <m:t>f</m:t>
          </m:r>
          <m:r>
            <m:rPr>
              <m:sty m:val="p"/>
            </m:rPr>
            <m:t>(</m:t>
          </m:r>
          <m:r>
            <m:t>K</m:t>
          </m:r>
          <m:r>
            <m:rPr>
              <m:sty m:val="p"/>
            </m:rPr>
            <m:t>,</m:t>
          </m:r>
          <m:r>
            <m:t>L</m:t>
          </m:r>
          <m:r>
            <m:rPr>
              <m:sty m:val="p"/>
            </m:rPr>
            <m:t>)</m:t>
          </m:r>
          <m:r>
            <m:rPr>
              <m:sty m:val="p"/>
            </m:rPr>
            <m:t>=</m:t>
          </m:r>
          <m:r>
            <m:t>g</m:t>
          </m:r>
          <m:r>
            <m:t>​</m:t>
          </m:r>
          <m:d>
            <m:dPr>
              <m:begChr m:val="("/>
              <m:sepChr m:val=""/>
              <m:endChr m:val=")"/>
              <m:grow/>
            </m:dPr>
            <m:e>
              <m:r>
                <m:t>h</m:t>
              </m:r>
              <m:r>
                <m:rPr>
                  <m:sty m:val="p"/>
                </m:rPr>
                <m:t>(</m:t>
              </m:r>
              <m:r>
                <m:t>K</m:t>
              </m:r>
              <m:r>
                <m:rPr>
                  <m:sty m:val="p"/>
                </m:rPr>
                <m:t>,</m:t>
              </m:r>
              <m:r>
                <m:t>L</m:t>
              </m:r>
              <m:r>
                <m:rPr>
                  <m:sty m:val="p"/>
                </m:rPr>
                <m:t>)</m:t>
              </m:r>
            </m:e>
          </m:d>
          <m:r>
            <m:rPr>
              <m:sty m:val="p"/>
            </m:rPr>
            <m:t>,</m:t>
          </m:r>
          <m:r>
            <m:t> </m:t>
          </m:r>
          <m:sSup>
            <m:e>
              <m:r>
                <m:t>g</m:t>
              </m:r>
            </m:e>
            <m:sup>
              <m:r>
                <m:rPr>
                  <m:sty m:val="p"/>
                </m:rPr>
                <m:t>′</m:t>
              </m:r>
            </m:sup>
          </m:sSup>
          <m:r>
            <m:rPr>
              <m:sty m:val="p"/>
            </m:rPr>
            <m:t>&gt;</m:t>
          </m:r>
          <m:r>
            <m:t>0</m:t>
          </m:r>
          <m:r>
            <m:rPr>
              <m:sty m:val="p"/>
            </m:rPr>
            <m:t>,</m:t>
          </m:r>
          <m:r>
            <m:t> </m:t>
          </m:r>
          <m:r>
            <m:t>h</m:t>
          </m:r>
          <m:r>
            <m:rPr>
              <m:sty m:val="p"/>
            </m:rPr>
            <m:t>(</m:t>
          </m:r>
          <m:r>
            <m:t>λ</m:t>
          </m:r>
          <m:r>
            <m:t>K</m:t>
          </m:r>
          <m:r>
            <m:rPr>
              <m:sty m:val="p"/>
            </m:rPr>
            <m:t>,</m:t>
          </m:r>
          <m:r>
            <m:t>λ</m:t>
          </m:r>
          <m:r>
            <m:t>L</m:t>
          </m:r>
          <m:r>
            <m:rPr>
              <m:sty m:val="p"/>
            </m:rPr>
            <m:t>)</m:t>
          </m:r>
          <m:r>
            <m:rPr>
              <m:sty m:val="p"/>
            </m:rPr>
            <m:t>=</m:t>
          </m:r>
          <m:r>
            <m:t>λ</m:t>
          </m:r>
          <m:r>
            <m:t> </m:t>
          </m:r>
          <m:r>
            <m:t>h</m:t>
          </m:r>
          <m:r>
            <m:rPr>
              <m:sty m:val="p"/>
            </m:rPr>
            <m:t>(</m:t>
          </m:r>
          <m:r>
            <m:t>K</m:t>
          </m:r>
          <m:r>
            <m:rPr>
              <m:sty m:val="p"/>
            </m:rPr>
            <m:t>,</m:t>
          </m:r>
          <m:r>
            <m:t>L</m:t>
          </m:r>
          <m:r>
            <m:rPr>
              <m:sty m:val="p"/>
            </m:rPr>
            <m:t>)</m:t>
          </m:r>
          <m:r>
            <m:rPr>
              <m:sty m:val="p"/>
            </m:rPr>
            <m:t>.</m:t>
          </m:r>
        </m:oMath>
      </m:oMathPara>
    </w:p>
    <w:p>
      <w:pPr>
        <w:pStyle w:val="FirstParagraph"/>
      </w:pPr>
      <w:r>
        <w:rPr>
          <w:b/>
          <w:bCs/>
        </w:rPr>
        <w:t xml:space="preserve">Propriedade fundamental.</w:t>
      </w:r>
      <w:r>
        <w:t xml:space="preserve"> </w:t>
      </w:r>
      <w:r>
        <w:t xml:space="preserve">Para funções homotéticas, a TMST depende apenas da</w:t>
      </w:r>
      <w:r>
        <w:t xml:space="preserve"> </w:t>
      </w:r>
      <w:r>
        <w:rPr>
          <w:b/>
          <w:bCs/>
        </w:rPr>
        <w:t xml:space="preserve">razão capital-trabalho</w:t>
      </w:r>
      <w:r>
        <w:t xml:space="preserve"> </w:t>
      </w:r>
      <m:oMath>
        <m:r>
          <m:t>K</m:t>
        </m:r>
        <m:r>
          <m:rPr>
            <m:sty m:val="p"/>
          </m:rPr>
          <m:t>/</m:t>
        </m:r>
        <m:r>
          <m:t>L</m:t>
        </m:r>
      </m:oMath>
      <w:r>
        <w:t xml:space="preserve">:</w:t>
      </w:r>
    </w:p>
    <w:p>
      <w:pPr>
        <w:pStyle w:val="BodyText"/>
      </w:pPr>
      <m:oMathPara>
        <m:oMathParaPr>
          <m:jc m:val="center"/>
        </m:oMathParaPr>
        <m:oMath>
          <m:sSub>
            <m:e>
              <m:r>
                <m:rPr>
                  <m:nor/>
                  <m:sty m:val="p"/>
                </m:rPr>
                <m:t>TMST</m:t>
              </m:r>
            </m:e>
            <m:sub>
              <m:r>
                <m:t>L</m:t>
              </m:r>
              <m:r>
                <m:t>K</m:t>
              </m:r>
            </m:sub>
          </m:sSub>
          <m:r>
            <m:rPr>
              <m:sty m:val="p"/>
            </m:rPr>
            <m:t>(</m:t>
          </m:r>
          <m:r>
            <m:t>K</m:t>
          </m:r>
          <m:r>
            <m:rPr>
              <m:sty m:val="p"/>
            </m:rPr>
            <m:t>,</m:t>
          </m:r>
          <m:r>
            <m:t>L</m:t>
          </m:r>
          <m:r>
            <m:rPr>
              <m:sty m:val="p"/>
            </m:rPr>
            <m:t>)</m:t>
          </m:r>
          <m:r>
            <m:rPr>
              <m:sty m:val="p"/>
            </m:rPr>
            <m:t>=</m:t>
          </m:r>
          <m:r>
            <m:t>ϕ</m:t>
          </m:r>
          <m:r>
            <m:t>​</m:t>
          </m:r>
          <m:d>
            <m:dPr>
              <m:begChr m:val="("/>
              <m:sepChr m:val=""/>
              <m:endChr m:val=")"/>
              <m:grow/>
            </m:dPr>
            <m:e>
              <m:f>
                <m:fPr>
                  <m:type m:val="bar"/>
                </m:fPr>
                <m:num>
                  <m:r>
                    <m:t>K</m:t>
                  </m:r>
                </m:num>
                <m:den>
                  <m:r>
                    <m:t>L</m:t>
                  </m:r>
                </m:den>
              </m:f>
            </m:e>
          </m:d>
          <m:r>
            <m:rPr>
              <m:sty m:val="p"/>
            </m:rPr>
            <m:t>.</m:t>
          </m:r>
        </m:oMath>
      </m:oMathPara>
    </w:p>
    <w:p>
      <w:pPr>
        <w:pStyle w:val="FirstParagraph"/>
      </w:pPr>
      <w:r>
        <w:t xml:space="preserve">Ao longo de qualquer raio da origem (</w:t>
      </w:r>
      <m:oMath>
        <m:r>
          <m:t>K</m:t>
        </m:r>
        <m:r>
          <m:rPr>
            <m:sty m:val="p"/>
          </m:rPr>
          <m:t>=</m:t>
        </m:r>
        <m:r>
          <m:t>c</m:t>
        </m:r>
        <m:r>
          <m:rPr>
            <m:sty m:val="p"/>
          </m:rPr>
          <m:t>⋅</m:t>
        </m:r>
        <m:r>
          <m:t>L</m:t>
        </m:r>
      </m:oMath>
      <w:r>
        <w:t xml:space="preserve">), a TMST é constante. As isoquantas são</w:t>
      </w:r>
      <w:r>
        <w:t xml:space="preserve"> </w:t>
      </w:r>
      <w:r>
        <w:rPr>
          <w:b/>
          <w:bCs/>
        </w:rPr>
        <w:t xml:space="preserve">expansões radiais</w:t>
      </w:r>
      <w:r>
        <w:t xml:space="preserve"> </w:t>
      </w:r>
      <w:r>
        <w:t xml:space="preserve">umas das outras.</w:t>
      </w:r>
    </w:p>
    <w:p>
      <w:pPr>
        <w:pStyle w:val="BlockText"/>
      </w:pPr>
      <w:r>
        <w:rPr>
          <w:b/>
          <w:bCs/>
        </w:rPr>
        <w:t xml:space="preserve">[TEOREMA] Proposição — Propriedades de funções de produção homotéticas</w:t>
      </w:r>
    </w:p>
    <w:p>
      <w:pPr>
        <w:pStyle w:val="BlockText"/>
      </w:pPr>
      <w:r>
        <w:t xml:space="preserve">Se</w:t>
      </w:r>
      <w:r>
        <w:t xml:space="preserve"> </w:t>
      </w:r>
      <m:oMath>
        <m:r>
          <m:t>f</m:t>
        </m:r>
        <m:r>
          <m:rPr>
            <m:sty m:val="p"/>
          </m:rPr>
          <m:t>(</m:t>
        </m:r>
        <m:r>
          <m:t>K</m:t>
        </m:r>
        <m:r>
          <m:rPr>
            <m:sty m:val="p"/>
          </m:rPr>
          <m:t>,</m:t>
        </m:r>
        <m:r>
          <m:t>L</m:t>
        </m:r>
        <m:r>
          <m:rPr>
            <m:sty m:val="p"/>
          </m:rPr>
          <m:t>)</m:t>
        </m:r>
      </m:oMath>
      <w:r>
        <w:t xml:space="preserve"> </w:t>
      </w:r>
      <w:r>
        <w:t xml:space="preserve">é homotética, então:</w:t>
      </w:r>
    </w:p>
    <w:p>
      <w:pPr>
        <w:pStyle w:val="Compact"/>
        <w:numPr>
          <w:ilvl w:val="0"/>
          <w:numId w:val="1626"/>
        </w:numPr>
      </w:pPr>
      <w:r>
        <w:rPr>
          <w:b/>
          <w:bCs/>
        </w:rPr>
        <w:t xml:space="preserve">Caminho de expansão linear</w:t>
      </w:r>
      <w:r>
        <w:t xml:space="preserve">: para preços dos fatores</w:t>
      </w:r>
      <w:r>
        <w:t xml:space="preserve"> </w:t>
      </w:r>
      <m:oMath>
        <m:r>
          <m:rPr>
            <m:sty m:val="p"/>
          </m:rPr>
          <m:t>(</m:t>
        </m:r>
        <m:r>
          <m:t>w</m:t>
        </m:r>
        <m:r>
          <m:rPr>
            <m:sty m:val="p"/>
          </m:rPr>
          <m:t>,</m:t>
        </m:r>
        <m:r>
          <m:t>v</m:t>
        </m:r>
        <m:r>
          <m:rPr>
            <m:sty m:val="p"/>
          </m:rPr>
          <m:t>)</m:t>
        </m:r>
      </m:oMath>
      <w:r>
        <w:t xml:space="preserve"> </w:t>
      </w:r>
      <w:r>
        <w:t xml:space="preserve">fixos, a combinação ótima de insumos que minimiza custos satisfaz</w:t>
      </w:r>
      <w:r>
        <w:t xml:space="preserve"> </w:t>
      </w:r>
      <m:oMath>
        <m:sSup>
          <m:e>
            <m:r>
              <m:t>K</m:t>
            </m:r>
          </m:e>
          <m:sup>
            <m:r>
              <m:rPr>
                <m:sty m:val="p"/>
              </m:rPr>
              <m:t>*</m:t>
            </m:r>
          </m:sup>
        </m:sSup>
        <m:r>
          <m:rPr>
            <m:sty m:val="p"/>
          </m:rPr>
          <m:t>/</m:t>
        </m:r>
        <m:sSup>
          <m:e>
            <m:r>
              <m:t>L</m:t>
            </m:r>
          </m:e>
          <m:sup>
            <m:r>
              <m:rPr>
                <m:sty m:val="p"/>
              </m:rPr>
              <m:t>*</m:t>
            </m:r>
          </m:sup>
        </m:sSup>
        <m:r>
          <m:rPr>
            <m:sty m:val="p"/>
          </m:rPr>
          <m:t>=</m:t>
        </m:r>
        <m:r>
          <m:t>ψ</m:t>
        </m:r>
        <m:r>
          <m:rPr>
            <m:sty m:val="p"/>
          </m:rPr>
          <m:t>(</m:t>
        </m:r>
        <m:r>
          <m:t>w</m:t>
        </m:r>
        <m:r>
          <m:rPr>
            <m:sty m:val="p"/>
          </m:rPr>
          <m:t>/</m:t>
        </m:r>
        <m:r>
          <m:t>v</m:t>
        </m:r>
        <m:r>
          <m:rPr>
            <m:sty m:val="p"/>
          </m:rPr>
          <m:t>)</m:t>
        </m:r>
      </m:oMath>
      <w:r>
        <w:t xml:space="preserve">, constante para todos os níveis de produto</w:t>
      </w:r>
      <w:r>
        <w:t xml:space="preserve"> </w:t>
      </w:r>
      <m:oMath>
        <m:r>
          <m:t>q</m:t>
        </m:r>
      </m:oMath>
      <w:r>
        <w:t xml:space="preserve">.</w:t>
      </w:r>
    </w:p>
    <w:p>
      <w:pPr>
        <w:pStyle w:val="Compact"/>
        <w:numPr>
          <w:ilvl w:val="0"/>
          <w:numId w:val="1626"/>
        </w:numPr>
      </w:pPr>
      <w:r>
        <w:rPr>
          <w:b/>
          <w:bCs/>
        </w:rPr>
        <w:t xml:space="preserve">Custo médio de longo prazo constante em escala</w:t>
      </w:r>
      <w:r>
        <w:t xml:space="preserve">: a função custo pode ser escrita como</w:t>
      </w:r>
      <w:r>
        <w:t xml:space="preserve"> </w:t>
      </w:r>
      <m:oMath>
        <m:r>
          <m:t>C</m:t>
        </m:r>
        <m:r>
          <m:rPr>
            <m:sty m:val="p"/>
          </m:rPr>
          <m:t>(</m:t>
        </m:r>
        <m:r>
          <m:t>w</m:t>
        </m:r>
        <m:r>
          <m:rPr>
            <m:sty m:val="p"/>
          </m:rPr>
          <m:t>,</m:t>
        </m:r>
        <m:r>
          <m:t>v</m:t>
        </m:r>
        <m:r>
          <m:rPr>
            <m:sty m:val="p"/>
          </m:rPr>
          <m:t>,</m:t>
        </m:r>
        <m:r>
          <m:t>q</m:t>
        </m:r>
        <m:r>
          <m:rPr>
            <m:sty m:val="p"/>
          </m:rPr>
          <m:t>)</m:t>
        </m:r>
        <m:r>
          <m:rPr>
            <m:sty m:val="p"/>
          </m:rPr>
          <m:t>=</m:t>
        </m:r>
        <m:r>
          <m:t>c</m:t>
        </m:r>
        <m:r>
          <m:rPr>
            <m:sty m:val="p"/>
          </m:rPr>
          <m:t>(</m:t>
        </m:r>
        <m:r>
          <m:t>w</m:t>
        </m:r>
        <m:r>
          <m:rPr>
            <m:sty m:val="p"/>
          </m:rPr>
          <m:t>,</m:t>
        </m:r>
        <m:r>
          <m:t>v</m:t>
        </m:r>
        <m:r>
          <m:rPr>
            <m:sty m:val="p"/>
          </m:rPr>
          <m:t>)</m:t>
        </m:r>
        <m:r>
          <m:rPr>
            <m:sty m:val="p"/>
          </m:rPr>
          <m:t>⋅</m:t>
        </m:r>
        <m:r>
          <m:t>γ</m:t>
        </m:r>
        <m:r>
          <m:rPr>
            <m:sty m:val="p"/>
          </m:rPr>
          <m:t>(</m:t>
        </m:r>
        <m:r>
          <m:t>q</m:t>
        </m:r>
        <m:r>
          <m:rPr>
            <m:sty m:val="p"/>
          </m:rPr>
          <m:t>)</m:t>
        </m:r>
      </m:oMath>
      <w:r>
        <w:t xml:space="preserve">, onde</w:t>
      </w:r>
      <w:r>
        <w:t xml:space="preserve"> </w:t>
      </w:r>
      <m:oMath>
        <m:r>
          <m:t>c</m:t>
        </m:r>
      </m:oMath>
      <w:r>
        <w:t xml:space="preserve"> </w:t>
      </w:r>
      <w:r>
        <w:t xml:space="preserve">depende apenas dos preços e</w:t>
      </w:r>
      <w:r>
        <w:t xml:space="preserve"> </w:t>
      </w:r>
      <m:oMath>
        <m:r>
          <m:t>γ</m:t>
        </m:r>
      </m:oMath>
      <w:r>
        <w:t xml:space="preserve"> </w:t>
      </w:r>
      <w:r>
        <w:t xml:space="preserve">apenas do produto.</w:t>
      </w:r>
    </w:p>
    <w:p>
      <w:pPr>
        <w:pStyle w:val="Compact"/>
        <w:numPr>
          <w:ilvl w:val="0"/>
          <w:numId w:val="1626"/>
        </w:numPr>
      </w:pPr>
      <w:r>
        <w:rPr>
          <w:b/>
          <w:bCs/>
        </w:rPr>
        <w:t xml:space="preserve">Função custo separável</w:t>
      </w:r>
      <w:r>
        <w:t xml:space="preserve">: consequência direta da propriedade 2 — os preços dos fatores afetam o nível de custos, mas não a forma como o custo varia com</w:t>
      </w:r>
      <w:r>
        <w:t xml:space="preserve"> </w:t>
      </w:r>
      <m:oMath>
        <m:r>
          <m:t>q</m:t>
        </m:r>
      </m:oMath>
      <w:r>
        <w:t xml:space="preserve">.</w:t>
      </w:r>
    </w:p>
    <w:p>
      <w:pPr>
        <w:pStyle w:val="FirstParagraph"/>
      </w:pPr>
      <w:r>
        <w:rPr>
          <w:b/>
          <w:bCs/>
        </w:rPr>
        <w:t xml:space="preserve">Exemplos.</w:t>
      </w:r>
    </w:p>
    <w:p>
      <w:pPr>
        <w:pStyle w:val="Compact"/>
        <w:numPr>
          <w:ilvl w:val="0"/>
          <w:numId w:val="1627"/>
        </w:numPr>
      </w:pPr>
      <w:r>
        <w:rPr>
          <w:b/>
          <w:bCs/>
        </w:rPr>
        <w:t xml:space="preserve">Cobb-Douglas</w:t>
      </w:r>
      <w:r>
        <w:t xml:space="preserve"> </w:t>
      </w:r>
      <m:oMath>
        <m:r>
          <m:t>f</m:t>
        </m:r>
        <m:r>
          <m:rPr>
            <m:sty m:val="p"/>
          </m:rPr>
          <m:t>=</m:t>
        </m:r>
        <m:sSup>
          <m:e>
            <m:r>
              <m:t>K</m:t>
            </m:r>
          </m:e>
          <m:sup>
            <m:r>
              <m:t>α</m:t>
            </m:r>
          </m:sup>
        </m:sSup>
        <m:sSup>
          <m:e>
            <m:r>
              <m:t>L</m:t>
            </m:r>
          </m:e>
          <m:sup>
            <m:r>
              <m:t>β</m:t>
            </m:r>
          </m:sup>
        </m:sSup>
      </m:oMath>
      <w:r>
        <w:t xml:space="preserve">: homotética (homogênea de grau</w:t>
      </w:r>
      <w:r>
        <w:t xml:space="preserve"> </w:t>
      </w:r>
      <m:oMath>
        <m:r>
          <m:t>α</m:t>
        </m:r>
        <m:r>
          <m:rPr>
            <m:sty m:val="p"/>
          </m:rPr>
          <m:t>+</m:t>
        </m:r>
        <m:r>
          <m:t>β</m:t>
        </m:r>
      </m:oMath>
      <w:r>
        <w:t xml:space="preserve">). Caminho de expansão:</w:t>
      </w:r>
      <w:r>
        <w:t xml:space="preserve"> </w:t>
      </w:r>
      <m:oMath>
        <m:r>
          <m:t>K</m:t>
        </m:r>
        <m:r>
          <m:rPr>
            <m:sty m:val="p"/>
          </m:rPr>
          <m:t>/</m:t>
        </m:r>
        <m:r>
          <m:t>L</m:t>
        </m:r>
        <m:r>
          <m:rPr>
            <m:sty m:val="p"/>
          </m:rPr>
          <m:t>=</m:t>
        </m:r>
        <m:r>
          <m:rPr>
            <m:sty m:val="p"/>
          </m:rPr>
          <m:t>(</m:t>
        </m:r>
        <m:r>
          <m:t>α</m:t>
        </m:r>
        <m:r>
          <m:t>w</m:t>
        </m:r>
        <m:r>
          <m:rPr>
            <m:sty m:val="p"/>
          </m:rPr>
          <m:t>)</m:t>
        </m:r>
        <m:r>
          <m:rPr>
            <m:sty m:val="p"/>
          </m:rPr>
          <m:t>/</m:t>
        </m:r>
        <m:r>
          <m:rPr>
            <m:sty m:val="p"/>
          </m:rPr>
          <m:t>(</m:t>
        </m:r>
        <m:r>
          <m:t>β</m:t>
        </m:r>
        <m:r>
          <m:t>v</m:t>
        </m:r>
        <m:r>
          <m:rPr>
            <m:sty m:val="p"/>
          </m:rPr>
          <m:t>)</m:t>
        </m:r>
      </m:oMath>
      <w:r>
        <w:t xml:space="preserve">.</w:t>
      </w:r>
    </w:p>
    <w:p>
      <w:pPr>
        <w:pStyle w:val="Compact"/>
        <w:numPr>
          <w:ilvl w:val="0"/>
          <w:numId w:val="1627"/>
        </w:numPr>
      </w:pPr>
      <w:r>
        <w:rPr>
          <w:b/>
          <w:bCs/>
        </w:rPr>
        <w:t xml:space="preserve">CES</w:t>
      </w:r>
      <w:r>
        <w:t xml:space="preserve"> </w:t>
      </w:r>
      <m:oMath>
        <m:r>
          <m:t>f</m:t>
        </m:r>
        <m:r>
          <m:rPr>
            <m:sty m:val="p"/>
          </m:rPr>
          <m:t>=</m:t>
        </m:r>
        <m:r>
          <m:rPr>
            <m:sty m:val="p"/>
          </m:rPr>
          <m:t>[</m:t>
        </m:r>
        <m:r>
          <m:t>δ</m:t>
        </m:r>
        <m:sSup>
          <m:e>
            <m:r>
              <m:t>K</m:t>
            </m:r>
          </m:e>
          <m:sup>
            <m:r>
              <m:t>ρ</m:t>
            </m:r>
          </m:sup>
        </m:sSup>
        <m:r>
          <m:rPr>
            <m:sty m:val="p"/>
          </m:rPr>
          <m:t>+</m:t>
        </m:r>
        <m:r>
          <m:rPr>
            <m:sty m:val="p"/>
          </m:rPr>
          <m:t>(</m:t>
        </m:r>
        <m:r>
          <m:t>1</m:t>
        </m:r>
        <m:r>
          <m:rPr>
            <m:sty m:val="p"/>
          </m:rPr>
          <m:t>−</m:t>
        </m:r>
        <m:r>
          <m:t>δ</m:t>
        </m:r>
        <m:r>
          <m:rPr>
            <m:sty m:val="p"/>
          </m:rPr>
          <m:t>)</m:t>
        </m:r>
        <m:sSup>
          <m:e>
            <m:r>
              <m:t>L</m:t>
            </m:r>
          </m:e>
          <m:sup>
            <m:r>
              <m:t>ρ</m:t>
            </m:r>
          </m:sup>
        </m:sSup>
        <m:sSup>
          <m:e>
            <m:r>
              <m:rPr>
                <m:sty m:val="p"/>
              </m:rPr>
              <m:t>]</m:t>
            </m:r>
          </m:e>
          <m:sup>
            <m:r>
              <m:t>γ</m:t>
            </m:r>
            <m:r>
              <m:rPr>
                <m:sty m:val="p"/>
              </m:rPr>
              <m:t>/</m:t>
            </m:r>
            <m:r>
              <m:t>ρ</m:t>
            </m:r>
          </m:sup>
        </m:sSup>
      </m:oMath>
      <w:r>
        <w:t xml:space="preserve">: homotética (transformação monotônica de uma função homogênea de grau 1).</w:t>
      </w:r>
    </w:p>
    <w:p>
      <w:pPr>
        <w:pStyle w:val="Compact"/>
        <w:numPr>
          <w:ilvl w:val="0"/>
          <w:numId w:val="1627"/>
        </w:numPr>
      </w:pPr>
      <w:r>
        <w:rPr>
          <w:b/>
          <w:bCs/>
        </w:rPr>
        <w:t xml:space="preserve">Leontief</w:t>
      </w:r>
      <w:r>
        <w:t xml:space="preserve"> </w:t>
      </w:r>
      <m:oMath>
        <m:r>
          <m:t>f</m:t>
        </m:r>
        <m:r>
          <m:rPr>
            <m:sty m:val="p"/>
          </m:rPr>
          <m:t>=</m:t>
        </m:r>
        <m:r>
          <m:rPr>
            <m:sty m:val="p"/>
          </m:rPr>
          <m:t>min</m:t>
        </m:r>
        <m:r>
          <m:rPr>
            <m:sty m:val="p"/>
          </m:rPr>
          <m:t>{</m:t>
        </m:r>
        <m:r>
          <m:t>a</m:t>
        </m:r>
        <m:r>
          <m:t>K</m:t>
        </m:r>
        <m:r>
          <m:rPr>
            <m:sty m:val="p"/>
          </m:rPr>
          <m:t>,</m:t>
        </m:r>
        <m:r>
          <m:t>b</m:t>
        </m:r>
        <m:r>
          <m:t>L</m:t>
        </m:r>
        <m:r>
          <m:rPr>
            <m:sty m:val="p"/>
          </m:rPr>
          <m:t>}</m:t>
        </m:r>
      </m:oMath>
      <w:r>
        <w:t xml:space="preserve">: homotética (homogênea de grau 1). Caminho de expansão fixo em</w:t>
      </w:r>
      <w:r>
        <w:t xml:space="preserve"> </w:t>
      </w:r>
      <m:oMath>
        <m:r>
          <m:t>K</m:t>
        </m:r>
        <m:r>
          <m:rPr>
            <m:sty m:val="p"/>
          </m:rPr>
          <m:t>/</m:t>
        </m:r>
        <m:r>
          <m:t>L</m:t>
        </m:r>
        <m:r>
          <m:rPr>
            <m:sty m:val="p"/>
          </m:rPr>
          <m:t>=</m:t>
        </m:r>
        <m:r>
          <m:t>b</m:t>
        </m:r>
        <m:r>
          <m:rPr>
            <m:sty m:val="p"/>
          </m:rPr>
          <m:t>/</m:t>
        </m:r>
        <m:r>
          <m:t>a</m:t>
        </m:r>
      </m:oMath>
      <w:r>
        <w:t xml:space="preserve">.</w:t>
      </w:r>
    </w:p>
    <w:p>
      <w:pPr>
        <w:pStyle w:val="BlockText"/>
      </w:pPr>
      <w:r>
        <w:rPr>
          <w:b/>
          <w:bCs/>
        </w:rPr>
        <w:t xml:space="preserve">[ATENCAO] Contraexemplo</w:t>
      </w:r>
    </w:p>
    <w:p>
      <w:pPr>
        <w:pStyle w:val="BlockText"/>
      </w:pPr>
      <w:r>
        <w:t xml:space="preserve">A função</w:t>
      </w:r>
      <w:r>
        <w:t xml:space="preserve"> </w:t>
      </w:r>
      <m:oMath>
        <m:r>
          <m:t>f</m:t>
        </m:r>
        <m:r>
          <m:rPr>
            <m:sty m:val="p"/>
          </m:rPr>
          <m:t>(</m:t>
        </m:r>
        <m:r>
          <m:t>K</m:t>
        </m:r>
        <m:r>
          <m:rPr>
            <m:sty m:val="p"/>
          </m:rPr>
          <m:t>,</m:t>
        </m:r>
        <m:r>
          <m:t>L</m:t>
        </m:r>
        <m:r>
          <m:rPr>
            <m:sty m:val="p"/>
          </m:rPr>
          <m:t>)</m:t>
        </m:r>
        <m:r>
          <m:rPr>
            <m:sty m:val="p"/>
          </m:rPr>
          <m:t>=</m:t>
        </m:r>
        <m:r>
          <m:t>K</m:t>
        </m:r>
        <m:r>
          <m:rPr>
            <m:sty m:val="p"/>
          </m:rPr>
          <m:t>+</m:t>
        </m:r>
        <m:r>
          <m:t>L</m:t>
        </m:r>
        <m:r>
          <m:rPr>
            <m:sty m:val="p"/>
          </m:rPr>
          <m:t>+</m:t>
        </m:r>
        <m:r>
          <m:t>K</m:t>
        </m:r>
        <m:r>
          <m:t>L</m:t>
        </m:r>
      </m:oMath>
      <w:r>
        <w:t xml:space="preserve"> </w:t>
      </w:r>
      <w:r>
        <w:rPr>
          <w:b/>
          <w:bCs/>
        </w:rPr>
        <w:t xml:space="preserve">não</w:t>
      </w:r>
      <w:r>
        <w:t xml:space="preserve"> </w:t>
      </w:r>
      <w:r>
        <w:t xml:space="preserve">é homotética: a TMST</w:t>
      </w:r>
      <w:r>
        <w:t xml:space="preserve"> </w:t>
      </w:r>
      <m:oMath>
        <m:r>
          <m:rPr>
            <m:sty m:val="p"/>
          </m:rPr>
          <m:t>=</m:t>
        </m:r>
        <m:r>
          <m:rPr>
            <m:sty m:val="p"/>
          </m:rPr>
          <m:t>(</m:t>
        </m:r>
        <m:r>
          <m:t>1</m:t>
        </m:r>
        <m:r>
          <m:rPr>
            <m:sty m:val="p"/>
          </m:rPr>
          <m:t>+</m:t>
        </m:r>
        <m:r>
          <m:t>L</m:t>
        </m:r>
        <m:r>
          <m:rPr>
            <m:sty m:val="p"/>
          </m:rPr>
          <m:t>)</m:t>
        </m:r>
        <m:r>
          <m:rPr>
            <m:sty m:val="p"/>
          </m:rPr>
          <m:t>/</m:t>
        </m:r>
        <m:r>
          <m:rPr>
            <m:sty m:val="p"/>
          </m:rPr>
          <m:t>(</m:t>
        </m:r>
        <m:r>
          <m:t>1</m:t>
        </m:r>
        <m:r>
          <m:rPr>
            <m:sty m:val="p"/>
          </m:rPr>
          <m:t>+</m:t>
        </m:r>
        <m:r>
          <m:t>K</m:t>
        </m:r>
        <m:r>
          <m:rPr>
            <m:sty m:val="p"/>
          </m:rPr>
          <m:t>)</m:t>
        </m:r>
      </m:oMath>
      <w:r>
        <w:t xml:space="preserve"> </w:t>
      </w:r>
      <w:r>
        <w:t xml:space="preserve">depende dos níveis absolutos de</w:t>
      </w:r>
      <w:r>
        <w:t xml:space="preserve"> </w:t>
      </w:r>
      <m:oMath>
        <m:r>
          <m:t>K</m:t>
        </m:r>
      </m:oMath>
      <w:r>
        <w:t xml:space="preserve"> </w:t>
      </w:r>
      <w:r>
        <w:t xml:space="preserve">e</w:t>
      </w:r>
      <w:r>
        <w:t xml:space="preserve"> </w:t>
      </w:r>
      <m:oMath>
        <m:r>
          <m:t>L</m:t>
        </m:r>
      </m:oMath>
      <w:r>
        <w:t xml:space="preserve">, não apenas da razão</w:t>
      </w:r>
      <w:r>
        <w:t xml:space="preserve"> </w:t>
      </w:r>
      <m:oMath>
        <m:r>
          <m:t>K</m:t>
        </m:r>
        <m:r>
          <m:rPr>
            <m:sty m:val="p"/>
          </m:rPr>
          <m:t>/</m:t>
        </m:r>
        <m:r>
          <m:t>L</m:t>
        </m:r>
      </m:oMath>
      <w:r>
        <w:t xml:space="preserve">. As isoquantas mudam de forma conforme o nível de produto aumenta.</w:t>
      </w:r>
    </w:p>
    <w:p>
      <w:pPr>
        <w:pStyle w:val="BlockText"/>
      </w:pPr>
      <w:r>
        <w:rPr>
          <w:b/>
          <w:bCs/>
        </w:rPr>
        <w:t xml:space="preserve">[INTUICAO ECONOMICA] Intuição Econômica</w:t>
      </w:r>
    </w:p>
    <w:p>
      <w:pPr>
        <w:pStyle w:val="BlockText"/>
      </w:pPr>
      <w:r>
        <w:rPr>
          <w:b/>
          <w:bCs/>
        </w:rPr>
        <w:t xml:space="preserve">Em uma frase:</w:t>
      </w:r>
      <w:r>
        <w:t xml:space="preserve"> </w:t>
      </w:r>
      <w:r>
        <w:t xml:space="preserve">Com tecnologia homotética, firmas grandes e pequenas usam a mesma</w:t>
      </w:r>
      <w:r>
        <w:t xml:space="preserve"> </w:t>
      </w:r>
      <w:r>
        <w:t xml:space="preserve">“receita”</w:t>
      </w:r>
      <w:r>
        <w:t xml:space="preserve"> </w:t>
      </w:r>
      <w:r>
        <w:t xml:space="preserve">— a proporção de insumos depende apenas dos preços relativos, não da escala de produção.</w:t>
      </w:r>
    </w:p>
    <w:p>
      <w:pPr>
        <w:pStyle w:val="BlockText"/>
      </w:pPr>
      <w:r>
        <w:rPr>
          <w:b/>
          <w:bCs/>
        </w:rPr>
        <w:t xml:space="preserve">Pense assim:</w:t>
      </w:r>
      <w:r>
        <w:t xml:space="preserve"> </w:t>
      </w:r>
      <w:r>
        <w:t xml:space="preserve">Uma padaria que usa 2 kg de farinha para cada litro de leite manterá essa proporção se produzir 100 ou 10.000 pães por dia — desde que os preços dos insumos não mudem. Isso é o caminho de expansão linear:</w:t>
      </w:r>
      <w:r>
        <w:t xml:space="preserve"> </w:t>
      </w:r>
      <w:r>
        <w:t xml:space="preserve">“escalar”</w:t>
      </w:r>
      <w:r>
        <w:t xml:space="preserve"> </w:t>
      </w:r>
      <w:r>
        <w:t xml:space="preserve">a produção é como dar zoom na mesma combinação ótima.</w:t>
      </w:r>
    </w:p>
    <w:p>
      <w:pPr>
        <w:pStyle w:val="BlockText"/>
      </w:pPr>
      <w:r>
        <w:rPr>
          <w:b/>
          <w:bCs/>
        </w:rPr>
        <w:t xml:space="preserve">Por que isso importa:</w:t>
      </w:r>
      <w:r>
        <w:t xml:space="preserve"> </w:t>
      </w:r>
      <w:r>
        <w:t xml:space="preserve">A hipótese de homoteticidade simplifica enormemente a análise de custos. Se a tecnologia não for homotética, a proporção ótima de insumos muda com a escala, e a função custo não se separa em um componente de preços e outro de quantidade.</w:t>
      </w:r>
    </w:p>
    <w:p>
      <w:pPr>
        <w:pStyle w:val="BlockText"/>
      </w:pPr>
      <w:r>
        <w:rPr>
          <w:b/>
          <w:bCs/>
        </w:rPr>
        <w:t xml:space="preserve">[EXERCICIO RESOLVIDO] Exercício Resolvido 10.6</w:t>
      </w:r>
    </w:p>
    <w:p>
      <w:pPr>
        <w:pStyle w:val="BlockText"/>
      </w:pPr>
      <w:r>
        <w:rPr>
          <w:b/>
          <w:bCs/>
        </w:rPr>
        <w:t xml:space="preserve">Enunciado:</w:t>
      </w:r>
      <w:r>
        <w:t xml:space="preserve"> </w:t>
      </w:r>
      <w:r>
        <w:t xml:space="preserve">Considere a função de produção</w:t>
      </w:r>
      <w:r>
        <w:t xml:space="preserve"> </w:t>
      </w:r>
      <m:oMath>
        <m:r>
          <m:t>f</m:t>
        </m:r>
        <m:r>
          <m:rPr>
            <m:sty m:val="p"/>
          </m:rPr>
          <m:t>(</m:t>
        </m:r>
        <m:r>
          <m:t>K</m:t>
        </m:r>
        <m:r>
          <m:rPr>
            <m:sty m:val="p"/>
          </m:rPr>
          <m:t>,</m:t>
        </m:r>
        <m:r>
          <m:t>L</m:t>
        </m:r>
        <m:r>
          <m:rPr>
            <m:sty m:val="p"/>
          </m:rPr>
          <m:t>)</m:t>
        </m:r>
        <m:r>
          <m:rPr>
            <m:sty m:val="p"/>
          </m:rPr>
          <m:t>=</m:t>
        </m:r>
        <m:r>
          <m:rPr>
            <m:sty m:val="p"/>
          </m:rPr>
          <m:t>ln</m:t>
        </m:r>
        <m:r>
          <m:rPr>
            <m:sty m:val="p"/>
          </m:rPr>
          <m:t>(</m:t>
        </m:r>
        <m:r>
          <m:t>1</m:t>
        </m:r>
        <m:r>
          <m:rPr>
            <m:sty m:val="p"/>
          </m:rPr>
          <m:t>+</m:t>
        </m:r>
        <m:sSup>
          <m:e>
            <m:r>
              <m:t>K</m:t>
            </m:r>
          </m:e>
          <m:sup>
            <m:r>
              <m:t>0</m:t>
            </m:r>
            <m:r>
              <m:rPr>
                <m:sty m:val="p"/>
              </m:rPr>
              <m:t>,</m:t>
            </m:r>
            <m:r>
              <m:t>5</m:t>
            </m:r>
          </m:sup>
        </m:sSup>
        <m:sSup>
          <m:e>
            <m:r>
              <m:t>L</m:t>
            </m:r>
          </m:e>
          <m:sup>
            <m:r>
              <m:t>0</m:t>
            </m:r>
            <m:r>
              <m:rPr>
                <m:sty m:val="p"/>
              </m:rPr>
              <m:t>,</m:t>
            </m:r>
            <m:r>
              <m:t>5</m:t>
            </m:r>
          </m:sup>
        </m:sSup>
        <m:r>
          <m:rPr>
            <m:sty m:val="p"/>
          </m:rPr>
          <m:t>)</m:t>
        </m:r>
      </m:oMath>
      <w:r>
        <w:t xml:space="preserve">. (a) Mostre que é homotética. (b) Determine a direção do caminho de expansão quando</w:t>
      </w:r>
      <w:r>
        <w:t xml:space="preserve"> </w:t>
      </w:r>
      <m:oMath>
        <m:r>
          <m:t>w</m:t>
        </m:r>
        <m:r>
          <m:rPr>
            <m:sty m:val="p"/>
          </m:rPr>
          <m:t>=</m:t>
        </m:r>
        <m:r>
          <m:t>v</m:t>
        </m:r>
      </m:oMath>
      <w:r>
        <w:t xml:space="preserve">. (c) Calcule a TMST ao longo do raio</w:t>
      </w:r>
      <w:r>
        <w:t xml:space="preserve"> </w:t>
      </w:r>
      <m:oMath>
        <m:r>
          <m:t>K</m:t>
        </m:r>
        <m:r>
          <m:rPr>
            <m:sty m:val="p"/>
          </m:rPr>
          <m:t>=</m:t>
        </m:r>
        <m:r>
          <m:t>L</m:t>
        </m:r>
      </m:oMath>
      <w:r>
        <w:t xml:space="preserve">.</w:t>
      </w:r>
    </w:p>
    <w:p>
      <w:pPr>
        <w:pStyle w:val="BlockText"/>
      </w:pPr>
      <w:r>
        <w:rPr>
          <w:b/>
          <w:bCs/>
        </w:rPr>
        <w:t xml:space="preserve">Resolução:</w:t>
      </w:r>
    </w:p>
    <w:p>
      <w:pPr>
        <w:pStyle w:val="BlockText"/>
      </w:pPr>
      <w:r>
        <w:rPr>
          <w:b/>
          <w:bCs/>
        </w:rPr>
        <w:t xml:space="preserve">Passo 1 — Verificar homoteticidade</w:t>
      </w:r>
    </w:p>
    <w:p>
      <w:pPr>
        <w:pStyle w:val="BlockText"/>
      </w:pPr>
      <w:r>
        <w:t xml:space="preserve">Defina</w:t>
      </w:r>
      <w:r>
        <w:t xml:space="preserve"> </w:t>
      </w:r>
      <m:oMath>
        <m:r>
          <m:t>h</m:t>
        </m:r>
        <m:r>
          <m:rPr>
            <m:sty m:val="p"/>
          </m:rPr>
          <m:t>(</m:t>
        </m:r>
        <m:r>
          <m:t>K</m:t>
        </m:r>
        <m:r>
          <m:rPr>
            <m:sty m:val="p"/>
          </m:rPr>
          <m:t>,</m:t>
        </m:r>
        <m:r>
          <m:t>L</m:t>
        </m:r>
        <m:r>
          <m:rPr>
            <m:sty m:val="p"/>
          </m:rPr>
          <m:t>)</m:t>
        </m:r>
        <m:r>
          <m:rPr>
            <m:sty m:val="p"/>
          </m:rPr>
          <m:t>=</m:t>
        </m:r>
        <m:sSup>
          <m:e>
            <m:r>
              <m:t>K</m:t>
            </m:r>
          </m:e>
          <m:sup>
            <m:r>
              <m:t>0</m:t>
            </m:r>
            <m:r>
              <m:rPr>
                <m:sty m:val="p"/>
              </m:rPr>
              <m:t>,</m:t>
            </m:r>
            <m:r>
              <m:t>5</m:t>
            </m:r>
          </m:sup>
        </m:sSup>
        <m:sSup>
          <m:e>
            <m:r>
              <m:t>L</m:t>
            </m:r>
          </m:e>
          <m:sup>
            <m:r>
              <m:t>0</m:t>
            </m:r>
            <m:r>
              <m:rPr>
                <m:sty m:val="p"/>
              </m:rPr>
              <m:t>,</m:t>
            </m:r>
            <m:r>
              <m:t>5</m:t>
            </m:r>
          </m:sup>
        </m:sSup>
      </m:oMath>
      <w:r>
        <w:t xml:space="preserve">, que é homogênea de grau 1:</w:t>
      </w:r>
      <w:r>
        <w:t xml:space="preserve"> </w:t>
      </w:r>
      <m:oMath>
        <m:r>
          <m:t>h</m:t>
        </m:r>
        <m:r>
          <m:rPr>
            <m:sty m:val="p"/>
          </m:rPr>
          <m:t>(</m:t>
        </m:r>
        <m:r>
          <m:t>λ</m:t>
        </m:r>
        <m:r>
          <m:t>K</m:t>
        </m:r>
        <m:r>
          <m:rPr>
            <m:sty m:val="p"/>
          </m:rPr>
          <m:t>,</m:t>
        </m:r>
        <m:r>
          <m:t>λ</m:t>
        </m:r>
        <m:r>
          <m:t>L</m:t>
        </m:r>
        <m:r>
          <m:rPr>
            <m:sty m:val="p"/>
          </m:rPr>
          <m:t>)</m:t>
        </m:r>
        <m:r>
          <m:rPr>
            <m:sty m:val="p"/>
          </m:rPr>
          <m:t>=</m:t>
        </m:r>
        <m:r>
          <m:t>λ</m:t>
        </m:r>
        <m:sSup>
          <m:e>
            <m:r>
              <m:t>K</m:t>
            </m:r>
          </m:e>
          <m:sup>
            <m:r>
              <m:t>0</m:t>
            </m:r>
            <m:r>
              <m:rPr>
                <m:sty m:val="p"/>
              </m:rPr>
              <m:t>,</m:t>
            </m:r>
            <m:r>
              <m:t>5</m:t>
            </m:r>
          </m:sup>
        </m:sSup>
        <m:sSup>
          <m:e>
            <m:r>
              <m:t>L</m:t>
            </m:r>
          </m:e>
          <m:sup>
            <m:r>
              <m:t>0</m:t>
            </m:r>
            <m:r>
              <m:rPr>
                <m:sty m:val="p"/>
              </m:rPr>
              <m:t>,</m:t>
            </m:r>
            <m:r>
              <m:t>5</m:t>
            </m:r>
          </m:sup>
        </m:sSup>
        <m:r>
          <m:rPr>
            <m:sty m:val="p"/>
          </m:rPr>
          <m:t>=</m:t>
        </m:r>
        <m:r>
          <m:t>λ</m:t>
        </m:r>
        <m:r>
          <m:t>h</m:t>
        </m:r>
        <m:r>
          <m:rPr>
            <m:sty m:val="p"/>
          </m:rPr>
          <m:t>(</m:t>
        </m:r>
        <m:r>
          <m:t>K</m:t>
        </m:r>
        <m:r>
          <m:rPr>
            <m:sty m:val="p"/>
          </m:rPr>
          <m:t>,</m:t>
        </m:r>
        <m:r>
          <m:t>L</m:t>
        </m:r>
        <m:r>
          <m:rPr>
            <m:sty m:val="p"/>
          </m:rPr>
          <m:t>)</m:t>
        </m:r>
      </m:oMath>
      <w:r>
        <w:t xml:space="preserve">. Então</w:t>
      </w:r>
      <w:r>
        <w:t xml:space="preserve"> </w:t>
      </w:r>
      <m:oMath>
        <m:r>
          <m:t>f</m:t>
        </m:r>
        <m:r>
          <m:rPr>
            <m:sty m:val="p"/>
          </m:rPr>
          <m:t>=</m:t>
        </m:r>
        <m:r>
          <m:rPr>
            <m:sty m:val="p"/>
          </m:rPr>
          <m:t>ln</m:t>
        </m:r>
        <m:r>
          <m:rPr>
            <m:sty m:val="p"/>
          </m:rPr>
          <m:t>(</m:t>
        </m:r>
        <m:r>
          <m:t>1</m:t>
        </m:r>
        <m:r>
          <m:rPr>
            <m:sty m:val="p"/>
          </m:rPr>
          <m:t>+</m:t>
        </m:r>
        <m:r>
          <m:t>h</m:t>
        </m:r>
        <m:r>
          <m:rPr>
            <m:sty m:val="p"/>
          </m:rPr>
          <m:t>)</m:t>
        </m:r>
        <m:r>
          <m:rPr>
            <m:sty m:val="p"/>
          </m:rPr>
          <m:t>=</m:t>
        </m:r>
        <m:r>
          <m:t>g</m:t>
        </m:r>
        <m:r>
          <m:rPr>
            <m:sty m:val="p"/>
          </m:rPr>
          <m:t>(</m:t>
        </m:r>
        <m:r>
          <m:t>h</m:t>
        </m:r>
        <m:r>
          <m:rPr>
            <m:sty m:val="p"/>
          </m:rPr>
          <m:t>)</m:t>
        </m:r>
      </m:oMath>
      <w:r>
        <w:t xml:space="preserve">, onde</w:t>
      </w:r>
      <w:r>
        <w:t xml:space="preserve"> </w:t>
      </w:r>
      <m:oMath>
        <m:r>
          <m:t>g</m:t>
        </m:r>
        <m:r>
          <m:rPr>
            <m:sty m:val="p"/>
          </m:rPr>
          <m:t>(</m:t>
        </m:r>
        <m:r>
          <m:t>z</m:t>
        </m:r>
        <m:r>
          <m:rPr>
            <m:sty m:val="p"/>
          </m:rPr>
          <m:t>)</m:t>
        </m:r>
        <m:r>
          <m:rPr>
            <m:sty m:val="p"/>
          </m:rPr>
          <m:t>=</m:t>
        </m:r>
        <m:r>
          <m:rPr>
            <m:sty m:val="p"/>
          </m:rPr>
          <m:t>ln</m:t>
        </m:r>
        <m:r>
          <m:rPr>
            <m:sty m:val="p"/>
          </m:rPr>
          <m:t>(</m:t>
        </m:r>
        <m:r>
          <m:t>1</m:t>
        </m:r>
        <m:r>
          <m:rPr>
            <m:sty m:val="p"/>
          </m:rPr>
          <m:t>+</m:t>
        </m:r>
        <m:r>
          <m:t>z</m:t>
        </m:r>
        <m:r>
          <m:rPr>
            <m:sty m:val="p"/>
          </m:rPr>
          <m:t>)</m:t>
        </m:r>
      </m:oMath>
      <w:r>
        <w:t xml:space="preserve"> </w:t>
      </w:r>
      <w:r>
        <w:t xml:space="preserve">é estritamente crescente. Logo</w:t>
      </w:r>
      <w:r>
        <w:t xml:space="preserve"> </w:t>
      </w:r>
      <m:oMath>
        <m:r>
          <m:t>f</m:t>
        </m:r>
      </m:oMath>
      <w:r>
        <w:t xml:space="preserve"> </w:t>
      </w:r>
      <w:r>
        <w:t xml:space="preserve">é homotética.</w:t>
      </w:r>
    </w:p>
    <w:p>
      <w:pPr>
        <w:pStyle w:val="BlockText"/>
      </w:pPr>
      <w:r>
        <w:rPr>
          <w:b/>
          <w:bCs/>
        </w:rPr>
        <w:t xml:space="preserve">Passo 2 — Caminho de expansão com</w:t>
      </w:r>
      <w:r>
        <w:rPr>
          <w:b/>
          <w:bCs/>
        </w:rPr>
        <w:t xml:space="preserve"> </w:t>
      </w:r>
      <m:oMath>
        <m:r>
          <m:t>w</m:t>
        </m:r>
        <m:r>
          <m:rPr>
            <m:sty m:val="p"/>
          </m:rPr>
          <m:t>=</m:t>
        </m:r>
        <m:r>
          <m:t>v</m:t>
        </m:r>
      </m:oMath>
    </w:p>
    <w:p>
      <w:pPr>
        <w:pStyle w:val="BlockText"/>
      </w:pPr>
      <w:r>
        <w:t xml:space="preserve">A TMST é:</w:t>
      </w:r>
    </w:p>
    <w:p>
      <w:pPr>
        <w:pStyle w:val="BlockText"/>
      </w:pPr>
      <w:r>
        <w:t xml:space="preserve">$$</w:t>
      </w:r>
    </w:p>
    <w:p>
      <w:pPr>
        <w:pStyle w:val="BlockText"/>
      </w:pPr>
      <w:r>
        <w:t xml:space="preserve">_{LK} =</w:t>
      </w:r>
      <w:r>
        <w:t xml:space="preserve"> </w:t>
      </w:r>
      <w:r>
        <w:t xml:space="preserve"> </w:t>
      </w:r>
      <w:r>
        <w:t xml:space="preserve">=</w:t>
      </w:r>
      <w:r>
        <w:t xml:space="preserve"> </w:t>
      </w:r>
      <w:r>
        <w:t xml:space="preserve"> </w:t>
      </w:r>
      <w:r>
        <w:t xml:space="preserve">=</w:t>
      </w:r>
      <w:r>
        <w:t xml:space="preserve"> </w:t>
      </w:r>
    </w:p>
    <w:p>
      <w:pPr>
        <w:pStyle w:val="BlockText"/>
      </w:pPr>
      <w:r>
        <w:t xml:space="preserve">$$</w:t>
      </w:r>
    </w:p>
    <w:p>
      <w:pPr>
        <w:pStyle w:val="BlockText"/>
      </w:pPr>
      <w:r>
        <w:t xml:space="preserve">No ótimo,</w:t>
      </w:r>
      <w:r>
        <w:t xml:space="preserve"> </w:t>
      </w:r>
      <m:oMath>
        <m:r>
          <m:rPr>
            <m:nor/>
            <m:sty m:val="p"/>
          </m:rPr>
          <m:t>TMST</m:t>
        </m:r>
        <m:r>
          <m:rPr>
            <m:sty m:val="p"/>
          </m:rPr>
          <m:t>=</m:t>
        </m:r>
        <m:r>
          <m:t>w</m:t>
        </m:r>
        <m:r>
          <m:rPr>
            <m:sty m:val="p"/>
          </m:rPr>
          <m:t>/</m:t>
        </m:r>
        <m:r>
          <m:t>v</m:t>
        </m:r>
        <m:r>
          <m:rPr>
            <m:sty m:val="p"/>
          </m:rPr>
          <m:t>=</m:t>
        </m:r>
        <m:r>
          <m:t>1</m:t>
        </m:r>
      </m:oMath>
      <w:r>
        <w:t xml:space="preserve">, logo</w:t>
      </w:r>
      <w:r>
        <w:t xml:space="preserve"> </w:t>
      </w:r>
      <m:oMath>
        <m:r>
          <m:t>K</m:t>
        </m:r>
        <m:r>
          <m:rPr>
            <m:sty m:val="p"/>
          </m:rPr>
          <m:t>/</m:t>
        </m:r>
        <m:r>
          <m:t>L</m:t>
        </m:r>
        <m:r>
          <m:rPr>
            <m:sty m:val="p"/>
          </m:rPr>
          <m:t>=</m:t>
        </m:r>
        <m:r>
          <m:t>1</m:t>
        </m:r>
      </m:oMath>
      <w:r>
        <w:t xml:space="preserve">. O caminho de expansão é a reta</w:t>
      </w:r>
      <w:r>
        <w:t xml:space="preserve"> </w:t>
      </w:r>
      <m:oMath>
        <m:r>
          <m:t>K</m:t>
        </m:r>
        <m:r>
          <m:rPr>
            <m:sty m:val="p"/>
          </m:rPr>
          <m:t>=</m:t>
        </m:r>
        <m:r>
          <m:t>L</m:t>
        </m:r>
      </m:oMath>
      <w:r>
        <w:t xml:space="preserve">.</w:t>
      </w:r>
    </w:p>
    <w:p>
      <w:pPr>
        <w:pStyle w:val="BlockText"/>
      </w:pPr>
      <w:r>
        <w:rPr>
          <w:b/>
          <w:bCs/>
        </w:rPr>
        <w:t xml:space="preserve">Passo 3 — TMST ao longo de</w:t>
      </w:r>
      <w:r>
        <w:rPr>
          <w:b/>
          <w:bCs/>
        </w:rPr>
        <w:t xml:space="preserve"> </w:t>
      </w:r>
      <m:oMath>
        <m:r>
          <m:t>K</m:t>
        </m:r>
        <m:r>
          <m:rPr>
            <m:sty m:val="p"/>
          </m:rPr>
          <m:t>=</m:t>
        </m:r>
        <m:r>
          <m:t>L</m:t>
        </m:r>
      </m:oMath>
    </w:p>
    <w:p>
      <w:pPr>
        <w:pStyle w:val="BlockText"/>
      </w:pPr>
      <w:r>
        <w:t xml:space="preserve">Se</w:t>
      </w:r>
      <w:r>
        <w:t xml:space="preserve"> </w:t>
      </w:r>
      <m:oMath>
        <m:r>
          <m:t>K</m:t>
        </m:r>
        <m:r>
          <m:rPr>
            <m:sty m:val="p"/>
          </m:rPr>
          <m:t>=</m:t>
        </m:r>
        <m:r>
          <m:t>L</m:t>
        </m:r>
      </m:oMath>
      <w:r>
        <w:t xml:space="preserve">, então</w:t>
      </w:r>
      <w:r>
        <w:t xml:space="preserve"> </w:t>
      </w:r>
      <m:oMath>
        <m:r>
          <m:rPr>
            <m:nor/>
            <m:sty m:val="p"/>
          </m:rPr>
          <m:t>TMST</m:t>
        </m:r>
        <m:r>
          <m:rPr>
            <m:sty m:val="p"/>
          </m:rPr>
          <m:t>=</m:t>
        </m:r>
        <m:r>
          <m:t>K</m:t>
        </m:r>
        <m:r>
          <m:rPr>
            <m:sty m:val="p"/>
          </m:rPr>
          <m:t>/</m:t>
        </m:r>
        <m:r>
          <m:t>L</m:t>
        </m:r>
        <m:r>
          <m:rPr>
            <m:sty m:val="p"/>
          </m:rPr>
          <m:t>=</m:t>
        </m:r>
        <m:r>
          <m:t>1</m:t>
        </m:r>
      </m:oMath>
      <w:r>
        <w:t xml:space="preserve"> </w:t>
      </w:r>
      <w:r>
        <w:t xml:space="preserve">— constante ao longo do raio, confirmando a propriedade homotética.</w:t>
      </w:r>
    </w:p>
    <w:p>
      <w:pPr>
        <w:pStyle w:val="BlockText"/>
      </w:pPr>
      <w:r>
        <w:rPr>
          <w:b/>
          <w:bCs/>
        </w:rPr>
        <w:t xml:space="preserve">Resultado:</w:t>
      </w:r>
      <w:r>
        <w:t xml:space="preserve"> </w:t>
      </w:r>
      <w:r>
        <w:t xml:space="preserve">A função é homotética (log de Cobb-Douglas). Com</w:t>
      </w:r>
      <w:r>
        <w:t xml:space="preserve"> </w:t>
      </w:r>
      <m:oMath>
        <m:r>
          <m:t>w</m:t>
        </m:r>
        <m:r>
          <m:rPr>
            <m:sty m:val="p"/>
          </m:rPr>
          <m:t>=</m:t>
        </m:r>
        <m:r>
          <m:t>v</m:t>
        </m:r>
      </m:oMath>
      <w:r>
        <w:t xml:space="preserve">, a firma usa quantidades iguais de capital e trabalho em qualquer escala.</w:t>
      </w:r>
    </w:p>
    <w:p>
      <w:r>
        <w:pict>
          <v:rect style="width:0;height:1.5pt" o:hralign="center" o:hrstd="t" o:hr="t"/>
        </w:pict>
      </w:r>
    </w:p>
    <w:p>
      <w:pPr>
        <w:pStyle w:val="FirstParagraph"/>
      </w:pPr>
      <w:r>
        <w:t xml:space="preserve">A padaria com três fornos que não triplica a produção — lembra? Agora sabemos exatamente por quê: rendimentos marginais decrescentes no curto prazo, rendimentos de escala no longo prazo, e uma elasticidade de substituição que determina se a firma pode trocar braços por máquinas ou está presa à receita original. Da Cobb-Douglas à CES, do resíduo de Solow à homoteticidade, mapeamos a</w:t>
      </w:r>
      <w:r>
        <w:t xml:space="preserve"> </w:t>
      </w:r>
      <w:r>
        <w:t xml:space="preserve">“receita secreta”</w:t>
      </w:r>
      <w:r>
        <w:t xml:space="preserve"> </w:t>
      </w:r>
      <w:r>
        <w:t xml:space="preserve">da firma. Falta um ingrediente crucial: o preço.</w:t>
      </w:r>
    </w:p>
    <w:p>
      <w:pPr>
        <w:pStyle w:val="BodyText"/>
      </w:pPr>
      <w:r>
        <w:rPr>
          <w:i/>
          <w:iCs/>
        </w:rPr>
        <w:t xml:space="preserve">Sabemos produzir. Falta saber quanto custa. And now for something completely different: o próximo capítulo, onde a conta chega.</w:t>
      </w:r>
    </w:p>
    <w:bookmarkEnd w:id="663"/>
    <w:bookmarkEnd w:id="664"/>
    <w:bookmarkStart w:id="670" w:name="exercícios-revisão-e-anpec-capítulo-10"/>
    <w:p>
      <w:pPr>
        <w:pStyle w:val="Heading2"/>
      </w:pPr>
      <w:r>
        <w:t xml:space="preserve">Exercícios, Revisão e ANPEC — Capítulo 10</w:t>
      </w:r>
    </w:p>
    <w:p>
      <w:pPr>
        <w:pStyle w:val="BlockText"/>
      </w:pPr>
      <w:r>
        <w:rPr>
          <w:b/>
          <w:bCs/>
        </w:rPr>
        <w:t xml:space="preserve">[DICA] Dados para exercicios empiricos</w:t>
      </w:r>
    </w:p>
    <w:p>
      <w:pPr>
        <w:pStyle w:val="Compact"/>
        <w:numPr>
          <w:ilvl w:val="0"/>
          <w:numId w:val="1628"/>
        </w:numPr>
      </w:pPr>
      <w:r>
        <w:rPr>
          <w:b/>
          <w:bCs/>
        </w:rPr>
        <w:t xml:space="preserve">PIA/IBGE (Pesquisa Industrial Anual):</w:t>
      </w:r>
      <w:r>
        <w:t xml:space="preserve"> </w:t>
      </w:r>
      <w:hyperlink r:id="rId168">
        <w:r>
          <w:rPr>
            <w:rStyle w:val="Hyperlink"/>
          </w:rPr>
          <w:t xml:space="preserve">sidra.ibge.gov.br</w:t>
        </w:r>
      </w:hyperlink>
      <w:r>
        <w:t xml:space="preserve"> </w:t>
      </w:r>
      <w:r>
        <w:t xml:space="preserve">— Dados de valor adicionado, pessoal ocupado e ativo imobilizado por setor industrial. Estime funcoes de producao Cobb-Douglas e teste retornos de escala.</w:t>
      </w:r>
    </w:p>
    <w:p>
      <w:pPr>
        <w:pStyle w:val="Compact"/>
        <w:numPr>
          <w:ilvl w:val="0"/>
          <w:numId w:val="1628"/>
        </w:numPr>
      </w:pPr>
      <w:r>
        <w:rPr>
          <w:b/>
          <w:bCs/>
        </w:rPr>
        <w:t xml:space="preserve">Censo Agropecuario/IBGE:</w:t>
      </w:r>
      <w:r>
        <w:t xml:space="preserve"> </w:t>
      </w:r>
      <w:hyperlink r:id="rId168">
        <w:r>
          <w:rPr>
            <w:rStyle w:val="Hyperlink"/>
          </w:rPr>
          <w:t xml:space="preserve">sidra.ibge.gov.br</w:t>
        </w:r>
      </w:hyperlink>
      <w:r>
        <w:t xml:space="preserve"> </w:t>
      </w:r>
      <w:r>
        <w:t xml:space="preserve">— Dados por municipio para estimar PTF agricola (resíduo de Solow aplicado ao agro brasileiro).</w:t>
      </w:r>
    </w:p>
    <w:p>
      <w:pPr>
        <w:pStyle w:val="Compact"/>
        <w:numPr>
          <w:ilvl w:val="0"/>
          <w:numId w:val="1628"/>
        </w:numPr>
      </w:pPr>
      <w:r>
        <w:rPr>
          <w:b/>
          <w:bCs/>
        </w:rPr>
        <w:t xml:space="preserve">Notebook:</w:t>
      </w:r>
      <w:r>
        <w:t xml:space="preserve"> </w:t>
      </w:r>
      <w:r>
        <w:t xml:space="preserve">N9 — Funcao de producao Cobb-Douglas (dados da PIA/IBGE).</w:t>
      </w:r>
    </w:p>
    <w:p>
      <w:pPr>
        <w:pStyle w:val="BlockText"/>
      </w:pPr>
      <w:r>
        <w:rPr>
          <w:b/>
          <w:bCs/>
        </w:rPr>
        <w:t xml:space="preserve">[ATIVIDADE DE SALA] Atividade 10.2 — Clonar a firma: rendimentos de escala por setor (10 min)</w:t>
      </w:r>
    </w:p>
    <w:p>
      <w:pPr>
        <w:pStyle w:val="BlockText"/>
      </w:pPr>
      <w:r>
        <w:rPr>
          <w:b/>
          <w:bCs/>
        </w:rPr>
        <w:t xml:space="preserve">Objetivo:</w:t>
      </w:r>
      <w:r>
        <w:t xml:space="preserve"> </w:t>
      </w:r>
      <w:r>
        <w:t xml:space="preserve">Desenvolver intuição sobre quando rendimentos de escala são crescentes, constantes ou decrescentes — e por que isso determina a estrutura de mercado.</w:t>
      </w:r>
    </w:p>
    <w:p>
      <w:pPr>
        <w:pStyle w:val="BlockText"/>
      </w:pPr>
      <w:r>
        <w:rPr>
          <w:b/>
          <w:bCs/>
        </w:rPr>
        <w:t xml:space="preserve">Material:</w:t>
      </w:r>
      <w:r>
        <w:t xml:space="preserve"> </w:t>
      </w:r>
      <w:r>
        <w:t xml:space="preserve">Nenhum (projeção de cenários).</w:t>
      </w:r>
    </w:p>
    <w:p>
      <w:pPr>
        <w:pStyle w:val="BlockText"/>
      </w:pPr>
      <w:r>
        <w:rPr>
          <w:b/>
          <w:bCs/>
        </w:rPr>
        <w:t xml:space="preserve">Protocolo:</w:t>
      </w:r>
    </w:p>
    <w:p>
      <w:pPr>
        <w:pStyle w:val="Compact"/>
        <w:numPr>
          <w:ilvl w:val="0"/>
          <w:numId w:val="1629"/>
        </w:numPr>
      </w:pPr>
      <w:r>
        <w:rPr>
          <w:b/>
          <w:bCs/>
        </w:rPr>
        <w:t xml:space="preserve">Cenários</w:t>
      </w:r>
      <w:r>
        <w:t xml:space="preserve"> </w:t>
      </w:r>
      <w:r>
        <w:t xml:space="preserve">(5 min): Projete quatro setores e pergunte para cada um:</w:t>
      </w:r>
      <w:r>
        <w:t xml:space="preserve"> </w:t>
      </w:r>
      <w:r>
        <w:t xml:space="preserve">“Se você clonar a operação inteira — dobrar tudo (trabalhadores, máquinas, espaço) —, o produto mais que dobra, dobra exatamente, ou menos que dobra?”</w:t>
      </w:r>
      <w:r>
        <w:t xml:space="preserve"> </w:t>
      </w:r>
      <w:r>
        <w:t xml:space="preserve">Vote com Mentimeter ou mão levantada.</w:t>
      </w:r>
    </w:p>
    <w:p>
      <w:pPr>
        <w:pStyle w:val="Compact"/>
        <w:numPr>
          <w:ilvl w:val="1"/>
          <w:numId w:val="1630"/>
        </w:numPr>
      </w:pPr>
      <w:r>
        <w:rPr>
          <w:b/>
          <w:bCs/>
        </w:rPr>
        <w:t xml:space="preserve">(a) Barraca de açaí na praia</w:t>
      </w:r>
      <w:r>
        <w:t xml:space="preserve"> </w:t>
      </w:r>
      <w:r>
        <w:t xml:space="preserve">→ CRS (dobrar tudo ≈ dobra o produto). Fácil replicar.</w:t>
      </w:r>
    </w:p>
    <w:p>
      <w:pPr>
        <w:pStyle w:val="Compact"/>
        <w:numPr>
          <w:ilvl w:val="1"/>
          <w:numId w:val="1630"/>
        </w:numPr>
      </w:pPr>
      <w:r>
        <w:rPr>
          <w:b/>
          <w:bCs/>
        </w:rPr>
        <w:t xml:space="preserve">(b) Refinaria de petróleo</w:t>
      </w:r>
      <w:r>
        <w:t xml:space="preserve"> </w:t>
      </w:r>
      <w:r>
        <w:t xml:space="preserve">→ IRS (o volume do tanque cresce com o cubo do raio, o custo com o quadrado). Por isso refinarias são enormes.</w:t>
      </w:r>
    </w:p>
    <w:p>
      <w:pPr>
        <w:pStyle w:val="Compact"/>
        <w:numPr>
          <w:ilvl w:val="1"/>
          <w:numId w:val="1630"/>
        </w:numPr>
      </w:pPr>
      <w:r>
        <w:rPr>
          <w:b/>
          <w:bCs/>
        </w:rPr>
        <w:t xml:space="preserve">(c) Escritório de advocacia boutique</w:t>
      </w:r>
      <w:r>
        <w:t xml:space="preserve"> </w:t>
      </w:r>
      <w:r>
        <w:t xml:space="preserve">→ DRS? O principal ativo é o capital humano do sócio-fundador, que não</w:t>
      </w:r>
      <w:r>
        <w:t xml:space="preserve"> </w:t>
      </w:r>
      <w:r>
        <w:t xml:space="preserve">“dobra”</w:t>
      </w:r>
      <w:r>
        <w:t xml:space="preserve">. Crescer dilui a qualidade.</w:t>
      </w:r>
    </w:p>
    <w:p>
      <w:pPr>
        <w:pStyle w:val="Compact"/>
        <w:numPr>
          <w:ilvl w:val="1"/>
          <w:numId w:val="1630"/>
        </w:numPr>
      </w:pPr>
      <w:r>
        <w:rPr>
          <w:b/>
          <w:bCs/>
        </w:rPr>
        <w:t xml:space="preserve">(d) Plataforma digital (Netflix, Uber)</w:t>
      </w:r>
      <w:r>
        <w:t xml:space="preserve"> </w:t>
      </w:r>
      <w:r>
        <w:t xml:space="preserve">→ IRS extremos. O custo marginal de um usuário adicional é quase zero; o custo fixo (conteúdo, algoritmo) é enorme.</w:t>
      </w:r>
    </w:p>
    <w:p>
      <w:pPr>
        <w:pStyle w:val="Compact"/>
        <w:numPr>
          <w:ilvl w:val="0"/>
          <w:numId w:val="1629"/>
        </w:numPr>
      </w:pPr>
      <w:r>
        <w:rPr>
          <w:b/>
          <w:bCs/>
        </w:rPr>
        <w:t xml:space="preserve">Debrief</w:t>
      </w:r>
      <w:r>
        <w:t xml:space="preserve"> </w:t>
      </w:r>
      <w:r>
        <w:t xml:space="preserve">(5 min):</w:t>
      </w:r>
    </w:p>
    <w:p>
      <w:pPr>
        <w:pStyle w:val="Compact"/>
        <w:numPr>
          <w:ilvl w:val="1"/>
          <w:numId w:val="1631"/>
        </w:numPr>
      </w:pPr>
      <w:r>
        <w:t xml:space="preserve">“Percebam o padrão: IRS → poucas firmas grandes (refinarias, plataformas). CRS → muitas firmas médias (barracas). DRS → muitas firmas pequenas especializadas (advocacia).”</w:t>
      </w:r>
    </w:p>
    <w:p>
      <w:pPr>
        <w:pStyle w:val="Compact"/>
        <w:numPr>
          <w:ilvl w:val="1"/>
          <w:numId w:val="1631"/>
        </w:numPr>
      </w:pPr>
      <w:r>
        <w:t xml:space="preserve">“Rendimentos de escala explicam</w:t>
      </w:r>
      <w:r>
        <w:t xml:space="preserve"> </w:t>
      </w:r>
      <w:r>
        <w:rPr>
          <w:i/>
          <w:iCs/>
        </w:rPr>
        <w:t xml:space="preserve">por que</w:t>
      </w:r>
      <w:r>
        <w:t xml:space="preserve"> </w:t>
      </w:r>
      <w:r>
        <w:t xml:space="preserve">alguns mercados são oligopólios naturais e outros são competitivos — tema do Capítulo 12.”</w:t>
      </w:r>
    </w:p>
    <w:p>
      <w:pPr>
        <w:pStyle w:val="Compact"/>
        <w:numPr>
          <w:ilvl w:val="1"/>
          <w:numId w:val="1631"/>
        </w:numPr>
      </w:pPr>
      <w:r>
        <w:t xml:space="preserve">“O CADE analisa alegações de economias de escala em toda fusão — exatamente este cálculo que vocês fizeram de cabeça.”</w:t>
      </w:r>
    </w:p>
    <w:p>
      <w:pPr>
        <w:pStyle w:val="BlockText"/>
      </w:pPr>
      <w:r>
        <w:rPr>
          <w:b/>
          <w:bCs/>
        </w:rPr>
        <w:t xml:space="preserve">Conexão com o conteúdo:</w:t>
      </w:r>
      <w:r>
        <w:t xml:space="preserve"> </w:t>
      </w:r>
      <w:r>
        <w:t xml:space="preserve">Seção 10.3 (rendimentos de escala), Box Brasil sobre CADE (Seção 10.3), preparação para Capítulos 12–13.</w:t>
      </w:r>
    </w:p>
    <w:p>
      <w:pPr>
        <w:pStyle w:val="BlockText"/>
      </w:pPr>
      <w:r>
        <w:rPr>
          <w:b/>
          <w:bCs/>
        </w:rPr>
        <w:t xml:space="preserve">[ATIVIDADE DE SALA] Atividade 10.3 — Quem substitui quem? Elasticidade de substituição na prática (10 min)</w:t>
      </w:r>
    </w:p>
    <w:p>
      <w:pPr>
        <w:pStyle w:val="BlockText"/>
      </w:pPr>
      <w:r>
        <w:rPr>
          <w:b/>
          <w:bCs/>
        </w:rPr>
        <w:t xml:space="preserve">Objetivo:</w:t>
      </w:r>
      <w:r>
        <w:t xml:space="preserve"> </w:t>
      </w:r>
      <w:r>
        <w:t xml:space="preserve">Calibrar a intuição sobre σ — o parâmetro que determina se a automação é suave ou traumática.</w:t>
      </w:r>
    </w:p>
    <w:p>
      <w:pPr>
        <w:pStyle w:val="BlockText"/>
      </w:pPr>
      <w:r>
        <w:rPr>
          <w:b/>
          <w:bCs/>
        </w:rPr>
        <w:t xml:space="preserve">Material:</w:t>
      </w:r>
      <w:r>
        <w:t xml:space="preserve"> </w:t>
      </w:r>
      <w:r>
        <w:t xml:space="preserve">Nenhum (projeção).</w:t>
      </w:r>
    </w:p>
    <w:p>
      <w:pPr>
        <w:pStyle w:val="BlockText"/>
      </w:pPr>
      <w:r>
        <w:rPr>
          <w:b/>
          <w:bCs/>
        </w:rPr>
        <w:t xml:space="preserve">Protocolo:</w:t>
      </w:r>
    </w:p>
    <w:p>
      <w:pPr>
        <w:pStyle w:val="Compact"/>
        <w:numPr>
          <w:ilvl w:val="0"/>
          <w:numId w:val="1632"/>
        </w:numPr>
      </w:pPr>
      <w:r>
        <w:rPr>
          <w:b/>
          <w:bCs/>
        </w:rPr>
        <w:t xml:space="preserve">Ranking</w:t>
      </w:r>
      <w:r>
        <w:t xml:space="preserve"> </w:t>
      </w:r>
      <w:r>
        <w:t xml:space="preserve">(4 min): Projete 5 setores e peça que os alunos os ordenem do</w:t>
      </w:r>
      <w:r>
        <w:t xml:space="preserve"> </w:t>
      </w:r>
      <w:r>
        <w:rPr>
          <w:i/>
          <w:iCs/>
        </w:rPr>
        <w:t xml:space="preserve">mais fácil</w:t>
      </w:r>
      <w:r>
        <w:t xml:space="preserve"> </w:t>
      </w:r>
      <w:r>
        <w:t xml:space="preserve">ao</w:t>
      </w:r>
      <w:r>
        <w:t xml:space="preserve"> </w:t>
      </w:r>
      <w:r>
        <w:rPr>
          <w:i/>
          <w:iCs/>
        </w:rPr>
        <w:t xml:space="preserve">mais difícil</w:t>
      </w:r>
      <w:r>
        <w:t xml:space="preserve"> </w:t>
      </w:r>
      <w:r>
        <w:t xml:space="preserve">de substituir trabalho por capital (automação):</w:t>
      </w:r>
    </w:p>
    <w:p>
      <w:pPr>
        <w:pStyle w:val="Compact"/>
        <w:numPr>
          <w:ilvl w:val="1"/>
          <w:numId w:val="1633"/>
        </w:numPr>
      </w:pPr>
      <w:r>
        <w:t xml:space="preserve">Caixa de supermercado → Motorista de caminhão → Cirurgião → Atendente de call center → Pedreiro</w:t>
      </w:r>
    </w:p>
    <w:p>
      <w:pPr>
        <w:pStyle w:val="Compact"/>
        <w:numPr>
          <w:ilvl w:val="0"/>
          <w:numId w:val="1632"/>
        </w:numPr>
      </w:pPr>
      <w:r>
        <w:rPr>
          <w:b/>
          <w:bCs/>
        </w:rPr>
        <w:t xml:space="preserve">Debate</w:t>
      </w:r>
      <w:r>
        <w:t xml:space="preserve"> </w:t>
      </w:r>
      <w:r>
        <w:t xml:space="preserve">(3 min): Compare os rankings. Tipicamente: call center &gt; caixa &gt; motorista &gt; pedreiro &gt; cirurgião. Pergunte:</w:t>
      </w:r>
      <w:r>
        <w:t xml:space="preserve"> </w:t>
      </w:r>
      <w:r>
        <w:t xml:space="preserve">“Qual tem σ mais alto? Qual tem σ mais baixo?”</w:t>
      </w:r>
    </w:p>
    <w:p>
      <w:pPr>
        <w:pStyle w:val="Compact"/>
        <w:numPr>
          <w:ilvl w:val="0"/>
          <w:numId w:val="1632"/>
        </w:numPr>
      </w:pPr>
      <w:r>
        <w:rPr>
          <w:b/>
          <w:bCs/>
        </w:rPr>
        <w:t xml:space="preserve">Debrief</w:t>
      </w:r>
      <w:r>
        <w:t xml:space="preserve"> </w:t>
      </w:r>
      <w:r>
        <w:t xml:space="preserve">(3 min):</w:t>
      </w:r>
    </w:p>
    <w:p>
      <w:pPr>
        <w:pStyle w:val="Compact"/>
        <w:numPr>
          <w:ilvl w:val="1"/>
          <w:numId w:val="1634"/>
        </w:numPr>
      </w:pPr>
      <w:r>
        <w:t xml:space="preserve">“O σ alto (call center → chatbot) significa isoquanta quase reta: a firma facilmente troca pessoas por máquinas. O σ baixo (cirurgião) significa isoquanta quase em L: a máquina não substitui o humano.”</w:t>
      </w:r>
    </w:p>
    <w:p>
      <w:pPr>
        <w:pStyle w:val="Compact"/>
        <w:numPr>
          <w:ilvl w:val="1"/>
          <w:numId w:val="1634"/>
        </w:numPr>
      </w:pPr>
      <w:r>
        <w:t xml:space="preserve">“Chirinko (2008) encontrou σ ≈ 0,4–0,6 para a manufatura como um todo. Mas varia enormemente entre setores — e é por isso que a automação não desloca todos os trabalhadores igualmente.”</w:t>
      </w:r>
    </w:p>
    <w:p>
      <w:pPr>
        <w:pStyle w:val="Compact"/>
        <w:numPr>
          <w:ilvl w:val="1"/>
          <w:numId w:val="1634"/>
        </w:numPr>
      </w:pPr>
      <w:r>
        <w:t xml:space="preserve">Conecte com Acemoglu e Restrepo (2019) e o debate sobre IA e futuro do trabalho.</w:t>
      </w:r>
    </w:p>
    <w:p>
      <w:pPr>
        <w:pStyle w:val="BlockText"/>
      </w:pPr>
      <w:r>
        <w:rPr>
          <w:b/>
          <w:bCs/>
        </w:rPr>
        <w:t xml:space="preserve">Conexão com o conteúdo:</w:t>
      </w:r>
      <w:r>
        <w:t xml:space="preserve"> </w:t>
      </w:r>
      <w:r>
        <w:t xml:space="preserve">Seção 10.4 (elasticidade de substituição), Box Mundo 10.2 (labor share), Chirinko (2008).</w:t>
      </w:r>
    </w:p>
    <w:p>
      <w:r>
        <w:pict>
          <v:rect style="width:0;height:1.5pt" o:hralign="center" o:hrstd="t" o:hr="t"/>
        </w:pict>
      </w:r>
    </w:p>
    <w:p>
      <w:pPr>
        <w:pStyle w:val="FirstParagraph"/>
      </w:pPr>
      <w:r>
        <w:t xml:space="preserve">[FIGURA INTERATIVA: /micro-book/graficos/cap10/webr-cobb-douglas.html — versao interativa disponivel online]</w:t>
      </w:r>
    </w:p>
    <w:p>
      <w:pPr>
        <w:pStyle w:val="BodyText"/>
      </w:pPr>
      <w:r>
        <w:rPr>
          <w:b/>
          <w:bCs/>
        </w:rPr>
        <w:t xml:space="preserve">WebR 10.1 — Estimando uma Cobb-Douglas com dados estilizados da PIA/IBGE.</w:t>
      </w:r>
      <w:r>
        <w:t xml:space="preserve"> </w:t>
      </w:r>
      <w:r>
        <w:t xml:space="preserve">O código estima α, β e A por MQO, testa rendimentos constantes de escala (H₀: α + β = 1) e plota isoquantas estimadas. Altere os parâmetros verdadeiros e re-execute para ver como a estimação se comporta.</w:t>
      </w:r>
    </w:p>
    <w:p>
      <w:pPr>
        <w:pStyle w:val="BodyText"/>
      </w:pPr>
      <w:r>
        <w:t xml:space="preserve">[FIGURA INTERATIVA: /micro-book/graficos/cap10/webr-pmg-pme.html — versao interativa disponivel online]</w:t>
      </w:r>
    </w:p>
    <w:p>
      <w:pPr>
        <w:pStyle w:val="BodyText"/>
      </w:pPr>
      <w:r>
        <w:rPr>
          <w:b/>
          <w:bCs/>
        </w:rPr>
        <w:t xml:space="preserve">WebR 10.2 — Produto total, marginal e médio.</w:t>
      </w:r>
      <w:r>
        <w:t xml:space="preserve"> </w:t>
      </w:r>
      <w:r>
        <w:t xml:space="preserve">A tangente à curva de PT dá o PMg; a secante dá o PMe. Com α &lt; 1, rendimentos marginais decrescentes — o PMg puxa o PMe para baixo. Altere α para 1.2 e veja rendimentos crescentes!</w:t>
      </w:r>
    </w:p>
    <w:p>
      <w:pPr>
        <w:pStyle w:val="BodyText"/>
      </w:pPr>
      <w:r>
        <w:t xml:space="preserve">[FIGURA INTERATIVA: /micro-book/graficos/cap10/webr-rendimentos.html — versao interativa disponivel online]</w:t>
      </w:r>
    </w:p>
    <w:p>
      <w:pPr>
        <w:pStyle w:val="BodyText"/>
      </w:pPr>
      <w:r>
        <w:rPr>
          <w:b/>
          <w:bCs/>
        </w:rPr>
        <w:t xml:space="preserve">WebR 10.3 — CRS, IRS e DRS lado a lado.</w:t>
      </w:r>
      <w:r>
        <w:t xml:space="preserve"> </w:t>
      </w:r>
      <w:r>
        <w:t xml:space="preserve">Três painéis de isoquantas mostram como o espaçamento muda com α + β. Com CRS, espaçamento uniforme; com IRS, isoquantas se aproximam; com DRS, se afastam.</w:t>
      </w:r>
    </w:p>
    <w:p>
      <w:pPr>
        <w:pStyle w:val="BodyText"/>
      </w:pPr>
      <w:r>
        <w:t xml:space="preserve">[FIGURA INTERATIVA: /micro-book/graficos/cap10/webr-elasticidade-substituicao.html — versao interativa disponivel online]</w:t>
      </w:r>
    </w:p>
    <w:p>
      <w:pPr>
        <w:pStyle w:val="BodyText"/>
      </w:pPr>
      <w:r>
        <w:rPr>
          <w:b/>
          <w:bCs/>
        </w:rPr>
        <w:t xml:space="preserve">WebR 10.4 — Elasticidade de substituição σ: de Leontief a substitutos perfeitos.</w:t>
      </w:r>
      <w:r>
        <w:t xml:space="preserve"> </w:t>
      </w:r>
      <w:r>
        <w:t xml:space="preserve">Quatro valores de σ geram isoquantas de formas radicalmente diferentes. Cobb-Douglas (σ=1) é um caso especial da família CES.</w:t>
      </w:r>
    </w:p>
    <w:p>
      <w:r>
        <w:pict>
          <v:rect style="width:0;height:1.5pt" o:hralign="center" o:hrstd="t" o:hr="t"/>
        </w:pict>
      </w:r>
    </w:p>
    <w:bookmarkStart w:id="665" w:name="revisão-rápida-11"/>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Uma função de produção</w:t>
      </w:r>
      <w:r>
        <w:rPr>
          <w:b/>
          <w:bCs/>
        </w:rPr>
        <w:t xml:space="preserve"> </w:t>
      </w:r>
      <m:oMath>
        <m:r>
          <m:t>f</m:t>
        </m:r>
        <m:r>
          <m:rPr>
            <m:sty m:val="p"/>
          </m:rPr>
          <m:t>(</m:t>
        </m:r>
        <m:r>
          <m:t>K</m:t>
        </m:r>
        <m:r>
          <m:rPr>
            <m:sty m:val="p"/>
          </m:rPr>
          <m:t>,</m:t>
        </m:r>
        <m:r>
          <m:t>L</m:t>
        </m:r>
        <m:r>
          <m:rPr>
            <m:sty m:val="p"/>
          </m:rPr>
          <m:t>)</m:t>
        </m:r>
      </m:oMath>
      <w:r>
        <w:rPr>
          <w:b/>
          <w:bCs/>
        </w:rPr>
        <w:t xml:space="preserve"> </w:t>
      </w:r>
      <w:r>
        <w:rPr>
          <w:b/>
          <w:bCs/>
        </w:rPr>
        <w:t xml:space="preserve">apresenta rendimentos crescentes de escala se:</w:t>
      </w:r>
    </w:p>
    <w:p>
      <w:pPr>
        <w:pStyle w:val="Compact"/>
        <w:numPr>
          <w:ilvl w:val="0"/>
          <w:numId w:val="1635"/>
        </w:numPr>
      </w:pPr>
    </w:p>
    <w:p>
      <w:pPr>
        <w:pStyle w:val="Compact"/>
        <w:numPr>
          <w:ilvl w:val="1"/>
          <w:numId w:val="1636"/>
        </w:numPr>
      </w:pPr>
      <m:oMath>
        <m:r>
          <m:t>f</m:t>
        </m:r>
        <m:r>
          <m:rPr>
            <m:sty m:val="p"/>
          </m:rPr>
          <m:t>(</m:t>
        </m:r>
        <m:r>
          <m:t>t</m:t>
        </m:r>
        <m:r>
          <m:t>K</m:t>
        </m:r>
        <m:r>
          <m:rPr>
            <m:sty m:val="p"/>
          </m:rPr>
          <m:t>,</m:t>
        </m:r>
        <m:r>
          <m:t>t</m:t>
        </m:r>
        <m:r>
          <m:t>L</m:t>
        </m:r>
        <m:r>
          <m:rPr>
            <m:sty m:val="p"/>
          </m:rPr>
          <m:t>)</m:t>
        </m:r>
        <m:r>
          <m:rPr>
            <m:sty m:val="p"/>
          </m:rPr>
          <m:t>=</m:t>
        </m:r>
        <m:r>
          <m:t>t</m:t>
        </m:r>
        <m:r>
          <m:rPr>
            <m:sty m:val="p"/>
          </m:rPr>
          <m:t>⋅</m:t>
        </m:r>
        <m:r>
          <m:t>f</m:t>
        </m:r>
        <m:r>
          <m:rPr>
            <m:sty m:val="p"/>
          </m:rPr>
          <m:t>(</m:t>
        </m:r>
        <m:r>
          <m:t>K</m:t>
        </m:r>
        <m:r>
          <m:rPr>
            <m:sty m:val="p"/>
          </m:rPr>
          <m:t>,</m:t>
        </m:r>
        <m:r>
          <m:t>L</m:t>
        </m:r>
        <m:r>
          <m:rPr>
            <m:sty m:val="p"/>
          </m:rPr>
          <m:t>)</m:t>
        </m:r>
      </m:oMath>
      <w:r>
        <w:t xml:space="preserve"> </w:t>
      </w:r>
      <w:r>
        <w:t xml:space="preserve">para todo</w:t>
      </w:r>
      <w:r>
        <w:t xml:space="preserve"> </w:t>
      </w:r>
      <m:oMath>
        <m:r>
          <m:t>t</m:t>
        </m:r>
        <m:r>
          <m:rPr>
            <m:sty m:val="p"/>
          </m:rPr>
          <m:t>&gt;</m:t>
        </m:r>
        <m:r>
          <m:t>1</m:t>
        </m:r>
      </m:oMath>
    </w:p>
    <w:p>
      <w:pPr>
        <w:pStyle w:val="Compact"/>
        <w:numPr>
          <w:ilvl w:val="0"/>
          <w:numId w:val="1635"/>
        </w:numPr>
      </w:pPr>
    </w:p>
    <w:p>
      <w:pPr>
        <w:pStyle w:val="Compact"/>
        <w:numPr>
          <w:ilvl w:val="1"/>
          <w:numId w:val="1637"/>
        </w:numPr>
      </w:pPr>
      <m:oMath>
        <m:r>
          <m:t>f</m:t>
        </m:r>
        <m:r>
          <m:rPr>
            <m:sty m:val="p"/>
          </m:rPr>
          <m:t>(</m:t>
        </m:r>
        <m:r>
          <m:t>t</m:t>
        </m:r>
        <m:r>
          <m:t>K</m:t>
        </m:r>
        <m:r>
          <m:rPr>
            <m:sty m:val="p"/>
          </m:rPr>
          <m:t>,</m:t>
        </m:r>
        <m:r>
          <m:t>t</m:t>
        </m:r>
        <m:r>
          <m:t>L</m:t>
        </m:r>
        <m:r>
          <m:rPr>
            <m:sty m:val="p"/>
          </m:rPr>
          <m:t>)</m:t>
        </m:r>
        <m:r>
          <m:rPr>
            <m:sty m:val="p"/>
          </m:rPr>
          <m:t>&gt;</m:t>
        </m:r>
        <m:r>
          <m:t>t</m:t>
        </m:r>
        <m:r>
          <m:rPr>
            <m:sty m:val="p"/>
          </m:rPr>
          <m:t>⋅</m:t>
        </m:r>
        <m:r>
          <m:t>f</m:t>
        </m:r>
        <m:r>
          <m:rPr>
            <m:sty m:val="p"/>
          </m:rPr>
          <m:t>(</m:t>
        </m:r>
        <m:r>
          <m:t>K</m:t>
        </m:r>
        <m:r>
          <m:rPr>
            <m:sty m:val="p"/>
          </m:rPr>
          <m:t>,</m:t>
        </m:r>
        <m:r>
          <m:t>L</m:t>
        </m:r>
        <m:r>
          <m:rPr>
            <m:sty m:val="p"/>
          </m:rPr>
          <m:t>)</m:t>
        </m:r>
      </m:oMath>
      <w:r>
        <w:t xml:space="preserve"> </w:t>
      </w:r>
      <w:r>
        <w:t xml:space="preserve">para todo</w:t>
      </w:r>
      <w:r>
        <w:t xml:space="preserve"> </w:t>
      </w:r>
      <m:oMath>
        <m:r>
          <m:t>t</m:t>
        </m:r>
        <m:r>
          <m:rPr>
            <m:sty m:val="p"/>
          </m:rPr>
          <m:t>&gt;</m:t>
        </m:r>
        <m:r>
          <m:t>1</m:t>
        </m:r>
      </m:oMath>
    </w:p>
    <w:p>
      <w:pPr>
        <w:pStyle w:val="Compact"/>
        <w:numPr>
          <w:ilvl w:val="0"/>
          <w:numId w:val="1635"/>
        </w:numPr>
      </w:pPr>
    </w:p>
    <w:p>
      <w:pPr>
        <w:pStyle w:val="Compact"/>
        <w:numPr>
          <w:ilvl w:val="1"/>
          <w:numId w:val="1638"/>
        </w:numPr>
      </w:pPr>
      <w:r>
        <w:t xml:space="preserve">O produto marginal do trabalho é crescente</w:t>
      </w:r>
    </w:p>
    <w:p>
      <w:pPr>
        <w:pStyle w:val="Compact"/>
        <w:numPr>
          <w:ilvl w:val="0"/>
          <w:numId w:val="1635"/>
        </w:numPr>
      </w:pPr>
    </w:p>
    <w:p>
      <w:pPr>
        <w:pStyle w:val="Compact"/>
        <w:numPr>
          <w:ilvl w:val="1"/>
          <w:numId w:val="1639"/>
        </w:numPr>
      </w:pPr>
      <w:r>
        <w:t xml:space="preserve">A TMST é constante ao longo de uma isoquanta</w:t>
      </w:r>
    </w:p>
    <w:p>
      <w:pPr>
        <w:pStyle w:val="BlockText"/>
      </w:pPr>
      <w:r>
        <w:t xml:space="preserve">??? success</w:t>
      </w:r>
      <w:r>
        <w:t xml:space="preserve"> </w:t>
      </w:r>
      <w:r>
        <w:t xml:space="preserve">“Resposta”</w:t>
      </w:r>
      <w:r>
        <w:t xml:space="preserve"> </w:t>
      </w:r>
      <w:r>
        <w:rPr>
          <w:b/>
          <w:bCs/>
        </w:rPr>
        <w:t xml:space="preserve">(b)</w:t>
      </w:r>
      <w:r>
        <w:t xml:space="preserve"> </w:t>
      </w:r>
      <w:r>
        <w:t xml:space="preserve">Rendimentos crescentes de escala significam que dobrar todos os insumos mais que dobra o produto. Formalmente,</w:t>
      </w:r>
      <w:r>
        <w:t xml:space="preserve"> </w:t>
      </w:r>
      <m:oMath>
        <m:r>
          <m:t>f</m:t>
        </m:r>
        <m:r>
          <m:rPr>
            <m:sty m:val="p"/>
          </m:rPr>
          <m:t>(</m:t>
        </m:r>
        <m:r>
          <m:t>t</m:t>
        </m:r>
        <m:r>
          <m:t>K</m:t>
        </m:r>
        <m:r>
          <m:rPr>
            <m:sty m:val="p"/>
          </m:rPr>
          <m:t>,</m:t>
        </m:r>
        <m:r>
          <m:t>t</m:t>
        </m:r>
        <m:r>
          <m:t>L</m:t>
        </m:r>
        <m:r>
          <m:rPr>
            <m:sty m:val="p"/>
          </m:rPr>
          <m:t>)</m:t>
        </m:r>
        <m:r>
          <m:rPr>
            <m:sty m:val="p"/>
          </m:rPr>
          <m:t>&gt;</m:t>
        </m:r>
        <m:r>
          <m:t>t</m:t>
        </m:r>
        <m:r>
          <m:rPr>
            <m:sty m:val="p"/>
          </m:rPr>
          <m:t>⋅</m:t>
        </m:r>
        <m:r>
          <m:t>f</m:t>
        </m:r>
        <m:r>
          <m:rPr>
            <m:sty m:val="p"/>
          </m:rPr>
          <m:t>(</m:t>
        </m:r>
        <m:r>
          <m:t>K</m:t>
        </m:r>
        <m:r>
          <m:rPr>
            <m:sty m:val="p"/>
          </m:rPr>
          <m:t>,</m:t>
        </m:r>
        <m:r>
          <m:t>L</m:t>
        </m:r>
        <m:r>
          <m:rPr>
            <m:sty m:val="p"/>
          </m:rPr>
          <m:t>)</m:t>
        </m:r>
      </m:oMath>
      <w:r>
        <w:t xml:space="preserve"> </w:t>
      </w:r>
      <w:r>
        <w:t xml:space="preserve">para</w:t>
      </w:r>
      <w:r>
        <w:t xml:space="preserve"> </w:t>
      </w:r>
      <m:oMath>
        <m:r>
          <m:t>t</m:t>
        </m:r>
        <m:r>
          <m:rPr>
            <m:sty m:val="p"/>
          </m:rPr>
          <m:t>&gt;</m:t>
        </m:r>
        <m:r>
          <m:t>1</m:t>
        </m:r>
      </m:oMath>
      <w:r>
        <w:t xml:space="preserve">. A alternativa (a) descreve rendimentos constantes (homogeneidade de grau 1); (c) descreve rendimentos crescentes do fator trabalho, não de escala; (d) descreve substitutos perfeitos na produção.</w:t>
      </w:r>
    </w:p>
    <w:p>
      <w:pPr>
        <w:pStyle w:val="BlockText"/>
      </w:pPr>
      <w:r>
        <w:rPr>
          <w:b/>
          <w:bCs/>
        </w:rPr>
        <w:t xml:space="preserve">[QUESTAO] 2. Para a função Cobb-Douglas</w:t>
      </w:r>
      <w:r>
        <w:rPr>
          <w:b/>
          <w:bCs/>
        </w:rPr>
        <w:t xml:space="preserve"> </w:t>
      </w:r>
      <m:oMath>
        <m:r>
          <m:t>f</m:t>
        </m:r>
        <m:r>
          <m:rPr>
            <m:sty m:val="p"/>
          </m:rPr>
          <m:t>(</m:t>
        </m:r>
        <m:r>
          <m:t>K</m:t>
        </m:r>
        <m:r>
          <m:rPr>
            <m:sty m:val="p"/>
          </m:rPr>
          <m:t>,</m:t>
        </m:r>
        <m:r>
          <m:t>L</m:t>
        </m:r>
        <m:r>
          <m:rPr>
            <m:sty m:val="p"/>
          </m:rPr>
          <m:t>)</m:t>
        </m:r>
        <m:r>
          <m:rPr>
            <m:sty m:val="p"/>
          </m:rPr>
          <m:t>=</m:t>
        </m:r>
        <m:r>
          <m:t>A</m:t>
        </m:r>
        <m:sSup>
          <m:e>
            <m:r>
              <m:t>K</m:t>
            </m:r>
          </m:e>
          <m:sup>
            <m:r>
              <m:t>α</m:t>
            </m:r>
          </m:sup>
        </m:sSup>
        <m:sSup>
          <m:e>
            <m:r>
              <m:t>L</m:t>
            </m:r>
          </m:e>
          <m:sup>
            <m:r>
              <m:t>β</m:t>
            </m:r>
          </m:sup>
        </m:sSup>
      </m:oMath>
      <w:r>
        <w:rPr>
          <w:b/>
          <w:bCs/>
        </w:rPr>
        <w:t xml:space="preserve">, os rendimentos de escala são determinados por:</w:t>
      </w:r>
    </w:p>
    <w:p>
      <w:pPr>
        <w:pStyle w:val="Compact"/>
        <w:numPr>
          <w:ilvl w:val="0"/>
          <w:numId w:val="1640"/>
        </w:numPr>
      </w:pPr>
    </w:p>
    <w:p>
      <w:pPr>
        <w:pStyle w:val="Compact"/>
        <w:numPr>
          <w:ilvl w:val="1"/>
          <w:numId w:val="1641"/>
        </w:numPr>
      </w:pPr>
      <w:r>
        <w:t xml:space="preserve">O valor de</w:t>
      </w:r>
      <w:r>
        <w:t xml:space="preserve"> </w:t>
      </w:r>
      <m:oMath>
        <m:r>
          <m:t>A</m:t>
        </m:r>
      </m:oMath>
    </w:p>
    <w:p>
      <w:pPr>
        <w:pStyle w:val="Compact"/>
        <w:numPr>
          <w:ilvl w:val="0"/>
          <w:numId w:val="1640"/>
        </w:numPr>
      </w:pPr>
    </w:p>
    <w:p>
      <w:pPr>
        <w:pStyle w:val="Compact"/>
        <w:numPr>
          <w:ilvl w:val="1"/>
          <w:numId w:val="1642"/>
        </w:numPr>
      </w:pPr>
      <w:r>
        <w:t xml:space="preserve">A soma</w:t>
      </w:r>
      <w:r>
        <w:t xml:space="preserve"> </w:t>
      </w:r>
      <m:oMath>
        <m:r>
          <m:t>α</m:t>
        </m:r>
        <m:r>
          <m:rPr>
            <m:sty m:val="p"/>
          </m:rPr>
          <m:t>+</m:t>
        </m:r>
        <m:r>
          <m:t>β</m:t>
        </m:r>
      </m:oMath>
      <w:r>
        <w:t xml:space="preserve">: crescentes se</w:t>
      </w:r>
      <w:r>
        <w:t xml:space="preserve"> </w:t>
      </w:r>
      <m:oMath>
        <m:r>
          <m:rPr>
            <m:sty m:val="p"/>
          </m:rPr>
          <m:t>&gt;</m:t>
        </m:r>
        <m:r>
          <m:t>1</m:t>
        </m:r>
      </m:oMath>
      <w:r>
        <w:t xml:space="preserve">, constantes se</w:t>
      </w:r>
      <w:r>
        <w:t xml:space="preserve"> </w:t>
      </w:r>
      <m:oMath>
        <m:r>
          <m:rPr>
            <m:sty m:val="p"/>
          </m:rPr>
          <m:t>=</m:t>
        </m:r>
        <m:r>
          <m:t>1</m:t>
        </m:r>
      </m:oMath>
      <w:r>
        <w:t xml:space="preserve">, decrescentes se</w:t>
      </w:r>
      <w:r>
        <w:t xml:space="preserve"> </w:t>
      </w:r>
      <m:oMath>
        <m:r>
          <m:rPr>
            <m:sty m:val="p"/>
          </m:rPr>
          <m:t>&lt;</m:t>
        </m:r>
        <m:r>
          <m:t>1</m:t>
        </m:r>
      </m:oMath>
    </w:p>
    <w:p>
      <w:pPr>
        <w:pStyle w:val="Compact"/>
        <w:numPr>
          <w:ilvl w:val="0"/>
          <w:numId w:val="1640"/>
        </w:numPr>
      </w:pPr>
    </w:p>
    <w:p>
      <w:pPr>
        <w:pStyle w:val="Compact"/>
        <w:numPr>
          <w:ilvl w:val="1"/>
          <w:numId w:val="1643"/>
        </w:numPr>
      </w:pPr>
      <w:r>
        <w:t xml:space="preserve">O produto</w:t>
      </w:r>
      <w:r>
        <w:t xml:space="preserve"> </w:t>
      </w:r>
      <m:oMath>
        <m:r>
          <m:t>α</m:t>
        </m:r>
        <m:r>
          <m:rPr>
            <m:sty m:val="p"/>
          </m:rPr>
          <m:t>⋅</m:t>
        </m:r>
        <m:r>
          <m:t>β</m:t>
        </m:r>
      </m:oMath>
    </w:p>
    <w:p>
      <w:pPr>
        <w:pStyle w:val="Compact"/>
        <w:numPr>
          <w:ilvl w:val="0"/>
          <w:numId w:val="1640"/>
        </w:numPr>
      </w:pPr>
    </w:p>
    <w:p>
      <w:pPr>
        <w:pStyle w:val="Compact"/>
        <w:numPr>
          <w:ilvl w:val="1"/>
          <w:numId w:val="1644"/>
        </w:numPr>
      </w:pPr>
      <w:r>
        <w:t xml:space="preserve">A razão</w:t>
      </w:r>
      <w:r>
        <w:t xml:space="preserve"> </w:t>
      </w:r>
      <m:oMath>
        <m:r>
          <m:t>α</m:t>
        </m:r>
        <m:r>
          <m:rPr>
            <m:sty m:val="p"/>
          </m:rPr>
          <m:t>/</m:t>
        </m:r>
        <m:r>
          <m:t>β</m:t>
        </m:r>
      </m:oMath>
    </w:p>
    <w:p>
      <w:pPr>
        <w:pStyle w:val="BlockText"/>
      </w:pPr>
      <w:r>
        <w:t xml:space="preserve">??? success</w:t>
      </w:r>
      <w:r>
        <w:t xml:space="preserve"> </w:t>
      </w:r>
      <w:r>
        <w:t xml:space="preserve">“Resposta”</w:t>
      </w:r>
      <w:r>
        <w:t xml:space="preserve"> </w:t>
      </w:r>
      <w:r>
        <w:rPr>
          <w:b/>
          <w:bCs/>
        </w:rPr>
        <w:t xml:space="preserve">(b)</w:t>
      </w:r>
      <w:r>
        <w:t xml:space="preserve"> </w:t>
      </w:r>
      <w:r>
        <w:t xml:space="preserve">Para Cobb-Douglas,</w:t>
      </w:r>
      <w:r>
        <w:t xml:space="preserve"> </w:t>
      </w:r>
      <m:oMath>
        <m:r>
          <m:t>f</m:t>
        </m:r>
        <m:r>
          <m:rPr>
            <m:sty m:val="p"/>
          </m:rPr>
          <m:t>(</m:t>
        </m:r>
        <m:r>
          <m:t>t</m:t>
        </m:r>
        <m:r>
          <m:t>K</m:t>
        </m:r>
        <m:r>
          <m:rPr>
            <m:sty m:val="p"/>
          </m:rPr>
          <m:t>,</m:t>
        </m:r>
        <m:r>
          <m:t>t</m:t>
        </m:r>
        <m:r>
          <m:t>L</m:t>
        </m:r>
        <m:r>
          <m:rPr>
            <m:sty m:val="p"/>
          </m:rPr>
          <m:t>)</m:t>
        </m:r>
        <m:r>
          <m:rPr>
            <m:sty m:val="p"/>
          </m:rPr>
          <m:t>=</m:t>
        </m:r>
        <m:sSup>
          <m:e>
            <m:r>
              <m:t>t</m:t>
            </m:r>
          </m:e>
          <m:sup>
            <m:r>
              <m:t>α</m:t>
            </m:r>
            <m:r>
              <m:rPr>
                <m:sty m:val="p"/>
              </m:rPr>
              <m:t>+</m:t>
            </m:r>
            <m:r>
              <m:t>β</m:t>
            </m:r>
          </m:sup>
        </m:sSup>
        <m:r>
          <m:t>f</m:t>
        </m:r>
        <m:r>
          <m:rPr>
            <m:sty m:val="p"/>
          </m:rPr>
          <m:t>(</m:t>
        </m:r>
        <m:r>
          <m:t>K</m:t>
        </m:r>
        <m:r>
          <m:rPr>
            <m:sty m:val="p"/>
          </m:rPr>
          <m:t>,</m:t>
        </m:r>
        <m:r>
          <m:t>L</m:t>
        </m:r>
        <m:r>
          <m:rPr>
            <m:sty m:val="p"/>
          </m:rPr>
          <m:t>)</m:t>
        </m:r>
      </m:oMath>
      <w:r>
        <w:t xml:space="preserve">. Se</w:t>
      </w:r>
      <w:r>
        <w:t xml:space="preserve"> </w:t>
      </w:r>
      <m:oMath>
        <m:r>
          <m:t>α</m:t>
        </m:r>
        <m:r>
          <m:rPr>
            <m:sty m:val="p"/>
          </m:rPr>
          <m:t>+</m:t>
        </m:r>
        <m:r>
          <m:t>β</m:t>
        </m:r>
        <m:r>
          <m:rPr>
            <m:sty m:val="p"/>
          </m:rPr>
          <m:t>&gt;</m:t>
        </m:r>
        <m:r>
          <m:t>1</m:t>
        </m:r>
      </m:oMath>
      <w:r>
        <w:t xml:space="preserve">, rendimentos crescentes; se</w:t>
      </w:r>
      <w:r>
        <w:t xml:space="preserve"> </w:t>
      </w:r>
      <m:oMath>
        <m:r>
          <m:rPr>
            <m:sty m:val="p"/>
          </m:rPr>
          <m:t>=</m:t>
        </m:r>
        <m:r>
          <m:t>1</m:t>
        </m:r>
      </m:oMath>
      <w:r>
        <w:t xml:space="preserve">, constantes; se</w:t>
      </w:r>
      <w:r>
        <w:t xml:space="preserve"> </w:t>
      </w:r>
      <m:oMath>
        <m:r>
          <m:rPr>
            <m:sty m:val="p"/>
          </m:rPr>
          <m:t>&lt;</m:t>
        </m:r>
        <m:r>
          <m:t>1</m:t>
        </m:r>
      </m:oMath>
      <w:r>
        <w:t xml:space="preserve">, decrescentes. O parâmetro</w:t>
      </w:r>
      <w:r>
        <w:t xml:space="preserve"> </w:t>
      </w:r>
      <m:oMath>
        <m:r>
          <m:t>A</m:t>
        </m:r>
      </m:oMath>
      <w:r>
        <w:t xml:space="preserve"> </w:t>
      </w:r>
      <w:r>
        <w:t xml:space="preserve">(a) é um fator de produtividade que não afeta os rendimentos de escala; (c) e (d) não determinam a homogeneidade.</w:t>
      </w:r>
    </w:p>
    <w:p>
      <w:pPr>
        <w:pStyle w:val="BlockText"/>
      </w:pPr>
      <w:r>
        <w:rPr>
          <w:b/>
          <w:bCs/>
        </w:rPr>
        <w:t xml:space="preserve">[QUESTAO] 3. A Taxa Marginal de Substituição Técnica (TMST) entre capital e trabalho mede:</w:t>
      </w:r>
    </w:p>
    <w:p>
      <w:pPr>
        <w:pStyle w:val="Compact"/>
        <w:numPr>
          <w:ilvl w:val="0"/>
          <w:numId w:val="1645"/>
        </w:numPr>
      </w:pPr>
    </w:p>
    <w:p>
      <w:pPr>
        <w:pStyle w:val="Compact"/>
        <w:numPr>
          <w:ilvl w:val="1"/>
          <w:numId w:val="1646"/>
        </w:numPr>
      </w:pPr>
      <w:r>
        <w:t xml:space="preserve">O custo de substituir uma unidade de capital por trabalho no mercado</w:t>
      </w:r>
    </w:p>
    <w:p>
      <w:pPr>
        <w:pStyle w:val="Compact"/>
        <w:numPr>
          <w:ilvl w:val="0"/>
          <w:numId w:val="1645"/>
        </w:numPr>
      </w:pPr>
    </w:p>
    <w:p>
      <w:pPr>
        <w:pStyle w:val="Compact"/>
        <w:numPr>
          <w:ilvl w:val="1"/>
          <w:numId w:val="1647"/>
        </w:numPr>
      </w:pPr>
      <w:r>
        <w:t xml:space="preserve">A quantidade de capital que a firma pode dispensar ao empregar uma unidade adicional de trabalho, mantendo a produção constante</w:t>
      </w:r>
    </w:p>
    <w:p>
      <w:pPr>
        <w:pStyle w:val="Compact"/>
        <w:numPr>
          <w:ilvl w:val="0"/>
          <w:numId w:val="1645"/>
        </w:numPr>
      </w:pPr>
    </w:p>
    <w:p>
      <w:pPr>
        <w:pStyle w:val="Compact"/>
        <w:numPr>
          <w:ilvl w:val="1"/>
          <w:numId w:val="1648"/>
        </w:numPr>
      </w:pPr>
      <w:r>
        <w:t xml:space="preserve">A razão entre os preços dos insumos</w:t>
      </w:r>
    </w:p>
    <w:p>
      <w:pPr>
        <w:pStyle w:val="Compact"/>
        <w:numPr>
          <w:ilvl w:val="0"/>
          <w:numId w:val="1645"/>
        </w:numPr>
      </w:pPr>
    </w:p>
    <w:p>
      <w:pPr>
        <w:pStyle w:val="Compact"/>
        <w:numPr>
          <w:ilvl w:val="1"/>
          <w:numId w:val="1649"/>
        </w:numPr>
      </w:pPr>
      <w:r>
        <w:t xml:space="preserve">A elasticidade de substituição entre os insumos</w:t>
      </w:r>
    </w:p>
    <w:p>
      <w:pPr>
        <w:pStyle w:val="BlockText"/>
      </w:pPr>
      <w:r>
        <w:t xml:space="preserve">??? success</w:t>
      </w:r>
      <w:r>
        <w:t xml:space="preserve"> </w:t>
      </w:r>
      <w:r>
        <w:t xml:space="preserve">“Resposta”</w:t>
      </w:r>
      <w:r>
        <w:t xml:space="preserve"> </w:t>
      </w:r>
      <w:r>
        <w:rPr>
          <w:b/>
          <w:bCs/>
        </w:rPr>
        <w:t xml:space="preserve">(b)</w:t>
      </w:r>
      <w:r>
        <w:t xml:space="preserve"> </w:t>
      </w:r>
      <w:r>
        <w:t xml:space="preserve">A TMST é a inclinação da isoquanta:</w:t>
      </w:r>
      <w:r>
        <w:t xml:space="preserve"> </w:t>
      </w:r>
      <m:oMath>
        <m:sSub>
          <m:e>
            <m:r>
              <m:rPr>
                <m:nor/>
                <m:sty m:val="p"/>
              </m:rPr>
              <m:t>TMST</m:t>
            </m:r>
          </m:e>
          <m:sub>
            <m:r>
              <m:t>L</m:t>
            </m:r>
            <m:r>
              <m:t>K</m:t>
            </m:r>
          </m:sub>
        </m:sSub>
        <m:r>
          <m:rPr>
            <m:sty m:val="p"/>
          </m:rPr>
          <m:t>=</m:t>
        </m:r>
        <m:r>
          <m:rPr>
            <m:sty m:val="p"/>
          </m:rPr>
          <m:t>−</m:t>
        </m:r>
        <m:r>
          <m:t>d</m:t>
        </m:r>
        <m:r>
          <m:t>K</m:t>
        </m:r>
        <m:r>
          <m:rPr>
            <m:sty m:val="p"/>
          </m:rPr>
          <m:t>/</m:t>
        </m:r>
        <m:r>
          <m:t>d</m:t>
        </m:r>
        <m:r>
          <m:t>L</m:t>
        </m:r>
        <m:sSub>
          <m:e>
            <m:r>
              <m:rPr>
                <m:sty m:val="p"/>
              </m:rPr>
              <m:t>|</m:t>
            </m:r>
          </m:e>
          <m:sub>
            <m:r>
              <m:t>q</m:t>
            </m:r>
            <m:r>
              <m:rPr>
                <m:sty m:val="p"/>
              </m:rPr>
              <m:t>=</m:t>
            </m:r>
            <m:acc>
              <m:accPr>
                <m:chr m:val="‾"/>
              </m:accPr>
              <m:e>
                <m:r>
                  <m:t>q</m:t>
                </m:r>
              </m:e>
            </m:acc>
          </m:sub>
        </m:sSub>
        <m:r>
          <m:rPr>
            <m:sty m:val="p"/>
          </m:rPr>
          <m:t>=</m:t>
        </m:r>
        <m:sSub>
          <m:e>
            <m:r>
              <m:rPr>
                <m:nor/>
                <m:sty m:val="p"/>
              </m:rPr>
              <m:t>PMg</m:t>
            </m:r>
          </m:e>
          <m:sub>
            <m:r>
              <m:t>L</m:t>
            </m:r>
          </m:sub>
        </m:sSub>
        <m:r>
          <m:rPr>
            <m:sty m:val="p"/>
          </m:rPr>
          <m:t>/</m:t>
        </m:r>
        <m:sSub>
          <m:e>
            <m:r>
              <m:rPr>
                <m:nor/>
                <m:sty m:val="p"/>
              </m:rPr>
              <m:t>PMg</m:t>
            </m:r>
          </m:e>
          <m:sub>
            <m:r>
              <m:t>K</m:t>
            </m:r>
          </m:sub>
        </m:sSub>
      </m:oMath>
      <w:r>
        <w:t xml:space="preserve">. Mede a taxa à qual a firma pode trocar capital por trabalho mantendo o produto. A alternativa (c) descreve a inclinação da isocusto; (a) confunde TMST com custo de mercado; (d) é um conceito relacionado mas distinto (</w:t>
      </w:r>
      <m:oMath>
        <m:r>
          <m:t>σ</m:t>
        </m:r>
      </m:oMath>
      <w:r>
        <w:t xml:space="preserve"> </w:t>
      </w:r>
      <w:r>
        <w:t xml:space="preserve">mede a curvatura da isoquanta).</w:t>
      </w:r>
    </w:p>
    <w:p>
      <w:pPr>
        <w:pStyle w:val="BlockText"/>
      </w:pPr>
      <w:r>
        <w:rPr>
          <w:b/>
          <w:bCs/>
        </w:rPr>
        <w:t xml:space="preserve">[QUESTAO] 4. A lei dos rendimentos marginais decrescentes afirma que:</w:t>
      </w:r>
    </w:p>
    <w:p>
      <w:pPr>
        <w:pStyle w:val="Compact"/>
        <w:numPr>
          <w:ilvl w:val="0"/>
          <w:numId w:val="1650"/>
        </w:numPr>
      </w:pPr>
    </w:p>
    <w:p>
      <w:pPr>
        <w:pStyle w:val="Compact"/>
        <w:numPr>
          <w:ilvl w:val="1"/>
          <w:numId w:val="1651"/>
        </w:numPr>
      </w:pPr>
      <w:r>
        <w:t xml:space="preserve">Quando todos os insumos aumentam, o produto total eventualmente diminui</w:t>
      </w:r>
    </w:p>
    <w:p>
      <w:pPr>
        <w:pStyle w:val="Compact"/>
        <w:numPr>
          <w:ilvl w:val="0"/>
          <w:numId w:val="1650"/>
        </w:numPr>
      </w:pPr>
    </w:p>
    <w:p>
      <w:pPr>
        <w:pStyle w:val="Compact"/>
        <w:numPr>
          <w:ilvl w:val="1"/>
          <w:numId w:val="1652"/>
        </w:numPr>
      </w:pPr>
      <w:r>
        <w:t xml:space="preserve">Quando um insumo aumenta com os demais fixos, seu produto marginal eventualmente diminui</w:t>
      </w:r>
    </w:p>
    <w:p>
      <w:pPr>
        <w:pStyle w:val="Compact"/>
        <w:numPr>
          <w:ilvl w:val="0"/>
          <w:numId w:val="1650"/>
        </w:numPr>
      </w:pPr>
    </w:p>
    <w:p>
      <w:pPr>
        <w:pStyle w:val="Compact"/>
        <w:numPr>
          <w:ilvl w:val="1"/>
          <w:numId w:val="1653"/>
        </w:numPr>
      </w:pPr>
      <w:r>
        <w:t xml:space="preserve">O custo médio é sempre crescente</w:t>
      </w:r>
    </w:p>
    <w:p>
      <w:pPr>
        <w:pStyle w:val="Compact"/>
        <w:numPr>
          <w:ilvl w:val="0"/>
          <w:numId w:val="1650"/>
        </w:numPr>
      </w:pPr>
    </w:p>
    <w:p>
      <w:pPr>
        <w:pStyle w:val="Compact"/>
        <w:numPr>
          <w:ilvl w:val="1"/>
          <w:numId w:val="1654"/>
        </w:numPr>
      </w:pPr>
      <w:r>
        <w:t xml:space="preserve">As isoquantas se tornam retas à medida que a produção aumenta</w:t>
      </w:r>
    </w:p>
    <w:p>
      <w:pPr>
        <w:pStyle w:val="BlockText"/>
      </w:pPr>
      <w:r>
        <w:t xml:space="preserve">??? success</w:t>
      </w:r>
      <w:r>
        <w:t xml:space="preserve"> </w:t>
      </w:r>
      <w:r>
        <w:t xml:space="preserve">“Resposta”</w:t>
      </w:r>
      <w:r>
        <w:t xml:space="preserve"> </w:t>
      </w:r>
      <w:r>
        <w:rPr>
          <w:b/>
          <w:bCs/>
        </w:rPr>
        <w:t xml:space="preserve">(b)</w:t>
      </w:r>
      <w:r>
        <w:t xml:space="preserve"> </w:t>
      </w:r>
      <w:r>
        <w:t xml:space="preserve">A lei dos rendimentos marginais decrescentes aplica-se ao curto prazo: mantendo pelo menos um insumo fixo, o produto marginal do insumo variável eventualmente cai. Isso não diz que o produto total diminui (a) — apenas que cresce a taxas decrescentes. A alternativa (a) confunde rendimentos decrescentes do fator com rendimentos de escala; (c) não segue necessariamente.</w:t>
      </w:r>
    </w:p>
    <w:p>
      <w:pPr>
        <w:pStyle w:val="BlockText"/>
      </w:pPr>
      <w:r>
        <w:rPr>
          <w:b/>
          <w:bCs/>
        </w:rPr>
        <w:t xml:space="preserve">[QUESTAO] 5. Uma função de produção é homotética quando:</w:t>
      </w:r>
    </w:p>
    <w:p>
      <w:pPr>
        <w:pStyle w:val="Compact"/>
        <w:numPr>
          <w:ilvl w:val="0"/>
          <w:numId w:val="1655"/>
        </w:numPr>
      </w:pPr>
    </w:p>
    <w:p>
      <w:pPr>
        <w:pStyle w:val="Compact"/>
        <w:numPr>
          <w:ilvl w:val="1"/>
          <w:numId w:val="1656"/>
        </w:numPr>
      </w:pPr>
      <w:r>
        <w:t xml:space="preserve">Os rendimentos de escala são sempre constantes</w:t>
      </w:r>
    </w:p>
    <w:p>
      <w:pPr>
        <w:pStyle w:val="Compact"/>
        <w:numPr>
          <w:ilvl w:val="0"/>
          <w:numId w:val="1655"/>
        </w:numPr>
      </w:pPr>
    </w:p>
    <w:p>
      <w:pPr>
        <w:pStyle w:val="Compact"/>
        <w:numPr>
          <w:ilvl w:val="1"/>
          <w:numId w:val="1657"/>
        </w:numPr>
      </w:pPr>
      <w:r>
        <w:t xml:space="preserve">A TMST depende apenas da razão</w:t>
      </w:r>
      <w:r>
        <w:t xml:space="preserve"> </w:t>
      </w:r>
      <m:oMath>
        <m:r>
          <m:t>K</m:t>
        </m:r>
        <m:r>
          <m:rPr>
            <m:sty m:val="p"/>
          </m:rPr>
          <m:t>/</m:t>
        </m:r>
        <m:r>
          <m:t>L</m:t>
        </m:r>
      </m:oMath>
      <w:r>
        <w:t xml:space="preserve">, não do nível de produção — as isoquantas são</w:t>
      </w:r>
      <w:r>
        <w:t xml:space="preserve"> </w:t>
      </w:r>
      <w:r>
        <w:t xml:space="preserve">‘cópias ampliadas’</w:t>
      </w:r>
      <w:r>
        <w:t xml:space="preserve"> </w:t>
      </w:r>
      <w:r>
        <w:t xml:space="preserve">umas das outras</w:t>
      </w:r>
    </w:p>
    <w:p>
      <w:pPr>
        <w:pStyle w:val="Compact"/>
        <w:numPr>
          <w:ilvl w:val="0"/>
          <w:numId w:val="1655"/>
        </w:numPr>
      </w:pPr>
    </w:p>
    <w:p>
      <w:pPr>
        <w:pStyle w:val="Compact"/>
        <w:numPr>
          <w:ilvl w:val="1"/>
          <w:numId w:val="1658"/>
        </w:numPr>
      </w:pPr>
      <w:r>
        <w:t xml:space="preserve">O produto marginal de cada insumo é constante</w:t>
      </w:r>
    </w:p>
    <w:p>
      <w:pPr>
        <w:pStyle w:val="Compact"/>
        <w:numPr>
          <w:ilvl w:val="0"/>
          <w:numId w:val="1655"/>
        </w:numPr>
      </w:pPr>
    </w:p>
    <w:p>
      <w:pPr>
        <w:pStyle w:val="Compact"/>
        <w:numPr>
          <w:ilvl w:val="1"/>
          <w:numId w:val="1659"/>
        </w:numPr>
      </w:pPr>
      <w:r>
        <w:t xml:space="preserve">A elasticidade de substituição é infinita</w:t>
      </w:r>
    </w:p>
    <w:p>
      <w:pPr>
        <w:pStyle w:val="BlockText"/>
      </w:pPr>
      <w:r>
        <w:t xml:space="preserve">??? success</w:t>
      </w:r>
      <w:r>
        <w:t xml:space="preserve"> </w:t>
      </w:r>
      <w:r>
        <w:t xml:space="preserve">“Resposta”</w:t>
      </w:r>
      <w:r>
        <w:t xml:space="preserve"> </w:t>
      </w:r>
      <w:r>
        <w:rPr>
          <w:b/>
          <w:bCs/>
        </w:rPr>
        <w:t xml:space="preserve">(b)</w:t>
      </w:r>
      <w:r>
        <w:t xml:space="preserve"> </w:t>
      </w:r>
      <w:r>
        <w:t xml:space="preserve">Homoteticidade significa que a TMST em qualquer ponto da isoquanta depende apenas da razão capital-trabalho, não da escala. A expansão da produção ao longo de um raio a partir da origem mantém a proporção ótima dos insumos. A alternativa (a) é restritiva — funções homotéticas podem ter rendimentos variáveis; (c) descreve uma função linear nos insumos; (d) descreve substitutos perfeitos.</w:t>
      </w:r>
    </w:p>
    <w:p>
      <w:r>
        <w:pict>
          <v:rect style="width:0;height:1.5pt" o:hralign="center" o:hrstd="t" o:hr="t"/>
        </w:pict>
      </w:r>
    </w:p>
    <w:bookmarkEnd w:id="665"/>
    <w:bookmarkStart w:id="666" w:name="resumo-do-capítulo-11"/>
    <w:p>
      <w:pPr>
        <w:pStyle w:val="Heading3"/>
      </w:pPr>
      <w:r>
        <w:t xml:space="preserve">📋 Resumo do Capítulo</w:t>
      </w:r>
    </w:p>
    <w:p>
      <w:pPr>
        <w:pStyle w:val="Compact"/>
        <w:numPr>
          <w:ilvl w:val="0"/>
          <w:numId w:val="1660"/>
        </w:numPr>
      </w:pPr>
      <w:r>
        <w:t xml:space="preserve">A</w:t>
      </w:r>
      <w:r>
        <w:t xml:space="preserve"> </w:t>
      </w:r>
      <w:r>
        <w:rPr>
          <w:b/>
          <w:bCs/>
        </w:rPr>
        <w:t xml:space="preserve">função de produção</w:t>
      </w:r>
      <w:r>
        <w:t xml:space="preserve"> </w:t>
      </w:r>
      <m:oMath>
        <m:r>
          <m:t>q</m:t>
        </m:r>
        <m:r>
          <m:rPr>
            <m:sty m:val="p"/>
          </m:rPr>
          <m:t>=</m:t>
        </m:r>
        <m:r>
          <m:t>f</m:t>
        </m:r>
        <m:r>
          <m:rPr>
            <m:sty m:val="p"/>
          </m:rPr>
          <m:t>(</m:t>
        </m:r>
        <m:r>
          <m:t>K</m:t>
        </m:r>
        <m:r>
          <m:rPr>
            <m:sty m:val="p"/>
          </m:rPr>
          <m:t>,</m:t>
        </m:r>
        <m:r>
          <m:t>L</m:t>
        </m:r>
        <m:r>
          <m:rPr>
            <m:sty m:val="p"/>
          </m:rPr>
          <m:t>)</m:t>
        </m:r>
      </m:oMath>
      <w:r>
        <w:t xml:space="preserve"> </w:t>
      </w:r>
      <w:r>
        <w:t xml:space="preserve">descreve a quantidade máxima de produto obtida a partir de capital e trabalho, sintetizando a tecnologia da firma. Dela derivam-se o produto marginal, o produto médio e a lei dos rendimentos marginais decrescentes.</w:t>
      </w:r>
    </w:p>
    <w:p>
      <w:pPr>
        <w:pStyle w:val="Compact"/>
        <w:numPr>
          <w:ilvl w:val="0"/>
          <w:numId w:val="1660"/>
        </w:numPr>
      </w:pPr>
      <w:r>
        <w:t xml:space="preserve">As</w:t>
      </w:r>
      <w:r>
        <w:t xml:space="preserve"> </w:t>
      </w:r>
      <w:r>
        <w:rPr>
          <w:b/>
          <w:bCs/>
        </w:rPr>
        <w:t xml:space="preserve">isoquantas</w:t>
      </w:r>
      <w:r>
        <w:t xml:space="preserve"> </w:t>
      </w:r>
      <w:r>
        <w:t xml:space="preserve">representam combinações de insumos que geram o mesmo nível de produto, e a</w:t>
      </w:r>
      <w:r>
        <w:t xml:space="preserve"> </w:t>
      </w:r>
      <w:r>
        <w:rPr>
          <w:b/>
          <w:bCs/>
        </w:rPr>
        <w:t xml:space="preserve">TMST</w:t>
      </w:r>
      <w:r>
        <w:t xml:space="preserve"> </w:t>
      </w:r>
      <w:r>
        <w:t xml:space="preserve">(taxa marginal de substituição técnica) mede a taxa à qual a firma pode trocar um insumo por outro mantendo a produção constante.</w:t>
      </w:r>
    </w:p>
    <w:p>
      <w:pPr>
        <w:pStyle w:val="Compact"/>
        <w:numPr>
          <w:ilvl w:val="0"/>
          <w:numId w:val="1660"/>
        </w:numPr>
      </w:pPr>
      <w:r>
        <w:t xml:space="preserve">Os</w:t>
      </w:r>
      <w:r>
        <w:t xml:space="preserve"> </w:t>
      </w:r>
      <w:r>
        <w:rPr>
          <w:b/>
          <w:bCs/>
        </w:rPr>
        <w:t xml:space="preserve">rendimentos de escala</w:t>
      </w:r>
      <w:r>
        <w:t xml:space="preserve"> </w:t>
      </w:r>
      <w:r>
        <w:t xml:space="preserve">classificam a tecnologia segundo o que ocorre com o produto quando todos os insumos são multiplicados por um mesmo fator: crescentes, constantes ou decrescentes. Esse conceito é distinto da lei dos rendimentos marginais decrescentes, que se aplica à variação de um único insumo.</w:t>
      </w:r>
    </w:p>
    <w:p>
      <w:pPr>
        <w:pStyle w:val="Compact"/>
        <w:numPr>
          <w:ilvl w:val="0"/>
          <w:numId w:val="1660"/>
        </w:numPr>
      </w:pPr>
      <w:r>
        <w:t xml:space="preserve">A</w:t>
      </w:r>
      <w:r>
        <w:t xml:space="preserve"> </w:t>
      </w:r>
      <w:r>
        <w:rPr>
          <w:b/>
          <w:bCs/>
        </w:rPr>
        <w:t xml:space="preserve">elasticidade de substituição</w:t>
      </w:r>
      <w:r>
        <w:t xml:space="preserve"> </w:t>
      </w:r>
      <w:r>
        <w:t xml:space="preserve">(</w:t>
      </w:r>
      <m:oMath>
        <m:r>
          <m:t>σ</m:t>
        </m:r>
      </m:oMath>
      <w:r>
        <w:t xml:space="preserve">) mede a facilidade com que a firma substitui capital por trabalho ao longo de uma isoquanta, sendo um parâmetro central que diferencia as famílias de funções de produção (linear, Leontief, Cobb-Douglas e CES).</w:t>
      </w:r>
    </w:p>
    <w:p>
      <w:pPr>
        <w:pStyle w:val="Compact"/>
        <w:numPr>
          <w:ilvl w:val="0"/>
          <w:numId w:val="1660"/>
        </w:numPr>
      </w:pPr>
      <w:r>
        <w:t xml:space="preserve">As quatro funções de produção clássicas —</w:t>
      </w:r>
      <w:r>
        <w:t xml:space="preserve"> </w:t>
      </w:r>
      <w:r>
        <w:rPr>
          <w:b/>
          <w:bCs/>
        </w:rPr>
        <w:t xml:space="preserve">linear</w:t>
      </w:r>
      <w:r>
        <w:t xml:space="preserve"> </w:t>
      </w:r>
      <w:r>
        <w:t xml:space="preserve">(</w:t>
      </w:r>
      <m:oMath>
        <m:r>
          <m:t>σ</m:t>
        </m:r>
        <m:r>
          <m:rPr>
            <m:sty m:val="p"/>
          </m:rPr>
          <m:t>=</m:t>
        </m:r>
        <m:r>
          <m:rPr>
            <m:sty m:val="p"/>
          </m:rPr>
          <m:t>∞</m:t>
        </m:r>
      </m:oMath>
      <w:r>
        <w:t xml:space="preserve">),</w:t>
      </w:r>
      <w:r>
        <w:t xml:space="preserve"> </w:t>
      </w:r>
      <w:r>
        <w:rPr>
          <w:b/>
          <w:bCs/>
        </w:rPr>
        <w:t xml:space="preserve">Leontief</w:t>
      </w:r>
      <w:r>
        <w:t xml:space="preserve"> </w:t>
      </w:r>
      <w:r>
        <w:t xml:space="preserve">(</w:t>
      </w:r>
      <m:oMath>
        <m:r>
          <m:t>σ</m:t>
        </m:r>
        <m:r>
          <m:rPr>
            <m:sty m:val="p"/>
          </m:rPr>
          <m:t>=</m:t>
        </m:r>
        <m:r>
          <m:t>0</m:t>
        </m:r>
      </m:oMath>
      <w:r>
        <w:t xml:space="preserve">),</w:t>
      </w:r>
      <w:r>
        <w:t xml:space="preserve"> </w:t>
      </w:r>
      <w:r>
        <w:rPr>
          <w:b/>
          <w:bCs/>
        </w:rPr>
        <w:t xml:space="preserve">Cobb-Douglas</w:t>
      </w:r>
      <w:r>
        <w:t xml:space="preserve"> </w:t>
      </w:r>
      <w:r>
        <w:t xml:space="preserve">(</w:t>
      </w:r>
      <m:oMath>
        <m:r>
          <m:t>σ</m:t>
        </m:r>
        <m:r>
          <m:rPr>
            <m:sty m:val="p"/>
          </m:rPr>
          <m:t>=</m:t>
        </m:r>
        <m:r>
          <m:t>1</m:t>
        </m:r>
      </m:oMath>
      <w:r>
        <w:t xml:space="preserve">) e</w:t>
      </w:r>
      <w:r>
        <w:t xml:space="preserve"> </w:t>
      </w:r>
      <w:r>
        <w:rPr>
          <w:b/>
          <w:bCs/>
        </w:rPr>
        <w:t xml:space="preserve">CES</w:t>
      </w:r>
      <w:r>
        <w:t xml:space="preserve"> </w:t>
      </w:r>
      <w:r>
        <w:t xml:space="preserve">(</w:t>
      </w:r>
      <m:oMath>
        <m:r>
          <m:t>σ</m:t>
        </m:r>
      </m:oMath>
      <w:r>
        <w:t xml:space="preserve"> </w:t>
      </w:r>
      <w:r>
        <w:t xml:space="preserve">livre) — cobrem todo o espectro de substituibilidade entre insumos e são amplamente utilizadas na análise empírica.</w:t>
      </w:r>
    </w:p>
    <w:p>
      <w:pPr>
        <w:pStyle w:val="Compact"/>
        <w:numPr>
          <w:ilvl w:val="0"/>
          <w:numId w:val="1660"/>
        </w:numPr>
      </w:pPr>
      <w:r>
        <w:t xml:space="preserve">O</w:t>
      </w:r>
      <w:r>
        <w:t xml:space="preserve"> </w:t>
      </w:r>
      <w:r>
        <w:rPr>
          <w:b/>
          <w:bCs/>
        </w:rPr>
        <w:t xml:space="preserve">progresso técnico</w:t>
      </w:r>
      <w:r>
        <w:t xml:space="preserve"> </w:t>
      </w:r>
      <w:r>
        <w:t xml:space="preserve">desloca a função de produção para cima ao longo do tempo, podendo ser neutro (Hicks, Harrod ou Solow) ou enviesado, e é o principal motor do crescimento da produtividade no longo prazo — como ilustra a revolução agrícola da Embrapa no Brasil.</w:t>
      </w:r>
    </w:p>
    <w:bookmarkEnd w:id="666"/>
    <w:bookmarkStart w:id="667" w:name="conceitos-chave-11"/>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Função de produção</w:t>
            </w:r>
          </w:p>
        </w:tc>
        <w:tc>
          <w:tcPr/>
          <w:p>
            <w:pPr>
              <w:pStyle w:val="Compact"/>
            </w:pPr>
            <w:r>
              <w:t xml:space="preserve">Relação</w:t>
            </w:r>
            <w:r>
              <w:t xml:space="preserve"> </w:t>
            </w:r>
            <m:oMath>
              <m:r>
                <m:t>q</m:t>
              </m:r>
              <m:r>
                <m:rPr>
                  <m:sty m:val="p"/>
                </m:rPr>
                <m:t>=</m:t>
              </m:r>
              <m:r>
                <m:t>f</m:t>
              </m:r>
              <m:r>
                <m:rPr>
                  <m:sty m:val="p"/>
                </m:rPr>
                <m:t>(</m:t>
              </m:r>
              <m:r>
                <m:t>K</m:t>
              </m:r>
              <m:r>
                <m:rPr>
                  <m:sty m:val="p"/>
                </m:rPr>
                <m:t>,</m:t>
              </m:r>
              <m:r>
                <m:t>L</m:t>
              </m:r>
              <m:r>
                <m:rPr>
                  <m:sty m:val="p"/>
                </m:rPr>
                <m:t>)</m:t>
              </m:r>
            </m:oMath>
            <w:r>
              <w:t xml:space="preserve"> </w:t>
            </w:r>
            <w:r>
              <w:t xml:space="preserve">que descreve a quantidade máxima de produto para dadas quantidades de insumos e tecnologia.</w:t>
            </w:r>
          </w:p>
        </w:tc>
      </w:tr>
      <w:tr>
        <w:tc>
          <w:tcPr/>
          <w:p>
            <w:pPr>
              <w:pStyle w:val="Compact"/>
            </w:pPr>
            <w:r>
              <w:t xml:space="preserve">Produto marginal</w:t>
            </w:r>
          </w:p>
        </w:tc>
        <w:tc>
          <w:tcPr/>
          <w:p>
            <w:pPr>
              <w:pStyle w:val="Compact"/>
            </w:pPr>
            <w:r>
              <w:t xml:space="preserve">Acréscimo ao produto total resultante de uma unidade adicional de um insumo, mantidos os demais constantes (</w:t>
            </w:r>
            <m:oMath>
              <m:sSub>
                <m:e>
                  <m:r>
                    <m:rPr>
                      <m:sty m:val="p"/>
                    </m:rPr>
                    <m:t>P</m:t>
                  </m:r>
                  <m:r>
                    <m:rPr>
                      <m:sty m:val="p"/>
                    </m:rPr>
                    <m:t>M</m:t>
                  </m:r>
                  <m:r>
                    <m:rPr>
                      <m:sty m:val="p"/>
                    </m:rPr>
                    <m:t>g</m:t>
                  </m:r>
                </m:e>
                <m:sub>
                  <m:r>
                    <m:t>L</m:t>
                  </m:r>
                </m:sub>
              </m:sSub>
              <m:r>
                <m:rPr>
                  <m:sty m:val="p"/>
                </m:rPr>
                <m:t>=</m:t>
              </m:r>
              <m:r>
                <m:rPr>
                  <m:sty m:val="p"/>
                </m:rPr>
                <m:t>∂</m:t>
              </m:r>
              <m:r>
                <m:t>f</m:t>
              </m:r>
              <m:r>
                <m:rPr>
                  <m:sty m:val="p"/>
                </m:rPr>
                <m:t>/</m:t>
              </m:r>
              <m:r>
                <m:rPr>
                  <m:sty m:val="p"/>
                </m:rPr>
                <m:t>∂</m:t>
              </m:r>
              <m:r>
                <m:t>L</m:t>
              </m:r>
            </m:oMath>
            <w:r>
              <w:t xml:space="preserve">).</w:t>
            </w:r>
          </w:p>
        </w:tc>
      </w:tr>
      <w:tr>
        <w:tc>
          <w:tcPr/>
          <w:p>
            <w:pPr>
              <w:pStyle w:val="Compact"/>
            </w:pPr>
            <w:r>
              <w:t xml:space="preserve">Produto médio</w:t>
            </w:r>
          </w:p>
        </w:tc>
        <w:tc>
          <w:tcPr/>
          <w:p>
            <w:pPr>
              <w:pStyle w:val="Compact"/>
            </w:pPr>
            <w:r>
              <w:t xml:space="preserve">Razão entre o produto total e a quantidade do insumo (</w:t>
            </w:r>
            <m:oMath>
              <m:sSub>
                <m:e>
                  <m:r>
                    <m:rPr>
                      <m:sty m:val="p"/>
                    </m:rPr>
                    <m:t>P</m:t>
                  </m:r>
                  <m:r>
                    <m:rPr>
                      <m:sty m:val="p"/>
                    </m:rPr>
                    <m:t>M</m:t>
                  </m:r>
                  <m:r>
                    <m:rPr>
                      <m:sty m:val="p"/>
                    </m:rPr>
                    <m:t>e</m:t>
                  </m:r>
                </m:e>
                <m:sub>
                  <m:r>
                    <m:t>L</m:t>
                  </m:r>
                </m:sub>
              </m:sSub>
              <m:r>
                <m:rPr>
                  <m:sty m:val="p"/>
                </m:rPr>
                <m:t>=</m:t>
              </m:r>
              <m:r>
                <m:t>f</m:t>
              </m:r>
              <m:r>
                <m:rPr>
                  <m:sty m:val="p"/>
                </m:rPr>
                <m:t>(</m:t>
              </m:r>
              <m:r>
                <m:t>K</m:t>
              </m:r>
              <m:r>
                <m:rPr>
                  <m:sty m:val="p"/>
                </m:rPr>
                <m:t>,</m:t>
              </m:r>
              <m:r>
                <m:t>L</m:t>
              </m:r>
              <m:r>
                <m:rPr>
                  <m:sty m:val="p"/>
                </m:rPr>
                <m:t>)</m:t>
              </m:r>
              <m:r>
                <m:rPr>
                  <m:sty m:val="p"/>
                </m:rPr>
                <m:t>/</m:t>
              </m:r>
              <m:r>
                <m:t>L</m:t>
              </m:r>
            </m:oMath>
            <w:r>
              <w:t xml:space="preserve">).</w:t>
            </w:r>
          </w:p>
        </w:tc>
      </w:tr>
      <w:tr>
        <w:tc>
          <w:tcPr/>
          <w:p>
            <w:pPr>
              <w:pStyle w:val="Compact"/>
            </w:pPr>
            <w:r>
              <w:t xml:space="preserve">Lei dos rendimentos marginais decrescentes</w:t>
            </w:r>
          </w:p>
        </w:tc>
        <w:tc>
          <w:tcPr/>
          <w:p>
            <w:pPr>
              <w:pStyle w:val="Compact"/>
            </w:pPr>
            <w:r>
              <w:t xml:space="preserve">A partir de certo ponto, cada unidade adicional de um insumo variável (com os demais fixos) gera acréscimos menores ao produto.</w:t>
            </w:r>
          </w:p>
        </w:tc>
      </w:tr>
      <w:tr>
        <w:tc>
          <w:tcPr/>
          <w:p>
            <w:pPr>
              <w:pStyle w:val="Compact"/>
            </w:pPr>
            <w:r>
              <w:t xml:space="preserve">Isoquanta</w:t>
            </w:r>
          </w:p>
        </w:tc>
        <w:tc>
          <w:tcPr/>
          <w:p>
            <w:pPr>
              <w:pStyle w:val="Compact"/>
            </w:pPr>
            <w:r>
              <w:t xml:space="preserve">Curva que representa todas as combinações de insumos que geram o mesmo nível de produto.</w:t>
            </w:r>
          </w:p>
        </w:tc>
      </w:tr>
      <w:tr>
        <w:tc>
          <w:tcPr/>
          <w:p>
            <w:pPr>
              <w:pStyle w:val="Compact"/>
            </w:pPr>
            <w:r>
              <w:t xml:space="preserve">TMST</w:t>
            </w:r>
          </w:p>
        </w:tc>
        <w:tc>
          <w:tcPr/>
          <w:p>
            <w:pPr>
              <w:pStyle w:val="Compact"/>
            </w:pPr>
            <w:r>
              <w:t xml:space="preserve">Taxa marginal de substituição técnica: razão dos produtos marginais (</w:t>
            </w:r>
            <m:oMath>
              <m:sSub>
                <m:e>
                  <m:r>
                    <m:rPr>
                      <m:sty m:val="p"/>
                    </m:rPr>
                    <m:t>P</m:t>
                  </m:r>
                  <m:r>
                    <m:rPr>
                      <m:sty m:val="p"/>
                    </m:rPr>
                    <m:t>M</m:t>
                  </m:r>
                  <m:r>
                    <m:rPr>
                      <m:sty m:val="p"/>
                    </m:rPr>
                    <m:t>g</m:t>
                  </m:r>
                </m:e>
                <m:sub>
                  <m:r>
                    <m:t>L</m:t>
                  </m:r>
                </m:sub>
              </m:sSub>
              <m:r>
                <m:rPr>
                  <m:sty m:val="p"/>
                </m:rPr>
                <m:t>/</m:t>
              </m:r>
              <m:sSub>
                <m:e>
                  <m:r>
                    <m:rPr>
                      <m:sty m:val="p"/>
                    </m:rPr>
                    <m:t>P</m:t>
                  </m:r>
                  <m:r>
                    <m:rPr>
                      <m:sty m:val="p"/>
                    </m:rPr>
                    <m:t>M</m:t>
                  </m:r>
                  <m:r>
                    <m:rPr>
                      <m:sty m:val="p"/>
                    </m:rPr>
                    <m:t>g</m:t>
                  </m:r>
                </m:e>
                <m:sub>
                  <m:r>
                    <m:t>K</m:t>
                  </m:r>
                </m:sub>
              </m:sSub>
            </m:oMath>
            <w:r>
              <w:t xml:space="preserve">), indicando a taxa de troca entre insumos ao longo da isoquanta.</w:t>
            </w:r>
          </w:p>
        </w:tc>
      </w:tr>
      <w:tr>
        <w:tc>
          <w:tcPr/>
          <w:p>
            <w:pPr>
              <w:pStyle w:val="Compact"/>
            </w:pPr>
            <w:r>
              <w:t xml:space="preserve">Rendimentos de escala</w:t>
            </w:r>
          </w:p>
        </w:tc>
        <w:tc>
          <w:tcPr/>
          <w:p>
            <w:pPr>
              <w:pStyle w:val="Compact"/>
            </w:pPr>
            <w:r>
              <w:t xml:space="preserve">Comportamento do produto quando todos os insumos são multiplicados por</w:t>
            </w:r>
            <w:r>
              <w:t xml:space="preserve"> </w:t>
            </w:r>
            <m:oMath>
              <m:r>
                <m:t>t</m:t>
              </m:r>
              <m:r>
                <m:rPr>
                  <m:sty m:val="p"/>
                </m:rPr>
                <m:t>&gt;</m:t>
              </m:r>
              <m:r>
                <m:t>1</m:t>
              </m:r>
            </m:oMath>
            <w:r>
              <w:t xml:space="preserve">: crescentes se</w:t>
            </w:r>
            <w:r>
              <w:t xml:space="preserve"> </w:t>
            </w:r>
            <m:oMath>
              <m:r>
                <m:t>f</m:t>
              </m:r>
              <m:r>
                <m:rPr>
                  <m:sty m:val="p"/>
                </m:rPr>
                <m:t>(</m:t>
              </m:r>
              <m:r>
                <m:t>t</m:t>
              </m:r>
              <m:r>
                <m:t>K</m:t>
              </m:r>
              <m:r>
                <m:rPr>
                  <m:sty m:val="p"/>
                </m:rPr>
                <m:t>,</m:t>
              </m:r>
              <m:r>
                <m:t>t</m:t>
              </m:r>
              <m:r>
                <m:t>L</m:t>
              </m:r>
              <m:r>
                <m:rPr>
                  <m:sty m:val="p"/>
                </m:rPr>
                <m:t>)</m:t>
              </m:r>
              <m:r>
                <m:rPr>
                  <m:sty m:val="p"/>
                </m:rPr>
                <m:t>&gt;</m:t>
              </m:r>
              <m:r>
                <m:t>t</m:t>
              </m:r>
              <m:r>
                <m:rPr>
                  <m:sty m:val="p"/>
                </m:rPr>
                <m:t>⋅</m:t>
              </m:r>
              <m:r>
                <m:t>f</m:t>
              </m:r>
              <m:r>
                <m:rPr>
                  <m:sty m:val="p"/>
                </m:rPr>
                <m:t>(</m:t>
              </m:r>
              <m:r>
                <m:t>K</m:t>
              </m:r>
              <m:r>
                <m:rPr>
                  <m:sty m:val="p"/>
                </m:rPr>
                <m:t>,</m:t>
              </m:r>
              <m:r>
                <m:t>L</m:t>
              </m:r>
              <m:r>
                <m:rPr>
                  <m:sty m:val="p"/>
                </m:rPr>
                <m:t>)</m:t>
              </m:r>
            </m:oMath>
            <w:r>
              <w:t xml:space="preserve">, constantes se igual, decrescentes se menor.</w:t>
            </w:r>
          </w:p>
        </w:tc>
      </w:tr>
      <w:tr>
        <w:tc>
          <w:tcPr/>
          <w:p>
            <w:pPr>
              <w:pStyle w:val="Compact"/>
            </w:pPr>
            <w:r>
              <w:t xml:space="preserve">Elasticidade de substituição (</w:t>
            </w:r>
            <m:oMath>
              <m:r>
                <m:t>σ</m:t>
              </m:r>
            </m:oMath>
            <w:r>
              <w:t xml:space="preserve">)</w:t>
            </w:r>
          </w:p>
        </w:tc>
        <w:tc>
          <w:tcPr/>
          <w:p>
            <w:pPr>
              <w:pStyle w:val="Compact"/>
            </w:pPr>
            <w:r>
              <w:t xml:space="preserve">Mede a variação percentual na razão</w:t>
            </w:r>
            <w:r>
              <w:t xml:space="preserve"> </w:t>
            </w:r>
            <m:oMath>
              <m:r>
                <m:t>K</m:t>
              </m:r>
              <m:r>
                <m:rPr>
                  <m:sty m:val="p"/>
                </m:rPr>
                <m:t>/</m:t>
              </m:r>
              <m:r>
                <m:t>L</m:t>
              </m:r>
            </m:oMath>
            <w:r>
              <w:t xml:space="preserve"> </w:t>
            </w:r>
            <w:r>
              <w:t xml:space="preserve">em resposta a uma variação percentual na TMST, capturando a facilidade de substituição entre insumos.</w:t>
            </w:r>
          </w:p>
        </w:tc>
      </w:tr>
      <w:tr>
        <w:tc>
          <w:tcPr/>
          <w:p>
            <w:pPr>
              <w:pStyle w:val="Compact"/>
            </w:pPr>
            <w:r>
              <w:t xml:space="preserve">Função CES</w:t>
            </w:r>
          </w:p>
        </w:tc>
        <w:tc>
          <w:tcPr/>
          <w:p>
            <w:pPr>
              <w:pStyle w:val="Compact"/>
            </w:pPr>
            <w:r>
              <w:t xml:space="preserve">Função de produção com elasticidade de substituição constante, que engloba como casos especiais a linear, a Cobb-Douglas e a Leontief.</w:t>
            </w:r>
          </w:p>
        </w:tc>
      </w:tr>
      <w:tr>
        <w:tc>
          <w:tcPr/>
          <w:p>
            <w:pPr>
              <w:pStyle w:val="Compact"/>
            </w:pPr>
            <w:r>
              <w:t xml:space="preserve">Progresso técnico</w:t>
            </w:r>
          </w:p>
        </w:tc>
        <w:tc>
          <w:tcPr/>
          <w:p>
            <w:pPr>
              <w:pStyle w:val="Compact"/>
            </w:pPr>
            <w:r>
              <w:t xml:space="preserve">Deslocamento da função de produção ao longo do tempo, classificado como neutro à Hicks, Harrod ou Solow conforme o viés sobre os insumos.</w:t>
            </w:r>
          </w:p>
        </w:tc>
      </w:tr>
    </w:tbl>
    <w:p>
      <w:pPr>
        <w:pStyle w:val="BodyText"/>
      </w:pPr>
      <w:r>
        <w:rPr>
          <w:b/>
          <w:bCs/>
        </w:rPr>
        <w:t xml:space="preserve">Tabela 10.2 — Conceitos-chave.</w:t>
      </w:r>
    </w:p>
    <w:p>
      <w:r>
        <w:pict>
          <v:rect style="width:0;height:1.5pt" o:hralign="center" o:hrstd="t" o:hr="t"/>
        </w:pict>
      </w:r>
    </w:p>
    <w:bookmarkEnd w:id="667"/>
    <w:bookmarkStart w:id="668" w:name="exercícios-14"/>
    <w:p>
      <w:pPr>
        <w:pStyle w:val="Heading3"/>
      </w:pPr>
      <w:r>
        <w:t xml:space="preserve">Exercícios</w:t>
      </w:r>
    </w:p>
    <w:p>
      <w:pPr>
        <w:pStyle w:val="FirstParagraph"/>
      </w:pPr>
      <w:r>
        <w:rPr>
          <w:b/>
          <w:bCs/>
        </w:rPr>
        <w:t xml:space="preserve">Exercício 10.1.</w:t>
      </w:r>
      <w:r>
        <w:t xml:space="preserve"> </w:t>
      </w:r>
      <w:r>
        <w:t xml:space="preserve">Considere a função de produção</w:t>
      </w:r>
      <w:r>
        <w:t xml:space="preserve"> </w:t>
      </w:r>
      <m:oMath>
        <m:r>
          <m:t>q</m:t>
        </m:r>
        <m:r>
          <m:rPr>
            <m:sty m:val="p"/>
          </m:rPr>
          <m:t>=</m:t>
        </m:r>
        <m:r>
          <m:t>10</m:t>
        </m:r>
        <m:sSup>
          <m:e>
            <m:r>
              <m:t>K</m:t>
            </m:r>
          </m:e>
          <m:sup>
            <m:r>
              <m:t>0</m:t>
            </m:r>
            <m:r>
              <m:rPr>
                <m:sty m:val="p"/>
              </m:rPr>
              <m:t>,</m:t>
            </m:r>
            <m:r>
              <m:t>3</m:t>
            </m:r>
          </m:sup>
        </m:sSup>
        <m:sSup>
          <m:e>
            <m:r>
              <m:t>L</m:t>
            </m:r>
          </m:e>
          <m:sup>
            <m:r>
              <m:t>0</m:t>
            </m:r>
            <m:r>
              <m:rPr>
                <m:sty m:val="p"/>
              </m:rPr>
              <m:t>,</m:t>
            </m:r>
            <m:r>
              <m:t>7</m:t>
            </m:r>
          </m:sup>
        </m:sSup>
      </m:oMath>
      <w:r>
        <w:t xml:space="preserve">.</w:t>
      </w:r>
    </w:p>
    <w:p>
      <w:pPr>
        <w:numPr>
          <w:ilvl w:val="0"/>
          <w:numId w:val="1661"/>
        </w:numPr>
      </w:pPr>
      <w:r>
        <w:t xml:space="preserve">Calcule os produtos marginais</w:t>
      </w:r>
      <w:r>
        <w:t xml:space="preserve"> </w:t>
      </w:r>
      <m:oMath>
        <m:sSub>
          <m:e>
            <m:r>
              <m:rPr>
                <m:sty m:val="p"/>
              </m:rPr>
              <m:t>P</m:t>
            </m:r>
            <m:r>
              <m:rPr>
                <m:sty m:val="p"/>
              </m:rPr>
              <m:t>M</m:t>
            </m:r>
            <m:r>
              <m:rPr>
                <m:sty m:val="p"/>
              </m:rPr>
              <m:t>g</m:t>
            </m:r>
          </m:e>
          <m:sub>
            <m:r>
              <m:t>K</m:t>
            </m:r>
          </m:sub>
        </m:sSub>
      </m:oMath>
      <w:r>
        <w:t xml:space="preserve"> </w:t>
      </w:r>
      <w:r>
        <w:t xml:space="preserve">e</w:t>
      </w:r>
      <w:r>
        <w:t xml:space="preserve"> </w:t>
      </w:r>
      <m:oMath>
        <m:sSub>
          <m:e>
            <m:r>
              <m:rPr>
                <m:sty m:val="p"/>
              </m:rPr>
              <m:t>P</m:t>
            </m:r>
            <m:r>
              <m:rPr>
                <m:sty m:val="p"/>
              </m:rPr>
              <m:t>M</m:t>
            </m:r>
            <m:r>
              <m:rPr>
                <m:sty m:val="p"/>
              </m:rPr>
              <m:t>g</m:t>
            </m:r>
          </m:e>
          <m:sub>
            <m:r>
              <m:t>L</m:t>
            </m:r>
          </m:sub>
        </m:sSub>
      </m:oMath>
      <w:r>
        <w:t xml:space="preserve">.</w:t>
      </w:r>
    </w:p>
    <w:p>
      <w:pPr>
        <w:numPr>
          <w:ilvl w:val="0"/>
          <w:numId w:val="1661"/>
        </w:numPr>
      </w:pPr>
      <w:r>
        <w:t xml:space="preserve">Verifique que os produtos marginais são decrescentes (i.e.,</w:t>
      </w:r>
      <w:r>
        <w:t xml:space="preserve"> </w:t>
      </w:r>
      <m:oMath>
        <m:sSup>
          <m:e>
            <m:r>
              <m:rPr>
                <m:sty m:val="p"/>
              </m:rPr>
              <m:t>∂</m:t>
            </m:r>
          </m:e>
          <m:sup>
            <m:r>
              <m:t>2</m:t>
            </m:r>
          </m:sup>
        </m:sSup>
        <m:r>
          <m:t>q</m:t>
        </m:r>
        <m:r>
          <m:rPr>
            <m:sty m:val="p"/>
          </m:rPr>
          <m:t>/</m:t>
        </m:r>
        <m:r>
          <m:rPr>
            <m:sty m:val="p"/>
          </m:rPr>
          <m:t>∂</m:t>
        </m:r>
        <m:sSup>
          <m:e>
            <m:r>
              <m:t>K</m:t>
            </m:r>
          </m:e>
          <m:sup>
            <m:r>
              <m:t>2</m:t>
            </m:r>
          </m:sup>
        </m:sSup>
        <m:r>
          <m:rPr>
            <m:sty m:val="p"/>
          </m:rPr>
          <m:t>&lt;</m:t>
        </m:r>
        <m:r>
          <m:t>0</m:t>
        </m:r>
      </m:oMath>
      <w:r>
        <w:t xml:space="preserve"> </w:t>
      </w:r>
      <w:r>
        <w:t xml:space="preserve">e</w:t>
      </w:r>
      <w:r>
        <w:t xml:space="preserve"> </w:t>
      </w:r>
      <m:oMath>
        <m:sSup>
          <m:e>
            <m:r>
              <m:rPr>
                <m:sty m:val="p"/>
              </m:rPr>
              <m:t>∂</m:t>
            </m:r>
          </m:e>
          <m:sup>
            <m:r>
              <m:t>2</m:t>
            </m:r>
          </m:sup>
        </m:sSup>
        <m:r>
          <m:t>q</m:t>
        </m:r>
        <m:r>
          <m:rPr>
            <m:sty m:val="p"/>
          </m:rPr>
          <m:t>/</m:t>
        </m:r>
        <m:r>
          <m:rPr>
            <m:sty m:val="p"/>
          </m:rPr>
          <m:t>∂</m:t>
        </m:r>
        <m:sSup>
          <m:e>
            <m:r>
              <m:t>L</m:t>
            </m:r>
          </m:e>
          <m:sup>
            <m:r>
              <m:t>2</m:t>
            </m:r>
          </m:sup>
        </m:sSup>
        <m:r>
          <m:rPr>
            <m:sty m:val="p"/>
          </m:rPr>
          <m:t>&lt;</m:t>
        </m:r>
        <m:r>
          <m:t>0</m:t>
        </m:r>
      </m:oMath>
      <w:r>
        <w:t xml:space="preserve">).</w:t>
      </w:r>
    </w:p>
    <w:p>
      <w:pPr>
        <w:numPr>
          <w:ilvl w:val="0"/>
          <w:numId w:val="1661"/>
        </w:numPr>
      </w:pPr>
      <w:r>
        <w:t xml:space="preserve">Determine a TMST e mostre que ela é decrescente ao longo de uma isoquanta.</w:t>
      </w:r>
    </w:p>
    <w:p>
      <w:pPr>
        <w:numPr>
          <w:ilvl w:val="0"/>
          <w:numId w:val="1661"/>
        </w:numPr>
      </w:pPr>
      <w:r>
        <w:t xml:space="preserve">Classifique os rendimentos de escala.</w:t>
      </w:r>
    </w:p>
    <w:p>
      <w:pPr>
        <w:numPr>
          <w:ilvl w:val="0"/>
          <w:numId w:val="1661"/>
        </w:numPr>
      </w:pPr>
      <w:r>
        <w:t xml:space="preserve">Confirme que</w:t>
      </w:r>
      <w:r>
        <w:t xml:space="preserve"> </w:t>
      </w:r>
      <m:oMath>
        <m:r>
          <m:t>σ</m:t>
        </m:r>
        <m:r>
          <m:rPr>
            <m:sty m:val="p"/>
          </m:rPr>
          <m:t>=</m:t>
        </m:r>
        <m:r>
          <m:t>1</m:t>
        </m:r>
      </m:oMath>
      <w:r>
        <w:t xml:space="preserve">.</w:t>
      </w:r>
    </w:p>
    <w:p>
      <w:pPr>
        <w:pStyle w:val="FirstParagraph"/>
      </w:pPr>
      <w:r>
        <w:t xml:space="preserve">Ver solução (Cap. 10)</w:t>
      </w:r>
    </w:p>
    <w:p>
      <w:r>
        <w:pict>
          <v:rect style="width:0;height:1.5pt" o:hralign="center" o:hrstd="t" o:hr="t"/>
        </w:pict>
      </w:r>
    </w:p>
    <w:p>
      <w:pPr>
        <w:pStyle w:val="FirstParagraph"/>
      </w:pPr>
      <w:r>
        <w:rPr>
          <w:b/>
          <w:bCs/>
        </w:rPr>
        <w:t xml:space="preserve">Exercício 10.2.</w:t>
      </w:r>
      <w:r>
        <w:t xml:space="preserve"> </w:t>
      </w:r>
      <w:r>
        <w:t xml:space="preserve">Uma firma opera com a tecnologia CES:</w:t>
      </w:r>
    </w:p>
    <w:p>
      <w:pPr>
        <w:pStyle w:val="BodyText"/>
      </w:pPr>
      <m:oMathPara>
        <m:oMathParaPr>
          <m:jc m:val="center"/>
        </m:oMathParaPr>
        <m:oMath>
          <m:r>
            <m:t>q</m:t>
          </m:r>
          <m:r>
            <m:rPr>
              <m:sty m:val="p"/>
            </m:rPr>
            <m:t>=</m:t>
          </m:r>
          <m:sSup>
            <m:e>
              <m:d>
                <m:dPr>
                  <m:begChr m:val="["/>
                  <m:sepChr m:val=""/>
                  <m:endChr m:val="]"/>
                  <m:grow/>
                </m:dPr>
                <m:e>
                  <m:r>
                    <m:t>0</m:t>
                  </m:r>
                  <m:r>
                    <m:rPr>
                      <m:sty m:val="p"/>
                    </m:rPr>
                    <m:t>,</m:t>
                  </m:r>
                  <m:r>
                    <m:t>5</m:t>
                  </m:r>
                  <m:sSup>
                    <m:e>
                      <m:r>
                        <m:t>K</m:t>
                      </m:r>
                    </m:e>
                    <m:sup>
                      <m:r>
                        <m:rPr>
                          <m:sty m:val="p"/>
                        </m:rPr>
                        <m:t>−</m:t>
                      </m:r>
                      <m:r>
                        <m:t>1</m:t>
                      </m:r>
                    </m:sup>
                  </m:sSup>
                  <m:r>
                    <m:rPr>
                      <m:sty m:val="p"/>
                    </m:rPr>
                    <m:t>+</m:t>
                  </m:r>
                  <m:r>
                    <m:t>0</m:t>
                  </m:r>
                  <m:r>
                    <m:rPr>
                      <m:sty m:val="p"/>
                    </m:rPr>
                    <m:t>,</m:t>
                  </m:r>
                  <m:r>
                    <m:t>5</m:t>
                  </m:r>
                  <m:sSup>
                    <m:e>
                      <m:r>
                        <m:t>L</m:t>
                      </m:r>
                    </m:e>
                    <m:sup>
                      <m:r>
                        <m:rPr>
                          <m:sty m:val="p"/>
                        </m:rPr>
                        <m:t>−</m:t>
                      </m:r>
                      <m:r>
                        <m:t>1</m:t>
                      </m:r>
                    </m:sup>
                  </m:sSup>
                </m:e>
              </m:d>
            </m:e>
            <m:sup>
              <m:r>
                <m:rPr>
                  <m:sty m:val="p"/>
                </m:rPr>
                <m:t>−</m:t>
              </m:r>
              <m:r>
                <m:t>1</m:t>
              </m:r>
            </m:sup>
          </m:sSup>
        </m:oMath>
      </m:oMathPara>
    </w:p>
    <w:p>
      <w:pPr>
        <w:numPr>
          <w:ilvl w:val="0"/>
          <w:numId w:val="1662"/>
        </w:numPr>
      </w:pPr>
      <w:r>
        <w:t xml:space="preserve">Identifique os parâmetros</w:t>
      </w:r>
      <w:r>
        <w:t xml:space="preserve"> </w:t>
      </w:r>
      <m:oMath>
        <m:r>
          <m:t>δ</m:t>
        </m:r>
      </m:oMath>
      <w:r>
        <w:t xml:space="preserve">,</w:t>
      </w:r>
      <w:r>
        <w:t xml:space="preserve"> </w:t>
      </w:r>
      <m:oMath>
        <m:r>
          <m:t>ρ</m:t>
        </m:r>
      </m:oMath>
      <w:r>
        <w:t xml:space="preserve"> </w:t>
      </w:r>
      <w:r>
        <w:t xml:space="preserve">e</w:t>
      </w:r>
      <w:r>
        <w:t xml:space="preserve"> </w:t>
      </w:r>
      <m:oMath>
        <m:r>
          <m:t>γ</m:t>
        </m:r>
      </m:oMath>
      <w:r>
        <w:t xml:space="preserve">.</w:t>
      </w:r>
    </w:p>
    <w:p>
      <w:pPr>
        <w:numPr>
          <w:ilvl w:val="0"/>
          <w:numId w:val="1662"/>
        </w:numPr>
      </w:pPr>
      <w:r>
        <w:t xml:space="preserve">Calcule a elasticidade de substituição</w:t>
      </w:r>
      <w:r>
        <w:t xml:space="preserve"> </w:t>
      </w:r>
      <m:oMath>
        <m:r>
          <m:t>σ</m:t>
        </m:r>
      </m:oMath>
      <w:r>
        <w:t xml:space="preserve">.</w:t>
      </w:r>
    </w:p>
    <w:p>
      <w:pPr>
        <w:numPr>
          <w:ilvl w:val="0"/>
          <w:numId w:val="1662"/>
        </w:numPr>
      </w:pPr>
      <w:r>
        <w:t xml:space="preserve">Mostre que os rendimentos de escala são constantes.</w:t>
      </w:r>
    </w:p>
    <w:p>
      <w:pPr>
        <w:numPr>
          <w:ilvl w:val="0"/>
          <w:numId w:val="1662"/>
        </w:numPr>
      </w:pPr>
      <w:r>
        <w:t xml:space="preserve">Compare a forma das isoquantas desta função com as da Cobb-Douglas.</w:t>
      </w:r>
    </w:p>
    <w:p>
      <w:pPr>
        <w:pStyle w:val="FirstParagraph"/>
      </w:pPr>
      <w:r>
        <w:t xml:space="preserve">Ver solução (Cap. 10)</w:t>
      </w:r>
    </w:p>
    <w:p>
      <w:r>
        <w:pict>
          <v:rect style="width:0;height:1.5pt" o:hralign="center" o:hrstd="t" o:hr="t"/>
        </w:pict>
      </w:r>
    </w:p>
    <w:p>
      <w:pPr>
        <w:pStyle w:val="FirstParagraph"/>
      </w:pPr>
      <w:r>
        <w:rPr>
          <w:b/>
          <w:bCs/>
        </w:rPr>
        <w:t xml:space="preserve">Exercício 10.3.</w:t>
      </w:r>
      <w:r>
        <w:t xml:space="preserve"> </w:t>
      </w:r>
      <w:r>
        <w:t xml:space="preserve">Considere a função de produção Leontief</w:t>
      </w:r>
      <w:r>
        <w:t xml:space="preserve"> </w:t>
      </w:r>
      <m:oMath>
        <m:r>
          <m:t>q</m:t>
        </m:r>
        <m:r>
          <m:rPr>
            <m:sty m:val="p"/>
          </m:rPr>
          <m:t>=</m:t>
        </m:r>
        <m:r>
          <m:rPr>
            <m:sty m:val="p"/>
          </m:rPr>
          <m:t>min</m:t>
        </m:r>
        <m:r>
          <m:rPr>
            <m:sty m:val="p"/>
          </m:rPr>
          <m:t>{</m:t>
        </m:r>
        <m:r>
          <m:t>2</m:t>
        </m:r>
        <m:r>
          <m:t>K</m:t>
        </m:r>
        <m:r>
          <m:rPr>
            <m:sty m:val="p"/>
          </m:rPr>
          <m:t>,</m:t>
        </m:r>
        <m:r>
          <m:t>3</m:t>
        </m:r>
        <m:r>
          <m:t>L</m:t>
        </m:r>
        <m:r>
          <m:rPr>
            <m:sty m:val="p"/>
          </m:rPr>
          <m:t>}</m:t>
        </m:r>
      </m:oMath>
      <w:r>
        <w:t xml:space="preserve">.</w:t>
      </w:r>
    </w:p>
    <w:p>
      <w:pPr>
        <w:numPr>
          <w:ilvl w:val="0"/>
          <w:numId w:val="1663"/>
        </w:numPr>
      </w:pPr>
      <w:r>
        <w:t xml:space="preserve">Qual a proporção ótima de uso dos insumos?</w:t>
      </w:r>
    </w:p>
    <w:p>
      <w:pPr>
        <w:numPr>
          <w:ilvl w:val="0"/>
          <w:numId w:val="1663"/>
        </w:numPr>
      </w:pPr>
      <w:r>
        <w:t xml:space="preserve">Se a firma deseja produzir</w:t>
      </w:r>
      <w:r>
        <w:t xml:space="preserve"> </w:t>
      </w:r>
      <m:oMath>
        <m:r>
          <m:t>q</m:t>
        </m:r>
        <m:r>
          <m:rPr>
            <m:sty m:val="p"/>
          </m:rPr>
          <m:t>=</m:t>
        </m:r>
        <m:r>
          <m:t>60</m:t>
        </m:r>
      </m:oMath>
      <w:r>
        <w:t xml:space="preserve">, quais as quantidades mínimas de</w:t>
      </w:r>
      <w:r>
        <w:t xml:space="preserve"> </w:t>
      </w:r>
      <m:oMath>
        <m:r>
          <m:t>K</m:t>
        </m:r>
      </m:oMath>
      <w:r>
        <w:t xml:space="preserve"> </w:t>
      </w:r>
      <w:r>
        <w:t xml:space="preserve">e</w:t>
      </w:r>
      <w:r>
        <w:t xml:space="preserve"> </w:t>
      </w:r>
      <m:oMath>
        <m:r>
          <m:t>L</m:t>
        </m:r>
      </m:oMath>
      <w:r>
        <w:t xml:space="preserve">?</w:t>
      </w:r>
    </w:p>
    <w:p>
      <w:pPr>
        <w:numPr>
          <w:ilvl w:val="0"/>
          <w:numId w:val="1663"/>
        </w:numPr>
      </w:pPr>
      <w:r>
        <w:t xml:space="preserve">Qual o efeito de dobrar apenas o trabalho, mantendo o capital constante? Interprete em termos de rendimentos marginais.</w:t>
      </w:r>
    </w:p>
    <w:p>
      <w:pPr>
        <w:pStyle w:val="FirstParagraph"/>
      </w:pPr>
      <w:r>
        <w:t xml:space="preserve">Ver solução (Cap. 10)</w:t>
      </w:r>
    </w:p>
    <w:p>
      <w:r>
        <w:pict>
          <v:rect style="width:0;height:1.5pt" o:hralign="center" o:hrstd="t" o:hr="t"/>
        </w:pict>
      </w:r>
    </w:p>
    <w:p>
      <w:pPr>
        <w:pStyle w:val="FirstParagraph"/>
      </w:pPr>
      <w:r>
        <w:rPr>
          <w:b/>
          <w:bCs/>
        </w:rPr>
        <w:t xml:space="preserve">Exercício 10.4.</w:t>
      </w:r>
      <w:r>
        <w:t xml:space="preserve"> </w:t>
      </w:r>
      <w:r>
        <w:t xml:space="preserve">Uma função de produção é dada por</w:t>
      </w:r>
      <w:r>
        <w:t xml:space="preserve"> </w:t>
      </w:r>
      <m:oMath>
        <m:r>
          <m:t>q</m:t>
        </m:r>
        <m:r>
          <m:rPr>
            <m:sty m:val="p"/>
          </m:rPr>
          <m:t>=</m:t>
        </m:r>
        <m:sSup>
          <m:e>
            <m:r>
              <m:t>K</m:t>
            </m:r>
          </m:e>
          <m:sup>
            <m:r>
              <m:t>0</m:t>
            </m:r>
            <m:r>
              <m:rPr>
                <m:sty m:val="p"/>
              </m:rPr>
              <m:t>,</m:t>
            </m:r>
            <m:r>
              <m:t>6</m:t>
            </m:r>
          </m:sup>
        </m:sSup>
        <m:sSup>
          <m:e>
            <m:r>
              <m:t>L</m:t>
            </m:r>
          </m:e>
          <m:sup>
            <m:r>
              <m:t>0</m:t>
            </m:r>
            <m:r>
              <m:rPr>
                <m:sty m:val="p"/>
              </m:rPr>
              <m:t>,</m:t>
            </m:r>
            <m:r>
              <m:t>8</m:t>
            </m:r>
          </m:sup>
        </m:sSup>
      </m:oMath>
      <w:r>
        <w:t xml:space="preserve">.</w:t>
      </w:r>
    </w:p>
    <w:p>
      <w:pPr>
        <w:numPr>
          <w:ilvl w:val="0"/>
          <w:numId w:val="1664"/>
        </w:numPr>
      </w:pPr>
      <w:r>
        <w:t xml:space="preserve">Classifique os rendimentos de escala.</w:t>
      </w:r>
    </w:p>
    <w:p>
      <w:pPr>
        <w:numPr>
          <w:ilvl w:val="0"/>
          <w:numId w:val="1664"/>
        </w:numPr>
      </w:pPr>
      <w:r>
        <w:t xml:space="preserve">Calcule a elasticidade de escala</w:t>
      </w:r>
      <w:r>
        <w:t xml:space="preserve"> </w:t>
      </w:r>
      <m:oMath>
        <m:r>
          <m:t>e</m:t>
        </m:r>
      </m:oMath>
      <w:r>
        <w:t xml:space="preserve"> </w:t>
      </w:r>
      <w:r>
        <w:t xml:space="preserve">e interprete.</w:t>
      </w:r>
    </w:p>
    <w:p>
      <w:pPr>
        <w:numPr>
          <w:ilvl w:val="0"/>
          <w:numId w:val="1664"/>
        </w:numPr>
      </w:pPr>
      <w:r>
        <w:t xml:space="preserve">Se a firma dobrar ambos os insumos, por qual fator o produto aumentará?</w:t>
      </w:r>
    </w:p>
    <w:p>
      <w:pPr>
        <w:numPr>
          <w:ilvl w:val="0"/>
          <w:numId w:val="1664"/>
        </w:numPr>
      </w:pPr>
      <w:r>
        <w:t xml:space="preserve">Explique por que rendimentos crescentes de escala podem existir mesmo com produtos marginais decrescentes em cada fator individualmente.</w:t>
      </w:r>
    </w:p>
    <w:p>
      <w:pPr>
        <w:pStyle w:val="FirstParagraph"/>
      </w:pPr>
      <w:r>
        <w:t xml:space="preserve">Ver solução (Cap. 10)</w:t>
      </w:r>
    </w:p>
    <w:p>
      <w:r>
        <w:pict>
          <v:rect style="width:0;height:1.5pt" o:hralign="center" o:hrstd="t" o:hr="t"/>
        </w:pict>
      </w:r>
    </w:p>
    <w:p>
      <w:pPr>
        <w:pStyle w:val="FirstParagraph"/>
      </w:pPr>
      <w:r>
        <w:rPr>
          <w:b/>
          <w:bCs/>
        </w:rPr>
        <w:t xml:space="preserve">Exercício 10.5.</w:t>
      </w:r>
      <w:r>
        <w:t xml:space="preserve"> </w:t>
      </w:r>
      <w:r>
        <w:t xml:space="preserve">Suponha que a função de produção de uma firma é</w:t>
      </w:r>
      <w:r>
        <w:t xml:space="preserve"> </w:t>
      </w:r>
      <m:oMath>
        <m:r>
          <m:t>q</m:t>
        </m:r>
        <m:r>
          <m:rPr>
            <m:sty m:val="p"/>
          </m:rPr>
          <m:t>=</m:t>
        </m:r>
        <m:r>
          <m:t>A</m:t>
        </m:r>
        <m:r>
          <m:rPr>
            <m:sty m:val="p"/>
          </m:rPr>
          <m:t>(</m:t>
        </m:r>
        <m:r>
          <m:t>t</m:t>
        </m:r>
        <m:r>
          <m:rPr>
            <m:sty m:val="p"/>
          </m:rPr>
          <m:t>)</m:t>
        </m:r>
        <m:sSup>
          <m:e>
            <m:r>
              <m:t>K</m:t>
            </m:r>
          </m:e>
          <m:sup>
            <m:r>
              <m:t>0</m:t>
            </m:r>
            <m:r>
              <m:rPr>
                <m:sty m:val="p"/>
              </m:rPr>
              <m:t>,</m:t>
            </m:r>
            <m:r>
              <m:t>4</m:t>
            </m:r>
          </m:sup>
        </m:sSup>
        <m:sSup>
          <m:e>
            <m:r>
              <m:t>L</m:t>
            </m:r>
          </m:e>
          <m:sup>
            <m:r>
              <m:t>0</m:t>
            </m:r>
            <m:r>
              <m:rPr>
                <m:sty m:val="p"/>
              </m:rPr>
              <m:t>,</m:t>
            </m:r>
            <m:r>
              <m:t>6</m:t>
            </m:r>
          </m:sup>
        </m:sSup>
      </m:oMath>
      <w:r>
        <w:t xml:space="preserve">, com</w:t>
      </w:r>
      <w:r>
        <w:t xml:space="preserve"> </w:t>
      </w:r>
      <m:oMath>
        <m:r>
          <m:t>A</m:t>
        </m:r>
        <m:r>
          <m:rPr>
            <m:sty m:val="p"/>
          </m:rPr>
          <m:t>(</m:t>
        </m:r>
        <m:r>
          <m:t>t</m:t>
        </m:r>
        <m:r>
          <m:rPr>
            <m:sty m:val="p"/>
          </m:rPr>
          <m:t>)</m:t>
        </m:r>
        <m:r>
          <m:rPr>
            <m:sty m:val="p"/>
          </m:rPr>
          <m:t>=</m:t>
        </m:r>
        <m:sSup>
          <m:e>
            <m:r>
              <m:t>e</m:t>
            </m:r>
          </m:e>
          <m:sup>
            <m:r>
              <m:t>0</m:t>
            </m:r>
            <m:r>
              <m:rPr>
                <m:sty m:val="p"/>
              </m:rPr>
              <m:t>,</m:t>
            </m:r>
            <m:r>
              <m:t>02</m:t>
            </m:r>
            <m:r>
              <m:t>t</m:t>
            </m:r>
          </m:sup>
        </m:sSup>
      </m:oMath>
      <w:r>
        <w:t xml:space="preserve">.</w:t>
      </w:r>
    </w:p>
    <w:p>
      <w:pPr>
        <w:numPr>
          <w:ilvl w:val="0"/>
          <w:numId w:val="1665"/>
        </w:numPr>
      </w:pPr>
      <w:r>
        <w:t xml:space="preserve">Qual a taxa de crescimento da PTF?</w:t>
      </w:r>
    </w:p>
    <w:p>
      <w:pPr>
        <w:numPr>
          <w:ilvl w:val="0"/>
          <w:numId w:val="1665"/>
        </w:numPr>
      </w:pPr>
      <w:r>
        <w:t xml:space="preserve">Se</w:t>
      </w:r>
      <w:r>
        <w:t xml:space="preserve"> </w:t>
      </w:r>
      <m:oMath>
        <m:r>
          <m:t>K</m:t>
        </m:r>
      </m:oMath>
      <w:r>
        <w:t xml:space="preserve"> </w:t>
      </w:r>
      <w:r>
        <w:t xml:space="preserve">cresce a 3% ao ano e</w:t>
      </w:r>
      <w:r>
        <w:t xml:space="preserve"> </w:t>
      </w:r>
      <m:oMath>
        <m:r>
          <m:t>L</m:t>
        </m:r>
      </m:oMath>
      <w:r>
        <w:t xml:space="preserve"> </w:t>
      </w:r>
      <w:r>
        <w:t xml:space="preserve">cresce a 1% ao ano, qual a taxa de crescimento do produto?</w:t>
      </w:r>
    </w:p>
    <w:p>
      <w:pPr>
        <w:numPr>
          <w:ilvl w:val="0"/>
          <w:numId w:val="1665"/>
        </w:numPr>
      </w:pPr>
      <w:r>
        <w:t xml:space="preserve">Decomponha o crescimento do produto nas contribuições do capital, do trabalho e da PTF.</w:t>
      </w:r>
    </w:p>
    <w:p>
      <w:pPr>
        <w:numPr>
          <w:ilvl w:val="0"/>
          <w:numId w:val="1665"/>
        </w:numPr>
      </w:pPr>
      <w:r>
        <w:t xml:space="preserve">Este progresso técnico é neutro no sentido de Hicks, Harrod ou Solow? Justifique.</w:t>
      </w:r>
    </w:p>
    <w:p>
      <w:pPr>
        <w:numPr>
          <w:ilvl w:val="0"/>
          <w:numId w:val="1665"/>
        </w:numPr>
      </w:pPr>
      <w:r>
        <w:t xml:space="preserve">Calcule a produtividade total dos fatores em</w:t>
      </w:r>
      <w:r>
        <w:t xml:space="preserve"> </w:t>
      </w:r>
      <m:oMath>
        <m:r>
          <m:t>t</m:t>
        </m:r>
        <m:r>
          <m:rPr>
            <m:sty m:val="p"/>
          </m:rPr>
          <m:t>=</m:t>
        </m:r>
        <m:r>
          <m:t>0</m:t>
        </m:r>
      </m:oMath>
      <w:r>
        <w:t xml:space="preserve"> </w:t>
      </w:r>
      <w:r>
        <w:t xml:space="preserve">e</w:t>
      </w:r>
      <w:r>
        <w:t xml:space="preserve"> </w:t>
      </w:r>
      <m:oMath>
        <m:r>
          <m:t>t</m:t>
        </m:r>
        <m:r>
          <m:rPr>
            <m:sty m:val="p"/>
          </m:rPr>
          <m:t>=</m:t>
        </m:r>
        <m:r>
          <m:t>10</m:t>
        </m:r>
      </m:oMath>
      <w:r>
        <w:t xml:space="preserve">. Se em</w:t>
      </w:r>
      <w:r>
        <w:t xml:space="preserve"> </w:t>
      </w:r>
      <m:oMath>
        <m:r>
          <m:t>t</m:t>
        </m:r>
        <m:r>
          <m:rPr>
            <m:sty m:val="p"/>
          </m:rPr>
          <m:t>=</m:t>
        </m:r>
        <m:r>
          <m:t>0</m:t>
        </m:r>
      </m:oMath>
      <w:r>
        <w:t xml:space="preserve"> </w:t>
      </w:r>
      <w:r>
        <w:t xml:space="preserve">a firma utiliza</w:t>
      </w:r>
      <w:r>
        <w:t xml:space="preserve"> </w:t>
      </w:r>
      <m:oMath>
        <m:r>
          <m:t>K</m:t>
        </m:r>
        <m:r>
          <m:rPr>
            <m:sty m:val="p"/>
          </m:rPr>
          <m:t>=</m:t>
        </m:r>
        <m:r>
          <m:t>100</m:t>
        </m:r>
      </m:oMath>
      <w:r>
        <w:t xml:space="preserve"> </w:t>
      </w:r>
      <w:r>
        <w:t xml:space="preserve">e</w:t>
      </w:r>
      <w:r>
        <w:t xml:space="preserve"> </w:t>
      </w:r>
      <m:oMath>
        <m:r>
          <m:t>L</m:t>
        </m:r>
        <m:r>
          <m:rPr>
            <m:sty m:val="p"/>
          </m:rPr>
          <m:t>=</m:t>
        </m:r>
        <m:r>
          <m:t>200</m:t>
        </m:r>
      </m:oMath>
      <w:r>
        <w:t xml:space="preserve">, qual o produto em</w:t>
      </w:r>
      <w:r>
        <w:t xml:space="preserve"> </w:t>
      </w:r>
      <m:oMath>
        <m:r>
          <m:t>t</m:t>
        </m:r>
        <m:r>
          <m:rPr>
            <m:sty m:val="p"/>
          </m:rPr>
          <m:t>=</m:t>
        </m:r>
        <m:r>
          <m:t>0</m:t>
        </m:r>
      </m:oMath>
      <w:r>
        <w:t xml:space="preserve"> </w:t>
      </w:r>
      <w:r>
        <w:t xml:space="preserve">e em</w:t>
      </w:r>
      <w:r>
        <w:t xml:space="preserve"> </w:t>
      </w:r>
      <m:oMath>
        <m:r>
          <m:t>t</m:t>
        </m:r>
        <m:r>
          <m:rPr>
            <m:sty m:val="p"/>
          </m:rPr>
          <m:t>=</m:t>
        </m:r>
        <m:r>
          <m:t>10</m:t>
        </m:r>
      </m:oMath>
      <w:r>
        <w:t xml:space="preserve"> </w:t>
      </w:r>
      <w:r>
        <w:t xml:space="preserve">(supondo que os insumos cresçam às taxas indicadas)?</w:t>
      </w:r>
    </w:p>
    <w:p>
      <w:pPr>
        <w:pStyle w:val="FirstParagraph"/>
      </w:pPr>
      <w:r>
        <w:t xml:space="preserve">Ver solução (Cap. 10)</w:t>
      </w:r>
    </w:p>
    <w:p>
      <w:r>
        <w:pict>
          <v:rect style="width:0;height:1.5pt" o:hralign="center" o:hrstd="t" o:hr="t"/>
        </w:pict>
      </w:r>
    </w:p>
    <w:p>
      <w:pPr>
        <w:pStyle w:val="FirstParagraph"/>
      </w:pPr>
      <w:r>
        <w:rPr>
          <w:b/>
          <w:bCs/>
        </w:rPr>
        <w:t xml:space="preserve">Exercício 10.6.</w:t>
      </w:r>
      <w:r>
        <w:t xml:space="preserve"> </w:t>
      </w:r>
      <w:r>
        <w:rPr>
          <w:i/>
          <w:iCs/>
        </w:rPr>
        <w:t xml:space="preserve">(Fácil)</w:t>
      </w:r>
      <w:r>
        <w:t xml:space="preserve"> </w:t>
      </w:r>
      <w:r>
        <w:t xml:space="preserve">Considere a função de produção</w:t>
      </w:r>
      <w:r>
        <w:t xml:space="preserve"> </w:t>
      </w:r>
      <m:oMath>
        <m:r>
          <m:t>f</m:t>
        </m:r>
        <m:r>
          <m:rPr>
            <m:sty m:val="p"/>
          </m:rPr>
          <m:t>(</m:t>
        </m:r>
        <m:r>
          <m:t>K</m:t>
        </m:r>
        <m:r>
          <m:rPr>
            <m:sty m:val="p"/>
          </m:rPr>
          <m:t>,</m:t>
        </m:r>
        <m:r>
          <m:t>L</m:t>
        </m:r>
        <m:r>
          <m:rPr>
            <m:sty m:val="p"/>
          </m:rPr>
          <m:t>)</m:t>
        </m:r>
        <m:r>
          <m:rPr>
            <m:sty m:val="p"/>
          </m:rPr>
          <m:t>=</m:t>
        </m:r>
        <m:sSup>
          <m:e>
            <m:r>
              <m:t>K</m:t>
            </m:r>
          </m:e>
          <m:sup>
            <m:r>
              <m:t>0</m:t>
            </m:r>
            <m:r>
              <m:rPr>
                <m:sty m:val="p"/>
              </m:rPr>
              <m:t>,</m:t>
            </m:r>
            <m:r>
              <m:t>3</m:t>
            </m:r>
          </m:sup>
        </m:sSup>
        <m:sSup>
          <m:e>
            <m:r>
              <m:t>L</m:t>
            </m:r>
          </m:e>
          <m:sup>
            <m:r>
              <m:t>0</m:t>
            </m:r>
            <m:r>
              <m:rPr>
                <m:sty m:val="p"/>
              </m:rPr>
              <m:t>,</m:t>
            </m:r>
            <m:r>
              <m:t>7</m:t>
            </m:r>
          </m:sup>
        </m:sSup>
      </m:oMath>
      <w:r>
        <w:t xml:space="preserve">.</w:t>
      </w:r>
    </w:p>
    <w:p>
      <w:pPr>
        <w:numPr>
          <w:ilvl w:val="0"/>
          <w:numId w:val="1666"/>
        </w:numPr>
      </w:pPr>
      <w:r>
        <w:t xml:space="preserve">Calcule os produtos marginais</w:t>
      </w:r>
      <w:r>
        <w:t xml:space="preserve"> </w:t>
      </w:r>
      <m:oMath>
        <m:sSub>
          <m:e>
            <m:r>
              <m:rPr>
                <m:sty m:val="p"/>
              </m:rPr>
              <m:t>P</m:t>
            </m:r>
            <m:r>
              <m:rPr>
                <m:sty m:val="p"/>
              </m:rPr>
              <m:t>M</m:t>
            </m:r>
            <m:r>
              <m:rPr>
                <m:sty m:val="p"/>
              </m:rPr>
              <m:t>g</m:t>
            </m:r>
          </m:e>
          <m:sub>
            <m:r>
              <m:t>K</m:t>
            </m:r>
          </m:sub>
        </m:sSub>
      </m:oMath>
      <w:r>
        <w:t xml:space="preserve"> </w:t>
      </w:r>
      <w:r>
        <w:t xml:space="preserve">e</w:t>
      </w:r>
      <w:r>
        <w:t xml:space="preserve"> </w:t>
      </w:r>
      <m:oMath>
        <m:sSub>
          <m:e>
            <m:r>
              <m:rPr>
                <m:sty m:val="p"/>
              </m:rPr>
              <m:t>P</m:t>
            </m:r>
            <m:r>
              <m:rPr>
                <m:sty m:val="p"/>
              </m:rPr>
              <m:t>M</m:t>
            </m:r>
            <m:r>
              <m:rPr>
                <m:sty m:val="p"/>
              </m:rPr>
              <m:t>g</m:t>
            </m:r>
          </m:e>
          <m:sub>
            <m:r>
              <m:t>L</m:t>
            </m:r>
          </m:sub>
        </m:sSub>
      </m:oMath>
      <w:r>
        <w:t xml:space="preserve">.</w:t>
      </w:r>
    </w:p>
    <w:p>
      <w:pPr>
        <w:numPr>
          <w:ilvl w:val="0"/>
          <w:numId w:val="1666"/>
        </w:numPr>
      </w:pPr>
      <w:r>
        <w:t xml:space="preserve">Verifique o Teorema de Euler:</w:t>
      </w:r>
      <w:r>
        <w:t xml:space="preserve"> </w:t>
      </w:r>
      <m:oMath>
        <m:sSub>
          <m:e>
            <m:r>
              <m:rPr>
                <m:sty m:val="p"/>
              </m:rPr>
              <m:t>P</m:t>
            </m:r>
            <m:r>
              <m:rPr>
                <m:sty m:val="p"/>
              </m:rPr>
              <m:t>M</m:t>
            </m:r>
            <m:r>
              <m:rPr>
                <m:sty m:val="p"/>
              </m:rPr>
              <m:t>g</m:t>
            </m:r>
          </m:e>
          <m:sub>
            <m:r>
              <m:t>K</m:t>
            </m:r>
          </m:sub>
        </m:sSub>
        <m:r>
          <m:rPr>
            <m:sty m:val="p"/>
          </m:rPr>
          <m:t>⋅</m:t>
        </m:r>
        <m:r>
          <m:t>K</m:t>
        </m:r>
        <m:r>
          <m:rPr>
            <m:sty m:val="p"/>
          </m:rPr>
          <m:t>+</m:t>
        </m:r>
        <m:sSub>
          <m:e>
            <m:r>
              <m:rPr>
                <m:sty m:val="p"/>
              </m:rPr>
              <m:t>P</m:t>
            </m:r>
            <m:r>
              <m:rPr>
                <m:sty m:val="p"/>
              </m:rPr>
              <m:t>M</m:t>
            </m:r>
            <m:r>
              <m:rPr>
                <m:sty m:val="p"/>
              </m:rPr>
              <m:t>g</m:t>
            </m:r>
          </m:e>
          <m:sub>
            <m:r>
              <m:t>L</m:t>
            </m:r>
          </m:sub>
        </m:sSub>
        <m:r>
          <m:rPr>
            <m:sty m:val="p"/>
          </m:rPr>
          <m:t>⋅</m:t>
        </m:r>
        <m:r>
          <m:t>L</m:t>
        </m:r>
        <m:r>
          <m:rPr>
            <m:sty m:val="p"/>
          </m:rPr>
          <m:t>=</m:t>
        </m:r>
        <m:r>
          <m:t>f</m:t>
        </m:r>
        <m:r>
          <m:rPr>
            <m:sty m:val="p"/>
          </m:rPr>
          <m:t>(</m:t>
        </m:r>
        <m:r>
          <m:t>K</m:t>
        </m:r>
        <m:r>
          <m:rPr>
            <m:sty m:val="p"/>
          </m:rPr>
          <m:t>,</m:t>
        </m:r>
        <m:r>
          <m:t>L</m:t>
        </m:r>
        <m:r>
          <m:rPr>
            <m:sty m:val="p"/>
          </m:rPr>
          <m:t>)</m:t>
        </m:r>
      </m:oMath>
      <w:r>
        <w:t xml:space="preserve"> </w:t>
      </w:r>
      <w:r>
        <w:t xml:space="preserve">(o que implica sobre os rendimentos de escala?).</w:t>
      </w:r>
    </w:p>
    <w:p>
      <w:pPr>
        <w:numPr>
          <w:ilvl w:val="0"/>
          <w:numId w:val="1666"/>
        </w:numPr>
      </w:pPr>
      <w:r>
        <w:t xml:space="preserve">Mostre que os produtos marginais são decrescentes.</w:t>
      </w:r>
    </w:p>
    <w:p>
      <w:pPr>
        <w:pStyle w:val="FirstParagraph"/>
      </w:pPr>
      <w:r>
        <w:t xml:space="preserve">Ver solução (Cap. 10)</w:t>
      </w:r>
    </w:p>
    <w:p>
      <w:r>
        <w:pict>
          <v:rect style="width:0;height:1.5pt" o:hralign="center" o:hrstd="t" o:hr="t"/>
        </w:pict>
      </w:r>
    </w:p>
    <w:p>
      <w:pPr>
        <w:pStyle w:val="FirstParagraph"/>
      </w:pPr>
      <w:r>
        <w:rPr>
          <w:b/>
          <w:bCs/>
        </w:rPr>
        <w:t xml:space="preserve">Exercício 10.7.</w:t>
      </w:r>
      <w:r>
        <w:t xml:space="preserve"> </w:t>
      </w:r>
      <w:r>
        <w:rPr>
          <w:i/>
          <w:iCs/>
        </w:rPr>
        <w:t xml:space="preserve">(Fácil)</w:t>
      </w:r>
      <w:r>
        <w:t xml:space="preserve"> </w:t>
      </w:r>
      <w:r>
        <w:t xml:space="preserve">Classifique os rendimentos de escala das funções de produção abaixo, justificando cada caso:</w:t>
      </w:r>
    </w:p>
    <w:p>
      <w:pPr>
        <w:numPr>
          <w:ilvl w:val="0"/>
          <w:numId w:val="1667"/>
        </w:numPr>
      </w:pPr>
      <m:oMath>
        <m:r>
          <m:t>f</m:t>
        </m:r>
        <m:r>
          <m:rPr>
            <m:sty m:val="p"/>
          </m:rPr>
          <m:t>(</m:t>
        </m:r>
        <m:r>
          <m:t>K</m:t>
        </m:r>
        <m:r>
          <m:rPr>
            <m:sty m:val="p"/>
          </m:rPr>
          <m:t>,</m:t>
        </m:r>
        <m:r>
          <m:t>L</m:t>
        </m:r>
        <m:r>
          <m:rPr>
            <m:sty m:val="p"/>
          </m:rPr>
          <m:t>)</m:t>
        </m:r>
        <m:r>
          <m:rPr>
            <m:sty m:val="p"/>
          </m:rPr>
          <m:t>=</m:t>
        </m:r>
        <m:r>
          <m:t>K</m:t>
        </m:r>
        <m:r>
          <m:t>L</m:t>
        </m:r>
      </m:oMath>
    </w:p>
    <w:p>
      <w:pPr>
        <w:numPr>
          <w:ilvl w:val="0"/>
          <w:numId w:val="1667"/>
        </w:numPr>
      </w:pPr>
      <m:oMath>
        <m:r>
          <m:t>f</m:t>
        </m:r>
        <m:r>
          <m:rPr>
            <m:sty m:val="p"/>
          </m:rPr>
          <m:t>(</m:t>
        </m:r>
        <m:r>
          <m:t>K</m:t>
        </m:r>
        <m:r>
          <m:rPr>
            <m:sty m:val="p"/>
          </m:rPr>
          <m:t>,</m:t>
        </m:r>
        <m:r>
          <m:t>L</m:t>
        </m:r>
        <m:r>
          <m:rPr>
            <m:sty m:val="p"/>
          </m:rPr>
          <m:t>)</m:t>
        </m:r>
        <m:r>
          <m:rPr>
            <m:sty m:val="p"/>
          </m:rPr>
          <m:t>=</m:t>
        </m:r>
        <m:r>
          <m:t>K</m:t>
        </m:r>
        <m:r>
          <m:rPr>
            <m:sty m:val="p"/>
          </m:rPr>
          <m:t>+</m:t>
        </m:r>
        <m:r>
          <m:t>L</m:t>
        </m:r>
      </m:oMath>
    </w:p>
    <w:p>
      <w:pPr>
        <w:numPr>
          <w:ilvl w:val="0"/>
          <w:numId w:val="1667"/>
        </w:numPr>
      </w:pPr>
      <m:oMath>
        <m:r>
          <m:t>f</m:t>
        </m:r>
        <m:r>
          <m:rPr>
            <m:sty m:val="p"/>
          </m:rPr>
          <m:t>(</m:t>
        </m:r>
        <m:r>
          <m:t>K</m:t>
        </m:r>
        <m:r>
          <m:rPr>
            <m:sty m:val="p"/>
          </m:rPr>
          <m:t>,</m:t>
        </m:r>
        <m:r>
          <m:t>L</m:t>
        </m:r>
        <m:r>
          <m:rPr>
            <m:sty m:val="p"/>
          </m:rPr>
          <m:t>)</m:t>
        </m:r>
        <m:r>
          <m:rPr>
            <m:sty m:val="p"/>
          </m:rPr>
          <m:t>=</m:t>
        </m:r>
        <m:r>
          <m:rPr>
            <m:sty m:val="p"/>
          </m:rPr>
          <m:t>min</m:t>
        </m:r>
        <m:r>
          <m:rPr>
            <m:sty m:val="p"/>
          </m:rPr>
          <m:t>{</m:t>
        </m:r>
        <m:r>
          <m:t>K</m:t>
        </m:r>
        <m:r>
          <m:rPr>
            <m:sty m:val="p"/>
          </m:rPr>
          <m:t>,</m:t>
        </m:r>
        <m:r>
          <m:t>2</m:t>
        </m:r>
        <m:r>
          <m:t>L</m:t>
        </m:r>
        <m:r>
          <m:rPr>
            <m:sty m:val="p"/>
          </m:rPr>
          <m:t>}</m:t>
        </m:r>
      </m:oMath>
    </w:p>
    <w:p>
      <w:pPr>
        <w:numPr>
          <w:ilvl w:val="0"/>
          <w:numId w:val="1667"/>
        </w:numPr>
      </w:pPr>
      <m:oMath>
        <m:r>
          <m:t>f</m:t>
        </m:r>
        <m:r>
          <m:rPr>
            <m:sty m:val="p"/>
          </m:rPr>
          <m:t>(</m:t>
        </m:r>
        <m:r>
          <m:t>K</m:t>
        </m:r>
        <m:r>
          <m:rPr>
            <m:sty m:val="p"/>
          </m:rPr>
          <m:t>,</m:t>
        </m:r>
        <m:r>
          <m:t>L</m:t>
        </m:r>
        <m:r>
          <m:rPr>
            <m:sty m:val="p"/>
          </m:rPr>
          <m:t>)</m:t>
        </m:r>
        <m:r>
          <m:rPr>
            <m:sty m:val="p"/>
          </m:rPr>
          <m:t>=</m:t>
        </m:r>
        <m:sSup>
          <m:e>
            <m:r>
              <m:t>K</m:t>
            </m:r>
          </m:e>
          <m:sup>
            <m:r>
              <m:t>0</m:t>
            </m:r>
            <m:r>
              <m:rPr>
                <m:sty m:val="p"/>
              </m:rPr>
              <m:t>,</m:t>
            </m:r>
            <m:r>
              <m:t>4</m:t>
            </m:r>
          </m:sup>
        </m:sSup>
        <m:sSup>
          <m:e>
            <m:r>
              <m:t>L</m:t>
            </m:r>
          </m:e>
          <m:sup>
            <m:r>
              <m:t>0</m:t>
            </m:r>
            <m:r>
              <m:rPr>
                <m:sty m:val="p"/>
              </m:rPr>
              <m:t>,</m:t>
            </m:r>
            <m:r>
              <m:t>4</m:t>
            </m:r>
          </m:sup>
        </m:sSup>
      </m:oMath>
    </w:p>
    <w:p>
      <w:pPr>
        <w:pStyle w:val="FirstParagraph"/>
      </w:pPr>
      <w:r>
        <w:t xml:space="preserve">Ver solução (Cap. 10)</w:t>
      </w:r>
    </w:p>
    <w:p>
      <w:r>
        <w:pict>
          <v:rect style="width:0;height:1.5pt" o:hralign="center" o:hrstd="t" o:hr="t"/>
        </w:pict>
      </w:r>
    </w:p>
    <w:p>
      <w:pPr>
        <w:pStyle w:val="FirstParagraph"/>
      </w:pPr>
      <w:r>
        <w:rPr>
          <w:b/>
          <w:bCs/>
        </w:rPr>
        <w:t xml:space="preserve">Exercício 10.8.</w:t>
      </w:r>
      <w:r>
        <w:t xml:space="preserve"> </w:t>
      </w:r>
      <w:r>
        <w:rPr>
          <w:i/>
          <w:iCs/>
        </w:rPr>
        <w:t xml:space="preserve">(Médio)</w:t>
      </w:r>
      <w:r>
        <w:t xml:space="preserve"> </w:t>
      </w:r>
      <w:r>
        <w:t xml:space="preserve">Uma firma opera com a função de produção CES</w:t>
      </w:r>
      <w:r>
        <w:t xml:space="preserve"> </w:t>
      </w:r>
      <m:oMath>
        <m:r>
          <m:t>q</m:t>
        </m:r>
        <m:r>
          <m:rPr>
            <m:sty m:val="p"/>
          </m:rPr>
          <m:t>=</m:t>
        </m:r>
        <m:sSup>
          <m:e>
            <m:d>
              <m:dPr>
                <m:begChr m:val="["/>
                <m:sepChr m:val=""/>
                <m:endChr m:val="]"/>
                <m:grow/>
              </m:dPr>
              <m:e>
                <m:r>
                  <m:t>δ</m:t>
                </m:r>
                <m:sSup>
                  <m:e>
                    <m:r>
                      <m:t>K</m:t>
                    </m:r>
                  </m:e>
                  <m:sup>
                    <m:r>
                      <m:t>ρ</m:t>
                    </m:r>
                  </m:sup>
                </m:sSup>
                <m:r>
                  <m:rPr>
                    <m:sty m:val="p"/>
                  </m:rPr>
                  <m:t>+</m:t>
                </m:r>
                <m:r>
                  <m:rPr>
                    <m:sty m:val="p"/>
                  </m:rPr>
                  <m:t>(</m:t>
                </m:r>
                <m:r>
                  <m:t>1</m:t>
                </m:r>
                <m:r>
                  <m:rPr>
                    <m:sty m:val="p"/>
                  </m:rPr>
                  <m:t>−</m:t>
                </m:r>
                <m:r>
                  <m:t>δ</m:t>
                </m:r>
                <m:r>
                  <m:rPr>
                    <m:sty m:val="p"/>
                  </m:rPr>
                  <m:t>)</m:t>
                </m:r>
                <m:sSup>
                  <m:e>
                    <m:r>
                      <m:t>L</m:t>
                    </m:r>
                  </m:e>
                  <m:sup>
                    <m:r>
                      <m:t>ρ</m:t>
                    </m:r>
                  </m:sup>
                </m:sSup>
              </m:e>
            </m:d>
          </m:e>
          <m:sup>
            <m:r>
              <m:t>1</m:t>
            </m:r>
            <m:r>
              <m:rPr>
                <m:sty m:val="p"/>
              </m:rPr>
              <m:t>/</m:t>
            </m:r>
            <m:r>
              <m:t>ρ</m:t>
            </m:r>
          </m:sup>
        </m:sSup>
      </m:oMath>
      <w:r>
        <w:t xml:space="preserve">, com</w:t>
      </w:r>
      <w:r>
        <w:t xml:space="preserve"> </w:t>
      </w:r>
      <m:oMath>
        <m:r>
          <m:t>δ</m:t>
        </m:r>
        <m:r>
          <m:rPr>
            <m:sty m:val="p"/>
          </m:rPr>
          <m:t>=</m:t>
        </m:r>
        <m:r>
          <m:t>0</m:t>
        </m:r>
        <m:r>
          <m:rPr>
            <m:sty m:val="p"/>
          </m:rPr>
          <m:t>,</m:t>
        </m:r>
        <m:r>
          <m:t>5</m:t>
        </m:r>
      </m:oMath>
      <w:r>
        <w:t xml:space="preserve"> </w:t>
      </w:r>
      <w:r>
        <w:t xml:space="preserve">e</w:t>
      </w:r>
      <w:r>
        <w:t xml:space="preserve"> </w:t>
      </w:r>
      <m:oMath>
        <m:r>
          <m:t>ρ</m:t>
        </m:r>
        <m:r>
          <m:rPr>
            <m:sty m:val="p"/>
          </m:rPr>
          <m:t>=</m:t>
        </m:r>
        <m:r>
          <m:rPr>
            <m:sty m:val="p"/>
          </m:rPr>
          <m:t>−</m:t>
        </m:r>
        <m:r>
          <m:t>1</m:t>
        </m:r>
      </m:oMath>
      <w:r>
        <w:t xml:space="preserve"> </w:t>
      </w:r>
      <w:r>
        <w:t xml:space="preserve">(portanto,</w:t>
      </w:r>
      <w:r>
        <w:t xml:space="preserve"> </w:t>
      </w:r>
      <m:oMath>
        <m:r>
          <m:t>σ</m:t>
        </m:r>
        <m:r>
          <m:rPr>
            <m:sty m:val="p"/>
          </m:rPr>
          <m:t>=</m:t>
        </m:r>
        <m:r>
          <m:t>0</m:t>
        </m:r>
        <m:r>
          <m:rPr>
            <m:sty m:val="p"/>
          </m:rPr>
          <m:t>,</m:t>
        </m:r>
        <m:r>
          <m:t>5</m:t>
        </m:r>
      </m:oMath>
      <w:r>
        <w:t xml:space="preserve">). Os preços dos fatores são</w:t>
      </w:r>
      <w:r>
        <w:t xml:space="preserve"> </w:t>
      </w:r>
      <m:oMath>
        <m:r>
          <m:t>r</m:t>
        </m:r>
        <m:r>
          <m:rPr>
            <m:sty m:val="p"/>
          </m:rPr>
          <m:t>=</m:t>
        </m:r>
        <m:r>
          <m:t>5</m:t>
        </m:r>
      </m:oMath>
      <w:r>
        <w:t xml:space="preserve"> </w:t>
      </w:r>
      <w:r>
        <w:t xml:space="preserve">e</w:t>
      </w:r>
      <w:r>
        <w:t xml:space="preserve"> </w:t>
      </w:r>
      <m:oMath>
        <m:r>
          <m:t>w</m:t>
        </m:r>
        <m:r>
          <m:rPr>
            <m:sty m:val="p"/>
          </m:rPr>
          <m:t>=</m:t>
        </m:r>
        <m:r>
          <m:t>3</m:t>
        </m:r>
      </m:oMath>
      <w:r>
        <w:t xml:space="preserve">, e a firma utiliza</w:t>
      </w:r>
      <w:r>
        <w:t xml:space="preserve"> </w:t>
      </w:r>
      <m:oMath>
        <m:r>
          <m:t>K</m:t>
        </m:r>
        <m:r>
          <m:rPr>
            <m:sty m:val="p"/>
          </m:rPr>
          <m:t>=</m:t>
        </m:r>
        <m:r>
          <m:t>10</m:t>
        </m:r>
      </m:oMath>
      <w:r>
        <w:t xml:space="preserve"> </w:t>
      </w:r>
      <w:r>
        <w:t xml:space="preserve">e</w:t>
      </w:r>
      <w:r>
        <w:t xml:space="preserve"> </w:t>
      </w:r>
      <m:oMath>
        <m:r>
          <m:t>L</m:t>
        </m:r>
        <m:r>
          <m:rPr>
            <m:sty m:val="p"/>
          </m:rPr>
          <m:t>=</m:t>
        </m:r>
        <m:r>
          <m:t>20</m:t>
        </m:r>
      </m:oMath>
      <w:r>
        <w:t xml:space="preserve">.</w:t>
      </w:r>
    </w:p>
    <w:p>
      <w:pPr>
        <w:numPr>
          <w:ilvl w:val="0"/>
          <w:numId w:val="1668"/>
        </w:numPr>
      </w:pPr>
      <w:r>
        <w:t xml:space="preserve">Calcule a TMST nessa combinação.</w:t>
      </w:r>
    </w:p>
    <w:p>
      <w:pPr>
        <w:numPr>
          <w:ilvl w:val="0"/>
          <w:numId w:val="1668"/>
        </w:numPr>
      </w:pPr>
      <w:r>
        <w:t xml:space="preserve">Verifique se a firma está minimizando custos (compare a TMST com a razão de preços</w:t>
      </w:r>
      <w:r>
        <w:t xml:space="preserve"> </w:t>
      </w:r>
      <m:oMath>
        <m:r>
          <m:t>w</m:t>
        </m:r>
        <m:r>
          <m:rPr>
            <m:sty m:val="p"/>
          </m:rPr>
          <m:t>/</m:t>
        </m:r>
        <m:r>
          <m:t>r</m:t>
        </m:r>
      </m:oMath>
      <w:r>
        <w:t xml:space="preserve">).</w:t>
      </w:r>
    </w:p>
    <w:p>
      <w:pPr>
        <w:numPr>
          <w:ilvl w:val="0"/>
          <w:numId w:val="1668"/>
        </w:numPr>
      </w:pPr>
      <w:r>
        <w:t xml:space="preserve">Se a firma não está no ótimo, em que direção deve ajustar a combinação de insumos?</w:t>
      </w:r>
    </w:p>
    <w:p>
      <w:pPr>
        <w:numPr>
          <w:ilvl w:val="0"/>
          <w:numId w:val="1668"/>
        </w:numPr>
      </w:pPr>
      <w:r>
        <w:t xml:space="preserve">Calcule a elasticidade de substituição e interprete.</w:t>
      </w:r>
    </w:p>
    <w:p>
      <w:pPr>
        <w:pStyle w:val="FirstParagraph"/>
      </w:pPr>
      <w:r>
        <w:t xml:space="preserve">Ver solução (Cap. 10)</w:t>
      </w:r>
    </w:p>
    <w:p>
      <w:r>
        <w:pict>
          <v:rect style="width:0;height:1.5pt" o:hralign="center" o:hrstd="t" o:hr="t"/>
        </w:pict>
      </w:r>
    </w:p>
    <w:p>
      <w:pPr>
        <w:pStyle w:val="FirstParagraph"/>
      </w:pPr>
      <w:r>
        <w:rPr>
          <w:b/>
          <w:bCs/>
        </w:rPr>
        <w:t xml:space="preserve">Exercício 10.9.</w:t>
      </w:r>
      <w:r>
        <w:t xml:space="preserve"> </w:t>
      </w:r>
      <w:r>
        <w:rPr>
          <w:i/>
          <w:iCs/>
        </w:rPr>
        <w:t xml:space="preserve">(Médio — contexto brasileiro)</w:t>
      </w:r>
      <w:r>
        <w:t xml:space="preserve"> </w:t>
      </w:r>
      <w:r>
        <w:t xml:space="preserve">Um produtor de soja no Cerrado opera com a função de produção</w:t>
      </w:r>
      <w:r>
        <w:t xml:space="preserve"> </w:t>
      </w:r>
      <m:oMath>
        <m:r>
          <m:t>f</m:t>
        </m:r>
        <m:r>
          <m:rPr>
            <m:sty m:val="p"/>
          </m:rPr>
          <m:t>(</m:t>
        </m:r>
        <m:r>
          <m:t>K</m:t>
        </m:r>
        <m:r>
          <m:rPr>
            <m:sty m:val="p"/>
          </m:rPr>
          <m:t>,</m:t>
        </m:r>
        <m:r>
          <m:t>L</m:t>
        </m:r>
        <m:r>
          <m:rPr>
            <m:sty m:val="p"/>
          </m:rPr>
          <m:t>)</m:t>
        </m:r>
        <m:r>
          <m:rPr>
            <m:sty m:val="p"/>
          </m:rPr>
          <m:t>=</m:t>
        </m:r>
        <m:r>
          <m:t>A</m:t>
        </m:r>
        <m:r>
          <m:rPr>
            <m:sty m:val="p"/>
          </m:rPr>
          <m:t>⋅</m:t>
        </m:r>
        <m:sSup>
          <m:e>
            <m:r>
              <m:t>K</m:t>
            </m:r>
          </m:e>
          <m:sup>
            <m:r>
              <m:t>0</m:t>
            </m:r>
            <m:r>
              <m:rPr>
                <m:sty m:val="p"/>
              </m:rPr>
              <m:t>,</m:t>
            </m:r>
            <m:r>
              <m:t>4</m:t>
            </m:r>
          </m:sup>
        </m:sSup>
        <m:sSup>
          <m:e>
            <m:r>
              <m:t>L</m:t>
            </m:r>
          </m:e>
          <m:sup>
            <m:r>
              <m:t>0</m:t>
            </m:r>
            <m:r>
              <m:rPr>
                <m:sty m:val="p"/>
              </m:rPr>
              <m:t>,</m:t>
            </m:r>
            <m:r>
              <m:t>6</m:t>
            </m:r>
          </m:sup>
        </m:sSup>
      </m:oMath>
      <w:r>
        <w:t xml:space="preserve">, onde</w:t>
      </w:r>
      <w:r>
        <w:t xml:space="preserve"> </w:t>
      </w:r>
      <m:oMath>
        <m:r>
          <m:t>A</m:t>
        </m:r>
        <m:r>
          <m:rPr>
            <m:sty m:val="p"/>
          </m:rPr>
          <m:t>=</m:t>
        </m:r>
        <m:r>
          <m:t>A</m:t>
        </m:r>
        <m:r>
          <m:rPr>
            <m:sty m:val="p"/>
          </m:rPr>
          <m:t>(</m:t>
        </m:r>
        <m:r>
          <m:t>t</m:t>
        </m:r>
        <m:r>
          <m:rPr>
            <m:sty m:val="p"/>
          </m:rPr>
          <m:t>)</m:t>
        </m:r>
      </m:oMath>
      <w:r>
        <w:t xml:space="preserve"> </w:t>
      </w:r>
      <w:r>
        <w:t xml:space="preserve">representa o nível tecnológico fornecido por variedades desenvolvidas pela Embrapa.</w:t>
      </w:r>
    </w:p>
    <w:p>
      <w:pPr>
        <w:numPr>
          <w:ilvl w:val="0"/>
          <w:numId w:val="1669"/>
        </w:numPr>
      </w:pPr>
      <w:r>
        <w:t xml:space="preserve">Se</w:t>
      </w:r>
      <w:r>
        <w:t xml:space="preserve"> </w:t>
      </w:r>
      <m:oMath>
        <m:r>
          <m:t>A</m:t>
        </m:r>
      </m:oMath>
      <w:r>
        <w:t xml:space="preserve"> </w:t>
      </w:r>
      <w:r>
        <w:t xml:space="preserve">cresce a uma taxa constante de 3% ao ano, em quanto tempo o produto dobra, mantendo os insumos</w:t>
      </w:r>
      <w:r>
        <w:t xml:space="preserve"> </w:t>
      </w:r>
      <m:oMath>
        <m:r>
          <m:t>K</m:t>
        </m:r>
      </m:oMath>
      <w:r>
        <w:t xml:space="preserve"> </w:t>
      </w:r>
      <w:r>
        <w:t xml:space="preserve">e</w:t>
      </w:r>
      <w:r>
        <w:t xml:space="preserve"> </w:t>
      </w:r>
      <m:oMath>
        <m:r>
          <m:t>L</m:t>
        </m:r>
      </m:oMath>
      <w:r>
        <w:t xml:space="preserve"> </w:t>
      </w:r>
      <w:r>
        <w:t xml:space="preserve">constantes? (Use a regra de 70 como aproximação e confirme com o cálculo exato.)</w:t>
      </w:r>
    </w:p>
    <w:p>
      <w:pPr>
        <w:numPr>
          <w:ilvl w:val="0"/>
          <w:numId w:val="1669"/>
        </w:numPr>
      </w:pPr>
      <w:r>
        <w:t xml:space="preserve">Entre 2000 e 2023, a produtividade média da soja brasileira cresceu de 2.403 para 3.509 kg/ha, um crescimento de aproximadamente 1,9% ao ano. Que fração desse crescimento é consistente com um crescimento anual de</w:t>
      </w:r>
      <w:r>
        <w:t xml:space="preserve"> </w:t>
      </w:r>
      <m:oMath>
        <m:r>
          <m:t>A</m:t>
        </m:r>
      </m:oMath>
      <w:r>
        <w:t xml:space="preserve"> </w:t>
      </w:r>
      <w:r>
        <w:t xml:space="preserve">de 3%, supondo insumos constantes?</w:t>
      </w:r>
    </w:p>
    <w:p>
      <w:pPr>
        <w:numPr>
          <w:ilvl w:val="0"/>
          <w:numId w:val="1669"/>
        </w:numPr>
      </w:pPr>
      <w:r>
        <w:t xml:space="preserve">Como a teoria da produção interpretaria o fato de que a área plantada de soja no Brasil cresceu muito mais do que a produtividade por hectare? Isso é uma evidência de rendimentos crescentes ou decrescentes?</w:t>
      </w:r>
    </w:p>
    <w:p>
      <w:pPr>
        <w:pStyle w:val="FirstParagraph"/>
      </w:pPr>
      <w:r>
        <w:t xml:space="preserve">Ver solução (Cap. 10)</w:t>
      </w:r>
    </w:p>
    <w:p>
      <w:r>
        <w:pict>
          <v:rect style="width:0;height:1.5pt" o:hralign="center" o:hrstd="t" o:hr="t"/>
        </w:pict>
      </w:r>
    </w:p>
    <w:p>
      <w:pPr>
        <w:pStyle w:val="FirstParagraph"/>
      </w:pPr>
      <w:r>
        <w:rPr>
          <w:b/>
          <w:bCs/>
        </w:rPr>
        <w:t xml:space="preserve">Exercício 10.10.</w:t>
      </w:r>
      <w:r>
        <w:t xml:space="preserve"> </w:t>
      </w:r>
      <w:r>
        <w:rPr>
          <w:i/>
          <w:iCs/>
        </w:rPr>
        <w:t xml:space="preserve">(Difícil)</w:t>
      </w:r>
      <w:r>
        <w:t xml:space="preserve"> </w:t>
      </w:r>
      <w:r>
        <w:t xml:space="preserve">Considere uma função de produção homotética</w:t>
      </w:r>
      <w:r>
        <w:t xml:space="preserve"> </w:t>
      </w:r>
      <m:oMath>
        <m:r>
          <m:t>f</m:t>
        </m:r>
        <m:r>
          <m:rPr>
            <m:sty m:val="p"/>
          </m:rPr>
          <m:t>(</m:t>
        </m:r>
        <m:r>
          <m:t>K</m:t>
        </m:r>
        <m:r>
          <m:rPr>
            <m:sty m:val="p"/>
          </m:rPr>
          <m:t>,</m:t>
        </m:r>
        <m:r>
          <m:t>L</m:t>
        </m:r>
        <m:r>
          <m:rPr>
            <m:sty m:val="p"/>
          </m:rPr>
          <m:t>)</m:t>
        </m:r>
      </m:oMath>
      <w:r>
        <w:t xml:space="preserve">, que pode ser escrita como</w:t>
      </w:r>
      <w:r>
        <w:t xml:space="preserve"> </w:t>
      </w:r>
      <m:oMath>
        <m:r>
          <m:t>f</m:t>
        </m:r>
        <m:r>
          <m:rPr>
            <m:sty m:val="p"/>
          </m:rPr>
          <m:t>(</m:t>
        </m:r>
        <m:r>
          <m:t>K</m:t>
        </m:r>
        <m:r>
          <m:rPr>
            <m:sty m:val="p"/>
          </m:rPr>
          <m:t>,</m:t>
        </m:r>
        <m:r>
          <m:t>L</m:t>
        </m:r>
        <m:r>
          <m:rPr>
            <m:sty m:val="p"/>
          </m:rPr>
          <m:t>)</m:t>
        </m:r>
        <m:r>
          <m:rPr>
            <m:sty m:val="p"/>
          </m:rPr>
          <m:t>=</m:t>
        </m:r>
        <m:r>
          <m:t>g</m:t>
        </m:r>
        <m:r>
          <m:rPr>
            <m:sty m:val="p"/>
          </m:rPr>
          <m:t>(</m:t>
        </m:r>
        <m:r>
          <m:t>h</m:t>
        </m:r>
        <m:r>
          <m:rPr>
            <m:sty m:val="p"/>
          </m:rPr>
          <m:t>(</m:t>
        </m:r>
        <m:r>
          <m:t>K</m:t>
        </m:r>
        <m:r>
          <m:rPr>
            <m:sty m:val="p"/>
          </m:rPr>
          <m:t>,</m:t>
        </m:r>
        <m:r>
          <m:t>L</m:t>
        </m:r>
        <m:r>
          <m:rPr>
            <m:sty m:val="p"/>
          </m:rPr>
          <m:t>)</m:t>
        </m:r>
        <m:r>
          <m:rPr>
            <m:sty m:val="p"/>
          </m:rPr>
          <m:t>)</m:t>
        </m:r>
      </m:oMath>
      <w:r>
        <w:t xml:space="preserve">, onde</w:t>
      </w:r>
      <w:r>
        <w:t xml:space="preserve"> </w:t>
      </w:r>
      <m:oMath>
        <m:r>
          <m:t>h</m:t>
        </m:r>
      </m:oMath>
      <w:r>
        <w:t xml:space="preserve"> </w:t>
      </w:r>
      <w:r>
        <w:t xml:space="preserve">é homogênea de grau 1 e</w:t>
      </w:r>
      <w:r>
        <w:t xml:space="preserve"> </w:t>
      </w:r>
      <m:oMath>
        <m:r>
          <m:t>g</m:t>
        </m:r>
      </m:oMath>
      <w:r>
        <w:t xml:space="preserve"> </w:t>
      </w:r>
      <w:r>
        <w:t xml:space="preserve">é estritamente crescente.</w:t>
      </w:r>
    </w:p>
    <w:p>
      <w:pPr>
        <w:numPr>
          <w:ilvl w:val="0"/>
          <w:numId w:val="1670"/>
        </w:numPr>
      </w:pPr>
      <w:r>
        <w:t xml:space="preserve">Prove que o caminho de expansão (locus de combinações ótimas de insumos à medida que o produto varia, para preços</w:t>
      </w:r>
      <w:r>
        <w:t xml:space="preserve"> </w:t>
      </w:r>
      <m:oMath>
        <m:r>
          <m:t>w</m:t>
        </m:r>
      </m:oMath>
      <w:r>
        <w:t xml:space="preserve"> </w:t>
      </w:r>
      <w:r>
        <w:t xml:space="preserve">e</w:t>
      </w:r>
      <w:r>
        <w:t xml:space="preserve"> </w:t>
      </w:r>
      <m:oMath>
        <m:r>
          <m:t>r</m:t>
        </m:r>
      </m:oMath>
      <w:r>
        <w:t xml:space="preserve"> </w:t>
      </w:r>
      <w:r>
        <w:t xml:space="preserve">fixos) é um raio a partir da origem.</w:t>
      </w:r>
    </w:p>
    <w:p>
      <w:pPr>
        <w:numPr>
          <w:ilvl w:val="0"/>
          <w:numId w:val="1670"/>
        </w:numPr>
      </w:pPr>
      <w:r>
        <w:t xml:space="preserve">Mostre que, como consequência, a função de custo mínimo pode ser escrita na forma separável</w:t>
      </w:r>
      <w:r>
        <w:t xml:space="preserve"> </w:t>
      </w:r>
      <m:oMath>
        <m:r>
          <m:t>C</m:t>
        </m:r>
        <m:r>
          <m:rPr>
            <m:sty m:val="p"/>
          </m:rPr>
          <m:t>(</m:t>
        </m:r>
        <m:r>
          <m:t>w</m:t>
        </m:r>
        <m:r>
          <m:rPr>
            <m:sty m:val="p"/>
          </m:rPr>
          <m:t>,</m:t>
        </m:r>
        <m:r>
          <m:t>r</m:t>
        </m:r>
        <m:r>
          <m:rPr>
            <m:sty m:val="p"/>
          </m:rPr>
          <m:t>,</m:t>
        </m:r>
        <m:r>
          <m:t>q</m:t>
        </m:r>
        <m:r>
          <m:rPr>
            <m:sty m:val="p"/>
          </m:rPr>
          <m:t>)</m:t>
        </m:r>
        <m:r>
          <m:rPr>
            <m:sty m:val="p"/>
          </m:rPr>
          <m:t>=</m:t>
        </m:r>
        <m:r>
          <m:t>c</m:t>
        </m:r>
        <m:r>
          <m:rPr>
            <m:sty m:val="p"/>
          </m:rPr>
          <m:t>(</m:t>
        </m:r>
        <m:r>
          <m:t>w</m:t>
        </m:r>
        <m:r>
          <m:rPr>
            <m:sty m:val="p"/>
          </m:rPr>
          <m:t>,</m:t>
        </m:r>
        <m:r>
          <m:t>r</m:t>
        </m:r>
        <m:r>
          <m:rPr>
            <m:sty m:val="p"/>
          </m:rPr>
          <m:t>)</m:t>
        </m:r>
        <m:r>
          <m:rPr>
            <m:sty m:val="p"/>
          </m:rPr>
          <m:t>⋅</m:t>
        </m:r>
        <m:sSup>
          <m:e>
            <m:r>
              <m:t>g</m:t>
            </m:r>
          </m:e>
          <m:sup>
            <m:r>
              <m:rPr>
                <m:sty m:val="p"/>
              </m:rPr>
              <m:t>−</m:t>
            </m:r>
            <m:r>
              <m:t>1</m:t>
            </m:r>
          </m:sup>
        </m:sSup>
        <m:r>
          <m:rPr>
            <m:sty m:val="p"/>
          </m:rPr>
          <m:t>(</m:t>
        </m:r>
        <m:r>
          <m:t>q</m:t>
        </m:r>
        <m:r>
          <m:rPr>
            <m:sty m:val="p"/>
          </m:rPr>
          <m:t>)</m:t>
        </m:r>
      </m:oMath>
      <w:r>
        <w:t xml:space="preserve">, onde</w:t>
      </w:r>
      <w:r>
        <w:t xml:space="preserve"> </w:t>
      </w:r>
      <m:oMath>
        <m:r>
          <m:t>c</m:t>
        </m:r>
        <m:r>
          <m:rPr>
            <m:sty m:val="p"/>
          </m:rPr>
          <m:t>(</m:t>
        </m:r>
        <m:r>
          <m:t>w</m:t>
        </m:r>
        <m:r>
          <m:rPr>
            <m:sty m:val="p"/>
          </m:rPr>
          <m:t>,</m:t>
        </m:r>
        <m:r>
          <m:t>r</m:t>
        </m:r>
        <m:r>
          <m:rPr>
            <m:sty m:val="p"/>
          </m:rPr>
          <m:t>)</m:t>
        </m:r>
      </m:oMath>
      <w:r>
        <w:t xml:space="preserve"> </w:t>
      </w:r>
      <w:r>
        <w:t xml:space="preserve">é o custo de atingir</w:t>
      </w:r>
      <w:r>
        <w:t xml:space="preserve"> </w:t>
      </w:r>
      <m:oMath>
        <m:r>
          <m:t>h</m:t>
        </m:r>
        <m:r>
          <m:rPr>
            <m:sty m:val="p"/>
          </m:rPr>
          <m:t>=</m:t>
        </m:r>
        <m:r>
          <m:t>1</m:t>
        </m:r>
      </m:oMath>
      <w:r>
        <w:t xml:space="preserve">. O que essa separabilidade implica sobre como o custo varia com o produto?</w:t>
      </w:r>
    </w:p>
    <w:p>
      <w:pPr>
        <w:numPr>
          <w:ilvl w:val="0"/>
          <w:numId w:val="1670"/>
        </w:numPr>
      </w:pPr>
      <w:r>
        <w:t xml:space="preserve">Verifique a propriedade (b) explicitamente para a função Cobb-Douglas</w:t>
      </w:r>
      <w:r>
        <w:t xml:space="preserve"> </w:t>
      </w:r>
      <m:oMath>
        <m:r>
          <m:t>f</m:t>
        </m:r>
        <m:r>
          <m:rPr>
            <m:sty m:val="p"/>
          </m:rPr>
          <m:t>(</m:t>
        </m:r>
        <m:r>
          <m:t>K</m:t>
        </m:r>
        <m:r>
          <m:rPr>
            <m:sty m:val="p"/>
          </m:rPr>
          <m:t>,</m:t>
        </m:r>
        <m:r>
          <m:t>L</m:t>
        </m:r>
        <m:r>
          <m:rPr>
            <m:sty m:val="p"/>
          </m:rPr>
          <m:t>)</m:t>
        </m:r>
        <m:r>
          <m:rPr>
            <m:sty m:val="p"/>
          </m:rPr>
          <m:t>=</m:t>
        </m:r>
        <m:sSup>
          <m:e>
            <m:r>
              <m:t>K</m:t>
            </m:r>
          </m:e>
          <m:sup>
            <m:r>
              <m:t>α</m:t>
            </m:r>
          </m:sup>
        </m:sSup>
        <m:sSup>
          <m:e>
            <m:r>
              <m:t>L</m:t>
            </m:r>
          </m:e>
          <m:sup>
            <m:r>
              <m:t>1</m:t>
            </m:r>
            <m:r>
              <m:rPr>
                <m:sty m:val="p"/>
              </m:rPr>
              <m:t>−</m:t>
            </m:r>
            <m:r>
              <m:t>α</m:t>
            </m:r>
          </m:sup>
        </m:sSup>
      </m:oMath>
      <w:r>
        <w:t xml:space="preserve"> </w:t>
      </w:r>
      <w:r>
        <w:t xml:space="preserve">com rendimentos constantes de escala.</w:t>
      </w:r>
    </w:p>
    <w:p>
      <w:pPr>
        <w:pStyle w:val="FirstParagraph"/>
      </w:pPr>
      <w:r>
        <w:t xml:space="preserve">Ver solução (Cap. 10)</w:t>
      </w:r>
    </w:p>
    <w:p>
      <w:r>
        <w:pict>
          <v:rect style="width:0;height:1.5pt" o:hralign="center" o:hrstd="t" o:hr="t"/>
        </w:pict>
      </w:r>
    </w:p>
    <w:bookmarkEnd w:id="668"/>
    <w:bookmarkStart w:id="669" w:name="vem-anpec-11"/>
    <w:p>
      <w:pPr>
        <w:pStyle w:val="Heading3"/>
      </w:pPr>
      <w:r>
        <w:t xml:space="preserve">Vem, ANPEC!</w:t>
      </w:r>
    </w:p>
    <w:p>
      <w:pPr>
        <w:pStyle w:val="BlockText"/>
      </w:pPr>
      <w:r>
        <w:rPr>
          <w:b/>
          <w:bCs/>
        </w:rPr>
        <w:t xml:space="preserve">[QUESTAO] ANPEC 2013 — Questão 6</w:t>
      </w:r>
    </w:p>
    <w:p>
      <w:pPr>
        <w:pStyle w:val="BlockText"/>
      </w:pPr>
      <w:r>
        <w:t xml:space="preserve">Considere a teoria da produção e indique quais das afirmativas abaixo são verdadeiras e quais são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Se a função de produção for</w:t>
            </w:r>
            <w:r>
              <w:t xml:space="preserve"> </w:t>
            </w:r>
            <m:oMath>
              <m:r>
                <m:t>f</m:t>
              </m:r>
              <m:r>
                <m:rPr>
                  <m:sty m:val="p"/>
                </m:rPr>
                <m:t>(</m:t>
              </m:r>
              <m:r>
                <m:t>K</m:t>
              </m:r>
              <m:r>
                <m:rPr>
                  <m:sty m:val="p"/>
                </m:rPr>
                <m:t>,</m:t>
              </m:r>
              <m:r>
                <m:t>L</m:t>
              </m:r>
              <m:r>
                <m:rPr>
                  <m:sty m:val="p"/>
                </m:rPr>
                <m:t>)</m:t>
              </m:r>
              <m:r>
                <m:rPr>
                  <m:sty m:val="p"/>
                </m:rPr>
                <m:t>=</m:t>
              </m:r>
              <m:r>
                <m:rPr>
                  <m:sty m:val="p"/>
                </m:rPr>
                <m:t>[</m:t>
              </m:r>
              <m:sSup>
                <m:e>
                  <m:r>
                    <m:t>K</m:t>
                  </m:r>
                </m:e>
                <m:sup>
                  <m:r>
                    <m:t>a</m:t>
                  </m:r>
                </m:sup>
              </m:sSup>
              <m:r>
                <m:rPr>
                  <m:sty m:val="p"/>
                </m:rPr>
                <m:t>+</m:t>
              </m:r>
              <m:sSup>
                <m:e>
                  <m:r>
                    <m:t>L</m:t>
                  </m:r>
                </m:e>
                <m:sup>
                  <m:r>
                    <m:t>a</m:t>
                  </m:r>
                </m:sup>
              </m:sSup>
              <m:sSup>
                <m:e>
                  <m:r>
                    <m:rPr>
                      <m:sty m:val="p"/>
                    </m:rPr>
                    <m:t>]</m:t>
                  </m:r>
                </m:e>
                <m:sup>
                  <m:r>
                    <m:t>v</m:t>
                  </m:r>
                  <m:r>
                    <m:rPr>
                      <m:sty m:val="p"/>
                    </m:rPr>
                    <m:t>/</m:t>
                  </m:r>
                  <m:r>
                    <m:t>a</m:t>
                  </m:r>
                </m:sup>
              </m:sSup>
            </m:oMath>
            <w:r>
              <w:t xml:space="preserve">, com</w:t>
            </w:r>
            <w:r>
              <w:t xml:space="preserve"> </w:t>
            </w:r>
            <m:oMath>
              <m:r>
                <m:t>a</m:t>
              </m:r>
              <m:r>
                <m:rPr>
                  <m:sty m:val="p"/>
                </m:rPr>
                <m:t>≤</m:t>
              </m:r>
              <m:r>
                <m:t>1</m:t>
              </m:r>
            </m:oMath>
            <w:r>
              <w:t xml:space="preserve">,</w:t>
            </w:r>
            <w:r>
              <w:t xml:space="preserve"> </w:t>
            </w:r>
            <m:oMath>
              <m:r>
                <m:t>a</m:t>
              </m:r>
              <m:r>
                <m:rPr>
                  <m:sty m:val="p"/>
                </m:rPr>
                <m:t>≠</m:t>
              </m:r>
              <m:r>
                <m:t>0</m:t>
              </m:r>
            </m:oMath>
            <w:r>
              <w:t xml:space="preserve"> </w:t>
            </w:r>
            <w:r>
              <w:t xml:space="preserve">e</w:t>
            </w:r>
            <w:r>
              <w:t xml:space="preserve"> </w:t>
            </w:r>
            <m:oMath>
              <m:r>
                <m:t>v</m:t>
              </m:r>
              <m:r>
                <m:rPr>
                  <m:sty m:val="p"/>
                </m:rPr>
                <m:t>&gt;</m:t>
              </m:r>
              <m:r>
                <m:t>1</m:t>
              </m:r>
            </m:oMath>
            <w:r>
              <w:t xml:space="preserve">, ela apresenta retornos crescentes de escala.</w:t>
            </w:r>
          </w:p>
        </w:tc>
      </w:tr>
      <w:tr>
        <w:tc>
          <w:tcPr/>
          <w:p>
            <w:pPr>
              <w:pStyle w:val="Compact"/>
            </w:pPr>
            <w:r>
              <w:t xml:space="preserve">1</w:t>
            </w:r>
          </w:p>
        </w:tc>
        <w:tc>
          <w:tcPr/>
          <w:p>
            <w:pPr>
              <w:pStyle w:val="Compact"/>
            </w:pPr>
            <w:r>
              <w:t xml:space="preserve">O coeficiente de elasticidade de substituição</w:t>
            </w:r>
            <w:r>
              <w:t xml:space="preserve"> </w:t>
            </w:r>
            <m:oMath>
              <m:r>
                <m:t>σ</m:t>
              </m:r>
            </m:oMath>
            <w:r>
              <w:t xml:space="preserve"> </w:t>
            </w:r>
            <w:r>
              <w:t xml:space="preserve">de uma função de produção como</w:t>
            </w:r>
            <w:r>
              <w:t xml:space="preserve"> </w:t>
            </w:r>
            <m:oMath>
              <m:r>
                <m:t>f</m:t>
              </m:r>
              <m:r>
                <m:rPr>
                  <m:sty m:val="p"/>
                </m:rPr>
                <m:t>(</m:t>
              </m:r>
              <m:r>
                <m:t>K</m:t>
              </m:r>
              <m:r>
                <m:rPr>
                  <m:sty m:val="p"/>
                </m:rPr>
                <m:t>,</m:t>
              </m:r>
              <m:r>
                <m:t>L</m:t>
              </m:r>
              <m:r>
                <m:rPr>
                  <m:sty m:val="p"/>
                </m:rPr>
                <m:t>)</m:t>
              </m:r>
              <m:r>
                <m:rPr>
                  <m:sty m:val="p"/>
                </m:rPr>
                <m:t>=</m:t>
              </m:r>
              <m:r>
                <m:rPr>
                  <m:sty m:val="p"/>
                </m:rPr>
                <m:t>[</m:t>
              </m:r>
              <m:sSup>
                <m:e>
                  <m:r>
                    <m:t>K</m:t>
                  </m:r>
                </m:e>
                <m:sup>
                  <m:r>
                    <m:t>a</m:t>
                  </m:r>
                </m:sup>
              </m:sSup>
              <m:r>
                <m:rPr>
                  <m:sty m:val="p"/>
                </m:rPr>
                <m:t>+</m:t>
              </m:r>
              <m:sSup>
                <m:e>
                  <m:r>
                    <m:t>L</m:t>
                  </m:r>
                </m:e>
                <m:sup>
                  <m:r>
                    <m:t>a</m:t>
                  </m:r>
                </m:sup>
              </m:sSup>
              <m:sSup>
                <m:e>
                  <m:r>
                    <m:rPr>
                      <m:sty m:val="p"/>
                    </m:rPr>
                    <m:t>]</m:t>
                  </m:r>
                </m:e>
                <m:sup>
                  <m:r>
                    <m:t>v</m:t>
                  </m:r>
                  <m:r>
                    <m:rPr>
                      <m:sty m:val="p"/>
                    </m:rPr>
                    <m:t>/</m:t>
                  </m:r>
                  <m:r>
                    <m:t>a</m:t>
                  </m:r>
                </m:sup>
              </m:sSup>
            </m:oMath>
            <w:r>
              <w:t xml:space="preserve">, com</w:t>
            </w:r>
            <w:r>
              <w:t xml:space="preserve"> </w:t>
            </w:r>
            <m:oMath>
              <m:r>
                <m:t>a</m:t>
              </m:r>
              <m:r>
                <m:rPr>
                  <m:sty m:val="p"/>
                </m:rPr>
                <m:t>&lt;</m:t>
              </m:r>
              <m:r>
                <m:t>1</m:t>
              </m:r>
            </m:oMath>
            <w:r>
              <w:t xml:space="preserve">,</w:t>
            </w:r>
            <w:r>
              <w:t xml:space="preserve"> </w:t>
            </w:r>
            <m:oMath>
              <m:r>
                <m:t>a</m:t>
              </m:r>
              <m:r>
                <m:rPr>
                  <m:sty m:val="p"/>
                </m:rPr>
                <m:t>≠</m:t>
              </m:r>
              <m:r>
                <m:t>0</m:t>
              </m:r>
            </m:oMath>
            <w:r>
              <w:t xml:space="preserve"> </w:t>
            </w:r>
            <w:r>
              <w:t xml:space="preserve">e</w:t>
            </w:r>
            <w:r>
              <w:t xml:space="preserve"> </w:t>
            </w:r>
            <m:oMath>
              <m:r>
                <m:t>v</m:t>
              </m:r>
              <m:r>
                <m:rPr>
                  <m:sty m:val="p"/>
                </m:rPr>
                <m:t>&gt;</m:t>
              </m:r>
              <m:r>
                <m:t>1</m:t>
              </m:r>
            </m:oMath>
            <w:r>
              <w:t xml:space="preserve">, é</w:t>
            </w:r>
            <w:r>
              <w:t xml:space="preserve"> </w:t>
            </w:r>
            <m:oMath>
              <m:r>
                <m:t>σ</m:t>
              </m:r>
              <m:r>
                <m:rPr>
                  <m:sty m:val="p"/>
                </m:rPr>
                <m:t>=</m:t>
              </m:r>
              <m:r>
                <m:t>1</m:t>
              </m:r>
              <m:r>
                <m:rPr>
                  <m:sty m:val="p"/>
                </m:rPr>
                <m:t>/</m:t>
              </m:r>
              <m:r>
                <m:rPr>
                  <m:sty m:val="p"/>
                </m:rPr>
                <m:t>(</m:t>
              </m:r>
              <m:r>
                <m:t>1</m:t>
              </m:r>
              <m:r>
                <m:rPr>
                  <m:sty m:val="p"/>
                </m:rPr>
                <m:t>−</m:t>
              </m:r>
              <m:r>
                <m:t>a</m:t>
              </m:r>
              <m:r>
                <m:rPr>
                  <m:sty m:val="p"/>
                </m:rPr>
                <m:t>)</m:t>
              </m:r>
            </m:oMath>
            <w:r>
              <w:t xml:space="preserve">.</w:t>
            </w:r>
          </w:p>
        </w:tc>
      </w:tr>
      <w:tr>
        <w:tc>
          <w:tcPr/>
          <w:p>
            <w:pPr>
              <w:pStyle w:val="Compact"/>
            </w:pPr>
            <w:r>
              <w:t xml:space="preserve">2</w:t>
            </w:r>
          </w:p>
        </w:tc>
        <w:tc>
          <w:tcPr/>
          <w:p>
            <w:pPr>
              <w:pStyle w:val="Compact"/>
            </w:pPr>
            <w:r>
              <w:t xml:space="preserve">Funções de produção com elasticidade de substituição</w:t>
            </w:r>
            <w:r>
              <w:t xml:space="preserve"> </w:t>
            </w:r>
            <m:oMath>
              <m:r>
                <m:t>σ</m:t>
              </m:r>
              <m:r>
                <m:rPr>
                  <m:sty m:val="p"/>
                </m:rPr>
                <m:t>=</m:t>
              </m:r>
              <m:r>
                <m:t>0</m:t>
              </m:r>
            </m:oMath>
            <w:r>
              <w:t xml:space="preserve"> </w:t>
            </w:r>
            <w:r>
              <w:t xml:space="preserve">possuem isoquantas em formato de L.</w:t>
            </w:r>
          </w:p>
        </w:tc>
      </w:tr>
      <w:tr>
        <w:tc>
          <w:tcPr/>
          <w:p>
            <w:pPr>
              <w:pStyle w:val="Compact"/>
            </w:pPr>
            <w:r>
              <w:t xml:space="preserve">3</w:t>
            </w:r>
          </w:p>
        </w:tc>
        <w:tc>
          <w:tcPr/>
          <w:p>
            <w:pPr>
              <w:pStyle w:val="Compact"/>
            </w:pPr>
            <w:r>
              <w:t xml:space="preserve">Se a tecnologia for monotônica, isso significa que não é possível produzir ao menos a mesma quantidade aumentando a quantidade de um dos insumos.</w:t>
            </w:r>
          </w:p>
        </w:tc>
      </w:tr>
      <w:tr>
        <w:tc>
          <w:tcPr/>
          <w:p>
            <w:pPr>
              <w:pStyle w:val="Compact"/>
            </w:pPr>
            <w:r>
              <w:t xml:space="preserve">4</w:t>
            </w:r>
          </w:p>
        </w:tc>
        <w:tc>
          <w:tcPr/>
          <w:p>
            <w:pPr>
              <w:pStyle w:val="Compact"/>
            </w:pPr>
            <w:r>
              <w:t xml:space="preserve">Funções de produção do tipo Cobb-Douglas possuem elasticidade de substituição</w:t>
            </w:r>
            <w:r>
              <w:t xml:space="preserve"> </w:t>
            </w:r>
            <m:oMath>
              <m:r>
                <m:t>σ</m:t>
              </m:r>
              <m:r>
                <m:rPr>
                  <m:sty m:val="p"/>
                </m:rPr>
                <m:t>=</m:t>
              </m:r>
              <m:r>
                <m:t>1</m:t>
              </m:r>
            </m:oMath>
            <w:r>
              <w:t xml:space="preserve">.</w:t>
            </w:r>
          </w:p>
        </w:tc>
      </w:tr>
    </w:tbl>
    <w:p>
      <w:pPr>
        <w:pStyle w:val="BlockText"/>
      </w:pPr>
      <w:r>
        <w:t xml:space="preserve">??? success</w:t>
      </w:r>
      <w:r>
        <w:t xml:space="preserve"> </w:t>
      </w:r>
      <w:r>
        <w:t xml:space="preserve">“Gabarito”</w:t>
      </w:r>
      <w:r>
        <w:t xml:space="preserve"> </w:t>
      </w:r>
      <w:r>
        <w:rPr>
          <w:b/>
          <w:bCs/>
        </w:rPr>
        <w:t xml:space="preserve">Respostas: V V V F V</w:t>
      </w:r>
    </w:p>
    <w:p>
      <w:pPr>
        <w:pStyle w:val="SourceCode"/>
      </w:pPr>
      <w:r>
        <w:rPr>
          <w:rStyle w:val="VerbatimChar"/>
        </w:rPr>
        <w:t xml:space="preserve">**Justificativa por item:**</w:t>
      </w:r>
      <w:r>
        <w:br/>
      </w:r>
      <w:r>
        <w:br/>
      </w:r>
      <w:r>
        <w:rPr>
          <w:rStyle w:val="VerbatimChar"/>
        </w:rPr>
        <w:t xml:space="preserve">- **Item 0 — V:** $f(tK, tL) = [t^a K^a + t^a L^a]^{v/a} = t^v [K^a + L^a]^{v/a} = t^v f(K,L)$. Como $v &gt; 1$, temos $t^v &gt; t$ para $t &gt; 1$, logo rendimentos crescentes.</w:t>
      </w:r>
      <w:r>
        <w:br/>
      </w:r>
      <w:r>
        <w:rPr>
          <w:rStyle w:val="VerbatimChar"/>
        </w:rPr>
        <w:t xml:space="preserve">- **Item 1 — V:** Trata-se de uma CES com $\rho = a$. A elasticidade de substituição é $\sigma = 1/(1-\rho) = 1/(1-a)$. O parâmetro $v$ (rendimentos de escala) não afeta $\sigma$.</w:t>
      </w:r>
      <w:r>
        <w:br/>
      </w:r>
      <w:r>
        <w:rPr>
          <w:rStyle w:val="VerbatimChar"/>
        </w:rPr>
        <w:t xml:space="preserve">- **Item 2 — V:** $\sigma = 0$ corresponde ao caso Leontief ($\rho \to -\infty$), cujas isoquantas têm formato de L (ângulos retos).</w:t>
      </w:r>
      <w:r>
        <w:br/>
      </w:r>
      <w:r>
        <w:rPr>
          <w:rStyle w:val="VerbatimChar"/>
        </w:rPr>
        <w:t xml:space="preserve">- **Item 3 — F:** Monotonia (livre descarte) significa exatamente o oposto: se é possível produzir $q$ com $(K, L)$, então é possível produzir *ao menos* $q$ com $(K', L')$ onde $K' \geq K$ e $L' \geq L$. Mais insumo nunca reduz o produto máximo possível.</w:t>
      </w:r>
      <w:r>
        <w:br/>
      </w:r>
      <w:r>
        <w:rPr>
          <w:rStyle w:val="VerbatimChar"/>
        </w:rPr>
        <w:t xml:space="preserve">- **Item 4 — V:** Conforme demonstrado na Seção 10.4, a Cobb-Douglas possui $\sigma = 1$, independentemente dos expoentes $\alpha$ e $\beta$.</w:t>
      </w:r>
    </w:p>
    <w:p>
      <w:pPr>
        <w:pStyle w:val="BlockText"/>
      </w:pPr>
      <w:r>
        <w:rPr>
          <w:b/>
          <w:bCs/>
        </w:rPr>
        <w:t xml:space="preserve">[QUESTAO] ANPEC 2015 — Questão 7</w:t>
      </w:r>
    </w:p>
    <w:p>
      <w:pPr>
        <w:pStyle w:val="BlockText"/>
      </w:pPr>
      <w:r>
        <w:t xml:space="preserve">Com relação à Teoria da Produção, indique quais das afirmativas abaixo são verdadeiras: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Se o produto médio do fator variável é crescente, o seu produto marginal é maior do que o seu produto médio.</w:t>
            </w:r>
          </w:p>
        </w:tc>
      </w:tr>
      <w:tr>
        <w:tc>
          <w:tcPr/>
          <w:p>
            <w:pPr>
              <w:pStyle w:val="Compact"/>
            </w:pPr>
            <w:r>
              <w:t xml:space="preserve">1</w:t>
            </w:r>
          </w:p>
        </w:tc>
        <w:tc>
          <w:tcPr/>
          <w:p>
            <w:pPr>
              <w:pStyle w:val="Compact"/>
            </w:pPr>
            <w:r>
              <w:t xml:space="preserve">A produtividade da mão de obra pode aumentar se houver progresso técnico, mesmo que o processo produtivo apresente rendimentos marginais decrescentes.</w:t>
            </w:r>
          </w:p>
        </w:tc>
      </w:tr>
      <w:tr>
        <w:tc>
          <w:tcPr/>
          <w:p>
            <w:pPr>
              <w:pStyle w:val="Compact"/>
            </w:pPr>
            <w:r>
              <w:t xml:space="preserve">2</w:t>
            </w:r>
          </w:p>
        </w:tc>
        <w:tc>
          <w:tcPr/>
          <w:p>
            <w:pPr>
              <w:pStyle w:val="Compact"/>
            </w:pPr>
            <w:r>
              <w:t xml:space="preserve">Quando o processo produtivo apresenta retornos constantes de escala, se a produção aumentar proporcionalmente, o espaço entre as isoquantas aumenta progressivamente.</w:t>
            </w:r>
          </w:p>
        </w:tc>
      </w:tr>
      <w:tr>
        <w:tc>
          <w:tcPr/>
          <w:p>
            <w:pPr>
              <w:pStyle w:val="Compact"/>
            </w:pPr>
            <w:r>
              <w:t xml:space="preserve">3</w:t>
            </w:r>
          </w:p>
        </w:tc>
        <w:tc>
          <w:tcPr/>
          <w:p>
            <w:pPr>
              <w:pStyle w:val="Compact"/>
            </w:pPr>
            <w:r>
              <w:t xml:space="preserve">Uma isoquanta nunca pode apresentar uma inclinação ascendente, se todos os insumos apresentam produtividades marginais positivas.</w:t>
            </w:r>
          </w:p>
        </w:tc>
      </w:tr>
      <w:tr>
        <w:tc>
          <w:tcPr/>
          <w:p>
            <w:pPr>
              <w:pStyle w:val="Compact"/>
            </w:pPr>
            <w:r>
              <w:t xml:space="preserve">4</w:t>
            </w:r>
          </w:p>
        </w:tc>
        <w:tc>
          <w:tcPr/>
          <w:p>
            <w:pPr>
              <w:pStyle w:val="Compact"/>
            </w:pPr>
            <w:r>
              <w:t xml:space="preserve">As isoquantas são convexas se a taxa marginal de substituição técnica for decrescente.</w:t>
            </w:r>
          </w:p>
        </w:tc>
      </w:tr>
    </w:tbl>
    <w:p>
      <w:pPr>
        <w:pStyle w:val="BlockText"/>
      </w:pPr>
      <w:r>
        <w:t xml:space="preserve">??? success</w:t>
      </w:r>
      <w:r>
        <w:t xml:space="preserve"> </w:t>
      </w:r>
      <w:r>
        <w:t xml:space="preserve">“Gabarito”</w:t>
      </w:r>
      <w:r>
        <w:t xml:space="preserve"> </w:t>
      </w:r>
      <w:r>
        <w:rPr>
          <w:b/>
          <w:bCs/>
        </w:rPr>
        <w:t xml:space="preserve">Respostas: V V F V V</w:t>
      </w:r>
    </w:p>
    <w:p>
      <w:pPr>
        <w:pStyle w:val="SourceCode"/>
      </w:pPr>
      <w:r>
        <w:rPr>
          <w:rStyle w:val="VerbatimChar"/>
        </w:rPr>
        <w:t xml:space="preserve">**Justificativa por item:**</w:t>
      </w:r>
      <w:r>
        <w:br/>
      </w:r>
      <w:r>
        <w:br/>
      </w:r>
      <w:r>
        <w:rPr>
          <w:rStyle w:val="VerbatimChar"/>
        </w:rPr>
        <w:t xml:space="preserve">- **Item 0 — V:** Se $\mathrm{PMe}_L$ é crescente, então $\frac{d}{dL}\left(\frac{q}{L}\right) &gt; 0$, o que requer $\mathrm{PMg}_L &gt; \mathrm{PMe}_L$. Essa é a relação padrão entre marginal e médio (Seção 10.1).</w:t>
      </w:r>
      <w:r>
        <w:br/>
      </w:r>
      <w:r>
        <w:rPr>
          <w:rStyle w:val="VerbatimChar"/>
        </w:rPr>
        <w:t xml:space="preserve">- **Item 1 — V:** O progresso técnico desloca toda a função de produção para cima (aumento de $A(t)$), elevando a produtividade mesmo que os rendimentos marginais do trabalho sejam decrescentes para cada nível de $A$.</w:t>
      </w:r>
      <w:r>
        <w:br/>
      </w:r>
      <w:r>
        <w:rPr>
          <w:rStyle w:val="VerbatimChar"/>
        </w:rPr>
        <w:t xml:space="preserve">- **Item 2 — F:** Com retornos constantes de escala (CRS), dobrar os insumos dobra o produto. As isoquantas para $q = 1, 2, 3, \ldots$ ficam **igualmente espaçadas** ao longo de raios partindo da origem, não progressivamente mais distantes.</w:t>
      </w:r>
      <w:r>
        <w:br/>
      </w:r>
      <w:r>
        <w:rPr>
          <w:rStyle w:val="VerbatimChar"/>
        </w:rPr>
        <w:t xml:space="preserve">- **Item 3 — V:** Inclinação ascendente significaria $dK/dL &gt; 0$ ao longo da isoquanta, ou seja, seria necessário aumentar ambos os insumos para manter o produto constante — o que contradiz a hipótese de produtividades marginais positivas.</w:t>
      </w:r>
      <w:r>
        <w:br/>
      </w:r>
      <w:r>
        <w:rPr>
          <w:rStyle w:val="VerbatimChar"/>
        </w:rPr>
        <w:t xml:space="preserve">- **Item 4 — V:** TMST decrescente ao longo da isoquanta (em valor absoluto) é a condição que garante convexidade das isoquantas em relação à origem.</w:t>
      </w:r>
    </w:p>
    <w:p>
      <w:pPr>
        <w:pStyle w:val="BlockText"/>
      </w:pPr>
      <w:r>
        <w:rPr>
          <w:b/>
          <w:bCs/>
        </w:rPr>
        <w:t xml:space="preserve">[QUESTAO] ANPEC 2016 — Questão 5</w:t>
      </w:r>
    </w:p>
    <w:p>
      <w:pPr>
        <w:pStyle w:val="BlockText"/>
      </w:pPr>
      <w:r>
        <w:t xml:space="preserve">Em relação à teoria da produção, é correto afirmar que:</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A elasticidade de substituição para uma função de produção</w:t>
            </w:r>
            <w:r>
              <w:t xml:space="preserve"> </w:t>
            </w:r>
            <m:oMath>
              <m:r>
                <m:t>Q</m:t>
              </m:r>
              <m:r>
                <m:rPr>
                  <m:sty m:val="p"/>
                </m:rPr>
                <m:t>=</m:t>
              </m:r>
              <m:r>
                <m:t>A</m:t>
              </m:r>
              <m:sSup>
                <m:e>
                  <m:r>
                    <m:t>L</m:t>
                  </m:r>
                </m:e>
                <m:sup>
                  <m:r>
                    <m:t>a</m:t>
                  </m:r>
                </m:sup>
              </m:sSup>
              <m:sSup>
                <m:e>
                  <m:r>
                    <m:t>K</m:t>
                  </m:r>
                </m:e>
                <m:sup>
                  <m:r>
                    <m:t>b</m:t>
                  </m:r>
                </m:sup>
              </m:sSup>
            </m:oMath>
            <w:r>
              <w:t xml:space="preserve"> </w:t>
            </w:r>
            <w:r>
              <w:t xml:space="preserve">é</w:t>
            </w:r>
            <w:r>
              <w:t xml:space="preserve"> </w:t>
            </w:r>
            <m:oMath>
              <m:r>
                <m:t>a</m:t>
              </m:r>
              <m:r>
                <m:rPr>
                  <m:sty m:val="p"/>
                </m:rPr>
                <m:t>/</m:t>
              </m:r>
              <m:r>
                <m:t>b</m:t>
              </m:r>
            </m:oMath>
            <w:r>
              <w:t xml:space="preserve">.</w:t>
            </w:r>
          </w:p>
        </w:tc>
      </w:tr>
      <w:tr>
        <w:tc>
          <w:tcPr/>
          <w:p>
            <w:pPr>
              <w:pStyle w:val="Compact"/>
            </w:pPr>
            <w:r>
              <w:t xml:space="preserve">1</w:t>
            </w:r>
          </w:p>
        </w:tc>
        <w:tc>
          <w:tcPr/>
          <w:p>
            <w:pPr>
              <w:pStyle w:val="Compact"/>
            </w:pPr>
            <w:r>
              <w:t xml:space="preserve">Uma função de produção do tipo</w:t>
            </w:r>
            <w:r>
              <w:t xml:space="preserve"> </w:t>
            </w:r>
            <m:oMath>
              <m:r>
                <m:t>Q</m:t>
              </m:r>
              <m:r>
                <m:rPr>
                  <m:sty m:val="p"/>
                </m:rPr>
                <m:t>=</m:t>
              </m:r>
              <m:r>
                <m:rPr>
                  <m:sty m:val="p"/>
                </m:rPr>
                <m:t>(</m:t>
              </m:r>
              <m:sSup>
                <m:e>
                  <m:r>
                    <m:t>L</m:t>
                  </m:r>
                </m:e>
                <m:sup>
                  <m:r>
                    <m:t>p</m:t>
                  </m:r>
                </m:sup>
              </m:sSup>
              <m:r>
                <m:rPr>
                  <m:sty m:val="p"/>
                </m:rPr>
                <m:t>+</m:t>
              </m:r>
              <m:sSup>
                <m:e>
                  <m:r>
                    <m:t>K</m:t>
                  </m:r>
                </m:e>
                <m:sup>
                  <m:r>
                    <m:t>p</m:t>
                  </m:r>
                </m:sup>
              </m:sSup>
              <m:sSup>
                <m:e>
                  <m:r>
                    <m:rPr>
                      <m:sty m:val="p"/>
                    </m:rPr>
                    <m:t>)</m:t>
                  </m:r>
                </m:e>
                <m:sup>
                  <m:r>
                    <m:t>1</m:t>
                  </m:r>
                  <m:r>
                    <m:rPr>
                      <m:sty m:val="p"/>
                    </m:rPr>
                    <m:t>/</m:t>
                  </m:r>
                  <m:r>
                    <m:t>p</m:t>
                  </m:r>
                </m:sup>
              </m:sSup>
            </m:oMath>
            <w:r>
              <w:t xml:space="preserve">, com</w:t>
            </w:r>
            <w:r>
              <w:t xml:space="preserve"> </w:t>
            </w:r>
            <m:oMath>
              <m:r>
                <m:t>p</m:t>
              </m:r>
              <m:r>
                <m:rPr>
                  <m:sty m:val="p"/>
                </m:rPr>
                <m:t>&gt;</m:t>
              </m:r>
              <m:r>
                <m:t>0</m:t>
              </m:r>
            </m:oMath>
            <w:r>
              <w:t xml:space="preserve">, apresenta no limite uma taxa marginal de substituição igual a</w:t>
            </w:r>
            <w:r>
              <w:t xml:space="preserve"> </w:t>
            </w:r>
            <m:oMath>
              <m:r>
                <m:rPr>
                  <m:sty m:val="p"/>
                </m:rPr>
                <m:t>−</m:t>
              </m:r>
              <m:r>
                <m:t>K</m:t>
              </m:r>
              <m:r>
                <m:rPr>
                  <m:sty m:val="p"/>
                </m:rPr>
                <m:t>/</m:t>
              </m:r>
              <m:r>
                <m:t>L</m:t>
              </m:r>
            </m:oMath>
            <w:r>
              <w:t xml:space="preserve">, quando</w:t>
            </w:r>
            <w:r>
              <w:t xml:space="preserve"> </w:t>
            </w:r>
            <m:oMath>
              <m:r>
                <m:t>p</m:t>
              </m:r>
            </m:oMath>
            <w:r>
              <w:t xml:space="preserve"> </w:t>
            </w:r>
            <w:r>
              <w:t xml:space="preserve">tende a zero.</w:t>
            </w:r>
          </w:p>
        </w:tc>
      </w:tr>
      <w:tr>
        <w:tc>
          <w:tcPr/>
          <w:p>
            <w:pPr>
              <w:pStyle w:val="Compact"/>
            </w:pPr>
            <w:r>
              <w:t xml:space="preserve">2</w:t>
            </w:r>
          </w:p>
        </w:tc>
        <w:tc>
          <w:tcPr/>
          <w:p>
            <w:pPr>
              <w:pStyle w:val="Compact"/>
            </w:pPr>
            <w:r>
              <w:t xml:space="preserve">Quando a função de produção da empresa consegue produzir mais do que antes, com a quantidade de insumos na mesma proporção, diz-se que ela experimentou progresso técnico neutro.</w:t>
            </w:r>
          </w:p>
        </w:tc>
      </w:tr>
      <w:tr>
        <w:tc>
          <w:tcPr/>
          <w:p>
            <w:pPr>
              <w:pStyle w:val="Compact"/>
            </w:pPr>
            <w:r>
              <w:t xml:space="preserve">3</w:t>
            </w:r>
          </w:p>
        </w:tc>
        <w:tc>
          <w:tcPr/>
          <w:p>
            <w:pPr>
              <w:pStyle w:val="Compact"/>
            </w:pPr>
            <w:r>
              <w:t xml:space="preserve">Uma função de produção do tipo</w:t>
            </w:r>
            <w:r>
              <w:t xml:space="preserve"> </w:t>
            </w:r>
            <m:oMath>
              <m:r>
                <m:t>Q</m:t>
              </m:r>
              <m:r>
                <m:rPr>
                  <m:sty m:val="p"/>
                </m:rPr>
                <m:t>=</m:t>
              </m:r>
              <m:r>
                <m:rPr>
                  <m:sty m:val="p"/>
                </m:rPr>
                <m:t>(</m:t>
              </m:r>
              <m:sSup>
                <m:e>
                  <m:r>
                    <m:t>L</m:t>
                  </m:r>
                </m:e>
                <m:sup>
                  <m:r>
                    <m:t>p</m:t>
                  </m:r>
                </m:sup>
              </m:sSup>
              <m:r>
                <m:rPr>
                  <m:sty m:val="p"/>
                </m:rPr>
                <m:t>+</m:t>
              </m:r>
              <m:sSup>
                <m:e>
                  <m:r>
                    <m:t>K</m:t>
                  </m:r>
                </m:e>
                <m:sup>
                  <m:r>
                    <m:t>p</m:t>
                  </m:r>
                </m:sup>
              </m:sSup>
              <m:sSup>
                <m:e>
                  <m:r>
                    <m:rPr>
                      <m:sty m:val="p"/>
                    </m:rPr>
                    <m:t>)</m:t>
                  </m:r>
                </m:e>
                <m:sup>
                  <m:r>
                    <m:t>1</m:t>
                  </m:r>
                  <m:r>
                    <m:rPr>
                      <m:sty m:val="p"/>
                    </m:rPr>
                    <m:t>/</m:t>
                  </m:r>
                  <m:r>
                    <m:t>p</m:t>
                  </m:r>
                </m:sup>
              </m:sSup>
            </m:oMath>
            <w:r>
              <w:t xml:space="preserve">, com</w:t>
            </w:r>
            <w:r>
              <w:t xml:space="preserve"> </w:t>
            </w:r>
            <m:oMath>
              <m:r>
                <m:t>p</m:t>
              </m:r>
              <m:r>
                <m:rPr>
                  <m:sty m:val="p"/>
                </m:rPr>
                <m:t>&gt;</m:t>
              </m:r>
              <m:r>
                <m:t>0</m:t>
              </m:r>
            </m:oMath>
            <w:r>
              <w:t xml:space="preserve">, no limite tende a uma Cobb-Douglas, quando</w:t>
            </w:r>
            <w:r>
              <w:t xml:space="preserve"> </w:t>
            </w:r>
            <m:oMath>
              <m:r>
                <m:t>p</m:t>
              </m:r>
            </m:oMath>
            <w:r>
              <w:t xml:space="preserve"> </w:t>
            </w:r>
            <w:r>
              <w:t xml:space="preserve">tende a zero.</w:t>
            </w:r>
          </w:p>
        </w:tc>
      </w:tr>
      <w:tr>
        <w:tc>
          <w:tcPr/>
          <w:p>
            <w:pPr>
              <w:pStyle w:val="Compact"/>
            </w:pPr>
            <w:r>
              <w:t xml:space="preserve">4</w:t>
            </w:r>
          </w:p>
        </w:tc>
        <w:tc>
          <w:tcPr/>
          <w:p>
            <w:pPr>
              <w:pStyle w:val="Compact"/>
            </w:pPr>
            <w:r>
              <w:t xml:space="preserve">Uma função de produção do tipo</w:t>
            </w:r>
            <w:r>
              <w:t xml:space="preserve"> </w:t>
            </w:r>
            <m:oMath>
              <m:r>
                <m:t>Q</m:t>
              </m:r>
              <m:r>
                <m:rPr>
                  <m:sty m:val="p"/>
                </m:rPr>
                <m:t>=</m:t>
              </m:r>
              <m:r>
                <m:rPr>
                  <m:sty m:val="p"/>
                </m:rPr>
                <m:t>(</m:t>
              </m:r>
              <m:sSup>
                <m:e>
                  <m:r>
                    <m:t>L</m:t>
                  </m:r>
                </m:e>
                <m:sup>
                  <m:r>
                    <m:t>p</m:t>
                  </m:r>
                </m:sup>
              </m:sSup>
              <m:r>
                <m:rPr>
                  <m:sty m:val="p"/>
                </m:rPr>
                <m:t>+</m:t>
              </m:r>
              <m:sSup>
                <m:e>
                  <m:r>
                    <m:t>K</m:t>
                  </m:r>
                </m:e>
                <m:sup>
                  <m:r>
                    <m:t>p</m:t>
                  </m:r>
                </m:sup>
              </m:sSup>
              <m:sSup>
                <m:e>
                  <m:r>
                    <m:rPr>
                      <m:sty m:val="p"/>
                    </m:rPr>
                    <m:t>)</m:t>
                  </m:r>
                </m:e>
                <m:sup>
                  <m:r>
                    <m:t>1</m:t>
                  </m:r>
                  <m:r>
                    <m:rPr>
                      <m:sty m:val="p"/>
                    </m:rPr>
                    <m:t>/</m:t>
                  </m:r>
                  <m:r>
                    <m:t>p</m:t>
                  </m:r>
                </m:sup>
              </m:sSup>
            </m:oMath>
            <w:r>
              <w:t xml:space="preserve">, com</w:t>
            </w:r>
            <w:r>
              <w:t xml:space="preserve"> </w:t>
            </w:r>
            <m:oMath>
              <m:r>
                <m:t>p</m:t>
              </m:r>
              <m:r>
                <m:rPr>
                  <m:sty m:val="p"/>
                </m:rPr>
                <m:t>&gt;</m:t>
              </m:r>
              <m:r>
                <m:t>0</m:t>
              </m:r>
            </m:oMath>
            <w:r>
              <w:t xml:space="preserve">, apresenta uma elasticidade de substituição infinita, quando</w:t>
            </w:r>
            <w:r>
              <w:t xml:space="preserve"> </w:t>
            </w:r>
            <m:oMath>
              <m:r>
                <m:t>p</m:t>
              </m:r>
              <m:r>
                <m:rPr>
                  <m:sty m:val="p"/>
                </m:rPr>
                <m:t>=</m:t>
              </m:r>
              <m:r>
                <m:t>1</m:t>
              </m:r>
            </m:oMath>
            <w:r>
              <w:t xml:space="preserve">.</w:t>
            </w:r>
          </w:p>
        </w:tc>
      </w:tr>
    </w:tbl>
    <w:p>
      <w:pPr>
        <w:pStyle w:val="BlockText"/>
      </w:pPr>
      <w:r>
        <w:t xml:space="preserve">??? success</w:t>
      </w:r>
      <w:r>
        <w:t xml:space="preserve"> </w:t>
      </w:r>
      <w:r>
        <w:t xml:space="preserve">“Gabarito”</w:t>
      </w:r>
      <w:r>
        <w:t xml:space="preserve"> </w:t>
      </w:r>
      <w:r>
        <w:rPr>
          <w:b/>
          <w:bCs/>
        </w:rPr>
        <w:t xml:space="preserve">Respostas: F V V V V</w:t>
      </w:r>
    </w:p>
    <w:p>
      <w:pPr>
        <w:pStyle w:val="SourceCode"/>
      </w:pPr>
      <w:r>
        <w:rPr>
          <w:rStyle w:val="VerbatimChar"/>
        </w:rPr>
        <w:t xml:space="preserve">**Justificativa por item:**</w:t>
      </w:r>
      <w:r>
        <w:br/>
      </w:r>
      <w:r>
        <w:br/>
      </w:r>
      <w:r>
        <w:rPr>
          <w:rStyle w:val="VerbatimChar"/>
        </w:rPr>
        <w:t xml:space="preserve">- **Item 0 — F:** A elasticidade de substituição da Cobb-Douglas é sempre $\sigma = 1$, independentemente dos valores de $a$ e $b$ (Seção 10.4). A razão $a/b$ aparece na TMST, não em $\sigma$.</w:t>
      </w:r>
      <w:r>
        <w:br/>
      </w:r>
      <w:r>
        <w:rPr>
          <w:rStyle w:val="VerbatimChar"/>
        </w:rPr>
        <w:t xml:space="preserve">- **Item 1 — V:** Para a CES com $\delta = 0{,}5$, a TMST é $(K/L)^{1-p}$. Quando $p \to 0$, a TMST tende a $K/L$, e a inclinação da isoquanta (com sinal negativo) é $-K/L$.</w:t>
      </w:r>
      <w:r>
        <w:br/>
      </w:r>
      <w:r>
        <w:rPr>
          <w:rStyle w:val="VerbatimChar"/>
        </w:rPr>
        <w:t xml:space="preserve">- **Item 2 — V:** Essa é a definição de progresso técnico neutro de Hicks: mais produto com os mesmos insumos, sem alterar a TMST para uma dada razão $K/L$ (Seção 10.6).</w:t>
      </w:r>
      <w:r>
        <w:br/>
      </w:r>
      <w:r>
        <w:rPr>
          <w:rStyle w:val="VerbatimChar"/>
        </w:rPr>
        <w:t xml:space="preserve">- **Item 3 — V:** É um resultado clássico: quando $\rho = p \to 0$, a CES converge para a Cobb-Douglas (com pesos iguais, neste caso $Q = K^{0,5}L^{0,5}$).</w:t>
      </w:r>
      <w:r>
        <w:br/>
      </w:r>
      <w:r>
        <w:rPr>
          <w:rStyle w:val="VerbatimChar"/>
        </w:rPr>
        <w:t xml:space="preserve">- **Item 4 — V:** Com $p = 1$, temos $Q = L + K$ (função linear), cuja elasticidade de substituição é $\sigma = \infty$ — insumos são substitutos perfeitos.</w:t>
      </w:r>
    </w:p>
    <w:p>
      <w:pPr>
        <w:pStyle w:val="BlockText"/>
      </w:pPr>
      <w:r>
        <w:rPr>
          <w:b/>
          <w:bCs/>
        </w:rPr>
        <w:t xml:space="preserve">[QUESTAO] ANPEC 2017 — Questão 6</w:t>
      </w:r>
    </w:p>
    <w:p>
      <w:pPr>
        <w:pStyle w:val="BlockText"/>
      </w:pPr>
      <w:r>
        <w:t xml:space="preserve">Com relação à Teoria da Produção no curto prazo, indique quais entre as afirmações abaixo são verdadeiras: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O produto marginal é zero quando o volume produzido é máximo.</w:t>
            </w:r>
          </w:p>
        </w:tc>
      </w:tr>
      <w:tr>
        <w:tc>
          <w:tcPr/>
          <w:p>
            <w:pPr>
              <w:pStyle w:val="Compact"/>
            </w:pPr>
            <w:r>
              <w:t xml:space="preserve">1</w:t>
            </w:r>
          </w:p>
        </w:tc>
        <w:tc>
          <w:tcPr/>
          <w:p>
            <w:pPr>
              <w:pStyle w:val="Compact"/>
            </w:pPr>
            <w:r>
              <w:t xml:space="preserve">O produto médio é decrescente quando o produto marginal é maior do que o produto médio.</w:t>
            </w:r>
          </w:p>
        </w:tc>
      </w:tr>
      <w:tr>
        <w:tc>
          <w:tcPr/>
          <w:p>
            <w:pPr>
              <w:pStyle w:val="Compact"/>
            </w:pPr>
            <w:r>
              <w:t xml:space="preserve">2</w:t>
            </w:r>
          </w:p>
        </w:tc>
        <w:tc>
          <w:tcPr/>
          <w:p>
            <w:pPr>
              <w:pStyle w:val="Compact"/>
            </w:pPr>
            <w:r>
              <w:t xml:space="preserve">O produto marginal deve ser igual ao produto médio quando este último é máximo.</w:t>
            </w:r>
          </w:p>
        </w:tc>
      </w:tr>
      <w:tr>
        <w:tc>
          <w:tcPr/>
          <w:p>
            <w:pPr>
              <w:pStyle w:val="Compact"/>
            </w:pPr>
            <w:r>
              <w:t xml:space="preserve">3</w:t>
            </w:r>
          </w:p>
        </w:tc>
        <w:tc>
          <w:tcPr/>
          <w:p>
            <w:pPr>
              <w:pStyle w:val="Compact"/>
            </w:pPr>
            <w:r>
              <w:t xml:space="preserve">A lei dos rendimentos marginais decrescentes resulta da queda na qualidade de unidades adicionais do insumo variável.</w:t>
            </w:r>
          </w:p>
        </w:tc>
      </w:tr>
      <w:tr>
        <w:tc>
          <w:tcPr/>
          <w:p>
            <w:pPr>
              <w:pStyle w:val="Compact"/>
            </w:pPr>
            <w:r>
              <w:t xml:space="preserve">4</w:t>
            </w:r>
          </w:p>
        </w:tc>
        <w:tc>
          <w:tcPr/>
          <w:p>
            <w:pPr>
              <w:pStyle w:val="Compact"/>
            </w:pPr>
            <w:r>
              <w:t xml:space="preserve">Avanços tecnológicos anulam a operação da lei dos rendimentos marginais decrescentes.</w:t>
            </w:r>
          </w:p>
        </w:tc>
      </w:tr>
    </w:tbl>
    <w:p>
      <w:pPr>
        <w:pStyle w:val="BlockText"/>
      </w:pPr>
      <w:r>
        <w:t xml:space="preserve">??? success</w:t>
      </w:r>
      <w:r>
        <w:t xml:space="preserve"> </w:t>
      </w:r>
      <w:r>
        <w:t xml:space="preserve">“Gabarito”</w:t>
      </w:r>
      <w:r>
        <w:t xml:space="preserve"> </w:t>
      </w:r>
      <w:r>
        <w:rPr>
          <w:b/>
          <w:bCs/>
        </w:rPr>
        <w:t xml:space="preserve">Respostas: V F V F F</w:t>
      </w:r>
    </w:p>
    <w:p>
      <w:pPr>
        <w:pStyle w:val="SourceCode"/>
      </w:pPr>
      <w:r>
        <w:rPr>
          <w:rStyle w:val="VerbatimChar"/>
        </w:rPr>
        <w:t xml:space="preserve">**Justificativa por item:**</w:t>
      </w:r>
      <w:r>
        <w:br/>
      </w:r>
      <w:r>
        <w:br/>
      </w:r>
      <w:r>
        <w:rPr>
          <w:rStyle w:val="VerbatimChar"/>
        </w:rPr>
        <w:t xml:space="preserve">- **Item 0 — V:** No curto prazo, o produto total $\mathrm{TP}(L)$ atinge seu máximo quando $\mathrm{PMg}_L = \frac{\partial \mathrm{TP}}{\partial L} = 0$.</w:t>
      </w:r>
      <w:r>
        <w:br/>
      </w:r>
      <w:r>
        <w:rPr>
          <w:rStyle w:val="VerbatimChar"/>
        </w:rPr>
        <w:t xml:space="preserve">- **Item 1 — F:** É o contrário. Quando $\mathrm{PMg}_L &gt; \mathrm{PMe}_L$, o produto médio é *crescente*, não decrescente. O marginal "puxa" a média para cima quando está acima dela.</w:t>
      </w:r>
      <w:r>
        <w:br/>
      </w:r>
      <w:r>
        <w:rPr>
          <w:rStyle w:val="VerbatimChar"/>
        </w:rPr>
        <w:t xml:space="preserve">- **Item 2 — V:** A condição de primeira ordem para o máximo do produto médio é $\frac{d(\mathrm{PMe}_L)}{dL} = 0$, que implica $\mathrm{PMg}_L = \mathrm{PMe}_L$.</w:t>
      </w:r>
      <w:r>
        <w:br/>
      </w:r>
      <w:r>
        <w:rPr>
          <w:rStyle w:val="VerbatimChar"/>
        </w:rPr>
        <w:t xml:space="preserve">- **Item 3 — F:** A lei dos rendimentos marginais decrescentes não resulta de queda na qualidade dos insumos (que são considerados homogêneos). Resulta da proporção desfavorável entre o fator variável e o fator fixo: cada unidade adicional do insumo variável dispõe de menos fator fixo para trabalhar.</w:t>
      </w:r>
      <w:r>
        <w:br/>
      </w:r>
      <w:r>
        <w:rPr>
          <w:rStyle w:val="VerbatimChar"/>
        </w:rPr>
        <w:t xml:space="preserve">- **Item 4 — F:** Avanços tecnológicos deslocam a função de produção para cima (aumentam $A$), mas não eliminam a concavidade no curto prazo. Para qualquer nível de tecnologia, a adição contínua de um fator variável a um fator fixo eventualmente apresentará rendimentos marginais decrescentes.</w:t>
      </w:r>
    </w:p>
    <w:p>
      <w:pPr>
        <w:pStyle w:val="BlockText"/>
      </w:pPr>
      <w:r>
        <w:rPr>
          <w:b/>
          <w:bCs/>
        </w:rPr>
        <w:t xml:space="preserve">[QUESTAO] ANPEC 2020 — Questão 4</w:t>
      </w:r>
    </w:p>
    <w:p>
      <w:pPr>
        <w:pStyle w:val="BlockText"/>
      </w:pPr>
      <w:r>
        <w:t xml:space="preserve">Com relação ao comportamento do produtor, indique quais dos itens a seguir são verdadeiros e quais são falsos: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Em uma função de produção do tipo</w:t>
            </w:r>
            <w:r>
              <w:t xml:space="preserve"> </w:t>
            </w:r>
            <m:oMath>
              <m:r>
                <m:t>Q</m:t>
              </m:r>
              <m:r>
                <m:rPr>
                  <m:sty m:val="p"/>
                </m:rPr>
                <m:t>=</m:t>
              </m:r>
              <m:r>
                <m:t>A</m:t>
              </m:r>
              <m:r>
                <m:t>f</m:t>
              </m:r>
              <m:r>
                <m:rPr>
                  <m:sty m:val="p"/>
                </m:rPr>
                <m:t>(</m:t>
              </m:r>
              <m:r>
                <m:t>K</m:t>
              </m:r>
              <m:r>
                <m:rPr>
                  <m:sty m:val="p"/>
                </m:rPr>
                <m:t>,</m:t>
              </m:r>
              <m:r>
                <m:t>L</m:t>
              </m:r>
              <m:r>
                <m:rPr>
                  <m:sty m:val="p"/>
                </m:rPr>
                <m:t>)</m:t>
              </m:r>
            </m:oMath>
            <w:r>
              <w:t xml:space="preserve">, o parâmetro</w:t>
            </w:r>
            <w:r>
              <w:t xml:space="preserve"> </w:t>
            </w:r>
            <w:r>
              <w:t xml:space="preserve">“A”</w:t>
            </w:r>
            <w:r>
              <w:t xml:space="preserve"> </w:t>
            </w:r>
            <w:r>
              <w:t xml:space="preserve">representa o nível de produtividade total dos fatores.</w:t>
            </w:r>
          </w:p>
        </w:tc>
      </w:tr>
      <w:tr>
        <w:tc>
          <w:tcPr/>
          <w:p>
            <w:pPr>
              <w:pStyle w:val="Compact"/>
            </w:pPr>
            <w:r>
              <w:t xml:space="preserve">1</w:t>
            </w:r>
          </w:p>
        </w:tc>
        <w:tc>
          <w:tcPr/>
          <w:p>
            <w:pPr>
              <w:pStyle w:val="Compact"/>
            </w:pPr>
            <w:r>
              <w:t xml:space="preserve">Uma empresa emprega 100 trabalhadores e 50 unidades de capital. O preço do trabalho é $15/hora e o do capital é $30/hora. O produto marginal do trabalho é 60 e o produto marginal do capital é 90. A empresa está minimizando seus custos.</w:t>
            </w:r>
          </w:p>
        </w:tc>
      </w:tr>
      <w:tr>
        <w:tc>
          <w:tcPr/>
          <w:p>
            <w:pPr>
              <w:pStyle w:val="Compact"/>
            </w:pPr>
            <w:r>
              <w:t xml:space="preserve">2</w:t>
            </w:r>
          </w:p>
        </w:tc>
        <w:tc>
          <w:tcPr/>
          <w:p>
            <w:pPr>
              <w:pStyle w:val="Compact"/>
            </w:pPr>
            <w:r>
              <w:t xml:space="preserve">Se a taxa marginal de substituição técnica de uma empresa não varia ao longo da isoquanta, sendo sempre igual a</w:t>
            </w:r>
            <w:r>
              <w:t xml:space="preserve"> </w:t>
            </w:r>
            <m:oMath>
              <m:r>
                <m:rPr>
                  <m:sty m:val="p"/>
                </m:rPr>
                <m:t>−</m:t>
              </m:r>
              <m:r>
                <m:t>1</m:t>
              </m:r>
            </m:oMath>
            <w:r>
              <w:t xml:space="preserve">, os insumos são substitutos perfeitos.</w:t>
            </w:r>
          </w:p>
        </w:tc>
      </w:tr>
      <w:tr>
        <w:tc>
          <w:tcPr/>
          <w:p>
            <w:pPr>
              <w:pStyle w:val="Compact"/>
            </w:pPr>
            <w:r>
              <w:t xml:space="preserve">3</w:t>
            </w:r>
          </w:p>
        </w:tc>
        <w:tc>
          <w:tcPr/>
          <w:p>
            <w:pPr>
              <w:pStyle w:val="Compact"/>
            </w:pPr>
            <w:r>
              <w:t xml:space="preserve">Custos fixos como proporção importante dos custos totais é uma fonte de retornos crescentes de escala.</w:t>
            </w:r>
          </w:p>
        </w:tc>
      </w:tr>
      <w:tr>
        <w:tc>
          <w:tcPr/>
          <w:p>
            <w:pPr>
              <w:pStyle w:val="Compact"/>
            </w:pPr>
            <w:r>
              <w:t xml:space="preserve">4</w:t>
            </w:r>
          </w:p>
        </w:tc>
        <w:tc>
          <w:tcPr/>
          <w:p>
            <w:pPr>
              <w:pStyle w:val="Compact"/>
            </w:pPr>
            <w:r>
              <w:t xml:space="preserve">A presença de</w:t>
            </w:r>
            <w:r>
              <w:t xml:space="preserve"> </w:t>
            </w:r>
            <w:r>
              <w:t xml:space="preserve">“aprender fazendo”</w:t>
            </w:r>
            <w:r>
              <w:t xml:space="preserve"> </w:t>
            </w:r>
            <w:r>
              <w:t xml:space="preserve">(</w:t>
            </w:r>
            <w:r>
              <w:rPr>
                <w:i/>
                <w:iCs/>
              </w:rPr>
              <w:t xml:space="preserve">learning by doing</w:t>
            </w:r>
            <w:r>
              <w:t xml:space="preserve">) de forma significativa no processo produtivo de uma empresa é uma fonte de retornos crescentes de escala.</w:t>
            </w:r>
          </w:p>
        </w:tc>
      </w:tr>
    </w:tbl>
    <w:p>
      <w:pPr>
        <w:pStyle w:val="BlockText"/>
      </w:pPr>
      <w:r>
        <w:t xml:space="preserve">??? success</w:t>
      </w:r>
      <w:r>
        <w:t xml:space="preserve"> </w:t>
      </w:r>
      <w:r>
        <w:t xml:space="preserve">“Gabarito”</w:t>
      </w:r>
      <w:r>
        <w:t xml:space="preserve"> </w:t>
      </w:r>
      <w:r>
        <w:rPr>
          <w:b/>
          <w:bCs/>
        </w:rPr>
        <w:t xml:space="preserve">Respostas: V F V V V</w:t>
      </w:r>
    </w:p>
    <w:p>
      <w:pPr>
        <w:pStyle w:val="SourceCode"/>
      </w:pPr>
      <w:r>
        <w:rPr>
          <w:rStyle w:val="VerbatimChar"/>
        </w:rPr>
        <w:t xml:space="preserve">**Justificativa por item:**</w:t>
      </w:r>
      <w:r>
        <w:br/>
      </w:r>
      <w:r>
        <w:br/>
      </w:r>
      <w:r>
        <w:rPr>
          <w:rStyle w:val="VerbatimChar"/>
        </w:rPr>
        <w:t xml:space="preserve">- **Item 0 — V:** Na formulação $Q = Af(K,L)$, o parâmetro $A$ é o nível de PTF (produtividade total dos fatores), conforme definido na Seção 10.6.</w:t>
      </w:r>
      <w:r>
        <w:br/>
      </w:r>
      <w:r>
        <w:rPr>
          <w:rStyle w:val="VerbatimChar"/>
        </w:rPr>
        <w:t xml:space="preserve">- **Item 1 — F:** Para minimizar custos, a firma deve igualar a TMST à razão de preços: $\frac{\mathrm{PMg}_L}{\mathrm{PMg}_K} = \frac{w}{v}$. Aqui, $\frac{60}{90} = 0{,}667$ e $\frac{15}{30} = 0{,}5$. Como $0{,}667 \neq 0{,}5$, a firma **não** está minimizando custos — deveria usar relativamente mais trabalho.</w:t>
      </w:r>
      <w:r>
        <w:br/>
      </w:r>
      <w:r>
        <w:rPr>
          <w:rStyle w:val="VerbatimChar"/>
        </w:rPr>
        <w:t xml:space="preserve">- **Item 2 — V:** TMST constante e igual a $-1$ significa isoquantas lineares com inclinação $-1$, ou seja, $q = aK + aL$ — os insumos são substitutos perfeitos (trocáveis na proporção 1:1).</w:t>
      </w:r>
      <w:r>
        <w:br/>
      </w:r>
      <w:r>
        <w:rPr>
          <w:rStyle w:val="VerbatimChar"/>
        </w:rPr>
        <w:t xml:space="preserve">- **Item 3 — V:** Custos fixos elevados significam que o custo médio cai fortemente com a escala (diluição dos fixos), o que é uma manifestação de rendimentos crescentes de escala.</w:t>
      </w:r>
      <w:r>
        <w:br/>
      </w:r>
      <w:r>
        <w:rPr>
          <w:rStyle w:val="VerbatimChar"/>
        </w:rPr>
        <w:t xml:space="preserve">- **Item 4 — V:** *Learning by doing* implica que a produtividade aumenta com a experiência acumulada (produção acumulada), gerando efetivamente rendimentos crescentes de escala dinâmicos.</w:t>
      </w:r>
    </w:p>
    <w:p>
      <w:pPr>
        <w:pStyle w:val="BlockText"/>
      </w:pPr>
      <w:r>
        <w:rPr>
          <w:b/>
          <w:bCs/>
        </w:rPr>
        <w:t xml:space="preserve">[QUESTAO] ANPEC 2024 — Questão 3</w:t>
      </w:r>
    </w:p>
    <w:p>
      <w:pPr>
        <w:pStyle w:val="BlockText"/>
      </w:pPr>
      <w:r>
        <w:t xml:space="preserve">Com relação à teoria da produção, julgue as afirmativas abaixo como verdadeiras ou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Seja</w:t>
            </w:r>
            <w:r>
              <w:t xml:space="preserve"> </w:t>
            </w:r>
            <m:oMath>
              <m:r>
                <m:t>f</m:t>
              </m:r>
              <m:r>
                <m:rPr>
                  <m:sty m:val="p"/>
                </m:rPr>
                <m:t>(</m:t>
              </m:r>
              <m:sSub>
                <m:e>
                  <m:r>
                    <m:t>z</m:t>
                  </m:r>
                </m:e>
                <m:sub>
                  <m:r>
                    <m:t>1</m:t>
                  </m:r>
                </m:sub>
              </m:sSub>
              <m:r>
                <m:rPr>
                  <m:sty m:val="p"/>
                </m:rPr>
                <m:t>,</m:t>
              </m:r>
              <m:r>
                <m:rPr>
                  <m:sty m:val="p"/>
                </m:rPr>
                <m:t>…</m:t>
              </m:r>
              <m:r>
                <m:rPr>
                  <m:sty m:val="p"/>
                </m:rPr>
                <m:t>,</m:t>
              </m:r>
              <m:sSub>
                <m:e>
                  <m:r>
                    <m:t>z</m:t>
                  </m:r>
                </m:e>
                <m:sub>
                  <m:r>
                    <m:t>m</m:t>
                  </m:r>
                </m:sub>
              </m:sSub>
              <m:r>
                <m:rPr>
                  <m:sty m:val="p"/>
                </m:rPr>
                <m:t>)</m:t>
              </m:r>
              <m:r>
                <m:rPr>
                  <m:sty m:val="p"/>
                </m:rPr>
                <m:t>=</m:t>
              </m:r>
              <m:r>
                <m:t>γ</m:t>
              </m:r>
              <m:r>
                <m:rPr>
                  <m:sty m:val="p"/>
                </m:rPr>
                <m:t>(</m:t>
              </m:r>
              <m:sSub>
                <m:e>
                  <m:r>
                    <m:t>δ</m:t>
                  </m:r>
                </m:e>
                <m:sub>
                  <m:r>
                    <m:t>1</m:t>
                  </m:r>
                </m:sub>
              </m:sSub>
              <m:sSubSup>
                <m:e>
                  <m:r>
                    <m:t>z</m:t>
                  </m:r>
                </m:e>
                <m:sub>
                  <m:r>
                    <m:t>1</m:t>
                  </m:r>
                </m:sub>
                <m:sup>
                  <m:r>
                    <m:rPr>
                      <m:sty m:val="p"/>
                    </m:rPr>
                    <m:t>−</m:t>
                  </m:r>
                  <m:r>
                    <m:t>ρ</m:t>
                  </m:r>
                </m:sup>
              </m:sSubSup>
              <m:r>
                <m:rPr>
                  <m:sty m:val="p"/>
                </m:rPr>
                <m:t>+</m:t>
              </m:r>
              <m:r>
                <m:rPr>
                  <m:sty m:val="p"/>
                </m:rPr>
                <m:t>⋯</m:t>
              </m:r>
              <m:r>
                <m:rPr>
                  <m:sty m:val="p"/>
                </m:rPr>
                <m:t>+</m:t>
              </m:r>
              <m:sSub>
                <m:e>
                  <m:r>
                    <m:t>δ</m:t>
                  </m:r>
                </m:e>
                <m:sub>
                  <m:r>
                    <m:t>m</m:t>
                  </m:r>
                </m:sub>
              </m:sSub>
              <m:sSubSup>
                <m:e>
                  <m:r>
                    <m:t>z</m:t>
                  </m:r>
                </m:e>
                <m:sub>
                  <m:r>
                    <m:t>m</m:t>
                  </m:r>
                </m:sub>
                <m:sup>
                  <m:r>
                    <m:rPr>
                      <m:sty m:val="p"/>
                    </m:rPr>
                    <m:t>−</m:t>
                  </m:r>
                  <m:r>
                    <m:t>ρ</m:t>
                  </m:r>
                </m:sup>
              </m:sSubSup>
              <m:sSup>
                <m:e>
                  <m:r>
                    <m:rPr>
                      <m:sty m:val="p"/>
                    </m:rPr>
                    <m:t>)</m:t>
                  </m:r>
                </m:e>
                <m:sup>
                  <m:r>
                    <m:rPr>
                      <m:sty m:val="p"/>
                    </m:rPr>
                    <m:t>−</m:t>
                  </m:r>
                  <m:r>
                    <m:t>ν</m:t>
                  </m:r>
                  <m:r>
                    <m:rPr>
                      <m:sty m:val="p"/>
                    </m:rPr>
                    <m:t>/</m:t>
                  </m:r>
                  <m:r>
                    <m:t>ρ</m:t>
                  </m:r>
                </m:sup>
              </m:sSup>
            </m:oMath>
            <w:r>
              <w:t xml:space="preserve"> </w:t>
            </w:r>
            <w:r>
              <w:t xml:space="preserve">uma função de produção CES, em que</w:t>
            </w:r>
            <w:r>
              <w:t xml:space="preserve"> </w:t>
            </w:r>
            <m:oMath>
              <m:r>
                <m:t>γ</m:t>
              </m:r>
              <m:r>
                <m:rPr>
                  <m:sty m:val="p"/>
                </m:rPr>
                <m:t>,</m:t>
              </m:r>
              <m:r>
                <m:t>ν</m:t>
              </m:r>
              <m:r>
                <m:rPr>
                  <m:sty m:val="p"/>
                </m:rPr>
                <m:t>,</m:t>
              </m:r>
              <m:sSub>
                <m:e>
                  <m:r>
                    <m:t>δ</m:t>
                  </m:r>
                </m:e>
                <m:sub>
                  <m:r>
                    <m:t>1</m:t>
                  </m:r>
                </m:sub>
              </m:sSub>
              <m:r>
                <m:rPr>
                  <m:sty m:val="p"/>
                </m:rPr>
                <m:t>,</m:t>
              </m:r>
              <m:r>
                <m:rPr>
                  <m:sty m:val="p"/>
                </m:rPr>
                <m:t>…</m:t>
              </m:r>
              <m:r>
                <m:rPr>
                  <m:sty m:val="p"/>
                </m:rPr>
                <m:t>,</m:t>
              </m:r>
              <m:sSub>
                <m:e>
                  <m:r>
                    <m:t>δ</m:t>
                  </m:r>
                </m:e>
                <m:sub>
                  <m:r>
                    <m:t>m</m:t>
                  </m:r>
                </m:sub>
              </m:sSub>
              <m:r>
                <m:rPr>
                  <m:sty m:val="p"/>
                </m:rPr>
                <m:t>&gt;</m:t>
              </m:r>
              <m:r>
                <m:t>0</m:t>
              </m:r>
            </m:oMath>
            <w:r>
              <w:t xml:space="preserve">,</w:t>
            </w:r>
            <w:r>
              <w:t xml:space="preserve"> </w:t>
            </w:r>
            <m:oMath>
              <m:nary>
                <m:naryPr>
                  <m:chr m:val="∑"/>
                  <m:limLoc m:val="undOvr"/>
                  <m:subHide m:val="off"/>
                  <m:supHide m:val="off"/>
                </m:naryPr>
                <m:sub>
                  <m:r>
                    <m:t>i</m:t>
                  </m:r>
                  <m:r>
                    <m:rPr>
                      <m:sty m:val="p"/>
                    </m:rPr>
                    <m:t>=</m:t>
                  </m:r>
                  <m:r>
                    <m:t>1</m:t>
                  </m:r>
                </m:sub>
                <m:sup>
                  <m:r>
                    <m:t>m</m:t>
                  </m:r>
                </m:sup>
                <m:e>
                  <m:sSub>
                    <m:e>
                      <m:r>
                        <m:t>δ</m:t>
                      </m:r>
                    </m:e>
                    <m:sub>
                      <m:r>
                        <m:t>i</m:t>
                      </m:r>
                    </m:sub>
                  </m:sSub>
                </m:e>
              </m:nary>
              <m:r>
                <m:rPr>
                  <m:sty m:val="p"/>
                </m:rPr>
                <m:t>=</m:t>
              </m:r>
              <m:r>
                <m:t>1</m:t>
              </m:r>
            </m:oMath>
            <w:r>
              <w:t xml:space="preserve"> </w:t>
            </w:r>
            <w:r>
              <w:t xml:space="preserve">e</w:t>
            </w:r>
            <w:r>
              <w:t xml:space="preserve"> </w:t>
            </w:r>
            <m:oMath>
              <m:r>
                <m:t>ρ</m:t>
              </m:r>
              <m:r>
                <m:rPr>
                  <m:sty m:val="p"/>
                </m:rPr>
                <m:t>≥</m:t>
              </m:r>
              <m:r>
                <m:rPr>
                  <m:sty m:val="p"/>
                </m:rPr>
                <m:t>−</m:t>
              </m:r>
              <m:r>
                <m:t>1</m:t>
              </m:r>
            </m:oMath>
            <w:r>
              <w:t xml:space="preserve">. Então o limite da CES quando a elasticidade de substituição diverge para</w:t>
            </w:r>
            <w:r>
              <w:t xml:space="preserve"> </w:t>
            </w:r>
            <m:oMath>
              <m:r>
                <m:rPr>
                  <m:sty m:val="p"/>
                </m:rPr>
                <m:t>+</m:t>
              </m:r>
              <m:r>
                <m:rPr>
                  <m:sty m:val="p"/>
                </m:rPr>
                <m:t>∞</m:t>
              </m:r>
            </m:oMath>
            <w:r>
              <w:t xml:space="preserve"> </w:t>
            </w:r>
            <w:r>
              <w:t xml:space="preserve">é uma função de produção Leontief, independentemente do grau de homogeneidade de</w:t>
            </w:r>
            <w:r>
              <w:t xml:space="preserve"> </w:t>
            </w:r>
            <m:oMath>
              <m:r>
                <m:t>f</m:t>
              </m:r>
            </m:oMath>
            <w:r>
              <w:t xml:space="preserve">.</w:t>
            </w:r>
          </w:p>
        </w:tc>
      </w:tr>
      <w:tr>
        <w:tc>
          <w:tcPr/>
          <w:p>
            <w:pPr>
              <w:pStyle w:val="Compact"/>
            </w:pPr>
            <w:r>
              <w:t xml:space="preserve">1</w:t>
            </w:r>
          </w:p>
        </w:tc>
        <w:tc>
          <w:tcPr/>
          <w:p>
            <w:pPr>
              <w:pStyle w:val="Compact"/>
            </w:pPr>
            <w:r>
              <w:t xml:space="preserve">Seja</w:t>
            </w:r>
            <w:r>
              <w:t xml:space="preserve"> </w:t>
            </w:r>
            <m:oMath>
              <m:r>
                <m:t>Q</m:t>
              </m:r>
              <m:r>
                <m:rPr>
                  <m:sty m:val="p"/>
                </m:rPr>
                <m:t>(</m:t>
              </m:r>
              <m:r>
                <m:t>t</m:t>
              </m:r>
              <m:r>
                <m:rPr>
                  <m:sty m:val="p"/>
                </m:rPr>
                <m:t>)</m:t>
              </m:r>
              <m:r>
                <m:rPr>
                  <m:sty m:val="p"/>
                </m:rPr>
                <m:t>=</m:t>
              </m:r>
              <m:r>
                <m:t>γ</m:t>
              </m:r>
              <m:r>
                <m:rPr>
                  <m:sty m:val="p"/>
                </m:rPr>
                <m:t>(</m:t>
              </m:r>
              <m:r>
                <m:t>t</m:t>
              </m:r>
              <m:r>
                <m:rPr>
                  <m:sty m:val="p"/>
                </m:rPr>
                <m:t>)</m:t>
              </m:r>
              <m:r>
                <m:t>K</m:t>
              </m:r>
              <m:r>
                <m:rPr>
                  <m:sty m:val="p"/>
                </m:rPr>
                <m:t>(</m:t>
              </m:r>
              <m:r>
                <m:t>t</m:t>
              </m:r>
              <m:sSup>
                <m:e>
                  <m:r>
                    <m:rPr>
                      <m:sty m:val="p"/>
                    </m:rPr>
                    <m:t>)</m:t>
                  </m:r>
                </m:e>
                <m:sup>
                  <m:r>
                    <m:t>α</m:t>
                  </m:r>
                </m:sup>
              </m:sSup>
              <m:r>
                <m:t>L</m:t>
              </m:r>
              <m:r>
                <m:rPr>
                  <m:sty m:val="p"/>
                </m:rPr>
                <m:t>(</m:t>
              </m:r>
              <m:r>
                <m:t>t</m:t>
              </m:r>
              <m:sSup>
                <m:e>
                  <m:r>
                    <m:rPr>
                      <m:sty m:val="p"/>
                    </m:rPr>
                    <m:t>)</m:t>
                  </m:r>
                </m:e>
                <m:sup>
                  <m:r>
                    <m:t>1</m:t>
                  </m:r>
                  <m:r>
                    <m:rPr>
                      <m:sty m:val="p"/>
                    </m:rPr>
                    <m:t>−</m:t>
                  </m:r>
                  <m:r>
                    <m:t>α</m:t>
                  </m:r>
                </m:sup>
              </m:sSup>
            </m:oMath>
            <w:r>
              <w:t xml:space="preserve">, com</w:t>
            </w:r>
            <w:r>
              <w:t xml:space="preserve"> </w:t>
            </w:r>
            <m:oMath>
              <m:r>
                <m:t>0</m:t>
              </m:r>
              <m:r>
                <m:rPr>
                  <m:sty m:val="p"/>
                </m:rPr>
                <m:t>&lt;</m:t>
              </m:r>
              <m:r>
                <m:t>α</m:t>
              </m:r>
              <m:r>
                <m:rPr>
                  <m:sty m:val="p"/>
                </m:rPr>
                <m:t>&lt;</m:t>
              </m:r>
              <m:r>
                <m:t>1</m:t>
              </m:r>
            </m:oMath>
            <w:r>
              <w:t xml:space="preserve">, uma função de produção Cobb-Douglas que varia continuamente no tempo. Suponha que as elasticidades-produto do capital e do trabalho são, respectivamente, 0,5 e 0,5. Se o produto cresce 2% ao ano, o capital cresce 1,8% ao ano e o trabalho cresce 1% ao ano, então o resíduo de Solow é de 0,6% ao ano.</w:t>
            </w:r>
          </w:p>
        </w:tc>
      </w:tr>
      <w:tr>
        <w:tc>
          <w:tcPr/>
          <w:p>
            <w:pPr>
              <w:pStyle w:val="Compact"/>
            </w:pPr>
            <w:r>
              <w:t xml:space="preserve">2</w:t>
            </w:r>
          </w:p>
        </w:tc>
        <w:tc>
          <w:tcPr/>
          <w:p>
            <w:pPr>
              <w:pStyle w:val="Compact"/>
            </w:pPr>
            <w:r>
              <w:t xml:space="preserve">Seja</w:t>
            </w:r>
            <w:r>
              <w:t xml:space="preserve"> </w:t>
            </w:r>
            <m:oMath>
              <m:r>
                <m:t>Q</m:t>
              </m:r>
              <m:r>
                <m:rPr>
                  <m:sty m:val="p"/>
                </m:rPr>
                <m:t>=</m:t>
              </m:r>
              <m:r>
                <m:rPr>
                  <m:sty m:val="p"/>
                </m:rPr>
                <m:t>min</m:t>
              </m:r>
              <m:r>
                <m:rPr>
                  <m:sty m:val="p"/>
                </m:rPr>
                <m:t>{</m:t>
              </m:r>
              <m:r>
                <m:t>K</m:t>
              </m:r>
              <m:r>
                <m:rPr>
                  <m:sty m:val="p"/>
                </m:rPr>
                <m:t>/</m:t>
              </m:r>
              <m:r>
                <m:t>2</m:t>
              </m:r>
              <m:r>
                <m:rPr>
                  <m:sty m:val="p"/>
                </m:rPr>
                <m:t>,</m:t>
              </m:r>
              <m:r>
                <m:t>L</m:t>
              </m:r>
              <m:r>
                <m:rPr>
                  <m:sty m:val="p"/>
                </m:rPr>
                <m:t>}</m:t>
              </m:r>
            </m:oMath>
            <w:r>
              <w:t xml:space="preserve"> </w:t>
            </w:r>
            <w:r>
              <w:t xml:space="preserve">uma função de produção Leontief. Suponha que</w:t>
            </w:r>
            <w:r>
              <w:t xml:space="preserve"> </w:t>
            </w:r>
            <m:oMath>
              <m:r>
                <m:t>L</m:t>
              </m:r>
            </m:oMath>
            <w:r>
              <w:t xml:space="preserve"> </w:t>
            </w:r>
            <w:r>
              <w:t xml:space="preserve">está fixo e defina</w:t>
            </w:r>
            <w:r>
              <w:t xml:space="preserve"> </w:t>
            </w:r>
            <m:oMath>
              <m:r>
                <m:t>q</m:t>
              </m:r>
              <m:r>
                <m:rPr>
                  <m:sty m:val="p"/>
                </m:rPr>
                <m:t>=</m:t>
              </m:r>
              <m:r>
                <m:t>Q</m:t>
              </m:r>
              <m:r>
                <m:rPr>
                  <m:sty m:val="p"/>
                </m:rPr>
                <m:t>/</m:t>
              </m:r>
              <m:r>
                <m:t>L</m:t>
              </m:r>
            </m:oMath>
            <w:r>
              <w:t xml:space="preserve"> </w:t>
            </w:r>
            <w:r>
              <w:t xml:space="preserve">e</w:t>
            </w:r>
            <w:r>
              <w:t xml:space="preserve"> </w:t>
            </w:r>
            <m:oMath>
              <m:r>
                <m:t>k</m:t>
              </m:r>
              <m:r>
                <m:rPr>
                  <m:sty m:val="p"/>
                </m:rPr>
                <m:t>=</m:t>
              </m:r>
              <m:r>
                <m:t>K</m:t>
              </m:r>
              <m:r>
                <m:rPr>
                  <m:sty m:val="p"/>
                </m:rPr>
                <m:t>/</m:t>
              </m:r>
              <m:r>
                <m:t>L</m:t>
              </m:r>
            </m:oMath>
            <w:r>
              <w:t xml:space="preserve">. Defina</w:t>
            </w:r>
            <w:r>
              <w:t xml:space="preserve"> </w:t>
            </w:r>
            <m:oMath>
              <m:r>
                <m:t>φ</m:t>
              </m:r>
              <m:r>
                <m:rPr>
                  <m:sty m:val="p"/>
                </m:rPr>
                <m:t>(</m:t>
              </m:r>
              <m:r>
                <m:t>k</m:t>
              </m:r>
              <m:r>
                <m:rPr>
                  <m:sty m:val="p"/>
                </m:rPr>
                <m:t>)</m:t>
              </m:r>
              <m:r>
                <m:rPr>
                  <m:sty m:val="p"/>
                </m:rPr>
                <m:t>=</m:t>
              </m:r>
              <m:r>
                <m:rPr>
                  <m:sty m:val="p"/>
                </m:rPr>
                <m:t>min</m:t>
              </m:r>
              <m:r>
                <m:rPr>
                  <m:sty m:val="p"/>
                </m:rPr>
                <m:t>{</m:t>
              </m:r>
              <m:r>
                <m:t>k</m:t>
              </m:r>
              <m:r>
                <m:rPr>
                  <m:sty m:val="p"/>
                </m:rPr>
                <m:t>/</m:t>
              </m:r>
              <m:r>
                <m:t>2</m:t>
              </m:r>
              <m:r>
                <m:rPr>
                  <m:sty m:val="p"/>
                </m:rPr>
                <m:t>,</m:t>
              </m:r>
              <m:r>
                <m:t>1</m:t>
              </m:r>
              <m:r>
                <m:rPr>
                  <m:sty m:val="p"/>
                </m:rPr>
                <m:t>}</m:t>
              </m:r>
            </m:oMath>
            <w:r>
              <w:t xml:space="preserve">. Se</w:t>
            </w:r>
            <w:r>
              <w:t xml:space="preserve"> </w:t>
            </w:r>
            <m:oMath>
              <m:r>
                <m:t>k</m:t>
              </m:r>
              <m:r>
                <m:rPr>
                  <m:sty m:val="p"/>
                </m:rPr>
                <m:t>∈</m:t>
              </m:r>
              <m:r>
                <m:rPr>
                  <m:sty m:val="p"/>
                </m:rPr>
                <m:t>[</m:t>
              </m:r>
              <m:r>
                <m:t>0</m:t>
              </m:r>
              <m:r>
                <m:rPr>
                  <m:sty m:val="p"/>
                </m:rPr>
                <m:t>,</m:t>
              </m:r>
              <m:r>
                <m:t>2</m:t>
              </m:r>
              <m:r>
                <m:rPr>
                  <m:sty m:val="p"/>
                </m:rPr>
                <m:t>)</m:t>
              </m:r>
            </m:oMath>
            <w:r>
              <w:t xml:space="preserve">, então a produção é tecnologicamente ineficiente.</w:t>
            </w:r>
          </w:p>
        </w:tc>
      </w:tr>
      <w:tr>
        <w:tc>
          <w:tcPr/>
          <w:p>
            <w:pPr>
              <w:pStyle w:val="Compact"/>
            </w:pPr>
            <w:r>
              <w:t xml:space="preserve">3</w:t>
            </w:r>
          </w:p>
        </w:tc>
        <w:tc>
          <w:tcPr/>
          <w:p>
            <w:pPr>
              <w:pStyle w:val="Compact"/>
            </w:pPr>
            <w:r>
              <w:t xml:space="preserve">Considere</w:t>
            </w:r>
            <w:r>
              <w:t xml:space="preserve"> </w:t>
            </w:r>
            <m:oMath>
              <m:r>
                <m:t>f</m:t>
              </m:r>
              <m:r>
                <m:rPr>
                  <m:sty m:val="p"/>
                </m:rPr>
                <m:t>(</m:t>
              </m:r>
              <m:r>
                <m:t>K</m:t>
              </m:r>
              <m:r>
                <m:rPr>
                  <m:sty m:val="p"/>
                </m:rPr>
                <m:t>,</m:t>
              </m:r>
              <m:r>
                <m:t>L</m:t>
              </m:r>
              <m:r>
                <m:rPr>
                  <m:sty m:val="p"/>
                </m:rPr>
                <m:t>)</m:t>
              </m:r>
              <m:r>
                <m:rPr>
                  <m:sty m:val="p"/>
                </m:rPr>
                <m:t>=</m:t>
              </m:r>
              <m:r>
                <m:rPr>
                  <m:sty m:val="p"/>
                </m:rPr>
                <m:t>(</m:t>
              </m:r>
              <m:r>
                <m:t>K</m:t>
              </m:r>
              <m:r>
                <m:rPr>
                  <m:sty m:val="p"/>
                </m:rPr>
                <m:t>−</m:t>
              </m:r>
              <m:r>
                <m:t>L</m:t>
              </m:r>
              <m:sSup>
                <m:e>
                  <m:r>
                    <m:rPr>
                      <m:sty m:val="p"/>
                    </m:rPr>
                    <m:t>)</m:t>
                  </m:r>
                </m:e>
                <m:sup>
                  <m:r>
                    <m:t>2</m:t>
                  </m:r>
                </m:sup>
              </m:sSup>
            </m:oMath>
            <w:r>
              <w:t xml:space="preserve"> </w:t>
            </w:r>
            <w:r>
              <w:t xml:space="preserve">se</w:t>
            </w:r>
            <w:r>
              <w:t xml:space="preserve"> </w:t>
            </w:r>
            <m:oMath>
              <m:r>
                <m:t>K</m:t>
              </m:r>
              <m:r>
                <m:rPr>
                  <m:sty m:val="p"/>
                </m:rPr>
                <m:t>≤</m:t>
              </m:r>
              <m:r>
                <m:t>L</m:t>
              </m:r>
            </m:oMath>
            <w:r>
              <w:t xml:space="preserve">, e</w:t>
            </w:r>
            <w:r>
              <w:t xml:space="preserve"> </w:t>
            </w:r>
            <m:oMath>
              <m:r>
                <m:t>f</m:t>
              </m:r>
              <m:r>
                <m:rPr>
                  <m:sty m:val="p"/>
                </m:rPr>
                <m:t>(</m:t>
              </m:r>
              <m:r>
                <m:t>K</m:t>
              </m:r>
              <m:r>
                <m:rPr>
                  <m:sty m:val="p"/>
                </m:rPr>
                <m:t>,</m:t>
              </m:r>
              <m:r>
                <m:t>L</m:t>
              </m:r>
              <m:r>
                <m:rPr>
                  <m:sty m:val="p"/>
                </m:rPr>
                <m:t>)</m:t>
              </m:r>
              <m:r>
                <m:rPr>
                  <m:sty m:val="p"/>
                </m:rPr>
                <m:t>=</m:t>
              </m:r>
              <m:r>
                <m:rPr>
                  <m:sty m:val="p"/>
                </m:rPr>
                <m:t>(</m:t>
              </m:r>
              <m:r>
                <m:t>K</m:t>
              </m:r>
              <m:r>
                <m:rPr>
                  <m:sty m:val="p"/>
                </m:rPr>
                <m:t>−</m:t>
              </m:r>
              <m:r>
                <m:t>L</m:t>
              </m:r>
              <m:sSup>
                <m:e>
                  <m:r>
                    <m:rPr>
                      <m:sty m:val="p"/>
                    </m:rPr>
                    <m:t>)</m:t>
                  </m:r>
                </m:e>
                <m:sup>
                  <m:r>
                    <m:t>3</m:t>
                  </m:r>
                </m:sup>
              </m:sSup>
            </m:oMath>
            <w:r>
              <w:t xml:space="preserve"> </w:t>
            </w:r>
            <w:r>
              <w:t xml:space="preserve">se</w:t>
            </w:r>
            <w:r>
              <w:t xml:space="preserve"> </w:t>
            </w:r>
            <m:oMath>
              <m:r>
                <m:t>K</m:t>
              </m:r>
              <m:r>
                <m:rPr>
                  <m:sty m:val="p"/>
                </m:rPr>
                <m:t>&gt;</m:t>
              </m:r>
              <m:r>
                <m:t>L</m:t>
              </m:r>
            </m:oMath>
            <w:r>
              <w:t xml:space="preserve">. Então, ao longo de linhas retas que partem da origem, a taxa técnica de substituição é constante, mas a função não é homotética.</w:t>
            </w:r>
          </w:p>
        </w:tc>
      </w:tr>
      <w:tr>
        <w:tc>
          <w:tcPr/>
          <w:p>
            <w:pPr>
              <w:pStyle w:val="Compact"/>
            </w:pPr>
            <w:r>
              <w:t xml:space="preserve">4</w:t>
            </w:r>
          </w:p>
        </w:tc>
        <w:tc>
          <w:tcPr/>
          <w:p>
            <w:pPr>
              <w:pStyle w:val="Compact"/>
            </w:pPr>
            <w:r>
              <w:t xml:space="preserve">Uma firma produz de acordo com dois processos de Leontief:</w:t>
            </w:r>
            <w:r>
              <w:t xml:space="preserve"> </w:t>
            </w:r>
            <m:oMath>
              <m:r>
                <m:rPr>
                  <m:sty m:val="p"/>
                </m:rPr>
                <m:t>min</m:t>
              </m:r>
              <m:r>
                <m:rPr>
                  <m:sty m:val="p"/>
                </m:rPr>
                <m:t>{</m:t>
              </m:r>
              <m:r>
                <m:t>K</m:t>
              </m:r>
              <m:r>
                <m:rPr>
                  <m:sty m:val="p"/>
                </m:rPr>
                <m:t>/</m:t>
              </m:r>
              <m:r>
                <m:t>3</m:t>
              </m:r>
              <m:r>
                <m:rPr>
                  <m:sty m:val="p"/>
                </m:rPr>
                <m:t>,</m:t>
              </m:r>
              <m:r>
                <m:t>L</m:t>
              </m:r>
              <m:r>
                <m:rPr>
                  <m:sty m:val="p"/>
                </m:rPr>
                <m:t>/</m:t>
              </m:r>
              <m:r>
                <m:t>2</m:t>
              </m:r>
              <m:r>
                <m:rPr>
                  <m:sty m:val="p"/>
                </m:rPr>
                <m:t>}</m:t>
              </m:r>
            </m:oMath>
            <w:r>
              <w:t xml:space="preserve"> </w:t>
            </w:r>
            <w:r>
              <w:t xml:space="preserve">e</w:t>
            </w:r>
            <w:r>
              <w:t xml:space="preserve"> </w:t>
            </w:r>
            <m:oMath>
              <m:r>
                <m:rPr>
                  <m:sty m:val="p"/>
                </m:rPr>
                <m:t>min</m:t>
              </m:r>
              <m:r>
                <m:rPr>
                  <m:sty m:val="p"/>
                </m:rPr>
                <m:t>{</m:t>
              </m:r>
              <m:r>
                <m:t>K</m:t>
              </m:r>
              <m:r>
                <m:rPr>
                  <m:sty m:val="p"/>
                </m:rPr>
                <m:t>,</m:t>
              </m:r>
              <m:r>
                <m:t>L</m:t>
              </m:r>
              <m:r>
                <m:rPr>
                  <m:sty m:val="p"/>
                </m:rPr>
                <m:t>/</m:t>
              </m:r>
              <m:r>
                <m:t>3</m:t>
              </m:r>
              <m:r>
                <m:rPr>
                  <m:sty m:val="p"/>
                </m:rPr>
                <m:t>}</m:t>
              </m:r>
            </m:oMath>
            <w:r>
              <w:t xml:space="preserve">. Suponha que</w:t>
            </w:r>
            <w:r>
              <w:t xml:space="preserve"> </w:t>
            </w:r>
            <m:oMath>
              <m:r>
                <m:t>K</m:t>
              </m:r>
              <m:r>
                <m:rPr>
                  <m:sty m:val="p"/>
                </m:rPr>
                <m:t>=</m:t>
              </m:r>
              <m:r>
                <m:t>5</m:t>
              </m:r>
            </m:oMath>
            <w:r>
              <w:t xml:space="preserve"> </w:t>
            </w:r>
            <w:r>
              <w:t xml:space="preserve">e</w:t>
            </w:r>
            <w:r>
              <w:t xml:space="preserve"> </w:t>
            </w:r>
            <m:oMath>
              <m:r>
                <m:t>L</m:t>
              </m:r>
              <m:r>
                <m:rPr>
                  <m:sty m:val="p"/>
                </m:rPr>
                <m:t>=</m:t>
              </m:r>
              <m:r>
                <m:t>8</m:t>
              </m:r>
            </m:oMath>
            <w:r>
              <w:t xml:space="preserve">. Se o trabalhador adicional custa 70 e o preço da unidade do produto é 210, então não vale a pena contratar o trabalhador adicional.</w:t>
            </w:r>
          </w:p>
        </w:tc>
      </w:tr>
    </w:tbl>
    <w:p>
      <w:pPr>
        <w:pStyle w:val="BlockText"/>
      </w:pPr>
      <w:r>
        <w:t xml:space="preserve">??? success</w:t>
      </w:r>
      <w:r>
        <w:t xml:space="preserve"> </w:t>
      </w:r>
      <w:r>
        <w:t xml:space="preserve">“Gabarito”</w:t>
      </w:r>
      <w:r>
        <w:t xml:space="preserve"> </w:t>
      </w:r>
      <w:r>
        <w:rPr>
          <w:b/>
          <w:bCs/>
        </w:rPr>
        <w:t xml:space="preserve">Respostas: F V V V V</w:t>
      </w:r>
    </w:p>
    <w:p>
      <w:pPr>
        <w:pStyle w:val="SourceCode"/>
      </w:pPr>
      <w:r>
        <w:rPr>
          <w:rStyle w:val="VerbatimChar"/>
        </w:rPr>
        <w:t xml:space="preserve">**Justificativa por item:**</w:t>
      </w:r>
      <w:r>
        <w:br/>
      </w:r>
      <w:r>
        <w:br/>
      </w:r>
      <w:r>
        <w:rPr>
          <w:rStyle w:val="VerbatimChar"/>
        </w:rPr>
        <w:t xml:space="preserve">- **Item 0 — F:** Quando $\sigma \to +\infty$ (ou seja, $\rho \to 1$ na parametrização com $\sigma = 1/(1+\rho)$, ou equivalentemente $\rho \to 1$ com $\sigma = 1/(1-\rho)$ dependendo da convenção de sinal), a CES converge para a função *linear* (substitutos perfeitos), não para a Leontief. A Leontief é o limite quando $\sigma \to 0$.</w:t>
      </w:r>
      <w:r>
        <w:br/>
      </w:r>
      <w:r>
        <w:rPr>
          <w:rStyle w:val="VerbatimChar"/>
        </w:rPr>
        <w:t xml:space="preserve">- **Item 1 — V:** Resíduo de Solow: $\dot{\gamma}/\gamma = \dot{Q}/Q - \alpha \dot{K}/K - (1-\alpha)\dot{L}/L = 0{,}02 - 0{,}5 \times 0{,}018 - 0{,}5 \times 0{,}01 = 0{,}02 - 0{,}009 - 0{,}005 = 0{,}006 = 0{,}6\%$.</w:t>
      </w:r>
      <w:r>
        <w:br/>
      </w:r>
      <w:r>
        <w:rPr>
          <w:rStyle w:val="VerbatimChar"/>
        </w:rPr>
        <w:t xml:space="preserve">- **Item 2 — V:** Se $k &lt; 2$, temos $k/2 &lt; 1$, logo $q = \varphi(k) = k/2 &lt; 1$. Mas com o mesmo $L$, a firma poderia atingir $q = 1$ se tivesse $k \geq 2$. Como $k/2 &lt; 1 = \min\{k'/2, 1\}$ para $k' \geq 2$, a firma está usando capital insuficiente: há excesso relativo de trabalho, e a produção está abaixo da fronteira eficiente.</w:t>
      </w:r>
      <w:r>
        <w:br/>
      </w:r>
      <w:r>
        <w:rPr>
          <w:rStyle w:val="VerbatimChar"/>
        </w:rPr>
        <w:t xml:space="preserve">- **Item 3 — V:** Ao longo de raios da origem, $K = cL$, e a TMST depende apenas de $c$, não do nível de $L$ — logo é constante ao longo de raios. Porém, a função não é homotética porque a forma funcional muda (de quadrática para cúbica) na fronteira $K = L$, impedindo que as isoquantas sejam contrações/expansões homotéticas umas das outras.</w:t>
      </w:r>
      <w:r>
        <w:br/>
      </w:r>
      <w:r>
        <w:rPr>
          <w:rStyle w:val="VerbatimChar"/>
        </w:rPr>
        <w:t xml:space="preserve">- **Item 4 — V:** Com $K = 5$ e $L = 8$, a produção ótima combina os dois processos. No processo 1: $\min\{5/3, 8/2\} = \min\{1{,}67;\ 4\} = 1{,}67$. No processo 2: $\min\{5, 8/3\} = \min\{5;\ 2{,}67\} = 2{,}67$. A alocação ótima dos insumos entre os processos gera produção total de aproximadamente 4,33 unidades. Um trabalhador adicional ($L = 9$) aumenta a produção marginalmente — o ganho adicional multiplicado pelo preço do produto (210) é inferior ao custo do trabalhador (70), logo não compensa. [Cálculo detalhado da alocação ótima entre processos requer programação linear.]</w:t>
      </w:r>
    </w:p>
    <w:bookmarkEnd w:id="669"/>
    <w:bookmarkEnd w:id="670"/>
    <w:bookmarkStart w:id="689" w:name="pesquisa-em-ação-capítulo-10"/>
    <w:p>
      <w:pPr>
        <w:pStyle w:val="Heading2"/>
      </w:pPr>
      <w:r>
        <w:t xml:space="preserve">Pesquisa em Ação — Capítulo 10</w:t>
      </w:r>
    </w:p>
    <w:p>
      <w:pPr>
        <w:pStyle w:val="BlockText"/>
      </w:pPr>
      <w:r>
        <w:rPr>
          <w:b/>
          <w:bCs/>
        </w:rPr>
        <w:t xml:space="preserve">[PESQUISA EM ACAO] Gasques, José Garcia; Bastos, Eliana Teles; Bacchi, Mirian Rumenos Piedade; Valdes, Constanza. (2010). Produtividade Total dos Fatores e Transformações da Agricultura Brasileira: Análise dos Dados dos Censos Agropecuários. In: Gasques, J. G.; Vieira Filho, J. E. R.; Navarro, Z. (Orgs.).</w:t>
      </w:r>
      <w:r>
        <w:rPr>
          <w:b/>
          <w:bCs/>
        </w:rPr>
        <w:t xml:space="preserve"> </w:t>
      </w:r>
      <w:hyperlink r:id="rId671">
        <w:r>
          <w:rPr>
            <w:rStyle w:val="Hyperlink"/>
            <w:b/>
            <w:bCs/>
            <w:i/>
            <w:iCs/>
          </w:rPr>
          <w:t xml:space="preserve">A Agricultura Brasileira: Desempenho, Desafios e Perspectivas</w:t>
        </w:r>
      </w:hyperlink>
      <w:r>
        <w:rPr>
          <w:b/>
          <w:bCs/>
        </w:rPr>
        <w:t xml:space="preserve">. Brasília: IPEA, Cap. 1, 19-44. ISBN: 978-85-7811-050-5</w:t>
      </w:r>
    </w:p>
    <w:p>
      <w:pPr>
        <w:pStyle w:val="BlockText"/>
      </w:pPr>
      <w:r>
        <w:rPr>
          <w:b/>
          <w:bCs/>
        </w:rPr>
        <w:t xml:space="preserve">Pergunta central:</w:t>
      </w:r>
      <w:r>
        <w:t xml:space="preserve"> </w:t>
      </w:r>
      <w:r>
        <w:t xml:space="preserve">Quanto do crescimento da produção agropecuária brasileira nas últimas décadas se deve ao uso de mais insumos (terra, trabalho, capital) e quanto se deve ao progresso técnico? A decomposição do crescimento entre acumulação de fatores e produtividade total dos fatores (PTF) é uma aplicação direta da contabilidade de crescimento à la Solow discutida na Seção 10.6.</w:t>
      </w:r>
    </w:p>
    <w:p>
      <w:pPr>
        <w:pStyle w:val="BlockText"/>
      </w:pPr>
      <w:r>
        <w:rPr>
          <w:b/>
          <w:bCs/>
        </w:rPr>
        <w:t xml:space="preserve">Método:</w:t>
      </w:r>
      <w:r>
        <w:t xml:space="preserve"> </w:t>
      </w:r>
      <w:r>
        <w:t xml:space="preserve">Gasques et al. utilizam dados dos Censos Agropecuários do IBGE para construir índices de produtividade total dos fatores na agropecuária brasileira entre 1970 e 2006. A metodologia consiste em calcular índices de Törnqvist para produto e insumos agregados (terra, trabalho, capital, materiais) e obter a PTF como resíduo — o mesmo conceito do resíduo de Solow, agora aplicado a dados censitários reais.</w:t>
      </w:r>
    </w:p>
    <w:p>
      <w:pPr>
        <w:pStyle w:val="BlockText"/>
      </w:pPr>
      <w:r>
        <w:rPr>
          <w:b/>
          <w:bCs/>
        </w:rPr>
        <w:t xml:space="preserve">Resultado principal:</w:t>
      </w:r>
      <w:r>
        <w:t xml:space="preserve"> </w:t>
      </w:r>
      <w:r>
        <w:t xml:space="preserve">A PTF agropecuária cresceu a uma taxa média de 3,3% ao ano entre 1970 e 2006, respondendo por mais de dois terços do crescimento do produto no período. A terra cultivada cresceu modestamente, o trabalho rural</w:t>
      </w:r>
      <w:r>
        <w:t xml:space="preserve"> </w:t>
      </w:r>
      <w:r>
        <w:rPr>
          <w:i/>
          <w:iCs/>
        </w:rPr>
        <w:t xml:space="preserve">declinou</w:t>
      </w:r>
      <w:r>
        <w:t xml:space="preserve">, e o capital e os insumos intermediários cresceram — mas a maior parte do crescimento veio da produtividade. A taxa de crescimento da PTF acelerou após os anos 1990, coincidindo com a intensificação da pesquisa da Embrapa e a abertura comercial.</w:t>
      </w:r>
    </w:p>
    <w:p>
      <w:pPr>
        <w:pStyle w:val="BlockText"/>
      </w:pPr>
      <w:r>
        <w:rPr>
          <w:b/>
          <w:bCs/>
        </w:rPr>
        <w:t xml:space="preserve">Por que isso importa:</w:t>
      </w:r>
      <w:r>
        <w:t xml:space="preserve"> </w:t>
      </w:r>
      <w:r>
        <w:t xml:space="preserve">O resultado tem implicações diretas para a política agrícola: investimento em pesquisa e extensão rural gera retornos sociais elevados, pois desloca a função de produção agregada da agricultura. Em um país onde a agropecuária responde por cerca de 25% do PIB (considerando toda a cadeia), a PTF agrícola é um dos principais motores do crescimento econômico.</w:t>
      </w:r>
    </w:p>
    <w:p>
      <w:pPr>
        <w:pStyle w:val="BlockText"/>
      </w:pPr>
      <w:r>
        <w:rPr>
          <w:b/>
          <w:bCs/>
        </w:rPr>
        <w:t xml:space="preserve">Relevância para o capítulo:</w:t>
      </w:r>
      <w:r>
        <w:t xml:space="preserve"> </w:t>
      </w:r>
      <w:r>
        <w:t xml:space="preserve">O estudo é uma aplicação empírica da decomposição do crescimento apresentada na Seção 10.6. O parâmetro</w:t>
      </w:r>
      <w:r>
        <w:t xml:space="preserve"> </w:t>
      </w:r>
      <m:oMath>
        <m:r>
          <m:t>A</m:t>
        </m:r>
        <m:r>
          <m:rPr>
            <m:sty m:val="p"/>
          </m:rPr>
          <m:t>(</m:t>
        </m:r>
        <m:r>
          <m:t>t</m:t>
        </m:r>
        <m:r>
          <m:rPr>
            <m:sty m:val="p"/>
          </m:rPr>
          <m:t>)</m:t>
        </m:r>
      </m:oMath>
      <w:r>
        <w:t xml:space="preserve"> </w:t>
      </w:r>
      <w:r>
        <w:t xml:space="preserve">da função de produção não é uma abstração teórica: é medido, acompanhado e influenciado por políticas públicas. O caso da agricultura brasileira mostra que o progresso técnico — capturado pelo resíduo de Solow — pode ser a força dominante do crescimento, exatamente como previsto pela teoria quando a PTF cresce mais rápido que os insumos.</w:t>
      </w:r>
    </w:p>
    <w:p>
      <w:pPr>
        <w:pStyle w:val="BlockText"/>
      </w:pPr>
      <w:r>
        <w:rPr>
          <w:b/>
          <w:bCs/>
        </w:rPr>
        <w:t xml:space="preserve">[PESQUISA EM ACAO] Oberfield, Ezra; Raval, Devesh. (2021).</w:t>
      </w:r>
      <w:r>
        <w:rPr>
          <w:b/>
          <w:bCs/>
        </w:rPr>
        <w:t xml:space="preserve"> </w:t>
      </w:r>
      <w:hyperlink r:id="rId672">
        <w:r>
          <w:rPr>
            <w:rStyle w:val="Hyperlink"/>
            <w:b/>
            <w:bCs/>
          </w:rPr>
          <w:t xml:space="preserve">Micro Data and Macro Technology</w:t>
        </w:r>
      </w:hyperlink>
      <w:r>
        <w:rPr>
          <w:b/>
          <w:bCs/>
        </w:rPr>
        <w:t xml:space="preserve">.</w:t>
      </w:r>
      <w:r>
        <w:rPr>
          <w:b/>
          <w:bCs/>
        </w:rPr>
        <w:t xml:space="preserve"> </w:t>
      </w:r>
      <w:r>
        <w:rPr>
          <w:b/>
          <w:bCs/>
          <w:i/>
          <w:iCs/>
        </w:rPr>
        <w:t xml:space="preserve">Econometrica</w:t>
      </w:r>
      <w:r>
        <w:rPr>
          <w:b/>
          <w:bCs/>
        </w:rPr>
        <w:t xml:space="preserve">, 89(2), 703-732. DOI:</w:t>
      </w:r>
      <w:r>
        <w:rPr>
          <w:b/>
          <w:bCs/>
        </w:rPr>
        <w:t xml:space="preserve"> </w:t>
      </w:r>
      <w:hyperlink r:id="rId672">
        <w:r>
          <w:rPr>
            <w:rStyle w:val="Hyperlink"/>
            <w:b/>
            <w:bCs/>
          </w:rPr>
          <w:t xml:space="preserve">10.3982/ECTA12807</w:t>
        </w:r>
      </w:hyperlink>
    </w:p>
    <w:p>
      <w:pPr>
        <w:pStyle w:val="BlockText"/>
      </w:pPr>
      <w:r>
        <w:rPr>
          <w:b/>
          <w:bCs/>
        </w:rPr>
        <w:t xml:space="preserve">Pergunta central:</w:t>
      </w:r>
      <w:r>
        <w:t xml:space="preserve"> </w:t>
      </w:r>
      <w:r>
        <w:t xml:space="preserve">Qual é a elasticidade de substituição entre capital e trabalho na economia? Esse parâmetro — o</w:t>
      </w:r>
      <w:r>
        <w:t xml:space="preserve"> </w:t>
      </w:r>
      <m:oMath>
        <m:r>
          <m:t>σ</m:t>
        </m:r>
      </m:oMath>
      <w:r>
        <w:t xml:space="preserve"> </w:t>
      </w:r>
      <w:r>
        <w:t xml:space="preserve">da função CES discutido na Seção 10.4 — é crucial para entender se a participação do capital na renda aumenta ou diminui quando o capital se torna mais abundante. Piketty (2014) argumentou que</w:t>
      </w:r>
      <w:r>
        <w:t xml:space="preserve"> </w:t>
      </w:r>
      <m:oMath>
        <m:r>
          <m:t>σ</m:t>
        </m:r>
        <m:r>
          <m:rPr>
            <m:sty m:val="p"/>
          </m:rPr>
          <m:t>&gt;</m:t>
        </m:r>
        <m:r>
          <m:t>1</m:t>
        </m:r>
      </m:oMath>
      <w:r>
        <w:t xml:space="preserve"> </w:t>
      </w:r>
      <w:r>
        <w:t xml:space="preserve">explicaria o aumento da desigualdade; outros pesquisadores contestaram essa estimativa.</w:t>
      </w:r>
    </w:p>
    <w:p>
      <w:pPr>
        <w:pStyle w:val="BlockText"/>
      </w:pPr>
      <w:r>
        <w:rPr>
          <w:b/>
          <w:bCs/>
        </w:rPr>
        <w:t xml:space="preserve">Método:</w:t>
      </w:r>
      <w:r>
        <w:t xml:space="preserve"> </w:t>
      </w:r>
      <w:r>
        <w:t xml:space="preserve">Oberfield e Raval propõem uma abordagem que usa microdados de plantas industriais (Census of Manufactures dos EUA) para estimar a elasticidade de substituição agregada. A ideia-chave é que a elasticidade agregada depende de dois componentes: a elasticidade de substituição</w:t>
      </w:r>
      <w:r>
        <w:t xml:space="preserve"> </w:t>
      </w:r>
      <w:r>
        <w:rPr>
          <w:i/>
          <w:iCs/>
        </w:rPr>
        <w:t xml:space="preserve">dentro</w:t>
      </w:r>
      <w:r>
        <w:t xml:space="preserve"> </w:t>
      </w:r>
      <w:r>
        <w:t xml:space="preserve">de cada planta (entre capital e trabalho) e a elasticidade de substituição</w:t>
      </w:r>
      <w:r>
        <w:t xml:space="preserve"> </w:t>
      </w:r>
      <w:r>
        <w:rPr>
          <w:i/>
          <w:iCs/>
        </w:rPr>
        <w:t xml:space="preserve">entre</w:t>
      </w:r>
      <w:r>
        <w:t xml:space="preserve"> </w:t>
      </w:r>
      <w:r>
        <w:t xml:space="preserve">plantas (realocação de recursos de plantas intensivas em trabalho para plantas intensivas em capital). Os autores estimam ambas separadamente.</w:t>
      </w:r>
    </w:p>
    <w:p>
      <w:pPr>
        <w:pStyle w:val="BlockText"/>
      </w:pPr>
      <w:r>
        <w:rPr>
          <w:b/>
          <w:bCs/>
        </w:rPr>
        <w:t xml:space="preserve">Resultado principal:</w:t>
      </w:r>
      <w:r>
        <w:t xml:space="preserve"> </w:t>
      </w:r>
      <w:r>
        <w:t xml:space="preserve">A elasticidade de substituição dentro das plantas é de aproximadamente 0,5 a 0,7 — abaixo de 1, consistente com a complementaridade entre capital e trabalho. Porém, a elasticidade agregada pode ser maior que a elasticidade no nível da planta devido à realocação entre plantas. Para a manufatura americana, a elasticidade agregada estimada situa-se em torno de 0,7, ainda abaixo de 1. Isso sugere que capital e trabalho são complementares brutos e que a participação do capital na renda</w:t>
      </w:r>
      <w:r>
        <w:t xml:space="preserve"> </w:t>
      </w:r>
      <w:r>
        <w:rPr>
          <w:i/>
          <w:iCs/>
        </w:rPr>
        <w:t xml:space="preserve">cai</w:t>
      </w:r>
      <w:r>
        <w:t xml:space="preserve"> </w:t>
      </w:r>
      <w:r>
        <w:t xml:space="preserve">quando o capital se torna relativamente mais abundante.</w:t>
      </w:r>
    </w:p>
    <w:p>
      <w:pPr>
        <w:pStyle w:val="BlockText"/>
      </w:pPr>
      <w:r>
        <w:rPr>
          <w:b/>
          <w:bCs/>
        </w:rPr>
        <w:t xml:space="preserve">Por que isso importa:</w:t>
      </w:r>
      <w:r>
        <w:t xml:space="preserve"> </w:t>
      </w:r>
      <w:r>
        <w:t xml:space="preserve">O resultado tem implicações diretas para o debate sobre desigualdade e para a calibração de modelos macroeconômicos. Se</w:t>
      </w:r>
      <w:r>
        <w:t xml:space="preserve"> </w:t>
      </w:r>
      <m:oMath>
        <m:r>
          <m:t>σ</m:t>
        </m:r>
        <m:r>
          <m:rPr>
            <m:sty m:val="p"/>
          </m:rPr>
          <m:t>&lt;</m:t>
        </m:r>
        <m:r>
          <m:t>1</m:t>
        </m:r>
      </m:oMath>
      <w:r>
        <w:t xml:space="preserve">, a automação e a acumulação de capital não levam necessariamente a um aumento da participação do capital na renda — contrariando uma versão simplificada da tese de Piketty.</w:t>
      </w:r>
    </w:p>
    <w:p>
      <w:pPr>
        <w:pStyle w:val="BlockText"/>
      </w:pPr>
      <w:r>
        <w:rPr>
          <w:b/>
          <w:bCs/>
        </w:rPr>
        <w:t xml:space="preserve">Relevância para o capítulo:</w:t>
      </w:r>
      <w:r>
        <w:t xml:space="preserve"> </w:t>
      </w:r>
      <w:r>
        <w:t xml:space="preserve">O artigo demonstra que a elasticidade de substituição</w:t>
      </w:r>
      <w:r>
        <w:t xml:space="preserve"> </w:t>
      </w:r>
      <m:oMath>
        <m:r>
          <m:t>σ</m:t>
        </m:r>
      </m:oMath>
      <w:r>
        <w:t xml:space="preserve"> </w:t>
      </w:r>
      <w:r>
        <w:t xml:space="preserve">— apresentada na Seção 10.4 como um parâmetro abstrato da CES — é um objeto empiricamente estimável e economicamente consequente. A distinção entre a CES no nível da planta e no nível agregado mostra que a escolha da forma funcional (Seção 10.5) tem implicações que vão muito além do exercício de sala de aula: ela determina previsões sobre distribuição de renda, política fiscal e futuro do trabalho.</w:t>
      </w:r>
    </w:p>
    <w:p>
      <w:pPr>
        <w:pStyle w:val="BlockText"/>
      </w:pPr>
      <w:r>
        <w:rPr>
          <w:b/>
          <w:bCs/>
        </w:rPr>
        <w:t xml:space="preserve">[PESQUISA EM ACAO] Solow, Robert M. (1957). Technical Change and the Aggregate Production Function.</w:t>
      </w:r>
      <w:r>
        <w:rPr>
          <w:b/>
          <w:bCs/>
        </w:rPr>
        <w:t xml:space="preserve"> </w:t>
      </w:r>
      <w:r>
        <w:rPr>
          <w:b/>
          <w:bCs/>
          <w:i/>
          <w:iCs/>
        </w:rPr>
        <w:t xml:space="preserve">Review of Economics and Statistics</w:t>
      </w:r>
      <w:r>
        <w:rPr>
          <w:b/>
          <w:bCs/>
        </w:rPr>
        <w:t xml:space="preserve">, 39(3), 312–320.</w:t>
      </w:r>
    </w:p>
    <w:p>
      <w:pPr>
        <w:pStyle w:val="BlockText"/>
      </w:pPr>
      <w:r>
        <w:rPr>
          <w:b/>
          <w:bCs/>
        </w:rPr>
        <w:t xml:space="preserve">Pergunta central:</w:t>
      </w:r>
      <w:r>
        <w:t xml:space="preserve"> </w:t>
      </w:r>
      <w:r>
        <w:t xml:space="preserve">Quanto do crescimento do produto nos EUA entre 1909 e 1949 se deveu à acumulação de capital e trabalho, e quanto decorreu do progresso técnico? O artigo fundacional de Solow introduz a metodologia da contabilidade do crescimento — hoje conhecida como</w:t>
      </w:r>
      <w:r>
        <w:t xml:space="preserve"> </w:t>
      </w:r>
      <w:r>
        <w:t xml:space="preserve">“resíduo de Solow”</w:t>
      </w:r>
      <w:r>
        <w:t xml:space="preserve"> </w:t>
      </w:r>
      <w:r>
        <w:t xml:space="preserve">— e aplica-a pela primeira vez a dados macroeconômicos americanos.</w:t>
      </w:r>
    </w:p>
    <w:p>
      <w:pPr>
        <w:pStyle w:val="BlockText"/>
      </w:pPr>
      <w:r>
        <w:rPr>
          <w:b/>
          <w:bCs/>
        </w:rPr>
        <w:t xml:space="preserve">Método:</w:t>
      </w:r>
      <w:r>
        <w:t xml:space="preserve"> </w:t>
      </w:r>
      <w:r>
        <w:t xml:space="preserve">Solow parte de uma função de produção agregada</w:t>
      </w:r>
      <w:r>
        <w:t xml:space="preserve"> </w:t>
      </w:r>
      <m:oMath>
        <m:r>
          <m:t>Q</m:t>
        </m:r>
        <m:r>
          <m:rPr>
            <m:sty m:val="p"/>
          </m:rPr>
          <m:t>=</m:t>
        </m:r>
        <m:r>
          <m:t>A</m:t>
        </m:r>
        <m:r>
          <m:rPr>
            <m:sty m:val="p"/>
          </m:rPr>
          <m:t>(</m:t>
        </m:r>
        <m:r>
          <m:t>t</m:t>
        </m:r>
        <m:r>
          <m:rPr>
            <m:sty m:val="p"/>
          </m:rPr>
          <m:t>)</m:t>
        </m:r>
        <m:r>
          <m:rPr>
            <m:sty m:val="p"/>
          </m:rPr>
          <m:t>⋅</m:t>
        </m:r>
        <m:r>
          <m:t>F</m:t>
        </m:r>
        <m:r>
          <m:rPr>
            <m:sty m:val="p"/>
          </m:rPr>
          <m:t>(</m:t>
        </m:r>
        <m:r>
          <m:t>K</m:t>
        </m:r>
        <m:r>
          <m:rPr>
            <m:sty m:val="p"/>
          </m:rPr>
          <m:t>,</m:t>
        </m:r>
        <m:r>
          <m:t>L</m:t>
        </m:r>
        <m:r>
          <m:rPr>
            <m:sty m:val="p"/>
          </m:rPr>
          <m:t>)</m:t>
        </m:r>
      </m:oMath>
      <w:r>
        <w:t xml:space="preserve"> </w:t>
      </w:r>
      <w:r>
        <w:t xml:space="preserve">e diferencia ao longo do tempo. Sob hipótese de mercados competitivos (cada fator é remunerado pelo seu produto marginal), as participações factoriais na renda podem ser usadas como pesos para os fatores, permitindo isolar</w:t>
      </w:r>
      <w:r>
        <w:t xml:space="preserve"> </w:t>
      </w:r>
      <m:oMath>
        <m:acc>
          <m:accPr>
            <m:chr m:val="̇"/>
          </m:accPr>
          <m:e>
            <m:r>
              <m:t>A</m:t>
            </m:r>
          </m:e>
        </m:acc>
        <m:r>
          <m:rPr>
            <m:sty m:val="p"/>
          </m:rPr>
          <m:t>/</m:t>
        </m:r>
        <m:r>
          <m:t>A</m:t>
        </m:r>
      </m:oMath>
      <w:r>
        <w:t xml:space="preserve"> </w:t>
      </w:r>
      <w:r>
        <w:t xml:space="preserve">como resíduo. O método não requer assumir uma forma funcional específica para</w:t>
      </w:r>
      <w:r>
        <w:t xml:space="preserve"> </w:t>
      </w:r>
      <m:oMath>
        <m:r>
          <m:t>F</m:t>
        </m:r>
      </m:oMath>
      <w:r>
        <w:t xml:space="preserve"> </w:t>
      </w:r>
      <w:r>
        <w:t xml:space="preserve">— apenas que a função seja homogênea de grau 1 (rendimentos constantes de escala).</w:t>
      </w:r>
    </w:p>
    <w:p>
      <w:pPr>
        <w:pStyle w:val="BlockText"/>
      </w:pPr>
      <w:r>
        <w:rPr>
          <w:b/>
          <w:bCs/>
        </w:rPr>
        <w:t xml:space="preserve">Resultado principal:</w:t>
      </w:r>
      <w:r>
        <w:t xml:space="preserve"> </w:t>
      </w:r>
      <w:r>
        <w:t xml:space="preserve">Solow encontrou que apenas</w:t>
      </w:r>
      <w:r>
        <w:t xml:space="preserve"> </w:t>
      </w:r>
      <w:r>
        <w:rPr>
          <w:b/>
          <w:bCs/>
        </w:rPr>
        <w:t xml:space="preserve">12,5% do crescimento</w:t>
      </w:r>
      <w:r>
        <w:t xml:space="preserve"> </w:t>
      </w:r>
      <w:r>
        <w:t xml:space="preserve">do produto por hora trabalhada nos EUA no período era explicado pela acumulação de capital — os</w:t>
      </w:r>
      <w:r>
        <w:t xml:space="preserve"> </w:t>
      </w:r>
      <w:r>
        <w:rPr>
          <w:b/>
          <w:bCs/>
        </w:rPr>
        <w:t xml:space="preserve">87,5% restantes</w:t>
      </w:r>
      <w:r>
        <w:t xml:space="preserve"> </w:t>
      </w:r>
      <w:r>
        <w:t xml:space="preserve">constituíam o resíduo, interpretado como progresso técnico. Esse resultado, hoje reproduzido em inúmeras economias, foi decisivo para redirecionar a pesquisa em crescimento econômico da acumulação de fatores para a inovação e o conhecimento.</w:t>
      </w:r>
    </w:p>
    <w:p>
      <w:pPr>
        <w:pStyle w:val="BlockText"/>
      </w:pPr>
      <w:r>
        <w:rPr>
          <w:b/>
          <w:bCs/>
        </w:rPr>
        <w:t xml:space="preserve">Por que isso importa:</w:t>
      </w:r>
      <w:r>
        <w:t xml:space="preserve"> </w:t>
      </w:r>
      <w:r>
        <w:t xml:space="preserve">O artigo é a base empírica e metodológica de tudo que se estuda sobre PTF e progresso técnico, tanto em macroeconomia quanto na microeconomia da produção. O Prêmio Nobel de 1987 concedido a Solow reconhece precisamente esse legado.</w:t>
      </w:r>
    </w:p>
    <w:p>
      <w:pPr>
        <w:pStyle w:val="BlockText"/>
      </w:pPr>
      <w:r>
        <w:rPr>
          <w:b/>
          <w:bCs/>
        </w:rPr>
        <w:t xml:space="preserve">Relevância para o capítulo:</w:t>
      </w:r>
      <w:r>
        <w:t xml:space="preserve"> </w:t>
      </w:r>
      <w:r>
        <w:t xml:space="preserve">A equação de contabilidade do crescimento (eq. 10.12) apresentada na Seção 10.6 é diretamente derivada da metodologia deste artigo. O</w:t>
      </w:r>
      <w:r>
        <w:t xml:space="preserve"> </w:t>
      </w:r>
      <w:r>
        <w:t xml:space="preserve">“resíduo de Solow”</w:t>
      </w:r>
      <w:r>
        <w:t xml:space="preserve"> </w:t>
      </w:r>
      <w:r>
        <w:t xml:space="preserve">é o parâmetro</w:t>
      </w:r>
      <w:r>
        <w:t xml:space="preserve"> </w:t>
      </w:r>
      <m:oMath>
        <m:acc>
          <m:accPr>
            <m:chr m:val="̇"/>
          </m:accPr>
          <m:e>
            <m:r>
              <m:t>A</m:t>
            </m:r>
          </m:e>
        </m:acc>
        <m:r>
          <m:rPr>
            <m:sty m:val="p"/>
          </m:rPr>
          <m:t>/</m:t>
        </m:r>
        <m:r>
          <m:t>A</m:t>
        </m:r>
      </m:oMath>
      <w:r>
        <w:t xml:space="preserve"> </w:t>
      </w:r>
      <w:r>
        <w:t xml:space="preserve">— e sua estimação para o Brasil, nos estudos de Gasques et al. e Bonelli &amp; Fonseca, replica a metodologia pioneira deste trabalho.</w:t>
      </w:r>
    </w:p>
    <w:p>
      <w:pPr>
        <w:pStyle w:val="BlockText"/>
      </w:pPr>
      <w:r>
        <w:rPr>
          <w:b/>
          <w:bCs/>
        </w:rPr>
        <w:t xml:space="preserve">[PESQUISA EM ACAO] Griliches, Zvi. (1963). The Sources of Measured Productivity Growth: United States Agriculture, 1940–60.</w:t>
      </w:r>
      <w:r>
        <w:rPr>
          <w:b/>
          <w:bCs/>
        </w:rPr>
        <w:t xml:space="preserve"> </w:t>
      </w:r>
      <w:r>
        <w:rPr>
          <w:b/>
          <w:bCs/>
          <w:i/>
          <w:iCs/>
        </w:rPr>
        <w:t xml:space="preserve">Journal of Political Economy</w:t>
      </w:r>
      <w:r>
        <w:rPr>
          <w:b/>
          <w:bCs/>
        </w:rPr>
        <w:t xml:space="preserve">, 71(4), 331–346.</w:t>
      </w:r>
    </w:p>
    <w:p>
      <w:pPr>
        <w:pStyle w:val="BlockText"/>
      </w:pPr>
      <w:r>
        <w:rPr>
          <w:b/>
          <w:bCs/>
        </w:rPr>
        <w:t xml:space="preserve">Pergunta central:</w:t>
      </w:r>
      <w:r>
        <w:t xml:space="preserve"> </w:t>
      </w:r>
      <w:r>
        <w:t xml:space="preserve">Quanto cresceu a produtividade da agricultura americana nas décadas de 1940 e 1950, e quais foram as fontes desse crescimento? Griliches aplica a contabilidade de Solow ao setor agrícola americano, com foco especial na adoção tecnológica e na qualidade dos insumos.</w:t>
      </w:r>
    </w:p>
    <w:p>
      <w:pPr>
        <w:pStyle w:val="BlockText"/>
      </w:pPr>
      <w:r>
        <w:rPr>
          <w:b/>
          <w:bCs/>
        </w:rPr>
        <w:t xml:space="preserve">Método:</w:t>
      </w:r>
      <w:r>
        <w:t xml:space="preserve"> </w:t>
      </w:r>
      <w:r>
        <w:t xml:space="preserve">O trabalho constrói índices de produto agrícola e insumos ajustados pela qualidade: trabalho ponderado por educação, capital ajustado pela vintage tecnológica dos equipamentos. A ideia central é que parte do</w:t>
      </w:r>
      <w:r>
        <w:t xml:space="preserve"> </w:t>
      </w:r>
      <w:r>
        <w:t xml:space="preserve">“resíduo”</w:t>
      </w:r>
      <w:r>
        <w:t xml:space="preserve"> </w:t>
      </w:r>
      <w:r>
        <w:t xml:space="preserve">de Solow reflete mudanças na</w:t>
      </w:r>
      <w:r>
        <w:t xml:space="preserve"> </w:t>
      </w:r>
      <w:r>
        <w:rPr>
          <w:i/>
          <w:iCs/>
        </w:rPr>
        <w:t xml:space="preserve">qualidade</w:t>
      </w:r>
      <w:r>
        <w:t xml:space="preserve"> </w:t>
      </w:r>
      <w:r>
        <w:t xml:space="preserve">dos insumos, não apenas progresso técnico desincorporado. Griliches distingue entre progresso técnico</w:t>
      </w:r>
      <w:r>
        <w:t xml:space="preserve"> </w:t>
      </w:r>
      <w:r>
        <w:rPr>
          <w:b/>
          <w:bCs/>
        </w:rPr>
        <w:t xml:space="preserve">incorporado</w:t>
      </w:r>
      <w:r>
        <w:t xml:space="preserve"> </w:t>
      </w:r>
      <w:r>
        <w:t xml:space="preserve">(embodied — melhorias nos bens de capital, como tratores mais eficientes) e</w:t>
      </w:r>
      <w:r>
        <w:t xml:space="preserve"> </w:t>
      </w:r>
      <w:r>
        <w:rPr>
          <w:b/>
          <w:bCs/>
        </w:rPr>
        <w:t xml:space="preserve">desincorporado</w:t>
      </w:r>
      <w:r>
        <w:t xml:space="preserve"> </w:t>
      </w:r>
      <w:r>
        <w:t xml:space="preserve">(disembodied — aumentos de produtividade independentes dos insumos).</w:t>
      </w:r>
    </w:p>
    <w:p>
      <w:pPr>
        <w:pStyle w:val="BlockText"/>
      </w:pPr>
      <w:r>
        <w:rPr>
          <w:b/>
          <w:bCs/>
        </w:rPr>
        <w:t xml:space="preserve">Resultado principal:</w:t>
      </w:r>
      <w:r>
        <w:t xml:space="preserve"> </w:t>
      </w:r>
      <w:r>
        <w:t xml:space="preserve">A produtividade da agricultura americana cresceu a aproximadamente 2% ao ano entre 1940 e 1960. Quando os insumos são ajustados pela qualidade, o resíduo não explicado pelo crescimento dos fatores cai substancialmente — sugerindo que parte significativa do</w:t>
      </w:r>
      <w:r>
        <w:t xml:space="preserve"> </w:t>
      </w:r>
      <w:r>
        <w:t xml:space="preserve">“milagre”</w:t>
      </w:r>
      <w:r>
        <w:t xml:space="preserve"> </w:t>
      </w:r>
      <w:r>
        <w:t xml:space="preserve">da produtividade agrícola americana refletia melhorias na qualidade do capital e do trabalho, e não apenas progresso técnico puro.</w:t>
      </w:r>
    </w:p>
    <w:p>
      <w:pPr>
        <w:pStyle w:val="BlockText"/>
      </w:pPr>
      <w:r>
        <w:rPr>
          <w:b/>
          <w:bCs/>
        </w:rPr>
        <w:t xml:space="preserve">Por que isso importa:</w:t>
      </w:r>
      <w:r>
        <w:t xml:space="preserve"> </w:t>
      </w:r>
      <w:r>
        <w:t xml:space="preserve">O trabalho de Griliches inaugurou a tradição de medir a PTF ajustada pela qualidade dos insumos, uma linha de pesquisa central em econometria da produção até hoje. Seus estudos posteriores sobre P&amp;D e spillovers de conhecimento influenciaram diretamente a política de apoio à pesquisa agrícola nos EUA — e a criação de instituições como a Embrapa no Brasil.</w:t>
      </w:r>
    </w:p>
    <w:p>
      <w:pPr>
        <w:pStyle w:val="BlockText"/>
      </w:pPr>
      <w:r>
        <w:rPr>
          <w:b/>
          <w:bCs/>
        </w:rPr>
        <w:t xml:space="preserve">Relevância para o capítulo:</w:t>
      </w:r>
      <w:r>
        <w:t xml:space="preserve"> </w:t>
      </w:r>
      <w:r>
        <w:t xml:space="preserve">A decomposição entre progresso técnico incorporado e desincorporado é uma extensão natural do conceito de PTF apresentado na Seção 10.6. No contexto brasileiro, a Embrapa produz tanto progresso incorporado (sementes de alto rendimento, máquinas adaptadas ao Cerrado) quanto desincorporado (técnicas agronômicas, manejo de solo) — e a distinção de Griliches ajuda a interpretar quanto de cada tipo explicou a revolução agrícola brasileira.</w:t>
      </w:r>
    </w:p>
    <w:p>
      <w:pPr>
        <w:pStyle w:val="BlockText"/>
      </w:pPr>
      <w:r>
        <w:rPr>
          <w:b/>
          <w:bCs/>
        </w:rPr>
        <w:t xml:space="preserve">[PESQUISA EM ACAO] Bustos, Paula; Caprettini, Bruno; Ponticelli, Jacopo. (2016). Agricultural Productivity and Structural Transformation: Evidence from Brazil.</w:t>
      </w:r>
      <w:r>
        <w:rPr>
          <w:b/>
          <w:bCs/>
        </w:rPr>
        <w:t xml:space="preserve"> </w:t>
      </w:r>
      <w:r>
        <w:rPr>
          <w:b/>
          <w:bCs/>
          <w:i/>
          <w:iCs/>
        </w:rPr>
        <w:t xml:space="preserve">American Economic Review</w:t>
      </w:r>
      <w:r>
        <w:rPr>
          <w:b/>
          <w:bCs/>
        </w:rPr>
        <w:t xml:space="preserve">, 106(6), 1320–1365. DOI:</w:t>
      </w:r>
      <w:r>
        <w:rPr>
          <w:b/>
          <w:bCs/>
        </w:rPr>
        <w:t xml:space="preserve"> </w:t>
      </w:r>
      <w:hyperlink r:id="rId673">
        <w:r>
          <w:rPr>
            <w:rStyle w:val="Hyperlink"/>
            <w:b/>
            <w:bCs/>
          </w:rPr>
          <w:t xml:space="preserve">10.1257/aer.20131061</w:t>
        </w:r>
      </w:hyperlink>
    </w:p>
    <w:p>
      <w:pPr>
        <w:pStyle w:val="BlockText"/>
      </w:pPr>
      <w:r>
        <w:rPr>
          <w:b/>
          <w:bCs/>
        </w:rPr>
        <w:t xml:space="preserve">Pergunta central:</w:t>
      </w:r>
      <w:r>
        <w:t xml:space="preserve"> </w:t>
      </w:r>
      <w:r>
        <w:t xml:space="preserve">A introdução de novas tecnologias agrícolas de alta produtividade leva ao desenvolvimento econômico e à transformação estrutural? O artigo usa a adoção da soja transgênica de alta tecnologia (HT —</w:t>
      </w:r>
      <w:r>
        <w:t xml:space="preserve"> </w:t>
      </w:r>
      <w:r>
        <w:rPr>
          <w:i/>
          <w:iCs/>
        </w:rPr>
        <w:t xml:space="preserve">high-yield</w:t>
      </w:r>
      <w:r>
        <w:t xml:space="preserve"> </w:t>
      </w:r>
      <w:r>
        <w:t xml:space="preserve">varieties) no Brasil como experimento natural para estimar o impacto do progresso técnico agrícola sobre a alocação de trabalho entre setores.</w:t>
      </w:r>
    </w:p>
    <w:p>
      <w:pPr>
        <w:pStyle w:val="BlockText"/>
      </w:pPr>
      <w:r>
        <w:rPr>
          <w:b/>
          <w:bCs/>
        </w:rPr>
        <w:t xml:space="preserve">Método:</w:t>
      </w:r>
      <w:r>
        <w:t xml:space="preserve"> </w:t>
      </w:r>
      <w:r>
        <w:t xml:space="preserve">Bustos, Caprettini e Ponticelli exploram a variação geográfica na adequação das novas variedades de soja HT (introduzidas no Brasil a partir dos anos 2000): municípios onde as condições climáticas e de solo favoreciam a adoção da nova tecnologia experimentaram maiores aumentos de produtividade agrícola. Usando essa variação como instrumento, os autores estimam o efeito causal do progresso técnico agrícola sobre o emprego industrial e o processo de urbanização.</w:t>
      </w:r>
    </w:p>
    <w:p>
      <w:pPr>
        <w:pStyle w:val="BlockText"/>
      </w:pPr>
      <w:r>
        <w:rPr>
          <w:b/>
          <w:bCs/>
        </w:rPr>
        <w:t xml:space="preserve">Resultado principal:</w:t>
      </w:r>
      <w:r>
        <w:t xml:space="preserve"> </w:t>
      </w:r>
      <w:r>
        <w:t xml:space="preserve">A adoção de HT causou aumento significativo da produtividade agrícola e, simultaneamente,</w:t>
      </w:r>
      <w:r>
        <w:t xml:space="preserve"> </w:t>
      </w:r>
      <w:r>
        <w:rPr>
          <w:b/>
          <w:bCs/>
        </w:rPr>
        <w:t xml:space="preserve">liberação de trabalho</w:t>
      </w:r>
      <w:r>
        <w:t xml:space="preserve"> </w:t>
      </w:r>
      <w:r>
        <w:t xml:space="preserve">do campo em direção ao setor industrial. Municípios com maior adequação à HT experimentaram maior crescimento do emprego industrial, consistente com um processo de transformação estrutural clássico: ganhos de produtividade na agricultura liberam mão de obra que se emprega em atividades de maior valor adicionado. O efeito foi quantitativamente relevante — municípios com alta adequação à HT cresceram o emprego industrial cerca de 10 pontos percentuais a mais que os demais.</w:t>
      </w:r>
    </w:p>
    <w:p>
      <w:pPr>
        <w:pStyle w:val="BlockText"/>
      </w:pPr>
      <w:r>
        <w:rPr>
          <w:b/>
          <w:bCs/>
        </w:rPr>
        <w:t xml:space="preserve">Por que isso importa:</w:t>
      </w:r>
      <w:r>
        <w:t xml:space="preserve"> </w:t>
      </w:r>
      <w:r>
        <w:t xml:space="preserve">O artigo conecta diretamente a teoria da produção (progresso técnico, PTF) ao desenvolvimento econômico. O</w:t>
      </w:r>
      <w:r>
        <w:t xml:space="preserve"> </w:t>
      </w:r>
      <w:r>
        <w:t xml:space="preserve">“resíduo de Solow”</w:t>
      </w:r>
      <w:r>
        <w:t xml:space="preserve"> </w:t>
      </w:r>
      <w:r>
        <w:t xml:space="preserve">agrícola não é apenas um número contábil — ele tem consequências reais sobre a estrutura do emprego e o nível de renda per capita. Para o Brasil, onde a agropecuária continua sendo setor fundamental, a pesquisa da Embrapa tem impactos que vão muito além da porteira da fazenda.</w:t>
      </w:r>
    </w:p>
    <w:p>
      <w:pPr>
        <w:pStyle w:val="BlockText"/>
      </w:pPr>
      <w:r>
        <w:rPr>
          <w:b/>
          <w:bCs/>
        </w:rPr>
        <w:t xml:space="preserve">Relevância para o capítulo:</w:t>
      </w:r>
      <w:r>
        <w:t xml:space="preserve"> </w:t>
      </w:r>
      <w:r>
        <w:t xml:space="preserve">O artigo é uma aplicação direta da decomposição do crescimento (Seção 10.6) a dados brasileiros reais, conectando o parâmetro</w:t>
      </w:r>
      <w:r>
        <w:t xml:space="preserve"> </w:t>
      </w:r>
      <m:oMath>
        <m:r>
          <m:t>A</m:t>
        </m:r>
        <m:r>
          <m:rPr>
            <m:sty m:val="p"/>
          </m:rPr>
          <m:t>(</m:t>
        </m:r>
        <m:r>
          <m:t>t</m:t>
        </m:r>
        <m:r>
          <m:rPr>
            <m:sty m:val="p"/>
          </m:rPr>
          <m:t>)</m:t>
        </m:r>
      </m:oMath>
      <w:r>
        <w:t xml:space="preserve"> </w:t>
      </w:r>
      <w:r>
        <w:t xml:space="preserve">da função de produção agrícola a transformações macroeconômicas de longo prazo. Combina os instrumentais de teoria da produção e econometria para identificar causalidade, exemplificando como os conceitos deste capítulo fundamentam pesquisa empírica de fronteira.</w:t>
      </w:r>
    </w:p>
    <w:bookmarkStart w:id="688" w:name="referências-do-capítulo-11"/>
    <w:p>
      <w:pPr>
        <w:pStyle w:val="Heading3"/>
      </w:pPr>
      <w:r>
        <w:t xml:space="preserve">Referências do Capítulo</w:t>
      </w:r>
    </w:p>
    <w:p>
      <w:pPr>
        <w:pStyle w:val="Compact"/>
        <w:numPr>
          <w:ilvl w:val="0"/>
          <w:numId w:val="1671"/>
        </w:numPr>
      </w:pPr>
      <w:r>
        <w:t xml:space="preserve">Acemoglu, Daron, e Pascual Restrepo. 2019.</w:t>
      </w:r>
      <w:r>
        <w:t xml:space="preserve"> </w:t>
      </w:r>
      <w:r>
        <w:t xml:space="preserve">“</w:t>
      </w:r>
      <w:hyperlink r:id="rId674">
        <w:r>
          <w:rPr>
            <w:rStyle w:val="Hyperlink"/>
          </w:rPr>
          <w:t xml:space="preserve">Automation and New Tasks: How Technology Displaces and Reinstates Labor</w:t>
        </w:r>
      </w:hyperlink>
      <w:r>
        <w:t xml:space="preserve">.”</w:t>
      </w:r>
      <w:r>
        <w:t xml:space="preserve"> </w:t>
      </w:r>
      <w:r>
        <w:rPr>
          <w:i/>
          <w:iCs/>
        </w:rPr>
        <w:t xml:space="preserve">Journal of Economic Perspectives</w:t>
      </w:r>
      <w:r>
        <w:t xml:space="preserve"> </w:t>
      </w:r>
      <w:r>
        <w:t xml:space="preserve">33 (2): 3–30.</w:t>
      </w:r>
    </w:p>
    <w:p>
      <w:pPr>
        <w:pStyle w:val="Compact"/>
        <w:numPr>
          <w:ilvl w:val="0"/>
          <w:numId w:val="1671"/>
        </w:numPr>
      </w:pPr>
      <w:r>
        <w:t xml:space="preserve">Arrow, Kenneth J., Hollis B. Chenery, Bagicha S. Minhas, e Robert M. Solow. 1961.</w:t>
      </w:r>
      <w:r>
        <w:t xml:space="preserve"> </w:t>
      </w:r>
      <w:r>
        <w:t xml:space="preserve">“</w:t>
      </w:r>
      <w:hyperlink r:id="rId675">
        <w:r>
          <w:rPr>
            <w:rStyle w:val="Hyperlink"/>
          </w:rPr>
          <w:t xml:space="preserve">Capital-Labor Substitution and Economic Efficiency</w:t>
        </w:r>
      </w:hyperlink>
      <w:r>
        <w:t xml:space="preserve">.”</w:t>
      </w:r>
      <w:r>
        <w:t xml:space="preserve"> </w:t>
      </w:r>
      <w:r>
        <w:rPr>
          <w:i/>
          <w:iCs/>
        </w:rPr>
        <w:t xml:space="preserve">Review of Economics and Statistics</w:t>
      </w:r>
      <w:r>
        <w:t xml:space="preserve"> </w:t>
      </w:r>
      <w:r>
        <w:t xml:space="preserve">43 (3): 225–250.</w:t>
      </w:r>
    </w:p>
    <w:p>
      <w:pPr>
        <w:pStyle w:val="Compact"/>
        <w:numPr>
          <w:ilvl w:val="0"/>
          <w:numId w:val="1671"/>
        </w:numPr>
      </w:pPr>
      <w:r>
        <w:t xml:space="preserve">Bonelli, Regis, e Renato Fonseca. 1998.</w:t>
      </w:r>
      <w:r>
        <w:t xml:space="preserve"> </w:t>
      </w:r>
      <w:r>
        <w:t xml:space="preserve">“</w:t>
      </w:r>
      <w:hyperlink r:id="rId676">
        <w:r>
          <w:rPr>
            <w:rStyle w:val="Hyperlink"/>
          </w:rPr>
          <w:t xml:space="preserve">Ganhos de Produtividade e de Eficiência: Novos Resultados para a Economia Brasileira</w:t>
        </w:r>
      </w:hyperlink>
      <w:r>
        <w:t xml:space="preserve">.”</w:t>
      </w:r>
      <w:r>
        <w:t xml:space="preserve"> </w:t>
      </w:r>
      <w:r>
        <w:t xml:space="preserve">Texto para Discussão No. 557. Rio de Janeiro: IPEA.</w:t>
      </w:r>
    </w:p>
    <w:p>
      <w:pPr>
        <w:pStyle w:val="Compact"/>
        <w:numPr>
          <w:ilvl w:val="0"/>
          <w:numId w:val="1671"/>
        </w:numPr>
      </w:pPr>
      <w:r>
        <w:t xml:space="preserve">Bustos, Paula, Bruno Caprettini, e Jacopo Ponticelli. 2016.</w:t>
      </w:r>
      <w:r>
        <w:t xml:space="preserve"> </w:t>
      </w:r>
      <w:r>
        <w:t xml:space="preserve">“</w:t>
      </w:r>
      <w:hyperlink r:id="rId673">
        <w:r>
          <w:rPr>
            <w:rStyle w:val="Hyperlink"/>
          </w:rPr>
          <w:t xml:space="preserve">Agricultural Productivity and Structural Transformation: Evidence from Brazil</w:t>
        </w:r>
      </w:hyperlink>
      <w:r>
        <w:t xml:space="preserve">.”</w:t>
      </w:r>
      <w:r>
        <w:t xml:space="preserve"> </w:t>
      </w:r>
      <w:r>
        <w:rPr>
          <w:i/>
          <w:iCs/>
        </w:rPr>
        <w:t xml:space="preserve">American Economic Review</w:t>
      </w:r>
      <w:r>
        <w:t xml:space="preserve"> </w:t>
      </w:r>
      <w:r>
        <w:t xml:space="preserve">106 (6): 1320–1365.</w:t>
      </w:r>
    </w:p>
    <w:p>
      <w:pPr>
        <w:pStyle w:val="Compact"/>
        <w:numPr>
          <w:ilvl w:val="0"/>
          <w:numId w:val="1671"/>
        </w:numPr>
      </w:pPr>
      <w:r>
        <w:t xml:space="preserve">Chirinko, Robert S. 2008.</w:t>
      </w:r>
      <w:r>
        <w:t xml:space="preserve"> </w:t>
      </w:r>
      <w:r>
        <w:t xml:space="preserve">“</w:t>
      </w:r>
      <w:hyperlink r:id="rId677">
        <w:r>
          <w:rPr>
            <w:rStyle w:val="Hyperlink"/>
          </w:rPr>
          <w:t xml:space="preserve">σ: The Long and Short of It</w:t>
        </w:r>
      </w:hyperlink>
      <w:r>
        <w:t xml:space="preserve">.”</w:t>
      </w:r>
      <w:r>
        <w:t xml:space="preserve"> </w:t>
      </w:r>
      <w:r>
        <w:rPr>
          <w:i/>
          <w:iCs/>
        </w:rPr>
        <w:t xml:space="preserve">Journal of Macroeconomics</w:t>
      </w:r>
      <w:r>
        <w:t xml:space="preserve"> </w:t>
      </w:r>
      <w:r>
        <w:t xml:space="preserve">30 (2): 671–686.</w:t>
      </w:r>
    </w:p>
    <w:p>
      <w:pPr>
        <w:pStyle w:val="Compact"/>
        <w:numPr>
          <w:ilvl w:val="0"/>
          <w:numId w:val="1671"/>
        </w:numPr>
      </w:pPr>
      <w:r>
        <w:t xml:space="preserve">Cobb, Charles W., e Paul H. Douglas. 1928.</w:t>
      </w:r>
      <w:r>
        <w:t xml:space="preserve"> </w:t>
      </w:r>
      <w:r>
        <w:t xml:space="preserve">“</w:t>
      </w:r>
      <w:hyperlink r:id="rId678">
        <w:r>
          <w:rPr>
            <w:rStyle w:val="Hyperlink"/>
          </w:rPr>
          <w:t xml:space="preserve">A Theory of Production</w:t>
        </w:r>
      </w:hyperlink>
      <w:r>
        <w:t xml:space="preserve">.”</w:t>
      </w:r>
      <w:r>
        <w:t xml:space="preserve"> </w:t>
      </w:r>
      <w:r>
        <w:rPr>
          <w:i/>
          <w:iCs/>
        </w:rPr>
        <w:t xml:space="preserve">American Economic Review</w:t>
      </w:r>
      <w:r>
        <w:t xml:space="preserve"> </w:t>
      </w:r>
      <w:r>
        <w:t xml:space="preserve">18 (1): 139–165.</w:t>
      </w:r>
    </w:p>
    <w:p>
      <w:pPr>
        <w:pStyle w:val="Compact"/>
        <w:numPr>
          <w:ilvl w:val="0"/>
          <w:numId w:val="1671"/>
        </w:numPr>
      </w:pPr>
      <w:r>
        <w:t xml:space="preserve">Friedlaender, Ann F., Clifford Winston, e Kung Wang. 1983.</w:t>
      </w:r>
      <w:r>
        <w:t xml:space="preserve"> </w:t>
      </w:r>
      <w:r>
        <w:t xml:space="preserve">“Costs, Technology, and Productivity in the U.S. Automobile Industry.”</w:t>
      </w:r>
      <w:r>
        <w:t xml:space="preserve"> </w:t>
      </w:r>
      <w:r>
        <w:rPr>
          <w:i/>
          <w:iCs/>
        </w:rPr>
        <w:t xml:space="preserve">Bell Journal of Economics</w:t>
      </w:r>
      <w:r>
        <w:t xml:space="preserve"> </w:t>
      </w:r>
      <w:r>
        <w:t xml:space="preserve">14 (1): 1–20.</w:t>
      </w:r>
    </w:p>
    <w:p>
      <w:pPr>
        <w:pStyle w:val="Compact"/>
        <w:numPr>
          <w:ilvl w:val="0"/>
          <w:numId w:val="1671"/>
        </w:numPr>
      </w:pPr>
      <w:r>
        <w:t xml:space="preserve">Gasques, José Garcia, Eliana Teles Bastos, Mirian Rumenos Piedade Bacchi, e Constanza Valdes. 2010.</w:t>
      </w:r>
      <w:r>
        <w:t xml:space="preserve"> </w:t>
      </w:r>
      <w:r>
        <w:t xml:space="preserve">“Produtividade Total dos Fatores e Transformações da Agricultura Brasileira.”</w:t>
      </w:r>
      <w:r>
        <w:t xml:space="preserve"> </w:t>
      </w:r>
      <w:r>
        <w:t xml:space="preserve">In</w:t>
      </w:r>
      <w:r>
        <w:t xml:space="preserve"> </w:t>
      </w:r>
      <w:r>
        <w:rPr>
          <w:i/>
          <w:iCs/>
        </w:rPr>
        <w:t xml:space="preserve">A Agricultura Brasileira: Desempenho, Desafios e Perspectivas</w:t>
      </w:r>
      <w:r>
        <w:t xml:space="preserve">, org. J. G. Gasques, J. E. R. Vieira Filho e Z. Navarro, 19–44. Brasília: IPEA.</w:t>
      </w:r>
    </w:p>
    <w:p>
      <w:pPr>
        <w:pStyle w:val="Compact"/>
        <w:numPr>
          <w:ilvl w:val="0"/>
          <w:numId w:val="1671"/>
        </w:numPr>
      </w:pPr>
      <w:r>
        <w:t xml:space="preserve">Gomes, Viktoria, Samuel de Abreu Pessôa, e Fernando A. Veloso. 2003.</w:t>
      </w:r>
      <w:r>
        <w:t xml:space="preserve"> </w:t>
      </w:r>
      <w:r>
        <w:t xml:space="preserve">“</w:t>
      </w:r>
      <w:hyperlink r:id="rId679">
        <w:r>
          <w:rPr>
            <w:rStyle w:val="Hyperlink"/>
          </w:rPr>
          <w:t xml:space="preserve">Evolução da Produtividade Total dos Fatores na Economia Brasileira: Uma Análise Comparativa</w:t>
        </w:r>
      </w:hyperlink>
      <w:r>
        <w:t xml:space="preserve">.”</w:t>
      </w:r>
      <w:r>
        <w:t xml:space="preserve"> </w:t>
      </w:r>
      <w:r>
        <w:rPr>
          <w:i/>
          <w:iCs/>
        </w:rPr>
        <w:t xml:space="preserve">Pesquisa e Planejamento Econômico</w:t>
      </w:r>
      <w:r>
        <w:t xml:space="preserve"> </w:t>
      </w:r>
      <w:r>
        <w:t xml:space="preserve">33 (3): 389–434.</w:t>
      </w:r>
    </w:p>
    <w:p>
      <w:pPr>
        <w:pStyle w:val="Compact"/>
        <w:numPr>
          <w:ilvl w:val="0"/>
          <w:numId w:val="1671"/>
        </w:numPr>
      </w:pPr>
      <w:r>
        <w:t xml:space="preserve">Goolsbee, Austan, Steven Levitt, e Chad Syverson. 2020.</w:t>
      </w:r>
      <w:r>
        <w:t xml:space="preserve"> </w:t>
      </w:r>
      <w:hyperlink r:id="rId680">
        <w:r>
          <w:rPr>
            <w:rStyle w:val="Hyperlink"/>
            <w:i/>
            <w:iCs/>
          </w:rPr>
          <w:t xml:space="preserve">Microeconomics</w:t>
        </w:r>
      </w:hyperlink>
      <w:r>
        <w:t xml:space="preserve">. 3ª ed. New York: Worth Publishers.</w:t>
      </w:r>
    </w:p>
    <w:p>
      <w:pPr>
        <w:pStyle w:val="Compact"/>
        <w:numPr>
          <w:ilvl w:val="0"/>
          <w:numId w:val="1671"/>
        </w:numPr>
      </w:pPr>
      <w:r>
        <w:t xml:space="preserve">Griliches, Zvi. 1963.</w:t>
      </w:r>
      <w:r>
        <w:t xml:space="preserve"> </w:t>
      </w:r>
      <w:r>
        <w:t xml:space="preserve">“</w:t>
      </w:r>
      <w:hyperlink r:id="rId681">
        <w:r>
          <w:rPr>
            <w:rStyle w:val="Hyperlink"/>
          </w:rPr>
          <w:t xml:space="preserve">The Sources of Measured Productivity Growth: United States Agriculture, 1940–60</w:t>
        </w:r>
      </w:hyperlink>
      <w:r>
        <w:t xml:space="preserve">.”</w:t>
      </w:r>
      <w:r>
        <w:t xml:space="preserve"> </w:t>
      </w:r>
      <w:r>
        <w:rPr>
          <w:i/>
          <w:iCs/>
        </w:rPr>
        <w:t xml:space="preserve">Journal of Political Economy</w:t>
      </w:r>
      <w:r>
        <w:t xml:space="preserve"> </w:t>
      </w:r>
      <w:r>
        <w:t xml:space="preserve">71 (4): 331–346.</w:t>
      </w:r>
    </w:p>
    <w:p>
      <w:pPr>
        <w:pStyle w:val="Compact"/>
        <w:numPr>
          <w:ilvl w:val="0"/>
          <w:numId w:val="1671"/>
        </w:numPr>
      </w:pPr>
      <w:r>
        <w:t xml:space="preserve">Hsieh, Chang-Tai. 2002.</w:t>
      </w:r>
      <w:r>
        <w:t xml:space="preserve"> </w:t>
      </w:r>
      <w:r>
        <w:t xml:space="preserve">“</w:t>
      </w:r>
      <w:hyperlink r:id="rId682">
        <w:r>
          <w:rPr>
            <w:rStyle w:val="Hyperlink"/>
          </w:rPr>
          <w:t xml:space="preserve">What Explains the Industrial Revolution in East Asia? Evidence from the Factor Markets</w:t>
        </w:r>
      </w:hyperlink>
      <w:r>
        <w:t xml:space="preserve">.”</w:t>
      </w:r>
      <w:r>
        <w:t xml:space="preserve"> </w:t>
      </w:r>
      <w:r>
        <w:rPr>
          <w:i/>
          <w:iCs/>
        </w:rPr>
        <w:t xml:space="preserve">American Economic Review</w:t>
      </w:r>
      <w:r>
        <w:t xml:space="preserve"> </w:t>
      </w:r>
      <w:r>
        <w:t xml:space="preserve">92 (3): 502–526.</w:t>
      </w:r>
    </w:p>
    <w:p>
      <w:pPr>
        <w:pStyle w:val="Compact"/>
        <w:numPr>
          <w:ilvl w:val="0"/>
          <w:numId w:val="1671"/>
        </w:numPr>
      </w:pPr>
      <w:r>
        <w:t xml:space="preserve">Karabarbounis, Loukas, e Brent Neiman. 2014.</w:t>
      </w:r>
      <w:r>
        <w:t xml:space="preserve"> </w:t>
      </w:r>
      <w:r>
        <w:t xml:space="preserve">“</w:t>
      </w:r>
      <w:hyperlink r:id="rId683">
        <w:r>
          <w:rPr>
            <w:rStyle w:val="Hyperlink"/>
          </w:rPr>
          <w:t xml:space="preserve">The Global Decline of the Labor Share</w:t>
        </w:r>
      </w:hyperlink>
      <w:r>
        <w:t xml:space="preserve">.”</w:t>
      </w:r>
      <w:r>
        <w:t xml:space="preserve"> </w:t>
      </w:r>
      <w:r>
        <w:rPr>
          <w:i/>
          <w:iCs/>
        </w:rPr>
        <w:t xml:space="preserve">Quarterly Journal of Economics</w:t>
      </w:r>
      <w:r>
        <w:t xml:space="preserve"> </w:t>
      </w:r>
      <w:r>
        <w:t xml:space="preserve">129 (1): 61–103.</w:t>
      </w:r>
    </w:p>
    <w:p>
      <w:pPr>
        <w:pStyle w:val="Compact"/>
        <w:numPr>
          <w:ilvl w:val="0"/>
          <w:numId w:val="1671"/>
        </w:numPr>
      </w:pPr>
      <w:r>
        <w:t xml:space="preserve">Mas-Colell, Andreu, Michael D. Whinston, e Jerry R. Green. 1995.</w:t>
      </w:r>
      <w:r>
        <w:t xml:space="preserve"> </w:t>
      </w:r>
      <w:hyperlink r:id="rId70">
        <w:r>
          <w:rPr>
            <w:rStyle w:val="Hyperlink"/>
            <w:i/>
            <w:iCs/>
          </w:rPr>
          <w:t xml:space="preserve">Microeconomic Theory</w:t>
        </w:r>
      </w:hyperlink>
      <w:r>
        <w:t xml:space="preserve">. New York: Oxford University Press. Cap. 5.</w:t>
      </w:r>
    </w:p>
    <w:p>
      <w:pPr>
        <w:pStyle w:val="Compact"/>
        <w:numPr>
          <w:ilvl w:val="0"/>
          <w:numId w:val="1671"/>
        </w:numPr>
      </w:pPr>
      <w:r>
        <w:t xml:space="preserve">Nicholson, Walter, e Christopher M. Snyder. 2017.</w:t>
      </w:r>
      <w:r>
        <w:t xml:space="preserve"> </w:t>
      </w:r>
      <w:hyperlink r:id="rId71">
        <w:r>
          <w:rPr>
            <w:rStyle w:val="Hyperlink"/>
            <w:i/>
            <w:iCs/>
          </w:rPr>
          <w:t xml:space="preserve">Microeconomic Theory: Basic Principles and Extensions</w:t>
        </w:r>
      </w:hyperlink>
      <w:r>
        <w:t xml:space="preserve">. 12ª ed. Boston: Cengage Learning. Cap. 9.</w:t>
      </w:r>
    </w:p>
    <w:p>
      <w:pPr>
        <w:pStyle w:val="Compact"/>
        <w:numPr>
          <w:ilvl w:val="0"/>
          <w:numId w:val="1671"/>
        </w:numPr>
      </w:pPr>
      <w:r>
        <w:t xml:space="preserve">Oberfield, Ezra, e Devesh Raval. 2021.</w:t>
      </w:r>
      <w:r>
        <w:t xml:space="preserve"> </w:t>
      </w:r>
      <w:r>
        <w:t xml:space="preserve">“</w:t>
      </w:r>
      <w:hyperlink r:id="rId672">
        <w:r>
          <w:rPr>
            <w:rStyle w:val="Hyperlink"/>
          </w:rPr>
          <w:t xml:space="preserve">Micro Data and Macro Technology</w:t>
        </w:r>
      </w:hyperlink>
      <w:r>
        <w:t xml:space="preserve">.”</w:t>
      </w:r>
      <w:r>
        <w:t xml:space="preserve"> </w:t>
      </w:r>
      <w:r>
        <w:rPr>
          <w:i/>
          <w:iCs/>
        </w:rPr>
        <w:t xml:space="preserve">Econometrica</w:t>
      </w:r>
      <w:r>
        <w:t xml:space="preserve"> </w:t>
      </w:r>
      <w:r>
        <w:t xml:space="preserve">89 (2): 703–732.</w:t>
      </w:r>
    </w:p>
    <w:p>
      <w:pPr>
        <w:pStyle w:val="Compact"/>
        <w:numPr>
          <w:ilvl w:val="0"/>
          <w:numId w:val="1671"/>
        </w:numPr>
      </w:pPr>
      <w:r>
        <w:t xml:space="preserve">Piketty, Thomas. 2014.</w:t>
      </w:r>
      <w:r>
        <w:t xml:space="preserve"> </w:t>
      </w:r>
      <w:hyperlink r:id="rId684">
        <w:r>
          <w:rPr>
            <w:rStyle w:val="Hyperlink"/>
            <w:i/>
            <w:iCs/>
          </w:rPr>
          <w:t xml:space="preserve">O Capital no Século XXI</w:t>
        </w:r>
      </w:hyperlink>
      <w:r>
        <w:t xml:space="preserve">. Trad. Monica Baumgarten de Bolle. Rio de Janeiro: Intrínseca.</w:t>
      </w:r>
    </w:p>
    <w:p>
      <w:pPr>
        <w:pStyle w:val="Compact"/>
        <w:numPr>
          <w:ilvl w:val="0"/>
          <w:numId w:val="1671"/>
        </w:numPr>
      </w:pPr>
      <w:r>
        <w:t xml:space="preserve">Solow, Robert M. 1957.</w:t>
      </w:r>
      <w:r>
        <w:t xml:space="preserve"> </w:t>
      </w:r>
      <w:r>
        <w:t xml:space="preserve">“</w:t>
      </w:r>
      <w:hyperlink r:id="rId685">
        <w:r>
          <w:rPr>
            <w:rStyle w:val="Hyperlink"/>
          </w:rPr>
          <w:t xml:space="preserve">Technical Change and the Aggregate Production Function</w:t>
        </w:r>
      </w:hyperlink>
      <w:r>
        <w:t xml:space="preserve">.”</w:t>
      </w:r>
      <w:r>
        <w:t xml:space="preserve"> </w:t>
      </w:r>
      <w:r>
        <w:rPr>
          <w:i/>
          <w:iCs/>
        </w:rPr>
        <w:t xml:space="preserve">Review of Economics and Statistics</w:t>
      </w:r>
      <w:r>
        <w:t xml:space="preserve"> </w:t>
      </w:r>
      <w:r>
        <w:t xml:space="preserve">39 (3): 312–320.</w:t>
      </w:r>
    </w:p>
    <w:p>
      <w:pPr>
        <w:pStyle w:val="Compact"/>
        <w:numPr>
          <w:ilvl w:val="0"/>
          <w:numId w:val="1671"/>
        </w:numPr>
      </w:pPr>
      <w:r>
        <w:t xml:space="preserve">Varian, Hal R. 1992.</w:t>
      </w:r>
      <w:r>
        <w:t xml:space="preserve"> </w:t>
      </w:r>
      <w:hyperlink r:id="rId686">
        <w:r>
          <w:rPr>
            <w:rStyle w:val="Hyperlink"/>
            <w:i/>
            <w:iCs/>
          </w:rPr>
          <w:t xml:space="preserve">Microeconomic Analysis</w:t>
        </w:r>
      </w:hyperlink>
      <w:r>
        <w:t xml:space="preserve">. 3ª ed. New York: W. W. Norton. Cap. 1–4 (teoria da produção).</w:t>
      </w:r>
    </w:p>
    <w:p>
      <w:pPr>
        <w:pStyle w:val="Compact"/>
        <w:numPr>
          <w:ilvl w:val="0"/>
          <w:numId w:val="1671"/>
        </w:numPr>
      </w:pPr>
      <w:r>
        <w:t xml:space="preserve">Young, Alwyn. 1995.</w:t>
      </w:r>
      <w:r>
        <w:t xml:space="preserve"> </w:t>
      </w:r>
      <w:r>
        <w:t xml:space="preserve">“</w:t>
      </w:r>
      <w:hyperlink r:id="rId687">
        <w:r>
          <w:rPr>
            <w:rStyle w:val="Hyperlink"/>
          </w:rPr>
          <w:t xml:space="preserve">The Tyranny of Numbers: Confronting the Statistical Realities of the East Asian Growth Experience</w:t>
        </w:r>
      </w:hyperlink>
      <w:r>
        <w:t xml:space="preserve">.”</w:t>
      </w:r>
      <w:r>
        <w:t xml:space="preserve"> </w:t>
      </w:r>
      <w:r>
        <w:rPr>
          <w:i/>
          <w:iCs/>
        </w:rPr>
        <w:t xml:space="preserve">Quarterly Journal of Economics</w:t>
      </w:r>
      <w:r>
        <w:t xml:space="preserve"> </w:t>
      </w:r>
      <w:r>
        <w:t xml:space="preserve">110 (3): 641–680.</w:t>
      </w:r>
    </w:p>
    <w:bookmarkEnd w:id="688"/>
    <w:bookmarkEnd w:id="689"/>
    <w:bookmarkEnd w:id="690"/>
    <w:bookmarkStart w:id="743" w:name="X263192a9e8363eb140cff348dd20fe68a19f142"/>
    <w:p>
      <w:pPr>
        <w:sectPr>
          <w:footnotePr>
            <w:numRestart w:val="eachSect"/>
          </w:footnotePr>
        </w:sectPr>
      </w:pPr>
    </w:p>
    <w:p>
      <w:pPr>
        <w:pStyle w:val="Heading1"/>
      </w:pPr>
      <w:r>
        <w:t xml:space="preserve">Capítulo 11 — A Conta Sempre Chega (E Vem em Formato de U)</w:t>
      </w:r>
    </w:p>
    <w:p>
      <w:pPr>
        <w:pStyle w:val="FirstParagraph"/>
      </w:pPr>
      <w:r>
        <w:t xml:space="preserve">Em 2023, uma padaria artesanal no bairro de Pinheiros, em São Paulo, viralizou ao cobrar R$ 35 por um pão de fermentação natural. O público se dividiu: absurdo ou justo? A resposta está neste capítulo. Farinha orgânica, 18 horas de fermentação, aluguel de R$ 25 mil/mês num ponto nobre, forno importado que custou R$ 80 mil — quando você soma tudo, o custo médio de cada pão não é tão diferente de R$ 35. A padaria de rede que vende o pão francês a R$ 0,80, por outro lado, opera com farinha convencional, fermentação acelerada, forno a gás padronizado e produz 3.000 unidades por dia. A diferença de preço não é ganância — é</w:t>
      </w:r>
      <w:r>
        <w:t xml:space="preserve"> </w:t>
      </w:r>
      <w:r>
        <w:rPr>
          <w:i/>
          <w:iCs/>
        </w:rPr>
        <w:t xml:space="preserve">estrutura de custos</w:t>
      </w:r>
      <w:r>
        <w:t xml:space="preserve">. E entender essa estrutura é o que separa o empreendedor que sobrevive do que fecha em dois anos.</w:t>
      </w:r>
      <w:r>
        <w:rPr>
          <w:rStyle w:val="FootnoteReference"/>
        </w:rPr>
        <w:footnoteReference w:id="691"/>
      </w:r>
    </w:p>
    <w:p>
      <w:pPr>
        <w:pStyle w:val="BodyText"/>
      </w:pPr>
      <w:r>
        <w:t xml:space="preserve">Toda dona de padaria sabe uma coisa que muitos alunos de economia demoram a internalizar: não basta saber</w:t>
      </w:r>
      <w:r>
        <w:t xml:space="preserve"> </w:t>
      </w:r>
      <w:r>
        <w:rPr>
          <w:i/>
          <w:iCs/>
        </w:rPr>
        <w:t xml:space="preserve">fazer</w:t>
      </w:r>
      <w:r>
        <w:t xml:space="preserve"> </w:t>
      </w:r>
      <w:r>
        <w:t xml:space="preserve">— é preciso saber</w:t>
      </w:r>
      <w:r>
        <w:t xml:space="preserve"> </w:t>
      </w:r>
      <w:r>
        <w:rPr>
          <w:i/>
          <w:iCs/>
        </w:rPr>
        <w:t xml:space="preserve">quanto custa</w:t>
      </w:r>
      <w:r>
        <w:t xml:space="preserve"> </w:t>
      </w:r>
      <w:r>
        <w:t xml:space="preserve">fazer. No capítulo anterior, mapeamos a tecnologia da firma: isoquantas, rendimentos de escala, TMST. Era o cardápio das possibilidades. Agora vem a conta. A teoria dos custos traduz essas possibilidades tecnológicas em cifras — e é nessa tradução que decisões reais de produção acontecem.</w:t>
      </w:r>
    </w:p>
    <w:p>
      <w:pPr>
        <w:pStyle w:val="BodyText"/>
      </w:pPr>
      <w:r>
        <w:t xml:space="preserve">A distinção entre custos econômicos e contábeis, o conceito de custo de oportunidade, a relação entre minimização de custos e maximização de lucro, o papel das curvas de custo de curto e longo prazo e o elegante Lema de Shephard — que conecta a função custo às demandas condicionadas por insumos — são os temas centrais deste capítulo. Há uma simetria profunda com a teoria do consumidor: da mesma forma que o Capítulo 4 estudou a minimização de gasto para atingir dado nível de utilidade, aqui estudamos a minimização de custo para atingir dado nível de produto. Essa dualidade não é acidental — ela reflete a estrutura matemática comum dos dois problemas de otimização, e os resultados de um iluminam o outro.</w:t>
      </w:r>
      <w:r>
        <w:rPr>
          <w:rStyle w:val="FootnoteReference"/>
        </w:rPr>
        <w:footnoteReference w:id="692"/>
      </w:r>
    </w:p>
    <w:p>
      <w:pPr>
        <w:pStyle w:val="BodyText"/>
      </w:pPr>
      <w:r>
        <w:t xml:space="preserve">A compreensão da estrutura de custos é indispensável para a análise da oferta, da formação de preços e da organização industrial. Nos Capítulos 12 e 13, a função custo derivada aqui será o ponto de partida para determinar a oferta da firma competitiva e o equilíbrio de mercado. No contexto brasileiro, onde o chamado</w:t>
      </w:r>
      <w:r>
        <w:t xml:space="preserve"> </w:t>
      </w:r>
      <w:r>
        <w:t xml:space="preserve">“custo Brasil”</w:t>
      </w:r>
      <w:r>
        <w:t xml:space="preserve"> </w:t>
      </w:r>
      <w:r>
        <w:t xml:space="preserve">— que engloba carga tributária, deficiências logísticas e burocracia — pesa significativamente sobre a competitividade das empresas, essa análise ganha relevância adicional e urgente. Da soja exportada pelo Porto de Santos ao café especial de Minas Gerais, da montadora em São Bernardo do Campo à startup de tecnologia em Florianópolis, a estrutura de custos determina quais firmas sobrevivem, quais crescem e quais saem do mercado.</w:t>
      </w:r>
    </w:p>
    <w:p>
      <w:pPr>
        <w:pStyle w:val="BodyText"/>
      </w:pPr>
      <w:r>
        <w:t xml:space="preserve">Do ponto de vista histórico, a formalização moderna da teoria dos custos deve muito a dois contributos seminais. Jacob Viner (1931), em seu artigo</w:t>
      </w:r>
      <w:r>
        <w:t xml:space="preserve"> </w:t>
      </w:r>
      <w:r>
        <w:t xml:space="preserve">“Cost Curves and Supply Curves”</w:t>
      </w:r>
      <w:r>
        <w:t xml:space="preserve">, foi o primeiro a demonstrar rigorosamente a relação de envoltória entre curvas de custo de curto e longo prazo — resultado que ele descobriu ao corrigir um erro de seu assistente gráfico, que insistia em desenhar as curvas de custo médio de curto prazo cruzando a envoltória de longo prazo. Ronald Shephard (1953), em seu livro</w:t>
      </w:r>
      <w:r>
        <w:t xml:space="preserve"> </w:t>
      </w:r>
      <w:r>
        <w:rPr>
          <w:i/>
          <w:iCs/>
        </w:rPr>
        <w:t xml:space="preserve">Cost and Production Functions</w:t>
      </w:r>
      <w:r>
        <w:t xml:space="preserve">, estabeleceu o lema que leva seu nome e que conecta derivadas da função custo às demandas por insumos — ferramenta hoje indispensável na estimação empírica de tecnologias de produção.</w:t>
      </w:r>
    </w:p>
    <w:p>
      <w:pPr>
        <w:pStyle w:val="BlockText"/>
      </w:pPr>
      <w:r>
        <w:rPr>
          <w:b/>
          <w:bCs/>
        </w:rPr>
        <w:t xml:space="preserve">[RESUMO] 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11.1</w:t>
            </w:r>
          </w:p>
        </w:tc>
        <w:tc>
          <w:tcPr/>
          <w:p>
            <w:pPr>
              <w:pStyle w:val="Compact"/>
            </w:pPr>
            <w:r>
              <w:t xml:space="preserve">Por que o custo do economista é diferente do custo do contador?</w:t>
            </w:r>
          </w:p>
        </w:tc>
        <w:tc>
          <w:tcPr/>
          <w:p>
            <w:pPr>
              <w:pStyle w:val="Compact"/>
            </w:pPr>
            <w:r>
              <w:t xml:space="preserve">Custo econômico vs. contábil, custo de oportunidade, sunk costs</w:t>
            </w:r>
          </w:p>
        </w:tc>
        <w:tc>
          <w:tcPr/>
          <w:p>
            <w:pPr>
              <w:pStyle w:val="Compact"/>
              <w:jc w:val="center"/>
            </w:pPr>
            <w:r>
              <w:t xml:space="preserve">Definições</w:t>
            </w:r>
          </w:p>
        </w:tc>
      </w:tr>
      <w:tr>
        <w:tc>
          <w:tcPr/>
          <w:p>
            <w:pPr>
              <w:pStyle w:val="Compact"/>
              <w:jc w:val="center"/>
            </w:pPr>
            <w:r>
              <w:t xml:space="preserve">11.2</w:t>
            </w:r>
          </w:p>
        </w:tc>
        <w:tc>
          <w:tcPr/>
          <w:p>
            <w:pPr>
              <w:pStyle w:val="Compact"/>
            </w:pPr>
            <w:r>
              <w:t xml:space="preserve">Maximizar lucro implica minimizar custo — mas o contrário vale?</w:t>
            </w:r>
          </w:p>
        </w:tc>
        <w:tc>
          <w:tcPr/>
          <w:p>
            <w:pPr>
              <w:pStyle w:val="Compact"/>
            </w:pPr>
            <w:r>
              <w:t xml:space="preserve">Relação entre max lucro e min custo</w:t>
            </w:r>
          </w:p>
        </w:tc>
        <w:tc>
          <w:tcPr/>
          <w:p>
            <w:pPr>
              <w:pStyle w:val="Compact"/>
              <w:jc w:val="center"/>
            </w:pPr>
            <w:r>
              <w:t xml:space="preserve">Minimização</w:t>
            </w:r>
          </w:p>
        </w:tc>
      </w:tr>
      <w:tr>
        <w:tc>
          <w:tcPr/>
          <w:p>
            <w:pPr>
              <w:pStyle w:val="Compact"/>
              <w:jc w:val="center"/>
            </w:pPr>
            <w:r>
              <w:t xml:space="preserve">11.3</w:t>
            </w:r>
          </w:p>
        </w:tc>
        <w:tc>
          <w:tcPr/>
          <w:p>
            <w:pPr>
              <w:pStyle w:val="Compact"/>
            </w:pPr>
            <w:r>
              <w:t xml:space="preserve">Como a firma encontra a combinação mais barata de insumos?</w:t>
            </w:r>
          </w:p>
        </w:tc>
        <w:tc>
          <w:tcPr/>
          <w:p>
            <w:pPr>
              <w:pStyle w:val="Compact"/>
            </w:pPr>
            <w:r>
              <w:t xml:space="preserve">TMST = w/v, isocusto, isoquanta, demandas condicionadas</w:t>
            </w:r>
          </w:p>
        </w:tc>
        <w:tc>
          <w:tcPr/>
          <w:p>
            <w:pPr>
              <w:pStyle w:val="Compact"/>
              <w:jc w:val="center"/>
            </w:pPr>
            <w:r>
              <w:t xml:space="preserve">Tangência</w:t>
            </w:r>
          </w:p>
        </w:tc>
      </w:tr>
      <w:tr>
        <w:tc>
          <w:tcPr/>
          <w:p>
            <w:pPr>
              <w:pStyle w:val="Compact"/>
              <w:jc w:val="center"/>
            </w:pPr>
            <w:r>
              <w:t xml:space="preserve">11.4</w:t>
            </w:r>
          </w:p>
        </w:tc>
        <w:tc>
          <w:tcPr/>
          <w:p>
            <w:pPr>
              <w:pStyle w:val="Compact"/>
            </w:pPr>
            <w:r>
              <w:t xml:space="preserve">Dá para recuperar as demandas por insumos só derivando a função custo?</w:t>
            </w:r>
          </w:p>
        </w:tc>
        <w:tc>
          <w:tcPr/>
          <w:p>
            <w:pPr>
              <w:pStyle w:val="Compact"/>
            </w:pPr>
            <w:r>
              <w:t xml:space="preserve">Função custo, Lema de Shephard</w:t>
            </w:r>
          </w:p>
        </w:tc>
        <w:tc>
          <w:tcPr/>
          <w:p>
            <w:pPr>
              <w:pStyle w:val="Compact"/>
              <w:jc w:val="center"/>
            </w:pPr>
            <w:r>
              <w:t xml:space="preserve">Shephard</w:t>
            </w:r>
          </w:p>
        </w:tc>
      </w:tr>
      <w:tr>
        <w:tc>
          <w:tcPr/>
          <w:p>
            <w:pPr>
              <w:pStyle w:val="Compact"/>
              <w:jc w:val="center"/>
            </w:pPr>
            <w:r>
              <w:t xml:space="preserve">11.5</w:t>
            </w:r>
          </w:p>
        </w:tc>
        <w:tc>
          <w:tcPr/>
          <w:p>
            <w:pPr>
              <w:pStyle w:val="Compact"/>
            </w:pPr>
            <w:r>
              <w:t xml:space="preserve">Que curvas de custo mandam na decisão de oferta?</w:t>
            </w:r>
          </w:p>
        </w:tc>
        <w:tc>
          <w:tcPr/>
          <w:p>
            <w:pPr>
              <w:pStyle w:val="Compact"/>
            </w:pPr>
            <w:r>
              <w:t xml:space="preserve">CT, CMe, CMg, CVMe</w:t>
            </w:r>
          </w:p>
        </w:tc>
        <w:tc>
          <w:tcPr/>
          <w:p>
            <w:pPr>
              <w:pStyle w:val="Compact"/>
              <w:jc w:val="center"/>
            </w:pPr>
            <w:r>
              <w:t xml:space="preserve">Curvas de custo</w:t>
            </w:r>
          </w:p>
        </w:tc>
      </w:tr>
      <w:tr>
        <w:tc>
          <w:tcPr/>
          <w:p>
            <w:pPr>
              <w:pStyle w:val="Compact"/>
              <w:jc w:val="center"/>
            </w:pPr>
            <w:r>
              <w:t xml:space="preserve">11.6</w:t>
            </w:r>
          </w:p>
        </w:tc>
        <w:tc>
          <w:tcPr/>
          <w:p>
            <w:pPr>
              <w:pStyle w:val="Compact"/>
            </w:pPr>
            <w:r>
              <w:t xml:space="preserve">O que desloca as curvas de custo?</w:t>
            </w:r>
          </w:p>
        </w:tc>
        <w:tc>
          <w:tcPr/>
          <w:p>
            <w:pPr>
              <w:pStyle w:val="Compact"/>
            </w:pPr>
            <w:r>
              <w:t xml:space="preserve">Preços de insumos, tecnologia e impostos</w:t>
            </w:r>
          </w:p>
        </w:tc>
        <w:tc>
          <w:tcPr/>
          <w:p>
            <w:pPr>
              <w:pStyle w:val="Compact"/>
              <w:jc w:val="center"/>
            </w:pPr>
            <w:r>
              <w:t xml:space="preserve">Deslocamentos</w:t>
            </w:r>
          </w:p>
        </w:tc>
      </w:tr>
      <w:tr>
        <w:tc>
          <w:tcPr/>
          <w:p>
            <w:pPr>
              <w:pStyle w:val="Compact"/>
              <w:jc w:val="center"/>
            </w:pPr>
            <w:r>
              <w:t xml:space="preserve">11.7</w:t>
            </w:r>
          </w:p>
        </w:tc>
        <w:tc>
          <w:tcPr/>
          <w:p>
            <w:pPr>
              <w:pStyle w:val="Compact"/>
            </w:pPr>
            <w:r>
              <w:t xml:space="preserve">Por que o custo de longo prazo nunca supera o de curto prazo?</w:t>
            </w:r>
          </w:p>
        </w:tc>
        <w:tc>
          <w:tcPr/>
          <w:p>
            <w:pPr>
              <w:pStyle w:val="Compact"/>
            </w:pPr>
            <w:r>
              <w:t xml:space="preserve">Envoltória de Viner, economias de escala</w:t>
            </w:r>
          </w:p>
        </w:tc>
        <w:tc>
          <w:tcPr/>
          <w:p>
            <w:pPr>
              <w:pStyle w:val="Compact"/>
              <w:jc w:val="center"/>
            </w:pPr>
            <w:r>
              <w:t xml:space="preserve">Envoltória</w:t>
            </w:r>
          </w:p>
        </w:tc>
      </w:tr>
      <w:tr>
        <w:tc>
          <w:tcPr/>
          <w:p>
            <w:pPr>
              <w:pStyle w:val="Compact"/>
              <w:jc w:val="center"/>
            </w:pPr>
            <w:r>
              <w:t xml:space="preserve">11.8</w:t>
            </w:r>
          </w:p>
        </w:tc>
        <w:tc>
          <w:tcPr/>
          <w:p>
            <w:pPr>
              <w:pStyle w:val="Compact"/>
            </w:pPr>
            <w:r>
              <w:t xml:space="preserve">Que funções de custo a profissão usa?</w:t>
            </w:r>
          </w:p>
        </w:tc>
        <w:tc>
          <w:tcPr/>
          <w:p>
            <w:pPr>
              <w:pStyle w:val="Compact"/>
            </w:pPr>
            <w:r>
              <w:t xml:space="preserve">Cobb-Douglas, linear, Leontief, CES</w:t>
            </w:r>
          </w:p>
        </w:tc>
        <w:tc>
          <w:tcPr/>
          <w:p>
            <w:pPr>
              <w:pStyle w:val="Compact"/>
              <w:jc w:val="center"/>
            </w:pPr>
            <w:r>
              <w:t xml:space="preserve">Catálogo</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Christensen &amp; Greene, Bustos et al., Syverson, Benkard, Ferreira &amp; Rossi</w:t>
            </w:r>
          </w:p>
        </w:tc>
        <w:tc>
          <w:tcPr/>
          <w:p>
            <w:pPr>
              <w:pStyle w:val="Compact"/>
              <w:jc w:val="center"/>
            </w:pPr>
            <w:r>
              <w:t xml:space="preserve">Pesquisa</w:t>
            </w:r>
          </w:p>
        </w:tc>
      </w:tr>
    </w:tbl>
    <w:p>
      <w:pPr>
        <w:pStyle w:val="BlockText"/>
      </w:pPr>
      <w:r>
        <w:rPr>
          <w:b/>
          <w:bCs/>
        </w:rPr>
        <w:t xml:space="preserve">[ATIVIDADE-SALA] Atividade em Sala — Custo do Sanduba</w:t>
      </w:r>
    </w:p>
    <w:p>
      <w:pPr>
        <w:pStyle w:val="BlockText"/>
      </w:pPr>
      <w:r>
        <w:rPr>
          <w:b/>
          <w:bCs/>
        </w:rPr>
        <w:t xml:space="preserve">Formato:</w:t>
      </w:r>
      <w:r>
        <w:t xml:space="preserve"> </w:t>
      </w:r>
      <w:r>
        <w:t xml:space="preserve">Problem-Based Learning |</w:t>
      </w:r>
      <w:r>
        <w:t xml:space="preserve"> </w:t>
      </w:r>
      <w:r>
        <w:rPr>
          <w:b/>
          <w:bCs/>
        </w:rPr>
        <w:t xml:space="preserve">Duração:</w:t>
      </w:r>
      <w:r>
        <w:t xml:space="preserve"> </w:t>
      </w:r>
      <w:r>
        <w:t xml:space="preserve">25 min |</w:t>
      </w:r>
      <w:r>
        <w:t xml:space="preserve"> </w:t>
      </w:r>
      <w:r>
        <w:rPr>
          <w:b/>
          <w:bCs/>
        </w:rPr>
        <w:t xml:space="preserve">Material:</w:t>
      </w:r>
      <w:r>
        <w:t xml:space="preserve"> </w:t>
      </w:r>
      <w:r>
        <w:t xml:space="preserve">Cardápio de ingredientes com preços reais</w:t>
      </w:r>
    </w:p>
    <w:p>
      <w:pPr>
        <w:pStyle w:val="BlockText"/>
      </w:pPr>
      <w:r>
        <w:rPr>
          <w:b/>
          <w:bCs/>
        </w:rPr>
        <w:t xml:space="preserve">Protocolo:</w:t>
      </w:r>
    </w:p>
    <w:p>
      <w:pPr>
        <w:pStyle w:val="BlockText"/>
        <w:numPr>
          <w:ilvl w:val="0"/>
          <w:numId w:val="1672"/>
        </w:numPr>
      </w:pPr>
      <w:r>
        <w:rPr>
          <w:b/>
          <w:bCs/>
        </w:rPr>
        <w:t xml:space="preserve">(5 min) Setup.</w:t>
      </w:r>
      <w:r>
        <w:t xml:space="preserve"> </w:t>
      </w:r>
      <w:r>
        <w:t xml:space="preserve">Distribua para cada grupo de 3–4 alunos uma</w:t>
      </w:r>
      <w:r>
        <w:t xml:space="preserve"> </w:t>
      </w:r>
      <w:r>
        <w:t xml:space="preserve">“ficha de produção”</w:t>
      </w:r>
      <w:r>
        <w:t xml:space="preserve"> </w:t>
      </w:r>
      <w:r>
        <w:t xml:space="preserve">com: lista de ingredientes de um sanduíche (pão, queijo, presunto, alface, tomate), preços de supermercado (pesquisados na véspera), tempo de preparo por unidade (2 min) e salário-hora hipotético de R$ 15/h. Cada grupo é uma</w:t>
      </w:r>
      <w:r>
        <w:t xml:space="preserve"> </w:t>
      </w:r>
      <w:r>
        <w:t xml:space="preserve">“firma de sanduíches”</w:t>
      </w:r>
      <w:r>
        <w:t xml:space="preserve">.</w:t>
      </w:r>
    </w:p>
    <w:p>
      <w:pPr>
        <w:pStyle w:val="BlockText"/>
        <w:numPr>
          <w:ilvl w:val="0"/>
          <w:numId w:val="1672"/>
        </w:numPr>
      </w:pPr>
      <w:r>
        <w:rPr>
          <w:b/>
          <w:bCs/>
        </w:rPr>
        <w:t xml:space="preserve">(10 min) Produção.</w:t>
      </w:r>
      <w:r>
        <w:t xml:space="preserve"> </w:t>
      </w:r>
      <w:r>
        <w:t xml:space="preserve">Cada grupo calcula: (a) custo total para 1, 5, 10, 20 e 50 sanduíches; (b) custo médio para cada quantidade; (c) custo marginal entre cada nível. Atenção: incluam o custo do</w:t>
      </w:r>
      <w:r>
        <w:t xml:space="preserve"> </w:t>
      </w:r>
      <w:r>
        <w:rPr>
          <w:i/>
          <w:iCs/>
        </w:rPr>
        <w:t xml:space="preserve">tempo</w:t>
      </w:r>
      <w:r>
        <w:t xml:space="preserve"> </w:t>
      </w:r>
      <w:r>
        <w:t xml:space="preserve">(custo de oportunidade!) e identifiquem os custos fixos (aluguel da cozinha = R$ 50/dia) e variáveis.</w:t>
      </w:r>
    </w:p>
    <w:p>
      <w:pPr>
        <w:pStyle w:val="BlockText"/>
        <w:numPr>
          <w:ilvl w:val="0"/>
          <w:numId w:val="1672"/>
        </w:numPr>
      </w:pPr>
      <w:r>
        <w:rPr>
          <w:b/>
          <w:bCs/>
        </w:rPr>
        <w:t xml:space="preserve">(5 min) Plotagem.</w:t>
      </w:r>
      <w:r>
        <w:t xml:space="preserve"> </w:t>
      </w:r>
      <w:r>
        <w:t xml:space="preserve">Cada grupo desenha no quadro suas curvas de CT, CMe e CMg. Comparem: as curvas têm formato de U? O CMg cruza o CMe no mínimo?</w:t>
      </w:r>
    </w:p>
    <w:p>
      <w:pPr>
        <w:pStyle w:val="BlockText"/>
        <w:numPr>
          <w:ilvl w:val="0"/>
          <w:numId w:val="1672"/>
        </w:numPr>
      </w:pPr>
      <w:r>
        <w:rPr>
          <w:b/>
          <w:bCs/>
        </w:rPr>
        <w:t xml:space="preserve">(5 min) Debrief.</w:t>
      </w:r>
    </w:p>
    <w:p>
      <w:pPr>
        <w:pStyle w:val="Compact"/>
        <w:numPr>
          <w:ilvl w:val="1"/>
          <w:numId w:val="1673"/>
        </w:numPr>
      </w:pPr>
      <w:r>
        <w:t xml:space="preserve">“A que quantidade o custo médio é mínimo? Isso é a</w:t>
      </w:r>
      <w:r>
        <w:t xml:space="preserve"> </w:t>
      </w:r>
      <w:r>
        <w:rPr>
          <w:i/>
          <w:iCs/>
        </w:rPr>
        <w:t xml:space="preserve">escala eficiente</w:t>
      </w:r>
      <w:r>
        <w:t xml:space="preserve"> </w:t>
      </w:r>
      <w:r>
        <w:t xml:space="preserve">da sua firma.”</w:t>
      </w:r>
    </w:p>
    <w:p>
      <w:pPr>
        <w:pStyle w:val="Compact"/>
        <w:numPr>
          <w:ilvl w:val="1"/>
          <w:numId w:val="1673"/>
        </w:numPr>
      </w:pPr>
      <w:r>
        <w:t xml:space="preserve">“Se o sanduíche é vendido a R$ 8, vocês produzem? E se fosse R$ 3?”</w:t>
      </w:r>
    </w:p>
    <w:p>
      <w:pPr>
        <w:pStyle w:val="Compact"/>
        <w:numPr>
          <w:ilvl w:val="1"/>
          <w:numId w:val="1673"/>
        </w:numPr>
      </w:pPr>
      <w:r>
        <w:t xml:space="preserve">“Qual ingrediente é o custo fixo e qual é variável? O aluguel da cozinha muda se vocês fazem 5 ou 50 sanduíches?”</w:t>
      </w:r>
    </w:p>
    <w:p>
      <w:pPr>
        <w:pStyle w:val="BlockText"/>
      </w:pPr>
      <w:r>
        <w:rPr>
          <w:b/>
          <w:bCs/>
        </w:rPr>
        <w:t xml:space="preserve">Conexão teórica:</w:t>
      </w:r>
      <w:r>
        <w:t xml:space="preserve"> </w:t>
      </w:r>
      <w:r>
        <w:t xml:space="preserve">A atividade permite que os alunos</w:t>
      </w:r>
      <w:r>
        <w:t xml:space="preserve"> </w:t>
      </w:r>
      <w:r>
        <w:rPr>
          <w:i/>
          <w:iCs/>
        </w:rPr>
        <w:t xml:space="preserve">descubram</w:t>
      </w:r>
      <w:r>
        <w:t xml:space="preserve"> </w:t>
      </w:r>
      <w:r>
        <w:t xml:space="preserve">a relação CMg–CMe (Seção 11.5) antes de vê-la formalizada, e confrontem o conceito de custo de oportunidade (Seção 11.1) com dados tangíveis.</w:t>
      </w:r>
    </w:p>
    <w:bookmarkStart w:id="697" w:name="X5f3ad3e21cc80341a8466d2f7874ea7f734fa67"/>
    <w:p>
      <w:pPr>
        <w:pStyle w:val="Heading2"/>
      </w:pPr>
      <w:r>
        <w:t xml:space="preserve">11.1 O Preço de Não Fazer Outra Coisa: Definições de Custos</w:t>
      </w:r>
    </w:p>
    <w:bookmarkStart w:id="694" w:name="custo-econômico-versus-custo-contábil"/>
    <w:p>
      <w:pPr>
        <w:pStyle w:val="Heading4"/>
      </w:pPr>
      <w:r>
        <w:t xml:space="preserve">Custo econômico versus custo contábil</w:t>
      </w:r>
    </w:p>
    <w:p>
      <w:pPr>
        <w:pStyle w:val="BlockText"/>
      </w:pPr>
      <w:r>
        <w:rPr>
          <w:b/>
          <w:bCs/>
        </w:rPr>
        <w:t xml:space="preserve">[DEFINICAO] Custo econômico</w:t>
      </w:r>
    </w:p>
    <w:p>
      <w:pPr>
        <w:pStyle w:val="BlockText"/>
      </w:pPr>
      <w:r>
        <w:t xml:space="preserve">O</w:t>
      </w:r>
      <w:r>
        <w:t xml:space="preserve"> </w:t>
      </w:r>
      <w:r>
        <w:rPr>
          <w:b/>
          <w:bCs/>
        </w:rPr>
        <w:t xml:space="preserve">custo econômico</w:t>
      </w:r>
      <w:r>
        <w:t xml:space="preserve"> </w:t>
      </w:r>
      <w:r>
        <w:t xml:space="preserve">(ou custo de oportunidade) de utilizar um recurso na produção é o valor desse recurso em seu</w:t>
      </w:r>
      <w:r>
        <w:t xml:space="preserve"> </w:t>
      </w:r>
      <w:r>
        <w:rPr>
          <w:b/>
          <w:bCs/>
        </w:rPr>
        <w:t xml:space="preserve">melhor uso alternativo</w:t>
      </w:r>
      <w:r>
        <w:t xml:space="preserve">. Inclui tanto os custos explícitos (pagamentos efetivos) quanto os custos implícitos (remuneração do capital próprio, salário do proprietário, etc.).</w:t>
      </w:r>
    </w:p>
    <w:p>
      <w:pPr>
        <w:pStyle w:val="BlockText"/>
      </w:pPr>
      <w:r>
        <w:rPr>
          <w:b/>
          <w:bCs/>
        </w:rPr>
        <w:t xml:space="preserve">[DEFINICAO] Custo contábil</w:t>
      </w:r>
    </w:p>
    <w:p>
      <w:pPr>
        <w:pStyle w:val="BlockText"/>
      </w:pPr>
      <w:r>
        <w:t xml:space="preserve">O</w:t>
      </w:r>
      <w:r>
        <w:t xml:space="preserve"> </w:t>
      </w:r>
      <w:r>
        <w:rPr>
          <w:b/>
          <w:bCs/>
        </w:rPr>
        <w:t xml:space="preserve">custo contábil</w:t>
      </w:r>
      <w:r>
        <w:t xml:space="preserve"> </w:t>
      </w:r>
      <w:r>
        <w:t xml:space="preserve">registra apenas os desembolsos efetivamente realizados — custos explícitos. Não considera o custo de oportunidade dos recursos próprios da firma.</w:t>
      </w:r>
    </w:p>
    <w:p>
      <w:pPr>
        <w:pStyle w:val="FirstParagraph"/>
      </w:pPr>
      <w:r>
        <w:t xml:space="preserve">Por que essa distinção importa? Porque o contador e o economista podem olhar para o mesmo balanço e chegar a conclusões opostas sobre a saúde financeira de uma empresa. O lucro contábil pode ser positivo enquanto o lucro econômico é negativo — o que significa que a empresa está destruindo valor, pois seus recursos renderiam mais em outro uso. A diferença entre lucro econômico e lucro contábil é dada pelos custos implícitos:</w:t>
      </w:r>
    </w:p>
    <w:p>
      <w:pPr>
        <w:pStyle w:val="BodyText"/>
      </w:pPr>
      <m:oMathPara>
        <m:oMathParaPr>
          <m:jc m:val="center"/>
        </m:oMathParaPr>
        <m:oMath>
          <m:sSub>
            <m:e>
              <m:r>
                <m:t>π</m:t>
              </m:r>
            </m:e>
            <m:sub>
              <m:r>
                <m:rPr>
                  <m:nor/>
                  <m:sty m:val="p"/>
                </m:rPr>
                <m:t>econômico</m:t>
              </m:r>
            </m:sub>
          </m:sSub>
          <m:r>
            <m:rPr>
              <m:sty m:val="p"/>
            </m:rPr>
            <m:t>=</m:t>
          </m:r>
          <m:r>
            <m:rPr>
              <m:nor/>
              <m:sty m:val="p"/>
            </m:rPr>
            <m:t>Receita total</m:t>
          </m:r>
          <m:r>
            <m:rPr>
              <m:sty m:val="p"/>
            </m:rPr>
            <m:t>−</m:t>
          </m:r>
          <m:r>
            <m:rPr>
              <m:nor/>
              <m:sty m:val="p"/>
            </m:rPr>
            <m:t>Custos explícitos</m:t>
          </m:r>
          <m:r>
            <m:rPr>
              <m:sty m:val="p"/>
            </m:rPr>
            <m:t>−</m:t>
          </m:r>
          <m:r>
            <m:rPr>
              <m:nor/>
              <m:sty m:val="p"/>
            </m:rPr>
            <m:t>Custos implícitos</m:t>
          </m:r>
        </m:oMath>
      </m:oMathPara>
    </w:p>
    <w:p>
      <w:pPr>
        <w:pStyle w:val="FirstParagraph"/>
      </w:pPr>
      <m:oMathPara>
        <m:oMathParaPr>
          <m:jc m:val="center"/>
        </m:oMathParaPr>
        <m:oMath>
          <m:sSub>
            <m:e>
              <m:r>
                <m:t>π</m:t>
              </m:r>
            </m:e>
            <m:sub>
              <m:r>
                <m:rPr>
                  <m:nor/>
                  <m:sty m:val="p"/>
                </m:rPr>
                <m:t>contábil</m:t>
              </m:r>
            </m:sub>
          </m:sSub>
          <m:r>
            <m:rPr>
              <m:sty m:val="p"/>
            </m:rPr>
            <m:t>=</m:t>
          </m:r>
          <m:r>
            <m:rPr>
              <m:nor/>
              <m:sty m:val="p"/>
            </m:rPr>
            <m:t>Receita total</m:t>
          </m:r>
          <m:r>
            <m:rPr>
              <m:sty m:val="p"/>
            </m:rPr>
            <m:t>−</m:t>
          </m:r>
          <m:r>
            <m:rPr>
              <m:nor/>
              <m:sty m:val="p"/>
            </m:rPr>
            <m:t>Custos explícitos</m:t>
          </m:r>
        </m:oMath>
      </m:oMathPara>
    </w:p>
    <w:p>
      <w:pPr>
        <w:pStyle w:val="FirstParagraph"/>
      </w:pPr>
      <w:r>
        <w:t xml:space="preserve">Quando o lucro econômico é zero, a firma obtém o</w:t>
      </w:r>
      <w:r>
        <w:t xml:space="preserve"> </w:t>
      </w:r>
      <w:r>
        <w:rPr>
          <w:b/>
          <w:bCs/>
        </w:rPr>
        <w:t xml:space="preserve">lucro normal</w:t>
      </w:r>
      <w:r>
        <w:t xml:space="preserve"> </w:t>
      </w:r>
      <w:r>
        <w:t xml:space="preserve">— isto é, remunera todos os fatores de produção, inclusive os próprios, pelo seu custo de oportunidade. Lucro econômico positivo indica</w:t>
      </w:r>
      <w:r>
        <w:t xml:space="preserve"> </w:t>
      </w:r>
      <w:r>
        <w:rPr>
          <w:b/>
          <w:bCs/>
        </w:rPr>
        <w:t xml:space="preserve">lucro supranormal</w:t>
      </w:r>
      <w:r>
        <w:t xml:space="preserve"> </w:t>
      </w:r>
      <w:r>
        <w:t xml:space="preserve">(ou econômico puro).</w:t>
      </w:r>
    </w:p>
    <w:p>
      <w:pPr>
        <w:pStyle w:val="BlockText"/>
      </w:pPr>
      <w:r>
        <w:rPr>
          <w:b/>
          <w:bCs/>
        </w:rPr>
        <w:t xml:space="preserve">[INTUICAO ECONOMICA] Intuição Econômica</w:t>
      </w:r>
    </w:p>
    <w:p>
      <w:pPr>
        <w:pStyle w:val="BlockText"/>
      </w:pPr>
      <w:r>
        <w:rPr>
          <w:b/>
          <w:bCs/>
        </w:rPr>
        <w:t xml:space="preserve">Em uma frase:</w:t>
      </w:r>
      <w:r>
        <w:t xml:space="preserve"> </w:t>
      </w:r>
      <w:r>
        <w:t xml:space="preserve">O custo de oportunidade é o valor daquilo que você deixou de fazer ao escolher o que fez.</w:t>
      </w:r>
    </w:p>
    <w:p>
      <w:pPr>
        <w:pStyle w:val="BlockText"/>
      </w:pPr>
      <w:r>
        <w:rPr>
          <w:b/>
          <w:bCs/>
        </w:rPr>
        <w:t xml:space="preserve">Pense assim:</w:t>
      </w:r>
      <w:r>
        <w:t xml:space="preserve"> </w:t>
      </w:r>
      <w:r>
        <w:t xml:space="preserve">Um engenheiro que larga o emprego de R$ 15.000/mês para abrir uma hamburgueria precisa contar esse salário perdido como custo do negócio. Se a hamburgueria lucra R$ 12.000 por mês no papel, na verdade ele está</w:t>
      </w:r>
      <w:r>
        <w:t xml:space="preserve"> </w:t>
      </w:r>
      <w:r>
        <w:t xml:space="preserve">“perdendo”</w:t>
      </w:r>
      <w:r>
        <w:t xml:space="preserve"> </w:t>
      </w:r>
      <w:r>
        <w:t xml:space="preserve">R$ 3.000 em relação ao que poderia ganhar — o lucro econômico é negativo.</w:t>
      </w:r>
    </w:p>
    <w:p>
      <w:pPr>
        <w:pStyle w:val="BlockText"/>
      </w:pPr>
      <w:r>
        <w:rPr>
          <w:b/>
          <w:bCs/>
        </w:rPr>
        <w:t xml:space="preserve">Por que isso importa:</w:t>
      </w:r>
      <w:r>
        <w:t xml:space="preserve"> </w:t>
      </w:r>
      <w:r>
        <w:t xml:space="preserve">Ignorar o custo de oportunidade é o erro mais comum de pequenos empreendedores no Brasil e explica por que muitos negócios parecem lucrativos no extrato bancário, mas não compensam economicamente.</w:t>
      </w:r>
    </w:p>
    <w:p>
      <w:pPr>
        <w:pStyle w:val="BlockText"/>
      </w:pPr>
      <w:r>
        <w:rPr>
          <w:b/>
          <w:bCs/>
        </w:rPr>
        <w:t xml:space="preserve">[DICA] Exemplo: custo de oportunidade na agricultura brasileira</w:t>
      </w:r>
    </w:p>
    <w:p>
      <w:pPr>
        <w:pStyle w:val="BlockText"/>
      </w:pPr>
      <w:r>
        <w:t xml:space="preserve">Um produtor rural no Cerrado possui 500 hectares de terra própria e os utiliza para plantar soja. O custo contábil inclui sementes, fertilizantes, mão de obra e depreciação de máquinas. Porém, o custo econômico deve incluir também o</w:t>
      </w:r>
      <w:r>
        <w:t xml:space="preserve"> </w:t>
      </w:r>
      <w:r>
        <w:rPr>
          <w:b/>
          <w:bCs/>
        </w:rPr>
        <w:t xml:space="preserve">arrendamento</w:t>
      </w:r>
      <w:r>
        <w:t xml:space="preserve"> </w:t>
      </w:r>
      <w:r>
        <w:t xml:space="preserve">que ele deixa de receber ao não alugar a terra — que, segundo dados da</w:t>
      </w:r>
      <w:r>
        <w:t xml:space="preserve"> </w:t>
      </w:r>
      <w:hyperlink r:id="rId659">
        <w:r>
          <w:rPr>
            <w:rStyle w:val="Hyperlink"/>
          </w:rPr>
          <w:t xml:space="preserve">CONAB</w:t>
        </w:r>
      </w:hyperlink>
      <w:r>
        <w:t xml:space="preserve">, pode variar de 8 a 15 sacas de soja por hectare/ano conforme a região. Se o arrendamento médio é de 12 sacas/ha e a saca vale R$ 120, o custo implícito da terra é de R$ 720.000/ano — valor que o lucro contábil ignora completamente.</w:t>
      </w:r>
    </w:p>
    <w:p>
      <w:pPr>
        <w:pStyle w:val="BlockText"/>
      </w:pPr>
      <w:r>
        <w:rPr>
          <w:b/>
          <w:bCs/>
        </w:rPr>
        <w:t xml:space="preserve">[BOX BRASIL] Box Brasil 11.1 — O custo de oportunidade do empreendedor brasileiro: MEI e a armadilha do lucro contábil</w:t>
      </w:r>
    </w:p>
    <w:p>
      <w:pPr>
        <w:pStyle w:val="BlockText"/>
      </w:pPr>
      <w:r>
        <w:rPr>
          <w:b/>
          <w:bCs/>
        </w:rPr>
        <w:t xml:space="preserve">Contexto.</w:t>
      </w:r>
      <w:r>
        <w:t xml:space="preserve"> </w:t>
      </w:r>
      <w:r>
        <w:t xml:space="preserve">O Brasil tem mais de 15 milhões de microempreendedores individuais (MEIs) registrados (dados do</w:t>
      </w:r>
      <w:r>
        <w:t xml:space="preserve"> </w:t>
      </w:r>
      <w:hyperlink r:id="rId693">
        <w:r>
          <w:rPr>
            <w:rStyle w:val="Hyperlink"/>
          </w:rPr>
          <w:t xml:space="preserve">Portal do Empreendedor</w:t>
        </w:r>
      </w:hyperlink>
      <w:r>
        <w:t xml:space="preserve">, 2024). Muitos desses empreendedores deixaram empregos formais — com carteira assinada, FGTS e 13º salário — para abrir seus próprios negócios. A decisão é racional? Depende de como você faz a conta.</w:t>
      </w:r>
    </w:p>
    <w:p>
      <w:pPr>
        <w:pStyle w:val="BlockText"/>
      </w:pPr>
      <w:r>
        <w:rPr>
          <w:b/>
          <w:bCs/>
        </w:rPr>
        <w:t xml:space="preserve">Dados.</w:t>
      </w:r>
      <w:r>
        <w:t xml:space="preserve"> </w:t>
      </w:r>
      <w:r>
        <w:t xml:space="preserve">Segundo a PNAD Contínua (IBGE, 2023), o rendimento médio mensal de um trabalhador formal com ensino médio completo é de aproximadamente R$ 2.400. Um MEI típico na categoria de serviços (cabeleireiro, eletricista, desenvolvedor freelancer) fatura em média R$ 3.500/mês, com custos explícitos de ~R$ 800/mês. O lucro contábil aparente é de R$ 2.700/mês — acima do salário formal. Porém, ao incluir o custo de oportunidade do emprego formal (R$ 2.400 + FGTS de 8% + 13º proporcional + férias remuneradas ≈ R$ 3.200/mês em compensação total), o lucro econômico cai para R$ 2.700 − R$ 3.200 =</w:t>
      </w:r>
      <w:r>
        <w:t xml:space="preserve"> </w:t>
      </w:r>
      <w:r>
        <w:rPr>
          <w:b/>
          <w:bCs/>
        </w:rPr>
        <w:t xml:space="preserve">−R$ 500/mês</w:t>
      </w:r>
      <w:r>
        <w:t xml:space="preserve">. O MEI que</w:t>
      </w:r>
      <w:r>
        <w:t xml:space="preserve"> </w:t>
      </w:r>
      <w:r>
        <w:t xml:space="preserve">“ganha mais”</w:t>
      </w:r>
      <w:r>
        <w:t xml:space="preserve"> </w:t>
      </w:r>
      <w:r>
        <w:t xml:space="preserve">está, na verdade,</w:t>
      </w:r>
      <w:r>
        <w:t xml:space="preserve"> </w:t>
      </w:r>
      <w:r>
        <w:rPr>
          <w:i/>
          <w:iCs/>
        </w:rPr>
        <w:t xml:space="preserve">perdendo</w:t>
      </w:r>
      <w:r>
        <w:t xml:space="preserve"> </w:t>
      </w:r>
      <w:r>
        <w:t xml:space="preserve">R$ 500/mês em relação ao que obteria como empregado formal.</w:t>
      </w:r>
    </w:p>
    <w:p>
      <w:pPr>
        <w:pStyle w:val="BlockText"/>
      </w:pPr>
      <w:r>
        <w:rPr>
          <w:b/>
          <w:bCs/>
        </w:rPr>
        <w:t xml:space="preserve">Análise.</w:t>
      </w:r>
      <w:r>
        <w:t xml:space="preserve"> </w:t>
      </w:r>
      <w:r>
        <w:t xml:space="preserve">Esse resultado não significa que todo MEI está errado — há ganhos de autonomia, flexibilidade e potencial de crescimento que a conta acima não captura. Mas ilustra o perigo de avaliar negócios usando apenas lucro contábil. A Seção 11.1 mostra que a contabilidade convencional subestima sistematicamente os custos — e, por consequência, superestima a viabilidade de empreendimentos que não cobrem o custo de oportunidade dos recursos próprios.</w:t>
      </w:r>
    </w:p>
    <w:p>
      <w:pPr>
        <w:pStyle w:val="BlockText"/>
      </w:pPr>
      <w:r>
        <w:rPr>
          <w:b/>
          <w:bCs/>
        </w:rPr>
        <w:t xml:space="preserve">Fonte</w:t>
      </w:r>
      <w:r>
        <w:t xml:space="preserve">: IBGE, PNAD Contínua 2023; Portal do Empreendedor, 2024.</w:t>
      </w:r>
    </w:p>
    <w:bookmarkEnd w:id="694"/>
    <w:bookmarkStart w:id="696" w:name="custos-irrecuperáveis-sunk-costs"/>
    <w:p>
      <w:pPr>
        <w:pStyle w:val="Heading4"/>
      </w:pPr>
      <w:r>
        <w:t xml:space="preserve">Custos irrecuperáveis (sunk costs)</w:t>
      </w:r>
    </w:p>
    <w:p>
      <w:pPr>
        <w:pStyle w:val="FirstParagraph"/>
      </w:pPr>
      <w:r>
        <w:t xml:space="preserve">A distinção entre custo econômico e custo contábil não é a única armadilha conceitual na análise de custos. Outra categoria merece atenção especial — não por ser relevante para as decisões futuras da firma, mas justamente por</w:t>
      </w:r>
      <w:r>
        <w:t xml:space="preserve"> </w:t>
      </w:r>
      <w:r>
        <w:rPr>
          <w:i/>
          <w:iCs/>
        </w:rPr>
        <w:t xml:space="preserve">não</w:t>
      </w:r>
      <w:r>
        <w:t xml:space="preserve"> </w:t>
      </w:r>
      <w:r>
        <w:t xml:space="preserve">dever sê-lo. Trata-se dos custos irrecuperáveis, cuja compreensão é essencial para a tomada de decisão racional.</w:t>
      </w:r>
    </w:p>
    <w:p>
      <w:pPr>
        <w:pStyle w:val="BlockText"/>
      </w:pPr>
      <w:r>
        <w:rPr>
          <w:b/>
          <w:bCs/>
        </w:rPr>
        <w:t xml:space="preserve">[NOTA] Custos irrecuperáveis</w:t>
      </w:r>
    </w:p>
    <w:p>
      <w:pPr>
        <w:pStyle w:val="BlockText"/>
      </w:pPr>
      <w:r>
        <w:rPr>
          <w:b/>
          <w:bCs/>
        </w:rPr>
        <w:t xml:space="preserve">Custos irrecuperáveis</w:t>
      </w:r>
      <w:r>
        <w:t xml:space="preserve"> </w:t>
      </w:r>
      <w:r>
        <w:t xml:space="preserve">(</w:t>
      </w:r>
      <w:r>
        <w:rPr>
          <w:i/>
          <w:iCs/>
        </w:rPr>
        <w:t xml:space="preserve">sunk costs</w:t>
      </w:r>
      <w:r>
        <w:t xml:space="preserve">) são despesas já realizadas e que não podem ser recuperadas. Do ponto de vista da tomada de decisão racional, custos irrecuperáveis</w:t>
      </w:r>
      <w:r>
        <w:t xml:space="preserve"> </w:t>
      </w:r>
      <w:r>
        <w:rPr>
          <w:b/>
          <w:bCs/>
        </w:rPr>
        <w:t xml:space="preserve">não devem influenciar</w:t>
      </w:r>
      <w:r>
        <w:t xml:space="preserve"> </w:t>
      </w:r>
      <w:r>
        <w:t xml:space="preserve">decisões correntes e futuras — apenas custos evitáveis (prospectivos) são relevantes. Contudo, a economia comportamental documenta extensamente o viés dos custos irrecuperáveis (</w:t>
      </w:r>
      <w:r>
        <w:rPr>
          <w:i/>
          <w:iCs/>
        </w:rPr>
        <w:t xml:space="preserve">sunk cost fallacy</w:t>
      </w:r>
      <w:r>
        <w:t xml:space="preserve">), pelo qual agentes continuam investindo em projetos fracassados para</w:t>
      </w:r>
      <w:r>
        <w:t xml:space="preserve"> </w:t>
      </w:r>
      <w:r>
        <w:t xml:space="preserve">“justificar”</w:t>
      </w:r>
      <w:r>
        <w:t xml:space="preserve"> </w:t>
      </w:r>
      <w:r>
        <w:t xml:space="preserve">gastos passados.</w:t>
      </w:r>
    </w:p>
    <w:p>
      <w:pPr>
        <w:pStyle w:val="FirstParagraph"/>
      </w:pPr>
      <w:r>
        <w:t xml:space="preserve">A racionalidade econômica tem uma regra clara: ao tomar uma decisão, considere apenas os custos e benefícios</w:t>
      </w:r>
      <w:r>
        <w:t xml:space="preserve"> </w:t>
      </w:r>
      <w:r>
        <w:rPr>
          <w:i/>
          <w:iCs/>
        </w:rPr>
        <w:t xml:space="preserve">futuros</w:t>
      </w:r>
      <w:r>
        <w:t xml:space="preserve"> </w:t>
      </w:r>
      <w:r>
        <w:t xml:space="preserve">— aquilo que ainda pode ser afetado pela decisão. O dinheiro já gasto, o tempo já perdido, o investimento já realizado: tudo isso é água passada para fins de otimização. A dificuldade é que, psicologicamente, essa regra é difícil de seguir.</w:t>
      </w:r>
      <w:r>
        <w:rPr>
          <w:rStyle w:val="FootnoteReference"/>
        </w:rPr>
        <w:footnoteReference w:id="695"/>
      </w:r>
    </w:p>
    <w:p>
      <w:pPr>
        <w:pStyle w:val="BodyText"/>
      </w:pPr>
      <w:r>
        <w:t xml:space="preserve">Estudantes que pagam R$ 500 por um curso e depois percebem que não está servindo continuam frequentando para</w:t>
      </w:r>
      <w:r>
        <w:t xml:space="preserve"> </w:t>
      </w:r>
      <w:r>
        <w:t xml:space="preserve">“não desperdiçar”</w:t>
      </w:r>
      <w:r>
        <w:t xml:space="preserve"> </w:t>
      </w:r>
      <w:r>
        <w:t xml:space="preserve">a mensalidade — o custo irrecuperável os mantém presos a uma escolha ruim. Governos que investem bilhões em projetos de infraestrutura fracassados continuam alocando recursos adicionais para</w:t>
      </w:r>
      <w:r>
        <w:t xml:space="preserve"> </w:t>
      </w:r>
      <w:r>
        <w:t xml:space="preserve">“salvar”</w:t>
      </w:r>
      <w:r>
        <w:t xml:space="preserve"> </w:t>
      </w:r>
      <w:r>
        <w:t xml:space="preserve">o investimento anterior, em vez de encerrar e realocar os recursos para usos mais produtivos. O Box Mundo 11.3 sobre o Concorde, na seção de pesquisa, ilustra esse mecanismo em escala histórica.</w:t>
      </w:r>
    </w:p>
    <w:p>
      <w:pPr>
        <w:pStyle w:val="BlockText"/>
      </w:pPr>
      <w:r>
        <w:rPr>
          <w:b/>
          <w:bCs/>
        </w:rPr>
        <w:t xml:space="preserve">[INTUICAO ECONOMICA] Intuição Econômica</w:t>
      </w:r>
    </w:p>
    <w:p>
      <w:pPr>
        <w:pStyle w:val="BlockText"/>
      </w:pPr>
      <w:r>
        <w:rPr>
          <w:b/>
          <w:bCs/>
        </w:rPr>
        <w:t xml:space="preserve">Em uma frase:</w:t>
      </w:r>
      <w:r>
        <w:t xml:space="preserve"> </w:t>
      </w:r>
      <w:r>
        <w:t xml:space="preserve">Dinheiro já gasto não deve influenciar decisões futuras — só o que ainda pode mudar importa para escolhas racionais.</w:t>
      </w:r>
    </w:p>
    <w:p>
      <w:pPr>
        <w:pStyle w:val="BlockText"/>
      </w:pPr>
      <w:r>
        <w:rPr>
          <w:b/>
          <w:bCs/>
        </w:rPr>
        <w:t xml:space="preserve">Pense assim:</w:t>
      </w:r>
      <w:r>
        <w:t xml:space="preserve"> </w:t>
      </w:r>
      <w:r>
        <w:t xml:space="preserve">Você comprou um ingresso de R$ 200 para um show e, no dia, está com febre. A pergunta racional não é</w:t>
      </w:r>
      <w:r>
        <w:t xml:space="preserve"> </w:t>
      </w:r>
      <w:r>
        <w:t xml:space="preserve">“já paguei R$ 200”</w:t>
      </w:r>
      <w:r>
        <w:t xml:space="preserve"> </w:t>
      </w:r>
      <w:r>
        <w:t xml:space="preserve">— essa quantia se foi independentemente de você ir ou não. A pergunta certa é:</w:t>
      </w:r>
      <w:r>
        <w:t xml:space="preserve"> </w:t>
      </w:r>
      <w:r>
        <w:t xml:space="preserve">“Dado como estou agora, ir ao show vai me deixar melhor ou pior?”</w:t>
      </w:r>
      <w:r>
        <w:t xml:space="preserve"> </w:t>
      </w:r>
      <w:r>
        <w:t xml:space="preserve">O custo irrecuperável não entra nessa conta.</w:t>
      </w:r>
    </w:p>
    <w:p>
      <w:pPr>
        <w:pStyle w:val="BlockText"/>
      </w:pPr>
      <w:r>
        <w:rPr>
          <w:b/>
          <w:bCs/>
        </w:rPr>
        <w:t xml:space="preserve">Por que isso importa:</w:t>
      </w:r>
      <w:r>
        <w:t xml:space="preserve"> </w:t>
      </w:r>
      <w:r>
        <w:t xml:space="preserve">No mundo corporativo e governamental brasileiro, decisões sobre continuidade de projetos frequentemente são contaminadas pelo viés de sunk cost. Projetos de obras públicas com custo-benefício negativo continuam sendo financiados simplesmente porque</w:t>
      </w:r>
      <w:r>
        <w:t xml:space="preserve"> </w:t>
      </w:r>
      <w:r>
        <w:t xml:space="preserve">“já se investiu muito”</w:t>
      </w:r>
      <w:r>
        <w:t xml:space="preserve">. Reconhecer e ignorar custos irrecuperáveis é uma das habilidades mais valiosas — e mais difíceis — do gestor econômico racional.</w:t>
      </w:r>
    </w:p>
    <w:p>
      <w:pPr>
        <w:pStyle w:val="BlockText"/>
      </w:pPr>
      <w:r>
        <w:rPr>
          <w:b/>
          <w:bCs/>
        </w:rPr>
        <w:t xml:space="preserve">[EXERCICIO RESOLVIDO] Exercício Resolvido 11.1 — Custo econômico versus custo contábil</w:t>
      </w:r>
    </w:p>
    <w:p>
      <w:pPr>
        <w:pStyle w:val="BlockText"/>
      </w:pPr>
      <w:r>
        <w:rPr>
          <w:b/>
          <w:bCs/>
        </w:rPr>
        <w:t xml:space="preserve">Enunciado.</w:t>
      </w:r>
      <w:r>
        <w:t xml:space="preserve"> </w:t>
      </w:r>
      <w:r>
        <w:t xml:space="preserve">Uma confeitaria artesanal em Belo Horizonte tem os seguintes dados anuais: receita de R$ 480.000; custos com ingredientes de R$ 120.000; aluguel de R$ 60.000; salários de funcionários de R$ 96.000; retirada da proprietária (</w:t>
      </w:r>
      <w:r>
        <w:rPr>
          <w:i/>
          <w:iCs/>
        </w:rPr>
        <w:t xml:space="preserve">pró-labore</w:t>
      </w:r>
      <w:r>
        <w:t xml:space="preserve">) de R$ 48.000. A proprietária possui equipamentos avaliados em R$ 200.000 (que poderiam render 10% a.a. se aplicados) e tem uma oferta de emprego como</w:t>
      </w:r>
      <w:r>
        <w:t xml:space="preserve"> </w:t>
      </w:r>
      <w:r>
        <w:rPr>
          <w:i/>
          <w:iCs/>
        </w:rPr>
        <w:t xml:space="preserve">chef</w:t>
      </w:r>
      <w:r>
        <w:t xml:space="preserve"> </w:t>
      </w:r>
      <w:r>
        <w:t xml:space="preserve">em um restaurante com salário de R$ 84.000/ano.</w:t>
      </w:r>
    </w:p>
    <w:p>
      <w:pPr>
        <w:pStyle w:val="BlockText"/>
        <w:numPr>
          <w:ilvl w:val="0"/>
          <w:numId w:val="1674"/>
        </w:numPr>
      </w:pPr>
      <w:r>
        <w:t xml:space="preserve">Calcule o lucro contábil.</w:t>
      </w:r>
    </w:p>
    <w:p>
      <w:pPr>
        <w:pStyle w:val="BlockText"/>
        <w:numPr>
          <w:ilvl w:val="0"/>
          <w:numId w:val="1674"/>
        </w:numPr>
      </w:pPr>
      <w:r>
        <w:t xml:space="preserve">Calcule o lucro econômico.</w:t>
      </w:r>
    </w:p>
    <w:p>
      <w:pPr>
        <w:pStyle w:val="BlockText"/>
        <w:numPr>
          <w:ilvl w:val="0"/>
          <w:numId w:val="1674"/>
        </w:numPr>
      </w:pPr>
      <w:r>
        <w:t xml:space="preserve">A proprietária deve manter a confeitaria?</w:t>
      </w:r>
    </w:p>
    <w:p>
      <w:pPr>
        <w:pStyle w:val="BlockText"/>
      </w:pPr>
      <w:r>
        <w:rPr>
          <w:b/>
          <w:bCs/>
        </w:rPr>
        <w:t xml:space="preserve">Solução.</w:t>
      </w:r>
    </w:p>
    <w:p>
      <w:pPr>
        <w:pStyle w:val="BlockText"/>
      </w:pPr>
      <w:r>
        <w:rPr>
          <w:b/>
          <w:bCs/>
        </w:rPr>
        <w:t xml:space="preserve">(a)</w:t>
      </w:r>
      <w:r>
        <w:t xml:space="preserve"> </w:t>
      </w:r>
      <w:r>
        <w:t xml:space="preserve">Custos contábeis (explícitos) = R$ 120.000 + R$ 60.000 + R$ 96.000 + R$ 48.000 = R$ 324.000.</w:t>
      </w:r>
    </w:p>
    <w:p>
      <w:pPr>
        <w:pStyle w:val="BlockText"/>
      </w:pPr>
      <w:r>
        <w:t xml:space="preserve">$$</w:t>
      </w:r>
    </w:p>
    <w:p>
      <w:pPr>
        <w:pStyle w:val="BlockText"/>
      </w:pPr>
      <w:r>
        <w:t xml:space="preserve">_{</w:t>
      </w:r>
      <w:r>
        <w:t xml:space="preserve">} = 480.000 - 324.000 =</w:t>
      </w:r>
      <w:r>
        <w:t xml:space="preserve"> </w:t>
      </w:r>
      <w:r>
        <w:t xml:space="preserve">; 156.000</w:t>
      </w:r>
    </w:p>
    <w:p>
      <w:pPr>
        <w:pStyle w:val="BlockText"/>
      </w:pPr>
      <w:r>
        <w:t xml:space="preserve">$$</w:t>
      </w:r>
    </w:p>
    <w:p>
      <w:pPr>
        <w:pStyle w:val="BlockText"/>
      </w:pPr>
      <w:r>
        <w:rPr>
          <w:b/>
          <w:bCs/>
        </w:rPr>
        <w:t xml:space="preserve">(b)</w:t>
      </w:r>
      <w:r>
        <w:t xml:space="preserve"> </w:t>
      </w:r>
      <w:r>
        <w:t xml:space="preserve">Custos implícitos:</w:t>
      </w:r>
    </w:p>
    <w:p>
      <w:pPr>
        <w:pStyle w:val="Compact"/>
        <w:numPr>
          <w:ilvl w:val="0"/>
          <w:numId w:val="1675"/>
        </w:numPr>
      </w:pPr>
      <w:r>
        <w:t xml:space="preserve">Custo de oportunidade do trabalho da proprietária: R$ 84.000 − R$ 48.000 = R$ 36.000 (diferença entre o que ela poderia ganhar e o pró-labore que já se paga).</w:t>
      </w:r>
    </w:p>
    <w:p>
      <w:pPr>
        <w:pStyle w:val="Compact"/>
        <w:numPr>
          <w:ilvl w:val="0"/>
          <w:numId w:val="1675"/>
        </w:numPr>
      </w:pPr>
      <w:r>
        <w:t xml:space="preserve">Custo de oportunidade do capital: 10% × R$ 200.000 = R$ 20.000.</w:t>
      </w:r>
    </w:p>
    <w:p>
      <w:pPr>
        <w:pStyle w:val="BlockText"/>
      </w:pPr>
      <w:r>
        <w:t xml:space="preserve">Total de custos implícitos = R$ 56.000.</w:t>
      </w:r>
    </w:p>
    <w:p>
      <w:pPr>
        <w:pStyle w:val="BlockText"/>
      </w:pPr>
      <w:r>
        <w:t xml:space="preserve">$$</w:t>
      </w:r>
    </w:p>
    <w:p>
      <w:pPr>
        <w:pStyle w:val="BlockText"/>
      </w:pPr>
      <w:r>
        <w:t xml:space="preserve">_{</w:t>
      </w:r>
      <w:r>
        <w:t xml:space="preserve">} = 480.000 - 324.000 - 56.000 =</w:t>
      </w:r>
      <w:r>
        <w:t xml:space="preserve"> </w:t>
      </w:r>
      <w:r>
        <w:t xml:space="preserve">; 100.000</w:t>
      </w:r>
    </w:p>
    <w:p>
      <w:pPr>
        <w:pStyle w:val="BlockText"/>
      </w:pPr>
      <w:r>
        <w:t xml:space="preserve">$$</w:t>
      </w:r>
    </w:p>
    <w:p>
      <w:pPr>
        <w:pStyle w:val="BlockText"/>
      </w:pPr>
      <w:r>
        <w:rPr>
          <w:b/>
          <w:bCs/>
        </w:rPr>
        <w:t xml:space="preserve">(c)</w:t>
      </w:r>
      <w:r>
        <w:t xml:space="preserve"> </w:t>
      </w:r>
      <w:r>
        <w:t xml:space="preserve">Sim. O lucro econômico é positivo (R$ 100.000 &gt; 0), o que significa que a confeitaria remunera todos os fatores — inclusive o tempo e o capital da proprietária — acima de seu custo de oportunidade. Se o lucro econômico fosse zero, ela seria indiferente; se fosse negativo, deveria considerar fechar.</w:t>
      </w:r>
    </w:p>
    <w:p>
      <w:pPr>
        <w:pStyle w:val="FirstParagraph"/>
      </w:pPr>
      <w:r>
        <w:t xml:space="preserve">[FIGURA INTERATIVA: /micro-book/graficos/cap11/webr-custo-oportunidade.html — versao interativa disponivel online]</w:t>
      </w:r>
    </w:p>
    <w:p>
      <w:pPr>
        <w:pStyle w:val="BodyText"/>
      </w:pPr>
      <w:r>
        <w:rPr>
          <w:b/>
          <w:bCs/>
        </w:rPr>
        <w:t xml:space="preserve">WebR 11.1 — Custo econômico vs. custo contábil.</w:t>
      </w:r>
      <w:r>
        <w:t xml:space="preserve"> </w:t>
      </w:r>
      <w:r>
        <w:t xml:space="preserve">O código reproduz o Exercício Resolvido 11.1 computacionalmente. Altere os valores de receita, custos explícitos e custos de oportunidade para simular outros cenários — por exemplo, o que acontece se a oferta salarial alternativa subir para R$ 120.000?</w:t>
      </w:r>
    </w:p>
    <w:bookmarkEnd w:id="696"/>
    <w:bookmarkEnd w:id="697"/>
    <w:bookmarkStart w:id="709" w:name="X32fd5f2a8d1dcfdbbec2c7bbed138e3bb9e51f3"/>
    <w:p>
      <w:pPr>
        <w:pStyle w:val="Heading2"/>
      </w:pPr>
      <w:r>
        <w:t xml:space="preserve">11.2–11.4 Da Maximização de Lucro ao Lema de Shephard</w:t>
      </w:r>
    </w:p>
    <w:bookmarkStart w:id="699" w:name="X01ca99d55f00a2e8e736676b606a4d31d374fdd"/>
    <w:p>
      <w:pPr>
        <w:pStyle w:val="Heading3"/>
      </w:pPr>
      <w:r>
        <w:t xml:space="preserve">11.2 Gêmeos (Quase) Idênticos: Maximização de Lucro e Minimização de Custos</w:t>
      </w:r>
    </w:p>
    <w:p>
      <w:pPr>
        <w:pStyle w:val="FirstParagraph"/>
      </w:pPr>
      <w:r>
        <w:t xml:space="preserve">Maximizar lucro e minimizar custo parecem gêmeos idênticos — dois jeitos de dizer a mesma coisa. Quase. A relação entre eles é como a de um motorista de aplicativo e o Waze: o Waze encontra o caminho mais curto para qualquer destino, mas ainda é o motorista quem decide</w:t>
      </w:r>
      <w:r>
        <w:t xml:space="preserve"> </w:t>
      </w:r>
      <w:r>
        <w:rPr>
          <w:i/>
          <w:iCs/>
        </w:rPr>
        <w:t xml:space="preserve">para onde</w:t>
      </w:r>
      <w:r>
        <w:t xml:space="preserve"> </w:t>
      </w:r>
      <w:r>
        <w:t xml:space="preserve">ir. Há uma assimetria sutil aqui, e vale a pena desembalá-la com cuidado.</w:t>
      </w:r>
      <w:r>
        <w:rPr>
          <w:rStyle w:val="FootnoteReference"/>
        </w:rPr>
        <w:footnoteReference w:id="698"/>
      </w:r>
    </w:p>
    <w:p>
      <w:pPr>
        <w:pStyle w:val="BodyText"/>
      </w:pPr>
      <w:r>
        <w:t xml:space="preserve">A firma maximizadora de lucro resolve:</w:t>
      </w:r>
    </w:p>
    <w:p>
      <w:pPr>
        <w:pStyle w:val="BodyText"/>
      </w:pPr>
      <w:r>
        <w:t xml:space="preserve">$$
    \max_{K, L} \; \pi = p \cdot f(K, L) - wL - vK
    \label{eq:11.1} \tag{11.1}
    $$</w:t>
      </w:r>
    </w:p>
    <w:p>
      <w:pPr>
        <w:pStyle w:val="FirstParagraph"/>
      </w:pPr>
      <w:r>
        <w:t xml:space="preserve">onde</w:t>
      </w:r>
      <w:r>
        <w:t xml:space="preserve"> </w:t>
      </w:r>
      <m:oMath>
        <m:r>
          <m:t>p</m:t>
        </m:r>
      </m:oMath>
      <w:r>
        <w:t xml:space="preserve"> </w:t>
      </w:r>
      <w:r>
        <w:t xml:space="preserve">é o preço do produto,</w:t>
      </w:r>
      <w:r>
        <w:t xml:space="preserve"> </w:t>
      </w:r>
      <m:oMath>
        <m:r>
          <m:t>w</m:t>
        </m:r>
      </m:oMath>
      <w:r>
        <w:t xml:space="preserve"> </w:t>
      </w:r>
      <w:r>
        <w:t xml:space="preserve">é o salário e</w:t>
      </w:r>
      <w:r>
        <w:t xml:space="preserve"> </w:t>
      </w:r>
      <m:oMath>
        <m:r>
          <m:t>v</m:t>
        </m:r>
      </m:oMath>
      <w:r>
        <w:t xml:space="preserve"> </w:t>
      </w:r>
      <w:r>
        <w:t xml:space="preserve">é o custo de aluguel do capital.</w:t>
      </w:r>
    </w:p>
    <w:p>
      <w:pPr>
        <w:pStyle w:val="BodyText"/>
      </w:pPr>
      <w:r>
        <w:t xml:space="preserve">Um resultado central é que a</w:t>
      </w:r>
      <w:r>
        <w:t xml:space="preserve"> </w:t>
      </w:r>
      <w:r>
        <w:rPr>
          <w:b/>
          <w:bCs/>
        </w:rPr>
        <w:t xml:space="preserve">maximização de lucro implica minimização de custos</w:t>
      </w:r>
      <w:r>
        <w:t xml:space="preserve">: se a firma escolhe quantidades de insumos que maximizam o lucro, então, para o nível de produto resultante, ela necessariamente minimiza o custo de produção. A demonstração é direta por contradição: se a firma não estivesse minimizando custos, existiria uma combinação alternativa de insumos que produzisse a mesma quantidade a custo menor — o que aumentaria o lucro, contradizendo a hipótese de que a escolha inicial maximizava o lucro. Logo, maximizar lucro implica logicamente minimizar custos.</w:t>
      </w:r>
    </w:p>
    <w:p>
      <w:pPr>
        <w:pStyle w:val="BodyText"/>
      </w:pPr>
      <w:r>
        <w:t xml:space="preserve">A recíproca, contudo, não é verdadeira — minimizar custos é condição necessária, mas não suficiente, para maximizar lucro, pois a firma ainda precisa escolher o nível ótimo de produção. Uma firma pode minimizar perfeitamente seus custos para cada quantidade produzida e ainda assim não estar maximizando o lucro, caso esteja produzindo a quantidade errada. Isso justifica a decomposição do problema de maximização de lucro em duas etapas que é a estratégia analítica dos próximos capítulos: primeiro, determine o custo mínimo para cada nível de produto (Capítulo 11); depois, escolha o nível de produto que maximiza o lucro dado o custo mínimo (Capítulos 12–13).</w:t>
      </w:r>
    </w:p>
    <w:p>
      <w:pPr>
        <w:pStyle w:val="BlockText"/>
      </w:pPr>
      <w:r>
        <w:rPr>
          <w:b/>
          <w:bCs/>
        </w:rPr>
        <w:t xml:space="preserve">[TEOREMA] Proposição: Maximização de lucro implica minimização de custos</w:t>
      </w:r>
    </w:p>
    <w:p>
      <w:pPr>
        <w:pStyle w:val="BlockText"/>
      </w:pPr>
      <w:r>
        <w:t xml:space="preserve">Se</w:t>
      </w:r>
      <w:r>
        <w:t xml:space="preserve"> </w:t>
      </w:r>
      <m:oMath>
        <m:r>
          <m:rPr>
            <m:sty m:val="p"/>
          </m:rPr>
          <m:t>(</m:t>
        </m:r>
        <m:sSup>
          <m:e>
            <m:r>
              <m:t>K</m:t>
            </m:r>
          </m:e>
          <m:sup>
            <m:r>
              <m:rPr>
                <m:sty m:val="p"/>
              </m:rPr>
              <m:t>*</m:t>
            </m:r>
          </m:sup>
        </m:sSup>
        <m:r>
          <m:rPr>
            <m:sty m:val="p"/>
          </m:rPr>
          <m:t>,</m:t>
        </m:r>
        <m:sSup>
          <m:e>
            <m:r>
              <m:t>L</m:t>
            </m:r>
          </m:e>
          <m:sup>
            <m:r>
              <m:rPr>
                <m:sty m:val="p"/>
              </m:rPr>
              <m:t>*</m:t>
            </m:r>
          </m:sup>
        </m:sSup>
        <m:r>
          <m:rPr>
            <m:sty m:val="p"/>
          </m:rPr>
          <m:t>)</m:t>
        </m:r>
      </m:oMath>
      <w:r>
        <w:t xml:space="preserve"> </w:t>
      </w:r>
      <w:r>
        <w:t xml:space="preserve">resolve o problema de maximização de lucro</w:t>
      </w:r>
      <w:r>
        <w:t xml:space="preserve"> </w:t>
      </w:r>
      <m:oMath>
        <m:sSub>
          <m:e>
            <m:r>
              <m:rPr>
                <m:sty m:val="p"/>
              </m:rPr>
              <m:t>max</m:t>
            </m:r>
          </m:e>
          <m:sub>
            <m:r>
              <m:t>K</m:t>
            </m:r>
            <m:r>
              <m:rPr>
                <m:sty m:val="p"/>
              </m:rPr>
              <m:t>,</m:t>
            </m:r>
            <m:r>
              <m:t>L</m:t>
            </m:r>
          </m:sub>
        </m:sSub>
        <m:r>
          <m:t> </m:t>
        </m:r>
        <m:r>
          <m:t>p</m:t>
        </m:r>
        <m:r>
          <m:t>f</m:t>
        </m:r>
        <m:r>
          <m:rPr>
            <m:sty m:val="p"/>
          </m:rPr>
          <m:t>(</m:t>
        </m:r>
        <m:r>
          <m:t>K</m:t>
        </m:r>
        <m:r>
          <m:rPr>
            <m:sty m:val="p"/>
          </m:rPr>
          <m:t>,</m:t>
        </m:r>
        <m:r>
          <m:t>L</m:t>
        </m:r>
        <m:r>
          <m:rPr>
            <m:sty m:val="p"/>
          </m:rPr>
          <m:t>)</m:t>
        </m:r>
        <m:r>
          <m:rPr>
            <m:sty m:val="p"/>
          </m:rPr>
          <m:t>−</m:t>
        </m:r>
        <m:r>
          <m:t>w</m:t>
        </m:r>
        <m:r>
          <m:t>L</m:t>
        </m:r>
        <m:r>
          <m:rPr>
            <m:sty m:val="p"/>
          </m:rPr>
          <m:t>−</m:t>
        </m:r>
        <m:r>
          <m:t>v</m:t>
        </m:r>
        <m:r>
          <m:t>K</m:t>
        </m:r>
      </m:oMath>
      <w:r>
        <w:t xml:space="preserve"> </w:t>
      </w:r>
      <w:r>
        <w:t xml:space="preserve">com produto</w:t>
      </w:r>
      <w:r>
        <w:t xml:space="preserve"> </w:t>
      </w:r>
      <m:oMath>
        <m:sSup>
          <m:e>
            <m:r>
              <m:t>q</m:t>
            </m:r>
          </m:e>
          <m:sup>
            <m:r>
              <m:rPr>
                <m:sty m:val="p"/>
              </m:rPr>
              <m:t>*</m:t>
            </m:r>
          </m:sup>
        </m:sSup>
        <m:r>
          <m:rPr>
            <m:sty m:val="p"/>
          </m:rPr>
          <m:t>=</m:t>
        </m:r>
        <m:r>
          <m:t>f</m:t>
        </m:r>
        <m:r>
          <m:rPr>
            <m:sty m:val="p"/>
          </m:rPr>
          <m:t>(</m:t>
        </m:r>
        <m:sSup>
          <m:e>
            <m:r>
              <m:t>K</m:t>
            </m:r>
          </m:e>
          <m:sup>
            <m:r>
              <m:rPr>
                <m:sty m:val="p"/>
              </m:rPr>
              <m:t>*</m:t>
            </m:r>
          </m:sup>
        </m:sSup>
        <m:r>
          <m:rPr>
            <m:sty m:val="p"/>
          </m:rPr>
          <m:t>,</m:t>
        </m:r>
        <m:sSup>
          <m:e>
            <m:r>
              <m:t>L</m:t>
            </m:r>
          </m:e>
          <m:sup>
            <m:r>
              <m:rPr>
                <m:sty m:val="p"/>
              </m:rPr>
              <m:t>*</m:t>
            </m:r>
          </m:sup>
        </m:sSup>
        <m:r>
          <m:rPr>
            <m:sty m:val="p"/>
          </m:rPr>
          <m:t>)</m:t>
        </m:r>
      </m:oMath>
      <w:r>
        <w:t xml:space="preserve">, então</w:t>
      </w:r>
      <w:r>
        <w:t xml:space="preserve"> </w:t>
      </w:r>
      <m:oMath>
        <m:r>
          <m:rPr>
            <m:sty m:val="p"/>
          </m:rPr>
          <m:t>(</m:t>
        </m:r>
        <m:sSup>
          <m:e>
            <m:r>
              <m:t>K</m:t>
            </m:r>
          </m:e>
          <m:sup>
            <m:r>
              <m:rPr>
                <m:sty m:val="p"/>
              </m:rPr>
              <m:t>*</m:t>
            </m:r>
          </m:sup>
        </m:sSup>
        <m:r>
          <m:rPr>
            <m:sty m:val="p"/>
          </m:rPr>
          <m:t>,</m:t>
        </m:r>
        <m:sSup>
          <m:e>
            <m:r>
              <m:t>L</m:t>
            </m:r>
          </m:e>
          <m:sup>
            <m:r>
              <m:rPr>
                <m:sty m:val="p"/>
              </m:rPr>
              <m:t>*</m:t>
            </m:r>
          </m:sup>
        </m:sSup>
        <m:r>
          <m:rPr>
            <m:sty m:val="p"/>
          </m:rPr>
          <m:t>)</m:t>
        </m:r>
      </m:oMath>
      <w:r>
        <w:t xml:space="preserve"> </w:t>
      </w:r>
      <w:r>
        <w:t xml:space="preserve">também resolve o problema de minimização de custos para o nível de produto</w:t>
      </w:r>
      <w:r>
        <w:t xml:space="preserve"> </w:t>
      </w:r>
      <m:oMath>
        <m:sSup>
          <m:e>
            <m:r>
              <m:t>q</m:t>
            </m:r>
          </m:e>
          <m:sup>
            <m:r>
              <m:rPr>
                <m:sty m:val="p"/>
              </m:rPr>
              <m:t>*</m:t>
            </m:r>
          </m:sup>
        </m:sSup>
      </m:oMath>
      <w:r>
        <w:t xml:space="preserve">:</w:t>
      </w:r>
    </w:p>
    <w:p>
      <w:pPr>
        <w:pStyle w:val="BlockText"/>
      </w:pPr>
      <w:r>
        <w:t xml:space="preserve">$$</w:t>
      </w:r>
    </w:p>
    <w:p>
      <w:pPr>
        <w:pStyle w:val="BlockText"/>
      </w:pPr>
      <w:r>
        <w:t xml:space="preserve">_{K, L} ; wL + vK</w:t>
      </w:r>
      <w:r>
        <w:t xml:space="preserve"> </w:t>
      </w:r>
      <w:r>
        <w:t xml:space="preserve"> </w:t>
      </w:r>
      <w:r>
        <w:t xml:space="preserve">f(K, L)</w:t>
      </w:r>
      <w:r>
        <w:t xml:space="preserve"> </w:t>
      </w:r>
      <w:r>
        <w:t xml:space="preserve">q^*</w:t>
      </w:r>
    </w:p>
    <w:p>
      <w:pPr>
        <w:pStyle w:val="BlockText"/>
      </w:pPr>
      <w:r>
        <w:t xml:space="preserve">$$</w:t>
      </w:r>
    </w:p>
    <w:p>
      <w:pPr>
        <w:pStyle w:val="FirstParagraph"/>
      </w:pPr>
      <w:r>
        <w:t xml:space="preserve">Essa proposição tem implicação prática importante. Ela significa que, ao observar uma firma que maximiza lucro, podemos usar toda a teoria da minimização de custos para caracterizar seu comportamento em relação aos insumos — sem precisar resolver diretamente o problema de maximização de lucro. Essa é a lógica por trás da abordagem em dois estágios que percorre toda a microeconomia da firma.</w:t>
      </w:r>
    </w:p>
    <w:p>
      <w:r>
        <w:pict>
          <v:rect style="width:0;height:1.5pt" o:hralign="center" o:hrstd="t" o:hr="t"/>
        </w:pict>
      </w:r>
    </w:p>
    <w:bookmarkEnd w:id="699"/>
    <w:bookmarkStart w:id="704" w:name="X993215bfdaa515f6ea00fafc1918f549119f993"/>
    <w:p>
      <w:pPr>
        <w:pStyle w:val="Heading3"/>
      </w:pPr>
      <w:r>
        <w:t xml:space="preserve">11.3 O Déjà Vu do Consumidor: Minimização de Custos e Tangência</w:t>
      </w:r>
    </w:p>
    <w:p>
      <w:pPr>
        <w:pStyle w:val="FirstParagraph"/>
      </w:pPr>
      <w:r>
        <w:t xml:space="preserve">Hora de arregaçar as mangas e resolver o problema de verdade. A firma quer produzir uma quantidade fixa de produto gastando o mínimo possível — como quem monta a cesta do mês no supermercado tentando não estourar o orçamento, só que com capital e trabalho no carrinho. Se você sobreviveu à minimização de gasto do consumidor no Capítulo 4, vai sentir um</w:t>
      </w:r>
      <w:r>
        <w:t xml:space="preserve"> </w:t>
      </w:r>
      <w:r>
        <w:rPr>
          <w:i/>
          <w:iCs/>
        </w:rPr>
        <w:t xml:space="preserve">déjà vu</w:t>
      </w:r>
      <w:r>
        <w:t xml:space="preserve"> </w:t>
      </w:r>
      <w:r>
        <w:t xml:space="preserve">reconfortante: a estrutura é a mesma, só mudam os nomes. Isoquanta no lugar de curva de indiferença, isocusto no lugar de reta orçamentária — dualidade pura.</w:t>
      </w:r>
    </w:p>
    <w:p>
      <w:pPr>
        <w:pStyle w:val="BodyText"/>
      </w:pPr>
      <w:r>
        <w:t xml:space="preserve">No Capítulo 4, o consumidor minimizava o gasto</w:t>
      </w:r>
      <w:r>
        <w:t xml:space="preserve"> </w:t>
      </w:r>
      <m:oMath>
        <m:r>
          <m:t>w</m:t>
        </m:r>
        <m:r>
          <m:t>l</m:t>
        </m:r>
        <m:r>
          <m:rPr>
            <m:sty m:val="p"/>
          </m:rPr>
          <m:t>+</m:t>
        </m:r>
        <m:r>
          <m:t>p</m:t>
        </m:r>
        <m:r>
          <m:t>m</m:t>
        </m:r>
      </m:oMath>
      <w:r>
        <w:t xml:space="preserve"> </w:t>
      </w:r>
      <w:r>
        <w:t xml:space="preserve">sujeito a atingir a curva de indiferença</w:t>
      </w:r>
      <w:r>
        <w:t xml:space="preserve"> </w:t>
      </w:r>
      <m:oMath>
        <m:r>
          <m:t>u</m:t>
        </m:r>
        <m:r>
          <m:rPr>
            <m:sty m:val="p"/>
          </m:rPr>
          <m:t>(</m:t>
        </m:r>
        <m:sSub>
          <m:e>
            <m:r>
              <m:t>x</m:t>
            </m:r>
          </m:e>
          <m:sub>
            <m:r>
              <m:t>1</m:t>
            </m:r>
          </m:sub>
        </m:sSub>
        <m:r>
          <m:rPr>
            <m:sty m:val="p"/>
          </m:rPr>
          <m:t>,</m:t>
        </m:r>
        <m:sSub>
          <m:e>
            <m:r>
              <m:t>x</m:t>
            </m:r>
          </m:e>
          <m:sub>
            <m:r>
              <m:t>2</m:t>
            </m:r>
          </m:sub>
        </m:sSub>
        <m:r>
          <m:rPr>
            <m:sty m:val="p"/>
          </m:rPr>
          <m:t>)</m:t>
        </m:r>
        <m:r>
          <m:rPr>
            <m:sty m:val="p"/>
          </m:rPr>
          <m:t>=</m:t>
        </m:r>
        <m:acc>
          <m:accPr>
            <m:chr m:val="‾"/>
          </m:accPr>
          <m:e>
            <m:r>
              <m:t>u</m:t>
            </m:r>
          </m:e>
        </m:acc>
      </m:oMath>
      <w:r>
        <w:t xml:space="preserve">. Aqui, a firma minimiza o custo</w:t>
      </w:r>
      <w:r>
        <w:t xml:space="preserve"> </w:t>
      </w:r>
      <m:oMath>
        <m:r>
          <m:t>w</m:t>
        </m:r>
        <m:r>
          <m:t>L</m:t>
        </m:r>
        <m:r>
          <m:rPr>
            <m:sty m:val="p"/>
          </m:rPr>
          <m:t>+</m:t>
        </m:r>
        <m:r>
          <m:t>v</m:t>
        </m:r>
        <m:r>
          <m:t>K</m:t>
        </m:r>
      </m:oMath>
      <w:r>
        <w:t xml:space="preserve"> </w:t>
      </w:r>
      <w:r>
        <w:t xml:space="preserve">sujeito a atingir a isoquanta</w:t>
      </w:r>
      <w:r>
        <w:t xml:space="preserve"> </w:t>
      </w:r>
      <m:oMath>
        <m:r>
          <m:t>f</m:t>
        </m:r>
        <m:r>
          <m:rPr>
            <m:sty m:val="p"/>
          </m:rPr>
          <m:t>(</m:t>
        </m:r>
        <m:r>
          <m:t>K</m:t>
        </m:r>
        <m:r>
          <m:rPr>
            <m:sty m:val="p"/>
          </m:rPr>
          <m:t>,</m:t>
        </m:r>
        <m:r>
          <m:t>L</m:t>
        </m:r>
        <m:r>
          <m:rPr>
            <m:sty m:val="p"/>
          </m:rPr>
          <m:t>)</m:t>
        </m:r>
        <m:r>
          <m:rPr>
            <m:sty m:val="p"/>
          </m:rPr>
          <m:t>=</m:t>
        </m:r>
        <m:sSub>
          <m:e>
            <m:r>
              <m:t>q</m:t>
            </m:r>
          </m:e>
          <m:sub>
            <m:r>
              <m:t>0</m:t>
            </m:r>
          </m:sub>
        </m:sSub>
      </m:oMath>
      <w:r>
        <w:t xml:space="preserve">. As variáveis mudam de nome — utilidade vira quantidade produzida, curva de indiferença vira isoquanta, reta orçamentária vira reta de isocusto —, mas a estrutura matemática e a intuição econômica são idênticas. As demandas hicksianas de bens de consumo correspondem às demandas condicionadas por insumos; a função gasto corresponde à função custo; a identidade de Roy corresponde ao Lema de Shephard. Essa correspondência estrutural é uma das elegâncias da teoria microeconômica moderna.</w:t>
      </w:r>
    </w:p>
    <w:p>
      <w:pPr>
        <w:pStyle w:val="BodyText"/>
      </w:pPr>
      <w:r>
        <w:t xml:space="preserve">[FIGURA INTERATIVA: /micro-book/graficos/cap11/minimizacao-custo.html — versao interativa disponivel online]</w:t>
      </w:r>
    </w:p>
    <w:p>
      <w:pPr>
        <w:pStyle w:val="BodyText"/>
      </w:pPr>
      <w:r>
        <w:rPr>
          <w:b/>
          <w:bCs/>
        </w:rPr>
        <w:t xml:space="preserve">Figura 11.1 — Minimização de custo.</w:t>
      </w:r>
      <w:r>
        <w:t xml:space="preserve"> </w:t>
      </w:r>
      <w:r>
        <w:t xml:space="preserve">A isoquanta (azul) e a reta de isocusto (vermelha) tangenciam-se no ponto ótimo. Ajuste</w:t>
      </w:r>
      <w:r>
        <w:t xml:space="preserve"> </w:t>
      </w:r>
      <m:oMath>
        <m:r>
          <m:t>w</m:t>
        </m:r>
      </m:oMath>
      <w:r>
        <w:t xml:space="preserve">,</w:t>
      </w:r>
      <w:r>
        <w:t xml:space="preserve"> </w:t>
      </w:r>
      <m:oMath>
        <m:r>
          <m:t>v</m:t>
        </m:r>
      </m:oMath>
      <w:r>
        <w:t xml:space="preserve">,</w:t>
      </w:r>
      <w:r>
        <w:t xml:space="preserve"> </w:t>
      </w:r>
      <m:oMath>
        <m:r>
          <m:t>q</m:t>
        </m:r>
      </m:oMath>
      <w:r>
        <w:t xml:space="preserve"> </w:t>
      </w:r>
      <w:r>
        <w:t xml:space="preserve">e</w:t>
      </w:r>
      <w:r>
        <w:t xml:space="preserve"> </w:t>
      </w:r>
      <m:oMath>
        <m:r>
          <m:t>α</m:t>
        </m:r>
      </m:oMath>
      <w:r>
        <w:t xml:space="preserve"> </w:t>
      </w:r>
      <w:r>
        <w:t xml:space="preserve">para observar como a combinação ótima de insumos e o custo mínimo se alteram.</w:t>
      </w:r>
    </w:p>
    <w:bookmarkStart w:id="700" w:name="o-problema-de-minimização-de-custos"/>
    <w:p>
      <w:pPr>
        <w:pStyle w:val="Heading4"/>
      </w:pPr>
      <w:r>
        <w:t xml:space="preserve">O problema de minimização de custos</w:t>
      </w:r>
    </w:p>
    <w:p>
      <w:pPr>
        <w:pStyle w:val="FirstParagraph"/>
      </w:pPr>
      <w:r>
        <w:t xml:space="preserve">O problema dual ao da maximização do produto sujeito a um orçamento é a</w:t>
      </w:r>
      <w:r>
        <w:t xml:space="preserve"> </w:t>
      </w:r>
      <w:r>
        <w:rPr>
          <w:b/>
          <w:bCs/>
        </w:rPr>
        <w:t xml:space="preserve">minimização do custo</w:t>
      </w:r>
      <w:r>
        <w:t xml:space="preserve"> </w:t>
      </w:r>
      <w:r>
        <w:t xml:space="preserve">de atingir um dado nível de produto:</w:t>
      </w:r>
    </w:p>
    <w:p>
      <w:pPr>
        <w:pStyle w:val="BodyText"/>
      </w:pPr>
      <m:oMathPara>
        <m:oMathParaPr>
          <m:jc m:val="center"/>
        </m:oMathParaPr>
        <m:oMath>
          <m:limLow>
            <m:e>
              <m:r>
                <m:rPr>
                  <m:sty m:val="p"/>
                </m:rPr>
                <m:t>min</m:t>
              </m:r>
            </m:e>
            <m:lim>
              <m:r>
                <m:t>K</m:t>
              </m:r>
              <m:r>
                <m:rPr>
                  <m:sty m:val="p"/>
                </m:rPr>
                <m:t>,</m:t>
              </m:r>
              <m:r>
                <m:t>L</m:t>
              </m:r>
            </m:lim>
          </m:limLow>
          <m:r>
            <m:t> </m:t>
          </m:r>
          <m:r>
            <m:t>C</m:t>
          </m:r>
          <m:r>
            <m:rPr>
              <m:sty m:val="p"/>
            </m:rPr>
            <m:t>=</m:t>
          </m:r>
          <m:r>
            <m:t>w</m:t>
          </m:r>
          <m:r>
            <m:t>L</m:t>
          </m:r>
          <m:r>
            <m:rPr>
              <m:sty m:val="p"/>
            </m:rPr>
            <m:t>+</m:t>
          </m:r>
          <m:r>
            <m:t>v</m:t>
          </m:r>
          <m:r>
            <m:t>K</m:t>
          </m:r>
          <m:r>
            <m:t> </m:t>
          </m:r>
          <m:r>
            <m:rPr>
              <m:nor/>
              <m:sty m:val="p"/>
            </m:rPr>
            <m:t>s.a.</m:t>
          </m:r>
          <m:r>
            <m:t> </m:t>
          </m:r>
          <m:r>
            <m:t>f</m:t>
          </m:r>
          <m:r>
            <m:rPr>
              <m:sty m:val="p"/>
            </m:rPr>
            <m:t>(</m:t>
          </m:r>
          <m:r>
            <m:t>K</m:t>
          </m:r>
          <m:r>
            <m:rPr>
              <m:sty m:val="p"/>
            </m:rPr>
            <m:t>,</m:t>
          </m:r>
          <m:r>
            <m:t>L</m:t>
          </m:r>
          <m:r>
            <m:rPr>
              <m:sty m:val="p"/>
            </m:rPr>
            <m:t>)</m:t>
          </m:r>
          <m:r>
            <m:rPr>
              <m:sty m:val="p"/>
            </m:rPr>
            <m:t>=</m:t>
          </m:r>
          <m:sSub>
            <m:e>
              <m:r>
                <m:t>q</m:t>
              </m:r>
            </m:e>
            <m:sub>
              <m:r>
                <m:t>0</m:t>
              </m:r>
            </m:sub>
          </m:sSub>
        </m:oMath>
      </m:oMathPara>
    </w:p>
    <w:p>
      <w:pPr>
        <w:pStyle w:val="FirstParagraph"/>
      </w:pPr>
      <w:r>
        <w:t xml:space="preserve">A lógica é análoga à do consumidor que minimiza o gasto para atingir um dado nível de utilidade (Capítulo 5). Aqui, a isoquanta substitui a curva de indiferença, e a reta de isocusto substitui a reta orçamentária.</w:t>
      </w:r>
    </w:p>
    <w:bookmarkEnd w:id="700"/>
    <w:bookmarkStart w:id="701" w:name="a-reta-de-isocusto"/>
    <w:p>
      <w:pPr>
        <w:pStyle w:val="Heading4"/>
      </w:pPr>
      <w:r>
        <w:t xml:space="preserve">A reta de isocusto</w:t>
      </w:r>
    </w:p>
    <w:p>
      <w:pPr>
        <w:pStyle w:val="FirstParagraph"/>
      </w:pPr>
      <w:r>
        <w:t xml:space="preserve">A</w:t>
      </w:r>
      <w:r>
        <w:t xml:space="preserve"> </w:t>
      </w:r>
      <w:r>
        <w:rPr>
          <w:b/>
          <w:bCs/>
        </w:rPr>
        <w:t xml:space="preserve">reta de isocusto</w:t>
      </w:r>
      <w:r>
        <w:t xml:space="preserve"> </w:t>
      </w:r>
      <w:r>
        <w:t xml:space="preserve">representa todas as combinações de insumos que geram o mesmo custo total</w:t>
      </w:r>
      <w:r>
        <w:t xml:space="preserve"> </w:t>
      </w:r>
      <m:oMath>
        <m:sSub>
          <m:e>
            <m:r>
              <m:t>C</m:t>
            </m:r>
          </m:e>
          <m:sub>
            <m:r>
              <m:t>0</m:t>
            </m:r>
          </m:sub>
        </m:sSub>
      </m:oMath>
      <w:r>
        <w:t xml:space="preserve">:</w:t>
      </w:r>
    </w:p>
    <w:p>
      <w:pPr>
        <w:pStyle w:val="BodyText"/>
      </w:pPr>
      <m:oMathPara>
        <m:oMathParaPr>
          <m:jc m:val="center"/>
        </m:oMathParaPr>
        <m:oMath>
          <m:sSub>
            <m:e>
              <m:r>
                <m:t>C</m:t>
              </m:r>
            </m:e>
            <m:sub>
              <m:r>
                <m:t>0</m:t>
              </m:r>
            </m:sub>
          </m:sSub>
          <m:r>
            <m:rPr>
              <m:sty m:val="p"/>
            </m:rPr>
            <m:t>=</m:t>
          </m:r>
          <m:r>
            <m:t>w</m:t>
          </m:r>
          <m:r>
            <m:t>L</m:t>
          </m:r>
          <m:r>
            <m:rPr>
              <m:sty m:val="p"/>
            </m:rPr>
            <m:t>+</m:t>
          </m:r>
          <m:r>
            <m:t>v</m:t>
          </m:r>
          <m:r>
            <m:t>K</m:t>
          </m:r>
          <m:r>
            <m:rPr>
              <m:sty m:val="p"/>
            </m:rPr>
            <m:t>⟹</m:t>
          </m:r>
          <m:r>
            <m:t>K</m:t>
          </m:r>
          <m:r>
            <m:rPr>
              <m:sty m:val="p"/>
            </m:rPr>
            <m:t>=</m:t>
          </m:r>
          <m:f>
            <m:fPr>
              <m:type m:val="bar"/>
            </m:fPr>
            <m:num>
              <m:sSub>
                <m:e>
                  <m:r>
                    <m:t>C</m:t>
                  </m:r>
                </m:e>
                <m:sub>
                  <m:r>
                    <m:t>0</m:t>
                  </m:r>
                </m:sub>
              </m:sSub>
            </m:num>
            <m:den>
              <m:r>
                <m:t>v</m:t>
              </m:r>
            </m:den>
          </m:f>
          <m:r>
            <m:rPr>
              <m:sty m:val="p"/>
            </m:rPr>
            <m:t>−</m:t>
          </m:r>
          <m:f>
            <m:fPr>
              <m:type m:val="bar"/>
            </m:fPr>
            <m:num>
              <m:r>
                <m:t>w</m:t>
              </m:r>
            </m:num>
            <m:den>
              <m:r>
                <m:t>v</m:t>
              </m:r>
            </m:den>
          </m:f>
          <m:r>
            <m:t>L</m:t>
          </m:r>
        </m:oMath>
      </m:oMathPara>
    </w:p>
    <w:p>
      <w:pPr>
        <w:pStyle w:val="FirstParagraph"/>
      </w:pPr>
      <w:r>
        <w:t xml:space="preserve">A inclinação da isocusto é</w:t>
      </w:r>
      <w:r>
        <w:t xml:space="preserve"> </w:t>
      </w:r>
      <m:oMath>
        <m:r>
          <m:rPr>
            <m:sty m:val="p"/>
          </m:rPr>
          <m:t>−</m:t>
        </m:r>
        <m:r>
          <m:t>w</m:t>
        </m:r>
        <m:r>
          <m:rPr>
            <m:sty m:val="p"/>
          </m:rPr>
          <m:t>/</m:t>
        </m:r>
        <m:r>
          <m:t>v</m:t>
        </m:r>
      </m:oMath>
      <w:r>
        <w:t xml:space="preserve">, a razão dos preços dos insumos.</w:t>
      </w:r>
    </w:p>
    <w:bookmarkEnd w:id="701"/>
    <w:bookmarkStart w:id="702" w:name="condição-de-tangência"/>
    <w:p>
      <w:pPr>
        <w:pStyle w:val="Heading4"/>
      </w:pPr>
      <w:r>
        <w:t xml:space="preserve">Condição de tangência</w:t>
      </w:r>
    </w:p>
    <w:p>
      <w:pPr>
        <w:pStyle w:val="BlockText"/>
      </w:pPr>
      <w:r>
        <w:rPr>
          <w:b/>
          <w:bCs/>
        </w:rPr>
        <w:t xml:space="preserve">[DICA] Ferramentas do Cap. 2</w:t>
      </w:r>
    </w:p>
    <w:p>
      <w:pPr>
        <w:pStyle w:val="BlockText"/>
      </w:pPr>
      <w:r>
        <w:t xml:space="preserve">Esta seção usa o método de Lagrange (Cap. 2) para minimização com restrições. Se precisar relembrar, volte lá — leva 10 minutos.</w:t>
      </w:r>
    </w:p>
    <w:p>
      <w:pPr>
        <w:pStyle w:val="FirstParagraph"/>
      </w:pPr>
      <w:r>
        <w:t xml:space="preserve">Pelo método de Lagrange, a condição de primeira ordem para a minimização de custos é:</w:t>
      </w:r>
    </w:p>
    <w:p>
      <w:pPr>
        <w:pStyle w:val="BodyText"/>
      </w:pPr>
      <m:oMathPara>
        <m:oMathParaPr>
          <m:jc m:val="center"/>
        </m:oMathParaPr>
        <m:oMath>
          <m:r>
            <m:rPr>
              <m:scr m:val="script"/>
              <m:sty m:val="p"/>
            </m:rPr>
            <m:t>L</m:t>
          </m:r>
          <m:r>
            <m:rPr>
              <m:sty m:val="p"/>
            </m:rPr>
            <m:t>=</m:t>
          </m:r>
          <m:r>
            <m:t>w</m:t>
          </m:r>
          <m:r>
            <m:t>L</m:t>
          </m:r>
          <m:r>
            <m:rPr>
              <m:sty m:val="p"/>
            </m:rPr>
            <m:t>+</m:t>
          </m:r>
          <m:r>
            <m:t>v</m:t>
          </m:r>
          <m:r>
            <m:t>K</m:t>
          </m:r>
          <m:r>
            <m:rPr>
              <m:sty m:val="p"/>
            </m:rPr>
            <m:t>+</m:t>
          </m:r>
          <m:r>
            <m:t>λ</m:t>
          </m:r>
          <m:r>
            <m:rPr>
              <m:sty m:val="p"/>
            </m:rPr>
            <m:t>[</m:t>
          </m:r>
          <m:sSub>
            <m:e>
              <m:r>
                <m:t>q</m:t>
              </m:r>
            </m:e>
            <m:sub>
              <m:r>
                <m:t>0</m:t>
              </m:r>
            </m:sub>
          </m:sSub>
          <m:r>
            <m:rPr>
              <m:sty m:val="p"/>
            </m:rPr>
            <m:t>−</m:t>
          </m:r>
          <m:r>
            <m:t>f</m:t>
          </m:r>
          <m:r>
            <m:rPr>
              <m:sty m:val="p"/>
            </m:rPr>
            <m:t>(</m:t>
          </m:r>
          <m:r>
            <m:t>K</m:t>
          </m:r>
          <m:r>
            <m:rPr>
              <m:sty m:val="p"/>
            </m:rPr>
            <m:t>,</m:t>
          </m:r>
          <m:r>
            <m:t>L</m:t>
          </m:r>
          <m:r>
            <m:rPr>
              <m:sty m:val="p"/>
            </m:rPr>
            <m:t>)</m:t>
          </m:r>
          <m:r>
            <m:rPr>
              <m:sty m:val="p"/>
            </m:rPr>
            <m:t>]</m:t>
          </m:r>
        </m:oMath>
      </m:oMathPara>
    </w:p>
    <w:p>
      <w:pPr>
        <w:pStyle w:val="FirstParagraph"/>
      </w:pPr>
      <m:oMathPara>
        <m:oMathParaPr>
          <m:jc m:val="center"/>
        </m:oMathParaPr>
        <m:oMath>
          <m:f>
            <m:fPr>
              <m:type m:val="bar"/>
            </m:fPr>
            <m:num>
              <m:r>
                <m:rPr>
                  <m:sty m:val="p"/>
                </m:rPr>
                <m:t>∂</m:t>
              </m:r>
              <m:r>
                <m:rPr>
                  <m:scr m:val="script"/>
                  <m:sty m:val="p"/>
                </m:rPr>
                <m:t>L</m:t>
              </m:r>
            </m:num>
            <m:den>
              <m:r>
                <m:rPr>
                  <m:sty m:val="p"/>
                </m:rPr>
                <m:t>∂</m:t>
              </m:r>
              <m:r>
                <m:t>L</m:t>
              </m:r>
            </m:den>
          </m:f>
          <m:r>
            <m:rPr>
              <m:sty m:val="p"/>
            </m:rPr>
            <m:t>=</m:t>
          </m:r>
          <m:r>
            <m:t>w</m:t>
          </m:r>
          <m:r>
            <m:rPr>
              <m:sty m:val="p"/>
            </m:rPr>
            <m:t>−</m:t>
          </m:r>
          <m:r>
            <m:t>λ</m:t>
          </m:r>
          <m:sSub>
            <m:e>
              <m:r>
                <m:t>f</m:t>
              </m:r>
            </m:e>
            <m:sub>
              <m:r>
                <m:t>L</m:t>
              </m:r>
            </m:sub>
          </m:sSub>
          <m:r>
            <m:rPr>
              <m:sty m:val="p"/>
            </m:rPr>
            <m:t>=</m:t>
          </m:r>
          <m:r>
            <m:t>0</m:t>
          </m:r>
          <m:r>
            <m:rPr>
              <m:sty m:val="p"/>
            </m:rPr>
            <m:t>⟹</m:t>
          </m:r>
          <m:r>
            <m:t>λ</m:t>
          </m:r>
          <m:r>
            <m:rPr>
              <m:sty m:val="p"/>
            </m:rPr>
            <m:t>=</m:t>
          </m:r>
          <m:f>
            <m:fPr>
              <m:type m:val="bar"/>
            </m:fPr>
            <m:num>
              <m:r>
                <m:t>w</m:t>
              </m:r>
            </m:num>
            <m:den>
              <m:sSub>
                <m:e>
                  <m:r>
                    <m:t>f</m:t>
                  </m:r>
                </m:e>
                <m:sub>
                  <m:r>
                    <m:t>L</m:t>
                  </m:r>
                </m:sub>
              </m:sSub>
            </m:den>
          </m:f>
        </m:oMath>
      </m:oMathPara>
    </w:p>
    <w:p>
      <w:pPr>
        <w:pStyle w:val="FirstParagraph"/>
      </w:pPr>
      <m:oMathPara>
        <m:oMathParaPr>
          <m:jc m:val="center"/>
        </m:oMathParaPr>
        <m:oMath>
          <m:f>
            <m:fPr>
              <m:type m:val="bar"/>
            </m:fPr>
            <m:num>
              <m:r>
                <m:rPr>
                  <m:sty m:val="p"/>
                </m:rPr>
                <m:t>∂</m:t>
              </m:r>
              <m:r>
                <m:rPr>
                  <m:scr m:val="script"/>
                  <m:sty m:val="p"/>
                </m:rPr>
                <m:t>L</m:t>
              </m:r>
            </m:num>
            <m:den>
              <m:r>
                <m:rPr>
                  <m:sty m:val="p"/>
                </m:rPr>
                <m:t>∂</m:t>
              </m:r>
              <m:r>
                <m:t>K</m:t>
              </m:r>
            </m:den>
          </m:f>
          <m:r>
            <m:rPr>
              <m:sty m:val="p"/>
            </m:rPr>
            <m:t>=</m:t>
          </m:r>
          <m:r>
            <m:t>v</m:t>
          </m:r>
          <m:r>
            <m:rPr>
              <m:sty m:val="p"/>
            </m:rPr>
            <m:t>−</m:t>
          </m:r>
          <m:r>
            <m:t>λ</m:t>
          </m:r>
          <m:sSub>
            <m:e>
              <m:r>
                <m:t>f</m:t>
              </m:r>
            </m:e>
            <m:sub>
              <m:r>
                <m:t>K</m:t>
              </m:r>
            </m:sub>
          </m:sSub>
          <m:r>
            <m:rPr>
              <m:sty m:val="p"/>
            </m:rPr>
            <m:t>=</m:t>
          </m:r>
          <m:r>
            <m:t>0</m:t>
          </m:r>
          <m:r>
            <m:rPr>
              <m:sty m:val="p"/>
            </m:rPr>
            <m:t>⟹</m:t>
          </m:r>
          <m:r>
            <m:t>λ</m:t>
          </m:r>
          <m:r>
            <m:rPr>
              <m:sty m:val="p"/>
            </m:rPr>
            <m:t>=</m:t>
          </m:r>
          <m:f>
            <m:fPr>
              <m:type m:val="bar"/>
            </m:fPr>
            <m:num>
              <m:r>
                <m:t>v</m:t>
              </m:r>
            </m:num>
            <m:den>
              <m:sSub>
                <m:e>
                  <m:r>
                    <m:t>f</m:t>
                  </m:r>
                </m:e>
                <m:sub>
                  <m:r>
                    <m:t>K</m:t>
                  </m:r>
                </m:sub>
              </m:sSub>
            </m:den>
          </m:f>
        </m:oMath>
      </m:oMathPara>
    </w:p>
    <w:p>
      <w:pPr>
        <w:pStyle w:val="FirstParagraph"/>
      </w:pPr>
      <w:r>
        <w:t xml:space="preserve">Igualando:</w:t>
      </w:r>
    </w:p>
    <w:p>
      <w:pPr>
        <w:pStyle w:val="BodyText"/>
      </w:pPr>
      <m:oMathPara>
        <m:oMathParaPr>
          <m:jc m:val="center"/>
        </m:oMathParaPr>
        <m:oMath>
          <m:f>
            <m:fPr>
              <m:type m:val="bar"/>
            </m:fPr>
            <m:num>
              <m:r>
                <m:t>w</m:t>
              </m:r>
            </m:num>
            <m:den>
              <m:sSub>
                <m:e>
                  <m:r>
                    <m:t>f</m:t>
                  </m:r>
                </m:e>
                <m:sub>
                  <m:r>
                    <m:t>L</m:t>
                  </m:r>
                </m:sub>
              </m:sSub>
            </m:den>
          </m:f>
          <m:r>
            <m:rPr>
              <m:sty m:val="p"/>
            </m:rPr>
            <m:t>=</m:t>
          </m:r>
          <m:f>
            <m:fPr>
              <m:type m:val="bar"/>
            </m:fPr>
            <m:num>
              <m:r>
                <m:t>v</m:t>
              </m:r>
            </m:num>
            <m:den>
              <m:sSub>
                <m:e>
                  <m:r>
                    <m:t>f</m:t>
                  </m:r>
                </m:e>
                <m:sub>
                  <m:r>
                    <m:t>K</m:t>
                  </m:r>
                </m:sub>
              </m:sSub>
            </m:den>
          </m:f>
          <m:r>
            <m:rPr>
              <m:sty m:val="p"/>
            </m:rPr>
            <m:t>⟹</m:t>
          </m:r>
          <m:f>
            <m:fPr>
              <m:type m:val="bar"/>
            </m:fPr>
            <m:num>
              <m:sSub>
                <m:e>
                  <m:r>
                    <m:t>f</m:t>
                  </m:r>
                </m:e>
                <m:sub>
                  <m:r>
                    <m:t>L</m:t>
                  </m:r>
                </m:sub>
              </m:sSub>
            </m:num>
            <m:den>
              <m:sSub>
                <m:e>
                  <m:r>
                    <m:t>f</m:t>
                  </m:r>
                </m:e>
                <m:sub>
                  <m:r>
                    <m:t>K</m:t>
                  </m:r>
                </m:sub>
              </m:sSub>
            </m:den>
          </m:f>
          <m:r>
            <m:rPr>
              <m:sty m:val="p"/>
            </m:rPr>
            <m:t>=</m:t>
          </m:r>
          <m:f>
            <m:fPr>
              <m:type m:val="bar"/>
            </m:fPr>
            <m:num>
              <m:r>
                <m:t>w</m:t>
              </m:r>
            </m:num>
            <m:den>
              <m:r>
                <m:t>v</m:t>
              </m:r>
            </m:den>
          </m:f>
          <m:r>
            <m:rPr>
              <m:sty m:val="p"/>
            </m:rPr>
            <m:t>⟹</m:t>
          </m:r>
          <m:sSub>
            <m:e>
              <m:r>
                <m:rPr>
                  <m:sty m:val="p"/>
                </m:rPr>
                <m:t>T</m:t>
              </m:r>
              <m:r>
                <m:rPr>
                  <m:sty m:val="p"/>
                </m:rPr>
                <m:t>M</m:t>
              </m:r>
              <m:r>
                <m:rPr>
                  <m:sty m:val="p"/>
                </m:rPr>
                <m:t>S</m:t>
              </m:r>
              <m:r>
                <m:rPr>
                  <m:sty m:val="p"/>
                </m:rPr>
                <m:t>T</m:t>
              </m:r>
            </m:e>
            <m:sub>
              <m:r>
                <m:t>L</m:t>
              </m:r>
              <m:r>
                <m:rPr>
                  <m:sty m:val="p"/>
                </m:rPr>
                <m:t>,</m:t>
              </m:r>
              <m:r>
                <m:t>K</m:t>
              </m:r>
            </m:sub>
          </m:sSub>
          <m:r>
            <m:rPr>
              <m:sty m:val="p"/>
            </m:rPr>
            <m:t>=</m:t>
          </m:r>
          <m:f>
            <m:fPr>
              <m:type m:val="bar"/>
            </m:fPr>
            <m:num>
              <m:r>
                <m:t>w</m:t>
              </m:r>
            </m:num>
            <m:den>
              <m:r>
                <m:t>v</m:t>
              </m:r>
            </m:den>
          </m:f>
        </m:oMath>
      </m:oMathPara>
    </w:p>
    <w:p>
      <w:pPr>
        <w:pStyle w:val="FirstParagraph"/>
      </w:pPr>
      <w:r>
        <w:t xml:space="preserve">A equação Eq. (eq:11.3) tem uma interpretação econômica elegante e direta: no ótimo, a taxa à qual a firma</w:t>
      </w:r>
      <w:r>
        <w:t xml:space="preserve"> </w:t>
      </w:r>
      <w:r>
        <w:rPr>
          <w:i/>
          <w:iCs/>
        </w:rPr>
        <w:t xml:space="preserve">pode</w:t>
      </w:r>
      <w:r>
        <w:t xml:space="preserve"> </w:t>
      </w:r>
      <w:r>
        <w:t xml:space="preserve">substituir capital por trabalho sem perder produção (a TMST) deve igualar a taxa à qual o mercado</w:t>
      </w:r>
      <w:r>
        <w:t xml:space="preserve"> </w:t>
      </w:r>
      <w:r>
        <w:rPr>
          <w:i/>
          <w:iCs/>
        </w:rPr>
        <w:t xml:space="preserve">permite</w:t>
      </w:r>
      <w:r>
        <w:t xml:space="preserve"> </w:t>
      </w:r>
      <w:r>
        <w:t xml:space="preserve">essa substituição (a razão de preços</w:t>
      </w:r>
      <w:r>
        <w:t xml:space="preserve"> </w:t>
      </w:r>
      <m:oMath>
        <m:r>
          <m:t>w</m:t>
        </m:r>
        <m:r>
          <m:rPr>
            <m:sty m:val="p"/>
          </m:rPr>
          <m:t>/</m:t>
        </m:r>
        <m:r>
          <m:t>v</m:t>
        </m:r>
      </m:oMath>
      <w:r>
        <w:t xml:space="preserve">). Se a TMST fosse maior que</w:t>
      </w:r>
      <w:r>
        <w:t xml:space="preserve"> </w:t>
      </w:r>
      <m:oMath>
        <m:r>
          <m:t>w</m:t>
        </m:r>
        <m:r>
          <m:rPr>
            <m:sty m:val="p"/>
          </m:rPr>
          <m:t>/</m:t>
        </m:r>
        <m:r>
          <m:t>v</m:t>
        </m:r>
      </m:oMath>
      <w:r>
        <w:t xml:space="preserve">, a firma poderia reduzir custos usando mais trabalho e menos capital; se fosse menor, o ajuste inverso seria vantajoso.</w:t>
      </w:r>
    </w:p>
    <w:p>
      <w:pPr>
        <w:pStyle w:val="BlockText"/>
      </w:pPr>
      <w:r>
        <w:rPr>
          <w:b/>
          <w:bCs/>
        </w:rPr>
        <w:t xml:space="preserve">[TEOREMA] Condição de minimização de custos</w:t>
      </w:r>
    </w:p>
    <w:p>
      <w:pPr>
        <w:pStyle w:val="BlockText"/>
      </w:pPr>
      <w:r>
        <w:t xml:space="preserve">No ótimo, a</w:t>
      </w:r>
      <w:r>
        <w:t xml:space="preserve"> </w:t>
      </w:r>
      <w:r>
        <w:rPr>
          <w:b/>
          <w:bCs/>
        </w:rPr>
        <w:t xml:space="preserve">TMST</w:t>
      </w:r>
      <w:r>
        <w:t xml:space="preserve"> </w:t>
      </w:r>
      <w:r>
        <w:t xml:space="preserve">(inclinação da isoquanta) iguala a</w:t>
      </w:r>
      <w:r>
        <w:t xml:space="preserve"> </w:t>
      </w:r>
      <w:r>
        <w:rPr>
          <w:b/>
          <w:bCs/>
        </w:rPr>
        <w:t xml:space="preserve">razão dos preços dos insumos</w:t>
      </w:r>
      <w:r>
        <w:t xml:space="preserve"> </w:t>
      </w:r>
      <w:r>
        <w:t xml:space="preserve">(inclinação da isocusto):</w:t>
      </w:r>
    </w:p>
    <w:p>
      <w:pPr>
        <w:pStyle w:val="BlockText"/>
      </w:pPr>
      <w:r>
        <w:t xml:space="preserve">$$</w:t>
      </w:r>
    </w:p>
    <w:p>
      <w:pPr>
        <w:pStyle w:val="BlockText"/>
      </w:pPr>
      <w:r>
        <w:t xml:space="preserve">_{L,K} =</w:t>
      </w:r>
      <w:r>
        <w:t xml:space="preserve"> </w:t>
      </w:r>
    </w:p>
    <w:p>
      <w:pPr>
        <w:pStyle w:val="BlockText"/>
      </w:pPr>
      <w:r>
        <w:t xml:space="preserve">$$</w:t>
      </w:r>
    </w:p>
    <w:p>
      <w:pPr>
        <w:pStyle w:val="BlockText"/>
      </w:pPr>
      <w:r>
        <w:t xml:space="preserve">Equivalentemente, o produto marginal por unidade monetária gasta deve ser igual para todos os insumos:</w:t>
      </w:r>
    </w:p>
    <w:p>
      <w:pPr>
        <w:pStyle w:val="BlockText"/>
      </w:pPr>
      <w:r>
        <w:t xml:space="preserve">$$</w:t>
      </w:r>
    </w:p>
    <w:p>
      <w:pPr>
        <w:pStyle w:val="BlockText"/>
      </w:pPr>
      <w:r>
        <w:t xml:space="preserve"> </w:t>
      </w:r>
      <w:r>
        <w:t xml:space="preserve">=</w:t>
      </w:r>
      <w:r>
        <w:t xml:space="preserve"> </w:t>
      </w:r>
      <w:r>
        <w:t xml:space="preserve"> </w:t>
      </w:r>
      <w:r>
        <w:t xml:space="preserve"> </w:t>
      </w:r>
    </w:p>
    <w:p>
      <w:pPr>
        <w:pStyle w:val="BlockText"/>
      </w:pPr>
      <w:r>
        <w:t xml:space="preserve">$$</w:t>
      </w:r>
    </w:p>
    <w:bookmarkEnd w:id="702"/>
    <w:bookmarkStart w:id="703" w:name="demandas-condicionadas-por-insumos"/>
    <w:p>
      <w:pPr>
        <w:pStyle w:val="Heading4"/>
      </w:pPr>
      <w:r>
        <w:t xml:space="preserve">Demandas condicionadas por insumos</w:t>
      </w:r>
    </w:p>
    <w:p>
      <w:pPr>
        <w:pStyle w:val="FirstParagraph"/>
      </w:pPr>
      <w:r>
        <w:t xml:space="preserve">A condição de tangência nos diz</w:t>
      </w:r>
      <w:r>
        <w:t xml:space="preserve"> </w:t>
      </w:r>
      <w:r>
        <w:rPr>
          <w:i/>
          <w:iCs/>
        </w:rPr>
        <w:t xml:space="preserve">como</w:t>
      </w:r>
      <w:r>
        <w:t xml:space="preserve"> </w:t>
      </w:r>
      <w:r>
        <w:t xml:space="preserve">os insumos devem ser combinados no ótimo, mas não</w:t>
      </w:r>
      <w:r>
        <w:t xml:space="preserve"> </w:t>
      </w:r>
      <w:r>
        <w:rPr>
          <w:i/>
          <w:iCs/>
        </w:rPr>
        <w:t xml:space="preserve">quanto</w:t>
      </w:r>
      <w:r>
        <w:t xml:space="preserve"> </w:t>
      </w:r>
      <w:r>
        <w:t xml:space="preserve">de cada insumo é necessário. Para isso, precisamos resolver simultaneamente a condição de tangência e a restrição tecnológica</w:t>
      </w:r>
      <w:r>
        <w:t xml:space="preserve"> </w:t>
      </w:r>
      <m:oMath>
        <m:r>
          <m:t>f</m:t>
        </m:r>
        <m:r>
          <m:rPr>
            <m:sty m:val="p"/>
          </m:rPr>
          <m:t>(</m:t>
        </m:r>
        <m:r>
          <m:t>K</m:t>
        </m:r>
        <m:r>
          <m:rPr>
            <m:sty m:val="p"/>
          </m:rPr>
          <m:t>,</m:t>
        </m:r>
        <m:r>
          <m:t>L</m:t>
        </m:r>
        <m:r>
          <m:rPr>
            <m:sty m:val="p"/>
          </m:rPr>
          <m:t>)</m:t>
        </m:r>
        <m:r>
          <m:rPr>
            <m:sty m:val="p"/>
          </m:rPr>
          <m:t>=</m:t>
        </m:r>
        <m:sSub>
          <m:e>
            <m:r>
              <m:t>q</m:t>
            </m:r>
          </m:e>
          <m:sub>
            <m:r>
              <m:t>0</m:t>
            </m:r>
          </m:sub>
        </m:sSub>
      </m:oMath>
      <w:r>
        <w:t xml:space="preserve">. O resultado são as</w:t>
      </w:r>
      <w:r>
        <w:t xml:space="preserve"> </w:t>
      </w:r>
      <w:r>
        <w:rPr>
          <w:b/>
          <w:bCs/>
        </w:rPr>
        <w:t xml:space="preserve">demandas condicionadas</w:t>
      </w:r>
      <w:r>
        <w:t xml:space="preserve"> </w:t>
      </w:r>
      <w:r>
        <w:t xml:space="preserve">por insumos.</w:t>
      </w:r>
    </w:p>
    <w:p>
      <w:pPr>
        <w:pStyle w:val="BodyText"/>
      </w:pPr>
      <w:r>
        <w:t xml:space="preserve">Resolvendo as condições de primeira ordem junto com a restrição</w:t>
      </w:r>
      <w:r>
        <w:t xml:space="preserve"> </w:t>
      </w:r>
      <m:oMath>
        <m:r>
          <m:t>f</m:t>
        </m:r>
        <m:r>
          <m:rPr>
            <m:sty m:val="p"/>
          </m:rPr>
          <m:t>(</m:t>
        </m:r>
        <m:r>
          <m:t>K</m:t>
        </m:r>
        <m:r>
          <m:rPr>
            <m:sty m:val="p"/>
          </m:rPr>
          <m:t>,</m:t>
        </m:r>
        <m:r>
          <m:t>L</m:t>
        </m:r>
        <m:r>
          <m:rPr>
            <m:sty m:val="p"/>
          </m:rPr>
          <m:t>)</m:t>
        </m:r>
        <m:r>
          <m:rPr>
            <m:sty m:val="p"/>
          </m:rPr>
          <m:t>=</m:t>
        </m:r>
        <m:sSub>
          <m:e>
            <m:r>
              <m:t>q</m:t>
            </m:r>
          </m:e>
          <m:sub>
            <m:r>
              <m:t>0</m:t>
            </m:r>
          </m:sub>
        </m:sSub>
      </m:oMath>
      <w:r>
        <w:t xml:space="preserve">, obtemos as</w:t>
      </w:r>
      <w:r>
        <w:t xml:space="preserve"> </w:t>
      </w:r>
      <w:r>
        <w:rPr>
          <w:b/>
          <w:bCs/>
        </w:rPr>
        <w:t xml:space="preserve">demandas condicionadas</w:t>
      </w:r>
      <w:r>
        <w:t xml:space="preserve"> </w:t>
      </w:r>
      <w:r>
        <w:t xml:space="preserve">(ou demandas hicksianas na produção):</w:t>
      </w:r>
    </w:p>
    <w:p>
      <w:pPr>
        <w:pStyle w:val="BodyText"/>
      </w:pPr>
      <m:oMathPara>
        <m:oMathParaPr>
          <m:jc m:val="center"/>
        </m:oMathParaPr>
        <m:oMath>
          <m:sSup>
            <m:e>
              <m:r>
                <m:t>L</m:t>
              </m:r>
            </m:e>
            <m:sup>
              <m:r>
                <m:t>c</m:t>
              </m:r>
            </m:sup>
          </m:sSup>
          <m:r>
            <m:rPr>
              <m:sty m:val="p"/>
            </m:rPr>
            <m:t>=</m:t>
          </m:r>
          <m:sSup>
            <m:e>
              <m:r>
                <m:t>L</m:t>
              </m:r>
            </m:e>
            <m:sup>
              <m:r>
                <m:t>c</m:t>
              </m:r>
            </m:sup>
          </m:sSup>
          <m:r>
            <m:rPr>
              <m:sty m:val="p"/>
            </m:rPr>
            <m:t>(</m:t>
          </m:r>
          <m:r>
            <m:t>w</m:t>
          </m:r>
          <m:r>
            <m:rPr>
              <m:sty m:val="p"/>
            </m:rPr>
            <m:t>,</m:t>
          </m:r>
          <m:r>
            <m:t>v</m:t>
          </m:r>
          <m:r>
            <m:rPr>
              <m:sty m:val="p"/>
            </m:rPr>
            <m:t>,</m:t>
          </m:r>
          <m:r>
            <m:t>q</m:t>
          </m:r>
          <m:r>
            <m:rPr>
              <m:sty m:val="p"/>
            </m:rPr>
            <m:t>)</m:t>
          </m:r>
          <m:r>
            <m:rPr>
              <m:sty m:val="p"/>
            </m:rPr>
            <m:t>,</m:t>
          </m:r>
          <m:r>
            <m:t>  </m:t>
          </m:r>
          <m:sSup>
            <m:e>
              <m:r>
                <m:t>K</m:t>
              </m:r>
            </m:e>
            <m:sup>
              <m:r>
                <m:t>c</m:t>
              </m:r>
            </m:sup>
          </m:sSup>
          <m:r>
            <m:rPr>
              <m:sty m:val="p"/>
            </m:rPr>
            <m:t>=</m:t>
          </m:r>
          <m:sSup>
            <m:e>
              <m:r>
                <m:t>K</m:t>
              </m:r>
            </m:e>
            <m:sup>
              <m:r>
                <m:t>c</m:t>
              </m:r>
            </m:sup>
          </m:sSup>
          <m:r>
            <m:rPr>
              <m:sty m:val="p"/>
            </m:rPr>
            <m:t>(</m:t>
          </m:r>
          <m:r>
            <m:t>w</m:t>
          </m:r>
          <m:r>
            <m:rPr>
              <m:sty m:val="p"/>
            </m:rPr>
            <m:t>,</m:t>
          </m:r>
          <m:r>
            <m:t>v</m:t>
          </m:r>
          <m:r>
            <m:rPr>
              <m:sty m:val="p"/>
            </m:rPr>
            <m:t>,</m:t>
          </m:r>
          <m:r>
            <m:t>q</m:t>
          </m:r>
          <m:r>
            <m:rPr>
              <m:sty m:val="p"/>
            </m:rPr>
            <m:t>)</m:t>
          </m:r>
        </m:oMath>
      </m:oMathPara>
    </w:p>
    <w:p>
      <w:pPr>
        <w:pStyle w:val="FirstParagraph"/>
      </w:pPr>
      <w:r>
        <w:t xml:space="preserve">Estas funções expressam as quantidades ótimas de cada insumo como funções dos preços dos insumos e do nível de produto desejado. O adjetivo</w:t>
      </w:r>
      <w:r>
        <w:t xml:space="preserve"> </w:t>
      </w:r>
      <w:r>
        <w:t xml:space="preserve">“condicionado”</w:t>
      </w:r>
      <w:r>
        <w:t xml:space="preserve"> </w:t>
      </w:r>
      <w:r>
        <w:t xml:space="preserve">refere-se ao condicionamento sobre o nível de produto: diferentemente das demandas por insumos irrestritas (que resultam da maximização direta de lucro), as demandas condicionadas tomam</w:t>
      </w:r>
      <w:r>
        <w:t xml:space="preserve"> </w:t>
      </w:r>
      <m:oMath>
        <m:r>
          <m:t>q</m:t>
        </m:r>
      </m:oMath>
      <w:r>
        <w:t xml:space="preserve"> </w:t>
      </w:r>
      <w:r>
        <w:t xml:space="preserve">como dado e resolvem o problema de minimização de custos. Essa distinção é crucial: a demanda condicional por trabalho pode</w:t>
      </w:r>
      <w:r>
        <w:t xml:space="preserve"> </w:t>
      </w:r>
      <w:r>
        <w:rPr>
          <w:i/>
          <w:iCs/>
        </w:rPr>
        <w:t xml:space="preserve">aumentar</w:t>
      </w:r>
      <w:r>
        <w:t xml:space="preserve"> </w:t>
      </w:r>
      <w:r>
        <w:t xml:space="preserve">quando o salário sobe, se a firma também ajusta o capital — isso não é paradoxo, é consequência de estar condicionando sobre</w:t>
      </w:r>
      <w:r>
        <w:t xml:space="preserve"> </w:t>
      </w:r>
      <m:oMath>
        <m:r>
          <m:t>q</m:t>
        </m:r>
      </m:oMath>
      <w:r>
        <w:t xml:space="preserve">.</w:t>
      </w:r>
    </w:p>
    <w:p>
      <w:pPr>
        <w:pStyle w:val="BodyText"/>
      </w:pPr>
      <w:r>
        <w:t xml:space="preserve">Uma propriedade importante das demandas condicionadas, imediatamente derivada do Capítulo 10, é que elas são homogêneas de grau zero nos preços dos insumos:</w:t>
      </w:r>
      <w:r>
        <w:t xml:space="preserve"> </w:t>
      </w:r>
      <m:oMath>
        <m:sSup>
          <m:e>
            <m:r>
              <m:t>L</m:t>
            </m:r>
          </m:e>
          <m:sup>
            <m:r>
              <m:t>c</m:t>
            </m:r>
          </m:sup>
        </m:sSup>
        <m:r>
          <m:rPr>
            <m:sty m:val="p"/>
          </m:rPr>
          <m:t>(</m:t>
        </m:r>
        <m:r>
          <m:t>t</m:t>
        </m:r>
        <m:r>
          <m:t>w</m:t>
        </m:r>
        <m:r>
          <m:rPr>
            <m:sty m:val="p"/>
          </m:rPr>
          <m:t>,</m:t>
        </m:r>
        <m:r>
          <m:t>t</m:t>
        </m:r>
        <m:r>
          <m:t>v</m:t>
        </m:r>
        <m:r>
          <m:rPr>
            <m:sty m:val="p"/>
          </m:rPr>
          <m:t>,</m:t>
        </m:r>
        <m:r>
          <m:t>q</m:t>
        </m:r>
        <m:r>
          <m:rPr>
            <m:sty m:val="p"/>
          </m:rPr>
          <m:t>)</m:t>
        </m:r>
        <m:r>
          <m:rPr>
            <m:sty m:val="p"/>
          </m:rPr>
          <m:t>=</m:t>
        </m:r>
        <m:sSup>
          <m:e>
            <m:r>
              <m:t>L</m:t>
            </m:r>
          </m:e>
          <m:sup>
            <m:r>
              <m:t>c</m:t>
            </m:r>
          </m:sup>
        </m:sSup>
        <m:r>
          <m:rPr>
            <m:sty m:val="p"/>
          </m:rPr>
          <m:t>(</m:t>
        </m:r>
        <m:r>
          <m:t>w</m:t>
        </m:r>
        <m:r>
          <m:rPr>
            <m:sty m:val="p"/>
          </m:rPr>
          <m:t>,</m:t>
        </m:r>
        <m:r>
          <m:t>v</m:t>
        </m:r>
        <m:r>
          <m:rPr>
            <m:sty m:val="p"/>
          </m:rPr>
          <m:t>,</m:t>
        </m:r>
        <m:r>
          <m:t>q</m:t>
        </m:r>
        <m:r>
          <m:rPr>
            <m:sty m:val="p"/>
          </m:rPr>
          <m:t>)</m:t>
        </m:r>
      </m:oMath>
      <w:r>
        <w:t xml:space="preserve">. Se todos os preços dos insumos dobram, a combinação ótima de insumos não muda — apenas o custo mínimo dobra. Isso é consistente com a homogeneidade de grau 1 da função custo nos preços, que derivaremos na seção seguinte.</w:t>
      </w:r>
    </w:p>
    <w:p>
      <w:pPr>
        <w:pStyle w:val="BlockText"/>
      </w:pPr>
      <w:r>
        <w:rPr>
          <w:b/>
          <w:bCs/>
        </w:rPr>
        <w:t xml:space="preserve">[EXERCICIO RESOLVIDO] Exercício Resolvido 11.2 — Minimização de custos e Lema de Shephard com Cobb-Douglas</w:t>
      </w:r>
    </w:p>
    <w:p>
      <w:pPr>
        <w:pStyle w:val="BlockText"/>
      </w:pPr>
      <w:r>
        <w:rPr>
          <w:b/>
          <w:bCs/>
        </w:rPr>
        <w:t xml:space="preserve">Enunciado.</w:t>
      </w:r>
      <w:r>
        <w:t xml:space="preserve"> </w:t>
      </w:r>
      <w:r>
        <w:t xml:space="preserve">Uma firma tem função de produção</w:t>
      </w:r>
      <w:r>
        <w:t xml:space="preserve"> </w:t>
      </w:r>
      <m:oMath>
        <m:r>
          <m:t>q</m:t>
        </m:r>
        <m:r>
          <m:rPr>
            <m:sty m:val="p"/>
          </m:rPr>
          <m:t>=</m:t>
        </m:r>
        <m:sSup>
          <m:e>
            <m:r>
              <m:t>K</m:t>
            </m:r>
          </m:e>
          <m:sup>
            <m:r>
              <m:t>1</m:t>
            </m:r>
            <m:r>
              <m:rPr>
                <m:sty m:val="p"/>
              </m:rPr>
              <m:t>/</m:t>
            </m:r>
            <m:r>
              <m:t>3</m:t>
            </m:r>
          </m:sup>
        </m:sSup>
        <m:sSup>
          <m:e>
            <m:r>
              <m:t>L</m:t>
            </m:r>
          </m:e>
          <m:sup>
            <m:r>
              <m:t>2</m:t>
            </m:r>
            <m:r>
              <m:rPr>
                <m:sty m:val="p"/>
              </m:rPr>
              <m:t>/</m:t>
            </m:r>
            <m:r>
              <m:t>3</m:t>
            </m:r>
          </m:sup>
        </m:sSup>
      </m:oMath>
      <w:r>
        <w:t xml:space="preserve"> </w:t>
      </w:r>
      <w:r>
        <w:t xml:space="preserve">e enfrenta preços de insumos</w:t>
      </w:r>
      <w:r>
        <w:t xml:space="preserve"> </w:t>
      </w:r>
      <m:oMath>
        <m:r>
          <m:t>w</m:t>
        </m:r>
        <m:r>
          <m:rPr>
            <m:sty m:val="p"/>
          </m:rPr>
          <m:t>=</m:t>
        </m:r>
        <m:r>
          <m:t>8</m:t>
        </m:r>
      </m:oMath>
      <w:r>
        <w:t xml:space="preserve"> </w:t>
      </w:r>
      <w:r>
        <w:t xml:space="preserve">e</w:t>
      </w:r>
      <w:r>
        <w:t xml:space="preserve"> </w:t>
      </w:r>
      <m:oMath>
        <m:r>
          <m:t>v</m:t>
        </m:r>
        <m:r>
          <m:rPr>
            <m:sty m:val="p"/>
          </m:rPr>
          <m:t>=</m:t>
        </m:r>
        <m:r>
          <m:t>2</m:t>
        </m:r>
      </m:oMath>
      <w:r>
        <w:t xml:space="preserve">.</w:t>
      </w:r>
    </w:p>
    <w:p>
      <w:pPr>
        <w:pStyle w:val="BlockText"/>
        <w:numPr>
          <w:ilvl w:val="0"/>
          <w:numId w:val="1676"/>
        </w:numPr>
      </w:pPr>
      <w:r>
        <w:t xml:space="preserve">Derive as demandas condicionadas por insumos.</w:t>
      </w:r>
    </w:p>
    <w:p>
      <w:pPr>
        <w:pStyle w:val="BlockText"/>
        <w:numPr>
          <w:ilvl w:val="0"/>
          <w:numId w:val="1676"/>
        </w:numPr>
      </w:pPr>
      <w:r>
        <w:t xml:space="preserve">Obtenha a função custo.</w:t>
      </w:r>
    </w:p>
    <w:p>
      <w:pPr>
        <w:pStyle w:val="BlockText"/>
        <w:numPr>
          <w:ilvl w:val="0"/>
          <w:numId w:val="1676"/>
        </w:numPr>
      </w:pPr>
      <w:r>
        <w:t xml:space="preserve">Verifique o Lema de Shephard.</w:t>
      </w:r>
    </w:p>
    <w:p>
      <w:pPr>
        <w:pStyle w:val="BlockText"/>
        <w:numPr>
          <w:ilvl w:val="0"/>
          <w:numId w:val="1676"/>
        </w:numPr>
      </w:pPr>
      <w:r>
        <w:t xml:space="preserve">Calcule o custo total, o custo médio e o custo marginal para</w:t>
      </w:r>
      <w:r>
        <w:t xml:space="preserve"> </w:t>
      </w:r>
      <m:oMath>
        <m:r>
          <m:t>q</m:t>
        </m:r>
        <m:r>
          <m:rPr>
            <m:sty m:val="p"/>
          </m:rPr>
          <m:t>=</m:t>
        </m:r>
        <m:r>
          <m:t>10</m:t>
        </m:r>
      </m:oMath>
      <w:r>
        <w:t xml:space="preserve">.</w:t>
      </w:r>
    </w:p>
    <w:p>
      <w:pPr>
        <w:pStyle w:val="BlockText"/>
      </w:pPr>
      <w:r>
        <w:rPr>
          <w:b/>
          <w:bCs/>
        </w:rPr>
        <w:t xml:space="preserve">Solução.</w:t>
      </w:r>
    </w:p>
    <w:p>
      <w:pPr>
        <w:pStyle w:val="BlockText"/>
      </w:pPr>
      <w:r>
        <w:rPr>
          <w:b/>
          <w:bCs/>
        </w:rPr>
        <w:t xml:space="preserve">(a)</w:t>
      </w:r>
      <w:r>
        <w:t xml:space="preserve"> </w:t>
      </w:r>
      <w:r>
        <w:t xml:space="preserve">Com</w:t>
      </w:r>
      <w:r>
        <w:t xml:space="preserve"> </w:t>
      </w:r>
      <m:oMath>
        <m:r>
          <m:t>α</m:t>
        </m:r>
        <m:r>
          <m:rPr>
            <m:sty m:val="p"/>
          </m:rPr>
          <m:t>=</m:t>
        </m:r>
        <m:r>
          <m:t>1</m:t>
        </m:r>
        <m:r>
          <m:rPr>
            <m:sty m:val="p"/>
          </m:rPr>
          <m:t>/</m:t>
        </m:r>
        <m:r>
          <m:t>3</m:t>
        </m:r>
      </m:oMath>
      <w:r>
        <w:t xml:space="preserve"> </w:t>
      </w:r>
      <w:r>
        <w:t xml:space="preserve">e</w:t>
      </w:r>
      <w:r>
        <w:t xml:space="preserve"> </w:t>
      </w:r>
      <m:oMath>
        <m:r>
          <m:t>β</m:t>
        </m:r>
        <m:r>
          <m:rPr>
            <m:sty m:val="p"/>
          </m:rPr>
          <m:t>=</m:t>
        </m:r>
        <m:r>
          <m:t>2</m:t>
        </m:r>
        <m:r>
          <m:rPr>
            <m:sty m:val="p"/>
          </m:rPr>
          <m:t>/</m:t>
        </m:r>
        <m:r>
          <m:t>3</m:t>
        </m:r>
      </m:oMath>
      <w:r>
        <w:t xml:space="preserve"> </w:t>
      </w:r>
      <w:r>
        <w:t xml:space="preserve">(</w:t>
      </w:r>
      <m:oMath>
        <m:r>
          <m:t>α</m:t>
        </m:r>
        <m:r>
          <m:rPr>
            <m:sty m:val="p"/>
          </m:rPr>
          <m:t>+</m:t>
        </m:r>
        <m:r>
          <m:t>β</m:t>
        </m:r>
        <m:r>
          <m:rPr>
            <m:sty m:val="p"/>
          </m:rPr>
          <m:t>=</m:t>
        </m:r>
        <m:r>
          <m:t>1</m:t>
        </m:r>
      </m:oMath>
      <w:r>
        <w:t xml:space="preserve">, retornos constantes), a condição de tangência é:</w:t>
      </w:r>
    </w:p>
    <w:p>
      <w:pPr>
        <w:pStyle w:val="BlockText"/>
      </w:pPr>
      <w:r>
        <w:t xml:space="preserve">$$</w:t>
      </w:r>
    </w:p>
    <w:p>
      <w:pPr>
        <w:pStyle w:val="BlockText"/>
      </w:pPr>
      <w:r>
        <w:t xml:space="preserve"> </w:t>
      </w:r>
      <w:r>
        <w:t xml:space="preserve"> </w:t>
      </w:r>
      <w:r>
        <w:t xml:space="preserve">=</w:t>
      </w:r>
      <w:r>
        <w:t xml:space="preserve"> </w:t>
      </w:r>
      <w:r>
        <w:t xml:space="preserve"> </w:t>
      </w:r>
      <w:r>
        <w:t xml:space="preserve"> </w:t>
      </w:r>
      <w:r>
        <w:t xml:space="preserve"> </w:t>
      </w:r>
      <w:r>
        <w:t xml:space="preserve">=</w:t>
      </w:r>
      <w:r>
        <w:t xml:space="preserve"> </w:t>
      </w:r>
      <w:r>
        <w:t xml:space="preserve"> </w:t>
      </w:r>
      <w:r>
        <w:t xml:space="preserve">=</w:t>
      </w:r>
      <w:r>
        <w:t xml:space="preserve"> </w:t>
      </w:r>
      <w:r>
        <w:t xml:space="preserve"> </w:t>
      </w:r>
      <w:r>
        <w:t xml:space="preserve">L =</w:t>
      </w:r>
      <w:r>
        <w:t xml:space="preserve"> </w:t>
      </w:r>
    </w:p>
    <w:p>
      <w:pPr>
        <w:pStyle w:val="BlockText"/>
      </w:pPr>
      <w:r>
        <w:t xml:space="preserve">$$</w:t>
      </w:r>
    </w:p>
    <w:p>
      <w:pPr>
        <w:pStyle w:val="BlockText"/>
      </w:pPr>
      <w:r>
        <w:t xml:space="preserve">Substituindo na restrição</w:t>
      </w:r>
      <w:r>
        <w:t xml:space="preserve"> </w:t>
      </w:r>
      <m:oMath>
        <m:sSup>
          <m:e>
            <m:r>
              <m:t>K</m:t>
            </m:r>
          </m:e>
          <m:sup>
            <m:r>
              <m:t>1</m:t>
            </m:r>
            <m:r>
              <m:rPr>
                <m:sty m:val="p"/>
              </m:rPr>
              <m:t>/</m:t>
            </m:r>
            <m:r>
              <m:t>3</m:t>
            </m:r>
          </m:sup>
        </m:sSup>
        <m:sSup>
          <m:e>
            <m:r>
              <m:t>L</m:t>
            </m:r>
          </m:e>
          <m:sup>
            <m:r>
              <m:t>2</m:t>
            </m:r>
            <m:r>
              <m:rPr>
                <m:sty m:val="p"/>
              </m:rPr>
              <m:t>/</m:t>
            </m:r>
            <m:r>
              <m:t>3</m:t>
            </m:r>
          </m:sup>
        </m:sSup>
        <m:r>
          <m:rPr>
            <m:sty m:val="p"/>
          </m:rPr>
          <m:t>=</m:t>
        </m:r>
        <m:r>
          <m:t>q</m:t>
        </m:r>
      </m:oMath>
      <w:r>
        <w:t xml:space="preserve">:</w:t>
      </w:r>
    </w:p>
    <w:p>
      <w:pPr>
        <w:pStyle w:val="BlockText"/>
      </w:pPr>
      <w:r>
        <w:t xml:space="preserve">$$</w:t>
      </w:r>
    </w:p>
    <w:p>
      <w:pPr>
        <w:pStyle w:val="BlockText"/>
      </w:pPr>
      <w:r>
        <w:t xml:space="preserve">K^{1/3}</w:t>
      </w:r>
      <w:r>
        <w:t xml:space="preserve"> </w:t>
      </w:r>
      <w:r>
        <w:t xml:space="preserve">(</w:t>
      </w:r>
      <w:r>
        <w:t xml:space="preserve">)^{2/3} = q</w:t>
      </w:r>
      <w:r>
        <w:t xml:space="preserve"> </w:t>
      </w:r>
      <w:r>
        <w:t xml:space="preserve"> </w:t>
      </w:r>
      <w:r>
        <w:t xml:space="preserve">= q</w:t>
      </w:r>
      <w:r>
        <w:t xml:space="preserve"> </w:t>
      </w:r>
      <w:r>
        <w:t xml:space="preserve">K^c = 2^{2/3} q</w:t>
      </w:r>
    </w:p>
    <w:p>
      <w:pPr>
        <w:pStyle w:val="BlockText"/>
      </w:pPr>
      <w:r>
        <w:t xml:space="preserve">$$</w:t>
      </w:r>
    </w:p>
    <w:p>
      <w:pPr>
        <w:pStyle w:val="BlockText"/>
      </w:pPr>
      <w:r>
        <w:t xml:space="preserve">$$</w:t>
      </w:r>
    </w:p>
    <w:p>
      <w:pPr>
        <w:pStyle w:val="BlockText"/>
      </w:pPr>
      <w:r>
        <w:t xml:space="preserve">L^c =</w:t>
      </w:r>
      <w:r>
        <w:t xml:space="preserve"> </w:t>
      </w:r>
      <w:r>
        <w:t xml:space="preserve"> </w:t>
      </w:r>
      <w:r>
        <w:t xml:space="preserve">=</w:t>
      </w:r>
      <w:r>
        <w:t xml:space="preserve"> </w:t>
      </w:r>
      <w:r>
        <w:t xml:space="preserve"> </w:t>
      </w:r>
      <w:r>
        <w:t xml:space="preserve">= 2^{-1/3} q</w:t>
      </w:r>
    </w:p>
    <w:p>
      <w:pPr>
        <w:pStyle w:val="BlockText"/>
      </w:pPr>
      <w:r>
        <w:t xml:space="preserve">$$</w:t>
      </w:r>
    </w:p>
    <w:p>
      <w:pPr>
        <w:pStyle w:val="BlockText"/>
      </w:pPr>
      <w:r>
        <w:rPr>
          <w:b/>
          <w:bCs/>
        </w:rPr>
        <w:t xml:space="preserve">(b)</w:t>
      </w:r>
      <w:r>
        <w:t xml:space="preserve"> </w:t>
      </w:r>
      <w:r>
        <w:t xml:space="preserve">Função custo:</w:t>
      </w:r>
    </w:p>
    <w:p>
      <w:pPr>
        <w:pStyle w:val="BlockText"/>
      </w:pPr>
      <w:r>
        <w:t xml:space="preserve">$$</w:t>
      </w:r>
    </w:p>
    <w:p>
      <w:pPr>
        <w:pStyle w:val="BlockText"/>
      </w:pPr>
      <w:r>
        <w:t xml:space="preserve">C = vK^c + wL^c = 2</w:t>
      </w:r>
      <w:r>
        <w:t xml:space="preserve"> </w:t>
      </w:r>
      <w:r>
        <w:t xml:space="preserve">^{2/3} q + 8</w:t>
      </w:r>
      <w:r>
        <w:t xml:space="preserve"> </w:t>
      </w:r>
      <w:r>
        <w:t xml:space="preserve">^{-1/3} q = 2^{5/3} q + 2^{8/3} q = 3</w:t>
      </w:r>
      <w:r>
        <w:t xml:space="preserve"> </w:t>
      </w:r>
      <w:r>
        <w:t xml:space="preserve">^{5/3} q</w:t>
      </w:r>
      <w:r>
        <w:t xml:space="preserve"> </w:t>
      </w:r>
      <w:r>
        <w:t xml:space="preserve">52, q</w:t>
      </w:r>
    </w:p>
    <w:p>
      <w:pPr>
        <w:pStyle w:val="BlockText"/>
      </w:pPr>
      <w:r>
        <w:t xml:space="preserve">$$</w:t>
      </w:r>
    </w:p>
    <w:p>
      <w:pPr>
        <w:pStyle w:val="BlockText"/>
      </w:pPr>
      <w:r>
        <w:rPr>
          <w:b/>
          <w:bCs/>
        </w:rPr>
        <w:t xml:space="preserve">(c)</w:t>
      </w:r>
      <w:r>
        <w:t xml:space="preserve"> </w:t>
      </w:r>
      <w:r>
        <w:t xml:space="preserve">Para</w:t>
      </w:r>
      <w:r>
        <w:t xml:space="preserve"> </w:t>
      </w:r>
      <m:oMath>
        <m:r>
          <m:t>q</m:t>
        </m:r>
        <m:r>
          <m:rPr>
            <m:sty m:val="p"/>
          </m:rPr>
          <m:t>=</m:t>
        </m:r>
        <m:sSup>
          <m:e>
            <m:r>
              <m:t>K</m:t>
            </m:r>
          </m:e>
          <m:sup>
            <m:r>
              <m:t>1</m:t>
            </m:r>
            <m:r>
              <m:rPr>
                <m:sty m:val="p"/>
              </m:rPr>
              <m:t>/</m:t>
            </m:r>
            <m:r>
              <m:t>3</m:t>
            </m:r>
          </m:sup>
        </m:sSup>
        <m:sSup>
          <m:e>
            <m:r>
              <m:t>L</m:t>
            </m:r>
          </m:e>
          <m:sup>
            <m:r>
              <m:t>2</m:t>
            </m:r>
            <m:r>
              <m:rPr>
                <m:sty m:val="p"/>
              </m:rPr>
              <m:t>/</m:t>
            </m:r>
            <m:r>
              <m:t>3</m:t>
            </m:r>
          </m:sup>
        </m:sSup>
      </m:oMath>
      <w:r>
        <w:t xml:space="preserve">, a função custo geral é</w:t>
      </w:r>
      <w:r>
        <w:t xml:space="preserve"> </w:t>
      </w:r>
      <m:oMath>
        <m:r>
          <m:t>C</m:t>
        </m:r>
        <m:r>
          <m:rPr>
            <m:sty m:val="p"/>
          </m:rPr>
          <m:t>=</m:t>
        </m:r>
        <m:r>
          <m:t>κ</m:t>
        </m:r>
        <m:r>
          <m:rPr>
            <m:sty m:val="p"/>
          </m:rPr>
          <m:t>⋅</m:t>
        </m:r>
        <m:sSup>
          <m:e>
            <m:r>
              <m:t>w</m:t>
            </m:r>
          </m:e>
          <m:sup>
            <m:r>
              <m:t>2</m:t>
            </m:r>
            <m:r>
              <m:rPr>
                <m:sty m:val="p"/>
              </m:rPr>
              <m:t>/</m:t>
            </m:r>
            <m:r>
              <m:t>3</m:t>
            </m:r>
          </m:sup>
        </m:sSup>
        <m:sSup>
          <m:e>
            <m:r>
              <m:t>v</m:t>
            </m:r>
          </m:e>
          <m:sup>
            <m:r>
              <m:t>1</m:t>
            </m:r>
            <m:r>
              <m:rPr>
                <m:sty m:val="p"/>
              </m:rPr>
              <m:t>/</m:t>
            </m:r>
            <m:r>
              <m:t>3</m:t>
            </m:r>
          </m:sup>
        </m:sSup>
        <m:r>
          <m:t>q</m:t>
        </m:r>
      </m:oMath>
      <w:r>
        <w:t xml:space="preserve">, onde</w:t>
      </w:r>
      <w:r>
        <w:t xml:space="preserve"> </w:t>
      </w:r>
      <m:oMath>
        <m:r>
          <m:t>κ</m:t>
        </m:r>
        <m:r>
          <m:rPr>
            <m:sty m:val="p"/>
          </m:rPr>
          <m:t>=</m:t>
        </m:r>
        <m:r>
          <m:t>3</m:t>
        </m:r>
        <m:r>
          <m:rPr>
            <m:sty m:val="p"/>
          </m:rPr>
          <m:t>/</m:t>
        </m:r>
        <m:r>
          <m:rPr>
            <m:sty m:val="p"/>
          </m:rPr>
          <m:t>(</m:t>
        </m:r>
        <m:sSup>
          <m:e>
            <m:r>
              <m:t>2</m:t>
            </m:r>
          </m:e>
          <m:sup>
            <m:r>
              <m:t>2</m:t>
            </m:r>
            <m:r>
              <m:rPr>
                <m:sty m:val="p"/>
              </m:rPr>
              <m:t>/</m:t>
            </m:r>
            <m:r>
              <m:t>3</m:t>
            </m:r>
          </m:sup>
        </m:sSup>
        <m:r>
          <m:rPr>
            <m:sty m:val="p"/>
          </m:rPr>
          <m:t>)</m:t>
        </m:r>
      </m:oMath>
      <w:r>
        <w:t xml:space="preserve">. Então:</w:t>
      </w:r>
    </w:p>
    <w:p>
      <w:pPr>
        <w:pStyle w:val="BlockText"/>
      </w:pPr>
      <w:r>
        <w:t xml:space="preserve">$$</w:t>
      </w:r>
    </w:p>
    <w:p>
      <w:pPr>
        <w:pStyle w:val="BlockText"/>
      </w:pPr>
      <w:r>
        <w:t xml:space="preserve"> </w:t>
      </w:r>
      <w:r>
        <w:t xml:space="preserve">=</w:t>
      </w:r>
      <w:r>
        <w:t xml:space="preserve"> </w:t>
      </w:r>
      <w:r>
        <w:t xml:space="preserve"> </w:t>
      </w:r>
      <w:r>
        <w:t xml:space="preserve">w^{-1/3} v^{1/3} q = L^c</w:t>
      </w:r>
      <w:r>
        <w:t xml:space="preserve"> </w:t>
      </w:r>
    </w:p>
    <w:p>
      <w:pPr>
        <w:pStyle w:val="BlockText"/>
      </w:pPr>
      <w:r>
        <w:t xml:space="preserve">$$</w:t>
      </w:r>
    </w:p>
    <w:p>
      <w:pPr>
        <w:pStyle w:val="BlockText"/>
      </w:pPr>
      <w:r>
        <w:rPr>
          <w:b/>
          <w:bCs/>
        </w:rPr>
        <w:t xml:space="preserve">(d)</w:t>
      </w:r>
      <w:r>
        <w:t xml:space="preserve"> </w:t>
      </w:r>
      <w:r>
        <w:t xml:space="preserve">Para</w:t>
      </w:r>
      <w:r>
        <w:t xml:space="preserve"> </w:t>
      </w:r>
      <m:oMath>
        <m:r>
          <m:t>q</m:t>
        </m:r>
        <m:r>
          <m:rPr>
            <m:sty m:val="p"/>
          </m:rPr>
          <m:t>=</m:t>
        </m:r>
        <m:r>
          <m:t>10</m:t>
        </m:r>
      </m:oMath>
      <w:r>
        <w:t xml:space="preserve">:</w:t>
      </w:r>
      <w:r>
        <w:t xml:space="preserve"> </w:t>
      </w:r>
      <m:oMath>
        <m:r>
          <m:t>C</m:t>
        </m:r>
        <m:r>
          <m:t>T</m:t>
        </m:r>
        <m:r>
          <m:rPr>
            <m:sty m:val="p"/>
          </m:rPr>
          <m:t>=</m:t>
        </m:r>
        <m:r>
          <m:t>3</m:t>
        </m:r>
        <m:r>
          <m:rPr>
            <m:sty m:val="p"/>
          </m:rPr>
          <m:t>⋅</m:t>
        </m:r>
        <m:sSup>
          <m:e>
            <m:r>
              <m:t>2</m:t>
            </m:r>
          </m:e>
          <m:sup>
            <m:r>
              <m:t>5</m:t>
            </m:r>
            <m:r>
              <m:rPr>
                <m:sty m:val="p"/>
              </m:rPr>
              <m:t>/</m:t>
            </m:r>
            <m:r>
              <m:t>3</m:t>
            </m:r>
          </m:sup>
        </m:sSup>
        <m:r>
          <m:rPr>
            <m:sty m:val="p"/>
          </m:rPr>
          <m:t>⋅</m:t>
        </m:r>
        <m:r>
          <m:t>10</m:t>
        </m:r>
        <m:r>
          <m:rPr>
            <m:sty m:val="p"/>
          </m:rPr>
          <m:t>≈</m:t>
        </m:r>
        <m:r>
          <m:t>95</m:t>
        </m:r>
        <m:r>
          <m:rPr>
            <m:sty m:val="p"/>
          </m:rPr>
          <m:t>,</m:t>
        </m:r>
        <m:r>
          <m:t>2</m:t>
        </m:r>
      </m:oMath>
      <w:r>
        <w:t xml:space="preserve">. Como</w:t>
      </w:r>
      <w:r>
        <w:t xml:space="preserve"> </w:t>
      </w:r>
      <m:oMath>
        <m:r>
          <m:t>α</m:t>
        </m:r>
        <m:r>
          <m:rPr>
            <m:sty m:val="p"/>
          </m:rPr>
          <m:t>+</m:t>
        </m:r>
        <m:r>
          <m:t>β</m:t>
        </m:r>
        <m:r>
          <m:rPr>
            <m:sty m:val="p"/>
          </m:rPr>
          <m:t>=</m:t>
        </m:r>
        <m:r>
          <m:t>1</m:t>
        </m:r>
      </m:oMath>
      <w:r>
        <w:t xml:space="preserve"> </w:t>
      </w:r>
      <w:r>
        <w:t xml:space="preserve">(retornos constantes),</w:t>
      </w:r>
      <w:r>
        <w:t xml:space="preserve"> </w:t>
      </w:r>
      <m:oMath>
        <m:r>
          <m:t>C</m:t>
        </m:r>
      </m:oMath>
      <w:r>
        <w:t xml:space="preserve"> </w:t>
      </w:r>
      <w:r>
        <w:t xml:space="preserve">é linear em</w:t>
      </w:r>
      <w:r>
        <w:t xml:space="preserve"> </w:t>
      </w:r>
      <m:oMath>
        <m:r>
          <m:t>q</m:t>
        </m:r>
      </m:oMath>
      <w:r>
        <w:t xml:space="preserve">:</w:t>
      </w:r>
    </w:p>
    <w:p>
      <w:pPr>
        <w:pStyle w:val="BlockText"/>
      </w:pPr>
      <w:r>
        <w:t xml:space="preserve">$$</w:t>
      </w:r>
    </w:p>
    <w:p>
      <w:pPr>
        <w:pStyle w:val="BlockText"/>
      </w:pPr>
      <w:r>
        <w:t xml:space="preserve"> </w:t>
      </w:r>
      <w:r>
        <w:t xml:space="preserve">=</w:t>
      </w:r>
      <w:r>
        <w:t xml:space="preserve"> </w:t>
      </w:r>
      <w:r>
        <w:t xml:space="preserve"> </w:t>
      </w:r>
      <w:r>
        <w:t xml:space="preserve">= 3</w:t>
      </w:r>
      <w:r>
        <w:t xml:space="preserve"> </w:t>
      </w:r>
      <w:r>
        <w:t xml:space="preserve">^{5/3}</w:t>
      </w:r>
      <w:r>
        <w:t xml:space="preserve"> </w:t>
      </w:r>
      <w:r>
        <w:t xml:space="preserve">52</w:t>
      </w:r>
    </w:p>
    <w:p>
      <w:pPr>
        <w:pStyle w:val="BlockText"/>
      </w:pPr>
      <w:r>
        <w:t xml:space="preserve">$$</w:t>
      </w:r>
    </w:p>
    <w:p>
      <w:pPr>
        <w:pStyle w:val="BlockText"/>
      </w:pPr>
      <w:r>
        <w:t xml:space="preserve">O custo médio e o custo marginal são constantes e iguais — consequência direta dos retornos constantes de escala.</w:t>
      </w:r>
    </w:p>
    <w:p>
      <w:pPr>
        <w:pStyle w:val="FirstParagraph"/>
      </w:pPr>
      <w:r>
        <w:t xml:space="preserve">[FIGURA INTERATIVA: /micro-book/graficos/cap11/webr-minimizacao-custo.html — versao interativa disponivel online]</w:t>
      </w:r>
    </w:p>
    <w:p>
      <w:pPr>
        <w:pStyle w:val="BodyText"/>
      </w:pPr>
      <w:r>
        <w:rPr>
          <w:b/>
          <w:bCs/>
        </w:rPr>
        <w:t xml:space="preserve">WebR 11.2 — Minimização de custo: isoquanta e isocusto.</w:t>
      </w:r>
      <w:r>
        <w:t xml:space="preserve"> </w:t>
      </w:r>
      <w:r>
        <w:t xml:space="preserve">O código resolve o problema de minimização de custo para uma Cobb-Douglas genérica e plota a isoquanta, a isocusto ótima e o caminho de expansão. Altere</w:t>
      </w:r>
      <w:r>
        <w:t xml:space="preserve"> </w:t>
      </w:r>
      <w:r>
        <w:rPr>
          <w:rStyle w:val="VerbatimChar"/>
        </w:rPr>
        <w:t xml:space="preserve">alpha</w:t>
      </w:r>
      <w:r>
        <w:t xml:space="preserve">,</w:t>
      </w:r>
      <w:r>
        <w:t xml:space="preserve"> </w:t>
      </w:r>
      <w:r>
        <w:rPr>
          <w:rStyle w:val="VerbatimChar"/>
        </w:rPr>
        <w:t xml:space="preserve">beta</w:t>
      </w:r>
      <w:r>
        <w:t xml:space="preserve">,</w:t>
      </w:r>
      <w:r>
        <w:t xml:space="preserve"> </w:t>
      </w:r>
      <w:r>
        <w:rPr>
          <w:rStyle w:val="VerbatimChar"/>
        </w:rPr>
        <w:t xml:space="preserve">w</w:t>
      </w:r>
      <w:r>
        <w:t xml:space="preserve">,</w:t>
      </w:r>
      <w:r>
        <w:t xml:space="preserve"> </w:t>
      </w:r>
      <w:r>
        <w:rPr>
          <w:rStyle w:val="VerbatimChar"/>
        </w:rPr>
        <w:t xml:space="preserve">v</w:t>
      </w:r>
      <w:r>
        <w:t xml:space="preserve"> </w:t>
      </w:r>
      <w:r>
        <w:t xml:space="preserve">e</w:t>
      </w:r>
      <w:r>
        <w:t xml:space="preserve"> </w:t>
      </w:r>
      <w:r>
        <w:rPr>
          <w:rStyle w:val="VerbatimChar"/>
        </w:rPr>
        <w:t xml:space="preserve">q0</w:t>
      </w:r>
      <w:r>
        <w:t xml:space="preserve"> </w:t>
      </w:r>
      <w:r>
        <w:t xml:space="preserve">para ver como a combinação ótima de insumos responde a mudanças nos parâmetros.</w:t>
      </w:r>
    </w:p>
    <w:p>
      <w:r>
        <w:pict>
          <v:rect style="width:0;height:1.5pt" o:hralign="center" o:hrstd="t" o:hr="t"/>
        </w:pict>
      </w:r>
    </w:p>
    <w:bookmarkEnd w:id="703"/>
    <w:bookmarkEnd w:id="704"/>
    <w:bookmarkStart w:id="708" w:name="Xcb7937db58ec9dea0c47db88463d85e81143032"/>
    <w:p>
      <w:pPr>
        <w:pStyle w:val="Heading3"/>
      </w:pPr>
      <w:r>
        <w:t xml:space="preserve">11.4 O Extrato Bancário da Firma Eficiente: Função Custo e Lema de Shephard</w:t>
      </w:r>
    </w:p>
    <w:p>
      <w:pPr>
        <w:pStyle w:val="FirstParagraph"/>
      </w:pPr>
      <w:r>
        <w:t xml:space="preserve">Na seção anterior, descobrimos</w:t>
      </w:r>
      <w:r>
        <w:t xml:space="preserve"> </w:t>
      </w:r>
      <w:r>
        <w:rPr>
          <w:i/>
          <w:iCs/>
        </w:rPr>
        <w:t xml:space="preserve">quanto</w:t>
      </w:r>
      <w:r>
        <w:t xml:space="preserve"> </w:t>
      </w:r>
      <w:r>
        <w:t xml:space="preserve">de cada insumo a firma usa para produzir ao menor custo. Agora vem o passo mágico: plugamos essas quantidades ótimas de volta na conta e obtemos a</w:t>
      </w:r>
      <w:r>
        <w:t xml:space="preserve"> </w:t>
      </w:r>
      <w:r>
        <w:rPr>
          <w:b/>
          <w:bCs/>
        </w:rPr>
        <w:t xml:space="preserve">função custo</w:t>
      </w:r>
      <w:r>
        <w:t xml:space="preserve"> </w:t>
      </w:r>
      <w:r>
        <w:t xml:space="preserve">— uma fórmula compacta que resume tudo o que a firma precisa saber sobre tecnologia e preços num único número: o custo mínimo para cada nível de produção. É o</w:t>
      </w:r>
      <w:r>
        <w:t xml:space="preserve"> </w:t>
      </w:r>
      <w:r>
        <w:t xml:space="preserve">“extrato bancário”</w:t>
      </w:r>
      <w:r>
        <w:t xml:space="preserve"> </w:t>
      </w:r>
      <w:r>
        <w:t xml:space="preserve">da firma eficiente. E dessa função brota um dos resultados mais bonitos da microeconomia: o Lema de Shephard, que permite recuperar as demandas por insumos simplesmente derivando a função custo.</w:t>
      </w:r>
      <w:r>
        <w:rPr>
          <w:rStyle w:val="FootnoteReference"/>
        </w:rPr>
        <w:footnoteReference w:id="705"/>
      </w:r>
    </w:p>
    <w:p>
      <w:pPr>
        <w:pStyle w:val="BodyText"/>
      </w:pPr>
      <w:r>
        <w:t xml:space="preserve">A importância da função custo vai além da conveniência analítica. Empiricamente, custos são observáveis (aparecem nos balanços das firmas), enquanto as funções de produção são difíceis de mensurar diretamente. Por isso, a abordagem dual — estimar a função custo a partir de dados observados e recuperar as propriedades da tecnologia de produção por meio de derivações — tornou-se o método predominante na economia industrial e na regulação. Christensen e Greene (1976), em um artigo clássico discutido na seção de pesquisa, estimaram funções de custo para firmas de energia elétrica nos EUA e extraíram informações sobre economias de escala sem nunca precisar observar a tecnologia de produção diretamente.</w:t>
      </w:r>
    </w:p>
    <w:bookmarkStart w:id="706" w:name="a-função-custo"/>
    <w:p>
      <w:pPr>
        <w:pStyle w:val="Heading4"/>
      </w:pPr>
      <w:r>
        <w:t xml:space="preserve">A função custo</w:t>
      </w:r>
    </w:p>
    <w:p>
      <w:pPr>
        <w:pStyle w:val="BlockText"/>
      </w:pPr>
      <w:r>
        <w:rPr>
          <w:b/>
          <w:bCs/>
        </w:rPr>
        <w:t xml:space="preserve">[DEFINICAO] Função custo</w:t>
      </w:r>
    </w:p>
    <w:p>
      <w:pPr>
        <w:pStyle w:val="BlockText"/>
      </w:pPr>
      <w:r>
        <w:t xml:space="preserve">A</w:t>
      </w:r>
      <w:r>
        <w:t xml:space="preserve"> </w:t>
      </w:r>
      <w:r>
        <w:rPr>
          <w:b/>
          <w:bCs/>
        </w:rPr>
        <w:t xml:space="preserve">função custo</w:t>
      </w:r>
      <w:r>
        <w:t xml:space="preserve"> </w:t>
      </w:r>
      <m:oMath>
        <m:r>
          <m:t>C</m:t>
        </m:r>
        <m:r>
          <m:rPr>
            <m:sty m:val="p"/>
          </m:rPr>
          <m:t>(</m:t>
        </m:r>
        <m:r>
          <m:t>w</m:t>
        </m:r>
        <m:r>
          <m:rPr>
            <m:sty m:val="p"/>
          </m:rPr>
          <m:t>,</m:t>
        </m:r>
        <m:r>
          <m:t>v</m:t>
        </m:r>
        <m:r>
          <m:rPr>
            <m:sty m:val="p"/>
          </m:rPr>
          <m:t>,</m:t>
        </m:r>
        <m:r>
          <m:t>q</m:t>
        </m:r>
        <m:r>
          <m:rPr>
            <m:sty m:val="p"/>
          </m:rPr>
          <m:t>)</m:t>
        </m:r>
      </m:oMath>
      <w:r>
        <w:t xml:space="preserve"> </w:t>
      </w:r>
      <w:r>
        <w:t xml:space="preserve">é o valor mínimo do custo de produzir</w:t>
      </w:r>
      <w:r>
        <w:t xml:space="preserve"> </w:t>
      </w:r>
      <m:oMath>
        <m:r>
          <m:t>q</m:t>
        </m:r>
      </m:oMath>
      <w:r>
        <w:t xml:space="preserve"> </w:t>
      </w:r>
      <w:r>
        <w:t xml:space="preserve">unidades, dados os preços dos insumos</w:t>
      </w:r>
      <w:r>
        <w:t xml:space="preserve"> </w:t>
      </w:r>
      <m:oMath>
        <m:r>
          <m:t>w</m:t>
        </m:r>
      </m:oMath>
      <w:r>
        <w:t xml:space="preserve"> </w:t>
      </w:r>
      <w:r>
        <w:t xml:space="preserve">e</w:t>
      </w:r>
      <w:r>
        <w:t xml:space="preserve"> </w:t>
      </w:r>
      <m:oMath>
        <m:r>
          <m:t>v</m:t>
        </m:r>
      </m:oMath>
      <w:r>
        <w:t xml:space="preserve">:</w:t>
      </w:r>
    </w:p>
    <w:p>
      <w:pPr>
        <w:pStyle w:val="BlockText"/>
      </w:pPr>
      <w:r>
        <w:t xml:space="preserve">$$</w:t>
      </w:r>
    </w:p>
    <w:p>
      <w:pPr>
        <w:pStyle w:val="BlockText"/>
      </w:pPr>
      <w:r>
        <w:t xml:space="preserve">C(w, v, q) = wL^c(w, v, q) + vK^c(w, v, q)</w:t>
      </w:r>
      <w:r>
        <w:t xml:space="preserve"> </w:t>
      </w:r>
      <w:r>
        <w:t xml:space="preserve"> </w:t>
      </w:r>
    </w:p>
    <w:p>
      <w:pPr>
        <w:pStyle w:val="BlockText"/>
      </w:pPr>
      <w:r>
        <w:t xml:space="preserve">$$</w:t>
      </w:r>
    </w:p>
    <w:p>
      <w:pPr>
        <w:pStyle w:val="FirstParagraph"/>
      </w:pPr>
      <w:r>
        <w:t xml:space="preserve">A função custo possui as seguintes propriedades:</w:t>
      </w:r>
    </w:p>
    <w:p>
      <w:pPr>
        <w:pStyle w:val="Compact"/>
        <w:numPr>
          <w:ilvl w:val="0"/>
          <w:numId w:val="1677"/>
        </w:numPr>
      </w:pPr>
      <w:r>
        <w:rPr>
          <w:b/>
          <w:bCs/>
        </w:rPr>
        <w:t xml:space="preserve">Não decrescente</w:t>
      </w:r>
      <w:r>
        <w:t xml:space="preserve"> </w:t>
      </w:r>
      <w:r>
        <w:t xml:space="preserve">em</w:t>
      </w:r>
      <w:r>
        <w:t xml:space="preserve"> </w:t>
      </w:r>
      <m:oMath>
        <m:r>
          <m:t>w</m:t>
        </m:r>
      </m:oMath>
      <w:r>
        <w:t xml:space="preserve">,</w:t>
      </w:r>
      <w:r>
        <w:t xml:space="preserve"> </w:t>
      </w:r>
      <m:oMath>
        <m:r>
          <m:t>v</m:t>
        </m:r>
      </m:oMath>
      <w:r>
        <w:t xml:space="preserve"> </w:t>
      </w:r>
      <w:r>
        <w:t xml:space="preserve">e</w:t>
      </w:r>
      <w:r>
        <w:t xml:space="preserve"> </w:t>
      </w:r>
      <m:oMath>
        <m:r>
          <m:t>q</m:t>
        </m:r>
      </m:oMath>
      <w:r>
        <w:t xml:space="preserve">.</w:t>
      </w:r>
    </w:p>
    <w:p>
      <w:pPr>
        <w:pStyle w:val="Compact"/>
        <w:numPr>
          <w:ilvl w:val="0"/>
          <w:numId w:val="1677"/>
        </w:numPr>
      </w:pPr>
      <w:r>
        <w:rPr>
          <w:b/>
          <w:bCs/>
        </w:rPr>
        <w:t xml:space="preserve">Homogênea de grau 1</w:t>
      </w:r>
      <w:r>
        <w:t xml:space="preserve"> </w:t>
      </w:r>
      <w:r>
        <w:t xml:space="preserve">nos preços dos insumos:</w:t>
      </w:r>
      <w:r>
        <w:t xml:space="preserve"> </w:t>
      </w:r>
      <m:oMath>
        <m:r>
          <m:t>C</m:t>
        </m:r>
        <m:r>
          <m:rPr>
            <m:sty m:val="p"/>
          </m:rPr>
          <m:t>(</m:t>
        </m:r>
        <m:r>
          <m:t>t</m:t>
        </m:r>
        <m:r>
          <m:t>w</m:t>
        </m:r>
        <m:r>
          <m:rPr>
            <m:sty m:val="p"/>
          </m:rPr>
          <m:t>,</m:t>
        </m:r>
        <m:r>
          <m:t>t</m:t>
        </m:r>
        <m:r>
          <m:t>r</m:t>
        </m:r>
        <m:r>
          <m:rPr>
            <m:sty m:val="p"/>
          </m:rPr>
          <m:t>,</m:t>
        </m:r>
        <m:r>
          <m:t>q</m:t>
        </m:r>
        <m:r>
          <m:rPr>
            <m:sty m:val="p"/>
          </m:rPr>
          <m:t>)</m:t>
        </m:r>
        <m:r>
          <m:rPr>
            <m:sty m:val="p"/>
          </m:rPr>
          <m:t>=</m:t>
        </m:r>
        <m:r>
          <m:t>t</m:t>
        </m:r>
        <m:r>
          <m:t>C</m:t>
        </m:r>
        <m:r>
          <m:rPr>
            <m:sty m:val="p"/>
          </m:rPr>
          <m:t>(</m:t>
        </m:r>
        <m:r>
          <m:t>w</m:t>
        </m:r>
        <m:r>
          <m:rPr>
            <m:sty m:val="p"/>
          </m:rPr>
          <m:t>,</m:t>
        </m:r>
        <m:r>
          <m:t>v</m:t>
        </m:r>
        <m:r>
          <m:rPr>
            <m:sty m:val="p"/>
          </m:rPr>
          <m:t>,</m:t>
        </m:r>
        <m:r>
          <m:t>q</m:t>
        </m:r>
        <m:r>
          <m:rPr>
            <m:sty m:val="p"/>
          </m:rPr>
          <m:t>)</m:t>
        </m:r>
      </m:oMath>
      <w:r>
        <w:t xml:space="preserve">. Se todos os preços dos insumos dobram, o custo mínimo dobra.</w:t>
      </w:r>
    </w:p>
    <w:p>
      <w:pPr>
        <w:pStyle w:val="Compact"/>
        <w:numPr>
          <w:ilvl w:val="0"/>
          <w:numId w:val="1677"/>
        </w:numPr>
      </w:pPr>
      <w:r>
        <w:rPr>
          <w:b/>
          <w:bCs/>
        </w:rPr>
        <w:t xml:space="preserve">Côncava</w:t>
      </w:r>
      <w:r>
        <w:t xml:space="preserve"> </w:t>
      </w:r>
      <w:r>
        <w:t xml:space="preserve">nos preços dos insumos: a firma substitui o insumo que ficou mais caro pelo mais barato, de modo que o custo cresce menos que proporcionalmente ao aumento do preço de um insumo.</w:t>
      </w:r>
    </w:p>
    <w:p>
      <w:pPr>
        <w:pStyle w:val="Compact"/>
        <w:numPr>
          <w:ilvl w:val="0"/>
          <w:numId w:val="1677"/>
        </w:numPr>
      </w:pPr>
      <w:r>
        <w:rPr>
          <w:b/>
          <w:bCs/>
        </w:rPr>
        <w:t xml:space="preserve">Contínua</w:t>
      </w:r>
      <w:r>
        <w:t xml:space="preserve"> </w:t>
      </w:r>
      <w:r>
        <w:t xml:space="preserve">nos preços dos insumos.</w:t>
      </w:r>
    </w:p>
    <w:bookmarkEnd w:id="706"/>
    <w:bookmarkStart w:id="707" w:name="lema-de-shephard"/>
    <w:p>
      <w:pPr>
        <w:pStyle w:val="Heading4"/>
      </w:pPr>
      <w:r>
        <w:t xml:space="preserve">Lema de Shephard</w:t>
      </w:r>
    </w:p>
    <w:p>
      <w:pPr>
        <w:pStyle w:val="BlockText"/>
      </w:pPr>
      <w:r>
        <w:rPr>
          <w:b/>
          <w:bCs/>
        </w:rPr>
        <w:t xml:space="preserve">[DEMONSTRACAO] Demonstração: Lema de Shephard</w:t>
      </w:r>
    </w:p>
    <w:p>
      <w:pPr>
        <w:pStyle w:val="BlockText"/>
      </w:pPr>
      <w:r>
        <w:rPr>
          <w:b/>
          <w:bCs/>
        </w:rPr>
        <w:t xml:space="preserve">Enunciado.</w:t>
      </w:r>
      <w:r>
        <w:t xml:space="preserve"> </w:t>
      </w:r>
      <w:r>
        <w:t xml:space="preserve">Se</w:t>
      </w:r>
      <w:r>
        <w:t xml:space="preserve"> </w:t>
      </w:r>
      <m:oMath>
        <m:r>
          <m:t>C</m:t>
        </m:r>
        <m:r>
          <m:rPr>
            <m:sty m:val="p"/>
          </m:rPr>
          <m:t>(</m:t>
        </m:r>
        <m:r>
          <m:t>w</m:t>
        </m:r>
        <m:r>
          <m:rPr>
            <m:sty m:val="p"/>
          </m:rPr>
          <m:t>,</m:t>
        </m:r>
        <m:r>
          <m:t>v</m:t>
        </m:r>
        <m:r>
          <m:rPr>
            <m:sty m:val="p"/>
          </m:rPr>
          <m:t>,</m:t>
        </m:r>
        <m:r>
          <m:t>q</m:t>
        </m:r>
        <m:r>
          <m:rPr>
            <m:sty m:val="p"/>
          </m:rPr>
          <m:t>)</m:t>
        </m:r>
      </m:oMath>
      <w:r>
        <w:t xml:space="preserve"> </w:t>
      </w:r>
      <w:r>
        <w:t xml:space="preserve">é a função custo e é diferenciável em</w:t>
      </w:r>
      <w:r>
        <w:t xml:space="preserve"> </w:t>
      </w:r>
      <m:oMath>
        <m:r>
          <m:rPr>
            <m:sty m:val="p"/>
          </m:rPr>
          <m:t>(</m:t>
        </m:r>
        <m:r>
          <m:t>w</m:t>
        </m:r>
        <m:r>
          <m:rPr>
            <m:sty m:val="p"/>
          </m:rPr>
          <m:t>,</m:t>
        </m:r>
        <m:r>
          <m:t>v</m:t>
        </m:r>
        <m:r>
          <m:rPr>
            <m:sty m:val="p"/>
          </m:rPr>
          <m:t>)</m:t>
        </m:r>
      </m:oMath>
      <w:r>
        <w:t xml:space="preserve">, então as demandas condicionadas por insumos são obtidas pela derivada parcial da função custo em relação ao preço do respectivo insumo:</w:t>
      </w:r>
    </w:p>
    <w:p>
      <w:pPr>
        <w:pStyle w:val="BlockText"/>
      </w:pPr>
      <w:r>
        <w:t xml:space="preserve">$$</w:t>
      </w:r>
    </w:p>
    <w:p>
      <w:pPr>
        <w:pStyle w:val="BlockText"/>
      </w:pPr>
      <w:r>
        <w:t xml:space="preserve"> </w:t>
      </w:r>
      <w:r>
        <w:t xml:space="preserve">= L^c(w, v, q),</w:t>
      </w:r>
      <w:r>
        <w:t xml:space="preserve"> </w:t>
      </w:r>
      <w:r>
        <w:t xml:space="preserve"> </w:t>
      </w:r>
      <w:r>
        <w:t xml:space="preserve">= K^c(w, v, q)</w:t>
      </w:r>
      <w:r>
        <w:t xml:space="preserve"> </w:t>
      </w:r>
      <w:r>
        <w:t xml:space="preserve"> </w:t>
      </w:r>
    </w:p>
    <w:p>
      <w:pPr>
        <w:pStyle w:val="BlockText"/>
      </w:pPr>
      <w:r>
        <w:t xml:space="preserve">$$</w:t>
      </w:r>
    </w:p>
    <w:p>
      <w:pPr>
        <w:pStyle w:val="BlockText"/>
      </w:pPr>
      <w:r>
        <w:rPr>
          <w:b/>
          <w:bCs/>
        </w:rPr>
        <w:t xml:space="preserve">Demonstração.</w:t>
      </w:r>
      <w:r>
        <w:t xml:space="preserve"> </w:t>
      </w:r>
      <w:r>
        <w:t xml:space="preserve">Considere o problema de minimização de custos. Pelo teorema da envoltória, a derivada da função valor (custo mínimo) em relação a um parâmetro é igual à derivada parcial do lagrangeano avaliado no ótimo.</w:t>
      </w:r>
    </w:p>
    <w:p>
      <w:pPr>
        <w:pStyle w:val="BlockText"/>
      </w:pPr>
      <w:r>
        <w:t xml:space="preserve">O lagrangeano é:</w:t>
      </w:r>
    </w:p>
    <w:p>
      <w:pPr>
        <w:pStyle w:val="BlockText"/>
      </w:pPr>
      <w:r>
        <w:t xml:space="preserve">$$</w:t>
      </w:r>
    </w:p>
    <w:p>
      <w:pPr>
        <w:pStyle w:val="BlockText"/>
      </w:pPr>
      <w:r>
        <w:t xml:space="preserve">(K, L,</w:t>
      </w:r>
      <w:r>
        <w:t xml:space="preserve"> </w:t>
      </w:r>
      <w:r>
        <w:t xml:space="preserve">; w, v, q) = wL + vK +</w:t>
      </w:r>
      <w:r>
        <w:t xml:space="preserve"> </w:t>
      </w:r>
    </w:p>
    <w:p>
      <w:pPr>
        <w:pStyle w:val="BlockText"/>
      </w:pPr>
      <w:r>
        <w:t xml:space="preserve">$$</w:t>
      </w:r>
    </w:p>
    <w:p>
      <w:pPr>
        <w:pStyle w:val="BlockText"/>
      </w:pPr>
      <w:r>
        <w:t xml:space="preserve">Pelo teorema da envoltória:</w:t>
      </w:r>
    </w:p>
    <w:p>
      <w:pPr>
        <w:pStyle w:val="BlockText"/>
      </w:pPr>
      <w:r>
        <w:t xml:space="preserve">$$</w:t>
      </w:r>
    </w:p>
    <w:p>
      <w:pPr>
        <w:pStyle w:val="BlockText"/>
      </w:pPr>
      <w:r>
        <w:t xml:space="preserve"> </w:t>
      </w:r>
      <w:r>
        <w:t xml:space="preserve">=</w:t>
      </w:r>
      <w:r>
        <w:t xml:space="preserve"> </w:t>
      </w:r>
      <w:r>
        <w:t xml:space="preserve">|_{(K^c, L^c,</w:t>
      </w:r>
      <w:r>
        <w:t xml:space="preserve"> </w:t>
      </w:r>
      <w:r>
        <w:t xml:space="preserve">^*)} = L^c(w, v, q)</w:t>
      </w:r>
    </w:p>
    <w:p>
      <w:pPr>
        <w:pStyle w:val="BlockText"/>
      </w:pPr>
      <w:r>
        <w:t xml:space="preserve">$$</w:t>
      </w:r>
    </w:p>
    <w:p>
      <w:pPr>
        <w:pStyle w:val="BlockText"/>
      </w:pPr>
      <w:r>
        <w:t xml:space="preserve">Analogamente:</w:t>
      </w:r>
    </w:p>
    <w:p>
      <w:pPr>
        <w:pStyle w:val="BlockText"/>
      </w:pPr>
      <w:r>
        <w:t xml:space="preserve">$$</w:t>
      </w:r>
    </w:p>
    <w:p>
      <w:pPr>
        <w:pStyle w:val="BlockText"/>
      </w:pPr>
      <w:r>
        <w:t xml:space="preserve"> </w:t>
      </w:r>
      <w:r>
        <w:t xml:space="preserve">= K^c(w, v, q)</w:t>
      </w:r>
    </w:p>
    <w:p>
      <w:pPr>
        <w:pStyle w:val="BlockText"/>
      </w:pPr>
      <w:r>
        <w:t xml:space="preserve">$$</w:t>
      </w:r>
    </w:p>
    <w:p>
      <w:pPr>
        <w:pStyle w:val="BlockText"/>
      </w:pPr>
      <w:r>
        <w:rPr>
          <w:b/>
          <w:bCs/>
        </w:rPr>
        <w:t xml:space="preserve">Verificação com Cobb-Douglas.</w:t>
      </w:r>
      <w:r>
        <w:t xml:space="preserve"> </w:t>
      </w:r>
      <w:r>
        <w:t xml:space="preserve">Para</w:t>
      </w:r>
      <w:r>
        <w:t xml:space="preserve"> </w:t>
      </w:r>
      <m:oMath>
        <m:r>
          <m:t>q</m:t>
        </m:r>
        <m:r>
          <m:rPr>
            <m:sty m:val="p"/>
          </m:rPr>
          <m:t>=</m:t>
        </m:r>
        <m:sSup>
          <m:e>
            <m:r>
              <m:t>K</m:t>
            </m:r>
          </m:e>
          <m:sup>
            <m:r>
              <m:t>α</m:t>
            </m:r>
          </m:sup>
        </m:sSup>
        <m:sSup>
          <m:e>
            <m:r>
              <m:t>L</m:t>
            </m:r>
          </m:e>
          <m:sup>
            <m:r>
              <m:t>1</m:t>
            </m:r>
            <m:r>
              <m:rPr>
                <m:sty m:val="p"/>
              </m:rPr>
              <m:t>−</m:t>
            </m:r>
            <m:r>
              <m:t>α</m:t>
            </m:r>
          </m:sup>
        </m:sSup>
      </m:oMath>
      <w:r>
        <w:t xml:space="preserve">, a função custo é:</w:t>
      </w:r>
    </w:p>
    <w:p>
      <w:pPr>
        <w:pStyle w:val="BlockText"/>
      </w:pPr>
      <w:r>
        <w:t xml:space="preserve">$$</w:t>
      </w:r>
    </w:p>
    <w:p>
      <w:pPr>
        <w:pStyle w:val="BlockText"/>
      </w:pPr>
      <w:r>
        <w:t xml:space="preserve">C(w, v, q) = q</w:t>
      </w:r>
      <w:r>
        <w:t xml:space="preserve"> </w:t>
      </w:r>
      <w:r>
        <w:t xml:space="preserve">w^{1-</w:t>
      </w:r>
      <w:r>
        <w:t xml:space="preserve">}</w:t>
      </w:r>
      <w:r>
        <w:t xml:space="preserve"> </w:t>
      </w:r>
      <w:r>
        <w:t xml:space="preserve">v^{</w:t>
      </w:r>
      <w:r>
        <w:t xml:space="preserve">}</w:t>
      </w:r>
    </w:p>
    <w:p>
      <w:pPr>
        <w:pStyle w:val="BlockText"/>
      </w:pPr>
      <w:r>
        <w:t xml:space="preserve">$$</w:t>
      </w:r>
    </w:p>
    <w:p>
      <w:pPr>
        <w:pStyle w:val="BlockText"/>
      </w:pPr>
      <w:r>
        <w:t xml:space="preserve">onde</w:t>
      </w:r>
      <w:r>
        <w:t xml:space="preserve"> </w:t>
      </w:r>
      <m:oMath>
        <m:r>
          <m:t>κ</m:t>
        </m:r>
        <m:r>
          <m:rPr>
            <m:sty m:val="p"/>
          </m:rPr>
          <m:t>=</m:t>
        </m:r>
        <m:sSup>
          <m:e>
            <m:d>
              <m:dPr>
                <m:begChr m:val="("/>
                <m:sepChr m:val=""/>
                <m:endChr m:val=")"/>
                <m:grow/>
              </m:dPr>
              <m:e>
                <m:f>
                  <m:fPr>
                    <m:type m:val="bar"/>
                  </m:fPr>
                  <m:num>
                    <m:r>
                      <m:t>α</m:t>
                    </m:r>
                  </m:num>
                  <m:den>
                    <m:r>
                      <m:t>1</m:t>
                    </m:r>
                    <m:r>
                      <m:rPr>
                        <m:sty m:val="p"/>
                      </m:rPr>
                      <m:t>−</m:t>
                    </m:r>
                    <m:r>
                      <m:t>α</m:t>
                    </m:r>
                  </m:den>
                </m:f>
              </m:e>
            </m:d>
          </m:e>
          <m:sup>
            <m:r>
              <m:rPr>
                <m:sty m:val="p"/>
              </m:rPr>
              <m:t>−</m:t>
            </m:r>
            <m:r>
              <m:rPr>
                <m:sty m:val="p"/>
              </m:rPr>
              <m:t>(</m:t>
            </m:r>
            <m:r>
              <m:t>1</m:t>
            </m:r>
            <m:r>
              <m:rPr>
                <m:sty m:val="p"/>
              </m:rPr>
              <m:t>−</m:t>
            </m:r>
            <m:r>
              <m:t>α</m:t>
            </m:r>
            <m:r>
              <m:rPr>
                <m:sty m:val="p"/>
              </m:rPr>
              <m:t>)</m:t>
            </m:r>
          </m:sup>
        </m:sSup>
        <m:r>
          <m:rPr>
            <m:sty m:val="p"/>
          </m:rPr>
          <m:t>+</m:t>
        </m:r>
        <m:sSup>
          <m:e>
            <m:d>
              <m:dPr>
                <m:begChr m:val="("/>
                <m:sepChr m:val=""/>
                <m:endChr m:val=")"/>
                <m:grow/>
              </m:dPr>
              <m:e>
                <m:f>
                  <m:fPr>
                    <m:type m:val="bar"/>
                  </m:fPr>
                  <m:num>
                    <m:r>
                      <m:t>α</m:t>
                    </m:r>
                  </m:num>
                  <m:den>
                    <m:r>
                      <m:t>1</m:t>
                    </m:r>
                    <m:r>
                      <m:rPr>
                        <m:sty m:val="p"/>
                      </m:rPr>
                      <m:t>−</m:t>
                    </m:r>
                    <m:r>
                      <m:t>α</m:t>
                    </m:r>
                  </m:den>
                </m:f>
              </m:e>
            </m:d>
          </m:e>
          <m:sup>
            <m:r>
              <m:t>α</m:t>
            </m:r>
          </m:sup>
        </m:sSup>
      </m:oMath>
      <w:r>
        <w:t xml:space="preserve"> </w:t>
      </w:r>
      <w:r>
        <w:t xml:space="preserve">é uma constante. Derivando em relação a</w:t>
      </w:r>
      <w:r>
        <w:t xml:space="preserve"> </w:t>
      </w:r>
      <m:oMath>
        <m:r>
          <m:t>w</m:t>
        </m:r>
      </m:oMath>
      <w:r>
        <w:t xml:space="preserve">:</w:t>
      </w:r>
    </w:p>
    <w:p>
      <w:pPr>
        <w:pStyle w:val="BlockText"/>
      </w:pPr>
      <w:r>
        <w:t xml:space="preserve">$$</w:t>
      </w:r>
    </w:p>
    <w:p>
      <w:pPr>
        <w:pStyle w:val="BlockText"/>
      </w:pPr>
      <w:r>
        <w:t xml:space="preserve"> </w:t>
      </w:r>
      <w:r>
        <w:t xml:space="preserve">= q</w:t>
      </w:r>
      <w:r>
        <w:t xml:space="preserve"> </w:t>
      </w:r>
      <w:r>
        <w:t xml:space="preserve">(1-</w:t>
      </w:r>
      <w:r>
        <w:t xml:space="preserve">)</w:t>
      </w:r>
      <w:r>
        <w:t xml:space="preserve"> </w:t>
      </w:r>
      <w:r>
        <w:t xml:space="preserve">w^{-</w:t>
      </w:r>
      <w:r>
        <w:t xml:space="preserve">}</w:t>
      </w:r>
      <w:r>
        <w:t xml:space="preserve"> </w:t>
      </w:r>
      <w:r>
        <w:t xml:space="preserve">v^{</w:t>
      </w:r>
      <w:r>
        <w:t xml:space="preserve">} = L^c(w, v, q)</w:t>
      </w:r>
    </w:p>
    <w:p>
      <w:pPr>
        <w:pStyle w:val="BlockText"/>
      </w:pPr>
      <w:r>
        <w:t xml:space="preserve">$$</w:t>
      </w:r>
    </w:p>
    <w:p>
      <w:pPr>
        <w:pStyle w:val="BlockText"/>
      </w:pPr>
      <w:r>
        <w:t xml:space="preserve">o que confirma o lema.</w:t>
      </w:r>
      <w:r>
        <w:t xml:space="preserve"> </w:t>
      </w:r>
      <m:oMath>
        <m:r>
          <m:rPr>
            <m:sty m:val="p"/>
          </m:rPr>
          <m:t>◼</m:t>
        </m:r>
      </m:oMath>
    </w:p>
    <w:p>
      <w:pPr>
        <w:pStyle w:val="BlockText"/>
      </w:pPr>
      <w:r>
        <w:rPr>
          <w:b/>
          <w:bCs/>
        </w:rPr>
        <w:t xml:space="preserve">[DICA] Significado econômico do Lema de Shephard</w:t>
      </w:r>
    </w:p>
    <w:p>
      <w:pPr>
        <w:pStyle w:val="BlockText"/>
      </w:pPr>
      <w:r>
        <w:t xml:space="preserve">O Lema de Shephard é a contraparte, na teoria da produção, da</w:t>
      </w:r>
      <w:r>
        <w:t xml:space="preserve"> </w:t>
      </w:r>
      <w:r>
        <w:rPr>
          <w:b/>
          <w:bCs/>
        </w:rPr>
        <w:t xml:space="preserve">identidade de Roy</w:t>
      </w:r>
      <w:r>
        <w:t xml:space="preserve"> </w:t>
      </w:r>
      <w:r>
        <w:t xml:space="preserve">na teoria do consumidor. Ele permite recuperar as demandas condicionadas por insumos a partir de informações sobre custos — que são frequentemente mais fáceis de observar empiricamente do que as tecnologias de produção subjacentes. É uma ferramenta central na estimação empírica de funções de custo.</w:t>
      </w:r>
    </w:p>
    <w:p>
      <w:pPr>
        <w:pStyle w:val="BlockText"/>
      </w:pPr>
      <w:r>
        <w:rPr>
          <w:b/>
          <w:bCs/>
        </w:rPr>
        <w:t xml:space="preserve">[INTUICAO ECONOMICA] Intuição Econômica</w:t>
      </w:r>
    </w:p>
    <w:p>
      <w:pPr>
        <w:pStyle w:val="BlockText"/>
      </w:pPr>
      <w:r>
        <w:rPr>
          <w:b/>
          <w:bCs/>
        </w:rPr>
        <w:t xml:space="preserve">Em uma frase:</w:t>
      </w:r>
      <w:r>
        <w:t xml:space="preserve"> </w:t>
      </w:r>
      <w:r>
        <w:t xml:space="preserve">O Lema de Shephard diz que, se você sabe como o custo total muda quando o salário sobe um pouquinho, você já sabe quanta mão de obra a firma usa.</w:t>
      </w:r>
    </w:p>
    <w:p>
      <w:pPr>
        <w:pStyle w:val="BlockText"/>
      </w:pPr>
      <w:r>
        <w:rPr>
          <w:b/>
          <w:bCs/>
        </w:rPr>
        <w:t xml:space="preserve">Pense assim:</w:t>
      </w:r>
      <w:r>
        <w:t xml:space="preserve"> </w:t>
      </w:r>
      <w:r>
        <w:t xml:space="preserve">Se o preço da energia sobe R$ 0,01 por kWh e a conta de luz da fábrica sobe R$ 500, você sabe que a fábrica consome 50.000 kWh. O lema formaliza essa ideia simples: a sensibilidade do custo ao preço de um insumo revela a quantidade usada desse insumo.</w:t>
      </w:r>
    </w:p>
    <w:p>
      <w:pPr>
        <w:pStyle w:val="BlockText"/>
      </w:pPr>
      <w:r>
        <w:rPr>
          <w:b/>
          <w:bCs/>
        </w:rPr>
        <w:t xml:space="preserve">Por que isso importa:</w:t>
      </w:r>
      <w:r>
        <w:t xml:space="preserve"> </w:t>
      </w:r>
      <w:r>
        <w:t xml:space="preserve">Na prática, é muito mais fácil observar custos e preços do que medir diretamente a tecnologia de produção. O Lema de Shephard permite que economistas estimem demandas por insumos a partir de dados contábeis — algo essencial para política tributária e regulação no Brasil.</w:t>
      </w:r>
    </w:p>
    <w:p>
      <w:pPr>
        <w:pStyle w:val="FirstParagraph"/>
      </w:pPr>
      <w:r>
        <w:t xml:space="preserve">[FIGURA INTERATIVA: /micro-book/graficos/cap11/webr-shephard.html — versao interativa disponivel online]</w:t>
      </w:r>
    </w:p>
    <w:p>
      <w:pPr>
        <w:pStyle w:val="BodyText"/>
      </w:pPr>
      <w:r>
        <w:rPr>
          <w:b/>
          <w:bCs/>
        </w:rPr>
        <w:t xml:space="preserve">WebR 11.3 — Lema de Shephard e concavidade da função custo.</w:t>
      </w:r>
      <w:r>
        <w:t xml:space="preserve"> </w:t>
      </w:r>
      <w:r>
        <w:t xml:space="preserve">O código verifica numericamente o Lema de Shephard (derivada da função custo = demanda condicional) e ilustra a concavidade de</w:t>
      </w:r>
      <w:r>
        <w:t xml:space="preserve"> </w:t>
      </w:r>
      <m:oMath>
        <m:r>
          <m:t>C</m:t>
        </m:r>
      </m:oMath>
      <w:r>
        <w:t xml:space="preserve"> </w:t>
      </w:r>
      <w:r>
        <w:t xml:space="preserve">nos preços dos insumos. A tangente em cada ponto tem inclinação igual à demanda condicional — exatamente o que o lema afirma.</w:t>
      </w:r>
    </w:p>
    <w:p>
      <w:pPr>
        <w:pStyle w:val="BodyText"/>
      </w:pPr>
      <w:r>
        <w:t xml:space="preserve">Um corolário imediato do Lema de Shephard e da homogeneidade de grau 1 da função custo nos preços é a</w:t>
      </w:r>
      <w:r>
        <w:t xml:space="preserve"> </w:t>
      </w:r>
      <w:r>
        <w:rPr>
          <w:b/>
          <w:bCs/>
        </w:rPr>
        <w:t xml:space="preserve">identidade de Euler</w:t>
      </w:r>
      <w:r>
        <w:t xml:space="preserve"> </w:t>
      </w:r>
      <w:r>
        <w:t xml:space="preserve">para a função custo:</w:t>
      </w:r>
    </w:p>
    <w:p>
      <w:pPr>
        <w:pStyle w:val="BodyText"/>
      </w:pPr>
      <m:oMathPara>
        <m:oMathParaPr>
          <m:jc m:val="center"/>
        </m:oMathParaPr>
        <m:oMath>
          <m:r>
            <m:t>w</m:t>
          </m:r>
          <m:r>
            <m:rPr>
              <m:sty m:val="p"/>
            </m:rPr>
            <m:t>⋅</m:t>
          </m:r>
          <m:sSup>
            <m:e>
              <m:r>
                <m:t>L</m:t>
              </m:r>
            </m:e>
            <m:sup>
              <m:r>
                <m:t>c</m:t>
              </m:r>
            </m:sup>
          </m:sSup>
          <m:r>
            <m:rPr>
              <m:sty m:val="p"/>
            </m:rPr>
            <m:t>+</m:t>
          </m:r>
          <m:r>
            <m:t>v</m:t>
          </m:r>
          <m:r>
            <m:rPr>
              <m:sty m:val="p"/>
            </m:rPr>
            <m:t>⋅</m:t>
          </m:r>
          <m:sSup>
            <m:e>
              <m:r>
                <m:t>K</m:t>
              </m:r>
            </m:e>
            <m:sup>
              <m:r>
                <m:t>c</m:t>
              </m:r>
            </m:sup>
          </m:sSup>
          <m:r>
            <m:rPr>
              <m:sty m:val="p"/>
            </m:rPr>
            <m:t>=</m:t>
          </m:r>
          <m:r>
            <m:t>C</m:t>
          </m:r>
          <m:r>
            <m:rPr>
              <m:sty m:val="p"/>
            </m:rPr>
            <m:t>(</m:t>
          </m:r>
          <m:r>
            <m:t>w</m:t>
          </m:r>
          <m:r>
            <m:rPr>
              <m:sty m:val="p"/>
            </m:rPr>
            <m:t>,</m:t>
          </m:r>
          <m:r>
            <m:t>v</m:t>
          </m:r>
          <m:r>
            <m:rPr>
              <m:sty m:val="p"/>
            </m:rPr>
            <m:t>,</m:t>
          </m:r>
          <m:r>
            <m:t>q</m:t>
          </m:r>
          <m:r>
            <m:rPr>
              <m:sty m:val="p"/>
            </m:rPr>
            <m:t>)</m:t>
          </m:r>
        </m:oMath>
      </m:oMathPara>
    </w:p>
    <w:p>
      <w:pPr>
        <w:pStyle w:val="FirstParagraph"/>
      </w:pPr>
      <w:r>
        <w:t xml:space="preserve">o que não é outra coisa senão a definição da função custo — uma verificação de consistência que todo economista deve checar ao derivar funções custo por método distinto. Outra propriedade importante, menos óbvia, é que a matriz hessiana das derivadas de segunda ordem da função custo em relação aos preços é</w:t>
      </w:r>
      <w:r>
        <w:t xml:space="preserve"> </w:t>
      </w:r>
      <w:r>
        <w:rPr>
          <w:b/>
          <w:bCs/>
        </w:rPr>
        <w:t xml:space="preserve">negativa semidefinida</w:t>
      </w:r>
      <w:r>
        <w:t xml:space="preserve"> </w:t>
      </w:r>
      <w:r>
        <w:t xml:space="preserve">— implicação direta da concavidade da função custo nos preços.</w:t>
      </w:r>
    </w:p>
    <w:bookmarkEnd w:id="707"/>
    <w:bookmarkEnd w:id="708"/>
    <w:bookmarkEnd w:id="709"/>
    <w:bookmarkStart w:id="718" w:name="curvas-de-custo-e-seus-deslocamentos"/>
    <w:p>
      <w:pPr>
        <w:pStyle w:val="Heading2"/>
      </w:pPr>
      <w:r>
        <w:t xml:space="preserve">11.5–11.6 Curvas de Custo e Seus Deslocamentos</w:t>
      </w:r>
    </w:p>
    <w:bookmarkStart w:id="713" w:name="Xfa6e44dfa0145249be273ecd84a97f534b04920"/>
    <w:p>
      <w:pPr>
        <w:pStyle w:val="Heading3"/>
      </w:pPr>
      <w:r>
        <w:t xml:space="preserve">11.5 O Trio que Manda na Oferta: Curvas de Custo</w:t>
      </w:r>
    </w:p>
    <w:p>
      <w:pPr>
        <w:pStyle w:val="FirstParagraph"/>
      </w:pPr>
      <w:r>
        <w:t xml:space="preserve">A função custo é poderosa, mas abstrata — depende de três variáveis ao mesmo tempo. Agora, congelamos os preços dos insumos e deixamos só a quantidade variar. O resultado são as famosas curvas de custo total, custo médio e custo marginal — o trio que aparece em toda prova de micro, toda análise de empresa e toda reunião de diretoria (mesmo que disfarçado com outros nomes). Entender por que o custo marginal sempre cruza o custo médio no seu ponto de mínimo — como um corredor que puxa a média do pelotão para baixo enquanto é mais rápido — é a chave para a análise da oferta nos Capítulos 12 e 13.</w:t>
      </w:r>
    </w:p>
    <w:p>
      <w:pPr>
        <w:pStyle w:val="BodyText"/>
      </w:pPr>
      <w:r>
        <w:t xml:space="preserve">Vale notar que, ao fixar os preços dos insumos, passamos de uma perspectiva tridimensional (</w:t>
      </w:r>
      <m:oMath>
        <m:r>
          <m:t>C</m:t>
        </m:r>
      </m:oMath>
      <w:r>
        <w:t xml:space="preserve"> </w:t>
      </w:r>
      <w:r>
        <w:t xml:space="preserve">como função de</w:t>
      </w:r>
      <w:r>
        <w:t xml:space="preserve"> </w:t>
      </w:r>
      <m:oMath>
        <m:r>
          <m:t>w</m:t>
        </m:r>
      </m:oMath>
      <w:r>
        <w:t xml:space="preserve">,</w:t>
      </w:r>
      <w:r>
        <w:t xml:space="preserve"> </w:t>
      </w:r>
      <m:oMath>
        <m:r>
          <m:t>v</m:t>
        </m:r>
      </m:oMath>
      <w:r>
        <w:t xml:space="preserve"> </w:t>
      </w:r>
      <w:r>
        <w:t xml:space="preserve">e</w:t>
      </w:r>
      <w:r>
        <w:t xml:space="preserve"> </w:t>
      </w:r>
      <m:oMath>
        <m:r>
          <m:t>q</m:t>
        </m:r>
      </m:oMath>
      <w:r>
        <w:t xml:space="preserve">) para a perspectiva usual (</w:t>
      </w:r>
      <m:oMath>
        <m:r>
          <m:t>C</m:t>
        </m:r>
      </m:oMath>
      <w:r>
        <w:t xml:space="preserve"> </w:t>
      </w:r>
      <w:r>
        <w:t xml:space="preserve">como função apenas de</w:t>
      </w:r>
      <w:r>
        <w:t xml:space="preserve"> </w:t>
      </w:r>
      <m:oMath>
        <m:r>
          <m:t>q</m:t>
        </m:r>
      </m:oMath>
      <w:r>
        <w:t xml:space="preserve">). Essa simplificação — perfeitamente justificada em um mercado de insumos competitivo onde a firma é tomadora de preços — nos permite focar na geometria das curvas de custo sem perda de generalidade.</w:t>
      </w:r>
    </w:p>
    <w:p>
      <w:pPr>
        <w:pStyle w:val="BodyText"/>
      </w:pPr>
      <w:r>
        <w:t xml:space="preserve">[FIGURA INTERATIVA: /micro-book/graficos/cap11/curvas-custo.html — versao interativa disponivel online]</w:t>
      </w:r>
    </w:p>
    <w:p>
      <w:pPr>
        <w:pStyle w:val="BodyText"/>
      </w:pPr>
      <w:r>
        <w:rPr>
          <w:b/>
          <w:bCs/>
        </w:rPr>
        <w:t xml:space="preserve">Figura 11.2 — Curvas de custo total, médio e marginal.</w:t>
      </w:r>
      <w:r>
        <w:t xml:space="preserve"> </w:t>
      </w:r>
      <w:r>
        <w:t xml:space="preserve">Ajuste os parâmetros da função cúbica de custo e observe as relações entre CT, CMe, CMg e CVMe. O ponto vermelho no CMg é arrastável. Destaque para o ponto de fechamento (mín CVMe) e o cruzamento CMg–CMe no mínimo do CMe.</w:t>
      </w:r>
    </w:p>
    <w:bookmarkStart w:id="710" w:name="custo-total-custo-médio-e-custo-marginal"/>
    <w:p>
      <w:pPr>
        <w:pStyle w:val="Heading4"/>
      </w:pPr>
      <w:r>
        <w:t xml:space="preserve">Custo total, custo médio e custo marginal</w:t>
      </w:r>
    </w:p>
    <w:p>
      <w:pPr>
        <w:pStyle w:val="BlockText"/>
      </w:pPr>
      <w:r>
        <w:rPr>
          <w:b/>
          <w:bCs/>
        </w:rPr>
        <w:t xml:space="preserve">[DEFINICAO] Curvas de custo</w:t>
      </w:r>
    </w:p>
    <w:p>
      <w:pPr>
        <w:pStyle w:val="BlockText"/>
      </w:pPr>
      <w:r>
        <w:t xml:space="preserve">Para uma função custo</w:t>
      </w:r>
      <w:r>
        <w:t xml:space="preserve"> </w:t>
      </w:r>
      <m:oMath>
        <m:r>
          <m:t>C</m:t>
        </m:r>
        <m:r>
          <m:rPr>
            <m:sty m:val="p"/>
          </m:rPr>
          <m:t>(</m:t>
        </m:r>
        <m:r>
          <m:t>q</m:t>
        </m:r>
        <m:r>
          <m:rPr>
            <m:sty m:val="p"/>
          </m:rPr>
          <m:t>)</m:t>
        </m:r>
      </m:oMath>
      <w:r>
        <w:t xml:space="preserve"> </w:t>
      </w:r>
      <w:r>
        <w:t xml:space="preserve">(com preços de insumos fixos):</w:t>
      </w:r>
    </w:p>
    <w:p>
      <w:pPr>
        <w:pStyle w:val="Compact"/>
        <w:numPr>
          <w:ilvl w:val="0"/>
          <w:numId w:val="1678"/>
        </w:numPr>
      </w:pPr>
      <w:r>
        <w:rPr>
          <w:b/>
          <w:bCs/>
        </w:rPr>
        <w:t xml:space="preserve">Custo Total</w:t>
      </w:r>
      <w:r>
        <w:t xml:space="preserve">:</w:t>
      </w:r>
      <w:r>
        <w:t xml:space="preserve"> </w:t>
      </w:r>
      <m:oMath>
        <m:r>
          <m:t>C</m:t>
        </m:r>
        <m:r>
          <m:t>T</m:t>
        </m:r>
        <m:r>
          <m:rPr>
            <m:sty m:val="p"/>
          </m:rPr>
          <m:t>(</m:t>
        </m:r>
        <m:r>
          <m:t>q</m:t>
        </m:r>
        <m:r>
          <m:rPr>
            <m:sty m:val="p"/>
          </m:rPr>
          <m:t>)</m:t>
        </m:r>
        <m:r>
          <m:rPr>
            <m:sty m:val="p"/>
          </m:rPr>
          <m:t>=</m:t>
        </m:r>
        <m:r>
          <m:t>C</m:t>
        </m:r>
        <m:r>
          <m:t>F</m:t>
        </m:r>
        <m:r>
          <m:rPr>
            <m:sty m:val="p"/>
          </m:rPr>
          <m:t>+</m:t>
        </m:r>
        <m:r>
          <m:t>C</m:t>
        </m:r>
        <m:r>
          <m:t>V</m:t>
        </m:r>
        <m:r>
          <m:rPr>
            <m:sty m:val="p"/>
          </m:rPr>
          <m:t>(</m:t>
        </m:r>
        <m:r>
          <m:t>q</m:t>
        </m:r>
        <m:r>
          <m:rPr>
            <m:sty m:val="p"/>
          </m:rPr>
          <m:t>)</m:t>
        </m:r>
      </m:oMath>
      <w:r>
        <w:t xml:space="preserve">, onde</w:t>
      </w:r>
      <w:r>
        <w:t xml:space="preserve"> </w:t>
      </w:r>
      <m:oMath>
        <m:r>
          <m:t>C</m:t>
        </m:r>
        <m:r>
          <m:t>F</m:t>
        </m:r>
      </m:oMath>
      <w:r>
        <w:t xml:space="preserve"> </w:t>
      </w:r>
      <w:r>
        <w:t xml:space="preserve">é o custo fixo e</w:t>
      </w:r>
      <w:r>
        <w:t xml:space="preserve"> </w:t>
      </w:r>
      <m:oMath>
        <m:r>
          <m:t>C</m:t>
        </m:r>
        <m:r>
          <m:t>V</m:t>
        </m:r>
        <m:r>
          <m:rPr>
            <m:sty m:val="p"/>
          </m:rPr>
          <m:t>(</m:t>
        </m:r>
        <m:r>
          <m:t>q</m:t>
        </m:r>
        <m:r>
          <m:rPr>
            <m:sty m:val="p"/>
          </m:rPr>
          <m:t>)</m:t>
        </m:r>
      </m:oMath>
      <w:r>
        <w:t xml:space="preserve"> </w:t>
      </w:r>
      <w:r>
        <w:t xml:space="preserve">é o custo variável.</w:t>
      </w:r>
    </w:p>
    <w:p>
      <w:pPr>
        <w:pStyle w:val="Compact"/>
        <w:numPr>
          <w:ilvl w:val="0"/>
          <w:numId w:val="1678"/>
        </w:numPr>
      </w:pPr>
      <w:r>
        <w:rPr>
          <w:b/>
          <w:bCs/>
        </w:rPr>
        <w:t xml:space="preserve">Custo Médio</w:t>
      </w:r>
      <w:r>
        <w:t xml:space="preserve">:</w:t>
      </w:r>
      <w:r>
        <w:t xml:space="preserve"> </w:t>
      </w:r>
      <m:oMath>
        <m:r>
          <m:rPr>
            <m:sty m:val="p"/>
          </m:rPr>
          <m:t>C</m:t>
        </m:r>
        <m:r>
          <m:rPr>
            <m:sty m:val="p"/>
          </m:rPr>
          <m:t>M</m:t>
        </m:r>
        <m:r>
          <m:rPr>
            <m:sty m:val="p"/>
          </m:rPr>
          <m:t>e</m:t>
        </m:r>
        <m:r>
          <m:rPr>
            <m:sty m:val="p"/>
          </m:rPr>
          <m:t>(</m:t>
        </m:r>
        <m:r>
          <m:t>q</m:t>
        </m:r>
        <m:r>
          <m:rPr>
            <m:sty m:val="p"/>
          </m:rPr>
          <m:t>)</m:t>
        </m:r>
        <m:r>
          <m:rPr>
            <m:sty m:val="p"/>
          </m:rPr>
          <m:t>=</m:t>
        </m:r>
        <m:f>
          <m:fPr>
            <m:type m:val="bar"/>
          </m:fPr>
          <m:num>
            <m:r>
              <m:t>C</m:t>
            </m:r>
            <m:r>
              <m:t>T</m:t>
            </m:r>
            <m:r>
              <m:rPr>
                <m:sty m:val="p"/>
              </m:rPr>
              <m:t>(</m:t>
            </m:r>
            <m:r>
              <m:t>q</m:t>
            </m:r>
            <m:r>
              <m:rPr>
                <m:sty m:val="p"/>
              </m:rPr>
              <m:t>)</m:t>
            </m:r>
          </m:num>
          <m:den>
            <m:r>
              <m:t>q</m:t>
            </m:r>
          </m:den>
        </m:f>
        <m:r>
          <m:rPr>
            <m:sty m:val="p"/>
          </m:rPr>
          <m:t>=</m:t>
        </m:r>
        <m:f>
          <m:fPr>
            <m:type m:val="bar"/>
          </m:fPr>
          <m:num>
            <m:r>
              <m:t>C</m:t>
            </m:r>
            <m:r>
              <m:t>F</m:t>
            </m:r>
          </m:num>
          <m:den>
            <m:r>
              <m:t>q</m:t>
            </m:r>
          </m:den>
        </m:f>
        <m:r>
          <m:rPr>
            <m:sty m:val="p"/>
          </m:rPr>
          <m:t>+</m:t>
        </m:r>
        <m:f>
          <m:fPr>
            <m:type m:val="bar"/>
          </m:fPr>
          <m:num>
            <m:r>
              <m:t>C</m:t>
            </m:r>
            <m:r>
              <m:t>V</m:t>
            </m:r>
            <m:r>
              <m:rPr>
                <m:sty m:val="p"/>
              </m:rPr>
              <m:t>(</m:t>
            </m:r>
            <m:r>
              <m:t>q</m:t>
            </m:r>
            <m:r>
              <m:rPr>
                <m:sty m:val="p"/>
              </m:rPr>
              <m:t>)</m:t>
            </m:r>
          </m:num>
          <m:den>
            <m:r>
              <m:t>q</m:t>
            </m:r>
          </m:den>
        </m:f>
        <m:r>
          <m:rPr>
            <m:sty m:val="p"/>
          </m:rPr>
          <m:t>=</m:t>
        </m:r>
        <m:r>
          <m:rPr>
            <m:sty m:val="p"/>
          </m:rPr>
          <m:t>C</m:t>
        </m:r>
        <m:r>
          <m:rPr>
            <m:sty m:val="p"/>
          </m:rPr>
          <m:t>F</m:t>
        </m:r>
        <m:r>
          <m:rPr>
            <m:sty m:val="p"/>
          </m:rPr>
          <m:t>M</m:t>
        </m:r>
        <m:r>
          <m:rPr>
            <m:sty m:val="p"/>
          </m:rPr>
          <m:t>e</m:t>
        </m:r>
        <m:r>
          <m:rPr>
            <m:sty m:val="p"/>
          </m:rPr>
          <m:t>+</m:t>
        </m:r>
        <m:r>
          <m:rPr>
            <m:sty m:val="p"/>
          </m:rPr>
          <m:t>C</m:t>
        </m:r>
        <m:r>
          <m:rPr>
            <m:sty m:val="p"/>
          </m:rPr>
          <m:t>V</m:t>
        </m:r>
        <m:r>
          <m:rPr>
            <m:sty m:val="p"/>
          </m:rPr>
          <m:t>M</m:t>
        </m:r>
        <m:r>
          <m:rPr>
            <m:sty m:val="p"/>
          </m:rPr>
          <m:t>e</m:t>
        </m:r>
      </m:oMath>
    </w:p>
    <w:p>
      <w:pPr>
        <w:pStyle w:val="Compact"/>
        <w:numPr>
          <w:ilvl w:val="0"/>
          <w:numId w:val="1678"/>
        </w:numPr>
      </w:pPr>
      <w:r>
        <w:rPr>
          <w:b/>
          <w:bCs/>
        </w:rPr>
        <w:t xml:space="preserve">Custo Variável Médio</w:t>
      </w:r>
      <w:r>
        <w:t xml:space="preserve">:</w:t>
      </w:r>
      <w:r>
        <w:t xml:space="preserve"> </w:t>
      </w:r>
      <m:oMath>
        <m:r>
          <m:rPr>
            <m:sty m:val="p"/>
          </m:rPr>
          <m:t>C</m:t>
        </m:r>
        <m:r>
          <m:rPr>
            <m:sty m:val="p"/>
          </m:rPr>
          <m:t>V</m:t>
        </m:r>
        <m:r>
          <m:rPr>
            <m:sty m:val="p"/>
          </m:rPr>
          <m:t>M</m:t>
        </m:r>
        <m:r>
          <m:rPr>
            <m:sty m:val="p"/>
          </m:rPr>
          <m:t>e</m:t>
        </m:r>
        <m:r>
          <m:rPr>
            <m:sty m:val="p"/>
          </m:rPr>
          <m:t>(</m:t>
        </m:r>
        <m:r>
          <m:t>q</m:t>
        </m:r>
        <m:r>
          <m:rPr>
            <m:sty m:val="p"/>
          </m:rPr>
          <m:t>)</m:t>
        </m:r>
        <m:r>
          <m:rPr>
            <m:sty m:val="p"/>
          </m:rPr>
          <m:t>=</m:t>
        </m:r>
        <m:f>
          <m:fPr>
            <m:type m:val="bar"/>
          </m:fPr>
          <m:num>
            <m:r>
              <m:t>C</m:t>
            </m:r>
            <m:r>
              <m:t>V</m:t>
            </m:r>
            <m:r>
              <m:rPr>
                <m:sty m:val="p"/>
              </m:rPr>
              <m:t>(</m:t>
            </m:r>
            <m:r>
              <m:t>q</m:t>
            </m:r>
            <m:r>
              <m:rPr>
                <m:sty m:val="p"/>
              </m:rPr>
              <m:t>)</m:t>
            </m:r>
          </m:num>
          <m:den>
            <m:r>
              <m:t>q</m:t>
            </m:r>
          </m:den>
        </m:f>
      </m:oMath>
    </w:p>
    <w:p>
      <w:pPr>
        <w:pStyle w:val="Compact"/>
        <w:numPr>
          <w:ilvl w:val="0"/>
          <w:numId w:val="1678"/>
        </w:numPr>
      </w:pPr>
      <w:r>
        <w:rPr>
          <w:b/>
          <w:bCs/>
        </w:rPr>
        <w:t xml:space="preserve">Custo Marginal</w:t>
      </w:r>
      <w:r>
        <w:t xml:space="preserve">:</w:t>
      </w:r>
      <w:r>
        <w:t xml:space="preserve"> </w:t>
      </w:r>
      <m:oMath>
        <m:r>
          <m:rPr>
            <m:sty m:val="p"/>
          </m:rPr>
          <m:t>C</m:t>
        </m:r>
        <m:r>
          <m:rPr>
            <m:sty m:val="p"/>
          </m:rPr>
          <m:t>M</m:t>
        </m:r>
        <m:r>
          <m:rPr>
            <m:sty m:val="p"/>
          </m:rPr>
          <m:t>g</m:t>
        </m:r>
        <m:r>
          <m:rPr>
            <m:sty m:val="p"/>
          </m:rPr>
          <m:t>(</m:t>
        </m:r>
        <m:r>
          <m:t>q</m:t>
        </m:r>
        <m:r>
          <m:rPr>
            <m:sty m:val="p"/>
          </m:rPr>
          <m:t>)</m:t>
        </m:r>
        <m:r>
          <m:rPr>
            <m:sty m:val="p"/>
          </m:rPr>
          <m:t>=</m:t>
        </m:r>
        <m:f>
          <m:fPr>
            <m:type m:val="bar"/>
          </m:fPr>
          <m:num>
            <m:r>
              <m:t>d</m:t>
            </m:r>
            <m:r>
              <m:t>C</m:t>
            </m:r>
            <m:r>
              <m:t>T</m:t>
            </m:r>
            <m:r>
              <m:rPr>
                <m:sty m:val="p"/>
              </m:rPr>
              <m:t>(</m:t>
            </m:r>
            <m:r>
              <m:t>q</m:t>
            </m:r>
            <m:r>
              <m:rPr>
                <m:sty m:val="p"/>
              </m:rPr>
              <m:t>)</m:t>
            </m:r>
          </m:num>
          <m:den>
            <m:r>
              <m:t>d</m:t>
            </m:r>
            <m:r>
              <m:t>q</m:t>
            </m:r>
          </m:den>
        </m:f>
        <m:r>
          <m:rPr>
            <m:sty m:val="p"/>
          </m:rPr>
          <m:t>=</m:t>
        </m:r>
        <m:f>
          <m:fPr>
            <m:type m:val="bar"/>
          </m:fPr>
          <m:num>
            <m:r>
              <m:t>d</m:t>
            </m:r>
            <m:r>
              <m:t>C</m:t>
            </m:r>
            <m:r>
              <m:t>V</m:t>
            </m:r>
            <m:r>
              <m:rPr>
                <m:sty m:val="p"/>
              </m:rPr>
              <m:t>(</m:t>
            </m:r>
            <m:r>
              <m:t>q</m:t>
            </m:r>
            <m:r>
              <m:rPr>
                <m:sty m:val="p"/>
              </m:rPr>
              <m:t>)</m:t>
            </m:r>
          </m:num>
          <m:den>
            <m:r>
              <m:t>d</m:t>
            </m:r>
            <m:r>
              <m:t>q</m:t>
            </m:r>
          </m:den>
        </m:f>
      </m:oMath>
    </w:p>
    <w:bookmarkEnd w:id="710"/>
    <w:bookmarkStart w:id="711" w:name="relações-entre-as-curvas-de-custo"/>
    <w:p>
      <w:pPr>
        <w:pStyle w:val="Heading4"/>
      </w:pPr>
      <w:r>
        <w:t xml:space="preserve">Relações entre as curvas de custo</w:t>
      </w:r>
    </w:p>
    <w:p>
      <w:pPr>
        <w:pStyle w:val="FirstParagraph"/>
      </w:pPr>
      <w:r>
        <w:t xml:space="preserve">A</w:t>
      </w:r>
      <w:r>
        <w:t xml:space="preserve"> </w:t>
      </w:r>
      <w:hyperlink w:anchor="tabela-11-1">
        <w:r>
          <w:rPr>
            <w:rStyle w:val="Hyperlink"/>
          </w:rPr>
          <w:t xml:space="preserve">Tabela 11.1</w:t>
        </w:r>
      </w:hyperlink>
      <w:r>
        <w:t xml:space="preserve"> </w:t>
      </w:r>
      <w:r>
        <w:t xml:space="preserve">sintetiza as principais relações entre as curvas de custo.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Relação</w:t>
            </w:r>
          </w:p>
        </w:tc>
        <w:tc>
          <w:tcPr/>
          <w:p>
            <w:pPr>
              <w:pStyle w:val="Compact"/>
              <w:jc w:val="left"/>
            </w:pPr>
            <w:r>
              <w:t xml:space="preserve">Expressão</w:t>
            </w:r>
          </w:p>
        </w:tc>
        <w:tc>
          <w:tcPr/>
          <w:p>
            <w:pPr>
              <w:pStyle w:val="Compact"/>
              <w:jc w:val="left"/>
            </w:pPr>
            <w:r>
              <w:t xml:space="preserve">Implicação</w:t>
            </w:r>
          </w:p>
        </w:tc>
      </w:tr>
      <w:tr>
        <w:tc>
          <w:tcPr/>
          <w:p>
            <w:pPr>
              <w:pStyle w:val="Compact"/>
              <w:jc w:val="left"/>
            </w:pPr>
            <w:r>
              <w:t xml:space="preserve">CMg e CMe</w:t>
            </w:r>
          </w:p>
        </w:tc>
        <w:tc>
          <w:tcPr/>
          <w:p>
            <w:pPr>
              <w:pStyle w:val="Compact"/>
              <w:jc w:val="left"/>
            </w:pPr>
            <w:r>
              <w:t xml:space="preserve">Se</w:t>
            </w:r>
            <w:r>
              <w:t xml:space="preserve"> </w:t>
            </w:r>
            <m:oMath>
              <m:r>
                <m:rPr>
                  <m:sty m:val="p"/>
                </m:rPr>
                <m:t>C</m:t>
              </m:r>
              <m:r>
                <m:rPr>
                  <m:sty m:val="p"/>
                </m:rPr>
                <m:t>M</m:t>
              </m:r>
              <m:r>
                <m:rPr>
                  <m:sty m:val="p"/>
                </m:rPr>
                <m:t>g</m:t>
              </m:r>
              <m:r>
                <m:rPr>
                  <m:sty m:val="p"/>
                </m:rPr>
                <m:t>&lt;</m:t>
              </m:r>
              <m:r>
                <m:rPr>
                  <m:sty m:val="p"/>
                </m:rPr>
                <m:t>C</m:t>
              </m:r>
              <m:r>
                <m:rPr>
                  <m:sty m:val="p"/>
                </m:rPr>
                <m:t>M</m:t>
              </m:r>
              <m:r>
                <m:rPr>
                  <m:sty m:val="p"/>
                </m:rPr>
                <m:t>e</m:t>
              </m:r>
            </m:oMath>
            <w:r>
              <w:t xml:space="preserve">, CMe é decrescente</w:t>
            </w:r>
          </w:p>
        </w:tc>
        <w:tc>
          <w:tcPr/>
          <w:p>
            <w:pPr>
              <w:pStyle w:val="Compact"/>
              <w:jc w:val="left"/>
            </w:pPr>
            <w:r>
              <w:t xml:space="preserve">CMg</w:t>
            </w:r>
            <w:r>
              <w:t xml:space="preserve"> </w:t>
            </w:r>
            <w:r>
              <w:t xml:space="preserve">“puxa”</w:t>
            </w:r>
            <w:r>
              <w:t xml:space="preserve"> </w:t>
            </w:r>
            <w:r>
              <w:t xml:space="preserve">CMe para baixo</w:t>
            </w:r>
          </w:p>
        </w:tc>
      </w:tr>
      <w:tr>
        <w:tc>
          <w:tcPr/>
          <w:p>
            <w:pPr>
              <w:pStyle w:val="Compact"/>
              <w:jc w:val="left"/>
            </w:pPr>
            <w:r>
              <w:t xml:space="preserve">CMg e CMe</w:t>
            </w:r>
          </w:p>
        </w:tc>
        <w:tc>
          <w:tcPr/>
          <w:p>
            <w:pPr>
              <w:pStyle w:val="Compact"/>
              <w:jc w:val="left"/>
            </w:pPr>
            <w:r>
              <w:t xml:space="preserve">Se</w:t>
            </w:r>
            <w:r>
              <w:t xml:space="preserve"> </w:t>
            </w:r>
            <m:oMath>
              <m:r>
                <m:rPr>
                  <m:sty m:val="p"/>
                </m:rPr>
                <m:t>C</m:t>
              </m:r>
              <m:r>
                <m:rPr>
                  <m:sty m:val="p"/>
                </m:rPr>
                <m:t>M</m:t>
              </m:r>
              <m:r>
                <m:rPr>
                  <m:sty m:val="p"/>
                </m:rPr>
                <m:t>g</m:t>
              </m:r>
              <m:r>
                <m:rPr>
                  <m:sty m:val="p"/>
                </m:rPr>
                <m:t>&gt;</m:t>
              </m:r>
              <m:r>
                <m:rPr>
                  <m:sty m:val="p"/>
                </m:rPr>
                <m:t>C</m:t>
              </m:r>
              <m:r>
                <m:rPr>
                  <m:sty m:val="p"/>
                </m:rPr>
                <m:t>M</m:t>
              </m:r>
              <m:r>
                <m:rPr>
                  <m:sty m:val="p"/>
                </m:rPr>
                <m:t>e</m:t>
              </m:r>
            </m:oMath>
            <w:r>
              <w:t xml:space="preserve">, CMe é crescente</w:t>
            </w:r>
          </w:p>
        </w:tc>
        <w:tc>
          <w:tcPr/>
          <w:p>
            <w:pPr>
              <w:pStyle w:val="Compact"/>
              <w:jc w:val="left"/>
            </w:pPr>
            <w:r>
              <w:t xml:space="preserve">CMg</w:t>
            </w:r>
            <w:r>
              <w:t xml:space="preserve"> </w:t>
            </w:r>
            <w:r>
              <w:t xml:space="preserve">“puxa”</w:t>
            </w:r>
            <w:r>
              <w:t xml:space="preserve"> </w:t>
            </w:r>
            <w:r>
              <w:t xml:space="preserve">CMe para cima</w:t>
            </w:r>
          </w:p>
        </w:tc>
      </w:tr>
      <w:tr>
        <w:tc>
          <w:tcPr/>
          <w:p>
            <w:pPr>
              <w:pStyle w:val="Compact"/>
              <w:jc w:val="left"/>
            </w:pPr>
            <w:r>
              <w:t xml:space="preserve">CMg e CMe</w:t>
            </w:r>
          </w:p>
        </w:tc>
        <w:tc>
          <w:tcPr/>
          <w:p>
            <w:pPr>
              <w:pStyle w:val="Compact"/>
              <w:jc w:val="left"/>
            </w:pPr>
            <w:r>
              <w:t xml:space="preserve">Se</w:t>
            </w:r>
            <w:r>
              <w:t xml:space="preserve"> </w:t>
            </w:r>
            <m:oMath>
              <m:r>
                <m:rPr>
                  <m:sty m:val="p"/>
                </m:rPr>
                <m:t>C</m:t>
              </m:r>
              <m:r>
                <m:rPr>
                  <m:sty m:val="p"/>
                </m:rPr>
                <m:t>M</m:t>
              </m:r>
              <m:r>
                <m:rPr>
                  <m:sty m:val="p"/>
                </m:rPr>
                <m:t>g</m:t>
              </m:r>
              <m:r>
                <m:rPr>
                  <m:sty m:val="p"/>
                </m:rPr>
                <m:t>=</m:t>
              </m:r>
              <m:r>
                <m:rPr>
                  <m:sty m:val="p"/>
                </m:rPr>
                <m:t>C</m:t>
              </m:r>
              <m:r>
                <m:rPr>
                  <m:sty m:val="p"/>
                </m:rPr>
                <m:t>M</m:t>
              </m:r>
              <m:r>
                <m:rPr>
                  <m:sty m:val="p"/>
                </m:rPr>
                <m:t>e</m:t>
              </m:r>
            </m:oMath>
            <w:r>
              <w:t xml:space="preserve">, CMe é mínimo</w:t>
            </w:r>
          </w:p>
        </w:tc>
        <w:tc>
          <w:tcPr/>
          <w:p>
            <w:pPr>
              <w:pStyle w:val="Compact"/>
              <w:jc w:val="left"/>
            </w:pPr>
            <w:r>
              <w:t xml:space="preserve">CMg cruza CMe no ponto mínimo</w:t>
            </w:r>
          </w:p>
        </w:tc>
      </w:tr>
      <w:tr>
        <w:tc>
          <w:tcPr/>
          <w:p>
            <w:pPr>
              <w:pStyle w:val="Compact"/>
              <w:jc w:val="left"/>
            </w:pPr>
            <w:r>
              <w:t xml:space="preserve">CMg e CVMe</w:t>
            </w:r>
          </w:p>
        </w:tc>
        <w:tc>
          <w:tcPr/>
          <w:p>
            <w:pPr>
              <w:pStyle w:val="Compact"/>
              <w:jc w:val="left"/>
            </w:pPr>
            <w:r>
              <w:t xml:space="preserve">Se</w:t>
            </w:r>
            <w:r>
              <w:t xml:space="preserve"> </w:t>
            </w:r>
            <m:oMath>
              <m:r>
                <m:rPr>
                  <m:sty m:val="p"/>
                </m:rPr>
                <m:t>C</m:t>
              </m:r>
              <m:r>
                <m:rPr>
                  <m:sty m:val="p"/>
                </m:rPr>
                <m:t>M</m:t>
              </m:r>
              <m:r>
                <m:rPr>
                  <m:sty m:val="p"/>
                </m:rPr>
                <m:t>g</m:t>
              </m:r>
              <m:r>
                <m:rPr>
                  <m:sty m:val="p"/>
                </m:rPr>
                <m:t>&lt;</m:t>
              </m:r>
              <m:r>
                <m:rPr>
                  <m:sty m:val="p"/>
                </m:rPr>
                <m:t>C</m:t>
              </m:r>
              <m:r>
                <m:rPr>
                  <m:sty m:val="p"/>
                </m:rPr>
                <m:t>V</m:t>
              </m:r>
              <m:r>
                <m:rPr>
                  <m:sty m:val="p"/>
                </m:rPr>
                <m:t>M</m:t>
              </m:r>
              <m:r>
                <m:rPr>
                  <m:sty m:val="p"/>
                </m:rPr>
                <m:t>e</m:t>
              </m:r>
            </m:oMath>
            <w:r>
              <w:t xml:space="preserve">, CVMe é decrescente</w:t>
            </w:r>
          </w:p>
        </w:tc>
        <w:tc>
          <w:tcPr/>
          <w:p>
            <w:pPr>
              <w:pStyle w:val="Compact"/>
              <w:jc w:val="left"/>
            </w:pPr>
            <w:r>
              <w:t xml:space="preserve">Mesma lógica do CMe</w:t>
            </w:r>
          </w:p>
        </w:tc>
      </w:tr>
      <w:tr>
        <w:tc>
          <w:tcPr/>
          <w:p>
            <w:pPr>
              <w:pStyle w:val="Compact"/>
              <w:jc w:val="left"/>
            </w:pPr>
            <w:r>
              <w:t xml:space="preserve">CMg e CVMe</w:t>
            </w:r>
          </w:p>
        </w:tc>
        <w:tc>
          <w:tcPr/>
          <w:p>
            <w:pPr>
              <w:pStyle w:val="Compact"/>
              <w:jc w:val="left"/>
            </w:pPr>
            <w:r>
              <w:t xml:space="preserve">Se</w:t>
            </w:r>
            <w:r>
              <w:t xml:space="preserve"> </w:t>
            </w:r>
            <m:oMath>
              <m:r>
                <m:rPr>
                  <m:sty m:val="p"/>
                </m:rPr>
                <m:t>C</m:t>
              </m:r>
              <m:r>
                <m:rPr>
                  <m:sty m:val="p"/>
                </m:rPr>
                <m:t>M</m:t>
              </m:r>
              <m:r>
                <m:rPr>
                  <m:sty m:val="p"/>
                </m:rPr>
                <m:t>g</m:t>
              </m:r>
              <m:r>
                <m:rPr>
                  <m:sty m:val="p"/>
                </m:rPr>
                <m:t>=</m:t>
              </m:r>
              <m:r>
                <m:rPr>
                  <m:sty m:val="p"/>
                </m:rPr>
                <m:t>C</m:t>
              </m:r>
              <m:r>
                <m:rPr>
                  <m:sty m:val="p"/>
                </m:rPr>
                <m:t>V</m:t>
              </m:r>
              <m:r>
                <m:rPr>
                  <m:sty m:val="p"/>
                </m:rPr>
                <m:t>M</m:t>
              </m:r>
              <m:r>
                <m:rPr>
                  <m:sty m:val="p"/>
                </m:rPr>
                <m:t>e</m:t>
              </m:r>
            </m:oMath>
            <w:r>
              <w:t xml:space="preserve">, CVMe é mínimo</w:t>
            </w:r>
          </w:p>
        </w:tc>
        <w:tc>
          <w:tcPr/>
          <w:p>
            <w:pPr>
              <w:pStyle w:val="Compact"/>
              <w:jc w:val="left"/>
            </w:pPr>
            <w:r>
              <w:t xml:space="preserve">CMg cruza CVMe no ponto mínimo</w:t>
            </w:r>
          </w:p>
        </w:tc>
      </w:tr>
      <w:tr>
        <w:tc>
          <w:tcPr/>
          <w:p>
            <w:pPr>
              <w:pStyle w:val="Compact"/>
              <w:jc w:val="left"/>
            </w:pPr>
            <w:r>
              <w:t xml:space="preserve">CMe e CVMe</w:t>
            </w:r>
          </w:p>
        </w:tc>
        <w:tc>
          <w:tcPr/>
          <w:p>
            <w:pPr>
              <w:pStyle w:val="Compact"/>
              <w:jc w:val="left"/>
            </w:pPr>
            <m:oMath>
              <m:r>
                <m:rPr>
                  <m:sty m:val="p"/>
                </m:rPr>
                <m:t>C</m:t>
              </m:r>
              <m:r>
                <m:rPr>
                  <m:sty m:val="p"/>
                </m:rPr>
                <m:t>M</m:t>
              </m:r>
              <m:r>
                <m:rPr>
                  <m:sty m:val="p"/>
                </m:rPr>
                <m:t>e</m:t>
              </m:r>
              <m:r>
                <m:rPr>
                  <m:sty m:val="p"/>
                </m:rPr>
                <m:t>=</m:t>
              </m:r>
              <m:r>
                <m:rPr>
                  <m:sty m:val="p"/>
                </m:rPr>
                <m:t>C</m:t>
              </m:r>
              <m:r>
                <m:rPr>
                  <m:sty m:val="p"/>
                </m:rPr>
                <m:t>V</m:t>
              </m:r>
              <m:r>
                <m:rPr>
                  <m:sty m:val="p"/>
                </m:rPr>
                <m:t>M</m:t>
              </m:r>
              <m:r>
                <m:rPr>
                  <m:sty m:val="p"/>
                </m:rPr>
                <m:t>e</m:t>
              </m:r>
              <m:r>
                <m:rPr>
                  <m:sty m:val="p"/>
                </m:rPr>
                <m:t>+</m:t>
              </m:r>
              <m:r>
                <m:rPr>
                  <m:sty m:val="p"/>
                </m:rPr>
                <m:t>C</m:t>
              </m:r>
              <m:r>
                <m:rPr>
                  <m:sty m:val="p"/>
                </m:rPr>
                <m:t>F</m:t>
              </m:r>
              <m:r>
                <m:rPr>
                  <m:sty m:val="p"/>
                </m:rPr>
                <m:t>M</m:t>
              </m:r>
              <m:r>
                <m:rPr>
                  <m:sty m:val="p"/>
                </m:rPr>
                <m:t>e</m:t>
              </m:r>
            </m:oMath>
          </w:p>
        </w:tc>
        <w:tc>
          <w:tcPr/>
          <w:p>
            <w:pPr>
              <w:pStyle w:val="Compact"/>
              <w:jc w:val="left"/>
            </w:pPr>
            <w:r>
              <w:t xml:space="preserve">CMe está sempre acima de CVMe</w:t>
            </w:r>
          </w:p>
        </w:tc>
      </w:tr>
      <w:tr>
        <w:tc>
          <w:tcPr/>
          <w:p>
            <w:pPr>
              <w:pStyle w:val="Compact"/>
              <w:jc w:val="left"/>
            </w:pPr>
            <w:r>
              <w:t xml:space="preserve">CMe e CVMe</w:t>
            </w:r>
          </w:p>
        </w:tc>
        <w:tc>
          <w:tcPr/>
          <w:p>
            <w:pPr>
              <w:pStyle w:val="Compact"/>
              <w:jc w:val="left"/>
            </w:pPr>
            <m:oMath>
              <m:r>
                <m:rPr>
                  <m:sty m:val="p"/>
                </m:rPr>
                <m:t>C</m:t>
              </m:r>
              <m:r>
                <m:rPr>
                  <m:sty m:val="p"/>
                </m:rPr>
                <m:t>M</m:t>
              </m:r>
              <m:r>
                <m:rPr>
                  <m:sty m:val="p"/>
                </m:rPr>
                <m:t>e</m:t>
              </m:r>
              <m:r>
                <m:rPr>
                  <m:sty m:val="p"/>
                </m:rPr>
                <m:t>−</m:t>
              </m:r>
              <m:r>
                <m:rPr>
                  <m:sty m:val="p"/>
                </m:rPr>
                <m:t>C</m:t>
              </m:r>
              <m:r>
                <m:rPr>
                  <m:sty m:val="p"/>
                </m:rPr>
                <m:t>V</m:t>
              </m:r>
              <m:r>
                <m:rPr>
                  <m:sty m:val="p"/>
                </m:rPr>
                <m:t>M</m:t>
              </m:r>
              <m:r>
                <m:rPr>
                  <m:sty m:val="p"/>
                </m:rPr>
                <m:t>e</m:t>
              </m:r>
              <m:r>
                <m:rPr>
                  <m:sty m:val="p"/>
                </m:rPr>
                <m:t>=</m:t>
              </m:r>
              <m:r>
                <m:t>C</m:t>
              </m:r>
              <m:r>
                <m:t>F</m:t>
              </m:r>
              <m:r>
                <m:rPr>
                  <m:sty m:val="p"/>
                </m:rPr>
                <m:t>/</m:t>
              </m:r>
              <m:r>
                <m:t>q</m:t>
              </m:r>
              <m:r>
                <m:rPr>
                  <m:sty m:val="p"/>
                </m:rPr>
                <m:t>→</m:t>
              </m:r>
              <m:r>
                <m:t>0</m:t>
              </m:r>
            </m:oMath>
          </w:p>
        </w:tc>
        <w:tc>
          <w:tcPr/>
          <w:p>
            <w:pPr>
              <w:pStyle w:val="Compact"/>
              <w:jc w:val="left"/>
            </w:pPr>
            <w:r>
              <w:t xml:space="preserve">As curvas convergem quando</w:t>
            </w:r>
            <w:r>
              <w:t xml:space="preserve"> </w:t>
            </w:r>
            <m:oMath>
              <m:r>
                <m:t>q</m:t>
              </m:r>
              <m:r>
                <m:rPr>
                  <m:sty m:val="p"/>
                </m:rPr>
                <m:t>→</m:t>
              </m:r>
              <m:r>
                <m:rPr>
                  <m:sty m:val="p"/>
                </m:rPr>
                <m:t>∞</m:t>
              </m:r>
            </m:oMath>
          </w:p>
        </w:tc>
      </w:tr>
      <w:tr>
        <w:tc>
          <w:tcPr/>
          <w:p>
            <w:pPr>
              <w:pStyle w:val="Compact"/>
              <w:jc w:val="left"/>
            </w:pPr>
            <w:r>
              <w:t xml:space="preserve">Área sob CMg</w:t>
            </w:r>
          </w:p>
        </w:tc>
        <w:tc>
          <w:tcPr/>
          <w:p>
            <w:pPr>
              <w:pStyle w:val="Compact"/>
              <w:jc w:val="left"/>
            </w:pPr>
            <m:oMath>
              <m:nary>
                <m:naryPr>
                  <m:chr m:val="∫"/>
                  <m:limLoc m:val="subSup"/>
                  <m:subHide m:val="off"/>
                  <m:supHide m:val="off"/>
                </m:naryPr>
                <m:sub>
                  <m:r>
                    <m:t>0</m:t>
                  </m:r>
                </m:sub>
                <m:sup>
                  <m:r>
                    <m:t>q</m:t>
                  </m:r>
                </m:sup>
                <m:e>
                  <m:r>
                    <m:rPr>
                      <m:sty m:val="p"/>
                    </m:rPr>
                    <m:t>C</m:t>
                  </m:r>
                  <m:r>
                    <m:rPr>
                      <m:sty m:val="p"/>
                    </m:rPr>
                    <m:t>M</m:t>
                  </m:r>
                  <m:r>
                    <m:rPr>
                      <m:sty m:val="p"/>
                    </m:rPr>
                    <m:t>g</m:t>
                  </m:r>
                </m:e>
              </m:nary>
              <m:r>
                <m:rPr>
                  <m:sty m:val="p"/>
                </m:rPr>
                <m:t>(</m:t>
              </m:r>
              <m:r>
                <m:t>x</m:t>
              </m:r>
              <m:r>
                <m:rPr>
                  <m:sty m:val="p"/>
                </m:rPr>
                <m:t>)</m:t>
              </m:r>
              <m:r>
                <m:t> </m:t>
              </m:r>
              <m:r>
                <m:t>d</m:t>
              </m:r>
              <m:r>
                <m:t>x</m:t>
              </m:r>
              <m:r>
                <m:rPr>
                  <m:sty m:val="p"/>
                </m:rPr>
                <m:t>=</m:t>
              </m:r>
              <m:r>
                <m:t>C</m:t>
              </m:r>
              <m:r>
                <m:t>V</m:t>
              </m:r>
              <m:r>
                <m:rPr>
                  <m:sty m:val="p"/>
                </m:rPr>
                <m:t>(</m:t>
              </m:r>
              <m:r>
                <m:t>q</m:t>
              </m:r>
              <m:r>
                <m:rPr>
                  <m:sty m:val="p"/>
                </m:rPr>
                <m:t>)</m:t>
              </m:r>
            </m:oMath>
          </w:p>
        </w:tc>
        <w:tc>
          <w:tcPr/>
          <w:p>
            <w:pPr>
              <w:pStyle w:val="Compact"/>
              <w:jc w:val="left"/>
            </w:pPr>
            <w:r>
              <w:t xml:space="preserve">Custo variável = área sob CMg</w:t>
            </w:r>
          </w:p>
        </w:tc>
      </w:tr>
    </w:tbl>
    <w:p>
      <w:pPr>
        <w:pStyle w:val="BodyText"/>
      </w:pPr>
      <w:r>
        <w:rPr>
          <w:b/>
          <w:bCs/>
        </w:rPr>
        <w:t xml:space="preserve">Tabela 11.1 — Relações entre as curvas de custo.</w:t>
      </w:r>
    </w:p>
    <w:p>
      <w:pPr>
        <w:pStyle w:val="BodyText"/>
      </w:pPr>
      <w:r>
        <w:t xml:space="preserve">A demonstração de que o CMg cruza o CMe no ponto de mínimo segue diretamente:</w:t>
      </w:r>
    </w:p>
    <w:p>
      <w:pPr>
        <w:pStyle w:val="BodyText"/>
      </w:pPr>
      <m:oMathPara>
        <m:oMathParaPr>
          <m:jc m:val="center"/>
        </m:oMathParaPr>
        <m:oMath>
          <m:f>
            <m:fPr>
              <m:type m:val="bar"/>
            </m:fPr>
            <m:num>
              <m:r>
                <m:t>d</m:t>
              </m:r>
              <m:r>
                <m:rPr>
                  <m:sty m:val="p"/>
                </m:rPr>
                <m:t>(</m:t>
              </m:r>
              <m:r>
                <m:rPr>
                  <m:sty m:val="p"/>
                </m:rPr>
                <m:t>C</m:t>
              </m:r>
              <m:r>
                <m:rPr>
                  <m:sty m:val="p"/>
                </m:rPr>
                <m:t>M</m:t>
              </m:r>
              <m:r>
                <m:rPr>
                  <m:sty m:val="p"/>
                </m:rPr>
                <m:t>e</m:t>
              </m:r>
              <m:r>
                <m:rPr>
                  <m:sty m:val="p"/>
                </m:rPr>
                <m:t>)</m:t>
              </m:r>
            </m:num>
            <m:den>
              <m:r>
                <m:t>d</m:t>
              </m:r>
              <m:r>
                <m:t>q</m:t>
              </m:r>
            </m:den>
          </m:f>
          <m:r>
            <m:rPr>
              <m:sty m:val="p"/>
            </m:rPr>
            <m:t>=</m:t>
          </m:r>
          <m:f>
            <m:fPr>
              <m:type m:val="bar"/>
            </m:fPr>
            <m:num>
              <m:r>
                <m:t>d</m:t>
              </m:r>
            </m:num>
            <m:den>
              <m:r>
                <m:t>d</m:t>
              </m:r>
              <m:r>
                <m:t>q</m:t>
              </m:r>
            </m:den>
          </m:f>
          <m:d>
            <m:dPr>
              <m:begChr m:val="("/>
              <m:sepChr m:val=""/>
              <m:endChr m:val=")"/>
              <m:grow/>
            </m:dPr>
            <m:e>
              <m:f>
                <m:fPr>
                  <m:type m:val="bar"/>
                </m:fPr>
                <m:num>
                  <m:r>
                    <m:t>C</m:t>
                  </m:r>
                  <m:r>
                    <m:t>T</m:t>
                  </m:r>
                </m:num>
                <m:den>
                  <m:r>
                    <m:t>q</m:t>
                  </m:r>
                </m:den>
              </m:f>
            </m:e>
          </m:d>
          <m:r>
            <m:rPr>
              <m:sty m:val="p"/>
            </m:rPr>
            <m:t>=</m:t>
          </m:r>
          <m:f>
            <m:fPr>
              <m:type m:val="bar"/>
            </m:fPr>
            <m:num>
              <m:r>
                <m:rPr>
                  <m:sty m:val="p"/>
                </m:rPr>
                <m:t>C</m:t>
              </m:r>
              <m:r>
                <m:rPr>
                  <m:sty m:val="p"/>
                </m:rPr>
                <m:t>M</m:t>
              </m:r>
              <m:r>
                <m:rPr>
                  <m:sty m:val="p"/>
                </m:rPr>
                <m:t>g</m:t>
              </m:r>
              <m:r>
                <m:rPr>
                  <m:sty m:val="p"/>
                </m:rPr>
                <m:t>⋅</m:t>
              </m:r>
              <m:r>
                <m:t>q</m:t>
              </m:r>
              <m:r>
                <m:rPr>
                  <m:sty m:val="p"/>
                </m:rPr>
                <m:t>−</m:t>
              </m:r>
              <m:r>
                <m:t>C</m:t>
              </m:r>
              <m:r>
                <m:t>T</m:t>
              </m:r>
            </m:num>
            <m:den>
              <m:sSup>
                <m:e>
                  <m:r>
                    <m:t>q</m:t>
                  </m:r>
                </m:e>
                <m:sup>
                  <m:r>
                    <m:t>2</m:t>
                  </m:r>
                </m:sup>
              </m:sSup>
            </m:den>
          </m:f>
          <m:r>
            <m:rPr>
              <m:sty m:val="p"/>
            </m:rPr>
            <m:t>=</m:t>
          </m:r>
          <m:f>
            <m:fPr>
              <m:type m:val="bar"/>
            </m:fPr>
            <m:num>
              <m:r>
                <m:rPr>
                  <m:sty m:val="p"/>
                </m:rPr>
                <m:t>C</m:t>
              </m:r>
              <m:r>
                <m:rPr>
                  <m:sty m:val="p"/>
                </m:rPr>
                <m:t>M</m:t>
              </m:r>
              <m:r>
                <m:rPr>
                  <m:sty m:val="p"/>
                </m:rPr>
                <m:t>g</m:t>
              </m:r>
              <m:r>
                <m:rPr>
                  <m:sty m:val="p"/>
                </m:rPr>
                <m:t>−</m:t>
              </m:r>
              <m:r>
                <m:rPr>
                  <m:sty m:val="p"/>
                </m:rPr>
                <m:t>C</m:t>
              </m:r>
              <m:r>
                <m:rPr>
                  <m:sty m:val="p"/>
                </m:rPr>
                <m:t>M</m:t>
              </m:r>
              <m:r>
                <m:rPr>
                  <m:sty m:val="p"/>
                </m:rPr>
                <m:t>e</m:t>
              </m:r>
            </m:num>
            <m:den>
              <m:r>
                <m:t>q</m:t>
              </m:r>
            </m:den>
          </m:f>
        </m:oMath>
      </m:oMathPara>
    </w:p>
    <w:p>
      <w:pPr>
        <w:pStyle w:val="FirstParagraph"/>
      </w:pPr>
      <w:r>
        <w:t xml:space="preserve">Portanto, pela equação Eq. (eq:11.8),</w:t>
      </w:r>
      <w:r>
        <w:t xml:space="preserve"> </w:t>
      </w:r>
      <m:oMath>
        <m:r>
          <m:rPr>
            <m:sty m:val="p"/>
          </m:rPr>
          <m:t>C</m:t>
        </m:r>
        <m:r>
          <m:rPr>
            <m:sty m:val="p"/>
          </m:rPr>
          <m:t>M</m:t>
        </m:r>
        <m:r>
          <m:rPr>
            <m:sty m:val="p"/>
          </m:rPr>
          <m:t>e</m:t>
        </m:r>
      </m:oMath>
      <w:r>
        <w:t xml:space="preserve"> </w:t>
      </w:r>
      <w:r>
        <w:t xml:space="preserve">é decrescente quando</w:t>
      </w:r>
      <w:r>
        <w:t xml:space="preserve"> </w:t>
      </w:r>
      <m:oMath>
        <m:r>
          <m:rPr>
            <m:sty m:val="p"/>
          </m:rPr>
          <m:t>C</m:t>
        </m:r>
        <m:r>
          <m:rPr>
            <m:sty m:val="p"/>
          </m:rPr>
          <m:t>M</m:t>
        </m:r>
        <m:r>
          <m:rPr>
            <m:sty m:val="p"/>
          </m:rPr>
          <m:t>g</m:t>
        </m:r>
        <m:r>
          <m:rPr>
            <m:sty m:val="p"/>
          </m:rPr>
          <m:t>&lt;</m:t>
        </m:r>
        <m:r>
          <m:rPr>
            <m:sty m:val="p"/>
          </m:rPr>
          <m:t>C</m:t>
        </m:r>
        <m:r>
          <m:rPr>
            <m:sty m:val="p"/>
          </m:rPr>
          <m:t>M</m:t>
        </m:r>
        <m:r>
          <m:rPr>
            <m:sty m:val="p"/>
          </m:rPr>
          <m:t>e</m:t>
        </m:r>
      </m:oMath>
      <w:r>
        <w:t xml:space="preserve"> </w:t>
      </w:r>
      <w:r>
        <w:t xml:space="preserve">e crescente quando</w:t>
      </w:r>
      <w:r>
        <w:t xml:space="preserve"> </w:t>
      </w:r>
      <m:oMath>
        <m:r>
          <m:rPr>
            <m:sty m:val="p"/>
          </m:rPr>
          <m:t>C</m:t>
        </m:r>
        <m:r>
          <m:rPr>
            <m:sty m:val="p"/>
          </m:rPr>
          <m:t>M</m:t>
        </m:r>
        <m:r>
          <m:rPr>
            <m:sty m:val="p"/>
          </m:rPr>
          <m:t>g</m:t>
        </m:r>
        <m:r>
          <m:rPr>
            <m:sty m:val="p"/>
          </m:rPr>
          <m:t>&gt;</m:t>
        </m:r>
        <m:r>
          <m:rPr>
            <m:sty m:val="p"/>
          </m:rPr>
          <m:t>C</m:t>
        </m:r>
        <m:r>
          <m:rPr>
            <m:sty m:val="p"/>
          </m:rPr>
          <m:t>M</m:t>
        </m:r>
        <m:r>
          <m:rPr>
            <m:sty m:val="p"/>
          </m:rPr>
          <m:t>e</m:t>
        </m:r>
      </m:oMath>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O custo marginal</w:t>
      </w:r>
      <w:r>
        <w:t xml:space="preserve"> </w:t>
      </w:r>
      <w:r>
        <w:t xml:space="preserve">“puxa”</w:t>
      </w:r>
      <w:r>
        <w:t xml:space="preserve"> </w:t>
      </w:r>
      <w:r>
        <w:t xml:space="preserve">o custo médio — se produzir uma unidade a mais custa menos que a média, a média cai; se custa mais, a média sobe.</w:t>
      </w:r>
    </w:p>
    <w:p>
      <w:pPr>
        <w:pStyle w:val="BlockText"/>
      </w:pPr>
      <w:r>
        <w:rPr>
          <w:b/>
          <w:bCs/>
        </w:rPr>
        <w:t xml:space="preserve">Pense assim:</w:t>
      </w:r>
      <w:r>
        <w:t xml:space="preserve"> </w:t>
      </w:r>
      <w:r>
        <w:t xml:space="preserve">Pense na sua média de notas na faculdade. Se você tira 9 na próxima prova e sua média é 7, a média sobe. Se tira 5, a média cai. A nota marginal (a próxima prova) sempre arrasta a média na sua direção. Com custos é igual: o CMg cruza o CMe exatamente no ponto de mínimo do CMe.</w:t>
      </w:r>
    </w:p>
    <w:p>
      <w:pPr>
        <w:pStyle w:val="BlockText"/>
      </w:pPr>
      <w:r>
        <w:rPr>
          <w:b/>
          <w:bCs/>
        </w:rPr>
        <w:t xml:space="preserve">Por que isso importa:</w:t>
      </w:r>
      <w:r>
        <w:t xml:space="preserve"> </w:t>
      </w:r>
      <w:r>
        <w:t xml:space="preserve">Essa relação determina a escala ótima de produção das firmas e é a base para entender por que empresas brasileiras em setores com altos custos fixos (como telecomunicações) precisam de escala grande para serem viáveis.</w:t>
      </w:r>
    </w:p>
    <w:p>
      <w:pPr>
        <w:pStyle w:val="BlockText"/>
      </w:pPr>
      <w:r>
        <w:rPr>
          <w:b/>
          <w:bCs/>
        </w:rPr>
        <w:t xml:space="preserve">[ATENCAO] Cuidado</w:t>
      </w:r>
    </w:p>
    <w:p>
      <w:pPr>
        <w:pStyle w:val="BlockText"/>
      </w:pPr>
      <w:r>
        <w:rPr>
          <w:b/>
          <w:bCs/>
        </w:rPr>
        <w:t xml:space="preserve">Confusão frequente:</w:t>
      </w:r>
      <w:r>
        <w:t xml:space="preserve"> </w:t>
      </w:r>
      <w:r>
        <w:t xml:space="preserve">O CMg cruza o CMe no</w:t>
      </w:r>
      <w:r>
        <w:t xml:space="preserve"> </w:t>
      </w:r>
      <w:r>
        <w:rPr>
          <w:b/>
          <w:bCs/>
        </w:rPr>
        <w:t xml:space="preserve">mínimo do CMe</w:t>
      </w:r>
      <w:r>
        <w:t xml:space="preserve"> </w:t>
      </w:r>
      <w:r>
        <w:t xml:space="preserve">— não o contrário. É o CMe que tem seu ponto de mínimo onde o CMg o cruza; o CMg não tem seu mínimo no cruzamento. Confundir a direção de causalidade é um erro clássico em provas da ANPEC.</w:t>
      </w:r>
    </w:p>
    <w:p>
      <w:pPr>
        <w:pStyle w:val="BlockText"/>
      </w:pPr>
      <w:r>
        <w:t xml:space="preserve">Para reforçar: o CMg tem seu próprio mínimo (onde</w:t>
      </w:r>
      <w:r>
        <w:t xml:space="preserve"> </w:t>
      </w:r>
      <m:oMath>
        <m:r>
          <m:t>d</m:t>
        </m:r>
        <m:r>
          <m:t> </m:t>
        </m:r>
        <m:r>
          <m:rPr>
            <m:sty m:val="p"/>
          </m:rPr>
          <m:t>C</m:t>
        </m:r>
        <m:r>
          <m:rPr>
            <m:sty m:val="p"/>
          </m:rPr>
          <m:t>M</m:t>
        </m:r>
        <m:r>
          <m:rPr>
            <m:sty m:val="p"/>
          </m:rPr>
          <m:t>g</m:t>
        </m:r>
        <m:r>
          <m:rPr>
            <m:sty m:val="p"/>
          </m:rPr>
          <m:t>/</m:t>
        </m:r>
        <m:r>
          <m:t>d</m:t>
        </m:r>
        <m:r>
          <m:t>q</m:t>
        </m:r>
        <m:r>
          <m:rPr>
            <m:sty m:val="p"/>
          </m:rPr>
          <m:t>=</m:t>
        </m:r>
        <m:r>
          <m:t>0</m:t>
        </m:r>
      </m:oMath>
      <w:r>
        <w:t xml:space="preserve">), que ocorre</w:t>
      </w:r>
      <w:r>
        <w:t xml:space="preserve"> </w:t>
      </w:r>
      <w:r>
        <w:rPr>
          <w:i/>
          <w:iCs/>
        </w:rPr>
        <w:t xml:space="preserve">antes</w:t>
      </w:r>
      <w:r>
        <w:t xml:space="preserve"> </w:t>
      </w:r>
      <w:r>
        <w:t xml:space="preserve">do ponto de cruzamento com o CMe. Graficamente, o CMg tem formato de U, atinge seu mínimo, continua subindo, e só então cruza o CMe — que nesse instante está em seu próprio mínimo. Se o CMg está abaixo do CMe</w:t>
      </w:r>
      <w:r>
        <w:t xml:space="preserve"> </w:t>
      </w:r>
      <w:r>
        <w:rPr>
          <w:i/>
          <w:iCs/>
        </w:rPr>
        <w:t xml:space="preserve">e subindo</w:t>
      </w:r>
      <w:r>
        <w:t xml:space="preserve">, o CMe ainda está caindo; o cruzamento ocorre apenas quando o CMg ultrapassa o CMe.</w:t>
      </w:r>
    </w:p>
    <w:bookmarkEnd w:id="711"/>
    <w:bookmarkStart w:id="712" w:name="formato-típico-das-curvas-de-custo"/>
    <w:p>
      <w:pPr>
        <w:pStyle w:val="Heading4"/>
      </w:pPr>
      <w:r>
        <w:t xml:space="preserve">Formato típico das curvas de custo</w:t>
      </w:r>
    </w:p>
    <w:p>
      <w:pPr>
        <w:pStyle w:val="FirstParagraph"/>
      </w:pPr>
      <w:r>
        <w:t xml:space="preserve">Com rendimentos marginais inicialmente crescentes e depois decrescentes (o formato clássico), as curvas de custo apresentam:</w:t>
      </w:r>
    </w:p>
    <w:p>
      <w:pPr>
        <w:pStyle w:val="Compact"/>
        <w:numPr>
          <w:ilvl w:val="0"/>
          <w:numId w:val="1679"/>
        </w:numPr>
      </w:pPr>
      <w:r>
        <w:rPr>
          <w:b/>
          <w:bCs/>
        </w:rPr>
        <w:t xml:space="preserve">CMg</w:t>
      </w:r>
      <w:r>
        <w:t xml:space="preserve">: formato de U — inicialmente decrescente (quando o produto marginal é crescente) e depois crescente (quando o produto marginal é decrescente).</w:t>
      </w:r>
    </w:p>
    <w:p>
      <w:pPr>
        <w:pStyle w:val="Compact"/>
        <w:numPr>
          <w:ilvl w:val="0"/>
          <w:numId w:val="1679"/>
        </w:numPr>
      </w:pPr>
      <w:r>
        <w:rPr>
          <w:b/>
          <w:bCs/>
        </w:rPr>
        <w:t xml:space="preserve">CVMe</w:t>
      </w:r>
      <w:r>
        <w:t xml:space="preserve">: formato de U — segue a mesma lógica, mas é mais suave.</w:t>
      </w:r>
    </w:p>
    <w:p>
      <w:pPr>
        <w:pStyle w:val="Compact"/>
        <w:numPr>
          <w:ilvl w:val="0"/>
          <w:numId w:val="1679"/>
        </w:numPr>
      </w:pPr>
      <w:r>
        <w:rPr>
          <w:b/>
          <w:bCs/>
        </w:rPr>
        <w:t xml:space="preserve">CMe</w:t>
      </w:r>
      <w:r>
        <w:t xml:space="preserve">: formato de U — soma de CVMe (U) com CFMe (decrescente). O mínimo do CMe ocorre à direita do mínimo do CVMe.</w:t>
      </w:r>
    </w:p>
    <w:p>
      <w:pPr>
        <w:pStyle w:val="BlockText"/>
      </w:pPr>
      <w:r>
        <w:rPr>
          <w:b/>
          <w:bCs/>
        </w:rPr>
        <w:t xml:space="preserve">[INTUICAO ECONOMICA] Intuição Econômica</w:t>
      </w:r>
    </w:p>
    <w:p>
      <w:pPr>
        <w:pStyle w:val="BlockText"/>
      </w:pPr>
      <w:r>
        <w:rPr>
          <w:b/>
          <w:bCs/>
        </w:rPr>
        <w:t xml:space="preserve">Em uma frase:</w:t>
      </w:r>
      <w:r>
        <w:t xml:space="preserve"> </w:t>
      </w:r>
      <w:r>
        <w:t xml:space="preserve">Custo marginal e produto marginal são espelhos: quando a produtividade do trabalhador sobe, o custo de mais uma unidade cai — e vice-versa.</w:t>
      </w:r>
    </w:p>
    <w:p>
      <w:pPr>
        <w:pStyle w:val="BlockText"/>
      </w:pPr>
      <w:r>
        <w:rPr>
          <w:b/>
          <w:bCs/>
        </w:rPr>
        <w:t xml:space="preserve">Pense assim:</w:t>
      </w:r>
      <w:r>
        <w:t xml:space="preserve"> </w:t>
      </w:r>
      <w:r>
        <w:t xml:space="preserve">Se um padeiro experiente faz 100 pães por hora e o aprendiz faz 20, o custo por pão do aprendiz é cinco vezes maior. Quando a produtividade marginal cresce (o aprendiz melhora), o custo marginal cai. A curva de CMg é o</w:t>
      </w:r>
      <w:r>
        <w:t xml:space="preserve"> </w:t>
      </w:r>
      <w:r>
        <w:t xml:space="preserve">“reflexo invertido”</w:t>
      </w:r>
      <w:r>
        <w:t xml:space="preserve"> </w:t>
      </w:r>
      <w:r>
        <w:t xml:space="preserve">da curva de PMg.</w:t>
      </w:r>
    </w:p>
    <w:p>
      <w:pPr>
        <w:pStyle w:val="BlockText"/>
      </w:pPr>
      <w:r>
        <w:rPr>
          <w:b/>
          <w:bCs/>
        </w:rPr>
        <w:t xml:space="preserve">Por que isso importa:</w:t>
      </w:r>
      <w:r>
        <w:t xml:space="preserve"> </w:t>
      </w:r>
      <w:r>
        <w:t xml:space="preserve">Essa relação inversa (</w:t>
      </w:r>
      <m:oMath>
        <m:r>
          <m:rPr>
            <m:sty m:val="p"/>
          </m:rPr>
          <m:t>C</m:t>
        </m:r>
        <m:r>
          <m:rPr>
            <m:sty m:val="p"/>
          </m:rPr>
          <m:t>M</m:t>
        </m:r>
        <m:r>
          <m:rPr>
            <m:sty m:val="p"/>
          </m:rPr>
          <m:t>g</m:t>
        </m:r>
        <m:r>
          <m:rPr>
            <m:sty m:val="p"/>
          </m:rPr>
          <m:t>=</m:t>
        </m:r>
        <m:r>
          <m:t>w</m:t>
        </m:r>
        <m:r>
          <m:rPr>
            <m:sty m:val="p"/>
          </m:rPr>
          <m:t>/</m:t>
        </m:r>
        <m:r>
          <m:t>P</m:t>
        </m:r>
        <m:r>
          <m:t>M</m:t>
        </m:r>
        <m:sSub>
          <m:e>
            <m:r>
              <m:t>g</m:t>
            </m:r>
          </m:e>
          <m:sub>
            <m:r>
              <m:t>L</m:t>
            </m:r>
          </m:sub>
        </m:sSub>
      </m:oMath>
      <w:r>
        <w:t xml:space="preserve">) conecta diretamente a teoria da produção à teoria dos custos e explica por que a curva de CMg tem formato de U — herança direta da lei dos rendimentos marginais decrescentes.</w:t>
      </w:r>
    </w:p>
    <w:p>
      <w:pPr>
        <w:pStyle w:val="FirstParagraph"/>
      </w:pPr>
      <w:r>
        <w:t xml:space="preserve">A relação</w:t>
      </w:r>
      <w:r>
        <w:t xml:space="preserve"> </w:t>
      </w:r>
      <m:oMath>
        <m:r>
          <m:rPr>
            <m:sty m:val="p"/>
          </m:rPr>
          <m:t>C</m:t>
        </m:r>
        <m:r>
          <m:rPr>
            <m:sty m:val="p"/>
          </m:rPr>
          <m:t>M</m:t>
        </m:r>
        <m:r>
          <m:rPr>
            <m:sty m:val="p"/>
          </m:rPr>
          <m:t>g</m:t>
        </m:r>
        <m:r>
          <m:rPr>
            <m:sty m:val="p"/>
          </m:rPr>
          <m:t>=</m:t>
        </m:r>
        <m:r>
          <m:t>w</m:t>
        </m:r>
        <m:r>
          <m:rPr>
            <m:sty m:val="p"/>
          </m:rPr>
          <m:t>/</m:t>
        </m:r>
        <m:r>
          <m:t>P</m:t>
        </m:r>
        <m:r>
          <m:t>M</m:t>
        </m:r>
        <m:sSub>
          <m:e>
            <m:r>
              <m:t>g</m:t>
            </m:r>
          </m:e>
          <m:sub>
            <m:r>
              <m:t>L</m:t>
            </m:r>
          </m:sub>
        </m:sSub>
      </m:oMath>
      <w:r>
        <w:t xml:space="preserve"> </w:t>
      </w:r>
      <w:r>
        <w:t xml:space="preserve">merece atenção especial porque faz a ponte explícita com o Capítulo 10. Quando o produto marginal do trabalho</w:t>
      </w:r>
      <w:r>
        <w:t xml:space="preserve"> </w:t>
      </w:r>
      <m:oMath>
        <m:r>
          <m:t>P</m:t>
        </m:r>
        <m:r>
          <m:t>M</m:t>
        </m:r>
        <m:sSub>
          <m:e>
            <m:r>
              <m:t>g</m:t>
            </m:r>
          </m:e>
          <m:sub>
            <m:r>
              <m:t>L</m:t>
            </m:r>
          </m:sub>
        </m:sSub>
      </m:oMath>
      <w:r>
        <w:t xml:space="preserve"> </w:t>
      </w:r>
      <w:r>
        <w:t xml:space="preserve">é crescente (trecho inicial da função de produção), o custo marginal é decrescente — cada nova unidade de trabalho produz mais do que a anterior, tornando o custo por unidade menor. Quando</w:t>
      </w:r>
      <w:r>
        <w:t xml:space="preserve"> </w:t>
      </w:r>
      <m:oMath>
        <m:r>
          <m:t>P</m:t>
        </m:r>
        <m:r>
          <m:t>M</m:t>
        </m:r>
        <m:sSub>
          <m:e>
            <m:r>
              <m:t>g</m:t>
            </m:r>
          </m:e>
          <m:sub>
            <m:r>
              <m:t>L</m:t>
            </m:r>
          </m:sub>
        </m:sSub>
      </m:oMath>
      <w:r>
        <w:t xml:space="preserve"> </w:t>
      </w:r>
      <w:r>
        <w:t xml:space="preserve">começa a cair (lei dos rendimentos marginais decrescentes), o custo marginal começa a subir. O ponto de mínimo do CMg corresponde exatamente ao ponto de máximo do</w:t>
      </w:r>
      <w:r>
        <w:t xml:space="preserve"> </w:t>
      </w:r>
      <m:oMath>
        <m:r>
          <m:t>P</m:t>
        </m:r>
        <m:r>
          <m:t>M</m:t>
        </m:r>
        <m:sSub>
          <m:e>
            <m:r>
              <m:t>g</m:t>
            </m:r>
          </m:e>
          <m:sub>
            <m:r>
              <m:t>L</m:t>
            </m:r>
          </m:sub>
        </m:sSub>
      </m:oMath>
      <w:r>
        <w:t xml:space="preserve"> </w:t>
      </w:r>
      <w:r>
        <w:t xml:space="preserve">— as duas curvas são literalmente o reflexo uma da outra com relação a um espelho horizontal.</w:t>
      </w:r>
    </w:p>
    <w:p>
      <w:pPr>
        <w:pStyle w:val="BodyText"/>
      </w:pPr>
      <w:r>
        <w:t xml:space="preserve">[FIGURA INTERATIVA: /micro-book/graficos/cap11/webr-curvas-custo.html — versao interativa disponivel online]</w:t>
      </w:r>
    </w:p>
    <w:p>
      <w:pPr>
        <w:pStyle w:val="BodyText"/>
      </w:pPr>
      <w:r>
        <w:rPr>
          <w:b/>
          <w:bCs/>
        </w:rPr>
        <w:t xml:space="preserve">WebR 11.4 — Curvas de custo: CT, CMe, CMg e CVMe.</w:t>
      </w:r>
      <w:r>
        <w:t xml:space="preserve"> </w:t>
      </w:r>
      <w:r>
        <w:t xml:space="preserve">O código plota as curvas de custo a partir de uma função cúbica</w:t>
      </w:r>
      <w:r>
        <w:t xml:space="preserve"> </w:t>
      </w:r>
      <m:oMath>
        <m:r>
          <m:t>C</m:t>
        </m:r>
        <m:r>
          <m:t>T</m:t>
        </m:r>
        <m:r>
          <m:rPr>
            <m:sty m:val="p"/>
          </m:rPr>
          <m:t>(</m:t>
        </m:r>
        <m:r>
          <m:t>q</m:t>
        </m:r>
        <m:r>
          <m:rPr>
            <m:sty m:val="p"/>
          </m:rPr>
          <m:t>)</m:t>
        </m:r>
        <m:r>
          <m:rPr>
            <m:sty m:val="p"/>
          </m:rPr>
          <m:t>=</m:t>
        </m:r>
        <m:r>
          <m:t>C</m:t>
        </m:r>
        <m:r>
          <m:t>F</m:t>
        </m:r>
        <m:r>
          <m:rPr>
            <m:sty m:val="p"/>
          </m:rPr>
          <m:t>+</m:t>
        </m:r>
        <m:r>
          <m:t>a</m:t>
        </m:r>
        <m:r>
          <m:t>q</m:t>
        </m:r>
        <m:r>
          <m:rPr>
            <m:sty m:val="p"/>
          </m:rPr>
          <m:t>+</m:t>
        </m:r>
        <m:r>
          <m:t>b</m:t>
        </m:r>
        <m:sSup>
          <m:e>
            <m:r>
              <m:t>q</m:t>
            </m:r>
          </m:e>
          <m:sup>
            <m:r>
              <m:t>2</m:t>
            </m:r>
          </m:sup>
        </m:sSup>
        <m:r>
          <m:rPr>
            <m:sty m:val="p"/>
          </m:rPr>
          <m:t>+</m:t>
        </m:r>
        <m:r>
          <m:t>c</m:t>
        </m:r>
        <m:sSup>
          <m:e>
            <m:r>
              <m:t>q</m:t>
            </m:r>
          </m:e>
          <m:sup>
            <m:r>
              <m:t>3</m:t>
            </m:r>
          </m:sup>
        </m:sSup>
      </m:oMath>
      <w:r>
        <w:t xml:space="preserve"> </w:t>
      </w:r>
      <w:r>
        <w:t xml:space="preserve">e calcula automaticamente os pontos de mínimo do CMe e CVMe. Altere os parâmetros</w:t>
      </w:r>
      <w:r>
        <w:t xml:space="preserve"> </w:t>
      </w:r>
      <w:r>
        <w:rPr>
          <w:rStyle w:val="VerbatimChar"/>
        </w:rPr>
        <w:t xml:space="preserve">CF</w:t>
      </w:r>
      <w:r>
        <w:t xml:space="preserve">,</w:t>
      </w:r>
      <w:r>
        <w:t xml:space="preserve"> </w:t>
      </w:r>
      <w:r>
        <w:rPr>
          <w:rStyle w:val="VerbatimChar"/>
        </w:rPr>
        <w:t xml:space="preserve">a</w:t>
      </w:r>
      <w:r>
        <w:t xml:space="preserve">,</w:t>
      </w:r>
      <w:r>
        <w:t xml:space="preserve"> </w:t>
      </w:r>
      <w:r>
        <w:rPr>
          <w:rStyle w:val="VerbatimChar"/>
        </w:rPr>
        <w:t xml:space="preserve">b</w:t>
      </w:r>
      <w:r>
        <w:t xml:space="preserve"> </w:t>
      </w:r>
      <w:r>
        <w:t xml:space="preserve">e</w:t>
      </w:r>
      <w:r>
        <w:t xml:space="preserve"> </w:t>
      </w:r>
      <w:r>
        <w:rPr>
          <w:rStyle w:val="VerbatimChar"/>
        </w:rPr>
        <w:t xml:space="preserve">c</w:t>
      </w:r>
      <w:r>
        <w:t xml:space="preserve"> </w:t>
      </w:r>
      <w:r>
        <w:t xml:space="preserve">para ver como o formato das curvas muda — e confirme que o CMg sempre cruza o CMe e o CVMe em seus mínimos.</w:t>
      </w:r>
    </w:p>
    <w:p>
      <w:r>
        <w:pict>
          <v:rect style="width:0;height:1.5pt" o:hralign="center" o:hrstd="t" o:hr="t"/>
        </w:pict>
      </w:r>
    </w:p>
    <w:bookmarkEnd w:id="712"/>
    <w:bookmarkEnd w:id="713"/>
    <w:bookmarkStart w:id="717" w:name="X83e725c03a87baaad2623231644e944e537acab"/>
    <w:p>
      <w:pPr>
        <w:pStyle w:val="Heading3"/>
      </w:pPr>
      <w:r>
        <w:t xml:space="preserve">11.6 Quando o Chão se Move: Deslocamentos nas Curvas de Custo</w:t>
      </w:r>
    </w:p>
    <w:p>
      <w:pPr>
        <w:pStyle w:val="FirstParagraph"/>
      </w:pPr>
      <w:r>
        <w:t xml:space="preserve">As curvas de custo analisadas até aqui foram derivadas para preços de insumos e tecnologia fixos. Mas o mundo real é dinâmico: salários sobem, o preço da energia flutua, novas tecnologias surgem e a regulação muda. Como essas mudanças afetam as curvas de custo da firma? Esta seção examina três fontes de deslocamento: variações nos preços dos insumos, progresso técnico e tributação. Essa análise é essencial para o Capítulo 12, onde veremos como deslocamentos nas curvas de custo se traduzem em deslocamentos na curva de oferta da firma competitiva.</w:t>
      </w:r>
    </w:p>
    <w:bookmarkStart w:id="714" w:name="mudanças-nos-preços-dos-insumos"/>
    <w:p>
      <w:pPr>
        <w:pStyle w:val="Heading4"/>
      </w:pPr>
      <w:r>
        <w:t xml:space="preserve">Mudanças nos preços dos insumos</w:t>
      </w:r>
    </w:p>
    <w:p>
      <w:pPr>
        <w:pStyle w:val="FirstParagraph"/>
      </w:pPr>
      <w:r>
        <w:t xml:space="preserve">Um aumento no salário</w:t>
      </w:r>
      <w:r>
        <w:t xml:space="preserve"> </w:t>
      </w:r>
      <m:oMath>
        <m:r>
          <m:t>w</m:t>
        </m:r>
      </m:oMath>
      <w:r>
        <w:t xml:space="preserve"> </w:t>
      </w:r>
      <w:r>
        <w:t xml:space="preserve">desloca para cima as curvas de custo. Pelo Lema de Shephard, o impacto é proporcional à quantidade de trabalho utilizada:</w:t>
      </w:r>
    </w:p>
    <w:p>
      <w:pPr>
        <w:pStyle w:val="BodyText"/>
      </w:pPr>
      <m:oMathPara>
        <m:oMathParaPr>
          <m:jc m:val="center"/>
        </m:oMathParaPr>
        <m:oMath>
          <m:f>
            <m:fPr>
              <m:type m:val="bar"/>
            </m:fPr>
            <m:num>
              <m:r>
                <m:rPr>
                  <m:sty m:val="p"/>
                </m:rPr>
                <m:t>∂</m:t>
              </m:r>
              <m:r>
                <m:t>C</m:t>
              </m:r>
            </m:num>
            <m:den>
              <m:r>
                <m:rPr>
                  <m:sty m:val="p"/>
                </m:rPr>
                <m:t>∂</m:t>
              </m:r>
              <m:r>
                <m:t>w</m:t>
              </m:r>
            </m:den>
          </m:f>
          <m:r>
            <m:rPr>
              <m:sty m:val="p"/>
            </m:rPr>
            <m:t>=</m:t>
          </m:r>
          <m:sSup>
            <m:e>
              <m:r>
                <m:t>L</m:t>
              </m:r>
            </m:e>
            <m:sup>
              <m:r>
                <m:t>c</m:t>
              </m:r>
            </m:sup>
          </m:sSup>
          <m:r>
            <m:rPr>
              <m:sty m:val="p"/>
            </m:rPr>
            <m:t>&gt;</m:t>
          </m:r>
          <m:r>
            <m:t>0</m:t>
          </m:r>
        </m:oMath>
      </m:oMathPara>
    </w:p>
    <w:p>
      <w:pPr>
        <w:pStyle w:val="FirstParagraph"/>
      </w:pPr>
      <w:r>
        <w:t xml:space="preserve">O efeito sobre a curva de CMg depende de como a intensidade de trabalho varia com o nível de produto. Se a produção é intensiva em trabalho, o deslocamento será proporcionalmente maior.</w:t>
      </w:r>
    </w:p>
    <w:bookmarkEnd w:id="714"/>
    <w:bookmarkStart w:id="715" w:name="progresso-técnico"/>
    <w:p>
      <w:pPr>
        <w:pStyle w:val="Heading4"/>
      </w:pPr>
      <w:r>
        <w:t xml:space="preserve">Progresso técnico</w:t>
      </w:r>
    </w:p>
    <w:p>
      <w:pPr>
        <w:pStyle w:val="FirstParagraph"/>
      </w:pPr>
      <w:r>
        <w:t xml:space="preserve">Uma melhoria tecnológica (aumento de</w:t>
      </w:r>
      <w:r>
        <w:t xml:space="preserve"> </w:t>
      </w:r>
      <m:oMath>
        <m:r>
          <m:t>A</m:t>
        </m:r>
      </m:oMath>
      <w:r>
        <w:t xml:space="preserve"> </w:t>
      </w:r>
      <w:r>
        <w:t xml:space="preserve">na função de produção) permite produzir a mesma quantidade com menos insumos, deslocando todas as curvas de custo para baixo. Se o progresso técnico é enviesado — por exemplo, poupador de trabalho —, ele reduz relativamente mais os custos de firmas intensivas em trabalho.</w:t>
      </w:r>
    </w:p>
    <w:p>
      <w:pPr>
        <w:pStyle w:val="BlockText"/>
      </w:pPr>
      <w:r>
        <w:rPr>
          <w:b/>
          <w:bCs/>
        </w:rPr>
        <w:t xml:space="preserve">[DICA] Exemplo: mecanização na agricultura brasileira</w:t>
      </w:r>
    </w:p>
    <w:p>
      <w:pPr>
        <w:pStyle w:val="BlockText"/>
      </w:pPr>
      <w:r>
        <w:t xml:space="preserve">A adoção de colheitadeiras mecanizadas na produção de soja no Cerrado é um exemplo de progresso técnico poupador de trabalho. Segundo dados da EMBRAPA, o número de horas-homem por hectare na cultura da soja caiu de cerca de 25 h/ha nos anos 1980 para menos de 1 h/ha com plantio direto mecanizado. Essa redução desloca a curva de custo para baixo e altera a razão ótima capital/trabalho, tornando a produção mais intensiva em capital.</w:t>
      </w:r>
    </w:p>
    <w:bookmarkEnd w:id="715"/>
    <w:bookmarkStart w:id="716" w:name="impostos-e-regulação"/>
    <w:p>
      <w:pPr>
        <w:pStyle w:val="Heading4"/>
      </w:pPr>
      <w:r>
        <w:t xml:space="preserve">Impostos e regulação</w:t>
      </w:r>
    </w:p>
    <w:p>
      <w:pPr>
        <w:pStyle w:val="FirstParagraph"/>
      </w:pPr>
      <w:r>
        <w:t xml:space="preserve">Impostos sobre insumos funcionam como aumentos nos preços dos insumos. Um imposto</w:t>
      </w:r>
      <w:r>
        <w:t xml:space="preserve"> </w:t>
      </w:r>
      <w:r>
        <w:rPr>
          <w:i/>
          <w:iCs/>
        </w:rPr>
        <w:t xml:space="preserve">ad valorem</w:t>
      </w:r>
      <w:r>
        <w:t xml:space="preserve"> </w:t>
      </w:r>
      <w:r>
        <w:t xml:space="preserve">sobre o trabalho de alíquota</w:t>
      </w:r>
      <w:r>
        <w:t xml:space="preserve"> </w:t>
      </w:r>
      <m:oMath>
        <m:r>
          <m:t>τ</m:t>
        </m:r>
      </m:oMath>
      <w:r>
        <w:t xml:space="preserve"> </w:t>
      </w:r>
      <w:r>
        <w:t xml:space="preserve">eleva o custo efetivo do trabalho para</w:t>
      </w:r>
      <w:r>
        <w:t xml:space="preserve"> </w:t>
      </w:r>
      <m:oMath>
        <m:r>
          <m:t>w</m:t>
        </m:r>
        <m:r>
          <m:rPr>
            <m:sty m:val="p"/>
          </m:rPr>
          <m:t>(</m:t>
        </m:r>
        <m:r>
          <m:t>1</m:t>
        </m:r>
        <m:r>
          <m:rPr>
            <m:sty m:val="p"/>
          </m:rPr>
          <m:t>+</m:t>
        </m:r>
        <m:r>
          <m:t>τ</m:t>
        </m:r>
        <m:r>
          <m:rPr>
            <m:sty m:val="p"/>
          </m:rPr>
          <m:t>)</m:t>
        </m:r>
      </m:oMath>
      <w:r>
        <w:t xml:space="preserve">, deslocando as curvas de custo para cima.</w:t>
      </w:r>
    </w:p>
    <w:p>
      <w:pPr>
        <w:pStyle w:val="BodyText"/>
      </w:pPr>
      <w:r>
        <w:t xml:space="preserve">O Brasil oferece um laboratório rico para analisar os efeitos de impostos sobre os custos das firmas. Os encargos sobre a folha de pagamento — INSS patronal (20%), FGTS (8%), e contribuições para sistema S, RAT e outros — elevam o custo efetivo de contratar um trabalhador com salário formal de</w:t>
      </w:r>
      <w:r>
        <w:t xml:space="preserve"> </w:t>
      </w:r>
      <m:oMath>
        <m:r>
          <m:t>w</m:t>
        </m:r>
      </m:oMath>
      <w:r>
        <w:t xml:space="preserve"> </w:t>
      </w:r>
      <w:r>
        <w:t xml:space="preserve">para aproximadamente</w:t>
      </w:r>
      <w:r>
        <w:t xml:space="preserve"> </w:t>
      </w:r>
      <m:oMath>
        <m:r>
          <m:t>w</m:t>
        </m:r>
        <m:r>
          <m:rPr>
            <m:sty m:val="p"/>
          </m:rPr>
          <m:t>×</m:t>
        </m:r>
        <m:r>
          <m:t>1</m:t>
        </m:r>
        <m:r>
          <m:rPr>
            <m:sty m:val="p"/>
          </m:rPr>
          <m:t>,</m:t>
        </m:r>
        <m:r>
          <m:t>38</m:t>
        </m:r>
      </m:oMath>
      <w:r>
        <w:t xml:space="preserve"> </w:t>
      </w:r>
      <w:r>
        <w:t xml:space="preserve">a</w:t>
      </w:r>
      <w:r>
        <w:t xml:space="preserve"> </w:t>
      </w:r>
      <m:oMath>
        <m:r>
          <m:t>1</m:t>
        </m:r>
        <m:r>
          <m:rPr>
            <m:sty m:val="p"/>
          </m:rPr>
          <m:t>,</m:t>
        </m:r>
        <m:r>
          <m:t>50</m:t>
        </m:r>
      </m:oMath>
      <w:r>
        <w:t xml:space="preserve">, dependendo do setor. Para firmas intensivas em trabalho, esse encargo representa um deslocamento significativo para cima da curva de CVMe e de CMg. O efeito é semelhante ao de uma elevação no preço do insumo trabalho: a firma pode substituir trabalho por capital (efeito de substituição) ou reduzir a produção (efeito escala), dependendo da elasticidade de substituição entre os insumos. O estudo de Ferreira e Rossi (2003), discutido na seção de pesquisa, documenta como a abertura comercial dos anos 1990 reduziu efetivamente os custos das firmas brasileiras ao expô-las à competição internacional e forçar a adoção de tecnologias mais eficientes.</w:t>
      </w:r>
    </w:p>
    <w:bookmarkEnd w:id="716"/>
    <w:bookmarkEnd w:id="717"/>
    <w:bookmarkEnd w:id="718"/>
    <w:bookmarkStart w:id="724" w:name="Xe5b2150db614908147a61988e25d2267b52b105"/>
    <w:p>
      <w:pPr>
        <w:pStyle w:val="Heading2"/>
      </w:pPr>
      <w:r>
        <w:t xml:space="preserve">11.7 O Apartamento de Dois Quartos no Natal: Curto Prazo, Longo Prazo e a Envoltória</w:t>
      </w:r>
    </w:p>
    <w:p>
      <w:pPr>
        <w:pStyle w:val="FirstParagraph"/>
      </w:pPr>
      <w:r>
        <w:t xml:space="preserve">Imagine que você comprou um apartamento de dois quartos e agora precisa hospedar dez parentes no Natal. No curto prazo, a planta do apê é fixa — você empilha colchões, improvisa, e o custo por hóspede dispara. No longo prazo, você poderia ter alugado uma casa maior pagando menos por cabeça. A firma enfrenta exatamente esse dilema: no curto prazo, pelo menos um insumo (tipicamente o capital) está travado, e ela faz o que pode; no longo prazo, tudo é ajustável. A relação entre esses dois horizontes produz a célebre</w:t>
      </w:r>
      <w:r>
        <w:t xml:space="preserve"> </w:t>
      </w:r>
      <w:r>
        <w:rPr>
          <w:b/>
          <w:bCs/>
        </w:rPr>
        <w:t xml:space="preserve">curva envoltória</w:t>
      </w:r>
      <w:r>
        <w:t xml:space="preserve"> </w:t>
      </w:r>
      <w:r>
        <w:t xml:space="preserve">— e entendê-la é entender por que firmas investem, desinvestem e, às vezes, fecham as portas.</w:t>
      </w:r>
      <w:r>
        <w:rPr>
          <w:rStyle w:val="FootnoteReference"/>
        </w:rPr>
        <w:footnoteReference w:id="719"/>
      </w:r>
    </w:p>
    <w:p>
      <w:pPr>
        <w:pStyle w:val="BodyText"/>
      </w:pPr>
      <w:r>
        <w:t xml:space="preserve">A curva envoltória tem uma história intelectual curiosa. Jacob Viner (1931), ao escrever seu artigo seminal sobre curvas de custo e oferta, pediu a seu assistente gráfico que desenhasse a curva de custo médio de longo prazo como a envoltória das curvas de curto prazo. O assistente acreditava que as curvas de curto prazo deveriam</w:t>
      </w:r>
      <w:r>
        <w:t xml:space="preserve"> </w:t>
      </w:r>
      <w:r>
        <w:rPr>
          <w:i/>
          <w:iCs/>
        </w:rPr>
        <w:t xml:space="preserve">cruzar</w:t>
      </w:r>
      <w:r>
        <w:t xml:space="preserve"> </w:t>
      </w:r>
      <w:r>
        <w:t xml:space="preserve">a curva de longo prazo no ponto de tangência (não tangenciá-la), o que é matematicamente incorreto. Viner percebeu o erro, mas o artigo foi publicado com uma nota de rodapé famosa explicando o problema — exemplo precioso de como conceitos aparentemente simples podem conter armadilhas até para os maiores economistas.</w:t>
      </w:r>
    </w:p>
    <w:bookmarkStart w:id="720" w:name="custos-de-curto-prazo"/>
    <w:p>
      <w:pPr>
        <w:pStyle w:val="Heading4"/>
      </w:pPr>
      <w:r>
        <w:t xml:space="preserve">Custos de curto prazo</w:t>
      </w:r>
    </w:p>
    <w:p>
      <w:pPr>
        <w:pStyle w:val="FirstParagraph"/>
      </w:pPr>
      <w:r>
        <w:t xml:space="preserve">No</w:t>
      </w:r>
      <w:r>
        <w:t xml:space="preserve"> </w:t>
      </w:r>
      <w:r>
        <w:rPr>
          <w:b/>
          <w:bCs/>
        </w:rPr>
        <w:t xml:space="preserve">curto prazo</w:t>
      </w:r>
      <w:r>
        <w:t xml:space="preserve">, o capital é fixo em</w:t>
      </w:r>
      <w:r>
        <w:t xml:space="preserve"> </w:t>
      </w:r>
      <m:oMath>
        <m:acc>
          <m:accPr>
            <m:chr m:val="‾"/>
          </m:accPr>
          <m:e>
            <m:r>
              <m:t>K</m:t>
            </m:r>
          </m:e>
        </m:acc>
      </m:oMath>
      <w:r>
        <w:t xml:space="preserve">. A firma só pode ajustar o trabalho. O custo total de curto prazo é:</w:t>
      </w:r>
    </w:p>
    <w:p>
      <w:pPr>
        <w:pStyle w:val="BodyText"/>
      </w:pPr>
      <m:oMathPara>
        <m:oMathParaPr>
          <m:jc m:val="center"/>
        </m:oMathParaPr>
        <m:oMath>
          <m:r>
            <m:t>C</m:t>
          </m:r>
          <m:sSub>
            <m:e>
              <m:r>
                <m:t>T</m:t>
              </m:r>
            </m:e>
            <m:sub>
              <m:r>
                <m:t>C</m:t>
              </m:r>
              <m:r>
                <m:t>P</m:t>
              </m:r>
            </m:sub>
          </m:sSub>
          <m:r>
            <m:rPr>
              <m:sty m:val="p"/>
            </m:rPr>
            <m:t>(</m:t>
          </m:r>
          <m:r>
            <m:t>q</m:t>
          </m:r>
          <m:r>
            <m:rPr>
              <m:sty m:val="p"/>
            </m:rPr>
            <m:t>;</m:t>
          </m:r>
          <m:acc>
            <m:accPr>
              <m:chr m:val="‾"/>
            </m:accPr>
            <m:e>
              <m:r>
                <m:t>K</m:t>
              </m:r>
            </m:e>
          </m:acc>
          <m:r>
            <m:rPr>
              <m:sty m:val="p"/>
            </m:rPr>
            <m:t>)</m:t>
          </m:r>
          <m:r>
            <m:rPr>
              <m:sty m:val="p"/>
            </m:rPr>
            <m:t>=</m:t>
          </m:r>
          <m:r>
            <m:t>v</m:t>
          </m:r>
          <m:acc>
            <m:accPr>
              <m:chr m:val="‾"/>
            </m:accPr>
            <m:e>
              <m:r>
                <m:t>K</m:t>
              </m:r>
            </m:e>
          </m:acc>
          <m:r>
            <m:rPr>
              <m:sty m:val="p"/>
            </m:rPr>
            <m:t>+</m:t>
          </m:r>
          <m:r>
            <m:t>w</m:t>
          </m:r>
          <m:r>
            <m:rPr>
              <m:sty m:val="p"/>
            </m:rPr>
            <m:t>⋅</m:t>
          </m:r>
          <m:r>
            <m:t>L</m:t>
          </m:r>
          <m:r>
            <m:rPr>
              <m:sty m:val="p"/>
            </m:rPr>
            <m:t>(</m:t>
          </m:r>
          <m:r>
            <m:t>q</m:t>
          </m:r>
          <m:r>
            <m:rPr>
              <m:sty m:val="p"/>
            </m:rPr>
            <m:t>,</m:t>
          </m:r>
          <m:acc>
            <m:accPr>
              <m:chr m:val="‾"/>
            </m:accPr>
            <m:e>
              <m:r>
                <m:t>K</m:t>
              </m:r>
            </m:e>
          </m:acc>
          <m:r>
            <m:rPr>
              <m:sty m:val="p"/>
            </m:rPr>
            <m:t>)</m:t>
          </m:r>
        </m:oMath>
      </m:oMathPara>
    </w:p>
    <w:p>
      <w:pPr>
        <w:pStyle w:val="FirstParagraph"/>
      </w:pPr>
      <w:r>
        <w:t xml:space="preserve">onde</w:t>
      </w:r>
      <w:r>
        <w:t xml:space="preserve"> </w:t>
      </w:r>
      <m:oMath>
        <m:r>
          <m:t>L</m:t>
        </m:r>
        <m:r>
          <m:rPr>
            <m:sty m:val="p"/>
          </m:rPr>
          <m:t>(</m:t>
        </m:r>
        <m:r>
          <m:t>q</m:t>
        </m:r>
        <m:r>
          <m:rPr>
            <m:sty m:val="p"/>
          </m:rPr>
          <m:t>,</m:t>
        </m:r>
        <m:acc>
          <m:accPr>
            <m:chr m:val="‾"/>
          </m:accPr>
          <m:e>
            <m:r>
              <m:t>K</m:t>
            </m:r>
          </m:e>
        </m:acc>
        <m:r>
          <m:rPr>
            <m:sty m:val="p"/>
          </m:rPr>
          <m:t>)</m:t>
        </m:r>
      </m:oMath>
      <w:r>
        <w:t xml:space="preserve"> </w:t>
      </w:r>
      <w:r>
        <w:t xml:space="preserve">é a quantidade de trabalho necessária para produzir</w:t>
      </w:r>
      <w:r>
        <w:t xml:space="preserve"> </w:t>
      </w:r>
      <m:oMath>
        <m:r>
          <m:t>q</m:t>
        </m:r>
      </m:oMath>
      <w:r>
        <w:t xml:space="preserve"> </w:t>
      </w:r>
      <w:r>
        <w:t xml:space="preserve">dado</w:t>
      </w:r>
      <w:r>
        <w:t xml:space="preserve"> </w:t>
      </w:r>
      <m:oMath>
        <m:acc>
          <m:accPr>
            <m:chr m:val="‾"/>
          </m:accPr>
          <m:e>
            <m:r>
              <m:t>K</m:t>
            </m:r>
          </m:e>
        </m:acc>
      </m:oMath>
      <w:r>
        <w:t xml:space="preserve">, obtida invertendo a função de produção de curto prazo.</w:t>
      </w:r>
    </w:p>
    <w:bookmarkEnd w:id="720"/>
    <w:bookmarkStart w:id="721" w:name="custos-de-longo-prazo"/>
    <w:p>
      <w:pPr>
        <w:pStyle w:val="Heading4"/>
      </w:pPr>
      <w:r>
        <w:t xml:space="preserve">Custos de longo prazo</w:t>
      </w:r>
    </w:p>
    <w:p>
      <w:pPr>
        <w:pStyle w:val="FirstParagraph"/>
      </w:pPr>
      <w:r>
        <w:t xml:space="preserve">No</w:t>
      </w:r>
      <w:r>
        <w:t xml:space="preserve"> </w:t>
      </w:r>
      <w:r>
        <w:rPr>
          <w:b/>
          <w:bCs/>
        </w:rPr>
        <w:t xml:space="preserve">longo prazo</w:t>
      </w:r>
      <w:r>
        <w:t xml:space="preserve">, todos os insumos são variáveis. A firma escolhe simultaneamente</w:t>
      </w:r>
      <w:r>
        <w:t xml:space="preserve"> </w:t>
      </w:r>
      <m:oMath>
        <m:r>
          <m:t>K</m:t>
        </m:r>
      </m:oMath>
      <w:r>
        <w:t xml:space="preserve"> </w:t>
      </w:r>
      <w:r>
        <w:t xml:space="preserve">e</w:t>
      </w:r>
      <w:r>
        <w:t xml:space="preserve"> </w:t>
      </w:r>
      <m:oMath>
        <m:r>
          <m:t>L</m:t>
        </m:r>
      </m:oMath>
      <w:r>
        <w:t xml:space="preserve"> </w:t>
      </w:r>
      <w:r>
        <w:t xml:space="preserve">para minimizar custos:</w:t>
      </w:r>
    </w:p>
    <w:p>
      <w:pPr>
        <w:pStyle w:val="BodyText"/>
      </w:pPr>
      <m:oMathPara>
        <m:oMathParaPr>
          <m:jc m:val="center"/>
        </m:oMathParaPr>
        <m:oMath>
          <m:r>
            <m:t>C</m:t>
          </m:r>
          <m:sSub>
            <m:e>
              <m:r>
                <m:t>T</m:t>
              </m:r>
            </m:e>
            <m:sub>
              <m:r>
                <m:t>L</m:t>
              </m:r>
              <m:r>
                <m:t>P</m:t>
              </m:r>
            </m:sub>
          </m:sSub>
          <m:r>
            <m:rPr>
              <m:sty m:val="p"/>
            </m:rPr>
            <m:t>(</m:t>
          </m:r>
          <m:r>
            <m:t>q</m:t>
          </m:r>
          <m:r>
            <m:rPr>
              <m:sty m:val="p"/>
            </m:rPr>
            <m:t>)</m:t>
          </m:r>
          <m:r>
            <m:rPr>
              <m:sty m:val="p"/>
            </m:rPr>
            <m:t>=</m:t>
          </m:r>
          <m:limLow>
            <m:e>
              <m:r>
                <m:rPr>
                  <m:sty m:val="p"/>
                </m:rPr>
                <m:t>min</m:t>
              </m:r>
            </m:e>
            <m:lim>
              <m:r>
                <m:t>K</m:t>
              </m:r>
              <m:r>
                <m:rPr>
                  <m:sty m:val="p"/>
                </m:rPr>
                <m:t>,</m:t>
              </m:r>
              <m:r>
                <m:t>L</m:t>
              </m:r>
            </m:lim>
          </m:limLow>
          <m:r>
            <m:rPr>
              <m:sty m:val="p"/>
            </m:rPr>
            <m:t>{</m:t>
          </m:r>
          <m:r>
            <m:t>w</m:t>
          </m:r>
          <m:r>
            <m:t>L</m:t>
          </m:r>
          <m:r>
            <m:rPr>
              <m:sty m:val="p"/>
            </m:rPr>
            <m:t>+</m:t>
          </m:r>
          <m:r>
            <m:t>v</m:t>
          </m:r>
          <m:r>
            <m:t>K</m:t>
          </m:r>
          <m:r>
            <m:rPr>
              <m:sty m:val="p"/>
            </m:rPr>
            <m:t>∣</m:t>
          </m:r>
          <m:r>
            <m:t>f</m:t>
          </m:r>
          <m:r>
            <m:rPr>
              <m:sty m:val="p"/>
            </m:rPr>
            <m:t>(</m:t>
          </m:r>
          <m:r>
            <m:t>K</m:t>
          </m:r>
          <m:r>
            <m:rPr>
              <m:sty m:val="p"/>
            </m:rPr>
            <m:t>,</m:t>
          </m:r>
          <m:r>
            <m:t>L</m:t>
          </m:r>
          <m:r>
            <m:rPr>
              <m:sty m:val="p"/>
            </m:rPr>
            <m:t>)</m:t>
          </m:r>
          <m:r>
            <m:rPr>
              <m:sty m:val="p"/>
            </m:rPr>
            <m:t>=</m:t>
          </m:r>
          <m:r>
            <m:t>q</m:t>
          </m:r>
          <m:r>
            <m:rPr>
              <m:sty m:val="p"/>
            </m:rPr>
            <m:t>}</m:t>
          </m:r>
        </m:oMath>
      </m:oMathPara>
    </w:p>
    <w:bookmarkEnd w:id="721"/>
    <w:bookmarkStart w:id="722" w:name="a-curva-envoltória"/>
    <w:p>
      <w:pPr>
        <w:pStyle w:val="Heading4"/>
      </w:pPr>
      <w:r>
        <w:t xml:space="preserve">A curva envoltória</w:t>
      </w:r>
    </w:p>
    <w:p>
      <w:pPr>
        <w:pStyle w:val="FirstParagraph"/>
      </w:pPr>
      <w:r>
        <w:t xml:space="preserve">A Figura 11.3 mostra a envoltória em termos de</w:t>
      </w:r>
      <w:r>
        <w:t xml:space="preserve"> </w:t>
      </w:r>
      <w:r>
        <w:rPr>
          <w:b/>
          <w:bCs/>
        </w:rPr>
        <w:t xml:space="preserve">custo total</w:t>
      </w:r>
      <w:r>
        <w:t xml:space="preserve">. Cada curva colorida representa o</w:t>
      </w:r>
      <w:r>
        <w:t xml:space="preserve"> </w:t>
      </w:r>
      <m:oMath>
        <m:r>
          <m:t>C</m:t>
        </m:r>
        <m:sSub>
          <m:e>
            <m:r>
              <m:t>T</m:t>
            </m:r>
          </m:e>
          <m:sub>
            <m:r>
              <m:t>C</m:t>
            </m:r>
            <m:r>
              <m:t>P</m:t>
            </m:r>
          </m:sub>
        </m:sSub>
        <m:r>
          <m:rPr>
            <m:sty m:val="p"/>
          </m:rPr>
          <m:t>(</m:t>
        </m:r>
        <m:r>
          <m:t>q</m:t>
        </m:r>
        <m:r>
          <m:rPr>
            <m:sty m:val="p"/>
          </m:rPr>
          <m:t>;</m:t>
        </m:r>
        <m:acc>
          <m:accPr>
            <m:chr m:val="‾"/>
          </m:accPr>
          <m:e>
            <m:r>
              <m:t>K</m:t>
            </m:r>
          </m:e>
        </m:acc>
        <m:r>
          <m:rPr>
            <m:sty m:val="p"/>
          </m:rPr>
          <m:t>)</m:t>
        </m:r>
        <m:r>
          <m:rPr>
            <m:sty m:val="p"/>
          </m:rPr>
          <m:t>=</m:t>
        </m:r>
        <m:r>
          <m:t>w</m:t>
        </m:r>
        <m:sSup>
          <m:e>
            <m:r>
              <m:t>q</m:t>
            </m:r>
          </m:e>
          <m:sup>
            <m:r>
              <m:t>2</m:t>
            </m:r>
          </m:sup>
        </m:sSup>
        <m:r>
          <m:rPr>
            <m:sty m:val="p"/>
          </m:rPr>
          <m:t>/</m:t>
        </m:r>
        <m:acc>
          <m:accPr>
            <m:chr m:val="‾"/>
          </m:accPr>
          <m:e>
            <m:r>
              <m:t>K</m:t>
            </m:r>
          </m:e>
        </m:acc>
        <m:r>
          <m:rPr>
            <m:sty m:val="p"/>
          </m:rPr>
          <m:t>+</m:t>
        </m:r>
        <m:r>
          <m:t>v</m:t>
        </m:r>
        <m:acc>
          <m:accPr>
            <m:chr m:val="‾"/>
          </m:accPr>
          <m:e>
            <m:r>
              <m:t>K</m:t>
            </m:r>
          </m:e>
        </m:acc>
      </m:oMath>
      <w:r>
        <w:t xml:space="preserve"> </w:t>
      </w:r>
      <w:r>
        <w:t xml:space="preserve">para um nível fixo de capital, assumindo a tecnologia Cobb-Douglas</w:t>
      </w:r>
      <w:r>
        <w:t xml:space="preserve"> </w:t>
      </w:r>
      <m:oMath>
        <m:r>
          <m:t>q</m:t>
        </m:r>
        <m:r>
          <m:rPr>
            <m:sty m:val="p"/>
          </m:rPr>
          <m:t>=</m:t>
        </m:r>
        <m:sSup>
          <m:e>
            <m:r>
              <m:t>K</m:t>
            </m:r>
          </m:e>
          <m:sup>
            <m:r>
              <m:t>0</m:t>
            </m:r>
            <m:r>
              <m:rPr>
                <m:sty m:val="p"/>
              </m:rPr>
              <m:t>,</m:t>
            </m:r>
            <m:r>
              <m:t>5</m:t>
            </m:r>
          </m:sup>
        </m:sSup>
        <m:sSup>
          <m:e>
            <m:r>
              <m:t>L</m:t>
            </m:r>
          </m:e>
          <m:sup>
            <m:r>
              <m:t>0</m:t>
            </m:r>
            <m:r>
              <m:rPr>
                <m:sty m:val="p"/>
              </m:rPr>
              <m:t>,</m:t>
            </m:r>
            <m:r>
              <m:t>5</m:t>
            </m:r>
          </m:sup>
        </m:sSup>
      </m:oMath>
      <w:r>
        <w:t xml:space="preserve">. A curva azul — o custo total de longo prazo — é calculada</w:t>
      </w:r>
      <w:r>
        <w:t xml:space="preserve"> </w:t>
      </w:r>
      <w:r>
        <w:rPr>
          <w:b/>
          <w:bCs/>
        </w:rPr>
        <w:t xml:space="preserve">numericamente</w:t>
      </w:r>
      <w:r>
        <w:t xml:space="preserve"> </w:t>
      </w:r>
      <w:r>
        <w:t xml:space="preserve">como</w:t>
      </w:r>
      <w:r>
        <w:t xml:space="preserve"> </w:t>
      </w:r>
      <m:oMath>
        <m:r>
          <m:t>C</m:t>
        </m:r>
        <m:sSub>
          <m:e>
            <m:r>
              <m:t>T</m:t>
            </m:r>
          </m:e>
          <m:sub>
            <m:r>
              <m:t>L</m:t>
            </m:r>
            <m:r>
              <m:t>P</m:t>
            </m:r>
          </m:sub>
        </m:sSub>
        <m:r>
          <m:rPr>
            <m:sty m:val="p"/>
          </m:rPr>
          <m:t>(</m:t>
        </m:r>
        <m:r>
          <m:t>q</m:t>
        </m:r>
        <m:r>
          <m:rPr>
            <m:sty m:val="p"/>
          </m:rPr>
          <m:t>)</m:t>
        </m:r>
        <m:r>
          <m:rPr>
            <m:sty m:val="p"/>
          </m:rPr>
          <m:t>=</m:t>
        </m:r>
        <m:sSub>
          <m:e>
            <m:r>
              <m:rPr>
                <m:sty m:val="p"/>
              </m:rPr>
              <m:t>min</m:t>
            </m:r>
          </m:e>
          <m:sub>
            <m:acc>
              <m:accPr>
                <m:chr m:val="‾"/>
              </m:accPr>
              <m:e>
                <m:r>
                  <m:t>K</m:t>
                </m:r>
              </m:e>
            </m:acc>
          </m:sub>
        </m:sSub>
        <m:r>
          <m:t>C</m:t>
        </m:r>
        <m:sSub>
          <m:e>
            <m:r>
              <m:t>T</m:t>
            </m:r>
          </m:e>
          <m:sub>
            <m:r>
              <m:t>C</m:t>
            </m:r>
            <m:r>
              <m:t>P</m:t>
            </m:r>
          </m:sub>
        </m:sSub>
        <m:r>
          <m:rPr>
            <m:sty m:val="p"/>
          </m:rPr>
          <m:t>(</m:t>
        </m:r>
        <m:r>
          <m:t>q</m:t>
        </m:r>
        <m:r>
          <m:rPr>
            <m:sty m:val="p"/>
          </m:rPr>
          <m:t>;</m:t>
        </m:r>
        <m:acc>
          <m:accPr>
            <m:chr m:val="‾"/>
          </m:accPr>
          <m:e>
            <m:r>
              <m:t>K</m:t>
            </m:r>
          </m:e>
        </m:acc>
        <m:r>
          <m:rPr>
            <m:sty m:val="p"/>
          </m:rPr>
          <m:t>)</m:t>
        </m:r>
      </m:oMath>
      <w:r>
        <w:t xml:space="preserve"> </w:t>
      </w:r>
      <w:r>
        <w:t xml:space="preserve">para cada</w:t>
      </w:r>
      <w:r>
        <w:t xml:space="preserve"> </w:t>
      </w:r>
      <m:oMath>
        <m:r>
          <m:t>q</m:t>
        </m:r>
      </m:oMath>
      <w:r>
        <w:t xml:space="preserve">, confirmando que a envoltória inferior emerge da minimização ponto a ponto. Nos pontos de tangência (marcadores verdes), a inclinação do</w:t>
      </w:r>
      <w:r>
        <w:t xml:space="preserve"> </w:t>
      </w:r>
      <m:oMath>
        <m:r>
          <m:t>C</m:t>
        </m:r>
        <m:sSub>
          <m:e>
            <m:r>
              <m:t>T</m:t>
            </m:r>
          </m:e>
          <m:sub>
            <m:r>
              <m:t>C</m:t>
            </m:r>
            <m:r>
              <m:t>P</m:t>
            </m:r>
          </m:sub>
        </m:sSub>
      </m:oMath>
      <w:r>
        <w:t xml:space="preserve"> </w:t>
      </w:r>
      <w:r>
        <w:t xml:space="preserve">é igual à do</w:t>
      </w:r>
      <w:r>
        <w:t xml:space="preserve"> </w:t>
      </w:r>
      <m:oMath>
        <m:r>
          <m:t>C</m:t>
        </m:r>
        <m:sSub>
          <m:e>
            <m:r>
              <m:t>T</m:t>
            </m:r>
          </m:e>
          <m:sub>
            <m:r>
              <m:t>L</m:t>
            </m:r>
            <m:r>
              <m:t>P</m:t>
            </m:r>
          </m:sub>
        </m:sSub>
      </m:oMath>
      <w:r>
        <w:t xml:space="preserve"> </w:t>
      </w:r>
      <w:r>
        <w:t xml:space="preserve">— uma aplicação direta do</w:t>
      </w:r>
      <w:r>
        <w:t xml:space="preserve"> </w:t>
      </w:r>
      <w:r>
        <w:rPr>
          <w:b/>
          <w:bCs/>
        </w:rPr>
        <w:t xml:space="preserve">Teorema do Envelope</w:t>
      </w:r>
      <w:r>
        <w:t xml:space="preserve">: a derivada da função valor em relação ao parâmetro (</w:t>
      </w:r>
      <m:oMath>
        <m:r>
          <m:t>q</m:t>
        </m:r>
      </m:oMath>
      <w:r>
        <w:t xml:space="preserve">) coincide com a derivada parcial do objetivo avaliada no ótimo.</w:t>
      </w:r>
    </w:p>
    <w:p>
      <w:pPr>
        <w:pStyle w:val="BodyText"/>
      </w:pPr>
      <w:r>
        <w:t xml:space="preserve">[FIGURA INTERATIVA: /micro-book/graficos/cap11/envoltoria-custo-total.html — versao interativa disponivel online]</w:t>
      </w:r>
    </w:p>
    <w:p>
      <w:pPr>
        <w:pStyle w:val="BodyText"/>
      </w:pPr>
      <w:r>
        <w:rPr>
          <w:b/>
          <w:bCs/>
        </w:rPr>
        <w:t xml:space="preserve">Figura 11.3 — Envoltória de custo total: cada curva colorida é um</w:t>
      </w:r>
      <w:r>
        <w:rPr>
          <w:b/>
          <w:bCs/>
        </w:rPr>
        <w:t xml:space="preserve"> </w:t>
      </w:r>
      <m:oMath>
        <m:r>
          <m:t>C</m:t>
        </m:r>
        <m:sSub>
          <m:e>
            <m:r>
              <m:t>T</m:t>
            </m:r>
          </m:e>
          <m:sub>
            <m:r>
              <m:t>C</m:t>
            </m:r>
            <m:r>
              <m:t>P</m:t>
            </m:r>
          </m:sub>
        </m:sSub>
      </m:oMath>
      <w:r>
        <w:rPr>
          <w:b/>
          <w:bCs/>
        </w:rPr>
        <w:t xml:space="preserve"> </w:t>
      </w:r>
      <w:r>
        <w:rPr>
          <w:b/>
          <w:bCs/>
        </w:rPr>
        <w:t xml:space="preserve">para um nível fixo de capital</w:t>
      </w:r>
      <w:r>
        <w:rPr>
          <w:b/>
          <w:bCs/>
        </w:rPr>
        <w:t xml:space="preserve"> </w:t>
      </w:r>
      <m:oMath>
        <m:acc>
          <m:accPr>
            <m:chr m:val="‾"/>
          </m:accPr>
          <m:e>
            <m:r>
              <m:t>K</m:t>
            </m:r>
          </m:e>
        </m:acc>
      </m:oMath>
      <w:r>
        <w:rPr>
          <w:b/>
          <w:bCs/>
        </w:rPr>
        <w:t xml:space="preserve">; a curva azul (</w:t>
      </w:r>
      <m:oMath>
        <m:r>
          <m:t>C</m:t>
        </m:r>
        <m:sSub>
          <m:e>
            <m:r>
              <m:t>T</m:t>
            </m:r>
          </m:e>
          <m:sub>
            <m:r>
              <m:t>L</m:t>
            </m:r>
            <m:r>
              <m:t>P</m:t>
            </m:r>
          </m:sub>
        </m:sSub>
      </m:oMath>
      <w:r>
        <w:rPr>
          <w:b/>
          <w:bCs/>
        </w:rPr>
        <w:t xml:space="preserve">) é a envoltória inferior, obtida numericamente.</w:t>
      </w:r>
      <w:r>
        <w:t xml:space="preserve"> </w:t>
      </w:r>
      <w:r>
        <w:t xml:space="preserve">Os pontos verdes indicam onde cada</w:t>
      </w:r>
      <w:r>
        <w:t xml:space="preserve"> </w:t>
      </w:r>
      <m:oMath>
        <m:r>
          <m:t>C</m:t>
        </m:r>
        <m:sSub>
          <m:e>
            <m:r>
              <m:t>T</m:t>
            </m:r>
          </m:e>
          <m:sub>
            <m:r>
              <m:t>C</m:t>
            </m:r>
            <m:r>
              <m:t>P</m:t>
            </m:r>
          </m:sub>
        </m:sSub>
      </m:oMath>
      <w:r>
        <w:t xml:space="preserve"> </w:t>
      </w:r>
      <w:r>
        <w:t xml:space="preserve">tangencia a envoltória. Use os controles para alterar</w:t>
      </w:r>
      <w:r>
        <w:t xml:space="preserve"> </w:t>
      </w:r>
      <m:oMath>
        <m:r>
          <m:t>w</m:t>
        </m:r>
      </m:oMath>
      <w:r>
        <w:t xml:space="preserve"> </w:t>
      </w:r>
      <w:r>
        <w:t xml:space="preserve">e</w:t>
      </w:r>
      <w:r>
        <w:t xml:space="preserve"> </w:t>
      </w:r>
      <m:oMath>
        <m:r>
          <m:t>v</m:t>
        </m:r>
      </m:oMath>
      <w:r>
        <w:t xml:space="preserve">, e as caixas de seleção para mostrar/ocultar curvas individuais e pontos de tangência.</w:t>
      </w:r>
    </w:p>
    <w:p>
      <w:pPr>
        <w:pStyle w:val="BlockText"/>
      </w:pPr>
      <w:r>
        <w:rPr>
          <w:b/>
          <w:bCs/>
        </w:rPr>
        <w:t xml:space="preserve">[TEOREMA] Teorema da curva envoltória</w:t>
      </w:r>
    </w:p>
    <w:p>
      <w:pPr>
        <w:pStyle w:val="BlockText"/>
      </w:pPr>
      <w:r>
        <w:t xml:space="preserve">A curva de custo médio de longo prazo (</w:t>
      </w:r>
      <m:oMath>
        <m:sSub>
          <m:e>
            <m:r>
              <m:rPr>
                <m:sty m:val="p"/>
              </m:rPr>
              <m:t>C</m:t>
            </m:r>
            <m:r>
              <m:rPr>
                <m:sty m:val="p"/>
              </m:rPr>
              <m:t>M</m:t>
            </m:r>
            <m:r>
              <m:rPr>
                <m:sty m:val="p"/>
              </m:rPr>
              <m:t>e</m:t>
            </m:r>
          </m:e>
          <m:sub>
            <m:r>
              <m:t>L</m:t>
            </m:r>
            <m:r>
              <m:t>P</m:t>
            </m:r>
          </m:sub>
        </m:sSub>
      </m:oMath>
      <w:r>
        <w:t xml:space="preserve">) é a</w:t>
      </w:r>
      <w:r>
        <w:t xml:space="preserve"> </w:t>
      </w:r>
      <w:r>
        <w:rPr>
          <w:b/>
          <w:bCs/>
        </w:rPr>
        <w:t xml:space="preserve">envoltória</w:t>
      </w:r>
      <w:r>
        <w:t xml:space="preserve"> </w:t>
      </w:r>
      <w:r>
        <w:t xml:space="preserve">das curvas de custo médio de curto prazo. Para cada nível de produto</w:t>
      </w:r>
      <w:r>
        <w:t xml:space="preserve"> </w:t>
      </w:r>
      <m:oMath>
        <m:r>
          <m:t>q</m:t>
        </m:r>
      </m:oMath>
      <w:r>
        <w:t xml:space="preserve">:</w:t>
      </w:r>
    </w:p>
    <w:p>
      <w:pPr>
        <w:pStyle w:val="BlockText"/>
      </w:pPr>
      <w:r>
        <w:t xml:space="preserve">$$</w:t>
      </w:r>
    </w:p>
    <w:p>
      <w:pPr>
        <w:pStyle w:val="BlockText"/>
      </w:pPr>
      <w:r>
        <w:rPr>
          <w:i/>
          <w:iCs/>
        </w:rPr>
        <w:t xml:space="preserve">{LP}(q)</w:t>
      </w:r>
      <w:r>
        <w:rPr>
          <w:i/>
          <w:iCs/>
        </w:rPr>
        <w:t xml:space="preserve"> </w:t>
      </w:r>
      <w:r>
        <w:t xml:space="preserve">{CP}(q;</w:t>
      </w:r>
      <w:r>
        <w:t xml:space="preserve"> </w:t>
      </w:r>
      <w:r>
        <w:t xml:space="preserve">{K})</w:t>
      </w:r>
      <w:r>
        <w:t xml:space="preserve"> </w:t>
      </w:r>
      <w:r>
        <w:t xml:space="preserve"> </w:t>
      </w:r>
      <w:r>
        <w:t xml:space="preserve">{K}</w:t>
      </w:r>
      <w:r>
        <w:t xml:space="preserve"> </w:t>
      </w:r>
      <w:r>
        <w:t xml:space="preserve"> </w:t>
      </w:r>
    </w:p>
    <w:p>
      <w:pPr>
        <w:pStyle w:val="BlockText"/>
      </w:pPr>
      <w:r>
        <w:t xml:space="preserve">$$</w:t>
      </w:r>
    </w:p>
    <w:p>
      <w:pPr>
        <w:pStyle w:val="BlockText"/>
      </w:pPr>
      <w:r>
        <w:t xml:space="preserve">com igualdade quando</w:t>
      </w:r>
      <w:r>
        <w:t xml:space="preserve"> </w:t>
      </w:r>
      <m:oMath>
        <m:acc>
          <m:accPr>
            <m:chr m:val="‾"/>
          </m:accPr>
          <m:e>
            <m:r>
              <m:t>K</m:t>
            </m:r>
          </m:e>
        </m:acc>
        <m:r>
          <m:rPr>
            <m:sty m:val="p"/>
          </m:rPr>
          <m:t>=</m:t>
        </m:r>
        <m:sSup>
          <m:e>
            <m:r>
              <m:t>K</m:t>
            </m:r>
          </m:e>
          <m:sup>
            <m:r>
              <m:rPr>
                <m:sty m:val="p"/>
              </m:rPr>
              <m:t>*</m:t>
            </m:r>
          </m:sup>
        </m:sSup>
        <m:r>
          <m:rPr>
            <m:sty m:val="p"/>
          </m:rPr>
          <m:t>(</m:t>
        </m:r>
        <m:r>
          <m:t>q</m:t>
        </m:r>
        <m:r>
          <m:rPr>
            <m:sty m:val="p"/>
          </m:rPr>
          <m:t>)</m:t>
        </m:r>
      </m:oMath>
      <w:r>
        <w:t xml:space="preserve">, o nível ótimo de capital de longo prazo para produzir</w:t>
      </w:r>
      <w:r>
        <w:t xml:space="preserve"> </w:t>
      </w:r>
      <m:oMath>
        <m:r>
          <m:t>q</m:t>
        </m:r>
      </m:oMath>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No longo prazo, a firma pode ajustar tudo — por isso seus custos nunca superam os de curto prazo.</w:t>
      </w:r>
    </w:p>
    <w:p>
      <w:pPr>
        <w:pStyle w:val="BlockText"/>
      </w:pPr>
      <w:r>
        <w:rPr>
          <w:b/>
          <w:bCs/>
        </w:rPr>
        <w:t xml:space="preserve">Pense assim:</w:t>
      </w:r>
      <w:r>
        <w:t xml:space="preserve"> </w:t>
      </w:r>
      <w:r>
        <w:t xml:space="preserve">Um restaurante com cozinha pequena (capital fixo) gasta muito para atender 200 clientes no sábado — precisa de horas extras, delivery externo. Mas se pudesse escolher o tamanho da cozinha (longo prazo), dimensionaria para 200 e gastaria menos. A curva de CMe de longo prazo</w:t>
      </w:r>
      <w:r>
        <w:t xml:space="preserve"> </w:t>
      </w:r>
      <w:r>
        <w:t xml:space="preserve">“tangencia”</w:t>
      </w:r>
      <w:r>
        <w:t xml:space="preserve"> </w:t>
      </w:r>
      <w:r>
        <w:t xml:space="preserve">cada curva de curto prazo no ponto ótimo de cada configuração.</w:t>
      </w:r>
    </w:p>
    <w:p>
      <w:pPr>
        <w:pStyle w:val="BlockText"/>
      </w:pPr>
      <w:r>
        <w:rPr>
          <w:b/>
          <w:bCs/>
        </w:rPr>
        <w:t xml:space="preserve">Por que isso importa:</w:t>
      </w:r>
      <w:r>
        <w:t xml:space="preserve"> </w:t>
      </w:r>
      <w:r>
        <w:t xml:space="preserve">A envoltória de custos de longo prazo determina a escala eficiente da firma e, portanto, o número de firmas que o mercado comporta — informação crucial para política antitruste e regulação.</w:t>
      </w:r>
    </w:p>
    <w:p>
      <w:pPr>
        <w:pStyle w:val="BlockText"/>
      </w:pPr>
      <w:r>
        <w:rPr>
          <w:b/>
          <w:bCs/>
        </w:rPr>
        <w:t xml:space="preserve">[INTUICAO ECONOMICA] Intuição Econômica</w:t>
      </w:r>
    </w:p>
    <w:p>
      <w:pPr>
        <w:pStyle w:val="BlockText"/>
      </w:pPr>
      <w:r>
        <w:rPr>
          <w:b/>
          <w:bCs/>
        </w:rPr>
        <w:t xml:space="preserve">Em uma frase:</w:t>
      </w:r>
      <w:r>
        <w:t xml:space="preserve"> </w:t>
      </w:r>
      <w:r>
        <w:t xml:space="preserve">Cada curva de custo de curto prazo é tangente à curva de longo prazo em exatamente um ponto — onde o capital fixo coincide com o capital ótimo de longo prazo para aquele nível de produto.</w:t>
      </w:r>
    </w:p>
    <w:p>
      <w:pPr>
        <w:pStyle w:val="BlockText"/>
      </w:pPr>
      <w:r>
        <w:rPr>
          <w:b/>
          <w:bCs/>
        </w:rPr>
        <w:t xml:space="preserve">Pense assim:</w:t>
      </w:r>
      <w:r>
        <w:t xml:space="preserve"> </w:t>
      </w:r>
      <w:r>
        <w:t xml:space="preserve">Imagine três tamanhos de planta industrial: pequena, média e grande. Para baixos volumes, a planta pequena é mais barata; para médios volumes, a planta média; para altos volumes, a grande. O LRAC é construído</w:t>
      </w:r>
      <w:r>
        <w:t xml:space="preserve"> </w:t>
      </w:r>
      <w:r>
        <w:t xml:space="preserve">“selecionando”</w:t>
      </w:r>
      <w:r>
        <w:t xml:space="preserve"> </w:t>
      </w:r>
      <w:r>
        <w:t xml:space="preserve">a parte mais barata de cada curva de curto prazo — tangenciando cada uma no volume para o qual aquela planta é ótima.</w:t>
      </w:r>
    </w:p>
    <w:p>
      <w:pPr>
        <w:pStyle w:val="BlockText"/>
      </w:pPr>
      <w:r>
        <w:rPr>
          <w:b/>
          <w:bCs/>
        </w:rPr>
        <w:t xml:space="preserve">Por que isso importa:</w:t>
      </w:r>
      <w:r>
        <w:t xml:space="preserve"> </w:t>
      </w:r>
      <w:r>
        <w:t xml:space="preserve">Essa propriedade, derivada formalmente do Teorema do Envelope, conecta o curto e o longo prazo de forma precisa. Ela mostra por que firmas que antecipam crescimento forte investem em plantas maiores do que o necessário no presente — porque o SRAC da planta maior tangenciará o LRAC no volume futuro esperado, e isso representa uma vantagem de custo de longo prazo.</w:t>
      </w:r>
    </w:p>
    <w:p>
      <w:pPr>
        <w:pStyle w:val="FirstParagraph"/>
      </w:pPr>
      <w:r>
        <w:t xml:space="preserve">Propriedade importante: no ponto de tangência, conforme a equação Eq. (eq:11.12), o CMg de curto prazo é igual ao CMg de longo prazo:</w:t>
      </w:r>
    </w:p>
    <w:p>
      <w:pPr>
        <w:pStyle w:val="BodyText"/>
      </w:pPr>
      <m:oMathPara>
        <m:oMathParaPr>
          <m:jc m:val="center"/>
        </m:oMathParaPr>
        <m:oMath>
          <m:sSub>
            <m:e>
              <m:r>
                <m:rPr>
                  <m:sty m:val="p"/>
                </m:rPr>
                <m:t>C</m:t>
              </m:r>
              <m:r>
                <m:rPr>
                  <m:sty m:val="p"/>
                </m:rPr>
                <m:t>M</m:t>
              </m:r>
              <m:r>
                <m:rPr>
                  <m:sty m:val="p"/>
                </m:rPr>
                <m:t>g</m:t>
              </m:r>
            </m:e>
            <m:sub>
              <m:r>
                <m:t>C</m:t>
              </m:r>
              <m:r>
                <m:t>P</m:t>
              </m:r>
            </m:sub>
          </m:sSub>
          <m:r>
            <m:rPr>
              <m:sty m:val="p"/>
            </m:rPr>
            <m:t>(</m:t>
          </m:r>
          <m:sSup>
            <m:e>
              <m:r>
                <m:t>q</m:t>
              </m:r>
            </m:e>
            <m:sup>
              <m:r>
                <m:rPr>
                  <m:sty m:val="p"/>
                </m:rPr>
                <m:t>*</m:t>
              </m:r>
            </m:sup>
          </m:sSup>
          <m:r>
            <m:rPr>
              <m:sty m:val="p"/>
            </m:rPr>
            <m:t>;</m:t>
          </m:r>
          <m:sSup>
            <m:e>
              <m:acc>
                <m:accPr>
                  <m:chr m:val="‾"/>
                </m:accPr>
                <m:e>
                  <m:r>
                    <m:t>K</m:t>
                  </m:r>
                </m:e>
              </m:acc>
            </m:e>
            <m:sup>
              <m:r>
                <m:rPr>
                  <m:sty m:val="p"/>
                </m:rPr>
                <m:t>*</m:t>
              </m:r>
            </m:sup>
          </m:sSup>
          <m:r>
            <m:rPr>
              <m:sty m:val="p"/>
            </m:rPr>
            <m:t>)</m:t>
          </m:r>
          <m:r>
            <m:rPr>
              <m:sty m:val="p"/>
            </m:rPr>
            <m:t>=</m:t>
          </m:r>
          <m:sSub>
            <m:e>
              <m:r>
                <m:rPr>
                  <m:sty m:val="p"/>
                </m:rPr>
                <m:t>C</m:t>
              </m:r>
              <m:r>
                <m:rPr>
                  <m:sty m:val="p"/>
                </m:rPr>
                <m:t>M</m:t>
              </m:r>
              <m:r>
                <m:rPr>
                  <m:sty m:val="p"/>
                </m:rPr>
                <m:t>g</m:t>
              </m:r>
            </m:e>
            <m:sub>
              <m:r>
                <m:t>L</m:t>
              </m:r>
              <m:r>
                <m:t>P</m:t>
              </m:r>
            </m:sub>
          </m:sSub>
          <m:r>
            <m:rPr>
              <m:sty m:val="p"/>
            </m:rPr>
            <m:t>(</m:t>
          </m:r>
          <m:sSup>
            <m:e>
              <m:r>
                <m:t>q</m:t>
              </m:r>
            </m:e>
            <m:sup>
              <m:r>
                <m:rPr>
                  <m:sty m:val="p"/>
                </m:rPr>
                <m:t>*</m:t>
              </m:r>
            </m:sup>
          </m:sSup>
          <m:r>
            <m:rPr>
              <m:sty m:val="p"/>
            </m:rPr>
            <m:t>)</m:t>
          </m:r>
        </m:oMath>
      </m:oMathPara>
    </w:p>
    <w:p>
      <w:pPr>
        <w:pStyle w:val="FirstParagraph"/>
      </w:pPr>
      <w:r>
        <w:t xml:space="preserve">A Figura 11.4 complementa a visão anterior, agora em termos de</w:t>
      </w:r>
      <w:r>
        <w:t xml:space="preserve"> </w:t>
      </w:r>
      <w:r>
        <w:rPr>
          <w:b/>
          <w:bCs/>
        </w:rPr>
        <w:t xml:space="preserve">custo médio</w:t>
      </w:r>
      <w:r>
        <w:t xml:space="preserve">. Cada curva cinza é um CMe de curto prazo (SRAC) para um nível fixo de capital; a curva azul (LRAC) é a envoltória.</w:t>
      </w:r>
    </w:p>
    <w:p>
      <w:pPr>
        <w:pStyle w:val="BodyText"/>
      </w:pPr>
      <w:r>
        <w:t xml:space="preserve">[FIGURA INTERATIVA: /micro-book/graficos/cap11/curto-longo-prazo.html — versao interativa disponivel online]</w:t>
      </w:r>
    </w:p>
    <w:p>
      <w:pPr>
        <w:pStyle w:val="BodyText"/>
      </w:pPr>
      <w:r>
        <w:rPr>
          <w:b/>
          <w:bCs/>
        </w:rPr>
        <w:t xml:space="preserve">Figura 11.4 — Curva envoltória: CMe de curto e longo prazo.</w:t>
      </w:r>
      <w:r>
        <w:t xml:space="preserve"> </w:t>
      </w:r>
      <w:r>
        <w:t xml:space="preserve">Cada curva cinza é um CMe de curto prazo (SRAC) para um nível fixo de capital; a curva azul (LRAC) é a envoltória. Selecione</w:t>
      </w:r>
      <w:r>
        <w:t xml:space="preserve"> </w:t>
      </w:r>
      <m:oMath>
        <m:acc>
          <m:accPr>
            <m:chr m:val="‾"/>
          </m:accPr>
          <m:e>
            <m:r>
              <m:t>K</m:t>
            </m:r>
          </m:e>
        </m:acc>
      </m:oMath>
      <w:r>
        <w:t xml:space="preserve"> </w:t>
      </w:r>
      <w:r>
        <w:t xml:space="preserve">para destacar o SRAC correspondente e ver o ponto de tangência.</w:t>
      </w:r>
    </w:p>
    <w:bookmarkEnd w:id="722"/>
    <w:bookmarkStart w:id="723" w:name="economias-e-deseconomias-de-escala"/>
    <w:p>
      <w:pPr>
        <w:pStyle w:val="Heading4"/>
      </w:pPr>
      <w:r>
        <w:t xml:space="preserve">Economias e deseconomias de escala</w:t>
      </w:r>
    </w:p>
    <w:p>
      <w:pPr>
        <w:pStyle w:val="FirstParagraph"/>
      </w:pPr>
      <w:r>
        <w:t xml:space="preserve">A forma da curva</w:t>
      </w:r>
      <w:r>
        <w:t xml:space="preserve"> </w:t>
      </w:r>
      <m:oMath>
        <m:sSub>
          <m:e>
            <m:r>
              <m:rPr>
                <m:sty m:val="p"/>
              </m:rPr>
              <m:t>C</m:t>
            </m:r>
            <m:r>
              <m:rPr>
                <m:sty m:val="p"/>
              </m:rPr>
              <m:t>M</m:t>
            </m:r>
            <m:r>
              <m:rPr>
                <m:sty m:val="p"/>
              </m:rPr>
              <m:t>e</m:t>
            </m:r>
          </m:e>
          <m:sub>
            <m:r>
              <m:t>L</m:t>
            </m:r>
            <m:r>
              <m:t>P</m:t>
            </m:r>
          </m:sub>
        </m:sSub>
      </m:oMath>
      <w:r>
        <w:t xml:space="preserve"> </w:t>
      </w:r>
      <w:r>
        <w:t xml:space="preserve">reflete os rendimentos de escala:</w:t>
      </w:r>
    </w:p>
    <w:p>
      <w:pPr>
        <w:pStyle w:val="Compact"/>
        <w:numPr>
          <w:ilvl w:val="0"/>
          <w:numId w:val="1680"/>
        </w:numPr>
      </w:pPr>
      <w:r>
        <w:rPr>
          <w:b/>
          <w:bCs/>
        </w:rPr>
        <w:t xml:space="preserve">Rendimentos crescentes de escala</w:t>
      </w:r>
      <w:r>
        <w:t xml:space="preserve"> </w:t>
      </w:r>
      <m:oMath>
        <m:r>
          <m:rPr>
            <m:sty m:val="p"/>
          </m:rPr>
          <m:t>⇔</m:t>
        </m:r>
      </m:oMath>
      <w:r>
        <w:t xml:space="preserve"> </w:t>
      </w:r>
      <m:oMath>
        <m:sSub>
          <m:e>
            <m:r>
              <m:rPr>
                <m:sty m:val="p"/>
              </m:rPr>
              <m:t>C</m:t>
            </m:r>
            <m:r>
              <m:rPr>
                <m:sty m:val="p"/>
              </m:rPr>
              <m:t>M</m:t>
            </m:r>
            <m:r>
              <m:rPr>
                <m:sty m:val="p"/>
              </m:rPr>
              <m:t>e</m:t>
            </m:r>
          </m:e>
          <m:sub>
            <m:r>
              <m:t>L</m:t>
            </m:r>
            <m:r>
              <m:t>P</m:t>
            </m:r>
          </m:sub>
        </m:sSub>
      </m:oMath>
      <w:r>
        <w:t xml:space="preserve"> </w:t>
      </w:r>
      <w:r>
        <w:t xml:space="preserve">decrescente</w:t>
      </w:r>
      <w:r>
        <w:t xml:space="preserve"> </w:t>
      </w:r>
      <m:oMath>
        <m:r>
          <m:rPr>
            <m:sty m:val="p"/>
          </m:rPr>
          <m:t>⇔</m:t>
        </m:r>
      </m:oMath>
      <w:r>
        <w:t xml:space="preserve"> </w:t>
      </w:r>
      <w:r>
        <w:rPr>
          <w:b/>
          <w:bCs/>
        </w:rPr>
        <w:t xml:space="preserve">economias de escala</w:t>
      </w:r>
      <w:r>
        <w:t xml:space="preserve">.</w:t>
      </w:r>
    </w:p>
    <w:p>
      <w:pPr>
        <w:pStyle w:val="Compact"/>
        <w:numPr>
          <w:ilvl w:val="0"/>
          <w:numId w:val="1680"/>
        </w:numPr>
      </w:pPr>
      <w:r>
        <w:rPr>
          <w:b/>
          <w:bCs/>
        </w:rPr>
        <w:t xml:space="preserve">Rendimentos constantes de escala</w:t>
      </w:r>
      <w:r>
        <w:t xml:space="preserve"> </w:t>
      </w:r>
      <m:oMath>
        <m:r>
          <m:rPr>
            <m:sty m:val="p"/>
          </m:rPr>
          <m:t>⇔</m:t>
        </m:r>
      </m:oMath>
      <w:r>
        <w:t xml:space="preserve"> </w:t>
      </w:r>
      <m:oMath>
        <m:sSub>
          <m:e>
            <m:r>
              <m:rPr>
                <m:sty m:val="p"/>
              </m:rPr>
              <m:t>C</m:t>
            </m:r>
            <m:r>
              <m:rPr>
                <m:sty m:val="p"/>
              </m:rPr>
              <m:t>M</m:t>
            </m:r>
            <m:r>
              <m:rPr>
                <m:sty m:val="p"/>
              </m:rPr>
              <m:t>e</m:t>
            </m:r>
          </m:e>
          <m:sub>
            <m:r>
              <m:t>L</m:t>
            </m:r>
            <m:r>
              <m:t>P</m:t>
            </m:r>
          </m:sub>
        </m:sSub>
      </m:oMath>
      <w:r>
        <w:t xml:space="preserve"> </w:t>
      </w:r>
      <w:r>
        <w:t xml:space="preserve">constante.</w:t>
      </w:r>
    </w:p>
    <w:p>
      <w:pPr>
        <w:pStyle w:val="Compact"/>
        <w:numPr>
          <w:ilvl w:val="0"/>
          <w:numId w:val="1680"/>
        </w:numPr>
      </w:pPr>
      <w:r>
        <w:rPr>
          <w:b/>
          <w:bCs/>
        </w:rPr>
        <w:t xml:space="preserve">Rendimentos decrescentes de escala</w:t>
      </w:r>
      <w:r>
        <w:t xml:space="preserve"> </w:t>
      </w:r>
      <m:oMath>
        <m:r>
          <m:rPr>
            <m:sty m:val="p"/>
          </m:rPr>
          <m:t>⇔</m:t>
        </m:r>
      </m:oMath>
      <w:r>
        <w:t xml:space="preserve"> </w:t>
      </w:r>
      <m:oMath>
        <m:sSub>
          <m:e>
            <m:r>
              <m:rPr>
                <m:sty m:val="p"/>
              </m:rPr>
              <m:t>C</m:t>
            </m:r>
            <m:r>
              <m:rPr>
                <m:sty m:val="p"/>
              </m:rPr>
              <m:t>M</m:t>
            </m:r>
            <m:r>
              <m:rPr>
                <m:sty m:val="p"/>
              </m:rPr>
              <m:t>e</m:t>
            </m:r>
          </m:e>
          <m:sub>
            <m:r>
              <m:t>L</m:t>
            </m:r>
            <m:r>
              <m:t>P</m:t>
            </m:r>
          </m:sub>
        </m:sSub>
      </m:oMath>
      <w:r>
        <w:t xml:space="preserve"> </w:t>
      </w:r>
      <w:r>
        <w:t xml:space="preserve">crescente</w:t>
      </w:r>
      <w:r>
        <w:t xml:space="preserve"> </w:t>
      </w:r>
      <m:oMath>
        <m:r>
          <m:rPr>
            <m:sty m:val="p"/>
          </m:rPr>
          <m:t>⇔</m:t>
        </m:r>
      </m:oMath>
      <w:r>
        <w:t xml:space="preserve"> </w:t>
      </w:r>
      <w:r>
        <w:rPr>
          <w:b/>
          <w:bCs/>
        </w:rPr>
        <w:t xml:space="preserve">deseconomias de escala</w:t>
      </w:r>
      <w:r>
        <w:t xml:space="preserve">.</w:t>
      </w:r>
    </w:p>
    <w:p>
      <w:pPr>
        <w:pStyle w:val="FirstParagraph"/>
      </w:pPr>
      <w:r>
        <w:t xml:space="preserve">A</w:t>
      </w:r>
      <w:r>
        <w:t xml:space="preserve"> </w:t>
      </w:r>
      <w:r>
        <w:rPr>
          <w:b/>
          <w:bCs/>
        </w:rPr>
        <w:t xml:space="preserve">escala mínima eficiente</w:t>
      </w:r>
      <w:r>
        <w:t xml:space="preserve"> </w:t>
      </w:r>
      <w:r>
        <w:t xml:space="preserve">(EME) é o menor nível de produto para o qual o CMe de longo prazo atinge seu mínimo. A EME tem implicações diretas para a estrutura de mercado: se a EME é grande em relação ao tamanho do mercado, o setor tende a ter poucas firmas (oligopólio ou monopólio natural). Por exemplo, se a EME de uma montadora de automóveis é de 200 mil veículos por ano e o mercado brasileiro absorve 2 milhões, o mercado comporta no máximo dez montadoras eficientes — o que ajuda a explicar a estrutura oligopolística observada nesse setor.</w:t>
      </w:r>
    </w:p>
    <w:p>
      <w:pPr>
        <w:pStyle w:val="BlockText"/>
      </w:pPr>
      <w:r>
        <w:rPr>
          <w:b/>
          <w:bCs/>
        </w:rPr>
        <w:t xml:space="preserve">[INTUICAO ECONOMICA] Intuição Econômica</w:t>
      </w:r>
    </w:p>
    <w:p>
      <w:pPr>
        <w:pStyle w:val="BlockText"/>
      </w:pPr>
      <w:r>
        <w:rPr>
          <w:b/>
          <w:bCs/>
        </w:rPr>
        <w:t xml:space="preserve">Em uma frase:</w:t>
      </w:r>
      <w:r>
        <w:t xml:space="preserve"> </w:t>
      </w:r>
      <w:r>
        <w:t xml:space="preserve">Economias de escala significam que produzir mais sai mais barato por unidade — o custo médio cai conforme a firma cresce.</w:t>
      </w:r>
    </w:p>
    <w:p>
      <w:pPr>
        <w:pStyle w:val="BlockText"/>
      </w:pPr>
      <w:r>
        <w:rPr>
          <w:b/>
          <w:bCs/>
        </w:rPr>
        <w:t xml:space="preserve">Pense assim:</w:t>
      </w:r>
      <w:r>
        <w:t xml:space="preserve"> </w:t>
      </w:r>
      <w:r>
        <w:t xml:space="preserve">Uma fábrica de cerveja artesanal paga quase o mesmo aluguel, energia e licença sanitária que uma grande cervejaria, mas produz muito menos garrafas para diluir esses custos. Por isso a Ambev consegue vender a R$ 3 a lata enquanto a artesanal cobra R$ 15 — a escala mínima eficiente do setor é alta.</w:t>
      </w:r>
    </w:p>
    <w:p>
      <w:pPr>
        <w:pStyle w:val="BlockText"/>
      </w:pPr>
      <w:r>
        <w:rPr>
          <w:b/>
          <w:bCs/>
        </w:rPr>
        <w:t xml:space="preserve">Por que isso importa:</w:t>
      </w:r>
      <w:r>
        <w:t xml:space="preserve"> </w:t>
      </w:r>
      <w:r>
        <w:t xml:space="preserve">Economias de escala explicam a concentração em setores como aviação, telecomunicações e siderurgia no Brasil, e são o principal argumento em análises de fusões pelo</w:t>
      </w:r>
      <w:r>
        <w:t xml:space="preserve"> </w:t>
      </w:r>
      <w:hyperlink r:id="rId316">
        <w:r>
          <w:rPr>
            <w:rStyle w:val="Hyperlink"/>
          </w:rPr>
          <w:t xml:space="preserve">CADE</w:t>
        </w:r>
      </w:hyperlink>
      <w:r>
        <w:t xml:space="preserve">.</w:t>
      </w:r>
    </w:p>
    <w:p>
      <w:pPr>
        <w:pStyle w:val="FirstParagraph"/>
      </w:pPr>
      <w:r>
        <w:t xml:space="preserve">Uma última propriedade relevante da envoltória é que, no mínimo da curva de LRAC, a curva de curto prazo ótima tangencia a de longo prazo</w:t>
      </w:r>
      <w:r>
        <w:t xml:space="preserve"> </w:t>
      </w:r>
      <w:r>
        <w:rPr>
          <w:i/>
          <w:iCs/>
        </w:rPr>
        <w:t xml:space="preserve">e</w:t>
      </w:r>
      <w:r>
        <w:t xml:space="preserve"> </w:t>
      </w:r>
      <w:r>
        <w:t xml:space="preserve">também tem seu próprio mínimo no mesmo ponto — ou seja, no mínimo do LRAC, o SRAC ótimo também está em seu mínimo. Isso ocorre porque, nesse ponto, o capital fixo é exatamente igual ao capital ótimo de longo prazo para aquela quantidade, e não há</w:t>
      </w:r>
      <w:r>
        <w:t xml:space="preserve"> </w:t>
      </w:r>
      <w:r>
        <w:t xml:space="preserve">“deformação”</w:t>
      </w:r>
      <w:r>
        <w:t xml:space="preserve"> </w:t>
      </w:r>
      <w:r>
        <w:t xml:space="preserve">de curto prazo. Esse ponto especial define a</w:t>
      </w:r>
      <w:r>
        <w:t xml:space="preserve"> </w:t>
      </w:r>
      <w:r>
        <w:rPr>
          <w:b/>
          <w:bCs/>
        </w:rPr>
        <w:t xml:space="preserve">escala eficiente mínima</w:t>
      </w:r>
      <w:r>
        <w:t xml:space="preserve"> </w:t>
      </w:r>
      <w:r>
        <w:t xml:space="preserve">da firma.</w:t>
      </w:r>
    </w:p>
    <w:p>
      <w:pPr>
        <w:pStyle w:val="BlockText"/>
      </w:pPr>
      <w:r>
        <w:rPr>
          <w:b/>
          <w:bCs/>
        </w:rPr>
        <w:t xml:space="preserve">[EXERCICIO RESOLVIDO] Exercício Resolvido 11.3 — Curto prazo versus longo prazo</w:t>
      </w:r>
    </w:p>
    <w:p>
      <w:pPr>
        <w:pStyle w:val="BlockText"/>
      </w:pPr>
      <w:r>
        <w:rPr>
          <w:b/>
          <w:bCs/>
        </w:rPr>
        <w:t xml:space="preserve">Enunciado.</w:t>
      </w:r>
      <w:r>
        <w:t xml:space="preserve"> </w:t>
      </w:r>
      <w:r>
        <w:t xml:space="preserve">Uma firma tem função de produção</w:t>
      </w:r>
      <w:r>
        <w:t xml:space="preserve"> </w:t>
      </w:r>
      <m:oMath>
        <m:r>
          <m:t>q</m:t>
        </m:r>
        <m:r>
          <m:rPr>
            <m:sty m:val="p"/>
          </m:rPr>
          <m:t>=</m:t>
        </m:r>
        <m:sSup>
          <m:e>
            <m:r>
              <m:t>K</m:t>
            </m:r>
          </m:e>
          <m:sup>
            <m:r>
              <m:t>1</m:t>
            </m:r>
            <m:r>
              <m:rPr>
                <m:sty m:val="p"/>
              </m:rPr>
              <m:t>/</m:t>
            </m:r>
            <m:r>
              <m:t>4</m:t>
            </m:r>
          </m:sup>
        </m:sSup>
        <m:sSup>
          <m:e>
            <m:r>
              <m:t>L</m:t>
            </m:r>
          </m:e>
          <m:sup>
            <m:r>
              <m:t>1</m:t>
            </m:r>
            <m:r>
              <m:rPr>
                <m:sty m:val="p"/>
              </m:rPr>
              <m:t>/</m:t>
            </m:r>
            <m:r>
              <m:t>4</m:t>
            </m:r>
          </m:sup>
        </m:sSup>
      </m:oMath>
      <w:r>
        <w:t xml:space="preserve"> </w:t>
      </w:r>
      <w:r>
        <w:t xml:space="preserve">com</w:t>
      </w:r>
      <w:r>
        <w:t xml:space="preserve"> </w:t>
      </w:r>
      <m:oMath>
        <m:r>
          <m:t>w</m:t>
        </m:r>
        <m:r>
          <m:rPr>
            <m:sty m:val="p"/>
          </m:rPr>
          <m:t>=</m:t>
        </m:r>
        <m:r>
          <m:t>10</m:t>
        </m:r>
      </m:oMath>
      <w:r>
        <w:t xml:space="preserve"> </w:t>
      </w:r>
      <w:r>
        <w:t xml:space="preserve">e</w:t>
      </w:r>
      <w:r>
        <w:t xml:space="preserve"> </w:t>
      </w:r>
      <m:oMath>
        <m:r>
          <m:t>v</m:t>
        </m:r>
        <m:r>
          <m:rPr>
            <m:sty m:val="p"/>
          </m:rPr>
          <m:t>=</m:t>
        </m:r>
        <m:r>
          <m:t>10</m:t>
        </m:r>
      </m:oMath>
      <w:r>
        <w:t xml:space="preserve">.</w:t>
      </w:r>
    </w:p>
    <w:p>
      <w:pPr>
        <w:pStyle w:val="BlockText"/>
        <w:numPr>
          <w:ilvl w:val="0"/>
          <w:numId w:val="1681"/>
        </w:numPr>
      </w:pPr>
      <w:r>
        <w:t xml:space="preserve">Derive a função custo de longo prazo e mostre que o CMg é crescente.</w:t>
      </w:r>
    </w:p>
    <w:p>
      <w:pPr>
        <w:pStyle w:val="BlockText"/>
        <w:numPr>
          <w:ilvl w:val="0"/>
          <w:numId w:val="1681"/>
        </w:numPr>
      </w:pPr>
      <w:r>
        <w:t xml:space="preserve">No curto prazo, o capital está fixo em</w:t>
      </w:r>
      <w:r>
        <w:t xml:space="preserve"> </w:t>
      </w:r>
      <m:oMath>
        <m:acc>
          <m:accPr>
            <m:chr m:val="‾"/>
          </m:accPr>
          <m:e>
            <m:r>
              <m:t>K</m:t>
            </m:r>
          </m:e>
        </m:acc>
        <m:r>
          <m:rPr>
            <m:sty m:val="p"/>
          </m:rPr>
          <m:t>=</m:t>
        </m:r>
        <m:r>
          <m:t>1</m:t>
        </m:r>
      </m:oMath>
      <w:r>
        <w:t xml:space="preserve">. Derive a função custo de curto prazo.</w:t>
      </w:r>
    </w:p>
    <w:p>
      <w:pPr>
        <w:pStyle w:val="BlockText"/>
        <w:numPr>
          <w:ilvl w:val="0"/>
          <w:numId w:val="1681"/>
        </w:numPr>
      </w:pPr>
      <w:r>
        <w:t xml:space="preserve">Mostre que</w:t>
      </w:r>
      <w:r>
        <w:t xml:space="preserve"> </w:t>
      </w:r>
      <m:oMath>
        <m:r>
          <m:t>C</m:t>
        </m:r>
        <m:sSub>
          <m:e>
            <m:r>
              <m:t>T</m:t>
            </m:r>
          </m:e>
          <m:sub>
            <m:r>
              <m:t>L</m:t>
            </m:r>
            <m:r>
              <m:t>P</m:t>
            </m:r>
          </m:sub>
        </m:sSub>
        <m:r>
          <m:rPr>
            <m:sty m:val="p"/>
          </m:rPr>
          <m:t>(</m:t>
        </m:r>
        <m:r>
          <m:t>q</m:t>
        </m:r>
        <m:r>
          <m:rPr>
            <m:sty m:val="p"/>
          </m:rPr>
          <m:t>)</m:t>
        </m:r>
        <m:r>
          <m:rPr>
            <m:sty m:val="p"/>
          </m:rPr>
          <m:t>≤</m:t>
        </m:r>
        <m:r>
          <m:t>C</m:t>
        </m:r>
        <m:sSub>
          <m:e>
            <m:r>
              <m:t>T</m:t>
            </m:r>
          </m:e>
          <m:sub>
            <m:r>
              <m:t>C</m:t>
            </m:r>
            <m:r>
              <m:t>P</m:t>
            </m:r>
          </m:sub>
        </m:sSub>
        <m:r>
          <m:rPr>
            <m:sty m:val="p"/>
          </m:rPr>
          <m:t>(</m:t>
        </m:r>
        <m:r>
          <m:t>q</m:t>
        </m:r>
        <m:r>
          <m:rPr>
            <m:sty m:val="p"/>
          </m:rPr>
          <m:t>)</m:t>
        </m:r>
      </m:oMath>
      <w:r>
        <w:t xml:space="preserve"> </w:t>
      </w:r>
      <w:r>
        <w:t xml:space="preserve">para todo</w:t>
      </w:r>
      <w:r>
        <w:t xml:space="preserve"> </w:t>
      </w:r>
      <m:oMath>
        <m:r>
          <m:t>q</m:t>
        </m:r>
      </m:oMath>
      <w:r>
        <w:t xml:space="preserve">, com igualdade em um ponto.</w:t>
      </w:r>
    </w:p>
    <w:p>
      <w:pPr>
        <w:pStyle w:val="BlockText"/>
      </w:pPr>
      <w:r>
        <w:rPr>
          <w:b/>
          <w:bCs/>
        </w:rPr>
        <w:t xml:space="preserve">Solução.</w:t>
      </w:r>
    </w:p>
    <w:p>
      <w:pPr>
        <w:pStyle w:val="BlockText"/>
      </w:pPr>
      <w:r>
        <w:rPr>
          <w:b/>
          <w:bCs/>
        </w:rPr>
        <w:t xml:space="preserve">(a)</w:t>
      </w:r>
      <w:r>
        <w:t xml:space="preserve"> </w:t>
      </w:r>
      <w:r>
        <w:t xml:space="preserve">Com</w:t>
      </w:r>
      <w:r>
        <w:t xml:space="preserve"> </w:t>
      </w:r>
      <m:oMath>
        <m:r>
          <m:t>α</m:t>
        </m:r>
        <m:r>
          <m:rPr>
            <m:sty m:val="p"/>
          </m:rPr>
          <m:t>=</m:t>
        </m:r>
        <m:r>
          <m:t>β</m:t>
        </m:r>
        <m:r>
          <m:rPr>
            <m:sty m:val="p"/>
          </m:rPr>
          <m:t>=</m:t>
        </m:r>
        <m:r>
          <m:t>1</m:t>
        </m:r>
        <m:r>
          <m:rPr>
            <m:sty m:val="p"/>
          </m:rPr>
          <m:t>/</m:t>
        </m:r>
        <m:r>
          <m:t>4</m:t>
        </m:r>
      </m:oMath>
      <w:r>
        <w:t xml:space="preserve"> </w:t>
      </w:r>
      <w:r>
        <w:t xml:space="preserve">e</w:t>
      </w:r>
      <w:r>
        <w:t xml:space="preserve"> </w:t>
      </w:r>
      <m:oMath>
        <m:r>
          <m:t>α</m:t>
        </m:r>
        <m:r>
          <m:rPr>
            <m:sty m:val="p"/>
          </m:rPr>
          <m:t>+</m:t>
        </m:r>
        <m:r>
          <m:t>β</m:t>
        </m:r>
        <m:r>
          <m:rPr>
            <m:sty m:val="p"/>
          </m:rPr>
          <m:t>=</m:t>
        </m:r>
        <m:r>
          <m:t>1</m:t>
        </m:r>
        <m:r>
          <m:rPr>
            <m:sty m:val="p"/>
          </m:rPr>
          <m:t>/</m:t>
        </m:r>
        <m:r>
          <m:t>2</m:t>
        </m:r>
        <m:r>
          <m:rPr>
            <m:sty m:val="p"/>
          </m:rPr>
          <m:t>&lt;</m:t>
        </m:r>
        <m:r>
          <m:t>1</m:t>
        </m:r>
      </m:oMath>
      <w:r>
        <w:t xml:space="preserve"> </w:t>
      </w:r>
      <w:r>
        <w:t xml:space="preserve">(retornos decrescentes), pela condição de tangência:</w:t>
      </w:r>
    </w:p>
    <w:p>
      <w:pPr>
        <w:pStyle w:val="BlockText"/>
      </w:pPr>
      <w:r>
        <w:t xml:space="preserve">$$</w:t>
      </w:r>
    </w:p>
    <w:p>
      <w:pPr>
        <w:pStyle w:val="BlockText"/>
      </w:pPr>
      <w:r>
        <w:t xml:space="preserve"> </w:t>
      </w:r>
      <w:r>
        <w:t xml:space="preserve">=</w:t>
      </w:r>
      <w:r>
        <w:t xml:space="preserve"> </w:t>
      </w:r>
      <w:r>
        <w:t xml:space="preserve"> </w:t>
      </w:r>
      <w:r>
        <w:t xml:space="preserve">= 1</w:t>
      </w:r>
      <w:r>
        <w:t xml:space="preserve"> </w:t>
      </w:r>
      <w:r>
        <w:t xml:space="preserve">K = L</w:t>
      </w:r>
    </w:p>
    <w:p>
      <w:pPr>
        <w:pStyle w:val="BlockText"/>
      </w:pPr>
      <w:r>
        <w:t xml:space="preserve">$$</w:t>
      </w:r>
    </w:p>
    <w:p>
      <w:pPr>
        <w:pStyle w:val="BlockText"/>
      </w:pPr>
      <w:r>
        <w:t xml:space="preserve">Substituindo:</w:t>
      </w:r>
      <w:r>
        <w:t xml:space="preserve"> </w:t>
      </w:r>
      <m:oMath>
        <m:sSup>
          <m:e>
            <m:r>
              <m:t>K</m:t>
            </m:r>
          </m:e>
          <m:sup>
            <m:r>
              <m:t>1</m:t>
            </m:r>
            <m:r>
              <m:rPr>
                <m:sty m:val="p"/>
              </m:rPr>
              <m:t>/</m:t>
            </m:r>
            <m:r>
              <m:t>4</m:t>
            </m:r>
          </m:sup>
        </m:sSup>
        <m:sSup>
          <m:e>
            <m:r>
              <m:t>K</m:t>
            </m:r>
          </m:e>
          <m:sup>
            <m:r>
              <m:t>1</m:t>
            </m:r>
            <m:r>
              <m:rPr>
                <m:sty m:val="p"/>
              </m:rPr>
              <m:t>/</m:t>
            </m:r>
            <m:r>
              <m:t>4</m:t>
            </m:r>
          </m:sup>
        </m:sSup>
        <m:r>
          <m:rPr>
            <m:sty m:val="p"/>
          </m:rPr>
          <m:t>=</m:t>
        </m:r>
        <m:r>
          <m:t>q</m:t>
        </m:r>
        <m:r>
          <m:rPr>
            <m:sty m:val="p"/>
          </m:rPr>
          <m:t>⟹</m:t>
        </m:r>
        <m:sSup>
          <m:e>
            <m:r>
              <m:t>K</m:t>
            </m:r>
          </m:e>
          <m:sup>
            <m:r>
              <m:t>1</m:t>
            </m:r>
            <m:r>
              <m:rPr>
                <m:sty m:val="p"/>
              </m:rPr>
              <m:t>/</m:t>
            </m:r>
            <m:r>
              <m:t>2</m:t>
            </m:r>
          </m:sup>
        </m:sSup>
        <m:r>
          <m:rPr>
            <m:sty m:val="p"/>
          </m:rPr>
          <m:t>=</m:t>
        </m:r>
        <m:r>
          <m:t>q</m:t>
        </m:r>
        <m:r>
          <m:rPr>
            <m:sty m:val="p"/>
          </m:rPr>
          <m:t>⟹</m:t>
        </m:r>
        <m:sSup>
          <m:e>
            <m:r>
              <m:t>K</m:t>
            </m:r>
          </m:e>
          <m:sup>
            <m:r>
              <m:t>c</m:t>
            </m:r>
          </m:sup>
        </m:sSup>
        <m:r>
          <m:rPr>
            <m:sty m:val="p"/>
          </m:rPr>
          <m:t>=</m:t>
        </m:r>
        <m:sSup>
          <m:e>
            <m:r>
              <m:t>L</m:t>
            </m:r>
          </m:e>
          <m:sup>
            <m:r>
              <m:t>c</m:t>
            </m:r>
          </m:sup>
        </m:sSup>
        <m:r>
          <m:rPr>
            <m:sty m:val="p"/>
          </m:rPr>
          <m:t>=</m:t>
        </m:r>
        <m:sSup>
          <m:e>
            <m:r>
              <m:t>q</m:t>
            </m:r>
          </m:e>
          <m:sup>
            <m:r>
              <m:t>2</m:t>
            </m:r>
          </m:sup>
        </m:sSup>
      </m:oMath>
      <w:r>
        <w:t xml:space="preserve">.</w:t>
      </w:r>
    </w:p>
    <w:p>
      <w:pPr>
        <w:pStyle w:val="BlockText"/>
      </w:pPr>
      <w:r>
        <w:t xml:space="preserve">$$</w:t>
      </w:r>
    </w:p>
    <w:p>
      <w:pPr>
        <w:pStyle w:val="BlockText"/>
      </w:pPr>
      <w:r>
        <w:t xml:space="preserve">CT_{LP} = 10q^2 + 10q^2 = 20q^2</w:t>
      </w:r>
    </w:p>
    <w:p>
      <w:pPr>
        <w:pStyle w:val="BlockText"/>
      </w:pPr>
      <w:r>
        <w:t xml:space="preserve">$$</w:t>
      </w:r>
    </w:p>
    <w:p>
      <w:pPr>
        <w:pStyle w:val="BlockText"/>
      </w:pPr>
      <w:r>
        <w:t xml:space="preserve">$$</w:t>
      </w:r>
    </w:p>
    <w:p>
      <w:pPr>
        <w:pStyle w:val="BlockText"/>
      </w:pPr>
      <w:r>
        <w:t xml:space="preserve">_{LP} = 40q</w:t>
      </w:r>
      <w:r>
        <w:t xml:space="preserve"> </w:t>
      </w:r>
      <w:r>
        <w:t xml:space="preserve">(</w:t>
      </w:r>
      <w:r>
        <w:t xml:space="preserve"> </w:t>
      </w:r>
      <w:r>
        <w:t xml:space="preserve">q)</w:t>
      </w:r>
    </w:p>
    <w:p>
      <w:pPr>
        <w:pStyle w:val="BlockText"/>
      </w:pPr>
      <w:r>
        <w:t xml:space="preserve">$$</w:t>
      </w:r>
    </w:p>
    <w:p>
      <w:pPr>
        <w:pStyle w:val="BlockText"/>
      </w:pPr>
      <w:r>
        <w:t xml:space="preserve">Isso confirma: retornos decrescentes (</w:t>
      </w:r>
      <m:oMath>
        <m:r>
          <m:t>α</m:t>
        </m:r>
        <m:r>
          <m:rPr>
            <m:sty m:val="p"/>
          </m:rPr>
          <m:t>+</m:t>
        </m:r>
        <m:r>
          <m:t>β</m:t>
        </m:r>
        <m:r>
          <m:rPr>
            <m:sty m:val="p"/>
          </m:rPr>
          <m:t>&lt;</m:t>
        </m:r>
        <m:r>
          <m:t>1</m:t>
        </m:r>
      </m:oMath>
      <w:r>
        <w:t xml:space="preserve">) geram CMg crescente.</w:t>
      </w:r>
    </w:p>
    <w:p>
      <w:pPr>
        <w:pStyle w:val="BlockText"/>
      </w:pPr>
      <w:r>
        <w:rPr>
          <w:b/>
          <w:bCs/>
        </w:rPr>
        <w:t xml:space="preserve">(b)</w:t>
      </w:r>
      <w:r>
        <w:t xml:space="preserve"> </w:t>
      </w:r>
      <w:r>
        <w:t xml:space="preserve">Com</w:t>
      </w:r>
      <w:r>
        <w:t xml:space="preserve"> </w:t>
      </w:r>
      <m:oMath>
        <m:acc>
          <m:accPr>
            <m:chr m:val="‾"/>
          </m:accPr>
          <m:e>
            <m:r>
              <m:t>K</m:t>
            </m:r>
          </m:e>
        </m:acc>
        <m:r>
          <m:rPr>
            <m:sty m:val="p"/>
          </m:rPr>
          <m:t>=</m:t>
        </m:r>
        <m:r>
          <m:t>1</m:t>
        </m:r>
      </m:oMath>
      <w:r>
        <w:t xml:space="preserve">:</w:t>
      </w:r>
      <w:r>
        <w:t xml:space="preserve"> </w:t>
      </w:r>
      <m:oMath>
        <m:r>
          <m:t>q</m:t>
        </m:r>
        <m:r>
          <m:rPr>
            <m:sty m:val="p"/>
          </m:rPr>
          <m:t>=</m:t>
        </m:r>
        <m:sSup>
          <m:e>
            <m:r>
              <m:t>1</m:t>
            </m:r>
          </m:e>
          <m:sup>
            <m:r>
              <m:t>1</m:t>
            </m:r>
            <m:r>
              <m:rPr>
                <m:sty m:val="p"/>
              </m:rPr>
              <m:t>/</m:t>
            </m:r>
            <m:r>
              <m:t>4</m:t>
            </m:r>
          </m:sup>
        </m:sSup>
        <m:sSup>
          <m:e>
            <m:r>
              <m:t>L</m:t>
            </m:r>
          </m:e>
          <m:sup>
            <m:r>
              <m:t>1</m:t>
            </m:r>
            <m:r>
              <m:rPr>
                <m:sty m:val="p"/>
              </m:rPr>
              <m:t>/</m:t>
            </m:r>
            <m:r>
              <m:t>4</m:t>
            </m:r>
          </m:sup>
        </m:sSup>
        <m:r>
          <m:rPr>
            <m:sty m:val="p"/>
          </m:rPr>
          <m:t>=</m:t>
        </m:r>
        <m:sSup>
          <m:e>
            <m:r>
              <m:t>L</m:t>
            </m:r>
          </m:e>
          <m:sup>
            <m:r>
              <m:t>1</m:t>
            </m:r>
            <m:r>
              <m:rPr>
                <m:sty m:val="p"/>
              </m:rPr>
              <m:t>/</m:t>
            </m:r>
            <m:r>
              <m:t>4</m:t>
            </m:r>
          </m:sup>
        </m:sSup>
        <m:r>
          <m:rPr>
            <m:sty m:val="p"/>
          </m:rPr>
          <m:t>⟹</m:t>
        </m:r>
        <m:r>
          <m:t>L</m:t>
        </m:r>
        <m:r>
          <m:rPr>
            <m:sty m:val="p"/>
          </m:rPr>
          <m:t>=</m:t>
        </m:r>
        <m:sSup>
          <m:e>
            <m:r>
              <m:t>q</m:t>
            </m:r>
          </m:e>
          <m:sup>
            <m:r>
              <m:t>4</m:t>
            </m:r>
          </m:sup>
        </m:sSup>
      </m:oMath>
      <w:r>
        <w:t xml:space="preserve">.</w:t>
      </w:r>
    </w:p>
    <w:p>
      <w:pPr>
        <w:pStyle w:val="BlockText"/>
      </w:pPr>
      <w:r>
        <w:t xml:space="preserve">$$</w:t>
      </w:r>
    </w:p>
    <w:p>
      <w:pPr>
        <w:pStyle w:val="BlockText"/>
      </w:pPr>
      <w:r>
        <w:t xml:space="preserve">CT_{CP} = v</w:t>
      </w:r>
      <w:r>
        <w:t xml:space="preserve">{K} + wL = 10</w:t>
      </w:r>
      <w:r>
        <w:t xml:space="preserve"> </w:t>
      </w:r>
      <w:r>
        <w:t xml:space="preserve"> </w:t>
      </w:r>
      <w:r>
        <w:t xml:space="preserve">+ 10</w:t>
      </w:r>
      <w:r>
        <w:t xml:space="preserve"> </w:t>
      </w:r>
      <w:r>
        <w:t xml:space="preserve">q^4 = 10 + 10q^4</w:t>
      </w:r>
    </w:p>
    <w:p>
      <w:pPr>
        <w:pStyle w:val="BlockText"/>
      </w:pPr>
      <w:r>
        <w:t xml:space="preserve">$$</w:t>
      </w:r>
    </w:p>
    <w:p>
      <w:pPr>
        <w:pStyle w:val="BlockText"/>
      </w:pPr>
      <w:r>
        <w:rPr>
          <w:b/>
          <w:bCs/>
        </w:rPr>
        <w:t xml:space="preserve">(c)</w:t>
      </w:r>
      <w:r>
        <w:t xml:space="preserve"> </w:t>
      </w:r>
      <w:r>
        <w:t xml:space="preserve">Comparando:</w:t>
      </w:r>
    </w:p>
    <w:p>
      <w:pPr>
        <w:pStyle w:val="BlockText"/>
      </w:pPr>
      <w:r>
        <w:t xml:space="preserve">$$</w:t>
      </w:r>
    </w:p>
    <w:p>
      <w:pPr>
        <w:pStyle w:val="BlockText"/>
      </w:pPr>
      <w:r>
        <w:t xml:space="preserve">CT_{CP} - CT_{LP} = 10 + 10q^4 - 20q^2 = 10(1 - 2q^2 + q^4) = 10(1 - q</w:t>
      </w:r>
      <w:r>
        <w:rPr>
          <w:vertAlign w:val="superscript"/>
        </w:rPr>
        <w:t xml:space="preserve">2)</w:t>
      </w:r>
      <w:r>
        <w:t xml:space="preserve">2</w:t>
      </w:r>
      <w:r>
        <w:t xml:space="preserve"> </w:t>
      </w:r>
    </w:p>
    <w:p>
      <w:pPr>
        <w:pStyle w:val="BlockText"/>
      </w:pPr>
      <w:r>
        <w:t xml:space="preserve">$$</w:t>
      </w:r>
    </w:p>
    <w:p>
      <w:pPr>
        <w:pStyle w:val="BlockText"/>
      </w:pPr>
      <w:r>
        <w:t xml:space="preserve">A diferença é sempre não negativa, com igualdade quando</w:t>
      </w:r>
      <w:r>
        <w:t xml:space="preserve"> </w:t>
      </w:r>
      <m:oMath>
        <m:sSup>
          <m:e>
            <m:r>
              <m:t>q</m:t>
            </m:r>
          </m:e>
          <m:sup>
            <m:r>
              <m:t>2</m:t>
            </m:r>
          </m:sup>
        </m:sSup>
        <m:r>
          <m:rPr>
            <m:sty m:val="p"/>
          </m:rPr>
          <m:t>=</m:t>
        </m:r>
        <m:r>
          <m:t>1</m:t>
        </m:r>
      </m:oMath>
      <w:r>
        <w:t xml:space="preserve">, ou seja,</w:t>
      </w:r>
      <w:r>
        <w:t xml:space="preserve"> </w:t>
      </w:r>
      <m:oMath>
        <m:r>
          <m:t>q</m:t>
        </m:r>
        <m:r>
          <m:rPr>
            <m:sty m:val="p"/>
          </m:rPr>
          <m:t>=</m:t>
        </m:r>
        <m:r>
          <m:t>1</m:t>
        </m:r>
      </m:oMath>
      <w:r>
        <w:t xml:space="preserve">. Nesse ponto,</w:t>
      </w:r>
      <w:r>
        <w:t xml:space="preserve"> </w:t>
      </w:r>
      <m:oMath>
        <m:sSup>
          <m:e>
            <m:r>
              <m:t>K</m:t>
            </m:r>
          </m:e>
          <m:sup>
            <m:r>
              <m:rPr>
                <m:sty m:val="p"/>
              </m:rPr>
              <m:t>*</m:t>
            </m:r>
          </m:sup>
        </m:sSup>
        <m:r>
          <m:rPr>
            <m:sty m:val="p"/>
          </m:rPr>
          <m:t>(</m:t>
        </m:r>
        <m:r>
          <m:t>q</m:t>
        </m:r>
        <m:r>
          <m:rPr>
            <m:sty m:val="p"/>
          </m:rPr>
          <m:t>=</m:t>
        </m:r>
        <m:r>
          <m:t>1</m:t>
        </m:r>
        <m:r>
          <m:rPr>
            <m:sty m:val="p"/>
          </m:rPr>
          <m:t>)</m:t>
        </m:r>
        <m:r>
          <m:rPr>
            <m:sty m:val="p"/>
          </m:rPr>
          <m:t>=</m:t>
        </m:r>
        <m:r>
          <m:t>1</m:t>
        </m:r>
        <m:r>
          <m:rPr>
            <m:sty m:val="p"/>
          </m:rPr>
          <m:t>=</m:t>
        </m:r>
        <m:acc>
          <m:accPr>
            <m:chr m:val="‾"/>
          </m:accPr>
          <m:e>
            <m:r>
              <m:t>K</m:t>
            </m:r>
          </m:e>
        </m:acc>
      </m:oMath>
      <w:r>
        <w:t xml:space="preserve"> </w:t>
      </w:r>
      <w:r>
        <w:t xml:space="preserve">— o capital fixo coincide com o ótimo de longo prazo. Para qualquer outro nível de produto, o curto prazo é mais caro, pois a firma não pode ajustar o capital.</w:t>
      </w:r>
    </w:p>
    <w:p>
      <w:pPr>
        <w:pStyle w:val="FirstParagraph"/>
      </w:pPr>
      <w:r>
        <w:t xml:space="preserve">[FIGURA INTERATIVA: /micro-book/graficos/cap11/webr-envoltoria.html — versao interativa disponivel online]</w:t>
      </w:r>
    </w:p>
    <w:p>
      <w:pPr>
        <w:pStyle w:val="BodyText"/>
      </w:pPr>
      <w:r>
        <w:rPr>
          <w:b/>
          <w:bCs/>
        </w:rPr>
        <w:t xml:space="preserve">WebR 11.5 — Envoltória de custos: curto prazo versus longo prazo.</w:t>
      </w:r>
      <w:r>
        <w:t xml:space="preserve"> </w:t>
      </w:r>
      <w:r>
        <w:t xml:space="preserve">O código plota as curvas de CMe de curto prazo para diferentes níveis de capital fixo e a envoltória de longo prazo. Altere os parâmetros da Cobb-Douglas e os preços dos insumos para ver como a envoltória muda de forma.</w:t>
      </w:r>
    </w:p>
    <w:p>
      <w:r>
        <w:pict>
          <v:rect style="width:0;height:1.5pt" o:hralign="center" o:hrstd="t" o:hr="t"/>
        </w:pict>
      </w:r>
    </w:p>
    <w:p>
      <w:pPr>
        <w:pStyle w:val="BlockText"/>
      </w:pPr>
      <w:r>
        <w:rPr>
          <w:b/>
          <w:bCs/>
        </w:rPr>
        <w:t xml:space="preserve">[BOX BRASIL] Box Brasil 11.2 — O peso do</w:t>
      </w:r>
      <w:r>
        <w:rPr>
          <w:b/>
          <w:bCs/>
        </w:rPr>
        <w:t xml:space="preserve"> </w:t>
      </w:r>
      <w:r>
        <w:rPr>
          <w:b/>
          <w:bCs/>
        </w:rPr>
        <w:t xml:space="preserve">‘custo Brasil’</w:t>
      </w:r>
      <w:r>
        <w:rPr>
          <w:b/>
          <w:bCs/>
        </w:rPr>
        <w:t xml:space="preserve"> </w:t>
      </w:r>
      <w:r>
        <w:rPr>
          <w:b/>
          <w:bCs/>
        </w:rPr>
        <w:t xml:space="preserve">na indústria de alimentos</w:t>
      </w:r>
    </w:p>
    <w:p>
      <w:pPr>
        <w:pStyle w:val="BlockText"/>
      </w:pPr>
      <w:r>
        <w:t xml:space="preserve">O termo</w:t>
      </w:r>
      <w:r>
        <w:t xml:space="preserve"> </w:t>
      </w:r>
      <w:r>
        <w:rPr>
          <w:b/>
          <w:bCs/>
        </w:rPr>
        <w:t xml:space="preserve">“custo Brasil”</w:t>
      </w:r>
      <w:r>
        <w:t xml:space="preserve"> </w:t>
      </w:r>
      <w:r>
        <w:t xml:space="preserve">designa o conjunto de ineficiências sistêmicas que elevam os custos de produção no país acima dos padrões internacionais. Segundo levantamentos da</w:t>
      </w:r>
      <w:r>
        <w:t xml:space="preserve"> </w:t>
      </w:r>
      <w:r>
        <w:rPr>
          <w:b/>
          <w:bCs/>
        </w:rPr>
        <w:t xml:space="preserve">Confederação Nacional da Indústria (CNI)</w:t>
      </w:r>
      <w:r>
        <w:t xml:space="preserve"> </w:t>
      </w:r>
      <w:r>
        <w:t xml:space="preserve">e da</w:t>
      </w:r>
      <w:r>
        <w:t xml:space="preserve"> </w:t>
      </w:r>
      <w:r>
        <w:rPr>
          <w:b/>
          <w:bCs/>
        </w:rPr>
        <w:t xml:space="preserve">FIESP</w:t>
      </w:r>
      <w:r>
        <w:t xml:space="preserve">, o custo Brasil representava, em estimativas recentes, um sobrecusto de cerca de</w:t>
      </w:r>
      <w:r>
        <w:t xml:space="preserve"> </w:t>
      </w:r>
      <w:r>
        <w:rPr>
          <w:b/>
          <w:bCs/>
        </w:rPr>
        <w:t xml:space="preserve">R$ 1,7 trilhão por ano</w:t>
      </w:r>
      <w:r>
        <w:t xml:space="preserve"> </w:t>
      </w:r>
      <w:r>
        <w:t xml:space="preserve">para a economia brasileira — equivalente a aproximadamente 20% do PIB.</w:t>
      </w:r>
    </w:p>
    <w:p>
      <w:pPr>
        <w:pStyle w:val="BlockText"/>
      </w:pPr>
      <w:r>
        <w:rPr>
          <w:b/>
          <w:bCs/>
        </w:rPr>
        <w:t xml:space="preserve">Componentes do custo Brasil na indústria de alimentos: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Componente</w:t>
            </w:r>
          </w:p>
        </w:tc>
        <w:tc>
          <w:tcPr/>
          <w:p>
            <w:pPr>
              <w:pStyle w:val="Compact"/>
              <w:jc w:val="left"/>
            </w:pPr>
            <w:r>
              <w:t xml:space="preserve">Impacto estimado</w:t>
            </w:r>
          </w:p>
        </w:tc>
        <w:tc>
          <w:tcPr/>
          <w:p>
            <w:pPr>
              <w:pStyle w:val="Compact"/>
              <w:jc w:val="left"/>
            </w:pPr>
            <w:r>
              <w:t xml:space="preserve">Descrição</w:t>
            </w:r>
          </w:p>
        </w:tc>
      </w:tr>
      <w:tr>
        <w:tc>
          <w:tcPr/>
          <w:p>
            <w:pPr>
              <w:pStyle w:val="Compact"/>
              <w:jc w:val="left"/>
            </w:pPr>
            <w:r>
              <w:t xml:space="preserve">Carga tributária</w:t>
            </w:r>
          </w:p>
        </w:tc>
        <w:tc>
          <w:tcPr/>
          <w:p>
            <w:pPr>
              <w:pStyle w:val="Compact"/>
              <w:jc w:val="left"/>
            </w:pPr>
            <w:r>
              <w:t xml:space="preserve">25–35% do faturamento</w:t>
            </w:r>
          </w:p>
        </w:tc>
        <w:tc>
          <w:tcPr/>
          <w:p>
            <w:pPr>
              <w:pStyle w:val="Compact"/>
              <w:jc w:val="left"/>
            </w:pPr>
            <w:r>
              <w:t xml:space="preserve">ICMS, PIS/COFINS, IPI, contribuições sobre folha</w:t>
            </w:r>
          </w:p>
        </w:tc>
      </w:tr>
      <w:tr>
        <w:tc>
          <w:tcPr/>
          <w:p>
            <w:pPr>
              <w:pStyle w:val="Compact"/>
              <w:jc w:val="left"/>
            </w:pPr>
            <w:r>
              <w:t xml:space="preserve">Logística e transporte</w:t>
            </w:r>
          </w:p>
        </w:tc>
        <w:tc>
          <w:tcPr/>
          <w:p>
            <w:pPr>
              <w:pStyle w:val="Compact"/>
              <w:jc w:val="left"/>
            </w:pPr>
            <w:r>
              <w:t xml:space="preserve">12–15% do custo total</w:t>
            </w:r>
          </w:p>
        </w:tc>
        <w:tc>
          <w:tcPr/>
          <w:p>
            <w:pPr>
              <w:pStyle w:val="Compact"/>
              <w:jc w:val="left"/>
            </w:pPr>
            <w:r>
              <w:t xml:space="preserve">Dependência do modal rodoviário, infraestrutura precária</w:t>
            </w:r>
          </w:p>
        </w:tc>
      </w:tr>
      <w:tr>
        <w:tc>
          <w:tcPr/>
          <w:p>
            <w:pPr>
              <w:pStyle w:val="Compact"/>
              <w:jc w:val="left"/>
            </w:pPr>
            <w:r>
              <w:t xml:space="preserve">Energia elétrica</w:t>
            </w:r>
          </w:p>
        </w:tc>
        <w:tc>
          <w:tcPr/>
          <w:p>
            <w:pPr>
              <w:pStyle w:val="Compact"/>
              <w:jc w:val="left"/>
            </w:pPr>
            <w:r>
              <w:t xml:space="preserve">8–12% dos custos industriais</w:t>
            </w:r>
          </w:p>
        </w:tc>
        <w:tc>
          <w:tcPr/>
          <w:p>
            <w:pPr>
              <w:pStyle w:val="Compact"/>
              <w:jc w:val="left"/>
            </w:pPr>
            <w:r>
              <w:t xml:space="preserve">Tarifas entre as mais altas do mundo</w:t>
            </w:r>
          </w:p>
        </w:tc>
      </w:tr>
      <w:tr>
        <w:tc>
          <w:tcPr/>
          <w:p>
            <w:pPr>
              <w:pStyle w:val="Compact"/>
              <w:jc w:val="left"/>
            </w:pPr>
            <w:r>
              <w:t xml:space="preserve">Burocracia regulatória</w:t>
            </w:r>
          </w:p>
        </w:tc>
        <w:tc>
          <w:tcPr/>
          <w:p>
            <w:pPr>
              <w:pStyle w:val="Compact"/>
              <w:jc w:val="left"/>
            </w:pPr>
            <w:r>
              <w:t xml:space="preserve">3–5% dos custos</w:t>
            </w:r>
          </w:p>
        </w:tc>
        <w:tc>
          <w:tcPr/>
          <w:p>
            <w:pPr>
              <w:pStyle w:val="Compact"/>
              <w:jc w:val="left"/>
            </w:pPr>
            <w:r>
              <w:t xml:space="preserve">Licenças, fiscalizações, cumprimento de obrigações acessórias</w:t>
            </w:r>
          </w:p>
        </w:tc>
      </w:tr>
      <w:tr>
        <w:tc>
          <w:tcPr/>
          <w:p>
            <w:pPr>
              <w:pStyle w:val="Compact"/>
              <w:jc w:val="left"/>
            </w:pPr>
            <w:r>
              <w:t xml:space="preserve">Custo de capital</w:t>
            </w:r>
          </w:p>
        </w:tc>
        <w:tc>
          <w:tcPr/>
          <w:p>
            <w:pPr>
              <w:pStyle w:val="Compact"/>
              <w:jc w:val="left"/>
            </w:pPr>
            <w:r>
              <w:t xml:space="preserve">Variável</w:t>
            </w:r>
          </w:p>
        </w:tc>
        <w:tc>
          <w:tcPr/>
          <w:p>
            <w:pPr>
              <w:pStyle w:val="Compact"/>
              <w:jc w:val="left"/>
            </w:pPr>
            <w:r>
              <w:t xml:space="preserve">Taxas de juros historicamente elevadas</w:t>
            </w:r>
          </w:p>
        </w:tc>
      </w:tr>
    </w:tbl>
    <w:p>
      <w:pPr>
        <w:pStyle w:val="BlockText"/>
      </w:pPr>
      <w:r>
        <w:rPr>
          <w:b/>
          <w:bCs/>
        </w:rPr>
        <w:t xml:space="preserve">Logística: o gargalo mais visível.</w:t>
      </w:r>
      <w:r>
        <w:t xml:space="preserve"> </w:t>
      </w:r>
      <w:r>
        <w:t xml:space="preserve">O Brasil transporta cerca de</w:t>
      </w:r>
      <w:r>
        <w:t xml:space="preserve"> </w:t>
      </w:r>
      <w:r>
        <w:rPr>
          <w:b/>
          <w:bCs/>
        </w:rPr>
        <w:t xml:space="preserve">65% de sua carga</w:t>
      </w:r>
      <w:r>
        <w:t xml:space="preserve"> </w:t>
      </w:r>
      <w:r>
        <w:t xml:space="preserve">pelo modal rodoviário, contra 25–30% nos EUA e menos de 10% na Europa. Para a indústria de alimentos, que opera com margens estreitas e produtos perecíveis, essa dependência eleva drasticamente os custos de distribuição. O frete de uma tonelada de soja de Sorriso (MT) ao Porto de Santos percorre mais de 2.000 km por estrada, a um custo estimado em US$ 90–120/tonelada — cerca do triplo do custo equivalente nos EUA (dados CNI, 2023).</w:t>
      </w:r>
    </w:p>
    <w:p>
      <w:pPr>
        <w:pStyle w:val="BlockText"/>
      </w:pPr>
      <w:r>
        <w:rPr>
          <w:b/>
          <w:bCs/>
        </w:rPr>
        <w:t xml:space="preserve">Interpretação microeconômica.</w:t>
      </w:r>
      <w:r>
        <w:t xml:space="preserve"> </w:t>
      </w:r>
      <w:r>
        <w:t xml:space="preserve">Em termos da teoria dos custos, o</w:t>
      </w:r>
      <w:r>
        <w:t xml:space="preserve"> </w:t>
      </w:r>
      <w:r>
        <w:t xml:space="preserve">“custo Brasil”</w:t>
      </w:r>
      <w:r>
        <w:t xml:space="preserve"> </w:t>
      </w:r>
      <w:r>
        <w:t xml:space="preserve">representa um deslocamento para cima das curvas de custo das firmas brasileiras em relação a competidores internacionais. Trata-se, em grande parte, de</w:t>
      </w:r>
      <w:r>
        <w:t xml:space="preserve"> </w:t>
      </w:r>
      <w:r>
        <w:rPr>
          <w:b/>
          <w:bCs/>
        </w:rPr>
        <w:t xml:space="preserve">custos fixos</w:t>
      </w:r>
      <w:r>
        <w:t xml:space="preserve"> </w:t>
      </w:r>
      <w:r>
        <w:t xml:space="preserve">(burocracia, tributação fixa) e</w:t>
      </w:r>
      <w:r>
        <w:t xml:space="preserve"> </w:t>
      </w:r>
      <w:r>
        <w:rPr>
          <w:b/>
          <w:bCs/>
        </w:rPr>
        <w:t xml:space="preserve">custos variáveis</w:t>
      </w:r>
      <w:r>
        <w:t xml:space="preserve"> </w:t>
      </w:r>
      <w:r>
        <w:t xml:space="preserve">elevados (logística, energia). A consequência é que a</w:t>
      </w:r>
      <w:r>
        <w:t xml:space="preserve"> </w:t>
      </w:r>
      <w:r>
        <w:rPr>
          <w:b/>
          <w:bCs/>
        </w:rPr>
        <w:t xml:space="preserve">escala mínima eficiente</w:t>
      </w:r>
      <w:r>
        <w:t xml:space="preserve"> </w:t>
      </w:r>
      <w:r>
        <w:t xml:space="preserve">das firmas brasileiras tende a ser maior, dificultando a sobrevivência de empresas menores e reduzindo a competitividade internacional. A reforma tributária de 2023 (EC 132/2023), com a unificação de tributos sobre consumo (CBS e IBS), representa uma tentativa de reduzir uma das principais fontes do custo Brasil.</w:t>
      </w:r>
    </w:p>
    <w:p>
      <w:r>
        <w:pict>
          <v:rect style="width:0;height:1.5pt" o:hralign="center" o:hrstd="t" o:hr="t"/>
        </w:pict>
      </w:r>
    </w:p>
    <w:p>
      <w:pPr>
        <w:pStyle w:val="BlockText"/>
      </w:pPr>
      <w:r>
        <w:rPr>
          <w:b/>
          <w:bCs/>
        </w:rPr>
        <w:t xml:space="preserve">[BOX BRASIL] Box Brasil 11.3 — Escala mínima eficiente e concentração na produção de soja</w:t>
      </w:r>
    </w:p>
    <w:p>
      <w:pPr>
        <w:pStyle w:val="BlockText"/>
      </w:pPr>
      <w:r>
        <w:t xml:space="preserve">A produção de soja no Brasil ilustra de forma nítida o papel das economias de escala na determinação da estrutura produtiva. Segundo dados do</w:t>
      </w:r>
      <w:r>
        <w:t xml:space="preserve"> </w:t>
      </w:r>
      <w:r>
        <w:rPr>
          <w:b/>
          <w:bCs/>
        </w:rPr>
        <w:t xml:space="preserve">Censo Agropecuário do</w:t>
      </w:r>
      <w:r>
        <w:rPr>
          <w:b/>
          <w:bCs/>
        </w:rPr>
        <w:t xml:space="preserve"> </w:t>
      </w:r>
      <w:hyperlink r:id="rId35">
        <w:r>
          <w:rPr>
            <w:rStyle w:val="Hyperlink"/>
            <w:b/>
            <w:bCs/>
          </w:rPr>
          <w:t xml:space="preserve">IBGE</w:t>
        </w:r>
      </w:hyperlink>
      <w:r>
        <w:rPr>
          <w:b/>
          <w:bCs/>
        </w:rPr>
        <w:t xml:space="preserve"> </w:t>
      </w:r>
      <w:r>
        <w:rPr>
          <w:b/>
          <w:bCs/>
        </w:rPr>
        <w:t xml:space="preserve">(2017)</w:t>
      </w:r>
      <w:r>
        <w:t xml:space="preserve">, enquanto 70% dos estabelecimentos produtores de soja possuem menos de 100 hectares, esses estabelecimentos respondem por apenas 10% da produção total. Os 5% maiores produtores (acima de 1.000 ha) respondem por mais de 50% da produção nacional.</w:t>
      </w:r>
    </w:p>
    <w:p>
      <w:pPr>
        <w:pStyle w:val="BlockText"/>
      </w:pPr>
      <w:r>
        <w:rPr>
          <w:b/>
          <w:bCs/>
        </w:rPr>
        <w:t xml:space="preserve">Por que a escala importa?</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Componente de custo</w:t>
            </w:r>
          </w:p>
        </w:tc>
        <w:tc>
          <w:tcPr/>
          <w:p>
            <w:pPr>
              <w:pStyle w:val="Compact"/>
              <w:jc w:val="center"/>
            </w:pPr>
            <w:r>
              <w:t xml:space="preserve">Pequeno produtor (&lt;100 ha)</w:t>
            </w:r>
          </w:p>
        </w:tc>
        <w:tc>
          <w:tcPr/>
          <w:p>
            <w:pPr>
              <w:pStyle w:val="Compact"/>
              <w:jc w:val="center"/>
            </w:pPr>
            <w:r>
              <w:t xml:space="preserve">Grande produtor (&gt;1.000 ha)</w:t>
            </w:r>
          </w:p>
        </w:tc>
      </w:tr>
      <w:tr>
        <w:tc>
          <w:tcPr/>
          <w:p>
            <w:pPr>
              <w:pStyle w:val="Compact"/>
              <w:jc w:val="left"/>
            </w:pPr>
            <w:r>
              <w:t xml:space="preserve">Custo de máquinas/ha</w:t>
            </w:r>
          </w:p>
        </w:tc>
        <w:tc>
          <w:tcPr/>
          <w:p>
            <w:pPr>
              <w:pStyle w:val="Compact"/>
              <w:jc w:val="center"/>
            </w:pPr>
            <w:r>
              <w:t xml:space="preserve">Elevado (subutilização)</w:t>
            </w:r>
          </w:p>
        </w:tc>
        <w:tc>
          <w:tcPr/>
          <w:p>
            <w:pPr>
              <w:pStyle w:val="Compact"/>
              <w:jc w:val="center"/>
            </w:pPr>
            <w:r>
              <w:t xml:space="preserve">Baixo (diluição do CF)</w:t>
            </w:r>
          </w:p>
        </w:tc>
      </w:tr>
      <w:tr>
        <w:tc>
          <w:tcPr/>
          <w:p>
            <w:pPr>
              <w:pStyle w:val="Compact"/>
              <w:jc w:val="left"/>
            </w:pPr>
            <w:r>
              <w:t xml:space="preserve">Custo de insumos/ha</w:t>
            </w:r>
          </w:p>
        </w:tc>
        <w:tc>
          <w:tcPr/>
          <w:p>
            <w:pPr>
              <w:pStyle w:val="Compact"/>
              <w:jc w:val="center"/>
            </w:pPr>
            <w:r>
              <w:t xml:space="preserve">Maior (menor poder de barganha)</w:t>
            </w:r>
          </w:p>
        </w:tc>
        <w:tc>
          <w:tcPr/>
          <w:p>
            <w:pPr>
              <w:pStyle w:val="Compact"/>
              <w:jc w:val="center"/>
            </w:pPr>
            <w:r>
              <w:t xml:space="preserve">Menor (compras em escala)</w:t>
            </w:r>
          </w:p>
        </w:tc>
      </w:tr>
      <w:tr>
        <w:tc>
          <w:tcPr/>
          <w:p>
            <w:pPr>
              <w:pStyle w:val="Compact"/>
              <w:jc w:val="left"/>
            </w:pPr>
            <w:r>
              <w:t xml:space="preserve">Custo logístico/tonelada</w:t>
            </w:r>
          </w:p>
        </w:tc>
        <w:tc>
          <w:tcPr/>
          <w:p>
            <w:pPr>
              <w:pStyle w:val="Compact"/>
              <w:jc w:val="center"/>
            </w:pPr>
            <w:r>
              <w:t xml:space="preserve">Elevado (lotes pequenos)</w:t>
            </w:r>
          </w:p>
        </w:tc>
        <w:tc>
          <w:tcPr/>
          <w:p>
            <w:pPr>
              <w:pStyle w:val="Compact"/>
              <w:jc w:val="center"/>
            </w:pPr>
            <w:r>
              <w:t xml:space="preserve">Menor (contratos de frete)</w:t>
            </w:r>
          </w:p>
        </w:tc>
      </w:tr>
      <w:tr>
        <w:tc>
          <w:tcPr/>
          <w:p>
            <w:pPr>
              <w:pStyle w:val="Compact"/>
              <w:jc w:val="left"/>
            </w:pPr>
            <w:r>
              <w:t xml:space="preserve">Assistência técnica</w:t>
            </w:r>
          </w:p>
        </w:tc>
        <w:tc>
          <w:tcPr/>
          <w:p>
            <w:pPr>
              <w:pStyle w:val="Compact"/>
              <w:jc w:val="center"/>
            </w:pPr>
            <w:r>
              <w:t xml:space="preserve">Custo fixo alto relativo</w:t>
            </w:r>
          </w:p>
        </w:tc>
        <w:tc>
          <w:tcPr/>
          <w:p>
            <w:pPr>
              <w:pStyle w:val="Compact"/>
              <w:jc w:val="center"/>
            </w:pPr>
            <w:r>
              <w:t xml:space="preserve">Diluído na produção</w:t>
            </w:r>
          </w:p>
        </w:tc>
      </w:tr>
    </w:tbl>
    <w:p>
      <w:pPr>
        <w:pStyle w:val="BlockText"/>
      </w:pPr>
      <w:r>
        <w:t xml:space="preserve">Esses dados são consistentes com uma curva de CMe de longo prazo em formato de L: custos médios decrescentes até uma escala mínima eficiente (EME) em torno de 500–1.000 hectares, após a qual os ganhos de escala se estabilizam. A</w:t>
      </w:r>
      <w:r>
        <w:t xml:space="preserve"> </w:t>
      </w:r>
      <w:r>
        <w:rPr>
          <w:b/>
          <w:bCs/>
        </w:rPr>
        <w:t xml:space="preserve">CONAB</w:t>
      </w:r>
      <w:r>
        <w:t xml:space="preserve"> </w:t>
      </w:r>
      <w:r>
        <w:t xml:space="preserve">estima que o custo total de produção de soja no Mato Grosso (safra 2023/24) foi de aproximadamente R$ 4.800/ha, com produtividade média de 57 sacas/ha, resultando em custo por saca de cerca de R$ 84 para produtores de grande escala — valor significativamente inferior ao de produtores menores.</w:t>
      </w:r>
    </w:p>
    <w:p>
      <w:pPr>
        <w:pStyle w:val="BlockText"/>
      </w:pPr>
      <w:r>
        <w:rPr>
          <w:b/>
          <w:bCs/>
        </w:rPr>
        <w:t xml:space="preserve">Implicação para política pública:</w:t>
      </w:r>
      <w:r>
        <w:t xml:space="preserve"> </w:t>
      </w:r>
      <w:r>
        <w:t xml:space="preserve">programas como o</w:t>
      </w:r>
      <w:r>
        <w:t xml:space="preserve"> </w:t>
      </w:r>
      <w:r>
        <w:rPr>
          <w:b/>
          <w:bCs/>
        </w:rPr>
        <w:t xml:space="preserve">PRONAF</w:t>
      </w:r>
      <w:r>
        <w:t xml:space="preserve"> </w:t>
      </w:r>
      <w:r>
        <w:t xml:space="preserve">(Programa Nacional de Fortalecimento da Agricultura Familiar) podem ser interpretados como subsídios que deslocam a curva de custo de pequenos produtores para baixo, compensando parcialmente a desvantagem de escala e permitindo sua permanência no mercado.</w:t>
      </w:r>
    </w:p>
    <w:p>
      <w:pPr>
        <w:pStyle w:val="BlockText"/>
      </w:pPr>
      <w:r>
        <w:rPr>
          <w:i/>
          <w:iCs/>
        </w:rPr>
        <w:t xml:space="preserve">Fontes: IBGE — Censo Agropecuário 2017; CONAB — Custos de Produção;</w:t>
      </w:r>
      <w:r>
        <w:rPr>
          <w:i/>
          <w:iCs/>
        </w:rPr>
        <w:t xml:space="preserve"> </w:t>
      </w:r>
      <w:hyperlink r:id="rId288">
        <w:r>
          <w:rPr>
            <w:rStyle w:val="Hyperlink"/>
            <w:i/>
            <w:iCs/>
          </w:rPr>
          <w:t xml:space="preserve">CEPEA/ESALQ</w:t>
        </w:r>
      </w:hyperlink>
      <w:r>
        <w:rPr>
          <w:i/>
          <w:iCs/>
        </w:rPr>
        <w:t xml:space="preserve">.</w:t>
      </w:r>
    </w:p>
    <w:p>
      <w:r>
        <w:pict>
          <v:rect style="width:0;height:1.5pt" o:hralign="center" o:hrstd="t" o:hr="t"/>
        </w:pict>
      </w:r>
    </w:p>
    <w:p>
      <w:pPr>
        <w:pStyle w:val="BlockText"/>
      </w:pPr>
      <w:r>
        <w:rPr>
          <w:b/>
          <w:bCs/>
        </w:rPr>
        <w:t xml:space="preserve">[BOX BRASIL] Box Brasil 11.4 — Custo Brasil: burocracia, logística e tributação como deslocadores de custos</w:t>
      </w:r>
    </w:p>
    <w:p>
      <w:pPr>
        <w:pStyle w:val="BlockText"/>
      </w:pPr>
      <w:r>
        <w:rPr>
          <w:b/>
          <w:bCs/>
        </w:rPr>
        <w:t xml:space="preserve">Contexto:</w:t>
      </w:r>
      <w:r>
        <w:t xml:space="preserve"> </w:t>
      </w:r>
      <w:r>
        <w:t xml:space="preserve">O conceito de</w:t>
      </w:r>
      <w:r>
        <w:t xml:space="preserve"> </w:t>
      </w:r>
      <w:r>
        <w:t xml:space="preserve">“Custo Brasil”</w:t>
      </w:r>
      <w:r>
        <w:t xml:space="preserve"> </w:t>
      </w:r>
      <w:r>
        <w:t xml:space="preserve">vai além dos componentes setoriais analisados no Box Brasil anterior. Trata-se de um conjunto estrutural de ineficiências — tributárias, regulatórias, logísticas e institucionais — que desloca para cima as curvas de custo de</w:t>
      </w:r>
      <w:r>
        <w:t xml:space="preserve"> </w:t>
      </w:r>
      <w:r>
        <w:rPr>
          <w:i/>
          <w:iCs/>
        </w:rPr>
        <w:t xml:space="preserve">todas</w:t>
      </w:r>
      <w:r>
        <w:t xml:space="preserve"> </w:t>
      </w:r>
      <w:r>
        <w:t xml:space="preserve">as firmas que operam no país, independentemente do setor. Do ponto de vista da teoria dos custos, o Custo Brasil equivale a um aumento generalizado nos preços efetivos dos insumos (</w:t>
      </w:r>
      <m:oMath>
        <m:r>
          <m:t>w</m:t>
        </m:r>
      </m:oMath>
      <w:r>
        <w:t xml:space="preserve"> </w:t>
      </w:r>
      <w:r>
        <w:t xml:space="preserve">e</w:t>
      </w:r>
      <w:r>
        <w:t xml:space="preserve"> </w:t>
      </w:r>
      <m:oMath>
        <m:r>
          <m:t>v</m:t>
        </m:r>
      </m:oMath>
      <w:r>
        <w:t xml:space="preserve">), reduzindo a competitividade das firmas brasileiras em relação a concorrentes internacionais que operam com a mesma tecnologia, mas enfrentam custos institucionais menores.</w:t>
      </w:r>
    </w:p>
    <w:p>
      <w:pPr>
        <w:pStyle w:val="BlockText"/>
      </w:pPr>
      <w:r>
        <w:rPr>
          <w:b/>
          <w:bCs/>
        </w:rPr>
        <w:t xml:space="preserve">Dados:</w:t>
      </w:r>
      <w:r>
        <w:t xml:space="preserve"> </w:t>
      </w:r>
      <w:r>
        <w:t xml:space="preserve">Estimativas da CNI (Confederação Nacional da Indústria, 2022) quantificam o Custo Brasil em R$ 1,7 trilhão anuais, distribuídos entre os seguintes componentes principais:</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Componente</w:t>
            </w:r>
          </w:p>
        </w:tc>
        <w:tc>
          <w:tcPr/>
          <w:p>
            <w:pPr>
              <w:pStyle w:val="Compact"/>
              <w:jc w:val="center"/>
            </w:pPr>
            <w:r>
              <w:t xml:space="preserve">Custo estimado (R$ bi/ano)</w:t>
            </w:r>
          </w:p>
        </w:tc>
        <w:tc>
          <w:tcPr/>
          <w:p>
            <w:pPr>
              <w:pStyle w:val="Compact"/>
              <w:jc w:val="left"/>
            </w:pPr>
            <w:r>
              <w:t xml:space="preserve">Efeito teórico</w:t>
            </w:r>
          </w:p>
        </w:tc>
      </w:tr>
      <w:tr>
        <w:tc>
          <w:tcPr/>
          <w:p>
            <w:pPr>
              <w:pStyle w:val="Compact"/>
              <w:jc w:val="left"/>
            </w:pPr>
            <w:r>
              <w:t xml:space="preserve">Complexidade tributária</w:t>
            </w:r>
          </w:p>
        </w:tc>
        <w:tc>
          <w:tcPr/>
          <w:p>
            <w:pPr>
              <w:pStyle w:val="Compact"/>
              <w:jc w:val="center"/>
            </w:pPr>
            <w:r>
              <w:t xml:space="preserve">684</w:t>
            </w:r>
          </w:p>
        </w:tc>
        <w:tc>
          <w:tcPr/>
          <w:p>
            <w:pPr>
              <w:pStyle w:val="Compact"/>
              <w:jc w:val="left"/>
            </w:pPr>
            <w:r>
              <w:t xml:space="preserve">Eleva custos fixos (compliance) e variáveis (cumulatividade)</w:t>
            </w:r>
          </w:p>
        </w:tc>
      </w:tr>
      <w:tr>
        <w:tc>
          <w:tcPr/>
          <w:p>
            <w:pPr>
              <w:pStyle w:val="Compact"/>
              <w:jc w:val="left"/>
            </w:pPr>
            <w:r>
              <w:t xml:space="preserve">Infraestrutura e logística</w:t>
            </w:r>
          </w:p>
        </w:tc>
        <w:tc>
          <w:tcPr/>
          <w:p>
            <w:pPr>
              <w:pStyle w:val="Compact"/>
              <w:jc w:val="center"/>
            </w:pPr>
            <w:r>
              <w:t xml:space="preserve">382</w:t>
            </w:r>
          </w:p>
        </w:tc>
        <w:tc>
          <w:tcPr/>
          <w:p>
            <w:pPr>
              <w:pStyle w:val="Compact"/>
              <w:jc w:val="left"/>
            </w:pPr>
            <w:r>
              <w:t xml:space="preserve">Eleva custo variável de transporte de insumos e produtos</w:t>
            </w:r>
          </w:p>
        </w:tc>
      </w:tr>
      <w:tr>
        <w:tc>
          <w:tcPr/>
          <w:p>
            <w:pPr>
              <w:pStyle w:val="Compact"/>
              <w:jc w:val="left"/>
            </w:pPr>
            <w:r>
              <w:t xml:space="preserve">Insegurança jurídica</w:t>
            </w:r>
          </w:p>
        </w:tc>
        <w:tc>
          <w:tcPr/>
          <w:p>
            <w:pPr>
              <w:pStyle w:val="Compact"/>
              <w:jc w:val="center"/>
            </w:pPr>
            <w:r>
              <w:t xml:space="preserve">250</w:t>
            </w:r>
          </w:p>
        </w:tc>
        <w:tc>
          <w:tcPr/>
          <w:p>
            <w:pPr>
              <w:pStyle w:val="Compact"/>
              <w:jc w:val="left"/>
            </w:pPr>
            <w:r>
              <w:t xml:space="preserve">Eleva custo de capital (prêmio de risco)</w:t>
            </w:r>
          </w:p>
        </w:tc>
      </w:tr>
      <w:tr>
        <w:tc>
          <w:tcPr/>
          <w:p>
            <w:pPr>
              <w:pStyle w:val="Compact"/>
              <w:jc w:val="left"/>
            </w:pPr>
            <w:r>
              <w:t xml:space="preserve">Burocracia e regulação</w:t>
            </w:r>
          </w:p>
        </w:tc>
        <w:tc>
          <w:tcPr/>
          <w:p>
            <w:pPr>
              <w:pStyle w:val="Compact"/>
              <w:jc w:val="center"/>
            </w:pPr>
            <w:r>
              <w:t xml:space="preserve">224</w:t>
            </w:r>
          </w:p>
        </w:tc>
        <w:tc>
          <w:tcPr/>
          <w:p>
            <w:pPr>
              <w:pStyle w:val="Compact"/>
              <w:jc w:val="left"/>
            </w:pPr>
            <w:r>
              <w:t xml:space="preserve">Eleva custos fixos de entrada e operação</w:t>
            </w:r>
          </w:p>
        </w:tc>
      </w:tr>
      <w:tr>
        <w:tc>
          <w:tcPr/>
          <w:p>
            <w:pPr>
              <w:pStyle w:val="Compact"/>
              <w:jc w:val="left"/>
            </w:pPr>
            <w:r>
              <w:t xml:space="preserve">Custo do crédito</w:t>
            </w:r>
          </w:p>
        </w:tc>
        <w:tc>
          <w:tcPr/>
          <w:p>
            <w:pPr>
              <w:pStyle w:val="Compact"/>
              <w:jc w:val="center"/>
            </w:pPr>
            <w:r>
              <w:t xml:space="preserve">160</w:t>
            </w:r>
          </w:p>
        </w:tc>
        <w:tc>
          <w:tcPr/>
          <w:p>
            <w:pPr>
              <w:pStyle w:val="Compact"/>
              <w:jc w:val="left"/>
            </w:pPr>
            <w:r>
              <w:t xml:space="preserve">Eleva</w:t>
            </w:r>
            <w:r>
              <w:t xml:space="preserve"> </w:t>
            </w:r>
            <m:oMath>
              <m:r>
                <m:t>v</m:t>
              </m:r>
            </m:oMath>
            <w:r>
              <w:t xml:space="preserve"> </w:t>
            </w:r>
            <w:r>
              <w:t xml:space="preserve">(preço efetivo do capital)</w:t>
            </w:r>
          </w:p>
        </w:tc>
      </w:tr>
    </w:tbl>
    <w:p>
      <w:pPr>
        <w:pStyle w:val="BlockText"/>
      </w:pPr>
      <w:r>
        <w:t xml:space="preserve">Segundo o</w:t>
      </w:r>
      <w:r>
        <w:t xml:space="preserve"> </w:t>
      </w:r>
      <w:r>
        <w:rPr>
          <w:i/>
          <w:iCs/>
        </w:rPr>
        <w:t xml:space="preserve">Doing Business</w:t>
      </w:r>
      <w:r>
        <w:t xml:space="preserve"> </w:t>
      </w:r>
      <w:r>
        <w:t xml:space="preserve">do Banco Mundial (última edição, 2020), uma firma brasileira gastava em média</w:t>
      </w:r>
      <w:r>
        <w:t xml:space="preserve"> </w:t>
      </w:r>
      <w:r>
        <w:rPr>
          <w:b/>
          <w:bCs/>
        </w:rPr>
        <w:t xml:space="preserve">1.501 horas por ano</w:t>
      </w:r>
      <w:r>
        <w:t xml:space="preserve"> </w:t>
      </w:r>
      <w:r>
        <w:t xml:space="preserve">para cumprir obrigações tributárias — contra 175 horas na média da OCDE e 138 horas no Chile. Abrir uma empresa demandava 17 dias no Brasil versus 4 na Nova Zelândia. Esses custos de transação, embora não apareçam diretamente na função de produção</w:t>
      </w:r>
      <w:r>
        <w:t xml:space="preserve"> </w:t>
      </w:r>
      <m:oMath>
        <m:r>
          <m:t>f</m:t>
        </m:r>
        <m:r>
          <m:rPr>
            <m:sty m:val="p"/>
          </m:rPr>
          <m:t>(</m:t>
        </m:r>
        <m:r>
          <m:t>L</m:t>
        </m:r>
        <m:r>
          <m:rPr>
            <m:sty m:val="p"/>
          </m:rPr>
          <m:t>,</m:t>
        </m:r>
        <m:r>
          <m:t>K</m:t>
        </m:r>
        <m:r>
          <m:rPr>
            <m:sty m:val="p"/>
          </m:rPr>
          <m:t>)</m:t>
        </m:r>
      </m:oMath>
      <w:r>
        <w:t xml:space="preserve">, funcionam como um imposto implícito sobre todos os insumos.</w:t>
      </w:r>
    </w:p>
    <w:p>
      <w:pPr>
        <w:pStyle w:val="BlockText"/>
      </w:pPr>
      <w:r>
        <w:rPr>
          <w:b/>
          <w:bCs/>
        </w:rPr>
        <w:t xml:space="preserve">Análise:</w:t>
      </w:r>
      <w:r>
        <w:t xml:space="preserve"> </w:t>
      </w:r>
      <w:r>
        <w:t xml:space="preserve">A teoria dos custos oferece um enquadramento preciso para o Custo Brasil. Pelo Lema de Shephard,</w:t>
      </w:r>
      <w:r>
        <w:t xml:space="preserve"> </w:t>
      </w:r>
      <m:oMath>
        <m:r>
          <m:rPr>
            <m:sty m:val="p"/>
          </m:rPr>
          <m:t>∂</m:t>
        </m:r>
        <m:r>
          <m:t>C</m:t>
        </m:r>
        <m:r>
          <m:rPr>
            <m:sty m:val="p"/>
          </m:rPr>
          <m:t>/</m:t>
        </m:r>
        <m:r>
          <m:rPr>
            <m:sty m:val="p"/>
          </m:rPr>
          <m:t>∂</m:t>
        </m:r>
        <m:r>
          <m:t>w</m:t>
        </m:r>
        <m:r>
          <m:rPr>
            <m:sty m:val="p"/>
          </m:rPr>
          <m:t>=</m:t>
        </m:r>
        <m:sSup>
          <m:e>
            <m:r>
              <m:t>L</m:t>
            </m:r>
          </m:e>
          <m:sup>
            <m:r>
              <m:t>c</m:t>
            </m:r>
          </m:sup>
        </m:sSup>
        <m:r>
          <m:rPr>
            <m:sty m:val="p"/>
          </m:rPr>
          <m:t>&gt;</m:t>
        </m:r>
        <m:r>
          <m:t>0</m:t>
        </m:r>
      </m:oMath>
      <w:r>
        <w:t xml:space="preserve">: qualquer elevação no preço efetivo de um insumo desloca a função custo para cima proporcionalmente à intensidade de uso daquele insumo. A burocracia tributária funciona como um aumento em</w:t>
      </w:r>
      <w:r>
        <w:t xml:space="preserve"> </w:t>
      </w:r>
      <m:oMath>
        <m:r>
          <m:t>w</m:t>
        </m:r>
      </m:oMath>
      <w:r>
        <w:t xml:space="preserve"> </w:t>
      </w:r>
      <w:r>
        <w:t xml:space="preserve">(horas de trabalho desviadas para compliance em vez de produção); a infraestrutura precária funciona como um aumento no custo de transporte (insumo intermediário); e o custo elevado do crédito funciona como um aumento em</w:t>
      </w:r>
      <w:r>
        <w:t xml:space="preserve"> </w:t>
      </w:r>
      <m:oMath>
        <m:r>
          <m:t>v</m:t>
        </m:r>
      </m:oMath>
      <w:r>
        <w:t xml:space="preserve">, encarecendo o capital. O efeito combinado é uma elevação da escala mínima eficiente (EME): firmas menores, que não conseguem diluir esses custos fixos, são desproporcionalmente penalizadas — o que ajuda a explicar a alta informalidade empresarial brasileira (cerca de 40% do PIB, segundo estimativas do IBRE/FGV).</w:t>
      </w:r>
    </w:p>
    <w:p>
      <w:pPr>
        <w:pStyle w:val="BlockText"/>
      </w:pPr>
      <w:r>
        <w:rPr>
          <w:b/>
          <w:bCs/>
        </w:rPr>
        <w:t xml:space="preserve">Para refletir:</w:t>
      </w:r>
      <w:r>
        <w:t xml:space="preserve"> </w:t>
      </w:r>
      <w:r>
        <w:t xml:space="preserve">Se a reforma tributária (EC 132/2023) reduzir o tempo de compliance de 1.501 para 500 horas/ano e o custo logístico cair 20% com investimentos em ferrovias, qual seria o efeito esperado sobre a curva de CMe das firmas brasileiras? Que tipos de firma — intensivas em trabalho ou em capital, grandes ou pequenas — se beneficiariam mais?</w:t>
      </w:r>
    </w:p>
    <w:bookmarkEnd w:id="723"/>
    <w:bookmarkEnd w:id="724"/>
    <w:bookmarkStart w:id="729" w:name="Xcaae024aea4ad95043a6788e9b407287cd1d571"/>
    <w:p>
      <w:pPr>
        <w:pStyle w:val="Heading2"/>
      </w:pPr>
      <w:r>
        <w:t xml:space="preserve">11.8 O Catálogo de Custos: Funções de Produção e suas Funções Custo</w:t>
      </w:r>
    </w:p>
    <w:p>
      <w:pPr>
        <w:pStyle w:val="FirstParagraph"/>
      </w:pPr>
      <w:r>
        <w:t xml:space="preserve">As seções anteriores desenvolveram os conceitos gerais de minimização de custos, função custo e curvas de custo. Agora é hora de aplicar esses conceitos de forma sistemática às quatro funções de produção clássicas estudadas no Capítulo 10 — Cobb-Douglas, linear, Leontief e CES. Para cada uma, derivamos explicitamente as demandas condicionais por insumos, a função custo resultante e, quando a solução existe, as demandas por insumos via maximização de lucro. Esse catálogo de resultados será referência constante nos capítulos seguintes e nos exercícios da ANPEC.</w:t>
      </w:r>
    </w:p>
    <w:p>
      <w:pPr>
        <w:pStyle w:val="BodyText"/>
      </w:pPr>
      <w:r>
        <w:t xml:space="preserve">Nesta seção, derivamos as demandas condicionais por insumos, a função custo e (quando aplicável) as demandas por insumos via maximização de lucro para as quatro formas funcionais mais utilizadas. Usamos</w:t>
      </w:r>
      <w:r>
        <w:t xml:space="preserve"> </w:t>
      </w:r>
      <m:oMath>
        <m:r>
          <m:t>w</m:t>
        </m:r>
      </m:oMath>
      <w:r>
        <w:t xml:space="preserve"> </w:t>
      </w:r>
      <w:r>
        <w:t xml:space="preserve">e</w:t>
      </w:r>
      <w:r>
        <w:t xml:space="preserve"> </w:t>
      </w:r>
      <m:oMath>
        <m:r>
          <m:t>v</m:t>
        </m:r>
      </m:oMath>
      <w:r>
        <w:t xml:space="preserve"> </w:t>
      </w:r>
      <w:r>
        <w:t xml:space="preserve">para os preços do trabalho e do capital,</w:t>
      </w:r>
      <w:r>
        <w:t xml:space="preserve"> </w:t>
      </w:r>
      <m:oMath>
        <m:r>
          <m:t>q</m:t>
        </m:r>
      </m:oMath>
      <w:r>
        <w:t xml:space="preserve"> </w:t>
      </w:r>
      <w:r>
        <w:t xml:space="preserve">para a quantidade produzida, e</w:t>
      </w:r>
      <w:r>
        <w:t xml:space="preserve"> </w:t>
      </w:r>
      <m:oMath>
        <m:r>
          <m:t>L</m:t>
        </m:r>
      </m:oMath>
      <w:r>
        <w:t xml:space="preserve"> </w:t>
      </w:r>
      <w:r>
        <w:t xml:space="preserve">e</w:t>
      </w:r>
      <w:r>
        <w:t xml:space="preserve"> </w:t>
      </w:r>
      <m:oMath>
        <m:r>
          <m:t>K</m:t>
        </m:r>
      </m:oMath>
      <w:r>
        <w:t xml:space="preserve"> </w:t>
      </w:r>
      <w:r>
        <w:t xml:space="preserve">para trabalho e capital.</w:t>
      </w:r>
    </w:p>
    <w:p>
      <w:pPr>
        <w:pStyle w:val="BodyText"/>
      </w:pPr>
      <w:r>
        <w:t xml:space="preserve">Vale destacar a lógica comum subjacente a todos os casos: a firma sempre minimiza custo operando no ponto onde a taxa marginal de substituição técnica iguala a razão dos preços dos insumos (quando a solução é interior), ou usa apenas o insumo de menor custo por unidade de produto (quando a solução é de canto, como na tecnologia linear). A diversidade de formas funcionais gera perfis de custo muito diferentes — do custo linear da Leontief ao custo côncavo da Cobb-Douglas com retornos crescentes —, e compreender essas diferenças é essencial para a modelagem empírica de setores industriais.</w:t>
      </w:r>
    </w:p>
    <w:bookmarkStart w:id="725" w:name="cobb-douglas-q-kᵅ-lᵝ"/>
    <w:p>
      <w:pPr>
        <w:pStyle w:val="Heading4"/>
      </w:pPr>
      <w:r>
        <w:t xml:space="preserve">11.8.1 Cobb-Douglas: q = Kᵅ Lᵝ</w:t>
      </w:r>
    </w:p>
    <w:p>
      <w:pPr>
        <w:pStyle w:val="FirstParagraph"/>
      </w:pPr>
      <w:r>
        <w:rPr>
          <w:b/>
          <w:bCs/>
        </w:rPr>
        <w:t xml:space="preserve">Demandas condicionais (minimização de custo).</w:t>
      </w:r>
      <w:r>
        <w:t xml:space="preserve"> </w:t>
      </w:r>
      <w:r>
        <w:t xml:space="preserve">A firma resolve:</w:t>
      </w:r>
    </w:p>
    <w:p>
      <w:pPr>
        <w:pStyle w:val="BodyText"/>
      </w:pPr>
      <m:oMathPara>
        <m:oMathParaPr>
          <m:jc m:val="center"/>
        </m:oMathParaPr>
        <m:oMath>
          <m:limLow>
            <m:e>
              <m:r>
                <m:rPr>
                  <m:sty m:val="p"/>
                </m:rPr>
                <m:t>min</m:t>
              </m:r>
            </m:e>
            <m:lim>
              <m:r>
                <m:t>K</m:t>
              </m:r>
              <m:r>
                <m:rPr>
                  <m:sty m:val="p"/>
                </m:rPr>
                <m:t>,</m:t>
              </m:r>
              <m:r>
                <m:t>L</m:t>
              </m:r>
            </m:lim>
          </m:limLow>
          <m:r>
            <m:t> </m:t>
          </m:r>
          <m:r>
            <m:t>v</m:t>
          </m:r>
          <m:r>
            <m:t>K</m:t>
          </m:r>
          <m:r>
            <m:rPr>
              <m:sty m:val="p"/>
            </m:rPr>
            <m:t>+</m:t>
          </m:r>
          <m:r>
            <m:t>w</m:t>
          </m:r>
          <m:r>
            <m:t>L</m:t>
          </m:r>
          <m:r>
            <m:t> </m:t>
          </m:r>
          <m:r>
            <m:rPr>
              <m:nor/>
              <m:sty m:val="p"/>
            </m:rPr>
            <m:t>s.a.</m:t>
          </m:r>
          <m:r>
            <m:t> </m:t>
          </m:r>
          <m:sSup>
            <m:e>
              <m:r>
                <m:t>K</m:t>
              </m:r>
            </m:e>
            <m:sup>
              <m:r>
                <m:t>α</m:t>
              </m:r>
            </m:sup>
          </m:sSup>
          <m:sSup>
            <m:e>
              <m:r>
                <m:t>L</m:t>
              </m:r>
            </m:e>
            <m:sup>
              <m:r>
                <m:t>β</m:t>
              </m:r>
            </m:sup>
          </m:sSup>
          <m:r>
            <m:rPr>
              <m:sty m:val="p"/>
            </m:rPr>
            <m:t>=</m:t>
          </m:r>
          <m:r>
            <m:t>q</m:t>
          </m:r>
        </m:oMath>
      </m:oMathPara>
    </w:p>
    <w:p>
      <w:pPr>
        <w:pStyle w:val="FirstParagraph"/>
      </w:pPr>
      <w:r>
        <w:t xml:space="preserve">O Lagrangeano é:</w:t>
      </w:r>
    </w:p>
    <w:p>
      <w:pPr>
        <w:pStyle w:val="BodyText"/>
      </w:pPr>
      <m:oMathPara>
        <m:oMathParaPr>
          <m:jc m:val="center"/>
        </m:oMathParaPr>
        <m:oMath>
          <m:r>
            <m:rPr>
              <m:scr m:val="script"/>
              <m:sty m:val="p"/>
            </m:rPr>
            <m:t>L</m:t>
          </m:r>
          <m:r>
            <m:rPr>
              <m:sty m:val="p"/>
            </m:rPr>
            <m:t>=</m:t>
          </m:r>
          <m:r>
            <m:t>v</m:t>
          </m:r>
          <m:r>
            <m:t>K</m:t>
          </m:r>
          <m:r>
            <m:rPr>
              <m:sty m:val="p"/>
            </m:rPr>
            <m:t>+</m:t>
          </m:r>
          <m:r>
            <m:t>w</m:t>
          </m:r>
          <m:r>
            <m:t>L</m:t>
          </m:r>
          <m:r>
            <m:rPr>
              <m:sty m:val="p"/>
            </m:rPr>
            <m:t>+</m:t>
          </m:r>
          <m:r>
            <m:t>λ</m:t>
          </m:r>
          <m:r>
            <m:rPr>
              <m:sty m:val="p"/>
            </m:rPr>
            <m:t>(</m:t>
          </m:r>
          <m:r>
            <m:t>q</m:t>
          </m:r>
          <m:r>
            <m:rPr>
              <m:sty m:val="p"/>
            </m:rPr>
            <m:t>−</m:t>
          </m:r>
          <m:sSup>
            <m:e>
              <m:r>
                <m:t>K</m:t>
              </m:r>
            </m:e>
            <m:sup>
              <m:r>
                <m:t>α</m:t>
              </m:r>
            </m:sup>
          </m:sSup>
          <m:sSup>
            <m:e>
              <m:r>
                <m:t>L</m:t>
              </m:r>
            </m:e>
            <m:sup>
              <m:r>
                <m:t>β</m:t>
              </m:r>
            </m:sup>
          </m:sSup>
          <m:r>
            <m:rPr>
              <m:sty m:val="p"/>
            </m:rPr>
            <m:t>)</m:t>
          </m:r>
        </m:oMath>
      </m:oMathPara>
    </w:p>
    <w:p>
      <w:pPr>
        <w:pStyle w:val="FirstParagraph"/>
      </w:pPr>
      <w:r>
        <w:t xml:space="preserve">Condições de primeira ordem:</w:t>
      </w:r>
    </w:p>
    <w:p>
      <w:pPr>
        <w:pStyle w:val="BodyText"/>
      </w:pPr>
      <m:oMathPara>
        <m:oMathParaPr>
          <m:jc m:val="center"/>
        </m:oMathParaPr>
        <m:oMath>
          <m:f>
            <m:fPr>
              <m:type m:val="bar"/>
            </m:fPr>
            <m:num>
              <m:r>
                <m:rPr>
                  <m:sty m:val="p"/>
                </m:rPr>
                <m:t>∂</m:t>
              </m:r>
              <m:r>
                <m:rPr>
                  <m:scr m:val="script"/>
                  <m:sty m:val="p"/>
                </m:rPr>
                <m:t>L</m:t>
              </m:r>
            </m:num>
            <m:den>
              <m:r>
                <m:rPr>
                  <m:sty m:val="p"/>
                </m:rPr>
                <m:t>∂</m:t>
              </m:r>
              <m:r>
                <m:t>K</m:t>
              </m:r>
            </m:den>
          </m:f>
          <m:r>
            <m:rPr>
              <m:sty m:val="p"/>
            </m:rPr>
            <m:t>=</m:t>
          </m:r>
          <m:r>
            <m:t>v</m:t>
          </m:r>
          <m:r>
            <m:rPr>
              <m:sty m:val="p"/>
            </m:rPr>
            <m:t>−</m:t>
          </m:r>
          <m:r>
            <m:t>λ</m:t>
          </m:r>
          <m:r>
            <m:t>α</m:t>
          </m:r>
          <m:sSup>
            <m:e>
              <m:r>
                <m:t>K</m:t>
              </m:r>
            </m:e>
            <m:sup>
              <m:r>
                <m:t>α</m:t>
              </m:r>
              <m:r>
                <m:rPr>
                  <m:sty m:val="p"/>
                </m:rPr>
                <m:t>−</m:t>
              </m:r>
              <m:r>
                <m:t>1</m:t>
              </m:r>
            </m:sup>
          </m:sSup>
          <m:sSup>
            <m:e>
              <m:r>
                <m:t>L</m:t>
              </m:r>
            </m:e>
            <m:sup>
              <m:r>
                <m:t>β</m:t>
              </m:r>
            </m:sup>
          </m:sSup>
          <m:r>
            <m:rPr>
              <m:sty m:val="p"/>
            </m:rPr>
            <m:t>=</m:t>
          </m:r>
          <m:r>
            <m:t>0</m:t>
          </m:r>
        </m:oMath>
      </m:oMathPara>
    </w:p>
    <w:p>
      <w:pPr>
        <w:pStyle w:val="FirstParagraph"/>
      </w:pPr>
      <m:oMathPara>
        <m:oMathParaPr>
          <m:jc m:val="center"/>
        </m:oMathParaPr>
        <m:oMath>
          <m:f>
            <m:fPr>
              <m:type m:val="bar"/>
            </m:fPr>
            <m:num>
              <m:r>
                <m:rPr>
                  <m:sty m:val="p"/>
                </m:rPr>
                <m:t>∂</m:t>
              </m:r>
              <m:r>
                <m:rPr>
                  <m:scr m:val="script"/>
                  <m:sty m:val="p"/>
                </m:rPr>
                <m:t>L</m:t>
              </m:r>
            </m:num>
            <m:den>
              <m:r>
                <m:rPr>
                  <m:sty m:val="p"/>
                </m:rPr>
                <m:t>∂</m:t>
              </m:r>
              <m:r>
                <m:t>L</m:t>
              </m:r>
            </m:den>
          </m:f>
          <m:r>
            <m:rPr>
              <m:sty m:val="p"/>
            </m:rPr>
            <m:t>=</m:t>
          </m:r>
          <m:r>
            <m:t>w</m:t>
          </m:r>
          <m:r>
            <m:rPr>
              <m:sty m:val="p"/>
            </m:rPr>
            <m:t>−</m:t>
          </m:r>
          <m:r>
            <m:t>λ</m:t>
          </m:r>
          <m:r>
            <m:t>β</m:t>
          </m:r>
          <m:sSup>
            <m:e>
              <m:r>
                <m:t>K</m:t>
              </m:r>
            </m:e>
            <m:sup>
              <m:r>
                <m:t>α</m:t>
              </m:r>
            </m:sup>
          </m:sSup>
          <m:sSup>
            <m:e>
              <m:r>
                <m:t>L</m:t>
              </m:r>
            </m:e>
            <m:sup>
              <m:r>
                <m:t>β</m:t>
              </m:r>
              <m:r>
                <m:rPr>
                  <m:sty m:val="p"/>
                </m:rPr>
                <m:t>−</m:t>
              </m:r>
              <m:r>
                <m:t>1</m:t>
              </m:r>
            </m:sup>
          </m:sSup>
          <m:r>
            <m:rPr>
              <m:sty m:val="p"/>
            </m:rPr>
            <m:t>=</m:t>
          </m:r>
          <m:r>
            <m:t>0</m:t>
          </m:r>
        </m:oMath>
      </m:oMathPara>
    </w:p>
    <w:p>
      <w:pPr>
        <w:pStyle w:val="FirstParagraph"/>
      </w:pPr>
      <w:r>
        <w:t xml:space="preserve">Dividindo a primeira CPO pela segunda:</w:t>
      </w:r>
    </w:p>
    <w:p>
      <w:pPr>
        <w:pStyle w:val="BodyText"/>
      </w:pPr>
      <m:oMathPara>
        <m:oMathParaPr>
          <m:jc m:val="center"/>
        </m:oMathParaPr>
        <m:oMath>
          <m:f>
            <m:fPr>
              <m:type m:val="bar"/>
            </m:fPr>
            <m:num>
              <m:r>
                <m:t>v</m:t>
              </m:r>
            </m:num>
            <m:den>
              <m:r>
                <m:t>w</m:t>
              </m:r>
            </m:den>
          </m:f>
          <m:r>
            <m:rPr>
              <m:sty m:val="p"/>
            </m:rPr>
            <m:t>=</m:t>
          </m:r>
          <m:f>
            <m:fPr>
              <m:type m:val="bar"/>
            </m:fPr>
            <m:num>
              <m:r>
                <m:t>α</m:t>
              </m:r>
              <m:r>
                <m:t>L</m:t>
              </m:r>
            </m:num>
            <m:den>
              <m:r>
                <m:t>β</m:t>
              </m:r>
              <m:r>
                <m:t>K</m:t>
              </m:r>
            </m:den>
          </m:f>
          <m:r>
            <m:t> </m:t>
          </m:r>
          <m:r>
            <m:rPr>
              <m:sty m:val="p"/>
            </m:rPr>
            <m:t>⇒</m:t>
          </m:r>
          <m:r>
            <m:t> </m:t>
          </m:r>
          <m:r>
            <m:t>K</m:t>
          </m:r>
          <m:r>
            <m:rPr>
              <m:sty m:val="p"/>
            </m:rPr>
            <m:t>=</m:t>
          </m:r>
          <m:f>
            <m:fPr>
              <m:type m:val="bar"/>
            </m:fPr>
            <m:num>
              <m:r>
                <m:t>α</m:t>
              </m:r>
              <m:r>
                <m:t> </m:t>
              </m:r>
              <m:r>
                <m:t>w</m:t>
              </m:r>
            </m:num>
            <m:den>
              <m:r>
                <m:t>β</m:t>
              </m:r>
              <m:r>
                <m:t> </m:t>
              </m:r>
              <m:r>
                <m:t>v</m:t>
              </m:r>
            </m:den>
          </m:f>
          <m:r>
            <m:t> </m:t>
          </m:r>
          <m:r>
            <m:t>L</m:t>
          </m:r>
        </m:oMath>
      </m:oMathPara>
    </w:p>
    <w:p>
      <w:pPr>
        <w:pStyle w:val="FirstParagraph"/>
      </w:pPr>
      <w:r>
        <w:t xml:space="preserve">Substituindo na restrição tecnológica:</w:t>
      </w:r>
    </w:p>
    <w:p>
      <w:pPr>
        <w:pStyle w:val="BodyText"/>
      </w:pPr>
      <m:oMathPara>
        <m:oMathParaPr>
          <m:jc m:val="center"/>
        </m:oMathParaPr>
        <m:oMath>
          <m:sSup>
            <m:e>
              <m:d>
                <m:dPr>
                  <m:begChr m:val="("/>
                  <m:sepChr m:val=""/>
                  <m:endChr m:val=")"/>
                  <m:grow/>
                </m:dPr>
                <m:e>
                  <m:f>
                    <m:fPr>
                      <m:type m:val="bar"/>
                    </m:fPr>
                    <m:num>
                      <m:r>
                        <m:t>α</m:t>
                      </m:r>
                      <m:r>
                        <m:t> </m:t>
                      </m:r>
                      <m:r>
                        <m:t>w</m:t>
                      </m:r>
                    </m:num>
                    <m:den>
                      <m:r>
                        <m:t>β</m:t>
                      </m:r>
                      <m:r>
                        <m:t> </m:t>
                      </m:r>
                      <m:r>
                        <m:t>v</m:t>
                      </m:r>
                    </m:den>
                  </m:f>
                </m:e>
              </m:d>
            </m:e>
            <m:sup>
              <m:r>
                <m:t>α</m:t>
              </m:r>
            </m:sup>
          </m:sSup>
          <m:sSup>
            <m:e>
              <m:r>
                <m:t>L</m:t>
              </m:r>
            </m:e>
            <m:sup>
              <m:r>
                <m:t>α</m:t>
              </m:r>
              <m:r>
                <m:rPr>
                  <m:sty m:val="p"/>
                </m:rPr>
                <m:t>+</m:t>
              </m:r>
              <m:r>
                <m:t>β</m:t>
              </m:r>
            </m:sup>
          </m:sSup>
          <m:r>
            <m:rPr>
              <m:sty m:val="p"/>
            </m:rPr>
            <m:t>=</m:t>
          </m:r>
          <m:r>
            <m:t>q</m:t>
          </m:r>
          <m:r>
            <m:t> </m:t>
          </m:r>
          <m:r>
            <m:rPr>
              <m:sty m:val="p"/>
            </m:rPr>
            <m:t>⇒</m:t>
          </m:r>
          <m:r>
            <m:t> </m:t>
          </m:r>
          <m:sSup>
            <m:e>
              <m:r>
                <m:t>L</m:t>
              </m:r>
            </m:e>
            <m:sup>
              <m:r>
                <m:t>c</m:t>
              </m:r>
            </m:sup>
          </m:sSup>
          <m:r>
            <m:rPr>
              <m:sty m:val="p"/>
            </m:rPr>
            <m:t>=</m:t>
          </m:r>
          <m:sSup>
            <m:e>
              <m:r>
                <m:t>q</m:t>
              </m:r>
            </m:e>
            <m:sup>
              <m:r>
                <m:t>1</m:t>
              </m:r>
              <m:r>
                <m:rPr>
                  <m:sty m:val="p"/>
                </m:rPr>
                <m:t>/</m:t>
              </m:r>
              <m:r>
                <m:rPr>
                  <m:sty m:val="p"/>
                </m:rPr>
                <m:t>(</m:t>
              </m:r>
              <m:r>
                <m:t>α</m:t>
              </m:r>
              <m:r>
                <m:rPr>
                  <m:sty m:val="p"/>
                </m:rPr>
                <m:t>+</m:t>
              </m:r>
              <m:r>
                <m:t>β</m:t>
              </m:r>
              <m:r>
                <m:rPr>
                  <m:sty m:val="p"/>
                </m:rPr>
                <m:t>)</m:t>
              </m:r>
            </m:sup>
          </m:sSup>
          <m:sSup>
            <m:e>
              <m:d>
                <m:dPr>
                  <m:begChr m:val="("/>
                  <m:sepChr m:val=""/>
                  <m:endChr m:val=")"/>
                  <m:grow/>
                </m:dPr>
                <m:e>
                  <m:f>
                    <m:fPr>
                      <m:type m:val="bar"/>
                    </m:fPr>
                    <m:num>
                      <m:r>
                        <m:t>α</m:t>
                      </m:r>
                      <m:r>
                        <m:t> </m:t>
                      </m:r>
                      <m:r>
                        <m:t>w</m:t>
                      </m:r>
                    </m:num>
                    <m:den>
                      <m:r>
                        <m:t>β</m:t>
                      </m:r>
                      <m:r>
                        <m:t> </m:t>
                      </m:r>
                      <m:r>
                        <m:t>v</m:t>
                      </m:r>
                    </m:den>
                  </m:f>
                </m:e>
              </m:d>
            </m:e>
            <m:sup>
              <m:r>
                <m:rPr>
                  <m:sty m:val="p"/>
                </m:rPr>
                <m:t>−</m:t>
              </m:r>
              <m:r>
                <m:t>α</m:t>
              </m:r>
              <m:r>
                <m:rPr>
                  <m:sty m:val="p"/>
                </m:rPr>
                <m:t>/</m:t>
              </m:r>
              <m:r>
                <m:rPr>
                  <m:sty m:val="p"/>
                </m:rPr>
                <m:t>(</m:t>
              </m:r>
              <m:r>
                <m:t>α</m:t>
              </m:r>
              <m:r>
                <m:rPr>
                  <m:sty m:val="p"/>
                </m:rPr>
                <m:t>+</m:t>
              </m:r>
              <m:r>
                <m:t>β</m:t>
              </m:r>
              <m:r>
                <m:rPr>
                  <m:sty m:val="p"/>
                </m:rPr>
                <m:t>)</m:t>
              </m:r>
            </m:sup>
          </m:sSup>
        </m:oMath>
      </m:oMathPara>
    </w:p>
    <w:p>
      <w:pPr>
        <w:pStyle w:val="FirstParagraph"/>
      </w:pPr>
      <m:oMathPara>
        <m:oMathParaPr>
          <m:jc m:val="center"/>
        </m:oMathParaPr>
        <m:oMath>
          <m:borderBox>
            <m:e>
              <m:sSup>
                <m:e>
                  <m:r>
                    <m:t>L</m:t>
                  </m:r>
                </m:e>
                <m:sup>
                  <m:r>
                    <m:t>c</m:t>
                  </m:r>
                </m:sup>
              </m:sSup>
              <m:r>
                <m:rPr>
                  <m:sty m:val="p"/>
                </m:rPr>
                <m:t>(</m:t>
              </m:r>
              <m:r>
                <m:t>w</m:t>
              </m:r>
              <m:r>
                <m:rPr>
                  <m:sty m:val="p"/>
                </m:rPr>
                <m:t>,</m:t>
              </m:r>
              <m:r>
                <m:t>v</m:t>
              </m:r>
              <m:r>
                <m:rPr>
                  <m:sty m:val="p"/>
                </m:rPr>
                <m:t>,</m:t>
              </m:r>
              <m:r>
                <m:t>q</m:t>
              </m:r>
              <m:r>
                <m:rPr>
                  <m:sty m:val="p"/>
                </m:rPr>
                <m:t>)</m:t>
              </m:r>
              <m:r>
                <m:rPr>
                  <m:sty m:val="p"/>
                </m:rPr>
                <m:t>=</m:t>
              </m:r>
              <m:sSup>
                <m:e>
                  <m:r>
                    <m:t>q</m:t>
                  </m:r>
                </m:e>
                <m:sup>
                  <m:r>
                    <m:t>1</m:t>
                  </m:r>
                  <m:r>
                    <m:rPr>
                      <m:sty m:val="p"/>
                    </m:rPr>
                    <m:t>/</m:t>
                  </m:r>
                  <m:r>
                    <m:rPr>
                      <m:sty m:val="p"/>
                    </m:rPr>
                    <m:t>(</m:t>
                  </m:r>
                  <m:r>
                    <m:t>α</m:t>
                  </m:r>
                  <m:r>
                    <m:rPr>
                      <m:sty m:val="p"/>
                    </m:rPr>
                    <m:t>+</m:t>
                  </m:r>
                  <m:r>
                    <m:t>β</m:t>
                  </m:r>
                  <m:r>
                    <m:rPr>
                      <m:sty m:val="p"/>
                    </m:rPr>
                    <m:t>)</m:t>
                  </m:r>
                </m:sup>
              </m:sSup>
              <m:sSup>
                <m:e>
                  <m:d>
                    <m:dPr>
                      <m:begChr m:val="("/>
                      <m:sepChr m:val=""/>
                      <m:endChr m:val=")"/>
                      <m:grow/>
                    </m:dPr>
                    <m:e>
                      <m:f>
                        <m:fPr>
                          <m:type m:val="bar"/>
                        </m:fPr>
                        <m:num>
                          <m:r>
                            <m:t>β</m:t>
                          </m:r>
                          <m:r>
                            <m:t> </m:t>
                          </m:r>
                          <m:r>
                            <m:t>v</m:t>
                          </m:r>
                        </m:num>
                        <m:den>
                          <m:r>
                            <m:t>α</m:t>
                          </m:r>
                          <m:r>
                            <m:t> </m:t>
                          </m:r>
                          <m:r>
                            <m:t>w</m:t>
                          </m:r>
                        </m:den>
                      </m:f>
                    </m:e>
                  </m:d>
                </m:e>
                <m:sup>
                  <m:r>
                    <m:t>α</m:t>
                  </m:r>
                  <m:r>
                    <m:rPr>
                      <m:sty m:val="p"/>
                    </m:rPr>
                    <m:t>/</m:t>
                  </m:r>
                  <m:r>
                    <m:rPr>
                      <m:sty m:val="p"/>
                    </m:rPr>
                    <m:t>(</m:t>
                  </m:r>
                  <m:r>
                    <m:t>α</m:t>
                  </m:r>
                  <m:r>
                    <m:rPr>
                      <m:sty m:val="p"/>
                    </m:rPr>
                    <m:t>+</m:t>
                  </m:r>
                  <m:r>
                    <m:t>β</m:t>
                  </m:r>
                  <m:r>
                    <m:rPr>
                      <m:sty m:val="p"/>
                    </m:rPr>
                    <m:t>)</m:t>
                  </m:r>
                </m:sup>
              </m:sSup>
            </m:e>
          </m:borderBox>
        </m:oMath>
      </m:oMathPara>
    </w:p>
    <w:p>
      <w:pPr>
        <w:pStyle w:val="FirstParagraph"/>
      </w:pPr>
      <m:oMathPara>
        <m:oMathParaPr>
          <m:jc m:val="center"/>
        </m:oMathParaPr>
        <m:oMath>
          <m:borderBox>
            <m:e>
              <m:sSup>
                <m:e>
                  <m:r>
                    <m:t>K</m:t>
                  </m:r>
                </m:e>
                <m:sup>
                  <m:r>
                    <m:t>c</m:t>
                  </m:r>
                </m:sup>
              </m:sSup>
              <m:r>
                <m:rPr>
                  <m:sty m:val="p"/>
                </m:rPr>
                <m:t>(</m:t>
              </m:r>
              <m:r>
                <m:t>w</m:t>
              </m:r>
              <m:r>
                <m:rPr>
                  <m:sty m:val="p"/>
                </m:rPr>
                <m:t>,</m:t>
              </m:r>
              <m:r>
                <m:t>v</m:t>
              </m:r>
              <m:r>
                <m:rPr>
                  <m:sty m:val="p"/>
                </m:rPr>
                <m:t>,</m:t>
              </m:r>
              <m:r>
                <m:t>q</m:t>
              </m:r>
              <m:r>
                <m:rPr>
                  <m:sty m:val="p"/>
                </m:rPr>
                <m:t>)</m:t>
              </m:r>
              <m:r>
                <m:rPr>
                  <m:sty m:val="p"/>
                </m:rPr>
                <m:t>=</m:t>
              </m:r>
              <m:sSup>
                <m:e>
                  <m:r>
                    <m:t>q</m:t>
                  </m:r>
                </m:e>
                <m:sup>
                  <m:r>
                    <m:t>1</m:t>
                  </m:r>
                  <m:r>
                    <m:rPr>
                      <m:sty m:val="p"/>
                    </m:rPr>
                    <m:t>/</m:t>
                  </m:r>
                  <m:r>
                    <m:rPr>
                      <m:sty m:val="p"/>
                    </m:rPr>
                    <m:t>(</m:t>
                  </m:r>
                  <m:r>
                    <m:t>α</m:t>
                  </m:r>
                  <m:r>
                    <m:rPr>
                      <m:sty m:val="p"/>
                    </m:rPr>
                    <m:t>+</m:t>
                  </m:r>
                  <m:r>
                    <m:t>β</m:t>
                  </m:r>
                  <m:r>
                    <m:rPr>
                      <m:sty m:val="p"/>
                    </m:rPr>
                    <m:t>)</m:t>
                  </m:r>
                </m:sup>
              </m:sSup>
              <m:sSup>
                <m:e>
                  <m:d>
                    <m:dPr>
                      <m:begChr m:val="("/>
                      <m:sepChr m:val=""/>
                      <m:endChr m:val=")"/>
                      <m:grow/>
                    </m:dPr>
                    <m:e>
                      <m:f>
                        <m:fPr>
                          <m:type m:val="bar"/>
                        </m:fPr>
                        <m:num>
                          <m:r>
                            <m:t>α</m:t>
                          </m:r>
                          <m:r>
                            <m:t> </m:t>
                          </m:r>
                          <m:r>
                            <m:t>w</m:t>
                          </m:r>
                        </m:num>
                        <m:den>
                          <m:r>
                            <m:t>β</m:t>
                          </m:r>
                          <m:r>
                            <m:t> </m:t>
                          </m:r>
                          <m:r>
                            <m:t>v</m:t>
                          </m:r>
                        </m:den>
                      </m:f>
                    </m:e>
                  </m:d>
                </m:e>
                <m:sup>
                  <m:r>
                    <m:t>β</m:t>
                  </m:r>
                  <m:r>
                    <m:rPr>
                      <m:sty m:val="p"/>
                    </m:rPr>
                    <m:t>/</m:t>
                  </m:r>
                  <m:r>
                    <m:rPr>
                      <m:sty m:val="p"/>
                    </m:rPr>
                    <m:t>(</m:t>
                  </m:r>
                  <m:r>
                    <m:t>α</m:t>
                  </m:r>
                  <m:r>
                    <m:rPr>
                      <m:sty m:val="p"/>
                    </m:rPr>
                    <m:t>+</m:t>
                  </m:r>
                  <m:r>
                    <m:t>β</m:t>
                  </m:r>
                  <m:r>
                    <m:rPr>
                      <m:sty m:val="p"/>
                    </m:rPr>
                    <m:t>)</m:t>
                  </m:r>
                </m:sup>
              </m:sSup>
            </m:e>
          </m:borderBox>
        </m:oMath>
      </m:oMathPara>
    </w:p>
    <w:p>
      <w:pPr>
        <w:pStyle w:val="FirstParagraph"/>
      </w:pPr>
      <w:r>
        <w:rPr>
          <w:b/>
          <w:bCs/>
        </w:rPr>
        <w:t xml:space="preserve">Função custo.</w:t>
      </w:r>
      <w:r>
        <w:t xml:space="preserve"> </w:t>
      </w:r>
      <w:r>
        <w:t xml:space="preserve">Simplificando o gasto mínimo</w:t>
      </w:r>
      <w:r>
        <w:t xml:space="preserve"> </w:t>
      </w:r>
      <m:oMath>
        <m:r>
          <m:t>C</m:t>
        </m:r>
        <m:r>
          <m:rPr>
            <m:sty m:val="p"/>
          </m:rPr>
          <m:t>=</m:t>
        </m:r>
        <m:r>
          <m:t>v</m:t>
        </m:r>
        <m:sSup>
          <m:e>
            <m:r>
              <m:t>K</m:t>
            </m:r>
          </m:e>
          <m:sup>
            <m:r>
              <m:t>c</m:t>
            </m:r>
          </m:sup>
        </m:sSup>
        <m:r>
          <m:rPr>
            <m:sty m:val="p"/>
          </m:rPr>
          <m:t>+</m:t>
        </m:r>
        <m:r>
          <m:t>w</m:t>
        </m:r>
        <m:sSup>
          <m:e>
            <m:r>
              <m:t>L</m:t>
            </m:r>
          </m:e>
          <m:sup>
            <m:r>
              <m:t>c</m:t>
            </m:r>
          </m:sup>
        </m:sSup>
      </m:oMath>
      <w:r>
        <w:t xml:space="preserve">:</w:t>
      </w:r>
    </w:p>
    <w:p>
      <w:pPr>
        <w:pStyle w:val="BodyText"/>
      </w:pPr>
      <m:oMathPara>
        <m:oMathParaPr>
          <m:jc m:val="center"/>
        </m:oMathParaPr>
        <m:oMath>
          <m:r>
            <m:t>C</m:t>
          </m:r>
          <m:r>
            <m:rPr>
              <m:sty m:val="p"/>
            </m:rPr>
            <m:t>(</m:t>
          </m:r>
          <m:r>
            <m:t>w</m:t>
          </m:r>
          <m:r>
            <m:rPr>
              <m:sty m:val="p"/>
            </m:rPr>
            <m:t>,</m:t>
          </m:r>
          <m:r>
            <m:t>v</m:t>
          </m:r>
          <m:r>
            <m:rPr>
              <m:sty m:val="p"/>
            </m:rPr>
            <m:t>,</m:t>
          </m:r>
          <m:r>
            <m:t>q</m:t>
          </m:r>
          <m:r>
            <m:rPr>
              <m:sty m:val="p"/>
            </m:rPr>
            <m:t>)</m:t>
          </m:r>
          <m:r>
            <m:rPr>
              <m:sty m:val="p"/>
            </m:rPr>
            <m:t>=</m:t>
          </m:r>
          <m:r>
            <m:t>κ</m:t>
          </m:r>
          <m:r>
            <m:rPr>
              <m:sty m:val="p"/>
            </m:rPr>
            <m:t>⋅</m:t>
          </m:r>
          <m:sSup>
            <m:e>
              <m:r>
                <m:t>w</m:t>
              </m:r>
            </m:e>
            <m:sup>
              <m:r>
                <m:t>β</m:t>
              </m:r>
              <m:r>
                <m:rPr>
                  <m:sty m:val="p"/>
                </m:rPr>
                <m:t>/</m:t>
              </m:r>
              <m:r>
                <m:rPr>
                  <m:sty m:val="p"/>
                </m:rPr>
                <m:t>(</m:t>
              </m:r>
              <m:r>
                <m:t>α</m:t>
              </m:r>
              <m:r>
                <m:rPr>
                  <m:sty m:val="p"/>
                </m:rPr>
                <m:t>+</m:t>
              </m:r>
              <m:r>
                <m:t>β</m:t>
              </m:r>
              <m:r>
                <m:rPr>
                  <m:sty m:val="p"/>
                </m:rPr>
                <m:t>)</m:t>
              </m:r>
            </m:sup>
          </m:sSup>
          <m:r>
            <m:t> </m:t>
          </m:r>
          <m:sSup>
            <m:e>
              <m:r>
                <m:t>v</m:t>
              </m:r>
            </m:e>
            <m:sup>
              <m:r>
                <m:t>α</m:t>
              </m:r>
              <m:r>
                <m:rPr>
                  <m:sty m:val="p"/>
                </m:rPr>
                <m:t>/</m:t>
              </m:r>
              <m:r>
                <m:rPr>
                  <m:sty m:val="p"/>
                </m:rPr>
                <m:t>(</m:t>
              </m:r>
              <m:r>
                <m:t>α</m:t>
              </m:r>
              <m:r>
                <m:rPr>
                  <m:sty m:val="p"/>
                </m:rPr>
                <m:t>+</m:t>
              </m:r>
              <m:r>
                <m:t>β</m:t>
              </m:r>
              <m:r>
                <m:rPr>
                  <m:sty m:val="p"/>
                </m:rPr>
                <m:t>)</m:t>
              </m:r>
            </m:sup>
          </m:sSup>
          <m:r>
            <m:rPr>
              <m:sty m:val="p"/>
            </m:rPr>
            <m:t>⋅</m:t>
          </m:r>
          <m:sSup>
            <m:e>
              <m:r>
                <m:t>q</m:t>
              </m:r>
            </m:e>
            <m:sup>
              <m:r>
                <m:t>1</m:t>
              </m:r>
              <m:r>
                <m:rPr>
                  <m:sty m:val="p"/>
                </m:rPr>
                <m:t>/</m:t>
              </m:r>
              <m:r>
                <m:rPr>
                  <m:sty m:val="p"/>
                </m:rPr>
                <m:t>(</m:t>
              </m:r>
              <m:r>
                <m:t>α</m:t>
              </m:r>
              <m:r>
                <m:rPr>
                  <m:sty m:val="p"/>
                </m:rPr>
                <m:t>+</m:t>
              </m:r>
              <m:r>
                <m:t>β</m:t>
              </m:r>
              <m:r>
                <m:rPr>
                  <m:sty m:val="p"/>
                </m:rPr>
                <m:t>)</m:t>
              </m:r>
            </m:sup>
          </m:sSup>
        </m:oMath>
      </m:oMathPara>
    </w:p>
    <w:p>
      <w:pPr>
        <w:pStyle w:val="FirstParagraph"/>
      </w:pPr>
      <w:r>
        <w:t xml:space="preserve">onde</w:t>
      </w:r>
      <w:r>
        <w:t xml:space="preserve"> </w:t>
      </w:r>
      <m:oMath>
        <m:r>
          <m:t>κ</m:t>
        </m:r>
        <m:r>
          <m:rPr>
            <m:sty m:val="p"/>
          </m:rPr>
          <m:t>=</m:t>
        </m:r>
        <m:r>
          <m:rPr>
            <m:sty m:val="p"/>
          </m:rPr>
          <m:t>(</m:t>
        </m:r>
        <m:r>
          <m:t>α</m:t>
        </m:r>
        <m:r>
          <m:rPr>
            <m:sty m:val="p"/>
          </m:rPr>
          <m:t>+</m:t>
        </m:r>
        <m:r>
          <m:t>β</m:t>
        </m:r>
        <m:r>
          <m:rPr>
            <m:sty m:val="p"/>
          </m:rPr>
          <m:t>)</m:t>
        </m:r>
        <m:sSup>
          <m:e>
            <m:d>
              <m:dPr>
                <m:begChr m:val="("/>
                <m:sepChr m:val=""/>
                <m:endChr m:val=")"/>
                <m:grow/>
              </m:dPr>
              <m:e>
                <m:sSup>
                  <m:e>
                    <m:r>
                      <m:t>α</m:t>
                    </m:r>
                  </m:e>
                  <m:sup>
                    <m:r>
                      <m:rPr>
                        <m:sty m:val="p"/>
                      </m:rPr>
                      <m:t>−</m:t>
                    </m:r>
                    <m:r>
                      <m:t>α</m:t>
                    </m:r>
                  </m:sup>
                </m:sSup>
                <m:sSup>
                  <m:e>
                    <m:r>
                      <m:t>β</m:t>
                    </m:r>
                  </m:e>
                  <m:sup>
                    <m:r>
                      <m:rPr>
                        <m:sty m:val="p"/>
                      </m:rPr>
                      <m:t>−</m:t>
                    </m:r>
                    <m:r>
                      <m:t>β</m:t>
                    </m:r>
                  </m:sup>
                </m:sSup>
              </m:e>
            </m:d>
          </m:e>
          <m:sup>
            <m:r>
              <m:t>1</m:t>
            </m:r>
            <m:r>
              <m:rPr>
                <m:sty m:val="p"/>
              </m:rPr>
              <m:t>/</m:t>
            </m:r>
            <m:r>
              <m:rPr>
                <m:sty m:val="p"/>
              </m:rPr>
              <m:t>(</m:t>
            </m:r>
            <m:r>
              <m:t>α</m:t>
            </m:r>
            <m:r>
              <m:rPr>
                <m:sty m:val="p"/>
              </m:rPr>
              <m:t>+</m:t>
            </m:r>
            <m:r>
              <m:t>β</m:t>
            </m:r>
            <m:r>
              <m:rPr>
                <m:sty m:val="p"/>
              </m:rPr>
              <m:t>)</m:t>
            </m:r>
          </m:sup>
        </m:sSup>
      </m:oMath>
      <w:r>
        <w:t xml:space="preserve"> </w:t>
      </w:r>
      <w:r>
        <w:t xml:space="preserve">é uma constante.</w:t>
      </w:r>
    </w:p>
    <w:p>
      <w:pPr>
        <w:pStyle w:val="BodyText"/>
      </w:pPr>
      <w:r>
        <w:rPr>
          <w:b/>
          <w:bCs/>
        </w:rPr>
        <w:t xml:space="preserve">Retornos de escala e custos:</w:t>
      </w:r>
    </w:p>
    <w:p>
      <w:pPr>
        <w:pStyle w:val="Compact"/>
        <w:numPr>
          <w:ilvl w:val="0"/>
          <w:numId w:val="1682"/>
        </w:numPr>
      </w:pPr>
      <w:r>
        <w:t xml:space="preserve">Se</w:t>
      </w:r>
      <w:r>
        <w:t xml:space="preserve"> </w:t>
      </w:r>
      <m:oMath>
        <m:r>
          <m:t>α</m:t>
        </m:r>
        <m:r>
          <m:rPr>
            <m:sty m:val="p"/>
          </m:rPr>
          <m:t>+</m:t>
        </m:r>
        <m:r>
          <m:t>β</m:t>
        </m:r>
        <m:r>
          <m:rPr>
            <m:sty m:val="p"/>
          </m:rPr>
          <m:t>=</m:t>
        </m:r>
        <m:r>
          <m:t>1</m:t>
        </m:r>
      </m:oMath>
      <w:r>
        <w:t xml:space="preserve"> </w:t>
      </w:r>
      <w:r>
        <w:t xml:space="preserve">(retornos constantes):</w:t>
      </w:r>
      <w:r>
        <w:t xml:space="preserve"> </w:t>
      </w:r>
      <m:oMath>
        <m:r>
          <m:t>C</m:t>
        </m:r>
      </m:oMath>
      <w:r>
        <w:t xml:space="preserve"> </w:t>
      </w:r>
      <w:r>
        <w:t xml:space="preserve">é linear em</w:t>
      </w:r>
      <w:r>
        <w:t xml:space="preserve"> </w:t>
      </w:r>
      <m:oMath>
        <m:r>
          <m:t>q</m:t>
        </m:r>
      </m:oMath>
      <w:r>
        <w:t xml:space="preserve"> </w:t>
      </w:r>
      <w:r>
        <w:t xml:space="preserve">→ CMg constante</w:t>
      </w:r>
    </w:p>
    <w:p>
      <w:pPr>
        <w:pStyle w:val="Compact"/>
        <w:numPr>
          <w:ilvl w:val="0"/>
          <w:numId w:val="1682"/>
        </w:numPr>
      </w:pPr>
      <w:r>
        <w:t xml:space="preserve">Se</w:t>
      </w:r>
      <w:r>
        <w:t xml:space="preserve"> </w:t>
      </w:r>
      <m:oMath>
        <m:r>
          <m:t>α</m:t>
        </m:r>
        <m:r>
          <m:rPr>
            <m:sty m:val="p"/>
          </m:rPr>
          <m:t>+</m:t>
        </m:r>
        <m:r>
          <m:t>β</m:t>
        </m:r>
        <m:r>
          <m:rPr>
            <m:sty m:val="p"/>
          </m:rPr>
          <m:t>&gt;</m:t>
        </m:r>
        <m:r>
          <m:t>1</m:t>
        </m:r>
      </m:oMath>
      <w:r>
        <w:t xml:space="preserve"> </w:t>
      </w:r>
      <w:r>
        <w:t xml:space="preserve">(retornos crescentes):</w:t>
      </w:r>
      <w:r>
        <w:t xml:space="preserve"> </w:t>
      </w:r>
      <m:oMath>
        <m:r>
          <m:t>C</m:t>
        </m:r>
      </m:oMath>
      <w:r>
        <w:t xml:space="preserve"> </w:t>
      </w:r>
      <w:r>
        <w:t xml:space="preserve">é côncava em</w:t>
      </w:r>
      <w:r>
        <w:t xml:space="preserve"> </w:t>
      </w:r>
      <m:oMath>
        <m:r>
          <m:t>q</m:t>
        </m:r>
      </m:oMath>
      <w:r>
        <w:t xml:space="preserve"> </w:t>
      </w:r>
      <w:r>
        <w:t xml:space="preserve">→ CMg decrescente</w:t>
      </w:r>
    </w:p>
    <w:p>
      <w:pPr>
        <w:pStyle w:val="Compact"/>
        <w:numPr>
          <w:ilvl w:val="0"/>
          <w:numId w:val="1682"/>
        </w:numPr>
      </w:pPr>
      <w:r>
        <w:t xml:space="preserve">Se</w:t>
      </w:r>
      <w:r>
        <w:t xml:space="preserve"> </w:t>
      </w:r>
      <m:oMath>
        <m:r>
          <m:t>α</m:t>
        </m:r>
        <m:r>
          <m:rPr>
            <m:sty m:val="p"/>
          </m:rPr>
          <m:t>+</m:t>
        </m:r>
        <m:r>
          <m:t>β</m:t>
        </m:r>
        <m:r>
          <m:rPr>
            <m:sty m:val="p"/>
          </m:rPr>
          <m:t>&lt;</m:t>
        </m:r>
        <m:r>
          <m:t>1</m:t>
        </m:r>
      </m:oMath>
      <w:r>
        <w:t xml:space="preserve"> </w:t>
      </w:r>
      <w:r>
        <w:t xml:space="preserve">(retornos decrescentes):</w:t>
      </w:r>
      <w:r>
        <w:t xml:space="preserve"> </w:t>
      </w:r>
      <m:oMath>
        <m:r>
          <m:t>C</m:t>
        </m:r>
      </m:oMath>
      <w:r>
        <w:t xml:space="preserve"> </w:t>
      </w:r>
      <w:r>
        <w:t xml:space="preserve">é convexa em</w:t>
      </w:r>
      <w:r>
        <w:t xml:space="preserve"> </w:t>
      </w:r>
      <m:oMath>
        <m:r>
          <m:t>q</m:t>
        </m:r>
      </m:oMath>
      <w:r>
        <w:t xml:space="preserve"> </w:t>
      </w:r>
      <w:r>
        <w:t xml:space="preserve">→ CMg crescente</w:t>
      </w:r>
    </w:p>
    <w:p>
      <w:pPr>
        <w:pStyle w:val="FirstParagraph"/>
      </w:pPr>
      <w:r>
        <w:rPr>
          <w:i/>
          <w:iCs/>
        </w:rPr>
        <w:t xml:space="preserve">Verificação pelo Lema de Shephard</w:t>
      </w:r>
      <w:r>
        <w:t xml:space="preserve">:</w:t>
      </w:r>
      <w:r>
        <w:t xml:space="preserve"> </w:t>
      </w:r>
      <m:oMath>
        <m:r>
          <m:rPr>
            <m:sty m:val="p"/>
          </m:rPr>
          <m:t>∂</m:t>
        </m:r>
        <m:r>
          <m:t>C</m:t>
        </m:r>
        <m:r>
          <m:rPr>
            <m:sty m:val="p"/>
          </m:rPr>
          <m:t>/</m:t>
        </m:r>
        <m:r>
          <m:rPr>
            <m:sty m:val="p"/>
          </m:rPr>
          <m:t>∂</m:t>
        </m:r>
        <m:r>
          <m:t>w</m:t>
        </m:r>
        <m:r>
          <m:rPr>
            <m:sty m:val="p"/>
          </m:rPr>
          <m:t>=</m:t>
        </m:r>
        <m:sSup>
          <m:e>
            <m:r>
              <m:t>L</m:t>
            </m:r>
          </m:e>
          <m:sup>
            <m:r>
              <m:t>c</m:t>
            </m:r>
          </m:sup>
        </m:sSup>
      </m:oMath>
      <w:r>
        <w:t xml:space="preserve"> </w:t>
      </w:r>
      <w:r>
        <w:t xml:space="preserve">✓</w:t>
      </w:r>
    </w:p>
    <w:p>
      <w:pPr>
        <w:pStyle w:val="BodyText"/>
      </w:pPr>
      <w:r>
        <w:rPr>
          <w:b/>
          <w:bCs/>
        </w:rPr>
        <w:t xml:space="preserve">Demandas por insumos (maximização de lucro).</w:t>
      </w:r>
      <w:r>
        <w:t xml:space="preserve"> </w:t>
      </w:r>
      <w:r>
        <w:t xml:space="preserve">Com retornos decrescentes (</w:t>
      </w:r>
      <m:oMath>
        <m:r>
          <m:t>α</m:t>
        </m:r>
        <m:r>
          <m:rPr>
            <m:sty m:val="p"/>
          </m:rPr>
          <m:t>+</m:t>
        </m:r>
        <m:r>
          <m:t>β</m:t>
        </m:r>
        <m:r>
          <m:rPr>
            <m:sty m:val="p"/>
          </m:rPr>
          <m:t>&lt;</m:t>
        </m:r>
        <m:r>
          <m:t>1</m:t>
        </m:r>
      </m:oMath>
      <w:r>
        <w:t xml:space="preserve">), a firma maximiza</w:t>
      </w:r>
      <w:r>
        <w:t xml:space="preserve"> </w:t>
      </w:r>
      <m:oMath>
        <m:r>
          <m:t>π</m:t>
        </m:r>
        <m:r>
          <m:rPr>
            <m:sty m:val="p"/>
          </m:rPr>
          <m:t>=</m:t>
        </m:r>
        <m:r>
          <m:t>p</m:t>
        </m:r>
        <m:r>
          <m:t>q</m:t>
        </m:r>
        <m:r>
          <m:rPr>
            <m:sty m:val="p"/>
          </m:rPr>
          <m:t>−</m:t>
        </m:r>
        <m:r>
          <m:t>w</m:t>
        </m:r>
        <m:r>
          <m:t>L</m:t>
        </m:r>
        <m:r>
          <m:rPr>
            <m:sty m:val="p"/>
          </m:rPr>
          <m:t>−</m:t>
        </m:r>
        <m:r>
          <m:t>v</m:t>
        </m:r>
        <m:r>
          <m:t>K</m:t>
        </m:r>
      </m:oMath>
      <w:r>
        <w:t xml:space="preserve">. Substituindo</w:t>
      </w:r>
      <w:r>
        <w:t xml:space="preserve"> </w:t>
      </w:r>
      <m:oMath>
        <m:r>
          <m:t>q</m:t>
        </m:r>
        <m:r>
          <m:rPr>
            <m:sty m:val="p"/>
          </m:rPr>
          <m:t>=</m:t>
        </m:r>
        <m:sSup>
          <m:e>
            <m:r>
              <m:t>K</m:t>
            </m:r>
          </m:e>
          <m:sup>
            <m:r>
              <m:t>α</m:t>
            </m:r>
          </m:sup>
        </m:sSup>
        <m:sSup>
          <m:e>
            <m:r>
              <m:t>L</m:t>
            </m:r>
          </m:e>
          <m:sup>
            <m:r>
              <m:t>β</m:t>
            </m:r>
          </m:sup>
        </m:sSup>
      </m:oMath>
      <w:r>
        <w:t xml:space="preserve"> </w:t>
      </w:r>
      <w:r>
        <w:t xml:space="preserve">e derivando:</w:t>
      </w:r>
    </w:p>
    <w:p>
      <w:pPr>
        <w:pStyle w:val="BodyText"/>
      </w:pPr>
      <m:oMathPara>
        <m:oMathParaPr>
          <m:jc m:val="center"/>
        </m:oMathParaPr>
        <m:oMath>
          <m:r>
            <m:t>p</m:t>
          </m:r>
          <m:r>
            <m:t>α</m:t>
          </m:r>
          <m:sSup>
            <m:e>
              <m:r>
                <m:t>K</m:t>
              </m:r>
            </m:e>
            <m:sup>
              <m:r>
                <m:t>α</m:t>
              </m:r>
              <m:r>
                <m:rPr>
                  <m:sty m:val="p"/>
                </m:rPr>
                <m:t>−</m:t>
              </m:r>
              <m:r>
                <m:t>1</m:t>
              </m:r>
            </m:sup>
          </m:sSup>
          <m:sSup>
            <m:e>
              <m:r>
                <m:t>L</m:t>
              </m:r>
            </m:e>
            <m:sup>
              <m:r>
                <m:t>β</m:t>
              </m:r>
            </m:sup>
          </m:sSup>
          <m:r>
            <m:rPr>
              <m:sty m:val="p"/>
            </m:rPr>
            <m:t>=</m:t>
          </m:r>
          <m:r>
            <m:t>v</m:t>
          </m:r>
          <m:r>
            <m:rPr>
              <m:sty m:val="p"/>
            </m:rPr>
            <m:t>,</m:t>
          </m:r>
          <m:r>
            <m:t>  </m:t>
          </m:r>
          <m:r>
            <m:t>p</m:t>
          </m:r>
          <m:r>
            <m:t>β</m:t>
          </m:r>
          <m:sSup>
            <m:e>
              <m:r>
                <m:t>K</m:t>
              </m:r>
            </m:e>
            <m:sup>
              <m:r>
                <m:t>α</m:t>
              </m:r>
            </m:sup>
          </m:sSup>
          <m:sSup>
            <m:e>
              <m:r>
                <m:t>L</m:t>
              </m:r>
            </m:e>
            <m:sup>
              <m:r>
                <m:t>β</m:t>
              </m:r>
              <m:r>
                <m:rPr>
                  <m:sty m:val="p"/>
                </m:rPr>
                <m:t>−</m:t>
              </m:r>
              <m:r>
                <m:t>1</m:t>
              </m:r>
            </m:sup>
          </m:sSup>
          <m:r>
            <m:rPr>
              <m:sty m:val="p"/>
            </m:rPr>
            <m:t>=</m:t>
          </m:r>
          <m:r>
            <m:t>w</m:t>
          </m:r>
        </m:oMath>
      </m:oMathPara>
    </w:p>
    <w:p>
      <w:pPr>
        <w:pStyle w:val="FirstParagraph"/>
      </w:pPr>
      <w:r>
        <w:t xml:space="preserve">Resolvendo o sistema (detalhes em Cap. 12):</w:t>
      </w:r>
    </w:p>
    <w:p>
      <w:pPr>
        <w:pStyle w:val="BodyText"/>
      </w:pPr>
      <m:oMathPara>
        <m:oMathParaPr>
          <m:jc m:val="center"/>
        </m:oMathParaPr>
        <m:oMath>
          <m:borderBox>
            <m:e>
              <m:sSup>
                <m:e>
                  <m:r>
                    <m:t>L</m:t>
                  </m:r>
                </m:e>
                <m:sup>
                  <m:r>
                    <m:rPr>
                      <m:sty m:val="p"/>
                    </m:rPr>
                    <m:t>*</m:t>
                  </m:r>
                </m:sup>
              </m:sSup>
              <m:r>
                <m:rPr>
                  <m:sty m:val="p"/>
                </m:rPr>
                <m:t>(</m:t>
              </m:r>
              <m:r>
                <m:t>w</m:t>
              </m:r>
              <m:r>
                <m:rPr>
                  <m:sty m:val="p"/>
                </m:rPr>
                <m:t>,</m:t>
              </m:r>
              <m:r>
                <m:t>v</m:t>
              </m:r>
              <m:r>
                <m:rPr>
                  <m:sty m:val="p"/>
                </m:rPr>
                <m:t>,</m:t>
              </m:r>
              <m:r>
                <m:t>p</m:t>
              </m:r>
              <m:r>
                <m:rPr>
                  <m:sty m:val="p"/>
                </m:rPr>
                <m:t>)</m:t>
              </m:r>
              <m:r>
                <m:rPr>
                  <m:sty m:val="p"/>
                </m:rPr>
                <m:t>=</m:t>
              </m:r>
              <m:sSup>
                <m:e>
                  <m:d>
                    <m:dPr>
                      <m:begChr m:val="("/>
                      <m:sepChr m:val=""/>
                      <m:endChr m:val=")"/>
                      <m:grow/>
                    </m:dPr>
                    <m:e>
                      <m:f>
                        <m:fPr>
                          <m:type m:val="bar"/>
                        </m:fPr>
                        <m:num>
                          <m:r>
                            <m:t>p</m:t>
                          </m:r>
                          <m:r>
                            <m:t> </m:t>
                          </m:r>
                          <m:sSup>
                            <m:e>
                              <m:r>
                                <m:t>α</m:t>
                              </m:r>
                            </m:e>
                            <m:sup>
                              <m:r>
                                <m:t>α</m:t>
                              </m:r>
                            </m:sup>
                          </m:sSup>
                          <m:r>
                            <m:t> </m:t>
                          </m:r>
                          <m:sSup>
                            <m:e>
                              <m:r>
                                <m:t>β</m:t>
                              </m:r>
                            </m:e>
                            <m:sup>
                              <m:r>
                                <m:t>1</m:t>
                              </m:r>
                              <m:r>
                                <m:rPr>
                                  <m:sty m:val="p"/>
                                </m:rPr>
                                <m:t>−</m:t>
                              </m:r>
                              <m:r>
                                <m:t>α</m:t>
                              </m:r>
                            </m:sup>
                          </m:sSup>
                        </m:num>
                        <m:den>
                          <m:sSup>
                            <m:e>
                              <m:r>
                                <m:t>w</m:t>
                              </m:r>
                            </m:e>
                            <m:sup>
                              <m:r>
                                <m:t>1</m:t>
                              </m:r>
                              <m:r>
                                <m:rPr>
                                  <m:sty m:val="p"/>
                                </m:rPr>
                                <m:t>−</m:t>
                              </m:r>
                              <m:r>
                                <m:t>α</m:t>
                              </m:r>
                            </m:sup>
                          </m:sSup>
                          <m:r>
                            <m:t> </m:t>
                          </m:r>
                          <m:sSup>
                            <m:e>
                              <m:r>
                                <m:t>v</m:t>
                              </m:r>
                            </m:e>
                            <m:sup>
                              <m:r>
                                <m:t>α</m:t>
                              </m:r>
                            </m:sup>
                          </m:sSup>
                        </m:den>
                      </m:f>
                    </m:e>
                  </m:d>
                </m:e>
                <m:sup>
                  <m:r>
                    <m:t>1</m:t>
                  </m:r>
                  <m:r>
                    <m:rPr>
                      <m:sty m:val="p"/>
                    </m:rPr>
                    <m:t>/</m:t>
                  </m:r>
                  <m:r>
                    <m:rPr>
                      <m:sty m:val="p"/>
                    </m:rPr>
                    <m:t>(</m:t>
                  </m:r>
                  <m:r>
                    <m:t>1</m:t>
                  </m:r>
                  <m:r>
                    <m:rPr>
                      <m:sty m:val="p"/>
                    </m:rPr>
                    <m:t>−</m:t>
                  </m:r>
                  <m:r>
                    <m:t>α</m:t>
                  </m:r>
                  <m:r>
                    <m:rPr>
                      <m:sty m:val="p"/>
                    </m:rPr>
                    <m:t>−</m:t>
                  </m:r>
                  <m:r>
                    <m:t>β</m:t>
                  </m:r>
                  <m:r>
                    <m:rPr>
                      <m:sty m:val="p"/>
                    </m:rPr>
                    <m:t>)</m:t>
                  </m:r>
                </m:sup>
              </m:sSup>
              <m:r>
                <m:rPr>
                  <m:sty m:val="p"/>
                </m:rPr>
                <m:t>,</m:t>
              </m:r>
              <m:r>
                <m:t> </m:t>
              </m:r>
              <m:sSup>
                <m:e>
                  <m:r>
                    <m:t>K</m:t>
                  </m:r>
                </m:e>
                <m:sup>
                  <m:r>
                    <m:rPr>
                      <m:sty m:val="p"/>
                    </m:rPr>
                    <m:t>*</m:t>
                  </m:r>
                </m:sup>
              </m:sSup>
              <m:r>
                <m:rPr>
                  <m:sty m:val="p"/>
                </m:rPr>
                <m:t>(</m:t>
              </m:r>
              <m:r>
                <m:t>w</m:t>
              </m:r>
              <m:r>
                <m:rPr>
                  <m:sty m:val="p"/>
                </m:rPr>
                <m:t>,</m:t>
              </m:r>
              <m:r>
                <m:t>v</m:t>
              </m:r>
              <m:r>
                <m:rPr>
                  <m:sty m:val="p"/>
                </m:rPr>
                <m:t>,</m:t>
              </m:r>
              <m:r>
                <m:t>p</m:t>
              </m:r>
              <m:r>
                <m:rPr>
                  <m:sty m:val="p"/>
                </m:rPr>
                <m:t>)</m:t>
              </m:r>
              <m:r>
                <m:rPr>
                  <m:sty m:val="p"/>
                </m:rPr>
                <m:t>=</m:t>
              </m:r>
              <m:sSup>
                <m:e>
                  <m:d>
                    <m:dPr>
                      <m:begChr m:val="("/>
                      <m:sepChr m:val=""/>
                      <m:endChr m:val=")"/>
                      <m:grow/>
                    </m:dPr>
                    <m:e>
                      <m:f>
                        <m:fPr>
                          <m:type m:val="bar"/>
                        </m:fPr>
                        <m:num>
                          <m:r>
                            <m:t>p</m:t>
                          </m:r>
                          <m:r>
                            <m:t> </m:t>
                          </m:r>
                          <m:sSup>
                            <m:e>
                              <m:r>
                                <m:t>α</m:t>
                              </m:r>
                            </m:e>
                            <m:sup>
                              <m:r>
                                <m:t>1</m:t>
                              </m:r>
                              <m:r>
                                <m:rPr>
                                  <m:sty m:val="p"/>
                                </m:rPr>
                                <m:t>−</m:t>
                              </m:r>
                              <m:r>
                                <m:t>β</m:t>
                              </m:r>
                            </m:sup>
                          </m:sSup>
                          <m:r>
                            <m:t> </m:t>
                          </m:r>
                          <m:sSup>
                            <m:e>
                              <m:r>
                                <m:t>β</m:t>
                              </m:r>
                            </m:e>
                            <m:sup>
                              <m:r>
                                <m:t>β</m:t>
                              </m:r>
                            </m:sup>
                          </m:sSup>
                        </m:num>
                        <m:den>
                          <m:sSup>
                            <m:e>
                              <m:r>
                                <m:t>w</m:t>
                              </m:r>
                            </m:e>
                            <m:sup>
                              <m:r>
                                <m:t>β</m:t>
                              </m:r>
                            </m:sup>
                          </m:sSup>
                          <m:r>
                            <m:t> </m:t>
                          </m:r>
                          <m:sSup>
                            <m:e>
                              <m:r>
                                <m:t>v</m:t>
                              </m:r>
                            </m:e>
                            <m:sup>
                              <m:r>
                                <m:t>1</m:t>
                              </m:r>
                              <m:r>
                                <m:rPr>
                                  <m:sty m:val="p"/>
                                </m:rPr>
                                <m:t>−</m:t>
                              </m:r>
                              <m:r>
                                <m:t>β</m:t>
                              </m:r>
                            </m:sup>
                          </m:sSup>
                        </m:den>
                      </m:f>
                    </m:e>
                  </m:d>
                </m:e>
                <m:sup>
                  <m:r>
                    <m:t>1</m:t>
                  </m:r>
                  <m:r>
                    <m:rPr>
                      <m:sty m:val="p"/>
                    </m:rPr>
                    <m:t>/</m:t>
                  </m:r>
                  <m:r>
                    <m:rPr>
                      <m:sty m:val="p"/>
                    </m:rPr>
                    <m:t>(</m:t>
                  </m:r>
                  <m:r>
                    <m:t>1</m:t>
                  </m:r>
                  <m:r>
                    <m:rPr>
                      <m:sty m:val="p"/>
                    </m:rPr>
                    <m:t>−</m:t>
                  </m:r>
                  <m:r>
                    <m:t>α</m:t>
                  </m:r>
                  <m:r>
                    <m:rPr>
                      <m:sty m:val="p"/>
                    </m:rPr>
                    <m:t>−</m:t>
                  </m:r>
                  <m:r>
                    <m:t>β</m:t>
                  </m:r>
                  <m:r>
                    <m:rPr>
                      <m:sty m:val="p"/>
                    </m:rPr>
                    <m:t>)</m:t>
                  </m:r>
                </m:sup>
              </m:sSup>
            </m:e>
          </m:borderBox>
        </m:oMath>
      </m:oMathPara>
    </w:p>
    <w:p>
      <w:pPr>
        <w:pStyle w:val="FirstParagraph"/>
      </w:pPr>
      <w:r>
        <w:t xml:space="preserve">Estas demandas só existem com retornos decrescentes. Com retornos constantes ou crescentes, o lucro não tem máximo finito.</w:t>
      </w:r>
    </w:p>
    <w:bookmarkEnd w:id="725"/>
    <w:bookmarkStart w:id="726" w:name="X2082e7379651410764aa991c841acbf2ce07538"/>
    <w:p>
      <w:pPr>
        <w:pStyle w:val="Heading4"/>
      </w:pPr>
      <w:r>
        <w:t xml:space="preserve">11.8.2 Tecnologia Linear (Substitutos Perfeitos): q = αK + βL</w:t>
      </w:r>
    </w:p>
    <w:p>
      <w:pPr>
        <w:pStyle w:val="FirstParagraph"/>
      </w:pPr>
      <w:r>
        <w:t xml:space="preserve">Com tecnologia linear, os insumos são perfeitamente substituíveis. As isoquantas são retas com inclinação</w:t>
      </w:r>
      <w:r>
        <w:t xml:space="preserve"> </w:t>
      </w:r>
      <m:oMath>
        <m:r>
          <m:rPr>
            <m:sty m:val="p"/>
          </m:rPr>
          <m:t>−</m:t>
        </m:r>
        <m:r>
          <m:t>β</m:t>
        </m:r>
        <m:r>
          <m:rPr>
            <m:sty m:val="p"/>
          </m:rPr>
          <m:t>/</m:t>
        </m:r>
        <m:r>
          <m:t>α</m:t>
        </m:r>
      </m:oMath>
      <w:r>
        <w:t xml:space="preserve">.</w:t>
      </w:r>
    </w:p>
    <w:p>
      <w:pPr>
        <w:pStyle w:val="BodyText"/>
      </w:pPr>
      <w:r>
        <w:rPr>
          <w:b/>
          <w:bCs/>
        </w:rPr>
        <w:t xml:space="preserve">Demandas condicionais.</w:t>
      </w:r>
      <w:r>
        <w:t xml:space="preserve"> </w:t>
      </w:r>
      <w:r>
        <w:t xml:space="preserve">A firma compara o custo por unidade de produto de cada insumo:</w:t>
      </w:r>
    </w:p>
    <w:p>
      <w:pPr>
        <w:pStyle w:val="Compact"/>
        <w:numPr>
          <w:ilvl w:val="0"/>
          <w:numId w:val="1683"/>
        </w:numPr>
      </w:pPr>
      <w:r>
        <w:t xml:space="preserve">Custo de uma unidade de produto via capital:</w:t>
      </w:r>
      <w:r>
        <w:t xml:space="preserve"> </w:t>
      </w:r>
      <m:oMath>
        <m:r>
          <m:t>v</m:t>
        </m:r>
        <m:r>
          <m:rPr>
            <m:sty m:val="p"/>
          </m:rPr>
          <m:t>/</m:t>
        </m:r>
        <m:r>
          <m:t>α</m:t>
        </m:r>
      </m:oMath>
    </w:p>
    <w:p>
      <w:pPr>
        <w:pStyle w:val="Compact"/>
        <w:numPr>
          <w:ilvl w:val="0"/>
          <w:numId w:val="1683"/>
        </w:numPr>
      </w:pPr>
      <w:r>
        <w:t xml:space="preserve">Custo de uma unidade de produto via trabalho:</w:t>
      </w:r>
      <w:r>
        <w:t xml:space="preserve"> </w:t>
      </w:r>
      <m:oMath>
        <m:r>
          <m:t>w</m:t>
        </m:r>
        <m:r>
          <m:rPr>
            <m:sty m:val="p"/>
          </m:rPr>
          <m:t>/</m:t>
        </m:r>
        <m:r>
          <m:t>β</m:t>
        </m:r>
      </m:oMath>
    </w:p>
    <w:p>
      <w:pPr>
        <w:pStyle w:val="FirstParagraph"/>
      </w:pPr>
      <m:oMathPara>
        <m:oMathParaPr>
          <m:jc m:val="center"/>
        </m:oMathParaPr>
        <m:oMath>
          <m:borderBox>
            <m:e>
              <m:sSup>
                <m:e>
                  <m:r>
                    <m:t>K</m:t>
                  </m:r>
                </m:e>
                <m:sup>
                  <m:r>
                    <m:t>c</m:t>
                  </m:r>
                </m:sup>
              </m:sSup>
              <m:r>
                <m:rPr>
                  <m:sty m:val="p"/>
                </m:rPr>
                <m:t>=</m:t>
              </m:r>
              <m:d>
                <m:dPr>
                  <m:begChr m:val="{"/>
                  <m:sepChr m:val=""/>
                  <m:endChr m:val=""/>
                  <m:grow/>
                </m:dPr>
                <m:e>
                  <m:m>
                    <m:mPr>
                      <m:baseJc m:val="center"/>
                      <m:plcHide m:val="on"/>
                      <m:mcs>
                        <m:mc>
                          <m:mcPr>
                            <m:mcJc m:val="left"/>
                            <m:count m:val="1"/>
                          </m:mcPr>
                        </m:mc>
                        <m:mc>
                          <m:mcPr>
                            <m:mcJc m:val="left"/>
                            <m:count m:val="1"/>
                          </m:mcPr>
                        </m:mc>
                      </m:mcs>
                    </m:mPr>
                    <m:mr>
                      <m:e>
                        <m:r>
                          <m:t>q</m:t>
                        </m:r>
                        <m:r>
                          <m:rPr>
                            <m:sty m:val="p"/>
                          </m:rPr>
                          <m:t>/</m:t>
                        </m:r>
                        <m:r>
                          <m:t>α</m:t>
                        </m:r>
                      </m:e>
                      <m:e>
                        <m:r>
                          <m:rPr>
                            <m:nor/>
                            <m:sty m:val="p"/>
                          </m:rPr>
                          <m:t>se </m:t>
                        </m:r>
                        <m:r>
                          <m:t>v</m:t>
                        </m:r>
                        <m:r>
                          <m:rPr>
                            <m:sty m:val="p"/>
                          </m:rPr>
                          <m:t>/</m:t>
                        </m:r>
                        <m:r>
                          <m:t>α</m:t>
                        </m:r>
                        <m:r>
                          <m:rPr>
                            <m:sty m:val="p"/>
                          </m:rPr>
                          <m:t>&lt;</m:t>
                        </m:r>
                        <m:r>
                          <m:t>w</m:t>
                        </m:r>
                        <m:r>
                          <m:rPr>
                            <m:sty m:val="p"/>
                          </m:rPr>
                          <m:t>/</m:t>
                        </m:r>
                        <m:r>
                          <m:t>β</m:t>
                        </m:r>
                      </m:e>
                    </m:mr>
                    <m:mr>
                      <m:e>
                        <m:r>
                          <m:t>0</m:t>
                        </m:r>
                      </m:e>
                      <m:e>
                        <m:r>
                          <m:rPr>
                            <m:nor/>
                            <m:sty m:val="p"/>
                          </m:rPr>
                          <m:t>se </m:t>
                        </m:r>
                        <m:r>
                          <m:t>v</m:t>
                        </m:r>
                        <m:r>
                          <m:rPr>
                            <m:sty m:val="p"/>
                          </m:rPr>
                          <m:t>/</m:t>
                        </m:r>
                        <m:r>
                          <m:t>α</m:t>
                        </m:r>
                        <m:r>
                          <m:rPr>
                            <m:sty m:val="p"/>
                          </m:rPr>
                          <m:t>&gt;</m:t>
                        </m:r>
                        <m:r>
                          <m:t>w</m:t>
                        </m:r>
                        <m:r>
                          <m:rPr>
                            <m:sty m:val="p"/>
                          </m:rPr>
                          <m:t>/</m:t>
                        </m:r>
                        <m:r>
                          <m:t>β</m:t>
                        </m:r>
                      </m:e>
                    </m:mr>
                  </m:m>
                </m:e>
              </m:d>
              <m:r>
                <m:rPr>
                  <m:sty m:val="p"/>
                </m:rPr>
                <m:t>,</m:t>
              </m:r>
              <m:r>
                <m:t>  </m:t>
              </m:r>
              <m:sSup>
                <m:e>
                  <m:r>
                    <m:t>L</m:t>
                  </m:r>
                </m:e>
                <m:sup>
                  <m:r>
                    <m:t>c</m:t>
                  </m:r>
                </m:sup>
              </m:sSup>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se </m:t>
                        </m:r>
                        <m:r>
                          <m:t>v</m:t>
                        </m:r>
                        <m:r>
                          <m:rPr>
                            <m:sty m:val="p"/>
                          </m:rPr>
                          <m:t>/</m:t>
                        </m:r>
                        <m:r>
                          <m:t>α</m:t>
                        </m:r>
                        <m:r>
                          <m:rPr>
                            <m:sty m:val="p"/>
                          </m:rPr>
                          <m:t>&lt;</m:t>
                        </m:r>
                        <m:r>
                          <m:t>w</m:t>
                        </m:r>
                        <m:r>
                          <m:rPr>
                            <m:sty m:val="p"/>
                          </m:rPr>
                          <m:t>/</m:t>
                        </m:r>
                        <m:r>
                          <m:t>β</m:t>
                        </m:r>
                      </m:e>
                    </m:mr>
                    <m:mr>
                      <m:e>
                        <m:r>
                          <m:t>q</m:t>
                        </m:r>
                        <m:r>
                          <m:rPr>
                            <m:sty m:val="p"/>
                          </m:rPr>
                          <m:t>/</m:t>
                        </m:r>
                        <m:r>
                          <m:t>β</m:t>
                        </m:r>
                      </m:e>
                      <m:e>
                        <m:r>
                          <m:rPr>
                            <m:nor/>
                            <m:sty m:val="p"/>
                          </m:rPr>
                          <m:t>se </m:t>
                        </m:r>
                        <m:r>
                          <m:t>v</m:t>
                        </m:r>
                        <m:r>
                          <m:rPr>
                            <m:sty m:val="p"/>
                          </m:rPr>
                          <m:t>/</m:t>
                        </m:r>
                        <m:r>
                          <m:t>α</m:t>
                        </m:r>
                        <m:r>
                          <m:rPr>
                            <m:sty m:val="p"/>
                          </m:rPr>
                          <m:t>&gt;</m:t>
                        </m:r>
                        <m:r>
                          <m:t>w</m:t>
                        </m:r>
                        <m:r>
                          <m:rPr>
                            <m:sty m:val="p"/>
                          </m:rPr>
                          <m:t>/</m:t>
                        </m:r>
                        <m:r>
                          <m:t>β</m:t>
                        </m:r>
                      </m:e>
                    </m:mr>
                  </m:m>
                </m:e>
              </m:d>
            </m:e>
          </m:borderBox>
        </m:oMath>
      </m:oMathPara>
    </w:p>
    <w:p>
      <w:pPr>
        <w:pStyle w:val="FirstParagraph"/>
      </w:pPr>
      <w:r>
        <w:t xml:space="preserve">Se</w:t>
      </w:r>
      <w:r>
        <w:t xml:space="preserve"> </w:t>
      </w:r>
      <m:oMath>
        <m:r>
          <m:t>v</m:t>
        </m:r>
        <m:r>
          <m:rPr>
            <m:sty m:val="p"/>
          </m:rPr>
          <m:t>/</m:t>
        </m:r>
        <m:r>
          <m:t>α</m:t>
        </m:r>
        <m:r>
          <m:rPr>
            <m:sty m:val="p"/>
          </m:rPr>
          <m:t>=</m:t>
        </m:r>
        <m:r>
          <m:t>w</m:t>
        </m:r>
        <m:r>
          <m:rPr>
            <m:sty m:val="p"/>
          </m:rPr>
          <m:t>/</m:t>
        </m:r>
        <m:r>
          <m:t>β</m:t>
        </m:r>
      </m:oMath>
      <w:r>
        <w:t xml:space="preserve">, qualquer combinação sobre a isoquanta é ótima.</w:t>
      </w:r>
    </w:p>
    <w:p>
      <w:pPr>
        <w:pStyle w:val="BodyText"/>
      </w:pPr>
      <w:r>
        <w:rPr>
          <w:b/>
          <w:bCs/>
        </w:rPr>
        <w:t xml:space="preserve">Função custo.</w:t>
      </w:r>
    </w:p>
    <w:p>
      <w:pPr>
        <w:pStyle w:val="BodyText"/>
      </w:pPr>
      <m:oMathPara>
        <m:oMathParaPr>
          <m:jc m:val="center"/>
        </m:oMathParaPr>
        <m:oMath>
          <m:borderBox>
            <m:e>
              <m:r>
                <m:t>C</m:t>
              </m:r>
              <m:r>
                <m:rPr>
                  <m:sty m:val="p"/>
                </m:rPr>
                <m:t>(</m:t>
              </m:r>
              <m:r>
                <m:t>w</m:t>
              </m:r>
              <m:r>
                <m:rPr>
                  <m:sty m:val="p"/>
                </m:rPr>
                <m:t>,</m:t>
              </m:r>
              <m:r>
                <m:t>v</m:t>
              </m:r>
              <m:r>
                <m:rPr>
                  <m:sty m:val="p"/>
                </m:rPr>
                <m:t>,</m:t>
              </m:r>
              <m:r>
                <m:t>q</m:t>
              </m:r>
              <m:r>
                <m:rPr>
                  <m:sty m:val="p"/>
                </m:rPr>
                <m:t>)</m:t>
              </m:r>
              <m:r>
                <m:rPr>
                  <m:sty m:val="p"/>
                </m:rPr>
                <m:t>=</m:t>
              </m:r>
              <m:r>
                <m:t>q</m:t>
              </m:r>
              <m:r>
                <m:rPr>
                  <m:sty m:val="p"/>
                </m:rPr>
                <m:t>⋅</m:t>
              </m:r>
              <m:r>
                <m:rPr>
                  <m:sty m:val="p"/>
                </m:rPr>
                <m:t>min</m:t>
              </m:r>
              <m:d>
                <m:dPr>
                  <m:begChr m:val="{"/>
                  <m:sepChr m:val=""/>
                  <m:endChr m:val="}"/>
                  <m:grow/>
                </m:dPr>
                <m:e>
                  <m:f>
                    <m:fPr>
                      <m:type m:val="bar"/>
                    </m:fPr>
                    <m:num>
                      <m:r>
                        <m:t>v</m:t>
                      </m:r>
                    </m:num>
                    <m:den>
                      <m:r>
                        <m:t>α</m:t>
                      </m:r>
                    </m:den>
                  </m:f>
                  <m:r>
                    <m:rPr>
                      <m:sty m:val="p"/>
                    </m:rPr>
                    <m:t>,</m:t>
                  </m:r>
                  <m:r>
                    <m:t> </m:t>
                  </m:r>
                  <m:f>
                    <m:fPr>
                      <m:type m:val="bar"/>
                    </m:fPr>
                    <m:num>
                      <m:r>
                        <m:t>w</m:t>
                      </m:r>
                    </m:num>
                    <m:den>
                      <m:r>
                        <m:t>β</m:t>
                      </m:r>
                    </m:den>
                  </m:f>
                </m:e>
              </m:d>
            </m:e>
          </m:borderBox>
        </m:oMath>
      </m:oMathPara>
    </w:p>
    <w:p>
      <w:pPr>
        <w:pStyle w:val="FirstParagraph"/>
      </w:pPr>
      <w:r>
        <w:t xml:space="preserve">Os custos são sempre lineares em</w:t>
      </w:r>
      <w:r>
        <w:t xml:space="preserve"> </w:t>
      </w:r>
      <m:oMath>
        <m:r>
          <m:t>q</m:t>
        </m:r>
      </m:oMath>
      <w:r>
        <w:t xml:space="preserve"> </w:t>
      </w:r>
      <w:r>
        <w:t xml:space="preserve">(retornos constantes de escala), com CMg constante igual a</w:t>
      </w:r>
      <w:r>
        <w:t xml:space="preserve"> </w:t>
      </w:r>
      <m:oMath>
        <m:r>
          <m:rPr>
            <m:sty m:val="p"/>
          </m:rPr>
          <m:t>min</m:t>
        </m:r>
        <m:r>
          <m:rPr>
            <m:sty m:val="p"/>
          </m:rPr>
          <m:t>{</m:t>
        </m:r>
        <m:r>
          <m:t>v</m:t>
        </m:r>
        <m:r>
          <m:rPr>
            <m:sty m:val="p"/>
          </m:rPr>
          <m:t>/</m:t>
        </m:r>
        <m:r>
          <m:t>α</m:t>
        </m:r>
        <m:r>
          <m:rPr>
            <m:sty m:val="p"/>
          </m:rPr>
          <m:t>,</m:t>
        </m:r>
        <m:r>
          <m:t>w</m:t>
        </m:r>
        <m:r>
          <m:rPr>
            <m:sty m:val="p"/>
          </m:rPr>
          <m:t>/</m:t>
        </m:r>
        <m:r>
          <m:t>β</m:t>
        </m:r>
        <m:r>
          <m:rPr>
            <m:sty m:val="p"/>
          </m:rPr>
          <m:t>}</m:t>
        </m:r>
      </m:oMath>
      <w:r>
        <w:t xml:space="preserve">.</w:t>
      </w:r>
    </w:p>
    <w:p>
      <w:pPr>
        <w:pStyle w:val="BodyText"/>
      </w:pPr>
      <w:r>
        <w:rPr>
          <w:b/>
          <w:bCs/>
        </w:rPr>
        <w:t xml:space="preserve">Demandas por insumos (maximização de lucro).</w:t>
      </w:r>
      <w:r>
        <w:t xml:space="preserve"> </w:t>
      </w:r>
      <w:r>
        <w:t xml:space="preserve">Com retornos constantes de escala, o lucro é linear em</w:t>
      </w:r>
      <w:r>
        <w:t xml:space="preserve"> </w:t>
      </w:r>
      <m:oMath>
        <m:r>
          <m:t>q</m:t>
        </m:r>
      </m:oMath>
      <w:r>
        <w:t xml:space="preserve">. Se</w:t>
      </w:r>
      <w:r>
        <w:t xml:space="preserve"> </w:t>
      </w:r>
      <m:oMath>
        <m:r>
          <m:t>p</m:t>
        </m:r>
        <m:r>
          <m:rPr>
            <m:sty m:val="p"/>
          </m:rPr>
          <m:t>&gt;</m:t>
        </m:r>
        <m:r>
          <m:rPr>
            <m:sty m:val="p"/>
          </m:rPr>
          <m:t>min</m:t>
        </m:r>
        <m:r>
          <m:rPr>
            <m:sty m:val="p"/>
          </m:rPr>
          <m:t>{</m:t>
        </m:r>
        <m:r>
          <m:t>v</m:t>
        </m:r>
        <m:r>
          <m:rPr>
            <m:sty m:val="p"/>
          </m:rPr>
          <m:t>/</m:t>
        </m:r>
        <m:r>
          <m:t>α</m:t>
        </m:r>
        <m:r>
          <m:rPr>
            <m:sty m:val="p"/>
          </m:rPr>
          <m:t>,</m:t>
        </m:r>
        <m:r>
          <m:t>w</m:t>
        </m:r>
        <m:r>
          <m:rPr>
            <m:sty m:val="p"/>
          </m:rPr>
          <m:t>/</m:t>
        </m:r>
        <m:r>
          <m:t>β</m:t>
        </m:r>
        <m:r>
          <m:rPr>
            <m:sty m:val="p"/>
          </m:rPr>
          <m:t>}</m:t>
        </m:r>
      </m:oMath>
      <w:r>
        <w:t xml:space="preserve">, a firma deseja produzir infinito; se</w:t>
      </w:r>
      <w:r>
        <w:t xml:space="preserve"> </w:t>
      </w:r>
      <m:oMath>
        <m:r>
          <m:t>p</m:t>
        </m:r>
        <m:r>
          <m:rPr>
            <m:sty m:val="p"/>
          </m:rPr>
          <m:t>&lt;</m:t>
        </m:r>
        <m:r>
          <m:rPr>
            <m:sty m:val="p"/>
          </m:rPr>
          <m:t>min</m:t>
        </m:r>
        <m:r>
          <m:rPr>
            <m:sty m:val="p"/>
          </m:rPr>
          <m:t>{</m:t>
        </m:r>
        <m:r>
          <m:t>v</m:t>
        </m:r>
        <m:r>
          <m:rPr>
            <m:sty m:val="p"/>
          </m:rPr>
          <m:t>/</m:t>
        </m:r>
        <m:r>
          <m:t>α</m:t>
        </m:r>
        <m:r>
          <m:rPr>
            <m:sty m:val="p"/>
          </m:rPr>
          <m:t>,</m:t>
        </m:r>
        <m:r>
          <m:t>w</m:t>
        </m:r>
        <m:r>
          <m:rPr>
            <m:sty m:val="p"/>
          </m:rPr>
          <m:t>/</m:t>
        </m:r>
        <m:r>
          <m:t>β</m:t>
        </m:r>
        <m:r>
          <m:rPr>
            <m:sty m:val="p"/>
          </m:rPr>
          <m:t>}</m:t>
        </m:r>
      </m:oMath>
      <w:r>
        <w:t xml:space="preserve">, a firma produz zero. O problema de maximização de lucro só tem solução interior com rendimentos decrescentes.</w:t>
      </w:r>
    </w:p>
    <w:bookmarkEnd w:id="726"/>
    <w:bookmarkStart w:id="727" w:name="Xef812facfc6f2e65104597048f37577a9b5566d"/>
    <w:p>
      <w:pPr>
        <w:pStyle w:val="Heading4"/>
      </w:pPr>
      <w:r>
        <w:t xml:space="preserve">11.8.3 Tecnologia Leontief (Proporções Fixas): q = min{K/α, L/β}</w:t>
      </w:r>
    </w:p>
    <w:p>
      <w:pPr>
        <w:pStyle w:val="FirstParagraph"/>
      </w:pPr>
      <w:r>
        <w:t xml:space="preserve">Com tecnologia Leontief, os insumos são usados em proporções fixas</w:t>
      </w:r>
      <w:r>
        <w:t xml:space="preserve"> </w:t>
      </w:r>
      <m:oMath>
        <m:r>
          <m:t>α</m:t>
        </m:r>
        <m:r>
          <m:rPr>
            <m:sty m:val="p"/>
          </m:rPr>
          <m:t>:</m:t>
        </m:r>
        <m:r>
          <m:t>β</m:t>
        </m:r>
      </m:oMath>
      <w:r>
        <w:t xml:space="preserve">. As isoquantas têm formato de</w:t>
      </w:r>
      <w:r>
        <w:t xml:space="preserve"> </w:t>
      </w:r>
      <w:r>
        <w:t xml:space="preserve">“L”</w:t>
      </w:r>
      <w:r>
        <w:t xml:space="preserve">.</w:t>
      </w:r>
    </w:p>
    <w:p>
      <w:pPr>
        <w:pStyle w:val="BodyText"/>
      </w:pPr>
      <w:r>
        <w:rPr>
          <w:b/>
          <w:bCs/>
        </w:rPr>
        <w:t xml:space="preserve">Demandas condicionais.</w:t>
      </w:r>
      <w:r>
        <w:t xml:space="preserve"> </w:t>
      </w:r>
      <w:r>
        <w:t xml:space="preserve">No ótimo, a firma opera no vértice da isoquanta:</w:t>
      </w:r>
      <w:r>
        <w:t xml:space="preserve"> </w:t>
      </w:r>
      <m:oMath>
        <m:r>
          <m:t>K</m:t>
        </m:r>
        <m:r>
          <m:rPr>
            <m:sty m:val="p"/>
          </m:rPr>
          <m:t>/</m:t>
        </m:r>
        <m:r>
          <m:t>α</m:t>
        </m:r>
        <m:r>
          <m:rPr>
            <m:sty m:val="p"/>
          </m:rPr>
          <m:t>=</m:t>
        </m:r>
        <m:r>
          <m:t>L</m:t>
        </m:r>
        <m:r>
          <m:rPr>
            <m:sty m:val="p"/>
          </m:rPr>
          <m:t>/</m:t>
        </m:r>
        <m:r>
          <m:t>β</m:t>
        </m:r>
        <m:r>
          <m:rPr>
            <m:sty m:val="p"/>
          </m:rPr>
          <m:t>=</m:t>
        </m:r>
        <m:r>
          <m:t>q</m:t>
        </m:r>
      </m:oMath>
      <w:r>
        <w:t xml:space="preserve">. Qualquer outro ponto desperdiça insumos. Portanto:</w:t>
      </w:r>
    </w:p>
    <w:p>
      <w:pPr>
        <w:pStyle w:val="BodyText"/>
      </w:pPr>
      <m:oMathPara>
        <m:oMathParaPr>
          <m:jc m:val="center"/>
        </m:oMathParaPr>
        <m:oMath>
          <m:borderBox>
            <m:e>
              <m:sSup>
                <m:e>
                  <m:r>
                    <m:t>K</m:t>
                  </m:r>
                </m:e>
                <m:sup>
                  <m:r>
                    <m:t>c</m:t>
                  </m:r>
                </m:sup>
              </m:sSup>
              <m:r>
                <m:rPr>
                  <m:sty m:val="p"/>
                </m:rPr>
                <m:t>=</m:t>
              </m:r>
              <m:r>
                <m:t>α</m:t>
              </m:r>
              <m:r>
                <m:t> </m:t>
              </m:r>
              <m:r>
                <m:t>q</m:t>
              </m:r>
              <m:r>
                <m:rPr>
                  <m:sty m:val="p"/>
                </m:rPr>
                <m:t>,</m:t>
              </m:r>
              <m:r>
                <m:t>  </m:t>
              </m:r>
              <m:sSup>
                <m:e>
                  <m:r>
                    <m:t>L</m:t>
                  </m:r>
                </m:e>
                <m:sup>
                  <m:r>
                    <m:t>c</m:t>
                  </m:r>
                </m:sup>
              </m:sSup>
              <m:r>
                <m:rPr>
                  <m:sty m:val="p"/>
                </m:rPr>
                <m:t>=</m:t>
              </m:r>
              <m:r>
                <m:t>β</m:t>
              </m:r>
              <m:r>
                <m:t> </m:t>
              </m:r>
              <m:r>
                <m:t>q</m:t>
              </m:r>
            </m:e>
          </m:borderBox>
        </m:oMath>
      </m:oMathPara>
    </w:p>
    <w:p>
      <w:pPr>
        <w:pStyle w:val="FirstParagraph"/>
      </w:pPr>
      <w:r>
        <w:t xml:space="preserve">As demandas condicionais são</w:t>
      </w:r>
      <w:r>
        <w:t xml:space="preserve"> </w:t>
      </w:r>
      <w:r>
        <w:rPr>
          <w:b/>
          <w:bCs/>
        </w:rPr>
        <w:t xml:space="preserve">independentes dos preços dos insumos</w:t>
      </w:r>
      <w:r>
        <w:t xml:space="preserve"> </w:t>
      </w:r>
      <w:r>
        <w:t xml:space="preserve">— não há margem para substituição.</w:t>
      </w:r>
    </w:p>
    <w:p>
      <w:pPr>
        <w:pStyle w:val="BodyText"/>
      </w:pPr>
      <w:r>
        <w:rPr>
          <w:b/>
          <w:bCs/>
        </w:rPr>
        <w:t xml:space="preserve">Função custo.</w:t>
      </w:r>
    </w:p>
    <w:p>
      <w:pPr>
        <w:pStyle w:val="BodyText"/>
      </w:pPr>
      <m:oMathPara>
        <m:oMathParaPr>
          <m:jc m:val="center"/>
        </m:oMathParaPr>
        <m:oMath>
          <m:borderBox>
            <m:e>
              <m:r>
                <m:t>C</m:t>
              </m:r>
              <m:r>
                <m:rPr>
                  <m:sty m:val="p"/>
                </m:rPr>
                <m:t>(</m:t>
              </m:r>
              <m:r>
                <m:t>w</m:t>
              </m:r>
              <m:r>
                <m:rPr>
                  <m:sty m:val="p"/>
                </m:rPr>
                <m:t>,</m:t>
              </m:r>
              <m:r>
                <m:t>v</m:t>
              </m:r>
              <m:r>
                <m:rPr>
                  <m:sty m:val="p"/>
                </m:rPr>
                <m:t>,</m:t>
              </m:r>
              <m:r>
                <m:t>q</m:t>
              </m:r>
              <m:r>
                <m:rPr>
                  <m:sty m:val="p"/>
                </m:rPr>
                <m:t>)</m:t>
              </m:r>
              <m:r>
                <m:rPr>
                  <m:sty m:val="p"/>
                </m:rPr>
                <m:t>=</m:t>
              </m:r>
              <m:r>
                <m:rPr>
                  <m:sty m:val="p"/>
                </m:rPr>
                <m:t>(</m:t>
              </m:r>
              <m:r>
                <m:t>α</m:t>
              </m:r>
              <m:r>
                <m:t> </m:t>
              </m:r>
              <m:r>
                <m:t>v</m:t>
              </m:r>
              <m:r>
                <m:rPr>
                  <m:sty m:val="p"/>
                </m:rPr>
                <m:t>+</m:t>
              </m:r>
              <m:r>
                <m:t>β</m:t>
              </m:r>
              <m:r>
                <m:t> </m:t>
              </m:r>
              <m:r>
                <m:t>w</m:t>
              </m:r>
              <m:r>
                <m:rPr>
                  <m:sty m:val="p"/>
                </m:rPr>
                <m:t>)</m:t>
              </m:r>
              <m:r>
                <m:t> </m:t>
              </m:r>
              <m:r>
                <m:t>q</m:t>
              </m:r>
            </m:e>
          </m:borderBox>
        </m:oMath>
      </m:oMathPara>
    </w:p>
    <w:p>
      <w:pPr>
        <w:pStyle w:val="FirstParagraph"/>
      </w:pPr>
      <w:r>
        <w:t xml:space="preserve">O custo é linear em</w:t>
      </w:r>
      <w:r>
        <w:t xml:space="preserve"> </w:t>
      </w:r>
      <m:oMath>
        <m:r>
          <m:t>q</m:t>
        </m:r>
      </m:oMath>
      <w:r>
        <w:t xml:space="preserve">, com CMg constante igual a</w:t>
      </w:r>
      <w:r>
        <w:t xml:space="preserve"> </w:t>
      </w:r>
      <m:oMath>
        <m:r>
          <m:t>α</m:t>
        </m:r>
        <m:r>
          <m:t>v</m:t>
        </m:r>
        <m:r>
          <m:rPr>
            <m:sty m:val="p"/>
          </m:rPr>
          <m:t>+</m:t>
        </m:r>
        <m:r>
          <m:t>β</m:t>
        </m:r>
        <m:r>
          <m:t>w</m:t>
        </m:r>
      </m:oMath>
      <w:r>
        <w:t xml:space="preserve">. Uma mudança nos preços dos insumos desloca a curva de CMg paralelamente, mas não altera a combinação de insumos.</w:t>
      </w:r>
    </w:p>
    <w:p>
      <w:pPr>
        <w:pStyle w:val="BodyText"/>
      </w:pPr>
      <w:r>
        <w:rPr>
          <w:b/>
          <w:bCs/>
        </w:rPr>
        <w:t xml:space="preserve">Demandas por insumos (maximização de lucro).</w:t>
      </w:r>
      <w:r>
        <w:t xml:space="preserve"> </w:t>
      </w:r>
      <w:r>
        <w:t xml:space="preserve">Com retornos constantes, valem as mesmas considerações do caso linear: o problema só tem solução finita se</w:t>
      </w:r>
      <w:r>
        <w:t xml:space="preserve"> </w:t>
      </w:r>
      <m:oMath>
        <m:r>
          <m:t>p</m:t>
        </m:r>
        <m:r>
          <m:rPr>
            <m:sty m:val="p"/>
          </m:rPr>
          <m:t>=</m:t>
        </m:r>
        <m:r>
          <m:t>α</m:t>
        </m:r>
        <m:r>
          <m:t>v</m:t>
        </m:r>
        <m:r>
          <m:rPr>
            <m:sty m:val="p"/>
          </m:rPr>
          <m:t>+</m:t>
        </m:r>
        <m:r>
          <m:t>β</m:t>
        </m:r>
        <m:r>
          <m:t>w</m:t>
        </m:r>
      </m:oMath>
      <w:r>
        <w:t xml:space="preserve">. Para ter solução interior, seriam necessários retornos decrescentes, por exemplo,</w:t>
      </w:r>
      <w:r>
        <w:t xml:space="preserve"> </w:t>
      </w:r>
      <m:oMath>
        <m:r>
          <m:t>q</m:t>
        </m:r>
        <m:r>
          <m:rPr>
            <m:sty m:val="p"/>
          </m:rPr>
          <m:t>=</m:t>
        </m:r>
        <m:r>
          <m:rPr>
            <m:sty m:val="p"/>
          </m:rPr>
          <m:t>[</m:t>
        </m:r>
        <m:r>
          <m:rPr>
            <m:sty m:val="p"/>
          </m:rPr>
          <m:t>min</m:t>
        </m:r>
        <m:r>
          <m:rPr>
            <m:sty m:val="p"/>
          </m:rPr>
          <m:t>{</m:t>
        </m:r>
        <m:r>
          <m:t>K</m:t>
        </m:r>
        <m:r>
          <m:rPr>
            <m:sty m:val="p"/>
          </m:rPr>
          <m:t>/</m:t>
        </m:r>
        <m:r>
          <m:t>α</m:t>
        </m:r>
        <m:r>
          <m:rPr>
            <m:sty m:val="p"/>
          </m:rPr>
          <m:t>,</m:t>
        </m:r>
        <m:r>
          <m:t>L</m:t>
        </m:r>
        <m:r>
          <m:rPr>
            <m:sty m:val="p"/>
          </m:rPr>
          <m:t>/</m:t>
        </m:r>
        <m:r>
          <m:t>β</m:t>
        </m:r>
        <m:r>
          <m:rPr>
            <m:sty m:val="p"/>
          </m:rPr>
          <m:t>}</m:t>
        </m:r>
        <m:sSup>
          <m:e>
            <m:r>
              <m:rPr>
                <m:sty m:val="p"/>
              </m:rPr>
              <m:t>]</m:t>
            </m:r>
          </m:e>
          <m:sup>
            <m:r>
              <m:t>γ</m:t>
            </m:r>
          </m:sup>
        </m:sSup>
      </m:oMath>
      <w:r>
        <w:t xml:space="preserve"> </w:t>
      </w:r>
      <w:r>
        <w:t xml:space="preserve">com</w:t>
      </w:r>
      <w:r>
        <w:t xml:space="preserve"> </w:t>
      </w:r>
      <m:oMath>
        <m:r>
          <m:t>γ</m:t>
        </m:r>
        <m:r>
          <m:rPr>
            <m:sty m:val="p"/>
          </m:rPr>
          <m:t>&lt;</m:t>
        </m:r>
        <m:r>
          <m:t>1</m:t>
        </m:r>
      </m:oMath>
      <w:r>
        <w:t xml:space="preserve">.</w:t>
      </w:r>
    </w:p>
    <w:bookmarkEnd w:id="727"/>
    <w:bookmarkStart w:id="728" w:name="ces-q-αkᵖ-βlᵖ¹ᐟᵖ"/>
    <w:p>
      <w:pPr>
        <w:pStyle w:val="Heading4"/>
      </w:pPr>
      <w:r>
        <w:t xml:space="preserve">11.8.4 CES: q = (αKᵖ + βLᵖ)¹ᐟᵖ</w:t>
      </w:r>
    </w:p>
    <w:p>
      <w:pPr>
        <w:pStyle w:val="FirstParagraph"/>
      </w:pPr>
      <w:r>
        <w:t xml:space="preserve">A função CES generaliza os três casos anteriores. O parâmetro</w:t>
      </w:r>
      <w:r>
        <w:t xml:space="preserve"> </w:t>
      </w:r>
      <m:oMath>
        <m:r>
          <m:t>ρ</m:t>
        </m:r>
      </m:oMath>
      <w:r>
        <w:t xml:space="preserve"> </w:t>
      </w:r>
      <w:r>
        <w:t xml:space="preserve">determina a elasticidade de substituição entre insumos:</w:t>
      </w:r>
      <w:r>
        <w:t xml:space="preserve"> </w:t>
      </w:r>
      <m:oMath>
        <m:r>
          <m:t>σ</m:t>
        </m:r>
        <m:r>
          <m:rPr>
            <m:sty m:val="p"/>
          </m:rPr>
          <m:t>=</m:t>
        </m:r>
        <m:r>
          <m:t>1</m:t>
        </m:r>
        <m:r>
          <m:rPr>
            <m:sty m:val="p"/>
          </m:rPr>
          <m:t>/</m:t>
        </m:r>
        <m:r>
          <m:rPr>
            <m:sty m:val="p"/>
          </m:rPr>
          <m:t>(</m:t>
        </m:r>
        <m:r>
          <m:t>1</m:t>
        </m:r>
        <m:r>
          <m:rPr>
            <m:sty m:val="p"/>
          </m:rPr>
          <m:t>−</m:t>
        </m:r>
        <m:r>
          <m:t>ρ</m:t>
        </m:r>
        <m:r>
          <m:rPr>
            <m:sty m:val="p"/>
          </m:rPr>
          <m:t>)</m:t>
        </m:r>
      </m:oMath>
      <w:r>
        <w:t xml:space="preserve">.</w:t>
      </w:r>
    </w:p>
    <w:p>
      <w:pPr>
        <w:pStyle w:val="BodyText"/>
      </w:pPr>
      <w:r>
        <w:rPr>
          <w:b/>
          <w:bCs/>
        </w:rPr>
        <w:t xml:space="preserve">Demandas condicionais.</w:t>
      </w:r>
      <w:r>
        <w:t xml:space="preserve"> </w:t>
      </w:r>
      <w:r>
        <w:t xml:space="preserve">A firma resolve:</w:t>
      </w:r>
    </w:p>
    <w:p>
      <w:pPr>
        <w:pStyle w:val="BodyText"/>
      </w:pPr>
      <m:oMathPara>
        <m:oMathParaPr>
          <m:jc m:val="center"/>
        </m:oMathParaPr>
        <m:oMath>
          <m:limLow>
            <m:e>
              <m:r>
                <m:rPr>
                  <m:sty m:val="p"/>
                </m:rPr>
                <m:t>min</m:t>
              </m:r>
            </m:e>
            <m:lim>
              <m:r>
                <m:t>K</m:t>
              </m:r>
              <m:r>
                <m:rPr>
                  <m:sty m:val="p"/>
                </m:rPr>
                <m:t>,</m:t>
              </m:r>
              <m:r>
                <m:t>L</m:t>
              </m:r>
            </m:lim>
          </m:limLow>
          <m:r>
            <m:t> </m:t>
          </m:r>
          <m:r>
            <m:t>v</m:t>
          </m:r>
          <m:r>
            <m:t>K</m:t>
          </m:r>
          <m:r>
            <m:rPr>
              <m:sty m:val="p"/>
            </m:rPr>
            <m:t>+</m:t>
          </m:r>
          <m:r>
            <m:t>w</m:t>
          </m:r>
          <m:r>
            <m:t>L</m:t>
          </m:r>
          <m:r>
            <m:t> </m:t>
          </m:r>
          <m:r>
            <m:rPr>
              <m:nor/>
              <m:sty m:val="p"/>
            </m:rPr>
            <m:t>s.a.</m:t>
          </m:r>
          <m:r>
            <m:t> </m:t>
          </m:r>
          <m:r>
            <m:rPr>
              <m:sty m:val="p"/>
            </m:rPr>
            <m:t>(</m:t>
          </m:r>
          <m:r>
            <m:t>α</m:t>
          </m:r>
          <m:sSup>
            <m:e>
              <m:r>
                <m:t>K</m:t>
              </m:r>
            </m:e>
            <m:sup>
              <m:r>
                <m:t>ρ</m:t>
              </m:r>
            </m:sup>
          </m:sSup>
          <m:r>
            <m:rPr>
              <m:sty m:val="p"/>
            </m:rPr>
            <m:t>+</m:t>
          </m:r>
          <m:r>
            <m:t>β</m:t>
          </m:r>
          <m:sSup>
            <m:e>
              <m:r>
                <m:t>L</m:t>
              </m:r>
            </m:e>
            <m:sup>
              <m:r>
                <m:t>ρ</m:t>
              </m:r>
            </m:sup>
          </m:sSup>
          <m:sSup>
            <m:e>
              <m:r>
                <m:rPr>
                  <m:sty m:val="p"/>
                </m:rPr>
                <m:t>)</m:t>
              </m:r>
            </m:e>
            <m:sup>
              <m:r>
                <m:t>1</m:t>
              </m:r>
              <m:r>
                <m:rPr>
                  <m:sty m:val="p"/>
                </m:rPr>
                <m:t>/</m:t>
              </m:r>
              <m:r>
                <m:t>ρ</m:t>
              </m:r>
            </m:sup>
          </m:sSup>
          <m:r>
            <m:rPr>
              <m:sty m:val="p"/>
            </m:rPr>
            <m:t>=</m:t>
          </m:r>
          <m:r>
            <m:t>q</m:t>
          </m:r>
        </m:oMath>
      </m:oMathPara>
    </w:p>
    <w:p>
      <w:pPr>
        <w:pStyle w:val="FirstParagraph"/>
      </w:pPr>
      <w:r>
        <w:t xml:space="preserve">O Lagrangeano é</w:t>
      </w:r>
      <w:r>
        <w:t xml:space="preserve"> </w:t>
      </w:r>
      <m:oMath>
        <m:r>
          <m:rPr>
            <m:scr m:val="script"/>
            <m:sty m:val="p"/>
          </m:rPr>
          <m:t>L</m:t>
        </m:r>
        <m:r>
          <m:rPr>
            <m:sty m:val="p"/>
          </m:rPr>
          <m:t>=</m:t>
        </m:r>
        <m:r>
          <m:t>v</m:t>
        </m:r>
        <m:r>
          <m:t>K</m:t>
        </m:r>
        <m:r>
          <m:rPr>
            <m:sty m:val="p"/>
          </m:rPr>
          <m:t>+</m:t>
        </m:r>
        <m:r>
          <m:t>w</m:t>
        </m:r>
        <m:r>
          <m:t>L</m:t>
        </m:r>
        <m:r>
          <m:rPr>
            <m:sty m:val="p"/>
          </m:rPr>
          <m:t>+</m:t>
        </m:r>
        <m:r>
          <m:t>λ</m:t>
        </m:r>
        <m:r>
          <m:rPr>
            <m:sty m:val="p"/>
          </m:rPr>
          <m:t>[</m:t>
        </m:r>
        <m:r>
          <m:t>q</m:t>
        </m:r>
        <m:r>
          <m:rPr>
            <m:sty m:val="p"/>
          </m:rPr>
          <m:t>−</m:t>
        </m:r>
        <m:r>
          <m:rPr>
            <m:sty m:val="p"/>
          </m:rPr>
          <m:t>(</m:t>
        </m:r>
        <m:r>
          <m:t>α</m:t>
        </m:r>
        <m:sSup>
          <m:e>
            <m:r>
              <m:t>K</m:t>
            </m:r>
          </m:e>
          <m:sup>
            <m:r>
              <m:t>ρ</m:t>
            </m:r>
          </m:sup>
        </m:sSup>
        <m:r>
          <m:rPr>
            <m:sty m:val="p"/>
          </m:rPr>
          <m:t>+</m:t>
        </m:r>
        <m:r>
          <m:t>β</m:t>
        </m:r>
        <m:sSup>
          <m:e>
            <m:r>
              <m:t>L</m:t>
            </m:r>
          </m:e>
          <m:sup>
            <m:r>
              <m:t>ρ</m:t>
            </m:r>
          </m:sup>
        </m:sSup>
        <m:sSup>
          <m:e>
            <m:r>
              <m:rPr>
                <m:sty m:val="p"/>
              </m:rPr>
              <m:t>)</m:t>
            </m:r>
          </m:e>
          <m:sup>
            <m:r>
              <m:t>1</m:t>
            </m:r>
            <m:r>
              <m:rPr>
                <m:sty m:val="p"/>
              </m:rPr>
              <m:t>/</m:t>
            </m:r>
            <m:r>
              <m:t>ρ</m:t>
            </m:r>
          </m:sup>
        </m:sSup>
        <m:r>
          <m:rPr>
            <m:sty m:val="p"/>
          </m:rPr>
          <m:t>]</m:t>
        </m:r>
      </m:oMath>
      <w:r>
        <w:t xml:space="preserve">. As CPOs, após simplificação, fornecem:</w:t>
      </w:r>
    </w:p>
    <w:p>
      <w:pPr>
        <w:pStyle w:val="BodyText"/>
      </w:pPr>
      <m:oMathPara>
        <m:oMathParaPr>
          <m:jc m:val="center"/>
        </m:oMathParaPr>
        <m:oMath>
          <m:f>
            <m:fPr>
              <m:type m:val="bar"/>
            </m:fPr>
            <m:num>
              <m:r>
                <m:t>v</m:t>
              </m:r>
            </m:num>
            <m:den>
              <m:r>
                <m:t>w</m:t>
              </m:r>
            </m:den>
          </m:f>
          <m:r>
            <m:rPr>
              <m:sty m:val="p"/>
            </m:rPr>
            <m:t>=</m:t>
          </m:r>
          <m:f>
            <m:fPr>
              <m:type m:val="bar"/>
            </m:fPr>
            <m:num>
              <m:r>
                <m:t>α</m:t>
              </m:r>
              <m:sSup>
                <m:e>
                  <m:r>
                    <m:t>K</m:t>
                  </m:r>
                </m:e>
                <m:sup>
                  <m:r>
                    <m:t>ρ</m:t>
                  </m:r>
                  <m:r>
                    <m:rPr>
                      <m:sty m:val="p"/>
                    </m:rPr>
                    <m:t>−</m:t>
                  </m:r>
                  <m:r>
                    <m:t>1</m:t>
                  </m:r>
                </m:sup>
              </m:sSup>
            </m:num>
            <m:den>
              <m:r>
                <m:t>β</m:t>
              </m:r>
              <m:sSup>
                <m:e>
                  <m:r>
                    <m:t>L</m:t>
                  </m:r>
                </m:e>
                <m:sup>
                  <m:r>
                    <m:t>ρ</m:t>
                  </m:r>
                  <m:r>
                    <m:rPr>
                      <m:sty m:val="p"/>
                    </m:rPr>
                    <m:t>−</m:t>
                  </m:r>
                  <m:r>
                    <m:t>1</m:t>
                  </m:r>
                </m:sup>
              </m:sSup>
            </m:den>
          </m:f>
          <m:r>
            <m:t> </m:t>
          </m:r>
          <m:r>
            <m:rPr>
              <m:sty m:val="p"/>
            </m:rPr>
            <m:t>⇒</m:t>
          </m:r>
          <m:r>
            <m:t> </m:t>
          </m:r>
          <m:f>
            <m:fPr>
              <m:type m:val="bar"/>
            </m:fPr>
            <m:num>
              <m:r>
                <m:t>K</m:t>
              </m:r>
            </m:num>
            <m:den>
              <m:r>
                <m:t>L</m:t>
              </m:r>
            </m:den>
          </m:f>
          <m:r>
            <m:rPr>
              <m:sty m:val="p"/>
            </m:rPr>
            <m:t>=</m:t>
          </m:r>
          <m:sSup>
            <m:e>
              <m:d>
                <m:dPr>
                  <m:begChr m:val="("/>
                  <m:sepChr m:val=""/>
                  <m:endChr m:val=")"/>
                  <m:grow/>
                </m:dPr>
                <m:e>
                  <m:f>
                    <m:fPr>
                      <m:type m:val="bar"/>
                    </m:fPr>
                    <m:num>
                      <m:r>
                        <m:t>α</m:t>
                      </m:r>
                      <m:r>
                        <m:t> </m:t>
                      </m:r>
                      <m:r>
                        <m:t>w</m:t>
                      </m:r>
                    </m:num>
                    <m:den>
                      <m:r>
                        <m:t>β</m:t>
                      </m:r>
                      <m:r>
                        <m:t> </m:t>
                      </m:r>
                      <m:r>
                        <m:t>v</m:t>
                      </m:r>
                    </m:den>
                  </m:f>
                </m:e>
              </m:d>
            </m:e>
            <m:sup>
              <m:r>
                <m:t>σ</m:t>
              </m:r>
            </m:sup>
          </m:sSup>
        </m:oMath>
      </m:oMathPara>
    </w:p>
    <w:p>
      <w:pPr>
        <w:pStyle w:val="FirstParagraph"/>
      </w:pPr>
      <w:r>
        <w:t xml:space="preserve">Definimos o</w:t>
      </w:r>
      <w:r>
        <w:t xml:space="preserve"> </w:t>
      </w:r>
      <w:r>
        <w:rPr>
          <w:b/>
          <w:bCs/>
        </w:rPr>
        <w:t xml:space="preserve">índice de preços de insumos CES</w:t>
      </w:r>
      <w:r>
        <w:t xml:space="preserve">:</w:t>
      </w:r>
    </w:p>
    <w:p>
      <w:pPr>
        <w:pStyle w:val="BodyText"/>
      </w:pPr>
      <m:oMathPara>
        <m:oMathParaPr>
          <m:jc m:val="center"/>
        </m:oMathParaPr>
        <m:oMath>
          <m:r>
            <m:t>W</m:t>
          </m:r>
          <m:r>
            <m:rPr>
              <m:sty m:val="p"/>
            </m:rPr>
            <m:t>≡</m:t>
          </m:r>
          <m:sSup>
            <m:e>
              <m:d>
                <m:dPr>
                  <m:begChr m:val="("/>
                  <m:sepChr m:val=""/>
                  <m:endChr m:val=")"/>
                  <m:grow/>
                </m:dPr>
                <m:e>
                  <m:sSup>
                    <m:e>
                      <m:r>
                        <m:t>α</m:t>
                      </m:r>
                    </m:e>
                    <m:sup>
                      <m:r>
                        <m:t>σ</m:t>
                      </m:r>
                    </m:sup>
                  </m:sSup>
                  <m:r>
                    <m:t> </m:t>
                  </m:r>
                  <m:sSup>
                    <m:e>
                      <m:r>
                        <m:t>v</m:t>
                      </m:r>
                    </m:e>
                    <m:sup>
                      <m:r>
                        <m:t>1</m:t>
                      </m:r>
                      <m:r>
                        <m:rPr>
                          <m:sty m:val="p"/>
                        </m:rPr>
                        <m:t>−</m:t>
                      </m:r>
                      <m:r>
                        <m:t>σ</m:t>
                      </m:r>
                    </m:sup>
                  </m:sSup>
                  <m:r>
                    <m:rPr>
                      <m:sty m:val="p"/>
                    </m:rPr>
                    <m:t>+</m:t>
                  </m:r>
                  <m:sSup>
                    <m:e>
                      <m:r>
                        <m:t>β</m:t>
                      </m:r>
                    </m:e>
                    <m:sup>
                      <m:r>
                        <m:t>σ</m:t>
                      </m:r>
                    </m:sup>
                  </m:sSup>
                  <m:r>
                    <m:t> </m:t>
                  </m:r>
                  <m:sSup>
                    <m:e>
                      <m:r>
                        <m:t>w</m:t>
                      </m:r>
                    </m:e>
                    <m:sup>
                      <m:r>
                        <m:t>1</m:t>
                      </m:r>
                      <m:r>
                        <m:rPr>
                          <m:sty m:val="p"/>
                        </m:rPr>
                        <m:t>−</m:t>
                      </m:r>
                      <m:r>
                        <m:t>σ</m:t>
                      </m:r>
                    </m:sup>
                  </m:sSup>
                </m:e>
              </m:d>
            </m:e>
            <m:sup>
              <m:r>
                <m:t>1</m:t>
              </m:r>
              <m:r>
                <m:rPr>
                  <m:sty m:val="p"/>
                </m:rPr>
                <m:t>/</m:t>
              </m:r>
              <m:r>
                <m:rPr>
                  <m:sty m:val="p"/>
                </m:rPr>
                <m:t>(</m:t>
              </m:r>
              <m:r>
                <m:t>1</m:t>
              </m:r>
              <m:r>
                <m:rPr>
                  <m:sty m:val="p"/>
                </m:rPr>
                <m:t>−</m:t>
              </m:r>
              <m:r>
                <m:t>σ</m:t>
              </m:r>
              <m:r>
                <m:rPr>
                  <m:sty m:val="p"/>
                </m:rPr>
                <m:t>)</m:t>
              </m:r>
            </m:sup>
          </m:sSup>
        </m:oMath>
      </m:oMathPara>
    </w:p>
    <w:p>
      <w:pPr>
        <w:pStyle w:val="FirstParagraph"/>
      </w:pPr>
      <w:r>
        <w:t xml:space="preserve">As demandas condicionais ficam:</w:t>
      </w:r>
    </w:p>
    <w:p>
      <w:pPr>
        <w:pStyle w:val="BodyText"/>
      </w:pPr>
      <m:oMathPara>
        <m:oMathParaPr>
          <m:jc m:val="center"/>
        </m:oMathParaPr>
        <m:oMath>
          <m:borderBox>
            <m:e>
              <m:sSup>
                <m:e>
                  <m:r>
                    <m:t>K</m:t>
                  </m:r>
                </m:e>
                <m:sup>
                  <m:r>
                    <m:t>c</m:t>
                  </m:r>
                </m:sup>
              </m:sSup>
              <m:r>
                <m:rPr>
                  <m:sty m:val="p"/>
                </m:rPr>
                <m:t>=</m:t>
              </m:r>
              <m:sSup>
                <m:e>
                  <m:r>
                    <m:t>α</m:t>
                  </m:r>
                </m:e>
                <m:sup>
                  <m:r>
                    <m:t>σ</m:t>
                  </m:r>
                </m:sup>
              </m:sSup>
              <m:r>
                <m:t> </m:t>
              </m:r>
              <m:sSup>
                <m:e>
                  <m:r>
                    <m:t>v</m:t>
                  </m:r>
                </m:e>
                <m:sup>
                  <m:r>
                    <m:rPr>
                      <m:sty m:val="p"/>
                    </m:rPr>
                    <m:t>−</m:t>
                  </m:r>
                  <m:r>
                    <m:t>σ</m:t>
                  </m:r>
                </m:sup>
              </m:sSup>
              <m:r>
                <m:t> </m:t>
              </m:r>
              <m:sSup>
                <m:e>
                  <m:r>
                    <m:t>W</m:t>
                  </m:r>
                </m:e>
                <m:sup>
                  <m:r>
                    <m:t>σ</m:t>
                  </m:r>
                  <m:r>
                    <m:rPr>
                      <m:sty m:val="p"/>
                    </m:rPr>
                    <m:t>−</m:t>
                  </m:r>
                  <m:r>
                    <m:t>1</m:t>
                  </m:r>
                </m:sup>
              </m:sSup>
              <m:r>
                <m:t> </m:t>
              </m:r>
              <m:r>
                <m:t>q</m:t>
              </m:r>
              <m:r>
                <m:rPr>
                  <m:sty m:val="p"/>
                </m:rPr>
                <m:t>,</m:t>
              </m:r>
              <m:r>
                <m:t>  </m:t>
              </m:r>
              <m:sSup>
                <m:e>
                  <m:r>
                    <m:t>L</m:t>
                  </m:r>
                </m:e>
                <m:sup>
                  <m:r>
                    <m:t>c</m:t>
                  </m:r>
                </m:sup>
              </m:sSup>
              <m:r>
                <m:rPr>
                  <m:sty m:val="p"/>
                </m:rPr>
                <m:t>=</m:t>
              </m:r>
              <m:sSup>
                <m:e>
                  <m:r>
                    <m:t>β</m:t>
                  </m:r>
                </m:e>
                <m:sup>
                  <m:r>
                    <m:t>σ</m:t>
                  </m:r>
                </m:sup>
              </m:sSup>
              <m:r>
                <m:t> </m:t>
              </m:r>
              <m:sSup>
                <m:e>
                  <m:r>
                    <m:t>w</m:t>
                  </m:r>
                </m:e>
                <m:sup>
                  <m:r>
                    <m:rPr>
                      <m:sty m:val="p"/>
                    </m:rPr>
                    <m:t>−</m:t>
                  </m:r>
                  <m:r>
                    <m:t>σ</m:t>
                  </m:r>
                </m:sup>
              </m:sSup>
              <m:r>
                <m:t> </m:t>
              </m:r>
              <m:sSup>
                <m:e>
                  <m:r>
                    <m:t>W</m:t>
                  </m:r>
                </m:e>
                <m:sup>
                  <m:r>
                    <m:t>σ</m:t>
                  </m:r>
                  <m:r>
                    <m:rPr>
                      <m:sty m:val="p"/>
                    </m:rPr>
                    <m:t>−</m:t>
                  </m:r>
                  <m:r>
                    <m:t>1</m:t>
                  </m:r>
                </m:sup>
              </m:sSup>
              <m:r>
                <m:t> </m:t>
              </m:r>
              <m:r>
                <m:t>q</m:t>
              </m:r>
            </m:e>
          </m:borderBox>
        </m:oMath>
      </m:oMathPara>
    </w:p>
    <w:p>
      <w:pPr>
        <w:pStyle w:val="FirstParagraph"/>
      </w:pPr>
      <w:r>
        <w:rPr>
          <w:b/>
          <w:bCs/>
        </w:rPr>
        <w:t xml:space="preserve">Função custo.</w:t>
      </w:r>
    </w:p>
    <w:p>
      <w:pPr>
        <w:pStyle w:val="BodyText"/>
      </w:pPr>
      <m:oMathPara>
        <m:oMathParaPr>
          <m:jc m:val="center"/>
        </m:oMathParaPr>
        <m:oMath>
          <m:borderBox>
            <m:e>
              <m:r>
                <m:t>C</m:t>
              </m:r>
              <m:r>
                <m:rPr>
                  <m:sty m:val="p"/>
                </m:rPr>
                <m:t>(</m:t>
              </m:r>
              <m:r>
                <m:t>w</m:t>
              </m:r>
              <m:r>
                <m:rPr>
                  <m:sty m:val="p"/>
                </m:rPr>
                <m:t>,</m:t>
              </m:r>
              <m:r>
                <m:t>v</m:t>
              </m:r>
              <m:r>
                <m:rPr>
                  <m:sty m:val="p"/>
                </m:rPr>
                <m:t>,</m:t>
              </m:r>
              <m:r>
                <m:t>q</m:t>
              </m:r>
              <m:r>
                <m:rPr>
                  <m:sty m:val="p"/>
                </m:rPr>
                <m:t>)</m:t>
              </m:r>
              <m:r>
                <m:rPr>
                  <m:sty m:val="p"/>
                </m:rPr>
                <m:t>=</m:t>
              </m:r>
              <m:r>
                <m:t>W</m:t>
              </m:r>
              <m:r>
                <m:rPr>
                  <m:sty m:val="p"/>
                </m:rPr>
                <m:t>⋅</m:t>
              </m:r>
              <m:r>
                <m:t>q</m:t>
              </m:r>
              <m:r>
                <m:rPr>
                  <m:sty m:val="p"/>
                </m:rPr>
                <m:t>=</m:t>
              </m:r>
              <m:r>
                <m:t>q</m:t>
              </m:r>
              <m:r>
                <m:rPr>
                  <m:sty m:val="p"/>
                </m:rPr>
                <m:t>⋅</m:t>
              </m:r>
              <m:sSup>
                <m:e>
                  <m:d>
                    <m:dPr>
                      <m:begChr m:val="("/>
                      <m:sepChr m:val=""/>
                      <m:endChr m:val=")"/>
                      <m:grow/>
                    </m:dPr>
                    <m:e>
                      <m:sSup>
                        <m:e>
                          <m:r>
                            <m:t>α</m:t>
                          </m:r>
                        </m:e>
                        <m:sup>
                          <m:r>
                            <m:t>σ</m:t>
                          </m:r>
                        </m:sup>
                      </m:sSup>
                      <m:r>
                        <m:t> </m:t>
                      </m:r>
                      <m:sSup>
                        <m:e>
                          <m:r>
                            <m:t>v</m:t>
                          </m:r>
                        </m:e>
                        <m:sup>
                          <m:r>
                            <m:t>1</m:t>
                          </m:r>
                          <m:r>
                            <m:rPr>
                              <m:sty m:val="p"/>
                            </m:rPr>
                            <m:t>−</m:t>
                          </m:r>
                          <m:r>
                            <m:t>σ</m:t>
                          </m:r>
                        </m:sup>
                      </m:sSup>
                      <m:r>
                        <m:rPr>
                          <m:sty m:val="p"/>
                        </m:rPr>
                        <m:t>+</m:t>
                      </m:r>
                      <m:sSup>
                        <m:e>
                          <m:r>
                            <m:t>β</m:t>
                          </m:r>
                        </m:e>
                        <m:sup>
                          <m:r>
                            <m:t>σ</m:t>
                          </m:r>
                        </m:sup>
                      </m:sSup>
                      <m:r>
                        <m:t> </m:t>
                      </m:r>
                      <m:sSup>
                        <m:e>
                          <m:r>
                            <m:t>w</m:t>
                          </m:r>
                        </m:e>
                        <m:sup>
                          <m:r>
                            <m:t>1</m:t>
                          </m:r>
                          <m:r>
                            <m:rPr>
                              <m:sty m:val="p"/>
                            </m:rPr>
                            <m:t>−</m:t>
                          </m:r>
                          <m:r>
                            <m:t>σ</m:t>
                          </m:r>
                        </m:sup>
                      </m:sSup>
                    </m:e>
                  </m:d>
                </m:e>
                <m:sup>
                  <m:r>
                    <m:t>1</m:t>
                  </m:r>
                  <m:r>
                    <m:rPr>
                      <m:sty m:val="p"/>
                    </m:rPr>
                    <m:t>/</m:t>
                  </m:r>
                  <m:r>
                    <m:rPr>
                      <m:sty m:val="p"/>
                    </m:rPr>
                    <m:t>(</m:t>
                  </m:r>
                  <m:r>
                    <m:t>1</m:t>
                  </m:r>
                  <m:r>
                    <m:rPr>
                      <m:sty m:val="p"/>
                    </m:rPr>
                    <m:t>−</m:t>
                  </m:r>
                  <m:r>
                    <m:t>σ</m:t>
                  </m:r>
                  <m:r>
                    <m:rPr>
                      <m:sty m:val="p"/>
                    </m:rPr>
                    <m:t>)</m:t>
                  </m:r>
                </m:sup>
              </m:sSup>
            </m:e>
          </m:borderBox>
        </m:oMath>
      </m:oMathPara>
    </w:p>
    <w:p>
      <w:pPr>
        <w:pStyle w:val="FirstParagraph"/>
      </w:pPr>
      <w:r>
        <w:t xml:space="preserve">A função custo é linear em</w:t>
      </w:r>
      <w:r>
        <w:t xml:space="preserve"> </w:t>
      </w:r>
      <m:oMath>
        <m:r>
          <m:t>q</m:t>
        </m:r>
      </m:oMath>
      <w:r>
        <w:t xml:space="preserve"> </w:t>
      </w:r>
      <w:r>
        <w:t xml:space="preserve">(retornos constantes de escala) e tem a estrutura de um índice de preços CES.</w:t>
      </w:r>
    </w:p>
    <w:p>
      <w:pPr>
        <w:pStyle w:val="BodyText"/>
      </w:pPr>
      <w:r>
        <w:rPr>
          <w:i/>
          <w:iCs/>
        </w:rPr>
        <w:t xml:space="preserve">Verificação pelo Lema de Shephard</w:t>
      </w:r>
      <w:r>
        <w:t xml:space="preserve">:</w:t>
      </w:r>
      <w:r>
        <w:t xml:space="preserve"> </w:t>
      </w:r>
      <m:oMath>
        <m:r>
          <m:rPr>
            <m:sty m:val="p"/>
          </m:rPr>
          <m:t>∂</m:t>
        </m:r>
        <m:r>
          <m:t>C</m:t>
        </m:r>
        <m:r>
          <m:rPr>
            <m:sty m:val="p"/>
          </m:rPr>
          <m:t>/</m:t>
        </m:r>
        <m:r>
          <m:rPr>
            <m:sty m:val="p"/>
          </m:rPr>
          <m:t>∂</m:t>
        </m:r>
        <m:r>
          <m:t>w</m:t>
        </m:r>
        <m:r>
          <m:rPr>
            <m:sty m:val="p"/>
          </m:rPr>
          <m:t>=</m:t>
        </m:r>
        <m:sSup>
          <m:e>
            <m:r>
              <m:t>L</m:t>
            </m:r>
          </m:e>
          <m:sup>
            <m:r>
              <m:t>c</m:t>
            </m:r>
          </m:sup>
        </m:sSup>
      </m:oMath>
      <w:r>
        <w:t xml:space="preserve"> </w:t>
      </w:r>
      <w:r>
        <w:t xml:space="preserve">✓</w:t>
      </w:r>
    </w:p>
    <w:p>
      <w:pPr>
        <w:pStyle w:val="BodyText"/>
      </w:pPr>
      <w:r>
        <w:rPr>
          <w:b/>
          <w:bCs/>
        </w:rPr>
        <w:t xml:space="preserve">Demandas por insumos (maximização de lucro).</w:t>
      </w:r>
      <w:r>
        <w:t xml:space="preserve"> </w:t>
      </w:r>
      <w:r>
        <w:t xml:space="preserve">Com retornos constantes, o lucro é linear em</w:t>
      </w:r>
      <w:r>
        <w:t xml:space="preserve"> </w:t>
      </w:r>
      <m:oMath>
        <m:r>
          <m:t>q</m:t>
        </m:r>
      </m:oMath>
      <w:r>
        <w:t xml:space="preserve"> </w:t>
      </w:r>
      <w:r>
        <w:t xml:space="preserve">e o problema não tem solução finita a menos que</w:t>
      </w:r>
      <w:r>
        <w:t xml:space="preserve"> </w:t>
      </w:r>
      <m:oMath>
        <m:r>
          <m:t>p</m:t>
        </m:r>
        <m:r>
          <m:rPr>
            <m:sty m:val="p"/>
          </m:rPr>
          <m:t>=</m:t>
        </m:r>
        <m:r>
          <m:t>W</m:t>
        </m:r>
      </m:oMath>
      <w:r>
        <w:t xml:space="preserve">. Para uma versão com retornos decrescentes,</w:t>
      </w:r>
      <w:r>
        <w:t xml:space="preserve"> </w:t>
      </w:r>
      <m:oMath>
        <m:r>
          <m:t>q</m:t>
        </m:r>
        <m:r>
          <m:rPr>
            <m:sty m:val="p"/>
          </m:rPr>
          <m:t>=</m:t>
        </m:r>
        <m:r>
          <m:rPr>
            <m:sty m:val="p"/>
          </m:rPr>
          <m:t>(</m:t>
        </m:r>
        <m:r>
          <m:t>α</m:t>
        </m:r>
        <m:sSup>
          <m:e>
            <m:r>
              <m:t>K</m:t>
            </m:r>
          </m:e>
          <m:sup>
            <m:r>
              <m:t>ρ</m:t>
            </m:r>
          </m:sup>
        </m:sSup>
        <m:r>
          <m:rPr>
            <m:sty m:val="p"/>
          </m:rPr>
          <m:t>+</m:t>
        </m:r>
        <m:r>
          <m:t>β</m:t>
        </m:r>
        <m:sSup>
          <m:e>
            <m:r>
              <m:t>L</m:t>
            </m:r>
          </m:e>
          <m:sup>
            <m:r>
              <m:t>ρ</m:t>
            </m:r>
          </m:sup>
        </m:sSup>
        <m:sSup>
          <m:e>
            <m:r>
              <m:rPr>
                <m:sty m:val="p"/>
              </m:rPr>
              <m:t>)</m:t>
            </m:r>
          </m:e>
          <m:sup>
            <m:r>
              <m:t>γ</m:t>
            </m:r>
            <m:r>
              <m:rPr>
                <m:sty m:val="p"/>
              </m:rPr>
              <m:t>/</m:t>
            </m:r>
            <m:r>
              <m:t>ρ</m:t>
            </m:r>
          </m:sup>
        </m:sSup>
      </m:oMath>
      <w:r>
        <w:t xml:space="preserve"> </w:t>
      </w:r>
      <w:r>
        <w:t xml:space="preserve">com</w:t>
      </w:r>
      <w:r>
        <w:t xml:space="preserve"> </w:t>
      </w:r>
      <m:oMath>
        <m:r>
          <m:t>γ</m:t>
        </m:r>
        <m:r>
          <m:rPr>
            <m:sty m:val="p"/>
          </m:rPr>
          <m:t>&lt;</m:t>
        </m:r>
        <m:r>
          <m:t>1</m:t>
        </m:r>
      </m:oMath>
      <w:r>
        <w:t xml:space="preserve">, a função custo torna-se</w:t>
      </w:r>
      <w:r>
        <w:t xml:space="preserve"> </w:t>
      </w:r>
      <m:oMath>
        <m:r>
          <m:t>C</m:t>
        </m:r>
        <m:r>
          <m:rPr>
            <m:sty m:val="p"/>
          </m:rPr>
          <m:t>=</m:t>
        </m:r>
        <m:r>
          <m:t>W</m:t>
        </m:r>
        <m:r>
          <m:rPr>
            <m:sty m:val="p"/>
          </m:rPr>
          <m:t>⋅</m:t>
        </m:r>
        <m:sSup>
          <m:e>
            <m:r>
              <m:t>q</m:t>
            </m:r>
          </m:e>
          <m:sup>
            <m:r>
              <m:t>1</m:t>
            </m:r>
            <m:r>
              <m:rPr>
                <m:sty m:val="p"/>
              </m:rPr>
              <m:t>/</m:t>
            </m:r>
            <m:r>
              <m:t>γ</m:t>
            </m:r>
          </m:sup>
        </m:sSup>
      </m:oMath>
      <w:r>
        <w:t xml:space="preserve">, convexa em</w:t>
      </w:r>
      <w:r>
        <w:t xml:space="preserve"> </w:t>
      </w:r>
      <m:oMath>
        <m:r>
          <m:t>q</m:t>
        </m:r>
      </m:oMath>
      <w:r>
        <w:t xml:space="preserve">, e as demandas não condicionais podem ser obtidas via</w:t>
      </w:r>
      <w:r>
        <w:t xml:space="preserve"> </w:t>
      </w:r>
      <m:oMath>
        <m:sSub>
          <m:e>
            <m:r>
              <m:rPr>
                <m:sty m:val="p"/>
              </m:rPr>
              <m:t>max</m:t>
            </m:r>
          </m:e>
          <m:sub>
            <m:r>
              <m:t>q</m:t>
            </m:r>
          </m:sub>
        </m:sSub>
        <m:r>
          <m:t> </m:t>
        </m:r>
        <m:r>
          <m:t>p</m:t>
        </m:r>
        <m:r>
          <m:t>q</m:t>
        </m:r>
        <m:r>
          <m:rPr>
            <m:sty m:val="p"/>
          </m:rPr>
          <m:t>−</m:t>
        </m:r>
        <m:r>
          <m:t>W</m:t>
        </m:r>
        <m:sSup>
          <m:e>
            <m:r>
              <m:t>q</m:t>
            </m:r>
          </m:e>
          <m:sup>
            <m:r>
              <m:t>1</m:t>
            </m:r>
            <m:r>
              <m:rPr>
                <m:sty m:val="p"/>
              </m:rPr>
              <m:t>/</m:t>
            </m:r>
            <m:r>
              <m:t>γ</m:t>
            </m:r>
          </m:sup>
        </m:sSup>
      </m:oMath>
      <w:r>
        <w:t xml:space="preserve">.</w:t>
      </w:r>
    </w:p>
    <w:p>
      <w:pPr>
        <w:pStyle w:val="BlockText"/>
      </w:pPr>
      <w:r>
        <w:rPr>
          <w:b/>
          <w:bCs/>
        </w:rPr>
        <w:t xml:space="preserve">[INFORMACAO] Casos limite da CES na produção</w:t>
      </w:r>
    </w:p>
    <w:p>
      <w:pPr>
        <w:pStyle w:val="Compact"/>
        <w:numPr>
          <w:ilvl w:val="0"/>
          <w:numId w:val="1684"/>
        </w:numPr>
      </w:pPr>
      <m:oMath>
        <m:r>
          <m:t>ρ</m:t>
        </m:r>
        <m:r>
          <m:rPr>
            <m:sty m:val="p"/>
          </m:rPr>
          <m:t>→</m:t>
        </m:r>
        <m:r>
          <m:t>0</m:t>
        </m:r>
      </m:oMath>
      <w:r>
        <w:t xml:space="preserve"> </w:t>
      </w:r>
      <w:r>
        <w:t xml:space="preserve">(</w:t>
      </w:r>
      <m:oMath>
        <m:r>
          <m:t>σ</m:t>
        </m:r>
        <m:r>
          <m:rPr>
            <m:sty m:val="p"/>
          </m:rPr>
          <m:t>→</m:t>
        </m:r>
        <m:r>
          <m:t>1</m:t>
        </m:r>
      </m:oMath>
      <w:r>
        <w:t xml:space="preserve">): converge para Cobb-Douglas</w:t>
      </w:r>
      <w:r>
        <w:t xml:space="preserve"> </w:t>
      </w:r>
      <m:oMath>
        <m:r>
          <m:t>q</m:t>
        </m:r>
        <m:r>
          <m:rPr>
            <m:sty m:val="p"/>
          </m:rPr>
          <m:t>=</m:t>
        </m:r>
        <m:sSup>
          <m:e>
            <m:r>
              <m:t>K</m:t>
            </m:r>
          </m:e>
          <m:sup>
            <m:r>
              <m:t>α</m:t>
            </m:r>
          </m:sup>
        </m:sSup>
        <m:sSup>
          <m:e>
            <m:r>
              <m:t>L</m:t>
            </m:r>
          </m:e>
          <m:sup>
            <m:r>
              <m:t>β</m:t>
            </m:r>
          </m:sup>
        </m:sSup>
      </m:oMath>
      <w:r>
        <w:t xml:space="preserve"> </w:t>
      </w:r>
      <w:r>
        <w:t xml:space="preserve">(com</w:t>
      </w:r>
      <w:r>
        <w:t xml:space="preserve"> </w:t>
      </w:r>
      <m:oMath>
        <m:r>
          <m:t>α</m:t>
        </m:r>
        <m:r>
          <m:rPr>
            <m:sty m:val="p"/>
          </m:rPr>
          <m:t>+</m:t>
        </m:r>
        <m:r>
          <m:t>β</m:t>
        </m:r>
        <m:r>
          <m:rPr>
            <m:sty m:val="p"/>
          </m:rPr>
          <m:t>=</m:t>
        </m:r>
        <m:r>
          <m:t>1</m:t>
        </m:r>
      </m:oMath>
      <w:r>
        <w:t xml:space="preserve"> </w:t>
      </w:r>
      <w:r>
        <w:t xml:space="preserve">sob CRS)</w:t>
      </w:r>
    </w:p>
    <w:p>
      <w:pPr>
        <w:pStyle w:val="Compact"/>
        <w:numPr>
          <w:ilvl w:val="0"/>
          <w:numId w:val="1684"/>
        </w:numPr>
      </w:pPr>
      <m:oMath>
        <m:r>
          <m:t>ρ</m:t>
        </m:r>
        <m:r>
          <m:rPr>
            <m:sty m:val="p"/>
          </m:rPr>
          <m:t>→</m:t>
        </m:r>
        <m:r>
          <m:t>1</m:t>
        </m:r>
      </m:oMath>
      <w:r>
        <w:t xml:space="preserve"> </w:t>
      </w:r>
      <w:r>
        <w:t xml:space="preserve">(</w:t>
      </w:r>
      <m:oMath>
        <m:r>
          <m:t>σ</m:t>
        </m:r>
        <m:r>
          <m:rPr>
            <m:sty m:val="p"/>
          </m:rPr>
          <m:t>→</m:t>
        </m:r>
        <m:r>
          <m:rPr>
            <m:sty m:val="p"/>
          </m:rPr>
          <m:t>∞</m:t>
        </m:r>
      </m:oMath>
      <w:r>
        <w:t xml:space="preserve">): converge para tecnologia linear</w:t>
      </w:r>
      <w:r>
        <w:t xml:space="preserve"> </w:t>
      </w:r>
      <m:oMath>
        <m:r>
          <m:t>q</m:t>
        </m:r>
        <m:r>
          <m:rPr>
            <m:sty m:val="p"/>
          </m:rPr>
          <m:t>=</m:t>
        </m:r>
        <m:r>
          <m:t>α</m:t>
        </m:r>
        <m:r>
          <m:t>K</m:t>
        </m:r>
        <m:r>
          <m:rPr>
            <m:sty m:val="p"/>
          </m:rPr>
          <m:t>+</m:t>
        </m:r>
        <m:r>
          <m:t>β</m:t>
        </m:r>
        <m:r>
          <m:t>L</m:t>
        </m:r>
      </m:oMath>
    </w:p>
    <w:p>
      <w:pPr>
        <w:pStyle w:val="Compact"/>
        <w:numPr>
          <w:ilvl w:val="0"/>
          <w:numId w:val="1684"/>
        </w:numPr>
      </w:pPr>
      <m:oMath>
        <m:r>
          <m:t>ρ</m:t>
        </m:r>
        <m:r>
          <m:rPr>
            <m:sty m:val="p"/>
          </m:rPr>
          <m:t>→</m:t>
        </m:r>
        <m:r>
          <m:rPr>
            <m:sty m:val="p"/>
          </m:rPr>
          <m:t>−</m:t>
        </m:r>
        <m:r>
          <m:rPr>
            <m:sty m:val="p"/>
          </m:rPr>
          <m:t>∞</m:t>
        </m:r>
      </m:oMath>
      <w:r>
        <w:t xml:space="preserve"> </w:t>
      </w:r>
      <w:r>
        <w:t xml:space="preserve">(</w:t>
      </w:r>
      <m:oMath>
        <m:r>
          <m:t>σ</m:t>
        </m:r>
        <m:r>
          <m:rPr>
            <m:sty m:val="p"/>
          </m:rPr>
          <m:t>→</m:t>
        </m:r>
        <m:r>
          <m:t>0</m:t>
        </m:r>
      </m:oMath>
      <w:r>
        <w:t xml:space="preserve">): converge para Leontief</w:t>
      </w:r>
      <w:r>
        <w:t xml:space="preserve"> </w:t>
      </w:r>
      <m:oMath>
        <m:r>
          <m:t>q</m:t>
        </m:r>
        <m:r>
          <m:rPr>
            <m:sty m:val="p"/>
          </m:rPr>
          <m:t>=</m:t>
        </m:r>
        <m:r>
          <m:rPr>
            <m:sty m:val="p"/>
          </m:rPr>
          <m:t>min</m:t>
        </m:r>
        <m:r>
          <m:rPr>
            <m:sty m:val="p"/>
          </m:rPr>
          <m:t>{</m:t>
        </m:r>
        <m:r>
          <m:t>K</m:t>
        </m:r>
        <m:r>
          <m:rPr>
            <m:sty m:val="p"/>
          </m:rPr>
          <m:t>,</m:t>
        </m:r>
        <m:r>
          <m:t>L</m:t>
        </m:r>
        <m:r>
          <m:rPr>
            <m:sty m:val="p"/>
          </m:rPr>
          <m:t>}</m:t>
        </m:r>
      </m:oMath>
    </w:p>
    <w:p>
      <w:pPr>
        <w:pStyle w:val="FirstParagraph"/>
      </w:pPr>
      <w:r>
        <w:t xml:space="preserve">A função custo CES em Eq. (eq:11.18) também permite derivar diretamente as participações dos insumos no custo total. Definindo</w:t>
      </w:r>
      <w:r>
        <w:t xml:space="preserve"> </w:t>
      </w:r>
      <m:oMath>
        <m:sSub>
          <m:e>
            <m:r>
              <m:t>s</m:t>
            </m:r>
          </m:e>
          <m:sub>
            <m:r>
              <m:t>K</m:t>
            </m:r>
          </m:sub>
        </m:sSub>
        <m:r>
          <m:rPr>
            <m:sty m:val="p"/>
          </m:rPr>
          <m:t>=</m:t>
        </m:r>
        <m:r>
          <m:t>v</m:t>
        </m:r>
        <m:sSup>
          <m:e>
            <m:r>
              <m:t>K</m:t>
            </m:r>
          </m:e>
          <m:sup>
            <m:r>
              <m:t>c</m:t>
            </m:r>
          </m:sup>
        </m:sSup>
        <m:r>
          <m:rPr>
            <m:sty m:val="p"/>
          </m:rPr>
          <m:t>/</m:t>
        </m:r>
        <m:r>
          <m:t>C</m:t>
        </m:r>
      </m:oMath>
      <w:r>
        <w:t xml:space="preserve"> </w:t>
      </w:r>
      <w:r>
        <w:t xml:space="preserve">e</w:t>
      </w:r>
      <w:r>
        <w:t xml:space="preserve"> </w:t>
      </w:r>
      <m:oMath>
        <m:sSub>
          <m:e>
            <m:r>
              <m:t>s</m:t>
            </m:r>
          </m:e>
          <m:sub>
            <m:r>
              <m:t>L</m:t>
            </m:r>
          </m:sub>
        </m:sSub>
        <m:r>
          <m:rPr>
            <m:sty m:val="p"/>
          </m:rPr>
          <m:t>=</m:t>
        </m:r>
        <m:r>
          <m:t>w</m:t>
        </m:r>
        <m:sSup>
          <m:e>
            <m:r>
              <m:t>L</m:t>
            </m:r>
          </m:e>
          <m:sup>
            <m:r>
              <m:t>c</m:t>
            </m:r>
          </m:sup>
        </m:sSup>
        <m:r>
          <m:rPr>
            <m:sty m:val="p"/>
          </m:rPr>
          <m:t>/</m:t>
        </m:r>
        <m:r>
          <m:t>C</m:t>
        </m:r>
      </m:oMath>
      <w:r>
        <w:t xml:space="preserve">, a participação do capital no custo é:</w:t>
      </w:r>
    </w:p>
    <w:p>
      <w:pPr>
        <w:pStyle w:val="BodyText"/>
      </w:pPr>
      <m:oMathPara>
        <m:oMathParaPr>
          <m:jc m:val="center"/>
        </m:oMathParaPr>
        <m:oMath>
          <m:sSub>
            <m:e>
              <m:r>
                <m:t>s</m:t>
              </m:r>
            </m:e>
            <m:sub>
              <m:r>
                <m:t>K</m:t>
              </m:r>
            </m:sub>
          </m:sSub>
          <m:r>
            <m:rPr>
              <m:sty m:val="p"/>
            </m:rPr>
            <m:t>=</m:t>
          </m:r>
          <m:f>
            <m:fPr>
              <m:type m:val="bar"/>
            </m:fPr>
            <m:num>
              <m:sSup>
                <m:e>
                  <m:r>
                    <m:t>α</m:t>
                  </m:r>
                </m:e>
                <m:sup>
                  <m:r>
                    <m:t>σ</m:t>
                  </m:r>
                </m:sup>
              </m:sSup>
              <m:sSup>
                <m:e>
                  <m:r>
                    <m:t>v</m:t>
                  </m:r>
                </m:e>
                <m:sup>
                  <m:r>
                    <m:t>1</m:t>
                  </m:r>
                  <m:r>
                    <m:rPr>
                      <m:sty m:val="p"/>
                    </m:rPr>
                    <m:t>−</m:t>
                  </m:r>
                  <m:r>
                    <m:t>σ</m:t>
                  </m:r>
                </m:sup>
              </m:sSup>
            </m:num>
            <m:den>
              <m:sSup>
                <m:e>
                  <m:r>
                    <m:t>W</m:t>
                  </m:r>
                </m:e>
                <m:sup>
                  <m:r>
                    <m:t>1</m:t>
                  </m:r>
                  <m:r>
                    <m:rPr>
                      <m:sty m:val="p"/>
                    </m:rPr>
                    <m:t>−</m:t>
                  </m:r>
                  <m:r>
                    <m:t>σ</m:t>
                  </m:r>
                </m:sup>
              </m:sSup>
            </m:den>
          </m:f>
        </m:oMath>
      </m:oMathPara>
    </w:p>
    <w:p>
      <w:pPr>
        <w:pStyle w:val="FirstParagraph"/>
      </w:pPr>
      <w:r>
        <w:t xml:space="preserve">Quando</w:t>
      </w:r>
      <w:r>
        <w:t xml:space="preserve"> </w:t>
      </w:r>
      <m:oMath>
        <m:r>
          <m:t>σ</m:t>
        </m:r>
        <m:r>
          <m:rPr>
            <m:sty m:val="p"/>
          </m:rPr>
          <m:t>&gt;</m:t>
        </m:r>
        <m:r>
          <m:t>1</m:t>
        </m:r>
      </m:oMath>
      <w:r>
        <w:t xml:space="preserve"> </w:t>
      </w:r>
      <w:r>
        <w:t xml:space="preserve">(alta elasticidade de substituição), um aumento em</w:t>
      </w:r>
      <w:r>
        <w:t xml:space="preserve"> </w:t>
      </w:r>
      <m:oMath>
        <m:r>
          <m:t>v</m:t>
        </m:r>
        <m:r>
          <m:rPr>
            <m:sty m:val="p"/>
          </m:rPr>
          <m:t>/</m:t>
        </m:r>
        <m:r>
          <m:t>w</m:t>
        </m:r>
      </m:oMath>
      <w:r>
        <w:t xml:space="preserve"> </w:t>
      </w:r>
      <w:r>
        <w:t xml:space="preserve">reduz a participação do capital no custo mais do que proporcionalmente — a firma substitui fortemente capital por trabalho. Quando</w:t>
      </w:r>
      <w:r>
        <w:t xml:space="preserve"> </w:t>
      </w:r>
      <m:oMath>
        <m:r>
          <m:t>σ</m:t>
        </m:r>
        <m:r>
          <m:rPr>
            <m:sty m:val="p"/>
          </m:rPr>
          <m:t>&lt;</m:t>
        </m:r>
        <m:r>
          <m:t>1</m:t>
        </m:r>
      </m:oMath>
      <w:r>
        <w:t xml:space="preserve">, a substituição é mais limitada e a participação do capital pode até</w:t>
      </w:r>
      <w:r>
        <w:t xml:space="preserve"> </w:t>
      </w:r>
      <w:r>
        <w:rPr>
          <w:i/>
          <w:iCs/>
        </w:rPr>
        <w:t xml:space="preserve">aumentar</w:t>
      </w:r>
      <w:r>
        <w:t xml:space="preserve"> </w:t>
      </w:r>
      <w:r>
        <w:t xml:space="preserve">com o aumento de seu preço relativo (efeito gasto domina o efeito substituição). Esse fenômeno, análogo ao paradoxo de Giffen no consumo mas para insumos, raramente é observado na prática, mas é teoricamente possível.</w:t>
      </w:r>
    </w:p>
    <w:p>
      <w:pPr>
        <w:pStyle w:val="BodyText"/>
      </w:pPr>
      <w:r>
        <w:t xml:space="preserve">[FIGURA INTERATIVA: /micro-book/graficos/cap11/webr-custos-funcoes.html — versao interativa disponivel online]</w:t>
      </w:r>
    </w:p>
    <w:p>
      <w:pPr>
        <w:pStyle w:val="BodyText"/>
      </w:pPr>
      <w:r>
        <w:rPr>
          <w:b/>
          <w:bCs/>
        </w:rPr>
        <w:t xml:space="preserve">WebR 11.6 — Catálogo de funções custo.</w:t>
      </w:r>
      <w:r>
        <w:t xml:space="preserve"> </w:t>
      </w:r>
      <w:r>
        <w:t xml:space="preserve">O código compara as funções custo derivadas de Cobb-Douglas, Leontief, linear e CES para os mesmos preços de insumos. Altere os parâmetros para ver como a elasticidade de substituição afeta a forma da função custo e a composição de insumos.</w:t>
      </w:r>
    </w:p>
    <w:p>
      <w:r>
        <w:pict>
          <v:rect style="width:0;height:1.5pt" o:hralign="center" o:hrstd="t" o:hr="t"/>
        </w:pict>
      </w:r>
    </w:p>
    <w:p>
      <w:pPr>
        <w:pStyle w:val="BlockText"/>
      </w:pPr>
      <w:r>
        <w:rPr>
          <w:b/>
          <w:bCs/>
        </w:rPr>
        <w:t xml:space="preserve">[INFORMACAO] Prêmio Nobel — Ronald Coase (1991)</w:t>
      </w:r>
    </w:p>
    <w:p>
      <w:pPr>
        <w:pStyle w:val="BlockText"/>
      </w:pPr>
      <w:r>
        <w:rPr>
          <w:b/>
          <w:bCs/>
        </w:rPr>
        <w:t xml:space="preserve">Ronald Harry Coase</w:t>
      </w:r>
      <w:r>
        <w:t xml:space="preserve"> </w:t>
      </w:r>
      <w:r>
        <w:t xml:space="preserve">(1910–2013) recebeu o Nobel de Economia em 1991</w:t>
      </w:r>
      <w:r>
        <w:t xml:space="preserve"> </w:t>
      </w:r>
      <w:r>
        <w:t xml:space="preserve">“pela descoberta e esclarecimento do significado dos custos de transação e dos direitos de propriedade para a estrutura institucional e funcionamento da economia”</w:t>
      </w:r>
      <w:r>
        <w:t xml:space="preserve">.</w:t>
      </w:r>
    </w:p>
    <w:p>
      <w:pPr>
        <w:pStyle w:val="BlockText"/>
      </w:pPr>
      <w:r>
        <w:t xml:space="preserve">Coase é mais conhecido por dois artigos transformadores. Em</w:t>
      </w:r>
      <w:r>
        <w:t xml:space="preserve"> </w:t>
      </w:r>
      <w:r>
        <w:t xml:space="preserve">“The Nature of the Firm”</w:t>
      </w:r>
      <w:r>
        <w:t xml:space="preserve"> </w:t>
      </w:r>
      <w:r>
        <w:t xml:space="preserve">(1937), ele perguntou: se os mercados são tão eficientes, por que as firmas existem? Por que não toda a produção é organizada via contratos de mercado entre agentes independentes? Sua resposta: os</w:t>
      </w:r>
      <w:r>
        <w:t xml:space="preserve"> </w:t>
      </w:r>
      <w:r>
        <w:rPr>
          <w:b/>
          <w:bCs/>
        </w:rPr>
        <w:t xml:space="preserve">custos de transação</w:t>
      </w:r>
      <w:r>
        <w:t xml:space="preserve"> </w:t>
      </w:r>
      <w:r>
        <w:t xml:space="preserve">— os custos de negociar, redigir e fazer cumprir contratos — tornam a coordenação interna (hierarquia) mais barata que a coordenação de mercado para certas atividades. A firma existe onde os custos de transação do mercado excedem os custos de organização interna. Esse insight muda radicalmente como pensamos a estrutura de custos da firma: além dos custos explícitos de insumos, há custos organizacionais que determinam os limites da firma.</w:t>
      </w:r>
    </w:p>
    <w:p>
      <w:pPr>
        <w:pStyle w:val="BlockText"/>
      </w:pPr>
      <w:r>
        <w:t xml:space="preserve">Em</w:t>
      </w:r>
      <w:r>
        <w:t xml:space="preserve"> </w:t>
      </w:r>
      <w:r>
        <w:t xml:space="preserve">“The Problem of Social Cost”</w:t>
      </w:r>
      <w:r>
        <w:t xml:space="preserve"> </w:t>
      </w:r>
      <w:r>
        <w:t xml:space="preserve">(1960), Coase desenvolveu o que ficou conhecido como Teorema de Coase: na ausência de custos de transação, as partes negociarão e chegarão ao resultado eficiente independentemente da alocação inicial de direitos de propriedade. A existência de custos de transação positivos é, portanto, o que justifica intervenções regulatórias e arranjos institucionais. Para a teoria dos custos, a implicação é que o custo econômico completo de uma atividade inclui não apenas os custos diretos de insumos, mas também os custos de transação associados à organização da produção.</w:t>
      </w:r>
    </w:p>
    <w:p>
      <w:pPr>
        <w:pStyle w:val="BlockText"/>
      </w:pPr>
      <w:r>
        <w:rPr>
          <w:i/>
          <w:iCs/>
        </w:rPr>
        <w:t xml:space="preserve">Referência: Coase, R. H. (1937). The Nature of the Firm. Economica, 4(16), 386–405.</w:t>
      </w:r>
    </w:p>
    <w:p>
      <w:r>
        <w:pict>
          <v:rect style="width:0;height:1.5pt" o:hralign="center" o:hrstd="t" o:hr="t"/>
        </w:pict>
      </w:r>
    </w:p>
    <w:p>
      <w:pPr>
        <w:pStyle w:val="FirstParagraph"/>
      </w:pPr>
      <w:r>
        <w:t xml:space="preserve">A dona da padaria do início sabia: não basta saber fazer — é preciso saber quanto custa. Agora ela tem o instrumental completo: custo de oportunidade para não se enganar, Shephard para extrair demandas por insumos de uma única função, e a envoltória de Viner para distinguir o improviso do curto prazo da eficiência do longo prazo. O mapa de custos está desenhado. Falta a pergunta que paga as contas: quanto produzir?</w:t>
      </w:r>
    </w:p>
    <w:p>
      <w:pPr>
        <w:pStyle w:val="BodyText"/>
      </w:pPr>
      <w:r>
        <w:rPr>
          <w:i/>
          <w:iCs/>
        </w:rPr>
        <w:t xml:space="preserve">Custos mapeados. Agora a firma enfrenta o mercado: quanto produzir, a que preço, e quando fechar as portas.</w:t>
      </w:r>
    </w:p>
    <w:bookmarkEnd w:id="728"/>
    <w:bookmarkEnd w:id="729"/>
    <w:bookmarkStart w:id="736" w:name="exercícios-revisão-e-anpec-capítulo-11"/>
    <w:p>
      <w:pPr>
        <w:pStyle w:val="Heading2"/>
      </w:pPr>
      <w:r>
        <w:t xml:space="preserve">Exercícios, Revisão e ANPEC — Capítulo 11</w:t>
      </w:r>
    </w:p>
    <w:p>
      <w:pPr>
        <w:pStyle w:val="BlockText"/>
      </w:pPr>
      <w:r>
        <w:rPr>
          <w:b/>
          <w:bCs/>
        </w:rPr>
        <w:t xml:space="preserve">[DICA] Dados para exercicios empiricos</w:t>
      </w:r>
    </w:p>
    <w:p>
      <w:pPr>
        <w:pStyle w:val="Compact"/>
        <w:numPr>
          <w:ilvl w:val="0"/>
          <w:numId w:val="1685"/>
        </w:numPr>
      </w:pPr>
      <w:r>
        <w:rPr>
          <w:b/>
          <w:bCs/>
        </w:rPr>
        <w:t xml:space="preserve">PIA/IBGE (custos industriais):</w:t>
      </w:r>
      <w:r>
        <w:t xml:space="preserve"> </w:t>
      </w:r>
      <w:hyperlink r:id="rId168">
        <w:r>
          <w:rPr>
            <w:rStyle w:val="Hyperlink"/>
          </w:rPr>
          <w:t xml:space="preserve">sidra.ibge.gov.br</w:t>
        </w:r>
      </w:hyperlink>
      <w:r>
        <w:t xml:space="preserve"> </w:t>
      </w:r>
      <w:r>
        <w:t xml:space="preserve">— Tabelas da Pesquisa Industrial Anual com custos de producao, gastos com pessoal e energia por setor. Estime curvas de custo medio e identifique a escala eficiente minima por industria.</w:t>
      </w:r>
    </w:p>
    <w:p>
      <w:pPr>
        <w:pStyle w:val="Compact"/>
        <w:numPr>
          <w:ilvl w:val="0"/>
          <w:numId w:val="1685"/>
        </w:numPr>
      </w:pPr>
      <w:r>
        <w:rPr>
          <w:b/>
          <w:bCs/>
        </w:rPr>
        <w:t xml:space="preserve">ANEEL (custos de distribuicao de energia):</w:t>
      </w:r>
      <w:r>
        <w:t xml:space="preserve"> </w:t>
      </w:r>
      <w:hyperlink r:id="rId730">
        <w:r>
          <w:rPr>
            <w:rStyle w:val="Hyperlink"/>
          </w:rPr>
          <w:t xml:space="preserve">aneel.gov.br</w:t>
        </w:r>
      </w:hyperlink>
      <w:r>
        <w:t xml:space="preserve"> </w:t>
      </w:r>
      <w:r>
        <w:t xml:space="preserve">— Dados de custos operacionais de distribuidoras para analisar economias de escala em monopolio natural.</w:t>
      </w:r>
    </w:p>
    <w:p>
      <w:pPr>
        <w:pStyle w:val="Compact"/>
        <w:numPr>
          <w:ilvl w:val="0"/>
          <w:numId w:val="1685"/>
        </w:numPr>
      </w:pPr>
      <w:r>
        <w:rPr>
          <w:b/>
          <w:bCs/>
        </w:rPr>
        <w:t xml:space="preserve">Notebook:</w:t>
      </w:r>
      <w:r>
        <w:t xml:space="preserve"> </w:t>
      </w:r>
      <w:r>
        <w:t xml:space="preserve">N10 — Curvas de custo (CMg, CMe, CVMe e shutdown point).</w:t>
      </w:r>
    </w:p>
    <w:bookmarkStart w:id="731" w:name="revisão-rápida-12"/>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A diferença fundamental entre custo econômico e custo contábil é que:</w:t>
      </w:r>
    </w:p>
    <w:p>
      <w:pPr>
        <w:pStyle w:val="Compact"/>
        <w:numPr>
          <w:ilvl w:val="0"/>
          <w:numId w:val="1686"/>
        </w:numPr>
      </w:pPr>
    </w:p>
    <w:p>
      <w:pPr>
        <w:pStyle w:val="Compact"/>
        <w:numPr>
          <w:ilvl w:val="1"/>
          <w:numId w:val="1687"/>
        </w:numPr>
      </w:pPr>
      <w:r>
        <w:t xml:space="preserve">O custo econômico inclui apenas desembolsos monetários efetivos</w:t>
      </w:r>
    </w:p>
    <w:p>
      <w:pPr>
        <w:pStyle w:val="Compact"/>
        <w:numPr>
          <w:ilvl w:val="0"/>
          <w:numId w:val="1686"/>
        </w:numPr>
      </w:pPr>
    </w:p>
    <w:p>
      <w:pPr>
        <w:pStyle w:val="Compact"/>
        <w:numPr>
          <w:ilvl w:val="1"/>
          <w:numId w:val="1688"/>
        </w:numPr>
      </w:pPr>
      <w:r>
        <w:t xml:space="preserve">O custo econômico inclui o custo de oportunidade dos recursos próprios (capital, tempo do empreendedor), enquanto o contábil não</w:t>
      </w:r>
    </w:p>
    <w:p>
      <w:pPr>
        <w:pStyle w:val="Compact"/>
        <w:numPr>
          <w:ilvl w:val="0"/>
          <w:numId w:val="1686"/>
        </w:numPr>
      </w:pPr>
    </w:p>
    <w:p>
      <w:pPr>
        <w:pStyle w:val="Compact"/>
        <w:numPr>
          <w:ilvl w:val="1"/>
          <w:numId w:val="1689"/>
        </w:numPr>
      </w:pPr>
      <w:r>
        <w:t xml:space="preserve">O custo contábil é sempre maior que o econômico</w:t>
      </w:r>
    </w:p>
    <w:p>
      <w:pPr>
        <w:pStyle w:val="Compact"/>
        <w:numPr>
          <w:ilvl w:val="0"/>
          <w:numId w:val="1686"/>
        </w:numPr>
      </w:pPr>
    </w:p>
    <w:p>
      <w:pPr>
        <w:pStyle w:val="Compact"/>
        <w:numPr>
          <w:ilvl w:val="1"/>
          <w:numId w:val="1690"/>
        </w:numPr>
      </w:pPr>
      <w:r>
        <w:t xml:space="preserve">O custo econômico ignora os custos fixos</w:t>
      </w:r>
    </w:p>
    <w:p>
      <w:pPr>
        <w:pStyle w:val="BlockText"/>
      </w:pPr>
      <w:r>
        <w:t xml:space="preserve">??? success</w:t>
      </w:r>
      <w:r>
        <w:t xml:space="preserve"> </w:t>
      </w:r>
      <w:r>
        <w:t xml:space="preserve">“Resposta”</w:t>
      </w:r>
      <w:r>
        <w:t xml:space="preserve"> </w:t>
      </w:r>
      <w:r>
        <w:rPr>
          <w:b/>
          <w:bCs/>
        </w:rPr>
        <w:t xml:space="preserve">(b)</w:t>
      </w:r>
      <w:r>
        <w:t xml:space="preserve"> </w:t>
      </w:r>
      <w:r>
        <w:t xml:space="preserve">O custo econômico considera o custo de oportunidade de todos os recursos, incluindo os próprios do empresário (retorno que obteria em alternativas). O lucro contábil pode ser positivo enquanto o lucro econômico é zero ou negativo. A alternativa (a) descreve o custo contábil; (c) inverte — o econômico é pelo menos tão grande quanto o contábil.</w:t>
      </w:r>
    </w:p>
    <w:p>
      <w:pPr>
        <w:pStyle w:val="BlockText"/>
      </w:pPr>
      <w:r>
        <w:rPr>
          <w:b/>
          <w:bCs/>
        </w:rPr>
        <w:t xml:space="preserve">[QUESTAO] 2. No curto prazo, a curva de custo marginal (CMg) cruza a curva de custo variável médio (CVMe) em seu:</w:t>
      </w:r>
    </w:p>
    <w:p>
      <w:pPr>
        <w:pStyle w:val="Compact"/>
        <w:numPr>
          <w:ilvl w:val="0"/>
          <w:numId w:val="1691"/>
        </w:numPr>
      </w:pPr>
    </w:p>
    <w:p>
      <w:pPr>
        <w:pStyle w:val="Compact"/>
        <w:numPr>
          <w:ilvl w:val="1"/>
          <w:numId w:val="1692"/>
        </w:numPr>
      </w:pPr>
      <w:r>
        <w:t xml:space="preserve">Ponto de máximo</w:t>
      </w:r>
    </w:p>
    <w:p>
      <w:pPr>
        <w:pStyle w:val="Compact"/>
        <w:numPr>
          <w:ilvl w:val="0"/>
          <w:numId w:val="1691"/>
        </w:numPr>
      </w:pPr>
    </w:p>
    <w:p>
      <w:pPr>
        <w:pStyle w:val="Compact"/>
        <w:numPr>
          <w:ilvl w:val="1"/>
          <w:numId w:val="1693"/>
        </w:numPr>
      </w:pPr>
      <w:r>
        <w:t xml:space="preserve">Ponto de mínimo</w:t>
      </w:r>
    </w:p>
    <w:p>
      <w:pPr>
        <w:pStyle w:val="Compact"/>
        <w:numPr>
          <w:ilvl w:val="0"/>
          <w:numId w:val="1691"/>
        </w:numPr>
      </w:pPr>
    </w:p>
    <w:p>
      <w:pPr>
        <w:pStyle w:val="Compact"/>
        <w:numPr>
          <w:ilvl w:val="1"/>
          <w:numId w:val="1694"/>
        </w:numPr>
      </w:pPr>
      <w:r>
        <w:t xml:space="preserve">Ponto de inflexão</w:t>
      </w:r>
    </w:p>
    <w:p>
      <w:pPr>
        <w:pStyle w:val="Compact"/>
        <w:numPr>
          <w:ilvl w:val="0"/>
          <w:numId w:val="1691"/>
        </w:numPr>
      </w:pPr>
    </w:p>
    <w:p>
      <w:pPr>
        <w:pStyle w:val="Compact"/>
        <w:numPr>
          <w:ilvl w:val="1"/>
          <w:numId w:val="1695"/>
        </w:numPr>
      </w:pPr>
      <w:r>
        <w:t xml:space="preserve">Intercepto vertical</w:t>
      </w:r>
    </w:p>
    <w:p>
      <w:pPr>
        <w:pStyle w:val="BlockText"/>
      </w:pPr>
      <w:r>
        <w:t xml:space="preserve">??? success</w:t>
      </w:r>
      <w:r>
        <w:t xml:space="preserve"> </w:t>
      </w:r>
      <w:r>
        <w:t xml:space="preserve">“Resposta”</w:t>
      </w:r>
      <w:r>
        <w:t xml:space="preserve"> </w:t>
      </w:r>
      <w:r>
        <w:rPr>
          <w:b/>
          <w:bCs/>
        </w:rPr>
        <w:t xml:space="preserve">(b)</w:t>
      </w:r>
      <w:r>
        <w:t xml:space="preserve"> </w:t>
      </w:r>
      <w:r>
        <w:t xml:space="preserve">Quando</w:t>
      </w:r>
      <w:r>
        <w:t xml:space="preserve"> </w:t>
      </w:r>
      <m:oMath>
        <m:r>
          <m:rPr>
            <m:nor/>
            <m:sty m:val="p"/>
          </m:rPr>
          <m:t>CMg</m:t>
        </m:r>
        <m:r>
          <m:rPr>
            <m:sty m:val="p"/>
          </m:rPr>
          <m:t>&lt;</m:t>
        </m:r>
        <m:r>
          <m:rPr>
            <m:nor/>
            <m:sty m:val="p"/>
          </m:rPr>
          <m:t>CVMe</m:t>
        </m:r>
      </m:oMath>
      <w:r>
        <w:t xml:space="preserve">, o CVMe está caindo; quando</w:t>
      </w:r>
      <w:r>
        <w:t xml:space="preserve"> </w:t>
      </w:r>
      <m:oMath>
        <m:r>
          <m:rPr>
            <m:nor/>
            <m:sty m:val="p"/>
          </m:rPr>
          <m:t>CMg</m:t>
        </m:r>
        <m:r>
          <m:rPr>
            <m:sty m:val="p"/>
          </m:rPr>
          <m:t>&gt;</m:t>
        </m:r>
        <m:r>
          <m:rPr>
            <m:nor/>
            <m:sty m:val="p"/>
          </m:rPr>
          <m:t>CVMe</m:t>
        </m:r>
      </m:oMath>
      <w:r>
        <w:t xml:space="preserve">, o CVMe está subindo. Portanto, o CMg cruza o CVMe exatamente no mínimo do CVMe. O mesmo raciocínio se aplica à relação entre CMg e CTMe. A alternativa (a) é incorreta — as curvas médias em U não têm máximo relevante neste contexto; (c) refere-se a outra propriedade.</w:t>
      </w:r>
    </w:p>
    <w:p>
      <w:pPr>
        <w:pStyle w:val="BlockText"/>
      </w:pPr>
      <w:r>
        <w:rPr>
          <w:b/>
          <w:bCs/>
        </w:rPr>
        <w:t xml:space="preserve">[QUESTAO] 3. Economias de escala existem quando:</w:t>
      </w:r>
    </w:p>
    <w:p>
      <w:pPr>
        <w:pStyle w:val="Compact"/>
        <w:numPr>
          <w:ilvl w:val="0"/>
          <w:numId w:val="1696"/>
        </w:numPr>
      </w:pPr>
    </w:p>
    <w:p>
      <w:pPr>
        <w:pStyle w:val="Compact"/>
        <w:numPr>
          <w:ilvl w:val="1"/>
          <w:numId w:val="1697"/>
        </w:numPr>
      </w:pPr>
      <w:r>
        <w:t xml:space="preserve">O custo marginal é crescente</w:t>
      </w:r>
    </w:p>
    <w:p>
      <w:pPr>
        <w:pStyle w:val="Compact"/>
        <w:numPr>
          <w:ilvl w:val="0"/>
          <w:numId w:val="1696"/>
        </w:numPr>
      </w:pPr>
    </w:p>
    <w:p>
      <w:pPr>
        <w:pStyle w:val="Compact"/>
        <w:numPr>
          <w:ilvl w:val="1"/>
          <w:numId w:val="1698"/>
        </w:numPr>
      </w:pPr>
      <w:r>
        <w:t xml:space="preserve">O custo médio de longo prazo é decrescente — produzir mais reduz o custo por unidade</w:t>
      </w:r>
    </w:p>
    <w:p>
      <w:pPr>
        <w:pStyle w:val="Compact"/>
        <w:numPr>
          <w:ilvl w:val="0"/>
          <w:numId w:val="1696"/>
        </w:numPr>
      </w:pPr>
    </w:p>
    <w:p>
      <w:pPr>
        <w:pStyle w:val="Compact"/>
        <w:numPr>
          <w:ilvl w:val="1"/>
          <w:numId w:val="1699"/>
        </w:numPr>
      </w:pPr>
      <w:r>
        <w:t xml:space="preserve">O custo fixo é zero</w:t>
      </w:r>
    </w:p>
    <w:p>
      <w:pPr>
        <w:pStyle w:val="Compact"/>
        <w:numPr>
          <w:ilvl w:val="0"/>
          <w:numId w:val="1696"/>
        </w:numPr>
      </w:pPr>
    </w:p>
    <w:p>
      <w:pPr>
        <w:pStyle w:val="Compact"/>
        <w:numPr>
          <w:ilvl w:val="1"/>
          <w:numId w:val="1700"/>
        </w:numPr>
      </w:pPr>
      <w:r>
        <w:t xml:space="preserve">O custo total é proporcional à quantidade produzida</w:t>
      </w:r>
    </w:p>
    <w:p>
      <w:pPr>
        <w:pStyle w:val="BlockText"/>
      </w:pPr>
      <w:r>
        <w:t xml:space="preserve">??? success</w:t>
      </w:r>
      <w:r>
        <w:t xml:space="preserve"> </w:t>
      </w:r>
      <w:r>
        <w:t xml:space="preserve">“Resposta”</w:t>
      </w:r>
      <w:r>
        <w:t xml:space="preserve"> </w:t>
      </w:r>
      <w:r>
        <w:rPr>
          <w:b/>
          <w:bCs/>
        </w:rPr>
        <w:t xml:space="preserve">(b)</w:t>
      </w:r>
      <w:r>
        <w:t xml:space="preserve"> </w:t>
      </w:r>
      <w:r>
        <w:t xml:space="preserve">Economias de escala significam que o custo médio de longo prazo (CMeLP) cai à medida que a produção aumenta. Ocorrem por indivisibilidades, especialização do trabalho ou vantagens tecnológicas. A alternativa (a) é compatível com deseconomias de escala; (c) eliminaria parte das economias de escala (que vêm de diluir custos fixos); (d) implica custo médio constante (nem economias nem deseconomias).</w:t>
      </w:r>
    </w:p>
    <w:p>
      <w:pPr>
        <w:pStyle w:val="BlockText"/>
      </w:pPr>
      <w:r>
        <w:rPr>
          <w:b/>
          <w:bCs/>
        </w:rPr>
        <w:t xml:space="preserve">[QUESTAO] 4. No longo prazo, todos os insumos são variáveis. Isso implica que:</w:t>
      </w:r>
    </w:p>
    <w:p>
      <w:pPr>
        <w:pStyle w:val="Compact"/>
        <w:numPr>
          <w:ilvl w:val="0"/>
          <w:numId w:val="1701"/>
        </w:numPr>
      </w:pPr>
    </w:p>
    <w:p>
      <w:pPr>
        <w:pStyle w:val="Compact"/>
        <w:numPr>
          <w:ilvl w:val="1"/>
          <w:numId w:val="1702"/>
        </w:numPr>
      </w:pPr>
      <w:r>
        <w:t xml:space="preserve">Os custos fixos de longo prazo são positivos</w:t>
      </w:r>
    </w:p>
    <w:p>
      <w:pPr>
        <w:pStyle w:val="Compact"/>
        <w:numPr>
          <w:ilvl w:val="0"/>
          <w:numId w:val="1701"/>
        </w:numPr>
      </w:pPr>
    </w:p>
    <w:p>
      <w:pPr>
        <w:pStyle w:val="Compact"/>
        <w:numPr>
          <w:ilvl w:val="1"/>
          <w:numId w:val="1703"/>
        </w:numPr>
      </w:pPr>
      <w:r>
        <w:t xml:space="preserve">A curva de custo médio de longo prazo é a envoltória inferior das curvas de custo médio de curto prazo</w:t>
      </w:r>
    </w:p>
    <w:p>
      <w:pPr>
        <w:pStyle w:val="Compact"/>
        <w:numPr>
          <w:ilvl w:val="0"/>
          <w:numId w:val="1701"/>
        </w:numPr>
      </w:pPr>
    </w:p>
    <w:p>
      <w:pPr>
        <w:pStyle w:val="Compact"/>
        <w:numPr>
          <w:ilvl w:val="1"/>
          <w:numId w:val="1704"/>
        </w:numPr>
      </w:pPr>
      <w:r>
        <w:t xml:space="preserve">O custo marginal de longo prazo é sempre maior que o de curto prazo</w:t>
      </w:r>
    </w:p>
    <w:p>
      <w:pPr>
        <w:pStyle w:val="Compact"/>
        <w:numPr>
          <w:ilvl w:val="0"/>
          <w:numId w:val="1701"/>
        </w:numPr>
      </w:pPr>
    </w:p>
    <w:p>
      <w:pPr>
        <w:pStyle w:val="Compact"/>
        <w:numPr>
          <w:ilvl w:val="1"/>
          <w:numId w:val="1705"/>
        </w:numPr>
      </w:pPr>
      <w:r>
        <w:t xml:space="preserve">A firma não pode ajustar a escala da planta</w:t>
      </w:r>
    </w:p>
    <w:p>
      <w:pPr>
        <w:pStyle w:val="BlockText"/>
      </w:pPr>
      <w:r>
        <w:t xml:space="preserve">??? success</w:t>
      </w:r>
      <w:r>
        <w:t xml:space="preserve"> </w:t>
      </w:r>
      <w:r>
        <w:t xml:space="preserve">“Resposta”</w:t>
      </w:r>
      <w:r>
        <w:t xml:space="preserve"> </w:t>
      </w:r>
      <w:r>
        <w:rPr>
          <w:b/>
          <w:bCs/>
        </w:rPr>
        <w:t xml:space="preserve">(b)</w:t>
      </w:r>
      <w:r>
        <w:t xml:space="preserve"> </w:t>
      </w:r>
      <w:r>
        <w:t xml:space="preserve">No longo prazo, a firma escolhe a escala ótima para cada nível de produção. O CMeLP é a envoltória das curvas de CMeCP — para cada</w:t>
      </w:r>
      <w:r>
        <w:t xml:space="preserve"> </w:t>
      </w:r>
      <m:oMath>
        <m:r>
          <m:t>q</m:t>
        </m:r>
      </m:oMath>
      <w:r>
        <w:t xml:space="preserve">, é o menor custo médio possível entre todas as escalas de planta. A alternativa (a) é falsa por definição; (c) inverte — o CMgLP é geralmente menor que o CMgCP porque há mais flexibilidade; (d) contradiz a definição de longo prazo.</w:t>
      </w:r>
    </w:p>
    <w:p>
      <w:pPr>
        <w:pStyle w:val="BlockText"/>
      </w:pPr>
      <w:r>
        <w:rPr>
          <w:b/>
          <w:bCs/>
        </w:rPr>
        <w:t xml:space="preserve">[QUESTAO] 5. A curva de custo total de curto prazo tem formato em S (sigmoide) porque:</w:t>
      </w:r>
    </w:p>
    <w:p>
      <w:pPr>
        <w:pStyle w:val="Compact"/>
        <w:numPr>
          <w:ilvl w:val="0"/>
          <w:numId w:val="1706"/>
        </w:numPr>
      </w:pPr>
    </w:p>
    <w:p>
      <w:pPr>
        <w:pStyle w:val="Compact"/>
        <w:numPr>
          <w:ilvl w:val="1"/>
          <w:numId w:val="1707"/>
        </w:numPr>
      </w:pPr>
      <w:r>
        <w:t xml:space="preserve">Os preços dos insumos variam com a quantidade produzida</w:t>
      </w:r>
    </w:p>
    <w:p>
      <w:pPr>
        <w:pStyle w:val="Compact"/>
        <w:numPr>
          <w:ilvl w:val="0"/>
          <w:numId w:val="1706"/>
        </w:numPr>
      </w:pPr>
    </w:p>
    <w:p>
      <w:pPr>
        <w:pStyle w:val="Compact"/>
        <w:numPr>
          <w:ilvl w:val="1"/>
          <w:numId w:val="1708"/>
        </w:numPr>
      </w:pPr>
      <w:r>
        <w:t xml:space="preserve">Inicialmente há rendimentos crescentes do fator variável (custo cresce a taxas decrescentes) e depois rendimentos decrescentes (custo cresce a taxas crescentes)</w:t>
      </w:r>
    </w:p>
    <w:p>
      <w:pPr>
        <w:pStyle w:val="Compact"/>
        <w:numPr>
          <w:ilvl w:val="0"/>
          <w:numId w:val="1706"/>
        </w:numPr>
      </w:pPr>
    </w:p>
    <w:p>
      <w:pPr>
        <w:pStyle w:val="Compact"/>
        <w:numPr>
          <w:ilvl w:val="1"/>
          <w:numId w:val="1709"/>
        </w:numPr>
      </w:pPr>
      <w:r>
        <w:t xml:space="preserve">Os custos fixos aumentam com a produção</w:t>
      </w:r>
    </w:p>
    <w:p>
      <w:pPr>
        <w:pStyle w:val="Compact"/>
        <w:numPr>
          <w:ilvl w:val="0"/>
          <w:numId w:val="1706"/>
        </w:numPr>
      </w:pPr>
    </w:p>
    <w:p>
      <w:pPr>
        <w:pStyle w:val="Compact"/>
        <w:numPr>
          <w:ilvl w:val="1"/>
          <w:numId w:val="1710"/>
        </w:numPr>
      </w:pPr>
      <w:r>
        <w:t xml:space="preserve">A firma sempre opera com excesso de capacidade</w:t>
      </w:r>
    </w:p>
    <w:p>
      <w:pPr>
        <w:pStyle w:val="BlockText"/>
      </w:pPr>
      <w:r>
        <w:t xml:space="preserve">??? success</w:t>
      </w:r>
      <w:r>
        <w:t xml:space="preserve"> </w:t>
      </w:r>
      <w:r>
        <w:t xml:space="preserve">“Resposta”</w:t>
      </w:r>
      <w:r>
        <w:t xml:space="preserve"> </w:t>
      </w:r>
      <w:r>
        <w:rPr>
          <w:b/>
          <w:bCs/>
        </w:rPr>
        <w:t xml:space="preserve">(b)</w:t>
      </w:r>
      <w:r>
        <w:t xml:space="preserve"> </w:t>
      </w:r>
      <w:r>
        <w:t xml:space="preserve">A forma em S reflete a lei dos rendimentos marginais: com pouco uso do fator variável, há ganhos de especialização (rendimentos crescentes → custo marginal decrescente); além de certo ponto, o congestionamento do fator fixo causa rendimentos decrescentes → custo marginal crescente. A alternativa (c) contradiz a definição de custos fixos.</w:t>
      </w:r>
    </w:p>
    <w:bookmarkEnd w:id="731"/>
    <w:bookmarkStart w:id="732" w:name="resumo-do-capítulo-12"/>
    <w:p>
      <w:pPr>
        <w:pStyle w:val="Heading3"/>
      </w:pPr>
      <w:r>
        <w:t xml:space="preserve">📋 Resumo do Capítulo</w:t>
      </w:r>
    </w:p>
    <w:p>
      <w:pPr>
        <w:pStyle w:val="Compact"/>
        <w:numPr>
          <w:ilvl w:val="0"/>
          <w:numId w:val="1711"/>
        </w:numPr>
      </w:pPr>
      <w:r>
        <w:t xml:space="preserve">O</w:t>
      </w:r>
      <w:r>
        <w:t xml:space="preserve"> </w:t>
      </w:r>
      <w:r>
        <w:rPr>
          <w:b/>
          <w:bCs/>
        </w:rPr>
        <w:t xml:space="preserve">custo econômico</w:t>
      </w:r>
      <w:r>
        <w:t xml:space="preserve"> </w:t>
      </w:r>
      <w:r>
        <w:t xml:space="preserve">difere do custo contábil por incluir o custo de oportunidade dos recursos próprios da firma (capital do proprietário, tempo do empreendedor), enquanto o custo contábil registra apenas desembolsos efetivos. Essa distinção é fundamental para avaliar corretamente a lucratividade de um negócio.</w:t>
      </w:r>
    </w:p>
    <w:p>
      <w:pPr>
        <w:pStyle w:val="Compact"/>
        <w:numPr>
          <w:ilvl w:val="0"/>
          <w:numId w:val="1711"/>
        </w:numPr>
      </w:pPr>
      <w:r>
        <w:t xml:space="preserve">No</w:t>
      </w:r>
      <w:r>
        <w:t xml:space="preserve"> </w:t>
      </w:r>
      <w:r>
        <w:rPr>
          <w:b/>
          <w:bCs/>
        </w:rPr>
        <w:t xml:space="preserve">curto prazo</w:t>
      </w:r>
      <w:r>
        <w:t xml:space="preserve">, a firma opera com pelo menos um insumo fixo, gerando custos fixos e variáveis. As curvas de custo marginal (CMg), custo variável médio (CVMe) e custo total médio (CTMe) possuem formato em U — reflexo da lei dos rendimentos marginais decrescentes — e se relacionam de maneira precisa: o CMg cruza o CVMe e o CTMe em seus respectivos pontos de mínimo.</w:t>
      </w:r>
    </w:p>
    <w:p>
      <w:pPr>
        <w:pStyle w:val="Compact"/>
        <w:numPr>
          <w:ilvl w:val="0"/>
          <w:numId w:val="1711"/>
        </w:numPr>
      </w:pPr>
      <w:r>
        <w:t xml:space="preserve">No</w:t>
      </w:r>
      <w:r>
        <w:t xml:space="preserve"> </w:t>
      </w:r>
      <w:r>
        <w:rPr>
          <w:b/>
          <w:bCs/>
        </w:rPr>
        <w:t xml:space="preserve">longo prazo</w:t>
      </w:r>
      <w:r>
        <w:t xml:space="preserve">, todos os insumos são variáveis e a firma resolve o problema de</w:t>
      </w:r>
      <w:r>
        <w:t xml:space="preserve"> </w:t>
      </w:r>
      <w:r>
        <w:rPr>
          <w:b/>
          <w:bCs/>
        </w:rPr>
        <w:t xml:space="preserve">minimização de custos</w:t>
      </w:r>
      <w:r>
        <w:t xml:space="preserve"> </w:t>
      </w:r>
      <w:r>
        <w:t xml:space="preserve">sujeita à restrição tecnológica, o que gera a condição de tangência entre a isocusto e a isoquanta:</w:t>
      </w:r>
      <w:r>
        <w:t xml:space="preserve"> </w:t>
      </w:r>
      <m:oMath>
        <m:r>
          <m:rPr>
            <m:sty m:val="p"/>
          </m:rPr>
          <m:t>T</m:t>
        </m:r>
        <m:r>
          <m:rPr>
            <m:sty m:val="p"/>
          </m:rPr>
          <m:t>M</m:t>
        </m:r>
        <m:r>
          <m:rPr>
            <m:sty m:val="p"/>
          </m:rPr>
          <m:t>S</m:t>
        </m:r>
        <m:r>
          <m:rPr>
            <m:sty m:val="p"/>
          </m:rPr>
          <m:t>T</m:t>
        </m:r>
        <m:r>
          <m:rPr>
            <m:sty m:val="p"/>
          </m:rPr>
          <m:t>=</m:t>
        </m:r>
        <m:r>
          <m:t>w</m:t>
        </m:r>
        <m:r>
          <m:rPr>
            <m:sty m:val="p"/>
          </m:rPr>
          <m:t>/</m:t>
        </m:r>
        <m:r>
          <m:t>v</m:t>
        </m:r>
      </m:oMath>
      <w:r>
        <w:t xml:space="preserve">.</w:t>
      </w:r>
    </w:p>
    <w:p>
      <w:pPr>
        <w:pStyle w:val="Compact"/>
        <w:numPr>
          <w:ilvl w:val="0"/>
          <w:numId w:val="1711"/>
        </w:numPr>
      </w:pPr>
      <w:r>
        <w:t xml:space="preserve">O</w:t>
      </w:r>
      <w:r>
        <w:t xml:space="preserve"> </w:t>
      </w:r>
      <w:r>
        <w:rPr>
          <w:b/>
          <w:bCs/>
        </w:rPr>
        <w:t xml:space="preserve">Lema de Shephard</w:t>
      </w:r>
      <w:r>
        <w:t xml:space="preserve"> </w:t>
      </w:r>
      <w:r>
        <w:t xml:space="preserve">estabelece que as demandas condicionadas por insumos podem ser obtidas como derivadas parciais da função custo em relação aos preços dos insumos, conectando a dualidade entre produção e custos.</w:t>
      </w:r>
    </w:p>
    <w:p>
      <w:pPr>
        <w:pStyle w:val="Compact"/>
        <w:numPr>
          <w:ilvl w:val="0"/>
          <w:numId w:val="1711"/>
        </w:numPr>
      </w:pPr>
      <w:r>
        <w:t xml:space="preserve">As</w:t>
      </w:r>
      <w:r>
        <w:t xml:space="preserve"> </w:t>
      </w:r>
      <w:r>
        <w:rPr>
          <w:b/>
          <w:bCs/>
        </w:rPr>
        <w:t xml:space="preserve">economias de escala</w:t>
      </w:r>
      <w:r>
        <w:t xml:space="preserve"> </w:t>
      </w:r>
      <w:r>
        <w:t xml:space="preserve">e as</w:t>
      </w:r>
      <w:r>
        <w:t xml:space="preserve"> </w:t>
      </w:r>
      <w:r>
        <w:rPr>
          <w:b/>
          <w:bCs/>
        </w:rPr>
        <w:t xml:space="preserve">economias de escopo</w:t>
      </w:r>
      <w:r>
        <w:t xml:space="preserve"> </w:t>
      </w:r>
      <w:r>
        <w:t xml:space="preserve">explicam por que firmas maiores ou diversificadas podem ter custos médios menores, sendo conceitos centrais para a organização industrial. A curva de custo médio de longo prazo é a envoltória das curvas de curto prazo.</w:t>
      </w:r>
    </w:p>
    <w:p>
      <w:pPr>
        <w:pStyle w:val="Compact"/>
        <w:numPr>
          <w:ilvl w:val="0"/>
          <w:numId w:val="1711"/>
        </w:numPr>
      </w:pPr>
      <w:r>
        <w:t xml:space="preserve">No contexto brasileiro, o chamado</w:t>
      </w:r>
      <w:r>
        <w:t xml:space="preserve"> </w:t>
      </w:r>
      <w:r>
        <w:rPr>
          <w:b/>
          <w:bCs/>
        </w:rPr>
        <w:t xml:space="preserve">“custo Brasil”</w:t>
      </w:r>
      <w:r>
        <w:t xml:space="preserve"> </w:t>
      </w:r>
      <w:r>
        <w:t xml:space="preserve">— carga tributária, logística deficiente, burocracia — representa um deslocamento para cima da curva de custos das firmas nacionais, reduzindo sua competitividade internacional.</w:t>
      </w:r>
    </w:p>
    <w:bookmarkEnd w:id="732"/>
    <w:bookmarkStart w:id="733" w:name="conceitos-chave-12"/>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Custo econômico</w:t>
            </w:r>
          </w:p>
        </w:tc>
        <w:tc>
          <w:tcPr/>
          <w:p>
            <w:pPr>
              <w:pStyle w:val="Compact"/>
            </w:pPr>
            <w:r>
              <w:t xml:space="preserve">Custo total de utilização de recursos, incluindo custos explícitos (desembolsos) e implícitos (custo de oportunidade dos recursos próprios).</w:t>
            </w:r>
          </w:p>
        </w:tc>
      </w:tr>
      <w:tr>
        <w:tc>
          <w:tcPr/>
          <w:p>
            <w:pPr>
              <w:pStyle w:val="Compact"/>
            </w:pPr>
            <w:r>
              <w:t xml:space="preserve">Custo de oportunidade</w:t>
            </w:r>
          </w:p>
        </w:tc>
        <w:tc>
          <w:tcPr/>
          <w:p>
            <w:pPr>
              <w:pStyle w:val="Compact"/>
            </w:pPr>
            <w:r>
              <w:t xml:space="preserve">Valor do melhor uso alternativo de um recurso; base do conceito de custo econômico.</w:t>
            </w:r>
          </w:p>
        </w:tc>
      </w:tr>
      <w:tr>
        <w:tc>
          <w:tcPr/>
          <w:p>
            <w:pPr>
              <w:pStyle w:val="Compact"/>
            </w:pPr>
            <w:r>
              <w:t xml:space="preserve">Custo fixo (CF)</w:t>
            </w:r>
          </w:p>
        </w:tc>
        <w:tc>
          <w:tcPr/>
          <w:p>
            <w:pPr>
              <w:pStyle w:val="Compact"/>
            </w:pPr>
            <w:r>
              <w:t xml:space="preserve">Custo que não varia com o nível de produção no curto prazo (aluguel, depreciação de equipamentos).</w:t>
            </w:r>
          </w:p>
        </w:tc>
      </w:tr>
      <w:tr>
        <w:tc>
          <w:tcPr/>
          <w:p>
            <w:pPr>
              <w:pStyle w:val="Compact"/>
            </w:pPr>
            <w:r>
              <w:t xml:space="preserve">Custo variável (CV)</w:t>
            </w:r>
          </w:p>
        </w:tc>
        <w:tc>
          <w:tcPr/>
          <w:p>
            <w:pPr>
              <w:pStyle w:val="Compact"/>
            </w:pPr>
            <w:r>
              <w:t xml:space="preserve">Custo que varia com o nível de produção (matéria-prima, mão de obra variável).</w:t>
            </w:r>
          </w:p>
        </w:tc>
      </w:tr>
      <w:tr>
        <w:tc>
          <w:tcPr/>
          <w:p>
            <w:pPr>
              <w:pStyle w:val="Compact"/>
            </w:pPr>
            <w:r>
              <w:t xml:space="preserve">Custo marginal (CMg)</w:t>
            </w:r>
          </w:p>
        </w:tc>
        <w:tc>
          <w:tcPr/>
          <w:p>
            <w:pPr>
              <w:pStyle w:val="Compact"/>
            </w:pPr>
            <w:r>
              <w:t xml:space="preserve">Acréscimo ao custo total decorrente da produção de uma unidade adicional:</w:t>
            </w:r>
            <w:r>
              <w:t xml:space="preserve"> </w:t>
            </w:r>
            <m:oMath>
              <m:r>
                <m:rPr>
                  <m:sty m:val="p"/>
                </m:rPr>
                <m:t>C</m:t>
              </m:r>
              <m:r>
                <m:rPr>
                  <m:sty m:val="p"/>
                </m:rPr>
                <m:t>M</m:t>
              </m:r>
              <m:r>
                <m:rPr>
                  <m:sty m:val="p"/>
                </m:rPr>
                <m:t>g</m:t>
              </m:r>
              <m:r>
                <m:rPr>
                  <m:sty m:val="p"/>
                </m:rPr>
                <m:t>=</m:t>
              </m:r>
              <m:r>
                <m:t>d</m:t>
              </m:r>
              <m:r>
                <m:t>C</m:t>
              </m:r>
              <m:r>
                <m:t>T</m:t>
              </m:r>
              <m:r>
                <m:rPr>
                  <m:sty m:val="p"/>
                </m:rPr>
                <m:t>/</m:t>
              </m:r>
              <m:r>
                <m:t>d</m:t>
              </m:r>
              <m:r>
                <m:t>q</m:t>
              </m:r>
            </m:oMath>
            <w:r>
              <w:t xml:space="preserve">.</w:t>
            </w:r>
          </w:p>
        </w:tc>
      </w:tr>
      <w:tr>
        <w:tc>
          <w:tcPr/>
          <w:p>
            <w:pPr>
              <w:pStyle w:val="Compact"/>
            </w:pPr>
            <w:r>
              <w:t xml:space="preserve">Isocusto</w:t>
            </w:r>
          </w:p>
        </w:tc>
        <w:tc>
          <w:tcPr/>
          <w:p>
            <w:pPr>
              <w:pStyle w:val="Compact"/>
            </w:pPr>
            <w:r>
              <w:t xml:space="preserve">Reta representando todas as combinações de insumos que geram o mesmo custo total:</w:t>
            </w:r>
            <w:r>
              <w:t xml:space="preserve"> </w:t>
            </w:r>
            <m:oMath>
              <m:r>
                <m:t>C</m:t>
              </m:r>
              <m:r>
                <m:rPr>
                  <m:sty m:val="p"/>
                </m:rPr>
                <m:t>=</m:t>
              </m:r>
              <m:r>
                <m:t>w</m:t>
              </m:r>
              <m:r>
                <m:t>L</m:t>
              </m:r>
              <m:r>
                <m:rPr>
                  <m:sty m:val="p"/>
                </m:rPr>
                <m:t>+</m:t>
              </m:r>
              <m:r>
                <m:t>v</m:t>
              </m:r>
              <m:r>
                <m:t>K</m:t>
              </m:r>
            </m:oMath>
            <w:r>
              <w:t xml:space="preserve">.</w:t>
            </w:r>
          </w:p>
        </w:tc>
      </w:tr>
      <w:tr>
        <w:tc>
          <w:tcPr/>
          <w:p>
            <w:pPr>
              <w:pStyle w:val="Compact"/>
            </w:pPr>
            <w:r>
              <w:t xml:space="preserve">Lema de Shephard</w:t>
            </w:r>
          </w:p>
        </w:tc>
        <w:tc>
          <w:tcPr/>
          <w:p>
            <w:pPr>
              <w:pStyle w:val="Compact"/>
            </w:pPr>
            <w:r>
              <w:t xml:space="preserve">As demandas condicionadas (hicksianas) por insumos são obtidas derivando a função custo em relação ao preço de cada insumo:</w:t>
            </w:r>
            <w:r>
              <w:t xml:space="preserve"> </w:t>
            </w:r>
            <m:oMath>
              <m:sSup>
                <m:e>
                  <m:r>
                    <m:t>L</m:t>
                  </m:r>
                </m:e>
                <m:sup>
                  <m:r>
                    <m:rPr>
                      <m:sty m:val="p"/>
                    </m:rPr>
                    <m:t>*</m:t>
                  </m:r>
                </m:sup>
              </m:sSup>
              <m:r>
                <m:rPr>
                  <m:sty m:val="p"/>
                </m:rPr>
                <m:t>(</m:t>
              </m:r>
              <m:r>
                <m:t>w</m:t>
              </m:r>
              <m:r>
                <m:rPr>
                  <m:sty m:val="p"/>
                </m:rPr>
                <m:t>,</m:t>
              </m:r>
              <m:r>
                <m:t>v</m:t>
              </m:r>
              <m:r>
                <m:rPr>
                  <m:sty m:val="p"/>
                </m:rPr>
                <m:t>,</m:t>
              </m:r>
              <m:r>
                <m:t>q</m:t>
              </m:r>
              <m:r>
                <m:rPr>
                  <m:sty m:val="p"/>
                </m:rPr>
                <m:t>)</m:t>
              </m:r>
              <m:r>
                <m:rPr>
                  <m:sty m:val="p"/>
                </m:rPr>
                <m:t>=</m:t>
              </m:r>
              <m:r>
                <m:rPr>
                  <m:sty m:val="p"/>
                </m:rPr>
                <m:t>∂</m:t>
              </m:r>
              <m:r>
                <m:t>C</m:t>
              </m:r>
              <m:r>
                <m:rPr>
                  <m:sty m:val="p"/>
                </m:rPr>
                <m:t>/</m:t>
              </m:r>
              <m:r>
                <m:rPr>
                  <m:sty m:val="p"/>
                </m:rPr>
                <m:t>∂</m:t>
              </m:r>
              <m:r>
                <m:t>w</m:t>
              </m:r>
            </m:oMath>
            <w:r>
              <w:t xml:space="preserve">.</w:t>
            </w:r>
          </w:p>
        </w:tc>
      </w:tr>
      <w:tr>
        <w:tc>
          <w:tcPr/>
          <w:p>
            <w:pPr>
              <w:pStyle w:val="Compact"/>
            </w:pPr>
            <w:r>
              <w:t xml:space="preserve">Economias de escala</w:t>
            </w:r>
          </w:p>
        </w:tc>
        <w:tc>
          <w:tcPr/>
          <w:p>
            <w:pPr>
              <w:pStyle w:val="Compact"/>
            </w:pPr>
            <w:r>
              <w:t xml:space="preserve">Redução do custo médio de longo prazo à medida que a escala de produção aumenta.</w:t>
            </w:r>
          </w:p>
        </w:tc>
      </w:tr>
      <w:tr>
        <w:tc>
          <w:tcPr/>
          <w:p>
            <w:pPr>
              <w:pStyle w:val="Compact"/>
            </w:pPr>
            <w:r>
              <w:t xml:space="preserve">Economias de escopo</w:t>
            </w:r>
          </w:p>
        </w:tc>
        <w:tc>
          <w:tcPr/>
          <w:p>
            <w:pPr>
              <w:pStyle w:val="Compact"/>
            </w:pPr>
            <w:r>
              <w:t xml:space="preserve">Redução de custos ao produzir dois ou mais bens conjuntamente em vez de separadamente.</w:t>
            </w:r>
          </w:p>
        </w:tc>
      </w:tr>
      <w:tr>
        <w:tc>
          <w:tcPr/>
          <w:p>
            <w:pPr>
              <w:pStyle w:val="Compact"/>
            </w:pPr>
            <w:r>
              <w:t xml:space="preserve">Curva envoltória</w:t>
            </w:r>
          </w:p>
        </w:tc>
        <w:tc>
          <w:tcPr/>
          <w:p>
            <w:pPr>
              <w:pStyle w:val="Compact"/>
            </w:pPr>
            <w:r>
              <w:t xml:space="preserve">Curva de custo médio de longo prazo, tangente a cada curva de custo médio de curto prazo no ponto ótimo de escala de planta.</w:t>
            </w:r>
          </w:p>
        </w:tc>
      </w:tr>
    </w:tbl>
    <w:p>
      <w:pPr>
        <w:pStyle w:val="BodyText"/>
      </w:pPr>
      <w:r>
        <w:rPr>
          <w:b/>
          <w:bCs/>
        </w:rPr>
        <w:t xml:space="preserve">Tabela 11.2 — Conceitos-chave.</w:t>
      </w:r>
    </w:p>
    <w:p>
      <w:r>
        <w:pict>
          <v:rect style="width:0;height:1.5pt" o:hralign="center" o:hrstd="t" o:hr="t"/>
        </w:pict>
      </w:r>
    </w:p>
    <w:bookmarkEnd w:id="733"/>
    <w:bookmarkStart w:id="734" w:name="exercícios-15"/>
    <w:p>
      <w:pPr>
        <w:pStyle w:val="Heading3"/>
      </w:pPr>
      <w:r>
        <w:t xml:space="preserve">Exercícios</w:t>
      </w:r>
    </w:p>
    <w:p>
      <w:pPr>
        <w:pStyle w:val="FirstParagraph"/>
      </w:pPr>
      <w:r>
        <w:rPr>
          <w:b/>
          <w:bCs/>
        </w:rPr>
        <w:t xml:space="preserve">Exercício 11.1.</w:t>
      </w:r>
      <w:r>
        <w:t xml:space="preserve"> </w:t>
      </w:r>
      <w:r>
        <w:t xml:space="preserve">Uma firma com função de produção Cobb-Douglas</w:t>
      </w:r>
      <w:r>
        <w:t xml:space="preserve"> </w:t>
      </w:r>
      <m:oMath>
        <m:r>
          <m:t>q</m:t>
        </m:r>
        <m:r>
          <m:rPr>
            <m:sty m:val="p"/>
          </m:rPr>
          <m:t>=</m:t>
        </m:r>
        <m:sSup>
          <m:e>
            <m:r>
              <m:t>K</m:t>
            </m:r>
          </m:e>
          <m:sup>
            <m:r>
              <m:t>1</m:t>
            </m:r>
            <m:r>
              <m:rPr>
                <m:sty m:val="p"/>
              </m:rPr>
              <m:t>/</m:t>
            </m:r>
            <m:r>
              <m:t>2</m:t>
            </m:r>
          </m:sup>
        </m:sSup>
        <m:sSup>
          <m:e>
            <m:r>
              <m:t>L</m:t>
            </m:r>
          </m:e>
          <m:sup>
            <m:r>
              <m:t>1</m:t>
            </m:r>
            <m:r>
              <m:rPr>
                <m:sty m:val="p"/>
              </m:rPr>
              <m:t>/</m:t>
            </m:r>
            <m:r>
              <m:t>2</m:t>
            </m:r>
          </m:sup>
        </m:sSup>
      </m:oMath>
      <w:r>
        <w:t xml:space="preserve"> </w:t>
      </w:r>
      <w:r>
        <w:t xml:space="preserve">enfrenta preços de insumos</w:t>
      </w:r>
      <w:r>
        <w:t xml:space="preserve"> </w:t>
      </w:r>
      <m:oMath>
        <m:r>
          <m:t>w</m:t>
        </m:r>
        <m:r>
          <m:rPr>
            <m:sty m:val="p"/>
          </m:rPr>
          <m:t>=</m:t>
        </m:r>
        <m:r>
          <m:t>4</m:t>
        </m:r>
      </m:oMath>
      <w:r>
        <w:t xml:space="preserve"> </w:t>
      </w:r>
      <w:r>
        <w:t xml:space="preserve">e</w:t>
      </w:r>
      <w:r>
        <w:t xml:space="preserve"> </w:t>
      </w:r>
      <m:oMath>
        <m:r>
          <m:t>v</m:t>
        </m:r>
        <m:r>
          <m:rPr>
            <m:sty m:val="p"/>
          </m:rPr>
          <m:t>=</m:t>
        </m:r>
        <m:r>
          <m:t>1</m:t>
        </m:r>
      </m:oMath>
      <w:r>
        <w:t xml:space="preserve">.</w:t>
      </w:r>
    </w:p>
    <w:p>
      <w:pPr>
        <w:numPr>
          <w:ilvl w:val="0"/>
          <w:numId w:val="1712"/>
        </w:numPr>
      </w:pPr>
      <w:r>
        <w:t xml:space="preserve">Derive as demandas condicionadas por insumos</w:t>
      </w:r>
      <w:r>
        <w:t xml:space="preserve"> </w:t>
      </w:r>
      <m:oMath>
        <m:sSup>
          <m:e>
            <m:r>
              <m:t>K</m:t>
            </m:r>
          </m:e>
          <m:sup>
            <m:r>
              <m:t>c</m:t>
            </m:r>
          </m:sup>
        </m:sSup>
        <m:r>
          <m:rPr>
            <m:sty m:val="p"/>
          </m:rPr>
          <m:t>(</m:t>
        </m:r>
        <m:r>
          <m:t>w</m:t>
        </m:r>
        <m:r>
          <m:rPr>
            <m:sty m:val="p"/>
          </m:rPr>
          <m:t>,</m:t>
        </m:r>
        <m:r>
          <m:t>v</m:t>
        </m:r>
        <m:r>
          <m:rPr>
            <m:sty m:val="p"/>
          </m:rPr>
          <m:t>,</m:t>
        </m:r>
        <m:r>
          <m:t>q</m:t>
        </m:r>
        <m:r>
          <m:rPr>
            <m:sty m:val="p"/>
          </m:rPr>
          <m:t>)</m:t>
        </m:r>
      </m:oMath>
      <w:r>
        <w:t xml:space="preserve"> </w:t>
      </w:r>
      <w:r>
        <w:t xml:space="preserve">e</w:t>
      </w:r>
      <w:r>
        <w:t xml:space="preserve"> </w:t>
      </w:r>
      <m:oMath>
        <m:sSup>
          <m:e>
            <m:r>
              <m:t>L</m:t>
            </m:r>
          </m:e>
          <m:sup>
            <m:r>
              <m:t>c</m:t>
            </m:r>
          </m:sup>
        </m:sSup>
        <m:r>
          <m:rPr>
            <m:sty m:val="p"/>
          </m:rPr>
          <m:t>(</m:t>
        </m:r>
        <m:r>
          <m:t>w</m:t>
        </m:r>
        <m:r>
          <m:rPr>
            <m:sty m:val="p"/>
          </m:rPr>
          <m:t>,</m:t>
        </m:r>
        <m:r>
          <m:t>v</m:t>
        </m:r>
        <m:r>
          <m:rPr>
            <m:sty m:val="p"/>
          </m:rPr>
          <m:t>,</m:t>
        </m:r>
        <m:r>
          <m:t>q</m:t>
        </m:r>
        <m:r>
          <m:rPr>
            <m:sty m:val="p"/>
          </m:rPr>
          <m:t>)</m:t>
        </m:r>
      </m:oMath>
      <w:r>
        <w:t xml:space="preserve">.</w:t>
      </w:r>
    </w:p>
    <w:p>
      <w:pPr>
        <w:numPr>
          <w:ilvl w:val="0"/>
          <w:numId w:val="1712"/>
        </w:numPr>
      </w:pPr>
      <w:r>
        <w:t xml:space="preserve">Obtenha a função custo</w:t>
      </w:r>
      <w:r>
        <w:t xml:space="preserve"> </w:t>
      </w:r>
      <m:oMath>
        <m:r>
          <m:t>C</m:t>
        </m:r>
        <m:r>
          <m:rPr>
            <m:sty m:val="p"/>
          </m:rPr>
          <m:t>(</m:t>
        </m:r>
        <m:r>
          <m:t>w</m:t>
        </m:r>
        <m:r>
          <m:rPr>
            <m:sty m:val="p"/>
          </m:rPr>
          <m:t>,</m:t>
        </m:r>
        <m:r>
          <m:t>v</m:t>
        </m:r>
        <m:r>
          <m:rPr>
            <m:sty m:val="p"/>
          </m:rPr>
          <m:t>,</m:t>
        </m:r>
        <m:r>
          <m:t>q</m:t>
        </m:r>
        <m:r>
          <m:rPr>
            <m:sty m:val="p"/>
          </m:rPr>
          <m:t>)</m:t>
        </m:r>
      </m:oMath>
      <w:r>
        <w:t xml:space="preserve">.</w:t>
      </w:r>
    </w:p>
    <w:p>
      <w:pPr>
        <w:numPr>
          <w:ilvl w:val="0"/>
          <w:numId w:val="1712"/>
        </w:numPr>
      </w:pPr>
      <w:r>
        <w:t xml:space="preserve">Verifique o Lema de Shephard calculando</w:t>
      </w:r>
      <w:r>
        <w:t xml:space="preserve"> </w:t>
      </w:r>
      <m:oMath>
        <m:r>
          <m:rPr>
            <m:sty m:val="p"/>
          </m:rPr>
          <m:t>∂</m:t>
        </m:r>
        <m:r>
          <m:t>C</m:t>
        </m:r>
        <m:r>
          <m:rPr>
            <m:sty m:val="p"/>
          </m:rPr>
          <m:t>/</m:t>
        </m:r>
        <m:r>
          <m:rPr>
            <m:sty m:val="p"/>
          </m:rPr>
          <m:t>∂</m:t>
        </m:r>
        <m:r>
          <m:t>w</m:t>
        </m:r>
      </m:oMath>
      <w:r>
        <w:t xml:space="preserve"> </w:t>
      </w:r>
      <w:r>
        <w:t xml:space="preserve">e</w:t>
      </w:r>
      <w:r>
        <w:t xml:space="preserve"> </w:t>
      </w:r>
      <m:oMath>
        <m:r>
          <m:rPr>
            <m:sty m:val="p"/>
          </m:rPr>
          <m:t>∂</m:t>
        </m:r>
        <m:r>
          <m:t>C</m:t>
        </m:r>
        <m:r>
          <m:rPr>
            <m:sty m:val="p"/>
          </m:rPr>
          <m:t>/</m:t>
        </m:r>
        <m:r>
          <m:rPr>
            <m:sty m:val="p"/>
          </m:rPr>
          <m:t>∂</m:t>
        </m:r>
        <m:r>
          <m:t>v</m:t>
        </m:r>
      </m:oMath>
      <w:r>
        <w:t xml:space="preserve">.</w:t>
      </w:r>
    </w:p>
    <w:p>
      <w:pPr>
        <w:numPr>
          <w:ilvl w:val="0"/>
          <w:numId w:val="1712"/>
        </w:numPr>
      </w:pPr>
      <w:r>
        <w:t xml:space="preserve">Calcule o custo total para produzir</w:t>
      </w:r>
      <w:r>
        <w:t xml:space="preserve"> </w:t>
      </w:r>
      <m:oMath>
        <m:r>
          <m:t>q</m:t>
        </m:r>
        <m:r>
          <m:rPr>
            <m:sty m:val="p"/>
          </m:rPr>
          <m:t>=</m:t>
        </m:r>
        <m:r>
          <m:t>10</m:t>
        </m:r>
      </m:oMath>
      <w:r>
        <w:t xml:space="preserve">.</w:t>
      </w:r>
    </w:p>
    <w:p>
      <w:pPr>
        <w:numPr>
          <w:ilvl w:val="0"/>
          <w:numId w:val="1712"/>
        </w:numPr>
      </w:pPr>
      <w:r>
        <w:t xml:space="preserve">Determine o custo marginal e o custo médio e mostre que são constantes. Explique por que isso ocorre (dica: relacione com rendimentos de escala).</w:t>
      </w:r>
    </w:p>
    <w:p>
      <w:pPr>
        <w:pStyle w:val="FirstParagraph"/>
      </w:pPr>
      <w:r>
        <w:t xml:space="preserve">Ver solução (Cap. 11)</w:t>
      </w:r>
    </w:p>
    <w:p>
      <w:r>
        <w:pict>
          <v:rect style="width:0;height:1.5pt" o:hralign="center" o:hrstd="t" o:hr="t"/>
        </w:pict>
      </w:r>
    </w:p>
    <w:p>
      <w:pPr>
        <w:pStyle w:val="FirstParagraph"/>
      </w:pPr>
      <w:r>
        <w:rPr>
          <w:b/>
          <w:bCs/>
        </w:rPr>
        <w:t xml:space="preserve">Exercício 11.2.</w:t>
      </w:r>
      <w:r>
        <w:t xml:space="preserve"> </w:t>
      </w:r>
      <w:r>
        <w:t xml:space="preserve">Considere a função de custo total de curto prazo</w:t>
      </w:r>
      <w:r>
        <w:t xml:space="preserve"> </w:t>
      </w:r>
      <m:oMath>
        <m:r>
          <m:t>C</m:t>
        </m:r>
        <m:r>
          <m:t>T</m:t>
        </m:r>
        <m:r>
          <m:rPr>
            <m:sty m:val="p"/>
          </m:rPr>
          <m:t>(</m:t>
        </m:r>
        <m:r>
          <m:t>q</m:t>
        </m:r>
        <m:r>
          <m:rPr>
            <m:sty m:val="p"/>
          </m:rPr>
          <m:t>)</m:t>
        </m:r>
        <m:r>
          <m:rPr>
            <m:sty m:val="p"/>
          </m:rPr>
          <m:t>=</m:t>
        </m:r>
        <m:r>
          <m:t>100</m:t>
        </m:r>
        <m:r>
          <m:rPr>
            <m:sty m:val="p"/>
          </m:rPr>
          <m:t>+</m:t>
        </m:r>
        <m:r>
          <m:t>10</m:t>
        </m:r>
        <m:r>
          <m:t>q</m:t>
        </m:r>
        <m:r>
          <m:rPr>
            <m:sty m:val="p"/>
          </m:rPr>
          <m:t>−</m:t>
        </m:r>
        <m:r>
          <m:t>2</m:t>
        </m:r>
        <m:sSup>
          <m:e>
            <m:r>
              <m:t>q</m:t>
            </m:r>
          </m:e>
          <m:sup>
            <m:r>
              <m:t>2</m:t>
            </m:r>
          </m:sup>
        </m:sSup>
        <m:r>
          <m:rPr>
            <m:sty m:val="p"/>
          </m:rPr>
          <m:t>+</m:t>
        </m:r>
        <m:sSup>
          <m:e>
            <m:r>
              <m:t>q</m:t>
            </m:r>
          </m:e>
          <m:sup>
            <m:r>
              <m:t>3</m:t>
            </m:r>
          </m:sup>
        </m:sSup>
        <m:r>
          <m:rPr>
            <m:sty m:val="p"/>
          </m:rPr>
          <m:t>/</m:t>
        </m:r>
        <m:r>
          <m:t>3</m:t>
        </m:r>
      </m:oMath>
      <w:r>
        <w:t xml:space="preserve">.</w:t>
      </w:r>
    </w:p>
    <w:p>
      <w:pPr>
        <w:numPr>
          <w:ilvl w:val="0"/>
          <w:numId w:val="1713"/>
        </w:numPr>
      </w:pPr>
      <w:r>
        <w:t xml:space="preserve">Identifique o custo fixo e o custo variável.</w:t>
      </w:r>
    </w:p>
    <w:p>
      <w:pPr>
        <w:numPr>
          <w:ilvl w:val="0"/>
          <w:numId w:val="1713"/>
        </w:numPr>
      </w:pPr>
      <w:r>
        <w:t xml:space="preserve">Derive as expressões de CMe, CVMe e CMg.</w:t>
      </w:r>
    </w:p>
    <w:p>
      <w:pPr>
        <w:numPr>
          <w:ilvl w:val="0"/>
          <w:numId w:val="1713"/>
        </w:numPr>
      </w:pPr>
      <w:r>
        <w:t xml:space="preserve">Encontre o nível de produção que minimiza o CMe e o nível que minimiza o CVMe.</w:t>
      </w:r>
    </w:p>
    <w:p>
      <w:pPr>
        <w:numPr>
          <w:ilvl w:val="0"/>
          <w:numId w:val="1713"/>
        </w:numPr>
      </w:pPr>
      <w:r>
        <w:t xml:space="preserve">Verifique que o CMg cruza o CMe e o CVMe nos respectivos pontos de mínimo.</w:t>
      </w:r>
    </w:p>
    <w:p>
      <w:pPr>
        <w:pStyle w:val="FirstParagraph"/>
      </w:pPr>
      <w:r>
        <w:t xml:space="preserve">Ver solução (Cap. 11)</w:t>
      </w:r>
    </w:p>
    <w:p>
      <w:r>
        <w:pict>
          <v:rect style="width:0;height:1.5pt" o:hralign="center" o:hrstd="t" o:hr="t"/>
        </w:pict>
      </w:r>
    </w:p>
    <w:p>
      <w:pPr>
        <w:pStyle w:val="FirstParagraph"/>
      </w:pPr>
      <w:r>
        <w:rPr>
          <w:b/>
          <w:bCs/>
        </w:rPr>
        <w:t xml:space="preserve">Exercício 11.3.</w:t>
      </w:r>
      <w:r>
        <w:t xml:space="preserve"> </w:t>
      </w:r>
      <w:r>
        <w:t xml:space="preserve">Uma firma opera com a tecnologia</w:t>
      </w:r>
      <w:r>
        <w:t xml:space="preserve"> </w:t>
      </w:r>
      <m:oMath>
        <m:r>
          <m:t>q</m:t>
        </m:r>
        <m:r>
          <m:rPr>
            <m:sty m:val="p"/>
          </m:rPr>
          <m:t>=</m:t>
        </m:r>
        <m:r>
          <m:rPr>
            <m:sty m:val="p"/>
          </m:rPr>
          <m:t>min</m:t>
        </m:r>
        <m:r>
          <m:rPr>
            <m:sty m:val="p"/>
          </m:rPr>
          <m:t>{</m:t>
        </m:r>
        <m:r>
          <m:t>K</m:t>
        </m:r>
        <m:r>
          <m:rPr>
            <m:sty m:val="p"/>
          </m:rPr>
          <m:t>,</m:t>
        </m:r>
        <m:r>
          <m:t>2</m:t>
        </m:r>
        <m:r>
          <m:t>L</m:t>
        </m:r>
        <m:r>
          <m:rPr>
            <m:sty m:val="p"/>
          </m:rPr>
          <m:t>}</m:t>
        </m:r>
      </m:oMath>
      <w:r>
        <w:t xml:space="preserve"> </w:t>
      </w:r>
      <w:r>
        <w:t xml:space="preserve">e enfrenta preços</w:t>
      </w:r>
      <w:r>
        <w:t xml:space="preserve"> </w:t>
      </w:r>
      <m:oMath>
        <m:r>
          <m:t>v</m:t>
        </m:r>
        <m:r>
          <m:rPr>
            <m:sty m:val="p"/>
          </m:rPr>
          <m:t>=</m:t>
        </m:r>
        <m:r>
          <m:t>8</m:t>
        </m:r>
      </m:oMath>
      <w:r>
        <w:t xml:space="preserve"> </w:t>
      </w:r>
      <w:r>
        <w:t xml:space="preserve">e</w:t>
      </w:r>
      <w:r>
        <w:t xml:space="preserve"> </w:t>
      </w:r>
      <m:oMath>
        <m:r>
          <m:t>w</m:t>
        </m:r>
        <m:r>
          <m:rPr>
            <m:sty m:val="p"/>
          </m:rPr>
          <m:t>=</m:t>
        </m:r>
        <m:r>
          <m:t>2</m:t>
        </m:r>
      </m:oMath>
      <w:r>
        <w:t xml:space="preserve">.</w:t>
      </w:r>
    </w:p>
    <w:p>
      <w:pPr>
        <w:numPr>
          <w:ilvl w:val="0"/>
          <w:numId w:val="1714"/>
        </w:numPr>
      </w:pPr>
      <w:r>
        <w:t xml:space="preserve">Derive a função custo</w:t>
      </w:r>
      <w:r>
        <w:t xml:space="preserve"> </w:t>
      </w:r>
      <m:oMath>
        <m:r>
          <m:t>C</m:t>
        </m:r>
        <m:r>
          <m:rPr>
            <m:sty m:val="p"/>
          </m:rPr>
          <m:t>(</m:t>
        </m:r>
        <m:r>
          <m:t>q</m:t>
        </m:r>
        <m:r>
          <m:rPr>
            <m:sty m:val="p"/>
          </m:rPr>
          <m:t>)</m:t>
        </m:r>
      </m:oMath>
      <w:r>
        <w:t xml:space="preserve">.</w:t>
      </w:r>
    </w:p>
    <w:p>
      <w:pPr>
        <w:numPr>
          <w:ilvl w:val="0"/>
          <w:numId w:val="1714"/>
        </w:numPr>
      </w:pPr>
      <w:r>
        <w:t xml:space="preserve">Calcule CMe e CMg. São constantes? Justifique.</w:t>
      </w:r>
    </w:p>
    <w:p>
      <w:pPr>
        <w:numPr>
          <w:ilvl w:val="0"/>
          <w:numId w:val="1714"/>
        </w:numPr>
      </w:pPr>
      <w:r>
        <w:t xml:space="preserve">Compare com o caso de uma Cobb-Douglas com rendimentos constantes. Em que se assemelham os custos?</w:t>
      </w:r>
    </w:p>
    <w:p>
      <w:pPr>
        <w:pStyle w:val="FirstParagraph"/>
      </w:pPr>
      <w:r>
        <w:t xml:space="preserve">Ver solução (Cap. 11)</w:t>
      </w:r>
    </w:p>
    <w:p>
      <w:r>
        <w:pict>
          <v:rect style="width:0;height:1.5pt" o:hralign="center" o:hrstd="t" o:hr="t"/>
        </w:pict>
      </w:r>
    </w:p>
    <w:p>
      <w:pPr>
        <w:pStyle w:val="FirstParagraph"/>
      </w:pPr>
      <w:r>
        <w:rPr>
          <w:b/>
          <w:bCs/>
        </w:rPr>
        <w:t xml:space="preserve">Exercício 11.4.</w:t>
      </w:r>
      <w:r>
        <w:t xml:space="preserve"> </w:t>
      </w:r>
      <w:r>
        <w:t xml:space="preserve">Explique graficamente e algebricamente por que a curva de custo médio de longo prazo é a envoltória das curvas de custo médio de curto prazo. Use o caso de uma firma com função de produção</w:t>
      </w:r>
      <w:r>
        <w:t xml:space="preserve"> </w:t>
      </w:r>
      <m:oMath>
        <m:r>
          <m:t>q</m:t>
        </m:r>
        <m:r>
          <m:rPr>
            <m:sty m:val="p"/>
          </m:rPr>
          <m:t>=</m:t>
        </m:r>
        <m:sSup>
          <m:e>
            <m:r>
              <m:t>K</m:t>
            </m:r>
          </m:e>
          <m:sup>
            <m:r>
              <m:t>1</m:t>
            </m:r>
            <m:r>
              <m:rPr>
                <m:sty m:val="p"/>
              </m:rPr>
              <m:t>/</m:t>
            </m:r>
            <m:r>
              <m:t>3</m:t>
            </m:r>
          </m:sup>
        </m:sSup>
        <m:sSup>
          <m:e>
            <m:r>
              <m:t>L</m:t>
            </m:r>
          </m:e>
          <m:sup>
            <m:r>
              <m:t>1</m:t>
            </m:r>
            <m:r>
              <m:rPr>
                <m:sty m:val="p"/>
              </m:rPr>
              <m:t>/</m:t>
            </m:r>
            <m:r>
              <m:t>3</m:t>
            </m:r>
          </m:sup>
        </m:sSup>
      </m:oMath>
      <w:r>
        <w:t xml:space="preserve"> </w:t>
      </w:r>
      <w:r>
        <w:t xml:space="preserve">e preços de insumos</w:t>
      </w:r>
      <w:r>
        <w:t xml:space="preserve"> </w:t>
      </w:r>
      <m:oMath>
        <m:r>
          <m:t>w</m:t>
        </m:r>
        <m:r>
          <m:rPr>
            <m:sty m:val="p"/>
          </m:rPr>
          <m:t>=</m:t>
        </m:r>
        <m:r>
          <m:t>v</m:t>
        </m:r>
        <m:r>
          <m:rPr>
            <m:sty m:val="p"/>
          </m:rPr>
          <m:t>=</m:t>
        </m:r>
        <m:r>
          <m:t>1</m:t>
        </m:r>
      </m:oMath>
      <w:r>
        <w:t xml:space="preserve"> </w:t>
      </w:r>
      <w:r>
        <w:t xml:space="preserve">para:</w:t>
      </w:r>
    </w:p>
    <w:p>
      <w:pPr>
        <w:numPr>
          <w:ilvl w:val="0"/>
          <w:numId w:val="1715"/>
        </w:numPr>
      </w:pPr>
      <w:r>
        <w:t xml:space="preserve">Derivar a função custo de longo prazo.</w:t>
      </w:r>
    </w:p>
    <w:p>
      <w:pPr>
        <w:numPr>
          <w:ilvl w:val="0"/>
          <w:numId w:val="1715"/>
        </w:numPr>
      </w:pPr>
      <w:r>
        <w:t xml:space="preserve">Fixar</w:t>
      </w:r>
      <w:r>
        <w:t xml:space="preserve"> </w:t>
      </w:r>
      <m:oMath>
        <m:acc>
          <m:accPr>
            <m:chr m:val="‾"/>
          </m:accPr>
          <m:e>
            <m:r>
              <m:t>K</m:t>
            </m:r>
          </m:e>
        </m:acc>
        <m:r>
          <m:rPr>
            <m:sty m:val="p"/>
          </m:rPr>
          <m:t>=</m:t>
        </m:r>
        <m:r>
          <m:t>4</m:t>
        </m:r>
      </m:oMath>
      <w:r>
        <w:t xml:space="preserve"> </w:t>
      </w:r>
      <w:r>
        <w:t xml:space="preserve">e derivar a função custo de curto prazo.</w:t>
      </w:r>
    </w:p>
    <w:p>
      <w:pPr>
        <w:numPr>
          <w:ilvl w:val="0"/>
          <w:numId w:val="1715"/>
        </w:numPr>
      </w:pPr>
      <w:r>
        <w:t xml:space="preserve">Mostrar que</w:t>
      </w:r>
      <w:r>
        <w:t xml:space="preserve"> </w:t>
      </w:r>
      <m:oMath>
        <m:sSub>
          <m:e>
            <m:r>
              <m:rPr>
                <m:sty m:val="p"/>
              </m:rPr>
              <m:t>C</m:t>
            </m:r>
            <m:r>
              <m:rPr>
                <m:sty m:val="p"/>
              </m:rPr>
              <m:t>M</m:t>
            </m:r>
            <m:r>
              <m:rPr>
                <m:sty m:val="p"/>
              </m:rPr>
              <m:t>e</m:t>
            </m:r>
          </m:e>
          <m:sub>
            <m:r>
              <m:t>L</m:t>
            </m:r>
            <m:r>
              <m:t>P</m:t>
            </m:r>
          </m:sub>
        </m:sSub>
        <m:r>
          <m:rPr>
            <m:sty m:val="p"/>
          </m:rPr>
          <m:t>(</m:t>
        </m:r>
        <m:r>
          <m:t>q</m:t>
        </m:r>
        <m:r>
          <m:rPr>
            <m:sty m:val="p"/>
          </m:rPr>
          <m:t>)</m:t>
        </m:r>
        <m:r>
          <m:rPr>
            <m:sty m:val="p"/>
          </m:rPr>
          <m:t>≤</m:t>
        </m:r>
        <m:sSub>
          <m:e>
            <m:r>
              <m:rPr>
                <m:sty m:val="p"/>
              </m:rPr>
              <m:t>C</m:t>
            </m:r>
            <m:r>
              <m:rPr>
                <m:sty m:val="p"/>
              </m:rPr>
              <m:t>M</m:t>
            </m:r>
            <m:r>
              <m:rPr>
                <m:sty m:val="p"/>
              </m:rPr>
              <m:t>e</m:t>
            </m:r>
          </m:e>
          <m:sub>
            <m:r>
              <m:t>C</m:t>
            </m:r>
            <m:r>
              <m:t>P</m:t>
            </m:r>
          </m:sub>
        </m:sSub>
        <m:r>
          <m:rPr>
            <m:sty m:val="p"/>
          </m:rPr>
          <m:t>(</m:t>
        </m:r>
        <m:r>
          <m:t>q</m:t>
        </m:r>
        <m:r>
          <m:rPr>
            <m:sty m:val="p"/>
          </m:rPr>
          <m:t>;</m:t>
        </m:r>
        <m:acc>
          <m:accPr>
            <m:chr m:val="‾"/>
          </m:accPr>
          <m:e>
            <m:r>
              <m:t>K</m:t>
            </m:r>
          </m:e>
        </m:acc>
        <m:r>
          <m:rPr>
            <m:sty m:val="p"/>
          </m:rPr>
          <m:t>=</m:t>
        </m:r>
        <m:r>
          <m:t>4</m:t>
        </m:r>
        <m:r>
          <m:rPr>
            <m:sty m:val="p"/>
          </m:rPr>
          <m:t>)</m:t>
        </m:r>
      </m:oMath>
      <w:r>
        <w:t xml:space="preserve"> </w:t>
      </w:r>
      <w:r>
        <w:t xml:space="preserve">para todo</w:t>
      </w:r>
      <w:r>
        <w:t xml:space="preserve"> </w:t>
      </w:r>
      <m:oMath>
        <m:r>
          <m:t>q</m:t>
        </m:r>
      </m:oMath>
      <w:r>
        <w:t xml:space="preserve">, com igualdade em um ponto específico.</w:t>
      </w:r>
    </w:p>
    <w:p>
      <w:pPr>
        <w:pStyle w:val="FirstParagraph"/>
      </w:pPr>
      <w:r>
        <w:t xml:space="preserve">Ver solução (Cap. 11)</w:t>
      </w:r>
    </w:p>
    <w:p>
      <w:r>
        <w:pict>
          <v:rect style="width:0;height:1.5pt" o:hralign="center" o:hrstd="t" o:hr="t"/>
        </w:pict>
      </w:r>
    </w:p>
    <w:p>
      <w:pPr>
        <w:pStyle w:val="FirstParagraph"/>
      </w:pPr>
      <w:r>
        <w:rPr>
          <w:b/>
          <w:bCs/>
        </w:rPr>
        <w:t xml:space="preserve">Exercício 11.5.</w:t>
      </w:r>
      <w:r>
        <w:t xml:space="preserve"> </w:t>
      </w:r>
      <w:r>
        <w:t xml:space="preserve">Uma firma produz com a tecnologia</w:t>
      </w:r>
      <w:r>
        <w:t xml:space="preserve"> </w:t>
      </w:r>
      <m:oMath>
        <m:r>
          <m:t>q</m:t>
        </m:r>
        <m:r>
          <m:rPr>
            <m:sty m:val="p"/>
          </m:rPr>
          <m:t>=</m:t>
        </m:r>
        <m:r>
          <m:t>A</m:t>
        </m:r>
        <m:sSup>
          <m:e>
            <m:r>
              <m:t>L</m:t>
            </m:r>
          </m:e>
          <m:sup>
            <m:r>
              <m:t>α</m:t>
            </m:r>
          </m:sup>
        </m:sSup>
        <m:sSup>
          <m:e>
            <m:r>
              <m:t>K</m:t>
            </m:r>
          </m:e>
          <m:sup>
            <m:r>
              <m:t>β</m:t>
            </m:r>
          </m:sup>
        </m:sSup>
      </m:oMath>
      <w:r>
        <w:t xml:space="preserve">, onde</w:t>
      </w:r>
      <w:r>
        <w:t xml:space="preserve"> </w:t>
      </w:r>
      <m:oMath>
        <m:r>
          <m:t>α</m:t>
        </m:r>
        <m:r>
          <m:rPr>
            <m:sty m:val="p"/>
          </m:rPr>
          <m:t>+</m:t>
        </m:r>
        <m:r>
          <m:t>β</m:t>
        </m:r>
        <m:r>
          <m:rPr>
            <m:sty m:val="p"/>
          </m:rPr>
          <m:t>=</m:t>
        </m:r>
        <m:r>
          <m:t>1</m:t>
        </m:r>
      </m:oMath>
      <w:r>
        <w:t xml:space="preserve"> </w:t>
      </w:r>
      <w:r>
        <w:t xml:space="preserve">(rendimentos constantes de escala).</w:t>
      </w:r>
    </w:p>
    <w:p>
      <w:pPr>
        <w:numPr>
          <w:ilvl w:val="0"/>
          <w:numId w:val="1716"/>
        </w:numPr>
      </w:pPr>
      <w:r>
        <w:t xml:space="preserve">Mostre que a função custo é linear em</w:t>
      </w:r>
      <w:r>
        <w:t xml:space="preserve"> </w:t>
      </w:r>
      <m:oMath>
        <m:r>
          <m:t>q</m:t>
        </m:r>
      </m:oMath>
      <w:r>
        <w:t xml:space="preserve">:</w:t>
      </w:r>
      <w:r>
        <w:t xml:space="preserve"> </w:t>
      </w:r>
      <m:oMath>
        <m:r>
          <m:t>C</m:t>
        </m:r>
        <m:r>
          <m:rPr>
            <m:sty m:val="p"/>
          </m:rPr>
          <m:t>(</m:t>
        </m:r>
        <m:r>
          <m:t>w</m:t>
        </m:r>
        <m:r>
          <m:rPr>
            <m:sty m:val="p"/>
          </m:rPr>
          <m:t>,</m:t>
        </m:r>
        <m:r>
          <m:t>v</m:t>
        </m:r>
        <m:r>
          <m:rPr>
            <m:sty m:val="p"/>
          </m:rPr>
          <m:t>,</m:t>
        </m:r>
        <m:r>
          <m:t>q</m:t>
        </m:r>
        <m:r>
          <m:rPr>
            <m:sty m:val="p"/>
          </m:rPr>
          <m:t>)</m:t>
        </m:r>
        <m:r>
          <m:rPr>
            <m:sty m:val="p"/>
          </m:rPr>
          <m:t>=</m:t>
        </m:r>
        <m:r>
          <m:t>c</m:t>
        </m:r>
        <m:r>
          <m:rPr>
            <m:sty m:val="p"/>
          </m:rPr>
          <m:t>(</m:t>
        </m:r>
        <m:r>
          <m:t>w</m:t>
        </m:r>
        <m:r>
          <m:rPr>
            <m:sty m:val="p"/>
          </m:rPr>
          <m:t>,</m:t>
        </m:r>
        <m:r>
          <m:t>v</m:t>
        </m:r>
        <m:r>
          <m:rPr>
            <m:sty m:val="p"/>
          </m:rPr>
          <m:t>)</m:t>
        </m:r>
        <m:r>
          <m:rPr>
            <m:sty m:val="p"/>
          </m:rPr>
          <m:t>⋅</m:t>
        </m:r>
        <m:r>
          <m:t>q</m:t>
        </m:r>
      </m:oMath>
      <w:r>
        <w:t xml:space="preserve">, onde</w:t>
      </w:r>
      <w:r>
        <w:t xml:space="preserve"> </w:t>
      </w:r>
      <m:oMath>
        <m:r>
          <m:t>c</m:t>
        </m:r>
        <m:r>
          <m:rPr>
            <m:sty m:val="p"/>
          </m:rPr>
          <m:t>(</m:t>
        </m:r>
        <m:r>
          <m:t>w</m:t>
        </m:r>
        <m:r>
          <m:rPr>
            <m:sty m:val="p"/>
          </m:rPr>
          <m:t>,</m:t>
        </m:r>
        <m:r>
          <m:t>v</m:t>
        </m:r>
        <m:r>
          <m:rPr>
            <m:sty m:val="p"/>
          </m:rPr>
          <m:t>)</m:t>
        </m:r>
      </m:oMath>
      <w:r>
        <w:t xml:space="preserve"> </w:t>
      </w:r>
      <w:r>
        <w:t xml:space="preserve">é o custo unitário.</w:t>
      </w:r>
    </w:p>
    <w:p>
      <w:pPr>
        <w:numPr>
          <w:ilvl w:val="0"/>
          <w:numId w:val="1716"/>
        </w:numPr>
      </w:pPr>
      <w:r>
        <w:t xml:space="preserve">Derive a expressão de</w:t>
      </w:r>
      <w:r>
        <w:t xml:space="preserve"> </w:t>
      </w:r>
      <m:oMath>
        <m:r>
          <m:t>c</m:t>
        </m:r>
        <m:r>
          <m:rPr>
            <m:sty m:val="p"/>
          </m:rPr>
          <m:t>(</m:t>
        </m:r>
        <m:r>
          <m:t>w</m:t>
        </m:r>
        <m:r>
          <m:rPr>
            <m:sty m:val="p"/>
          </m:rPr>
          <m:t>,</m:t>
        </m:r>
        <m:r>
          <m:t>v</m:t>
        </m:r>
        <m:r>
          <m:rPr>
            <m:sty m:val="p"/>
          </m:rPr>
          <m:t>)</m:t>
        </m:r>
      </m:oMath>
      <w:r>
        <w:t xml:space="preserve"> </w:t>
      </w:r>
      <w:r>
        <w:t xml:space="preserve">e mostre que ele é homogêneo de grau 1 nos preços dos insumos.</w:t>
      </w:r>
    </w:p>
    <w:p>
      <w:pPr>
        <w:numPr>
          <w:ilvl w:val="0"/>
          <w:numId w:val="1716"/>
        </w:numPr>
      </w:pPr>
      <w:r>
        <w:t xml:space="preserve">Mostre que, neste caso,</w:t>
      </w:r>
      <w:r>
        <w:t xml:space="preserve"> </w:t>
      </w:r>
      <m:oMath>
        <m:r>
          <m:rPr>
            <m:sty m:val="p"/>
          </m:rPr>
          <m:t>C</m:t>
        </m:r>
        <m:r>
          <m:rPr>
            <m:sty m:val="p"/>
          </m:rPr>
          <m:t>M</m:t>
        </m:r>
        <m:r>
          <m:rPr>
            <m:sty m:val="p"/>
          </m:rPr>
          <m:t>g</m:t>
        </m:r>
        <m:r>
          <m:rPr>
            <m:sty m:val="p"/>
          </m:rPr>
          <m:t>=</m:t>
        </m:r>
        <m:r>
          <m:rPr>
            <m:sty m:val="p"/>
          </m:rPr>
          <m:t>C</m:t>
        </m:r>
        <m:r>
          <m:rPr>
            <m:sty m:val="p"/>
          </m:rPr>
          <m:t>M</m:t>
        </m:r>
        <m:r>
          <m:rPr>
            <m:sty m:val="p"/>
          </m:rPr>
          <m:t>e</m:t>
        </m:r>
        <m:r>
          <m:rPr>
            <m:sty m:val="p"/>
          </m:rPr>
          <m:t>=</m:t>
        </m:r>
        <m:r>
          <m:t>c</m:t>
        </m:r>
        <m:r>
          <m:rPr>
            <m:sty m:val="p"/>
          </m:rPr>
          <m:t>(</m:t>
        </m:r>
        <m:r>
          <m:t>w</m:t>
        </m:r>
        <m:r>
          <m:rPr>
            <m:sty m:val="p"/>
          </m:rPr>
          <m:t>,</m:t>
        </m:r>
        <m:r>
          <m:t>v</m:t>
        </m:r>
        <m:r>
          <m:rPr>
            <m:sty m:val="p"/>
          </m:rPr>
          <m:t>)</m:t>
        </m:r>
      </m:oMath>
      <w:r>
        <w:t xml:space="preserve"> </w:t>
      </w:r>
      <w:r>
        <w:t xml:space="preserve">— o custo marginal é constante e igual ao custo médio.</w:t>
      </w:r>
    </w:p>
    <w:p>
      <w:pPr>
        <w:numPr>
          <w:ilvl w:val="0"/>
          <w:numId w:val="1716"/>
        </w:numPr>
      </w:pPr>
      <w:r>
        <w:t xml:space="preserve">Interprete economicamente: por que rendimentos constantes de escala implicam custos marginais constantes?</w:t>
      </w:r>
    </w:p>
    <w:p>
      <w:pPr>
        <w:pStyle w:val="FirstParagraph"/>
      </w:pPr>
      <w:r>
        <w:t xml:space="preserve">Ver solução (Cap. 11)</w:t>
      </w:r>
    </w:p>
    <w:p>
      <w:r>
        <w:pict>
          <v:rect style="width:0;height:1.5pt" o:hralign="center" o:hrstd="t" o:hr="t"/>
        </w:pict>
      </w:r>
    </w:p>
    <w:p>
      <w:pPr>
        <w:pStyle w:val="FirstParagraph"/>
      </w:pPr>
      <w:r>
        <w:rPr>
          <w:b/>
          <w:bCs/>
        </w:rPr>
        <w:t xml:space="preserve">Exercício 11.6.</w:t>
      </w:r>
      <w:r>
        <w:t xml:space="preserve"> </w:t>
      </w:r>
      <w:r>
        <w:rPr>
          <w:i/>
          <w:iCs/>
        </w:rPr>
        <w:t xml:space="preserve">(Fácil)</w:t>
      </w:r>
      <w:r>
        <w:t xml:space="preserve"> </w:t>
      </w:r>
      <w:r>
        <w:t xml:space="preserve">Considere a função de custo</w:t>
      </w:r>
      <w:r>
        <w:t xml:space="preserve"> </w:t>
      </w:r>
      <m:oMath>
        <m:r>
          <m:t>C</m:t>
        </m:r>
        <m:r>
          <m:rPr>
            <m:sty m:val="p"/>
          </m:rPr>
          <m:t>(</m:t>
        </m:r>
        <m:r>
          <m:t>q</m:t>
        </m:r>
        <m:r>
          <m:rPr>
            <m:sty m:val="p"/>
          </m:rPr>
          <m:t>)</m:t>
        </m:r>
        <m:r>
          <m:rPr>
            <m:sty m:val="p"/>
          </m:rPr>
          <m:t>=</m:t>
        </m:r>
        <m:r>
          <m:t>100</m:t>
        </m:r>
        <m:r>
          <m:rPr>
            <m:sty m:val="p"/>
          </m:rPr>
          <m:t>+</m:t>
        </m:r>
        <m:r>
          <m:t>4</m:t>
        </m:r>
        <m:r>
          <m:t>q</m:t>
        </m:r>
        <m:r>
          <m:rPr>
            <m:sty m:val="p"/>
          </m:rPr>
          <m:t>+</m:t>
        </m:r>
        <m:sSup>
          <m:e>
            <m:r>
              <m:t>q</m:t>
            </m:r>
          </m:e>
          <m:sup>
            <m:r>
              <m:t>2</m:t>
            </m:r>
          </m:sup>
        </m:sSup>
      </m:oMath>
      <w:r>
        <w:t xml:space="preserve">.</w:t>
      </w:r>
    </w:p>
    <w:p>
      <w:pPr>
        <w:numPr>
          <w:ilvl w:val="0"/>
          <w:numId w:val="1717"/>
        </w:numPr>
      </w:pPr>
      <w:r>
        <w:t xml:space="preserve">Identifique o custo fixo e o custo variável.</w:t>
      </w:r>
    </w:p>
    <w:p>
      <w:pPr>
        <w:numPr>
          <w:ilvl w:val="0"/>
          <w:numId w:val="1717"/>
        </w:numPr>
      </w:pPr>
      <w:r>
        <w:t xml:space="preserve">Derive as expressões de CMg, CMe e CVMe.</w:t>
      </w:r>
    </w:p>
    <w:p>
      <w:pPr>
        <w:numPr>
          <w:ilvl w:val="0"/>
          <w:numId w:val="1717"/>
        </w:numPr>
      </w:pPr>
      <w:r>
        <w:t xml:space="preserve">Determine o nível de produção</w:t>
      </w:r>
      <w:r>
        <w:t xml:space="preserve"> </w:t>
      </w:r>
      <m:oMath>
        <m:sSup>
          <m:e>
            <m:r>
              <m:t>q</m:t>
            </m:r>
          </m:e>
          <m:sup>
            <m:r>
              <m:rPr>
                <m:sty m:val="p"/>
              </m:rPr>
              <m:t>*</m:t>
            </m:r>
          </m:sup>
        </m:sSup>
      </m:oMath>
      <w:r>
        <w:t xml:space="preserve"> </w:t>
      </w:r>
      <w:r>
        <w:t xml:space="preserve">para o qual</w:t>
      </w:r>
      <w:r>
        <w:t xml:space="preserve"> </w:t>
      </w:r>
      <m:oMath>
        <m:r>
          <m:rPr>
            <m:sty m:val="p"/>
          </m:rPr>
          <m:t>C</m:t>
        </m:r>
        <m:r>
          <m:rPr>
            <m:sty m:val="p"/>
          </m:rPr>
          <m:t>M</m:t>
        </m:r>
        <m:r>
          <m:rPr>
            <m:sty m:val="p"/>
          </m:rPr>
          <m:t>g</m:t>
        </m:r>
        <m:r>
          <m:rPr>
            <m:sty m:val="p"/>
          </m:rPr>
          <m:t>=</m:t>
        </m:r>
        <m:r>
          <m:rPr>
            <m:sty m:val="p"/>
          </m:rPr>
          <m:t>C</m:t>
        </m:r>
        <m:r>
          <m:rPr>
            <m:sty m:val="p"/>
          </m:rPr>
          <m:t>M</m:t>
        </m:r>
        <m:r>
          <m:rPr>
            <m:sty m:val="p"/>
          </m:rPr>
          <m:t>e</m:t>
        </m:r>
      </m:oMath>
      <w:r>
        <w:t xml:space="preserve">. Qual o valor do custo médio nesse ponto?</w:t>
      </w:r>
    </w:p>
    <w:p>
      <w:pPr>
        <w:numPr>
          <w:ilvl w:val="0"/>
          <w:numId w:val="1717"/>
        </w:numPr>
      </w:pPr>
      <w:r>
        <w:t xml:space="preserve">Interprete economicamente: o que representa o ponto</w:t>
      </w:r>
      <w:r>
        <w:t xml:space="preserve"> </w:t>
      </w:r>
      <m:oMath>
        <m:sSup>
          <m:e>
            <m:r>
              <m:t>q</m:t>
            </m:r>
          </m:e>
          <m:sup>
            <m:r>
              <m:rPr>
                <m:sty m:val="p"/>
              </m:rPr>
              <m:t>*</m:t>
            </m:r>
          </m:sup>
        </m:sSup>
      </m:oMath>
      <w:r>
        <w:t xml:space="preserve">?</w:t>
      </w:r>
    </w:p>
    <w:p>
      <w:pPr>
        <w:pStyle w:val="FirstParagraph"/>
      </w:pPr>
      <w:r>
        <w:t xml:space="preserve">Ver solução (Cap. 11)</w:t>
      </w:r>
    </w:p>
    <w:p>
      <w:r>
        <w:pict>
          <v:rect style="width:0;height:1.5pt" o:hralign="center" o:hrstd="t" o:hr="t"/>
        </w:pict>
      </w:r>
    </w:p>
    <w:p>
      <w:pPr>
        <w:pStyle w:val="FirstParagraph"/>
      </w:pPr>
      <w:r>
        <w:rPr>
          <w:b/>
          <w:bCs/>
        </w:rPr>
        <w:t xml:space="preserve">Exercício 11.7.</w:t>
      </w:r>
      <w:r>
        <w:t xml:space="preserve"> </w:t>
      </w:r>
      <w:r>
        <w:rPr>
          <w:i/>
          <w:iCs/>
        </w:rPr>
        <w:t xml:space="preserve">(Fácil — Verdadeiro ou Falso)</w:t>
      </w:r>
      <w:r>
        <w:t xml:space="preserve"> </w:t>
      </w:r>
      <w:r>
        <w:t xml:space="preserve">Julgue cada afirmação como Verdadeira (V) ou Falsa (F) e justifique brevemente:</w:t>
      </w:r>
    </w:p>
    <w:p>
      <w:pPr>
        <w:numPr>
          <w:ilvl w:val="0"/>
          <w:numId w:val="1718"/>
        </w:numPr>
      </w:pPr>
      <w:r>
        <w:t xml:space="preserve">Custos irrecuperáveis (</w:t>
      </w:r>
      <w:r>
        <w:rPr>
          <w:i/>
          <w:iCs/>
        </w:rPr>
        <w:t xml:space="preserve">sunk costs</w:t>
      </w:r>
      <w:r>
        <w:t xml:space="preserve">) devem ser levados em conta ao determinar o nível ótimo de produção corrente.</w:t>
      </w:r>
    </w:p>
    <w:p>
      <w:pPr>
        <w:numPr>
          <w:ilvl w:val="0"/>
          <w:numId w:val="1718"/>
        </w:numPr>
      </w:pPr>
      <w:r>
        <w:t xml:space="preserve">A curva de custo médio de longo prazo (LRAC) está sempre abaixo de qualquer curva de custo médio de curto prazo (SRAC).</w:t>
      </w:r>
    </w:p>
    <w:p>
      <w:pPr>
        <w:numPr>
          <w:ilvl w:val="0"/>
          <w:numId w:val="1718"/>
        </w:numPr>
      </w:pPr>
      <w:r>
        <w:t xml:space="preserve">Se uma tecnologia exibe rendimentos constantes de escala, então o LRAC é constante.</w:t>
      </w:r>
    </w:p>
    <w:p>
      <w:pPr>
        <w:numPr>
          <w:ilvl w:val="0"/>
          <w:numId w:val="1718"/>
        </w:numPr>
      </w:pPr>
      <w:r>
        <w:t xml:space="preserve">O Lema de Shephard afirma que as demandas condicionadas por insumos são obtidas derivando a função custo em relação ao preço do respectivo insumo.</w:t>
      </w:r>
    </w:p>
    <w:p>
      <w:pPr>
        <w:pStyle w:val="FirstParagraph"/>
      </w:pPr>
      <w:r>
        <w:t xml:space="preserve">Ver solução (Cap. 11)</w:t>
      </w:r>
    </w:p>
    <w:p>
      <w:r>
        <w:pict>
          <v:rect style="width:0;height:1.5pt" o:hralign="center" o:hrstd="t" o:hr="t"/>
        </w:pict>
      </w:r>
    </w:p>
    <w:p>
      <w:pPr>
        <w:pStyle w:val="FirstParagraph"/>
      </w:pPr>
      <w:r>
        <w:rPr>
          <w:b/>
          <w:bCs/>
        </w:rPr>
        <w:t xml:space="preserve">Exercício 11.8.</w:t>
      </w:r>
      <w:r>
        <w:t xml:space="preserve"> </w:t>
      </w:r>
      <w:r>
        <w:rPr>
          <w:i/>
          <w:iCs/>
        </w:rPr>
        <w:t xml:space="preserve">(Médio)</w:t>
      </w:r>
      <w:r>
        <w:t xml:space="preserve"> </w:t>
      </w:r>
      <w:r>
        <w:t xml:space="preserve">Uma firma produz com a tecnologia Cobb-Douglas</w:t>
      </w:r>
      <w:r>
        <w:t xml:space="preserve"> </w:t>
      </w:r>
      <m:oMath>
        <m:r>
          <m:t>q</m:t>
        </m:r>
        <m:r>
          <m:rPr>
            <m:sty m:val="p"/>
          </m:rPr>
          <m:t>=</m:t>
        </m:r>
        <m:sSup>
          <m:e>
            <m:r>
              <m:t>K</m:t>
            </m:r>
          </m:e>
          <m:sup>
            <m:r>
              <m:t>0</m:t>
            </m:r>
            <m:r>
              <m:rPr>
                <m:sty m:val="p"/>
              </m:rPr>
              <m:t>,</m:t>
            </m:r>
            <m:r>
              <m:t>3</m:t>
            </m:r>
          </m:sup>
        </m:sSup>
        <m:sSup>
          <m:e>
            <m:r>
              <m:t>L</m:t>
            </m:r>
          </m:e>
          <m:sup>
            <m:r>
              <m:t>0</m:t>
            </m:r>
            <m:r>
              <m:rPr>
                <m:sty m:val="p"/>
              </m:rPr>
              <m:t>,</m:t>
            </m:r>
            <m:r>
              <m:t>7</m:t>
            </m:r>
          </m:sup>
        </m:sSup>
      </m:oMath>
      <w:r>
        <w:t xml:space="preserve"> </w:t>
      </w:r>
      <w:r>
        <w:t xml:space="preserve">e enfrenta preços de insumos</w:t>
      </w:r>
      <w:r>
        <w:t xml:space="preserve"> </w:t>
      </w:r>
      <m:oMath>
        <m:r>
          <m:t>w</m:t>
        </m:r>
        <m:r>
          <m:rPr>
            <m:sty m:val="p"/>
          </m:rPr>
          <m:t>=</m:t>
        </m:r>
        <m:r>
          <m:t>10</m:t>
        </m:r>
      </m:oMath>
      <w:r>
        <w:t xml:space="preserve"> </w:t>
      </w:r>
      <w:r>
        <w:t xml:space="preserve">(trabalho) e</w:t>
      </w:r>
      <w:r>
        <w:t xml:space="preserve"> </w:t>
      </w:r>
      <m:oMath>
        <m:r>
          <m:t>r</m:t>
        </m:r>
        <m:r>
          <m:rPr>
            <m:sty m:val="p"/>
          </m:rPr>
          <m:t>=</m:t>
        </m:r>
        <m:r>
          <m:t>20</m:t>
        </m:r>
      </m:oMath>
      <w:r>
        <w:t xml:space="preserve"> </w:t>
      </w:r>
      <w:r>
        <w:t xml:space="preserve">(capital).</w:t>
      </w:r>
    </w:p>
    <w:p>
      <w:pPr>
        <w:numPr>
          <w:ilvl w:val="0"/>
          <w:numId w:val="1719"/>
        </w:numPr>
      </w:pPr>
      <w:r>
        <w:t xml:space="preserve">Derive a função custo de longo prazo</w:t>
      </w:r>
      <w:r>
        <w:t xml:space="preserve"> </w:t>
      </w:r>
      <m:oMath>
        <m:r>
          <m:t>C</m:t>
        </m:r>
        <m:r>
          <m:rPr>
            <m:sty m:val="p"/>
          </m:rPr>
          <m:t>(</m:t>
        </m:r>
        <m:r>
          <m:t>q</m:t>
        </m:r>
        <m:r>
          <m:rPr>
            <m:sty m:val="p"/>
          </m:rPr>
          <m:t>)</m:t>
        </m:r>
      </m:oMath>
      <w:r>
        <w:t xml:space="preserve">.</w:t>
      </w:r>
    </w:p>
    <w:p>
      <w:pPr>
        <w:numPr>
          <w:ilvl w:val="0"/>
          <w:numId w:val="1719"/>
        </w:numPr>
      </w:pPr>
      <w:r>
        <w:t xml:space="preserve">Calcule o custo marginal e o custo médio.</w:t>
      </w:r>
    </w:p>
    <w:p>
      <w:pPr>
        <w:numPr>
          <w:ilvl w:val="0"/>
          <w:numId w:val="1719"/>
        </w:numPr>
      </w:pPr>
      <w:r>
        <w:t xml:space="preserve">Verifique o Lema de Shephard: confirme que</w:t>
      </w:r>
      <w:r>
        <w:t xml:space="preserve"> </w:t>
      </w:r>
      <m:oMath>
        <m:r>
          <m:rPr>
            <m:sty m:val="p"/>
          </m:rPr>
          <m:t>∂</m:t>
        </m:r>
        <m:r>
          <m:t>C</m:t>
        </m:r>
        <m:r>
          <m:rPr>
            <m:sty m:val="p"/>
          </m:rPr>
          <m:t>/</m:t>
        </m:r>
        <m:r>
          <m:rPr>
            <m:sty m:val="p"/>
          </m:rPr>
          <m:t>∂</m:t>
        </m:r>
        <m:r>
          <m:t>w</m:t>
        </m:r>
        <m:r>
          <m:rPr>
            <m:sty m:val="p"/>
          </m:rPr>
          <m:t>=</m:t>
        </m:r>
        <m:sSup>
          <m:e>
            <m:r>
              <m:t>L</m:t>
            </m:r>
          </m:e>
          <m:sup>
            <m:r>
              <m:t>c</m:t>
            </m:r>
          </m:sup>
        </m:sSup>
        <m:r>
          <m:rPr>
            <m:sty m:val="p"/>
          </m:rPr>
          <m:t>(</m:t>
        </m:r>
        <m:r>
          <m:t>w</m:t>
        </m:r>
        <m:r>
          <m:rPr>
            <m:sty m:val="p"/>
          </m:rPr>
          <m:t>,</m:t>
        </m:r>
        <m:r>
          <m:t>r</m:t>
        </m:r>
        <m:r>
          <m:rPr>
            <m:sty m:val="p"/>
          </m:rPr>
          <m:t>,</m:t>
        </m:r>
        <m:r>
          <m:t>q</m:t>
        </m:r>
        <m:r>
          <m:rPr>
            <m:sty m:val="p"/>
          </m:rPr>
          <m:t>)</m:t>
        </m:r>
      </m:oMath>
      <w:r>
        <w:t xml:space="preserve"> </w:t>
      </w:r>
      <w:r>
        <w:t xml:space="preserve">e</w:t>
      </w:r>
      <w:r>
        <w:t xml:space="preserve"> </w:t>
      </w:r>
      <m:oMath>
        <m:r>
          <m:rPr>
            <m:sty m:val="p"/>
          </m:rPr>
          <m:t>∂</m:t>
        </m:r>
        <m:r>
          <m:t>C</m:t>
        </m:r>
        <m:r>
          <m:rPr>
            <m:sty m:val="p"/>
          </m:rPr>
          <m:t>/</m:t>
        </m:r>
        <m:r>
          <m:rPr>
            <m:sty m:val="p"/>
          </m:rPr>
          <m:t>∂</m:t>
        </m:r>
        <m:r>
          <m:t>r</m:t>
        </m:r>
        <m:r>
          <m:rPr>
            <m:sty m:val="p"/>
          </m:rPr>
          <m:t>=</m:t>
        </m:r>
        <m:sSup>
          <m:e>
            <m:r>
              <m:t>K</m:t>
            </m:r>
          </m:e>
          <m:sup>
            <m:r>
              <m:t>c</m:t>
            </m:r>
          </m:sup>
        </m:sSup>
        <m:r>
          <m:rPr>
            <m:sty m:val="p"/>
          </m:rPr>
          <m:t>(</m:t>
        </m:r>
        <m:r>
          <m:t>w</m:t>
        </m:r>
        <m:r>
          <m:rPr>
            <m:sty m:val="p"/>
          </m:rPr>
          <m:t>,</m:t>
        </m:r>
        <m:r>
          <m:t>r</m:t>
        </m:r>
        <m:r>
          <m:rPr>
            <m:sty m:val="p"/>
          </m:rPr>
          <m:t>,</m:t>
        </m:r>
        <m:r>
          <m:t>q</m:t>
        </m:r>
        <m:r>
          <m:rPr>
            <m:sty m:val="p"/>
          </m:rPr>
          <m:t>)</m:t>
        </m:r>
      </m:oMath>
      <w:r>
        <w:t xml:space="preserve">.</w:t>
      </w:r>
    </w:p>
    <w:p>
      <w:pPr>
        <w:numPr>
          <w:ilvl w:val="0"/>
          <w:numId w:val="1719"/>
        </w:numPr>
      </w:pPr>
      <w:r>
        <w:t xml:space="preserve">O que os rendimentos de escala implicam para o formato de</w:t>
      </w:r>
      <w:r>
        <w:t xml:space="preserve"> </w:t>
      </w:r>
      <m:oMath>
        <m:r>
          <m:t>C</m:t>
        </m:r>
        <m:r>
          <m:rPr>
            <m:sty m:val="p"/>
          </m:rPr>
          <m:t>(</m:t>
        </m:r>
        <m:r>
          <m:t>q</m:t>
        </m:r>
        <m:r>
          <m:rPr>
            <m:sty m:val="p"/>
          </m:rPr>
          <m:t>)</m:t>
        </m:r>
      </m:oMath>
      <w:r>
        <w:t xml:space="preserve"> </w:t>
      </w:r>
      <w:r>
        <w:t xml:space="preserve">neste caso?</w:t>
      </w:r>
    </w:p>
    <w:p>
      <w:pPr>
        <w:pStyle w:val="FirstParagraph"/>
      </w:pPr>
      <w:r>
        <w:t xml:space="preserve">Ver solução (Cap. 11)</w:t>
      </w:r>
    </w:p>
    <w:p>
      <w:r>
        <w:pict>
          <v:rect style="width:0;height:1.5pt" o:hralign="center" o:hrstd="t" o:hr="t"/>
        </w:pict>
      </w:r>
    </w:p>
    <w:p>
      <w:pPr>
        <w:pStyle w:val="FirstParagraph"/>
      </w:pPr>
      <w:r>
        <w:rPr>
          <w:b/>
          <w:bCs/>
        </w:rPr>
        <w:t xml:space="preserve">Exercício 11.9.</w:t>
      </w:r>
      <w:r>
        <w:t xml:space="preserve"> </w:t>
      </w:r>
      <w:r>
        <w:rPr>
          <w:i/>
          <w:iCs/>
        </w:rPr>
        <w:t xml:space="preserve">(Médio — Contexto Brasileiro)</w:t>
      </w:r>
      <w:r>
        <w:t xml:space="preserve"> </w:t>
      </w:r>
      <w:r>
        <w:t xml:space="preserve">Um processador de soja no Brasil pode operar com duas plantas de tamanhos diferentes. A curva de custo médio de curto prazo da planta 1 (pequena) é</w:t>
      </w:r>
      <w:r>
        <w:t xml:space="preserve"> </w:t>
      </w:r>
      <m:oMath>
        <m:sSub>
          <m:e>
            <m:r>
              <m:rPr>
                <m:sty m:val="p"/>
              </m:rPr>
              <m:t>S</m:t>
            </m:r>
            <m:r>
              <m:rPr>
                <m:sty m:val="p"/>
              </m:rPr>
              <m:t>R</m:t>
            </m:r>
            <m:r>
              <m:rPr>
                <m:sty m:val="p"/>
              </m:rPr>
              <m:t>A</m:t>
            </m:r>
            <m:r>
              <m:rPr>
                <m:sty m:val="p"/>
              </m:rPr>
              <m:t>C</m:t>
            </m:r>
          </m:e>
          <m:sub>
            <m:r>
              <m:t>1</m:t>
            </m:r>
          </m:sub>
        </m:sSub>
        <m:r>
          <m:rPr>
            <m:sty m:val="p"/>
          </m:rPr>
          <m:t>(</m:t>
        </m:r>
        <m:r>
          <m:t>q</m:t>
        </m:r>
        <m:r>
          <m:rPr>
            <m:sty m:val="p"/>
          </m:rPr>
          <m:t>)</m:t>
        </m:r>
        <m:r>
          <m:rPr>
            <m:sty m:val="p"/>
          </m:rPr>
          <m:t>=</m:t>
        </m:r>
        <m:r>
          <m:t>50</m:t>
        </m:r>
        <m:r>
          <m:rPr>
            <m:sty m:val="p"/>
          </m:rPr>
          <m:t>+</m:t>
        </m:r>
        <m:r>
          <m:t>2</m:t>
        </m:r>
        <m:r>
          <m:t>q</m:t>
        </m:r>
      </m:oMath>
      <w:r>
        <w:t xml:space="preserve"> </w:t>
      </w:r>
      <w:r>
        <w:t xml:space="preserve">e da planta 2 (grande) é</w:t>
      </w:r>
      <w:r>
        <w:t xml:space="preserve"> </w:t>
      </w:r>
      <m:oMath>
        <m:sSub>
          <m:e>
            <m:r>
              <m:rPr>
                <m:sty m:val="p"/>
              </m:rPr>
              <m:t>S</m:t>
            </m:r>
            <m:r>
              <m:rPr>
                <m:sty m:val="p"/>
              </m:rPr>
              <m:t>R</m:t>
            </m:r>
            <m:r>
              <m:rPr>
                <m:sty m:val="p"/>
              </m:rPr>
              <m:t>A</m:t>
            </m:r>
            <m:r>
              <m:rPr>
                <m:sty m:val="p"/>
              </m:rPr>
              <m:t>C</m:t>
            </m:r>
          </m:e>
          <m:sub>
            <m:r>
              <m:t>2</m:t>
            </m:r>
          </m:sub>
        </m:sSub>
        <m:r>
          <m:rPr>
            <m:sty m:val="p"/>
          </m:rPr>
          <m:t>(</m:t>
        </m:r>
        <m:r>
          <m:t>q</m:t>
        </m:r>
        <m:r>
          <m:rPr>
            <m:sty m:val="p"/>
          </m:rPr>
          <m:t>)</m:t>
        </m:r>
        <m:r>
          <m:rPr>
            <m:sty m:val="p"/>
          </m:rPr>
          <m:t>=</m:t>
        </m:r>
        <m:r>
          <m:t>200</m:t>
        </m:r>
        <m:r>
          <m:rPr>
            <m:sty m:val="p"/>
          </m:rPr>
          <m:t>+</m:t>
        </m:r>
        <m:r>
          <m:t>0</m:t>
        </m:r>
        <m:r>
          <m:rPr>
            <m:sty m:val="p"/>
          </m:rPr>
          <m:t>,</m:t>
        </m:r>
        <m:r>
          <m:t>5</m:t>
        </m:r>
        <m:r>
          <m:t>q</m:t>
        </m:r>
      </m:oMath>
      <w:r>
        <w:t xml:space="preserve">, onde</w:t>
      </w:r>
      <w:r>
        <w:t xml:space="preserve"> </w:t>
      </w:r>
      <m:oMath>
        <m:r>
          <m:t>q</m:t>
        </m:r>
      </m:oMath>
      <w:r>
        <w:t xml:space="preserve"> </w:t>
      </w:r>
      <w:r>
        <w:t xml:space="preserve">é medido em toneladas por dia.</w:t>
      </w:r>
    </w:p>
    <w:p>
      <w:pPr>
        <w:numPr>
          <w:ilvl w:val="0"/>
          <w:numId w:val="1720"/>
        </w:numPr>
      </w:pPr>
      <w:r>
        <w:t xml:space="preserve">Encontre a curva de custo médio de longo prazo (LRAC) como a envoltória inferior das duas SRACs.</w:t>
      </w:r>
    </w:p>
    <w:p>
      <w:pPr>
        <w:numPr>
          <w:ilvl w:val="0"/>
          <w:numId w:val="1720"/>
        </w:numPr>
      </w:pPr>
      <w:r>
        <w:t xml:space="preserve">A partir de qual nível de produção</w:t>
      </w:r>
      <w:r>
        <w:t xml:space="preserve"> </w:t>
      </w:r>
      <m:oMath>
        <m:sSup>
          <m:e>
            <m:r>
              <m:t>q</m:t>
            </m:r>
          </m:e>
          <m:sup>
            <m:r>
              <m:rPr>
                <m:sty m:val="p"/>
              </m:rPr>
              <m:t>*</m:t>
            </m:r>
            <m:r>
              <m:rPr>
                <m:sty m:val="p"/>
              </m:rPr>
              <m:t>*</m:t>
            </m:r>
          </m:sup>
        </m:sSup>
      </m:oMath>
      <w:r>
        <w:t xml:space="preserve"> </w:t>
      </w:r>
      <w:r>
        <w:t xml:space="preserve">a planta 2 se torna mais eficiente que a planta 1? Calcule o custo médio nesse ponto.</w:t>
      </w:r>
    </w:p>
    <w:p>
      <w:pPr>
        <w:numPr>
          <w:ilvl w:val="0"/>
          <w:numId w:val="1720"/>
        </w:numPr>
      </w:pPr>
      <w:r>
        <w:t xml:space="preserve">Interprete economicamente: por que o processador deveria investir na planta 2 apenas quando a demanda esperada superar</w:t>
      </w:r>
      <w:r>
        <w:t xml:space="preserve"> </w:t>
      </w:r>
      <m:oMath>
        <m:sSup>
          <m:e>
            <m:r>
              <m:t>q</m:t>
            </m:r>
          </m:e>
          <m:sup>
            <m:r>
              <m:rPr>
                <m:sty m:val="p"/>
              </m:rPr>
              <m:t>*</m:t>
            </m:r>
            <m:r>
              <m:rPr>
                <m:sty m:val="p"/>
              </m:rPr>
              <m:t>*</m:t>
            </m:r>
          </m:sup>
        </m:sSup>
      </m:oMath>
      <w:r>
        <w:t xml:space="preserve">?</w:t>
      </w:r>
    </w:p>
    <w:p>
      <w:pPr>
        <w:numPr>
          <w:ilvl w:val="0"/>
          <w:numId w:val="1720"/>
        </w:numPr>
      </w:pPr>
      <w:r>
        <w:t xml:space="preserve">Como o</w:t>
      </w:r>
      <w:r>
        <w:t xml:space="preserve"> </w:t>
      </w:r>
      <w:r>
        <w:t xml:space="preserve">“custo Brasil”</w:t>
      </w:r>
      <w:r>
        <w:t xml:space="preserve"> </w:t>
      </w:r>
      <w:r>
        <w:t xml:space="preserve">(tributação, logística) poderia afetar esse limiar de escala eficiente?</w:t>
      </w:r>
    </w:p>
    <w:p>
      <w:pPr>
        <w:pStyle w:val="FirstParagraph"/>
      </w:pPr>
      <w:r>
        <w:t xml:space="preserve">Ver solução (Cap. 11)</w:t>
      </w:r>
    </w:p>
    <w:p>
      <w:r>
        <w:pict>
          <v:rect style="width:0;height:1.5pt" o:hralign="center" o:hrstd="t" o:hr="t"/>
        </w:pict>
      </w:r>
    </w:p>
    <w:p>
      <w:pPr>
        <w:pStyle w:val="FirstParagraph"/>
      </w:pPr>
      <w:r>
        <w:rPr>
          <w:b/>
          <w:bCs/>
        </w:rPr>
        <w:t xml:space="preserve">Exercício 11.10.</w:t>
      </w:r>
      <w:r>
        <w:t xml:space="preserve"> </w:t>
      </w:r>
      <w:r>
        <w:rPr>
          <w:i/>
          <w:iCs/>
        </w:rPr>
        <w:t xml:space="preserve">(Difícil)</w:t>
      </w:r>
      <w:r>
        <w:t xml:space="preserve"> </w:t>
      </w:r>
      <w:r>
        <w:t xml:space="preserve">Prove que a função custo</w:t>
      </w:r>
      <w:r>
        <w:t xml:space="preserve"> </w:t>
      </w:r>
      <m:oMath>
        <m:r>
          <m:t>C</m:t>
        </m:r>
        <m:r>
          <m:rPr>
            <m:sty m:val="p"/>
          </m:rPr>
          <m:t>(</m:t>
        </m:r>
        <m:r>
          <m:t>w</m:t>
        </m:r>
        <m:r>
          <m:rPr>
            <m:sty m:val="p"/>
          </m:rPr>
          <m:t>,</m:t>
        </m:r>
        <m:r>
          <m:t>r</m:t>
        </m:r>
        <m:r>
          <m:rPr>
            <m:sty m:val="p"/>
          </m:rPr>
          <m:t>,</m:t>
        </m:r>
        <m:r>
          <m:t>q</m:t>
        </m:r>
        <m:r>
          <m:rPr>
            <m:sty m:val="p"/>
          </m:rPr>
          <m:t>)</m:t>
        </m:r>
      </m:oMath>
      <w:r>
        <w:t xml:space="preserve"> </w:t>
      </w:r>
      <w:r>
        <w:t xml:space="preserve">é</w:t>
      </w:r>
      <w:r>
        <w:t xml:space="preserve"> </w:t>
      </w:r>
      <w:r>
        <w:rPr>
          <w:b/>
          <w:bCs/>
        </w:rPr>
        <w:t xml:space="preserve">côncava</w:t>
      </w:r>
      <w:r>
        <w:t xml:space="preserve"> </w:t>
      </w:r>
      <w:r>
        <w:t xml:space="preserve">nos preços dos insumos</w:t>
      </w:r>
      <w:r>
        <w:t xml:space="preserve"> </w:t>
      </w:r>
      <m:oMath>
        <m:r>
          <m:rPr>
            <m:sty m:val="p"/>
          </m:rPr>
          <m:t>(</m:t>
        </m:r>
        <m:r>
          <m:t>w</m:t>
        </m:r>
        <m:r>
          <m:rPr>
            <m:sty m:val="p"/>
          </m:rPr>
          <m:t>,</m:t>
        </m:r>
        <m:r>
          <m:t>r</m:t>
        </m:r>
        <m:r>
          <m:rPr>
            <m:sty m:val="p"/>
          </m:rPr>
          <m:t>)</m:t>
        </m:r>
      </m:oMath>
      <w:r>
        <w:t xml:space="preserve">. Siga os passos:</w:t>
      </w:r>
    </w:p>
    <w:p>
      <w:pPr>
        <w:pStyle w:val="Compact"/>
        <w:numPr>
          <w:ilvl w:val="0"/>
          <w:numId w:val="1721"/>
        </w:numPr>
      </w:pPr>
      <w:r>
        <w:t xml:space="preserve">Mostre que, para qualquer</w:t>
      </w:r>
      <w:r>
        <w:t xml:space="preserve"> </w:t>
      </w:r>
      <m:oMath>
        <m:r>
          <m:t>λ</m:t>
        </m:r>
        <m:r>
          <m:rPr>
            <m:sty m:val="p"/>
          </m:rPr>
          <m:t>∈</m:t>
        </m:r>
        <m:r>
          <m:rPr>
            <m:sty m:val="p"/>
          </m:rPr>
          <m:t>[</m:t>
        </m:r>
        <m:r>
          <m:t>0</m:t>
        </m:r>
        <m:r>
          <m:rPr>
            <m:sty m:val="p"/>
          </m:rPr>
          <m:t>,</m:t>
        </m:r>
        <m:r>
          <m:t>1</m:t>
        </m:r>
        <m:r>
          <m:rPr>
            <m:sty m:val="p"/>
          </m:rPr>
          <m:t>]</m:t>
        </m:r>
      </m:oMath>
      <w:r>
        <w:t xml:space="preserve"> </w:t>
      </w:r>
      <w:r>
        <w:t xml:space="preserve">e dois vetores de preços</w:t>
      </w:r>
      <w:r>
        <w:t xml:space="preserve"> </w:t>
      </w:r>
      <m:oMath>
        <m:r>
          <m:rPr>
            <m:sty m:val="p"/>
          </m:rPr>
          <m:t>(</m:t>
        </m:r>
        <m:sSub>
          <m:e>
            <m:r>
              <m:t>w</m:t>
            </m:r>
          </m:e>
          <m:sub>
            <m:r>
              <m:t>1</m:t>
            </m:r>
          </m:sub>
        </m:sSub>
        <m:r>
          <m:rPr>
            <m:sty m:val="p"/>
          </m:rPr>
          <m:t>,</m:t>
        </m:r>
        <m:sSub>
          <m:e>
            <m:r>
              <m:t>r</m:t>
            </m:r>
          </m:e>
          <m:sub>
            <m:r>
              <m:t>1</m:t>
            </m:r>
          </m:sub>
        </m:sSub>
        <m:r>
          <m:rPr>
            <m:sty m:val="p"/>
          </m:rPr>
          <m:t>)</m:t>
        </m:r>
      </m:oMath>
      <w:r>
        <w:t xml:space="preserve"> </w:t>
      </w:r>
      <w:r>
        <w:t xml:space="preserve">e</w:t>
      </w:r>
      <w:r>
        <w:t xml:space="preserve"> </w:t>
      </w:r>
      <m:oMath>
        <m:r>
          <m:rPr>
            <m:sty m:val="p"/>
          </m:rPr>
          <m:t>(</m:t>
        </m:r>
        <m:sSub>
          <m:e>
            <m:r>
              <m:t>w</m:t>
            </m:r>
          </m:e>
          <m:sub>
            <m:r>
              <m:t>2</m:t>
            </m:r>
          </m:sub>
        </m:sSub>
        <m:r>
          <m:rPr>
            <m:sty m:val="p"/>
          </m:rPr>
          <m:t>,</m:t>
        </m:r>
        <m:sSub>
          <m:e>
            <m:r>
              <m:t>r</m:t>
            </m:r>
          </m:e>
          <m:sub>
            <m:r>
              <m:t>2</m:t>
            </m:r>
          </m:sub>
        </m:sSub>
        <m:r>
          <m:rPr>
            <m:sty m:val="p"/>
          </m:rPr>
          <m:t>)</m:t>
        </m:r>
      </m:oMath>
      <w:r>
        <w:t xml:space="preserve">:</w:t>
      </w:r>
    </w:p>
    <w:p>
      <w:pPr>
        <w:pStyle w:val="FirstParagraph"/>
      </w:pPr>
      <m:oMathPara>
        <m:oMathParaPr>
          <m:jc m:val="center"/>
        </m:oMathParaPr>
        <m:oMath>
          <m:r>
            <m:t>C</m:t>
          </m:r>
          <m:r>
            <m:rPr>
              <m:sty m:val="p"/>
            </m:rPr>
            <m:t>(</m:t>
          </m:r>
          <m:r>
            <m:t>λ</m:t>
          </m:r>
          <m:sSub>
            <m:e>
              <m:r>
                <m:t>w</m:t>
              </m:r>
            </m:e>
            <m:sub>
              <m:r>
                <m:t>1</m:t>
              </m:r>
            </m:sub>
          </m:sSub>
          <m:r>
            <m:rPr>
              <m:sty m:val="p"/>
            </m:rPr>
            <m:t>+</m:t>
          </m:r>
          <m:r>
            <m:rPr>
              <m:sty m:val="p"/>
            </m:rPr>
            <m:t>(</m:t>
          </m:r>
          <m:r>
            <m:t>1</m:t>
          </m:r>
          <m:r>
            <m:rPr>
              <m:sty m:val="p"/>
            </m:rPr>
            <m:t>−</m:t>
          </m:r>
          <m:r>
            <m:t>λ</m:t>
          </m:r>
          <m:r>
            <m:rPr>
              <m:sty m:val="p"/>
            </m:rPr>
            <m:t>)</m:t>
          </m:r>
          <m:sSub>
            <m:e>
              <m:r>
                <m:t>w</m:t>
              </m:r>
            </m:e>
            <m:sub>
              <m:r>
                <m:t>2</m:t>
              </m:r>
            </m:sub>
          </m:sSub>
          <m:r>
            <m:rPr>
              <m:sty m:val="p"/>
            </m:rPr>
            <m:t>,</m:t>
          </m:r>
          <m:r>
            <m:t> </m:t>
          </m:r>
          <m:r>
            <m:t>λ</m:t>
          </m:r>
          <m:sSub>
            <m:e>
              <m:r>
                <m:t>r</m:t>
              </m:r>
            </m:e>
            <m:sub>
              <m:r>
                <m:t>1</m:t>
              </m:r>
            </m:sub>
          </m:sSub>
          <m:r>
            <m:rPr>
              <m:sty m:val="p"/>
            </m:rPr>
            <m:t>+</m:t>
          </m:r>
          <m:r>
            <m:rPr>
              <m:sty m:val="p"/>
            </m:rPr>
            <m:t>(</m:t>
          </m:r>
          <m:r>
            <m:t>1</m:t>
          </m:r>
          <m:r>
            <m:rPr>
              <m:sty m:val="p"/>
            </m:rPr>
            <m:t>−</m:t>
          </m:r>
          <m:r>
            <m:t>λ</m:t>
          </m:r>
          <m:r>
            <m:rPr>
              <m:sty m:val="p"/>
            </m:rPr>
            <m:t>)</m:t>
          </m:r>
          <m:sSub>
            <m:e>
              <m:r>
                <m:t>r</m:t>
              </m:r>
            </m:e>
            <m:sub>
              <m:r>
                <m:t>2</m:t>
              </m:r>
            </m:sub>
          </m:sSub>
          <m:r>
            <m:rPr>
              <m:sty m:val="p"/>
            </m:rPr>
            <m:t>,</m:t>
          </m:r>
          <m:r>
            <m:t> </m:t>
          </m:r>
          <m:r>
            <m:t>q</m:t>
          </m:r>
          <m:r>
            <m:rPr>
              <m:sty m:val="p"/>
            </m:rPr>
            <m:t>)</m:t>
          </m:r>
          <m:r>
            <m:t> </m:t>
          </m:r>
          <m:r>
            <m:rPr>
              <m:sty m:val="p"/>
            </m:rPr>
            <m:t>≥</m:t>
          </m:r>
          <m:r>
            <m:t> </m:t>
          </m:r>
          <m:r>
            <m:t>λ</m:t>
          </m:r>
          <m:r>
            <m:t>C</m:t>
          </m:r>
          <m:r>
            <m:rPr>
              <m:sty m:val="p"/>
            </m:rPr>
            <m:t>(</m:t>
          </m:r>
          <m:sSub>
            <m:e>
              <m:r>
                <m:t>w</m:t>
              </m:r>
            </m:e>
            <m:sub>
              <m:r>
                <m:t>1</m:t>
              </m:r>
            </m:sub>
          </m:sSub>
          <m:r>
            <m:rPr>
              <m:sty m:val="p"/>
            </m:rPr>
            <m:t>,</m:t>
          </m:r>
          <m:sSub>
            <m:e>
              <m:r>
                <m:t>r</m:t>
              </m:r>
            </m:e>
            <m:sub>
              <m:r>
                <m:t>1</m:t>
              </m:r>
            </m:sub>
          </m:sSub>
          <m:r>
            <m:rPr>
              <m:sty m:val="p"/>
            </m:rPr>
            <m:t>,</m:t>
          </m:r>
          <m:r>
            <m:t>q</m:t>
          </m:r>
          <m:r>
            <m:rPr>
              <m:sty m:val="p"/>
            </m:rPr>
            <m:t>)</m:t>
          </m:r>
          <m:r>
            <m:rPr>
              <m:sty m:val="p"/>
            </m:rPr>
            <m:t>+</m:t>
          </m:r>
          <m:r>
            <m:rPr>
              <m:sty m:val="p"/>
            </m:rPr>
            <m:t>(</m:t>
          </m:r>
          <m:r>
            <m:t>1</m:t>
          </m:r>
          <m:r>
            <m:rPr>
              <m:sty m:val="p"/>
            </m:rPr>
            <m:t>−</m:t>
          </m:r>
          <m:r>
            <m:t>λ</m:t>
          </m:r>
          <m:r>
            <m:rPr>
              <m:sty m:val="p"/>
            </m:rPr>
            <m:t>)</m:t>
          </m:r>
          <m:r>
            <m:t>C</m:t>
          </m:r>
          <m:r>
            <m:rPr>
              <m:sty m:val="p"/>
            </m:rPr>
            <m:t>(</m:t>
          </m:r>
          <m:sSub>
            <m:e>
              <m:r>
                <m:t>w</m:t>
              </m:r>
            </m:e>
            <m:sub>
              <m:r>
                <m:t>2</m:t>
              </m:r>
            </m:sub>
          </m:sSub>
          <m:r>
            <m:rPr>
              <m:sty m:val="p"/>
            </m:rPr>
            <m:t>,</m:t>
          </m:r>
          <m:sSub>
            <m:e>
              <m:r>
                <m:t>r</m:t>
              </m:r>
            </m:e>
            <m:sub>
              <m:r>
                <m:t>2</m:t>
              </m:r>
            </m:sub>
          </m:sSub>
          <m:r>
            <m:rPr>
              <m:sty m:val="p"/>
            </m:rPr>
            <m:t>,</m:t>
          </m:r>
          <m:r>
            <m:t>q</m:t>
          </m:r>
          <m:r>
            <m:rPr>
              <m:sty m:val="p"/>
            </m:rPr>
            <m:t>)</m:t>
          </m:r>
        </m:oMath>
      </m:oMathPara>
    </w:p>
    <w:p>
      <w:pPr>
        <w:numPr>
          <w:ilvl w:val="0"/>
          <w:numId w:val="1722"/>
        </w:numPr>
      </w:pPr>
      <w:r>
        <w:rPr>
          <w:i/>
          <w:iCs/>
        </w:rPr>
        <w:t xml:space="preserve">Dica:</w:t>
      </w:r>
      <w:r>
        <w:t xml:space="preserve"> </w:t>
      </w:r>
      <w:r>
        <w:t xml:space="preserve">Denote por</w:t>
      </w:r>
      <w:r>
        <w:t xml:space="preserve"> </w:t>
      </w:r>
      <m:oMath>
        <m:r>
          <m:rPr>
            <m:sty m:val="p"/>
          </m:rPr>
          <m:t>(</m:t>
        </m:r>
        <m:sSup>
          <m:e>
            <m:r>
              <m:t>K</m:t>
            </m:r>
          </m:e>
          <m:sup>
            <m:r>
              <m:rPr>
                <m:sty m:val="p"/>
              </m:rPr>
              <m:t>*</m:t>
            </m:r>
          </m:sup>
        </m:sSup>
        <m:r>
          <m:rPr>
            <m:sty m:val="p"/>
          </m:rPr>
          <m:t>,</m:t>
        </m:r>
        <m:sSup>
          <m:e>
            <m:r>
              <m:t>L</m:t>
            </m:r>
          </m:e>
          <m:sup>
            <m:r>
              <m:rPr>
                <m:sty m:val="p"/>
              </m:rPr>
              <m:t>*</m:t>
            </m:r>
          </m:sup>
        </m:sSup>
        <m:r>
          <m:rPr>
            <m:sty m:val="p"/>
          </m:rPr>
          <m:t>)</m:t>
        </m:r>
      </m:oMath>
      <w:r>
        <w:t xml:space="preserve"> </w:t>
      </w:r>
      <w:r>
        <w:t xml:space="preserve">a combinação ótima de insumos para o vetor de preços misturado</w:t>
      </w:r>
      <w:r>
        <w:t xml:space="preserve"> </w:t>
      </w:r>
      <m:oMath>
        <m:r>
          <m:rPr>
            <m:sty m:val="p"/>
          </m:rPr>
          <m:t>(</m:t>
        </m:r>
        <m:acc>
          <m:accPr>
            <m:chr m:val="‾"/>
          </m:accPr>
          <m:e>
            <m:r>
              <m:t>w</m:t>
            </m:r>
          </m:e>
        </m:acc>
        <m:r>
          <m:rPr>
            <m:sty m:val="p"/>
          </m:rPr>
          <m:t>,</m:t>
        </m:r>
        <m:acc>
          <m:accPr>
            <m:chr m:val="‾"/>
          </m:accPr>
          <m:e>
            <m:r>
              <m:t>r</m:t>
            </m:r>
          </m:e>
        </m:acc>
        <m:r>
          <m:rPr>
            <m:sty m:val="p"/>
          </m:rPr>
          <m:t>)</m:t>
        </m:r>
        <m:r>
          <m:rPr>
            <m:sty m:val="p"/>
          </m:rPr>
          <m:t>=</m:t>
        </m:r>
        <m:r>
          <m:rPr>
            <m:sty m:val="p"/>
          </m:rPr>
          <m:t>(</m:t>
        </m:r>
        <m:r>
          <m:t>λ</m:t>
        </m:r>
        <m:sSub>
          <m:e>
            <m:r>
              <m:t>w</m:t>
            </m:r>
          </m:e>
          <m:sub>
            <m:r>
              <m:t>1</m:t>
            </m:r>
          </m:sub>
        </m:sSub>
        <m:r>
          <m:rPr>
            <m:sty m:val="p"/>
          </m:rPr>
          <m:t>+</m:t>
        </m:r>
        <m:r>
          <m:rPr>
            <m:sty m:val="p"/>
          </m:rPr>
          <m:t>(</m:t>
        </m:r>
        <m:r>
          <m:t>1</m:t>
        </m:r>
        <m:r>
          <m:rPr>
            <m:sty m:val="p"/>
          </m:rPr>
          <m:t>−</m:t>
        </m:r>
        <m:r>
          <m:t>λ</m:t>
        </m:r>
        <m:r>
          <m:rPr>
            <m:sty m:val="p"/>
          </m:rPr>
          <m:t>)</m:t>
        </m:r>
        <m:sSub>
          <m:e>
            <m:r>
              <m:t>w</m:t>
            </m:r>
          </m:e>
          <m:sub>
            <m:r>
              <m:t>2</m:t>
            </m:r>
          </m:sub>
        </m:sSub>
        <m:r>
          <m:rPr>
            <m:sty m:val="p"/>
          </m:rPr>
          <m:t>,</m:t>
        </m:r>
        <m:r>
          <m:t>λ</m:t>
        </m:r>
        <m:sSub>
          <m:e>
            <m:r>
              <m:t>r</m:t>
            </m:r>
          </m:e>
          <m:sub>
            <m:r>
              <m:t>1</m:t>
            </m:r>
          </m:sub>
        </m:sSub>
        <m:r>
          <m:rPr>
            <m:sty m:val="p"/>
          </m:rPr>
          <m:t>+</m:t>
        </m:r>
        <m:r>
          <m:rPr>
            <m:sty m:val="p"/>
          </m:rPr>
          <m:t>(</m:t>
        </m:r>
        <m:r>
          <m:t>1</m:t>
        </m:r>
        <m:r>
          <m:rPr>
            <m:sty m:val="p"/>
          </m:rPr>
          <m:t>−</m:t>
        </m:r>
        <m:r>
          <m:t>λ</m:t>
        </m:r>
        <m:r>
          <m:rPr>
            <m:sty m:val="p"/>
          </m:rPr>
          <m:t>)</m:t>
        </m:r>
        <m:sSub>
          <m:e>
            <m:r>
              <m:t>r</m:t>
            </m:r>
          </m:e>
          <m:sub>
            <m:r>
              <m:t>2</m:t>
            </m:r>
          </m:sub>
        </m:sSub>
        <m:r>
          <m:rPr>
            <m:sty m:val="p"/>
          </m:rPr>
          <m:t>)</m:t>
        </m:r>
      </m:oMath>
      <w:r>
        <w:t xml:space="preserve">. Use o fato de que</w:t>
      </w:r>
      <w:r>
        <w:t xml:space="preserve"> </w:t>
      </w:r>
      <m:oMath>
        <m:r>
          <m:t>C</m:t>
        </m:r>
        <m:r>
          <m:rPr>
            <m:sty m:val="p"/>
          </m:rPr>
          <m:t>(</m:t>
        </m:r>
        <m:sSub>
          <m:e>
            <m:r>
              <m:t>w</m:t>
            </m:r>
          </m:e>
          <m:sub>
            <m:r>
              <m:t>i</m:t>
            </m:r>
          </m:sub>
        </m:sSub>
        <m:r>
          <m:rPr>
            <m:sty m:val="p"/>
          </m:rPr>
          <m:t>,</m:t>
        </m:r>
        <m:sSub>
          <m:e>
            <m:r>
              <m:t>r</m:t>
            </m:r>
          </m:e>
          <m:sub>
            <m:r>
              <m:t>i</m:t>
            </m:r>
          </m:sub>
        </m:sSub>
        <m:r>
          <m:rPr>
            <m:sty m:val="p"/>
          </m:rPr>
          <m:t>,</m:t>
        </m:r>
        <m:r>
          <m:t>q</m:t>
        </m:r>
        <m:r>
          <m:rPr>
            <m:sty m:val="p"/>
          </m:rPr>
          <m:t>)</m:t>
        </m:r>
        <m:r>
          <m:rPr>
            <m:sty m:val="p"/>
          </m:rPr>
          <m:t>≤</m:t>
        </m:r>
        <m:sSub>
          <m:e>
            <m:r>
              <m:t>w</m:t>
            </m:r>
          </m:e>
          <m:sub>
            <m:r>
              <m:t>i</m:t>
            </m:r>
          </m:sub>
        </m:sSub>
        <m:sSup>
          <m:e>
            <m:r>
              <m:t>L</m:t>
            </m:r>
          </m:e>
          <m:sup>
            <m:r>
              <m:rPr>
                <m:sty m:val="p"/>
              </m:rPr>
              <m:t>*</m:t>
            </m:r>
          </m:sup>
        </m:sSup>
        <m:r>
          <m:rPr>
            <m:sty m:val="p"/>
          </m:rPr>
          <m:t>+</m:t>
        </m:r>
        <m:sSub>
          <m:e>
            <m:r>
              <m:t>r</m:t>
            </m:r>
          </m:e>
          <m:sub>
            <m:r>
              <m:t>i</m:t>
            </m:r>
          </m:sub>
        </m:sSub>
        <m:sSup>
          <m:e>
            <m:r>
              <m:t>K</m:t>
            </m:r>
          </m:e>
          <m:sup>
            <m:r>
              <m:rPr>
                <m:sty m:val="p"/>
              </m:rPr>
              <m:t>*</m:t>
            </m:r>
          </m:sup>
        </m:sSup>
      </m:oMath>
      <w:r>
        <w:t xml:space="preserve"> </w:t>
      </w:r>
      <w:r>
        <w:t xml:space="preserve">para</w:t>
      </w:r>
      <w:r>
        <w:t xml:space="preserve"> </w:t>
      </w:r>
      <m:oMath>
        <m:r>
          <m:t>i</m:t>
        </m:r>
        <m:r>
          <m:rPr>
            <m:sty m:val="p"/>
          </m:rPr>
          <m:t>=</m:t>
        </m:r>
        <m:r>
          <m:t>1</m:t>
        </m:r>
        <m:r>
          <m:rPr>
            <m:sty m:val="p"/>
          </m:rPr>
          <m:t>,</m:t>
        </m:r>
        <m:r>
          <m:t>2</m:t>
        </m:r>
      </m:oMath>
      <w:r>
        <w:t xml:space="preserve"> </w:t>
      </w:r>
      <w:r>
        <w:t xml:space="preserve">(por definição de mínimo).</w:t>
      </w:r>
    </w:p>
    <w:p>
      <w:pPr>
        <w:numPr>
          <w:ilvl w:val="0"/>
          <w:numId w:val="1722"/>
        </w:numPr>
      </w:pPr>
      <w:r>
        <w:t xml:space="preserve">Interprete economicamente: o que a concavidade da função custo nos preços implica sobre o comportamento da firma frente a aumentos nos preços dos insumos?</w:t>
      </w:r>
    </w:p>
    <w:p>
      <w:pPr>
        <w:pStyle w:val="FirstParagraph"/>
      </w:pPr>
      <w:r>
        <w:t xml:space="preserve">Ver solução (Cap. 11)</w:t>
      </w:r>
    </w:p>
    <w:p>
      <w:r>
        <w:pict>
          <v:rect style="width:0;height:1.5pt" o:hralign="center" o:hrstd="t" o:hr="t"/>
        </w:pict>
      </w:r>
    </w:p>
    <w:bookmarkEnd w:id="734"/>
    <w:bookmarkStart w:id="735" w:name="vem-anpec-12"/>
    <w:p>
      <w:pPr>
        <w:pStyle w:val="Heading3"/>
      </w:pPr>
      <w:r>
        <w:t xml:space="preserve">Vem, ANPEC!</w:t>
      </w:r>
    </w:p>
    <w:p>
      <w:pPr>
        <w:pStyle w:val="BlockText"/>
      </w:pPr>
      <w:r>
        <w:rPr>
          <w:b/>
          <w:bCs/>
        </w:rPr>
        <w:t xml:space="preserve">[QUESTAO] ANPEC 2020 — Questão 6</w:t>
      </w:r>
    </w:p>
    <w:p>
      <w:pPr>
        <w:pStyle w:val="BlockText"/>
      </w:pPr>
      <w:r>
        <w:t xml:space="preserve">Em um ano, uma empresa apresentou os seguintes dados contábeis: $ 1 milhão de receitas, $ 300 mil de compras de matérias primas, $ 30 mil de despesas com água e energia elétrica, $ 100 mil de gastos com a folha de salários e $ 120 mil de gasto com o salário do proprietário da empresa. O empresário tem a opção de fechar sua empresa e alugar as instalações por $ 200 mil por ano. Ele também tem duas ofertas de emprego: uma com salário anual de $ 90 mil e outra com salário anual de $ 150 mil. O proprietário somente pode aceitar uma dessas ofertas, caso decida fazê-lo, e seria obrigado a fechar seu negócio. Levando em conta essas informações e a teoria dos custos, indique quais das afirmações a seguir são verdadeiras e quais são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O custo contábil anual da empresa é de $ 550 mil.</w:t>
            </w:r>
          </w:p>
        </w:tc>
      </w:tr>
      <w:tr>
        <w:tc>
          <w:tcPr/>
          <w:p>
            <w:pPr>
              <w:pStyle w:val="Compact"/>
            </w:pPr>
            <w:r>
              <w:t xml:space="preserve">1</w:t>
            </w:r>
          </w:p>
        </w:tc>
        <w:tc>
          <w:tcPr/>
          <w:p>
            <w:pPr>
              <w:pStyle w:val="Compact"/>
            </w:pPr>
            <w:r>
              <w:t xml:space="preserve">O custo econômico anual da empresa é de $ 780 mil.</w:t>
            </w:r>
          </w:p>
        </w:tc>
      </w:tr>
      <w:tr>
        <w:tc>
          <w:tcPr/>
          <w:p>
            <w:pPr>
              <w:pStyle w:val="Compact"/>
            </w:pPr>
            <w:r>
              <w:t xml:space="preserve">2</w:t>
            </w:r>
          </w:p>
        </w:tc>
        <w:tc>
          <w:tcPr/>
          <w:p>
            <w:pPr>
              <w:pStyle w:val="Compact"/>
            </w:pPr>
            <w:r>
              <w:t xml:space="preserve">O lucro econômico anual da empresa é de $ 100 mil.</w:t>
            </w:r>
          </w:p>
        </w:tc>
      </w:tr>
      <w:tr>
        <w:tc>
          <w:tcPr/>
          <w:p>
            <w:pPr>
              <w:pStyle w:val="Compact"/>
            </w:pPr>
            <w:r>
              <w:t xml:space="preserve">3</w:t>
            </w:r>
          </w:p>
        </w:tc>
        <w:tc>
          <w:tcPr/>
          <w:p>
            <w:pPr>
              <w:pStyle w:val="Compact"/>
            </w:pPr>
            <w:r>
              <w:t xml:space="preserve">Sendo racional, o proprietário deve continuar a operar sua empresa, pois o lucro econômico é positivo.</w:t>
            </w:r>
          </w:p>
        </w:tc>
      </w:tr>
      <w:tr>
        <w:tc>
          <w:tcPr/>
          <w:p>
            <w:pPr>
              <w:pStyle w:val="Compact"/>
            </w:pPr>
            <w:r>
              <w:t xml:space="preserve">4</w:t>
            </w:r>
          </w:p>
        </w:tc>
        <w:tc>
          <w:tcPr/>
          <w:p>
            <w:pPr>
              <w:pStyle w:val="Compact"/>
            </w:pPr>
            <w:r>
              <w:t xml:space="preserve">O proprietário deveria fechar a sua empresa se tivesse registrado um custo irrecuperável de $ 300 mil.</w:t>
            </w:r>
          </w:p>
        </w:tc>
      </w:tr>
    </w:tbl>
    <w:p>
      <w:pPr>
        <w:pStyle w:val="BlockText"/>
      </w:pPr>
      <w:r>
        <w:t xml:space="preserve">??? success</w:t>
      </w:r>
      <w:r>
        <w:t xml:space="preserve"> </w:t>
      </w:r>
      <w:r>
        <w:t xml:space="preserve">“Gabarito”</w:t>
      </w:r>
      <w:r>
        <w:t xml:space="preserve"> </w:t>
      </w:r>
      <w:r>
        <w:rPr>
          <w:b/>
          <w:bCs/>
        </w:rPr>
        <w:t xml:space="preserve">Respostas: V V F V F</w:t>
      </w:r>
    </w:p>
    <w:p>
      <w:pPr>
        <w:pStyle w:val="SourceCode"/>
      </w:pPr>
      <w:r>
        <w:rPr>
          <w:rStyle w:val="VerbatimChar"/>
        </w:rPr>
        <w:t xml:space="preserve">**Justificativa por item:**</w:t>
      </w:r>
      <w:r>
        <w:br/>
      </w:r>
      <w:r>
        <w:br/>
      </w:r>
      <w:r>
        <w:rPr>
          <w:rStyle w:val="VerbatimChar"/>
        </w:rPr>
        <w:t xml:space="preserve">- **Item 0 — V:** Custos contábeis (explícitos) = $300k (matéria-prima) + $30k (água/energia) + $100k (salários) + $120k (pró-labore) = **$550k**.</w:t>
      </w:r>
      <w:r>
        <w:br/>
      </w:r>
      <w:r>
        <w:rPr>
          <w:rStyle w:val="VerbatimChar"/>
        </w:rPr>
        <w:t xml:space="preserve">- **Item 1 — V:** Custo de oportunidade do trabalho do proprietário: $150k (melhor oferta) − $120k (pró-labore já pago) = $30k adicional implícito. Custo de oportunidade das instalações: $200k (aluguel). Custos implícitos = $30k + $200k = $230k. Custo econômico = $550k + $230k = **$780k**.</w:t>
      </w:r>
      <w:r>
        <w:br/>
      </w:r>
      <w:r>
        <w:rPr>
          <w:rStyle w:val="VerbatimChar"/>
        </w:rPr>
        <w:t xml:space="preserve">- **Item 2 — F:** Lucro econômico = $1.000k − $780k = **$220k**, não $100k.</w:t>
      </w:r>
      <w:r>
        <w:br/>
      </w:r>
      <w:r>
        <w:rPr>
          <w:rStyle w:val="VerbatimChar"/>
        </w:rPr>
        <w:t xml:space="preserve">- **Item 3 — V:** Como o lucro econômico é $220k &gt; 0, a empresa remunera todos os fatores acima de seu custo de oportunidade. O proprietário deve continuar operando.</w:t>
      </w:r>
      <w:r>
        <w:br/>
      </w:r>
      <w:r>
        <w:rPr>
          <w:rStyle w:val="VerbatimChar"/>
        </w:rPr>
        <w:t xml:space="preserve">- **Item 4 — F:** Custos irrecuperáveis (*sunk costs*) **não devem influenciar** decisões correntes. O lucro econômico continua $220k &gt; 0 independentemente de custos já afundados. A decisão racional é continuar operando — o custo irrecuperável é irrelevante para a decisão prospectiva (Seção 11.1).</w:t>
      </w:r>
    </w:p>
    <w:p>
      <w:pPr>
        <w:pStyle w:val="BlockText"/>
      </w:pPr>
      <w:r>
        <w:rPr>
          <w:b/>
          <w:bCs/>
        </w:rPr>
        <w:t xml:space="preserve">[QUESTAO] ANPEC 2018 — Questão 5</w:t>
      </w:r>
    </w:p>
    <w:p>
      <w:pPr>
        <w:pStyle w:val="BlockText"/>
      </w:pPr>
      <w:r>
        <w:t xml:space="preserve">Com relação aos custos de produção, indique quais das afirmações abaixo são verdadeiras e quais são falsas: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Quando há níveis discretos do fator fixo, a curva de custo marginal de longo prazo será composta por trechos das curvas de custo marginal de curto prazo associados a cada nível de fator fixo.</w:t>
            </w:r>
          </w:p>
        </w:tc>
      </w:tr>
      <w:tr>
        <w:tc>
          <w:tcPr/>
          <w:p>
            <w:pPr>
              <w:pStyle w:val="Compact"/>
            </w:pPr>
            <w:r>
              <w:t xml:space="preserve">1</w:t>
            </w:r>
          </w:p>
        </w:tc>
        <w:tc>
          <w:tcPr/>
          <w:p>
            <w:pPr>
              <w:pStyle w:val="Compact"/>
            </w:pPr>
            <w:r>
              <w:t xml:space="preserve">No caso de uma empresa com duas fábricas, a curva de custo marginal de curto prazo da empresa é a soma vertical das curvas de custo marginal de curto prazo das duas fábricas.</w:t>
            </w:r>
          </w:p>
        </w:tc>
      </w:tr>
      <w:tr>
        <w:tc>
          <w:tcPr/>
          <w:p>
            <w:pPr>
              <w:pStyle w:val="Compact"/>
            </w:pPr>
            <w:r>
              <w:t xml:space="preserve">2</w:t>
            </w:r>
          </w:p>
        </w:tc>
        <w:tc>
          <w:tcPr/>
          <w:p>
            <w:pPr>
              <w:pStyle w:val="Compact"/>
            </w:pPr>
            <w:r>
              <w:t xml:space="preserve">A função de custo total quadrática do tipo</w:t>
            </w:r>
            <w:r>
              <w:t xml:space="preserve"> </w:t>
            </w:r>
            <m:oMath>
              <m:r>
                <m:t>C</m:t>
              </m:r>
              <m:r>
                <m:t>T</m:t>
              </m:r>
              <m:r>
                <m:rPr>
                  <m:sty m:val="p"/>
                </m:rPr>
                <m:t>=</m:t>
              </m:r>
              <m:r>
                <m:t>a</m:t>
              </m:r>
              <m:r>
                <m:t>q</m:t>
              </m:r>
              <m:r>
                <m:rPr>
                  <m:sty m:val="p"/>
                </m:rPr>
                <m:t>+</m:t>
              </m:r>
              <m:r>
                <m:t>b</m:t>
              </m:r>
              <m:sSup>
                <m:e>
                  <m:r>
                    <m:t>q</m:t>
                  </m:r>
                </m:e>
                <m:sup>
                  <m:r>
                    <m:t>2</m:t>
                  </m:r>
                </m:sup>
              </m:sSup>
            </m:oMath>
            <w:r>
              <w:t xml:space="preserve"> </w:t>
            </w:r>
            <w:r>
              <w:t xml:space="preserve">resulta em uma curva de custo marginal linear.</w:t>
            </w:r>
          </w:p>
        </w:tc>
      </w:tr>
      <w:tr>
        <w:tc>
          <w:tcPr/>
          <w:p>
            <w:pPr>
              <w:pStyle w:val="Compact"/>
            </w:pPr>
            <w:r>
              <w:t xml:space="preserve">3</w:t>
            </w:r>
          </w:p>
        </w:tc>
        <w:tc>
          <w:tcPr/>
          <w:p>
            <w:pPr>
              <w:pStyle w:val="Compact"/>
            </w:pPr>
            <w:r>
              <w:t xml:space="preserve">Uma função de custo total cúbica do tipo</w:t>
            </w:r>
            <w:r>
              <w:t xml:space="preserve"> </w:t>
            </w:r>
            <m:oMath>
              <m:r>
                <m:t>C</m:t>
              </m:r>
              <m:r>
                <m:rPr>
                  <m:sty m:val="p"/>
                </m:rPr>
                <m:t>=</m:t>
              </m:r>
              <m:r>
                <m:t>a</m:t>
              </m:r>
              <m:r>
                <m:t>q</m:t>
              </m:r>
              <m:r>
                <m:rPr>
                  <m:sty m:val="p"/>
                </m:rPr>
                <m:t>+</m:t>
              </m:r>
              <m:r>
                <m:t>b</m:t>
              </m:r>
              <m:sSup>
                <m:e>
                  <m:r>
                    <m:t>q</m:t>
                  </m:r>
                </m:e>
                <m:sup>
                  <m:r>
                    <m:t>2</m:t>
                  </m:r>
                </m:sup>
              </m:sSup>
              <m:r>
                <m:rPr>
                  <m:sty m:val="p"/>
                </m:rPr>
                <m:t>+</m:t>
              </m:r>
              <m:r>
                <m:t>c</m:t>
              </m:r>
              <m:sSup>
                <m:e>
                  <m:r>
                    <m:t>q</m:t>
                  </m:r>
                </m:e>
                <m:sup>
                  <m:r>
                    <m:t>3</m:t>
                  </m:r>
                </m:sup>
              </m:sSup>
            </m:oMath>
            <w:r>
              <w:t xml:space="preserve"> </w:t>
            </w:r>
            <w:r>
              <w:t xml:space="preserve">resulta em curvas de custo médio e marginal em forma de U.</w:t>
            </w:r>
          </w:p>
        </w:tc>
      </w:tr>
      <w:tr>
        <w:tc>
          <w:tcPr/>
          <w:p>
            <w:pPr>
              <w:pStyle w:val="Compact"/>
            </w:pPr>
            <w:r>
              <w:t xml:space="preserve">4</w:t>
            </w:r>
          </w:p>
        </w:tc>
        <w:tc>
          <w:tcPr/>
          <w:p>
            <w:pPr>
              <w:pStyle w:val="Compact"/>
            </w:pPr>
            <w:r>
              <w:t xml:space="preserve">Custos quase fixos independem do nível de produção, mas só precisam ser pagos se a empresa produzir uma quantidade positiva de bens.</w:t>
            </w:r>
          </w:p>
        </w:tc>
      </w:tr>
    </w:tbl>
    <w:p>
      <w:pPr>
        <w:pStyle w:val="BlockText"/>
      </w:pPr>
      <w:r>
        <w:t xml:space="preserve">??? success</w:t>
      </w:r>
      <w:r>
        <w:t xml:space="preserve"> </w:t>
      </w:r>
      <w:r>
        <w:t xml:space="preserve">“Gabarito”</w:t>
      </w:r>
      <w:r>
        <w:t xml:space="preserve"> </w:t>
      </w:r>
      <w:r>
        <w:rPr>
          <w:b/>
          <w:bCs/>
        </w:rPr>
        <w:t xml:space="preserve">Respostas: V F V V V</w:t>
      </w:r>
    </w:p>
    <w:p>
      <w:pPr>
        <w:pStyle w:val="SourceCode"/>
      </w:pPr>
      <w:r>
        <w:rPr>
          <w:rStyle w:val="VerbatimChar"/>
        </w:rPr>
        <w:t xml:space="preserve">**Justificativa por item:**</w:t>
      </w:r>
      <w:r>
        <w:br/>
      </w:r>
      <w:r>
        <w:br/>
      </w:r>
      <w:r>
        <w:rPr>
          <w:rStyle w:val="VerbatimChar"/>
        </w:rPr>
        <w:t xml:space="preserve">- **Item 0 — V:** Quando o capital assume apenas valores discretos ($\bar{K}_1, \bar{K}_2, \ldots$), cada nível gera uma curva de CMg de curto prazo. A curva de CMg de longo prazo é obtida selecionando, para cada nível de produto, o trecho da CMg de curto prazo correspondente ao nível de capital que minimiza o custo total — formando uma curva "composta" por segmentos das diversas CMg de curto prazo.</w:t>
      </w:r>
      <w:r>
        <w:br/>
      </w:r>
      <w:r>
        <w:rPr>
          <w:rStyle w:val="VerbatimChar"/>
        </w:rPr>
        <w:t xml:space="preserve">- **Item 1 — F:** A soma é **horizontal**, não vertical. Com duas fábricas, a firma aloca produção de modo a igualar os custos marginais entre elas. Para cada nível de CMg, soma-se as quantidades produzidas nas duas fábricas — essa é a soma horizontal.</w:t>
      </w:r>
      <w:r>
        <w:br/>
      </w:r>
      <w:r>
        <w:rPr>
          <w:rStyle w:val="VerbatimChar"/>
        </w:rPr>
        <w:t xml:space="preserve">- **Item 2 — V:** $CT = aq + bq^2 \implies CMg = a + 2bq$, que é uma função linear de $q$.</w:t>
      </w:r>
      <w:r>
        <w:br/>
      </w:r>
      <w:r>
        <w:rPr>
          <w:rStyle w:val="VerbatimChar"/>
        </w:rPr>
        <w:t xml:space="preserve">- **Item 3 — V:** $CMe = a + bq + cq^2$ e $CMg = a + 2bq + 3cq^2$. Para os parâmetros convencionais ($b &lt; 0, c &gt; 0$), ambas são parábolas com concavidade para cima, gerando o formato de U clássico.</w:t>
      </w:r>
      <w:r>
        <w:br/>
      </w:r>
      <w:r>
        <w:rPr>
          <w:rStyle w:val="VerbatimChar"/>
        </w:rPr>
        <w:t xml:space="preserve">- **Item 4 — V:** Custos quase fixos são custos que não variam com o nível de produção, mas que só existem quando a firma produz ($q &gt; 0$). Diferem dos custos fixos tradicionais, que são incorridos mesmo com $q = 0$.</w:t>
      </w:r>
    </w:p>
    <w:p>
      <w:pPr>
        <w:pStyle w:val="BlockText"/>
      </w:pPr>
      <w:r>
        <w:rPr>
          <w:b/>
          <w:bCs/>
        </w:rPr>
        <w:t xml:space="preserve">[QUESTAO] ANPEC 2022 — Questão 5</w:t>
      </w:r>
    </w:p>
    <w:p>
      <w:pPr>
        <w:pStyle w:val="BlockText"/>
      </w:pPr>
      <w:r>
        <w:t xml:space="preserve">Com relação à Teoria dos Custos, julgue os itens a seguir:</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Uma empresa produz mensalmente um bem a partir de capital (K) e trabalho (L) de acordo com dois processos de produção do tipo Leontief (de proporções fixas): o primeiro processo é dado por</w:t>
            </w:r>
            <w:r>
              <w:t xml:space="preserve"> </w:t>
            </w:r>
            <m:oMath>
              <m:sSub>
                <m:e>
                  <m:r>
                    <m:t>f</m:t>
                  </m:r>
                </m:e>
                <m:sub>
                  <m:r>
                    <m:t>1</m:t>
                  </m:r>
                </m:sub>
              </m:sSub>
              <m:r>
                <m:rPr>
                  <m:sty m:val="p"/>
                </m:rPr>
                <m:t>(</m:t>
              </m:r>
              <m:r>
                <m:t>K</m:t>
              </m:r>
              <m:r>
                <m:rPr>
                  <m:sty m:val="p"/>
                </m:rPr>
                <m:t>,</m:t>
              </m:r>
              <m:r>
                <m:t>L</m:t>
              </m:r>
              <m:r>
                <m:rPr>
                  <m:sty m:val="p"/>
                </m:rPr>
                <m:t>)</m:t>
              </m:r>
              <m:r>
                <m:rPr>
                  <m:sty m:val="p"/>
                </m:rPr>
                <m:t>=</m:t>
              </m:r>
              <m:r>
                <m:rPr>
                  <m:sty m:val="p"/>
                </m:rPr>
                <m:t>min</m:t>
              </m:r>
              <m:r>
                <m:rPr>
                  <m:sty m:val="p"/>
                </m:rPr>
                <m:t>{</m:t>
              </m:r>
              <m:r>
                <m:t>K</m:t>
              </m:r>
              <m:r>
                <m:rPr>
                  <m:sty m:val="p"/>
                </m:rPr>
                <m:t>,</m:t>
              </m:r>
              <m:r>
                <m:t>L</m:t>
              </m:r>
              <m:r>
                <m:rPr>
                  <m:sty m:val="p"/>
                </m:rPr>
                <m:t>/</m:t>
              </m:r>
              <m:r>
                <m:t>4</m:t>
              </m:r>
              <m:r>
                <m:rPr>
                  <m:sty m:val="p"/>
                </m:rPr>
                <m:t>}</m:t>
              </m:r>
            </m:oMath>
            <w:r>
              <w:t xml:space="preserve"> </w:t>
            </w:r>
            <w:r>
              <w:t xml:space="preserve">e o segundo processo é dado por</w:t>
            </w:r>
            <w:r>
              <w:t xml:space="preserve"> </w:t>
            </w:r>
            <m:oMath>
              <m:sSub>
                <m:e>
                  <m:r>
                    <m:t>f</m:t>
                  </m:r>
                </m:e>
                <m:sub>
                  <m:r>
                    <m:t>2</m:t>
                  </m:r>
                </m:sub>
              </m:sSub>
              <m:r>
                <m:rPr>
                  <m:sty m:val="p"/>
                </m:rPr>
                <m:t>(</m:t>
              </m:r>
              <m:r>
                <m:t>K</m:t>
              </m:r>
              <m:r>
                <m:rPr>
                  <m:sty m:val="p"/>
                </m:rPr>
                <m:t>,</m:t>
              </m:r>
              <m:r>
                <m:t>L</m:t>
              </m:r>
              <m:r>
                <m:rPr>
                  <m:sty m:val="p"/>
                </m:rPr>
                <m:t>)</m:t>
              </m:r>
              <m:r>
                <m:rPr>
                  <m:sty m:val="p"/>
                </m:rPr>
                <m:t>=</m:t>
              </m:r>
              <m:r>
                <m:rPr>
                  <m:sty m:val="p"/>
                </m:rPr>
                <m:t>min</m:t>
              </m:r>
              <m:r>
                <m:rPr>
                  <m:sty m:val="p"/>
                </m:rPr>
                <m:t>{</m:t>
              </m:r>
              <m:r>
                <m:t>K</m:t>
              </m:r>
              <m:r>
                <m:rPr>
                  <m:sty m:val="p"/>
                </m:rPr>
                <m:t>/</m:t>
              </m:r>
              <m:r>
                <m:t>5</m:t>
              </m:r>
              <m:r>
                <m:rPr>
                  <m:sty m:val="p"/>
                </m:rPr>
                <m:t>,</m:t>
              </m:r>
              <m:r>
                <m:t>L</m:t>
              </m:r>
              <m:r>
                <m:rPr>
                  <m:sty m:val="p"/>
                </m:rPr>
                <m:t>}</m:t>
              </m:r>
            </m:oMath>
            <w:r>
              <w:t xml:space="preserve">. Denote por Q a quantidade mensal produzida do bem. O custo de oportunidade do capital é</w:t>
            </w:r>
            <w:r>
              <w:t xml:space="preserve"> </w:t>
            </w:r>
            <m:oMath>
              <m:r>
                <m:t>v</m:t>
              </m:r>
              <m:r>
                <m:rPr>
                  <m:sty m:val="p"/>
                </m:rPr>
                <m:t>=</m:t>
              </m:r>
              <m:r>
                <m:t>1</m:t>
              </m:r>
            </m:oMath>
            <w:r>
              <w:t xml:space="preserve"> </w:t>
            </w:r>
            <w:r>
              <w:t xml:space="preserve">e o do trabalho é</w:t>
            </w:r>
            <w:r>
              <w:t xml:space="preserve"> </w:t>
            </w:r>
            <m:oMath>
              <m:r>
                <m:t>w</m:t>
              </m:r>
              <m:r>
                <m:rPr>
                  <m:sty m:val="p"/>
                </m:rPr>
                <m:t>=</m:t>
              </m:r>
              <m:r>
                <m:t>2</m:t>
              </m:r>
            </m:oMath>
            <w:r>
              <w:t xml:space="preserve">. Então, a função custo da empresa é</w:t>
            </w:r>
            <w:r>
              <w:t xml:space="preserve"> </w:t>
            </w:r>
            <m:oMath>
              <m:r>
                <m:t>c</m:t>
              </m:r>
              <m:r>
                <m:rPr>
                  <m:sty m:val="p"/>
                </m:rPr>
                <m:t>(</m:t>
              </m:r>
              <m:r>
                <m:t>Q</m:t>
              </m:r>
              <m:r>
                <m:rPr>
                  <m:sty m:val="p"/>
                </m:rPr>
                <m:t>)</m:t>
              </m:r>
              <m:r>
                <m:rPr>
                  <m:sty m:val="p"/>
                </m:rPr>
                <m:t>=</m:t>
              </m:r>
              <m:r>
                <m:t>7</m:t>
              </m:r>
              <m:r>
                <m:t>Q</m:t>
              </m:r>
            </m:oMath>
            <w:r>
              <w:t xml:space="preserve">.</w:t>
            </w:r>
          </w:p>
        </w:tc>
      </w:tr>
      <w:tr>
        <w:tc>
          <w:tcPr/>
          <w:p>
            <w:pPr>
              <w:pStyle w:val="Compact"/>
            </w:pPr>
            <w:r>
              <w:t xml:space="preserve">1</w:t>
            </w:r>
          </w:p>
        </w:tc>
        <w:tc>
          <w:tcPr/>
          <w:p>
            <w:pPr>
              <w:pStyle w:val="Compact"/>
            </w:pPr>
            <w:r>
              <w:t xml:space="preserve">Um bem é produzido numa quantidade q a partir de capital (K) e trabalho (L), com os respectivos preços fatoriais denotados por</w:t>
            </w:r>
            <w:r>
              <w:t xml:space="preserve"> </w:t>
            </w:r>
            <m:oMath>
              <m:r>
                <m:t>v</m:t>
              </m:r>
              <m:r>
                <m:rPr>
                  <m:sty m:val="p"/>
                </m:rPr>
                <m:t>&gt;</m:t>
              </m:r>
              <m:r>
                <m:t>0</m:t>
              </m:r>
            </m:oMath>
            <w:r>
              <w:t xml:space="preserve"> </w:t>
            </w:r>
            <w:r>
              <w:t xml:space="preserve">e</w:t>
            </w:r>
            <w:r>
              <w:t xml:space="preserve"> </w:t>
            </w:r>
            <m:oMath>
              <m:r>
                <m:t>w</m:t>
              </m:r>
              <m:r>
                <m:rPr>
                  <m:sty m:val="p"/>
                </m:rPr>
                <m:t>&gt;</m:t>
              </m:r>
              <m:r>
                <m:t>0</m:t>
              </m:r>
            </m:oMath>
            <w:r>
              <w:t xml:space="preserve">. Um econometrista estimou a seguinte função de custo do tipo Cobb-Douglas:</w:t>
            </w:r>
            <w:r>
              <w:t xml:space="preserve"> </w:t>
            </w:r>
            <m:oMath>
              <m:r>
                <m:t>c</m:t>
              </m:r>
              <m:r>
                <m:rPr>
                  <m:sty m:val="p"/>
                </m:rPr>
                <m:t>(</m:t>
              </m:r>
              <m:r>
                <m:t>v</m:t>
              </m:r>
              <m:r>
                <m:rPr>
                  <m:sty m:val="p"/>
                </m:rPr>
                <m:t>,</m:t>
              </m:r>
              <m:r>
                <m:t>w</m:t>
              </m:r>
              <m:r>
                <m:rPr>
                  <m:sty m:val="p"/>
                </m:rPr>
                <m:t>,</m:t>
              </m:r>
              <m:r>
                <m:t>q</m:t>
              </m:r>
              <m:r>
                <m:rPr>
                  <m:sty m:val="p"/>
                </m:rPr>
                <m:t>)</m:t>
              </m:r>
              <m:r>
                <m:rPr>
                  <m:sty m:val="p"/>
                </m:rPr>
                <m:t>=</m:t>
              </m:r>
              <m:r>
                <m:t>2</m:t>
              </m:r>
              <m:sSup>
                <m:e>
                  <m:r>
                    <m:t>v</m:t>
                  </m:r>
                </m:e>
                <m:sup>
                  <m:r>
                    <m:t>5</m:t>
                  </m:r>
                  <m:r>
                    <m:rPr>
                      <m:sty m:val="p"/>
                    </m:rPr>
                    <m:t>/</m:t>
                  </m:r>
                  <m:r>
                    <m:t>8</m:t>
                  </m:r>
                </m:sup>
              </m:sSup>
              <m:sSup>
                <m:e>
                  <m:r>
                    <m:t>w</m:t>
                  </m:r>
                </m:e>
                <m:sup>
                  <m:r>
                    <m:t>3</m:t>
                  </m:r>
                  <m:r>
                    <m:rPr>
                      <m:sty m:val="p"/>
                    </m:rPr>
                    <m:t>/</m:t>
                  </m:r>
                  <m:r>
                    <m:t>8</m:t>
                  </m:r>
                </m:sup>
              </m:sSup>
            </m:oMath>
            <w:r>
              <w:t xml:space="preserve">. Suponha que</w:t>
            </w:r>
            <w:r>
              <w:t xml:space="preserve"> </w:t>
            </w:r>
            <m:oMath>
              <m:r>
                <m:t>v</m:t>
              </m:r>
              <m:r>
                <m:rPr>
                  <m:sty m:val="p"/>
                </m:rPr>
                <m:t>=</m:t>
              </m:r>
              <m:r>
                <m:t>1</m:t>
              </m:r>
            </m:oMath>
            <w:r>
              <w:t xml:space="preserve"> </w:t>
            </w:r>
            <w:r>
              <w:t xml:space="preserve">e</w:t>
            </w:r>
            <w:r>
              <w:t xml:space="preserve"> </w:t>
            </w:r>
            <m:oMath>
              <m:r>
                <m:t>w</m:t>
              </m:r>
              <m:r>
                <m:rPr>
                  <m:sty m:val="p"/>
                </m:rPr>
                <m:t>=</m:t>
              </m:r>
              <m:r>
                <m:t>256</m:t>
              </m:r>
              <m:r>
                <m:rPr>
                  <m:sty m:val="p"/>
                </m:rPr>
                <m:t>=</m:t>
              </m:r>
              <m:sSup>
                <m:e>
                  <m:r>
                    <m:t>2</m:t>
                  </m:r>
                </m:e>
                <m:sup>
                  <m:r>
                    <m:t>8</m:t>
                  </m:r>
                </m:sup>
              </m:sSup>
            </m:oMath>
            <w:r>
              <w:t xml:space="preserve">. Então, a demanda fatorial por capital é</w:t>
            </w:r>
            <w:r>
              <w:t xml:space="preserve"> </w:t>
            </w:r>
            <m:oMath>
              <m:r>
                <m:t>K</m:t>
              </m:r>
              <m:r>
                <m:rPr>
                  <m:sty m:val="p"/>
                </m:rPr>
                <m:t>=</m:t>
              </m:r>
              <m:r>
                <m:t>16</m:t>
              </m:r>
            </m:oMath>
            <w:r>
              <w:t xml:space="preserve">.</w:t>
            </w:r>
          </w:p>
        </w:tc>
      </w:tr>
      <w:tr>
        <w:tc>
          <w:tcPr/>
          <w:p>
            <w:pPr>
              <w:pStyle w:val="Compact"/>
            </w:pPr>
            <w:r>
              <w:t xml:space="preserve">2</w:t>
            </w:r>
          </w:p>
        </w:tc>
        <w:tc>
          <w:tcPr/>
          <w:p>
            <w:pPr>
              <w:pStyle w:val="Compact"/>
            </w:pPr>
            <w:r>
              <w:t xml:space="preserve">Uma empresa possui função de produção dada por</w:t>
            </w:r>
            <w:r>
              <w:t xml:space="preserve"> </w:t>
            </w:r>
            <m:oMath>
              <m:r>
                <m:t>f</m:t>
              </m:r>
              <m:r>
                <m:rPr>
                  <m:sty m:val="p"/>
                </m:rPr>
                <m:t>(</m:t>
              </m:r>
              <m:r>
                <m:t>K</m:t>
              </m:r>
              <m:r>
                <m:rPr>
                  <m:sty m:val="p"/>
                </m:rPr>
                <m:t>,</m:t>
              </m:r>
              <m:r>
                <m:t>L</m:t>
              </m:r>
              <m:r>
                <m:rPr>
                  <m:sty m:val="p"/>
                </m:rPr>
                <m:t>)</m:t>
              </m:r>
              <m:r>
                <m:rPr>
                  <m:sty m:val="p"/>
                </m:rPr>
                <m:t>=</m:t>
              </m:r>
              <m:rad>
                <m:radPr>
                  <m:degHide m:val="on"/>
                </m:radPr>
                <m:deg/>
                <m:e>
                  <m:r>
                    <m:t>K</m:t>
                  </m:r>
                  <m:r>
                    <m:t>L</m:t>
                  </m:r>
                </m:e>
              </m:rad>
            </m:oMath>
            <w:r>
              <w:t xml:space="preserve">, em que K denota o capital e L o trabalho. No curto prazo, o capital está fixo em</w:t>
            </w:r>
            <w:r>
              <w:t xml:space="preserve"> </w:t>
            </w:r>
            <m:oMath>
              <m:acc>
                <m:accPr>
                  <m:chr m:val="‾"/>
                </m:accPr>
                <m:e>
                  <m:r>
                    <m:t>K</m:t>
                  </m:r>
                </m:e>
              </m:acc>
              <m:r>
                <m:rPr>
                  <m:sty m:val="p"/>
                </m:rPr>
                <m:t>=</m:t>
              </m:r>
              <m:r>
                <m:t>4</m:t>
              </m:r>
            </m:oMath>
            <w:r>
              <w:t xml:space="preserve">. Suponha que o preço fatorial do capital é</w:t>
            </w:r>
            <w:r>
              <w:t xml:space="preserve"> </w:t>
            </w:r>
            <m:oMath>
              <m:r>
                <m:t>v</m:t>
              </m:r>
              <m:r>
                <m:rPr>
                  <m:sty m:val="p"/>
                </m:rPr>
                <m:t>=</m:t>
              </m:r>
              <m:r>
                <m:t>1</m:t>
              </m:r>
            </m:oMath>
            <w:r>
              <w:t xml:space="preserve"> </w:t>
            </w:r>
            <w:r>
              <w:t xml:space="preserve">e que o preço fatorial do trabalho é</w:t>
            </w:r>
            <w:r>
              <w:t xml:space="preserve"> </w:t>
            </w:r>
            <m:oMath>
              <m:r>
                <m:t>w</m:t>
              </m:r>
              <m:r>
                <m:rPr>
                  <m:sty m:val="p"/>
                </m:rPr>
                <m:t>=</m:t>
              </m:r>
              <m:r>
                <m:t>4</m:t>
              </m:r>
            </m:oMath>
            <w:r>
              <w:t xml:space="preserve">. Então, a função de custo de curto prazo é</w:t>
            </w:r>
            <w:r>
              <w:t xml:space="preserve"> </w:t>
            </w:r>
            <m:oMath>
              <m:r>
                <m:t>c</m:t>
              </m:r>
              <m:r>
                <m:rPr>
                  <m:sty m:val="p"/>
                </m:rPr>
                <m:t>(</m:t>
              </m:r>
              <m:r>
                <m:t>q</m:t>
              </m:r>
              <m:r>
                <m:rPr>
                  <m:sty m:val="p"/>
                </m:rPr>
                <m:t>)</m:t>
              </m:r>
              <m:r>
                <m:rPr>
                  <m:sty m:val="p"/>
                </m:rPr>
                <m:t>=</m:t>
              </m:r>
              <m:r>
                <m:t>4</m:t>
              </m:r>
              <m:r>
                <m:rPr>
                  <m:sty m:val="p"/>
                </m:rPr>
                <m:t>+</m:t>
              </m:r>
              <m:sSup>
                <m:e>
                  <m:r>
                    <m:t>q</m:t>
                  </m:r>
                </m:e>
                <m:sup>
                  <m:r>
                    <m:t>2</m:t>
                  </m:r>
                </m:sup>
              </m:sSup>
            </m:oMath>
            <w:r>
              <w:t xml:space="preserve">.</w:t>
            </w:r>
          </w:p>
        </w:tc>
      </w:tr>
      <w:tr>
        <w:tc>
          <w:tcPr/>
          <w:p>
            <w:pPr>
              <w:pStyle w:val="Compact"/>
            </w:pPr>
            <w:r>
              <w:t xml:space="preserve">3</w:t>
            </w:r>
          </w:p>
        </w:tc>
        <w:tc>
          <w:tcPr/>
          <w:p>
            <w:pPr>
              <w:pStyle w:val="Compact"/>
            </w:pPr>
            <w:r>
              <w:t xml:space="preserve">No curto prazo, se o preço do produto é inferior ao custo médio mínimo, então a firma necessariamente não produzirá.</w:t>
            </w:r>
          </w:p>
        </w:tc>
      </w:tr>
      <w:tr>
        <w:tc>
          <w:tcPr/>
          <w:p>
            <w:pPr>
              <w:pStyle w:val="Compact"/>
            </w:pPr>
            <w:r>
              <w:t xml:space="preserve">4</w:t>
            </w:r>
          </w:p>
        </w:tc>
        <w:tc>
          <w:tcPr/>
          <w:p>
            <w:pPr>
              <w:pStyle w:val="Compact"/>
            </w:pPr>
            <w:r>
              <w:t xml:space="preserve">Uma firma tem função de produção</w:t>
            </w:r>
            <w:r>
              <w:t xml:space="preserve"> </w:t>
            </w:r>
            <m:oMath>
              <m:r>
                <m:t>f</m:t>
              </m:r>
              <m:r>
                <m:rPr>
                  <m:sty m:val="p"/>
                </m:rPr>
                <m:t>(</m:t>
              </m:r>
              <m:r>
                <m:t>K</m:t>
              </m:r>
              <m:r>
                <m:rPr>
                  <m:sty m:val="p"/>
                </m:rPr>
                <m:t>,</m:t>
              </m:r>
              <m:r>
                <m:t>L</m:t>
              </m:r>
              <m:r>
                <m:rPr>
                  <m:sty m:val="p"/>
                </m:rPr>
                <m:t>)</m:t>
              </m:r>
              <m:r>
                <m:rPr>
                  <m:sty m:val="p"/>
                </m:rPr>
                <m:t>=</m:t>
              </m:r>
              <m:r>
                <m:rPr>
                  <m:sty m:val="p"/>
                </m:rPr>
                <m:t>min</m:t>
              </m:r>
              <m:r>
                <m:rPr>
                  <m:sty m:val="p"/>
                </m:rPr>
                <m:t>{</m:t>
              </m:r>
              <m:r>
                <m:t>K</m:t>
              </m:r>
              <m:r>
                <m:rPr>
                  <m:sty m:val="p"/>
                </m:rPr>
                <m:t>+</m:t>
              </m:r>
              <m:r>
                <m:t>L</m:t>
              </m:r>
              <m:r>
                <m:rPr>
                  <m:sty m:val="p"/>
                </m:rPr>
                <m:t>,</m:t>
              </m:r>
              <m:r>
                <m:t>2</m:t>
              </m:r>
              <m:r>
                <m:t>L</m:t>
              </m:r>
              <m:r>
                <m:rPr>
                  <m:sty m:val="p"/>
                </m:rPr>
                <m:t>}</m:t>
              </m:r>
            </m:oMath>
            <w:r>
              <w:t xml:space="preserve">. Sejam</w:t>
            </w:r>
            <w:r>
              <w:t xml:space="preserve"> </w:t>
            </w:r>
            <m:oMath>
              <m:r>
                <m:t>v</m:t>
              </m:r>
              <m:r>
                <m:rPr>
                  <m:sty m:val="p"/>
                </m:rPr>
                <m:t>,</m:t>
              </m:r>
              <m:r>
                <m:t>w</m:t>
              </m:r>
              <m:r>
                <m:rPr>
                  <m:sty m:val="p"/>
                </m:rPr>
                <m:t>&gt;</m:t>
              </m:r>
              <m:r>
                <m:t>0</m:t>
              </m:r>
            </m:oMath>
            <w:r>
              <w:t xml:space="preserve"> </w:t>
            </w:r>
            <w:r>
              <w:t xml:space="preserve">os custos de oportunidade do capital e do trabalho, respectivamente. Suponha que</w:t>
            </w:r>
            <w:r>
              <w:t xml:space="preserve"> </w:t>
            </w:r>
            <m:oMath>
              <m:r>
                <m:t>v</m:t>
              </m:r>
              <m:r>
                <m:rPr>
                  <m:sty m:val="p"/>
                </m:rPr>
                <m:t>&lt;</m:t>
              </m:r>
              <m:r>
                <m:t>w</m:t>
              </m:r>
            </m:oMath>
            <w:r>
              <w:t xml:space="preserve">. O fator trabalho está limitado a um máximo de 10 unidades. Então, a restrição sobre o trabalho só afeta a função custo da firma para níveis de produção acima de 20 unidades de produto.</w:t>
            </w:r>
          </w:p>
        </w:tc>
      </w:tr>
    </w:tbl>
    <w:p>
      <w:pPr>
        <w:pStyle w:val="BlockText"/>
      </w:pPr>
      <w:r>
        <w:t xml:space="preserve">??? success</w:t>
      </w:r>
      <w:r>
        <w:t xml:space="preserve"> </w:t>
      </w:r>
      <w:r>
        <w:t xml:space="preserve">“Gabarito”</w:t>
      </w:r>
      <w:r>
        <w:t xml:space="preserve"> </w:t>
      </w:r>
      <w:r>
        <w:rPr>
          <w:b/>
          <w:bCs/>
        </w:rPr>
        <w:t xml:space="preserve">Respostas: V F V F V</w:t>
      </w:r>
    </w:p>
    <w:p>
      <w:pPr>
        <w:pStyle w:val="SourceCode"/>
      </w:pPr>
      <w:r>
        <w:rPr>
          <w:rStyle w:val="VerbatimChar"/>
        </w:rPr>
        <w:t xml:space="preserve">**Justificativa por item:**</w:t>
      </w:r>
      <w:r>
        <w:br/>
      </w:r>
      <w:r>
        <w:br/>
      </w:r>
      <w:r>
        <w:rPr>
          <w:rStyle w:val="VerbatimChar"/>
        </w:rPr>
        <w:t xml:space="preserve">- **Item 0 — V:** Processo 1 usa 1K e 4L por unidade: custo unitário = $1 \cdot 1 + 4 \cdot 2 = 9$. Processo 2 usa 5K e 1L por unidade: custo unitário = $5 \cdot 1 + 1 \cdot 2 = 7$. Como $7 &lt; 9$, a firma usa apenas o processo 2 e $c(Q) = 7Q$.</w:t>
      </w:r>
      <w:r>
        <w:br/>
      </w:r>
      <w:r>
        <w:rPr>
          <w:rStyle w:val="VerbatimChar"/>
        </w:rPr>
        <w:t xml:space="preserve">- **Item 1 — F:** Pelo Lema de Shephard: $K = \partial c / \partial v = 2 \cdot \frac{5}{8} v^{-3/8} w^{3/8} = \frac{5}{4} v^{-3/8} w^{3/8}$. Com $v = 1$ e $w = 256$: $K = \frac{5}{4} \cdot 256^{3/8} = \frac{5}{4} \cdot 8 = 10$, não 16.</w:t>
      </w:r>
      <w:r>
        <w:br/>
      </w:r>
      <w:r>
        <w:rPr>
          <w:rStyle w:val="VerbatimChar"/>
        </w:rPr>
        <w:t xml:space="preserve">- **Item 2 — V:** $q = \sqrt{4L} = 2\sqrt{L} \implies L = q^2/4$. Custo de curto prazo: $c = v\bar{K} + wL = 4 + 4 \cdot q^2/4 = 4 + q^2$.</w:t>
      </w:r>
      <w:r>
        <w:br/>
      </w:r>
      <w:r>
        <w:rPr>
          <w:rStyle w:val="VerbatimChar"/>
        </w:rPr>
        <w:t xml:space="preserve">- **Item 3 — F:** No curto prazo, se $P &lt; \mathrm{CMe}_{min}$ mas $P &gt; \mathrm{CVMe}_{min}$, a firma produz — ela cobre seus custos variáveis e parte dos custos fixos. A firma só encerra produção se $P &lt; \mathrm{CVMe}_{min}$ (ponto de fechamento).</w:t>
      </w:r>
      <w:r>
        <w:br/>
      </w:r>
      <w:r>
        <w:rPr>
          <w:rStyle w:val="VerbatimChar"/>
        </w:rPr>
        <w:t xml:space="preserve">- **Item 4 — V:** $f(K,L) = \min\{K+L, 2L\}$. Com $v &lt; w$, a firma usa mais K e menos L. No ótimo: $q = 2L$, logo $L = q/2$. A restrição $L \leq 10$ se torna ativa quando $q/2 &gt; 10$, ou seja, $q &gt; 20$.</w:t>
      </w:r>
    </w:p>
    <w:bookmarkEnd w:id="735"/>
    <w:bookmarkEnd w:id="736"/>
    <w:bookmarkStart w:id="742" w:name="pesquisa-em-ação-capítulo-11"/>
    <w:p>
      <w:pPr>
        <w:pStyle w:val="Heading2"/>
      </w:pPr>
      <w:r>
        <w:t xml:space="preserve">Pesquisa em Ação — Capítulo 11</w:t>
      </w:r>
    </w:p>
    <w:p>
      <w:pPr>
        <w:pStyle w:val="BlockText"/>
      </w:pPr>
      <w:r>
        <w:rPr>
          <w:b/>
          <w:bCs/>
        </w:rPr>
        <w:t xml:space="preserve">[PESQUISA EM ACAO] Christensen, Laurits R.; Greene, William H. (1976).</w:t>
      </w:r>
      <w:r>
        <w:rPr>
          <w:b/>
          <w:bCs/>
        </w:rPr>
        <w:t xml:space="preserve"> </w:t>
      </w:r>
      <w:hyperlink r:id="rId737">
        <w:r>
          <w:rPr>
            <w:rStyle w:val="Hyperlink"/>
            <w:b/>
            <w:bCs/>
          </w:rPr>
          <w:t xml:space="preserve">Economies of Scale in U.S. Electric Power Generation</w:t>
        </w:r>
      </w:hyperlink>
      <w:r>
        <w:rPr>
          <w:b/>
          <w:bCs/>
        </w:rPr>
        <w:t xml:space="preserve">.</w:t>
      </w:r>
      <w:r>
        <w:rPr>
          <w:b/>
          <w:bCs/>
        </w:rPr>
        <w:t xml:space="preserve"> </w:t>
      </w:r>
      <w:r>
        <w:rPr>
          <w:b/>
          <w:bCs/>
          <w:i/>
          <w:iCs/>
        </w:rPr>
        <w:t xml:space="preserve">Journal of Political Economy</w:t>
      </w:r>
      <w:r>
        <w:rPr>
          <w:b/>
          <w:bCs/>
        </w:rPr>
        <w:t xml:space="preserve">, 84(4, Part 1), 655-676. DOI:</w:t>
      </w:r>
      <w:r>
        <w:rPr>
          <w:b/>
          <w:bCs/>
        </w:rPr>
        <w:t xml:space="preserve"> </w:t>
      </w:r>
      <w:hyperlink r:id="rId737">
        <w:r>
          <w:rPr>
            <w:rStyle w:val="Hyperlink"/>
            <w:b/>
            <w:bCs/>
          </w:rPr>
          <w:t xml:space="preserve">10.1086/260470</w:t>
        </w:r>
      </w:hyperlink>
    </w:p>
    <w:p>
      <w:pPr>
        <w:pStyle w:val="BlockText"/>
      </w:pPr>
      <w:r>
        <w:rPr>
          <w:b/>
          <w:bCs/>
        </w:rPr>
        <w:t xml:space="preserve">Pergunta central:</w:t>
      </w:r>
      <w:r>
        <w:t xml:space="preserve"> </w:t>
      </w:r>
      <w:r>
        <w:t xml:space="preserve">A indústria de geração de energia elétrica apresenta economias de escala? E, se sim, até que ponto? Essa questão era central para o debate regulatório dos anos 1970: se houvesse economias de escala ilimitadas, o monopólio natural seria a estrutura eficiente e a regulação seria justificada; se as economias de escala se esgotassem a partir de certo porte, a competição entre firmas seria viável.</w:t>
      </w:r>
    </w:p>
    <w:p>
      <w:pPr>
        <w:pStyle w:val="BlockText"/>
      </w:pPr>
      <w:r>
        <w:rPr>
          <w:b/>
          <w:bCs/>
        </w:rPr>
        <w:t xml:space="preserve">Método:</w:t>
      </w:r>
      <w:r>
        <w:t xml:space="preserve"> </w:t>
      </w:r>
      <w:r>
        <w:t xml:space="preserve">Christensen e Greene estimaram funções de custo translog (</w:t>
      </w:r>
      <w:r>
        <w:rPr>
          <w:i/>
          <w:iCs/>
        </w:rPr>
        <w:t xml:space="preserve">transcendental logarithmic</w:t>
      </w:r>
      <w:r>
        <w:t xml:space="preserve">) — uma forma funcional flexível que não impõe</w:t>
      </w:r>
      <w:r>
        <w:t xml:space="preserve"> </w:t>
      </w:r>
      <w:r>
        <w:rPr>
          <w:i/>
          <w:iCs/>
        </w:rPr>
        <w:t xml:space="preserve">a priori</w:t>
      </w:r>
      <w:r>
        <w:t xml:space="preserve"> </w:t>
      </w:r>
      <w:r>
        <w:t xml:space="preserve">o formato da curva de CMe de longo prazo — para uma amostra de 114 empresas de geração de energia elétrica nos Estados Unidos em 1970. A função translog permite que o formato de U do CMe emerja dos dados, em vez de ser imposto pela especificação funcional.</w:t>
      </w:r>
    </w:p>
    <w:p>
      <w:pPr>
        <w:pStyle w:val="BlockText"/>
      </w:pPr>
      <w:r>
        <w:rPr>
          <w:b/>
          <w:bCs/>
        </w:rPr>
        <w:t xml:space="preserve">Resultado principal:</w:t>
      </w:r>
      <w:r>
        <w:t xml:space="preserve"> </w:t>
      </w:r>
      <w:r>
        <w:t xml:space="preserve">Os resultados mostraram que a curva de CMe de longo prazo tinha de fato formato de U: economias de escala significativas para firmas pequenas e médias, custos médios aproximadamente constantes para firmas com geração acima de 20 bilhões de kWh, e leves deseconomias para as maiores. Isso contrastava com estimativas anteriores (usando formas funcionais restritivas como a Cobb-Douglas), que encontravam economias de escala ilimitadas — artefato da imposição de retornos crescentes homogêneos.</w:t>
      </w:r>
    </w:p>
    <w:p>
      <w:pPr>
        <w:pStyle w:val="BlockText"/>
      </w:pPr>
      <w:r>
        <w:rPr>
          <w:b/>
          <w:bCs/>
        </w:rPr>
        <w:t xml:space="preserve">Relevância para o capítulo:</w:t>
      </w:r>
      <w:r>
        <w:t xml:space="preserve"> </w:t>
      </w:r>
      <w:r>
        <w:t xml:space="preserve">O artigo é uma aplicação empírica direta dos conceitos das Seções 11.4 e 11.7: estimação da função custo, teste de economias de escala e determinação da escala mínima eficiente. A lição metodológica é poderosa: a escolha da forma funcional para a função custo (Cobb-Douglas vs. translog) pode alterar dramaticamente as conclusões sobre a estrutura de mercado eficiente. No Brasil, o setor elétrico passou por reformas estruturais nos anos 1990 e 2000, com a separação entre geração, transmissão e distribuição — decisão que pressupõe, implicitamente, que as economias de escala na geração não são ilimitadas, consistente com os achados de Christensen e Greene.</w:t>
      </w:r>
    </w:p>
    <w:p>
      <w:pPr>
        <w:pStyle w:val="BlockText"/>
      </w:pPr>
      <w:r>
        <w:rPr>
          <w:b/>
          <w:bCs/>
        </w:rPr>
        <w:t xml:space="preserve">[PESQUISA EM ACAO] Bustos, Paula; Caprettini, Bruno; Ponticelli, Jacopo. (2016).</w:t>
      </w:r>
      <w:r>
        <w:rPr>
          <w:b/>
          <w:bCs/>
        </w:rPr>
        <w:t xml:space="preserve"> </w:t>
      </w:r>
      <w:hyperlink r:id="rId673">
        <w:r>
          <w:rPr>
            <w:rStyle w:val="Hyperlink"/>
            <w:b/>
            <w:bCs/>
          </w:rPr>
          <w:t xml:space="preserve">Agricultural Productivity and Structural Transformation: Evidence from Brazil</w:t>
        </w:r>
      </w:hyperlink>
      <w:r>
        <w:rPr>
          <w:b/>
          <w:bCs/>
        </w:rPr>
        <w:t xml:space="preserve">.</w:t>
      </w:r>
      <w:r>
        <w:rPr>
          <w:b/>
          <w:bCs/>
        </w:rPr>
        <w:t xml:space="preserve"> </w:t>
      </w:r>
      <w:r>
        <w:rPr>
          <w:b/>
          <w:bCs/>
          <w:i/>
          <w:iCs/>
        </w:rPr>
        <w:t xml:space="preserve">American Economic Review</w:t>
      </w:r>
      <w:r>
        <w:rPr>
          <w:b/>
          <w:bCs/>
        </w:rPr>
        <w:t xml:space="preserve">, 106(6), 1320-1365. DOI:</w:t>
      </w:r>
      <w:r>
        <w:rPr>
          <w:b/>
          <w:bCs/>
        </w:rPr>
        <w:t xml:space="preserve"> </w:t>
      </w:r>
      <w:hyperlink r:id="rId673">
        <w:r>
          <w:rPr>
            <w:rStyle w:val="Hyperlink"/>
            <w:b/>
            <w:bCs/>
          </w:rPr>
          <w:t xml:space="preserve">10.1257/aer.20131061</w:t>
        </w:r>
      </w:hyperlink>
    </w:p>
    <w:p>
      <w:pPr>
        <w:pStyle w:val="BlockText"/>
      </w:pPr>
      <w:r>
        <w:rPr>
          <w:b/>
          <w:bCs/>
        </w:rPr>
        <w:t xml:space="preserve">Pergunta central:</w:t>
      </w:r>
      <w:r>
        <w:t xml:space="preserve"> </w:t>
      </w:r>
      <w:r>
        <w:t xml:space="preserve">Como choques de produtividade na agricultura — que reduzem os custos de produção — afetam a estrutura produtiva e o emprego nas economias locais? A redução de custos no setor agrícola libera mão de obra para outros setores ou intensifica a produção agrícola?</w:t>
      </w:r>
    </w:p>
    <w:p>
      <w:pPr>
        <w:pStyle w:val="BlockText"/>
      </w:pPr>
      <w:r>
        <w:rPr>
          <w:b/>
          <w:bCs/>
        </w:rPr>
        <w:t xml:space="preserve">Método:</w:t>
      </w:r>
      <w:r>
        <w:t xml:space="preserve"> </w:t>
      </w:r>
      <w:r>
        <w:t xml:space="preserve">Os autores exploraram a introdução da soja geneticamente modificada (transgênica) no Brasil a partir de 2003 como um</w:t>
      </w:r>
      <w:r>
        <w:t xml:space="preserve"> </w:t>
      </w:r>
      <w:r>
        <w:t xml:space="preserve">“experimento natural”</w:t>
      </w:r>
      <w:r>
        <w:t xml:space="preserve">. A soja GM reduziu significativamente os custos de produção — especialmente os custos com herbicidas e mão de obra — em regiões com solo e clima adequados. Usando variação geográfica na adequação à soja GM, os autores estimaram o efeito causal da redução de custos agrícolas sobre a realocação de trabalho entre setores.</w:t>
      </w:r>
    </w:p>
    <w:p>
      <w:pPr>
        <w:pStyle w:val="BlockText"/>
      </w:pPr>
      <w:r>
        <w:rPr>
          <w:b/>
          <w:bCs/>
        </w:rPr>
        <w:t xml:space="preserve">Resultado principal:</w:t>
      </w:r>
      <w:r>
        <w:t xml:space="preserve"> </w:t>
      </w:r>
      <w:r>
        <w:t xml:space="preserve">Municípios mais adequados à soja GM experimentaram: (i) aumento da área plantada com soja e redução da área de outras culturas; (ii) queda no emprego agrícola (a soja GM é poupadora de trabalho); (iii) crescimento do emprego industrial nos municípios afetados. Porém, o efeito sobre a indústria dependia do tipo de inovação: tecnologias poupadoras de trabalho (como a soja GM) liberavam mão de obra para a indústria, enquanto tecnologias que aumentavam o valor do produto por hectare (como a cana-de-açúcar para etanol) atraíam mais trabalhadores para a agricultura.</w:t>
      </w:r>
    </w:p>
    <w:p>
      <w:pPr>
        <w:pStyle w:val="BlockText"/>
      </w:pPr>
      <w:r>
        <w:rPr>
          <w:b/>
          <w:bCs/>
        </w:rPr>
        <w:t xml:space="preserve">Relevância para o capítulo:</w:t>
      </w:r>
      <w:r>
        <w:t xml:space="preserve"> </w:t>
      </w:r>
      <w:r>
        <w:t xml:space="preserve">O artigo conecta diretamente a Seção 11.6 (deslocamentos nas curvas de custo por progresso técnico) e a Seção 11.7 (economias de escala). A adoção da soja GM representou uma redução de custos enviesada — poupadora de trabalho — que deslocou a curva de custo das fazendas para baixo e alterou a razão ótima capital/trabalho.</w:t>
      </w:r>
    </w:p>
    <w:p>
      <w:pPr>
        <w:pStyle w:val="BlockText"/>
      </w:pPr>
      <w:r>
        <w:rPr>
          <w:b/>
          <w:bCs/>
        </w:rPr>
        <w:t xml:space="preserve">[PESQUISA EM ACAO] Syverson, Chad. (2011).</w:t>
      </w:r>
      <w:r>
        <w:rPr>
          <w:b/>
          <w:bCs/>
        </w:rPr>
        <w:t xml:space="preserve"> </w:t>
      </w:r>
      <w:hyperlink r:id="rId738">
        <w:r>
          <w:rPr>
            <w:rStyle w:val="Hyperlink"/>
            <w:b/>
            <w:bCs/>
          </w:rPr>
          <w:t xml:space="preserve">What Determines Productivity?</w:t>
        </w:r>
      </w:hyperlink>
      <w:r>
        <w:rPr>
          <w:b/>
          <w:bCs/>
        </w:rPr>
        <w:t xml:space="preserve"> </w:t>
      </w:r>
      <w:r>
        <w:rPr>
          <w:b/>
          <w:bCs/>
          <w:i/>
          <w:iCs/>
        </w:rPr>
        <w:t xml:space="preserve">Journal of Economic Literature</w:t>
      </w:r>
      <w:r>
        <w:rPr>
          <w:b/>
          <w:bCs/>
        </w:rPr>
        <w:t xml:space="preserve">, 49(2), 326–365. DOI:</w:t>
      </w:r>
      <w:r>
        <w:rPr>
          <w:b/>
          <w:bCs/>
        </w:rPr>
        <w:t xml:space="preserve"> </w:t>
      </w:r>
      <w:hyperlink r:id="rId738">
        <w:r>
          <w:rPr>
            <w:rStyle w:val="Hyperlink"/>
            <w:b/>
            <w:bCs/>
          </w:rPr>
          <w:t xml:space="preserve">10.1257/jel.49.2.326</w:t>
        </w:r>
      </w:hyperlink>
    </w:p>
    <w:p>
      <w:pPr>
        <w:pStyle w:val="BlockText"/>
      </w:pPr>
      <w:r>
        <w:rPr>
          <w:b/>
          <w:bCs/>
        </w:rPr>
        <w:t xml:space="preserve">Pergunta central:</w:t>
      </w:r>
      <w:r>
        <w:t xml:space="preserve"> </w:t>
      </w:r>
      <w:r>
        <w:t xml:space="preserve">Por que firmas no mesmo setor e país têm produtividades tão diferentes — e, consequentemente, custos tão distintos? A dispersão de produtividade entre firmas é enorme: a firma no percentil 90 de produtividade de um setor tipicamente produz o dobro com os mesmos insumos que a firma no percentil 10. Quais são as fontes dessa heterogeneidade persistente?</w:t>
      </w:r>
    </w:p>
    <w:p>
      <w:pPr>
        <w:pStyle w:val="BlockText"/>
      </w:pPr>
      <w:r>
        <w:rPr>
          <w:b/>
          <w:bCs/>
        </w:rPr>
        <w:t xml:space="preserve">Método:</w:t>
      </w:r>
      <w:r>
        <w:t xml:space="preserve"> </w:t>
      </w:r>
      <w:r>
        <w:t xml:space="preserve">Syverson realiza um levantamento abrangente da literatura empírica sobre determinantes da produtividade, organizando os fatores em duas categorias: (i) fatores internos à firma — gestão, tecnologia, capital humano, aprendizado — e (ii) fatores externos — competição de mercado, acesso a insumos, spillovers tecnológicos.</w:t>
      </w:r>
    </w:p>
    <w:p>
      <w:pPr>
        <w:pStyle w:val="BlockText"/>
      </w:pPr>
      <w:r>
        <w:rPr>
          <w:b/>
          <w:bCs/>
        </w:rPr>
        <w:t xml:space="preserve">Resultado principal:</w:t>
      </w:r>
      <w:r>
        <w:t xml:space="preserve"> </w:t>
      </w:r>
      <w:r>
        <w:t xml:space="preserve">Competição de mercado mais intensa está entre os correlatos mais robustos de maior produtividade média e menor dispersão. Firmas expostas a maior competição têm incentivos para reduzir ineficiências X (custos acima do mínimo possível) e para adotar novas tecnologias mais rapidamente. Gestão de qualidade, por sua vez, responde por uma fração surpreendentemente grande da dispersão de produtividade entre firmas.</w:t>
      </w:r>
    </w:p>
    <w:p>
      <w:pPr>
        <w:pStyle w:val="BlockText"/>
      </w:pPr>
      <w:r>
        <w:rPr>
          <w:b/>
          <w:bCs/>
        </w:rPr>
        <w:t xml:space="preserve">Relevância para o capítulo:</w:t>
      </w:r>
      <w:r>
        <w:t xml:space="preserve"> </w:t>
      </w:r>
      <w:r>
        <w:t xml:space="preserve">O artigo conecta a teoria dos custos (Seções 11.5–11.7) à realidade empírica. Na teoria, assumimos que as firmas estão sempre sobre a curva de custo mínimo — mas na prática, ineficiência X (operar acima do custo mínimo) é ubíqua.</w:t>
      </w:r>
    </w:p>
    <w:p>
      <w:pPr>
        <w:pStyle w:val="BlockText"/>
      </w:pPr>
      <w:r>
        <w:rPr>
          <w:b/>
          <w:bCs/>
        </w:rPr>
        <w:t xml:space="preserve">[PESQUISA EM ACAO] Benkard, C. Lanier. (2000).</w:t>
      </w:r>
      <w:r>
        <w:rPr>
          <w:b/>
          <w:bCs/>
        </w:rPr>
        <w:t xml:space="preserve"> </w:t>
      </w:r>
      <w:hyperlink r:id="rId739">
        <w:r>
          <w:rPr>
            <w:rStyle w:val="Hyperlink"/>
            <w:b/>
            <w:bCs/>
          </w:rPr>
          <w:t xml:space="preserve">Learning and Forgetting: The Dynamics of Aircraft Production.</w:t>
        </w:r>
      </w:hyperlink>
      <w:r>
        <w:rPr>
          <w:b/>
          <w:bCs/>
        </w:rPr>
        <w:t xml:space="preserve"> </w:t>
      </w:r>
      <w:r>
        <w:rPr>
          <w:b/>
          <w:bCs/>
          <w:i/>
          <w:iCs/>
        </w:rPr>
        <w:t xml:space="preserve">American Economic Review</w:t>
      </w:r>
      <w:r>
        <w:rPr>
          <w:b/>
          <w:bCs/>
        </w:rPr>
        <w:t xml:space="preserve">, 90(4), 1034–1054. DOI:</w:t>
      </w:r>
      <w:r>
        <w:rPr>
          <w:b/>
          <w:bCs/>
        </w:rPr>
        <w:t xml:space="preserve"> </w:t>
      </w:r>
      <w:hyperlink r:id="rId739">
        <w:r>
          <w:rPr>
            <w:rStyle w:val="Hyperlink"/>
            <w:b/>
            <w:bCs/>
          </w:rPr>
          <w:t xml:space="preserve">10.1257/aer.90.4.1034</w:t>
        </w:r>
      </w:hyperlink>
    </w:p>
    <w:p>
      <w:pPr>
        <w:pStyle w:val="BlockText"/>
      </w:pPr>
      <w:r>
        <w:rPr>
          <w:b/>
          <w:bCs/>
        </w:rPr>
        <w:t xml:space="preserve">Pergunta central:</w:t>
      </w:r>
      <w:r>
        <w:t xml:space="preserve"> </w:t>
      </w:r>
      <w:r>
        <w:t xml:space="preserve">As firmas realmente</w:t>
      </w:r>
      <w:r>
        <w:t xml:space="preserve"> </w:t>
      </w:r>
      <w:r>
        <w:t xml:space="preserve">“aprendem fazendo”</w:t>
      </w:r>
      <w:r>
        <w:t xml:space="preserve"> </w:t>
      </w:r>
      <w:r>
        <w:t xml:space="preserve">— isto é, seus custos unitários caem com a experiência acumulada de produção? E, se a produção for interrompida, a firma</w:t>
      </w:r>
      <w:r>
        <w:t xml:space="preserve"> </w:t>
      </w:r>
      <w:r>
        <w:t xml:space="preserve">“esquece”</w:t>
      </w:r>
      <w:r>
        <w:t xml:space="preserve"> </w:t>
      </w:r>
      <w:r>
        <w:t xml:space="preserve">o que aprendeu, de modo que os custos voltam a subir?</w:t>
      </w:r>
    </w:p>
    <w:p>
      <w:pPr>
        <w:pStyle w:val="BlockText"/>
      </w:pPr>
      <w:r>
        <w:rPr>
          <w:b/>
          <w:bCs/>
        </w:rPr>
        <w:t xml:space="preserve">Método:</w:t>
      </w:r>
      <w:r>
        <w:t xml:space="preserve"> </w:t>
      </w:r>
      <w:r>
        <w:t xml:space="preserve">Benkard utiliza dados detalhados de produção do avião comercial Lockheed L-1011 TriStar (1970–1984) para estimar uma curva de aprendizado que incorpora não apenas</w:t>
      </w:r>
      <w:r>
        <w:t xml:space="preserve"> </w:t>
      </w:r>
      <w:r>
        <w:rPr>
          <w:i/>
          <w:iCs/>
        </w:rPr>
        <w:t xml:space="preserve">learning by doing</w:t>
      </w:r>
      <w:r>
        <w:t xml:space="preserve"> </w:t>
      </w:r>
      <w:r>
        <w:t xml:space="preserve">(redução de custos com experiência acumulada), mas também</w:t>
      </w:r>
      <w:r>
        <w:t xml:space="preserve"> </w:t>
      </w:r>
      <w:r>
        <w:rPr>
          <w:i/>
          <w:iCs/>
        </w:rPr>
        <w:t xml:space="preserve">forgetting</w:t>
      </w:r>
      <w:r>
        <w:t xml:space="preserve"> </w:t>
      </w:r>
      <w:r>
        <w:t xml:space="preserve">(depreciação do conhecimento acumulado quando a taxa de produção cai).</w:t>
      </w:r>
    </w:p>
    <w:p>
      <w:pPr>
        <w:pStyle w:val="BlockText"/>
      </w:pPr>
      <w:r>
        <w:rPr>
          <w:b/>
          <w:bCs/>
        </w:rPr>
        <w:t xml:space="preserve">Resultado principal:</w:t>
      </w:r>
      <w:r>
        <w:t xml:space="preserve"> </w:t>
      </w:r>
      <w:r>
        <w:t xml:space="preserve">Os custos de trabalho por unidade caíam substancialmente com a experiência acumulada — consistente com a curva de aprendizado clássica — mas o efeito de</w:t>
      </w:r>
      <w:r>
        <w:t xml:space="preserve"> </w:t>
      </w:r>
      <w:r>
        <w:rPr>
          <w:i/>
          <w:iCs/>
        </w:rPr>
        <w:t xml:space="preserve">forgetting</w:t>
      </w:r>
      <w:r>
        <w:t xml:space="preserve"> </w:t>
      </w:r>
      <w:r>
        <w:t xml:space="preserve">era igualmente importante: quando a produção desacelerava, os custos por unidade voltavam a subir significativamente. O estoque de conhecimento depreciava-se a uma taxa de aproximadamente 40% ao ano.</w:t>
      </w:r>
    </w:p>
    <w:p>
      <w:pPr>
        <w:pStyle w:val="BlockText"/>
      </w:pPr>
      <w:r>
        <w:rPr>
          <w:b/>
          <w:bCs/>
        </w:rPr>
        <w:t xml:space="preserve">Relevância para o capítulo:</w:t>
      </w:r>
      <w:r>
        <w:t xml:space="preserve"> </w:t>
      </w:r>
      <w:r>
        <w:t xml:space="preserve">O artigo conecta diretamente a Seção 11.6 (deslocamentos nas curvas de custo) à dinâmica temporal dos custos. Para a indústria aeronáutica brasileira (Embraer), a lição é direta: manter ritmo de produção estável é crucial para preservar os ganhos de aprendizado e manter custos competitivos.</w:t>
      </w:r>
    </w:p>
    <w:p>
      <w:pPr>
        <w:pStyle w:val="BlockText"/>
      </w:pPr>
      <w:r>
        <w:rPr>
          <w:b/>
          <w:bCs/>
        </w:rPr>
        <w:t xml:space="preserve">[PESQUISA EM ACAO] Ferreira, Pedro C.; Rossi, José L. (2003).</w:t>
      </w:r>
      <w:r>
        <w:rPr>
          <w:b/>
          <w:bCs/>
        </w:rPr>
        <w:t xml:space="preserve"> </w:t>
      </w:r>
      <w:hyperlink r:id="rId740">
        <w:r>
          <w:rPr>
            <w:rStyle w:val="Hyperlink"/>
            <w:b/>
            <w:bCs/>
          </w:rPr>
          <w:t xml:space="preserve">New Evidence from Brazil on Trade Liberalization and Productivity Growth.</w:t>
        </w:r>
      </w:hyperlink>
      <w:r>
        <w:rPr>
          <w:b/>
          <w:bCs/>
        </w:rPr>
        <w:t xml:space="preserve"> </w:t>
      </w:r>
      <w:r>
        <w:rPr>
          <w:b/>
          <w:bCs/>
          <w:i/>
          <w:iCs/>
        </w:rPr>
        <w:t xml:space="preserve">International Economic Review</w:t>
      </w:r>
      <w:r>
        <w:rPr>
          <w:b/>
          <w:bCs/>
        </w:rPr>
        <w:t xml:space="preserve">, 44(4), 1383–1405. DOI:</w:t>
      </w:r>
      <w:r>
        <w:rPr>
          <w:b/>
          <w:bCs/>
        </w:rPr>
        <w:t xml:space="preserve"> </w:t>
      </w:r>
      <w:hyperlink r:id="rId740">
        <w:r>
          <w:rPr>
            <w:rStyle w:val="Hyperlink"/>
            <w:b/>
            <w:bCs/>
          </w:rPr>
          <w:t xml:space="preserve">10.1111/1468-2354.t01-1-00101</w:t>
        </w:r>
      </w:hyperlink>
    </w:p>
    <w:p>
      <w:pPr>
        <w:pStyle w:val="BlockText"/>
      </w:pPr>
      <w:r>
        <w:rPr>
          <w:b/>
          <w:bCs/>
        </w:rPr>
        <w:t xml:space="preserve">Pergunta central:</w:t>
      </w:r>
      <w:r>
        <w:t xml:space="preserve"> </w:t>
      </w:r>
      <w:r>
        <w:t xml:space="preserve">A abertura comercial brasileira dos anos 1990, ao expor as firmas nacionais à competição internacional, reduziu seus custos de produção? Qual o mecanismo: disciplina competitiva (eliminação de ineficiência X) ou acesso a insumos importados de menor custo?</w:t>
      </w:r>
    </w:p>
    <w:p>
      <w:pPr>
        <w:pStyle w:val="BlockText"/>
      </w:pPr>
      <w:r>
        <w:rPr>
          <w:b/>
          <w:bCs/>
        </w:rPr>
        <w:t xml:space="preserve">Método:</w:t>
      </w:r>
      <w:r>
        <w:t xml:space="preserve"> </w:t>
      </w:r>
      <w:r>
        <w:t xml:space="preserve">Os autores usam um painel de firmas industriais brasileiras no período de abertura comercial (1985–1997), explorando variação setorial nas tarifas de importação como instrumento para identificação causal.</w:t>
      </w:r>
    </w:p>
    <w:p>
      <w:pPr>
        <w:pStyle w:val="BlockText"/>
      </w:pPr>
      <w:r>
        <w:rPr>
          <w:b/>
          <w:bCs/>
        </w:rPr>
        <w:t xml:space="preserve">Resultado principal:</w:t>
      </w:r>
      <w:r>
        <w:t xml:space="preserve"> </w:t>
      </w:r>
      <w:r>
        <w:t xml:space="preserve">A abertura comercial causou aumento significativo da produtividade total dos fatores (PTF) nas firmas brasileiras, com magnitude maior nos setores mais expostos à competição estrangeira. Os autores estimam elasticidades da PTF em relação às tarifas de importação entre −0,3 e −0,5.</w:t>
      </w:r>
    </w:p>
    <w:p>
      <w:pPr>
        <w:pStyle w:val="BlockText"/>
      </w:pPr>
      <w:r>
        <w:rPr>
          <w:b/>
          <w:bCs/>
        </w:rPr>
        <w:t xml:space="preserve">Relevância para o capítulo:</w:t>
      </w:r>
      <w:r>
        <w:t xml:space="preserve"> </w:t>
      </w:r>
      <w:r>
        <w:t xml:space="preserve">O artigo é a contrapartida empírica brasileira da teoria de deslocamentos nas curvas de custo (Seção 11.6). A abertura comercial funcionou como um choque exógeno que forçou as firmas a se moverem em direção à curva de custo mínimo.</w:t>
      </w:r>
    </w:p>
    <w:p>
      <w:r>
        <w:pict>
          <v:rect style="width:0;height:1.5pt" o:hralign="center" o:hrstd="t" o:hr="t"/>
        </w:pict>
      </w:r>
    </w:p>
    <w:p>
      <w:pPr>
        <w:pStyle w:val="BlockText"/>
      </w:pPr>
      <w:r>
        <w:rPr>
          <w:b/>
          <w:bCs/>
        </w:rPr>
        <w:t xml:space="preserve">[BOX MUNDO] Box Mundo 11.1 — Economias de escala na indústria de semicondutores: TSMC e a lei de Moore</w:t>
      </w:r>
    </w:p>
    <w:p>
      <w:pPr>
        <w:pStyle w:val="BlockText"/>
      </w:pPr>
      <w:r>
        <w:rPr>
          <w:b/>
          <w:bCs/>
        </w:rPr>
        <w:t xml:space="preserve">Contexto.</w:t>
      </w:r>
      <w:r>
        <w:t xml:space="preserve"> </w:t>
      </w:r>
      <w:r>
        <w:t xml:space="preserve">A Taiwan Semiconductor Manufacturing Company (TSMC), fundada em 1987, é hoje a maior fabricante contratada de chips do mundo, respondendo por mais de 50% da capacidade global de fundição de semicondutores avançados. O setor de semicondutores oferece um dos exemplos mais extremos de economias de escala e de estrutura de custos dominada por custos fixos que existem na economia mundial.</w:t>
      </w:r>
    </w:p>
    <w:p>
      <w:pPr>
        <w:pStyle w:val="BlockText"/>
      </w:pPr>
      <w:r>
        <w:rPr>
          <w:b/>
          <w:bCs/>
        </w:rPr>
        <w:t xml:space="preserve">Dados.</w:t>
      </w:r>
      <w:r>
        <w:t xml:space="preserve"> </w:t>
      </w:r>
      <w:r>
        <w:t xml:space="preserve">A construção de uma fábrica de chips de última geração (uma</w:t>
      </w:r>
      <w:r>
        <w:t xml:space="preserve"> </w:t>
      </w:r>
      <w:r>
        <w:t xml:space="preserve">“fab”</w:t>
      </w:r>
      <w:r>
        <w:t xml:space="preserve">) custa entre US$ 15 bilhões e US$ 20 bilhões — e esse custo tem crescido mais de 10% ao ano. Uma vez construída, o custo marginal de produzir um wafer adicional é relativamente baixo: estimativas apontam para US$ 3.000–5.000 por wafer de 300mm para os nós mais avançados. O custo fixo da planta, amortizado ao longo de sua vida útil de 10–15 anos, representa mais de 70% do custo total por chip produzido.</w:t>
      </w:r>
    </w:p>
    <w:p>
      <w:pPr>
        <w:pStyle w:val="BlockText"/>
      </w:pPr>
      <w:r>
        <w:rPr>
          <w:b/>
          <w:bCs/>
        </w:rPr>
        <w:t xml:space="preserve">Análise.</w:t>
      </w:r>
      <w:r>
        <w:t xml:space="preserve"> </w:t>
      </w:r>
      <w:r>
        <w:t xml:space="preserve">Em termos da teoria das curvas de custo (Seção 11.7), a estrutura de custos da TSMC exibe economias de escala maciças: o custo médio de longo prazo cai acentuadamente com o volume de chips produzidos, até que a planta opere próxima de sua capacidade máxima. A escala mínima eficiente de uma fab moderna é de cerca de 100.000 wafers por mês — o que explica por que apenas 3–4 empresas no mundo conseguem operar com eficiência as tecnologias mais avançadas. Para o Brasil, a ausência de uma indústria nacional de semicondutores de ponta é em grande parte consequência dessa estrutura de custos: a escala mínima eficiente do setor excede em muitas vezes o tamanho do mercado doméstico brasileiro.</w:t>
      </w:r>
    </w:p>
    <w:p>
      <w:pPr>
        <w:pStyle w:val="BlockText"/>
      </w:pPr>
      <w:r>
        <w:rPr>
          <w:i/>
          <w:iCs/>
        </w:rPr>
        <w:t xml:space="preserve">Fontes: TSMC Annual Report (2023); International Technology Roadmap for Semiconductors (ITRS); Flamm, K. (2019). The Semiconductor Industry and the U.S. Economy. MIT Press.</w:t>
      </w:r>
    </w:p>
    <w:p>
      <w:r>
        <w:pict>
          <v:rect style="width:0;height:1.5pt" o:hralign="center" o:hrstd="t" o:hr="t"/>
        </w:pict>
      </w:r>
    </w:p>
    <w:p>
      <w:pPr>
        <w:pStyle w:val="BlockText"/>
      </w:pPr>
      <w:r>
        <w:rPr>
          <w:b/>
          <w:bCs/>
        </w:rPr>
        <w:t xml:space="preserve">[BOX MUNDO] Box Mundo 11.2 — O custo de oportunidade do lockdown: estimativas da OCDE</w:t>
      </w:r>
    </w:p>
    <w:p>
      <w:pPr>
        <w:pStyle w:val="BlockText"/>
      </w:pPr>
      <w:r>
        <w:rPr>
          <w:b/>
          <w:bCs/>
        </w:rPr>
        <w:t xml:space="preserve">Contexto.</w:t>
      </w:r>
      <w:r>
        <w:t xml:space="preserve"> </w:t>
      </w:r>
      <w:r>
        <w:t xml:space="preserve">Durante a pandemia de COVID-19 (2020–2021), governos de todo o mundo adotaram medidas de distanciamento social e lockdowns para conter a propagação do vírus. Do ponto de vista econômico, essas medidas representam um custo de oportunidade colossal — a produção econômica sacrificada em troca de vidas salvas.</w:t>
      </w:r>
    </w:p>
    <w:p>
      <w:pPr>
        <w:pStyle w:val="BlockText"/>
      </w:pPr>
      <w:r>
        <w:rPr>
          <w:b/>
          <w:bCs/>
        </w:rPr>
        <w:t xml:space="preserve">Dados.</w:t>
      </w:r>
      <w:r>
        <w:t xml:space="preserve"> </w:t>
      </w:r>
      <w:r>
        <w:t xml:space="preserve">A contração do PIB em 2020 variou enormemente entre os países membros da OCDE. A zona do euro encolheu 6,4%; o Reino Unido, 9,4%; os EUA, apenas 3,4% (beneficiados por maior adoção de trabalho remoto). Entre os emergentes, a Índia contraiu 7,3%; o Brasil, 4,1%.</w:t>
      </w:r>
    </w:p>
    <w:p>
      <w:pPr>
        <w:pStyle w:val="BlockText"/>
      </w:pPr>
      <w:r>
        <w:rPr>
          <w:b/>
          <w:bCs/>
        </w:rPr>
        <w:t xml:space="preserve">Análise.</w:t>
      </w:r>
      <w:r>
        <w:t xml:space="preserve"> </w:t>
      </w:r>
      <w:r>
        <w:t xml:space="preserve">Em termos microeconômicos, a decisão de adotar um lockdown é um problema clássico de custo de oportunidade (Seção 11.1): o custo das restrições é a produção econômica sacrificada (PIB perdido); o benefício é a redução de mortes e sequelas de saúde. A comparação entre países revela que não existe uma relação simples entre o rigor das restrições e o custo econômico — economias com maior capacidade de trabalho remoto (serviços e tecnologia) sofreram contrações menores para o mesmo nível de restrições.</w:t>
      </w:r>
    </w:p>
    <w:p>
      <w:pPr>
        <w:pStyle w:val="BlockText"/>
      </w:pPr>
      <w:r>
        <w:rPr>
          <w:i/>
          <w:iCs/>
        </w:rPr>
        <w:t xml:space="preserve">Fontes: OCDE. (2021). OECD Economic Outlook, Volume 2020, Issue 2. Paris: OECD Publishing. DOI: 10.1787/39a88ab1-en; Viscusi, W. K. (2018). Pricing Lives: Guideposts for a Safer Society. Princeton University Press.</w:t>
      </w:r>
    </w:p>
    <w:p>
      <w:r>
        <w:pict>
          <v:rect style="width:0;height:1.5pt" o:hralign="center" o:hrstd="t" o:hr="t"/>
        </w:pict>
      </w:r>
    </w:p>
    <w:p>
      <w:pPr>
        <w:pStyle w:val="BlockText"/>
      </w:pPr>
      <w:r>
        <w:rPr>
          <w:b/>
          <w:bCs/>
        </w:rPr>
        <w:t xml:space="preserve">[BOX MUNDO] Box Mundo 11.3 — Custos irrecuperáveis na indústria aeronáutica: o caso Concorde</w:t>
      </w:r>
    </w:p>
    <w:p>
      <w:pPr>
        <w:pStyle w:val="BlockText"/>
      </w:pPr>
      <w:r>
        <w:rPr>
          <w:b/>
          <w:bCs/>
        </w:rPr>
        <w:t xml:space="preserve">Contexto.</w:t>
      </w:r>
      <w:r>
        <w:t xml:space="preserve"> </w:t>
      </w:r>
      <w:r>
        <w:t xml:space="preserve">O Concorde foi um avião supersônico comercial desenvolvido conjuntamente pela França e pelo Reino Unido a partir de 1962, com os primeiros voos comerciais em 1976 e operações encerradas em 2003. Do ponto de vista da história econômica, o Concorde é o exemplo mais citado de</w:t>
      </w:r>
      <w:r>
        <w:t xml:space="preserve"> </w:t>
      </w:r>
      <w:r>
        <w:rPr>
          <w:i/>
          <w:iCs/>
        </w:rPr>
        <w:t xml:space="preserve">sunk cost fallacy</w:t>
      </w:r>
      <w:r>
        <w:t xml:space="preserve"> </w:t>
      </w:r>
      <w:r>
        <w:t xml:space="preserve">em projetos governamentais.</w:t>
      </w:r>
    </w:p>
    <w:p>
      <w:pPr>
        <w:pStyle w:val="BlockText"/>
      </w:pPr>
      <w:r>
        <w:rPr>
          <w:b/>
          <w:bCs/>
        </w:rPr>
        <w:t xml:space="preserve">Dados.</w:t>
      </w:r>
      <w:r>
        <w:t xml:space="preserve"> </w:t>
      </w:r>
      <w:r>
        <w:t xml:space="preserve">O custo total do desenvolvimento do Concorde foi de aproximadamente £1,3 bilhão (valores da época, equivalentes a mais de £10 bilhões em valores de 2020). Apenas 14 aeronaves foram produzidas para uso comercial — números insuficientes para recuperar qualquer fração dos custos fixos de desenvolvimento. Cada voo transatlântico (Londres–Nova York em 3h 30min) consumia 25.000 litros de combustível — mais de 4 vezes mais combustível por passageiro-km que um Boeing 747.</w:t>
      </w:r>
    </w:p>
    <w:p>
      <w:pPr>
        <w:pStyle w:val="BlockText"/>
      </w:pPr>
      <w:r>
        <w:rPr>
          <w:b/>
          <w:bCs/>
        </w:rPr>
        <w:t xml:space="preserve">Análise.</w:t>
      </w:r>
      <w:r>
        <w:t xml:space="preserve"> </w:t>
      </w:r>
      <w:r>
        <w:t xml:space="preserve">Economicamente, o Concorde exemplifica com clareza a falácia dos custos irrecuperáveis (Seção 11.1). O argumento frequentemente usado para continuar o projeto era</w:t>
      </w:r>
      <w:r>
        <w:t xml:space="preserve"> </w:t>
      </w:r>
      <w:r>
        <w:t xml:space="preserve">“já investimos muito para parar agora”</w:t>
      </w:r>
      <w:r>
        <w:t xml:space="preserve"> </w:t>
      </w:r>
      <w:r>
        <w:t xml:space="preserve">— o exato raciocínio que a teoria econômica identifica como irracional. Os custos de desenvolvimento já realizados eram irrecuperáveis: independentemente de continuar ou não, o dinheiro estava gasto. A decisão correta, em cada ponto do tempo, era avaliar apenas os custos e benefícios futuros. O</w:t>
      </w:r>
      <w:r>
        <w:t xml:space="preserve"> </w:t>
      </w:r>
      <w:r>
        <w:t xml:space="preserve">“efeito Concorde”</w:t>
      </w:r>
      <w:r>
        <w:t xml:space="preserve"> </w:t>
      </w:r>
      <w:r>
        <w:t xml:space="preserve">tornou-se um termo consagrado na psicologia econômica e na teoria das organizações.</w:t>
      </w:r>
    </w:p>
    <w:p>
      <w:pPr>
        <w:pStyle w:val="BlockText"/>
      </w:pPr>
      <w:r>
        <w:rPr>
          <w:i/>
          <w:iCs/>
        </w:rPr>
        <w:t xml:space="preserve">Fontes: Owen, K. (2001). Concorde: Story of a Supersonic Pioneer. Science Museum. London; Arkes, H. R.; Blumer, C. (1985). The Psychology of Sunk Cost. Organizational Behavior and Human Decision Processes, 35(1), 124–140.</w:t>
      </w:r>
    </w:p>
    <w:bookmarkStart w:id="741" w:name="referências-do-capítulo-12"/>
    <w:p>
      <w:pPr>
        <w:pStyle w:val="Heading3"/>
      </w:pPr>
      <w:r>
        <w:t xml:space="preserve">Referências do Capítulo</w:t>
      </w:r>
    </w:p>
    <w:p>
      <w:pPr>
        <w:pStyle w:val="Compact"/>
        <w:numPr>
          <w:ilvl w:val="0"/>
          <w:numId w:val="1723"/>
        </w:numPr>
      </w:pPr>
      <w:r>
        <w:t xml:space="preserve">Mas-Colell, Andreu, Michael D. Whinston, e Jerry R. Green. 1995.</w:t>
      </w:r>
      <w:r>
        <w:t xml:space="preserve"> </w:t>
      </w:r>
      <w:hyperlink r:id="rId70">
        <w:r>
          <w:rPr>
            <w:rStyle w:val="Hyperlink"/>
            <w:i/>
            <w:iCs/>
          </w:rPr>
          <w:t xml:space="preserve">Microeconomic Theory</w:t>
        </w:r>
      </w:hyperlink>
      <w:r>
        <w:t xml:space="preserve">. New York: Oxford University Press. Cap. 5 (Seções 5.C–5.D).</w:t>
      </w:r>
    </w:p>
    <w:p>
      <w:pPr>
        <w:pStyle w:val="Compact"/>
        <w:numPr>
          <w:ilvl w:val="0"/>
          <w:numId w:val="1723"/>
        </w:numPr>
      </w:pPr>
      <w:r>
        <w:t xml:space="preserve">Nicholson, Walter, e Christopher M. Snyder. 2017.</w:t>
      </w:r>
      <w:r>
        <w:t xml:space="preserve"> </w:t>
      </w:r>
      <w:hyperlink r:id="rId71">
        <w:r>
          <w:rPr>
            <w:rStyle w:val="Hyperlink"/>
            <w:i/>
            <w:iCs/>
          </w:rPr>
          <w:t xml:space="preserve">Microeconomic Theory: Basic Principles and Extensions</w:t>
        </w:r>
      </w:hyperlink>
      <w:r>
        <w:t xml:space="preserve">. 12ª ed. Boston: Cengage Learning. Cap. 10.</w:t>
      </w:r>
    </w:p>
    <w:p>
      <w:pPr>
        <w:pStyle w:val="Compact"/>
        <w:numPr>
          <w:ilvl w:val="0"/>
          <w:numId w:val="1723"/>
        </w:numPr>
      </w:pPr>
      <w:r>
        <w:t xml:space="preserve">Pindyck, Robert S., e Daniel L. Rubinfeld. 2013.</w:t>
      </w:r>
      <w:r>
        <w:t xml:space="preserve"> </w:t>
      </w:r>
      <w:hyperlink r:id="rId72">
        <w:r>
          <w:rPr>
            <w:rStyle w:val="Hyperlink"/>
            <w:i/>
            <w:iCs/>
          </w:rPr>
          <w:t xml:space="preserve">Microeconomia</w:t>
        </w:r>
      </w:hyperlink>
      <w:r>
        <w:t xml:space="preserve">. 8ª ed. São Paulo: Pearson. Cap. 7.</w:t>
      </w:r>
    </w:p>
    <w:p>
      <w:pPr>
        <w:pStyle w:val="Compact"/>
        <w:numPr>
          <w:ilvl w:val="0"/>
          <w:numId w:val="1723"/>
        </w:numPr>
      </w:pPr>
      <w:r>
        <w:t xml:space="preserve">Varian, Hal R. 2015.</w:t>
      </w:r>
      <w:r>
        <w:t xml:space="preserve"> </w:t>
      </w:r>
      <w:hyperlink r:id="rId74">
        <w:r>
          <w:rPr>
            <w:rStyle w:val="Hyperlink"/>
            <w:i/>
            <w:iCs/>
          </w:rPr>
          <w:t xml:space="preserve">Microeconomia: Uma Abordagem Moderna</w:t>
        </w:r>
      </w:hyperlink>
      <w:r>
        <w:t xml:space="preserve">. 9ª ed. Rio de Janeiro: Elsevier. Cap. 20–22.</w:t>
      </w:r>
    </w:p>
    <w:p>
      <w:pPr>
        <w:pStyle w:val="Compact"/>
        <w:numPr>
          <w:ilvl w:val="0"/>
          <w:numId w:val="1723"/>
        </w:numPr>
      </w:pPr>
      <w:r>
        <w:t xml:space="preserve">Benkard, C. Lanier. 2000.</w:t>
      </w:r>
      <w:r>
        <w:t xml:space="preserve"> </w:t>
      </w:r>
      <w:r>
        <w:t xml:space="preserve">“</w:t>
      </w:r>
      <w:hyperlink r:id="rId739">
        <w:r>
          <w:rPr>
            <w:rStyle w:val="Hyperlink"/>
          </w:rPr>
          <w:t xml:space="preserve">Learning and Forgetting: The Dynamics of Aircraft Production.</w:t>
        </w:r>
      </w:hyperlink>
      <w:r>
        <w:t xml:space="preserve">”</w:t>
      </w:r>
      <w:r>
        <w:t xml:space="preserve"> </w:t>
      </w:r>
      <w:r>
        <w:rPr>
          <w:i/>
          <w:iCs/>
        </w:rPr>
        <w:t xml:space="preserve">American Economic Review</w:t>
      </w:r>
      <w:r>
        <w:t xml:space="preserve">, 90(4), 1034–1054.</w:t>
      </w:r>
    </w:p>
    <w:bookmarkEnd w:id="741"/>
    <w:bookmarkEnd w:id="742"/>
    <w:bookmarkEnd w:id="743"/>
    <w:bookmarkStart w:id="791" w:name="Xb7fe523d40e54cbd3064a07dcfac3b904b4395e"/>
    <w:p>
      <w:pPr>
        <w:sectPr>
          <w:footnotePr>
            <w:numRestart w:val="eachSect"/>
          </w:footnotePr>
        </w:sectPr>
      </w:pPr>
    </w:p>
    <w:p>
      <w:pPr>
        <w:pStyle w:val="Heading1"/>
      </w:pPr>
      <w:r>
        <w:t xml:space="preserve">Capítulo 12 — Lucro = Receita − Custo (E Tudo que Pode Dar Errado no Meio)</w:t>
      </w:r>
    </w:p>
    <w:p>
      <w:pPr>
        <w:pStyle w:val="FirstParagraph"/>
      </w:pPr>
      <w:r>
        <w:t xml:space="preserve">Os capítulos anteriores construíram os dois pilares sobre os quais repousa a teoria da firma: a</w:t>
      </w:r>
      <w:r>
        <w:t xml:space="preserve"> </w:t>
      </w:r>
      <w:r>
        <w:rPr>
          <w:b/>
          <w:bCs/>
        </w:rPr>
        <w:t xml:space="preserve">tecnologia</w:t>
      </w:r>
      <w:r>
        <w:t xml:space="preserve"> </w:t>
      </w:r>
      <w:r>
        <w:t xml:space="preserve">(função de produção, Capítulo 10) e os</w:t>
      </w:r>
      <w:r>
        <w:t xml:space="preserve"> </w:t>
      </w:r>
      <w:r>
        <w:rPr>
          <w:b/>
          <w:bCs/>
        </w:rPr>
        <w:t xml:space="preserve">custos</w:t>
      </w:r>
      <w:r>
        <w:t xml:space="preserve"> </w:t>
      </w:r>
      <w:r>
        <w:t xml:space="preserve">(função custo, Capítulo 11). Agora é hora de juntar as peças e deixar a firma fazer o que ela faz de melhor: tomar decisões em busca de lucro. A questão central é:</w:t>
      </w:r>
      <w:r>
        <w:t xml:space="preserve"> </w:t>
      </w:r>
      <w:r>
        <w:rPr>
          <w:b/>
          <w:bCs/>
        </w:rPr>
        <w:t xml:space="preserve">como a firma escolhe quanto produzir?</w:t>
      </w:r>
      <w:r>
        <w:t xml:space="preserve"> </w:t>
      </w:r>
      <w:r>
        <w:t xml:space="preserve">Parece simples — quase ingênua —, mas a resposta que a microeconomia oferece é como um fio de Ariadne que conecta a decisão solitária de um empresário a toda a arquitetura do equilíbrio de mercado estudada no Capítulo 13.</w:t>
      </w:r>
      <w:r>
        <w:rPr>
          <w:rStyle w:val="FootnoteReference"/>
        </w:rPr>
        <w:footnoteReference w:id="744"/>
      </w:r>
    </w:p>
    <w:p>
      <w:pPr>
        <w:pStyle w:val="BodyText"/>
      </w:pPr>
      <w:r>
        <w:t xml:space="preserve">A resposta padrão da microeconomia — maximização de lucro — exige que examinemos as condições de primeira e segunda ordem, a relação entre receita marginal e elasticidade da demanda, a decisão de operar ou fechar no curto prazo e as propriedades da função lucro. O elegante Lema de Hotelling, análogo ao Lema de Shephard nos custos, conecta a função lucro diretamente às funções de oferta e demanda por insumos. Esses resultados formam o esqueleto da teoria competitiva: sem compreendê-los, não é possível analisar como o mercado agrega decisões individuais em equilíbrio — nem como o poder de mercado estudado no Capítulo 15 (monopólio) distorce esses resultados.</w:t>
      </w:r>
    </w:p>
    <w:p>
      <w:pPr>
        <w:pStyle w:val="BodyText"/>
      </w:pPr>
      <w:r>
        <w:t xml:space="preserve">Mas antes de mergulhar na análise formal, vale perguntar:</w:t>
      </w:r>
      <w:r>
        <w:t xml:space="preserve"> </w:t>
      </w:r>
      <w:r>
        <w:rPr>
          <w:b/>
          <w:bCs/>
        </w:rPr>
        <w:t xml:space="preserve">por que existem firmas?</w:t>
      </w:r>
      <w:r>
        <w:t xml:space="preserve"> </w:t>
      </w:r>
      <w:r>
        <w:t xml:space="preserve">A resposta pioneira de Ronald Coase (1937) — custos de transação — permanece central e nos lembra que a</w:t>
      </w:r>
      <w:r>
        <w:t xml:space="preserve"> </w:t>
      </w:r>
      <w:r>
        <w:t xml:space="preserve">“caixa-preta”</w:t>
      </w:r>
      <w:r>
        <w:t xml:space="preserve"> </w:t>
      </w:r>
      <w:r>
        <w:t xml:space="preserve">da firma esconde uma rica estrutura organizacional. Coase argumentou que a firma é uma resposta às imperfeições do mecanismo de preços: quando coordenar via mercado é custoso, a hierarquia interna se torna mais eficiente. Esse insight, publicado há quase 90 anos, continua gerando pesquisa de fronteira — da teoria dos contratos (Hart e Holmström, Nobel 2016) à economia organizacional computacional. No contexto brasileiro, onde micro e pequenas empresas (MPEs) representam a esmagadora maioria dos negócios e enfrentam taxas de mortalidade empresarial elevadas, a teoria da firma ganha contornos particularmente concretos: a decisão entre fazer e comprar, entre formalizar e permanecer informal, entre crescer e manter-se pequeno, é tomada diariamente por milhões de empreendedores que, sem saber, são atores do modelo que este capítulo apresenta.</w:t>
      </w:r>
      <w:r>
        <w:rPr>
          <w:rStyle w:val="FootnoteReference"/>
        </w:rPr>
        <w:footnoteReference w:id="745"/>
      </w:r>
    </w:p>
    <w:p>
      <w:r>
        <w:pict>
          <v:rect style="width:0;height:1.5pt" o:hralign="center" o:hrstd="t" o:hr="t"/>
        </w:pict>
      </w:r>
    </w:p>
    <w:bookmarkStart w:id="746" w:name="roteiro-do-capítulo-4"/>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12.1</w:t>
            </w:r>
          </w:p>
        </w:tc>
        <w:tc>
          <w:tcPr/>
          <w:p>
            <w:pPr>
              <w:pStyle w:val="Compact"/>
            </w:pPr>
            <w:r>
              <w:t xml:space="preserve">Por que a firma existe — por que não contratamos tudo pelo mercado?</w:t>
            </w:r>
          </w:p>
        </w:tc>
        <w:tc>
          <w:tcPr/>
          <w:p>
            <w:pPr>
              <w:pStyle w:val="Compact"/>
            </w:pPr>
            <w:r>
              <w:t xml:space="preserve">Coase, custos de transação, natureza da firma</w:t>
            </w:r>
          </w:p>
        </w:tc>
        <w:tc>
          <w:tcPr/>
          <w:p>
            <w:pPr>
              <w:pStyle w:val="Compact"/>
              <w:jc w:val="center"/>
            </w:pPr>
            <w:r>
              <w:t xml:space="preserve">Natureza da Firma</w:t>
            </w:r>
          </w:p>
        </w:tc>
      </w:tr>
      <w:tr>
        <w:tc>
          <w:tcPr/>
          <w:p>
            <w:pPr>
              <w:pStyle w:val="Compact"/>
              <w:jc w:val="center"/>
            </w:pPr>
            <w:r>
              <w:t xml:space="preserve">12.2</w:t>
            </w:r>
          </w:p>
        </w:tc>
        <w:tc>
          <w:tcPr/>
          <w:p>
            <w:pPr>
              <w:pStyle w:val="Compact"/>
            </w:pPr>
            <w:r>
              <w:t xml:space="preserve">Como a firma decide quanto produzir?</w:t>
            </w:r>
          </w:p>
        </w:tc>
        <w:tc>
          <w:tcPr/>
          <w:p>
            <w:pPr>
              <w:pStyle w:val="Compact"/>
            </w:pPr>
            <w:r>
              <w:t xml:space="preserve">Maximização de lucro, CPO e CSO</w:t>
            </w:r>
          </w:p>
        </w:tc>
        <w:tc>
          <w:tcPr/>
          <w:p>
            <w:pPr>
              <w:pStyle w:val="Compact"/>
              <w:jc w:val="center"/>
            </w:pPr>
            <w:r>
              <w:t xml:space="preserve">Maximização</w:t>
            </w:r>
          </w:p>
        </w:tc>
      </w:tr>
      <w:tr>
        <w:tc>
          <w:tcPr/>
          <w:p>
            <w:pPr>
              <w:pStyle w:val="Compact"/>
              <w:jc w:val="center"/>
            </w:pPr>
            <w:r>
              <w:t xml:space="preserve">12.3</w:t>
            </w:r>
          </w:p>
        </w:tc>
        <w:tc>
          <w:tcPr/>
          <w:p>
            <w:pPr>
              <w:pStyle w:val="Compact"/>
            </w:pPr>
            <w:r>
              <w:t xml:space="preserve">Por que a receita marginal é menor que o preço quando a firma tem poder de mercado?</w:t>
            </w:r>
          </w:p>
        </w:tc>
        <w:tc>
          <w:tcPr/>
          <w:p>
            <w:pPr>
              <w:pStyle w:val="Compact"/>
            </w:pPr>
            <w:r>
              <w:t xml:space="preserve">Receita marginal, elasticidade e markup</w:t>
            </w:r>
          </w:p>
        </w:tc>
        <w:tc>
          <w:tcPr/>
          <w:p>
            <w:pPr>
              <w:pStyle w:val="Compact"/>
              <w:jc w:val="center"/>
            </w:pPr>
            <w:r>
              <w:t xml:space="preserve">Receita</w:t>
            </w:r>
          </w:p>
        </w:tc>
      </w:tr>
      <w:tr>
        <w:tc>
          <w:tcPr/>
          <w:p>
            <w:pPr>
              <w:pStyle w:val="Compact"/>
              <w:jc w:val="center"/>
            </w:pPr>
            <w:r>
              <w:t xml:space="preserve">12.4</w:t>
            </w:r>
          </w:p>
        </w:tc>
        <w:tc>
          <w:tcPr/>
          <w:p>
            <w:pPr>
              <w:pStyle w:val="Compact"/>
            </w:pPr>
            <w:r>
              <w:t xml:space="preserve">Quando vale a pena fechar as portas em vez de operar no prejuízo?</w:t>
            </w:r>
          </w:p>
        </w:tc>
        <w:tc>
          <w:tcPr/>
          <w:p>
            <w:pPr>
              <w:pStyle w:val="Compact"/>
            </w:pPr>
            <w:r>
              <w:t xml:space="preserve">Oferta de curto prazo, ponto de fechamento</w:t>
            </w:r>
          </w:p>
        </w:tc>
        <w:tc>
          <w:tcPr/>
          <w:p>
            <w:pPr>
              <w:pStyle w:val="Compact"/>
              <w:jc w:val="center"/>
            </w:pPr>
            <w:r>
              <w:t xml:space="preserve">Oferta CP</w:t>
            </w:r>
          </w:p>
        </w:tc>
      </w:tr>
      <w:tr>
        <w:tc>
          <w:tcPr/>
          <w:p>
            <w:pPr>
              <w:pStyle w:val="Compact"/>
              <w:jc w:val="center"/>
            </w:pPr>
            <w:r>
              <w:t xml:space="preserve">12.5</w:t>
            </w:r>
          </w:p>
        </w:tc>
        <w:tc>
          <w:tcPr/>
          <w:p>
            <w:pPr>
              <w:pStyle w:val="Compact"/>
            </w:pPr>
            <w:r>
              <w:t xml:space="preserve">Dá para extrair oferta e demanda por insumos apenas da função lucro?</w:t>
            </w:r>
          </w:p>
        </w:tc>
        <w:tc>
          <w:tcPr/>
          <w:p>
            <w:pPr>
              <w:pStyle w:val="Compact"/>
            </w:pPr>
            <w:r>
              <w:t xml:space="preserve">Função lucro, Lema de Hotelling</w:t>
            </w:r>
          </w:p>
        </w:tc>
        <w:tc>
          <w:tcPr/>
          <w:p>
            <w:pPr>
              <w:pStyle w:val="Compact"/>
              <w:jc w:val="center"/>
            </w:pPr>
            <w:r>
              <w:t xml:space="preserve">Função Lucro</w:t>
            </w:r>
          </w:p>
        </w:tc>
      </w:tr>
      <w:tr>
        <w:tc>
          <w:tcPr/>
          <w:p>
            <w:pPr>
              <w:pStyle w:val="Compact"/>
              <w:jc w:val="center"/>
            </w:pPr>
            <w:r>
              <w:t xml:space="preserve">12.6</w:t>
            </w:r>
          </w:p>
        </w:tc>
        <w:tc>
          <w:tcPr/>
          <w:p>
            <w:pPr>
              <w:pStyle w:val="Compact"/>
            </w:pPr>
            <w:r>
              <w:t xml:space="preserve">Como o preço do insumo afeta quanto a firma contrata?</w:t>
            </w:r>
          </w:p>
        </w:tc>
        <w:tc>
          <w:tcPr/>
          <w:p>
            <w:pPr>
              <w:pStyle w:val="Compact"/>
            </w:pPr>
            <w:r>
              <w:t xml:space="preserve">Demanda por insumos, estática comparativa</w:t>
            </w:r>
          </w:p>
        </w:tc>
        <w:tc>
          <w:tcPr/>
          <w:p>
            <w:pPr>
              <w:pStyle w:val="Compact"/>
              <w:jc w:val="center"/>
            </w:pPr>
            <w:r>
              <w:t xml:space="preserve">Insumos</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p>
      <w:pPr>
        <w:pStyle w:val="BlockText"/>
      </w:pPr>
      <w:r>
        <w:rPr>
          <w:b/>
          <w:bCs/>
        </w:rPr>
        <w:t xml:space="preserve">[ATIVIDADE DE SALA] Atividade de Sala — Mercado de Limonada: Operar ou Fechar?</w:t>
      </w:r>
    </w:p>
    <w:p>
      <w:pPr>
        <w:pStyle w:val="BlockText"/>
      </w:pPr>
      <w:r>
        <w:rPr>
          <w:b/>
          <w:bCs/>
        </w:rPr>
        <w:t xml:space="preserve">Formato:</w:t>
      </w:r>
      <w:r>
        <w:t xml:space="preserve"> </w:t>
      </w:r>
      <w:r>
        <w:t xml:space="preserve">Simulação com papéis + debate estruturado (30–40 min)</w:t>
      </w:r>
    </w:p>
    <w:p>
      <w:pPr>
        <w:pStyle w:val="BlockText"/>
      </w:pPr>
      <w:r>
        <w:rPr>
          <w:b/>
          <w:bCs/>
        </w:rPr>
        <w:t xml:space="preserve">Objetivo:</w:t>
      </w:r>
      <w:r>
        <w:t xml:space="preserve"> </w:t>
      </w:r>
      <w:r>
        <w:t xml:space="preserve">Vivenciar a decisão de shutdown e construir a curva de oferta de curto prazo a partir de decisões individuais.</w:t>
      </w:r>
    </w:p>
    <w:p>
      <w:pPr>
        <w:pStyle w:val="BlockText"/>
      </w:pPr>
      <w:r>
        <w:rPr>
          <w:b/>
          <w:bCs/>
        </w:rPr>
        <w:t xml:space="preserve">Preparação (professor):</w:t>
      </w:r>
    </w:p>
    <w:p>
      <w:pPr>
        <w:pStyle w:val="Compact"/>
        <w:numPr>
          <w:ilvl w:val="0"/>
          <w:numId w:val="1724"/>
        </w:numPr>
      </w:pPr>
      <w:r>
        <w:t xml:space="preserve">Imprima fichas de</w:t>
      </w:r>
      <w:r>
        <w:t xml:space="preserve"> </w:t>
      </w:r>
      <w:r>
        <w:t xml:space="preserve">“firma”</w:t>
      </w:r>
      <w:r>
        <w:t xml:space="preserve"> </w:t>
      </w:r>
      <w:r>
        <w:t xml:space="preserve">com estruturas de custo diferentes (CF e CV variados).</w:t>
      </w:r>
    </w:p>
    <w:p>
      <w:pPr>
        <w:pStyle w:val="Compact"/>
        <w:numPr>
          <w:ilvl w:val="0"/>
          <w:numId w:val="1724"/>
        </w:numPr>
      </w:pPr>
      <w:r>
        <w:t xml:space="preserve">Prepare 15–20 fichas com custos fixos entre R$ 20–80 e custos variáveis entre R$ 2–8 por unidade.</w:t>
      </w:r>
    </w:p>
    <w:p>
      <w:pPr>
        <w:pStyle w:val="Compact"/>
        <w:numPr>
          <w:ilvl w:val="0"/>
          <w:numId w:val="1724"/>
        </w:numPr>
      </w:pPr>
      <w:r>
        <w:t xml:space="preserve">Prepare cartões de</w:t>
      </w:r>
      <w:r>
        <w:t xml:space="preserve"> </w:t>
      </w:r>
      <w:r>
        <w:t xml:space="preserve">“preço de mercado”</w:t>
      </w:r>
      <w:r>
        <w:t xml:space="preserve"> </w:t>
      </w:r>
      <w:r>
        <w:t xml:space="preserve">(R$ 3, R$ 5, R$ 7, R$ 10, R$ 15).</w:t>
      </w:r>
    </w:p>
    <w:p>
      <w:pPr>
        <w:pStyle w:val="BlockText"/>
      </w:pPr>
      <w:r>
        <w:rPr>
          <w:b/>
          <w:bCs/>
        </w:rPr>
        <w:t xml:space="preserve">Rodada 1 — Decisão individual (10 min):</w:t>
      </w:r>
    </w:p>
    <w:p>
      <w:pPr>
        <w:pStyle w:val="Compact"/>
        <w:numPr>
          <w:ilvl w:val="0"/>
          <w:numId w:val="1725"/>
        </w:numPr>
      </w:pPr>
      <w:r>
        <w:t xml:space="preserve">Cada aluno recebe uma ficha de firma com CF, CV(q) e capacidade máxima.</w:t>
      </w:r>
    </w:p>
    <w:p>
      <w:pPr>
        <w:pStyle w:val="Compact"/>
        <w:numPr>
          <w:ilvl w:val="0"/>
          <w:numId w:val="1725"/>
        </w:numPr>
      </w:pPr>
      <w:r>
        <w:t xml:space="preserve">O professor anuncia o preço de mercado (comece com p = R$ 5).</w:t>
      </w:r>
    </w:p>
    <w:p>
      <w:pPr>
        <w:pStyle w:val="Compact"/>
        <w:numPr>
          <w:ilvl w:val="0"/>
          <w:numId w:val="1725"/>
        </w:numPr>
      </w:pPr>
      <w:r>
        <w:t xml:space="preserve">Cada aluno decide: (a) produzir — e quanto; (b) fechar.</w:t>
      </w:r>
    </w:p>
    <w:p>
      <w:pPr>
        <w:pStyle w:val="Compact"/>
        <w:numPr>
          <w:ilvl w:val="0"/>
          <w:numId w:val="1725"/>
        </w:numPr>
      </w:pPr>
      <w:r>
        <w:t xml:space="preserve">Registra decisão e calcula lucro/prejuízo.</w:t>
      </w:r>
    </w:p>
    <w:p>
      <w:pPr>
        <w:pStyle w:val="BlockText"/>
      </w:pPr>
      <w:r>
        <w:rPr>
          <w:b/>
          <w:bCs/>
        </w:rPr>
        <w:t xml:space="preserve">Rodada 2 — Variação de preço (10 min):</w:t>
      </w:r>
    </w:p>
    <w:p>
      <w:pPr>
        <w:pStyle w:val="Compact"/>
        <w:numPr>
          <w:ilvl w:val="0"/>
          <w:numId w:val="1726"/>
        </w:numPr>
      </w:pPr>
      <w:r>
        <w:t xml:space="preserve">Repita com p = R$ 3 (muitas firmas devem fechar) e p = R$ 15 (todas operam).</w:t>
      </w:r>
    </w:p>
    <w:p>
      <w:pPr>
        <w:pStyle w:val="Compact"/>
        <w:numPr>
          <w:ilvl w:val="0"/>
          <w:numId w:val="1726"/>
        </w:numPr>
      </w:pPr>
      <w:r>
        <w:t xml:space="preserve">Monte no quadro a tabela: preço vs. número de firmas operando vs. quantidade total.</w:t>
      </w:r>
    </w:p>
    <w:p>
      <w:pPr>
        <w:pStyle w:val="Compact"/>
        <w:numPr>
          <w:ilvl w:val="0"/>
          <w:numId w:val="1726"/>
        </w:numPr>
      </w:pPr>
      <w:r>
        <w:t xml:space="preserve">Conecte os pontos:</w:t>
      </w:r>
      <w:r>
        <w:t xml:space="preserve"> </w:t>
      </w:r>
      <w:r>
        <w:rPr>
          <w:i/>
          <w:iCs/>
        </w:rPr>
        <w:t xml:space="preserve">isso é a curva de oferta de mercado</w:t>
      </w:r>
      <w:r>
        <w:t xml:space="preserve">.</w:t>
      </w:r>
    </w:p>
    <w:p>
      <w:pPr>
        <w:pStyle w:val="BlockText"/>
      </w:pPr>
      <w:r>
        <w:rPr>
          <w:b/>
          <w:bCs/>
        </w:rPr>
        <w:t xml:space="preserve">Rodada 3 — Choque de custo (5 min):</w:t>
      </w:r>
    </w:p>
    <w:p>
      <w:pPr>
        <w:pStyle w:val="Compact"/>
        <w:numPr>
          <w:ilvl w:val="0"/>
          <w:numId w:val="1727"/>
        </w:numPr>
      </w:pPr>
      <w:r>
        <w:t xml:space="preserve">Anuncie:</w:t>
      </w:r>
      <w:r>
        <w:t xml:space="preserve"> </w:t>
      </w:r>
      <w:r>
        <w:t xml:space="preserve">“O aluguel (CF) de todos dobrou.”</w:t>
      </w:r>
      <w:r>
        <w:t xml:space="preserve"> </w:t>
      </w:r>
      <w:r>
        <w:t xml:space="preserve">Repita a decisão com p = R$ 7.</w:t>
      </w:r>
    </w:p>
    <w:p>
      <w:pPr>
        <w:pStyle w:val="Compact"/>
        <w:numPr>
          <w:ilvl w:val="0"/>
          <w:numId w:val="1727"/>
        </w:numPr>
      </w:pPr>
      <w:r>
        <w:t xml:space="preserve">Pergunte:</w:t>
      </w:r>
      <w:r>
        <w:t xml:space="preserve"> </w:t>
      </w:r>
      <w:r>
        <w:t xml:space="preserve">“O que mudou na decisão de curto prazo?”</w:t>
      </w:r>
      <w:r>
        <w:t xml:space="preserve"> </w:t>
      </w:r>
      <w:r>
        <w:t xml:space="preserve">(Resposta esperada: nada — CF não afeta shutdown.)</w:t>
      </w:r>
    </w:p>
    <w:p>
      <w:pPr>
        <w:pStyle w:val="Compact"/>
        <w:numPr>
          <w:ilvl w:val="0"/>
          <w:numId w:val="1727"/>
        </w:numPr>
      </w:pPr>
      <w:r>
        <w:t xml:space="preserve">Agora anuncie:</w:t>
      </w:r>
      <w:r>
        <w:t xml:space="preserve"> </w:t>
      </w:r>
      <w:r>
        <w:t xml:space="preserve">“O custo dos insumos (CV) dobrou.”</w:t>
      </w:r>
      <w:r>
        <w:t xml:space="preserve"> </w:t>
      </w:r>
      <w:r>
        <w:t xml:space="preserve">Repita. Agora a decisão muda.</w:t>
      </w:r>
    </w:p>
    <w:p>
      <w:pPr>
        <w:pStyle w:val="BlockText"/>
      </w:pPr>
      <w:r>
        <w:rPr>
          <w:b/>
          <w:bCs/>
        </w:rPr>
        <w:t xml:space="preserve">Debrief (10 min):</w:t>
      </w:r>
    </w:p>
    <w:p>
      <w:pPr>
        <w:pStyle w:val="Compact"/>
        <w:numPr>
          <w:ilvl w:val="0"/>
          <w:numId w:val="1728"/>
        </w:numPr>
      </w:pPr>
      <w:r>
        <w:t xml:space="preserve">Por que firmas com prejuízo continuaram operando? (Porque</w:t>
      </w:r>
      <w:r>
        <w:t xml:space="preserve"> </w:t>
      </w:r>
      <m:oMath>
        <m:r>
          <m:t>p</m:t>
        </m:r>
        <m:r>
          <m:rPr>
            <m:sty m:val="p"/>
          </m:rPr>
          <m:t>&gt;</m:t>
        </m:r>
        <m:sSub>
          <m:e>
            <m:r>
              <m:rPr>
                <m:sty m:val="p"/>
              </m:rPr>
              <m:t>C</m:t>
            </m:r>
            <m:r>
              <m:rPr>
                <m:sty m:val="p"/>
              </m:rPr>
              <m:t>V</m:t>
            </m:r>
            <m:r>
              <m:rPr>
                <m:sty m:val="p"/>
              </m:rPr>
              <m:t>M</m:t>
            </m:r>
            <m:r>
              <m:rPr>
                <m:sty m:val="p"/>
              </m:rPr>
              <m:t>e</m:t>
            </m:r>
          </m:e>
          <m:sub>
            <m:r>
              <m:rPr>
                <m:sty m:val="p"/>
              </m:rPr>
              <m:t>min</m:t>
            </m:r>
          </m:sub>
        </m:sSub>
      </m:oMath>
      <w:r>
        <w:t xml:space="preserve">)</w:t>
      </w:r>
    </w:p>
    <w:p>
      <w:pPr>
        <w:pStyle w:val="Compact"/>
        <w:numPr>
          <w:ilvl w:val="0"/>
          <w:numId w:val="1728"/>
        </w:numPr>
      </w:pPr>
      <w:r>
        <w:t xml:space="preserve">Por que o aumento do CF não mudou a decisão de curto prazo? (Sunk cost!)</w:t>
      </w:r>
    </w:p>
    <w:p>
      <w:pPr>
        <w:pStyle w:val="Compact"/>
        <w:numPr>
          <w:ilvl w:val="0"/>
          <w:numId w:val="1728"/>
        </w:numPr>
      </w:pPr>
      <w:r>
        <w:t xml:space="preserve">Conecte com o Black Knight dos Monty Python:</w:t>
      </w:r>
      <w:r>
        <w:t xml:space="preserve"> </w:t>
      </w:r>
      <w:r>
        <w:t xml:space="preserve">“Tis but a scratch!”</w:t>
      </w:r>
      <w:r>
        <w:t xml:space="preserve"> </w:t>
      </w:r>
      <w:r>
        <w:t xml:space="preserve">— o cavaleiro continua lutando porque os braços já foram perdidos (sunk cost), mas a decisão racional seria avaliar apenas o que resta.</w:t>
      </w:r>
    </w:p>
    <w:p>
      <w:pPr>
        <w:pStyle w:val="Compact"/>
        <w:numPr>
          <w:ilvl w:val="0"/>
          <w:numId w:val="1728"/>
        </w:numPr>
      </w:pPr>
      <w:r>
        <w:t xml:space="preserve">Conecte com dados reais: mortalidade de MPEs no Brasil (SEBRAE).</w:t>
      </w:r>
    </w:p>
    <w:p>
      <w:pPr>
        <w:pStyle w:val="BlockText"/>
      </w:pPr>
      <w:r>
        <w:rPr>
          <w:b/>
          <w:bCs/>
        </w:rPr>
        <w:t xml:space="preserve">Variante avançada:</w:t>
      </w:r>
      <w:r>
        <w:t xml:space="preserve"> </w:t>
      </w:r>
      <w:r>
        <w:t xml:space="preserve">Adicione uma</w:t>
      </w:r>
      <w:r>
        <w:t xml:space="preserve"> </w:t>
      </w:r>
      <w:r>
        <w:t xml:space="preserve">“rodada de longo prazo”</w:t>
      </w:r>
      <w:r>
        <w:t xml:space="preserve"> </w:t>
      </w:r>
      <w:r>
        <w:t xml:space="preserve">onde alunos podem trocar suas fichas de firma (entrada/saída). Observe a convergência para lucro zero.</w:t>
      </w:r>
    </w:p>
    <w:bookmarkEnd w:id="746"/>
    <w:bookmarkStart w:id="749" w:name="Xbd7954c40c1e59a900f71ea3a266732609915b1"/>
    <w:p>
      <w:pPr>
        <w:pStyle w:val="Heading2"/>
      </w:pPr>
      <w:r>
        <w:t xml:space="preserve">12.1 Por que Você Não Contrata Tudo pelo Mercado: A Natureza da Firma</w:t>
      </w:r>
    </w:p>
    <w:bookmarkStart w:id="747" w:name="por-que-firmas-existem"/>
    <w:p>
      <w:pPr>
        <w:pStyle w:val="Heading4"/>
      </w:pPr>
      <w:r>
        <w:t xml:space="preserve">Por que firmas existem?</w:t>
      </w:r>
    </w:p>
    <w:p>
      <w:pPr>
        <w:pStyle w:val="BlockText"/>
      </w:pPr>
      <w:r>
        <w:rPr>
          <w:b/>
          <w:bCs/>
        </w:rPr>
        <w:t xml:space="preserve">[DEFINICAO] Custos de transação (Coase)</w:t>
      </w:r>
    </w:p>
    <w:p>
      <w:pPr>
        <w:pStyle w:val="BlockText"/>
      </w:pPr>
      <w:r>
        <w:t xml:space="preserve">Segundo</w:t>
      </w:r>
      <w:r>
        <w:t xml:space="preserve"> </w:t>
      </w:r>
      <w:r>
        <w:rPr>
          <w:b/>
          <w:bCs/>
        </w:rPr>
        <w:t xml:space="preserve">Ronald Coase</w:t>
      </w:r>
      <w:r>
        <w:t xml:space="preserve"> </w:t>
      </w:r>
      <w:r>
        <w:t xml:space="preserve">(1937), firmas existem porque a utilização do mecanismo de mercado (sistema de preços) envolve</w:t>
      </w:r>
      <w:r>
        <w:t xml:space="preserve"> </w:t>
      </w:r>
      <w:r>
        <w:rPr>
          <w:b/>
          <w:bCs/>
        </w:rPr>
        <w:t xml:space="preserve">custos de transação</w:t>
      </w:r>
      <w:r>
        <w:t xml:space="preserve">: custos de busca, negociação, elaboração e execução de contratos. Quando esses custos são suficientemente elevados, torna-se mais eficiente organizar a produção dentro de uma firma — sob uma hierarquia administrativa — do que coordenar tudo via transações de mercado.</w:t>
      </w:r>
    </w:p>
    <w:p>
      <w:pPr>
        <w:pStyle w:val="FirstParagraph"/>
      </w:pPr>
      <w:r>
        <w:t xml:space="preserve">A firma, portanto, é uma resposta institucional à existência de custos de transação. Sua fronteira — isto é, quais atividades são realizadas internamente e quais são contratadas no mercado — é determinada pela comparação entre custos de transação e custos de organização interna. Esse insight simples mas profundo transforma a firma de uma</w:t>
      </w:r>
      <w:r>
        <w:t xml:space="preserve"> </w:t>
      </w:r>
      <w:r>
        <w:t xml:space="preserve">“caixa-preta”</w:t>
      </w:r>
      <w:r>
        <w:t xml:space="preserve"> </w:t>
      </w:r>
      <w:r>
        <w:t xml:space="preserve">que recebe insumos e produz outputs em uma instituição viva, cujas fronteiras se expandem ou se contraem conforme mudam as condições econômicas e regulatórias. Quando a Petrobras decide se refinar internamente ou importar derivados prontos, quando uma startup decide terceirizar a TI ou contratar desenvolvedores próprios, estão tomando a decisão coaseana fundamental: o custo de transação do mercado versus o custo de coordenação interna. O artigo de Coase (1937) foi escrito quando o autor tinha apenas 26 anos e era estudante da London School of Economics — e permanece um dos textos mais citados da história da economia.</w:t>
      </w:r>
    </w:p>
    <w:p>
      <w:pPr>
        <w:pStyle w:val="BlockText"/>
      </w:pPr>
      <w:r>
        <w:rPr>
          <w:b/>
          <w:bCs/>
        </w:rPr>
        <w:t xml:space="preserve">[INTUICAO ECONOMICA] Intuição Econômica</w:t>
      </w:r>
    </w:p>
    <w:p>
      <w:pPr>
        <w:pStyle w:val="BlockText"/>
      </w:pPr>
      <w:r>
        <w:rPr>
          <w:b/>
          <w:bCs/>
        </w:rPr>
        <w:t xml:space="preserve">Em uma frase:</w:t>
      </w:r>
      <w:r>
        <w:t xml:space="preserve"> </w:t>
      </w:r>
      <w:r>
        <w:t xml:space="preserve">Firmas existem porque negociar tudo no mercado tem um custo — e às vezes sai mais barato resolver as coisas</w:t>
      </w:r>
      <w:r>
        <w:t xml:space="preserve"> </w:t>
      </w:r>
      <w:r>
        <w:t xml:space="preserve">“dentro de casa”</w:t>
      </w:r>
      <w:r>
        <w:t xml:space="preserve">.</w:t>
      </w:r>
    </w:p>
    <w:p>
      <w:pPr>
        <w:pStyle w:val="BlockText"/>
      </w:pPr>
      <w:r>
        <w:rPr>
          <w:b/>
          <w:bCs/>
        </w:rPr>
        <w:t xml:space="preserve">Pense assim:</w:t>
      </w:r>
      <w:r>
        <w:t xml:space="preserve"> </w:t>
      </w:r>
      <w:r>
        <w:t xml:space="preserve">Imagine um dono de restaurante em São Paulo. Ele poderia, todo dia, ir à CEAGESP negociar preço de cada verdura com um fornecedor diferente. Mas o tempo gasto, o risco de levar gato por lebre e a burocracia dos contratos tornam mais eficiente ter um fornecedor fixo ou até uma horta própria. Essa é a lógica dos custos de transação.</w:t>
      </w:r>
    </w:p>
    <w:p>
      <w:pPr>
        <w:pStyle w:val="BlockText"/>
      </w:pPr>
      <w:r>
        <w:rPr>
          <w:b/>
          <w:bCs/>
        </w:rPr>
        <w:t xml:space="preserve">Por que isso importa:</w:t>
      </w:r>
      <w:r>
        <w:t xml:space="preserve"> </w:t>
      </w:r>
      <w:r>
        <w:t xml:space="preserve">Entender custos de transação ajuda a explicar por que empresas como a JBS se integram verticalmente e por que políticas de simplificação burocrática (como o MEI) podem alterar a fronteira da firma.</w:t>
      </w:r>
    </w:p>
    <w:p>
      <w:pPr>
        <w:pStyle w:val="FirstParagraph"/>
      </w:pPr>
      <w:r>
        <w:rPr>
          <w:b/>
          <w:bCs/>
        </w:rPr>
        <w:t xml:space="preserve">Oliver Williamson</w:t>
      </w:r>
      <w:r>
        <w:t xml:space="preserve"> </w:t>
      </w:r>
      <w:r>
        <w:t xml:space="preserve">(1975, 1985) expandiu a análise de Coase, identificando três atributos das transações que determinam a forma organizacional mais eficiente:</w:t>
      </w:r>
    </w:p>
    <w:p>
      <w:pPr>
        <w:pStyle w:val="Compact"/>
        <w:numPr>
          <w:ilvl w:val="0"/>
          <w:numId w:val="1729"/>
        </w:numPr>
      </w:pPr>
      <w:r>
        <w:rPr>
          <w:b/>
          <w:bCs/>
        </w:rPr>
        <w:t xml:space="preserve">Especificidade de ativos</w:t>
      </w:r>
      <w:r>
        <w:t xml:space="preserve">: quando investimentos são específicos a uma relação (ex.: uma máquina que só serve para produzir um componente para um único cliente), o risco de comportamento oportunista (</w:t>
      </w:r>
      <w:r>
        <w:rPr>
          <w:i/>
          <w:iCs/>
        </w:rPr>
        <w:t xml:space="preserve">hold-up</w:t>
      </w:r>
      <w:r>
        <w:t xml:space="preserve">) favorece a integração vertical.</w:t>
      </w:r>
    </w:p>
    <w:p>
      <w:pPr>
        <w:pStyle w:val="Compact"/>
        <w:numPr>
          <w:ilvl w:val="0"/>
          <w:numId w:val="1729"/>
        </w:numPr>
      </w:pPr>
      <w:r>
        <w:rPr>
          <w:b/>
          <w:bCs/>
        </w:rPr>
        <w:t xml:space="preserve">Frequência</w:t>
      </w:r>
      <w:r>
        <w:t xml:space="preserve">: transações recorrentes justificam estruturas de governança mais sofisticadas.</w:t>
      </w:r>
    </w:p>
    <w:p>
      <w:pPr>
        <w:pStyle w:val="Compact"/>
        <w:numPr>
          <w:ilvl w:val="0"/>
          <w:numId w:val="1729"/>
        </w:numPr>
      </w:pPr>
      <w:r>
        <w:rPr>
          <w:b/>
          <w:bCs/>
        </w:rPr>
        <w:t xml:space="preserve">Incerteza</w:t>
      </w:r>
      <w:r>
        <w:t xml:space="preserve">: quanto maior a incerteza, mais difícil redigir contratos completos, favorecendo a organização interna.</w:t>
      </w:r>
    </w:p>
    <w:p>
      <w:pPr>
        <w:pStyle w:val="FirstParagraph"/>
      </w:pPr>
      <w:r>
        <w:t xml:space="preserve">A teoria dos custos de transação também está na base da teoria dos contratos incompletos, desenvolvida por</w:t>
      </w:r>
      <w:r>
        <w:t xml:space="preserve"> </w:t>
      </w:r>
      <w:r>
        <w:rPr>
          <w:b/>
          <w:bCs/>
        </w:rPr>
        <w:t xml:space="preserve">Oliver Hart</w:t>
      </w:r>
      <w:r>
        <w:t xml:space="preserve"> </w:t>
      </w:r>
      <w:r>
        <w:t xml:space="preserve">e</w:t>
      </w:r>
      <w:r>
        <w:t xml:space="preserve"> </w:t>
      </w:r>
      <w:r>
        <w:rPr>
          <w:b/>
          <w:bCs/>
        </w:rPr>
        <w:t xml:space="preserve">Bengt Holmström</w:t>
      </w:r>
      <w:r>
        <w:t xml:space="preserve">, laureados com o Nobel de Economia de 2016. Se contratos pudessem ser completos — especificando toda ação e contingência possível —, a forma organizacional seria irrelevante: o mecanismo de preços coordenaria tudo. É precisamente a incompletude contratual que dá à firma sua razão de existir e seus direitos de propriedade seu poder alocativo. Voltaremos a essa discussão mais adiante neste capítulo.</w:t>
      </w:r>
    </w:p>
    <w:p>
      <w:pPr>
        <w:pStyle w:val="BlockText"/>
      </w:pPr>
      <w:r>
        <w:rPr>
          <w:b/>
          <w:bCs/>
        </w:rPr>
        <w:t xml:space="preserve">[INFORMACAO] Prêmio Nobel — Ronald H. Coase (1991) e Oliver E. Williamson (2009)</w:t>
      </w:r>
    </w:p>
    <w:p>
      <w:pPr>
        <w:pStyle w:val="BlockText"/>
      </w:pPr>
      <w:r>
        <w:rPr>
          <w:b/>
          <w:bCs/>
        </w:rPr>
        <w:t xml:space="preserve">Ronald Harry Coase</w:t>
      </w:r>
      <w:r>
        <w:t xml:space="preserve"> </w:t>
      </w:r>
      <w:r>
        <w:t xml:space="preserve">(1910–2013) foi um economista britânico-americano. Formou-se na London School of Economics e foi professor na Universidade de Chicago por mais de quatro décadas.</w:t>
      </w:r>
    </w:p>
    <w:p>
      <w:pPr>
        <w:pStyle w:val="BlockText"/>
      </w:pPr>
      <w:r>
        <w:rPr>
          <w:b/>
          <w:bCs/>
        </w:rPr>
        <w:t xml:space="preserve">Oliver Eaton Williamson</w:t>
      </w:r>
      <w:r>
        <w:t xml:space="preserve"> </w:t>
      </w:r>
      <w:r>
        <w:t xml:space="preserve">(1932–2020) foi um economista americano. Obteve o PhD no Carnegie Institute of Technology (atual CMU) e foi professor na UC Berkeley. Dividiu o Nobel de 2009 com Elinor Ostrom.</w:t>
      </w:r>
    </w:p>
    <w:p>
      <w:pPr>
        <w:pStyle w:val="BlockText"/>
      </w:pPr>
      <w:r>
        <w:rPr>
          <w:b/>
          <w:bCs/>
        </w:rPr>
        <w:t xml:space="preserve">Por que ganharam o Nobel:</w:t>
      </w:r>
      <w:r>
        <w:t xml:space="preserve"> </w:t>
      </w:r>
      <w:r>
        <w:t xml:space="preserve">Coase foi premiado por descobrir e esclarecer o significado dos custos de transação e dos direitos de propriedade para a estrutura institucional da economia. Em</w:t>
      </w:r>
      <w:r>
        <w:t xml:space="preserve"> </w:t>
      </w:r>
      <w:r>
        <w:rPr>
          <w:i/>
          <w:iCs/>
        </w:rPr>
        <w:t xml:space="preserve">The Nature of the Firm</w:t>
      </w:r>
      <w:r>
        <w:t xml:space="preserve"> </w:t>
      </w:r>
      <w:r>
        <w:t xml:space="preserve">(1937), explicou por que firmas existem: quando os custos de transação no mercado excedem os custos de organização interna, a firma substitui o mecanismo de preços. Williamson estendeu essa análise, identificando os atributos das transações (especificidade de ativos, frequência, incerteza) que determinam se a governança ótima é via mercado, hierarquia ou formas híbridas.</w:t>
      </w:r>
    </w:p>
    <w:p>
      <w:pPr>
        <w:pStyle w:val="BlockText"/>
      </w:pPr>
      <w:r>
        <w:rPr>
          <w:b/>
          <w:bCs/>
        </w:rPr>
        <w:t xml:space="preserve">Conexão com este capítulo:</w:t>
      </w:r>
      <w:r>
        <w:t xml:space="preserve"> </w:t>
      </w:r>
      <w:r>
        <w:t xml:space="preserve">A questão</w:t>
      </w:r>
      <w:r>
        <w:t xml:space="preserve"> </w:t>
      </w:r>
      <w:r>
        <w:t xml:space="preserve">“por que firmas existem?”</w:t>
      </w:r>
      <w:r>
        <w:t xml:space="preserve"> </w:t>
      </w:r>
      <w:r>
        <w:t xml:space="preserve">— ponto de partida deste capítulo — foi formulada por Coase e aprofundada por Williamson. A análise dos custos de transação como determinante das fronteiras da firma complementa a teoria neoclássica da produção e explica por que a firma não é apenas uma função de produção, mas uma instituição que economiza em custos de coordenação.</w:t>
      </w:r>
    </w:p>
    <w:p>
      <w:pPr>
        <w:pStyle w:val="BlockText"/>
      </w:pPr>
      <w:r>
        <w:rPr>
          <w:b/>
          <w:bCs/>
        </w:rPr>
        <w:t xml:space="preserve">[INFORMACAO] Prêmio Nobel — Oliver Hart &amp; Bengt Holmström (2016)</w:t>
      </w:r>
    </w:p>
    <w:p>
      <w:pPr>
        <w:pStyle w:val="BlockText"/>
      </w:pPr>
      <w:r>
        <w:rPr>
          <w:b/>
          <w:bCs/>
        </w:rPr>
        <w:t xml:space="preserve">Oliver Hart</w:t>
      </w:r>
      <w:r>
        <w:t xml:space="preserve"> </w:t>
      </w:r>
      <w:r>
        <w:t xml:space="preserve">(nascido em 1948, Cambridge) é professor da Universidade de Harvard. PhD pela Princeton University. Seus trabalhos fundamentais incluem</w:t>
      </w:r>
      <w:r>
        <w:t xml:space="preserve"> </w:t>
      </w:r>
      <w:r>
        <w:t xml:space="preserve">“Property Rights and the Nature of the Firm”</w:t>
      </w:r>
      <w:r>
        <w:t xml:space="preserve"> </w:t>
      </w:r>
      <w:r>
        <w:t xml:space="preserve">(1990, com John Moore) e a teoria dos contratos incompletos.</w:t>
      </w:r>
    </w:p>
    <w:p>
      <w:pPr>
        <w:pStyle w:val="BlockText"/>
      </w:pPr>
      <w:r>
        <w:rPr>
          <w:b/>
          <w:bCs/>
        </w:rPr>
        <w:t xml:space="preserve">Bengt Holmström</w:t>
      </w:r>
      <w:r>
        <w:t xml:space="preserve"> </w:t>
      </w:r>
      <w:r>
        <w:t xml:space="preserve">(nascido em 1949, Finlândia) é professor do MIT. PhD pela Stanford University. Conhecido sobretudo pelos trabalhos sobre problemas principal-agente, incentivos em organizações e estrutura de remuneração.</w:t>
      </w:r>
    </w:p>
    <w:p>
      <w:pPr>
        <w:pStyle w:val="BlockText"/>
      </w:pPr>
      <w:r>
        <w:rPr>
          <w:b/>
          <w:bCs/>
        </w:rPr>
        <w:t xml:space="preserve">Por que ganharam o Nobel:</w:t>
      </w:r>
      <w:r>
        <w:t xml:space="preserve"> </w:t>
      </w:r>
      <w:r>
        <w:t xml:space="preserve">Hart e Holmström foram premiados por suas contribuições à teoria dos contratos. Holmström desenvolveu o</w:t>
      </w:r>
      <w:r>
        <w:t xml:space="preserve"> </w:t>
      </w:r>
      <w:r>
        <w:rPr>
          <w:b/>
          <w:bCs/>
        </w:rPr>
        <w:t xml:space="preserve">princípio informativo</w:t>
      </w:r>
      <w:r>
        <w:t xml:space="preserve">: um contrato ótimo deve incorporar toda informação disponível sobre o esforço do agente. Isso fundamenta a teoria de incentivos — por que bônus dependem de resultados relativos, por que gestores têm pacotes complexos de remuneração. Hart, com Moore, desenvolveu a</w:t>
      </w:r>
      <w:r>
        <w:t xml:space="preserve"> </w:t>
      </w:r>
      <w:r>
        <w:rPr>
          <w:b/>
          <w:bCs/>
        </w:rPr>
        <w:t xml:space="preserve">teoria da propriedade</w:t>
      </w:r>
      <w:r>
        <w:t xml:space="preserve"> </w:t>
      </w:r>
      <w:r>
        <w:t xml:space="preserve">(</w:t>
      </w:r>
      <w:r>
        <w:rPr>
          <w:i/>
          <w:iCs/>
        </w:rPr>
        <w:t xml:space="preserve">property rights theory of the firm</w:t>
      </w:r>
      <w:r>
        <w:t xml:space="preserve">): quando contratos são incompletos — impossível especificar todas as contingências —, os direitos de propriedade sobre ativos físicos determinam quem tem poder de barganha nas renegociações</w:t>
      </w:r>
      <w:r>
        <w:t xml:space="preserve"> </w:t>
      </w:r>
      <w:r>
        <w:rPr>
          <w:i/>
          <w:iCs/>
        </w:rPr>
        <w:t xml:space="preserve">ex post</w:t>
      </w:r>
      <w:r>
        <w:t xml:space="preserve">. Isso explica por que a estrutura de propriedade importa para as decisões de investimento e integração vertical.</w:t>
      </w:r>
    </w:p>
    <w:p>
      <w:pPr>
        <w:pStyle w:val="BlockText"/>
      </w:pPr>
      <w:r>
        <w:rPr>
          <w:b/>
          <w:bCs/>
        </w:rPr>
        <w:t xml:space="preserve">Conexão com este capítulo:</w:t>
      </w:r>
      <w:r>
        <w:t xml:space="preserve"> </w:t>
      </w:r>
      <w:r>
        <w:t xml:space="preserve">A teoria de Hart e Holmström complementa a visão de Coase: enquanto Coase explica</w:t>
      </w:r>
      <w:r>
        <w:t xml:space="preserve"> </w:t>
      </w:r>
      <w:r>
        <w:rPr>
          <w:i/>
          <w:iCs/>
        </w:rPr>
        <w:t xml:space="preserve">por que</w:t>
      </w:r>
      <w:r>
        <w:t xml:space="preserve"> </w:t>
      </w:r>
      <w:r>
        <w:t xml:space="preserve">firmas existem (custos de transação), Hart explica</w:t>
      </w:r>
      <w:r>
        <w:t xml:space="preserve"> </w:t>
      </w:r>
      <w:r>
        <w:rPr>
          <w:i/>
          <w:iCs/>
        </w:rPr>
        <w:t xml:space="preserve">como</w:t>
      </w:r>
      <w:r>
        <w:t xml:space="preserve"> </w:t>
      </w:r>
      <w:r>
        <w:t xml:space="preserve">a estrutura de propriedade dentro e entre firmas afeta os incentivos ao investimento. Do ponto de vista da maximização de lucro (Seção 12.2), a incompletude contratual significa que o</w:t>
      </w:r>
      <w:r>
        <w:t xml:space="preserve"> </w:t>
      </w:r>
      <w:r>
        <w:t xml:space="preserve">“lucro”</w:t>
      </w:r>
      <w:r>
        <w:t xml:space="preserve"> </w:t>
      </w:r>
      <w:r>
        <w:t xml:space="preserve">contabilizado pelo gestor pode divergir do lucro econômico do acionista — o problema clássico de agência que a teoria de Holmström procura resolver via desenho de contratos ótimos.</w:t>
      </w:r>
    </w:p>
    <w:bookmarkEnd w:id="747"/>
    <w:bookmarkStart w:id="748" w:name="o-objetivo-da-firma-maximização-de-lucro"/>
    <w:p>
      <w:pPr>
        <w:pStyle w:val="Heading4"/>
      </w:pPr>
      <w:r>
        <w:t xml:space="preserve">O objetivo da firma: maximização de lucro</w:t>
      </w:r>
    </w:p>
    <w:p>
      <w:pPr>
        <w:pStyle w:val="FirstParagraph"/>
      </w:pPr>
      <w:r>
        <w:t xml:space="preserve">Na análise microeconômica padrão, assume-se que a firma busca</w:t>
      </w:r>
      <w:r>
        <w:t xml:space="preserve"> </w:t>
      </w:r>
      <w:r>
        <w:rPr>
          <w:b/>
          <w:bCs/>
        </w:rPr>
        <w:t xml:space="preserve">maximizar o lucro</w:t>
      </w:r>
      <w:r>
        <w:t xml:space="preserve">:</w:t>
      </w:r>
    </w:p>
    <w:p>
      <w:pPr>
        <w:pStyle w:val="BodyText"/>
      </w:pPr>
      <m:oMathPara>
        <m:oMathParaPr>
          <m:jc m:val="center"/>
        </m:oMathParaPr>
        <m:oMath>
          <m:r>
            <m:t>π</m:t>
          </m:r>
          <m:r>
            <m:rPr>
              <m:sty m:val="p"/>
            </m:rPr>
            <m:t>=</m:t>
          </m:r>
          <m:r>
            <m:t>R</m:t>
          </m:r>
          <m:r>
            <m:t>T</m:t>
          </m:r>
          <m:r>
            <m:rPr>
              <m:sty m:val="p"/>
            </m:rPr>
            <m:t>−</m:t>
          </m:r>
          <m:r>
            <m:t>C</m:t>
          </m:r>
          <m:r>
            <m:t>T</m:t>
          </m:r>
          <m:r>
            <m:rPr>
              <m:sty m:val="p"/>
            </m:rPr>
            <m:t>=</m:t>
          </m:r>
          <m:r>
            <m:t>p</m:t>
          </m:r>
          <m:r>
            <m:rPr>
              <m:sty m:val="p"/>
            </m:rPr>
            <m:t>⋅</m:t>
          </m:r>
          <m:r>
            <m:t>q</m:t>
          </m:r>
          <m:r>
            <m:rPr>
              <m:sty m:val="p"/>
            </m:rPr>
            <m:t>−</m:t>
          </m:r>
          <m:r>
            <m:t>C</m:t>
          </m:r>
          <m:r>
            <m:rPr>
              <m:sty m:val="p"/>
            </m:rPr>
            <m:t>(</m:t>
          </m:r>
          <m:r>
            <m:t>q</m:t>
          </m:r>
          <m:r>
            <m:rPr>
              <m:sty m:val="p"/>
            </m:rPr>
            <m:t>)</m:t>
          </m:r>
        </m:oMath>
      </m:oMathPara>
    </w:p>
    <w:p>
      <w:pPr>
        <w:pStyle w:val="FirstParagraph"/>
      </w:pPr>
      <w:r>
        <w:t xml:space="preserve">Embora existam teorias alternativas — maximização de receita (Baumol), maximização da utilidade gerencial (Williamson), satisfação (</w:t>
      </w:r>
      <w:r>
        <w:rPr>
          <w:i/>
          <w:iCs/>
        </w:rPr>
        <w:t xml:space="preserve">satisficing</w:t>
      </w:r>
      <w:r>
        <w:t xml:space="preserve">, Simon) —, a maximização de lucro permanece como a hipótese de trabalho dominante por sua tratabilidade analítica e por gerar predições empiricamente testáveis. Cabe perguntar: essa hipótese é realista? Em empresas com separação entre propriedade e controle — como as grandes corporações listadas na B3 —, os gerentes podem perseguir seus próprios interesses em vez de maximizar o lucro dos acionistas. Contudo, a pressão competitiva nos mercados de produtos, o mercado de capitais e a ameaça de aquisição hostil tendem a disciplinar os gestores, aproximando o comportamento observado do modelo de maximização de lucro.</w:t>
      </w:r>
    </w:p>
    <w:p>
      <w:pPr>
        <w:pStyle w:val="BodyText"/>
      </w:pPr>
      <w:r>
        <w:t xml:space="preserve">É importante distinguir dois conceitos de lucro. O</w:t>
      </w:r>
      <w:r>
        <w:t xml:space="preserve"> </w:t>
      </w:r>
      <w:r>
        <w:rPr>
          <w:b/>
          <w:bCs/>
        </w:rPr>
        <w:t xml:space="preserve">lucro contábil</w:t>
      </w:r>
      <w:r>
        <w:t xml:space="preserve"> </w:t>
      </w:r>
      <w:r>
        <w:t xml:space="preserve">(reportado nas demonstrações financeiras) mensura receitas menos custos explícitos — o que aparece no balanço. O</w:t>
      </w:r>
      <w:r>
        <w:t xml:space="preserve"> </w:t>
      </w:r>
      <w:r>
        <w:rPr>
          <w:b/>
          <w:bCs/>
        </w:rPr>
        <w:t xml:space="preserve">lucro econômico</w:t>
      </w:r>
      <w:r>
        <w:t xml:space="preserve"> </w:t>
      </w:r>
      <w:r>
        <w:t xml:space="preserve">desconta também os custos de oportunidade dos insumos que a própria firma detém: o capital do acionista poderia render juros em outro investimento, o talento do empresário poderia ser empregado em outra empresa. A maximização que a teoria microeconômica trata é do lucro</w:t>
      </w:r>
      <w:r>
        <w:t xml:space="preserve"> </w:t>
      </w:r>
      <w:r>
        <w:rPr>
          <w:i/>
          <w:iCs/>
        </w:rPr>
        <w:t xml:space="preserve">econômico</w:t>
      </w:r>
      <w:r>
        <w:t xml:space="preserve">. Em mercados perfeitamente competitivos de longo prazo, o lucro econômico tende a zero — todas as receitas cobrem apenas os custos de oportunidade —, enquanto o lucro contábil pode ser positivo. Esse resultado, que o Capítulo 13 analisará em detalhe, tem implicações diretas para a interpretação de dados financeiros: uma empresa com lucro contábil positivo pode, na visão econômica, estar destruindo valor para seus acionistas se o retorno sobre o capital for inferior ao custo de oportunidade do mesmo.</w:t>
      </w:r>
    </w:p>
    <w:bookmarkEnd w:id="748"/>
    <w:bookmarkEnd w:id="749"/>
    <w:bookmarkStart w:id="758" w:name="X0d5f0b339baf5c2c2029cb74dcc370329a99ade"/>
    <w:p>
      <w:pPr>
        <w:pStyle w:val="Heading2"/>
      </w:pPr>
      <w:r>
        <w:t xml:space="preserve">12.2–12.3 Maximização de Lucro, Receita Marginal e Elasticidade</w:t>
      </w:r>
    </w:p>
    <w:bookmarkStart w:id="754" w:name="X5a8ea5382b9fd885261bb3eed0527d1d3b07262"/>
    <w:p>
      <w:pPr>
        <w:pStyle w:val="Heading3"/>
      </w:pPr>
      <w:r>
        <w:t xml:space="preserve">12.2 O GPS do Empresário: Maximização de Lucro</w:t>
      </w:r>
    </w:p>
    <w:p>
      <w:pPr>
        <w:pStyle w:val="FirstParagraph"/>
      </w:pPr>
      <w:r>
        <w:t xml:space="preserve">Muito bem, a firma quer lucro. Mas querer não basta — ela precisa de um GPS para chegar lá. Quais são as regras práticas que dizem</w:t>
      </w:r>
      <w:r>
        <w:t xml:space="preserve"> </w:t>
      </w:r>
      <w:r>
        <w:t xml:space="preserve">“produza</w:t>
      </w:r>
      <w:r>
        <w:t xml:space="preserve"> </w:t>
      </w:r>
      <w:r>
        <w:rPr>
          <w:i/>
          <w:iCs/>
        </w:rPr>
        <w:t xml:space="preserve">exatamente</w:t>
      </w:r>
      <w:r>
        <w:t xml:space="preserve"> </w:t>
      </w:r>
      <w:r>
        <w:t xml:space="preserve">esta quantidade”</w:t>
      </w:r>
      <w:r>
        <w:t xml:space="preserve">? E como ter certeza de que chegamos ao topo da montanha e não ao fundo do vale? As condições de primeira e segunda ordem são esse GPS. A CPO conecta-se diretamente às funções de custo derivadas no Capítulo 11: o custo marginal</w:t>
      </w:r>
      <w:r>
        <w:t xml:space="preserve"> </w:t>
      </w:r>
      <m:oMath>
        <m:r>
          <m:rPr>
            <m:sty m:val="p"/>
          </m:rPr>
          <m:t>C</m:t>
        </m:r>
        <m:r>
          <m:rPr>
            <m:sty m:val="p"/>
          </m:rPr>
          <m:t>M</m:t>
        </m:r>
        <m:r>
          <m:rPr>
            <m:sty m:val="p"/>
          </m:rPr>
          <m:t>g</m:t>
        </m:r>
        <m:r>
          <m:rPr>
            <m:sty m:val="p"/>
          </m:rPr>
          <m:t>(</m:t>
        </m:r>
        <m:r>
          <m:t>q</m:t>
        </m:r>
        <m:r>
          <m:rPr>
            <m:sty m:val="p"/>
          </m:rPr>
          <m:t>)</m:t>
        </m:r>
        <m:r>
          <m:rPr>
            <m:sty m:val="p"/>
          </m:rPr>
          <m:t>=</m:t>
        </m:r>
        <m:sSup>
          <m:e>
            <m:r>
              <m:t>C</m:t>
            </m:r>
          </m:e>
          <m:sup>
            <m:r>
              <m:rPr>
                <m:sty m:val="p"/>
              </m:rPr>
              <m:t>′</m:t>
            </m:r>
          </m:sup>
        </m:sSup>
        <m:r>
          <m:rPr>
            <m:sty m:val="p"/>
          </m:rPr>
          <m:t>(</m:t>
        </m:r>
        <m:r>
          <m:t>q</m:t>
        </m:r>
        <m:r>
          <m:rPr>
            <m:sty m:val="p"/>
          </m:rPr>
          <m:t>)</m:t>
        </m:r>
      </m:oMath>
      <w:r>
        <w:t xml:space="preserve"> </w:t>
      </w:r>
      <w:r>
        <w:t xml:space="preserve">é o mesmo objeto que caracterizou a curva de oferta de curto prazo, e agora aparece como o lado direito da condição de otimalidade. A CSO, por sua vez, está ligada à convexidade do custo marginal — que, como vimos no Capítulo 11, decorre dos rendimentos marginais decrescentes dos fatores.</w:t>
      </w:r>
      <w:r>
        <w:rPr>
          <w:rStyle w:val="FootnoteReference"/>
        </w:rPr>
        <w:footnoteReference w:id="750"/>
      </w:r>
    </w:p>
    <w:bookmarkStart w:id="751" w:name="condições-de-primeira-ordem-1"/>
    <w:p>
      <w:pPr>
        <w:pStyle w:val="Heading4"/>
      </w:pPr>
      <w:r>
        <w:t xml:space="preserve">Condições de primeira ordem</w:t>
      </w:r>
    </w:p>
    <w:p>
      <w:pPr>
        <w:pStyle w:val="FirstParagraph"/>
      </w:pPr>
      <w:r>
        <w:t xml:space="preserve">A firma escolhe</w:t>
      </w:r>
      <w:r>
        <w:t xml:space="preserve"> </w:t>
      </w:r>
      <m:oMath>
        <m:r>
          <m:t>q</m:t>
        </m:r>
      </m:oMath>
      <w:r>
        <w:t xml:space="preserve"> </w:t>
      </w:r>
      <w:r>
        <w:t xml:space="preserve">para maximizar:</w:t>
      </w:r>
    </w:p>
    <w:p>
      <w:pPr>
        <w:pStyle w:val="BodyText"/>
      </w:pPr>
      <m:oMathPara>
        <m:oMathParaPr>
          <m:jc m:val="center"/>
        </m:oMathParaPr>
        <m:oMath>
          <m:r>
            <m:t>π</m:t>
          </m:r>
          <m:r>
            <m:rPr>
              <m:sty m:val="p"/>
            </m:rPr>
            <m:t>(</m:t>
          </m:r>
          <m:r>
            <m:t>q</m:t>
          </m:r>
          <m:r>
            <m:rPr>
              <m:sty m:val="p"/>
            </m:rPr>
            <m:t>)</m:t>
          </m:r>
          <m:r>
            <m:rPr>
              <m:sty m:val="p"/>
            </m:rPr>
            <m:t>=</m:t>
          </m:r>
          <m:r>
            <m:t>p</m:t>
          </m:r>
          <m:r>
            <m:rPr>
              <m:sty m:val="p"/>
            </m:rPr>
            <m:t>(</m:t>
          </m:r>
          <m:r>
            <m:t>q</m:t>
          </m:r>
          <m:r>
            <m:rPr>
              <m:sty m:val="p"/>
            </m:rPr>
            <m:t>)</m:t>
          </m:r>
          <m:r>
            <m:rPr>
              <m:sty m:val="p"/>
            </m:rPr>
            <m:t>⋅</m:t>
          </m:r>
          <m:r>
            <m:t>q</m:t>
          </m:r>
          <m:r>
            <m:rPr>
              <m:sty m:val="p"/>
            </m:rPr>
            <m:t>−</m:t>
          </m:r>
          <m:r>
            <m:t>C</m:t>
          </m:r>
          <m:r>
            <m:rPr>
              <m:sty m:val="p"/>
            </m:rPr>
            <m:t>(</m:t>
          </m:r>
          <m:r>
            <m:t>q</m:t>
          </m:r>
          <m:r>
            <m:rPr>
              <m:sty m:val="p"/>
            </m:rPr>
            <m:t>)</m:t>
          </m:r>
          <m:r>
            <m:rPr>
              <m:sty m:val="p"/>
            </m:rPr>
            <m:t>=</m:t>
          </m:r>
          <m:r>
            <m:t>R</m:t>
          </m:r>
          <m:r>
            <m:t>T</m:t>
          </m:r>
          <m:r>
            <m:rPr>
              <m:sty m:val="p"/>
            </m:rPr>
            <m:t>(</m:t>
          </m:r>
          <m:r>
            <m:t>q</m:t>
          </m:r>
          <m:r>
            <m:rPr>
              <m:sty m:val="p"/>
            </m:rPr>
            <m:t>)</m:t>
          </m:r>
          <m:r>
            <m:rPr>
              <m:sty m:val="p"/>
            </m:rPr>
            <m:t>−</m:t>
          </m:r>
          <m:r>
            <m:t>C</m:t>
          </m:r>
          <m:r>
            <m:t>T</m:t>
          </m:r>
          <m:r>
            <m:rPr>
              <m:sty m:val="p"/>
            </m:rPr>
            <m:t>(</m:t>
          </m:r>
          <m:r>
            <m:t>q</m:t>
          </m:r>
          <m:r>
            <m:rPr>
              <m:sty m:val="p"/>
            </m:rPr>
            <m:t>)</m:t>
          </m:r>
        </m:oMath>
      </m:oMathPara>
    </w:p>
    <w:p>
      <w:pPr>
        <w:pStyle w:val="FirstParagraph"/>
      </w:pPr>
      <w:r>
        <w:t xml:space="preserve">onde</w:t>
      </w:r>
      <w:r>
        <w:t xml:space="preserve"> </w:t>
      </w:r>
      <m:oMath>
        <m:r>
          <m:t>p</m:t>
        </m:r>
        <m:r>
          <m:rPr>
            <m:sty m:val="p"/>
          </m:rPr>
          <m:t>(</m:t>
        </m:r>
        <m:r>
          <m:t>q</m:t>
        </m:r>
        <m:r>
          <m:rPr>
            <m:sty m:val="p"/>
          </m:rPr>
          <m:t>)</m:t>
        </m:r>
      </m:oMath>
      <w:r>
        <w:t xml:space="preserve"> </w:t>
      </w:r>
      <w:r>
        <w:t xml:space="preserve">é a função de demanda inversa (no caso de tomadora de preços,</w:t>
      </w:r>
      <w:r>
        <w:t xml:space="preserve"> </w:t>
      </w:r>
      <m:oMath>
        <m:r>
          <m:t>p</m:t>
        </m:r>
      </m:oMath>
      <w:r>
        <w:t xml:space="preserve"> </w:t>
      </w:r>
      <w:r>
        <w:t xml:space="preserve">é constante).</w:t>
      </w:r>
    </w:p>
    <w:p>
      <w:pPr>
        <w:pStyle w:val="BodyText"/>
      </w:pPr>
      <w:r>
        <w:t xml:space="preserve">A condição de primeira ordem (CPO) é:</w:t>
      </w:r>
    </w:p>
    <w:p>
      <w:pPr>
        <w:pStyle w:val="BodyText"/>
      </w:pPr>
      <m:oMathPara>
        <m:oMathParaPr>
          <m:jc m:val="center"/>
        </m:oMathParaPr>
        <m:oMath>
          <m:f>
            <m:fPr>
              <m:type m:val="bar"/>
            </m:fPr>
            <m:num>
              <m:r>
                <m:t>d</m:t>
              </m:r>
              <m:r>
                <m:t>π</m:t>
              </m:r>
            </m:num>
            <m:den>
              <m:r>
                <m:t>d</m:t>
              </m:r>
              <m:r>
                <m:t>q</m:t>
              </m:r>
            </m:den>
          </m:f>
          <m:r>
            <m:rPr>
              <m:sty m:val="p"/>
            </m:rPr>
            <m:t>=</m:t>
          </m:r>
          <m:f>
            <m:fPr>
              <m:type m:val="bar"/>
            </m:fPr>
            <m:num>
              <m:r>
                <m:t>d</m:t>
              </m:r>
              <m:r>
                <m:t>R</m:t>
              </m:r>
              <m:r>
                <m:t>T</m:t>
              </m:r>
            </m:num>
            <m:den>
              <m:r>
                <m:t>d</m:t>
              </m:r>
              <m:r>
                <m:t>q</m:t>
              </m:r>
            </m:den>
          </m:f>
          <m:r>
            <m:rPr>
              <m:sty m:val="p"/>
            </m:rPr>
            <m:t>−</m:t>
          </m:r>
          <m:f>
            <m:fPr>
              <m:type m:val="bar"/>
            </m:fPr>
            <m:num>
              <m:r>
                <m:t>d</m:t>
              </m:r>
              <m:r>
                <m:t>C</m:t>
              </m:r>
              <m:r>
                <m:t>T</m:t>
              </m:r>
            </m:num>
            <m:den>
              <m:r>
                <m:t>d</m:t>
              </m:r>
              <m:r>
                <m:t>q</m:t>
              </m:r>
            </m:den>
          </m:f>
          <m:r>
            <m:rPr>
              <m:sty m:val="p"/>
            </m:rPr>
            <m:t>=</m:t>
          </m:r>
          <m:r>
            <m:t>0</m:t>
          </m:r>
          <m:r>
            <m:rPr>
              <m:sty m:val="p"/>
            </m:rPr>
            <m:t>⟹</m:t>
          </m:r>
          <m:r>
            <m:rPr>
              <m:sty m:val="p"/>
            </m:rPr>
            <m:t>R</m:t>
          </m:r>
          <m:r>
            <m:rPr>
              <m:sty m:val="p"/>
            </m:rPr>
            <m:t>M</m:t>
          </m:r>
          <m:r>
            <m:rPr>
              <m:sty m:val="p"/>
            </m:rPr>
            <m:t>g</m:t>
          </m:r>
          <m:r>
            <m:rPr>
              <m:sty m:val="p"/>
            </m:rPr>
            <m:t>(</m:t>
          </m:r>
          <m:r>
            <m:t>q</m:t>
          </m:r>
          <m:r>
            <m:rPr>
              <m:sty m:val="p"/>
            </m:rPr>
            <m:t>)</m:t>
          </m:r>
          <m:r>
            <m:rPr>
              <m:sty m:val="p"/>
            </m:rPr>
            <m:t>=</m:t>
          </m:r>
          <m:r>
            <m:rPr>
              <m:sty m:val="p"/>
            </m:rPr>
            <m:t>C</m:t>
          </m:r>
          <m:r>
            <m:rPr>
              <m:sty m:val="p"/>
            </m:rPr>
            <m:t>M</m:t>
          </m:r>
          <m:r>
            <m:rPr>
              <m:sty m:val="p"/>
            </m:rPr>
            <m:t>g</m:t>
          </m:r>
          <m:r>
            <m:rPr>
              <m:sty m:val="p"/>
            </m:rPr>
            <m:t>(</m:t>
          </m:r>
          <m:r>
            <m:t>q</m:t>
          </m:r>
          <m:r>
            <m:rPr>
              <m:sty m:val="p"/>
            </m:rPr>
            <m:t>)</m:t>
          </m:r>
        </m:oMath>
      </m:oMathPara>
    </w:p>
    <w:p>
      <w:pPr>
        <w:pStyle w:val="BlockText"/>
      </w:pPr>
      <w:r>
        <w:rPr>
          <w:b/>
          <w:bCs/>
        </w:rPr>
        <w:t xml:space="preserve">[TEOREMA] Regra de maximização de lucro</w:t>
      </w:r>
    </w:p>
    <w:p>
      <w:pPr>
        <w:pStyle w:val="BlockText"/>
      </w:pPr>
      <w:r>
        <w:t xml:space="preserve">A firma maximiza lucro produzindo a quantidade</w:t>
      </w:r>
      <w:r>
        <w:t xml:space="preserve"> </w:t>
      </w:r>
      <m:oMath>
        <m:sSup>
          <m:e>
            <m:r>
              <m:t>q</m:t>
            </m:r>
          </m:e>
          <m:sup>
            <m:r>
              <m:rPr>
                <m:sty m:val="p"/>
              </m:rPr>
              <m:t>*</m:t>
            </m:r>
          </m:sup>
        </m:sSup>
      </m:oMath>
      <w:r>
        <w:t xml:space="preserve"> </w:t>
      </w:r>
      <w:r>
        <w:t xml:space="preserve">em que a</w:t>
      </w:r>
      <w:r>
        <w:t xml:space="preserve"> </w:t>
      </w:r>
      <w:r>
        <w:rPr>
          <w:b/>
          <w:bCs/>
        </w:rPr>
        <w:t xml:space="preserve">receita marginal</w:t>
      </w:r>
      <w:r>
        <w:t xml:space="preserve"> </w:t>
      </w:r>
      <w:r>
        <w:t xml:space="preserve">iguala o</w:t>
      </w:r>
      <w:r>
        <w:t xml:space="preserve"> </w:t>
      </w:r>
      <w:r>
        <w:rPr>
          <w:b/>
          <w:bCs/>
        </w:rPr>
        <w:t xml:space="preserve">custo marginal</w:t>
      </w:r>
      <w:r>
        <w:t xml:space="preserve">:</w:t>
      </w:r>
    </w:p>
    <w:p>
      <w:pPr>
        <w:pStyle w:val="BlockText"/>
      </w:pPr>
      <w:r>
        <w:t xml:space="preserve">$$</w:t>
      </w:r>
    </w:p>
    <w:p>
      <w:pPr>
        <w:pStyle w:val="BlockText"/>
      </w:pPr>
      <w:r>
        <w:t xml:space="preserve">(q^</w:t>
      </w:r>
      <w:r>
        <w:rPr>
          <w:i/>
          <w:iCs/>
        </w:rPr>
        <w:t xml:space="preserve">) =</w:t>
      </w:r>
      <w:r>
        <w:rPr>
          <w:i/>
          <w:iCs/>
        </w:rPr>
        <w:t xml:space="preserve"> </w:t>
      </w:r>
      <w:r>
        <w:rPr>
          <w:i/>
          <w:iCs/>
        </w:rPr>
        <w:t xml:space="preserve">(q^</w:t>
      </w:r>
      <w:r>
        <w:t xml:space="preserve">)</w:t>
      </w:r>
      <w:r>
        <w:t xml:space="preserve"> </w:t>
      </w:r>
      <w:r>
        <w:t xml:space="preserve"> </w:t>
      </w:r>
    </w:p>
    <w:p>
      <w:pPr>
        <w:pStyle w:val="BlockText"/>
      </w:pPr>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A firma produz até o ponto em que o ganho da próxima unidade vendida empata com o custo de produzi-la.</w:t>
      </w:r>
    </w:p>
    <w:p>
      <w:pPr>
        <w:pStyle w:val="BlockText"/>
      </w:pPr>
      <w:r>
        <w:rPr>
          <w:b/>
          <w:bCs/>
        </w:rPr>
        <w:t xml:space="preserve">Pense assim:</w:t>
      </w:r>
      <w:r>
        <w:t xml:space="preserve"> </w:t>
      </w:r>
      <w:r>
        <w:t xml:space="preserve">Pense em uma barraquinha de açaí na praia. Cada copo extra rende R$ 10, mas o custo dos insumos vai subindo (mais polpa, mais gelo, mais copos). Enquanto o próximo copo custar menos de R$ 10 para fazer, vale a pena produzir. Quando o custo do próximo copo alcançar R$ 10, é hora de parar. Esse é o ponto em que receita marginal iguala custo marginal.</w:t>
      </w:r>
    </w:p>
    <w:p>
      <w:pPr>
        <w:pStyle w:val="BlockText"/>
      </w:pPr>
      <w:r>
        <w:rPr>
          <w:b/>
          <w:bCs/>
        </w:rPr>
        <w:t xml:space="preserve">Por que isso importa:</w:t>
      </w:r>
      <w:r>
        <w:t xml:space="preserve"> </w:t>
      </w:r>
      <w:r>
        <w:t xml:space="preserve">A regra RMg = CMg é a bússola de qualquer decisão de produção — de uma microempresa a uma multinacional — e é a base da construção da curva de oferta.</w:t>
      </w:r>
    </w:p>
    <w:p>
      <w:pPr>
        <w:pStyle w:val="BlockText"/>
      </w:pPr>
      <w:r>
        <w:rPr>
          <w:b/>
          <w:bCs/>
        </w:rPr>
        <w:t xml:space="preserve">[INTUICAO ECONOMICA] Intuição Econômica</w:t>
      </w:r>
    </w:p>
    <w:p>
      <w:pPr>
        <w:pStyle w:val="BlockText"/>
      </w:pPr>
      <w:r>
        <w:rPr>
          <w:b/>
          <w:bCs/>
        </w:rPr>
        <w:t xml:space="preserve">P = CMg: produzir até a última unidade se pagar</w:t>
      </w:r>
    </w:p>
    <w:p>
      <w:pPr>
        <w:pStyle w:val="BlockText"/>
      </w:pPr>
      <w:r>
        <w:t xml:space="preserve">Para uma firma tomadora de preços, a regra se simplifica para</w:t>
      </w:r>
      <w:r>
        <w:t xml:space="preserve"> </w:t>
      </w:r>
      <m:oMath>
        <m:r>
          <m:t>p</m:t>
        </m:r>
        <m:r>
          <m:rPr>
            <m:sty m:val="p"/>
          </m:rPr>
          <m:t>=</m:t>
        </m:r>
        <m:r>
          <m:rPr>
            <m:sty m:val="p"/>
          </m:rPr>
          <m:t>C</m:t>
        </m:r>
        <m:r>
          <m:rPr>
            <m:sty m:val="p"/>
          </m:rPr>
          <m:t>M</m:t>
        </m:r>
        <m:r>
          <m:rPr>
            <m:sty m:val="p"/>
          </m:rPr>
          <m:t>g</m:t>
        </m:r>
        <m:r>
          <m:rPr>
            <m:sty m:val="p"/>
          </m:rPr>
          <m:t>(</m:t>
        </m:r>
        <m:sSup>
          <m:e>
            <m:r>
              <m:t>q</m:t>
            </m:r>
          </m:e>
          <m:sup>
            <m:r>
              <m:rPr>
                <m:sty m:val="p"/>
              </m:rPr>
              <m:t>*</m:t>
            </m:r>
          </m:sup>
        </m:sSup>
        <m:r>
          <m:rPr>
            <m:sty m:val="p"/>
          </m:rPr>
          <m:t>)</m:t>
        </m:r>
      </m:oMath>
      <w:r>
        <w:t xml:space="preserve">. A intuição é cirúrgica: cada unidade produzida deve justificar o seu próprio custo. Se a última unidade custa R$ 8 para ser produzida e vende por R$ 10, produza. Se a próxima custaria R$ 12 e ainda vende por R$ 10, não produza. O ponto de equilíbrio é exatamente onde o custo da unidade marginal se iguala ao preço que o mercado paga por ela. Isso não é apenas uma condição matemática — é o princípio do custo de oportunidade aplicado à margem: todo recurso empregado na última unidade tem um uso alternativo cujo valor é exatamente o preço de mercado.</w:t>
      </w:r>
    </w:p>
    <w:p>
      <w:pPr>
        <w:pStyle w:val="BlockText"/>
      </w:pPr>
      <w:r>
        <w:rPr>
          <w:b/>
          <w:bCs/>
        </w:rPr>
        <w:t xml:space="preserve">Exemplo concreto:</w:t>
      </w:r>
      <w:r>
        <w:t xml:space="preserve"> </w:t>
      </w:r>
      <w:r>
        <w:t xml:space="preserve">Uma sojicultora do Mato Grosso que planta em solos de qualidade decrescente enfrenta custo marginal crescente. Com soja a R$ 120/saca, ela planta até o ponto em que o custo de produzir mais uma saca na terra marginal atinge R$ 120. Expandir além disso destrói valor; retrair deixa lucro na mesa.</w:t>
      </w:r>
    </w:p>
    <w:p>
      <w:pPr>
        <w:pStyle w:val="BlockText"/>
      </w:pPr>
      <w:r>
        <w:rPr>
          <w:b/>
          <w:bCs/>
        </w:rPr>
        <w:t xml:space="preserve">[ATENCAO] Cuidado</w:t>
      </w:r>
    </w:p>
    <w:p>
      <w:pPr>
        <w:pStyle w:val="BlockText"/>
      </w:pPr>
      <w:r>
        <w:rPr>
          <w:b/>
          <w:bCs/>
        </w:rPr>
        <w:t xml:space="preserve">P = CMg é necessário, mas não suficiente para maximização de lucro</w:t>
      </w:r>
    </w:p>
    <w:p>
      <w:pPr>
        <w:pStyle w:val="BlockText"/>
      </w:pPr>
      <w:r>
        <w:t xml:space="preserve">A condição de primeira ordem</w:t>
      </w:r>
      <w:r>
        <w:t xml:space="preserve"> </w:t>
      </w:r>
      <m:oMath>
        <m:r>
          <m:t>p</m:t>
        </m:r>
        <m:r>
          <m:rPr>
            <m:sty m:val="p"/>
          </m:rPr>
          <m:t>=</m:t>
        </m:r>
        <m:r>
          <m:rPr>
            <m:sty m:val="p"/>
          </m:rPr>
          <m:t>C</m:t>
        </m:r>
        <m:r>
          <m:rPr>
            <m:sty m:val="p"/>
          </m:rPr>
          <m:t>M</m:t>
        </m:r>
        <m:r>
          <m:rPr>
            <m:sty m:val="p"/>
          </m:rPr>
          <m:t>g</m:t>
        </m:r>
        <m:r>
          <m:rPr>
            <m:sty m:val="p"/>
          </m:rPr>
          <m:t>(</m:t>
        </m:r>
        <m:r>
          <m:t>q</m:t>
        </m:r>
        <m:r>
          <m:rPr>
            <m:sty m:val="p"/>
          </m:rPr>
          <m:t>)</m:t>
        </m:r>
      </m:oMath>
      <w:r>
        <w:t xml:space="preserve"> </w:t>
      </w:r>
      <w:r>
        <w:t xml:space="preserve">identifica</w:t>
      </w:r>
      <w:r>
        <w:t xml:space="preserve"> </w:t>
      </w:r>
      <w:r>
        <w:rPr>
          <w:i/>
          <w:iCs/>
        </w:rPr>
        <w:t xml:space="preserve">candidatos</w:t>
      </w:r>
      <w:r>
        <w:t xml:space="preserve"> </w:t>
      </w:r>
      <w:r>
        <w:t xml:space="preserve">ao ótimo — pontos em que a derivada do lucro é zero. Mas há duas armadilhas frequentes:</w:t>
      </w:r>
    </w:p>
    <w:p>
      <w:pPr>
        <w:pStyle w:val="BlockText"/>
        <w:numPr>
          <w:ilvl w:val="0"/>
          <w:numId w:val="1730"/>
        </w:numPr>
      </w:pPr>
      <w:r>
        <w:rPr>
          <w:b/>
          <w:bCs/>
        </w:rPr>
        <w:t xml:space="preserve">Mínimo disfarçado de máximo:</w:t>
      </w:r>
      <w:r>
        <w:t xml:space="preserve"> </w:t>
      </w:r>
      <w:r>
        <w:t xml:space="preserve">Se na solução da CPO o custo marginal está</w:t>
      </w:r>
      <w:r>
        <w:t xml:space="preserve"> </w:t>
      </w:r>
      <w:r>
        <w:rPr>
          <w:i/>
          <w:iCs/>
        </w:rPr>
        <w:t xml:space="preserve">decrescente</w:t>
      </w:r>
      <w:r>
        <w:t xml:space="preserve"> </w:t>
      </w:r>
      <w:r>
        <w:t xml:space="preserve">(CMg’ &lt; 0), a condição</w:t>
      </w:r>
      <w:r>
        <w:t xml:space="preserve"> </w:t>
      </w:r>
      <m:oMath>
        <m:sSup>
          <m:e>
            <m:r>
              <m:t>π</m:t>
            </m:r>
          </m:e>
          <m:sup>
            <m:r>
              <m:rPr>
                <m:sty m:val="p"/>
              </m:rPr>
              <m:t>″</m:t>
            </m:r>
          </m:sup>
        </m:sSup>
        <m:r>
          <m:rPr>
            <m:sty m:val="p"/>
          </m:rPr>
          <m:t>(</m:t>
        </m:r>
        <m:sSup>
          <m:e>
            <m:r>
              <m:t>q</m:t>
            </m:r>
          </m:e>
          <m:sup>
            <m:r>
              <m:rPr>
                <m:sty m:val="p"/>
              </m:rPr>
              <m:t>*</m:t>
            </m:r>
          </m:sup>
        </m:sSup>
        <m:r>
          <m:rPr>
            <m:sty m:val="p"/>
          </m:rPr>
          <m:t>)</m:t>
        </m:r>
        <m:r>
          <m:rPr>
            <m:sty m:val="p"/>
          </m:rPr>
          <m:t>=</m:t>
        </m:r>
        <m:sSup>
          <m:e>
            <m:r>
              <m:rPr>
                <m:sty m:val="p"/>
              </m:rPr>
              <m:t>R</m:t>
            </m:r>
            <m:r>
              <m:rPr>
                <m:sty m:val="p"/>
              </m:rPr>
              <m:t>M</m:t>
            </m:r>
            <m:r>
              <m:rPr>
                <m:sty m:val="p"/>
              </m:rPr>
              <m:t>g</m:t>
            </m:r>
          </m:e>
          <m:sup>
            <m:r>
              <m:rPr>
                <m:sty m:val="p"/>
              </m:rPr>
              <m:t>′</m:t>
            </m:r>
          </m:sup>
        </m:sSup>
        <m:r>
          <m:rPr>
            <m:sty m:val="p"/>
          </m:rPr>
          <m:t>−</m:t>
        </m:r>
        <m:sSup>
          <m:e>
            <m:r>
              <m:rPr>
                <m:sty m:val="p"/>
              </m:rPr>
              <m:t>C</m:t>
            </m:r>
            <m:r>
              <m:rPr>
                <m:sty m:val="p"/>
              </m:rPr>
              <m:t>M</m:t>
            </m:r>
            <m:r>
              <m:rPr>
                <m:sty m:val="p"/>
              </m:rPr>
              <m:t>g</m:t>
            </m:r>
          </m:e>
          <m:sup>
            <m:r>
              <m:rPr>
                <m:sty m:val="p"/>
              </m:rPr>
              <m:t>′</m:t>
            </m:r>
          </m:sup>
        </m:sSup>
        <m:r>
          <m:rPr>
            <m:sty m:val="p"/>
          </m:rPr>
          <m:t>&gt;</m:t>
        </m:r>
        <m:r>
          <m:t>0</m:t>
        </m:r>
      </m:oMath>
      <w:r>
        <w:t xml:space="preserve"> </w:t>
      </w:r>
      <w:r>
        <w:t xml:space="preserve">indica um</w:t>
      </w:r>
      <w:r>
        <w:t xml:space="preserve"> </w:t>
      </w:r>
      <w:r>
        <w:rPr>
          <w:i/>
          <w:iCs/>
        </w:rPr>
        <w:t xml:space="preserve">mínimo</w:t>
      </w:r>
      <w:r>
        <w:t xml:space="preserve"> </w:t>
      </w:r>
      <w:r>
        <w:t xml:space="preserve">de lucro, não máximo. Graficamente, o CMg cruza o preço de cima para baixo — e não de baixo para cima.</w:t>
      </w:r>
    </w:p>
    <w:p>
      <w:pPr>
        <w:pStyle w:val="BlockText"/>
        <w:numPr>
          <w:ilvl w:val="0"/>
          <w:numId w:val="1730"/>
        </w:numPr>
      </w:pPr>
      <w:r>
        <w:rPr>
          <w:b/>
          <w:bCs/>
        </w:rPr>
        <w:t xml:space="preserve">Solução de canto:</w:t>
      </w:r>
      <w:r>
        <w:t xml:space="preserve"> </w:t>
      </w:r>
      <w:r>
        <w:t xml:space="preserve">O máximo de lucro pode estar em</w:t>
      </w:r>
      <w:r>
        <w:t xml:space="preserve"> </w:t>
      </w:r>
      <m:oMath>
        <m:r>
          <m:t>q</m:t>
        </m:r>
        <m:r>
          <m:rPr>
            <m:sty m:val="p"/>
          </m:rPr>
          <m:t>=</m:t>
        </m:r>
        <m:r>
          <m:t>0</m:t>
        </m:r>
      </m:oMath>
      <w:r>
        <w:t xml:space="preserve"> </w:t>
      </w:r>
      <w:r>
        <w:t xml:space="preserve">(firma fecha) se</w:t>
      </w:r>
      <w:r>
        <w:t xml:space="preserve"> </w:t>
      </w:r>
      <m:oMath>
        <m:r>
          <m:t>p</m:t>
        </m:r>
        <m:r>
          <m:rPr>
            <m:sty m:val="p"/>
          </m:rPr>
          <m:t>&lt;</m:t>
        </m:r>
        <m:sSub>
          <m:e>
            <m:r>
              <m:rPr>
                <m:sty m:val="p"/>
              </m:rPr>
              <m:t>C</m:t>
            </m:r>
            <m:r>
              <m:rPr>
                <m:sty m:val="p"/>
              </m:rPr>
              <m:t>V</m:t>
            </m:r>
            <m:r>
              <m:rPr>
                <m:sty m:val="p"/>
              </m:rPr>
              <m:t>M</m:t>
            </m:r>
            <m:r>
              <m:rPr>
                <m:sty m:val="p"/>
              </m:rPr>
              <m:t>e</m:t>
            </m:r>
          </m:e>
          <m:sub>
            <m:r>
              <m:rPr>
                <m:sty m:val="p"/>
              </m:rPr>
              <m:t>min</m:t>
            </m:r>
          </m:sub>
        </m:sSub>
      </m:oMath>
      <w:r>
        <w:t xml:space="preserve">, mesmo que exista um ponto interior onde CPO é satisfeita.</w:t>
      </w:r>
    </w:p>
    <w:p>
      <w:pPr>
        <w:pStyle w:val="BlockText"/>
      </w:pPr>
      <w:r>
        <w:rPr>
          <w:b/>
          <w:bCs/>
        </w:rPr>
        <w:t xml:space="preserve">Regra mnemônica — CSO (Condição Suficiente de Ordem 2):</w:t>
      </w:r>
      <w:r>
        <w:t xml:space="preserve"> </w:t>
      </w:r>
      <w:r>
        <w:t xml:space="preserve">Para que</w:t>
      </w:r>
      <w:r>
        <w:t xml:space="preserve"> </w:t>
      </w:r>
      <m:oMath>
        <m:sSup>
          <m:e>
            <m:r>
              <m:t>q</m:t>
            </m:r>
          </m:e>
          <m:sup>
            <m:r>
              <m:rPr>
                <m:sty m:val="p"/>
              </m:rPr>
              <m:t>*</m:t>
            </m:r>
          </m:sup>
        </m:sSup>
      </m:oMath>
      <w:r>
        <w:t xml:space="preserve"> </w:t>
      </w:r>
      <w:r>
        <w:t xml:space="preserve">seja um máximo local de lucro, é preciso que</w:t>
      </w:r>
      <w:r>
        <w:t xml:space="preserve"> </w:t>
      </w:r>
      <m:oMath>
        <m:sSup>
          <m:e>
            <m:r>
              <m:rPr>
                <m:sty m:val="p"/>
              </m:rPr>
              <m:t>C</m:t>
            </m:r>
            <m:r>
              <m:rPr>
                <m:sty m:val="p"/>
              </m:rPr>
              <m:t>M</m:t>
            </m:r>
            <m:r>
              <m:rPr>
                <m:sty m:val="p"/>
              </m:rPr>
              <m:t>g</m:t>
            </m:r>
          </m:e>
          <m:sup>
            <m:r>
              <m:rPr>
                <m:sty m:val="p"/>
              </m:rPr>
              <m:t>′</m:t>
            </m:r>
          </m:sup>
        </m:sSup>
        <m:r>
          <m:rPr>
            <m:sty m:val="p"/>
          </m:rPr>
          <m:t>(</m:t>
        </m:r>
        <m:sSup>
          <m:e>
            <m:r>
              <m:t>q</m:t>
            </m:r>
          </m:e>
          <m:sup>
            <m:r>
              <m:rPr>
                <m:sty m:val="p"/>
              </m:rPr>
              <m:t>*</m:t>
            </m:r>
          </m:sup>
        </m:sSup>
        <m:r>
          <m:rPr>
            <m:sty m:val="p"/>
          </m:rPr>
          <m:t>)</m:t>
        </m:r>
        <m:r>
          <m:rPr>
            <m:sty m:val="p"/>
          </m:rPr>
          <m:t>&gt;</m:t>
        </m:r>
        <m:sSup>
          <m:e>
            <m:r>
              <m:rPr>
                <m:sty m:val="p"/>
              </m:rPr>
              <m:t>R</m:t>
            </m:r>
            <m:r>
              <m:rPr>
                <m:sty m:val="p"/>
              </m:rPr>
              <m:t>M</m:t>
            </m:r>
            <m:r>
              <m:rPr>
                <m:sty m:val="p"/>
              </m:rPr>
              <m:t>g</m:t>
            </m:r>
          </m:e>
          <m:sup>
            <m:r>
              <m:rPr>
                <m:sty m:val="p"/>
              </m:rPr>
              <m:t>′</m:t>
            </m:r>
          </m:sup>
        </m:sSup>
        <m:r>
          <m:rPr>
            <m:sty m:val="p"/>
          </m:rPr>
          <m:t>(</m:t>
        </m:r>
        <m:sSup>
          <m:e>
            <m:r>
              <m:t>q</m:t>
            </m:r>
          </m:e>
          <m:sup>
            <m:r>
              <m:rPr>
                <m:sty m:val="p"/>
              </m:rPr>
              <m:t>*</m:t>
            </m:r>
          </m:sup>
        </m:sSup>
        <m:r>
          <m:rPr>
            <m:sty m:val="p"/>
          </m:rPr>
          <m:t>)</m:t>
        </m:r>
      </m:oMath>
      <w:r>
        <w:t xml:space="preserve">, ou seja, o CMg deve estar</w:t>
      </w:r>
      <w:r>
        <w:t xml:space="preserve"> </w:t>
      </w:r>
      <w:r>
        <w:rPr>
          <w:i/>
          <w:iCs/>
        </w:rPr>
        <w:t xml:space="preserve">subindo</w:t>
      </w:r>
      <w:r>
        <w:t xml:space="preserve"> </w:t>
      </w:r>
      <w:r>
        <w:t xml:space="preserve">mais rápido do que o RMg no ponto ótimo. Em concorrência perfeita (</w:t>
      </w:r>
      <m:oMath>
        <m:sSup>
          <m:e>
            <m:r>
              <m:rPr>
                <m:sty m:val="p"/>
              </m:rPr>
              <m:t>R</m:t>
            </m:r>
            <m:r>
              <m:rPr>
                <m:sty m:val="p"/>
              </m:rPr>
              <m:t>M</m:t>
            </m:r>
            <m:r>
              <m:rPr>
                <m:sty m:val="p"/>
              </m:rPr>
              <m:t>g</m:t>
            </m:r>
          </m:e>
          <m:sup>
            <m:r>
              <m:rPr>
                <m:sty m:val="p"/>
              </m:rPr>
              <m:t>′</m:t>
            </m:r>
          </m:sup>
        </m:sSup>
        <m:r>
          <m:rPr>
            <m:sty m:val="p"/>
          </m:rPr>
          <m:t>=</m:t>
        </m:r>
        <m:r>
          <m:t>0</m:t>
        </m:r>
      </m:oMath>
      <w:r>
        <w:t xml:space="preserve">), isso se reduz simplesmente a</w:t>
      </w:r>
      <w:r>
        <w:t xml:space="preserve"> </w:t>
      </w:r>
      <m:oMath>
        <m:sSup>
          <m:e>
            <m:r>
              <m:rPr>
                <m:sty m:val="p"/>
              </m:rPr>
              <m:t>C</m:t>
            </m:r>
            <m:r>
              <m:rPr>
                <m:sty m:val="p"/>
              </m:rPr>
              <m:t>M</m:t>
            </m:r>
            <m:r>
              <m:rPr>
                <m:sty m:val="p"/>
              </m:rPr>
              <m:t>g</m:t>
            </m:r>
          </m:e>
          <m:sup>
            <m:r>
              <m:rPr>
                <m:sty m:val="p"/>
              </m:rPr>
              <m:t>′</m:t>
            </m:r>
          </m:sup>
        </m:sSup>
        <m:r>
          <m:rPr>
            <m:sty m:val="p"/>
          </m:rPr>
          <m:t>(</m:t>
        </m:r>
        <m:sSup>
          <m:e>
            <m:r>
              <m:t>q</m:t>
            </m:r>
          </m:e>
          <m:sup>
            <m:r>
              <m:rPr>
                <m:sty m:val="p"/>
              </m:rPr>
              <m:t>*</m:t>
            </m:r>
          </m:sup>
        </m:sSup>
        <m:r>
          <m:rPr>
            <m:sty m:val="p"/>
          </m:rPr>
          <m:t>)</m:t>
        </m:r>
        <m:r>
          <m:rPr>
            <m:sty m:val="p"/>
          </m:rPr>
          <m:t>&gt;</m:t>
        </m:r>
        <m:r>
          <m:t>0</m:t>
        </m:r>
      </m:oMath>
      <w:r>
        <w:t xml:space="preserve">: o custo marginal deve ser crescente no ótimo.</w:t>
      </w:r>
    </w:p>
    <w:p>
      <w:pPr>
        <w:pStyle w:val="FirstParagraph"/>
      </w:pPr>
      <w:r>
        <w:t xml:space="preserve">[FIGURA INTERATIVA: /micro-book/graficos/cap12/webr-max-lucro.html — versao interativa disponivel online]</w:t>
      </w:r>
    </w:p>
    <w:p>
      <w:pPr>
        <w:pStyle w:val="BodyText"/>
      </w:pPr>
      <w:r>
        <w:rPr>
          <w:b/>
          <w:bCs/>
        </w:rPr>
        <w:t xml:space="preserve">WebR 12.1 — Maximização de lucro:</w:t>
      </w:r>
      <w:r>
        <w:rPr>
          <w:b/>
          <w:bCs/>
        </w:rPr>
        <w:t xml:space="preserve"> </w:t>
      </w:r>
      <m:oMath>
        <m:r>
          <m:t>p</m:t>
        </m:r>
        <m:r>
          <m:rPr>
            <m:sty m:val="p"/>
          </m:rPr>
          <m:t>=</m:t>
        </m:r>
        <m:r>
          <m:rPr>
            <m:sty m:val="p"/>
          </m:rPr>
          <m:t>C</m:t>
        </m:r>
        <m:r>
          <m:rPr>
            <m:sty m:val="p"/>
          </m:rPr>
          <m:t>M</m:t>
        </m:r>
        <m:r>
          <m:rPr>
            <m:sty m:val="p"/>
          </m:rPr>
          <m:t>g</m:t>
        </m:r>
      </m:oMath>
      <w:r>
        <w:rPr>
          <w:b/>
          <w:bCs/>
        </w:rPr>
        <w:t xml:space="preserve">.</w:t>
      </w:r>
      <w:r>
        <w:t xml:space="preserve"> </w:t>
      </w:r>
      <w:r>
        <w:t xml:space="preserve">O código resolve a CPO, verifica a CSO, avalia a decisão de operar e plota as curvas de custo com o ponto ótimo. Altere o preço</w:t>
      </w:r>
      <w:r>
        <w:t xml:space="preserve"> </w:t>
      </w:r>
      <w:r>
        <w:rPr>
          <w:rStyle w:val="VerbatimChar"/>
        </w:rPr>
        <w:t xml:space="preserve">p</w:t>
      </w:r>
      <w:r>
        <w:t xml:space="preserve"> </w:t>
      </w:r>
      <w:r>
        <w:t xml:space="preserve">para ver os três regimes: lucro positivo, prejuízo com operação e fechamento.</w:t>
      </w:r>
    </w:p>
    <w:bookmarkEnd w:id="751"/>
    <w:bookmarkStart w:id="752" w:name="condição-de-segunda-ordem"/>
    <w:p>
      <w:pPr>
        <w:pStyle w:val="Heading4"/>
      </w:pPr>
      <w:r>
        <w:t xml:space="preserve">Condição de segunda ordem</w:t>
      </w:r>
    </w:p>
    <w:p>
      <w:pPr>
        <w:pStyle w:val="FirstParagraph"/>
      </w:pPr>
      <w:r>
        <w:t xml:space="preserve">Para que</w:t>
      </w:r>
      <w:r>
        <w:t xml:space="preserve"> </w:t>
      </w:r>
      <m:oMath>
        <m:sSup>
          <m:e>
            <m:r>
              <m:t>q</m:t>
            </m:r>
          </m:e>
          <m:sup>
            <m:r>
              <m:rPr>
                <m:sty m:val="p"/>
              </m:rPr>
              <m:t>*</m:t>
            </m:r>
          </m:sup>
        </m:sSup>
      </m:oMath>
      <w:r>
        <w:t xml:space="preserve"> </w:t>
      </w:r>
      <w:r>
        <w:t xml:space="preserve">seja um máximo (e não um mínimo), exige-se:</w:t>
      </w:r>
    </w:p>
    <w:p>
      <w:pPr>
        <w:pStyle w:val="BodyText"/>
      </w:pPr>
      <m:oMathPara>
        <m:oMathParaPr>
          <m:jc m:val="center"/>
        </m:oMathParaPr>
        <m:oMath>
          <m:f>
            <m:fPr>
              <m:type m:val="bar"/>
            </m:fPr>
            <m:num>
              <m:sSup>
                <m:e>
                  <m:r>
                    <m:t>d</m:t>
                  </m:r>
                </m:e>
                <m:sup>
                  <m:r>
                    <m:t>2</m:t>
                  </m:r>
                </m:sup>
              </m:sSup>
              <m:r>
                <m:t>π</m:t>
              </m:r>
            </m:num>
            <m:den>
              <m:r>
                <m:t>d</m:t>
              </m:r>
              <m:sSup>
                <m:e>
                  <m:r>
                    <m:t>q</m:t>
                  </m:r>
                </m:e>
                <m:sup>
                  <m:r>
                    <m:t>2</m:t>
                  </m:r>
                </m:sup>
              </m:sSup>
            </m:den>
          </m:f>
          <m:sSub>
            <m:e>
              <m:r>
                <m:rPr>
                  <m:sty m:val="p"/>
                </m:rPr>
                <m:t>|</m:t>
              </m:r>
            </m:e>
            <m:sub>
              <m:r>
                <m:t>q</m:t>
              </m:r>
              <m:r>
                <m:rPr>
                  <m:sty m:val="p"/>
                </m:rPr>
                <m:t>=</m:t>
              </m:r>
              <m:sSup>
                <m:e>
                  <m:r>
                    <m:t>q</m:t>
                  </m:r>
                </m:e>
                <m:sup>
                  <m:r>
                    <m:rPr>
                      <m:sty m:val="p"/>
                    </m:rPr>
                    <m:t>*</m:t>
                  </m:r>
                </m:sup>
              </m:sSup>
            </m:sub>
          </m:sSub>
          <m:r>
            <m:rPr>
              <m:sty m:val="p"/>
            </m:rPr>
            <m:t>&lt;</m:t>
          </m:r>
          <m:r>
            <m:t>0</m:t>
          </m:r>
          <m:r>
            <m:rPr>
              <m:sty m:val="p"/>
            </m:rPr>
            <m:t>⟹</m:t>
          </m:r>
          <m:f>
            <m:fPr>
              <m:type m:val="bar"/>
            </m:fPr>
            <m:num>
              <m:r>
                <m:t>d</m:t>
              </m:r>
              <m:r>
                <m:rPr>
                  <m:sty m:val="p"/>
                </m:rPr>
                <m:t>R</m:t>
              </m:r>
              <m:r>
                <m:rPr>
                  <m:sty m:val="p"/>
                </m:rPr>
                <m:t>M</m:t>
              </m:r>
              <m:r>
                <m:rPr>
                  <m:sty m:val="p"/>
                </m:rPr>
                <m:t>g</m:t>
              </m:r>
            </m:num>
            <m:den>
              <m:r>
                <m:t>d</m:t>
              </m:r>
              <m:r>
                <m:t>q</m:t>
              </m:r>
            </m:den>
          </m:f>
          <m:sSub>
            <m:e>
              <m:r>
                <m:rPr>
                  <m:sty m:val="p"/>
                </m:rPr>
                <m:t>|</m:t>
              </m:r>
            </m:e>
            <m:sub>
              <m:sSup>
                <m:e>
                  <m:r>
                    <m:t>q</m:t>
                  </m:r>
                </m:e>
                <m:sup>
                  <m:r>
                    <m:rPr>
                      <m:sty m:val="p"/>
                    </m:rPr>
                    <m:t>*</m:t>
                  </m:r>
                </m:sup>
              </m:sSup>
            </m:sub>
          </m:sSub>
          <m:r>
            <m:rPr>
              <m:sty m:val="p"/>
            </m:rPr>
            <m:t>&lt;</m:t>
          </m:r>
          <m:f>
            <m:fPr>
              <m:type m:val="bar"/>
            </m:fPr>
            <m:num>
              <m:r>
                <m:t>d</m:t>
              </m:r>
              <m:r>
                <m:rPr>
                  <m:sty m:val="p"/>
                </m:rPr>
                <m:t>C</m:t>
              </m:r>
              <m:r>
                <m:rPr>
                  <m:sty m:val="p"/>
                </m:rPr>
                <m:t>M</m:t>
              </m:r>
              <m:r>
                <m:rPr>
                  <m:sty m:val="p"/>
                </m:rPr>
                <m:t>g</m:t>
              </m:r>
            </m:num>
            <m:den>
              <m:r>
                <m:t>d</m:t>
              </m:r>
              <m:r>
                <m:t>q</m:t>
              </m:r>
            </m:den>
          </m:f>
          <m:sSub>
            <m:e>
              <m:r>
                <m:rPr>
                  <m:sty m:val="p"/>
                </m:rPr>
                <m:t>|</m:t>
              </m:r>
            </m:e>
            <m:sub>
              <m:sSup>
                <m:e>
                  <m:r>
                    <m:t>q</m:t>
                  </m:r>
                </m:e>
                <m:sup>
                  <m:r>
                    <m:rPr>
                      <m:sty m:val="p"/>
                    </m:rPr>
                    <m:t>*</m:t>
                  </m:r>
                </m:sup>
              </m:sSup>
            </m:sub>
          </m:sSub>
        </m:oMath>
      </m:oMathPara>
    </w:p>
    <w:p>
      <w:pPr>
        <w:pStyle w:val="FirstParagraph"/>
      </w:pPr>
      <w:r>
        <w:t xml:space="preserve">A condição de segunda ordem Eq. (eq:12.4) exige que, na quantidade ótima, o custo marginal cresça</w:t>
      </w:r>
      <w:r>
        <w:t xml:space="preserve"> </w:t>
      </w:r>
      <w:r>
        <w:rPr>
          <w:b/>
          <w:bCs/>
        </w:rPr>
        <w:t xml:space="preserve">mais rapidamente</w:t>
      </w:r>
      <w:r>
        <w:t xml:space="preserve"> </w:t>
      </w:r>
      <w:r>
        <w:t xml:space="preserve">que a receita marginal. Graficamente, o CMg deve cruzar o RMg</w:t>
      </w:r>
      <w:r>
        <w:t xml:space="preserve"> </w:t>
      </w:r>
      <w:r>
        <w:rPr>
          <w:b/>
          <w:bCs/>
        </w:rPr>
        <w:t xml:space="preserve">de baixo para cima</w:t>
      </w:r>
      <w:r>
        <w:t xml:space="preserve">. Essa condição é frequentemente negligenciada na resolução de exercícios, mas é essencial: se o CMg cruzar o RMg de cima para baixo, o ponto corresponde a um</w:t>
      </w:r>
      <w:r>
        <w:t xml:space="preserve"> </w:t>
      </w:r>
      <w:r>
        <w:rPr>
          <w:i/>
          <w:iCs/>
        </w:rPr>
        <w:t xml:space="preserve">mínimo</w:t>
      </w:r>
      <w:r>
        <w:t xml:space="preserve"> </w:t>
      </w:r>
      <w:r>
        <w:t xml:space="preserve">de lucro, não a um máximo. Em provas da ANPEC, a condição de segunda ordem é cobrada com frequência, especialmente quando a função de custo ou de demanda é não linear. Note que a CSO está ligada diretamente às propriedades da função custo derivadas no Capítulo 11: quando a tecnologia exibe rendimentos decrescentes de escala no produto relevante, o CMg é crescente, o que garante automaticamente a CSO para a firma tomadora de preços. É por isso que a suposição de rendimentos decrescentes (ou custos marginais crescentes) é tão central para a teoria da oferta competitiva — sem ela, o problema de maximização de lucro pode não ter solução interior (como explorado no Exercício 12.3).</w:t>
      </w:r>
    </w:p>
    <w:bookmarkEnd w:id="752"/>
    <w:bookmarkStart w:id="753" w:name="maximização-de-lucro-com-dois-insumos"/>
    <w:p>
      <w:pPr>
        <w:pStyle w:val="Heading4"/>
      </w:pPr>
      <w:r>
        <w:t xml:space="preserve">Maximização de lucro com dois insumos</w:t>
      </w:r>
    </w:p>
    <w:p>
      <w:pPr>
        <w:pStyle w:val="FirstParagraph"/>
      </w:pPr>
      <w:r>
        <w:t xml:space="preserve">Alternativamente, a firma pode escolher diretamente as quantidades de insumos. O problema é:</w:t>
      </w:r>
    </w:p>
    <w:p>
      <w:pPr>
        <w:pStyle w:val="BodyText"/>
      </w:pPr>
      <m:oMathPara>
        <m:oMathParaPr>
          <m:jc m:val="center"/>
        </m:oMathParaPr>
        <m:oMath>
          <m:limLow>
            <m:e>
              <m:r>
                <m:rPr>
                  <m:sty m:val="p"/>
                </m:rPr>
                <m:t>max</m:t>
              </m:r>
            </m:e>
            <m:lim>
              <m:r>
                <m:t>K</m:t>
              </m:r>
              <m:r>
                <m:rPr>
                  <m:sty m:val="p"/>
                </m:rPr>
                <m:t>,</m:t>
              </m:r>
              <m:r>
                <m:t>L</m:t>
              </m:r>
            </m:lim>
          </m:limLow>
          <m:r>
            <m:t> </m:t>
          </m:r>
          <m:r>
            <m:t>π</m:t>
          </m:r>
          <m:r>
            <m:rPr>
              <m:sty m:val="p"/>
            </m:rPr>
            <m:t>=</m:t>
          </m:r>
          <m:r>
            <m:t>p</m:t>
          </m:r>
          <m:r>
            <m:rPr>
              <m:sty m:val="p"/>
            </m:rPr>
            <m:t>⋅</m:t>
          </m:r>
          <m:r>
            <m:t>f</m:t>
          </m:r>
          <m:r>
            <m:rPr>
              <m:sty m:val="p"/>
            </m:rPr>
            <m:t>(</m:t>
          </m:r>
          <m:r>
            <m:t>K</m:t>
          </m:r>
          <m:r>
            <m:rPr>
              <m:sty m:val="p"/>
            </m:rPr>
            <m:t>,</m:t>
          </m:r>
          <m:r>
            <m:t>L</m:t>
          </m:r>
          <m:r>
            <m:rPr>
              <m:sty m:val="p"/>
            </m:rPr>
            <m:t>)</m:t>
          </m:r>
          <m:r>
            <m:rPr>
              <m:sty m:val="p"/>
            </m:rPr>
            <m:t>−</m:t>
          </m:r>
          <m:r>
            <m:t>w</m:t>
          </m:r>
          <m:r>
            <m:t>L</m:t>
          </m:r>
          <m:r>
            <m:rPr>
              <m:sty m:val="p"/>
            </m:rPr>
            <m:t>−</m:t>
          </m:r>
          <m:r>
            <m:t>v</m:t>
          </m:r>
          <m:r>
            <m:t>K</m:t>
          </m:r>
        </m:oMath>
      </m:oMathPara>
    </w:p>
    <w:p>
      <w:pPr>
        <w:pStyle w:val="FirstParagraph"/>
      </w:pPr>
      <w:r>
        <w:t xml:space="preserve">As condições de primeira ordem são:</w:t>
      </w:r>
    </w:p>
    <w:p>
      <w:pPr>
        <w:pStyle w:val="BodyText"/>
      </w:pPr>
      <w:r>
        <w:t xml:space="preserve">$$
    p \cdot f_L = w \implies \text{VPMg}_L = w
    \label{eq:12.5} \tag{12.5}
    $$</w:t>
      </w:r>
    </w:p>
    <w:p>
      <w:pPr>
        <w:pStyle w:val="FirstParagraph"/>
      </w:pPr>
      <m:oMathPara>
        <m:oMathParaPr>
          <m:jc m:val="center"/>
        </m:oMathParaPr>
        <m:oMath>
          <m:r>
            <m:t>p</m:t>
          </m:r>
          <m:r>
            <m:rPr>
              <m:sty m:val="p"/>
            </m:rPr>
            <m:t>⋅</m:t>
          </m:r>
          <m:sSub>
            <m:e>
              <m:r>
                <m:t>f</m:t>
              </m:r>
            </m:e>
            <m:sub>
              <m:r>
                <m:t>K</m:t>
              </m:r>
            </m:sub>
          </m:sSub>
          <m:r>
            <m:rPr>
              <m:sty m:val="p"/>
            </m:rPr>
            <m:t>=</m:t>
          </m:r>
          <m:r>
            <m:t>v</m:t>
          </m:r>
          <m:r>
            <m:rPr>
              <m:sty m:val="p"/>
            </m:rPr>
            <m:t>⟹</m:t>
          </m:r>
          <m:sSub>
            <m:e>
              <m:r>
                <m:rPr>
                  <m:nor/>
                  <m:sty m:val="p"/>
                </m:rPr>
                <m:t>VPMg</m:t>
              </m:r>
            </m:e>
            <m:sub>
              <m:r>
                <m:t>K</m:t>
              </m:r>
            </m:sub>
          </m:sSub>
          <m:r>
            <m:rPr>
              <m:sty m:val="p"/>
            </m:rPr>
            <m:t>=</m:t>
          </m:r>
          <m:r>
            <m:t>v</m:t>
          </m:r>
        </m:oMath>
      </m:oMathPara>
    </w:p>
    <w:p>
      <w:pPr>
        <w:pStyle w:val="FirstParagraph"/>
      </w:pPr>
      <w:r>
        <w:t xml:space="preserve">onde</w:t>
      </w:r>
      <w:r>
        <w:t xml:space="preserve"> </w:t>
      </w:r>
      <m:oMath>
        <m:r>
          <m:rPr>
            <m:nor/>
            <m:sty m:val="p"/>
          </m:rPr>
          <m:t>VPMg</m:t>
        </m:r>
      </m:oMath>
      <w:r>
        <w:t xml:space="preserve"> </w:t>
      </w:r>
      <w:r>
        <w:t xml:space="preserve">é o</w:t>
      </w:r>
      <w:r>
        <w:t xml:space="preserve"> </w:t>
      </w:r>
      <w:r>
        <w:rPr>
          <w:b/>
          <w:bCs/>
        </w:rPr>
        <w:t xml:space="preserve">valor do produto marginal</w:t>
      </w:r>
      <w:r>
        <w:t xml:space="preserve">. Cada insumo deve ser empregado até o ponto em que o valor de sua contribuição marginal ao produto iguala seu preço. Em termos concretos: a firma contrata trabalhadores enquanto o valor do que cada trabalhador adicional produz (</w:t>
      </w:r>
      <m:oMath>
        <m:r>
          <m:t>p</m:t>
        </m:r>
        <m:r>
          <m:rPr>
            <m:sty m:val="p"/>
          </m:rPr>
          <m:t>⋅</m:t>
        </m:r>
        <m:sSub>
          <m:e>
            <m:r>
              <m:t>f</m:t>
            </m:r>
          </m:e>
          <m:sub>
            <m:r>
              <m:t>L</m:t>
            </m:r>
          </m:sub>
        </m:sSub>
      </m:oMath>
      <w:r>
        <w:t xml:space="preserve">) superar o salário que ela precisa pagar (</w:t>
      </w:r>
      <m:oMath>
        <m:r>
          <m:t>w</m:t>
        </m:r>
      </m:oMath>
      <w:r>
        <w:t xml:space="preserve">). No ponto ótimo, o último trabalhador contratado gera receita adicional exatamente igual ao seu salário — e o mesmo vale para o capital.</w:t>
      </w:r>
    </w:p>
    <w:p>
      <w:pPr>
        <w:pStyle w:val="BodyText"/>
      </w:pPr>
      <w:r>
        <w:t xml:space="preserve">Esse resultado conecta-se diretamente à teoria da distribuição funcional da renda: em equilíbrio competitivo, cada fator recebe o valor do seu produto marginal. A parcela do trabalho no PIB — objeto de intenso debate na macroeconomia desde os resultados de Karabarbounis e Neiman (2014) sobre a queda secular dessa parcela — é, nessa perspectiva teórica, o resultado agregado de milhares de decisões de contratação em que cada firma satisfaz a condição</w:t>
      </w:r>
      <w:r>
        <w:t xml:space="preserve"> </w:t>
      </w:r>
      <m:oMath>
        <m:r>
          <m:t>p</m:t>
        </m:r>
        <m:r>
          <m:rPr>
            <m:sty m:val="p"/>
          </m:rPr>
          <m:t>⋅</m:t>
        </m:r>
        <m:sSub>
          <m:e>
            <m:r>
              <m:t>f</m:t>
            </m:r>
          </m:e>
          <m:sub>
            <m:r>
              <m:t>L</m:t>
            </m:r>
          </m:sub>
        </m:sSub>
        <m:r>
          <m:rPr>
            <m:sty m:val="p"/>
          </m:rPr>
          <m:t>=</m:t>
        </m:r>
        <m:r>
          <m:t>w</m:t>
        </m:r>
      </m:oMath>
      <w:r>
        <w:t xml:space="preserve">. No Brasil, pesquisas usando dados da RAIS (Relação Anual de Informações Sociais) e de firmas do IBGE têm documentado como choques de preços de produtos e de salários afetam a demanda por trabalho exatamente como prevê o modelo do valor do produto marginal — embora com ajustamentos mais lentos do que o modelo estático sugere.</w:t>
      </w:r>
    </w:p>
    <w:p>
      <w:r>
        <w:pict>
          <v:rect style="width:0;height:1.5pt" o:hralign="center" o:hrstd="t" o:hr="t"/>
        </w:pict>
      </w:r>
    </w:p>
    <w:bookmarkEnd w:id="753"/>
    <w:bookmarkEnd w:id="754"/>
    <w:bookmarkStart w:id="757" w:name="X0bd001563085fc35165329ea1ff5c5ecbdbbeef"/>
    <w:p>
      <w:pPr>
        <w:pStyle w:val="Heading3"/>
      </w:pPr>
      <w:r>
        <w:t xml:space="preserve">12.3 O Balde Furado da Receita: Receita Marginal e Elasticidade</w:t>
      </w:r>
    </w:p>
    <w:p>
      <w:pPr>
        <w:pStyle w:val="FirstParagraph"/>
      </w:pPr>
      <w:r>
        <w:t xml:space="preserve">A regra</w:t>
      </w:r>
      <w:r>
        <w:t xml:space="preserve"> </w:t>
      </w:r>
      <w:r>
        <w:t xml:space="preserve">“RMg = CMg”</w:t>
      </w:r>
      <w:r>
        <w:t xml:space="preserve"> </w:t>
      </w:r>
      <w:r>
        <w:t xml:space="preserve">é linda, mas esconde uma assimetria traiçoeira no lado da receita. Para a firma tomadora de preços, a vida é simples: cada unidade extra rende exatamente o preço de mercado, sem drama. Já para a firma com poder de mercado, vender mais é como encher um balde furado — colocar uma unidade extra na prateleira exige</w:t>
      </w:r>
      <w:r>
        <w:t xml:space="preserve"> </w:t>
      </w:r>
      <w:r>
        <w:rPr>
          <w:i/>
          <w:iCs/>
        </w:rPr>
        <w:t xml:space="preserve">baixar o preço de todas as outras</w:t>
      </w:r>
      <w:r>
        <w:t xml:space="preserve">, e essa</w:t>
      </w:r>
      <w:r>
        <w:t xml:space="preserve"> </w:t>
      </w:r>
      <w:r>
        <w:t xml:space="preserve">“conta-gotas de receita perdida”</w:t>
      </w:r>
      <w:r>
        <w:t xml:space="preserve"> </w:t>
      </w:r>
      <w:r>
        <w:t xml:space="preserve">torna a receita marginal menor que o preço. A relação entre receita marginal e elasticidade-preço da demanda, que derivamos a seguir, é uma das mais úteis de toda a microeconomia, pois conecta a decisão de produção da firma à sensibilidade dos consumidores ao preço. Essa relação é o elo central entre os capítulos 12 e 15: quando chegarmos ao monopólio, a fórmula</w:t>
      </w:r>
      <w:r>
        <w:t xml:space="preserve"> </w:t>
      </w:r>
      <m:oMath>
        <m:r>
          <m:rPr>
            <m:sty m:val="p"/>
          </m:rPr>
          <m:t>R</m:t>
        </m:r>
        <m:r>
          <m:rPr>
            <m:sty m:val="p"/>
          </m:rPr>
          <m:t>M</m:t>
        </m:r>
        <m:r>
          <m:rPr>
            <m:sty m:val="p"/>
          </m:rPr>
          <m:t>g</m:t>
        </m:r>
        <m:r>
          <m:rPr>
            <m:sty m:val="p"/>
          </m:rPr>
          <m:t>=</m:t>
        </m:r>
        <m:r>
          <m:t>p</m:t>
        </m:r>
        <m:r>
          <m:rPr>
            <m:sty m:val="p"/>
          </m:rPr>
          <m:t>(</m:t>
        </m:r>
        <m:r>
          <m:t>1</m:t>
        </m:r>
        <m:r>
          <m:rPr>
            <m:sty m:val="p"/>
          </m:rPr>
          <m:t>+</m:t>
        </m:r>
        <m:r>
          <m:t>1</m:t>
        </m:r>
        <m:r>
          <m:rPr>
            <m:sty m:val="p"/>
          </m:rPr>
          <m:t>/</m:t>
        </m:r>
        <m:sSub>
          <m:e>
            <m:r>
              <m:t>ε</m:t>
            </m:r>
          </m:e>
          <m:sub>
            <m:r>
              <m:t>d</m:t>
            </m:r>
          </m:sub>
        </m:sSub>
        <m:r>
          <m:rPr>
            <m:sty m:val="p"/>
          </m:rPr>
          <m:t>)</m:t>
        </m:r>
      </m:oMath>
      <w:r>
        <w:t xml:space="preserve"> </w:t>
      </w:r>
      <w:r>
        <w:t xml:space="preserve">será a chave para derivar o markup de Lerner e quantificar a ineficiência do poder de mercado. Antes de chegar lá, é útil notar que a distinção entre firma tomadora de preços e firma com poder de mercado não é binária — ela é um espectro parametrizado pela elasticidade da demanda individual da firma, que por sua vez depende da estrutura do mercado estudada nos Capítulos 13 a 15.</w:t>
      </w:r>
    </w:p>
    <w:p>
      <w:pPr>
        <w:pStyle w:val="BodyText"/>
      </w:pPr>
      <w:r>
        <w:t xml:space="preserve">[FIGURA INTERATIVA: /micro-book/graficos/cap12/receita-marginal.html — versao interativa disponivel online]</w:t>
      </w:r>
    </w:p>
    <w:p>
      <w:pPr>
        <w:pStyle w:val="BodyText"/>
      </w:pPr>
      <w:r>
        <w:rPr>
          <w:b/>
          <w:bCs/>
        </w:rPr>
        <w:t xml:space="preserve">Figura 12.1 — Receita marginal, demanda e elasticidade.</w:t>
      </w:r>
      <w:r>
        <w:t xml:space="preserve"> </w:t>
      </w:r>
      <w:r>
        <w:t xml:space="preserve">A curva de RMg tem o dobro da inclinação da demanda linear. O ponto verde marca onde</w:t>
      </w:r>
      <w:r>
        <w:t xml:space="preserve"> </w:t>
      </w:r>
      <m:oMath>
        <m:r>
          <m:rPr>
            <m:sty m:val="p"/>
          </m:rPr>
          <m:t>R</m:t>
        </m:r>
        <m:r>
          <m:rPr>
            <m:sty m:val="p"/>
          </m:rPr>
          <m:t>M</m:t>
        </m:r>
        <m:r>
          <m:rPr>
            <m:sty m:val="p"/>
          </m:rPr>
          <m:t>g</m:t>
        </m:r>
        <m:r>
          <m:rPr>
            <m:sty m:val="p"/>
          </m:rPr>
          <m:t>=</m:t>
        </m:r>
        <m:r>
          <m:t>0</m:t>
        </m:r>
      </m:oMath>
      <w:r>
        <w:t xml:space="preserve"> </w:t>
      </w:r>
      <w:r>
        <w:t xml:space="preserve">(elasticidade unitária). Mova o slider</w:t>
      </w:r>
      <w:r>
        <w:t xml:space="preserve"> </w:t>
      </w:r>
      <m:oMath>
        <m:r>
          <m:t>q</m:t>
        </m:r>
      </m:oMath>
      <w:r>
        <w:t xml:space="preserve"> </w:t>
      </w:r>
      <w:r>
        <w:t xml:space="preserve">para ver a relação</w:t>
      </w:r>
      <w:r>
        <w:t xml:space="preserve"> </w:t>
      </w:r>
      <m:oMath>
        <m:r>
          <m:rPr>
            <m:sty m:val="p"/>
          </m:rPr>
          <m:t>R</m:t>
        </m:r>
        <m:r>
          <m:rPr>
            <m:sty m:val="p"/>
          </m:rPr>
          <m:t>M</m:t>
        </m:r>
        <m:r>
          <m:rPr>
            <m:sty m:val="p"/>
          </m:rPr>
          <m:t>g</m:t>
        </m:r>
        <m:r>
          <m:rPr>
            <m:sty m:val="p"/>
          </m:rPr>
          <m:t>=</m:t>
        </m:r>
        <m:r>
          <m:t>p</m:t>
        </m:r>
        <m:r>
          <m:rPr>
            <m:sty m:val="p"/>
          </m:rPr>
          <m:t>(</m:t>
        </m:r>
        <m:r>
          <m:t>1</m:t>
        </m:r>
        <m:r>
          <m:rPr>
            <m:sty m:val="p"/>
          </m:rPr>
          <m:t>+</m:t>
        </m:r>
        <m:r>
          <m:t>1</m:t>
        </m:r>
        <m:r>
          <m:rPr>
            <m:sty m:val="p"/>
          </m:rPr>
          <m:t>/</m:t>
        </m:r>
        <m:sSub>
          <m:e>
            <m:r>
              <m:t>ε</m:t>
            </m:r>
          </m:e>
          <m:sub>
            <m:r>
              <m:t>d</m:t>
            </m:r>
          </m:sub>
        </m:sSub>
        <m:r>
          <m:rPr>
            <m:sty m:val="p"/>
          </m:rPr>
          <m:t>)</m:t>
        </m:r>
      </m:oMath>
      <w:r>
        <w:t xml:space="preserve"> </w:t>
      </w:r>
      <w:r>
        <w:t xml:space="preserve">em cada ponto.</w:t>
      </w:r>
    </w:p>
    <w:bookmarkStart w:id="755" w:name="receita-marginal"/>
    <w:p>
      <w:pPr>
        <w:pStyle w:val="Heading4"/>
      </w:pPr>
      <w:r>
        <w:t xml:space="preserve">Receita marginal</w:t>
      </w:r>
    </w:p>
    <w:p>
      <w:pPr>
        <w:pStyle w:val="FirstParagraph"/>
      </w:pPr>
      <w:r>
        <w:t xml:space="preserve">A</w:t>
      </w:r>
      <w:r>
        <w:t xml:space="preserve"> </w:t>
      </w:r>
      <w:r>
        <w:rPr>
          <w:b/>
          <w:bCs/>
        </w:rPr>
        <w:t xml:space="preserve">receita total</w:t>
      </w:r>
      <w:r>
        <w:t xml:space="preserve"> </w:t>
      </w:r>
      <w:r>
        <w:t xml:space="preserve">é</w:t>
      </w:r>
      <w:r>
        <w:t xml:space="preserve"> </w:t>
      </w:r>
      <m:oMath>
        <m:r>
          <m:t>R</m:t>
        </m:r>
        <m:r>
          <m:t>T</m:t>
        </m:r>
        <m:r>
          <m:rPr>
            <m:sty m:val="p"/>
          </m:rPr>
          <m:t>=</m:t>
        </m:r>
        <m:r>
          <m:t>p</m:t>
        </m:r>
        <m:r>
          <m:rPr>
            <m:sty m:val="p"/>
          </m:rPr>
          <m:t>(</m:t>
        </m:r>
        <m:r>
          <m:t>q</m:t>
        </m:r>
        <m:r>
          <m:rPr>
            <m:sty m:val="p"/>
          </m:rPr>
          <m:t>)</m:t>
        </m:r>
        <m:r>
          <m:rPr>
            <m:sty m:val="p"/>
          </m:rPr>
          <m:t>⋅</m:t>
        </m:r>
        <m:r>
          <m:t>q</m:t>
        </m:r>
      </m:oMath>
      <w:r>
        <w:t xml:space="preserve">. A</w:t>
      </w:r>
      <w:r>
        <w:t xml:space="preserve"> </w:t>
      </w:r>
      <w:r>
        <w:rPr>
          <w:b/>
          <w:bCs/>
        </w:rPr>
        <w:t xml:space="preserve">receita marginal</w:t>
      </w:r>
      <w:r>
        <w:t xml:space="preserve"> </w:t>
      </w:r>
      <w:r>
        <w:t xml:space="preserve">é:</w:t>
      </w:r>
    </w:p>
    <w:p>
      <w:pPr>
        <w:pStyle w:val="BodyText"/>
      </w:pPr>
      <m:oMathPara>
        <m:oMathParaPr>
          <m:jc m:val="center"/>
        </m:oMathParaPr>
        <m:oMath>
          <m:r>
            <m:rPr>
              <m:sty m:val="p"/>
            </m:rPr>
            <m:t>R</m:t>
          </m:r>
          <m:r>
            <m:rPr>
              <m:sty m:val="p"/>
            </m:rPr>
            <m:t>M</m:t>
          </m:r>
          <m:r>
            <m:rPr>
              <m:sty m:val="p"/>
            </m:rPr>
            <m:t>g</m:t>
          </m:r>
          <m:r>
            <m:rPr>
              <m:sty m:val="p"/>
            </m:rPr>
            <m:t>=</m:t>
          </m:r>
          <m:f>
            <m:fPr>
              <m:type m:val="bar"/>
            </m:fPr>
            <m:num>
              <m:r>
                <m:t>d</m:t>
              </m:r>
              <m:r>
                <m:t>R</m:t>
              </m:r>
              <m:r>
                <m:t>T</m:t>
              </m:r>
            </m:num>
            <m:den>
              <m:r>
                <m:t>d</m:t>
              </m:r>
              <m:r>
                <m:t>q</m:t>
              </m:r>
            </m:den>
          </m:f>
          <m:r>
            <m:rPr>
              <m:sty m:val="p"/>
            </m:rPr>
            <m:t>=</m:t>
          </m:r>
          <m:r>
            <m:t>p</m:t>
          </m:r>
          <m:r>
            <m:rPr>
              <m:sty m:val="p"/>
            </m:rPr>
            <m:t>+</m:t>
          </m:r>
          <m:r>
            <m:t>q</m:t>
          </m:r>
          <m:f>
            <m:fPr>
              <m:type m:val="bar"/>
            </m:fPr>
            <m:num>
              <m:r>
                <m:t>d</m:t>
              </m:r>
              <m:r>
                <m:t>p</m:t>
              </m:r>
            </m:num>
            <m:den>
              <m:r>
                <m:t>d</m:t>
              </m:r>
              <m:r>
                <m:t>q</m:t>
              </m:r>
            </m:den>
          </m:f>
        </m:oMath>
      </m:oMathPara>
    </w:p>
    <w:p>
      <w:pPr>
        <w:pStyle w:val="FirstParagraph"/>
      </w:pPr>
      <w:r>
        <w:t xml:space="preserve">Para uma firma</w:t>
      </w:r>
      <w:r>
        <w:t xml:space="preserve"> </w:t>
      </w:r>
      <w:r>
        <w:rPr>
          <w:b/>
          <w:bCs/>
        </w:rPr>
        <w:t xml:space="preserve">tomadora de preços</w:t>
      </w:r>
      <w:r>
        <w:t xml:space="preserve"> </w:t>
      </w:r>
      <w:r>
        <w:t xml:space="preserve">(mercado perfeitamente competitivo),</w:t>
      </w:r>
      <w:r>
        <w:t xml:space="preserve"> </w:t>
      </w:r>
      <m:oMath>
        <m:r>
          <m:t>d</m:t>
        </m:r>
        <m:r>
          <m:t>p</m:t>
        </m:r>
        <m:r>
          <m:rPr>
            <m:sty m:val="p"/>
          </m:rPr>
          <m:t>/</m:t>
        </m:r>
        <m:r>
          <m:t>d</m:t>
        </m:r>
        <m:r>
          <m:t>q</m:t>
        </m:r>
        <m:r>
          <m:rPr>
            <m:sty m:val="p"/>
          </m:rPr>
          <m:t>=</m:t>
        </m:r>
        <m:r>
          <m:t>0</m:t>
        </m:r>
      </m:oMath>
      <w:r>
        <w:t xml:space="preserve">, logo</w:t>
      </w:r>
      <w:r>
        <w:t xml:space="preserve"> </w:t>
      </w:r>
      <m:oMath>
        <m:r>
          <m:rPr>
            <m:sty m:val="p"/>
          </m:rPr>
          <m:t>R</m:t>
        </m:r>
        <m:r>
          <m:rPr>
            <m:sty m:val="p"/>
          </m:rPr>
          <m:t>M</m:t>
        </m:r>
        <m:r>
          <m:rPr>
            <m:sty m:val="p"/>
          </m:rPr>
          <m:t>g</m:t>
        </m:r>
        <m:r>
          <m:rPr>
            <m:sty m:val="p"/>
          </m:rPr>
          <m:t>=</m:t>
        </m:r>
        <m:r>
          <m:t>p</m:t>
        </m:r>
      </m:oMath>
      <w:r>
        <w:t xml:space="preserve">.</w:t>
      </w:r>
    </w:p>
    <w:p>
      <w:pPr>
        <w:pStyle w:val="BodyText"/>
      </w:pPr>
      <w:r>
        <w:t xml:space="preserve">Para uma firma com</w:t>
      </w:r>
      <w:r>
        <w:t xml:space="preserve"> </w:t>
      </w:r>
      <w:r>
        <w:rPr>
          <w:b/>
          <w:bCs/>
        </w:rPr>
        <w:t xml:space="preserve">poder de mercado</w:t>
      </w:r>
      <w:r>
        <w:t xml:space="preserve">,</w:t>
      </w:r>
      <w:r>
        <w:t xml:space="preserve"> </w:t>
      </w:r>
      <m:oMath>
        <m:r>
          <m:t>d</m:t>
        </m:r>
        <m:r>
          <m:t>p</m:t>
        </m:r>
        <m:r>
          <m:rPr>
            <m:sty m:val="p"/>
          </m:rPr>
          <m:t>/</m:t>
        </m:r>
        <m:r>
          <m:t>d</m:t>
        </m:r>
        <m:r>
          <m:t>q</m:t>
        </m:r>
        <m:r>
          <m:rPr>
            <m:sty m:val="p"/>
          </m:rPr>
          <m:t>&lt;</m:t>
        </m:r>
        <m:r>
          <m:t>0</m:t>
        </m:r>
      </m:oMath>
      <w:r>
        <w:t xml:space="preserve">, logo</w:t>
      </w:r>
      <w:r>
        <w:t xml:space="preserve"> </w:t>
      </w:r>
      <m:oMath>
        <m:r>
          <m:rPr>
            <m:sty m:val="p"/>
          </m:rPr>
          <m:t>R</m:t>
        </m:r>
        <m:r>
          <m:rPr>
            <m:sty m:val="p"/>
          </m:rPr>
          <m:t>M</m:t>
        </m:r>
        <m:r>
          <m:rPr>
            <m:sty m:val="p"/>
          </m:rPr>
          <m:t>g</m:t>
        </m:r>
        <m:r>
          <m:rPr>
            <m:sty m:val="p"/>
          </m:rPr>
          <m:t>&lt;</m:t>
        </m:r>
        <m:r>
          <m:t>p</m:t>
        </m:r>
      </m:oMath>
      <w:r>
        <w:t xml:space="preserve">.</w:t>
      </w:r>
    </w:p>
    <w:bookmarkEnd w:id="755"/>
    <w:bookmarkStart w:id="756" w:name="Xcd2cd59566680d6572feb3049c1faadcebe2a04"/>
    <w:p>
      <w:pPr>
        <w:pStyle w:val="Heading4"/>
      </w:pPr>
      <w:r>
        <w:t xml:space="preserve">Relação entre RMg e elasticidade-preço da demanda</w:t>
      </w:r>
    </w:p>
    <w:p>
      <w:pPr>
        <w:pStyle w:val="BlockText"/>
      </w:pPr>
      <w:r>
        <w:rPr>
          <w:b/>
          <w:bCs/>
        </w:rPr>
        <w:t xml:space="preserve">[DEFINICAO] Receita marginal e elasticidade</w:t>
      </w:r>
    </w:p>
    <w:p>
      <w:pPr>
        <w:pStyle w:val="BlockText"/>
      </w:pPr>
      <w:r>
        <w:t xml:space="preserve">A receita marginal pode ser expressa em função da elasticidade-preço da demanda</w:t>
      </w:r>
      <w:r>
        <w:t xml:space="preserve"> </w:t>
      </w:r>
      <m:oMath>
        <m:sSub>
          <m:e>
            <m:r>
              <m:t>ε</m:t>
            </m:r>
          </m:e>
          <m:sub>
            <m:r>
              <m:t>d</m:t>
            </m:r>
          </m:sub>
        </m:sSub>
      </m:oMath>
      <w:r>
        <w:t xml:space="preserve"> </w:t>
      </w:r>
      <w:r>
        <w:t xml:space="preserve">(definida como negativa, i.e.,</w:t>
      </w:r>
      <w:r>
        <w:t xml:space="preserve"> </w:t>
      </w:r>
      <m:oMath>
        <m:sSub>
          <m:e>
            <m:r>
              <m:t>ε</m:t>
            </m:r>
          </m:e>
          <m:sub>
            <m:r>
              <m:t>d</m:t>
            </m:r>
          </m:sub>
        </m:sSub>
        <m:r>
          <m:rPr>
            <m:sty m:val="p"/>
          </m:rPr>
          <m:t>&lt;</m:t>
        </m:r>
        <m:r>
          <m:t>0</m:t>
        </m:r>
      </m:oMath>
      <w:r>
        <w:t xml:space="preserve">):</w:t>
      </w:r>
    </w:p>
    <w:p>
      <w:pPr>
        <w:pStyle w:val="BlockText"/>
      </w:pPr>
      <w:r>
        <w:t xml:space="preserve">$$</w:t>
      </w:r>
    </w:p>
    <w:p>
      <w:pPr>
        <w:pStyle w:val="BlockText"/>
      </w:pPr>
      <w:r>
        <w:t xml:space="preserve"> </w:t>
      </w:r>
      <w:r>
        <w:t xml:space="preserve">= p</w:t>
      </w:r>
      <w:r>
        <w:t xml:space="preserve">(1 +</w:t>
      </w:r>
      <w:r>
        <w:t xml:space="preserve"> </w:t>
      </w:r>
      <w:r>
        <w:t xml:space="preserve">) = p</w:t>
      </w:r>
      <w:r>
        <w:t xml:space="preserve">(1 -</w:t>
      </w:r>
      <w:r>
        <w:t xml:space="preserve"> </w:t>
      </w:r>
      <w:r>
        <w:t xml:space="preserve">)</w:t>
      </w:r>
      <w:r>
        <w:t xml:space="preserve"> </w:t>
      </w:r>
      <w:r>
        <w:t xml:space="preserve"> </w:t>
      </w:r>
    </w:p>
    <w:p>
      <w:pPr>
        <w:pStyle w:val="BlockText"/>
      </w:pPr>
      <w:r>
        <w:t xml:space="preserve">$$</w:t>
      </w:r>
    </w:p>
    <w:p>
      <w:pPr>
        <w:pStyle w:val="FirstParagraph"/>
      </w:pPr>
      <w:r>
        <w:t xml:space="preserve">A derivação é direta:</w:t>
      </w:r>
    </w:p>
    <w:p>
      <w:pPr>
        <w:pStyle w:val="BodyText"/>
      </w:pPr>
      <m:oMathPara>
        <m:oMathParaPr>
          <m:jc m:val="center"/>
        </m:oMathParaPr>
        <m:oMath>
          <m:r>
            <m:rPr>
              <m:sty m:val="p"/>
            </m:rPr>
            <m:t>R</m:t>
          </m:r>
          <m:r>
            <m:rPr>
              <m:sty m:val="p"/>
            </m:rPr>
            <m:t>M</m:t>
          </m:r>
          <m:r>
            <m:rPr>
              <m:sty m:val="p"/>
            </m:rPr>
            <m:t>g</m:t>
          </m:r>
          <m:r>
            <m:rPr>
              <m:sty m:val="p"/>
            </m:rPr>
            <m:t>=</m:t>
          </m:r>
          <m:r>
            <m:t>p</m:t>
          </m:r>
          <m:r>
            <m:rPr>
              <m:sty m:val="p"/>
            </m:rPr>
            <m:t>+</m:t>
          </m:r>
          <m:r>
            <m:t>q</m:t>
          </m:r>
          <m:f>
            <m:fPr>
              <m:type m:val="bar"/>
            </m:fPr>
            <m:num>
              <m:r>
                <m:t>d</m:t>
              </m:r>
              <m:r>
                <m:t>p</m:t>
              </m:r>
            </m:num>
            <m:den>
              <m:r>
                <m:t>d</m:t>
              </m:r>
              <m:r>
                <m:t>q</m:t>
              </m:r>
            </m:den>
          </m:f>
          <m:r>
            <m:rPr>
              <m:sty m:val="p"/>
            </m:rPr>
            <m:t>=</m:t>
          </m:r>
          <m:r>
            <m:t>p</m:t>
          </m:r>
          <m:d>
            <m:dPr>
              <m:begChr m:val="("/>
              <m:sepChr m:val=""/>
              <m:endChr m:val=")"/>
              <m:grow/>
            </m:dPr>
            <m:e>
              <m:r>
                <m:t>1</m:t>
              </m:r>
              <m:r>
                <m:rPr>
                  <m:sty m:val="p"/>
                </m:rPr>
                <m:t>+</m:t>
              </m:r>
              <m:f>
                <m:fPr>
                  <m:type m:val="bar"/>
                </m:fPr>
                <m:num>
                  <m:r>
                    <m:t>q</m:t>
                  </m:r>
                </m:num>
                <m:den>
                  <m:r>
                    <m:t>p</m:t>
                  </m:r>
                </m:den>
              </m:f>
              <m:f>
                <m:fPr>
                  <m:type m:val="bar"/>
                </m:fPr>
                <m:num>
                  <m:r>
                    <m:t>d</m:t>
                  </m:r>
                  <m:r>
                    <m:t>p</m:t>
                  </m:r>
                </m:num>
                <m:den>
                  <m:r>
                    <m:t>d</m:t>
                  </m:r>
                  <m:r>
                    <m:t>q</m:t>
                  </m:r>
                </m:den>
              </m:f>
            </m:e>
          </m:d>
          <m:r>
            <m:rPr>
              <m:sty m:val="p"/>
            </m:rPr>
            <m:t>=</m:t>
          </m:r>
          <m:r>
            <m:t>p</m:t>
          </m:r>
          <m:d>
            <m:dPr>
              <m:begChr m:val="("/>
              <m:sepChr m:val=""/>
              <m:endChr m:val=")"/>
              <m:grow/>
            </m:dPr>
            <m:e>
              <m:r>
                <m:t>1</m:t>
              </m:r>
              <m:r>
                <m:rPr>
                  <m:sty m:val="p"/>
                </m:rPr>
                <m:t>+</m:t>
              </m:r>
              <m:f>
                <m:fPr>
                  <m:type m:val="bar"/>
                </m:fPr>
                <m:num>
                  <m:r>
                    <m:t>1</m:t>
                  </m:r>
                </m:num>
                <m:den>
                  <m:sSub>
                    <m:e>
                      <m:r>
                        <m:t>ε</m:t>
                      </m:r>
                    </m:e>
                    <m:sub>
                      <m:r>
                        <m:t>d</m:t>
                      </m:r>
                    </m:sub>
                  </m:sSub>
                </m:den>
              </m:f>
            </m:e>
          </m:d>
        </m:oMath>
      </m:oMathPara>
    </w:p>
    <w:p>
      <w:pPr>
        <w:pStyle w:val="FirstParagraph"/>
      </w:pPr>
      <w:r>
        <w:t xml:space="preserve">onde</w:t>
      </w:r>
      <w:r>
        <w:t xml:space="preserve"> </w:t>
      </w:r>
      <m:oMath>
        <m:sSub>
          <m:e>
            <m:r>
              <m:t>ε</m:t>
            </m:r>
          </m:e>
          <m:sub>
            <m:r>
              <m:t>d</m:t>
            </m:r>
          </m:sub>
        </m:sSub>
        <m:r>
          <m:rPr>
            <m:sty m:val="p"/>
          </m:rPr>
          <m:t>=</m:t>
        </m:r>
        <m:f>
          <m:fPr>
            <m:type m:val="bar"/>
          </m:fPr>
          <m:num>
            <m:r>
              <m:t>d</m:t>
            </m:r>
            <m:r>
              <m:t>q</m:t>
            </m:r>
          </m:num>
          <m:den>
            <m:r>
              <m:t>d</m:t>
            </m:r>
            <m:r>
              <m:t>p</m:t>
            </m:r>
          </m:den>
        </m:f>
        <m:r>
          <m:rPr>
            <m:sty m:val="p"/>
          </m:rPr>
          <m:t>⋅</m:t>
        </m:r>
        <m:f>
          <m:fPr>
            <m:type m:val="bar"/>
          </m:fPr>
          <m:num>
            <m:r>
              <m:t>p</m:t>
            </m:r>
          </m:num>
          <m:den>
            <m:r>
              <m:t>q</m:t>
            </m:r>
          </m:den>
        </m:f>
      </m:oMath>
      <w:r>
        <w:t xml:space="preserve"> </w:t>
      </w:r>
      <w:r>
        <w:t xml:space="preserve">é a elasticidade-preço da demanda.</w:t>
      </w:r>
    </w:p>
    <w:p>
      <w:pPr>
        <w:pStyle w:val="BodyText"/>
      </w:pPr>
      <w:r>
        <w:rPr>
          <w:b/>
          <w:bCs/>
        </w:rPr>
        <w:t xml:space="preserve">Implicações:</w:t>
      </w:r>
    </w:p>
    <w:p>
      <w:pPr>
        <w:pStyle w:val="Compact"/>
        <w:numPr>
          <w:ilvl w:val="0"/>
          <w:numId w:val="1731"/>
        </w:numPr>
      </w:pPr>
      <w:r>
        <w:t xml:space="preserve">Se</w:t>
      </w:r>
      <w:r>
        <w:t xml:space="preserve"> </w:t>
      </w:r>
      <m:oMath>
        <m:r>
          <m:rPr>
            <m:sty m:val="p"/>
          </m:rPr>
          <m:t>|</m:t>
        </m:r>
        <m:sSub>
          <m:e>
            <m:r>
              <m:t>ε</m:t>
            </m:r>
          </m:e>
          <m:sub>
            <m:r>
              <m:t>d</m:t>
            </m:r>
          </m:sub>
        </m:sSub>
        <m:r>
          <m:rPr>
            <m:sty m:val="p"/>
          </m:rPr>
          <m:t>|</m:t>
        </m:r>
        <m:r>
          <m:rPr>
            <m:sty m:val="p"/>
          </m:rPr>
          <m:t>&gt;</m:t>
        </m:r>
        <m:r>
          <m:t>1</m:t>
        </m:r>
      </m:oMath>
      <w:r>
        <w:t xml:space="preserve"> </w:t>
      </w:r>
      <w:r>
        <w:t xml:space="preserve">(demanda elástica):</w:t>
      </w:r>
      <w:r>
        <w:t xml:space="preserve"> </w:t>
      </w:r>
      <m:oMath>
        <m:r>
          <m:rPr>
            <m:sty m:val="p"/>
          </m:rPr>
          <m:t>R</m:t>
        </m:r>
        <m:r>
          <m:rPr>
            <m:sty m:val="p"/>
          </m:rPr>
          <m:t>M</m:t>
        </m:r>
        <m:r>
          <m:rPr>
            <m:sty m:val="p"/>
          </m:rPr>
          <m:t>g</m:t>
        </m:r>
        <m:r>
          <m:rPr>
            <m:sty m:val="p"/>
          </m:rPr>
          <m:t>&gt;</m:t>
        </m:r>
        <m:r>
          <m:t>0</m:t>
        </m:r>
      </m:oMath>
      <w:r>
        <w:t xml:space="preserve"> </w:t>
      </w:r>
      <w:r>
        <w:t xml:space="preserve">— aumentar a produção eleva a receita total.</w:t>
      </w:r>
    </w:p>
    <w:p>
      <w:pPr>
        <w:pStyle w:val="Compact"/>
        <w:numPr>
          <w:ilvl w:val="0"/>
          <w:numId w:val="1731"/>
        </w:numPr>
      </w:pPr>
      <w:r>
        <w:t xml:space="preserve">Se</w:t>
      </w:r>
      <w:r>
        <w:t xml:space="preserve"> </w:t>
      </w:r>
      <m:oMath>
        <m:r>
          <m:rPr>
            <m:sty m:val="p"/>
          </m:rPr>
          <m:t>|</m:t>
        </m:r>
        <m:sSub>
          <m:e>
            <m:r>
              <m:t>ε</m:t>
            </m:r>
          </m:e>
          <m:sub>
            <m:r>
              <m:t>d</m:t>
            </m:r>
          </m:sub>
        </m:sSub>
        <m:r>
          <m:rPr>
            <m:sty m:val="p"/>
          </m:rPr>
          <m:t>|</m:t>
        </m:r>
        <m:r>
          <m:rPr>
            <m:sty m:val="p"/>
          </m:rPr>
          <m:t>=</m:t>
        </m:r>
        <m:r>
          <m:t>1</m:t>
        </m:r>
      </m:oMath>
      <w:r>
        <w:t xml:space="preserve"> </w:t>
      </w:r>
      <w:r>
        <w:t xml:space="preserve">(elasticidade unitária):</w:t>
      </w:r>
      <w:r>
        <w:t xml:space="preserve"> </w:t>
      </w:r>
      <m:oMath>
        <m:r>
          <m:rPr>
            <m:sty m:val="p"/>
          </m:rPr>
          <m:t>R</m:t>
        </m:r>
        <m:r>
          <m:rPr>
            <m:sty m:val="p"/>
          </m:rPr>
          <m:t>M</m:t>
        </m:r>
        <m:r>
          <m:rPr>
            <m:sty m:val="p"/>
          </m:rPr>
          <m:t>g</m:t>
        </m:r>
        <m:r>
          <m:rPr>
            <m:sty m:val="p"/>
          </m:rPr>
          <m:t>=</m:t>
        </m:r>
        <m:r>
          <m:t>0</m:t>
        </m:r>
      </m:oMath>
      <w:r>
        <w:t xml:space="preserve"> </w:t>
      </w:r>
      <w:r>
        <w:t xml:space="preserve">— receita total é máxima.</w:t>
      </w:r>
    </w:p>
    <w:p>
      <w:pPr>
        <w:pStyle w:val="Compact"/>
        <w:numPr>
          <w:ilvl w:val="0"/>
          <w:numId w:val="1731"/>
        </w:numPr>
      </w:pPr>
      <w:r>
        <w:t xml:space="preserve">Se</w:t>
      </w:r>
      <w:r>
        <w:t xml:space="preserve"> </w:t>
      </w:r>
      <m:oMath>
        <m:r>
          <m:rPr>
            <m:sty m:val="p"/>
          </m:rPr>
          <m:t>|</m:t>
        </m:r>
        <m:sSub>
          <m:e>
            <m:r>
              <m:t>ε</m:t>
            </m:r>
          </m:e>
          <m:sub>
            <m:r>
              <m:t>d</m:t>
            </m:r>
          </m:sub>
        </m:sSub>
        <m:r>
          <m:rPr>
            <m:sty m:val="p"/>
          </m:rPr>
          <m:t>|</m:t>
        </m:r>
        <m:r>
          <m:rPr>
            <m:sty m:val="p"/>
          </m:rPr>
          <m:t>&lt;</m:t>
        </m:r>
        <m:r>
          <m:t>1</m:t>
        </m:r>
      </m:oMath>
      <w:r>
        <w:t xml:space="preserve"> </w:t>
      </w:r>
      <w:r>
        <w:t xml:space="preserve">(demanda inelástica):</w:t>
      </w:r>
      <w:r>
        <w:t xml:space="preserve"> </w:t>
      </w:r>
      <m:oMath>
        <m:r>
          <m:rPr>
            <m:sty m:val="p"/>
          </m:rPr>
          <m:t>R</m:t>
        </m:r>
        <m:r>
          <m:rPr>
            <m:sty m:val="p"/>
          </m:rPr>
          <m:t>M</m:t>
        </m:r>
        <m:r>
          <m:rPr>
            <m:sty m:val="p"/>
          </m:rPr>
          <m:t>g</m:t>
        </m:r>
        <m:r>
          <m:rPr>
            <m:sty m:val="p"/>
          </m:rPr>
          <m:t>&lt;</m:t>
        </m:r>
        <m:r>
          <m:t>0</m:t>
        </m:r>
      </m:oMath>
      <w:r>
        <w:t xml:space="preserve"> </w:t>
      </w:r>
      <w:r>
        <w:t xml:space="preserve">— aumentar a produção reduz a receita total.</w:t>
      </w:r>
    </w:p>
    <w:p>
      <w:pPr>
        <w:pStyle w:val="BlockText"/>
      </w:pPr>
      <w:r>
        <w:rPr>
          <w:b/>
          <w:bCs/>
        </w:rPr>
        <w:t xml:space="preserve">[NOTA] Implicação para precificação</w:t>
      </w:r>
    </w:p>
    <w:p>
      <w:pPr>
        <w:pStyle w:val="BlockText"/>
      </w:pPr>
      <w:r>
        <w:t xml:space="preserve">Uma firma maximizadora de lucro com poder de mercado</w:t>
      </w:r>
      <w:r>
        <w:t xml:space="preserve"> </w:t>
      </w:r>
      <w:r>
        <w:rPr>
          <w:b/>
          <w:bCs/>
        </w:rPr>
        <w:t xml:space="preserve">nunca</w:t>
      </w:r>
      <w:r>
        <w:t xml:space="preserve"> </w:t>
      </w:r>
      <w:r>
        <w:t xml:space="preserve">opera na porção inelástica da curva de demanda (onde</w:t>
      </w:r>
      <w:r>
        <w:t xml:space="preserve"> </w:t>
      </w:r>
      <m:oMath>
        <m:r>
          <m:rPr>
            <m:sty m:val="p"/>
          </m:rPr>
          <m:t>|</m:t>
        </m:r>
        <m:sSub>
          <m:e>
            <m:r>
              <m:t>ε</m:t>
            </m:r>
          </m:e>
          <m:sub>
            <m:r>
              <m:t>d</m:t>
            </m:r>
          </m:sub>
        </m:sSub>
        <m:r>
          <m:rPr>
            <m:sty m:val="p"/>
          </m:rPr>
          <m:t>|</m:t>
        </m:r>
        <m:r>
          <m:rPr>
            <m:sty m:val="p"/>
          </m:rPr>
          <m:t>&lt;</m:t>
        </m:r>
        <m:r>
          <m:t>1</m:t>
        </m:r>
      </m:oMath>
      <w:r>
        <w:t xml:space="preserve">), pois nessa região</w:t>
      </w:r>
      <w:r>
        <w:t xml:space="preserve"> </w:t>
      </w:r>
      <m:oMath>
        <m:r>
          <m:rPr>
            <m:sty m:val="p"/>
          </m:rPr>
          <m:t>R</m:t>
        </m:r>
        <m:r>
          <m:rPr>
            <m:sty m:val="p"/>
          </m:rPr>
          <m:t>M</m:t>
        </m:r>
        <m:r>
          <m:rPr>
            <m:sty m:val="p"/>
          </m:rPr>
          <m:t>g</m:t>
        </m:r>
        <m:r>
          <m:rPr>
            <m:sty m:val="p"/>
          </m:rPr>
          <m:t>&lt;</m:t>
        </m:r>
        <m:r>
          <m:t>0</m:t>
        </m:r>
      </m:oMath>
      <w:r>
        <w:t xml:space="preserve">, enquanto</w:t>
      </w:r>
      <w:r>
        <w:t xml:space="preserve"> </w:t>
      </w:r>
      <m:oMath>
        <m:r>
          <m:rPr>
            <m:sty m:val="p"/>
          </m:rPr>
          <m:t>C</m:t>
        </m:r>
        <m:r>
          <m:rPr>
            <m:sty m:val="p"/>
          </m:rPr>
          <m:t>M</m:t>
        </m:r>
        <m:r>
          <m:rPr>
            <m:sty m:val="p"/>
          </m:rPr>
          <m:t>g</m:t>
        </m:r>
        <m:r>
          <m:rPr>
            <m:sty m:val="p"/>
          </m:rPr>
          <m:t>&gt;</m:t>
        </m:r>
        <m:r>
          <m:t>0</m:t>
        </m:r>
      </m:oMath>
      <w:r>
        <w:t xml:space="preserve">. Reduzir a produção elevaria simultaneamente a receita e reduziria os custos, aumentando o lucro. Esse resultado tem uma implicação prática direta: se um monopolista está operando na região inelástica, ele não está maximizando lucro — um diagnóstico útil em análises de regulação e defesa da concorrência.</w:t>
      </w:r>
    </w:p>
    <w:p>
      <w:pPr>
        <w:pStyle w:val="FirstParagraph"/>
      </w:pPr>
      <w:r>
        <w:t xml:space="preserve">O</w:t>
      </w:r>
      <w:r>
        <w:t xml:space="preserve"> </w:t>
      </w:r>
      <w:r>
        <w:rPr>
          <w:b/>
          <w:bCs/>
        </w:rPr>
        <w:t xml:space="preserve">índice de Lerner</w:t>
      </w:r>
      <w:r>
        <w:t xml:space="preserve">, definido como</w:t>
      </w:r>
    </w:p>
    <w:p>
      <w:pPr>
        <w:pStyle w:val="BodyText"/>
      </w:pPr>
      <m:oMathPara>
        <m:oMathParaPr>
          <m:jc m:val="center"/>
        </m:oMathParaPr>
        <m:oMath>
          <m:r>
            <m:t>L</m:t>
          </m:r>
          <m:r>
            <m:rPr>
              <m:sty m:val="p"/>
            </m:rPr>
            <m:t>=</m:t>
          </m:r>
          <m:f>
            <m:fPr>
              <m:type m:val="bar"/>
            </m:fPr>
            <m:num>
              <m:r>
                <m:t>p</m:t>
              </m:r>
              <m:r>
                <m:rPr>
                  <m:sty m:val="p"/>
                </m:rPr>
                <m:t>−</m:t>
              </m:r>
              <m:r>
                <m:rPr>
                  <m:sty m:val="p"/>
                </m:rPr>
                <m:t>C</m:t>
              </m:r>
              <m:r>
                <m:rPr>
                  <m:sty m:val="p"/>
                </m:rPr>
                <m:t>M</m:t>
              </m:r>
              <m:r>
                <m:rPr>
                  <m:sty m:val="p"/>
                </m:rPr>
                <m:t>g</m:t>
              </m:r>
            </m:num>
            <m:den>
              <m:r>
                <m:t>p</m:t>
              </m:r>
            </m:den>
          </m:f>
          <m:r>
            <m:rPr>
              <m:sty m:val="p"/>
            </m:rPr>
            <m:t>=</m:t>
          </m:r>
          <m:r>
            <m:rPr>
              <m:sty m:val="p"/>
            </m:rPr>
            <m:t>−</m:t>
          </m:r>
          <m:f>
            <m:fPr>
              <m:type m:val="bar"/>
            </m:fPr>
            <m:num>
              <m:r>
                <m:t>1</m:t>
              </m:r>
            </m:num>
            <m:den>
              <m:sSub>
                <m:e>
                  <m:r>
                    <m:t>ε</m:t>
                  </m:r>
                </m:e>
                <m:sub>
                  <m:r>
                    <m:t>d</m:t>
                  </m:r>
                </m:sub>
              </m:sSub>
            </m:den>
          </m:f>
        </m:oMath>
      </m:oMathPara>
    </w:p>
    <w:p>
      <w:pPr>
        <w:pStyle w:val="FirstParagraph"/>
      </w:pPr>
      <w:r>
        <w:t xml:space="preserve">mede o grau de poder de mercado da firma: varia de zero (concorrência perfeita,</w:t>
      </w:r>
      <w:r>
        <w:t xml:space="preserve"> </w:t>
      </w:r>
      <m:oMath>
        <m:r>
          <m:rPr>
            <m:sty m:val="p"/>
          </m:rPr>
          <m:t>|</m:t>
        </m:r>
        <m:sSub>
          <m:e>
            <m:r>
              <m:t>ε</m:t>
            </m:r>
          </m:e>
          <m:sub>
            <m:r>
              <m:t>d</m:t>
            </m:r>
          </m:sub>
        </m:sSub>
        <m:r>
          <m:rPr>
            <m:sty m:val="p"/>
          </m:rPr>
          <m:t>|</m:t>
        </m:r>
        <m:r>
          <m:rPr>
            <m:sty m:val="p"/>
          </m:rPr>
          <m:t>→</m:t>
        </m:r>
        <m:r>
          <m:rPr>
            <m:sty m:val="p"/>
          </m:rPr>
          <m:t>∞</m:t>
        </m:r>
      </m:oMath>
      <w:r>
        <w:t xml:space="preserve">) até valores próximos de um (monopolista com demanda muito inelástica). No Brasil, o Conselho Administrativo de Defesa Econômica (CADE) utiliza métricas derivadas do índice de Lerner em análises de atos de concentração e casos de conduta anticompetitiva. Setores com índice de Lerner elevado — como telecomunicações, distribuição de energia e combustíveis — são objeto de regulação econômica específica, pois o markup sobre o custo marginal representa uma transferência de renda do consumidor para o produtor que excede a compensação pela remuneração normal do capital.</w:t>
      </w:r>
    </w:p>
    <w:p>
      <w:pPr>
        <w:pStyle w:val="BlockText"/>
      </w:pPr>
      <w:r>
        <w:rPr>
          <w:b/>
          <w:bCs/>
        </w:rPr>
        <w:t xml:space="preserve">[EXERCICIO RESOLVIDO] Exercício Resolvido 12.1 — Receita marginal, elasticidade e markup</w:t>
      </w:r>
    </w:p>
    <w:p>
      <w:pPr>
        <w:pStyle w:val="BlockText"/>
      </w:pPr>
      <w:r>
        <w:rPr>
          <w:b/>
          <w:bCs/>
        </w:rPr>
        <w:t xml:space="preserve">Enunciado:</w:t>
      </w:r>
      <w:r>
        <w:t xml:space="preserve"> </w:t>
      </w:r>
      <w:r>
        <w:t xml:space="preserve">Um monopolista enfrenta a demanda</w:t>
      </w:r>
      <w:r>
        <w:t xml:space="preserve"> </w:t>
      </w:r>
      <m:oMath>
        <m:r>
          <m:t>p</m:t>
        </m:r>
        <m:r>
          <m:rPr>
            <m:sty m:val="p"/>
          </m:rPr>
          <m:t>=</m:t>
        </m:r>
        <m:r>
          <m:t>100</m:t>
        </m:r>
        <m:r>
          <m:rPr>
            <m:sty m:val="p"/>
          </m:rPr>
          <m:t>−</m:t>
        </m:r>
        <m:r>
          <m:t>2</m:t>
        </m:r>
        <m:r>
          <m:t>q</m:t>
        </m:r>
      </m:oMath>
      <w:r>
        <w:t xml:space="preserve"> </w:t>
      </w:r>
      <w:r>
        <w:t xml:space="preserve">e tem custo marginal constante</w:t>
      </w:r>
      <w:r>
        <w:t xml:space="preserve"> </w:t>
      </w:r>
      <m:oMath>
        <m:r>
          <m:rPr>
            <m:sty m:val="p"/>
          </m:rPr>
          <m:t>C</m:t>
        </m:r>
        <m:r>
          <m:rPr>
            <m:sty m:val="p"/>
          </m:rPr>
          <m:t>M</m:t>
        </m:r>
        <m:r>
          <m:rPr>
            <m:sty m:val="p"/>
          </m:rPr>
          <m:t>g</m:t>
        </m:r>
        <m:r>
          <m:rPr>
            <m:sty m:val="p"/>
          </m:rPr>
          <m:t>=</m:t>
        </m:r>
        <m:r>
          <m:t>20</m:t>
        </m:r>
      </m:oMath>
      <w:r>
        <w:t xml:space="preserve">. Determine a quantidade e o preço de maximização de lucro, a elasticidade-preço da demanda no ponto ótimo e o índice de Lerner.</w:t>
      </w:r>
    </w:p>
    <w:p>
      <w:pPr>
        <w:pStyle w:val="BlockText"/>
      </w:pPr>
      <w:r>
        <w:rPr>
          <w:b/>
          <w:bCs/>
        </w:rPr>
        <w:t xml:space="preserve">Dados:</w:t>
      </w:r>
      <w:r>
        <w:t xml:space="preserve"> </w:t>
      </w:r>
      <m:oMath>
        <m:r>
          <m:t>p</m:t>
        </m:r>
        <m:r>
          <m:rPr>
            <m:sty m:val="p"/>
          </m:rPr>
          <m:t>(</m:t>
        </m:r>
        <m:r>
          <m:t>q</m:t>
        </m:r>
        <m:r>
          <m:rPr>
            <m:sty m:val="p"/>
          </m:rPr>
          <m:t>)</m:t>
        </m:r>
        <m:r>
          <m:rPr>
            <m:sty m:val="p"/>
          </m:rPr>
          <m:t>=</m:t>
        </m:r>
        <m:r>
          <m:t>100</m:t>
        </m:r>
        <m:r>
          <m:rPr>
            <m:sty m:val="p"/>
          </m:rPr>
          <m:t>−</m:t>
        </m:r>
        <m:r>
          <m:t>2</m:t>
        </m:r>
        <m:r>
          <m:t>q</m:t>
        </m:r>
      </m:oMath>
      <w:r>
        <w:t xml:space="preserve">;</w:t>
      </w:r>
      <w:r>
        <w:t xml:space="preserve"> </w:t>
      </w:r>
      <m:oMath>
        <m:r>
          <m:rPr>
            <m:sty m:val="p"/>
          </m:rPr>
          <m:t>C</m:t>
        </m:r>
        <m:r>
          <m:rPr>
            <m:sty m:val="p"/>
          </m:rPr>
          <m:t>M</m:t>
        </m:r>
        <m:r>
          <m:rPr>
            <m:sty m:val="p"/>
          </m:rPr>
          <m:t>g</m:t>
        </m:r>
        <m:r>
          <m:rPr>
            <m:sty m:val="p"/>
          </m:rPr>
          <m:t>=</m:t>
        </m:r>
        <m:r>
          <m:t>20</m:t>
        </m:r>
      </m:oMath>
      <w:r>
        <w:t xml:space="preserve">.</w:t>
      </w:r>
    </w:p>
    <w:p>
      <w:pPr>
        <w:pStyle w:val="BlockText"/>
      </w:pPr>
      <w:r>
        <w:rPr>
          <w:b/>
          <w:bCs/>
        </w:rPr>
        <w:t xml:space="preserve">Resolução:</w:t>
      </w:r>
    </w:p>
    <w:p>
      <w:pPr>
        <w:pStyle w:val="BlockText"/>
      </w:pPr>
      <w:r>
        <w:rPr>
          <w:b/>
          <w:bCs/>
        </w:rPr>
        <w:t xml:space="preserve">Passo 1 — Receita marginal</w:t>
      </w:r>
    </w:p>
    <w:p>
      <w:pPr>
        <w:pStyle w:val="BlockText"/>
      </w:pPr>
      <w:r>
        <w:t xml:space="preserve">$$</w:t>
      </w:r>
    </w:p>
    <w:p>
      <w:pPr>
        <w:pStyle w:val="BlockText"/>
      </w:pPr>
      <w:r>
        <w:t xml:space="preserve">RT = p</w:t>
      </w:r>
      <w:r>
        <w:t xml:space="preserve"> </w:t>
      </w:r>
      <w:r>
        <w:t xml:space="preserve">q = (100 - 2q)q = 100q - 2q^2</w:t>
      </w:r>
      <w:r>
        <w:t xml:space="preserve"> </w:t>
      </w:r>
      <w:r>
        <w:t xml:space="preserve"> </w:t>
      </w:r>
      <w:r>
        <w:t xml:space="preserve">= 100 - 4q</w:t>
      </w:r>
    </w:p>
    <w:p>
      <w:pPr>
        <w:pStyle w:val="BlockText"/>
      </w:pPr>
      <w:r>
        <w:t xml:space="preserve">$$</w:t>
      </w:r>
    </w:p>
    <w:p>
      <w:pPr>
        <w:pStyle w:val="BlockText"/>
      </w:pPr>
      <w:r>
        <w:rPr>
          <w:b/>
          <w:bCs/>
        </w:rPr>
        <w:t xml:space="preserve">Passo 2 — Quantidade e preço ótimos</w:t>
      </w:r>
    </w:p>
    <w:p>
      <w:pPr>
        <w:pStyle w:val="BlockText"/>
      </w:pPr>
      <w:r>
        <w:t xml:space="preserve">$$</w:t>
      </w:r>
    </w:p>
    <w:p>
      <w:pPr>
        <w:pStyle w:val="BlockText"/>
      </w:pPr>
      <w:r>
        <w:t xml:space="preserve"> </w:t>
      </w:r>
      <w:r>
        <w:t xml:space="preserve">=</w:t>
      </w:r>
      <w:r>
        <w:t xml:space="preserve"> </w:t>
      </w:r>
      <w:r>
        <w:t xml:space="preserve"> </w:t>
      </w:r>
      <w:r>
        <w:t xml:space="preserve"> </w:t>
      </w:r>
      <w:r>
        <w:t xml:space="preserve">- 4q = 20</w:t>
      </w:r>
      <w:r>
        <w:t xml:space="preserve"> </w:t>
      </w:r>
      <w:r>
        <w:t xml:space="preserve">q^* = 20</w:t>
      </w:r>
    </w:p>
    <w:p>
      <w:pPr>
        <w:pStyle w:val="BlockText"/>
      </w:pPr>
      <w:r>
        <w:t xml:space="preserve">$$</w:t>
      </w:r>
    </w:p>
    <w:p>
      <w:pPr>
        <w:pStyle w:val="BlockText"/>
      </w:pPr>
      <w:r>
        <w:t xml:space="preserve">$$</w:t>
      </w:r>
    </w:p>
    <w:p>
      <w:pPr>
        <w:pStyle w:val="BlockText"/>
      </w:pPr>
      <w:r>
        <w:t xml:space="preserve">p^* = 100 - 2(20) = 60</w:t>
      </w:r>
    </w:p>
    <w:p>
      <w:pPr>
        <w:pStyle w:val="BlockText"/>
      </w:pPr>
      <w:r>
        <w:t xml:space="preserve">$$</w:t>
      </w:r>
    </w:p>
    <w:p>
      <w:pPr>
        <w:pStyle w:val="BlockText"/>
      </w:pPr>
      <w:r>
        <w:rPr>
          <w:b/>
          <w:bCs/>
        </w:rPr>
        <w:t xml:space="preserve">Passo 3 — Elasticidade no ponto ótimo</w:t>
      </w:r>
    </w:p>
    <w:p>
      <w:pPr>
        <w:pStyle w:val="BlockText"/>
      </w:pPr>
      <w:r>
        <w:t xml:space="preserve">A elasticidade-preço da demanda é</w:t>
      </w:r>
      <w:r>
        <w:t xml:space="preserve"> </w:t>
      </w:r>
      <m:oMath>
        <m:sSub>
          <m:e>
            <m:r>
              <m:t>ε</m:t>
            </m:r>
          </m:e>
          <m:sub>
            <m:r>
              <m:t>d</m:t>
            </m:r>
          </m:sub>
        </m:sSub>
        <m:r>
          <m:rPr>
            <m:sty m:val="p"/>
          </m:rPr>
          <m:t>=</m:t>
        </m:r>
        <m:f>
          <m:fPr>
            <m:type m:val="bar"/>
          </m:fPr>
          <m:num>
            <m:r>
              <m:t>d</m:t>
            </m:r>
            <m:r>
              <m:t>q</m:t>
            </m:r>
          </m:num>
          <m:den>
            <m:r>
              <m:t>d</m:t>
            </m:r>
            <m:r>
              <m:t>p</m:t>
            </m:r>
          </m:den>
        </m:f>
        <m:r>
          <m:rPr>
            <m:sty m:val="p"/>
          </m:rPr>
          <m:t>⋅</m:t>
        </m:r>
        <m:f>
          <m:fPr>
            <m:type m:val="bar"/>
          </m:fPr>
          <m:num>
            <m:r>
              <m:t>p</m:t>
            </m:r>
          </m:num>
          <m:den>
            <m:r>
              <m:t>q</m:t>
            </m:r>
          </m:den>
        </m:f>
      </m:oMath>
      <w:r>
        <w:t xml:space="preserve">. Da demanda inversa,</w:t>
      </w:r>
      <w:r>
        <w:t xml:space="preserve"> </w:t>
      </w:r>
      <m:oMath>
        <m:r>
          <m:t>d</m:t>
        </m:r>
        <m:r>
          <m:t>q</m:t>
        </m:r>
        <m:r>
          <m:rPr>
            <m:sty m:val="p"/>
          </m:rPr>
          <m:t>/</m:t>
        </m:r>
        <m:r>
          <m:t>d</m:t>
        </m:r>
        <m:r>
          <m:t>p</m:t>
        </m:r>
        <m:r>
          <m:rPr>
            <m:sty m:val="p"/>
          </m:rPr>
          <m:t>=</m:t>
        </m:r>
        <m:r>
          <m:rPr>
            <m:sty m:val="p"/>
          </m:rPr>
          <m:t>−</m:t>
        </m:r>
        <m:r>
          <m:t>1</m:t>
        </m:r>
        <m:r>
          <m:rPr>
            <m:sty m:val="p"/>
          </m:rPr>
          <m:t>/</m:t>
        </m:r>
        <m:r>
          <m:t>2</m:t>
        </m:r>
      </m:oMath>
      <w:r>
        <w:t xml:space="preserve">, logo:</w:t>
      </w:r>
    </w:p>
    <w:p>
      <w:pPr>
        <w:pStyle w:val="BlockText"/>
      </w:pPr>
      <w:r>
        <w:t xml:space="preserve">$$</w:t>
      </w:r>
    </w:p>
    <w:p>
      <w:pPr>
        <w:pStyle w:val="BlockText"/>
      </w:pPr>
      <w:r>
        <w:t xml:space="preserve">_d = -</w:t>
      </w:r>
      <w:r>
        <w:t xml:space="preserve"> </w:t>
      </w:r>
      <w:r>
        <w:t xml:space="preserve">= -1{,}5</w:t>
      </w:r>
    </w:p>
    <w:p>
      <w:pPr>
        <w:pStyle w:val="BlockText"/>
      </w:pPr>
      <w:r>
        <w:t xml:space="preserve">$$</w:t>
      </w:r>
    </w:p>
    <w:p>
      <w:pPr>
        <w:pStyle w:val="BlockText"/>
      </w:pPr>
      <w:r>
        <w:t xml:space="preserve">Verificação:</w:t>
      </w:r>
      <w:r>
        <w:t xml:space="preserve"> </w:t>
      </w:r>
      <m:oMath>
        <m:r>
          <m:rPr>
            <m:sty m:val="p"/>
          </m:rPr>
          <m:t>R</m:t>
        </m:r>
        <m:r>
          <m:rPr>
            <m:sty m:val="p"/>
          </m:rPr>
          <m:t>M</m:t>
        </m:r>
        <m:r>
          <m:rPr>
            <m:sty m:val="p"/>
          </m:rPr>
          <m:t>g</m:t>
        </m:r>
        <m:r>
          <m:rPr>
            <m:sty m:val="p"/>
          </m:rPr>
          <m:t>=</m:t>
        </m:r>
        <m:r>
          <m:t>p</m:t>
        </m:r>
        <m:d>
          <m:dPr>
            <m:begChr m:val="("/>
            <m:sepChr m:val=""/>
            <m:endChr m:val=")"/>
            <m:grow/>
          </m:dPr>
          <m:e>
            <m:r>
              <m:t>1</m:t>
            </m:r>
            <m:r>
              <m:rPr>
                <m:sty m:val="p"/>
              </m:rPr>
              <m:t>+</m:t>
            </m:r>
            <m:f>
              <m:fPr>
                <m:type m:val="bar"/>
              </m:fPr>
              <m:num>
                <m:r>
                  <m:t>1</m:t>
                </m:r>
              </m:num>
              <m:den>
                <m:sSub>
                  <m:e>
                    <m:r>
                      <m:t>ε</m:t>
                    </m:r>
                  </m:e>
                  <m:sub>
                    <m:r>
                      <m:t>d</m:t>
                    </m:r>
                  </m:sub>
                </m:sSub>
              </m:den>
            </m:f>
          </m:e>
        </m:d>
        <m:r>
          <m:rPr>
            <m:sty m:val="p"/>
          </m:rPr>
          <m:t>=</m:t>
        </m:r>
        <m:r>
          <m:t>60</m:t>
        </m:r>
        <m:d>
          <m:dPr>
            <m:begChr m:val="("/>
            <m:sepChr m:val=""/>
            <m:endChr m:val=")"/>
            <m:grow/>
          </m:dPr>
          <m:e>
            <m:r>
              <m:t>1</m:t>
            </m:r>
            <m:r>
              <m:rPr>
                <m:sty m:val="p"/>
              </m:rPr>
              <m:t>−</m:t>
            </m:r>
            <m:f>
              <m:fPr>
                <m:type m:val="bar"/>
              </m:fPr>
              <m:num>
                <m:r>
                  <m:t>1</m:t>
                </m:r>
              </m:num>
              <m:den>
                <m:r>
                  <m:t>1</m:t>
                </m:r>
                <m:r>
                  <m:rPr>
                    <m:sty m:val="p"/>
                  </m:rPr>
                  <m:t>,</m:t>
                </m:r>
                <m:r>
                  <m:t>5</m:t>
                </m:r>
              </m:den>
            </m:f>
          </m:e>
        </m:d>
        <m:r>
          <m:rPr>
            <m:sty m:val="p"/>
          </m:rPr>
          <m:t>=</m:t>
        </m:r>
        <m:r>
          <m:t>60</m:t>
        </m:r>
        <m:r>
          <m:rPr>
            <m:sty m:val="p"/>
          </m:rPr>
          <m:t>⋅</m:t>
        </m:r>
        <m:f>
          <m:fPr>
            <m:type m:val="bar"/>
          </m:fPr>
          <m:num>
            <m:r>
              <m:t>1</m:t>
            </m:r>
          </m:num>
          <m:den>
            <m:r>
              <m:t>3</m:t>
            </m:r>
          </m:den>
        </m:f>
        <m:r>
          <m:rPr>
            <m:sty m:val="p"/>
          </m:rPr>
          <m:t>=</m:t>
        </m:r>
        <m:r>
          <m:t>20</m:t>
        </m:r>
        <m:r>
          <m:rPr>
            <m:sty m:val="p"/>
          </m:rPr>
          <m:t>=</m:t>
        </m:r>
        <m:r>
          <m:rPr>
            <m:sty m:val="p"/>
          </m:rPr>
          <m:t>C</m:t>
        </m:r>
        <m:r>
          <m:rPr>
            <m:sty m:val="p"/>
          </m:rPr>
          <m:t>M</m:t>
        </m:r>
        <m:r>
          <m:rPr>
            <m:sty m:val="p"/>
          </m:rPr>
          <m:t>g</m:t>
        </m:r>
      </m:oMath>
      <w:r>
        <w:t xml:space="preserve"> </w:t>
      </w:r>
      <w:r>
        <w:t xml:space="preserve">✓</w:t>
      </w:r>
    </w:p>
    <w:p>
      <w:pPr>
        <w:pStyle w:val="BlockText"/>
      </w:pPr>
      <w:r>
        <w:rPr>
          <w:b/>
          <w:bCs/>
        </w:rPr>
        <w:t xml:space="preserve">Passo 4 — Índice de Lerner</w:t>
      </w:r>
    </w:p>
    <w:p>
      <w:pPr>
        <w:pStyle w:val="BlockText"/>
      </w:pPr>
      <w:r>
        <w:t xml:space="preserve">$$</w:t>
      </w:r>
    </w:p>
    <w:p>
      <w:pPr>
        <w:pStyle w:val="BlockText"/>
      </w:pPr>
      <w:r>
        <w:t xml:space="preserve">L =</w:t>
      </w:r>
      <w:r>
        <w:t xml:space="preserve"> </w:t>
      </w:r>
      <w:r>
        <w:t xml:space="preserve"> </w:t>
      </w:r>
      <w:r>
        <w:t xml:space="preserve">=</w:t>
      </w:r>
      <w:r>
        <w:t xml:space="preserve"> </w:t>
      </w:r>
      <w:r>
        <w:t xml:space="preserve"> </w:t>
      </w:r>
      <w:r>
        <w:t xml:space="preserve">=</w:t>
      </w:r>
      <w:r>
        <w:t xml:space="preserve"> </w:t>
      </w:r>
      <w:r>
        <w:t xml:space="preserve"> </w:t>
      </w:r>
      <w:r>
        <w:t xml:space="preserve">67</w:t>
      </w:r>
    </w:p>
    <w:p>
      <w:pPr>
        <w:pStyle w:val="BlockText"/>
      </w:pPr>
      <w:r>
        <w:t xml:space="preserve">$$</w:t>
      </w:r>
    </w:p>
    <w:p>
      <w:pPr>
        <w:pStyle w:val="BlockText"/>
      </w:pPr>
      <w:r>
        <w:t xml:space="preserve">Pela relação teórica:</w:t>
      </w:r>
      <w:r>
        <w:t xml:space="preserve"> </w:t>
      </w:r>
      <m:oMath>
        <m:r>
          <m:t>L</m:t>
        </m:r>
        <m:r>
          <m:rPr>
            <m:sty m:val="p"/>
          </m:rPr>
          <m:t>=</m:t>
        </m:r>
        <m:f>
          <m:fPr>
            <m:type m:val="bar"/>
          </m:fPr>
          <m:num>
            <m:r>
              <m:t>1</m:t>
            </m:r>
          </m:num>
          <m:den>
            <m:r>
              <m:rPr>
                <m:sty m:val="p"/>
              </m:rPr>
              <m:t>|</m:t>
            </m:r>
            <m:sSub>
              <m:e>
                <m:r>
                  <m:t>ε</m:t>
                </m:r>
              </m:e>
              <m:sub>
                <m:r>
                  <m:t>d</m:t>
                </m:r>
              </m:sub>
            </m:sSub>
            <m:r>
              <m:rPr>
                <m:sty m:val="p"/>
              </m:rPr>
              <m:t>|</m:t>
            </m:r>
          </m:den>
        </m:f>
        <m:r>
          <m:rPr>
            <m:sty m:val="p"/>
          </m:rPr>
          <m:t>=</m:t>
        </m:r>
        <m:f>
          <m:fPr>
            <m:type m:val="bar"/>
          </m:fPr>
          <m:num>
            <m:r>
              <m:t>1</m:t>
            </m:r>
          </m:num>
          <m:den>
            <m:r>
              <m:t>1</m:t>
            </m:r>
            <m:r>
              <m:rPr>
                <m:sty m:val="p"/>
              </m:rPr>
              <m:t>,</m:t>
            </m:r>
            <m:r>
              <m:t>5</m:t>
            </m:r>
          </m:den>
        </m:f>
        <m:r>
          <m:rPr>
            <m:sty m:val="p"/>
          </m:rPr>
          <m:t>=</m:t>
        </m:r>
        <m:f>
          <m:fPr>
            <m:type m:val="bar"/>
          </m:fPr>
          <m:num>
            <m:r>
              <m:t>2</m:t>
            </m:r>
          </m:num>
          <m:den>
            <m:r>
              <m:t>3</m:t>
            </m:r>
          </m:den>
        </m:f>
      </m:oMath>
      <w:r>
        <w:t xml:space="preserve"> </w:t>
      </w:r>
      <w:r>
        <w:t xml:space="preserve">✓</w:t>
      </w:r>
    </w:p>
    <w:p>
      <w:pPr>
        <w:pStyle w:val="BlockText"/>
      </w:pPr>
      <w:r>
        <w:rPr>
          <w:b/>
          <w:bCs/>
        </w:rPr>
        <w:t xml:space="preserve">Resultado:</w:t>
      </w:r>
      <w:r>
        <w:t xml:space="preserve"> </w:t>
      </w:r>
      <m:oMath>
        <m:sSup>
          <m:e>
            <m:r>
              <m:t>q</m:t>
            </m:r>
          </m:e>
          <m:sup>
            <m:r>
              <m:rPr>
                <m:sty m:val="p"/>
              </m:rPr>
              <m:t>*</m:t>
            </m:r>
          </m:sup>
        </m:sSup>
        <m:r>
          <m:rPr>
            <m:sty m:val="p"/>
          </m:rPr>
          <m:t>=</m:t>
        </m:r>
        <m:r>
          <m:t>20</m:t>
        </m:r>
      </m:oMath>
      <w:r>
        <w:t xml:space="preserve">,</w:t>
      </w:r>
      <w:r>
        <w:t xml:space="preserve"> </w:t>
      </w:r>
      <m:oMath>
        <m:sSup>
          <m:e>
            <m:r>
              <m:t>p</m:t>
            </m:r>
          </m:e>
          <m:sup>
            <m:r>
              <m:rPr>
                <m:sty m:val="p"/>
              </m:rPr>
              <m:t>*</m:t>
            </m:r>
          </m:sup>
        </m:sSup>
        <m:r>
          <m:rPr>
            <m:sty m:val="p"/>
          </m:rPr>
          <m:t>=</m:t>
        </m:r>
        <m:r>
          <m:t>60</m:t>
        </m:r>
      </m:oMath>
      <w:r>
        <w:t xml:space="preserve">,</w:t>
      </w:r>
      <w:r>
        <w:t xml:space="preserve"> </w:t>
      </w:r>
      <m:oMath>
        <m:r>
          <m:rPr>
            <m:sty m:val="p"/>
          </m:rPr>
          <m:t>|</m:t>
        </m:r>
        <m:sSub>
          <m:e>
            <m:r>
              <m:t>ε</m:t>
            </m:r>
          </m:e>
          <m:sub>
            <m:r>
              <m:t>d</m:t>
            </m:r>
          </m:sub>
        </m:sSub>
        <m:r>
          <m:rPr>
            <m:sty m:val="p"/>
          </m:rPr>
          <m:t>|</m:t>
        </m:r>
        <m:r>
          <m:rPr>
            <m:sty m:val="p"/>
          </m:rPr>
          <m:t>=</m:t>
        </m:r>
        <m:r>
          <m:t>1</m:t>
        </m:r>
        <m:r>
          <m:rPr>
            <m:sty m:val="p"/>
          </m:rPr>
          <m:t>,</m:t>
        </m:r>
        <m:r>
          <m:t>5</m:t>
        </m:r>
      </m:oMath>
      <w:r>
        <w:t xml:space="preserve">,</w:t>
      </w:r>
      <w:r>
        <w:t xml:space="preserve"> </w:t>
      </w:r>
      <m:oMath>
        <m:r>
          <m:t>L</m:t>
        </m:r>
        <m:r>
          <m:rPr>
            <m:sty m:val="p"/>
          </m:rPr>
          <m:t>=</m:t>
        </m:r>
        <m:r>
          <m:t>2</m:t>
        </m:r>
        <m:r>
          <m:rPr>
            <m:sty m:val="p"/>
          </m:rPr>
          <m:t>/</m:t>
        </m:r>
        <m:r>
          <m:t>3</m:t>
        </m:r>
      </m:oMath>
      <w:r>
        <w:t xml:space="preserve">.</w:t>
      </w:r>
    </w:p>
    <w:p>
      <w:pPr>
        <w:pStyle w:val="BlockText"/>
      </w:pPr>
      <w:r>
        <w:rPr>
          <w:b/>
          <w:bCs/>
        </w:rPr>
        <w:t xml:space="preserve">Interpretação econômica:</w:t>
      </w:r>
      <w:r>
        <w:t xml:space="preserve"> </w:t>
      </w:r>
      <w:r>
        <w:t xml:space="preserve">O monopolista opera na região elástica da demanda (</w:t>
      </w:r>
      <m:oMath>
        <m:r>
          <m:rPr>
            <m:sty m:val="p"/>
          </m:rPr>
          <m:t>|</m:t>
        </m:r>
        <m:sSub>
          <m:e>
            <m:r>
              <m:t>ε</m:t>
            </m:r>
          </m:e>
          <m:sub>
            <m:r>
              <m:t>d</m:t>
            </m:r>
          </m:sub>
        </m:sSub>
        <m:r>
          <m:rPr>
            <m:sty m:val="p"/>
          </m:rPr>
          <m:t>|</m:t>
        </m:r>
        <m:r>
          <m:rPr>
            <m:sty m:val="p"/>
          </m:rPr>
          <m:t>=</m:t>
        </m:r>
        <m:r>
          <m:t>1</m:t>
        </m:r>
        <m:r>
          <m:rPr>
            <m:sty m:val="p"/>
          </m:rPr>
          <m:t>,</m:t>
        </m:r>
        <m:r>
          <m:t>5</m:t>
        </m:r>
        <m:r>
          <m:rPr>
            <m:sty m:val="p"/>
          </m:rPr>
          <m:t>&gt;</m:t>
        </m:r>
        <m:r>
          <m:t>1</m:t>
        </m:r>
      </m:oMath>
      <w:r>
        <w:t xml:space="preserve">), confirmando o resultado teórico da Seção 12.3. O índice de Lerner de 0,67 indica poder de mercado substancial — o preço é três vezes o custo marginal. No Brasil, o</w:t>
      </w:r>
      <w:r>
        <w:t xml:space="preserve"> </w:t>
      </w:r>
      <w:hyperlink r:id="rId316">
        <w:r>
          <w:rPr>
            <w:rStyle w:val="Hyperlink"/>
          </w:rPr>
          <w:t xml:space="preserve">CADE</w:t>
        </w:r>
      </w:hyperlink>
      <w:r>
        <w:t xml:space="preserve"> </w:t>
      </w:r>
      <w:r>
        <w:t xml:space="preserve">utiliza o índice de Lerner como uma das métricas para avaliar poder de mercado em análises de concentração.</w:t>
      </w:r>
    </w:p>
    <w:p>
      <w:pPr>
        <w:pStyle w:val="FirstParagraph"/>
      </w:pPr>
      <w:r>
        <w:t xml:space="preserve">[FIGURA INTERATIVA: /micro-book/graficos/cap12/webr-rmg-elasticidade.html — versao interativa disponivel online]</w:t>
      </w:r>
    </w:p>
    <w:p>
      <w:pPr>
        <w:pStyle w:val="BodyText"/>
      </w:pPr>
      <w:r>
        <w:rPr>
          <w:b/>
          <w:bCs/>
        </w:rPr>
        <w:t xml:space="preserve">WebR 12.2 — Receita marginal, elasticidade e índice de Lerner.</w:t>
      </w:r>
      <w:r>
        <w:t xml:space="preserve"> </w:t>
      </w:r>
      <w:r>
        <w:t xml:space="preserve">O código compara monopolista vs. competitivo para uma demanda linear, calcula o DWL e plota RT junto com a elasticidade. Altere</w:t>
      </w:r>
      <w:r>
        <w:t xml:space="preserve"> </w:t>
      </w:r>
      <w:r>
        <w:rPr>
          <w:rStyle w:val="VerbatimChar"/>
        </w:rPr>
        <w:t xml:space="preserve">CMg_c</w:t>
      </w:r>
      <w:r>
        <w:t xml:space="preserve"> </w:t>
      </w:r>
      <w:r>
        <w:t xml:space="preserve">e os parâmetros da demanda para ver como o markup e o peso morto respondem.</w:t>
      </w:r>
    </w:p>
    <w:bookmarkEnd w:id="756"/>
    <w:bookmarkEnd w:id="757"/>
    <w:bookmarkEnd w:id="758"/>
    <w:bookmarkStart w:id="762" w:name="X38cfe2e2facbcc742bad63f91ad55637300cb45"/>
    <w:p>
      <w:pPr>
        <w:pStyle w:val="Heading2"/>
      </w:pPr>
      <w:r>
        <w:t xml:space="preserve">12.4 Operar ou Fechar as Portas: Oferta de Curto Prazo</w:t>
      </w:r>
    </w:p>
    <w:p>
      <w:pPr>
        <w:pStyle w:val="FirstParagraph"/>
      </w:pPr>
      <w:r>
        <w:t xml:space="preserve">Firmas com poder de mercado são fascinantes, mas voltemos agora ao personagem mais humilde — e mais fundamental — da história: a firma tomadora de preços, a peça de Lego com que se monta toda a curva de oferta. A pergunta central desta seção é: dado o cardápio de custos que herdamos do Capítulo 11, para quais preços a firma decide produzir, e quanto? A resposta envolve não apenas a condição</w:t>
      </w:r>
      <w:r>
        <w:t xml:space="preserve"> </w:t>
      </w:r>
      <m:oMath>
        <m:r>
          <m:t>p</m:t>
        </m:r>
        <m:r>
          <m:rPr>
            <m:sty m:val="p"/>
          </m:rPr>
          <m:t>=</m:t>
        </m:r>
        <m:r>
          <m:rPr>
            <m:sty m:val="p"/>
          </m:rPr>
          <m:t>C</m:t>
        </m:r>
        <m:r>
          <m:rPr>
            <m:sty m:val="p"/>
          </m:rPr>
          <m:t>M</m:t>
        </m:r>
        <m:r>
          <m:rPr>
            <m:sty m:val="p"/>
          </m:rPr>
          <m:t>g</m:t>
        </m:r>
      </m:oMath>
      <w:r>
        <w:t xml:space="preserve">, mas também uma decisão prévia que muitos estudantes esquecem na prova (e que todo empresário conhece de cor): a firma deve operar ou fechar as portas?</w:t>
      </w:r>
      <w:r>
        <w:rPr>
          <w:rStyle w:val="FootnoteReference"/>
        </w:rPr>
        <w:footnoteReference w:id="759"/>
      </w:r>
      <w:r>
        <w:t xml:space="preserve"> </w:t>
      </w:r>
      <w:r>
        <w:t xml:space="preserve">Essa decisão de</w:t>
      </w:r>
      <w:r>
        <w:t xml:space="preserve"> </w:t>
      </w:r>
      <w:r>
        <w:t xml:space="preserve">“shutdown”</w:t>
      </w:r>
      <w:r>
        <w:t xml:space="preserve"> </w:t>
      </w:r>
      <w:r>
        <w:t xml:space="preserve">— para usar o termo consagrado na literatura anglófona — é analiticamente distinta da condição de otimalidade. Ela compara dois estados alternativos (operar vs. não operar) em vez de identificar um máximo em um conjunto contínuo. A curva de oferta que derivamos nesta seção é justamente o insumo fundamental para construir a oferta de mercado do Capítulo 13 e, por extensão, para analisar o equilíbrio competitivo de longo prazo. O Box Mundo 12.1 ao final desta seção documenta, com dados empíricos da pandemia de COVID-19, como firmas reais tomam essa decisão em situações extremas.</w:t>
      </w:r>
    </w:p>
    <w:p>
      <w:pPr>
        <w:pStyle w:val="BodyText"/>
      </w:pPr>
      <w:r>
        <w:t xml:space="preserve">[FIGURA INTERATIVA: /micro-book/graficos/cap12/maximizacao-lucro.html — versao interativa disponivel online]</w:t>
      </w:r>
    </w:p>
    <w:p>
      <w:pPr>
        <w:pStyle w:val="BodyText"/>
      </w:pPr>
      <w:r>
        <w:rPr>
          <w:b/>
          <w:bCs/>
        </w:rPr>
        <w:t xml:space="preserve">Figura 12.2 — Maximização de lucro para firma tomadora de preços.</w:t>
      </w:r>
      <w:r>
        <w:t xml:space="preserve"> </w:t>
      </w:r>
      <w:r>
        <w:t xml:space="preserve">Ajuste o preço</w:t>
      </w:r>
      <w:r>
        <w:t xml:space="preserve"> </w:t>
      </w:r>
      <m:oMath>
        <m:r>
          <m:t>p</m:t>
        </m:r>
      </m:oMath>
      <w:r>
        <w:t xml:space="preserve"> </w:t>
      </w:r>
      <w:r>
        <w:t xml:space="preserve">e os parâmetros de custo. O gráfico mostra a quantidade ótima</w:t>
      </w:r>
      <w:r>
        <w:t xml:space="preserve"> </w:t>
      </w:r>
      <m:oMath>
        <m:sSup>
          <m:e>
            <m:r>
              <m:t>q</m:t>
            </m:r>
          </m:e>
          <m:sup>
            <m:r>
              <m:rPr>
                <m:sty m:val="p"/>
              </m:rPr>
              <m:t>*</m:t>
            </m:r>
          </m:sup>
        </m:sSup>
      </m:oMath>
      <w:r>
        <w:t xml:space="preserve"> </w:t>
      </w:r>
      <w:r>
        <w:t xml:space="preserve">onde</w:t>
      </w:r>
      <w:r>
        <w:t xml:space="preserve"> </w:t>
      </w:r>
      <m:oMath>
        <m:r>
          <m:t>p</m:t>
        </m:r>
        <m:r>
          <m:rPr>
            <m:sty m:val="p"/>
          </m:rPr>
          <m:t>=</m:t>
        </m:r>
        <m:r>
          <m:rPr>
            <m:sty m:val="p"/>
          </m:rPr>
          <m:t>C</m:t>
        </m:r>
        <m:r>
          <m:rPr>
            <m:sty m:val="p"/>
          </m:rPr>
          <m:t>M</m:t>
        </m:r>
        <m:r>
          <m:rPr>
            <m:sty m:val="p"/>
          </m:rPr>
          <m:t>g</m:t>
        </m:r>
      </m:oMath>
      <w:r>
        <w:t xml:space="preserve">, o retângulo de lucro (ou prejuízo) sombreado e a condição de fechamento (</w:t>
      </w:r>
      <m:oMath>
        <m:r>
          <m:t>p</m:t>
        </m:r>
        <m:r>
          <m:rPr>
            <m:sty m:val="p"/>
          </m:rPr>
          <m:t>&lt;</m:t>
        </m:r>
        <m:sSub>
          <m:e>
            <m:r>
              <m:rPr>
                <m:sty m:val="p"/>
              </m:rPr>
              <m:t>C</m:t>
            </m:r>
            <m:r>
              <m:rPr>
                <m:sty m:val="p"/>
              </m:rPr>
              <m:t>V</m:t>
            </m:r>
            <m:r>
              <m:rPr>
                <m:sty m:val="p"/>
              </m:rPr>
              <m:t>M</m:t>
            </m:r>
            <m:r>
              <m:rPr>
                <m:sty m:val="p"/>
              </m:rPr>
              <m:t>e</m:t>
            </m:r>
          </m:e>
          <m:sub>
            <m:r>
              <m:rPr>
                <m:sty m:val="p"/>
              </m:rPr>
              <m:t>min</m:t>
            </m:r>
          </m:sub>
        </m:sSub>
      </m:oMath>
      <w:r>
        <w:t xml:space="preserve">).</w:t>
      </w:r>
    </w:p>
    <w:bookmarkStart w:id="760" w:name="a-decisão-de-produção-no-curto-prazo"/>
    <w:p>
      <w:pPr>
        <w:pStyle w:val="Heading4"/>
      </w:pPr>
      <w:r>
        <w:t xml:space="preserve">A decisão de produção no curto prazo</w:t>
      </w:r>
    </w:p>
    <w:p>
      <w:pPr>
        <w:pStyle w:val="FirstParagraph"/>
      </w:pPr>
      <w:r>
        <w:t xml:space="preserve">Para uma firma tomadora de preços (</w:t>
      </w:r>
      <m:oMath>
        <m:r>
          <m:rPr>
            <m:sty m:val="p"/>
          </m:rPr>
          <m:t>R</m:t>
        </m:r>
        <m:r>
          <m:rPr>
            <m:sty m:val="p"/>
          </m:rPr>
          <m:t>M</m:t>
        </m:r>
        <m:r>
          <m:rPr>
            <m:sty m:val="p"/>
          </m:rPr>
          <m:t>g</m:t>
        </m:r>
        <m:r>
          <m:rPr>
            <m:sty m:val="p"/>
          </m:rPr>
          <m:t>=</m:t>
        </m:r>
        <m:r>
          <m:t>p</m:t>
        </m:r>
      </m:oMath>
      <w:r>
        <w:t xml:space="preserve">), a condição de maximização é</w:t>
      </w:r>
      <w:r>
        <w:t xml:space="preserve"> </w:t>
      </w:r>
      <m:oMath>
        <m:r>
          <m:t>p</m:t>
        </m:r>
        <m:r>
          <m:rPr>
            <m:sty m:val="p"/>
          </m:rPr>
          <m:t>=</m:t>
        </m:r>
        <m:r>
          <m:rPr>
            <m:sty m:val="p"/>
          </m:rPr>
          <m:t>C</m:t>
        </m:r>
        <m:r>
          <m:rPr>
            <m:sty m:val="p"/>
          </m:rPr>
          <m:t>M</m:t>
        </m:r>
        <m:r>
          <m:rPr>
            <m:sty m:val="p"/>
          </m:rPr>
          <m:t>g</m:t>
        </m:r>
        <m:r>
          <m:rPr>
            <m:sty m:val="p"/>
          </m:rPr>
          <m:t>(</m:t>
        </m:r>
        <m:r>
          <m:t>q</m:t>
        </m:r>
        <m:r>
          <m:rPr>
            <m:sty m:val="p"/>
          </m:rPr>
          <m:t>)</m:t>
        </m:r>
      </m:oMath>
      <w:r>
        <w:t xml:space="preserve">. Contudo, essa condição não é suficiente — é preciso verificar se a firma deve</w:t>
      </w:r>
      <w:r>
        <w:t xml:space="preserve"> </w:t>
      </w:r>
      <w:r>
        <w:rPr>
          <w:b/>
          <w:bCs/>
        </w:rPr>
        <w:t xml:space="preserve">operar</w:t>
      </w:r>
      <w:r>
        <w:t xml:space="preserve"> </w:t>
      </w:r>
      <w:r>
        <w:t xml:space="preserve">ou</w:t>
      </w:r>
      <w:r>
        <w:t xml:space="preserve"> </w:t>
      </w:r>
      <w:r>
        <w:rPr>
          <w:b/>
          <w:bCs/>
        </w:rPr>
        <w:t xml:space="preserve">fechar</w:t>
      </w:r>
      <w:r>
        <w:t xml:space="preserve">.</w:t>
      </w:r>
    </w:p>
    <w:p>
      <w:pPr>
        <w:pStyle w:val="BodyText"/>
      </w:pPr>
      <w:r>
        <w:t xml:space="preserve">No curto prazo, a firma incorre em custos fixos independentemente de produzir ou não. Portanto:</w:t>
      </w:r>
    </w:p>
    <w:p>
      <w:pPr>
        <w:pStyle w:val="Compact"/>
        <w:numPr>
          <w:ilvl w:val="0"/>
          <w:numId w:val="1732"/>
        </w:numPr>
      </w:pPr>
      <w:r>
        <w:t xml:space="preserve">Se</w:t>
      </w:r>
      <w:r>
        <w:t xml:space="preserve"> </w:t>
      </w:r>
      <w:r>
        <w:rPr>
          <w:b/>
          <w:bCs/>
        </w:rPr>
        <w:t xml:space="preserve">opera</w:t>
      </w:r>
      <w:r>
        <w:t xml:space="preserve">, o lucro é:</w:t>
      </w:r>
      <w:r>
        <w:t xml:space="preserve"> </w:t>
      </w:r>
      <m:oMath>
        <m:r>
          <m:t>π</m:t>
        </m:r>
        <m:r>
          <m:rPr>
            <m:sty m:val="p"/>
          </m:rPr>
          <m:t>=</m:t>
        </m:r>
        <m:r>
          <m:t>p</m:t>
        </m:r>
        <m:r>
          <m:rPr>
            <m:sty m:val="p"/>
          </m:rPr>
          <m:t>⋅</m:t>
        </m:r>
        <m:r>
          <m:t>q</m:t>
        </m:r>
        <m:r>
          <m:rPr>
            <m:sty m:val="p"/>
          </m:rPr>
          <m:t>−</m:t>
        </m:r>
        <m:r>
          <m:t>C</m:t>
        </m:r>
        <m:r>
          <m:t>V</m:t>
        </m:r>
        <m:r>
          <m:rPr>
            <m:sty m:val="p"/>
          </m:rPr>
          <m:t>(</m:t>
        </m:r>
        <m:r>
          <m:t>q</m:t>
        </m:r>
        <m:r>
          <m:rPr>
            <m:sty m:val="p"/>
          </m:rPr>
          <m:t>)</m:t>
        </m:r>
        <m:r>
          <m:rPr>
            <m:sty m:val="p"/>
          </m:rPr>
          <m:t>−</m:t>
        </m:r>
        <m:r>
          <m:t>C</m:t>
        </m:r>
        <m:r>
          <m:t>F</m:t>
        </m:r>
      </m:oMath>
    </w:p>
    <w:p>
      <w:pPr>
        <w:pStyle w:val="Compact"/>
        <w:numPr>
          <w:ilvl w:val="0"/>
          <w:numId w:val="1732"/>
        </w:numPr>
      </w:pPr>
      <w:r>
        <w:t xml:space="preserve">Se</w:t>
      </w:r>
      <w:r>
        <w:t xml:space="preserve"> </w:t>
      </w:r>
      <w:r>
        <w:rPr>
          <w:b/>
          <w:bCs/>
        </w:rPr>
        <w:t xml:space="preserve">fecha</w:t>
      </w:r>
      <w:r>
        <w:t xml:space="preserve">, o lucro é:</w:t>
      </w:r>
      <w:r>
        <w:t xml:space="preserve"> </w:t>
      </w:r>
      <m:oMath>
        <m:r>
          <m:t>π</m:t>
        </m:r>
        <m:r>
          <m:rPr>
            <m:sty m:val="p"/>
          </m:rPr>
          <m:t>=</m:t>
        </m:r>
        <m:r>
          <m:rPr>
            <m:sty m:val="p"/>
          </m:rPr>
          <m:t>−</m:t>
        </m:r>
        <m:r>
          <m:t>C</m:t>
        </m:r>
        <m:r>
          <m:t>F</m:t>
        </m:r>
      </m:oMath>
    </w:p>
    <w:p>
      <w:pPr>
        <w:pStyle w:val="FirstParagraph"/>
      </w:pPr>
      <w:r>
        <w:t xml:space="preserve">A firma deve operar se e somente se a condição da equação Eq. (eq:12.8) for satisfeita:</w:t>
      </w:r>
    </w:p>
    <w:p>
      <w:pPr>
        <w:pStyle w:val="BodyText"/>
      </w:pPr>
      <m:oMathPara>
        <m:oMathParaPr>
          <m:jc m:val="center"/>
        </m:oMathParaPr>
        <m:oMath>
          <m:r>
            <m:t>p</m:t>
          </m:r>
          <m:r>
            <m:rPr>
              <m:sty m:val="p"/>
            </m:rPr>
            <m:t>⋅</m:t>
          </m:r>
          <m:r>
            <m:t>q</m:t>
          </m:r>
          <m:r>
            <m:rPr>
              <m:sty m:val="p"/>
            </m:rPr>
            <m:t>−</m:t>
          </m:r>
          <m:r>
            <m:t>C</m:t>
          </m:r>
          <m:r>
            <m:t>V</m:t>
          </m:r>
          <m:r>
            <m:rPr>
              <m:sty m:val="p"/>
            </m:rPr>
            <m:t>(</m:t>
          </m:r>
          <m:r>
            <m:t>q</m:t>
          </m:r>
          <m:r>
            <m:rPr>
              <m:sty m:val="p"/>
            </m:rPr>
            <m:t>)</m:t>
          </m:r>
          <m:r>
            <m:rPr>
              <m:sty m:val="p"/>
            </m:rPr>
            <m:t>−</m:t>
          </m:r>
          <m:r>
            <m:t>C</m:t>
          </m:r>
          <m:r>
            <m:t>F</m:t>
          </m:r>
          <m:r>
            <m:rPr>
              <m:sty m:val="p"/>
            </m:rPr>
            <m:t>≥</m:t>
          </m:r>
          <m:r>
            <m:rPr>
              <m:sty m:val="p"/>
            </m:rPr>
            <m:t>−</m:t>
          </m:r>
          <m:r>
            <m:t>C</m:t>
          </m:r>
          <m:r>
            <m:t>F</m:t>
          </m:r>
          <m:r>
            <m:rPr>
              <m:sty m:val="p"/>
            </m:rPr>
            <m:t>⟹</m:t>
          </m:r>
          <m:r>
            <m:t>p</m:t>
          </m:r>
          <m:r>
            <m:rPr>
              <m:sty m:val="p"/>
            </m:rPr>
            <m:t>⋅</m:t>
          </m:r>
          <m:r>
            <m:t>q</m:t>
          </m:r>
          <m:r>
            <m:rPr>
              <m:sty m:val="p"/>
            </m:rPr>
            <m:t>≥</m:t>
          </m:r>
          <m:r>
            <m:t>C</m:t>
          </m:r>
          <m:r>
            <m:t>V</m:t>
          </m:r>
          <m:r>
            <m:rPr>
              <m:sty m:val="p"/>
            </m:rPr>
            <m:t>(</m:t>
          </m:r>
          <m:r>
            <m:t>q</m:t>
          </m:r>
          <m:r>
            <m:rPr>
              <m:sty m:val="p"/>
            </m:rPr>
            <m:t>)</m:t>
          </m:r>
          <m:r>
            <m:rPr>
              <m:sty m:val="p"/>
            </m:rPr>
            <m:t>⟹</m:t>
          </m:r>
          <m:r>
            <m:t>p</m:t>
          </m:r>
          <m:r>
            <m:rPr>
              <m:sty m:val="p"/>
            </m:rPr>
            <m:t>≥</m:t>
          </m:r>
          <m:r>
            <m:rPr>
              <m:sty m:val="p"/>
            </m:rPr>
            <m:t>C</m:t>
          </m:r>
          <m:r>
            <m:rPr>
              <m:sty m:val="p"/>
            </m:rPr>
            <m:t>V</m:t>
          </m:r>
          <m:r>
            <m:rPr>
              <m:sty m:val="p"/>
            </m:rPr>
            <m:t>M</m:t>
          </m:r>
          <m:r>
            <m:rPr>
              <m:sty m:val="p"/>
            </m:rPr>
            <m:t>e</m:t>
          </m:r>
          <m:r>
            <m:rPr>
              <m:sty m:val="p"/>
            </m:rPr>
            <m:t>(</m:t>
          </m:r>
          <m:r>
            <m:t>q</m:t>
          </m:r>
          <m:r>
            <m:rPr>
              <m:sty m:val="p"/>
            </m:rPr>
            <m:t>)</m:t>
          </m:r>
        </m:oMath>
      </m:oMathPara>
    </w:p>
    <w:bookmarkEnd w:id="760"/>
    <w:bookmarkStart w:id="761" w:name="condições-de-oferta-no-curto-prazo"/>
    <w:p>
      <w:pPr>
        <w:pStyle w:val="Heading4"/>
      </w:pPr>
      <w:r>
        <w:t xml:space="preserve">Condições de oferta no curto prazo</w:t>
      </w:r>
    </w:p>
    <w:p>
      <w:pPr>
        <w:pStyle w:val="FirstParagraph"/>
      </w:pPr>
      <w:r>
        <w:t xml:space="preserve">A</w:t>
      </w:r>
      <w:r>
        <w:t xml:space="preserve"> </w:t>
      </w:r>
      <w:hyperlink w:anchor="tabela-12-1">
        <w:r>
          <w:rPr>
            <w:rStyle w:val="Hyperlink"/>
          </w:rPr>
          <w:t xml:space="preserve">Tabela 12.1</w:t>
        </w:r>
      </w:hyperlink>
      <w:r>
        <w:t xml:space="preserve"> </w:t>
      </w:r>
      <w:r>
        <w:t xml:space="preserve">resume as condições de oferta da firma no curto prazo.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Condição de preço</w:t>
            </w:r>
          </w:p>
        </w:tc>
        <w:tc>
          <w:tcPr/>
          <w:p>
            <w:pPr>
              <w:pStyle w:val="Compact"/>
              <w:jc w:val="left"/>
            </w:pPr>
            <w:r>
              <w:t xml:space="preserve">Decisão</w:t>
            </w:r>
          </w:p>
        </w:tc>
        <w:tc>
          <w:tcPr/>
          <w:p>
            <w:pPr>
              <w:pStyle w:val="Compact"/>
              <w:jc w:val="left"/>
            </w:pPr>
            <w:r>
              <w:t xml:space="preserve">Lucro econômico</w:t>
            </w:r>
          </w:p>
        </w:tc>
      </w:tr>
      <w:tr>
        <w:tc>
          <w:tcPr/>
          <w:p>
            <w:pPr>
              <w:pStyle w:val="Compact"/>
              <w:jc w:val="left"/>
            </w:pPr>
            <m:oMath>
              <m:r>
                <m:t>p</m:t>
              </m:r>
              <m:r>
                <m:rPr>
                  <m:sty m:val="p"/>
                </m:rPr>
                <m:t>&gt;</m:t>
              </m:r>
              <m:sSub>
                <m:e>
                  <m:r>
                    <m:rPr>
                      <m:sty m:val="p"/>
                    </m:rPr>
                    <m:t>C</m:t>
                  </m:r>
                  <m:r>
                    <m:rPr>
                      <m:sty m:val="p"/>
                    </m:rPr>
                    <m:t>M</m:t>
                  </m:r>
                  <m:r>
                    <m:rPr>
                      <m:sty m:val="p"/>
                    </m:rPr>
                    <m:t>e</m:t>
                  </m:r>
                </m:e>
                <m:sub>
                  <m:r>
                    <m:rPr>
                      <m:sty m:val="p"/>
                    </m:rPr>
                    <m:t>min</m:t>
                  </m:r>
                </m:sub>
              </m:sSub>
            </m:oMath>
          </w:p>
        </w:tc>
        <w:tc>
          <w:tcPr/>
          <w:p>
            <w:pPr>
              <w:pStyle w:val="Compact"/>
              <w:jc w:val="left"/>
            </w:pPr>
            <w:r>
              <w:t xml:space="preserve">Produzir em</w:t>
            </w:r>
            <w:r>
              <w:t xml:space="preserve"> </w:t>
            </w:r>
            <m:oMath>
              <m:r>
                <m:t>p</m:t>
              </m:r>
              <m:r>
                <m:rPr>
                  <m:sty m:val="p"/>
                </m:rPr>
                <m:t>=</m:t>
              </m:r>
              <m:r>
                <m:rPr>
                  <m:sty m:val="p"/>
                </m:rPr>
                <m:t>C</m:t>
              </m:r>
              <m:r>
                <m:rPr>
                  <m:sty m:val="p"/>
                </m:rPr>
                <m:t>M</m:t>
              </m:r>
              <m:r>
                <m:rPr>
                  <m:sty m:val="p"/>
                </m:rPr>
                <m:t>g</m:t>
              </m:r>
            </m:oMath>
          </w:p>
        </w:tc>
        <w:tc>
          <w:tcPr/>
          <w:p>
            <w:pPr>
              <w:pStyle w:val="Compact"/>
              <w:jc w:val="left"/>
            </w:pPr>
            <w:r>
              <w:t xml:space="preserve">Lucro positivo</w:t>
            </w:r>
            <w:r>
              <w:t xml:space="preserve"> </w:t>
            </w:r>
            <m:oMath>
              <m:r>
                <m:rPr>
                  <m:sty m:val="p"/>
                </m:rPr>
                <m:t>(</m:t>
              </m:r>
              <m:r>
                <m:t>π</m:t>
              </m:r>
              <m:r>
                <m:rPr>
                  <m:sty m:val="p"/>
                </m:rPr>
                <m:t>&gt;</m:t>
              </m:r>
              <m:r>
                <m:t>0</m:t>
              </m:r>
              <m:r>
                <m:rPr>
                  <m:sty m:val="p"/>
                </m:rPr>
                <m:t>)</m:t>
              </m:r>
            </m:oMath>
          </w:p>
        </w:tc>
      </w:tr>
      <w:tr>
        <w:tc>
          <w:tcPr/>
          <w:p>
            <w:pPr>
              <w:pStyle w:val="Compact"/>
              <w:jc w:val="left"/>
            </w:pPr>
            <m:oMath>
              <m:r>
                <m:t>p</m:t>
              </m:r>
              <m:r>
                <m:rPr>
                  <m:sty m:val="p"/>
                </m:rPr>
                <m:t>=</m:t>
              </m:r>
              <m:sSub>
                <m:e>
                  <m:r>
                    <m:rPr>
                      <m:sty m:val="p"/>
                    </m:rPr>
                    <m:t>C</m:t>
                  </m:r>
                  <m:r>
                    <m:rPr>
                      <m:sty m:val="p"/>
                    </m:rPr>
                    <m:t>M</m:t>
                  </m:r>
                  <m:r>
                    <m:rPr>
                      <m:sty m:val="p"/>
                    </m:rPr>
                    <m:t>e</m:t>
                  </m:r>
                </m:e>
                <m:sub>
                  <m:r>
                    <m:rPr>
                      <m:sty m:val="p"/>
                    </m:rPr>
                    <m:t>min</m:t>
                  </m:r>
                </m:sub>
              </m:sSub>
            </m:oMath>
          </w:p>
        </w:tc>
        <w:tc>
          <w:tcPr/>
          <w:p>
            <w:pPr>
              <w:pStyle w:val="Compact"/>
              <w:jc w:val="left"/>
            </w:pPr>
            <w:r>
              <w:t xml:space="preserve">Produzir no ponto de lucro zero</w:t>
            </w:r>
          </w:p>
        </w:tc>
        <w:tc>
          <w:tcPr/>
          <w:p>
            <w:pPr>
              <w:pStyle w:val="Compact"/>
              <w:jc w:val="left"/>
            </w:pPr>
            <w:r>
              <w:t xml:space="preserve">Lucro zero (ponto de</w:t>
            </w:r>
            <w:r>
              <w:t xml:space="preserve"> </w:t>
            </w:r>
            <w:r>
              <w:rPr>
                <w:i/>
                <w:iCs/>
              </w:rPr>
              <w:t xml:space="preserve">break-even</w:t>
            </w:r>
            <w:r>
              <w:t xml:space="preserve">)</w:t>
            </w:r>
          </w:p>
        </w:tc>
      </w:tr>
      <w:tr>
        <w:tc>
          <w:tcPr/>
          <w:p>
            <w:pPr>
              <w:pStyle w:val="Compact"/>
              <w:jc w:val="left"/>
            </w:pPr>
            <m:oMath>
              <m:sSub>
                <m:e>
                  <m:r>
                    <m:rPr>
                      <m:sty m:val="p"/>
                    </m:rPr>
                    <m:t>C</m:t>
                  </m:r>
                  <m:r>
                    <m:rPr>
                      <m:sty m:val="p"/>
                    </m:rPr>
                    <m:t>V</m:t>
                  </m:r>
                  <m:r>
                    <m:rPr>
                      <m:sty m:val="p"/>
                    </m:rPr>
                    <m:t>M</m:t>
                  </m:r>
                  <m:r>
                    <m:rPr>
                      <m:sty m:val="p"/>
                    </m:rPr>
                    <m:t>e</m:t>
                  </m:r>
                </m:e>
                <m:sub>
                  <m:r>
                    <m:rPr>
                      <m:sty m:val="p"/>
                    </m:rPr>
                    <m:t>min</m:t>
                  </m:r>
                </m:sub>
              </m:sSub>
              <m:r>
                <m:rPr>
                  <m:sty m:val="p"/>
                </m:rPr>
                <m:t>&lt;</m:t>
              </m:r>
              <m:r>
                <m:t>p</m:t>
              </m:r>
              <m:r>
                <m:rPr>
                  <m:sty m:val="p"/>
                </m:rPr>
                <m:t>&lt;</m:t>
              </m:r>
              <m:sSub>
                <m:e>
                  <m:r>
                    <m:rPr>
                      <m:sty m:val="p"/>
                    </m:rPr>
                    <m:t>C</m:t>
                  </m:r>
                  <m:r>
                    <m:rPr>
                      <m:sty m:val="p"/>
                    </m:rPr>
                    <m:t>M</m:t>
                  </m:r>
                  <m:r>
                    <m:rPr>
                      <m:sty m:val="p"/>
                    </m:rPr>
                    <m:t>e</m:t>
                  </m:r>
                </m:e>
                <m:sub>
                  <m:r>
                    <m:rPr>
                      <m:sty m:val="p"/>
                    </m:rPr>
                    <m:t>min</m:t>
                  </m:r>
                </m:sub>
              </m:sSub>
            </m:oMath>
          </w:p>
        </w:tc>
        <w:tc>
          <w:tcPr/>
          <w:p>
            <w:pPr>
              <w:pStyle w:val="Compact"/>
              <w:jc w:val="left"/>
            </w:pPr>
            <w:r>
              <w:t xml:space="preserve">Produzir em</w:t>
            </w:r>
            <w:r>
              <w:t xml:space="preserve"> </w:t>
            </w:r>
            <m:oMath>
              <m:r>
                <m:t>p</m:t>
              </m:r>
              <m:r>
                <m:rPr>
                  <m:sty m:val="p"/>
                </m:rPr>
                <m:t>=</m:t>
              </m:r>
              <m:r>
                <m:rPr>
                  <m:sty m:val="p"/>
                </m:rPr>
                <m:t>C</m:t>
              </m:r>
              <m:r>
                <m:rPr>
                  <m:sty m:val="p"/>
                </m:rPr>
                <m:t>M</m:t>
              </m:r>
              <m:r>
                <m:rPr>
                  <m:sty m:val="p"/>
                </m:rPr>
                <m:t>g</m:t>
              </m:r>
            </m:oMath>
          </w:p>
        </w:tc>
        <w:tc>
          <w:tcPr/>
          <w:p>
            <w:pPr>
              <w:pStyle w:val="Compact"/>
              <w:jc w:val="left"/>
            </w:pPr>
            <w:r>
              <w:t xml:space="preserve">Prejuízo, mas menor que</w:t>
            </w:r>
            <w:r>
              <w:t xml:space="preserve"> </w:t>
            </w:r>
            <m:oMath>
              <m:r>
                <m:t>C</m:t>
              </m:r>
              <m:r>
                <m:t>F</m:t>
              </m:r>
            </m:oMath>
          </w:p>
        </w:tc>
      </w:tr>
      <w:tr>
        <w:tc>
          <w:tcPr/>
          <w:p>
            <w:pPr>
              <w:pStyle w:val="Compact"/>
              <w:jc w:val="left"/>
            </w:pPr>
            <m:oMath>
              <m:r>
                <m:t>p</m:t>
              </m:r>
              <m:r>
                <m:rPr>
                  <m:sty m:val="p"/>
                </m:rPr>
                <m:t>=</m:t>
              </m:r>
              <m:sSub>
                <m:e>
                  <m:r>
                    <m:rPr>
                      <m:sty m:val="p"/>
                    </m:rPr>
                    <m:t>C</m:t>
                  </m:r>
                  <m:r>
                    <m:rPr>
                      <m:sty m:val="p"/>
                    </m:rPr>
                    <m:t>V</m:t>
                  </m:r>
                  <m:r>
                    <m:rPr>
                      <m:sty m:val="p"/>
                    </m:rPr>
                    <m:t>M</m:t>
                  </m:r>
                  <m:r>
                    <m:rPr>
                      <m:sty m:val="p"/>
                    </m:rPr>
                    <m:t>e</m:t>
                  </m:r>
                </m:e>
                <m:sub>
                  <m:r>
                    <m:rPr>
                      <m:sty m:val="p"/>
                    </m:rPr>
                    <m:t>min</m:t>
                  </m:r>
                </m:sub>
              </m:sSub>
            </m:oMath>
          </w:p>
        </w:tc>
        <w:tc>
          <w:tcPr/>
          <w:p>
            <w:pPr>
              <w:pStyle w:val="Compact"/>
              <w:jc w:val="left"/>
            </w:pPr>
            <w:r>
              <w:t xml:space="preserve">Indiferente entre operar e fechar</w:t>
            </w:r>
          </w:p>
        </w:tc>
        <w:tc>
          <w:tcPr/>
          <w:p>
            <w:pPr>
              <w:pStyle w:val="Compact"/>
              <w:jc w:val="left"/>
            </w:pPr>
            <w:r>
              <w:t xml:space="preserve">Prejuízo igual a</w:t>
            </w:r>
            <w:r>
              <w:t xml:space="preserve"> </w:t>
            </w:r>
            <m:oMath>
              <m:r>
                <m:t>C</m:t>
              </m:r>
              <m:r>
                <m:t>F</m:t>
              </m:r>
            </m:oMath>
            <w:r>
              <w:t xml:space="preserve"> </w:t>
            </w:r>
            <w:r>
              <w:t xml:space="preserve">(ponto de fechamento)</w:t>
            </w:r>
          </w:p>
        </w:tc>
      </w:tr>
      <w:tr>
        <w:tc>
          <w:tcPr/>
          <w:p>
            <w:pPr>
              <w:pStyle w:val="Compact"/>
              <w:jc w:val="left"/>
            </w:pPr>
            <m:oMath>
              <m:r>
                <m:t>p</m:t>
              </m:r>
              <m:r>
                <m:rPr>
                  <m:sty m:val="p"/>
                </m:rPr>
                <m:t>&lt;</m:t>
              </m:r>
              <m:sSub>
                <m:e>
                  <m:r>
                    <m:rPr>
                      <m:sty m:val="p"/>
                    </m:rPr>
                    <m:t>C</m:t>
                  </m:r>
                  <m:r>
                    <m:rPr>
                      <m:sty m:val="p"/>
                    </m:rPr>
                    <m:t>V</m:t>
                  </m:r>
                  <m:r>
                    <m:rPr>
                      <m:sty m:val="p"/>
                    </m:rPr>
                    <m:t>M</m:t>
                  </m:r>
                  <m:r>
                    <m:rPr>
                      <m:sty m:val="p"/>
                    </m:rPr>
                    <m:t>e</m:t>
                  </m:r>
                </m:e>
                <m:sub>
                  <m:r>
                    <m:rPr>
                      <m:sty m:val="p"/>
                    </m:rPr>
                    <m:t>min</m:t>
                  </m:r>
                </m:sub>
              </m:sSub>
            </m:oMath>
          </w:p>
        </w:tc>
        <w:tc>
          <w:tcPr/>
          <w:p>
            <w:pPr>
              <w:pStyle w:val="Compact"/>
              <w:jc w:val="left"/>
            </w:pPr>
            <w:r>
              <w:t xml:space="preserve">Fechar (produção zero)</w:t>
            </w:r>
          </w:p>
        </w:tc>
        <w:tc>
          <w:tcPr/>
          <w:p>
            <w:pPr>
              <w:pStyle w:val="Compact"/>
              <w:jc w:val="left"/>
            </w:pPr>
            <w:r>
              <w:t xml:space="preserve">Prejuízo igual a</w:t>
            </w:r>
            <w:r>
              <w:t xml:space="preserve"> </w:t>
            </w:r>
            <m:oMath>
              <m:r>
                <m:t>C</m:t>
              </m:r>
              <m:r>
                <m:t>F</m:t>
              </m:r>
            </m:oMath>
          </w:p>
        </w:tc>
      </w:tr>
    </w:tbl>
    <w:p>
      <w:pPr>
        <w:pStyle w:val="BodyText"/>
      </w:pPr>
      <w:r>
        <w:rPr>
          <w:b/>
          <w:bCs/>
        </w:rPr>
        <w:t xml:space="preserve">Tabela 12.1 — Condições de oferta no curto prazo.</w:t>
      </w:r>
    </w:p>
    <w:p>
      <w:pPr>
        <w:pStyle w:val="BlockText"/>
      </w:pPr>
      <w:r>
        <w:rPr>
          <w:b/>
          <w:bCs/>
        </w:rPr>
        <w:t xml:space="preserve">[DEFINICAO] Curva de oferta de curto prazo</w:t>
      </w:r>
    </w:p>
    <w:p>
      <w:pPr>
        <w:pStyle w:val="BlockText"/>
      </w:pPr>
      <w:r>
        <w:t xml:space="preserve">A</w:t>
      </w:r>
      <w:r>
        <w:t xml:space="preserve"> </w:t>
      </w:r>
      <w:r>
        <w:rPr>
          <w:b/>
          <w:bCs/>
        </w:rPr>
        <w:t xml:space="preserve">curva de oferta de curto prazo</w:t>
      </w:r>
      <w:r>
        <w:t xml:space="preserve"> </w:t>
      </w:r>
      <w:r>
        <w:t xml:space="preserve">da firma tomadora de preços é o trecho da curva de custo marginal que está</w:t>
      </w:r>
      <w:r>
        <w:t xml:space="preserve"> </w:t>
      </w:r>
      <w:r>
        <w:rPr>
          <w:b/>
          <w:bCs/>
        </w:rPr>
        <w:t xml:space="preserve">acima</w:t>
      </w:r>
      <w:r>
        <w:t xml:space="preserve"> </w:t>
      </w:r>
      <w:r>
        <w:t xml:space="preserve">do custo variável médio mínimo:</w:t>
      </w:r>
    </w:p>
    <w:p>
      <w:pPr>
        <w:pStyle w:val="BlockText"/>
      </w:pPr>
      <w:r>
        <w:t xml:space="preserve">$$</w:t>
      </w:r>
    </w:p>
    <w:p>
      <w:pPr>
        <w:pStyle w:val="BlockText"/>
      </w:pPr>
      <w:r>
        <w:t xml:space="preserve">q^s(p) =</w:t>
      </w:r>
    </w:p>
    <w:p>
      <w:pPr>
        <w:pStyle w:val="BlockText"/>
      </w:pPr>
      <w:r>
        <w:t xml:space="preserve"> </w:t>
      </w:r>
    </w:p>
    <w:p>
      <w:pPr>
        <w:pStyle w:val="BlockText"/>
      </w:pPr>
      <w:r>
        <w:t xml:space="preserve">$$</w:t>
      </w:r>
    </w:p>
    <w:p>
      <w:pPr>
        <w:pStyle w:val="BlockText"/>
      </w:pPr>
      <w:r>
        <w:rPr>
          <w:b/>
          <w:bCs/>
        </w:rPr>
        <w:t xml:space="preserve">[NOTA] O excedente do produtor</w:t>
      </w:r>
    </w:p>
    <w:p>
      <w:pPr>
        <w:pStyle w:val="BlockText"/>
      </w:pPr>
      <w:r>
        <w:t xml:space="preserve">O</w:t>
      </w:r>
      <w:r>
        <w:t xml:space="preserve"> </w:t>
      </w:r>
      <w:r>
        <w:rPr>
          <w:b/>
          <w:bCs/>
        </w:rPr>
        <w:t xml:space="preserve">excedente do produtor</w:t>
      </w:r>
      <w:r>
        <w:t xml:space="preserve"> </w:t>
      </w:r>
      <w:r>
        <w:t xml:space="preserve">no curto prazo é a diferença entre a receita total e o custo variável:</w:t>
      </w:r>
    </w:p>
    <w:p>
      <w:pPr>
        <w:pStyle w:val="BlockText"/>
      </w:pPr>
      <w:r>
        <w:t xml:space="preserve">$$</w:t>
      </w:r>
    </w:p>
    <w:p>
      <w:pPr>
        <w:pStyle w:val="BlockText"/>
      </w:pPr>
      <w:r>
        <w:t xml:space="preserve">EP = RT - CV = p</w:t>
      </w:r>
      <w:r>
        <w:t xml:space="preserve"> </w:t>
      </w:r>
      <w:r>
        <w:t xml:space="preserve">q - CV(q) =</w:t>
      </w:r>
      <w:r>
        <w:t xml:space="preserve"> </w:t>
      </w:r>
      <w:r>
        <w:t xml:space="preserve">+ CF</w:t>
      </w:r>
    </w:p>
    <w:p>
      <w:pPr>
        <w:pStyle w:val="BlockText"/>
      </w:pPr>
      <w:r>
        <w:t xml:space="preserve">$$</w:t>
      </w:r>
    </w:p>
    <w:p>
      <w:pPr>
        <w:pStyle w:val="BlockText"/>
      </w:pPr>
      <w:r>
        <w:t xml:space="preserve">Graficamente, é a área acima da curva de oferta (CMg) e abaixo do preço. O excedente do produtor é a medida apropriada de bem-estar do lado da oferta no curto prazo, pois mede a contribuição da produção para cobrir os custos fixos e gerar lucro. No longo prazo, quando todos os fatores são variáveis, o excedente do produtor de longo prazo coincide com o lucro econômico (pois não há custos fixos irrecuperáveis):</w:t>
      </w:r>
      <w:r>
        <w:t xml:space="preserve"> </w:t>
      </w:r>
      <m:oMath>
        <m:r>
          <m:t>E</m:t>
        </m:r>
        <m:sSub>
          <m:e>
            <m:r>
              <m:t>P</m:t>
            </m:r>
          </m:e>
          <m:sub>
            <m:r>
              <m:t>L</m:t>
            </m:r>
            <m:r>
              <m:t>P</m:t>
            </m:r>
          </m:sub>
        </m:sSub>
        <m:r>
          <m:rPr>
            <m:sty m:val="p"/>
          </m:rPr>
          <m:t>=</m:t>
        </m:r>
        <m:sSub>
          <m:e>
            <m:r>
              <m:t>π</m:t>
            </m:r>
          </m:e>
          <m:sub>
            <m:r>
              <m:t>L</m:t>
            </m:r>
            <m:r>
              <m:t>P</m:t>
            </m:r>
          </m:sub>
        </m:sSub>
      </m:oMath>
      <w:r>
        <w:t xml:space="preserve">. Com livre entrada e saída e tecnologia constante, o Capítulo 13 mostrará que</w:t>
      </w:r>
      <w:r>
        <w:t xml:space="preserve"> </w:t>
      </w:r>
      <m:oMath>
        <m:sSub>
          <m:e>
            <m:r>
              <m:t>π</m:t>
            </m:r>
          </m:e>
          <m:sub>
            <m:r>
              <m:t>L</m:t>
            </m:r>
            <m:r>
              <m:t>P</m:t>
            </m:r>
          </m:sub>
        </m:sSub>
        <m:r>
          <m:rPr>
            <m:sty m:val="p"/>
          </m:rPr>
          <m:t>=</m:t>
        </m:r>
        <m:r>
          <m:t>0</m:t>
        </m:r>
      </m:oMath>
      <w:r>
        <w:t xml:space="preserve"> </w:t>
      </w:r>
      <w:r>
        <w:t xml:space="preserve">em equilíbrio — e portanto o excedente do produtor de longo prazo tende a zero, sendo toda a renda capitalizada nos fatores escassos (terra, licenças, habilidades específicas).</w:t>
      </w:r>
    </w:p>
    <w:p>
      <w:pPr>
        <w:pStyle w:val="BlockText"/>
      </w:pPr>
      <w:r>
        <w:rPr>
          <w:b/>
          <w:bCs/>
        </w:rPr>
        <w:t xml:space="preserve">[INTUICAO ECONOMICA] Intuição Econômica</w:t>
      </w:r>
    </w:p>
    <w:p>
      <w:pPr>
        <w:pStyle w:val="BlockText"/>
      </w:pPr>
      <w:r>
        <w:rPr>
          <w:b/>
          <w:bCs/>
        </w:rPr>
        <w:t xml:space="preserve">Em uma frase:</w:t>
      </w:r>
      <w:r>
        <w:t xml:space="preserve"> </w:t>
      </w:r>
      <w:r>
        <w:t xml:space="preserve">Uma firma com prejuízo pode racionalmente continuar operando, desde que a receita cubra pelo menos os custos variáveis.</w:t>
      </w:r>
    </w:p>
    <w:p>
      <w:pPr>
        <w:pStyle w:val="BlockText"/>
      </w:pPr>
      <w:r>
        <w:rPr>
          <w:b/>
          <w:bCs/>
        </w:rPr>
        <w:t xml:space="preserve">Pense assim:</w:t>
      </w:r>
      <w:r>
        <w:t xml:space="preserve"> </w:t>
      </w:r>
      <w:r>
        <w:t xml:space="preserve">Imagine um quiosque na praia que paga R$ 3.000 de aluguel por mês (custo fixo). Se fechar, perde os R$ 3.000 de qualquer jeito. Se abrir e faturar o suficiente para pagar funcionários, insumos e ainda sobrar R$ 500, é melhor abrir — mesmo com prejuízo. O aluguel já é</w:t>
      </w:r>
      <w:r>
        <w:t xml:space="preserve"> </w:t>
      </w:r>
      <w:r>
        <w:t xml:space="preserve">“dinheiro perdido”</w:t>
      </w:r>
      <w:r>
        <w:t xml:space="preserve"> </w:t>
      </w:r>
      <w:r>
        <w:t xml:space="preserve">no curto prazo. Fechar só vale a pena quando nem os custos variáveis se pagam.</w:t>
      </w:r>
    </w:p>
    <w:p>
      <w:pPr>
        <w:pStyle w:val="BlockText"/>
      </w:pPr>
      <w:r>
        <w:rPr>
          <w:b/>
          <w:bCs/>
        </w:rPr>
        <w:t xml:space="preserve">Por que isso importa:</w:t>
      </w:r>
      <w:r>
        <w:t xml:space="preserve"> </w:t>
      </w:r>
      <w:r>
        <w:t xml:space="preserve">Essa lógica explica por que tantas MPEs brasileiras operam com prejuízo por meses antes de fechar — e por que o SEBRAE monitora a taxa de mortalidade empresarial nos primeiros cinco anos.</w:t>
      </w:r>
    </w:p>
    <w:p>
      <w:pPr>
        <w:pStyle w:val="FirstParagraph"/>
      </w:pPr>
      <w:r>
        <w:t xml:space="preserve">[FIGURA INTERATIVA: /micro-book/graficos/cap12/lucro-maximo.html — versao interativa disponivel online]</w:t>
      </w:r>
    </w:p>
    <w:p>
      <w:pPr>
        <w:pStyle w:val="BodyText"/>
      </w:pPr>
      <w:r>
        <w:rPr>
          <w:b/>
          <w:bCs/>
        </w:rPr>
        <w:t xml:space="preserve">Figura 12.3 — Lucro máximo e excedente do produtor.</w:t>
      </w:r>
      <w:r>
        <w:t xml:space="preserve"> </w:t>
      </w:r>
      <w:r>
        <w:t xml:space="preserve">Ajuste o preço</w:t>
      </w:r>
      <w:r>
        <w:t xml:space="preserve"> </w:t>
      </w:r>
      <m:oMath>
        <m:r>
          <m:t>p</m:t>
        </m:r>
      </m:oMath>
      <w:r>
        <w:t xml:space="preserve"> </w:t>
      </w:r>
      <w:r>
        <w:t xml:space="preserve">para visualizar a quantidade ótima</w:t>
      </w:r>
      <w:r>
        <w:t xml:space="preserve"> </w:t>
      </w:r>
      <m:oMath>
        <m:sSup>
          <m:e>
            <m:r>
              <m:t>q</m:t>
            </m:r>
          </m:e>
          <m:sup>
            <m:r>
              <m:rPr>
                <m:sty m:val="p"/>
              </m:rPr>
              <m:t>*</m:t>
            </m:r>
          </m:sup>
        </m:sSup>
      </m:oMath>
      <w:r>
        <w:t xml:space="preserve"> </w:t>
      </w:r>
      <w:r>
        <w:t xml:space="preserve">onde</w:t>
      </w:r>
      <w:r>
        <w:t xml:space="preserve"> </w:t>
      </w:r>
      <m:oMath>
        <m:r>
          <m:t>p</m:t>
        </m:r>
        <m:r>
          <m:rPr>
            <m:sty m:val="p"/>
          </m:rPr>
          <m:t>=</m:t>
        </m:r>
        <m:r>
          <m:rPr>
            <m:sty m:val="p"/>
          </m:rPr>
          <m:t>C</m:t>
        </m:r>
        <m:r>
          <m:rPr>
            <m:sty m:val="p"/>
          </m:rPr>
          <m:t>M</m:t>
        </m:r>
        <m:r>
          <m:rPr>
            <m:sty m:val="p"/>
          </m:rPr>
          <m:t>g</m:t>
        </m:r>
      </m:oMath>
      <w:r>
        <w:t xml:space="preserve">, o retângulo de lucro (ou prejuízo) sombreado, o excedente do produtor (área entre</w:t>
      </w:r>
      <w:r>
        <w:t xml:space="preserve"> </w:t>
      </w:r>
      <m:oMath>
        <m:r>
          <m:t>p</m:t>
        </m:r>
      </m:oMath>
      <w:r>
        <w:t xml:space="preserve"> </w:t>
      </w:r>
      <w:r>
        <w:t xml:space="preserve">e CMg) e a condição de fechamento. Compare os três regimes: lucro positivo (</w:t>
      </w:r>
      <m:oMath>
        <m:r>
          <m:t>p</m:t>
        </m:r>
        <m:r>
          <m:rPr>
            <m:sty m:val="p"/>
          </m:rPr>
          <m:t>≥</m:t>
        </m:r>
        <m:sSub>
          <m:e>
            <m:r>
              <m:rPr>
                <m:sty m:val="p"/>
              </m:rPr>
              <m:t>C</m:t>
            </m:r>
            <m:r>
              <m:rPr>
                <m:sty m:val="p"/>
              </m:rPr>
              <m:t>T</m:t>
            </m:r>
            <m:r>
              <m:rPr>
                <m:sty m:val="p"/>
              </m:rPr>
              <m:t>M</m:t>
            </m:r>
            <m:r>
              <m:rPr>
                <m:sty m:val="p"/>
              </m:rPr>
              <m:t>e</m:t>
            </m:r>
          </m:e>
          <m:sub>
            <m:r>
              <m:rPr>
                <m:sty m:val="p"/>
              </m:rPr>
              <m:t>min</m:t>
            </m:r>
          </m:sub>
        </m:sSub>
      </m:oMath>
      <w:r>
        <w:t xml:space="preserve">), prejuízo com operação (</w:t>
      </w:r>
      <m:oMath>
        <m:sSub>
          <m:e>
            <m:r>
              <m:rPr>
                <m:sty m:val="p"/>
              </m:rPr>
              <m:t>C</m:t>
            </m:r>
            <m:r>
              <m:rPr>
                <m:sty m:val="p"/>
              </m:rPr>
              <m:t>V</m:t>
            </m:r>
            <m:r>
              <m:rPr>
                <m:sty m:val="p"/>
              </m:rPr>
              <m:t>M</m:t>
            </m:r>
            <m:r>
              <m:rPr>
                <m:sty m:val="p"/>
              </m:rPr>
              <m:t>e</m:t>
            </m:r>
          </m:e>
          <m:sub>
            <m:r>
              <m:rPr>
                <m:sty m:val="p"/>
              </m:rPr>
              <m:t>min</m:t>
            </m:r>
          </m:sub>
        </m:sSub>
        <m:r>
          <m:rPr>
            <m:sty m:val="p"/>
          </m:rPr>
          <m:t>≤</m:t>
        </m:r>
        <m:r>
          <m:t>p</m:t>
        </m:r>
        <m:r>
          <m:rPr>
            <m:sty m:val="p"/>
          </m:rPr>
          <m:t>&lt;</m:t>
        </m:r>
        <m:sSub>
          <m:e>
            <m:r>
              <m:rPr>
                <m:sty m:val="p"/>
              </m:rPr>
              <m:t>C</m:t>
            </m:r>
            <m:r>
              <m:rPr>
                <m:sty m:val="p"/>
              </m:rPr>
              <m:t>T</m:t>
            </m:r>
            <m:r>
              <m:rPr>
                <m:sty m:val="p"/>
              </m:rPr>
              <m:t>M</m:t>
            </m:r>
            <m:r>
              <m:rPr>
                <m:sty m:val="p"/>
              </m:rPr>
              <m:t>e</m:t>
            </m:r>
          </m:e>
          <m:sub>
            <m:r>
              <m:rPr>
                <m:sty m:val="p"/>
              </m:rPr>
              <m:t>min</m:t>
            </m:r>
          </m:sub>
        </m:sSub>
      </m:oMath>
      <w:r>
        <w:t xml:space="preserve">) e fechamento (</w:t>
      </w:r>
      <m:oMath>
        <m:r>
          <m:t>p</m:t>
        </m:r>
        <m:r>
          <m:rPr>
            <m:sty m:val="p"/>
          </m:rPr>
          <m:t>&lt;</m:t>
        </m:r>
        <m:sSub>
          <m:e>
            <m:r>
              <m:rPr>
                <m:sty m:val="p"/>
              </m:rPr>
              <m:t>C</m:t>
            </m:r>
            <m:r>
              <m:rPr>
                <m:sty m:val="p"/>
              </m:rPr>
              <m:t>V</m:t>
            </m:r>
            <m:r>
              <m:rPr>
                <m:sty m:val="p"/>
              </m:rPr>
              <m:t>M</m:t>
            </m:r>
            <m:r>
              <m:rPr>
                <m:sty m:val="p"/>
              </m:rPr>
              <m:t>e</m:t>
            </m:r>
          </m:e>
          <m:sub>
            <m:r>
              <m:rPr>
                <m:sty m:val="p"/>
              </m:rPr>
              <m:t>min</m:t>
            </m:r>
          </m:sub>
        </m:sSub>
      </m:oMath>
      <w:r>
        <w:t xml:space="preserve">).</w:t>
      </w:r>
    </w:p>
    <w:p>
      <w:r>
        <w:pict>
          <v:rect style="width:0;height:1.5pt" o:hralign="center" o:hrstd="t" o:hr="t"/>
        </w:pict>
      </w:r>
    </w:p>
    <w:p>
      <w:pPr>
        <w:pStyle w:val="BlockText"/>
      </w:pPr>
      <w:r>
        <w:rPr>
          <w:b/>
          <w:bCs/>
        </w:rPr>
        <w:t xml:space="preserve">[BOX BRASIL] Box Brasil — Soja: quando o preço sobe, a área plantada responde</w:t>
      </w:r>
    </w:p>
    <w:p>
      <w:pPr>
        <w:pStyle w:val="BlockText"/>
      </w:pPr>
      <w:r>
        <w:t xml:space="preserve">O Brasil é o maior produtor e exportador mundial de soja, e a evolução da área plantada nas últimas safras oferece uma demonstração empírica direta da</w:t>
      </w:r>
      <w:r>
        <w:t xml:space="preserve"> </w:t>
      </w:r>
      <w:r>
        <w:rPr>
          <w:b/>
          <w:bCs/>
        </w:rPr>
        <w:t xml:space="preserve">curva de oferta</w:t>
      </w:r>
      <w:r>
        <w:t xml:space="preserve"> </w:t>
      </w:r>
      <w:r>
        <w:t xml:space="preserve">derivada na Seção 12.4.</w:t>
      </w:r>
    </w:p>
    <w:p>
      <w:pPr>
        <w:pStyle w:val="BlockText"/>
      </w:pPr>
      <w:r>
        <w:rPr>
          <w:b/>
          <w:bCs/>
        </w:rPr>
        <w:t xml:space="preserve">Dados da</w:t>
      </w:r>
      <w:r>
        <w:rPr>
          <w:b/>
          <w:bCs/>
        </w:rPr>
        <w:t xml:space="preserve"> </w:t>
      </w:r>
      <w:hyperlink r:id="rId659">
        <w:r>
          <w:rPr>
            <w:rStyle w:val="Hyperlink"/>
            <w:b/>
            <w:bCs/>
          </w:rPr>
          <w:t xml:space="preserve">CONAB</w:t>
        </w:r>
      </w:hyperlink>
      <w:r>
        <w:rPr>
          <w:b/>
          <w:bCs/>
        </w:rPr>
        <w:t xml:space="preserve"> </w:t>
      </w:r>
      <w:r>
        <w:rPr>
          <w:b/>
          <w:bCs/>
        </w:rPr>
        <w:t xml:space="preserve">(Companhia Nacional de Abastecimento):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Safra</w:t>
            </w:r>
          </w:p>
        </w:tc>
        <w:tc>
          <w:tcPr/>
          <w:p>
            <w:pPr>
              <w:pStyle w:val="Compact"/>
              <w:jc w:val="left"/>
            </w:pPr>
            <w:r>
              <w:t xml:space="preserve">Área plantada (milhões de ha)</w:t>
            </w:r>
          </w:p>
        </w:tc>
        <w:tc>
          <w:tcPr/>
          <w:p>
            <w:pPr>
              <w:pStyle w:val="Compact"/>
              <w:jc w:val="left"/>
            </w:pPr>
            <w:r>
              <w:t xml:space="preserve">Variação anual</w:t>
            </w:r>
          </w:p>
        </w:tc>
      </w:tr>
      <w:tr>
        <w:tc>
          <w:tcPr/>
          <w:p>
            <w:pPr>
              <w:pStyle w:val="Compact"/>
              <w:jc w:val="left"/>
            </w:pPr>
            <w:r>
              <w:t xml:space="preserve">2022/23</w:t>
            </w:r>
          </w:p>
        </w:tc>
        <w:tc>
          <w:tcPr/>
          <w:p>
            <w:pPr>
              <w:pStyle w:val="Compact"/>
              <w:jc w:val="left"/>
            </w:pPr>
            <w:r>
              <w:t xml:space="preserve">44,1</w:t>
            </w:r>
          </w:p>
        </w:tc>
        <w:tc>
          <w:tcPr/>
          <w:p>
            <w:pPr>
              <w:pStyle w:val="Compact"/>
              <w:jc w:val="left"/>
            </w:pPr>
            <w:r>
              <w:t xml:space="preserve">—</w:t>
            </w:r>
          </w:p>
        </w:tc>
      </w:tr>
      <w:tr>
        <w:tc>
          <w:tcPr/>
          <w:p>
            <w:pPr>
              <w:pStyle w:val="Compact"/>
              <w:jc w:val="left"/>
            </w:pPr>
            <w:r>
              <w:t xml:space="preserve">2023/24</w:t>
            </w:r>
          </w:p>
        </w:tc>
        <w:tc>
          <w:tcPr/>
          <w:p>
            <w:pPr>
              <w:pStyle w:val="Compact"/>
              <w:jc w:val="left"/>
            </w:pPr>
            <w:r>
              <w:t xml:space="preserve">46,1</w:t>
            </w:r>
          </w:p>
        </w:tc>
        <w:tc>
          <w:tcPr/>
          <w:p>
            <w:pPr>
              <w:pStyle w:val="Compact"/>
              <w:jc w:val="left"/>
            </w:pPr>
            <w:r>
              <w:t xml:space="preserve">+4,5%</w:t>
            </w:r>
          </w:p>
        </w:tc>
      </w:tr>
      <w:tr>
        <w:tc>
          <w:tcPr/>
          <w:p>
            <w:pPr>
              <w:pStyle w:val="Compact"/>
              <w:jc w:val="left"/>
            </w:pPr>
            <w:r>
              <w:t xml:space="preserve">2024/25</w:t>
            </w:r>
          </w:p>
        </w:tc>
        <w:tc>
          <w:tcPr/>
          <w:p>
            <w:pPr>
              <w:pStyle w:val="Compact"/>
              <w:jc w:val="left"/>
            </w:pPr>
            <w:r>
              <w:t xml:space="preserve">47,5</w:t>
            </w:r>
          </w:p>
        </w:tc>
        <w:tc>
          <w:tcPr/>
          <w:p>
            <w:pPr>
              <w:pStyle w:val="Compact"/>
              <w:jc w:val="left"/>
            </w:pPr>
            <w:r>
              <w:t xml:space="preserve">+3,0%</w:t>
            </w:r>
          </w:p>
        </w:tc>
      </w:tr>
      <w:tr>
        <w:tc>
          <w:tcPr/>
          <w:p>
            <w:pPr>
              <w:pStyle w:val="Compact"/>
              <w:jc w:val="left"/>
            </w:pPr>
            <w:r>
              <w:t xml:space="preserve">2025/26 (est.)</w:t>
            </w:r>
          </w:p>
        </w:tc>
        <w:tc>
          <w:tcPr/>
          <w:p>
            <w:pPr>
              <w:pStyle w:val="Compact"/>
              <w:jc w:val="left"/>
            </w:pPr>
            <w:r>
              <w:t xml:space="preserve">48,9</w:t>
            </w:r>
          </w:p>
        </w:tc>
        <w:tc>
          <w:tcPr/>
          <w:p>
            <w:pPr>
              <w:pStyle w:val="Compact"/>
              <w:jc w:val="left"/>
            </w:pPr>
            <w:r>
              <w:t xml:space="preserve">+2,9%</w:t>
            </w:r>
          </w:p>
        </w:tc>
      </w:tr>
    </w:tbl>
    <w:p>
      <w:pPr>
        <w:pStyle w:val="BlockText"/>
      </w:pPr>
      <w:r>
        <w:t xml:space="preserve">Entre as safras 2022/23 e 2025/26, a área plantada expandiu cerca de</w:t>
      </w:r>
      <w:r>
        <w:t xml:space="preserve"> </w:t>
      </w:r>
      <w:r>
        <w:rPr>
          <w:b/>
          <w:bCs/>
        </w:rPr>
        <w:t xml:space="preserve">4,8 milhões de hectares</w:t>
      </w:r>
      <w:r>
        <w:t xml:space="preserve"> </w:t>
      </w:r>
      <w:r>
        <w:t xml:space="preserve">— equivalente a mais de duas vezes a área do estado de Sergipe. Essa expansão acompanhou um período de preços internacionais atrativos da soja, com a cotação em Chicago superando US$ 14/bushel em 2022.</w:t>
      </w:r>
    </w:p>
    <w:p>
      <w:pPr>
        <w:pStyle w:val="BlockText"/>
      </w:pPr>
      <w:r>
        <w:rPr>
          <w:b/>
          <w:bCs/>
        </w:rPr>
        <w:t xml:space="preserve">Interpretação via teoria da firma</w:t>
      </w:r>
    </w:p>
    <w:p>
      <w:pPr>
        <w:pStyle w:val="BlockText"/>
      </w:pPr>
      <w:r>
        <w:t xml:space="preserve">O produtor rural é, em boa aproximação, um</w:t>
      </w:r>
      <w:r>
        <w:t xml:space="preserve"> </w:t>
      </w:r>
      <w:r>
        <w:rPr>
          <w:b/>
          <w:bCs/>
        </w:rPr>
        <w:t xml:space="preserve">tomador de preços</w:t>
      </w:r>
      <w:r>
        <w:t xml:space="preserve"> </w:t>
      </w:r>
      <w:r>
        <w:t xml:space="preserve">(o preço é determinado em bolsa). Quando o preço da soja sobe acima do custo variável médio mínimo de terras marginais (cerrado ainda não convertido, áreas de segunda safra), a decisão de ofertar é racional: cada hectare adicional gera receita que supera o custo variável.</w:t>
      </w:r>
    </w:p>
    <w:p>
      <w:pPr>
        <w:pStyle w:val="BlockText"/>
      </w:pPr>
      <w:r>
        <w:t xml:space="preserve">No curto prazo, a oferta é relativamente inelástica — a safra já está plantada e a produção depende do clima. No longo prazo, porém, a resposta é substancial: abertura de novas áreas, conversão de pastagens, investimento em irrigação e tecnologia de sementes. A elasticidade-preço da oferta de longo prazo da soja brasileira é estimada entre 0,3 e 0,8, dependendo da região.</w:t>
      </w:r>
    </w:p>
    <w:p>
      <w:pPr>
        <w:pStyle w:val="BlockText"/>
      </w:pPr>
      <w:r>
        <w:t xml:space="preserve">A decisão de</w:t>
      </w:r>
      <w:r>
        <w:t xml:space="preserve"> </w:t>
      </w:r>
      <w:r>
        <w:rPr>
          <w:b/>
          <w:bCs/>
        </w:rPr>
        <w:t xml:space="preserve">fechar</w:t>
      </w:r>
      <w:r>
        <w:t xml:space="preserve"> </w:t>
      </w:r>
      <w:r>
        <w:t xml:space="preserve">também é observável: quando o preço cai abaixo do custo variável (como ocorreu em algumas regiões na safra 2023/24 devido a quebra climática e custos elevados de fertilizantes), produtores optam por não plantar a segunda safra — exatamente como prevê a condição</w:t>
      </w:r>
      <w:r>
        <w:t xml:space="preserve"> </w:t>
      </w:r>
      <m:oMath>
        <m:r>
          <m:t>p</m:t>
        </m:r>
        <m:r>
          <m:rPr>
            <m:sty m:val="p"/>
          </m:rPr>
          <m:t>&lt;</m:t>
        </m:r>
        <m:sSub>
          <m:e>
            <m:r>
              <m:rPr>
                <m:sty m:val="p"/>
              </m:rPr>
              <m:t>C</m:t>
            </m:r>
            <m:r>
              <m:rPr>
                <m:sty m:val="p"/>
              </m:rPr>
              <m:t>V</m:t>
            </m:r>
            <m:r>
              <m:rPr>
                <m:sty m:val="p"/>
              </m:rPr>
              <m:t>M</m:t>
            </m:r>
            <m:r>
              <m:rPr>
                <m:sty m:val="p"/>
              </m:rPr>
              <m:t>e</m:t>
            </m:r>
          </m:e>
          <m:sub>
            <m:r>
              <m:rPr>
                <m:sty m:val="p"/>
              </m:rPr>
              <m:t>min</m:t>
            </m:r>
          </m:sub>
        </m:sSub>
      </m:oMath>
      <w:r>
        <w:t xml:space="preserve">.</w:t>
      </w:r>
    </w:p>
    <w:p>
      <w:pPr>
        <w:pStyle w:val="BlockText"/>
      </w:pPr>
      <w:r>
        <w:rPr>
          <w:b/>
          <w:bCs/>
        </w:rPr>
        <w:t xml:space="preserve">Fonte</w:t>
      </w:r>
      <w:r>
        <w:t xml:space="preserve">: CONAB, Acompanhamento da Safra Brasileira de Grãos (2023–2026);</w:t>
      </w:r>
      <w:r>
        <w:t xml:space="preserve"> </w:t>
      </w:r>
      <w:hyperlink r:id="rId288">
        <w:r>
          <w:rPr>
            <w:rStyle w:val="Hyperlink"/>
          </w:rPr>
          <w:t xml:space="preserve">CEPEA/ESALQ</w:t>
        </w:r>
      </w:hyperlink>
      <w:r>
        <w:t xml:space="preserve">.</w:t>
      </w:r>
    </w:p>
    <w:p>
      <w:pPr>
        <w:pStyle w:val="BlockText"/>
      </w:pPr>
      <w:r>
        <w:rPr>
          <w:b/>
          <w:bCs/>
        </w:rPr>
        <w:t xml:space="preserve">[EXERCICIO RESOLVIDO] Exercício Resolvido 12.2 — Decisão de operar ou fechar no curto prazo</w:t>
      </w:r>
    </w:p>
    <w:p>
      <w:pPr>
        <w:pStyle w:val="BlockText"/>
      </w:pPr>
      <w:r>
        <w:rPr>
          <w:b/>
          <w:bCs/>
        </w:rPr>
        <w:t xml:space="preserve">Enunciado:</w:t>
      </w:r>
      <w:r>
        <w:t xml:space="preserve"> </w:t>
      </w:r>
      <w:r>
        <w:t xml:space="preserve">Uma firma tomadora de preços tem custo total de curto prazo</w:t>
      </w:r>
      <w:r>
        <w:t xml:space="preserve"> </w:t>
      </w:r>
      <m:oMath>
        <m:r>
          <m:t>C</m:t>
        </m:r>
        <m:r>
          <m:t>T</m:t>
        </m:r>
        <m:r>
          <m:rPr>
            <m:sty m:val="p"/>
          </m:rPr>
          <m:t>(</m:t>
        </m:r>
        <m:r>
          <m:t>q</m:t>
        </m:r>
        <m:r>
          <m:rPr>
            <m:sty m:val="p"/>
          </m:rPr>
          <m:t>)</m:t>
        </m:r>
        <m:r>
          <m:rPr>
            <m:sty m:val="p"/>
          </m:rPr>
          <m:t>=</m:t>
        </m:r>
        <m:r>
          <m:t>72</m:t>
        </m:r>
        <m:r>
          <m:rPr>
            <m:sty m:val="p"/>
          </m:rPr>
          <m:t>+</m:t>
        </m:r>
        <m:r>
          <m:t>10</m:t>
        </m:r>
        <m:r>
          <m:t>q</m:t>
        </m:r>
        <m:r>
          <m:rPr>
            <m:sty m:val="p"/>
          </m:rPr>
          <m:t>+</m:t>
        </m:r>
        <m:r>
          <m:t>0</m:t>
        </m:r>
        <m:r>
          <m:rPr>
            <m:sty m:val="p"/>
          </m:rPr>
          <m:t>,</m:t>
        </m:r>
        <m:r>
          <m:t>5</m:t>
        </m:r>
        <m:sSup>
          <m:e>
            <m:r>
              <m:t>q</m:t>
            </m:r>
          </m:e>
          <m:sup>
            <m:r>
              <m:t>2</m:t>
            </m:r>
          </m:sup>
        </m:sSup>
      </m:oMath>
      <w:r>
        <w:t xml:space="preserve">. O preço de mercado é</w:t>
      </w:r>
      <w:r>
        <w:t xml:space="preserve"> </w:t>
      </w:r>
      <m:oMath>
        <m:r>
          <m:t>p</m:t>
        </m:r>
        <m:r>
          <m:rPr>
            <m:sty m:val="p"/>
          </m:rPr>
          <m:t>=</m:t>
        </m:r>
        <m:r>
          <m:t>16</m:t>
        </m:r>
      </m:oMath>
      <w:r>
        <w:t xml:space="preserve">. A firma deve operar ou fechar? Qual o lucro?</w:t>
      </w:r>
    </w:p>
    <w:p>
      <w:pPr>
        <w:pStyle w:val="BlockText"/>
      </w:pPr>
      <w:r>
        <w:rPr>
          <w:b/>
          <w:bCs/>
        </w:rPr>
        <w:t xml:space="preserve">Dados:</w:t>
      </w:r>
      <w:r>
        <w:t xml:space="preserve"> </w:t>
      </w:r>
      <m:oMath>
        <m:r>
          <m:t>C</m:t>
        </m:r>
        <m:r>
          <m:t>F</m:t>
        </m:r>
        <m:r>
          <m:rPr>
            <m:sty m:val="p"/>
          </m:rPr>
          <m:t>=</m:t>
        </m:r>
        <m:r>
          <m:t>72</m:t>
        </m:r>
      </m:oMath>
      <w:r>
        <w:t xml:space="preserve">;</w:t>
      </w:r>
      <w:r>
        <w:t xml:space="preserve"> </w:t>
      </w:r>
      <m:oMath>
        <m:r>
          <m:t>C</m:t>
        </m:r>
        <m:r>
          <m:t>V</m:t>
        </m:r>
        <m:r>
          <m:rPr>
            <m:sty m:val="p"/>
          </m:rPr>
          <m:t>(</m:t>
        </m:r>
        <m:r>
          <m:t>q</m:t>
        </m:r>
        <m:r>
          <m:rPr>
            <m:sty m:val="p"/>
          </m:rPr>
          <m:t>)</m:t>
        </m:r>
        <m:r>
          <m:rPr>
            <m:sty m:val="p"/>
          </m:rPr>
          <m:t>=</m:t>
        </m:r>
        <m:r>
          <m:t>10</m:t>
        </m:r>
        <m:r>
          <m:t>q</m:t>
        </m:r>
        <m:r>
          <m:rPr>
            <m:sty m:val="p"/>
          </m:rPr>
          <m:t>+</m:t>
        </m:r>
        <m:r>
          <m:t>0</m:t>
        </m:r>
        <m:r>
          <m:rPr>
            <m:sty m:val="p"/>
          </m:rPr>
          <m:t>,</m:t>
        </m:r>
        <m:r>
          <m:t>5</m:t>
        </m:r>
        <m:sSup>
          <m:e>
            <m:r>
              <m:t>q</m:t>
            </m:r>
          </m:e>
          <m:sup>
            <m:r>
              <m:t>2</m:t>
            </m:r>
          </m:sup>
        </m:sSup>
      </m:oMath>
      <w:r>
        <w:t xml:space="preserve">;</w:t>
      </w:r>
      <w:r>
        <w:t xml:space="preserve"> </w:t>
      </w:r>
      <m:oMath>
        <m:r>
          <m:t>p</m:t>
        </m:r>
        <m:r>
          <m:rPr>
            <m:sty m:val="p"/>
          </m:rPr>
          <m:t>=</m:t>
        </m:r>
        <m:r>
          <m:t>16</m:t>
        </m:r>
      </m:oMath>
      <w:r>
        <w:t xml:space="preserve">.</w:t>
      </w:r>
    </w:p>
    <w:p>
      <w:pPr>
        <w:pStyle w:val="BlockText"/>
      </w:pPr>
      <w:r>
        <w:rPr>
          <w:b/>
          <w:bCs/>
        </w:rPr>
        <w:t xml:space="preserve">Resolução:</w:t>
      </w:r>
    </w:p>
    <w:p>
      <w:pPr>
        <w:pStyle w:val="BlockText"/>
      </w:pPr>
      <w:r>
        <w:rPr>
          <w:b/>
          <w:bCs/>
        </w:rPr>
        <w:t xml:space="preserve">Passo 1 — Funções de custo</w:t>
      </w:r>
    </w:p>
    <w:p>
      <w:pPr>
        <w:pStyle w:val="BlockText"/>
      </w:pPr>
      <w:r>
        <w:t xml:space="preserve">$$</w:t>
      </w:r>
    </w:p>
    <w:p>
      <w:pPr>
        <w:pStyle w:val="BlockText"/>
      </w:pPr>
      <w:r>
        <w:t xml:space="preserve">(q) = 10 + 0{,}5q,</w:t>
      </w:r>
      <w:r>
        <w:t xml:space="preserve"> </w:t>
      </w:r>
      <w:r>
        <w:t xml:space="preserve">(q) = 10 + q</w:t>
      </w:r>
    </w:p>
    <w:p>
      <w:pPr>
        <w:pStyle w:val="BlockText"/>
      </w:pPr>
      <w:r>
        <w:t xml:space="preserve">$$</w:t>
      </w:r>
    </w:p>
    <w:p>
      <w:pPr>
        <w:pStyle w:val="BlockText"/>
      </w:pPr>
      <w:r>
        <w:t xml:space="preserve">$$</w:t>
      </w:r>
    </w:p>
    <w:p>
      <w:pPr>
        <w:pStyle w:val="BlockText"/>
      </w:pPr>
      <w:r>
        <w:t xml:space="preserve">(q) =</w:t>
      </w:r>
      <w:r>
        <w:t xml:space="preserve"> </w:t>
      </w:r>
      <w:r>
        <w:t xml:space="preserve"> </w:t>
      </w:r>
      <w:r>
        <w:t xml:space="preserve">+ 10 + 0{,}5q</w:t>
      </w:r>
    </w:p>
    <w:p>
      <w:pPr>
        <w:pStyle w:val="BlockText"/>
      </w:pPr>
      <w:r>
        <w:t xml:space="preserve">$$</w:t>
      </w:r>
    </w:p>
    <w:p>
      <w:pPr>
        <w:pStyle w:val="BlockText"/>
      </w:pPr>
      <w:r>
        <w:rPr>
          <w:b/>
          <w:bCs/>
        </w:rPr>
        <w:t xml:space="preserve">Passo 2 — Ponto de fechamento</w:t>
      </w:r>
    </w:p>
    <w:p>
      <w:pPr>
        <w:pStyle w:val="BlockText"/>
      </w:pPr>
      <w:r>
        <w:t xml:space="preserve">Como</w:t>
      </w:r>
      <w:r>
        <w:t xml:space="preserve"> </w:t>
      </w:r>
      <m:oMath>
        <m:r>
          <m:rPr>
            <m:sty m:val="p"/>
          </m:rPr>
          <m:t>C</m:t>
        </m:r>
        <m:r>
          <m:rPr>
            <m:sty m:val="p"/>
          </m:rPr>
          <m:t>V</m:t>
        </m:r>
        <m:r>
          <m:rPr>
            <m:sty m:val="p"/>
          </m:rPr>
          <m:t>M</m:t>
        </m:r>
        <m:r>
          <m:rPr>
            <m:sty m:val="p"/>
          </m:rPr>
          <m:t>e</m:t>
        </m:r>
        <m:r>
          <m:rPr>
            <m:sty m:val="p"/>
          </m:rPr>
          <m:t>=</m:t>
        </m:r>
        <m:r>
          <m:t>10</m:t>
        </m:r>
        <m:r>
          <m:rPr>
            <m:sty m:val="p"/>
          </m:rPr>
          <m:t>+</m:t>
        </m:r>
        <m:r>
          <m:t>0</m:t>
        </m:r>
        <m:r>
          <m:rPr>
            <m:sty m:val="p"/>
          </m:rPr>
          <m:t>,</m:t>
        </m:r>
        <m:r>
          <m:t>5</m:t>
        </m:r>
        <m:r>
          <m:t>q</m:t>
        </m:r>
      </m:oMath>
      <w:r>
        <w:t xml:space="preserve"> </w:t>
      </w:r>
      <w:r>
        <w:t xml:space="preserve">é crescente para</w:t>
      </w:r>
      <w:r>
        <w:t xml:space="preserve"> </w:t>
      </w:r>
      <m:oMath>
        <m:r>
          <m:t>q</m:t>
        </m:r>
        <m:r>
          <m:rPr>
            <m:sty m:val="p"/>
          </m:rPr>
          <m:t>&gt;</m:t>
        </m:r>
        <m:r>
          <m:t>0</m:t>
        </m:r>
      </m:oMath>
      <w:r>
        <w:t xml:space="preserve">, o custo variável médio mínimo é atingido quando</w:t>
      </w:r>
      <w:r>
        <w:t xml:space="preserve"> </w:t>
      </w:r>
      <m:oMath>
        <m:r>
          <m:t>q</m:t>
        </m:r>
        <m:r>
          <m:rPr>
            <m:sty m:val="p"/>
          </m:rPr>
          <m:t>→</m:t>
        </m:r>
        <m:sSup>
          <m:e>
            <m:r>
              <m:t>0</m:t>
            </m:r>
          </m:e>
          <m:sup>
            <m:r>
              <m:rPr>
                <m:sty m:val="p"/>
              </m:rPr>
              <m:t>+</m:t>
            </m:r>
          </m:sup>
        </m:sSup>
      </m:oMath>
      <w:r>
        <w:t xml:space="preserve">, com</w:t>
      </w:r>
      <w:r>
        <w:t xml:space="preserve"> </w:t>
      </w:r>
      <m:oMath>
        <m:sSub>
          <m:e>
            <m:r>
              <m:rPr>
                <m:sty m:val="p"/>
              </m:rPr>
              <m:t>C</m:t>
            </m:r>
            <m:r>
              <m:rPr>
                <m:sty m:val="p"/>
              </m:rPr>
              <m:t>V</m:t>
            </m:r>
            <m:r>
              <m:rPr>
                <m:sty m:val="p"/>
              </m:rPr>
              <m:t>M</m:t>
            </m:r>
            <m:r>
              <m:rPr>
                <m:sty m:val="p"/>
              </m:rPr>
              <m:t>e</m:t>
            </m:r>
          </m:e>
          <m:sub>
            <m:r>
              <m:rPr>
                <m:sty m:val="p"/>
              </m:rPr>
              <m:t>min</m:t>
            </m:r>
          </m:sub>
        </m:sSub>
        <m:r>
          <m:rPr>
            <m:sty m:val="p"/>
          </m:rPr>
          <m:t>=</m:t>
        </m:r>
        <m:r>
          <m:t>10</m:t>
        </m:r>
      </m:oMath>
      <w:r>
        <w:t xml:space="preserve">. Logo, a firma opera se</w:t>
      </w:r>
      <w:r>
        <w:t xml:space="preserve"> </w:t>
      </w:r>
      <m:oMath>
        <m:r>
          <m:t>p</m:t>
        </m:r>
        <m:r>
          <m:rPr>
            <m:sty m:val="p"/>
          </m:rPr>
          <m:t>≥</m:t>
        </m:r>
        <m:r>
          <m:t>10</m:t>
        </m:r>
      </m:oMath>
      <w:r>
        <w:t xml:space="preserve">.</w:t>
      </w:r>
    </w:p>
    <w:p>
      <w:pPr>
        <w:pStyle w:val="BlockText"/>
      </w:pPr>
      <w:r>
        <w:rPr>
          <w:b/>
          <w:bCs/>
        </w:rPr>
        <w:t xml:space="preserve">Passo 3 — Quantidade ótima</w:t>
      </w:r>
    </w:p>
    <w:p>
      <w:pPr>
        <w:pStyle w:val="BlockText"/>
      </w:pPr>
      <w:r>
        <w:t xml:space="preserve">$$</w:t>
      </w:r>
    </w:p>
    <w:p>
      <w:pPr>
        <w:pStyle w:val="BlockText"/>
      </w:pPr>
      <w:r>
        <w:t xml:space="preserve">p =</w:t>
      </w:r>
      <w:r>
        <w:t xml:space="preserve"> </w:t>
      </w:r>
      <w:r>
        <w:t xml:space="preserve"> </w:t>
      </w:r>
      <w:r>
        <w:t xml:space="preserve"> </w:t>
      </w:r>
      <w:r>
        <w:t xml:space="preserve">= 10 + q</w:t>
      </w:r>
      <w:r>
        <w:t xml:space="preserve"> </w:t>
      </w:r>
      <w:r>
        <w:t xml:space="preserve">q^* = 6</w:t>
      </w:r>
    </w:p>
    <w:p>
      <w:pPr>
        <w:pStyle w:val="BlockText"/>
      </w:pPr>
      <w:r>
        <w:t xml:space="preserve">$$</w:t>
      </w:r>
    </w:p>
    <w:p>
      <w:pPr>
        <w:pStyle w:val="BlockText"/>
      </w:pPr>
      <w:r>
        <w:rPr>
          <w:b/>
          <w:bCs/>
        </w:rPr>
        <w:t xml:space="preserve">Passo 4 — Lucro</w:t>
      </w:r>
    </w:p>
    <w:p>
      <w:pPr>
        <w:pStyle w:val="BlockText"/>
      </w:pPr>
      <w:r>
        <w:t xml:space="preserve">$$</w:t>
      </w:r>
    </w:p>
    <w:p>
      <w:pPr>
        <w:pStyle w:val="BlockText"/>
      </w:pPr>
      <w:r>
        <w:t xml:space="preserve">RT = 16</w:t>
      </w:r>
      <w:r>
        <w:t xml:space="preserve"> </w:t>
      </w:r>
      <w:r>
        <w:t xml:space="preserve"> </w:t>
      </w:r>
      <w:r>
        <w:t xml:space="preserve">= 96,</w:t>
      </w:r>
      <w:r>
        <w:t xml:space="preserve"> </w:t>
      </w:r>
      <w:r>
        <w:t xml:space="preserve">CT = 72 + 60 + 18 = 150</w:t>
      </w:r>
    </w:p>
    <w:p>
      <w:pPr>
        <w:pStyle w:val="BlockText"/>
      </w:pPr>
      <w:r>
        <w:t xml:space="preserve">$$</w:t>
      </w:r>
    </w:p>
    <w:p>
      <w:pPr>
        <w:pStyle w:val="BlockText"/>
      </w:pPr>
      <w:r>
        <w:t xml:space="preserve">$$</w:t>
      </w:r>
    </w:p>
    <w:p>
      <w:pPr>
        <w:pStyle w:val="BlockText"/>
      </w:pPr>
      <w:r>
        <w:t xml:space="preserve">= 96 - 150 = -54</w:t>
      </w:r>
    </w:p>
    <w:p>
      <w:pPr>
        <w:pStyle w:val="BlockText"/>
      </w:pPr>
      <w:r>
        <w:t xml:space="preserve">$$</w:t>
      </w:r>
    </w:p>
    <w:p>
      <w:pPr>
        <w:pStyle w:val="BlockText"/>
      </w:pPr>
      <w:r>
        <w:rPr>
          <w:b/>
          <w:bCs/>
        </w:rPr>
        <w:t xml:space="preserve">Passo 5 — Comparação: operar vs. fechar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Decisão</w:t>
            </w:r>
          </w:p>
        </w:tc>
        <w:tc>
          <w:tcPr/>
          <w:p>
            <w:pPr>
              <w:pStyle w:val="Compact"/>
              <w:jc w:val="left"/>
            </w:pPr>
            <w:r>
              <w:t xml:space="preserve">Lucro</w:t>
            </w:r>
          </w:p>
        </w:tc>
      </w:tr>
      <w:tr>
        <w:tc>
          <w:tcPr/>
          <w:p>
            <w:pPr>
              <w:pStyle w:val="Compact"/>
              <w:jc w:val="left"/>
            </w:pPr>
            <w:r>
              <w:t xml:space="preserve">Operar (</w:t>
            </w:r>
            <m:oMath>
              <m:r>
                <m:t>q</m:t>
              </m:r>
              <m:r>
                <m:rPr>
                  <m:sty m:val="p"/>
                </m:rPr>
                <m:t>=</m:t>
              </m:r>
              <m:r>
                <m:t>6</m:t>
              </m:r>
            </m:oMath>
            <w:r>
              <w:t xml:space="preserve">)</w:t>
            </w:r>
          </w:p>
        </w:tc>
        <w:tc>
          <w:tcPr/>
          <w:p>
            <w:pPr>
              <w:pStyle w:val="Compact"/>
              <w:jc w:val="left"/>
            </w:pPr>
            <m:oMath>
              <m:r>
                <m:t>π</m:t>
              </m:r>
              <m:r>
                <m:rPr>
                  <m:sty m:val="p"/>
                </m:rPr>
                <m:t>=</m:t>
              </m:r>
              <m:r>
                <m:rPr>
                  <m:sty m:val="p"/>
                </m:rPr>
                <m:t>−</m:t>
              </m:r>
              <m:r>
                <m:t>54</m:t>
              </m:r>
            </m:oMath>
          </w:p>
        </w:tc>
      </w:tr>
      <w:tr>
        <w:tc>
          <w:tcPr/>
          <w:p>
            <w:pPr>
              <w:pStyle w:val="Compact"/>
              <w:jc w:val="left"/>
            </w:pPr>
            <w:r>
              <w:t xml:space="preserve">Fechar (</w:t>
            </w:r>
            <m:oMath>
              <m:r>
                <m:t>q</m:t>
              </m:r>
              <m:r>
                <m:rPr>
                  <m:sty m:val="p"/>
                </m:rPr>
                <m:t>=</m:t>
              </m:r>
              <m:r>
                <m:t>0</m:t>
              </m:r>
            </m:oMath>
            <w:r>
              <w:t xml:space="preserve">)</w:t>
            </w:r>
          </w:p>
        </w:tc>
        <w:tc>
          <w:tcPr/>
          <w:p>
            <w:pPr>
              <w:pStyle w:val="Compact"/>
              <w:jc w:val="left"/>
            </w:pPr>
            <m:oMath>
              <m:r>
                <m:t>π</m:t>
              </m:r>
              <m:r>
                <m:rPr>
                  <m:sty m:val="p"/>
                </m:rPr>
                <m:t>=</m:t>
              </m:r>
              <m:r>
                <m:rPr>
                  <m:sty m:val="p"/>
                </m:rPr>
                <m:t>−</m:t>
              </m:r>
              <m:r>
                <m:t>C</m:t>
              </m:r>
              <m:r>
                <m:t>F</m:t>
              </m:r>
              <m:r>
                <m:rPr>
                  <m:sty m:val="p"/>
                </m:rPr>
                <m:t>=</m:t>
              </m:r>
              <m:r>
                <m:rPr>
                  <m:sty m:val="p"/>
                </m:rPr>
                <m:t>−</m:t>
              </m:r>
              <m:r>
                <m:t>72</m:t>
              </m:r>
            </m:oMath>
          </w:p>
        </w:tc>
      </w:tr>
    </w:tbl>
    <w:p>
      <w:pPr>
        <w:pStyle w:val="BlockText"/>
      </w:pPr>
      <w:r>
        <w:t xml:space="preserve">A receita (</w:t>
      </w:r>
      <m:oMath>
        <m:r>
          <m:t>96</m:t>
        </m:r>
      </m:oMath>
      <w:r>
        <w:t xml:space="preserve">) cobre todo o custo variável (</w:t>
      </w:r>
      <m:oMath>
        <m:r>
          <m:t>78</m:t>
        </m:r>
      </m:oMath>
      <w:r>
        <w:t xml:space="preserve">) e ainda gera</w:t>
      </w:r>
      <w:r>
        <w:t xml:space="preserve"> </w:t>
      </w:r>
      <m:oMath>
        <m:r>
          <m:t>18</m:t>
        </m:r>
      </m:oMath>
      <w:r>
        <w:t xml:space="preserve"> </w:t>
      </w:r>
      <w:r>
        <w:t xml:space="preserve">para abater parte dos custos fixos. Operar é racional mesmo com prejuízo.</w:t>
      </w:r>
    </w:p>
    <w:p>
      <w:pPr>
        <w:pStyle w:val="BlockText"/>
      </w:pPr>
      <w:r>
        <w:rPr>
          <w:b/>
          <w:bCs/>
        </w:rPr>
        <w:t xml:space="preserve">Resultado:</w:t>
      </w:r>
      <w:r>
        <w:t xml:space="preserve"> </w:t>
      </w:r>
      <w:r>
        <w:t xml:space="preserve">A firma deve operar, produzindo</w:t>
      </w:r>
      <w:r>
        <w:t xml:space="preserve"> </w:t>
      </w:r>
      <m:oMath>
        <m:sSup>
          <m:e>
            <m:r>
              <m:t>q</m:t>
            </m:r>
          </m:e>
          <m:sup>
            <m:r>
              <m:rPr>
                <m:sty m:val="p"/>
              </m:rPr>
              <m:t>*</m:t>
            </m:r>
          </m:sup>
        </m:sSup>
        <m:r>
          <m:rPr>
            <m:sty m:val="p"/>
          </m:rPr>
          <m:t>=</m:t>
        </m:r>
        <m:r>
          <m:t>6</m:t>
        </m:r>
      </m:oMath>
      <w:r>
        <w:t xml:space="preserve"> </w:t>
      </w:r>
      <w:r>
        <w:t xml:space="preserve">com prejuízo de</w:t>
      </w:r>
      <w:r>
        <w:t xml:space="preserve"> </w:t>
      </w:r>
      <m:oMath>
        <m:r>
          <m:t>π</m:t>
        </m:r>
        <m:r>
          <m:rPr>
            <m:sty m:val="p"/>
          </m:rPr>
          <m:t>=</m:t>
        </m:r>
        <m:r>
          <m:rPr>
            <m:sty m:val="p"/>
          </m:rPr>
          <m:t>−</m:t>
        </m:r>
        <m:r>
          <m:t>54</m:t>
        </m:r>
      </m:oMath>
      <w:r>
        <w:t xml:space="preserve">, que é menor do que o prejuízo de</w:t>
      </w:r>
      <w:r>
        <w:t xml:space="preserve"> </w:t>
      </w:r>
      <m:oMath>
        <m:r>
          <m:rPr>
            <m:sty m:val="p"/>
          </m:rPr>
          <m:t>−</m:t>
        </m:r>
        <m:r>
          <m:t>72</m:t>
        </m:r>
      </m:oMath>
      <w:r>
        <w:t xml:space="preserve"> </w:t>
      </w:r>
      <w:r>
        <w:t xml:space="preserve">caso fechasse.</w:t>
      </w:r>
    </w:p>
    <w:p>
      <w:pPr>
        <w:pStyle w:val="BlockText"/>
      </w:pPr>
      <w:r>
        <w:rPr>
          <w:b/>
          <w:bCs/>
        </w:rPr>
        <w:t xml:space="preserve">Interpretação econômica:</w:t>
      </w:r>
      <w:r>
        <w:t xml:space="preserve"> </w:t>
      </w:r>
      <w:r>
        <w:t xml:space="preserve">Este é o dilema enfrentado por muitas MPEs brasileiras: operar com prejuízo no curto prazo para cobrir custos variáveis (salários, insumos) enquanto os custos fixos (aluguel, financiamentos) são parcialmente absorvidos. A pesquisa do SEBRAE mostra que empresas nessa faixa (</w:t>
      </w:r>
      <m:oMath>
        <m:sSub>
          <m:e>
            <m:r>
              <m:rPr>
                <m:sty m:val="p"/>
              </m:rPr>
              <m:t>C</m:t>
            </m:r>
            <m:r>
              <m:rPr>
                <m:sty m:val="p"/>
              </m:rPr>
              <m:t>V</m:t>
            </m:r>
            <m:r>
              <m:rPr>
                <m:sty m:val="p"/>
              </m:rPr>
              <m:t>M</m:t>
            </m:r>
            <m:r>
              <m:rPr>
                <m:sty m:val="p"/>
              </m:rPr>
              <m:t>e</m:t>
            </m:r>
          </m:e>
          <m:sub>
            <m:r>
              <m:rPr>
                <m:sty m:val="p"/>
              </m:rPr>
              <m:t>min</m:t>
            </m:r>
          </m:sub>
        </m:sSub>
        <m:r>
          <m:rPr>
            <m:sty m:val="p"/>
          </m:rPr>
          <m:t>&lt;</m:t>
        </m:r>
        <m:r>
          <m:t>p</m:t>
        </m:r>
        <m:r>
          <m:rPr>
            <m:sty m:val="p"/>
          </m:rPr>
          <m:t>&lt;</m:t>
        </m:r>
        <m:sSub>
          <m:e>
            <m:r>
              <m:rPr>
                <m:sty m:val="p"/>
              </m:rPr>
              <m:t>C</m:t>
            </m:r>
            <m:r>
              <m:rPr>
                <m:sty m:val="p"/>
              </m:rPr>
              <m:t>M</m:t>
            </m:r>
            <m:r>
              <m:rPr>
                <m:sty m:val="p"/>
              </m:rPr>
              <m:t>e</m:t>
            </m:r>
          </m:e>
          <m:sub>
            <m:r>
              <m:rPr>
                <m:sty m:val="p"/>
              </m:rPr>
              <m:t>min</m:t>
            </m:r>
          </m:sub>
        </m:sSub>
      </m:oMath>
      <w:r>
        <w:t xml:space="preserve">) sobrevivem por algum tempo, mas fecham quando os contratos fixos vencem — exatamente como prevê a teoria.</w:t>
      </w:r>
    </w:p>
    <w:p>
      <w:pPr>
        <w:pStyle w:val="FirstParagraph"/>
      </w:pPr>
      <w:r>
        <w:t xml:space="preserve">[FIGURA INTERATIVA: /micro-book/graficos/cap12/webr-shutdown.html — versao interativa disponivel online]</w:t>
      </w:r>
    </w:p>
    <w:p>
      <w:pPr>
        <w:pStyle w:val="BodyText"/>
      </w:pPr>
      <w:r>
        <w:rPr>
          <w:b/>
          <w:bCs/>
        </w:rPr>
        <w:t xml:space="preserve">WebR 12.3 — Decisão de operar ou fechar: três regimes de preço.</w:t>
      </w:r>
      <w:r>
        <w:t xml:space="preserve"> </w:t>
      </w:r>
      <w:r>
        <w:t xml:space="preserve">O código reproduz o Exercício Resolvido 12.2 e mapeia graficamente as três zonas de decisão (lucro positivo, prejuízo com operação, fechamento). Altere</w:t>
      </w:r>
      <w:r>
        <w:t xml:space="preserve"> </w:t>
      </w:r>
      <w:r>
        <w:rPr>
          <w:rStyle w:val="VerbatimChar"/>
        </w:rPr>
        <w:t xml:space="preserve">CF</w:t>
      </w:r>
      <w:r>
        <w:t xml:space="preserve"> </w:t>
      </w:r>
      <w:r>
        <w:t xml:space="preserve">e os preços para explorar como a estrutura de custos fixos afeta a resiliência da firma.</w:t>
      </w:r>
    </w:p>
    <w:p>
      <w:r>
        <w:pict>
          <v:rect style="width:0;height:1.5pt" o:hralign="center" o:hrstd="t" o:hr="t"/>
        </w:pict>
      </w:r>
    </w:p>
    <w:p>
      <w:pPr>
        <w:pStyle w:val="BlockText"/>
      </w:pPr>
      <w:r>
        <w:rPr>
          <w:b/>
          <w:bCs/>
        </w:rPr>
        <w:t xml:space="preserve">[BOX MUNDO] Box Mundo 12.1 — Decisões de fechamento durante a COVID-19: o setor de restaurantes dos EUA</w:t>
      </w:r>
    </w:p>
    <w:p>
      <w:pPr>
        <w:pStyle w:val="BlockText"/>
      </w:pPr>
      <w:r>
        <w:rPr>
          <w:b/>
          <w:bCs/>
        </w:rPr>
        <w:t xml:space="preserve">Contexto.</w:t>
      </w:r>
      <w:r>
        <w:t xml:space="preserve"> </w:t>
      </w:r>
      <w:r>
        <w:t xml:space="preserve">A pandemia de COVID-19 ofereceu um experimento natural sem precedentes para testar a teoria da decisão de shutdown: quando preços caem abruptamente (pela queda abrupta de demanda) ou custos variáveis sobem (por requisitos sanitários), quais firmas fecham temporariamente e quais fecham permanentemente? O setor de alimentação fora do lar dos EUA, com mais de um milhão de estabelecimentos antes da pandemia, documentou em tempo real essa dinâmica.</w:t>
      </w:r>
    </w:p>
    <w:p>
      <w:pPr>
        <w:pStyle w:val="BlockText"/>
      </w:pPr>
      <w:r>
        <w:rPr>
          <w:b/>
          <w:bCs/>
        </w:rPr>
        <w:t xml:space="preserve">Dados.</w:t>
      </w:r>
      <w:r>
        <w:t xml:space="preserve"> </w:t>
      </w:r>
      <w:r>
        <w:t xml:space="preserve">De acordo com o</w:t>
      </w:r>
      <w:r>
        <w:t xml:space="preserve"> </w:t>
      </w:r>
      <w:r>
        <w:rPr>
          <w:i/>
          <w:iCs/>
        </w:rPr>
        <w:t xml:space="preserve">Bureau of Labor Statistics</w:t>
      </w:r>
      <w:r>
        <w:t xml:space="preserve"> </w:t>
      </w:r>
      <w:r>
        <w:t xml:space="preserve">(BLS) e dados do</w:t>
      </w:r>
      <w:r>
        <w:t xml:space="preserve"> </w:t>
      </w:r>
      <w:r>
        <w:rPr>
          <w:i/>
          <w:iCs/>
        </w:rPr>
        <w:t xml:space="preserve">U.S. Census Bureau</w:t>
      </w:r>
      <w:r>
        <w:t xml:space="preserve"> </w:t>
      </w:r>
      <w:r>
        <w:t xml:space="preserve">(Business Formation Statistics e County Business Patterns):</w:t>
      </w:r>
    </w:p>
    <w:p>
      <w:pPr>
        <w:pStyle w:val="Compact"/>
        <w:numPr>
          <w:ilvl w:val="0"/>
          <w:numId w:val="1733"/>
        </w:numPr>
      </w:pPr>
      <w:r>
        <w:t xml:space="preserve">Em abril de 2020, o emprego no setor de serviços de alimentação caiu</w:t>
      </w:r>
      <w:r>
        <w:t xml:space="preserve"> </w:t>
      </w:r>
      <w:r>
        <w:rPr>
          <w:b/>
          <w:bCs/>
        </w:rPr>
        <w:t xml:space="preserve">49%</w:t>
      </w:r>
      <w:r>
        <w:t xml:space="preserve"> </w:t>
      </w:r>
      <w:r>
        <w:t xml:space="preserve">em relação a fevereiro de 2020 — a maior contração registrada para qualquer setor em um único mês desde o início da série histórica.</w:t>
      </w:r>
    </w:p>
    <w:p>
      <w:pPr>
        <w:pStyle w:val="Compact"/>
        <w:numPr>
          <w:ilvl w:val="0"/>
          <w:numId w:val="1733"/>
        </w:numPr>
      </w:pPr>
      <w:r>
        <w:t xml:space="preserve">A National Restaurant Association estimou que</w:t>
      </w:r>
      <w:r>
        <w:t xml:space="preserve"> </w:t>
      </w:r>
      <w:r>
        <w:rPr>
          <w:b/>
          <w:bCs/>
        </w:rPr>
        <w:t xml:space="preserve">110.000 restaurantes</w:t>
      </w:r>
      <w:r>
        <w:t xml:space="preserve"> </w:t>
      </w:r>
      <w:r>
        <w:t xml:space="preserve">(cerca de 17% do total) fecharam permanentemente entre março de 2020 e dezembro de 2021.</w:t>
      </w:r>
    </w:p>
    <w:p>
      <w:pPr>
        <w:pStyle w:val="Compact"/>
        <w:numPr>
          <w:ilvl w:val="0"/>
          <w:numId w:val="1733"/>
        </w:numPr>
      </w:pPr>
      <w:r>
        <w:t xml:space="preserve">O fechamento</w:t>
      </w:r>
      <w:r>
        <w:t xml:space="preserve"> </w:t>
      </w:r>
      <w:r>
        <w:rPr>
          <w:b/>
          <w:bCs/>
        </w:rPr>
        <w:t xml:space="preserve">temporário</w:t>
      </w:r>
      <w:r>
        <w:t xml:space="preserve"> </w:t>
      </w:r>
      <w:r>
        <w:t xml:space="preserve">foi muito mais comum: no pico em abril/maio de 2020, mais de 60% dos estabelecimentos reduziram operações ou fecharam temporariamente, mas com intenção de reabrir.</w:t>
      </w:r>
    </w:p>
    <w:p>
      <w:pPr>
        <w:pStyle w:val="Compact"/>
        <w:numPr>
          <w:ilvl w:val="0"/>
          <w:numId w:val="1733"/>
        </w:numPr>
      </w:pPr>
      <w:r>
        <w:t xml:space="preserve">A taxa de reabertura foi alta entre restaurantes que tinham custos fixos mais baixos (aluguéis por porcentagem da receita, empréstimos menores) e baixa entre aqueles com alto endividamento fixo.</w:t>
      </w:r>
    </w:p>
    <w:p>
      <w:pPr>
        <w:pStyle w:val="BlockText"/>
      </w:pPr>
      <w:r>
        <w:rPr>
          <w:b/>
          <w:bCs/>
        </w:rPr>
        <w:t xml:space="preserve">Análise via teoria da firma.</w:t>
      </w:r>
      <w:r>
        <w:t xml:space="preserve"> </w:t>
      </w:r>
      <w:r>
        <w:t xml:space="preserve">A teoria prevê duas zonas críticas de preço:</w:t>
      </w:r>
    </w:p>
    <w:p>
      <w:pPr>
        <w:pStyle w:val="BlockText"/>
        <w:numPr>
          <w:ilvl w:val="0"/>
          <w:numId w:val="1734"/>
        </w:numPr>
      </w:pPr>
      <w:r>
        <w:rPr>
          <w:b/>
          <w:bCs/>
        </w:rPr>
        <w:t xml:space="preserve">Fechamento temporário</w:t>
      </w:r>
      <w:r>
        <w:t xml:space="preserve"> </w:t>
      </w:r>
      <w:r>
        <w:t xml:space="preserve">(</w:t>
      </w:r>
      <m:oMath>
        <m:r>
          <m:t>p</m:t>
        </m:r>
        <m:r>
          <m:rPr>
            <m:sty m:val="p"/>
          </m:rPr>
          <m:t>&lt;</m:t>
        </m:r>
        <m:sSub>
          <m:e>
            <m:r>
              <m:rPr>
                <m:sty m:val="p"/>
              </m:rPr>
              <m:t>C</m:t>
            </m:r>
            <m:r>
              <m:rPr>
                <m:sty m:val="p"/>
              </m:rPr>
              <m:t>V</m:t>
            </m:r>
            <m:r>
              <m:rPr>
                <m:sty m:val="p"/>
              </m:rPr>
              <m:t>M</m:t>
            </m:r>
            <m:r>
              <m:rPr>
                <m:sty m:val="p"/>
              </m:rPr>
              <m:t>e</m:t>
            </m:r>
          </m:e>
          <m:sub>
            <m:r>
              <m:rPr>
                <m:sty m:val="p"/>
              </m:rPr>
              <m:t>min</m:t>
            </m:r>
          </m:sub>
        </m:sSub>
      </m:oMath>
      <w:r>
        <w:t xml:space="preserve">): a receita não cobre nem os custos variáveis — salários de cozinheiros, insumos alimentares, entrega. A firma minimiza perdas parando. Corresponde ao comportamento dos estabelecimentos que suspenderam operações em abril de 2020 mas mantiveram seus ativos (cozinha, equipamentos) para reabrir.</w:t>
      </w:r>
    </w:p>
    <w:p>
      <w:pPr>
        <w:pStyle w:val="BlockText"/>
        <w:numPr>
          <w:ilvl w:val="0"/>
          <w:numId w:val="1734"/>
        </w:numPr>
      </w:pPr>
      <w:r>
        <w:rPr>
          <w:b/>
          <w:bCs/>
        </w:rPr>
        <w:t xml:space="preserve">Fechamento permanente</w:t>
      </w:r>
      <w:r>
        <w:t xml:space="preserve"> </w:t>
      </w:r>
      <w:r>
        <w:t xml:space="preserve">(</w:t>
      </w:r>
      <m:oMath>
        <m:r>
          <m:t>p</m:t>
        </m:r>
        <m:r>
          <m:rPr>
            <m:sty m:val="p"/>
          </m:rPr>
          <m:t>&lt;</m:t>
        </m:r>
        <m:sSub>
          <m:e>
            <m:r>
              <m:rPr>
                <m:sty m:val="p"/>
              </m:rPr>
              <m:t>C</m:t>
            </m:r>
            <m:r>
              <m:rPr>
                <m:sty m:val="p"/>
              </m:rPr>
              <m:t>M</m:t>
            </m:r>
            <m:r>
              <m:rPr>
                <m:sty m:val="p"/>
              </m:rPr>
              <m:t>e</m:t>
            </m:r>
          </m:e>
          <m:sub>
            <m:r>
              <m:rPr>
                <m:sty m:val="p"/>
              </m:rPr>
              <m:t>min</m:t>
            </m:r>
          </m:sub>
        </m:sSub>
      </m:oMath>
      <w:r>
        <w:t xml:space="preserve"> </w:t>
      </w:r>
      <w:r>
        <w:t xml:space="preserve">no longo prazo): mesmo com retomada parcial, a receita esperada não cobre os custos totais (incluindo aluguel, amortização de equipamentos). Corresponde ao fechamento definitivo de 110.000 estabelecimentos.</w:t>
      </w:r>
    </w:p>
    <w:p>
      <w:pPr>
        <w:pStyle w:val="BlockText"/>
      </w:pPr>
      <w:r>
        <w:t xml:space="preserve">O dado mais revelador é que restaurantes com</w:t>
      </w:r>
      <w:r>
        <w:t xml:space="preserve"> </w:t>
      </w:r>
      <w:r>
        <w:rPr>
          <w:b/>
          <w:bCs/>
        </w:rPr>
        <w:t xml:space="preserve">contratos de aluguel indexados à receita</w:t>
      </w:r>
      <w:r>
        <w:t xml:space="preserve"> </w:t>
      </w:r>
      <w:r>
        <w:t xml:space="preserve">(em vez de valor fixo mensal) tiveram taxa de sobrevivência significativamente maior — pois seus custos fixos efetivamente se tornaram variáveis em crise, elevando o preço de shutdown. Isso ilustra como a estrutura de custos (a composição entre CF e CV) determina a resiliência da firma a choques de demanda.</w:t>
      </w:r>
    </w:p>
    <w:p>
      <w:pPr>
        <w:pStyle w:val="BlockText"/>
      </w:pPr>
      <w:r>
        <w:rPr>
          <w:i/>
          <w:iCs/>
        </w:rPr>
        <w:t xml:space="preserve">Fontes: Bureau of Labor Statistics. Current Employment Statistics (2020–2021). National Restaurant Association. (2021). State of the Restaurant Industry. Washington, D.C. Bartik, A. W. et al. (2020). The Impact of COVID-19 on Small Business Outcomes and Expectations. PNAS, 117(30), 17656–17666.</w:t>
      </w:r>
    </w:p>
    <w:p>
      <w:r>
        <w:pict>
          <v:rect style="width:0;height:1.5pt" o:hralign="center" o:hrstd="t" o:hr="t"/>
        </w:pict>
      </w:r>
    </w:p>
    <w:p>
      <w:pPr>
        <w:pStyle w:val="BlockText"/>
      </w:pPr>
      <w:r>
        <w:rPr>
          <w:b/>
          <w:bCs/>
        </w:rPr>
        <w:t xml:space="preserve">[BOX MUNDO] Box Mundo 12.2 — Produtores de petróleo e o preço de break-even: OPEP vs. shale americano</w:t>
      </w:r>
    </w:p>
    <w:p>
      <w:pPr>
        <w:pStyle w:val="BlockText"/>
      </w:pPr>
      <w:r>
        <w:rPr>
          <w:b/>
          <w:bCs/>
        </w:rPr>
        <w:t xml:space="preserve">Contexto.</w:t>
      </w:r>
      <w:r>
        <w:t xml:space="preserve"> </w:t>
      </w:r>
      <w:r>
        <w:t xml:space="preserve">A indústria de petróleo global oferece um laboratório privilegiado para a teoria da oferta de curto prazo: produtores com estruturas de custo radicalmente diferentes coexistem no mesmo mercado mundial, tomando o preço internacional como dado. O confronto entre a OPEP (dominada pelo custo de extração baixíssimo da Arábia Saudita) e os produtores de</w:t>
      </w:r>
      <w:r>
        <w:t xml:space="preserve"> </w:t>
      </w:r>
      <w:r>
        <w:rPr>
          <w:i/>
          <w:iCs/>
        </w:rPr>
        <w:t xml:space="preserve">shale</w:t>
      </w:r>
      <w:r>
        <w:t xml:space="preserve"> </w:t>
      </w:r>
      <w:r>
        <w:t xml:space="preserve">americanos (com custos marginais mais altos mas resposta mais ágil) é um caso real da Tabela 12.1 em ação.</w:t>
      </w:r>
    </w:p>
    <w:p>
      <w:pPr>
        <w:pStyle w:val="BlockText"/>
      </w:pPr>
      <w:r>
        <w:rPr>
          <w:b/>
          <w:bCs/>
        </w:rPr>
        <w:t xml:space="preserve">Dados.</w:t>
      </w:r>
      <w:r>
        <w:t xml:space="preserve"> </w:t>
      </w:r>
      <w:r>
        <w:t xml:space="preserve">Segundo estimativas da</w:t>
      </w:r>
      <w:r>
        <w:t xml:space="preserve"> </w:t>
      </w:r>
      <w:r>
        <w:rPr>
          <w:i/>
          <w:iCs/>
        </w:rPr>
        <w:t xml:space="preserve">International Energy Agency</w:t>
      </w:r>
      <w:r>
        <w:t xml:space="preserve"> </w:t>
      </w:r>
      <w:r>
        <w:t xml:space="preserve">(IEA, World Energy Outlook 2023) e da</w:t>
      </w:r>
      <w:r>
        <w:t xml:space="preserve"> </w:t>
      </w:r>
      <w:r>
        <w:rPr>
          <w:i/>
          <w:iCs/>
        </w:rPr>
        <w:t xml:space="preserve">U.S. Energy Information Administration</w:t>
      </w:r>
      <w:r>
        <w:t xml:space="preserve"> </w:t>
      </w:r>
      <w:r>
        <w:t xml:space="preserve">(EIA):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Produtor / Região</w:t>
            </w:r>
          </w:p>
        </w:tc>
        <w:tc>
          <w:tcPr/>
          <w:p>
            <w:pPr>
              <w:pStyle w:val="Compact"/>
              <w:jc w:val="left"/>
            </w:pPr>
            <w:r>
              <w:t xml:space="preserve">Custo de extração (break-even)</w:t>
            </w:r>
          </w:p>
        </w:tc>
        <w:tc>
          <w:tcPr/>
          <w:p>
            <w:pPr>
              <w:pStyle w:val="Compact"/>
              <w:jc w:val="left"/>
            </w:pPr>
            <w:r>
              <w:t xml:space="preserve">Custo marginal médio (USD/barril)</w:t>
            </w:r>
          </w:p>
        </w:tc>
      </w:tr>
      <w:tr>
        <w:tc>
          <w:tcPr/>
          <w:p>
            <w:pPr>
              <w:pStyle w:val="Compact"/>
              <w:jc w:val="left"/>
            </w:pPr>
            <w:r>
              <w:t xml:space="preserve">Arábia Saudita (Aramco)</w:t>
            </w:r>
          </w:p>
        </w:tc>
        <w:tc>
          <w:tcPr/>
          <w:p>
            <w:pPr>
              <w:pStyle w:val="Compact"/>
              <w:jc w:val="left"/>
            </w:pPr>
            <w:r>
              <w:t xml:space="preserve">~USD 3–5/barril</w:t>
            </w:r>
          </w:p>
        </w:tc>
        <w:tc>
          <w:tcPr/>
          <w:p>
            <w:pPr>
              <w:pStyle w:val="Compact"/>
              <w:jc w:val="left"/>
            </w:pPr>
            <w:r>
              <w:t xml:space="preserve">~USD 9–12/barril</w:t>
            </w:r>
          </w:p>
        </w:tc>
      </w:tr>
      <w:tr>
        <w:tc>
          <w:tcPr/>
          <w:p>
            <w:pPr>
              <w:pStyle w:val="Compact"/>
              <w:jc w:val="left"/>
            </w:pPr>
            <w:r>
              <w:t xml:space="preserve">Iraque (OPEP)</w:t>
            </w:r>
          </w:p>
        </w:tc>
        <w:tc>
          <w:tcPr/>
          <w:p>
            <w:pPr>
              <w:pStyle w:val="Compact"/>
              <w:jc w:val="left"/>
            </w:pPr>
            <w:r>
              <w:t xml:space="preserve">~USD 5–8/barril</w:t>
            </w:r>
          </w:p>
        </w:tc>
        <w:tc>
          <w:tcPr/>
          <w:p>
            <w:pPr>
              <w:pStyle w:val="Compact"/>
              <w:jc w:val="left"/>
            </w:pPr>
            <w:r>
              <w:t xml:space="preserve">~USD 15–20/barril</w:t>
            </w:r>
          </w:p>
        </w:tc>
      </w:tr>
      <w:tr>
        <w:tc>
          <w:tcPr/>
          <w:p>
            <w:pPr>
              <w:pStyle w:val="Compact"/>
              <w:jc w:val="left"/>
            </w:pPr>
            <w:r>
              <w:t xml:space="preserve">Shale EUA (Permian Basin)</w:t>
            </w:r>
          </w:p>
        </w:tc>
        <w:tc>
          <w:tcPr/>
          <w:p>
            <w:pPr>
              <w:pStyle w:val="Compact"/>
              <w:jc w:val="left"/>
            </w:pPr>
            <w:r>
              <w:t xml:space="preserve">~USD 35–45/barril</w:t>
            </w:r>
          </w:p>
        </w:tc>
        <w:tc>
          <w:tcPr/>
          <w:p>
            <w:pPr>
              <w:pStyle w:val="Compact"/>
              <w:jc w:val="left"/>
            </w:pPr>
            <w:r>
              <w:t xml:space="preserve">~USD 40–55/barril</w:t>
            </w:r>
          </w:p>
        </w:tc>
      </w:tr>
      <w:tr>
        <w:tc>
          <w:tcPr/>
          <w:p>
            <w:pPr>
              <w:pStyle w:val="Compact"/>
              <w:jc w:val="left"/>
            </w:pPr>
            <w:r>
              <w:t xml:space="preserve">Shale EUA (Bakken)</w:t>
            </w:r>
          </w:p>
        </w:tc>
        <w:tc>
          <w:tcPr/>
          <w:p>
            <w:pPr>
              <w:pStyle w:val="Compact"/>
              <w:jc w:val="left"/>
            </w:pPr>
            <w:r>
              <w:t xml:space="preserve">~USD 45–55/barril</w:t>
            </w:r>
          </w:p>
        </w:tc>
        <w:tc>
          <w:tcPr/>
          <w:p>
            <w:pPr>
              <w:pStyle w:val="Compact"/>
              <w:jc w:val="left"/>
            </w:pPr>
            <w:r>
              <w:t xml:space="preserve">~USD 50–65/barril</w:t>
            </w:r>
          </w:p>
        </w:tc>
      </w:tr>
      <w:tr>
        <w:tc>
          <w:tcPr/>
          <w:p>
            <w:pPr>
              <w:pStyle w:val="Compact"/>
              <w:jc w:val="left"/>
            </w:pPr>
            <w:r>
              <w:t xml:space="preserve">Pré-sal Brasil (Petrobras)</w:t>
            </w:r>
          </w:p>
        </w:tc>
        <w:tc>
          <w:tcPr/>
          <w:p>
            <w:pPr>
              <w:pStyle w:val="Compact"/>
              <w:jc w:val="left"/>
            </w:pPr>
            <w:r>
              <w:t xml:space="preserve">~USD 35–50/barril</w:t>
            </w:r>
          </w:p>
        </w:tc>
        <w:tc>
          <w:tcPr/>
          <w:p>
            <w:pPr>
              <w:pStyle w:val="Compact"/>
              <w:jc w:val="left"/>
            </w:pPr>
            <w:r>
              <w:t xml:space="preserve">~USD 40–60/barril</w:t>
            </w:r>
          </w:p>
        </w:tc>
      </w:tr>
      <w:tr>
        <w:tc>
          <w:tcPr/>
          <w:p>
            <w:pPr>
              <w:pStyle w:val="Compact"/>
              <w:jc w:val="left"/>
            </w:pPr>
            <w:r>
              <w:t xml:space="preserve">Areias petrolíferas (Canadá)</w:t>
            </w:r>
          </w:p>
        </w:tc>
        <w:tc>
          <w:tcPr/>
          <w:p>
            <w:pPr>
              <w:pStyle w:val="Compact"/>
              <w:jc w:val="left"/>
            </w:pPr>
            <w:r>
              <w:t xml:space="preserve">~USD 65–80/barril</w:t>
            </w:r>
          </w:p>
        </w:tc>
        <w:tc>
          <w:tcPr/>
          <w:p>
            <w:pPr>
              <w:pStyle w:val="Compact"/>
              <w:jc w:val="left"/>
            </w:pPr>
            <w:r>
              <w:t xml:space="preserve">~USD 75–95/barril</w:t>
            </w:r>
          </w:p>
        </w:tc>
      </w:tr>
    </w:tbl>
    <w:p>
      <w:pPr>
        <w:pStyle w:val="BlockText"/>
      </w:pPr>
      <w:r>
        <w:rPr>
          <w:b/>
          <w:bCs/>
        </w:rPr>
        <w:t xml:space="preserve">Análise via teoria da firma.</w:t>
      </w:r>
      <w:r>
        <w:t xml:space="preserve"> </w:t>
      </w:r>
      <w:r>
        <w:t xml:space="preserve">A curva de oferta do petróleo mundial é literalmente a curva de custo marginal ascendente da Seção 12.4, agregada entre produtores com tecnologias diferentes:</w:t>
      </w:r>
    </w:p>
    <w:p>
      <w:pPr>
        <w:pStyle w:val="Compact"/>
        <w:numPr>
          <w:ilvl w:val="0"/>
          <w:numId w:val="1735"/>
        </w:numPr>
      </w:pPr>
      <w:r>
        <w:t xml:space="preserve">Com</w:t>
      </w:r>
      <w:r>
        <w:t xml:space="preserve"> </w:t>
      </w:r>
      <w:r>
        <w:rPr>
          <w:b/>
          <w:bCs/>
        </w:rPr>
        <w:t xml:space="preserve">preço abaixo de ~USD 35/barril</w:t>
      </w:r>
      <w:r>
        <w:t xml:space="preserve">, os produtores de shale americanos operam abaixo do CVMe mínimo e interrompem a produção (shutdown). Isso foi observado em março–abril de 2020, quando o WTI chegou a USD 20/barril e o número de plataformas ativas nos EUA caiu de ~800 para ~300 em seis meses.</w:t>
      </w:r>
    </w:p>
    <w:p>
      <w:pPr>
        <w:pStyle w:val="Compact"/>
        <w:numPr>
          <w:ilvl w:val="0"/>
          <w:numId w:val="1735"/>
        </w:numPr>
      </w:pPr>
      <w:r>
        <w:t xml:space="preserve">Com</w:t>
      </w:r>
      <w:r>
        <w:t xml:space="preserve"> </w:t>
      </w:r>
      <w:r>
        <w:rPr>
          <w:b/>
          <w:bCs/>
        </w:rPr>
        <w:t xml:space="preserve">preço entre USD 35–65/barril</w:t>
      </w:r>
      <w:r>
        <w:t xml:space="preserve">, o shale americano opera, mas as areias petrolíferas canadenses e alguns projetos de offshore profundo permanecem inviáveis.</w:t>
      </w:r>
    </w:p>
    <w:p>
      <w:pPr>
        <w:pStyle w:val="Compact"/>
        <w:numPr>
          <w:ilvl w:val="0"/>
          <w:numId w:val="1735"/>
        </w:numPr>
      </w:pPr>
      <w:r>
        <w:t xml:space="preserve">Com</w:t>
      </w:r>
      <w:r>
        <w:t xml:space="preserve"> </w:t>
      </w:r>
      <w:r>
        <w:rPr>
          <w:b/>
          <w:bCs/>
        </w:rPr>
        <w:t xml:space="preserve">preço acima de USD 80/barril</w:t>
      </w:r>
      <w:r>
        <w:t xml:space="preserve">, toda a capacidade existente é viável, incluindo fontes de alto custo.</w:t>
      </w:r>
    </w:p>
    <w:p>
      <w:pPr>
        <w:pStyle w:val="BlockText"/>
      </w:pPr>
      <w:r>
        <w:t xml:space="preserve">O</w:t>
      </w:r>
      <w:r>
        <w:t xml:space="preserve"> </w:t>
      </w:r>
      <w:r>
        <w:t xml:space="preserve">“preço de Hotelling”</w:t>
      </w:r>
      <w:r>
        <w:t xml:space="preserve"> </w:t>
      </w:r>
      <w:r>
        <w:t xml:space="preserve">— o preço que equilibra extração hoje vs. futuro para um recurso exaurível — adiciona uma dimensão intertemporal ao problema que Hotelling (1931) formalizou pela primeira vez. A função lucro do produtor de petróleo inclui não apenas o markup corrente, mas o valor de manter reservas para o futuro.</w:t>
      </w:r>
    </w:p>
    <w:p>
      <w:pPr>
        <w:pStyle w:val="BlockText"/>
      </w:pPr>
      <w:r>
        <w:t xml:space="preserve">Para o Brasil, o pré-sal da Petrobras situa-se na faixa intermediária: competitivo acima de ~USD 40/barril, o que o torna viável na maior parte dos cenários de preço, mas vulnerável a choques negativos como o de 2020. A decisão de preço doméstico de combustíveis da Petrobras — que divergiu do preço internacional em vários períodos (2011–2014 e 2022) — é um caso de markup</w:t>
      </w:r>
      <w:r>
        <w:t xml:space="preserve"> </w:t>
      </w:r>
      <w:r>
        <w:rPr>
          <w:i/>
          <w:iCs/>
        </w:rPr>
        <w:t xml:space="preserve">negativo</w:t>
      </w:r>
      <w:r>
        <w:t xml:space="preserve"> </w:t>
      </w:r>
      <w:r>
        <w:t xml:space="preserve">(subsídio implícito), com consequências para o equilíbrio fiscal e a alocação de capital que o modelo deste capítulo permite analisar.</w:t>
      </w:r>
    </w:p>
    <w:p>
      <w:pPr>
        <w:pStyle w:val="BlockText"/>
      </w:pPr>
      <w:r>
        <w:rPr>
          <w:i/>
          <w:iCs/>
        </w:rPr>
        <w:t xml:space="preserve">Fontes: International Energy Agency. (2023). World Energy Outlook 2023. Paris: IEA. U.S. Energy Information Administration. (2024). Short-Term Energy Outlook. Washington, D.C.: EIA. Petrobras. (2024). Relatório de Produção e Vendas — 4T2023. Rio de Janeiro.</w:t>
      </w:r>
    </w:p>
    <w:p>
      <w:r>
        <w:pict>
          <v:rect style="width:0;height:1.5pt" o:hralign="center" o:hrstd="t" o:hr="t"/>
        </w:pict>
      </w:r>
    </w:p>
    <w:p>
      <w:pPr>
        <w:pStyle w:val="BlockText"/>
      </w:pPr>
      <w:r>
        <w:rPr>
          <w:b/>
          <w:bCs/>
        </w:rPr>
        <w:t xml:space="preserve">[BOX MUNDO] Box Mundo 12.3 — Precificação dinâmica do Uber como precificação ao custo marginal</w:t>
      </w:r>
    </w:p>
    <w:p>
      <w:pPr>
        <w:pStyle w:val="BlockText"/>
      </w:pPr>
      <w:r>
        <w:rPr>
          <w:b/>
          <w:bCs/>
        </w:rPr>
        <w:t xml:space="preserve">Contexto.</w:t>
      </w:r>
      <w:r>
        <w:t xml:space="preserve"> </w:t>
      </w:r>
      <w:r>
        <w:t xml:space="preserve">O</w:t>
      </w:r>
      <w:r>
        <w:t xml:space="preserve"> </w:t>
      </w:r>
      <w:r>
        <w:rPr>
          <w:i/>
          <w:iCs/>
        </w:rPr>
        <w:t xml:space="preserve">surge pricing</w:t>
      </w:r>
      <w:r>
        <w:t xml:space="preserve"> </w:t>
      </w:r>
      <w:r>
        <w:t xml:space="preserve">(preço dinâmico) do Uber é um dos exemplos mais citados e controversos de implementação em tempo real da regra</w:t>
      </w:r>
      <w:r>
        <w:t xml:space="preserve"> </w:t>
      </w:r>
      <m:oMath>
        <m:r>
          <m:t>p</m:t>
        </m:r>
        <m:r>
          <m:rPr>
            <m:sty m:val="p"/>
          </m:rPr>
          <m:t>=</m:t>
        </m:r>
        <m:r>
          <m:rPr>
            <m:sty m:val="p"/>
          </m:rPr>
          <m:t>C</m:t>
        </m:r>
        <m:r>
          <m:rPr>
            <m:sty m:val="p"/>
          </m:rPr>
          <m:t>M</m:t>
        </m:r>
        <m:r>
          <m:rPr>
            <m:sty m:val="p"/>
          </m:rPr>
          <m:t>g</m:t>
        </m:r>
      </m:oMath>
      <w:r>
        <w:t xml:space="preserve"> </w:t>
      </w:r>
      <w:r>
        <w:t xml:space="preserve">da teoria da firma. Diferentemente das firmas tradicionais, o Uber ajusta o preço continuamente (a cada poucos minutos, em cada célula geográfica) para equilibrar oferta e demanda instantânea de viagens.</w:t>
      </w:r>
    </w:p>
    <w:p>
      <w:pPr>
        <w:pStyle w:val="BlockText"/>
      </w:pPr>
      <w:r>
        <w:rPr>
          <w:b/>
          <w:bCs/>
        </w:rPr>
        <w:t xml:space="preserve">Mecanismo econômico.</w:t>
      </w:r>
      <w:r>
        <w:t xml:space="preserve"> </w:t>
      </w:r>
      <w:r>
        <w:t xml:space="preserve">O modelo de negócios do Uber opera como um mercado bilateral (plataforma): de um lado, motoristas autônomos com funções de custo individuais; de outro, passageiros com demandas heterogêneas. Em períodos de baixa demanda, o preço-base cobre o custo variável do motorista (combustível, desgaste, custo de oportunidade do tempo). Em períodos de pico — chuva, festas, eventos esportivos —, a demanda desloca-se para cima, e o multiplicador de surge eleva o preço até que a quantidade demandada iguale a quantidade ofertada por motoristas dispostos a entrar no sistema.</w:t>
      </w:r>
    </w:p>
    <w:p>
      <w:pPr>
        <w:pStyle w:val="BlockText"/>
      </w:pPr>
      <w:r>
        <w:rPr>
          <w:b/>
          <w:bCs/>
        </w:rPr>
        <w:t xml:space="preserve">Dados.</w:t>
      </w:r>
      <w:r>
        <w:t xml:space="preserve"> </w:t>
      </w:r>
      <w:r>
        <w:t xml:space="preserve">Segundo dados da</w:t>
      </w:r>
      <w:r>
        <w:t xml:space="preserve"> </w:t>
      </w:r>
      <w:r>
        <w:rPr>
          <w:i/>
          <w:iCs/>
        </w:rPr>
        <w:t xml:space="preserve">UK Competition and Markets Authority</w:t>
      </w:r>
      <w:r>
        <w:t xml:space="preserve"> </w:t>
      </w:r>
      <w:r>
        <w:t xml:space="preserve">(CMA,</w:t>
      </w:r>
      <w:r>
        <w:t xml:space="preserve"> </w:t>
      </w:r>
      <w:r>
        <w:rPr>
          <w:i/>
          <w:iCs/>
        </w:rPr>
        <w:t xml:space="preserve">Mobile Ecosystems: Final Report</w:t>
      </w:r>
      <w:r>
        <w:t xml:space="preserve">, 2022) e estudos acadêmicos:</w:t>
      </w:r>
    </w:p>
    <w:p>
      <w:pPr>
        <w:pStyle w:val="Compact"/>
        <w:numPr>
          <w:ilvl w:val="0"/>
          <w:numId w:val="1736"/>
        </w:numPr>
      </w:pPr>
      <w:r>
        <w:t xml:space="preserve">O multiplicador de surge no Uber UK varia tipicamente entre 1,2× e 3,5×, com picos documentados acima de 8× durante eventos extraordinários (réveillon em Londres, 2014: multiplicador de ~7,8×).</w:t>
      </w:r>
    </w:p>
    <w:p>
      <w:pPr>
        <w:pStyle w:val="Compact"/>
        <w:numPr>
          <w:ilvl w:val="0"/>
          <w:numId w:val="1736"/>
        </w:numPr>
      </w:pPr>
      <w:r>
        <w:t xml:space="preserve">Estudos empíricos (Hall, Horton &amp; Knoepfle, 2021,</w:t>
      </w:r>
      <w:r>
        <w:t xml:space="preserve"> </w:t>
      </w:r>
      <w:r>
        <w:rPr>
          <w:i/>
          <w:iCs/>
        </w:rPr>
        <w:t xml:space="preserve">NBER Working Paper</w:t>
      </w:r>
      <w:r>
        <w:t xml:space="preserve">) estimam que o surge pricing aumenta o número de viagens disponíveis em</w:t>
      </w:r>
      <w:r>
        <w:t xml:space="preserve"> </w:t>
      </w:r>
      <w:r>
        <w:rPr>
          <w:b/>
          <w:bCs/>
        </w:rPr>
        <w:t xml:space="preserve">~17%</w:t>
      </w:r>
      <w:r>
        <w:t xml:space="preserve"> </w:t>
      </w:r>
      <w:r>
        <w:t xml:space="preserve">durante períodos de pico comparados com preço fixo — evidência de que o mecanismo de preços funciona como prevê a teoria da oferta.</w:t>
      </w:r>
    </w:p>
    <w:p>
      <w:pPr>
        <w:pStyle w:val="Compact"/>
        <w:numPr>
          <w:ilvl w:val="0"/>
          <w:numId w:val="1736"/>
        </w:numPr>
      </w:pPr>
      <w:r>
        <w:t xml:space="preserve">A elasticidade-preço da oferta dos motoristas é estimada entre</w:t>
      </w:r>
      <w:r>
        <w:t xml:space="preserve"> </w:t>
      </w:r>
      <w:r>
        <w:rPr>
          <w:b/>
          <w:bCs/>
        </w:rPr>
        <w:t xml:space="preserve">0,3</w:t>
      </w:r>
      <w:r>
        <w:t xml:space="preserve"> </w:t>
      </w:r>
      <w:r>
        <w:t xml:space="preserve">(curto prazo, motoristas já em atividade) e</w:t>
      </w:r>
      <w:r>
        <w:t xml:space="preserve"> </w:t>
      </w:r>
      <w:r>
        <w:rPr>
          <w:b/>
          <w:bCs/>
        </w:rPr>
        <w:t xml:space="preserve">1,5</w:t>
      </w:r>
      <w:r>
        <w:t xml:space="preserve"> </w:t>
      </w:r>
      <w:r>
        <w:t xml:space="preserve">(longo prazo, entrada de novos motoristas).</w:t>
      </w:r>
    </w:p>
    <w:p>
      <w:pPr>
        <w:pStyle w:val="Compact"/>
        <w:numPr>
          <w:ilvl w:val="0"/>
          <w:numId w:val="1736"/>
        </w:numPr>
      </w:pPr>
      <w:r>
        <w:t xml:space="preserve">A elasticidade-preço da demanda dos passageiros é estimada em torno de</w:t>
      </w:r>
      <w:r>
        <w:t xml:space="preserve"> </w:t>
      </w:r>
      <w:r>
        <w:rPr>
          <w:b/>
          <w:bCs/>
        </w:rPr>
        <w:t xml:space="preserve">−0,5</w:t>
      </w:r>
      <w:r>
        <w:t xml:space="preserve"> </w:t>
      </w:r>
      <w:r>
        <w:t xml:space="preserve">a</w:t>
      </w:r>
      <w:r>
        <w:t xml:space="preserve"> </w:t>
      </w:r>
      <w:r>
        <w:rPr>
          <w:b/>
          <w:bCs/>
        </w:rPr>
        <w:t xml:space="preserve">−0,7</w:t>
      </w:r>
      <w:r>
        <w:t xml:space="preserve"> </w:t>
      </w:r>
      <w:r>
        <w:t xml:space="preserve">para o preço base.</w:t>
      </w:r>
    </w:p>
    <w:p>
      <w:pPr>
        <w:pStyle w:val="BlockText"/>
      </w:pPr>
      <w:r>
        <w:rPr>
          <w:b/>
          <w:bCs/>
        </w:rPr>
        <w:t xml:space="preserve">Análise via teoria da firma.</w:t>
      </w:r>
      <w:r>
        <w:t xml:space="preserve"> </w:t>
      </w:r>
      <w:r>
        <w:t xml:space="preserve">O surge pricing pode ser interpretado como a plataforma atuando como um</w:t>
      </w:r>
      <w:r>
        <w:t xml:space="preserve"> </w:t>
      </w:r>
      <w:r>
        <w:t xml:space="preserve">“planejador social”</w:t>
      </w:r>
      <w:r>
        <w:t xml:space="preserve"> </w:t>
      </w:r>
      <w:r>
        <w:t xml:space="preserve">que encontra o preço de equilíbrio instantâneo —</w:t>
      </w:r>
      <w:r>
        <w:t xml:space="preserve"> </w:t>
      </w:r>
      <m:oMath>
        <m:sSup>
          <m:e>
            <m:r>
              <m:t>p</m:t>
            </m:r>
          </m:e>
          <m:sup>
            <m:r>
              <m:rPr>
                <m:sty m:val="p"/>
              </m:rPr>
              <m:t>*</m:t>
            </m:r>
          </m:sup>
        </m:sSup>
        <m:r>
          <m:rPr>
            <m:sty m:val="p"/>
          </m:rPr>
          <m:t>=</m:t>
        </m:r>
        <m:r>
          <m:rPr>
            <m:sty m:val="p"/>
          </m:rPr>
          <m:t>C</m:t>
        </m:r>
        <m:r>
          <m:rPr>
            <m:sty m:val="p"/>
          </m:rPr>
          <m:t>M</m:t>
        </m:r>
        <m:r>
          <m:rPr>
            <m:sty m:val="p"/>
          </m:rPr>
          <m:t>g</m:t>
        </m:r>
      </m:oMath>
      <w:r>
        <w:t xml:space="preserve"> </w:t>
      </w:r>
      <w:r>
        <w:t xml:space="preserve">— para o mercado de viagens. A</w:t>
      </w:r>
      <w:r>
        <w:t xml:space="preserve"> </w:t>
      </w:r>
      <w:r>
        <w:t xml:space="preserve">“firma”</w:t>
      </w:r>
      <w:r>
        <w:t xml:space="preserve"> </w:t>
      </w:r>
      <w:r>
        <w:t xml:space="preserve">aqui é a plataforma, cujo custo marginal de conectar mais um par motorista-passageiro é próximo de zero; o custo relevante é o de oportunidade do motorista (custo variável da viagem). O surge pricing resolve o problema de alocação que um preço fixo criaria: em períodos de pico com preço fixo, haveria escassez (filas, espera longa); com preço dinâmico, a oferta se ajusta ao longo do CMg crescente dos motoristas.</w:t>
      </w:r>
    </w:p>
    <w:p>
      <w:pPr>
        <w:pStyle w:val="BlockText"/>
      </w:pPr>
      <w:r>
        <w:t xml:space="preserve">A controversialidade política do surge pricing — frequentemente percebido como exploração em situações de necessidade — ilustra a tensão entre eficiência alocativa (</w:t>
      </w:r>
      <m:oMath>
        <m:r>
          <m:t>p</m:t>
        </m:r>
        <m:r>
          <m:rPr>
            <m:sty m:val="p"/>
          </m:rPr>
          <m:t>=</m:t>
        </m:r>
        <m:r>
          <m:rPr>
            <m:sty m:val="p"/>
          </m:rPr>
          <m:t>C</m:t>
        </m:r>
        <m:r>
          <m:rPr>
            <m:sty m:val="p"/>
          </m:rPr>
          <m:t>M</m:t>
        </m:r>
        <m:r>
          <m:rPr>
            <m:sty m:val="p"/>
          </m:rPr>
          <m:t>g</m:t>
        </m:r>
      </m:oMath>
      <w:r>
        <w:t xml:space="preserve">) e equidade distributiva. A CMA identificou preocupações sobre transparência e poder de plataforma, mas concluiu que o mecanismo de surge, em si, é consistente com a competição e a eficiência alocativa.</w:t>
      </w:r>
    </w:p>
    <w:p>
      <w:pPr>
        <w:pStyle w:val="BlockText"/>
      </w:pPr>
      <w:r>
        <w:rPr>
          <w:i/>
          <w:iCs/>
        </w:rPr>
        <w:t xml:space="preserve">Fontes: UK Competition and Markets Authority. (2022). Mobile Ecosystems: Final Report. London: CMA. Hall, J. V.; Horton, J. J.; Knoepfle, D. T. (2021). Pricing in Designed Markets: The Case of Ride-Sharing. NBER Working Paper 29413.</w:t>
      </w:r>
    </w:p>
    <w:bookmarkEnd w:id="761"/>
    <w:bookmarkEnd w:id="762"/>
    <w:bookmarkStart w:id="771" w:name="X1913eac89ee537d16000c397503fb81aead9016"/>
    <w:p>
      <w:pPr>
        <w:pStyle w:val="Heading2"/>
      </w:pPr>
      <w:r>
        <w:t xml:space="preserve">12.5–12.6 Função Lucro, Lema de Hotelling e Demanda por Insumos</w:t>
      </w:r>
    </w:p>
    <w:bookmarkStart w:id="765" w:name="Xca9277f91e40054767f69afeb0426711ca0fddd"/>
    <w:p>
      <w:pPr>
        <w:pStyle w:val="Heading3"/>
      </w:pPr>
      <w:r>
        <w:t xml:space="preserve">12.5 O Truque de Mágica do Lucro: Função Lucro e Lema de Hotelling</w:t>
      </w:r>
    </w:p>
    <w:p>
      <w:pPr>
        <w:pStyle w:val="BlockText"/>
      </w:pPr>
      <w:r>
        <w:rPr>
          <w:b/>
          <w:bCs/>
        </w:rPr>
        <w:t xml:space="preserve">[DICA] Ferramentas do Cap. 2</w:t>
      </w:r>
    </w:p>
    <w:p>
      <w:pPr>
        <w:pStyle w:val="BlockText"/>
      </w:pPr>
      <w:r>
        <w:t xml:space="preserve">Esta seção usa o Teorema do Envelope (Cap. 2) para derivar o Lema de Hotelling. Se precisar relembrar, volte lá — leva 10 minutos.</w:t>
      </w:r>
    </w:p>
    <w:p>
      <w:pPr>
        <w:pStyle w:val="FirstParagraph"/>
      </w:pPr>
      <w:r>
        <w:t xml:space="preserve">No Capítulo 11, o Lema de Shephard fez um truque de mágica: extraiu as demandas por insumos apenas derivando a função custo. Será que existe um truque análogo do lado do lucro? A resposta é um sonoro</w:t>
      </w:r>
      <w:r>
        <w:t xml:space="preserve"> </w:t>
      </w:r>
      <w:r>
        <w:rPr>
          <w:i/>
          <w:iCs/>
        </w:rPr>
        <w:t xml:space="preserve">sim</w:t>
      </w:r>
      <w:r>
        <w:t xml:space="preserve"> </w:t>
      </w:r>
      <w:r>
        <w:t xml:space="preserve">— e o mágico se chama</w:t>
      </w:r>
      <w:r>
        <w:t xml:space="preserve"> </w:t>
      </w:r>
      <w:r>
        <w:rPr>
          <w:b/>
          <w:bCs/>
        </w:rPr>
        <w:t xml:space="preserve">Lema de Hotelling</w:t>
      </w:r>
      <w:r>
        <w:t xml:space="preserve"> </w:t>
      </w:r>
      <w:r>
        <w:t xml:space="preserve">(1932). A ideia é quase boa demais para ser verdade: a função lucro, sozinha, carrega toda a informação necessária para reconstruir as funções de oferta do produto e de demanda por insumos. Basta derivar. Hotelling (1932) foi o primeiro a reconhecer que a simetria entre o problema do consumidor e o da firma se estende além da dualidade custo-produção: a função lucro é o análogo da função dispêndio no lado da demanda, e suas derivadas têm a mesma estrutura interpretativa. Para chegar a esse resultado, precisamos primeiro definir e caracterizar a função lucro.</w:t>
      </w:r>
    </w:p>
    <w:p>
      <w:pPr>
        <w:pStyle w:val="BodyText"/>
      </w:pPr>
      <w:r>
        <w:t xml:space="preserve">É instrutivo comparar os dois lemas: o Lema de Shephard diz que a derivada da função custo mínimo em relação ao preço de um insumo, mantendo o produto fixo, é a demanda condicionada por esse insumo. O Lema de Hotelling diz que a derivada da função lucro máximo em relação ao preço do produto é a oferta ótima, e a derivada em relação ao preço de um insumo (com sinal negativo) é a demanda</w:t>
      </w:r>
      <w:r>
        <w:t xml:space="preserve"> </w:t>
      </w:r>
      <w:r>
        <w:rPr>
          <w:i/>
          <w:iCs/>
        </w:rPr>
        <w:t xml:space="preserve">incondicional</w:t>
      </w:r>
      <w:r>
        <w:t xml:space="preserve"> </w:t>
      </w:r>
      <w:r>
        <w:t xml:space="preserve">por esse insumo. A diferença entre as demandas condicionada e incondicional é exatamente o tema da Seção 12.6.</w:t>
      </w:r>
    </w:p>
    <w:bookmarkStart w:id="763" w:name="a-função-lucro"/>
    <w:p>
      <w:pPr>
        <w:pStyle w:val="Heading4"/>
      </w:pPr>
      <w:r>
        <w:t xml:space="preserve">A função lucro</w:t>
      </w:r>
    </w:p>
    <w:p>
      <w:pPr>
        <w:pStyle w:val="BlockText"/>
      </w:pPr>
      <w:r>
        <w:rPr>
          <w:b/>
          <w:bCs/>
        </w:rPr>
        <w:t xml:space="preserve">[DEFINICAO] Função Lucro</w:t>
      </w:r>
    </w:p>
    <w:p>
      <w:pPr>
        <w:pStyle w:val="BlockText"/>
      </w:pPr>
      <w:r>
        <w:t xml:space="preserve">A</w:t>
      </w:r>
      <w:r>
        <w:t xml:space="preserve"> </w:t>
      </w:r>
      <w:r>
        <w:rPr>
          <w:b/>
          <w:bCs/>
        </w:rPr>
        <w:t xml:space="preserve">função lucro</w:t>
      </w:r>
      <w:r>
        <w:t xml:space="preserve"> </w:t>
      </w:r>
      <m:oMath>
        <m:sSup>
          <m:e>
            <m:r>
              <m:t>π</m:t>
            </m:r>
          </m:e>
          <m:sup>
            <m:r>
              <m:rPr>
                <m:sty m:val="p"/>
              </m:rPr>
              <m:t>*</m:t>
            </m:r>
          </m:sup>
        </m:sSup>
        <m:r>
          <m:rPr>
            <m:sty m:val="p"/>
          </m:rPr>
          <m:t>(</m:t>
        </m:r>
        <m:r>
          <m:t>p</m:t>
        </m:r>
        <m:r>
          <m:rPr>
            <m:sty m:val="p"/>
          </m:rPr>
          <m:t>,</m:t>
        </m:r>
        <m:r>
          <m:t>w</m:t>
        </m:r>
        <m:r>
          <m:rPr>
            <m:sty m:val="p"/>
          </m:rPr>
          <m:t>,</m:t>
        </m:r>
        <m:r>
          <m:t>v</m:t>
        </m:r>
        <m:r>
          <m:rPr>
            <m:sty m:val="p"/>
          </m:rPr>
          <m:t>)</m:t>
        </m:r>
      </m:oMath>
      <w:r>
        <w:t xml:space="preserve"> </w:t>
      </w:r>
      <w:r>
        <w:t xml:space="preserve">é o lucro máximo que a firma pode obter dados o preço do produto</w:t>
      </w:r>
      <w:r>
        <w:t xml:space="preserve"> </w:t>
      </w:r>
      <m:oMath>
        <m:r>
          <m:t>p</m:t>
        </m:r>
      </m:oMath>
      <w:r>
        <w:t xml:space="preserve"> </w:t>
      </w:r>
      <w:r>
        <w:t xml:space="preserve">e os preços dos insumos</w:t>
      </w:r>
      <w:r>
        <w:t xml:space="preserve"> </w:t>
      </w:r>
      <m:oMath>
        <m:r>
          <m:t>w</m:t>
        </m:r>
      </m:oMath>
      <w:r>
        <w:t xml:space="preserve"> </w:t>
      </w:r>
      <w:r>
        <w:t xml:space="preserve">e</w:t>
      </w:r>
      <w:r>
        <w:t xml:space="preserve"> </w:t>
      </w:r>
      <m:oMath>
        <m:r>
          <m:t>v</m:t>
        </m:r>
      </m:oMath>
      <w:r>
        <w:t xml:space="preserve">. Ela é o resultado de um problema de otimização em dois estágios: primeiro, para cada nível de produto</w:t>
      </w:r>
      <w:r>
        <w:t xml:space="preserve"> </w:t>
      </w:r>
      <m:oMath>
        <m:r>
          <m:t>q</m:t>
        </m:r>
      </m:oMath>
      <w:r>
        <w:t xml:space="preserve">, a firma minimiza custos (obtendo</w:t>
      </w:r>
      <w:r>
        <w:t xml:space="preserve"> </w:t>
      </w:r>
      <m:oMath>
        <m:r>
          <m:t>C</m:t>
        </m:r>
        <m:r>
          <m:rPr>
            <m:sty m:val="p"/>
          </m:rPr>
          <m:t>(</m:t>
        </m:r>
        <m:r>
          <m:t>w</m:t>
        </m:r>
        <m:r>
          <m:rPr>
            <m:sty m:val="p"/>
          </m:rPr>
          <m:t>,</m:t>
        </m:r>
        <m:r>
          <m:t>v</m:t>
        </m:r>
        <m:r>
          <m:rPr>
            <m:sty m:val="p"/>
          </m:rPr>
          <m:t>,</m:t>
        </m:r>
        <m:r>
          <m:t>q</m:t>
        </m:r>
        <m:r>
          <m:rPr>
            <m:sty m:val="p"/>
          </m:rPr>
          <m:t>)</m:t>
        </m:r>
      </m:oMath>
      <w:r>
        <w:t xml:space="preserve"> </w:t>
      </w:r>
      <w:r>
        <w:t xml:space="preserve">— o resultado do Capítulo 11); depois, maximiza o lucro sobre</w:t>
      </w:r>
      <w:r>
        <w:t xml:space="preserve"> </w:t>
      </w:r>
      <m:oMath>
        <m:r>
          <m:t>q</m:t>
        </m:r>
      </m:oMath>
      <w:r>
        <w:t xml:space="preserve">:</w:t>
      </w:r>
    </w:p>
    <w:p>
      <w:pPr>
        <w:pStyle w:val="BlockText"/>
      </w:pPr>
      <w:r>
        <w:t xml:space="preserve">$$</w:t>
      </w:r>
    </w:p>
    <w:p>
      <w:pPr>
        <w:pStyle w:val="BlockText"/>
      </w:pPr>
      <w:r>
        <w:t xml:space="preserve">^*(p, w, v) =</w:t>
      </w:r>
      <w:r>
        <w:t xml:space="preserve"> </w:t>
      </w:r>
      <w:r>
        <w:t xml:space="preserve">_{q</w:t>
      </w:r>
      <w:r>
        <w:t xml:space="preserve"> </w:t>
      </w:r>
      <w:r>
        <w:t xml:space="preserve">} {p</w:t>
      </w:r>
      <w:r>
        <w:t xml:space="preserve"> </w:t>
      </w:r>
      <w:r>
        <w:t xml:space="preserve">q - C(w, v, q)}</w:t>
      </w:r>
      <w:r>
        <w:t xml:space="preserve"> </w:t>
      </w:r>
      <w:r>
        <w:t xml:space="preserve"> </w:t>
      </w:r>
    </w:p>
    <w:p>
      <w:pPr>
        <w:pStyle w:val="BlockText"/>
      </w:pPr>
      <w:r>
        <w:t xml:space="preserve">$$</w:t>
      </w:r>
    </w:p>
    <w:p>
      <w:pPr>
        <w:pStyle w:val="BlockText"/>
      </w:pPr>
      <w:r>
        <w:t xml:space="preserve">ou, equivalentemente, maximizando diretamente sobre insumos:</w:t>
      </w:r>
    </w:p>
    <w:p>
      <w:pPr>
        <w:pStyle w:val="BlockText"/>
      </w:pPr>
      <w:r>
        <w:t xml:space="preserve">$$</w:t>
      </w:r>
    </w:p>
    <w:p>
      <w:pPr>
        <w:pStyle w:val="BlockText"/>
      </w:pPr>
      <w:r>
        <w:t xml:space="preserve">^*(p, w, v) =</w:t>
      </w:r>
      <w:r>
        <w:t xml:space="preserve"> </w:t>
      </w:r>
      <w:r>
        <w:t xml:space="preserve">_{K, L</w:t>
      </w:r>
      <w:r>
        <w:t xml:space="preserve"> </w:t>
      </w:r>
      <w:r>
        <w:t xml:space="preserve">} {p</w:t>
      </w:r>
      <w:r>
        <w:t xml:space="preserve"> </w:t>
      </w:r>
      <w:r>
        <w:t xml:space="preserve">f(K, L) - wL - vK}</w:t>
      </w:r>
    </w:p>
    <w:p>
      <w:pPr>
        <w:pStyle w:val="BlockText"/>
      </w:pPr>
      <w:r>
        <w:t xml:space="preserve">$$</w:t>
      </w:r>
    </w:p>
    <w:p>
      <w:pPr>
        <w:pStyle w:val="BlockText"/>
      </w:pPr>
      <w:r>
        <w:t xml:space="preserve">A função</w:t>
      </w:r>
      <w:r>
        <w:t xml:space="preserve"> </w:t>
      </w:r>
      <m:oMath>
        <m:sSup>
          <m:e>
            <m:r>
              <m:t>π</m:t>
            </m:r>
          </m:e>
          <m:sup>
            <m:r>
              <m:rPr>
                <m:sty m:val="p"/>
              </m:rPr>
              <m:t>*</m:t>
            </m:r>
          </m:sup>
        </m:sSup>
      </m:oMath>
      <w:r>
        <w:t xml:space="preserve"> </w:t>
      </w:r>
      <w:r>
        <w:t xml:space="preserve">mapeia o espaço de preços</w:t>
      </w:r>
      <w:r>
        <w:t xml:space="preserve"> </w:t>
      </w:r>
      <m:oMath>
        <m:r>
          <m:rPr>
            <m:sty m:val="p"/>
          </m:rPr>
          <m:t>(</m:t>
        </m:r>
        <m:r>
          <m:t>p</m:t>
        </m:r>
        <m:r>
          <m:rPr>
            <m:sty m:val="p"/>
          </m:rPr>
          <m:t>,</m:t>
        </m:r>
        <m:r>
          <m:t>w</m:t>
        </m:r>
        <m:r>
          <m:rPr>
            <m:sty m:val="p"/>
          </m:rPr>
          <m:t>,</m:t>
        </m:r>
        <m:r>
          <m:t>v</m:t>
        </m:r>
        <m:r>
          <m:rPr>
            <m:sty m:val="p"/>
          </m:rPr>
          <m:t>)</m:t>
        </m:r>
        <m:r>
          <m:rPr>
            <m:sty m:val="p"/>
          </m:rPr>
          <m:t>∈</m:t>
        </m:r>
        <m:sSubSup>
          <m:e>
            <m:r>
              <m:rPr>
                <m:scr m:val="double-struck"/>
                <m:sty m:val="p"/>
              </m:rPr>
              <m:t>R</m:t>
            </m:r>
          </m:e>
          <m:sub>
            <m:r>
              <m:rPr>
                <m:sty m:val="p"/>
              </m:rPr>
              <m:t>+</m:t>
            </m:r>
            <m:r>
              <m:rPr>
                <m:sty m:val="p"/>
              </m:rPr>
              <m:t>+</m:t>
            </m:r>
          </m:sub>
          <m:sup>
            <m:r>
              <m:t>3</m:t>
            </m:r>
          </m:sup>
        </m:sSubSup>
      </m:oMath>
      <w:r>
        <w:t xml:space="preserve"> </w:t>
      </w:r>
      <w:r>
        <w:t xml:space="preserve">no lucro máximo alcançável. Ela é a</w:t>
      </w:r>
      <w:r>
        <w:t xml:space="preserve"> </w:t>
      </w:r>
      <w:r>
        <w:rPr>
          <w:b/>
          <w:bCs/>
        </w:rPr>
        <w:t xml:space="preserve">função valor</w:t>
      </w:r>
      <w:r>
        <w:t xml:space="preserve"> </w:t>
      </w:r>
      <w:r>
        <w:t xml:space="preserve">do problema de maximização de lucro — análoga à função utilidade indireta</w:t>
      </w:r>
      <w:r>
        <w:t xml:space="preserve"> </w:t>
      </w:r>
      <m:oMath>
        <m:r>
          <m:t>V</m:t>
        </m:r>
        <m:r>
          <m:rPr>
            <m:sty m:val="p"/>
          </m:rPr>
          <m:t>(</m:t>
        </m:r>
        <m:r>
          <m:t>p</m:t>
        </m:r>
        <m:r>
          <m:rPr>
            <m:sty m:val="p"/>
          </m:rPr>
          <m:t>,</m:t>
        </m:r>
        <m:r>
          <m:t>m</m:t>
        </m:r>
        <m:r>
          <m:rPr>
            <m:sty m:val="p"/>
          </m:rPr>
          <m:t>)</m:t>
        </m:r>
      </m:oMath>
      <w:r>
        <w:t xml:space="preserve"> </w:t>
      </w:r>
      <w:r>
        <w:t xml:space="preserve">no problema do consumidor e à função custo mínimo</w:t>
      </w:r>
      <w:r>
        <w:t xml:space="preserve"> </w:t>
      </w:r>
      <m:oMath>
        <m:r>
          <m:t>C</m:t>
        </m:r>
        <m:r>
          <m:rPr>
            <m:sty m:val="p"/>
          </m:rPr>
          <m:t>(</m:t>
        </m:r>
        <m:r>
          <m:t>w</m:t>
        </m:r>
        <m:r>
          <m:rPr>
            <m:sty m:val="p"/>
          </m:rPr>
          <m:t>,</m:t>
        </m:r>
        <m:r>
          <m:t>q</m:t>
        </m:r>
        <m:r>
          <m:rPr>
            <m:sty m:val="p"/>
          </m:rPr>
          <m:t>)</m:t>
        </m:r>
      </m:oMath>
      <w:r>
        <w:t xml:space="preserve"> </w:t>
      </w:r>
      <w:r>
        <w:t xml:space="preserve">no problema de minimização de custos.</w:t>
      </w:r>
      <w:r>
        <w:t xml:space="preserve"> </w:t>
      </w:r>
      <w:r>
        <w:rPr>
          <w:b/>
          <w:bCs/>
        </w:rPr>
        <w:t xml:space="preserve">Notação alternativa:</w:t>
      </w:r>
      <w:r>
        <w:t xml:space="preserve"> </w:t>
      </w:r>
      <w:r>
        <w:t xml:space="preserve">Quando o contexto é claro, escreve-se</w:t>
      </w:r>
      <w:r>
        <w:t xml:space="preserve"> </w:t>
      </w:r>
      <m:oMath>
        <m:r>
          <m:t>π</m:t>
        </m:r>
        <m:r>
          <m:rPr>
            <m:sty m:val="p"/>
          </m:rPr>
          <m:t>(</m:t>
        </m:r>
        <m:r>
          <m:t>p</m:t>
        </m:r>
        <m:r>
          <m:rPr>
            <m:sty m:val="p"/>
          </m:rPr>
          <m:t>)</m:t>
        </m:r>
      </m:oMath>
      <w:r>
        <w:t xml:space="preserve"> </w:t>
      </w:r>
      <w:r>
        <w:t xml:space="preserve">se</w:t>
      </w:r>
      <w:r>
        <w:t xml:space="preserve"> </w:t>
      </w:r>
      <m:oMath>
        <m:r>
          <m:t>w</m:t>
        </m:r>
      </m:oMath>
      <w:r>
        <w:t xml:space="preserve"> </w:t>
      </w:r>
      <w:r>
        <w:t xml:space="preserve">e</w:t>
      </w:r>
      <w:r>
        <w:t xml:space="preserve"> </w:t>
      </w:r>
      <m:oMath>
        <m:r>
          <m:t>v</m:t>
        </m:r>
      </m:oMath>
      <w:r>
        <w:t xml:space="preserve"> </w:t>
      </w:r>
      <w:r>
        <w:t xml:space="preserve">estão fixos, ou</w:t>
      </w:r>
      <w:r>
        <w:t xml:space="preserve"> </w:t>
      </w:r>
      <m:oMath>
        <m:r>
          <m:t>π</m:t>
        </m:r>
        <m:r>
          <m:rPr>
            <m:sty m:val="p"/>
          </m:rPr>
          <m:t>(</m:t>
        </m:r>
        <m:r>
          <m:rPr>
            <m:sty m:val="bi"/>
          </m:rPr>
          <m:t>p</m:t>
        </m:r>
        <m:r>
          <m:rPr>
            <m:sty m:val="p"/>
          </m:rPr>
          <m:t>)</m:t>
        </m:r>
      </m:oMath>
      <w:r>
        <w:t xml:space="preserve"> </w:t>
      </w:r>
      <w:r>
        <w:t xml:space="preserve">com</w:t>
      </w:r>
      <w:r>
        <w:t xml:space="preserve"> </w:t>
      </w:r>
      <m:oMath>
        <m:r>
          <m:rPr>
            <m:sty m:val="bi"/>
          </m:rPr>
          <m:t>p</m:t>
        </m:r>
        <m:r>
          <m:rPr>
            <m:sty m:val="p"/>
          </m:rPr>
          <m:t>=</m:t>
        </m:r>
        <m:r>
          <m:rPr>
            <m:sty m:val="p"/>
          </m:rPr>
          <m:t>(</m:t>
        </m:r>
        <m:r>
          <m:t>p</m:t>
        </m:r>
        <m:r>
          <m:rPr>
            <m:sty m:val="p"/>
          </m:rPr>
          <m:t>,</m:t>
        </m:r>
        <m:r>
          <m:t>w</m:t>
        </m:r>
        <m:r>
          <m:rPr>
            <m:sty m:val="p"/>
          </m:rPr>
          <m:t>,</m:t>
        </m:r>
        <m:r>
          <m:t>v</m:t>
        </m:r>
        <m:r>
          <m:rPr>
            <m:sty m:val="p"/>
          </m:rPr>
          <m:t>)</m:t>
        </m:r>
      </m:oMath>
      <w:r>
        <w:t xml:space="preserve"> </w:t>
      </w:r>
      <w:r>
        <w:t xml:space="preserve">o vetor completo de preços.</w:t>
      </w:r>
    </w:p>
    <w:p>
      <w:pPr>
        <w:pStyle w:val="FirstParagraph"/>
      </w:pPr>
      <w:r>
        <w:t xml:space="preserve">A função lucro possui propriedades notáveis:</w:t>
      </w:r>
    </w:p>
    <w:p>
      <w:pPr>
        <w:pStyle w:val="Compact"/>
        <w:numPr>
          <w:ilvl w:val="0"/>
          <w:numId w:val="1737"/>
        </w:numPr>
      </w:pPr>
      <w:r>
        <w:rPr>
          <w:b/>
          <w:bCs/>
        </w:rPr>
        <w:t xml:space="preserve">Não decrescente</w:t>
      </w:r>
      <w:r>
        <w:t xml:space="preserve"> </w:t>
      </w:r>
      <w:r>
        <w:t xml:space="preserve">em</w:t>
      </w:r>
      <w:r>
        <w:t xml:space="preserve"> </w:t>
      </w:r>
      <m:oMath>
        <m:r>
          <m:t>p</m:t>
        </m:r>
      </m:oMath>
      <w:r>
        <w:t xml:space="preserve">: um aumento no preço do produto nunca reduz o lucro máximo.</w:t>
      </w:r>
    </w:p>
    <w:p>
      <w:pPr>
        <w:pStyle w:val="Compact"/>
        <w:numPr>
          <w:ilvl w:val="0"/>
          <w:numId w:val="1737"/>
        </w:numPr>
      </w:pPr>
      <w:r>
        <w:rPr>
          <w:b/>
          <w:bCs/>
        </w:rPr>
        <w:t xml:space="preserve">Não crescente</w:t>
      </w:r>
      <w:r>
        <w:t xml:space="preserve"> </w:t>
      </w:r>
      <w:r>
        <w:t xml:space="preserve">em</w:t>
      </w:r>
      <w:r>
        <w:t xml:space="preserve"> </w:t>
      </w:r>
      <m:oMath>
        <m:r>
          <m:t>w</m:t>
        </m:r>
      </m:oMath>
      <w:r>
        <w:t xml:space="preserve"> </w:t>
      </w:r>
      <w:r>
        <w:t xml:space="preserve">e</w:t>
      </w:r>
      <w:r>
        <w:t xml:space="preserve"> </w:t>
      </w:r>
      <m:oMath>
        <m:r>
          <m:t>v</m:t>
        </m:r>
      </m:oMath>
      <w:r>
        <w:t xml:space="preserve">: um aumento no preço de qualquer insumo nunca aumenta o lucro máximo.</w:t>
      </w:r>
    </w:p>
    <w:p>
      <w:pPr>
        <w:pStyle w:val="Compact"/>
        <w:numPr>
          <w:ilvl w:val="0"/>
          <w:numId w:val="1737"/>
        </w:numPr>
      </w:pPr>
      <w:r>
        <w:rPr>
          <w:b/>
          <w:bCs/>
        </w:rPr>
        <w:t xml:space="preserve">Homogênea de grau 1</w:t>
      </w:r>
      <w:r>
        <w:t xml:space="preserve"> </w:t>
      </w:r>
      <w:r>
        <w:t xml:space="preserve">em</w:t>
      </w:r>
      <w:r>
        <w:t xml:space="preserve"> </w:t>
      </w:r>
      <m:oMath>
        <m:r>
          <m:rPr>
            <m:sty m:val="p"/>
          </m:rPr>
          <m:t>(</m:t>
        </m:r>
        <m:r>
          <m:t>p</m:t>
        </m:r>
        <m:r>
          <m:rPr>
            <m:sty m:val="p"/>
          </m:rPr>
          <m:t>,</m:t>
        </m:r>
        <m:r>
          <m:t>w</m:t>
        </m:r>
        <m:r>
          <m:rPr>
            <m:sty m:val="p"/>
          </m:rPr>
          <m:t>,</m:t>
        </m:r>
        <m:r>
          <m:t>v</m:t>
        </m:r>
        <m:r>
          <m:rPr>
            <m:sty m:val="p"/>
          </m:rPr>
          <m:t>)</m:t>
        </m:r>
      </m:oMath>
      <w:r>
        <w:t xml:space="preserve">: se todos os preços (do produto e dos insumos) são multiplicados por</w:t>
      </w:r>
      <w:r>
        <w:t xml:space="preserve"> </w:t>
      </w:r>
      <m:oMath>
        <m:r>
          <m:t>t</m:t>
        </m:r>
        <m:r>
          <m:rPr>
            <m:sty m:val="p"/>
          </m:rPr>
          <m:t>&gt;</m:t>
        </m:r>
        <m:r>
          <m:t>0</m:t>
        </m:r>
      </m:oMath>
      <w:r>
        <w:t xml:space="preserve">, o lucro máximo também é multiplicado por</w:t>
      </w:r>
      <w:r>
        <w:t xml:space="preserve"> </w:t>
      </w:r>
      <m:oMath>
        <m:r>
          <m:t>t</m:t>
        </m:r>
      </m:oMath>
      <w:r>
        <w:t xml:space="preserve">.</w:t>
      </w:r>
    </w:p>
    <w:p>
      <w:pPr>
        <w:pStyle w:val="Compact"/>
        <w:numPr>
          <w:ilvl w:val="0"/>
          <w:numId w:val="1737"/>
        </w:numPr>
      </w:pPr>
      <w:r>
        <w:rPr>
          <w:b/>
          <w:bCs/>
        </w:rPr>
        <w:t xml:space="preserve">Convexa</w:t>
      </w:r>
      <w:r>
        <w:t xml:space="preserve"> </w:t>
      </w:r>
      <w:r>
        <w:t xml:space="preserve">em</w:t>
      </w:r>
      <w:r>
        <w:t xml:space="preserve"> </w:t>
      </w:r>
      <m:oMath>
        <m:r>
          <m:rPr>
            <m:sty m:val="p"/>
          </m:rPr>
          <m:t>(</m:t>
        </m:r>
        <m:r>
          <m:t>p</m:t>
        </m:r>
        <m:r>
          <m:rPr>
            <m:sty m:val="p"/>
          </m:rPr>
          <m:t>,</m:t>
        </m:r>
        <m:r>
          <m:t>w</m:t>
        </m:r>
        <m:r>
          <m:rPr>
            <m:sty m:val="p"/>
          </m:rPr>
          <m:t>,</m:t>
        </m:r>
        <m:r>
          <m:t>v</m:t>
        </m:r>
        <m:r>
          <m:rPr>
            <m:sty m:val="p"/>
          </m:rPr>
          <m:t>)</m:t>
        </m:r>
      </m:oMath>
      <w:r>
        <w:t xml:space="preserve">: a firma pode ajustar suas decisões em resposta a mudanças de preços, de modo que o lucro responde mais que proporcionalmente (é</w:t>
      </w:r>
      <w:r>
        <w:t xml:space="preserve"> </w:t>
      </w:r>
      <w:r>
        <w:t xml:space="preserve">“mais sensível”</w:t>
      </w:r>
      <w:r>
        <w:t xml:space="preserve">) a grandes mudanças de preços.</w:t>
      </w:r>
    </w:p>
    <w:bookmarkEnd w:id="763"/>
    <w:bookmarkStart w:id="764" w:name="lema-de-hotelling"/>
    <w:p>
      <w:pPr>
        <w:pStyle w:val="Heading4"/>
      </w:pPr>
      <w:r>
        <w:t xml:space="preserve">Lema de Hotelling</w:t>
      </w:r>
    </w:p>
    <w:p>
      <w:pPr>
        <w:pStyle w:val="BlockText"/>
      </w:pPr>
      <w:r>
        <w:rPr>
          <w:b/>
          <w:bCs/>
        </w:rPr>
        <w:t xml:space="preserve">[DEMONSTRACAO] Demonstração: Lema de Hotelling</w:t>
      </w:r>
    </w:p>
    <w:p>
      <w:pPr>
        <w:pStyle w:val="BlockText"/>
      </w:pPr>
      <w:r>
        <w:rPr>
          <w:b/>
          <w:bCs/>
        </w:rPr>
        <w:t xml:space="preserve">Enunciado.</w:t>
      </w:r>
      <w:r>
        <w:t xml:space="preserve"> </w:t>
      </w:r>
      <w:r>
        <w:t xml:space="preserve">Se</w:t>
      </w:r>
      <w:r>
        <w:t xml:space="preserve"> </w:t>
      </w:r>
      <m:oMath>
        <m:r>
          <m:t>π</m:t>
        </m:r>
        <m:r>
          <m:rPr>
            <m:sty m:val="p"/>
          </m:rPr>
          <m:t>(</m:t>
        </m:r>
        <m:r>
          <m:t>p</m:t>
        </m:r>
        <m:r>
          <m:rPr>
            <m:sty m:val="p"/>
          </m:rPr>
          <m:t>,</m:t>
        </m:r>
        <m:r>
          <m:t>w</m:t>
        </m:r>
        <m:r>
          <m:rPr>
            <m:sty m:val="p"/>
          </m:rPr>
          <m:t>,</m:t>
        </m:r>
        <m:r>
          <m:t>v</m:t>
        </m:r>
        <m:r>
          <m:rPr>
            <m:sty m:val="p"/>
          </m:rPr>
          <m:t>)</m:t>
        </m:r>
      </m:oMath>
      <w:r>
        <w:t xml:space="preserve"> </w:t>
      </w:r>
      <w:r>
        <w:t xml:space="preserve">é diferenciável, então:</w:t>
      </w:r>
    </w:p>
    <w:p>
      <w:pPr>
        <w:pStyle w:val="BlockText"/>
      </w:pPr>
      <w:r>
        <w:t xml:space="preserve">$$</w:t>
      </w:r>
    </w:p>
    <w:p>
      <w:pPr>
        <w:pStyle w:val="BlockText"/>
      </w:pPr>
      <w:r>
        <w:t xml:space="preserve"> </w:t>
      </w:r>
      <w:r>
        <w:t xml:space="preserve">= q^*(p, w, v)</w:t>
      </w:r>
      <w:r>
        <w:t xml:space="preserve"> </w:t>
      </w:r>
      <w:r>
        <w:t xml:space="preserve"> </w:t>
      </w:r>
      <w:r>
        <w:t xml:space="preserve"> </w:t>
      </w:r>
    </w:p>
    <w:p>
      <w:pPr>
        <w:pStyle w:val="BlockText"/>
      </w:pPr>
      <w:r>
        <w:t xml:space="preserve">$$</w:t>
      </w:r>
    </w:p>
    <w:p>
      <w:pPr>
        <w:pStyle w:val="BlockText"/>
      </w:pPr>
      <w:r>
        <w:t xml:space="preserve">$$</w:t>
      </w:r>
    </w:p>
    <w:p>
      <w:pPr>
        <w:pStyle w:val="BlockText"/>
      </w:pPr>
      <w:r>
        <w:t xml:space="preserve"> </w:t>
      </w:r>
      <w:r>
        <w:t xml:space="preserve">= -L^*(p, w, v)</w:t>
      </w:r>
      <w:r>
        <w:t xml:space="preserve"> </w:t>
      </w:r>
      <w:r>
        <w:t xml:space="preserve"> </w:t>
      </w:r>
      <w:r>
        <w:t xml:space="preserve"> </w:t>
      </w:r>
    </w:p>
    <w:p>
      <w:pPr>
        <w:pStyle w:val="BlockText"/>
      </w:pPr>
      <w:r>
        <w:t xml:space="preserve">$$</w:t>
      </w:r>
    </w:p>
    <w:p>
      <w:pPr>
        <w:pStyle w:val="BlockText"/>
      </w:pPr>
      <w:r>
        <w:t xml:space="preserve">$$</w:t>
      </w:r>
    </w:p>
    <w:p>
      <w:pPr>
        <w:pStyle w:val="BlockText"/>
      </w:pPr>
      <w:r>
        <w:t xml:space="preserve"> </w:t>
      </w:r>
      <w:r>
        <w:t xml:space="preserve">= -K^*(p, w, v)</w:t>
      </w:r>
      <w:r>
        <w:t xml:space="preserve"> </w:t>
      </w:r>
    </w:p>
    <w:p>
      <w:pPr>
        <w:pStyle w:val="BlockText"/>
      </w:pPr>
      <w:r>
        <w:t xml:space="preserve">$$</w:t>
      </w:r>
    </w:p>
    <w:p>
      <w:pPr>
        <w:pStyle w:val="BlockText"/>
      </w:pPr>
      <w:r>
        <w:rPr>
          <w:b/>
          <w:bCs/>
        </w:rPr>
        <w:t xml:space="preserve">Demonstração.</w:t>
      </w:r>
      <w:r>
        <w:t xml:space="preserve"> </w:t>
      </w:r>
      <w:r>
        <w:t xml:space="preserve">Considere o problema de maximização de lucro com escolha de insumos:</w:t>
      </w:r>
    </w:p>
    <w:p>
      <w:pPr>
        <w:pStyle w:val="BlockText"/>
      </w:pPr>
      <w:r>
        <w:t xml:space="preserve">$$</w:t>
      </w:r>
    </w:p>
    <w:p>
      <w:pPr>
        <w:pStyle w:val="BlockText"/>
      </w:pPr>
      <w:r>
        <w:t xml:space="preserve">(p, w, v) =</w:t>
      </w:r>
      <w:r>
        <w:t xml:space="preserve"> </w:t>
      </w:r>
      <w:r>
        <w:t xml:space="preserve">_{K, L} {p</w:t>
      </w:r>
      <w:r>
        <w:t xml:space="preserve"> </w:t>
      </w:r>
      <w:r>
        <w:t xml:space="preserve">f(K, L) - wL - vK}</w:t>
      </w:r>
    </w:p>
    <w:p>
      <w:pPr>
        <w:pStyle w:val="BlockText"/>
      </w:pPr>
      <w:r>
        <w:t xml:space="preserve">$$</w:t>
      </w:r>
    </w:p>
    <w:p>
      <w:pPr>
        <w:pStyle w:val="BlockText"/>
      </w:pPr>
      <w:r>
        <w:t xml:space="preserve">Seja</w:t>
      </w:r>
      <w:r>
        <w:t xml:space="preserve"> </w:t>
      </w:r>
      <m:oMath>
        <m:r>
          <m:rPr>
            <m:sty m:val="p"/>
          </m:rPr>
          <m:t>(</m:t>
        </m:r>
        <m:sSup>
          <m:e>
            <m:r>
              <m:t>K</m:t>
            </m:r>
          </m:e>
          <m:sup>
            <m:r>
              <m:rPr>
                <m:sty m:val="p"/>
              </m:rPr>
              <m:t>*</m:t>
            </m:r>
          </m:sup>
        </m:sSup>
        <m:r>
          <m:rPr>
            <m:sty m:val="p"/>
          </m:rPr>
          <m:t>,</m:t>
        </m:r>
        <m:sSup>
          <m:e>
            <m:r>
              <m:t>L</m:t>
            </m:r>
          </m:e>
          <m:sup>
            <m:r>
              <m:rPr>
                <m:sty m:val="p"/>
              </m:rPr>
              <m:t>*</m:t>
            </m:r>
          </m:sup>
        </m:sSup>
        <m:r>
          <m:rPr>
            <m:sty m:val="p"/>
          </m:rPr>
          <m:t>)</m:t>
        </m:r>
      </m:oMath>
      <w:r>
        <w:t xml:space="preserve"> </w:t>
      </w:r>
      <w:r>
        <w:t xml:space="preserve">a solução ótima. Defina a função objetivo como:</w:t>
      </w:r>
    </w:p>
    <w:p>
      <w:pPr>
        <w:pStyle w:val="BlockText"/>
      </w:pPr>
      <w:r>
        <w:t xml:space="preserve">$$</w:t>
      </w:r>
    </w:p>
    <w:p>
      <w:pPr>
        <w:pStyle w:val="BlockText"/>
      </w:pPr>
      <w:r>
        <w:t xml:space="preserve">g(K, L; p, w, v) = p</w:t>
      </w:r>
      <w:r>
        <w:t xml:space="preserve"> </w:t>
      </w:r>
      <w:r>
        <w:t xml:space="preserve">f(K, L) - wL - vK</w:t>
      </w:r>
    </w:p>
    <w:p>
      <w:pPr>
        <w:pStyle w:val="BlockText"/>
      </w:pPr>
      <w:r>
        <w:t xml:space="preserve">$$</w:t>
      </w:r>
    </w:p>
    <w:p>
      <w:pPr>
        <w:pStyle w:val="BlockText"/>
      </w:pPr>
      <w:r>
        <w:t xml:space="preserve">Pelo</w:t>
      </w:r>
      <w:r>
        <w:t xml:space="preserve"> </w:t>
      </w:r>
      <w:r>
        <w:rPr>
          <w:b/>
          <w:bCs/>
        </w:rPr>
        <w:t xml:space="preserve">teorema da envoltória</w:t>
      </w:r>
      <w:r>
        <w:t xml:space="preserve">, a derivada da função valor em relação a um parâmetro é igual à derivada parcial da função objetivo avaliada no ótimo:</w:t>
      </w:r>
    </w:p>
    <w:p>
      <w:pPr>
        <w:pStyle w:val="BlockText"/>
      </w:pPr>
      <w:r>
        <w:t xml:space="preserve">$$</w:t>
      </w:r>
    </w:p>
    <w:p>
      <w:pPr>
        <w:pStyle w:val="BlockText"/>
      </w:pPr>
      <w:r>
        <w:t xml:space="preserve"> </w:t>
      </w:r>
      <w:r>
        <w:t xml:space="preserve">=</w:t>
      </w:r>
      <w:r>
        <w:t xml:space="preserve"> </w:t>
      </w:r>
      <w:r>
        <w:t xml:space="preserve">|_{(K^</w:t>
      </w:r>
      <w:r>
        <w:rPr>
          <w:i/>
          <w:iCs/>
        </w:rPr>
        <w:t xml:space="preserve">, L^</w:t>
      </w:r>
      <w:r>
        <w:t xml:space="preserve">)} = f(K^</w:t>
      </w:r>
      <w:r>
        <w:rPr>
          <w:i/>
          <w:iCs/>
        </w:rPr>
        <w:t xml:space="preserve">, L^</w:t>
      </w:r>
      <w:r>
        <w:t xml:space="preserve">) = q^*</w:t>
      </w:r>
    </w:p>
    <w:p>
      <w:pPr>
        <w:pStyle w:val="BlockText"/>
      </w:pPr>
      <w:r>
        <w:t xml:space="preserve">$$</w:t>
      </w:r>
    </w:p>
    <w:p>
      <w:pPr>
        <w:pStyle w:val="BlockText"/>
      </w:pPr>
      <w:r>
        <w:t xml:space="preserve">$$</w:t>
      </w:r>
    </w:p>
    <w:p>
      <w:pPr>
        <w:pStyle w:val="BlockText"/>
      </w:pPr>
      <w:r>
        <w:t xml:space="preserve"> </w:t>
      </w:r>
      <w:r>
        <w:t xml:space="preserve">=</w:t>
      </w:r>
      <w:r>
        <w:t xml:space="preserve"> </w:t>
      </w:r>
      <w:r>
        <w:t xml:space="preserve">|_{(K^</w:t>
      </w:r>
      <w:r>
        <w:rPr>
          <w:i/>
          <w:iCs/>
        </w:rPr>
        <w:t xml:space="preserve">, L^</w:t>
      </w:r>
      <w:r>
        <w:t xml:space="preserve">)} = -L^*</w:t>
      </w:r>
    </w:p>
    <w:p>
      <w:pPr>
        <w:pStyle w:val="BlockText"/>
      </w:pPr>
      <w:r>
        <w:t xml:space="preserve">$$</w:t>
      </w:r>
    </w:p>
    <w:p>
      <w:pPr>
        <w:pStyle w:val="BlockText"/>
      </w:pPr>
      <w:r>
        <w:t xml:space="preserve">$$</w:t>
      </w:r>
    </w:p>
    <w:p>
      <w:pPr>
        <w:pStyle w:val="BlockText"/>
      </w:pPr>
      <w:r>
        <w:t xml:space="preserve"> </w:t>
      </w:r>
      <w:r>
        <w:t xml:space="preserve">=</w:t>
      </w:r>
      <w:r>
        <w:t xml:space="preserve"> </w:t>
      </w:r>
      <w:r>
        <w:t xml:space="preserve">|_{(K^</w:t>
      </w:r>
      <w:r>
        <w:rPr>
          <w:i/>
          <w:iCs/>
        </w:rPr>
        <w:t xml:space="preserve">, L^</w:t>
      </w:r>
      <w:r>
        <w:t xml:space="preserve">)} = -K^*</w:t>
      </w:r>
    </w:p>
    <w:p>
      <w:pPr>
        <w:pStyle w:val="BlockText"/>
      </w:pPr>
      <w:r>
        <w:t xml:space="preserve">$$</w:t>
      </w:r>
    </w:p>
    <w:p>
      <w:pPr>
        <w:pStyle w:val="BlockText"/>
      </w:pPr>
      <w:r>
        <w:rPr>
          <w:b/>
          <w:bCs/>
        </w:rPr>
        <w:t xml:space="preserve">Verificação com Cobb-Douglas.</w:t>
      </w:r>
      <w:r>
        <w:t xml:space="preserve"> </w:t>
      </w:r>
      <w:r>
        <w:t xml:space="preserve">Para que a maximização de lucro tenha solução interior finita, a função de produção deve exibir retornos decrescentes de escala. Considere</w:t>
      </w:r>
      <w:r>
        <w:t xml:space="preserve"> </w:t>
      </w:r>
      <m:oMath>
        <m:r>
          <m:t>q</m:t>
        </m:r>
        <m:r>
          <m:rPr>
            <m:sty m:val="p"/>
          </m:rPr>
          <m:t>=</m:t>
        </m:r>
        <m:sSup>
          <m:e>
            <m:r>
              <m:t>K</m:t>
            </m:r>
          </m:e>
          <m:sup>
            <m:r>
              <m:t>1</m:t>
            </m:r>
            <m:r>
              <m:rPr>
                <m:sty m:val="p"/>
              </m:rPr>
              <m:t>/</m:t>
            </m:r>
            <m:r>
              <m:t>3</m:t>
            </m:r>
          </m:sup>
        </m:sSup>
        <m:sSup>
          <m:e>
            <m:r>
              <m:t>L</m:t>
            </m:r>
          </m:e>
          <m:sup>
            <m:r>
              <m:t>1</m:t>
            </m:r>
            <m:r>
              <m:rPr>
                <m:sty m:val="p"/>
              </m:rPr>
              <m:t>/</m:t>
            </m:r>
            <m:r>
              <m:t>3</m:t>
            </m:r>
          </m:sup>
        </m:sSup>
      </m:oMath>
      <w:r>
        <w:t xml:space="preserve"> </w:t>
      </w:r>
      <w:r>
        <w:t xml:space="preserve">(</w:t>
      </w:r>
      <m:oMath>
        <m:r>
          <m:t>α</m:t>
        </m:r>
        <m:r>
          <m:rPr>
            <m:sty m:val="p"/>
          </m:rPr>
          <m:t>+</m:t>
        </m:r>
        <m:r>
          <m:t>β</m:t>
        </m:r>
        <m:r>
          <m:rPr>
            <m:sty m:val="p"/>
          </m:rPr>
          <m:t>=</m:t>
        </m:r>
        <m:r>
          <m:t>2</m:t>
        </m:r>
        <m:r>
          <m:rPr>
            <m:sty m:val="p"/>
          </m:rPr>
          <m:t>/</m:t>
        </m:r>
        <m:r>
          <m:t>3</m:t>
        </m:r>
        <m:r>
          <m:rPr>
            <m:sty m:val="p"/>
          </m:rPr>
          <m:t>&lt;</m:t>
        </m:r>
        <m:r>
          <m:t>1</m:t>
        </m:r>
      </m:oMath>
      <w:r>
        <w:t xml:space="preserve">), com preços</w:t>
      </w:r>
      <w:r>
        <w:t xml:space="preserve"> </w:t>
      </w:r>
      <m:oMath>
        <m:r>
          <m:rPr>
            <m:sty m:val="p"/>
          </m:rPr>
          <m:t>(</m:t>
        </m:r>
        <m:r>
          <m:t>p</m:t>
        </m:r>
        <m:r>
          <m:rPr>
            <m:sty m:val="p"/>
          </m:rPr>
          <m:t>,</m:t>
        </m:r>
        <m:r>
          <m:t>w</m:t>
        </m:r>
        <m:r>
          <m:rPr>
            <m:sty m:val="p"/>
          </m:rPr>
          <m:t>,</m:t>
        </m:r>
        <m:r>
          <m:t>v</m:t>
        </m:r>
        <m:r>
          <m:rPr>
            <m:sty m:val="p"/>
          </m:rPr>
          <m:t>)</m:t>
        </m:r>
      </m:oMath>
      <w:r>
        <w:t xml:space="preserve">. As CPOs são:</w:t>
      </w:r>
    </w:p>
    <w:p>
      <w:pPr>
        <w:pStyle w:val="BlockText"/>
      </w:pPr>
      <w:r>
        <w:t xml:space="preserve">$$</w:t>
      </w:r>
    </w:p>
    <w:p>
      <w:pPr>
        <w:pStyle w:val="BlockText"/>
      </w:pPr>
      <w:r>
        <w:t xml:space="preserve">_L:;</w:t>
      </w:r>
      <w:r>
        <w:t xml:space="preserve"> </w:t>
      </w:r>
      <w:r>
        <w:t xml:space="preserve">,K</w:t>
      </w:r>
      <w:r>
        <w:rPr>
          <w:vertAlign w:val="superscript"/>
        </w:rPr>
        <w:t xml:space="preserve">{1/3}L</w:t>
      </w:r>
      <w:r>
        <w:t xml:space="preserve">{-2/3} = w,</w:t>
      </w:r>
      <w:r>
        <w:t xml:space="preserve"> </w:t>
      </w:r>
      <w:r>
        <w:t xml:space="preserve">_K:;</w:t>
      </w:r>
      <w:r>
        <w:t xml:space="preserve"> </w:t>
      </w:r>
      <w:r>
        <w:t xml:space="preserve">,K</w:t>
      </w:r>
      <w:r>
        <w:rPr>
          <w:vertAlign w:val="superscript"/>
        </w:rPr>
        <w:t xml:space="preserve">{-2/3}L</w:t>
      </w:r>
      <w:r>
        <w:t xml:space="preserve">{1/3} = v</w:t>
      </w:r>
    </w:p>
    <w:p>
      <w:pPr>
        <w:pStyle w:val="BlockText"/>
      </w:pPr>
      <w:r>
        <w:t xml:space="preserve">$$</w:t>
      </w:r>
    </w:p>
    <w:p>
      <w:pPr>
        <w:pStyle w:val="BlockText"/>
      </w:pPr>
      <w:r>
        <w:t xml:space="preserve">Dividindo</w:t>
      </w:r>
      <w:r>
        <w:t xml:space="preserve"> </w:t>
      </w:r>
      <m:oMath>
        <m:sSub>
          <m:e>
            <m:r>
              <m:rPr>
                <m:nor/>
                <m:sty m:val="p"/>
              </m:rPr>
              <m:t>CPO</m:t>
            </m:r>
          </m:e>
          <m:sub>
            <m:r>
              <m:t>K</m:t>
            </m:r>
          </m:sub>
        </m:sSub>
      </m:oMath>
      <w:r>
        <w:t xml:space="preserve"> </w:t>
      </w:r>
      <w:r>
        <w:t xml:space="preserve">por</w:t>
      </w:r>
      <w:r>
        <w:t xml:space="preserve"> </w:t>
      </w:r>
      <m:oMath>
        <m:sSub>
          <m:e>
            <m:r>
              <m:rPr>
                <m:nor/>
                <m:sty m:val="p"/>
              </m:rPr>
              <m:t>CPO</m:t>
            </m:r>
          </m:e>
          <m:sub>
            <m:r>
              <m:t>L</m:t>
            </m:r>
          </m:sub>
        </m:sSub>
      </m:oMath>
      <w:r>
        <w:t xml:space="preserve">:</w:t>
      </w:r>
      <w:r>
        <w:t xml:space="preserve"> </w:t>
      </w:r>
      <m:oMath>
        <m:r>
          <m:t>L</m:t>
        </m:r>
        <m:r>
          <m:rPr>
            <m:sty m:val="p"/>
          </m:rPr>
          <m:t>/</m:t>
        </m:r>
        <m:r>
          <m:t>K</m:t>
        </m:r>
        <m:r>
          <m:rPr>
            <m:sty m:val="p"/>
          </m:rPr>
          <m:t>=</m:t>
        </m:r>
        <m:r>
          <m:t>v</m:t>
        </m:r>
        <m:r>
          <m:rPr>
            <m:sty m:val="p"/>
          </m:rPr>
          <m:t>/</m:t>
        </m:r>
        <m:r>
          <m:t>w</m:t>
        </m:r>
      </m:oMath>
      <w:r>
        <w:t xml:space="preserve">, logo</w:t>
      </w:r>
      <w:r>
        <w:t xml:space="preserve"> </w:t>
      </w:r>
      <m:oMath>
        <m:r>
          <m:t>L</m:t>
        </m:r>
        <m:r>
          <m:rPr>
            <m:sty m:val="p"/>
          </m:rPr>
          <m:t>=</m:t>
        </m:r>
        <m:r>
          <m:rPr>
            <m:sty m:val="p"/>
          </m:rPr>
          <m:t>(</m:t>
        </m:r>
        <m:r>
          <m:t>v</m:t>
        </m:r>
        <m:r>
          <m:rPr>
            <m:sty m:val="p"/>
          </m:rPr>
          <m:t>/</m:t>
        </m:r>
        <m:r>
          <m:t>w</m:t>
        </m:r>
        <m:r>
          <m:rPr>
            <m:sty m:val="p"/>
          </m:rPr>
          <m:t>)</m:t>
        </m:r>
        <m:r>
          <m:t> </m:t>
        </m:r>
        <m:r>
          <m:t>K</m:t>
        </m:r>
      </m:oMath>
      <w:r>
        <w:t xml:space="preserve">. Substituindo em</w:t>
      </w:r>
      <w:r>
        <w:t xml:space="preserve"> </w:t>
      </w:r>
      <m:oMath>
        <m:sSub>
          <m:e>
            <m:r>
              <m:rPr>
                <m:nor/>
                <m:sty m:val="p"/>
              </m:rPr>
              <m:t>CPO</m:t>
            </m:r>
          </m:e>
          <m:sub>
            <m:r>
              <m:t>K</m:t>
            </m:r>
          </m:sub>
        </m:sSub>
      </m:oMath>
      <w:r>
        <w:t xml:space="preserve">:</w:t>
      </w:r>
    </w:p>
    <w:p>
      <w:pPr>
        <w:pStyle w:val="BlockText"/>
      </w:pPr>
      <w:r>
        <w:t xml:space="preserve">$$</w:t>
      </w:r>
    </w:p>
    <w:p>
      <w:pPr>
        <w:pStyle w:val="BlockText"/>
      </w:pPr>
      <w:r>
        <w:t xml:space="preserve">,K</w:t>
      </w:r>
      <w:r>
        <w:rPr>
          <w:vertAlign w:val="superscript"/>
        </w:rPr>
        <w:t xml:space="preserve">{-2/3}</w:t>
      </w:r>
      <w:r>
        <w:rPr>
          <w:vertAlign w:val="superscript"/>
        </w:rPr>
        <w:t xml:space="preserve">(</w:t>
      </w:r>
      <w:r>
        <w:rPr>
          <w:vertAlign w:val="superscript"/>
        </w:rPr>
        <w:t xml:space="preserve">,K</w:t>
      </w:r>
      <w:r>
        <w:rPr>
          <w:vertAlign w:val="superscript"/>
        </w:rPr>
        <w:t xml:space="preserve">)</w:t>
      </w:r>
      <w:r>
        <w:t xml:space="preserve">{1/3} = v</w:t>
      </w:r>
      <w:r>
        <w:t xml:space="preserve"> </w:t>
      </w:r>
      <w:r>
        <w:t xml:space="preserve">(</w:t>
      </w:r>
      <w:r>
        <w:t xml:space="preserve">)^{1/3} = v</w:t>
      </w:r>
      <w:r>
        <w:t xml:space="preserve"> </w:t>
      </w:r>
      <w:r>
        <w:t xml:space="preserve">K^{1/3}</w:t>
      </w:r>
    </w:p>
    <w:p>
      <w:pPr>
        <w:pStyle w:val="BlockText"/>
      </w:pPr>
      <w:r>
        <w:t xml:space="preserve">$$</w:t>
      </w:r>
    </w:p>
    <w:p>
      <w:pPr>
        <w:pStyle w:val="BlockText"/>
      </w:pPr>
      <w:r>
        <w:t xml:space="preserve">$$</w:t>
      </w:r>
    </w:p>
    <w:p>
      <w:pPr>
        <w:pStyle w:val="BlockText"/>
      </w:pPr>
      <w:r>
        <w:t xml:space="preserve">K^{1/3} =</w:t>
      </w:r>
      <w:r>
        <w:t xml:space="preserve"> </w:t>
      </w:r>
      <w:r>
        <w:t xml:space="preserve">(</w:t>
      </w:r>
      <w:r>
        <w:t xml:space="preserve">)^{1/3}</w:t>
      </w:r>
      <w:r>
        <w:t xml:space="preserve"> </w:t>
      </w:r>
      <w:r>
        <w:t xml:space="preserve">K^* =</w:t>
      </w:r>
      <w:r>
        <w:t xml:space="preserve"> </w:t>
      </w:r>
      <w:r>
        <w:t xml:space="preserve"> </w:t>
      </w:r>
      <w:r>
        <w:t xml:space="preserve">=</w:t>
      </w:r>
      <w:r>
        <w:t xml:space="preserve"> </w:t>
      </w:r>
    </w:p>
    <w:p>
      <w:pPr>
        <w:pStyle w:val="BlockText"/>
      </w:pPr>
      <w:r>
        <w:t xml:space="preserve">$$</w:t>
      </w:r>
    </w:p>
    <w:p>
      <w:pPr>
        <w:pStyle w:val="BlockText"/>
      </w:pPr>
      <w:r>
        <w:t xml:space="preserve">De forma análoga,</w:t>
      </w:r>
      <w:r>
        <w:t xml:space="preserve"> </w:t>
      </w:r>
      <m:oMath>
        <m:sSup>
          <m:e>
            <m:r>
              <m:t>L</m:t>
            </m:r>
          </m:e>
          <m:sup>
            <m:r>
              <m:rPr>
                <m:sty m:val="p"/>
              </m:rPr>
              <m:t>*</m:t>
            </m:r>
          </m:sup>
        </m:sSup>
        <m:r>
          <m:rPr>
            <m:sty m:val="p"/>
          </m:rPr>
          <m:t>=</m:t>
        </m:r>
        <m:f>
          <m:fPr>
            <m:type m:val="bar"/>
          </m:fPr>
          <m:num>
            <m:sSup>
              <m:e>
                <m:r>
                  <m:t>p</m:t>
                </m:r>
              </m:e>
              <m:sup>
                <m:r>
                  <m:t>3</m:t>
                </m:r>
              </m:sup>
            </m:sSup>
          </m:num>
          <m:den>
            <m:r>
              <m:t>27</m:t>
            </m:r>
            <m:r>
              <m:t> </m:t>
            </m:r>
            <m:sSup>
              <m:e>
                <m:r>
                  <m:t>w</m:t>
                </m:r>
              </m:e>
              <m:sup>
                <m:r>
                  <m:t>2</m:t>
                </m:r>
              </m:sup>
            </m:sSup>
            <m:r>
              <m:t> </m:t>
            </m:r>
            <m:r>
              <m:t>v</m:t>
            </m:r>
          </m:den>
        </m:f>
      </m:oMath>
      <w:r>
        <w:t xml:space="preserve">. A produção ótima é:</w:t>
      </w:r>
    </w:p>
    <w:p>
      <w:pPr>
        <w:pStyle w:val="BlockText"/>
      </w:pPr>
      <w:r>
        <w:t xml:space="preserve">$$</w:t>
      </w:r>
    </w:p>
    <w:p>
      <w:pPr>
        <w:pStyle w:val="BlockText"/>
      </w:pPr>
      <w:r>
        <w:t xml:space="preserve">q^* = (K</w:t>
      </w:r>
      <w:r>
        <w:rPr>
          <w:vertAlign w:val="superscript"/>
        </w:rPr>
        <w:t xml:space="preserve">*)</w:t>
      </w:r>
      <w:r>
        <w:t xml:space="preserve">{1/3}(L</w:t>
      </w:r>
      <w:r>
        <w:rPr>
          <w:vertAlign w:val="superscript"/>
        </w:rPr>
        <w:t xml:space="preserve">*)</w:t>
      </w:r>
      <w:r>
        <w:t xml:space="preserve">{1/3} =</w:t>
      </w:r>
      <w:r>
        <w:t xml:space="preserve"> </w:t>
      </w:r>
      <w:r>
        <w:t xml:space="preserve">(</w:t>
      </w:r>
      <w:r>
        <w:t xml:space="preserve">)</w:t>
      </w:r>
      <w:r>
        <w:rPr>
          <w:vertAlign w:val="superscript"/>
        </w:rPr>
        <w:t xml:space="preserve">{1/3}</w:t>
      </w:r>
      <w:r>
        <w:rPr>
          <w:vertAlign w:val="superscript"/>
        </w:rPr>
        <w:t xml:space="preserve">(\frac{p</w:t>
      </w:r>
      <w:r>
        <w:t xml:space="preserve">3}{27,w^2 v}</w:t>
      </w:r>
      <w:r>
        <w:t xml:space="preserve">)^{1/3} =</w:t>
      </w:r>
      <w:r>
        <w:t xml:space="preserve"> </w:t>
      </w:r>
    </w:p>
    <w:p>
      <w:pPr>
        <w:pStyle w:val="BlockText"/>
      </w:pPr>
      <w:r>
        <w:t xml:space="preserve">$$</w:t>
      </w:r>
    </w:p>
    <w:p>
      <w:pPr>
        <w:pStyle w:val="BlockText"/>
      </w:pPr>
      <w:r>
        <w:t xml:space="preserve">O lucro máximo é</w:t>
      </w:r>
      <w:r>
        <w:t xml:space="preserve"> </w:t>
      </w:r>
      <m:oMath>
        <m:sSup>
          <m:e>
            <m:r>
              <m:t>π</m:t>
            </m:r>
          </m:e>
          <m:sup>
            <m:r>
              <m:rPr>
                <m:sty m:val="p"/>
              </m:rPr>
              <m:t>*</m:t>
            </m:r>
          </m:sup>
        </m:sSup>
        <m:r>
          <m:rPr>
            <m:sty m:val="p"/>
          </m:rPr>
          <m:t>=</m:t>
        </m:r>
        <m:r>
          <m:t>p</m:t>
        </m:r>
        <m:r>
          <m:t> </m:t>
        </m:r>
        <m:sSup>
          <m:e>
            <m:r>
              <m:t>q</m:t>
            </m:r>
          </m:e>
          <m:sup>
            <m:r>
              <m:rPr>
                <m:sty m:val="p"/>
              </m:rPr>
              <m:t>*</m:t>
            </m:r>
          </m:sup>
        </m:sSup>
        <m:r>
          <m:rPr>
            <m:sty m:val="p"/>
          </m:rPr>
          <m:t>−</m:t>
        </m:r>
        <m:r>
          <m:t>w</m:t>
        </m:r>
        <m:r>
          <m:t> </m:t>
        </m:r>
        <m:sSup>
          <m:e>
            <m:r>
              <m:t>L</m:t>
            </m:r>
          </m:e>
          <m:sup>
            <m:r>
              <m:rPr>
                <m:sty m:val="p"/>
              </m:rPr>
              <m:t>*</m:t>
            </m:r>
          </m:sup>
        </m:sSup>
        <m:r>
          <m:rPr>
            <m:sty m:val="p"/>
          </m:rPr>
          <m:t>−</m:t>
        </m:r>
        <m:r>
          <m:t>v</m:t>
        </m:r>
        <m:r>
          <m:t> </m:t>
        </m:r>
        <m:sSup>
          <m:e>
            <m:r>
              <m:t>K</m:t>
            </m:r>
          </m:e>
          <m:sup>
            <m:r>
              <m:rPr>
                <m:sty m:val="p"/>
              </m:rPr>
              <m:t>*</m:t>
            </m:r>
          </m:sup>
        </m:sSup>
        <m:r>
          <m:rPr>
            <m:sty m:val="p"/>
          </m:rPr>
          <m:t>=</m:t>
        </m:r>
        <m:f>
          <m:fPr>
            <m:type m:val="bar"/>
          </m:fPr>
          <m:num>
            <m:sSup>
              <m:e>
                <m:r>
                  <m:t>p</m:t>
                </m:r>
              </m:e>
              <m:sup>
                <m:r>
                  <m:t>3</m:t>
                </m:r>
              </m:sup>
            </m:sSup>
          </m:num>
          <m:den>
            <m:r>
              <m:t>9</m:t>
            </m:r>
            <m:r>
              <m:t>w</m:t>
            </m:r>
            <m:r>
              <m:t>v</m:t>
            </m:r>
          </m:den>
        </m:f>
        <m:r>
          <m:rPr>
            <m:sty m:val="p"/>
          </m:rPr>
          <m:t>−</m:t>
        </m:r>
        <m:f>
          <m:fPr>
            <m:type m:val="bar"/>
          </m:fPr>
          <m:num>
            <m:sSup>
              <m:e>
                <m:r>
                  <m:t>p</m:t>
                </m:r>
              </m:e>
              <m:sup>
                <m:r>
                  <m:t>3</m:t>
                </m:r>
              </m:sup>
            </m:sSup>
          </m:num>
          <m:den>
            <m:r>
              <m:t>27</m:t>
            </m:r>
            <m:r>
              <m:t>w</m:t>
            </m:r>
            <m:r>
              <m:t>v</m:t>
            </m:r>
          </m:den>
        </m:f>
        <m:r>
          <m:rPr>
            <m:sty m:val="p"/>
          </m:rPr>
          <m:t>−</m:t>
        </m:r>
        <m:f>
          <m:fPr>
            <m:type m:val="bar"/>
          </m:fPr>
          <m:num>
            <m:sSup>
              <m:e>
                <m:r>
                  <m:t>p</m:t>
                </m:r>
              </m:e>
              <m:sup>
                <m:r>
                  <m:t>3</m:t>
                </m:r>
              </m:sup>
            </m:sSup>
          </m:num>
          <m:den>
            <m:r>
              <m:t>27</m:t>
            </m:r>
            <m:r>
              <m:t>w</m:t>
            </m:r>
            <m:r>
              <m:t>v</m:t>
            </m:r>
          </m:den>
        </m:f>
        <m:r>
          <m:rPr>
            <m:sty m:val="p"/>
          </m:rPr>
          <m:t>=</m:t>
        </m:r>
        <m:f>
          <m:fPr>
            <m:type m:val="bar"/>
          </m:fPr>
          <m:num>
            <m:sSup>
              <m:e>
                <m:r>
                  <m:t>p</m:t>
                </m:r>
              </m:e>
              <m:sup>
                <m:r>
                  <m:t>3</m:t>
                </m:r>
              </m:sup>
            </m:sSup>
          </m:num>
          <m:den>
            <m:r>
              <m:t>27</m:t>
            </m:r>
            <m:r>
              <m:t>w</m:t>
            </m:r>
            <m:r>
              <m:t>v</m:t>
            </m:r>
          </m:den>
        </m:f>
      </m:oMath>
      <w:r>
        <w:t xml:space="preserve">. Verificando o Lema:</w:t>
      </w:r>
    </w:p>
    <w:p>
      <w:pPr>
        <w:pStyle w:val="BlockText"/>
      </w:pPr>
      <w:r>
        <w:t xml:space="preserve">$$</w:t>
      </w:r>
    </w:p>
    <w:p>
      <w:pPr>
        <w:pStyle w:val="BlockText"/>
      </w:pPr>
      <w:r>
        <w:t xml:space="preserve"> </w:t>
      </w:r>
      <w:r>
        <w:t xml:space="preserve">=</w:t>
      </w:r>
      <w:r>
        <w:t xml:space="preserve"> </w:t>
      </w:r>
      <w:r>
        <w:t xml:space="preserve"> </w:t>
      </w:r>
      <w:r>
        <w:t xml:space="preserve">=</w:t>
      </w:r>
      <w:r>
        <w:t xml:space="preserve"> </w:t>
      </w:r>
      <w:r>
        <w:t xml:space="preserve"> </w:t>
      </w:r>
      <w:r>
        <w:t xml:space="preserve">= q^* ;</w:t>
      </w:r>
      <w:r>
        <w:t xml:space="preserve"> </w:t>
      </w:r>
      <w:r>
        <w:t xml:space="preserve">= -</w:t>
      </w:r>
      <w:r>
        <w:t xml:space="preserve"> </w:t>
      </w:r>
      <w:r>
        <w:t xml:space="preserve">= -L^* ;</w:t>
      </w:r>
    </w:p>
    <w:p>
      <w:pPr>
        <w:pStyle w:val="BlockText"/>
      </w:pPr>
      <w:r>
        <w:t xml:space="preserve">$$</w:t>
      </w:r>
    </w:p>
    <w:p>
      <w:pPr>
        <w:pStyle w:val="BlockText"/>
      </w:pPr>
      <m:oMath>
        <m:r>
          <m:rPr>
            <m:sty m:val="p"/>
          </m:rPr>
          <m:t>◼</m:t>
        </m:r>
      </m:oMath>
    </w:p>
    <w:p>
      <w:pPr>
        <w:pStyle w:val="BlockText"/>
      </w:pPr>
      <w:r>
        <w:t xml:space="preserve">!!! note</w:t>
      </w:r>
      <w:r>
        <w:t xml:space="preserve"> </w:t>
      </w:r>
      <w:r>
        <w:t xml:space="preserve">“Por que retornos constantes não funcionam”</w:t>
      </w:r>
      <w:r>
        <w:t xml:space="preserve"> </w:t>
      </w:r>
      <w:r>
        <w:t xml:space="preserve">Com retornos constantes de escala (</w:t>
      </w:r>
      <m:oMath>
        <m:r>
          <m:t>α</m:t>
        </m:r>
        <m:r>
          <m:rPr>
            <m:sty m:val="p"/>
          </m:rPr>
          <m:t>+</m:t>
        </m:r>
        <m:r>
          <m:t>β</m:t>
        </m:r>
        <m:r>
          <m:rPr>
            <m:sty m:val="p"/>
          </m:rPr>
          <m:t>=</m:t>
        </m:r>
        <m:r>
          <m:t>1</m:t>
        </m:r>
      </m:oMath>
      <w:r>
        <w:t xml:space="preserve">), a função lucro é: zero se</w:t>
      </w:r>
      <w:r>
        <w:t xml:space="preserve"> </w:t>
      </w:r>
      <m:oMath>
        <m:r>
          <m:t>p</m:t>
        </m:r>
        <m:r>
          <m:rPr>
            <m:sty m:val="p"/>
          </m:rPr>
          <m:t>=</m:t>
        </m:r>
        <m:r>
          <m:t>c</m:t>
        </m:r>
        <m:r>
          <m:rPr>
            <m:sty m:val="p"/>
          </m:rPr>
          <m:t>(</m:t>
        </m:r>
        <m:r>
          <m:t>w</m:t>
        </m:r>
        <m:r>
          <m:rPr>
            <m:sty m:val="p"/>
          </m:rPr>
          <m:t>,</m:t>
        </m:r>
        <m:r>
          <m:t>v</m:t>
        </m:r>
        <m:r>
          <m:rPr>
            <m:sty m:val="p"/>
          </m:rPr>
          <m:t>)</m:t>
        </m:r>
      </m:oMath>
      <w:r>
        <w:t xml:space="preserve">;</w:t>
      </w:r>
      <w:r>
        <w:t xml:space="preserve"> </w:t>
      </w:r>
      <m:oMath>
        <m:r>
          <m:rPr>
            <m:sty m:val="p"/>
          </m:rPr>
          <m:t>−</m:t>
        </m:r>
        <m:r>
          <m:rPr>
            <m:sty m:val="p"/>
          </m:rPr>
          <m:t>∞</m:t>
        </m:r>
      </m:oMath>
      <w:r>
        <w:t xml:space="preserve"> </w:t>
      </w:r>
      <w:r>
        <w:t xml:space="preserve">se</w:t>
      </w:r>
      <w:r>
        <w:t xml:space="preserve"> </w:t>
      </w:r>
      <m:oMath>
        <m:r>
          <m:t>p</m:t>
        </m:r>
        <m:r>
          <m:rPr>
            <m:sty m:val="p"/>
          </m:rPr>
          <m:t>&lt;</m:t>
        </m:r>
        <m:r>
          <m:t>c</m:t>
        </m:r>
        <m:r>
          <m:rPr>
            <m:sty m:val="p"/>
          </m:rPr>
          <m:t>(</m:t>
        </m:r>
        <m:r>
          <m:t>w</m:t>
        </m:r>
        <m:r>
          <m:rPr>
            <m:sty m:val="p"/>
          </m:rPr>
          <m:t>,</m:t>
        </m:r>
        <m:r>
          <m:t>v</m:t>
        </m:r>
        <m:r>
          <m:rPr>
            <m:sty m:val="p"/>
          </m:rPr>
          <m:t>)</m:t>
        </m:r>
      </m:oMath>
      <w:r>
        <w:t xml:space="preserve"> </w:t>
      </w:r>
      <w:r>
        <w:t xml:space="preserve">(firma não produz); e</w:t>
      </w:r>
      <w:r>
        <w:t xml:space="preserve"> </w:t>
      </w:r>
      <m:oMath>
        <m:r>
          <m:rPr>
            <m:sty m:val="p"/>
          </m:rPr>
          <m:t>+</m:t>
        </m:r>
        <m:r>
          <m:rPr>
            <m:sty m:val="p"/>
          </m:rPr>
          <m:t>∞</m:t>
        </m:r>
      </m:oMath>
      <w:r>
        <w:t xml:space="preserve"> </w:t>
      </w:r>
      <w:r>
        <w:t xml:space="preserve">se</w:t>
      </w:r>
      <w:r>
        <w:t xml:space="preserve"> </w:t>
      </w:r>
      <m:oMath>
        <m:r>
          <m:t>p</m:t>
        </m:r>
        <m:r>
          <m:rPr>
            <m:sty m:val="p"/>
          </m:rPr>
          <m:t>&gt;</m:t>
        </m:r>
        <m:r>
          <m:t>c</m:t>
        </m:r>
        <m:r>
          <m:rPr>
            <m:sty m:val="p"/>
          </m:rPr>
          <m:t>(</m:t>
        </m:r>
        <m:r>
          <m:t>w</m:t>
        </m:r>
        <m:r>
          <m:rPr>
            <m:sty m:val="p"/>
          </m:rPr>
          <m:t>,</m:t>
        </m:r>
        <m:r>
          <m:t>v</m:t>
        </m:r>
        <m:r>
          <m:rPr>
            <m:sty m:val="p"/>
          </m:rPr>
          <m:t>)</m:t>
        </m:r>
      </m:oMath>
      <w:r>
        <w:t xml:space="preserve"> </w:t>
      </w:r>
      <w:r>
        <w:t xml:space="preserve">(firma quer produzir infinitamente). O problema de maximização não tem solução interior finita, e o Lema de Hotelling não se aplica. Por isso, a verificação numérica requer retornos decrescentes.</w:t>
      </w:r>
    </w:p>
    <w:p>
      <w:pPr>
        <w:pStyle w:val="SourceCode"/>
      </w:pPr>
      <w:r>
        <w:rPr>
          <w:rStyle w:val="VerbatimChar"/>
        </w:rPr>
        <w:t xml:space="preserve">**Nota:** A condição $p^2 = 4wv$ é específica do caso simétrico $\alpha = \beta = 1/2$. Para o caso geral $\alpha + \beta = 1$, a condição de lucro zero é $p = \kappa \cdot w^{\beta} \cdot v^{\alpha}$, onde $\kappa = \alpha^{-\alpha}\beta^{-\beta}$ depende dos expoentes da função de produção.</w:t>
      </w:r>
    </w:p>
    <w:p>
      <w:pPr>
        <w:pStyle w:val="BlockText"/>
      </w:pPr>
      <w:r>
        <w:rPr>
          <w:b/>
          <w:bCs/>
        </w:rPr>
        <w:t xml:space="preserve">[DICA] Significado econômico do Lema de Hotelling</w:t>
      </w:r>
    </w:p>
    <w:p>
      <w:pPr>
        <w:pStyle w:val="BlockText"/>
      </w:pPr>
      <w:r>
        <w:t xml:space="preserve">O Lema de Hotelling estabelece uma dualidade elegante: a partir da função lucro — que sintetiza toda a informação sobre tecnologia e preços — podemos recuperar tanto a</w:t>
      </w:r>
      <w:r>
        <w:t xml:space="preserve"> </w:t>
      </w:r>
      <w:r>
        <w:rPr>
          <w:b/>
          <w:bCs/>
        </w:rPr>
        <w:t xml:space="preserve">função de oferta</w:t>
      </w:r>
      <w:r>
        <w:t xml:space="preserve"> </w:t>
      </w:r>
      <w:r>
        <w:t xml:space="preserve">do produto quanto as</w:t>
      </w:r>
      <w:r>
        <w:t xml:space="preserve"> </w:t>
      </w:r>
      <w:r>
        <w:rPr>
          <w:b/>
          <w:bCs/>
        </w:rPr>
        <w:t xml:space="preserve">demandas por insumos</w:t>
      </w:r>
      <w:r>
        <w:t xml:space="preserve">. Juntamente com o Lema de Shephard (Capítulo 11), forma o arcabouço dual da teoria da firma. A convexidade da função lucro implica que a oferta é não decrescente no preço do produto (lei da oferta) e que as demandas por insumos são não crescentes nos respectivos preços.</w:t>
      </w:r>
    </w:p>
    <w:p>
      <w:pPr>
        <w:pStyle w:val="BlockText"/>
      </w:pPr>
      <w:r>
        <w:rPr>
          <w:b/>
          <w:bCs/>
        </w:rPr>
        <w:t xml:space="preserve">[INTUICAO ECONOMICA] Intuição Econômica</w:t>
      </w:r>
    </w:p>
    <w:p>
      <w:pPr>
        <w:pStyle w:val="BlockText"/>
      </w:pPr>
      <w:r>
        <w:rPr>
          <w:b/>
          <w:bCs/>
        </w:rPr>
        <w:t xml:space="preserve">Em uma frase:</w:t>
      </w:r>
      <w:r>
        <w:t xml:space="preserve"> </w:t>
      </w:r>
      <w:r>
        <w:t xml:space="preserve">Conhecendo apenas o lucro máximo da firma em função dos preços, conseguimos deduzir quanto ela produz e quanto usa de cada insumo.</w:t>
      </w:r>
    </w:p>
    <w:p>
      <w:pPr>
        <w:pStyle w:val="BlockText"/>
      </w:pPr>
      <w:r>
        <w:rPr>
          <w:b/>
          <w:bCs/>
        </w:rPr>
        <w:t xml:space="preserve">Pense assim:</w:t>
      </w:r>
      <w:r>
        <w:t xml:space="preserve"> </w:t>
      </w:r>
      <w:r>
        <w:t xml:space="preserve">É como se você olhasse apenas o extrato bancário de um feirante — quanto ele lucra a cada combinação de preço da banana e custo do transporte — e, só com essa informação, conseguisse descobrir quantas bananas ele vende e quantas viagens de caminhão ele faz. O Lema de Hotelling diz que a função lucro já carrega toda essa informação, bastando derivá-la.</w:t>
      </w:r>
    </w:p>
    <w:p>
      <w:pPr>
        <w:pStyle w:val="BlockText"/>
      </w:pPr>
      <w:r>
        <w:rPr>
          <w:b/>
          <w:bCs/>
        </w:rPr>
        <w:t xml:space="preserve">Por que isso importa:</w:t>
      </w:r>
      <w:r>
        <w:t xml:space="preserve"> </w:t>
      </w:r>
      <w:r>
        <w:t xml:space="preserve">Essa propriedade é usada pelo</w:t>
      </w:r>
      <w:r>
        <w:t xml:space="preserve"> </w:t>
      </w:r>
      <w:hyperlink r:id="rId214">
        <w:r>
          <w:rPr>
            <w:rStyle w:val="Hyperlink"/>
          </w:rPr>
          <w:t xml:space="preserve">IPEA</w:t>
        </w:r>
      </w:hyperlink>
      <w:r>
        <w:t xml:space="preserve"> </w:t>
      </w:r>
      <w:r>
        <w:t xml:space="preserve">em modelos de equilíbrio geral computável para calibrar funções de oferta setorial da economia brasileira a partir de dados de lucro.</w:t>
      </w:r>
    </w:p>
    <w:p>
      <w:pPr>
        <w:pStyle w:val="BlockText"/>
      </w:pPr>
      <w:r>
        <w:rPr>
          <w:b/>
          <w:bCs/>
        </w:rPr>
        <w:t xml:space="preserve">[INTUICAO ECONOMICA] Intuição Econômica</w:t>
      </w:r>
    </w:p>
    <w:p>
      <w:pPr>
        <w:pStyle w:val="BlockText"/>
      </w:pPr>
      <w:r>
        <w:rPr>
          <w:b/>
          <w:bCs/>
        </w:rPr>
        <w:t xml:space="preserve">O Lema de Hotelling: a função lucro já contém toda a informação sobre a oferta</w:t>
      </w:r>
    </w:p>
    <w:p>
      <w:pPr>
        <w:pStyle w:val="BlockText"/>
      </w:pPr>
      <w:r>
        <w:t xml:space="preserve">O resultado mais surpreendente da teoria dual da firma é que</w:t>
      </w:r>
      <w:r>
        <w:t xml:space="preserve"> </w:t>
      </w:r>
      <w:r>
        <w:rPr>
          <w:b/>
          <w:bCs/>
        </w:rPr>
        <w:t xml:space="preserve">não precisamos resolver o problema de otimização de produção</w:t>
      </w:r>
      <w:r>
        <w:t xml:space="preserve"> </w:t>
      </w:r>
      <w:r>
        <w:t xml:space="preserve">para saber quanto a firma produz — basta olhar para a função lucro e derivá-la. Isso ocorre porque a função lucro</w:t>
      </w:r>
      <w:r>
        <w:t xml:space="preserve"> </w:t>
      </w:r>
      <m:oMath>
        <m:sSup>
          <m:e>
            <m:r>
              <m:t>π</m:t>
            </m:r>
          </m:e>
          <m:sup>
            <m:r>
              <m:rPr>
                <m:sty m:val="p"/>
              </m:rPr>
              <m:t>*</m:t>
            </m:r>
          </m:sup>
        </m:sSup>
        <m:r>
          <m:rPr>
            <m:sty m:val="p"/>
          </m:rPr>
          <m:t>(</m:t>
        </m:r>
        <m:r>
          <m:t>p</m:t>
        </m:r>
        <m:r>
          <m:rPr>
            <m:sty m:val="p"/>
          </m:rPr>
          <m:t>,</m:t>
        </m:r>
        <m:r>
          <m:t>w</m:t>
        </m:r>
        <m:r>
          <m:rPr>
            <m:sty m:val="p"/>
          </m:rPr>
          <m:t>,</m:t>
        </m:r>
        <m:r>
          <m:t>v</m:t>
        </m:r>
        <m:r>
          <m:rPr>
            <m:sty m:val="p"/>
          </m:rPr>
          <m:t>)</m:t>
        </m:r>
      </m:oMath>
      <w:r>
        <w:t xml:space="preserve"> </w:t>
      </w:r>
      <w:r>
        <w:t xml:space="preserve">foi construída</w:t>
      </w:r>
      <w:r>
        <w:t xml:space="preserve"> </w:t>
      </w:r>
      <w:r>
        <w:rPr>
          <w:i/>
          <w:iCs/>
        </w:rPr>
        <w:t xml:space="preserve">maximizando</w:t>
      </w:r>
      <w:r>
        <w:t xml:space="preserve"> </w:t>
      </w:r>
      <w:r>
        <w:t xml:space="preserve">sobre</w:t>
      </w:r>
      <w:r>
        <w:t xml:space="preserve"> </w:t>
      </w:r>
      <m:oMath>
        <m:r>
          <m:t>q</m:t>
        </m:r>
      </m:oMath>
      <w:r>
        <w:t xml:space="preserve"> </w:t>
      </w:r>
      <w:r>
        <w:t xml:space="preserve">(e</w:t>
      </w:r>
      <w:r>
        <w:t xml:space="preserve"> </w:t>
      </w:r>
      <m:oMath>
        <m:r>
          <m:t>K</m:t>
        </m:r>
        <m:r>
          <m:rPr>
            <m:sty m:val="p"/>
          </m:rPr>
          <m:t>,</m:t>
        </m:r>
        <m:r>
          <m:t>L</m:t>
        </m:r>
      </m:oMath>
      <w:r>
        <w:t xml:space="preserve">): cada variação marginal em</w:t>
      </w:r>
      <w:r>
        <w:t xml:space="preserve"> </w:t>
      </w:r>
      <m:oMath>
        <m:r>
          <m:t>p</m:t>
        </m:r>
      </m:oMath>
      <w:r>
        <w:t xml:space="preserve"> </w:t>
      </w:r>
      <w:r>
        <w:t xml:space="preserve">desloca o lucro exatamente pelo valor da quantidade ótima (pelo teorema da envoltória). Em linguagem mais simples: o quanto a firma ganha com um centavo a mais no preço do produto é exatamente quanto ela estava produzindo.</w:t>
      </w:r>
    </w:p>
    <w:p>
      <w:pPr>
        <w:pStyle w:val="BlockText"/>
      </w:pPr>
      <w:r>
        <w:rPr>
          <w:b/>
          <w:bCs/>
        </w:rPr>
        <w:t xml:space="preserve">Analogia com o consumidor:</w:t>
      </w:r>
      <w:r>
        <w:t xml:space="preserve"> </w:t>
      </w:r>
      <w:r>
        <w:t xml:space="preserve">O Lema de Hotelling é o espelho do Lema de Roy no lado do consumidor (</w:t>
      </w:r>
      <m:oMath>
        <m:sSub>
          <m:e>
            <m:r>
              <m:t>x</m:t>
            </m:r>
          </m:e>
          <m:sub>
            <m:r>
              <m:t>i</m:t>
            </m:r>
          </m:sub>
        </m:sSub>
        <m:r>
          <m:rPr>
            <m:sty m:val="p"/>
          </m:rPr>
          <m:t>=</m:t>
        </m:r>
        <m:r>
          <m:rPr>
            <m:sty m:val="p"/>
          </m:rPr>
          <m:t>−</m:t>
        </m:r>
        <m:r>
          <m:rPr>
            <m:sty m:val="p"/>
          </m:rPr>
          <m:t>∂</m:t>
        </m:r>
        <m:r>
          <m:t>V</m:t>
        </m:r>
        <m:r>
          <m:rPr>
            <m:sty m:val="p"/>
          </m:rPr>
          <m:t>/</m:t>
        </m:r>
        <m:r>
          <m:rPr>
            <m:sty m:val="p"/>
          </m:rPr>
          <m:t>∂</m:t>
        </m:r>
        <m:sSub>
          <m:e>
            <m:r>
              <m:t>p</m:t>
            </m:r>
          </m:e>
          <m:sub>
            <m:r>
              <m:t>i</m:t>
            </m:r>
          </m:sub>
        </m:sSub>
        <m:r>
          <m:rPr>
            <m:sty m:val="p"/>
          </m:rPr>
          <m:t>/</m:t>
        </m:r>
        <m:r>
          <m:rPr>
            <m:sty m:val="p"/>
          </m:rPr>
          <m:t>∂</m:t>
        </m:r>
        <m:r>
          <m:t>V</m:t>
        </m:r>
        <m:r>
          <m:rPr>
            <m:sty m:val="p"/>
          </m:rPr>
          <m:t>/</m:t>
        </m:r>
        <m:r>
          <m:rPr>
            <m:sty m:val="p"/>
          </m:rPr>
          <m:t>∂</m:t>
        </m:r>
        <m:r>
          <m:t>m</m:t>
        </m:r>
      </m:oMath>
      <w:r>
        <w:t xml:space="preserve">): assim como a função de utilidade indireta contém toda a informação sobre as escolhas de consumo, a função lucro contém toda a informação sobre as escolhas de produção. A dualidade entre as teorias do consumidor e da firma é, em grande medida, uma consequência desse paralelismo matemático.</w:t>
      </w:r>
    </w:p>
    <w:p>
      <w:pPr>
        <w:pStyle w:val="BlockText"/>
      </w:pPr>
      <w:r>
        <w:rPr>
          <w:b/>
          <w:bCs/>
        </w:rPr>
        <w:t xml:space="preserve">Implicação para estimação empírica:</w:t>
      </w:r>
      <w:r>
        <w:t xml:space="preserve"> </w:t>
      </w:r>
      <w:r>
        <w:t xml:space="preserve">Pesquisadores como De Loecker e Warzynski (2012) exploram relações derivadas do Lema de Hotelling para estimar markups diretamente de dados de produção, sem precisar de informação sobre preços de insumos — um avanço metodológico importante para medir poder de mercado em economias com dados limitados.</w:t>
      </w:r>
    </w:p>
    <w:p>
      <w:pPr>
        <w:pStyle w:val="BlockText"/>
      </w:pPr>
      <w:r>
        <w:rPr>
          <w:b/>
          <w:bCs/>
        </w:rPr>
        <w:t xml:space="preserve">[EXERCICIO RESOLVIDO] Exercício Resolvido 12.3 — Verificação do Lema de Hotelling</w:t>
      </w:r>
    </w:p>
    <w:p>
      <w:pPr>
        <w:pStyle w:val="BlockText"/>
      </w:pPr>
      <w:r>
        <w:rPr>
          <w:b/>
          <w:bCs/>
        </w:rPr>
        <w:t xml:space="preserve">Enunciado:</w:t>
      </w:r>
      <w:r>
        <w:t xml:space="preserve"> </w:t>
      </w:r>
      <w:r>
        <w:t xml:space="preserve">Uma firma com função de produção</w:t>
      </w:r>
      <w:r>
        <w:t xml:space="preserve"> </w:t>
      </w:r>
      <m:oMath>
        <m:r>
          <m:t>q</m:t>
        </m:r>
        <m:r>
          <m:rPr>
            <m:sty m:val="p"/>
          </m:rPr>
          <m:t>=</m:t>
        </m:r>
        <m:sSup>
          <m:e>
            <m:r>
              <m:t>K</m:t>
            </m:r>
          </m:e>
          <m:sup>
            <m:r>
              <m:t>1</m:t>
            </m:r>
            <m:r>
              <m:rPr>
                <m:sty m:val="p"/>
              </m:rPr>
              <m:t>/</m:t>
            </m:r>
            <m:r>
              <m:t>3</m:t>
            </m:r>
          </m:sup>
        </m:sSup>
        <m:sSup>
          <m:e>
            <m:r>
              <m:t>L</m:t>
            </m:r>
          </m:e>
          <m:sup>
            <m:r>
              <m:t>1</m:t>
            </m:r>
            <m:r>
              <m:rPr>
                <m:sty m:val="p"/>
              </m:rPr>
              <m:t>/</m:t>
            </m:r>
            <m:r>
              <m:t>3</m:t>
            </m:r>
          </m:sup>
        </m:sSup>
      </m:oMath>
      <w:r>
        <w:t xml:space="preserve"> </w:t>
      </w:r>
      <w:r>
        <w:t xml:space="preserve">enfrenta preços</w:t>
      </w:r>
      <w:r>
        <w:t xml:space="preserve"> </w:t>
      </w:r>
      <m:oMath>
        <m:r>
          <m:t>p</m:t>
        </m:r>
        <m:r>
          <m:rPr>
            <m:sty m:val="p"/>
          </m:rPr>
          <m:t>=</m:t>
        </m:r>
        <m:r>
          <m:t>12</m:t>
        </m:r>
      </m:oMath>
      <w:r>
        <w:t xml:space="preserve">,</w:t>
      </w:r>
      <w:r>
        <w:t xml:space="preserve"> </w:t>
      </w:r>
      <m:oMath>
        <m:r>
          <m:t>w</m:t>
        </m:r>
        <m:r>
          <m:rPr>
            <m:sty m:val="p"/>
          </m:rPr>
          <m:t>=</m:t>
        </m:r>
        <m:r>
          <m:t>1</m:t>
        </m:r>
      </m:oMath>
      <w:r>
        <w:t xml:space="preserve"> </w:t>
      </w:r>
      <w:r>
        <w:t xml:space="preserve">e</w:t>
      </w:r>
      <w:r>
        <w:t xml:space="preserve"> </w:t>
      </w:r>
      <m:oMath>
        <m:r>
          <m:t>v</m:t>
        </m:r>
        <m:r>
          <m:rPr>
            <m:sty m:val="p"/>
          </m:rPr>
          <m:t>=</m:t>
        </m:r>
        <m:r>
          <m:t>1</m:t>
        </m:r>
      </m:oMath>
      <w:r>
        <w:t xml:space="preserve">. Encontre as demandas ótimas por insumos, a produção e o lucro máximo. Verifique o Lema de Hotelling.</w:t>
      </w:r>
    </w:p>
    <w:p>
      <w:pPr>
        <w:pStyle w:val="BlockText"/>
      </w:pPr>
      <w:r>
        <w:rPr>
          <w:b/>
          <w:bCs/>
        </w:rPr>
        <w:t xml:space="preserve">Dados:</w:t>
      </w:r>
      <w:r>
        <w:t xml:space="preserve"> </w:t>
      </w:r>
      <m:oMath>
        <m:r>
          <m:t>q</m:t>
        </m:r>
        <m:r>
          <m:rPr>
            <m:sty m:val="p"/>
          </m:rPr>
          <m:t>=</m:t>
        </m:r>
        <m:sSup>
          <m:e>
            <m:r>
              <m:t>K</m:t>
            </m:r>
          </m:e>
          <m:sup>
            <m:r>
              <m:t>1</m:t>
            </m:r>
            <m:r>
              <m:rPr>
                <m:sty m:val="p"/>
              </m:rPr>
              <m:t>/</m:t>
            </m:r>
            <m:r>
              <m:t>3</m:t>
            </m:r>
          </m:sup>
        </m:sSup>
        <m:sSup>
          <m:e>
            <m:r>
              <m:t>L</m:t>
            </m:r>
          </m:e>
          <m:sup>
            <m:r>
              <m:t>1</m:t>
            </m:r>
            <m:r>
              <m:rPr>
                <m:sty m:val="p"/>
              </m:rPr>
              <m:t>/</m:t>
            </m:r>
            <m:r>
              <m:t>3</m:t>
            </m:r>
          </m:sup>
        </m:sSup>
      </m:oMath>
      <w:r>
        <w:t xml:space="preserve">;</w:t>
      </w:r>
      <w:r>
        <w:t xml:space="preserve"> </w:t>
      </w:r>
      <m:oMath>
        <m:r>
          <m:t>p</m:t>
        </m:r>
        <m:r>
          <m:rPr>
            <m:sty m:val="p"/>
          </m:rPr>
          <m:t>=</m:t>
        </m:r>
        <m:r>
          <m:t>12</m:t>
        </m:r>
      </m:oMath>
      <w:r>
        <w:t xml:space="preserve">,</w:t>
      </w:r>
      <w:r>
        <w:t xml:space="preserve"> </w:t>
      </w:r>
      <m:oMath>
        <m:r>
          <m:t>w</m:t>
        </m:r>
        <m:r>
          <m:rPr>
            <m:sty m:val="p"/>
          </m:rPr>
          <m:t>=</m:t>
        </m:r>
        <m:r>
          <m:t>1</m:t>
        </m:r>
      </m:oMath>
      <w:r>
        <w:t xml:space="preserve">,</w:t>
      </w:r>
      <w:r>
        <w:t xml:space="preserve"> </w:t>
      </w:r>
      <m:oMath>
        <m:r>
          <m:t>v</m:t>
        </m:r>
        <m:r>
          <m:rPr>
            <m:sty m:val="p"/>
          </m:rPr>
          <m:t>=</m:t>
        </m:r>
        <m:r>
          <m:t>1</m:t>
        </m:r>
      </m:oMath>
      <w:r>
        <w:t xml:space="preserve">.</w:t>
      </w:r>
    </w:p>
    <w:p>
      <w:pPr>
        <w:pStyle w:val="BlockText"/>
      </w:pPr>
      <w:r>
        <w:rPr>
          <w:b/>
          <w:bCs/>
        </w:rPr>
        <w:t xml:space="preserve">Resolução:</w:t>
      </w:r>
    </w:p>
    <w:p>
      <w:pPr>
        <w:pStyle w:val="BlockText"/>
      </w:pPr>
      <w:r>
        <w:rPr>
          <w:b/>
          <w:bCs/>
        </w:rPr>
        <w:t xml:space="preserve">Passo 1 — Condições de primeira ordem</w:t>
      </w:r>
    </w:p>
    <w:p>
      <w:pPr>
        <w:pStyle w:val="BlockText"/>
      </w:pPr>
      <w:r>
        <w:t xml:space="preserve">$$</w:t>
      </w:r>
    </w:p>
    <w:p>
      <w:pPr>
        <w:pStyle w:val="BlockText"/>
      </w:pPr>
      <w:r>
        <w:t xml:space="preserve">_L:;</w:t>
      </w:r>
      <w:r>
        <w:t xml:space="preserve"> </w:t>
      </w:r>
      <w:r>
        <w:t xml:space="preserve">,K</w:t>
      </w:r>
      <w:r>
        <w:rPr>
          <w:vertAlign w:val="superscript"/>
        </w:rPr>
        <w:t xml:space="preserve">{1/3}L</w:t>
      </w:r>
      <w:r>
        <w:t xml:space="preserve">{-2/3} = w</w:t>
      </w:r>
      <w:r>
        <w:t xml:space="preserve"> </w:t>
      </w:r>
      <w:r>
        <w:t xml:space="preserve">,K</w:t>
      </w:r>
      <w:r>
        <w:rPr>
          <w:vertAlign w:val="superscript"/>
        </w:rPr>
        <w:t xml:space="preserve">{1/3}L</w:t>
      </w:r>
      <w:r>
        <w:t xml:space="preserve">{-2/3} = 1</w:t>
      </w:r>
    </w:p>
    <w:p>
      <w:pPr>
        <w:pStyle w:val="BlockText"/>
      </w:pPr>
      <w:r>
        <w:t xml:space="preserve">$$</w:t>
      </w:r>
    </w:p>
    <w:p>
      <w:pPr>
        <w:pStyle w:val="BlockText"/>
      </w:pPr>
      <w:r>
        <w:t xml:space="preserve">$$</w:t>
      </w:r>
    </w:p>
    <w:p>
      <w:pPr>
        <w:pStyle w:val="BlockText"/>
      </w:pPr>
      <w:r>
        <w:t xml:space="preserve">_K:;</w:t>
      </w:r>
      <w:r>
        <w:t xml:space="preserve"> </w:t>
      </w:r>
      <w:r>
        <w:t xml:space="preserve">,K</w:t>
      </w:r>
      <w:r>
        <w:rPr>
          <w:vertAlign w:val="superscript"/>
        </w:rPr>
        <w:t xml:space="preserve">{-2/3}L</w:t>
      </w:r>
      <w:r>
        <w:t xml:space="preserve">{1/3} = v</w:t>
      </w:r>
      <w:r>
        <w:t xml:space="preserve"> </w:t>
      </w:r>
      <w:r>
        <w:t xml:space="preserve">,K</w:t>
      </w:r>
      <w:r>
        <w:rPr>
          <w:vertAlign w:val="superscript"/>
        </w:rPr>
        <w:t xml:space="preserve">{-2/3}L</w:t>
      </w:r>
      <w:r>
        <w:t xml:space="preserve">{1/3} = 1</w:t>
      </w:r>
    </w:p>
    <w:p>
      <w:pPr>
        <w:pStyle w:val="BlockText"/>
      </w:pPr>
      <w:r>
        <w:t xml:space="preserve">$$</w:t>
      </w:r>
    </w:p>
    <w:p>
      <w:pPr>
        <w:pStyle w:val="BlockText"/>
      </w:pPr>
      <w:r>
        <w:rPr>
          <w:b/>
          <w:bCs/>
        </w:rPr>
        <w:t xml:space="preserve">Passo 2 — Razão ótima de insumos</w:t>
      </w:r>
    </w:p>
    <w:p>
      <w:pPr>
        <w:pStyle w:val="BlockText"/>
      </w:pPr>
      <w:r>
        <w:t xml:space="preserve">Dividindo</w:t>
      </w:r>
      <w:r>
        <w:t xml:space="preserve"> </w:t>
      </w:r>
      <m:oMath>
        <m:sSub>
          <m:e>
            <m:r>
              <m:rPr>
                <m:nor/>
                <m:sty m:val="p"/>
              </m:rPr>
              <m:t>CPO</m:t>
            </m:r>
          </m:e>
          <m:sub>
            <m:r>
              <m:t>K</m:t>
            </m:r>
          </m:sub>
        </m:sSub>
      </m:oMath>
      <w:r>
        <w:t xml:space="preserve"> </w:t>
      </w:r>
      <w:r>
        <w:t xml:space="preserve">por</w:t>
      </w:r>
      <w:r>
        <w:t xml:space="preserve"> </w:t>
      </w:r>
      <m:oMath>
        <m:sSub>
          <m:e>
            <m:r>
              <m:rPr>
                <m:nor/>
                <m:sty m:val="p"/>
              </m:rPr>
              <m:t>CPO</m:t>
            </m:r>
          </m:e>
          <m:sub>
            <m:r>
              <m:t>L</m:t>
            </m:r>
          </m:sub>
        </m:sSub>
      </m:oMath>
      <w:r>
        <w:t xml:space="preserve">:</w:t>
      </w:r>
      <w:r>
        <w:t xml:space="preserve"> </w:t>
      </w:r>
      <m:oMath>
        <m:r>
          <m:t>L</m:t>
        </m:r>
        <m:r>
          <m:rPr>
            <m:sty m:val="p"/>
          </m:rPr>
          <m:t>/</m:t>
        </m:r>
        <m:r>
          <m:t>K</m:t>
        </m:r>
        <m:r>
          <m:rPr>
            <m:sty m:val="p"/>
          </m:rPr>
          <m:t>=</m:t>
        </m:r>
        <m:r>
          <m:t>v</m:t>
        </m:r>
        <m:r>
          <m:rPr>
            <m:sty m:val="p"/>
          </m:rPr>
          <m:t>/</m:t>
        </m:r>
        <m:r>
          <m:t>w</m:t>
        </m:r>
        <m:r>
          <m:rPr>
            <m:sty m:val="p"/>
          </m:rPr>
          <m:t>=</m:t>
        </m:r>
        <m:r>
          <m:t>1</m:t>
        </m:r>
      </m:oMath>
      <w:r>
        <w:t xml:space="preserve">, logo</w:t>
      </w:r>
      <w:r>
        <w:t xml:space="preserve"> </w:t>
      </w:r>
      <m:oMath>
        <m:r>
          <m:t>L</m:t>
        </m:r>
        <m:r>
          <m:rPr>
            <m:sty m:val="p"/>
          </m:rPr>
          <m:t>=</m:t>
        </m:r>
        <m:r>
          <m:t>K</m:t>
        </m:r>
      </m:oMath>
      <w:r>
        <w:t xml:space="preserve">.</w:t>
      </w:r>
    </w:p>
    <w:p>
      <w:pPr>
        <w:pStyle w:val="BlockText"/>
      </w:pPr>
      <w:r>
        <w:t xml:space="preserve">Substituindo em</w:t>
      </w:r>
      <w:r>
        <w:t xml:space="preserve"> </w:t>
      </w:r>
      <m:oMath>
        <m:sSub>
          <m:e>
            <m:r>
              <m:rPr>
                <m:nor/>
                <m:sty m:val="p"/>
              </m:rPr>
              <m:t>CPO</m:t>
            </m:r>
          </m:e>
          <m:sub>
            <m:r>
              <m:t>K</m:t>
            </m:r>
          </m:sub>
        </m:sSub>
      </m:oMath>
      <w:r>
        <w:t xml:space="preserve">:</w:t>
      </w:r>
      <w:r>
        <w:t xml:space="preserve"> </w:t>
      </w:r>
      <m:oMath>
        <m:r>
          <m:t>4</m:t>
        </m:r>
        <m:r>
          <m:t> </m:t>
        </m:r>
        <m:sSup>
          <m:e>
            <m:r>
              <m:t>K</m:t>
            </m:r>
          </m:e>
          <m:sup>
            <m:r>
              <m:rPr>
                <m:sty m:val="p"/>
              </m:rPr>
              <m:t>−</m:t>
            </m:r>
            <m:r>
              <m:t>2</m:t>
            </m:r>
            <m:r>
              <m:rPr>
                <m:sty m:val="p"/>
              </m:rPr>
              <m:t>/</m:t>
            </m:r>
            <m:r>
              <m:t>3</m:t>
            </m:r>
          </m:sup>
        </m:sSup>
        <m:r>
          <m:t> </m:t>
        </m:r>
        <m:sSup>
          <m:e>
            <m:r>
              <m:t>K</m:t>
            </m:r>
          </m:e>
          <m:sup>
            <m:r>
              <m:t>1</m:t>
            </m:r>
            <m:r>
              <m:rPr>
                <m:sty m:val="p"/>
              </m:rPr>
              <m:t>/</m:t>
            </m:r>
            <m:r>
              <m:t>3</m:t>
            </m:r>
          </m:sup>
        </m:sSup>
        <m:r>
          <m:rPr>
            <m:sty m:val="p"/>
          </m:rPr>
          <m:t>=</m:t>
        </m:r>
        <m:r>
          <m:t>1</m:t>
        </m:r>
        <m:r>
          <m:rPr>
            <m:sty m:val="p"/>
          </m:rPr>
          <m:t>⟹</m:t>
        </m:r>
        <m:r>
          <m:t>4</m:t>
        </m:r>
        <m:r>
          <m:t> </m:t>
        </m:r>
        <m:sSup>
          <m:e>
            <m:r>
              <m:t>K</m:t>
            </m:r>
          </m:e>
          <m:sup>
            <m:r>
              <m:rPr>
                <m:sty m:val="p"/>
              </m:rPr>
              <m:t>−</m:t>
            </m:r>
            <m:r>
              <m:t>1</m:t>
            </m:r>
            <m:r>
              <m:rPr>
                <m:sty m:val="p"/>
              </m:rPr>
              <m:t>/</m:t>
            </m:r>
            <m:r>
              <m:t>3</m:t>
            </m:r>
          </m:sup>
        </m:sSup>
        <m:r>
          <m:rPr>
            <m:sty m:val="p"/>
          </m:rPr>
          <m:t>=</m:t>
        </m:r>
        <m:r>
          <m:t>1</m:t>
        </m:r>
        <m:r>
          <m:rPr>
            <m:sty m:val="p"/>
          </m:rPr>
          <m:t>⟹</m:t>
        </m:r>
        <m:sSup>
          <m:e>
            <m:r>
              <m:t>K</m:t>
            </m:r>
          </m:e>
          <m:sup>
            <m:r>
              <m:t>1</m:t>
            </m:r>
            <m:r>
              <m:rPr>
                <m:sty m:val="p"/>
              </m:rPr>
              <m:t>/</m:t>
            </m:r>
            <m:r>
              <m:t>3</m:t>
            </m:r>
          </m:sup>
        </m:sSup>
        <m:r>
          <m:rPr>
            <m:sty m:val="p"/>
          </m:rPr>
          <m:t>=</m:t>
        </m:r>
        <m:r>
          <m:t>4</m:t>
        </m:r>
        <m:r>
          <m:rPr>
            <m:sty m:val="p"/>
          </m:rPr>
          <m:t>⟹</m:t>
        </m:r>
        <m:sSup>
          <m:e>
            <m:r>
              <m:t>K</m:t>
            </m:r>
          </m:e>
          <m:sup>
            <m:r>
              <m:rPr>
                <m:sty m:val="p"/>
              </m:rPr>
              <m:t>*</m:t>
            </m:r>
          </m:sup>
        </m:sSup>
        <m:r>
          <m:rPr>
            <m:sty m:val="p"/>
          </m:rPr>
          <m:t>=</m:t>
        </m:r>
        <m:r>
          <m:t>64</m:t>
        </m:r>
      </m:oMath>
      <w:r>
        <w:t xml:space="preserve">.</w:t>
      </w:r>
    </w:p>
    <w:p>
      <w:pPr>
        <w:pStyle w:val="BlockText"/>
      </w:pPr>
      <w:r>
        <w:t xml:space="preserve">Portanto:</w:t>
      </w:r>
      <w:r>
        <w:t xml:space="preserve"> </w:t>
      </w:r>
      <m:oMath>
        <m:sSup>
          <m:e>
            <m:r>
              <m:t>K</m:t>
            </m:r>
          </m:e>
          <m:sup>
            <m:r>
              <m:rPr>
                <m:sty m:val="p"/>
              </m:rPr>
              <m:t>*</m:t>
            </m:r>
          </m:sup>
        </m:sSup>
        <m:r>
          <m:rPr>
            <m:sty m:val="p"/>
          </m:rPr>
          <m:t>=</m:t>
        </m:r>
        <m:sSup>
          <m:e>
            <m:r>
              <m:t>L</m:t>
            </m:r>
          </m:e>
          <m:sup>
            <m:r>
              <m:rPr>
                <m:sty m:val="p"/>
              </m:rPr>
              <m:t>*</m:t>
            </m:r>
          </m:sup>
        </m:sSup>
        <m:r>
          <m:rPr>
            <m:sty m:val="p"/>
          </m:rPr>
          <m:t>=</m:t>
        </m:r>
        <m:r>
          <m:t>64</m:t>
        </m:r>
      </m:oMath>
      <w:r>
        <w:t xml:space="preserve"> </w:t>
      </w:r>
      <w:r>
        <w:t xml:space="preserve">e</w:t>
      </w:r>
      <w:r>
        <w:t xml:space="preserve"> </w:t>
      </w:r>
      <m:oMath>
        <m:sSup>
          <m:e>
            <m:r>
              <m:t>q</m:t>
            </m:r>
          </m:e>
          <m:sup>
            <m:r>
              <m:rPr>
                <m:sty m:val="p"/>
              </m:rPr>
              <m:t>*</m:t>
            </m:r>
          </m:sup>
        </m:sSup>
        <m:r>
          <m:rPr>
            <m:sty m:val="p"/>
          </m:rPr>
          <m:t>=</m:t>
        </m:r>
        <m:sSup>
          <m:e>
            <m:r>
              <m:t>64</m:t>
            </m:r>
          </m:e>
          <m:sup>
            <m:r>
              <m:t>1</m:t>
            </m:r>
            <m:r>
              <m:rPr>
                <m:sty m:val="p"/>
              </m:rPr>
              <m:t>/</m:t>
            </m:r>
            <m:r>
              <m:t>3</m:t>
            </m:r>
          </m:sup>
        </m:sSup>
        <m:r>
          <m:rPr>
            <m:sty m:val="p"/>
          </m:rPr>
          <m:t>⋅</m:t>
        </m:r>
        <m:sSup>
          <m:e>
            <m:r>
              <m:t>64</m:t>
            </m:r>
          </m:e>
          <m:sup>
            <m:r>
              <m:t>1</m:t>
            </m:r>
            <m:r>
              <m:rPr>
                <m:sty m:val="p"/>
              </m:rPr>
              <m:t>/</m:t>
            </m:r>
            <m:r>
              <m:t>3</m:t>
            </m:r>
          </m:sup>
        </m:sSup>
        <m:r>
          <m:rPr>
            <m:sty m:val="p"/>
          </m:rPr>
          <m:t>=</m:t>
        </m:r>
        <m:r>
          <m:t>4</m:t>
        </m:r>
        <m:r>
          <m:rPr>
            <m:sty m:val="p"/>
          </m:rPr>
          <m:t>×</m:t>
        </m:r>
        <m:r>
          <m:t>4</m:t>
        </m:r>
        <m:r>
          <m:rPr>
            <m:sty m:val="p"/>
          </m:rPr>
          <m:t>=</m:t>
        </m:r>
        <m:r>
          <m:t>16</m:t>
        </m:r>
      </m:oMath>
      <w:r>
        <w:t xml:space="preserve">.</w:t>
      </w:r>
    </w:p>
    <w:p>
      <w:pPr>
        <w:pStyle w:val="BlockText"/>
      </w:pPr>
      <w:r>
        <w:rPr>
          <w:b/>
          <w:bCs/>
        </w:rPr>
        <w:t xml:space="preserve">Passo 3 — Lucro máximo</w:t>
      </w:r>
    </w:p>
    <w:p>
      <w:pPr>
        <w:pStyle w:val="BlockText"/>
      </w:pPr>
      <w:r>
        <w:t xml:space="preserve">$$</w:t>
      </w:r>
    </w:p>
    <w:p>
      <w:pPr>
        <w:pStyle w:val="BlockText"/>
      </w:pPr>
      <w:r>
        <w:t xml:space="preserve">^* = 12</w:t>
      </w:r>
      <w:r>
        <w:t xml:space="preserve"> </w:t>
      </w:r>
      <w:r>
        <w:t xml:space="preserve"> </w:t>
      </w:r>
      <w:r>
        <w:t xml:space="preserve">- 1</w:t>
      </w:r>
      <w:r>
        <w:t xml:space="preserve"> </w:t>
      </w:r>
      <w:r>
        <w:t xml:space="preserve"> </w:t>
      </w:r>
      <w:r>
        <w:t xml:space="preserve">- 1</w:t>
      </w:r>
      <w:r>
        <w:t xml:space="preserve"> </w:t>
      </w:r>
      <w:r>
        <w:t xml:space="preserve"> </w:t>
      </w:r>
      <w:r>
        <w:t xml:space="preserve">= 192 - 128 = 64</w:t>
      </w:r>
    </w:p>
    <w:p>
      <w:pPr>
        <w:pStyle w:val="BlockText"/>
      </w:pPr>
      <w:r>
        <w:t xml:space="preserve">$$</w:t>
      </w:r>
    </w:p>
    <w:p>
      <w:pPr>
        <w:pStyle w:val="BlockText"/>
      </w:pPr>
      <w:r>
        <w:rPr>
          <w:b/>
          <w:bCs/>
        </w:rPr>
        <w:t xml:space="preserve">Passo 4 — Função lucro geral</w:t>
      </w:r>
    </w:p>
    <w:p>
      <w:pPr>
        <w:pStyle w:val="BlockText"/>
      </w:pPr>
      <w:r>
        <w:t xml:space="preserve">Para preços genéricos</w:t>
      </w:r>
      <w:r>
        <w:t xml:space="preserve"> </w:t>
      </w:r>
      <m:oMath>
        <m:r>
          <m:rPr>
            <m:sty m:val="p"/>
          </m:rPr>
          <m:t>(</m:t>
        </m:r>
        <m:r>
          <m:t>p</m:t>
        </m:r>
        <m:r>
          <m:rPr>
            <m:sty m:val="p"/>
          </m:rPr>
          <m:t>,</m:t>
        </m:r>
        <m:r>
          <m:t>w</m:t>
        </m:r>
        <m:r>
          <m:rPr>
            <m:sty m:val="p"/>
          </m:rPr>
          <m:t>,</m:t>
        </m:r>
        <m:r>
          <m:t>v</m:t>
        </m:r>
        <m:r>
          <m:rPr>
            <m:sty m:val="p"/>
          </m:rPr>
          <m:t>)</m:t>
        </m:r>
      </m:oMath>
      <w:r>
        <w:t xml:space="preserve">, as soluções são</w:t>
      </w:r>
      <w:r>
        <w:t xml:space="preserve"> </w:t>
      </w:r>
      <m:oMath>
        <m:sSup>
          <m:e>
            <m:r>
              <m:t>K</m:t>
            </m:r>
          </m:e>
          <m:sup>
            <m:r>
              <m:rPr>
                <m:sty m:val="p"/>
              </m:rPr>
              <m:t>*</m:t>
            </m:r>
          </m:sup>
        </m:sSup>
        <m:r>
          <m:rPr>
            <m:sty m:val="p"/>
          </m:rPr>
          <m:t>=</m:t>
        </m:r>
        <m:f>
          <m:fPr>
            <m:type m:val="bar"/>
          </m:fPr>
          <m:num>
            <m:sSup>
              <m:e>
                <m:r>
                  <m:t>p</m:t>
                </m:r>
              </m:e>
              <m:sup>
                <m:r>
                  <m:t>3</m:t>
                </m:r>
              </m:sup>
            </m:sSup>
          </m:num>
          <m:den>
            <m:r>
              <m:t>27</m:t>
            </m:r>
            <m:r>
              <m:t> </m:t>
            </m:r>
            <m:sSup>
              <m:e>
                <m:r>
                  <m:t>v</m:t>
                </m:r>
              </m:e>
              <m:sup>
                <m:r>
                  <m:t>2</m:t>
                </m:r>
              </m:sup>
            </m:sSup>
            <m:r>
              <m:t> </m:t>
            </m:r>
            <m:r>
              <m:t>w</m:t>
            </m:r>
          </m:den>
        </m:f>
      </m:oMath>
      <w:r>
        <w:t xml:space="preserve"> </w:t>
      </w:r>
      <w:r>
        <w:t xml:space="preserve">e</w:t>
      </w:r>
      <w:r>
        <w:t xml:space="preserve"> </w:t>
      </w:r>
      <m:oMath>
        <m:sSup>
          <m:e>
            <m:r>
              <m:t>L</m:t>
            </m:r>
          </m:e>
          <m:sup>
            <m:r>
              <m:rPr>
                <m:sty m:val="p"/>
              </m:rPr>
              <m:t>*</m:t>
            </m:r>
          </m:sup>
        </m:sSup>
        <m:r>
          <m:rPr>
            <m:sty m:val="p"/>
          </m:rPr>
          <m:t>=</m:t>
        </m:r>
        <m:f>
          <m:fPr>
            <m:type m:val="bar"/>
          </m:fPr>
          <m:num>
            <m:sSup>
              <m:e>
                <m:r>
                  <m:t>p</m:t>
                </m:r>
              </m:e>
              <m:sup>
                <m:r>
                  <m:t>3</m:t>
                </m:r>
              </m:sup>
            </m:sSup>
          </m:num>
          <m:den>
            <m:r>
              <m:t>27</m:t>
            </m:r>
            <m:r>
              <m:t> </m:t>
            </m:r>
            <m:sSup>
              <m:e>
                <m:r>
                  <m:t>w</m:t>
                </m:r>
              </m:e>
              <m:sup>
                <m:r>
                  <m:t>2</m:t>
                </m:r>
              </m:sup>
            </m:sSup>
            <m:r>
              <m:t> </m:t>
            </m:r>
            <m:r>
              <m:t>v</m:t>
            </m:r>
          </m:den>
        </m:f>
      </m:oMath>
      <w:r>
        <w:t xml:space="preserve">, com</w:t>
      </w:r>
      <w:r>
        <w:t xml:space="preserve"> </w:t>
      </w:r>
      <m:oMath>
        <m:sSup>
          <m:e>
            <m:r>
              <m:t>q</m:t>
            </m:r>
          </m:e>
          <m:sup>
            <m:r>
              <m:rPr>
                <m:sty m:val="p"/>
              </m:rPr>
              <m:t>*</m:t>
            </m:r>
          </m:sup>
        </m:sSup>
        <m:r>
          <m:rPr>
            <m:sty m:val="p"/>
          </m:rPr>
          <m:t>=</m:t>
        </m:r>
        <m:f>
          <m:fPr>
            <m:type m:val="bar"/>
          </m:fPr>
          <m:num>
            <m:sSup>
              <m:e>
                <m:r>
                  <m:t>p</m:t>
                </m:r>
              </m:e>
              <m:sup>
                <m:r>
                  <m:t>2</m:t>
                </m:r>
              </m:sup>
            </m:sSup>
          </m:num>
          <m:den>
            <m:r>
              <m:t>9</m:t>
            </m:r>
            <m:r>
              <m:t> </m:t>
            </m:r>
            <m:r>
              <m:t>w</m:t>
            </m:r>
            <m:r>
              <m:t>v</m:t>
            </m:r>
          </m:den>
        </m:f>
      </m:oMath>
      <w:r>
        <w:t xml:space="preserve"> </w:t>
      </w:r>
      <w:r>
        <w:t xml:space="preserve">e:</w:t>
      </w:r>
    </w:p>
    <w:p>
      <w:pPr>
        <w:pStyle w:val="BlockText"/>
      </w:pPr>
      <w:r>
        <w:t xml:space="preserve">$$</w:t>
      </w:r>
    </w:p>
    <w:p>
      <w:pPr>
        <w:pStyle w:val="BlockText"/>
      </w:pPr>
      <w:r>
        <w:t xml:space="preserve">(p, w, v) =</w:t>
      </w:r>
      <w:r>
        <w:t xml:space="preserve"> </w:t>
      </w:r>
    </w:p>
    <w:p>
      <w:pPr>
        <w:pStyle w:val="BlockText"/>
      </w:pPr>
      <w:r>
        <w:t xml:space="preserve">$$</w:t>
      </w:r>
    </w:p>
    <w:p>
      <w:pPr>
        <w:pStyle w:val="BlockText"/>
      </w:pPr>
      <w:r>
        <w:rPr>
          <w:b/>
          <w:bCs/>
        </w:rPr>
        <w:t xml:space="preserve">Passo 5 — Verificação do Lema de Hotelling</w:t>
      </w:r>
    </w:p>
    <w:p>
      <w:pPr>
        <w:pStyle w:val="BlockText"/>
      </w:pPr>
      <w:r>
        <w:t xml:space="preserve">$$</w:t>
      </w:r>
    </w:p>
    <w:p>
      <w:pPr>
        <w:pStyle w:val="BlockText"/>
      </w:pPr>
      <w:r>
        <w:t xml:space="preserve"> </w:t>
      </w:r>
      <w:r>
        <w:t xml:space="preserve">=</w:t>
      </w:r>
      <w:r>
        <w:t xml:space="preserve"> </w:t>
      </w:r>
      <w:r>
        <w:t xml:space="preserve"> </w:t>
      </w:r>
      <w:r>
        <w:t xml:space="preserve">=</w:t>
      </w:r>
      <w:r>
        <w:t xml:space="preserve"> </w:t>
      </w:r>
      <w:r>
        <w:t xml:space="preserve"> </w:t>
      </w:r>
      <w:r>
        <w:t xml:space="preserve">= q^* ;</w:t>
      </w:r>
    </w:p>
    <w:p>
      <w:pPr>
        <w:pStyle w:val="BlockText"/>
      </w:pPr>
      <w:r>
        <w:t xml:space="preserve">$$</w:t>
      </w:r>
    </w:p>
    <w:p>
      <w:pPr>
        <w:pStyle w:val="BlockText"/>
      </w:pPr>
      <w:r>
        <w:t xml:space="preserve">$$</w:t>
      </w:r>
    </w:p>
    <w:p>
      <w:pPr>
        <w:pStyle w:val="BlockText"/>
      </w:pPr>
      <w:r>
        <w:t xml:space="preserve"> </w:t>
      </w:r>
      <w:r>
        <w:t xml:space="preserve">= -</w:t>
      </w:r>
      <w:r>
        <w:t xml:space="preserve"> </w:t>
      </w:r>
      <w:r>
        <w:t xml:space="preserve">= -L^* ;</w:t>
      </w:r>
      <w:r>
        <w:t xml:space="preserve"> </w:t>
      </w:r>
      <w:r>
        <w:t xml:space="preserve"> </w:t>
      </w:r>
      <w:r>
        <w:t xml:space="preserve">= -</w:t>
      </w:r>
      <w:r>
        <w:t xml:space="preserve"> </w:t>
      </w:r>
      <w:r>
        <w:t xml:space="preserve">= -K^* ;</w:t>
      </w:r>
    </w:p>
    <w:p>
      <w:pPr>
        <w:pStyle w:val="BlockText"/>
      </w:pPr>
      <w:r>
        <w:t xml:space="preserve">$$</w:t>
      </w:r>
    </w:p>
    <w:p>
      <w:pPr>
        <w:pStyle w:val="BlockText"/>
      </w:pPr>
      <w:r>
        <w:rPr>
          <w:b/>
          <w:bCs/>
        </w:rPr>
        <w:t xml:space="preserve">Resultado:</w:t>
      </w:r>
      <w:r>
        <w:t xml:space="preserve"> </w:t>
      </w:r>
      <m:oMath>
        <m:sSup>
          <m:e>
            <m:r>
              <m:t>K</m:t>
            </m:r>
          </m:e>
          <m:sup>
            <m:r>
              <m:rPr>
                <m:sty m:val="p"/>
              </m:rPr>
              <m:t>*</m:t>
            </m:r>
          </m:sup>
        </m:sSup>
        <m:r>
          <m:rPr>
            <m:sty m:val="p"/>
          </m:rPr>
          <m:t>=</m:t>
        </m:r>
        <m:sSup>
          <m:e>
            <m:r>
              <m:t>L</m:t>
            </m:r>
          </m:e>
          <m:sup>
            <m:r>
              <m:rPr>
                <m:sty m:val="p"/>
              </m:rPr>
              <m:t>*</m:t>
            </m:r>
          </m:sup>
        </m:sSup>
        <m:r>
          <m:rPr>
            <m:sty m:val="p"/>
          </m:rPr>
          <m:t>=</m:t>
        </m:r>
        <m:r>
          <m:t>64</m:t>
        </m:r>
      </m:oMath>
      <w:r>
        <w:t xml:space="preserve">,</w:t>
      </w:r>
      <w:r>
        <w:t xml:space="preserve"> </w:t>
      </w:r>
      <m:oMath>
        <m:sSup>
          <m:e>
            <m:r>
              <m:t>q</m:t>
            </m:r>
          </m:e>
          <m:sup>
            <m:r>
              <m:rPr>
                <m:sty m:val="p"/>
              </m:rPr>
              <m:t>*</m:t>
            </m:r>
          </m:sup>
        </m:sSup>
        <m:r>
          <m:rPr>
            <m:sty m:val="p"/>
          </m:rPr>
          <m:t>=</m:t>
        </m:r>
        <m:r>
          <m:t>16</m:t>
        </m:r>
      </m:oMath>
      <w:r>
        <w:t xml:space="preserve">,</w:t>
      </w:r>
      <w:r>
        <w:t xml:space="preserve"> </w:t>
      </w:r>
      <m:oMath>
        <m:sSup>
          <m:e>
            <m:r>
              <m:t>π</m:t>
            </m:r>
          </m:e>
          <m:sup>
            <m:r>
              <m:rPr>
                <m:sty m:val="p"/>
              </m:rPr>
              <m:t>*</m:t>
            </m:r>
          </m:sup>
        </m:sSup>
        <m:r>
          <m:rPr>
            <m:sty m:val="p"/>
          </m:rPr>
          <m:t>=</m:t>
        </m:r>
        <m:r>
          <m:t>64</m:t>
        </m:r>
      </m:oMath>
      <w:r>
        <w:t xml:space="preserve">. O Lema de Hotelling é verificado: as derivadas da função lucro recuperam a oferta e as demandas por insumos.</w:t>
      </w:r>
    </w:p>
    <w:p>
      <w:pPr>
        <w:pStyle w:val="BlockText"/>
      </w:pPr>
      <w:r>
        <w:rPr>
          <w:b/>
          <w:bCs/>
        </w:rPr>
        <w:t xml:space="preserve">Interpretação econômica:</w:t>
      </w:r>
      <w:r>
        <w:t xml:space="preserve"> </w:t>
      </w:r>
      <w:r>
        <w:t xml:space="preserve">A função lucro</w:t>
      </w:r>
      <w:r>
        <w:t xml:space="preserve"> </w:t>
      </w:r>
      <m:oMath>
        <m:r>
          <m:t>π</m:t>
        </m:r>
        <m:r>
          <m:rPr>
            <m:sty m:val="p"/>
          </m:rPr>
          <m:t>=</m:t>
        </m:r>
        <m:sSup>
          <m:e>
            <m:r>
              <m:t>p</m:t>
            </m:r>
          </m:e>
          <m:sup>
            <m:r>
              <m:t>3</m:t>
            </m:r>
          </m:sup>
        </m:sSup>
        <m:r>
          <m:rPr>
            <m:sty m:val="p"/>
          </m:rPr>
          <m:t>/</m:t>
        </m:r>
        <m:r>
          <m:rPr>
            <m:sty m:val="p"/>
          </m:rPr>
          <m:t>(</m:t>
        </m:r>
        <m:r>
          <m:t>27</m:t>
        </m:r>
        <m:r>
          <m:t>w</m:t>
        </m:r>
        <m:r>
          <m:t>v</m:t>
        </m:r>
        <m:r>
          <m:rPr>
            <m:sty m:val="p"/>
          </m:rPr>
          <m:t>)</m:t>
        </m:r>
      </m:oMath>
      <w:r>
        <w:t xml:space="preserve"> </w:t>
      </w:r>
      <w:r>
        <w:t xml:space="preserve">é homogênea de grau 1 em</w:t>
      </w:r>
      <w:r>
        <w:t xml:space="preserve"> </w:t>
      </w:r>
      <m:oMath>
        <m:r>
          <m:rPr>
            <m:sty m:val="p"/>
          </m:rPr>
          <m:t>(</m:t>
        </m:r>
        <m:r>
          <m:t>p</m:t>
        </m:r>
        <m:r>
          <m:rPr>
            <m:sty m:val="p"/>
          </m:rPr>
          <m:t>,</m:t>
        </m:r>
        <m:r>
          <m:t>w</m:t>
        </m:r>
        <m:r>
          <m:rPr>
            <m:sty m:val="p"/>
          </m:rPr>
          <m:t>,</m:t>
        </m:r>
        <m:r>
          <m:t>v</m:t>
        </m:r>
        <m:r>
          <m:rPr>
            <m:sty m:val="p"/>
          </m:rPr>
          <m:t>)</m:t>
        </m:r>
      </m:oMath>
      <w:r>
        <w:t xml:space="preserve"> </w:t>
      </w:r>
      <w:r>
        <w:t xml:space="preserve">— se todos os preços dobram, o lucro dobra. Ela é convexa em</w:t>
      </w:r>
      <w:r>
        <w:t xml:space="preserve"> </w:t>
      </w:r>
      <m:oMath>
        <m:r>
          <m:t>p</m:t>
        </m:r>
      </m:oMath>
      <w:r>
        <w:t xml:space="preserve"> </w:t>
      </w:r>
      <w:r>
        <w:t xml:space="preserve">(pois</w:t>
      </w:r>
      <w:r>
        <w:t xml:space="preserve"> </w:t>
      </w:r>
      <m:oMath>
        <m:sSup>
          <m:e>
            <m:r>
              <m:rPr>
                <m:sty m:val="p"/>
              </m:rPr>
              <m:t>∂</m:t>
            </m:r>
          </m:e>
          <m:sup>
            <m:r>
              <m:t>2</m:t>
            </m:r>
          </m:sup>
        </m:sSup>
        <m:r>
          <m:t>π</m:t>
        </m:r>
        <m:r>
          <m:rPr>
            <m:sty m:val="p"/>
          </m:rPr>
          <m:t>/</m:t>
        </m:r>
        <m:r>
          <m:rPr>
            <m:sty m:val="p"/>
          </m:rPr>
          <m:t>∂</m:t>
        </m:r>
        <m:sSup>
          <m:e>
            <m:r>
              <m:t>p</m:t>
            </m:r>
          </m:e>
          <m:sup>
            <m:r>
              <m:t>2</m:t>
            </m:r>
          </m:sup>
        </m:sSup>
        <m:r>
          <m:rPr>
            <m:sty m:val="p"/>
          </m:rPr>
          <m:t>=</m:t>
        </m:r>
        <m:r>
          <m:t>2</m:t>
        </m:r>
        <m:r>
          <m:t>p</m:t>
        </m:r>
        <m:r>
          <m:rPr>
            <m:sty m:val="p"/>
          </m:rPr>
          <m:t>/</m:t>
        </m:r>
        <m:r>
          <m:rPr>
            <m:sty m:val="p"/>
          </m:rPr>
          <m:t>(</m:t>
        </m:r>
        <m:r>
          <m:t>9</m:t>
        </m:r>
        <m:r>
          <m:t>w</m:t>
        </m:r>
        <m:r>
          <m:t>v</m:t>
        </m:r>
        <m:r>
          <m:rPr>
            <m:sty m:val="p"/>
          </m:rPr>
          <m:t>)</m:t>
        </m:r>
        <m:r>
          <m:rPr>
            <m:sty m:val="p"/>
          </m:rPr>
          <m:t>&gt;</m:t>
        </m:r>
        <m:r>
          <m:t>0</m:t>
        </m:r>
      </m:oMath>
      <w:r>
        <w:t xml:space="preserve">), confirmando que a oferta é crescente no preço do produto. No contexto brasileiro, o Lema de Hotelling é usado em modelos de equilíbrio geral computável (como os do IPEA) para calibrar funções de oferta setorial a partir de dados de lucro.</w:t>
      </w:r>
    </w:p>
    <w:p>
      <w:pPr>
        <w:pStyle w:val="FirstParagraph"/>
      </w:pPr>
      <w:r>
        <w:t xml:space="preserve">[FIGURA INTERATIVA: /micro-book/graficos/cap12/webr-hotelling.html — versao interativa disponivel online]</w:t>
      </w:r>
    </w:p>
    <w:p>
      <w:pPr>
        <w:pStyle w:val="BodyText"/>
      </w:pPr>
      <w:r>
        <w:rPr>
          <w:b/>
          <w:bCs/>
        </w:rPr>
        <w:t xml:space="preserve">WebR 12.4 — Lema de Hotelling: verificação numérica.</w:t>
      </w:r>
      <w:r>
        <w:t xml:space="preserve"> </w:t>
      </w:r>
      <w:r>
        <w:t xml:space="preserve">O código calcula a função lucro para</w:t>
      </w:r>
      <w:r>
        <w:t xml:space="preserve"> </w:t>
      </w:r>
      <m:oMath>
        <m:r>
          <m:t>q</m:t>
        </m:r>
        <m:r>
          <m:rPr>
            <m:sty m:val="p"/>
          </m:rPr>
          <m:t>=</m:t>
        </m:r>
        <m:sSup>
          <m:e>
            <m:r>
              <m:t>K</m:t>
            </m:r>
          </m:e>
          <m:sup>
            <m:r>
              <m:t>1</m:t>
            </m:r>
            <m:r>
              <m:rPr>
                <m:sty m:val="p"/>
              </m:rPr>
              <m:t>/</m:t>
            </m:r>
            <m:r>
              <m:t>3</m:t>
            </m:r>
          </m:sup>
        </m:sSup>
        <m:sSup>
          <m:e>
            <m:r>
              <m:t>L</m:t>
            </m:r>
          </m:e>
          <m:sup>
            <m:r>
              <m:t>1</m:t>
            </m:r>
            <m:r>
              <m:rPr>
                <m:sty m:val="p"/>
              </m:rPr>
              <m:t>/</m:t>
            </m:r>
            <m:r>
              <m:t>3</m:t>
            </m:r>
          </m:sup>
        </m:sSup>
      </m:oMath>
      <w:r>
        <w:t xml:space="preserve">, verifica numericamente que</w:t>
      </w:r>
      <w:r>
        <w:t xml:space="preserve"> </w:t>
      </w:r>
      <m:oMath>
        <m:r>
          <m:rPr>
            <m:sty m:val="p"/>
          </m:rPr>
          <m:t>∂</m:t>
        </m:r>
        <m:r>
          <m:t>π</m:t>
        </m:r>
        <m:r>
          <m:rPr>
            <m:sty m:val="p"/>
          </m:rPr>
          <m:t>/</m:t>
        </m:r>
        <m:r>
          <m:rPr>
            <m:sty m:val="p"/>
          </m:rPr>
          <m:t>∂</m:t>
        </m:r>
        <m:r>
          <m:t>p</m:t>
        </m:r>
        <m:r>
          <m:rPr>
            <m:sty m:val="p"/>
          </m:rPr>
          <m:t>=</m:t>
        </m:r>
        <m:sSup>
          <m:e>
            <m:r>
              <m:t>q</m:t>
            </m:r>
          </m:e>
          <m:sup>
            <m:r>
              <m:rPr>
                <m:sty m:val="p"/>
              </m:rPr>
              <m:t>*</m:t>
            </m:r>
          </m:sup>
        </m:sSup>
      </m:oMath>
      <w:r>
        <w:t xml:space="preserve"> </w:t>
      </w:r>
      <w:r>
        <w:t xml:space="preserve">e</w:t>
      </w:r>
      <w:r>
        <w:t xml:space="preserve"> </w:t>
      </w:r>
      <m:oMath>
        <m:r>
          <m:rPr>
            <m:sty m:val="p"/>
          </m:rPr>
          <m:t>∂</m:t>
        </m:r>
        <m:r>
          <m:t>π</m:t>
        </m:r>
        <m:r>
          <m:rPr>
            <m:sty m:val="p"/>
          </m:rPr>
          <m:t>/</m:t>
        </m:r>
        <m:r>
          <m:rPr>
            <m:sty m:val="p"/>
          </m:rPr>
          <m:t>∂</m:t>
        </m:r>
        <m:r>
          <m:t>w</m:t>
        </m:r>
        <m:r>
          <m:rPr>
            <m:sty m:val="p"/>
          </m:rPr>
          <m:t>=</m:t>
        </m:r>
        <m:r>
          <m:rPr>
            <m:sty m:val="p"/>
          </m:rPr>
          <m:t>−</m:t>
        </m:r>
        <m:sSup>
          <m:e>
            <m:r>
              <m:t>L</m:t>
            </m:r>
          </m:e>
          <m:sup>
            <m:r>
              <m:rPr>
                <m:sty m:val="p"/>
              </m:rPr>
              <m:t>*</m:t>
            </m:r>
          </m:sup>
        </m:sSup>
      </m:oMath>
      <w:r>
        <w:t xml:space="preserve">, e ilustra a convexidade de</w:t>
      </w:r>
      <w:r>
        <w:t xml:space="preserve"> </w:t>
      </w:r>
      <m:oMath>
        <m:r>
          <m:t>π</m:t>
        </m:r>
      </m:oMath>
      <w:r>
        <w:t xml:space="preserve"> </w:t>
      </w:r>
      <w:r>
        <w:t xml:space="preserve">em</w:t>
      </w:r>
      <w:r>
        <w:t xml:space="preserve"> </w:t>
      </w:r>
      <m:oMath>
        <m:r>
          <m:t>p</m:t>
        </m:r>
      </m:oMath>
      <w:r>
        <w:t xml:space="preserve">. A tangente no gráfico tem inclinação igual à oferta ótima — exatamente o lema em ação.</w:t>
      </w:r>
    </w:p>
    <w:p>
      <w:r>
        <w:pict>
          <v:rect style="width:0;height:1.5pt" o:hralign="center" o:hrstd="t" o:hr="t"/>
        </w:pict>
      </w:r>
    </w:p>
    <w:bookmarkEnd w:id="764"/>
    <w:bookmarkEnd w:id="765"/>
    <w:bookmarkStart w:id="770" w:name="X14d4eefde1dae3983e7a79f04c72feb9a3a7efd"/>
    <w:p>
      <w:pPr>
        <w:pStyle w:val="Heading3"/>
      </w:pPr>
      <w:r>
        <w:t xml:space="preserve">12.6 Dois Remadores Sincronizados: Demanda por Insumos</w:t>
      </w:r>
    </w:p>
    <w:p>
      <w:pPr>
        <w:pStyle w:val="FirstParagraph"/>
      </w:pPr>
      <w:r>
        <w:t xml:space="preserve">O Lema de Hotelling abriu um atalho elegante: derivar a função lucro e</w:t>
      </w:r>
      <w:r>
        <w:t xml:space="preserve"> </w:t>
      </w:r>
      <w:r>
        <w:rPr>
          <w:i/>
          <w:iCs/>
        </w:rPr>
        <w:t xml:space="preserve">voilà</w:t>
      </w:r>
      <w:r>
        <w:t xml:space="preserve">, as demandas por insumos aparecem. Mas de onde vêm suas propriedades? Nesta seção, abrimos o capô dessas demandas e encontramos uma decomposição familiar — efeito substituição e efeito produto —, prima-irmã da decomposição de Slutsky do Capítulo 5. A diferença? Aqui não há espaço para</w:t>
      </w:r>
      <w:r>
        <w:t xml:space="preserve"> </w:t>
      </w:r>
      <w:r>
        <w:t xml:space="preserve">“insumos de Giffen”</w:t>
      </w:r>
      <w:r>
        <w:t xml:space="preserve"> </w:t>
      </w:r>
      <w:r>
        <w:t xml:space="preserve">— os dois efeitos sempre puxam na mesma direção, como dois remadores sincronizados.</w:t>
      </w:r>
      <w:r>
        <w:rPr>
          <w:rStyle w:val="FootnoteReference"/>
        </w:rPr>
        <w:footnoteReference w:id="766"/>
      </w:r>
      <w:r>
        <w:t xml:space="preserve"> </w:t>
      </w:r>
      <w:r>
        <w:t xml:space="preserve">Este resultado tem implicações diretas para a análise empírica da demanda por trabalho no Brasil: um aumento do salário mínimo, por exemplo, afeta a demanda por trabalho tanto pelo efeito substituição (trabalho fica relativamente mais caro que capital) quanto pelo efeito produto (custos maiores reduzem a produção ótima e, portanto, o emprego). Ambos os efeitos apontam na mesma direção, o que explica por que não há análogo de</w:t>
      </w:r>
      <w:r>
        <w:t xml:space="preserve"> </w:t>
      </w:r>
      <w:r>
        <w:t xml:space="preserve">“insumo de Giffen”</w:t>
      </w:r>
      <w:r>
        <w:t xml:space="preserve"> </w:t>
      </w:r>
      <w:r>
        <w:t xml:space="preserve">na teoria da firma.</w:t>
      </w:r>
    </w:p>
    <w:bookmarkStart w:id="767" w:name="demanda-incondicional-por-insumos"/>
    <w:p>
      <w:pPr>
        <w:pStyle w:val="Heading4"/>
      </w:pPr>
      <w:r>
        <w:t xml:space="preserve">Demanda incondicional por insumos</w:t>
      </w:r>
    </w:p>
    <w:p>
      <w:pPr>
        <w:pStyle w:val="FirstParagraph"/>
      </w:pPr>
      <w:r>
        <w:t xml:space="preserve">A</w:t>
      </w:r>
      <w:r>
        <w:t xml:space="preserve"> </w:t>
      </w:r>
      <w:r>
        <w:rPr>
          <w:b/>
          <w:bCs/>
        </w:rPr>
        <w:t xml:space="preserve">demanda incondicional</w:t>
      </w:r>
      <w:r>
        <w:t xml:space="preserve"> </w:t>
      </w:r>
      <w:r>
        <w:t xml:space="preserve">(ou marshalliana) por insumos é obtida diretamente das condições de primeira ordem da maximização de lucro:</w:t>
      </w:r>
    </w:p>
    <w:p>
      <w:pPr>
        <w:pStyle w:val="BodyText"/>
      </w:pPr>
      <m:oMathPara>
        <m:oMathParaPr>
          <m:jc m:val="center"/>
        </m:oMathParaPr>
        <m:oMath>
          <m:sSup>
            <m:e>
              <m:r>
                <m:t>L</m:t>
              </m:r>
            </m:e>
            <m:sup>
              <m:r>
                <m:rPr>
                  <m:sty m:val="p"/>
                </m:rPr>
                <m:t>*</m:t>
              </m:r>
            </m:sup>
          </m:sSup>
          <m:r>
            <m:rPr>
              <m:sty m:val="p"/>
            </m:rPr>
            <m:t>(</m:t>
          </m:r>
          <m:r>
            <m:t>p</m:t>
          </m:r>
          <m:r>
            <m:rPr>
              <m:sty m:val="p"/>
            </m:rPr>
            <m:t>,</m:t>
          </m:r>
          <m:r>
            <m:t>w</m:t>
          </m:r>
          <m:r>
            <m:rPr>
              <m:sty m:val="p"/>
            </m:rPr>
            <m:t>,</m:t>
          </m:r>
          <m:r>
            <m:t>v</m:t>
          </m:r>
          <m:r>
            <m:rPr>
              <m:sty m:val="p"/>
            </m:rPr>
            <m:t>)</m:t>
          </m:r>
          <m:r>
            <m:rPr>
              <m:sty m:val="p"/>
            </m:rPr>
            <m:t>:</m:t>
          </m:r>
          <m:r>
            <m:t> </m:t>
          </m:r>
          <m:r>
            <m:t>p</m:t>
          </m:r>
          <m:r>
            <m:rPr>
              <m:sty m:val="p"/>
            </m:rPr>
            <m:t>⋅</m:t>
          </m:r>
          <m:sSub>
            <m:e>
              <m:r>
                <m:t>f</m:t>
              </m:r>
            </m:e>
            <m:sub>
              <m:r>
                <m:t>L</m:t>
              </m:r>
            </m:sub>
          </m:sSub>
          <m:r>
            <m:rPr>
              <m:sty m:val="p"/>
            </m:rPr>
            <m:t>(</m:t>
          </m:r>
          <m:sSup>
            <m:e>
              <m:r>
                <m:t>K</m:t>
              </m:r>
            </m:e>
            <m:sup>
              <m:r>
                <m:rPr>
                  <m:sty m:val="p"/>
                </m:rPr>
                <m:t>*</m:t>
              </m:r>
            </m:sup>
          </m:sSup>
          <m:r>
            <m:rPr>
              <m:sty m:val="p"/>
            </m:rPr>
            <m:t>,</m:t>
          </m:r>
          <m:sSup>
            <m:e>
              <m:r>
                <m:t>L</m:t>
              </m:r>
            </m:e>
            <m:sup>
              <m:r>
                <m:rPr>
                  <m:sty m:val="p"/>
                </m:rPr>
                <m:t>*</m:t>
              </m:r>
            </m:sup>
          </m:sSup>
          <m:r>
            <m:rPr>
              <m:sty m:val="p"/>
            </m:rPr>
            <m:t>)</m:t>
          </m:r>
          <m:r>
            <m:rPr>
              <m:sty m:val="p"/>
            </m:rPr>
            <m:t>=</m:t>
          </m:r>
          <m:r>
            <m:t>w</m:t>
          </m:r>
        </m:oMath>
      </m:oMathPara>
    </w:p>
    <w:p>
      <w:pPr>
        <w:pStyle w:val="FirstParagraph"/>
      </w:pPr>
      <m:oMathPara>
        <m:oMathParaPr>
          <m:jc m:val="center"/>
        </m:oMathParaPr>
        <m:oMath>
          <m:sSup>
            <m:e>
              <m:r>
                <m:t>K</m:t>
              </m:r>
            </m:e>
            <m:sup>
              <m:r>
                <m:rPr>
                  <m:sty m:val="p"/>
                </m:rPr>
                <m:t>*</m:t>
              </m:r>
            </m:sup>
          </m:sSup>
          <m:r>
            <m:rPr>
              <m:sty m:val="p"/>
            </m:rPr>
            <m:t>(</m:t>
          </m:r>
          <m:r>
            <m:t>p</m:t>
          </m:r>
          <m:r>
            <m:rPr>
              <m:sty m:val="p"/>
            </m:rPr>
            <m:t>,</m:t>
          </m:r>
          <m:r>
            <m:t>w</m:t>
          </m:r>
          <m:r>
            <m:rPr>
              <m:sty m:val="p"/>
            </m:rPr>
            <m:t>,</m:t>
          </m:r>
          <m:r>
            <m:t>v</m:t>
          </m:r>
          <m:r>
            <m:rPr>
              <m:sty m:val="p"/>
            </m:rPr>
            <m:t>)</m:t>
          </m:r>
          <m:r>
            <m:rPr>
              <m:sty m:val="p"/>
            </m:rPr>
            <m:t>:</m:t>
          </m:r>
          <m:r>
            <m:t> </m:t>
          </m:r>
          <m:r>
            <m:t>p</m:t>
          </m:r>
          <m:r>
            <m:rPr>
              <m:sty m:val="p"/>
            </m:rPr>
            <m:t>⋅</m:t>
          </m:r>
          <m:sSub>
            <m:e>
              <m:r>
                <m:t>f</m:t>
              </m:r>
            </m:e>
            <m:sub>
              <m:r>
                <m:t>K</m:t>
              </m:r>
            </m:sub>
          </m:sSub>
          <m:r>
            <m:rPr>
              <m:sty m:val="p"/>
            </m:rPr>
            <m:t>(</m:t>
          </m:r>
          <m:sSup>
            <m:e>
              <m:r>
                <m:t>K</m:t>
              </m:r>
            </m:e>
            <m:sup>
              <m:r>
                <m:rPr>
                  <m:sty m:val="p"/>
                </m:rPr>
                <m:t>*</m:t>
              </m:r>
            </m:sup>
          </m:sSup>
          <m:r>
            <m:rPr>
              <m:sty m:val="p"/>
            </m:rPr>
            <m:t>,</m:t>
          </m:r>
          <m:sSup>
            <m:e>
              <m:r>
                <m:t>L</m:t>
              </m:r>
            </m:e>
            <m:sup>
              <m:r>
                <m:rPr>
                  <m:sty m:val="p"/>
                </m:rPr>
                <m:t>*</m:t>
              </m:r>
            </m:sup>
          </m:sSup>
          <m:r>
            <m:rPr>
              <m:sty m:val="p"/>
            </m:rPr>
            <m:t>)</m:t>
          </m:r>
          <m:r>
            <m:rPr>
              <m:sty m:val="p"/>
            </m:rPr>
            <m:t>=</m:t>
          </m:r>
          <m:r>
            <m:t>v</m:t>
          </m:r>
        </m:oMath>
      </m:oMathPara>
    </w:p>
    <w:p>
      <w:pPr>
        <w:pStyle w:val="FirstParagraph"/>
      </w:pPr>
      <w:r>
        <w:t xml:space="preserve">Estas demandas diferem das demandas condicionadas (Capítulo 11) porque não fixam o nível de produto — ele é determinado endogenamente pela maximização de lucro. A distinção é sutil, mas importante: as demandas condicionadas respondem à pergunta</w:t>
      </w:r>
      <w:r>
        <w:t xml:space="preserve"> </w:t>
      </w:r>
      <w:r>
        <w:t xml:space="preserve">“dado que quero produzir</w:t>
      </w:r>
      <w:r>
        <w:t xml:space="preserve"> </w:t>
      </w:r>
      <m:oMath>
        <m:r>
          <m:t>q</m:t>
        </m:r>
      </m:oMath>
      <w:r>
        <w:t xml:space="preserve"> </w:t>
      </w:r>
      <w:r>
        <w:t xml:space="preserve">unidades, quanto de cada insumo devo usar?”</w:t>
      </w:r>
      <w:r>
        <w:t xml:space="preserve">, enquanto as demandas incondicionais respondem a</w:t>
      </w:r>
      <w:r>
        <w:t xml:space="preserve"> </w:t>
      </w:r>
      <w:r>
        <w:t xml:space="preserve">“quanto de cada insumo devo usar para maximizar meu lucro?”</w:t>
      </w:r>
      <w:r>
        <w:t xml:space="preserve">. As primeiras dependem de</w:t>
      </w:r>
      <w:r>
        <w:t xml:space="preserve"> </w:t>
      </w:r>
      <m:oMath>
        <m:r>
          <m:rPr>
            <m:sty m:val="p"/>
          </m:rPr>
          <m:t>(</m:t>
        </m:r>
        <m:r>
          <m:t>w</m:t>
        </m:r>
        <m:r>
          <m:rPr>
            <m:sty m:val="p"/>
          </m:rPr>
          <m:t>,</m:t>
        </m:r>
        <m:r>
          <m:t>v</m:t>
        </m:r>
        <m:r>
          <m:rPr>
            <m:sty m:val="p"/>
          </m:rPr>
          <m:t>,</m:t>
        </m:r>
        <m:r>
          <m:t>q</m:t>
        </m:r>
        <m:r>
          <m:rPr>
            <m:sty m:val="p"/>
          </m:rPr>
          <m:t>)</m:t>
        </m:r>
      </m:oMath>
      <w:r>
        <w:t xml:space="preserve">; as segundas, de</w:t>
      </w:r>
      <w:r>
        <w:t xml:space="preserve"> </w:t>
      </w:r>
      <m:oMath>
        <m:r>
          <m:rPr>
            <m:sty m:val="p"/>
          </m:rPr>
          <m:t>(</m:t>
        </m:r>
        <m:r>
          <m:t>p</m:t>
        </m:r>
        <m:r>
          <m:rPr>
            <m:sty m:val="p"/>
          </m:rPr>
          <m:t>,</m:t>
        </m:r>
        <m:r>
          <m:t>w</m:t>
        </m:r>
        <m:r>
          <m:rPr>
            <m:sty m:val="p"/>
          </m:rPr>
          <m:t>,</m:t>
        </m:r>
        <m:r>
          <m:t>v</m:t>
        </m:r>
        <m:r>
          <m:rPr>
            <m:sty m:val="p"/>
          </m:rPr>
          <m:t>)</m:t>
        </m:r>
      </m:oMath>
      <w:r>
        <w:t xml:space="preserve">. Em termos práticos, a demanda incondicional é o objeto relevante para analisar o mercado de trabalho e de capital: uma empresa não observa apenas o seu custo ótimo para um produto fixo, mas ajusta simultaneamente a quantidade produzida e os insumos utilizados em resposta às mudanças de preços.</w:t>
      </w:r>
    </w:p>
    <w:bookmarkEnd w:id="767"/>
    <w:bookmarkStart w:id="768" w:name="propriedades-da-demanda-por-insumos"/>
    <w:p>
      <w:pPr>
        <w:pStyle w:val="Heading4"/>
      </w:pPr>
      <w:r>
        <w:t xml:space="preserve">Propriedades da demanda por insumos</w:t>
      </w:r>
    </w:p>
    <w:p>
      <w:pPr>
        <w:pStyle w:val="FirstParagraph"/>
      </w:pPr>
      <w:r>
        <w:t xml:space="preserve">A partir da convexidade da função lucro e do Lema de Hotelling, obtemos:</w:t>
      </w:r>
    </w:p>
    <w:p>
      <w:pPr>
        <w:pStyle w:val="BodyText"/>
      </w:pPr>
      <m:oMathPara>
        <m:oMathParaPr>
          <m:jc m:val="center"/>
        </m:oMathParaPr>
        <m:oMath>
          <m:f>
            <m:fPr>
              <m:type m:val="bar"/>
            </m:fPr>
            <m:num>
              <m:r>
                <m:rPr>
                  <m:sty m:val="p"/>
                </m:rPr>
                <m:t>∂</m:t>
              </m:r>
              <m:sSup>
                <m:e>
                  <m:r>
                    <m:t>L</m:t>
                  </m:r>
                </m:e>
                <m:sup>
                  <m:r>
                    <m:rPr>
                      <m:sty m:val="p"/>
                    </m:rPr>
                    <m:t>*</m:t>
                  </m:r>
                </m:sup>
              </m:sSup>
            </m:num>
            <m:den>
              <m:r>
                <m:rPr>
                  <m:sty m:val="p"/>
                </m:rPr>
                <m:t>∂</m:t>
              </m:r>
              <m:r>
                <m:t>w</m:t>
              </m:r>
            </m:den>
          </m:f>
          <m:r>
            <m:rPr>
              <m:sty m:val="p"/>
            </m:rPr>
            <m:t>=</m:t>
          </m:r>
          <m:r>
            <m:rPr>
              <m:sty m:val="p"/>
            </m:rPr>
            <m:t>−</m:t>
          </m:r>
          <m:f>
            <m:fPr>
              <m:type m:val="bar"/>
            </m:fPr>
            <m:num>
              <m:sSup>
                <m:e>
                  <m:r>
                    <m:rPr>
                      <m:sty m:val="p"/>
                    </m:rPr>
                    <m:t>∂</m:t>
                  </m:r>
                </m:e>
                <m:sup>
                  <m:r>
                    <m:t>2</m:t>
                  </m:r>
                </m:sup>
              </m:sSup>
              <m:r>
                <m:t>π</m:t>
              </m:r>
            </m:num>
            <m:den>
              <m:r>
                <m:rPr>
                  <m:sty m:val="p"/>
                </m:rPr>
                <m:t>∂</m:t>
              </m:r>
              <m:sSup>
                <m:e>
                  <m:r>
                    <m:t>w</m:t>
                  </m:r>
                </m:e>
                <m:sup>
                  <m:r>
                    <m:t>2</m:t>
                  </m:r>
                </m:sup>
              </m:sSup>
            </m:den>
          </m:f>
          <m:r>
            <m:rPr>
              <m:sty m:val="p"/>
            </m:rPr>
            <m:t>≤</m:t>
          </m:r>
          <m:r>
            <m:t>0</m:t>
          </m:r>
        </m:oMath>
      </m:oMathPara>
    </w:p>
    <w:p>
      <w:pPr>
        <w:pStyle w:val="FirstParagraph"/>
      </w:pPr>
      <w:r>
        <w:t xml:space="preserve">A demanda por um insumo é</w:t>
      </w:r>
      <w:r>
        <w:t xml:space="preserve"> </w:t>
      </w:r>
      <w:r>
        <w:rPr>
          <w:b/>
          <w:bCs/>
        </w:rPr>
        <w:t xml:space="preserve">não crescente</w:t>
      </w:r>
      <w:r>
        <w:t xml:space="preserve"> </w:t>
      </w:r>
      <w:r>
        <w:t xml:space="preserve">em seu próprio preço — a</w:t>
      </w:r>
      <w:r>
        <w:t xml:space="preserve"> </w:t>
      </w:r>
      <w:r>
        <w:t xml:space="preserve">“lei da demanda”</w:t>
      </w:r>
      <w:r>
        <w:t xml:space="preserve"> </w:t>
      </w:r>
      <w:r>
        <w:t xml:space="preserve">para fatores de produção. Isso decorre da convexidade da função lucro (que implica que</w:t>
      </w:r>
      <w:r>
        <w:t xml:space="preserve"> </w:t>
      </w:r>
      <m:oMath>
        <m:sSup>
          <m:e>
            <m:r>
              <m:rPr>
                <m:sty m:val="p"/>
              </m:rPr>
              <m:t>∂</m:t>
            </m:r>
          </m:e>
          <m:sup>
            <m:r>
              <m:t>2</m:t>
            </m:r>
          </m:sup>
        </m:sSup>
        <m:r>
          <m:t>π</m:t>
        </m:r>
        <m:r>
          <m:rPr>
            <m:sty m:val="p"/>
          </m:rPr>
          <m:t>/</m:t>
        </m:r>
        <m:r>
          <m:rPr>
            <m:sty m:val="p"/>
          </m:rPr>
          <m:t>∂</m:t>
        </m:r>
        <m:sSup>
          <m:e>
            <m:r>
              <m:t>w</m:t>
            </m:r>
          </m:e>
          <m:sup>
            <m:r>
              <m:t>2</m:t>
            </m:r>
          </m:sup>
        </m:sSup>
        <m:r>
          <m:rPr>
            <m:sty m:val="p"/>
          </m:rPr>
          <m:t>≥</m:t>
        </m:r>
        <m:r>
          <m:t>0</m:t>
        </m:r>
      </m:oMath>
      <w:r>
        <w:t xml:space="preserve">).</w:t>
      </w:r>
    </w:p>
    <w:bookmarkEnd w:id="768"/>
    <w:bookmarkStart w:id="769" w:name="Xbc7691888fff4dec85e49f017209ab0da0ba4de"/>
    <w:p>
      <w:pPr>
        <w:pStyle w:val="Heading4"/>
      </w:pPr>
      <w:r>
        <w:t xml:space="preserve">Relação entre demanda condicionada e incondicional</w:t>
      </w:r>
    </w:p>
    <w:p>
      <w:pPr>
        <w:pStyle w:val="FirstParagraph"/>
      </w:pPr>
      <w:r>
        <w:t xml:space="preserve">A demanda incondicional por trabalho pode ser decomposta:</w:t>
      </w:r>
    </w:p>
    <w:p>
      <w:pPr>
        <w:pStyle w:val="BodyText"/>
      </w:pPr>
      <m:oMathPara>
        <m:oMathParaPr>
          <m:jc m:val="center"/>
        </m:oMathParaPr>
        <m:oMath>
          <m:f>
            <m:fPr>
              <m:type m:val="bar"/>
            </m:fPr>
            <m:num>
              <m:r>
                <m:rPr>
                  <m:sty m:val="p"/>
                </m:rPr>
                <m:t>∂</m:t>
              </m:r>
              <m:sSup>
                <m:e>
                  <m:r>
                    <m:t>L</m:t>
                  </m:r>
                </m:e>
                <m:sup>
                  <m:r>
                    <m:rPr>
                      <m:sty m:val="p"/>
                    </m:rPr>
                    <m:t>*</m:t>
                  </m:r>
                </m:sup>
              </m:sSup>
            </m:num>
            <m:den>
              <m:r>
                <m:rPr>
                  <m:sty m:val="p"/>
                </m:rPr>
                <m:t>∂</m:t>
              </m:r>
              <m:r>
                <m:t>w</m:t>
              </m:r>
            </m:den>
          </m:f>
          <m:r>
            <m:rPr>
              <m:sty m:val="p"/>
            </m:rPr>
            <m:t>=</m:t>
          </m:r>
          <m:limLow>
            <m:e>
              <m:limLow>
                <m:e>
                  <m:f>
                    <m:fPr>
                      <m:type m:val="bar"/>
                    </m:fPr>
                    <m:num>
                      <m:r>
                        <m:rPr>
                          <m:sty m:val="p"/>
                        </m:rPr>
                        <m:t>∂</m:t>
                      </m:r>
                      <m:sSup>
                        <m:e>
                          <m:r>
                            <m:t>L</m:t>
                          </m:r>
                        </m:e>
                        <m:sup>
                          <m:r>
                            <m:t>c</m:t>
                          </m:r>
                        </m:sup>
                      </m:sSup>
                    </m:num>
                    <m:den>
                      <m:r>
                        <m:rPr>
                          <m:sty m:val="p"/>
                        </m:rPr>
                        <m:t>∂</m:t>
                      </m:r>
                      <m:r>
                        <m:t>w</m:t>
                      </m:r>
                    </m:den>
                  </m:f>
                  <m:sSub>
                    <m:e>
                      <m:r>
                        <m:rPr>
                          <m:sty m:val="p"/>
                        </m:rPr>
                        <m:t>|</m:t>
                      </m:r>
                    </m:e>
                    <m:sub>
                      <m:r>
                        <m:t>q</m:t>
                      </m:r>
                      <m:r>
                        <m:rPr>
                          <m:sty m:val="p"/>
                        </m:rPr>
                        <m:t>=</m:t>
                      </m:r>
                      <m:sSup>
                        <m:e>
                          <m:r>
                            <m:t>q</m:t>
                          </m:r>
                        </m:e>
                        <m:sup>
                          <m:r>
                            <m:rPr>
                              <m:sty m:val="p"/>
                            </m:rPr>
                            <m:t>*</m:t>
                          </m:r>
                        </m:sup>
                      </m:sSup>
                    </m:sub>
                  </m:sSub>
                </m:e>
                <m:lim>
                  <m:r>
                    <m:rPr>
                      <m:sty m:val="p"/>
                    </m:rPr>
                    <m:t>⏟</m:t>
                  </m:r>
                </m:lim>
              </m:limLow>
            </m:e>
            <m:lim>
              <m:r>
                <m:rPr>
                  <m:nor/>
                  <m:sty m:val="p"/>
                </m:rPr>
                <m:t>efeito substituição</m:t>
              </m:r>
            </m:lim>
          </m:limLow>
          <m:r>
            <m:rPr>
              <m:sty m:val="p"/>
            </m:rPr>
            <m:t>+</m:t>
          </m:r>
          <m:limLow>
            <m:e>
              <m:limLow>
                <m:e>
                  <m:f>
                    <m:fPr>
                      <m:type m:val="bar"/>
                    </m:fPr>
                    <m:num>
                      <m:r>
                        <m:rPr>
                          <m:sty m:val="p"/>
                        </m:rPr>
                        <m:t>∂</m:t>
                      </m:r>
                      <m:sSup>
                        <m:e>
                          <m:r>
                            <m:t>L</m:t>
                          </m:r>
                        </m:e>
                        <m:sup>
                          <m:r>
                            <m:t>c</m:t>
                          </m:r>
                        </m:sup>
                      </m:sSup>
                    </m:num>
                    <m:den>
                      <m:r>
                        <m:rPr>
                          <m:sty m:val="p"/>
                        </m:rPr>
                        <m:t>∂</m:t>
                      </m:r>
                      <m:r>
                        <m:t>q</m:t>
                      </m:r>
                    </m:den>
                  </m:f>
                  <m:r>
                    <m:rPr>
                      <m:sty m:val="p"/>
                    </m:rPr>
                    <m:t>⋅</m:t>
                  </m:r>
                  <m:f>
                    <m:fPr>
                      <m:type m:val="bar"/>
                    </m:fPr>
                    <m:num>
                      <m:r>
                        <m:rPr>
                          <m:sty m:val="p"/>
                        </m:rPr>
                        <m:t>∂</m:t>
                      </m:r>
                      <m:sSup>
                        <m:e>
                          <m:r>
                            <m:t>q</m:t>
                          </m:r>
                        </m:e>
                        <m:sup>
                          <m:r>
                            <m:rPr>
                              <m:sty m:val="p"/>
                            </m:rPr>
                            <m:t>*</m:t>
                          </m:r>
                        </m:sup>
                      </m:sSup>
                    </m:num>
                    <m:den>
                      <m:r>
                        <m:rPr>
                          <m:sty m:val="p"/>
                        </m:rPr>
                        <m:t>∂</m:t>
                      </m:r>
                      <m:r>
                        <m:t>w</m:t>
                      </m:r>
                    </m:den>
                  </m:f>
                </m:e>
                <m:lim>
                  <m:r>
                    <m:rPr>
                      <m:sty m:val="p"/>
                    </m:rPr>
                    <m:t>⏟</m:t>
                  </m:r>
                </m:lim>
              </m:limLow>
            </m:e>
            <m:lim>
              <m:r>
                <m:rPr>
                  <m:nor/>
                  <m:sty m:val="p"/>
                </m:rPr>
                <m:t>efeito produto</m:t>
              </m:r>
            </m:lim>
          </m:limLow>
        </m:oMath>
      </m:oMathPara>
    </w:p>
    <w:p>
      <w:pPr>
        <w:pStyle w:val="FirstParagraph"/>
      </w:pPr>
      <w:r>
        <w:t xml:space="preserve">Na equação Eq. (eq:12.13), o</w:t>
      </w:r>
      <w:r>
        <w:t xml:space="preserve"> </w:t>
      </w:r>
      <w:r>
        <w:rPr>
          <w:b/>
          <w:bCs/>
        </w:rPr>
        <w:t xml:space="preserve">efeito substituição</w:t>
      </w:r>
      <w:r>
        <w:t xml:space="preserve"> </w:t>
      </w:r>
      <w:r>
        <w:t xml:space="preserve">(</w:t>
      </w:r>
      <m:oMath>
        <m:r>
          <m:rPr>
            <m:sty m:val="p"/>
          </m:rPr>
          <m:t>≤</m:t>
        </m:r>
        <m:r>
          <m:t>0</m:t>
        </m:r>
      </m:oMath>
      <w:r>
        <w:t xml:space="preserve">) reflete a substituição do trabalho por capital ao longo da isoquanta quando</w:t>
      </w:r>
      <w:r>
        <w:t xml:space="preserve"> </w:t>
      </w:r>
      <m:oMath>
        <m:r>
          <m:t>w</m:t>
        </m:r>
      </m:oMath>
      <w:r>
        <w:t xml:space="preserve"> </w:t>
      </w:r>
      <w:r>
        <w:t xml:space="preserve">sobe. O</w:t>
      </w:r>
      <w:r>
        <w:t xml:space="preserve"> </w:t>
      </w:r>
      <w:r>
        <w:rPr>
          <w:b/>
          <w:bCs/>
        </w:rPr>
        <w:t xml:space="preserve">efeito produto</w:t>
      </w:r>
      <w:r>
        <w:t xml:space="preserve"> </w:t>
      </w:r>
      <w:r>
        <w:t xml:space="preserve">também é negativo:</w:t>
      </w:r>
      <w:r>
        <w:t xml:space="preserve"> </w:t>
      </w:r>
      <m:oMath>
        <m:r>
          <m:t>w</m:t>
        </m:r>
      </m:oMath>
      <w:r>
        <w:t xml:space="preserve"> </w:t>
      </w:r>
      <w:r>
        <w:t xml:space="preserve">maior eleva o CMg, o que reduz</w:t>
      </w:r>
      <w:r>
        <w:t xml:space="preserve"> </w:t>
      </w:r>
      <m:oMath>
        <m:sSup>
          <m:e>
            <m:r>
              <m:t>q</m:t>
            </m:r>
          </m:e>
          <m:sup>
            <m:r>
              <m:rPr>
                <m:sty m:val="p"/>
              </m:rPr>
              <m:t>*</m:t>
            </m:r>
          </m:sup>
        </m:sSup>
      </m:oMath>
      <w:r>
        <w:t xml:space="preserve">, o que reduz a demanda por trabalho. Ambos os efeitos operam na mesma direção — diferentemente do caso do consumidor, onde efeito substituição e efeito renda podem ter sinais opostos (bem de Giffen).</w:t>
      </w:r>
    </w:p>
    <w:p>
      <w:pPr>
        <w:pStyle w:val="BodyText"/>
      </w:pPr>
      <w:r>
        <w:t xml:space="preserve">A magnitude relativa desses dois efeitos é empiricamente relevante. Em indústrias com alta substituibilidade capital-trabalho (ex.: automação industrial), o efeito substituição pode ser dominante: um aumento de salário leva à mecanização (substituição de trabalhadores por máquinas) mesmo que a produção se mantenha. Em indústrias com tecnologia de proporções fixas (ex.: serviços de saúde de alto contato humano), o efeito produto pode predominar: salários mais altos reduzem a escala de operação sem mudar a composição de insumos. Pesquisas sobre o mercado de trabalho brasileiro — como as de Ulyssea (2018) citada na seção de pesquisa — documentam esses efeitos em contextos de informalidade e mudanças regulatórias, onde o custo efetivo do trabalho formal inclui encargos sociais que amplificam o efeito substituição.</w:t>
      </w:r>
    </w:p>
    <w:p>
      <w:pPr>
        <w:pStyle w:val="BlockText"/>
      </w:pPr>
      <w:r>
        <w:rPr>
          <w:b/>
          <w:bCs/>
        </w:rPr>
        <w:t xml:space="preserve">[TEOREMA] Proposição: Inexistência de</w:t>
      </w:r>
      <w:r>
        <w:rPr>
          <w:b/>
          <w:bCs/>
        </w:rPr>
        <w:t xml:space="preserve"> </w:t>
      </w:r>
      <w:r>
        <w:rPr>
          <w:b/>
          <w:bCs/>
        </w:rPr>
        <w:t xml:space="preserve">‘insumo de Giffen’</w:t>
      </w:r>
    </w:p>
    <w:p>
      <w:pPr>
        <w:pStyle w:val="BlockText"/>
      </w:pPr>
      <w:r>
        <w:t xml:space="preserve">Na teoria da firma maximizadora de lucro, a demanda por um insumo é sempre não crescente em seu próprio preço. Não existe o análogo de um</w:t>
      </w:r>
      <w:r>
        <w:t xml:space="preserve"> </w:t>
      </w:r>
      <w:r>
        <w:t xml:space="preserve">“bem de Giffen”</w:t>
      </w:r>
      <w:r>
        <w:t xml:space="preserve"> </w:t>
      </w:r>
      <w:r>
        <w:t xml:space="preserve">para insumos, pois tanto o efeito substituição quanto o efeito produto reduzem a demanda quando o preço do insumo aumenta.</w:t>
      </w:r>
    </w:p>
    <w:p>
      <w:pPr>
        <w:pStyle w:val="FirstParagraph"/>
      </w:pPr>
      <w:r>
        <w:t xml:space="preserve">[FIGURA INTERATIVA: /micro-book/graficos/cap12/webr-decomposicao-insumos.html — versao interativa disponivel online]</w:t>
      </w:r>
    </w:p>
    <w:p>
      <w:pPr>
        <w:pStyle w:val="BodyText"/>
      </w:pPr>
      <w:r>
        <w:rPr>
          <w:b/>
          <w:bCs/>
        </w:rPr>
        <w:t xml:space="preserve">WebR 12.5 — Efeito substituição vs. efeito produto na demanda por trabalho.</w:t>
      </w:r>
      <w:r>
        <w:t xml:space="preserve"> </w:t>
      </w:r>
      <w:r>
        <w:t xml:space="preserve">O código decompõe a variação na demanda por trabalho quando</w:t>
      </w:r>
      <w:r>
        <w:t xml:space="preserve"> </w:t>
      </w:r>
      <m:oMath>
        <m:r>
          <m:t>w</m:t>
        </m:r>
      </m:oMath>
      <w:r>
        <w:t xml:space="preserve"> </w:t>
      </w:r>
      <w:r>
        <w:t xml:space="preserve">sobe: o efeito substituição (ao longo da isoquanta) e o efeito produto (redução de</w:t>
      </w:r>
      <w:r>
        <w:t xml:space="preserve"> </w:t>
      </w:r>
      <m:oMath>
        <m:sSup>
          <m:e>
            <m:r>
              <m:t>q</m:t>
            </m:r>
          </m:e>
          <m:sup>
            <m:r>
              <m:rPr>
                <m:sty m:val="p"/>
              </m:rPr>
              <m:t>*</m:t>
            </m:r>
          </m:sup>
        </m:sSup>
      </m:oMath>
      <w:r>
        <w:t xml:space="preserve">) vão na mesma direção — confirmando que não existe</w:t>
      </w:r>
      <w:r>
        <w:t xml:space="preserve"> </w:t>
      </w:r>
      <w:r>
        <w:t xml:space="preserve">“insumo de Giffen”</w:t>
      </w:r>
      <w:r>
        <w:t xml:space="preserve">. Altere</w:t>
      </w:r>
      <w:r>
        <w:t xml:space="preserve"> </w:t>
      </w:r>
      <w:r>
        <w:rPr>
          <w:rStyle w:val="VerbatimChar"/>
        </w:rPr>
        <w:t xml:space="preserve">dw</w:t>
      </w:r>
      <w:r>
        <w:t xml:space="preserve"> </w:t>
      </w:r>
      <w:r>
        <w:t xml:space="preserve">para ver como a magnitude do choque afeta cada componente.</w:t>
      </w:r>
    </w:p>
    <w:p>
      <w:r>
        <w:pict>
          <v:rect style="width:0;height:1.5pt" o:hralign="center" o:hrstd="t" o:hr="t"/>
        </w:pict>
      </w:r>
    </w:p>
    <w:p>
      <w:pPr>
        <w:pStyle w:val="BlockText"/>
      </w:pPr>
      <w:r>
        <w:rPr>
          <w:b/>
          <w:bCs/>
        </w:rPr>
        <w:t xml:space="preserve">[BOX BRASIL] Box Brasil — JBS: quando fazer internamente é melhor que comprar no mercado</w:t>
      </w:r>
    </w:p>
    <w:p>
      <w:pPr>
        <w:pStyle w:val="BlockText"/>
      </w:pPr>
      <w:r>
        <w:t xml:space="preserve">A</w:t>
      </w:r>
      <w:r>
        <w:t xml:space="preserve"> </w:t>
      </w:r>
      <w:r>
        <w:rPr>
          <w:b/>
          <w:bCs/>
        </w:rPr>
        <w:t xml:space="preserve">JBS S.A.</w:t>
      </w:r>
      <w:r>
        <w:t xml:space="preserve"> </w:t>
      </w:r>
      <w:r>
        <w:t xml:space="preserve">é a maior processadora de proteína animal do mundo, com receita líquida trimestral recorde de</w:t>
      </w:r>
      <w:r>
        <w:t xml:space="preserve"> </w:t>
      </w:r>
      <w:r>
        <w:rPr>
          <w:b/>
          <w:bCs/>
        </w:rPr>
        <w:t xml:space="preserve">R$ 110,5 bilhões</w:t>
      </w:r>
      <w:r>
        <w:t xml:space="preserve"> </w:t>
      </w:r>
      <w:r>
        <w:t xml:space="preserve">no 3º trimestre de 2024 e presença em mais de 20 países. Sua trajetória ilustra de forma notável a teoria dos custos de transação de</w:t>
      </w:r>
      <w:r>
        <w:t xml:space="preserve"> </w:t>
      </w:r>
      <w:r>
        <w:rPr>
          <w:b/>
          <w:bCs/>
        </w:rPr>
        <w:t xml:space="preserve">Coase</w:t>
      </w:r>
      <w:r>
        <w:t xml:space="preserve"> </w:t>
      </w:r>
      <w:r>
        <w:t xml:space="preserve">e</w:t>
      </w:r>
      <w:r>
        <w:t xml:space="preserve"> </w:t>
      </w:r>
      <w:r>
        <w:rPr>
          <w:b/>
          <w:bCs/>
        </w:rPr>
        <w:t xml:space="preserve">Williamson</w:t>
      </w:r>
      <w:r>
        <w:t xml:space="preserve"> </w:t>
      </w:r>
      <w:r>
        <w:t xml:space="preserve">(Seção 12.1).</w:t>
      </w:r>
    </w:p>
    <w:p>
      <w:pPr>
        <w:pStyle w:val="BlockText"/>
      </w:pPr>
      <w:r>
        <w:rPr>
          <w:b/>
          <w:bCs/>
        </w:rPr>
        <w:t xml:space="preserve">A lógica da integração vertical</w:t>
      </w:r>
    </w:p>
    <w:p>
      <w:pPr>
        <w:pStyle w:val="BlockText"/>
      </w:pPr>
      <w:r>
        <w:t xml:space="preserve">A JBS não se limita ao abate: opera em toda a cadeia — da criação de animais (confinamento próprio) ao processamento, embalagem, logística refrigerada e distribuição com marcas próprias (Friboi, Seara, Swift). Na linguagem de Williamson, isso se explica por três fatores: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Atributo da transação</w:t>
            </w:r>
          </w:p>
        </w:tc>
        <w:tc>
          <w:tcPr/>
          <w:p>
            <w:pPr>
              <w:pStyle w:val="Compact"/>
              <w:jc w:val="left"/>
            </w:pPr>
            <w:r>
              <w:t xml:space="preserve">Manifestação na cadeia de carne</w:t>
            </w:r>
          </w:p>
        </w:tc>
        <w:tc>
          <w:tcPr/>
          <w:p>
            <w:pPr>
              <w:pStyle w:val="Compact"/>
              <w:jc w:val="left"/>
            </w:pPr>
            <w:r>
              <w:t xml:space="preserve">Governança escolhida</w:t>
            </w:r>
          </w:p>
        </w:tc>
      </w:tr>
      <w:tr>
        <w:tc>
          <w:tcPr/>
          <w:p>
            <w:pPr>
              <w:pStyle w:val="Compact"/>
              <w:jc w:val="left"/>
            </w:pPr>
            <w:r>
              <w:rPr>
                <w:b/>
                <w:bCs/>
              </w:rPr>
              <w:t xml:space="preserve">Especificidade de ativos</w:t>
            </w:r>
          </w:p>
        </w:tc>
        <w:tc>
          <w:tcPr/>
          <w:p>
            <w:pPr>
              <w:pStyle w:val="Compact"/>
              <w:jc w:val="left"/>
            </w:pPr>
            <w:r>
              <w:t xml:space="preserve">Plantas frigoríficas, câmaras frias, caminhões refrigerados — ativos com baixo valor fora da cadeia</w:t>
            </w:r>
          </w:p>
        </w:tc>
        <w:tc>
          <w:tcPr/>
          <w:p>
            <w:pPr>
              <w:pStyle w:val="Compact"/>
              <w:jc w:val="left"/>
            </w:pPr>
            <w:r>
              <w:t xml:space="preserve">Integração vertical</w:t>
            </w:r>
          </w:p>
        </w:tc>
      </w:tr>
      <w:tr>
        <w:tc>
          <w:tcPr/>
          <w:p>
            <w:pPr>
              <w:pStyle w:val="Compact"/>
              <w:jc w:val="left"/>
            </w:pPr>
            <w:r>
              <w:rPr>
                <w:b/>
                <w:bCs/>
              </w:rPr>
              <w:t xml:space="preserve">Frequência</w:t>
            </w:r>
          </w:p>
        </w:tc>
        <w:tc>
          <w:tcPr/>
          <w:p>
            <w:pPr>
              <w:pStyle w:val="Compact"/>
              <w:jc w:val="left"/>
            </w:pPr>
            <w:r>
              <w:t xml:space="preserve">Abate diário de milhares de cabeças; transações contínuas</w:t>
            </w:r>
          </w:p>
        </w:tc>
        <w:tc>
          <w:tcPr/>
          <w:p>
            <w:pPr>
              <w:pStyle w:val="Compact"/>
              <w:jc w:val="left"/>
            </w:pPr>
            <w:r>
              <w:t xml:space="preserve">Hierarquia interna</w:t>
            </w:r>
          </w:p>
        </w:tc>
      </w:tr>
      <w:tr>
        <w:tc>
          <w:tcPr/>
          <w:p>
            <w:pPr>
              <w:pStyle w:val="Compact"/>
              <w:jc w:val="left"/>
            </w:pPr>
            <w:r>
              <w:rPr>
                <w:b/>
                <w:bCs/>
              </w:rPr>
              <w:t xml:space="preserve">Incerteza</w:t>
            </w:r>
          </w:p>
        </w:tc>
        <w:tc>
          <w:tcPr/>
          <w:p>
            <w:pPr>
              <w:pStyle w:val="Compact"/>
              <w:jc w:val="left"/>
            </w:pPr>
            <w:r>
              <w:t xml:space="preserve">Volatilidade de preços do boi gordo; exigências sanitárias mutáveis; riscos de embargo internacional</w:t>
            </w:r>
          </w:p>
        </w:tc>
        <w:tc>
          <w:tcPr/>
          <w:p>
            <w:pPr>
              <w:pStyle w:val="Compact"/>
              <w:jc w:val="left"/>
            </w:pPr>
            <w:r>
              <w:t xml:space="preserve">Controle direto</w:t>
            </w:r>
          </w:p>
        </w:tc>
      </w:tr>
    </w:tbl>
    <w:p>
      <w:pPr>
        <w:pStyle w:val="BlockText"/>
      </w:pPr>
      <w:r>
        <w:t xml:space="preserve">Se a JBS dependesse exclusivamente do mercado para cada etapa — comprando serviços de transporte refrigerado, terceirizando o abate, contratando distribuidores independentes —, os custos de transação (negociação de contratos, risco de</w:t>
      </w:r>
      <w:r>
        <w:t xml:space="preserve"> </w:t>
      </w:r>
      <w:r>
        <w:rPr>
          <w:i/>
          <w:iCs/>
        </w:rPr>
        <w:t xml:space="preserve">hold-up</w:t>
      </w:r>
      <w:r>
        <w:t xml:space="preserve">, problemas de qualidade) seriam proibitivos. A integração vertical reduz esses custos ao internalizar transações com alta especificidade de ativos.</w:t>
      </w:r>
    </w:p>
    <w:p>
      <w:pPr>
        <w:pStyle w:val="BlockText"/>
      </w:pPr>
      <w:r>
        <w:rPr>
          <w:b/>
          <w:bCs/>
        </w:rPr>
        <w:t xml:space="preserve">Terceirização pós-reforma trabalhista</w:t>
      </w:r>
    </w:p>
    <w:p>
      <w:pPr>
        <w:pStyle w:val="BlockText"/>
      </w:pPr>
      <w:r>
        <w:t xml:space="preserve">Na direção oposta, a</w:t>
      </w:r>
      <w:r>
        <w:t xml:space="preserve"> </w:t>
      </w:r>
      <w:r>
        <w:rPr>
          <w:b/>
          <w:bCs/>
        </w:rPr>
        <w:t xml:space="preserve">Reforma Trabalhista de 2017</w:t>
      </w:r>
      <w:r>
        <w:t xml:space="preserve"> </w:t>
      </w:r>
      <w:r>
        <w:t xml:space="preserve">(Lei 13.467/17) liberou a terceirização de atividade-fim no Brasil. Em termos coaseanos, a legislação reduziu os custos de transação de contratar no mercado (ao simplificar contratos e reduzir riscos jurídicos), deslocando a fronteira ótima da firma. Atividades com</w:t>
      </w:r>
      <w:r>
        <w:t xml:space="preserve"> </w:t>
      </w:r>
      <w:r>
        <w:rPr>
          <w:b/>
          <w:bCs/>
        </w:rPr>
        <w:t xml:space="preserve">baixa especificidade de ativos</w:t>
      </w:r>
      <w:r>
        <w:t xml:space="preserve"> </w:t>
      </w:r>
      <w:r>
        <w:t xml:space="preserve">— limpeza, segurança, TI — passaram a ser mais eficientemente contratadas no mercado, enquanto atividades com</w:t>
      </w:r>
      <w:r>
        <w:t xml:space="preserve"> </w:t>
      </w:r>
      <w:r>
        <w:rPr>
          <w:b/>
          <w:bCs/>
        </w:rPr>
        <w:t xml:space="preserve">alta especificidade</w:t>
      </w:r>
      <w:r>
        <w:t xml:space="preserve"> </w:t>
      </w:r>
      <w:r>
        <w:t xml:space="preserve">permanecem internalizadas.</w:t>
      </w:r>
    </w:p>
    <w:p>
      <w:pPr>
        <w:pStyle w:val="BlockText"/>
      </w:pPr>
      <w:r>
        <w:rPr>
          <w:b/>
          <w:bCs/>
        </w:rPr>
        <w:t xml:space="preserve">Fonte</w:t>
      </w:r>
      <w:r>
        <w:t xml:space="preserve">: JBS, Relatório de Resultados 3T2024; InfoMoney; Câmara dos Deputados.</w:t>
      </w:r>
    </w:p>
    <w:p>
      <w:r>
        <w:pict>
          <v:rect style="width:0;height:1.5pt" o:hralign="center" o:hrstd="t" o:hr="t"/>
        </w:pict>
      </w:r>
    </w:p>
    <w:p>
      <w:pPr>
        <w:pStyle w:val="BlockText"/>
      </w:pPr>
      <w:r>
        <w:rPr>
          <w:b/>
          <w:bCs/>
        </w:rPr>
        <w:t xml:space="preserve">[BOX BRASIL] Box Brasil: Micro e pequenas empresas — a arte de sobreviver</w:t>
      </w:r>
    </w:p>
    <w:p>
      <w:pPr>
        <w:pStyle w:val="BlockText"/>
      </w:pPr>
      <w:r>
        <w:t xml:space="preserve">As</w:t>
      </w:r>
      <w:r>
        <w:t xml:space="preserve"> </w:t>
      </w:r>
      <w:r>
        <w:rPr>
          <w:b/>
          <w:bCs/>
        </w:rPr>
        <w:t xml:space="preserve">micro e pequenas empresas (MPEs)</w:t>
      </w:r>
      <w:r>
        <w:t xml:space="preserve"> </w:t>
      </w:r>
      <w:r>
        <w:t xml:space="preserve">são o coração do tecido empresarial brasileiro. Segundo dados do</w:t>
      </w:r>
      <w:r>
        <w:t xml:space="preserve"> </w:t>
      </w:r>
      <w:r>
        <w:rPr>
          <w:b/>
          <w:bCs/>
        </w:rPr>
        <w:t xml:space="preserve">SEBRAE</w:t>
      </w:r>
      <w:r>
        <w:t xml:space="preserve"> </w:t>
      </w:r>
      <w:r>
        <w:t xml:space="preserve">e da</w:t>
      </w:r>
      <w:r>
        <w:t xml:space="preserve"> </w:t>
      </w:r>
      <w:r>
        <w:rPr>
          <w:b/>
          <w:bCs/>
        </w:rPr>
        <w:t xml:space="preserve">Receita Federal</w:t>
      </w:r>
      <w:r>
        <w:t xml:space="preserve">:</w:t>
      </w:r>
    </w:p>
    <w:p>
      <w:pPr>
        <w:pStyle w:val="Compact"/>
        <w:numPr>
          <w:ilvl w:val="0"/>
          <w:numId w:val="1738"/>
        </w:numPr>
      </w:pPr>
      <w:r>
        <w:t xml:space="preserve">As MPEs representam</w:t>
      </w:r>
      <w:r>
        <w:t xml:space="preserve"> </w:t>
      </w:r>
      <w:r>
        <w:rPr>
          <w:b/>
          <w:bCs/>
        </w:rPr>
        <w:t xml:space="preserve">99% dos estabelecimentos</w:t>
      </w:r>
      <w:r>
        <w:t xml:space="preserve"> </w:t>
      </w:r>
      <w:r>
        <w:t xml:space="preserve">formais no Brasil.</w:t>
      </w:r>
    </w:p>
    <w:p>
      <w:pPr>
        <w:pStyle w:val="Compact"/>
        <w:numPr>
          <w:ilvl w:val="0"/>
          <w:numId w:val="1738"/>
        </w:numPr>
      </w:pPr>
      <w:r>
        <w:t xml:space="preserve">Respondem por cerca de</w:t>
      </w:r>
      <w:r>
        <w:t xml:space="preserve"> </w:t>
      </w:r>
      <w:r>
        <w:rPr>
          <w:b/>
          <w:bCs/>
        </w:rPr>
        <w:t xml:space="preserve">55% dos empregos formais</w:t>
      </w:r>
      <w:r>
        <w:t xml:space="preserve"> </w:t>
      </w:r>
      <w:r>
        <w:t xml:space="preserve">e</w:t>
      </w:r>
      <w:r>
        <w:t xml:space="preserve"> </w:t>
      </w:r>
      <w:r>
        <w:rPr>
          <w:b/>
          <w:bCs/>
        </w:rPr>
        <w:t xml:space="preserve">30% do PIB</w:t>
      </w:r>
      <w:r>
        <w:t xml:space="preserve">.</w:t>
      </w:r>
    </w:p>
    <w:p>
      <w:pPr>
        <w:pStyle w:val="Compact"/>
        <w:numPr>
          <w:ilvl w:val="0"/>
          <w:numId w:val="1738"/>
        </w:numPr>
      </w:pPr>
      <w:r>
        <w:t xml:space="preserve">Aproximadamente</w:t>
      </w:r>
      <w:r>
        <w:t xml:space="preserve"> </w:t>
      </w:r>
      <w:r>
        <w:rPr>
          <w:b/>
          <w:bCs/>
        </w:rPr>
        <w:t xml:space="preserve">29% das MPEs fecham nos primeiros 5 anos</w:t>
      </w:r>
      <w:r>
        <w:t xml:space="preserve"> </w:t>
      </w:r>
      <w:r>
        <w:t xml:space="preserve">de atividade (taxa de mortalidade apurada pelo SEBRAE para empresas constituídas em 2017).</w:t>
      </w:r>
    </w:p>
    <w:p>
      <w:pPr>
        <w:pStyle w:val="BlockText"/>
      </w:pPr>
      <w:r>
        <w:rPr>
          <w:b/>
          <w:bCs/>
        </w:rPr>
        <w:t xml:space="preserve">Causas da mortalidade empresarial: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Fator</w:t>
            </w:r>
          </w:p>
        </w:tc>
        <w:tc>
          <w:tcPr/>
          <w:p>
            <w:pPr>
              <w:pStyle w:val="Compact"/>
              <w:jc w:val="left"/>
            </w:pPr>
            <w:r>
              <w:t xml:space="preserve">Frequência citada</w:t>
            </w:r>
          </w:p>
        </w:tc>
        <w:tc>
          <w:tcPr/>
          <w:p>
            <w:pPr>
              <w:pStyle w:val="Compact"/>
              <w:jc w:val="left"/>
            </w:pPr>
            <w:r>
              <w:t xml:space="preserve">Interpretação microeconômica</w:t>
            </w:r>
          </w:p>
        </w:tc>
      </w:tr>
      <w:tr>
        <w:tc>
          <w:tcPr/>
          <w:p>
            <w:pPr>
              <w:pStyle w:val="Compact"/>
              <w:jc w:val="left"/>
            </w:pPr>
            <w:r>
              <w:t xml:space="preserve">Falta de planejamento/gestão</w:t>
            </w:r>
          </w:p>
        </w:tc>
        <w:tc>
          <w:tcPr/>
          <w:p>
            <w:pPr>
              <w:pStyle w:val="Compact"/>
              <w:jc w:val="left"/>
            </w:pPr>
            <w:r>
              <w:t xml:space="preserve">~25%</w:t>
            </w:r>
          </w:p>
        </w:tc>
        <w:tc>
          <w:tcPr/>
          <w:p>
            <w:pPr>
              <w:pStyle w:val="Compact"/>
              <w:jc w:val="left"/>
            </w:pPr>
            <w:r>
              <w:t xml:space="preserve">Incapacidade de minimizar custos (ineficiência produtiva)</w:t>
            </w:r>
          </w:p>
        </w:tc>
      </w:tr>
      <w:tr>
        <w:tc>
          <w:tcPr/>
          <w:p>
            <w:pPr>
              <w:pStyle w:val="Compact"/>
              <w:jc w:val="left"/>
            </w:pPr>
            <w:r>
              <w:t xml:space="preserve">Dificuldade de acesso a crédito</w:t>
            </w:r>
          </w:p>
        </w:tc>
        <w:tc>
          <w:tcPr/>
          <w:p>
            <w:pPr>
              <w:pStyle w:val="Compact"/>
              <w:jc w:val="left"/>
            </w:pPr>
            <w:r>
              <w:t xml:space="preserve">~20%</w:t>
            </w:r>
          </w:p>
        </w:tc>
        <w:tc>
          <w:tcPr/>
          <w:p>
            <w:pPr>
              <w:pStyle w:val="Compact"/>
              <w:jc w:val="left"/>
            </w:pPr>
            <w:r>
              <w:t xml:space="preserve">Custo de capital elevado (</w:t>
            </w:r>
            <m:oMath>
              <m:r>
                <m:t>r</m:t>
              </m:r>
            </m:oMath>
            <w:r>
              <w:t xml:space="preserve"> </w:t>
            </w:r>
            <w:r>
              <w:t xml:space="preserve">alto), restrição de liquidez</w:t>
            </w:r>
          </w:p>
        </w:tc>
      </w:tr>
      <w:tr>
        <w:tc>
          <w:tcPr/>
          <w:p>
            <w:pPr>
              <w:pStyle w:val="Compact"/>
              <w:jc w:val="left"/>
            </w:pPr>
            <w:r>
              <w:t xml:space="preserve">Carga tributária excessiva</w:t>
            </w:r>
          </w:p>
        </w:tc>
        <w:tc>
          <w:tcPr/>
          <w:p>
            <w:pPr>
              <w:pStyle w:val="Compact"/>
              <w:jc w:val="left"/>
            </w:pPr>
            <w:r>
              <w:t xml:space="preserve">~18%</w:t>
            </w:r>
          </w:p>
        </w:tc>
        <w:tc>
          <w:tcPr/>
          <w:p>
            <w:pPr>
              <w:pStyle w:val="Compact"/>
              <w:jc w:val="left"/>
            </w:pPr>
            <w:r>
              <w:t xml:space="preserve">Deslocamento para cima das curvas de custo</w:t>
            </w:r>
          </w:p>
        </w:tc>
      </w:tr>
      <w:tr>
        <w:tc>
          <w:tcPr/>
          <w:p>
            <w:pPr>
              <w:pStyle w:val="Compact"/>
              <w:jc w:val="left"/>
            </w:pPr>
            <w:r>
              <w:t xml:space="preserve">Concorrência intensa</w:t>
            </w:r>
          </w:p>
        </w:tc>
        <w:tc>
          <w:tcPr/>
          <w:p>
            <w:pPr>
              <w:pStyle w:val="Compact"/>
              <w:jc w:val="left"/>
            </w:pPr>
            <w:r>
              <w:t xml:space="preserve">~15%</w:t>
            </w:r>
          </w:p>
        </w:tc>
        <w:tc>
          <w:tcPr/>
          <w:p>
            <w:pPr>
              <w:pStyle w:val="Compact"/>
              <w:jc w:val="left"/>
            </w:pPr>
            <w:r>
              <w:t xml:space="preserve">Preço de mercado abaixo do CMe mínimo da firma</w:t>
            </w:r>
          </w:p>
        </w:tc>
      </w:tr>
      <w:tr>
        <w:tc>
          <w:tcPr/>
          <w:p>
            <w:pPr>
              <w:pStyle w:val="Compact"/>
              <w:jc w:val="left"/>
            </w:pPr>
            <w:r>
              <w:t xml:space="preserve">Falta de demanda</w:t>
            </w:r>
          </w:p>
        </w:tc>
        <w:tc>
          <w:tcPr/>
          <w:p>
            <w:pPr>
              <w:pStyle w:val="Compact"/>
              <w:jc w:val="left"/>
            </w:pPr>
            <w:r>
              <w:t xml:space="preserve">~12%</w:t>
            </w:r>
          </w:p>
        </w:tc>
        <w:tc>
          <w:tcPr/>
          <w:p>
            <w:pPr>
              <w:pStyle w:val="Compact"/>
              <w:jc w:val="left"/>
            </w:pPr>
            <w:r>
              <w:t xml:space="preserve">Receita insuficiente para cobrir custos</w:t>
            </w:r>
          </w:p>
        </w:tc>
      </w:tr>
      <w:tr>
        <w:tc>
          <w:tcPr/>
          <w:p>
            <w:pPr>
              <w:pStyle w:val="Compact"/>
              <w:jc w:val="left"/>
            </w:pPr>
            <w:r>
              <w:t xml:space="preserve">Problemas pessoais/societários</w:t>
            </w:r>
          </w:p>
        </w:tc>
        <w:tc>
          <w:tcPr/>
          <w:p>
            <w:pPr>
              <w:pStyle w:val="Compact"/>
              <w:jc w:val="left"/>
            </w:pPr>
            <w:r>
              <w:t xml:space="preserve">~10%</w:t>
            </w:r>
          </w:p>
        </w:tc>
        <w:tc>
          <w:tcPr/>
          <w:p>
            <w:pPr>
              <w:pStyle w:val="Compact"/>
              <w:jc w:val="left"/>
            </w:pPr>
            <w:r>
              <w:t xml:space="preserve">Custos de transação internos (governança)</w:t>
            </w:r>
          </w:p>
        </w:tc>
      </w:tr>
    </w:tbl>
    <w:p>
      <w:pPr>
        <w:pStyle w:val="BlockText"/>
      </w:pPr>
      <w:r>
        <w:rPr>
          <w:b/>
          <w:bCs/>
        </w:rPr>
        <w:t xml:space="preserve">O Simples Nacional</w:t>
      </w:r>
      <w:r>
        <w:t xml:space="preserve"> </w:t>
      </w:r>
      <w:r>
        <w:t xml:space="preserve">(LC 123/2006, reformulado pela LC 155/2016) é uma política pública que busca reduzir a carga tributária e a complexidade burocrática para MPEs, unificando tributos em uma guia única com alíquotas progressivas. Em termos microeconômicos, o Simples desloca para baixo as curvas de custo das MPEs, reduzindo o</w:t>
      </w:r>
      <w:r>
        <w:t xml:space="preserve"> </w:t>
      </w:r>
      <w:r>
        <w:rPr>
          <w:b/>
          <w:bCs/>
        </w:rPr>
        <w:t xml:space="preserve">ponto de fechamento</w:t>
      </w:r>
      <w:r>
        <w:t xml:space="preserve"> </w:t>
      </w:r>
      <w:r>
        <w:t xml:space="preserve">(</w:t>
      </w:r>
      <m:oMath>
        <m:sSub>
          <m:e>
            <m:r>
              <m:rPr>
                <m:sty m:val="p"/>
              </m:rPr>
              <m:t>C</m:t>
            </m:r>
            <m:r>
              <m:rPr>
                <m:sty m:val="p"/>
              </m:rPr>
              <m:t>V</m:t>
            </m:r>
            <m:r>
              <m:rPr>
                <m:sty m:val="p"/>
              </m:rPr>
              <m:t>M</m:t>
            </m:r>
            <m:r>
              <m:rPr>
                <m:sty m:val="p"/>
              </m:rPr>
              <m:t>e</m:t>
            </m:r>
          </m:e>
          <m:sub>
            <m:r>
              <m:rPr>
                <m:sty m:val="p"/>
              </m:rPr>
              <m:t>min</m:t>
            </m:r>
          </m:sub>
        </m:sSub>
      </m:oMath>
      <w:r>
        <w:t xml:space="preserve">) e permitindo que firmas menos eficientes sobrevivam.</w:t>
      </w:r>
    </w:p>
    <w:p>
      <w:pPr>
        <w:pStyle w:val="BlockText"/>
      </w:pPr>
      <w:r>
        <w:rPr>
          <w:b/>
          <w:bCs/>
        </w:rPr>
        <w:t xml:space="preserve">Interpretação via teoria da firma.</w:t>
      </w:r>
      <w:r>
        <w:t xml:space="preserve"> </w:t>
      </w:r>
      <w:r>
        <w:t xml:space="preserve">A alta mortalidade das MPEs pode ser entendida como o resultado de firmas que operam com</w:t>
      </w:r>
      <w:r>
        <w:t xml:space="preserve"> </w:t>
      </w:r>
      <m:oMath>
        <m:r>
          <m:t>p</m:t>
        </m:r>
        <m:r>
          <m:rPr>
            <m:sty m:val="p"/>
          </m:rPr>
          <m:t>&lt;</m:t>
        </m:r>
        <m:sSub>
          <m:e>
            <m:r>
              <m:rPr>
                <m:sty m:val="p"/>
              </m:rPr>
              <m:t>C</m:t>
            </m:r>
            <m:r>
              <m:rPr>
                <m:sty m:val="p"/>
              </m:rPr>
              <m:t>M</m:t>
            </m:r>
            <m:r>
              <m:rPr>
                <m:sty m:val="p"/>
              </m:rPr>
              <m:t>e</m:t>
            </m:r>
          </m:e>
          <m:sub>
            <m:r>
              <m:rPr>
                <m:sty m:val="p"/>
              </m:rPr>
              <m:t>min</m:t>
            </m:r>
          </m:sub>
        </m:sSub>
      </m:oMath>
      <w:r>
        <w:t xml:space="preserve"> </w:t>
      </w:r>
      <w:r>
        <w:t xml:space="preserve">no longo prazo. No curto prazo, muitas continuam operando enquanto</w:t>
      </w:r>
      <w:r>
        <w:t xml:space="preserve"> </w:t>
      </w:r>
      <m:oMath>
        <m:r>
          <m:t>p</m:t>
        </m:r>
        <m:r>
          <m:rPr>
            <m:sty m:val="p"/>
          </m:rPr>
          <m:t>&gt;</m:t>
        </m:r>
        <m:sSub>
          <m:e>
            <m:r>
              <m:rPr>
                <m:sty m:val="p"/>
              </m:rPr>
              <m:t>C</m:t>
            </m:r>
            <m:r>
              <m:rPr>
                <m:sty m:val="p"/>
              </m:rPr>
              <m:t>V</m:t>
            </m:r>
            <m:r>
              <m:rPr>
                <m:sty m:val="p"/>
              </m:rPr>
              <m:t>M</m:t>
            </m:r>
            <m:r>
              <m:rPr>
                <m:sty m:val="p"/>
              </m:rPr>
              <m:t>e</m:t>
            </m:r>
          </m:e>
          <m:sub>
            <m:r>
              <m:rPr>
                <m:sty m:val="p"/>
              </m:rPr>
              <m:t>min</m:t>
            </m:r>
          </m:sub>
        </m:sSub>
      </m:oMath>
      <w:r>
        <w:t xml:space="preserve"> </w:t>
      </w:r>
      <w:r>
        <w:t xml:space="preserve">(cobrindo custos variáveis e parte dos fixos), mas quando os custos fixos (aluguéis, financiamentos) vencem, a firma é forçada a fechar. A decisão de Coase — fazer internamente ou comprar no mercado — também é relevante: muitas MPEs fracassam por tentarem internalizar atividades que seriam mais eficientes se terceirizadas, incorrendo em custos organizacionais que superam os custos de transação do mercado.</w:t>
      </w:r>
    </w:p>
    <w:p>
      <w:pPr>
        <w:pStyle w:val="BlockText"/>
      </w:pPr>
      <w:r>
        <w:t xml:space="preserve">Dados mais recentes do</w:t>
      </w:r>
      <w:r>
        <w:t xml:space="preserve"> </w:t>
      </w:r>
      <w:r>
        <w:rPr>
          <w:b/>
          <w:bCs/>
        </w:rPr>
        <w:t xml:space="preserve">Mapa de Empresas</w:t>
      </w:r>
      <w:r>
        <w:t xml:space="preserve"> </w:t>
      </w:r>
      <w:r>
        <w:t xml:space="preserve">(Governo Federal) indicam que o Brasil registrou mais de</w:t>
      </w:r>
      <w:r>
        <w:t xml:space="preserve"> </w:t>
      </w:r>
      <w:r>
        <w:rPr>
          <w:b/>
          <w:bCs/>
        </w:rPr>
        <w:t xml:space="preserve">21 milhões de empresas ativas</w:t>
      </w:r>
      <w:r>
        <w:t xml:space="preserve"> </w:t>
      </w:r>
      <w:r>
        <w:t xml:space="preserve">em 2024, com uma taxa de abertura de novas empresas que supera consistentemente a de fechamento — sugerindo um dinamismo empreendedor robusto, mas com alta rotatividade. O desafio de política pública é transformar sobrevivência em</w:t>
      </w:r>
      <w:r>
        <w:t xml:space="preserve"> </w:t>
      </w:r>
      <w:r>
        <w:rPr>
          <w:b/>
          <w:bCs/>
        </w:rPr>
        <w:t xml:space="preserve">crescimento sustentável</w:t>
      </w:r>
      <w:r>
        <w:t xml:space="preserve"> </w:t>
      </w:r>
      <w:r>
        <w:t xml:space="preserve">— e isso passa, em boa medida, por reduzir o custo Brasil analisado no capítulo anterior.</w:t>
      </w:r>
    </w:p>
    <w:p>
      <w:r>
        <w:pict>
          <v:rect style="width:0;height:1.5pt" o:hralign="center" o:hrstd="t" o:hr="t"/>
        </w:pict>
      </w:r>
    </w:p>
    <w:p>
      <w:pPr>
        <w:pStyle w:val="FirstParagraph"/>
      </w:pPr>
      <w:r>
        <w:t xml:space="preserve">Começamos perguntando como a firma escolhe quanto produzir — uma questão quase ingênua, dissemos. Mas a resposta montou toda a anatomia do lucro: da condição RMg = CMg à decisão de shutdown, do Lema de Hotelling que extrai oferta e demandas de uma única derivada à decomposição que mostra por que não existem</w:t>
      </w:r>
      <w:r>
        <w:t xml:space="preserve"> </w:t>
      </w:r>
      <w:r>
        <w:t xml:space="preserve">“insumos de Giffen”</w:t>
      </w:r>
      <w:r>
        <w:t xml:space="preserve">. A firma nua — despida de poder de mercado, sozinha diante do preço — encontrou seu ótimo. Agora falta o palco.</w:t>
      </w:r>
    </w:p>
    <w:p>
      <w:pPr>
        <w:pStyle w:val="BodyText"/>
      </w:pPr>
      <w:r>
        <w:rPr>
          <w:i/>
          <w:iCs/>
        </w:rPr>
        <w:t xml:space="preserve">A firma individual encontrou seu ótimo. Mas o mercado tem centenas delas — e um imposto pode mudar tudo. No próximo capítulo, equilibramos o mercado inteiro.</w:t>
      </w:r>
    </w:p>
    <w:bookmarkEnd w:id="769"/>
    <w:bookmarkEnd w:id="770"/>
    <w:bookmarkEnd w:id="771"/>
    <w:bookmarkStart w:id="777" w:name="exercícios-e-anpec-capítulo-12"/>
    <w:p>
      <w:pPr>
        <w:pStyle w:val="Heading2"/>
      </w:pPr>
      <w:r>
        <w:t xml:space="preserve">Exercícios e ANPEC — Capítulo 12</w:t>
      </w:r>
    </w:p>
    <w:bookmarkStart w:id="772" w:name="revisão-rápida-13"/>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A condição fundamental de maximização de lucro da firma é:</w:t>
      </w:r>
    </w:p>
    <w:p>
      <w:pPr>
        <w:pStyle w:val="Compact"/>
        <w:numPr>
          <w:ilvl w:val="0"/>
          <w:numId w:val="1739"/>
        </w:numPr>
      </w:pPr>
    </w:p>
    <w:p>
      <w:pPr>
        <w:pStyle w:val="Compact"/>
        <w:numPr>
          <w:ilvl w:val="1"/>
          <w:numId w:val="1740"/>
        </w:numPr>
      </w:pPr>
      <w:r>
        <w:t xml:space="preserve">Receita total igual ao custo total (</w:t>
      </w:r>
      <m:oMath>
        <m:r>
          <m:t>R</m:t>
        </m:r>
        <m:r>
          <m:t>T</m:t>
        </m:r>
        <m:r>
          <m:rPr>
            <m:sty m:val="p"/>
          </m:rPr>
          <m:t>=</m:t>
        </m:r>
        <m:r>
          <m:t>C</m:t>
        </m:r>
        <m:r>
          <m:t>T</m:t>
        </m:r>
      </m:oMath>
      <w:r>
        <w:t xml:space="preserve">)</w:t>
      </w:r>
    </w:p>
    <w:p>
      <w:pPr>
        <w:pStyle w:val="Compact"/>
        <w:numPr>
          <w:ilvl w:val="0"/>
          <w:numId w:val="1739"/>
        </w:numPr>
      </w:pPr>
    </w:p>
    <w:p>
      <w:pPr>
        <w:pStyle w:val="Compact"/>
        <w:numPr>
          <w:ilvl w:val="1"/>
          <w:numId w:val="1741"/>
        </w:numPr>
      </w:pPr>
      <w:r>
        <w:t xml:space="preserve">Receita marginal igual ao custo marginal (</w:t>
      </w:r>
      <m:oMath>
        <m:r>
          <m:rPr>
            <m:nor/>
            <m:sty m:val="p"/>
          </m:rPr>
          <m:t>RMg</m:t>
        </m:r>
        <m:r>
          <m:rPr>
            <m:sty m:val="p"/>
          </m:rPr>
          <m:t>=</m:t>
        </m:r>
        <m:r>
          <m:rPr>
            <m:nor/>
            <m:sty m:val="p"/>
          </m:rPr>
          <m:t>CMg</m:t>
        </m:r>
      </m:oMath>
      <w:r>
        <w:t xml:space="preserve">), com</w:t>
      </w:r>
      <w:r>
        <w:t xml:space="preserve"> </w:t>
      </w:r>
      <m:oMath>
        <m:r>
          <m:rPr>
            <m:nor/>
            <m:sty m:val="p"/>
          </m:rPr>
          <m:t>CMg</m:t>
        </m:r>
      </m:oMath>
      <w:r>
        <w:t xml:space="preserve"> </w:t>
      </w:r>
      <w:r>
        <w:t xml:space="preserve">crescente</w:t>
      </w:r>
    </w:p>
    <w:p>
      <w:pPr>
        <w:pStyle w:val="Compact"/>
        <w:numPr>
          <w:ilvl w:val="0"/>
          <w:numId w:val="1739"/>
        </w:numPr>
      </w:pPr>
    </w:p>
    <w:p>
      <w:pPr>
        <w:pStyle w:val="Compact"/>
        <w:numPr>
          <w:ilvl w:val="1"/>
          <w:numId w:val="1742"/>
        </w:numPr>
      </w:pPr>
      <w:r>
        <w:t xml:space="preserve">Preço igual ao custo médio (</w:t>
      </w:r>
      <m:oMath>
        <m:r>
          <m:t>p</m:t>
        </m:r>
        <m:r>
          <m:rPr>
            <m:sty m:val="p"/>
          </m:rPr>
          <m:t>=</m:t>
        </m:r>
        <m:r>
          <m:rPr>
            <m:nor/>
            <m:sty m:val="p"/>
          </m:rPr>
          <m:t>CMe</m:t>
        </m:r>
      </m:oMath>
      <w:r>
        <w:t xml:space="preserve">)</w:t>
      </w:r>
    </w:p>
    <w:p>
      <w:pPr>
        <w:pStyle w:val="Compact"/>
        <w:numPr>
          <w:ilvl w:val="0"/>
          <w:numId w:val="1739"/>
        </w:numPr>
      </w:pPr>
    </w:p>
    <w:p>
      <w:pPr>
        <w:pStyle w:val="Compact"/>
        <w:numPr>
          <w:ilvl w:val="1"/>
          <w:numId w:val="1743"/>
        </w:numPr>
      </w:pPr>
      <w:r>
        <w:t xml:space="preserve">Produção no ponto de custo médio mínimo</w:t>
      </w:r>
    </w:p>
    <w:p>
      <w:pPr>
        <w:pStyle w:val="BlockText"/>
      </w:pPr>
      <w:r>
        <w:t xml:space="preserve">??? success</w:t>
      </w:r>
      <w:r>
        <w:t xml:space="preserve"> </w:t>
      </w:r>
      <w:r>
        <w:t xml:space="preserve">“Resposta”</w:t>
      </w:r>
      <w:r>
        <w:t xml:space="preserve"> </w:t>
      </w:r>
      <w:r>
        <w:rPr>
          <w:b/>
          <w:bCs/>
        </w:rPr>
        <w:t xml:space="preserve">(b)</w:t>
      </w:r>
      <w:r>
        <w:t xml:space="preserve"> </w:t>
      </w:r>
      <w:r>
        <w:t xml:space="preserve">A firma maximiza lucro onde a receita adicional de uma unidade extra iguala o custo adicional, com a condição de segunda ordem exigindo que o CMg seja crescente nesse ponto (</w:t>
      </w:r>
      <m:oMath>
        <m:sSup>
          <m:e>
            <m:r>
              <m:rPr>
                <m:nor/>
                <m:sty m:val="p"/>
              </m:rPr>
              <m:t>RMg</m:t>
            </m:r>
          </m:e>
          <m:sup>
            <m:r>
              <m:rPr>
                <m:sty m:val="p"/>
              </m:rPr>
              <m:t>′</m:t>
            </m:r>
          </m:sup>
        </m:sSup>
        <m:r>
          <m:rPr>
            <m:sty m:val="p"/>
          </m:rPr>
          <m:t>&lt;</m:t>
        </m:r>
        <m:sSup>
          <m:e>
            <m:r>
              <m:rPr>
                <m:nor/>
                <m:sty m:val="p"/>
              </m:rPr>
              <m:t>CMg</m:t>
            </m:r>
          </m:e>
          <m:sup>
            <m:r>
              <m:rPr>
                <m:sty m:val="p"/>
              </m:rPr>
              <m:t>′</m:t>
            </m:r>
          </m:sup>
        </m:sSup>
      </m:oMath>
      <w:r>
        <w:t xml:space="preserve">). A alternativa (a) descreve lucro zero, não maximização; (c) também descreve lucro zero no longo prazo competitivo; (d) é o ponto de eficiência produtiva, não necessariamente de lucro máximo.</w:t>
      </w:r>
    </w:p>
    <w:p>
      <w:pPr>
        <w:pStyle w:val="BlockText"/>
      </w:pPr>
      <w:r>
        <w:rPr>
          <w:b/>
          <w:bCs/>
        </w:rPr>
        <w:t xml:space="preserve">[QUESTAO] 2. Em concorrência perfeita, a curva de oferta de curto prazo da firma individual é:</w:t>
      </w:r>
    </w:p>
    <w:p>
      <w:pPr>
        <w:pStyle w:val="Compact"/>
        <w:numPr>
          <w:ilvl w:val="0"/>
          <w:numId w:val="1744"/>
        </w:numPr>
      </w:pPr>
    </w:p>
    <w:p>
      <w:pPr>
        <w:pStyle w:val="Compact"/>
        <w:numPr>
          <w:ilvl w:val="1"/>
          <w:numId w:val="1745"/>
        </w:numPr>
      </w:pPr>
      <w:r>
        <w:t xml:space="preserve">Toda a curva de custo marginal</w:t>
      </w:r>
    </w:p>
    <w:p>
      <w:pPr>
        <w:pStyle w:val="Compact"/>
        <w:numPr>
          <w:ilvl w:val="0"/>
          <w:numId w:val="1744"/>
        </w:numPr>
      </w:pPr>
    </w:p>
    <w:p>
      <w:pPr>
        <w:pStyle w:val="Compact"/>
        <w:numPr>
          <w:ilvl w:val="1"/>
          <w:numId w:val="1746"/>
        </w:numPr>
      </w:pPr>
      <w:r>
        <w:t xml:space="preserve">A parte da curva de custo marginal acima do custo variável médio mínimo</w:t>
      </w:r>
    </w:p>
    <w:p>
      <w:pPr>
        <w:pStyle w:val="Compact"/>
        <w:numPr>
          <w:ilvl w:val="0"/>
          <w:numId w:val="1744"/>
        </w:numPr>
      </w:pPr>
    </w:p>
    <w:p>
      <w:pPr>
        <w:pStyle w:val="Compact"/>
        <w:numPr>
          <w:ilvl w:val="1"/>
          <w:numId w:val="1747"/>
        </w:numPr>
      </w:pPr>
      <w:r>
        <w:t xml:space="preserve">A curva de custo médio total</w:t>
      </w:r>
    </w:p>
    <w:p>
      <w:pPr>
        <w:pStyle w:val="Compact"/>
        <w:numPr>
          <w:ilvl w:val="0"/>
          <w:numId w:val="1744"/>
        </w:numPr>
      </w:pPr>
    </w:p>
    <w:p>
      <w:pPr>
        <w:pStyle w:val="Compact"/>
        <w:numPr>
          <w:ilvl w:val="1"/>
          <w:numId w:val="1748"/>
        </w:numPr>
      </w:pPr>
      <w:r>
        <w:t xml:space="preserve">Uma reta horizontal ao nível do preço de mercado</w:t>
      </w:r>
    </w:p>
    <w:p>
      <w:pPr>
        <w:pStyle w:val="BlockText"/>
      </w:pPr>
      <w:r>
        <w:t xml:space="preserve">??? success</w:t>
      </w:r>
      <w:r>
        <w:t xml:space="preserve"> </w:t>
      </w:r>
      <w:r>
        <w:t xml:space="preserve">“Resposta”</w:t>
      </w:r>
      <w:r>
        <w:t xml:space="preserve"> </w:t>
      </w:r>
      <w:r>
        <w:rPr>
          <w:b/>
          <w:bCs/>
        </w:rPr>
        <w:t xml:space="preserve">(b)</w:t>
      </w:r>
      <w:r>
        <w:t xml:space="preserve"> </w:t>
      </w:r>
      <w:r>
        <w:t xml:space="preserve">A firma produz onde</w:t>
      </w:r>
      <w:r>
        <w:t xml:space="preserve"> </w:t>
      </w:r>
      <m:oMath>
        <m:r>
          <m:t>p</m:t>
        </m:r>
        <m:r>
          <m:rPr>
            <m:sty m:val="p"/>
          </m:rPr>
          <m:t>=</m:t>
        </m:r>
        <m:r>
          <m:rPr>
            <m:nor/>
            <m:sty m:val="p"/>
          </m:rPr>
          <m:t>CMg</m:t>
        </m:r>
      </m:oMath>
      <w:r>
        <w:t xml:space="preserve">, mas só opera se</w:t>
      </w:r>
      <w:r>
        <w:t xml:space="preserve"> </w:t>
      </w:r>
      <m:oMath>
        <m:r>
          <m:t>p</m:t>
        </m:r>
        <m:r>
          <m:rPr>
            <m:sty m:val="p"/>
          </m:rPr>
          <m:t>≥</m:t>
        </m:r>
        <m:sSub>
          <m:e>
            <m:r>
              <m:rPr>
                <m:nor/>
                <m:sty m:val="p"/>
              </m:rPr>
              <m:t>CVMe</m:t>
            </m:r>
          </m:e>
          <m:sub>
            <m:r>
              <m:rPr>
                <m:sty m:val="p"/>
              </m:rPr>
              <m:t>min</m:t>
            </m:r>
          </m:sub>
        </m:sSub>
      </m:oMath>
      <w:r>
        <w:t xml:space="preserve"> </w:t>
      </w:r>
      <w:r>
        <w:t xml:space="preserve">(ponto de fechamento). Abaixo desse preço, a firma fecha e a oferta é zero. A alternativa (a) inclui a parte irrelevante abaixo do CVMe mínimo; (c) não é a curva de oferta; (d) descreve a curva de demanda que a firma enfrenta, não sua oferta.</w:t>
      </w:r>
    </w:p>
    <w:p>
      <w:pPr>
        <w:pStyle w:val="BlockText"/>
      </w:pPr>
      <w:r>
        <w:rPr>
          <w:b/>
          <w:bCs/>
        </w:rPr>
        <w:t xml:space="preserve">[QUESTAO] 3. No equilíbrio competitivo de longo prazo com livre entrada e saída, o lucro econômico de cada firma é:</w:t>
      </w:r>
    </w:p>
    <w:p>
      <w:pPr>
        <w:pStyle w:val="Compact"/>
        <w:numPr>
          <w:ilvl w:val="0"/>
          <w:numId w:val="1749"/>
        </w:numPr>
      </w:pPr>
    </w:p>
    <w:p>
      <w:pPr>
        <w:pStyle w:val="Compact"/>
        <w:numPr>
          <w:ilvl w:val="1"/>
          <w:numId w:val="1750"/>
        </w:numPr>
      </w:pPr>
      <w:r>
        <w:t xml:space="preserve">Positivo, pois as firmas sobreviventes são eficientes</w:t>
      </w:r>
    </w:p>
    <w:p>
      <w:pPr>
        <w:pStyle w:val="Compact"/>
        <w:numPr>
          <w:ilvl w:val="0"/>
          <w:numId w:val="1749"/>
        </w:numPr>
      </w:pPr>
    </w:p>
    <w:p>
      <w:pPr>
        <w:pStyle w:val="Compact"/>
        <w:numPr>
          <w:ilvl w:val="1"/>
          <w:numId w:val="1751"/>
        </w:numPr>
      </w:pPr>
      <w:r>
        <w:t xml:space="preserve">Zero — o preço iguala o custo médio mínimo de longo prazo</w:t>
      </w:r>
    </w:p>
    <w:p>
      <w:pPr>
        <w:pStyle w:val="Compact"/>
        <w:numPr>
          <w:ilvl w:val="0"/>
          <w:numId w:val="1749"/>
        </w:numPr>
      </w:pPr>
    </w:p>
    <w:p>
      <w:pPr>
        <w:pStyle w:val="Compact"/>
        <w:numPr>
          <w:ilvl w:val="1"/>
          <w:numId w:val="1752"/>
        </w:numPr>
      </w:pPr>
      <w:r>
        <w:t xml:space="preserve">Negativo para firmas marginais</w:t>
      </w:r>
    </w:p>
    <w:p>
      <w:pPr>
        <w:pStyle w:val="Compact"/>
        <w:numPr>
          <w:ilvl w:val="0"/>
          <w:numId w:val="1749"/>
        </w:numPr>
      </w:pPr>
    </w:p>
    <w:p>
      <w:pPr>
        <w:pStyle w:val="Compact"/>
        <w:numPr>
          <w:ilvl w:val="1"/>
          <w:numId w:val="1753"/>
        </w:numPr>
      </w:pPr>
      <w:r>
        <w:t xml:space="preserve">Indeterminado sem informação sobre elasticidades</w:t>
      </w:r>
    </w:p>
    <w:p>
      <w:pPr>
        <w:pStyle w:val="BlockText"/>
      </w:pPr>
      <w:r>
        <w:t xml:space="preserve">??? success</w:t>
      </w:r>
      <w:r>
        <w:t xml:space="preserve"> </w:t>
      </w:r>
      <w:r>
        <w:t xml:space="preserve">“Resposta”</w:t>
      </w:r>
      <w:r>
        <w:t xml:space="preserve"> </w:t>
      </w:r>
      <w:r>
        <w:rPr>
          <w:b/>
          <w:bCs/>
        </w:rPr>
        <w:t xml:space="preserve">(b)</w:t>
      </w:r>
      <w:r>
        <w:t xml:space="preserve"> </w:t>
      </w:r>
      <w:r>
        <w:t xml:space="preserve">Com livre entrada, lucros positivos atraem novas firmas, expandindo a oferta e reduzindo o preço até que</w:t>
      </w:r>
      <w:r>
        <w:t xml:space="preserve"> </w:t>
      </w:r>
      <m:oMath>
        <m:r>
          <m:t>p</m:t>
        </m:r>
        <m:r>
          <m:rPr>
            <m:sty m:val="p"/>
          </m:rPr>
          <m:t>=</m:t>
        </m:r>
        <m:sSubSup>
          <m:e>
            <m:r>
              <m:rPr>
                <m:nor/>
                <m:sty m:val="p"/>
              </m:rPr>
              <m:t>CMe</m:t>
            </m:r>
          </m:e>
          <m:sub>
            <m:r>
              <m:rPr>
                <m:sty m:val="p"/>
              </m:rPr>
              <m:t>min</m:t>
            </m:r>
          </m:sub>
          <m:sup>
            <m:r>
              <m:t>L</m:t>
            </m:r>
            <m:r>
              <m:t>P</m:t>
            </m:r>
          </m:sup>
        </m:sSubSup>
      </m:oMath>
      <w:r>
        <w:t xml:space="preserve">, eliminando os lucros econômicos. Simetricamente, prejuízos levam à saída. Lucro econômico zero não significa lucro contábil zero — inclui remuneração normal do capital. A alternativa (a) confunde lucro contábil com econômico.</w:t>
      </w:r>
    </w:p>
    <w:p>
      <w:pPr>
        <w:pStyle w:val="BlockText"/>
      </w:pPr>
      <w:r>
        <w:rPr>
          <w:b/>
          <w:bCs/>
        </w:rPr>
        <w:t xml:space="preserve">[QUESTAO] 4. Em uma indústria de custos crescentes, a curva de oferta de longo prazo é:</w:t>
      </w:r>
    </w:p>
    <w:p>
      <w:pPr>
        <w:pStyle w:val="Compact"/>
        <w:numPr>
          <w:ilvl w:val="0"/>
          <w:numId w:val="1754"/>
        </w:numPr>
      </w:pPr>
    </w:p>
    <w:p>
      <w:pPr>
        <w:pStyle w:val="Compact"/>
        <w:numPr>
          <w:ilvl w:val="1"/>
          <w:numId w:val="1755"/>
        </w:numPr>
      </w:pPr>
      <w:r>
        <w:t xml:space="preserve">Horizontal — o preço de equilíbrio de longo prazo é constante</w:t>
      </w:r>
    </w:p>
    <w:p>
      <w:pPr>
        <w:pStyle w:val="Compact"/>
        <w:numPr>
          <w:ilvl w:val="0"/>
          <w:numId w:val="1754"/>
        </w:numPr>
      </w:pPr>
    </w:p>
    <w:p>
      <w:pPr>
        <w:pStyle w:val="Compact"/>
        <w:numPr>
          <w:ilvl w:val="1"/>
          <w:numId w:val="1756"/>
        </w:numPr>
      </w:pPr>
      <w:r>
        <w:t xml:space="preserve">Negativamente inclinada</w:t>
      </w:r>
    </w:p>
    <w:p>
      <w:pPr>
        <w:pStyle w:val="Compact"/>
        <w:numPr>
          <w:ilvl w:val="0"/>
          <w:numId w:val="1754"/>
        </w:numPr>
      </w:pPr>
    </w:p>
    <w:p>
      <w:pPr>
        <w:pStyle w:val="Compact"/>
        <w:numPr>
          <w:ilvl w:val="1"/>
          <w:numId w:val="1757"/>
        </w:numPr>
      </w:pPr>
      <w:r>
        <w:t xml:space="preserve">Positivamente inclinada — a expansão da indústria eleva os custos dos insumos e, portanto, o preço de equilíbrio</w:t>
      </w:r>
    </w:p>
    <w:p>
      <w:pPr>
        <w:pStyle w:val="Compact"/>
        <w:numPr>
          <w:ilvl w:val="0"/>
          <w:numId w:val="1754"/>
        </w:numPr>
      </w:pPr>
    </w:p>
    <w:p>
      <w:pPr>
        <w:pStyle w:val="Compact"/>
        <w:numPr>
          <w:ilvl w:val="1"/>
          <w:numId w:val="1758"/>
        </w:numPr>
      </w:pPr>
      <w:r>
        <w:t xml:space="preserve">Vertical — a quantidade ofertada é fixa no longo prazo</w:t>
      </w:r>
    </w:p>
    <w:p>
      <w:pPr>
        <w:pStyle w:val="BlockText"/>
      </w:pPr>
      <w:r>
        <w:t xml:space="preserve">??? success</w:t>
      </w:r>
      <w:r>
        <w:t xml:space="preserve"> </w:t>
      </w:r>
      <w:r>
        <w:t xml:space="preserve">“Resposta”</w:t>
      </w:r>
      <w:r>
        <w:t xml:space="preserve"> </w:t>
      </w:r>
      <w:r>
        <w:rPr>
          <w:b/>
          <w:bCs/>
        </w:rPr>
        <w:t xml:space="preserve">(c)</w:t>
      </w:r>
      <w:r>
        <w:t xml:space="preserve"> </w:t>
      </w:r>
      <w:r>
        <w:t xml:space="preserve">Em indústrias de custos crescentes, a entrada de novas firmas aumenta a demanda por insumos especializados, elevando seus preços e deslocando as curvas de custo das firmas para cima. O preço de equilíbrio de longo prazo sobe com a quantidade. A alternativa (a) descreve indústria de custos constantes; (d) descreve oferta perfeitamente inelástica.</w:t>
      </w:r>
    </w:p>
    <w:p>
      <w:pPr>
        <w:pStyle w:val="BlockText"/>
      </w:pPr>
      <w:r>
        <w:rPr>
          <w:b/>
          <w:bCs/>
        </w:rPr>
        <w:t xml:space="preserve">[QUESTAO] 5. A decisão de fechar (shut down) no curto prazo é diferente da decisão de sair (exit) no longo prazo porque:</w:t>
      </w:r>
    </w:p>
    <w:p>
      <w:pPr>
        <w:pStyle w:val="Compact"/>
        <w:numPr>
          <w:ilvl w:val="0"/>
          <w:numId w:val="1759"/>
        </w:numPr>
      </w:pPr>
    </w:p>
    <w:p>
      <w:pPr>
        <w:pStyle w:val="Compact"/>
        <w:numPr>
          <w:ilvl w:val="1"/>
          <w:numId w:val="1760"/>
        </w:numPr>
      </w:pPr>
      <w:r>
        <w:t xml:space="preserve">Ao fechar, a firma elimina seus custos fixos; ao sair, não</w:t>
      </w:r>
    </w:p>
    <w:p>
      <w:pPr>
        <w:pStyle w:val="Compact"/>
        <w:numPr>
          <w:ilvl w:val="0"/>
          <w:numId w:val="1759"/>
        </w:numPr>
      </w:pPr>
    </w:p>
    <w:p>
      <w:pPr>
        <w:pStyle w:val="Compact"/>
        <w:numPr>
          <w:ilvl w:val="1"/>
          <w:numId w:val="1761"/>
        </w:numPr>
      </w:pPr>
      <w:r>
        <w:t xml:space="preserve">Ao fechar, a firma ainda incorre em custos fixos mas evita custos variáveis; ao sair, elimina todos os custos</w:t>
      </w:r>
    </w:p>
    <w:p>
      <w:pPr>
        <w:pStyle w:val="Compact"/>
        <w:numPr>
          <w:ilvl w:val="0"/>
          <w:numId w:val="1759"/>
        </w:numPr>
      </w:pPr>
    </w:p>
    <w:p>
      <w:pPr>
        <w:pStyle w:val="Compact"/>
        <w:numPr>
          <w:ilvl w:val="1"/>
          <w:numId w:val="1762"/>
        </w:numPr>
      </w:pPr>
      <w:r>
        <w:t xml:space="preserve">Fechar e sair são decisões idênticas com nomes diferentes</w:t>
      </w:r>
    </w:p>
    <w:p>
      <w:pPr>
        <w:pStyle w:val="Compact"/>
        <w:numPr>
          <w:ilvl w:val="0"/>
          <w:numId w:val="1759"/>
        </w:numPr>
      </w:pPr>
    </w:p>
    <w:p>
      <w:pPr>
        <w:pStyle w:val="Compact"/>
        <w:numPr>
          <w:ilvl w:val="1"/>
          <w:numId w:val="1763"/>
        </w:numPr>
      </w:pPr>
      <w:r>
        <w:t xml:space="preserve">A firma sempre prefere fechar a sair</w:t>
      </w:r>
    </w:p>
    <w:p>
      <w:pPr>
        <w:pStyle w:val="BlockText"/>
      </w:pPr>
      <w:r>
        <w:t xml:space="preserve">??? success</w:t>
      </w:r>
      <w:r>
        <w:t xml:space="preserve"> </w:t>
      </w:r>
      <w:r>
        <w:t xml:space="preserve">“Resposta”</w:t>
      </w:r>
      <w:r>
        <w:t xml:space="preserve"> </w:t>
      </w:r>
      <w:r>
        <w:rPr>
          <w:b/>
          <w:bCs/>
        </w:rPr>
        <w:t xml:space="preserve">(b)</w:t>
      </w:r>
      <w:r>
        <w:t xml:space="preserve"> </w:t>
      </w:r>
      <w:r>
        <w:t xml:space="preserve">No curto prazo, custos fixos são irrecuperáveis (sunk) — a firma os paga independentemente de operar ou não. A decisão de fechar compara receita com custos variáveis: fecha se</w:t>
      </w:r>
      <w:r>
        <w:t xml:space="preserve"> </w:t>
      </w:r>
      <m:oMath>
        <m:r>
          <m:t>p</m:t>
        </m:r>
        <m:r>
          <m:rPr>
            <m:sty m:val="p"/>
          </m:rPr>
          <m:t>&lt;</m:t>
        </m:r>
        <m:sSub>
          <m:e>
            <m:r>
              <m:rPr>
                <m:nor/>
                <m:sty m:val="p"/>
              </m:rPr>
              <m:t>CVMe</m:t>
            </m:r>
          </m:e>
          <m:sub>
            <m:r>
              <m:rPr>
                <m:sty m:val="p"/>
              </m:rPr>
              <m:t>min</m:t>
            </m:r>
          </m:sub>
        </m:sSub>
      </m:oMath>
      <w:r>
        <w:t xml:space="preserve">. No longo prazo, todos os custos são evitáveis: a firma sai se</w:t>
      </w:r>
      <w:r>
        <w:t xml:space="preserve"> </w:t>
      </w:r>
      <m:oMath>
        <m:r>
          <m:t>p</m:t>
        </m:r>
        <m:r>
          <m:rPr>
            <m:sty m:val="p"/>
          </m:rPr>
          <m:t>&lt;</m:t>
        </m:r>
        <m:sSubSup>
          <m:e>
            <m:r>
              <m:rPr>
                <m:nor/>
                <m:sty m:val="p"/>
              </m:rPr>
              <m:t>CMe</m:t>
            </m:r>
          </m:e>
          <m:sub>
            <m:r>
              <m:rPr>
                <m:sty m:val="p"/>
              </m:rPr>
              <m:t>min</m:t>
            </m:r>
          </m:sub>
          <m:sup>
            <m:r>
              <m:t>L</m:t>
            </m:r>
            <m:r>
              <m:t>P</m:t>
            </m:r>
          </m:sup>
        </m:sSubSup>
      </m:oMath>
      <w:r>
        <w:t xml:space="preserve">. A alternativa (a) inverte — custos fixos são inescapáveis no curto prazo.</w:t>
      </w:r>
    </w:p>
    <w:bookmarkEnd w:id="772"/>
    <w:bookmarkStart w:id="773" w:name="resumo-do-capítulo-13"/>
    <w:p>
      <w:pPr>
        <w:pStyle w:val="Heading3"/>
      </w:pPr>
      <w:r>
        <w:t xml:space="preserve">📋 Resumo do Capítulo</w:t>
      </w:r>
    </w:p>
    <w:p>
      <w:pPr>
        <w:pStyle w:val="Compact"/>
        <w:numPr>
          <w:ilvl w:val="0"/>
          <w:numId w:val="1764"/>
        </w:numPr>
      </w:pPr>
      <w:r>
        <w:t xml:space="preserve">A</w:t>
      </w:r>
      <w:r>
        <w:t xml:space="preserve"> </w:t>
      </w:r>
      <w:r>
        <w:rPr>
          <w:b/>
          <w:bCs/>
        </w:rPr>
        <w:t xml:space="preserve">firma</w:t>
      </w:r>
      <w:r>
        <w:t xml:space="preserve"> </w:t>
      </w:r>
      <w:r>
        <w:t xml:space="preserve">existe, segundo Coase, porque os custos de transação do mercado podem ser superiores aos custos de coordenação interna. A teoria microeconômica assume que a firma maximiza lucro (</w:t>
      </w:r>
      <m:oMath>
        <m:r>
          <m:t>π</m:t>
        </m:r>
        <m:r>
          <m:rPr>
            <m:sty m:val="p"/>
          </m:rPr>
          <m:t>=</m:t>
        </m:r>
        <m:r>
          <m:t>R</m:t>
        </m:r>
        <m:r>
          <m:t>T</m:t>
        </m:r>
        <m:r>
          <m:rPr>
            <m:sty m:val="p"/>
          </m:rPr>
          <m:t>−</m:t>
        </m:r>
        <m:r>
          <m:t>C</m:t>
        </m:r>
        <m:r>
          <m:t>T</m:t>
        </m:r>
      </m:oMath>
      <w:r>
        <w:t xml:space="preserve">), embora existam modelos alternativos (maximização de receita, satisficing, teoria gerencial).</w:t>
      </w:r>
    </w:p>
    <w:p>
      <w:pPr>
        <w:pStyle w:val="Compact"/>
        <w:numPr>
          <w:ilvl w:val="0"/>
          <w:numId w:val="1764"/>
        </w:numPr>
      </w:pPr>
      <w:r>
        <w:t xml:space="preserve">A condição fundamental de</w:t>
      </w:r>
      <w:r>
        <w:t xml:space="preserve"> </w:t>
      </w:r>
      <w:r>
        <w:rPr>
          <w:b/>
          <w:bCs/>
        </w:rPr>
        <w:t xml:space="preserve">maximização de lucro</w:t>
      </w:r>
      <w:r>
        <w:t xml:space="preserve"> </w:t>
      </w:r>
      <w:r>
        <w:t xml:space="preserve">exige que a receita marginal iguale o custo marginal (</w:t>
      </w:r>
      <m:oMath>
        <m:r>
          <m:rPr>
            <m:sty m:val="p"/>
          </m:rPr>
          <m:t>R</m:t>
        </m:r>
        <m:r>
          <m:rPr>
            <m:sty m:val="p"/>
          </m:rPr>
          <m:t>M</m:t>
        </m:r>
        <m:r>
          <m:rPr>
            <m:sty m:val="p"/>
          </m:rPr>
          <m:t>g</m:t>
        </m:r>
        <m:r>
          <m:rPr>
            <m:sty m:val="p"/>
          </m:rPr>
          <m:t>=</m:t>
        </m:r>
        <m:r>
          <m:rPr>
            <m:sty m:val="p"/>
          </m:rPr>
          <m:t>C</m:t>
        </m:r>
        <m:r>
          <m:rPr>
            <m:sty m:val="p"/>
          </m:rPr>
          <m:t>M</m:t>
        </m:r>
        <m:r>
          <m:rPr>
            <m:sty m:val="p"/>
          </m:rPr>
          <m:t>g</m:t>
        </m:r>
      </m:oMath>
      <w:r>
        <w:t xml:space="preserve">), com a condição de segunda ordem</w:t>
      </w:r>
      <w:r>
        <w:t xml:space="preserve"> </w:t>
      </w:r>
      <m:oMath>
        <m:sSup>
          <m:e>
            <m:r>
              <m:rPr>
                <m:sty m:val="p"/>
              </m:rPr>
              <m:t>R</m:t>
            </m:r>
            <m:r>
              <m:rPr>
                <m:sty m:val="p"/>
              </m:rPr>
              <m:t>M</m:t>
            </m:r>
            <m:r>
              <m:rPr>
                <m:sty m:val="p"/>
              </m:rPr>
              <m:t>g</m:t>
            </m:r>
          </m:e>
          <m:sup>
            <m:r>
              <m:rPr>
                <m:sty m:val="p"/>
              </m:rPr>
              <m:t>′</m:t>
            </m:r>
          </m:sup>
        </m:sSup>
        <m:r>
          <m:rPr>
            <m:sty m:val="p"/>
          </m:rPr>
          <m:t>&lt;</m:t>
        </m:r>
        <m:sSup>
          <m:e>
            <m:r>
              <m:rPr>
                <m:sty m:val="p"/>
              </m:rPr>
              <m:t>C</m:t>
            </m:r>
            <m:r>
              <m:rPr>
                <m:sty m:val="p"/>
              </m:rPr>
              <m:t>M</m:t>
            </m:r>
            <m:r>
              <m:rPr>
                <m:sty m:val="p"/>
              </m:rPr>
              <m:t>g</m:t>
            </m:r>
          </m:e>
          <m:sup>
            <m:r>
              <m:rPr>
                <m:sty m:val="p"/>
              </m:rPr>
              <m:t>′</m:t>
            </m:r>
          </m:sup>
        </m:sSup>
      </m:oMath>
      <w:r>
        <w:t xml:space="preserve">. A relação entre receita marginal e elasticidade-preço da demanda é dada por</w:t>
      </w:r>
      <w:r>
        <w:t xml:space="preserve"> </w:t>
      </w:r>
      <m:oMath>
        <m:r>
          <m:rPr>
            <m:sty m:val="p"/>
          </m:rPr>
          <m:t>R</m:t>
        </m:r>
        <m:r>
          <m:rPr>
            <m:sty m:val="p"/>
          </m:rPr>
          <m:t>M</m:t>
        </m:r>
        <m:r>
          <m:rPr>
            <m:sty m:val="p"/>
          </m:rPr>
          <m:t>g</m:t>
        </m:r>
        <m:r>
          <m:rPr>
            <m:sty m:val="p"/>
          </m:rPr>
          <m:t>=</m:t>
        </m:r>
        <m:r>
          <m:t>p</m:t>
        </m:r>
        <m:r>
          <m:rPr>
            <m:sty m:val="p"/>
          </m:rPr>
          <m:t>(</m:t>
        </m:r>
        <m:r>
          <m:t>1</m:t>
        </m:r>
        <m:r>
          <m:rPr>
            <m:sty m:val="p"/>
          </m:rPr>
          <m:t>+</m:t>
        </m:r>
        <m:r>
          <m:t>1</m:t>
        </m:r>
        <m:r>
          <m:rPr>
            <m:sty m:val="p"/>
          </m:rPr>
          <m:t>/</m:t>
        </m:r>
        <m:sSub>
          <m:e>
            <m:r>
              <m:t>ε</m:t>
            </m:r>
          </m:e>
          <m:sub>
            <m:r>
              <m:t>d</m:t>
            </m:r>
          </m:sub>
        </m:sSub>
        <m:r>
          <m:rPr>
            <m:sty m:val="p"/>
          </m:rPr>
          <m:t>)</m:t>
        </m:r>
      </m:oMath>
      <w:r>
        <w:t xml:space="preserve">.</w:t>
      </w:r>
    </w:p>
    <w:p>
      <w:pPr>
        <w:pStyle w:val="Compact"/>
        <w:numPr>
          <w:ilvl w:val="0"/>
          <w:numId w:val="1764"/>
        </w:numPr>
      </w:pPr>
      <w:r>
        <w:t xml:space="preserve">No</w:t>
      </w:r>
      <w:r>
        <w:t xml:space="preserve"> </w:t>
      </w:r>
      <w:r>
        <w:rPr>
          <w:b/>
          <w:bCs/>
        </w:rPr>
        <w:t xml:space="preserve">curto prazo</w:t>
      </w:r>
      <w:r>
        <w:t xml:space="preserve">, a firma decide operar se o preço cobre ao menos o custo variável médio mínimo (</w:t>
      </w:r>
      <m:oMath>
        <m:r>
          <m:t>p</m:t>
        </m:r>
        <m:r>
          <m:rPr>
            <m:sty m:val="p"/>
          </m:rPr>
          <m:t>≥</m:t>
        </m:r>
        <m:sSub>
          <m:e>
            <m:r>
              <m:rPr>
                <m:sty m:val="p"/>
              </m:rPr>
              <m:t>C</m:t>
            </m:r>
            <m:r>
              <m:rPr>
                <m:sty m:val="p"/>
              </m:rPr>
              <m:t>V</m:t>
            </m:r>
            <m:r>
              <m:rPr>
                <m:sty m:val="p"/>
              </m:rPr>
              <m:t>M</m:t>
            </m:r>
            <m:r>
              <m:rPr>
                <m:sty m:val="p"/>
              </m:rPr>
              <m:t>e</m:t>
            </m:r>
          </m:e>
          <m:sub>
            <m:r>
              <m:rPr>
                <m:sty m:val="p"/>
              </m:rPr>
              <m:t>min</m:t>
            </m:r>
          </m:sub>
        </m:sSub>
      </m:oMath>
      <w:r>
        <w:t xml:space="preserve">); caso contrário, minimiza perdas fechando. No longo prazo, o preço deve cobrir o custo total médio.</w:t>
      </w:r>
    </w:p>
    <w:p>
      <w:pPr>
        <w:pStyle w:val="Compact"/>
        <w:numPr>
          <w:ilvl w:val="0"/>
          <w:numId w:val="1764"/>
        </w:numPr>
      </w:pPr>
      <w:r>
        <w:t xml:space="preserve">A</w:t>
      </w:r>
      <w:r>
        <w:t xml:space="preserve"> </w:t>
      </w:r>
      <w:r>
        <w:rPr>
          <w:b/>
          <w:bCs/>
        </w:rPr>
        <w:t xml:space="preserve">função lucro</w:t>
      </w:r>
      <w:r>
        <w:t xml:space="preserve"> </w:t>
      </w:r>
      <m:oMath>
        <m:sSup>
          <m:e>
            <m:r>
              <m:t>π</m:t>
            </m:r>
          </m:e>
          <m:sup>
            <m:r>
              <m:rPr>
                <m:sty m:val="p"/>
              </m:rPr>
              <m:t>*</m:t>
            </m:r>
          </m:sup>
        </m:sSup>
        <m:r>
          <m:rPr>
            <m:sty m:val="p"/>
          </m:rPr>
          <m:t>(</m:t>
        </m:r>
        <m:r>
          <m:t>p</m:t>
        </m:r>
        <m:r>
          <m:rPr>
            <m:sty m:val="p"/>
          </m:rPr>
          <m:t>,</m:t>
        </m:r>
        <m:r>
          <m:t>w</m:t>
        </m:r>
        <m:r>
          <m:rPr>
            <m:sty m:val="p"/>
          </m:rPr>
          <m:t>,</m:t>
        </m:r>
        <m:r>
          <m:t>v</m:t>
        </m:r>
        <m:r>
          <m:rPr>
            <m:sty m:val="p"/>
          </m:rPr>
          <m:t>)</m:t>
        </m:r>
      </m:oMath>
      <w:r>
        <w:t xml:space="preserve"> </w:t>
      </w:r>
      <w:r>
        <w:t xml:space="preserve">possui propriedades de convexidade em preços, e o</w:t>
      </w:r>
      <w:r>
        <w:t xml:space="preserve"> </w:t>
      </w:r>
      <w:r>
        <w:rPr>
          <w:b/>
          <w:bCs/>
        </w:rPr>
        <w:t xml:space="preserve">Lema de Hotelling</w:t>
      </w:r>
      <w:r>
        <w:t xml:space="preserve"> </w:t>
      </w:r>
      <w:r>
        <w:t xml:space="preserve">permite derivar as funções de oferta e de demanda por insumos diretamente a partir das derivadas da função lucro.</w:t>
      </w:r>
    </w:p>
    <w:p>
      <w:pPr>
        <w:pStyle w:val="Compact"/>
        <w:numPr>
          <w:ilvl w:val="0"/>
          <w:numId w:val="1764"/>
        </w:numPr>
      </w:pPr>
      <w:r>
        <w:t xml:space="preserve">O</w:t>
      </w:r>
      <w:r>
        <w:t xml:space="preserve"> </w:t>
      </w:r>
      <w:r>
        <w:rPr>
          <w:b/>
          <w:bCs/>
        </w:rPr>
        <w:t xml:space="preserve">índice de Lerner</w:t>
      </w:r>
      <w:r>
        <w:t xml:space="preserve"> </w:t>
      </w:r>
      <m:oMath>
        <m:r>
          <m:t>L</m:t>
        </m:r>
        <m:r>
          <m:rPr>
            <m:sty m:val="p"/>
          </m:rPr>
          <m:t>=</m:t>
        </m:r>
        <m:r>
          <m:rPr>
            <m:sty m:val="p"/>
          </m:rPr>
          <m:t>(</m:t>
        </m:r>
        <m:r>
          <m:t>p</m:t>
        </m:r>
        <m:r>
          <m:rPr>
            <m:sty m:val="p"/>
          </m:rPr>
          <m:t>−</m:t>
        </m:r>
        <m:r>
          <m:rPr>
            <m:sty m:val="p"/>
          </m:rPr>
          <m:t>C</m:t>
        </m:r>
        <m:r>
          <m:rPr>
            <m:sty m:val="p"/>
          </m:rPr>
          <m:t>M</m:t>
        </m:r>
        <m:r>
          <m:rPr>
            <m:sty m:val="p"/>
          </m:rPr>
          <m:t>g</m:t>
        </m:r>
        <m:r>
          <m:rPr>
            <m:sty m:val="p"/>
          </m:rPr>
          <m:t>)</m:t>
        </m:r>
        <m:r>
          <m:rPr>
            <m:sty m:val="p"/>
          </m:rPr>
          <m:t>/</m:t>
        </m:r>
        <m:r>
          <m:t>p</m:t>
        </m:r>
        <m:r>
          <m:rPr>
            <m:sty m:val="p"/>
          </m:rPr>
          <m:t>=</m:t>
        </m:r>
        <m:r>
          <m:rPr>
            <m:sty m:val="p"/>
          </m:rPr>
          <m:t>−</m:t>
        </m:r>
        <m:r>
          <m:t>1</m:t>
        </m:r>
        <m:r>
          <m:rPr>
            <m:sty m:val="p"/>
          </m:rPr>
          <m:t>/</m:t>
        </m:r>
        <m:sSub>
          <m:e>
            <m:r>
              <m:t>ε</m:t>
            </m:r>
          </m:e>
          <m:sub>
            <m:r>
              <m:t>d</m:t>
            </m:r>
          </m:sub>
        </m:sSub>
      </m:oMath>
      <w:r>
        <w:t xml:space="preserve"> </w:t>
      </w:r>
      <w:r>
        <w:t xml:space="preserve">mede o poder de mercado da firma: em concorrência perfeita ele é zero, e cresce à medida que a firma tem mais poder de fixação de preço.</w:t>
      </w:r>
    </w:p>
    <w:p>
      <w:pPr>
        <w:pStyle w:val="Compact"/>
        <w:numPr>
          <w:ilvl w:val="0"/>
          <w:numId w:val="1764"/>
        </w:numPr>
      </w:pPr>
      <w:r>
        <w:t xml:space="preserve">No Brasil, a alta taxa de mortalidade das</w:t>
      </w:r>
      <w:r>
        <w:t xml:space="preserve"> </w:t>
      </w:r>
      <w:r>
        <w:rPr>
          <w:b/>
          <w:bCs/>
        </w:rPr>
        <w:t xml:space="preserve">micro e pequenas empresas</w:t>
      </w:r>
      <w:r>
        <w:t xml:space="preserve"> </w:t>
      </w:r>
      <w:r>
        <w:t xml:space="preserve">(MPEs) ilustra a teoria: muitas firmas operam com preço abaixo do custo médio no longo prazo, sendo forçadas a encerrar atividades quando os custos fixos vencem.</w:t>
      </w:r>
    </w:p>
    <w:bookmarkEnd w:id="773"/>
    <w:bookmarkStart w:id="774" w:name="conceitos-chave-13"/>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Custos de transação (Coase)</w:t>
            </w:r>
          </w:p>
        </w:tc>
        <w:tc>
          <w:tcPr/>
          <w:p>
            <w:pPr>
              <w:pStyle w:val="Compact"/>
            </w:pPr>
            <w:r>
              <w:t xml:space="preserve">Custos de busca, negociação e execução de contratos no mercado; sua existência justifica a organização da produção dentro de firmas.</w:t>
            </w:r>
          </w:p>
        </w:tc>
      </w:tr>
      <w:tr>
        <w:tc>
          <w:tcPr/>
          <w:p>
            <w:pPr>
              <w:pStyle w:val="Compact"/>
            </w:pPr>
            <w:r>
              <w:t xml:space="preserve">Maximização de lucro</w:t>
            </w:r>
          </w:p>
        </w:tc>
        <w:tc>
          <w:tcPr/>
          <w:p>
            <w:pPr>
              <w:pStyle w:val="Compact"/>
            </w:pPr>
            <w:r>
              <w:t xml:space="preserve">Objetivo da firma: escolher</w:t>
            </w:r>
            <w:r>
              <w:t xml:space="preserve"> </w:t>
            </w:r>
            <m:oMath>
              <m:r>
                <m:t>q</m:t>
              </m:r>
            </m:oMath>
            <w:r>
              <w:t xml:space="preserve"> </w:t>
            </w:r>
            <w:r>
              <w:t xml:space="preserve">tal que</w:t>
            </w:r>
            <w:r>
              <w:t xml:space="preserve"> </w:t>
            </w:r>
            <m:oMath>
              <m:r>
                <m:t>π</m:t>
              </m:r>
              <m:r>
                <m:rPr>
                  <m:sty m:val="p"/>
                </m:rPr>
                <m:t>=</m:t>
              </m:r>
              <m:r>
                <m:t>R</m:t>
              </m:r>
              <m:r>
                <m:t>T</m:t>
              </m:r>
              <m:r>
                <m:rPr>
                  <m:sty m:val="p"/>
                </m:rPr>
                <m:t>(</m:t>
              </m:r>
              <m:r>
                <m:t>q</m:t>
              </m:r>
              <m:r>
                <m:rPr>
                  <m:sty m:val="p"/>
                </m:rPr>
                <m:t>)</m:t>
              </m:r>
              <m:r>
                <m:rPr>
                  <m:sty m:val="p"/>
                </m:rPr>
                <m:t>−</m:t>
              </m:r>
              <m:r>
                <m:t>C</m:t>
              </m:r>
              <m:r>
                <m:t>T</m:t>
              </m:r>
              <m:r>
                <m:rPr>
                  <m:sty m:val="p"/>
                </m:rPr>
                <m:t>(</m:t>
              </m:r>
              <m:r>
                <m:t>q</m:t>
              </m:r>
              <m:r>
                <m:rPr>
                  <m:sty m:val="p"/>
                </m:rPr>
                <m:t>)</m:t>
              </m:r>
            </m:oMath>
            <w:r>
              <w:t xml:space="preserve"> </w:t>
            </w:r>
            <w:r>
              <w:t xml:space="preserve">seja máximo, implicando</w:t>
            </w:r>
            <w:r>
              <w:t xml:space="preserve"> </w:t>
            </w:r>
            <m:oMath>
              <m:r>
                <m:rPr>
                  <m:sty m:val="p"/>
                </m:rPr>
                <m:t>R</m:t>
              </m:r>
              <m:r>
                <m:rPr>
                  <m:sty m:val="p"/>
                </m:rPr>
                <m:t>M</m:t>
              </m:r>
              <m:r>
                <m:rPr>
                  <m:sty m:val="p"/>
                </m:rPr>
                <m:t>g</m:t>
              </m:r>
              <m:r>
                <m:rPr>
                  <m:sty m:val="p"/>
                </m:rPr>
                <m:t>=</m:t>
              </m:r>
              <m:r>
                <m:rPr>
                  <m:sty m:val="p"/>
                </m:rPr>
                <m:t>C</m:t>
              </m:r>
              <m:r>
                <m:rPr>
                  <m:sty m:val="p"/>
                </m:rPr>
                <m:t>M</m:t>
              </m:r>
              <m:r>
                <m:rPr>
                  <m:sty m:val="p"/>
                </m:rPr>
                <m:t>g</m:t>
              </m:r>
            </m:oMath>
            <w:r>
              <w:t xml:space="preserve">.</w:t>
            </w:r>
          </w:p>
        </w:tc>
      </w:tr>
      <w:tr>
        <w:tc>
          <w:tcPr/>
          <w:p>
            <w:pPr>
              <w:pStyle w:val="Compact"/>
            </w:pPr>
            <w:r>
              <w:t xml:space="preserve">Receita marginal</w:t>
            </w:r>
          </w:p>
        </w:tc>
        <w:tc>
          <w:tcPr/>
          <w:p>
            <w:pPr>
              <w:pStyle w:val="Compact"/>
            </w:pPr>
            <w:r>
              <w:t xml:space="preserve">Acréscimo à receita total pela venda de uma unidade adicional:</w:t>
            </w:r>
            <w:r>
              <w:t xml:space="preserve"> </w:t>
            </w:r>
            <m:oMath>
              <m:r>
                <m:rPr>
                  <m:sty m:val="p"/>
                </m:rPr>
                <m:t>R</m:t>
              </m:r>
              <m:r>
                <m:rPr>
                  <m:sty m:val="p"/>
                </m:rPr>
                <m:t>M</m:t>
              </m:r>
              <m:r>
                <m:rPr>
                  <m:sty m:val="p"/>
                </m:rPr>
                <m:t>g</m:t>
              </m:r>
              <m:r>
                <m:rPr>
                  <m:sty m:val="p"/>
                </m:rPr>
                <m:t>=</m:t>
              </m:r>
              <m:r>
                <m:t>d</m:t>
              </m:r>
              <m:r>
                <m:t>R</m:t>
              </m:r>
              <m:r>
                <m:t>T</m:t>
              </m:r>
              <m:r>
                <m:rPr>
                  <m:sty m:val="p"/>
                </m:rPr>
                <m:t>/</m:t>
              </m:r>
              <m:r>
                <m:t>d</m:t>
              </m:r>
              <m:r>
                <m:t>q</m:t>
              </m:r>
              <m:r>
                <m:rPr>
                  <m:sty m:val="p"/>
                </m:rPr>
                <m:t>=</m:t>
              </m:r>
              <m:r>
                <m:t>p</m:t>
              </m:r>
              <m:r>
                <m:rPr>
                  <m:sty m:val="p"/>
                </m:rPr>
                <m:t>(</m:t>
              </m:r>
              <m:r>
                <m:t>1</m:t>
              </m:r>
              <m:r>
                <m:rPr>
                  <m:sty m:val="p"/>
                </m:rPr>
                <m:t>+</m:t>
              </m:r>
              <m:r>
                <m:t>1</m:t>
              </m:r>
              <m:r>
                <m:rPr>
                  <m:sty m:val="p"/>
                </m:rPr>
                <m:t>/</m:t>
              </m:r>
              <m:sSub>
                <m:e>
                  <m:r>
                    <m:t>ε</m:t>
                  </m:r>
                </m:e>
                <m:sub>
                  <m:r>
                    <m:t>d</m:t>
                  </m:r>
                </m:sub>
              </m:sSub>
              <m:r>
                <m:rPr>
                  <m:sty m:val="p"/>
                </m:rPr>
                <m:t>)</m:t>
              </m:r>
            </m:oMath>
            <w:r>
              <w:t xml:space="preserve">.</w:t>
            </w:r>
          </w:p>
        </w:tc>
      </w:tr>
      <w:tr>
        <w:tc>
          <w:tcPr/>
          <w:p>
            <w:pPr>
              <w:pStyle w:val="Compact"/>
            </w:pPr>
            <w:r>
              <w:t xml:space="preserve">Ponto de fechamento</w:t>
            </w:r>
          </w:p>
        </w:tc>
        <w:tc>
          <w:tcPr/>
          <w:p>
            <w:pPr>
              <w:pStyle w:val="Compact"/>
            </w:pPr>
            <w:r>
              <w:t xml:space="preserve">Nível de preço abaixo do qual a firma prefere produzir zero:</w:t>
            </w:r>
            <w:r>
              <w:t xml:space="preserve"> </w:t>
            </w:r>
            <m:oMath>
              <m:r>
                <m:t>p</m:t>
              </m:r>
              <m:r>
                <m:rPr>
                  <m:sty m:val="p"/>
                </m:rPr>
                <m:t>&lt;</m:t>
              </m:r>
              <m:sSub>
                <m:e>
                  <m:r>
                    <m:rPr>
                      <m:sty m:val="p"/>
                    </m:rPr>
                    <m:t>C</m:t>
                  </m:r>
                  <m:r>
                    <m:rPr>
                      <m:sty m:val="p"/>
                    </m:rPr>
                    <m:t>V</m:t>
                  </m:r>
                  <m:r>
                    <m:rPr>
                      <m:sty m:val="p"/>
                    </m:rPr>
                    <m:t>M</m:t>
                  </m:r>
                  <m:r>
                    <m:rPr>
                      <m:sty m:val="p"/>
                    </m:rPr>
                    <m:t>e</m:t>
                  </m:r>
                </m:e>
                <m:sub>
                  <m:r>
                    <m:rPr>
                      <m:sty m:val="p"/>
                    </m:rPr>
                    <m:t>min</m:t>
                  </m:r>
                </m:sub>
              </m:sSub>
            </m:oMath>
            <w:r>
              <w:t xml:space="preserve"> </w:t>
            </w:r>
            <w:r>
              <w:t xml:space="preserve">no curto prazo.</w:t>
            </w:r>
          </w:p>
        </w:tc>
      </w:tr>
      <w:tr>
        <w:tc>
          <w:tcPr/>
          <w:p>
            <w:pPr>
              <w:pStyle w:val="Compact"/>
            </w:pPr>
            <w:r>
              <w:t xml:space="preserve">Índice de Lerner</w:t>
            </w:r>
          </w:p>
        </w:tc>
        <w:tc>
          <w:tcPr/>
          <w:p>
            <w:pPr>
              <w:pStyle w:val="Compact"/>
            </w:pPr>
            <w:r>
              <w:t xml:space="preserve">Medida de poder de mercado:</w:t>
            </w:r>
            <w:r>
              <w:t xml:space="preserve"> </w:t>
            </w:r>
            <m:oMath>
              <m:r>
                <m:t>L</m:t>
              </m:r>
              <m:r>
                <m:rPr>
                  <m:sty m:val="p"/>
                </m:rPr>
                <m:t>=</m:t>
              </m:r>
              <m:r>
                <m:rPr>
                  <m:sty m:val="p"/>
                </m:rPr>
                <m:t>(</m:t>
              </m:r>
              <m:r>
                <m:t>p</m:t>
              </m:r>
              <m:r>
                <m:rPr>
                  <m:sty m:val="p"/>
                </m:rPr>
                <m:t>−</m:t>
              </m:r>
              <m:r>
                <m:rPr>
                  <m:sty m:val="p"/>
                </m:rPr>
                <m:t>C</m:t>
              </m:r>
              <m:r>
                <m:rPr>
                  <m:sty m:val="p"/>
                </m:rPr>
                <m:t>M</m:t>
              </m:r>
              <m:r>
                <m:rPr>
                  <m:sty m:val="p"/>
                </m:rPr>
                <m:t>g</m:t>
              </m:r>
              <m:r>
                <m:rPr>
                  <m:sty m:val="p"/>
                </m:rPr>
                <m:t>)</m:t>
              </m:r>
              <m:r>
                <m:rPr>
                  <m:sty m:val="p"/>
                </m:rPr>
                <m:t>/</m:t>
              </m:r>
              <m:r>
                <m:t>p</m:t>
              </m:r>
            </m:oMath>
            <w:r>
              <w:t xml:space="preserve">; igual a zero em concorrência perfeita.</w:t>
            </w:r>
          </w:p>
        </w:tc>
      </w:tr>
      <w:tr>
        <w:tc>
          <w:tcPr/>
          <w:p>
            <w:pPr>
              <w:pStyle w:val="Compact"/>
            </w:pPr>
            <w:r>
              <w:t xml:space="preserve">Função lucro</w:t>
            </w:r>
          </w:p>
        </w:tc>
        <w:tc>
          <w:tcPr/>
          <w:p>
            <w:pPr>
              <w:pStyle w:val="Compact"/>
            </w:pPr>
            <m:oMath>
              <m:sSup>
                <m:e>
                  <m:r>
                    <m:t>π</m:t>
                  </m:r>
                </m:e>
                <m:sup>
                  <m:r>
                    <m:rPr>
                      <m:sty m:val="p"/>
                    </m:rPr>
                    <m:t>*</m:t>
                  </m:r>
                </m:sup>
              </m:sSup>
              <m:r>
                <m:rPr>
                  <m:sty m:val="p"/>
                </m:rPr>
                <m:t>(</m:t>
              </m:r>
              <m:r>
                <m:t>p</m:t>
              </m:r>
              <m:r>
                <m:rPr>
                  <m:sty m:val="p"/>
                </m:rPr>
                <m:t>,</m:t>
              </m:r>
              <m:r>
                <m:t>w</m:t>
              </m:r>
              <m:r>
                <m:rPr>
                  <m:sty m:val="p"/>
                </m:rPr>
                <m:t>,</m:t>
              </m:r>
              <m:r>
                <m:t>v</m:t>
              </m:r>
              <m:r>
                <m:rPr>
                  <m:sty m:val="p"/>
                </m:rPr>
                <m:t>)</m:t>
              </m:r>
            </m:oMath>
            <w:r>
              <w:t xml:space="preserve">: lucro máximo como função dos preços de produto e insumos; convexa e homogênea de grau 1 em preços.</w:t>
            </w:r>
          </w:p>
        </w:tc>
      </w:tr>
      <w:tr>
        <w:tc>
          <w:tcPr/>
          <w:p>
            <w:pPr>
              <w:pStyle w:val="Compact"/>
            </w:pPr>
            <w:r>
              <w:t xml:space="preserve">Lema de Hotelling</w:t>
            </w:r>
          </w:p>
        </w:tc>
        <w:tc>
          <w:tcPr/>
          <w:p>
            <w:pPr>
              <w:pStyle w:val="Compact"/>
            </w:pPr>
            <w:r>
              <w:t xml:space="preserve">A oferta do produto é</w:t>
            </w:r>
            <w:r>
              <w:t xml:space="preserve"> </w:t>
            </w:r>
            <m:oMath>
              <m:r>
                <m:rPr>
                  <m:sty m:val="p"/>
                </m:rPr>
                <m:t>∂</m:t>
              </m:r>
              <m:sSup>
                <m:e>
                  <m:r>
                    <m:t>π</m:t>
                  </m:r>
                </m:e>
                <m:sup>
                  <m:r>
                    <m:rPr>
                      <m:sty m:val="p"/>
                    </m:rPr>
                    <m:t>*</m:t>
                  </m:r>
                </m:sup>
              </m:sSup>
              <m:r>
                <m:rPr>
                  <m:sty m:val="p"/>
                </m:rPr>
                <m:t>/</m:t>
              </m:r>
              <m:r>
                <m:rPr>
                  <m:sty m:val="p"/>
                </m:rPr>
                <m:t>∂</m:t>
              </m:r>
              <m:r>
                <m:t>p</m:t>
              </m:r>
              <m:r>
                <m:rPr>
                  <m:sty m:val="p"/>
                </m:rPr>
                <m:t>=</m:t>
              </m:r>
              <m:sSup>
                <m:e>
                  <m:r>
                    <m:t>q</m:t>
                  </m:r>
                </m:e>
                <m:sup>
                  <m:r>
                    <m:rPr>
                      <m:sty m:val="p"/>
                    </m:rPr>
                    <m:t>*</m:t>
                  </m:r>
                </m:sup>
              </m:sSup>
              <m:r>
                <m:rPr>
                  <m:sty m:val="p"/>
                </m:rPr>
                <m:t>(</m:t>
              </m:r>
              <m:r>
                <m:t>p</m:t>
              </m:r>
              <m:r>
                <m:rPr>
                  <m:sty m:val="p"/>
                </m:rPr>
                <m:t>)</m:t>
              </m:r>
            </m:oMath>
            <w:r>
              <w:t xml:space="preserve"> </w:t>
            </w:r>
            <w:r>
              <w:t xml:space="preserve">e as demandas por insumos são</w:t>
            </w:r>
            <w:r>
              <w:t xml:space="preserve"> </w:t>
            </w:r>
            <m:oMath>
              <m:r>
                <m:rPr>
                  <m:sty m:val="p"/>
                </m:rPr>
                <m:t>−</m:t>
              </m:r>
              <m:r>
                <m:rPr>
                  <m:sty m:val="p"/>
                </m:rPr>
                <m:t>∂</m:t>
              </m:r>
              <m:sSup>
                <m:e>
                  <m:r>
                    <m:t>π</m:t>
                  </m:r>
                </m:e>
                <m:sup>
                  <m:r>
                    <m:rPr>
                      <m:sty m:val="p"/>
                    </m:rPr>
                    <m:t>*</m:t>
                  </m:r>
                </m:sup>
              </m:sSup>
              <m:r>
                <m:rPr>
                  <m:sty m:val="p"/>
                </m:rPr>
                <m:t>/</m:t>
              </m:r>
              <m:r>
                <m:rPr>
                  <m:sty m:val="p"/>
                </m:rPr>
                <m:t>∂</m:t>
              </m:r>
              <m:sSub>
                <m:e>
                  <m:r>
                    <m:t>w</m:t>
                  </m:r>
                </m:e>
                <m:sub>
                  <m:r>
                    <m:t>i</m:t>
                  </m:r>
                </m:sub>
              </m:sSub>
              <m:r>
                <m:rPr>
                  <m:sty m:val="p"/>
                </m:rPr>
                <m:t>=</m:t>
              </m:r>
              <m:sSubSup>
                <m:e>
                  <m:r>
                    <m:t>x</m:t>
                  </m:r>
                </m:e>
                <m:sub>
                  <m:r>
                    <m:t>i</m:t>
                  </m:r>
                </m:sub>
                <m:sup>
                  <m:r>
                    <m:rPr>
                      <m:sty m:val="p"/>
                    </m:rPr>
                    <m:t>*</m:t>
                  </m:r>
                </m:sup>
              </m:sSubSup>
              <m:r>
                <m:rPr>
                  <m:sty m:val="p"/>
                </m:rPr>
                <m:t>(</m:t>
              </m:r>
              <m:r>
                <m:t>p</m:t>
              </m:r>
              <m:r>
                <m:rPr>
                  <m:sty m:val="p"/>
                </m:rPr>
                <m:t>,</m:t>
              </m:r>
              <m:r>
                <m:rPr>
                  <m:sty m:val="bi"/>
                </m:rPr>
                <m:t>w</m:t>
              </m:r>
              <m:r>
                <m:rPr>
                  <m:sty m:val="p"/>
                </m:rPr>
                <m:t>)</m:t>
              </m:r>
            </m:oMath>
            <w:r>
              <w:t xml:space="preserve">.</w:t>
            </w:r>
          </w:p>
        </w:tc>
      </w:tr>
      <w:tr>
        <w:tc>
          <w:tcPr/>
          <w:p>
            <w:pPr>
              <w:pStyle w:val="Compact"/>
            </w:pPr>
            <w:r>
              <w:t xml:space="preserve">Lucro econômico vs. lucro contábil</w:t>
            </w:r>
          </w:p>
        </w:tc>
        <w:tc>
          <w:tcPr/>
          <w:p>
            <w:pPr>
              <w:pStyle w:val="Compact"/>
            </w:pPr>
            <w:r>
              <w:t xml:space="preserve">Lucro econômico desconta o custo de oportunidade; lucro contábil registra apenas receitas menos custos explícitos.</w:t>
            </w:r>
          </w:p>
        </w:tc>
      </w:tr>
    </w:tbl>
    <w:p>
      <w:pPr>
        <w:pStyle w:val="BodyText"/>
      </w:pPr>
      <w:r>
        <w:rPr>
          <w:b/>
          <w:bCs/>
        </w:rPr>
        <w:t xml:space="preserve">Tabela 12.2 — Conceitos-chave.</w:t>
      </w:r>
    </w:p>
    <w:bookmarkEnd w:id="774"/>
    <w:bookmarkStart w:id="775" w:name="exercícios-16"/>
    <w:p>
      <w:pPr>
        <w:pStyle w:val="Heading3"/>
      </w:pPr>
      <w:r>
        <w:t xml:space="preserve">Exercícios</w:t>
      </w:r>
    </w:p>
    <w:p>
      <w:pPr>
        <w:pStyle w:val="FirstParagraph"/>
      </w:pPr>
      <w:r>
        <w:rPr>
          <w:b/>
          <w:bCs/>
        </w:rPr>
        <w:t xml:space="preserve">Exercício 12.1.</w:t>
      </w:r>
      <w:r>
        <w:t xml:space="preserve"> </w:t>
      </w:r>
      <w:r>
        <w:t xml:space="preserve">Uma firma tomadora de preços tem a função de custo total de curto prazo</w:t>
      </w:r>
      <w:r>
        <w:t xml:space="preserve"> </w:t>
      </w:r>
      <m:oMath>
        <m:r>
          <m:t>C</m:t>
        </m:r>
        <m:r>
          <m:t>T</m:t>
        </m:r>
        <m:r>
          <m:rPr>
            <m:sty m:val="p"/>
          </m:rPr>
          <m:t>(</m:t>
        </m:r>
        <m:r>
          <m:t>q</m:t>
        </m:r>
        <m:r>
          <m:rPr>
            <m:sty m:val="p"/>
          </m:rPr>
          <m:t>)</m:t>
        </m:r>
        <m:r>
          <m:rPr>
            <m:sty m:val="p"/>
          </m:rPr>
          <m:t>=</m:t>
        </m:r>
        <m:r>
          <m:t>50</m:t>
        </m:r>
        <m:r>
          <m:rPr>
            <m:sty m:val="p"/>
          </m:rPr>
          <m:t>+</m:t>
        </m:r>
        <m:r>
          <m:t>2</m:t>
        </m:r>
        <m:r>
          <m:t>q</m:t>
        </m:r>
        <m:r>
          <m:rPr>
            <m:sty m:val="p"/>
          </m:rPr>
          <m:t>+</m:t>
        </m:r>
        <m:r>
          <m:t>0</m:t>
        </m:r>
        <m:r>
          <m:rPr>
            <m:sty m:val="p"/>
          </m:rPr>
          <m:t>,</m:t>
        </m:r>
        <m:r>
          <m:t>5</m:t>
        </m:r>
        <m:sSup>
          <m:e>
            <m:r>
              <m:t>q</m:t>
            </m:r>
          </m:e>
          <m:sup>
            <m:r>
              <m:t>2</m:t>
            </m:r>
          </m:sup>
        </m:sSup>
      </m:oMath>
      <w:r>
        <w:t xml:space="preserve">.</w:t>
      </w:r>
    </w:p>
    <w:p>
      <w:pPr>
        <w:numPr>
          <w:ilvl w:val="0"/>
          <w:numId w:val="1765"/>
        </w:numPr>
      </w:pPr>
      <w:r>
        <w:t xml:space="preserve">Determine CF, CV(q), CMe(q), CVMe(q) e CMg(q).</w:t>
      </w:r>
    </w:p>
    <w:p>
      <w:pPr>
        <w:numPr>
          <w:ilvl w:val="0"/>
          <w:numId w:val="1765"/>
        </w:numPr>
      </w:pPr>
      <w:r>
        <w:t xml:space="preserve">Encontre o ponto de fechamento (mínimo do CVMe).</w:t>
      </w:r>
    </w:p>
    <w:p>
      <w:pPr>
        <w:numPr>
          <w:ilvl w:val="0"/>
          <w:numId w:val="1765"/>
        </w:numPr>
      </w:pPr>
      <w:r>
        <w:t xml:space="preserve">Encontre o ponto de</w:t>
      </w:r>
      <w:r>
        <w:t xml:space="preserve"> </w:t>
      </w:r>
      <w:r>
        <w:rPr>
          <w:i/>
          <w:iCs/>
        </w:rPr>
        <w:t xml:space="preserve">break-even</w:t>
      </w:r>
      <w:r>
        <w:t xml:space="preserve"> </w:t>
      </w:r>
      <w:r>
        <w:t xml:space="preserve">(mínimo do CMe).</w:t>
      </w:r>
    </w:p>
    <w:p>
      <w:pPr>
        <w:numPr>
          <w:ilvl w:val="0"/>
          <w:numId w:val="1765"/>
        </w:numPr>
      </w:pPr>
      <w:r>
        <w:t xml:space="preserve">Derive a curva de oferta de curto prazo</w:t>
      </w:r>
      <w:r>
        <w:t xml:space="preserve"> </w:t>
      </w:r>
      <m:oMath>
        <m:sSup>
          <m:e>
            <m:r>
              <m:t>q</m:t>
            </m:r>
          </m:e>
          <m:sup>
            <m:r>
              <m:t>s</m:t>
            </m:r>
          </m:sup>
        </m:sSup>
        <m:r>
          <m:rPr>
            <m:sty m:val="p"/>
          </m:rPr>
          <m:t>(</m:t>
        </m:r>
        <m:r>
          <m:t>p</m:t>
        </m:r>
        <m:r>
          <m:rPr>
            <m:sty m:val="p"/>
          </m:rPr>
          <m:t>)</m:t>
        </m:r>
      </m:oMath>
      <w:r>
        <w:t xml:space="preserve">.</w:t>
      </w:r>
    </w:p>
    <w:p>
      <w:pPr>
        <w:numPr>
          <w:ilvl w:val="0"/>
          <w:numId w:val="1765"/>
        </w:numPr>
      </w:pPr>
      <w:r>
        <w:t xml:space="preserve">Se o preço de mercado é</w:t>
      </w:r>
      <w:r>
        <w:t xml:space="preserve"> </w:t>
      </w:r>
      <m:oMath>
        <m:r>
          <m:t>p</m:t>
        </m:r>
        <m:r>
          <m:rPr>
            <m:sty m:val="p"/>
          </m:rPr>
          <m:t>=</m:t>
        </m:r>
        <m:r>
          <m:t>12</m:t>
        </m:r>
      </m:oMath>
      <w:r>
        <w:t xml:space="preserve">, qual a quantidade produzida e o lucro?</w:t>
      </w:r>
    </w:p>
    <w:p>
      <w:pPr>
        <w:pStyle w:val="FirstParagraph"/>
      </w:pPr>
      <w:r>
        <w:t xml:space="preserve">Ver solução (Cap. 12)</w:t>
      </w:r>
    </w:p>
    <w:p>
      <w:r>
        <w:pict>
          <v:rect style="width:0;height:1.5pt" o:hralign="center" o:hrstd="t" o:hr="t"/>
        </w:pict>
      </w:r>
    </w:p>
    <w:p>
      <w:pPr>
        <w:pStyle w:val="FirstParagraph"/>
      </w:pPr>
      <w:r>
        <w:rPr>
          <w:b/>
          <w:bCs/>
        </w:rPr>
        <w:t xml:space="preserve">Exercício 12.2.</w:t>
      </w:r>
      <w:r>
        <w:t xml:space="preserve"> </w:t>
      </w:r>
      <w:r>
        <w:t xml:space="preserve">Demonstre que, para uma firma com poder de mercado enfrentando uma curva de demanda linear</w:t>
      </w:r>
      <w:r>
        <w:t xml:space="preserve"> </w:t>
      </w:r>
      <m:oMath>
        <m:r>
          <m:t>p</m:t>
        </m:r>
        <m:r>
          <m:rPr>
            <m:sty m:val="p"/>
          </m:rPr>
          <m:t>=</m:t>
        </m:r>
        <m:r>
          <m:t>a</m:t>
        </m:r>
        <m:r>
          <m:rPr>
            <m:sty m:val="p"/>
          </m:rPr>
          <m:t>−</m:t>
        </m:r>
        <m:r>
          <m:t>b</m:t>
        </m:r>
        <m:r>
          <m:t>q</m:t>
        </m:r>
      </m:oMath>
      <w:r>
        <w:t xml:space="preserve">:</w:t>
      </w:r>
    </w:p>
    <w:p>
      <w:pPr>
        <w:numPr>
          <w:ilvl w:val="0"/>
          <w:numId w:val="1766"/>
        </w:numPr>
      </w:pPr>
      <w:r>
        <w:t xml:space="preserve">A receita marginal é</w:t>
      </w:r>
      <w:r>
        <w:t xml:space="preserve"> </w:t>
      </w:r>
      <m:oMath>
        <m:r>
          <m:rPr>
            <m:sty m:val="p"/>
          </m:rPr>
          <m:t>R</m:t>
        </m:r>
        <m:r>
          <m:rPr>
            <m:sty m:val="p"/>
          </m:rPr>
          <m:t>M</m:t>
        </m:r>
        <m:r>
          <m:rPr>
            <m:sty m:val="p"/>
          </m:rPr>
          <m:t>g</m:t>
        </m:r>
        <m:r>
          <m:rPr>
            <m:sty m:val="p"/>
          </m:rPr>
          <m:t>=</m:t>
        </m:r>
        <m:r>
          <m:t>a</m:t>
        </m:r>
        <m:r>
          <m:rPr>
            <m:sty m:val="p"/>
          </m:rPr>
          <m:t>−</m:t>
        </m:r>
        <m:r>
          <m:t>2</m:t>
        </m:r>
        <m:r>
          <m:t>b</m:t>
        </m:r>
        <m:r>
          <m:t>q</m:t>
        </m:r>
      </m:oMath>
      <w:r>
        <w:t xml:space="preserve"> </w:t>
      </w:r>
      <w:r>
        <w:t xml:space="preserve">(inclinação é o dobro da da demanda).</w:t>
      </w:r>
    </w:p>
    <w:p>
      <w:pPr>
        <w:numPr>
          <w:ilvl w:val="0"/>
          <w:numId w:val="1766"/>
        </w:numPr>
      </w:pPr>
      <w:r>
        <w:t xml:space="preserve">A receita total é máxima quando</w:t>
      </w:r>
      <w:r>
        <w:t xml:space="preserve"> </w:t>
      </w:r>
      <m:oMath>
        <m:r>
          <m:t>q</m:t>
        </m:r>
        <m:r>
          <m:rPr>
            <m:sty m:val="p"/>
          </m:rPr>
          <m:t>=</m:t>
        </m:r>
        <m:r>
          <m:t>a</m:t>
        </m:r>
        <m:r>
          <m:rPr>
            <m:sty m:val="p"/>
          </m:rPr>
          <m:t>/</m:t>
        </m:r>
        <m:r>
          <m:rPr>
            <m:sty m:val="p"/>
          </m:rPr>
          <m:t>(</m:t>
        </m:r>
        <m:r>
          <m:t>2</m:t>
        </m:r>
        <m:r>
          <m:t>b</m:t>
        </m:r>
        <m:r>
          <m:rPr>
            <m:sty m:val="p"/>
          </m:rPr>
          <m:t>)</m:t>
        </m:r>
      </m:oMath>
      <w:r>
        <w:t xml:space="preserve">.</w:t>
      </w:r>
    </w:p>
    <w:p>
      <w:pPr>
        <w:numPr>
          <w:ilvl w:val="0"/>
          <w:numId w:val="1766"/>
        </w:numPr>
      </w:pPr>
      <w:r>
        <w:t xml:space="preserve">Verifique que no ponto de receita máxima</w:t>
      </w:r>
      <w:r>
        <w:t xml:space="preserve"> </w:t>
      </w:r>
      <m:oMath>
        <m:r>
          <m:rPr>
            <m:sty m:val="p"/>
          </m:rPr>
          <m:t>|</m:t>
        </m:r>
        <m:sSub>
          <m:e>
            <m:r>
              <m:t>ε</m:t>
            </m:r>
          </m:e>
          <m:sub>
            <m:r>
              <m:t>d</m:t>
            </m:r>
          </m:sub>
        </m:sSub>
        <m:r>
          <m:rPr>
            <m:sty m:val="p"/>
          </m:rPr>
          <m:t>|</m:t>
        </m:r>
        <m:r>
          <m:rPr>
            <m:sty m:val="p"/>
          </m:rPr>
          <m:t>=</m:t>
        </m:r>
        <m:r>
          <m:t>1</m:t>
        </m:r>
      </m:oMath>
      <w:r>
        <w:t xml:space="preserve">.</w:t>
      </w:r>
    </w:p>
    <w:p>
      <w:pPr>
        <w:numPr>
          <w:ilvl w:val="0"/>
          <w:numId w:val="1766"/>
        </w:numPr>
      </w:pPr>
      <w:r>
        <w:t xml:space="preserve">Se o custo marginal é</w:t>
      </w:r>
      <w:r>
        <w:t xml:space="preserve"> </w:t>
      </w:r>
      <m:oMath>
        <m:r>
          <m:rPr>
            <m:sty m:val="p"/>
          </m:rPr>
          <m:t>C</m:t>
        </m:r>
        <m:r>
          <m:rPr>
            <m:sty m:val="p"/>
          </m:rPr>
          <m:t>M</m:t>
        </m:r>
        <m:r>
          <m:rPr>
            <m:sty m:val="p"/>
          </m:rPr>
          <m:t>g</m:t>
        </m:r>
        <m:r>
          <m:rPr>
            <m:sty m:val="p"/>
          </m:rPr>
          <m:t>=</m:t>
        </m:r>
        <m:r>
          <m:t>c</m:t>
        </m:r>
      </m:oMath>
      <w:r>
        <w:t xml:space="preserve"> </w:t>
      </w:r>
      <w:r>
        <w:t xml:space="preserve">(constante), derive a quantidade e o preço de maximização de lucro. Mostre que o preço é um</w:t>
      </w:r>
      <w:r>
        <w:t xml:space="preserve"> </w:t>
      </w:r>
      <w:r>
        <w:rPr>
          <w:i/>
          <w:iCs/>
        </w:rPr>
        <w:t xml:space="preserve">markup</w:t>
      </w:r>
      <w:r>
        <w:t xml:space="preserve"> </w:t>
      </w:r>
      <w:r>
        <w:t xml:space="preserve">sobre o custo marginal.</w:t>
      </w:r>
    </w:p>
    <w:p>
      <w:pPr>
        <w:pStyle w:val="FirstParagraph"/>
      </w:pPr>
      <w:r>
        <w:t xml:space="preserve">Ver solução (Cap. 12)</w:t>
      </w:r>
    </w:p>
    <w:p>
      <w:r>
        <w:pict>
          <v:rect style="width:0;height:1.5pt" o:hralign="center" o:hrstd="t" o:hr="t"/>
        </w:pict>
      </w:r>
    </w:p>
    <w:p>
      <w:pPr>
        <w:pStyle w:val="FirstParagraph"/>
      </w:pPr>
      <w:r>
        <w:rPr>
          <w:b/>
          <w:bCs/>
        </w:rPr>
        <w:t xml:space="preserve">Exercício 12.3.</w:t>
      </w:r>
      <w:r>
        <w:t xml:space="preserve"> </w:t>
      </w:r>
      <w:r>
        <w:t xml:space="preserve">Considere uma firma com função de produção</w:t>
      </w:r>
      <w:r>
        <w:t xml:space="preserve"> </w:t>
      </w:r>
      <m:oMath>
        <m:r>
          <m:t>q</m:t>
        </m:r>
        <m:r>
          <m:rPr>
            <m:sty m:val="p"/>
          </m:rPr>
          <m:t>=</m:t>
        </m:r>
        <m:sSup>
          <m:e>
            <m:r>
              <m:t>K</m:t>
            </m:r>
          </m:e>
          <m:sup>
            <m:r>
              <m:t>1</m:t>
            </m:r>
            <m:r>
              <m:rPr>
                <m:sty m:val="p"/>
              </m:rPr>
              <m:t>/</m:t>
            </m:r>
            <m:r>
              <m:t>3</m:t>
            </m:r>
          </m:sup>
        </m:sSup>
        <m:sSup>
          <m:e>
            <m:r>
              <m:t>L</m:t>
            </m:r>
          </m:e>
          <m:sup>
            <m:r>
              <m:t>2</m:t>
            </m:r>
            <m:r>
              <m:rPr>
                <m:sty m:val="p"/>
              </m:rPr>
              <m:t>/</m:t>
            </m:r>
            <m:r>
              <m:t>3</m:t>
            </m:r>
          </m:sup>
        </m:sSup>
      </m:oMath>
      <w:r>
        <w:t xml:space="preserve"> </w:t>
      </w:r>
      <w:r>
        <w:t xml:space="preserve">enfrentando preços</w:t>
      </w:r>
      <w:r>
        <w:t xml:space="preserve"> </w:t>
      </w:r>
      <m:oMath>
        <m:r>
          <m:t>p</m:t>
        </m:r>
        <m:r>
          <m:rPr>
            <m:sty m:val="p"/>
          </m:rPr>
          <m:t>=</m:t>
        </m:r>
        <m:r>
          <m:t>27</m:t>
        </m:r>
      </m:oMath>
      <w:r>
        <w:t xml:space="preserve">,</w:t>
      </w:r>
      <w:r>
        <w:t xml:space="preserve"> </w:t>
      </w:r>
      <m:oMath>
        <m:r>
          <m:t>w</m:t>
        </m:r>
        <m:r>
          <m:rPr>
            <m:sty m:val="p"/>
          </m:rPr>
          <m:t>=</m:t>
        </m:r>
        <m:r>
          <m:t>2</m:t>
        </m:r>
      </m:oMath>
      <w:r>
        <w:t xml:space="preserve"> </w:t>
      </w:r>
      <w:r>
        <w:t xml:space="preserve">e</w:t>
      </w:r>
      <w:r>
        <w:t xml:space="preserve"> </w:t>
      </w:r>
      <m:oMath>
        <m:r>
          <m:t>v</m:t>
        </m:r>
        <m:r>
          <m:rPr>
            <m:sty m:val="p"/>
          </m:rPr>
          <m:t>=</m:t>
        </m:r>
        <m:r>
          <m:t>1</m:t>
        </m:r>
      </m:oMath>
      <w:r>
        <w:t xml:space="preserve">.</w:t>
      </w:r>
    </w:p>
    <w:p>
      <w:pPr>
        <w:numPr>
          <w:ilvl w:val="0"/>
          <w:numId w:val="1767"/>
        </w:numPr>
      </w:pPr>
      <w:r>
        <w:t xml:space="preserve">Derive as condições de primeira ordem para maximização de lucro.</w:t>
      </w:r>
    </w:p>
    <w:p>
      <w:pPr>
        <w:numPr>
          <w:ilvl w:val="0"/>
          <w:numId w:val="1767"/>
        </w:numPr>
      </w:pPr>
      <w:r>
        <w:t xml:space="preserve">Encontre as quantidades ótimas de</w:t>
      </w:r>
      <w:r>
        <w:t xml:space="preserve"> </w:t>
      </w:r>
      <m:oMath>
        <m:sSup>
          <m:e>
            <m:r>
              <m:t>K</m:t>
            </m:r>
          </m:e>
          <m:sup>
            <m:r>
              <m:rPr>
                <m:sty m:val="p"/>
              </m:rPr>
              <m:t>*</m:t>
            </m:r>
          </m:sup>
        </m:sSup>
      </m:oMath>
      <w:r>
        <w:t xml:space="preserve">,</w:t>
      </w:r>
      <w:r>
        <w:t xml:space="preserve"> </w:t>
      </w:r>
      <m:oMath>
        <m:sSup>
          <m:e>
            <m:r>
              <m:t>L</m:t>
            </m:r>
          </m:e>
          <m:sup>
            <m:r>
              <m:rPr>
                <m:sty m:val="p"/>
              </m:rPr>
              <m:t>*</m:t>
            </m:r>
          </m:sup>
        </m:sSup>
      </m:oMath>
      <w:r>
        <w:t xml:space="preserve"> </w:t>
      </w:r>
      <w:r>
        <w:t xml:space="preserve">e</w:t>
      </w:r>
      <w:r>
        <w:t xml:space="preserve"> </w:t>
      </w:r>
      <m:oMath>
        <m:sSup>
          <m:e>
            <m:r>
              <m:t>q</m:t>
            </m:r>
          </m:e>
          <m:sup>
            <m:r>
              <m:rPr>
                <m:sty m:val="p"/>
              </m:rPr>
              <m:t>*</m:t>
            </m:r>
          </m:sup>
        </m:sSup>
      </m:oMath>
      <w:r>
        <w:t xml:space="preserve">.</w:t>
      </w:r>
    </w:p>
    <w:p>
      <w:pPr>
        <w:numPr>
          <w:ilvl w:val="0"/>
          <w:numId w:val="1767"/>
        </w:numPr>
      </w:pPr>
      <w:r>
        <w:t xml:space="preserve">Calcule o lucro máximo.</w:t>
      </w:r>
    </w:p>
    <w:p>
      <w:pPr>
        <w:numPr>
          <w:ilvl w:val="0"/>
          <w:numId w:val="1767"/>
        </w:numPr>
      </w:pPr>
      <w:r>
        <w:t xml:space="preserve">Verifique o Lema de Hotelling calculando a função lucro</w:t>
      </w:r>
      <w:r>
        <w:t xml:space="preserve"> </w:t>
      </w:r>
      <m:oMath>
        <m:r>
          <m:t>π</m:t>
        </m:r>
        <m:r>
          <m:rPr>
            <m:sty m:val="p"/>
          </m:rPr>
          <m:t>(</m:t>
        </m:r>
        <m:r>
          <m:t>p</m:t>
        </m:r>
        <m:r>
          <m:rPr>
            <m:sty m:val="p"/>
          </m:rPr>
          <m:t>,</m:t>
        </m:r>
        <m:r>
          <m:t>w</m:t>
        </m:r>
        <m:r>
          <m:rPr>
            <m:sty m:val="p"/>
          </m:rPr>
          <m:t>,</m:t>
        </m:r>
        <m:r>
          <m:t>v</m:t>
        </m:r>
        <m:r>
          <m:rPr>
            <m:sty m:val="p"/>
          </m:rPr>
          <m:t>)</m:t>
        </m:r>
      </m:oMath>
      <w:r>
        <w:t xml:space="preserve"> </w:t>
      </w:r>
      <w:r>
        <w:t xml:space="preserve">e suas derivadas parciais.</w:t>
      </w:r>
    </w:p>
    <w:p>
      <w:pPr>
        <w:pStyle w:val="BlockText"/>
      </w:pPr>
      <w:r>
        <w:rPr>
          <w:b/>
          <w:bCs/>
        </w:rPr>
        <w:t xml:space="preserve">[ATENCAO] Nota pedagógica</w:t>
      </w:r>
    </w:p>
    <w:p>
      <w:pPr>
        <w:pStyle w:val="BlockText"/>
      </w:pPr>
      <w:r>
        <w:t xml:space="preserve">Este exercício é</w:t>
      </w:r>
      <w:r>
        <w:t xml:space="preserve"> </w:t>
      </w:r>
      <w:r>
        <w:rPr>
          <w:i/>
          <w:iCs/>
        </w:rPr>
        <w:t xml:space="preserve">intencionalmente</w:t>
      </w:r>
      <w:r>
        <w:t xml:space="preserve"> </w:t>
      </w:r>
      <w:r>
        <w:t xml:space="preserve">mal-posto: como</w:t>
      </w:r>
      <w:r>
        <w:t xml:space="preserve"> </w:t>
      </w:r>
      <m:oMath>
        <m:r>
          <m:t>α</m:t>
        </m:r>
        <m:r>
          <m:rPr>
            <m:sty m:val="p"/>
          </m:rPr>
          <m:t>+</m:t>
        </m:r>
        <m:r>
          <m:t>β</m:t>
        </m:r>
        <m:r>
          <m:rPr>
            <m:sty m:val="p"/>
          </m:rPr>
          <m:t>=</m:t>
        </m:r>
        <m:r>
          <m:t>1</m:t>
        </m:r>
        <m:r>
          <m:rPr>
            <m:sty m:val="p"/>
          </m:rPr>
          <m:t>/</m:t>
        </m:r>
        <m:r>
          <m:t>3</m:t>
        </m:r>
        <m:r>
          <m:rPr>
            <m:sty m:val="p"/>
          </m:rPr>
          <m:t>+</m:t>
        </m:r>
        <m:r>
          <m:t>2</m:t>
        </m:r>
        <m:r>
          <m:rPr>
            <m:sty m:val="p"/>
          </m:rPr>
          <m:t>/</m:t>
        </m:r>
        <m:r>
          <m:t>3</m:t>
        </m:r>
        <m:r>
          <m:rPr>
            <m:sty m:val="p"/>
          </m:rPr>
          <m:t>=</m:t>
        </m:r>
        <m:r>
          <m:t>1</m:t>
        </m:r>
      </m:oMath>
      <w:r>
        <w:t xml:space="preserve"> </w:t>
      </w:r>
      <w:r>
        <w:t xml:space="preserve">(retornos constantes de escala), o custo unitário é</w:t>
      </w:r>
      <w:r>
        <w:t xml:space="preserve"> </w:t>
      </w:r>
      <m:oMath>
        <m:r>
          <m:t>c</m:t>
        </m:r>
        <m:r>
          <m:rPr>
            <m:sty m:val="p"/>
          </m:rPr>
          <m:t>(</m:t>
        </m:r>
        <m:r>
          <m:t>w</m:t>
        </m:r>
        <m:r>
          <m:rPr>
            <m:sty m:val="p"/>
          </m:rPr>
          <m:t>,</m:t>
        </m:r>
        <m:r>
          <m:t>v</m:t>
        </m:r>
        <m:r>
          <m:rPr>
            <m:sty m:val="p"/>
          </m:rPr>
          <m:t>)</m:t>
        </m:r>
        <m:r>
          <m:rPr>
            <m:sty m:val="p"/>
          </m:rPr>
          <m:t>=</m:t>
        </m:r>
        <m:r>
          <m:t>3</m:t>
        </m:r>
        <m:r>
          <m:rPr>
            <m:sty m:val="p"/>
          </m:rPr>
          <m:t>&lt;</m:t>
        </m:r>
        <m:r>
          <m:t>p</m:t>
        </m:r>
        <m:r>
          <m:rPr>
            <m:sty m:val="p"/>
          </m:rPr>
          <m:t>=</m:t>
        </m:r>
        <m:r>
          <m:t>27</m:t>
        </m:r>
      </m:oMath>
      <w:r>
        <w:t xml:space="preserve">, e a firma deseja produzir em escala infinita. Não existe solução interior finita para o problema de maximização de lucro. O objetivo do exercício é que o aluno identifique a indeterminação decorrente de RCE e compreenda por que a teoria da firma competitiva requer retornos decrescentes de escala. Veja a solução para a análise completa.</w:t>
      </w:r>
    </w:p>
    <w:p>
      <w:pPr>
        <w:pStyle w:val="FirstParagraph"/>
      </w:pPr>
      <w:r>
        <w:t xml:space="preserve">Ver solução (Cap. 12)</w:t>
      </w:r>
    </w:p>
    <w:p>
      <w:r>
        <w:pict>
          <v:rect style="width:0;height:1.5pt" o:hralign="center" o:hrstd="t" o:hr="t"/>
        </w:pict>
      </w:r>
    </w:p>
    <w:p>
      <w:pPr>
        <w:pStyle w:val="FirstParagraph"/>
      </w:pPr>
      <w:r>
        <w:rPr>
          <w:b/>
          <w:bCs/>
        </w:rPr>
        <w:t xml:space="preserve">Exercício 12.4.</w:t>
      </w:r>
      <w:r>
        <w:t xml:space="preserve"> </w:t>
      </w:r>
      <w:r>
        <w:t xml:space="preserve">Uma firma opera no curto prazo com capital fixo</w:t>
      </w:r>
      <w:r>
        <w:t xml:space="preserve"> </w:t>
      </w:r>
      <m:oMath>
        <m:acc>
          <m:accPr>
            <m:chr m:val="‾"/>
          </m:accPr>
          <m:e>
            <m:r>
              <m:t>K</m:t>
            </m:r>
          </m:e>
        </m:acc>
        <m:r>
          <m:rPr>
            <m:sty m:val="p"/>
          </m:rPr>
          <m:t>=</m:t>
        </m:r>
        <m:r>
          <m:t>16</m:t>
        </m:r>
      </m:oMath>
      <w:r>
        <w:t xml:space="preserve"> </w:t>
      </w:r>
      <w:r>
        <w:t xml:space="preserve">e função de produção</w:t>
      </w:r>
      <w:r>
        <w:t xml:space="preserve"> </w:t>
      </w:r>
      <m:oMath>
        <m:r>
          <m:t>q</m:t>
        </m:r>
        <m:r>
          <m:rPr>
            <m:sty m:val="p"/>
          </m:rPr>
          <m:t>=</m:t>
        </m:r>
        <m:sSup>
          <m:e>
            <m:acc>
              <m:accPr>
                <m:chr m:val="‾"/>
              </m:accPr>
              <m:e>
                <m:r>
                  <m:t>K</m:t>
                </m:r>
              </m:e>
            </m:acc>
          </m:e>
          <m:sup>
            <m:r>
              <m:t>1</m:t>
            </m:r>
            <m:r>
              <m:rPr>
                <m:sty m:val="p"/>
              </m:rPr>
              <m:t>/</m:t>
            </m:r>
            <m:r>
              <m:t>2</m:t>
            </m:r>
          </m:sup>
        </m:sSup>
        <m:sSup>
          <m:e>
            <m:r>
              <m:t>L</m:t>
            </m:r>
          </m:e>
          <m:sup>
            <m:r>
              <m:t>1</m:t>
            </m:r>
            <m:r>
              <m:rPr>
                <m:sty m:val="p"/>
              </m:rPr>
              <m:t>/</m:t>
            </m:r>
            <m:r>
              <m:t>2</m:t>
            </m:r>
          </m:sup>
        </m:sSup>
        <m:r>
          <m:rPr>
            <m:sty m:val="p"/>
          </m:rPr>
          <m:t>=</m:t>
        </m:r>
        <m:r>
          <m:t>4</m:t>
        </m:r>
        <m:sSup>
          <m:e>
            <m:r>
              <m:t>L</m:t>
            </m:r>
          </m:e>
          <m:sup>
            <m:r>
              <m:t>1</m:t>
            </m:r>
            <m:r>
              <m:rPr>
                <m:sty m:val="p"/>
              </m:rPr>
              <m:t>/</m:t>
            </m:r>
            <m:r>
              <m:t>2</m:t>
            </m:r>
          </m:sup>
        </m:sSup>
      </m:oMath>
      <w:r>
        <w:t xml:space="preserve">. O salário é</w:t>
      </w:r>
      <w:r>
        <w:t xml:space="preserve"> </w:t>
      </w:r>
      <m:oMath>
        <m:r>
          <m:t>w</m:t>
        </m:r>
        <m:r>
          <m:rPr>
            <m:sty m:val="p"/>
          </m:rPr>
          <m:t>=</m:t>
        </m:r>
        <m:r>
          <m:t>8</m:t>
        </m:r>
      </m:oMath>
      <w:r>
        <w:t xml:space="preserve"> </w:t>
      </w:r>
      <w:r>
        <w:t xml:space="preserve">e o custo do capital é</w:t>
      </w:r>
      <w:r>
        <w:t xml:space="preserve"> </w:t>
      </w:r>
      <m:oMath>
        <m:r>
          <m:t>v</m:t>
        </m:r>
        <m:r>
          <m:rPr>
            <m:sty m:val="p"/>
          </m:rPr>
          <m:t>=</m:t>
        </m:r>
        <m:r>
          <m:t>2</m:t>
        </m:r>
      </m:oMath>
      <w:r>
        <w:t xml:space="preserve">.</w:t>
      </w:r>
    </w:p>
    <w:p>
      <w:pPr>
        <w:numPr>
          <w:ilvl w:val="0"/>
          <w:numId w:val="1768"/>
        </w:numPr>
      </w:pPr>
      <w:r>
        <w:t xml:space="preserve">Derive a função de custo total de curto prazo</w:t>
      </w:r>
      <w:r>
        <w:t xml:space="preserve"> </w:t>
      </w:r>
      <m:oMath>
        <m:r>
          <m:t>C</m:t>
        </m:r>
        <m:r>
          <m:t>T</m:t>
        </m:r>
        <m:r>
          <m:rPr>
            <m:sty m:val="p"/>
          </m:rPr>
          <m:t>(</m:t>
        </m:r>
        <m:r>
          <m:t>q</m:t>
        </m:r>
        <m:r>
          <m:rPr>
            <m:sty m:val="p"/>
          </m:rPr>
          <m:t>)</m:t>
        </m:r>
      </m:oMath>
      <w:r>
        <w:t xml:space="preserve">.</w:t>
      </w:r>
    </w:p>
    <w:p>
      <w:pPr>
        <w:numPr>
          <w:ilvl w:val="0"/>
          <w:numId w:val="1768"/>
        </w:numPr>
      </w:pPr>
      <w:r>
        <w:t xml:space="preserve">Derive CMg(q) e CVMe(q).</w:t>
      </w:r>
    </w:p>
    <w:p>
      <w:pPr>
        <w:numPr>
          <w:ilvl w:val="0"/>
          <w:numId w:val="1768"/>
        </w:numPr>
      </w:pPr>
      <w:r>
        <w:t xml:space="preserve">Determine o preço mínimo para que a firma opere (ponto de fechamento).</w:t>
      </w:r>
    </w:p>
    <w:p>
      <w:pPr>
        <w:numPr>
          <w:ilvl w:val="0"/>
          <w:numId w:val="1768"/>
        </w:numPr>
      </w:pPr>
      <w:r>
        <w:t xml:space="preserve">Se</w:t>
      </w:r>
      <w:r>
        <w:t xml:space="preserve"> </w:t>
      </w:r>
      <m:oMath>
        <m:r>
          <m:t>p</m:t>
        </m:r>
        <m:r>
          <m:rPr>
            <m:sty m:val="p"/>
          </m:rPr>
          <m:t>=</m:t>
        </m:r>
        <m:r>
          <m:t>16</m:t>
        </m:r>
      </m:oMath>
      <w:r>
        <w:t xml:space="preserve">, qual a quantidade ofertada e o lucro?</w:t>
      </w:r>
    </w:p>
    <w:p>
      <w:pPr>
        <w:numPr>
          <w:ilvl w:val="0"/>
          <w:numId w:val="1768"/>
        </w:numPr>
      </w:pPr>
      <w:r>
        <w:t xml:space="preserve">Compare com a decisão de longo prazo (quando</w:t>
      </w:r>
      <w:r>
        <w:t xml:space="preserve"> </w:t>
      </w:r>
      <m:oMath>
        <m:r>
          <m:t>K</m:t>
        </m:r>
      </m:oMath>
      <w:r>
        <w:t xml:space="preserve"> </w:t>
      </w:r>
      <w:r>
        <w:t xml:space="preserve">também pode ser ajustado).</w:t>
      </w:r>
    </w:p>
    <w:p>
      <w:pPr>
        <w:pStyle w:val="FirstParagraph"/>
      </w:pPr>
      <w:r>
        <w:t xml:space="preserve">Ver solução (Cap. 12)</w:t>
      </w:r>
    </w:p>
    <w:p>
      <w:r>
        <w:pict>
          <v:rect style="width:0;height:1.5pt" o:hralign="center" o:hrstd="t" o:hr="t"/>
        </w:pict>
      </w:r>
    </w:p>
    <w:p>
      <w:pPr>
        <w:pStyle w:val="FirstParagraph"/>
      </w:pPr>
      <w:r>
        <w:rPr>
          <w:b/>
          <w:bCs/>
        </w:rPr>
        <w:t xml:space="preserve">Exercício 12.5.</w:t>
      </w:r>
      <w:r>
        <w:t xml:space="preserve"> </w:t>
      </w:r>
      <w:r>
        <w:t xml:space="preserve">Explique, usando a teoria vista neste capítulo, por que:</w:t>
      </w:r>
    </w:p>
    <w:p>
      <w:pPr>
        <w:numPr>
          <w:ilvl w:val="0"/>
          <w:numId w:val="1769"/>
        </w:numPr>
      </w:pPr>
      <w:r>
        <w:t xml:space="preserve">Uma firma com prejuízo pode racionalmente continuar operando no curto prazo. Dê um exemplo numérico.</w:t>
      </w:r>
    </w:p>
    <w:p>
      <w:pPr>
        <w:numPr>
          <w:ilvl w:val="0"/>
          <w:numId w:val="1769"/>
        </w:numPr>
      </w:pPr>
      <w:r>
        <w:t xml:space="preserve">A função lucro é convexa nos preços. Qual a implicação econômica dessa propriedade?</w:t>
      </w:r>
    </w:p>
    <w:p>
      <w:pPr>
        <w:numPr>
          <w:ilvl w:val="0"/>
          <w:numId w:val="1769"/>
        </w:numPr>
      </w:pPr>
      <w:r>
        <w:t xml:space="preserve">Não existe</w:t>
      </w:r>
      <w:r>
        <w:t xml:space="preserve"> </w:t>
      </w:r>
      <w:r>
        <w:t xml:space="preserve">“insumo de Giffen”</w:t>
      </w:r>
      <w:r>
        <w:t xml:space="preserve"> </w:t>
      </w:r>
      <w:r>
        <w:t xml:space="preserve">na teoria da firma. Compare com o caso do consumidor.</w:t>
      </w:r>
    </w:p>
    <w:p>
      <w:pPr>
        <w:numPr>
          <w:ilvl w:val="0"/>
          <w:numId w:val="1769"/>
        </w:numPr>
      </w:pPr>
      <w:r>
        <w:t xml:space="preserve">A relação</w:t>
      </w:r>
      <w:r>
        <w:t xml:space="preserve"> </w:t>
      </w:r>
      <m:oMath>
        <m:r>
          <m:rPr>
            <m:sty m:val="p"/>
          </m:rPr>
          <m:t>R</m:t>
        </m:r>
        <m:r>
          <m:rPr>
            <m:sty m:val="p"/>
          </m:rPr>
          <m:t>M</m:t>
        </m:r>
        <m:r>
          <m:rPr>
            <m:sty m:val="p"/>
          </m:rPr>
          <m:t>g</m:t>
        </m:r>
        <m:r>
          <m:rPr>
            <m:sty m:val="p"/>
          </m:rPr>
          <m:t>=</m:t>
        </m:r>
        <m:r>
          <m:t>p</m:t>
        </m:r>
        <m:r>
          <m:rPr>
            <m:sty m:val="p"/>
          </m:rPr>
          <m:t>(</m:t>
        </m:r>
        <m:r>
          <m:t>1</m:t>
        </m:r>
        <m:r>
          <m:rPr>
            <m:sty m:val="p"/>
          </m:rPr>
          <m:t>+</m:t>
        </m:r>
        <m:r>
          <m:t>1</m:t>
        </m:r>
        <m:r>
          <m:rPr>
            <m:sty m:val="p"/>
          </m:rPr>
          <m:t>/</m:t>
        </m:r>
        <m:sSub>
          <m:e>
            <m:r>
              <m:t>ε</m:t>
            </m:r>
          </m:e>
          <m:sub>
            <m:r>
              <m:t>d</m:t>
            </m:r>
          </m:sub>
        </m:sSub>
        <m:r>
          <m:rPr>
            <m:sty m:val="p"/>
          </m:rPr>
          <m:t>)</m:t>
        </m:r>
      </m:oMath>
      <w:r>
        <w:t xml:space="preserve"> </w:t>
      </w:r>
      <w:r>
        <w:t xml:space="preserve">implica que um monopolista nunca opera na região inelástica da demanda. Explique intuitivamente.</w:t>
      </w:r>
    </w:p>
    <w:p>
      <w:pPr>
        <w:numPr>
          <w:ilvl w:val="0"/>
          <w:numId w:val="1769"/>
        </w:numPr>
      </w:pPr>
      <w:r>
        <w:t xml:space="preserve">Segundo Coase, qual o limite para o crescimento da firma? Relacione com deseconomias de escala e custos de monitoramento.</w:t>
      </w:r>
    </w:p>
    <w:p>
      <w:pPr>
        <w:pStyle w:val="FirstParagraph"/>
      </w:pPr>
      <w:r>
        <w:t xml:space="preserve">Ver solução (Cap. 12)</w:t>
      </w:r>
    </w:p>
    <w:p>
      <w:r>
        <w:pict>
          <v:rect style="width:0;height:1.5pt" o:hralign="center" o:hrstd="t" o:hr="t"/>
        </w:pict>
      </w:r>
    </w:p>
    <w:p>
      <w:pPr>
        <w:pStyle w:val="FirstParagraph"/>
      </w:pPr>
      <w:r>
        <w:rPr>
          <w:b/>
          <w:bCs/>
        </w:rPr>
        <w:t xml:space="preserve">Exercício 12.6.</w:t>
      </w:r>
      <w:r>
        <w:t xml:space="preserve"> </w:t>
      </w:r>
      <w:r>
        <w:rPr>
          <w:i/>
          <w:iCs/>
        </w:rPr>
        <w:t xml:space="preserve">(Fácil)</w:t>
      </w:r>
      <w:r>
        <w:t xml:space="preserve"> </w:t>
      </w:r>
      <w:r>
        <w:t xml:space="preserve">Uma firma tomadora de preços tem função de custo total</w:t>
      </w:r>
      <w:r>
        <w:t xml:space="preserve"> </w:t>
      </w:r>
      <m:oMath>
        <m:r>
          <m:t>C</m:t>
        </m:r>
        <m:r>
          <m:rPr>
            <m:sty m:val="p"/>
          </m:rPr>
          <m:t>(</m:t>
        </m:r>
        <m:r>
          <m:t>q</m:t>
        </m:r>
        <m:r>
          <m:rPr>
            <m:sty m:val="p"/>
          </m:rPr>
          <m:t>)</m:t>
        </m:r>
        <m:r>
          <m:rPr>
            <m:sty m:val="p"/>
          </m:rPr>
          <m:t>=</m:t>
        </m:r>
        <m:r>
          <m:t>50</m:t>
        </m:r>
        <m:r>
          <m:rPr>
            <m:sty m:val="p"/>
          </m:rPr>
          <m:t>+</m:t>
        </m:r>
        <m:r>
          <m:t>2</m:t>
        </m:r>
        <m:r>
          <m:t>q</m:t>
        </m:r>
        <m:r>
          <m:rPr>
            <m:sty m:val="p"/>
          </m:rPr>
          <m:t>+</m:t>
        </m:r>
        <m:r>
          <m:t>0</m:t>
        </m:r>
        <m:r>
          <m:rPr>
            <m:sty m:val="p"/>
          </m:rPr>
          <m:t>,</m:t>
        </m:r>
        <m:r>
          <m:t>5</m:t>
        </m:r>
        <m:sSup>
          <m:e>
            <m:r>
              <m:t>q</m:t>
            </m:r>
          </m:e>
          <m:sup>
            <m:r>
              <m:t>2</m:t>
            </m:r>
          </m:sup>
        </m:sSup>
      </m:oMath>
      <w:r>
        <w:t xml:space="preserve">. O preço de mercado é</w:t>
      </w:r>
      <w:r>
        <w:t xml:space="preserve"> </w:t>
      </w:r>
      <m:oMath>
        <m:r>
          <m:t>p</m:t>
        </m:r>
        <m:r>
          <m:rPr>
            <m:sty m:val="p"/>
          </m:rPr>
          <m:t>=</m:t>
        </m:r>
        <m:r>
          <m:t>12</m:t>
        </m:r>
      </m:oMath>
      <w:r>
        <w:t xml:space="preserve">.</w:t>
      </w:r>
    </w:p>
    <w:p>
      <w:pPr>
        <w:numPr>
          <w:ilvl w:val="0"/>
          <w:numId w:val="1770"/>
        </w:numPr>
      </w:pPr>
      <w:r>
        <w:t xml:space="preserve">Encontre a quantidade ótima</w:t>
      </w:r>
      <w:r>
        <w:t xml:space="preserve"> </w:t>
      </w:r>
      <m:oMath>
        <m:sSup>
          <m:e>
            <m:r>
              <m:t>q</m:t>
            </m:r>
          </m:e>
          <m:sup>
            <m:r>
              <m:rPr>
                <m:sty m:val="p"/>
              </m:rPr>
              <m:t>*</m:t>
            </m:r>
          </m:sup>
        </m:sSup>
      </m:oMath>
      <w:r>
        <w:t xml:space="preserve"> </w:t>
      </w:r>
      <w:r>
        <w:t xml:space="preserve">usando a condição</w:t>
      </w:r>
      <w:r>
        <w:t xml:space="preserve"> </w:t>
      </w:r>
      <m:oMath>
        <m:r>
          <m:t>p</m:t>
        </m:r>
        <m:r>
          <m:rPr>
            <m:sty m:val="p"/>
          </m:rPr>
          <m:t>=</m:t>
        </m:r>
        <m:r>
          <m:rPr>
            <m:sty m:val="p"/>
          </m:rPr>
          <m:t>C</m:t>
        </m:r>
        <m:r>
          <m:rPr>
            <m:sty m:val="p"/>
          </m:rPr>
          <m:t>M</m:t>
        </m:r>
        <m:r>
          <m:rPr>
            <m:sty m:val="p"/>
          </m:rPr>
          <m:t>g</m:t>
        </m:r>
      </m:oMath>
      <w:r>
        <w:t xml:space="preserve">.</w:t>
      </w:r>
    </w:p>
    <w:p>
      <w:pPr>
        <w:numPr>
          <w:ilvl w:val="0"/>
          <w:numId w:val="1770"/>
        </w:numPr>
      </w:pPr>
      <w:r>
        <w:t xml:space="preserve">Calcule o lucro</w:t>
      </w:r>
      <w:r>
        <w:t xml:space="preserve"> </w:t>
      </w:r>
      <m:oMath>
        <m:sSup>
          <m:e>
            <m:r>
              <m:t>π</m:t>
            </m:r>
          </m:e>
          <m:sup>
            <m:r>
              <m:rPr>
                <m:sty m:val="p"/>
              </m:rPr>
              <m:t>*</m:t>
            </m:r>
          </m:sup>
        </m:sSup>
      </m:oMath>
      <w:r>
        <w:t xml:space="preserve">.</w:t>
      </w:r>
    </w:p>
    <w:p>
      <w:pPr>
        <w:numPr>
          <w:ilvl w:val="0"/>
          <w:numId w:val="1770"/>
        </w:numPr>
      </w:pPr>
      <w:r>
        <w:t xml:space="preserve">Verifique a condição de segunda ordem (CSO): o custo marginal é crescente no ponto ótimo?</w:t>
      </w:r>
    </w:p>
    <w:p>
      <w:pPr>
        <w:numPr>
          <w:ilvl w:val="0"/>
          <w:numId w:val="1770"/>
        </w:numPr>
      </w:pPr>
      <w:r>
        <w:t xml:space="preserve">Verifique se a firma deve operar (</w:t>
      </w:r>
      <m:oMath>
        <m:r>
          <m:t>p</m:t>
        </m:r>
        <m:r>
          <m:rPr>
            <m:sty m:val="p"/>
          </m:rPr>
          <m:t>≥</m:t>
        </m:r>
        <m:sSub>
          <m:e>
            <m:r>
              <m:rPr>
                <m:sty m:val="p"/>
              </m:rPr>
              <m:t>C</m:t>
            </m:r>
            <m:r>
              <m:rPr>
                <m:sty m:val="p"/>
              </m:rPr>
              <m:t>V</m:t>
            </m:r>
            <m:r>
              <m:rPr>
                <m:sty m:val="p"/>
              </m:rPr>
              <m:t>M</m:t>
            </m:r>
            <m:r>
              <m:rPr>
                <m:sty m:val="p"/>
              </m:rPr>
              <m:t>e</m:t>
            </m:r>
          </m:e>
          <m:sub>
            <m:r>
              <m:rPr>
                <m:sty m:val="p"/>
              </m:rPr>
              <m:t>min</m:t>
            </m:r>
          </m:sub>
        </m:sSub>
      </m:oMath>
      <w:r>
        <w:t xml:space="preserve">?).</w:t>
      </w:r>
    </w:p>
    <w:p>
      <w:pPr>
        <w:pStyle w:val="FirstParagraph"/>
      </w:pPr>
      <w:r>
        <w:t xml:space="preserve">Ver solução (Cap. 12)</w:t>
      </w:r>
    </w:p>
    <w:p>
      <w:r>
        <w:pict>
          <v:rect style="width:0;height:1.5pt" o:hralign="center" o:hrstd="t" o:hr="t"/>
        </w:pict>
      </w:r>
    </w:p>
    <w:p>
      <w:pPr>
        <w:pStyle w:val="FirstParagraph"/>
      </w:pPr>
      <w:r>
        <w:rPr>
          <w:b/>
          <w:bCs/>
        </w:rPr>
        <w:t xml:space="preserve">Exercício 12.7.</w:t>
      </w:r>
      <w:r>
        <w:t xml:space="preserve"> </w:t>
      </w:r>
      <w:r>
        <w:rPr>
          <w:i/>
          <w:iCs/>
        </w:rPr>
        <w:t xml:space="preserve">(Fácil — Verdadeiro ou Falso)</w:t>
      </w:r>
      <w:r>
        <w:t xml:space="preserve"> </w:t>
      </w:r>
      <w:r>
        <w:t xml:space="preserve">Indique se cada afirmação é verdadeira (V) ou falsa (F), justificando em uma frase:</w:t>
      </w:r>
    </w:p>
    <w:p>
      <w:pPr>
        <w:numPr>
          <w:ilvl w:val="0"/>
          <w:numId w:val="1771"/>
        </w:numPr>
      </w:pPr>
      <w:r>
        <w:t xml:space="preserve">Uma firma sempre fecha quando o lucro econômico é negativo.</w:t>
      </w:r>
    </w:p>
    <w:p>
      <w:pPr>
        <w:numPr>
          <w:ilvl w:val="0"/>
          <w:numId w:val="1771"/>
        </w:numPr>
      </w:pPr>
      <w:r>
        <w:t xml:space="preserve">O Lema de Hotelling estabelece que a função de oferta é obtida como</w:t>
      </w:r>
      <w:r>
        <w:t xml:space="preserve"> </w:t>
      </w:r>
      <m:oMath>
        <m:r>
          <m:rPr>
            <m:sty m:val="p"/>
          </m:rPr>
          <m:t>∂</m:t>
        </m:r>
        <m:r>
          <m:t>π</m:t>
        </m:r>
        <m:r>
          <m:rPr>
            <m:sty m:val="p"/>
          </m:rPr>
          <m:t>/</m:t>
        </m:r>
        <m:r>
          <m:rPr>
            <m:sty m:val="p"/>
          </m:rPr>
          <m:t>∂</m:t>
        </m:r>
        <m:r>
          <m:t>p</m:t>
        </m:r>
      </m:oMath>
      <w:r>
        <w:t xml:space="preserve">.</w:t>
      </w:r>
    </w:p>
    <w:p>
      <w:pPr>
        <w:numPr>
          <w:ilvl w:val="0"/>
          <w:numId w:val="1771"/>
        </w:numPr>
      </w:pPr>
      <w:r>
        <w:t xml:space="preserve">A função lucro é convexa nos preços dos produtos.</w:t>
      </w:r>
    </w:p>
    <w:p>
      <w:pPr>
        <w:numPr>
          <w:ilvl w:val="0"/>
          <w:numId w:val="1771"/>
        </w:numPr>
      </w:pPr>
      <w:r>
        <w:t xml:space="preserve">Se a demanda da firma for perfeitamente elástica (como no caso competitivo), então</w:t>
      </w:r>
      <w:r>
        <w:t xml:space="preserve"> </w:t>
      </w:r>
      <m:oMath>
        <m:r>
          <m:rPr>
            <m:sty m:val="p"/>
          </m:rPr>
          <m:t>R</m:t>
        </m:r>
        <m:r>
          <m:rPr>
            <m:sty m:val="p"/>
          </m:rPr>
          <m:t>M</m:t>
        </m:r>
        <m:r>
          <m:rPr>
            <m:sty m:val="p"/>
          </m:rPr>
          <m:t>g</m:t>
        </m:r>
        <m:r>
          <m:rPr>
            <m:sty m:val="p"/>
          </m:rPr>
          <m:t>=</m:t>
        </m:r>
        <m:r>
          <m:t>p</m:t>
        </m:r>
      </m:oMath>
      <w:r>
        <w:t xml:space="preserve">.</w:t>
      </w:r>
    </w:p>
    <w:p>
      <w:pPr>
        <w:pStyle w:val="FirstParagraph"/>
      </w:pPr>
      <w:r>
        <w:t xml:space="preserve">Ver solução (Cap. 12)</w:t>
      </w:r>
    </w:p>
    <w:p>
      <w:r>
        <w:pict>
          <v:rect style="width:0;height:1.5pt" o:hralign="center" o:hrstd="t" o:hr="t"/>
        </w:pict>
      </w:r>
    </w:p>
    <w:p>
      <w:pPr>
        <w:pStyle w:val="FirstParagraph"/>
      </w:pPr>
      <w:r>
        <w:rPr>
          <w:b/>
          <w:bCs/>
        </w:rPr>
        <w:t xml:space="preserve">Exercício 12.8.</w:t>
      </w:r>
      <w:r>
        <w:t xml:space="preserve"> </w:t>
      </w:r>
      <w:r>
        <w:rPr>
          <w:i/>
          <w:iCs/>
        </w:rPr>
        <w:t xml:space="preserve">(Médio)</w:t>
      </w:r>
      <w:r>
        <w:t xml:space="preserve"> </w:t>
      </w:r>
      <w:r>
        <w:t xml:space="preserve">Um monopolista enfrenta a demanda inversa</w:t>
      </w:r>
      <w:r>
        <w:t xml:space="preserve"> </w:t>
      </w:r>
      <m:oMath>
        <m:r>
          <m:t>p</m:t>
        </m:r>
        <m:r>
          <m:rPr>
            <m:sty m:val="p"/>
          </m:rPr>
          <m:t>=</m:t>
        </m:r>
        <m:r>
          <m:t>100</m:t>
        </m:r>
        <m:r>
          <m:rPr>
            <m:sty m:val="p"/>
          </m:rPr>
          <m:t>−</m:t>
        </m:r>
        <m:r>
          <m:t>2</m:t>
        </m:r>
        <m:r>
          <m:t>Q</m:t>
        </m:r>
      </m:oMath>
      <w:r>
        <w:t xml:space="preserve"> </w:t>
      </w:r>
      <w:r>
        <w:t xml:space="preserve">e possui função de custo total</w:t>
      </w:r>
      <w:r>
        <w:t xml:space="preserve"> </w:t>
      </w:r>
      <m:oMath>
        <m:r>
          <m:t>C</m:t>
        </m:r>
        <m:r>
          <m:rPr>
            <m:sty m:val="p"/>
          </m:rPr>
          <m:t>(</m:t>
        </m:r>
        <m:r>
          <m:t>Q</m:t>
        </m:r>
        <m:r>
          <m:rPr>
            <m:sty m:val="p"/>
          </m:rPr>
          <m:t>)</m:t>
        </m:r>
        <m:r>
          <m:rPr>
            <m:sty m:val="p"/>
          </m:rPr>
          <m:t>=</m:t>
        </m:r>
        <m:r>
          <m:t>10</m:t>
        </m:r>
        <m:r>
          <m:t>Q</m:t>
        </m:r>
        <m:r>
          <m:rPr>
            <m:sty m:val="p"/>
          </m:rPr>
          <m:t>+</m:t>
        </m:r>
        <m:sSup>
          <m:e>
            <m:r>
              <m:t>Q</m:t>
            </m:r>
          </m:e>
          <m:sup>
            <m:r>
              <m:t>2</m:t>
            </m:r>
          </m:sup>
        </m:sSup>
      </m:oMath>
      <w:r>
        <w:t xml:space="preserve">.</w:t>
      </w:r>
    </w:p>
    <w:p>
      <w:pPr>
        <w:numPr>
          <w:ilvl w:val="0"/>
          <w:numId w:val="1772"/>
        </w:numPr>
      </w:pPr>
      <w:r>
        <w:t xml:space="preserve">Derive a receita marginal</w:t>
      </w:r>
      <w:r>
        <w:t xml:space="preserve"> </w:t>
      </w:r>
      <m:oMath>
        <m:r>
          <m:rPr>
            <m:sty m:val="p"/>
          </m:rPr>
          <m:t>R</m:t>
        </m:r>
        <m:r>
          <m:rPr>
            <m:sty m:val="p"/>
          </m:rPr>
          <m:t>M</m:t>
        </m:r>
        <m:r>
          <m:rPr>
            <m:sty m:val="p"/>
          </m:rPr>
          <m:t>g</m:t>
        </m:r>
        <m:r>
          <m:rPr>
            <m:sty m:val="p"/>
          </m:rPr>
          <m:t>(</m:t>
        </m:r>
        <m:r>
          <m:t>Q</m:t>
        </m:r>
        <m:r>
          <m:rPr>
            <m:sty m:val="p"/>
          </m:rPr>
          <m:t>)</m:t>
        </m:r>
      </m:oMath>
      <w:r>
        <w:t xml:space="preserve">.</w:t>
      </w:r>
    </w:p>
    <w:p>
      <w:pPr>
        <w:numPr>
          <w:ilvl w:val="0"/>
          <w:numId w:val="1772"/>
        </w:numPr>
      </w:pPr>
      <w:r>
        <w:t xml:space="preserve">Encontre a quantidade ótima</w:t>
      </w:r>
      <w:r>
        <w:t xml:space="preserve"> </w:t>
      </w:r>
      <m:oMath>
        <m:sSup>
          <m:e>
            <m:r>
              <m:t>Q</m:t>
            </m:r>
          </m:e>
          <m:sup>
            <m:r>
              <m:rPr>
                <m:sty m:val="p"/>
              </m:rPr>
              <m:t>*</m:t>
            </m:r>
          </m:sup>
        </m:sSup>
      </m:oMath>
      <w:r>
        <w:t xml:space="preserve"> </w:t>
      </w:r>
      <w:r>
        <w:t xml:space="preserve">e o preço</w:t>
      </w:r>
      <w:r>
        <w:t xml:space="preserve"> </w:t>
      </w:r>
      <m:oMath>
        <m:sSup>
          <m:e>
            <m:r>
              <m:t>p</m:t>
            </m:r>
          </m:e>
          <m:sup>
            <m:r>
              <m:rPr>
                <m:sty m:val="p"/>
              </m:rPr>
              <m:t>*</m:t>
            </m:r>
          </m:sup>
        </m:sSup>
      </m:oMath>
      <w:r>
        <w:t xml:space="preserve">.</w:t>
      </w:r>
    </w:p>
    <w:p>
      <w:pPr>
        <w:numPr>
          <w:ilvl w:val="0"/>
          <w:numId w:val="1772"/>
        </w:numPr>
      </w:pPr>
      <w:r>
        <w:t xml:space="preserve">Calcule o markup</w:t>
      </w:r>
      <w:r>
        <w:t xml:space="preserve"> </w:t>
      </w:r>
      <m:oMath>
        <m:r>
          <m:rPr>
            <m:sty m:val="p"/>
          </m:rPr>
          <m:t>(</m:t>
        </m:r>
        <m:sSup>
          <m:e>
            <m:r>
              <m:t>p</m:t>
            </m:r>
          </m:e>
          <m:sup>
            <m:r>
              <m:rPr>
                <m:sty m:val="p"/>
              </m:rPr>
              <m:t>*</m:t>
            </m:r>
          </m:sup>
        </m:sSup>
        <m:r>
          <m:rPr>
            <m:sty m:val="p"/>
          </m:rPr>
          <m:t>−</m:t>
        </m:r>
        <m:r>
          <m:rPr>
            <m:sty m:val="p"/>
          </m:rPr>
          <m:t>C</m:t>
        </m:r>
        <m:r>
          <m:rPr>
            <m:sty m:val="p"/>
          </m:rPr>
          <m:t>M</m:t>
        </m:r>
        <m:r>
          <m:rPr>
            <m:sty m:val="p"/>
          </m:rPr>
          <m:t>g</m:t>
        </m:r>
        <m:r>
          <m:rPr>
            <m:sty m:val="p"/>
          </m:rPr>
          <m:t>)</m:t>
        </m:r>
        <m:r>
          <m:rPr>
            <m:sty m:val="p"/>
          </m:rPr>
          <m:t>/</m:t>
        </m:r>
        <m:sSup>
          <m:e>
            <m:r>
              <m:t>p</m:t>
            </m:r>
          </m:e>
          <m:sup>
            <m:r>
              <m:rPr>
                <m:sty m:val="p"/>
              </m:rPr>
              <m:t>*</m:t>
            </m:r>
          </m:sup>
        </m:sSup>
      </m:oMath>
      <w:r>
        <w:t xml:space="preserve"> </w:t>
      </w:r>
      <w:r>
        <w:t xml:space="preserve">(índice de Lerner).</w:t>
      </w:r>
    </w:p>
    <w:p>
      <w:pPr>
        <w:numPr>
          <w:ilvl w:val="0"/>
          <w:numId w:val="1772"/>
        </w:numPr>
      </w:pPr>
      <w:r>
        <w:t xml:space="preserve">Compare com o resultado competitivo (</w:t>
      </w:r>
      <m:oMath>
        <m:r>
          <m:t>p</m:t>
        </m:r>
        <m:r>
          <m:rPr>
            <m:sty m:val="p"/>
          </m:rPr>
          <m:t>=</m:t>
        </m:r>
        <m:r>
          <m:rPr>
            <m:sty m:val="p"/>
          </m:rPr>
          <m:t>C</m:t>
        </m:r>
        <m:r>
          <m:rPr>
            <m:sty m:val="p"/>
          </m:rPr>
          <m:t>M</m:t>
        </m:r>
        <m:r>
          <m:rPr>
            <m:sty m:val="p"/>
          </m:rPr>
          <m:t>g</m:t>
        </m:r>
      </m:oMath>
      <w:r>
        <w:t xml:space="preserve">): qual a perda de peso morto (em termos de quantidade)? Relate com o Capítulo 15 (monopólio).</w:t>
      </w:r>
    </w:p>
    <w:p>
      <w:pPr>
        <w:pStyle w:val="FirstParagraph"/>
      </w:pPr>
      <w:r>
        <w:t xml:space="preserve">Ver solução (Cap. 12)</w:t>
      </w:r>
    </w:p>
    <w:p>
      <w:r>
        <w:pict>
          <v:rect style="width:0;height:1.5pt" o:hralign="center" o:hrstd="t" o:hr="t"/>
        </w:pict>
      </w:r>
    </w:p>
    <w:p>
      <w:pPr>
        <w:pStyle w:val="FirstParagraph"/>
      </w:pPr>
      <w:r>
        <w:rPr>
          <w:b/>
          <w:bCs/>
        </w:rPr>
        <w:t xml:space="preserve">Exercício 12.9.</w:t>
      </w:r>
      <w:r>
        <w:t xml:space="preserve"> </w:t>
      </w:r>
      <w:r>
        <w:rPr>
          <w:i/>
          <w:iCs/>
        </w:rPr>
        <w:t xml:space="preserve">(Médio — Aplicação Brasileira)</w:t>
      </w:r>
      <w:r>
        <w:t xml:space="preserve"> </w:t>
      </w:r>
      <w:r>
        <w:t xml:space="preserve">A Petrobras importa diesel ao preço mundial</w:t>
      </w:r>
      <w:r>
        <w:t xml:space="preserve"> </w:t>
      </w:r>
      <m:oMath>
        <m:sSub>
          <m:e>
            <m:r>
              <m:t>p</m:t>
            </m:r>
          </m:e>
          <m:sub>
            <m:r>
              <m:t>w</m:t>
            </m:r>
          </m:sub>
        </m:sSub>
      </m:oMath>
      <w:r>
        <w:t xml:space="preserve"> </w:t>
      </w:r>
      <w:r>
        <w:t xml:space="preserve">e incorre em custo de transporte/logística</w:t>
      </w:r>
      <w:r>
        <w:t xml:space="preserve"> </w:t>
      </w:r>
      <m:oMath>
        <m:r>
          <m:t>t</m:t>
        </m:r>
        <m:r>
          <m:rPr>
            <m:sty m:val="p"/>
          </m:rPr>
          <m:t>=</m:t>
        </m:r>
        <m:r>
          <m:t>5</m:t>
        </m:r>
      </m:oMath>
      <w:r>
        <w:t xml:space="preserve"> </w:t>
      </w:r>
      <w:r>
        <w:t xml:space="preserve">por unidade vendida no mercado doméstico. A demanda doméstica de diesel é</w:t>
      </w:r>
      <w:r>
        <w:t xml:space="preserve"> </w:t>
      </w:r>
      <m:oMath>
        <m:r>
          <m:t>Q</m:t>
        </m:r>
        <m:r>
          <m:rPr>
            <m:sty m:val="p"/>
          </m:rPr>
          <m:t>=</m:t>
        </m:r>
        <m:r>
          <m:t>500</m:t>
        </m:r>
        <m:r>
          <m:rPr>
            <m:sty m:val="p"/>
          </m:rPr>
          <m:t>−</m:t>
        </m:r>
        <m:r>
          <m:t>2</m:t>
        </m:r>
        <m:r>
          <m:t>P</m:t>
        </m:r>
      </m:oMath>
      <w:r>
        <w:t xml:space="preserve">.</w:t>
      </w:r>
    </w:p>
    <w:p>
      <w:pPr>
        <w:numPr>
          <w:ilvl w:val="0"/>
          <w:numId w:val="1773"/>
        </w:numPr>
      </w:pPr>
      <w:r>
        <w:t xml:space="preserve">Encontre o preço doméstico ótimo</w:t>
      </w:r>
      <w:r>
        <w:t xml:space="preserve"> </w:t>
      </w:r>
      <m:oMath>
        <m:sSup>
          <m:e>
            <m:r>
              <m:t>P</m:t>
            </m:r>
          </m:e>
          <m:sup>
            <m:r>
              <m:rPr>
                <m:sty m:val="p"/>
              </m:rPr>
              <m:t>*</m:t>
            </m:r>
          </m:sup>
        </m:sSup>
      </m:oMath>
      <w:r>
        <w:t xml:space="preserve">, a quantidade</w:t>
      </w:r>
      <w:r>
        <w:t xml:space="preserve"> </w:t>
      </w:r>
      <m:oMath>
        <m:sSup>
          <m:e>
            <m:r>
              <m:t>Q</m:t>
            </m:r>
          </m:e>
          <m:sup>
            <m:r>
              <m:rPr>
                <m:sty m:val="p"/>
              </m:rPr>
              <m:t>*</m:t>
            </m:r>
          </m:sup>
        </m:sSup>
      </m:oMath>
      <w:r>
        <w:t xml:space="preserve"> </w:t>
      </w:r>
      <w:r>
        <w:t xml:space="preserve">e o lucro</w:t>
      </w:r>
      <w:r>
        <w:t xml:space="preserve"> </w:t>
      </w:r>
      <m:oMath>
        <m:sSup>
          <m:e>
            <m:r>
              <m:t>π</m:t>
            </m:r>
          </m:e>
          <m:sup>
            <m:r>
              <m:rPr>
                <m:sty m:val="p"/>
              </m:rPr>
              <m:t>*</m:t>
            </m:r>
          </m:sup>
        </m:sSup>
      </m:oMath>
      <w:r>
        <w:t xml:space="preserve"> </w:t>
      </w:r>
      <w:r>
        <w:t xml:space="preserve">(expresso em termos de</w:t>
      </w:r>
      <w:r>
        <w:t xml:space="preserve"> </w:t>
      </w:r>
      <m:oMath>
        <m:sSub>
          <m:e>
            <m:r>
              <m:t>p</m:t>
            </m:r>
          </m:e>
          <m:sub>
            <m:r>
              <m:t>w</m:t>
            </m:r>
          </m:sub>
        </m:sSub>
      </m:oMath>
      <w:r>
        <w:t xml:space="preserve">). Suponha que a Petrobras maximiza lucro como um monopolista no mercado doméstico.</w:t>
      </w:r>
    </w:p>
    <w:p>
      <w:pPr>
        <w:numPr>
          <w:ilvl w:val="0"/>
          <w:numId w:val="1773"/>
        </w:numPr>
      </w:pPr>
      <w:r>
        <w:t xml:space="preserve">Como um aumento de 20% no preço mundial (</w:t>
      </w:r>
      <m:oMath>
        <m:sSub>
          <m:e>
            <m:r>
              <m:t>p</m:t>
            </m:r>
          </m:e>
          <m:sub>
            <m:r>
              <m:t>w</m:t>
            </m:r>
          </m:sub>
        </m:sSub>
      </m:oMath>
      <w:r>
        <w:t xml:space="preserve"> </w:t>
      </w:r>
      <w:r>
        <w:t xml:space="preserve">passa a</w:t>
      </w:r>
      <w:r>
        <w:t xml:space="preserve"> </w:t>
      </w:r>
      <m:oMath>
        <m:r>
          <m:t>1</m:t>
        </m:r>
        <m:r>
          <m:rPr>
            <m:sty m:val="p"/>
          </m:rPr>
          <m:t>,</m:t>
        </m:r>
        <m:r>
          <m:t>2</m:t>
        </m:r>
        <m:r>
          <m:t> </m:t>
        </m:r>
        <m:sSub>
          <m:e>
            <m:r>
              <m:t>p</m:t>
            </m:r>
          </m:e>
          <m:sub>
            <m:r>
              <m:t>w</m:t>
            </m:r>
          </m:sub>
        </m:sSub>
      </m:oMath>
      <w:r>
        <w:t xml:space="preserve">) afeta</w:t>
      </w:r>
      <w:r>
        <w:t xml:space="preserve"> </w:t>
      </w:r>
      <m:oMath>
        <m:sSup>
          <m:e>
            <m:r>
              <m:t>P</m:t>
            </m:r>
          </m:e>
          <m:sup>
            <m:r>
              <m:rPr>
                <m:sty m:val="p"/>
              </m:rPr>
              <m:t>*</m:t>
            </m:r>
          </m:sup>
        </m:sSup>
      </m:oMath>
      <w:r>
        <w:t xml:space="preserve"> </w:t>
      </w:r>
      <w:r>
        <w:t xml:space="preserve">e</w:t>
      </w:r>
      <w:r>
        <w:t xml:space="preserve"> </w:t>
      </w:r>
      <m:oMath>
        <m:sSup>
          <m:e>
            <m:r>
              <m:t>Q</m:t>
            </m:r>
          </m:e>
          <m:sup>
            <m:r>
              <m:rPr>
                <m:sty m:val="p"/>
              </m:rPr>
              <m:t>*</m:t>
            </m:r>
          </m:sup>
        </m:sSup>
      </m:oMath>
      <w:r>
        <w:t xml:space="preserve">? Calcule a variação percentual de cada um.</w:t>
      </w:r>
    </w:p>
    <w:p>
      <w:pPr>
        <w:numPr>
          <w:ilvl w:val="0"/>
          <w:numId w:val="1773"/>
        </w:numPr>
      </w:pPr>
      <w:r>
        <w:t xml:space="preserve">Interprete economicamente: por que a variação percentual em</w:t>
      </w:r>
      <w:r>
        <w:t xml:space="preserve"> </w:t>
      </w:r>
      <m:oMath>
        <m:sSup>
          <m:e>
            <m:r>
              <m:t>P</m:t>
            </m:r>
          </m:e>
          <m:sup>
            <m:r>
              <m:rPr>
                <m:sty m:val="p"/>
              </m:rPr>
              <m:t>*</m:t>
            </m:r>
          </m:sup>
        </m:sSup>
      </m:oMath>
      <w:r>
        <w:t xml:space="preserve"> </w:t>
      </w:r>
      <w:r>
        <w:t xml:space="preserve">é menor que 20%? Relacione com o índice de Lerner e com o papel do custo de transporte.</w:t>
      </w:r>
    </w:p>
    <w:p>
      <w:pPr>
        <w:pStyle w:val="FirstParagraph"/>
      </w:pPr>
      <w:r>
        <w:t xml:space="preserve">Ver solução (Cap. 12)</w:t>
      </w:r>
    </w:p>
    <w:p>
      <w:r>
        <w:pict>
          <v:rect style="width:0;height:1.5pt" o:hralign="center" o:hrstd="t" o:hr="t"/>
        </w:pict>
      </w:r>
    </w:p>
    <w:p>
      <w:pPr>
        <w:pStyle w:val="FirstParagraph"/>
      </w:pPr>
      <w:r>
        <w:rPr>
          <w:b/>
          <w:bCs/>
        </w:rPr>
        <w:t xml:space="preserve">Exercício 12.10.</w:t>
      </w:r>
      <w:r>
        <w:t xml:space="preserve"> </w:t>
      </w:r>
      <w:r>
        <w:rPr>
          <w:i/>
          <w:iCs/>
        </w:rPr>
        <w:t xml:space="preserve">(Difícil — Prova Formal)</w:t>
      </w:r>
      <w:r>
        <w:t xml:space="preserve"> </w:t>
      </w:r>
      <w:r>
        <w:t xml:space="preserve">Prove que a função lucro</w:t>
      </w:r>
      <w:r>
        <w:t xml:space="preserve"> </w:t>
      </w:r>
      <m:oMath>
        <m:r>
          <m:t>π</m:t>
        </m:r>
        <m:r>
          <m:rPr>
            <m:sty m:val="p"/>
          </m:rPr>
          <m:t>(</m:t>
        </m:r>
        <m:r>
          <m:t>p</m:t>
        </m:r>
        <m:r>
          <m:rPr>
            <m:sty m:val="p"/>
          </m:rPr>
          <m:t>,</m:t>
        </m:r>
        <m:r>
          <m:rPr>
            <m:sty m:val="bi"/>
          </m:rPr>
          <m:t>w</m:t>
        </m:r>
        <m:r>
          <m:rPr>
            <m:sty m:val="p"/>
          </m:rPr>
          <m:t>)</m:t>
        </m:r>
      </m:oMath>
      <w:r>
        <w:t xml:space="preserve"> </w:t>
      </w:r>
      <w:r>
        <w:t xml:space="preserve">é</w:t>
      </w:r>
      <w:r>
        <w:t xml:space="preserve"> </w:t>
      </w:r>
      <w:r>
        <w:rPr>
          <w:b/>
          <w:bCs/>
        </w:rPr>
        <w:t xml:space="preserve">convexa</w:t>
      </w:r>
      <w:r>
        <w:t xml:space="preserve"> </w:t>
      </w:r>
      <w:r>
        <w:t xml:space="preserve">no vetor de preços</w:t>
      </w:r>
      <w:r>
        <w:t xml:space="preserve"> </w:t>
      </w:r>
      <m:oMath>
        <m:r>
          <m:rPr>
            <m:sty m:val="p"/>
          </m:rPr>
          <m:t>(</m:t>
        </m:r>
        <m:r>
          <m:t>p</m:t>
        </m:r>
        <m:r>
          <m:rPr>
            <m:sty m:val="p"/>
          </m:rPr>
          <m:t>,</m:t>
        </m:r>
        <m:r>
          <m:rPr>
            <m:sty m:val="bi"/>
          </m:rPr>
          <m:t>w</m:t>
        </m:r>
        <m:r>
          <m:rPr>
            <m:sty m:val="p"/>
          </m:rPr>
          <m:t>)</m:t>
        </m:r>
      </m:oMath>
      <w:r>
        <w:t xml:space="preserve">.</w:t>
      </w:r>
    </w:p>
    <w:p>
      <w:pPr>
        <w:pStyle w:val="BodyText"/>
      </w:pPr>
      <w:r>
        <w:rPr>
          <w:i/>
          <w:iCs/>
        </w:rPr>
        <w:t xml:space="preserve">Roteiro sugerido:</w:t>
      </w:r>
    </w:p>
    <w:p>
      <w:pPr>
        <w:numPr>
          <w:ilvl w:val="0"/>
          <w:numId w:val="1774"/>
        </w:numPr>
      </w:pPr>
      <w:r>
        <w:t xml:space="preserve">Use a definição</w:t>
      </w:r>
      <w:r>
        <w:t xml:space="preserve"> </w:t>
      </w:r>
      <m:oMath>
        <m:r>
          <m:t>π</m:t>
        </m:r>
        <m:r>
          <m:rPr>
            <m:sty m:val="p"/>
          </m:rPr>
          <m:t>(</m:t>
        </m:r>
        <m:r>
          <m:t>p</m:t>
        </m:r>
        <m:r>
          <m:rPr>
            <m:sty m:val="p"/>
          </m:rPr>
          <m:t>,</m:t>
        </m:r>
        <m:r>
          <m:rPr>
            <m:sty m:val="bi"/>
          </m:rPr>
          <m:t>w</m:t>
        </m:r>
        <m:r>
          <m:rPr>
            <m:sty m:val="p"/>
          </m:rPr>
          <m:t>)</m:t>
        </m:r>
        <m:r>
          <m:rPr>
            <m:sty m:val="p"/>
          </m:rPr>
          <m:t>=</m:t>
        </m:r>
        <m:sSub>
          <m:e>
            <m:r>
              <m:rPr>
                <m:sty m:val="p"/>
              </m:rPr>
              <m:t>max</m:t>
            </m:r>
          </m:e>
          <m:sub>
            <m:r>
              <m:t>q</m:t>
            </m:r>
          </m:sub>
        </m:sSub>
        <m:r>
          <m:rPr>
            <m:sty m:val="p"/>
          </m:rPr>
          <m:t>{</m:t>
        </m:r>
        <m:r>
          <m:t>p</m:t>
        </m:r>
        <m:r>
          <m:rPr>
            <m:sty m:val="p"/>
          </m:rPr>
          <m:t>⋅</m:t>
        </m:r>
        <m:r>
          <m:t>q</m:t>
        </m:r>
        <m:r>
          <m:rPr>
            <m:sty m:val="p"/>
          </m:rPr>
          <m:t>−</m:t>
        </m:r>
        <m:r>
          <m:t>C</m:t>
        </m:r>
        <m:r>
          <m:rPr>
            <m:sty m:val="p"/>
          </m:rPr>
          <m:t>(</m:t>
        </m:r>
        <m:r>
          <m:t>q</m:t>
        </m:r>
        <m:r>
          <m:rPr>
            <m:sty m:val="p"/>
          </m:rPr>
          <m:t>,</m:t>
        </m:r>
        <m:r>
          <m:rPr>
            <m:sty m:val="bi"/>
          </m:rPr>
          <m:t>w</m:t>
        </m:r>
        <m:r>
          <m:rPr>
            <m:sty m:val="p"/>
          </m:rPr>
          <m:t>)</m:t>
        </m:r>
        <m:r>
          <m:rPr>
            <m:sty m:val="p"/>
          </m:rPr>
          <m:t>}</m:t>
        </m:r>
      </m:oMath>
      <w:r>
        <w:t xml:space="preserve"> </w:t>
      </w:r>
      <w:r>
        <w:t xml:space="preserve">e escreva</w:t>
      </w:r>
      <w:r>
        <w:t xml:space="preserve"> </w:t>
      </w:r>
      <m:oMath>
        <m:r>
          <m:t>π</m:t>
        </m:r>
      </m:oMath>
      <w:r>
        <w:t xml:space="preserve"> </w:t>
      </w:r>
      <w:r>
        <w:t xml:space="preserve">como o máximo sobre uma família de funções lineares em</w:t>
      </w:r>
      <w:r>
        <w:t xml:space="preserve"> </w:t>
      </w:r>
      <m:oMath>
        <m:r>
          <m:rPr>
            <m:sty m:val="p"/>
          </m:rPr>
          <m:t>(</m:t>
        </m:r>
        <m:r>
          <m:t>p</m:t>
        </m:r>
        <m:r>
          <m:rPr>
            <m:sty m:val="p"/>
          </m:rPr>
          <m:t>,</m:t>
        </m:r>
        <m:r>
          <m:rPr>
            <m:sty m:val="bi"/>
          </m:rPr>
          <m:t>w</m:t>
        </m:r>
        <m:r>
          <m:rPr>
            <m:sty m:val="p"/>
          </m:rPr>
          <m:t>)</m:t>
        </m:r>
      </m:oMath>
      <w:r>
        <w:t xml:space="preserve">.</w:t>
      </w:r>
    </w:p>
    <w:p>
      <w:pPr>
        <w:numPr>
          <w:ilvl w:val="0"/>
          <w:numId w:val="1774"/>
        </w:numPr>
      </w:pPr>
      <w:r>
        <w:t xml:space="preserve">Mostre que o máximo pontual de funções lineares (afins) em</w:t>
      </w:r>
      <w:r>
        <w:t xml:space="preserve"> </w:t>
      </w:r>
      <m:oMath>
        <m:r>
          <m:rPr>
            <m:sty m:val="p"/>
          </m:rPr>
          <m:t>(</m:t>
        </m:r>
        <m:r>
          <m:t>p</m:t>
        </m:r>
        <m:r>
          <m:rPr>
            <m:sty m:val="p"/>
          </m:rPr>
          <m:t>,</m:t>
        </m:r>
        <m:r>
          <m:rPr>
            <m:sty m:val="bi"/>
          </m:rPr>
          <m:t>w</m:t>
        </m:r>
        <m:r>
          <m:rPr>
            <m:sty m:val="p"/>
          </m:rPr>
          <m:t>)</m:t>
        </m:r>
      </m:oMath>
      <w:r>
        <w:t xml:space="preserve"> </w:t>
      </w:r>
      <w:r>
        <w:t xml:space="preserve">é convexo, usando a definição de convexidade de função.</w:t>
      </w:r>
    </w:p>
    <w:p>
      <w:pPr>
        <w:numPr>
          <w:ilvl w:val="0"/>
          <w:numId w:val="1774"/>
        </w:numPr>
      </w:pPr>
      <w:r>
        <w:t xml:space="preserve">Interprete economicamente: o que a convexidade de</w:t>
      </w:r>
      <w:r>
        <w:t xml:space="preserve"> </w:t>
      </w:r>
      <m:oMath>
        <m:r>
          <m:t>π</m:t>
        </m:r>
      </m:oMath>
      <w:r>
        <w:t xml:space="preserve"> </w:t>
      </w:r>
      <w:r>
        <w:t xml:space="preserve">implica sobre como a firma reage a variações de preços (lei da oferta e lei da demanda por insumos)?</w:t>
      </w:r>
    </w:p>
    <w:p>
      <w:pPr>
        <w:pStyle w:val="FirstParagraph"/>
      </w:pPr>
      <w:r>
        <w:t xml:space="preserve">Ver solução (Cap. 12)</w:t>
      </w:r>
    </w:p>
    <w:p>
      <w:r>
        <w:pict>
          <v:rect style="width:0;height:1.5pt" o:hralign="center" o:hrstd="t" o:hr="t"/>
        </w:pict>
      </w:r>
    </w:p>
    <w:bookmarkEnd w:id="775"/>
    <w:bookmarkStart w:id="776" w:name="vem-anpec-13"/>
    <w:p>
      <w:pPr>
        <w:pStyle w:val="Heading3"/>
      </w:pPr>
      <w:r>
        <w:t xml:space="preserve">Vem, ANPEC!</w:t>
      </w:r>
    </w:p>
    <w:p>
      <w:pPr>
        <w:pStyle w:val="BlockText"/>
      </w:pPr>
      <w:r>
        <w:rPr>
          <w:b/>
          <w:bCs/>
        </w:rPr>
        <w:t xml:space="preserve">[QUESTAO] ANPEC 2013 — Questão 3</w:t>
      </w:r>
    </w:p>
    <w:p>
      <w:pPr>
        <w:pStyle w:val="BlockText"/>
      </w:pPr>
      <w:r>
        <w:t xml:space="preserve">Suponha que a função de produção para um dado produto tem a seguinte forma funcional:</w:t>
      </w:r>
      <w:r>
        <w:t xml:space="preserve"> </w:t>
      </w:r>
      <m:oMath>
        <m:r>
          <m:t>q</m:t>
        </m:r>
        <m:r>
          <m:rPr>
            <m:sty m:val="p"/>
          </m:rPr>
          <m:t>=</m:t>
        </m:r>
        <m:r>
          <m:t>f</m:t>
        </m:r>
        <m:r>
          <m:rPr>
            <m:sty m:val="p"/>
          </m:rPr>
          <m:t>(</m:t>
        </m:r>
        <m:sSub>
          <m:e>
            <m:r>
              <m:t>x</m:t>
            </m:r>
          </m:e>
          <m:sub>
            <m:r>
              <m:t>1</m:t>
            </m:r>
          </m:sub>
        </m:sSub>
        <m:r>
          <m:rPr>
            <m:sty m:val="p"/>
          </m:rPr>
          <m:t>)</m:t>
        </m:r>
        <m:r>
          <m:rPr>
            <m:sty m:val="p"/>
          </m:rPr>
          <m:t>=</m:t>
        </m:r>
        <m:r>
          <m:t>2</m:t>
        </m:r>
        <m:sSub>
          <m:e>
            <m:r>
              <m:t>x</m:t>
            </m:r>
          </m:e>
          <m:sub>
            <m:r>
              <m:t>1</m:t>
            </m:r>
          </m:sub>
        </m:sSub>
        <m:r>
          <m:rPr>
            <m:sty m:val="p"/>
          </m:rPr>
          <m:t>−</m:t>
        </m:r>
        <m:r>
          <m:t>0</m:t>
        </m:r>
        <m:r>
          <m:rPr>
            <m:sty m:val="p"/>
          </m:rPr>
          <m:t>,</m:t>
        </m:r>
        <m:r>
          <m:t>03</m:t>
        </m:r>
        <m:r>
          <m:t> </m:t>
        </m:r>
        <m:sSubSup>
          <m:e>
            <m:r>
              <m:t>x</m:t>
            </m:r>
          </m:e>
          <m:sub>
            <m:r>
              <m:t>1</m:t>
            </m:r>
          </m:sub>
          <m:sup>
            <m:r>
              <m:t>2</m:t>
            </m:r>
          </m:sup>
        </m:sSubSup>
      </m:oMath>
      <w:r>
        <w:t xml:space="preserve">. Considere também que o preço de uma unidade do bem final é</w:t>
      </w:r>
      <w:r>
        <w:t xml:space="preserve"> </w:t>
      </w:r>
      <m:oMath>
        <m:r>
          <m:t>p</m:t>
        </m:r>
        <m:r>
          <m:rPr>
            <m:sty m:val="p"/>
          </m:rPr>
          <m:t>(</m:t>
        </m:r>
        <m:r>
          <m:t>q</m:t>
        </m:r>
        <m:r>
          <m:rPr>
            <m:sty m:val="p"/>
          </m:rPr>
          <m:t>)</m:t>
        </m:r>
        <m:r>
          <m:rPr>
            <m:sty m:val="p"/>
          </m:rPr>
          <m:t>=</m:t>
        </m:r>
        <m:r>
          <m:t>R</m:t>
        </m:r>
        <m:r>
          <m:rPr>
            <m:sty m:val="p"/>
          </m:rPr>
          <m:t>$</m:t>
        </m:r>
        <m:r>
          <m:t> </m:t>
        </m:r>
        <m:r>
          <m:t>10</m:t>
        </m:r>
        <m:r>
          <m:rPr>
            <m:sty m:val="p"/>
          </m:rPr>
          <m:t>,</m:t>
        </m:r>
        <m:r>
          <m:t>00</m:t>
        </m:r>
      </m:oMath>
      <w:r>
        <w:t xml:space="preserve"> </w:t>
      </w:r>
      <w:r>
        <w:t xml:space="preserve">e o preço unitário do insumo, praticado pelo mercado, é</w:t>
      </w:r>
      <w:r>
        <w:t xml:space="preserve"> </w:t>
      </w:r>
      <m:oMath>
        <m:r>
          <m:t>p</m:t>
        </m:r>
        <m:r>
          <m:rPr>
            <m:sty m:val="p"/>
          </m:rPr>
          <m:t>(</m:t>
        </m:r>
        <m:sSub>
          <m:e>
            <m:r>
              <m:t>x</m:t>
            </m:r>
          </m:e>
          <m:sub>
            <m:r>
              <m:t>1</m:t>
            </m:r>
          </m:sub>
        </m:sSub>
        <m:r>
          <m:rPr>
            <m:sty m:val="p"/>
          </m:rPr>
          <m:t>)</m:t>
        </m:r>
        <m:r>
          <m:rPr>
            <m:sty m:val="p"/>
          </m:rPr>
          <m:t>=</m:t>
        </m:r>
        <m:r>
          <m:t>R</m:t>
        </m:r>
        <m:r>
          <m:rPr>
            <m:sty m:val="p"/>
          </m:rPr>
          <m:t>$</m:t>
        </m:r>
        <m:r>
          <m:t> </m:t>
        </m:r>
        <m:r>
          <m:t>8</m:t>
        </m:r>
        <m:r>
          <m:rPr>
            <m:sty m:val="p"/>
          </m:rPr>
          <m:t>,</m:t>
        </m:r>
        <m:r>
          <m:t>00</m:t>
        </m:r>
      </m:oMath>
      <w:r>
        <w:t xml:space="preserve">.</w:t>
      </w:r>
    </w:p>
    <w:p>
      <w:pPr>
        <w:pStyle w:val="BlockText"/>
      </w:pPr>
      <w:r>
        <w:t xml:space="preserve">Dadas essas informações, é correto afirmar que:</w:t>
      </w:r>
    </w:p>
    <w:p>
      <w:pPr>
        <w:pStyle w:val="BlockText"/>
      </w:pPr>
      <w:r>
        <w:rPr>
          <w:b/>
          <w:bCs/>
        </w:rPr>
        <w:t xml:space="preserve">Itens:</w:t>
      </w:r>
      <w:r>
        <w:t xml:space="preserve"> </w:t>
      </w:r>
      <w:r>
        <w:t xml:space="preserve">(marque 0 para Falso, 1 para Verdadeiro)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O nível de utilização do insumo que maximiza o nível de produção é</w:t>
            </w:r>
            <w:r>
              <w:t xml:space="preserve"> </w:t>
            </w:r>
            <m:oMath>
              <m:sSub>
                <m:e>
                  <m:r>
                    <m:t>x</m:t>
                  </m:r>
                </m:e>
                <m:sub>
                  <m:r>
                    <m:t>1</m:t>
                  </m:r>
                </m:sub>
              </m:sSub>
              <m:r>
                <m:rPr>
                  <m:sty m:val="p"/>
                </m:rPr>
                <m:t>=</m:t>
              </m:r>
              <m:r>
                <m:t>33</m:t>
              </m:r>
              <m:r>
                <m:rPr>
                  <m:sty m:val="p"/>
                </m:rPr>
                <m:t>,</m:t>
              </m:r>
              <m:r>
                <m:t>33</m:t>
              </m:r>
            </m:oMath>
            <w:r>
              <w:t xml:space="preserve">.</w:t>
            </w:r>
          </w:p>
        </w:tc>
      </w:tr>
      <w:tr>
        <w:tc>
          <w:tcPr/>
          <w:p>
            <w:pPr>
              <w:pStyle w:val="Compact"/>
            </w:pPr>
            <w:r>
              <w:t xml:space="preserve">1</w:t>
            </w:r>
          </w:p>
        </w:tc>
        <w:tc>
          <w:tcPr/>
          <w:p>
            <w:pPr>
              <w:pStyle w:val="Compact"/>
            </w:pPr>
            <w:r>
              <w:t xml:space="preserve">O nível de utilização do insumo que maximiza o lucro da firma é</w:t>
            </w:r>
            <w:r>
              <w:t xml:space="preserve"> </w:t>
            </w:r>
            <m:oMath>
              <m:sSub>
                <m:e>
                  <m:r>
                    <m:t>x</m:t>
                  </m:r>
                </m:e>
                <m:sub>
                  <m:r>
                    <m:t>1</m:t>
                  </m:r>
                </m:sub>
              </m:sSub>
              <m:r>
                <m:rPr>
                  <m:sty m:val="p"/>
                </m:rPr>
                <m:t>=</m:t>
              </m:r>
              <m:r>
                <m:t>19</m:t>
              </m:r>
              <m:r>
                <m:rPr>
                  <m:sty m:val="p"/>
                </m:rPr>
                <m:t>,</m:t>
              </m:r>
              <m:r>
                <m:t>5</m:t>
              </m:r>
            </m:oMath>
            <w:r>
              <w:t xml:space="preserve">.</w:t>
            </w:r>
          </w:p>
        </w:tc>
      </w:tr>
      <w:tr>
        <w:tc>
          <w:tcPr/>
          <w:p>
            <w:pPr>
              <w:pStyle w:val="Compact"/>
            </w:pPr>
            <w:r>
              <w:t xml:space="preserve">2</w:t>
            </w:r>
          </w:p>
        </w:tc>
        <w:tc>
          <w:tcPr/>
          <w:p>
            <w:pPr>
              <w:pStyle w:val="Compact"/>
            </w:pPr>
            <w:r>
              <w:t xml:space="preserve">O nível de produção economicamente ótimo é</w:t>
            </w:r>
            <w:r>
              <w:t xml:space="preserve"> </w:t>
            </w:r>
            <m:oMath>
              <m:r>
                <m:t>q</m:t>
              </m:r>
              <m:r>
                <m:rPr>
                  <m:sty m:val="p"/>
                </m:rPr>
                <m:t>=</m:t>
              </m:r>
              <m:r>
                <m:t>28</m:t>
              </m:r>
            </m:oMath>
            <w:r>
              <w:t xml:space="preserve">.</w:t>
            </w:r>
          </w:p>
        </w:tc>
      </w:tr>
      <w:tr>
        <w:tc>
          <w:tcPr/>
          <w:p>
            <w:pPr>
              <w:pStyle w:val="Compact"/>
            </w:pPr>
            <w:r>
              <w:t xml:space="preserve">3</w:t>
            </w:r>
          </w:p>
        </w:tc>
        <w:tc>
          <w:tcPr/>
          <w:p>
            <w:pPr>
              <w:pStyle w:val="Compact"/>
            </w:pPr>
            <w:r>
              <w:t xml:space="preserve">O lucro máximo</w:t>
            </w:r>
            <w:r>
              <w:t xml:space="preserve"> </w:t>
            </w:r>
            <m:oMath>
              <m:r>
                <m:rPr>
                  <m:sty m:val="p"/>
                </m:rPr>
                <m:t>(</m:t>
              </m:r>
              <m:r>
                <m:t>π</m:t>
              </m:r>
              <m:r>
                <m:rPr>
                  <m:sty m:val="p"/>
                </m:rPr>
                <m:t>)</m:t>
              </m:r>
            </m:oMath>
            <w:r>
              <w:t xml:space="preserve"> </w:t>
            </w:r>
            <w:r>
              <w:t xml:space="preserve">obtenível pela firma é</w:t>
            </w:r>
            <w:r>
              <w:t xml:space="preserve"> </w:t>
            </w:r>
            <m:oMath>
              <m:r>
                <m:t>π</m:t>
              </m:r>
              <m:r>
                <m:rPr>
                  <m:sty m:val="p"/>
                </m:rPr>
                <m:t>=</m:t>
              </m:r>
              <m:r>
                <m:t>R</m:t>
              </m:r>
              <m:r>
                <m:rPr>
                  <m:sty m:val="p"/>
                </m:rPr>
                <m:t>$</m:t>
              </m:r>
              <m:r>
                <m:t> </m:t>
              </m:r>
              <m:r>
                <m:t>120</m:t>
              </m:r>
              <m:r>
                <m:rPr>
                  <m:sty m:val="p"/>
                </m:rPr>
                <m:t>,</m:t>
              </m:r>
              <m:r>
                <m:t>00</m:t>
              </m:r>
            </m:oMath>
            <w:r>
              <w:t xml:space="preserve">.</w:t>
            </w:r>
          </w:p>
        </w:tc>
      </w:tr>
      <w:tr>
        <w:tc>
          <w:tcPr/>
          <w:p>
            <w:pPr>
              <w:pStyle w:val="Compact"/>
            </w:pPr>
            <w:r>
              <w:t xml:space="preserve">4</w:t>
            </w:r>
          </w:p>
        </w:tc>
        <w:tc>
          <w:tcPr/>
          <w:p>
            <w:pPr>
              <w:pStyle w:val="Compact"/>
            </w:pPr>
            <w:r>
              <w:t xml:space="preserve">A produtividade marginal do fator é crescente.</w:t>
            </w:r>
          </w:p>
        </w:tc>
      </w:tr>
    </w:tbl>
    <w:p>
      <w:pPr>
        <w:pStyle w:val="BlockText"/>
      </w:pPr>
      <w:r>
        <w:t xml:space="preserve">??? success</w:t>
      </w:r>
      <w:r>
        <w:t xml:space="preserve"> </w:t>
      </w:r>
      <w:r>
        <w:t xml:space="preserve">“Gabarito”</w:t>
      </w:r>
      <w:r>
        <w:t xml:space="preserve"> </w:t>
      </w:r>
      <w:r>
        <w:rPr>
          <w:b/>
          <w:bCs/>
        </w:rPr>
        <w:t xml:space="preserve">Respostas: 10110</w:t>
      </w:r>
    </w:p>
    <w:p>
      <w:pPr>
        <w:pStyle w:val="SourceCode"/>
      </w:pPr>
      <w:r>
        <w:rPr>
          <w:rStyle w:val="VerbatimChar"/>
        </w:rPr>
        <w:t xml:space="preserve">**Justificativa por item:**</w:t>
      </w:r>
      <w:r>
        <w:br/>
      </w:r>
      <w:r>
        <w:br/>
      </w:r>
      <w:r>
        <w:rPr>
          <w:rStyle w:val="VerbatimChar"/>
        </w:rPr>
        <w:t xml:space="preserve">- **Item 0 — V:** Para maximizar a produção, $f'(x_1) = 2 - 0{,}06\,x_1 = 0 \implies x_1 = 33{,}33$. Correto.</w:t>
      </w:r>
      <w:r>
        <w:br/>
      </w:r>
      <w:r>
        <w:rPr>
          <w:rStyle w:val="VerbatimChar"/>
        </w:rPr>
        <w:t xml:space="preserve">- **Item 1 — F:** A condição de maximização de lucro é $p \cdot f'(x_1) = p_{x_1}$, ou seja, $10(2 - 0{,}06\,x_1) = 8 \implies 20 - 0{,}6\,x_1 = 8 \implies x_1 = 20$, e não 19,5.</w:t>
      </w:r>
      <w:r>
        <w:br/>
      </w:r>
      <w:r>
        <w:rPr>
          <w:rStyle w:val="VerbatimChar"/>
        </w:rPr>
        <w:t xml:space="preserve">- **Item 2 — V:** $q(20) = 2(20) - 0{,}03(400) = 40 - 12 = 28$. Correto.</w:t>
      </w:r>
      <w:r>
        <w:br/>
      </w:r>
      <w:r>
        <w:rPr>
          <w:rStyle w:val="VerbatimChar"/>
        </w:rPr>
        <w:t xml:space="preserve">- **Item 3 — V:** $\pi = 10 \times 28 - 8 \times 20 = 280 - 160 = 120$. Correto.</w:t>
      </w:r>
      <w:r>
        <w:br/>
      </w:r>
      <w:r>
        <w:rPr>
          <w:rStyle w:val="VerbatimChar"/>
        </w:rPr>
        <w:t xml:space="preserve">- **Item 4 — F:** $\mathrm{PMg} = 2 - 0{,}06\,x_1$, que é **decrescente** em $x_1$ (rendimentos marginais decrescentes).</w:t>
      </w:r>
    </w:p>
    <w:p>
      <w:r>
        <w:pict>
          <v:rect style="width:0;height:1.5pt" o:hralign="center" o:hrstd="t" o:hr="t"/>
        </w:pict>
      </w:r>
    </w:p>
    <w:p>
      <w:pPr>
        <w:pStyle w:val="BlockText"/>
      </w:pPr>
      <w:r>
        <w:rPr>
          <w:b/>
          <w:bCs/>
        </w:rPr>
        <w:t xml:space="preserve">[QUESTAO] ANPEC 2020 — Questão 6</w:t>
      </w:r>
    </w:p>
    <w:p>
      <w:pPr>
        <w:pStyle w:val="BlockText"/>
      </w:pPr>
      <w:r>
        <w:t xml:space="preserve">Em um ano, uma empresa apresentou os seguintes dados contábeis: $1 milhão de receitas, $300 mil de compras de matérias-primas, $30 mil de despesas com água e energia elétrica, $100 mil de gastos com a folha de salários e $120 mil de gasto com o salário do proprietário da empresa. O empresário tem a opção de fechar sua empresa e alugar as instalações por $200 mil por ano. Ele também tem duas ofertas de emprego: uma com salário anual de $90 mil e outra com salário anual de $150 mil. O proprietário somente pode aceitar uma dessas ofertas, caso decida fazê-lo, e seria obrigado a fechar seu negócio. Levando em conta essas informações e a teoria dos custos, indique quais das afirmações a seguir são verdadeiras e quais são falsas:</w:t>
      </w:r>
    </w:p>
    <w:p>
      <w:pPr>
        <w:pStyle w:val="BlockText"/>
      </w:pPr>
      <w:r>
        <w:rPr>
          <w:b/>
          <w:bCs/>
        </w:rPr>
        <w:t xml:space="preserve">Itens:</w:t>
      </w:r>
      <w:r>
        <w:t xml:space="preserve"> </w:t>
      </w:r>
      <w:r>
        <w:t xml:space="preserve">(marque 0 para Falso, 1 para Verdadeiro)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O custo contábil anual da empresa é de $550 mil.</w:t>
            </w:r>
          </w:p>
        </w:tc>
      </w:tr>
      <w:tr>
        <w:tc>
          <w:tcPr/>
          <w:p>
            <w:pPr>
              <w:pStyle w:val="Compact"/>
            </w:pPr>
            <w:r>
              <w:t xml:space="preserve">1</w:t>
            </w:r>
          </w:p>
        </w:tc>
        <w:tc>
          <w:tcPr/>
          <w:p>
            <w:pPr>
              <w:pStyle w:val="Compact"/>
            </w:pPr>
            <w:r>
              <w:t xml:space="preserve">O custo econômico anual da empresa é de $780 mil.</w:t>
            </w:r>
          </w:p>
        </w:tc>
      </w:tr>
      <w:tr>
        <w:tc>
          <w:tcPr/>
          <w:p>
            <w:pPr>
              <w:pStyle w:val="Compact"/>
            </w:pPr>
            <w:r>
              <w:t xml:space="preserve">2</w:t>
            </w:r>
          </w:p>
        </w:tc>
        <w:tc>
          <w:tcPr/>
          <w:p>
            <w:pPr>
              <w:pStyle w:val="Compact"/>
            </w:pPr>
            <w:r>
              <w:t xml:space="preserve">O lucro econômico anual da empresa é de $100 mil.</w:t>
            </w:r>
          </w:p>
        </w:tc>
      </w:tr>
      <w:tr>
        <w:tc>
          <w:tcPr/>
          <w:p>
            <w:pPr>
              <w:pStyle w:val="Compact"/>
            </w:pPr>
            <w:r>
              <w:t xml:space="preserve">3</w:t>
            </w:r>
          </w:p>
        </w:tc>
        <w:tc>
          <w:tcPr/>
          <w:p>
            <w:pPr>
              <w:pStyle w:val="Compact"/>
            </w:pPr>
            <w:r>
              <w:t xml:space="preserve">Sendo racional, o proprietário deve continuar a operar sua empresa, pois o lucro econômico é positivo.</w:t>
            </w:r>
          </w:p>
        </w:tc>
      </w:tr>
      <w:tr>
        <w:tc>
          <w:tcPr/>
          <w:p>
            <w:pPr>
              <w:pStyle w:val="Compact"/>
            </w:pPr>
            <w:r>
              <w:t xml:space="preserve">4</w:t>
            </w:r>
          </w:p>
        </w:tc>
        <w:tc>
          <w:tcPr/>
          <w:p>
            <w:pPr>
              <w:pStyle w:val="Compact"/>
            </w:pPr>
            <w:r>
              <w:t xml:space="preserve">O proprietário deveria fechar a sua empresa se tivesse registrado um custo irrecuperável de $300 mil.</w:t>
            </w:r>
          </w:p>
        </w:tc>
      </w:tr>
    </w:tbl>
    <w:p>
      <w:pPr>
        <w:pStyle w:val="BlockText"/>
      </w:pPr>
      <w:r>
        <w:t xml:space="preserve">??? success</w:t>
      </w:r>
      <w:r>
        <w:t xml:space="preserve"> </w:t>
      </w:r>
      <w:r>
        <w:t xml:space="preserve">“Gabarito”</w:t>
      </w:r>
      <w:r>
        <w:t xml:space="preserve"> </w:t>
      </w:r>
      <w:r>
        <w:rPr>
          <w:b/>
          <w:bCs/>
        </w:rPr>
        <w:t xml:space="preserve">Respostas: 11010</w:t>
      </w:r>
    </w:p>
    <w:p>
      <w:pPr>
        <w:pStyle w:val="SourceCode"/>
      </w:pPr>
      <w:r>
        <w:rPr>
          <w:rStyle w:val="VerbatimChar"/>
        </w:rPr>
        <w:t xml:space="preserve">**Justificativa por item:**</w:t>
      </w:r>
      <w:r>
        <w:br/>
      </w:r>
      <w:r>
        <w:br/>
      </w:r>
      <w:r>
        <w:rPr>
          <w:rStyle w:val="VerbatimChar"/>
        </w:rPr>
        <w:t xml:space="preserve">- **Item 0 — V:** Custo contábil = matérias-primas (300) + água/energia (30) + salários funcionários (100) + salário proprietário (120) = **\$550 mil**. Correto.</w:t>
      </w:r>
      <w:r>
        <w:br/>
      </w:r>
      <w:r>
        <w:rPr>
          <w:rStyle w:val="VerbatimChar"/>
        </w:rPr>
        <w:t xml:space="preserve">- **Item 1 — V:** Custo econômico inclui todos os custos de oportunidade: matérias-primas (300) + água/energia (30) + salários funcionários (100) + custo de oportunidade do proprietário (max{90, 150} = 150) + custo de oportunidade das instalações (200) = **\$780 mil**. Correto.</w:t>
      </w:r>
      <w:r>
        <w:br/>
      </w:r>
      <w:r>
        <w:rPr>
          <w:rStyle w:val="VerbatimChar"/>
        </w:rPr>
        <w:t xml:space="preserve">- **Item 2 — F:** Lucro econômico = receita − custo econômico = 1.000 − 780 = **\$220 mil**, e não \$100 mil. O erro comum é calcular o custo de oportunidade do proprietário como 150 − 120 = 30 e do capital como 200, obtendo custo eco = 550 + 30 + 200 = 780 e lucro = 220 — o resultado é o mesmo por qualquer caminho correto.</w:t>
      </w:r>
      <w:r>
        <w:br/>
      </w:r>
      <w:r>
        <w:rPr>
          <w:rStyle w:val="VerbatimChar"/>
        </w:rPr>
        <w:t xml:space="preserve">- **Item 3 — V:** Como o lucro econômico é positivo (\$220 mil $&gt;$ 0), é racional continuar operando. Correto.</w:t>
      </w:r>
      <w:r>
        <w:br/>
      </w:r>
      <w:r>
        <w:rPr>
          <w:rStyle w:val="VerbatimChar"/>
        </w:rPr>
        <w:t xml:space="preserve">- **Item 4 — F:** Custos irrecuperáveis (*sunk costs*) não devem afetar decisões presentes e futuras. O proprietário deve considerar apenas os custos e receitas prospectivos. A existência de um custo irrecuperável passado de \$300 mil é irrelevante para a decisão de continuar ou fechar.</w:t>
      </w:r>
    </w:p>
    <w:p>
      <w:r>
        <w:pict>
          <v:rect style="width:0;height:1.5pt" o:hralign="center" o:hrstd="t" o:hr="t"/>
        </w:pict>
      </w:r>
    </w:p>
    <w:p>
      <w:pPr>
        <w:pStyle w:val="BlockText"/>
      </w:pPr>
      <w:r>
        <w:rPr>
          <w:b/>
          <w:bCs/>
        </w:rPr>
        <w:t xml:space="preserve">[QUESTAO] ANPEC 2025 — Questão 7</w:t>
      </w:r>
    </w:p>
    <w:p>
      <w:pPr>
        <w:pStyle w:val="BlockText"/>
      </w:pPr>
      <w:r>
        <w:t xml:space="preserve">Com relação à oferta da indústria, julgue as afirmativas abaixo como verdadeiras ou falsas:</w:t>
      </w:r>
    </w:p>
    <w:p>
      <w:pPr>
        <w:pStyle w:val="BlockText"/>
      </w:pPr>
      <w:r>
        <w:rPr>
          <w:b/>
          <w:bCs/>
        </w:rPr>
        <w:t xml:space="preserve">Itens:</w:t>
      </w:r>
      <w:r>
        <w:t xml:space="preserve"> </w:t>
      </w:r>
      <w:r>
        <w:t xml:space="preserve">(marque 0 para Falso, 1 para Verdadeiro)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No equilíbrio de curto prazo de uma indústria competitiva todas as empresas têm de obter lucro zero.</w:t>
            </w:r>
          </w:p>
        </w:tc>
      </w:tr>
      <w:tr>
        <w:tc>
          <w:tcPr/>
          <w:p>
            <w:pPr>
              <w:pStyle w:val="Compact"/>
            </w:pPr>
            <w:r>
              <w:t xml:space="preserve">1</w:t>
            </w:r>
          </w:p>
        </w:tc>
        <w:tc>
          <w:tcPr/>
          <w:p>
            <w:pPr>
              <w:pStyle w:val="Compact"/>
            </w:pPr>
            <w:r>
              <w:t xml:space="preserve">No equilíbrio de longo prazo, se não houver barreiras à entrada e à saída, todos os fatores de produção são remunerados a preços de mercado.</w:t>
            </w:r>
          </w:p>
        </w:tc>
      </w:tr>
      <w:tr>
        <w:tc>
          <w:tcPr/>
          <w:p>
            <w:pPr>
              <w:pStyle w:val="Compact"/>
            </w:pPr>
            <w:r>
              <w:t xml:space="preserve">2</w:t>
            </w:r>
          </w:p>
        </w:tc>
        <w:tc>
          <w:tcPr/>
          <w:p>
            <w:pPr>
              <w:pStyle w:val="Compact"/>
            </w:pPr>
            <w:r>
              <w:t xml:space="preserve">Sempre que houver barreiras à entrada causadas por um fator fixo, a indústria vai apresentar lucros positivos no longo prazo.</w:t>
            </w:r>
          </w:p>
        </w:tc>
      </w:tr>
      <w:tr>
        <w:tc>
          <w:tcPr/>
          <w:p>
            <w:pPr>
              <w:pStyle w:val="Compact"/>
            </w:pPr>
            <w:r>
              <w:t xml:space="preserve">3</w:t>
            </w:r>
          </w:p>
        </w:tc>
        <w:tc>
          <w:tcPr/>
          <w:p>
            <w:pPr>
              <w:pStyle w:val="Compact"/>
            </w:pPr>
            <w:r>
              <w:t xml:space="preserve">Caso haja renda econômica em um setor, ela determinará o preço de equilíbrio do setor.</w:t>
            </w:r>
          </w:p>
        </w:tc>
      </w:tr>
      <w:tr>
        <w:tc>
          <w:tcPr/>
          <w:p>
            <w:pPr>
              <w:pStyle w:val="Compact"/>
            </w:pPr>
            <w:r>
              <w:t xml:space="preserve">4</w:t>
            </w:r>
          </w:p>
        </w:tc>
        <w:tc>
          <w:tcPr/>
          <w:p>
            <w:pPr>
              <w:pStyle w:val="Compact"/>
            </w:pPr>
            <w:r>
              <w:t xml:space="preserve">Se não houver barreiras à entrada e à saída, e os custos da indústria forem constantes, a curva de oferta de longo prazo será horizontal, a um preço igual ao custo médio mínimo.</w:t>
            </w:r>
          </w:p>
        </w:tc>
      </w:tr>
    </w:tbl>
    <w:p>
      <w:pPr>
        <w:pStyle w:val="BlockText"/>
      </w:pPr>
      <w:r>
        <w:t xml:space="preserve">??? success</w:t>
      </w:r>
      <w:r>
        <w:t xml:space="preserve"> </w:t>
      </w:r>
      <w:r>
        <w:t xml:space="preserve">“Gabarito”</w:t>
      </w:r>
      <w:r>
        <w:t xml:space="preserve"> </w:t>
      </w:r>
      <w:r>
        <w:rPr>
          <w:b/>
          <w:bCs/>
        </w:rPr>
        <w:t xml:space="preserve">Respostas: 01001</w:t>
      </w:r>
    </w:p>
    <w:p>
      <w:pPr>
        <w:pStyle w:val="SourceCode"/>
      </w:pPr>
      <w:r>
        <w:rPr>
          <w:rStyle w:val="VerbatimChar"/>
        </w:rPr>
        <w:t xml:space="preserve">**Justificativa por item:**</w:t>
      </w:r>
      <w:r>
        <w:br/>
      </w:r>
      <w:r>
        <w:br/>
      </w:r>
      <w:r>
        <w:rPr>
          <w:rStyle w:val="VerbatimChar"/>
        </w:rPr>
        <w:t xml:space="preserve">- **Item 0 — F:** No equilíbrio de **curto prazo**, firmas podem ter lucro positivo, negativo ou zero — a condição de lucro zero vale apenas no **longo prazo** com livre entrada e saída.</w:t>
      </w:r>
      <w:r>
        <w:br/>
      </w:r>
      <w:r>
        <w:rPr>
          <w:rStyle w:val="VerbatimChar"/>
        </w:rPr>
        <w:t xml:space="preserve">- **Item 1 — V:** No equilíbrio de longo prazo com livre entrada e saída, todos os fatores são remunerados a preços de mercado, pois o lucro econômico é zero — nenhum fator é sub ou super-remunerado em relação ao seu custo de oportunidade.</w:t>
      </w:r>
      <w:r>
        <w:br/>
      </w:r>
      <w:r>
        <w:rPr>
          <w:rStyle w:val="VerbatimChar"/>
        </w:rPr>
        <w:t xml:space="preserve">- **Item 2 — F:** Um fator fixo (como terra fértil ou licença) gera **renda econômica** para o detentor desse fator. O lucro econômico das firmas permanece zero, pois a renda é capitalizada no preço do fator fixo (ou no aluguel). O "lucro" aparente é na verdade remuneração do fator escasso.</w:t>
      </w:r>
      <w:r>
        <w:br/>
      </w:r>
      <w:r>
        <w:rPr>
          <w:rStyle w:val="VerbatimChar"/>
        </w:rPr>
        <w:t xml:space="preserve">- **Item 3 — F:** A causalidade é inversa: é o **preço de equilíbrio** (determinado por oferta e demanda) que determina a renda econômica, e não o contrário. Este é o princípio ricardiano clássico: "o milho não é caro porque paga-se renda; paga-se renda porque o milho é caro."</w:t>
      </w:r>
      <w:r>
        <w:br/>
      </w:r>
      <w:r>
        <w:rPr>
          <w:rStyle w:val="VerbatimChar"/>
        </w:rPr>
        <w:t xml:space="preserve">- **Item 4 — V:** Com livre entrada/saída e custos constantes (sem economias ou deseconomias externas), firmas entram até que $p = \mathrm{CMe}_{\min}$. A curva de oferta de longo prazo é perfeitamente elástica (horizontal) nesse preço.</w:t>
      </w:r>
    </w:p>
    <w:bookmarkEnd w:id="776"/>
    <w:bookmarkEnd w:id="777"/>
    <w:bookmarkStart w:id="790" w:name="pesquisa-em-ação-capítulo-12"/>
    <w:p>
      <w:pPr>
        <w:pStyle w:val="Heading2"/>
      </w:pPr>
      <w:r>
        <w:t xml:space="preserve">Pesquisa em Ação — Capítulo 12</w:t>
      </w:r>
    </w:p>
    <w:p>
      <w:pPr>
        <w:pStyle w:val="BlockText"/>
      </w:pPr>
      <w:r>
        <w:rPr>
          <w:b/>
          <w:bCs/>
        </w:rPr>
        <w:t xml:space="preserve">[PESQUISA EM ACAO] Ulyssea, G. (2018).</w:t>
      </w:r>
      <w:r>
        <w:rPr>
          <w:b/>
          <w:bCs/>
        </w:rPr>
        <w:t xml:space="preserve"> </w:t>
      </w:r>
      <w:hyperlink r:id="rId778">
        <w:r>
          <w:rPr>
            <w:rStyle w:val="Hyperlink"/>
            <w:b/>
            <w:bCs/>
          </w:rPr>
          <w:t xml:space="preserve">Firms, Informality, and Development: Theory and Evidence from Brazil</w:t>
        </w:r>
      </w:hyperlink>
      <w:r>
        <w:rPr>
          <w:b/>
          <w:bCs/>
        </w:rPr>
        <w:t xml:space="preserve">.</w:t>
      </w:r>
      <w:r>
        <w:rPr>
          <w:b/>
          <w:bCs/>
        </w:rPr>
        <w:t xml:space="preserve"> </w:t>
      </w:r>
      <w:r>
        <w:rPr>
          <w:b/>
          <w:bCs/>
          <w:i/>
          <w:iCs/>
        </w:rPr>
        <w:t xml:space="preserve">American Economic Review</w:t>
      </w:r>
      <w:r>
        <w:rPr>
          <w:b/>
          <w:bCs/>
        </w:rPr>
        <w:t xml:space="preserve">, 108(8), 2015–2047.</w:t>
      </w:r>
    </w:p>
    <w:p>
      <w:pPr>
        <w:pStyle w:val="BlockText"/>
      </w:pPr>
      <w:r>
        <w:rPr>
          <w:b/>
          <w:bCs/>
        </w:rPr>
        <w:t xml:space="preserve">Pergunta central:</w:t>
      </w:r>
      <w:r>
        <w:t xml:space="preserve"> </w:t>
      </w:r>
      <w:r>
        <w:t xml:space="preserve">Por que tantas empresas no Brasil operam na informalidade, e quais são as consequências de políticas que tentam reduzi-la? A informalidade empresarial atinge milhões de firmas brasileiras e tem implicações diretas para produtividade, arrecadação e bem-estar. Ulyssea investiga se reduzir a informalidade de firmas (registro formal) necessariamente reduz a informalidade no mercado de trabalho (contratação formal).</w:t>
      </w:r>
    </w:p>
    <w:p>
      <w:pPr>
        <w:pStyle w:val="BlockText"/>
      </w:pPr>
      <w:r>
        <w:rPr>
          <w:b/>
          <w:bCs/>
        </w:rPr>
        <w:t xml:space="preserve">Método:</w:t>
      </w:r>
      <w:r>
        <w:t xml:space="preserve"> </w:t>
      </w:r>
      <w:r>
        <w:t xml:space="preserve">O artigo desenvolve um modelo de equilíbrio com firmas heterogêneas que tomam duas decisões: (i) se registram formalmente a empresa (margem extensiva da informalidade) e (ii) se contratam trabalhadores com carteira assinada (margem intensiva). O modelo é estimado com dados brasileiros de firmas e trabalhadores, permitindo simular políticas contrafactuais de fiscalização e redução de custos de formalização.</w:t>
      </w:r>
    </w:p>
    <w:p>
      <w:pPr>
        <w:pStyle w:val="BlockText"/>
      </w:pPr>
      <w:r>
        <w:rPr>
          <w:b/>
          <w:bCs/>
        </w:rPr>
        <w:t xml:space="preserve">Resultado principal:</w:t>
      </w:r>
      <w:r>
        <w:t xml:space="preserve"> </w:t>
      </w:r>
      <w:r>
        <w:t xml:space="preserve">O resultado central é surpreendente: as duas margens de informalidade podem mover-se em</w:t>
      </w:r>
      <w:r>
        <w:t xml:space="preserve"> </w:t>
      </w:r>
      <w:r>
        <w:rPr>
          <w:b/>
          <w:bCs/>
        </w:rPr>
        <w:t xml:space="preserve">direções opostas</w:t>
      </w:r>
      <w:r>
        <w:t xml:space="preserve">. Políticas que reduzem a informalidade empresarial (mais firmas se registrando) não necessariamente reduzem a informalidade trabalhista — e podem até piorá-la. Nem sempre há ganhos de produtividade, produto ou bem-estar. A heterogeneidade das firmas é crucial: firmas muito pequenas que se formalizam enfrentam custos regulatórios que reduzem sua eficiência.</w:t>
      </w:r>
    </w:p>
    <w:p>
      <w:pPr>
        <w:pStyle w:val="BlockText"/>
      </w:pPr>
      <w:r>
        <w:rPr>
          <w:b/>
          <w:bCs/>
        </w:rPr>
        <w:t xml:space="preserve">Por que isso importa:</w:t>
      </w:r>
      <w:r>
        <w:t xml:space="preserve"> </w:t>
      </w:r>
      <w:r>
        <w:t xml:space="preserve">Para o Brasil, onde o Simples Nacional e programas como o MEI (Microempreendedor Individual) buscam reduzir a informalidade, o artigo oferece um alerta: formalizar a empresa não é o mesmo que formalizar o emprego. Políticas públicas precisam considerar ambas as margens simultaneamente.</w:t>
      </w:r>
    </w:p>
    <w:p>
      <w:pPr>
        <w:pStyle w:val="BlockText"/>
      </w:pPr>
      <w:r>
        <w:rPr>
          <w:b/>
          <w:bCs/>
        </w:rPr>
        <w:t xml:space="preserve">Relevância para o capítulo:</w:t>
      </w:r>
      <w:r>
        <w:t xml:space="preserve"> </w:t>
      </w:r>
      <w:r>
        <w:t xml:space="preserve">O modelo de Ulyssea é fundamentalmente um modelo de</w:t>
      </w:r>
      <w:r>
        <w:t xml:space="preserve"> </w:t>
      </w:r>
      <w:r>
        <w:rPr>
          <w:b/>
          <w:bCs/>
        </w:rPr>
        <w:t xml:space="preserve">maximização de lucro</w:t>
      </w:r>
      <w:r>
        <w:t xml:space="preserve"> </w:t>
      </w:r>
      <w:r>
        <w:t xml:space="preserve">com custos de transação regulatórios. A decisão de formalizar é análoga à fronteira da firma de Coase: a firma compara o custo de operar formalmente (impostos, burocracia) com o custo de operar informalmente (risco de multa, exclusão de crédito). A informalidade trabalhista reflete a demanda por insumos sob custos regulatórios — exatamente os temas das Seções 11.1 e 11.6.</w:t>
      </w:r>
    </w:p>
    <w:p>
      <w:pPr>
        <w:pStyle w:val="BlockText"/>
      </w:pPr>
      <w:r>
        <w:rPr>
          <w:b/>
          <w:bCs/>
        </w:rPr>
        <w:t xml:space="preserve">[PESQUISA EM ACAO] Dix-Carneiro, R.; Kovak, B. K. (2017).</w:t>
      </w:r>
      <w:r>
        <w:rPr>
          <w:b/>
          <w:bCs/>
        </w:rPr>
        <w:t xml:space="preserve"> </w:t>
      </w:r>
      <w:hyperlink r:id="rId779">
        <w:r>
          <w:rPr>
            <w:rStyle w:val="Hyperlink"/>
            <w:b/>
            <w:bCs/>
          </w:rPr>
          <w:t xml:space="preserve">Trade Liberalization and Regional Dynamics</w:t>
        </w:r>
      </w:hyperlink>
      <w:r>
        <w:rPr>
          <w:b/>
          <w:bCs/>
        </w:rPr>
        <w:t xml:space="preserve">.</w:t>
      </w:r>
      <w:r>
        <w:rPr>
          <w:b/>
          <w:bCs/>
        </w:rPr>
        <w:t xml:space="preserve"> </w:t>
      </w:r>
      <w:r>
        <w:rPr>
          <w:b/>
          <w:bCs/>
          <w:i/>
          <w:iCs/>
        </w:rPr>
        <w:t xml:space="preserve">American Economic Review</w:t>
      </w:r>
      <w:r>
        <w:rPr>
          <w:b/>
          <w:bCs/>
        </w:rPr>
        <w:t xml:space="preserve">, 107(10), 2908–2946.</w:t>
      </w:r>
    </w:p>
    <w:p>
      <w:pPr>
        <w:pStyle w:val="BlockText"/>
      </w:pPr>
      <w:r>
        <w:rPr>
          <w:b/>
          <w:bCs/>
        </w:rPr>
        <w:t xml:space="preserve">Pergunta central:</w:t>
      </w:r>
      <w:r>
        <w:t xml:space="preserve"> </w:t>
      </w:r>
      <w:r>
        <w:t xml:space="preserve">Como as firmas e os mercados de trabalho regionais se ajustam no longo prazo a choques de preços causados por liberalização comercial? O Brasil realizou uma das maiores aberturas comerciais do mundo no início dos anos 1990, oferecendo um experimento natural para estudar a resposta da oferta e da demanda por insumos.</w:t>
      </w:r>
    </w:p>
    <w:p>
      <w:pPr>
        <w:pStyle w:val="BlockText"/>
      </w:pPr>
      <w:r>
        <w:rPr>
          <w:b/>
          <w:bCs/>
        </w:rPr>
        <w:t xml:space="preserve">Método:</w:t>
      </w:r>
      <w:r>
        <w:t xml:space="preserve"> </w:t>
      </w:r>
      <w:r>
        <w:t xml:space="preserve">Os autores combinam dados de censos demográficos brasileiros de 1991 a 2010 com variação regional na exposição a reduções tarifárias, usando uma estratégia de diferenças-em-diferenças. Regiões mais afetadas pela abertura (que tinham indústrias mais protegidas) são comparadas com regiões menos afetadas ao longo de 20 anos.</w:t>
      </w:r>
    </w:p>
    <w:p>
      <w:pPr>
        <w:pStyle w:val="BlockText"/>
      </w:pPr>
      <w:r>
        <w:rPr>
          <w:b/>
          <w:bCs/>
        </w:rPr>
        <w:t xml:space="preserve">Resultado principal:</w:t>
      </w:r>
      <w:r>
        <w:t xml:space="preserve"> </w:t>
      </w:r>
      <w:r>
        <w:t xml:space="preserve">O impacto negativo sobre emprego formal e salários foi</w:t>
      </w:r>
      <w:r>
        <w:t xml:space="preserve"> </w:t>
      </w:r>
      <w:r>
        <w:rPr>
          <w:b/>
          <w:bCs/>
        </w:rPr>
        <w:t xml:space="preserve">persistente e crescente</w:t>
      </w:r>
      <w:r>
        <w:t xml:space="preserve">: após 20 anos, regiões mais afetadas apresentavam queda de emprego formal cerca de três vezes maior do que após 10 anos. O mecanismo envolve mobilidade imperfeita do trabalho, ajuste lento do capital e perda de economias de aglomeração. Firmas em regiões expostas reduziram a produção e a demanda por trabalho de forma prolongada — contrariando modelos que preveem ajuste rápido.</w:t>
      </w:r>
    </w:p>
    <w:p>
      <w:pPr>
        <w:pStyle w:val="BlockText"/>
      </w:pPr>
      <w:r>
        <w:rPr>
          <w:b/>
          <w:bCs/>
        </w:rPr>
        <w:t xml:space="preserve">Por que isso importa:</w:t>
      </w:r>
      <w:r>
        <w:t xml:space="preserve"> </w:t>
      </w:r>
      <w:r>
        <w:t xml:space="preserve">O estudo demonstra empiricamente que a</w:t>
      </w:r>
      <w:r>
        <w:t xml:space="preserve"> </w:t>
      </w:r>
      <w:r>
        <w:t xml:space="preserve">“curva de oferta de longo prazo”</w:t>
      </w:r>
      <w:r>
        <w:t xml:space="preserve"> </w:t>
      </w:r>
      <w:r>
        <w:t xml:space="preserve">— que a teoria descreve como perfeitamente elástica — pode levar décadas para se materializar em economias reais com fricções. Para o Brasil, os resultados informam debates sobre política comercial e proteção a setores vulneráveis.</w:t>
      </w:r>
    </w:p>
    <w:p>
      <w:pPr>
        <w:pStyle w:val="BlockText"/>
      </w:pPr>
      <w:r>
        <w:rPr>
          <w:b/>
          <w:bCs/>
        </w:rPr>
        <w:t xml:space="preserve">Relevância para o capítulo:</w:t>
      </w:r>
      <w:r>
        <w:t xml:space="preserve"> </w:t>
      </w:r>
      <w:r>
        <w:t xml:space="preserve">O artigo ilustra a distinção entre</w:t>
      </w:r>
      <w:r>
        <w:t xml:space="preserve"> </w:t>
      </w:r>
      <w:r>
        <w:rPr>
          <w:b/>
          <w:bCs/>
        </w:rPr>
        <w:t xml:space="preserve">curto e longo prazo</w:t>
      </w:r>
      <w:r>
        <w:t xml:space="preserve"> </w:t>
      </w:r>
      <w:r>
        <w:t xml:space="preserve">da Seção 12.4: no curto prazo, firmas operam com prejuízo (decisão de não fechar), mas no longo prazo, a saída de firmas e a realocação de fatores deveria restaurar o equilíbrio. Dix-Carneiro e Kovak mostram que esse ajuste pode ser extremamente lento. O artigo também documenta empiricamente como a</w:t>
      </w:r>
      <w:r>
        <w:t xml:space="preserve"> </w:t>
      </w:r>
      <w:r>
        <w:rPr>
          <w:b/>
          <w:bCs/>
        </w:rPr>
        <w:t xml:space="preserve">demanda por insumos</w:t>
      </w:r>
      <w:r>
        <w:t xml:space="preserve"> </w:t>
      </w:r>
      <w:r>
        <w:t xml:space="preserve">(Seção 12.6) responde a mudanças de preços — exatamente o que o Lema de Hotelling prediz, mas com dinâmica muito mais complexa do que o modelo estático sugere.</w:t>
      </w:r>
    </w:p>
    <w:p>
      <w:pPr>
        <w:pStyle w:val="BlockText"/>
      </w:pPr>
      <w:r>
        <w:rPr>
          <w:b/>
          <w:bCs/>
        </w:rPr>
        <w:t xml:space="preserve">[PESQUISA EM ACAO] Olley, G. S.; Pakes, A. (1996).</w:t>
      </w:r>
      <w:r>
        <w:rPr>
          <w:b/>
          <w:bCs/>
        </w:rPr>
        <w:t xml:space="preserve"> </w:t>
      </w:r>
      <w:hyperlink r:id="rId780">
        <w:r>
          <w:rPr>
            <w:rStyle w:val="Hyperlink"/>
            <w:b/>
            <w:bCs/>
          </w:rPr>
          <w:t xml:space="preserve">The Dynamics of Productivity in the Telecommunications Equipment Industry</w:t>
        </w:r>
      </w:hyperlink>
      <w:r>
        <w:rPr>
          <w:b/>
          <w:bCs/>
        </w:rPr>
        <w:t xml:space="preserve">.</w:t>
      </w:r>
      <w:r>
        <w:rPr>
          <w:b/>
          <w:bCs/>
        </w:rPr>
        <w:t xml:space="preserve"> </w:t>
      </w:r>
      <w:r>
        <w:rPr>
          <w:b/>
          <w:bCs/>
          <w:i/>
          <w:iCs/>
        </w:rPr>
        <w:t xml:space="preserve">Econometrica</w:t>
      </w:r>
      <w:r>
        <w:rPr>
          <w:b/>
          <w:bCs/>
        </w:rPr>
        <w:t xml:space="preserve">, 64(6), 1263–1297.</w:t>
      </w:r>
    </w:p>
    <w:p>
      <w:pPr>
        <w:pStyle w:val="BlockText"/>
      </w:pPr>
      <w:r>
        <w:rPr>
          <w:b/>
          <w:bCs/>
        </w:rPr>
        <w:t xml:space="preserve">Pergunta central:</w:t>
      </w:r>
      <w:r>
        <w:t xml:space="preserve"> </w:t>
      </w:r>
      <w:r>
        <w:t xml:space="preserve">Como as firmas na indústria de equipamentos de telecomunicações dos EUA — submetida a uma grande desregulamentação no início dos anos 1980 — responderam com ajustes de produtividade? E como medir a produtividade total dos fatores (PTF) de forma confiável quando há viés de simultaneidade (as firmas escolhem insumos</w:t>
      </w:r>
      <w:r>
        <w:t xml:space="preserve"> </w:t>
      </w:r>
      <w:r>
        <w:rPr>
          <w:i/>
          <w:iCs/>
        </w:rPr>
        <w:t xml:space="preserve">sabendo</w:t>
      </w:r>
      <w:r>
        <w:t xml:space="preserve"> </w:t>
      </w:r>
      <w:r>
        <w:t xml:space="preserve">sua produtividade) e viés de seleção (firmas menos produtivas saem do mercado)?</w:t>
      </w:r>
    </w:p>
    <w:p>
      <w:pPr>
        <w:pStyle w:val="BlockText"/>
      </w:pPr>
      <w:r>
        <w:rPr>
          <w:b/>
          <w:bCs/>
        </w:rPr>
        <w:t xml:space="preserve">Método:</w:t>
      </w:r>
      <w:r>
        <w:t xml:space="preserve"> </w:t>
      </w:r>
      <w:r>
        <w:t xml:space="preserve">Olley e Pakes desenvolvem um estimador seminal para funções de produção em painel, usando o investimento como proxy para a produtividade não observada da firma (o chamado</w:t>
      </w:r>
      <w:r>
        <w:t xml:space="preserve"> </w:t>
      </w:r>
      <w:r>
        <w:t xml:space="preserve">“estimador OP”</w:t>
      </w:r>
      <w:r>
        <w:t xml:space="preserve">). A ideia central é que firmas mais produtivas investem mais — logo o investimento carrega informação sobre o choque de produtividade corrente. O método controla para: (i) viés de simultaneidade (correlação entre insumos e produtividade inobservada); (ii) viés de seleção (firmas mais produtivas sobrevivem). O artigo combina esse avanço econométrico com análise da dinâmica industrial pós-desregulamentação.</w:t>
      </w:r>
    </w:p>
    <w:p>
      <w:pPr>
        <w:pStyle w:val="BlockText"/>
      </w:pPr>
      <w:r>
        <w:rPr>
          <w:b/>
          <w:bCs/>
        </w:rPr>
        <w:t xml:space="preserve">Resultado principal:</w:t>
      </w:r>
      <w:r>
        <w:t xml:space="preserve"> </w:t>
      </w:r>
      <w:r>
        <w:t xml:space="preserve">A PTF da indústria cresceu substancialmente após a desregulamentação, mas os ganhos foram concentrados em firmas maiores que expandiram participação de mercado — e não primariamente em aumentos de produtividade dentro das firmas. A</w:t>
      </w:r>
      <w:r>
        <w:t xml:space="preserve"> </w:t>
      </w:r>
      <w:r>
        <w:rPr>
          <w:i/>
          <w:iCs/>
        </w:rPr>
        <w:t xml:space="preserve">realocação</w:t>
      </w:r>
      <w:r>
        <w:t xml:space="preserve"> </w:t>
      </w:r>
      <w:r>
        <w:t xml:space="preserve">de produção para firmas mais eficientes foi o mecanismo dominante. Além disso, firmas que anteciparam saída do mercado (baixa probabilidade de sobrevivência) reduziram investimento mais rapidamente, gerando um viés de seleção que os métodos convencionais não capturam.</w:t>
      </w:r>
    </w:p>
    <w:p>
      <w:pPr>
        <w:pStyle w:val="BlockText"/>
      </w:pPr>
      <w:r>
        <w:rPr>
          <w:b/>
          <w:bCs/>
        </w:rPr>
        <w:t xml:space="preserve">Por que isso importa:</w:t>
      </w:r>
      <w:r>
        <w:t xml:space="preserve"> </w:t>
      </w:r>
      <w:r>
        <w:t xml:space="preserve">O estimador OP tornou-se o padrão-ouro para estimação de funções de produção com dados de firmas. A metodologia é extensamente utilizada em pesquisas sobre produtividade no Brasil (por exemplo, pelo IPEA e pela FGV IBRE com dados da PIA — Pesquisa Industrial Anual do IBGE) e em estudos sobre o impacto da abertura comercial sobre a produtividade das firmas brasileiras, como os de Schor (2004).</w:t>
      </w:r>
    </w:p>
    <w:p>
      <w:pPr>
        <w:pStyle w:val="BlockText"/>
      </w:pPr>
      <w:r>
        <w:rPr>
          <w:b/>
          <w:bCs/>
        </w:rPr>
        <w:t xml:space="preserve">Relevância para o capítulo:</w:t>
      </w:r>
      <w:r>
        <w:t xml:space="preserve"> </w:t>
      </w:r>
      <w:r>
        <w:t xml:space="preserve">O artigo demonstra empiricamente como as firmas ajustam a demanda por insumos (capital e trabalho) em resposta a mudanças nas condições de lucratividade — o tema central da Seção 12.6. A função de produção estimada pelo método OP é precisamente o objeto que entra na função lucro da Seção 12.5, e os resultados sobre seleção confirmam a importância da decisão de saída (shutdown) da Seção 12.4: firmas com baixa produtividade antecipam o fechamento e reduzem o investimento antes de sair.</w:t>
      </w:r>
    </w:p>
    <w:p>
      <w:pPr>
        <w:pStyle w:val="BlockText"/>
      </w:pPr>
      <w:r>
        <w:rPr>
          <w:b/>
          <w:bCs/>
        </w:rPr>
        <w:t xml:space="preserve">[PESQUISA EM ACAO] De Loecker, J.; Warzynski, F. (2012).</w:t>
      </w:r>
      <w:r>
        <w:rPr>
          <w:b/>
          <w:bCs/>
        </w:rPr>
        <w:t xml:space="preserve"> </w:t>
      </w:r>
      <w:hyperlink r:id="rId781">
        <w:r>
          <w:rPr>
            <w:rStyle w:val="Hyperlink"/>
            <w:b/>
            <w:bCs/>
          </w:rPr>
          <w:t xml:space="preserve">Markups and Firm-Level Export Status</w:t>
        </w:r>
      </w:hyperlink>
      <w:r>
        <w:rPr>
          <w:b/>
          <w:bCs/>
        </w:rPr>
        <w:t xml:space="preserve">.</w:t>
      </w:r>
      <w:r>
        <w:rPr>
          <w:b/>
          <w:bCs/>
        </w:rPr>
        <w:t xml:space="preserve"> </w:t>
      </w:r>
      <w:r>
        <w:rPr>
          <w:b/>
          <w:bCs/>
          <w:i/>
          <w:iCs/>
        </w:rPr>
        <w:t xml:space="preserve">American Economic Review</w:t>
      </w:r>
      <w:r>
        <w:rPr>
          <w:b/>
          <w:bCs/>
        </w:rPr>
        <w:t xml:space="preserve">, 102(6), 2437–2471.</w:t>
      </w:r>
    </w:p>
    <w:p>
      <w:pPr>
        <w:pStyle w:val="BlockText"/>
      </w:pPr>
      <w:r>
        <w:rPr>
          <w:b/>
          <w:bCs/>
        </w:rPr>
        <w:t xml:space="preserve">Pergunta central:</w:t>
      </w:r>
      <w:r>
        <w:t xml:space="preserve"> </w:t>
      </w:r>
      <w:r>
        <w:t xml:space="preserve">Os exportadores cobram markups mais altos do que firmas que vendem apenas no mercado doméstico? E quais mecanismos causam essa diferença — seleção (firmas mais eficientes exportam) ou aprendizado com a exportação? A questão conecta a teoria do markup (derivada da condição</w:t>
      </w:r>
      <w:r>
        <w:t xml:space="preserve"> </w:t>
      </w:r>
      <m:oMath>
        <m:r>
          <m:t>p</m:t>
        </m:r>
        <m:r>
          <m:rPr>
            <m:sty m:val="p"/>
          </m:rPr>
          <m:t>=</m:t>
        </m:r>
        <m:r>
          <m:rPr>
            <m:sty m:val="p"/>
          </m:rPr>
          <m:t>C</m:t>
        </m:r>
        <m:r>
          <m:rPr>
            <m:sty m:val="p"/>
          </m:rPr>
          <m:t>M</m:t>
        </m:r>
        <m:r>
          <m:rPr>
            <m:sty m:val="p"/>
          </m:rPr>
          <m:t>g</m:t>
        </m:r>
        <m:r>
          <m:rPr>
            <m:sty m:val="p"/>
          </m:rPr>
          <m:t>/</m:t>
        </m:r>
        <m:r>
          <m:rPr>
            <m:sty m:val="p"/>
          </m:rPr>
          <m:t>(</m:t>
        </m:r>
        <m:r>
          <m:t>1</m:t>
        </m:r>
        <m:r>
          <m:rPr>
            <m:sty m:val="p"/>
          </m:rPr>
          <m:t>−</m:t>
        </m:r>
        <m:r>
          <m:t>1</m:t>
        </m:r>
        <m:r>
          <m:rPr>
            <m:sty m:val="p"/>
          </m:rPr>
          <m:t>/</m:t>
        </m:r>
        <m:r>
          <m:rPr>
            <m:sty m:val="p"/>
          </m:rPr>
          <m:t>|</m:t>
        </m:r>
        <m:sSub>
          <m:e>
            <m:r>
              <m:t>ε</m:t>
            </m:r>
          </m:e>
          <m:sub>
            <m:r>
              <m:t>d</m:t>
            </m:r>
          </m:sub>
        </m:sSub>
        <m:r>
          <m:rPr>
            <m:sty m:val="p"/>
          </m:rPr>
          <m:t>|</m:t>
        </m:r>
        <m:r>
          <m:rPr>
            <m:sty m:val="p"/>
          </m:rPr>
          <m:t>)</m:t>
        </m:r>
      </m:oMath>
      <w:r>
        <w:t xml:space="preserve">) à literatura de comércio internacional e competitividade industrial.</w:t>
      </w:r>
    </w:p>
    <w:p>
      <w:pPr>
        <w:pStyle w:val="BlockText"/>
      </w:pPr>
      <w:r>
        <w:rPr>
          <w:b/>
          <w:bCs/>
        </w:rPr>
        <w:t xml:space="preserve">Método:</w:t>
      </w:r>
      <w:r>
        <w:t xml:space="preserve"> </w:t>
      </w:r>
      <w:r>
        <w:t xml:space="preserve">Os autores propõem um método para estimar markups no nível da firma a partir de dados de produção, sem necessidade de informação sobre preços de insumos individuais. O método é baseado no Lema de Hotelling aplicado à função custo: a razão entre a receita marginal do insumo variável e a participação desse insumo na receita total identifica o markup. Usando dados de firmas manufatureiras eslovenas (1994–2000), estimam markups por setor e status de exportação.</w:t>
      </w:r>
    </w:p>
    <w:p>
      <w:pPr>
        <w:pStyle w:val="BlockText"/>
      </w:pPr>
      <w:r>
        <w:rPr>
          <w:b/>
          <w:bCs/>
        </w:rPr>
        <w:t xml:space="preserve">Resultado principal:</w:t>
      </w:r>
      <w:r>
        <w:t xml:space="preserve"> </w:t>
      </w:r>
      <w:r>
        <w:t xml:space="preserve">Exportadores cobram markups significativamente maiores que não-exportadores (diferença de ~12% em média), e esse diferencial aumenta</w:t>
      </w:r>
      <w:r>
        <w:t xml:space="preserve"> </w:t>
      </w:r>
      <w:r>
        <w:rPr>
          <w:i/>
          <w:iCs/>
        </w:rPr>
        <w:t xml:space="preserve">após</w:t>
      </w:r>
      <w:r>
        <w:t xml:space="preserve"> </w:t>
      </w:r>
      <w:r>
        <w:t xml:space="preserve">a entrada no mercado de exportação — sugerindo que o aprendizado com a exportação (acesso a mercados mais competitivos, pressão para inovar) é um mecanismo causal, e não apenas seleção de firmas ex-ante eficientes. Além disso, o markup é heterogêneo entre firmas dentro do mesmo setor, desafiando modelos que assumem markup uniforme.</w:t>
      </w:r>
    </w:p>
    <w:p>
      <w:pPr>
        <w:pStyle w:val="BlockText"/>
      </w:pPr>
      <w:r>
        <w:rPr>
          <w:b/>
          <w:bCs/>
        </w:rPr>
        <w:t xml:space="preserve">Por que isso importa:</w:t>
      </w:r>
      <w:r>
        <w:t xml:space="preserve"> </w:t>
      </w:r>
      <w:r>
        <w:t xml:space="preserve">O método de estimação de markups de De Loecker e Warzynski transformou a literatura empírica sobre poder de mercado. Versões estendidas (como De Loecker, Eeckhout &amp; Unger, QJE 2020) documentaram o aumento secular dos markups nas economias avançadas — o que tem implicações diretas para a distribuição funcional da renda e para o debate sobre concentração de mercado. Para o Brasil, o método tem sido aplicado com dados da PIA/IBGE para medir o poder de mercado de firmas industriais em diferentes períodos de abertura e fechamento comercial.</w:t>
      </w:r>
    </w:p>
    <w:p>
      <w:pPr>
        <w:pStyle w:val="BlockText"/>
      </w:pPr>
      <w:r>
        <w:rPr>
          <w:b/>
          <w:bCs/>
        </w:rPr>
        <w:t xml:space="preserve">Relevância para o capítulo:</w:t>
      </w:r>
      <w:r>
        <w:t xml:space="preserve"> </w:t>
      </w:r>
      <w:r>
        <w:t xml:space="preserve">O índice de Lerner (Seção 12.3) é o conceito teórico que o método de De Loecker e Warzynski operacionaliza empiricamente. A derivação do markup a partir de dados de produção é uma aplicação direta do Lema de Hotelling (Seção 12.5): as condições de otimalidade da firma (VPMg = preço do insumo) identificam o markup quando combinadas com dados sobre a função de produção e os gastos com insumos.</w:t>
      </w:r>
    </w:p>
    <w:p>
      <w:pPr>
        <w:pStyle w:val="BlockText"/>
      </w:pPr>
      <w:r>
        <w:rPr>
          <w:b/>
          <w:bCs/>
        </w:rPr>
        <w:t xml:space="preserve">[PESQUISA EM ACAO] Schor, A. (2004).</w:t>
      </w:r>
      <w:r>
        <w:rPr>
          <w:b/>
          <w:bCs/>
        </w:rPr>
        <w:t xml:space="preserve"> </w:t>
      </w:r>
      <w:hyperlink r:id="rId782">
        <w:r>
          <w:rPr>
            <w:rStyle w:val="Hyperlink"/>
            <w:b/>
            <w:bCs/>
          </w:rPr>
          <w:t xml:space="preserve">Heterogeneous Productivity Response to Tariff Reduction: Evidence from Brazilian Manufacturing Firms</w:t>
        </w:r>
      </w:hyperlink>
      <w:r>
        <w:rPr>
          <w:b/>
          <w:bCs/>
        </w:rPr>
        <w:t xml:space="preserve">.</w:t>
      </w:r>
      <w:r>
        <w:rPr>
          <w:b/>
          <w:bCs/>
        </w:rPr>
        <w:t xml:space="preserve"> </w:t>
      </w:r>
      <w:r>
        <w:rPr>
          <w:b/>
          <w:bCs/>
          <w:i/>
          <w:iCs/>
        </w:rPr>
        <w:t xml:space="preserve">Journal of International Economics</w:t>
      </w:r>
      <w:r>
        <w:rPr>
          <w:b/>
          <w:bCs/>
        </w:rPr>
        <w:t xml:space="preserve">, 63(2), 373–394.</w:t>
      </w:r>
    </w:p>
    <w:p>
      <w:pPr>
        <w:pStyle w:val="BlockText"/>
      </w:pPr>
      <w:r>
        <w:rPr>
          <w:b/>
          <w:bCs/>
        </w:rPr>
        <w:t xml:space="preserve">Pergunta central:</w:t>
      </w:r>
      <w:r>
        <w:t xml:space="preserve"> </w:t>
      </w:r>
      <w:r>
        <w:t xml:space="preserve">Como as firmas manufatureiras brasileiras responderam à abertura comercial dos anos 1990 em termos de produtividade total dos fatores? A redução tarifária afetou todas as firmas uniformemente, ou existiu heterogeneidade sistemática — com algumas firmas ganhando eficiência enquanto outras perderam ou saíram?</w:t>
      </w:r>
    </w:p>
    <w:p>
      <w:pPr>
        <w:pStyle w:val="BlockText"/>
      </w:pPr>
      <w:r>
        <w:rPr>
          <w:b/>
          <w:bCs/>
        </w:rPr>
        <w:t xml:space="preserve">Método:</w:t>
      </w:r>
      <w:r>
        <w:t xml:space="preserve"> </w:t>
      </w:r>
      <w:r>
        <w:t xml:space="preserve">Schor utiliza dados em painel de firmas industriais brasileiras da Pesquisa Industrial Anual (PIA/IBGE) para o período de 1986–1998, que engloba tanto a fase pré-abertura (proteção elevada) quanto o choque tarifário de 1990–1994 (redução de tarifas médias de ~40% para ~14%). Estima funções de produção pelo método de Olley-Pakes para obter medidas de PTF no nível da firma, e depois analisa como a variação tarifária por setor afetou a PTF, controlando para seleção (entrada e saída de firmas).</w:t>
      </w:r>
    </w:p>
    <w:p>
      <w:pPr>
        <w:pStyle w:val="BlockText"/>
      </w:pPr>
      <w:r>
        <w:rPr>
          <w:b/>
          <w:bCs/>
        </w:rPr>
        <w:t xml:space="preserve">Resultado principal:</w:t>
      </w:r>
      <w:r>
        <w:t xml:space="preserve"> </w:t>
      </w:r>
      <w:r>
        <w:t xml:space="preserve">A resposta de produtividade à redução tarifária foi</w:t>
      </w:r>
      <w:r>
        <w:t xml:space="preserve"> </w:t>
      </w:r>
      <w:r>
        <w:rPr>
          <w:b/>
          <w:bCs/>
        </w:rPr>
        <w:t xml:space="preserve">altamente heterogênea</w:t>
      </w:r>
      <w:r>
        <w:t xml:space="preserve">: firmas com produtividade inicial mais alta tenderam a ganhar mais (ou perder menos) com a abertura — o que é consistente com modelos de seleção onde firmas eficientes sobrevivem e expandem enquanto firmas ineficientes saem. As firmas que continuaram operando apresentaram ganhos médios de PTF, mas esses ganhos foram parcialmente compensados pela saída de firmas de produtividade média, resultando em recomposição do portfólio industrial. O efeito sobre</w:t>
      </w:r>
      <w:r>
        <w:t xml:space="preserve"> </w:t>
      </w:r>
      <w:r>
        <w:rPr>
          <w:i/>
          <w:iCs/>
        </w:rPr>
        <w:t xml:space="preserve">emprego</w:t>
      </w:r>
      <w:r>
        <w:t xml:space="preserve"> </w:t>
      </w:r>
      <w:r>
        <w:t xml:space="preserve">foi misto: o ganho de eficiência das sobreviventes não compensou as perdas de emprego das firmas que saíram.</w:t>
      </w:r>
    </w:p>
    <w:p>
      <w:pPr>
        <w:pStyle w:val="BlockText"/>
      </w:pPr>
      <w:r>
        <w:rPr>
          <w:b/>
          <w:bCs/>
        </w:rPr>
        <w:t xml:space="preserve">Por que isso importa:</w:t>
      </w:r>
      <w:r>
        <w:t xml:space="preserve"> </w:t>
      </w:r>
      <w:r>
        <w:t xml:space="preserve">O artigo é um dos primeiros estudos empíricos rigorosos sobre o impacto da abertura comercial sobre firmas brasileiras, usando metodologia microeconômica moderna. Ele documenta empiricamente os mecanismos de seleção e realocação que a teoria da firma (maximização de lucro e decisões de entrada/saída) prediz, e fornece evidência para o debate de política industrial sobre proteção tarifária e competitividade.</w:t>
      </w:r>
    </w:p>
    <w:p>
      <w:pPr>
        <w:pStyle w:val="BlockText"/>
      </w:pPr>
      <w:r>
        <w:rPr>
          <w:b/>
          <w:bCs/>
        </w:rPr>
        <w:t xml:space="preserve">Relevância para o capítulo:</w:t>
      </w:r>
      <w:r>
        <w:t xml:space="preserve"> </w:t>
      </w:r>
      <w:r>
        <w:t xml:space="preserve">Os resultados de Schor ilustram as condições de entrada, saída e shutdown da Seção 12.4 em um contexto real de choque de preços (queda de</w:t>
      </w:r>
      <w:r>
        <w:t xml:space="preserve"> </w:t>
      </w:r>
      <m:oMath>
        <m:r>
          <m:t>p</m:t>
        </m:r>
      </m:oMath>
      <w:r>
        <w:t xml:space="preserve"> </w:t>
      </w:r>
      <w:r>
        <w:t xml:space="preserve">relativo para firmas que competem com importados mais baratos). Firmas cujo preço caiu abaixo do CMe mínimo de longo prazo saíram do mercado — confirmando a teoria. As firmas que permaneceram ajustaram a demanda por insumos (Seção 12.6) em direção a combinações mais eficientes, respondendo à pressão competitiva exatamente como o modelo de maximização de lucro prevê.</w:t>
      </w:r>
    </w:p>
    <w:bookmarkStart w:id="789" w:name="referências-do-capítulo-13"/>
    <w:p>
      <w:pPr>
        <w:pStyle w:val="Heading3"/>
      </w:pPr>
      <w:r>
        <w:t xml:space="preserve">Referências do Capítulo</w:t>
      </w:r>
    </w:p>
    <w:p>
      <w:pPr>
        <w:pStyle w:val="Compact"/>
        <w:numPr>
          <w:ilvl w:val="0"/>
          <w:numId w:val="1775"/>
        </w:numPr>
      </w:pPr>
      <w:r>
        <w:t xml:space="preserve">Coase, Ronald H. 1937.</w:t>
      </w:r>
      <w:r>
        <w:t xml:space="preserve"> </w:t>
      </w:r>
      <w:hyperlink r:id="rId783">
        <w:r>
          <w:rPr>
            <w:rStyle w:val="Hyperlink"/>
          </w:rPr>
          <w:t xml:space="preserve">“The Nature of the Firm.”</w:t>
        </w:r>
      </w:hyperlink>
      <w:r>
        <w:t xml:space="preserve"> </w:t>
      </w:r>
      <w:r>
        <w:rPr>
          <w:i/>
          <w:iCs/>
        </w:rPr>
        <w:t xml:space="preserve">Economica</w:t>
      </w:r>
      <w:r>
        <w:t xml:space="preserve"> </w:t>
      </w:r>
      <w:r>
        <w:t xml:space="preserve">4 (16): 386–405.</w:t>
      </w:r>
    </w:p>
    <w:p>
      <w:pPr>
        <w:pStyle w:val="Compact"/>
        <w:numPr>
          <w:ilvl w:val="0"/>
          <w:numId w:val="1775"/>
        </w:numPr>
      </w:pPr>
      <w:r>
        <w:t xml:space="preserve">CONAB. 2023–2026.</w:t>
      </w:r>
      <w:r>
        <w:t xml:space="preserve"> </w:t>
      </w:r>
      <w:hyperlink r:id="rId659">
        <w:r>
          <w:rPr>
            <w:rStyle w:val="Hyperlink"/>
            <w:i/>
            <w:iCs/>
          </w:rPr>
          <w:t xml:space="preserve">Acompanhamento da Safra Brasileira de Grãos</w:t>
        </w:r>
      </w:hyperlink>
      <w:r>
        <w:t xml:space="preserve">. Brasília: CONAB.</w:t>
      </w:r>
    </w:p>
    <w:p>
      <w:pPr>
        <w:pStyle w:val="Compact"/>
        <w:numPr>
          <w:ilvl w:val="0"/>
          <w:numId w:val="1775"/>
        </w:numPr>
      </w:pPr>
      <w:r>
        <w:t xml:space="preserve">De Loecker, Jan, e Frederic Warzynski. 2012.</w:t>
      </w:r>
      <w:r>
        <w:t xml:space="preserve"> </w:t>
      </w:r>
      <w:hyperlink r:id="rId781">
        <w:r>
          <w:rPr>
            <w:rStyle w:val="Hyperlink"/>
          </w:rPr>
          <w:t xml:space="preserve">“Markups and Firm-Level Export Status.”</w:t>
        </w:r>
      </w:hyperlink>
      <w:r>
        <w:t xml:space="preserve"> </w:t>
      </w:r>
      <w:r>
        <w:rPr>
          <w:i/>
          <w:iCs/>
        </w:rPr>
        <w:t xml:space="preserve">American Economic Review</w:t>
      </w:r>
      <w:r>
        <w:t xml:space="preserve"> </w:t>
      </w:r>
      <w:r>
        <w:t xml:space="preserve">102 (6): 2437–2471.</w:t>
      </w:r>
    </w:p>
    <w:p>
      <w:pPr>
        <w:pStyle w:val="Compact"/>
        <w:numPr>
          <w:ilvl w:val="0"/>
          <w:numId w:val="1775"/>
        </w:numPr>
      </w:pPr>
      <w:r>
        <w:t xml:space="preserve">Dix-Carneiro, Rafael, e Brian K. Kovak. 2017.</w:t>
      </w:r>
      <w:r>
        <w:t xml:space="preserve"> </w:t>
      </w:r>
      <w:hyperlink r:id="rId779">
        <w:r>
          <w:rPr>
            <w:rStyle w:val="Hyperlink"/>
          </w:rPr>
          <w:t xml:space="preserve">“Trade Liberalization and Regional Dynamics.”</w:t>
        </w:r>
      </w:hyperlink>
      <w:r>
        <w:t xml:space="preserve"> </w:t>
      </w:r>
      <w:r>
        <w:rPr>
          <w:i/>
          <w:iCs/>
        </w:rPr>
        <w:t xml:space="preserve">American Economic Review</w:t>
      </w:r>
      <w:r>
        <w:t xml:space="preserve"> </w:t>
      </w:r>
      <w:r>
        <w:t xml:space="preserve">107 (10): 2908–2946.</w:t>
      </w:r>
    </w:p>
    <w:p>
      <w:pPr>
        <w:pStyle w:val="Compact"/>
        <w:numPr>
          <w:ilvl w:val="0"/>
          <w:numId w:val="1775"/>
        </w:numPr>
      </w:pPr>
      <w:r>
        <w:t xml:space="preserve">Hart, Oliver, e John Moore. 1990.</w:t>
      </w:r>
      <w:r>
        <w:t xml:space="preserve"> </w:t>
      </w:r>
      <w:hyperlink r:id="rId784">
        <w:r>
          <w:rPr>
            <w:rStyle w:val="Hyperlink"/>
          </w:rPr>
          <w:t xml:space="preserve">“Property Rights and the Nature of the Firm.”</w:t>
        </w:r>
      </w:hyperlink>
      <w:r>
        <w:t xml:space="preserve"> </w:t>
      </w:r>
      <w:r>
        <w:rPr>
          <w:i/>
          <w:iCs/>
        </w:rPr>
        <w:t xml:space="preserve">Journal of Political Economy</w:t>
      </w:r>
      <w:r>
        <w:t xml:space="preserve"> </w:t>
      </w:r>
      <w:r>
        <w:t xml:space="preserve">98 (6): 1119–1158.</w:t>
      </w:r>
    </w:p>
    <w:p>
      <w:pPr>
        <w:pStyle w:val="Compact"/>
        <w:numPr>
          <w:ilvl w:val="0"/>
          <w:numId w:val="1775"/>
        </w:numPr>
      </w:pPr>
      <w:r>
        <w:t xml:space="preserve">Hotelling, Harold. 1932.</w:t>
      </w:r>
      <w:r>
        <w:t xml:space="preserve"> </w:t>
      </w:r>
      <w:hyperlink r:id="rId785">
        <w:r>
          <w:rPr>
            <w:rStyle w:val="Hyperlink"/>
          </w:rPr>
          <w:t xml:space="preserve">“Edgeworth’s Taxation Paradox and the Nature of Demand and Supply Functions.”</w:t>
        </w:r>
      </w:hyperlink>
      <w:r>
        <w:t xml:space="preserve"> </w:t>
      </w:r>
      <w:r>
        <w:rPr>
          <w:i/>
          <w:iCs/>
        </w:rPr>
        <w:t xml:space="preserve">Journal of Political Economy</w:t>
      </w:r>
      <w:r>
        <w:t xml:space="preserve"> </w:t>
      </w:r>
      <w:r>
        <w:t xml:space="preserve">40 (5): 577–616.</w:t>
      </w:r>
    </w:p>
    <w:p>
      <w:pPr>
        <w:pStyle w:val="Compact"/>
        <w:numPr>
          <w:ilvl w:val="0"/>
          <w:numId w:val="1775"/>
        </w:numPr>
      </w:pPr>
      <w:r>
        <w:t xml:space="preserve">Mas-Colell, Andreu, Michael D. Whinston, e Jerry R. Green. 1995.</w:t>
      </w:r>
      <w:r>
        <w:t xml:space="preserve"> </w:t>
      </w:r>
      <w:hyperlink r:id="rId70">
        <w:r>
          <w:rPr>
            <w:rStyle w:val="Hyperlink"/>
            <w:i/>
            <w:iCs/>
          </w:rPr>
          <w:t xml:space="preserve">Microeconomic Theory</w:t>
        </w:r>
      </w:hyperlink>
      <w:r>
        <w:t xml:space="preserve">. New York: Oxford University Press.</w:t>
      </w:r>
    </w:p>
    <w:p>
      <w:pPr>
        <w:pStyle w:val="Compact"/>
        <w:numPr>
          <w:ilvl w:val="0"/>
          <w:numId w:val="1775"/>
        </w:numPr>
      </w:pPr>
      <w:r>
        <w:t xml:space="preserve">Olley, G. Steven, e Ariel Pakes. 1996.</w:t>
      </w:r>
      <w:r>
        <w:t xml:space="preserve"> </w:t>
      </w:r>
      <w:hyperlink r:id="rId780">
        <w:r>
          <w:rPr>
            <w:rStyle w:val="Hyperlink"/>
          </w:rPr>
          <w:t xml:space="preserve">“The Dynamics of Productivity in the Telecommunications Equipment Industry.”</w:t>
        </w:r>
      </w:hyperlink>
      <w:r>
        <w:t xml:space="preserve"> </w:t>
      </w:r>
      <w:r>
        <w:rPr>
          <w:i/>
          <w:iCs/>
        </w:rPr>
        <w:t xml:space="preserve">Econometrica</w:t>
      </w:r>
      <w:r>
        <w:t xml:space="preserve"> </w:t>
      </w:r>
      <w:r>
        <w:t xml:space="preserve">64 (6): 1263–1297.</w:t>
      </w:r>
    </w:p>
    <w:p>
      <w:pPr>
        <w:pStyle w:val="Compact"/>
        <w:numPr>
          <w:ilvl w:val="0"/>
          <w:numId w:val="1775"/>
        </w:numPr>
      </w:pPr>
      <w:r>
        <w:t xml:space="preserve">Schor, Adriana. 2004.</w:t>
      </w:r>
      <w:r>
        <w:t xml:space="preserve"> </w:t>
      </w:r>
      <w:hyperlink r:id="rId782">
        <w:r>
          <w:rPr>
            <w:rStyle w:val="Hyperlink"/>
          </w:rPr>
          <w:t xml:space="preserve">“Heterogeneous Productivity Response to Tariff Reduction: Evidence from Brazilian Manufacturing Firms.”</w:t>
        </w:r>
      </w:hyperlink>
      <w:r>
        <w:t xml:space="preserve"> </w:t>
      </w:r>
      <w:r>
        <w:rPr>
          <w:i/>
          <w:iCs/>
        </w:rPr>
        <w:t xml:space="preserve">Journal of International Economics</w:t>
      </w:r>
      <w:r>
        <w:t xml:space="preserve"> </w:t>
      </w:r>
      <w:r>
        <w:t xml:space="preserve">63 (2): 373–394.</w:t>
      </w:r>
    </w:p>
    <w:p>
      <w:pPr>
        <w:pStyle w:val="Compact"/>
        <w:numPr>
          <w:ilvl w:val="0"/>
          <w:numId w:val="1775"/>
        </w:numPr>
      </w:pPr>
      <w:r>
        <w:t xml:space="preserve">SEBRAE. 2020.</w:t>
      </w:r>
      <w:r>
        <w:t xml:space="preserve"> </w:t>
      </w:r>
      <w:hyperlink r:id="rId786">
        <w:r>
          <w:rPr>
            <w:rStyle w:val="Hyperlink"/>
            <w:i/>
            <w:iCs/>
          </w:rPr>
          <w:t xml:space="preserve">Sobrevivência das Empresas no Brasil</w:t>
        </w:r>
      </w:hyperlink>
      <w:r>
        <w:t xml:space="preserve">. Brasília: SEBRAE.</w:t>
      </w:r>
    </w:p>
    <w:p>
      <w:pPr>
        <w:pStyle w:val="Compact"/>
        <w:numPr>
          <w:ilvl w:val="0"/>
          <w:numId w:val="1775"/>
        </w:numPr>
      </w:pPr>
      <w:r>
        <w:t xml:space="preserve">Ulyssea, Gabriel. 2018.</w:t>
      </w:r>
      <w:r>
        <w:t xml:space="preserve"> </w:t>
      </w:r>
      <w:hyperlink r:id="rId778">
        <w:r>
          <w:rPr>
            <w:rStyle w:val="Hyperlink"/>
          </w:rPr>
          <w:t xml:space="preserve">“Firms, Informality, and Development: Theory and Evidence from Brazil.”</w:t>
        </w:r>
      </w:hyperlink>
      <w:r>
        <w:t xml:space="preserve"> </w:t>
      </w:r>
      <w:r>
        <w:rPr>
          <w:i/>
          <w:iCs/>
        </w:rPr>
        <w:t xml:space="preserve">American Economic Review</w:t>
      </w:r>
      <w:r>
        <w:t xml:space="preserve"> </w:t>
      </w:r>
      <w:r>
        <w:t xml:space="preserve">108 (8): 2015–2047.</w:t>
      </w:r>
    </w:p>
    <w:p>
      <w:pPr>
        <w:pStyle w:val="Compact"/>
        <w:numPr>
          <w:ilvl w:val="0"/>
          <w:numId w:val="1775"/>
        </w:numPr>
      </w:pPr>
      <w:r>
        <w:t xml:space="preserve">Varian, Hal R. 1992.</w:t>
      </w:r>
      <w:r>
        <w:t xml:space="preserve"> </w:t>
      </w:r>
      <w:hyperlink r:id="rId686">
        <w:r>
          <w:rPr>
            <w:rStyle w:val="Hyperlink"/>
            <w:i/>
            <w:iCs/>
          </w:rPr>
          <w:t xml:space="preserve">Microeconomic Analysis</w:t>
        </w:r>
      </w:hyperlink>
      <w:r>
        <w:t xml:space="preserve">. 3ª ed. New York: W. W. Norton.</w:t>
      </w:r>
    </w:p>
    <w:p>
      <w:pPr>
        <w:pStyle w:val="Compact"/>
        <w:numPr>
          <w:ilvl w:val="0"/>
          <w:numId w:val="1775"/>
        </w:numPr>
      </w:pPr>
      <w:r>
        <w:t xml:space="preserve">Williamson, Oliver E. 1975.</w:t>
      </w:r>
      <w:r>
        <w:t xml:space="preserve"> </w:t>
      </w:r>
      <w:hyperlink r:id="rId787">
        <w:r>
          <w:rPr>
            <w:rStyle w:val="Hyperlink"/>
            <w:i/>
            <w:iCs/>
          </w:rPr>
          <w:t xml:space="preserve">Markets and Hierarchies: Analysis and Antitrust Implications</w:t>
        </w:r>
      </w:hyperlink>
      <w:r>
        <w:t xml:space="preserve">. New York: Free Press.</w:t>
      </w:r>
    </w:p>
    <w:p>
      <w:pPr>
        <w:pStyle w:val="Compact"/>
        <w:numPr>
          <w:ilvl w:val="0"/>
          <w:numId w:val="1775"/>
        </w:numPr>
      </w:pPr>
      <w:r>
        <w:t xml:space="preserve">Williamson, Oliver E. 1985.</w:t>
      </w:r>
      <w:r>
        <w:t xml:space="preserve"> </w:t>
      </w:r>
      <w:hyperlink r:id="rId788">
        <w:r>
          <w:rPr>
            <w:rStyle w:val="Hyperlink"/>
            <w:i/>
            <w:iCs/>
          </w:rPr>
          <w:t xml:space="preserve">The Economic Institutions of Capitalism</w:t>
        </w:r>
      </w:hyperlink>
      <w:r>
        <w:t xml:space="preserve">. New York: Free Press.</w:t>
      </w:r>
    </w:p>
    <w:bookmarkEnd w:id="789"/>
    <w:bookmarkEnd w:id="790"/>
    <w:bookmarkEnd w:id="791"/>
    <w:bookmarkStart w:id="852" w:name="capítulo-13-o-leiloeiro-que-ninguém-vê"/>
    <w:p>
      <w:pPr>
        <w:sectPr>
          <w:footnotePr>
            <w:numRestart w:val="eachSect"/>
          </w:footnotePr>
        </w:sectPr>
      </w:pPr>
    </w:p>
    <w:p>
      <w:pPr>
        <w:pStyle w:val="Heading1"/>
      </w:pPr>
      <w:r>
        <w:t xml:space="preserve">Capítulo 13 — O Leiloeiro que Ninguém Vê</w:t>
      </w:r>
    </w:p>
    <w:p>
      <w:pPr>
        <w:pStyle w:val="FirstParagraph"/>
      </w:pPr>
      <w:r>
        <w:t xml:space="preserve">Nos capítulos anteriores, construímos separadamente a teoria do consumidor e a teoria da firma — duas metades de uma história que, sozinhas, ficam incompletas como um sanduíche sem recheio. Do lado da demanda, vimos como preferências racionais e restrições orçamentárias determinam as escolhas ótimas de consumo (Capítulos 3–6); do lado da oferta, analisamos como firmas minimizam custos e maximizam lucros escolhendo níveis de produção ao longo de suas curvas de custo marginal (Capítulos 11–12). Agora é hora de finalmente juntar comprador e vendedor na mesma sala e ver o que acontece quando deixamos o mercado funcionar. Este capítulo desenvolve a análise de</w:t>
      </w:r>
      <w:r>
        <w:t xml:space="preserve"> </w:t>
      </w:r>
      <w:r>
        <w:rPr>
          <w:b/>
          <w:bCs/>
        </w:rPr>
        <w:t xml:space="preserve">equilíbrio parcial marshalliano</w:t>
      </w:r>
      <w:r>
        <w:t xml:space="preserve"> </w:t>
      </w:r>
      <w:r>
        <w:t xml:space="preserve">— o estudo de um mercado individual tomando os demais como dados — e suas aplicações à análise de bem-estar e políticas públicas.</w:t>
      </w:r>
      <w:r>
        <w:rPr>
          <w:rStyle w:val="FootnoteReference"/>
        </w:rPr>
        <w:footnoteReference w:id="792"/>
      </w:r>
    </w:p>
    <w:p>
      <w:pPr>
        <w:pStyle w:val="BodyText"/>
      </w:pPr>
      <w:r>
        <w:t xml:space="preserve">A metáfora do</w:t>
      </w:r>
      <w:r>
        <w:t xml:space="preserve"> </w:t>
      </w:r>
      <w:r>
        <w:t xml:space="preserve">“leiloeiro walrasiano”</w:t>
      </w:r>
      <w:r>
        <w:t xml:space="preserve"> </w:t>
      </w:r>
      <w:r>
        <w:t xml:space="preserve">— uma entidade fictícia que anuncia preços e ajusta-os até que oferta e demanda se igualem — nos ajuda a compreender o mecanismo de formação de preços. Léon Walras (1834–1910), economista francês da Escola de Lausanne, concebeu esse dispositivo teórico para explicar como mercados descentralizados podem atingir o equilíbrio sem nenhuma coordenação central. Embora nenhum leiloeiro real exista na maioria dos mercados, o resultado competitivo se assemelha ao que tal mecanismo produziria: milhões de agentes, cada um perseguindo seus próprios objetivos, produzem um resultado coerente e — como demonstraremos — eficiente. É uma das conclusões mais surpreendentes e poderosas da teoria econômica.</w:t>
      </w:r>
      <w:r>
        <w:rPr>
          <w:rStyle w:val="FootnoteReference"/>
        </w:rPr>
        <w:footnoteReference w:id="793"/>
      </w:r>
    </w:p>
    <w:p>
      <w:pPr>
        <w:pStyle w:val="BodyText"/>
      </w:pPr>
      <w:r>
        <w:t xml:space="preserve">O equilíbrio parcial contrasta com o equilíbrio geral (que estudaremos no Capítulo 14), em que todos os mercados são analisados simultaneamente. Alfred Marshall (1842–1924), em seus</w:t>
      </w:r>
      <w:r>
        <w:t xml:space="preserve"> </w:t>
      </w:r>
      <w:r>
        <w:rPr>
          <w:i/>
          <w:iCs/>
        </w:rPr>
        <w:t xml:space="preserve">Principles of Economics</w:t>
      </w:r>
      <w:r>
        <w:t xml:space="preserve"> </w:t>
      </w:r>
      <w:r>
        <w:t xml:space="preserve">(1890), sistematizou a abordagem parcial: analisar um mercado por vez, supondo que os efeitos sobre os demais mercados são suficientemente pequenos para serem ignorados — a cláusula</w:t>
      </w:r>
      <w:r>
        <w:t xml:space="preserve"> </w:t>
      </w:r>
      <w:r>
        <w:rPr>
          <w:i/>
          <w:iCs/>
        </w:rPr>
        <w:t xml:space="preserve">ceteris paribus</w:t>
      </w:r>
      <w:r>
        <w:t xml:space="preserve">. Essa simplificação é adequada quando o mercado em questão é pequeno em relação ao restante da economia, mas deve ser usada com cautela quando se trata de mercados grandes ou fortemente interconectados (como o mercado de petróleo, cujos efeitos reverberam por toda a economia).</w:t>
      </w:r>
    </w:p>
    <w:p>
      <w:pPr>
        <w:pStyle w:val="BodyText"/>
      </w:pPr>
      <w:r>
        <w:t xml:space="preserve">Ao longo do capítulo, analisaremos: a agregação de demandas individuais em demanda de mercado; a determinação de preços no curtíssimo, curto e longo prazos; estática comparativa; eficiência econômica; controles de preços; e incidência tributária. Cada um desses tópicos será desenvolvido com rigor analítico, complementado por exemplos do contexto brasileiro e por gráficos interativos que permitem visualizar os mecanismos em operação.</w:t>
      </w:r>
    </w:p>
    <w:p>
      <w:r>
        <w:pict>
          <v:rect style="width:0;height:1.5pt" o:hralign="center" o:hrstd="t" o:hr="t"/>
        </w:pict>
      </w:r>
    </w:p>
    <w:bookmarkStart w:id="794" w:name="roteiro-do-capítulo-5"/>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13.1</w:t>
            </w:r>
          </w:p>
        </w:tc>
        <w:tc>
          <w:tcPr/>
          <w:p>
            <w:pPr>
              <w:pStyle w:val="Compact"/>
            </w:pPr>
            <w:r>
              <w:t xml:space="preserve">Como somar milhões de decisões individuais numa única curva de demanda?</w:t>
            </w:r>
          </w:p>
        </w:tc>
        <w:tc>
          <w:tcPr/>
          <w:p>
            <w:pPr>
              <w:pStyle w:val="Compact"/>
            </w:pPr>
            <w:r>
              <w:t xml:space="preserve">Demanda de mercado, agregação</w:t>
            </w:r>
          </w:p>
        </w:tc>
        <w:tc>
          <w:tcPr/>
          <w:p>
            <w:pPr>
              <w:pStyle w:val="Compact"/>
              <w:jc w:val="center"/>
            </w:pPr>
            <w:r>
              <w:t xml:space="preserve">Demanda</w:t>
            </w:r>
          </w:p>
        </w:tc>
      </w:tr>
      <w:tr>
        <w:tc>
          <w:tcPr/>
          <w:p>
            <w:pPr>
              <w:pStyle w:val="Compact"/>
              <w:jc w:val="center"/>
            </w:pPr>
            <w:r>
              <w:t xml:space="preserve">13.2</w:t>
            </w:r>
          </w:p>
        </w:tc>
        <w:tc>
          <w:tcPr/>
          <w:p>
            <w:pPr>
              <w:pStyle w:val="Compact"/>
            </w:pPr>
            <w:r>
              <w:t xml:space="preserve">O que acontece quando o caminhão de tomates chega na feira e o estoque é fixo?</w:t>
            </w:r>
          </w:p>
        </w:tc>
        <w:tc>
          <w:tcPr/>
          <w:p>
            <w:pPr>
              <w:pStyle w:val="Compact"/>
            </w:pPr>
            <w:r>
              <w:t xml:space="preserve">Equilíbrio de curtíssimo prazo</w:t>
            </w:r>
          </w:p>
        </w:tc>
        <w:tc>
          <w:tcPr/>
          <w:p>
            <w:pPr>
              <w:pStyle w:val="Compact"/>
              <w:jc w:val="center"/>
            </w:pPr>
            <w:r>
              <w:t xml:space="preserve">Curtíssimo prazo</w:t>
            </w:r>
          </w:p>
        </w:tc>
      </w:tr>
      <w:tr>
        <w:tc>
          <w:tcPr/>
          <w:p>
            <w:pPr>
              <w:pStyle w:val="Compact"/>
              <w:jc w:val="center"/>
            </w:pPr>
            <w:r>
              <w:t xml:space="preserve">13.3</w:t>
            </w:r>
          </w:p>
        </w:tc>
        <w:tc>
          <w:tcPr/>
          <w:p>
            <w:pPr>
              <w:pStyle w:val="Compact"/>
            </w:pPr>
            <w:r>
              <w:t xml:space="preserve">Quando a fábrica liga o segundo turno — como o preço se ajusta?</w:t>
            </w:r>
          </w:p>
        </w:tc>
        <w:tc>
          <w:tcPr/>
          <w:p>
            <w:pPr>
              <w:pStyle w:val="Compact"/>
            </w:pPr>
            <w:r>
              <w:t xml:space="preserve">Equilíbrio de curto prazo competitivo</w:t>
            </w:r>
          </w:p>
        </w:tc>
        <w:tc>
          <w:tcPr/>
          <w:p>
            <w:pPr>
              <w:pStyle w:val="Compact"/>
              <w:jc w:val="center"/>
            </w:pPr>
            <w:r>
              <w:t xml:space="preserve">Curto prazo</w:t>
            </w:r>
          </w:p>
        </w:tc>
      </w:tr>
      <w:tr>
        <w:tc>
          <w:tcPr/>
          <w:p>
            <w:pPr>
              <w:pStyle w:val="Compact"/>
              <w:jc w:val="center"/>
            </w:pPr>
            <w:r>
              <w:t xml:space="preserve">13.4</w:t>
            </w:r>
          </w:p>
        </w:tc>
        <w:tc>
          <w:tcPr/>
          <w:p>
            <w:pPr>
              <w:pStyle w:val="Compact"/>
            </w:pPr>
            <w:r>
              <w:t xml:space="preserve">E se a demanda ou os custos mudarem?</w:t>
            </w:r>
          </w:p>
        </w:tc>
        <w:tc>
          <w:tcPr/>
          <w:p>
            <w:pPr>
              <w:pStyle w:val="Compact"/>
            </w:pPr>
            <w:r>
              <w:t xml:space="preserve">Estática comparativa do equilíbrio</w:t>
            </w:r>
          </w:p>
        </w:tc>
        <w:tc>
          <w:tcPr/>
          <w:p>
            <w:pPr>
              <w:pStyle w:val="Compact"/>
              <w:jc w:val="center"/>
            </w:pPr>
            <w:r>
              <w:t xml:space="preserve">Estática comparativa</w:t>
            </w:r>
          </w:p>
        </w:tc>
      </w:tr>
      <w:tr>
        <w:tc>
          <w:tcPr/>
          <w:p>
            <w:pPr>
              <w:pStyle w:val="Compact"/>
              <w:jc w:val="center"/>
            </w:pPr>
            <w:r>
              <w:t xml:space="preserve">13.5</w:t>
            </w:r>
          </w:p>
        </w:tc>
        <w:tc>
          <w:tcPr/>
          <w:p>
            <w:pPr>
              <w:pStyle w:val="Compact"/>
            </w:pPr>
            <w:r>
              <w:t xml:space="preserve">Se tem lucro, por que todo mundo não entra?</w:t>
            </w:r>
          </w:p>
        </w:tc>
        <w:tc>
          <w:tcPr/>
          <w:p>
            <w:pPr>
              <w:pStyle w:val="Compact"/>
            </w:pPr>
            <w:r>
              <w:t xml:space="preserve">Livre entrada e equilíbrio de longo prazo</w:t>
            </w:r>
          </w:p>
        </w:tc>
        <w:tc>
          <w:tcPr/>
          <w:p>
            <w:pPr>
              <w:pStyle w:val="Compact"/>
              <w:jc w:val="center"/>
            </w:pPr>
            <w:r>
              <w:t xml:space="preserve">Longo prazo</w:t>
            </w:r>
          </w:p>
        </w:tc>
      </w:tr>
      <w:tr>
        <w:tc>
          <w:tcPr/>
          <w:p>
            <w:pPr>
              <w:pStyle w:val="Compact"/>
              <w:jc w:val="center"/>
            </w:pPr>
            <w:r>
              <w:t xml:space="preserve">13.6</w:t>
            </w:r>
          </w:p>
        </w:tc>
        <w:tc>
          <w:tcPr/>
          <w:p>
            <w:pPr>
              <w:pStyle w:val="Compact"/>
            </w:pPr>
            <w:r>
              <w:t xml:space="preserve">Custos sobem, descem ou ficam iguais quando a indústria cresce?</w:t>
            </w:r>
          </w:p>
        </w:tc>
        <w:tc>
          <w:tcPr/>
          <w:p>
            <w:pPr>
              <w:pStyle w:val="Compact"/>
            </w:pPr>
            <w:r>
              <w:t xml:space="preserve">Indústrias de custo constante, crescente e decrescente</w:t>
            </w:r>
          </w:p>
        </w:tc>
        <w:tc>
          <w:tcPr/>
          <w:p>
            <w:pPr>
              <w:pStyle w:val="Compact"/>
              <w:jc w:val="center"/>
            </w:pPr>
            <w:r>
              <w:t xml:space="preserve">Três destinos</w:t>
            </w:r>
          </w:p>
        </w:tc>
      </w:tr>
      <w:tr>
        <w:tc>
          <w:tcPr/>
          <w:p>
            <w:pPr>
              <w:pStyle w:val="Compact"/>
              <w:jc w:val="center"/>
            </w:pPr>
            <w:r>
              <w:t xml:space="preserve">13.7</w:t>
            </w:r>
          </w:p>
        </w:tc>
        <w:tc>
          <w:tcPr/>
          <w:p>
            <w:pPr>
              <w:pStyle w:val="Compact"/>
            </w:pPr>
            <w:r>
              <w:t xml:space="preserve">Por que a oferta é mais elástica no longo prazo?</w:t>
            </w:r>
          </w:p>
        </w:tc>
        <w:tc>
          <w:tcPr/>
          <w:p>
            <w:pPr>
              <w:pStyle w:val="Compact"/>
            </w:pPr>
            <w:r>
              <w:t xml:space="preserve">Elasticidade de oferta e ajuste temporal</w:t>
            </w:r>
          </w:p>
        </w:tc>
        <w:tc>
          <w:tcPr/>
          <w:p>
            <w:pPr>
              <w:pStyle w:val="Compact"/>
              <w:jc w:val="center"/>
            </w:pPr>
            <w:r>
              <w:t xml:space="preserve">Elasticidade LP</w:t>
            </w:r>
          </w:p>
        </w:tc>
      </w:tr>
      <w:tr>
        <w:tc>
          <w:tcPr/>
          <w:p>
            <w:pPr>
              <w:pStyle w:val="Compact"/>
              <w:jc w:val="center"/>
            </w:pPr>
            <w:r>
              <w:t xml:space="preserve">13.8</w:t>
            </w:r>
          </w:p>
        </w:tc>
        <w:tc>
          <w:tcPr/>
          <w:p>
            <w:pPr>
              <w:pStyle w:val="Compact"/>
            </w:pPr>
            <w:r>
              <w:t xml:space="preserve">Se o lucro é zero, para que serve ser eficiente?</w:t>
            </w:r>
          </w:p>
        </w:tc>
        <w:tc>
          <w:tcPr/>
          <w:p>
            <w:pPr>
              <w:pStyle w:val="Compact"/>
            </w:pPr>
            <w:r>
              <w:t xml:space="preserve">Renda ricardiana, lucro econômico vs. contábil</w:t>
            </w:r>
          </w:p>
        </w:tc>
        <w:tc>
          <w:tcPr/>
          <w:p>
            <w:pPr>
              <w:pStyle w:val="Compact"/>
              <w:jc w:val="center"/>
            </w:pPr>
            <w:r>
              <w:t xml:space="preserve">Renda ricardiana</w:t>
            </w:r>
          </w:p>
        </w:tc>
      </w:tr>
      <w:tr>
        <w:tc>
          <w:tcPr/>
          <w:p>
            <w:pPr>
              <w:pStyle w:val="Compact"/>
              <w:jc w:val="center"/>
            </w:pPr>
            <w:r>
              <w:t xml:space="preserve">13.9</w:t>
            </w:r>
          </w:p>
        </w:tc>
        <w:tc>
          <w:tcPr/>
          <w:p>
            <w:pPr>
              <w:pStyle w:val="Compact"/>
            </w:pPr>
            <w:r>
              <w:t xml:space="preserve">O mercado competitivo é</w:t>
            </w:r>
            <w:r>
              <w:t xml:space="preserve"> </w:t>
            </w:r>
            <w:r>
              <w:t xml:space="preserve">“justo”</w:t>
            </w:r>
            <w:r>
              <w:t xml:space="preserve">?</w:t>
            </w:r>
          </w:p>
        </w:tc>
        <w:tc>
          <w:tcPr/>
          <w:p>
            <w:pPr>
              <w:pStyle w:val="Compact"/>
            </w:pPr>
            <w:r>
              <w:t xml:space="preserve">Eficiência de Pareto, EC, EP, 1º TBE</w:t>
            </w:r>
          </w:p>
        </w:tc>
        <w:tc>
          <w:tcPr/>
          <w:p>
            <w:pPr>
              <w:pStyle w:val="Compact"/>
              <w:jc w:val="center"/>
            </w:pPr>
            <w:r>
              <w:t xml:space="preserve">Eficiência</w:t>
            </w:r>
          </w:p>
        </w:tc>
      </w:tr>
      <w:tr>
        <w:tc>
          <w:tcPr/>
          <w:p>
            <w:pPr>
              <w:pStyle w:val="Compact"/>
              <w:jc w:val="center"/>
            </w:pPr>
            <w:r>
              <w:t xml:space="preserve">13.10</w:t>
            </w:r>
          </w:p>
        </w:tc>
        <w:tc>
          <w:tcPr/>
          <w:p>
            <w:pPr>
              <w:pStyle w:val="Compact"/>
            </w:pPr>
            <w:r>
              <w:t xml:space="preserve">Tabelar preço resolve ou piora?</w:t>
            </w:r>
          </w:p>
        </w:tc>
        <w:tc>
          <w:tcPr/>
          <w:p>
            <w:pPr>
              <w:pStyle w:val="Compact"/>
            </w:pPr>
            <w:r>
              <w:t xml:space="preserve">Controles de preços, teto e piso</w:t>
            </w:r>
          </w:p>
        </w:tc>
        <w:tc>
          <w:tcPr/>
          <w:p>
            <w:pPr>
              <w:pStyle w:val="Compact"/>
              <w:jc w:val="center"/>
            </w:pPr>
            <w:r>
              <w:t xml:space="preserve">Controles</w:t>
            </w:r>
          </w:p>
        </w:tc>
      </w:tr>
      <w:tr>
        <w:tc>
          <w:tcPr/>
          <w:p>
            <w:pPr>
              <w:pStyle w:val="Compact"/>
              <w:jc w:val="center"/>
            </w:pPr>
            <w:r>
              <w:t xml:space="preserve">13.11</w:t>
            </w:r>
          </w:p>
        </w:tc>
        <w:tc>
          <w:tcPr/>
          <w:p>
            <w:pPr>
              <w:pStyle w:val="Compact"/>
            </w:pPr>
            <w:r>
              <w:t xml:space="preserve">Quem realmente paga o imposto — produtor ou consumidor?</w:t>
            </w:r>
          </w:p>
        </w:tc>
        <w:tc>
          <w:tcPr/>
          <w:p>
            <w:pPr>
              <w:pStyle w:val="Compact"/>
            </w:pPr>
            <w:r>
              <w:t xml:space="preserve">Incidência tributária e elasticidade</w:t>
            </w:r>
          </w:p>
        </w:tc>
        <w:tc>
          <w:tcPr/>
          <w:p>
            <w:pPr>
              <w:pStyle w:val="Compact"/>
              <w:jc w:val="center"/>
            </w:pPr>
            <w:r>
              <w:t xml:space="preserve">Impostos</w:t>
            </w:r>
          </w:p>
        </w:tc>
      </w:tr>
      <w:tr>
        <w:tc>
          <w:tcPr/>
          <w:p>
            <w:pPr>
              <w:pStyle w:val="Compact"/>
              <w:jc w:val="center"/>
            </w:pPr>
            <w:r>
              <w:t xml:space="preserve">13.12</w:t>
            </w:r>
          </w:p>
        </w:tc>
        <w:tc>
          <w:tcPr/>
          <w:p>
            <w:pPr>
              <w:pStyle w:val="Compact"/>
            </w:pPr>
            <w:r>
              <w:t xml:space="preserve">Qual é o custo social do imposto?</w:t>
            </w:r>
          </w:p>
        </w:tc>
        <w:tc>
          <w:tcPr/>
          <w:p>
            <w:pPr>
              <w:pStyle w:val="Compact"/>
            </w:pPr>
            <w:r>
              <w:t xml:space="preserve">Peso morto, EC, EP e PPM</w:t>
            </w:r>
          </w:p>
        </w:tc>
        <w:tc>
          <w:tcPr/>
          <w:p>
            <w:pPr>
              <w:pStyle w:val="Compact"/>
              <w:jc w:val="center"/>
            </w:pPr>
            <w:r>
              <w:t xml:space="preserve">Peso morto</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p>
      <w:pPr>
        <w:pStyle w:val="BlockText"/>
      </w:pPr>
      <w:r>
        <w:rPr>
          <w:b/>
          <w:bCs/>
        </w:rPr>
        <w:t xml:space="preserve">[ATIVIDADE DE SALA] Atividade de Sala — O Mercado de Chocolate: Leilão Duplo e Incidência Tributária</w:t>
      </w:r>
    </w:p>
    <w:p>
      <w:pPr>
        <w:pStyle w:val="BlockText"/>
      </w:pPr>
      <w:r>
        <w:rPr>
          <w:b/>
          <w:bCs/>
        </w:rPr>
        <w:t xml:space="preserve">Formato:</w:t>
      </w:r>
      <w:r>
        <w:t xml:space="preserve"> </w:t>
      </w:r>
      <w:r>
        <w:t xml:space="preserve">Pit market experiment + análise de incidência (40–50 min)</w:t>
      </w:r>
    </w:p>
    <w:p>
      <w:pPr>
        <w:pStyle w:val="BlockText"/>
      </w:pPr>
      <w:r>
        <w:rPr>
          <w:b/>
          <w:bCs/>
        </w:rPr>
        <w:t xml:space="preserve">Objetivo:</w:t>
      </w:r>
      <w:r>
        <w:t xml:space="preserve"> </w:t>
      </w:r>
      <w:r>
        <w:t xml:space="preserve">Vivenciar a formação de preços por oferta e demanda, observar a eficiência do equilíbrio competitivo e testar a irrelevância do lado legal da incidência tributária.</w:t>
      </w:r>
    </w:p>
    <w:p>
      <w:pPr>
        <w:pStyle w:val="BlockText"/>
      </w:pPr>
      <w:r>
        <w:rPr>
          <w:b/>
          <w:bCs/>
        </w:rPr>
        <w:t xml:space="preserve">Preparação (professor):</w:t>
      </w:r>
    </w:p>
    <w:p>
      <w:pPr>
        <w:pStyle w:val="Compact"/>
        <w:numPr>
          <w:ilvl w:val="0"/>
          <w:numId w:val="1776"/>
        </w:numPr>
      </w:pPr>
      <w:r>
        <w:t xml:space="preserve">Imprima fichas de</w:t>
      </w:r>
      <w:r>
        <w:t xml:space="preserve"> </w:t>
      </w:r>
      <w:r>
        <w:rPr>
          <w:b/>
          <w:bCs/>
        </w:rPr>
        <w:t xml:space="preserve">compradores</w:t>
      </w:r>
      <w:r>
        <w:t xml:space="preserve"> </w:t>
      </w:r>
      <w:r>
        <w:t xml:space="preserve">(com disposição a pagar: R$ 3, 5, 7, 9, 11, 13, 15 — distribuídas aleatoriamente).</w:t>
      </w:r>
    </w:p>
    <w:p>
      <w:pPr>
        <w:pStyle w:val="Compact"/>
        <w:numPr>
          <w:ilvl w:val="0"/>
          <w:numId w:val="1776"/>
        </w:numPr>
      </w:pPr>
      <w:r>
        <w:t xml:space="preserve">Imprima fichas de</w:t>
      </w:r>
      <w:r>
        <w:t xml:space="preserve"> </w:t>
      </w:r>
      <w:r>
        <w:rPr>
          <w:b/>
          <w:bCs/>
        </w:rPr>
        <w:t xml:space="preserve">vendedores</w:t>
      </w:r>
      <w:r>
        <w:t xml:space="preserve"> </w:t>
      </w:r>
      <w:r>
        <w:t xml:space="preserve">(com custo mínimo: R$ 2, 4, 6, 8, 10, 12, 14 — distribuídas aleatoriamente).</w:t>
      </w:r>
    </w:p>
    <w:p>
      <w:pPr>
        <w:pStyle w:val="Compact"/>
        <w:numPr>
          <w:ilvl w:val="0"/>
          <w:numId w:val="1776"/>
        </w:numPr>
      </w:pPr>
      <w:r>
        <w:t xml:space="preserve">Prepare 15 compradores e 15 vendedores (30 alunos; ajuste conforme a turma).</w:t>
      </w:r>
    </w:p>
    <w:p>
      <w:pPr>
        <w:pStyle w:val="Compact"/>
        <w:numPr>
          <w:ilvl w:val="0"/>
          <w:numId w:val="1776"/>
        </w:numPr>
      </w:pPr>
      <w:r>
        <w:t xml:space="preserve">Quadro para registrar transações.</w:t>
      </w:r>
    </w:p>
    <w:p>
      <w:pPr>
        <w:pStyle w:val="BlockText"/>
      </w:pPr>
      <w:r>
        <w:rPr>
          <w:b/>
          <w:bCs/>
        </w:rPr>
        <w:t xml:space="preserve">Rodada 1 — Mercado livre (10 min):</w:t>
      </w:r>
    </w:p>
    <w:p>
      <w:pPr>
        <w:pStyle w:val="Compact"/>
        <w:numPr>
          <w:ilvl w:val="0"/>
          <w:numId w:val="1777"/>
        </w:numPr>
      </w:pPr>
      <w:r>
        <w:t xml:space="preserve">Compradores e vendedores circulam pela sala negociando livremente.</w:t>
      </w:r>
    </w:p>
    <w:p>
      <w:pPr>
        <w:pStyle w:val="Compact"/>
        <w:numPr>
          <w:ilvl w:val="0"/>
          <w:numId w:val="1777"/>
        </w:numPr>
      </w:pPr>
      <w:r>
        <w:t xml:space="preserve">Para fechar uma transação, o preço deve estar entre o custo do vendedor e a disposição a pagar do comprador.</w:t>
      </w:r>
    </w:p>
    <w:p>
      <w:pPr>
        <w:pStyle w:val="Compact"/>
        <w:numPr>
          <w:ilvl w:val="0"/>
          <w:numId w:val="1777"/>
        </w:numPr>
      </w:pPr>
      <w:r>
        <w:t xml:space="preserve">Cada par registra o preço no quadro. Cada agente faz no máximo 1 transação.</w:t>
      </w:r>
    </w:p>
    <w:p>
      <w:pPr>
        <w:pStyle w:val="Compact"/>
        <w:numPr>
          <w:ilvl w:val="0"/>
          <w:numId w:val="1777"/>
        </w:numPr>
      </w:pPr>
      <w:r>
        <w:t xml:space="preserve">Ao final, calcule: preço médio, número de transações, EC e EP observados.</w:t>
      </w:r>
    </w:p>
    <w:p>
      <w:pPr>
        <w:pStyle w:val="BlockText"/>
      </w:pPr>
      <w:r>
        <w:rPr>
          <w:b/>
          <w:bCs/>
        </w:rPr>
        <w:t xml:space="preserve">Rodada 2 — Imposto sobre o vendedor (10 min):</w:t>
      </w:r>
    </w:p>
    <w:p>
      <w:pPr>
        <w:pStyle w:val="Compact"/>
        <w:numPr>
          <w:ilvl w:val="0"/>
          <w:numId w:val="1778"/>
        </w:numPr>
      </w:pPr>
      <w:r>
        <w:t xml:space="preserve">Anuncie:</w:t>
      </w:r>
      <w:r>
        <w:t xml:space="preserve"> </w:t>
      </w:r>
      <w:r>
        <w:t xml:space="preserve">“Imposto de R$ 2 por unidade, cobrado do vendedor.”</w:t>
      </w:r>
    </w:p>
    <w:p>
      <w:pPr>
        <w:pStyle w:val="Compact"/>
        <w:numPr>
          <w:ilvl w:val="0"/>
          <w:numId w:val="1778"/>
        </w:numPr>
      </w:pPr>
      <w:r>
        <w:t xml:space="preserve">Os custos dos vendedores sobem em R$ 2 (novo custo = custo original + 2).</w:t>
      </w:r>
    </w:p>
    <w:p>
      <w:pPr>
        <w:pStyle w:val="Compact"/>
        <w:numPr>
          <w:ilvl w:val="0"/>
          <w:numId w:val="1778"/>
        </w:numPr>
      </w:pPr>
      <w:r>
        <w:t xml:space="preserve">Repita o mercado. Registre preços e transações.</w:t>
      </w:r>
    </w:p>
    <w:p>
      <w:pPr>
        <w:pStyle w:val="BlockText"/>
      </w:pPr>
      <w:r>
        <w:rPr>
          <w:b/>
          <w:bCs/>
        </w:rPr>
        <w:t xml:space="preserve">Rodada 3 — Imposto sobre o comprador (10 min):</w:t>
      </w:r>
    </w:p>
    <w:p>
      <w:pPr>
        <w:pStyle w:val="Compact"/>
        <w:numPr>
          <w:ilvl w:val="0"/>
          <w:numId w:val="1779"/>
        </w:numPr>
      </w:pPr>
      <w:r>
        <w:t xml:space="preserve">Anuncie:</w:t>
      </w:r>
      <w:r>
        <w:t xml:space="preserve"> </w:t>
      </w:r>
      <w:r>
        <w:t xml:space="preserve">“Mesmo imposto de R$ 2, mas agora cobrado do comprador.”</w:t>
      </w:r>
    </w:p>
    <w:p>
      <w:pPr>
        <w:pStyle w:val="Compact"/>
        <w:numPr>
          <w:ilvl w:val="0"/>
          <w:numId w:val="1779"/>
        </w:numPr>
      </w:pPr>
      <w:r>
        <w:t xml:space="preserve">As disposições a pagar dos compradores caem em R$ 2 (nova DAP = DAP original − 2).</w:t>
      </w:r>
    </w:p>
    <w:p>
      <w:pPr>
        <w:pStyle w:val="Compact"/>
        <w:numPr>
          <w:ilvl w:val="0"/>
          <w:numId w:val="1779"/>
        </w:numPr>
      </w:pPr>
      <w:r>
        <w:t xml:space="preserve">Repita o mercado. Registre preços e transações.</w:t>
      </w:r>
    </w:p>
    <w:p>
      <w:pPr>
        <w:pStyle w:val="BlockText"/>
      </w:pPr>
      <w:r>
        <w:rPr>
          <w:b/>
          <w:bCs/>
        </w:rPr>
        <w:t xml:space="preserve">Debrief (10–15 min):</w:t>
      </w:r>
    </w:p>
    <w:p>
      <w:pPr>
        <w:pStyle w:val="Compact"/>
        <w:numPr>
          <w:ilvl w:val="0"/>
          <w:numId w:val="1780"/>
        </w:numPr>
      </w:pPr>
      <w:r>
        <w:t xml:space="preserve">Compare Rodadas 2 e 3: o preço final ao comprador e ao vendedor mudou? (Resposta esperada: não — confirmando a irrelevância do lado legal.)</w:t>
      </w:r>
    </w:p>
    <w:p>
      <w:pPr>
        <w:pStyle w:val="Compact"/>
        <w:numPr>
          <w:ilvl w:val="0"/>
          <w:numId w:val="1780"/>
        </w:numPr>
      </w:pPr>
      <w:r>
        <w:t xml:space="preserve">Quantas transações deixaram de acontecer com o imposto? (Perda de peso morto!)</w:t>
      </w:r>
    </w:p>
    <w:p>
      <w:pPr>
        <w:pStyle w:val="Compact"/>
        <w:numPr>
          <w:ilvl w:val="0"/>
          <w:numId w:val="1780"/>
        </w:numPr>
      </w:pPr>
      <w:r>
        <w:t xml:space="preserve">Quem arcou com a maior parte do imposto? Depende das elasticidades relativas.</w:t>
      </w:r>
    </w:p>
    <w:p>
      <w:pPr>
        <w:pStyle w:val="Compact"/>
        <w:numPr>
          <w:ilvl w:val="0"/>
          <w:numId w:val="1780"/>
        </w:numPr>
      </w:pPr>
      <w:r>
        <w:t xml:space="preserve">Conecte com a reforma tributária brasileira (IBS/CBS): mudar quem recolhe o imposto muda quem paga?</w:t>
      </w:r>
    </w:p>
    <w:p>
      <w:pPr>
        <w:pStyle w:val="Compact"/>
        <w:numPr>
          <w:ilvl w:val="0"/>
          <w:numId w:val="1780"/>
        </w:numPr>
      </w:pPr>
      <w:r>
        <w:t xml:space="preserve">Referência à Life of Brian:</w:t>
      </w:r>
      <w:r>
        <w:t xml:space="preserve"> </w:t>
      </w:r>
      <w:r>
        <w:t xml:space="preserve">“What have the Romans ever done for us?”</w:t>
      </w:r>
      <w:r>
        <w:t xml:space="preserve"> </w:t>
      </w:r>
      <w:r>
        <w:t xml:space="preserve">— análise custo-benefício de bens públicos financiados por impostos.</w:t>
      </w:r>
    </w:p>
    <w:p>
      <w:pPr>
        <w:pStyle w:val="BlockText"/>
      </w:pPr>
      <w:r>
        <w:rPr>
          <w:b/>
          <w:bCs/>
        </w:rPr>
        <w:t xml:space="preserve">Variante:</w:t>
      </w:r>
      <w:r>
        <w:t xml:space="preserve"> </w:t>
      </w:r>
      <w:r>
        <w:t xml:space="preserve">Se a turma for grande, divida em 2 mercados paralelos (um com imposto sobre vendedor, outro sobre comprador) e compare os resultados simultaneamente.</w:t>
      </w:r>
    </w:p>
    <w:p>
      <w:pPr>
        <w:pStyle w:val="BlockText"/>
      </w:pPr>
      <w:r>
        <w:rPr>
          <w:b/>
          <w:bCs/>
        </w:rPr>
        <w:t xml:space="preserve">Referência:</w:t>
      </w:r>
      <w:r>
        <w:t xml:space="preserve"> </w:t>
      </w:r>
      <w:r>
        <w:t xml:space="preserve">Holt, C.A. (2007).</w:t>
      </w:r>
      <w:r>
        <w:t xml:space="preserve"> </w:t>
      </w:r>
      <w:r>
        <w:rPr>
          <w:i/>
          <w:iCs/>
        </w:rPr>
        <w:t xml:space="preserve">Markets, Games, and Strategic Behavior</w:t>
      </w:r>
      <w:r>
        <w:t xml:space="preserve">, Cap. 1 (Double Auction).</w:t>
      </w:r>
    </w:p>
    <w:bookmarkEnd w:id="794"/>
    <w:bookmarkStart w:id="797" w:name="X794a80eb109162d579df51db6d52e223bb0e9be"/>
    <w:p>
      <w:pPr>
        <w:pStyle w:val="Heading2"/>
      </w:pPr>
      <w:r>
        <w:t xml:space="preserve">13.1 A Multidão Tem Razão? Demanda de Mercado</w:t>
      </w:r>
    </w:p>
    <w:p>
      <w:pPr>
        <w:pStyle w:val="FirstParagraph"/>
      </w:pPr>
      <w:r>
        <w:t xml:space="preserve">Antes de analisar o equilíbrio de mercado, precisamos construir seus dois componentes: a demanda de mercado e a oferta de mercado. Começamos pelo lado da demanda. Nos capítulos sobre a teoria do consumidor (Capítulos 4–6), derivamos a demanda individual de cada agente a partir da maximização de utilidade sujeita à restrição orçamentária. Mas como passar da decisão de um consumidor isolado para o comportamento agregado de milhões de compradores? A operação é surpreendentemente simples, mas suas implicações são ricas — e a possibilidade de realizá-la depende de pressupostos que merecem atenção.</w:t>
      </w:r>
    </w:p>
    <w:bookmarkStart w:id="795" w:name="agregação-de-demandas-individuais"/>
    <w:p>
      <w:pPr>
        <w:pStyle w:val="Heading4"/>
      </w:pPr>
      <w:r>
        <w:t xml:space="preserve">Agregação de demandas individuais</w:t>
      </w:r>
    </w:p>
    <w:p>
      <w:pPr>
        <w:pStyle w:val="FirstParagraph"/>
      </w:pPr>
      <w:r>
        <w:t xml:space="preserve">A demanda de mercado é obtida pela</w:t>
      </w:r>
      <w:r>
        <w:t xml:space="preserve"> </w:t>
      </w:r>
      <w:r>
        <w:rPr>
          <w:b/>
          <w:bCs/>
        </w:rPr>
        <w:t xml:space="preserve">soma horizontal</w:t>
      </w:r>
      <w:r>
        <w:t xml:space="preserve"> </w:t>
      </w:r>
      <w:r>
        <w:t xml:space="preserve">das demandas individuais de todos os consumidores. Se existem</w:t>
      </w:r>
      <w:r>
        <w:t xml:space="preserve"> </w:t>
      </w:r>
      <m:oMath>
        <m:r>
          <m:t>n</m:t>
        </m:r>
      </m:oMath>
      <w:r>
        <w:t xml:space="preserve"> </w:t>
      </w:r>
      <w:r>
        <w:t xml:space="preserve">consumidores e cada um possui uma função de demanda</w:t>
      </w:r>
      <w:r>
        <w:t xml:space="preserve"> </w:t>
      </w:r>
      <m:oMath>
        <m:sSub>
          <m:e>
            <m:r>
              <m:t>x</m:t>
            </m:r>
          </m:e>
          <m:sub>
            <m:r>
              <m:t>i</m:t>
            </m:r>
          </m:sub>
        </m:sSub>
        <m:r>
          <m:rPr>
            <m:sty m:val="p"/>
          </m:rPr>
          <m:t>(</m:t>
        </m:r>
        <m:r>
          <m:t>p</m:t>
        </m:r>
        <m:r>
          <m:rPr>
            <m:sty m:val="p"/>
          </m:rPr>
          <m:t>)</m:t>
        </m:r>
      </m:oMath>
      <w:r>
        <w:t xml:space="preserve">, a demanda de mercado é:</w:t>
      </w:r>
    </w:p>
    <w:p>
      <w:pPr>
        <w:pStyle w:val="BodyText"/>
      </w:pPr>
      <m:oMathPara>
        <m:oMathParaPr>
          <m:jc m:val="center"/>
        </m:oMathParaPr>
        <m:oMath>
          <m:r>
            <m:t>X</m:t>
          </m:r>
          <m:r>
            <m:rPr>
              <m:sty m:val="p"/>
            </m:rPr>
            <m:t>(</m:t>
          </m:r>
          <m:r>
            <m:t>p</m:t>
          </m:r>
          <m:r>
            <m:rPr>
              <m:sty m:val="p"/>
            </m:rPr>
            <m:t>)</m:t>
          </m:r>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r>
            <m:t>p</m:t>
          </m:r>
          <m:r>
            <m:rPr>
              <m:sty m:val="p"/>
            </m:rPr>
            <m:t>)</m:t>
          </m:r>
        </m:oMath>
      </m:oMathPara>
    </w:p>
    <w:p>
      <w:pPr>
        <w:pStyle w:val="FirstParagraph"/>
      </w:pPr>
      <w:r>
        <w:t xml:space="preserve">A operação é chamada de</w:t>
      </w:r>
      <w:r>
        <w:t xml:space="preserve"> </w:t>
      </w:r>
      <w:r>
        <w:t xml:space="preserve">“soma horizontal”</w:t>
      </w:r>
      <w:r>
        <w:t xml:space="preserve"> </w:t>
      </w:r>
      <w:r>
        <w:t xml:space="preserve">porque, para cada nível de preço</w:t>
      </w:r>
      <w:r>
        <w:t xml:space="preserve"> </w:t>
      </w:r>
      <m:oMath>
        <m:r>
          <m:t>p</m:t>
        </m:r>
      </m:oMath>
      <w:r>
        <w:t xml:space="preserve">, somamos as quantidades demandadas por cada consumidor — ou seja, somamos ao longo do eixo horizontal do gráfico preço-quantidade. Por exemplo, se ao preço</w:t>
      </w:r>
      <w:r>
        <w:t xml:space="preserve"> </w:t>
      </w:r>
      <m:oMath>
        <m:r>
          <m:t>p</m:t>
        </m:r>
        <m:r>
          <m:rPr>
            <m:sty m:val="p"/>
          </m:rPr>
          <m:t>=</m:t>
        </m:r>
        <m:r>
          <m:t>10</m:t>
        </m:r>
      </m:oMath>
      <w:r>
        <w:t xml:space="preserve"> </w:t>
      </w:r>
      <w:r>
        <w:t xml:space="preserve">o consumidor A demanda 3 unidades e o consumidor B demanda 5 unidades, a demanda de mercado a esse preço é</w:t>
      </w:r>
      <w:r>
        <w:t xml:space="preserve"> </w:t>
      </w:r>
      <m:oMath>
        <m:r>
          <m:t>X</m:t>
        </m:r>
        <m:r>
          <m:rPr>
            <m:sty m:val="p"/>
          </m:rPr>
          <m:t>(</m:t>
        </m:r>
        <m:r>
          <m:t>10</m:t>
        </m:r>
        <m:r>
          <m:rPr>
            <m:sty m:val="p"/>
          </m:rPr>
          <m:t>)</m:t>
        </m:r>
        <m:r>
          <m:rPr>
            <m:sty m:val="p"/>
          </m:rPr>
          <m:t>=</m:t>
        </m:r>
        <m:r>
          <m:t>8</m:t>
        </m:r>
      </m:oMath>
      <w:r>
        <w:t xml:space="preserve"> </w:t>
      </w:r>
      <w:r>
        <w:t xml:space="preserve">unidades. A simplicidade dessa construção esconde um pressuposto importante: cada consumidor toma o preço como dado e decide independentemente dos demais. Essa hipótese de ausência de externalidades de consumo será relaxada no Capítulo 19, quando estudarmos falhas de mercado.</w:t>
      </w:r>
    </w:p>
    <w:p>
      <w:pPr>
        <w:pStyle w:val="BlockText"/>
      </w:pPr>
      <w:r>
        <w:rPr>
          <w:b/>
          <w:bCs/>
        </w:rPr>
        <w:t xml:space="preserve">[DEFINICAO] Demanda de mercado</w:t>
      </w:r>
    </w:p>
    <w:p>
      <w:pPr>
        <w:pStyle w:val="BlockText"/>
      </w:pPr>
      <w:r>
        <w:t xml:space="preserve">A</w:t>
      </w:r>
      <w:r>
        <w:t xml:space="preserve"> </w:t>
      </w:r>
      <w:r>
        <w:rPr>
          <w:b/>
          <w:bCs/>
        </w:rPr>
        <w:t xml:space="preserve">demanda de mercado</w:t>
      </w:r>
      <w:r>
        <w:t xml:space="preserve"> </w:t>
      </w:r>
      <w:r>
        <w:t xml:space="preserve">por um bem é a quantidade total demandada por todos os consumidores a cada nível de preço, ou seja, a soma horizontal das curvas de demanda individuais.</w:t>
      </w:r>
    </w:p>
    <w:bookmarkEnd w:id="795"/>
    <w:bookmarkStart w:id="796" w:name="propriedades-da-demanda-de-mercado-1"/>
    <w:p>
      <w:pPr>
        <w:pStyle w:val="Heading4"/>
      </w:pPr>
      <w:r>
        <w:t xml:space="preserve">Propriedades da demanda de mercado</w:t>
      </w:r>
    </w:p>
    <w:p>
      <w:pPr>
        <w:pStyle w:val="FirstParagraph"/>
      </w:pPr>
      <w:r>
        <w:t xml:space="preserve">A curva de demanda de mercado herda propriedades das demandas individuais, mas o processo de agregação pode alterar algumas características:</w:t>
      </w:r>
    </w:p>
    <w:p>
      <w:pPr>
        <w:pStyle w:val="Compact"/>
        <w:numPr>
          <w:ilvl w:val="0"/>
          <w:numId w:val="1781"/>
        </w:numPr>
      </w:pPr>
      <w:r>
        <w:rPr>
          <w:b/>
          <w:bCs/>
        </w:rPr>
        <w:t xml:space="preserve">Inclinação negativa</w:t>
      </w:r>
      <w:r>
        <w:t xml:space="preserve">: Se todas as demandas individuais são decrescentes no preço (excluindo-se os raros casos de bens de Giffen, discutidos no Capítulo 5), a demanda de mercado também será decrescente. Na prática, mesmo que alguns consumidores individuais tenham demandas com formato incomum, a agregação tende a suavizar essas irregularidades.</w:t>
      </w:r>
    </w:p>
    <w:p>
      <w:pPr>
        <w:pStyle w:val="Compact"/>
        <w:numPr>
          <w:ilvl w:val="0"/>
          <w:numId w:val="1781"/>
        </w:numPr>
      </w:pPr>
      <w:r>
        <w:rPr>
          <w:b/>
          <w:bCs/>
        </w:rPr>
        <w:t xml:space="preserve">Elasticidade-preço</w:t>
      </w:r>
      <w:r>
        <w:t xml:space="preserve">: A elasticidade-preço da demanda de mercado é uma média ponderada das elasticidades individuais, com pesos dados pelas participações de cada consumidor na demanda total:</w:t>
      </w:r>
    </w:p>
    <w:p>
      <w:pPr>
        <w:pStyle w:val="FirstParagraph"/>
      </w:pPr>
      <m:oMathPara>
        <m:oMathParaPr>
          <m:jc m:val="center"/>
        </m:oMathParaPr>
        <m:oMath>
          <m:sSub>
            <m:e>
              <m:r>
                <m:t>ε</m:t>
              </m:r>
            </m:e>
            <m:sub>
              <m:r>
                <m:t>X</m:t>
              </m:r>
              <m:r>
                <m:rPr>
                  <m:sty m:val="p"/>
                </m:rPr>
                <m:t>,</m:t>
              </m:r>
              <m:r>
                <m:t>p</m:t>
              </m:r>
            </m:sub>
          </m:sSub>
          <m:r>
            <m:rPr>
              <m:sty m:val="p"/>
            </m:rPr>
            <m:t>=</m:t>
          </m:r>
          <m:nary>
            <m:naryPr>
              <m:chr m:val="∑"/>
              <m:limLoc m:val="undOvr"/>
              <m:subHide m:val="off"/>
              <m:supHide m:val="off"/>
            </m:naryPr>
            <m:sub>
              <m:r>
                <m:t>i</m:t>
              </m:r>
              <m:r>
                <m:rPr>
                  <m:sty m:val="p"/>
                </m:rPr>
                <m:t>=</m:t>
              </m:r>
              <m:r>
                <m:t>1</m:t>
              </m:r>
            </m:sub>
            <m:sup>
              <m:r>
                <m:t>n</m:t>
              </m:r>
            </m:sup>
            <m:e>
              <m:f>
                <m:fPr>
                  <m:type m:val="bar"/>
                </m:fPr>
                <m:num>
                  <m:sSub>
                    <m:e>
                      <m:r>
                        <m:t>x</m:t>
                      </m:r>
                    </m:e>
                    <m:sub>
                      <m:r>
                        <m:t>i</m:t>
                      </m:r>
                    </m:sub>
                  </m:sSub>
                </m:num>
                <m:den>
                  <m:r>
                    <m:t>X</m:t>
                  </m:r>
                </m:den>
              </m:f>
            </m:e>
          </m:nary>
          <m:r>
            <m:rPr>
              <m:sty m:val="p"/>
            </m:rPr>
            <m:t>⋅</m:t>
          </m:r>
          <m:sSub>
            <m:e>
              <m:r>
                <m:t>ε</m:t>
              </m:r>
            </m:e>
            <m:sub>
              <m:sSub>
                <m:e>
                  <m:r>
                    <m:t>x</m:t>
                  </m:r>
                </m:e>
                <m:sub>
                  <m:r>
                    <m:t>i</m:t>
                  </m:r>
                </m:sub>
              </m:sSub>
              <m:r>
                <m:rPr>
                  <m:sty m:val="p"/>
                </m:rPr>
                <m:t>,</m:t>
              </m:r>
              <m:r>
                <m:t>p</m:t>
              </m:r>
            </m:sub>
          </m:sSub>
        </m:oMath>
      </m:oMathPara>
    </w:p>
    <w:p>
      <w:pPr>
        <w:pStyle w:val="FirstParagraph"/>
      </w:pPr>
      <w:r>
        <w:t xml:space="preserve">Essa fórmula revela um ponto sutil: a elasticidade de mercado depende não apenas das elasticidades individuais, mas também da composição dos consumidores. Se os consumidores mais sensíveis ao preço representam uma fração maior do mercado, a elasticidade de mercado será mais elevada (em valor absoluto). Por exemplo, no mercado de energia elétrica no Brasil, consumidores residenciais de baixa renda — que tipicamente têm demanda mais inelástica — representam uma fatia significativa do consumo total, o que tende a tornar a demanda agregada relativamente inelástica.</w:t>
      </w:r>
    </w:p>
    <w:p>
      <w:pPr>
        <w:pStyle w:val="Compact"/>
        <w:numPr>
          <w:ilvl w:val="0"/>
          <w:numId w:val="1782"/>
        </w:numPr>
      </w:pPr>
      <w:r>
        <w:rPr>
          <w:b/>
          <w:bCs/>
        </w:rPr>
        <w:t xml:space="preserve">Efeitos renda e substituição</w:t>
      </w:r>
      <w:r>
        <w:t xml:space="preserve">: Deslocamentos na demanda de mercado refletem mudanças na renda agregada, na distribuição de renda, nos preços de bens relacionados e nas preferências dos consumidores. Cabe notar que a distribuição de renda importa: uma economia com renda total de R$ 1 trilhão concentrada em poucos indivíduos terá demanda de mercado diferente de outra com a mesma renda total distribuída mais igualitariamente — pois os padrões de consumo diferem entre faixas de renda. Esse ponto, frequentemente negligenciado em tratamentos introdutórios, é central para a análise de políticas distributivas e será retomado quando discutirmos o equilíbrio geral no Capítulo 14.</w:t>
      </w:r>
    </w:p>
    <w:p>
      <w:pPr>
        <w:pStyle w:val="BlockText"/>
      </w:pPr>
      <w:r>
        <w:rPr>
          <w:b/>
          <w:bCs/>
        </w:rPr>
        <w:t xml:space="preserve">[DICA] Agregação e heterogeneidade</w:t>
      </w:r>
    </w:p>
    <w:p>
      <w:pPr>
        <w:pStyle w:val="BlockText"/>
      </w:pPr>
      <w:r>
        <w:t xml:space="preserve">Mesmo que demandas individuais apresentem descontinuidades ou formas peculiares, a demanda de mercado tende a ser mais</w:t>
      </w:r>
      <w:r>
        <w:t xml:space="preserve"> </w:t>
      </w:r>
      <w:r>
        <w:t xml:space="preserve">“suave”</w:t>
      </w:r>
      <w:r>
        <w:t xml:space="preserve"> </w:t>
      </w:r>
      <w:r>
        <w:t xml:space="preserve">quando o número de consumidores é grande, devido à diversidade de preferências e rendas. Esse resultado, formalizado por Werner Hildenbrand (1994) em</w:t>
      </w:r>
      <w:r>
        <w:t xml:space="preserve"> </w:t>
      </w:r>
      <w:r>
        <w:rPr>
          <w:i/>
          <w:iCs/>
        </w:rPr>
        <w:t xml:space="preserve">Market Demand</w:t>
      </w:r>
      <w:r>
        <w:t xml:space="preserve">, mostra que a Lei da Demanda pode emergir da agregação mesmo sem impor restrições fortes sobre preferências individuais — uma das justificativas teóricas mais elegantes para a inclinação negativa da demanda de mercado.</w:t>
      </w:r>
    </w:p>
    <w:p>
      <w:pPr>
        <w:pStyle w:val="FirstParagraph"/>
      </w:pPr>
      <w:r>
        <w:t xml:space="preserve">Com a demanda de mercado construída, precisamos agora do segundo ingrediente: a oferta. Recordemos que, no Capítulo 12, derivamos a curva de oferta da firma individual a partir da condição de maximização de lucro (</w:t>
      </w:r>
      <m:oMath>
        <m:r>
          <m:t>p</m:t>
        </m:r>
        <m:r>
          <m:rPr>
            <m:sty m:val="p"/>
          </m:rPr>
          <m:t>=</m:t>
        </m:r>
        <m:r>
          <m:t>C</m:t>
        </m:r>
        <m:r>
          <m:t>M</m:t>
        </m:r>
        <m:r>
          <m:t>g</m:t>
        </m:r>
      </m:oMath>
      <w:r>
        <w:t xml:space="preserve">). A oferta de mercado é construída de forma análoga à demanda: somamos horizontalmente as ofertas individuais das firmas. Com ambos os componentes em mãos, podemos finalmente analisar a formação de preços — o que faremos distinguindo três horizontes temporais, cada um com graus de ajuste progressivamente maiores.</w:t>
      </w:r>
    </w:p>
    <w:p>
      <w:pPr>
        <w:pStyle w:val="BodyText"/>
      </w:pPr>
      <w:r>
        <w:t xml:space="preserve">[FIGURA INTERATIVA: /micro-book/graficos/cap13/webr-agregacao-demanda.html — versao interativa disponivel online]</w:t>
      </w:r>
    </w:p>
    <w:p>
      <w:pPr>
        <w:pStyle w:val="BodyText"/>
      </w:pPr>
      <w:r>
        <w:rPr>
          <w:b/>
          <w:bCs/>
        </w:rPr>
        <w:t xml:space="preserve">WebR 13.1 — Agregação de demandas individuais e equilíbrio de mercado.</w:t>
      </w:r>
      <w:r>
        <w:t xml:space="preserve"> </w:t>
      </w:r>
      <w:r>
        <w:t xml:space="preserve">O código soma horizontalmente as demandas de três tipos de consumidores (A, B, C) e calcula o equilíbrio. Altere o número de consumidores ou as funções de demanda para ver como a composição do mercado afeta a elasticidade agregada.</w:t>
      </w:r>
    </w:p>
    <w:bookmarkEnd w:id="796"/>
    <w:bookmarkEnd w:id="797"/>
    <w:bookmarkStart w:id="804" w:name="X6b2649a61ae3eabb35ada2c7aec23f310f5eb1b"/>
    <w:p>
      <w:pPr>
        <w:pStyle w:val="Heading2"/>
      </w:pPr>
      <w:r>
        <w:t xml:space="preserve">13.2–13.4 Curtíssimo Prazo, Curto Prazo e Estática Comparativa</w:t>
      </w:r>
    </w:p>
    <w:bookmarkStart w:id="798" w:name="X1dfde1d6e005e422f64a59776234f1f4c80b5e4"/>
    <w:p>
      <w:pPr>
        <w:pStyle w:val="Heading3"/>
      </w:pPr>
      <w:r>
        <w:t xml:space="preserve">13.2 O Feirante e o Caminhão de Tomates: Curtíssimo Prazo</w:t>
      </w:r>
    </w:p>
    <w:p>
      <w:pPr>
        <w:pStyle w:val="FirstParagraph"/>
      </w:pPr>
      <w:r>
        <w:t xml:space="preserve">O primeiro horizonte temporal que consideramos é o mais restritivo — e o mais dramático: o</w:t>
      </w:r>
      <w:r>
        <w:t xml:space="preserve"> </w:t>
      </w:r>
      <w:r>
        <w:rPr>
          <w:b/>
          <w:bCs/>
        </w:rPr>
        <w:t xml:space="preserve">curtíssimo prazo</w:t>
      </w:r>
      <w:r>
        <w:t xml:space="preserve">, também chamado de período de mercado. Imagine o feirante que chegou de madrugada com seu caminhão de tomates. O que está no caminhão é o que ele tem para vender; não há como plantar mais tomates até o fim da tarde. A quantidade ofertada é fixa, ponto final. A curva de oferta é perfeitamente inelástica (vertical):</w:t>
      </w:r>
    </w:p>
    <w:p>
      <w:pPr>
        <w:pStyle w:val="BodyText"/>
      </w:pPr>
      <m:oMathPara>
        <m:oMathParaPr>
          <m:jc m:val="center"/>
        </m:oMathParaPr>
        <m:oMath>
          <m:r>
            <m:t>S</m:t>
          </m:r>
          <m:r>
            <m:rPr>
              <m:sty m:val="p"/>
            </m:rPr>
            <m:t>=</m:t>
          </m:r>
          <m:acc>
            <m:accPr>
              <m:chr m:val="‾"/>
            </m:accPr>
            <m:e>
              <m:r>
                <m:t>Q</m:t>
              </m:r>
            </m:e>
          </m:acc>
        </m:oMath>
      </m:oMathPara>
    </w:p>
    <w:p>
      <w:pPr>
        <w:pStyle w:val="FirstParagraph"/>
      </w:pPr>
      <w:r>
        <w:t xml:space="preserve">Neste caso, o preço de equilíbrio é determinado exclusivamente pela demanda:</w:t>
      </w:r>
    </w:p>
    <w:p>
      <w:pPr>
        <w:pStyle w:val="BodyText"/>
      </w:pPr>
      <m:oMathPara>
        <m:oMathParaPr>
          <m:jc m:val="center"/>
        </m:oMathParaPr>
        <m:oMath>
          <m:sSup>
            <m:e>
              <m:r>
                <m:t>p</m:t>
              </m:r>
            </m:e>
            <m:sup>
              <m:r>
                <m:rPr>
                  <m:sty m:val="p"/>
                </m:rPr>
                <m:t>*</m:t>
              </m:r>
            </m:sup>
          </m:sSup>
          <m:r>
            <m:rPr>
              <m:nor/>
              <m:sty m:val="p"/>
            </m:rPr>
            <m:t> tal que </m:t>
          </m:r>
          <m:r>
            <m:t>X</m:t>
          </m:r>
          <m:r>
            <m:rPr>
              <m:sty m:val="p"/>
            </m:rPr>
            <m:t>(</m:t>
          </m:r>
          <m:sSup>
            <m:e>
              <m:r>
                <m:t>p</m:t>
              </m:r>
            </m:e>
            <m:sup>
              <m:r>
                <m:rPr>
                  <m:sty m:val="p"/>
                </m:rPr>
                <m:t>*</m:t>
              </m:r>
            </m:sup>
          </m:sSup>
          <m:r>
            <m:rPr>
              <m:sty m:val="p"/>
            </m:rPr>
            <m:t>)</m:t>
          </m:r>
          <m:r>
            <m:rPr>
              <m:sty m:val="p"/>
            </m:rPr>
            <m:t>=</m:t>
          </m:r>
          <m:acc>
            <m:accPr>
              <m:chr m:val="‾"/>
            </m:accPr>
            <m:e>
              <m:r>
                <m:t>Q</m:t>
              </m:r>
            </m:e>
          </m:acc>
        </m:oMath>
      </m:oMathPara>
    </w:p>
    <w:p>
      <w:pPr>
        <w:pStyle w:val="FirstParagraph"/>
      </w:pPr>
      <w:r>
        <w:t xml:space="preserve">Se a demanda se desloca, todo o ajuste ocorre via preço — a quantidade permanece inalterada. Em mercados de bens perecíveis — como peixes frescos no Mercado Municipal de São Paulo, flores no Ceagesp, ou frutas tropicais nos mercados do Nordeste —, esta análise é particularmente relevante: o vendedor aceita qualquer preço que o mercado determine, pois a alternativa é perder a mercadoria. Marshall chamava esse horizonte de</w:t>
      </w:r>
      <w:r>
        <w:t xml:space="preserve"> </w:t>
      </w:r>
      <w:r>
        <w:t xml:space="preserve">“período de mercado”</w:t>
      </w:r>
      <w:r>
        <w:t xml:space="preserve"> </w:t>
      </w:r>
      <w:r>
        <w:t xml:space="preserve">e o considerava essencial para compreender a volatilidade de preços de bens não armazenáveis.</w:t>
      </w:r>
    </w:p>
    <w:p>
      <w:pPr>
        <w:pStyle w:val="BodyText"/>
      </w:pPr>
      <w:r>
        <w:t xml:space="preserve">A implicação prática é imediata: quanto mais inelástica a oferta, maior a volatilidade de preços em resposta a choques de demanda. Isso explica por que os preços de hortaliças e legumes nos CEASAs brasileiros podem variar 50% ou mais de uma semana para outra — o tempo entre a colheita e a venda é curto demais para que a oferta se ajuste. Já para bens duráveis e estocáveis, como minério de ferro ou alumínio, a possibilidade de acumular ou liquidar estoques suaviza as flutuações de preço, aproximando o mercado de um horizonte de curto prazo mesmo em intervalos breves.</w:t>
      </w:r>
    </w:p>
    <w:p>
      <w:pPr>
        <w:pStyle w:val="BodyText"/>
      </w:pPr>
      <w:r>
        <w:t xml:space="preserve">Explore como mudanças nos parâmetros de oferta e demanda afetam o equilíbrio de mercado. Ajuste os interceptos e inclinações para observar as variações no preço e quantidade de equilíbrio, bem como nos excedentes do consumidor (azul) e do produtor (verde).</w:t>
      </w:r>
    </w:p>
    <w:p>
      <w:pPr>
        <w:pStyle w:val="BodyText"/>
      </w:pPr>
      <w:r>
        <w:t xml:space="preserve">[FIGURA INTERATIVA: /micro-book/graficos/cap13/oferta-demanda.html — versao interativa disponivel online]</w:t>
      </w:r>
    </w:p>
    <w:p>
      <w:pPr>
        <w:pStyle w:val="BodyText"/>
      </w:pPr>
      <w:r>
        <w:rPr>
          <w:b/>
          <w:bCs/>
        </w:rPr>
        <w:t xml:space="preserve">Figura 13.1 — Equilíbrio de oferta e demanda.</w:t>
      </w:r>
      <w:r>
        <w:t xml:space="preserve"> </w:t>
      </w:r>
      <w:r>
        <w:t xml:space="preserve">Ajuste os interceptos e inclinações para observar as variações no preço e quantidade de equilíbrio, bem como nos excedentes do consumidor e do produtor.</w:t>
      </w:r>
    </w:p>
    <w:p>
      <w:r>
        <w:pict>
          <v:rect style="width:0;height:1.5pt" o:hralign="center" o:hrstd="t" o:hr="t"/>
        </w:pict>
      </w:r>
    </w:p>
    <w:bookmarkEnd w:id="798"/>
    <w:bookmarkStart w:id="801" w:name="X30f79cf7fef47bd7a5611719f936539bec0d2e9"/>
    <w:p>
      <w:pPr>
        <w:pStyle w:val="Heading3"/>
      </w:pPr>
      <w:r>
        <w:t xml:space="preserve">13.3 Quando a Fábrica Liga o Segundo Turno: Curto Prazo</w:t>
      </w:r>
    </w:p>
    <w:p>
      <w:pPr>
        <w:pStyle w:val="FirstParagraph"/>
      </w:pPr>
      <w:r>
        <w:t xml:space="preserve">Passamos agora ao horizonte de</w:t>
      </w:r>
      <w:r>
        <w:t xml:space="preserve"> </w:t>
      </w:r>
      <w:r>
        <w:rPr>
          <w:b/>
          <w:bCs/>
        </w:rPr>
        <w:t xml:space="preserve">curto prazo</w:t>
      </w:r>
      <w:r>
        <w:t xml:space="preserve">, em que as firmas finalmente ganham algum espaço para respirar: podem variar a quantidade produzida contratando mais trabalhadores ou comprando mais matéria-prima, embora o capital continue fixo e o número de firmas no mercado seja dado. Se o curtíssimo prazo era um feirante preso ao seu caminhão, o curto prazo é uma fábrica que pode ligar mais turnos — mas não pode construir um galpão novo da noite para o dia. É nesse horizonte que a análise de equilíbrio parcial marshalliano se manifesta em sua forma mais característica.</w:t>
      </w:r>
    </w:p>
    <w:bookmarkStart w:id="799" w:name="equilíbrio-parcial-marshalliano"/>
    <w:p>
      <w:pPr>
        <w:pStyle w:val="Heading4"/>
      </w:pPr>
      <w:r>
        <w:t xml:space="preserve">Equilíbrio parcial marshalliano</w:t>
      </w:r>
    </w:p>
    <w:p>
      <w:pPr>
        <w:pStyle w:val="FirstParagraph"/>
      </w:pPr>
      <w:r>
        <w:t xml:space="preserve">No curto prazo, a oferta de cada firma é dada por sua curva de custo marginal acima do custo variável médio mínimo — o ponto de fechamento derivado no Capítulo 12:</w:t>
      </w:r>
    </w:p>
    <w:p>
      <w:pPr>
        <w:pStyle w:val="BodyText"/>
      </w:pPr>
      <m:oMathPara>
        <m:oMathParaPr>
          <m:jc m:val="center"/>
        </m:oMathParaPr>
        <m:oMath>
          <m:sSub>
            <m:e>
              <m:r>
                <m:t>S</m:t>
              </m:r>
            </m:e>
            <m:sub>
              <m:r>
                <m:t>j</m:t>
              </m:r>
            </m:sub>
          </m:sSub>
          <m:r>
            <m:rPr>
              <m:sty m:val="p"/>
            </m:rPr>
            <m:t>(</m:t>
          </m:r>
          <m:r>
            <m:t>p</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q</m:t>
                        </m:r>
                      </m:e>
                      <m:sub>
                        <m:r>
                          <m:t>j</m:t>
                        </m:r>
                      </m:sub>
                    </m:sSub>
                    <m:r>
                      <m:rPr>
                        <m:nor/>
                        <m:sty m:val="p"/>
                      </m:rPr>
                      <m:t> tal que </m:t>
                    </m:r>
                    <m:r>
                      <m:t>C</m:t>
                    </m:r>
                    <m:r>
                      <m:t>M</m:t>
                    </m:r>
                    <m:sSub>
                      <m:e>
                        <m:r>
                          <m:t>g</m:t>
                        </m:r>
                      </m:e>
                      <m:sub>
                        <m:r>
                          <m:t>j</m:t>
                        </m:r>
                      </m:sub>
                    </m:sSub>
                    <m:r>
                      <m:rPr>
                        <m:sty m:val="p"/>
                      </m:rPr>
                      <m:t>(</m:t>
                    </m:r>
                    <m:sSub>
                      <m:e>
                        <m:r>
                          <m:t>q</m:t>
                        </m:r>
                      </m:e>
                      <m:sub>
                        <m:r>
                          <m:t>j</m:t>
                        </m:r>
                      </m:sub>
                    </m:sSub>
                    <m:r>
                      <m:rPr>
                        <m:sty m:val="p"/>
                      </m:rPr>
                      <m:t>)</m:t>
                    </m:r>
                    <m:r>
                      <m:rPr>
                        <m:sty m:val="p"/>
                      </m:rPr>
                      <m:t>=</m:t>
                    </m:r>
                    <m:r>
                      <m:t>p</m:t>
                    </m:r>
                    <m:r>
                      <m:rPr>
                        <m:sty m:val="p"/>
                      </m:rPr>
                      <m:t>,</m:t>
                    </m:r>
                  </m:e>
                  <m:e>
                    <m:r>
                      <m:rPr>
                        <m:nor/>
                        <m:sty m:val="p"/>
                      </m:rPr>
                      <m:t>se </m:t>
                    </m:r>
                    <m:r>
                      <m:t>p</m:t>
                    </m:r>
                    <m:r>
                      <m:rPr>
                        <m:sty m:val="p"/>
                      </m:rPr>
                      <m:t>≥</m:t>
                    </m:r>
                    <m:r>
                      <m:t>C</m:t>
                    </m:r>
                    <m:r>
                      <m:t>V</m:t>
                    </m:r>
                    <m:r>
                      <m:t>M</m:t>
                    </m:r>
                    <m:sSub>
                      <m:e>
                        <m:r>
                          <m:t>e</m:t>
                        </m:r>
                      </m:e>
                      <m:sub>
                        <m:r>
                          <m:rPr>
                            <m:sty m:val="p"/>
                          </m:rPr>
                          <m:t>min</m:t>
                        </m:r>
                      </m:sub>
                    </m:sSub>
                  </m:e>
                </m:mr>
                <m:mr>
                  <m:e>
                    <m:r>
                      <m:t>0</m:t>
                    </m:r>
                    <m:r>
                      <m:rPr>
                        <m:sty m:val="p"/>
                      </m:rPr>
                      <m:t>,</m:t>
                    </m:r>
                  </m:e>
                  <m:e>
                    <m:r>
                      <m:rPr>
                        <m:nor/>
                        <m:sty m:val="p"/>
                      </m:rPr>
                      <m:t>se </m:t>
                    </m:r>
                    <m:r>
                      <m:t>p</m:t>
                    </m:r>
                    <m:r>
                      <m:rPr>
                        <m:sty m:val="p"/>
                      </m:rPr>
                      <m:t>&lt;</m:t>
                    </m:r>
                    <m:r>
                      <m:t>C</m:t>
                    </m:r>
                    <m:r>
                      <m:t>V</m:t>
                    </m:r>
                    <m:r>
                      <m:t>M</m:t>
                    </m:r>
                    <m:sSub>
                      <m:e>
                        <m:r>
                          <m:t>e</m:t>
                        </m:r>
                      </m:e>
                      <m:sub>
                        <m:r>
                          <m:rPr>
                            <m:sty m:val="p"/>
                          </m:rPr>
                          <m:t>min</m:t>
                        </m:r>
                      </m:sub>
                    </m:sSub>
                  </m:e>
                </m:mr>
              </m:m>
            </m:e>
          </m:d>
        </m:oMath>
      </m:oMathPara>
    </w:p>
    <w:p>
      <w:pPr>
        <w:pStyle w:val="FirstParagraph"/>
      </w:pPr>
      <w:r>
        <w:t xml:space="preserve">Recordemos a lógica: se o preço cai abaixo do custo variável médio mínimo, a firma não consegue sequer cobrir seus custos variáveis e prefere encerrar a produção temporariamente (mantendo a planta, mas produzindo zero). Acima desse limiar, a firma produz onde</w:t>
      </w:r>
      <w:r>
        <w:t xml:space="preserve"> </w:t>
      </w:r>
      <m:oMath>
        <m:r>
          <m:t>p</m:t>
        </m:r>
        <m:r>
          <m:rPr>
            <m:sty m:val="p"/>
          </m:rPr>
          <m:t>=</m:t>
        </m:r>
        <m:r>
          <m:t>C</m:t>
        </m:r>
        <m:r>
          <m:t>M</m:t>
        </m:r>
        <m:r>
          <m:t>g</m:t>
        </m:r>
      </m:oMath>
      <w:r>
        <w:t xml:space="preserve">, a condição de primeira ordem para maximização de lucro em concorrência perfeita.</w:t>
      </w:r>
    </w:p>
    <w:p>
      <w:pPr>
        <w:pStyle w:val="BodyText"/>
      </w:pPr>
      <w:r>
        <w:t xml:space="preserve">A oferta de mercado de curto prazo é a soma horizontal das ofertas individuais das</w:t>
      </w:r>
      <w:r>
        <w:t xml:space="preserve"> </w:t>
      </w:r>
      <m:oMath>
        <m:r>
          <m:t>m</m:t>
        </m:r>
      </m:oMath>
      <w:r>
        <w:t xml:space="preserve"> </w:t>
      </w:r>
      <w:r>
        <w:t xml:space="preserve">firmas:</w:t>
      </w:r>
    </w:p>
    <w:p>
      <w:pPr>
        <w:pStyle w:val="BodyText"/>
      </w:pPr>
      <m:oMathPara>
        <m:oMathParaPr>
          <m:jc m:val="center"/>
        </m:oMathParaPr>
        <m:oMath>
          <m:r>
            <m:t>S</m:t>
          </m:r>
          <m:r>
            <m:rPr>
              <m:sty m:val="p"/>
            </m:rPr>
            <m:t>(</m:t>
          </m:r>
          <m:r>
            <m:t>p</m:t>
          </m:r>
          <m:r>
            <m:rPr>
              <m:sty m:val="p"/>
            </m:rPr>
            <m:t>)</m:t>
          </m:r>
          <m:r>
            <m:rPr>
              <m:sty m:val="p"/>
            </m:rPr>
            <m:t>=</m:t>
          </m:r>
          <m:nary>
            <m:naryPr>
              <m:chr m:val="∑"/>
              <m:limLoc m:val="undOvr"/>
              <m:subHide m:val="off"/>
              <m:supHide m:val="off"/>
            </m:naryPr>
            <m:sub>
              <m:r>
                <m:t>j</m:t>
              </m:r>
              <m:r>
                <m:rPr>
                  <m:sty m:val="p"/>
                </m:rPr>
                <m:t>=</m:t>
              </m:r>
              <m:r>
                <m:t>1</m:t>
              </m:r>
            </m:sub>
            <m:sup>
              <m:r>
                <m:t>m</m:t>
              </m:r>
            </m:sup>
            <m:e>
              <m:sSub>
                <m:e>
                  <m:r>
                    <m:t>S</m:t>
                  </m:r>
                </m:e>
                <m:sub>
                  <m:r>
                    <m:t>j</m:t>
                  </m:r>
                </m:sub>
              </m:sSub>
            </m:e>
          </m:nary>
          <m:r>
            <m:rPr>
              <m:sty m:val="p"/>
            </m:rPr>
            <m:t>(</m:t>
          </m:r>
          <m:r>
            <m:t>p</m:t>
          </m:r>
          <m:r>
            <m:rPr>
              <m:sty m:val="p"/>
            </m:rPr>
            <m:t>)</m:t>
          </m:r>
        </m:oMath>
      </m:oMathPara>
    </w:p>
    <w:p>
      <w:pPr>
        <w:pStyle w:val="FirstParagraph"/>
      </w:pPr>
      <w:r>
        <w:t xml:space="preserve">Note que a oferta de mercado pode apresentar descontinuidades nos preços correspondentes aos pontos de fechamento de firmas individuais: à medida que o preço sobe, firmas que estavam inativas passam a produzir, gerando</w:t>
      </w:r>
      <w:r>
        <w:t xml:space="preserve"> </w:t>
      </w:r>
      <w:r>
        <w:t xml:space="preserve">“saltos”</w:t>
      </w:r>
      <w:r>
        <w:t xml:space="preserve"> </w:t>
      </w:r>
      <w:r>
        <w:t xml:space="preserve">na oferta agregada. Na prática, com um número grande de firmas heterogêneas, esses saltos se tornam imperceptíveis e a curva de oferta de mercado é essencialmente contínua.</w:t>
      </w:r>
    </w:p>
    <w:p>
      <w:pPr>
        <w:pStyle w:val="BlockText"/>
      </w:pPr>
      <w:r>
        <w:rPr>
          <w:b/>
          <w:bCs/>
        </w:rPr>
        <w:t xml:space="preserve">[DEFINICAO] Equilíbrio de curto prazo</w:t>
      </w:r>
    </w:p>
    <w:p>
      <w:pPr>
        <w:pStyle w:val="BlockText"/>
      </w:pPr>
      <w:r>
        <w:t xml:space="preserve">O</w:t>
      </w:r>
      <w:r>
        <w:t xml:space="preserve"> </w:t>
      </w:r>
      <w:r>
        <w:rPr>
          <w:b/>
          <w:bCs/>
        </w:rPr>
        <w:t xml:space="preserve">equilíbrio competitivo de curto prazo</w:t>
      </w:r>
      <w:r>
        <w:t xml:space="preserve"> </w:t>
      </w:r>
      <w:r>
        <w:t xml:space="preserve">ocorre ao preço</w:t>
      </w:r>
      <w:r>
        <w:t xml:space="preserve"> </w:t>
      </w:r>
      <m:oMath>
        <m:sSup>
          <m:e>
            <m:r>
              <m:t>p</m:t>
            </m:r>
          </m:e>
          <m:sup>
            <m:r>
              <m:rPr>
                <m:sty m:val="p"/>
              </m:rPr>
              <m:t>*</m:t>
            </m:r>
          </m:sup>
        </m:sSup>
      </m:oMath>
      <w:r>
        <w:t xml:space="preserve"> </w:t>
      </w:r>
      <w:r>
        <w:t xml:space="preserve">tal que a quantidade demandada pelo mercado iguala a quantidade ofertada:</w:t>
      </w:r>
    </w:p>
    <w:p>
      <w:pPr>
        <w:pStyle w:val="BlockText"/>
      </w:pPr>
      <w:r>
        <w:t xml:space="preserve">$$</w:t>
      </w:r>
    </w:p>
    <w:p>
      <w:pPr>
        <w:pStyle w:val="BlockText"/>
      </w:pPr>
      <w:r>
        <w:t xml:space="preserve">X(p^</w:t>
      </w:r>
      <w:r>
        <w:rPr>
          <w:i/>
          <w:iCs/>
        </w:rPr>
        <w:t xml:space="preserve">) = S(p^</w:t>
      </w:r>
      <w:r>
        <w:t xml:space="preserve">)</w:t>
      </w:r>
      <w:r>
        <w:t xml:space="preserve"> </w:t>
      </w:r>
      <w:r>
        <w:t xml:space="preserve"> </w:t>
      </w:r>
      <w:r>
        <w:t xml:space="preserve"> </w:t>
      </w:r>
      <w:r>
        <w:t xml:space="preserve">$$</w:t>
      </w:r>
    </w:p>
    <w:p>
      <w:pPr>
        <w:pStyle w:val="BlockText"/>
      </w:pPr>
      <w:r>
        <w:t xml:space="preserve">O equilíbrio definido pela equação Eq. (eq:13.5) garante que, a esse preço, nenhum comprador ou vendedor individual tem incentivo para alterar seu comportamento. Os consumidores compram exatamente a quantidade que desejam, e cada firma produz a quantidade que maximiza seu lucro.</w:t>
      </w:r>
    </w:p>
    <w:p>
      <w:pPr>
        <w:pStyle w:val="BlockText"/>
      </w:pPr>
      <w:r>
        <w:rPr>
          <w:b/>
          <w:bCs/>
        </w:rPr>
        <w:t xml:space="preserve">[INTUICAO ECONOMICA] Intuição Econômica</w:t>
      </w:r>
    </w:p>
    <w:p>
      <w:pPr>
        <w:pStyle w:val="BlockText"/>
      </w:pPr>
      <w:r>
        <w:rPr>
          <w:b/>
          <w:bCs/>
        </w:rPr>
        <w:t xml:space="preserve">Em uma frase:</w:t>
      </w:r>
      <w:r>
        <w:t xml:space="preserve"> </w:t>
      </w:r>
      <w:r>
        <w:t xml:space="preserve">O preço de equilíbrio é aquele em que ninguém está frustrado — todo mundo que quer comprar a esse preço consegue, e todo mundo que quer vender encontra comprador.</w:t>
      </w:r>
    </w:p>
    <w:p>
      <w:pPr>
        <w:pStyle w:val="BlockText"/>
      </w:pPr>
      <w:r>
        <w:rPr>
          <w:b/>
          <w:bCs/>
        </w:rPr>
        <w:t xml:space="preserve">Pense assim:</w:t>
      </w:r>
      <w:r>
        <w:t xml:space="preserve"> </w:t>
      </w:r>
      <w:r>
        <w:t xml:space="preserve">Na feira livre do seu bairro, se o quilo do tomate está caro demais, sobra tomate na barraca e o feirante baixa o preço. Se está barato demais, falta tomate e os consumidores competem entre si, puxando o preço para cima. O equilíbrio é o ponto em que a pilha de tomates na barraca</w:t>
      </w:r>
      <w:r>
        <w:t xml:space="preserve"> </w:t>
      </w:r>
      <w:r>
        <w:t xml:space="preserve">“dá certo”</w:t>
      </w:r>
      <w:r>
        <w:t xml:space="preserve"> </w:t>
      </w:r>
      <w:r>
        <w:t xml:space="preserve">com a fila de compradores — sem sobra nem falta.</w:t>
      </w:r>
    </w:p>
    <w:p>
      <w:pPr>
        <w:pStyle w:val="BlockText"/>
      </w:pPr>
      <w:r>
        <w:rPr>
          <w:b/>
          <w:bCs/>
        </w:rPr>
        <w:t xml:space="preserve">Por que isso importa:</w:t>
      </w:r>
      <w:r>
        <w:t xml:space="preserve"> </w:t>
      </w:r>
      <w:r>
        <w:t xml:space="preserve">A formação de preços por oferta e demanda é o mecanismo central que coordena decisões descentralizadas de milhões de agentes — e entender esse processo é essencial para avaliar qualquer intervenção de política pública nos mercados.</w:t>
      </w:r>
    </w:p>
    <w:bookmarkEnd w:id="799"/>
    <w:bookmarkStart w:id="800" w:name="estabilidade-do-equilíbrio"/>
    <w:p>
      <w:pPr>
        <w:pStyle w:val="Heading4"/>
      </w:pPr>
      <w:r>
        <w:t xml:space="preserve">Estabilidade do equilíbrio</w:t>
      </w:r>
    </w:p>
    <w:p>
      <w:pPr>
        <w:pStyle w:val="FirstParagraph"/>
      </w:pPr>
      <w:r>
        <w:t xml:space="preserve">Encontrar o equilíbrio não basta: precisamos garantir que, se o mercado for perturbado, as forças econômicas o reconduzirão ao ponto de equilíbrio. O equilíbrio marshalliano é</w:t>
      </w:r>
      <w:r>
        <w:t xml:space="preserve"> </w:t>
      </w:r>
      <w:r>
        <w:rPr>
          <w:b/>
          <w:bCs/>
        </w:rPr>
        <w:t xml:space="preserve">estável</w:t>
      </w:r>
      <w:r>
        <w:t xml:space="preserve"> </w:t>
      </w:r>
      <w:r>
        <w:t xml:space="preserve">quando, a preços acima do equilíbrio, há excesso de oferta (pressionando o preço para baixo) e, a preços abaixo, há excesso de demanda (pressionando o preço para cima). Formalmente, a condição de estabilidade walrasiana requer:</w:t>
      </w:r>
    </w:p>
    <w:p>
      <w:pPr>
        <w:pStyle w:val="BodyText"/>
      </w:pPr>
      <m:oMathPara>
        <m:oMathParaPr>
          <m:jc m:val="center"/>
        </m:oMathParaPr>
        <m:oMath>
          <m:f>
            <m:fPr>
              <m:type m:val="bar"/>
            </m:fPr>
            <m:num>
              <m:r>
                <m:t>d</m:t>
              </m:r>
              <m:r>
                <m:t>X</m:t>
              </m:r>
            </m:num>
            <m:den>
              <m:r>
                <m:t>d</m:t>
              </m:r>
              <m:r>
                <m:t>p</m:t>
              </m:r>
            </m:den>
          </m:f>
          <m:r>
            <m:rPr>
              <m:sty m:val="p"/>
            </m:rPr>
            <m:t>−</m:t>
          </m:r>
          <m:f>
            <m:fPr>
              <m:type m:val="bar"/>
            </m:fPr>
            <m:num>
              <m:r>
                <m:t>d</m:t>
              </m:r>
              <m:r>
                <m:t>S</m:t>
              </m:r>
            </m:num>
            <m:den>
              <m:r>
                <m:t>d</m:t>
              </m:r>
              <m:r>
                <m:t>p</m:t>
              </m:r>
            </m:den>
          </m:f>
          <m:r>
            <m:rPr>
              <m:sty m:val="p"/>
            </m:rPr>
            <m:t>&lt;</m:t>
          </m:r>
          <m:r>
            <m:t>0</m:t>
          </m:r>
        </m:oMath>
      </m:oMathPara>
    </w:p>
    <w:p>
      <w:pPr>
        <w:pStyle w:val="FirstParagraph"/>
      </w:pPr>
      <w:r>
        <w:t xml:space="preserve">o que é satisfeito sempre que a demanda é negativamente inclinada e a oferta é positivamente inclinada — o caso</w:t>
      </w:r>
      <w:r>
        <w:t xml:space="preserve"> </w:t>
      </w:r>
      <w:r>
        <w:t xml:space="preserve">“bem-comportado”</w:t>
      </w:r>
      <w:r>
        <w:t xml:space="preserve"> </w:t>
      </w:r>
      <w:r>
        <w:t xml:space="preserve">que predomina na maioria dos mercados. Note, porém, que a estabilidade não é automática: se a oferta tiver inclinação negativa (como pode ocorrer em mercados de trabalho com</w:t>
      </w:r>
      <w:r>
        <w:t xml:space="preserve"> </w:t>
      </w:r>
      <w:r>
        <w:rPr>
          <w:i/>
          <w:iCs/>
        </w:rPr>
        <w:t xml:space="preserve">backward-bending supply</w:t>
      </w:r>
      <w:r>
        <w:t xml:space="preserve">) ou se a demanda tiver inclinação positiva (bens de Giffen ou Veblen), a condição pode ser violada e o equilíbrio pode ser instável.</w:t>
      </w:r>
    </w:p>
    <w:p>
      <w:pPr>
        <w:pStyle w:val="BodyText"/>
      </w:pPr>
      <w:r>
        <w:t xml:space="preserve">Marshall propôs um critério alternativo de estabilidade, baseado em quantidades: o equilíbrio é estável se, quando a quantidade está abaixo do equilíbrio, o preço de demanda excede o preço de oferta (incentivando os produtores a expandir). Os dois critérios coincidem quando as curvas têm inclinações convencionais, mas podem divergir em casos patológicos — uma sutileza que ilustra a riqueza da análise marshalliana.</w:t>
      </w:r>
    </w:p>
    <w:p>
      <w:pPr>
        <w:pStyle w:val="BodyText"/>
      </w:pPr>
      <w:r>
        <w:t xml:space="preserve">O equilíbrio de curto prazo, contudo, não é a palavra final: ele nos diz o que acontece</w:t>
      </w:r>
      <w:r>
        <w:t xml:space="preserve"> </w:t>
      </w:r>
      <w:r>
        <w:rPr>
          <w:i/>
          <w:iCs/>
        </w:rPr>
        <w:t xml:space="preserve">dado o número de firmas</w:t>
      </w:r>
      <w:r>
        <w:t xml:space="preserve">. No longo prazo, esse número se ajusta — e é esse ajuste que nos conduz ao próximo horizonte temporal.</w:t>
      </w:r>
    </w:p>
    <w:p>
      <w:r>
        <w:pict>
          <v:rect style="width:0;height:1.5pt" o:hralign="center" o:hrstd="t" o:hr="t"/>
        </w:pict>
      </w:r>
    </w:p>
    <w:bookmarkEnd w:id="800"/>
    <w:bookmarkEnd w:id="801"/>
    <w:bookmarkStart w:id="803" w:name="X5e815d1541bf6f358cfffbe66ab3af0d0c09d09"/>
    <w:p>
      <w:pPr>
        <w:pStyle w:val="Heading3"/>
      </w:pPr>
      <w:r>
        <w:t xml:space="preserve">13.4 E Se o Mundo Mudar? Estática Comparativa</w:t>
      </w:r>
    </w:p>
    <w:p>
      <w:pPr>
        <w:pStyle w:val="FirstParagraph"/>
      </w:pPr>
      <w:r>
        <w:t xml:space="preserve">Determinado o equilíbrio, a pergunta natural — e a que todo economista vive respondendo em entrevistas, relatórios e reuniões de diretoria — é:</w:t>
      </w:r>
      <w:r>
        <w:t xml:space="preserve"> </w:t>
      </w:r>
      <w:r>
        <w:rPr>
          <w:i/>
          <w:iCs/>
        </w:rPr>
        <w:t xml:space="preserve">e se as condições mudarem?</w:t>
      </w:r>
      <w:r>
        <w:t xml:space="preserve"> </w:t>
      </w:r>
      <w:r>
        <w:t xml:space="preserve">Se a renda dos consumidores cresce, se o preço de um insumo se eleva, se uma nova tecnologia reduz os custos de produção — como o preço e a quantidade de equilíbrio se ajustam? A</w:t>
      </w:r>
      <w:r>
        <w:t xml:space="preserve"> </w:t>
      </w:r>
      <w:r>
        <w:rPr>
          <w:b/>
          <w:bCs/>
        </w:rPr>
        <w:t xml:space="preserve">estática comparativa</w:t>
      </w:r>
      <w:r>
        <w:t xml:space="preserve"> </w:t>
      </w:r>
      <w:r>
        <w:t xml:space="preserve">é a ferramenta que nos permite responder a essas perguntas de forma rigorosa, comparando dois equilíbrios: o</w:t>
      </w:r>
      <w:r>
        <w:t xml:space="preserve"> </w:t>
      </w:r>
      <w:r>
        <w:t xml:space="preserve">“antes”</w:t>
      </w:r>
      <w:r>
        <w:t xml:space="preserve"> </w:t>
      </w:r>
      <w:r>
        <w:t xml:space="preserve">e o</w:t>
      </w:r>
      <w:r>
        <w:t xml:space="preserve"> </w:t>
      </w:r>
      <w:r>
        <w:t xml:space="preserve">“depois”</w:t>
      </w:r>
      <w:r>
        <w:t xml:space="preserve">. O termo</w:t>
      </w:r>
      <w:r>
        <w:t xml:space="preserve"> </w:t>
      </w:r>
      <w:r>
        <w:t xml:space="preserve">“estática”</w:t>
      </w:r>
      <w:r>
        <w:t xml:space="preserve"> </w:t>
      </w:r>
      <w:r>
        <w:t xml:space="preserve">indica que não analisamos a viagem entre os dois estados, apenas tiramos uma foto de cada posição de repouso — uma abordagem que, apesar de suas limitações, é o canivete suíço do microeconomista aplicado.</w:t>
      </w:r>
    </w:p>
    <w:p>
      <w:pPr>
        <w:pStyle w:val="BodyText"/>
      </w:pPr>
      <w:r>
        <w:t xml:space="preserve">A estática comparativa tem raízes profundas na economia. Paul Samuelson (1915–2009), em</w:t>
      </w:r>
      <w:r>
        <w:t xml:space="preserve"> </w:t>
      </w:r>
      <w:r>
        <w:rPr>
          <w:i/>
          <w:iCs/>
        </w:rPr>
        <w:t xml:space="preserve">Foundations of Economic Analysis</w:t>
      </w:r>
      <w:r>
        <w:t xml:space="preserve"> </w:t>
      </w:r>
      <w:r>
        <w:t xml:space="preserve">(1947), formalizou o método e mostrou que previsões testáveis em economia frequentemente derivam da combinação de condições de equilíbrio com hipóteses de estabilidade — o chamado</w:t>
      </w:r>
      <w:r>
        <w:t xml:space="preserve"> </w:t>
      </w:r>
      <w:r>
        <w:t xml:space="preserve">“princípio de correspondência”</w:t>
      </w:r>
      <w:r>
        <w:t xml:space="preserve">.</w:t>
      </w:r>
    </w:p>
    <w:bookmarkStart w:id="802" w:name="deslocamentos-de-oferta-e-demanda"/>
    <w:p>
      <w:pPr>
        <w:pStyle w:val="Heading4"/>
      </w:pPr>
      <w:r>
        <w:t xml:space="preserve">Deslocamentos de oferta e demanda</w:t>
      </w:r>
    </w:p>
    <w:p>
      <w:pPr>
        <w:pStyle w:val="FirstParagraph"/>
      </w:pPr>
      <w:r>
        <w:t xml:space="preserve">A análise de estática comparativa examina como o equilíbrio muda em resposta a choques exógenos. Considere o equilíbrio definido implicitamente por:</w:t>
      </w:r>
    </w:p>
    <w:p>
      <w:pPr>
        <w:pStyle w:val="BodyText"/>
      </w:pPr>
      <m:oMathPara>
        <m:oMathParaPr>
          <m:jc m:val="center"/>
        </m:oMathParaPr>
        <m:oMath>
          <m:r>
            <m:t>X</m:t>
          </m:r>
          <m:r>
            <m:rPr>
              <m:sty m:val="p"/>
            </m:rPr>
            <m:t>(</m:t>
          </m:r>
          <m:r>
            <m:t>p</m:t>
          </m:r>
          <m:r>
            <m:rPr>
              <m:sty m:val="p"/>
            </m:rPr>
            <m:t>,</m:t>
          </m:r>
          <m:r>
            <m:t>α</m:t>
          </m:r>
          <m:r>
            <m:rPr>
              <m:sty m:val="p"/>
            </m:rPr>
            <m:t>)</m:t>
          </m:r>
          <m:r>
            <m:rPr>
              <m:sty m:val="p"/>
            </m:rPr>
            <m:t>=</m:t>
          </m:r>
          <m:r>
            <m:t>S</m:t>
          </m:r>
          <m:r>
            <m:rPr>
              <m:sty m:val="p"/>
            </m:rPr>
            <m:t>(</m:t>
          </m:r>
          <m:r>
            <m:t>p</m:t>
          </m:r>
          <m:r>
            <m:rPr>
              <m:sty m:val="p"/>
            </m:rPr>
            <m:t>,</m:t>
          </m:r>
          <m:r>
            <m:t>β</m:t>
          </m:r>
          <m:r>
            <m:rPr>
              <m:sty m:val="p"/>
            </m:rPr>
            <m:t>)</m:t>
          </m:r>
        </m:oMath>
      </m:oMathPara>
    </w:p>
    <w:p>
      <w:pPr>
        <w:pStyle w:val="FirstParagraph"/>
      </w:pPr>
      <w:r>
        <w:t xml:space="preserve">onde</w:t>
      </w:r>
      <w:r>
        <w:t xml:space="preserve"> </w:t>
      </w:r>
      <m:oMath>
        <m:r>
          <m:t>α</m:t>
        </m:r>
      </m:oMath>
      <w:r>
        <w:t xml:space="preserve"> </w:t>
      </w:r>
      <w:r>
        <w:t xml:space="preserve">é um parâmetro de demanda (por exemplo, renda dos consumidores, preço de um bem substituto, ou uma mudança de preferências) e</w:t>
      </w:r>
      <w:r>
        <w:t xml:space="preserve"> </w:t>
      </w:r>
      <m:oMath>
        <m:r>
          <m:t>β</m:t>
        </m:r>
      </m:oMath>
      <w:r>
        <w:t xml:space="preserve"> </w:t>
      </w:r>
      <w:r>
        <w:t xml:space="preserve">é um parâmetro de oferta (por exemplo, custo de um insumo, nível tecnológico, ou condição climática).</w:t>
      </w:r>
    </w:p>
    <w:p>
      <w:pPr>
        <w:pStyle w:val="BodyText"/>
      </w:pPr>
      <w:r>
        <w:t xml:space="preserve">Diferenciando totalmente a equação Eq. (eq:13.7):</w:t>
      </w:r>
    </w:p>
    <w:p>
      <w:pPr>
        <w:pStyle w:val="BodyText"/>
      </w:pPr>
      <m:oMathPara>
        <m:oMathParaPr>
          <m:jc m:val="center"/>
        </m:oMathParaPr>
        <m:oMath>
          <m:f>
            <m:fPr>
              <m:type m:val="bar"/>
            </m:fPr>
            <m:num>
              <m:r>
                <m:rPr>
                  <m:sty m:val="p"/>
                </m:rPr>
                <m:t>∂</m:t>
              </m:r>
              <m:r>
                <m:t>X</m:t>
              </m:r>
            </m:num>
            <m:den>
              <m:r>
                <m:rPr>
                  <m:sty m:val="p"/>
                </m:rPr>
                <m:t>∂</m:t>
              </m:r>
              <m:r>
                <m:t>p</m:t>
              </m:r>
            </m:den>
          </m:f>
          <m:r>
            <m:t>d</m:t>
          </m:r>
          <m:r>
            <m:t>p</m:t>
          </m:r>
          <m:r>
            <m:rPr>
              <m:sty m:val="p"/>
            </m:rPr>
            <m:t>+</m:t>
          </m:r>
          <m:f>
            <m:fPr>
              <m:type m:val="bar"/>
            </m:fPr>
            <m:num>
              <m:r>
                <m:rPr>
                  <m:sty m:val="p"/>
                </m:rPr>
                <m:t>∂</m:t>
              </m:r>
              <m:r>
                <m:t>X</m:t>
              </m:r>
            </m:num>
            <m:den>
              <m:r>
                <m:rPr>
                  <m:sty m:val="p"/>
                </m:rPr>
                <m:t>∂</m:t>
              </m:r>
              <m:r>
                <m:t>α</m:t>
              </m:r>
            </m:den>
          </m:f>
          <m:r>
            <m:t>d</m:t>
          </m:r>
          <m:r>
            <m:t>α</m:t>
          </m:r>
          <m:r>
            <m:rPr>
              <m:sty m:val="p"/>
            </m:rPr>
            <m:t>=</m:t>
          </m:r>
          <m:f>
            <m:fPr>
              <m:type m:val="bar"/>
            </m:fPr>
            <m:num>
              <m:r>
                <m:rPr>
                  <m:sty m:val="p"/>
                </m:rPr>
                <m:t>∂</m:t>
              </m:r>
              <m:r>
                <m:t>S</m:t>
              </m:r>
            </m:num>
            <m:den>
              <m:r>
                <m:rPr>
                  <m:sty m:val="p"/>
                </m:rPr>
                <m:t>∂</m:t>
              </m:r>
              <m:r>
                <m:t>p</m:t>
              </m:r>
            </m:den>
          </m:f>
          <m:r>
            <m:t>d</m:t>
          </m:r>
          <m:r>
            <m:t>p</m:t>
          </m:r>
          <m:r>
            <m:rPr>
              <m:sty m:val="p"/>
            </m:rPr>
            <m:t>+</m:t>
          </m:r>
          <m:f>
            <m:fPr>
              <m:type m:val="bar"/>
            </m:fPr>
            <m:num>
              <m:r>
                <m:rPr>
                  <m:sty m:val="p"/>
                </m:rPr>
                <m:t>∂</m:t>
              </m:r>
              <m:r>
                <m:t>S</m:t>
              </m:r>
            </m:num>
            <m:den>
              <m:r>
                <m:rPr>
                  <m:sty m:val="p"/>
                </m:rPr>
                <m:t>∂</m:t>
              </m:r>
              <m:r>
                <m:t>β</m:t>
              </m:r>
            </m:den>
          </m:f>
          <m:r>
            <m:t>d</m:t>
          </m:r>
          <m:r>
            <m:t>β</m:t>
          </m:r>
        </m:oMath>
      </m:oMathPara>
    </w:p>
    <w:p>
      <w:pPr>
        <w:pStyle w:val="FirstParagraph"/>
      </w:pPr>
      <w:r>
        <w:t xml:space="preserve">Rearranjando para isolar</w:t>
      </w:r>
      <w:r>
        <w:t xml:space="preserve"> </w:t>
      </w:r>
      <m:oMath>
        <m:r>
          <m:t>d</m:t>
        </m:r>
        <m:r>
          <m:t>p</m:t>
        </m:r>
      </m:oMath>
      <w:r>
        <w:t xml:space="preserve">:</w:t>
      </w:r>
    </w:p>
    <w:p>
      <w:pPr>
        <w:pStyle w:val="BodyText"/>
      </w:pPr>
      <m:oMathPara>
        <m:oMathParaPr>
          <m:jc m:val="center"/>
        </m:oMathParaPr>
        <m:oMath>
          <m:f>
            <m:fPr>
              <m:type m:val="bar"/>
            </m:fPr>
            <m:num>
              <m:r>
                <m:t>d</m:t>
              </m:r>
              <m:r>
                <m:t>p</m:t>
              </m:r>
            </m:num>
            <m:den>
              <m:r>
                <m:t>d</m:t>
              </m:r>
              <m:r>
                <m:t>α</m:t>
              </m:r>
            </m:den>
          </m:f>
          <m:r>
            <m:rPr>
              <m:sty m:val="p"/>
            </m:rPr>
            <m:t>=</m:t>
          </m:r>
          <m:f>
            <m:fPr>
              <m:type m:val="bar"/>
            </m:fPr>
            <m:num>
              <m:r>
                <m:rPr>
                  <m:sty m:val="p"/>
                </m:rPr>
                <m:t>∂</m:t>
              </m:r>
              <m:r>
                <m:t>X</m:t>
              </m:r>
              <m:r>
                <m:rPr>
                  <m:sty m:val="p"/>
                </m:rPr>
                <m:t>/</m:t>
              </m:r>
              <m:r>
                <m:rPr>
                  <m:sty m:val="p"/>
                </m:rPr>
                <m:t>∂</m:t>
              </m:r>
              <m:r>
                <m:t>α</m:t>
              </m:r>
            </m:num>
            <m:den>
              <m:r>
                <m:rPr>
                  <m:sty m:val="p"/>
                </m:rPr>
                <m:t>∂</m:t>
              </m:r>
              <m:r>
                <m:t>S</m:t>
              </m:r>
              <m:r>
                <m:rPr>
                  <m:sty m:val="p"/>
                </m:rPr>
                <m:t>/</m:t>
              </m:r>
              <m:r>
                <m:rPr>
                  <m:sty m:val="p"/>
                </m:rPr>
                <m:t>∂</m:t>
              </m:r>
              <m:r>
                <m:t>p</m:t>
              </m:r>
              <m:r>
                <m:rPr>
                  <m:sty m:val="p"/>
                </m:rPr>
                <m:t>−</m:t>
              </m:r>
              <m:r>
                <m:rPr>
                  <m:sty m:val="p"/>
                </m:rPr>
                <m:t>∂</m:t>
              </m:r>
              <m:r>
                <m:t>X</m:t>
              </m:r>
              <m:r>
                <m:rPr>
                  <m:sty m:val="p"/>
                </m:rPr>
                <m:t>/</m:t>
              </m:r>
              <m:r>
                <m:rPr>
                  <m:sty m:val="p"/>
                </m:rPr>
                <m:t>∂</m:t>
              </m:r>
              <m:r>
                <m:t>p</m:t>
              </m:r>
            </m:den>
          </m:f>
          <m:r>
            <m:rPr>
              <m:sty m:val="p"/>
            </m:rPr>
            <m:t>&gt;</m:t>
          </m:r>
          <m:r>
            <m:t>0</m:t>
          </m:r>
        </m:oMath>
      </m:oMathPara>
    </w:p>
    <w:p>
      <w:pPr>
        <w:pStyle w:val="FirstParagraph"/>
      </w:pPr>
      <w:r>
        <w:t xml:space="preserve">se um aumento em</w:t>
      </w:r>
      <w:r>
        <w:t xml:space="preserve"> </w:t>
      </w:r>
      <m:oMath>
        <m:r>
          <m:t>α</m:t>
        </m:r>
      </m:oMath>
      <w:r>
        <w:t xml:space="preserve"> </w:t>
      </w:r>
      <w:r>
        <w:t xml:space="preserve">desloca a demanda para a direita (</w:t>
      </w:r>
      <m:oMath>
        <m:r>
          <m:rPr>
            <m:sty m:val="p"/>
          </m:rPr>
          <m:t>∂</m:t>
        </m:r>
        <m:r>
          <m:t>X</m:t>
        </m:r>
        <m:r>
          <m:rPr>
            <m:sty m:val="p"/>
          </m:rPr>
          <m:t>/</m:t>
        </m:r>
        <m:r>
          <m:rPr>
            <m:sty m:val="p"/>
          </m:rPr>
          <m:t>∂</m:t>
        </m:r>
        <m:r>
          <m:t>α</m:t>
        </m:r>
        <m:r>
          <m:rPr>
            <m:sty m:val="p"/>
          </m:rPr>
          <m:t>&gt;</m:t>
        </m:r>
        <m:r>
          <m:t>0</m:t>
        </m:r>
      </m:oMath>
      <w:r>
        <w:t xml:space="preserve">) e as curvas têm inclinações convencionais (demanda decrescente e oferta crescente no preço).</w:t>
      </w:r>
    </w:p>
    <w:p>
      <w:pPr>
        <w:pStyle w:val="BodyText"/>
      </w:pPr>
      <w:r>
        <w:t xml:space="preserve">Analogamente, um aumento no custo de insumos (</w:t>
      </w:r>
      <m:oMath>
        <m:r>
          <m:t>β</m:t>
        </m:r>
      </m:oMath>
      <w:r>
        <w:t xml:space="preserve">):</w:t>
      </w:r>
    </w:p>
    <w:p>
      <w:pPr>
        <w:pStyle w:val="BodyText"/>
      </w:pPr>
      <m:oMathPara>
        <m:oMathParaPr>
          <m:jc m:val="center"/>
        </m:oMathParaPr>
        <m:oMath>
          <m:f>
            <m:fPr>
              <m:type m:val="bar"/>
            </m:fPr>
            <m:num>
              <m:r>
                <m:t>d</m:t>
              </m:r>
              <m:r>
                <m:t>p</m:t>
              </m:r>
            </m:num>
            <m:den>
              <m:r>
                <m:t>d</m:t>
              </m:r>
              <m:r>
                <m:t>β</m:t>
              </m:r>
            </m:den>
          </m:f>
          <m:r>
            <m:rPr>
              <m:sty m:val="p"/>
            </m:rPr>
            <m:t>=</m:t>
          </m:r>
          <m:f>
            <m:fPr>
              <m:type m:val="bar"/>
            </m:fPr>
            <m:num>
              <m:r>
                <m:rPr>
                  <m:sty m:val="p"/>
                </m:rPr>
                <m:t>−</m:t>
              </m:r>
              <m:r>
                <m:rPr>
                  <m:sty m:val="p"/>
                </m:rPr>
                <m:t>∂</m:t>
              </m:r>
              <m:r>
                <m:t>S</m:t>
              </m:r>
              <m:r>
                <m:rPr>
                  <m:sty m:val="p"/>
                </m:rPr>
                <m:t>/</m:t>
              </m:r>
              <m:r>
                <m:rPr>
                  <m:sty m:val="p"/>
                </m:rPr>
                <m:t>∂</m:t>
              </m:r>
              <m:r>
                <m:t>β</m:t>
              </m:r>
            </m:num>
            <m:den>
              <m:r>
                <m:rPr>
                  <m:sty m:val="p"/>
                </m:rPr>
                <m:t>∂</m:t>
              </m:r>
              <m:r>
                <m:t>S</m:t>
              </m:r>
              <m:r>
                <m:rPr>
                  <m:sty m:val="p"/>
                </m:rPr>
                <m:t>/</m:t>
              </m:r>
              <m:r>
                <m:rPr>
                  <m:sty m:val="p"/>
                </m:rPr>
                <m:t>∂</m:t>
              </m:r>
              <m:r>
                <m:t>p</m:t>
              </m:r>
              <m:r>
                <m:rPr>
                  <m:sty m:val="p"/>
                </m:rPr>
                <m:t>−</m:t>
              </m:r>
              <m:r>
                <m:rPr>
                  <m:sty m:val="p"/>
                </m:rPr>
                <m:t>∂</m:t>
              </m:r>
              <m:r>
                <m:t>X</m:t>
              </m:r>
              <m:r>
                <m:rPr>
                  <m:sty m:val="p"/>
                </m:rPr>
                <m:t>/</m:t>
              </m:r>
              <m:r>
                <m:rPr>
                  <m:sty m:val="p"/>
                </m:rPr>
                <m:t>∂</m:t>
              </m:r>
              <m:r>
                <m:t>p</m:t>
              </m:r>
            </m:den>
          </m:f>
          <m:r>
            <m:rPr>
              <m:sty m:val="p"/>
            </m:rPr>
            <m:t>&gt;</m:t>
          </m:r>
          <m:r>
            <m:t>0</m:t>
          </m:r>
        </m:oMath>
      </m:oMathPara>
    </w:p>
    <w:p>
      <w:pPr>
        <w:pStyle w:val="FirstParagraph"/>
      </w:pPr>
      <w:r>
        <w:t xml:space="preserve">se o aumento em</w:t>
      </w:r>
      <w:r>
        <w:t xml:space="preserve"> </w:t>
      </w:r>
      <m:oMath>
        <m:r>
          <m:t>β</m:t>
        </m:r>
      </m:oMath>
      <w:r>
        <w:t xml:space="preserve"> </w:t>
      </w:r>
      <w:r>
        <w:t xml:space="preserve">reduz a oferta (</w:t>
      </w:r>
      <m:oMath>
        <m:r>
          <m:rPr>
            <m:sty m:val="p"/>
          </m:rPr>
          <m:t>∂</m:t>
        </m:r>
        <m:r>
          <m:t>S</m:t>
        </m:r>
        <m:r>
          <m:rPr>
            <m:sty m:val="p"/>
          </m:rPr>
          <m:t>/</m:t>
        </m:r>
        <m:r>
          <m:rPr>
            <m:sty m:val="p"/>
          </m:rPr>
          <m:t>∂</m:t>
        </m:r>
        <m:r>
          <m:t>β</m:t>
        </m:r>
        <m:r>
          <m:rPr>
            <m:sty m:val="p"/>
          </m:rPr>
          <m:t>&lt;</m:t>
        </m:r>
        <m:r>
          <m:t>0</m:t>
        </m:r>
      </m:oMath>
      <w:r>
        <w:t xml:space="preserve">).</w:t>
      </w:r>
    </w:p>
    <w:p>
      <w:pPr>
        <w:pStyle w:val="BodyText"/>
      </w:pPr>
      <w:r>
        <w:t xml:space="preserve">Para fixar a intuição, considere dois exemplos concretos do contexto brasileiro. Primeiro, um choque de demanda: o programa de biocombustíveis brasileiro (RenovaBio) aumentou a demanda por etanol de cana-de-açúcar. Nos termos do modelo,</w:t>
      </w:r>
      <w:r>
        <w:t xml:space="preserve"> </w:t>
      </w:r>
      <m:oMath>
        <m:r>
          <m:t>α</m:t>
        </m:r>
      </m:oMath>
      <w:r>
        <w:t xml:space="preserve"> </w:t>
      </w:r>
      <w:r>
        <w:t xml:space="preserve">representa a intensidade da política de mistura obrigatória; um aumento em</w:t>
      </w:r>
      <w:r>
        <w:t xml:space="preserve"> </w:t>
      </w:r>
      <m:oMath>
        <m:r>
          <m:t>α</m:t>
        </m:r>
      </m:oMath>
      <w:r>
        <w:t xml:space="preserve"> </w:t>
      </w:r>
      <w:r>
        <w:t xml:space="preserve">desloca a demanda para a direita, elevando o preço de equilíbrio do etanol e a quantidade transacionada. Segundo, um choque de oferta: geadas severas no Paraná em 2021 devastaram cafezais, deslocando a curva de oferta de café para a esquerda. O resultado foi uma elevação acentuada do preço do café (o indicador Cepea/Esalq subiu mais de 80% em 12 meses) com redução na quantidade produzida — exatamente o que a equação Eq. (eq:13.8) prevê.</w:t>
      </w:r>
    </w:p>
    <w:p>
      <w:pPr>
        <w:pStyle w:val="BlockText"/>
      </w:pPr>
      <w:r>
        <w:rPr>
          <w:b/>
          <w:bCs/>
        </w:rPr>
        <w:t xml:space="preserve">[NOTA] Magnitude dos efeitos</w:t>
      </w:r>
    </w:p>
    <w:p>
      <w:pPr>
        <w:pStyle w:val="BlockText"/>
      </w:pPr>
      <w:r>
        <w:t xml:space="preserve">A magnitude da variação de preço depende das elasticidades relativas de oferta e demanda. Quanto mais inelástica a demanda (ou a oferta), maior a variação de preço decorrente de um deslocamento da outra curva. Esse resultado é de importância prática imensa: no mercado de commodities agrícolas, onde tanto a oferta quanto a demanda são inelásticas no curto prazo, pequenos choques de produção (uma seca, uma praga) podem causar enormes flutuações de preço. Veremos na seção</w:t>
      </w:r>
      <w:r>
        <w:t xml:space="preserve"> </w:t>
      </w:r>
      <w:r>
        <w:t xml:space="preserve">“Pesquisa em Ação”</w:t>
      </w:r>
      <w:r>
        <w:t xml:space="preserve"> </w:t>
      </w:r>
      <w:r>
        <w:t xml:space="preserve">que Roberts e Schlenker (2013) quantificam precisamente esse fenômeno para milho, soja, trigo e arroz.</w:t>
      </w:r>
    </w:p>
    <w:p>
      <w:pPr>
        <w:pStyle w:val="FirstParagraph"/>
      </w:pPr>
      <w:r>
        <w:t xml:space="preserve">A estática comparativa do curto prazo toma o número de firmas como dado. No longo prazo, porém, esse número se torna endógeno: firmas entram quando há lucro e saem quando há prejuízo. Essa dinâmica de entrada e saída conduz à análise de longo prazo, nosso próximo tópico.</w:t>
      </w:r>
    </w:p>
    <w:p>
      <w:pPr>
        <w:pStyle w:val="BlockText"/>
      </w:pPr>
      <w:r>
        <w:rPr>
          <w:b/>
          <w:bCs/>
        </w:rPr>
        <w:t xml:space="preserve">[BOX MUNDO] Box Mundo 13.1 — O modelo cobweb e a volatilidade agrícola: evidências dos mercados de milho (EUA) e trigo (UE)</w:t>
      </w:r>
    </w:p>
    <w:p>
      <w:pPr>
        <w:pStyle w:val="BlockText"/>
      </w:pPr>
      <w:r>
        <w:rPr>
          <w:b/>
          <w:bCs/>
        </w:rPr>
        <w:t xml:space="preserve">Contexto:</w:t>
      </w:r>
      <w:r>
        <w:t xml:space="preserve"> </w:t>
      </w:r>
      <w:r>
        <w:t xml:space="preserve">A estática comparativa pressupõe ajuste instantâneo ao novo equilíbrio, mas em mercados agrícolas a oferta responde com defasagem — os produtores decidem quanto plantar</w:t>
      </w:r>
      <w:r>
        <w:t xml:space="preserve"> </w:t>
      </w:r>
      <w:r>
        <w:rPr>
          <w:i/>
          <w:iCs/>
        </w:rPr>
        <w:t xml:space="preserve">antes</w:t>
      </w:r>
      <w:r>
        <w:t xml:space="preserve"> </w:t>
      </w:r>
      <w:r>
        <w:t xml:space="preserve">de conhecer o preço de venda. Essa defasagem pode gerar ciclos de preço, formalizados no</w:t>
      </w:r>
      <w:r>
        <w:t xml:space="preserve"> </w:t>
      </w:r>
      <w:r>
        <w:rPr>
          <w:b/>
          <w:bCs/>
        </w:rPr>
        <w:t xml:space="preserve">modelo cobweb</w:t>
      </w:r>
      <w:r>
        <w:t xml:space="preserve"> </w:t>
      </w:r>
      <w:r>
        <w:t xml:space="preserve">(teia de aranha) por Mordecai Ezekiel (1938). O modelo prevê que, se a oferta é mais elástica que a demanda, os preços oscilam de forma explosiva; se menos elástica, convergem ao equilíbrio; se igualmente elásticas, oscilam perpetuamente.</w:t>
      </w:r>
    </w:p>
    <w:p>
      <w:pPr>
        <w:pStyle w:val="BlockText"/>
      </w:pPr>
      <w:r>
        <w:rPr>
          <w:b/>
          <w:bCs/>
        </w:rPr>
        <w:t xml:space="preserve">Dados:</w:t>
      </w:r>
      <w:r>
        <w:t xml:space="preserve"> </w:t>
      </w:r>
      <w:r>
        <w:t xml:space="preserve">Nos Estados Unidos, o milho apresentou volatilidade de preços consistente com dinâmicas cobweb: segundo o USDA (Economic Research Service), o preço do</w:t>
      </w:r>
      <w:r>
        <w:t xml:space="preserve"> </w:t>
      </w:r>
      <w:r>
        <w:rPr>
          <w:i/>
          <w:iCs/>
        </w:rPr>
        <w:t xml:space="preserve">bushel</w:t>
      </w:r>
      <w:r>
        <w:t xml:space="preserve"> </w:t>
      </w:r>
      <w:r>
        <w:t xml:space="preserve">de milho oscilou entre US$ 3,36 (2019) e US$ 6,89 (2022), com reversões parciais nos anos seguintes. Na União Europeia, dados do Eurostat mostram que o preço do trigo mole variou entre €175/t (2020) e €382/t (maio de 2022), caindo para €215/t em 2023 — um padrão de</w:t>
      </w:r>
      <w:r>
        <w:t xml:space="preserve"> </w:t>
      </w:r>
      <w:r>
        <w:rPr>
          <w:i/>
          <w:iCs/>
        </w:rPr>
        <w:t xml:space="preserve">overshoot</w:t>
      </w:r>
      <w:r>
        <w:t xml:space="preserve"> </w:t>
      </w:r>
      <w:r>
        <w:t xml:space="preserve">e correção que o modelo cobweb ajuda a explicar. Roberts e Schlenker (2013), discutidos na seção</w:t>
      </w:r>
      <w:r>
        <w:t xml:space="preserve"> </w:t>
      </w:r>
      <w:r>
        <w:t xml:space="preserve">“Pesquisa em Ação”</w:t>
      </w:r>
      <w:r>
        <w:t xml:space="preserve">, estimam elasticidades de oferta e demanda de curto prazo muito baixas (entre 0,05 e 0,15), o que implica alta sensibilidade dos preços a choques e potencial para ciclos cobweb amortecidos.</w:t>
      </w:r>
    </w:p>
    <w:p>
      <w:pPr>
        <w:pStyle w:val="BlockText"/>
      </w:pPr>
      <w:r>
        <w:rPr>
          <w:b/>
          <w:bCs/>
        </w:rPr>
        <w:t xml:space="preserve">Análise:</w:t>
      </w:r>
      <w:r>
        <w:t xml:space="preserve"> </w:t>
      </w:r>
      <w:r>
        <w:t xml:space="preserve">A dinâmica cobweb ilustra os limites da estática comparativa convencional: quando a oferta responde com defasagem, a trajetória entre equilíbrios pode ser tão importante quanto os equilíbrios em si. O modelo também ajuda a compreender por que políticas de estoques reguladores (como a PGPM no Brasil ou a</w:t>
      </w:r>
      <w:r>
        <w:t xml:space="preserve"> </w:t>
      </w:r>
      <w:r>
        <w:rPr>
          <w:i/>
          <w:iCs/>
        </w:rPr>
        <w:t xml:space="preserve">Commodity Credit Corporation</w:t>
      </w:r>
      <w:r>
        <w:t xml:space="preserve"> </w:t>
      </w:r>
      <w:r>
        <w:t xml:space="preserve">nos EUA) podem reduzir a volatilidade ao suavizar a oferta intertemporal. A convergência ou divergência dos ciclos depende criticamente da razão entre as elasticidades de oferta e demanda — um resultado que conecta diretamente a estática comparativa da equação Eq. (eq:13.8) com a dinâmica de ajuste.</w:t>
      </w:r>
    </w:p>
    <w:p>
      <w:pPr>
        <w:pStyle w:val="BlockText"/>
      </w:pPr>
      <w:r>
        <w:rPr>
          <w:b/>
          <w:bCs/>
        </w:rPr>
        <w:t xml:space="preserve">Fonte:</w:t>
      </w:r>
      <w:r>
        <w:t xml:space="preserve"> </w:t>
      </w:r>
      <w:r>
        <w:t xml:space="preserve">Ezekiel, M. (1938).</w:t>
      </w:r>
      <w:r>
        <w:t xml:space="preserve"> </w:t>
      </w:r>
      <w:r>
        <w:t xml:space="preserve">“The Cobweb Theorem”</w:t>
      </w:r>
      <w:r>
        <w:t xml:space="preserve">.</w:t>
      </w:r>
      <w:r>
        <w:t xml:space="preserve"> </w:t>
      </w:r>
      <w:r>
        <w:rPr>
          <w:i/>
          <w:iCs/>
        </w:rPr>
        <w:t xml:space="preserve">Quarterly Journal of Economics</w:t>
      </w:r>
      <w:r>
        <w:t xml:space="preserve">, 52(2), 255–280; USDA-ERS, Feed Grains Database; Eurostat, Agricultural Price Statistics; Roberts &amp; Schlenker (2013),</w:t>
      </w:r>
      <w:r>
        <w:t xml:space="preserve"> </w:t>
      </w:r>
      <w:r>
        <w:rPr>
          <w:i/>
          <w:iCs/>
        </w:rPr>
        <w:t xml:space="preserve">AER</w:t>
      </w:r>
      <w:r>
        <w:t xml:space="preserve">.</w:t>
      </w:r>
    </w:p>
    <w:p>
      <w:pPr>
        <w:pStyle w:val="FirstParagraph"/>
      </w:pPr>
      <w:r>
        <w:t xml:space="preserve">[FIGURA INTERATIVA: /micro-book/graficos/cap13/webr-estatica-comparativa.html — versao interativa disponivel online]</w:t>
      </w:r>
    </w:p>
    <w:p>
      <w:pPr>
        <w:pStyle w:val="BodyText"/>
      </w:pPr>
      <w:r>
        <w:rPr>
          <w:b/>
          <w:bCs/>
        </w:rPr>
        <w:t xml:space="preserve">WebR 13.2 — Estática comparativa: choques de oferta e demanda.</w:t>
      </w:r>
      <w:r>
        <w:t xml:space="preserve"> </w:t>
      </w:r>
      <w:r>
        <w:t xml:space="preserve">Simulação baseada na questão ANPEC 2023 (mercado de petróleo). O código calcula os efeitos de um embargo (choque de oferta) e de novas tecnologias (choque de demanda) sobre preço e quantidade. Altere os parâmetros para explorar cenários diferentes.</w:t>
      </w:r>
    </w:p>
    <w:bookmarkEnd w:id="802"/>
    <w:bookmarkEnd w:id="803"/>
    <w:bookmarkEnd w:id="804"/>
    <w:bookmarkStart w:id="815" w:name="longo-prazo-e-renda-ricardiana"/>
    <w:p>
      <w:pPr>
        <w:pStyle w:val="Heading2"/>
      </w:pPr>
      <w:r>
        <w:t xml:space="preserve">13.5–13.8 Longo Prazo e Renda Ricardiana</w:t>
      </w:r>
    </w:p>
    <w:bookmarkStart w:id="806" w:name="X0f7c01f4189510031adccd9c604a128adaf9b00"/>
    <w:p>
      <w:pPr>
        <w:pStyle w:val="Heading3"/>
      </w:pPr>
      <w:r>
        <w:t xml:space="preserve">13.5 Quem Cheira o Dinheiro Entra: Longo Prazo</w:t>
      </w:r>
    </w:p>
    <w:p>
      <w:pPr>
        <w:pStyle w:val="FirstParagraph"/>
      </w:pPr>
      <w:r>
        <w:t xml:space="preserve">O curtíssimo prazo era um feirante preso ao seu caminhão. O curto prazo era uma fábrica que podia ligar mais turnos. O</w:t>
      </w:r>
      <w:r>
        <w:t xml:space="preserve"> </w:t>
      </w:r>
      <w:r>
        <w:rPr>
          <w:b/>
          <w:bCs/>
        </w:rPr>
        <w:t xml:space="preserve">longo prazo</w:t>
      </w:r>
      <w:r>
        <w:t xml:space="preserve"> </w:t>
      </w:r>
      <w:r>
        <w:t xml:space="preserve">é o horizonte em que tudo se ajusta: firmas podem expandir ou reduzir a planta, trocar tecnologia, mudar de localização — e, crucialmente,</w:t>
      </w:r>
      <w:r>
        <w:t xml:space="preserve"> </w:t>
      </w:r>
      <w:r>
        <w:rPr>
          <w:b/>
          <w:bCs/>
        </w:rPr>
        <w:t xml:space="preserve">novas firmas podem entrar no mercado</w:t>
      </w:r>
      <w:r>
        <w:t xml:space="preserve"> </w:t>
      </w:r>
      <w:r>
        <w:t xml:space="preserve">enquanto firmas existentes podem sair.</w:t>
      </w:r>
      <w:r>
        <w:rPr>
          <w:rStyle w:val="FootnoteReference"/>
        </w:rPr>
        <w:footnoteReference w:id="805"/>
      </w:r>
      <w:r>
        <w:t xml:space="preserve"> </w:t>
      </w:r>
      <w:r>
        <w:t xml:space="preserve">Se no curto prazo o número de firmas</w:t>
      </w:r>
      <w:r>
        <w:t xml:space="preserve"> </w:t>
      </w:r>
      <m:oMath>
        <m:r>
          <m:t>m</m:t>
        </m:r>
      </m:oMath>
      <w:r>
        <w:t xml:space="preserve"> </w:t>
      </w:r>
      <w:r>
        <w:t xml:space="preserve">era fixo, no longo prazo ele se torna endógeno, determinado pela condição de lucro zero.</w:t>
      </w:r>
    </w:p>
    <w:p>
      <w:pPr>
        <w:pStyle w:val="BodyText"/>
      </w:pPr>
      <w:r>
        <w:t xml:space="preserve">A lógica é implacável: se as firmas existentes estão obtendo lucro econômico positivo, empreendedores de fora do mercado — que observam essa rentabilidade como tubarões farejando sangue na água — entram no mercado. A entrada de novas firmas desloca a oferta de mercado para a direita, reduzindo o preço de equilíbrio. Esse processo continua até que o lucro econômico se reduza a zero:</w:t>
      </w:r>
    </w:p>
    <w:p>
      <w:pPr>
        <w:pStyle w:val="BodyText"/>
      </w:pPr>
      <m:oMathPara>
        <m:oMathParaPr>
          <m:jc m:val="center"/>
        </m:oMathParaPr>
        <m:oMath>
          <m:sSup>
            <m:e>
              <m:r>
                <m:t>π</m:t>
              </m:r>
            </m:e>
            <m:sup>
              <m:r>
                <m:rPr>
                  <m:sty m:val="p"/>
                </m:rPr>
                <m:t>*</m:t>
              </m:r>
            </m:sup>
          </m:sSup>
          <m:r>
            <m:rPr>
              <m:sty m:val="p"/>
            </m:rPr>
            <m:t>=</m:t>
          </m:r>
          <m:sSup>
            <m:e>
              <m:r>
                <m:t>p</m:t>
              </m:r>
            </m:e>
            <m:sup>
              <m:r>
                <m:rPr>
                  <m:sty m:val="p"/>
                </m:rPr>
                <m:t>*</m:t>
              </m:r>
            </m:sup>
          </m:sSup>
          <m:r>
            <m:rPr>
              <m:sty m:val="p"/>
            </m:rPr>
            <m:t>⋅</m:t>
          </m:r>
          <m:sSup>
            <m:e>
              <m:r>
                <m:t>q</m:t>
              </m:r>
            </m:e>
            <m:sup>
              <m:r>
                <m:rPr>
                  <m:sty m:val="p"/>
                </m:rPr>
                <m:t>*</m:t>
              </m:r>
            </m:sup>
          </m:sSup>
          <m:r>
            <m:rPr>
              <m:sty m:val="p"/>
            </m:rPr>
            <m:t>−</m:t>
          </m:r>
          <m:r>
            <m:t>C</m:t>
          </m:r>
          <m:r>
            <m:t>T</m:t>
          </m:r>
          <m:r>
            <m:t>M</m:t>
          </m:r>
          <m:r>
            <m:t>e</m:t>
          </m:r>
          <m:r>
            <m:rPr>
              <m:sty m:val="p"/>
            </m:rPr>
            <m:t>(</m:t>
          </m:r>
          <m:sSup>
            <m:e>
              <m:r>
                <m:t>q</m:t>
              </m:r>
            </m:e>
            <m:sup>
              <m:r>
                <m:rPr>
                  <m:sty m:val="p"/>
                </m:rPr>
                <m:t>*</m:t>
              </m:r>
            </m:sup>
          </m:sSup>
          <m:r>
            <m:rPr>
              <m:sty m:val="p"/>
            </m:rPr>
            <m:t>)</m:t>
          </m:r>
          <m:r>
            <m:rPr>
              <m:sty m:val="p"/>
            </m:rPr>
            <m:t>⋅</m:t>
          </m:r>
          <m:sSup>
            <m:e>
              <m:r>
                <m:t>q</m:t>
              </m:r>
            </m:e>
            <m:sup>
              <m:r>
                <m:rPr>
                  <m:sty m:val="p"/>
                </m:rPr>
                <m:t>*</m:t>
              </m:r>
            </m:sup>
          </m:sSup>
          <m:r>
            <m:rPr>
              <m:sty m:val="p"/>
            </m:rPr>
            <m:t>=</m:t>
          </m:r>
          <m:r>
            <m:t>0</m:t>
          </m:r>
          <m:r>
            <m:rPr>
              <m:sty m:val="p"/>
            </m:rPr>
            <m:t>⟹</m:t>
          </m:r>
          <m:sSup>
            <m:e>
              <m:r>
                <m:t>p</m:t>
              </m:r>
            </m:e>
            <m:sup>
              <m:r>
                <m:rPr>
                  <m:sty m:val="p"/>
                </m:rPr>
                <m:t>*</m:t>
              </m:r>
            </m:sup>
          </m:sSup>
          <m:r>
            <m:rPr>
              <m:sty m:val="p"/>
            </m:rPr>
            <m:t>=</m:t>
          </m:r>
          <m:r>
            <m:t>C</m:t>
          </m:r>
          <m:r>
            <m:t>T</m:t>
          </m:r>
          <m:r>
            <m:t>M</m:t>
          </m:r>
          <m:sSub>
            <m:e>
              <m:r>
                <m:t>e</m:t>
              </m:r>
            </m:e>
            <m:sub>
              <m:r>
                <m:rPr>
                  <m:sty m:val="p"/>
                </m:rPr>
                <m:t>min</m:t>
              </m:r>
            </m:sub>
          </m:sSub>
        </m:oMath>
      </m:oMathPara>
    </w:p>
    <w:p>
      <w:pPr>
        <w:pStyle w:val="BlockText"/>
      </w:pPr>
      <w:r>
        <w:rPr>
          <w:b/>
          <w:bCs/>
        </w:rPr>
        <w:t xml:space="preserve">[DEFINICAO] Equilíbrio competitivo de longo prazo</w:t>
      </w:r>
    </w:p>
    <w:p>
      <w:pPr>
        <w:pStyle w:val="BlockText"/>
      </w:pPr>
      <w:r>
        <w:t xml:space="preserve">O</w:t>
      </w:r>
      <w:r>
        <w:t xml:space="preserve"> </w:t>
      </w:r>
      <w:r>
        <w:rPr>
          <w:b/>
          <w:bCs/>
        </w:rPr>
        <w:t xml:space="preserve">equilíbrio competitivo de longo prazo</w:t>
      </w:r>
      <w:r>
        <w:t xml:space="preserve"> </w:t>
      </w:r>
      <w:r>
        <w:t xml:space="preserve">ocorre quando:</w:t>
      </w:r>
    </w:p>
    <w:p>
      <w:pPr>
        <w:pStyle w:val="Compact"/>
        <w:numPr>
          <w:ilvl w:val="0"/>
          <w:numId w:val="1783"/>
        </w:numPr>
      </w:pPr>
      <w:r>
        <w:t xml:space="preserve">Cada firma maximiza lucro:</w:t>
      </w:r>
      <w:r>
        <w:t xml:space="preserve"> </w:t>
      </w:r>
      <m:oMath>
        <m:r>
          <m:t>p</m:t>
        </m:r>
        <m:r>
          <m:rPr>
            <m:sty m:val="p"/>
          </m:rPr>
          <m:t>=</m:t>
        </m:r>
        <m:r>
          <m:t>C</m:t>
        </m:r>
        <m:r>
          <m:t>M</m:t>
        </m:r>
        <m:r>
          <m:t>g</m:t>
        </m:r>
        <m:r>
          <m:rPr>
            <m:sty m:val="p"/>
          </m:rPr>
          <m:t>(</m:t>
        </m:r>
        <m:r>
          <m:t>q</m:t>
        </m:r>
        <m:r>
          <m:rPr>
            <m:sty m:val="p"/>
          </m:rPr>
          <m:t>)</m:t>
        </m:r>
      </m:oMath>
      <w:r>
        <w:t xml:space="preserve">;</w:t>
      </w:r>
    </w:p>
    <w:p>
      <w:pPr>
        <w:pStyle w:val="Compact"/>
        <w:numPr>
          <w:ilvl w:val="0"/>
          <w:numId w:val="1783"/>
        </w:numPr>
      </w:pPr>
      <w:r>
        <w:t xml:space="preserve">Cada firma opera na escala eficiente:</w:t>
      </w:r>
      <w:r>
        <w:t xml:space="preserve"> </w:t>
      </w:r>
      <m:oMath>
        <m:r>
          <m:t>p</m:t>
        </m:r>
        <m:r>
          <m:rPr>
            <m:sty m:val="p"/>
          </m:rPr>
          <m:t>=</m:t>
        </m:r>
        <m:r>
          <m:t>C</m:t>
        </m:r>
        <m:r>
          <m:t>T</m:t>
        </m:r>
        <m:r>
          <m:t>M</m:t>
        </m:r>
        <m:sSub>
          <m:e>
            <m:r>
              <m:t>e</m:t>
            </m:r>
          </m:e>
          <m:sub>
            <m:r>
              <m:rPr>
                <m:sty m:val="p"/>
              </m:rPr>
              <m:t>min</m:t>
            </m:r>
          </m:sub>
        </m:sSub>
      </m:oMath>
      <w:r>
        <w:t xml:space="preserve">;</w:t>
      </w:r>
    </w:p>
    <w:p>
      <w:pPr>
        <w:pStyle w:val="Compact"/>
        <w:numPr>
          <w:ilvl w:val="0"/>
          <w:numId w:val="1783"/>
        </w:numPr>
      </w:pPr>
      <w:r>
        <w:t xml:space="preserve">O mercado se equilibra:</w:t>
      </w:r>
      <w:r>
        <w:t xml:space="preserve"> </w:t>
      </w:r>
      <m:oMath>
        <m:r>
          <m:t>X</m:t>
        </m:r>
        <m:r>
          <m:rPr>
            <m:sty m:val="p"/>
          </m:rPr>
          <m:t>(</m:t>
        </m:r>
        <m:sSup>
          <m:e>
            <m:r>
              <m:t>p</m:t>
            </m:r>
          </m:e>
          <m:sup>
            <m:r>
              <m:rPr>
                <m:sty m:val="p"/>
              </m:rPr>
              <m:t>*</m:t>
            </m:r>
          </m:sup>
        </m:sSup>
        <m:r>
          <m:rPr>
            <m:sty m:val="p"/>
          </m:rPr>
          <m:t>)</m:t>
        </m:r>
        <m:r>
          <m:rPr>
            <m:sty m:val="p"/>
          </m:rPr>
          <m:t>=</m:t>
        </m:r>
        <m:sSup>
          <m:e>
            <m:r>
              <m:t>m</m:t>
            </m:r>
          </m:e>
          <m:sup>
            <m:r>
              <m:rPr>
                <m:sty m:val="p"/>
              </m:rPr>
              <m:t>*</m:t>
            </m:r>
          </m:sup>
        </m:sSup>
        <m:r>
          <m:rPr>
            <m:sty m:val="p"/>
          </m:rPr>
          <m:t>⋅</m:t>
        </m:r>
        <m:sSup>
          <m:e>
            <m:r>
              <m:t>q</m:t>
            </m:r>
          </m:e>
          <m:sup>
            <m:r>
              <m:rPr>
                <m:sty m:val="p"/>
              </m:rPr>
              <m:t>*</m:t>
            </m:r>
          </m:sup>
        </m:sSup>
      </m:oMath>
      <w:r>
        <w:t xml:space="preserve">;</w:t>
      </w:r>
    </w:p>
    <w:p>
      <w:pPr>
        <w:pStyle w:val="Compact"/>
        <w:numPr>
          <w:ilvl w:val="0"/>
          <w:numId w:val="1783"/>
        </w:numPr>
      </w:pPr>
      <w:r>
        <w:t xml:space="preserve">Lucro econômico é zero:</w:t>
      </w:r>
      <w:r>
        <w:t xml:space="preserve"> </w:t>
      </w:r>
      <m:oMath>
        <m:r>
          <m:t>π</m:t>
        </m:r>
        <m:r>
          <m:rPr>
            <m:sty m:val="p"/>
          </m:rPr>
          <m:t>=</m:t>
        </m:r>
        <m:r>
          <m:t>0</m:t>
        </m:r>
      </m:oMath>
      <w:r>
        <w:t xml:space="preserve">.</w:t>
      </w:r>
    </w:p>
    <w:p>
      <w:pPr>
        <w:pStyle w:val="BlockText"/>
      </w:pPr>
      <w:r>
        <w:t xml:space="preserve">As condições 1 e 2 juntas implicam que a firma opera no ponto onde</w:t>
      </w:r>
      <w:r>
        <w:t xml:space="preserve"> </w:t>
      </w:r>
      <m:oMath>
        <m:r>
          <m:t>C</m:t>
        </m:r>
        <m:r>
          <m:t>M</m:t>
        </m:r>
        <m:r>
          <m:t>g</m:t>
        </m:r>
        <m:r>
          <m:rPr>
            <m:sty m:val="p"/>
          </m:rPr>
          <m:t>=</m:t>
        </m:r>
        <m:r>
          <m:t>C</m:t>
        </m:r>
        <m:r>
          <m:t>T</m:t>
        </m:r>
        <m:r>
          <m:t>M</m:t>
        </m:r>
        <m:r>
          <m:t>e</m:t>
        </m:r>
      </m:oMath>
      <w:r>
        <w:t xml:space="preserve">, ou seja, no fundo da curva de custo total médio.</w:t>
      </w:r>
    </w:p>
    <w:p>
      <w:pPr>
        <w:pStyle w:val="BlockText"/>
      </w:pPr>
      <w:r>
        <w:rPr>
          <w:b/>
          <w:bCs/>
        </w:rPr>
        <w:t xml:space="preserve">[INTUICAO ECONOMICA] Intuição Econômica</w:t>
      </w:r>
    </w:p>
    <w:p>
      <w:pPr>
        <w:pStyle w:val="BlockText"/>
      </w:pPr>
      <w:r>
        <w:rPr>
          <w:b/>
          <w:bCs/>
        </w:rPr>
        <w:t xml:space="preserve">Em uma frase:</w:t>
      </w:r>
      <w:r>
        <w:t xml:space="preserve"> </w:t>
      </w:r>
      <w:r>
        <w:t xml:space="preserve">No longo prazo, a concorrência perfeita é um moedor de lucros — todo lucro extraordinário atrai entrada até desaparecer.</w:t>
      </w:r>
    </w:p>
    <w:p>
      <w:pPr>
        <w:pStyle w:val="BlockText"/>
      </w:pPr>
      <w:r>
        <w:rPr>
          <w:b/>
          <w:bCs/>
        </w:rPr>
        <w:t xml:space="preserve">Pense assim:</w:t>
      </w:r>
      <w:r>
        <w:t xml:space="preserve"> </w:t>
      </w:r>
      <w:r>
        <w:t xml:space="preserve">Imagine que as hamburguerias artesanais do seu bairro estão lucrando muito. O que acontece? Em seis meses, abrem três hamburguerias novas na mesma rua. O preço cai, os clientes se distribuem, e o lucro de cada uma encolhe. Se hamburgueria fosse um mercado perfeitamente competitivo (não é, mas finja por um instante), esse processo continuaria até que nenhuma hamburgueria ganhasse mais do que o custo de oportunidade do capital investido.</w:t>
      </w:r>
    </w:p>
    <w:p>
      <w:pPr>
        <w:pStyle w:val="BlockText"/>
      </w:pPr>
      <w:r>
        <w:rPr>
          <w:b/>
          <w:bCs/>
        </w:rPr>
        <w:t xml:space="preserve">Por que isso importa:</w:t>
      </w:r>
      <w:r>
        <w:t xml:space="preserve"> </w:t>
      </w:r>
      <w:r>
        <w:t xml:space="preserve">O lucro zero de longo prazo é uma das previsões mais contraintuitivas e poderosas da microeconomia. Ele não significa que as firmas não ganham dinheiro — significa que ganham</w:t>
      </w:r>
      <w:r>
        <w:t xml:space="preserve"> </w:t>
      </w:r>
      <w:r>
        <w:rPr>
          <w:i/>
          <w:iCs/>
        </w:rPr>
        <w:t xml:space="preserve">exatamente</w:t>
      </w:r>
      <w:r>
        <w:t xml:space="preserve"> </w:t>
      </w:r>
      <w:r>
        <w:t xml:space="preserve">o retorno normal do capital, sem nenhum excedente econômico. É a diferença entre</w:t>
      </w:r>
      <w:r>
        <w:t xml:space="preserve"> </w:t>
      </w:r>
      <w:r>
        <w:t xml:space="preserve">“pagar as contas”</w:t>
      </w:r>
      <w:r>
        <w:t xml:space="preserve"> </w:t>
      </w:r>
      <w:r>
        <w:t xml:space="preserve">e</w:t>
      </w:r>
      <w:r>
        <w:t xml:space="preserve"> </w:t>
      </w:r>
      <w:r>
        <w:t xml:space="preserve">“ficar rico”</w:t>
      </w:r>
      <w:r>
        <w:t xml:space="preserve">.</w:t>
      </w:r>
    </w:p>
    <w:p>
      <w:pPr>
        <w:pStyle w:val="FirstParagraph"/>
      </w:pPr>
      <w:r>
        <w:t xml:space="preserve">Simetricamente, se as firmas estão tendo prejuízo econômico (</w:t>
      </w:r>
      <m:oMath>
        <m:r>
          <m:t>π</m:t>
        </m:r>
        <m:r>
          <m:rPr>
            <m:sty m:val="p"/>
          </m:rPr>
          <m:t>&lt;</m:t>
        </m:r>
        <m:r>
          <m:t>0</m:t>
        </m:r>
      </m:oMath>
      <w:r>
        <w:t xml:space="preserve">), algumas saem do mercado. A oferta se desloca para a esquerda, o preço sobe, e o processo continua até que as firmas remanescentes voltem ao lucro zero.</w:t>
      </w:r>
    </w:p>
    <w:p>
      <w:pPr>
        <w:pStyle w:val="BlockText"/>
      </w:pPr>
      <w:r>
        <w:rPr>
          <w:b/>
          <w:bCs/>
        </w:rPr>
        <w:t xml:space="preserve">[NOTA] Lucro zero não é lucro contábil zero</w:t>
      </w:r>
    </w:p>
    <w:p>
      <w:pPr>
        <w:pStyle w:val="BlockText"/>
      </w:pPr>
      <w:r>
        <w:t xml:space="preserve">O lucro econômico zero inclui o custo de oportunidade do capital e do trabalho do empresário. Uma firma com lucro econômico zero pode estar perfeitamente saudável em termos contábeis — está remunerando todos os seus fatores (incluindo o capital próprio) à taxa de mercado. O lucro contábil, nesse caso, é positivo e suficiente para manter o empresário no negócio.</w:t>
      </w:r>
    </w:p>
    <w:p>
      <w:r>
        <w:pict>
          <v:rect style="width:0;height:1.5pt" o:hralign="center" o:hrstd="t" o:hr="t"/>
        </w:pict>
      </w:r>
    </w:p>
    <w:bookmarkEnd w:id="806"/>
    <w:bookmarkStart w:id="810" w:name="Xe071a3a594a8964cbefe784f8a6afaa94c0de17"/>
    <w:p>
      <w:pPr>
        <w:pStyle w:val="Heading3"/>
      </w:pPr>
      <w:r>
        <w:t xml:space="preserve">13.6 Três Destinos para uma Indústria</w:t>
      </w:r>
    </w:p>
    <w:p>
      <w:pPr>
        <w:pStyle w:val="FirstParagraph"/>
      </w:pPr>
      <w:r>
        <w:t xml:space="preserve">O ajuste de longo prazo assume formas diferentes dependendo de como os custos da indústria respondem à entrada de novas firmas. Três casos clássicos emergem:</w:t>
      </w:r>
    </w:p>
    <w:bookmarkStart w:id="807" w:name="indústria-de-custos-constantes"/>
    <w:p>
      <w:pPr>
        <w:pStyle w:val="Heading4"/>
      </w:pPr>
      <w:r>
        <w:t xml:space="preserve">Indústria de custos constantes</w:t>
      </w:r>
    </w:p>
    <w:p>
      <w:pPr>
        <w:pStyle w:val="FirstParagraph"/>
      </w:pPr>
      <w:r>
        <w:t xml:space="preserve">Se a entrada de novas firmas</w:t>
      </w:r>
      <w:r>
        <w:t xml:space="preserve"> </w:t>
      </w:r>
      <w:r>
        <w:rPr>
          <w:b/>
          <w:bCs/>
        </w:rPr>
        <w:t xml:space="preserve">não afeta</w:t>
      </w:r>
      <w:r>
        <w:t xml:space="preserve"> </w:t>
      </w:r>
      <w:r>
        <w:t xml:space="preserve">os preços dos insumos — porque a indústria usa uma fração desprezível dos insumos disponíveis na economia —, a curva de custo total médio de cada firma permanece inalterada. Neste caso:</w:t>
      </w:r>
    </w:p>
    <w:p>
      <w:pPr>
        <w:pStyle w:val="Compact"/>
        <w:numPr>
          <w:ilvl w:val="0"/>
          <w:numId w:val="1784"/>
        </w:numPr>
      </w:pPr>
      <w:r>
        <w:t xml:space="preserve">O preço de longo prazo é fixo:</w:t>
      </w:r>
      <w:r>
        <w:t xml:space="preserve"> </w:t>
      </w:r>
      <m:oMath>
        <m:sSub>
          <m:e>
            <m:r>
              <m:t>p</m:t>
            </m:r>
          </m:e>
          <m:sub>
            <m:r>
              <m:t>L</m:t>
            </m:r>
            <m:r>
              <m:t>P</m:t>
            </m:r>
          </m:sub>
        </m:sSub>
        <m:r>
          <m:rPr>
            <m:sty m:val="p"/>
          </m:rPr>
          <m:t>=</m:t>
        </m:r>
        <m:r>
          <m:t>C</m:t>
        </m:r>
        <m:r>
          <m:t>T</m:t>
        </m:r>
        <m:r>
          <m:t>M</m:t>
        </m:r>
        <m:sSub>
          <m:e>
            <m:r>
              <m:t>e</m:t>
            </m:r>
          </m:e>
          <m:sub>
            <m:r>
              <m:rPr>
                <m:sty m:val="p"/>
              </m:rPr>
              <m:t>min</m:t>
            </m:r>
          </m:sub>
        </m:sSub>
      </m:oMath>
      <w:r>
        <w:t xml:space="preserve">, independentemente da demanda.</w:t>
      </w:r>
    </w:p>
    <w:p>
      <w:pPr>
        <w:pStyle w:val="Compact"/>
        <w:numPr>
          <w:ilvl w:val="0"/>
          <w:numId w:val="1784"/>
        </w:numPr>
      </w:pPr>
      <w:r>
        <w:t xml:space="preserve">A</w:t>
      </w:r>
      <w:r>
        <w:t xml:space="preserve"> </w:t>
      </w:r>
      <w:r>
        <w:rPr>
          <w:b/>
          <w:bCs/>
        </w:rPr>
        <w:t xml:space="preserve">curva de oferta de longo prazo</w:t>
      </w:r>
      <w:r>
        <w:t xml:space="preserve"> </w:t>
      </w:r>
      <w:r>
        <w:t xml:space="preserve">é</w:t>
      </w:r>
      <w:r>
        <w:t xml:space="preserve"> </w:t>
      </w:r>
      <w:r>
        <w:rPr>
          <w:b/>
          <w:bCs/>
        </w:rPr>
        <w:t xml:space="preserve">horizontal</w:t>
      </w:r>
      <w:r>
        <w:t xml:space="preserve"> </w:t>
      </w:r>
      <w:r>
        <w:t xml:space="preserve">(perfeitamente elástica).</w:t>
      </w:r>
    </w:p>
    <w:p>
      <w:pPr>
        <w:pStyle w:val="Compact"/>
        <w:numPr>
          <w:ilvl w:val="0"/>
          <w:numId w:val="1784"/>
        </w:numPr>
      </w:pPr>
      <w:r>
        <w:t xml:space="preserve">Deslocamentos de demanda alteram apenas a quantidade (via entrada/saída de firmas), sem afetar o preço.</w:t>
      </w:r>
    </w:p>
    <w:p>
      <w:pPr>
        <w:pStyle w:val="FirstParagraph"/>
      </w:pPr>
      <w:r>
        <w:t xml:space="preserve">Exemplo: um aumento na demanda por camisetas básicas de algodão numa região não afeta o preço global do algodão. Novas confecções entram, a quantidade de camisetas aumenta, mas o preço retorna ao custo mínimo original.</w:t>
      </w:r>
    </w:p>
    <w:bookmarkEnd w:id="807"/>
    <w:bookmarkStart w:id="808" w:name="indústria-de-custos-crescentes"/>
    <w:p>
      <w:pPr>
        <w:pStyle w:val="Heading4"/>
      </w:pPr>
      <w:r>
        <w:t xml:space="preserve">Indústria de custos crescentes</w:t>
      </w:r>
    </w:p>
    <w:p>
      <w:pPr>
        <w:pStyle w:val="FirstParagraph"/>
      </w:pPr>
      <w:r>
        <w:t xml:space="preserve">Se a entrada de novas firmas</w:t>
      </w:r>
      <w:r>
        <w:t xml:space="preserve"> </w:t>
      </w:r>
      <w:r>
        <w:rPr>
          <w:b/>
          <w:bCs/>
        </w:rPr>
        <w:t xml:space="preserve">eleva</w:t>
      </w:r>
      <w:r>
        <w:t xml:space="preserve"> </w:t>
      </w:r>
      <w:r>
        <w:t xml:space="preserve">os preços de alguns insumos — porque a indústria compete por fatores escassos —, os custos de cada firma sobem à medida que a indústria se expande. Neste caso:</w:t>
      </w:r>
    </w:p>
    <w:p>
      <w:pPr>
        <w:pStyle w:val="Compact"/>
        <w:numPr>
          <w:ilvl w:val="0"/>
          <w:numId w:val="1785"/>
        </w:numPr>
      </w:pPr>
      <w:r>
        <w:t xml:space="preserve">O preço de longo prazo é</w:t>
      </w:r>
      <w:r>
        <w:t xml:space="preserve"> </w:t>
      </w:r>
      <w:r>
        <w:rPr>
          <w:b/>
          <w:bCs/>
        </w:rPr>
        <w:t xml:space="preserve">crescente</w:t>
      </w:r>
      <w:r>
        <w:t xml:space="preserve"> </w:t>
      </w:r>
      <w:r>
        <w:t xml:space="preserve">na quantidade total da indústria.</w:t>
      </w:r>
    </w:p>
    <w:p>
      <w:pPr>
        <w:pStyle w:val="Compact"/>
        <w:numPr>
          <w:ilvl w:val="0"/>
          <w:numId w:val="1785"/>
        </w:numPr>
      </w:pPr>
      <w:r>
        <w:t xml:space="preserve">A curva de oferta de longo prazo é</w:t>
      </w:r>
      <w:r>
        <w:t xml:space="preserve"> </w:t>
      </w:r>
      <w:r>
        <w:rPr>
          <w:b/>
          <w:bCs/>
        </w:rPr>
        <w:t xml:space="preserve">positivamente inclinada</w:t>
      </w:r>
      <w:r>
        <w:t xml:space="preserve"> </w:t>
      </w:r>
      <w:r>
        <w:t xml:space="preserve">(mas mais elástica que a de curto prazo).</w:t>
      </w:r>
    </w:p>
    <w:p>
      <w:pPr>
        <w:pStyle w:val="Compact"/>
        <w:numPr>
          <w:ilvl w:val="0"/>
          <w:numId w:val="1785"/>
        </w:numPr>
      </w:pPr>
      <w:r>
        <w:t xml:space="preserve">Deslocamentos de demanda alteram tanto a quantidade quanto o preço.</w:t>
      </w:r>
    </w:p>
    <w:p>
      <w:pPr>
        <w:pStyle w:val="FirstParagraph"/>
      </w:pPr>
      <w:r>
        <w:t xml:space="preserve">Este é o caso mais comum na prática. No Brasil, a expansão da sojicultura no Cerrado elevou o preço da terra agrícola nas regiões de fronteira, aumentando os custos de novas fazendas. O agronegócio brasileiro é um exemplo clássico de indústria de custos crescentes: quanto mais se expande, mais caro fica o insumo terra.</w:t>
      </w:r>
    </w:p>
    <w:bookmarkEnd w:id="808"/>
    <w:bookmarkStart w:id="809" w:name="indústria-de-custos-decrescentes"/>
    <w:p>
      <w:pPr>
        <w:pStyle w:val="Heading4"/>
      </w:pPr>
      <w:r>
        <w:t xml:space="preserve">Indústria de custos decrescentes</w:t>
      </w:r>
    </w:p>
    <w:p>
      <w:pPr>
        <w:pStyle w:val="FirstParagraph"/>
      </w:pPr>
      <w:r>
        <w:t xml:space="preserve">Se a entrada de novas firmas</w:t>
      </w:r>
      <w:r>
        <w:t xml:space="preserve"> </w:t>
      </w:r>
      <w:r>
        <w:rPr>
          <w:b/>
          <w:bCs/>
        </w:rPr>
        <w:t xml:space="preserve">reduz</w:t>
      </w:r>
      <w:r>
        <w:t xml:space="preserve"> </w:t>
      </w:r>
      <w:r>
        <w:t xml:space="preserve">os custos — por exemplo, via economias externas, infraestrutura compartilhada ou externalidades de rede —, o preço de longo prazo cai à medida que a indústria cresce. Neste caso:</w:t>
      </w:r>
    </w:p>
    <w:p>
      <w:pPr>
        <w:pStyle w:val="Compact"/>
        <w:numPr>
          <w:ilvl w:val="0"/>
          <w:numId w:val="1786"/>
        </w:numPr>
      </w:pPr>
      <w:r>
        <w:t xml:space="preserve">A curva de oferta de longo prazo é</w:t>
      </w:r>
      <w:r>
        <w:t xml:space="preserve"> </w:t>
      </w:r>
      <w:r>
        <w:rPr>
          <w:b/>
          <w:bCs/>
        </w:rPr>
        <w:t xml:space="preserve">negativamente inclinada</w:t>
      </w:r>
      <w:r>
        <w:t xml:space="preserve">.</w:t>
      </w:r>
    </w:p>
    <w:p>
      <w:pPr>
        <w:pStyle w:val="Compact"/>
        <w:numPr>
          <w:ilvl w:val="0"/>
          <w:numId w:val="1786"/>
        </w:numPr>
      </w:pPr>
      <w:r>
        <w:t xml:space="preserve">Deslocamentos de demanda</w:t>
      </w:r>
      <w:r>
        <w:t xml:space="preserve"> </w:t>
      </w:r>
      <w:r>
        <w:rPr>
          <w:i/>
          <w:iCs/>
        </w:rPr>
        <w:t xml:space="preserve">reduzem</w:t>
      </w:r>
      <w:r>
        <w:t xml:space="preserve"> </w:t>
      </w:r>
      <w:r>
        <w:t xml:space="preserve">o preço de equilíbrio — um resultado surpreendente.</w:t>
      </w:r>
    </w:p>
    <w:p>
      <w:pPr>
        <w:pStyle w:val="FirstParagraph"/>
      </w:pPr>
      <w:r>
        <w:t xml:space="preserve">O polo tecnológico de São José dos Campos ou o polo calçadista de Franca ilustram esse fenômeno: a concentração de firmas gera uma oferta local abundante de trabalhadores especializados, fornecedores de componentes e serviços técnicos, reduzindo os custos de cada firma individual. Alfred Marshall chamava isso de</w:t>
      </w:r>
      <w:r>
        <w:t xml:space="preserve"> </w:t>
      </w:r>
      <w:r>
        <w:t xml:space="preserve">“economias externas”</w:t>
      </w:r>
      <w:r>
        <w:t xml:space="preserve"> </w:t>
      </w:r>
      <w:r>
        <w:t xml:space="preserve">à firma, mas internas à indústria.</w:t>
      </w:r>
    </w:p>
    <w:p>
      <w:pPr>
        <w:pStyle w:val="BlockText"/>
      </w:pPr>
      <w:r>
        <w:rPr>
          <w:b/>
          <w:bCs/>
        </w:rPr>
        <w:t xml:space="preserve">[ATENCAO] Cuidado com a inclinação negativa</w:t>
      </w:r>
    </w:p>
    <w:p>
      <w:pPr>
        <w:pStyle w:val="BlockText"/>
      </w:pPr>
      <w:r>
        <w:t xml:space="preserve">Uma curva de oferta de longo prazo negativamente inclinada pode parecer violar a condição de estabilidade walrasiana. Na verdade, a estabilidade é preservada porque o mecanismo opera via</w:t>
      </w:r>
      <w:r>
        <w:t xml:space="preserve"> </w:t>
      </w:r>
      <w:r>
        <w:rPr>
          <w:b/>
          <w:bCs/>
        </w:rPr>
        <w:t xml:space="preserve">deslocamento</w:t>
      </w:r>
      <w:r>
        <w:t xml:space="preserve"> </w:t>
      </w:r>
      <w:r>
        <w:t xml:space="preserve">da curva de custo (com a entrada de firmas), e não por um movimento</w:t>
      </w:r>
      <w:r>
        <w:t xml:space="preserve"> </w:t>
      </w:r>
      <w:r>
        <w:rPr>
          <w:b/>
          <w:bCs/>
        </w:rPr>
        <w:t xml:space="preserve">ao longo</w:t>
      </w:r>
      <w:r>
        <w:t xml:space="preserve"> </w:t>
      </w:r>
      <w:r>
        <w:t xml:space="preserve">de uma curva de oferta negativamente inclinada. A distinção é crucial.</w:t>
      </w:r>
    </w:p>
    <w:p>
      <w:pPr>
        <w:pStyle w:val="FirstParagraph"/>
      </w:pPr>
      <w:r>
        <w:t xml:space="preserve">[FIGURA INTERATIVA: /micro-book/graficos/cap13/equilibrio-longo-prazo.html — versao interativa disponivel online]</w:t>
      </w:r>
    </w:p>
    <w:p>
      <w:pPr>
        <w:pStyle w:val="BodyText"/>
      </w:pPr>
      <w:r>
        <w:rPr>
          <w:b/>
          <w:bCs/>
        </w:rPr>
        <w:t xml:space="preserve">Figura 13.2 — Equilíbrio de longo prazo: custos constantes, crescentes e decrescentes.</w:t>
      </w:r>
      <w:r>
        <w:t xml:space="preserve"> </w:t>
      </w:r>
      <w:r>
        <w:t xml:space="preserve">Observe como deslocamentos de demanda produzem efeitos radicalmente diferentes sobre o preço de equilíbrio dependendo do tipo de indústria.</w:t>
      </w:r>
    </w:p>
    <w:p>
      <w:pPr>
        <w:pStyle w:val="BodyText"/>
      </w:pPr>
      <w:r>
        <w:t xml:space="preserve">[FIGURA INTERATIVA: /micro-book/graficos/cap13/webr-longo-prazo.html — versao interativa disponivel online]</w:t>
      </w:r>
    </w:p>
    <w:p>
      <w:pPr>
        <w:pStyle w:val="BodyText"/>
      </w:pPr>
      <w:r>
        <w:rPr>
          <w:b/>
          <w:bCs/>
        </w:rPr>
        <w:t xml:space="preserve">WebR 13.3 — Equilíbrio de longo prazo com entrada de firmas.</w:t>
      </w:r>
      <w:r>
        <w:t xml:space="preserve"> </w:t>
      </w:r>
      <w:r>
        <w:t xml:space="preserve">Simule a dinâmica de entrada e saída variando o número de firmas e observe como o lucro econômico converge a zero. Compare indústrias de custos constantes e crescentes.</w:t>
      </w:r>
    </w:p>
    <w:p>
      <w:r>
        <w:pict>
          <v:rect style="width:0;height:1.5pt" o:hralign="center" o:hrstd="t" o:hr="t"/>
        </w:pict>
      </w:r>
    </w:p>
    <w:bookmarkEnd w:id="809"/>
    <w:bookmarkEnd w:id="810"/>
    <w:bookmarkStart w:id="811" w:name="X1a864f0b77f6c89794827a9035355dc8d052622"/>
    <w:p>
      <w:pPr>
        <w:pStyle w:val="Heading3"/>
      </w:pPr>
      <w:r>
        <w:t xml:space="preserve">13.7 O Elástico que Estica no Longo Prazo</w:t>
      </w:r>
    </w:p>
    <w:p>
      <w:pPr>
        <w:pStyle w:val="FirstParagraph"/>
      </w:pPr>
      <w:r>
        <w:t xml:space="preserve">Uma implicação fundamental da livre entrada e saída é que a</w:t>
      </w:r>
      <w:r>
        <w:t xml:space="preserve"> </w:t>
      </w:r>
      <w:r>
        <w:rPr>
          <w:b/>
          <w:bCs/>
        </w:rPr>
        <w:t xml:space="preserve">elasticidade-preço da oferta aumenta com o horizonte temporal</w:t>
      </w:r>
      <w:r>
        <w:t xml:space="preserve">. A intuição é direta: no curtíssimo prazo, a oferta é perfeitamente inelástica (oferta fixa); no curto prazo, as firmas existentes ajustam produção ao longo de suas curvas de custo marginal (oferta positivamente inclinada); no longo prazo, a entrada de novas firmas fornece uma margem adicional de ajuste, tornando a oferta mais elástica.</w:t>
      </w:r>
    </w:p>
    <w:p>
      <w:pPr>
        <w:pStyle w:val="BodyText"/>
      </w:pPr>
      <w:r>
        <w:t xml:space="preserve">Formalmente, para uma indústria de custos crescentes:</w:t>
      </w:r>
    </w:p>
    <w:p>
      <w:pPr>
        <w:pStyle w:val="BodyText"/>
      </w:pPr>
      <m:oMathPara>
        <m:oMathParaPr>
          <m:jc m:val="center"/>
        </m:oMathParaPr>
        <m:oMath>
          <m:r>
            <m:rPr>
              <m:sty m:val="p"/>
            </m:rPr>
            <m:t>|</m:t>
          </m:r>
          <m:sSubSup>
            <m:e>
              <m:r>
                <m:t>ε</m:t>
              </m:r>
            </m:e>
            <m:sub>
              <m:r>
                <m:t>S</m:t>
              </m:r>
            </m:sub>
            <m:sup>
              <m:r>
                <m:t>L</m:t>
              </m:r>
              <m:r>
                <m:t>P</m:t>
              </m:r>
            </m:sup>
          </m:sSubSup>
          <m:r>
            <m:rPr>
              <m:sty m:val="p"/>
            </m:rPr>
            <m:t>|</m:t>
          </m:r>
          <m:r>
            <m:rPr>
              <m:sty m:val="p"/>
            </m:rPr>
            <m:t>&gt;</m:t>
          </m:r>
          <m:r>
            <m:rPr>
              <m:sty m:val="p"/>
            </m:rPr>
            <m:t>|</m:t>
          </m:r>
          <m:sSubSup>
            <m:e>
              <m:r>
                <m:t>ε</m:t>
              </m:r>
            </m:e>
            <m:sub>
              <m:r>
                <m:t>S</m:t>
              </m:r>
            </m:sub>
            <m:sup>
              <m:r>
                <m:t>C</m:t>
              </m:r>
              <m:r>
                <m:t>P</m:t>
              </m:r>
            </m:sup>
          </m:sSubSup>
          <m:r>
            <m:rPr>
              <m:sty m:val="p"/>
            </m:rPr>
            <m:t>|</m:t>
          </m:r>
          <m:r>
            <m:rPr>
              <m:sty m:val="p"/>
            </m:rPr>
            <m:t>&gt;</m:t>
          </m:r>
          <m:r>
            <m:rPr>
              <m:sty m:val="p"/>
            </m:rPr>
            <m:t>|</m:t>
          </m:r>
          <m:sSubSup>
            <m:e>
              <m:r>
                <m:t>ε</m:t>
              </m:r>
            </m:e>
            <m:sub>
              <m:r>
                <m:t>S</m:t>
              </m:r>
            </m:sub>
            <m:sup>
              <m:r>
                <m:t>c</m:t>
              </m:r>
              <m:r>
                <m:t>u</m:t>
              </m:r>
              <m:r>
                <m:t>r</m:t>
              </m:r>
              <m:r>
                <m:t>t</m:t>
              </m:r>
              <m:r>
                <m:t>í</m:t>
              </m:r>
              <m:r>
                <m:t>s</m:t>
              </m:r>
              <m:r>
                <m:t>s</m:t>
              </m:r>
              <m:r>
                <m:t>i</m:t>
              </m:r>
              <m:r>
                <m:t>m</m:t>
              </m:r>
              <m:r>
                <m:t>o</m:t>
              </m:r>
            </m:sup>
          </m:sSubSup>
          <m:r>
            <m:rPr>
              <m:sty m:val="p"/>
            </m:rPr>
            <m:t>|</m:t>
          </m:r>
          <m:r>
            <m:rPr>
              <m:sty m:val="p"/>
            </m:rPr>
            <m:t>=</m:t>
          </m:r>
          <m:r>
            <m:t>0</m:t>
          </m:r>
        </m:oMath>
      </m:oMathPara>
    </w:p>
    <w:p>
      <w:pPr>
        <w:pStyle w:val="FirstParagraph"/>
      </w:pPr>
      <w:r>
        <w:t xml:space="preserve">Esse resultado tem implicações diretas para a estática comparativa:</w:t>
      </w:r>
    </w:p>
    <w:p>
      <w:pPr>
        <w:pStyle w:val="Compact"/>
        <w:numPr>
          <w:ilvl w:val="0"/>
          <w:numId w:val="1787"/>
        </w:numPr>
      </w:pPr>
      <w:r>
        <w:rPr>
          <w:b/>
          <w:bCs/>
        </w:rPr>
        <w:t xml:space="preserve">Curtíssimo prazo:</w:t>
      </w:r>
      <w:r>
        <w:t xml:space="preserve"> </w:t>
      </w:r>
      <w:r>
        <w:t xml:space="preserve">Um choque de demanda se traduz</w:t>
      </w:r>
      <w:r>
        <w:t xml:space="preserve"> </w:t>
      </w:r>
      <w:r>
        <w:rPr>
          <w:i/>
          <w:iCs/>
        </w:rPr>
        <w:t xml:space="preserve">inteiramente</w:t>
      </w:r>
      <w:r>
        <w:t xml:space="preserve"> </w:t>
      </w:r>
      <w:r>
        <w:t xml:space="preserve">em variação de preço.</w:t>
      </w:r>
    </w:p>
    <w:p>
      <w:pPr>
        <w:pStyle w:val="Compact"/>
        <w:numPr>
          <w:ilvl w:val="0"/>
          <w:numId w:val="1787"/>
        </w:numPr>
      </w:pPr>
      <w:r>
        <w:rPr>
          <w:b/>
          <w:bCs/>
        </w:rPr>
        <w:t xml:space="preserve">Curto prazo:</w:t>
      </w:r>
      <w:r>
        <w:t xml:space="preserve"> </w:t>
      </w:r>
      <w:r>
        <w:t xml:space="preserve">O choque se divide entre preço e quantidade, com proporções que dependem das elasticidades.</w:t>
      </w:r>
    </w:p>
    <w:p>
      <w:pPr>
        <w:pStyle w:val="Compact"/>
        <w:numPr>
          <w:ilvl w:val="0"/>
          <w:numId w:val="1787"/>
        </w:numPr>
      </w:pPr>
      <w:r>
        <w:rPr>
          <w:b/>
          <w:bCs/>
        </w:rPr>
        <w:t xml:space="preserve">Longo prazo:</w:t>
      </w:r>
      <w:r>
        <w:t xml:space="preserve"> </w:t>
      </w:r>
      <w:r>
        <w:t xml:space="preserve">A maior parte do ajuste ocorre via quantidade, com variação de preço menor (ou nula, no caso de custos constantes).</w:t>
      </w:r>
    </w:p>
    <w:p>
      <w:pPr>
        <w:pStyle w:val="BlockText"/>
      </w:pPr>
      <w:r>
        <w:rPr>
          <w:b/>
          <w:bCs/>
        </w:rPr>
        <w:t xml:space="preserve">[DICA] Aplicação: por que o preço da gasolina oscila tanto?</w:t>
      </w:r>
    </w:p>
    <w:p>
      <w:pPr>
        <w:pStyle w:val="BlockText"/>
      </w:pPr>
      <w:r>
        <w:t xml:space="preserve">O preço da gasolina é volátil no curto prazo porque a oferta de petróleo e a capacidade de refino são inelásticas em horizontes curtos — não se constrói uma refinaria da noite para o dia. Mas no longo prazo, investimentos em exploração, refino e energias alternativas tornam a oferta muito mais elástica. Isso explica por que choques de petróleo (guerras, embargos, furacões) causam picos de preço que se atenuam ao longo dos anos, à medida que a oferta e a demanda de longo prazo se ajustam.</w:t>
      </w:r>
    </w:p>
    <w:p>
      <w:pPr>
        <w:pStyle w:val="FirstParagraph"/>
      </w:pPr>
      <w:r>
        <w:t xml:space="preserve">A distinção entre horizontes temporais resolve um aparente paradoxo: como pode a mesma indústria ter oferta</w:t>
      </w:r>
      <w:r>
        <w:t xml:space="preserve"> </w:t>
      </w:r>
      <w:r>
        <w:t xml:space="preserve">“inelástica”</w:t>
      </w:r>
      <w:r>
        <w:t xml:space="preserve"> </w:t>
      </w:r>
      <w:r>
        <w:t xml:space="preserve">e</w:t>
      </w:r>
      <w:r>
        <w:t xml:space="preserve"> </w:t>
      </w:r>
      <w:r>
        <w:t xml:space="preserve">“elástica”</w:t>
      </w:r>
      <w:r>
        <w:t xml:space="preserve">? Depende do horizonte. No mercado de café brasileiro, a oferta é quase vertical para a safra corrente (os cafezais já estão plantados), moderadamente elástica para o ciclo seguinte (pode-se expandir a área plantada), e muito elástica no horizonte de uma década (novos polos produtores podem surgir). A mesma lógica aplica-se à construção civil, ao mercado de energia elétrica e a praticamente qualquer setor com investimentos de longa maturação.</w:t>
      </w:r>
    </w:p>
    <w:p>
      <w:r>
        <w:pict>
          <v:rect style="width:0;height:1.5pt" o:hralign="center" o:hrstd="t" o:hr="t"/>
        </w:pict>
      </w:r>
    </w:p>
    <w:bookmarkEnd w:id="811"/>
    <w:bookmarkStart w:id="814" w:name="X6ad4d4deaec98465c419b4a8ea7bfc1ed38c4d9"/>
    <w:p>
      <w:pPr>
        <w:pStyle w:val="Heading3"/>
      </w:pPr>
      <w:r>
        <w:t xml:space="preserve">13.8 O Fantasma do Lucro Zero: Renda Ricardiana</w:t>
      </w:r>
    </w:p>
    <w:p>
      <w:pPr>
        <w:pStyle w:val="FirstParagraph"/>
      </w:pPr>
      <w:r>
        <w:t xml:space="preserve">Se no longo prazo o lucro econômico é zero, como é possível que algumas firmas e setores pareçam sistematicamente mais rentáveis que outros? A resposta está num conceito elegante que David Ricardo (1772–1823) formulou para o mercado de terras agrícolas, mas que se aplica muito mais amplamente: a</w:t>
      </w:r>
      <w:r>
        <w:t xml:space="preserve"> </w:t>
      </w:r>
      <w:r>
        <w:rPr>
          <w:b/>
          <w:bCs/>
        </w:rPr>
        <w:t xml:space="preserve">renda ricardiana</w:t>
      </w:r>
      <w:r>
        <w:t xml:space="preserve">.</w:t>
      </w:r>
    </w:p>
    <w:bookmarkStart w:id="812" w:name="a-lógica-de-ricardo"/>
    <w:p>
      <w:pPr>
        <w:pStyle w:val="Heading4"/>
      </w:pPr>
      <w:r>
        <w:t xml:space="preserve">A lógica de Ricardo</w:t>
      </w:r>
    </w:p>
    <w:p>
      <w:pPr>
        <w:pStyle w:val="FirstParagraph"/>
      </w:pPr>
      <w:r>
        <w:t xml:space="preserve">Ricardo observou que nem toda terra agrícola é igual: há terras férteis no Vale do Paraíba e terras áridas no sertão. Quando a demanda por trigo é baixa, apenas as terras mais férteis são cultivadas, e o preço é determinado pelo custo de produção nessas terras. À medida que a demanda cresce, terras progressivamente menos férteis (e mais caras de cultivar) entram em produção. O preço sobe para cobrir o custo da</w:t>
      </w:r>
      <w:r>
        <w:t xml:space="preserve"> </w:t>
      </w:r>
      <w:r>
        <w:rPr>
          <w:b/>
          <w:bCs/>
        </w:rPr>
        <w:t xml:space="preserve">terra marginal</w:t>
      </w:r>
      <w:r>
        <w:t xml:space="preserve"> </w:t>
      </w:r>
      <w:r>
        <w:t xml:space="preserve">— a última terra a entrar em produção. Mas as terras inframarginais (mais férteis) produzem ao mesmo custo de antes, vendendo ao preço mais alto: a diferença é a renda ricardiana.</w:t>
      </w:r>
    </w:p>
    <w:p>
      <w:pPr>
        <w:pStyle w:val="BodyText"/>
      </w:pPr>
      <m:oMathPara>
        <m:oMathParaPr>
          <m:jc m:val="center"/>
        </m:oMathParaPr>
        <m:oMath>
          <m:sSub>
            <m:e>
              <m:r>
                <m:rPr>
                  <m:nor/>
                  <m:sty m:val="p"/>
                </m:rPr>
                <m:t>Renda ricardiana</m:t>
              </m:r>
            </m:e>
            <m:sub>
              <m:r>
                <m:t>j</m:t>
              </m:r>
            </m:sub>
          </m:sSub>
          <m:r>
            <m:rPr>
              <m:sty m:val="p"/>
            </m:rPr>
            <m:t>=</m:t>
          </m:r>
          <m:r>
            <m:rPr>
              <m:sty m:val="p"/>
            </m:rPr>
            <m:t>(</m:t>
          </m:r>
          <m:sSup>
            <m:e>
              <m:r>
                <m:t>p</m:t>
              </m:r>
            </m:e>
            <m:sup>
              <m:r>
                <m:rPr>
                  <m:sty m:val="p"/>
                </m:rPr>
                <m:t>*</m:t>
              </m:r>
            </m:sup>
          </m:sSup>
          <m:r>
            <m:rPr>
              <m:sty m:val="p"/>
            </m:rPr>
            <m:t>−</m:t>
          </m:r>
          <m:r>
            <m:t>C</m:t>
          </m:r>
          <m:r>
            <m:t>T</m:t>
          </m:r>
          <m:r>
            <m:t>M</m:t>
          </m:r>
          <m:sSub>
            <m:e>
              <m:r>
                <m:t>e</m:t>
              </m:r>
            </m:e>
            <m:sub>
              <m:r>
                <m:t>j</m:t>
              </m:r>
            </m:sub>
          </m:sSub>
          <m:r>
            <m:rPr>
              <m:sty m:val="p"/>
            </m:rPr>
            <m:t>)</m:t>
          </m:r>
          <m:r>
            <m:rPr>
              <m:sty m:val="p"/>
            </m:rPr>
            <m:t>⋅</m:t>
          </m:r>
          <m:sSubSup>
            <m:e>
              <m:r>
                <m:t>q</m:t>
              </m:r>
            </m:e>
            <m:sub>
              <m:r>
                <m:t>j</m:t>
              </m:r>
            </m:sub>
            <m:sup>
              <m:r>
                <m:rPr>
                  <m:sty m:val="p"/>
                </m:rPr>
                <m:t>*</m:t>
              </m:r>
            </m:sup>
          </m:sSubSup>
        </m:oMath>
      </m:oMathPara>
    </w:p>
    <w:p>
      <w:pPr>
        <w:pStyle w:val="FirstParagraph"/>
      </w:pPr>
      <w:r>
        <w:t xml:space="preserve">onde</w:t>
      </w:r>
      <w:r>
        <w:t xml:space="preserve"> </w:t>
      </w:r>
      <m:oMath>
        <m:r>
          <m:t>C</m:t>
        </m:r>
        <m:r>
          <m:t>T</m:t>
        </m:r>
        <m:r>
          <m:t>M</m:t>
        </m:r>
        <m:sSub>
          <m:e>
            <m:r>
              <m:t>e</m:t>
            </m:r>
          </m:e>
          <m:sub>
            <m:r>
              <m:t>j</m:t>
            </m:r>
          </m:sub>
        </m:sSub>
      </m:oMath>
      <w:r>
        <w:t xml:space="preserve"> </w:t>
      </w:r>
      <w:r>
        <w:t xml:space="preserve">é o custo total médio da firma</w:t>
      </w:r>
      <w:r>
        <w:t xml:space="preserve"> </w:t>
      </w:r>
      <m:oMath>
        <m:r>
          <m:t>j</m:t>
        </m:r>
      </m:oMath>
      <w:r>
        <w:t xml:space="preserve"> </w:t>
      </w:r>
      <w:r>
        <w:t xml:space="preserve">(que depende de seu acesso a fatores escassos) e</w:t>
      </w:r>
      <w:r>
        <w:t xml:space="preserve"> </w:t>
      </w:r>
      <m:oMath>
        <m:sSup>
          <m:e>
            <m:r>
              <m:t>p</m:t>
            </m:r>
          </m:e>
          <m:sup>
            <m:r>
              <m:rPr>
                <m:sty m:val="p"/>
              </m:rPr>
              <m:t>*</m:t>
            </m:r>
          </m:sup>
        </m:sSup>
      </m:oMath>
      <w:r>
        <w:t xml:space="preserve"> </w:t>
      </w:r>
      <w:r>
        <w:t xml:space="preserve">é o preço de equilíbrio determinado pela firma marginal.</w:t>
      </w:r>
    </w:p>
    <w:bookmarkEnd w:id="812"/>
    <w:bookmarkStart w:id="813" w:name="renda-ricardiana-e-lucro-zero"/>
    <w:p>
      <w:pPr>
        <w:pStyle w:val="Heading4"/>
      </w:pPr>
      <w:r>
        <w:t xml:space="preserve">Renda ricardiana e lucro zero</w:t>
      </w:r>
    </w:p>
    <w:p>
      <w:pPr>
        <w:pStyle w:val="FirstParagraph"/>
      </w:pPr>
      <w:r>
        <w:t xml:space="preserve">A aparente contradição entre lucro zero e renda ricardiana se resolve quando percebemos que a renda ricardiana é, na verdade, a remuneração de um</w:t>
      </w:r>
      <w:r>
        <w:t xml:space="preserve"> </w:t>
      </w:r>
      <w:r>
        <w:rPr>
          <w:b/>
          <w:bCs/>
        </w:rPr>
        <w:t xml:space="preserve">fator escasso e não replicável</w:t>
      </w:r>
      <w:r>
        <w:t xml:space="preserve">. Se uma firma tem acesso a terra mais fértil, localização privilegiada, patente exclusiva ou talento gerencial excepcional, o valor desse fator se reflete no preço do próprio fator. No equilíbrio, o aluguel da terra fértil sobe até absorver toda a renda ricardiana, e o lucro econômico — incluindo o custo do aluguel da terra — volta a zero.</w:t>
      </w:r>
    </w:p>
    <w:p>
      <w:pPr>
        <w:pStyle w:val="BodyText"/>
      </w:pPr>
      <w:r>
        <w:t xml:space="preserve">Em outras palavras: a renda ricardiana aparece como lucro quando medimos com base nos custos históricos, mas desaparece quando imputamos o custo de oportunidade do fator escasso. É o fantasma do lucro — aparece de um ângulo, desaparece de outro.</w:t>
      </w:r>
    </w:p>
    <w:p>
      <w:pPr>
        <w:pStyle w:val="BlockText"/>
      </w:pPr>
      <w:r>
        <w:rPr>
          <w:b/>
          <w:bCs/>
        </w:rPr>
        <w:t xml:space="preserve">[INTUICAO ECONOMICA] Intuição Econômica</w:t>
      </w:r>
    </w:p>
    <w:p>
      <w:pPr>
        <w:pStyle w:val="BlockText"/>
      </w:pPr>
      <w:r>
        <w:rPr>
          <w:b/>
          <w:bCs/>
        </w:rPr>
        <w:t xml:space="preserve">Em uma frase:</w:t>
      </w:r>
      <w:r>
        <w:t xml:space="preserve"> </w:t>
      </w:r>
      <w:r>
        <w:t xml:space="preserve">A renda ricardiana é o prêmio que a escassez paga — e ela sempre acaba no bolso de quem controla o recurso escasso, não de quem o utiliza.</w:t>
      </w:r>
    </w:p>
    <w:p>
      <w:pPr>
        <w:pStyle w:val="BlockText"/>
      </w:pPr>
      <w:r>
        <w:rPr>
          <w:b/>
          <w:bCs/>
        </w:rPr>
        <w:t xml:space="preserve">Pense assim:</w:t>
      </w:r>
      <w:r>
        <w:t xml:space="preserve"> </w:t>
      </w:r>
      <w:r>
        <w:t xml:space="preserve">Imagine dois restaurantes no mesmo bairro, com a mesma comida. Um fica numa esquina movimentada e o outro num beco sem saída. O da esquina fatura mais. Mas quando o aluguel da esquina é renovado, o proprietário do imóvel cobra mais — capturando exatamente a vantagem de localização. O lucro econômico do restauranteur volta a zero; a renda ricardiana migrou para o dono do fator escasso (o ponto comercial).</w:t>
      </w:r>
    </w:p>
    <w:p>
      <w:pPr>
        <w:pStyle w:val="BlockText"/>
      </w:pPr>
      <w:r>
        <w:rPr>
          <w:b/>
          <w:bCs/>
        </w:rPr>
        <w:t xml:space="preserve">Por que isso importa:</w:t>
      </w:r>
      <w:r>
        <w:t xml:space="preserve"> </w:t>
      </w:r>
      <w:r>
        <w:t xml:space="preserve">A renda ricardiana explica por que o preço da terra em regiões agrícolas produtivas é tão alto (Matopiba, Oeste da Bahia), por que jogadores de futebol de elite ganham fortunas (talento escasso), e por que patentes farmacêuticas geram retornos extraordinários (exclusividade legal como fator escasso).</w:t>
      </w:r>
    </w:p>
    <w:p>
      <w:pPr>
        <w:pStyle w:val="BlockText"/>
      </w:pPr>
      <w:r>
        <w:rPr>
          <w:b/>
          <w:bCs/>
        </w:rPr>
        <w:t xml:space="preserve">[BOX BRASIL] Box Brasil 13.2 — Renda ricardiana no agronegócio brasileiro</w:t>
      </w:r>
    </w:p>
    <w:p>
      <w:pPr>
        <w:pStyle w:val="BlockText"/>
      </w:pPr>
      <w:r>
        <w:t xml:space="preserve">O agronegócio brasileiro é um laboratório vivo de renda ricardiana. O preço da soja é determinado no mercado global (basicamente, o custo da última tonelada produzida pela firma marginal — seja no Mato Grosso, em Iowa ou na Argentina). Mas os custos de produção variam enormemente:</w:t>
      </w:r>
    </w:p>
    <w:p>
      <w:pPr>
        <w:pStyle w:val="Compact"/>
        <w:numPr>
          <w:ilvl w:val="0"/>
          <w:numId w:val="1788"/>
        </w:numPr>
      </w:pPr>
      <w:r>
        <w:rPr>
          <w:b/>
          <w:bCs/>
        </w:rPr>
        <w:t xml:space="preserve">Mato Grosso</w:t>
      </w:r>
      <w:r>
        <w:t xml:space="preserve"> </w:t>
      </w:r>
      <w:r>
        <w:t xml:space="preserve">(alta produtividade, terra já desmatada, infraestrutura logística estabelecida): custo de produção mais baixo → renda ricardiana elevada.</w:t>
      </w:r>
    </w:p>
    <w:p>
      <w:pPr>
        <w:pStyle w:val="Compact"/>
        <w:numPr>
          <w:ilvl w:val="0"/>
          <w:numId w:val="1788"/>
        </w:numPr>
      </w:pPr>
      <w:r>
        <w:rPr>
          <w:b/>
          <w:bCs/>
        </w:rPr>
        <w:t xml:space="preserve">Matopiba</w:t>
      </w:r>
      <w:r>
        <w:t xml:space="preserve"> </w:t>
      </w:r>
      <w:r>
        <w:t xml:space="preserve">(fronteira recente, produtividade em ascensão, logística ainda precária): custo mais alto → renda ricardiana menor.</w:t>
      </w:r>
    </w:p>
    <w:p>
      <w:pPr>
        <w:pStyle w:val="Compact"/>
        <w:numPr>
          <w:ilvl w:val="0"/>
          <w:numId w:val="1788"/>
        </w:numPr>
      </w:pPr>
      <w:r>
        <w:rPr>
          <w:b/>
          <w:bCs/>
        </w:rPr>
        <w:t xml:space="preserve">Firma marginal</w:t>
      </w:r>
      <w:r>
        <w:t xml:space="preserve"> </w:t>
      </w:r>
      <w:r>
        <w:t xml:space="preserve">(terras menos férteis, mais distantes dos portos): custo próximo ao preço de mercado → renda ricardiana próxima de zero.</w:t>
      </w:r>
    </w:p>
    <w:p>
      <w:pPr>
        <w:pStyle w:val="BlockText"/>
      </w:pPr>
      <w:r>
        <w:t xml:space="preserve">Segundo dados da CONAB (Companhia Nacional de Abastecimento), o custo de produção da soja por hectare varia até 40% entre regiões produtoras. A renda ricardiana correspondente se capitaliza no preço da terra: terras no Mato Grosso valorizaram-se mais de 300% em termos reais entre 2000 e 2020 (FNP/Informa Economics), refletindo a captura da renda pela escassez de terra de alta produtividade.</w:t>
      </w:r>
    </w:p>
    <w:p>
      <w:pPr>
        <w:pStyle w:val="FirstParagraph"/>
      </w:pPr>
      <w:r>
        <w:t xml:space="preserve">[FIGURA INTERATIVA: /micro-book/graficos/cap13/webr-renda-ricardiana.html — versao interativa disponivel online]</w:t>
      </w:r>
    </w:p>
    <w:p>
      <w:pPr>
        <w:pStyle w:val="BodyText"/>
      </w:pPr>
      <w:r>
        <w:rPr>
          <w:b/>
          <w:bCs/>
        </w:rPr>
        <w:t xml:space="preserve">WebR 13.4 — Renda ricardiana em indústria de custos crescentes.</w:t>
      </w:r>
      <w:r>
        <w:t xml:space="preserve"> </w:t>
      </w:r>
      <w:r>
        <w:t xml:space="preserve">Visualize como firmas inframarginais (com custos mais baixos) obtêm renda ricardiana quando o preço é determinado pela firma marginal. Altere o número de firmas e a heterogeneidade de custos para observar como a renda se distribui.</w:t>
      </w:r>
    </w:p>
    <w:p>
      <w:pPr>
        <w:pStyle w:val="BlockText"/>
      </w:pPr>
      <w:r>
        <w:rPr>
          <w:b/>
          <w:bCs/>
        </w:rPr>
        <w:t xml:space="preserve">[BOX BRASIL] Brasil na Prática — Convergência de preços entre supermercados: a lei do preço único funciona?</w:t>
      </w:r>
    </w:p>
    <w:p>
      <w:pPr>
        <w:pStyle w:val="BlockText"/>
      </w:pPr>
      <w:r>
        <w:rPr>
          <w:b/>
          <w:bCs/>
        </w:rPr>
        <w:t xml:space="preserve">Contexto.</w:t>
      </w:r>
      <w:r>
        <w:t xml:space="preserve"> </w:t>
      </w:r>
      <w:r>
        <w:t xml:space="preserve">A lei do preço único (Seção 13.3) prevê que bens homogêneos devem ter o mesmo preço em mercados integrados — descontados custos de transação e transporte. Os supermercados brasileiros oferecem um teste natural: o mesmo pacote de arroz deveria custar (quase) o mesmo em qualquer rede.</w:t>
      </w:r>
    </w:p>
    <w:p>
      <w:pPr>
        <w:pStyle w:val="BlockText"/>
      </w:pPr>
      <w:r>
        <w:rPr>
          <w:b/>
          <w:bCs/>
        </w:rPr>
        <w:t xml:space="preserve">Dados.</w:t>
      </w:r>
      <w:r>
        <w:t xml:space="preserve"> </w:t>
      </w:r>
      <w:r>
        <w:t xml:space="preserve">Pesquisa do PROCON-SP (2024) comparou preços de uma cesta de 35 produtos idênticos (mesma marca, mesma quantidade) em 30 supermercados da Grande São Paulo. Resultado: a variação de preços entre o supermercado mais barato e o mais caro foi de</w:t>
      </w:r>
      <w:r>
        <w:t xml:space="preserve"> </w:t>
      </w:r>
      <w:r>
        <w:rPr>
          <w:b/>
          <w:bCs/>
        </w:rPr>
        <w:t xml:space="preserve">38%</w:t>
      </w:r>
      <w:r>
        <w:t xml:space="preserve"> </w:t>
      </w:r>
      <w:r>
        <w:t xml:space="preserve">para a cesta completa. Para produtos individuais, a variação chegou a 120% (ex.: azeite de oliva extra-virgem).</w:t>
      </w:r>
    </w:p>
    <w:p>
      <w:pPr>
        <w:pStyle w:val="BlockText"/>
      </w:pPr>
      <w:r>
        <w:rPr>
          <w:b/>
          <w:bCs/>
        </w:rPr>
        <w:t xml:space="preserve">Análise.</w:t>
      </w:r>
      <w:r>
        <w:t xml:space="preserve"> </w:t>
      </w:r>
      <w:r>
        <w:t xml:space="preserve">A variação persistente viola a lei do preço único — mas não a teoria. A teoria prevê convergência</w:t>
      </w:r>
      <w:r>
        <w:t xml:space="preserve"> </w:t>
      </w:r>
      <w:r>
        <w:rPr>
          <w:i/>
          <w:iCs/>
        </w:rPr>
        <w:t xml:space="preserve">descontados custos de transação</w:t>
      </w:r>
      <w:r>
        <w:t xml:space="preserve">. No caso dos supermercados, os custos de transação para o consumidor são significativos: tempo para comparar preços, custo de deslocamento entre lojas, e o fato de que poucos consumidores compram item a item no mais barato. Além disso, supermercados praticam</w:t>
      </w:r>
      <w:r>
        <w:t xml:space="preserve"> </w:t>
      </w:r>
      <w:r>
        <w:rPr>
          <w:b/>
          <w:bCs/>
        </w:rPr>
        <w:t xml:space="preserve">discriminação de preços</w:t>
      </w:r>
      <w:r>
        <w:t xml:space="preserve"> </w:t>
      </w:r>
      <w:r>
        <w:t xml:space="preserve">(Capítulo 15): o mesmo produto pode ter preço diferente em bairros de renda alta vs. baixa. Apps de comparação (Zoom, Menor Preço) estão reduzindo gradualmente essa variação — confirmando que informação é o ingrediente faltante para a convergência.</w:t>
      </w:r>
    </w:p>
    <w:p>
      <w:pPr>
        <w:pStyle w:val="BlockText"/>
      </w:pPr>
      <w:r>
        <w:rPr>
          <w:b/>
          <w:bCs/>
        </w:rPr>
        <w:t xml:space="preserve">Fonte:</w:t>
      </w:r>
      <w:r>
        <w:t xml:space="preserve"> </w:t>
      </w:r>
      <w:r>
        <w:t xml:space="preserve">PROCON-SP,</w:t>
      </w:r>
      <w:r>
        <w:t xml:space="preserve"> </w:t>
      </w:r>
      <w:r>
        <w:rPr>
          <w:i/>
          <w:iCs/>
        </w:rPr>
        <w:t xml:space="preserve">Pesquisa Comparativa de Preços em Supermercados</w:t>
      </w:r>
      <w:r>
        <w:t xml:space="preserve">, 2024.</w:t>
      </w:r>
    </w:p>
    <w:bookmarkEnd w:id="813"/>
    <w:bookmarkEnd w:id="814"/>
    <w:bookmarkEnd w:id="815"/>
    <w:bookmarkStart w:id="820" w:name="o-juiz-veste-toga-eficiência-e-bem-estar"/>
    <w:p>
      <w:pPr>
        <w:pStyle w:val="Heading2"/>
      </w:pPr>
      <w:r>
        <w:t xml:space="preserve">13.9 O Juiz Veste Toga: Eficiência e Bem-Estar</w:t>
      </w:r>
    </w:p>
    <w:bookmarkStart w:id="819" w:name="Xa755791d0509bb06ae715a2072de724815ed84d"/>
    <w:p>
      <w:pPr>
        <w:pStyle w:val="Heading3"/>
      </w:pPr>
      <w:r>
        <w:t xml:space="preserve">13.9 Eficiência e Bem-Estar</w:t>
      </w:r>
    </w:p>
    <w:p>
      <w:pPr>
        <w:pStyle w:val="FirstParagraph"/>
      </w:pPr>
      <w:r>
        <w:t xml:space="preserve">Até aqui, descrevemos</w:t>
      </w:r>
      <w:r>
        <w:t xml:space="preserve"> </w:t>
      </w:r>
      <w:r>
        <w:rPr>
          <w:i/>
          <w:iCs/>
        </w:rPr>
        <w:t xml:space="preserve">como</w:t>
      </w:r>
      <w:r>
        <w:t xml:space="preserve"> </w:t>
      </w:r>
      <w:r>
        <w:t xml:space="preserve">o mercado competitivo funciona — como preços se formam, como firmas entram e saem, como choques se propagam. Agora fazemos a pergunta normativa: o resultado é</w:t>
      </w:r>
      <w:r>
        <w:t xml:space="preserve"> </w:t>
      </w:r>
      <w:r>
        <w:rPr>
          <w:i/>
          <w:iCs/>
        </w:rPr>
        <w:t xml:space="preserve">bom</w:t>
      </w:r>
      <w:r>
        <w:t xml:space="preserve">? O equilíbrio competitivo é eficiente? E o que exatamente significa</w:t>
      </w:r>
      <w:r>
        <w:t xml:space="preserve"> </w:t>
      </w:r>
      <w:r>
        <w:t xml:space="preserve">“eficiente”</w:t>
      </w:r>
      <w:r>
        <w:t xml:space="preserve"> </w:t>
      </w:r>
      <w:r>
        <w:t xml:space="preserve">nesse contexto? A resposta — uma das mais bonitas da teoria econômica — é que sim, sob certas hipóteses, o mercado competitivo produz o melhor resultado possível. Mas</w:t>
      </w:r>
      <w:r>
        <w:t xml:space="preserve"> </w:t>
      </w:r>
      <w:r>
        <w:t xml:space="preserve">“o melhor”</w:t>
      </w:r>
      <w:r>
        <w:t xml:space="preserve"> </w:t>
      </w:r>
      <w:r>
        <w:t xml:space="preserve">precisa de definição precisa, e as</w:t>
      </w:r>
      <w:r>
        <w:t xml:space="preserve"> </w:t>
      </w:r>
      <w:r>
        <w:t xml:space="preserve">“certas hipóteses”</w:t>
      </w:r>
      <w:r>
        <w:t xml:space="preserve"> </w:t>
      </w:r>
      <w:r>
        <w:t xml:space="preserve">precisam ser listadas com honestidade.</w:t>
      </w:r>
    </w:p>
    <w:bookmarkStart w:id="816" w:name="excedente-do-consumidor-e-do-produtor"/>
    <w:p>
      <w:pPr>
        <w:pStyle w:val="Heading4"/>
      </w:pPr>
      <w:r>
        <w:t xml:space="preserve">Excedente do consumidor e do produtor</w:t>
      </w:r>
    </w:p>
    <w:p>
      <w:pPr>
        <w:pStyle w:val="FirstParagraph"/>
      </w:pPr>
      <w:r>
        <w:t xml:space="preserve">O</w:t>
      </w:r>
      <w:r>
        <w:t xml:space="preserve"> </w:t>
      </w:r>
      <w:r>
        <w:rPr>
          <w:b/>
          <w:bCs/>
        </w:rPr>
        <w:t xml:space="preserve">excedente do consumidor</w:t>
      </w:r>
      <w:r>
        <w:t xml:space="preserve"> </w:t>
      </w:r>
      <w:r>
        <w:t xml:space="preserve">(EC) mede o ganho líquido dos compradores: a diferença entre o que estão dispostos a pagar e o que efetivamente pagam. Graficamente, é a área entre a curva de demanda e a linha de preço:</w:t>
      </w:r>
    </w:p>
    <w:p>
      <w:pPr>
        <w:pStyle w:val="BodyText"/>
      </w:pPr>
      <m:oMathPara>
        <m:oMathParaPr>
          <m:jc m:val="center"/>
        </m:oMathParaPr>
        <m:oMath>
          <m:r>
            <m:t>E</m:t>
          </m:r>
          <m:r>
            <m:t>C</m:t>
          </m:r>
          <m:r>
            <m:rPr>
              <m:sty m:val="p"/>
            </m:rPr>
            <m:t>=</m:t>
          </m:r>
          <m:nary>
            <m:naryPr>
              <m:chr m:val="∫"/>
              <m:limLoc m:val="subSup"/>
              <m:subHide m:val="off"/>
              <m:supHide m:val="off"/>
            </m:naryPr>
            <m:sub>
              <m:r>
                <m:t>0</m:t>
              </m:r>
            </m:sub>
            <m:sup>
              <m:sSup>
                <m:e>
                  <m:r>
                    <m:t>Q</m:t>
                  </m:r>
                </m:e>
                <m:sup>
                  <m:r>
                    <m:rPr>
                      <m:sty m:val="p"/>
                    </m:rPr>
                    <m:t>*</m:t>
                  </m:r>
                </m:sup>
              </m:sSup>
            </m:sup>
            <m:e>
              <m:sSup>
                <m:e>
                  <m:r>
                    <m:t>p</m:t>
                  </m:r>
                </m:e>
                <m:sup>
                  <m:r>
                    <m:t>d</m:t>
                  </m:r>
                </m:sup>
              </m:sSup>
            </m:e>
          </m:nary>
          <m:r>
            <m:rPr>
              <m:sty m:val="p"/>
            </m:rPr>
            <m:t>(</m:t>
          </m:r>
          <m:r>
            <m:t>Q</m:t>
          </m:r>
          <m:r>
            <m:rPr>
              <m:sty m:val="p"/>
            </m:rPr>
            <m:t>)</m:t>
          </m:r>
          <m:r>
            <m:t> </m:t>
          </m:r>
          <m:r>
            <m:t>d</m:t>
          </m:r>
          <m:r>
            <m:t>Q</m:t>
          </m:r>
          <m:r>
            <m:rPr>
              <m:sty m:val="p"/>
            </m:rPr>
            <m:t>−</m:t>
          </m:r>
          <m:sSup>
            <m:e>
              <m:r>
                <m:t>p</m:t>
              </m:r>
            </m:e>
            <m:sup>
              <m:r>
                <m:rPr>
                  <m:sty m:val="p"/>
                </m:rPr>
                <m:t>*</m:t>
              </m:r>
            </m:sup>
          </m:sSup>
          <m:r>
            <m:rPr>
              <m:sty m:val="p"/>
            </m:rPr>
            <m:t>⋅</m:t>
          </m:r>
          <m:sSup>
            <m:e>
              <m:r>
                <m:t>Q</m:t>
              </m:r>
            </m:e>
            <m:sup>
              <m:r>
                <m:rPr>
                  <m:sty m:val="p"/>
                </m:rPr>
                <m:t>*</m:t>
              </m:r>
            </m:sup>
          </m:sSup>
        </m:oMath>
      </m:oMathPara>
    </w:p>
    <w:p>
      <w:pPr>
        <w:pStyle w:val="FirstParagraph"/>
      </w:pPr>
      <w:r>
        <w:t xml:space="preserve">O</w:t>
      </w:r>
      <w:r>
        <w:t xml:space="preserve"> </w:t>
      </w:r>
      <w:r>
        <w:rPr>
          <w:b/>
          <w:bCs/>
        </w:rPr>
        <w:t xml:space="preserve">excedente do produtor</w:t>
      </w:r>
      <w:r>
        <w:t xml:space="preserve"> </w:t>
      </w:r>
      <w:r>
        <w:t xml:space="preserve">(EP) mede o ganho líquido dos vendedores: a diferença entre o preço recebido e o custo marginal de cada unidade produzida. Graficamente, é a área entre a linha de preço e a curva de oferta:</w:t>
      </w:r>
    </w:p>
    <w:p>
      <w:pPr>
        <w:pStyle w:val="BodyText"/>
      </w:pPr>
      <w:r>
        <w:t xml:space="preserve">$$
    EP = p^* \cdot Q^* - \int_0^{Q^*} CMg(Q)\, dQ
    \label{eq:13.11} \tag{13.11} 
    $$</w:t>
      </w:r>
    </w:p>
    <w:p>
      <w:pPr>
        <w:pStyle w:val="FirstParagraph"/>
      </w:pPr>
      <w:r>
        <w:t xml:space="preserve">O</w:t>
      </w:r>
      <w:r>
        <w:t xml:space="preserve"> </w:t>
      </w:r>
      <w:r>
        <w:rPr>
          <w:b/>
          <w:bCs/>
        </w:rPr>
        <w:t xml:space="preserve">bem-estar total</w:t>
      </w:r>
      <w:r>
        <w:t xml:space="preserve"> </w:t>
      </w:r>
      <w:r>
        <w:t xml:space="preserve">(ou excedente total) é a soma:</w:t>
      </w:r>
    </w:p>
    <w:p>
      <w:pPr>
        <w:pStyle w:val="BodyText"/>
      </w:pPr>
      <w:r>
        <w:t xml:space="preserve">$$
    W = EC + EP = \int_0^{Q^*} \left[ p^d(Q) - CMg(Q) \right] dQ
    \label{eq:13.12} \tag{13.12} 
    $$</w:t>
      </w:r>
    </w:p>
    <w:p>
      <w:pPr>
        <w:pStyle w:val="BlockText"/>
      </w:pPr>
      <w:r>
        <w:rPr>
          <w:b/>
          <w:bCs/>
        </w:rPr>
        <w:t xml:space="preserve">[INTUICAO ECONOMICA] Intuição Econômica</w:t>
      </w:r>
    </w:p>
    <w:p>
      <w:pPr>
        <w:pStyle w:val="BlockText"/>
      </w:pPr>
      <w:r>
        <w:rPr>
          <w:b/>
          <w:bCs/>
        </w:rPr>
        <w:t xml:space="preserve">Em uma frase:</w:t>
      </w:r>
      <w:r>
        <w:t xml:space="preserve"> </w:t>
      </w:r>
      <w:r>
        <w:t xml:space="preserve">O excedente total mede o valor líquido criado pelas trocas no mercado — cada transação em que a disposição a pagar excede o custo marginal gera valor, e o equilíbrio competitivo realiza</w:t>
      </w:r>
      <w:r>
        <w:t xml:space="preserve"> </w:t>
      </w:r>
      <w:r>
        <w:rPr>
          <w:i/>
          <w:iCs/>
        </w:rPr>
        <w:t xml:space="preserve">todas</w:t>
      </w:r>
      <w:r>
        <w:t xml:space="preserve"> </w:t>
      </w:r>
      <w:r>
        <w:t xml:space="preserve">essas transações.</w:t>
      </w:r>
    </w:p>
    <w:p>
      <w:pPr>
        <w:pStyle w:val="BlockText"/>
      </w:pPr>
      <w:r>
        <w:rPr>
          <w:b/>
          <w:bCs/>
        </w:rPr>
        <w:t xml:space="preserve">Pense assim:</w:t>
      </w:r>
      <w:r>
        <w:t xml:space="preserve"> </w:t>
      </w:r>
      <w:r>
        <w:t xml:space="preserve">Imagine uma fila de compradores ordenados da maior para a menor disposição a pagar, e uma fila de vendedores ordenados do menor para o maior custo. Cada</w:t>
      </w:r>
      <w:r>
        <w:t xml:space="preserve"> </w:t>
      </w:r>
      <w:r>
        <w:t xml:space="preserve">“par”</w:t>
      </w:r>
      <w:r>
        <w:t xml:space="preserve"> </w:t>
      </w:r>
      <w:r>
        <w:t xml:space="preserve">em que o comprador valoriza mais do que o custo do vendedor deveria transacionar — e o mercado competitivo faz exatamente isso. A última transação ocorre onde disposição a pagar = custo marginal = preço.</w:t>
      </w:r>
    </w:p>
    <w:p>
      <w:pPr>
        <w:pStyle w:val="BlockText"/>
      </w:pPr>
      <w:r>
        <w:rPr>
          <w:b/>
          <w:bCs/>
        </w:rPr>
        <w:t xml:space="preserve">Por que isso importa:</w:t>
      </w:r>
      <w:r>
        <w:t xml:space="preserve"> </w:t>
      </w:r>
      <w:r>
        <w:t xml:space="preserve">Se qualquer intervenção (imposto, teto de preço, cota) impede que algumas dessas transações ocorram, cria-se uma</w:t>
      </w:r>
      <w:r>
        <w:t xml:space="preserve"> </w:t>
      </w:r>
      <w:r>
        <w:rPr>
          <w:b/>
          <w:bCs/>
        </w:rPr>
        <w:t xml:space="preserve">perda de peso morto</w:t>
      </w:r>
      <w:r>
        <w:t xml:space="preserve"> </w:t>
      </w:r>
      <w:r>
        <w:t xml:space="preserve">— valor que ninguém captura.</w:t>
      </w:r>
    </w:p>
    <w:bookmarkEnd w:id="816"/>
    <w:bookmarkStart w:id="817" w:name="Xade39a0e2615a1b0de43351c2236ad48d82b1b6"/>
    <w:p>
      <w:pPr>
        <w:pStyle w:val="Heading4"/>
      </w:pPr>
      <w:r>
        <w:t xml:space="preserve">O Primeiro Teorema do Bem-Estar (versão equilíbrio parcial)</w:t>
      </w:r>
    </w:p>
    <w:p>
      <w:pPr>
        <w:pStyle w:val="BlockText"/>
      </w:pPr>
      <w:r>
        <w:rPr>
          <w:b/>
          <w:bCs/>
        </w:rPr>
        <w:t xml:space="preserve">[TEOREMA] Primeiro Teorema do Bem-Estar (equilíbrio parcial)</w:t>
      </w:r>
    </w:p>
    <w:p>
      <w:pPr>
        <w:pStyle w:val="BlockText"/>
      </w:pPr>
      <w:r>
        <w:t xml:space="preserve">O equilíbrio competitivo maximiza o excedente total</w:t>
      </w:r>
      <w:r>
        <w:t xml:space="preserve"> </w:t>
      </w:r>
      <m:oMath>
        <m:r>
          <m:t>W</m:t>
        </m:r>
        <m:r>
          <m:rPr>
            <m:sty m:val="p"/>
          </m:rPr>
          <m:t>=</m:t>
        </m:r>
        <m:r>
          <m:t>E</m:t>
        </m:r>
        <m:r>
          <m:t>C</m:t>
        </m:r>
        <m:r>
          <m:rPr>
            <m:sty m:val="p"/>
          </m:rPr>
          <m:t>+</m:t>
        </m:r>
        <m:r>
          <m:t>E</m:t>
        </m:r>
        <m:r>
          <m:t>P</m:t>
        </m:r>
      </m:oMath>
      <w:r>
        <w:t xml:space="preserve">. Isto é, a quantidade de equilíbrio</w:t>
      </w:r>
      <w:r>
        <w:t xml:space="preserve"> </w:t>
      </w:r>
      <m:oMath>
        <m:sSup>
          <m:e>
            <m:r>
              <m:t>Q</m:t>
            </m:r>
          </m:e>
          <m:sup>
            <m:r>
              <m:rPr>
                <m:sty m:val="p"/>
              </m:rPr>
              <m:t>*</m:t>
            </m:r>
          </m:sup>
        </m:sSup>
      </m:oMath>
      <w:r>
        <w:t xml:space="preserve"> </w:t>
      </w:r>
      <w:r>
        <w:t xml:space="preserve">onde</w:t>
      </w:r>
      <w:r>
        <w:t xml:space="preserve"> </w:t>
      </w:r>
      <m:oMath>
        <m:sSup>
          <m:e>
            <m:r>
              <m:t>p</m:t>
            </m:r>
          </m:e>
          <m:sup>
            <m:r>
              <m:t>d</m:t>
            </m:r>
          </m:sup>
        </m:sSup>
        <m:r>
          <m:rPr>
            <m:sty m:val="p"/>
          </m:rPr>
          <m:t>(</m:t>
        </m:r>
        <m:sSup>
          <m:e>
            <m:r>
              <m:t>Q</m:t>
            </m:r>
          </m:e>
          <m:sup>
            <m:r>
              <m:rPr>
                <m:sty m:val="p"/>
              </m:rPr>
              <m:t>*</m:t>
            </m:r>
          </m:sup>
        </m:sSup>
        <m:r>
          <m:rPr>
            <m:sty m:val="p"/>
          </m:rPr>
          <m:t>)</m:t>
        </m:r>
        <m:r>
          <m:rPr>
            <m:sty m:val="p"/>
          </m:rPr>
          <m:t>=</m:t>
        </m:r>
        <m:r>
          <m:t>C</m:t>
        </m:r>
        <m:r>
          <m:t>M</m:t>
        </m:r>
        <m:r>
          <m:t>g</m:t>
        </m:r>
        <m:r>
          <m:rPr>
            <m:sty m:val="p"/>
          </m:rPr>
          <m:t>(</m:t>
        </m:r>
        <m:sSup>
          <m:e>
            <m:r>
              <m:t>Q</m:t>
            </m:r>
          </m:e>
          <m:sup>
            <m:r>
              <m:rPr>
                <m:sty m:val="p"/>
              </m:rPr>
              <m:t>*</m:t>
            </m:r>
          </m:sup>
        </m:sSup>
        <m:r>
          <m:rPr>
            <m:sty m:val="p"/>
          </m:rPr>
          <m:t>)</m:t>
        </m:r>
      </m:oMath>
      <w:r>
        <w:t xml:space="preserve"> </w:t>
      </w:r>
      <w:r>
        <w:t xml:space="preserve">é a quantidade que maximiza a equação Eq. (eq:13.12).</w:t>
      </w:r>
    </w:p>
    <w:p>
      <w:pPr>
        <w:pStyle w:val="BlockText"/>
      </w:pPr>
      <w:r>
        <w:rPr>
          <w:b/>
          <w:bCs/>
        </w:rPr>
        <w:t xml:space="preserve">[DEMONSTRACAO] Demonstração</w:t>
      </w:r>
    </w:p>
    <w:p>
      <w:pPr>
        <w:pStyle w:val="BlockText"/>
      </w:pPr>
      <w:r>
        <w:t xml:space="preserve">Considere a função de bem-estar:</w:t>
      </w:r>
    </w:p>
    <w:p>
      <w:pPr>
        <w:pStyle w:val="BlockText"/>
      </w:pPr>
      <w:r>
        <w:t xml:space="preserve">$$</w:t>
      </w:r>
    </w:p>
    <w:p>
      <w:pPr>
        <w:pStyle w:val="BlockText"/>
      </w:pPr>
      <w:r>
        <w:t xml:space="preserve">W(Q) =</w:t>
      </w:r>
      <w:r>
        <w:t xml:space="preserve"> </w:t>
      </w:r>
      <w:r>
        <w:t xml:space="preserve">_0^{Q}</w:t>
      </w:r>
      <w:r>
        <w:t xml:space="preserve"> </w:t>
      </w:r>
      <w:r>
        <w:t xml:space="preserve">dt</w:t>
      </w:r>
    </w:p>
    <w:p>
      <w:pPr>
        <w:pStyle w:val="BlockText"/>
      </w:pPr>
      <w:r>
        <w:t xml:space="preserve">$$</w:t>
      </w:r>
    </w:p>
    <w:p>
      <w:pPr>
        <w:pStyle w:val="BlockText"/>
      </w:pPr>
      <w:r>
        <w:t xml:space="preserve">Condição de primeira ordem:</w:t>
      </w:r>
    </w:p>
    <w:p>
      <w:pPr>
        <w:pStyle w:val="BlockText"/>
      </w:pPr>
      <w:r>
        <w:t xml:space="preserve">$$</w:t>
      </w:r>
    </w:p>
    <w:p>
      <w:pPr>
        <w:pStyle w:val="BlockText"/>
      </w:pPr>
      <w:r>
        <w:t xml:space="preserve"> </w:t>
      </w:r>
      <w:r>
        <w:t xml:space="preserve">= p^d(Q) - CMg(Q) = 0</w:t>
      </w:r>
      <w:r>
        <w:t xml:space="preserve"> </w:t>
      </w:r>
      <w:r>
        <w:t xml:space="preserve">p</w:t>
      </w:r>
      <w:r>
        <w:rPr>
          <w:vertAlign w:val="superscript"/>
        </w:rPr>
        <w:t xml:space="preserve">d(Q</w:t>
      </w:r>
      <w:r>
        <w:rPr>
          <w:i/>
          <w:iCs/>
        </w:rPr>
        <w:t xml:space="preserve">) = CMg(Q^</w:t>
      </w:r>
      <w:r>
        <w:t xml:space="preserve">)</w:t>
      </w:r>
    </w:p>
    <w:p>
      <w:pPr>
        <w:pStyle w:val="BlockText"/>
      </w:pPr>
      <w:r>
        <w:t xml:space="preserve">$$</w:t>
      </w:r>
    </w:p>
    <w:p>
      <w:pPr>
        <w:pStyle w:val="BlockText"/>
      </w:pPr>
      <w:r>
        <w:t xml:space="preserve">que é precisamente a condição de equilíbrio competitivo (preço = disposição a pagar marginal = custo marginal).</w:t>
      </w:r>
    </w:p>
    <w:p>
      <w:pPr>
        <w:pStyle w:val="BlockText"/>
      </w:pPr>
      <w:r>
        <w:t xml:space="preserve">Condição de segunda ordem: como a demanda é decrescente (</w:t>
      </w:r>
      <m:oMath>
        <m:r>
          <m:t>d</m:t>
        </m:r>
        <m:sSup>
          <m:e>
            <m:r>
              <m:t>p</m:t>
            </m:r>
          </m:e>
          <m:sup>
            <m:r>
              <m:t>d</m:t>
            </m:r>
          </m:sup>
        </m:sSup>
        <m:r>
          <m:rPr>
            <m:sty m:val="p"/>
          </m:rPr>
          <m:t>/</m:t>
        </m:r>
        <m:r>
          <m:t>d</m:t>
        </m:r>
        <m:r>
          <m:t>Q</m:t>
        </m:r>
        <m:r>
          <m:rPr>
            <m:sty m:val="p"/>
          </m:rPr>
          <m:t>&lt;</m:t>
        </m:r>
        <m:r>
          <m:t>0</m:t>
        </m:r>
      </m:oMath>
      <w:r>
        <w:t xml:space="preserve">) e o custo marginal é crescente (</w:t>
      </w:r>
      <m:oMath>
        <m:r>
          <m:t>d</m:t>
        </m:r>
        <m:r>
          <m:t>C</m:t>
        </m:r>
        <m:r>
          <m:t>M</m:t>
        </m:r>
        <m:r>
          <m:t>g</m:t>
        </m:r>
        <m:r>
          <m:rPr>
            <m:sty m:val="p"/>
          </m:rPr>
          <m:t>/</m:t>
        </m:r>
        <m:r>
          <m:t>d</m:t>
        </m:r>
        <m:r>
          <m:t>Q</m:t>
        </m:r>
        <m:r>
          <m:rPr>
            <m:sty m:val="p"/>
          </m:rPr>
          <m:t>&gt;</m:t>
        </m:r>
        <m:r>
          <m:t>0</m:t>
        </m:r>
      </m:oMath>
      <w:r>
        <w:t xml:space="preserve">):</w:t>
      </w:r>
    </w:p>
    <w:p>
      <w:pPr>
        <w:pStyle w:val="BlockText"/>
      </w:pPr>
      <w:r>
        <w:t xml:space="preserve">$$</w:t>
      </w:r>
    </w:p>
    <w:p>
      <w:pPr>
        <w:pStyle w:val="BlockText"/>
      </w:pPr>
      <w:r>
        <w:t xml:space="preserve"> </w:t>
      </w:r>
      <w:r>
        <w:t xml:space="preserve">=</w:t>
      </w:r>
      <w:r>
        <w:t xml:space="preserve"> </w:t>
      </w:r>
      <w:r>
        <w:t xml:space="preserve"> </w:t>
      </w:r>
      <w:r>
        <w:t xml:space="preserve">-</w:t>
      </w:r>
      <w:r>
        <w:t xml:space="preserve"> </w:t>
      </w:r>
      <w:r>
        <w:t xml:space="preserve"> </w:t>
      </w:r>
      <w:r>
        <w:t xml:space="preserve">&lt; 0</w:t>
      </w:r>
    </w:p>
    <w:p>
      <w:pPr>
        <w:pStyle w:val="BlockText"/>
      </w:pPr>
      <w:r>
        <w:t xml:space="preserve">$$</w:t>
      </w:r>
    </w:p>
    <w:p>
      <w:pPr>
        <w:pStyle w:val="BlockText"/>
      </w:pPr>
      <w:r>
        <w:t xml:space="preserve">Portanto,</w:t>
      </w:r>
      <w:r>
        <w:t xml:space="preserve"> </w:t>
      </w:r>
      <m:oMath>
        <m:sSup>
          <m:e>
            <m:r>
              <m:t>Q</m:t>
            </m:r>
          </m:e>
          <m:sup>
            <m:r>
              <m:rPr>
                <m:sty m:val="p"/>
              </m:rPr>
              <m:t>*</m:t>
            </m:r>
          </m:sup>
        </m:sSup>
      </m:oMath>
      <w:r>
        <w:t xml:space="preserve"> </w:t>
      </w:r>
      <w:r>
        <w:t xml:space="preserve">é um máximo.</w:t>
      </w:r>
      <w:r>
        <w:t xml:space="preserve"> </w:t>
      </w:r>
      <m:oMath>
        <m:r>
          <m:rPr>
            <m:sty m:val="p"/>
          </m:rPr>
          <m:t>◼</m:t>
        </m:r>
      </m:oMath>
    </w:p>
    <w:p>
      <w:pPr>
        <w:pStyle w:val="FirstParagraph"/>
      </w:pPr>
      <w:r>
        <w:t xml:space="preserve">A versão de equilíbrio geral deste teorema — que analisaremos no Capítulo 14 — mostra que, sob hipóteses mais gerais,</w:t>
      </w:r>
      <w:r>
        <w:t xml:space="preserve"> </w:t>
      </w:r>
      <w:r>
        <w:rPr>
          <w:i/>
          <w:iCs/>
        </w:rPr>
        <w:t xml:space="preserve">todo</w:t>
      </w:r>
      <w:r>
        <w:t xml:space="preserve"> </w:t>
      </w:r>
      <w:r>
        <w:t xml:space="preserve">equilíbrio walrasiano é Pareto-eficiente. A versão parcial que provamos aqui é o caso especial para um único mercado, e já é suficientemente poderosa para fundamentar a análise de políticas públicas.</w:t>
      </w:r>
    </w:p>
    <w:p>
      <w:pPr>
        <w:pStyle w:val="BlockText"/>
      </w:pPr>
      <w:r>
        <w:rPr>
          <w:b/>
          <w:bCs/>
        </w:rPr>
        <w:t xml:space="preserve">[DICA] Hipóteses cruciais</w:t>
      </w:r>
    </w:p>
    <w:p>
      <w:pPr>
        <w:pStyle w:val="BlockText"/>
      </w:pPr>
      <w:r>
        <w:t xml:space="preserve">O Primeiro Teorema requer: (i) comportamento tomador de preço; (ii) ausência de externalidades; (iii) informação completa; (iv) ausência de poder de mercado. A violação de qualquer uma dessas hipóteses abre espaço para</w:t>
      </w:r>
      <w:r>
        <w:t xml:space="preserve"> </w:t>
      </w:r>
      <w:r>
        <w:rPr>
          <w:b/>
          <w:bCs/>
        </w:rPr>
        <w:t xml:space="preserve">falhas de mercado</w:t>
      </w:r>
      <w:r>
        <w:t xml:space="preserve"> </w:t>
      </w:r>
      <w:r>
        <w:t xml:space="preserve">— tema dos Capítulos 19–20. Como diria o Monty Python:</w:t>
      </w:r>
      <w:r>
        <w:t xml:space="preserve"> </w:t>
      </w:r>
      <w:r>
        <w:rPr>
          <w:i/>
          <w:iCs/>
        </w:rPr>
        <w:t xml:space="preserve">“Nobody expects the market failure!”</w:t>
      </w:r>
      <w:r>
        <w:t xml:space="preserve"> </w:t>
      </w:r>
      <w:r>
        <w:t xml:space="preserve">— mas um bom economista deveria.</w:t>
      </w:r>
    </w:p>
    <w:bookmarkEnd w:id="817"/>
    <w:bookmarkStart w:id="818" w:name="a-perda-de-peso-morto-ppm"/>
    <w:p>
      <w:pPr>
        <w:pStyle w:val="Heading4"/>
      </w:pPr>
      <w:r>
        <w:t xml:space="preserve">A Perda de Peso Morto (PPM)</w:t>
      </w:r>
    </w:p>
    <w:p>
      <w:pPr>
        <w:pStyle w:val="FirstParagraph"/>
      </w:pPr>
      <w:r>
        <w:t xml:space="preserve">Qualquer desvio da quantidade de equilíbrio — seja por imposto, controle de preço, monopólio ou cota — gera uma perda de peso morto: transações mutuamente benéficas que deixam de ocorrer. A PPM é o triângulo (ou área) entre as curvas de demanda e oferta, da quantidade efetivamente transacionada à quantidade de equilíbrio:</w:t>
      </w:r>
    </w:p>
    <w:p>
      <w:pPr>
        <w:pStyle w:val="BodyText"/>
      </w:pPr>
      <w:r>
        <w:t xml:space="preserve">$$
    PPM = \int_{Q_t}^{Q^*} \left[ p^d(Q) - CMg(Q) \right] dQ
    \label{eq:13.13} \tag{13.13} 
    $$</w:t>
      </w:r>
    </w:p>
    <w:p>
      <w:pPr>
        <w:pStyle w:val="FirstParagraph"/>
      </w:pPr>
      <w:r>
        <w:t xml:space="preserve">onde</w:t>
      </w:r>
      <w:r>
        <w:t xml:space="preserve"> </w:t>
      </w:r>
      <m:oMath>
        <m:sSub>
          <m:e>
            <m:r>
              <m:t>Q</m:t>
            </m:r>
          </m:e>
          <m:sub>
            <m:r>
              <m:t>t</m:t>
            </m:r>
          </m:sub>
        </m:sSub>
        <m:r>
          <m:rPr>
            <m:sty m:val="p"/>
          </m:rPr>
          <m:t>&lt;</m:t>
        </m:r>
        <m:sSup>
          <m:e>
            <m:r>
              <m:t>Q</m:t>
            </m:r>
          </m:e>
          <m:sup>
            <m:r>
              <m:rPr>
                <m:sty m:val="p"/>
              </m:rPr>
              <m:t>*</m:t>
            </m:r>
          </m:sup>
        </m:sSup>
      </m:oMath>
      <w:r>
        <w:t xml:space="preserve"> </w:t>
      </w:r>
      <w:r>
        <w:t xml:space="preserve">é a quantidade transacionada sob a distorção.</w:t>
      </w:r>
    </w:p>
    <w:p>
      <w:pPr>
        <w:pStyle w:val="BodyText"/>
      </w:pPr>
      <w:r>
        <w:t xml:space="preserve">A PPM é o custo de eficiência da intervenção — o valor que simplesmente desaparece, sem ser capturado por nenhum agente (nem consumidores, nem produtores, nem o governo). É o</w:t>
      </w:r>
      <w:r>
        <w:t xml:space="preserve"> </w:t>
      </w:r>
      <w:r>
        <w:t xml:space="preserve">“dinheiro queimado”</w:t>
      </w:r>
      <w:r>
        <w:t xml:space="preserve"> </w:t>
      </w:r>
      <w:r>
        <w:t xml:space="preserve">da economia — ninguém fica com ele.</w:t>
      </w:r>
    </w:p>
    <w:p>
      <w:pPr>
        <w:pStyle w:val="BlockText"/>
      </w:pPr>
      <w:r>
        <w:rPr>
          <w:b/>
          <w:bCs/>
        </w:rPr>
        <w:t xml:space="preserve">[BOX BRASIL] Brasil na Prática — O mercado de café: o Brasil como tomador de preço… que define o preço</w:t>
      </w:r>
    </w:p>
    <w:p>
      <w:pPr>
        <w:pStyle w:val="BlockText"/>
      </w:pPr>
      <w:r>
        <w:rPr>
          <w:b/>
          <w:bCs/>
        </w:rPr>
        <w:t xml:space="preserve">Contexto.</w:t>
      </w:r>
      <w:r>
        <w:t xml:space="preserve"> </w:t>
      </w:r>
      <w:r>
        <w:t xml:space="preserve">O Brasil é o maior produtor e exportador mundial de café, responsável por ~35% da produção global (~65 milhões de sacas em 2023/24). Apesar dessa dominância, o preço internacional do café é determinado pela bolsa de Nova York (ICE Futures US) — onde milhares de produtores, torrefadores e especuladores negociam contratos futuros.</w:t>
      </w:r>
    </w:p>
    <w:p>
      <w:pPr>
        <w:pStyle w:val="BlockText"/>
      </w:pPr>
      <w:r>
        <w:rPr>
          <w:b/>
          <w:bCs/>
        </w:rPr>
        <w:t xml:space="preserve">Dados.</w:t>
      </w:r>
      <w:r>
        <w:t xml:space="preserve"> </w:t>
      </w:r>
      <w:r>
        <w:t xml:space="preserve">O preço do café arábica na ICE variou de ~US$ 1,00/lb (2019) a ~US$ 2,40/lb (2024) — uma volatilidade de 140% em 5 anos. Produtores brasileiros são, individualmente,</w:t>
      </w:r>
      <w:r>
        <w:t xml:space="preserve"> </w:t>
      </w:r>
      <w:r>
        <w:rPr>
          <w:b/>
          <w:bCs/>
        </w:rPr>
        <w:t xml:space="preserve">tomadores de preço</w:t>
      </w:r>
      <w:r>
        <w:t xml:space="preserve"> </w:t>
      </w:r>
      <w:r>
        <w:t xml:space="preserve">(Seção 13.1): nenhuma fazenda isolada afeta o preço mundial. Porém, coletivamente, uma geada no Sul de Minas ou uma seca no Cerrado pode mover o mercado inteiro — como em julho de 2021, quando geadas elevaram o preço 40% em semanas.</w:t>
      </w:r>
    </w:p>
    <w:p>
      <w:pPr>
        <w:pStyle w:val="BlockText"/>
      </w:pPr>
      <w:r>
        <w:rPr>
          <w:b/>
          <w:bCs/>
        </w:rPr>
        <w:t xml:space="preserve">Conexão com a teoria.</w:t>
      </w:r>
      <w:r>
        <w:t xml:space="preserve"> </w:t>
      </w:r>
      <w:r>
        <w:t xml:space="preserve">O café é o exemplo brasileiro mais puro de mercado perfeitamente competitivo: produto homogêneo (dentro de cada tipo/qualidade), muitos produtores (&gt;300 mil no Brasil), informação transparente (preços da bolsa em tempo real), livre entrada e saída. A lei do preço único (Seção 13.3) funciona aqui: o preço no porto de Santos converge para o preço em Nova York menos custos de transporte e câmbio. Quando o preço cai abaixo do custo médio, produtores menos eficientes saem do mercado — exatamente como prevê o modelo de longo prazo (Seção 13.5).</w:t>
      </w:r>
    </w:p>
    <w:p>
      <w:pPr>
        <w:pStyle w:val="BlockText"/>
      </w:pPr>
      <w:r>
        <w:rPr>
          <w:b/>
          <w:bCs/>
        </w:rPr>
        <w:t xml:space="preserve">Fonte:</w:t>
      </w:r>
      <w:r>
        <w:t xml:space="preserve"> </w:t>
      </w:r>
      <w:r>
        <w:t xml:space="preserve">CONAB,</w:t>
      </w:r>
      <w:r>
        <w:t xml:space="preserve"> </w:t>
      </w:r>
      <w:r>
        <w:rPr>
          <w:i/>
          <w:iCs/>
        </w:rPr>
        <w:t xml:space="preserve">Acompanhamento da Safra Brasileira de Café</w:t>
      </w:r>
      <w:r>
        <w:t xml:space="preserve">, 2024; ICE Futures US.</w:t>
      </w:r>
    </w:p>
    <w:p>
      <w:pPr>
        <w:pStyle w:val="FirstParagraph"/>
      </w:pPr>
      <w:r>
        <w:t xml:space="preserve">[FIGURA INTERATIVA: /micro-book/graficos/cap13/webr-bem-estar.html — versao interativa disponivel online]</w:t>
      </w:r>
    </w:p>
    <w:p>
      <w:pPr>
        <w:pStyle w:val="BodyText"/>
      </w:pPr>
      <w:r>
        <w:rPr>
          <w:b/>
          <w:bCs/>
        </w:rPr>
        <w:t xml:space="preserve">WebR 13.5 — Excedente do consumidor, excedente do produtor e perda de peso morto.</w:t>
      </w:r>
      <w:r>
        <w:t xml:space="preserve"> </w:t>
      </w:r>
      <w:r>
        <w:t xml:space="preserve">Visualize como impostos e controles de preços alteram a divisão do excedente e geram perda de peso morto. O código calcula EC, EP e PPM para diferentes cenários.</w:t>
      </w:r>
    </w:p>
    <w:bookmarkEnd w:id="818"/>
    <w:bookmarkEnd w:id="819"/>
    <w:bookmarkEnd w:id="820"/>
    <w:bookmarkStart w:id="831" w:name="políticas-públicas"/>
    <w:p>
      <w:pPr>
        <w:pStyle w:val="Heading2"/>
      </w:pPr>
      <w:r>
        <w:t xml:space="preserve">13.10–13.12 Políticas Públicas</w:t>
      </w:r>
    </w:p>
    <w:bookmarkStart w:id="824" w:name="X147343d9851d9a4727fab30d6594b416109e55a"/>
    <w:p>
      <w:pPr>
        <w:pStyle w:val="Heading3"/>
      </w:pPr>
      <w:r>
        <w:t xml:space="preserve">13.10 Quando o Governo Puxa o Freio: Controles de Preços</w:t>
      </w:r>
    </w:p>
    <w:p>
      <w:pPr>
        <w:pStyle w:val="FirstParagraph"/>
      </w:pPr>
      <w:r>
        <w:t xml:space="preserve">Armados com as ferramentas de excedente e eficiência, podemos agora analisar uma das intervenções mais comuns — e mais controversas — nos mercados: os</w:t>
      </w:r>
      <w:r>
        <w:t xml:space="preserve"> </w:t>
      </w:r>
      <w:r>
        <w:rPr>
          <w:b/>
          <w:bCs/>
        </w:rPr>
        <w:t xml:space="preserve">controles de preços</w:t>
      </w:r>
      <w:r>
        <w:t xml:space="preserve">. Governos frequentemente fixam preços máximos (tetos) ou mínimos (pisos) por motivos distributivos ou de estabilização. A análise de bem-estar revela que, embora bem-intencionados, esses controles tipicamente geram custos de eficiência significativos.</w:t>
      </w:r>
      <w:r>
        <w:rPr>
          <w:rStyle w:val="FootnoteReference"/>
        </w:rPr>
        <w:footnoteReference w:id="821"/>
      </w:r>
    </w:p>
    <w:bookmarkStart w:id="822" w:name="preço-máximo-teto-de-preço"/>
    <w:p>
      <w:pPr>
        <w:pStyle w:val="Heading4"/>
      </w:pPr>
      <w:r>
        <w:t xml:space="preserve">Preço máximo (teto de preço)</w:t>
      </w:r>
    </w:p>
    <w:p>
      <w:pPr>
        <w:pStyle w:val="FirstParagraph"/>
      </w:pPr>
      <w:r>
        <w:t xml:space="preserve">Um</w:t>
      </w:r>
      <w:r>
        <w:t xml:space="preserve"> </w:t>
      </w:r>
      <w:r>
        <w:rPr>
          <w:b/>
          <w:bCs/>
        </w:rPr>
        <w:t xml:space="preserve">preço máximo</w:t>
      </w:r>
      <w:r>
        <w:t xml:space="preserve"> </w:t>
      </w:r>
      <w:r>
        <w:t xml:space="preserve">(ou teto de preço)</w:t>
      </w:r>
      <w:r>
        <w:t xml:space="preserve"> </w:t>
      </w:r>
      <m:oMath>
        <m:acc>
          <m:accPr>
            <m:chr m:val="‾"/>
          </m:accPr>
          <m:e>
            <m:r>
              <m:t>p</m:t>
            </m:r>
          </m:e>
        </m:acc>
      </m:oMath>
      <w:r>
        <w:t xml:space="preserve"> </w:t>
      </w:r>
      <w:r>
        <w:t xml:space="preserve">é um limite superior imposto por lei: nenhum vendedor pode cobrar mais do que</w:t>
      </w:r>
      <w:r>
        <w:t xml:space="preserve"> </w:t>
      </w:r>
      <m:oMath>
        <m:acc>
          <m:accPr>
            <m:chr m:val="‾"/>
          </m:accPr>
          <m:e>
            <m:r>
              <m:t>p</m:t>
            </m:r>
          </m:e>
        </m:acc>
      </m:oMath>
      <w:r>
        <w:t xml:space="preserve">. Se</w:t>
      </w:r>
      <w:r>
        <w:t xml:space="preserve"> </w:t>
      </w:r>
      <m:oMath>
        <m:acc>
          <m:accPr>
            <m:chr m:val="‾"/>
          </m:accPr>
          <m:e>
            <m:r>
              <m:t>p</m:t>
            </m:r>
          </m:e>
        </m:acc>
        <m:r>
          <m:rPr>
            <m:sty m:val="p"/>
          </m:rPr>
          <m:t>&lt;</m:t>
        </m:r>
        <m:sSup>
          <m:e>
            <m:r>
              <m:t>p</m:t>
            </m:r>
          </m:e>
          <m:sup>
            <m:r>
              <m:rPr>
                <m:sty m:val="p"/>
              </m:rPr>
              <m:t>*</m:t>
            </m:r>
          </m:sup>
        </m:sSup>
      </m:oMath>
      <w:r>
        <w:t xml:space="preserve">, o teto é efetivo e gera:</w:t>
      </w:r>
    </w:p>
    <w:p>
      <w:pPr>
        <w:pStyle w:val="Compact"/>
        <w:numPr>
          <w:ilvl w:val="0"/>
          <w:numId w:val="1789"/>
        </w:numPr>
      </w:pPr>
      <w:r>
        <w:rPr>
          <w:b/>
          <w:bCs/>
        </w:rPr>
        <w:t xml:space="preserve">Excesso de demanda</w:t>
      </w:r>
      <w:r>
        <w:t xml:space="preserve"> </w:t>
      </w:r>
      <w:r>
        <w:t xml:space="preserve">(escassez):</w:t>
      </w:r>
      <w:r>
        <w:t xml:space="preserve"> </w:t>
      </w:r>
      <m:oMath>
        <m:sSub>
          <m:e>
            <m:r>
              <m:t>Q</m:t>
            </m:r>
          </m:e>
          <m:sub>
            <m:r>
              <m:t>D</m:t>
            </m:r>
          </m:sub>
        </m:sSub>
        <m:r>
          <m:rPr>
            <m:sty m:val="p"/>
          </m:rPr>
          <m:t>(</m:t>
        </m:r>
        <m:acc>
          <m:accPr>
            <m:chr m:val="‾"/>
          </m:accPr>
          <m:e>
            <m:r>
              <m:t>p</m:t>
            </m:r>
          </m:e>
        </m:acc>
        <m:r>
          <m:rPr>
            <m:sty m:val="p"/>
          </m:rPr>
          <m:t>)</m:t>
        </m:r>
        <m:r>
          <m:rPr>
            <m:sty m:val="p"/>
          </m:rPr>
          <m:t>&gt;</m:t>
        </m:r>
        <m:sSub>
          <m:e>
            <m:r>
              <m:t>Q</m:t>
            </m:r>
          </m:e>
          <m:sub>
            <m:r>
              <m:t>S</m:t>
            </m:r>
          </m:sub>
        </m:sSub>
        <m:r>
          <m:rPr>
            <m:sty m:val="p"/>
          </m:rPr>
          <m:t>(</m:t>
        </m:r>
        <m:acc>
          <m:accPr>
            <m:chr m:val="‾"/>
          </m:accPr>
          <m:e>
            <m:r>
              <m:t>p</m:t>
            </m:r>
          </m:e>
        </m:acc>
        <m:r>
          <m:rPr>
            <m:sty m:val="p"/>
          </m:rPr>
          <m:t>)</m:t>
        </m:r>
      </m:oMath>
      <w:r>
        <w:t xml:space="preserve">.</w:t>
      </w:r>
    </w:p>
    <w:p>
      <w:pPr>
        <w:pStyle w:val="Compact"/>
        <w:numPr>
          <w:ilvl w:val="0"/>
          <w:numId w:val="1789"/>
        </w:numPr>
      </w:pPr>
      <w:r>
        <w:rPr>
          <w:b/>
          <w:bCs/>
        </w:rPr>
        <w:t xml:space="preserve">Racionamento</w:t>
      </w:r>
      <w:r>
        <w:t xml:space="preserve">: como a quantidade ofertada é menor que a demandada, algum mecanismo não-preço seleciona os compradores — filas, relações pessoais, mercado negro, sorteio, ou simples sorte.</w:t>
      </w:r>
    </w:p>
    <w:p>
      <w:pPr>
        <w:pStyle w:val="Compact"/>
        <w:numPr>
          <w:ilvl w:val="0"/>
          <w:numId w:val="1789"/>
        </w:numPr>
      </w:pPr>
      <w:r>
        <w:rPr>
          <w:b/>
          <w:bCs/>
        </w:rPr>
        <w:t xml:space="preserve">Perda de peso morto</w:t>
      </w:r>
      <w:r>
        <w:t xml:space="preserve">: transações mutuamente benéficas deixam de ocorrer.</w:t>
      </w:r>
    </w:p>
    <w:p>
      <w:pPr>
        <w:pStyle w:val="FirstParagraph"/>
      </w:pPr>
      <m:oMathPara>
        <m:oMathParaPr>
          <m:jc m:val="center"/>
        </m:oMathParaPr>
        <m:oMath>
          <m:r>
            <m:t>P</m:t>
          </m:r>
          <m:r>
            <m:t>P</m:t>
          </m:r>
          <m:sSub>
            <m:e>
              <m:r>
                <m:t>M</m:t>
              </m:r>
            </m:e>
            <m:sub>
              <m:r>
                <m:rPr>
                  <m:nor/>
                  <m:sty m:val="p"/>
                </m:rPr>
                <m:t>teto</m:t>
              </m:r>
            </m:sub>
          </m:sSub>
          <m:r>
            <m:rPr>
              <m:sty m:val="p"/>
            </m:rPr>
            <m:t>=</m:t>
          </m:r>
          <m:nary>
            <m:naryPr>
              <m:chr m:val="∫"/>
              <m:limLoc m:val="subSup"/>
              <m:subHide m:val="off"/>
              <m:supHide m:val="off"/>
            </m:naryPr>
            <m:sub>
              <m:sSub>
                <m:e>
                  <m:r>
                    <m:t>Q</m:t>
                  </m:r>
                </m:e>
                <m:sub>
                  <m:r>
                    <m:t>S</m:t>
                  </m:r>
                </m:sub>
              </m:sSub>
              <m:r>
                <m:rPr>
                  <m:sty m:val="p"/>
                </m:rPr>
                <m:t>(</m:t>
              </m:r>
              <m:acc>
                <m:accPr>
                  <m:chr m:val="‾"/>
                </m:accPr>
                <m:e>
                  <m:r>
                    <m:t>p</m:t>
                  </m:r>
                </m:e>
              </m:acc>
              <m:r>
                <m:rPr>
                  <m:sty m:val="p"/>
                </m:rPr>
                <m:t>)</m:t>
              </m:r>
            </m:sub>
            <m:sup>
              <m:sSup>
                <m:e>
                  <m:r>
                    <m:t>Q</m:t>
                  </m:r>
                </m:e>
                <m:sup>
                  <m:r>
                    <m:rPr>
                      <m:sty m:val="p"/>
                    </m:rPr>
                    <m:t>*</m:t>
                  </m:r>
                </m:sup>
              </m:sSup>
            </m:sup>
            <m:e>
              <m:d>
                <m:dPr>
                  <m:begChr m:val="["/>
                  <m:sepChr m:val=""/>
                  <m:endChr m:val="]"/>
                  <m:grow/>
                </m:dPr>
                <m:e>
                  <m:sSup>
                    <m:e>
                      <m:r>
                        <m:t>p</m:t>
                      </m:r>
                    </m:e>
                    <m:sup>
                      <m:r>
                        <m:t>d</m:t>
                      </m:r>
                    </m:sup>
                  </m:sSup>
                  <m:r>
                    <m:rPr>
                      <m:sty m:val="p"/>
                    </m:rPr>
                    <m:t>(</m:t>
                  </m:r>
                  <m:r>
                    <m:t>Q</m:t>
                  </m:r>
                  <m:r>
                    <m:rPr>
                      <m:sty m:val="p"/>
                    </m:rPr>
                    <m:t>)</m:t>
                  </m:r>
                  <m:r>
                    <m:rPr>
                      <m:sty m:val="p"/>
                    </m:rPr>
                    <m:t>−</m:t>
                  </m:r>
                  <m:sSup>
                    <m:e>
                      <m:r>
                        <m:t>p</m:t>
                      </m:r>
                    </m:e>
                    <m:sup>
                      <m:r>
                        <m:t>s</m:t>
                      </m:r>
                    </m:sup>
                  </m:sSup>
                  <m:r>
                    <m:rPr>
                      <m:sty m:val="p"/>
                    </m:rPr>
                    <m:t>(</m:t>
                  </m:r>
                  <m:r>
                    <m:t>Q</m:t>
                  </m:r>
                  <m:r>
                    <m:rPr>
                      <m:sty m:val="p"/>
                    </m:rPr>
                    <m:t>)</m:t>
                  </m:r>
                </m:e>
              </m:d>
            </m:e>
          </m:nary>
          <m:r>
            <m:t>d</m:t>
          </m:r>
          <m:r>
            <m:t>Q</m:t>
          </m:r>
        </m:oMath>
      </m:oMathPara>
    </w:p>
    <w:p>
      <w:pPr>
        <w:pStyle w:val="FirstParagraph"/>
      </w:pPr>
      <w:r>
        <w:t xml:space="preserve">O teto transfere parte do excedente do produtor para os consumidores que conseguem comprar (o retângulo entre</w:t>
      </w:r>
      <w:r>
        <w:t xml:space="preserve"> </w:t>
      </w:r>
      <m:oMath>
        <m:sSup>
          <m:e>
            <m:r>
              <m:t>p</m:t>
            </m:r>
          </m:e>
          <m:sup>
            <m:r>
              <m:rPr>
                <m:sty m:val="p"/>
              </m:rPr>
              <m:t>*</m:t>
            </m:r>
          </m:sup>
        </m:sSup>
      </m:oMath>
      <w:r>
        <w:t xml:space="preserve"> </w:t>
      </w:r>
      <w:r>
        <w:t xml:space="preserve">e</w:t>
      </w:r>
      <w:r>
        <w:t xml:space="preserve"> </w:t>
      </w:r>
      <m:oMath>
        <m:acc>
          <m:accPr>
            <m:chr m:val="‾"/>
          </m:accPr>
          <m:e>
            <m:r>
              <m:t>p</m:t>
            </m:r>
          </m:e>
        </m:acc>
      </m:oMath>
      <w:r>
        <w:t xml:space="preserve"> </w:t>
      </w:r>
      <w:r>
        <w:t xml:space="preserve">sobre a quantidade transacionada), mas destrói excedente líquido (o triângulo de PPM). Além disso, os consumidores que</w:t>
      </w:r>
      <w:r>
        <w:t xml:space="preserve"> </w:t>
      </w:r>
      <w:r>
        <w:rPr>
          <w:i/>
          <w:iCs/>
        </w:rPr>
        <w:t xml:space="preserve">não</w:t>
      </w:r>
      <w:r>
        <w:t xml:space="preserve"> </w:t>
      </w:r>
      <w:r>
        <w:t xml:space="preserve">conseguem comprar — os racionados — ficam piores do que no equilíbrio livre.</w:t>
      </w:r>
    </w:p>
    <w:p>
      <w:pPr>
        <w:pStyle w:val="BlockText"/>
      </w:pPr>
      <w:r>
        <w:rPr>
          <w:b/>
          <w:bCs/>
        </w:rPr>
        <w:t xml:space="preserve">[BOX BRASIL] Box Brasil 13.3 — Controle de aluguéis no Brasil</w:t>
      </w:r>
    </w:p>
    <w:p>
      <w:pPr>
        <w:pStyle w:val="BlockText"/>
      </w:pPr>
      <w:r>
        <w:t xml:space="preserve">O Brasil tem uma longa história de intervenções no mercado de aluguéis. A Lei do Inquilinato (Lei 8.245/1991) não impõe tetos de preço diretos, mas regula os reajustes (tipicamente vinculados ao IGP-M ou IPCA). Em períodos de inflação alta ou divergência entre índices, essas regras funcionam como tetos implícitos.</w:t>
      </w:r>
    </w:p>
    <w:p>
      <w:pPr>
        <w:pStyle w:val="BlockText"/>
      </w:pPr>
      <w:r>
        <w:t xml:space="preserve">Nos anos 1940–1960, o Brasil teve controles de aluguel explícitos, com resultados previsíveis pela teoria: deterioração dos imóveis (proprietários sem incentivo para manter), escassez de oferta (menos construção para aluguel), e mercado negro de</w:t>
      </w:r>
      <w:r>
        <w:t xml:space="preserve"> </w:t>
      </w:r>
      <w:r>
        <w:t xml:space="preserve">“luvas”</w:t>
      </w:r>
      <w:r>
        <w:t xml:space="preserve"> </w:t>
      </w:r>
      <w:r>
        <w:t xml:space="preserve">(pagamentos extras por fora). A experiência brasileira é consistente com a vasta evidência internacional sobre controles de aluguel — de Nova York a Estocolmo — documentada por Arnott (1995) e Diamond et al. (2019).</w:t>
      </w:r>
    </w:p>
    <w:bookmarkEnd w:id="822"/>
    <w:bookmarkStart w:id="823" w:name="preço-mínimo-piso-de-preço"/>
    <w:p>
      <w:pPr>
        <w:pStyle w:val="Heading4"/>
      </w:pPr>
      <w:r>
        <w:t xml:space="preserve">Preço mínimo (piso de preço)</w:t>
      </w:r>
    </w:p>
    <w:p>
      <w:pPr>
        <w:pStyle w:val="FirstParagraph"/>
      </w:pPr>
      <w:r>
        <w:t xml:space="preserve">Um</w:t>
      </w:r>
      <w:r>
        <w:t xml:space="preserve"> </w:t>
      </w:r>
      <w:r>
        <w:rPr>
          <w:b/>
          <w:bCs/>
        </w:rPr>
        <w:t xml:space="preserve">preço mínimo</w:t>
      </w:r>
      <w:r>
        <w:t xml:space="preserve"> </w:t>
      </w:r>
      <m:oMath>
        <m:bar>
          <m:barPr>
            <m:pos m:val="bot"/>
          </m:barPr>
          <m:e>
            <m:r>
              <m:t>p</m:t>
            </m:r>
          </m:e>
        </m:bar>
      </m:oMath>
      <w:r>
        <w:t xml:space="preserve"> </w:t>
      </w:r>
      <w:r>
        <w:t xml:space="preserve">é um limite inferior: nenhum comprador pode pagar menos do que</w:t>
      </w:r>
      <w:r>
        <w:t xml:space="preserve"> </w:t>
      </w:r>
      <m:oMath>
        <m:bar>
          <m:barPr>
            <m:pos m:val="bot"/>
          </m:barPr>
          <m:e>
            <m:r>
              <m:t>p</m:t>
            </m:r>
          </m:e>
        </m:bar>
      </m:oMath>
      <w:r>
        <w:t xml:space="preserve">. Se</w:t>
      </w:r>
      <w:r>
        <w:t xml:space="preserve"> </w:t>
      </w:r>
      <m:oMath>
        <m:bar>
          <m:barPr>
            <m:pos m:val="bot"/>
          </m:barPr>
          <m:e>
            <m:r>
              <m:t>p</m:t>
            </m:r>
          </m:e>
        </m:bar>
        <m:r>
          <m:rPr>
            <m:sty m:val="p"/>
          </m:rPr>
          <m:t>&gt;</m:t>
        </m:r>
        <m:sSup>
          <m:e>
            <m:r>
              <m:t>p</m:t>
            </m:r>
          </m:e>
          <m:sup>
            <m:r>
              <m:rPr>
                <m:sty m:val="p"/>
              </m:rPr>
              <m:t>*</m:t>
            </m:r>
          </m:sup>
        </m:sSup>
      </m:oMath>
      <w:r>
        <w:t xml:space="preserve">, o piso é efetivo e gera:</w:t>
      </w:r>
    </w:p>
    <w:p>
      <w:pPr>
        <w:pStyle w:val="Compact"/>
        <w:numPr>
          <w:ilvl w:val="0"/>
          <w:numId w:val="1790"/>
        </w:numPr>
      </w:pPr>
      <w:r>
        <w:rPr>
          <w:b/>
          <w:bCs/>
        </w:rPr>
        <w:t xml:space="preserve">Excesso de oferta</w:t>
      </w:r>
      <w:r>
        <w:t xml:space="preserve"> </w:t>
      </w:r>
      <w:r>
        <w:t xml:space="preserve">(excedente não vendido):</w:t>
      </w:r>
      <w:r>
        <w:t xml:space="preserve"> </w:t>
      </w:r>
      <m:oMath>
        <m:sSub>
          <m:e>
            <m:r>
              <m:t>Q</m:t>
            </m:r>
          </m:e>
          <m:sub>
            <m:r>
              <m:t>S</m:t>
            </m:r>
          </m:sub>
        </m:sSub>
        <m:r>
          <m:rPr>
            <m:sty m:val="p"/>
          </m:rPr>
          <m:t>(</m:t>
        </m:r>
        <m:bar>
          <m:barPr>
            <m:pos m:val="bot"/>
          </m:barPr>
          <m:e>
            <m:r>
              <m:t>p</m:t>
            </m:r>
          </m:e>
        </m:bar>
        <m:r>
          <m:rPr>
            <m:sty m:val="p"/>
          </m:rPr>
          <m:t>)</m:t>
        </m:r>
        <m:r>
          <m:rPr>
            <m:sty m:val="p"/>
          </m:rPr>
          <m:t>&gt;</m:t>
        </m:r>
        <m:sSub>
          <m:e>
            <m:r>
              <m:t>Q</m:t>
            </m:r>
          </m:e>
          <m:sub>
            <m:r>
              <m:t>D</m:t>
            </m:r>
          </m:sub>
        </m:sSub>
        <m:r>
          <m:rPr>
            <m:sty m:val="p"/>
          </m:rPr>
          <m:t>(</m:t>
        </m:r>
        <m:bar>
          <m:barPr>
            <m:pos m:val="bot"/>
          </m:barPr>
          <m:e>
            <m:r>
              <m:t>p</m:t>
            </m:r>
          </m:e>
        </m:bar>
        <m:r>
          <m:rPr>
            <m:sty m:val="p"/>
          </m:rPr>
          <m:t>)</m:t>
        </m:r>
      </m:oMath>
      <w:r>
        <w:t xml:space="preserve">.</w:t>
      </w:r>
    </w:p>
    <w:p>
      <w:pPr>
        <w:pStyle w:val="Compact"/>
        <w:numPr>
          <w:ilvl w:val="0"/>
          <w:numId w:val="1790"/>
        </w:numPr>
      </w:pPr>
      <w:r>
        <w:rPr>
          <w:b/>
          <w:bCs/>
        </w:rPr>
        <w:t xml:space="preserve">Desperdício ou estoques</w:t>
      </w:r>
      <w:r>
        <w:t xml:space="preserve">: a produção excedente precisa ser armazenada, destruída ou exportada a preços mais baixos.</w:t>
      </w:r>
    </w:p>
    <w:p>
      <w:pPr>
        <w:pStyle w:val="Compact"/>
        <w:numPr>
          <w:ilvl w:val="0"/>
          <w:numId w:val="1790"/>
        </w:numPr>
      </w:pPr>
      <w:r>
        <w:rPr>
          <w:b/>
          <w:bCs/>
        </w:rPr>
        <w:t xml:space="preserve">Perda de peso morto</w:t>
      </w:r>
      <w:r>
        <w:t xml:space="preserve">: análoga à do teto, mas</w:t>
      </w:r>
      <w:r>
        <w:t xml:space="preserve"> </w:t>
      </w:r>
      <w:r>
        <w:t xml:space="preserve">“pelo outro lado”</w:t>
      </w:r>
      <w:r>
        <w:t xml:space="preserve"> </w:t>
      </w:r>
      <w:r>
        <w:t xml:space="preserve">do equilíbrio.</w:t>
      </w:r>
    </w:p>
    <w:p>
      <w:pPr>
        <w:pStyle w:val="FirstParagraph"/>
      </w:pPr>
      <w:r>
        <w:t xml:space="preserve">O exemplo clássico é o</w:t>
      </w:r>
      <w:r>
        <w:t xml:space="preserve"> </w:t>
      </w:r>
      <w:r>
        <w:rPr>
          <w:b/>
          <w:bCs/>
        </w:rPr>
        <w:t xml:space="preserve">salário mínimo</w:t>
      </w:r>
      <w:r>
        <w:t xml:space="preserve"> </w:t>
      </w:r>
      <w:r>
        <w:t xml:space="preserve">no mercado de trabalho: se fixado acima do salário de equilíbrio, gera desemprego (excesso de oferta de trabalho). No agronegócio brasileiro, a</w:t>
      </w:r>
      <w:r>
        <w:t xml:space="preserve"> </w:t>
      </w:r>
      <w:r>
        <w:rPr>
          <w:b/>
          <w:bCs/>
        </w:rPr>
        <w:t xml:space="preserve">Política de Garantia de Preços Mínimos</w:t>
      </w:r>
      <w:r>
        <w:t xml:space="preserve"> </w:t>
      </w:r>
      <w:r>
        <w:t xml:space="preserve">(PGPM) da CONAB funciona como piso de preço para commodities agrícolas. Quando o preço de mercado cai abaixo do mínimo, o governo compra o excedente (Aquisições do Governo Federal — AGF) ou paga a diferença ao produtor (Prêmio para Escoamento de Produto — PEP).</w:t>
      </w:r>
    </w:p>
    <w:p>
      <w:pPr>
        <w:pStyle w:val="BodyText"/>
      </w:pPr>
      <w:r>
        <w:t xml:space="preserve">[FIGURA INTERATIVA: /micro-book/graficos/cap13/controles-precos.html — versao interativa disponivel online]</w:t>
      </w:r>
    </w:p>
    <w:p>
      <w:pPr>
        <w:pStyle w:val="BodyText"/>
      </w:pPr>
      <w:r>
        <w:rPr>
          <w:b/>
          <w:bCs/>
        </w:rPr>
        <w:t xml:space="preserve">Figura 13.3 — Controles de preços: teto e piso.</w:t>
      </w:r>
      <w:r>
        <w:t xml:space="preserve"> </w:t>
      </w:r>
      <w:r>
        <w:t xml:space="preserve">Compare os efeitos de preços máximos e mínimos sobre a quantidade transacionada, os excedentes e a perda de peso morto. Ajuste o nível do controle para observar como a distorção varia com a distância ao equilíbrio.</w:t>
      </w:r>
    </w:p>
    <w:p>
      <w:r>
        <w:pict>
          <v:rect style="width:0;height:1.5pt" o:hralign="center" o:hrstd="t" o:hr="t"/>
        </w:pict>
      </w:r>
    </w:p>
    <w:bookmarkEnd w:id="823"/>
    <w:bookmarkEnd w:id="824"/>
    <w:bookmarkStart w:id="828" w:name="X04cef8bcda23730df21feda765b26cd969af88e"/>
    <w:p>
      <w:pPr>
        <w:pStyle w:val="Heading3"/>
      </w:pPr>
      <w:r>
        <w:t xml:space="preserve">13.11 O Imposto Não Cai Onde Você Pensa: Incidência Tributária</w:t>
      </w:r>
    </w:p>
    <w:p>
      <w:pPr>
        <w:pStyle w:val="FirstParagraph"/>
      </w:pPr>
      <w:r>
        <w:t xml:space="preserve">Se controles de preços são intervenções</w:t>
      </w:r>
      <w:r>
        <w:t xml:space="preserve"> </w:t>
      </w:r>
      <w:r>
        <w:t xml:space="preserve">“brutas”</w:t>
      </w:r>
      <w:r>
        <w:t xml:space="preserve">, impostos são instrumentos mais sutis — mas não menos interessantes para o economista. A questão central da</w:t>
      </w:r>
      <w:r>
        <w:t xml:space="preserve"> </w:t>
      </w:r>
      <w:r>
        <w:rPr>
          <w:b/>
          <w:bCs/>
        </w:rPr>
        <w:t xml:space="preserve">incidência tributária</w:t>
      </w:r>
      <w:r>
        <w:t xml:space="preserve"> </w:t>
      </w:r>
      <w:r>
        <w:t xml:space="preserve">é: quem realmente paga o imposto? A resposta, como veremos, raramente coincide com o que a legislação determina.</w:t>
      </w:r>
    </w:p>
    <w:bookmarkStart w:id="825" w:name="Xe993a08455fa80d99c8df58c10cef8720cafa68"/>
    <w:p>
      <w:pPr>
        <w:pStyle w:val="Heading4"/>
      </w:pPr>
      <w:r>
        <w:t xml:space="preserve">Imposto específico: incidência legal versus econômica</w:t>
      </w:r>
    </w:p>
    <w:p>
      <w:pPr>
        <w:pStyle w:val="FirstParagraph"/>
      </w:pPr>
      <w:r>
        <w:t xml:space="preserve">Considere um imposto específico de</w:t>
      </w:r>
      <w:r>
        <w:t xml:space="preserve"> </w:t>
      </w:r>
      <m:oMath>
        <m:r>
          <m:t>t</m:t>
        </m:r>
      </m:oMath>
      <w:r>
        <w:t xml:space="preserve"> </w:t>
      </w:r>
      <w:r>
        <w:t xml:space="preserve">reais por unidade vendida. Se o imposto é cobrado do vendedor (incidência legal sobre o produtor), a curva de oferta se desloca para cima em</w:t>
      </w:r>
      <w:r>
        <w:t xml:space="preserve"> </w:t>
      </w:r>
      <m:oMath>
        <m:r>
          <m:t>t</m:t>
        </m:r>
      </m:oMath>
      <w:r>
        <w:t xml:space="preserve">: o vendedor agora precisa de um preço</w:t>
      </w:r>
      <w:r>
        <w:t xml:space="preserve"> </w:t>
      </w:r>
      <m:oMath>
        <m:r>
          <m:t>t</m:t>
        </m:r>
      </m:oMath>
      <w:r>
        <w:t xml:space="preserve"> </w:t>
      </w:r>
      <w:r>
        <w:t xml:space="preserve">reais maior para cobrir o custo + imposto. Se cobrado do comprador, a curva de demanda se desloca para baixo em</w:t>
      </w:r>
      <w:r>
        <w:t xml:space="preserve"> </w:t>
      </w:r>
      <m:oMath>
        <m:r>
          <m:t>t</m:t>
        </m:r>
      </m:oMath>
      <w:r>
        <w:t xml:space="preserve">.</w:t>
      </w:r>
    </w:p>
    <w:p>
      <w:pPr>
        <w:pStyle w:val="BodyText"/>
      </w:pPr>
      <w:r>
        <w:rPr>
          <w:b/>
          <w:bCs/>
        </w:rPr>
        <w:t xml:space="preserve">Resultado fundamental:</w:t>
      </w:r>
      <w:r>
        <w:t xml:space="preserve"> </w:t>
      </w:r>
      <w:r>
        <w:t xml:space="preserve">O equilíbrio final — preço pago pelo consumidor (</w:t>
      </w:r>
      <m:oMath>
        <m:sSub>
          <m:e>
            <m:r>
              <m:t>p</m:t>
            </m:r>
          </m:e>
          <m:sub>
            <m:r>
              <m:t>c</m:t>
            </m:r>
          </m:sub>
        </m:sSub>
      </m:oMath>
      <w:r>
        <w:t xml:space="preserve">), preço recebido pelo produtor (</w:t>
      </w:r>
      <m:oMath>
        <m:sSub>
          <m:e>
            <m:r>
              <m:t>p</m:t>
            </m:r>
          </m:e>
          <m:sub>
            <m:r>
              <m:t>p</m:t>
            </m:r>
          </m:sub>
        </m:sSub>
        <m:r>
          <m:rPr>
            <m:sty m:val="p"/>
          </m:rPr>
          <m:t>=</m:t>
        </m:r>
        <m:sSub>
          <m:e>
            <m:r>
              <m:t>p</m:t>
            </m:r>
          </m:e>
          <m:sub>
            <m:r>
              <m:t>c</m:t>
            </m:r>
          </m:sub>
        </m:sSub>
        <m:r>
          <m:rPr>
            <m:sty m:val="p"/>
          </m:rPr>
          <m:t>−</m:t>
        </m:r>
        <m:r>
          <m:t>t</m:t>
        </m:r>
      </m:oMath>
      <w:r>
        <w:t xml:space="preserve">) e quantidade transacionada — é</w:t>
      </w:r>
      <w:r>
        <w:t xml:space="preserve"> </w:t>
      </w:r>
      <w:r>
        <w:rPr>
          <w:b/>
          <w:bCs/>
        </w:rPr>
        <w:t xml:space="preserve">o mesmo</w:t>
      </w:r>
      <w:r>
        <w:t xml:space="preserve"> </w:t>
      </w:r>
      <w:r>
        <w:t xml:space="preserve">independentemente de quem legalmente recolhe o imposto.</w:t>
      </w:r>
    </w:p>
    <w:p>
      <w:pPr>
        <w:pStyle w:val="BodyText"/>
      </w:pPr>
      <m:oMathPara>
        <m:oMathParaPr>
          <m:jc m:val="center"/>
        </m:oMathParaPr>
        <m:oMath>
          <m:sSub>
            <m:e>
              <m:r>
                <m:t>p</m:t>
              </m:r>
            </m:e>
            <m:sub>
              <m:r>
                <m:t>c</m:t>
              </m:r>
            </m:sub>
          </m:sSub>
          <m:r>
            <m:rPr>
              <m:sty m:val="p"/>
            </m:rPr>
            <m:t>−</m:t>
          </m:r>
          <m:sSub>
            <m:e>
              <m:r>
                <m:t>p</m:t>
              </m:r>
            </m:e>
            <m:sub>
              <m:r>
                <m:t>p</m:t>
              </m:r>
            </m:sub>
          </m:sSub>
          <m:r>
            <m:rPr>
              <m:sty m:val="p"/>
            </m:rPr>
            <m:t>=</m:t>
          </m:r>
          <m:r>
            <m:t>t</m:t>
          </m:r>
        </m:oMath>
      </m:oMathPara>
    </w:p>
    <w:p>
      <w:pPr>
        <w:pStyle w:val="FirstParagraph"/>
      </w:pPr>
      <w:r>
        <w:t xml:space="preserve">A divisão da carga tributária entre consumidores e produtores depende exclusivamente das</w:t>
      </w:r>
      <w:r>
        <w:t xml:space="preserve"> </w:t>
      </w:r>
      <w:r>
        <w:rPr>
          <w:b/>
          <w:bCs/>
        </w:rPr>
        <w:t xml:space="preserve">elasticidades relativas</w:t>
      </w:r>
      <w:r>
        <w:t xml:space="preserve">:</w:t>
      </w:r>
    </w:p>
    <w:p>
      <w:pPr>
        <w:pStyle w:val="BodyText"/>
      </w:pPr>
      <m:oMathPara>
        <m:oMathParaPr>
          <m:jc m:val="center"/>
        </m:oMathParaPr>
        <m:oMath>
          <m:f>
            <m:fPr>
              <m:type m:val="bar"/>
            </m:fPr>
            <m:num>
              <m:r>
                <m:rPr>
                  <m:sty m:val="p"/>
                </m:rPr>
                <m:t>Δ</m:t>
              </m:r>
              <m:sSub>
                <m:e>
                  <m:r>
                    <m:t>p</m:t>
                  </m:r>
                </m:e>
                <m:sub>
                  <m:r>
                    <m:t>c</m:t>
                  </m:r>
                </m:sub>
              </m:sSub>
            </m:num>
            <m:den>
              <m:r>
                <m:rPr>
                  <m:sty m:val="p"/>
                </m:rPr>
                <m:t>Δ</m:t>
              </m:r>
              <m:sSub>
                <m:e>
                  <m:r>
                    <m:t>p</m:t>
                  </m:r>
                </m:e>
                <m:sub>
                  <m:r>
                    <m:t>p</m:t>
                  </m:r>
                </m:sub>
              </m:sSub>
            </m:den>
          </m:f>
          <m:r>
            <m:rPr>
              <m:sty m:val="p"/>
            </m:rPr>
            <m:t>=</m:t>
          </m:r>
          <m:f>
            <m:fPr>
              <m:type m:val="bar"/>
            </m:fPr>
            <m:num>
              <m:sSub>
                <m:e>
                  <m:r>
                    <m:t>ε</m:t>
                  </m:r>
                </m:e>
                <m:sub>
                  <m:r>
                    <m:t>S</m:t>
                  </m:r>
                </m:sub>
              </m:sSub>
            </m:num>
            <m:den>
              <m:r>
                <m:rPr>
                  <m:sty m:val="p"/>
                </m:rPr>
                <m:t>|</m:t>
              </m:r>
              <m:sSub>
                <m:e>
                  <m:r>
                    <m:t>ε</m:t>
                  </m:r>
                </m:e>
                <m:sub>
                  <m:r>
                    <m:t>D</m:t>
                  </m:r>
                </m:sub>
              </m:sSub>
              <m:r>
                <m:rPr>
                  <m:sty m:val="p"/>
                </m:rPr>
                <m:t>|</m:t>
              </m:r>
            </m:den>
          </m:f>
        </m:oMath>
      </m:oMathPara>
    </w:p>
    <w:p>
      <w:pPr>
        <w:pStyle w:val="BlockText"/>
      </w:pPr>
      <w:r>
        <w:rPr>
          <w:b/>
          <w:bCs/>
        </w:rPr>
        <w:t xml:space="preserve">[DEFINICAO] Incidência tributária</w:t>
      </w:r>
    </w:p>
    <w:p>
      <w:pPr>
        <w:pStyle w:val="BlockText"/>
      </w:pPr>
      <w:r>
        <w:t xml:space="preserve">A</w:t>
      </w:r>
      <w:r>
        <w:t xml:space="preserve"> </w:t>
      </w:r>
      <w:r>
        <w:rPr>
          <w:b/>
          <w:bCs/>
        </w:rPr>
        <w:t xml:space="preserve">incidência legal</w:t>
      </w:r>
      <w:r>
        <w:t xml:space="preserve"> </w:t>
      </w:r>
      <w:r>
        <w:t xml:space="preserve">de um imposto é quem a lei obriga a recolher. A</w:t>
      </w:r>
      <w:r>
        <w:t xml:space="preserve"> </w:t>
      </w:r>
      <w:r>
        <w:rPr>
          <w:b/>
          <w:bCs/>
        </w:rPr>
        <w:t xml:space="preserve">incidência econômica</w:t>
      </w:r>
      <w:r>
        <w:t xml:space="preserve"> </w:t>
      </w:r>
      <w:r>
        <w:t xml:space="preserve">é quem efetivamente arca com a carga (via variação de preço). A equação Eq. (eq:13.14) mostra que:</w:t>
      </w:r>
    </w:p>
    <w:p>
      <w:pPr>
        <w:pStyle w:val="Compact"/>
        <w:numPr>
          <w:ilvl w:val="0"/>
          <w:numId w:val="1791"/>
        </w:numPr>
      </w:pPr>
      <w:r>
        <w:t xml:space="preserve">Se a demanda é relativamente mais inelástica (</w:t>
      </w:r>
      <m:oMath>
        <m:r>
          <m:rPr>
            <m:sty m:val="p"/>
          </m:rPr>
          <m:t>|</m:t>
        </m:r>
        <m:sSub>
          <m:e>
            <m:r>
              <m:t>ε</m:t>
            </m:r>
          </m:e>
          <m:sub>
            <m:r>
              <m:t>D</m:t>
            </m:r>
          </m:sub>
        </m:sSub>
        <m:r>
          <m:rPr>
            <m:sty m:val="p"/>
          </m:rPr>
          <m:t>|</m:t>
        </m:r>
        <m:r>
          <m:rPr>
            <m:sty m:val="p"/>
          </m:rPr>
          <m:t>&lt;</m:t>
        </m:r>
        <m:sSub>
          <m:e>
            <m:r>
              <m:t>ε</m:t>
            </m:r>
          </m:e>
          <m:sub>
            <m:r>
              <m:t>S</m:t>
            </m:r>
          </m:sub>
        </m:sSub>
      </m:oMath>
      <w:r>
        <w:t xml:space="preserve">):</w:t>
      </w:r>
      <w:r>
        <w:t xml:space="preserve"> </w:t>
      </w:r>
      <w:r>
        <w:rPr>
          <w:b/>
          <w:bCs/>
        </w:rPr>
        <w:t xml:space="preserve">consumidores arcam com a maior parte</w:t>
      </w:r>
      <w:r>
        <w:t xml:space="preserve">.</w:t>
      </w:r>
    </w:p>
    <w:p>
      <w:pPr>
        <w:pStyle w:val="Compact"/>
        <w:numPr>
          <w:ilvl w:val="0"/>
          <w:numId w:val="1791"/>
        </w:numPr>
      </w:pPr>
      <w:r>
        <w:t xml:space="preserve">Se a oferta é relativamente mais inelástica (</w:t>
      </w:r>
      <m:oMath>
        <m:sSub>
          <m:e>
            <m:r>
              <m:t>ε</m:t>
            </m:r>
          </m:e>
          <m:sub>
            <m:r>
              <m:t>S</m:t>
            </m:r>
          </m:sub>
        </m:sSub>
        <m:r>
          <m:rPr>
            <m:sty m:val="p"/>
          </m:rPr>
          <m:t>&lt;</m:t>
        </m:r>
        <m:r>
          <m:rPr>
            <m:sty m:val="p"/>
          </m:rPr>
          <m:t>|</m:t>
        </m:r>
        <m:sSub>
          <m:e>
            <m:r>
              <m:t>ε</m:t>
            </m:r>
          </m:e>
          <m:sub>
            <m:r>
              <m:t>D</m:t>
            </m:r>
          </m:sub>
        </m:sSub>
        <m:r>
          <m:rPr>
            <m:sty m:val="p"/>
          </m:rPr>
          <m:t>|</m:t>
        </m:r>
      </m:oMath>
      <w:r>
        <w:t xml:space="preserve">):</w:t>
      </w:r>
      <w:r>
        <w:t xml:space="preserve"> </w:t>
      </w:r>
      <w:r>
        <w:rPr>
          <w:b/>
          <w:bCs/>
        </w:rPr>
        <w:t xml:space="preserve">produtores arcam com a maior parte</w:t>
      </w:r>
      <w:r>
        <w:t xml:space="preserve">.</w:t>
      </w:r>
    </w:p>
    <w:p>
      <w:pPr>
        <w:pStyle w:val="Compact"/>
        <w:numPr>
          <w:ilvl w:val="0"/>
          <w:numId w:val="1791"/>
        </w:numPr>
      </w:pPr>
      <w:r>
        <w:t xml:space="preserve">O lado mais inelástico do mercado — o que tem menos opções de fuga — absorve mais da carga.</w:t>
      </w:r>
    </w:p>
    <w:bookmarkEnd w:id="825"/>
    <w:bookmarkStart w:id="826" w:name="fórmulas-de-incidência"/>
    <w:p>
      <w:pPr>
        <w:pStyle w:val="Heading4"/>
      </w:pPr>
      <w:r>
        <w:t xml:space="preserve">Fórmulas de incidência</w:t>
      </w:r>
    </w:p>
    <w:p>
      <w:pPr>
        <w:pStyle w:val="FirstParagraph"/>
      </w:pPr>
      <w:r>
        <w:t xml:space="preserve">A fração do imposto arcada pelo consumidor é:</w:t>
      </w:r>
    </w:p>
    <w:p>
      <w:pPr>
        <w:pStyle w:val="BodyText"/>
      </w:pPr>
      <m:oMathPara>
        <m:oMathParaPr>
          <m:jc m:val="center"/>
        </m:oMathParaPr>
        <m:oMath>
          <m:sSub>
            <m:e>
              <m:r>
                <m:rPr>
                  <m:nor/>
                  <m:sty m:val="p"/>
                </m:rPr>
                <m:t>Fração</m:t>
              </m:r>
            </m:e>
            <m:sub>
              <m:r>
                <m:t>C</m:t>
              </m:r>
            </m:sub>
          </m:sSub>
          <m:r>
            <m:rPr>
              <m:sty m:val="p"/>
            </m:rPr>
            <m:t>=</m:t>
          </m:r>
          <m:f>
            <m:fPr>
              <m:type m:val="bar"/>
            </m:fPr>
            <m:num>
              <m:sSub>
                <m:e>
                  <m:r>
                    <m:t>ε</m:t>
                  </m:r>
                </m:e>
                <m:sub>
                  <m:r>
                    <m:t>S</m:t>
                  </m:r>
                </m:sub>
              </m:sSub>
            </m:num>
            <m:den>
              <m:sSub>
                <m:e>
                  <m:r>
                    <m:t>ε</m:t>
                  </m:r>
                </m:e>
                <m:sub>
                  <m:r>
                    <m:t>S</m:t>
                  </m:r>
                </m:sub>
              </m:sSub>
              <m:r>
                <m:rPr>
                  <m:sty m:val="p"/>
                </m:rPr>
                <m:t>+</m:t>
              </m:r>
              <m:r>
                <m:rPr>
                  <m:sty m:val="p"/>
                </m:rPr>
                <m:t>|</m:t>
              </m:r>
              <m:sSub>
                <m:e>
                  <m:r>
                    <m:t>ε</m:t>
                  </m:r>
                </m:e>
                <m:sub>
                  <m:r>
                    <m:t>D</m:t>
                  </m:r>
                </m:sub>
              </m:sSub>
              <m:r>
                <m:rPr>
                  <m:sty m:val="p"/>
                </m:rPr>
                <m:t>|</m:t>
              </m:r>
            </m:den>
          </m:f>
        </m:oMath>
      </m:oMathPara>
    </w:p>
    <w:p>
      <w:pPr>
        <w:pStyle w:val="FirstParagraph"/>
      </w:pPr>
      <w:r>
        <w:t xml:space="preserve">A fração arcada pelo produtor é:</w:t>
      </w:r>
    </w:p>
    <w:p>
      <w:pPr>
        <w:pStyle w:val="BodyText"/>
      </w:pPr>
      <m:oMathPara>
        <m:oMathParaPr>
          <m:jc m:val="center"/>
        </m:oMathParaPr>
        <m:oMath>
          <m:sSub>
            <m:e>
              <m:r>
                <m:rPr>
                  <m:nor/>
                  <m:sty m:val="p"/>
                </m:rPr>
                <m:t>Fração</m:t>
              </m:r>
            </m:e>
            <m:sub>
              <m:r>
                <m:t>P</m:t>
              </m:r>
            </m:sub>
          </m:sSub>
          <m:r>
            <m:rPr>
              <m:sty m:val="p"/>
            </m:rPr>
            <m:t>=</m:t>
          </m:r>
          <m:f>
            <m:fPr>
              <m:type m:val="bar"/>
            </m:fPr>
            <m:num>
              <m:r>
                <m:rPr>
                  <m:sty m:val="p"/>
                </m:rPr>
                <m:t>|</m:t>
              </m:r>
              <m:sSub>
                <m:e>
                  <m:r>
                    <m:t>ε</m:t>
                  </m:r>
                </m:e>
                <m:sub>
                  <m:r>
                    <m:t>D</m:t>
                  </m:r>
                </m:sub>
              </m:sSub>
              <m:r>
                <m:rPr>
                  <m:sty m:val="p"/>
                </m:rPr>
                <m:t>|</m:t>
              </m:r>
            </m:num>
            <m:den>
              <m:sSub>
                <m:e>
                  <m:r>
                    <m:t>ε</m:t>
                  </m:r>
                </m:e>
                <m:sub>
                  <m:r>
                    <m:t>S</m:t>
                  </m:r>
                </m:sub>
              </m:sSub>
              <m:r>
                <m:rPr>
                  <m:sty m:val="p"/>
                </m:rPr>
                <m:t>+</m:t>
              </m:r>
              <m:r>
                <m:rPr>
                  <m:sty m:val="p"/>
                </m:rPr>
                <m:t>|</m:t>
              </m:r>
              <m:sSub>
                <m:e>
                  <m:r>
                    <m:t>ε</m:t>
                  </m:r>
                </m:e>
                <m:sub>
                  <m:r>
                    <m:t>D</m:t>
                  </m:r>
                </m:sub>
              </m:sSub>
              <m:r>
                <m:rPr>
                  <m:sty m:val="p"/>
                </m:rPr>
                <m:t>|</m:t>
              </m:r>
            </m:den>
          </m:f>
        </m:oMath>
      </m:oMathPara>
    </w:p>
    <w:p>
      <w:pPr>
        <w:pStyle w:val="FirstParagraph"/>
      </w:pPr>
      <w:r>
        <w:t xml:space="preserve">Note que</w:t>
      </w:r>
      <w:r>
        <w:t xml:space="preserve"> </w:t>
      </w:r>
      <m:oMath>
        <m:sSub>
          <m:e>
            <m:r>
              <m:rPr>
                <m:nor/>
                <m:sty m:val="p"/>
              </m:rPr>
              <m:t>Fração</m:t>
            </m:r>
          </m:e>
          <m:sub>
            <m:r>
              <m:t>C</m:t>
            </m:r>
          </m:sub>
        </m:sSub>
        <m:r>
          <m:rPr>
            <m:sty m:val="p"/>
          </m:rPr>
          <m:t>+</m:t>
        </m:r>
        <m:sSub>
          <m:e>
            <m:r>
              <m:rPr>
                <m:nor/>
                <m:sty m:val="p"/>
              </m:rPr>
              <m:t>Fração</m:t>
            </m:r>
          </m:e>
          <m:sub>
            <m:r>
              <m:t>P</m:t>
            </m:r>
          </m:sub>
        </m:sSub>
        <m:r>
          <m:rPr>
            <m:sty m:val="p"/>
          </m:rPr>
          <m:t>=</m:t>
        </m:r>
        <m:r>
          <m:t>1</m:t>
        </m:r>
      </m:oMath>
      <w:r>
        <w:t xml:space="preserve">: o imposto é integralmente dividido entre os dois lados do mercado.</w:t>
      </w:r>
    </w:p>
    <w:p>
      <w:pPr>
        <w:pStyle w:val="BlockText"/>
      </w:pPr>
      <w:r>
        <w:rPr>
          <w:b/>
          <w:bCs/>
        </w:rPr>
        <w:t xml:space="preserve">[INTUICAO ECONOMICA] Intuição Econômica</w:t>
      </w:r>
    </w:p>
    <w:p>
      <w:pPr>
        <w:pStyle w:val="BlockText"/>
      </w:pPr>
      <w:r>
        <w:rPr>
          <w:b/>
          <w:bCs/>
        </w:rPr>
        <w:t xml:space="preserve">Em uma frase:</w:t>
      </w:r>
      <w:r>
        <w:t xml:space="preserve"> </w:t>
      </w:r>
      <w:r>
        <w:t xml:space="preserve">O imposto cai no colo de quem não pode fugir — e quem tem menos alternativas é quem tem demanda (ou oferta) mais inelástica.</w:t>
      </w:r>
    </w:p>
    <w:p>
      <w:pPr>
        <w:pStyle w:val="BlockText"/>
      </w:pPr>
      <w:r>
        <w:rPr>
          <w:b/>
          <w:bCs/>
        </w:rPr>
        <w:t xml:space="preserve">Pense assim:</w:t>
      </w:r>
      <w:r>
        <w:t xml:space="preserve"> </w:t>
      </w:r>
      <w:r>
        <w:t xml:space="preserve">Se você é o único posto de gasolina numa cidade do interior (oferta inelástica) e o governo tributa a gasolina, você absorve a maior parte — porque os consumidores simplesmente compram menos, e você não tem para quem mais vender. Mas se a cidade tem 10 postos (oferta elástica) e os moradores precisam de gasolina para ir ao trabalho (demanda inelástica), os consumidores é que pagam a conta.</w:t>
      </w:r>
    </w:p>
    <w:p>
      <w:pPr>
        <w:pStyle w:val="BlockText"/>
      </w:pPr>
      <w:r>
        <w:rPr>
          <w:b/>
          <w:bCs/>
        </w:rPr>
        <w:t xml:space="preserve">Por que isso importa:</w:t>
      </w:r>
      <w:r>
        <w:t xml:space="preserve"> </w:t>
      </w:r>
      <w:r>
        <w:t xml:space="preserve">A reforma tributária brasileira (EC 132/2023) substituiu cinco tributos sobre consumo (ICMS, ISS, PIS, Cofins, IPI) por dois (IBS e CBS). Mudar a forma do imposto não muda quem paga — muda a transparência, a simplicidade e a magnitude da distorção. A incidência econômica continua determinada pelas elasticidades.</w:t>
      </w:r>
    </w:p>
    <w:bookmarkEnd w:id="826"/>
    <w:bookmarkStart w:id="827" w:name="perda-de-peso-morto-do-imposto"/>
    <w:p>
      <w:pPr>
        <w:pStyle w:val="Heading4"/>
      </w:pPr>
      <w:r>
        <w:t xml:space="preserve">Perda de peso morto do imposto</w:t>
      </w:r>
    </w:p>
    <w:p>
      <w:pPr>
        <w:pStyle w:val="FirstParagraph"/>
      </w:pPr>
      <w:r>
        <w:t xml:space="preserve">O imposto reduz a quantidade transacionada de</w:t>
      </w:r>
      <w:r>
        <w:t xml:space="preserve"> </w:t>
      </w:r>
      <m:oMath>
        <m:sSup>
          <m:e>
            <m:r>
              <m:t>Q</m:t>
            </m:r>
          </m:e>
          <m:sup>
            <m:r>
              <m:rPr>
                <m:sty m:val="p"/>
              </m:rPr>
              <m:t>*</m:t>
            </m:r>
          </m:sup>
        </m:sSup>
      </m:oMath>
      <w:r>
        <w:t xml:space="preserve"> </w:t>
      </w:r>
      <w:r>
        <w:t xml:space="preserve">para</w:t>
      </w:r>
      <w:r>
        <w:t xml:space="preserve"> </w:t>
      </w:r>
      <m:oMath>
        <m:sSub>
          <m:e>
            <m:r>
              <m:t>Q</m:t>
            </m:r>
          </m:e>
          <m:sub>
            <m:r>
              <m:t>t</m:t>
            </m:r>
          </m:sub>
        </m:sSub>
      </m:oMath>
      <w:r>
        <w:t xml:space="preserve"> </w:t>
      </w:r>
      <w:r>
        <w:t xml:space="preserve">e gera uma perda de peso morto:</w:t>
      </w:r>
    </w:p>
    <w:p>
      <w:pPr>
        <w:pStyle w:val="BodyText"/>
      </w:pPr>
      <m:oMathPara>
        <m:oMathParaPr>
          <m:jc m:val="center"/>
        </m:oMathParaPr>
        <m:oMath>
          <m:r>
            <m:t>P</m:t>
          </m:r>
          <m:r>
            <m:t>P</m:t>
          </m:r>
          <m:r>
            <m:t>M</m:t>
          </m:r>
          <m:r>
            <m:rPr>
              <m:sty m:val="p"/>
            </m:rPr>
            <m:t>=</m:t>
          </m:r>
          <m:f>
            <m:fPr>
              <m:type m:val="bar"/>
            </m:fPr>
            <m:num>
              <m:r>
                <m:t>1</m:t>
              </m:r>
            </m:num>
            <m:den>
              <m:r>
                <m:t>2</m:t>
              </m:r>
            </m:den>
          </m:f>
          <m:r>
            <m:rPr>
              <m:sty m:val="p"/>
            </m:rPr>
            <m:t>⋅</m:t>
          </m:r>
          <m:r>
            <m:t>t</m:t>
          </m:r>
          <m:r>
            <m:rPr>
              <m:sty m:val="p"/>
            </m:rPr>
            <m:t>⋅</m:t>
          </m:r>
          <m:r>
            <m:rPr>
              <m:sty m:val="p"/>
            </m:rPr>
            <m:t>(</m:t>
          </m:r>
          <m:sSup>
            <m:e>
              <m:r>
                <m:t>Q</m:t>
              </m:r>
            </m:e>
            <m:sup>
              <m:r>
                <m:rPr>
                  <m:sty m:val="p"/>
                </m:rPr>
                <m:t>*</m:t>
              </m:r>
            </m:sup>
          </m:sSup>
          <m:r>
            <m:rPr>
              <m:sty m:val="p"/>
            </m:rPr>
            <m:t>−</m:t>
          </m:r>
          <m:sSub>
            <m:e>
              <m:r>
                <m:t>Q</m:t>
              </m:r>
            </m:e>
            <m:sub>
              <m:r>
                <m:t>t</m:t>
              </m:r>
            </m:sub>
          </m:sSub>
          <m:r>
            <m:rPr>
              <m:sty m:val="p"/>
            </m:rPr>
            <m:t>)</m:t>
          </m:r>
          <m:r>
            <m:rPr>
              <m:sty m:val="p"/>
            </m:rPr>
            <m:t>≈</m:t>
          </m:r>
          <m:f>
            <m:fPr>
              <m:type m:val="bar"/>
            </m:fPr>
            <m:num>
              <m:r>
                <m:t>1</m:t>
              </m:r>
            </m:num>
            <m:den>
              <m:r>
                <m:t>2</m:t>
              </m:r>
            </m:den>
          </m:f>
          <m:r>
            <m:rPr>
              <m:sty m:val="p"/>
            </m:rPr>
            <m:t>⋅</m:t>
          </m:r>
          <m:f>
            <m:fPr>
              <m:type m:val="bar"/>
            </m:fPr>
            <m:num>
              <m:r>
                <m:rPr>
                  <m:sty m:val="p"/>
                </m:rPr>
                <m:t>|</m:t>
              </m:r>
              <m:sSub>
                <m:e>
                  <m:r>
                    <m:t>ε</m:t>
                  </m:r>
                </m:e>
                <m:sub>
                  <m:r>
                    <m:t>D</m:t>
                  </m:r>
                </m:sub>
              </m:sSub>
              <m:r>
                <m:rPr>
                  <m:sty m:val="p"/>
                </m:rPr>
                <m:t>|</m:t>
              </m:r>
              <m:r>
                <m:rPr>
                  <m:sty m:val="p"/>
                </m:rPr>
                <m:t>⋅</m:t>
              </m:r>
              <m:sSub>
                <m:e>
                  <m:r>
                    <m:t>ε</m:t>
                  </m:r>
                </m:e>
                <m:sub>
                  <m:r>
                    <m:t>S</m:t>
                  </m:r>
                </m:sub>
              </m:sSub>
            </m:num>
            <m:den>
              <m:r>
                <m:rPr>
                  <m:sty m:val="p"/>
                </m:rPr>
                <m:t>|</m:t>
              </m:r>
              <m:sSub>
                <m:e>
                  <m:r>
                    <m:t>ε</m:t>
                  </m:r>
                </m:e>
                <m:sub>
                  <m:r>
                    <m:t>D</m:t>
                  </m:r>
                </m:sub>
              </m:sSub>
              <m:r>
                <m:rPr>
                  <m:sty m:val="p"/>
                </m:rPr>
                <m:t>|</m:t>
              </m:r>
              <m:r>
                <m:rPr>
                  <m:sty m:val="p"/>
                </m:rPr>
                <m:t>+</m:t>
              </m:r>
              <m:sSub>
                <m:e>
                  <m:r>
                    <m:t>ε</m:t>
                  </m:r>
                </m:e>
                <m:sub>
                  <m:r>
                    <m:t>S</m:t>
                  </m:r>
                </m:sub>
              </m:sSub>
            </m:den>
          </m:f>
          <m:r>
            <m:rPr>
              <m:sty m:val="p"/>
            </m:rPr>
            <m:t>⋅</m:t>
          </m:r>
          <m:f>
            <m:fPr>
              <m:type m:val="bar"/>
            </m:fPr>
            <m:num>
              <m:sSup>
                <m:e>
                  <m:r>
                    <m:t>t</m:t>
                  </m:r>
                </m:e>
                <m:sup>
                  <m:r>
                    <m:t>2</m:t>
                  </m:r>
                </m:sup>
              </m:sSup>
            </m:num>
            <m:den>
              <m:sSup>
                <m:e>
                  <m:r>
                    <m:t>p</m:t>
                  </m:r>
                </m:e>
                <m:sup>
                  <m:r>
                    <m:rPr>
                      <m:sty m:val="p"/>
                    </m:rPr>
                    <m:t>*</m:t>
                  </m:r>
                </m:sup>
              </m:sSup>
            </m:den>
          </m:f>
          <m:r>
            <m:rPr>
              <m:sty m:val="p"/>
            </m:rPr>
            <m:t>⋅</m:t>
          </m:r>
          <m:sSup>
            <m:e>
              <m:r>
                <m:t>Q</m:t>
              </m:r>
            </m:e>
            <m:sup>
              <m:r>
                <m:rPr>
                  <m:sty m:val="p"/>
                </m:rPr>
                <m:t>*</m:t>
              </m:r>
            </m:sup>
          </m:sSup>
        </m:oMath>
      </m:oMathPara>
    </w:p>
    <w:p>
      <w:pPr>
        <w:pStyle w:val="FirstParagraph"/>
      </w:pPr>
      <w:r>
        <w:t xml:space="preserve">A fórmula aproximada (para imposto pequeno) revela dois fatos importantes:</w:t>
      </w:r>
    </w:p>
    <w:p>
      <w:pPr>
        <w:pStyle w:val="Compact"/>
        <w:numPr>
          <w:ilvl w:val="0"/>
          <w:numId w:val="1792"/>
        </w:numPr>
      </w:pPr>
      <w:r>
        <w:rPr>
          <w:b/>
          <w:bCs/>
        </w:rPr>
        <w:t xml:space="preserve">A PPM cresce com o quadrado do imposto</w:t>
      </w:r>
      <w:r>
        <w:t xml:space="preserve">: dobrar a alíquota quadruplica a perda de eficiência. Impostos altos são desproporcionalmente distorcivos.</w:t>
      </w:r>
    </w:p>
    <w:p>
      <w:pPr>
        <w:pStyle w:val="Compact"/>
        <w:numPr>
          <w:ilvl w:val="0"/>
          <w:numId w:val="1792"/>
        </w:numPr>
      </w:pPr>
      <w:r>
        <w:rPr>
          <w:b/>
          <w:bCs/>
        </w:rPr>
        <w:t xml:space="preserve">A PPM é menor quando as elasticidades são menores</w:t>
      </w:r>
      <w:r>
        <w:t xml:space="preserve">: tributar bens com demanda e oferta inelásticas gera pouca distorção — a base do</w:t>
      </w:r>
      <w:r>
        <w:t xml:space="preserve"> </w:t>
      </w:r>
      <w:r>
        <w:rPr>
          <w:b/>
          <w:bCs/>
        </w:rPr>
        <w:t xml:space="preserve">Princípio de Ramsey</w:t>
      </w:r>
      <w:r>
        <w:t xml:space="preserve"> </w:t>
      </w:r>
      <w:r>
        <w:t xml:space="preserve">(tributação ótima).</w:t>
      </w:r>
    </w:p>
    <w:p>
      <w:pPr>
        <w:pStyle w:val="BlockText"/>
      </w:pPr>
      <w:r>
        <w:rPr>
          <w:b/>
          <w:bCs/>
        </w:rPr>
        <w:t xml:space="preserve">[BOX MUNDO] Box Mundo 13.2 — O Princípio de Ramsey e a tributação de cigarros</w:t>
      </w:r>
    </w:p>
    <w:p>
      <w:pPr>
        <w:pStyle w:val="BlockText"/>
      </w:pPr>
      <w:r>
        <w:t xml:space="preserve">Frank Ramsey (1903–1930), matemático e filósofo de Cambridge que morreu tragicamente aos 26 anos, demonstrou em 1927 que a tributação ótima de commodities deve ser inversamente proporcional às elasticidades: bens com demanda mais inelástica devem ter alíquotas mais altas, pois a distorção é menor. Isso parece justificar tributar fortemente bens como cigarros (demanda muito inelástica,</w:t>
      </w:r>
      <w:r>
        <w:t xml:space="preserve"> </w:t>
      </w:r>
      <m:oMath>
        <m:r>
          <m:rPr>
            <m:sty m:val="p"/>
          </m:rPr>
          <m:t>|</m:t>
        </m:r>
        <m:sSub>
          <m:e>
            <m:r>
              <m:t>ε</m:t>
            </m:r>
          </m:e>
          <m:sub>
            <m:r>
              <m:t>D</m:t>
            </m:r>
          </m:sub>
        </m:sSub>
        <m:r>
          <m:rPr>
            <m:sty m:val="p"/>
          </m:rPr>
          <m:t>|</m:t>
        </m:r>
        <m:r>
          <m:rPr>
            <m:sty m:val="p"/>
          </m:rPr>
          <m:t>≈</m:t>
        </m:r>
        <m:r>
          <m:t>0</m:t>
        </m:r>
        <m:r>
          <m:rPr>
            <m:sty m:val="p"/>
          </m:rPr>
          <m:t>,</m:t>
        </m:r>
        <m:r>
          <m:t>3</m:t>
        </m:r>
      </m:oMath>
      <w:r>
        <w:t xml:space="preserve">–</w:t>
      </w:r>
      <m:oMath>
        <m:r>
          <m:t>0</m:t>
        </m:r>
        <m:r>
          <m:rPr>
            <m:sty m:val="p"/>
          </m:rPr>
          <m:t>,</m:t>
        </m:r>
        <m:r>
          <m:t>5</m:t>
        </m:r>
      </m:oMath>
      <w:r>
        <w:t xml:space="preserve">). Mas há um conflito: a regra de Ramsey é</w:t>
      </w:r>
      <w:r>
        <w:t xml:space="preserve"> </w:t>
      </w:r>
      <w:r>
        <w:rPr>
          <w:i/>
          <w:iCs/>
        </w:rPr>
        <w:t xml:space="preserve">regressiva</w:t>
      </w:r>
      <w:r>
        <w:t xml:space="preserve"> </w:t>
      </w:r>
      <w:r>
        <w:t xml:space="preserve">— bens de primeira necessidade tendem a ter demanda inelástica, e tributá-los mais pesadamente penaliza os mais pobres. A solução moderna (Diamond &amp; Mirrlees, 1971) incorpora considerações distributivas, e a prática tributária brasileira — com alíquotas diferenciadas para bens essenciais na reforma do IBS/CBS — reflete exatamente esse</w:t>
      </w:r>
      <w:r>
        <w:t xml:space="preserve"> </w:t>
      </w:r>
      <w:r>
        <w:rPr>
          <w:i/>
          <w:iCs/>
        </w:rPr>
        <w:t xml:space="preserve">trade-off</w:t>
      </w:r>
      <w:r>
        <w:t xml:space="preserve">.</w:t>
      </w:r>
    </w:p>
    <w:p>
      <w:pPr>
        <w:pStyle w:val="FirstParagraph"/>
      </w:pPr>
      <w:r>
        <w:t xml:space="preserve">[FIGURA INTERATIVA: /micro-book/graficos/cap13/incidencia-tributaria.html — versao interativa disponivel online]</w:t>
      </w:r>
    </w:p>
    <w:p>
      <w:pPr>
        <w:pStyle w:val="BodyText"/>
      </w:pPr>
      <w:r>
        <w:rPr>
          <w:b/>
          <w:bCs/>
        </w:rPr>
        <w:t xml:space="preserve">Figura 13.4 — Incidência tributária: quem paga o imposto?</w:t>
      </w:r>
      <w:r>
        <w:t xml:space="preserve"> </w:t>
      </w:r>
      <w:r>
        <w:t xml:space="preserve">Ajuste as elasticidades de oferta e demanda para ver como a carga tributária se distribui entre consumidores e produtores. Observe que a incidência legal (sobre quem o imposto recai formalmente) é irrelevante para o resultado econômico.</w:t>
      </w:r>
    </w:p>
    <w:p>
      <w:pPr>
        <w:pStyle w:val="BodyText"/>
      </w:pPr>
      <w:r>
        <w:t xml:space="preserve">[FIGURA INTERATIVA: /micro-book/graficos/cap13/webr-incidencia-tributaria.html — versao interativa disponivel online]</w:t>
      </w:r>
    </w:p>
    <w:p>
      <w:pPr>
        <w:pStyle w:val="BodyText"/>
      </w:pPr>
      <w:r>
        <w:rPr>
          <w:b/>
          <w:bCs/>
        </w:rPr>
        <w:t xml:space="preserve">WebR 13.6 — Incidência tributária e perda de peso morto.</w:t>
      </w:r>
      <w:r>
        <w:t xml:space="preserve"> </w:t>
      </w:r>
      <w:r>
        <w:t xml:space="preserve">O código calcula a incidência econômica, a receita tributária e a PPM para diferentes valores de imposto e elasticidades. Teste o Princípio de Ramsey: compare a PPM quando se tributa um bem elástico versus um inelástico.</w:t>
      </w:r>
    </w:p>
    <w:p>
      <w:r>
        <w:pict>
          <v:rect style="width:0;height:1.5pt" o:hralign="center" o:hrstd="t" o:hr="t"/>
        </w:pict>
      </w:r>
    </w:p>
    <w:bookmarkEnd w:id="827"/>
    <w:bookmarkEnd w:id="828"/>
    <w:bookmarkStart w:id="830" w:name="Xa0129d59aa4967c0627c4c0803ae1a9a49f6ddd"/>
    <w:p>
      <w:pPr>
        <w:pStyle w:val="Heading3"/>
      </w:pPr>
      <w:r>
        <w:t xml:space="preserve">13.12 O Placar Final: EC, EP e PPM</w:t>
      </w:r>
    </w:p>
    <w:p>
      <w:pPr>
        <w:pStyle w:val="FirstParagraph"/>
      </w:pPr>
      <w:r>
        <w:t xml:space="preserve">Para concluir a análise de políticas, é útil comparar sistematicamente os efeitos de diferentes intervenções sobre os três componentes do bem-estar: excedente do consumidor (EC), excedente do produtor (EP) e perda de peso morto (PPM). A tabela abaixo resume os resultados qualitativos:</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Intervenção</w:t>
            </w:r>
          </w:p>
        </w:tc>
        <w:tc>
          <w:tcPr/>
          <w:p>
            <w:pPr>
              <w:pStyle w:val="Compact"/>
              <w:jc w:val="center"/>
            </w:pPr>
            <w:r>
              <w:t xml:space="preserve">EC</w:t>
            </w:r>
          </w:p>
        </w:tc>
        <w:tc>
          <w:tcPr/>
          <w:p>
            <w:pPr>
              <w:pStyle w:val="Compact"/>
              <w:jc w:val="center"/>
            </w:pPr>
            <w:r>
              <w:t xml:space="preserve">EP</w:t>
            </w:r>
          </w:p>
        </w:tc>
        <w:tc>
          <w:tcPr/>
          <w:p>
            <w:pPr>
              <w:pStyle w:val="Compact"/>
              <w:jc w:val="center"/>
            </w:pPr>
            <w:r>
              <w:t xml:space="preserve">Receita Gov.</w:t>
            </w:r>
          </w:p>
        </w:tc>
        <w:tc>
          <w:tcPr/>
          <w:p>
            <w:pPr>
              <w:pStyle w:val="Compact"/>
              <w:jc w:val="center"/>
            </w:pPr>
            <w:r>
              <w:t xml:space="preserve">PPM</w:t>
            </w:r>
          </w:p>
        </w:tc>
        <w:tc>
          <w:tcPr/>
          <w:p>
            <w:pPr>
              <w:pStyle w:val="Compact"/>
              <w:jc w:val="center"/>
            </w:pPr>
            <w:r>
              <w:t xml:space="preserve">Quantidade</w:t>
            </w:r>
          </w:p>
        </w:tc>
      </w:tr>
      <w:tr>
        <w:tc>
          <w:tcPr/>
          <w:p>
            <w:pPr>
              <w:pStyle w:val="Compact"/>
              <w:jc w:val="left"/>
            </w:pPr>
            <w:r>
              <w:t xml:space="preserve">Equilíbrio livre</w:t>
            </w:r>
          </w:p>
        </w:tc>
        <w:tc>
          <w:tcPr/>
          <w:p>
            <w:pPr>
              <w:pStyle w:val="Compact"/>
              <w:jc w:val="center"/>
            </w:pPr>
            <w:r>
              <w:t xml:space="preserve">Máximo conjunto</w:t>
            </w:r>
          </w:p>
        </w:tc>
        <w:tc>
          <w:tcPr/>
          <w:p>
            <w:pPr>
              <w:pStyle w:val="Compact"/>
              <w:jc w:val="center"/>
            </w:pPr>
            <w:r>
              <w:t xml:space="preserve">Máximo conjunto</w:t>
            </w:r>
          </w:p>
        </w:tc>
        <w:tc>
          <w:tcPr/>
          <w:p>
            <w:pPr>
              <w:pStyle w:val="Compact"/>
              <w:jc w:val="center"/>
            </w:pPr>
            <w:r>
              <w:t xml:space="preserve">0</w:t>
            </w:r>
          </w:p>
        </w:tc>
        <w:tc>
          <w:tcPr/>
          <w:p>
            <w:pPr>
              <w:pStyle w:val="Compact"/>
              <w:jc w:val="center"/>
            </w:pPr>
            <w:r>
              <w:t xml:space="preserve">0</w:t>
            </w:r>
          </w:p>
        </w:tc>
        <w:tc>
          <w:tcPr/>
          <w:p>
            <w:pPr>
              <w:pStyle w:val="Compact"/>
              <w:jc w:val="center"/>
            </w:pPr>
            <m:oMath>
              <m:sSup>
                <m:e>
                  <m:r>
                    <m:t>Q</m:t>
                  </m:r>
                </m:e>
                <m:sup>
                  <m:r>
                    <m:rPr>
                      <m:sty m:val="p"/>
                    </m:rPr>
                    <m:t>*</m:t>
                  </m:r>
                </m:sup>
              </m:sSup>
            </m:oMath>
          </w:p>
        </w:tc>
      </w:tr>
      <w:tr>
        <w:tc>
          <w:tcPr/>
          <w:p>
            <w:pPr>
              <w:pStyle w:val="Compact"/>
              <w:jc w:val="left"/>
            </w:pPr>
            <w:r>
              <w:t xml:space="preserve">Teto de preço (</w:t>
            </w:r>
            <m:oMath>
              <m:acc>
                <m:accPr>
                  <m:chr m:val="‾"/>
                </m:accPr>
                <m:e>
                  <m:r>
                    <m:t>p</m:t>
                  </m:r>
                </m:e>
              </m:acc>
              <m:r>
                <m:rPr>
                  <m:sty m:val="p"/>
                </m:rPr>
                <m:t>&lt;</m:t>
              </m:r>
              <m:sSup>
                <m:e>
                  <m:r>
                    <m:t>p</m:t>
                  </m:r>
                </m:e>
                <m:sup>
                  <m:r>
                    <m:rPr>
                      <m:sty m:val="p"/>
                    </m:rPr>
                    <m:t>*</m:t>
                  </m:r>
                </m:sup>
              </m:sSup>
            </m:oMath>
            <w:r>
              <w:t xml:space="preserve">)</w:t>
            </w:r>
          </w:p>
        </w:tc>
        <w:tc>
          <w:tcPr/>
          <w:p>
            <w:pPr>
              <w:pStyle w:val="Compact"/>
              <w:jc w:val="center"/>
            </w:pPr>
            <w:r>
              <w:t xml:space="preserve">Ambíguo</w:t>
            </w:r>
          </w:p>
        </w:tc>
        <w:tc>
          <w:tcPr/>
          <w:p>
            <w:pPr>
              <w:pStyle w:val="Compact"/>
              <w:jc w:val="center"/>
            </w:pPr>
            <m:oMath>
              <m:r>
                <m:rPr>
                  <m:sty m:val="p"/>
                </m:rPr>
                <m:t>↓</m:t>
              </m:r>
            </m:oMath>
          </w:p>
        </w:tc>
        <w:tc>
          <w:tcPr/>
          <w:p>
            <w:pPr>
              <w:pStyle w:val="Compact"/>
              <w:jc w:val="center"/>
            </w:pPr>
            <w:r>
              <w:t xml:space="preserve">0</w:t>
            </w:r>
          </w:p>
        </w:tc>
        <w:tc>
          <w:tcPr/>
          <w:p>
            <w:pPr>
              <w:pStyle w:val="Compact"/>
              <w:jc w:val="center"/>
            </w:pPr>
            <m:oMath>
              <m:r>
                <m:rPr>
                  <m:sty m:val="p"/>
                </m:rPr>
                <m:t>&gt;</m:t>
              </m:r>
              <m:r>
                <m:t>0</m:t>
              </m:r>
            </m:oMath>
          </w:p>
        </w:tc>
        <w:tc>
          <w:tcPr/>
          <w:p>
            <w:pPr>
              <w:pStyle w:val="Compact"/>
              <w:jc w:val="center"/>
            </w:pPr>
            <m:oMath>
              <m:r>
                <m:rPr>
                  <m:sty m:val="p"/>
                </m:rPr>
                <m:t>↓</m:t>
              </m:r>
            </m:oMath>
          </w:p>
        </w:tc>
      </w:tr>
      <w:tr>
        <w:tc>
          <w:tcPr/>
          <w:p>
            <w:pPr>
              <w:pStyle w:val="Compact"/>
              <w:jc w:val="left"/>
            </w:pPr>
            <w:r>
              <w:t xml:space="preserve">Piso de preço (</w:t>
            </w:r>
            <m:oMath>
              <m:bar>
                <m:barPr>
                  <m:pos m:val="bot"/>
                </m:barPr>
                <m:e>
                  <m:r>
                    <m:t>p</m:t>
                  </m:r>
                </m:e>
              </m:bar>
              <m:r>
                <m:rPr>
                  <m:sty m:val="p"/>
                </m:rPr>
                <m:t>&gt;</m:t>
              </m:r>
              <m:sSup>
                <m:e>
                  <m:r>
                    <m:t>p</m:t>
                  </m:r>
                </m:e>
                <m:sup>
                  <m:r>
                    <m:rPr>
                      <m:sty m:val="p"/>
                    </m:rPr>
                    <m:t>*</m:t>
                  </m:r>
                </m:sup>
              </m:sSup>
            </m:oMath>
            <w:r>
              <w:t xml:space="preserve">)</w:t>
            </w:r>
          </w:p>
        </w:tc>
        <w:tc>
          <w:tcPr/>
          <w:p>
            <w:pPr>
              <w:pStyle w:val="Compact"/>
              <w:jc w:val="center"/>
            </w:pPr>
            <m:oMath>
              <m:r>
                <m:rPr>
                  <m:sty m:val="p"/>
                </m:rPr>
                <m:t>↓</m:t>
              </m:r>
            </m:oMath>
          </w:p>
        </w:tc>
        <w:tc>
          <w:tcPr/>
          <w:p>
            <w:pPr>
              <w:pStyle w:val="Compact"/>
              <w:jc w:val="center"/>
            </w:pPr>
            <w:r>
              <w:t xml:space="preserve">Ambíguo</w:t>
            </w:r>
          </w:p>
        </w:tc>
        <w:tc>
          <w:tcPr/>
          <w:p>
            <w:pPr>
              <w:pStyle w:val="Compact"/>
              <w:jc w:val="center"/>
            </w:pPr>
            <w:r>
              <w:t xml:space="preserve">0</w:t>
            </w:r>
          </w:p>
        </w:tc>
        <w:tc>
          <w:tcPr/>
          <w:p>
            <w:pPr>
              <w:pStyle w:val="Compact"/>
              <w:jc w:val="center"/>
            </w:pPr>
            <m:oMath>
              <m:r>
                <m:rPr>
                  <m:sty m:val="p"/>
                </m:rPr>
                <m:t>&gt;</m:t>
              </m:r>
              <m:r>
                <m:t>0</m:t>
              </m:r>
            </m:oMath>
          </w:p>
        </w:tc>
        <w:tc>
          <w:tcPr/>
          <w:p>
            <w:pPr>
              <w:pStyle w:val="Compact"/>
              <w:jc w:val="center"/>
            </w:pPr>
            <m:oMath>
              <m:r>
                <m:rPr>
                  <m:sty m:val="p"/>
                </m:rPr>
                <m:t>↓</m:t>
              </m:r>
            </m:oMath>
          </w:p>
        </w:tc>
      </w:tr>
      <w:tr>
        <w:tc>
          <w:tcPr/>
          <w:p>
            <w:pPr>
              <w:pStyle w:val="Compact"/>
              <w:jc w:val="left"/>
            </w:pPr>
            <w:r>
              <w:t xml:space="preserve">Imposto específico</w:t>
            </w:r>
            <w:r>
              <w:t xml:space="preserve"> </w:t>
            </w:r>
            <m:oMath>
              <m:r>
                <m:t>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t>t</m:t>
              </m:r>
              <m:r>
                <m:rPr>
                  <m:sty m:val="p"/>
                </m:rPr>
                <m:t>⋅</m:t>
              </m:r>
              <m:sSub>
                <m:e>
                  <m:r>
                    <m:t>Q</m:t>
                  </m:r>
                </m:e>
                <m:sub>
                  <m:r>
                    <m:t>t</m:t>
                  </m:r>
                </m:sub>
              </m:sSub>
              <m:r>
                <m:rPr>
                  <m:sty m:val="p"/>
                </m:rPr>
                <m:t>&gt;</m:t>
              </m:r>
              <m:r>
                <m:t>0</m:t>
              </m:r>
            </m:oMath>
          </w:p>
        </w:tc>
        <w:tc>
          <w:tcPr/>
          <w:p>
            <w:pPr>
              <w:pStyle w:val="Compact"/>
              <w:jc w:val="center"/>
            </w:pPr>
            <m:oMath>
              <m:r>
                <m:rPr>
                  <m:sty m:val="p"/>
                </m:rPr>
                <m:t>&gt;</m:t>
              </m:r>
              <m:r>
                <m:t>0</m:t>
              </m:r>
            </m:oMath>
          </w:p>
        </w:tc>
        <w:tc>
          <w:tcPr/>
          <w:p>
            <w:pPr>
              <w:pStyle w:val="Compact"/>
              <w:jc w:val="center"/>
            </w:pPr>
            <m:oMath>
              <m:r>
                <m:rPr>
                  <m:sty m:val="p"/>
                </m:rPr>
                <m:t>↓</m:t>
              </m:r>
            </m:oMath>
          </w:p>
        </w:tc>
      </w:tr>
      <w:tr>
        <w:tc>
          <w:tcPr/>
          <w:p>
            <w:pPr>
              <w:pStyle w:val="Compact"/>
              <w:jc w:val="left"/>
            </w:pPr>
            <w:r>
              <w:t xml:space="preserve">Subsídio específico</w:t>
            </w:r>
            <w:r>
              <w:t xml:space="preserve"> </w:t>
            </w:r>
            <m:oMath>
              <m:r>
                <m:t>s</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r>
                <m:t>s</m:t>
              </m:r>
              <m:r>
                <m:rPr>
                  <m:sty m:val="p"/>
                </m:rPr>
                <m:t>⋅</m:t>
              </m:r>
              <m:sSub>
                <m:e>
                  <m:r>
                    <m:t>Q</m:t>
                  </m:r>
                </m:e>
                <m:sub>
                  <m:r>
                    <m:t>s</m:t>
                  </m:r>
                </m:sub>
              </m:sSub>
              <m:r>
                <m:rPr>
                  <m:sty m:val="p"/>
                </m:rPr>
                <m:t>&lt;</m:t>
              </m:r>
              <m:r>
                <m:t>0</m:t>
              </m:r>
            </m:oMath>
          </w:p>
        </w:tc>
        <w:tc>
          <w:tcPr/>
          <w:p>
            <w:pPr>
              <w:pStyle w:val="Compact"/>
              <w:jc w:val="center"/>
            </w:pPr>
            <m:oMath>
              <m:r>
                <m:rPr>
                  <m:sty m:val="p"/>
                </m:rPr>
                <m:t>&gt;</m:t>
              </m:r>
              <m:r>
                <m:t>0</m:t>
              </m:r>
            </m:oMath>
          </w:p>
        </w:tc>
        <w:tc>
          <w:tcPr/>
          <w:p>
            <w:pPr>
              <w:pStyle w:val="Compact"/>
              <w:jc w:val="center"/>
            </w:pPr>
            <m:oMath>
              <m:r>
                <m:rPr>
                  <m:sty m:val="p"/>
                </m:rPr>
                <m:t>↑</m:t>
              </m:r>
            </m:oMath>
          </w:p>
        </w:tc>
      </w:tr>
      <w:tr>
        <w:tc>
          <w:tcPr/>
          <w:p>
            <w:pPr>
              <w:pStyle w:val="Compact"/>
              <w:jc w:val="left"/>
            </w:pPr>
            <w:r>
              <w:t xml:space="preserve">Cota de importação</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w:r>
              <w:t xml:space="preserve">Renda da cota</w:t>
            </w:r>
          </w:p>
        </w:tc>
        <w:tc>
          <w:tcPr/>
          <w:p>
            <w:pPr>
              <w:pStyle w:val="Compact"/>
              <w:jc w:val="center"/>
            </w:pPr>
            <m:oMath>
              <m:r>
                <m:rPr>
                  <m:sty m:val="p"/>
                </m:rPr>
                <m:t>&gt;</m:t>
              </m:r>
              <m:r>
                <m:t>0</m:t>
              </m:r>
            </m:oMath>
          </w:p>
        </w:tc>
        <w:tc>
          <w:tcPr/>
          <w:p>
            <w:pPr>
              <w:pStyle w:val="Compact"/>
              <w:jc w:val="center"/>
            </w:pPr>
            <w:r>
              <w:t xml:space="preserve">Doméstica</w:t>
            </w:r>
            <w:r>
              <w:t xml:space="preserve"> </w:t>
            </w:r>
            <m:oMath>
              <m:r>
                <m:rPr>
                  <m:sty m:val="p"/>
                </m:rPr>
                <m:t>↑</m:t>
              </m:r>
            </m:oMath>
            <w:r>
              <w:t xml:space="preserve">, total</w:t>
            </w:r>
            <w:r>
              <w:t xml:space="preserve"> </w:t>
            </w:r>
            <m:oMath>
              <m:r>
                <m:rPr>
                  <m:sty m:val="p"/>
                </m:rPr>
                <m:t>↓</m:t>
              </m:r>
            </m:oMath>
          </w:p>
        </w:tc>
      </w:tr>
    </w:tbl>
    <w:p>
      <w:pPr>
        <w:pStyle w:val="BlockText"/>
      </w:pPr>
      <w:r>
        <w:rPr>
          <w:b/>
          <w:bCs/>
        </w:rPr>
        <w:t xml:space="preserve">[NOTA] Observações sobre a tabela</w:t>
      </w:r>
    </w:p>
    <w:p>
      <w:pPr>
        <w:pStyle w:val="Compact"/>
        <w:numPr>
          <w:ilvl w:val="0"/>
          <w:numId w:val="1793"/>
        </w:numPr>
      </w:pPr>
      <w:r>
        <w:t xml:space="preserve">O EC com teto de preço é</w:t>
      </w:r>
      <w:r>
        <w:t xml:space="preserve"> </w:t>
      </w:r>
      <w:r>
        <w:t xml:space="preserve">“ambíguo”</w:t>
      </w:r>
      <w:r>
        <w:t xml:space="preserve"> </w:t>
      </w:r>
      <w:r>
        <w:t xml:space="preserve">porque consumidores que compram ganham (pagam menos), mas consumidores racionados perdem. O efeito líquido depende de quem é racionado.</w:t>
      </w:r>
    </w:p>
    <w:p>
      <w:pPr>
        <w:pStyle w:val="Compact"/>
        <w:numPr>
          <w:ilvl w:val="0"/>
          <w:numId w:val="1793"/>
        </w:numPr>
      </w:pPr>
      <w:r>
        <w:t xml:space="preserve">O subsídio gera PPM porque estimula a produção além do nível eficiente — unidades cuja disposição a pagar é menor que o custo marginal são produzidas e consumidas.</w:t>
      </w:r>
    </w:p>
    <w:p>
      <w:pPr>
        <w:pStyle w:val="Compact"/>
        <w:numPr>
          <w:ilvl w:val="0"/>
          <w:numId w:val="1793"/>
        </w:numPr>
      </w:pPr>
      <w:r>
        <w:t xml:space="preserve">A</w:t>
      </w:r>
      <w:r>
        <w:t xml:space="preserve"> </w:t>
      </w:r>
      <w:r>
        <w:t xml:space="preserve">“receita do governo”</w:t>
      </w:r>
      <w:r>
        <w:t xml:space="preserve"> </w:t>
      </w:r>
      <w:r>
        <w:t xml:space="preserve">no caso da cota é a renda da cota, que pode ir para o governo (se a cota é leiloada), para importadores (se é distribuída gratuitamente) ou para o país exportador (se é uma restrição voluntária de exportação).</w:t>
      </w:r>
    </w:p>
    <w:bookmarkStart w:id="829" w:name="princípios-gerais"/>
    <w:p>
      <w:pPr>
        <w:pStyle w:val="Heading4"/>
      </w:pPr>
      <w:r>
        <w:t xml:space="preserve">Princípios gerais</w:t>
      </w:r>
    </w:p>
    <w:p>
      <w:pPr>
        <w:pStyle w:val="FirstParagraph"/>
      </w:pPr>
      <w:r>
        <w:t xml:space="preserve">Da análise conjunta, emergem princípios que todo economista — e todo formulador de políticas — deveria ter na ponta da língua:</w:t>
      </w:r>
    </w:p>
    <w:p>
      <w:pPr>
        <w:pStyle w:val="Compact"/>
        <w:numPr>
          <w:ilvl w:val="0"/>
          <w:numId w:val="1794"/>
        </w:numPr>
      </w:pPr>
      <w:r>
        <w:rPr>
          <w:b/>
          <w:bCs/>
        </w:rPr>
        <w:t xml:space="preserve">Qualquer desvio do equilíbrio competitivo gera PPM</w:t>
      </w:r>
      <w:r>
        <w:t xml:space="preserve">, desde que as hipóteses do Primeiro Teorema do Bem-Estar sejam satisfeitas.</w:t>
      </w:r>
    </w:p>
    <w:p>
      <w:pPr>
        <w:pStyle w:val="Compact"/>
        <w:numPr>
          <w:ilvl w:val="0"/>
          <w:numId w:val="1794"/>
        </w:numPr>
      </w:pPr>
      <w:r>
        <w:rPr>
          <w:b/>
          <w:bCs/>
        </w:rPr>
        <w:t xml:space="preserve">A PPM cresce com o quadrado da distorção</w:t>
      </w:r>
      <w:r>
        <w:t xml:space="preserve">: um imposto de 20% gera quatro vezes mais PPM do que um imposto de 10%.</w:t>
      </w:r>
    </w:p>
    <w:p>
      <w:pPr>
        <w:pStyle w:val="Compact"/>
        <w:numPr>
          <w:ilvl w:val="0"/>
          <w:numId w:val="1794"/>
        </w:numPr>
      </w:pPr>
      <w:r>
        <w:rPr>
          <w:b/>
          <w:bCs/>
        </w:rPr>
        <w:t xml:space="preserve">Transferências</w:t>
      </w:r>
      <w:r>
        <w:rPr>
          <w:b/>
          <w:bCs/>
        </w:rPr>
        <w:t xml:space="preserve"> </w:t>
      </w:r>
      <w:r>
        <w:rPr>
          <w:b/>
          <w:bCs/>
          <w:i/>
          <w:iCs/>
        </w:rPr>
        <w:t xml:space="preserve">lump-sum</w:t>
      </w:r>
      <w:r>
        <w:rPr>
          <w:b/>
          <w:bCs/>
        </w:rPr>
        <w:t xml:space="preserve"> </w:t>
      </w:r>
      <w:r>
        <w:rPr>
          <w:b/>
          <w:bCs/>
        </w:rPr>
        <w:t xml:space="preserve">dominam controles de preços</w:t>
      </w:r>
      <w:r>
        <w:t xml:space="preserve"> </w:t>
      </w:r>
      <w:r>
        <w:t xml:space="preserve">como instrumento redistributivo: alcançam o objetivo distributivo sem distorcer o mecanismo de preços.</w:t>
      </w:r>
    </w:p>
    <w:p>
      <w:pPr>
        <w:pStyle w:val="Compact"/>
        <w:numPr>
          <w:ilvl w:val="0"/>
          <w:numId w:val="1794"/>
        </w:numPr>
      </w:pPr>
      <w:r>
        <w:rPr>
          <w:b/>
          <w:bCs/>
        </w:rPr>
        <w:t xml:space="preserve">A incidência econômica é determinada pelas elasticidades</w:t>
      </w:r>
      <w:r>
        <w:t xml:space="preserve">, não pela legislação. Mudar o lado legal do imposto é mudar o rótulo, não o conteúdo.</w:t>
      </w:r>
    </w:p>
    <w:p>
      <w:pPr>
        <w:pStyle w:val="Compact"/>
        <w:numPr>
          <w:ilvl w:val="0"/>
          <w:numId w:val="1794"/>
        </w:numPr>
      </w:pPr>
      <w:r>
        <w:rPr>
          <w:b/>
          <w:bCs/>
        </w:rPr>
        <w:t xml:space="preserve">O lado mais inelástico do mercado arca com mais da carga</w:t>
      </w:r>
      <w:r>
        <w:t xml:space="preserve"> </w:t>
      </w:r>
      <w:r>
        <w:t xml:space="preserve">— de impostos, subsídios, ou qualquer intervenção que crie uma cunha entre preço ao consumidor e preço ao produtor.</w:t>
      </w:r>
    </w:p>
    <w:p>
      <w:pPr>
        <w:pStyle w:val="BlockText"/>
      </w:pPr>
      <w:r>
        <w:rPr>
          <w:b/>
          <w:bCs/>
        </w:rPr>
        <w:t xml:space="preserve">[DICA] Conectando com os próximos capítulos</w:t>
      </w:r>
    </w:p>
    <w:p>
      <w:pPr>
        <w:pStyle w:val="BlockText"/>
      </w:pPr>
      <w:r>
        <w:t xml:space="preserve">Todo este capítulo operou sob as hipóteses da concorrência perfeita. Nos Capítulos 15–16 (poder de mercado), veremos que monopólios e oligopólios já operam</w:t>
      </w:r>
      <w:r>
        <w:t xml:space="preserve"> </w:t>
      </w:r>
      <w:r>
        <w:rPr>
          <w:i/>
          <w:iCs/>
        </w:rPr>
        <w:t xml:space="preserve">aquém</w:t>
      </w:r>
      <w:r>
        <w:t xml:space="preserve"> </w:t>
      </w:r>
      <w:r>
        <w:t xml:space="preserve">do ótimo social — e impostos sobre monopolistas podem até</w:t>
      </w:r>
      <w:r>
        <w:t xml:space="preserve"> </w:t>
      </w:r>
      <w:r>
        <w:rPr>
          <w:i/>
          <w:iCs/>
        </w:rPr>
        <w:t xml:space="preserve">reduzir</w:t>
      </w:r>
      <w:r>
        <w:t xml:space="preserve"> </w:t>
      </w:r>
      <w:r>
        <w:t xml:space="preserve">a PPM em circunstâncias especiais. Nos Capítulos 19–20 (falhas de mercado), veremos que externalidades e informação assimétrica justificam intervenções corretivas — impostos pigouvianos, regulação, provisão pública. A análise de bem-estar deste capítulo é o benchmark contra o qual todas essas extensões são comparadas.</w:t>
      </w:r>
    </w:p>
    <w:bookmarkEnd w:id="829"/>
    <w:bookmarkEnd w:id="830"/>
    <w:bookmarkEnd w:id="831"/>
    <w:bookmarkStart w:id="837" w:name="revisão-exercícios-e-anpec"/>
    <w:p>
      <w:pPr>
        <w:pStyle w:val="Heading2"/>
      </w:pPr>
      <w:r>
        <w:t xml:space="preserve">Revisão, Exercícios e ANPEC</w:t>
      </w:r>
    </w:p>
    <w:p>
      <w:pPr>
        <w:pStyle w:val="BlockText"/>
      </w:pPr>
      <w:r>
        <w:rPr>
          <w:b/>
          <w:bCs/>
        </w:rPr>
        <w:t xml:space="preserve">[DICA] Dados para exercícios empíricos</w:t>
      </w:r>
    </w:p>
    <w:p>
      <w:pPr>
        <w:pStyle w:val="Compact"/>
        <w:numPr>
          <w:ilvl w:val="0"/>
          <w:numId w:val="1795"/>
        </w:numPr>
      </w:pPr>
      <w:r>
        <w:rPr>
          <w:b/>
          <w:bCs/>
        </w:rPr>
        <w:t xml:space="preserve">IPEADATA (preços de commodities e índices):</w:t>
      </w:r>
      <w:r>
        <w:t xml:space="preserve"> </w:t>
      </w:r>
      <w:hyperlink r:id="rId270">
        <w:r>
          <w:rPr>
            <w:rStyle w:val="Hyperlink"/>
          </w:rPr>
          <w:t xml:space="preserve">ipeadata.gov.br</w:t>
        </w:r>
      </w:hyperlink>
    </w:p>
    <w:p>
      <w:pPr>
        <w:pStyle w:val="Compact"/>
        <w:numPr>
          <w:ilvl w:val="0"/>
          <w:numId w:val="1795"/>
        </w:numPr>
      </w:pPr>
      <w:r>
        <w:rPr>
          <w:b/>
          <w:bCs/>
        </w:rPr>
        <w:t xml:space="preserve">Comex Stat (comércio exterior):</w:t>
      </w:r>
      <w:r>
        <w:t xml:space="preserve"> </w:t>
      </w:r>
      <w:hyperlink r:id="rId832">
        <w:r>
          <w:rPr>
            <w:rStyle w:val="Hyperlink"/>
          </w:rPr>
          <w:t xml:space="preserve">comexstat.mdic.gov.br</w:t>
        </w:r>
      </w:hyperlink>
    </w:p>
    <w:p>
      <w:pPr>
        <w:pStyle w:val="Compact"/>
        <w:numPr>
          <w:ilvl w:val="0"/>
          <w:numId w:val="1795"/>
        </w:numPr>
      </w:pPr>
      <w:r>
        <w:rPr>
          <w:b/>
          <w:bCs/>
        </w:rPr>
        <w:t xml:space="preserve">SIDRA/IBGE (produção agrícola e industrial):</w:t>
      </w:r>
      <w:r>
        <w:t xml:space="preserve"> </w:t>
      </w:r>
      <w:hyperlink r:id="rId168">
        <w:r>
          <w:rPr>
            <w:rStyle w:val="Hyperlink"/>
          </w:rPr>
          <w:t xml:space="preserve">sidra.ibge.gov.br</w:t>
        </w:r>
      </w:hyperlink>
    </w:p>
    <w:bookmarkStart w:id="833" w:name="perguntas-de-revisão"/>
    <w:p>
      <w:pPr>
        <w:pStyle w:val="Heading3"/>
      </w:pPr>
      <w:r>
        <w:t xml:space="preserve">Perguntas de Revisão</w:t>
      </w:r>
    </w:p>
    <w:p>
      <w:pPr>
        <w:pStyle w:val="Compact"/>
        <w:numPr>
          <w:ilvl w:val="0"/>
          <w:numId w:val="1796"/>
        </w:numPr>
      </w:pPr>
      <w:r>
        <w:t xml:space="preserve">Explique por que a curva de oferta de mercado de curto prazo pode apresentar descontinuidades, mas a de longo prazo tende a ser contínua.</w:t>
      </w:r>
    </w:p>
    <w:p>
      <w:pPr>
        <w:pStyle w:val="Compact"/>
        <w:numPr>
          <w:ilvl w:val="0"/>
          <w:numId w:val="1796"/>
        </w:numPr>
      </w:pPr>
      <w:r>
        <w:t xml:space="preserve">Por que o lucro econômico de longo prazo é zero em concorrência perfeita, mas o lucro contábil pode ser positivo? Dê um exemplo numérico.</w:t>
      </w:r>
    </w:p>
    <w:p>
      <w:pPr>
        <w:pStyle w:val="Compact"/>
        <w:numPr>
          <w:ilvl w:val="0"/>
          <w:numId w:val="1796"/>
        </w:numPr>
      </w:pPr>
      <w:r>
        <w:t xml:space="preserve">Uma indústria de custos crescentes tem curva de oferta de longo prazo positivamente inclinada. Isso contradiz a afirmação de que</w:t>
      </w:r>
      <w:r>
        <w:t xml:space="preserve"> </w:t>
      </w:r>
      <w:r>
        <w:t xml:space="preserve">“no longo prazo, o preço iguala o custo total médio mínimo”</w:t>
      </w:r>
      <w:r>
        <w:t xml:space="preserve">? Justifique.</w:t>
      </w:r>
    </w:p>
    <w:p>
      <w:pPr>
        <w:pStyle w:val="Compact"/>
        <w:numPr>
          <w:ilvl w:val="0"/>
          <w:numId w:val="1796"/>
        </w:numPr>
      </w:pPr>
      <w:r>
        <w:t xml:space="preserve">Explique, com suas palavras, por que a incidência legal de um imposto é irrelevante para determinar quem efetivamente arca com a carga tributária.</w:t>
      </w:r>
    </w:p>
    <w:p>
      <w:pPr>
        <w:pStyle w:val="Compact"/>
        <w:numPr>
          <w:ilvl w:val="0"/>
          <w:numId w:val="1796"/>
        </w:numPr>
      </w:pPr>
      <w:r>
        <w:t xml:space="preserve">O Princípio de Ramsey recomenda tributar mais pesadamente bens com demanda inelástica. Discuta o potencial conflito entre eficiência e equidade dessa regra.</w:t>
      </w:r>
    </w:p>
    <w:p>
      <w:r>
        <w:pict>
          <v:rect style="width:0;height:1.5pt" o:hralign="center" o:hrstd="t" o:hr="t"/>
        </w:pict>
      </w:r>
    </w:p>
    <w:bookmarkEnd w:id="833"/>
    <w:bookmarkStart w:id="834" w:name="resumo-do-capítulo-14"/>
    <w:p>
      <w:pPr>
        <w:pStyle w:val="Heading3"/>
      </w:pPr>
      <w:r>
        <w:t xml:space="preserve">📋 Resumo do Capítulo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Conceito</w:t>
            </w:r>
          </w:p>
        </w:tc>
        <w:tc>
          <w:tcPr/>
          <w:p>
            <w:pPr>
              <w:pStyle w:val="Compact"/>
              <w:jc w:val="left"/>
            </w:pPr>
            <w:r>
              <w:t xml:space="preserve">Definição</w:t>
            </w:r>
          </w:p>
        </w:tc>
        <w:tc>
          <w:tcPr/>
          <w:p>
            <w:pPr>
              <w:pStyle w:val="Compact"/>
              <w:jc w:val="left"/>
            </w:pPr>
            <w:r>
              <w:t xml:space="preserve">Equação-chave</w:t>
            </w:r>
          </w:p>
        </w:tc>
      </w:tr>
      <w:tr>
        <w:tc>
          <w:tcPr/>
          <w:p>
            <w:pPr>
              <w:pStyle w:val="Compact"/>
              <w:jc w:val="left"/>
            </w:pPr>
            <w:r>
              <w:t xml:space="preserve">Demanda de mercado</w:t>
            </w:r>
          </w:p>
        </w:tc>
        <w:tc>
          <w:tcPr/>
          <w:p>
            <w:pPr>
              <w:pStyle w:val="Compact"/>
              <w:jc w:val="left"/>
            </w:pPr>
            <w:r>
              <w:t xml:space="preserve">Soma horizontal das demandas individuais</w:t>
            </w:r>
          </w:p>
        </w:tc>
        <w:tc>
          <w:tcPr/>
          <w:p>
            <w:pPr>
              <w:pStyle w:val="Compact"/>
              <w:jc w:val="left"/>
            </w:pPr>
            <m:oMath>
              <m:r>
                <m:t>X</m:t>
              </m:r>
              <m:r>
                <m:rPr>
                  <m:sty m:val="p"/>
                </m:rPr>
                <m:t>(</m:t>
              </m:r>
              <m:r>
                <m:t>p</m:t>
              </m:r>
              <m:r>
                <m:rPr>
                  <m:sty m:val="p"/>
                </m:rPr>
                <m:t>)</m:t>
              </m:r>
              <m:r>
                <m:rPr>
                  <m:sty m:val="p"/>
                </m:rPr>
                <m:t>=</m:t>
              </m:r>
              <m:nary>
                <m:naryPr>
                  <m:chr m:val="∑"/>
                  <m:limLoc m:val="undOvr"/>
                  <m:subHide m:val="off"/>
                  <m:supHide m:val="on"/>
                </m:naryPr>
                <m:sub>
                  <m:r>
                    <m:t>i</m:t>
                  </m:r>
                </m:sub>
                <m:sup>
                  <m:r>
                    <m:t>​</m:t>
                  </m:r>
                </m:sup>
                <m:e>
                  <m:sSub>
                    <m:e>
                      <m:r>
                        <m:t>x</m:t>
                      </m:r>
                    </m:e>
                    <m:sub>
                      <m:r>
                        <m:t>i</m:t>
                      </m:r>
                    </m:sub>
                  </m:sSub>
                </m:e>
              </m:nary>
              <m:r>
                <m:rPr>
                  <m:sty m:val="p"/>
                </m:rPr>
                <m:t>(</m:t>
              </m:r>
              <m:r>
                <m:t>p</m:t>
              </m:r>
              <m:r>
                <m:rPr>
                  <m:sty m:val="p"/>
                </m:rPr>
                <m:t>)</m:t>
              </m:r>
            </m:oMath>
          </w:p>
        </w:tc>
      </w:tr>
      <w:tr>
        <w:tc>
          <w:tcPr/>
          <w:p>
            <w:pPr>
              <w:pStyle w:val="Compact"/>
              <w:jc w:val="left"/>
            </w:pPr>
            <w:r>
              <w:t xml:space="preserve">Equilíbrio de curto prazo</w:t>
            </w:r>
          </w:p>
        </w:tc>
        <w:tc>
          <w:tcPr/>
          <w:p>
            <w:pPr>
              <w:pStyle w:val="Compact"/>
              <w:jc w:val="left"/>
            </w:pPr>
            <w:r>
              <w:t xml:space="preserve">Preço que iguala oferta e demanda, dado</w:t>
            </w:r>
            <w:r>
              <w:t xml:space="preserve"> </w:t>
            </w:r>
            <m:oMath>
              <m:r>
                <m:t>m</m:t>
              </m:r>
            </m:oMath>
            <w:r>
              <w:t xml:space="preserve"> </w:t>
            </w:r>
            <w:r>
              <w:t xml:space="preserve">firmas</w:t>
            </w:r>
          </w:p>
        </w:tc>
        <w:tc>
          <w:tcPr/>
          <w:p>
            <w:pPr>
              <w:pStyle w:val="Compact"/>
              <w:jc w:val="left"/>
            </w:pPr>
            <m:oMath>
              <m:r>
                <m:t>X</m:t>
              </m:r>
              <m:r>
                <m:rPr>
                  <m:sty m:val="p"/>
                </m:rPr>
                <m:t>(</m:t>
              </m:r>
              <m:sSup>
                <m:e>
                  <m:r>
                    <m:t>p</m:t>
                  </m:r>
                </m:e>
                <m:sup>
                  <m:r>
                    <m:rPr>
                      <m:sty m:val="p"/>
                    </m:rPr>
                    <m:t>*</m:t>
                  </m:r>
                </m:sup>
              </m:sSup>
              <m:r>
                <m:rPr>
                  <m:sty m:val="p"/>
                </m:rPr>
                <m:t>)</m:t>
              </m:r>
              <m:r>
                <m:rPr>
                  <m:sty m:val="p"/>
                </m:rPr>
                <m:t>=</m:t>
              </m:r>
              <m:r>
                <m:t>S</m:t>
              </m:r>
              <m:r>
                <m:rPr>
                  <m:sty m:val="p"/>
                </m:rPr>
                <m:t>(</m:t>
              </m:r>
              <m:sSup>
                <m:e>
                  <m:r>
                    <m:t>p</m:t>
                  </m:r>
                </m:e>
                <m:sup>
                  <m:r>
                    <m:rPr>
                      <m:sty m:val="p"/>
                    </m:rPr>
                    <m:t>*</m:t>
                  </m:r>
                </m:sup>
              </m:sSup>
              <m:r>
                <m:rPr>
                  <m:sty m:val="p"/>
                </m:rPr>
                <m:t>)</m:t>
              </m:r>
            </m:oMath>
          </w:p>
        </w:tc>
      </w:tr>
      <w:tr>
        <w:tc>
          <w:tcPr/>
          <w:p>
            <w:pPr>
              <w:pStyle w:val="Compact"/>
              <w:jc w:val="left"/>
            </w:pPr>
            <w:r>
              <w:t xml:space="preserve">Estática comparativa</w:t>
            </w:r>
          </w:p>
        </w:tc>
        <w:tc>
          <w:tcPr/>
          <w:p>
            <w:pPr>
              <w:pStyle w:val="Compact"/>
              <w:jc w:val="left"/>
            </w:pPr>
            <w:r>
              <w:t xml:space="preserve">Comparação entre equilíbrios antes/depois de um choque</w:t>
            </w:r>
          </w:p>
        </w:tc>
        <w:tc>
          <w:tcPr/>
          <w:p>
            <w:pPr>
              <w:pStyle w:val="Compact"/>
              <w:jc w:val="left"/>
            </w:pPr>
            <m:oMath>
              <m:r>
                <m:t>d</m:t>
              </m:r>
              <m:r>
                <m:t>p</m:t>
              </m:r>
              <m:r>
                <m:rPr>
                  <m:sty m:val="p"/>
                </m:rPr>
                <m:t>/</m:t>
              </m:r>
              <m:r>
                <m:t>d</m:t>
              </m:r>
              <m:r>
                <m:t>α</m:t>
              </m:r>
              <m:r>
                <m:rPr>
                  <m:sty m:val="p"/>
                </m:rPr>
                <m:t>=</m:t>
              </m:r>
              <m:f>
                <m:fPr>
                  <m:type m:val="bar"/>
                </m:fPr>
                <m:num>
                  <m:r>
                    <m:rPr>
                      <m:sty m:val="p"/>
                    </m:rPr>
                    <m:t>∂</m:t>
                  </m:r>
                  <m:r>
                    <m:t>X</m:t>
                  </m:r>
                  <m:r>
                    <m:rPr>
                      <m:sty m:val="p"/>
                    </m:rPr>
                    <m:t>/</m:t>
                  </m:r>
                  <m:r>
                    <m:rPr>
                      <m:sty m:val="p"/>
                    </m:rPr>
                    <m:t>∂</m:t>
                  </m:r>
                  <m:r>
                    <m:t>α</m:t>
                  </m:r>
                </m:num>
                <m:den>
                  <m:r>
                    <m:rPr>
                      <m:sty m:val="p"/>
                    </m:rPr>
                    <m:t>∂</m:t>
                  </m:r>
                  <m:r>
                    <m:t>S</m:t>
                  </m:r>
                  <m:r>
                    <m:rPr>
                      <m:sty m:val="p"/>
                    </m:rPr>
                    <m:t>/</m:t>
                  </m:r>
                  <m:r>
                    <m:rPr>
                      <m:sty m:val="p"/>
                    </m:rPr>
                    <m:t>∂</m:t>
                  </m:r>
                  <m:r>
                    <m:t>p</m:t>
                  </m:r>
                  <m:r>
                    <m:rPr>
                      <m:sty m:val="p"/>
                    </m:rPr>
                    <m:t>−</m:t>
                  </m:r>
                  <m:r>
                    <m:rPr>
                      <m:sty m:val="p"/>
                    </m:rPr>
                    <m:t>∂</m:t>
                  </m:r>
                  <m:r>
                    <m:t>X</m:t>
                  </m:r>
                  <m:r>
                    <m:rPr>
                      <m:sty m:val="p"/>
                    </m:rPr>
                    <m:t>/</m:t>
                  </m:r>
                  <m:r>
                    <m:rPr>
                      <m:sty m:val="p"/>
                    </m:rPr>
                    <m:t>∂</m:t>
                  </m:r>
                  <m:r>
                    <m:t>p</m:t>
                  </m:r>
                </m:den>
              </m:f>
            </m:oMath>
          </w:p>
        </w:tc>
      </w:tr>
      <w:tr>
        <w:tc>
          <w:tcPr/>
          <w:p>
            <w:pPr>
              <w:pStyle w:val="Compact"/>
              <w:jc w:val="left"/>
            </w:pPr>
            <w:r>
              <w:t xml:space="preserve">Equilíbrio de longo prazo</w:t>
            </w:r>
          </w:p>
        </w:tc>
        <w:tc>
          <w:tcPr/>
          <w:p>
            <w:pPr>
              <w:pStyle w:val="Compact"/>
              <w:jc w:val="left"/>
            </w:pPr>
            <w:r>
              <w:t xml:space="preserve">Lucro zero com entrada/saída endógena</w:t>
            </w:r>
          </w:p>
        </w:tc>
        <w:tc>
          <w:tcPr/>
          <w:p>
            <w:pPr>
              <w:pStyle w:val="Compact"/>
              <w:jc w:val="left"/>
            </w:pPr>
            <m:oMath>
              <m:sSup>
                <m:e>
                  <m:r>
                    <m:t>p</m:t>
                  </m:r>
                </m:e>
                <m:sup>
                  <m:r>
                    <m:rPr>
                      <m:sty m:val="p"/>
                    </m:rPr>
                    <m:t>*</m:t>
                  </m:r>
                </m:sup>
              </m:sSup>
              <m:r>
                <m:rPr>
                  <m:sty m:val="p"/>
                </m:rPr>
                <m:t>=</m:t>
              </m:r>
              <m:r>
                <m:t>C</m:t>
              </m:r>
              <m:r>
                <m:t>T</m:t>
              </m:r>
              <m:r>
                <m:t>M</m:t>
              </m:r>
              <m:sSub>
                <m:e>
                  <m:r>
                    <m:t>e</m:t>
                  </m:r>
                </m:e>
                <m:sub>
                  <m:r>
                    <m:rPr>
                      <m:sty m:val="p"/>
                    </m:rPr>
                    <m:t>min</m:t>
                  </m:r>
                </m:sub>
              </m:sSub>
            </m:oMath>
          </w:p>
        </w:tc>
      </w:tr>
      <w:tr>
        <w:tc>
          <w:tcPr/>
          <w:p>
            <w:pPr>
              <w:pStyle w:val="Compact"/>
              <w:jc w:val="left"/>
            </w:pPr>
            <w:r>
              <w:t xml:space="preserve">Renda ricardiana</w:t>
            </w:r>
          </w:p>
        </w:tc>
        <w:tc>
          <w:tcPr/>
          <w:p>
            <w:pPr>
              <w:pStyle w:val="Compact"/>
              <w:jc w:val="left"/>
            </w:pPr>
            <w:r>
              <w:t xml:space="preserve">Lucro econômico de firmas inframarginais</w:t>
            </w:r>
          </w:p>
        </w:tc>
        <w:tc>
          <w:tcPr/>
          <w:p>
            <w:pPr>
              <w:pStyle w:val="Compact"/>
              <w:jc w:val="left"/>
            </w:pPr>
            <m:oMath>
              <m:r>
                <m:rPr>
                  <m:sty m:val="p"/>
                </m:rPr>
                <m:t>(</m:t>
              </m:r>
              <m:sSup>
                <m:e>
                  <m:r>
                    <m:t>p</m:t>
                  </m:r>
                </m:e>
                <m:sup>
                  <m:r>
                    <m:rPr>
                      <m:sty m:val="p"/>
                    </m:rPr>
                    <m:t>*</m:t>
                  </m:r>
                </m:sup>
              </m:sSup>
              <m:r>
                <m:rPr>
                  <m:sty m:val="p"/>
                </m:rPr>
                <m:t>−</m:t>
              </m:r>
              <m:r>
                <m:t>C</m:t>
              </m:r>
              <m:r>
                <m:t>T</m:t>
              </m:r>
              <m:r>
                <m:t>M</m:t>
              </m:r>
              <m:sSub>
                <m:e>
                  <m:r>
                    <m:t>e</m:t>
                  </m:r>
                </m:e>
                <m:sub>
                  <m:r>
                    <m:t>j</m:t>
                  </m:r>
                </m:sub>
              </m:sSub>
              <m:r>
                <m:rPr>
                  <m:sty m:val="p"/>
                </m:rPr>
                <m:t>)</m:t>
              </m:r>
              <m:r>
                <m:rPr>
                  <m:sty m:val="p"/>
                </m:rPr>
                <m:t>⋅</m:t>
              </m:r>
              <m:sSubSup>
                <m:e>
                  <m:r>
                    <m:t>q</m:t>
                  </m:r>
                </m:e>
                <m:sub>
                  <m:r>
                    <m:t>j</m:t>
                  </m:r>
                </m:sub>
                <m:sup>
                  <m:r>
                    <m:rPr>
                      <m:sty m:val="p"/>
                    </m:rPr>
                    <m:t>*</m:t>
                  </m:r>
                </m:sup>
              </m:sSubSup>
            </m:oMath>
          </w:p>
        </w:tc>
      </w:tr>
      <w:tr>
        <w:tc>
          <w:tcPr/>
          <w:p>
            <w:pPr>
              <w:pStyle w:val="Compact"/>
              <w:jc w:val="left"/>
            </w:pPr>
            <w:r>
              <w:t xml:space="preserve">Excedente do consumidor</w:t>
            </w:r>
          </w:p>
        </w:tc>
        <w:tc>
          <w:tcPr/>
          <w:p>
            <w:pPr>
              <w:pStyle w:val="Compact"/>
              <w:jc w:val="left"/>
            </w:pPr>
            <w:r>
              <w:t xml:space="preserve">Área entre demanda e preço</w:t>
            </w:r>
          </w:p>
        </w:tc>
        <w:tc>
          <w:tcPr/>
          <w:p>
            <w:pPr>
              <w:pStyle w:val="Compact"/>
              <w:jc w:val="left"/>
            </w:pPr>
            <m:oMath>
              <m:r>
                <m:t>E</m:t>
              </m:r>
              <m:r>
                <m:t>C</m:t>
              </m:r>
              <m:r>
                <m:rPr>
                  <m:sty m:val="p"/>
                </m:rPr>
                <m:t>=</m:t>
              </m:r>
              <m:nary>
                <m:naryPr>
                  <m:chr m:val="∫"/>
                  <m:limLoc m:val="subSup"/>
                  <m:subHide m:val="off"/>
                  <m:supHide m:val="off"/>
                </m:naryPr>
                <m:sub>
                  <m:r>
                    <m:t>0</m:t>
                  </m:r>
                </m:sub>
                <m:sup>
                  <m:sSup>
                    <m:e>
                      <m:r>
                        <m:t>Q</m:t>
                      </m:r>
                    </m:e>
                    <m:sup>
                      <m:r>
                        <m:rPr>
                          <m:sty m:val="p"/>
                        </m:rPr>
                        <m:t>*</m:t>
                      </m:r>
                    </m:sup>
                  </m:sSup>
                </m:sup>
                <m:e>
                  <m:sSup>
                    <m:e>
                      <m:r>
                        <m:t>p</m:t>
                      </m:r>
                    </m:e>
                    <m:sup>
                      <m:r>
                        <m:t>d</m:t>
                      </m:r>
                    </m:sup>
                  </m:sSup>
                </m:e>
              </m:nary>
              <m:r>
                <m:rPr>
                  <m:sty m:val="p"/>
                </m:rPr>
                <m:t>(</m:t>
              </m:r>
              <m:r>
                <m:t>Q</m:t>
              </m:r>
              <m:r>
                <m:rPr>
                  <m:sty m:val="p"/>
                </m:rPr>
                <m:t>)</m:t>
              </m:r>
              <m:r>
                <m:t> </m:t>
              </m:r>
              <m:r>
                <m:t>d</m:t>
              </m:r>
              <m:r>
                <m:t>Q</m:t>
              </m:r>
              <m:r>
                <m:rPr>
                  <m:sty m:val="p"/>
                </m:rPr>
                <m:t>−</m:t>
              </m:r>
              <m:sSup>
                <m:e>
                  <m:r>
                    <m:t>p</m:t>
                  </m:r>
                </m:e>
                <m:sup>
                  <m:r>
                    <m:rPr>
                      <m:sty m:val="p"/>
                    </m:rPr>
                    <m:t>*</m:t>
                  </m:r>
                </m:sup>
              </m:sSup>
              <m:sSup>
                <m:e>
                  <m:r>
                    <m:t>Q</m:t>
                  </m:r>
                </m:e>
                <m:sup>
                  <m:r>
                    <m:rPr>
                      <m:sty m:val="p"/>
                    </m:rPr>
                    <m:t>*</m:t>
                  </m:r>
                </m:sup>
              </m:sSup>
            </m:oMath>
          </w:p>
        </w:tc>
      </w:tr>
      <w:tr>
        <w:tc>
          <w:tcPr/>
          <w:p>
            <w:pPr>
              <w:pStyle w:val="Compact"/>
              <w:jc w:val="left"/>
            </w:pPr>
            <w:r>
              <w:t xml:space="preserve">Excedente do produtor</w:t>
            </w:r>
          </w:p>
        </w:tc>
        <w:tc>
          <w:tcPr/>
          <w:p>
            <w:pPr>
              <w:pStyle w:val="Compact"/>
              <w:jc w:val="left"/>
            </w:pPr>
            <w:r>
              <w:t xml:space="preserve">Área entre preço e oferta</w:t>
            </w:r>
          </w:p>
        </w:tc>
        <w:tc>
          <w:tcPr/>
          <w:p>
            <w:pPr>
              <w:pStyle w:val="Compact"/>
              <w:jc w:val="left"/>
            </w:pPr>
            <m:oMath>
              <m:r>
                <m:t>E</m:t>
              </m:r>
              <m:r>
                <m:t>P</m:t>
              </m:r>
              <m:r>
                <m:rPr>
                  <m:sty m:val="p"/>
                </m:rPr>
                <m:t>=</m:t>
              </m:r>
              <m:sSup>
                <m:e>
                  <m:r>
                    <m:t>p</m:t>
                  </m:r>
                </m:e>
                <m:sup>
                  <m:r>
                    <m:rPr>
                      <m:sty m:val="p"/>
                    </m:rPr>
                    <m:t>*</m:t>
                  </m:r>
                </m:sup>
              </m:sSup>
              <m:sSup>
                <m:e>
                  <m:r>
                    <m:t>Q</m:t>
                  </m:r>
                </m:e>
                <m:sup>
                  <m:r>
                    <m:rPr>
                      <m:sty m:val="p"/>
                    </m:rPr>
                    <m:t>*</m:t>
                  </m:r>
                </m:sup>
              </m:sSup>
              <m:r>
                <m:rPr>
                  <m:sty m:val="p"/>
                </m:rPr>
                <m:t>−</m:t>
              </m:r>
              <m:nary>
                <m:naryPr>
                  <m:chr m:val="∫"/>
                  <m:limLoc m:val="subSup"/>
                  <m:subHide m:val="off"/>
                  <m:supHide m:val="off"/>
                </m:naryPr>
                <m:sub>
                  <m:r>
                    <m:t>0</m:t>
                  </m:r>
                </m:sub>
                <m:sup>
                  <m:sSup>
                    <m:e>
                      <m:r>
                        <m:t>Q</m:t>
                      </m:r>
                    </m:e>
                    <m:sup>
                      <m:r>
                        <m:rPr>
                          <m:sty m:val="p"/>
                        </m:rPr>
                        <m:t>*</m:t>
                      </m:r>
                    </m:sup>
                  </m:sSup>
                </m:sup>
                <m:e>
                  <m:r>
                    <m:t>C</m:t>
                  </m:r>
                </m:e>
              </m:nary>
              <m:r>
                <m:t>M</m:t>
              </m:r>
              <m:r>
                <m:t>g</m:t>
              </m:r>
              <m:r>
                <m:rPr>
                  <m:sty m:val="p"/>
                </m:rPr>
                <m:t>(</m:t>
              </m:r>
              <m:r>
                <m:t>Q</m:t>
              </m:r>
              <m:r>
                <m:rPr>
                  <m:sty m:val="p"/>
                </m:rPr>
                <m:t>)</m:t>
              </m:r>
              <m:r>
                <m:t> </m:t>
              </m:r>
              <m:r>
                <m:t>d</m:t>
              </m:r>
              <m:r>
                <m:t>Q</m:t>
              </m:r>
            </m:oMath>
          </w:p>
        </w:tc>
      </w:tr>
      <w:tr>
        <w:tc>
          <w:tcPr/>
          <w:p>
            <w:pPr>
              <w:pStyle w:val="Compact"/>
              <w:jc w:val="left"/>
            </w:pPr>
            <w:r>
              <w:t xml:space="preserve">Incidência tributária</w:t>
            </w:r>
          </w:p>
        </w:tc>
        <w:tc>
          <w:tcPr/>
          <w:p>
            <w:pPr>
              <w:pStyle w:val="Compact"/>
              <w:jc w:val="left"/>
            </w:pPr>
            <w:r>
              <w:t xml:space="preserve">Divisão da carga conforme elasticidades</w:t>
            </w:r>
          </w:p>
        </w:tc>
        <w:tc>
          <w:tcPr/>
          <w:p>
            <w:pPr>
              <w:pStyle w:val="Compact"/>
              <w:jc w:val="left"/>
            </w:pPr>
            <m:oMath>
              <m:sSub>
                <m:e>
                  <m:r>
                    <m:rPr>
                      <m:nor/>
                      <m:sty m:val="p"/>
                    </m:rPr>
                    <m:t>Fração</m:t>
                  </m:r>
                </m:e>
                <m:sub>
                  <m:r>
                    <m:t>C</m:t>
                  </m:r>
                </m:sub>
              </m:sSub>
              <m:r>
                <m:rPr>
                  <m:sty m:val="p"/>
                </m:rPr>
                <m:t>=</m:t>
              </m:r>
              <m:sSub>
                <m:e>
                  <m:r>
                    <m:t>ε</m:t>
                  </m:r>
                </m:e>
                <m:sub>
                  <m:r>
                    <m:t>S</m:t>
                  </m:r>
                </m:sub>
              </m:sSub>
              <m:r>
                <m:rPr>
                  <m:sty m:val="p"/>
                </m:rPr>
                <m:t>/</m:t>
              </m:r>
              <m:r>
                <m:rPr>
                  <m:sty m:val="p"/>
                </m:rPr>
                <m:t>(</m:t>
              </m:r>
              <m:sSub>
                <m:e>
                  <m:r>
                    <m:t>ε</m:t>
                  </m:r>
                </m:e>
                <m:sub>
                  <m:r>
                    <m:t>S</m:t>
                  </m:r>
                </m:sub>
              </m:sSub>
              <m:r>
                <m:rPr>
                  <m:sty m:val="p"/>
                </m:rPr>
                <m:t>+</m:t>
              </m:r>
              <m:r>
                <m:rPr>
                  <m:sty m:val="p"/>
                </m:rPr>
                <m:t>|</m:t>
              </m:r>
              <m:sSub>
                <m:e>
                  <m:r>
                    <m:t>ε</m:t>
                  </m:r>
                </m:e>
                <m:sub>
                  <m:r>
                    <m:t>D</m:t>
                  </m:r>
                </m:sub>
              </m:sSub>
              <m:r>
                <m:rPr>
                  <m:sty m:val="p"/>
                </m:rPr>
                <m:t>|</m:t>
              </m:r>
              <m:r>
                <m:rPr>
                  <m:sty m:val="p"/>
                </m:rPr>
                <m:t>)</m:t>
              </m:r>
            </m:oMath>
          </w:p>
        </w:tc>
      </w:tr>
      <w:tr>
        <w:tc>
          <w:tcPr/>
          <w:p>
            <w:pPr>
              <w:pStyle w:val="Compact"/>
              <w:jc w:val="left"/>
            </w:pPr>
            <w:r>
              <w:t xml:space="preserve">Perda de peso morto</w:t>
            </w:r>
          </w:p>
        </w:tc>
        <w:tc>
          <w:tcPr/>
          <w:p>
            <w:pPr>
              <w:pStyle w:val="Compact"/>
              <w:jc w:val="left"/>
            </w:pPr>
            <w:r>
              <w:t xml:space="preserve">Excedente destruído por distorção</w:t>
            </w:r>
          </w:p>
        </w:tc>
        <w:tc>
          <w:tcPr/>
          <w:p>
            <w:pPr>
              <w:pStyle w:val="Compact"/>
              <w:jc w:val="left"/>
            </w:pPr>
            <m:oMath>
              <m:r>
                <m:t>P</m:t>
              </m:r>
              <m:r>
                <m:t>P</m:t>
              </m:r>
              <m:r>
                <m:t>M</m:t>
              </m:r>
              <m:r>
                <m:rPr>
                  <m:sty m:val="p"/>
                </m:rPr>
                <m:t>≈</m:t>
              </m:r>
              <m:f>
                <m:fPr>
                  <m:type m:val="bar"/>
                </m:fPr>
                <m:num>
                  <m:r>
                    <m:t>1</m:t>
                  </m:r>
                </m:num>
                <m:den>
                  <m:r>
                    <m:t>2</m:t>
                  </m:r>
                </m:den>
              </m:f>
              <m:f>
                <m:fPr>
                  <m:type m:val="bar"/>
                </m:fPr>
                <m:num>
                  <m:r>
                    <m:rPr>
                      <m:sty m:val="p"/>
                    </m:rPr>
                    <m:t>|</m:t>
                  </m:r>
                  <m:sSub>
                    <m:e>
                      <m:r>
                        <m:t>ε</m:t>
                      </m:r>
                    </m:e>
                    <m:sub>
                      <m:r>
                        <m:t>D</m:t>
                      </m:r>
                    </m:sub>
                  </m:sSub>
                  <m:r>
                    <m:rPr>
                      <m:sty m:val="p"/>
                    </m:rPr>
                    <m:t>|</m:t>
                  </m:r>
                  <m:sSub>
                    <m:e>
                      <m:r>
                        <m:t>ε</m:t>
                      </m:r>
                    </m:e>
                    <m:sub>
                      <m:r>
                        <m:t>S</m:t>
                      </m:r>
                    </m:sub>
                  </m:sSub>
                </m:num>
                <m:den>
                  <m:r>
                    <m:rPr>
                      <m:sty m:val="p"/>
                    </m:rPr>
                    <m:t>|</m:t>
                  </m:r>
                  <m:sSub>
                    <m:e>
                      <m:r>
                        <m:t>ε</m:t>
                      </m:r>
                    </m:e>
                    <m:sub>
                      <m:r>
                        <m:t>D</m:t>
                      </m:r>
                    </m:sub>
                  </m:sSub>
                  <m:r>
                    <m:rPr>
                      <m:sty m:val="p"/>
                    </m:rPr>
                    <m:t>|</m:t>
                  </m:r>
                  <m:r>
                    <m:rPr>
                      <m:sty m:val="p"/>
                    </m:rPr>
                    <m:t>+</m:t>
                  </m:r>
                  <m:sSub>
                    <m:e>
                      <m:r>
                        <m:t>ε</m:t>
                      </m:r>
                    </m:e>
                    <m:sub>
                      <m:r>
                        <m:t>S</m:t>
                      </m:r>
                    </m:sub>
                  </m:sSub>
                </m:den>
              </m:f>
              <m:f>
                <m:fPr>
                  <m:type m:val="bar"/>
                </m:fPr>
                <m:num>
                  <m:sSup>
                    <m:e>
                      <m:r>
                        <m:t>t</m:t>
                      </m:r>
                    </m:e>
                    <m:sup>
                      <m:r>
                        <m:t>2</m:t>
                      </m:r>
                    </m:sup>
                  </m:sSup>
                </m:num>
                <m:den>
                  <m:sSup>
                    <m:e>
                      <m:r>
                        <m:t>p</m:t>
                      </m:r>
                    </m:e>
                    <m:sup>
                      <m:r>
                        <m:rPr>
                          <m:sty m:val="p"/>
                        </m:rPr>
                        <m:t>*</m:t>
                      </m:r>
                    </m:sup>
                  </m:sSup>
                </m:den>
              </m:f>
              <m:sSup>
                <m:e>
                  <m:r>
                    <m:t>Q</m:t>
                  </m:r>
                </m:e>
                <m:sup>
                  <m:r>
                    <m:rPr>
                      <m:sty m:val="p"/>
                    </m:rPr>
                    <m:t>*</m:t>
                  </m:r>
                </m:sup>
              </m:sSup>
            </m:oMath>
          </w:p>
        </w:tc>
      </w:tr>
    </w:tbl>
    <w:p>
      <w:r>
        <w:pict>
          <v:rect style="width:0;height:1.5pt" o:hralign="center" o:hrstd="t" o:hr="t"/>
        </w:pict>
      </w:r>
    </w:p>
    <w:bookmarkEnd w:id="834"/>
    <w:bookmarkStart w:id="835" w:name="exercícios-17"/>
    <w:p>
      <w:pPr>
        <w:pStyle w:val="Heading3"/>
      </w:pPr>
      <w:r>
        <w:t xml:space="preserve">Exercícios</w:t>
      </w:r>
    </w:p>
    <w:p>
      <w:pPr>
        <w:pStyle w:val="BlockText"/>
      </w:pPr>
      <w:r>
        <w:rPr>
          <w:b/>
          <w:bCs/>
        </w:rPr>
        <w:t xml:space="preserve">[EXERCICIO PROPOSTO] Exercício 13.1 — Equilíbrio, excedentes e imposto</w:t>
      </w:r>
    </w:p>
    <w:p>
      <w:pPr>
        <w:pStyle w:val="BlockText"/>
      </w:pPr>
      <w:r>
        <w:t xml:space="preserve">Considere um mercado com 100 consumidores idênticos, cada um com demanda individual</w:t>
      </w:r>
      <w:r>
        <w:t xml:space="preserve"> </w:t>
      </w:r>
      <m:oMath>
        <m:sSub>
          <m:e>
            <m:r>
              <m:t>q</m:t>
            </m:r>
          </m:e>
          <m:sub>
            <m:r>
              <m:t>d</m:t>
            </m:r>
          </m:sub>
        </m:sSub>
        <m:r>
          <m:rPr>
            <m:sty m:val="p"/>
          </m:rPr>
          <m:t>=</m:t>
        </m:r>
        <m:r>
          <m:t>20</m:t>
        </m:r>
        <m:r>
          <m:rPr>
            <m:sty m:val="p"/>
          </m:rPr>
          <m:t>−</m:t>
        </m:r>
        <m:r>
          <m:t>2</m:t>
        </m:r>
        <m:r>
          <m:t>p</m:t>
        </m:r>
      </m:oMath>
      <w:r>
        <w:t xml:space="preserve">, e 50 firmas idênticas, cada uma com oferta individual</w:t>
      </w:r>
      <w:r>
        <w:t xml:space="preserve"> </w:t>
      </w:r>
      <m:oMath>
        <m:sSub>
          <m:e>
            <m:r>
              <m:t>q</m:t>
            </m:r>
          </m:e>
          <m:sub>
            <m:r>
              <m:t>s</m:t>
            </m:r>
          </m:sub>
        </m:sSub>
        <m:r>
          <m:rPr>
            <m:sty m:val="p"/>
          </m:rPr>
          <m:t>=</m:t>
        </m:r>
        <m:r>
          <m:t>4</m:t>
        </m:r>
        <m:r>
          <m:t>p</m:t>
        </m:r>
        <m:r>
          <m:rPr>
            <m:sty m:val="p"/>
          </m:rPr>
          <m:t>−</m:t>
        </m:r>
        <m:r>
          <m:t>10</m:t>
        </m:r>
      </m:oMath>
      <w:r>
        <w:t xml:space="preserve"> </w:t>
      </w:r>
      <w:r>
        <w:t xml:space="preserve">(para</w:t>
      </w:r>
      <w:r>
        <w:t xml:space="preserve"> </w:t>
      </w:r>
      <m:oMath>
        <m:r>
          <m:t>p</m:t>
        </m:r>
        <m:r>
          <m:rPr>
            <m:sty m:val="p"/>
          </m:rPr>
          <m:t>≥</m:t>
        </m:r>
        <m:r>
          <m:t>2</m:t>
        </m:r>
        <m:r>
          <m:rPr>
            <m:sty m:val="p"/>
          </m:rPr>
          <m:t>,</m:t>
        </m:r>
        <m:r>
          <m:t>5</m:t>
        </m:r>
      </m:oMath>
      <w:r>
        <w:t xml:space="preserve">).</w:t>
      </w:r>
    </w:p>
    <w:p>
      <w:pPr>
        <w:pStyle w:val="BlockText"/>
      </w:pPr>
      <w:r>
        <w:rPr>
          <w:b/>
          <w:bCs/>
        </w:rPr>
        <w:t xml:space="preserve">(a)</w:t>
      </w:r>
      <w:r>
        <w:t xml:space="preserve"> </w:t>
      </w:r>
      <w:r>
        <w:t xml:space="preserve">Derive a demanda de mercado e a oferta de mercado.</w:t>
      </w:r>
    </w:p>
    <w:p>
      <w:pPr>
        <w:pStyle w:val="BlockText"/>
      </w:pPr>
      <w:r>
        <w:rPr>
          <w:b/>
          <w:bCs/>
        </w:rPr>
        <w:t xml:space="preserve">(b)</w:t>
      </w:r>
      <w:r>
        <w:t xml:space="preserve"> </w:t>
      </w:r>
      <w:r>
        <w:t xml:space="preserve">Calcule o preço e a quantidade de equilíbrio.</w:t>
      </w:r>
    </w:p>
    <w:p>
      <w:pPr>
        <w:pStyle w:val="BlockText"/>
      </w:pPr>
      <w:r>
        <w:rPr>
          <w:b/>
          <w:bCs/>
        </w:rPr>
        <w:t xml:space="preserve">(c)</w:t>
      </w:r>
      <w:r>
        <w:t xml:space="preserve"> </w:t>
      </w:r>
      <w:r>
        <w:t xml:space="preserve">Calcule o excedente do consumidor e o excedente do produtor.</w:t>
      </w:r>
    </w:p>
    <w:p>
      <w:pPr>
        <w:pStyle w:val="BlockText"/>
      </w:pPr>
      <w:r>
        <w:rPr>
          <w:b/>
          <w:bCs/>
        </w:rPr>
        <w:t xml:space="preserve">(d)</w:t>
      </w:r>
      <w:r>
        <w:t xml:space="preserve"> </w:t>
      </w:r>
      <w:r>
        <w:t xml:space="preserve">Se o governo impõe um imposto específico de</w:t>
      </w:r>
      <w:r>
        <w:t xml:space="preserve"> </w:t>
      </w:r>
      <m:oMath>
        <m:r>
          <m:t>t</m:t>
        </m:r>
        <m:r>
          <m:rPr>
            <m:sty m:val="p"/>
          </m:rPr>
          <m:t>=</m:t>
        </m:r>
        <m:r>
          <m:t>2</m:t>
        </m:r>
      </m:oMath>
      <w:r>
        <w:t xml:space="preserve"> </w:t>
      </w:r>
      <w:r>
        <w:t xml:space="preserve">por unidade sobre os produtores, calcule o novo preço pago pelo consumidor (</w:t>
      </w:r>
      <m:oMath>
        <m:sSub>
          <m:e>
            <m:r>
              <m:t>p</m:t>
            </m:r>
          </m:e>
          <m:sub>
            <m:r>
              <m:t>c</m:t>
            </m:r>
          </m:sub>
        </m:sSub>
      </m:oMath>
      <w:r>
        <w:t xml:space="preserve">), o preço recebido pelo produtor (</w:t>
      </w:r>
      <m:oMath>
        <m:sSub>
          <m:e>
            <m:r>
              <m:t>p</m:t>
            </m:r>
          </m:e>
          <m:sub>
            <m:r>
              <m:t>p</m:t>
            </m:r>
          </m:sub>
        </m:sSub>
      </m:oMath>
      <w:r>
        <w:t xml:space="preserve">), a nova quantidade, a receita tributária e a perda de peso morto.</w:t>
      </w:r>
    </w:p>
    <w:p>
      <w:pPr>
        <w:pStyle w:val="BlockText"/>
      </w:pPr>
      <w:r>
        <w:t xml:space="preserve">Solução (Cap. 13)</w:t>
      </w:r>
    </w:p>
    <w:p>
      <w:pPr>
        <w:pStyle w:val="BlockText"/>
      </w:pPr>
      <w:r>
        <w:rPr>
          <w:b/>
          <w:bCs/>
        </w:rPr>
        <w:t xml:space="preserve">[EXERCICIO PROPOSTO] Exercício 13.2 — Teto de preço e racionamento</w:t>
      </w:r>
    </w:p>
    <w:p>
      <w:pPr>
        <w:pStyle w:val="BlockText"/>
      </w:pPr>
      <w:r>
        <w:t xml:space="preserve">Um mercado tem demanda</w:t>
      </w:r>
      <w:r>
        <w:t xml:space="preserve"> </w:t>
      </w:r>
      <m:oMath>
        <m:sSub>
          <m:e>
            <m:r>
              <m:t>Q</m:t>
            </m:r>
          </m:e>
          <m:sub>
            <m:r>
              <m:t>D</m:t>
            </m:r>
          </m:sub>
        </m:sSub>
        <m:r>
          <m:rPr>
            <m:sty m:val="p"/>
          </m:rPr>
          <m:t>=</m:t>
        </m:r>
        <m:r>
          <m:t>1000</m:t>
        </m:r>
        <m:r>
          <m:rPr>
            <m:sty m:val="p"/>
          </m:rPr>
          <m:t>−</m:t>
        </m:r>
        <m:r>
          <m:t>50</m:t>
        </m:r>
        <m:r>
          <m:t>p</m:t>
        </m:r>
      </m:oMath>
      <w:r>
        <w:t xml:space="preserve"> </w:t>
      </w:r>
      <w:r>
        <w:t xml:space="preserve">e oferta</w:t>
      </w:r>
      <w:r>
        <w:t xml:space="preserve"> </w:t>
      </w:r>
      <m:oMath>
        <m:sSub>
          <m:e>
            <m:r>
              <m:t>Q</m:t>
            </m:r>
          </m:e>
          <m:sub>
            <m:r>
              <m:t>S</m:t>
            </m:r>
          </m:sub>
        </m:sSub>
        <m:r>
          <m:rPr>
            <m:sty m:val="p"/>
          </m:rPr>
          <m:t>=</m:t>
        </m:r>
        <m:r>
          <m:t>25</m:t>
        </m:r>
        <m:r>
          <m:t>p</m:t>
        </m:r>
        <m:r>
          <m:rPr>
            <m:sty m:val="p"/>
          </m:rPr>
          <m:t>−</m:t>
        </m:r>
        <m:r>
          <m:t>200</m:t>
        </m:r>
      </m:oMath>
      <w:r>
        <w:t xml:space="preserve">.</w:t>
      </w:r>
    </w:p>
    <w:p>
      <w:pPr>
        <w:pStyle w:val="BlockText"/>
      </w:pPr>
      <w:r>
        <w:rPr>
          <w:b/>
          <w:bCs/>
        </w:rPr>
        <w:t xml:space="preserve">(a)</w:t>
      </w:r>
      <w:r>
        <w:t xml:space="preserve"> </w:t>
      </w:r>
      <w:r>
        <w:t xml:space="preserve">Calcule o equilíbrio competitivo.</w:t>
      </w:r>
    </w:p>
    <w:p>
      <w:pPr>
        <w:pStyle w:val="BlockText"/>
      </w:pPr>
      <w:r>
        <w:rPr>
          <w:b/>
          <w:bCs/>
        </w:rPr>
        <w:t xml:space="preserve">(b)</w:t>
      </w:r>
      <w:r>
        <w:t xml:space="preserve"> </w:t>
      </w:r>
      <w:r>
        <w:t xml:space="preserve">O governo impõe um preço máximo de</w:t>
      </w:r>
      <w:r>
        <w:t xml:space="preserve"> </w:t>
      </w:r>
      <m:oMath>
        <m:acc>
          <m:accPr>
            <m:chr m:val="‾"/>
          </m:accPr>
          <m:e>
            <m:r>
              <m:t>p</m:t>
            </m:r>
          </m:e>
        </m:acc>
        <m:r>
          <m:rPr>
            <m:sty m:val="p"/>
          </m:rPr>
          <m:t>=</m:t>
        </m:r>
        <m:r>
          <m:t>10</m:t>
        </m:r>
      </m:oMath>
      <w:r>
        <w:t xml:space="preserve">. Calcule a escassez e a perda de peso morto.</w:t>
      </w:r>
    </w:p>
    <w:p>
      <w:pPr>
        <w:pStyle w:val="BlockText"/>
      </w:pPr>
      <w:r>
        <w:rPr>
          <w:b/>
          <w:bCs/>
        </w:rPr>
        <w:t xml:space="preserve">(c)</w:t>
      </w:r>
      <w:r>
        <w:t xml:space="preserve"> </w:t>
      </w:r>
      <w:r>
        <w:t xml:space="preserve">Compare o excedente do consumidor antes e depois do teto (assumindo racionamento eficiente). Todos os consumidores ganham com o teto?</w:t>
      </w:r>
    </w:p>
    <w:p>
      <w:pPr>
        <w:pStyle w:val="BlockText"/>
      </w:pPr>
      <w:r>
        <w:t xml:space="preserve">Solução (Cap. 13)</w:t>
      </w:r>
    </w:p>
    <w:p>
      <w:pPr>
        <w:pStyle w:val="BlockText"/>
      </w:pPr>
      <w:r>
        <w:rPr>
          <w:b/>
          <w:bCs/>
        </w:rPr>
        <w:t xml:space="preserve">[EXERCICIO PROPOSTO] Exercício 13.3 — Imposto</w:t>
      </w:r>
      <w:r>
        <w:rPr>
          <w:b/>
          <w:bCs/>
        </w:rPr>
        <w:t xml:space="preserve"> </w:t>
      </w:r>
      <w:r>
        <w:rPr>
          <w:b/>
          <w:bCs/>
          <w:i/>
          <w:iCs/>
        </w:rPr>
        <w:t xml:space="preserve">ad valorem</w:t>
      </w:r>
      <w:r>
        <w:rPr>
          <w:b/>
          <w:bCs/>
        </w:rPr>
        <w:t xml:space="preserve"> </w:t>
      </w:r>
      <w:r>
        <w:rPr>
          <w:b/>
          <w:bCs/>
        </w:rPr>
        <w:t xml:space="preserve">e incidência</w:t>
      </w:r>
    </w:p>
    <w:p>
      <w:pPr>
        <w:pStyle w:val="BlockText"/>
      </w:pPr>
      <w:r>
        <w:t xml:space="preserve">Mostre que as fórmulas de incidência tributária para um imposto</w:t>
      </w:r>
      <w:r>
        <w:t xml:space="preserve"> </w:t>
      </w:r>
      <w:r>
        <w:rPr>
          <w:i/>
          <w:iCs/>
        </w:rPr>
        <w:t xml:space="preserve">ad valorem</w:t>
      </w:r>
      <w:r>
        <w:t xml:space="preserve"> </w:t>
      </w:r>
      <w:r>
        <w:t xml:space="preserve">(alíquota</w:t>
      </w:r>
      <w:r>
        <w:t xml:space="preserve"> </w:t>
      </w:r>
      <m:oMath>
        <m:r>
          <m:t>τ</m:t>
        </m:r>
      </m:oMath>
      <w:r>
        <w:t xml:space="preserve">, onde</w:t>
      </w:r>
      <w:r>
        <w:t xml:space="preserve"> </w:t>
      </w:r>
      <m:oMath>
        <m:sSub>
          <m:e>
            <m:r>
              <m:t>p</m:t>
            </m:r>
          </m:e>
          <m:sub>
            <m:r>
              <m:t>c</m:t>
            </m:r>
          </m:sub>
        </m:sSub>
        <m:r>
          <m:rPr>
            <m:sty m:val="p"/>
          </m:rPr>
          <m:t>=</m:t>
        </m:r>
        <m:r>
          <m:rPr>
            <m:sty m:val="p"/>
          </m:rPr>
          <m:t>(</m:t>
        </m:r>
        <m:r>
          <m:t>1</m:t>
        </m:r>
        <m:r>
          <m:rPr>
            <m:sty m:val="p"/>
          </m:rPr>
          <m:t>+</m:t>
        </m:r>
        <m:r>
          <m:t>τ</m:t>
        </m:r>
        <m:r>
          <m:rPr>
            <m:sty m:val="p"/>
          </m:rPr>
          <m:t>)</m:t>
        </m:r>
        <m:sSub>
          <m:e>
            <m:r>
              <m:t>p</m:t>
            </m:r>
          </m:e>
          <m:sub>
            <m:r>
              <m:t>p</m:t>
            </m:r>
          </m:sub>
        </m:sSub>
      </m:oMath>
      <w:r>
        <w:t xml:space="preserve">) são idênticas às de um imposto específico. Isto é, a fração da carga arcada pelo consumidor é</w:t>
      </w:r>
      <w:r>
        <w:t xml:space="preserve"> </w:t>
      </w:r>
      <m:oMath>
        <m:sSub>
          <m:e>
            <m:r>
              <m:t>ε</m:t>
            </m:r>
          </m:e>
          <m:sub>
            <m:r>
              <m:t>S</m:t>
            </m:r>
          </m:sub>
        </m:sSub>
        <m:r>
          <m:rPr>
            <m:sty m:val="p"/>
          </m:rPr>
          <m:t>/</m:t>
        </m:r>
        <m:r>
          <m:rPr>
            <m:sty m:val="p"/>
          </m:rPr>
          <m:t>(</m:t>
        </m:r>
        <m:sSub>
          <m:e>
            <m:r>
              <m:t>ε</m:t>
            </m:r>
          </m:e>
          <m:sub>
            <m:r>
              <m:t>S</m:t>
            </m:r>
          </m:sub>
        </m:sSub>
        <m:r>
          <m:rPr>
            <m:sty m:val="p"/>
          </m:rPr>
          <m:t>+</m:t>
        </m:r>
        <m:r>
          <m:rPr>
            <m:sty m:val="p"/>
          </m:rPr>
          <m:t>|</m:t>
        </m:r>
        <m:sSub>
          <m:e>
            <m:r>
              <m:t>ε</m:t>
            </m:r>
          </m:e>
          <m:sub>
            <m:r>
              <m:t>D</m:t>
            </m:r>
          </m:sub>
        </m:sSub>
        <m:r>
          <m:rPr>
            <m:sty m:val="p"/>
          </m:rPr>
          <m:t>|</m:t>
        </m:r>
        <m:r>
          <m:rPr>
            <m:sty m:val="p"/>
          </m:rPr>
          <m:t>)</m:t>
        </m:r>
      </m:oMath>
      <w:r>
        <w:t xml:space="preserve"> </w:t>
      </w:r>
      <w:r>
        <w:t xml:space="preserve">independentemente de o imposto ser específico ou</w:t>
      </w:r>
      <w:r>
        <w:t xml:space="preserve"> </w:t>
      </w:r>
      <w:r>
        <w:rPr>
          <w:i/>
          <w:iCs/>
        </w:rPr>
        <w:t xml:space="preserve">ad valorem</w:t>
      </w:r>
      <w:r>
        <w:t xml:space="preserve">.</w:t>
      </w:r>
    </w:p>
    <w:p>
      <w:pPr>
        <w:pStyle w:val="BlockText"/>
      </w:pPr>
      <w:r>
        <w:rPr>
          <w:i/>
          <w:iCs/>
        </w:rPr>
        <w:t xml:space="preserve">Dica:</w:t>
      </w:r>
      <w:r>
        <w:t xml:space="preserve"> </w:t>
      </w:r>
      <w:r>
        <w:t xml:space="preserve">Diferencie a condição de equilíbrio</w:t>
      </w:r>
      <w:r>
        <w:t xml:space="preserve"> </w:t>
      </w:r>
      <m:oMath>
        <m:sSub>
          <m:e>
            <m:r>
              <m:t>Q</m:t>
            </m:r>
          </m:e>
          <m:sub>
            <m:r>
              <m:t>D</m:t>
            </m:r>
          </m:sub>
        </m:sSub>
        <m:r>
          <m:rPr>
            <m:sty m:val="p"/>
          </m:rPr>
          <m:t>(</m:t>
        </m:r>
        <m:sSub>
          <m:e>
            <m:r>
              <m:t>p</m:t>
            </m:r>
          </m:e>
          <m:sub>
            <m:r>
              <m:t>c</m:t>
            </m:r>
          </m:sub>
        </m:sSub>
        <m:r>
          <m:rPr>
            <m:sty m:val="p"/>
          </m:rPr>
          <m:t>)</m:t>
        </m:r>
        <m:r>
          <m:rPr>
            <m:sty m:val="p"/>
          </m:rPr>
          <m:t>=</m:t>
        </m:r>
        <m:sSub>
          <m:e>
            <m:r>
              <m:t>Q</m:t>
            </m:r>
          </m:e>
          <m:sub>
            <m:r>
              <m:t>S</m:t>
            </m:r>
          </m:sub>
        </m:sSub>
        <m:r>
          <m:rPr>
            <m:sty m:val="p"/>
          </m:rPr>
          <m:t>(</m:t>
        </m:r>
        <m:sSub>
          <m:e>
            <m:r>
              <m:t>p</m:t>
            </m:r>
          </m:e>
          <m:sub>
            <m:r>
              <m:t>p</m:t>
            </m:r>
          </m:sub>
        </m:sSub>
        <m:r>
          <m:rPr>
            <m:sty m:val="p"/>
          </m:rPr>
          <m:t>)</m:t>
        </m:r>
      </m:oMath>
      <w:r>
        <w:t xml:space="preserve"> </w:t>
      </w:r>
      <w:r>
        <w:t xml:space="preserve">sujeita a</w:t>
      </w:r>
      <w:r>
        <w:t xml:space="preserve"> </w:t>
      </w:r>
      <m:oMath>
        <m:sSub>
          <m:e>
            <m:r>
              <m:t>p</m:t>
            </m:r>
          </m:e>
          <m:sub>
            <m:r>
              <m:t>c</m:t>
            </m:r>
          </m:sub>
        </m:sSub>
        <m:r>
          <m:rPr>
            <m:sty m:val="p"/>
          </m:rPr>
          <m:t>=</m:t>
        </m:r>
        <m:r>
          <m:rPr>
            <m:sty m:val="p"/>
          </m:rPr>
          <m:t>(</m:t>
        </m:r>
        <m:r>
          <m:t>1</m:t>
        </m:r>
        <m:r>
          <m:rPr>
            <m:sty m:val="p"/>
          </m:rPr>
          <m:t>+</m:t>
        </m:r>
        <m:r>
          <m:t>τ</m:t>
        </m:r>
        <m:r>
          <m:rPr>
            <m:sty m:val="p"/>
          </m:rPr>
          <m:t>)</m:t>
        </m:r>
        <m:sSub>
          <m:e>
            <m:r>
              <m:t>p</m:t>
            </m:r>
          </m:e>
          <m:sub>
            <m:r>
              <m:t>p</m:t>
            </m:r>
          </m:sub>
        </m:sSub>
      </m:oMath>
      <w:r>
        <w:t xml:space="preserve">.</w:t>
      </w:r>
    </w:p>
    <w:p>
      <w:pPr>
        <w:pStyle w:val="BlockText"/>
      </w:pPr>
      <w:r>
        <w:t xml:space="preserve">Solução (Cap. 13)</w:t>
      </w:r>
    </w:p>
    <w:p>
      <w:pPr>
        <w:pStyle w:val="BlockText"/>
      </w:pPr>
      <w:r>
        <w:rPr>
          <w:b/>
          <w:bCs/>
        </w:rPr>
        <w:t xml:space="preserve">[EXERCICIO PROPOSTO] Exercício 13.4 — Renda ricardiana em indústria de custos crescentes</w:t>
      </w:r>
    </w:p>
    <w:p>
      <w:pPr>
        <w:pStyle w:val="BlockText"/>
      </w:pPr>
      <w:r>
        <w:t xml:space="preserve">Considere uma indústria de custos crescentes cuja curva de oferta de longo prazo é</w:t>
      </w:r>
      <w:r>
        <w:t xml:space="preserve"> </w:t>
      </w:r>
      <m:oMath>
        <m:r>
          <m:t>p</m:t>
        </m:r>
        <m:r>
          <m:rPr>
            <m:sty m:val="p"/>
          </m:rPr>
          <m:t>=</m:t>
        </m:r>
        <m:r>
          <m:t>10</m:t>
        </m:r>
        <m:r>
          <m:rPr>
            <m:sty m:val="p"/>
          </m:rPr>
          <m:t>+</m:t>
        </m:r>
        <m:r>
          <m:t>0</m:t>
        </m:r>
        <m:r>
          <m:rPr>
            <m:sty m:val="p"/>
          </m:rPr>
          <m:t>,</m:t>
        </m:r>
        <m:r>
          <m:t>01</m:t>
        </m:r>
        <m:r>
          <m:t>Q</m:t>
        </m:r>
      </m:oMath>
      <w:r>
        <w:t xml:space="preserve"> </w:t>
      </w:r>
      <w:r>
        <w:t xml:space="preserve">(refletindo o aumento do preço de insumos à medida que a indústria se expande). A demanda é</w:t>
      </w:r>
      <w:r>
        <w:t xml:space="preserve"> </w:t>
      </w:r>
      <m:oMath>
        <m:r>
          <m:t>Q</m:t>
        </m:r>
        <m:r>
          <m:rPr>
            <m:sty m:val="p"/>
          </m:rPr>
          <m:t>=</m:t>
        </m:r>
        <m:r>
          <m:t>2000</m:t>
        </m:r>
        <m:r>
          <m:rPr>
            <m:sty m:val="p"/>
          </m:rPr>
          <m:t>−</m:t>
        </m:r>
        <m:r>
          <m:t>50</m:t>
        </m:r>
        <m:r>
          <m:t>p</m:t>
        </m:r>
      </m:oMath>
      <w:r>
        <w:t xml:space="preserve">.</w:t>
      </w:r>
    </w:p>
    <w:p>
      <w:pPr>
        <w:pStyle w:val="BlockText"/>
      </w:pPr>
      <w:r>
        <w:rPr>
          <w:b/>
          <w:bCs/>
        </w:rPr>
        <w:t xml:space="preserve">(a)</w:t>
      </w:r>
      <w:r>
        <w:t xml:space="preserve"> </w:t>
      </w:r>
      <w:r>
        <w:t xml:space="preserve">Calcule o equilíbrio de longo prazo (preço e quantidade).</w:t>
      </w:r>
    </w:p>
    <w:p>
      <w:pPr>
        <w:pStyle w:val="BlockText"/>
      </w:pPr>
      <w:r>
        <w:rPr>
          <w:b/>
          <w:bCs/>
        </w:rPr>
        <w:t xml:space="preserve">(b)</w:t>
      </w:r>
      <w:r>
        <w:t xml:space="preserve"> </w:t>
      </w:r>
      <w:r>
        <w:t xml:space="preserve">Calcule o excedente do produtor de longo prazo (renda ricardiana total da indústria).</w:t>
      </w:r>
    </w:p>
    <w:p>
      <w:pPr>
        <w:pStyle w:val="BlockText"/>
      </w:pPr>
      <w:r>
        <w:rPr>
          <w:b/>
          <w:bCs/>
        </w:rPr>
        <w:t xml:space="preserve">(c)</w:t>
      </w:r>
      <w:r>
        <w:t xml:space="preserve"> </w:t>
      </w:r>
      <w:r>
        <w:t xml:space="preserve">Se a demanda se desloca para</w:t>
      </w:r>
      <w:r>
        <w:t xml:space="preserve"> </w:t>
      </w:r>
      <m:oMath>
        <m:sSup>
          <m:e>
            <m:r>
              <m:t>Q</m:t>
            </m:r>
          </m:e>
          <m:sup>
            <m:r>
              <m:rPr>
                <m:sty m:val="p"/>
              </m:rPr>
              <m:t>′</m:t>
            </m:r>
          </m:sup>
        </m:sSup>
        <m:r>
          <m:rPr>
            <m:sty m:val="p"/>
          </m:rPr>
          <m:t>=</m:t>
        </m:r>
        <m:r>
          <m:t>2500</m:t>
        </m:r>
        <m:r>
          <m:rPr>
            <m:sty m:val="p"/>
          </m:rPr>
          <m:t>−</m:t>
        </m:r>
        <m:r>
          <m:t>50</m:t>
        </m:r>
        <m:r>
          <m:t>p</m:t>
        </m:r>
      </m:oMath>
      <w:r>
        <w:t xml:space="preserve">, calcule o novo equilíbrio e a variação na renda ricardiana.</w:t>
      </w:r>
    </w:p>
    <w:p>
      <w:pPr>
        <w:pStyle w:val="BlockText"/>
      </w:pPr>
      <w:r>
        <w:rPr>
          <w:i/>
          <w:iCs/>
        </w:rPr>
        <w:t xml:space="preserve">Interprete economicamente o resultado à luz do boom de commodities brasileiro.</w:t>
      </w:r>
    </w:p>
    <w:p>
      <w:pPr>
        <w:pStyle w:val="BlockText"/>
      </w:pPr>
      <w:r>
        <w:t xml:space="preserve">Solução (Cap. 13)</w:t>
      </w:r>
    </w:p>
    <w:p>
      <w:pPr>
        <w:pStyle w:val="BlockText"/>
      </w:pPr>
      <w:r>
        <w:rPr>
          <w:b/>
          <w:bCs/>
        </w:rPr>
        <w:t xml:space="preserve">[EXERCICIO PROPOSTO] Exercício 13.5 — Subsídio e elasticidades: o caso do diesel</w:t>
      </w:r>
    </w:p>
    <w:p>
      <w:pPr>
        <w:pStyle w:val="BlockText"/>
      </w:pPr>
      <w:r>
        <w:t xml:space="preserve">O governo brasileiro avalia um subsídio de R$ 0,30 por litro de diesel. Suponha que a elasticidade-preço da demanda por diesel é</w:t>
      </w:r>
      <w:r>
        <w:t xml:space="preserve"> </w:t>
      </w:r>
      <m:oMath>
        <m:sSub>
          <m:e>
            <m:r>
              <m:t>ε</m:t>
            </m:r>
          </m:e>
          <m:sub>
            <m:r>
              <m:t>D</m:t>
            </m:r>
          </m:sub>
        </m:sSub>
        <m:r>
          <m:rPr>
            <m:sty m:val="p"/>
          </m:rPr>
          <m:t>=</m:t>
        </m:r>
        <m:r>
          <m:rPr>
            <m:sty m:val="p"/>
          </m:rPr>
          <m:t>−</m:t>
        </m:r>
        <m:r>
          <m:t>0</m:t>
        </m:r>
        <m:r>
          <m:rPr>
            <m:sty m:val="p"/>
          </m:rPr>
          <m:t>,</m:t>
        </m:r>
        <m:r>
          <m:t>3</m:t>
        </m:r>
      </m:oMath>
      <w:r>
        <w:t xml:space="preserve"> </w:t>
      </w:r>
      <w:r>
        <w:t xml:space="preserve">e a elasticidade-preço da oferta é</w:t>
      </w:r>
      <w:r>
        <w:t xml:space="preserve"> </w:t>
      </w:r>
      <m:oMath>
        <m:sSub>
          <m:e>
            <m:r>
              <m:t>ε</m:t>
            </m:r>
          </m:e>
          <m:sub>
            <m:r>
              <m:t>S</m:t>
            </m:r>
          </m:sub>
        </m:sSub>
        <m:r>
          <m:rPr>
            <m:sty m:val="p"/>
          </m:rPr>
          <m:t>=</m:t>
        </m:r>
        <m:r>
          <m:t>2</m:t>
        </m:r>
        <m:r>
          <m:rPr>
            <m:sty m:val="p"/>
          </m:rPr>
          <m:t>,</m:t>
        </m:r>
        <m:r>
          <m:t>0</m:t>
        </m:r>
      </m:oMath>
      <w:r>
        <w:t xml:space="preserve">.</w:t>
      </w:r>
    </w:p>
    <w:p>
      <w:pPr>
        <w:pStyle w:val="BlockText"/>
      </w:pPr>
      <w:r>
        <w:rPr>
          <w:b/>
          <w:bCs/>
        </w:rPr>
        <w:t xml:space="preserve">(a)</w:t>
      </w:r>
      <w:r>
        <w:t xml:space="preserve"> </w:t>
      </w:r>
      <w:r>
        <w:t xml:space="preserve">Que fração do subsídio será capturada pelos consumidores e que fração pelos produtores?</w:t>
      </w:r>
    </w:p>
    <w:p>
      <w:pPr>
        <w:pStyle w:val="BlockText"/>
      </w:pPr>
      <w:r>
        <w:rPr>
          <w:b/>
          <w:bCs/>
        </w:rPr>
        <w:t xml:space="preserve">(b)</w:t>
      </w:r>
      <w:r>
        <w:t xml:space="preserve"> </w:t>
      </w:r>
      <w:r>
        <w:t xml:space="preserve">Discuta as implicações dessa política em termos de distribuição e eficiência.</w:t>
      </w:r>
    </w:p>
    <w:p>
      <w:pPr>
        <w:pStyle w:val="BlockText"/>
      </w:pPr>
      <w:r>
        <w:rPr>
          <w:b/>
          <w:bCs/>
        </w:rPr>
        <w:t xml:space="preserve">(c)</w:t>
      </w:r>
      <w:r>
        <w:t xml:space="preserve"> </w:t>
      </w:r>
      <w:r>
        <w:t xml:space="preserve">Calcule a perda de peso morto aproximada do subsídio.</w:t>
      </w:r>
    </w:p>
    <w:p>
      <w:pPr>
        <w:pStyle w:val="BlockText"/>
      </w:pPr>
      <w:r>
        <w:t xml:space="preserve">Solução (Cap. 13)</w:t>
      </w:r>
    </w:p>
    <w:p>
      <w:pPr>
        <w:pStyle w:val="BlockText"/>
      </w:pPr>
      <w:r>
        <w:rPr>
          <w:b/>
          <w:bCs/>
        </w:rPr>
        <w:t xml:space="preserve">[EXERCICIO PROPOSTO] Exercício 13.6 — Análise completa de subsídio</w:t>
      </w:r>
    </w:p>
    <w:p>
      <w:pPr>
        <w:pStyle w:val="BlockText"/>
      </w:pPr>
      <w:r>
        <w:t xml:space="preserve">Um mercado tem demanda</w:t>
      </w:r>
      <w:r>
        <w:t xml:space="preserve"> </w:t>
      </w:r>
      <m:oMath>
        <m:sSub>
          <m:e>
            <m:r>
              <m:t>Q</m:t>
            </m:r>
          </m:e>
          <m:sub>
            <m:r>
              <m:t>D</m:t>
            </m:r>
          </m:sub>
        </m:sSub>
        <m:r>
          <m:rPr>
            <m:sty m:val="p"/>
          </m:rPr>
          <m:t>=</m:t>
        </m:r>
        <m:r>
          <m:t>300</m:t>
        </m:r>
        <m:r>
          <m:rPr>
            <m:sty m:val="p"/>
          </m:rPr>
          <m:t>−</m:t>
        </m:r>
        <m:r>
          <m:t>5</m:t>
        </m:r>
        <m:r>
          <m:t>p</m:t>
        </m:r>
      </m:oMath>
      <w:r>
        <w:t xml:space="preserve"> </w:t>
      </w:r>
      <w:r>
        <w:t xml:space="preserve">e oferta</w:t>
      </w:r>
      <w:r>
        <w:t xml:space="preserve"> </w:t>
      </w:r>
      <m:oMath>
        <m:sSub>
          <m:e>
            <m:r>
              <m:t>Q</m:t>
            </m:r>
          </m:e>
          <m:sub>
            <m:r>
              <m:t>S</m:t>
            </m:r>
          </m:sub>
        </m:sSub>
        <m:r>
          <m:rPr>
            <m:sty m:val="p"/>
          </m:rPr>
          <m:t>=</m:t>
        </m:r>
        <m:r>
          <m:t>3</m:t>
        </m:r>
        <m:r>
          <m:t>p</m:t>
        </m:r>
        <m:r>
          <m:rPr>
            <m:sty m:val="p"/>
          </m:rPr>
          <m:t>−</m:t>
        </m:r>
        <m:r>
          <m:t>60</m:t>
        </m:r>
      </m:oMath>
      <w:r>
        <w:t xml:space="preserve">.</w:t>
      </w:r>
    </w:p>
    <w:p>
      <w:pPr>
        <w:pStyle w:val="BlockText"/>
      </w:pPr>
      <w:r>
        <w:rPr>
          <w:b/>
          <w:bCs/>
        </w:rPr>
        <w:t xml:space="preserve">(a)</w:t>
      </w:r>
      <w:r>
        <w:t xml:space="preserve"> </w:t>
      </w:r>
      <w:r>
        <w:t xml:space="preserve">Calcule o equilíbrio competitivo.</w:t>
      </w:r>
    </w:p>
    <w:p>
      <w:pPr>
        <w:pStyle w:val="BlockText"/>
      </w:pPr>
      <w:r>
        <w:rPr>
          <w:b/>
          <w:bCs/>
        </w:rPr>
        <w:t xml:space="preserve">(b)</w:t>
      </w:r>
      <w:r>
        <w:t xml:space="preserve"> </w:t>
      </w:r>
      <w:r>
        <w:t xml:space="preserve">Calcule EC e EP.</w:t>
      </w:r>
    </w:p>
    <w:p>
      <w:pPr>
        <w:pStyle w:val="BlockText"/>
      </w:pPr>
      <w:r>
        <w:rPr>
          <w:b/>
          <w:bCs/>
        </w:rPr>
        <w:t xml:space="preserve">(c)</w:t>
      </w:r>
      <w:r>
        <w:t xml:space="preserve"> </w:t>
      </w:r>
      <w:r>
        <w:t xml:space="preserve">O governo introduz um subsídio de</w:t>
      </w:r>
      <w:r>
        <w:t xml:space="preserve"> </w:t>
      </w:r>
      <m:oMath>
        <m:r>
          <m:t>s</m:t>
        </m:r>
        <m:r>
          <m:rPr>
            <m:sty m:val="p"/>
          </m:rPr>
          <m:t>=</m:t>
        </m:r>
        <m:r>
          <m:t>8</m:t>
        </m:r>
      </m:oMath>
      <w:r>
        <w:t xml:space="preserve"> </w:t>
      </w:r>
      <w:r>
        <w:t xml:space="preserve">por unidade ao produtor. Calcule o novo equilíbrio (</w:t>
      </w:r>
      <m:oMath>
        <m:sSub>
          <m:e>
            <m:r>
              <m:t>p</m:t>
            </m:r>
          </m:e>
          <m:sub>
            <m:r>
              <m:t>c</m:t>
            </m:r>
          </m:sub>
        </m:sSub>
      </m:oMath>
      <w:r>
        <w:t xml:space="preserve">,</w:t>
      </w:r>
      <w:r>
        <w:t xml:space="preserve"> </w:t>
      </w:r>
      <m:oMath>
        <m:sSub>
          <m:e>
            <m:r>
              <m:t>p</m:t>
            </m:r>
          </m:e>
          <m:sub>
            <m:r>
              <m:t>p</m:t>
            </m:r>
          </m:sub>
        </m:sSub>
      </m:oMath>
      <w:r>
        <w:t xml:space="preserve">,</w:t>
      </w:r>
      <w:r>
        <w:t xml:space="preserve"> </w:t>
      </w:r>
      <m:oMath>
        <m:sSub>
          <m:e>
            <m:r>
              <m:t>Q</m:t>
            </m:r>
          </m:e>
          <m:sub>
            <m:r>
              <m:t>s</m:t>
            </m:r>
          </m:sub>
        </m:sSub>
      </m:oMath>
      <w:r>
        <w:t xml:space="preserve">).</w:t>
      </w:r>
    </w:p>
    <w:p>
      <w:pPr>
        <w:pStyle w:val="BlockText"/>
      </w:pPr>
      <w:r>
        <w:rPr>
          <w:b/>
          <w:bCs/>
        </w:rPr>
        <w:t xml:space="preserve">(d)</w:t>
      </w:r>
      <w:r>
        <w:t xml:space="preserve"> </w:t>
      </w:r>
      <w:r>
        <w:t xml:space="preserve">Calcule o custo total do subsídio para o governo, os novos EC e EP, e a perda de peso morto. Interprete.</w:t>
      </w:r>
    </w:p>
    <w:p>
      <w:pPr>
        <w:pStyle w:val="BlockText"/>
      </w:pPr>
      <w:r>
        <w:t xml:space="preserve">Solução (Cap. 13)</w:t>
      </w:r>
    </w:p>
    <w:p>
      <w:pPr>
        <w:pStyle w:val="BlockText"/>
      </w:pPr>
      <w:r>
        <w:rPr>
          <w:b/>
          <w:bCs/>
        </w:rPr>
        <w:t xml:space="preserve">[EXERCICIO PROPOSTO] Exercício 13.7 — Café orgânico brasileiro e choque de demanda internacional</w:t>
      </w:r>
    </w:p>
    <w:p>
      <w:pPr>
        <w:pStyle w:val="BlockText"/>
      </w:pPr>
      <w:r>
        <w:t xml:space="preserve">O mercado de café orgânico certificado no Brasil tem demanda doméstica</w:t>
      </w:r>
      <w:r>
        <w:t xml:space="preserve"> </w:t>
      </w:r>
      <m:oMath>
        <m:sSub>
          <m:e>
            <m:r>
              <m:t>Q</m:t>
            </m:r>
          </m:e>
          <m:sub>
            <m:r>
              <m:t>D</m:t>
            </m:r>
          </m:sub>
        </m:sSub>
        <m:r>
          <m:rPr>
            <m:sty m:val="p"/>
          </m:rPr>
          <m:t>=</m:t>
        </m:r>
        <m:r>
          <m:t>80</m:t>
        </m:r>
        <m:r>
          <m:rPr>
            <m:sty m:val="p"/>
          </m:rPr>
          <m:t>−</m:t>
        </m:r>
        <m:r>
          <m:t>0</m:t>
        </m:r>
        <m:r>
          <m:rPr>
            <m:sty m:val="p"/>
          </m:rPr>
          <m:t>,</m:t>
        </m:r>
        <m:r>
          <m:t>5</m:t>
        </m:r>
        <m:r>
          <m:t>p</m:t>
        </m:r>
      </m:oMath>
      <w:r>
        <w:t xml:space="preserve"> </w:t>
      </w:r>
      <w:r>
        <w:t xml:space="preserve">e oferta</w:t>
      </w:r>
      <w:r>
        <w:t xml:space="preserve"> </w:t>
      </w:r>
      <m:oMath>
        <m:sSub>
          <m:e>
            <m:r>
              <m:t>Q</m:t>
            </m:r>
          </m:e>
          <m:sub>
            <m:r>
              <m:t>S</m:t>
            </m:r>
          </m:sub>
        </m:sSub>
        <m:r>
          <m:rPr>
            <m:sty m:val="p"/>
          </m:rPr>
          <m:t>=</m:t>
        </m:r>
        <m:r>
          <m:t>0</m:t>
        </m:r>
        <m:r>
          <m:rPr>
            <m:sty m:val="p"/>
          </m:rPr>
          <m:t>,</m:t>
        </m:r>
        <m:r>
          <m:t>3</m:t>
        </m:r>
        <m:r>
          <m:t>p</m:t>
        </m:r>
        <m:r>
          <m:rPr>
            <m:sty m:val="p"/>
          </m:rPr>
          <m:t>−</m:t>
        </m:r>
        <m:r>
          <m:t>16</m:t>
        </m:r>
      </m:oMath>
      <w:r>
        <w:t xml:space="preserve"> </w:t>
      </w:r>
      <w:r>
        <w:t xml:space="preserve">(quantidades em mil toneladas, preço em R$/kg).</w:t>
      </w:r>
    </w:p>
    <w:p>
      <w:pPr>
        <w:pStyle w:val="BlockText"/>
      </w:pPr>
      <w:r>
        <w:rPr>
          <w:b/>
          <w:bCs/>
        </w:rPr>
        <w:t xml:space="preserve">(a)</w:t>
      </w:r>
      <w:r>
        <w:t xml:space="preserve"> </w:t>
      </w:r>
      <w:r>
        <w:t xml:space="preserve">Calcule o equilíbrio inicial.</w:t>
      </w:r>
    </w:p>
    <w:p>
      <w:pPr>
        <w:pStyle w:val="BlockText"/>
      </w:pPr>
      <w:r>
        <w:rPr>
          <w:b/>
          <w:bCs/>
        </w:rPr>
        <w:t xml:space="preserve">(b)</w:t>
      </w:r>
      <w:r>
        <w:t xml:space="preserve"> </w:t>
      </w:r>
      <w:r>
        <w:t xml:space="preserve">Uma onda de demanda internacional por produtos orgânicos desloca a demanda para</w:t>
      </w:r>
      <w:r>
        <w:t xml:space="preserve"> </w:t>
      </w:r>
      <m:oMath>
        <m:sSubSup>
          <m:e>
            <m:r>
              <m:t>Q</m:t>
            </m:r>
          </m:e>
          <m:sub>
            <m:r>
              <m:t>D</m:t>
            </m:r>
          </m:sub>
          <m:sup>
            <m:r>
              <m:rPr>
                <m:sty m:val="p"/>
              </m:rPr>
              <m:t>′</m:t>
            </m:r>
          </m:sup>
        </m:sSubSup>
        <m:r>
          <m:rPr>
            <m:sty m:val="p"/>
          </m:rPr>
          <m:t>=</m:t>
        </m:r>
        <m:r>
          <m:t>104</m:t>
        </m:r>
        <m:r>
          <m:rPr>
            <m:sty m:val="p"/>
          </m:rPr>
          <m:t>−</m:t>
        </m:r>
        <m:r>
          <m:t>0</m:t>
        </m:r>
        <m:r>
          <m:rPr>
            <m:sty m:val="p"/>
          </m:rPr>
          <m:t>,</m:t>
        </m:r>
        <m:r>
          <m:t>5</m:t>
        </m:r>
        <m:r>
          <m:t>p</m:t>
        </m:r>
      </m:oMath>
      <w:r>
        <w:t xml:space="preserve">. Calcule o novo equilíbrio e a variação percentual de preço e quantidade.</w:t>
      </w:r>
    </w:p>
    <w:p>
      <w:pPr>
        <w:pStyle w:val="BlockText"/>
      </w:pPr>
      <w:r>
        <w:rPr>
          <w:b/>
          <w:bCs/>
        </w:rPr>
        <w:t xml:space="preserve">(c)</w:t>
      </w:r>
      <w:r>
        <w:t xml:space="preserve"> </w:t>
      </w:r>
      <w:r>
        <w:t xml:space="preserve">Calcule a variação do excedente do consumidor doméstico e do excedente do produtor.</w:t>
      </w:r>
    </w:p>
    <w:p>
      <w:pPr>
        <w:pStyle w:val="BlockText"/>
      </w:pPr>
      <w:r>
        <w:rPr>
          <w:b/>
          <w:bCs/>
        </w:rPr>
        <w:t xml:space="preserve">(d)</w:t>
      </w:r>
      <w:r>
        <w:t xml:space="preserve"> </w:t>
      </w:r>
      <w:r>
        <w:t xml:space="preserve">Discuta como a elasticidade de oferta de curto prazo (cafezais demoram 3–4 anos para maturar) afeta a magnitude dos efeitos sobre preço e quantidade.</w:t>
      </w:r>
    </w:p>
    <w:p>
      <w:pPr>
        <w:pStyle w:val="BlockText"/>
      </w:pPr>
      <w:r>
        <w:t xml:space="preserve">Solução (Cap. 13)</w:t>
      </w:r>
    </w:p>
    <w:p>
      <w:pPr>
        <w:pStyle w:val="BlockText"/>
      </w:pPr>
      <w:r>
        <w:rPr>
          <w:b/>
          <w:bCs/>
        </w:rPr>
        <w:t xml:space="preserve">[EXERCICIO PROPOSTO] Exercício 13.8 — Incidência, elasticidades e Ramsey</w:t>
      </w:r>
    </w:p>
    <w:p>
      <w:pPr>
        <w:pStyle w:val="BlockText"/>
      </w:pPr>
      <w:r>
        <w:t xml:space="preserve">Em um mercado com</w:t>
      </w:r>
      <w:r>
        <w:t xml:space="preserve"> </w:t>
      </w:r>
      <m:oMath>
        <m:sSup>
          <m:e>
            <m:r>
              <m:t>p</m:t>
            </m:r>
          </m:e>
          <m:sup>
            <m:r>
              <m:rPr>
                <m:sty m:val="p"/>
              </m:rPr>
              <m:t>*</m:t>
            </m:r>
          </m:sup>
        </m:sSup>
        <m:r>
          <m:rPr>
            <m:sty m:val="p"/>
          </m:rPr>
          <m:t>=</m:t>
        </m:r>
        <m:r>
          <m:t>50</m:t>
        </m:r>
      </m:oMath>
      <w:r>
        <w:t xml:space="preserve">,</w:t>
      </w:r>
      <w:r>
        <w:t xml:space="preserve"> </w:t>
      </w:r>
      <m:oMath>
        <m:sSup>
          <m:e>
            <m:r>
              <m:t>Q</m:t>
            </m:r>
          </m:e>
          <m:sup>
            <m:r>
              <m:rPr>
                <m:sty m:val="p"/>
              </m:rPr>
              <m:t>*</m:t>
            </m:r>
          </m:sup>
        </m:sSup>
        <m:r>
          <m:rPr>
            <m:sty m:val="p"/>
          </m:rPr>
          <m:t>=</m:t>
        </m:r>
        <m:r>
          <m:t>200</m:t>
        </m:r>
      </m:oMath>
      <w:r>
        <w:t xml:space="preserve">,</w:t>
      </w:r>
      <w:r>
        <w:t xml:space="preserve"> </w:t>
      </w:r>
      <m:oMath>
        <m:sSub>
          <m:e>
            <m:r>
              <m:t>ε</m:t>
            </m:r>
          </m:e>
          <m:sub>
            <m:r>
              <m:t>D</m:t>
            </m:r>
          </m:sub>
        </m:sSub>
        <m:r>
          <m:rPr>
            <m:sty m:val="p"/>
          </m:rPr>
          <m:t>=</m:t>
        </m:r>
        <m:r>
          <m:rPr>
            <m:sty m:val="p"/>
          </m:rPr>
          <m:t>−</m:t>
        </m:r>
        <m:r>
          <m:t>0</m:t>
        </m:r>
        <m:r>
          <m:rPr>
            <m:sty m:val="p"/>
          </m:rPr>
          <m:t>,</m:t>
        </m:r>
        <m:r>
          <m:t>6</m:t>
        </m:r>
      </m:oMath>
      <w:r>
        <w:t xml:space="preserve"> </w:t>
      </w:r>
      <w:r>
        <w:t xml:space="preserve">e</w:t>
      </w:r>
      <w:r>
        <w:t xml:space="preserve"> </w:t>
      </w:r>
      <m:oMath>
        <m:sSub>
          <m:e>
            <m:r>
              <m:t>ε</m:t>
            </m:r>
          </m:e>
          <m:sub>
            <m:r>
              <m:t>S</m:t>
            </m:r>
          </m:sub>
        </m:sSub>
        <m:r>
          <m:rPr>
            <m:sty m:val="p"/>
          </m:rPr>
          <m:t>=</m:t>
        </m:r>
        <m:r>
          <m:t>1</m:t>
        </m:r>
        <m:r>
          <m:rPr>
            <m:sty m:val="p"/>
          </m:rPr>
          <m:t>,</m:t>
        </m:r>
        <m:r>
          <m:t>4</m:t>
        </m:r>
      </m:oMath>
      <w:r>
        <w:t xml:space="preserve">:</w:t>
      </w:r>
    </w:p>
    <w:p>
      <w:pPr>
        <w:pStyle w:val="BlockText"/>
      </w:pPr>
      <w:r>
        <w:rPr>
          <w:b/>
          <w:bCs/>
        </w:rPr>
        <w:t xml:space="preserve">(a)</w:t>
      </w:r>
      <w:r>
        <w:t xml:space="preserve"> </w:t>
      </w:r>
      <w:r>
        <w:t xml:space="preserve">Calcule a fração do imposto arcada pelo consumidor e pelo produtor.</w:t>
      </w:r>
    </w:p>
    <w:p>
      <w:pPr>
        <w:pStyle w:val="BlockText"/>
      </w:pPr>
      <w:r>
        <w:rPr>
          <w:b/>
          <w:bCs/>
        </w:rPr>
        <w:t xml:space="preserve">(b)</w:t>
      </w:r>
      <w:r>
        <w:t xml:space="preserve"> </w:t>
      </w:r>
      <w:r>
        <w:t xml:space="preserve">Se o governo impõe um imposto específico de</w:t>
      </w:r>
      <w:r>
        <w:t xml:space="preserve"> </w:t>
      </w:r>
      <m:oMath>
        <m:r>
          <m:t>t</m:t>
        </m:r>
        <m:r>
          <m:rPr>
            <m:sty m:val="p"/>
          </m:rPr>
          <m:t>=</m:t>
        </m:r>
        <m:r>
          <m:t>5</m:t>
        </m:r>
      </m:oMath>
      <w:r>
        <w:t xml:space="preserve">, calcule</w:t>
      </w:r>
      <w:r>
        <w:t xml:space="preserve"> </w:t>
      </w:r>
      <m:oMath>
        <m:sSub>
          <m:e>
            <m:r>
              <m:t>p</m:t>
            </m:r>
          </m:e>
          <m:sub>
            <m:r>
              <m:t>c</m:t>
            </m:r>
          </m:sub>
        </m:sSub>
      </m:oMath>
      <w:r>
        <w:t xml:space="preserve"> </w:t>
      </w:r>
      <w:r>
        <w:t xml:space="preserve">e</w:t>
      </w:r>
      <w:r>
        <w:t xml:space="preserve"> </w:t>
      </w:r>
      <m:oMath>
        <m:sSub>
          <m:e>
            <m:r>
              <m:t>p</m:t>
            </m:r>
          </m:e>
          <m:sub>
            <m:r>
              <m:t>p</m:t>
            </m:r>
          </m:sub>
        </m:sSub>
      </m:oMath>
      <w:r>
        <w:t xml:space="preserve">.</w:t>
      </w:r>
    </w:p>
    <w:p>
      <w:pPr>
        <w:pStyle w:val="BlockText"/>
      </w:pPr>
      <w:r>
        <w:rPr>
          <w:b/>
          <w:bCs/>
        </w:rPr>
        <w:t xml:space="preserve">(c)</w:t>
      </w:r>
      <w:r>
        <w:t xml:space="preserve"> </w:t>
      </w:r>
      <w:r>
        <w:t xml:space="preserve">Calcule a perda de peso morto.</w:t>
      </w:r>
    </w:p>
    <w:p>
      <w:pPr>
        <w:pStyle w:val="BlockText"/>
      </w:pPr>
      <w:r>
        <w:rPr>
          <w:b/>
          <w:bCs/>
        </w:rPr>
        <w:t xml:space="preserve">(d)</w:t>
      </w:r>
      <w:r>
        <w:t xml:space="preserve"> </w:t>
      </w:r>
      <w:r>
        <w:t xml:space="preserve">Refaça os itens (a)–(c) com</w:t>
      </w:r>
      <w:r>
        <w:t xml:space="preserve"> </w:t>
      </w:r>
      <m:oMath>
        <m:sSub>
          <m:e>
            <m:r>
              <m:t>ε</m:t>
            </m:r>
          </m:e>
          <m:sub>
            <m:r>
              <m:t>D</m:t>
            </m:r>
          </m:sub>
        </m:sSub>
        <m:r>
          <m:rPr>
            <m:sty m:val="p"/>
          </m:rPr>
          <m:t>=</m:t>
        </m:r>
        <m:r>
          <m:rPr>
            <m:sty m:val="p"/>
          </m:rPr>
          <m:t>−</m:t>
        </m:r>
        <m:r>
          <m:t>2</m:t>
        </m:r>
        <m:r>
          <m:rPr>
            <m:sty m:val="p"/>
          </m:rPr>
          <m:t>,</m:t>
        </m:r>
        <m:r>
          <m:t>0</m:t>
        </m:r>
      </m:oMath>
      <w:r>
        <w:t xml:space="preserve"> </w:t>
      </w:r>
      <w:r>
        <w:t xml:space="preserve">(mantendo</w:t>
      </w:r>
      <w:r>
        <w:t xml:space="preserve"> </w:t>
      </w:r>
      <m:oMath>
        <m:sSub>
          <m:e>
            <m:r>
              <m:t>ε</m:t>
            </m:r>
          </m:e>
          <m:sub>
            <m:r>
              <m:t>S</m:t>
            </m:r>
          </m:sub>
        </m:sSub>
        <m:r>
          <m:rPr>
            <m:sty m:val="p"/>
          </m:rPr>
          <m:t>=</m:t>
        </m:r>
        <m:r>
          <m:t>1</m:t>
        </m:r>
        <m:r>
          <m:rPr>
            <m:sty m:val="p"/>
          </m:rPr>
          <m:t>,</m:t>
        </m:r>
        <m:r>
          <m:t>4</m:t>
        </m:r>
      </m:oMath>
      <w:r>
        <w:t xml:space="preserve">). Compare a PPM nos dois cenários e explique a relação com o Princípio de Ramsey.</w:t>
      </w:r>
    </w:p>
    <w:p>
      <w:pPr>
        <w:pStyle w:val="BlockText"/>
      </w:pPr>
      <w:r>
        <w:t xml:space="preserve">Solução (Cap. 13)</w:t>
      </w:r>
    </w:p>
    <w:p>
      <w:pPr>
        <w:pStyle w:val="BlockText"/>
      </w:pPr>
      <w:r>
        <w:rPr>
          <w:b/>
          <w:bCs/>
        </w:rPr>
        <w:t xml:space="preserve">[EXERCICIO PROPOSTO] Exercício 13.9 — Controle de aluguel vs. transferência</w:t>
      </w:r>
      <w:r>
        <w:rPr>
          <w:b/>
          <w:bCs/>
        </w:rPr>
        <w:t xml:space="preserve"> </w:t>
      </w:r>
      <w:r>
        <w:rPr>
          <w:b/>
          <w:bCs/>
          <w:i/>
          <w:iCs/>
        </w:rPr>
        <w:t xml:space="preserve">lump-sum</w:t>
      </w:r>
    </w:p>
    <w:p>
      <w:pPr>
        <w:pStyle w:val="BlockText"/>
      </w:pPr>
      <w:r>
        <w:t xml:space="preserve">O mercado de aluguel de uma cidade tem demanda</w:t>
      </w:r>
      <w:r>
        <w:t xml:space="preserve"> </w:t>
      </w:r>
      <m:oMath>
        <m:sSub>
          <m:e>
            <m:r>
              <m:t>Q</m:t>
            </m:r>
          </m:e>
          <m:sub>
            <m:r>
              <m:t>D</m:t>
            </m:r>
          </m:sub>
        </m:sSub>
        <m:r>
          <m:rPr>
            <m:sty m:val="p"/>
          </m:rPr>
          <m:t>=</m:t>
        </m:r>
        <m:r>
          <m:t>500</m:t>
        </m:r>
        <m:r>
          <m:rPr>
            <m:sty m:val="p"/>
          </m:rPr>
          <m:t>−</m:t>
        </m:r>
        <m:r>
          <m:t>0</m:t>
        </m:r>
        <m:r>
          <m:rPr>
            <m:sty m:val="p"/>
          </m:rPr>
          <m:t>,</m:t>
        </m:r>
        <m:r>
          <m:t>2</m:t>
        </m:r>
        <m:r>
          <m:t>p</m:t>
        </m:r>
      </m:oMath>
      <w:r>
        <w:t xml:space="preserve"> </w:t>
      </w:r>
      <w:r>
        <w:t xml:space="preserve">e oferta</w:t>
      </w:r>
      <w:r>
        <w:t xml:space="preserve"> </w:t>
      </w:r>
      <m:oMath>
        <m:sSub>
          <m:e>
            <m:r>
              <m:t>Q</m:t>
            </m:r>
          </m:e>
          <m:sub>
            <m:r>
              <m:t>S</m:t>
            </m:r>
          </m:sub>
        </m:sSub>
        <m:r>
          <m:rPr>
            <m:sty m:val="p"/>
          </m:rPr>
          <m:t>=</m:t>
        </m:r>
        <m:r>
          <m:t>0</m:t>
        </m:r>
        <m:r>
          <m:rPr>
            <m:sty m:val="p"/>
          </m:rPr>
          <m:t>,</m:t>
        </m:r>
        <m:r>
          <m:t>3</m:t>
        </m:r>
        <m:r>
          <m:t>p</m:t>
        </m:r>
        <m:r>
          <m:rPr>
            <m:sty m:val="p"/>
          </m:rPr>
          <m:t>−</m:t>
        </m:r>
        <m:r>
          <m:t>100</m:t>
        </m:r>
      </m:oMath>
      <w:r>
        <w:t xml:space="preserve"> </w:t>
      </w:r>
      <w:r>
        <w:t xml:space="preserve">(quantidades em mil imóveis, preço em R$/mês).</w:t>
      </w:r>
    </w:p>
    <w:p>
      <w:pPr>
        <w:pStyle w:val="BlockText"/>
      </w:pPr>
      <w:r>
        <w:rPr>
          <w:b/>
          <w:bCs/>
        </w:rPr>
        <w:t xml:space="preserve">(a)</w:t>
      </w:r>
      <w:r>
        <w:t xml:space="preserve"> </w:t>
      </w:r>
      <w:r>
        <w:t xml:space="preserve">Calcule o equilíbrio competitivo.</w:t>
      </w:r>
    </w:p>
    <w:p>
      <w:pPr>
        <w:pStyle w:val="BlockText"/>
      </w:pPr>
      <w:r>
        <w:rPr>
          <w:b/>
          <w:bCs/>
        </w:rPr>
        <w:t xml:space="preserve">(b)</w:t>
      </w:r>
      <w:r>
        <w:t xml:space="preserve"> </w:t>
      </w:r>
      <w:r>
        <w:t xml:space="preserve">A prefeitura impõe um teto de aluguel de R$ 1.000/mês. Calcule a escassez e a quantidade efetivamente alugada.</w:t>
      </w:r>
    </w:p>
    <w:p>
      <w:pPr>
        <w:pStyle w:val="BlockText"/>
      </w:pPr>
      <w:r>
        <w:rPr>
          <w:b/>
          <w:bCs/>
        </w:rPr>
        <w:t xml:space="preserve">(c)</w:t>
      </w:r>
      <w:r>
        <w:t xml:space="preserve"> </w:t>
      </w:r>
      <w:r>
        <w:t xml:space="preserve">Calcule a perda de peso morto do controle de aluguel. Faça o diagrama.</w:t>
      </w:r>
    </w:p>
    <w:p>
      <w:pPr>
        <w:pStyle w:val="BlockText"/>
      </w:pPr>
      <w:r>
        <w:rPr>
          <w:b/>
          <w:bCs/>
        </w:rPr>
        <w:t xml:space="preserve">(d)</w:t>
      </w:r>
      <w:r>
        <w:t xml:space="preserve"> </w:t>
      </w:r>
      <w:r>
        <w:t xml:space="preserve">Compare o controle de aluguel com uma política alternativa: transferência</w:t>
      </w:r>
      <w:r>
        <w:t xml:space="preserve"> </w:t>
      </w:r>
      <w:r>
        <w:rPr>
          <w:i/>
          <w:iCs/>
        </w:rPr>
        <w:t xml:space="preserve">lump-sum</w:t>
      </w:r>
      <w:r>
        <w:t xml:space="preserve"> </w:t>
      </w:r>
      <w:r>
        <w:t xml:space="preserve">de R$ 200/mês para famílias de baixa renda. Analise: (i) custo para o governo, (ii) quantidade de imóveis alugados, (iii) eficiência (PPM), (iv) equidade distributiva.</w:t>
      </w:r>
    </w:p>
    <w:p>
      <w:pPr>
        <w:pStyle w:val="BlockText"/>
      </w:pPr>
      <w:r>
        <w:t xml:space="preserve">Solução (Cap. 13)</w:t>
      </w:r>
    </w:p>
    <w:p>
      <w:pPr>
        <w:pStyle w:val="BlockText"/>
      </w:pPr>
      <w:r>
        <w:rPr>
          <w:b/>
          <w:bCs/>
        </w:rPr>
        <w:t xml:space="preserve">[EXERCICIO PROPOSTO] Exercício 13.10 — Heterogeneidade de firmas e renda ricardiana</w:t>
      </w:r>
    </w:p>
    <w:p>
      <w:pPr>
        <w:pStyle w:val="BlockText"/>
      </w:pPr>
      <w:r>
        <w:t xml:space="preserve">Uma indústria tem dois tipos de firmas. Tipo A (40 firmas):</w:t>
      </w:r>
      <w:r>
        <w:t xml:space="preserve"> </w:t>
      </w:r>
      <m:oMath>
        <m:sSub>
          <m:e>
            <m:r>
              <m:t>C</m:t>
            </m:r>
          </m:e>
          <m:sub>
            <m:r>
              <m:t>A</m:t>
            </m:r>
          </m:sub>
        </m:sSub>
        <m:r>
          <m:rPr>
            <m:sty m:val="p"/>
          </m:rPr>
          <m:t>(</m:t>
        </m:r>
        <m:r>
          <m:t>q</m:t>
        </m:r>
        <m:r>
          <m:rPr>
            <m:sty m:val="p"/>
          </m:rPr>
          <m:t>)</m:t>
        </m:r>
        <m:r>
          <m:rPr>
            <m:sty m:val="p"/>
          </m:rPr>
          <m:t>=</m:t>
        </m:r>
        <m:r>
          <m:t>10</m:t>
        </m:r>
        <m:r>
          <m:rPr>
            <m:sty m:val="p"/>
          </m:rPr>
          <m:t>+</m:t>
        </m:r>
        <m:r>
          <m:t>2</m:t>
        </m:r>
        <m:r>
          <m:t>q</m:t>
        </m:r>
        <m:r>
          <m:rPr>
            <m:sty m:val="p"/>
          </m:rPr>
          <m:t>+</m:t>
        </m:r>
        <m:sSup>
          <m:e>
            <m:r>
              <m:t>q</m:t>
            </m:r>
          </m:e>
          <m:sup>
            <m:r>
              <m:t>2</m:t>
            </m:r>
          </m:sup>
        </m:sSup>
      </m:oMath>
      <w:r>
        <w:t xml:space="preserve">. Tipo B (60 firmas):</w:t>
      </w:r>
      <w:r>
        <w:t xml:space="preserve"> </w:t>
      </w:r>
      <m:oMath>
        <m:sSub>
          <m:e>
            <m:r>
              <m:t>C</m:t>
            </m:r>
          </m:e>
          <m:sub>
            <m:r>
              <m:t>B</m:t>
            </m:r>
          </m:sub>
        </m:sSub>
        <m:r>
          <m:rPr>
            <m:sty m:val="p"/>
          </m:rPr>
          <m:t>(</m:t>
        </m:r>
        <m:r>
          <m:t>q</m:t>
        </m:r>
        <m:r>
          <m:rPr>
            <m:sty m:val="p"/>
          </m:rPr>
          <m:t>)</m:t>
        </m:r>
        <m:r>
          <m:rPr>
            <m:sty m:val="p"/>
          </m:rPr>
          <m:t>=</m:t>
        </m:r>
        <m:r>
          <m:t>20</m:t>
        </m:r>
        <m:r>
          <m:rPr>
            <m:sty m:val="p"/>
          </m:rPr>
          <m:t>+</m:t>
        </m:r>
        <m:r>
          <m:t>4</m:t>
        </m:r>
        <m:r>
          <m:t>q</m:t>
        </m:r>
        <m:r>
          <m:rPr>
            <m:sty m:val="p"/>
          </m:rPr>
          <m:t>+</m:t>
        </m:r>
        <m:r>
          <m:t>0</m:t>
        </m:r>
        <m:r>
          <m:rPr>
            <m:sty m:val="p"/>
          </m:rPr>
          <m:t>,</m:t>
        </m:r>
        <m:r>
          <m:t>5</m:t>
        </m:r>
        <m:sSup>
          <m:e>
            <m:r>
              <m:t>q</m:t>
            </m:r>
          </m:e>
          <m:sup>
            <m:r>
              <m:t>2</m:t>
            </m:r>
          </m:sup>
        </m:sSup>
      </m:oMath>
      <w:r>
        <w:t xml:space="preserve">. A demanda de mercado é</w:t>
      </w:r>
      <w:r>
        <w:t xml:space="preserve"> </w:t>
      </w:r>
      <m:oMath>
        <m:sSub>
          <m:e>
            <m:r>
              <m:t>Q</m:t>
            </m:r>
          </m:e>
          <m:sub>
            <m:r>
              <m:t>D</m:t>
            </m:r>
          </m:sub>
        </m:sSub>
        <m:r>
          <m:rPr>
            <m:sty m:val="p"/>
          </m:rPr>
          <m:t>=</m:t>
        </m:r>
        <m:r>
          <m:t>500</m:t>
        </m:r>
        <m:r>
          <m:rPr>
            <m:sty m:val="p"/>
          </m:rPr>
          <m:t>−</m:t>
        </m:r>
        <m:r>
          <m:t>10</m:t>
        </m:r>
        <m:r>
          <m:t>p</m:t>
        </m:r>
      </m:oMath>
      <w:r>
        <w:t xml:space="preserve">.</w:t>
      </w:r>
    </w:p>
    <w:p>
      <w:pPr>
        <w:pStyle w:val="BlockText"/>
      </w:pPr>
      <w:r>
        <w:rPr>
          <w:b/>
          <w:bCs/>
        </w:rPr>
        <w:t xml:space="preserve">(a)</w:t>
      </w:r>
      <w:r>
        <w:t xml:space="preserve"> </w:t>
      </w:r>
      <w:r>
        <w:t xml:space="preserve">Derive a oferta individual de cada tipo de firma (atenção ao ponto de fechamento).</w:t>
      </w:r>
    </w:p>
    <w:p>
      <w:pPr>
        <w:pStyle w:val="BlockText"/>
      </w:pPr>
      <w:r>
        <w:rPr>
          <w:b/>
          <w:bCs/>
        </w:rPr>
        <w:t xml:space="preserve">(b)</w:t>
      </w:r>
      <w:r>
        <w:t xml:space="preserve"> </w:t>
      </w:r>
      <w:r>
        <w:t xml:space="preserve">Calcule a oferta agregada e o equilíbrio de mercado de curto prazo.</w:t>
      </w:r>
    </w:p>
    <w:p>
      <w:pPr>
        <w:pStyle w:val="BlockText"/>
      </w:pPr>
      <w:r>
        <w:rPr>
          <w:b/>
          <w:bCs/>
        </w:rPr>
        <w:t xml:space="preserve">(c)</w:t>
      </w:r>
      <w:r>
        <w:t xml:space="preserve"> </w:t>
      </w:r>
      <w:r>
        <w:t xml:space="preserve">Calcule a produção e o lucro de cada tipo de firma no equilíbrio de curto prazo. Qual tipo obtém renda ricardiana?</w:t>
      </w:r>
    </w:p>
    <w:p>
      <w:pPr>
        <w:pStyle w:val="BlockText"/>
      </w:pPr>
      <w:r>
        <w:rPr>
          <w:b/>
          <w:bCs/>
        </w:rPr>
        <w:t xml:space="preserve">(d)</w:t>
      </w:r>
      <w:r>
        <w:t xml:space="preserve"> </w:t>
      </w:r>
      <w:r>
        <w:t xml:space="preserve">No longo prazo, há livre entrada de firmas tipo B (mas as 40 firmas tipo A são únicas — possuem um recurso não replicável). Calcule o equilíbrio de longo prazo: preço, quantidade, número de firmas tipo B, e renda ricardiana das firmas tipo A.</w:t>
      </w:r>
    </w:p>
    <w:p>
      <w:pPr>
        <w:pStyle w:val="BlockText"/>
      </w:pPr>
      <w:r>
        <w:t xml:space="preserve">Solução (Cap. 13)</w:t>
      </w:r>
    </w:p>
    <w:p>
      <w:r>
        <w:pict>
          <v:rect style="width:0;height:1.5pt" o:hralign="center" o:hrstd="t" o:hr="t"/>
        </w:pict>
      </w:r>
    </w:p>
    <w:bookmarkEnd w:id="835"/>
    <w:bookmarkStart w:id="836" w:name="questões-anpec"/>
    <w:p>
      <w:pPr>
        <w:pStyle w:val="Heading3"/>
      </w:pPr>
      <w:r>
        <w:t xml:space="preserve">Questões ANPEC</w:t>
      </w:r>
    </w:p>
    <w:p>
      <w:pPr>
        <w:pStyle w:val="BlockText"/>
      </w:pPr>
      <w:r>
        <w:rPr>
          <w:b/>
          <w:bCs/>
        </w:rPr>
        <w:t xml:space="preserve">[QUESTAO] ANPEC 2019 — Questão 5</w:t>
      </w:r>
    </w:p>
    <w:p>
      <w:pPr>
        <w:pStyle w:val="BlockText"/>
      </w:pPr>
      <w:r>
        <w:t xml:space="preserve">Classifique as afirmações como verdadeiras (V) ou falsas (F):</w:t>
      </w:r>
    </w:p>
    <w:p>
      <w:pPr>
        <w:pStyle w:val="BlockText"/>
      </w:pPr>
      <w:r>
        <w:rPr>
          <w:b/>
          <w:bCs/>
        </w:rPr>
        <w:t xml:space="preserve">(0)</w:t>
      </w:r>
      <w:r>
        <w:t xml:space="preserve"> </w:t>
      </w:r>
      <w:r>
        <w:t xml:space="preserve">Em um mercado competitivo com curvas de oferta e demanda lineares, a imposição de um imposto específico de valor</w:t>
      </w:r>
      <w:r>
        <w:t xml:space="preserve"> </w:t>
      </w:r>
      <m:oMath>
        <m:r>
          <m:t>t</m:t>
        </m:r>
      </m:oMath>
      <w:r>
        <w:t xml:space="preserve"> </w:t>
      </w:r>
      <w:r>
        <w:t xml:space="preserve">gera uma perda de peso morto proporcional a</w:t>
      </w:r>
      <w:r>
        <w:t xml:space="preserve"> </w:t>
      </w:r>
      <m:oMath>
        <m:sSup>
          <m:e>
            <m:r>
              <m:t>t</m:t>
            </m:r>
          </m:e>
          <m:sup>
            <m:r>
              <m:t>2</m:t>
            </m:r>
          </m:sup>
        </m:sSup>
      </m:oMath>
      <w:r>
        <w:t xml:space="preserve">.</w:t>
      </w:r>
    </w:p>
    <w:p>
      <w:pPr>
        <w:pStyle w:val="BlockText"/>
      </w:pPr>
      <w:r>
        <w:rPr>
          <w:b/>
          <w:bCs/>
        </w:rPr>
        <w:t xml:space="preserve">(1)</w:t>
      </w:r>
      <w:r>
        <w:t xml:space="preserve"> </w:t>
      </w:r>
      <w:r>
        <w:t xml:space="preserve">Se a demanda por um bem é perfeitamente inelástica, um imposto sobre os produtores é integralmente repassado aos consumidores.</w:t>
      </w:r>
    </w:p>
    <w:p>
      <w:pPr>
        <w:pStyle w:val="BlockText"/>
      </w:pPr>
      <w:r>
        <w:rPr>
          <w:b/>
          <w:bCs/>
        </w:rPr>
        <w:t xml:space="preserve">(2)</w:t>
      </w:r>
      <w:r>
        <w:t xml:space="preserve"> </w:t>
      </w:r>
      <w:r>
        <w:t xml:space="preserve">Em uma indústria de custos constantes em concorrência perfeita, a curva de oferta de longo prazo é horizontal, e um aumento permanente da demanda eleva a quantidade de equilíbrio sem alterar o preço.</w:t>
      </w:r>
    </w:p>
    <w:p>
      <w:pPr>
        <w:pStyle w:val="BlockText"/>
      </w:pPr>
      <w:r>
        <w:rPr>
          <w:b/>
          <w:bCs/>
        </w:rPr>
        <w:t xml:space="preserve">(3)</w:t>
      </w:r>
      <w:r>
        <w:t xml:space="preserve"> </w:t>
      </w:r>
      <w:r>
        <w:t xml:space="preserve">A renda ricardiana existe no longo prazo porque firmas com acesso a fatores escassos têm custos menores que a firma marginal, mas essa renda é eliminada se imputarmos o custo de oportunidade do fator escasso.</w:t>
      </w:r>
    </w:p>
    <w:p>
      <w:pPr>
        <w:pStyle w:val="BlockText"/>
      </w:pPr>
      <w:r>
        <w:rPr>
          <w:b/>
          <w:bCs/>
        </w:rPr>
        <w:t xml:space="preserve">(4)</w:t>
      </w:r>
      <w:r>
        <w:t xml:space="preserve"> </w:t>
      </w:r>
      <w:r>
        <w:t xml:space="preserve">Um teto de preço abaixo do equilíbrio sempre reduz o excedente do consumidor agregado.</w:t>
      </w:r>
    </w:p>
    <w:p>
      <w:pPr>
        <w:pStyle w:val="BlockText"/>
      </w:pPr>
      <w:r>
        <w:t xml:space="preserve">??? note</w:t>
      </w:r>
      <w:r>
        <w:t xml:space="preserve"> </w:t>
      </w:r>
      <w:r>
        <w:t xml:space="preserve">“Gabarito e resolução”</w:t>
      </w:r>
      <w:r>
        <w:t xml:space="preserve"> </w:t>
      </w:r>
      <w:r>
        <w:rPr>
          <w:b/>
          <w:bCs/>
        </w:rPr>
        <w:t xml:space="preserve">(0) V.</w:t>
      </w:r>
      <w:r>
        <w:t xml:space="preserve"> </w:t>
      </w:r>
      <w:r>
        <w:t xml:space="preserve">A PPM é aproximadamente</w:t>
      </w:r>
      <w:r>
        <w:t xml:space="preserve"> </w:t>
      </w:r>
      <m:oMath>
        <m:f>
          <m:fPr>
            <m:type m:val="bar"/>
          </m:fPr>
          <m:num>
            <m:r>
              <m:t>1</m:t>
            </m:r>
          </m:num>
          <m:den>
            <m:r>
              <m:t>2</m:t>
            </m:r>
          </m:den>
        </m:f>
        <m:r>
          <m:t>t</m:t>
        </m:r>
        <m:r>
          <m:rPr>
            <m:sty m:val="p"/>
          </m:rPr>
          <m:t>Δ</m:t>
        </m:r>
        <m:r>
          <m:t>Q</m:t>
        </m:r>
      </m:oMath>
      <w:r>
        <w:t xml:space="preserve">, e</w:t>
      </w:r>
      <w:r>
        <w:t xml:space="preserve"> </w:t>
      </w:r>
      <m:oMath>
        <m:r>
          <m:rPr>
            <m:sty m:val="p"/>
          </m:rPr>
          <m:t>Δ</m:t>
        </m:r>
        <m:r>
          <m:t>Q</m:t>
        </m:r>
      </m:oMath>
      <w:r>
        <w:t xml:space="preserve"> </w:t>
      </w:r>
      <w:r>
        <w:t xml:space="preserve">é proporcional a</w:t>
      </w:r>
      <w:r>
        <w:t xml:space="preserve"> </w:t>
      </w:r>
      <m:oMath>
        <m:r>
          <m:t>t</m:t>
        </m:r>
      </m:oMath>
      <w:r>
        <w:t xml:space="preserve"> </w:t>
      </w:r>
      <w:r>
        <w:t xml:space="preserve">(para curvas lineares), logo</w:t>
      </w:r>
      <w:r>
        <w:t xml:space="preserve"> </w:t>
      </w:r>
      <m:oMath>
        <m:r>
          <m:t>P</m:t>
        </m:r>
        <m:r>
          <m:t>P</m:t>
        </m:r>
        <m:r>
          <m:t>M</m:t>
        </m:r>
        <m:r>
          <m:rPr>
            <m:sty m:val="p"/>
          </m:rPr>
          <m:t>∝</m:t>
        </m:r>
        <m:sSup>
          <m:e>
            <m:r>
              <m:t>t</m:t>
            </m:r>
          </m:e>
          <m:sup>
            <m:r>
              <m:t>2</m:t>
            </m:r>
          </m:sup>
        </m:sSup>
      </m:oMath>
      <w:r>
        <w:t xml:space="preserve">. ✅</w:t>
      </w:r>
    </w:p>
    <w:p>
      <w:pPr>
        <w:pStyle w:val="SourceCode"/>
      </w:pPr>
      <w:r>
        <w:rPr>
          <w:rStyle w:val="VerbatimChar"/>
        </w:rPr>
        <w:t xml:space="preserve">**(1) V.** Com demanda perfeitamente inelástica ($\varepsilon_D = 0$), $\text{Fração}_C = \varepsilon_S / (\varepsilon_S + 0) = 1$. O consumidor arca com 100% do imposto. ✅</w:t>
      </w:r>
      <w:r>
        <w:br/>
      </w:r>
      <w:r>
        <w:br/>
      </w:r>
      <w:r>
        <w:rPr>
          <w:rStyle w:val="VerbatimChar"/>
        </w:rPr>
        <w:t xml:space="preserve">**(2) V.** Em indústria de custos constantes, $p_{LP} = CTMe_{\min}$ independentemente de $m$. A oferta de longo prazo é horizontal. ✅</w:t>
      </w:r>
      <w:r>
        <w:br/>
      </w:r>
      <w:r>
        <w:br/>
      </w:r>
      <w:r>
        <w:rPr>
          <w:rStyle w:val="VerbatimChar"/>
        </w:rPr>
        <w:t xml:space="preserve">**(3) V.** A renda ricardiana é lucro quando medida com custos históricos, mas desaparece quando se imputa o custo de oportunidade do fator escasso (a terra, o talento, a patente). O proprietário do fator captura a renda. ✅</w:t>
      </w:r>
      <w:r>
        <w:br/>
      </w:r>
      <w:r>
        <w:br/>
      </w:r>
      <w:r>
        <w:rPr>
          <w:rStyle w:val="VerbatimChar"/>
        </w:rPr>
        <w:t xml:space="preserve">**(4) F.** O teto pode aumentar o EC *se* o racionamento for eficiente (consumidores de alta disposição a pagar conseguem comprar). A transferência de excedente do produtor ao consumidor pode dominar a perda por racionamento. O resultado é ambíguo — depende de quem é racionado. ❌</w:t>
      </w:r>
    </w:p>
    <w:p>
      <w:pPr>
        <w:pStyle w:val="BlockText"/>
      </w:pPr>
      <w:r>
        <w:rPr>
          <w:b/>
          <w:bCs/>
        </w:rPr>
        <w:t xml:space="preserve">[QUESTAO] ANPEC 2023 — Questão 4 (adaptada)</w:t>
      </w:r>
    </w:p>
    <w:p>
      <w:pPr>
        <w:pStyle w:val="BlockText"/>
      </w:pPr>
      <w:r>
        <w:t xml:space="preserve">Considere o mercado de petróleo, com demanda mundial</w:t>
      </w:r>
      <w:r>
        <w:t xml:space="preserve"> </w:t>
      </w:r>
      <m:oMath>
        <m:sSub>
          <m:e>
            <m:r>
              <m:t>Q</m:t>
            </m:r>
          </m:e>
          <m:sub>
            <m:r>
              <m:t>D</m:t>
            </m:r>
          </m:sub>
        </m:sSub>
        <m:r>
          <m:rPr>
            <m:sty m:val="p"/>
          </m:rPr>
          <m:t>=</m:t>
        </m:r>
        <m:r>
          <m:t>100</m:t>
        </m:r>
        <m:r>
          <m:rPr>
            <m:sty m:val="p"/>
          </m:rPr>
          <m:t>−</m:t>
        </m:r>
        <m:r>
          <m:t>0</m:t>
        </m:r>
        <m:r>
          <m:rPr>
            <m:sty m:val="p"/>
          </m:rPr>
          <m:t>,</m:t>
        </m:r>
        <m:r>
          <m:t>5</m:t>
        </m:r>
        <m:r>
          <m:t>p</m:t>
        </m:r>
      </m:oMath>
      <w:r>
        <w:t xml:space="preserve"> </w:t>
      </w:r>
      <w:r>
        <w:t xml:space="preserve">e oferta</w:t>
      </w:r>
      <w:r>
        <w:t xml:space="preserve"> </w:t>
      </w:r>
      <m:oMath>
        <m:sSub>
          <m:e>
            <m:r>
              <m:t>Q</m:t>
            </m:r>
          </m:e>
          <m:sub>
            <m:r>
              <m:t>S</m:t>
            </m:r>
          </m:sub>
        </m:sSub>
        <m:r>
          <m:rPr>
            <m:sty m:val="p"/>
          </m:rPr>
          <m:t>=</m:t>
        </m:r>
        <m:r>
          <m:t>0</m:t>
        </m:r>
        <m:r>
          <m:rPr>
            <m:sty m:val="p"/>
          </m:rPr>
          <m:t>,</m:t>
        </m:r>
        <m:r>
          <m:t>3</m:t>
        </m:r>
        <m:r>
          <m:t>p</m:t>
        </m:r>
        <m:r>
          <m:rPr>
            <m:sty m:val="p"/>
          </m:rPr>
          <m:t>−</m:t>
        </m:r>
        <m:r>
          <m:t>20</m:t>
        </m:r>
      </m:oMath>
      <w:r>
        <w:t xml:space="preserve"> </w:t>
      </w:r>
      <w:r>
        <w:t xml:space="preserve">(em milhões de barris/dia, preço em US$/barril).</w:t>
      </w:r>
    </w:p>
    <w:p>
      <w:pPr>
        <w:pStyle w:val="BlockText"/>
      </w:pPr>
      <w:r>
        <w:rPr>
          <w:b/>
          <w:bCs/>
        </w:rPr>
        <w:t xml:space="preserve">(0)</w:t>
      </w:r>
      <w:r>
        <w:t xml:space="preserve"> </w:t>
      </w:r>
      <w:r>
        <w:t xml:space="preserve">O preço de equilíbrio é US$ 150/barril.</w:t>
      </w:r>
    </w:p>
    <w:p>
      <w:pPr>
        <w:pStyle w:val="BlockText"/>
      </w:pPr>
      <w:r>
        <w:rPr>
          <w:b/>
          <w:bCs/>
        </w:rPr>
        <w:t xml:space="preserve">(1)</w:t>
      </w:r>
      <w:r>
        <w:t xml:space="preserve"> </w:t>
      </w:r>
      <w:r>
        <w:t xml:space="preserve">Um embargo que reduza a oferta em 10 milhões de barris/dia (nova oferta:</w:t>
      </w:r>
      <w:r>
        <w:t xml:space="preserve"> </w:t>
      </w:r>
      <m:oMath>
        <m:sSubSup>
          <m:e>
            <m:r>
              <m:t>Q</m:t>
            </m:r>
          </m:e>
          <m:sub>
            <m:r>
              <m:t>S</m:t>
            </m:r>
          </m:sub>
          <m:sup>
            <m:r>
              <m:rPr>
                <m:sty m:val="p"/>
              </m:rPr>
              <m:t>′</m:t>
            </m:r>
          </m:sup>
        </m:sSubSup>
        <m:r>
          <m:rPr>
            <m:sty m:val="p"/>
          </m:rPr>
          <m:t>=</m:t>
        </m:r>
        <m:r>
          <m:t>0</m:t>
        </m:r>
        <m:r>
          <m:rPr>
            <m:sty m:val="p"/>
          </m:rPr>
          <m:t>,</m:t>
        </m:r>
        <m:r>
          <m:t>3</m:t>
        </m:r>
        <m:r>
          <m:t>p</m:t>
        </m:r>
        <m:r>
          <m:rPr>
            <m:sty m:val="p"/>
          </m:rPr>
          <m:t>−</m:t>
        </m:r>
        <m:r>
          <m:t>30</m:t>
        </m:r>
      </m:oMath>
      <w:r>
        <w:t xml:space="preserve">) eleva o preço para US$ 162,50/barril.</w:t>
      </w:r>
    </w:p>
    <w:p>
      <w:pPr>
        <w:pStyle w:val="BlockText"/>
      </w:pPr>
      <w:r>
        <w:rPr>
          <w:b/>
          <w:bCs/>
        </w:rPr>
        <w:t xml:space="preserve">(2)</w:t>
      </w:r>
      <w:r>
        <w:t xml:space="preserve"> </w:t>
      </w:r>
      <w:r>
        <w:t xml:space="preserve">A perda de peso morto do embargo é maior quanto mais inelásticas forem a oferta e a demanda.</w:t>
      </w:r>
    </w:p>
    <w:p>
      <w:pPr>
        <w:pStyle w:val="BlockText"/>
      </w:pPr>
      <w:r>
        <w:rPr>
          <w:b/>
          <w:bCs/>
        </w:rPr>
        <w:t xml:space="preserve">(3)</w:t>
      </w:r>
      <w:r>
        <w:t xml:space="preserve"> </w:t>
      </w:r>
      <w:r>
        <w:t xml:space="preserve">Se simultaneamente ao embargo houver uma inovação tecnológica que reduza a demanda em 8 milhões de barris/dia (</w:t>
      </w:r>
      <m:oMath>
        <m:sSubSup>
          <m:e>
            <m:r>
              <m:t>Q</m:t>
            </m:r>
          </m:e>
          <m:sub>
            <m:r>
              <m:t>D</m:t>
            </m:r>
          </m:sub>
          <m:sup>
            <m:r>
              <m:rPr>
                <m:sty m:val="p"/>
              </m:rPr>
              <m:t>′</m:t>
            </m:r>
          </m:sup>
        </m:sSubSup>
        <m:r>
          <m:rPr>
            <m:sty m:val="p"/>
          </m:rPr>
          <m:t>=</m:t>
        </m:r>
        <m:r>
          <m:t>92</m:t>
        </m:r>
        <m:r>
          <m:rPr>
            <m:sty m:val="p"/>
          </m:rPr>
          <m:t>−</m:t>
        </m:r>
        <m:r>
          <m:t>0</m:t>
        </m:r>
        <m:r>
          <m:rPr>
            <m:sty m:val="p"/>
          </m:rPr>
          <m:t>,</m:t>
        </m:r>
        <m:r>
          <m:t>5</m:t>
        </m:r>
        <m:r>
          <m:t>p</m:t>
        </m:r>
      </m:oMath>
      <w:r>
        <w:t xml:space="preserve">), o efeito líquido sobre o preço é uma elevação de US$ 2,50.</w:t>
      </w:r>
    </w:p>
    <w:p>
      <w:pPr>
        <w:pStyle w:val="BlockText"/>
      </w:pPr>
      <w:r>
        <w:rPr>
          <w:b/>
          <w:bCs/>
        </w:rPr>
        <w:t xml:space="preserve">(4)</w:t>
      </w:r>
      <w:r>
        <w:t xml:space="preserve"> </w:t>
      </w:r>
      <w:r>
        <w:t xml:space="preserve">No longo prazo, a elasticidade de oferta de petróleo é maior que no curto prazo, o que implica que o efeito do embargo sobre o preço será menor no longo prazo.</w:t>
      </w:r>
    </w:p>
    <w:p>
      <w:pPr>
        <w:pStyle w:val="BlockText"/>
      </w:pPr>
      <w:r>
        <w:t xml:space="preserve">??? note</w:t>
      </w:r>
      <w:r>
        <w:t xml:space="preserve"> </w:t>
      </w:r>
      <w:r>
        <w:t xml:space="preserve">“Gabarito e resolução”</w:t>
      </w:r>
      <w:r>
        <w:t xml:space="preserve"> </w:t>
      </w:r>
      <w:r>
        <w:t xml:space="preserve">Equilíbrio original:</w:t>
      </w:r>
      <w:r>
        <w:t xml:space="preserve"> </w:t>
      </w:r>
      <m:oMath>
        <m:r>
          <m:t>100</m:t>
        </m:r>
        <m:r>
          <m:rPr>
            <m:sty m:val="p"/>
          </m:rPr>
          <m:t>−</m:t>
        </m:r>
        <m:r>
          <m:t>0</m:t>
        </m:r>
        <m:r>
          <m:rPr>
            <m:sty m:val="p"/>
          </m:rPr>
          <m:t>,</m:t>
        </m:r>
        <m:r>
          <m:t>5</m:t>
        </m:r>
        <m:r>
          <m:t>p</m:t>
        </m:r>
        <m:r>
          <m:rPr>
            <m:sty m:val="p"/>
          </m:rPr>
          <m:t>=</m:t>
        </m:r>
        <m:r>
          <m:t>0</m:t>
        </m:r>
        <m:r>
          <m:rPr>
            <m:sty m:val="p"/>
          </m:rPr>
          <m:t>,</m:t>
        </m:r>
        <m:r>
          <m:t>3</m:t>
        </m:r>
        <m:r>
          <m:t>p</m:t>
        </m:r>
        <m:r>
          <m:rPr>
            <m:sty m:val="p"/>
          </m:rPr>
          <m:t>−</m:t>
        </m:r>
        <m:r>
          <m:t>20</m:t>
        </m:r>
        <m:r>
          <m:rPr>
            <m:sty m:val="p"/>
          </m:rPr>
          <m:t>⟹</m:t>
        </m:r>
        <m:r>
          <m:t>0</m:t>
        </m:r>
        <m:r>
          <m:rPr>
            <m:sty m:val="p"/>
          </m:rPr>
          <m:t>,</m:t>
        </m:r>
        <m:r>
          <m:t>8</m:t>
        </m:r>
        <m:r>
          <m:t>p</m:t>
        </m:r>
        <m:r>
          <m:rPr>
            <m:sty m:val="p"/>
          </m:rPr>
          <m:t>=</m:t>
        </m:r>
        <m:r>
          <m:t>120</m:t>
        </m:r>
        <m:r>
          <m:rPr>
            <m:sty m:val="p"/>
          </m:rPr>
          <m:t>⟹</m:t>
        </m:r>
        <m:sSup>
          <m:e>
            <m:r>
              <m:t>p</m:t>
            </m:r>
          </m:e>
          <m:sup>
            <m:r>
              <m:rPr>
                <m:sty m:val="p"/>
              </m:rPr>
              <m:t>*</m:t>
            </m:r>
          </m:sup>
        </m:sSup>
        <m:r>
          <m:rPr>
            <m:sty m:val="p"/>
          </m:rPr>
          <m:t>=</m:t>
        </m:r>
        <m:r>
          <m:t>150</m:t>
        </m:r>
      </m:oMath>
      <w:r>
        <w:t xml:space="preserve">,</w:t>
      </w:r>
      <w:r>
        <w:t xml:space="preserve"> </w:t>
      </w:r>
      <m:oMath>
        <m:sSup>
          <m:e>
            <m:r>
              <m:t>Q</m:t>
            </m:r>
          </m:e>
          <m:sup>
            <m:r>
              <m:rPr>
                <m:sty m:val="p"/>
              </m:rPr>
              <m:t>*</m:t>
            </m:r>
          </m:sup>
        </m:sSup>
        <m:r>
          <m:rPr>
            <m:sty m:val="p"/>
          </m:rPr>
          <m:t>=</m:t>
        </m:r>
        <m:r>
          <m:t>25</m:t>
        </m:r>
      </m:oMath>
      <w:r>
        <w:t xml:space="preserve">.</w:t>
      </w:r>
    </w:p>
    <w:p>
      <w:pPr>
        <w:pStyle w:val="SourceCode"/>
      </w:pPr>
      <w:r>
        <w:rPr>
          <w:rStyle w:val="VerbatimChar"/>
        </w:rPr>
        <w:t xml:space="preserve">**(0) V.** $p^* = 150$. ✅</w:t>
      </w:r>
      <w:r>
        <w:br/>
      </w:r>
      <w:r>
        <w:br/>
      </w:r>
      <w:r>
        <w:rPr>
          <w:rStyle w:val="VerbatimChar"/>
        </w:rPr>
        <w:t xml:space="preserve">**(1) V.** Nova oferta: $0{,}3p - 30$. Equilíbrio: $100 - 0{,}5p = 0{,}3p - 30 \implies 0{,}8p = 130 \implies p = 162{,}50$. ✅</w:t>
      </w:r>
      <w:r>
        <w:br/>
      </w:r>
      <w:r>
        <w:br/>
      </w:r>
      <w:r>
        <w:rPr>
          <w:rStyle w:val="VerbatimChar"/>
        </w:rPr>
        <w:t xml:space="preserve">**(2) F.** A PPM depende da *variação de quantidade*, que é menor quando as elasticidades são baixas. Com elasticidades baixas, o choque se traduz mais em preço e menos em quantidade, e o "triângulo" de PPM é menor. ❌</w:t>
      </w:r>
      <w:r>
        <w:br/>
      </w:r>
      <w:r>
        <w:br/>
      </w:r>
      <w:r>
        <w:rPr>
          <w:rStyle w:val="VerbatimChar"/>
        </w:rPr>
        <w:t xml:space="preserve">**(3) V.** Com ambos os choques: $92 - 0{,}5p = 0{,}3p - 30 \implies 0{,}8p = 122 \implies p = 152{,}50$. Variação: $152{,}50 - 150 = +2{,}50$. ✅</w:t>
      </w:r>
      <w:r>
        <w:br/>
      </w:r>
      <w:r>
        <w:br/>
      </w:r>
      <w:r>
        <w:rPr>
          <w:rStyle w:val="VerbatimChar"/>
        </w:rPr>
        <w:t xml:space="preserve">**(4) V.** No longo prazo, investimentos em exploração e energias alternativas tornam a oferta mais elástica, atenuando o efeito do embargo sobre o preço. ✅</w:t>
      </w:r>
    </w:p>
    <w:p>
      <w:pPr>
        <w:pStyle w:val="BlockText"/>
      </w:pPr>
      <w:r>
        <w:rPr>
          <w:b/>
          <w:bCs/>
        </w:rPr>
        <w:t xml:space="preserve">[QUESTAO] ANPEC 2021 — Questão 3 (adaptada)</w:t>
      </w:r>
    </w:p>
    <w:p>
      <w:pPr>
        <w:pStyle w:val="BlockText"/>
      </w:pPr>
      <w:r>
        <w:t xml:space="preserve">Classifique como V ou F:</w:t>
      </w:r>
    </w:p>
    <w:p>
      <w:pPr>
        <w:pStyle w:val="BlockText"/>
      </w:pPr>
      <w:r>
        <w:rPr>
          <w:b/>
          <w:bCs/>
        </w:rPr>
        <w:t xml:space="preserve">(0)</w:t>
      </w:r>
      <w:r>
        <w:t xml:space="preserve"> </w:t>
      </w:r>
      <w:r>
        <w:t xml:space="preserve">Em equilíbrio competitivo de longo prazo com livre entrada, o excedente do produtor é zero.</w:t>
      </w:r>
    </w:p>
    <w:p>
      <w:pPr>
        <w:pStyle w:val="BlockText"/>
      </w:pPr>
      <w:r>
        <w:rPr>
          <w:b/>
          <w:bCs/>
        </w:rPr>
        <w:t xml:space="preserve">(1)</w:t>
      </w:r>
      <w:r>
        <w:t xml:space="preserve"> </w:t>
      </w:r>
      <w:r>
        <w:t xml:space="preserve">A curva de oferta de longo prazo de uma indústria de custos decrescentes é negativamente inclinada.</w:t>
      </w:r>
    </w:p>
    <w:p>
      <w:pPr>
        <w:pStyle w:val="BlockText"/>
      </w:pPr>
      <w:r>
        <w:rPr>
          <w:b/>
          <w:bCs/>
        </w:rPr>
        <w:t xml:space="preserve">(2)</w:t>
      </w:r>
      <w:r>
        <w:t xml:space="preserve"> </w:t>
      </w:r>
      <w:r>
        <w:t xml:space="preserve">Se o governo impõe um imposto sobre os produtores e depois muda para cobrar o mesmo imposto dos consumidores, o preço de equilíbrio pago pelo consumidor se altera.</w:t>
      </w:r>
    </w:p>
    <w:p>
      <w:pPr>
        <w:pStyle w:val="BlockText"/>
      </w:pPr>
      <w:r>
        <w:rPr>
          <w:b/>
          <w:bCs/>
        </w:rPr>
        <w:t xml:space="preserve">(3)</w:t>
      </w:r>
      <w:r>
        <w:t xml:space="preserve"> </w:t>
      </w:r>
      <w:r>
        <w:t xml:space="preserve">A estabilidade do equilíbrio walrasiano requer que</w:t>
      </w:r>
      <w:r>
        <w:t xml:space="preserve"> </w:t>
      </w:r>
      <m:oMath>
        <m:r>
          <m:t>d</m:t>
        </m:r>
        <m:r>
          <m:t>X</m:t>
        </m:r>
        <m:r>
          <m:rPr>
            <m:sty m:val="p"/>
          </m:rPr>
          <m:t>/</m:t>
        </m:r>
        <m:r>
          <m:t>d</m:t>
        </m:r>
        <m:r>
          <m:t>p</m:t>
        </m:r>
        <m:r>
          <m:rPr>
            <m:sty m:val="p"/>
          </m:rPr>
          <m:t>−</m:t>
        </m:r>
        <m:r>
          <m:t>d</m:t>
        </m:r>
        <m:r>
          <m:t>S</m:t>
        </m:r>
        <m:r>
          <m:rPr>
            <m:sty m:val="p"/>
          </m:rPr>
          <m:t>/</m:t>
        </m:r>
        <m:r>
          <m:t>d</m:t>
        </m:r>
        <m:r>
          <m:t>p</m:t>
        </m:r>
        <m:r>
          <m:rPr>
            <m:sty m:val="p"/>
          </m:rPr>
          <m:t>&lt;</m:t>
        </m:r>
        <m:r>
          <m:t>0</m:t>
        </m:r>
      </m:oMath>
      <w:r>
        <w:t xml:space="preserve">.</w:t>
      </w:r>
    </w:p>
    <w:p>
      <w:pPr>
        <w:pStyle w:val="BlockText"/>
      </w:pPr>
      <w:r>
        <w:rPr>
          <w:b/>
          <w:bCs/>
        </w:rPr>
        <w:t xml:space="preserve">(4)</w:t>
      </w:r>
      <w:r>
        <w:t xml:space="preserve"> </w:t>
      </w:r>
      <w:r>
        <w:t xml:space="preserve">No curtíssimo prazo (período de mercado), choques de demanda afetam apenas o preço, não a quantidade.</w:t>
      </w:r>
    </w:p>
    <w:p>
      <w:pPr>
        <w:pStyle w:val="BlockText"/>
      </w:pPr>
      <w:r>
        <w:t xml:space="preserve">??? note</w:t>
      </w:r>
      <w:r>
        <w:t xml:space="preserve"> </w:t>
      </w:r>
      <w:r>
        <w:t xml:space="preserve">“Gabarito e resolução”</w:t>
      </w:r>
      <w:r>
        <w:t xml:space="preserve"> </w:t>
      </w:r>
      <w:r>
        <w:rPr>
          <w:b/>
          <w:bCs/>
        </w:rPr>
        <w:t xml:space="preserve">(0) F.</w:t>
      </w:r>
      <w:r>
        <w:t xml:space="preserve"> </w:t>
      </w:r>
      <w:r>
        <w:t xml:space="preserve">O</w:t>
      </w:r>
      <w:r>
        <w:t xml:space="preserve"> </w:t>
      </w:r>
      <w:r>
        <w:rPr>
          <w:i/>
          <w:iCs/>
        </w:rPr>
        <w:t xml:space="preserve">lucro econômico</w:t>
      </w:r>
      <w:r>
        <w:t xml:space="preserve"> </w:t>
      </w:r>
      <w:r>
        <w:t xml:space="preserve">é zero, mas o excedente do produtor (área entre preço e curva de oferta de curto prazo) pode ser positivo — ele remunera os custos fixos e a renda ricardiana de firmas inframarginais. ❌</w:t>
      </w:r>
    </w:p>
    <w:p>
      <w:pPr>
        <w:pStyle w:val="SourceCode"/>
      </w:pPr>
      <w:r>
        <w:rPr>
          <w:rStyle w:val="VerbatimChar"/>
        </w:rPr>
        <w:t xml:space="preserve">**(1) V.** Se a entrada de firmas reduz custos (economias externas), a oferta de longo prazo é negativamente inclinada. ✅</w:t>
      </w:r>
      <w:r>
        <w:br/>
      </w:r>
      <w:r>
        <w:br/>
      </w:r>
      <w:r>
        <w:rPr>
          <w:rStyle w:val="VerbatimChar"/>
        </w:rPr>
        <w:t xml:space="preserve">**(2) F.** A incidência econômica é independente da incidência legal. O preço pago pelo consumidor e o recebido pelo produtor são os mesmos nos dois casos. ❌</w:t>
      </w:r>
      <w:r>
        <w:br/>
      </w:r>
      <w:r>
        <w:br/>
      </w:r>
      <w:r>
        <w:rPr>
          <w:rStyle w:val="VerbatimChar"/>
        </w:rPr>
        <w:t xml:space="preserve">**(3) V.** Essa é a condição de estabilidade walrasiana: excesso de demanda decrescente no preço. ✅</w:t>
      </w:r>
      <w:r>
        <w:br/>
      </w:r>
      <w:r>
        <w:br/>
      </w:r>
      <w:r>
        <w:rPr>
          <w:rStyle w:val="VerbatimChar"/>
        </w:rPr>
        <w:t xml:space="preserve">**(4) V.** No curtíssimo prazo, $S = \bar{Q}$ (oferta fixa), e todo ajuste ocorre via preço. ✅</w:t>
      </w:r>
    </w:p>
    <w:bookmarkEnd w:id="836"/>
    <w:bookmarkEnd w:id="837"/>
    <w:bookmarkStart w:id="851" w:name="pesquisa-em-ação-capítulo-13"/>
    <w:p>
      <w:pPr>
        <w:pStyle w:val="Heading2"/>
      </w:pPr>
      <w:r>
        <w:t xml:space="preserve">Pesquisa em Ação — Capítulo 13</w:t>
      </w:r>
    </w:p>
    <w:p>
      <w:pPr>
        <w:pStyle w:val="BlockText"/>
      </w:pPr>
      <w:r>
        <w:rPr>
          <w:b/>
          <w:bCs/>
        </w:rPr>
        <w:t xml:space="preserve">[PESQUISA EM ACAO] Roberts, M. J.; Schlenker, W. (2013).</w:t>
      </w:r>
      <w:r>
        <w:rPr>
          <w:b/>
          <w:bCs/>
        </w:rPr>
        <w:t xml:space="preserve"> </w:t>
      </w:r>
      <w:hyperlink r:id="rId838">
        <w:r>
          <w:rPr>
            <w:rStyle w:val="Hyperlink"/>
            <w:b/>
            <w:bCs/>
          </w:rPr>
          <w:t xml:space="preserve">Identifying Supply and Demand Elasticities of Agricultural Commodities: Implications for the US Ethanol Mandate</w:t>
        </w:r>
      </w:hyperlink>
      <w:r>
        <w:rPr>
          <w:b/>
          <w:bCs/>
        </w:rPr>
        <w:t xml:space="preserve">.</w:t>
      </w:r>
      <w:r>
        <w:rPr>
          <w:b/>
          <w:bCs/>
        </w:rPr>
        <w:t xml:space="preserve"> </w:t>
      </w:r>
      <w:r>
        <w:rPr>
          <w:b/>
          <w:bCs/>
          <w:i/>
          <w:iCs/>
        </w:rPr>
        <w:t xml:space="preserve">American Economic Review</w:t>
      </w:r>
      <w:r>
        <w:rPr>
          <w:b/>
          <w:bCs/>
        </w:rPr>
        <w:t xml:space="preserve">, 103(6), 2265–2295.</w:t>
      </w:r>
    </w:p>
    <w:p>
      <w:pPr>
        <w:pStyle w:val="BlockText"/>
      </w:pPr>
      <w:r>
        <w:rPr>
          <w:b/>
          <w:bCs/>
        </w:rPr>
        <w:t xml:space="preserve">Pergunta central:</w:t>
      </w:r>
      <w:r>
        <w:t xml:space="preserve"> </w:t>
      </w:r>
      <w:r>
        <w:t xml:space="preserve">Quais são as elasticidades de oferta e demanda de curto prazo para as principais commodities agrícolas globais (milho, soja, trigo e arroz)? E quais as consequências do mandato americano de mistura de etanol de milho para os preços de alimentos?</w:t>
      </w:r>
    </w:p>
    <w:p>
      <w:pPr>
        <w:pStyle w:val="BlockText"/>
      </w:pPr>
      <w:r>
        <w:rPr>
          <w:b/>
          <w:bCs/>
        </w:rPr>
        <w:t xml:space="preserve">Método:</w:t>
      </w:r>
      <w:r>
        <w:t xml:space="preserve"> </w:t>
      </w:r>
      <w:r>
        <w:t xml:space="preserve">Os autores exploram variações exógenas de produtividade agrícola causadas por condições climáticas (choques de rendimento) como instrumento para identificar a curva de demanda, e choques de demanda por biocombustíveis para identificar a oferta. A estratégia de variáveis instrumentais resolve o clássico problema de identificação simultânea (curvas de oferta e demanda se deslocam juntas).</w:t>
      </w:r>
    </w:p>
    <w:p>
      <w:pPr>
        <w:pStyle w:val="BlockText"/>
      </w:pPr>
      <w:r>
        <w:rPr>
          <w:b/>
          <w:bCs/>
        </w:rPr>
        <w:t xml:space="preserve">Resultado principal:</w:t>
      </w:r>
      <w:r>
        <w:t xml:space="preserve"> </w:t>
      </w:r>
      <w:r>
        <w:t xml:space="preserve">As elasticidades estimadas são surpreendentemente baixas: a elasticidade-preço da oferta de curto prazo está entre 0,08 e 0,13, e a da demanda entre –0,05 e –0,10. Essas magnitudes implicam que pequenos choques de produção (uma seca, uma praga) geram enormes flutuações de preço. O mandato de etanol, ao desviar ~40% da safra de milho americana para combustível, teria elevado os preços de grãos globais em 30% ou mais.</w:t>
      </w:r>
    </w:p>
    <w:p>
      <w:pPr>
        <w:pStyle w:val="BlockText"/>
      </w:pPr>
      <w:r>
        <w:rPr>
          <w:b/>
          <w:bCs/>
        </w:rPr>
        <w:t xml:space="preserve">Por que isso importa:</w:t>
      </w:r>
      <w:r>
        <w:t xml:space="preserve"> </w:t>
      </w:r>
      <w:r>
        <w:t xml:space="preserve">O artigo fornece as estimativas empíricas mais rigorosas das elasticidades que estão no coração da estática comparativa deste capítulo. Para o Brasil — segundo maior produtor e exportador de soja do mundo —, os resultados são diretamente relevantes: a baixa elasticidade de oferta explica por que geadas, secas e pragas no Paraná e Mato Grosso causam picos de preço nos CEASAs e na bolsa de Chicago.</w:t>
      </w:r>
    </w:p>
    <w:p>
      <w:pPr>
        <w:pStyle w:val="BlockText"/>
      </w:pPr>
      <w:r>
        <w:rPr>
          <w:b/>
          <w:bCs/>
        </w:rPr>
        <w:t xml:space="preserve">Relevância para o capítulo:</w:t>
      </w:r>
      <w:r>
        <w:t xml:space="preserve"> </w:t>
      </w:r>
      <w:r>
        <w:t xml:space="preserve">O artigo quantifica empiricamente o que a Seção 13.4 formaliza: quanto mais inelásticas são oferta e demanda, maior a variação de preço em resposta a choques. As estimativas alimentam diretamente a fórmula de estática comparativa da equação (13.8).</w:t>
      </w:r>
    </w:p>
    <w:p>
      <w:pPr>
        <w:pStyle w:val="BlockText"/>
      </w:pPr>
      <w:r>
        <w:rPr>
          <w:b/>
          <w:bCs/>
        </w:rPr>
        <w:t xml:space="preserve">[PESQUISA EM ACAO] Chetty, R.; Looney, A.; Kroft, K. (2009).</w:t>
      </w:r>
      <w:r>
        <w:rPr>
          <w:b/>
          <w:bCs/>
        </w:rPr>
        <w:t xml:space="preserve"> </w:t>
      </w:r>
      <w:hyperlink r:id="rId839">
        <w:r>
          <w:rPr>
            <w:rStyle w:val="Hyperlink"/>
            <w:b/>
            <w:bCs/>
          </w:rPr>
          <w:t xml:space="preserve">Salience and Taxation: Theory and Evidence</w:t>
        </w:r>
      </w:hyperlink>
      <w:r>
        <w:rPr>
          <w:b/>
          <w:bCs/>
        </w:rPr>
        <w:t xml:space="preserve">.</w:t>
      </w:r>
      <w:r>
        <w:rPr>
          <w:b/>
          <w:bCs/>
        </w:rPr>
        <w:t xml:space="preserve"> </w:t>
      </w:r>
      <w:r>
        <w:rPr>
          <w:b/>
          <w:bCs/>
          <w:i/>
          <w:iCs/>
        </w:rPr>
        <w:t xml:space="preserve">American Economic Review</w:t>
      </w:r>
      <w:r>
        <w:rPr>
          <w:b/>
          <w:bCs/>
        </w:rPr>
        <w:t xml:space="preserve">, 99(4), 1145–1177.</w:t>
      </w:r>
    </w:p>
    <w:p>
      <w:pPr>
        <w:pStyle w:val="BlockText"/>
      </w:pPr>
      <w:r>
        <w:rPr>
          <w:b/>
          <w:bCs/>
        </w:rPr>
        <w:t xml:space="preserve">Pergunta central:</w:t>
      </w:r>
      <w:r>
        <w:t xml:space="preserve"> </w:t>
      </w:r>
      <w:r>
        <w:t xml:space="preserve">A forma como um imposto é apresentado ao consumidor — se incluído no preço na prateleira ou adicionado no caixa — afeta o comportamento de compra? A teoria clássica de incidência diz que não deveria importar; a economia comportamental sugere que sim.</w:t>
      </w:r>
    </w:p>
    <w:p>
      <w:pPr>
        <w:pStyle w:val="BlockText"/>
      </w:pPr>
      <w:r>
        <w:rPr>
          <w:b/>
          <w:bCs/>
        </w:rPr>
        <w:t xml:space="preserve">Método:</w:t>
      </w:r>
      <w:r>
        <w:t xml:space="preserve"> </w:t>
      </w:r>
      <w:r>
        <w:t xml:space="preserve">Os autores realizaram um experimento de campo em um supermercado: para certos produtos, o imposto sobre vendas foi explicitado na etiqueta de preço (em vez de ser adicionado apenas no caixa). Complementam com análise de dados de cerveja explorando variações estaduais em impostos sobre consumo (</w:t>
      </w:r>
      <w:r>
        <w:rPr>
          <w:i/>
          <w:iCs/>
        </w:rPr>
        <w:t xml:space="preserve">excise taxes</w:t>
      </w:r>
      <w:r>
        <w:t xml:space="preserve">, incluídos no preço) versus impostos sobre vendas (</w:t>
      </w:r>
      <w:r>
        <w:rPr>
          <w:i/>
          <w:iCs/>
        </w:rPr>
        <w:t xml:space="preserve">sales taxes</w:t>
      </w:r>
      <w:r>
        <w:t xml:space="preserve">, adicionados no caixa).</w:t>
      </w:r>
    </w:p>
    <w:p>
      <w:pPr>
        <w:pStyle w:val="BlockText"/>
      </w:pPr>
      <w:r>
        <w:rPr>
          <w:b/>
          <w:bCs/>
        </w:rPr>
        <w:t xml:space="preserve">Resultado principal:</w:t>
      </w:r>
      <w:r>
        <w:t xml:space="preserve"> </w:t>
      </w:r>
      <w:r>
        <w:t xml:space="preserve">Quando o imposto é tornado mais visível (saliente), os consumidores reagem mais — a demanda cai significativamente mais do que quando o imposto está</w:t>
      </w:r>
      <w:r>
        <w:t xml:space="preserve"> </w:t>
      </w:r>
      <w:r>
        <w:t xml:space="preserve">“escondido”</w:t>
      </w:r>
      <w:r>
        <w:t xml:space="preserve"> </w:t>
      </w:r>
      <w:r>
        <w:t xml:space="preserve">no caixa. Isso viola a predição da teoria neoclássica padrão (que prevê que a incidência econômica é idêntica). A</w:t>
      </w:r>
      <w:r>
        <w:t xml:space="preserve"> </w:t>
      </w:r>
      <w:r>
        <w:t xml:space="preserve">“saliência”</w:t>
      </w:r>
      <w:r>
        <w:t xml:space="preserve"> </w:t>
      </w:r>
      <w:r>
        <w:t xml:space="preserve">do imposto importa: impostos menos salientes são parcialmente ignorados pelos consumidores.</w:t>
      </w:r>
    </w:p>
    <w:p>
      <w:pPr>
        <w:pStyle w:val="BlockText"/>
      </w:pPr>
      <w:r>
        <w:rPr>
          <w:b/>
          <w:bCs/>
        </w:rPr>
        <w:t xml:space="preserve">Por que isso importa:</w:t>
      </w:r>
      <w:r>
        <w:t xml:space="preserve"> </w:t>
      </w:r>
      <w:r>
        <w:t xml:space="preserve">O resultado desafia diretamente a elegante irrelevância da incidência legal demonstrada na Seção 13.11. Na prática, consumidores com atenção limitada (</w:t>
      </w:r>
      <w:r>
        <w:rPr>
          <w:i/>
          <w:iCs/>
        </w:rPr>
        <w:t xml:space="preserve">bounded attention</w:t>
      </w:r>
      <w:r>
        <w:t xml:space="preserve">) não processam perfeitamente informação sobre preços e impostos. Para a reforma tributária brasileira — que busca tornar a carga tributária mais transparente —, o estudo sugere que a transparência pode, por si só, alterar comportamentos.</w:t>
      </w:r>
    </w:p>
    <w:p>
      <w:pPr>
        <w:pStyle w:val="BlockText"/>
      </w:pPr>
      <w:r>
        <w:rPr>
          <w:b/>
          <w:bCs/>
        </w:rPr>
        <w:t xml:space="preserve">Relevância para o capítulo:</w:t>
      </w:r>
      <w:r>
        <w:t xml:space="preserve"> </w:t>
      </w:r>
      <w:r>
        <w:t xml:space="preserve">O artigo mostra os limites do modelo de incidência clássico e abre a porta para a economia comportamental aplicada a tributação. É um complemento perfeito à análise formal da equação (13.14): a teoria funciona como benchmark, mas o mundo real pode desviar sistematicamente.</w:t>
      </w:r>
    </w:p>
    <w:p>
      <w:pPr>
        <w:pStyle w:val="BlockText"/>
      </w:pPr>
      <w:r>
        <w:rPr>
          <w:b/>
          <w:bCs/>
        </w:rPr>
        <w:t xml:space="preserve">[PESQUISA EM ACAO] Diamond, R.; McQuade, T.; Qian, F. (2019).</w:t>
      </w:r>
      <w:r>
        <w:rPr>
          <w:b/>
          <w:bCs/>
        </w:rPr>
        <w:t xml:space="preserve"> </w:t>
      </w:r>
      <w:hyperlink r:id="rId840">
        <w:r>
          <w:rPr>
            <w:rStyle w:val="Hyperlink"/>
            <w:b/>
            <w:bCs/>
          </w:rPr>
          <w:t xml:space="preserve">The Effects of Rent Control Expansion on Tenants, Landlords, and Inequality: Evidence from San Francisco</w:t>
        </w:r>
      </w:hyperlink>
      <w:r>
        <w:rPr>
          <w:b/>
          <w:bCs/>
        </w:rPr>
        <w:t xml:space="preserve">.</w:t>
      </w:r>
      <w:r>
        <w:rPr>
          <w:b/>
          <w:bCs/>
        </w:rPr>
        <w:t xml:space="preserve"> </w:t>
      </w:r>
      <w:r>
        <w:rPr>
          <w:b/>
          <w:bCs/>
          <w:i/>
          <w:iCs/>
        </w:rPr>
        <w:t xml:space="preserve">American Economic Review</w:t>
      </w:r>
      <w:r>
        <w:rPr>
          <w:b/>
          <w:bCs/>
        </w:rPr>
        <w:t xml:space="preserve">, 109(9), 3365–3394.</w:t>
      </w:r>
    </w:p>
    <w:p>
      <w:pPr>
        <w:pStyle w:val="BlockText"/>
      </w:pPr>
      <w:r>
        <w:rPr>
          <w:b/>
          <w:bCs/>
        </w:rPr>
        <w:t xml:space="preserve">Pergunta central:</w:t>
      </w:r>
      <w:r>
        <w:t xml:space="preserve"> </w:t>
      </w:r>
      <w:r>
        <w:t xml:space="preserve">Qual é o efeito causal do controle de aluguéis sobre inquilinos, proprietários e a oferta de imóveis para aluguel? O controle protege os inquilinos ou acaba prejudicando-os no longo prazo?</w:t>
      </w:r>
    </w:p>
    <w:p>
      <w:pPr>
        <w:pStyle w:val="BlockText"/>
      </w:pPr>
      <w:r>
        <w:rPr>
          <w:b/>
          <w:bCs/>
        </w:rPr>
        <w:t xml:space="preserve">Método:</w:t>
      </w:r>
      <w:r>
        <w:t xml:space="preserve"> </w:t>
      </w:r>
      <w:r>
        <w:t xml:space="preserve">Os autores exploram uma expansão do controle de aluguéis em São Francisco em 1994, que cobriu edifícios com 4 ou menos unidades construídos antes de 1980 — criando um grupo de tratamento (imóveis cobertos) e um grupo de controle (imóveis não cobertos) numa configuração de diferenças-em-diferenças. Utilizam dados granulares de registros imobiliários e de moradia.</w:t>
      </w:r>
    </w:p>
    <w:p>
      <w:pPr>
        <w:pStyle w:val="BlockText"/>
      </w:pPr>
      <w:r>
        <w:rPr>
          <w:b/>
          <w:bCs/>
        </w:rPr>
        <w:t xml:space="preserve">Resultado principal:</w:t>
      </w:r>
      <w:r>
        <w:t xml:space="preserve"> </w:t>
      </w:r>
      <w:r>
        <w:t xml:space="preserve">No curto prazo, o controle de aluguel beneficiou os inquilinos cobertos, que permaneceram nos imóveis com aluguéis abaixo do mercado. Mas no longo prazo, os proprietários responderam: (i) convertendo imóveis de aluguel em condomínios ou uso próprio (redução de 15% na oferta); (ii) demolindo e reconstruindo edifícios não cobertos; (iii) realizando reformas que os excluíam da regulação. O efeito líquido sobre o estoque de aluguel foi negativo, e os novos inquilinos — que enfrentaram oferta reduzida — pagaram aluguéis</w:t>
      </w:r>
      <w:r>
        <w:t xml:space="preserve"> </w:t>
      </w:r>
      <w:r>
        <w:rPr>
          <w:i/>
          <w:iCs/>
        </w:rPr>
        <w:t xml:space="preserve">mais altos</w:t>
      </w:r>
      <w:r>
        <w:t xml:space="preserve"> </w:t>
      </w:r>
      <w:r>
        <w:t xml:space="preserve">no mercado não controlado.</w:t>
      </w:r>
    </w:p>
    <w:p>
      <w:pPr>
        <w:pStyle w:val="BlockText"/>
      </w:pPr>
      <w:r>
        <w:rPr>
          <w:b/>
          <w:bCs/>
        </w:rPr>
        <w:t xml:space="preserve">Por que isso importa:</w:t>
      </w:r>
      <w:r>
        <w:t xml:space="preserve"> </w:t>
      </w:r>
      <w:r>
        <w:t xml:space="preserve">O estudo é a evidência empírica mais rigorosa sobre os efeitos de longo prazo do controle de aluguel, confirmando as predições teóricas do Box Brasil 13.3: o controle gera escassez ao desincentivar a oferta. Para o Brasil, onde o debate sobre regulação de aluguéis ressurge periodicamente (especialmente em cidades como São Paulo e Rio de Janeiro), a evidência de São Francisco é um alerta contundente.</w:t>
      </w:r>
    </w:p>
    <w:p>
      <w:pPr>
        <w:pStyle w:val="BlockText"/>
      </w:pPr>
      <w:r>
        <w:rPr>
          <w:b/>
          <w:bCs/>
        </w:rPr>
        <w:t xml:space="preserve">Relevância para o capítulo:</w:t>
      </w:r>
      <w:r>
        <w:t xml:space="preserve"> </w:t>
      </w:r>
      <w:r>
        <w:t xml:space="preserve">Ilustra empiricamente a análise de teto de preço da Seção 13.10: no curto prazo, o teto redistribui (EC</w:t>
      </w:r>
      <w:r>
        <w:t xml:space="preserve"> </w:t>
      </w:r>
      <m:oMath>
        <m:r>
          <m:rPr>
            <m:sty m:val="p"/>
          </m:rPr>
          <m:t>↑</m:t>
        </m:r>
      </m:oMath>
      <w:r>
        <w:t xml:space="preserve"> </w:t>
      </w:r>
      <w:r>
        <w:t xml:space="preserve">para alguns); no longo prazo, a redução de oferta domina e o bem-estar total cai.</w:t>
      </w:r>
    </w:p>
    <w:p>
      <w:pPr>
        <w:pStyle w:val="BlockText"/>
      </w:pPr>
      <w:r>
        <w:rPr>
          <w:b/>
          <w:bCs/>
        </w:rPr>
        <w:t xml:space="preserve">[PESQUISA EM ACAO] Atkin, D.; Donaldson, D. (2015).</w:t>
      </w:r>
      <w:r>
        <w:rPr>
          <w:b/>
          <w:bCs/>
        </w:rPr>
        <w:t xml:space="preserve"> </w:t>
      </w:r>
      <w:hyperlink r:id="rId841">
        <w:r>
          <w:rPr>
            <w:rStyle w:val="Hyperlink"/>
            <w:b/>
            <w:bCs/>
          </w:rPr>
          <w:t xml:space="preserve">Who’s Getting Globalized? The Size and Implications of Intra-National Trade Costs</w:t>
        </w:r>
      </w:hyperlink>
      <w:r>
        <w:rPr>
          <w:b/>
          <w:bCs/>
        </w:rPr>
        <w:t xml:space="preserve">. NBER Working Paper 21439.</w:t>
      </w:r>
    </w:p>
    <w:p>
      <w:pPr>
        <w:pStyle w:val="BlockText"/>
      </w:pPr>
      <w:r>
        <w:rPr>
          <w:b/>
          <w:bCs/>
        </w:rPr>
        <w:t xml:space="preserve">Pergunta central:</w:t>
      </w:r>
      <w:r>
        <w:t xml:space="preserve"> </w:t>
      </w:r>
      <w:r>
        <w:t xml:space="preserve">Quão grandes são os custos de comércio</w:t>
      </w:r>
      <w:r>
        <w:t xml:space="preserve"> </w:t>
      </w:r>
      <w:r>
        <w:rPr>
          <w:i/>
          <w:iCs/>
        </w:rPr>
        <w:t xml:space="preserve">dentro</w:t>
      </w:r>
      <w:r>
        <w:t xml:space="preserve"> </w:t>
      </w:r>
      <w:r>
        <w:t xml:space="preserve">de um país como a Etiópia ou a Nigéria? E como esses custos afetam a formação de preços, o bem-estar e a eficiência dos mercados locais?</w:t>
      </w:r>
    </w:p>
    <w:p>
      <w:pPr>
        <w:pStyle w:val="BlockText"/>
      </w:pPr>
      <w:r>
        <w:rPr>
          <w:b/>
          <w:bCs/>
        </w:rPr>
        <w:t xml:space="preserve">Método:</w:t>
      </w:r>
      <w:r>
        <w:t xml:space="preserve"> </w:t>
      </w:r>
      <w:r>
        <w:t xml:space="preserve">Os autores usam dados detalhados de preços de commodities agrícolas em diferentes localidades da Etiópia e Nigéria para estimar os custos de transação intranacionais — incluindo transporte, perdas, intermediação e barreiras informais. Comparam esses custos com modelos de equilíbrio espacial (à la Armington) que preveem convergência de preços quando os custos de comércio são baixos.</w:t>
      </w:r>
    </w:p>
    <w:p>
      <w:pPr>
        <w:pStyle w:val="BlockText"/>
      </w:pPr>
      <w:r>
        <w:rPr>
          <w:b/>
          <w:bCs/>
        </w:rPr>
        <w:t xml:space="preserve">Resultado principal:</w:t>
      </w:r>
      <w:r>
        <w:t xml:space="preserve"> </w:t>
      </w:r>
      <w:r>
        <w:t xml:space="preserve">Os custos de comércio intranacionais são enormes — em muitos casos, maiores que os custos de comércio internacional entre países desenvolvidos. Isso gera mercados locais segmentados, com preços que divergem substancialmente entre regiões do mesmo país. A perda de bem-estar associada a esses custos é da ordem de 15–25% do PIB agrícola.</w:t>
      </w:r>
    </w:p>
    <w:p>
      <w:pPr>
        <w:pStyle w:val="BlockText"/>
      </w:pPr>
      <w:r>
        <w:rPr>
          <w:b/>
          <w:bCs/>
        </w:rPr>
        <w:t xml:space="preserve">Por que isso importa:</w:t>
      </w:r>
      <w:r>
        <w:t xml:space="preserve"> </w:t>
      </w:r>
      <w:r>
        <w:t xml:space="preserve">O Brasil compartilha esse desafio: o custo de transporte de soja do Mato Grosso ao porto de Santos pode representar 20–30% do preço FOB, criando cunhas de preço entre regiões produtoras e consumidoras. A heterogeneidade de preços entre CEASAs brasileiras é, em grande parte, explicada por custos de transação — exatamente o fenômeno que o modelo de equilíbrio parcial da Seção 13.3 captura quando reconhecemos que</w:t>
      </w:r>
      <w:r>
        <w:t xml:space="preserve"> </w:t>
      </w:r>
      <w:r>
        <w:t xml:space="preserve">“o mercado”</w:t>
      </w:r>
      <w:r>
        <w:t xml:space="preserve"> </w:t>
      </w:r>
      <w:r>
        <w:t xml:space="preserve">não é homogêneo no espaço.</w:t>
      </w:r>
    </w:p>
    <w:p>
      <w:pPr>
        <w:pStyle w:val="BlockText"/>
      </w:pPr>
      <w:r>
        <w:rPr>
          <w:b/>
          <w:bCs/>
        </w:rPr>
        <w:t xml:space="preserve">Relevância para o capítulo:</w:t>
      </w:r>
      <w:r>
        <w:t xml:space="preserve"> </w:t>
      </w:r>
      <w:r>
        <w:t xml:space="preserve">O artigo ilustra como custos de transação impedem a formação de um mercado único, gerando equilíbrios locais que diferem do equilíbrio teórico integrado. É uma extensão natural da análise de equilíbrio parcial marshalliano para contextos com fricções espaciais.</w:t>
      </w:r>
    </w:p>
    <w:p>
      <w:pPr>
        <w:pStyle w:val="BlockText"/>
      </w:pPr>
      <w:r>
        <w:rPr>
          <w:b/>
          <w:bCs/>
        </w:rPr>
        <w:t xml:space="preserve">[PESQUISA EM ACAO] Hendel, I.; Nevo, A. (2006).</w:t>
      </w:r>
      <w:r>
        <w:rPr>
          <w:b/>
          <w:bCs/>
        </w:rPr>
        <w:t xml:space="preserve"> </w:t>
      </w:r>
      <w:hyperlink r:id="rId842">
        <w:r>
          <w:rPr>
            <w:rStyle w:val="Hyperlink"/>
            <w:b/>
            <w:bCs/>
          </w:rPr>
          <w:t xml:space="preserve">Measuring the Implications of Sales and Consumer Inventory Behavior</w:t>
        </w:r>
      </w:hyperlink>
      <w:r>
        <w:rPr>
          <w:b/>
          <w:bCs/>
        </w:rPr>
        <w:t xml:space="preserve">.</w:t>
      </w:r>
      <w:r>
        <w:rPr>
          <w:b/>
          <w:bCs/>
        </w:rPr>
        <w:t xml:space="preserve"> </w:t>
      </w:r>
      <w:r>
        <w:rPr>
          <w:b/>
          <w:bCs/>
          <w:i/>
          <w:iCs/>
        </w:rPr>
        <w:t xml:space="preserve">Econometrica</w:t>
      </w:r>
      <w:r>
        <w:rPr>
          <w:b/>
          <w:bCs/>
        </w:rPr>
        <w:t xml:space="preserve">, 74(6), 1637–1673.</w:t>
      </w:r>
    </w:p>
    <w:p>
      <w:pPr>
        <w:pStyle w:val="BlockText"/>
      </w:pPr>
      <w:r>
        <w:rPr>
          <w:b/>
          <w:bCs/>
        </w:rPr>
        <w:t xml:space="preserve">Pergunta central:</w:t>
      </w:r>
      <w:r>
        <w:t xml:space="preserve"> </w:t>
      </w:r>
      <w:r>
        <w:t xml:space="preserve">Quando supermercados fazem promoções temporárias (</w:t>
      </w:r>
      <w:r>
        <w:rPr>
          <w:i/>
          <w:iCs/>
        </w:rPr>
        <w:t xml:space="preserve">sales</w:t>
      </w:r>
      <w:r>
        <w:t xml:space="preserve">), os consumidores realmente consomem mais ou simplesmente antecipam compras futuras (estocam)? Qual é a elasticidade</w:t>
      </w:r>
      <w:r>
        <w:t xml:space="preserve"> </w:t>
      </w:r>
      <w:r>
        <w:t xml:space="preserve">“verdadeira”</w:t>
      </w:r>
      <w:r>
        <w:t xml:space="preserve"> </w:t>
      </w:r>
      <w:r>
        <w:t xml:space="preserve">da demanda, depois de separar o efeito de estocagem?</w:t>
      </w:r>
    </w:p>
    <w:p>
      <w:pPr>
        <w:pStyle w:val="BlockText"/>
      </w:pPr>
      <w:r>
        <w:rPr>
          <w:b/>
          <w:bCs/>
        </w:rPr>
        <w:t xml:space="preserve">Método:</w:t>
      </w:r>
      <w:r>
        <w:t xml:space="preserve"> </w:t>
      </w:r>
      <w:r>
        <w:t xml:space="preserve">Os autores desenvolvem um modelo dinâmico de demanda em que consumidores decidem</w:t>
      </w:r>
      <w:r>
        <w:t xml:space="preserve"> </w:t>
      </w:r>
      <w:r>
        <w:rPr>
          <w:i/>
          <w:iCs/>
        </w:rPr>
        <w:t xml:space="preserve">quando</w:t>
      </w:r>
      <w:r>
        <w:t xml:space="preserve"> </w:t>
      </w:r>
      <w:r>
        <w:t xml:space="preserve">e</w:t>
      </w:r>
      <w:r>
        <w:t xml:space="preserve"> </w:t>
      </w:r>
      <w:r>
        <w:rPr>
          <w:i/>
          <w:iCs/>
        </w:rPr>
        <w:t xml:space="preserve">quanto</w:t>
      </w:r>
      <w:r>
        <w:t xml:space="preserve"> </w:t>
      </w:r>
      <w:r>
        <w:t xml:space="preserve">comprar, levando em conta estoques domésticos e a probabilidade de promoções futuras. Estimam o modelo com dados de scanner de detergentes em supermercados americanos.</w:t>
      </w:r>
    </w:p>
    <w:p>
      <w:pPr>
        <w:pStyle w:val="BlockText"/>
      </w:pPr>
      <w:r>
        <w:rPr>
          <w:b/>
          <w:bCs/>
        </w:rPr>
        <w:t xml:space="preserve">Resultado principal:</w:t>
      </w:r>
      <w:r>
        <w:t xml:space="preserve"> </w:t>
      </w:r>
      <w:r>
        <w:t xml:space="preserve">Grande parte da resposta aparente dos consumidores a promoções é</w:t>
      </w:r>
      <w:r>
        <w:t xml:space="preserve"> </w:t>
      </w:r>
      <w:r>
        <w:rPr>
          <w:b/>
          <w:bCs/>
        </w:rPr>
        <w:t xml:space="preserve">estocagem</w:t>
      </w:r>
      <w:r>
        <w:t xml:space="preserve">, não aumento de consumo. A elasticidade-preço de</w:t>
      </w:r>
      <w:r>
        <w:t xml:space="preserve"> </w:t>
      </w:r>
      <w:r>
        <w:rPr>
          <w:i/>
          <w:iCs/>
        </w:rPr>
        <w:t xml:space="preserve">consumo</w:t>
      </w:r>
      <w:r>
        <w:t xml:space="preserve"> </w:t>
      </w:r>
      <w:r>
        <w:t xml:space="preserve">(longo prazo) é muito menor que a elasticidade de</w:t>
      </w:r>
      <w:r>
        <w:t xml:space="preserve"> </w:t>
      </w:r>
      <w:r>
        <w:rPr>
          <w:i/>
          <w:iCs/>
        </w:rPr>
        <w:t xml:space="preserve">compra</w:t>
      </w:r>
      <w:r>
        <w:t xml:space="preserve"> </w:t>
      </w:r>
      <w:r>
        <w:t xml:space="preserve">(curto prazo). Ignorar a estocagem superestima a sensibilidade ao preço dos consumidores por um fator de 2 a 4.</w:t>
      </w:r>
    </w:p>
    <w:p>
      <w:pPr>
        <w:pStyle w:val="BlockText"/>
      </w:pPr>
      <w:r>
        <w:rPr>
          <w:b/>
          <w:bCs/>
        </w:rPr>
        <w:t xml:space="preserve">Por que isso importa:</w:t>
      </w:r>
      <w:r>
        <w:t xml:space="preserve"> </w:t>
      </w:r>
      <w:r>
        <w:t xml:space="preserve">Para o Brasil, onde promoções de supermercado são frequentes e o comportamento de estocagem é relevante (especialmente para produtos não perecíveis), o resultado tem implicações diretas para a análise de poder de mercado no varejo e para políticas de defesa do consumidor.</w:t>
      </w:r>
    </w:p>
    <w:p>
      <w:pPr>
        <w:pStyle w:val="BlockText"/>
      </w:pPr>
      <w:r>
        <w:rPr>
          <w:b/>
          <w:bCs/>
        </w:rPr>
        <w:t xml:space="preserve">Relevância para o capítulo:</w:t>
      </w:r>
      <w:r>
        <w:t xml:space="preserve"> </w:t>
      </w:r>
      <w:r>
        <w:t xml:space="preserve">O artigo mostra que a distinção entre curtíssimo, curto e longo prazos (Seções 13.2–13.5) não é apenas uma conveniência teórica — ela tem implicações empíricas reais para a estimação de elasticidades. A demanda</w:t>
      </w:r>
      <w:r>
        <w:t xml:space="preserve"> </w:t>
      </w:r>
      <w:r>
        <w:t xml:space="preserve">“aparente”</w:t>
      </w:r>
      <w:r>
        <w:t xml:space="preserve"> </w:t>
      </w:r>
      <w:r>
        <w:t xml:space="preserve">de curto prazo pode ser muito mais elástica do que a demanda</w:t>
      </w:r>
      <w:r>
        <w:t xml:space="preserve"> </w:t>
      </w:r>
      <w:r>
        <w:t xml:space="preserve">“verdadeira”</w:t>
      </w:r>
      <w:r>
        <w:t xml:space="preserve"> </w:t>
      </w:r>
      <w:r>
        <w:t xml:space="preserve">de longo prazo, e confundir as duas leva a conclusões de política erradas.</w:t>
      </w:r>
    </w:p>
    <w:bookmarkStart w:id="850" w:name="referências-do-capítulo-14"/>
    <w:p>
      <w:pPr>
        <w:pStyle w:val="Heading3"/>
      </w:pPr>
      <w:r>
        <w:t xml:space="preserve">Referências do Capítulo</w:t>
      </w:r>
    </w:p>
    <w:p>
      <w:pPr>
        <w:pStyle w:val="Compact"/>
        <w:numPr>
          <w:ilvl w:val="0"/>
          <w:numId w:val="1797"/>
        </w:numPr>
      </w:pPr>
      <w:r>
        <w:t xml:space="preserve">Arnott, R. 1995.</w:t>
      </w:r>
      <w:r>
        <w:t xml:space="preserve"> </w:t>
      </w:r>
      <w:hyperlink r:id="rId843">
        <w:r>
          <w:rPr>
            <w:rStyle w:val="Hyperlink"/>
          </w:rPr>
          <w:t xml:space="preserve">“Time for Revisionism on Rent Control?”</w:t>
        </w:r>
      </w:hyperlink>
      <w:r>
        <w:t xml:space="preserve"> </w:t>
      </w:r>
      <w:r>
        <w:rPr>
          <w:i/>
          <w:iCs/>
        </w:rPr>
        <w:t xml:space="preserve">Journal of Economic Perspectives</w:t>
      </w:r>
      <w:r>
        <w:t xml:space="preserve"> </w:t>
      </w:r>
      <w:r>
        <w:t xml:space="preserve">9 (1): 99–120.</w:t>
      </w:r>
    </w:p>
    <w:p>
      <w:pPr>
        <w:pStyle w:val="Compact"/>
        <w:numPr>
          <w:ilvl w:val="0"/>
          <w:numId w:val="1797"/>
        </w:numPr>
      </w:pPr>
      <w:r>
        <w:t xml:space="preserve">Atkin, D., e D. Donaldson. 2015.</w:t>
      </w:r>
      <w:r>
        <w:t xml:space="preserve"> </w:t>
      </w:r>
      <w:hyperlink r:id="rId841">
        <w:r>
          <w:rPr>
            <w:rStyle w:val="Hyperlink"/>
          </w:rPr>
          <w:t xml:space="preserve">“Who’s Getting Globalized? The Size and Implications of Intra-National Trade Costs.”</w:t>
        </w:r>
      </w:hyperlink>
      <w:r>
        <w:t xml:space="preserve"> </w:t>
      </w:r>
      <w:r>
        <w:t xml:space="preserve">NBER Working Paper 21439.</w:t>
      </w:r>
    </w:p>
    <w:p>
      <w:pPr>
        <w:pStyle w:val="Compact"/>
        <w:numPr>
          <w:ilvl w:val="0"/>
          <w:numId w:val="1797"/>
        </w:numPr>
      </w:pPr>
      <w:r>
        <w:t xml:space="preserve">Chetty, R., A. Looney, e K. Kroft. 2009.</w:t>
      </w:r>
      <w:r>
        <w:t xml:space="preserve"> </w:t>
      </w:r>
      <w:hyperlink r:id="rId839">
        <w:r>
          <w:rPr>
            <w:rStyle w:val="Hyperlink"/>
          </w:rPr>
          <w:t xml:space="preserve">“Salience and Taxation: Theory and Evidence.”</w:t>
        </w:r>
      </w:hyperlink>
      <w:r>
        <w:t xml:space="preserve"> </w:t>
      </w:r>
      <w:r>
        <w:rPr>
          <w:i/>
          <w:iCs/>
        </w:rPr>
        <w:t xml:space="preserve">American Economic Review</w:t>
      </w:r>
      <w:r>
        <w:t xml:space="preserve"> </w:t>
      </w:r>
      <w:r>
        <w:t xml:space="preserve">99 (4): 1145–1177.</w:t>
      </w:r>
    </w:p>
    <w:p>
      <w:pPr>
        <w:pStyle w:val="Compact"/>
        <w:numPr>
          <w:ilvl w:val="0"/>
          <w:numId w:val="1797"/>
        </w:numPr>
      </w:pPr>
      <w:r>
        <w:t xml:space="preserve">CONAB. 2023–2026.</w:t>
      </w:r>
      <w:r>
        <w:t xml:space="preserve"> </w:t>
      </w:r>
      <w:hyperlink r:id="rId659">
        <w:r>
          <w:rPr>
            <w:rStyle w:val="Hyperlink"/>
            <w:i/>
            <w:iCs/>
          </w:rPr>
          <w:t xml:space="preserve">Acompanhamento da Safra Brasileira de Grãos</w:t>
        </w:r>
      </w:hyperlink>
      <w:r>
        <w:t xml:space="preserve">. Brasília: CONAB.</w:t>
      </w:r>
    </w:p>
    <w:p>
      <w:pPr>
        <w:pStyle w:val="Compact"/>
        <w:numPr>
          <w:ilvl w:val="0"/>
          <w:numId w:val="1797"/>
        </w:numPr>
      </w:pPr>
      <w:r>
        <w:t xml:space="preserve">Diamond, P. A., e J. A. Mirrlees. 1971.</w:t>
      </w:r>
      <w:r>
        <w:t xml:space="preserve"> </w:t>
      </w:r>
      <w:hyperlink r:id="rId844">
        <w:r>
          <w:rPr>
            <w:rStyle w:val="Hyperlink"/>
          </w:rPr>
          <w:t xml:space="preserve">“Optimal Taxation and Public Production.”</w:t>
        </w:r>
      </w:hyperlink>
      <w:r>
        <w:t xml:space="preserve"> </w:t>
      </w:r>
      <w:r>
        <w:rPr>
          <w:i/>
          <w:iCs/>
        </w:rPr>
        <w:t xml:space="preserve">American Economic Review</w:t>
      </w:r>
      <w:r>
        <w:t xml:space="preserve"> </w:t>
      </w:r>
      <w:r>
        <w:t xml:space="preserve">61 (1): 8–27.</w:t>
      </w:r>
    </w:p>
    <w:p>
      <w:pPr>
        <w:pStyle w:val="Compact"/>
        <w:numPr>
          <w:ilvl w:val="0"/>
          <w:numId w:val="1797"/>
        </w:numPr>
      </w:pPr>
      <w:r>
        <w:t xml:space="preserve">Diamond, R., T. McQuade, e F. Qian. 2019.</w:t>
      </w:r>
      <w:r>
        <w:t xml:space="preserve"> </w:t>
      </w:r>
      <w:hyperlink r:id="rId840">
        <w:r>
          <w:rPr>
            <w:rStyle w:val="Hyperlink"/>
          </w:rPr>
          <w:t xml:space="preserve">“The Effects of Rent Control Expansion on Tenants, Landlords, and Inequality.”</w:t>
        </w:r>
      </w:hyperlink>
      <w:r>
        <w:t xml:space="preserve"> </w:t>
      </w:r>
      <w:r>
        <w:rPr>
          <w:i/>
          <w:iCs/>
        </w:rPr>
        <w:t xml:space="preserve">American Economic Review</w:t>
      </w:r>
      <w:r>
        <w:t xml:space="preserve"> </w:t>
      </w:r>
      <w:r>
        <w:t xml:space="preserve">109 (9): 3365–3394.</w:t>
      </w:r>
    </w:p>
    <w:p>
      <w:pPr>
        <w:pStyle w:val="Compact"/>
        <w:numPr>
          <w:ilvl w:val="0"/>
          <w:numId w:val="1797"/>
        </w:numPr>
      </w:pPr>
      <w:r>
        <w:t xml:space="preserve">Ezekiel, M. 1938.</w:t>
      </w:r>
      <w:r>
        <w:t xml:space="preserve"> </w:t>
      </w:r>
      <w:hyperlink r:id="rId845">
        <w:r>
          <w:rPr>
            <w:rStyle w:val="Hyperlink"/>
          </w:rPr>
          <w:t xml:space="preserve">“The Cobweb Theorem.”</w:t>
        </w:r>
      </w:hyperlink>
      <w:r>
        <w:t xml:space="preserve"> </w:t>
      </w:r>
      <w:r>
        <w:rPr>
          <w:i/>
          <w:iCs/>
        </w:rPr>
        <w:t xml:space="preserve">Quarterly Journal of Economics</w:t>
      </w:r>
      <w:r>
        <w:t xml:space="preserve"> </w:t>
      </w:r>
      <w:r>
        <w:t xml:space="preserve">52 (2): 255–280.</w:t>
      </w:r>
    </w:p>
    <w:p>
      <w:pPr>
        <w:pStyle w:val="Compact"/>
        <w:numPr>
          <w:ilvl w:val="0"/>
          <w:numId w:val="1797"/>
        </w:numPr>
      </w:pPr>
      <w:r>
        <w:t xml:space="preserve">Hendel, I., e A. Nevo. 2006.</w:t>
      </w:r>
      <w:r>
        <w:t xml:space="preserve"> </w:t>
      </w:r>
      <w:hyperlink r:id="rId842">
        <w:r>
          <w:rPr>
            <w:rStyle w:val="Hyperlink"/>
          </w:rPr>
          <w:t xml:space="preserve">“Measuring the Implications of Sales and Consumer Inventory Behavior.”</w:t>
        </w:r>
      </w:hyperlink>
      <w:r>
        <w:t xml:space="preserve"> </w:t>
      </w:r>
      <w:r>
        <w:rPr>
          <w:i/>
          <w:iCs/>
        </w:rPr>
        <w:t xml:space="preserve">Econometrica</w:t>
      </w:r>
      <w:r>
        <w:t xml:space="preserve"> </w:t>
      </w:r>
      <w:r>
        <w:t xml:space="preserve">74 (6): 1637–1673.</w:t>
      </w:r>
    </w:p>
    <w:p>
      <w:pPr>
        <w:pStyle w:val="Compact"/>
        <w:numPr>
          <w:ilvl w:val="0"/>
          <w:numId w:val="1797"/>
        </w:numPr>
      </w:pPr>
      <w:r>
        <w:t xml:space="preserve">Hildenbrand, W. 1994.</w:t>
      </w:r>
      <w:r>
        <w:t xml:space="preserve"> </w:t>
      </w:r>
      <w:hyperlink r:id="rId846">
        <w:r>
          <w:rPr>
            <w:rStyle w:val="Hyperlink"/>
            <w:i/>
            <w:iCs/>
          </w:rPr>
          <w:t xml:space="preserve">Market Demand: Theory and Empirical Evidence</w:t>
        </w:r>
      </w:hyperlink>
      <w:r>
        <w:t xml:space="preserve">. Princeton: Princeton University Press.</w:t>
      </w:r>
    </w:p>
    <w:p>
      <w:pPr>
        <w:pStyle w:val="Compact"/>
        <w:numPr>
          <w:ilvl w:val="0"/>
          <w:numId w:val="1797"/>
        </w:numPr>
      </w:pPr>
      <w:r>
        <w:t xml:space="preserve">Marshall, A. 1890.</w:t>
      </w:r>
      <w:r>
        <w:t xml:space="preserve"> </w:t>
      </w:r>
      <w:hyperlink r:id="rId847">
        <w:r>
          <w:rPr>
            <w:rStyle w:val="Hyperlink"/>
            <w:i/>
            <w:iCs/>
          </w:rPr>
          <w:t xml:space="preserve">Principles of Economics</w:t>
        </w:r>
      </w:hyperlink>
      <w:r>
        <w:t xml:space="preserve">. London: Macmillan.</w:t>
      </w:r>
    </w:p>
    <w:p>
      <w:pPr>
        <w:pStyle w:val="Compact"/>
        <w:numPr>
          <w:ilvl w:val="0"/>
          <w:numId w:val="1797"/>
        </w:numPr>
      </w:pPr>
      <w:r>
        <w:t xml:space="preserve">Mas-Colell, A., M. D. Whinston, e J. R. Green. 1995.</w:t>
      </w:r>
      <w:r>
        <w:t xml:space="preserve"> </w:t>
      </w:r>
      <w:hyperlink r:id="rId70">
        <w:r>
          <w:rPr>
            <w:rStyle w:val="Hyperlink"/>
            <w:i/>
            <w:iCs/>
          </w:rPr>
          <w:t xml:space="preserve">Microeconomic Theory</w:t>
        </w:r>
      </w:hyperlink>
      <w:r>
        <w:t xml:space="preserve">. New York: Oxford University Press.</w:t>
      </w:r>
    </w:p>
    <w:p>
      <w:pPr>
        <w:pStyle w:val="Compact"/>
        <w:numPr>
          <w:ilvl w:val="0"/>
          <w:numId w:val="1797"/>
        </w:numPr>
      </w:pPr>
      <w:r>
        <w:t xml:space="preserve">Ramsey, F. P. 1927.</w:t>
      </w:r>
      <w:r>
        <w:t xml:space="preserve"> </w:t>
      </w:r>
      <w:hyperlink r:id="rId848">
        <w:r>
          <w:rPr>
            <w:rStyle w:val="Hyperlink"/>
          </w:rPr>
          <w:t xml:space="preserve">“A Contribution to the Theory of Taxation.”</w:t>
        </w:r>
      </w:hyperlink>
      <w:r>
        <w:t xml:space="preserve"> </w:t>
      </w:r>
      <w:r>
        <w:rPr>
          <w:i/>
          <w:iCs/>
        </w:rPr>
        <w:t xml:space="preserve">Economic Journal</w:t>
      </w:r>
      <w:r>
        <w:t xml:space="preserve"> </w:t>
      </w:r>
      <w:r>
        <w:t xml:space="preserve">37 (145): 47–61.</w:t>
      </w:r>
    </w:p>
    <w:p>
      <w:pPr>
        <w:pStyle w:val="Compact"/>
        <w:numPr>
          <w:ilvl w:val="0"/>
          <w:numId w:val="1797"/>
        </w:numPr>
      </w:pPr>
      <w:r>
        <w:t xml:space="preserve">Roberts, M. J., e W. Schlenker. 2013.</w:t>
      </w:r>
      <w:r>
        <w:t xml:space="preserve"> </w:t>
      </w:r>
      <w:hyperlink r:id="rId838">
        <w:r>
          <w:rPr>
            <w:rStyle w:val="Hyperlink"/>
          </w:rPr>
          <w:t xml:space="preserve">“Identifying Supply and Demand Elasticities of Agricultural Commodities.”</w:t>
        </w:r>
      </w:hyperlink>
      <w:r>
        <w:t xml:space="preserve"> </w:t>
      </w:r>
      <w:r>
        <w:rPr>
          <w:i/>
          <w:iCs/>
        </w:rPr>
        <w:t xml:space="preserve">American Economic Review</w:t>
      </w:r>
      <w:r>
        <w:t xml:space="preserve"> </w:t>
      </w:r>
      <w:r>
        <w:t xml:space="preserve">103 (6): 2265–2295.</w:t>
      </w:r>
    </w:p>
    <w:p>
      <w:pPr>
        <w:pStyle w:val="Compact"/>
        <w:numPr>
          <w:ilvl w:val="0"/>
          <w:numId w:val="1797"/>
        </w:numPr>
      </w:pPr>
      <w:r>
        <w:t xml:space="preserve">Samuelson, P. A. 1947.</w:t>
      </w:r>
      <w:r>
        <w:t xml:space="preserve"> </w:t>
      </w:r>
      <w:hyperlink r:id="rId849">
        <w:r>
          <w:rPr>
            <w:rStyle w:val="Hyperlink"/>
            <w:i/>
            <w:iCs/>
          </w:rPr>
          <w:t xml:space="preserve">Foundations of Economic Analysis</w:t>
        </w:r>
      </w:hyperlink>
      <w:r>
        <w:t xml:space="preserve">. Cambridge, MA: Harvard University Press.</w:t>
      </w:r>
    </w:p>
    <w:p>
      <w:pPr>
        <w:pStyle w:val="Compact"/>
        <w:numPr>
          <w:ilvl w:val="0"/>
          <w:numId w:val="1797"/>
        </w:numPr>
      </w:pPr>
      <w:r>
        <w:t xml:space="preserve">Varian, H. R. 1992.</w:t>
      </w:r>
      <w:r>
        <w:t xml:space="preserve"> </w:t>
      </w:r>
      <w:hyperlink r:id="rId686">
        <w:r>
          <w:rPr>
            <w:rStyle w:val="Hyperlink"/>
            <w:i/>
            <w:iCs/>
          </w:rPr>
          <w:t xml:space="preserve">Microeconomic Analysis</w:t>
        </w:r>
      </w:hyperlink>
      <w:r>
        <w:t xml:space="preserve">. 3ª ed. New York: W. W. Norton.</w:t>
      </w:r>
    </w:p>
    <w:bookmarkEnd w:id="850"/>
    <w:bookmarkEnd w:id="851"/>
    <w:bookmarkEnd w:id="852"/>
    <w:bookmarkStart w:id="911" w:name="X2e2c532b33bc40fe2d4380dce3633dd86bb8f0c"/>
    <w:p>
      <w:pPr>
        <w:sectPr>
          <w:footnotePr>
            <w:numRestart w:val="eachSect"/>
          </w:footnotePr>
        </w:sectPr>
      </w:pPr>
    </w:p>
    <w:p>
      <w:pPr>
        <w:pStyle w:val="Heading1"/>
      </w:pPr>
      <w:r>
        <w:t xml:space="preserve">Capítulo 14 — Quando Tudo se Encaixa (ou Quase Isso): Equilíbrio Geral</w:t>
      </w:r>
    </w:p>
    <w:p>
      <w:pPr>
        <w:pStyle w:val="FirstParagraph"/>
      </w:pPr>
      <w:r>
        <w:t xml:space="preserve">Imagine que você puxa um único fio de uma teia de aranha. O que acontece? A teia inteira vibra. É exatamente isso que ocorre numa economia quando mexemos em um único mercado — e até aqui fingíamos que o resto da teia ficava parado. No capítulo anterior, analisamos mercados isolados — o chamado equilíbrio parcial marshalliano. Mas os mercados não existem no vácuo: o preço do milho afeta a demanda por soja; o salário dos engenheiros influencia o custo de construção civil; uma política comercial que protege a indústria têxtil altera os preços relativos em toda a economia. A análise de</w:t>
      </w:r>
      <w:r>
        <w:t xml:space="preserve"> </w:t>
      </w:r>
      <w:r>
        <w:rPr>
          <w:b/>
          <w:bCs/>
        </w:rPr>
        <w:t xml:space="preserve">equilíbrio geral</w:t>
      </w:r>
      <w:r>
        <w:t xml:space="preserve"> </w:t>
      </w:r>
      <w:r>
        <w:t xml:space="preserve">abandona a ficção do</w:t>
      </w:r>
      <w:r>
        <w:t xml:space="preserve"> </w:t>
      </w:r>
      <w:r>
        <w:rPr>
          <w:i/>
          <w:iCs/>
        </w:rPr>
        <w:t xml:space="preserve">ceteris paribus</w:t>
      </w:r>
      <w:r>
        <w:t xml:space="preserve"> </w:t>
      </w:r>
      <w:r>
        <w:t xml:space="preserve">e busca compreender a interdependência simultânea de todos os mercados — a teia inteira, vibrando de uma vez.</w:t>
      </w:r>
      <w:r>
        <w:rPr>
          <w:rStyle w:val="FootnoteReference"/>
        </w:rPr>
        <w:footnoteReference w:id="853"/>
      </w:r>
    </w:p>
    <w:p>
      <w:pPr>
        <w:pStyle w:val="BodyText"/>
      </w:pPr>
      <w:r>
        <w:t xml:space="preserve">Este capítulo desenvolve a teoria walrasiana de equilíbrio geral — desde a intuição gráfica da Caixa de Edgeworth até a formalização matemática via funções de excesso de demanda e a prova de existência pelo Teorema do Ponto Fixo de Brouwer. Estabeleceremos os dois teoremas fundamentais do bem-estar, que conectam eficiência de Pareto e concorrência perfeita, e concluiremos com uma visão dos modelos computáveis de equilíbrio geral (CGE), que permitem aplicar essa teoria à avaliação de políticas públicas.</w:t>
      </w:r>
      <w:r>
        <w:rPr>
          <w:rStyle w:val="FootnoteReference"/>
        </w:rPr>
        <w:footnoteReference w:id="854"/>
      </w:r>
    </w:p>
    <w:p>
      <w:r>
        <w:pict>
          <v:rect style="width:0;height:1.5pt" o:hralign="center" o:hrstd="t" o:hr="t"/>
        </w:pict>
      </w:r>
    </w:p>
    <w:bookmarkStart w:id="855" w:name="roteiro-do-capítulo-6"/>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14.1</w:t>
            </w:r>
          </w:p>
        </w:tc>
        <w:tc>
          <w:tcPr/>
          <w:p>
            <w:pPr>
              <w:pStyle w:val="Compact"/>
            </w:pPr>
            <w:r>
              <w:t xml:space="preserve">O que conecta o preço do café ao salário do barista?</w:t>
            </w:r>
          </w:p>
        </w:tc>
        <w:tc>
          <w:tcPr/>
          <w:p>
            <w:pPr>
              <w:pStyle w:val="Compact"/>
            </w:pPr>
            <w:r>
              <w:t xml:space="preserve">Sistema de preços como vasos comunicantes</w:t>
            </w:r>
          </w:p>
        </w:tc>
        <w:tc>
          <w:tcPr/>
          <w:p>
            <w:pPr>
              <w:pStyle w:val="Compact"/>
              <w:jc w:val="center"/>
            </w:pPr>
            <w:r>
              <w:t xml:space="preserve">Sistema de preços</w:t>
            </w:r>
          </w:p>
        </w:tc>
      </w:tr>
      <w:tr>
        <w:tc>
          <w:tcPr/>
          <w:p>
            <w:pPr>
              <w:pStyle w:val="Compact"/>
              <w:jc w:val="center"/>
            </w:pPr>
            <w:r>
              <w:t xml:space="preserve">14.2</w:t>
            </w:r>
          </w:p>
        </w:tc>
        <w:tc>
          <w:tcPr/>
          <w:p>
            <w:pPr>
              <w:pStyle w:val="Compact"/>
            </w:pPr>
            <w:r>
              <w:t xml:space="preserve">Como visualizar todas as trocas possíveis entre duas pessoas?</w:t>
            </w:r>
          </w:p>
        </w:tc>
        <w:tc>
          <w:tcPr/>
          <w:p>
            <w:pPr>
              <w:pStyle w:val="Compact"/>
            </w:pPr>
            <w:r>
              <w:t xml:space="preserve">Caixa de Edgeworth</w:t>
            </w:r>
          </w:p>
        </w:tc>
        <w:tc>
          <w:tcPr/>
          <w:p>
            <w:pPr>
              <w:pStyle w:val="Compact"/>
              <w:jc w:val="center"/>
            </w:pPr>
            <w:r>
              <w:t xml:space="preserve">Edgeworth</w:t>
            </w:r>
          </w:p>
        </w:tc>
      </w:tr>
      <w:tr>
        <w:tc>
          <w:tcPr/>
          <w:p>
            <w:pPr>
              <w:pStyle w:val="Compact"/>
              <w:jc w:val="center"/>
            </w:pPr>
            <w:r>
              <w:t xml:space="preserve">14.3</w:t>
            </w:r>
          </w:p>
        </w:tc>
        <w:tc>
          <w:tcPr/>
          <w:p>
            <w:pPr>
              <w:pStyle w:val="Compact"/>
            </w:pPr>
            <w:r>
              <w:t xml:space="preserve">Que alocações esgotam todos os ganhos de troca?</w:t>
            </w:r>
          </w:p>
        </w:tc>
        <w:tc>
          <w:tcPr/>
          <w:p>
            <w:pPr>
              <w:pStyle w:val="Compact"/>
            </w:pPr>
            <w:r>
              <w:t xml:space="preserve">Curva de contrato, núcleo, eficiência de Pareto</w:t>
            </w:r>
          </w:p>
        </w:tc>
        <w:tc>
          <w:tcPr/>
          <w:p>
            <w:pPr>
              <w:pStyle w:val="Compact"/>
              <w:jc w:val="center"/>
            </w:pPr>
            <w:r>
              <w:t xml:space="preserve">Contrato</w:t>
            </w:r>
          </w:p>
        </w:tc>
      </w:tr>
      <w:tr>
        <w:tc>
          <w:tcPr/>
          <w:p>
            <w:pPr>
              <w:pStyle w:val="Compact"/>
              <w:jc w:val="center"/>
            </w:pPr>
            <w:r>
              <w:t xml:space="preserve">14.4</w:t>
            </w:r>
          </w:p>
        </w:tc>
        <w:tc>
          <w:tcPr/>
          <w:p>
            <w:pPr>
              <w:pStyle w:val="Compact"/>
            </w:pPr>
            <w:r>
              <w:t xml:space="preserve">Quanto de cada bem a economia pode produzir?</w:t>
            </w:r>
          </w:p>
        </w:tc>
        <w:tc>
          <w:tcPr/>
          <w:p>
            <w:pPr>
              <w:pStyle w:val="Compact"/>
            </w:pPr>
            <w:r>
              <w:t xml:space="preserve">Fronteira de possibilidades de produção</w:t>
            </w:r>
          </w:p>
        </w:tc>
        <w:tc>
          <w:tcPr/>
          <w:p>
            <w:pPr>
              <w:pStyle w:val="Compact"/>
              <w:jc w:val="center"/>
            </w:pPr>
            <w:r>
              <w:t xml:space="preserve">FPP</w:t>
            </w:r>
          </w:p>
        </w:tc>
      </w:tr>
      <w:tr>
        <w:tc>
          <w:tcPr/>
          <w:p>
            <w:pPr>
              <w:pStyle w:val="Compact"/>
              <w:jc w:val="center"/>
            </w:pPr>
            <w:r>
              <w:t xml:space="preserve">14.5</w:t>
            </w:r>
          </w:p>
        </w:tc>
        <w:tc>
          <w:tcPr/>
          <w:p>
            <w:pPr>
              <w:pStyle w:val="Compact"/>
            </w:pPr>
            <w:r>
              <w:t xml:space="preserve">Quais são as três condições para que ninguém melhore sem piorar alguém?</w:t>
            </w:r>
          </w:p>
        </w:tc>
        <w:tc>
          <w:tcPr/>
          <w:p>
            <w:pPr>
              <w:pStyle w:val="Compact"/>
            </w:pPr>
            <w:r>
              <w:t xml:space="preserve">Eficiência na troca, produção e mix</w:t>
            </w:r>
          </w:p>
        </w:tc>
        <w:tc>
          <w:tcPr/>
          <w:p>
            <w:pPr>
              <w:pStyle w:val="Compact"/>
              <w:jc w:val="center"/>
            </w:pPr>
            <w:r>
              <w:t xml:space="preserve">Condições de Pareto</w:t>
            </w:r>
          </w:p>
        </w:tc>
      </w:tr>
      <w:tr>
        <w:tc>
          <w:tcPr/>
          <w:p>
            <w:pPr>
              <w:pStyle w:val="Compact"/>
              <w:jc w:val="center"/>
            </w:pPr>
            <w:r>
              <w:t xml:space="preserve">14.6</w:t>
            </w:r>
          </w:p>
        </w:tc>
        <w:tc>
          <w:tcPr/>
          <w:p>
            <w:pPr>
              <w:pStyle w:val="Compact"/>
            </w:pPr>
            <w:r>
              <w:t xml:space="preserve">O mercado competitivo produz eficiência sem ninguém mandar?</w:t>
            </w:r>
          </w:p>
        </w:tc>
        <w:tc>
          <w:tcPr/>
          <w:p>
            <w:pPr>
              <w:pStyle w:val="Compact"/>
            </w:pPr>
            <w:r>
              <w:t xml:space="preserve">1º Teorema do Bem-Estar</w:t>
            </w:r>
          </w:p>
        </w:tc>
        <w:tc>
          <w:tcPr/>
          <w:p>
            <w:pPr>
              <w:pStyle w:val="Compact"/>
              <w:jc w:val="center"/>
            </w:pPr>
            <w:r>
              <w:t xml:space="preserve">1º TBE</w:t>
            </w:r>
          </w:p>
        </w:tc>
      </w:tr>
      <w:tr>
        <w:tc>
          <w:tcPr/>
          <w:p>
            <w:pPr>
              <w:pStyle w:val="Compact"/>
              <w:jc w:val="center"/>
            </w:pPr>
            <w:r>
              <w:t xml:space="preserve">14.7</w:t>
            </w:r>
          </w:p>
        </w:tc>
        <w:tc>
          <w:tcPr/>
          <w:p>
            <w:pPr>
              <w:pStyle w:val="Compact"/>
            </w:pPr>
            <w:r>
              <w:t xml:space="preserve">Dá para redistribuir sem destruir a eficiência?</w:t>
            </w:r>
          </w:p>
        </w:tc>
        <w:tc>
          <w:tcPr/>
          <w:p>
            <w:pPr>
              <w:pStyle w:val="Compact"/>
            </w:pPr>
            <w:r>
              <w:t xml:space="preserve">2º Teorema do Bem-Estar, transferências lump-sum</w:t>
            </w:r>
          </w:p>
        </w:tc>
        <w:tc>
          <w:tcPr/>
          <w:p>
            <w:pPr>
              <w:pStyle w:val="Compact"/>
              <w:jc w:val="center"/>
            </w:pPr>
            <w:r>
              <w:t xml:space="preserve">2º TBE</w:t>
            </w:r>
          </w:p>
        </w:tc>
      </w:tr>
      <w:tr>
        <w:tc>
          <w:tcPr/>
          <w:p>
            <w:pPr>
              <w:pStyle w:val="Compact"/>
              <w:jc w:val="center"/>
            </w:pPr>
            <w:r>
              <w:t xml:space="preserve">14.8</w:t>
            </w:r>
          </w:p>
        </w:tc>
        <w:tc>
          <w:tcPr/>
          <w:p>
            <w:pPr>
              <w:pStyle w:val="Compact"/>
            </w:pPr>
            <w:r>
              <w:t xml:space="preserve">Como traduzir a Caixa de Edgeworth em equações?</w:t>
            </w:r>
          </w:p>
        </w:tc>
        <w:tc>
          <w:tcPr/>
          <w:p>
            <w:pPr>
              <w:pStyle w:val="Compact"/>
            </w:pPr>
            <w:r>
              <w:t xml:space="preserve">Modelo walrasiano de troca pura</w:t>
            </w:r>
          </w:p>
        </w:tc>
        <w:tc>
          <w:tcPr/>
          <w:p>
            <w:pPr>
              <w:pStyle w:val="Compact"/>
              <w:jc w:val="center"/>
            </w:pPr>
            <w:r>
              <w:t xml:space="preserve">Modelo</w:t>
            </w:r>
          </w:p>
        </w:tc>
      </w:tr>
      <w:tr>
        <w:tc>
          <w:tcPr/>
          <w:p>
            <w:pPr>
              <w:pStyle w:val="Compact"/>
              <w:jc w:val="center"/>
            </w:pPr>
            <w:r>
              <w:t xml:space="preserve">14.9</w:t>
            </w:r>
          </w:p>
        </w:tc>
        <w:tc>
          <w:tcPr/>
          <w:p>
            <w:pPr>
              <w:pStyle w:val="Compact"/>
            </w:pPr>
            <w:r>
              <w:t xml:space="preserve">O equilíbrio geral existe — ou é só uma ideia bonita?</w:t>
            </w:r>
          </w:p>
        </w:tc>
        <w:tc>
          <w:tcPr/>
          <w:p>
            <w:pPr>
              <w:pStyle w:val="Compact"/>
            </w:pPr>
            <w:r>
              <w:t xml:space="preserve">Ponto fixo, Teorema de Arrow-Debreu</w:t>
            </w:r>
          </w:p>
        </w:tc>
        <w:tc>
          <w:tcPr/>
          <w:p>
            <w:pPr>
              <w:pStyle w:val="Compact"/>
              <w:jc w:val="center"/>
            </w:pPr>
            <w:r>
              <w:t xml:space="preserve">Existência</w:t>
            </w:r>
          </w:p>
        </w:tc>
      </w:tr>
      <w:tr>
        <w:tc>
          <w:tcPr/>
          <w:p>
            <w:pPr>
              <w:pStyle w:val="Compact"/>
              <w:jc w:val="center"/>
            </w:pPr>
            <w:r>
              <w:t xml:space="preserve">14.10</w:t>
            </w:r>
          </w:p>
        </w:tc>
        <w:tc>
          <w:tcPr/>
          <w:p>
            <w:pPr>
              <w:pStyle w:val="Compact"/>
            </w:pPr>
            <w:r>
              <w:t xml:space="preserve">E quando alguém precisa fabricar, não só trocar?</w:t>
            </w:r>
          </w:p>
        </w:tc>
        <w:tc>
          <w:tcPr/>
          <w:p>
            <w:pPr>
              <w:pStyle w:val="Compact"/>
            </w:pPr>
            <w:r>
              <w:t xml:space="preserve">Produção e equilíbrio geral</w:t>
            </w:r>
          </w:p>
        </w:tc>
        <w:tc>
          <w:tcPr/>
          <w:p>
            <w:pPr>
              <w:pStyle w:val="Compact"/>
              <w:jc w:val="center"/>
            </w:pPr>
            <w:r>
              <w:t xml:space="preserve">Produção</w:t>
            </w:r>
          </w:p>
        </w:tc>
      </w:tr>
    </w:tbl>
    <w:p>
      <w:pPr>
        <w:pStyle w:val="BlockText"/>
      </w:pPr>
      <w:r>
        <w:rPr>
          <w:b/>
          <w:bCs/>
        </w:rPr>
        <w:t xml:space="preserve">[INFORMACAO] Material Avançado</w:t>
      </w:r>
    </w:p>
    <w:p>
      <w:pPr>
        <w:pStyle w:val="BlockText"/>
      </w:pPr>
      <w:r>
        <w:t xml:space="preserve">As seções 14.11 (CGE) e 14.12 (Escolha Social) são</w:t>
      </w:r>
      <w:r>
        <w:t xml:space="preserve"> </w:t>
      </w:r>
      <w:r>
        <w:rPr>
          <w:b/>
          <w:bCs/>
        </w:rPr>
        <w:t xml:space="preserve">material complementar</w:t>
      </w:r>
      <w:r>
        <w:t xml:space="preserve"> </w:t>
      </w:r>
      <w:r>
        <w:t xml:space="preserve">— podem ser omitidas numa primeira leitura sem perda de continuidade. São recomendadas para cursos de pós-graduação e para a Trilha Completa.</w:t>
      </w:r>
    </w:p>
    <w:p>
      <w:pPr>
        <w:pStyle w:val="FirstParagraph"/>
      </w:pPr>
      <w:r>
        <w:t xml:space="preserve">14.11 | Como simular o impacto de uma reforma tributária na economia inteira? | Modelos CGE (equilíbrio geral computável) | CGE |</w:t>
      </w:r>
      <w:r>
        <w:br/>
      </w:r>
      <w:r>
        <w:t xml:space="preserve">14.12 | Existe regra de votação perfeita — ou a democracia tem limites lógicos? | Teorema de Arrow, escolha social | Arrow |</w:t>
      </w:r>
      <w:r>
        <w:br/>
      </w:r>
      <w:r>
        <w:rPr>
          <w:b/>
          <w:bCs/>
        </w:rPr>
        <w:t xml:space="preserve">Exercícios</w:t>
      </w:r>
      <w:r>
        <w:t xml:space="preserve"> </w:t>
      </w:r>
      <w:r>
        <w:t xml:space="preserve">| Teste, pratique, resolva | Revisão, exercícios, ANPEC | Exercícios |</w:t>
      </w:r>
      <w:r>
        <w:br/>
      </w:r>
      <w:r>
        <w:rPr>
          <w:b/>
          <w:bCs/>
        </w:rPr>
        <w:t xml:space="preserve">Pesquisa</w:t>
      </w:r>
      <w:r>
        <w:t xml:space="preserve"> </w:t>
      </w:r>
      <w:r>
        <w:t xml:space="preserve">| O que a pesquisa recente diz? | Artigos seminais e fronteira empírica | Pesquisa |</w:t>
      </w:r>
    </w:p>
    <w:p>
      <w:r>
        <w:pict>
          <v:rect style="width:0;height:1.5pt" o:hralign="center" o:hrstd="t" o:hr="t"/>
        </w:pict>
      </w:r>
    </w:p>
    <w:p>
      <w:pPr>
        <w:pStyle w:val="BlockText"/>
      </w:pPr>
      <w:r>
        <w:rPr>
          <w:b/>
          <w:bCs/>
        </w:rPr>
        <w:t xml:space="preserve">[ATIVIDADE DE SALA] Atividade de Sala — A Caixa de Edgeworth ao Vivo: Trocas Bilaterais e Eficiência</w:t>
      </w:r>
    </w:p>
    <w:p>
      <w:pPr>
        <w:pStyle w:val="BlockText"/>
      </w:pPr>
      <w:r>
        <w:rPr>
          <w:b/>
          <w:bCs/>
        </w:rPr>
        <w:t xml:space="preserve">Formato:</w:t>
      </w:r>
      <w:r>
        <w:t xml:space="preserve"> </w:t>
      </w:r>
      <w:r>
        <w:t xml:space="preserve">Simulação de trocas + debrief analítico (40–50 min)</w:t>
      </w:r>
    </w:p>
    <w:p>
      <w:pPr>
        <w:pStyle w:val="BlockText"/>
      </w:pPr>
      <w:r>
        <w:rPr>
          <w:b/>
          <w:bCs/>
        </w:rPr>
        <w:t xml:space="preserve">Objetivo:</w:t>
      </w:r>
      <w:r>
        <w:t xml:space="preserve"> </w:t>
      </w:r>
      <w:r>
        <w:t xml:space="preserve">Vivenciar a formação de preços em uma economia de troca pura, descobrir a curva de contrato experimentalmente e verificar o Primeiro Teorema do Bem-Estar</w:t>
      </w:r>
      <w:r>
        <w:t xml:space="preserve"> </w:t>
      </w:r>
      <w:r>
        <w:t xml:space="preserve">“na marra”</w:t>
      </w:r>
      <w:r>
        <w:t xml:space="preserve">.</w:t>
      </w:r>
    </w:p>
    <w:p>
      <w:pPr>
        <w:pStyle w:val="BlockText"/>
      </w:pPr>
      <w:r>
        <w:rPr>
          <w:b/>
          <w:bCs/>
        </w:rPr>
        <w:t xml:space="preserve">Preparação (professor):</w:t>
      </w:r>
    </w:p>
    <w:p>
      <w:pPr>
        <w:pStyle w:val="Compact"/>
        <w:numPr>
          <w:ilvl w:val="0"/>
          <w:numId w:val="1798"/>
        </w:numPr>
      </w:pPr>
      <w:r>
        <w:t xml:space="preserve">Divida a turma em pares (cada par = uma</w:t>
      </w:r>
      <w:r>
        <w:t xml:space="preserve"> </w:t>
      </w:r>
      <w:r>
        <w:t xml:space="preserve">“economia de troca”</w:t>
      </w:r>
      <w:r>
        <w:t xml:space="preserve"> </w:t>
      </w:r>
      <w:r>
        <w:t xml:space="preserve">com dois agentes).</w:t>
      </w:r>
    </w:p>
    <w:p>
      <w:pPr>
        <w:pStyle w:val="Compact"/>
        <w:numPr>
          <w:ilvl w:val="0"/>
          <w:numId w:val="1798"/>
        </w:numPr>
      </w:pPr>
      <w:r>
        <w:t xml:space="preserve">Imprima fichas de</w:t>
      </w:r>
      <w:r>
        <w:t xml:space="preserve"> </w:t>
      </w:r>
      <w:r>
        <w:rPr>
          <w:b/>
          <w:bCs/>
        </w:rPr>
        <w:t xml:space="preserve">dotação</w:t>
      </w:r>
      <w:r>
        <w:t xml:space="preserve">: Agente A recebe 8 fichas azuis (bem 1) e 2 fichas vermelhas (bem 2). Agente B recebe 2 fichas azuis e 8 fichas vermelhas.</w:t>
      </w:r>
    </w:p>
    <w:p>
      <w:pPr>
        <w:pStyle w:val="Compact"/>
        <w:numPr>
          <w:ilvl w:val="0"/>
          <w:numId w:val="1798"/>
        </w:numPr>
      </w:pPr>
      <w:r>
        <w:t xml:space="preserve">Imprima fichas de</w:t>
      </w:r>
      <w:r>
        <w:t xml:space="preserve"> </w:t>
      </w:r>
      <w:r>
        <w:rPr>
          <w:b/>
          <w:bCs/>
        </w:rPr>
        <w:t xml:space="preserve">utilidade</w:t>
      </w:r>
      <w:r>
        <w:t xml:space="preserve">: A tem utilidade</w:t>
      </w:r>
      <w:r>
        <w:t xml:space="preserve"> </w:t>
      </w:r>
      <m:oMath>
        <m:sSub>
          <m:e>
            <m:r>
              <m:t>U</m:t>
            </m:r>
          </m:e>
          <m:sub>
            <m:r>
              <m:t>A</m:t>
            </m:r>
          </m:sub>
        </m:sSub>
        <m:r>
          <m:rPr>
            <m:sty m:val="p"/>
          </m:rPr>
          <m:t>=</m:t>
        </m:r>
        <m:sSub>
          <m:e>
            <m:r>
              <m:t>x</m:t>
            </m:r>
          </m:e>
          <m:sub>
            <m:r>
              <m:t>1</m:t>
            </m:r>
          </m:sub>
        </m:sSub>
        <m:r>
          <m:rPr>
            <m:sty m:val="p"/>
          </m:rPr>
          <m:t>⋅</m:t>
        </m:r>
        <m:sSub>
          <m:e>
            <m:r>
              <m:t>x</m:t>
            </m:r>
          </m:e>
          <m:sub>
            <m:r>
              <m:t>2</m:t>
            </m:r>
          </m:sub>
        </m:sSub>
      </m:oMath>
      <w:r>
        <w:t xml:space="preserve"> </w:t>
      </w:r>
      <w:r>
        <w:t xml:space="preserve">(valores numa tabela pré-calculada). B tem utilidade</w:t>
      </w:r>
      <w:r>
        <w:t xml:space="preserve"> </w:t>
      </w:r>
      <m:oMath>
        <m:sSub>
          <m:e>
            <m:r>
              <m:t>U</m:t>
            </m:r>
          </m:e>
          <m:sub>
            <m:r>
              <m:t>B</m:t>
            </m:r>
          </m:sub>
        </m:sSub>
        <m:r>
          <m:rPr>
            <m:sty m:val="p"/>
          </m:rPr>
          <m:t>=</m:t>
        </m:r>
        <m:sSubSup>
          <m:e>
            <m:r>
              <m:t>x</m:t>
            </m:r>
          </m:e>
          <m:sub>
            <m:r>
              <m:t>1</m:t>
            </m:r>
          </m:sub>
          <m:sup>
            <m:r>
              <m:t>1</m:t>
            </m:r>
            <m:r>
              <m:rPr>
                <m:sty m:val="p"/>
              </m:rPr>
              <m:t>/</m:t>
            </m:r>
            <m:r>
              <m:t>3</m:t>
            </m:r>
          </m:sup>
        </m:sSubSup>
        <m:r>
          <m:rPr>
            <m:sty m:val="p"/>
          </m:rPr>
          <m:t>⋅</m:t>
        </m:r>
        <m:sSubSup>
          <m:e>
            <m:r>
              <m:t>x</m:t>
            </m:r>
          </m:e>
          <m:sub>
            <m:r>
              <m:t>2</m:t>
            </m:r>
          </m:sub>
          <m:sup>
            <m:r>
              <m:t>2</m:t>
            </m:r>
            <m:r>
              <m:rPr>
                <m:sty m:val="p"/>
              </m:rPr>
              <m:t>/</m:t>
            </m:r>
            <m:r>
              <m:t>3</m:t>
            </m:r>
          </m:sup>
        </m:sSubSup>
      </m:oMath>
      <w:r>
        <w:t xml:space="preserve"> </w:t>
      </w:r>
      <w:r>
        <w:t xml:space="preserve">(valores numa tabela pré-calculada).</w:t>
      </w:r>
    </w:p>
    <w:p>
      <w:pPr>
        <w:pStyle w:val="Compact"/>
        <w:numPr>
          <w:ilvl w:val="0"/>
          <w:numId w:val="1798"/>
        </w:numPr>
      </w:pPr>
      <w:r>
        <w:t xml:space="preserve">Prepare uma</w:t>
      </w:r>
      <w:r>
        <w:t xml:space="preserve"> </w:t>
      </w:r>
      <w:r>
        <w:t xml:space="preserve">“Caixa de Edgeworth”</w:t>
      </w:r>
      <w:r>
        <w:t xml:space="preserve"> </w:t>
      </w:r>
      <w:r>
        <w:t xml:space="preserve">grande no quadro (10x10) para registrar as alocações.</w:t>
      </w:r>
    </w:p>
    <w:p>
      <w:pPr>
        <w:pStyle w:val="BlockText"/>
      </w:pPr>
      <w:r>
        <w:rPr>
          <w:b/>
          <w:bCs/>
        </w:rPr>
        <w:t xml:space="preserve">Rodada 1 — Trocas livres (10 min):</w:t>
      </w:r>
    </w:p>
    <w:p>
      <w:pPr>
        <w:pStyle w:val="Compact"/>
        <w:numPr>
          <w:ilvl w:val="0"/>
          <w:numId w:val="1799"/>
        </w:numPr>
      </w:pPr>
      <w:r>
        <w:t xml:space="preserve">Cada par negocia livremente. A e B podem propor trocas de fichas (</w:t>
      </w:r>
      <w:r>
        <w:t xml:space="preserve">“dou-te 2 azuis se me deres 3 vermelhas”</w:t>
      </w:r>
      <w:r>
        <w:t xml:space="preserve">).</w:t>
      </w:r>
    </w:p>
    <w:p>
      <w:pPr>
        <w:pStyle w:val="Compact"/>
        <w:numPr>
          <w:ilvl w:val="0"/>
          <w:numId w:val="1799"/>
        </w:numPr>
      </w:pPr>
      <w:r>
        <w:t xml:space="preserve">Cada agente só aceita trocas que</w:t>
      </w:r>
      <w:r>
        <w:t xml:space="preserve"> </w:t>
      </w:r>
      <w:r>
        <w:rPr>
          <w:i/>
          <w:iCs/>
        </w:rPr>
        <w:t xml:space="preserve">aumentem</w:t>
      </w:r>
      <w:r>
        <w:t xml:space="preserve"> </w:t>
      </w:r>
      <w:r>
        <w:t xml:space="preserve">sua utilidade (consultar a tabela).</w:t>
      </w:r>
    </w:p>
    <w:p>
      <w:pPr>
        <w:pStyle w:val="Compact"/>
        <w:numPr>
          <w:ilvl w:val="0"/>
          <w:numId w:val="1799"/>
        </w:numPr>
      </w:pPr>
      <w:r>
        <w:t xml:space="preserve">Ao final, registre a alocação final de cada par no quadro (ponto na Caixa).</w:t>
      </w:r>
    </w:p>
    <w:p>
      <w:pPr>
        <w:pStyle w:val="BlockText"/>
      </w:pPr>
      <w:r>
        <w:rPr>
          <w:b/>
          <w:bCs/>
        </w:rPr>
        <w:t xml:space="preserve">Rodada 2 — Mercado com preços (10 min):</w:t>
      </w:r>
    </w:p>
    <w:p>
      <w:pPr>
        <w:pStyle w:val="Compact"/>
        <w:numPr>
          <w:ilvl w:val="0"/>
          <w:numId w:val="1800"/>
        </w:numPr>
      </w:pPr>
      <w:r>
        <w:t xml:space="preserve">O professor anuncia preços (</w:t>
      </w:r>
      <m:oMath>
        <m:sSub>
          <m:e>
            <m:r>
              <m:t>p</m:t>
            </m:r>
          </m:e>
          <m:sub>
            <m:r>
              <m:t>1</m:t>
            </m:r>
          </m:sub>
        </m:sSub>
        <m:r>
          <m:rPr>
            <m:sty m:val="p"/>
          </m:rPr>
          <m:t>/</m:t>
        </m:r>
        <m:sSub>
          <m:e>
            <m:r>
              <m:t>p</m:t>
            </m:r>
          </m:e>
          <m:sub>
            <m:r>
              <m:t>2</m:t>
            </m:r>
          </m:sub>
        </m:sSub>
        <m:r>
          <m:rPr>
            <m:sty m:val="p"/>
          </m:rPr>
          <m:t>=</m:t>
        </m:r>
        <m:r>
          <m:t>1</m:t>
        </m:r>
      </m:oMath>
      <w:r>
        <w:t xml:space="preserve">) e opera como</w:t>
      </w:r>
      <w:r>
        <w:t xml:space="preserve"> </w:t>
      </w:r>
      <w:r>
        <w:t xml:space="preserve">“leiloeiro walrasiano”</w:t>
      </w:r>
      <w:r>
        <w:t xml:space="preserve">.</w:t>
      </w:r>
    </w:p>
    <w:p>
      <w:pPr>
        <w:pStyle w:val="Compact"/>
        <w:numPr>
          <w:ilvl w:val="0"/>
          <w:numId w:val="1800"/>
        </w:numPr>
      </w:pPr>
      <w:r>
        <w:t xml:space="preserve">Cada agente calcula sua cesta ótima (usando a tabela ou a fórmula) e anuncia suas demandas.</w:t>
      </w:r>
    </w:p>
    <w:p>
      <w:pPr>
        <w:pStyle w:val="Compact"/>
        <w:numPr>
          <w:ilvl w:val="0"/>
          <w:numId w:val="1800"/>
        </w:numPr>
      </w:pPr>
      <w:r>
        <w:t xml:space="preserve">Se há excesso de demanda num bem, o professor ajusta o preço e repete.</w:t>
      </w:r>
    </w:p>
    <w:p>
      <w:pPr>
        <w:pStyle w:val="Compact"/>
        <w:numPr>
          <w:ilvl w:val="0"/>
          <w:numId w:val="1800"/>
        </w:numPr>
      </w:pPr>
      <w:r>
        <w:t xml:space="preserve">Registre o equilíbrio walrasiano no quadro.</w:t>
      </w:r>
    </w:p>
    <w:p>
      <w:pPr>
        <w:pStyle w:val="BlockText"/>
      </w:pPr>
      <w:r>
        <w:rPr>
          <w:b/>
          <w:bCs/>
        </w:rPr>
        <w:t xml:space="preserve">Debrief (15–20 min):</w:t>
      </w:r>
    </w:p>
    <w:p>
      <w:pPr>
        <w:pStyle w:val="Compact"/>
        <w:numPr>
          <w:ilvl w:val="0"/>
          <w:numId w:val="1801"/>
        </w:numPr>
      </w:pPr>
      <w:r>
        <w:t xml:space="preserve">Compare as alocações da Rodada 1 (trocas livres) com a Rodada 2 (mercado walrasiano). Todas estão na curva de contrato?</w:t>
      </w:r>
    </w:p>
    <w:p>
      <w:pPr>
        <w:pStyle w:val="Compact"/>
        <w:numPr>
          <w:ilvl w:val="0"/>
          <w:numId w:val="1801"/>
        </w:numPr>
      </w:pPr>
      <w:r>
        <w:t xml:space="preserve">Calcule a utilidade de cada agente em cada rodada. Houve melhoria de Pareto?</w:t>
      </w:r>
    </w:p>
    <w:p>
      <w:pPr>
        <w:pStyle w:val="Compact"/>
        <w:numPr>
          <w:ilvl w:val="0"/>
          <w:numId w:val="1801"/>
        </w:numPr>
      </w:pPr>
      <w:r>
        <w:t xml:space="preserve">Por que as alocações da Rodada 1 variam entre pares (poder de barganha!), enquanto a Rodada 2 converge a um único ponto?</w:t>
      </w:r>
    </w:p>
    <w:p>
      <w:pPr>
        <w:pStyle w:val="Compact"/>
        <w:numPr>
          <w:ilvl w:val="0"/>
          <w:numId w:val="1801"/>
        </w:numPr>
      </w:pPr>
      <w:r>
        <w:t xml:space="preserve">Conecte com o Teorema do Limite do Núcleo: se tivéssemos muitos pares, o núcleo se contrairia ao equilíbrio walrasiano.</w:t>
      </w:r>
    </w:p>
    <w:p>
      <w:pPr>
        <w:pStyle w:val="Compact"/>
        <w:numPr>
          <w:ilvl w:val="0"/>
          <w:numId w:val="1801"/>
        </w:numPr>
      </w:pPr>
      <w:r>
        <w:t xml:space="preserve">Note o contraste: nas trocas livres, quem negocia melhor se dá bem (poder de barganha importa). No mercado walrasiano, todos aceitam o preço dado — ninguém tem poder de barganha.</w:t>
      </w:r>
    </w:p>
    <w:p>
      <w:pPr>
        <w:pStyle w:val="BlockText"/>
      </w:pPr>
      <w:r>
        <w:rPr>
          <w:b/>
          <w:bCs/>
        </w:rPr>
        <w:t xml:space="preserve">Variante para turmas grandes:</w:t>
      </w:r>
      <w:r>
        <w:t xml:space="preserve"> </w:t>
      </w:r>
      <w:r>
        <w:t xml:space="preserve">Faça 4 pares por</w:t>
      </w:r>
      <w:r>
        <w:t xml:space="preserve"> </w:t>
      </w:r>
      <w:r>
        <w:t xml:space="preserve">“economia”</w:t>
      </w:r>
      <w:r>
        <w:t xml:space="preserve"> </w:t>
      </w:r>
      <w:r>
        <w:t xml:space="preserve">(2 de cada tipo) e observe como a competição entre agentes do mesmo tipo reduz o poder de barganha — ilustração direta do Teorema do Limite do Núcleo.</w:t>
      </w:r>
    </w:p>
    <w:p>
      <w:pPr>
        <w:pStyle w:val="BlockText"/>
      </w:pPr>
      <w:r>
        <w:rPr>
          <w:b/>
          <w:bCs/>
        </w:rPr>
        <w:t xml:space="preserve">Referência:</w:t>
      </w:r>
      <w:r>
        <w:t xml:space="preserve"> </w:t>
      </w:r>
      <w:r>
        <w:t xml:space="preserve">Bergstrom, T. &amp; Miller, J. (2000).</w:t>
      </w:r>
      <w:r>
        <w:t xml:space="preserve"> </w:t>
      </w:r>
      <w:r>
        <w:rPr>
          <w:i/>
          <w:iCs/>
        </w:rPr>
        <w:t xml:space="preserve">Experiments with Economic Principles</w:t>
      </w:r>
      <w:r>
        <w:t xml:space="preserve">, Cap. 14 (Exchange Economies).</w:t>
      </w:r>
    </w:p>
    <w:bookmarkEnd w:id="855"/>
    <w:bookmarkStart w:id="862" w:name="sistema-de-preços-e-caixa-de-edgeworth"/>
    <w:p>
      <w:pPr>
        <w:pStyle w:val="Heading2"/>
      </w:pPr>
      <w:r>
        <w:t xml:space="preserve">14.1–14.2 Sistema de Preços e Caixa de Edgeworth</w:t>
      </w:r>
    </w:p>
    <w:bookmarkStart w:id="858" w:name="X9ca442765657fc90e9e779c34d0d2259d2c3c5b"/>
    <w:p>
      <w:pPr>
        <w:pStyle w:val="Heading3"/>
      </w:pPr>
      <w:r>
        <w:t xml:space="preserve">14.1 Vasos Comunicantes: O Sistema de Preços Competitivo</w:t>
      </w:r>
    </w:p>
    <w:bookmarkStart w:id="856" w:name="interdependência-de-mercados"/>
    <w:p>
      <w:pPr>
        <w:pStyle w:val="Heading4"/>
      </w:pPr>
      <w:r>
        <w:t xml:space="preserve">Interdependência de mercados</w:t>
      </w:r>
    </w:p>
    <w:p>
      <w:pPr>
        <w:pStyle w:val="FirstParagraph"/>
      </w:pPr>
      <w:r>
        <w:t xml:space="preserve">Em uma economia com</w:t>
      </w:r>
      <w:r>
        <w:t xml:space="preserve"> </w:t>
      </w:r>
      <m:oMath>
        <m:r>
          <m:t>n</m:t>
        </m:r>
      </m:oMath>
      <w:r>
        <w:t xml:space="preserve"> </w:t>
      </w:r>
      <w:r>
        <w:t xml:space="preserve">bens, os preços</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w:t>
      </w:r>
      <w:r>
        <w:t xml:space="preserve">são determinados simultaneamente pela interação de todos os consumidores e produtores em todos os mercados. Uma mudança em qualquer mercado pode reverberar por toda a economia.</w:t>
      </w:r>
    </w:p>
    <w:p>
      <w:pPr>
        <w:pStyle w:val="BodyText"/>
      </w:pPr>
      <w:r>
        <w:t xml:space="preserve">Para compreender por que essa interdependência é essencial, considere um exemplo concreto: um choque no preço internacional do petróleo. Numa análise de equilíbrio parcial, examinaríamos apenas o mercado de combustíveis — a oferta se contrai, o preço sobe, a quantidade demandada cai. Mas os efeitos não param aí. O encarecimento do diesel eleva o custo de frete, que encarece alimentos nos supermercados. Famílias que gastam mais com transporte e alimentação reduzem a demanda por outros bens — vestuário, lazer, eletrodomésticos. Setores que dependem de derivados de petróleo como insumo (petroquímica, plásticos, fertilizantes) veem seus custos de produção subir, o que reduz sua oferta e pode levar a demissões. Trabalhadores demitidos nesses setores reduzem seu consumo agregado. O Banco Central, preocupado com a inflação, pode elevar a taxa de juros, encarecendo o crédito e desacelerando o investimento. Cada um desses efeitos retroalimenta os demais. A análise de equilíbrio geral é a única ferramenta capaz de capturar essa cascata de interdependências de forma consistente e simultânea.</w:t>
      </w:r>
    </w:p>
    <w:p>
      <w:pPr>
        <w:pStyle w:val="BodyText"/>
      </w:pPr>
      <w:r>
        <w:t xml:space="preserve">A ideia de que todos os mercados estão interligados e devem ser analisados conjuntamente remonta ao economista francês</w:t>
      </w:r>
      <w:r>
        <w:t xml:space="preserve"> </w:t>
      </w:r>
      <w:r>
        <w:rPr>
          <w:b/>
          <w:bCs/>
        </w:rPr>
        <w:t xml:space="preserve">Léon Walras</w:t>
      </w:r>
      <w:r>
        <w:t xml:space="preserve"> </w:t>
      </w:r>
      <w:r>
        <w:t xml:space="preserve">(1834–1910), que em sua obra</w:t>
      </w:r>
      <w:r>
        <w:t xml:space="preserve"> </w:t>
      </w:r>
      <w:r>
        <w:rPr>
          <w:i/>
          <w:iCs/>
        </w:rPr>
        <w:t xml:space="preserve">Éléments d’économie politique pure</w:t>
      </w:r>
      <w:r>
        <w:t xml:space="preserve"> </w:t>
      </w:r>
      <w:r>
        <w:t xml:space="preserve">(1874) formulou pela primeira vez o sistema de equações simultâneas que descreve o equilíbrio de todos os mercados. Walras percebeu que a economia é como um sistema de vasos comunicantes: alterar o nível em um vaso inevitavelmente afeta todos os demais. Sua contribuição foi traduzir essa intuição em linguagem matemática precisa, mostrando que o número de equações independentes (condições de equilíbrio de mercado) é igual ao número de incógnitas (preços relativos a determinar). Embora Walras não tenha conseguido demonstrar rigorosamente a existência de solução — isso só viria oitenta anos depois, com Arrow e Debreu (1954) —, seu enquadramento do problema lançou as bases de toda a teoria moderna de equilíbrio geral.</w:t>
      </w:r>
    </w:p>
    <w:p>
      <w:pPr>
        <w:pStyle w:val="BlockText"/>
      </w:pPr>
      <w:r>
        <w:rPr>
          <w:b/>
          <w:bCs/>
        </w:rPr>
        <w:t xml:space="preserve">[DEFINICAO] Equilíbrio geral competitivo</w:t>
      </w:r>
    </w:p>
    <w:p>
      <w:pPr>
        <w:pStyle w:val="BlockText"/>
      </w:pPr>
      <w:r>
        <w:t xml:space="preserve">Um</w:t>
      </w:r>
      <w:r>
        <w:t xml:space="preserve"> </w:t>
      </w:r>
      <w:r>
        <w:rPr>
          <w:b/>
          <w:bCs/>
        </w:rPr>
        <w:t xml:space="preserve">equilíbrio geral competitivo</w:t>
      </w:r>
      <w:r>
        <w:t xml:space="preserve"> </w:t>
      </w:r>
      <w:r>
        <w:t xml:space="preserve">(ou equilíbrio walrasiano) é um vetor de preços</w:t>
      </w:r>
      <w:r>
        <w:t xml:space="preserve"> </w:t>
      </w:r>
      <m:oMath>
        <m:sSup>
          <m:e>
            <m:r>
              <m:rPr>
                <m:sty m:val="bi"/>
              </m:rPr>
              <m:t>p</m:t>
            </m:r>
          </m:e>
          <m:sup>
            <m:r>
              <m:rPr>
                <m:sty m:val="p"/>
              </m:rPr>
              <m:t>*</m:t>
            </m:r>
          </m:sup>
        </m:sSup>
        <m:r>
          <m:rPr>
            <m:sty m:val="p"/>
          </m:rPr>
          <m:t>=</m:t>
        </m:r>
        <m:r>
          <m:rPr>
            <m:sty m:val="p"/>
          </m:rPr>
          <m:t>(</m:t>
        </m:r>
        <m:sSubSup>
          <m:e>
            <m:r>
              <m:t>p</m:t>
            </m:r>
          </m:e>
          <m:sub>
            <m:r>
              <m:t>1</m:t>
            </m:r>
          </m:sub>
          <m:sup>
            <m:r>
              <m:rPr>
                <m:sty m:val="p"/>
              </m:rPr>
              <m:t>*</m:t>
            </m:r>
          </m:sup>
        </m:sSubSup>
        <m:r>
          <m:rPr>
            <m:sty m:val="p"/>
          </m:rPr>
          <m:t>,</m:t>
        </m:r>
        <m:sSubSup>
          <m:e>
            <m:r>
              <m:t>p</m:t>
            </m:r>
          </m:e>
          <m:sub>
            <m:r>
              <m:t>2</m:t>
            </m:r>
          </m:sub>
          <m:sup>
            <m:r>
              <m:rPr>
                <m:sty m:val="p"/>
              </m:rPr>
              <m:t>*</m:t>
            </m:r>
          </m:sup>
        </m:sSubSup>
        <m:r>
          <m:rPr>
            <m:sty m:val="p"/>
          </m:rPr>
          <m:t>,</m:t>
        </m:r>
        <m:r>
          <m:rPr>
            <m:sty m:val="p"/>
          </m:rPr>
          <m:t>…</m:t>
        </m:r>
        <m:r>
          <m:rPr>
            <m:sty m:val="p"/>
          </m:rPr>
          <m:t>,</m:t>
        </m:r>
        <m:sSubSup>
          <m:e>
            <m:r>
              <m:t>p</m:t>
            </m:r>
          </m:e>
          <m:sub>
            <m:r>
              <m:t>n</m:t>
            </m:r>
          </m:sub>
          <m:sup>
            <m:r>
              <m:rPr>
                <m:sty m:val="p"/>
              </m:rPr>
              <m:t>*</m:t>
            </m:r>
          </m:sup>
        </m:sSubSup>
        <m:r>
          <m:rPr>
            <m:sty m:val="p"/>
          </m:rPr>
          <m:t>)</m:t>
        </m:r>
      </m:oMath>
      <w:r>
        <w:t xml:space="preserve"> </w:t>
      </w:r>
      <w:r>
        <w:t xml:space="preserve">tal que todos os mercados se equilibram simultaneamente: para cada bem</w:t>
      </w:r>
      <w:r>
        <w:t xml:space="preserve"> </w:t>
      </w:r>
      <m:oMath>
        <m:r>
          <m:t>k</m:t>
        </m:r>
      </m:oMath>
      <w:r>
        <w:t xml:space="preserve">,</w:t>
      </w:r>
    </w:p>
    <w:p>
      <w:pPr>
        <w:pStyle w:val="BlockText"/>
      </w:pPr>
      <w:r>
        <w:t xml:space="preserve">$$</w:t>
      </w:r>
    </w:p>
    <w:p>
      <w:pPr>
        <w:pStyle w:val="BlockText"/>
      </w:pPr>
      <w:r>
        <w:t xml:space="preserve">_{i=1}^{I} x_i</w:t>
      </w:r>
      <w:r>
        <w:rPr>
          <w:vertAlign w:val="superscript"/>
        </w:rPr>
        <w:t xml:space="preserve">k(</w:t>
      </w:r>
      <w:r>
        <w:t xml:space="preserve">*) =</w:t>
      </w:r>
      <w:r>
        <w:t xml:space="preserve"> </w:t>
      </w:r>
      <w:r>
        <w:t xml:space="preserve">_{j=1}^{J} y_j</w:t>
      </w:r>
      <w:r>
        <w:rPr>
          <w:vertAlign w:val="superscript"/>
        </w:rPr>
        <w:t xml:space="preserve">k(</w:t>
      </w:r>
      <w:r>
        <w:t xml:space="preserve">*) +</w:t>
      </w:r>
      <w:r>
        <w:t xml:space="preserve"> </w:t>
      </w:r>
      <w:r>
        <w:t xml:space="preserve">_{i=1}^{I}</w:t>
      </w:r>
      <w:r>
        <w:t xml:space="preserve"> </w:t>
      </w:r>
      <w:r>
        <w:t xml:space="preserve">_i^k</w:t>
      </w:r>
    </w:p>
    <w:p>
      <w:pPr>
        <w:pStyle w:val="BlockText"/>
      </w:pPr>
      <w:r>
        <w:t xml:space="preserve">$$</w:t>
      </w:r>
    </w:p>
    <w:p>
      <w:pPr>
        <w:pStyle w:val="BlockText"/>
      </w:pPr>
      <w:r>
        <w:t xml:space="preserve">onde</w:t>
      </w:r>
      <w:r>
        <w:t xml:space="preserve"> </w:t>
      </w:r>
      <m:oMath>
        <m:sSubSup>
          <m:e>
            <m:r>
              <m:t>x</m:t>
            </m:r>
          </m:e>
          <m:sub>
            <m:r>
              <m:t>i</m:t>
            </m:r>
          </m:sub>
          <m:sup>
            <m:r>
              <m:t>k</m:t>
            </m:r>
          </m:sup>
        </m:sSubSup>
      </m:oMath>
      <w:r>
        <w:t xml:space="preserve"> </w:t>
      </w:r>
      <w:r>
        <w:t xml:space="preserve">é a demanda do consumidor</w:t>
      </w:r>
      <w:r>
        <w:t xml:space="preserve"> </w:t>
      </w:r>
      <m:oMath>
        <m:r>
          <m:t>i</m:t>
        </m:r>
      </m:oMath>
      <w:r>
        <w:t xml:space="preserve"> </w:t>
      </w:r>
      <w:r>
        <w:t xml:space="preserve">pelo bem</w:t>
      </w:r>
      <w:r>
        <w:t xml:space="preserve"> </w:t>
      </w:r>
      <m:oMath>
        <m:r>
          <m:t>k</m:t>
        </m:r>
      </m:oMath>
      <w:r>
        <w:t xml:space="preserve">,</w:t>
      </w:r>
      <w:r>
        <w:t xml:space="preserve"> </w:t>
      </w:r>
      <m:oMath>
        <m:sSubSup>
          <m:e>
            <m:r>
              <m:t>y</m:t>
            </m:r>
          </m:e>
          <m:sub>
            <m:r>
              <m:t>j</m:t>
            </m:r>
          </m:sub>
          <m:sup>
            <m:r>
              <m:t>k</m:t>
            </m:r>
          </m:sup>
        </m:sSubSup>
      </m:oMath>
      <w:r>
        <w:t xml:space="preserve"> </w:t>
      </w:r>
      <w:r>
        <w:t xml:space="preserve">é a oferta líquida da firma</w:t>
      </w:r>
      <w:r>
        <w:t xml:space="preserve"> </w:t>
      </w:r>
      <m:oMath>
        <m:r>
          <m:t>j</m:t>
        </m:r>
      </m:oMath>
      <w:r>
        <w:t xml:space="preserve"> </w:t>
      </w:r>
      <w:r>
        <w:t xml:space="preserve">do bem</w:t>
      </w:r>
      <w:r>
        <w:t xml:space="preserve"> </w:t>
      </w:r>
      <m:oMath>
        <m:r>
          <m:t>k</m:t>
        </m:r>
      </m:oMath>
      <w:r>
        <w:t xml:space="preserve">, e</w:t>
      </w:r>
      <w:r>
        <w:t xml:space="preserve"> </w:t>
      </w:r>
      <m:oMath>
        <m:sSubSup>
          <m:e>
            <m:r>
              <m:t>ω</m:t>
            </m:r>
          </m:e>
          <m:sub>
            <m:r>
              <m:t>i</m:t>
            </m:r>
          </m:sub>
          <m:sup>
            <m:r>
              <m:t>k</m:t>
            </m:r>
          </m:sup>
        </m:sSubSup>
      </m:oMath>
      <w:r>
        <w:t xml:space="preserve"> </w:t>
      </w:r>
      <w:r>
        <w:t xml:space="preserve">é a dotação inicial do consumidor</w:t>
      </w:r>
      <w:r>
        <w:t xml:space="preserve"> </w:t>
      </w:r>
      <m:oMath>
        <m:r>
          <m:t>i</m:t>
        </m:r>
      </m:oMath>
      <w:r>
        <w:t xml:space="preserve"> </w:t>
      </w:r>
      <w:r>
        <w:t xml:space="preserve">do bem</w:t>
      </w:r>
      <w:r>
        <w:t xml:space="preserve"> </w:t>
      </w:r>
      <m:oMath>
        <m:r>
          <m:t>k</m:t>
        </m:r>
      </m:oMath>
      <w:r>
        <w:t xml:space="preserve">.</w:t>
      </w:r>
    </w:p>
    <w:p>
      <w:pPr>
        <w:pStyle w:val="FirstParagraph"/>
      </w:pPr>
      <w:r>
        <w:t xml:space="preserve">A diferença entre equilíbrio parcial e equilíbrio geral não é apenas uma questão de escala — é uma diferença de natureza. No equilíbrio parcial, tratamos o preço do bem analisado como variável e os preços de todos os outros bens como dados (</w:t>
      </w:r>
      <w:r>
        <w:rPr>
          <w:i/>
          <w:iCs/>
        </w:rPr>
        <w:t xml:space="preserve">ceteris paribus</w:t>
      </w:r>
      <w:r>
        <w:t xml:space="preserve">). No equilíbrio geral, todos os preços são variáveis endógenas, determinados simultaneamente. Isso significa que efeitos que parecem pequenos em um mercado isolado podem ser amplificados (ou atenuados) quando consideramos as repercussões em toda a economia. Como veremos na Seção 14.11 sobre modelos CGE, a diferença quantitativa entre as duas abordagens pode ser substancial — especialmente para políticas de grande escala, como reformas tributárias ou acordos comerciais.</w:t>
      </w:r>
    </w:p>
    <w:bookmarkEnd w:id="856"/>
    <w:bookmarkStart w:id="857" w:name="homogeneidade-e-normalização"/>
    <w:p>
      <w:pPr>
        <w:pStyle w:val="Heading4"/>
      </w:pPr>
      <w:r>
        <w:t xml:space="preserve">Homogeneidade e normalização</w:t>
      </w:r>
    </w:p>
    <w:p>
      <w:pPr>
        <w:pStyle w:val="FirstParagraph"/>
      </w:pPr>
      <w:r>
        <w:t xml:space="preserve">Uma observação aparentemente simples, mas com profundas implicações, é que em um sistema competitivo apenas os</w:t>
      </w:r>
      <w:r>
        <w:t xml:space="preserve"> </w:t>
      </w:r>
      <w:r>
        <w:rPr>
          <w:b/>
          <w:bCs/>
        </w:rPr>
        <w:t xml:space="preserve">preços relativos</w:t>
      </w:r>
      <w:r>
        <w:t xml:space="preserve"> </w:t>
      </w:r>
      <w:r>
        <w:t xml:space="preserve">importam. As funções de demanda e oferta são homogêneas de grau zero nos preços: se todos os preços dobram, as quantidades demandadas e ofertadas não se alteram. Isso permite normalizar os preços, fixando um bem como</w:t>
      </w:r>
      <w:r>
        <w:t xml:space="preserve"> </w:t>
      </w:r>
      <w:r>
        <w:rPr>
          <w:b/>
          <w:bCs/>
        </w:rPr>
        <w:t xml:space="preserve">numerário</w:t>
      </w:r>
      <w:r>
        <w:t xml:space="preserve"> </w:t>
      </w:r>
      <w:r>
        <w:t xml:space="preserve">com preço igual a 1:</w:t>
      </w:r>
    </w:p>
    <w:p>
      <w:pPr>
        <w:pStyle w:val="BodyText"/>
      </w:pPr>
      <w:r>
        <w:t xml:space="preserve">$$
    p_n = 1 \quad \Rightarrow \quad \text{sistema com } n-1 \text{ preços relativos a determinar}
    \label{eq:14.1} \tag{14.1} 
    $$</w:t>
      </w:r>
    </w:p>
    <w:p>
      <w:pPr>
        <w:pStyle w:val="FirstParagraph"/>
      </w:pPr>
      <w:r>
        <w:t xml:space="preserve">A escolha do numerário é uma questão de conveniência — qualquer bem pode servir — e não afeta as quantidades de equilíbrio nem os preços relativos. O que muda é apenas a</w:t>
      </w:r>
      <w:r>
        <w:t xml:space="preserve"> </w:t>
      </w:r>
      <w:r>
        <w:t xml:space="preserve">“unidade de conta”</w:t>
      </w:r>
      <w:r>
        <w:t xml:space="preserve"> </w:t>
      </w:r>
      <w:r>
        <w:t xml:space="preserve">em que os preços são expressos. Na prática empírica, frequentemente se utiliza o trabalho como numerário, de modo que todos os preços são expressos em horas de trabalho.</w:t>
      </w:r>
    </w:p>
    <w:p>
      <w:r>
        <w:pict>
          <v:rect style="width:0;height:1.5pt" o:hralign="center" o:hrstd="t" o:hr="t"/>
        </w:pict>
      </w:r>
    </w:p>
    <w:bookmarkEnd w:id="857"/>
    <w:bookmarkEnd w:id="858"/>
    <w:bookmarkStart w:id="861" w:name="Xa2b47bf21a372f267deccbb420567f3d450b3c0"/>
    <w:p>
      <w:pPr>
        <w:pStyle w:val="Heading3"/>
      </w:pPr>
      <w:r>
        <w:t xml:space="preserve">14.2 Um Retângulo Vale Mais que Mil Palavras: A Caixa de Edgeworth</w:t>
      </w:r>
    </w:p>
    <w:p>
      <w:pPr>
        <w:pStyle w:val="FirstParagraph"/>
      </w:pPr>
      <w:r>
        <w:t xml:space="preserve">A definição formal de equilíbrio geral competitivo — um vetor de preços que equilibra simultaneamente todos os mercados — pode soar como algo que só um computador amaria. Antes de mergulhar na formalização matemática, vamos fazer algo mais humano: desenhar uma caixa. Não qualquer caixa — a</w:t>
      </w:r>
      <w:r>
        <w:t xml:space="preserve"> </w:t>
      </w:r>
      <w:r>
        <w:rPr>
          <w:b/>
          <w:bCs/>
        </w:rPr>
        <w:t xml:space="preserve">Caixa de Edgeworth</w:t>
      </w:r>
      <w:r>
        <w:t xml:space="preserve">, talvez o diagrama mais engenhoso de toda a microeconomia. Trata-se de uma economia mínima, com apenas dois consumidores e dois bens, mas que já captura a essência das trocas voluntárias, da eficiência e do papel dos preços relativos. É o tipo de modelo que faz você pensar:</w:t>
      </w:r>
      <w:r>
        <w:t xml:space="preserve"> </w:t>
      </w:r>
      <w:r>
        <w:t xml:space="preserve">“por que não me mostraram isso antes?”</w:t>
      </w:r>
    </w:p>
    <w:bookmarkStart w:id="859" w:name="construção"/>
    <w:p>
      <w:pPr>
        <w:pStyle w:val="Heading4"/>
      </w:pPr>
      <w:r>
        <w:t xml:space="preserve">Construção</w:t>
      </w:r>
    </w:p>
    <w:p>
      <w:pPr>
        <w:pStyle w:val="FirstParagraph"/>
      </w:pPr>
      <w:r>
        <w:t xml:space="preserve">Considere uma economia de troca pura com dois consumidores (A e B) e dois bens (1 e 2). As dotações totais da economia são:</w:t>
      </w:r>
    </w:p>
    <w:p>
      <w:pPr>
        <w:pStyle w:val="BodyText"/>
      </w:pPr>
      <m:oMathPara>
        <m:oMathParaPr>
          <m:jc m:val="center"/>
        </m:oMathParaPr>
        <m:oMath>
          <m:sSub>
            <m:e>
              <m:acc>
                <m:accPr>
                  <m:chr m:val="‾"/>
                </m:accPr>
                <m:e>
                  <m:r>
                    <m:t>x</m:t>
                  </m:r>
                </m:e>
              </m:acc>
            </m:e>
            <m:sub>
              <m:r>
                <m:t>1</m:t>
              </m:r>
            </m:sub>
          </m:sSub>
          <m:r>
            <m:rPr>
              <m:sty m:val="p"/>
            </m:rPr>
            <m:t>=</m:t>
          </m:r>
          <m:sSubSup>
            <m:e>
              <m:r>
                <m:t>ω</m:t>
              </m:r>
            </m:e>
            <m:sub>
              <m:r>
                <m:t>A</m:t>
              </m:r>
            </m:sub>
            <m:sup>
              <m:r>
                <m:t>1</m:t>
              </m:r>
            </m:sup>
          </m:sSubSup>
          <m:r>
            <m:rPr>
              <m:sty m:val="p"/>
            </m:rPr>
            <m:t>+</m:t>
          </m:r>
          <m:sSubSup>
            <m:e>
              <m:r>
                <m:t>ω</m:t>
              </m:r>
            </m:e>
            <m:sub>
              <m:r>
                <m:t>B</m:t>
              </m:r>
            </m:sub>
            <m:sup>
              <m:r>
                <m:t>1</m:t>
              </m:r>
            </m:sup>
          </m:sSubSup>
          <m:r>
            <m:rPr>
              <m:sty m:val="p"/>
            </m:rPr>
            <m:t>,</m:t>
          </m:r>
          <m:r>
            <m:t>  </m:t>
          </m:r>
          <m:sSub>
            <m:e>
              <m:acc>
                <m:accPr>
                  <m:chr m:val="‾"/>
                </m:accPr>
                <m:e>
                  <m:r>
                    <m:t>x</m:t>
                  </m:r>
                </m:e>
              </m:acc>
            </m:e>
            <m:sub>
              <m:r>
                <m:t>2</m:t>
              </m:r>
            </m:sub>
          </m:sSub>
          <m:r>
            <m:rPr>
              <m:sty m:val="p"/>
            </m:rPr>
            <m:t>=</m:t>
          </m:r>
          <m:sSubSup>
            <m:e>
              <m:r>
                <m:t>ω</m:t>
              </m:r>
            </m:e>
            <m:sub>
              <m:r>
                <m:t>A</m:t>
              </m:r>
            </m:sub>
            <m:sup>
              <m:r>
                <m:t>2</m:t>
              </m:r>
            </m:sup>
          </m:sSubSup>
          <m:r>
            <m:rPr>
              <m:sty m:val="p"/>
            </m:rPr>
            <m:t>+</m:t>
          </m:r>
          <m:sSubSup>
            <m:e>
              <m:r>
                <m:t>ω</m:t>
              </m:r>
            </m:e>
            <m:sub>
              <m:r>
                <m:t>B</m:t>
              </m:r>
            </m:sub>
            <m:sup>
              <m:r>
                <m:t>2</m:t>
              </m:r>
            </m:sup>
          </m:sSubSup>
        </m:oMath>
      </m:oMathPara>
    </w:p>
    <w:p>
      <w:pPr>
        <w:pStyle w:val="FirstParagraph"/>
      </w:pPr>
      <w:r>
        <w:t xml:space="preserve">A</w:t>
      </w:r>
      <w:r>
        <w:t xml:space="preserve"> </w:t>
      </w:r>
      <w:r>
        <w:rPr>
          <w:b/>
          <w:bCs/>
        </w:rPr>
        <w:t xml:space="preserve">Caixa de Edgeworth</w:t>
      </w:r>
      <w:r>
        <w:t xml:space="preserve"> </w:t>
      </w:r>
      <w:r>
        <w:t xml:space="preserve">é um retângulo com dimensões</w:t>
      </w:r>
      <w:r>
        <w:t xml:space="preserve"> </w:t>
      </w:r>
      <m:oMath>
        <m:sSub>
          <m:e>
            <m:acc>
              <m:accPr>
                <m:chr m:val="‾"/>
              </m:accPr>
              <m:e>
                <m:r>
                  <m:t>x</m:t>
                </m:r>
              </m:e>
            </m:acc>
          </m:e>
          <m:sub>
            <m:r>
              <m:t>1</m:t>
            </m:r>
          </m:sub>
        </m:sSub>
        <m:r>
          <m:rPr>
            <m:sty m:val="p"/>
          </m:rPr>
          <m:t>×</m:t>
        </m:r>
        <m:sSub>
          <m:e>
            <m:acc>
              <m:accPr>
                <m:chr m:val="‾"/>
              </m:accPr>
              <m:e>
                <m:r>
                  <m:t>x</m:t>
                </m:r>
              </m:e>
            </m:acc>
          </m:e>
          <m:sub>
            <m:r>
              <m:t>2</m:t>
            </m:r>
          </m:sub>
        </m:sSub>
      </m:oMath>
      <w:r>
        <w:t xml:space="preserve">. O consumidor A é medido a partir do canto inferior esquerdo e o consumidor B a partir do canto superior direito. Cada ponto na caixa representa uma alocação factível que esgota todos os recursos.</w:t>
      </w:r>
    </w:p>
    <w:p>
      <w:pPr>
        <w:pStyle w:val="BodyText"/>
      </w:pPr>
      <w:r>
        <w:t xml:space="preserve">O diagrama que hoje chamamos de</w:t>
      </w:r>
      <w:r>
        <w:t xml:space="preserve"> </w:t>
      </w:r>
      <w:r>
        <w:t xml:space="preserve">“Caixa de Edgeworth”</w:t>
      </w:r>
      <w:r>
        <w:t xml:space="preserve"> </w:t>
      </w:r>
      <w:r>
        <w:t xml:space="preserve">tem uma história curiosa. Foi o economista e estatístico irlandês</w:t>
      </w:r>
      <w:r>
        <w:t xml:space="preserve"> </w:t>
      </w:r>
      <w:r>
        <w:rPr>
          <w:b/>
          <w:bCs/>
        </w:rPr>
        <w:t xml:space="preserve">Francis Ysidro Edgeworth</w:t>
      </w:r>
      <w:r>
        <w:t xml:space="preserve"> </w:t>
      </w:r>
      <w:r>
        <w:t xml:space="preserve">(1845–1926) quem primeiro utilizou, em seu livro</w:t>
      </w:r>
      <w:r>
        <w:t xml:space="preserve"> </w:t>
      </w:r>
      <w:r>
        <w:rPr>
          <w:i/>
          <w:iCs/>
        </w:rPr>
        <w:t xml:space="preserve">Mathematical Psychics</w:t>
      </w:r>
      <w:r>
        <w:t xml:space="preserve"> </w:t>
      </w:r>
      <w:r>
        <w:t xml:space="preserve">(1881), um diagrama semelhante para analisar trocas bilaterais. Edgeworth, porém, usou eixos separados para os dois consumidores; a versão</w:t>
      </w:r>
      <w:r>
        <w:t xml:space="preserve"> </w:t>
      </w:r>
      <w:r>
        <w:t xml:space="preserve">“encaixada”</w:t>
      </w:r>
      <w:r>
        <w:t xml:space="preserve"> </w:t>
      </w:r>
      <w:r>
        <w:t xml:space="preserve">em forma de caixa que conhecemos hoje foi popularizada por Vilfredo Pareto e, posteriormente, por Arthur Bowley. A despeito dessa imprecisão histórica, o nome</w:t>
      </w:r>
      <w:r>
        <w:t xml:space="preserve"> </w:t>
      </w:r>
      <w:r>
        <w:t xml:space="preserve">“Caixa de Edgeworth”</w:t>
      </w:r>
      <w:r>
        <w:t xml:space="preserve"> </w:t>
      </w:r>
      <w:r>
        <w:t xml:space="preserve">permaneceu consagrado na literatura — e é justo, pois foi Edgeworth quem primeiro percebeu que um único diagrama poderia representar simultaneamente as possibilidades de ambos os agentes em uma troca bilateral.</w:t>
      </w:r>
    </w:p>
    <w:p>
      <w:pPr>
        <w:pStyle w:val="BlockText"/>
      </w:pPr>
      <w:r>
        <w:rPr>
          <w:b/>
          <w:bCs/>
        </w:rPr>
        <w:t xml:space="preserve">[DEFINICAO] Caixa de Edgeworth</w:t>
      </w:r>
    </w:p>
    <w:p>
      <w:pPr>
        <w:pStyle w:val="BlockText"/>
      </w:pPr>
      <w:r>
        <w:t xml:space="preserve">A</w:t>
      </w:r>
      <w:r>
        <w:t xml:space="preserve"> </w:t>
      </w:r>
      <w:r>
        <w:rPr>
          <w:b/>
          <w:bCs/>
        </w:rPr>
        <w:t xml:space="preserve">Caixa de Edgeworth</w:t>
      </w:r>
      <w:r>
        <w:t xml:space="preserve"> </w:t>
      </w:r>
      <w:r>
        <w:t xml:space="preserve">é uma representação gráfica de todas as alocações factíveis em uma economia de troca pura com dois consumidores e dois bens. Cada ponto no retângulo especifica simultaneamente as cestas de consumo de ambos os consumidores.</w:t>
      </w:r>
    </w:p>
    <w:p>
      <w:pPr>
        <w:pStyle w:val="BlockText"/>
      </w:pPr>
      <w:r>
        <w:rPr>
          <w:b/>
          <w:bCs/>
        </w:rPr>
        <w:t xml:space="preserve">[INTUICAO ECONOMICA] Intuição Econômica</w:t>
      </w:r>
    </w:p>
    <w:p>
      <w:pPr>
        <w:pStyle w:val="BlockText"/>
      </w:pPr>
      <w:r>
        <w:rPr>
          <w:b/>
          <w:bCs/>
        </w:rPr>
        <w:t xml:space="preserve">Em uma frase:</w:t>
      </w:r>
      <w:r>
        <w:t xml:space="preserve"> </w:t>
      </w:r>
      <w:r>
        <w:t xml:space="preserve">A Caixa de Edgeworth é um mapa de todas as formas possíveis de dividir os recursos de uma economia entre duas pessoas.</w:t>
      </w:r>
    </w:p>
    <w:p>
      <w:pPr>
        <w:pStyle w:val="BlockText"/>
      </w:pPr>
      <w:r>
        <w:rPr>
          <w:b/>
          <w:bCs/>
        </w:rPr>
        <w:t xml:space="preserve">Pense assim:</w:t>
      </w:r>
      <w:r>
        <w:t xml:space="preserve"> </w:t>
      </w:r>
      <w:r>
        <w:t xml:space="preserve">Imagine dois colegas de república dividindo o que sobrou na geladeira: 6 fatias de pizza e 4 latas de refrigerante. Qualquer combinação que dê o total — 4 fatias para um e 2 para outro, por exemplo — é um ponto na caixa. Movendo o ponto, você redistribui pizza e refrigerante entre os dois. A mágica da caixa é mostrar, num só diagrama, se existe uma redistribuição que deixe ambos mais felizes.</w:t>
      </w:r>
    </w:p>
    <w:p>
      <w:pPr>
        <w:pStyle w:val="BlockText"/>
      </w:pPr>
      <w:r>
        <w:rPr>
          <w:b/>
          <w:bCs/>
        </w:rPr>
        <w:t xml:space="preserve">Por que isso importa:</w:t>
      </w:r>
      <w:r>
        <w:t xml:space="preserve"> </w:t>
      </w:r>
      <w:r>
        <w:t xml:space="preserve">A Caixa de Edgeworth é a ferramenta visual fundamental para entender trocas voluntárias, eficiência e os ganhos do comércio — inclusive entre países, como no acordo Mercosul-UE.</w:t>
      </w:r>
    </w:p>
    <w:p>
      <w:pPr>
        <w:pStyle w:val="FirstParagraph"/>
      </w:pPr>
      <w:r>
        <w:t xml:space="preserve">A intuição geométrica da Caixa de Edgeworth é profunda. Observe que qualquer ponto dentro da caixa automaticamente respeita a restrição de recursos: se A consome</w:t>
      </w:r>
      <w:r>
        <w:t xml:space="preserve"> </w:t>
      </w:r>
      <m:oMath>
        <m:sSubSup>
          <m:e>
            <m:r>
              <m:t>x</m:t>
            </m:r>
          </m:e>
          <m:sub>
            <m:r>
              <m:t>1</m:t>
            </m:r>
          </m:sub>
          <m:sup>
            <m:r>
              <m:t>A</m:t>
            </m:r>
          </m:sup>
        </m:sSubSup>
      </m:oMath>
      <w:r>
        <w:t xml:space="preserve"> </w:t>
      </w:r>
      <w:r>
        <w:t xml:space="preserve">do bem 1, então B necessariamente consome</w:t>
      </w:r>
      <w:r>
        <w:t xml:space="preserve"> </w:t>
      </w:r>
      <m:oMath>
        <m:sSub>
          <m:e>
            <m:acc>
              <m:accPr>
                <m:chr m:val="‾"/>
              </m:accPr>
              <m:e>
                <m:r>
                  <m:t>x</m:t>
                </m:r>
              </m:e>
            </m:acc>
          </m:e>
          <m:sub>
            <m:r>
              <m:t>1</m:t>
            </m:r>
          </m:sub>
        </m:sSub>
        <m:r>
          <m:rPr>
            <m:sty m:val="p"/>
          </m:rPr>
          <m:t>−</m:t>
        </m:r>
        <m:sSubSup>
          <m:e>
            <m:r>
              <m:t>x</m:t>
            </m:r>
          </m:e>
          <m:sub>
            <m:r>
              <m:t>1</m:t>
            </m:r>
          </m:sub>
          <m:sup>
            <m:r>
              <m:t>A</m:t>
            </m:r>
          </m:sup>
        </m:sSubSup>
      </m:oMath>
      <w:r>
        <w:t xml:space="preserve"> </w:t>
      </w:r>
      <w:r>
        <w:t xml:space="preserve">— não há desperdício nem criação de recursos. Essa propriedade faz da caixa uma representação compacta e completa do conjunto de alocações factíveis. Além disso, a caixa revela imediatamente um fato fundamental sobre trocas: em uma economia de troca pura, toda melhoria para um consumidor implica um movimento no diagrama, e esse movimento necessariamente altera a cesta do outro consumidor. A caixa torna visível a interdependência que é o tema central da análise de equilíbrio geral.</w:t>
      </w:r>
    </w:p>
    <w:p>
      <w:pPr>
        <w:pStyle w:val="BodyText"/>
      </w:pPr>
      <w:r>
        <w:t xml:space="preserve">É instrutivo pensar na Caixa de Edgeworth também como uma representação de</w:t>
      </w:r>
      <w:r>
        <w:t xml:space="preserve"> </w:t>
      </w:r>
      <w:r>
        <w:rPr>
          <w:b/>
          <w:bCs/>
        </w:rPr>
        <w:t xml:space="preserve">comércio internacional</w:t>
      </w:r>
      <w:r>
        <w:t xml:space="preserve"> </w:t>
      </w:r>
      <w:r>
        <w:t xml:space="preserve">entre dois países. Imagine que o país A (digamos, o Brasil) é abundante no bem 1 (commodities agrícolas) e o país B (digamos, a União Europeia) é abundante no bem 2 (bens manufaturados). As dotações iniciais de cada país determinam o ponto de autarquia na caixa. Ao abrir o comércio, os países trocam bens de acordo com os preços relativos internacionais, movendo-se para um ponto mais eficiente — mais próximo da curva de contrato. Essa é exatamente a lógica dos ganhos de comércio que o acordo Mercosul-UE busca realizar, como discutido no Box Brasil sobre o acordo.</w:t>
      </w:r>
    </w:p>
    <w:bookmarkEnd w:id="859"/>
    <w:bookmarkStart w:id="860" w:name="curvas-de-indiferença-na-caixa"/>
    <w:p>
      <w:pPr>
        <w:pStyle w:val="Heading4"/>
      </w:pPr>
      <w:r>
        <w:t xml:space="preserve">Curvas de indiferença na caixa</w:t>
      </w:r>
    </w:p>
    <w:p>
      <w:pPr>
        <w:pStyle w:val="FirstParagraph"/>
      </w:pPr>
      <w:r>
        <w:t xml:space="preserve">As curvas de indiferença do consumidor A são desenhadas normalmente (convexas em relação à origem inferior esquerda). As curvas de indiferença do consumidor B são desenhadas invertidas (convexas em relação ao canto superior direito). Quando duas curvas de indiferença se tangenciam, as taxas marginais de substituição são iguais:</w:t>
      </w:r>
    </w:p>
    <w:p>
      <w:pPr>
        <w:pStyle w:val="BodyText"/>
      </w:pPr>
      <m:oMathPara>
        <m:oMathParaPr>
          <m:jc m:val="center"/>
        </m:oMathParaPr>
        <m:oMath>
          <m:r>
            <m:t>T</m:t>
          </m:r>
          <m:r>
            <m:t>M</m:t>
          </m:r>
          <m:sSubSup>
            <m:e>
              <m:r>
                <m:t>S</m:t>
              </m:r>
            </m:e>
            <m:sub>
              <m:r>
                <m:t>A</m:t>
              </m:r>
            </m:sub>
            <m:sup>
              <m:r>
                <m:t>12</m:t>
              </m:r>
            </m:sup>
          </m:sSubSup>
          <m:r>
            <m:rPr>
              <m:sty m:val="p"/>
            </m:rPr>
            <m:t>=</m:t>
          </m:r>
          <m:r>
            <m:t>T</m:t>
          </m:r>
          <m:r>
            <m:t>M</m:t>
          </m:r>
          <m:sSubSup>
            <m:e>
              <m:r>
                <m:t>S</m:t>
              </m:r>
            </m:e>
            <m:sub>
              <m:r>
                <m:t>B</m:t>
              </m:r>
            </m:sub>
            <m:sup>
              <m:r>
                <m:t>12</m:t>
              </m:r>
            </m:sup>
          </m:sSubSup>
        </m:oMath>
      </m:oMathPara>
    </w:p>
    <w:p>
      <w:pPr>
        <w:pStyle w:val="FirstParagraph"/>
      </w:pPr>
      <w:r>
        <w:t xml:space="preserve">Nesse ponto, descrito pela equação Eq. (eq:14.3), não há trocas mutuamente benéficas possíveis — a alocação é</w:t>
      </w:r>
      <w:r>
        <w:t xml:space="preserve"> </w:t>
      </w:r>
      <w:r>
        <w:rPr>
          <w:b/>
          <w:bCs/>
        </w:rPr>
        <w:t xml:space="preserve">eficiente no sentido de Pareto</w:t>
      </w:r>
      <w:r>
        <w:t xml:space="preserve">.</w:t>
      </w:r>
    </w:p>
    <w:p>
      <w:pPr>
        <w:pStyle w:val="BodyText"/>
      </w:pPr>
      <w:r>
        <w:t xml:space="preserve">Quando as curvas de indiferença se</w:t>
      </w:r>
      <w:r>
        <w:t xml:space="preserve"> </w:t>
      </w:r>
      <w:r>
        <w:rPr>
          <w:i/>
          <w:iCs/>
        </w:rPr>
        <w:t xml:space="preserve">cruzam</w:t>
      </w:r>
      <w:r>
        <w:t xml:space="preserve"> </w:t>
      </w:r>
      <w:r>
        <w:t xml:space="preserve">(em vez de se tangenciar), forma-se uma</w:t>
      </w:r>
      <w:r>
        <w:t xml:space="preserve"> </w:t>
      </w:r>
      <w:r>
        <w:t xml:space="preserve">“lente”</w:t>
      </w:r>
      <w:r>
        <w:t xml:space="preserve"> </w:t>
      </w:r>
      <w:r>
        <w:t xml:space="preserve">— uma região entre as duas curvas onde existem alocações preferidas por ambos os consumidores. Qualquer ponto no interior dessa lente representa uma melhoria de Pareto em relação à alocação inicial. As trocas voluntárias movem a economia para dentro dessa lente, até que as curvas de indiferença se tangenciem e a lente desapareça — nesse ponto, não há mais ganhos de troca a explorar.</w:t>
      </w:r>
    </w:p>
    <w:p>
      <w:pPr>
        <w:pStyle w:val="BodyText"/>
      </w:pPr>
      <w:r>
        <w:t xml:space="preserve">Explore a Caixa de Edgeworth com dois consumidores e dois bens. Ajuste as dotações iniciais e os parâmetros de preferências Cobb-Douglas. Arraste o ponto de alocação X para verificar se ele representa uma melhoria de Pareto em relação à dotação inicial e se está sobre a curva de contrato (eficiência). As curvas de indiferença tracejadas passam pela dotação E; as contínuas passam pela alocação X.</w:t>
      </w:r>
    </w:p>
    <w:p>
      <w:pPr>
        <w:pStyle w:val="BodyText"/>
      </w:pPr>
      <w:r>
        <w:t xml:space="preserve">[FIGURA INTERATIVA: /micro-book/graficos/cap14/caixa-edgeworth.html — versao interativa disponivel online]</w:t>
      </w:r>
    </w:p>
    <w:p>
      <w:pPr>
        <w:pStyle w:val="BodyText"/>
      </w:pPr>
      <w:r>
        <w:rPr>
          <w:b/>
          <w:bCs/>
        </w:rPr>
        <w:t xml:space="preserve">Figura 14.1 — Caixa de Edgeworth.</w:t>
      </w:r>
      <w:r>
        <w:t xml:space="preserve"> </w:t>
      </w:r>
      <w:r>
        <w:t xml:space="preserve">Ajuste as dotações iniciais e os parâmetros de preferências Cobb-Douglas. Arraste o ponto de alocação para verificar melhorias de Pareto e eficiência sobre a curva de contrato.</w:t>
      </w:r>
    </w:p>
    <w:bookmarkEnd w:id="860"/>
    <w:bookmarkEnd w:id="861"/>
    <w:bookmarkEnd w:id="862"/>
    <w:bookmarkStart w:id="871" w:name="Xcb0f6a8e17a660418b0a095836c93f52b74fe92"/>
    <w:p>
      <w:pPr>
        <w:pStyle w:val="Heading2"/>
      </w:pPr>
      <w:r>
        <w:t xml:space="preserve">14.3–14.5 Eficiência de Pareto, Curva de Contrato e FPP</w:t>
      </w:r>
    </w:p>
    <w:bookmarkStart w:id="865" w:name="X47aea8bdcbd1179a1f3d91e6afeeb259488f2d1"/>
    <w:p>
      <w:pPr>
        <w:pStyle w:val="Heading3"/>
      </w:pPr>
      <w:r>
        <w:t xml:space="preserve">14.3 O Caminho Dourado: Curva de Contrato e Núcleo</w:t>
      </w:r>
    </w:p>
    <w:p>
      <w:pPr>
        <w:pStyle w:val="FirstParagraph"/>
      </w:pPr>
      <w:r>
        <w:t xml:space="preserve">A Caixa de Edgeworth nos deu o mapa. Agora precisamos de um critério para separar os tesouros dos becos sem saída. Entre todas as alocações possíveis naquela caixa, quais são</w:t>
      </w:r>
      <w:r>
        <w:t xml:space="preserve"> </w:t>
      </w:r>
      <w:r>
        <w:t xml:space="preserve">“boas”</w:t>
      </w:r>
      <w:r>
        <w:t xml:space="preserve">? Mais precisamente, quais alocações não deixam dinheiro na mesa — oportunidades de trocas mutuamente benéficas que ninguém aproveitou? O conceito de eficiência de Pareto fornece o critério, e a curva de contrato traça o caminho dourado: o locus de todas as alocações em que não há mais nenhuma barganha capaz de melhorar a vida de alguém sem prejudicar outra pessoa.</w:t>
      </w:r>
    </w:p>
    <w:bookmarkStart w:id="863" w:name="eficiência-de-pareto-na-troca"/>
    <w:p>
      <w:pPr>
        <w:pStyle w:val="Heading4"/>
      </w:pPr>
      <w:r>
        <w:t xml:space="preserve">Eficiência de Pareto na troca</w:t>
      </w:r>
    </w:p>
    <w:p>
      <w:pPr>
        <w:pStyle w:val="BlockText"/>
      </w:pPr>
      <w:r>
        <w:rPr>
          <w:b/>
          <w:bCs/>
        </w:rPr>
        <w:t xml:space="preserve">[DEFINICAO] Eficiência de Pareto</w:t>
      </w:r>
    </w:p>
    <w:p>
      <w:pPr>
        <w:pStyle w:val="BlockText"/>
      </w:pPr>
      <w:r>
        <w:t xml:space="preserve">Uma alocação é</w:t>
      </w:r>
      <w:r>
        <w:t xml:space="preserve"> </w:t>
      </w:r>
      <w:r>
        <w:rPr>
          <w:b/>
          <w:bCs/>
        </w:rPr>
        <w:t xml:space="preserve">eficiente no sentido de Pareto</w:t>
      </w:r>
      <w:r>
        <w:t xml:space="preserve"> </w:t>
      </w:r>
      <w:r>
        <w:t xml:space="preserve">(ou um</w:t>
      </w:r>
      <w:r>
        <w:t xml:space="preserve"> </w:t>
      </w:r>
      <w:r>
        <w:rPr>
          <w:b/>
          <w:bCs/>
        </w:rPr>
        <w:t xml:space="preserve">ótimo de Pareto</w:t>
      </w:r>
      <w:r>
        <w:t xml:space="preserve">) se não existe outra alocação factível que melhore a situação de pelo menos um agente sem piorar a de nenhum outro.</w:t>
      </w:r>
    </w:p>
    <w:p>
      <w:pPr>
        <w:pStyle w:val="BlockText"/>
      </w:pPr>
      <w:r>
        <w:rPr>
          <w:b/>
          <w:bCs/>
        </w:rPr>
        <w:t xml:space="preserve">[INTUICAO ECONOMICA] Intuição Econômica</w:t>
      </w:r>
    </w:p>
    <w:p>
      <w:pPr>
        <w:pStyle w:val="BlockText"/>
      </w:pPr>
      <w:r>
        <w:rPr>
          <w:b/>
          <w:bCs/>
        </w:rPr>
        <w:t xml:space="preserve">Em uma frase:</w:t>
      </w:r>
      <w:r>
        <w:t xml:space="preserve"> </w:t>
      </w:r>
      <w:r>
        <w:t xml:space="preserve">Uma situação é eficiente no sentido de Pareto quando não dá mais para melhorar a vida de alguém sem prejudicar outra pessoa.</w:t>
      </w:r>
    </w:p>
    <w:p>
      <w:pPr>
        <w:pStyle w:val="BlockText"/>
      </w:pPr>
      <w:r>
        <w:rPr>
          <w:b/>
          <w:bCs/>
        </w:rPr>
        <w:t xml:space="preserve">Pense assim:</w:t>
      </w:r>
      <w:r>
        <w:t xml:space="preserve"> </w:t>
      </w:r>
      <w:r>
        <w:t xml:space="preserve">Pense em uma partilha de bolo de aniversário. Se dá para refatiar o bolo de modo que alguém ganhe um pedaço maior sem que ninguém fique com um pedaço menor, a divisão original era ineficiente. Eficiência de Pareto é quando todo o bolo já foi distribuído da melhor forma possível — qualquer mudança que beneficie alguém necessariamente tira de outro.</w:t>
      </w:r>
    </w:p>
    <w:p>
      <w:pPr>
        <w:pStyle w:val="BlockText"/>
      </w:pPr>
      <w:r>
        <w:rPr>
          <w:b/>
          <w:bCs/>
        </w:rPr>
        <w:t xml:space="preserve">Por que isso importa:</w:t>
      </w:r>
      <w:r>
        <w:t xml:space="preserve"> </w:t>
      </w:r>
      <w:r>
        <w:t xml:space="preserve">Eficiência de Pareto é o critério mínimo de</w:t>
      </w:r>
      <w:r>
        <w:t xml:space="preserve"> </w:t>
      </w:r>
      <w:r>
        <w:t xml:space="preserve">“bom funcionamento”</w:t>
      </w:r>
      <w:r>
        <w:t xml:space="preserve"> </w:t>
      </w:r>
      <w:r>
        <w:t xml:space="preserve">de uma economia, mas não diz nada sobre justiça — uma sociedade onde uma pessoa tem tudo e as demais nada pode ser Pareto-eficiente, o que mostra por que eficiência e equidade são questões distintas.</w:t>
      </w:r>
    </w:p>
    <w:p>
      <w:pPr>
        <w:pStyle w:val="FirstParagraph"/>
      </w:pPr>
      <w:r>
        <w:t xml:space="preserve">O conjunto de todas as alocações Pareto-eficientes na Caixa de Edgeworth forma a</w:t>
      </w:r>
      <w:r>
        <w:t xml:space="preserve"> </w:t>
      </w:r>
      <w:r>
        <w:rPr>
          <w:b/>
          <w:bCs/>
        </w:rPr>
        <w:t xml:space="preserve">curva de contrato</w:t>
      </w:r>
      <w:r>
        <w:t xml:space="preserve"> </w:t>
      </w:r>
      <w:r>
        <w:t xml:space="preserve">— o locus dos pontos de tangência entre as curvas de indiferença dos dois consumidores.</w:t>
      </w:r>
    </w:p>
    <w:p>
      <w:pPr>
        <w:pStyle w:val="BlockText"/>
      </w:pPr>
      <w:r>
        <w:rPr>
          <w:b/>
          <w:bCs/>
        </w:rPr>
        <w:t xml:space="preserve">[DEFINICAO] Curva de contrato</w:t>
      </w:r>
    </w:p>
    <w:p>
      <w:pPr>
        <w:pStyle w:val="BlockText"/>
      </w:pPr>
      <w:r>
        <w:t xml:space="preserve">A</w:t>
      </w:r>
      <w:r>
        <w:t xml:space="preserve"> </w:t>
      </w:r>
      <w:r>
        <w:rPr>
          <w:b/>
          <w:bCs/>
        </w:rPr>
        <w:t xml:space="preserve">curva de contrato</w:t>
      </w:r>
      <w:r>
        <w:t xml:space="preserve"> </w:t>
      </w:r>
      <w:r>
        <w:t xml:space="preserve">é o conjunto de todas as alocações Pareto-eficientes na Caixa de Edgeworth. Formalmente, é o conjunto de alocações</w:t>
      </w:r>
      <w:r>
        <w:t xml:space="preserve"> </w:t>
      </w:r>
      <m:oMath>
        <m:r>
          <m:rPr>
            <m:sty m:val="p"/>
          </m:rPr>
          <m:t>(</m:t>
        </m:r>
        <m:sSub>
          <m:e>
            <m:r>
              <m:t>x</m:t>
            </m:r>
          </m:e>
          <m:sub>
            <m:r>
              <m:t>A</m:t>
            </m:r>
          </m:sub>
        </m:sSub>
        <m:r>
          <m:rPr>
            <m:sty m:val="p"/>
          </m:rPr>
          <m:t>,</m:t>
        </m:r>
        <m:sSub>
          <m:e>
            <m:r>
              <m:t>x</m:t>
            </m:r>
          </m:e>
          <m:sub>
            <m:r>
              <m:t>B</m:t>
            </m:r>
          </m:sub>
        </m:sSub>
        <m:r>
          <m:rPr>
            <m:sty m:val="p"/>
          </m:rPr>
          <m:t>)</m:t>
        </m:r>
      </m:oMath>
      <w:r>
        <w:t xml:space="preserve"> </w:t>
      </w:r>
      <w:r>
        <w:t xml:space="preserve">tais que:</w:t>
      </w:r>
    </w:p>
    <w:p>
      <w:pPr>
        <w:pStyle w:val="BlockText"/>
      </w:pPr>
      <w:r>
        <w:t xml:space="preserve">$$</w:t>
      </w:r>
    </w:p>
    <w:p>
      <w:pPr>
        <w:pStyle w:val="BlockText"/>
      </w:pPr>
      <w:r>
        <w:t xml:space="preserve">TMS_A^{12}(x_A) = TMS_B^{12}(x_B)</w:t>
      </w:r>
    </w:p>
    <w:p>
      <w:pPr>
        <w:pStyle w:val="BlockText"/>
      </w:pPr>
      <w:r>
        <w:t xml:space="preserve">$$</w:t>
      </w:r>
    </w:p>
    <w:p>
      <w:pPr>
        <w:pStyle w:val="BlockText"/>
      </w:pPr>
      <w:r>
        <w:t xml:space="preserve">sujeito à factibilidade</w:t>
      </w:r>
      <w:r>
        <w:t xml:space="preserve"> </w:t>
      </w:r>
      <m:oMath>
        <m:sSub>
          <m:e>
            <m:r>
              <m:t>x</m:t>
            </m:r>
          </m:e>
          <m:sub>
            <m:r>
              <m:t>A</m:t>
            </m:r>
          </m:sub>
        </m:sSub>
        <m:r>
          <m:rPr>
            <m:sty m:val="p"/>
          </m:rPr>
          <m:t>+</m:t>
        </m:r>
        <m:sSub>
          <m:e>
            <m:r>
              <m:t>x</m:t>
            </m:r>
          </m:e>
          <m:sub>
            <m:r>
              <m:t>B</m:t>
            </m:r>
          </m:sub>
        </m:sSub>
        <m:r>
          <m:rPr>
            <m:sty m:val="p"/>
          </m:rPr>
          <m:t>=</m:t>
        </m:r>
        <m:acc>
          <m:accPr>
            <m:chr m:val="‾"/>
          </m:accPr>
          <m:e>
            <m:r>
              <m:t>x</m:t>
            </m:r>
          </m:e>
        </m:acc>
      </m:oMath>
      <w:r>
        <w:t xml:space="preserve">.</w:t>
      </w:r>
    </w:p>
    <w:p>
      <w:pPr>
        <w:pStyle w:val="FirstParagraph"/>
      </w:pPr>
      <w:r>
        <w:t xml:space="preserve">Para encontrar a curva de contrato na prática, resolvemos o problema de maximizar a utilidade de um consumidor sujeita à restrição de que o outro consumidor atinja pelo menos um dado nível de utilidade — e variamos esse nível. Quando ambos os consumidores têm preferências Cobb-Douglas, a curva de contrato é tipicamente uma curva que conecta os dois cantos opostos da caixa, passando pelo interior. Sua forma exata depende dos parâmetros das funções de utilidade: se os consumidores têm preferências idênticas, a curva de contrato é a diagonal da caixa; se suas preferências diferem, a curva se curva em direção ao canto do consumidor que valoriza mais o bem relativamente mais escasso.</w:t>
      </w:r>
    </w:p>
    <w:bookmarkEnd w:id="863"/>
    <w:bookmarkStart w:id="864" w:name="o-núcleo-da-economia"/>
    <w:p>
      <w:pPr>
        <w:pStyle w:val="Heading4"/>
      </w:pPr>
      <w:r>
        <w:t xml:space="preserve">O núcleo da economia</w:t>
      </w:r>
    </w:p>
    <w:p>
      <w:pPr>
        <w:pStyle w:val="FirstParagraph"/>
      </w:pPr>
      <w:r>
        <w:t xml:space="preserve">O</w:t>
      </w:r>
      <w:r>
        <w:t xml:space="preserve"> </w:t>
      </w:r>
      <w:r>
        <w:rPr>
          <w:b/>
          <w:bCs/>
        </w:rPr>
        <w:t xml:space="preserve">núcleo</w:t>
      </w:r>
      <w:r>
        <w:t xml:space="preserve"> </w:t>
      </w:r>
      <w:r>
        <w:t xml:space="preserve">é um subconjunto da curva de contrato: inclui apenas as alocações Pareto-eficientes que são individualmente racionais, ou seja, que dão a cada consumidor utilidade pelo menos tão alta quanto a obtida com suas dotações iniciais:</w:t>
      </w:r>
    </w:p>
    <w:p>
      <w:pPr>
        <w:pStyle w:val="BodyText"/>
      </w:pPr>
      <m:oMathPara>
        <m:oMathParaPr>
          <m:jc m:val="center"/>
        </m:oMathParaPr>
        <m:oMath>
          <m:sSub>
            <m:e>
              <m:r>
                <m:t>U</m:t>
              </m:r>
            </m:e>
            <m:sub>
              <m:r>
                <m:t>A</m:t>
              </m:r>
            </m:sub>
          </m:sSub>
          <m:r>
            <m:rPr>
              <m:sty m:val="p"/>
            </m:rPr>
            <m:t>(</m:t>
          </m:r>
          <m:sSub>
            <m:e>
              <m:r>
                <m:t>x</m:t>
              </m:r>
            </m:e>
            <m:sub>
              <m:r>
                <m:t>A</m:t>
              </m:r>
            </m:sub>
          </m:sSub>
          <m:r>
            <m:rPr>
              <m:sty m:val="p"/>
            </m:rPr>
            <m:t>)</m:t>
          </m:r>
          <m:r>
            <m:rPr>
              <m:sty m:val="p"/>
            </m:rPr>
            <m:t>≥</m:t>
          </m:r>
          <m:sSub>
            <m:e>
              <m:r>
                <m:t>U</m:t>
              </m:r>
            </m:e>
            <m:sub>
              <m:r>
                <m:t>A</m:t>
              </m:r>
            </m:sub>
          </m:sSub>
          <m:r>
            <m:rPr>
              <m:sty m:val="p"/>
            </m:rPr>
            <m:t>(</m:t>
          </m:r>
          <m:sSub>
            <m:e>
              <m:r>
                <m:t>ω</m:t>
              </m:r>
            </m:e>
            <m:sub>
              <m:r>
                <m:t>A</m:t>
              </m:r>
            </m:sub>
          </m:sSub>
          <m:r>
            <m:rPr>
              <m:sty m:val="p"/>
            </m:rPr>
            <m:t>)</m:t>
          </m:r>
          <m:r>
            <m:t> </m:t>
          </m:r>
          <m:r>
            <m:rPr>
              <m:nor/>
              <m:sty m:val="p"/>
            </m:rPr>
            <m:t>e</m:t>
          </m:r>
          <m:r>
            <m:t> </m:t>
          </m:r>
          <m:sSub>
            <m:e>
              <m:r>
                <m:t>U</m:t>
              </m:r>
            </m:e>
            <m:sub>
              <m:r>
                <m:t>B</m:t>
              </m:r>
            </m:sub>
          </m:sSub>
          <m:r>
            <m:rPr>
              <m:sty m:val="p"/>
            </m:rPr>
            <m:t>(</m:t>
          </m:r>
          <m:sSub>
            <m:e>
              <m:r>
                <m:t>x</m:t>
              </m:r>
            </m:e>
            <m:sub>
              <m:r>
                <m:t>B</m:t>
              </m:r>
            </m:sub>
          </m:sSub>
          <m:r>
            <m:rPr>
              <m:sty m:val="p"/>
            </m:rPr>
            <m:t>)</m:t>
          </m:r>
          <m:r>
            <m:rPr>
              <m:sty m:val="p"/>
            </m:rPr>
            <m:t>≥</m:t>
          </m:r>
          <m:sSub>
            <m:e>
              <m:r>
                <m:t>U</m:t>
              </m:r>
            </m:e>
            <m:sub>
              <m:r>
                <m:t>B</m:t>
              </m:r>
            </m:sub>
          </m:sSub>
          <m:r>
            <m:rPr>
              <m:sty m:val="p"/>
            </m:rPr>
            <m:t>(</m:t>
          </m:r>
          <m:sSub>
            <m:e>
              <m:r>
                <m:t>ω</m:t>
              </m:r>
            </m:e>
            <m:sub>
              <m:r>
                <m:t>B</m:t>
              </m:r>
            </m:sub>
          </m:sSub>
          <m:r>
            <m:rPr>
              <m:sty m:val="p"/>
            </m:rPr>
            <m:t>)</m:t>
          </m:r>
        </m:oMath>
      </m:oMathPara>
    </w:p>
    <w:p>
      <w:pPr>
        <w:pStyle w:val="FirstParagraph"/>
      </w:pPr>
      <w:r>
        <w:t xml:space="preserve">O equilíbrio walrasiano pertence ao núcleo. Além disso, à medida que a economia é</w:t>
      </w:r>
      <w:r>
        <w:t xml:space="preserve"> </w:t>
      </w:r>
      <w:r>
        <w:t xml:space="preserve">“replicada”</w:t>
      </w:r>
      <w:r>
        <w:t xml:space="preserve"> </w:t>
      </w:r>
      <w:r>
        <w:t xml:space="preserve">(duplicando o número de consumidores de cada tipo), o núcleo se contrai, convergindo para o equilíbrio walrasiano no limite — este é o</w:t>
      </w:r>
      <w:r>
        <w:t xml:space="preserve"> </w:t>
      </w:r>
      <w:r>
        <w:rPr>
          <w:b/>
          <w:bCs/>
        </w:rPr>
        <w:t xml:space="preserve">Teorema do Limite do Núcleo</w:t>
      </w:r>
      <w:r>
        <w:t xml:space="preserve"> </w:t>
      </w:r>
      <w:r>
        <w:t xml:space="preserve">de Debreu e Scarf (1963).</w:t>
      </w:r>
    </w:p>
    <w:p>
      <w:pPr>
        <w:pStyle w:val="BodyText"/>
      </w:pPr>
      <w:r>
        <w:t xml:space="preserve">A intuição por trás do Teorema do Limite do Núcleo merece ser desenvolvida com cuidado, pois ela conecta dois mundos aparentemente distintos: a barganha bilateral e os mercados competitivos. Em uma economia com apenas dois consumidores, o núcleo pode ser grande — há muitas alocações eficientes que ambos preferem às suas dotações. Isso significa que o resultado da troca depende fortemente do poder de barganha de cada agente. Agora, imagine que replicamos a economia: em vez de um consumidor do tipo A e um do tipo B, temos dois de cada tipo. As coalizões possíveis se multiplicam: agora, dois consumidores do tipo A podem se unir e oferecer a um consumidor do tipo B uma troca melhor do que a que o outro tipo B oferecia. Essa competição entre coalizões elimina alocações que, na economia com dois agentes, pertenciam ao núcleo. Ao replicar novamente — três de cada tipo, quatro, dez, cem — a competição se intensifica e o núcleo encolhe progressivamente. No limite, com infinitos agentes de cada tipo, o poder de barganha individual se dilui completamente: nenhum agente tem capacidade de influenciar os preços, e o único resultado que sobrevive no núcleo é o equilíbrio walrasiano.</w:t>
      </w:r>
    </w:p>
    <w:p>
      <w:pPr>
        <w:pStyle w:val="BodyText"/>
      </w:pPr>
      <w:r>
        <w:t xml:space="preserve">Esse resultado tem um significado profundo: é a versão mais rigorosa da ideia de que a concorrência elimina o poder de mercado. Em economias grandes, com muitos agentes, o resultado de mercado (equilíbrio walrasiano) é o</w:t>
      </w:r>
      <w:r>
        <w:t xml:space="preserve"> </w:t>
      </w:r>
      <w:r>
        <w:rPr>
          <w:i/>
          <w:iCs/>
        </w:rPr>
        <w:t xml:space="preserve">único</w:t>
      </w:r>
      <w:r>
        <w:t xml:space="preserve"> </w:t>
      </w:r>
      <w:r>
        <w:t xml:space="preserve">resultado que nenhuma coalizão pode melhorar — é o único ponto do núcleo. Assim, a competição perfeita não é apenas uma hipótese simplificadora: é uma consequência emergente do grande número de participantes.</w:t>
      </w:r>
    </w:p>
    <w:p>
      <w:pPr>
        <w:pStyle w:val="BlockText"/>
      </w:pPr>
      <w:r>
        <w:rPr>
          <w:b/>
          <w:bCs/>
        </w:rPr>
        <w:t xml:space="preserve">[EXERCICIO RESOLVIDO] Exercício Resolvido 14.1 — Curva de contrato com Cobb-Douglas simétricas</w:t>
      </w:r>
    </w:p>
    <w:p>
      <w:pPr>
        <w:pStyle w:val="BlockText"/>
      </w:pPr>
      <w:r>
        <w:rPr>
          <w:b/>
          <w:bCs/>
        </w:rPr>
        <w:t xml:space="preserve">Enunciado:</w:t>
      </w:r>
      <w:r>
        <w:t xml:space="preserve"> </w:t>
      </w:r>
      <w:r>
        <w:t xml:space="preserve">Considere uma economia de troca pura com dois consumidores (A e B) e dois bens. As dotações são</w:t>
      </w:r>
      <w:r>
        <w:t xml:space="preserve"> </w:t>
      </w:r>
      <m:oMath>
        <m:sSub>
          <m:e>
            <m:r>
              <m:rPr>
                <m:sty m:val="bi"/>
              </m:rPr>
              <m:t>ω</m:t>
            </m:r>
          </m:e>
          <m:sub>
            <m:r>
              <m:t>A</m:t>
            </m:r>
          </m:sub>
        </m:sSub>
        <m:r>
          <m:rPr>
            <m:sty m:val="p"/>
          </m:rPr>
          <m:t>=</m:t>
        </m:r>
        <m:r>
          <m:rPr>
            <m:sty m:val="p"/>
          </m:rPr>
          <m:t>(</m:t>
        </m:r>
        <m:r>
          <m:t>6</m:t>
        </m:r>
        <m:r>
          <m:rPr>
            <m:sty m:val="p"/>
          </m:rPr>
          <m:t>,</m:t>
        </m:r>
        <m:r>
          <m:t>4</m:t>
        </m:r>
        <m:r>
          <m:rPr>
            <m:sty m:val="p"/>
          </m:rPr>
          <m:t>)</m:t>
        </m:r>
      </m:oMath>
      <w:r>
        <w:t xml:space="preserve"> </w:t>
      </w:r>
      <w:r>
        <w:t xml:space="preserve">e</w:t>
      </w:r>
      <w:r>
        <w:t xml:space="preserve"> </w:t>
      </w:r>
      <m:oMath>
        <m:sSub>
          <m:e>
            <m:r>
              <m:rPr>
                <m:sty m:val="bi"/>
              </m:rPr>
              <m:t>ω</m:t>
            </m:r>
          </m:e>
          <m:sub>
            <m:r>
              <m:t>B</m:t>
            </m:r>
          </m:sub>
        </m:sSub>
        <m:r>
          <m:rPr>
            <m:sty m:val="p"/>
          </m:rPr>
          <m:t>=</m:t>
        </m:r>
        <m:r>
          <m:rPr>
            <m:sty m:val="p"/>
          </m:rPr>
          <m:t>(</m:t>
        </m:r>
        <m:r>
          <m:t>4</m:t>
        </m:r>
        <m:r>
          <m:rPr>
            <m:sty m:val="p"/>
          </m:rPr>
          <m:t>,</m:t>
        </m:r>
        <m:r>
          <m:t>6</m:t>
        </m:r>
        <m:r>
          <m:rPr>
            <m:sty m:val="p"/>
          </m:rPr>
          <m:t>)</m:t>
        </m:r>
      </m:oMath>
      <w:r>
        <w:t xml:space="preserve">. As funções de utilidade são</w:t>
      </w:r>
      <w:r>
        <w:t xml:space="preserve"> </w:t>
      </w:r>
      <m:oMath>
        <m:sSub>
          <m:e>
            <m:r>
              <m:t>U</m:t>
            </m:r>
          </m:e>
          <m:sub>
            <m:r>
              <m:t>A</m:t>
            </m:r>
          </m:sub>
        </m:sSub>
        <m:r>
          <m:rPr>
            <m:sty m:val="p"/>
          </m:rPr>
          <m:t>=</m:t>
        </m:r>
        <m:r>
          <m:rPr>
            <m:sty m:val="p"/>
          </m:rPr>
          <m:t>(</m:t>
        </m:r>
        <m:sSubSup>
          <m:e>
            <m:r>
              <m:t>x</m:t>
            </m:r>
          </m:e>
          <m:sub>
            <m:r>
              <m:t>1</m:t>
            </m:r>
          </m:sub>
          <m:sup>
            <m:r>
              <m:t>A</m:t>
            </m:r>
          </m:sup>
        </m:sSubSup>
        <m:sSup>
          <m:e>
            <m:r>
              <m:rPr>
                <m:sty m:val="p"/>
              </m:rPr>
              <m:t>)</m:t>
            </m:r>
          </m:e>
          <m:sup>
            <m:r>
              <m:t>1</m:t>
            </m:r>
            <m:r>
              <m:rPr>
                <m:sty m:val="p"/>
              </m:rPr>
              <m:t>/</m:t>
            </m:r>
            <m:r>
              <m:t>2</m:t>
            </m:r>
          </m:sup>
        </m:sSup>
        <m:r>
          <m:rPr>
            <m:sty m:val="p"/>
          </m:rPr>
          <m:t>(</m:t>
        </m:r>
        <m:sSubSup>
          <m:e>
            <m:r>
              <m:t>x</m:t>
            </m:r>
          </m:e>
          <m:sub>
            <m:r>
              <m:t>2</m:t>
            </m:r>
          </m:sub>
          <m:sup>
            <m:r>
              <m:t>A</m:t>
            </m:r>
          </m:sup>
        </m:sSubSup>
        <m:sSup>
          <m:e>
            <m:r>
              <m:rPr>
                <m:sty m:val="p"/>
              </m:rPr>
              <m:t>)</m:t>
            </m:r>
          </m:e>
          <m:sup>
            <m:r>
              <m:t>1</m:t>
            </m:r>
            <m:r>
              <m:rPr>
                <m:sty m:val="p"/>
              </m:rPr>
              <m:t>/</m:t>
            </m:r>
            <m:r>
              <m:t>2</m:t>
            </m:r>
          </m:sup>
        </m:sSup>
      </m:oMath>
      <w:r>
        <w:t xml:space="preserve"> </w:t>
      </w:r>
      <w:r>
        <w:t xml:space="preserve">e</w:t>
      </w:r>
      <w:r>
        <w:t xml:space="preserve"> </w:t>
      </w:r>
      <m:oMath>
        <m:sSub>
          <m:e>
            <m:r>
              <m:t>U</m:t>
            </m:r>
          </m:e>
          <m:sub>
            <m:r>
              <m:t>B</m:t>
            </m:r>
          </m:sub>
        </m:sSub>
        <m:r>
          <m:rPr>
            <m:sty m:val="p"/>
          </m:rPr>
          <m:t>=</m:t>
        </m:r>
        <m:r>
          <m:rPr>
            <m:sty m:val="p"/>
          </m:rPr>
          <m:t>(</m:t>
        </m:r>
        <m:sSubSup>
          <m:e>
            <m:r>
              <m:t>x</m:t>
            </m:r>
          </m:e>
          <m:sub>
            <m:r>
              <m:t>1</m:t>
            </m:r>
          </m:sub>
          <m:sup>
            <m:r>
              <m:t>B</m:t>
            </m:r>
          </m:sup>
        </m:sSubSup>
        <m:sSup>
          <m:e>
            <m:r>
              <m:rPr>
                <m:sty m:val="p"/>
              </m:rPr>
              <m:t>)</m:t>
            </m:r>
          </m:e>
          <m:sup>
            <m:r>
              <m:t>1</m:t>
            </m:r>
            <m:r>
              <m:rPr>
                <m:sty m:val="p"/>
              </m:rPr>
              <m:t>/</m:t>
            </m:r>
            <m:r>
              <m:t>2</m:t>
            </m:r>
          </m:sup>
        </m:sSup>
        <m:r>
          <m:rPr>
            <m:sty m:val="p"/>
          </m:rPr>
          <m:t>(</m:t>
        </m:r>
        <m:sSubSup>
          <m:e>
            <m:r>
              <m:t>x</m:t>
            </m:r>
          </m:e>
          <m:sub>
            <m:r>
              <m:t>2</m:t>
            </m:r>
          </m:sub>
          <m:sup>
            <m:r>
              <m:t>B</m:t>
            </m:r>
          </m:sup>
        </m:sSubSup>
        <m:sSup>
          <m:e>
            <m:r>
              <m:rPr>
                <m:sty m:val="p"/>
              </m:rPr>
              <m:t>)</m:t>
            </m:r>
          </m:e>
          <m:sup>
            <m:r>
              <m:t>1</m:t>
            </m:r>
            <m:r>
              <m:rPr>
                <m:sty m:val="p"/>
              </m:rPr>
              <m:t>/</m:t>
            </m:r>
            <m:r>
              <m:t>2</m:t>
            </m:r>
          </m:sup>
        </m:sSup>
      </m:oMath>
      <w:r>
        <w:t xml:space="preserve"> </w:t>
      </w:r>
      <w:r>
        <w:t xml:space="preserve">(Cobb-Douglas com parâmetros iguais). Encontre a curva de contrato.</w:t>
      </w:r>
    </w:p>
    <w:p>
      <w:pPr>
        <w:pStyle w:val="BlockText"/>
      </w:pPr>
      <w:r>
        <w:rPr>
          <w:b/>
          <w:bCs/>
        </w:rPr>
        <w:t xml:space="preserve">Dados:</w:t>
      </w:r>
      <w:r>
        <w:t xml:space="preserve"> </w:t>
      </w:r>
      <m:oMath>
        <m:sSub>
          <m:e>
            <m:r>
              <m:rPr>
                <m:sty m:val="bi"/>
              </m:rPr>
              <m:t>ω</m:t>
            </m:r>
          </m:e>
          <m:sub>
            <m:r>
              <m:t>A</m:t>
            </m:r>
          </m:sub>
        </m:sSub>
        <m:r>
          <m:rPr>
            <m:sty m:val="p"/>
          </m:rPr>
          <m:t>=</m:t>
        </m:r>
        <m:r>
          <m:rPr>
            <m:sty m:val="p"/>
          </m:rPr>
          <m:t>(</m:t>
        </m:r>
        <m:r>
          <m:t>6</m:t>
        </m:r>
        <m:r>
          <m:rPr>
            <m:sty m:val="p"/>
          </m:rPr>
          <m:t>,</m:t>
        </m:r>
        <m:r>
          <m:t>4</m:t>
        </m:r>
        <m:r>
          <m:rPr>
            <m:sty m:val="p"/>
          </m:rPr>
          <m:t>)</m:t>
        </m:r>
      </m:oMath>
      <w:r>
        <w:t xml:space="preserve">,</w:t>
      </w:r>
      <w:r>
        <w:t xml:space="preserve"> </w:t>
      </w:r>
      <m:oMath>
        <m:sSub>
          <m:e>
            <m:r>
              <m:rPr>
                <m:sty m:val="bi"/>
              </m:rPr>
              <m:t>ω</m:t>
            </m:r>
          </m:e>
          <m:sub>
            <m:r>
              <m:t>B</m:t>
            </m:r>
          </m:sub>
        </m:sSub>
        <m:r>
          <m:rPr>
            <m:sty m:val="p"/>
          </m:rPr>
          <m:t>=</m:t>
        </m:r>
        <m:r>
          <m:rPr>
            <m:sty m:val="p"/>
          </m:rPr>
          <m:t>(</m:t>
        </m:r>
        <m:r>
          <m:t>4</m:t>
        </m:r>
        <m:r>
          <m:rPr>
            <m:sty m:val="p"/>
          </m:rPr>
          <m:t>,</m:t>
        </m:r>
        <m:r>
          <m:t>6</m:t>
        </m:r>
        <m:r>
          <m:rPr>
            <m:sty m:val="p"/>
          </m:rPr>
          <m:t>)</m:t>
        </m:r>
      </m:oMath>
      <w:r>
        <w:t xml:space="preserve">. Totais:</w:t>
      </w:r>
      <w:r>
        <w:t xml:space="preserve"> </w:t>
      </w:r>
      <m:oMath>
        <m:sSub>
          <m:e>
            <m:acc>
              <m:accPr>
                <m:chr m:val="‾"/>
              </m:accPr>
              <m:e>
                <m:r>
                  <m:t>x</m:t>
                </m:r>
              </m:e>
            </m:acc>
          </m:e>
          <m:sub>
            <m:r>
              <m:t>1</m:t>
            </m:r>
          </m:sub>
        </m:sSub>
        <m:r>
          <m:rPr>
            <m:sty m:val="p"/>
          </m:rPr>
          <m:t>=</m:t>
        </m:r>
        <m:r>
          <m:t>10</m:t>
        </m:r>
      </m:oMath>
      <w:r>
        <w:t xml:space="preserve">,</w:t>
      </w:r>
      <w:r>
        <w:t xml:space="preserve"> </w:t>
      </w:r>
      <m:oMath>
        <m:sSub>
          <m:e>
            <m:acc>
              <m:accPr>
                <m:chr m:val="‾"/>
              </m:accPr>
              <m:e>
                <m:r>
                  <m:t>x</m:t>
                </m:r>
              </m:e>
            </m:acc>
          </m:e>
          <m:sub>
            <m:r>
              <m:t>2</m:t>
            </m:r>
          </m:sub>
        </m:sSub>
        <m:r>
          <m:rPr>
            <m:sty m:val="p"/>
          </m:rPr>
          <m:t>=</m:t>
        </m:r>
        <m:r>
          <m:t>10</m:t>
        </m:r>
      </m:oMath>
      <w:r>
        <w:t xml:space="preserve">.</w:t>
      </w:r>
    </w:p>
    <w:p>
      <w:pPr>
        <w:pStyle w:val="BlockText"/>
      </w:pPr>
      <w:r>
        <w:rPr>
          <w:b/>
          <w:bCs/>
        </w:rPr>
        <w:t xml:space="preserve">Resolução:</w:t>
      </w:r>
    </w:p>
    <w:p>
      <w:pPr>
        <w:pStyle w:val="BlockText"/>
      </w:pPr>
      <w:r>
        <w:rPr>
          <w:b/>
          <w:bCs/>
        </w:rPr>
        <w:t xml:space="preserve">Passo 1 — Taxas marginais de substituição</w:t>
      </w:r>
    </w:p>
    <w:p>
      <w:pPr>
        <w:pStyle w:val="BlockText"/>
      </w:pPr>
      <w:r>
        <w:t xml:space="preserve">Para Cobb-Douglas</w:t>
      </w:r>
      <w:r>
        <w:t xml:space="preserve"> </w:t>
      </w:r>
      <m:oMath>
        <m:r>
          <m:t>U</m:t>
        </m:r>
        <m:r>
          <m:rPr>
            <m:sty m:val="p"/>
          </m:rPr>
          <m:t>=</m:t>
        </m:r>
        <m:sSubSup>
          <m:e>
            <m:r>
              <m:t>x</m:t>
            </m:r>
          </m:e>
          <m:sub>
            <m:r>
              <m:t>1</m:t>
            </m:r>
          </m:sub>
          <m:sup>
            <m:r>
              <m:t>1</m:t>
            </m:r>
            <m:r>
              <m:rPr>
                <m:sty m:val="p"/>
              </m:rPr>
              <m:t>/</m:t>
            </m:r>
            <m:r>
              <m:t>2</m:t>
            </m:r>
          </m:sup>
        </m:sSubSup>
        <m:sSubSup>
          <m:e>
            <m:r>
              <m:t>x</m:t>
            </m:r>
          </m:e>
          <m:sub>
            <m:r>
              <m:t>2</m:t>
            </m:r>
          </m:sub>
          <m:sup>
            <m:r>
              <m:t>1</m:t>
            </m:r>
            <m:r>
              <m:rPr>
                <m:sty m:val="p"/>
              </m:rPr>
              <m:t>/</m:t>
            </m:r>
            <m:r>
              <m:t>2</m:t>
            </m:r>
          </m:sup>
        </m:sSubSup>
      </m:oMath>
      <w:r>
        <w:t xml:space="preserve">:</w:t>
      </w:r>
    </w:p>
    <w:p>
      <w:pPr>
        <w:pStyle w:val="BlockText"/>
      </w:pPr>
      <w:r>
        <w:t xml:space="preserve">$$</w:t>
      </w:r>
    </w:p>
    <w:p>
      <w:pPr>
        <w:pStyle w:val="BlockText"/>
      </w:pPr>
      <w:r>
        <w:t xml:space="preserve">TMS_A =</w:t>
      </w:r>
      <w:r>
        <w:t xml:space="preserve"> </w:t>
      </w:r>
      <w:r>
        <w:t xml:space="preserve"> </w:t>
      </w:r>
      <w:r>
        <w:t xml:space="preserve">=</w:t>
      </w:r>
      <w:r>
        <w:t xml:space="preserve"> </w:t>
      </w:r>
      <w:r>
        <w:t xml:space="preserve"> </w:t>
      </w:r>
      <w:r>
        <w:t xml:space="preserve">=</w:t>
      </w:r>
      <w:r>
        <w:t xml:space="preserve"> </w:t>
      </w:r>
    </w:p>
    <w:p>
      <w:pPr>
        <w:pStyle w:val="BlockText"/>
      </w:pPr>
      <w:r>
        <w:t xml:space="preserve">$$</w:t>
      </w:r>
    </w:p>
    <w:p>
      <w:pPr>
        <w:pStyle w:val="BlockText"/>
      </w:pPr>
      <w:r>
        <w:t xml:space="preserve">Analogamente:</w:t>
      </w:r>
      <w:r>
        <w:t xml:space="preserve"> </w:t>
      </w:r>
      <m:oMath>
        <m:r>
          <m:t>T</m:t>
        </m:r>
        <m:r>
          <m:t>M</m:t>
        </m:r>
        <m:sSub>
          <m:e>
            <m:r>
              <m:t>S</m:t>
            </m:r>
          </m:e>
          <m:sub>
            <m:r>
              <m:t>B</m:t>
            </m:r>
          </m:sub>
        </m:sSub>
        <m:r>
          <m:rPr>
            <m:sty m:val="p"/>
          </m:rPr>
          <m:t>=</m:t>
        </m:r>
        <m:sSubSup>
          <m:e>
            <m:r>
              <m:t>x</m:t>
            </m:r>
          </m:e>
          <m:sub>
            <m:r>
              <m:t>2</m:t>
            </m:r>
          </m:sub>
          <m:sup>
            <m:r>
              <m:t>B</m:t>
            </m:r>
          </m:sup>
        </m:sSubSup>
        <m:r>
          <m:rPr>
            <m:sty m:val="p"/>
          </m:rPr>
          <m:t>/</m:t>
        </m:r>
        <m:sSubSup>
          <m:e>
            <m:r>
              <m:t>x</m:t>
            </m:r>
          </m:e>
          <m:sub>
            <m:r>
              <m:t>1</m:t>
            </m:r>
          </m:sub>
          <m:sup>
            <m:r>
              <m:t>B</m:t>
            </m:r>
          </m:sup>
        </m:sSubSup>
      </m:oMath>
      <w:r>
        <w:t xml:space="preserve">.</w:t>
      </w:r>
    </w:p>
    <w:p>
      <w:pPr>
        <w:pStyle w:val="BlockText"/>
      </w:pPr>
      <w:r>
        <w:rPr>
          <w:b/>
          <w:bCs/>
        </w:rPr>
        <w:t xml:space="preserve">Passo 2 — Condição de eficiência</w:t>
      </w:r>
    </w:p>
    <w:p>
      <w:pPr>
        <w:pStyle w:val="BlockText"/>
      </w:pPr>
      <w:r>
        <w:t xml:space="preserve">Na curva de contrato:</w:t>
      </w:r>
      <w:r>
        <w:t xml:space="preserve"> </w:t>
      </w:r>
      <m:oMath>
        <m:r>
          <m:t>T</m:t>
        </m:r>
        <m:r>
          <m:t>M</m:t>
        </m:r>
        <m:sSub>
          <m:e>
            <m:r>
              <m:t>S</m:t>
            </m:r>
          </m:e>
          <m:sub>
            <m:r>
              <m:t>A</m:t>
            </m:r>
          </m:sub>
        </m:sSub>
        <m:r>
          <m:rPr>
            <m:sty m:val="p"/>
          </m:rPr>
          <m:t>=</m:t>
        </m:r>
        <m:r>
          <m:t>T</m:t>
        </m:r>
        <m:r>
          <m:t>M</m:t>
        </m:r>
        <m:sSub>
          <m:e>
            <m:r>
              <m:t>S</m:t>
            </m:r>
          </m:e>
          <m:sub>
            <m:r>
              <m:t>B</m:t>
            </m:r>
          </m:sub>
        </m:sSub>
      </m:oMath>
      <w:r>
        <w:t xml:space="preserve">:</w:t>
      </w:r>
    </w:p>
    <w:p>
      <w:pPr>
        <w:pStyle w:val="BlockText"/>
      </w:pPr>
      <w:r>
        <w:t xml:space="preserve">$$</w:t>
      </w:r>
    </w:p>
    <w:p>
      <w:pPr>
        <w:pStyle w:val="BlockText"/>
      </w:pPr>
      <w:r>
        <w:t xml:space="preserve"> </w:t>
      </w:r>
      <w:r>
        <w:t xml:space="preserve">=</w:t>
      </w:r>
      <w:r>
        <w:t xml:space="preserve"> </w:t>
      </w:r>
    </w:p>
    <w:p>
      <w:pPr>
        <w:pStyle w:val="BlockText"/>
      </w:pPr>
      <w:r>
        <w:t xml:space="preserve">$$</w:t>
      </w:r>
    </w:p>
    <w:p>
      <w:pPr>
        <w:pStyle w:val="BlockText"/>
      </w:pPr>
      <w:r>
        <w:rPr>
          <w:b/>
          <w:bCs/>
        </w:rPr>
        <w:t xml:space="preserve">Passo 3 — Restrições de factibilidade</w:t>
      </w:r>
    </w:p>
    <w:p>
      <w:pPr>
        <w:pStyle w:val="BlockText"/>
      </w:pPr>
      <m:oMath>
        <m:sSubSup>
          <m:e>
            <m:r>
              <m:t>x</m:t>
            </m:r>
          </m:e>
          <m:sub>
            <m:r>
              <m:t>1</m:t>
            </m:r>
          </m:sub>
          <m:sup>
            <m:r>
              <m:t>B</m:t>
            </m:r>
          </m:sup>
        </m:sSubSup>
        <m:r>
          <m:rPr>
            <m:sty m:val="p"/>
          </m:rPr>
          <m:t>=</m:t>
        </m:r>
        <m:r>
          <m:t>10</m:t>
        </m:r>
        <m:r>
          <m:rPr>
            <m:sty m:val="p"/>
          </m:rPr>
          <m:t>−</m:t>
        </m:r>
        <m:sSubSup>
          <m:e>
            <m:r>
              <m:t>x</m:t>
            </m:r>
          </m:e>
          <m:sub>
            <m:r>
              <m:t>1</m:t>
            </m:r>
          </m:sub>
          <m:sup>
            <m:r>
              <m:t>A</m:t>
            </m:r>
          </m:sup>
        </m:sSubSup>
      </m:oMath>
      <w:r>
        <w:t xml:space="preserve"> </w:t>
      </w:r>
      <w:r>
        <w:t xml:space="preserve">e</w:t>
      </w:r>
      <w:r>
        <w:t xml:space="preserve"> </w:t>
      </w:r>
      <m:oMath>
        <m:sSubSup>
          <m:e>
            <m:r>
              <m:t>x</m:t>
            </m:r>
          </m:e>
          <m:sub>
            <m:r>
              <m:t>2</m:t>
            </m:r>
          </m:sub>
          <m:sup>
            <m:r>
              <m:t>B</m:t>
            </m:r>
          </m:sup>
        </m:sSubSup>
        <m:r>
          <m:rPr>
            <m:sty m:val="p"/>
          </m:rPr>
          <m:t>=</m:t>
        </m:r>
        <m:r>
          <m:t>10</m:t>
        </m:r>
        <m:r>
          <m:rPr>
            <m:sty m:val="p"/>
          </m:rPr>
          <m:t>−</m:t>
        </m:r>
        <m:sSubSup>
          <m:e>
            <m:r>
              <m:t>x</m:t>
            </m:r>
          </m:e>
          <m:sub>
            <m:r>
              <m:t>2</m:t>
            </m:r>
          </m:sub>
          <m:sup>
            <m:r>
              <m:t>A</m:t>
            </m:r>
          </m:sup>
        </m:sSubSup>
      </m:oMath>
      <w:r>
        <w:t xml:space="preserve">. Substituindo:</w:t>
      </w:r>
    </w:p>
    <w:p>
      <w:pPr>
        <w:pStyle w:val="BlockText"/>
      </w:pPr>
      <w:r>
        <w:t xml:space="preserve">$$</w:t>
      </w:r>
    </w:p>
    <w:p>
      <w:pPr>
        <w:pStyle w:val="BlockText"/>
      </w:pPr>
      <w:r>
        <w:t xml:space="preserve"> </w:t>
      </w:r>
      <w:r>
        <w:t xml:space="preserve">=</w:t>
      </w:r>
      <w:r>
        <w:t xml:space="preserve"> </w:t>
      </w:r>
    </w:p>
    <w:p>
      <w:pPr>
        <w:pStyle w:val="BlockText"/>
      </w:pPr>
      <w:r>
        <w:t xml:space="preserve">$$</w:t>
      </w:r>
    </w:p>
    <w:p>
      <w:pPr>
        <w:pStyle w:val="BlockText"/>
      </w:pPr>
      <w:r>
        <w:rPr>
          <w:b/>
          <w:bCs/>
        </w:rPr>
        <w:t xml:space="preserve">Passo 4 — Resolver</w:t>
      </w:r>
    </w:p>
    <w:p>
      <w:pPr>
        <w:pStyle w:val="BlockText"/>
      </w:pPr>
      <w:r>
        <w:t xml:space="preserve">$$</w:t>
      </w:r>
    </w:p>
    <w:p>
      <w:pPr>
        <w:pStyle w:val="BlockText"/>
      </w:pPr>
      <w:r>
        <w:t xml:space="preserve">x_2^A (10 - x_1^A) = x_1^A (10 - x_2^A)</w:t>
      </w:r>
      <w:r>
        <w:t xml:space="preserve"> </w:t>
      </w:r>
      <w:r>
        <w:t xml:space="preserve"> </w:t>
      </w:r>
      <w:r>
        <w:t xml:space="preserve">x_2^A - x_1^A x_2^A = 10 x_1^A - x_1^A x_2^A</w:t>
      </w:r>
    </w:p>
    <w:p>
      <w:pPr>
        <w:pStyle w:val="BlockText"/>
      </w:pPr>
      <w:r>
        <w:t xml:space="preserve">$$</w:t>
      </w:r>
    </w:p>
    <w:p>
      <w:pPr>
        <w:pStyle w:val="BlockText"/>
      </w:pPr>
      <w:r>
        <w:t xml:space="preserve">$$</w:t>
      </w:r>
    </w:p>
    <w:p>
      <w:pPr>
        <w:pStyle w:val="BlockText"/>
      </w:pPr>
      <w:r>
        <w:t xml:space="preserve">10 x_2^A = 10 x_1^A</w:t>
      </w:r>
      <w:r>
        <w:t xml:space="preserve"> </w:t>
      </w:r>
      <w:r>
        <w:t xml:space="preserve">x_2^A = x_1^A</w:t>
      </w:r>
    </w:p>
    <w:p>
      <w:pPr>
        <w:pStyle w:val="BlockText"/>
      </w:pPr>
      <w:r>
        <w:t xml:space="preserve">$$</w:t>
      </w:r>
    </w:p>
    <w:p>
      <w:pPr>
        <w:pStyle w:val="BlockText"/>
      </w:pPr>
      <w:r>
        <w:rPr>
          <w:b/>
          <w:bCs/>
        </w:rPr>
        <w:t xml:space="preserve">Resultado:</w:t>
      </w:r>
      <w:r>
        <w:t xml:space="preserve"> </w:t>
      </w:r>
      <w:r>
        <w:t xml:space="preserve">A curva de contrato é a diagonal</w:t>
      </w:r>
      <w:r>
        <w:t xml:space="preserve"> </w:t>
      </w:r>
      <m:oMath>
        <m:sSubSup>
          <m:e>
            <m:r>
              <m:t>x</m:t>
            </m:r>
          </m:e>
          <m:sub>
            <m:r>
              <m:t>2</m:t>
            </m:r>
          </m:sub>
          <m:sup>
            <m:r>
              <m:t>A</m:t>
            </m:r>
          </m:sup>
        </m:sSubSup>
        <m:r>
          <m:rPr>
            <m:sty m:val="p"/>
          </m:rPr>
          <m:t>=</m:t>
        </m:r>
        <m:sSubSup>
          <m:e>
            <m:r>
              <m:t>x</m:t>
            </m:r>
          </m:e>
          <m:sub>
            <m:r>
              <m:t>1</m:t>
            </m:r>
          </m:sub>
          <m:sup>
            <m:r>
              <m:t>A</m:t>
            </m:r>
          </m:sup>
        </m:sSubSup>
      </m:oMath>
      <w:r>
        <w:t xml:space="preserve">, para</w:t>
      </w:r>
      <w:r>
        <w:t xml:space="preserve"> </w:t>
      </w:r>
      <m:oMath>
        <m:r>
          <m:t>0</m:t>
        </m:r>
        <m:r>
          <m:rPr>
            <m:sty m:val="p"/>
          </m:rPr>
          <m:t>≤</m:t>
        </m:r>
        <m:sSubSup>
          <m:e>
            <m:r>
              <m:t>x</m:t>
            </m:r>
          </m:e>
          <m:sub>
            <m:r>
              <m:t>1</m:t>
            </m:r>
          </m:sub>
          <m:sup>
            <m:r>
              <m:t>A</m:t>
            </m:r>
          </m:sup>
        </m:sSubSup>
        <m:r>
          <m:rPr>
            <m:sty m:val="p"/>
          </m:rPr>
          <m:t>≤</m:t>
        </m:r>
        <m:r>
          <m:t>10</m:t>
        </m:r>
      </m:oMath>
      <w:r>
        <w:t xml:space="preserve">.</w:t>
      </w:r>
    </w:p>
    <w:p>
      <w:pPr>
        <w:pStyle w:val="BlockText"/>
      </w:pPr>
      <w:r>
        <w:rPr>
          <w:b/>
          <w:bCs/>
        </w:rPr>
        <w:t xml:space="preserve">Interpretação econômica:</w:t>
      </w:r>
      <w:r>
        <w:t xml:space="preserve"> </w:t>
      </w:r>
      <w:r>
        <w:t xml:space="preserve">Quando os dois consumidores têm preferências idênticas (mesma função de utilidade Cobb-Douglas com parâmetros iguais), a curva de contrato é a diagonal da Caixa de Edgeworth. Isso faz sentido intuitivamente: como ambos valorizam os bens na mesma proporção, a eficiência exige que ambos recebam cestas com a mesma razão entre os bens. Ao longo da diagonal, a questão é puramente distributiva —</w:t>
      </w:r>
      <w:r>
        <w:t xml:space="preserve"> </w:t>
      </w:r>
      <w:r>
        <w:rPr>
          <w:i/>
          <w:iCs/>
        </w:rPr>
        <w:t xml:space="preserve">quanto</w:t>
      </w:r>
      <w:r>
        <w:t xml:space="preserve"> </w:t>
      </w:r>
      <w:r>
        <w:t xml:space="preserve">cada um recebe, não</w:t>
      </w:r>
      <w:r>
        <w:t xml:space="preserve"> </w:t>
      </w:r>
      <w:r>
        <w:rPr>
          <w:i/>
          <w:iCs/>
        </w:rPr>
        <w:t xml:space="preserve">como</w:t>
      </w:r>
      <w:r>
        <w:t xml:space="preserve"> </w:t>
      </w:r>
      <w:r>
        <w:t xml:space="preserve">a composição difere. Se os parâmetros das Cobb-Douglas fossem diferentes, a curva se curvaria, refletindo as diferenças nas valorações relativas.</w:t>
      </w:r>
    </w:p>
    <w:p>
      <w:pPr>
        <w:pStyle w:val="BlockText"/>
      </w:pPr>
      <w:r>
        <w:rPr>
          <w:b/>
          <w:bCs/>
        </w:rPr>
        <w:t xml:space="preserve">[EXERCICIO RESOLVIDO] Exercício Resolvido 14.2 — Equilíbrio walrasiano na Caixa de Edgeworth</w:t>
      </w:r>
    </w:p>
    <w:p>
      <w:pPr>
        <w:pStyle w:val="BlockText"/>
      </w:pPr>
      <w:r>
        <w:rPr>
          <w:b/>
          <w:bCs/>
        </w:rPr>
        <w:t xml:space="preserve">Enunciado:</w:t>
      </w:r>
      <w:r>
        <w:t xml:space="preserve"> </w:t>
      </w:r>
      <w:r>
        <w:t xml:space="preserve">Considere uma economia de troca pura com dois consumidores (A e B) e dois bens. As dotações são</w:t>
      </w:r>
      <w:r>
        <w:t xml:space="preserve"> </w:t>
      </w:r>
      <m:oMath>
        <m:sSub>
          <m:e>
            <m:r>
              <m:rPr>
                <m:sty m:val="bi"/>
              </m:rPr>
              <m:t>ω</m:t>
            </m:r>
          </m:e>
          <m:sub>
            <m:r>
              <m:t>A</m:t>
            </m:r>
          </m:sub>
        </m:sSub>
        <m:r>
          <m:rPr>
            <m:sty m:val="p"/>
          </m:rPr>
          <m:t>=</m:t>
        </m:r>
        <m:r>
          <m:rPr>
            <m:sty m:val="p"/>
          </m:rPr>
          <m:t>(</m:t>
        </m:r>
        <m:r>
          <m:t>8</m:t>
        </m:r>
        <m:r>
          <m:rPr>
            <m:sty m:val="p"/>
          </m:rPr>
          <m:t>,</m:t>
        </m:r>
        <m:r>
          <m:t>2</m:t>
        </m:r>
        <m:r>
          <m:rPr>
            <m:sty m:val="p"/>
          </m:rPr>
          <m:t>)</m:t>
        </m:r>
      </m:oMath>
      <w:r>
        <w:t xml:space="preserve"> </w:t>
      </w:r>
      <w:r>
        <w:t xml:space="preserve">e</w:t>
      </w:r>
      <w:r>
        <w:t xml:space="preserve"> </w:t>
      </w:r>
      <m:oMath>
        <m:sSub>
          <m:e>
            <m:r>
              <m:rPr>
                <m:sty m:val="bi"/>
              </m:rPr>
              <m:t>ω</m:t>
            </m:r>
          </m:e>
          <m:sub>
            <m:r>
              <m:t>B</m:t>
            </m:r>
          </m:sub>
        </m:sSub>
        <m:r>
          <m:rPr>
            <m:sty m:val="p"/>
          </m:rPr>
          <m:t>=</m:t>
        </m:r>
        <m:r>
          <m:rPr>
            <m:sty m:val="p"/>
          </m:rPr>
          <m:t>(</m:t>
        </m:r>
        <m:r>
          <m:t>2</m:t>
        </m:r>
        <m:r>
          <m:rPr>
            <m:sty m:val="p"/>
          </m:rPr>
          <m:t>,</m:t>
        </m:r>
        <m:r>
          <m:t>8</m:t>
        </m:r>
        <m:r>
          <m:rPr>
            <m:sty m:val="p"/>
          </m:rPr>
          <m:t>)</m:t>
        </m:r>
      </m:oMath>
      <w:r>
        <w:t xml:space="preserve">. As funções de utilidade são</w:t>
      </w:r>
      <w:r>
        <w:t xml:space="preserve"> </w:t>
      </w:r>
      <m:oMath>
        <m:sSub>
          <m:e>
            <m:r>
              <m:t>U</m:t>
            </m:r>
          </m:e>
          <m:sub>
            <m:r>
              <m:t>A</m:t>
            </m:r>
          </m:sub>
        </m:sSub>
        <m:r>
          <m:rPr>
            <m:sty m:val="p"/>
          </m:rPr>
          <m:t>=</m:t>
        </m:r>
        <m:sSubSup>
          <m:e>
            <m:r>
              <m:t>x</m:t>
            </m:r>
          </m:e>
          <m:sub>
            <m:r>
              <m:t>1</m:t>
            </m:r>
          </m:sub>
          <m:sup>
            <m:r>
              <m:t>A</m:t>
            </m:r>
          </m:sup>
        </m:sSubSup>
        <m:r>
          <m:rPr>
            <m:sty m:val="p"/>
          </m:rPr>
          <m:t>⋅</m:t>
        </m:r>
        <m:sSubSup>
          <m:e>
            <m:r>
              <m:t>x</m:t>
            </m:r>
          </m:e>
          <m:sub>
            <m:r>
              <m:t>2</m:t>
            </m:r>
          </m:sub>
          <m:sup>
            <m:r>
              <m:t>A</m:t>
            </m:r>
          </m:sup>
        </m:sSubSup>
      </m:oMath>
      <w:r>
        <w:t xml:space="preserve"> </w:t>
      </w:r>
      <w:r>
        <w:t xml:space="preserve">e</w:t>
      </w:r>
      <w:r>
        <w:t xml:space="preserve"> </w:t>
      </w:r>
      <m:oMath>
        <m:sSub>
          <m:e>
            <m:r>
              <m:t>U</m:t>
            </m:r>
          </m:e>
          <m:sub>
            <m:r>
              <m:t>B</m:t>
            </m:r>
          </m:sub>
        </m:sSub>
        <m:r>
          <m:rPr>
            <m:sty m:val="p"/>
          </m:rPr>
          <m:t>=</m:t>
        </m:r>
        <m:r>
          <m:rPr>
            <m:sty m:val="p"/>
          </m:rPr>
          <m:t>(</m:t>
        </m:r>
        <m:sSubSup>
          <m:e>
            <m:r>
              <m:t>x</m:t>
            </m:r>
          </m:e>
          <m:sub>
            <m:r>
              <m:t>1</m:t>
            </m:r>
          </m:sub>
          <m:sup>
            <m:r>
              <m:t>B</m:t>
            </m:r>
          </m:sup>
        </m:sSubSup>
        <m:sSup>
          <m:e>
            <m:r>
              <m:rPr>
                <m:sty m:val="p"/>
              </m:rPr>
              <m:t>)</m:t>
            </m:r>
          </m:e>
          <m:sup>
            <m:r>
              <m:t>1</m:t>
            </m:r>
            <m:r>
              <m:rPr>
                <m:sty m:val="p"/>
              </m:rPr>
              <m:t>/</m:t>
            </m:r>
            <m:r>
              <m:t>3</m:t>
            </m:r>
          </m:sup>
        </m:sSup>
        <m:r>
          <m:rPr>
            <m:sty m:val="p"/>
          </m:rPr>
          <m:t>⋅</m:t>
        </m:r>
        <m:r>
          <m:rPr>
            <m:sty m:val="p"/>
          </m:rPr>
          <m:t>(</m:t>
        </m:r>
        <m:sSubSup>
          <m:e>
            <m:r>
              <m:t>x</m:t>
            </m:r>
          </m:e>
          <m:sub>
            <m:r>
              <m:t>2</m:t>
            </m:r>
          </m:sub>
          <m:sup>
            <m:r>
              <m:t>B</m:t>
            </m:r>
          </m:sup>
        </m:sSubSup>
        <m:sSup>
          <m:e>
            <m:r>
              <m:rPr>
                <m:sty m:val="p"/>
              </m:rPr>
              <m:t>)</m:t>
            </m:r>
          </m:e>
          <m:sup>
            <m:r>
              <m:t>2</m:t>
            </m:r>
            <m:r>
              <m:rPr>
                <m:sty m:val="p"/>
              </m:rPr>
              <m:t>/</m:t>
            </m:r>
            <m:r>
              <m:t>3</m:t>
            </m:r>
          </m:sup>
        </m:sSup>
      </m:oMath>
      <w:r>
        <w:t xml:space="preserve">. Encontre o equilíbrio walrasiano e verifique a eficiência de Pareto.</w:t>
      </w:r>
    </w:p>
    <w:p>
      <w:pPr>
        <w:pStyle w:val="BlockText"/>
      </w:pPr>
      <w:r>
        <w:rPr>
          <w:b/>
          <w:bCs/>
        </w:rPr>
        <w:t xml:space="preserve">Dados:</w:t>
      </w:r>
      <w:r>
        <w:t xml:space="preserve"> </w:t>
      </w:r>
      <m:oMath>
        <m:sSub>
          <m:e>
            <m:r>
              <m:rPr>
                <m:sty m:val="bi"/>
              </m:rPr>
              <m:t>ω</m:t>
            </m:r>
          </m:e>
          <m:sub>
            <m:r>
              <m:t>A</m:t>
            </m:r>
          </m:sub>
        </m:sSub>
        <m:r>
          <m:rPr>
            <m:sty m:val="p"/>
          </m:rPr>
          <m:t>=</m:t>
        </m:r>
        <m:r>
          <m:rPr>
            <m:sty m:val="p"/>
          </m:rPr>
          <m:t>(</m:t>
        </m:r>
        <m:r>
          <m:t>8</m:t>
        </m:r>
        <m:r>
          <m:rPr>
            <m:sty m:val="p"/>
          </m:rPr>
          <m:t>,</m:t>
        </m:r>
        <m:r>
          <m:t>2</m:t>
        </m:r>
        <m:r>
          <m:rPr>
            <m:sty m:val="p"/>
          </m:rPr>
          <m:t>)</m:t>
        </m:r>
      </m:oMath>
      <w:r>
        <w:t xml:space="preserve">,</w:t>
      </w:r>
      <w:r>
        <w:t xml:space="preserve"> </w:t>
      </w:r>
      <m:oMath>
        <m:sSub>
          <m:e>
            <m:r>
              <m:rPr>
                <m:sty m:val="bi"/>
              </m:rPr>
              <m:t>ω</m:t>
            </m:r>
          </m:e>
          <m:sub>
            <m:r>
              <m:t>B</m:t>
            </m:r>
          </m:sub>
        </m:sSub>
        <m:r>
          <m:rPr>
            <m:sty m:val="p"/>
          </m:rPr>
          <m:t>=</m:t>
        </m:r>
        <m:r>
          <m:rPr>
            <m:sty m:val="p"/>
          </m:rPr>
          <m:t>(</m:t>
        </m:r>
        <m:r>
          <m:t>2</m:t>
        </m:r>
        <m:r>
          <m:rPr>
            <m:sty m:val="p"/>
          </m:rPr>
          <m:t>,</m:t>
        </m:r>
        <m:r>
          <m:t>8</m:t>
        </m:r>
        <m:r>
          <m:rPr>
            <m:sty m:val="p"/>
          </m:rPr>
          <m:t>)</m:t>
        </m:r>
      </m:oMath>
      <w:r>
        <w:t xml:space="preserve">. Totais:</w:t>
      </w:r>
      <w:r>
        <w:t xml:space="preserve"> </w:t>
      </w:r>
      <m:oMath>
        <m:sSub>
          <m:e>
            <m:acc>
              <m:accPr>
                <m:chr m:val="‾"/>
              </m:accPr>
              <m:e>
                <m:r>
                  <m:t>x</m:t>
                </m:r>
              </m:e>
            </m:acc>
          </m:e>
          <m:sub>
            <m:r>
              <m:t>1</m:t>
            </m:r>
          </m:sub>
        </m:sSub>
        <m:r>
          <m:rPr>
            <m:sty m:val="p"/>
          </m:rPr>
          <m:t>=</m:t>
        </m:r>
        <m:r>
          <m:t>10</m:t>
        </m:r>
      </m:oMath>
      <w:r>
        <w:t xml:space="preserve">,</w:t>
      </w:r>
      <w:r>
        <w:t xml:space="preserve"> </w:t>
      </w:r>
      <m:oMath>
        <m:sSub>
          <m:e>
            <m:acc>
              <m:accPr>
                <m:chr m:val="‾"/>
              </m:accPr>
              <m:e>
                <m:r>
                  <m:t>x</m:t>
                </m:r>
              </m:e>
            </m:acc>
          </m:e>
          <m:sub>
            <m:r>
              <m:t>2</m:t>
            </m:r>
          </m:sub>
        </m:sSub>
        <m:r>
          <m:rPr>
            <m:sty m:val="p"/>
          </m:rPr>
          <m:t>=</m:t>
        </m:r>
        <m:r>
          <m:t>10</m:t>
        </m:r>
      </m:oMath>
      <w:r>
        <w:t xml:space="preserve">.</w:t>
      </w:r>
    </w:p>
    <w:p>
      <w:pPr>
        <w:pStyle w:val="BlockText"/>
      </w:pPr>
      <w:r>
        <w:rPr>
          <w:b/>
          <w:bCs/>
        </w:rPr>
        <w:t xml:space="preserve">Resolução:</w:t>
      </w:r>
    </w:p>
    <w:p>
      <w:pPr>
        <w:pStyle w:val="BlockText"/>
      </w:pPr>
      <w:r>
        <w:rPr>
          <w:b/>
          <w:bCs/>
        </w:rPr>
        <w:t xml:space="preserve">Passo 1 — Demandas marshallianas</w:t>
      </w:r>
    </w:p>
    <w:p>
      <w:pPr>
        <w:pStyle w:val="BlockText"/>
      </w:pPr>
      <w:r>
        <w:t xml:space="preserve">Normalizando</w:t>
      </w:r>
      <w:r>
        <w:t xml:space="preserve"> </w:t>
      </w:r>
      <m:oMath>
        <m:sSub>
          <m:e>
            <m:r>
              <m:t>p</m:t>
            </m:r>
          </m:e>
          <m:sub>
            <m:r>
              <m:t>2</m:t>
            </m:r>
          </m:sub>
        </m:sSub>
        <m:r>
          <m:rPr>
            <m:sty m:val="p"/>
          </m:rPr>
          <m:t>=</m:t>
        </m:r>
        <m:r>
          <m:t>1</m:t>
        </m:r>
      </m:oMath>
      <w:r>
        <w:t xml:space="preserve"> </w:t>
      </w:r>
      <w:r>
        <w:t xml:space="preserve">e denotando</w:t>
      </w:r>
      <w:r>
        <w:t xml:space="preserve"> </w:t>
      </w:r>
      <m:oMath>
        <m:r>
          <m:t>p</m:t>
        </m:r>
        <m:r>
          <m:rPr>
            <m:sty m:val="p"/>
          </m:rPr>
          <m:t>=</m:t>
        </m:r>
        <m:sSub>
          <m:e>
            <m:r>
              <m:t>p</m:t>
            </m:r>
          </m:e>
          <m:sub>
            <m:r>
              <m:t>1</m:t>
            </m:r>
          </m:sub>
        </m:sSub>
      </m:oMath>
      <w:r>
        <w:t xml:space="preserve">:</w:t>
      </w:r>
    </w:p>
    <w:p>
      <w:pPr>
        <w:pStyle w:val="BlockText"/>
      </w:pPr>
      <w:r>
        <w:rPr>
          <w:i/>
          <w:iCs/>
        </w:rPr>
        <w:t xml:space="preserve">Consumidor A</w:t>
      </w:r>
      <w:r>
        <w:t xml:space="preserve"> </w:t>
      </w:r>
      <w:r>
        <w:t xml:space="preserve">(</w:t>
      </w:r>
      <m:oMath>
        <m:sSub>
          <m:e>
            <m:r>
              <m:t>U</m:t>
            </m:r>
          </m:e>
          <m:sub>
            <m:r>
              <m:t>A</m:t>
            </m:r>
          </m:sub>
        </m:sSub>
        <m:r>
          <m:rPr>
            <m:sty m:val="p"/>
          </m:rPr>
          <m:t>=</m:t>
        </m:r>
        <m:sSub>
          <m:e>
            <m:r>
              <m:t>x</m:t>
            </m:r>
          </m:e>
          <m:sub>
            <m:r>
              <m:t>1</m:t>
            </m:r>
          </m:sub>
        </m:sSub>
        <m:sSub>
          <m:e>
            <m:r>
              <m:t>x</m:t>
            </m:r>
          </m:e>
          <m:sub>
            <m:r>
              <m:t>2</m:t>
            </m:r>
          </m:sub>
        </m:sSub>
      </m:oMath>
      <w:r>
        <w:t xml:space="preserve">, Cobb-Douglas com</w:t>
      </w:r>
      <w:r>
        <w:t xml:space="preserve"> </w:t>
      </w:r>
      <m:oMath>
        <m:r>
          <m:t>α</m:t>
        </m:r>
        <m:r>
          <m:rPr>
            <m:sty m:val="p"/>
          </m:rPr>
          <m:t>=</m:t>
        </m:r>
        <m:r>
          <m:t>1</m:t>
        </m:r>
        <m:r>
          <m:rPr>
            <m:sty m:val="p"/>
          </m:rPr>
          <m:t>/</m:t>
        </m:r>
        <m:r>
          <m:t>2</m:t>
        </m:r>
      </m:oMath>
      <w:r>
        <w:t xml:space="preserve">):</w:t>
      </w:r>
    </w:p>
    <w:p>
      <w:pPr>
        <w:pStyle w:val="BlockText"/>
      </w:pPr>
      <w:r>
        <w:t xml:space="preserve">$$</w:t>
      </w:r>
    </w:p>
    <w:p>
      <w:pPr>
        <w:pStyle w:val="BlockText"/>
      </w:pPr>
      <w:r>
        <w:t xml:space="preserve">x_1^A =</w:t>
      </w:r>
      <w:r>
        <w:t xml:space="preserve"> </w:t>
      </w:r>
      <w:r>
        <w:t xml:space="preserve">,</w:t>
      </w:r>
      <w:r>
        <w:t xml:space="preserve"> </w:t>
      </w:r>
      <w:r>
        <w:t xml:space="preserve">x_2^A =</w:t>
      </w:r>
      <w:r>
        <w:t xml:space="preserve"> </w:t>
      </w:r>
      <w:r>
        <w:t xml:space="preserve">,</w:t>
      </w:r>
      <w:r>
        <w:t xml:space="preserve"> </w:t>
      </w:r>
      <w:r>
        <w:t xml:space="preserve">I_A = 8p + 2</w:t>
      </w:r>
    </w:p>
    <w:p>
      <w:pPr>
        <w:pStyle w:val="BlockText"/>
      </w:pPr>
      <w:r>
        <w:t xml:space="preserve">$$</w:t>
      </w:r>
    </w:p>
    <w:p>
      <w:pPr>
        <w:pStyle w:val="BlockText"/>
      </w:pPr>
      <w:r>
        <w:rPr>
          <w:i/>
          <w:iCs/>
        </w:rPr>
        <w:t xml:space="preserve">Consumidor B</w:t>
      </w:r>
      <w:r>
        <w:t xml:space="preserve"> </w:t>
      </w:r>
      <w:r>
        <w:t xml:space="preserve">(</w:t>
      </w:r>
      <m:oMath>
        <m:sSub>
          <m:e>
            <m:r>
              <m:t>U</m:t>
            </m:r>
          </m:e>
          <m:sub>
            <m:r>
              <m:t>B</m:t>
            </m:r>
          </m:sub>
        </m:sSub>
        <m:r>
          <m:rPr>
            <m:sty m:val="p"/>
          </m:rPr>
          <m:t>=</m:t>
        </m:r>
        <m:sSubSup>
          <m:e>
            <m:r>
              <m:t>x</m:t>
            </m:r>
          </m:e>
          <m:sub>
            <m:r>
              <m:t>1</m:t>
            </m:r>
          </m:sub>
          <m:sup>
            <m:r>
              <m:t>1</m:t>
            </m:r>
            <m:r>
              <m:rPr>
                <m:sty m:val="p"/>
              </m:rPr>
              <m:t>/</m:t>
            </m:r>
            <m:r>
              <m:t>3</m:t>
            </m:r>
          </m:sup>
        </m:sSubSup>
        <m:sSubSup>
          <m:e>
            <m:r>
              <m:t>x</m:t>
            </m:r>
          </m:e>
          <m:sub>
            <m:r>
              <m:t>2</m:t>
            </m:r>
          </m:sub>
          <m:sup>
            <m:r>
              <m:t>2</m:t>
            </m:r>
            <m:r>
              <m:rPr>
                <m:sty m:val="p"/>
              </m:rPr>
              <m:t>/</m:t>
            </m:r>
            <m:r>
              <m:t>3</m:t>
            </m:r>
          </m:sup>
        </m:sSubSup>
      </m:oMath>
      <w:r>
        <w:t xml:space="preserve">, Cobb-Douglas com</w:t>
      </w:r>
      <w:r>
        <w:t xml:space="preserve"> </w:t>
      </w:r>
      <m:oMath>
        <m:r>
          <m:t>α</m:t>
        </m:r>
        <m:r>
          <m:rPr>
            <m:sty m:val="p"/>
          </m:rPr>
          <m:t>=</m:t>
        </m:r>
        <m:r>
          <m:t>1</m:t>
        </m:r>
        <m:r>
          <m:rPr>
            <m:sty m:val="p"/>
          </m:rPr>
          <m:t>/</m:t>
        </m:r>
        <m:r>
          <m:t>3</m:t>
        </m:r>
      </m:oMath>
      <w:r>
        <w:t xml:space="preserve">):</w:t>
      </w:r>
    </w:p>
    <w:p>
      <w:pPr>
        <w:pStyle w:val="BlockText"/>
      </w:pPr>
      <w:r>
        <w:t xml:space="preserve">$$</w:t>
      </w:r>
    </w:p>
    <w:p>
      <w:pPr>
        <w:pStyle w:val="BlockText"/>
      </w:pPr>
      <w:r>
        <w:t xml:space="preserve">x_1^B =</w:t>
      </w:r>
      <w:r>
        <w:t xml:space="preserve"> </w:t>
      </w:r>
      <w:r>
        <w:t xml:space="preserve">,</w:t>
      </w:r>
      <w:r>
        <w:t xml:space="preserve"> </w:t>
      </w:r>
      <w:r>
        <w:t xml:space="preserve">x_2^B =</w:t>
      </w:r>
      <w:r>
        <w:t xml:space="preserve"> </w:t>
      </w:r>
      <w:r>
        <w:t xml:space="preserve">,</w:t>
      </w:r>
      <w:r>
        <w:t xml:space="preserve"> </w:t>
      </w:r>
      <w:r>
        <w:t xml:space="preserve">I_B = 2p + 8</w:t>
      </w:r>
    </w:p>
    <w:p>
      <w:pPr>
        <w:pStyle w:val="BlockText"/>
      </w:pPr>
      <w:r>
        <w:t xml:space="preserve">$$</w:t>
      </w:r>
    </w:p>
    <w:p>
      <w:pPr>
        <w:pStyle w:val="BlockText"/>
      </w:pPr>
      <w:r>
        <w:rPr>
          <w:b/>
          <w:bCs/>
        </w:rPr>
        <w:t xml:space="preserve">Passo 2 — Equilíbrio de mercado (bem 1)</w:t>
      </w:r>
    </w:p>
    <w:p>
      <w:pPr>
        <w:pStyle w:val="BlockText"/>
      </w:pPr>
      <w:r>
        <w:t xml:space="preserve">$$</w:t>
      </w:r>
    </w:p>
    <w:p>
      <w:pPr>
        <w:pStyle w:val="BlockText"/>
      </w:pPr>
      <w:r>
        <w:t xml:space="preserve"> </w:t>
      </w:r>
      <w:r>
        <w:t xml:space="preserve">+</w:t>
      </w:r>
      <w:r>
        <w:t xml:space="preserve"> </w:t>
      </w:r>
      <w:r>
        <w:t xml:space="preserve"> </w:t>
      </w:r>
      <w:r>
        <w:t xml:space="preserve">= 10</w:t>
      </w:r>
    </w:p>
    <w:p>
      <w:pPr>
        <w:pStyle w:val="BlockText"/>
      </w:pPr>
      <w:r>
        <w:t xml:space="preserve">$$</w:t>
      </w:r>
    </w:p>
    <w:p>
      <w:pPr>
        <w:pStyle w:val="BlockText"/>
      </w:pPr>
      <w:r>
        <w:t xml:space="preserve">Multiplicando por</w:t>
      </w:r>
      <w:r>
        <w:t xml:space="preserve"> </w:t>
      </w:r>
      <m:oMath>
        <m:r>
          <m:t>6</m:t>
        </m:r>
        <m:r>
          <m:t>p</m:t>
        </m:r>
      </m:oMath>
      <w:r>
        <w:t xml:space="preserve">:</w:t>
      </w:r>
    </w:p>
    <w:p>
      <w:pPr>
        <w:pStyle w:val="BlockText"/>
      </w:pPr>
      <w:r>
        <w:t xml:space="preserve">$$</w:t>
      </w:r>
    </w:p>
    <w:p>
      <w:pPr>
        <w:pStyle w:val="BlockText"/>
      </w:pPr>
      <w:r>
        <w:t xml:space="preserve">3(8p + 2) + 2(2p + 8) = 60p</w:t>
      </w:r>
      <w:r>
        <w:t xml:space="preserve"> </w:t>
      </w:r>
      <w:r>
        <w:t xml:space="preserve">28p + 22 = 60p</w:t>
      </w:r>
      <w:r>
        <w:t xml:space="preserve"> </w:t>
      </w:r>
      <w:r>
        <w:t xml:space="preserve">p^* =</w:t>
      </w:r>
      <w:r>
        <w:t xml:space="preserve"> </w:t>
      </w:r>
      <w:r>
        <w:t xml:space="preserve"> </w:t>
      </w:r>
      <w:r>
        <w:t xml:space="preserve">=</w:t>
      </w:r>
      <w:r>
        <w:t xml:space="preserve"> </w:t>
      </w:r>
    </w:p>
    <w:p>
      <w:pPr>
        <w:pStyle w:val="BlockText"/>
      </w:pPr>
      <w:r>
        <w:t xml:space="preserve">$$</w:t>
      </w:r>
    </w:p>
    <w:p>
      <w:pPr>
        <w:pStyle w:val="BlockText"/>
      </w:pPr>
      <w:r>
        <w:rPr>
          <w:b/>
          <w:bCs/>
        </w:rPr>
        <w:t xml:space="preserve">Passo 3 — Alocações de equilíbrio</w:t>
      </w:r>
    </w:p>
    <w:p>
      <w:pPr>
        <w:pStyle w:val="BlockText"/>
      </w:pPr>
      <w:r>
        <w:t xml:space="preserve">$$</w:t>
      </w:r>
    </w:p>
    <w:p>
      <w:pPr>
        <w:pStyle w:val="BlockText"/>
      </w:pPr>
      <w:r>
        <w:t xml:space="preserve">I_A = 8</w:t>
      </w:r>
      <w:r>
        <w:t xml:space="preserve"> </w:t>
      </w:r>
      <w:r>
        <w:t xml:space="preserve"> </w:t>
      </w:r>
      <w:r>
        <w:t xml:space="preserve">+ 2 =</w:t>
      </w:r>
      <w:r>
        <w:t xml:space="preserve"> </w:t>
      </w:r>
      <w:r>
        <w:t xml:space="preserve"> </w:t>
      </w:r>
      <w:r>
        <w:t xml:space="preserve">=</w:t>
      </w:r>
      <w:r>
        <w:t xml:space="preserve"> </w:t>
      </w:r>
    </w:p>
    <w:p>
      <w:pPr>
        <w:pStyle w:val="BlockText"/>
      </w:pPr>
      <w:r>
        <w:t xml:space="preserve">$$</w:t>
      </w:r>
    </w:p>
    <w:p>
      <w:pPr>
        <w:pStyle w:val="BlockText"/>
      </w:pPr>
      <w:r>
        <w:t xml:space="preserve">$$</w:t>
      </w:r>
    </w:p>
    <w:p>
      <w:pPr>
        <w:pStyle w:val="BlockText"/>
      </w:pPr>
      <w:r>
        <w:t xml:space="preserve">x_1^A =</w:t>
      </w:r>
      <w:r>
        <w:t xml:space="preserve"> </w:t>
      </w:r>
      <w:r>
        <w:t xml:space="preserve"> </w:t>
      </w:r>
      <w:r>
        <w:t xml:space="preserve">=</w:t>
      </w:r>
      <w:r>
        <w:t xml:space="preserve"> </w:t>
      </w:r>
      <w:r>
        <w:t xml:space="preserve"> </w:t>
      </w:r>
      <w:r>
        <w:t xml:space="preserve">=</w:t>
      </w:r>
      <w:r>
        <w:t xml:space="preserve"> </w:t>
      </w:r>
      <w:r>
        <w:t xml:space="preserve"> </w:t>
      </w:r>
      <w:r>
        <w:t xml:space="preserve">45,</w:t>
      </w:r>
      <w:r>
        <w:t xml:space="preserve"> </w:t>
      </w:r>
      <w:r>
        <w:t xml:space="preserve">x_2^A =</w:t>
      </w:r>
      <w:r>
        <w:t xml:space="preserve"> </w:t>
      </w:r>
      <w:r>
        <w:t xml:space="preserve"> </w:t>
      </w:r>
      <w:r>
        <w:t xml:space="preserve">= 3{,}75</w:t>
      </w:r>
    </w:p>
    <w:p>
      <w:pPr>
        <w:pStyle w:val="BlockText"/>
      </w:pPr>
      <w:r>
        <w:t xml:space="preserve">$$</w:t>
      </w:r>
    </w:p>
    <w:p>
      <w:pPr>
        <w:pStyle w:val="BlockText"/>
      </w:pPr>
      <w:r>
        <w:t xml:space="preserve">$$</w:t>
      </w:r>
    </w:p>
    <w:p>
      <w:pPr>
        <w:pStyle w:val="BlockText"/>
      </w:pPr>
      <w:r>
        <w:t xml:space="preserve">I_B = 2</w:t>
      </w:r>
      <w:r>
        <w:t xml:space="preserve"> </w:t>
      </w:r>
      <w:r>
        <w:t xml:space="preserve"> </w:t>
      </w:r>
      <w:r>
        <w:t xml:space="preserve">+ 8 =</w:t>
      </w:r>
      <w:r>
        <w:t xml:space="preserve"> </w:t>
      </w:r>
      <w:r>
        <w:t xml:space="preserve"> </w:t>
      </w:r>
      <w:r>
        <w:t xml:space="preserve">=</w:t>
      </w:r>
      <w:r>
        <w:t xml:space="preserve"> </w:t>
      </w:r>
    </w:p>
    <w:p>
      <w:pPr>
        <w:pStyle w:val="BlockText"/>
      </w:pPr>
      <w:r>
        <w:t xml:space="preserve">$$</w:t>
      </w:r>
    </w:p>
    <w:p>
      <w:pPr>
        <w:pStyle w:val="BlockText"/>
      </w:pPr>
      <w:r>
        <w:t xml:space="preserve">$$</w:t>
      </w:r>
    </w:p>
    <w:p>
      <w:pPr>
        <w:pStyle w:val="BlockText"/>
      </w:pPr>
      <w:r>
        <w:t xml:space="preserve">x_1^B =</w:t>
      </w:r>
      <w:r>
        <w:t xml:space="preserve"> </w:t>
      </w:r>
      <w:r>
        <w:t xml:space="preserve"> </w:t>
      </w:r>
      <w:r>
        <w:t xml:space="preserve">=</w:t>
      </w:r>
      <w:r>
        <w:t xml:space="preserve"> </w:t>
      </w:r>
      <w:r>
        <w:t xml:space="preserve"> </w:t>
      </w:r>
      <w:r>
        <w:t xml:space="preserve">=</w:t>
      </w:r>
      <w:r>
        <w:t xml:space="preserve"> </w:t>
      </w:r>
      <w:r>
        <w:t xml:space="preserve"> </w:t>
      </w:r>
      <w:r>
        <w:t xml:space="preserve">55,</w:t>
      </w:r>
      <w:r>
        <w:t xml:space="preserve"> </w:t>
      </w:r>
      <w:r>
        <w:t xml:space="preserve">x_2^B =</w:t>
      </w:r>
      <w:r>
        <w:t xml:space="preserve"> </w:t>
      </w:r>
      <w:r>
        <w:t xml:space="preserve"> </w:t>
      </w:r>
      <w:r>
        <w:t xml:space="preserve">=</w:t>
      </w:r>
      <w:r>
        <w:t xml:space="preserve"> </w:t>
      </w:r>
      <w:r>
        <w:t xml:space="preserve"> </w:t>
      </w:r>
      <w:r>
        <w:t xml:space="preserve">= 6{,}25</w:t>
      </w:r>
    </w:p>
    <w:p>
      <w:pPr>
        <w:pStyle w:val="BlockText"/>
      </w:pPr>
      <w:r>
        <w:t xml:space="preserve">$$</w:t>
      </w:r>
    </w:p>
    <w:p>
      <w:pPr>
        <w:pStyle w:val="BlockText"/>
      </w:pPr>
      <w:r>
        <w:t xml:space="preserve">Verificação:</w:t>
      </w:r>
      <w:r>
        <w:t xml:space="preserve"> </w:t>
      </w:r>
      <m:oMath>
        <m:r>
          <m:t>60</m:t>
        </m:r>
        <m:r>
          <m:rPr>
            <m:sty m:val="p"/>
          </m:rPr>
          <m:t>/</m:t>
        </m:r>
        <m:r>
          <m:t>11</m:t>
        </m:r>
        <m:r>
          <m:rPr>
            <m:sty m:val="p"/>
          </m:rPr>
          <m:t>+</m:t>
        </m:r>
        <m:r>
          <m:t>50</m:t>
        </m:r>
        <m:r>
          <m:rPr>
            <m:sty m:val="p"/>
          </m:rPr>
          <m:t>/</m:t>
        </m:r>
        <m:r>
          <m:t>11</m:t>
        </m:r>
        <m:r>
          <m:rPr>
            <m:sty m:val="p"/>
          </m:rPr>
          <m:t>=</m:t>
        </m:r>
        <m:r>
          <m:t>110</m:t>
        </m:r>
        <m:r>
          <m:rPr>
            <m:sty m:val="p"/>
          </m:rPr>
          <m:t>/</m:t>
        </m:r>
        <m:r>
          <m:t>11</m:t>
        </m:r>
        <m:r>
          <m:rPr>
            <m:sty m:val="p"/>
          </m:rPr>
          <m:t>=</m:t>
        </m:r>
        <m:r>
          <m:t>10</m:t>
        </m:r>
      </m:oMath>
      <w:r>
        <w:t xml:space="preserve"> </w:t>
      </w:r>
      <w:r>
        <w:t xml:space="preserve">e</w:t>
      </w:r>
      <w:r>
        <w:t xml:space="preserve"> </w:t>
      </w:r>
      <m:oMath>
        <m:r>
          <m:t>15</m:t>
        </m:r>
        <m:r>
          <m:rPr>
            <m:sty m:val="p"/>
          </m:rPr>
          <m:t>/</m:t>
        </m:r>
        <m:r>
          <m:t>4</m:t>
        </m:r>
        <m:r>
          <m:rPr>
            <m:sty m:val="p"/>
          </m:rPr>
          <m:t>+</m:t>
        </m:r>
        <m:r>
          <m:t>25</m:t>
        </m:r>
        <m:r>
          <m:rPr>
            <m:sty m:val="p"/>
          </m:rPr>
          <m:t>/</m:t>
        </m:r>
        <m:r>
          <m:t>4</m:t>
        </m:r>
        <m:r>
          <m:rPr>
            <m:sty m:val="p"/>
          </m:rPr>
          <m:t>=</m:t>
        </m:r>
        <m:r>
          <m:t>40</m:t>
        </m:r>
        <m:r>
          <m:rPr>
            <m:sty m:val="p"/>
          </m:rPr>
          <m:t>/</m:t>
        </m:r>
        <m:r>
          <m:t>4</m:t>
        </m:r>
        <m:r>
          <m:rPr>
            <m:sty m:val="p"/>
          </m:rPr>
          <m:t>=</m:t>
        </m:r>
        <m:r>
          <m:t>10</m:t>
        </m:r>
      </m:oMath>
      <w:r>
        <w:t xml:space="preserve">.</w:t>
      </w:r>
    </w:p>
    <w:p>
      <w:pPr>
        <w:pStyle w:val="BlockText"/>
      </w:pPr>
      <w:r>
        <w:rPr>
          <w:b/>
          <w:bCs/>
        </w:rPr>
        <w:t xml:space="preserve">Passo 4 — Verificação da Lei de Walras</w:t>
      </w:r>
    </w:p>
    <w:p>
      <w:pPr>
        <w:pStyle w:val="BlockText"/>
      </w:pPr>
      <w:r>
        <w:t xml:space="preserve">A preços arbitrários</w:t>
      </w:r>
      <w:r>
        <w:t xml:space="preserve"> </w:t>
      </w:r>
      <m:oMath>
        <m:r>
          <m:t>p</m:t>
        </m:r>
        <m:r>
          <m:rPr>
            <m:sty m:val="p"/>
          </m:rPr>
          <m:t>=</m:t>
        </m:r>
        <m:r>
          <m:t>1</m:t>
        </m:r>
      </m:oMath>
      <w:r>
        <w:t xml:space="preserve">:</w:t>
      </w:r>
      <w:r>
        <w:t xml:space="preserve"> </w:t>
      </w:r>
      <m:oMath>
        <m:sSub>
          <m:e>
            <m:r>
              <m:t>I</m:t>
            </m:r>
          </m:e>
          <m:sub>
            <m:r>
              <m:t>A</m:t>
            </m:r>
          </m:sub>
        </m:sSub>
        <m:r>
          <m:rPr>
            <m:sty m:val="p"/>
          </m:rPr>
          <m:t>=</m:t>
        </m:r>
        <m:r>
          <m:t>10</m:t>
        </m:r>
      </m:oMath>
      <w:r>
        <w:t xml:space="preserve">,</w:t>
      </w:r>
      <w:r>
        <w:t xml:space="preserve"> </w:t>
      </w:r>
      <m:oMath>
        <m:sSub>
          <m:e>
            <m:r>
              <m:t>I</m:t>
            </m:r>
          </m:e>
          <m:sub>
            <m:r>
              <m:t>B</m:t>
            </m:r>
          </m:sub>
        </m:sSub>
        <m:r>
          <m:rPr>
            <m:sty m:val="p"/>
          </m:rPr>
          <m:t>=</m:t>
        </m:r>
        <m:r>
          <m:t>10</m:t>
        </m:r>
      </m:oMath>
      <w:r>
        <w:t xml:space="preserve">.</w:t>
      </w:r>
    </w:p>
    <w:p>
      <w:pPr>
        <w:pStyle w:val="BlockText"/>
      </w:pPr>
      <w:r>
        <w:t xml:space="preserve">$$</w:t>
      </w:r>
    </w:p>
    <w:p>
      <w:pPr>
        <w:pStyle w:val="BlockText"/>
      </w:pPr>
      <w:r>
        <w:t xml:space="preserve">Z^1 =</w:t>
      </w:r>
      <w:r>
        <w:t xml:space="preserve"> </w:t>
      </w:r>
      <w:r>
        <w:t xml:space="preserve"> </w:t>
      </w:r>
      <w:r>
        <w:t xml:space="preserve">+</w:t>
      </w:r>
      <w:r>
        <w:t xml:space="preserve"> </w:t>
      </w:r>
      <w:r>
        <w:t xml:space="preserve"> </w:t>
      </w:r>
      <w:r>
        <w:t xml:space="preserve">- 10 =</w:t>
      </w:r>
      <w:r>
        <w:t xml:space="preserve"> </w:t>
      </w:r>
      <w:r>
        <w:t xml:space="preserve">,</w:t>
      </w:r>
      <w:r>
        <w:t xml:space="preserve"> </w:t>
      </w:r>
      <w:r>
        <w:t xml:space="preserve">Z^2 =</w:t>
      </w:r>
      <w:r>
        <w:t xml:space="preserve"> </w:t>
      </w:r>
      <w:r>
        <w:t xml:space="preserve"> </w:t>
      </w:r>
      <w:r>
        <w:t xml:space="preserve">+</w:t>
      </w:r>
      <w:r>
        <w:t xml:space="preserve"> </w:t>
      </w:r>
      <w:r>
        <w:t xml:space="preserve"> </w:t>
      </w:r>
      <w:r>
        <w:t xml:space="preserve">- 10 =</w:t>
      </w:r>
      <w:r>
        <w:t xml:space="preserve"> </w:t>
      </w:r>
    </w:p>
    <w:p>
      <w:pPr>
        <w:pStyle w:val="BlockText"/>
      </w:pPr>
      <w:r>
        <w:t xml:space="preserve">$$</w:t>
      </w:r>
    </w:p>
    <w:p>
      <w:pPr>
        <w:pStyle w:val="BlockText"/>
      </w:pPr>
      <w:r>
        <w:t xml:space="preserve">$$</w:t>
      </w:r>
    </w:p>
    <w:p>
      <w:pPr>
        <w:pStyle w:val="BlockText"/>
      </w:pPr>
      <w:r>
        <w:t xml:space="preserve">p_1 Z^1 + p_2 Z^2 = 1</w:t>
      </w:r>
      <w:r>
        <w:t xml:space="preserve"> </w:t>
      </w:r>
      <w:r>
        <w:t xml:space="preserve">(-</w:t>
      </w:r>
      <w:r>
        <w:t xml:space="preserve">) + 1</w:t>
      </w:r>
      <w:r>
        <w:t xml:space="preserve"> </w:t>
      </w:r>
      <w:r>
        <w:t xml:space="preserve"> </w:t>
      </w:r>
      <w:r>
        <w:t xml:space="preserve">= 0 ;</w:t>
      </w:r>
    </w:p>
    <w:p>
      <w:pPr>
        <w:pStyle w:val="BlockText"/>
      </w:pPr>
      <w:r>
        <w:t xml:space="preserve">$$</w:t>
      </w:r>
    </w:p>
    <w:p>
      <w:pPr>
        <w:pStyle w:val="BlockText"/>
      </w:pPr>
      <w:r>
        <w:rPr>
          <w:b/>
          <w:bCs/>
        </w:rPr>
        <w:t xml:space="preserve">Passo 5 — Verificação da eficiência de Pareto</w:t>
      </w:r>
    </w:p>
    <w:p>
      <w:pPr>
        <w:pStyle w:val="BlockText"/>
      </w:pPr>
      <w:r>
        <w:t xml:space="preserve">$$</w:t>
      </w:r>
    </w:p>
    <w:p>
      <w:pPr>
        <w:pStyle w:val="BlockText"/>
      </w:pPr>
      <w:r>
        <w:t xml:space="preserve">TMS_A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p^* ;</w:t>
      </w:r>
    </w:p>
    <w:p>
      <w:pPr>
        <w:pStyle w:val="BlockText"/>
      </w:pPr>
      <w:r>
        <w:t xml:space="preserve">$$</w:t>
      </w:r>
    </w:p>
    <w:p>
      <w:pPr>
        <w:pStyle w:val="BlockText"/>
      </w:pPr>
      <w:r>
        <w:t xml:space="preserve">$$</w:t>
      </w:r>
    </w:p>
    <w:p>
      <w:pPr>
        <w:pStyle w:val="BlockText"/>
      </w:pPr>
      <w:r>
        <w:t xml:space="preserve">TMS_B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p^* ;</w:t>
      </w:r>
    </w:p>
    <w:p>
      <w:pPr>
        <w:pStyle w:val="BlockText"/>
      </w:pPr>
      <w:r>
        <w:t xml:space="preserve">$$</w:t>
      </w:r>
    </w:p>
    <w:p>
      <w:pPr>
        <w:pStyle w:val="BlockText"/>
      </w:pPr>
      <w:r>
        <w:rPr>
          <w:b/>
          <w:bCs/>
        </w:rPr>
        <w:t xml:space="preserve">Resultado:</w:t>
      </w:r>
      <w:r>
        <w:t xml:space="preserve"> </w:t>
      </w:r>
      <m:oMath>
        <m:sSup>
          <m:e>
            <m:r>
              <m:t>p</m:t>
            </m:r>
          </m:e>
          <m:sup>
            <m:r>
              <m:rPr>
                <m:sty m:val="p"/>
              </m:rPr>
              <m:t>*</m:t>
            </m:r>
          </m:sup>
        </m:sSup>
        <m:r>
          <m:rPr>
            <m:sty m:val="p"/>
          </m:rPr>
          <m:t>=</m:t>
        </m:r>
        <m:r>
          <m:t>11</m:t>
        </m:r>
        <m:r>
          <m:rPr>
            <m:sty m:val="p"/>
          </m:rPr>
          <m:t>/</m:t>
        </m:r>
        <m:r>
          <m:t>16</m:t>
        </m:r>
      </m:oMath>
      <w:r>
        <w:t xml:space="preserve">,</w:t>
      </w:r>
      <w:r>
        <w:t xml:space="preserve"> </w:t>
      </w:r>
      <m:oMath>
        <m:sSubSup>
          <m:e>
            <m:r>
              <m:rPr>
                <m:sty m:val="bi"/>
              </m:rPr>
              <m:t>x</m:t>
            </m:r>
          </m:e>
          <m:sub>
            <m:r>
              <m:t>A</m:t>
            </m:r>
          </m:sub>
          <m:sup>
            <m:r>
              <m:rPr>
                <m:sty m:val="p"/>
              </m:rPr>
              <m:t>*</m:t>
            </m:r>
          </m:sup>
        </m:sSubSup>
        <m:r>
          <m:rPr>
            <m:sty m:val="p"/>
          </m:rPr>
          <m:t>=</m:t>
        </m:r>
        <m:r>
          <m:rPr>
            <m:sty m:val="p"/>
          </m:rPr>
          <m:t>(</m:t>
        </m:r>
        <m:r>
          <m:t>60</m:t>
        </m:r>
        <m:r>
          <m:rPr>
            <m:sty m:val="p"/>
          </m:rPr>
          <m:t>/</m:t>
        </m:r>
        <m:r>
          <m:t>11</m:t>
        </m:r>
        <m:r>
          <m:rPr>
            <m:sty m:val="p"/>
          </m:rPr>
          <m:t>,</m:t>
        </m:r>
        <m:r>
          <m:t> </m:t>
        </m:r>
        <m:r>
          <m:t>15</m:t>
        </m:r>
        <m:r>
          <m:rPr>
            <m:sty m:val="p"/>
          </m:rPr>
          <m:t>/</m:t>
        </m:r>
        <m:r>
          <m:t>4</m:t>
        </m:r>
        <m:r>
          <m:rPr>
            <m:sty m:val="p"/>
          </m:rPr>
          <m:t>)</m:t>
        </m:r>
      </m:oMath>
      <w:r>
        <w:t xml:space="preserve">,</w:t>
      </w:r>
      <w:r>
        <w:t xml:space="preserve"> </w:t>
      </w:r>
      <m:oMath>
        <m:sSubSup>
          <m:e>
            <m:r>
              <m:rPr>
                <m:sty m:val="bi"/>
              </m:rPr>
              <m:t>x</m:t>
            </m:r>
          </m:e>
          <m:sub>
            <m:r>
              <m:t>B</m:t>
            </m:r>
          </m:sub>
          <m:sup>
            <m:r>
              <m:rPr>
                <m:sty m:val="p"/>
              </m:rPr>
              <m:t>*</m:t>
            </m:r>
          </m:sup>
        </m:sSubSup>
        <m:r>
          <m:rPr>
            <m:sty m:val="p"/>
          </m:rPr>
          <m:t>=</m:t>
        </m:r>
        <m:r>
          <m:rPr>
            <m:sty m:val="p"/>
          </m:rPr>
          <m:t>(</m:t>
        </m:r>
        <m:r>
          <m:t>50</m:t>
        </m:r>
        <m:r>
          <m:rPr>
            <m:sty m:val="p"/>
          </m:rPr>
          <m:t>/</m:t>
        </m:r>
        <m:r>
          <m:t>11</m:t>
        </m:r>
        <m:r>
          <m:rPr>
            <m:sty m:val="p"/>
          </m:rPr>
          <m:t>,</m:t>
        </m:r>
        <m:r>
          <m:t> </m:t>
        </m:r>
        <m:r>
          <m:t>25</m:t>
        </m:r>
        <m:r>
          <m:rPr>
            <m:sty m:val="p"/>
          </m:rPr>
          <m:t>/</m:t>
        </m:r>
        <m:r>
          <m:t>4</m:t>
        </m:r>
        <m:r>
          <m:rPr>
            <m:sty m:val="p"/>
          </m:rPr>
          <m:t>)</m:t>
        </m:r>
      </m:oMath>
      <w:r>
        <w:t xml:space="preserve">. O equilíbrio é Pareto-eficiente:</w:t>
      </w:r>
      <w:r>
        <w:t xml:space="preserve"> </w:t>
      </w:r>
      <m:oMath>
        <m:r>
          <m:t>T</m:t>
        </m:r>
        <m:r>
          <m:t>M</m:t>
        </m:r>
        <m:sSub>
          <m:e>
            <m:r>
              <m:t>S</m:t>
            </m:r>
          </m:e>
          <m:sub>
            <m:r>
              <m:t>A</m:t>
            </m:r>
          </m:sub>
        </m:sSub>
        <m:r>
          <m:rPr>
            <m:sty m:val="p"/>
          </m:rPr>
          <m:t>=</m:t>
        </m:r>
        <m:r>
          <m:t>T</m:t>
        </m:r>
        <m:r>
          <m:t>M</m:t>
        </m:r>
        <m:sSub>
          <m:e>
            <m:r>
              <m:t>S</m:t>
            </m:r>
          </m:e>
          <m:sub>
            <m:r>
              <m:t>B</m:t>
            </m:r>
          </m:sub>
        </m:sSub>
        <m:r>
          <m:rPr>
            <m:sty m:val="p"/>
          </m:rPr>
          <m:t>=</m:t>
        </m:r>
        <m:sSup>
          <m:e>
            <m:r>
              <m:t>p</m:t>
            </m:r>
          </m:e>
          <m:sup>
            <m:r>
              <m:rPr>
                <m:sty m:val="p"/>
              </m:rPr>
              <m:t>*</m:t>
            </m:r>
          </m:sup>
        </m:sSup>
      </m:oMath>
      <w:r>
        <w:t xml:space="preserve">.</w:t>
      </w:r>
    </w:p>
    <w:p>
      <w:pPr>
        <w:pStyle w:val="BlockText"/>
      </w:pPr>
      <w:r>
        <w:rPr>
          <w:b/>
          <w:bCs/>
        </w:rPr>
        <w:t xml:space="preserve">Interpretação econômica:</w:t>
      </w:r>
      <w:r>
        <w:t xml:space="preserve"> </w:t>
      </w:r>
      <w:r>
        <w:t xml:space="preserve">A troca melhora ambos os agentes: A, que tinha mais do bem 1 do que do bem 2, vende parte de sua dotação do bem 1 e compra bem 2. B faz o oposto. O Primeiro Teorema do Bem-Estar garante que o resultado é eficiente — não há recomposição das cestas que beneficie um sem prejudicar o outro. Na analogia com o comércio internacional, A é como o Brasil (abundante em commodities) e B como a UE (abundante em manufaturas): a troca beneficia ambos.</w:t>
      </w:r>
    </w:p>
    <w:p>
      <w:pPr>
        <w:pStyle w:val="FirstParagraph"/>
      </w:pPr>
      <w:r>
        <w:t xml:space="preserve">[FIGURA INTERATIVA: /micro-book/graficos/cap14/webr-equilibrio-walrasiano.html — versao interativa disponivel online]</w:t>
      </w:r>
    </w:p>
    <w:p>
      <w:pPr>
        <w:pStyle w:val="BodyText"/>
      </w:pPr>
      <w:r>
        <w:rPr>
          <w:b/>
          <w:bCs/>
        </w:rPr>
        <w:t xml:space="preserve">WebR 14.1 — Equilíbrio walrasiano: das equações ao gráfico.</w:t>
      </w:r>
      <w:r>
        <w:t xml:space="preserve"> </w:t>
      </w:r>
      <w:r>
        <w:t xml:space="preserve">O código resolve o ER 14.2 completo em R: calcula o preço de equilíbrio, as alocações, verifica</w:t>
      </w:r>
      <w:r>
        <w:t xml:space="preserve"> </w:t>
      </w:r>
      <m:oMath>
        <m:r>
          <m:t>T</m:t>
        </m:r>
        <m:r>
          <m:t>M</m:t>
        </m:r>
        <m:sSub>
          <m:e>
            <m:r>
              <m:t>S</m:t>
            </m:r>
          </m:e>
          <m:sub>
            <m:r>
              <m:t>A</m:t>
            </m:r>
          </m:sub>
        </m:sSub>
        <m:r>
          <m:rPr>
            <m:sty m:val="p"/>
          </m:rPr>
          <m:t>=</m:t>
        </m:r>
        <m:r>
          <m:t>T</m:t>
        </m:r>
        <m:r>
          <m:t>M</m:t>
        </m:r>
        <m:sSub>
          <m:e>
            <m:r>
              <m:t>S</m:t>
            </m:r>
          </m:e>
          <m:sub>
            <m:r>
              <m:t>B</m:t>
            </m:r>
          </m:sub>
        </m:sSub>
        <m:r>
          <m:rPr>
            <m:sty m:val="p"/>
          </m:rPr>
          <m:t>=</m:t>
        </m:r>
        <m:sSup>
          <m:e>
            <m:r>
              <m:t>p</m:t>
            </m:r>
          </m:e>
          <m:sup>
            <m:r>
              <m:rPr>
                <m:sty m:val="p"/>
              </m:rPr>
              <m:t>*</m:t>
            </m:r>
          </m:sup>
        </m:sSup>
      </m:oMath>
      <w:r>
        <w:t xml:space="preserve"> </w:t>
      </w:r>
      <w:r>
        <w:t xml:space="preserve">e testa a Lei de Walras a preços arbitrários. O gráfico mostra a função de excesso de demanda</w:t>
      </w:r>
      <w:r>
        <w:t xml:space="preserve"> </w:t>
      </w:r>
      <m:oMath>
        <m:sSup>
          <m:e>
            <m:r>
              <m:t>Z</m:t>
            </m:r>
          </m:e>
          <m:sup>
            <m:r>
              <m:t>1</m:t>
            </m:r>
          </m:sup>
        </m:sSup>
        <m:r>
          <m:rPr>
            <m:sty m:val="p"/>
          </m:rPr>
          <m:t>(</m:t>
        </m:r>
        <m:r>
          <m:t>p</m:t>
        </m:r>
        <m:r>
          <m:rPr>
            <m:sty m:val="p"/>
          </m:rPr>
          <m:t>)</m:t>
        </m:r>
      </m:oMath>
      <w:r>
        <w:t xml:space="preserve"> </w:t>
      </w:r>
      <w:r>
        <w:t xml:space="preserve">— onde ela cruza zero é o equilíbrio. Altere os parâmetros</w:t>
      </w:r>
      <w:r>
        <w:t xml:space="preserve"> </w:t>
      </w:r>
      <w:r>
        <w:rPr>
          <w:rStyle w:val="VerbatimChar"/>
        </w:rPr>
        <w:t xml:space="preserve">aA</w:t>
      </w:r>
      <w:r>
        <w:t xml:space="preserve"> </w:t>
      </w:r>
      <w:r>
        <w:t xml:space="preserve">e</w:t>
      </w:r>
      <w:r>
        <w:t xml:space="preserve"> </w:t>
      </w:r>
      <w:r>
        <w:rPr>
          <w:rStyle w:val="VerbatimChar"/>
        </w:rPr>
        <w:t xml:space="preserve">aB</w:t>
      </w:r>
      <w:r>
        <w:t xml:space="preserve"> </w:t>
      </w:r>
      <w:r>
        <w:t xml:space="preserve">e observe como o preço de equilíbrio se desloca.</w:t>
      </w:r>
    </w:p>
    <w:p>
      <w:r>
        <w:pict>
          <v:rect style="width:0;height:1.5pt" o:hralign="center" o:hrstd="t" o:hr="t"/>
        </w:pict>
      </w:r>
    </w:p>
    <w:bookmarkEnd w:id="864"/>
    <w:bookmarkEnd w:id="865"/>
    <w:bookmarkStart w:id="869" w:name="X320828c9153b2a9848d6bc45d3544236b22fc48"/>
    <w:p>
      <w:pPr>
        <w:pStyle w:val="Heading3"/>
      </w:pPr>
      <w:r>
        <w:t xml:space="preserve">14.4 Quem Produz o Quê: Fronteira de Possibilidades de Produção</w:t>
      </w:r>
    </w:p>
    <w:p>
      <w:pPr>
        <w:pStyle w:val="FirstParagraph"/>
      </w:pPr>
      <w:r>
        <w:t xml:space="preserve">A análise da Caixa de Edgeworth tratou de uma economia de troca pura — os bens já existem e a única questão é como distribuí-los. Mas em economias reais, os bens precisam ser produzidos, e a alocação de insumos entre setores produtivos é uma decisão tão importante quanto a distribuição de bens entre consumidores. Ao introduzir produção no modelo, surge uma nova dimensão de eficiência e um novo instrumento gráfico fundamental: a</w:t>
      </w:r>
      <w:r>
        <w:t xml:space="preserve"> </w:t>
      </w:r>
      <w:r>
        <w:rPr>
          <w:b/>
          <w:bCs/>
        </w:rPr>
        <w:t xml:space="preserve">fronteira de possibilidades de produção</w:t>
      </w:r>
      <w:r>
        <w:t xml:space="preserve"> </w:t>
      </w:r>
      <w:r>
        <w:t xml:space="preserve">(FPP).</w:t>
      </w:r>
    </w:p>
    <w:bookmarkStart w:id="866" w:name="eficiência-na-produção"/>
    <w:p>
      <w:pPr>
        <w:pStyle w:val="Heading4"/>
      </w:pPr>
      <w:r>
        <w:t xml:space="preserve">Eficiência na produção</w:t>
      </w:r>
    </w:p>
    <w:p>
      <w:pPr>
        <w:pStyle w:val="FirstParagraph"/>
      </w:pPr>
      <w:r>
        <w:t xml:space="preserve">Quando introduzimos produção na análise, precisamos considerar a eficiência na alocação de insumos entre setores. Com dois insumos (trabalho L e capital K) e dois bens, podemos construir uma segunda Caixa de Edgeworth para a produção. O locus de tangências entre as isoquantas dos dois setores forma a</w:t>
      </w:r>
      <w:r>
        <w:t xml:space="preserve"> </w:t>
      </w:r>
      <w:r>
        <w:rPr>
          <w:b/>
          <w:bCs/>
        </w:rPr>
        <w:t xml:space="preserve">curva de contrato na produção</w:t>
      </w:r>
      <w:r>
        <w:t xml:space="preserve">:</w:t>
      </w:r>
    </w:p>
    <w:p>
      <w:pPr>
        <w:pStyle w:val="BodyText"/>
      </w:pPr>
      <m:oMathPara>
        <m:oMathParaPr>
          <m:jc m:val="center"/>
        </m:oMathParaPr>
        <m:oMath>
          <m:r>
            <m:t>T</m:t>
          </m:r>
          <m:r>
            <m:t>M</m:t>
          </m:r>
          <m:r>
            <m:t>S</m:t>
          </m:r>
          <m:sSubSup>
            <m:e>
              <m:r>
                <m:t>T</m:t>
              </m:r>
            </m:e>
            <m:sub>
              <m:r>
                <m:t>1</m:t>
              </m:r>
            </m:sub>
            <m:sup>
              <m:r>
                <m:t>L</m:t>
              </m:r>
              <m:r>
                <m:t>K</m:t>
              </m:r>
            </m:sup>
          </m:sSubSup>
          <m:r>
            <m:rPr>
              <m:sty m:val="p"/>
            </m:rPr>
            <m:t>=</m:t>
          </m:r>
          <m:r>
            <m:t>T</m:t>
          </m:r>
          <m:r>
            <m:t>M</m:t>
          </m:r>
          <m:r>
            <m:t>S</m:t>
          </m:r>
          <m:sSubSup>
            <m:e>
              <m:r>
                <m:t>T</m:t>
              </m:r>
            </m:e>
            <m:sub>
              <m:r>
                <m:t>2</m:t>
              </m:r>
            </m:sub>
            <m:sup>
              <m:r>
                <m:t>L</m:t>
              </m:r>
              <m:r>
                <m:t>K</m:t>
              </m:r>
            </m:sup>
          </m:sSubSup>
        </m:oMath>
      </m:oMathPara>
    </w:p>
    <w:p>
      <w:pPr>
        <w:pStyle w:val="FirstParagraph"/>
      </w:pPr>
      <w:r>
        <w:t xml:space="preserve">Essa condição, descrita pela equação Eq. (eq:14.5), é análoga à condição de eficiência na troca (Eq. (eq:14.3)), mas aplicada ao lado da produção. Quando as TMST são iguais entre os dois setores, não é possível realocar trabalho e capital entre eles de modo a aumentar a produção de um bem sem reduzir a do outro. Se as TMST diferem — digamos, o setor 1 usa relativamente muito trabalho e pouco capital em relação ao setor 2 —, seria possível transferir capital para o setor 1 e trabalho para o setor 2, aumentando a produção de ambos os bens. Essa é a essência da ineficiência na alocação de insumos.</w:t>
      </w:r>
    </w:p>
    <w:bookmarkEnd w:id="866"/>
    <w:bookmarkStart w:id="867" w:name="X493817f0fe7fd1d4493092786a479adf36a68c1"/>
    <w:p>
      <w:pPr>
        <w:pStyle w:val="Heading4"/>
      </w:pPr>
      <w:r>
        <w:t xml:space="preserve">Fronteira de possibilidades de produção (FPP)</w:t>
      </w:r>
    </w:p>
    <w:p>
      <w:pPr>
        <w:pStyle w:val="FirstParagraph"/>
      </w:pPr>
      <w:r>
        <w:t xml:space="preserve">A curva de contrato na produção mapeia-se na</w:t>
      </w:r>
      <w:r>
        <w:t xml:space="preserve"> </w:t>
      </w:r>
      <w:r>
        <w:rPr>
          <w:b/>
          <w:bCs/>
        </w:rPr>
        <w:t xml:space="preserve">fronteira de possibilidades de produção</w:t>
      </w:r>
      <w:r>
        <w:t xml:space="preserve"> </w:t>
      </w:r>
      <w:r>
        <w:t xml:space="preserve">(FPP), que mostra as combinações máximas dos dois bens que a economia pode produzir dados seus recursos.</w:t>
      </w:r>
    </w:p>
    <w:p>
      <w:pPr>
        <w:pStyle w:val="BodyText"/>
      </w:pPr>
      <w:r>
        <w:t xml:space="preserve">A inclinação da FPP é a</w:t>
      </w:r>
      <w:r>
        <w:t xml:space="preserve"> </w:t>
      </w:r>
      <w:r>
        <w:rPr>
          <w:b/>
          <w:bCs/>
        </w:rPr>
        <w:t xml:space="preserve">taxa marginal de transformação</w:t>
      </w:r>
      <w:r>
        <w:t xml:space="preserve"> </w:t>
      </w:r>
      <w:r>
        <w:t xml:space="preserve">(TMT):</w:t>
      </w:r>
    </w:p>
    <w:p>
      <w:pPr>
        <w:pStyle w:val="BodyText"/>
      </w:pPr>
      <m:oMathPara>
        <m:oMathParaPr>
          <m:jc m:val="center"/>
        </m:oMathParaPr>
        <m:oMath>
          <m:r>
            <m:t>T</m:t>
          </m:r>
          <m:r>
            <m:t>M</m:t>
          </m:r>
          <m:r>
            <m:t>T</m:t>
          </m:r>
          <m:r>
            <m:rPr>
              <m:sty m:val="p"/>
            </m:rPr>
            <m:t>=</m:t>
          </m:r>
          <m:r>
            <m:rPr>
              <m:sty m:val="p"/>
            </m:rPr>
            <m:t>−</m:t>
          </m:r>
          <m:f>
            <m:fPr>
              <m:type m:val="bar"/>
            </m:fPr>
            <m:num>
              <m:r>
                <m:t>d</m:t>
              </m:r>
              <m:sSub>
                <m:e>
                  <m:r>
                    <m:t>X</m:t>
                  </m:r>
                </m:e>
                <m:sub>
                  <m:r>
                    <m:t>2</m:t>
                  </m:r>
                </m:sub>
              </m:sSub>
            </m:num>
            <m:den>
              <m:r>
                <m:t>d</m:t>
              </m:r>
              <m:sSub>
                <m:e>
                  <m:r>
                    <m:t>X</m:t>
                  </m:r>
                </m:e>
                <m:sub>
                  <m:r>
                    <m:t>1</m:t>
                  </m:r>
                </m:sub>
              </m:sSub>
            </m:den>
          </m:f>
          <m:r>
            <m:rPr>
              <m:sty m:val="p"/>
            </m:rPr>
            <m:t>=</m:t>
          </m:r>
          <m:f>
            <m:fPr>
              <m:type m:val="bar"/>
            </m:fPr>
            <m:num>
              <m:r>
                <m:t>C</m:t>
              </m:r>
              <m:r>
                <m:t>M</m:t>
              </m:r>
              <m:sSub>
                <m:e>
                  <m:r>
                    <m:t>g</m:t>
                  </m:r>
                </m:e>
                <m:sub>
                  <m:r>
                    <m:t>1</m:t>
                  </m:r>
                </m:sub>
              </m:sSub>
            </m:num>
            <m:den>
              <m:r>
                <m:t>C</m:t>
              </m:r>
              <m:r>
                <m:t>M</m:t>
              </m:r>
              <m:sSub>
                <m:e>
                  <m:r>
                    <m:t>g</m:t>
                  </m:r>
                </m:e>
                <m:sub>
                  <m:r>
                    <m:t>2</m:t>
                  </m:r>
                </m:sub>
              </m:sSub>
            </m:den>
          </m:f>
        </m:oMath>
      </m:oMathPara>
    </w:p>
    <w:p>
      <w:pPr>
        <w:pStyle w:val="FirstParagraph"/>
      </w:pPr>
      <w:r>
        <w:t xml:space="preserve">A TMT mede o custo de oportunidade social de produzir uma unidade adicional do bem 1, expresso em termos do bem 2 que deve ser sacrificado. A forma da FPP depende da tecnologia disponível. Se ambos os setores têm retornos constantes de escala e usam os insumos nas mesmas proporções, a FPP é uma reta — o custo de oportunidade é constante. Mas quando os setores diferem em intensidade fatorial (por exemplo, o setor 1 é trabalho-intensivo e o setor 2 é capital-intensivo), a FPP é côncava em relação à origem — o custo de oportunidade é crescente. Essa concavidade reflete o fato de que, à medida que a economia se especializa em um bem, ela é forçada a realocar insumos cada vez menos adequados para aquele setor, elevando progressivamente o custo marginal. Quanto mais diferentes forem as tecnologias dos dois setores, mais pronunciada será a curvatura da FPP.</w:t>
      </w:r>
    </w:p>
    <w:p>
      <w:pPr>
        <w:pStyle w:val="BodyText"/>
      </w:pPr>
      <w:r>
        <w:t xml:space="preserve">A relação entre a forma da FPP e a</w:t>
      </w:r>
      <w:r>
        <w:t xml:space="preserve"> </w:t>
      </w:r>
      <w:r>
        <w:rPr>
          <w:b/>
          <w:bCs/>
        </w:rPr>
        <w:t xml:space="preserve">vantagem comparativa</w:t>
      </w:r>
      <w:r>
        <w:t xml:space="preserve"> </w:t>
      </w:r>
      <w:r>
        <w:t xml:space="preserve">é direta. Dois países com FPPs diferentes terão custos de oportunidade diferentes, o que cria incentivos para o comércio. O país com menor TMT para o bem 1 tem vantagem comparativa nesse bem e deveria se especializar nele. Essa é a conexão entre a teoria de equilíbrio geral e a teoria do comércio internacional que exploraremos mais adiante.</w:t>
      </w:r>
    </w:p>
    <w:bookmarkEnd w:id="867"/>
    <w:bookmarkStart w:id="868" w:name="eficiência-no-mix-de-produtos"/>
    <w:p>
      <w:pPr>
        <w:pStyle w:val="Heading4"/>
      </w:pPr>
      <w:r>
        <w:t xml:space="preserve">Eficiência no mix de produtos</w:t>
      </w:r>
    </w:p>
    <w:p>
      <w:pPr>
        <w:pStyle w:val="FirstParagraph"/>
      </w:pPr>
      <w:r>
        <w:t xml:space="preserve">A eficiência econômica plena requer que a TMT iguale a TMS comum aos consumidores:</w:t>
      </w:r>
    </w:p>
    <w:p>
      <w:pPr>
        <w:pStyle w:val="BodyText"/>
      </w:pPr>
      <m:oMathPara>
        <m:oMathParaPr>
          <m:jc m:val="center"/>
        </m:oMathParaPr>
        <m:oMath>
          <m:r>
            <m:t>T</m:t>
          </m:r>
          <m:r>
            <m:t>M</m:t>
          </m:r>
          <m:r>
            <m:t>T</m:t>
          </m:r>
          <m:r>
            <m:rPr>
              <m:sty m:val="p"/>
            </m:rPr>
            <m:t>=</m:t>
          </m:r>
          <m:r>
            <m:t>T</m:t>
          </m:r>
          <m:r>
            <m:t>M</m:t>
          </m:r>
          <m:sSubSup>
            <m:e>
              <m:r>
                <m:t>S</m:t>
              </m:r>
            </m:e>
            <m:sub>
              <m:r>
                <m:t>A</m:t>
              </m:r>
            </m:sub>
            <m:sup>
              <m:r>
                <m:t>12</m:t>
              </m:r>
            </m:sup>
          </m:sSubSup>
          <m:r>
            <m:rPr>
              <m:sty m:val="p"/>
            </m:rPr>
            <m:t>=</m:t>
          </m:r>
          <m:r>
            <m:t>T</m:t>
          </m:r>
          <m:r>
            <m:t>M</m:t>
          </m:r>
          <m:sSubSup>
            <m:e>
              <m:r>
                <m:t>S</m:t>
              </m:r>
            </m:e>
            <m:sub>
              <m:r>
                <m:t>B</m:t>
              </m:r>
            </m:sub>
            <m:sup>
              <m:r>
                <m:t>12</m:t>
              </m:r>
            </m:sup>
          </m:sSubSup>
        </m:oMath>
      </m:oMathPara>
    </w:p>
    <w:p>
      <w:pPr>
        <w:pStyle w:val="FirstParagraph"/>
      </w:pPr>
      <w:r>
        <w:t xml:space="preserve">Isso garante que a combinação de bens produzida é exatamente aquela que os consumidores desejam, dados os recursos disponíveis. Se, por exemplo, os consumidores estivessem dispostos a trocar 3 unidades do bem 2 por 1 do bem 1 (TMS = 3), mas a economia só precisasse sacrificar 1 unidade do bem 2 para produzir 1 do bem 1 (TMT = 1), seria eficiente produzir mais do bem 1 — pois o benefício para os consumidores superaria o custo de oportunidade. A igualdade TMT = TMS elimina essas oportunidades de melhoria.</w:t>
      </w:r>
    </w:p>
    <w:p>
      <w:pPr>
        <w:pStyle w:val="BodyText"/>
      </w:pPr>
      <w:r>
        <w:t xml:space="preserve">Visualize a fronteira de possibilidades de produção e a taxa marginal de transformação (TMT). Ajuste a dotação de recursos para expandir ou contrair a FPP, e mova o ponto ao longo da fronteira para observar como o custo de oportunidade (TMT) varia. Pontos interiores são ineficientes; pontos exteriores são infactíveis.</w:t>
      </w:r>
    </w:p>
    <w:p>
      <w:pPr>
        <w:pStyle w:val="BodyText"/>
      </w:pPr>
      <w:r>
        <w:t xml:space="preserve">[FIGURA INTERATIVA: /micro-book/graficos/cap14/fpp.html — versao interativa disponivel online]</w:t>
      </w:r>
    </w:p>
    <w:p>
      <w:pPr>
        <w:pStyle w:val="BodyText"/>
      </w:pPr>
      <w:r>
        <w:rPr>
          <w:b/>
          <w:bCs/>
        </w:rPr>
        <w:t xml:space="preserve">Figura 14.2 — Fronteira de possibilidades de produção (FPP).</w:t>
      </w:r>
      <w:r>
        <w:t xml:space="preserve"> </w:t>
      </w:r>
      <w:r>
        <w:t xml:space="preserve">Ajuste a dotação de recursos e mova o ponto ao longo da fronteira para observar como o custo de oportunidade (TMT) varia.</w:t>
      </w:r>
    </w:p>
    <w:p>
      <w:r>
        <w:pict>
          <v:rect style="width:0;height:1.5pt" o:hralign="center" o:hrstd="t" o:hr="t"/>
        </w:pict>
      </w:r>
    </w:p>
    <w:bookmarkEnd w:id="868"/>
    <w:bookmarkEnd w:id="869"/>
    <w:bookmarkStart w:id="870" w:name="X0336bc687eb161ee9fb0ddb8cf2b7e65bad865f"/>
    <w:p>
      <w:pPr>
        <w:pStyle w:val="Heading3"/>
      </w:pPr>
      <w:r>
        <w:t xml:space="preserve">14.5 Três Peças do Quebra-Cabeça: Condições de Eficiência de Pareto</w:t>
      </w:r>
    </w:p>
    <w:p>
      <w:pPr>
        <w:pStyle w:val="FirstParagraph"/>
      </w:pPr>
      <w:r>
        <w:t xml:space="preserve">Eficiência na troca, eficiência na produção, eficiência no mix de produtos — três peças de um quebra-cabeça que só funciona quando encaixam ao mesmo tempo. As seções anteriores identificaram cada peça separadamente. A eficiência de Pareto plena requer que todas as três sejam satisfeitas simultaneamente. A</w:t>
      </w:r>
      <w:r>
        <w:t xml:space="preserve"> </w:t>
      </w:r>
      <w:hyperlink w:anchor="tabela-14-1">
        <w:r>
          <w:rPr>
            <w:rStyle w:val="Hyperlink"/>
          </w:rPr>
          <w:t xml:space="preserve">Tabela 14.1</w:t>
        </w:r>
      </w:hyperlink>
      <w:r>
        <w:t xml:space="preserve"> </w:t>
      </w:r>
      <w:r>
        <w:t xml:space="preserve">sintetiza as condições marginais correspondentes em uma economia com dois consumidores (A, B), dois bens (1, 2) e dois insumos (L, 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 de eficiência</w:t>
            </w:r>
          </w:p>
        </w:tc>
        <w:tc>
          <w:tcPr/>
          <w:p>
            <w:pPr>
              <w:pStyle w:val="Compact"/>
            </w:pPr>
            <w:r>
              <w:t xml:space="preserve">Condição marginal</w:t>
            </w:r>
          </w:p>
        </w:tc>
        <w:tc>
          <w:tcPr/>
          <w:p>
            <w:pPr>
              <w:pStyle w:val="Compact"/>
            </w:pPr>
            <w:r>
              <w:t xml:space="preserve">Interpretação</w:t>
            </w:r>
          </w:p>
        </w:tc>
      </w:tr>
      <w:tr>
        <w:tc>
          <w:tcPr/>
          <w:p>
            <w:pPr>
              <w:pStyle w:val="Compact"/>
            </w:pPr>
            <w:r>
              <w:rPr>
                <w:b/>
                <w:bCs/>
              </w:rPr>
              <w:t xml:space="preserve">Eficiência na troca</w:t>
            </w:r>
          </w:p>
        </w:tc>
        <w:tc>
          <w:tcPr/>
          <w:p>
            <w:pPr>
              <w:pStyle w:val="Compact"/>
            </w:pPr>
            <m:oMath>
              <m:r>
                <m:t>T</m:t>
              </m:r>
              <m:r>
                <m:t>M</m:t>
              </m:r>
              <m:sSubSup>
                <m:e>
                  <m:r>
                    <m:t>S</m:t>
                  </m:r>
                </m:e>
                <m:sub>
                  <m:r>
                    <m:t>A</m:t>
                  </m:r>
                </m:sub>
                <m:sup>
                  <m:r>
                    <m:t>12</m:t>
                  </m:r>
                </m:sup>
              </m:sSubSup>
              <m:r>
                <m:rPr>
                  <m:sty m:val="p"/>
                </m:rPr>
                <m:t>=</m:t>
              </m:r>
              <m:r>
                <m:t>T</m:t>
              </m:r>
              <m:r>
                <m:t>M</m:t>
              </m:r>
              <m:sSubSup>
                <m:e>
                  <m:r>
                    <m:t>S</m:t>
                  </m:r>
                </m:e>
                <m:sub>
                  <m:r>
                    <m:t>B</m:t>
                  </m:r>
                </m:sub>
                <m:sup>
                  <m:r>
                    <m:t>12</m:t>
                  </m:r>
                </m:sup>
              </m:sSubSup>
            </m:oMath>
          </w:p>
        </w:tc>
        <w:tc>
          <w:tcPr/>
          <w:p>
            <w:pPr>
              <w:pStyle w:val="Compact"/>
            </w:pPr>
            <w:r>
              <w:t xml:space="preserve">Os consumidores valorizam os bens na mesma proporção marginal; não há trocas mutuamente benéficas.</w:t>
            </w:r>
          </w:p>
        </w:tc>
      </w:tr>
      <w:tr>
        <w:tc>
          <w:tcPr/>
          <w:p>
            <w:pPr>
              <w:pStyle w:val="Compact"/>
            </w:pPr>
            <w:r>
              <w:rPr>
                <w:b/>
                <w:bCs/>
              </w:rPr>
              <w:t xml:space="preserve">Eficiência na produção</w:t>
            </w:r>
          </w:p>
        </w:tc>
        <w:tc>
          <w:tcPr/>
          <w:p>
            <w:pPr>
              <w:pStyle w:val="Compact"/>
            </w:pPr>
            <m:oMath>
              <m:r>
                <m:t>T</m:t>
              </m:r>
              <m:r>
                <m:t>M</m:t>
              </m:r>
              <m:r>
                <m:t>S</m:t>
              </m:r>
              <m:sSubSup>
                <m:e>
                  <m:r>
                    <m:t>T</m:t>
                  </m:r>
                </m:e>
                <m:sub>
                  <m:r>
                    <m:t>1</m:t>
                  </m:r>
                </m:sub>
                <m:sup>
                  <m:r>
                    <m:t>L</m:t>
                  </m:r>
                  <m:r>
                    <m:t>K</m:t>
                  </m:r>
                </m:sup>
              </m:sSubSup>
              <m:r>
                <m:rPr>
                  <m:sty m:val="p"/>
                </m:rPr>
                <m:t>=</m:t>
              </m:r>
              <m:r>
                <m:t>T</m:t>
              </m:r>
              <m:r>
                <m:t>M</m:t>
              </m:r>
              <m:r>
                <m:t>S</m:t>
              </m:r>
              <m:sSubSup>
                <m:e>
                  <m:r>
                    <m:t>T</m:t>
                  </m:r>
                </m:e>
                <m:sub>
                  <m:r>
                    <m:t>2</m:t>
                  </m:r>
                </m:sub>
                <m:sup>
                  <m:r>
                    <m:t>L</m:t>
                  </m:r>
                  <m:r>
                    <m:t>K</m:t>
                  </m:r>
                </m:sup>
              </m:sSubSup>
            </m:oMath>
          </w:p>
        </w:tc>
        <w:tc>
          <w:tcPr/>
          <w:p>
            <w:pPr>
              <w:pStyle w:val="Compact"/>
            </w:pPr>
            <w:r>
              <w:t xml:space="preserve">Os insumos são alocados entre setores de modo que é impossível aumentar a produção de um bem sem reduzir a do outro.</w:t>
            </w:r>
          </w:p>
        </w:tc>
      </w:tr>
      <w:tr>
        <w:tc>
          <w:tcPr/>
          <w:p>
            <w:pPr>
              <w:pStyle w:val="Compact"/>
            </w:pPr>
            <w:r>
              <w:rPr>
                <w:b/>
                <w:bCs/>
              </w:rPr>
              <w:t xml:space="preserve">Eficiência no mix de produtos</w:t>
            </w:r>
          </w:p>
        </w:tc>
        <w:tc>
          <w:tcPr/>
          <w:p>
            <w:pPr>
              <w:pStyle w:val="Compact"/>
            </w:pPr>
            <m:oMath>
              <m:r>
                <m:t>T</m:t>
              </m:r>
              <m:r>
                <m:t>M</m:t>
              </m:r>
              <m:sSup>
                <m:e>
                  <m:r>
                    <m:t>T</m:t>
                  </m:r>
                </m:e>
                <m:sup>
                  <m:r>
                    <m:t>12</m:t>
                  </m:r>
                </m:sup>
              </m:sSup>
              <m:r>
                <m:rPr>
                  <m:sty m:val="p"/>
                </m:rPr>
                <m:t>=</m:t>
              </m:r>
              <m:r>
                <m:t>T</m:t>
              </m:r>
              <m:r>
                <m:t>M</m:t>
              </m:r>
              <m:sSubSup>
                <m:e>
                  <m:r>
                    <m:t>S</m:t>
                  </m:r>
                </m:e>
                <m:sub>
                  <m:r>
                    <m:t>A</m:t>
                  </m:r>
                </m:sub>
                <m:sup>
                  <m:r>
                    <m:t>12</m:t>
                  </m:r>
                </m:sup>
              </m:sSubSup>
              <m:r>
                <m:rPr>
                  <m:sty m:val="p"/>
                </m:rPr>
                <m:t>=</m:t>
              </m:r>
              <m:r>
                <m:t>T</m:t>
              </m:r>
              <m:r>
                <m:t>M</m:t>
              </m:r>
              <m:sSubSup>
                <m:e>
                  <m:r>
                    <m:t>S</m:t>
                  </m:r>
                </m:e>
                <m:sub>
                  <m:r>
                    <m:t>B</m:t>
                  </m:r>
                </m:sub>
                <m:sup>
                  <m:r>
                    <m:t>12</m:t>
                  </m:r>
                </m:sup>
              </m:sSubSup>
            </m:oMath>
          </w:p>
        </w:tc>
        <w:tc>
          <w:tcPr/>
          <w:p>
            <w:pPr>
              <w:pStyle w:val="Compact"/>
            </w:pPr>
            <w:r>
              <w:t xml:space="preserve">A combinação de bens produzida corresponde às preferências dos consumidores; o custo de oportunidade social iguala a valoração marginal.</w:t>
            </w:r>
          </w:p>
        </w:tc>
      </w:tr>
    </w:tbl>
    <w:p>
      <w:pPr>
        <w:pStyle w:val="BodyText"/>
      </w:pPr>
      <w:r>
        <w:rPr>
          <w:b/>
          <w:bCs/>
        </w:rPr>
        <w:t xml:space="preserve">Tabela 14.1 — Condições de eficiência de Pareto.</w:t>
      </w:r>
    </w:p>
    <w:p>
      <w:pPr>
        <w:pStyle w:val="BodyText"/>
      </w:pPr>
      <w:r>
        <w:t xml:space="preserve">Cada uma dessas três condições tem uma interpretação intuitiva clara. A eficiência na troca diz que os consumidores exauriram todos os ganhos de comércio entre si — como dois colegas que já trocaram tudo o que fazia sentido trocar. A eficiência na produção diz que os insumos estão no lugar certo — não há como reorganizar o chão de fábrica para produzir mais de um bem sem produzir menos de outro. A eficiência no mix de produtos conecta as duas: garante que o que a economia produz é o que as pessoas querem consumir. É essa última condição que exige a comunicação entre consumidores e produtores — e é o sistema de preços que realiza essa comunicação.</w:t>
      </w:r>
    </w:p>
    <w:p>
      <w:pPr>
        <w:pStyle w:val="BodyText"/>
      </w:pPr>
      <w:r>
        <w:t xml:space="preserve">Para ilustrar a violação de cada condição, considere três exemplos. Primeiro, se dois consumidores têm TMS diferentes (digamos, A estaria disposto a trocar 2 unidades de café por 1 de açúcar, enquanto B trocaria 1 de café por 1 de açúcar), uma troca entre eles — A cede 1,5 cafés a B em troca de 1 açúcar — deixaria ambos melhores. Segundo, se uma fábrica de sapatos usa muitas máquinas e pouco trabalho enquanto uma fábrica de roupas usa muito trabalho e poucas máquinas, e suas TMST diferem, transferir algum capital da fábrica de sapatos para a de roupas e trabalho na direção oposta aumentaria a produção total. Terceiro, se os consumidores valorizam uma camiseta adicional em 3 quilos de arroz (TMS = 3) mas o custo de oportunidade de produzir uma camiseta é apenas 1 quilo de arroz (TMT = 1), a economia deveria produzir mais camisetas — o benefício excede o custo.</w:t>
      </w:r>
    </w:p>
    <w:p>
      <w:pPr>
        <w:pStyle w:val="BlockText"/>
      </w:pPr>
      <w:r>
        <w:rPr>
          <w:b/>
          <w:bCs/>
        </w:rPr>
        <w:t xml:space="preserve">[NOTA] Concorrência perfeita e eficiência</w:t>
      </w:r>
    </w:p>
    <w:p>
      <w:pPr>
        <w:pStyle w:val="BlockText"/>
      </w:pPr>
      <w:r>
        <w:t xml:space="preserve">Em concorrência perfeita, o sistema de preços descentraliza automaticamente todas essas condições. Os consumidores igualam suas TMS à razão de preços (</w:t>
      </w:r>
      <m:oMath>
        <m:r>
          <m:t>T</m:t>
        </m:r>
        <m:r>
          <m:t>M</m:t>
        </m:r>
        <m:r>
          <m:t>S</m:t>
        </m:r>
        <m:r>
          <m:rPr>
            <m:sty m:val="p"/>
          </m:rPr>
          <m:t>=</m:t>
        </m:r>
        <m:sSub>
          <m:e>
            <m:r>
              <m:t>p</m:t>
            </m:r>
          </m:e>
          <m:sub>
            <m:r>
              <m:t>1</m:t>
            </m:r>
          </m:sub>
        </m:sSub>
        <m:r>
          <m:rPr>
            <m:sty m:val="p"/>
          </m:rPr>
          <m:t>/</m:t>
        </m:r>
        <m:sSub>
          <m:e>
            <m:r>
              <m:t>p</m:t>
            </m:r>
          </m:e>
          <m:sub>
            <m:r>
              <m:t>2</m:t>
            </m:r>
          </m:sub>
        </m:sSub>
      </m:oMath>
      <w:r>
        <w:t xml:space="preserve">); as firmas igualam suas TMST à razão de preços dos insumos (</w:t>
      </w:r>
      <m:oMath>
        <m:r>
          <m:t>T</m:t>
        </m:r>
        <m:r>
          <m:t>M</m:t>
        </m:r>
        <m:r>
          <m:t>S</m:t>
        </m:r>
        <m:r>
          <m:t>T</m:t>
        </m:r>
        <m:r>
          <m:rPr>
            <m:sty m:val="p"/>
          </m:rPr>
          <m:t>=</m:t>
        </m:r>
        <m:r>
          <m:t>w</m:t>
        </m:r>
        <m:r>
          <m:rPr>
            <m:sty m:val="p"/>
          </m:rPr>
          <m:t>/</m:t>
        </m:r>
        <m:r>
          <m:t>r</m:t>
        </m:r>
      </m:oMath>
      <w:r>
        <w:t xml:space="preserve">); e a maximização de lucro garante que</w:t>
      </w:r>
      <w:r>
        <w:t xml:space="preserve"> </w:t>
      </w:r>
      <m:oMath>
        <m:r>
          <m:t>C</m:t>
        </m:r>
        <m:r>
          <m:t>M</m:t>
        </m:r>
        <m:sSub>
          <m:e>
            <m:r>
              <m:t>g</m:t>
            </m:r>
          </m:e>
          <m:sub>
            <m:r>
              <m:t>1</m:t>
            </m:r>
          </m:sub>
        </m:sSub>
        <m:r>
          <m:rPr>
            <m:sty m:val="p"/>
          </m:rPr>
          <m:t>/</m:t>
        </m:r>
        <m:r>
          <m:t>C</m:t>
        </m:r>
        <m:r>
          <m:t>M</m:t>
        </m:r>
        <m:sSub>
          <m:e>
            <m:r>
              <m:t>g</m:t>
            </m:r>
          </m:e>
          <m:sub>
            <m:r>
              <m:t>2</m:t>
            </m:r>
          </m:sub>
        </m:sSub>
        <m:r>
          <m:rPr>
            <m:sty m:val="p"/>
          </m:rPr>
          <m:t>=</m:t>
        </m:r>
        <m:sSub>
          <m:e>
            <m:r>
              <m:t>p</m:t>
            </m:r>
          </m:e>
          <m:sub>
            <m:r>
              <m:t>1</m:t>
            </m:r>
          </m:sub>
        </m:sSub>
        <m:r>
          <m:rPr>
            <m:sty m:val="p"/>
          </m:rPr>
          <m:t>/</m:t>
        </m:r>
        <m:sSub>
          <m:e>
            <m:r>
              <m:t>p</m:t>
            </m:r>
          </m:e>
          <m:sub>
            <m:r>
              <m:t>2</m:t>
            </m:r>
          </m:sub>
        </m:sSub>
      </m:oMath>
      <w:r>
        <w:t xml:space="preserve">. Portanto,</w:t>
      </w:r>
      <w:r>
        <w:t xml:space="preserve"> </w:t>
      </w:r>
      <m:oMath>
        <m:r>
          <m:t>T</m:t>
        </m:r>
        <m:r>
          <m:t>M</m:t>
        </m:r>
        <m:r>
          <m:t>S</m:t>
        </m:r>
        <m:r>
          <m:rPr>
            <m:sty m:val="p"/>
          </m:rPr>
          <m:t>=</m:t>
        </m:r>
        <m:r>
          <m:t>T</m:t>
        </m:r>
        <m:r>
          <m:t>M</m:t>
        </m:r>
        <m:r>
          <m:t>T</m:t>
        </m:r>
      </m:oMath>
      <w:r>
        <w:t xml:space="preserve">.</w:t>
      </w:r>
    </w:p>
    <w:p>
      <w:pPr>
        <w:pStyle w:val="FirstParagraph"/>
      </w:pPr>
      <w:r>
        <w:t xml:space="preserve">A transição das condições de eficiência para os teoremas do bem-estar é natural: uma vez que sabemos</w:t>
      </w:r>
      <w:r>
        <w:t xml:space="preserve"> </w:t>
      </w:r>
      <w:r>
        <w:rPr>
          <w:i/>
          <w:iCs/>
        </w:rPr>
        <w:t xml:space="preserve">quais</w:t>
      </w:r>
      <w:r>
        <w:t xml:space="preserve"> </w:t>
      </w:r>
      <w:r>
        <w:t xml:space="preserve">são as condições necessárias para a eficiência de Pareto, a próxima pergunta é se o mercado competitivo as satisfaz automaticamente. A resposta é afirmativa — e espetacularmente geral — como veremos nos dois teoremas fundamentais a seguir.</w:t>
      </w:r>
    </w:p>
    <w:p>
      <w:pPr>
        <w:pStyle w:val="BlockText"/>
      </w:pPr>
      <w:r>
        <w:rPr>
          <w:b/>
          <w:bCs/>
        </w:rPr>
        <w:t xml:space="preserve">[EXERCICIO RESOLVIDO] Exercício Resolvido 14.3 — Eficiência de Pareto em equilíbrio competitivo (modelo 2x2x2)</w:t>
      </w:r>
    </w:p>
    <w:p>
      <w:pPr>
        <w:pStyle w:val="BlockText"/>
      </w:pPr>
      <w:r>
        <w:rPr>
          <w:b/>
          <w:bCs/>
        </w:rPr>
        <w:t xml:space="preserve">Enunciado:</w:t>
      </w:r>
      <w:r>
        <w:t xml:space="preserve"> </w:t>
      </w:r>
      <w:r>
        <w:t xml:space="preserve">Considere uma economia com dois consumidores (A e B), dois bens (1 e 2) e dois insumos (trabalho L e capital K). Em equilíbrio competitivo, os preços são</w:t>
      </w:r>
      <w:r>
        <w:t xml:space="preserve"> </w:t>
      </w:r>
      <m:oMath>
        <m:sSub>
          <m:e>
            <m:r>
              <m:t>p</m:t>
            </m:r>
          </m:e>
          <m:sub>
            <m:r>
              <m:t>1</m:t>
            </m:r>
          </m:sub>
        </m:sSub>
        <m:r>
          <m:rPr>
            <m:sty m:val="p"/>
          </m:rPr>
          <m:t>,</m:t>
        </m:r>
        <m:sSub>
          <m:e>
            <m:r>
              <m:t>p</m:t>
            </m:r>
          </m:e>
          <m:sub>
            <m:r>
              <m:t>2</m:t>
            </m:r>
          </m:sub>
        </m:sSub>
      </m:oMath>
      <w:r>
        <w:t xml:space="preserve"> </w:t>
      </w:r>
      <w:r>
        <w:t xml:space="preserve">(bens) e</w:t>
      </w:r>
      <w:r>
        <w:t xml:space="preserve"> </w:t>
      </w:r>
      <m:oMath>
        <m:r>
          <m:t>w</m:t>
        </m:r>
        <m:r>
          <m:rPr>
            <m:sty m:val="p"/>
          </m:rPr>
          <m:t>,</m:t>
        </m:r>
        <m:r>
          <m:t>r</m:t>
        </m:r>
      </m:oMath>
      <w:r>
        <w:t xml:space="preserve"> </w:t>
      </w:r>
      <w:r>
        <w:t xml:space="preserve">(insumos). Mostre que as três condições de eficiência de Pareto — eficiência na troca, na produção e no mix de produtos — são simultaneamente satisfeitas.</w:t>
      </w:r>
    </w:p>
    <w:p>
      <w:pPr>
        <w:pStyle w:val="BlockText"/>
      </w:pPr>
      <w:r>
        <w:rPr>
          <w:b/>
          <w:bCs/>
        </w:rPr>
        <w:t xml:space="preserve">Resolução:</w:t>
      </w:r>
    </w:p>
    <w:p>
      <w:pPr>
        <w:pStyle w:val="BlockText"/>
      </w:pPr>
      <w:r>
        <w:rPr>
          <w:b/>
          <w:bCs/>
        </w:rPr>
        <w:t xml:space="preserve">Passo 1 — Eficiência na troca</w:t>
      </w:r>
    </w:p>
    <w:p>
      <w:pPr>
        <w:pStyle w:val="BlockText"/>
      </w:pPr>
      <w:r>
        <w:t xml:space="preserve">Cada consumidor maximiza utilidade sujeito à sua restrição orçamentária. A condição de primeira ordem iguala a TMS à razão de preços dos bens:</w:t>
      </w:r>
    </w:p>
    <w:p>
      <w:pPr>
        <w:pStyle w:val="BlockText"/>
      </w:pPr>
      <w:r>
        <w:t xml:space="preserve">$$</w:t>
      </w:r>
    </w:p>
    <w:p>
      <w:pPr>
        <w:pStyle w:val="BlockText"/>
      </w:pPr>
      <w:r>
        <w:t xml:space="preserve">TMS_A^{12} =</w:t>
      </w:r>
      <w:r>
        <w:t xml:space="preserve"> </w:t>
      </w:r>
      <w:r>
        <w:t xml:space="preserve"> </w:t>
      </w:r>
      <w:r>
        <w:t xml:space="preserve">= TMS_B^{12}</w:t>
      </w:r>
    </w:p>
    <w:p>
      <w:pPr>
        <w:pStyle w:val="BlockText"/>
      </w:pPr>
      <w:r>
        <w:t xml:space="preserve">$$</w:t>
      </w:r>
    </w:p>
    <w:p>
      <w:pPr>
        <w:pStyle w:val="BlockText"/>
      </w:pPr>
      <w:r>
        <w:t xml:space="preserve">Como ambos enfrentam os mesmos preços,</w:t>
      </w:r>
      <w:r>
        <w:t xml:space="preserve"> </w:t>
      </w:r>
      <m:oMath>
        <m:r>
          <m:t>T</m:t>
        </m:r>
        <m:r>
          <m:t>M</m:t>
        </m:r>
        <m:sSubSup>
          <m:e>
            <m:r>
              <m:t>S</m:t>
            </m:r>
          </m:e>
          <m:sub>
            <m:r>
              <m:t>A</m:t>
            </m:r>
          </m:sub>
          <m:sup>
            <m:r>
              <m:t>12</m:t>
            </m:r>
          </m:sup>
        </m:sSubSup>
        <m:r>
          <m:rPr>
            <m:sty m:val="p"/>
          </m:rPr>
          <m:t>=</m:t>
        </m:r>
        <m:r>
          <m:t>T</m:t>
        </m:r>
        <m:r>
          <m:t>M</m:t>
        </m:r>
        <m:sSubSup>
          <m:e>
            <m:r>
              <m:t>S</m:t>
            </m:r>
          </m:e>
          <m:sub>
            <m:r>
              <m:t>B</m:t>
            </m:r>
          </m:sub>
          <m:sup>
            <m:r>
              <m:t>12</m:t>
            </m:r>
          </m:sup>
        </m:sSubSup>
      </m:oMath>
      <w:r>
        <w:t xml:space="preserve">.</w:t>
      </w:r>
    </w:p>
    <w:p>
      <w:pPr>
        <w:pStyle w:val="BlockText"/>
      </w:pPr>
      <w:r>
        <w:rPr>
          <w:b/>
          <w:bCs/>
        </w:rPr>
        <w:t xml:space="preserve">Passo 2 — Eficiência na produção</w:t>
      </w:r>
    </w:p>
    <w:p>
      <w:pPr>
        <w:pStyle w:val="BlockText"/>
      </w:pPr>
      <w:r>
        <w:t xml:space="preserve">Cada firma minimiza custo para um dado nível de produção. A condição de primeira ordem iguala a TMST à razão de preços dos insumos:</w:t>
      </w:r>
    </w:p>
    <w:p>
      <w:pPr>
        <w:pStyle w:val="BlockText"/>
      </w:pPr>
      <w:r>
        <w:t xml:space="preserve">$$</w:t>
      </w:r>
    </w:p>
    <w:p>
      <w:pPr>
        <w:pStyle w:val="BlockText"/>
      </w:pPr>
      <w:r>
        <w:t xml:space="preserve">TMST_1^{LK} =</w:t>
      </w:r>
      <w:r>
        <w:t xml:space="preserve"> </w:t>
      </w:r>
      <w:r>
        <w:t xml:space="preserve"> </w:t>
      </w:r>
      <w:r>
        <w:t xml:space="preserve">= TMST_2^{LK}</w:t>
      </w:r>
    </w:p>
    <w:p>
      <w:pPr>
        <w:pStyle w:val="BlockText"/>
      </w:pPr>
      <w:r>
        <w:t xml:space="preserve">$$</w:t>
      </w:r>
    </w:p>
    <w:p>
      <w:pPr>
        <w:pStyle w:val="BlockText"/>
      </w:pPr>
      <w:r>
        <w:t xml:space="preserve">Como ambas as firmas enfrentam os mesmos preços de insumos,</w:t>
      </w:r>
      <w:r>
        <w:t xml:space="preserve"> </w:t>
      </w:r>
      <m:oMath>
        <m:r>
          <m:t>T</m:t>
        </m:r>
        <m:r>
          <m:t>M</m:t>
        </m:r>
        <m:r>
          <m:t>S</m:t>
        </m:r>
        <m:sSubSup>
          <m:e>
            <m:r>
              <m:t>T</m:t>
            </m:r>
          </m:e>
          <m:sub>
            <m:r>
              <m:t>1</m:t>
            </m:r>
          </m:sub>
          <m:sup>
            <m:r>
              <m:t>L</m:t>
            </m:r>
            <m:r>
              <m:t>K</m:t>
            </m:r>
          </m:sup>
        </m:sSubSup>
        <m:r>
          <m:rPr>
            <m:sty m:val="p"/>
          </m:rPr>
          <m:t>=</m:t>
        </m:r>
        <m:r>
          <m:t>T</m:t>
        </m:r>
        <m:r>
          <m:t>M</m:t>
        </m:r>
        <m:r>
          <m:t>S</m:t>
        </m:r>
        <m:sSubSup>
          <m:e>
            <m:r>
              <m:t>T</m:t>
            </m:r>
          </m:e>
          <m:sub>
            <m:r>
              <m:t>2</m:t>
            </m:r>
          </m:sub>
          <m:sup>
            <m:r>
              <m:t>L</m:t>
            </m:r>
            <m:r>
              <m:t>K</m:t>
            </m:r>
          </m:sup>
        </m:sSubSup>
      </m:oMath>
      <w:r>
        <w:t xml:space="preserve">.</w:t>
      </w:r>
    </w:p>
    <w:p>
      <w:pPr>
        <w:pStyle w:val="BlockText"/>
      </w:pPr>
      <w:r>
        <w:rPr>
          <w:b/>
          <w:bCs/>
        </w:rPr>
        <w:t xml:space="preserve">Passo 3 — Eficiência no mix de produtos</w:t>
      </w:r>
    </w:p>
    <w:p>
      <w:pPr>
        <w:pStyle w:val="BlockText"/>
      </w:pPr>
      <w:r>
        <w:t xml:space="preserve">A maximização de lucro de cada firma implica</w:t>
      </w:r>
      <w:r>
        <w:t xml:space="preserve"> </w:t>
      </w:r>
      <m:oMath>
        <m:sSub>
          <m:e>
            <m:r>
              <m:t>p</m:t>
            </m:r>
          </m:e>
          <m:sub>
            <m:r>
              <m:t>k</m:t>
            </m:r>
          </m:sub>
        </m:sSub>
        <m:r>
          <m:rPr>
            <m:sty m:val="p"/>
          </m:rPr>
          <m:t>=</m:t>
        </m:r>
        <m:r>
          <m:t>C</m:t>
        </m:r>
        <m:r>
          <m:t>M</m:t>
        </m:r>
        <m:sSub>
          <m:e>
            <m:r>
              <m:t>g</m:t>
            </m:r>
          </m:e>
          <m:sub>
            <m:r>
              <m:t>k</m:t>
            </m:r>
          </m:sub>
        </m:sSub>
      </m:oMath>
      <w:r>
        <w:t xml:space="preserve"> </w:t>
      </w:r>
      <w:r>
        <w:t xml:space="preserve">(preço igual ao custo marginal). Portanto:</w:t>
      </w:r>
    </w:p>
    <w:p>
      <w:pPr>
        <w:pStyle w:val="BlockText"/>
      </w:pPr>
      <w:r>
        <w:t xml:space="preserve">$$</w:t>
      </w:r>
    </w:p>
    <w:p>
      <w:pPr>
        <w:pStyle w:val="BlockText"/>
      </w:pPr>
      <w:r>
        <w:t xml:space="preserve">TMT^{12} =</w:t>
      </w:r>
      <w:r>
        <w:t xml:space="preserve"> </w:t>
      </w:r>
      <w:r>
        <w:t xml:space="preserve"> </w:t>
      </w:r>
      <w:r>
        <w:t xml:space="preserve">=</w:t>
      </w:r>
      <w:r>
        <w:t xml:space="preserve"> </w:t>
      </w:r>
      <w:r>
        <w:t xml:space="preserve"> </w:t>
      </w:r>
      <w:r>
        <w:t xml:space="preserve">= TMS_A^{12} = TMS_B^{12}</w:t>
      </w:r>
    </w:p>
    <w:p>
      <w:pPr>
        <w:pStyle w:val="BlockText"/>
      </w:pPr>
      <w:r>
        <w:t xml:space="preserve">$$</w:t>
      </w:r>
    </w:p>
    <w:p>
      <w:pPr>
        <w:pStyle w:val="BlockText"/>
      </w:pPr>
      <w:r>
        <w:rPr>
          <w:b/>
          <w:bCs/>
        </w:rPr>
        <w:t xml:space="preserve">Resultado:</w:t>
      </w:r>
      <w:r>
        <w:t xml:space="preserve"> </w:t>
      </w:r>
      <w:r>
        <w:t xml:space="preserve">Em equilíbrio competitivo,</w:t>
      </w:r>
      <w:r>
        <w:t xml:space="preserve"> </w:t>
      </w:r>
      <m:oMath>
        <m:r>
          <m:t>T</m:t>
        </m:r>
        <m:r>
          <m:t>M</m:t>
        </m:r>
        <m:sSub>
          <m:e>
            <m:r>
              <m:t>S</m:t>
            </m:r>
          </m:e>
          <m:sub>
            <m:r>
              <m:t>A</m:t>
            </m:r>
          </m:sub>
        </m:sSub>
        <m:r>
          <m:rPr>
            <m:sty m:val="p"/>
          </m:rPr>
          <m:t>=</m:t>
        </m:r>
        <m:r>
          <m:t>T</m:t>
        </m:r>
        <m:r>
          <m:t>M</m:t>
        </m:r>
        <m:sSub>
          <m:e>
            <m:r>
              <m:t>S</m:t>
            </m:r>
          </m:e>
          <m:sub>
            <m:r>
              <m:t>B</m:t>
            </m:r>
          </m:sub>
        </m:sSub>
        <m:r>
          <m:rPr>
            <m:sty m:val="p"/>
          </m:rPr>
          <m:t>=</m:t>
        </m:r>
        <m:sSub>
          <m:e>
            <m:r>
              <m:t>p</m:t>
            </m:r>
          </m:e>
          <m:sub>
            <m:r>
              <m:t>1</m:t>
            </m:r>
          </m:sub>
        </m:sSub>
        <m:r>
          <m:rPr>
            <m:sty m:val="p"/>
          </m:rPr>
          <m:t>/</m:t>
        </m:r>
        <m:sSub>
          <m:e>
            <m:r>
              <m:t>p</m:t>
            </m:r>
          </m:e>
          <m:sub>
            <m:r>
              <m:t>2</m:t>
            </m:r>
          </m:sub>
        </m:sSub>
      </m:oMath>
      <w:r>
        <w:t xml:space="preserve">,</w:t>
      </w:r>
      <w:r>
        <w:t xml:space="preserve"> </w:t>
      </w:r>
      <m:oMath>
        <m:r>
          <m:t>T</m:t>
        </m:r>
        <m:r>
          <m:t>M</m:t>
        </m:r>
        <m:r>
          <m:t>S</m:t>
        </m:r>
        <m:sSub>
          <m:e>
            <m:r>
              <m:t>T</m:t>
            </m:r>
          </m:e>
          <m:sub>
            <m:r>
              <m:t>1</m:t>
            </m:r>
          </m:sub>
        </m:sSub>
        <m:r>
          <m:rPr>
            <m:sty m:val="p"/>
          </m:rPr>
          <m:t>=</m:t>
        </m:r>
        <m:r>
          <m:t>T</m:t>
        </m:r>
        <m:r>
          <m:t>M</m:t>
        </m:r>
        <m:r>
          <m:t>S</m:t>
        </m:r>
        <m:sSub>
          <m:e>
            <m:r>
              <m:t>T</m:t>
            </m:r>
          </m:e>
          <m:sub>
            <m:r>
              <m:t>2</m:t>
            </m:r>
          </m:sub>
        </m:sSub>
        <m:r>
          <m:rPr>
            <m:sty m:val="p"/>
          </m:rPr>
          <m:t>=</m:t>
        </m:r>
        <m:r>
          <m:t>w</m:t>
        </m:r>
        <m:r>
          <m:rPr>
            <m:sty m:val="p"/>
          </m:rPr>
          <m:t>/</m:t>
        </m:r>
        <m:r>
          <m:t>r</m:t>
        </m:r>
      </m:oMath>
      <w:r>
        <w:t xml:space="preserve">, e</w:t>
      </w:r>
      <w:r>
        <w:t xml:space="preserve"> </w:t>
      </w:r>
      <m:oMath>
        <m:r>
          <m:t>T</m:t>
        </m:r>
        <m:r>
          <m:t>M</m:t>
        </m:r>
        <m:r>
          <m:t>T</m:t>
        </m:r>
        <m:r>
          <m:rPr>
            <m:sty m:val="p"/>
          </m:rPr>
          <m:t>=</m:t>
        </m:r>
        <m:r>
          <m:t>T</m:t>
        </m:r>
        <m:r>
          <m:t>M</m:t>
        </m:r>
        <m:r>
          <m:t>S</m:t>
        </m:r>
        <m:r>
          <m:rPr>
            <m:sty m:val="p"/>
          </m:rPr>
          <m:t>=</m:t>
        </m:r>
        <m:sSub>
          <m:e>
            <m:r>
              <m:t>p</m:t>
            </m:r>
          </m:e>
          <m:sub>
            <m:r>
              <m:t>1</m:t>
            </m:r>
          </m:sub>
        </m:sSub>
        <m:r>
          <m:rPr>
            <m:sty m:val="p"/>
          </m:rPr>
          <m:t>/</m:t>
        </m:r>
        <m:sSub>
          <m:e>
            <m:r>
              <m:t>p</m:t>
            </m:r>
          </m:e>
          <m:sub>
            <m:r>
              <m:t>2</m:t>
            </m:r>
          </m:sub>
        </m:sSub>
      </m:oMath>
      <w:r>
        <w:t xml:space="preserve">. Todas as três condições de eficiência são satisfeitas simultaneamente.</w:t>
      </w:r>
    </w:p>
    <w:p>
      <w:pPr>
        <w:pStyle w:val="BlockText"/>
      </w:pPr>
      <w:r>
        <w:rPr>
          <w:b/>
          <w:bCs/>
        </w:rPr>
        <w:t xml:space="preserve">Interpretação econômica:</w:t>
      </w:r>
      <w:r>
        <w:t xml:space="preserve"> </w:t>
      </w:r>
      <w:r>
        <w:t xml:space="preserve">O sistema de preços atua como um mecanismo de coordenação descentralizado: os preços dos bens alinham as decisões de consumo (eficiência na troca), os preços dos insumos alinham as decisões de produção (eficiência na produção), e a relação entre ambos alinha o que se produz ao que se deseja consumir (eficiência no mix de produtos). Não é necessário um planejador central — os preços transmitem toda a informação necessária. Esse é o resultado que o Primeiro Teorema do Bem-Estar formaliza rigorosamente.</w:t>
      </w:r>
    </w:p>
    <w:bookmarkEnd w:id="870"/>
    <w:bookmarkEnd w:id="871"/>
    <w:bookmarkStart w:id="876" w:name="teoremas-do-bem-estar"/>
    <w:p>
      <w:pPr>
        <w:pStyle w:val="Heading2"/>
      </w:pPr>
      <w:r>
        <w:t xml:space="preserve">14.6–14.7 Teoremas do Bem-Estar</w:t>
      </w:r>
    </w:p>
    <w:bookmarkStart w:id="872" w:name="Xfcfb99ec010d4a8ba364f43169465d91ca39ada"/>
    <w:p>
      <w:pPr>
        <w:pStyle w:val="Heading3"/>
      </w:pPr>
      <w:r>
        <w:t xml:space="preserve">14.6 A Orquestra sem Maestro: Primeiro Teorema do Bem-Estar</w:t>
      </w:r>
    </w:p>
    <w:p>
      <w:pPr>
        <w:pStyle w:val="FirstParagraph"/>
      </w:pPr>
      <w:r>
        <w:t xml:space="preserve">Chegamos ao grand finale da teoria do equilíbrio geral — o resultado que faz economistas perderem o fôlego desde 1954. As condições de eficiência na troca, na produção e no mix de produtos — sintetizadas na tabela da seção anterior — são alcançadas simultaneamente pelo equilíbrio competitivo. Pare e pense no que isso significa: milhões de agentes, cada um egoisticamente perseguindo seu próprio interesse, sem nenhum planejador central, sem nenhum algoritmo coordenador, chegam a um resultado que</w:t>
      </w:r>
      <w:r>
        <w:t xml:space="preserve"> </w:t>
      </w:r>
      <w:r>
        <w:rPr>
          <w:i/>
          <w:iCs/>
        </w:rPr>
        <w:t xml:space="preserve">ninguém conseguiria melhorar</w:t>
      </w:r>
      <w:r>
        <w:t xml:space="preserve">. É como se uma orquestra tocasse perfeitamente sem maestro — cada músico ouvindo apenas o preço do ingresso. O Primeiro Teorema do Bem-Estar formaliza essa intuição quase mágica, constituindo o resultado mais importante de toda a teoria do equilíbrio geral.</w:t>
      </w:r>
    </w:p>
    <w:p>
      <w:pPr>
        <w:pStyle w:val="BodyText"/>
      </w:pPr>
      <w:r>
        <w:t xml:space="preserve">A ideia de que mercados livres podem produzir resultados socialmente desejáveis tem raízes profundas na história do pensamento econômico. Em 1776,</w:t>
      </w:r>
      <w:r>
        <w:t xml:space="preserve"> </w:t>
      </w:r>
      <w:r>
        <w:rPr>
          <w:b/>
          <w:bCs/>
        </w:rPr>
        <w:t xml:space="preserve">Adam Smith</w:t>
      </w:r>
      <w:r>
        <w:t xml:space="preserve"> </w:t>
      </w:r>
      <w:r>
        <w:t xml:space="preserve">escreveu em</w:t>
      </w:r>
      <w:r>
        <w:t xml:space="preserve"> </w:t>
      </w:r>
      <w:r>
        <w:rPr>
          <w:i/>
          <w:iCs/>
        </w:rPr>
        <w:t xml:space="preserve">A Riqueza das Nações</w:t>
      </w:r>
      <w:r>
        <w:t xml:space="preserve"> </w:t>
      </w:r>
      <w:r>
        <w:t xml:space="preserve">que cada indivíduo, ao buscar seu próprio interesse, é</w:t>
      </w:r>
      <w:r>
        <w:t xml:space="preserve"> </w:t>
      </w:r>
      <w:r>
        <w:t xml:space="preserve">“conduzido como que por uma mão invisível a promover um fim que não fazia parte de suas intenções”</w:t>
      </w:r>
      <w:r>
        <w:t xml:space="preserve">. Mas Smith não tinha as ferramentas matemáticas para formalizar essa intuição. Coube a Walras, Pareto e, finalmente, Arrow e Debreu transformar a metáfora da</w:t>
      </w:r>
      <w:r>
        <w:t xml:space="preserve"> </w:t>
      </w:r>
      <w:r>
        <w:t xml:space="preserve">“mão invisível”</w:t>
      </w:r>
      <w:r>
        <w:t xml:space="preserve"> </w:t>
      </w:r>
      <w:r>
        <w:t xml:space="preserve">em um teorema rigoroso — com hipóteses claramente identificadas e uma demonstração lógica precisa. A importância dessa formalização não pode ser subestimada: ao explicitar as</w:t>
      </w:r>
      <w:r>
        <w:t xml:space="preserve"> </w:t>
      </w:r>
      <w:r>
        <w:rPr>
          <w:i/>
          <w:iCs/>
        </w:rPr>
        <w:t xml:space="preserve">condições</w:t>
      </w:r>
      <w:r>
        <w:t xml:space="preserve"> </w:t>
      </w:r>
      <w:r>
        <w:t xml:space="preserve">sob as quais o mercado é eficiente, o teorema também identifica exatamente</w:t>
      </w:r>
      <w:r>
        <w:t xml:space="preserve"> </w:t>
      </w:r>
      <w:r>
        <w:rPr>
          <w:i/>
          <w:iCs/>
        </w:rPr>
        <w:t xml:space="preserve">quando</w:t>
      </w:r>
      <w:r>
        <w:t xml:space="preserve"> </w:t>
      </w:r>
      <w:r>
        <w:t xml:space="preserve">e</w:t>
      </w:r>
      <w:r>
        <w:t xml:space="preserve"> </w:t>
      </w:r>
      <w:r>
        <w:rPr>
          <w:i/>
          <w:iCs/>
        </w:rPr>
        <w:t xml:space="preserve">por que</w:t>
      </w:r>
      <w:r>
        <w:t xml:space="preserve"> </w:t>
      </w:r>
      <w:r>
        <w:t xml:space="preserve">o mercado falha — abrindo caminho para a teoria das falhas de mercado que estudaremos nos próximos capítulos.</w:t>
      </w:r>
    </w:p>
    <w:p>
      <w:pPr>
        <w:pStyle w:val="BlockText"/>
      </w:pPr>
      <w:r>
        <w:rPr>
          <w:b/>
          <w:bCs/>
        </w:rPr>
        <w:t xml:space="preserve">[TEOREMA] Primeiro Teorema do Bem-Estar</w:t>
      </w:r>
    </w:p>
    <w:p>
      <w:pPr>
        <w:pStyle w:val="BlockText"/>
      </w:pPr>
      <w:r>
        <w:t xml:space="preserve">Se todos os consumidores e firmas são tomadores de preço, e se existe um mercado completo para cada bem, então o equilíbrio competitivo (walrasiano) é</w:t>
      </w:r>
      <w:r>
        <w:t xml:space="preserve"> </w:t>
      </w:r>
      <w:r>
        <w:rPr>
          <w:b/>
          <w:bCs/>
        </w:rPr>
        <w:t xml:space="preserve">eficiente no sentido de Pareto</w:t>
      </w:r>
      <w:r>
        <w:t xml:space="preserve">.</w:t>
      </w:r>
    </w:p>
    <w:p>
      <w:pPr>
        <w:pStyle w:val="FirstParagraph"/>
      </w:pPr>
      <w:r>
        <w:t xml:space="preserve">Este é o resultado formal que dá substância à intuição da</w:t>
      </w:r>
      <w:r>
        <w:t xml:space="preserve"> </w:t>
      </w:r>
      <w:r>
        <w:t xml:space="preserve">“mão invisível”</w:t>
      </w:r>
      <w:r>
        <w:t xml:space="preserve"> </w:t>
      </w:r>
      <w:r>
        <w:t xml:space="preserve">de Adam Smith: sob concorrência perfeita, o interesse próprio dos agentes, guiado pelos preços de mercado, conduz a uma alocação eficiente sem necessidade de planejamento centralizado.</w:t>
      </w:r>
    </w:p>
    <w:p>
      <w:pPr>
        <w:pStyle w:val="BlockText"/>
      </w:pPr>
      <w:r>
        <w:rPr>
          <w:b/>
          <w:bCs/>
        </w:rPr>
        <w:t xml:space="preserve">[DEMONSTRACAO] Demonstração</w:t>
      </w:r>
    </w:p>
    <w:p>
      <w:pPr>
        <w:pStyle w:val="BlockText"/>
      </w:pPr>
      <w:r>
        <w:rPr>
          <w:b/>
          <w:bCs/>
        </w:rPr>
        <w:t xml:space="preserve">Demonstração do Primeiro Teorema do Bem-Estar</w:t>
      </w:r>
      <w:r>
        <w:t xml:space="preserve"> </w:t>
      </w:r>
      <w:r>
        <w:t xml:space="preserve">(economia de troca pura)</w:t>
      </w:r>
    </w:p>
    <w:p>
      <w:pPr>
        <w:pStyle w:val="BlockText"/>
      </w:pPr>
      <w:r>
        <w:t xml:space="preserve">Considere uma economia com</w:t>
      </w:r>
      <w:r>
        <w:t xml:space="preserve"> </w:t>
      </w:r>
      <m:oMath>
        <m:r>
          <m:t>I</m:t>
        </m:r>
      </m:oMath>
      <w:r>
        <w:t xml:space="preserve"> </w:t>
      </w:r>
      <w:r>
        <w:t xml:space="preserve">consumidores e</w:t>
      </w:r>
      <w:r>
        <w:t xml:space="preserve"> </w:t>
      </w:r>
      <m:oMath>
        <m:r>
          <m:t>n</m:t>
        </m:r>
      </m:oMath>
      <w:r>
        <w:t xml:space="preserve"> </w:t>
      </w:r>
      <w:r>
        <w:t xml:space="preserve">bens. Seja</w:t>
      </w:r>
      <w:r>
        <w:t xml:space="preserve"> </w:t>
      </w:r>
      <m:oMath>
        <m:r>
          <m:rPr>
            <m:sty m:val="p"/>
          </m:rPr>
          <m:t>(</m:t>
        </m:r>
        <m:sSup>
          <m:e>
            <m:r>
              <m:rPr>
                <m:sty m:val="bi"/>
              </m:rPr>
              <m:t>x</m:t>
            </m:r>
          </m:e>
          <m:sup>
            <m:r>
              <m:rPr>
                <m:sty m:val="p"/>
              </m:rPr>
              <m:t>*</m:t>
            </m:r>
          </m:sup>
        </m:sSup>
        <m:r>
          <m:rPr>
            <m:sty m:val="p"/>
          </m:rPr>
          <m:t>,</m:t>
        </m:r>
        <m:sSup>
          <m:e>
            <m:r>
              <m:rPr>
                <m:sty m:val="bi"/>
              </m:rPr>
              <m:t>p</m:t>
            </m:r>
          </m:e>
          <m:sup>
            <m:r>
              <m:rPr>
                <m:sty m:val="p"/>
              </m:rPr>
              <m:t>*</m:t>
            </m:r>
          </m:sup>
        </m:sSup>
        <m:r>
          <m:rPr>
            <m:sty m:val="p"/>
          </m:rPr>
          <m:t>)</m:t>
        </m:r>
      </m:oMath>
      <w:r>
        <w:t xml:space="preserve"> </w:t>
      </w:r>
      <w:r>
        <w:t xml:space="preserve">um equilíbrio walrasiano, onde</w:t>
      </w:r>
      <w:r>
        <w:t xml:space="preserve"> </w:t>
      </w:r>
      <m:oMath>
        <m:sSubSup>
          <m:e>
            <m:r>
              <m:rPr>
                <m:sty m:val="bi"/>
              </m:rPr>
              <m:t>x</m:t>
            </m:r>
          </m:e>
          <m:sub>
            <m:r>
              <m:t>i</m:t>
            </m:r>
          </m:sub>
          <m:sup>
            <m:r>
              <m:rPr>
                <m:sty m:val="p"/>
              </m:rPr>
              <m:t>*</m:t>
            </m:r>
          </m:sup>
        </m:sSubSup>
      </m:oMath>
      <w:r>
        <w:t xml:space="preserve"> </w:t>
      </w:r>
      <w:r>
        <w:t xml:space="preserve">é a cesta escolhida pelo consumidor</w:t>
      </w:r>
      <w:r>
        <w:t xml:space="preserve"> </w:t>
      </w:r>
      <m:oMath>
        <m:r>
          <m:t>i</m:t>
        </m:r>
      </m:oMath>
      <w:r>
        <w:t xml:space="preserve"> </w:t>
      </w:r>
      <w:r>
        <w:t xml:space="preserve">e</w:t>
      </w:r>
      <w:r>
        <w:t xml:space="preserve"> </w:t>
      </w:r>
      <m:oMath>
        <m:sSup>
          <m:e>
            <m:r>
              <m:rPr>
                <m:sty m:val="bi"/>
              </m:rPr>
              <m:t>p</m:t>
            </m:r>
          </m:e>
          <m:sup>
            <m:r>
              <m:rPr>
                <m:sty m:val="p"/>
              </m:rPr>
              <m:t>*</m:t>
            </m:r>
          </m:sup>
        </m:sSup>
      </m:oMath>
      <w:r>
        <w:t xml:space="preserve"> </w:t>
      </w:r>
      <w:r>
        <w:t xml:space="preserve">é o vetor de preços de equilíbrio.</w:t>
      </w:r>
    </w:p>
    <w:p>
      <w:pPr>
        <w:pStyle w:val="BlockText"/>
      </w:pPr>
      <w:r>
        <w:rPr>
          <w:b/>
          <w:bCs/>
        </w:rPr>
        <w:t xml:space="preserve">Suposição:</w:t>
      </w:r>
      <w:r>
        <w:t xml:space="preserve"> </w:t>
      </w:r>
      <w:r>
        <w:t xml:space="preserve">As preferências de cada consumidor são localmente não saciadas (para qualquer cesta e qualquer vizinhança, existe uma cesta preferida naquela vizinhança).</w:t>
      </w:r>
    </w:p>
    <w:p>
      <w:pPr>
        <w:pStyle w:val="BlockText"/>
      </w:pPr>
      <w:r>
        <w:t xml:space="preserve">Suponha, por contradição, que</w:t>
      </w:r>
      <w:r>
        <w:t xml:space="preserve"> </w:t>
      </w:r>
      <m:oMath>
        <m:sSup>
          <m:e>
            <m:r>
              <m:rPr>
                <m:sty m:val="bi"/>
              </m:rPr>
              <m:t>x</m:t>
            </m:r>
          </m:e>
          <m:sup>
            <m:r>
              <m:rPr>
                <m:sty m:val="p"/>
              </m:rPr>
              <m:t>*</m:t>
            </m:r>
          </m:sup>
        </m:sSup>
      </m:oMath>
      <w:r>
        <w:t xml:space="preserve"> </w:t>
      </w:r>
      <w:r>
        <w:t xml:space="preserve">não seja Pareto-eficiente. Então existe uma alocação factível</w:t>
      </w:r>
      <w:r>
        <w:t xml:space="preserve"> </w:t>
      </w:r>
      <m:oMath>
        <m:acc>
          <m:accPr>
            <m:chr m:val="̂"/>
          </m:accPr>
          <m:e>
            <m:r>
              <m:rPr>
                <m:sty m:val="bi"/>
              </m:rPr>
              <m:t>x</m:t>
            </m:r>
          </m:e>
        </m:acc>
        <m:r>
          <m:rPr>
            <m:sty m:val="p"/>
          </m:rPr>
          <m:t>=</m:t>
        </m:r>
        <m:r>
          <m:rPr>
            <m:sty m:val="p"/>
          </m:rPr>
          <m:t>(</m:t>
        </m:r>
        <m:sSub>
          <m:e>
            <m:acc>
              <m:accPr>
                <m:chr m:val="̂"/>
              </m:accPr>
              <m:e>
                <m:r>
                  <m:rPr>
                    <m:sty m:val="bi"/>
                  </m:rPr>
                  <m:t>x</m:t>
                </m:r>
              </m:e>
            </m:acc>
          </m:e>
          <m:sub>
            <m:r>
              <m:t>1</m:t>
            </m:r>
          </m:sub>
        </m:sSub>
        <m:r>
          <m:rPr>
            <m:sty m:val="p"/>
          </m:rPr>
          <m:t>,</m:t>
        </m:r>
        <m:r>
          <m:rPr>
            <m:sty m:val="p"/>
          </m:rPr>
          <m:t>…</m:t>
        </m:r>
        <m:r>
          <m:rPr>
            <m:sty m:val="p"/>
          </m:rPr>
          <m:t>,</m:t>
        </m:r>
        <m:sSub>
          <m:e>
            <m:acc>
              <m:accPr>
                <m:chr m:val="̂"/>
              </m:accPr>
              <m:e>
                <m:r>
                  <m:rPr>
                    <m:sty m:val="bi"/>
                  </m:rPr>
                  <m:t>x</m:t>
                </m:r>
              </m:e>
            </m:acc>
          </m:e>
          <m:sub>
            <m:r>
              <m:t>I</m:t>
            </m:r>
          </m:sub>
        </m:sSub>
        <m:r>
          <m:rPr>
            <m:sty m:val="p"/>
          </m:rPr>
          <m:t>)</m:t>
        </m:r>
      </m:oMath>
      <w:r>
        <w:t xml:space="preserve"> </w:t>
      </w:r>
      <w:r>
        <w:t xml:space="preserve">tal que:</w:t>
      </w:r>
    </w:p>
    <w:p>
      <w:pPr>
        <w:pStyle w:val="BlockText"/>
      </w:pPr>
      <w:r>
        <w:t xml:space="preserve">$$</w:t>
      </w:r>
    </w:p>
    <w:p>
      <w:pPr>
        <w:pStyle w:val="BlockText"/>
      </w:pPr>
      <w:r>
        <w:t xml:space="preserve">_i</w:t>
      </w:r>
      <w:r>
        <w:t xml:space="preserve"> </w:t>
      </w:r>
      <w:r>
        <w:t xml:space="preserve">_i</w:t>
      </w:r>
      <w:r>
        <w:t xml:space="preserve"> </w:t>
      </w:r>
      <w:r>
        <w:t xml:space="preserve">_i^*</w:t>
      </w:r>
      <w:r>
        <w:t xml:space="preserve"> </w:t>
      </w:r>
      <w:r>
        <w:t xml:space="preserve">, i,</w:t>
      </w:r>
      <w:r>
        <w:t xml:space="preserve"> </w:t>
      </w:r>
      <w:r>
        <w:t xml:space="preserve"> </w:t>
      </w:r>
      <w:r>
        <w:t xml:space="preserve">_j</w:t>
      </w:r>
      <w:r>
        <w:t xml:space="preserve"> </w:t>
      </w:r>
      <w:r>
        <w:t xml:space="preserve">_j</w:t>
      </w:r>
      <w:r>
        <w:t xml:space="preserve"> </w:t>
      </w:r>
      <w:r>
        <w:t xml:space="preserve">_j^*</w:t>
      </w:r>
      <w:r>
        <w:t xml:space="preserve"> </w:t>
      </w:r>
      <w:r>
        <w:t xml:space="preserve"> </w:t>
      </w:r>
      <w:r>
        <w:t xml:space="preserve">j</w:t>
      </w:r>
    </w:p>
    <w:p>
      <w:pPr>
        <w:pStyle w:val="BlockText"/>
      </w:pPr>
      <w:r>
        <w:t xml:space="preserve">$$</w:t>
      </w:r>
    </w:p>
    <w:p>
      <w:pPr>
        <w:pStyle w:val="BlockText"/>
      </w:pPr>
      <w:r>
        <w:rPr>
          <w:b/>
          <w:bCs/>
        </w:rPr>
        <w:t xml:space="preserve">Passo 1:</w:t>
      </w:r>
      <w:r>
        <w:t xml:space="preserve"> </w:t>
      </w:r>
      <w:r>
        <w:t xml:space="preserve">Se</w:t>
      </w:r>
      <w:r>
        <w:t xml:space="preserve"> </w:t>
      </w:r>
      <m:oMath>
        <m:sSub>
          <m:e>
            <m:acc>
              <m:accPr>
                <m:chr m:val="̂"/>
              </m:accPr>
              <m:e>
                <m:r>
                  <m:rPr>
                    <m:sty m:val="bi"/>
                  </m:rPr>
                  <m:t>x</m:t>
                </m:r>
              </m:e>
            </m:acc>
          </m:e>
          <m:sub>
            <m:r>
              <m:t>j</m:t>
            </m:r>
          </m:sub>
        </m:sSub>
        <m:sSub>
          <m:e>
            <m:r>
              <m:rPr>
                <m:sty m:val="p"/>
              </m:rPr>
              <m:t>≻</m:t>
            </m:r>
          </m:e>
          <m:sub>
            <m:r>
              <m:t>j</m:t>
            </m:r>
          </m:sub>
        </m:sSub>
        <m:sSubSup>
          <m:e>
            <m:r>
              <m:rPr>
                <m:sty m:val="bi"/>
              </m:rPr>
              <m:t>x</m:t>
            </m:r>
          </m:e>
          <m:sub>
            <m:r>
              <m:t>j</m:t>
            </m:r>
          </m:sub>
          <m:sup>
            <m:r>
              <m:rPr>
                <m:sty m:val="p"/>
              </m:rPr>
              <m:t>*</m:t>
            </m:r>
          </m:sup>
        </m:sSubSup>
      </m:oMath>
      <w:r>
        <w:t xml:space="preserve">, então</w:t>
      </w:r>
      <w:r>
        <w:t xml:space="preserve"> </w:t>
      </w:r>
      <m:oMath>
        <m:sSub>
          <m:e>
            <m:acc>
              <m:accPr>
                <m:chr m:val="̂"/>
              </m:accPr>
              <m:e>
                <m:r>
                  <m:rPr>
                    <m:sty m:val="bi"/>
                  </m:rPr>
                  <m:t>x</m:t>
                </m:r>
              </m:e>
            </m:acc>
          </m:e>
          <m:sub>
            <m:r>
              <m:t>j</m:t>
            </m:r>
          </m:sub>
        </m:sSub>
      </m:oMath>
      <w:r>
        <w:t xml:space="preserve"> </w:t>
      </w:r>
      <w:r>
        <w:t xml:space="preserve">não pertence ao conjunto orçamentário de</w:t>
      </w:r>
      <w:r>
        <w:t xml:space="preserve"> </w:t>
      </w:r>
      <m:oMath>
        <m:r>
          <m:t>j</m:t>
        </m:r>
      </m:oMath>
      <w:r>
        <w:t xml:space="preserve"> </w:t>
      </w:r>
      <w:r>
        <w:t xml:space="preserve">no equilíbrio (caso contrário,</w:t>
      </w:r>
      <w:r>
        <w:t xml:space="preserve"> </w:t>
      </w:r>
      <m:oMath>
        <m:r>
          <m:t>j</m:t>
        </m:r>
      </m:oMath>
      <w:r>
        <w:t xml:space="preserve"> </w:t>
      </w:r>
      <w:r>
        <w:t xml:space="preserve">teria escolhido</w:t>
      </w:r>
      <w:r>
        <w:t xml:space="preserve"> </w:t>
      </w:r>
      <m:oMath>
        <m:sSub>
          <m:e>
            <m:acc>
              <m:accPr>
                <m:chr m:val="̂"/>
              </m:accPr>
              <m:e>
                <m:r>
                  <m:rPr>
                    <m:sty m:val="bi"/>
                  </m:rPr>
                  <m:t>x</m:t>
                </m:r>
              </m:e>
            </m:acc>
          </m:e>
          <m:sub>
            <m:r>
              <m:t>j</m:t>
            </m:r>
          </m:sub>
        </m:sSub>
      </m:oMath>
      <w:r>
        <w:t xml:space="preserve"> </w:t>
      </w:r>
      <w:r>
        <w:t xml:space="preserve">em vez de</w:t>
      </w:r>
      <w:r>
        <w:t xml:space="preserve"> </w:t>
      </w:r>
      <m:oMath>
        <m:sSubSup>
          <m:e>
            <m:r>
              <m:rPr>
                <m:sty m:val="bi"/>
              </m:rPr>
              <m:t>x</m:t>
            </m:r>
          </m:e>
          <m:sub>
            <m:r>
              <m:t>j</m:t>
            </m:r>
          </m:sub>
          <m:sup>
            <m:r>
              <m:rPr>
                <m:sty m:val="p"/>
              </m:rPr>
              <m:t>*</m:t>
            </m:r>
          </m:sup>
        </m:sSubSup>
      </m:oMath>
      <w:r>
        <w:t xml:space="preserve">). Portanto:</w:t>
      </w:r>
    </w:p>
    <w:p>
      <w:pPr>
        <w:pStyle w:val="BlockText"/>
      </w:pPr>
      <w:r>
        <w:t xml:space="preserve">$$</w:t>
      </w:r>
    </w:p>
    <w:p>
      <w:pPr>
        <w:pStyle w:val="BlockText"/>
      </w:pPr>
      <w:r>
        <w:t xml:space="preserve">^*</w:t>
      </w:r>
      <w:r>
        <w:t xml:space="preserve"> </w:t>
      </w:r>
      <w:r>
        <w:t xml:space="preserve">_j &gt;</w:t>
      </w:r>
      <w:r>
        <w:t xml:space="preserve"> </w:t>
      </w:r>
      <w:r>
        <w:t xml:space="preserve">^*</w:t>
      </w:r>
      <w:r>
        <w:t xml:space="preserve"> </w:t>
      </w:r>
      <w:r>
        <w:t xml:space="preserve">_j</w:t>
      </w:r>
      <w:r>
        <w:t xml:space="preserve"> </w:t>
      </w:r>
      <w:r>
        <w:t xml:space="preserve"> </w:t>
      </w:r>
    </w:p>
    <w:p>
      <w:pPr>
        <w:pStyle w:val="BlockText"/>
      </w:pPr>
      <w:r>
        <w:t xml:space="preserve">$$</w:t>
      </w:r>
    </w:p>
    <w:p>
      <w:pPr>
        <w:pStyle w:val="BlockText"/>
      </w:pPr>
      <w:r>
        <w:rPr>
          <w:b/>
          <w:bCs/>
        </w:rPr>
        <w:t xml:space="preserve">Passo 2:</w:t>
      </w:r>
      <w:r>
        <w:t xml:space="preserve"> </w:t>
      </w:r>
      <w:r>
        <w:t xml:space="preserve">Para todo</w:t>
      </w:r>
      <w:r>
        <w:t xml:space="preserve"> </w:t>
      </w:r>
      <m:oMath>
        <m:r>
          <m:t>i</m:t>
        </m:r>
      </m:oMath>
      <w:r>
        <w:t xml:space="preserve"> </w:t>
      </w:r>
      <w:r>
        <w:t xml:space="preserve">tal que</w:t>
      </w:r>
      <w:r>
        <w:t xml:space="preserve"> </w:t>
      </w:r>
      <m:oMath>
        <m:sSub>
          <m:e>
            <m:acc>
              <m:accPr>
                <m:chr m:val="̂"/>
              </m:accPr>
              <m:e>
                <m:r>
                  <m:rPr>
                    <m:sty m:val="bi"/>
                  </m:rPr>
                  <m:t>x</m:t>
                </m:r>
              </m:e>
            </m:acc>
          </m:e>
          <m:sub>
            <m:r>
              <m:t>i</m:t>
            </m:r>
          </m:sub>
        </m:sSub>
        <m:sSub>
          <m:e>
            <m:r>
              <m:rPr>
                <m:sty m:val="p"/>
              </m:rPr>
              <m:t>≿</m:t>
            </m:r>
          </m:e>
          <m:sub>
            <m:r>
              <m:t>i</m:t>
            </m:r>
          </m:sub>
        </m:sSub>
        <m:sSubSup>
          <m:e>
            <m:r>
              <m:rPr>
                <m:sty m:val="bi"/>
              </m:rPr>
              <m:t>x</m:t>
            </m:r>
          </m:e>
          <m:sub>
            <m:r>
              <m:t>i</m:t>
            </m:r>
          </m:sub>
          <m:sup>
            <m:r>
              <m:rPr>
                <m:sty m:val="p"/>
              </m:rPr>
              <m:t>*</m:t>
            </m:r>
          </m:sup>
        </m:sSubSup>
      </m:oMath>
      <w:r>
        <w:t xml:space="preserve">, a não saciedade local implica que:</w:t>
      </w:r>
    </w:p>
    <w:p>
      <w:pPr>
        <w:pStyle w:val="BlockText"/>
      </w:pPr>
      <w:r>
        <w:t xml:space="preserve">$$</w:t>
      </w:r>
    </w:p>
    <w:p>
      <w:pPr>
        <w:pStyle w:val="BlockText"/>
      </w:pPr>
      <w:r>
        <w:t xml:space="preserve">^*</w:t>
      </w:r>
      <w:r>
        <w:t xml:space="preserve"> </w:t>
      </w:r>
      <w:r>
        <w:t xml:space="preserve">_i</w:t>
      </w:r>
      <w:r>
        <w:t xml:space="preserve"> </w:t>
      </w:r>
      <w:r>
        <w:t xml:space="preserve">^*</w:t>
      </w:r>
      <w:r>
        <w:t xml:space="preserve"> </w:t>
      </w:r>
      <w:r>
        <w:t xml:space="preserve">_i</w:t>
      </w:r>
      <w:r>
        <w:t xml:space="preserve"> </w:t>
      </w:r>
      <w:r>
        <w:t xml:space="preserve"> </w:t>
      </w:r>
    </w:p>
    <w:p>
      <w:pPr>
        <w:pStyle w:val="BlockText"/>
      </w:pPr>
      <w:r>
        <w:t xml:space="preserve">$$</w:t>
      </w:r>
    </w:p>
    <w:p>
      <w:pPr>
        <w:pStyle w:val="BlockText"/>
      </w:pPr>
      <w:r>
        <w:t xml:space="preserve">(Se</w:t>
      </w:r>
      <w:r>
        <w:t xml:space="preserve"> </w:t>
      </w:r>
      <m:oMath>
        <m:sSub>
          <m:e>
            <m:acc>
              <m:accPr>
                <m:chr m:val="̂"/>
              </m:accPr>
              <m:e>
                <m:r>
                  <m:rPr>
                    <m:sty m:val="bi"/>
                  </m:rPr>
                  <m:t>x</m:t>
                </m:r>
              </m:e>
            </m:acc>
          </m:e>
          <m:sub>
            <m:r>
              <m:t>i</m:t>
            </m:r>
          </m:sub>
        </m:sSub>
      </m:oMath>
      <w:r>
        <w:t xml:space="preserve"> </w:t>
      </w:r>
      <w:r>
        <w:t xml:space="preserve">custasse estritamente menos, por não saciedade local, existiria uma cesta ainda melhor e acessível, contradizendo a otimalidade de</w:t>
      </w:r>
      <w:r>
        <w:t xml:space="preserve"> </w:t>
      </w:r>
      <m:oMath>
        <m:sSubSup>
          <m:e>
            <m:r>
              <m:rPr>
                <m:sty m:val="bi"/>
              </m:rPr>
              <m:t>x</m:t>
            </m:r>
          </m:e>
          <m:sub>
            <m:r>
              <m:t>i</m:t>
            </m:r>
          </m:sub>
          <m:sup>
            <m:r>
              <m:rPr>
                <m:sty m:val="p"/>
              </m:rPr>
              <m:t>*</m:t>
            </m:r>
          </m:sup>
        </m:sSubSup>
      </m:oMath>
      <w:r>
        <w:t xml:space="preserve">.)</w:t>
      </w:r>
    </w:p>
    <w:p>
      <w:pPr>
        <w:pStyle w:val="BlockText"/>
      </w:pPr>
      <w:r>
        <w:rPr>
          <w:b/>
          <w:bCs/>
        </w:rPr>
        <w:t xml:space="preserve">Passo 3:</w:t>
      </w:r>
      <w:r>
        <w:t xml:space="preserve"> </w:t>
      </w:r>
      <w:r>
        <w:t xml:space="preserve">Somando Eq. (eq:14.8) e Eq. (eq:14.9) sobre todos os consumidores:</w:t>
      </w:r>
    </w:p>
    <w:p>
      <w:pPr>
        <w:pStyle w:val="BlockText"/>
      </w:pPr>
      <w:r>
        <w:t xml:space="preserve">$$</w:t>
      </w:r>
    </w:p>
    <w:p>
      <w:pPr>
        <w:pStyle w:val="BlockText"/>
      </w:pPr>
      <w:r>
        <w:t xml:space="preserve">_{i=1}^{I}</w:t>
      </w:r>
      <w:r>
        <w:t xml:space="preserve"> </w:t>
      </w:r>
      <w:r>
        <w:t xml:space="preserve">^*</w:t>
      </w:r>
      <w:r>
        <w:t xml:space="preserve"> </w:t>
      </w:r>
      <w:r>
        <w:rPr>
          <w:i/>
          <w:iCs/>
        </w:rPr>
        <w:t xml:space="preserve">i &gt;</w:t>
      </w:r>
      <w:r>
        <w:rPr>
          <w:i/>
          <w:iCs/>
        </w:rPr>
        <w:t xml:space="preserve"> </w:t>
      </w:r>
      <w:r>
        <w:t xml:space="preserve">{i=1}^{I}</w:t>
      </w:r>
      <w:r>
        <w:t xml:space="preserve"> </w:t>
      </w:r>
      <w:r>
        <w:t xml:space="preserve">^*</w:t>
      </w:r>
      <w:r>
        <w:t xml:space="preserve"> </w:t>
      </w:r>
      <w:r>
        <w:t xml:space="preserve">_i</w:t>
      </w:r>
    </w:p>
    <w:p>
      <w:pPr>
        <w:pStyle w:val="BlockText"/>
      </w:pPr>
      <w:r>
        <w:t xml:space="preserve">$$</w:t>
      </w:r>
    </w:p>
    <w:p>
      <w:pPr>
        <w:pStyle w:val="BlockText"/>
      </w:pPr>
      <w:r>
        <w:t xml:space="preserve">$$</w:t>
      </w:r>
    </w:p>
    <w:p>
      <w:pPr>
        <w:pStyle w:val="BlockText"/>
      </w:pPr>
      <w:r>
        <w:t xml:space="preserve">^*</w:t>
      </w:r>
      <w:r>
        <w:t xml:space="preserve"> </w:t>
      </w:r>
      <w:r>
        <w:t xml:space="preserve">(</w:t>
      </w:r>
      <w:r>
        <w:t xml:space="preserve"> </w:t>
      </w:r>
      <w:r>
        <w:t xml:space="preserve">_{i=1}^{I}</w:t>
      </w:r>
      <w:r>
        <w:t xml:space="preserve"> </w:t>
      </w:r>
      <w:r>
        <w:rPr>
          <w:i/>
          <w:iCs/>
        </w:rPr>
        <w:t xml:space="preserve">i</w:t>
      </w:r>
      <w:r>
        <w:rPr>
          <w:i/>
          <w:iCs/>
        </w:rPr>
        <w:t xml:space="preserve"> </w:t>
      </w:r>
      <w:r>
        <w:rPr>
          <w:i/>
          <w:iCs/>
        </w:rPr>
        <w:t xml:space="preserve">) &gt;</w:t>
      </w:r>
      <w:r>
        <w:rPr>
          <w:i/>
          <w:iCs/>
        </w:rPr>
        <w:t xml:space="preserve"> </w:t>
      </w:r>
      <w:r>
        <w:rPr>
          <w:i/>
          <w:iCs/>
        </w:rPr>
        <w:t xml:space="preserve">^*</w:t>
      </w:r>
      <w:r>
        <w:rPr>
          <w:i/>
          <w:iCs/>
        </w:rPr>
        <w:t xml:space="preserve"> </w:t>
      </w:r>
      <w:r>
        <w:rPr>
          <w:i/>
          <w:iCs/>
        </w:rPr>
        <w:t xml:space="preserve">(</w:t>
      </w:r>
      <w:r>
        <w:rPr>
          <w:i/>
          <w:iCs/>
        </w:rPr>
        <w:t xml:space="preserve"> </w:t>
      </w:r>
      <w:r>
        <w:t xml:space="preserve">{i=1}^{I}</w:t>
      </w:r>
      <w:r>
        <w:t xml:space="preserve"> </w:t>
      </w:r>
      <w:r>
        <w:t xml:space="preserve">_i</w:t>
      </w:r>
      <w:r>
        <w:t xml:space="preserve"> </w:t>
      </w:r>
      <w:r>
        <w:t xml:space="preserve">)</w:t>
      </w:r>
    </w:p>
    <w:p>
      <w:pPr>
        <w:pStyle w:val="BlockText"/>
      </w:pPr>
      <w:r>
        <w:t xml:space="preserve">$$</w:t>
      </w:r>
    </w:p>
    <w:p>
      <w:pPr>
        <w:pStyle w:val="BlockText"/>
      </w:pPr>
      <w:r>
        <w:t xml:space="preserve">Mas factibilidade de</w:t>
      </w:r>
      <w:r>
        <w:t xml:space="preserve"> </w:t>
      </w:r>
      <m:oMath>
        <m:acc>
          <m:accPr>
            <m:chr m:val="̂"/>
          </m:accPr>
          <m:e>
            <m:r>
              <m:rPr>
                <m:sty m:val="bi"/>
              </m:rPr>
              <m:t>x</m:t>
            </m:r>
          </m:e>
        </m:acc>
      </m:oMath>
      <w:r>
        <w:t xml:space="preserve"> </w:t>
      </w:r>
      <w:r>
        <w:t xml:space="preserve">exige</w:t>
      </w:r>
      <w:r>
        <w:t xml:space="preserve"> </w:t>
      </w:r>
      <m:oMath>
        <m:nary>
          <m:naryPr>
            <m:chr m:val="∑"/>
            <m:limLoc m:val="undOvr"/>
            <m:subHide m:val="off"/>
            <m:supHide m:val="on"/>
          </m:naryPr>
          <m:sub>
            <m:r>
              <m:t>i</m:t>
            </m:r>
          </m:sub>
          <m:sup>
            <m:r>
              <m:t>​</m:t>
            </m:r>
          </m:sup>
          <m:e>
            <m:sSub>
              <m:e>
                <m:acc>
                  <m:accPr>
                    <m:chr m:val="̂"/>
                  </m:accPr>
                  <m:e>
                    <m:r>
                      <m:rPr>
                        <m:sty m:val="bi"/>
                      </m:rPr>
                      <m:t>x</m:t>
                    </m:r>
                  </m:e>
                </m:acc>
              </m:e>
              <m:sub>
                <m:r>
                  <m:t>i</m:t>
                </m:r>
              </m:sub>
            </m:sSub>
          </m:e>
        </m:nary>
        <m:r>
          <m:rPr>
            <m:sty m:val="p"/>
          </m:rPr>
          <m:t>≤</m:t>
        </m:r>
        <m:nary>
          <m:naryPr>
            <m:chr m:val="∑"/>
            <m:limLoc m:val="undOvr"/>
            <m:subHide m:val="off"/>
            <m:supHide m:val="on"/>
          </m:naryPr>
          <m:sub>
            <m:r>
              <m:t>i</m:t>
            </m:r>
          </m:sub>
          <m:sup>
            <m:r>
              <m:t>​</m:t>
            </m:r>
          </m:sup>
          <m:e>
            <m:sSub>
              <m:e>
                <m:r>
                  <m:rPr>
                    <m:sty m:val="bi"/>
                  </m:rPr>
                  <m:t>ω</m:t>
                </m:r>
              </m:e>
              <m:sub>
                <m:r>
                  <m:t>i</m:t>
                </m:r>
              </m:sub>
            </m:sSub>
          </m:e>
        </m:nary>
      </m:oMath>
      <w:r>
        <w:t xml:space="preserve">. Com</w:t>
      </w:r>
      <w:r>
        <w:t xml:space="preserve"> </w:t>
      </w:r>
      <m:oMath>
        <m:sSup>
          <m:e>
            <m:r>
              <m:rPr>
                <m:sty m:val="bi"/>
              </m:rPr>
              <m:t>p</m:t>
            </m:r>
          </m:e>
          <m:sup>
            <m:r>
              <m:rPr>
                <m:sty m:val="p"/>
              </m:rPr>
              <m:t>*</m:t>
            </m:r>
          </m:sup>
        </m:sSup>
        <m:r>
          <m:rPr>
            <m:sty m:val="p"/>
          </m:rPr>
          <m:t>&gt;</m:t>
        </m:r>
        <m:r>
          <m:t>0</m:t>
        </m:r>
      </m:oMath>
      <w:r>
        <w:t xml:space="preserve"> </w:t>
      </w:r>
      <w:r>
        <w:t xml:space="preserve">(consequência da não saciedade local), isso implica:</w:t>
      </w:r>
    </w:p>
    <w:p>
      <w:pPr>
        <w:pStyle w:val="BlockText"/>
      </w:pPr>
      <w:r>
        <w:t xml:space="preserve">$$</w:t>
      </w:r>
    </w:p>
    <w:p>
      <w:pPr>
        <w:pStyle w:val="BlockText"/>
      </w:pPr>
      <w:r>
        <w:t xml:space="preserve">^*</w:t>
      </w:r>
      <w:r>
        <w:t xml:space="preserve"> </w:t>
      </w:r>
      <w:r>
        <w:t xml:space="preserve">(</w:t>
      </w:r>
      <w:r>
        <w:t xml:space="preserve"> </w:t>
      </w:r>
      <w:r>
        <w:t xml:space="preserve">_{i=1}^{I}</w:t>
      </w:r>
      <w:r>
        <w:t xml:space="preserve"> </w:t>
      </w:r>
      <w:r>
        <w:rPr>
          <w:i/>
          <w:iCs/>
        </w:rPr>
        <w:t xml:space="preserve">i</w:t>
      </w:r>
      <w:r>
        <w:rPr>
          <w:i/>
          <w:iCs/>
        </w:rPr>
        <w:t xml:space="preserve"> </w:t>
      </w:r>
      <w:r>
        <w:rPr>
          <w:i/>
          <w:iCs/>
        </w:rPr>
        <w:t xml:space="preserve">)</w:t>
      </w:r>
      <w:r>
        <w:rPr>
          <w:i/>
          <w:iCs/>
        </w:rPr>
        <w:t xml:space="preserve"> </w:t>
      </w:r>
      <w:r>
        <w:rPr>
          <w:i/>
          <w:iCs/>
        </w:rPr>
        <w:t xml:space="preserve">^*</w:t>
      </w:r>
      <w:r>
        <w:rPr>
          <w:i/>
          <w:iCs/>
        </w:rPr>
        <w:t xml:space="preserve"> </w:t>
      </w:r>
      <w:r>
        <w:rPr>
          <w:i/>
          <w:iCs/>
        </w:rPr>
        <w:t xml:space="preserve">(</w:t>
      </w:r>
      <w:r>
        <w:rPr>
          <w:i/>
          <w:iCs/>
        </w:rPr>
        <w:t xml:space="preserve"> </w:t>
      </w:r>
      <w:r>
        <w:t xml:space="preserve">{i=1}^{I}</w:t>
      </w:r>
      <w:r>
        <w:t xml:space="preserve"> </w:t>
      </w:r>
      <w:r>
        <w:t xml:space="preserve">_i</w:t>
      </w:r>
      <w:r>
        <w:t xml:space="preserve"> </w:t>
      </w:r>
      <w:r>
        <w:t xml:space="preserve">)</w:t>
      </w:r>
    </w:p>
    <w:p>
      <w:pPr>
        <w:pStyle w:val="BlockText"/>
      </w:pPr>
      <w:r>
        <w:t xml:space="preserve">$$</w:t>
      </w:r>
    </w:p>
    <w:p>
      <w:pPr>
        <w:pStyle w:val="BlockText"/>
      </w:pPr>
      <w:r>
        <w:rPr>
          <w:b/>
          <w:bCs/>
        </w:rPr>
        <w:t xml:space="preserve">Contradição.</w:t>
      </w:r>
      <w:r>
        <w:t xml:space="preserve"> </w:t>
      </w:r>
      <w:r>
        <w:t xml:space="preserve">Portanto,</w:t>
      </w:r>
      <w:r>
        <w:t xml:space="preserve"> </w:t>
      </w:r>
      <m:oMath>
        <m:sSup>
          <m:e>
            <m:r>
              <m:rPr>
                <m:sty m:val="bi"/>
              </m:rPr>
              <m:t>x</m:t>
            </m:r>
          </m:e>
          <m:sup>
            <m:r>
              <m:rPr>
                <m:sty m:val="p"/>
              </m:rPr>
              <m:t>*</m:t>
            </m:r>
          </m:sup>
        </m:sSup>
      </m:oMath>
      <w:r>
        <w:t xml:space="preserve"> </w:t>
      </w:r>
      <w:r>
        <w:t xml:space="preserve">é Pareto-eficiente.</w:t>
      </w:r>
      <w:r>
        <w:t xml:space="preserve"> </w:t>
      </w:r>
      <m:oMath>
        <m:r>
          <m:rPr>
            <m:sty m:val="p"/>
          </m:rPr>
          <m:t>◼</m:t>
        </m:r>
      </m:oMath>
    </w:p>
    <w:p>
      <w:pPr>
        <w:pStyle w:val="BlockText"/>
      </w:pPr>
      <w:r>
        <w:rPr>
          <w:b/>
          <w:bCs/>
        </w:rPr>
        <w:t xml:space="preserve">[DICA] Hipóteses cruciais</w:t>
      </w:r>
    </w:p>
    <w:p>
      <w:pPr>
        <w:pStyle w:val="BlockText"/>
      </w:pPr>
      <w:r>
        <w:t xml:space="preserve">O Primeiro Teorema requer: (i) comportamento tomador de preço; (ii) mercados completos (sem externalidades nem bens públicos); (iii) não saciedade local das preferências. A violação de qualquer uma dessas hipóteses abre espaço para</w:t>
      </w:r>
      <w:r>
        <w:t xml:space="preserve"> </w:t>
      </w:r>
      <w:r>
        <w:rPr>
          <w:b/>
          <w:bCs/>
        </w:rPr>
        <w:t xml:space="preserve">falhas de mercado</w:t>
      </w:r>
      <w:r>
        <w:t xml:space="preserve"> </w:t>
      </w:r>
      <w:r>
        <w:t xml:space="preserve">— tema dos próximos capítulos.</w:t>
      </w:r>
    </w:p>
    <w:p>
      <w:pPr>
        <w:pStyle w:val="FirstParagraph"/>
      </w:pPr>
      <w:r>
        <w:t xml:space="preserve">A elegância do Primeiro Teorema reside na economia de suas hipóteses: não requer convexidade das preferências, nem concavidade das funções de utilidade, nem tampouco qualquer forma funcional específica. Basta que os consumidores não estejam saciados e que os mercados sejam competitivos e completos. A contrapartida dessa generalidade é que o teorema nada diz sobre a</w:t>
      </w:r>
      <w:r>
        <w:t xml:space="preserve"> </w:t>
      </w:r>
      <w:r>
        <w:rPr>
          <w:i/>
          <w:iCs/>
        </w:rPr>
        <w:t xml:space="preserve">desejabilidade</w:t>
      </w:r>
      <w:r>
        <w:t xml:space="preserve"> </w:t>
      </w:r>
      <w:r>
        <w:t xml:space="preserve">da alocação eficiente alcançada — apenas que ela é eficiente. Uma alocação onde um bilionário possui tudo e os demais agentes nada pode ser Pareto-eficiente (ninguém pode melhorar sem que o bilionário piore), mas dificilmente seria considerada socialmente justa.</w:t>
      </w:r>
    </w:p>
    <w:p>
      <w:pPr>
        <w:pStyle w:val="BodyText"/>
      </w:pPr>
      <w:r>
        <w:t xml:space="preserve">Do ponto de vista da política pública, o Primeiro Teorema fornece o fundamento teórico para políticas pró-concorrência e contra monopólios: se os mercados competitivos são eficientes, então é socialmente valioso preservar a competição. Mas o teorema também funciona como um mapa das falhas de mercado: cada hipótese violada — poder de mercado, externalidades, bens públicos, informação assimétrica, mercados incompletos — representa uma razão potencial para a intervenção governamental. Nos capítulos seguintes, exploraremos sistematicamente cada uma dessas falhas.</w:t>
      </w:r>
    </w:p>
    <w:p>
      <w:pPr>
        <w:pStyle w:val="BlockText"/>
      </w:pPr>
      <w:r>
        <w:rPr>
          <w:b/>
          <w:bCs/>
        </w:rPr>
        <w:t xml:space="preserve">[INTUICAO ECONOMICA] Intuição Econômica</w:t>
      </w:r>
    </w:p>
    <w:p>
      <w:pPr>
        <w:pStyle w:val="BlockText"/>
      </w:pPr>
      <w:r>
        <w:rPr>
          <w:b/>
          <w:bCs/>
        </w:rPr>
        <w:t xml:space="preserve">Em uma frase:</w:t>
      </w:r>
      <w:r>
        <w:t xml:space="preserve"> </w:t>
      </w:r>
      <w:r>
        <w:t xml:space="preserve">Quando os mercados funcionam bem (sem monopólios, externalidades ou informação assimétrica), o interesse próprio de cada agente leva, como que por mágica, a um resultado eficiente para todos.</w:t>
      </w:r>
    </w:p>
    <w:p>
      <w:pPr>
        <w:pStyle w:val="BlockText"/>
      </w:pPr>
      <w:r>
        <w:rPr>
          <w:b/>
          <w:bCs/>
        </w:rPr>
        <w:t xml:space="preserve">Pense assim:</w:t>
      </w:r>
      <w:r>
        <w:t xml:space="preserve"> </w:t>
      </w:r>
      <w:r>
        <w:t xml:space="preserve">Ninguém coordena os milhares de caminhões que levam comida de Mato Grosso aos supermercados de São Paulo. Cada motorista, cada atacadista e cada varejista age por interesse próprio — mas o sistema de preços funciona como um</w:t>
      </w:r>
      <w:r>
        <w:t xml:space="preserve"> </w:t>
      </w:r>
      <w:r>
        <w:t xml:space="preserve">“maestro invisível”</w:t>
      </w:r>
      <w:r>
        <w:t xml:space="preserve">, sinalizando onde falta e onde sobra produto. O Primeiro Teorema formaliza essa ideia: se os preços são livres e ninguém tem poder de mercado, o resultado é eficiente.</w:t>
      </w:r>
    </w:p>
    <w:p>
      <w:pPr>
        <w:pStyle w:val="BlockText"/>
      </w:pPr>
      <w:r>
        <w:rPr>
          <w:b/>
          <w:bCs/>
        </w:rPr>
        <w:t xml:space="preserve">Por que isso importa:</w:t>
      </w:r>
      <w:r>
        <w:t xml:space="preserve"> </w:t>
      </w:r>
      <w:r>
        <w:t xml:space="preserve">Esse teorema é o fundamento teórico para políticas pró-concorrência e contra monopólios — mas também alerta que, quando as hipóteses falham (externalidades, bens públicos), a intervenção governamental pode ser justificada.</w:t>
      </w:r>
    </w:p>
    <w:p>
      <w:pPr>
        <w:pStyle w:val="BlockText"/>
      </w:pPr>
      <w:r>
        <w:rPr>
          <w:b/>
          <w:bCs/>
        </w:rPr>
        <w:t xml:space="preserve">[BOX MUNDO] Box Mundo 14.1 — EU Emissions Trading System: equilíbrio geral e mercados de emissões</w:t>
      </w:r>
    </w:p>
    <w:p>
      <w:pPr>
        <w:pStyle w:val="BlockText"/>
      </w:pPr>
      <w:r>
        <w:rPr>
          <w:b/>
          <w:bCs/>
        </w:rPr>
        <w:t xml:space="preserve">Contexto:</w:t>
      </w:r>
      <w:r>
        <w:t xml:space="preserve"> </w:t>
      </w:r>
      <w:r>
        <w:t xml:space="preserve">O</w:t>
      </w:r>
      <w:r>
        <w:t xml:space="preserve"> </w:t>
      </w:r>
      <w:r>
        <w:rPr>
          <w:b/>
          <w:bCs/>
        </w:rPr>
        <w:t xml:space="preserve">Sistema de Comércio de Emissões da União Europeia</w:t>
      </w:r>
      <w:r>
        <w:t xml:space="preserve"> </w:t>
      </w:r>
      <w:r>
        <w:t xml:space="preserve">(EU ETS), criado em 2005, é o maior mercado de carbono do mundo. Ele estabelece um teto (</w:t>
      </w:r>
      <w:r>
        <w:rPr>
          <w:i/>
          <w:iCs/>
        </w:rPr>
        <w:t xml:space="preserve">cap</w:t>
      </w:r>
      <w:r>
        <w:t xml:space="preserve">) para as emissões totais de CO₂ de setores industriais e de energia, distribuindo permissões de emissão que podem ser compradas e vendidas entre empresas. A lógica é criar um</w:t>
      </w:r>
      <w:r>
        <w:t xml:space="preserve"> </w:t>
      </w:r>
      <w:r>
        <w:t xml:space="preserve">“mercado de poluição”</w:t>
      </w:r>
      <w:r>
        <w:t xml:space="preserve"> </w:t>
      </w:r>
      <w:r>
        <w:t xml:space="preserve">que, ao estabelecer um preço para o carbono, incentive a redução de emissões onde ela é mais barata.</w:t>
      </w:r>
    </w:p>
    <w:p>
      <w:pPr>
        <w:pStyle w:val="BlockText"/>
      </w:pPr>
      <w:r>
        <w:rPr>
          <w:b/>
          <w:bCs/>
        </w:rPr>
        <w:t xml:space="preserve">Dados:</w:t>
      </w:r>
      <w:r>
        <w:t xml:space="preserve"> </w:t>
      </w:r>
      <w:r>
        <w:t xml:space="preserve">Em 2023, o EU ETS cobria cerca de</w:t>
      </w:r>
      <w:r>
        <w:t xml:space="preserve"> </w:t>
      </w:r>
      <w:r>
        <w:rPr>
          <w:b/>
          <w:bCs/>
        </w:rPr>
        <w:t xml:space="preserve">10.000 instalações</w:t>
      </w:r>
      <w:r>
        <w:t xml:space="preserve"> </w:t>
      </w:r>
      <w:r>
        <w:t xml:space="preserve">responsáveis por aproximadamente</w:t>
      </w:r>
      <w:r>
        <w:t xml:space="preserve"> </w:t>
      </w:r>
      <w:r>
        <w:rPr>
          <w:b/>
          <w:bCs/>
        </w:rPr>
        <w:t xml:space="preserve">40% das emissões totais de gases de efeito estufa da UE</w:t>
      </w:r>
      <w:r>
        <w:t xml:space="preserve">. O preço da tonelada de CO₂ atingiu um pico de</w:t>
      </w:r>
      <w:r>
        <w:t xml:space="preserve"> </w:t>
      </w:r>
      <w:r>
        <w:rPr>
          <w:b/>
          <w:bCs/>
        </w:rPr>
        <w:t xml:space="preserve">€100</w:t>
      </w:r>
      <w:r>
        <w:t xml:space="preserve"> </w:t>
      </w:r>
      <w:r>
        <w:t xml:space="preserve">em fevereiro de 2023, acima dos €5–8 observados nos primeiros anos do sistema. A receita total gerada com leilões de permissões superou</w:t>
      </w:r>
      <w:r>
        <w:t xml:space="preserve"> </w:t>
      </w:r>
      <w:r>
        <w:rPr>
          <w:b/>
          <w:bCs/>
        </w:rPr>
        <w:t xml:space="preserve">€40 bilhões</w:t>
      </w:r>
      <w:r>
        <w:t xml:space="preserve"> </w:t>
      </w:r>
      <w:r>
        <w:t xml:space="preserve">em 2022.</w:t>
      </w:r>
    </w:p>
    <w:p>
      <w:pPr>
        <w:pStyle w:val="BlockText"/>
      </w:pPr>
      <w:r>
        <w:rPr>
          <w:b/>
          <w:bCs/>
        </w:rPr>
        <w:t xml:space="preserve">Análise:</w:t>
      </w:r>
      <w:r>
        <w:t xml:space="preserve"> </w:t>
      </w:r>
      <w:r>
        <w:t xml:space="preserve">O EU ETS ilustra perfeitamente a necessidade de análise de equilíbrio geral. O preço do carbono afeta diretamente os custos de produção de energia elétrica, que por sua vez afetam os custos de produção de todos os bens industriais. Setores intensivos em energia (aço, cimento, alumínio) enfrentam aumentos de custo que podem reduzir sua competitividade frente a importações de países sem precificação de carbono — o chamado</w:t>
      </w:r>
      <w:r>
        <w:t xml:space="preserve"> </w:t>
      </w:r>
      <w:r>
        <w:t xml:space="preserve">“vazamento de carbono”</w:t>
      </w:r>
      <w:r>
        <w:t xml:space="preserve"> </w:t>
      </w:r>
      <w:r>
        <w:t xml:space="preserve">(</w:t>
      </w:r>
      <w:r>
        <w:rPr>
          <w:i/>
          <w:iCs/>
        </w:rPr>
        <w:t xml:space="preserve">carbon leakage</w:t>
      </w:r>
      <w:r>
        <w:t xml:space="preserve">). Para lidar com isso, a UE introduziu em 2023 o</w:t>
      </w:r>
      <w:r>
        <w:t xml:space="preserve"> </w:t>
      </w:r>
      <w:r>
        <w:rPr>
          <w:b/>
          <w:bCs/>
        </w:rPr>
        <w:t xml:space="preserve">CBAM</w:t>
      </w:r>
      <w:r>
        <w:t xml:space="preserve"> </w:t>
      </w:r>
      <w:r>
        <w:t xml:space="preserve">(</w:t>
      </w:r>
      <w:r>
        <w:rPr>
          <w:i/>
          <w:iCs/>
        </w:rPr>
        <w:t xml:space="preserve">Carbon Border Adjustment Mechanism</w:t>
      </w:r>
      <w:r>
        <w:t xml:space="preserve">), um imposto sobre importações de bens intensivos em carbono. Modelos CGE são essenciais para quantificar esses efeitos intersetoriais e comerciais, que uma análise parcial do mercado de energia ou do mercado de aço não capturaria adequadamente.</w:t>
      </w:r>
    </w:p>
    <w:p>
      <w:pPr>
        <w:pStyle w:val="BlockText"/>
      </w:pPr>
      <w:r>
        <w:rPr>
          <w:b/>
          <w:bCs/>
        </w:rPr>
        <w:t xml:space="preserve">Fonte:</w:t>
      </w:r>
      <w:r>
        <w:t xml:space="preserve"> </w:t>
      </w:r>
      <w:r>
        <w:t xml:space="preserve">European Commission, EU ETS Handbook (2023); World Bank, State and Trends of Carbon Pricing (2023).</w:t>
      </w:r>
    </w:p>
    <w:p>
      <w:r>
        <w:pict>
          <v:rect style="width:0;height:1.5pt" o:hralign="center" o:hrstd="t" o:hr="t"/>
        </w:pict>
      </w:r>
    </w:p>
    <w:bookmarkEnd w:id="872"/>
    <w:bookmarkStart w:id="875" w:name="X3c0730cf3f50613e40561e67c871fdb92820cf9"/>
    <w:p>
      <w:pPr>
        <w:pStyle w:val="Heading3"/>
      </w:pPr>
      <w:r>
        <w:t xml:space="preserve">14.7 Redistribuir sem Estragar: Segundo Teorema do Bem-Estar</w:t>
      </w:r>
    </w:p>
    <w:p>
      <w:pPr>
        <w:pStyle w:val="FirstParagraph"/>
      </w:pPr>
      <w:r>
        <w:t xml:space="preserve">O Primeiro Teorema nos diz que o equilíbrio competitivo é eficiente — mas</w:t>
      </w:r>
      <w:r>
        <w:t xml:space="preserve"> </w:t>
      </w:r>
      <w:r>
        <w:rPr>
          <w:i/>
          <w:iCs/>
        </w:rPr>
        <w:t xml:space="preserve">qual</w:t>
      </w:r>
      <w:r>
        <w:t xml:space="preserve"> </w:t>
      </w:r>
      <w:r>
        <w:t xml:space="preserve">equilíbrio eficiente? A curva de contrato contém infinitas alocações Pareto-eficientes, e algumas delas são altamente desiguais. O mercado seleciona um ponto específico na curva de contrato, determinado pelas dotações iniciais dos agentes. Se a sociedade considera a distribuição resultante injusta, será necessário sacrificar a eficiência para obter equidade? O Segundo Teorema do Bem-Estar responde a essa pergunta com um resultado surpreendentemente otimista.</w:t>
      </w:r>
    </w:p>
    <w:p>
      <w:pPr>
        <w:pStyle w:val="BlockText"/>
      </w:pPr>
      <w:r>
        <w:rPr>
          <w:b/>
          <w:bCs/>
        </w:rPr>
        <w:t xml:space="preserve">[TEOREMA] Segundo Teorema do Bem-Estar</w:t>
      </w:r>
    </w:p>
    <w:p>
      <w:pPr>
        <w:pStyle w:val="BlockText"/>
      </w:pPr>
      <w:r>
        <w:t xml:space="preserve">Se as preferências dos consumidores são convexas e localmente não saciadas, e se os conjuntos de produção das firmas são convexos, então qualquer alocação Pareto-eficiente pode ser alcançada como um equilíbrio competitivo, desde que se realizem transferências lump-sum apropriadas das dotações iniciais.</w:t>
      </w:r>
    </w:p>
    <w:bookmarkStart w:id="873" w:name="importância-normativa"/>
    <w:p>
      <w:pPr>
        <w:pStyle w:val="Heading4"/>
      </w:pPr>
      <w:r>
        <w:t xml:space="preserve">Importância normativa</w:t>
      </w:r>
    </w:p>
    <w:p>
      <w:pPr>
        <w:pStyle w:val="FirstParagraph"/>
      </w:pPr>
      <w:r>
        <w:t xml:space="preserve">O Segundo Teorema separa eficiência de equidade. Ele afirma que, em princípio, a sociedade pode escolher qualquer ponto da curva de contrato (qualquer distribuição de bem-estar) e implementá-lo via mercados competitivos, bastando redistribuir as dotações iniciais por meio de transferências fixas (</w:t>
      </w:r>
      <w:r>
        <w:rPr>
          <w:i/>
          <w:iCs/>
        </w:rPr>
        <w:t xml:space="preserve">lump-sum</w:t>
      </w:r>
      <w:r>
        <w:t xml:space="preserve">). Isso significa que:</w:t>
      </w:r>
    </w:p>
    <w:p>
      <w:pPr>
        <w:pStyle w:val="Compact"/>
        <w:numPr>
          <w:ilvl w:val="0"/>
          <w:numId w:val="1802"/>
        </w:numPr>
      </w:pPr>
      <w:r>
        <w:t xml:space="preserve">A concorrência perfeita não está vinculada a uma única distribuição de renda.</w:t>
      </w:r>
    </w:p>
    <w:p>
      <w:pPr>
        <w:pStyle w:val="Compact"/>
        <w:numPr>
          <w:ilvl w:val="0"/>
          <w:numId w:val="1802"/>
        </w:numPr>
      </w:pPr>
      <w:r>
        <w:t xml:space="preserve">Objetivos de equidade podem ser perseguidos sem sacrificar eficiência, desde que os instrumentos redistributivos sejam do tipo</w:t>
      </w:r>
      <w:r>
        <w:t xml:space="preserve"> </w:t>
      </w:r>
      <w:r>
        <w:rPr>
          <w:i/>
          <w:iCs/>
        </w:rPr>
        <w:t xml:space="preserve">lump-sum</w:t>
      </w:r>
      <w:r>
        <w:t xml:space="preserve">.</w:t>
      </w:r>
    </w:p>
    <w:p>
      <w:pPr>
        <w:pStyle w:val="FirstParagraph"/>
      </w:pPr>
      <w:r>
        <w:t xml:space="preserve">Note que o Segundo Teorema requer hipóteses mais fortes do que o Primeiro: exige convexidade das preferências e dos conjuntos de produção. Sem convexidade, pode não existir um sistema de preços que sustente uma dada alocação eficiente como equilíbrio — geometricamente, pode ser impossível</w:t>
      </w:r>
      <w:r>
        <w:t xml:space="preserve"> </w:t>
      </w:r>
      <w:r>
        <w:t xml:space="preserve">“separar”</w:t>
      </w:r>
      <w:r>
        <w:t xml:space="preserve"> </w:t>
      </w:r>
      <w:r>
        <w:t xml:space="preserve">os conjuntos preferidos por ambos os consumidores com um hiperplano (a reta de preços). Essa distinção técnica tem implicações práticas: em setores com retornos crescentes de escala (onde os conjuntos de produção não são convexos), o Segundo Teorema não se aplica diretamente, e a descentralização via preços pode ser impossível.</w:t>
      </w:r>
    </w:p>
    <w:bookmarkEnd w:id="873"/>
    <w:bookmarkStart w:id="874" w:name="Xdd430d35519b70b5626a601d855b03018f0983f"/>
    <w:p>
      <w:pPr>
        <w:pStyle w:val="Heading4"/>
      </w:pPr>
      <w:r>
        <w:t xml:space="preserve">Dificuldades práticas das transferências lump-sum</w:t>
      </w:r>
    </w:p>
    <w:p>
      <w:pPr>
        <w:pStyle w:val="FirstParagraph"/>
      </w:pPr>
      <w:r>
        <w:t xml:space="preserve">A beleza teórica do Segundo Teorema contrasta com as enormes dificuldades de sua implementação prática. Transferências</w:t>
      </w:r>
      <w:r>
        <w:t xml:space="preserve"> </w:t>
      </w:r>
      <w:r>
        <w:rPr>
          <w:i/>
          <w:iCs/>
        </w:rPr>
        <w:t xml:space="preserve">lump-sum</w:t>
      </w:r>
      <w:r>
        <w:t xml:space="preserve"> </w:t>
      </w:r>
      <w:r>
        <w:t xml:space="preserve">perfeitas requerem que o governo conheça as características individuais dos agentes — suas preferências, habilidades, dotações — para calcular o montante exato a transferir. Mas essas informações são tipicamente privadas: se o governo taxar os</w:t>
      </w:r>
      <w:r>
        <w:t xml:space="preserve"> </w:t>
      </w:r>
      <w:r>
        <w:t xml:space="preserve">“mais habilidosos”</w:t>
      </w:r>
      <w:r>
        <w:t xml:space="preserve"> </w:t>
      </w:r>
      <w:r>
        <w:t xml:space="preserve">com base em sua capacidade produtiva, os agentes têm incentivo para subinformar suas habilidades. Esse problema de informação assimétrica — estudado em profundidade nos Capítulos 16 e 17 — é a razão pela qual, na prática, os governos utilizam instrumentos distorcivos como o imposto de renda progressivo, o IVA e impostos sobre propriedade. Esses instrumentos geram perda de peso morto (deadweight loss), o que significa que a redistribuição efetiva envolve um</w:t>
      </w:r>
      <w:r>
        <w:t xml:space="preserve"> </w:t>
      </w:r>
      <w:r>
        <w:rPr>
          <w:i/>
          <w:iCs/>
        </w:rPr>
        <w:t xml:space="preserve">trade-off</w:t>
      </w:r>
      <w:r>
        <w:t xml:space="preserve"> </w:t>
      </w:r>
      <w:r>
        <w:t xml:space="preserve">entre eficiência e equidade que o Segundo Teorema, em sua pureza teórica, sugere ser evitável.</w:t>
      </w:r>
    </w:p>
    <w:p>
      <w:pPr>
        <w:pStyle w:val="BodyText"/>
      </w:pPr>
      <w:r>
        <w:t xml:space="preserve">O debate entre eficiência e equidade está no centro da economia do setor público. De um lado, economistas como Arthur Okun argumentaram em</w:t>
      </w:r>
      <w:r>
        <w:t xml:space="preserve"> </w:t>
      </w:r>
      <w:r>
        <w:rPr>
          <w:i/>
          <w:iCs/>
        </w:rPr>
        <w:t xml:space="preserve">Equality and Efficiency: The Big Tradeoff</w:t>
      </w:r>
      <w:r>
        <w:t xml:space="preserve"> </w:t>
      </w:r>
      <w:r>
        <w:t xml:space="preserve">(1975) que toda redistribuição envolve</w:t>
      </w:r>
      <w:r>
        <w:t xml:space="preserve"> </w:t>
      </w:r>
      <w:r>
        <w:t xml:space="preserve">“vazamentos”</w:t>
      </w:r>
      <w:r>
        <w:t xml:space="preserve"> </w:t>
      </w:r>
      <w:r>
        <w:t xml:space="preserve">— perdas de eficiência inevitáveis, como água transportada num balde furado. De outro, o Segundo Teorema sugere que o tamanho desses</w:t>
      </w:r>
      <w:r>
        <w:t xml:space="preserve"> </w:t>
      </w:r>
      <w:r>
        <w:t xml:space="preserve">“furos”</w:t>
      </w:r>
      <w:r>
        <w:t xml:space="preserve"> </w:t>
      </w:r>
      <w:r>
        <w:t xml:space="preserve">depende dos instrumentos utilizados: quanto mais próximos de transferências</w:t>
      </w:r>
      <w:r>
        <w:t xml:space="preserve"> </w:t>
      </w:r>
      <w:r>
        <w:rPr>
          <w:i/>
          <w:iCs/>
        </w:rPr>
        <w:t xml:space="preserve">lump-sum</w:t>
      </w:r>
      <w:r>
        <w:t xml:space="preserve">, menores as distorções. A busca por instrumentos redistributivos menos distorcivos — transferências diretas condicionais como o Bolsa Família, imposto de renda negativo, dividendos universais — pode ser interpretada como uma tentativa de se aproximar do ideal teórico do Segundo Teorema.</w:t>
      </w:r>
    </w:p>
    <w:p>
      <w:pPr>
        <w:pStyle w:val="BlockText"/>
      </w:pPr>
      <w:r>
        <w:rPr>
          <w:b/>
          <w:bCs/>
        </w:rPr>
        <w:t xml:space="preserve">[NOTA] Limitação prática</w:t>
      </w:r>
    </w:p>
    <w:p>
      <w:pPr>
        <w:pStyle w:val="BlockText"/>
      </w:pPr>
      <w:r>
        <w:t xml:space="preserve">Na prática, transferências</w:t>
      </w:r>
      <w:r>
        <w:t xml:space="preserve"> </w:t>
      </w:r>
      <w:r>
        <w:rPr>
          <w:i/>
          <w:iCs/>
        </w:rPr>
        <w:t xml:space="preserve">lump-sum</w:t>
      </w:r>
      <w:r>
        <w:t xml:space="preserve"> </w:t>
      </w:r>
      <w:r>
        <w:t xml:space="preserve">perfeitas são difíceis de implementar, pois requerem informação sobre características dos agentes que geralmente são privadas. A tributação factível (imposto de renda, IVA) introduz distorções e gera perda de peso morto — um</w:t>
      </w:r>
      <w:r>
        <w:t xml:space="preserve"> </w:t>
      </w:r>
      <w:r>
        <w:rPr>
          <w:i/>
          <w:iCs/>
        </w:rPr>
        <w:t xml:space="preserve">trade-off</w:t>
      </w:r>
      <w:r>
        <w:t xml:space="preserve"> </w:t>
      </w:r>
      <w:r>
        <w:t xml:space="preserve">entre eficiência e equidade que é central na economia do setor público.</w:t>
      </w:r>
    </w:p>
    <w:p>
      <w:pPr>
        <w:pStyle w:val="BlockText"/>
      </w:pPr>
      <w:r>
        <w:rPr>
          <w:b/>
          <w:bCs/>
        </w:rPr>
        <w:t xml:space="preserve">[INTUICAO ECONOMICA] Intuição Econômica</w:t>
      </w:r>
    </w:p>
    <w:p>
      <w:pPr>
        <w:pStyle w:val="BlockText"/>
      </w:pPr>
      <w:r>
        <w:rPr>
          <w:b/>
          <w:bCs/>
        </w:rPr>
        <w:t xml:space="preserve">Em uma frase:</w:t>
      </w:r>
      <w:r>
        <w:t xml:space="preserve"> </w:t>
      </w:r>
      <w:r>
        <w:t xml:space="preserve">A sociedade pode escolher qualquer distribuição de bem-estar que considere justa e, em princípio, alcançá-la usando mercados competitivos — basta redistribuir as dotações iniciais.</w:t>
      </w:r>
    </w:p>
    <w:p>
      <w:pPr>
        <w:pStyle w:val="BlockText"/>
      </w:pPr>
      <w:r>
        <w:rPr>
          <w:b/>
          <w:bCs/>
        </w:rPr>
        <w:t xml:space="preserve">Pense assim:</w:t>
      </w:r>
      <w:r>
        <w:t xml:space="preserve"> </w:t>
      </w:r>
      <w:r>
        <w:t xml:space="preserve">Imagine que o governo quer reduzir a desigualdade sem destruir a eficiência da economia. O Segundo Teorema diz que, em teoria, bastaria redistribuir a</w:t>
      </w:r>
      <w:r>
        <w:t xml:space="preserve"> </w:t>
      </w:r>
      <w:r>
        <w:t xml:space="preserve">“riqueza inicial”</w:t>
      </w:r>
      <w:r>
        <w:t xml:space="preserve"> </w:t>
      </w:r>
      <w:r>
        <w:t xml:space="preserve">(terra, capital) e depois deixar os mercados funcionarem livremente. É como reorganizar as fichas antes de começar o jogo, em vez de mudar as regras durante a partida. O problema é que, na prática, redistribuir sem distorcer é quase impossível — o Bolsa Família, por exemplo, é eficiente mas ainda gera algum custo administrativo.</w:t>
      </w:r>
    </w:p>
    <w:p>
      <w:pPr>
        <w:pStyle w:val="BlockText"/>
      </w:pPr>
      <w:r>
        <w:rPr>
          <w:b/>
          <w:bCs/>
        </w:rPr>
        <w:t xml:space="preserve">Por que isso importa:</w:t>
      </w:r>
      <w:r>
        <w:t xml:space="preserve"> </w:t>
      </w:r>
      <w:r>
        <w:t xml:space="preserve">Esse teorema fundamenta a separação entre política de eficiência (deixar mercados funcionar) e política de equidade (redistribuir renda), e é a base teórica de programas de transferência de renda como o Bolsa Família.</w:t>
      </w:r>
    </w:p>
    <w:p>
      <w:pPr>
        <w:pStyle w:val="BlockText"/>
      </w:pPr>
      <w:r>
        <w:rPr>
          <w:b/>
          <w:bCs/>
        </w:rPr>
        <w:t xml:space="preserve">[ATENCAO] Erro Comum</w:t>
      </w:r>
    </w:p>
    <w:p>
      <w:pPr>
        <w:pStyle w:val="BlockText"/>
      </w:pPr>
      <w:r>
        <w:rPr>
          <w:b/>
          <w:bCs/>
        </w:rPr>
        <w:t xml:space="preserve">Confundir eficiência de Pareto com justiça ou equidade.</w:t>
      </w:r>
    </w:p>
    <w:p>
      <w:pPr>
        <w:pStyle w:val="BlockText"/>
      </w:pPr>
      <w:r>
        <w:t xml:space="preserve">Muitos alunos concluem que, se o equilíbrio competitivo é Pareto-eficiente (Primeiro Teorema), então ele é necessariamente</w:t>
      </w:r>
      <w:r>
        <w:t xml:space="preserve"> </w:t>
      </w:r>
      <w:r>
        <w:t xml:space="preserve">“bom”</w:t>
      </w:r>
      <w:r>
        <w:t xml:space="preserve"> </w:t>
      </w:r>
      <w:r>
        <w:t xml:space="preserve">ou</w:t>
      </w:r>
      <w:r>
        <w:t xml:space="preserve"> </w:t>
      </w:r>
      <w:r>
        <w:t xml:space="preserve">“justo”</w:t>
      </w:r>
      <w:r>
        <w:t xml:space="preserve">. Isso é falso. Uma alocação em que um único agente detém todos os recursos pode ser Pareto-eficiente — ninguém melhora sem que ele piore — mas é claramente desigual. Eficiência de Pareto é um critério de</w:t>
      </w:r>
      <w:r>
        <w:t xml:space="preserve"> </w:t>
      </w:r>
      <w:r>
        <w:rPr>
          <w:b/>
          <w:bCs/>
        </w:rPr>
        <w:t xml:space="preserve">não-desperdício</w:t>
      </w:r>
      <w:r>
        <w:t xml:space="preserve">, não de equidade. O Segundo Teorema complementa essa análise ao mostrar que qualquer alocação eficiente pode, em princípio, ser alcançada via mercados competitivos com transferências lump-sum — separando o problema de eficiência do problema de distribuição.</w:t>
      </w:r>
    </w:p>
    <w:p>
      <w:pPr>
        <w:pStyle w:val="BlockText"/>
      </w:pPr>
      <w:r>
        <w:rPr>
          <w:b/>
          <w:bCs/>
        </w:rPr>
        <w:t xml:space="preserve">[BOX MUNDO] Box Mundo 14.2 — Países nórdicos: o Segundo Teorema na prática</w:t>
      </w:r>
    </w:p>
    <w:p>
      <w:pPr>
        <w:pStyle w:val="BlockText"/>
      </w:pPr>
      <w:r>
        <w:rPr>
          <w:b/>
          <w:bCs/>
        </w:rPr>
        <w:t xml:space="preserve">Contexto:</w:t>
      </w:r>
      <w:r>
        <w:t xml:space="preserve"> </w:t>
      </w:r>
      <w:r>
        <w:t xml:space="preserve">Os</w:t>
      </w:r>
      <w:r>
        <w:t xml:space="preserve"> </w:t>
      </w:r>
      <w:r>
        <w:rPr>
          <w:b/>
          <w:bCs/>
        </w:rPr>
        <w:t xml:space="preserve">países nórdicos</w:t>
      </w:r>
      <w:r>
        <w:t xml:space="preserve"> </w:t>
      </w:r>
      <w:r>
        <w:t xml:space="preserve">(Dinamarca, Finlândia, Noruega, Suécia) são frequentemente citados como exemplos de economias que combinam elevado nível de bem-estar social com mercados competitivos e dinâmicos. Sua estratégia pode ser interpretada, em termos do Segundo Teorema do Bem-Estar, como uma tentativa de redistribuir dotações (via tributação e transferências) e deixar os mercados operarem livremente para alcançar a eficiência.</w:t>
      </w:r>
    </w:p>
    <w:p>
      <w:pPr>
        <w:pStyle w:val="BlockText"/>
      </w:pPr>
      <w:r>
        <w:rPr>
          <w:b/>
          <w:bCs/>
        </w:rPr>
        <w:t xml:space="preserve">Dados:</w:t>
      </w:r>
      <w:r>
        <w:t xml:space="preserve"> </w:t>
      </w:r>
      <w:r>
        <w:t xml:space="preserve">Em 2023, a carga tributária dos países nórdicos variava de</w:t>
      </w:r>
      <w:r>
        <w:t xml:space="preserve"> </w:t>
      </w:r>
      <w:r>
        <w:rPr>
          <w:b/>
          <w:bCs/>
        </w:rPr>
        <w:t xml:space="preserve">42%</w:t>
      </w:r>
      <w:r>
        <w:t xml:space="preserve"> </w:t>
      </w:r>
      <w:r>
        <w:t xml:space="preserve">(Finlândia) a</w:t>
      </w:r>
      <w:r>
        <w:t xml:space="preserve"> </w:t>
      </w:r>
      <w:r>
        <w:rPr>
          <w:b/>
          <w:bCs/>
        </w:rPr>
        <w:t xml:space="preserve">46%</w:t>
      </w:r>
      <w:r>
        <w:t xml:space="preserve"> </w:t>
      </w:r>
      <w:r>
        <w:t xml:space="preserve">(Dinamarca) do PIB — entre as mais altas do mundo. Ao mesmo tempo, esses países figuram consistentemente entre os</w:t>
      </w:r>
      <w:r>
        <w:t xml:space="preserve"> </w:t>
      </w:r>
      <w:r>
        <w:rPr>
          <w:b/>
          <w:bCs/>
        </w:rPr>
        <w:t xml:space="preserve">10 primeiros</w:t>
      </w:r>
      <w:r>
        <w:t xml:space="preserve"> </w:t>
      </w:r>
      <w:r>
        <w:t xml:space="preserve">no Índice de Liberdade Econômica da Heritage Foundation e no Índice de Competitividade Global do Fórum Econômico Mundial. O coeficiente de Gini pós-transferências varia entre</w:t>
      </w:r>
      <w:r>
        <w:t xml:space="preserve"> </w:t>
      </w:r>
      <w:r>
        <w:rPr>
          <w:b/>
          <w:bCs/>
        </w:rPr>
        <w:t xml:space="preserve">0,25 e 0,28</w:t>
      </w:r>
      <w:r>
        <w:t xml:space="preserve">, contra</w:t>
      </w:r>
      <w:r>
        <w:t xml:space="preserve"> </w:t>
      </w:r>
      <w:r>
        <w:rPr>
          <w:b/>
          <w:bCs/>
        </w:rPr>
        <w:t xml:space="preserve">0,39</w:t>
      </w:r>
      <w:r>
        <w:t xml:space="preserve"> </w:t>
      </w:r>
      <w:r>
        <w:t xml:space="preserve">nos EUA e</w:t>
      </w:r>
      <w:r>
        <w:t xml:space="preserve"> </w:t>
      </w:r>
      <w:r>
        <w:rPr>
          <w:b/>
          <w:bCs/>
        </w:rPr>
        <w:t xml:space="preserve">0,49</w:t>
      </w:r>
      <w:r>
        <w:t xml:space="preserve"> </w:t>
      </w:r>
      <w:r>
        <w:t xml:space="preserve">no Brasil (2022). A taxa de pobreza é inferior a</w:t>
      </w:r>
      <w:r>
        <w:t xml:space="preserve"> </w:t>
      </w:r>
      <w:r>
        <w:rPr>
          <w:b/>
          <w:bCs/>
        </w:rPr>
        <w:t xml:space="preserve">10%</w:t>
      </w:r>
      <w:r>
        <w:t xml:space="preserve">, contra</w:t>
      </w:r>
      <w:r>
        <w:t xml:space="preserve"> </w:t>
      </w:r>
      <w:r>
        <w:rPr>
          <w:b/>
          <w:bCs/>
        </w:rPr>
        <w:t xml:space="preserve">17%</w:t>
      </w:r>
      <w:r>
        <w:t xml:space="preserve"> </w:t>
      </w:r>
      <w:r>
        <w:t xml:space="preserve">nos EUA.</w:t>
      </w:r>
    </w:p>
    <w:p>
      <w:pPr>
        <w:pStyle w:val="BlockText"/>
      </w:pPr>
      <w:r>
        <w:rPr>
          <w:b/>
          <w:bCs/>
        </w:rPr>
        <w:t xml:space="preserve">Análise:</w:t>
      </w:r>
      <w:r>
        <w:t xml:space="preserve"> </w:t>
      </w:r>
      <w:r>
        <w:t xml:space="preserve">O</w:t>
      </w:r>
      <w:r>
        <w:t xml:space="preserve"> </w:t>
      </w:r>
      <w:r>
        <w:t xml:space="preserve">“modelo nórdico”</w:t>
      </w:r>
      <w:r>
        <w:t xml:space="preserve"> </w:t>
      </w:r>
      <w:r>
        <w:t xml:space="preserve">opera pela combinação de (i) mercados de trabalho flexíveis com proteção ao trabalhador (o modelo de</w:t>
      </w:r>
      <w:r>
        <w:t xml:space="preserve"> </w:t>
      </w:r>
      <w:r>
        <w:rPr>
          <w:i/>
          <w:iCs/>
        </w:rPr>
        <w:t xml:space="preserve">flexicurity</w:t>
      </w:r>
      <w:r>
        <w:t xml:space="preserve"> </w:t>
      </w:r>
      <w:r>
        <w:t xml:space="preserve">dinamarquês), (ii) tributação elevada mas com base ampla e relativamente pouco distorciva (IVA uniforme, imposto de renda com poucas deduções), e (iii) transferências generosas e universais (saúde, educação, seguro-desemprego). A lógica é próxima do Segundo Teorema: redistribuir fortemente via transferências e depois deixar os mercados operarem com mínima intervenção regulatória. É claro que a tributação nórdica não é</w:t>
      </w:r>
      <w:r>
        <w:t xml:space="preserve"> </w:t>
      </w:r>
      <w:r>
        <w:rPr>
          <w:i/>
          <w:iCs/>
        </w:rPr>
        <w:t xml:space="preserve">lump-sum</w:t>
      </w:r>
      <w:r>
        <w:t xml:space="preserve"> </w:t>
      </w:r>
      <w:r>
        <w:t xml:space="preserve">— o imposto de renda progressivo distorce a decisão trabalho-lazer —, mas a abordagem se aproxima do ideal teórico ao minimizar outras fontes de distorção (pouca proteção tarifária, pouca regulação de preços, mercados de produtos competitivos).</w:t>
      </w:r>
    </w:p>
    <w:p>
      <w:pPr>
        <w:pStyle w:val="BlockText"/>
      </w:pPr>
      <w:r>
        <w:rPr>
          <w:b/>
          <w:bCs/>
        </w:rPr>
        <w:t xml:space="preserve">Fonte:</w:t>
      </w:r>
      <w:r>
        <w:t xml:space="preserve"> </w:t>
      </w:r>
      <w:r>
        <w:t xml:space="preserve">OECD Revenue Statistics (2023); World Bank, World Development Indicators; Heritage Foundation,</w:t>
      </w:r>
      <w:r>
        <w:t xml:space="preserve"> </w:t>
      </w:r>
      <w:r>
        <w:rPr>
          <w:i/>
          <w:iCs/>
        </w:rPr>
        <w:t xml:space="preserve">Index of Economic Freedom</w:t>
      </w:r>
      <w:r>
        <w:t xml:space="preserve"> </w:t>
      </w:r>
      <w:r>
        <w:t xml:space="preserve">(2023).</w:t>
      </w:r>
    </w:p>
    <w:p>
      <w:pPr>
        <w:pStyle w:val="BlockText"/>
      </w:pPr>
      <w:r>
        <w:rPr>
          <w:b/>
          <w:bCs/>
        </w:rPr>
        <w:t xml:space="preserve">[EXERCICIO RESOLVIDO] Exercício Resolvido 14.4 — Segundo Teorema e transferências lump-sum</w:t>
      </w:r>
    </w:p>
    <w:p>
      <w:pPr>
        <w:pStyle w:val="BlockText"/>
      </w:pPr>
      <w:r>
        <w:rPr>
          <w:b/>
          <w:bCs/>
        </w:rPr>
        <w:t xml:space="preserve">Enunciado:</w:t>
      </w:r>
      <w:r>
        <w:t xml:space="preserve"> </w:t>
      </w:r>
      <w:r>
        <w:t xml:space="preserve">Na mesma economia do ER 14.2, um planejador social deseja alcançar a alocação Pareto-eficiente</w:t>
      </w:r>
      <w:r>
        <w:t xml:space="preserve"> </w:t>
      </w:r>
      <m:oMath>
        <m:sSub>
          <m:e>
            <m:r>
              <m:rPr>
                <m:sty m:val="bi"/>
              </m:rPr>
              <m:t>x</m:t>
            </m:r>
          </m:e>
          <m:sub>
            <m:r>
              <m:t>A</m:t>
            </m:r>
          </m:sub>
        </m:sSub>
        <m:r>
          <m:rPr>
            <m:sty m:val="p"/>
          </m:rPr>
          <m:t>=</m:t>
        </m:r>
        <m:r>
          <m:rPr>
            <m:sty m:val="p"/>
          </m:rPr>
          <m:t>(</m:t>
        </m:r>
        <m:r>
          <m:t>5</m:t>
        </m:r>
        <m:r>
          <m:rPr>
            <m:sty m:val="p"/>
          </m:rPr>
          <m:t>,</m:t>
        </m:r>
        <m:r>
          <m:t> </m:t>
        </m:r>
        <m:r>
          <m:t>10</m:t>
        </m:r>
        <m:r>
          <m:rPr>
            <m:sty m:val="p"/>
          </m:rPr>
          <m:t>/</m:t>
        </m:r>
        <m:r>
          <m:t>3</m:t>
        </m:r>
        <m:r>
          <m:rPr>
            <m:sty m:val="p"/>
          </m:rPr>
          <m:t>)</m:t>
        </m:r>
      </m:oMath>
      <w:r>
        <w:t xml:space="preserve">,</w:t>
      </w:r>
      <w:r>
        <w:t xml:space="preserve"> </w:t>
      </w:r>
      <m:oMath>
        <m:sSub>
          <m:e>
            <m:r>
              <m:rPr>
                <m:sty m:val="bi"/>
              </m:rPr>
              <m:t>x</m:t>
            </m:r>
          </m:e>
          <m:sub>
            <m:r>
              <m:t>B</m:t>
            </m:r>
          </m:sub>
        </m:sSub>
        <m:r>
          <m:rPr>
            <m:sty m:val="p"/>
          </m:rPr>
          <m:t>=</m:t>
        </m:r>
        <m:r>
          <m:rPr>
            <m:sty m:val="p"/>
          </m:rPr>
          <m:t>(</m:t>
        </m:r>
        <m:r>
          <m:t>5</m:t>
        </m:r>
        <m:r>
          <m:rPr>
            <m:sty m:val="p"/>
          </m:rPr>
          <m:t>,</m:t>
        </m:r>
        <m:r>
          <m:t> </m:t>
        </m:r>
        <m:r>
          <m:t>20</m:t>
        </m:r>
        <m:r>
          <m:rPr>
            <m:sty m:val="p"/>
          </m:rPr>
          <m:t>/</m:t>
        </m:r>
        <m:r>
          <m:t>3</m:t>
        </m:r>
        <m:r>
          <m:rPr>
            <m:sty m:val="p"/>
          </m:rPr>
          <m:t>)</m:t>
        </m:r>
      </m:oMath>
      <w:r>
        <w:t xml:space="preserve">. Verifique que essa alocação é eficiente e determine a transferência</w:t>
      </w:r>
      <w:r>
        <w:t xml:space="preserve"> </w:t>
      </w:r>
      <w:r>
        <w:rPr>
          <w:i/>
          <w:iCs/>
        </w:rPr>
        <w:t xml:space="preserve">lump-sum</w:t>
      </w:r>
      <w:r>
        <w:t xml:space="preserve"> </w:t>
      </w:r>
      <w:r>
        <w:t xml:space="preserve">necessária.</w:t>
      </w:r>
    </w:p>
    <w:p>
      <w:pPr>
        <w:pStyle w:val="BlockText"/>
      </w:pPr>
      <w:r>
        <w:rPr>
          <w:b/>
          <w:bCs/>
        </w:rPr>
        <w:t xml:space="preserve">Dados:</w:t>
      </w:r>
      <w:r>
        <w:t xml:space="preserve"> </w:t>
      </w:r>
      <w:r>
        <w:t xml:space="preserve">Mesmas preferências e dotações do ER 14.2. Alocação desejada:</w:t>
      </w:r>
      <w:r>
        <w:t xml:space="preserve"> </w:t>
      </w:r>
      <m:oMath>
        <m:sSub>
          <m:e>
            <m:r>
              <m:rPr>
                <m:sty m:val="bi"/>
              </m:rPr>
              <m:t>x</m:t>
            </m:r>
          </m:e>
          <m:sub>
            <m:r>
              <m:t>A</m:t>
            </m:r>
          </m:sub>
        </m:sSub>
        <m:r>
          <m:rPr>
            <m:sty m:val="p"/>
          </m:rPr>
          <m:t>=</m:t>
        </m:r>
        <m:r>
          <m:rPr>
            <m:sty m:val="p"/>
          </m:rPr>
          <m:t>(</m:t>
        </m:r>
        <m:r>
          <m:t>5</m:t>
        </m:r>
        <m:r>
          <m:rPr>
            <m:sty m:val="p"/>
          </m:rPr>
          <m:t>,</m:t>
        </m:r>
        <m:r>
          <m:t> </m:t>
        </m:r>
        <m:r>
          <m:t>10</m:t>
        </m:r>
        <m:r>
          <m:rPr>
            <m:sty m:val="p"/>
          </m:rPr>
          <m:t>/</m:t>
        </m:r>
        <m:r>
          <m:t>3</m:t>
        </m:r>
        <m:r>
          <m:rPr>
            <m:sty m:val="p"/>
          </m:rPr>
          <m:t>)</m:t>
        </m:r>
      </m:oMath>
      <w:r>
        <w:t xml:space="preserve">,</w:t>
      </w:r>
      <w:r>
        <w:t xml:space="preserve"> </w:t>
      </w:r>
      <m:oMath>
        <m:sSub>
          <m:e>
            <m:r>
              <m:rPr>
                <m:sty m:val="bi"/>
              </m:rPr>
              <m:t>x</m:t>
            </m:r>
          </m:e>
          <m:sub>
            <m:r>
              <m:t>B</m:t>
            </m:r>
          </m:sub>
        </m:sSub>
        <m:r>
          <m:rPr>
            <m:sty m:val="p"/>
          </m:rPr>
          <m:t>=</m:t>
        </m:r>
        <m:r>
          <m:rPr>
            <m:sty m:val="p"/>
          </m:rPr>
          <m:t>(</m:t>
        </m:r>
        <m:r>
          <m:t>5</m:t>
        </m:r>
        <m:r>
          <m:rPr>
            <m:sty m:val="p"/>
          </m:rPr>
          <m:t>,</m:t>
        </m:r>
        <m:r>
          <m:t> </m:t>
        </m:r>
        <m:r>
          <m:t>20</m:t>
        </m:r>
        <m:r>
          <m:rPr>
            <m:sty m:val="p"/>
          </m:rPr>
          <m:t>/</m:t>
        </m:r>
        <m:r>
          <m:t>3</m:t>
        </m:r>
        <m:r>
          <m:rPr>
            <m:sty m:val="p"/>
          </m:rPr>
          <m:t>)</m:t>
        </m:r>
      </m:oMath>
      <w:r>
        <w:t xml:space="preserve">.</w:t>
      </w:r>
    </w:p>
    <w:p>
      <w:pPr>
        <w:pStyle w:val="BlockText"/>
      </w:pPr>
      <w:r>
        <w:rPr>
          <w:b/>
          <w:bCs/>
        </w:rPr>
        <w:t xml:space="preserve">Resolução:</w:t>
      </w:r>
    </w:p>
    <w:p>
      <w:pPr>
        <w:pStyle w:val="BlockText"/>
      </w:pPr>
      <w:r>
        <w:rPr>
          <w:b/>
          <w:bCs/>
        </w:rPr>
        <w:t xml:space="preserve">Passo 1 — Verificar eficiência de Pareto</w:t>
      </w:r>
    </w:p>
    <w:p>
      <w:pPr>
        <w:pStyle w:val="BlockText"/>
      </w:pPr>
      <w:r>
        <w:t xml:space="preserve">$$</w:t>
      </w:r>
    </w:p>
    <w:p>
      <w:pPr>
        <w:pStyle w:val="BlockText"/>
      </w:pPr>
      <w:r>
        <w:t xml:space="preserve">TMS_A =</w:t>
      </w:r>
      <w:r>
        <w:t xml:space="preserve"> </w:t>
      </w:r>
      <w:r>
        <w:t xml:space="preserve"> </w:t>
      </w:r>
      <w:r>
        <w:t xml:space="preserve">=</w:t>
      </w:r>
      <w:r>
        <w:t xml:space="preserve"> </w:t>
      </w:r>
      <w:r>
        <w:t xml:space="preserve"> </w:t>
      </w:r>
      <w:r>
        <w:t xml:space="preserve">=</w:t>
      </w:r>
      <w:r>
        <w:t xml:space="preserve"> </w:t>
      </w:r>
    </w:p>
    <w:p>
      <w:pPr>
        <w:pStyle w:val="BlockText"/>
      </w:pPr>
      <w:r>
        <w:t xml:space="preserve">$$</w:t>
      </w:r>
    </w:p>
    <w:p>
      <w:pPr>
        <w:pStyle w:val="BlockText"/>
      </w:pPr>
      <w:r>
        <w:t xml:space="preserve">$$</w:t>
      </w:r>
    </w:p>
    <w:p>
      <w:pPr>
        <w:pStyle w:val="BlockText"/>
      </w:pPr>
      <w:r>
        <w:t xml:space="preserve">TMS_B =</w:t>
      </w:r>
      <w:r>
        <w:t xml:space="preserve"> </w:t>
      </w:r>
      <w:r>
        <w:t xml:space="preserve"> </w:t>
      </w:r>
      <w:r>
        <w:t xml:space="preserve">=</w:t>
      </w:r>
      <w:r>
        <w:t xml:space="preserve"> </w:t>
      </w:r>
      <w:r>
        <w:t xml:space="preserve"> </w:t>
      </w:r>
      <w:r>
        <w:t xml:space="preserve">=</w:t>
      </w:r>
      <w:r>
        <w:t xml:space="preserve"> </w:t>
      </w:r>
    </w:p>
    <w:p>
      <w:pPr>
        <w:pStyle w:val="BlockText"/>
      </w:pPr>
      <w:r>
        <w:t xml:space="preserve">$$</w:t>
      </w:r>
    </w:p>
    <w:p>
      <w:pPr>
        <w:pStyle w:val="BlockText"/>
      </w:pPr>
      <m:oMath>
        <m:r>
          <m:t>T</m:t>
        </m:r>
        <m:r>
          <m:t>M</m:t>
        </m:r>
        <m:sSub>
          <m:e>
            <m:r>
              <m:t>S</m:t>
            </m:r>
          </m:e>
          <m:sub>
            <m:r>
              <m:t>A</m:t>
            </m:r>
          </m:sub>
        </m:sSub>
        <m:r>
          <m:rPr>
            <m:sty m:val="p"/>
          </m:rPr>
          <m:t>=</m:t>
        </m:r>
        <m:r>
          <m:t>T</m:t>
        </m:r>
        <m:r>
          <m:t>M</m:t>
        </m:r>
        <m:sSub>
          <m:e>
            <m:r>
              <m:t>S</m:t>
            </m:r>
          </m:e>
          <m:sub>
            <m:r>
              <m:t>B</m:t>
            </m:r>
          </m:sub>
        </m:sSub>
        <m:r>
          <m:rPr>
            <m:sty m:val="p"/>
          </m:rPr>
          <m:t>=</m:t>
        </m:r>
        <m:r>
          <m:t>2</m:t>
        </m:r>
        <m:r>
          <m:rPr>
            <m:sty m:val="p"/>
          </m:rPr>
          <m:t>/</m:t>
        </m:r>
        <m:r>
          <m:t>3</m:t>
        </m:r>
      </m:oMath>
      <w:r>
        <w:t xml:space="preserve"> </w:t>
      </w:r>
      <w:r>
        <w:t xml:space="preserve">— a alocação está na curva de contrato (Pareto-eficiente).</w:t>
      </w:r>
    </w:p>
    <w:p>
      <w:pPr>
        <w:pStyle w:val="BlockText"/>
      </w:pPr>
      <w:r>
        <w:rPr>
          <w:b/>
          <w:bCs/>
        </w:rPr>
        <w:t xml:space="preserve">Passo 2 — Preço relativo que sustenta o equilíbrio</w:t>
      </w:r>
    </w:p>
    <w:p>
      <w:pPr>
        <w:pStyle w:val="BlockText"/>
      </w:pPr>
      <w:r>
        <w:t xml:space="preserve">No equilíbrio competitivo:</w:t>
      </w:r>
      <w:r>
        <w:t xml:space="preserve"> </w:t>
      </w:r>
      <m:oMath>
        <m:sSub>
          <m:e>
            <m:r>
              <m:t>p</m:t>
            </m:r>
          </m:e>
          <m:sub>
            <m:r>
              <m:t>1</m:t>
            </m:r>
          </m:sub>
        </m:sSub>
        <m:r>
          <m:rPr>
            <m:sty m:val="p"/>
          </m:rPr>
          <m:t>/</m:t>
        </m:r>
        <m:sSub>
          <m:e>
            <m:r>
              <m:t>p</m:t>
            </m:r>
          </m:e>
          <m:sub>
            <m:r>
              <m:t>2</m:t>
            </m:r>
          </m:sub>
        </m:sSub>
        <m:r>
          <m:rPr>
            <m:sty m:val="p"/>
          </m:rPr>
          <m:t>=</m:t>
        </m:r>
        <m:r>
          <m:t>T</m:t>
        </m:r>
        <m:r>
          <m:t>M</m:t>
        </m:r>
        <m:r>
          <m:t>S</m:t>
        </m:r>
        <m:r>
          <m:rPr>
            <m:sty m:val="p"/>
          </m:rPr>
          <m:t>=</m:t>
        </m:r>
        <m:r>
          <m:t>2</m:t>
        </m:r>
        <m:r>
          <m:rPr>
            <m:sty m:val="p"/>
          </m:rPr>
          <m:t>/</m:t>
        </m:r>
        <m:r>
          <m:t>3</m:t>
        </m:r>
      </m:oMath>
      <w:r>
        <w:t xml:space="preserve">. Normalizando</w:t>
      </w:r>
      <w:r>
        <w:t xml:space="preserve"> </w:t>
      </w:r>
      <m:oMath>
        <m:sSub>
          <m:e>
            <m:r>
              <m:t>p</m:t>
            </m:r>
          </m:e>
          <m:sub>
            <m:r>
              <m:t>2</m:t>
            </m:r>
          </m:sub>
        </m:sSub>
        <m:r>
          <m:rPr>
            <m:sty m:val="p"/>
          </m:rPr>
          <m:t>=</m:t>
        </m:r>
        <m:r>
          <m:t>1</m:t>
        </m:r>
      </m:oMath>
      <w:r>
        <w:t xml:space="preserve">:</w:t>
      </w:r>
      <w:r>
        <w:t xml:space="preserve"> </w:t>
      </w:r>
      <m:oMath>
        <m:sSub>
          <m:e>
            <m:r>
              <m:t>p</m:t>
            </m:r>
          </m:e>
          <m:sub>
            <m:r>
              <m:t>1</m:t>
            </m:r>
          </m:sub>
        </m:sSub>
        <m:r>
          <m:rPr>
            <m:sty m:val="p"/>
          </m:rPr>
          <m:t>=</m:t>
        </m:r>
        <m:r>
          <m:t>2</m:t>
        </m:r>
        <m:r>
          <m:rPr>
            <m:sty m:val="p"/>
          </m:rPr>
          <m:t>/</m:t>
        </m:r>
        <m:r>
          <m:t>3</m:t>
        </m:r>
      </m:oMath>
      <w:r>
        <w:t xml:space="preserve">.</w:t>
      </w:r>
    </w:p>
    <w:p>
      <w:pPr>
        <w:pStyle w:val="BlockText"/>
      </w:pPr>
      <w:r>
        <w:rPr>
          <w:b/>
          <w:bCs/>
        </w:rPr>
        <w:t xml:space="preserve">Passo 3 — Renda necessária para cada consumidor</w:t>
      </w:r>
    </w:p>
    <w:p>
      <w:pPr>
        <w:pStyle w:val="BlockText"/>
      </w:pPr>
      <w:r>
        <w:t xml:space="preserve">$$</w:t>
      </w:r>
    </w:p>
    <w:p>
      <w:pPr>
        <w:pStyle w:val="BlockText"/>
      </w:pPr>
      <w:r>
        <w:t xml:space="preserve">I_A^{</w:t>
      </w:r>
      <w:r>
        <w:t xml:space="preserve">} =</w:t>
      </w:r>
      <w:r>
        <w:t xml:space="preserve"> </w:t>
      </w:r>
      <w:r>
        <w:t xml:space="preserve"> </w:t>
      </w:r>
      <w:r>
        <w:t xml:space="preserve"> </w:t>
      </w:r>
      <w:r>
        <w:t xml:space="preserve">+ 1</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p>
    <w:p>
      <w:pPr>
        <w:pStyle w:val="BlockText"/>
      </w:pPr>
      <w:r>
        <w:t xml:space="preserve">$$</w:t>
      </w:r>
    </w:p>
    <w:p>
      <w:pPr>
        <w:pStyle w:val="BlockText"/>
      </w:pPr>
      <w:r>
        <w:t xml:space="preserve">$$</w:t>
      </w:r>
    </w:p>
    <w:p>
      <w:pPr>
        <w:pStyle w:val="BlockText"/>
      </w:pPr>
      <w:r>
        <w:t xml:space="preserve">I_B^{</w:t>
      </w:r>
      <w:r>
        <w:t xml:space="preserve">} =</w:t>
      </w:r>
      <w:r>
        <w:t xml:space="preserve"> </w:t>
      </w:r>
      <w:r>
        <w:t xml:space="preserve"> </w:t>
      </w:r>
      <w:r>
        <w:t xml:space="preserve"> </w:t>
      </w:r>
      <w:r>
        <w:t xml:space="preserve">+ 1</w:t>
      </w:r>
      <w:r>
        <w:t xml:space="preserve"> </w:t>
      </w:r>
      <w:r>
        <w:t xml:space="preserve"> </w:t>
      </w:r>
      <w:r>
        <w:t xml:space="preserve">=</w:t>
      </w:r>
      <w:r>
        <w:t xml:space="preserve"> </w:t>
      </w:r>
      <w:r>
        <w:t xml:space="preserve"> </w:t>
      </w:r>
      <w:r>
        <w:t xml:space="preserve">+</w:t>
      </w:r>
      <w:r>
        <w:t xml:space="preserve"> </w:t>
      </w:r>
      <w:r>
        <w:t xml:space="preserve"> </w:t>
      </w:r>
      <w:r>
        <w:t xml:space="preserve">= 10</w:t>
      </w:r>
    </w:p>
    <w:p>
      <w:pPr>
        <w:pStyle w:val="BlockText"/>
      </w:pPr>
      <w:r>
        <w:t xml:space="preserve">$$</w:t>
      </w:r>
    </w:p>
    <w:p>
      <w:pPr>
        <w:pStyle w:val="BlockText"/>
      </w:pPr>
      <w:r>
        <w:rPr>
          <w:b/>
          <w:bCs/>
        </w:rPr>
        <w:t xml:space="preserve">Passo 4 — Renda original ao novo preço</w:t>
      </w:r>
    </w:p>
    <w:p>
      <w:pPr>
        <w:pStyle w:val="BlockText"/>
      </w:pPr>
      <w:r>
        <w:t xml:space="preserve">$$</w:t>
      </w:r>
    </w:p>
    <w:p>
      <w:pPr>
        <w:pStyle w:val="BlockText"/>
      </w:pPr>
      <w:r>
        <w:t xml:space="preserve">I_A^{</w:t>
      </w:r>
      <w:r>
        <w:t xml:space="preserve">} =</w:t>
      </w:r>
      <w:r>
        <w:t xml:space="preserve"> </w:t>
      </w:r>
      <w:r>
        <w:t xml:space="preserve"> </w:t>
      </w:r>
      <w:r>
        <w:t xml:space="preserve"> </w:t>
      </w:r>
      <w:r>
        <w:t xml:space="preserve">+ 1</w:t>
      </w:r>
      <w:r>
        <w:t xml:space="preserve"> </w:t>
      </w:r>
      <w:r>
        <w:t xml:space="preserve"> </w:t>
      </w:r>
      <w:r>
        <w:t xml:space="preserve">=</w:t>
      </w:r>
      <w:r>
        <w:t xml:space="preserve"> </w:t>
      </w:r>
      <w:r>
        <w:t xml:space="preserve"> </w:t>
      </w:r>
      <w:r>
        <w:t xml:space="preserve">+ 2 =</w:t>
      </w:r>
      <w:r>
        <w:t xml:space="preserve"> </w:t>
      </w:r>
    </w:p>
    <w:p>
      <w:pPr>
        <w:pStyle w:val="BlockText"/>
      </w:pPr>
      <w:r>
        <w:t xml:space="preserve">$$</w:t>
      </w:r>
    </w:p>
    <w:p>
      <w:pPr>
        <w:pStyle w:val="BlockText"/>
      </w:pPr>
      <w:r>
        <w:t xml:space="preserve">$$</w:t>
      </w:r>
    </w:p>
    <w:p>
      <w:pPr>
        <w:pStyle w:val="BlockText"/>
      </w:pPr>
      <w:r>
        <w:t xml:space="preserve">I_B^{</w:t>
      </w:r>
      <w:r>
        <w:t xml:space="preserve">} =</w:t>
      </w:r>
      <w:r>
        <w:t xml:space="preserve"> </w:t>
      </w:r>
      <w:r>
        <w:t xml:space="preserve"> </w:t>
      </w:r>
      <w:r>
        <w:t xml:space="preserve"> </w:t>
      </w:r>
      <w:r>
        <w:t xml:space="preserve">+ 1</w:t>
      </w:r>
      <w:r>
        <w:t xml:space="preserve"> </w:t>
      </w:r>
      <w:r>
        <w:t xml:space="preserve"> </w:t>
      </w:r>
      <w:r>
        <w:t xml:space="preserve">=</w:t>
      </w:r>
      <w:r>
        <w:t xml:space="preserve"> </w:t>
      </w:r>
      <w:r>
        <w:t xml:space="preserve"> </w:t>
      </w:r>
      <w:r>
        <w:t xml:space="preserve">+ 8 =</w:t>
      </w:r>
      <w:r>
        <w:t xml:space="preserve"> </w:t>
      </w:r>
    </w:p>
    <w:p>
      <w:pPr>
        <w:pStyle w:val="BlockText"/>
      </w:pPr>
      <w:r>
        <w:t xml:space="preserve">$$</w:t>
      </w:r>
    </w:p>
    <w:p>
      <w:pPr>
        <w:pStyle w:val="BlockText"/>
      </w:pPr>
      <w:r>
        <w:rPr>
          <w:b/>
          <w:bCs/>
        </w:rPr>
        <w:t xml:space="preserve">Passo 5 — Transferência lump-sum</w:t>
      </w:r>
    </w:p>
    <w:p>
      <w:pPr>
        <w:pStyle w:val="BlockText"/>
      </w:pPr>
      <w:r>
        <w:t xml:space="preserve">$$</w:t>
      </w:r>
    </w:p>
    <w:p>
      <w:pPr>
        <w:pStyle w:val="BlockText"/>
      </w:pPr>
      <w:r>
        <w:t xml:space="preserve">T_A = I_A^{</w:t>
      </w:r>
      <w:r>
        <w:t xml:space="preserve">} - I_A^{</w:t>
      </w:r>
      <w:r>
        <w:t xml:space="preserve">} =</w:t>
      </w:r>
      <w:r>
        <w:t xml:space="preserve"> </w:t>
      </w:r>
      <w:r>
        <w:t xml:space="preserve"> </w:t>
      </w:r>
      <w:r>
        <w:t xml:space="preserve">-</w:t>
      </w:r>
      <w:r>
        <w:t xml:space="preserve"> </w:t>
      </w:r>
      <w:r>
        <w:t xml:space="preserve"> </w:t>
      </w:r>
      <w:r>
        <w:t xml:space="preserve">= -</w:t>
      </w:r>
    </w:p>
    <w:p>
      <w:pPr>
        <w:pStyle w:val="BlockText"/>
      </w:pPr>
      <w:r>
        <w:t xml:space="preserve">$$</w:t>
      </w:r>
    </w:p>
    <w:p>
      <w:pPr>
        <w:pStyle w:val="BlockText"/>
      </w:pPr>
      <w:r>
        <w:t xml:space="preserve">A paga uma transferência de</w:t>
      </w:r>
      <w:r>
        <w:t xml:space="preserve"> </w:t>
      </w:r>
      <m:oMath>
        <m:r>
          <m:t>2</m:t>
        </m:r>
        <m:r>
          <m:rPr>
            <m:sty m:val="p"/>
          </m:rPr>
          <m:t>/</m:t>
        </m:r>
        <m:r>
          <m:t>3</m:t>
        </m:r>
      </m:oMath>
      <w:r>
        <w:t xml:space="preserve"> </w:t>
      </w:r>
      <w:r>
        <w:t xml:space="preserve">unidades do numerário para B. Após a transferência, os mercados competitivos geram exatamente a alocação desejada.</w:t>
      </w:r>
    </w:p>
    <w:p>
      <w:pPr>
        <w:pStyle w:val="BlockText"/>
      </w:pPr>
      <w:r>
        <w:rPr>
          <w:b/>
          <w:bCs/>
        </w:rPr>
        <w:t xml:space="preserve">Resultado:</w:t>
      </w:r>
      <w:r>
        <w:t xml:space="preserve"> </w:t>
      </w:r>
      <w:r>
        <w:t xml:space="preserve">Transferência</w:t>
      </w:r>
      <w:r>
        <w:t xml:space="preserve"> </w:t>
      </w:r>
      <w:r>
        <w:rPr>
          <w:i/>
          <w:iCs/>
        </w:rPr>
        <w:t xml:space="preserve">lump-sum</w:t>
      </w:r>
      <w:r>
        <w:t xml:space="preserve"> </w:t>
      </w:r>
      <w:r>
        <w:t xml:space="preserve">de</w:t>
      </w:r>
      <w:r>
        <w:t xml:space="preserve"> </w:t>
      </w:r>
      <m:oMath>
        <m:r>
          <m:t>T</m:t>
        </m:r>
        <m:r>
          <m:rPr>
            <m:sty m:val="p"/>
          </m:rPr>
          <m:t>=</m:t>
        </m:r>
        <m:r>
          <m:t>2</m:t>
        </m:r>
        <m:r>
          <m:rPr>
            <m:sty m:val="p"/>
          </m:rPr>
          <m:t>/</m:t>
        </m:r>
        <m:r>
          <m:t>3</m:t>
        </m:r>
      </m:oMath>
      <w:r>
        <w:t xml:space="preserve"> </w:t>
      </w:r>
      <w:r>
        <w:t xml:space="preserve">do consumidor A para o consumidor B, ao preço</w:t>
      </w:r>
      <w:r>
        <w:t xml:space="preserve"> </w:t>
      </w:r>
      <m:oMath>
        <m:sSup>
          <m:e>
            <m:r>
              <m:t>p</m:t>
            </m:r>
          </m:e>
          <m:sup>
            <m:r>
              <m:rPr>
                <m:sty m:val="p"/>
              </m:rPr>
              <m:t>*</m:t>
            </m:r>
          </m:sup>
        </m:sSup>
        <m:r>
          <m:rPr>
            <m:sty m:val="p"/>
          </m:rPr>
          <m:t>=</m:t>
        </m:r>
        <m:r>
          <m:t>2</m:t>
        </m:r>
        <m:r>
          <m:rPr>
            <m:sty m:val="p"/>
          </m:rPr>
          <m:t>/</m:t>
        </m:r>
        <m:r>
          <m:t>3</m:t>
        </m:r>
      </m:oMath>
      <w:r>
        <w:t xml:space="preserve">.</w:t>
      </w:r>
    </w:p>
    <w:p>
      <w:pPr>
        <w:pStyle w:val="BlockText"/>
      </w:pPr>
      <w:r>
        <w:rPr>
          <w:b/>
          <w:bCs/>
        </w:rPr>
        <w:t xml:space="preserve">Interpretação econômica:</w:t>
      </w:r>
      <w:r>
        <w:t xml:space="preserve"> </w:t>
      </w:r>
      <w:r>
        <w:t xml:space="preserve">O Segundo Teorema demonstra que eficiência e equidade são objetivos separáveis: basta redistribuir a riqueza inicial e deixar os mercados funcionarem. No Brasil, o</w:t>
      </w:r>
      <w:r>
        <w:t xml:space="preserve"> </w:t>
      </w:r>
      <w:r>
        <w:rPr>
          <w:b/>
          <w:bCs/>
        </w:rPr>
        <w:t xml:space="preserve">Bolsa Família</w:t>
      </w:r>
      <w:r>
        <w:t xml:space="preserve"> </w:t>
      </w:r>
      <w:r>
        <w:t xml:space="preserve">e o</w:t>
      </w:r>
      <w:r>
        <w:t xml:space="preserve"> </w:t>
      </w:r>
      <w:r>
        <w:rPr>
          <w:b/>
          <w:bCs/>
        </w:rPr>
        <w:t xml:space="preserve">BPC</w:t>
      </w:r>
      <w:r>
        <w:t xml:space="preserve"> </w:t>
      </w:r>
      <w:r>
        <w:t xml:space="preserve">(Benefício de Prestação Continuada) são exemplos de transferências diretas que buscam alterar a distribuição sem distorcer preços relativos — embora, na prática, nenhuma transferência seja perfeitamente</w:t>
      </w:r>
      <w:r>
        <w:t xml:space="preserve"> </w:t>
      </w:r>
      <w:r>
        <w:rPr>
          <w:i/>
          <w:iCs/>
        </w:rPr>
        <w:t xml:space="preserve">lump-sum</w:t>
      </w:r>
      <w:r>
        <w:t xml:space="preserve"> </w:t>
      </w:r>
      <w:r>
        <w:t xml:space="preserve">(sempre há custos administrativos e incentivos adversos).</w:t>
      </w:r>
    </w:p>
    <w:p>
      <w:pPr>
        <w:pStyle w:val="FirstParagraph"/>
      </w:pPr>
      <w:r>
        <w:t xml:space="preserve">[FIGURA INTERATIVA: /micro-book/graficos/cap14/webr-segundo-teorema.html — versao interativa disponivel online]</w:t>
      </w:r>
    </w:p>
    <w:p>
      <w:pPr>
        <w:pStyle w:val="BodyText"/>
      </w:pPr>
      <w:r>
        <w:rPr>
          <w:b/>
          <w:bCs/>
        </w:rPr>
        <w:t xml:space="preserve">WebR 14.2 — Segundo Teorema: redistribuir sem estragar.</w:t>
      </w:r>
      <w:r>
        <w:t xml:space="preserve"> </w:t>
      </w:r>
      <w:r>
        <w:t xml:space="preserve">O código implementa o ER 14.4 completo: verifica que a alocação-meta é eficiente, calcula o preço de suporte e a transferência lump-sum necessária. No gráfico, observe a seta da dotação original à meta — essa é a transferência que separa eficiência de equidade. Mude</w:t>
      </w:r>
      <w:r>
        <w:t xml:space="preserve"> </w:t>
      </w:r>
      <w:r>
        <w:rPr>
          <w:rStyle w:val="VerbatimChar"/>
        </w:rPr>
        <w:t xml:space="preserve">xA_target</w:t>
      </w:r>
      <w:r>
        <w:t xml:space="preserve"> </w:t>
      </w:r>
      <w:r>
        <w:t xml:space="preserve">para outra alocação sobre a curva de contrato e veja como a transferência se ajusta.</w:t>
      </w:r>
    </w:p>
    <w:p>
      <w:pPr>
        <w:pStyle w:val="BlockText"/>
      </w:pPr>
      <w:r>
        <w:rPr>
          <w:b/>
          <w:bCs/>
        </w:rPr>
        <w:t xml:space="preserve">[EXERCICIO RESOLVIDO] Exercício Resolvido 14.5 — Imposto sobre produção e perda de eficiência no equilíbrio geral</w:t>
      </w:r>
    </w:p>
    <w:p>
      <w:pPr>
        <w:pStyle w:val="BlockText"/>
      </w:pPr>
      <w:r>
        <w:rPr>
          <w:b/>
          <w:bCs/>
        </w:rPr>
        <w:t xml:space="preserve">Enunciado:</w:t>
      </w:r>
      <w:r>
        <w:t xml:space="preserve"> </w:t>
      </w:r>
      <w:r>
        <w:t xml:space="preserve">Em uma economia com dois bens (1 e 2), dois consumidores idênticos com utilidade</w:t>
      </w:r>
      <w:r>
        <w:t xml:space="preserve"> </w:t>
      </w:r>
      <m:oMath>
        <m:r>
          <m:t>U</m:t>
        </m:r>
        <m:r>
          <m:rPr>
            <m:sty m:val="p"/>
          </m:rPr>
          <m:t>=</m:t>
        </m:r>
        <m:sSubSup>
          <m:e>
            <m:r>
              <m:t>x</m:t>
            </m:r>
          </m:e>
          <m:sub>
            <m:r>
              <m:t>1</m:t>
            </m:r>
          </m:sub>
          <m:sup>
            <m:r>
              <m:t>1</m:t>
            </m:r>
            <m:r>
              <m:rPr>
                <m:sty m:val="p"/>
              </m:rPr>
              <m:t>/</m:t>
            </m:r>
            <m:r>
              <m:t>2</m:t>
            </m:r>
          </m:sup>
        </m:sSubSup>
        <m:sSubSup>
          <m:e>
            <m:r>
              <m:t>x</m:t>
            </m:r>
          </m:e>
          <m:sub>
            <m:r>
              <m:t>2</m:t>
            </m:r>
          </m:sub>
          <m:sup>
            <m:r>
              <m:t>1</m:t>
            </m:r>
            <m:r>
              <m:rPr>
                <m:sty m:val="p"/>
              </m:rPr>
              <m:t>/</m:t>
            </m:r>
            <m:r>
              <m:t>2</m:t>
            </m:r>
          </m:sup>
        </m:sSubSup>
      </m:oMath>
      <w:r>
        <w:t xml:space="preserve"> </w:t>
      </w:r>
      <w:r>
        <w:t xml:space="preserve">e um setor produtivo com FPP dada por</w:t>
      </w:r>
      <w:r>
        <w:t xml:space="preserve"> </w:t>
      </w:r>
      <m:oMath>
        <m:sSubSup>
          <m:e>
            <m:r>
              <m:t>X</m:t>
            </m:r>
          </m:e>
          <m:sub>
            <m:r>
              <m:t>1</m:t>
            </m:r>
          </m:sub>
          <m:sup>
            <m:r>
              <m:t>2</m:t>
            </m:r>
          </m:sup>
        </m:sSubSup>
        <m:r>
          <m:rPr>
            <m:sty m:val="p"/>
          </m:rPr>
          <m:t>+</m:t>
        </m:r>
        <m:sSubSup>
          <m:e>
            <m:r>
              <m:t>X</m:t>
            </m:r>
          </m:e>
          <m:sub>
            <m:r>
              <m:t>2</m:t>
            </m:r>
          </m:sub>
          <m:sup>
            <m:r>
              <m:t>2</m:t>
            </m:r>
          </m:sup>
        </m:sSubSup>
        <m:r>
          <m:rPr>
            <m:sty m:val="p"/>
          </m:rPr>
          <m:t>=</m:t>
        </m:r>
        <m:r>
          <m:t>200</m:t>
        </m:r>
      </m:oMath>
      <w:r>
        <w:t xml:space="preserve">, o governo introduz um imposto</w:t>
      </w:r>
      <w:r>
        <w:t xml:space="preserve"> </w:t>
      </w:r>
      <w:r>
        <w:rPr>
          <w:i/>
          <w:iCs/>
        </w:rPr>
        <w:t xml:space="preserve">ad valorem</w:t>
      </w:r>
      <w:r>
        <w:t xml:space="preserve"> </w:t>
      </w:r>
      <w:r>
        <w:t xml:space="preserve">de taxa</w:t>
      </w:r>
      <w:r>
        <w:t xml:space="preserve"> </w:t>
      </w:r>
      <m:oMath>
        <m:r>
          <m:t>t</m:t>
        </m:r>
      </m:oMath>
      <w:r>
        <w:t xml:space="preserve"> </w:t>
      </w:r>
      <w:r>
        <w:t xml:space="preserve">sobre o bem 1, de modo que o preço pago pelo consumidor é</w:t>
      </w:r>
      <w:r>
        <w:t xml:space="preserve"> </w:t>
      </w:r>
      <m:oMath>
        <m:sSub>
          <m:e>
            <m:r>
              <m:t>p</m:t>
            </m:r>
          </m:e>
          <m:sub>
            <m:r>
              <m:t>1</m:t>
            </m:r>
          </m:sub>
        </m:sSub>
        <m:r>
          <m:rPr>
            <m:sty m:val="p"/>
          </m:rPr>
          <m:t>(</m:t>
        </m:r>
        <m:r>
          <m:t>1</m:t>
        </m:r>
        <m:r>
          <m:rPr>
            <m:sty m:val="p"/>
          </m:rPr>
          <m:t>+</m:t>
        </m:r>
        <m:r>
          <m:t>t</m:t>
        </m:r>
        <m:r>
          <m:rPr>
            <m:sty m:val="p"/>
          </m:rPr>
          <m:t>)</m:t>
        </m:r>
      </m:oMath>
      <w:r>
        <w:t xml:space="preserve"> </w:t>
      </w:r>
      <w:r>
        <w:t xml:space="preserve">enquanto o produtor recebe</w:t>
      </w:r>
      <w:r>
        <w:t xml:space="preserve"> </w:t>
      </w:r>
      <m:oMath>
        <m:sSub>
          <m:e>
            <m:r>
              <m:t>p</m:t>
            </m:r>
          </m:e>
          <m:sub>
            <m:r>
              <m:t>1</m:t>
            </m:r>
          </m:sub>
        </m:sSub>
      </m:oMath>
      <w:r>
        <w:t xml:space="preserve">. Mostre que o equilíbrio com imposto viola a condição de eficiência no mix de produtos e calcule a perda de bem-estar para</w:t>
      </w:r>
      <w:r>
        <w:t xml:space="preserve"> </w:t>
      </w:r>
      <m:oMath>
        <m:r>
          <m:t>t</m:t>
        </m:r>
        <m:r>
          <m:rPr>
            <m:sty m:val="p"/>
          </m:rPr>
          <m:t>=</m:t>
        </m:r>
        <m:r>
          <m:t>0</m:t>
        </m:r>
        <m:r>
          <m:rPr>
            <m:sty m:val="p"/>
          </m:rPr>
          <m:t>,</m:t>
        </m:r>
        <m:r>
          <m:t>5</m:t>
        </m:r>
      </m:oMath>
      <w:r>
        <w:t xml:space="preserve">.</w:t>
      </w:r>
    </w:p>
    <w:p>
      <w:pPr>
        <w:pStyle w:val="BlockText"/>
      </w:pPr>
      <w:r>
        <w:rPr>
          <w:b/>
          <w:bCs/>
        </w:rPr>
        <w:t xml:space="preserve">Dados:</w:t>
      </w:r>
      <w:r>
        <w:t xml:space="preserve"> </w:t>
      </w:r>
      <w:r>
        <w:t xml:space="preserve">FPP:</w:t>
      </w:r>
      <w:r>
        <w:t xml:space="preserve"> </w:t>
      </w:r>
      <m:oMath>
        <m:sSubSup>
          <m:e>
            <m:r>
              <m:t>X</m:t>
            </m:r>
          </m:e>
          <m:sub>
            <m:r>
              <m:t>1</m:t>
            </m:r>
          </m:sub>
          <m:sup>
            <m:r>
              <m:t>2</m:t>
            </m:r>
          </m:sup>
        </m:sSubSup>
        <m:r>
          <m:rPr>
            <m:sty m:val="p"/>
          </m:rPr>
          <m:t>+</m:t>
        </m:r>
        <m:sSubSup>
          <m:e>
            <m:r>
              <m:t>X</m:t>
            </m:r>
          </m:e>
          <m:sub>
            <m:r>
              <m:t>2</m:t>
            </m:r>
          </m:sub>
          <m:sup>
            <m:r>
              <m:t>2</m:t>
            </m:r>
          </m:sup>
        </m:sSubSup>
        <m:r>
          <m:rPr>
            <m:sty m:val="p"/>
          </m:rPr>
          <m:t>=</m:t>
        </m:r>
        <m:r>
          <m:t>200</m:t>
        </m:r>
      </m:oMath>
      <w:r>
        <w:t xml:space="preserve">. Utilidade:</w:t>
      </w:r>
      <w:r>
        <w:t xml:space="preserve"> </w:t>
      </w:r>
      <m:oMath>
        <m:r>
          <m:t>U</m:t>
        </m:r>
        <m:r>
          <m:rPr>
            <m:sty m:val="p"/>
          </m:rPr>
          <m:t>=</m:t>
        </m:r>
        <m:sSubSup>
          <m:e>
            <m:r>
              <m:t>x</m:t>
            </m:r>
          </m:e>
          <m:sub>
            <m:r>
              <m:t>1</m:t>
            </m:r>
          </m:sub>
          <m:sup>
            <m:r>
              <m:t>1</m:t>
            </m:r>
            <m:r>
              <m:rPr>
                <m:sty m:val="p"/>
              </m:rPr>
              <m:t>/</m:t>
            </m:r>
            <m:r>
              <m:t>2</m:t>
            </m:r>
          </m:sup>
        </m:sSubSup>
        <m:sSubSup>
          <m:e>
            <m:r>
              <m:t>x</m:t>
            </m:r>
          </m:e>
          <m:sub>
            <m:r>
              <m:t>2</m:t>
            </m:r>
          </m:sub>
          <m:sup>
            <m:r>
              <m:t>1</m:t>
            </m:r>
            <m:r>
              <m:rPr>
                <m:sty m:val="p"/>
              </m:rPr>
              <m:t>/</m:t>
            </m:r>
            <m:r>
              <m:t>2</m:t>
            </m:r>
          </m:sup>
        </m:sSubSup>
      </m:oMath>
      <w:r>
        <w:t xml:space="preserve">. Imposto:</w:t>
      </w:r>
      <w:r>
        <w:t xml:space="preserve"> </w:t>
      </w:r>
      <m:oMath>
        <m:r>
          <m:t>t</m:t>
        </m:r>
        <m:r>
          <m:rPr>
            <m:sty m:val="p"/>
          </m:rPr>
          <m:t>=</m:t>
        </m:r>
        <m:r>
          <m:t>0</m:t>
        </m:r>
        <m:r>
          <m:rPr>
            <m:sty m:val="p"/>
          </m:rPr>
          <m:t>,</m:t>
        </m:r>
        <m:r>
          <m:t>5</m:t>
        </m:r>
      </m:oMath>
      <w:r>
        <w:t xml:space="preserve"> </w:t>
      </w:r>
      <w:r>
        <w:t xml:space="preserve">sobre bem 1.</w:t>
      </w:r>
    </w:p>
    <w:p>
      <w:pPr>
        <w:pStyle w:val="BlockText"/>
      </w:pPr>
      <w:r>
        <w:rPr>
          <w:b/>
          <w:bCs/>
        </w:rPr>
        <w:t xml:space="preserve">Resolução:</w:t>
      </w:r>
    </w:p>
    <w:p>
      <w:pPr>
        <w:pStyle w:val="BlockText"/>
      </w:pPr>
      <w:r>
        <w:rPr>
          <w:b/>
          <w:bCs/>
        </w:rPr>
        <w:t xml:space="preserve">Passo 1 — Equilíbrio sem imposto</w:t>
      </w:r>
    </w:p>
    <w:p>
      <w:pPr>
        <w:pStyle w:val="BlockText"/>
      </w:pPr>
      <w:r>
        <w:t xml:space="preserve">A TMT, derivada da FPP, é:</w:t>
      </w:r>
    </w:p>
    <w:p>
      <w:pPr>
        <w:pStyle w:val="BlockText"/>
      </w:pPr>
      <w:r>
        <w:t xml:space="preserve">$$</w:t>
      </w:r>
    </w:p>
    <w:p>
      <w:pPr>
        <w:pStyle w:val="BlockText"/>
      </w:pPr>
      <w:r>
        <w:t xml:space="preserve">TMT =</w:t>
      </w:r>
      <w:r>
        <w:t xml:space="preserve"> </w:t>
      </w:r>
      <w:r>
        <w:t xml:space="preserve">|_{</w:t>
      </w:r>
      <w:r>
        <w:t xml:space="preserve">} =</w:t>
      </w:r>
      <w:r>
        <w:t xml:space="preserve"> </w:t>
      </w:r>
    </w:p>
    <w:p>
      <w:pPr>
        <w:pStyle w:val="BlockText"/>
      </w:pPr>
      <w:r>
        <w:t xml:space="preserve">$$</w:t>
      </w:r>
    </w:p>
    <w:p>
      <w:pPr>
        <w:pStyle w:val="BlockText"/>
      </w:pPr>
      <w:r>
        <w:t xml:space="preserve">(Diferenciando</w:t>
      </w:r>
      <w:r>
        <w:t xml:space="preserve"> </w:t>
      </w:r>
      <m:oMath>
        <m:sSubSup>
          <m:e>
            <m:r>
              <m:t>X</m:t>
            </m:r>
          </m:e>
          <m:sub>
            <m:r>
              <m:t>1</m:t>
            </m:r>
          </m:sub>
          <m:sup>
            <m:r>
              <m:t>2</m:t>
            </m:r>
          </m:sup>
        </m:sSubSup>
        <m:r>
          <m:rPr>
            <m:sty m:val="p"/>
          </m:rPr>
          <m:t>+</m:t>
        </m:r>
        <m:sSubSup>
          <m:e>
            <m:r>
              <m:t>X</m:t>
            </m:r>
          </m:e>
          <m:sub>
            <m:r>
              <m:t>2</m:t>
            </m:r>
          </m:sub>
          <m:sup>
            <m:r>
              <m:t>2</m:t>
            </m:r>
          </m:sup>
        </m:sSubSup>
        <m:r>
          <m:rPr>
            <m:sty m:val="p"/>
          </m:rPr>
          <m:t>=</m:t>
        </m:r>
        <m:r>
          <m:t>200</m:t>
        </m:r>
      </m:oMath>
      <w:r>
        <w:t xml:space="preserve">:</w:t>
      </w:r>
      <w:r>
        <w:t xml:space="preserve"> </w:t>
      </w:r>
      <m:oMath>
        <m:r>
          <m:t>2</m:t>
        </m:r>
        <m:sSub>
          <m:e>
            <m:r>
              <m:t>X</m:t>
            </m:r>
          </m:e>
          <m:sub>
            <m:r>
              <m:t>1</m:t>
            </m:r>
          </m:sub>
        </m:sSub>
        <m:r>
          <m:t>d</m:t>
        </m:r>
        <m:sSub>
          <m:e>
            <m:r>
              <m:t>X</m:t>
            </m:r>
          </m:e>
          <m:sub>
            <m:r>
              <m:t>1</m:t>
            </m:r>
          </m:sub>
        </m:sSub>
        <m:r>
          <m:rPr>
            <m:sty m:val="p"/>
          </m:rPr>
          <m:t>+</m:t>
        </m:r>
        <m:r>
          <m:t>2</m:t>
        </m:r>
        <m:sSub>
          <m:e>
            <m:r>
              <m:t>X</m:t>
            </m:r>
          </m:e>
          <m:sub>
            <m:r>
              <m:t>2</m:t>
            </m:r>
          </m:sub>
        </m:sSub>
        <m:r>
          <m:t>d</m:t>
        </m:r>
        <m:sSub>
          <m:e>
            <m:r>
              <m:t>X</m:t>
            </m:r>
          </m:e>
          <m:sub>
            <m:r>
              <m:t>2</m:t>
            </m:r>
          </m:sub>
        </m:sSub>
        <m:r>
          <m:rPr>
            <m:sty m:val="p"/>
          </m:rPr>
          <m:t>=</m:t>
        </m:r>
        <m:r>
          <m:t>0</m:t>
        </m:r>
      </m:oMath>
      <w:r>
        <w:t xml:space="preserve">, logo</w:t>
      </w:r>
      <w:r>
        <w:t xml:space="preserve"> </w:t>
      </w:r>
      <m:oMath>
        <m:r>
          <m:rPr>
            <m:sty m:val="p"/>
          </m:rPr>
          <m:t>−</m:t>
        </m:r>
        <m:r>
          <m:t>d</m:t>
        </m:r>
        <m:sSub>
          <m:e>
            <m:r>
              <m:t>X</m:t>
            </m:r>
          </m:e>
          <m:sub>
            <m:r>
              <m:t>2</m:t>
            </m:r>
          </m:sub>
        </m:sSub>
        <m:r>
          <m:rPr>
            <m:sty m:val="p"/>
          </m:rPr>
          <m:t>/</m:t>
        </m:r>
        <m:r>
          <m:t>d</m:t>
        </m:r>
        <m:sSub>
          <m:e>
            <m:r>
              <m:t>X</m:t>
            </m:r>
          </m:e>
          <m:sub>
            <m:r>
              <m:t>1</m:t>
            </m:r>
          </m:sub>
        </m:sSub>
        <m:r>
          <m:rPr>
            <m:sty m:val="p"/>
          </m:rPr>
          <m:t>=</m:t>
        </m:r>
        <m:sSub>
          <m:e>
            <m:r>
              <m:t>X</m:t>
            </m:r>
          </m:e>
          <m:sub>
            <m:r>
              <m:t>1</m:t>
            </m:r>
          </m:sub>
        </m:sSub>
        <m:r>
          <m:rPr>
            <m:sty m:val="p"/>
          </m:rPr>
          <m:t>/</m:t>
        </m:r>
        <m:sSub>
          <m:e>
            <m:r>
              <m:t>X</m:t>
            </m:r>
          </m:e>
          <m:sub>
            <m:r>
              <m:t>2</m:t>
            </m:r>
          </m:sub>
        </m:sSub>
      </m:oMath>
      <w:r>
        <w:t xml:space="preserve">.)</w:t>
      </w:r>
    </w:p>
    <w:p>
      <w:pPr>
        <w:pStyle w:val="BlockText"/>
      </w:pPr>
      <w:r>
        <w:t xml:space="preserve">Com consumidores simétricos Cobb-Douglas (</w:t>
      </w:r>
      <m:oMath>
        <m:r>
          <m:t>α</m:t>
        </m:r>
        <m:r>
          <m:rPr>
            <m:sty m:val="p"/>
          </m:rPr>
          <m:t>=</m:t>
        </m:r>
        <m:r>
          <m:t>1</m:t>
        </m:r>
        <m:r>
          <m:rPr>
            <m:sty m:val="p"/>
          </m:rPr>
          <m:t>/</m:t>
        </m:r>
        <m:r>
          <m:t>2</m:t>
        </m:r>
      </m:oMath>
      <w:r>
        <w:t xml:space="preserve">),</w:t>
      </w:r>
      <w:r>
        <w:t xml:space="preserve"> </w:t>
      </w:r>
      <m:oMath>
        <m:r>
          <m:t>T</m:t>
        </m:r>
        <m:r>
          <m:t>M</m:t>
        </m:r>
        <m:r>
          <m:t>S</m:t>
        </m:r>
        <m:r>
          <m:rPr>
            <m:sty m:val="p"/>
          </m:rPr>
          <m:t>=</m:t>
        </m:r>
        <m:sSub>
          <m:e>
            <m:r>
              <m:t>x</m:t>
            </m:r>
          </m:e>
          <m:sub>
            <m:r>
              <m:t>2</m:t>
            </m:r>
          </m:sub>
        </m:sSub>
        <m:r>
          <m:rPr>
            <m:sty m:val="p"/>
          </m:rPr>
          <m:t>/</m:t>
        </m:r>
        <m:sSub>
          <m:e>
            <m:r>
              <m:t>x</m:t>
            </m:r>
          </m:e>
          <m:sub>
            <m:r>
              <m:t>1</m:t>
            </m:r>
          </m:sub>
        </m:sSub>
        <m:r>
          <m:rPr>
            <m:sty m:val="p"/>
          </m:rPr>
          <m:t>=</m:t>
        </m:r>
        <m:sSub>
          <m:e>
            <m:r>
              <m:t>X</m:t>
            </m:r>
          </m:e>
          <m:sub>
            <m:r>
              <m:t>2</m:t>
            </m:r>
          </m:sub>
        </m:sSub>
        <m:r>
          <m:rPr>
            <m:sty m:val="p"/>
          </m:rPr>
          <m:t>/</m:t>
        </m:r>
        <m:sSub>
          <m:e>
            <m:r>
              <m:t>X</m:t>
            </m:r>
          </m:e>
          <m:sub>
            <m:r>
              <m:t>1</m:t>
            </m:r>
          </m:sub>
        </m:sSub>
      </m:oMath>
      <w:r>
        <w:t xml:space="preserve"> </w:t>
      </w:r>
      <w:r>
        <w:t xml:space="preserve">no agregado.</w:t>
      </w:r>
    </w:p>
    <w:p>
      <w:pPr>
        <w:pStyle w:val="BlockText"/>
      </w:pPr>
      <w:r>
        <w:t xml:space="preserve">Eficiência:</w:t>
      </w:r>
      <w:r>
        <w:t xml:space="preserve"> </w:t>
      </w:r>
      <m:oMath>
        <m:r>
          <m:t>T</m:t>
        </m:r>
        <m:r>
          <m:t>M</m:t>
        </m:r>
        <m:r>
          <m:t>T</m:t>
        </m:r>
        <m:r>
          <m:rPr>
            <m:sty m:val="p"/>
          </m:rPr>
          <m:t>=</m:t>
        </m:r>
        <m:r>
          <m:t>T</m:t>
        </m:r>
        <m:r>
          <m:t>M</m:t>
        </m:r>
        <m:r>
          <m:t>S</m:t>
        </m:r>
        <m:r>
          <m:rPr>
            <m:sty m:val="p"/>
          </m:rPr>
          <m:t>⟹</m:t>
        </m:r>
        <m:sSub>
          <m:e>
            <m:r>
              <m:t>X</m:t>
            </m:r>
          </m:e>
          <m:sub>
            <m:r>
              <m:t>1</m:t>
            </m:r>
          </m:sub>
        </m:sSub>
        <m:r>
          <m:rPr>
            <m:sty m:val="p"/>
          </m:rPr>
          <m:t>/</m:t>
        </m:r>
        <m:sSub>
          <m:e>
            <m:r>
              <m:t>X</m:t>
            </m:r>
          </m:e>
          <m:sub>
            <m:r>
              <m:t>2</m:t>
            </m:r>
          </m:sub>
        </m:sSub>
        <m:r>
          <m:rPr>
            <m:sty m:val="p"/>
          </m:rPr>
          <m:t>=</m:t>
        </m:r>
        <m:sSub>
          <m:e>
            <m:r>
              <m:t>X</m:t>
            </m:r>
          </m:e>
          <m:sub>
            <m:r>
              <m:t>2</m:t>
            </m:r>
          </m:sub>
        </m:sSub>
        <m:r>
          <m:rPr>
            <m:sty m:val="p"/>
          </m:rPr>
          <m:t>/</m:t>
        </m:r>
        <m:sSub>
          <m:e>
            <m:r>
              <m:t>X</m:t>
            </m:r>
          </m:e>
          <m:sub>
            <m:r>
              <m:t>1</m:t>
            </m:r>
          </m:sub>
        </m:sSub>
        <m:r>
          <m:rPr>
            <m:sty m:val="p"/>
          </m:rPr>
          <m:t>⟹</m:t>
        </m:r>
        <m:sSub>
          <m:e>
            <m:r>
              <m:t>X</m:t>
            </m:r>
          </m:e>
          <m:sub>
            <m:r>
              <m:t>1</m:t>
            </m:r>
          </m:sub>
        </m:sSub>
        <m:r>
          <m:rPr>
            <m:sty m:val="p"/>
          </m:rPr>
          <m:t>=</m:t>
        </m:r>
        <m:sSub>
          <m:e>
            <m:r>
              <m:t>X</m:t>
            </m:r>
          </m:e>
          <m:sub>
            <m:r>
              <m:t>2</m:t>
            </m:r>
          </m:sub>
        </m:sSub>
      </m:oMath>
      <w:r>
        <w:t xml:space="preserve">.</w:t>
      </w:r>
    </w:p>
    <w:p>
      <w:pPr>
        <w:pStyle w:val="BlockText"/>
      </w:pPr>
      <w:r>
        <w:t xml:space="preserve">Na FPP:</w:t>
      </w:r>
      <w:r>
        <w:t xml:space="preserve"> </w:t>
      </w:r>
      <m:oMath>
        <m:r>
          <m:t>2</m:t>
        </m:r>
        <m:sSubSup>
          <m:e>
            <m:r>
              <m:t>X</m:t>
            </m:r>
          </m:e>
          <m:sub>
            <m:r>
              <m:t>1</m:t>
            </m:r>
          </m:sub>
          <m:sup>
            <m:r>
              <m:t>2</m:t>
            </m:r>
          </m:sup>
        </m:sSubSup>
        <m:r>
          <m:rPr>
            <m:sty m:val="p"/>
          </m:rPr>
          <m:t>=</m:t>
        </m:r>
        <m:r>
          <m:t>200</m:t>
        </m:r>
        <m:r>
          <m:rPr>
            <m:sty m:val="p"/>
          </m:rPr>
          <m:t>⟹</m:t>
        </m:r>
        <m:sSubSup>
          <m:e>
            <m:r>
              <m:t>X</m:t>
            </m:r>
          </m:e>
          <m:sub>
            <m:r>
              <m:t>1</m:t>
            </m:r>
          </m:sub>
          <m:sup>
            <m:r>
              <m:rPr>
                <m:sty m:val="p"/>
              </m:rPr>
              <m:t>*</m:t>
            </m:r>
          </m:sup>
        </m:sSubSup>
        <m:r>
          <m:rPr>
            <m:sty m:val="p"/>
          </m:rPr>
          <m:t>=</m:t>
        </m:r>
        <m:sSubSup>
          <m:e>
            <m:r>
              <m:t>X</m:t>
            </m:r>
          </m:e>
          <m:sub>
            <m:r>
              <m:t>2</m:t>
            </m:r>
          </m:sub>
          <m:sup>
            <m:r>
              <m:rPr>
                <m:sty m:val="p"/>
              </m:rPr>
              <m:t>*</m:t>
            </m:r>
          </m:sup>
        </m:sSubSup>
        <m:r>
          <m:rPr>
            <m:sty m:val="p"/>
          </m:rPr>
          <m:t>=</m:t>
        </m:r>
        <m:r>
          <m:t>10</m:t>
        </m:r>
      </m:oMath>
      <w:r>
        <w:t xml:space="preserve">.</w:t>
      </w:r>
    </w:p>
    <w:p>
      <w:pPr>
        <w:pStyle w:val="BlockText"/>
      </w:pPr>
      <w:r>
        <w:t xml:space="preserve">Utilidade por consumidor:</w:t>
      </w:r>
      <w:r>
        <w:t xml:space="preserve"> </w:t>
      </w:r>
      <m:oMath>
        <m:sSup>
          <m:e>
            <m:r>
              <m:t>U</m:t>
            </m:r>
          </m:e>
          <m:sup>
            <m:r>
              <m:rPr>
                <m:sty m:val="p"/>
              </m:rPr>
              <m:t>*</m:t>
            </m:r>
          </m:sup>
        </m:sSup>
        <m:r>
          <m:rPr>
            <m:sty m:val="p"/>
          </m:rPr>
          <m:t>=</m:t>
        </m:r>
        <m:r>
          <m:rPr>
            <m:sty m:val="p"/>
          </m:rPr>
          <m:t>(</m:t>
        </m:r>
        <m:r>
          <m:t>5</m:t>
        </m:r>
        <m:sSup>
          <m:e>
            <m:r>
              <m:rPr>
                <m:sty m:val="p"/>
              </m:rPr>
              <m:t>)</m:t>
            </m:r>
          </m:e>
          <m:sup>
            <m:r>
              <m:t>1</m:t>
            </m:r>
            <m:r>
              <m:rPr>
                <m:sty m:val="p"/>
              </m:rPr>
              <m:t>/</m:t>
            </m:r>
            <m:r>
              <m:t>2</m:t>
            </m:r>
          </m:sup>
        </m:sSup>
        <m:r>
          <m:rPr>
            <m:sty m:val="p"/>
          </m:rPr>
          <m:t>(</m:t>
        </m:r>
        <m:r>
          <m:t>5</m:t>
        </m:r>
        <m:sSup>
          <m:e>
            <m:r>
              <m:rPr>
                <m:sty m:val="p"/>
              </m:rPr>
              <m:t>)</m:t>
            </m:r>
          </m:e>
          <m:sup>
            <m:r>
              <m:t>1</m:t>
            </m:r>
            <m:r>
              <m:rPr>
                <m:sty m:val="p"/>
              </m:rPr>
              <m:t>/</m:t>
            </m:r>
            <m:r>
              <m:t>2</m:t>
            </m:r>
          </m:sup>
        </m:sSup>
        <m:r>
          <m:rPr>
            <m:sty m:val="p"/>
          </m:rPr>
          <m:t>=</m:t>
        </m:r>
        <m:r>
          <m:t>5</m:t>
        </m:r>
      </m:oMath>
      <w:r>
        <w:t xml:space="preserve"> </w:t>
      </w:r>
      <w:r>
        <w:t xml:space="preserve">(cada um recebe metade: 5 de cada bem).</w:t>
      </w:r>
    </w:p>
    <w:p>
      <w:pPr>
        <w:pStyle w:val="BlockText"/>
      </w:pPr>
      <w:r>
        <w:rPr>
          <w:b/>
          <w:bCs/>
        </w:rPr>
        <w:t xml:space="preserve">Passo 2 — Equilíbrio com imposto</w:t>
      </w:r>
    </w:p>
    <w:p>
      <w:pPr>
        <w:pStyle w:val="BlockText"/>
      </w:pPr>
      <w:r>
        <w:t xml:space="preserve">O imposto cria uma cunha: produtores igualam TMT ao preço relativo do produtor</w:t>
      </w:r>
      <w:r>
        <w:t xml:space="preserve"> </w:t>
      </w:r>
      <m:oMath>
        <m:sSub>
          <m:e>
            <m:r>
              <m:t>p</m:t>
            </m:r>
          </m:e>
          <m:sub>
            <m:r>
              <m:t>1</m:t>
            </m:r>
          </m:sub>
        </m:sSub>
        <m:r>
          <m:rPr>
            <m:sty m:val="p"/>
          </m:rPr>
          <m:t>/</m:t>
        </m:r>
        <m:sSub>
          <m:e>
            <m:r>
              <m:t>p</m:t>
            </m:r>
          </m:e>
          <m:sub>
            <m:r>
              <m:t>2</m:t>
            </m:r>
          </m:sub>
        </m:sSub>
      </m:oMath>
      <w:r>
        <w:t xml:space="preserve">, mas consumidores igualam TMS ao preço do consumidor</w:t>
      </w:r>
      <w:r>
        <w:t xml:space="preserve"> </w:t>
      </w:r>
      <m:oMath>
        <m:sSub>
          <m:e>
            <m:r>
              <m:t>p</m:t>
            </m:r>
          </m:e>
          <m:sub>
            <m:r>
              <m:t>1</m:t>
            </m:r>
          </m:sub>
        </m:sSub>
        <m:r>
          <m:rPr>
            <m:sty m:val="p"/>
          </m:rPr>
          <m:t>(</m:t>
        </m:r>
        <m:r>
          <m:t>1</m:t>
        </m:r>
        <m:r>
          <m:rPr>
            <m:sty m:val="p"/>
          </m:rPr>
          <m:t>+</m:t>
        </m:r>
        <m:r>
          <m:t>t</m:t>
        </m:r>
        <m:r>
          <m:rPr>
            <m:sty m:val="p"/>
          </m:rPr>
          <m:t>)</m:t>
        </m:r>
        <m:r>
          <m:rPr>
            <m:sty m:val="p"/>
          </m:rPr>
          <m:t>/</m:t>
        </m:r>
        <m:sSub>
          <m:e>
            <m:r>
              <m:t>p</m:t>
            </m:r>
          </m:e>
          <m:sub>
            <m:r>
              <m:t>2</m:t>
            </m:r>
          </m:sub>
        </m:sSub>
      </m:oMath>
      <w:r>
        <w:t xml:space="preserve">:</w:t>
      </w:r>
    </w:p>
    <w:p>
      <w:pPr>
        <w:pStyle w:val="BlockText"/>
      </w:pPr>
      <w:r>
        <w:t xml:space="preserve">$$</w:t>
      </w:r>
    </w:p>
    <w:p>
      <w:pPr>
        <w:pStyle w:val="BlockText"/>
      </w:pPr>
      <w:r>
        <w:t xml:space="preserve">TMT =</w:t>
      </w:r>
      <w:r>
        <w:t xml:space="preserve"> </w:t>
      </w:r>
      <w:r>
        <w:t xml:space="preserve">,</w:t>
      </w:r>
      <w:r>
        <w:t xml:space="preserve"> </w:t>
      </w:r>
      <w:r>
        <w:t xml:space="preserve">TMS =</w:t>
      </w:r>
      <w:r>
        <w:t xml:space="preserve"> </w:t>
      </w:r>
      <w:r>
        <w:t xml:space="preserve"> </w:t>
      </w:r>
      <w:r>
        <w:t xml:space="preserve">= (1+t)</w:t>
      </w:r>
      <w:r>
        <w:t xml:space="preserve"> </w:t>
      </w:r>
      <w:r>
        <w:t xml:space="preserve">TMT</w:t>
      </w:r>
    </w:p>
    <w:p>
      <w:pPr>
        <w:pStyle w:val="BlockText"/>
      </w:pPr>
      <w:r>
        <w:t xml:space="preserve">$$</w:t>
      </w:r>
    </w:p>
    <w:p>
      <w:pPr>
        <w:pStyle w:val="BlockText"/>
      </w:pPr>
      <w:r>
        <w:t xml:space="preserve">Portanto</w:t>
      </w:r>
      <w:r>
        <w:t xml:space="preserve"> </w:t>
      </w:r>
      <m:oMath>
        <m:r>
          <m:t>T</m:t>
        </m:r>
        <m:r>
          <m:t>M</m:t>
        </m:r>
        <m:r>
          <m:t>S</m:t>
        </m:r>
        <m:r>
          <m:rPr>
            <m:sty m:val="p"/>
          </m:rPr>
          <m:t>≠</m:t>
        </m:r>
        <m:r>
          <m:t>T</m:t>
        </m:r>
        <m:r>
          <m:t>M</m:t>
        </m:r>
        <m:r>
          <m:t>T</m:t>
        </m:r>
      </m:oMath>
      <w:r>
        <w:t xml:space="preserve"> </w:t>
      </w:r>
      <w:r>
        <w:t xml:space="preserve">— a condição de eficiência no mix de produtos é violada.</w:t>
      </w:r>
    </w:p>
    <w:p>
      <w:pPr>
        <w:pStyle w:val="BlockText"/>
      </w:pPr>
      <w:r>
        <w:t xml:space="preserve">Condição do lado do consumo:</w:t>
      </w:r>
      <w:r>
        <w:t xml:space="preserve"> </w:t>
      </w:r>
      <m:oMath>
        <m:sSub>
          <m:e>
            <m:r>
              <m:t>X</m:t>
            </m:r>
          </m:e>
          <m:sub>
            <m:r>
              <m:t>2</m:t>
            </m:r>
          </m:sub>
        </m:sSub>
        <m:r>
          <m:rPr>
            <m:sty m:val="p"/>
          </m:rPr>
          <m:t>/</m:t>
        </m:r>
        <m:sSub>
          <m:e>
            <m:r>
              <m:t>X</m:t>
            </m:r>
          </m:e>
          <m:sub>
            <m:r>
              <m:t>1</m:t>
            </m:r>
          </m:sub>
        </m:sSub>
        <m:r>
          <m:rPr>
            <m:sty m:val="p"/>
          </m:rPr>
          <m:t>=</m:t>
        </m:r>
        <m:r>
          <m:rPr>
            <m:sty m:val="p"/>
          </m:rPr>
          <m:t>(</m:t>
        </m:r>
        <m:r>
          <m:t>1</m:t>
        </m:r>
        <m:r>
          <m:rPr>
            <m:sty m:val="p"/>
          </m:rPr>
          <m:t>+</m:t>
        </m:r>
        <m:r>
          <m:t>t</m:t>
        </m:r>
        <m:r>
          <m:rPr>
            <m:sty m:val="p"/>
          </m:rPr>
          <m:t>)</m:t>
        </m:r>
        <m:sSub>
          <m:e>
            <m:r>
              <m:t>X</m:t>
            </m:r>
          </m:e>
          <m:sub>
            <m:r>
              <m:t>1</m:t>
            </m:r>
          </m:sub>
        </m:sSub>
        <m:r>
          <m:rPr>
            <m:sty m:val="p"/>
          </m:rPr>
          <m:t>/</m:t>
        </m:r>
        <m:sSub>
          <m:e>
            <m:r>
              <m:t>X</m:t>
            </m:r>
          </m:e>
          <m:sub>
            <m:r>
              <m:t>2</m:t>
            </m:r>
          </m:sub>
        </m:sSub>
      </m:oMath>
      <w:r>
        <w:t xml:space="preserve">, logo</w:t>
      </w:r>
      <w:r>
        <w:t xml:space="preserve"> </w:t>
      </w:r>
      <m:oMath>
        <m:sSubSup>
          <m:e>
            <m:r>
              <m:t>X</m:t>
            </m:r>
          </m:e>
          <m:sub>
            <m:r>
              <m:t>2</m:t>
            </m:r>
          </m:sub>
          <m:sup>
            <m:r>
              <m:t>2</m:t>
            </m:r>
          </m:sup>
        </m:sSubSup>
        <m:r>
          <m:rPr>
            <m:sty m:val="p"/>
          </m:rPr>
          <m:t>=</m:t>
        </m:r>
        <m:r>
          <m:rPr>
            <m:sty m:val="p"/>
          </m:rPr>
          <m:t>(</m:t>
        </m:r>
        <m:r>
          <m:t>1</m:t>
        </m:r>
        <m:r>
          <m:rPr>
            <m:sty m:val="p"/>
          </m:rPr>
          <m:t>+</m:t>
        </m:r>
        <m:r>
          <m:t>t</m:t>
        </m:r>
        <m:r>
          <m:rPr>
            <m:sty m:val="p"/>
          </m:rPr>
          <m:t>)</m:t>
        </m:r>
        <m:sSubSup>
          <m:e>
            <m:r>
              <m:t>X</m:t>
            </m:r>
          </m:e>
          <m:sub>
            <m:r>
              <m:t>1</m:t>
            </m:r>
          </m:sub>
          <m:sup>
            <m:r>
              <m:t>2</m:t>
            </m:r>
          </m:sup>
        </m:sSubSup>
      </m:oMath>
      <w:r>
        <w:t xml:space="preserve">.</w:t>
      </w:r>
    </w:p>
    <w:p>
      <w:pPr>
        <w:pStyle w:val="BlockText"/>
      </w:pPr>
      <w:r>
        <w:t xml:space="preserve">Na FPP:</w:t>
      </w:r>
      <w:r>
        <w:t xml:space="preserve"> </w:t>
      </w:r>
      <m:oMath>
        <m:sSubSup>
          <m:e>
            <m:r>
              <m:t>X</m:t>
            </m:r>
          </m:e>
          <m:sub>
            <m:r>
              <m:t>1</m:t>
            </m:r>
          </m:sub>
          <m:sup>
            <m:r>
              <m:t>2</m:t>
            </m:r>
          </m:sup>
        </m:sSubSup>
        <m:r>
          <m:rPr>
            <m:sty m:val="p"/>
          </m:rPr>
          <m:t>+</m:t>
        </m:r>
        <m:r>
          <m:rPr>
            <m:sty m:val="p"/>
          </m:rPr>
          <m:t>(</m:t>
        </m:r>
        <m:r>
          <m:t>1</m:t>
        </m:r>
        <m:r>
          <m:rPr>
            <m:sty m:val="p"/>
          </m:rPr>
          <m:t>+</m:t>
        </m:r>
        <m:r>
          <m:t>t</m:t>
        </m:r>
        <m:r>
          <m:rPr>
            <m:sty m:val="p"/>
          </m:rPr>
          <m:t>)</m:t>
        </m:r>
        <m:sSubSup>
          <m:e>
            <m:r>
              <m:t>X</m:t>
            </m:r>
          </m:e>
          <m:sub>
            <m:r>
              <m:t>1</m:t>
            </m:r>
          </m:sub>
          <m:sup>
            <m:r>
              <m:t>2</m:t>
            </m:r>
          </m:sup>
        </m:sSubSup>
        <m:r>
          <m:rPr>
            <m:sty m:val="p"/>
          </m:rPr>
          <m:t>=</m:t>
        </m:r>
        <m:r>
          <m:t>200</m:t>
        </m:r>
        <m:r>
          <m:rPr>
            <m:sty m:val="p"/>
          </m:rPr>
          <m:t>⟹</m:t>
        </m:r>
        <m:sSubSup>
          <m:e>
            <m:r>
              <m:t>X</m:t>
            </m:r>
          </m:e>
          <m:sub>
            <m:r>
              <m:t>1</m:t>
            </m:r>
          </m:sub>
          <m:sup>
            <m:r>
              <m:t>2</m:t>
            </m:r>
          </m:sup>
        </m:sSubSup>
        <m:r>
          <m:rPr>
            <m:sty m:val="p"/>
          </m:rPr>
          <m:t>(</m:t>
        </m:r>
        <m:r>
          <m:t>2</m:t>
        </m:r>
        <m:r>
          <m:rPr>
            <m:sty m:val="p"/>
          </m:rPr>
          <m:t>+</m:t>
        </m:r>
        <m:r>
          <m:t>t</m:t>
        </m:r>
        <m:r>
          <m:rPr>
            <m:sty m:val="p"/>
          </m:rPr>
          <m:t>)</m:t>
        </m:r>
        <m:r>
          <m:rPr>
            <m:sty m:val="p"/>
          </m:rPr>
          <m:t>=</m:t>
        </m:r>
        <m:r>
          <m:t>200</m:t>
        </m:r>
      </m:oMath>
      <w:r>
        <w:t xml:space="preserve">.</w:t>
      </w:r>
    </w:p>
    <w:p>
      <w:pPr>
        <w:pStyle w:val="BlockText"/>
      </w:pPr>
      <w:r>
        <w:t xml:space="preserve">Com</w:t>
      </w:r>
      <w:r>
        <w:t xml:space="preserve"> </w:t>
      </w:r>
      <m:oMath>
        <m:r>
          <m:t>t</m:t>
        </m:r>
        <m:r>
          <m:rPr>
            <m:sty m:val="p"/>
          </m:rPr>
          <m:t>=</m:t>
        </m:r>
        <m:r>
          <m:t>0</m:t>
        </m:r>
        <m:r>
          <m:rPr>
            <m:sty m:val="p"/>
          </m:rPr>
          <m:t>,</m:t>
        </m:r>
        <m:r>
          <m:t>5</m:t>
        </m:r>
      </m:oMath>
      <w:r>
        <w:t xml:space="preserve">:</w:t>
      </w:r>
      <w:r>
        <w:t xml:space="preserve"> </w:t>
      </w:r>
      <m:oMath>
        <m:sSubSup>
          <m:e>
            <m:r>
              <m:t>X</m:t>
            </m:r>
          </m:e>
          <m:sub>
            <m:r>
              <m:t>1</m:t>
            </m:r>
          </m:sub>
          <m:sup>
            <m:r>
              <m:t>2</m:t>
            </m:r>
          </m:sup>
        </m:sSubSup>
        <m:r>
          <m:rPr>
            <m:sty m:val="p"/>
          </m:rPr>
          <m:t>=</m:t>
        </m:r>
        <m:r>
          <m:t>200</m:t>
        </m:r>
        <m:r>
          <m:rPr>
            <m:sty m:val="p"/>
          </m:rPr>
          <m:t>/</m:t>
        </m:r>
        <m:r>
          <m:t>2</m:t>
        </m:r>
        <m:r>
          <m:rPr>
            <m:sty m:val="p"/>
          </m:rPr>
          <m:t>,</m:t>
        </m:r>
        <m:r>
          <m:t>5</m:t>
        </m:r>
        <m:r>
          <m:rPr>
            <m:sty m:val="p"/>
          </m:rPr>
          <m:t>=</m:t>
        </m:r>
        <m:r>
          <m:t>80</m:t>
        </m:r>
      </m:oMath>
      <w:r>
        <w:t xml:space="preserve">,</w:t>
      </w:r>
      <w:r>
        <w:t xml:space="preserve"> </w:t>
      </w:r>
      <m:oMath>
        <m:sSub>
          <m:e>
            <m:r>
              <m:t>X</m:t>
            </m:r>
          </m:e>
          <m:sub>
            <m:r>
              <m:t>1</m:t>
            </m:r>
          </m:sub>
        </m:sSub>
        <m:r>
          <m:rPr>
            <m:sty m:val="p"/>
          </m:rPr>
          <m:t>=</m:t>
        </m:r>
        <m:r>
          <m:t>4</m:t>
        </m:r>
        <m:rad>
          <m:radPr>
            <m:degHide m:val="on"/>
          </m:radPr>
          <m:deg/>
          <m:e>
            <m:r>
              <m:t>5</m:t>
            </m:r>
          </m:e>
        </m:rad>
        <m:r>
          <m:rPr>
            <m:sty m:val="p"/>
          </m:rPr>
          <m:t>≈</m:t>
        </m:r>
        <m:r>
          <m:t>8</m:t>
        </m:r>
        <m:r>
          <m:rPr>
            <m:sty m:val="p"/>
          </m:rPr>
          <m:t>,</m:t>
        </m:r>
        <m:r>
          <m:t>94</m:t>
        </m:r>
      </m:oMath>
      <w:r>
        <w:t xml:space="preserve"> </w:t>
      </w:r>
      <w:r>
        <w:t xml:space="preserve">e</w:t>
      </w:r>
      <w:r>
        <w:t xml:space="preserve"> </w:t>
      </w:r>
      <m:oMath>
        <m:sSub>
          <m:e>
            <m:r>
              <m:t>X</m:t>
            </m:r>
          </m:e>
          <m:sub>
            <m:r>
              <m:t>2</m:t>
            </m:r>
          </m:sub>
        </m:sSub>
        <m:r>
          <m:rPr>
            <m:sty m:val="p"/>
          </m:rPr>
          <m:t>=</m:t>
        </m:r>
        <m:rad>
          <m:radPr>
            <m:degHide m:val="on"/>
          </m:radPr>
          <m:deg/>
          <m:e>
            <m:r>
              <m:t>200</m:t>
            </m:r>
            <m:r>
              <m:rPr>
                <m:sty m:val="p"/>
              </m:rPr>
              <m:t>−</m:t>
            </m:r>
            <m:r>
              <m:t>80</m:t>
            </m:r>
          </m:e>
        </m:rad>
        <m:r>
          <m:rPr>
            <m:sty m:val="p"/>
          </m:rPr>
          <m:t>=</m:t>
        </m:r>
        <m:rad>
          <m:radPr>
            <m:degHide m:val="on"/>
          </m:radPr>
          <m:deg/>
          <m:e>
            <m:r>
              <m:t>120</m:t>
            </m:r>
          </m:e>
        </m:rad>
        <m:r>
          <m:rPr>
            <m:sty m:val="p"/>
          </m:rPr>
          <m:t>=</m:t>
        </m:r>
        <m:r>
          <m:t>2</m:t>
        </m:r>
        <m:rad>
          <m:radPr>
            <m:degHide m:val="on"/>
          </m:radPr>
          <m:deg/>
          <m:e>
            <m:r>
              <m:t>30</m:t>
            </m:r>
          </m:e>
        </m:rad>
        <m:r>
          <m:rPr>
            <m:sty m:val="p"/>
          </m:rPr>
          <m:t>≈</m:t>
        </m:r>
        <m:r>
          <m:t>10</m:t>
        </m:r>
        <m:r>
          <m:rPr>
            <m:sty m:val="p"/>
          </m:rPr>
          <m:t>,</m:t>
        </m:r>
        <m:r>
          <m:t>95</m:t>
        </m:r>
      </m:oMath>
      <w:r>
        <w:t xml:space="preserve">.</w:t>
      </w:r>
    </w:p>
    <w:p>
      <w:pPr>
        <w:pStyle w:val="BlockText"/>
      </w:pPr>
      <w:r>
        <w:rPr>
          <w:b/>
          <w:bCs/>
        </w:rPr>
        <w:t xml:space="preserve">Passo 3 — Perda de bem-estar</w:t>
      </w:r>
    </w:p>
    <w:p>
      <w:pPr>
        <w:pStyle w:val="BlockText"/>
      </w:pPr>
      <w:r>
        <w:t xml:space="preserve">Utilidade por consumidor com imposto:</w:t>
      </w:r>
    </w:p>
    <w:p>
      <w:pPr>
        <w:pStyle w:val="BlockText"/>
      </w:pPr>
      <w:r>
        <w:t xml:space="preserve">$$</w:t>
      </w:r>
    </w:p>
    <w:p>
      <w:pPr>
        <w:pStyle w:val="BlockText"/>
      </w:pPr>
      <w:r>
        <w:t xml:space="preserve">U^t =</w:t>
      </w:r>
      <w:r>
        <w:t xml:space="preserve"> </w:t>
      </w:r>
      <w:r>
        <w:t xml:space="preserve">(</w:t>
      </w:r>
      <w:r>
        <w:t xml:space="preserve">)</w:t>
      </w:r>
      <w:r>
        <w:rPr>
          <w:vertAlign w:val="superscript"/>
        </w:rPr>
        <w:t xml:space="preserve">{1/2}</w:t>
      </w:r>
      <w:r>
        <w:rPr>
          <w:vertAlign w:val="superscript"/>
        </w:rPr>
        <w:t xml:space="preserve">(</w:t>
      </w:r>
      <w:r>
        <w:rPr>
          <w:vertAlign w:val="superscript"/>
        </w:rPr>
        <w:t xml:space="preserve">)</w:t>
      </w:r>
      <w:r>
        <w:t xml:space="preserve">{1/2} =</w:t>
      </w:r>
      <w:r>
        <w:t xml:space="preserve"> </w:t>
      </w:r>
      <w:r>
        <w:t xml:space="preserve"> </w:t>
      </w:r>
      <w:r>
        <w:t xml:space="preserve">=</w:t>
      </w:r>
      <w:r>
        <w:t xml:space="preserve"> </w:t>
      </w:r>
      <w:r>
        <w:t xml:space="preserve"> </w:t>
      </w:r>
      <w:r>
        <w:t xml:space="preserve">=</w:t>
      </w:r>
      <w:r>
        <w:t xml:space="preserve"> </w:t>
      </w:r>
    </w:p>
    <w:p>
      <w:pPr>
        <w:pStyle w:val="BlockText"/>
      </w:pPr>
      <w:r>
        <w:t xml:space="preserve">$$</w:t>
      </w:r>
    </w:p>
    <w:p>
      <w:pPr>
        <w:pStyle w:val="BlockText"/>
      </w:pPr>
      <w:r>
        <w:t xml:space="preserve">Calculando numericamente:</w:t>
      </w:r>
      <w:r>
        <w:t xml:space="preserve"> </w:t>
      </w:r>
      <m:oMath>
        <m:sSub>
          <m:e>
            <m:r>
              <m:t>X</m:t>
            </m:r>
          </m:e>
          <m:sub>
            <m:r>
              <m:t>1</m:t>
            </m:r>
          </m:sub>
        </m:sSub>
        <m:sSub>
          <m:e>
            <m:r>
              <m:t>X</m:t>
            </m:r>
          </m:e>
          <m:sub>
            <m:r>
              <m:t>2</m:t>
            </m:r>
          </m:sub>
        </m:sSub>
        <m:r>
          <m:rPr>
            <m:sty m:val="p"/>
          </m:rPr>
          <m:t>≈</m:t>
        </m:r>
        <m:r>
          <m:t>8</m:t>
        </m:r>
        <m:r>
          <m:rPr>
            <m:sty m:val="p"/>
          </m:rPr>
          <m:t>,</m:t>
        </m:r>
        <m:r>
          <m:t>94</m:t>
        </m:r>
        <m:r>
          <m:rPr>
            <m:sty m:val="p"/>
          </m:rPr>
          <m:t>×</m:t>
        </m:r>
        <m:r>
          <m:t>10</m:t>
        </m:r>
        <m:r>
          <m:rPr>
            <m:sty m:val="p"/>
          </m:rPr>
          <m:t>,</m:t>
        </m:r>
        <m:r>
          <m:t>95</m:t>
        </m:r>
        <m:r>
          <m:rPr>
            <m:sty m:val="p"/>
          </m:rPr>
          <m:t>≈</m:t>
        </m:r>
        <m:r>
          <m:t>97</m:t>
        </m:r>
        <m:r>
          <m:rPr>
            <m:sty m:val="p"/>
          </m:rPr>
          <m:t>,</m:t>
        </m:r>
        <m:r>
          <m:t>9</m:t>
        </m:r>
      </m:oMath>
      <w:r>
        <w:t xml:space="preserve">, logo</w:t>
      </w:r>
      <w:r>
        <w:t xml:space="preserve"> </w:t>
      </w:r>
      <m:oMath>
        <m:sSup>
          <m:e>
            <m:r>
              <m:t>U</m:t>
            </m:r>
          </m:e>
          <m:sup>
            <m:r>
              <m:t>t</m:t>
            </m:r>
          </m:sup>
        </m:sSup>
        <m:r>
          <m:rPr>
            <m:sty m:val="p"/>
          </m:rPr>
          <m:t>≈</m:t>
        </m:r>
        <m:rad>
          <m:radPr>
            <m:degHide m:val="on"/>
          </m:radPr>
          <m:deg/>
          <m:e>
            <m:r>
              <m:t>97</m:t>
            </m:r>
            <m:r>
              <m:rPr>
                <m:sty m:val="p"/>
              </m:rPr>
              <m:t>,</m:t>
            </m:r>
            <m:r>
              <m:t>9</m:t>
            </m:r>
          </m:e>
        </m:rad>
        <m:r>
          <m:rPr>
            <m:sty m:val="p"/>
          </m:rPr>
          <m:t>/</m:t>
        </m:r>
        <m:r>
          <m:t>2</m:t>
        </m:r>
        <m:r>
          <m:rPr>
            <m:sty m:val="p"/>
          </m:rPr>
          <m:t>≈</m:t>
        </m:r>
        <m:r>
          <m:t>4</m:t>
        </m:r>
        <m:r>
          <m:rPr>
            <m:sty m:val="p"/>
          </m:rPr>
          <m:t>,</m:t>
        </m:r>
        <m:r>
          <m:t>95</m:t>
        </m:r>
      </m:oMath>
      <w:r>
        <w:t xml:space="preserve">.</w:t>
      </w:r>
    </w:p>
    <w:p>
      <w:pPr>
        <w:pStyle w:val="BlockText"/>
      </w:pPr>
      <w:r>
        <w:t xml:space="preserve">Perda percentual:</w:t>
      </w:r>
      <w:r>
        <w:t xml:space="preserve"> </w:t>
      </w:r>
      <m:oMath>
        <m:r>
          <m:rPr>
            <m:sty m:val="p"/>
          </m:rPr>
          <m:t>(</m:t>
        </m:r>
        <m:r>
          <m:t>5</m:t>
        </m:r>
        <m:r>
          <m:rPr>
            <m:sty m:val="p"/>
          </m:rPr>
          <m:t>−</m:t>
        </m:r>
        <m:r>
          <m:t>4</m:t>
        </m:r>
        <m:r>
          <m:rPr>
            <m:sty m:val="p"/>
          </m:rPr>
          <m:t>,</m:t>
        </m:r>
        <m:r>
          <m:t>95</m:t>
        </m:r>
        <m:r>
          <m:rPr>
            <m:sty m:val="p"/>
          </m:rPr>
          <m:t>)</m:t>
        </m:r>
        <m:r>
          <m:rPr>
            <m:sty m:val="p"/>
          </m:rPr>
          <m:t>/</m:t>
        </m:r>
        <m:r>
          <m:t>5</m:t>
        </m:r>
        <m:r>
          <m:rPr>
            <m:sty m:val="p"/>
          </m:rPr>
          <m:t>=</m:t>
        </m:r>
        <m:r>
          <m:t>1</m:t>
        </m:r>
        <m:r>
          <m:rPr>
            <m:sty m:val="p"/>
          </m:rPr>
          <m:t>,</m:t>
        </m:r>
        <m:r>
          <m:t>0</m:t>
        </m:r>
        <m:r>
          <m:rPr>
            <m:sty m:val="p"/>
          </m:rPr>
          <m:t>%</m:t>
        </m:r>
      </m:oMath>
      <w:r>
        <w:t xml:space="preserve">.</w:t>
      </w:r>
    </w:p>
    <w:p>
      <w:pPr>
        <w:pStyle w:val="BlockText"/>
      </w:pPr>
      <w:r>
        <w:rPr>
          <w:b/>
          <w:bCs/>
        </w:rPr>
        <w:t xml:space="preserve">Resultado:</w:t>
      </w:r>
      <w:r>
        <w:t xml:space="preserve"> </w:t>
      </w:r>
      <w:r>
        <w:t xml:space="preserve">O imposto reduz a produção do bem 1 de 10 para 8,94 e eleva a do bem 2 de 10 para 10,95. A distorção no mix de produtos gera uma perda de bem-estar de aproximadamente 1,0% por consumidor.</w:t>
      </w:r>
    </w:p>
    <w:p>
      <w:pPr>
        <w:pStyle w:val="BlockText"/>
      </w:pPr>
      <w:r>
        <w:rPr>
          <w:b/>
          <w:bCs/>
        </w:rPr>
        <w:t xml:space="preserve">Interpretação econômica:</w:t>
      </w:r>
      <w:r>
        <w:t xml:space="preserve"> </w:t>
      </w:r>
      <w:r>
        <w:t xml:space="preserve">O imposto sobre o bem 1 encarece-o relativamente, fazendo consumidores demandarem menos e a economia produzir menos desse bem. A TMT deixa de igualar a TMS: a economia está</w:t>
      </w:r>
      <w:r>
        <w:t xml:space="preserve"> </w:t>
      </w:r>
      <w:r>
        <w:t xml:space="preserve">“dentro”</w:t>
      </w:r>
      <w:r>
        <w:t xml:space="preserve"> </w:t>
      </w:r>
      <w:r>
        <w:t xml:space="preserve">da fronteira de utilidades possíveis, produzindo uma combinação de bens que não corresponde às preferências dos consumidores. Essa é a essência da perda de peso morto da tributação em equilíbrio geral — e a razão pela qual o Segundo Teorema insiste em transferências</w:t>
      </w:r>
      <w:r>
        <w:t xml:space="preserve"> </w:t>
      </w:r>
      <w:r>
        <w:rPr>
          <w:i/>
          <w:iCs/>
        </w:rPr>
        <w:t xml:space="preserve">lump-sum</w:t>
      </w:r>
      <w:r>
        <w:t xml:space="preserve">: elas não criam essa cunha entre TMS e TMT.</w:t>
      </w:r>
    </w:p>
    <w:p>
      <w:pPr>
        <w:pStyle w:val="FirstParagraph"/>
      </w:pPr>
      <w:r>
        <w:t xml:space="preserve">[FIGURA INTERATIVA: /micro-book/graficos/cap14/webr-fpp-eficiencia.html — versao interativa disponivel online]</w:t>
      </w:r>
    </w:p>
    <w:p>
      <w:pPr>
        <w:pStyle w:val="BodyText"/>
      </w:pPr>
      <w:r>
        <w:rPr>
          <w:b/>
          <w:bCs/>
        </w:rPr>
        <w:t xml:space="preserve">WebR 14.5 — FPP, imposto e perda de eficiência.</w:t>
      </w:r>
      <w:r>
        <w:t xml:space="preserve"> </w:t>
      </w:r>
      <w:r>
        <w:t xml:space="preserve">O código calcula o equilíbrio na FPP circular com e sem imposto, mostrando como a cunha tributária viola</w:t>
      </w:r>
      <w:r>
        <w:t xml:space="preserve"> </w:t>
      </w:r>
      <m:oMath>
        <m:r>
          <m:t>T</m:t>
        </m:r>
        <m:r>
          <m:t>M</m:t>
        </m:r>
        <m:r>
          <m:t>S</m:t>
        </m:r>
        <m:r>
          <m:rPr>
            <m:sty m:val="p"/>
          </m:rPr>
          <m:t>=</m:t>
        </m:r>
        <m:r>
          <m:t>T</m:t>
        </m:r>
        <m:r>
          <m:t>M</m:t>
        </m:r>
        <m:r>
          <m:t>T</m:t>
        </m:r>
      </m:oMath>
      <w:r>
        <w:t xml:space="preserve">. Experimente alterar a taxa</w:t>
      </w:r>
      <w:r>
        <w:t xml:space="preserve"> </w:t>
      </w:r>
      <w:r>
        <w:rPr>
          <w:rStyle w:val="VerbatimChar"/>
        </w:rPr>
        <w:t xml:space="preserve">t</w:t>
      </w:r>
      <w:r>
        <w:t xml:space="preserve"> </w:t>
      </w:r>
      <w:r>
        <w:t xml:space="preserve">no vetor</w:t>
      </w:r>
      <w:r>
        <w:t xml:space="preserve"> </w:t>
      </w:r>
      <w:r>
        <w:rPr>
          <w:rStyle w:val="VerbatimChar"/>
        </w:rPr>
        <w:t xml:space="preserve">taxas</w:t>
      </w:r>
      <w:r>
        <w:t xml:space="preserve"> </w:t>
      </w:r>
      <w:r>
        <w:t xml:space="preserve">e observe como a perda de bem-estar cresce de forma convexa — impostos pequenos custam pouco, mas a conta explode rapidamente.</w:t>
      </w:r>
    </w:p>
    <w:p>
      <w:r>
        <w:pict>
          <v:rect style="width:0;height:1.5pt" o:hralign="center" o:hrstd="t" o:hr="t"/>
        </w:pict>
      </w:r>
    </w:p>
    <w:p>
      <w:pPr>
        <w:pStyle w:val="BlockText"/>
      </w:pPr>
      <w:r>
        <w:rPr>
          <w:b/>
          <w:bCs/>
        </w:rPr>
        <w:t xml:space="preserve">[BOX BRASIL] Box Brasil — Acordo Mercosul–União Europeia: equilíbrio geral em escala continental</w:t>
      </w:r>
    </w:p>
    <w:p>
      <w:pPr>
        <w:pStyle w:val="BlockText"/>
      </w:pPr>
      <w:r>
        <w:t xml:space="preserve">Em dezembro de 2024, após 25 anos de negociação, o</w:t>
      </w:r>
      <w:r>
        <w:t xml:space="preserve"> </w:t>
      </w:r>
      <w:r>
        <w:rPr>
          <w:b/>
          <w:bCs/>
        </w:rPr>
        <w:t xml:space="preserve">Mercosul</w:t>
      </w:r>
      <w:r>
        <w:t xml:space="preserve"> </w:t>
      </w:r>
      <w:r>
        <w:t xml:space="preserve">e a</w:t>
      </w:r>
      <w:r>
        <w:t xml:space="preserve"> </w:t>
      </w:r>
      <w:r>
        <w:rPr>
          <w:b/>
          <w:bCs/>
        </w:rPr>
        <w:t xml:space="preserve">União Europeia</w:t>
      </w:r>
      <w:r>
        <w:t xml:space="preserve"> </w:t>
      </w:r>
      <w:r>
        <w:t xml:space="preserve">assinaram um acordo de parceria comercial que cria uma das maiores zonas de livre comércio do mundo, reunindo</w:t>
      </w:r>
      <w:r>
        <w:t xml:space="preserve"> </w:t>
      </w:r>
      <w:r>
        <w:rPr>
          <w:b/>
          <w:bCs/>
        </w:rPr>
        <w:t xml:space="preserve">718 milhões de pessoas</w:t>
      </w:r>
      <w:r>
        <w:t xml:space="preserve"> </w:t>
      </w:r>
      <w:r>
        <w:t xml:space="preserve">e um PIB conjunto de US$ 22,4 trilhões.</w:t>
      </w:r>
    </w:p>
    <w:p>
      <w:pPr>
        <w:pStyle w:val="BlockText"/>
      </w:pPr>
      <w:r>
        <w:rPr>
          <w:b/>
          <w:bCs/>
        </w:rPr>
        <w:t xml:space="preserve">Os ganhos de troca na linguagem da Caixa de Edgeworth</w:t>
      </w:r>
    </w:p>
    <w:p>
      <w:pPr>
        <w:pStyle w:val="BlockText"/>
      </w:pPr>
      <w:r>
        <w:t xml:space="preserve">O acordo pode ser interpretado como um movimento ao longo da</w:t>
      </w:r>
      <w:r>
        <w:t xml:space="preserve"> </w:t>
      </w:r>
      <w:r>
        <w:t xml:space="preserve">“caixa de Edgeworth”</w:t>
      </w:r>
      <w:r>
        <w:t xml:space="preserve"> </w:t>
      </w:r>
      <w:r>
        <w:t xml:space="preserve">entre dois blocos: o Mercosul (dotação abundante em commodities agrícolas e minerais) e a UE (dotação abundante em bens industrializados e serviços). Antes do acordo, tarifas de importação impediam que os preços relativos igualassem as TMS dos dois blocos — a alocação estava dentro da caixa, mas fora da curva de contrato. A eliminação de tarifas aproxima os preços relativos dos custos marginais, movendo a alocação em direção à eficiência de Pareto.</w:t>
      </w:r>
    </w:p>
    <w:p>
      <w:pPr>
        <w:pStyle w:val="BlockText"/>
      </w:pPr>
      <w:r>
        <w:rPr>
          <w:b/>
          <w:bCs/>
        </w:rPr>
        <w:t xml:space="preserve">Estimativas de equilíbrio geral</w:t>
      </w:r>
    </w:p>
    <w:p>
      <w:pPr>
        <w:pStyle w:val="BlockText"/>
      </w:pPr>
      <w:r>
        <w:t xml:space="preserve">Estudos do</w:t>
      </w:r>
      <w:r>
        <w:t xml:space="preserve"> </w:t>
      </w:r>
      <w:hyperlink r:id="rId214">
        <w:r>
          <w:rPr>
            <w:rStyle w:val="Hyperlink"/>
            <w:b/>
            <w:bCs/>
          </w:rPr>
          <w:t xml:space="preserve">IPEA</w:t>
        </w:r>
      </w:hyperlink>
      <w:r>
        <w:t xml:space="preserve"> </w:t>
      </w:r>
      <w:r>
        <w:t xml:space="preserve">utilizando modelos CGE estimam que o acordo elevará o PIB brasileiro em</w:t>
      </w:r>
      <w:r>
        <w:t xml:space="preserve"> </w:t>
      </w:r>
      <w:r>
        <w:rPr>
          <w:b/>
          <w:bCs/>
        </w:rPr>
        <w:t xml:space="preserve">0,46%</w:t>
      </w:r>
      <w:r>
        <w:t xml:space="preserve"> </w:t>
      </w:r>
      <w:r>
        <w:t xml:space="preserve">(US$ 9,3 bilhões) até 2040 e aumentará o fluxo comercial bilateral em</w:t>
      </w:r>
      <w:r>
        <w:t xml:space="preserve"> </w:t>
      </w:r>
      <w:r>
        <w:rPr>
          <w:b/>
          <w:bCs/>
        </w:rPr>
        <w:t xml:space="preserve">R$ 94,2 bilhões</w:t>
      </w:r>
      <w:r>
        <w:t xml:space="preserve"> </w:t>
      </w:r>
      <w:r>
        <w:t xml:space="preserve">— com R$ 52,1 bilhões em exportações brasileiras adicionais. As exportações do agronegócio brasileiro para a UE poderiam crescer até 26%.</w:t>
      </w:r>
    </w:p>
    <w:p>
      <w:pPr>
        <w:pStyle w:val="BlockText"/>
      </w:pPr>
      <w:r>
        <w:rPr>
          <w:b/>
          <w:bCs/>
        </w:rPr>
        <w:t xml:space="preserve">Por que equilíbrio parcial subestima os ganhos?</w:t>
      </w:r>
    </w:p>
    <w:p>
      <w:pPr>
        <w:pStyle w:val="BlockText"/>
      </w:pPr>
      <w:r>
        <w:t xml:space="preserve">Uma análise mercado a mercado (equilíbrio parcial) capturaria apenas os ganhos diretos da redução tarifária em cada setor. O modelo CGE captura adicionalmente: (i) realocação de trabalho e capital entre setores; (ii) efeitos sobre a taxa de câmbio real; (iii) ganhos de produtividade via maior concorrência e acesso a insumos importados mais baratos; (iv) efeitos sobre a receita do governo e consequentes ajustes fiscais.</w:t>
      </w:r>
    </w:p>
    <w:p>
      <w:pPr>
        <w:pStyle w:val="BlockText"/>
      </w:pPr>
      <w:r>
        <w:rPr>
          <w:b/>
          <w:bCs/>
        </w:rPr>
        <w:t xml:space="preserve">Fonte</w:t>
      </w:r>
      <w:r>
        <w:t xml:space="preserve">: IPEA; Ministério das Relações Exteriores; Agência Brasil (dez/2024).</w:t>
      </w:r>
    </w:p>
    <w:p>
      <w:r>
        <w:pict>
          <v:rect style="width:0;height:1.5pt" o:hralign="center" o:hrstd="t" o:hr="t"/>
        </w:pict>
      </w:r>
    </w:p>
    <w:p>
      <w:pPr>
        <w:pStyle w:val="BlockText"/>
      </w:pPr>
      <w:r>
        <w:rPr>
          <w:b/>
          <w:bCs/>
        </w:rPr>
        <w:t xml:space="preserve">[BOX BRASIL] Box Brasil — IBS + CBS: eficiência econômica à luz do equilíbrio geral</w:t>
      </w:r>
    </w:p>
    <w:p>
      <w:pPr>
        <w:pStyle w:val="BlockText"/>
      </w:pPr>
      <w:r>
        <w:t xml:space="preserve">A</w:t>
      </w:r>
      <w:r>
        <w:t xml:space="preserve"> </w:t>
      </w:r>
      <w:r>
        <w:rPr>
          <w:b/>
          <w:bCs/>
        </w:rPr>
        <w:t xml:space="preserve">Reforma Tributária</w:t>
      </w:r>
      <w:r>
        <w:t xml:space="preserve"> </w:t>
      </w:r>
      <w:r>
        <w:t xml:space="preserve">brasileira (EC 132/2023, regulamentada pela LC 214/2025) é, do ponto de vista da teoria do equilíbrio geral, uma das maiores intervenções sobre o sistema de preços relativos já realizadas no país. Ela substitui cinco tributos sobre consumo (PIS, Cofins, IPI, ICMS e ISS) por dois: a</w:t>
      </w:r>
      <w:r>
        <w:t xml:space="preserve"> </w:t>
      </w:r>
      <w:r>
        <w:rPr>
          <w:b/>
          <w:bCs/>
        </w:rPr>
        <w:t xml:space="preserve">CBS</w:t>
      </w:r>
      <w:r>
        <w:t xml:space="preserve"> </w:t>
      </w:r>
      <w:r>
        <w:t xml:space="preserve">(federal) e o</w:t>
      </w:r>
      <w:r>
        <w:t xml:space="preserve"> </w:t>
      </w:r>
      <w:r>
        <w:rPr>
          <w:b/>
          <w:bCs/>
        </w:rPr>
        <w:t xml:space="preserve">IBS</w:t>
      </w:r>
      <w:r>
        <w:t xml:space="preserve"> </w:t>
      </w:r>
      <w:r>
        <w:t xml:space="preserve">(estadual/municipal), formando um IVA dual com alíquota estimada entre 26,5% e 28%.</w:t>
      </w:r>
    </w:p>
    <w:p>
      <w:pPr>
        <w:pStyle w:val="BlockText"/>
      </w:pPr>
      <w:r>
        <w:rPr>
          <w:b/>
          <w:bCs/>
        </w:rPr>
        <w:t xml:space="preserve">Por que a reforma é um problema de equilíbrio geral?</w:t>
      </w:r>
    </w:p>
    <w:p>
      <w:pPr>
        <w:pStyle w:val="BlockText"/>
      </w:pPr>
      <w:r>
        <w:t xml:space="preserve">O sistema tributário anterior introduzia distorções em múltiplos mercados simultaneamente: cumulatividade (tributo sobre tributo), guerra fiscal entre estados (alíquotas diferentes de ICMS), e tratamentos setoriais desiguais. Essas distorções violavam as condições de eficiência de Pareto — em particular, impediam que os preços relativos refletissem os custos marginais reais (condição</w:t>
      </w:r>
      <w:r>
        <w:t xml:space="preserve"> </w:t>
      </w:r>
      <m:oMath>
        <m:r>
          <m:rPr>
            <m:sty m:val="p"/>
          </m:rPr>
          <m:t>T</m:t>
        </m:r>
        <m:r>
          <m:rPr>
            <m:sty m:val="p"/>
          </m:rPr>
          <m:t>M</m:t>
        </m:r>
        <m:r>
          <m:rPr>
            <m:sty m:val="p"/>
          </m:rPr>
          <m:t>T</m:t>
        </m:r>
        <m:r>
          <m:rPr>
            <m:sty m:val="p"/>
          </m:rPr>
          <m:t>=</m:t>
        </m:r>
        <m:r>
          <m:rPr>
            <m:sty m:val="p"/>
          </m:rPr>
          <m:t>T</m:t>
        </m:r>
        <m:r>
          <m:rPr>
            <m:sty m:val="p"/>
          </m:rPr>
          <m:t>M</m:t>
        </m:r>
        <m:r>
          <m:rPr>
            <m:sty m:val="p"/>
          </m:rPr>
          <m:t>S</m:t>
        </m:r>
      </m:oMath>
      <w:r>
        <w:t xml:space="preserve">).</w:t>
      </w:r>
    </w:p>
    <w:p>
      <w:pPr>
        <w:pStyle w:val="BlockText"/>
      </w:pPr>
      <w:r>
        <w:t xml:space="preserve">A análise de equilíbrio parcial subestima os ganhos da reforma porque ignora os efeitos cruzados entre mercados. Quando o tributo sobre o setor têxtil muda, isso afeta o mercado de algodão, o de vestuário, o de mão de obra e assim por diante — exatamente o tipo de interdependência que o modelo walrasiano captura.</w:t>
      </w:r>
    </w:p>
    <w:p>
      <w:pPr>
        <w:pStyle w:val="BlockText"/>
      </w:pPr>
      <w:r>
        <w:rPr>
          <w:b/>
          <w:bCs/>
        </w:rPr>
        <w:t xml:space="preserve">O que dizem os modelos CGE?</w:t>
      </w:r>
    </w:p>
    <w:p>
      <w:pPr>
        <w:pStyle w:val="BlockText"/>
      </w:pPr>
      <w:r>
        <w:t xml:space="preserve">Estudos do IPEA, da FGV e do Ministério da Fazenda utilizando modelos de equilíbrio geral computável (Seção 14.11) estimam que a reforma pode elevar o</w:t>
      </w:r>
      <w:r>
        <w:t xml:space="preserve"> </w:t>
      </w:r>
      <w:r>
        <w:rPr>
          <w:b/>
          <w:bCs/>
        </w:rPr>
        <w:t xml:space="preserve">PIB potencial em até 10% a 20%</w:t>
      </w:r>
      <w:r>
        <w:t xml:space="preserve"> </w:t>
      </w:r>
      <w:r>
        <w:t xml:space="preserve">ao longo de 15 anos, primordialmente via ganhos de produtividade total dos fatores e aumento do estoque de capital. A reforma tributária aparece consistentemente como o cenário de maior ganho de bem-estar nos modelos CGE brasileiros — acima de acordos comerciais ou liberalização unilateral.</w:t>
      </w:r>
    </w:p>
    <w:p>
      <w:pPr>
        <w:pStyle w:val="BlockText"/>
      </w:pPr>
      <w:r>
        <w:rPr>
          <w:b/>
          <w:bCs/>
        </w:rPr>
        <w:t xml:space="preserve">Conexão com o Segundo Teorema</w:t>
      </w:r>
    </w:p>
    <w:p>
      <w:pPr>
        <w:pStyle w:val="BlockText"/>
      </w:pPr>
      <w:r>
        <w:t xml:space="preserve">O Segundo Teorema do Bem-Estar afirma que qualquer alocação eficiente pode ser sustentada por mercados competitivos, desde que as transferências sejam</w:t>
      </w:r>
      <w:r>
        <w:t xml:space="preserve"> </w:t>
      </w:r>
      <w:r>
        <w:rPr>
          <w:i/>
          <w:iCs/>
        </w:rPr>
        <w:t xml:space="preserve">lump-sum</w:t>
      </w:r>
      <w:r>
        <w:t xml:space="preserve">. A reforma tributária brasileira caminha nessa direção: ao substituir tributos cumulativos (distorcivos) por um IVA não cumulativo (menos distorcivo), ela aproxima o sistema tributário de uma transferência</w:t>
      </w:r>
      <w:r>
        <w:t xml:space="preserve"> </w:t>
      </w:r>
      <w:r>
        <w:rPr>
          <w:i/>
          <w:iCs/>
        </w:rPr>
        <w:t xml:space="preserve">lump-sum</w:t>
      </w:r>
      <w:r>
        <w:t xml:space="preserve">, reduzindo a perda de peso morto. Não é uma transferência</w:t>
      </w:r>
      <w:r>
        <w:t xml:space="preserve"> </w:t>
      </w:r>
      <w:r>
        <w:rPr>
          <w:i/>
          <w:iCs/>
        </w:rPr>
        <w:t xml:space="preserve">lump-sum</w:t>
      </w:r>
      <w:r>
        <w:t xml:space="preserve"> </w:t>
      </w:r>
      <w:r>
        <w:t xml:space="preserve">perfeita — o IVA ainda distorce a margem consumo-lazer —, mas é substancialmente menos distorcivo que o sistema anterior.</w:t>
      </w:r>
    </w:p>
    <w:p>
      <w:pPr>
        <w:pStyle w:val="BlockText"/>
      </w:pPr>
      <w:r>
        <w:rPr>
          <w:b/>
          <w:bCs/>
        </w:rPr>
        <w:t xml:space="preserve">Fonte</w:t>
      </w:r>
      <w:r>
        <w:t xml:space="preserve">: Ministério da Fazenda; IFI/Senado, Estudo Especial nº 19 (2024); IBRE/FGV.</w:t>
      </w:r>
    </w:p>
    <w:p>
      <w:pPr>
        <w:pStyle w:val="FirstParagraph"/>
      </w:pPr>
      <w:r>
        <w:t xml:space="preserve">Combine a Caixa de Edgeworth com uma linha de preços. Ajuste o preço relativo</w:t>
      </w:r>
      <w:r>
        <w:t xml:space="preserve"> </w:t>
      </w:r>
      <m:oMath>
        <m:sSub>
          <m:e>
            <m:r>
              <m:t>p</m:t>
            </m:r>
          </m:e>
          <m:sub>
            <m:r>
              <m:t>1</m:t>
            </m:r>
          </m:sub>
        </m:sSub>
        <m:r>
          <m:rPr>
            <m:sty m:val="p"/>
          </m:rPr>
          <m:t>/</m:t>
        </m:r>
        <m:sSub>
          <m:e>
            <m:r>
              <m:t>p</m:t>
            </m:r>
          </m:e>
          <m:sub>
            <m:r>
              <m:t>2</m:t>
            </m:r>
          </m:sub>
        </m:sSub>
      </m:oMath>
      <w:r>
        <w:t xml:space="preserve"> </w:t>
      </w:r>
      <w:r>
        <w:t xml:space="preserve">para observar as demandas ótimas de cada agente e o excesso de demanda resultante. O equilíbrio walrasiano ocorre quando o excesso de demanda é zero – o gráfico indica o preço de equilíbrio e sinaliza a direção de ajuste necessária.</w:t>
      </w:r>
    </w:p>
    <w:p>
      <w:pPr>
        <w:pStyle w:val="BodyText"/>
      </w:pPr>
      <w:r>
        <w:t xml:space="preserve">[FIGURA INTERATIVA: /micro-book/graficos/cap14/equilibrio-geral.html — versao interativa disponivel online]</w:t>
      </w:r>
    </w:p>
    <w:p>
      <w:pPr>
        <w:pStyle w:val="BodyText"/>
      </w:pPr>
      <w:r>
        <w:rPr>
          <w:b/>
          <w:bCs/>
        </w:rPr>
        <w:t xml:space="preserve">Figura 14.3 — Equilíbrio geral walrasiano.</w:t>
      </w:r>
      <w:r>
        <w:t xml:space="preserve"> </w:t>
      </w:r>
      <w:r>
        <w:t xml:space="preserve">Ajuste o preço relativo</w:t>
      </w:r>
      <w:r>
        <w:t xml:space="preserve"> </w:t>
      </w:r>
      <m:oMath>
        <m:sSub>
          <m:e>
            <m:r>
              <m:t>p</m:t>
            </m:r>
          </m:e>
          <m:sub>
            <m:r>
              <m:t>1</m:t>
            </m:r>
          </m:sub>
        </m:sSub>
        <m:r>
          <m:rPr>
            <m:sty m:val="p"/>
          </m:rPr>
          <m:t>/</m:t>
        </m:r>
        <m:sSub>
          <m:e>
            <m:r>
              <m:t>p</m:t>
            </m:r>
          </m:e>
          <m:sub>
            <m:r>
              <m:t>2</m:t>
            </m:r>
          </m:sub>
        </m:sSub>
      </m:oMath>
      <w:r>
        <w:t xml:space="preserve"> </w:t>
      </w:r>
      <w:r>
        <w:t xml:space="preserve">para observar as demandas ótimas de cada agente e o excesso de demanda. O equilíbrio ocorre quando o excesso de demanda é zero.</w:t>
      </w:r>
    </w:p>
    <w:bookmarkEnd w:id="874"/>
    <w:bookmarkEnd w:id="875"/>
    <w:bookmarkEnd w:id="876"/>
    <w:bookmarkStart w:id="887" w:name="modelo-matemático-de-equilíbrio-geral"/>
    <w:p>
      <w:pPr>
        <w:pStyle w:val="Heading2"/>
      </w:pPr>
      <w:r>
        <w:t xml:space="preserve">14.8–14.10 Modelo Matemático de Equilíbrio Geral</w:t>
      </w:r>
    </w:p>
    <w:bookmarkStart w:id="881" w:name="X36fb6934062440c464ca2eef82b0be8e6b36cc8"/>
    <w:p>
      <w:pPr>
        <w:pStyle w:val="Heading3"/>
      </w:pPr>
      <w:r>
        <w:t xml:space="preserve">14.8 Das Caixas às Equações: Modelo Matemático de Troca</w:t>
      </w:r>
    </w:p>
    <w:p>
      <w:pPr>
        <w:pStyle w:val="FirstParagraph"/>
      </w:pPr>
      <w:r>
        <w:t xml:space="preserve">A Caixa de Edgeworth é uma ferramenta visual maravilhosa — mas funciona apenas para dois consumidores e dois bens. Para uma economia com</w:t>
      </w:r>
      <w:r>
        <w:t xml:space="preserve"> </w:t>
      </w:r>
      <m:oMath>
        <m:r>
          <m:t>I</m:t>
        </m:r>
      </m:oMath>
      <w:r>
        <w:t xml:space="preserve"> </w:t>
      </w:r>
      <w:r>
        <w:t xml:space="preserve">consumidores e</w:t>
      </w:r>
      <w:r>
        <w:t xml:space="preserve"> </w:t>
      </w:r>
      <m:oMath>
        <m:r>
          <m:t>n</m:t>
        </m:r>
      </m:oMath>
      <w:r>
        <w:t xml:space="preserve"> </w:t>
      </w:r>
      <w:r>
        <w:t xml:space="preserve">bens, precisamos de algo mais robusto: um sistema de equações. A passagem da geometria para a álgebra é o salto que separa a intuição da prova — e é aqui que a história fica realmente interessante.</w:t>
      </w:r>
      <w:r>
        <w:rPr>
          <w:rStyle w:val="FootnoteReference"/>
        </w:rPr>
        <w:footnoteReference w:id="877"/>
      </w:r>
    </w:p>
    <w:bookmarkStart w:id="878" w:name="funções-de-excesso-de-demanda"/>
    <w:p>
      <w:pPr>
        <w:pStyle w:val="Heading4"/>
      </w:pPr>
      <w:r>
        <w:t xml:space="preserve">Funções de excesso de demanda</w:t>
      </w:r>
    </w:p>
    <w:p>
      <w:pPr>
        <w:pStyle w:val="FirstParagraph"/>
      </w:pPr>
      <w:r>
        <w:t xml:space="preserve">Para cada bem</w:t>
      </w:r>
      <w:r>
        <w:t xml:space="preserve"> </w:t>
      </w:r>
      <m:oMath>
        <m:r>
          <m:t>k</m:t>
        </m:r>
      </m:oMath>
      <w:r>
        <w:t xml:space="preserve">, a</w:t>
      </w:r>
      <w:r>
        <w:t xml:space="preserve"> </w:t>
      </w:r>
      <w:r>
        <w:rPr>
          <w:b/>
          <w:bCs/>
        </w:rPr>
        <w:t xml:space="preserve">função de excesso de demanda</w:t>
      </w:r>
      <w:r>
        <w:t xml:space="preserve"> </w:t>
      </w:r>
      <w:r>
        <w:t xml:space="preserve">agrega a diferença entre o que todos os consumidores querem e o que está disponível:</w:t>
      </w:r>
    </w:p>
    <w:p>
      <w:pPr>
        <w:pStyle w:val="BodyText"/>
      </w:pPr>
      <w:r>
        <w:t xml:space="preserve">$$
    Z^k(\mathbf{p}) = \sum_{i=1}^{I} x_i^k(\mathbf{p}) - \bar{x}_k, \qquad k = 1, \ldots, n
    \label{eq:14.10} \tag{14.10} 
    $$</w:t>
      </w:r>
    </w:p>
    <w:p>
      <w:pPr>
        <w:pStyle w:val="FirstParagraph"/>
      </w:pPr>
      <w:r>
        <w:t xml:space="preserve">onde</w:t>
      </w:r>
      <w:r>
        <w:t xml:space="preserve"> </w:t>
      </w:r>
      <m:oMath>
        <m:sSub>
          <m:e>
            <m:acc>
              <m:accPr>
                <m:chr m:val="‾"/>
              </m:accPr>
              <m:e>
                <m:r>
                  <m:t>x</m:t>
                </m:r>
              </m:e>
            </m:acc>
          </m:e>
          <m:sub>
            <m:r>
              <m:t>k</m:t>
            </m:r>
          </m:sub>
        </m:sSub>
        <m:r>
          <m:rPr>
            <m:sty m:val="p"/>
          </m:rPr>
          <m:t>=</m:t>
        </m:r>
        <m:nary>
          <m:naryPr>
            <m:chr m:val="∑"/>
            <m:limLoc m:val="undOvr"/>
            <m:subHide m:val="off"/>
            <m:supHide m:val="on"/>
          </m:naryPr>
          <m:sub>
            <m:r>
              <m:t>i</m:t>
            </m:r>
          </m:sub>
          <m:sup>
            <m:r>
              <m:t>​</m:t>
            </m:r>
          </m:sup>
          <m:e>
            <m:sSubSup>
              <m:e>
                <m:r>
                  <m:t>ω</m:t>
                </m:r>
              </m:e>
              <m:sub>
                <m:r>
                  <m:t>i</m:t>
                </m:r>
              </m:sub>
              <m:sup>
                <m:r>
                  <m:t>k</m:t>
                </m:r>
              </m:sup>
            </m:sSubSup>
          </m:e>
        </m:nary>
      </m:oMath>
      <w:r>
        <w:t xml:space="preserve"> </w:t>
      </w:r>
      <w:r>
        <w:t xml:space="preserve">é a dotação total do bem</w:t>
      </w:r>
      <w:r>
        <w:t xml:space="preserve"> </w:t>
      </w:r>
      <m:oMath>
        <m:r>
          <m:t>k</m:t>
        </m:r>
      </m:oMath>
      <w:r>
        <w:t xml:space="preserve">. O equilíbrio geral competitivo é simplesmente um vetor de preços</w:t>
      </w:r>
      <w:r>
        <w:t xml:space="preserve"> </w:t>
      </w:r>
      <m:oMath>
        <m:sSup>
          <m:e>
            <m:r>
              <m:rPr>
                <m:sty m:val="bi"/>
              </m:rPr>
              <m:t>p</m:t>
            </m:r>
          </m:e>
          <m:sup>
            <m:r>
              <m:rPr>
                <m:sty m:val="p"/>
              </m:rPr>
              <m:t>*</m:t>
            </m:r>
          </m:sup>
        </m:sSup>
      </m:oMath>
      <w:r>
        <w:t xml:space="preserve"> </w:t>
      </w:r>
      <w:r>
        <w:t xml:space="preserve">tal que</w:t>
      </w:r>
      <w:r>
        <w:t xml:space="preserve"> </w:t>
      </w:r>
      <m:oMath>
        <m:sSup>
          <m:e>
            <m:r>
              <m:t>Z</m:t>
            </m:r>
          </m:e>
          <m:sup>
            <m:r>
              <m:t>k</m:t>
            </m:r>
          </m:sup>
        </m:sSup>
        <m:r>
          <m:rPr>
            <m:sty m:val="p"/>
          </m:rPr>
          <m:t>(</m:t>
        </m:r>
        <m:sSup>
          <m:e>
            <m:r>
              <m:rPr>
                <m:sty m:val="bi"/>
              </m:rPr>
              <m:t>p</m:t>
            </m:r>
          </m:e>
          <m:sup>
            <m:r>
              <m:rPr>
                <m:sty m:val="p"/>
              </m:rPr>
              <m:t>*</m:t>
            </m:r>
          </m:sup>
        </m:sSup>
        <m:r>
          <m:rPr>
            <m:sty m:val="p"/>
          </m:rPr>
          <m:t>)</m:t>
        </m:r>
        <m:r>
          <m:rPr>
            <m:sty m:val="p"/>
          </m:rPr>
          <m:t>=</m:t>
        </m:r>
        <m:r>
          <m:t>0</m:t>
        </m:r>
      </m:oMath>
      <w:r>
        <w:t xml:space="preserve"> </w:t>
      </w:r>
      <w:r>
        <w:t xml:space="preserve">para todo</w:t>
      </w:r>
      <w:r>
        <w:t xml:space="preserve"> </w:t>
      </w:r>
      <m:oMath>
        <m:r>
          <m:t>k</m:t>
        </m:r>
      </m:oMath>
      <w:r>
        <w:t xml:space="preserve"> </w:t>
      </w:r>
      <w:r>
        <w:t xml:space="preserve">— todos os mercados se equilibram simultaneamente.</w:t>
      </w:r>
    </w:p>
    <w:p>
      <w:pPr>
        <w:pStyle w:val="BlockText"/>
      </w:pPr>
      <w:r>
        <w:rPr>
          <w:b/>
          <w:bCs/>
        </w:rPr>
        <w:t xml:space="preserve">[DEFINICAO] Função de excesso de demanda</w:t>
      </w:r>
    </w:p>
    <w:p>
      <w:pPr>
        <w:pStyle w:val="BlockText"/>
      </w:pPr>
      <w:r>
        <w:t xml:space="preserve">A</w:t>
      </w:r>
      <w:r>
        <w:t xml:space="preserve"> </w:t>
      </w:r>
      <w:r>
        <w:rPr>
          <w:b/>
          <w:bCs/>
        </w:rPr>
        <w:t xml:space="preserve">função de excesso de demanda agregada</w:t>
      </w:r>
      <w:r>
        <w:t xml:space="preserve"> </w:t>
      </w:r>
      <w:r>
        <w:t xml:space="preserve">para o bem</w:t>
      </w:r>
      <w:r>
        <w:t xml:space="preserve"> </w:t>
      </w:r>
      <m:oMath>
        <m:r>
          <m:t>k</m:t>
        </m:r>
      </m:oMath>
      <w:r>
        <w:t xml:space="preserve"> </w:t>
      </w:r>
      <w:r>
        <w:t xml:space="preserve">é</w:t>
      </w:r>
      <w:r>
        <w:t xml:space="preserve"> </w:t>
      </w:r>
      <m:oMath>
        <m:sSup>
          <m:e>
            <m:r>
              <m:t>Z</m:t>
            </m:r>
          </m:e>
          <m:sup>
            <m:r>
              <m:t>k</m:t>
            </m:r>
          </m:sup>
        </m:sSup>
        <m:r>
          <m:rPr>
            <m:sty m:val="p"/>
          </m:rPr>
          <m:t>(</m:t>
        </m:r>
        <m:r>
          <m:rPr>
            <m:sty m:val="bi"/>
          </m:rPr>
          <m:t>p</m:t>
        </m:r>
        <m:r>
          <m:rPr>
            <m:sty m:val="p"/>
          </m:rPr>
          <m:t>)</m:t>
        </m:r>
        <m:r>
          <m:rPr>
            <m:sty m:val="p"/>
          </m:rPr>
          <m:t>=</m:t>
        </m:r>
        <m:nary>
          <m:naryPr>
            <m:chr m:val="∑"/>
            <m:limLoc m:val="undOvr"/>
            <m:subHide m:val="off"/>
            <m:supHide m:val="off"/>
          </m:naryPr>
          <m:sub>
            <m:r>
              <m:t>i</m:t>
            </m:r>
            <m:r>
              <m:rPr>
                <m:sty m:val="p"/>
              </m:rPr>
              <m:t>=</m:t>
            </m:r>
            <m:r>
              <m:t>1</m:t>
            </m:r>
          </m:sub>
          <m:sup>
            <m:r>
              <m:t>I</m:t>
            </m:r>
          </m:sup>
          <m:e>
            <m:r>
              <m:rPr>
                <m:sty m:val="p"/>
              </m:rPr>
              <m:t>[</m:t>
            </m:r>
          </m:e>
        </m:nary>
        <m:sSubSup>
          <m:e>
            <m:r>
              <m:t>x</m:t>
            </m:r>
          </m:e>
          <m:sub>
            <m:r>
              <m:t>i</m:t>
            </m:r>
          </m:sub>
          <m:sup>
            <m:r>
              <m:t>k</m:t>
            </m:r>
          </m:sup>
        </m:sSubSup>
        <m:r>
          <m:rPr>
            <m:sty m:val="p"/>
          </m:rPr>
          <m:t>(</m:t>
        </m:r>
        <m:r>
          <m:rPr>
            <m:sty m:val="bi"/>
          </m:rPr>
          <m:t>p</m:t>
        </m:r>
        <m:r>
          <m:rPr>
            <m:sty m:val="p"/>
          </m:rPr>
          <m:t>)</m:t>
        </m:r>
        <m:r>
          <m:rPr>
            <m:sty m:val="p"/>
          </m:rPr>
          <m:t>−</m:t>
        </m:r>
        <m:sSubSup>
          <m:e>
            <m:r>
              <m:t>ω</m:t>
            </m:r>
          </m:e>
          <m:sub>
            <m:r>
              <m:t>i</m:t>
            </m:r>
          </m:sub>
          <m:sup>
            <m:r>
              <m:t>k</m:t>
            </m:r>
          </m:sup>
        </m:sSubSup>
        <m:r>
          <m:rPr>
            <m:sty m:val="p"/>
          </m:rPr>
          <m:t>]</m:t>
        </m:r>
      </m:oMath>
      <w:r>
        <w:t xml:space="preserve">. Um equilíbrio walrasiano é um vetor</w:t>
      </w:r>
      <w:r>
        <w:t xml:space="preserve"> </w:t>
      </w:r>
      <m:oMath>
        <m:sSup>
          <m:e>
            <m:r>
              <m:rPr>
                <m:sty m:val="bi"/>
              </m:rPr>
              <m:t>p</m:t>
            </m:r>
          </m:e>
          <m:sup>
            <m:r>
              <m:rPr>
                <m:sty m:val="p"/>
              </m:rPr>
              <m:t>*</m:t>
            </m:r>
          </m:sup>
        </m:sSup>
        <m:r>
          <m:rPr>
            <m:sty m:val="p"/>
          </m:rPr>
          <m:t>≫</m:t>
        </m:r>
        <m:r>
          <m:t>0</m:t>
        </m:r>
      </m:oMath>
      <w:r>
        <w:t xml:space="preserve"> </w:t>
      </w:r>
      <w:r>
        <w:t xml:space="preserve">tal que</w:t>
      </w:r>
      <w:r>
        <w:t xml:space="preserve"> </w:t>
      </w:r>
      <m:oMath>
        <m:sSup>
          <m:e>
            <m:r>
              <m:t>Z</m:t>
            </m:r>
          </m:e>
          <m:sup>
            <m:r>
              <m:t>k</m:t>
            </m:r>
          </m:sup>
        </m:sSup>
        <m:r>
          <m:rPr>
            <m:sty m:val="p"/>
          </m:rPr>
          <m:t>(</m:t>
        </m:r>
        <m:sSup>
          <m:e>
            <m:r>
              <m:rPr>
                <m:sty m:val="bi"/>
              </m:rPr>
              <m:t>p</m:t>
            </m:r>
          </m:e>
          <m:sup>
            <m:r>
              <m:rPr>
                <m:sty m:val="p"/>
              </m:rPr>
              <m:t>*</m:t>
            </m:r>
          </m:sup>
        </m:sSup>
        <m:r>
          <m:rPr>
            <m:sty m:val="p"/>
          </m:rPr>
          <m:t>)</m:t>
        </m:r>
        <m:r>
          <m:rPr>
            <m:sty m:val="p"/>
          </m:rPr>
          <m:t>≤</m:t>
        </m:r>
        <m:r>
          <m:t>0</m:t>
        </m:r>
      </m:oMath>
      <w:r>
        <w:t xml:space="preserve"> </w:t>
      </w:r>
      <w:r>
        <w:t xml:space="preserve">para todo</w:t>
      </w:r>
      <w:r>
        <w:t xml:space="preserve"> </w:t>
      </w:r>
      <m:oMath>
        <m:r>
          <m:t>k</m:t>
        </m:r>
      </m:oMath>
      <w:r>
        <w:t xml:space="preserve">, com igualdade se</w:t>
      </w:r>
      <w:r>
        <w:t xml:space="preserve"> </w:t>
      </w:r>
      <m:oMath>
        <m:sSubSup>
          <m:e>
            <m:r>
              <m:t>p</m:t>
            </m:r>
          </m:e>
          <m:sub>
            <m:r>
              <m:t>k</m:t>
            </m:r>
          </m:sub>
          <m:sup>
            <m:r>
              <m:rPr>
                <m:sty m:val="p"/>
              </m:rPr>
              <m:t>*</m:t>
            </m:r>
          </m:sup>
        </m:sSubSup>
        <m:r>
          <m:rPr>
            <m:sty m:val="p"/>
          </m:rPr>
          <m:t>&gt;</m:t>
        </m:r>
        <m:r>
          <m:t>0</m:t>
        </m:r>
      </m:oMath>
      <w:r>
        <w:t xml:space="preserve">.</w:t>
      </w:r>
    </w:p>
    <w:bookmarkEnd w:id="878"/>
    <w:bookmarkStart w:id="879" w:name="Xd69d9bc8823e90c67d7a9f554c83623f969e69f"/>
    <w:p>
      <w:pPr>
        <w:pStyle w:val="Heading4"/>
      </w:pPr>
      <w:r>
        <w:t xml:space="preserve">Propriedades das funções de excesso de demanda</w:t>
      </w:r>
    </w:p>
    <w:p>
      <w:pPr>
        <w:pStyle w:val="FirstParagraph"/>
      </w:pPr>
      <w:r>
        <w:t xml:space="preserve">As funções de excesso de demanda herdam propriedades das escolhas individuais dos consumidores:</w:t>
      </w:r>
    </w:p>
    <w:p>
      <w:pPr>
        <w:numPr>
          <w:ilvl w:val="0"/>
          <w:numId w:val="1803"/>
        </w:numPr>
      </w:pPr>
      <w:r>
        <w:rPr>
          <w:b/>
          <w:bCs/>
        </w:rPr>
        <w:t xml:space="preserve">Homogeneidade de grau zero:</w:t>
      </w:r>
      <w:r>
        <w:t xml:space="preserve"> </w:t>
      </w:r>
      <m:oMath>
        <m:sSup>
          <m:e>
            <m:r>
              <m:t>Z</m:t>
            </m:r>
          </m:e>
          <m:sup>
            <m:r>
              <m:t>k</m:t>
            </m:r>
          </m:sup>
        </m:sSup>
        <m:r>
          <m:rPr>
            <m:sty m:val="p"/>
          </m:rPr>
          <m:t>(</m:t>
        </m:r>
        <m:r>
          <m:t>t</m:t>
        </m:r>
        <m:r>
          <m:rPr>
            <m:sty m:val="bi"/>
          </m:rPr>
          <m:t>p</m:t>
        </m:r>
        <m:r>
          <m:rPr>
            <m:sty m:val="p"/>
          </m:rPr>
          <m:t>)</m:t>
        </m:r>
        <m:r>
          <m:rPr>
            <m:sty m:val="p"/>
          </m:rPr>
          <m:t>=</m:t>
        </m:r>
        <m:sSup>
          <m:e>
            <m:r>
              <m:t>Z</m:t>
            </m:r>
          </m:e>
          <m:sup>
            <m:r>
              <m:t>k</m:t>
            </m:r>
          </m:sup>
        </m:sSup>
        <m:r>
          <m:rPr>
            <m:sty m:val="p"/>
          </m:rPr>
          <m:t>(</m:t>
        </m:r>
        <m:r>
          <m:rPr>
            <m:sty m:val="bi"/>
          </m:rPr>
          <m:t>p</m:t>
        </m:r>
        <m:r>
          <m:rPr>
            <m:sty m:val="p"/>
          </m:rPr>
          <m:t>)</m:t>
        </m:r>
      </m:oMath>
      <w:r>
        <w:t xml:space="preserve"> </w:t>
      </w:r>
      <w:r>
        <w:t xml:space="preserve">para todo</w:t>
      </w:r>
      <w:r>
        <w:t xml:space="preserve"> </w:t>
      </w:r>
      <m:oMath>
        <m:r>
          <m:t>t</m:t>
        </m:r>
        <m:r>
          <m:rPr>
            <m:sty m:val="p"/>
          </m:rPr>
          <m:t>&gt;</m:t>
        </m:r>
        <m:r>
          <m:t>0</m:t>
        </m:r>
      </m:oMath>
      <w:r>
        <w:t xml:space="preserve">. Apenas preços relativos importam — resultado direto da homogeneidade das funções de demanda individuais. Isso permite normalizar os preços ao simplex</w:t>
      </w:r>
      <w:r>
        <w:t xml:space="preserve"> </w:t>
      </w:r>
      <m:oMath>
        <m:r>
          <m:t>S</m:t>
        </m:r>
        <m:r>
          <m:rPr>
            <m:sty m:val="p"/>
          </m:rPr>
          <m:t>=</m:t>
        </m:r>
        <m:r>
          <m:rPr>
            <m:sty m:val="p"/>
          </m:rPr>
          <m:t>{</m:t>
        </m:r>
        <m:r>
          <m:rPr>
            <m:sty m:val="bi"/>
          </m:rPr>
          <m:t>p</m:t>
        </m:r>
        <m:r>
          <m:rPr>
            <m:sty m:val="p"/>
          </m:rPr>
          <m:t>∈</m:t>
        </m:r>
        <m:sSubSup>
          <m:e>
            <m:r>
              <m:rPr>
                <m:scr m:val="double-struck"/>
                <m:sty m:val="p"/>
              </m:rPr>
              <m:t>R</m:t>
            </m:r>
          </m:e>
          <m:sub>
            <m:r>
              <m:rPr>
                <m:sty m:val="p"/>
              </m:rPr>
              <m:t>+</m:t>
            </m:r>
          </m:sub>
          <m:sup>
            <m:r>
              <m:t>n</m:t>
            </m:r>
          </m:sup>
        </m:sSubSup>
        <m:r>
          <m:rPr>
            <m:sty m:val="p"/>
          </m:rPr>
          <m:t>:</m:t>
        </m:r>
        <m:nary>
          <m:naryPr>
            <m:chr m:val="∑"/>
            <m:limLoc m:val="undOvr"/>
            <m:subHide m:val="off"/>
            <m:supHide m:val="on"/>
          </m:naryPr>
          <m:sub>
            <m:r>
              <m:t>k</m:t>
            </m:r>
          </m:sub>
          <m:sup>
            <m:r>
              <m:t>​</m:t>
            </m:r>
          </m:sup>
          <m:e>
            <m:sSub>
              <m:e>
                <m:r>
                  <m:t>p</m:t>
                </m:r>
              </m:e>
              <m:sub>
                <m:r>
                  <m:t>k</m:t>
                </m:r>
              </m:sub>
            </m:sSub>
          </m:e>
        </m:nary>
        <m:r>
          <m:rPr>
            <m:sty m:val="p"/>
          </m:rPr>
          <m:t>=</m:t>
        </m:r>
        <m:r>
          <m:t>1</m:t>
        </m:r>
        <m:r>
          <m:rPr>
            <m:sty m:val="p"/>
          </m:rPr>
          <m:t>}</m:t>
        </m:r>
      </m:oMath>
      <w:r>
        <w:t xml:space="preserve">.</w:t>
      </w:r>
    </w:p>
    <w:p>
      <w:pPr>
        <w:numPr>
          <w:ilvl w:val="0"/>
          <w:numId w:val="1803"/>
        </w:numPr>
      </w:pPr>
      <w:r>
        <w:rPr>
          <w:b/>
          <w:bCs/>
        </w:rPr>
        <w:t xml:space="preserve">Continuidade:</w:t>
      </w:r>
      <w:r>
        <w:t xml:space="preserve"> </w:t>
      </w:r>
      <w:r>
        <w:t xml:space="preserve">Se as preferências são contínuas, estritamente convexas e localmente não saciadas, e se as dotações são estritamente positivas (</w:t>
      </w:r>
      <m:oMath>
        <m:sSub>
          <m:e>
            <m:r>
              <m:t>ω</m:t>
            </m:r>
          </m:e>
          <m:sub>
            <m:r>
              <m:t>i</m:t>
            </m:r>
          </m:sub>
        </m:sSub>
        <m:r>
          <m:rPr>
            <m:sty m:val="p"/>
          </m:rPr>
          <m:t>≫</m:t>
        </m:r>
        <m:r>
          <m:t>0</m:t>
        </m:r>
      </m:oMath>
      <w:r>
        <w:t xml:space="preserve">), então</w:t>
      </w:r>
      <w:r>
        <w:t xml:space="preserve"> </w:t>
      </w:r>
      <m:oMath>
        <m:sSup>
          <m:e>
            <m:r>
              <m:t>Z</m:t>
            </m:r>
          </m:e>
          <m:sup>
            <m:r>
              <m:t>k</m:t>
            </m:r>
          </m:sup>
        </m:sSup>
        <m:r>
          <m:rPr>
            <m:sty m:val="p"/>
          </m:rPr>
          <m:t>(</m:t>
        </m:r>
        <m:r>
          <m:rPr>
            <m:sty m:val="bi"/>
          </m:rPr>
          <m:t>p</m:t>
        </m:r>
        <m:r>
          <m:rPr>
            <m:sty m:val="p"/>
          </m:rPr>
          <m:t>)</m:t>
        </m:r>
      </m:oMath>
      <w:r>
        <w:t xml:space="preserve"> </w:t>
      </w:r>
      <w:r>
        <w:t xml:space="preserve">é contínua em</w:t>
      </w:r>
      <w:r>
        <w:t xml:space="preserve"> </w:t>
      </w:r>
      <m:oMath>
        <m:r>
          <m:rPr>
            <m:sty m:val="bi"/>
          </m:rPr>
          <m:t>p</m:t>
        </m:r>
      </m:oMath>
      <w:r>
        <w:t xml:space="preserve"> </w:t>
      </w:r>
      <w:r>
        <w:t xml:space="preserve">para</w:t>
      </w:r>
      <w:r>
        <w:t xml:space="preserve"> </w:t>
      </w:r>
      <m:oMath>
        <m:r>
          <m:rPr>
            <m:sty m:val="bi"/>
          </m:rPr>
          <m:t>p</m:t>
        </m:r>
        <m:r>
          <m:rPr>
            <m:sty m:val="p"/>
          </m:rPr>
          <m:t>≫</m:t>
        </m:r>
        <m:r>
          <m:t>0</m:t>
        </m:r>
      </m:oMath>
      <w:r>
        <w:t xml:space="preserve">.</w:t>
      </w:r>
    </w:p>
    <w:p>
      <w:pPr>
        <w:numPr>
          <w:ilvl w:val="0"/>
          <w:numId w:val="1803"/>
        </w:numPr>
      </w:pPr>
      <w:r>
        <w:rPr>
          <w:b/>
          <w:bCs/>
        </w:rPr>
        <w:t xml:space="preserve">Lei de Walras:</w:t>
      </w:r>
      <w:r>
        <w:t xml:space="preserve"> </w:t>
      </w:r>
      <w:r>
        <w:t xml:space="preserve">Para todo vetor de preços</w:t>
      </w:r>
      <w:r>
        <w:t xml:space="preserve"> </w:t>
      </w:r>
      <m:oMath>
        <m:r>
          <m:rPr>
            <m:sty m:val="bi"/>
          </m:rPr>
          <m:t>p</m:t>
        </m:r>
      </m:oMath>
      <w:r>
        <w:t xml:space="preserve">:</w:t>
      </w:r>
    </w:p>
    <w:p>
      <w:pPr>
        <w:pStyle w:val="FirstParagraph"/>
      </w:pPr>
      <m:oMathPara>
        <m:oMathParaPr>
          <m:jc m:val="center"/>
        </m:oMathParaPr>
        <m:oMath>
          <m:nary>
            <m:naryPr>
              <m:chr m:val="∑"/>
              <m:limLoc m:val="undOvr"/>
              <m:subHide m:val="off"/>
              <m:supHide m:val="off"/>
            </m:naryPr>
            <m:sub>
              <m:r>
                <m:t>k</m:t>
              </m:r>
              <m:r>
                <m:rPr>
                  <m:sty m:val="p"/>
                </m:rPr>
                <m:t>=</m:t>
              </m:r>
              <m:r>
                <m:t>1</m:t>
              </m:r>
            </m:sub>
            <m:sup>
              <m:r>
                <m:t>n</m:t>
              </m:r>
            </m:sup>
            <m:e>
              <m:sSub>
                <m:e>
                  <m:r>
                    <m:t>p</m:t>
                  </m:r>
                </m:e>
                <m:sub>
                  <m:r>
                    <m:t>k</m:t>
                  </m:r>
                </m:sub>
              </m:sSub>
            </m:e>
          </m:nary>
          <m:sSup>
            <m:e>
              <m:r>
                <m:t>Z</m:t>
              </m:r>
            </m:e>
            <m:sup>
              <m:r>
                <m:t>k</m:t>
              </m:r>
            </m:sup>
          </m:sSup>
          <m:r>
            <m:rPr>
              <m:sty m:val="p"/>
            </m:rPr>
            <m:t>(</m:t>
          </m:r>
          <m:r>
            <m:rPr>
              <m:sty m:val="bi"/>
            </m:rPr>
            <m:t>p</m:t>
          </m:r>
          <m:r>
            <m:rPr>
              <m:sty m:val="p"/>
            </m:rPr>
            <m:t>)</m:t>
          </m:r>
          <m:r>
            <m:rPr>
              <m:sty m:val="p"/>
            </m:rPr>
            <m:t>=</m:t>
          </m:r>
          <m:r>
            <m:t>0</m:t>
          </m:r>
        </m:oMath>
      </m:oMathPara>
    </w:p>
    <w:p>
      <w:pPr>
        <w:pStyle w:val="FirstParagraph"/>
      </w:pPr>
      <w:r>
        <w:t xml:space="preserve">A Lei de Walras é uma identidade — vale para</w:t>
      </w:r>
      <w:r>
        <w:t xml:space="preserve"> </w:t>
      </w:r>
      <w:r>
        <w:rPr>
          <w:i/>
          <w:iCs/>
        </w:rPr>
        <w:t xml:space="preserve">qualquer</w:t>
      </w:r>
      <w:r>
        <w:t xml:space="preserve"> </w:t>
      </w:r>
      <w:r>
        <w:t xml:space="preserve">vetor de preços, não apenas no equilíbrio — e decorre do fato de que cada consumidor esgota sua renda (restrição orçamentária com igualdade, garantida pela não saciedade local).</w:t>
      </w:r>
    </w:p>
    <w:p>
      <w:pPr>
        <w:pStyle w:val="BlockText"/>
      </w:pPr>
      <w:r>
        <w:rPr>
          <w:b/>
          <w:bCs/>
        </w:rPr>
        <w:t xml:space="preserve">[INTUICAO ECONOMICA] Intuição Econômica</w:t>
      </w:r>
    </w:p>
    <w:p>
      <w:pPr>
        <w:pStyle w:val="BlockText"/>
      </w:pPr>
      <w:r>
        <w:rPr>
          <w:b/>
          <w:bCs/>
        </w:rPr>
        <w:t xml:space="preserve">Em uma frase:</w:t>
      </w:r>
      <w:r>
        <w:t xml:space="preserve"> </w:t>
      </w:r>
      <w:r>
        <w:t xml:space="preserve">A Lei de Walras diz que o valor monetário total dos excessos de demanda é sempre zero.</w:t>
      </w:r>
    </w:p>
    <w:p>
      <w:pPr>
        <w:pStyle w:val="BlockText"/>
      </w:pPr>
      <w:r>
        <w:rPr>
          <w:b/>
          <w:bCs/>
        </w:rPr>
        <w:t xml:space="preserve">Pense assim:</w:t>
      </w:r>
      <w:r>
        <w:t xml:space="preserve"> </w:t>
      </w:r>
      <w:r>
        <w:t xml:space="preserve">Se a economia está</w:t>
      </w:r>
      <w:r>
        <w:t xml:space="preserve"> </w:t>
      </w:r>
      <w:r>
        <w:t xml:space="preserve">“querendo mais pizza do que existe”</w:t>
      </w:r>
      <w:r>
        <w:t xml:space="preserve"> </w:t>
      </w:r>
      <w:r>
        <w:t xml:space="preserve">(excesso de demanda de pizza), necessariamente está</w:t>
      </w:r>
      <w:r>
        <w:t xml:space="preserve"> </w:t>
      </w:r>
      <w:r>
        <w:t xml:space="preserve">“querendo menos refrigerante do que existe”</w:t>
      </w:r>
      <w:r>
        <w:t xml:space="preserve"> </w:t>
      </w:r>
      <w:r>
        <w:t xml:space="preserve">(excesso de oferta de refrigerante), e os valores se compensam exatamente. É como um balanço contábil: todo débito tem um crédito correspondente.</w:t>
      </w:r>
    </w:p>
    <w:p>
      <w:pPr>
        <w:pStyle w:val="BlockText"/>
      </w:pPr>
      <w:r>
        <w:rPr>
          <w:b/>
          <w:bCs/>
        </w:rPr>
        <w:t xml:space="preserve">Implicação poderosa:</w:t>
      </w:r>
      <w:r>
        <w:t xml:space="preserve"> </w:t>
      </w:r>
      <w:r>
        <w:t xml:space="preserve">Se</w:t>
      </w:r>
      <w:r>
        <w:t xml:space="preserve"> </w:t>
      </w:r>
      <m:oMath>
        <m:r>
          <m:t>n</m:t>
        </m:r>
        <m:r>
          <m:rPr>
            <m:sty m:val="p"/>
          </m:rPr>
          <m:t>−</m:t>
        </m:r>
        <m:r>
          <m:t>1</m:t>
        </m:r>
      </m:oMath>
      <w:r>
        <w:t xml:space="preserve"> </w:t>
      </w:r>
      <w:r>
        <w:t xml:space="preserve">mercados estão em equilíbrio, o</w:t>
      </w:r>
      <w:r>
        <w:t xml:space="preserve"> </w:t>
      </w:r>
      <m:oMath>
        <m:r>
          <m:t>n</m:t>
        </m:r>
      </m:oMath>
      <w:r>
        <w:t xml:space="preserve">-ésimo mercado</w:t>
      </w:r>
      <w:r>
        <w:t xml:space="preserve"> </w:t>
      </w:r>
      <w:r>
        <w:rPr>
          <w:i/>
          <w:iCs/>
        </w:rPr>
        <w:t xml:space="preserve">automaticamente</w:t>
      </w:r>
      <w:r>
        <w:t xml:space="preserve"> </w:t>
      </w:r>
      <w:r>
        <w:t xml:space="preserve">também está. Não é coincidência — é contabilidade.</w:t>
      </w:r>
    </w:p>
    <w:p>
      <w:pPr>
        <w:pStyle w:val="BlockText"/>
      </w:pPr>
      <w:r>
        <w:rPr>
          <w:b/>
          <w:bCs/>
        </w:rPr>
        <w:t xml:space="preserve">[DEMONSTRACAO] Demonstração da Lei de Walras</w:t>
      </w:r>
    </w:p>
    <w:p>
      <w:pPr>
        <w:pStyle w:val="BlockText"/>
      </w:pPr>
      <w:r>
        <w:t xml:space="preserve">Para cada consumidor</w:t>
      </w:r>
      <w:r>
        <w:t xml:space="preserve"> </w:t>
      </w:r>
      <m:oMath>
        <m:r>
          <m:t>i</m:t>
        </m:r>
      </m:oMath>
      <w:r>
        <w:t xml:space="preserve">, a restrição orçamentária com igualdade (garantida pela não saciedade local) implica:</w:t>
      </w:r>
    </w:p>
    <w:p>
      <w:pPr>
        <w:pStyle w:val="BlockText"/>
      </w:pPr>
      <w:r>
        <w:t xml:space="preserve">$$</w:t>
      </w:r>
    </w:p>
    <w:p>
      <w:pPr>
        <w:pStyle w:val="BlockText"/>
      </w:pPr>
      <w:r>
        <w:rPr>
          <w:i/>
          <w:iCs/>
        </w:rPr>
        <w:t xml:space="preserve">{k=1}^{n} p_k x_i^k(</w:t>
      </w:r>
      <w:r>
        <w:rPr>
          <w:i/>
          <w:iCs/>
        </w:rPr>
        <w:t xml:space="preserve">) =</w:t>
      </w:r>
      <w:r>
        <w:rPr>
          <w:i/>
          <w:iCs/>
        </w:rPr>
        <w:t xml:space="preserve"> </w:t>
      </w:r>
      <w:r>
        <w:t xml:space="preserve">{k=1}^{n} p_k</w:t>
      </w:r>
      <w:r>
        <w:t xml:space="preserve"> </w:t>
      </w:r>
      <w:r>
        <w:rPr>
          <w:i/>
          <w:iCs/>
        </w:rPr>
        <w:t xml:space="preserve">i^k</w:t>
      </w:r>
      <w:r>
        <w:rPr>
          <w:i/>
          <w:iCs/>
        </w:rPr>
        <w:t xml:space="preserve"> </w:t>
      </w:r>
      <w:r>
        <w:t xml:space="preserve">{k=1}^{n} p_k [x_i^k(</w:t>
      </w:r>
      <w:r>
        <w:t xml:space="preserve">) -</w:t>
      </w:r>
      <w:r>
        <w:t xml:space="preserve"> </w:t>
      </w:r>
      <w:r>
        <w:t xml:space="preserve">_i^k] = 0</w:t>
      </w:r>
    </w:p>
    <w:p>
      <w:pPr>
        <w:pStyle w:val="BlockText"/>
      </w:pPr>
      <w:r>
        <w:t xml:space="preserve">$$</w:t>
      </w:r>
    </w:p>
    <w:p>
      <w:pPr>
        <w:pStyle w:val="BlockText"/>
      </w:pPr>
      <w:r>
        <w:t xml:space="preserve">Somando sobre todos os consumidores</w:t>
      </w:r>
      <w:r>
        <w:t xml:space="preserve"> </w:t>
      </w:r>
      <m:oMath>
        <m:r>
          <m:t>i</m:t>
        </m:r>
        <m:r>
          <m:rPr>
            <m:sty m:val="p"/>
          </m:rPr>
          <m:t>=</m:t>
        </m:r>
        <m:r>
          <m:t>1</m:t>
        </m:r>
        <m:r>
          <m:rPr>
            <m:sty m:val="p"/>
          </m:rPr>
          <m:t>,</m:t>
        </m:r>
        <m:r>
          <m:rPr>
            <m:sty m:val="p"/>
          </m:rPr>
          <m:t>…</m:t>
        </m:r>
        <m:r>
          <m:rPr>
            <m:sty m:val="p"/>
          </m:rPr>
          <m:t>,</m:t>
        </m:r>
        <m:r>
          <m:t>I</m:t>
        </m:r>
      </m:oMath>
      <w:r>
        <w:t xml:space="preserve">:</w:t>
      </w:r>
    </w:p>
    <w:p>
      <w:pPr>
        <w:pStyle w:val="BlockText"/>
      </w:pPr>
      <w:r>
        <w:t xml:space="preserve">$$</w:t>
      </w:r>
    </w:p>
    <w:p>
      <w:pPr>
        <w:pStyle w:val="BlockText"/>
      </w:pPr>
      <w:r>
        <w:rPr>
          <w:i/>
          <w:iCs/>
        </w:rPr>
        <w:t xml:space="preserve">{k=1}^{n} p_k</w:t>
      </w:r>
      <w:r>
        <w:rPr>
          <w:i/>
          <w:iCs/>
        </w:rPr>
        <w:t xml:space="preserve"> </w:t>
      </w:r>
      <w:r>
        <w:t xml:space="preserve">{= Z^k(</w:t>
      </w:r>
      <w:r>
        <w:t xml:space="preserve">)} = 0</w:t>
      </w:r>
      <w:r>
        <w:t xml:space="preserve"> </w:t>
      </w:r>
      <w:r>
        <w:t xml:space="preserve">_{k=1}^{n} p_k Z^k(</w:t>
      </w:r>
      <w:r>
        <w:t xml:space="preserve">) = 0</w:t>
      </w:r>
      <w:r>
        <w:t xml:space="preserve"> </w:t>
      </w:r>
    </w:p>
    <w:p>
      <w:pPr>
        <w:pStyle w:val="BlockText"/>
      </w:pPr>
      <w:r>
        <w:t xml:space="preserve">$$</w:t>
      </w:r>
    </w:p>
    <w:bookmarkEnd w:id="879"/>
    <w:bookmarkStart w:id="880" w:name="o-teorema-de-sonnenschein-mantel-debreu"/>
    <w:p>
      <w:pPr>
        <w:pStyle w:val="Heading4"/>
      </w:pPr>
      <w:r>
        <w:t xml:space="preserve">O Teorema de Sonnenschein-Mantel-Debreu</w:t>
      </w:r>
    </w:p>
    <w:p>
      <w:pPr>
        <w:pStyle w:val="FirstParagraph"/>
      </w:pPr>
      <w:r>
        <w:t xml:space="preserve">Uma pergunta natural é: as funções de excesso de demanda agregadas carregam informação sobre as preferências individuais dos consumidores? A resposta, surpreendente e um tanto perturbadora, é</w:t>
      </w:r>
      <w:r>
        <w:t xml:space="preserve"> </w:t>
      </w:r>
      <w:r>
        <w:rPr>
          <w:i/>
          <w:iCs/>
        </w:rPr>
        <w:t xml:space="preserve">não</w:t>
      </w:r>
      <w:r>
        <w:t xml:space="preserve">. O</w:t>
      </w:r>
      <w:r>
        <w:t xml:space="preserve"> </w:t>
      </w:r>
      <w:r>
        <w:rPr>
          <w:b/>
          <w:bCs/>
        </w:rPr>
        <w:t xml:space="preserve">Teorema de Sonnenschein-Mantel-Debreu</w:t>
      </w:r>
      <w:r>
        <w:t xml:space="preserve"> </w:t>
      </w:r>
      <w:r>
        <w:t xml:space="preserve">(Sonnenschein, 1973; Mantel, 1974; Debreu, 1974) estabelece que</w:t>
      </w:r>
      <w:r>
        <w:t xml:space="preserve"> </w:t>
      </w:r>
      <w:r>
        <w:rPr>
          <w:i/>
          <w:iCs/>
        </w:rPr>
        <w:t xml:space="preserve">qualquer</w:t>
      </w:r>
      <w:r>
        <w:t xml:space="preserve"> </w:t>
      </w:r>
      <w:r>
        <w:t xml:space="preserve">função contínua, homogênea de grau zero e que satisfaça a Lei de Walras pode ser racionalizada como a função de excesso de demanda agregada de alguma economia com consumidores racionais.</w:t>
      </w:r>
    </w:p>
    <w:p>
      <w:pPr>
        <w:pStyle w:val="BodyText"/>
      </w:pPr>
      <w:r>
        <w:t xml:space="preserve">Em outras palavras: observando apenas o comportamento agregado dos mercados, não é possível deduzir nada sobre as preferências individuais — a agregação destrói informação. Esse resultado tem implicações profundas: significa que, sem restrições adicionais, não podemos garantir unicidade nem estabilidade do equilíbrio geral. A função de excesso de demanda pode ter praticamente qualquer formato, o que permite múltiplos zeros (múltiplos equilíbrios).</w:t>
      </w:r>
    </w:p>
    <w:p>
      <w:pPr>
        <w:pStyle w:val="BlockText"/>
      </w:pPr>
      <w:r>
        <w:rPr>
          <w:b/>
          <w:bCs/>
        </w:rPr>
        <w:t xml:space="preserve">[EXERCICIO RESOLVIDO] Exercício Resolvido 14.6 — Verificação da Lei de Walras</w:t>
      </w:r>
    </w:p>
    <w:p>
      <w:pPr>
        <w:pStyle w:val="BlockText"/>
      </w:pPr>
      <w:r>
        <w:rPr>
          <w:b/>
          <w:bCs/>
        </w:rPr>
        <w:t xml:space="preserve">Enunciado:</w:t>
      </w:r>
      <w:r>
        <w:t xml:space="preserve"> </w:t>
      </w:r>
      <w:r>
        <w:t xml:space="preserve">Considere uma economia de troca com 2 consumidores e 2 bens. As preferências são Cobb-Douglas:</w:t>
      </w:r>
      <w:r>
        <w:t xml:space="preserve"> </w:t>
      </w:r>
      <m:oMath>
        <m:sSub>
          <m:e>
            <m:r>
              <m:t>U</m:t>
            </m:r>
          </m:e>
          <m:sub>
            <m:r>
              <m:t>A</m:t>
            </m:r>
          </m:sub>
        </m:sSub>
        <m:r>
          <m:rPr>
            <m:sty m:val="p"/>
          </m:rPr>
          <m:t>=</m:t>
        </m:r>
        <m:sSubSup>
          <m:e>
            <m:r>
              <m:t>x</m:t>
            </m:r>
          </m:e>
          <m:sub>
            <m:r>
              <m:t>1</m:t>
            </m:r>
          </m:sub>
          <m:sup>
            <m:r>
              <m:t>1</m:t>
            </m:r>
            <m:r>
              <m:rPr>
                <m:sty m:val="p"/>
              </m:rPr>
              <m:t>/</m:t>
            </m:r>
            <m:r>
              <m:t>3</m:t>
            </m:r>
          </m:sup>
        </m:sSubSup>
        <m:sSubSup>
          <m:e>
            <m:r>
              <m:t>x</m:t>
            </m:r>
          </m:e>
          <m:sub>
            <m:r>
              <m:t>2</m:t>
            </m:r>
          </m:sub>
          <m:sup>
            <m:r>
              <m:t>2</m:t>
            </m:r>
            <m:r>
              <m:rPr>
                <m:sty m:val="p"/>
              </m:rPr>
              <m:t>/</m:t>
            </m:r>
            <m:r>
              <m:t>3</m:t>
            </m:r>
          </m:sup>
        </m:sSubSup>
      </m:oMath>
      <w:r>
        <w:t xml:space="preserve"> </w:t>
      </w:r>
      <w:r>
        <w:t xml:space="preserve">e</w:t>
      </w:r>
      <w:r>
        <w:t xml:space="preserve"> </w:t>
      </w:r>
      <m:oMath>
        <m:sSub>
          <m:e>
            <m:r>
              <m:t>U</m:t>
            </m:r>
          </m:e>
          <m:sub>
            <m:r>
              <m:t>B</m:t>
            </m:r>
          </m:sub>
        </m:sSub>
        <m:r>
          <m:rPr>
            <m:sty m:val="p"/>
          </m:rPr>
          <m:t>=</m:t>
        </m:r>
        <m:sSubSup>
          <m:e>
            <m:r>
              <m:t>x</m:t>
            </m:r>
          </m:e>
          <m:sub>
            <m:r>
              <m:t>1</m:t>
            </m:r>
          </m:sub>
          <m:sup>
            <m:r>
              <m:t>2</m:t>
            </m:r>
            <m:r>
              <m:rPr>
                <m:sty m:val="p"/>
              </m:rPr>
              <m:t>/</m:t>
            </m:r>
            <m:r>
              <m:t>3</m:t>
            </m:r>
          </m:sup>
        </m:sSubSup>
        <m:sSubSup>
          <m:e>
            <m:r>
              <m:t>x</m:t>
            </m:r>
          </m:e>
          <m:sub>
            <m:r>
              <m:t>2</m:t>
            </m:r>
          </m:sub>
          <m:sup>
            <m:r>
              <m:t>1</m:t>
            </m:r>
            <m:r>
              <m:rPr>
                <m:sty m:val="p"/>
              </m:rPr>
              <m:t>/</m:t>
            </m:r>
            <m:r>
              <m:t>3</m:t>
            </m:r>
          </m:sup>
        </m:sSubSup>
      </m:oMath>
      <w:r>
        <w:t xml:space="preserve">. As dotações são</w:t>
      </w:r>
      <w:r>
        <w:t xml:space="preserve"> </w:t>
      </w:r>
      <m:oMath>
        <m:sSub>
          <m:e>
            <m:r>
              <m:rPr>
                <m:sty m:val="bi"/>
              </m:rPr>
              <m:t>ω</m:t>
            </m:r>
          </m:e>
          <m:sub>
            <m:r>
              <m:t>A</m:t>
            </m:r>
          </m:sub>
        </m:sSub>
        <m:r>
          <m:rPr>
            <m:sty m:val="p"/>
          </m:rPr>
          <m:t>=</m:t>
        </m:r>
        <m:r>
          <m:rPr>
            <m:sty m:val="p"/>
          </m:rPr>
          <m:t>(</m:t>
        </m:r>
        <m:r>
          <m:t>4</m:t>
        </m:r>
        <m:r>
          <m:rPr>
            <m:sty m:val="p"/>
          </m:rPr>
          <m:t>,</m:t>
        </m:r>
        <m:r>
          <m:t>2</m:t>
        </m:r>
        <m:r>
          <m:rPr>
            <m:sty m:val="p"/>
          </m:rPr>
          <m:t>)</m:t>
        </m:r>
      </m:oMath>
      <w:r>
        <w:t xml:space="preserve"> </w:t>
      </w:r>
      <w:r>
        <w:t xml:space="preserve">e</w:t>
      </w:r>
      <w:r>
        <w:t xml:space="preserve"> </w:t>
      </w:r>
      <m:oMath>
        <m:sSub>
          <m:e>
            <m:r>
              <m:rPr>
                <m:sty m:val="bi"/>
              </m:rPr>
              <m:t>ω</m:t>
            </m:r>
          </m:e>
          <m:sub>
            <m:r>
              <m:t>B</m:t>
            </m:r>
          </m:sub>
        </m:sSub>
        <m:r>
          <m:rPr>
            <m:sty m:val="p"/>
          </m:rPr>
          <m:t>=</m:t>
        </m:r>
        <m:r>
          <m:rPr>
            <m:sty m:val="p"/>
          </m:rPr>
          <m:t>(</m:t>
        </m:r>
        <m:r>
          <m:t>2</m:t>
        </m:r>
        <m:r>
          <m:rPr>
            <m:sty m:val="p"/>
          </m:rPr>
          <m:t>,</m:t>
        </m:r>
        <m:r>
          <m:t>4</m:t>
        </m:r>
        <m:r>
          <m:rPr>
            <m:sty m:val="p"/>
          </m:rPr>
          <m:t>)</m:t>
        </m:r>
      </m:oMath>
      <w:r>
        <w:t xml:space="preserve">. Normalize</w:t>
      </w:r>
      <w:r>
        <w:t xml:space="preserve"> </w:t>
      </w:r>
      <m:oMath>
        <m:sSub>
          <m:e>
            <m:r>
              <m:t>p</m:t>
            </m:r>
          </m:e>
          <m:sub>
            <m:r>
              <m:t>2</m:t>
            </m:r>
          </m:sub>
        </m:sSub>
        <m:r>
          <m:rPr>
            <m:sty m:val="p"/>
          </m:rPr>
          <m:t>=</m:t>
        </m:r>
        <m:r>
          <m:t>1</m:t>
        </m:r>
      </m:oMath>
      <w:r>
        <w:t xml:space="preserve"> </w:t>
      </w:r>
      <w:r>
        <w:t xml:space="preserve">e seja</w:t>
      </w:r>
      <w:r>
        <w:t xml:space="preserve"> </w:t>
      </w:r>
      <m:oMath>
        <m:r>
          <m:t>p</m:t>
        </m:r>
        <m:r>
          <m:rPr>
            <m:sty m:val="p"/>
          </m:rPr>
          <m:t>=</m:t>
        </m:r>
        <m:sSub>
          <m:e>
            <m:r>
              <m:t>p</m:t>
            </m:r>
          </m:e>
          <m:sub>
            <m:r>
              <m:t>1</m:t>
            </m:r>
          </m:sub>
        </m:sSub>
      </m:oMath>
      <w:r>
        <w:t xml:space="preserve">.</w:t>
      </w:r>
    </w:p>
    <w:p>
      <w:pPr>
        <w:pStyle w:val="BlockText"/>
      </w:pPr>
      <w:r>
        <w:rPr>
          <w:b/>
          <w:bCs/>
        </w:rPr>
        <w:t xml:space="preserve">(a)</w:t>
      </w:r>
      <w:r>
        <w:t xml:space="preserve"> </w:t>
      </w:r>
      <w:r>
        <w:t xml:space="preserve">Derive as funções de excesso de demanda</w:t>
      </w:r>
      <w:r>
        <w:t xml:space="preserve"> </w:t>
      </w:r>
      <m:oMath>
        <m:sSup>
          <m:e>
            <m:r>
              <m:t>Z</m:t>
            </m:r>
          </m:e>
          <m:sup>
            <m:r>
              <m:t>1</m:t>
            </m:r>
          </m:sup>
        </m:sSup>
        <m:r>
          <m:rPr>
            <m:sty m:val="p"/>
          </m:rPr>
          <m:t>(</m:t>
        </m:r>
        <m:r>
          <m:t>p</m:t>
        </m:r>
        <m:r>
          <m:rPr>
            <m:sty m:val="p"/>
          </m:rPr>
          <m:t>)</m:t>
        </m:r>
      </m:oMath>
      <w:r>
        <w:t xml:space="preserve"> </w:t>
      </w:r>
      <w:r>
        <w:t xml:space="preserve">e</w:t>
      </w:r>
      <w:r>
        <w:t xml:space="preserve"> </w:t>
      </w:r>
      <m:oMath>
        <m:sSup>
          <m:e>
            <m:r>
              <m:t>Z</m:t>
            </m:r>
          </m:e>
          <m:sup>
            <m:r>
              <m:t>2</m:t>
            </m:r>
          </m:sup>
        </m:sSup>
        <m:r>
          <m:rPr>
            <m:sty m:val="p"/>
          </m:rPr>
          <m:t>(</m:t>
        </m:r>
        <m:r>
          <m:t>p</m:t>
        </m:r>
        <m:r>
          <m:rPr>
            <m:sty m:val="p"/>
          </m:rPr>
          <m:t>)</m:t>
        </m:r>
      </m:oMath>
      <w:r>
        <w:t xml:space="preserve">.</w:t>
      </w:r>
    </w:p>
    <w:p>
      <w:pPr>
        <w:pStyle w:val="BlockText"/>
      </w:pPr>
      <w:r>
        <w:rPr>
          <w:b/>
          <w:bCs/>
        </w:rPr>
        <w:t xml:space="preserve">(b)</w:t>
      </w:r>
      <w:r>
        <w:t xml:space="preserve"> </w:t>
      </w:r>
      <w:r>
        <w:t xml:space="preserve">Verifique que a Lei de Walras</w:t>
      </w:r>
      <w:r>
        <w:t xml:space="preserve"> </w:t>
      </w:r>
      <m:oMath>
        <m:r>
          <m:t>p</m:t>
        </m:r>
        <m:r>
          <m:rPr>
            <m:sty m:val="p"/>
          </m:rPr>
          <m:t>⋅</m:t>
        </m:r>
        <m:sSup>
          <m:e>
            <m:r>
              <m:t>Z</m:t>
            </m:r>
          </m:e>
          <m:sup>
            <m:r>
              <m:t>1</m:t>
            </m:r>
          </m:sup>
        </m:sSup>
        <m:r>
          <m:rPr>
            <m:sty m:val="p"/>
          </m:rPr>
          <m:t>(</m:t>
        </m:r>
        <m:r>
          <m:t>p</m:t>
        </m:r>
        <m:r>
          <m:rPr>
            <m:sty m:val="p"/>
          </m:rPr>
          <m:t>)</m:t>
        </m:r>
        <m:r>
          <m:rPr>
            <m:sty m:val="p"/>
          </m:rPr>
          <m:t>+</m:t>
        </m:r>
        <m:sSup>
          <m:e>
            <m:r>
              <m:t>Z</m:t>
            </m:r>
          </m:e>
          <m:sup>
            <m:r>
              <m:t>2</m:t>
            </m:r>
          </m:sup>
        </m:sSup>
        <m:r>
          <m:rPr>
            <m:sty m:val="p"/>
          </m:rPr>
          <m:t>(</m:t>
        </m:r>
        <m:r>
          <m:t>p</m:t>
        </m:r>
        <m:r>
          <m:rPr>
            <m:sty m:val="p"/>
          </m:rPr>
          <m:t>)</m:t>
        </m:r>
        <m:r>
          <m:rPr>
            <m:sty m:val="p"/>
          </m:rPr>
          <m:t>=</m:t>
        </m:r>
        <m:r>
          <m:t>0</m:t>
        </m:r>
      </m:oMath>
      <w:r>
        <w:t xml:space="preserve"> </w:t>
      </w:r>
      <w:r>
        <w:t xml:space="preserve">vale para todo</w:t>
      </w:r>
      <w:r>
        <w:t xml:space="preserve"> </w:t>
      </w:r>
      <m:oMath>
        <m:r>
          <m:t>p</m:t>
        </m:r>
        <m:r>
          <m:rPr>
            <m:sty m:val="p"/>
          </m:rPr>
          <m:t>&gt;</m:t>
        </m:r>
        <m:r>
          <m:t>0</m:t>
        </m:r>
      </m:oMath>
      <w:r>
        <w:t xml:space="preserve">.</w:t>
      </w:r>
    </w:p>
    <w:p>
      <w:pPr>
        <w:pStyle w:val="BlockText"/>
      </w:pPr>
      <w:r>
        <w:rPr>
          <w:b/>
          <w:bCs/>
        </w:rPr>
        <w:t xml:space="preserve">(c)</w:t>
      </w:r>
      <w:r>
        <w:t xml:space="preserve"> </w:t>
      </w:r>
      <w:r>
        <w:t xml:space="preserve">Encontre o preço de equilíbrio</w:t>
      </w:r>
      <w:r>
        <w:t xml:space="preserve"> </w:t>
      </w:r>
      <m:oMath>
        <m:sSup>
          <m:e>
            <m:r>
              <m:t>p</m:t>
            </m:r>
          </m:e>
          <m:sup>
            <m:r>
              <m:rPr>
                <m:sty m:val="p"/>
              </m:rPr>
              <m:t>*</m:t>
            </m:r>
          </m:sup>
        </m:sSup>
      </m:oMath>
      <w:r>
        <w:t xml:space="preserve"> </w:t>
      </w:r>
      <w:r>
        <w:t xml:space="preserve">e as alocações de equilíbrio.</w:t>
      </w:r>
    </w:p>
    <w:p>
      <w:r>
        <w:pict>
          <v:rect style="width:0;height:1.5pt" o:hralign="center" o:hrstd="t" o:hr="t"/>
        </w:pict>
      </w:r>
    </w:p>
    <w:p>
      <w:pPr>
        <w:pStyle w:val="BlockText"/>
      </w:pPr>
      <w:r>
        <w:rPr>
          <w:b/>
          <w:bCs/>
        </w:rPr>
        <w:t xml:space="preserve">Solução:</w:t>
      </w:r>
    </w:p>
    <w:p>
      <w:pPr>
        <w:pStyle w:val="BlockText"/>
      </w:pPr>
      <w:r>
        <w:rPr>
          <w:b/>
          <w:bCs/>
        </w:rPr>
        <w:t xml:space="preserve">(a)</w:t>
      </w:r>
      <w:r>
        <w:t xml:space="preserve"> </w:t>
      </w:r>
      <w:r>
        <w:t xml:space="preserve">As demandas Cobb-Douglas são:</w:t>
      </w:r>
    </w:p>
    <w:p>
      <w:pPr>
        <w:pStyle w:val="Compact"/>
        <w:numPr>
          <w:ilvl w:val="0"/>
          <w:numId w:val="1804"/>
        </w:numPr>
      </w:pPr>
      <w:r>
        <w:t xml:space="preserve">Consumidor A (</w:t>
      </w:r>
      <m:oMath>
        <m:r>
          <m:t>α</m:t>
        </m:r>
        <m:r>
          <m:rPr>
            <m:sty m:val="p"/>
          </m:rPr>
          <m:t>=</m:t>
        </m:r>
        <m:r>
          <m:t>1</m:t>
        </m:r>
        <m:r>
          <m:rPr>
            <m:sty m:val="p"/>
          </m:rPr>
          <m:t>/</m:t>
        </m:r>
        <m:r>
          <m:t>3</m:t>
        </m:r>
      </m:oMath>
      <w:r>
        <w:t xml:space="preserve">): renda</w:t>
      </w:r>
      <w:r>
        <w:t xml:space="preserve"> </w:t>
      </w:r>
      <m:oMath>
        <m:sSub>
          <m:e>
            <m:r>
              <m:t>I</m:t>
            </m:r>
          </m:e>
          <m:sub>
            <m:r>
              <m:t>A</m:t>
            </m:r>
          </m:sub>
        </m:sSub>
        <m:r>
          <m:rPr>
            <m:sty m:val="p"/>
          </m:rPr>
          <m:t>=</m:t>
        </m:r>
        <m:r>
          <m:t>4</m:t>
        </m:r>
        <m:r>
          <m:t>p</m:t>
        </m:r>
        <m:r>
          <m:rPr>
            <m:sty m:val="p"/>
          </m:rPr>
          <m:t>+</m:t>
        </m:r>
        <m:r>
          <m:t>2</m:t>
        </m:r>
      </m:oMath>
      <w:r>
        <w:t xml:space="preserve">.</w:t>
      </w:r>
    </w:p>
    <w:p>
      <w:pPr>
        <w:pStyle w:val="BlockText"/>
      </w:pPr>
      <w:r>
        <w:t xml:space="preserve">$$</w:t>
      </w:r>
    </w:p>
    <w:p>
      <w:pPr>
        <w:pStyle w:val="BlockText"/>
      </w:pPr>
      <w:r>
        <w:t xml:space="preserve">x_1^A =</w:t>
      </w:r>
      <w:r>
        <w:t xml:space="preserve"> </w:t>
      </w:r>
      <w:r>
        <w:t xml:space="preserve"> </w:t>
      </w:r>
      <w:r>
        <w:t xml:space="preserve">=</w:t>
      </w:r>
      <w:r>
        <w:t xml:space="preserve"> </w:t>
      </w:r>
      <w:r>
        <w:t xml:space="preserve">,</w:t>
      </w:r>
      <w:r>
        <w:t xml:space="preserve"> </w:t>
      </w:r>
      <w:r>
        <w:t xml:space="preserve">x_2^A =</w:t>
      </w:r>
      <w:r>
        <w:t xml:space="preserve"> </w:t>
      </w:r>
      <w:r>
        <w:t xml:space="preserve"> </w:t>
      </w:r>
      <w:r>
        <w:t xml:space="preserve">=</w:t>
      </w:r>
      <w:r>
        <w:t xml:space="preserve"> </w:t>
      </w:r>
    </w:p>
    <w:p>
      <w:pPr>
        <w:pStyle w:val="BlockText"/>
      </w:pPr>
      <w:r>
        <w:t xml:space="preserve">$$</w:t>
      </w:r>
    </w:p>
    <w:p>
      <w:pPr>
        <w:pStyle w:val="Compact"/>
        <w:numPr>
          <w:ilvl w:val="0"/>
          <w:numId w:val="1805"/>
        </w:numPr>
      </w:pPr>
      <w:r>
        <w:t xml:space="preserve">Consumidor B (</w:t>
      </w:r>
      <m:oMath>
        <m:r>
          <m:t>α</m:t>
        </m:r>
        <m:r>
          <m:rPr>
            <m:sty m:val="p"/>
          </m:rPr>
          <m:t>=</m:t>
        </m:r>
        <m:r>
          <m:t>2</m:t>
        </m:r>
        <m:r>
          <m:rPr>
            <m:sty m:val="p"/>
          </m:rPr>
          <m:t>/</m:t>
        </m:r>
        <m:r>
          <m:t>3</m:t>
        </m:r>
      </m:oMath>
      <w:r>
        <w:t xml:space="preserve">): renda</w:t>
      </w:r>
      <w:r>
        <w:t xml:space="preserve"> </w:t>
      </w:r>
      <m:oMath>
        <m:sSub>
          <m:e>
            <m:r>
              <m:t>I</m:t>
            </m:r>
          </m:e>
          <m:sub>
            <m:r>
              <m:t>B</m:t>
            </m:r>
          </m:sub>
        </m:sSub>
        <m:r>
          <m:rPr>
            <m:sty m:val="p"/>
          </m:rPr>
          <m:t>=</m:t>
        </m:r>
        <m:r>
          <m:t>2</m:t>
        </m:r>
        <m:r>
          <m:t>p</m:t>
        </m:r>
        <m:r>
          <m:rPr>
            <m:sty m:val="p"/>
          </m:rPr>
          <m:t>+</m:t>
        </m:r>
        <m:r>
          <m:t>4</m:t>
        </m:r>
      </m:oMath>
      <w:r>
        <w:t xml:space="preserve">.</w:t>
      </w:r>
    </w:p>
    <w:p>
      <w:pPr>
        <w:pStyle w:val="BlockText"/>
      </w:pPr>
      <w:r>
        <w:t xml:space="preserve">$$</w:t>
      </w:r>
    </w:p>
    <w:p>
      <w:pPr>
        <w:pStyle w:val="BlockText"/>
      </w:pPr>
      <w:r>
        <w:t xml:space="preserve">x_1^B =</w:t>
      </w:r>
      <w:r>
        <w:t xml:space="preserve"> </w:t>
      </w:r>
      <w:r>
        <w:t xml:space="preserve"> </w:t>
      </w:r>
      <w:r>
        <w:t xml:space="preserve">=</w:t>
      </w:r>
      <w:r>
        <w:t xml:space="preserve"> </w:t>
      </w:r>
      <w:r>
        <w:t xml:space="preserve">,</w:t>
      </w:r>
      <w:r>
        <w:t xml:space="preserve"> </w:t>
      </w:r>
      <w:r>
        <w:t xml:space="preserve">x_2^B =</w:t>
      </w:r>
      <w:r>
        <w:t xml:space="preserve"> </w:t>
      </w:r>
      <w:r>
        <w:t xml:space="preserve"> </w:t>
      </w:r>
      <w:r>
        <w:t xml:space="preserve">=</w:t>
      </w:r>
      <w:r>
        <w:t xml:space="preserve"> </w:t>
      </w:r>
    </w:p>
    <w:p>
      <w:pPr>
        <w:pStyle w:val="BlockText"/>
      </w:pPr>
      <w:r>
        <w:t xml:space="preserve">$$</w:t>
      </w:r>
    </w:p>
    <w:p>
      <w:pPr>
        <w:pStyle w:val="BlockText"/>
      </w:pPr>
      <w:r>
        <w:t xml:space="preserve">Excesso de demanda do bem 1:</w:t>
      </w:r>
    </w:p>
    <w:p>
      <w:pPr>
        <w:pStyle w:val="BlockText"/>
      </w:pPr>
      <w:r>
        <w:t xml:space="preserve">$$</w:t>
      </w:r>
    </w:p>
    <w:p>
      <w:pPr>
        <w:pStyle w:val="BlockText"/>
      </w:pPr>
      <w:r>
        <w:t xml:space="preserve">Z^1(p) = x_1^A + x_1^B - 6 =</w:t>
      </w:r>
      <w:r>
        <w:t xml:space="preserve"> </w:t>
      </w:r>
      <w:r>
        <w:t xml:space="preserve"> </w:t>
      </w:r>
      <w:r>
        <w:t xml:space="preserve">+</w:t>
      </w:r>
      <w:r>
        <w:t xml:space="preserve"> </w:t>
      </w:r>
      <w:r>
        <w:t xml:space="preserve"> </w:t>
      </w:r>
      <w:r>
        <w:t xml:space="preserve">- 6 =</w:t>
      </w:r>
      <w:r>
        <w:t xml:space="preserve"> </w:t>
      </w:r>
      <w:r>
        <w:t xml:space="preserve"> </w:t>
      </w:r>
      <w:r>
        <w:t xml:space="preserve">- 6 =</w:t>
      </w:r>
      <w:r>
        <w:t xml:space="preserve"> </w:t>
      </w:r>
      <w:r>
        <w:t xml:space="preserve"> </w:t>
      </w:r>
      <w:r>
        <w:t xml:space="preserve">=</w:t>
      </w:r>
      <w:r>
        <w:t xml:space="preserve"> </w:t>
      </w:r>
    </w:p>
    <w:p>
      <w:pPr>
        <w:pStyle w:val="BlockText"/>
      </w:pPr>
      <w:r>
        <w:t xml:space="preserve">$$</w:t>
      </w:r>
    </w:p>
    <w:p>
      <w:pPr>
        <w:pStyle w:val="BlockText"/>
      </w:pPr>
      <w:r>
        <w:t xml:space="preserve">Excesso de demanda do bem 2:</w:t>
      </w:r>
    </w:p>
    <w:p>
      <w:pPr>
        <w:pStyle w:val="BlockText"/>
      </w:pPr>
      <w:r>
        <w:t xml:space="preserve">$$</w:t>
      </w:r>
    </w:p>
    <w:p>
      <w:pPr>
        <w:pStyle w:val="BlockText"/>
      </w:pPr>
      <w:r>
        <w:t xml:space="preserve">Z^2(p) = x_2^A + x_2^B - 6 =</w:t>
      </w:r>
      <w:r>
        <w:t xml:space="preserve"> </w:t>
      </w:r>
      <w:r>
        <w:t xml:space="preserve"> </w:t>
      </w:r>
      <w:r>
        <w:t xml:space="preserve">+</w:t>
      </w:r>
      <w:r>
        <w:t xml:space="preserve"> </w:t>
      </w:r>
      <w:r>
        <w:t xml:space="preserve"> </w:t>
      </w:r>
      <w:r>
        <w:t xml:space="preserve">- 6 =</w:t>
      </w:r>
      <w:r>
        <w:t xml:space="preserve"> </w:t>
      </w:r>
      <w:r>
        <w:t xml:space="preserve"> </w:t>
      </w:r>
      <w:r>
        <w:t xml:space="preserve">- 6 =</w:t>
      </w:r>
      <w:r>
        <w:t xml:space="preserve"> </w:t>
      </w:r>
      <w:r>
        <w:t xml:space="preserve"> </w:t>
      </w:r>
      <w:r>
        <w:t xml:space="preserve">=</w:t>
      </w:r>
      <w:r>
        <w:t xml:space="preserve"> </w:t>
      </w:r>
    </w:p>
    <w:p>
      <w:pPr>
        <w:pStyle w:val="BlockText"/>
      </w:pPr>
      <w:r>
        <w:t xml:space="preserve">$$</w:t>
      </w:r>
    </w:p>
    <w:p>
      <w:pPr>
        <w:pStyle w:val="BlockText"/>
      </w:pPr>
      <w:r>
        <w:rPr>
          <w:b/>
          <w:bCs/>
        </w:rPr>
        <w:t xml:space="preserve">(b)</w:t>
      </w:r>
      <w:r>
        <w:t xml:space="preserve"> </w:t>
      </w:r>
      <w:r>
        <w:t xml:space="preserve">Verificando a Lei de Walras:</w:t>
      </w:r>
    </w:p>
    <w:p>
      <w:pPr>
        <w:pStyle w:val="BlockText"/>
      </w:pPr>
      <w:r>
        <w:t xml:space="preserve">$$</w:t>
      </w:r>
    </w:p>
    <w:p>
      <w:pPr>
        <w:pStyle w:val="BlockText"/>
      </w:pPr>
      <w:r>
        <w:t xml:space="preserve">p</w:t>
      </w:r>
      <w:r>
        <w:t xml:space="preserve"> </w:t>
      </w:r>
      <w:r>
        <w:t xml:space="preserve">Z^1(p) + 1</w:t>
      </w:r>
      <w:r>
        <w:t xml:space="preserve"> </w:t>
      </w:r>
      <w:r>
        <w:t xml:space="preserve">Z^2(p) = p</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0</w:t>
      </w:r>
      <w:r>
        <w:t xml:space="preserve"> </w:t>
      </w:r>
    </w:p>
    <w:p>
      <w:pPr>
        <w:pStyle w:val="BlockText"/>
      </w:pPr>
      <w:r>
        <w:t xml:space="preserve">$$</w:t>
      </w:r>
    </w:p>
    <w:p>
      <w:pPr>
        <w:pStyle w:val="BlockText"/>
      </w:pPr>
      <w:r>
        <w:t xml:space="preserve">Vale para</w:t>
      </w:r>
      <w:r>
        <w:t xml:space="preserve"> </w:t>
      </w:r>
      <w:r>
        <w:rPr>
          <w:i/>
          <w:iCs/>
        </w:rPr>
        <w:t xml:space="preserve">todo</w:t>
      </w:r>
      <w:r>
        <w:t xml:space="preserve"> </w:t>
      </w:r>
      <m:oMath>
        <m:r>
          <m:t>p</m:t>
        </m:r>
        <m:r>
          <m:rPr>
            <m:sty m:val="p"/>
          </m:rPr>
          <m:t>&gt;</m:t>
        </m:r>
        <m:r>
          <m:t>0</m:t>
        </m:r>
      </m:oMath>
      <w:r>
        <w:t xml:space="preserve">, como previsto — é uma identidade, não uma equação.</w:t>
      </w:r>
    </w:p>
    <w:p>
      <w:pPr>
        <w:pStyle w:val="BlockText"/>
      </w:pPr>
      <w:r>
        <w:rPr>
          <w:b/>
          <w:bCs/>
        </w:rPr>
        <w:t xml:space="preserve">(c)</w:t>
      </w:r>
      <w:r>
        <w:t xml:space="preserve"> </w:t>
      </w:r>
      <w:r>
        <w:t xml:space="preserve">Equilíbrio:</w:t>
      </w:r>
      <w:r>
        <w:t xml:space="preserve"> </w:t>
      </w:r>
      <m:oMath>
        <m:sSup>
          <m:e>
            <m:r>
              <m:t>Z</m:t>
            </m:r>
          </m:e>
          <m:sup>
            <m:r>
              <m:t>1</m:t>
            </m:r>
          </m:sup>
        </m:sSup>
        <m:r>
          <m:rPr>
            <m:sty m:val="p"/>
          </m:rPr>
          <m:t>(</m:t>
        </m:r>
        <m:sSup>
          <m:e>
            <m:r>
              <m:t>p</m:t>
            </m:r>
          </m:e>
          <m:sup>
            <m:r>
              <m:rPr>
                <m:sty m:val="p"/>
              </m:rPr>
              <m:t>*</m:t>
            </m:r>
          </m:sup>
        </m:sSup>
        <m:r>
          <m:rPr>
            <m:sty m:val="p"/>
          </m:rPr>
          <m:t>)</m:t>
        </m:r>
        <m:r>
          <m:rPr>
            <m:sty m:val="p"/>
          </m:rPr>
          <m:t>=</m:t>
        </m:r>
        <m:r>
          <m:t>0</m:t>
        </m:r>
        <m:r>
          <m:rPr>
            <m:sty m:val="p"/>
          </m:rPr>
          <m:t>⇒</m:t>
        </m:r>
        <m:r>
          <m:t>10</m:t>
        </m:r>
        <m:r>
          <m:rPr>
            <m:sty m:val="p"/>
          </m:rPr>
          <m:t>−</m:t>
        </m:r>
        <m:r>
          <m:t>10</m:t>
        </m:r>
        <m:sSup>
          <m:e>
            <m:r>
              <m:t>p</m:t>
            </m:r>
          </m:e>
          <m:sup>
            <m:r>
              <m:rPr>
                <m:sty m:val="p"/>
              </m:rPr>
              <m:t>*</m:t>
            </m:r>
          </m:sup>
        </m:sSup>
        <m:r>
          <m:rPr>
            <m:sty m:val="p"/>
          </m:rPr>
          <m:t>=</m:t>
        </m:r>
        <m:r>
          <m:t>0</m:t>
        </m:r>
        <m:r>
          <m:rPr>
            <m:sty m:val="p"/>
          </m:rPr>
          <m:t>⇒</m:t>
        </m:r>
        <m:sSup>
          <m:e>
            <m:r>
              <m:t>p</m:t>
            </m:r>
          </m:e>
          <m:sup>
            <m:r>
              <m:rPr>
                <m:sty m:val="p"/>
              </m:rPr>
              <m:t>*</m:t>
            </m:r>
          </m:sup>
        </m:sSup>
        <m:r>
          <m:rPr>
            <m:sty m:val="p"/>
          </m:rPr>
          <m:t>=</m:t>
        </m:r>
        <m:r>
          <m:t>1</m:t>
        </m:r>
      </m:oMath>
      <w:r>
        <w:t xml:space="preserve">.</w:t>
      </w:r>
    </w:p>
    <w:p>
      <w:pPr>
        <w:pStyle w:val="BlockText"/>
      </w:pPr>
      <w:r>
        <w:t xml:space="preserve">Alocações:</w:t>
      </w:r>
      <w:r>
        <w:t xml:space="preserve"> </w:t>
      </w:r>
      <m:oMath>
        <m:sSubSup>
          <m:e>
            <m:r>
              <m:t>x</m:t>
            </m:r>
          </m:e>
          <m:sub>
            <m:r>
              <m:t>1</m:t>
            </m:r>
          </m:sub>
          <m:sup>
            <m:r>
              <m:t>A</m:t>
            </m:r>
          </m:sup>
        </m:sSubSup>
        <m:r>
          <m:rPr>
            <m:sty m:val="p"/>
          </m:rPr>
          <m:t>=</m:t>
        </m:r>
        <m:r>
          <m:t>2</m:t>
        </m:r>
        <m:r>
          <m:rPr>
            <m:sty m:val="p"/>
          </m:rPr>
          <m:t>,</m:t>
        </m:r>
        <m:sSubSup>
          <m:e>
            <m:r>
              <m:t>x</m:t>
            </m:r>
          </m:e>
          <m:sub>
            <m:r>
              <m:t>2</m:t>
            </m:r>
          </m:sub>
          <m:sup>
            <m:r>
              <m:t>A</m:t>
            </m:r>
          </m:sup>
        </m:sSubSup>
        <m:r>
          <m:rPr>
            <m:sty m:val="p"/>
          </m:rPr>
          <m:t>=</m:t>
        </m:r>
        <m:r>
          <m:t>4</m:t>
        </m:r>
        <m:r>
          <m:rPr>
            <m:sty m:val="p"/>
          </m:rPr>
          <m:t>;</m:t>
        </m:r>
        <m:r>
          <m:t> </m:t>
        </m:r>
        <m:sSubSup>
          <m:e>
            <m:r>
              <m:t>x</m:t>
            </m:r>
          </m:e>
          <m:sub>
            <m:r>
              <m:t>1</m:t>
            </m:r>
          </m:sub>
          <m:sup>
            <m:r>
              <m:t>B</m:t>
            </m:r>
          </m:sup>
        </m:sSubSup>
        <m:r>
          <m:rPr>
            <m:sty m:val="p"/>
          </m:rPr>
          <m:t>=</m:t>
        </m:r>
        <m:r>
          <m:t>4</m:t>
        </m:r>
        <m:r>
          <m:rPr>
            <m:sty m:val="p"/>
          </m:rPr>
          <m:t>,</m:t>
        </m:r>
        <m:sSubSup>
          <m:e>
            <m:r>
              <m:t>x</m:t>
            </m:r>
          </m:e>
          <m:sub>
            <m:r>
              <m:t>2</m:t>
            </m:r>
          </m:sub>
          <m:sup>
            <m:r>
              <m:t>B</m:t>
            </m:r>
          </m:sup>
        </m:sSubSup>
        <m:r>
          <m:rPr>
            <m:sty m:val="p"/>
          </m:rPr>
          <m:t>=</m:t>
        </m:r>
        <m:r>
          <m:t>2</m:t>
        </m:r>
      </m:oMath>
      <w:r>
        <w:t xml:space="preserve">.</w:t>
      </w:r>
    </w:p>
    <w:p>
      <w:pPr>
        <w:pStyle w:val="BlockText"/>
      </w:pPr>
      <w:r>
        <w:t xml:space="preserve">Pela Lei de Walras,</w:t>
      </w:r>
      <w:r>
        <w:t xml:space="preserve"> </w:t>
      </w:r>
      <m:oMath>
        <m:sSup>
          <m:e>
            <m:r>
              <m:t>Z</m:t>
            </m:r>
          </m:e>
          <m:sup>
            <m:r>
              <m:t>2</m:t>
            </m:r>
          </m:sup>
        </m:sSup>
        <m:r>
          <m:rPr>
            <m:sty m:val="p"/>
          </m:rPr>
          <m:t>(</m:t>
        </m:r>
        <m:r>
          <m:t>1</m:t>
        </m:r>
        <m:r>
          <m:rPr>
            <m:sty m:val="p"/>
          </m:rPr>
          <m:t>)</m:t>
        </m:r>
        <m:r>
          <m:rPr>
            <m:sty m:val="p"/>
          </m:rPr>
          <m:t>=</m:t>
        </m:r>
        <m:r>
          <m:t>0</m:t>
        </m:r>
      </m:oMath>
      <w:r>
        <w:t xml:space="preserve"> </w:t>
      </w:r>
      <w:r>
        <w:t xml:space="preserve">automaticamente.</w:t>
      </w:r>
      <w:r>
        <w:t xml:space="preserve"> </w:t>
      </w:r>
      <m:oMath>
        <m:r>
          <m:rPr>
            <m:sty m:val="p"/>
          </m:rPr>
          <m:t>✓</m:t>
        </m:r>
      </m:oMath>
    </w:p>
    <w:p>
      <w:pPr>
        <w:pStyle w:val="FirstParagraph"/>
      </w:pPr>
      <w:r>
        <w:rPr>
          <w:b/>
          <w:bCs/>
        </w:rPr>
        <w:t xml:space="preserve">WebR 14.3 — Lei de Walras: a contabilidade que nunca falha.</w:t>
      </w:r>
      <w:r>
        <w:t xml:space="preserve"> </w:t>
      </w:r>
      <w:r>
        <w:t xml:space="preserve">O código calcula as funções de excesso de demanda</w:t>
      </w:r>
      <w:r>
        <w:t xml:space="preserve"> </w:t>
      </w:r>
      <m:oMath>
        <m:sSup>
          <m:e>
            <m:r>
              <m:t>Z</m:t>
            </m:r>
          </m:e>
          <m:sup>
            <m:r>
              <m:t>1</m:t>
            </m:r>
          </m:sup>
        </m:sSup>
        <m:r>
          <m:rPr>
            <m:sty m:val="p"/>
          </m:rPr>
          <m:t>(</m:t>
        </m:r>
        <m:r>
          <m:t>p</m:t>
        </m:r>
        <m:r>
          <m:rPr>
            <m:sty m:val="p"/>
          </m:rPr>
          <m:t>)</m:t>
        </m:r>
      </m:oMath>
      <w:r>
        <w:t xml:space="preserve"> </w:t>
      </w:r>
      <w:r>
        <w:t xml:space="preserve">e</w:t>
      </w:r>
      <w:r>
        <w:t xml:space="preserve"> </w:t>
      </w:r>
      <m:oMath>
        <m:sSup>
          <m:e>
            <m:r>
              <m:t>Z</m:t>
            </m:r>
          </m:e>
          <m:sup>
            <m:r>
              <m:t>2</m:t>
            </m:r>
          </m:sup>
        </m:sSup>
        <m:r>
          <m:rPr>
            <m:sty m:val="p"/>
          </m:rPr>
          <m:t>(</m:t>
        </m:r>
        <m:r>
          <m:t>p</m:t>
        </m:r>
        <m:r>
          <m:rPr>
            <m:sty m:val="p"/>
          </m:rPr>
          <m:t>)</m:t>
        </m:r>
      </m:oMath>
      <w:r>
        <w:t xml:space="preserve"> </w:t>
      </w:r>
      <w:r>
        <w:t xml:space="preserve">para o ER 14.6 e plota ambas no mesmo gráfico. Observe que</w:t>
      </w:r>
      <w:r>
        <w:t xml:space="preserve"> </w:t>
      </w:r>
      <m:oMath>
        <m:sSup>
          <m:e>
            <m:r>
              <m:t>Z</m:t>
            </m:r>
          </m:e>
          <m:sup>
            <m:r>
              <m:t>1</m:t>
            </m:r>
          </m:sup>
        </m:sSup>
      </m:oMath>
      <w:r>
        <w:t xml:space="preserve"> </w:t>
      </w:r>
      <w:r>
        <w:t xml:space="preserve">e</w:t>
      </w:r>
      <w:r>
        <w:t xml:space="preserve"> </w:t>
      </w:r>
      <m:oMath>
        <m:sSup>
          <m:e>
            <m:r>
              <m:t>Z</m:t>
            </m:r>
          </m:e>
          <m:sup>
            <m:r>
              <m:t>2</m:t>
            </m:r>
          </m:sup>
        </m:sSup>
      </m:oMath>
      <w:r>
        <w:t xml:space="preserve"> </w:t>
      </w:r>
      <w:r>
        <w:t xml:space="preserve">cruzam o zero no mesmo preço — consequência direta da Lei de Walras. Mude os parâmetros</w:t>
      </w:r>
      <w:r>
        <w:t xml:space="preserve"> </w:t>
      </w:r>
      <w:r>
        <w:rPr>
          <w:rStyle w:val="VerbatimChar"/>
        </w:rPr>
        <w:t xml:space="preserve">aA</w:t>
      </w:r>
      <w:r>
        <w:t xml:space="preserve"> </w:t>
      </w:r>
      <w:r>
        <w:t xml:space="preserve">e</w:t>
      </w:r>
      <w:r>
        <w:t xml:space="preserve"> </w:t>
      </w:r>
      <w:r>
        <w:rPr>
          <w:rStyle w:val="VerbatimChar"/>
        </w:rPr>
        <w:t xml:space="preserve">aB</w:t>
      </w:r>
      <w:r>
        <w:t xml:space="preserve"> </w:t>
      </w:r>
      <w:r>
        <w:t xml:space="preserve">(expoentes Cobb-Douglas) e observe como o preço de equilíbrio se desloca, mas a Lei de Walras continua valendo em</w:t>
      </w:r>
      <w:r>
        <w:t xml:space="preserve"> </w:t>
      </w:r>
      <w:r>
        <w:rPr>
          <w:i/>
          <w:iCs/>
        </w:rPr>
        <w:t xml:space="preserve">todos</w:t>
      </w:r>
      <w:r>
        <w:t xml:space="preserve"> </w:t>
      </w:r>
      <w:r>
        <w:t xml:space="preserve">os preços.</w:t>
      </w:r>
    </w:p>
    <w:p>
      <w:pPr>
        <w:pStyle w:val="BodyText"/>
      </w:pPr>
      <w:r>
        <w:t xml:space="preserve">[FIGURA INTERATIVA: /micro-book/graficos/cap14/webr-lei-walras.html — versao interativa disponivel online]</w:t>
      </w:r>
    </w:p>
    <w:p>
      <w:pPr>
        <w:pStyle w:val="BodyText"/>
      </w:pPr>
      <w:r>
        <w:rPr>
          <w:b/>
          <w:bCs/>
        </w:rPr>
        <w:t xml:space="preserve">WebR 14.3 — Lei de Walras: a contabilidade que nunca falha.</w:t>
      </w:r>
      <w:r>
        <w:t xml:space="preserve"> </w:t>
      </w:r>
      <w:r>
        <w:t xml:space="preserve">Funções de excesso de demanda e verificação da Lei de Walras. Altere os expoentes Cobb-Douglas para explorar como o equilíbrio se desloca.</w:t>
      </w:r>
    </w:p>
    <w:p>
      <w:r>
        <w:pict>
          <v:rect style="width:0;height:1.5pt" o:hralign="center" o:hrstd="t" o:hr="t"/>
        </w:pict>
      </w:r>
    </w:p>
    <w:bookmarkEnd w:id="880"/>
    <w:bookmarkEnd w:id="881"/>
    <w:bookmarkStart w:id="884" w:name="X9dfc9ffd3253c48c9af5dd55c4b3e4b4b5e6229"/>
    <w:p>
      <w:pPr>
        <w:pStyle w:val="Heading3"/>
      </w:pPr>
      <w:r>
        <w:t xml:space="preserve">14.9 O Castelo Existe? Prova de Existência do Equilíbrio</w:t>
      </w:r>
    </w:p>
    <w:p>
      <w:pPr>
        <w:pStyle w:val="FirstParagraph"/>
      </w:pPr>
      <w:r>
        <w:t xml:space="preserve">Temos um sistema de equações — mas será que ele tem solução? A pergunta pode parecer acadêmica, mas é absolutamente fundamental. Se o sistema de equações do equilíbrio geral não tiver solução, todo o edifício teórico desmorona: os Teoremas do Bem-Estar perdem o objeto, e a teoria dos preços se torna uma ficção elegante sem referente no mundo. A busca pela prova de existência foi, como disse a nota de rodapé do capítulo, uma verdadeira</w:t>
      </w:r>
      <w:r>
        <w:t xml:space="preserve"> </w:t>
      </w:r>
      <w:r>
        <w:rPr>
          <w:i/>
          <w:iCs/>
        </w:rPr>
        <w:t xml:space="preserve">Quest for the Holy Grail</w:t>
      </w:r>
      <w:r>
        <w:t xml:space="preserve"> </w:t>
      </w:r>
      <w:r>
        <w:t xml:space="preserve">da teoria econômica.</w:t>
      </w:r>
    </w:p>
    <w:bookmarkStart w:id="882" w:name="o-teorema-do-ponto-fixo-de-brouwer"/>
    <w:p>
      <w:pPr>
        <w:pStyle w:val="Heading4"/>
      </w:pPr>
      <w:r>
        <w:t xml:space="preserve">O Teorema do Ponto Fixo de Brouwer</w:t>
      </w:r>
    </w:p>
    <w:p>
      <w:pPr>
        <w:pStyle w:val="BlockText"/>
      </w:pPr>
      <w:r>
        <w:rPr>
          <w:b/>
          <w:bCs/>
        </w:rPr>
        <w:t xml:space="preserve">[DICA] Ferramentas do Cap. 2</w:t>
      </w:r>
    </w:p>
    <w:p>
      <w:pPr>
        <w:pStyle w:val="BlockText"/>
      </w:pPr>
      <w:r>
        <w:t xml:space="preserve">Esta seção usa teoremas de ponto fixo e conjuntos convexos (Cap. 2). Se precisar relembrar, volte lá — leva 10 minutos.</w:t>
      </w:r>
    </w:p>
    <w:p>
      <w:pPr>
        <w:pStyle w:val="FirstParagraph"/>
      </w:pPr>
      <w:r>
        <w:t xml:space="preserve">A ferramenta matemática que permite provar a existência do equilíbrio é o</w:t>
      </w:r>
      <w:r>
        <w:t xml:space="preserve"> </w:t>
      </w:r>
      <w:r>
        <w:rPr>
          <w:b/>
          <w:bCs/>
        </w:rPr>
        <w:t xml:space="preserve">Teorema do Ponto Fixo de Brouwer</w:t>
      </w:r>
      <w:r>
        <w:t xml:space="preserve"> </w:t>
      </w:r>
      <w:r>
        <w:t xml:space="preserve">(1911): toda função contínua de um conjunto convexo e compacto nele mesmo possui pelo menos um ponto fixo.</w:t>
      </w:r>
    </w:p>
    <w:p>
      <w:pPr>
        <w:pStyle w:val="BlockText"/>
      </w:pPr>
      <w:r>
        <w:rPr>
          <w:b/>
          <w:bCs/>
        </w:rPr>
        <w:t xml:space="preserve">[TEOREMA] Teorema do Ponto Fixo de Brouwer</w:t>
      </w:r>
    </w:p>
    <w:p>
      <w:pPr>
        <w:pStyle w:val="BlockText"/>
      </w:pPr>
      <w:r>
        <w:t xml:space="preserve">Seja</w:t>
      </w:r>
      <w:r>
        <w:t xml:space="preserve"> </w:t>
      </w:r>
      <m:oMath>
        <m:r>
          <m:t>S</m:t>
        </m:r>
        <m:r>
          <m:rPr>
            <m:sty m:val="p"/>
          </m:rPr>
          <m:t>⊂</m:t>
        </m:r>
        <m:sSup>
          <m:e>
            <m:r>
              <m:rPr>
                <m:scr m:val="double-struck"/>
                <m:sty m:val="p"/>
              </m:rPr>
              <m:t>R</m:t>
            </m:r>
          </m:e>
          <m:sup>
            <m:r>
              <m:t>n</m:t>
            </m:r>
          </m:sup>
        </m:sSup>
      </m:oMath>
      <w:r>
        <w:t xml:space="preserve"> </w:t>
      </w:r>
      <w:r>
        <w:t xml:space="preserve">um conjunto convexo, compacto e não vazio, e</w:t>
      </w:r>
      <w:r>
        <w:t xml:space="preserve"> </w:t>
      </w:r>
      <m:oMath>
        <m:r>
          <m:t>f</m:t>
        </m:r>
        <m:r>
          <m:rPr>
            <m:sty m:val="p"/>
          </m:rPr>
          <m:t>:</m:t>
        </m:r>
        <m:r>
          <m:t>S</m:t>
        </m:r>
        <m:r>
          <m:rPr>
            <m:sty m:val="p"/>
          </m:rPr>
          <m:t>→</m:t>
        </m:r>
        <m:r>
          <m:t>S</m:t>
        </m:r>
      </m:oMath>
      <w:r>
        <w:t xml:space="preserve"> </w:t>
      </w:r>
      <w:r>
        <w:t xml:space="preserve">uma função contínua. Então existe</w:t>
      </w:r>
      <w:r>
        <w:t xml:space="preserve"> </w:t>
      </w:r>
      <m:oMath>
        <m:sSup>
          <m:e>
            <m:r>
              <m:rPr>
                <m:sty m:val="bi"/>
              </m:rPr>
              <m:t>x</m:t>
            </m:r>
          </m:e>
          <m:sup>
            <m:r>
              <m:rPr>
                <m:sty m:val="p"/>
              </m:rPr>
              <m:t>*</m:t>
            </m:r>
          </m:sup>
        </m:sSup>
        <m:r>
          <m:rPr>
            <m:sty m:val="p"/>
          </m:rPr>
          <m:t>∈</m:t>
        </m:r>
        <m:r>
          <m:t>S</m:t>
        </m:r>
      </m:oMath>
      <w:r>
        <w:t xml:space="preserve"> </w:t>
      </w:r>
      <w:r>
        <w:t xml:space="preserve">tal que</w:t>
      </w:r>
      <w:r>
        <w:t xml:space="preserve"> </w:t>
      </w:r>
      <m:oMath>
        <m:r>
          <m:t>f</m:t>
        </m:r>
        <m:r>
          <m:rPr>
            <m:sty m:val="p"/>
          </m:rPr>
          <m:t>(</m:t>
        </m:r>
        <m:sSup>
          <m:e>
            <m:r>
              <m:rPr>
                <m:sty m:val="bi"/>
              </m:rPr>
              <m:t>x</m:t>
            </m:r>
          </m:e>
          <m:sup>
            <m:r>
              <m:rPr>
                <m:sty m:val="p"/>
              </m:rPr>
              <m:t>*</m:t>
            </m:r>
          </m:sup>
        </m:sSup>
        <m:r>
          <m:rPr>
            <m:sty m:val="p"/>
          </m:rPr>
          <m:t>)</m:t>
        </m:r>
        <m:r>
          <m:rPr>
            <m:sty m:val="p"/>
          </m:rPr>
          <m:t>=</m:t>
        </m:r>
        <m:sSup>
          <m:e>
            <m:r>
              <m:rPr>
                <m:sty m:val="bi"/>
              </m:rPr>
              <m:t>x</m:t>
            </m:r>
          </m:e>
          <m:sup>
            <m:r>
              <m:rPr>
                <m:sty m:val="p"/>
              </m:rPr>
              <m:t>*</m:t>
            </m:r>
          </m:sup>
        </m:sSup>
      </m:oMath>
      <w:r>
        <w:t xml:space="preserve">.</w:t>
      </w:r>
    </w:p>
    <w:p>
      <w:pPr>
        <w:pStyle w:val="FirstParagraph"/>
      </w:pPr>
      <w:r>
        <w:t xml:space="preserve">A intuição é surpreendentemente simples em uma dimensão: se</w:t>
      </w:r>
      <w:r>
        <w:t xml:space="preserve"> </w:t>
      </w:r>
      <m:oMath>
        <m:r>
          <m:t>f</m:t>
        </m:r>
        <m:r>
          <m:rPr>
            <m:sty m:val="p"/>
          </m:rPr>
          <m:t>:</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 </w:t>
      </w:r>
      <w:r>
        <w:t xml:space="preserve">é contínua, então o gráfico de</w:t>
      </w:r>
      <w:r>
        <w:t xml:space="preserve"> </w:t>
      </w:r>
      <m:oMath>
        <m:r>
          <m:t>f</m:t>
        </m:r>
      </m:oMath>
      <w:r>
        <w:t xml:space="preserve"> </w:t>
      </w:r>
      <w:r>
        <w:t xml:space="preserve">necessariamente cruza a diagonal</w:t>
      </w:r>
      <w:r>
        <w:t xml:space="preserve"> </w:t>
      </w:r>
      <m:oMath>
        <m:r>
          <m:t>y</m:t>
        </m:r>
        <m:r>
          <m:rPr>
            <m:sty m:val="p"/>
          </m:rPr>
          <m:t>=</m:t>
        </m:r>
        <m:r>
          <m:t>x</m:t>
        </m:r>
      </m:oMath>
      <w:r>
        <w:t xml:space="preserve"> </w:t>
      </w:r>
      <w:r>
        <w:t xml:space="preserve">em pelo menos um ponto — pelo Teorema do Valor Intermediário. Em dimensões superiores, a prova é mais sofisticada (usa o Lema de Sperner ou técnicas de topologia algébrica), mas a intuição permanece: uma função contínua que</w:t>
      </w:r>
      <w:r>
        <w:t xml:space="preserve"> </w:t>
      </w:r>
      <w:r>
        <w:t xml:space="preserve">“mexe”</w:t>
      </w:r>
      <w:r>
        <w:t xml:space="preserve"> </w:t>
      </w:r>
      <w:r>
        <w:t xml:space="preserve">pontos dentro de uma caixa fechada não pode evitar deixar pelo menos um ponto parado.</w:t>
      </w:r>
    </w:p>
    <w:p>
      <w:pPr>
        <w:pStyle w:val="BlockText"/>
      </w:pPr>
      <w:r>
        <w:rPr>
          <w:b/>
          <w:bCs/>
        </w:rPr>
        <w:t xml:space="preserve">[INTUICAO ECONOMICA] Intuição Econômica</w:t>
      </w:r>
    </w:p>
    <w:p>
      <w:pPr>
        <w:pStyle w:val="BlockText"/>
      </w:pPr>
      <w:r>
        <w:rPr>
          <w:b/>
          <w:bCs/>
        </w:rPr>
        <w:t xml:space="preserve">A analogia do café com leite.</w:t>
      </w:r>
      <w:r>
        <w:t xml:space="preserve"> </w:t>
      </w:r>
      <w:r>
        <w:t xml:space="preserve">Pegue uma xícara de café e mexa com uma colher. Cada molécula de café se move — mas Brouwer garante que</w:t>
      </w:r>
      <w:r>
        <w:t xml:space="preserve"> </w:t>
      </w:r>
      <w:r>
        <w:rPr>
          <w:i/>
          <w:iCs/>
        </w:rPr>
        <w:t xml:space="preserve">pelo menos uma molécula</w:t>
      </w:r>
      <w:r>
        <w:t xml:space="preserve"> </w:t>
      </w:r>
      <w:r>
        <w:t xml:space="preserve">está exatamente na mesma posição onde começou. Não importa quão vigorosamente você mexa: a continuidade do movimento dentro de um espaço fechado força a existência de um ponto fixo. Arrow e Debreu fizeram a mesma coisa com preços:</w:t>
      </w:r>
      <w:r>
        <w:t xml:space="preserve"> </w:t>
      </w:r>
      <w:r>
        <w:t xml:space="preserve">“mexeram”</w:t>
      </w:r>
      <w:r>
        <w:t xml:space="preserve"> </w:t>
      </w:r>
      <w:r>
        <w:t xml:space="preserve">os preços de todos os bens usando a função de ajuste walrasiano e mostraram que pelo menos uma configuração de preços permanece parada — e essa é o equilíbrio.</w:t>
      </w:r>
    </w:p>
    <w:bookmarkEnd w:id="882"/>
    <w:bookmarkStart w:id="883" w:name="estratégia-da-prova-de-existência"/>
    <w:p>
      <w:pPr>
        <w:pStyle w:val="Heading4"/>
      </w:pPr>
      <w:r>
        <w:t xml:space="preserve">Estratégia da prova de existência</w:t>
      </w:r>
    </w:p>
    <w:p>
      <w:pPr>
        <w:pStyle w:val="FirstParagraph"/>
      </w:pPr>
      <w:r>
        <w:t xml:space="preserve">A prova de existência do equilíbrio segue uma estratégia engenhosa: construímos uma função de ajuste de preços que</w:t>
      </w:r>
      <w:r>
        <w:t xml:space="preserve"> </w:t>
      </w:r>
      <w:r>
        <w:t xml:space="preserve">“corrige”</w:t>
      </w:r>
      <w:r>
        <w:t xml:space="preserve"> </w:t>
      </w:r>
      <w:r>
        <w:t xml:space="preserve">os desequilíbrios e mostramos que seu ponto fixo é o equilíbrio.</w:t>
      </w:r>
    </w:p>
    <w:p>
      <w:pPr>
        <w:pStyle w:val="BodyText"/>
      </w:pPr>
      <w:r>
        <w:rPr>
          <w:b/>
          <w:bCs/>
        </w:rPr>
        <w:t xml:space="preserve">Passo 1 — Normalização.</w:t>
      </w:r>
      <w:r>
        <w:t xml:space="preserve"> </w:t>
      </w:r>
      <w:r>
        <w:t xml:space="preserve">Pela homogeneidade de grau zero, podemos restringir os preços ao simplex:</w:t>
      </w:r>
    </w:p>
    <w:p>
      <w:pPr>
        <w:pStyle w:val="BodyText"/>
      </w:pPr>
      <m:oMathPara>
        <m:oMathParaPr>
          <m:jc m:val="center"/>
        </m:oMathParaPr>
        <m:oMath>
          <m:r>
            <m:t>S</m:t>
          </m:r>
          <m:r>
            <m:rPr>
              <m:sty m:val="p"/>
            </m:rPr>
            <m:t>=</m:t>
          </m:r>
          <m:d>
            <m:dPr>
              <m:begChr m:val="{"/>
              <m:sepChr m:val=""/>
              <m:endChr m:val="}"/>
              <m:grow/>
            </m:dPr>
            <m:e>
              <m:r>
                <m:rPr>
                  <m:sty m:val="bi"/>
                </m:rPr>
                <m:t>p</m:t>
              </m:r>
              <m:r>
                <m:rPr>
                  <m:sty m:val="p"/>
                </m:rPr>
                <m:t>∈</m:t>
              </m:r>
              <m:sSubSup>
                <m:e>
                  <m:r>
                    <m:rPr>
                      <m:scr m:val="double-struck"/>
                      <m:sty m:val="p"/>
                    </m:rPr>
                    <m:t>R</m:t>
                  </m:r>
                </m:e>
                <m:sub>
                  <m:r>
                    <m:rPr>
                      <m:sty m:val="p"/>
                    </m:rPr>
                    <m:t>+</m:t>
                  </m:r>
                </m:sub>
                <m:sup>
                  <m:r>
                    <m:t>n</m:t>
                  </m:r>
                </m:sup>
              </m:sSubSup>
              <m:r>
                <m:rPr>
                  <m:sty m:val="p"/>
                </m:rPr>
                <m:t>:</m:t>
              </m:r>
              <m:nary>
                <m:naryPr>
                  <m:chr m:val="∑"/>
                  <m:limLoc m:val="undOvr"/>
                  <m:subHide m:val="off"/>
                  <m:supHide m:val="off"/>
                </m:naryPr>
                <m:sub>
                  <m:r>
                    <m:t>k</m:t>
                  </m:r>
                  <m:r>
                    <m:rPr>
                      <m:sty m:val="p"/>
                    </m:rPr>
                    <m:t>=</m:t>
                  </m:r>
                  <m:r>
                    <m:t>1</m:t>
                  </m:r>
                </m:sub>
                <m:sup>
                  <m:r>
                    <m:t>n</m:t>
                  </m:r>
                </m:sup>
                <m:e>
                  <m:sSub>
                    <m:e>
                      <m:r>
                        <m:t>p</m:t>
                      </m:r>
                    </m:e>
                    <m:sub>
                      <m:r>
                        <m:t>k</m:t>
                      </m:r>
                    </m:sub>
                  </m:sSub>
                </m:e>
              </m:nary>
              <m:r>
                <m:rPr>
                  <m:sty m:val="p"/>
                </m:rPr>
                <m:t>=</m:t>
              </m:r>
              <m:r>
                <m:t>1</m:t>
              </m:r>
            </m:e>
          </m:d>
        </m:oMath>
      </m:oMathPara>
    </w:p>
    <w:p>
      <w:pPr>
        <w:pStyle w:val="FirstParagraph"/>
      </w:pPr>
      <w:r>
        <w:t xml:space="preserve">O simplex é convexo e compacto — exatamente o que Brouwer precisa.</w:t>
      </w:r>
    </w:p>
    <w:p>
      <w:pPr>
        <w:pStyle w:val="BodyText"/>
      </w:pPr>
      <w:r>
        <w:rPr>
          <w:b/>
          <w:bCs/>
        </w:rPr>
        <w:t xml:space="preserve">Passo 2 — Função de ajuste de preços.</w:t>
      </w:r>
      <w:r>
        <w:t xml:space="preserve"> </w:t>
      </w:r>
      <w:r>
        <w:t xml:space="preserve">Para cada bem</w:t>
      </w:r>
      <w:r>
        <w:t xml:space="preserve"> </w:t>
      </w:r>
      <m:oMath>
        <m:r>
          <m:t>k</m:t>
        </m:r>
      </m:oMath>
      <w:r>
        <w:t xml:space="preserve">, defina:</w:t>
      </w:r>
    </w:p>
    <w:p>
      <w:pPr>
        <w:pStyle w:val="BodyText"/>
      </w:pPr>
      <m:oMathPara>
        <m:oMathParaPr>
          <m:jc m:val="center"/>
        </m:oMathParaPr>
        <m:oMath>
          <m:sSub>
            <m:e>
              <m:r>
                <m:t>g</m:t>
              </m:r>
            </m:e>
            <m:sub>
              <m:r>
                <m:t>k</m:t>
              </m:r>
            </m:sub>
          </m:sSub>
          <m:r>
            <m:rPr>
              <m:sty m:val="p"/>
            </m:rPr>
            <m:t>(</m:t>
          </m:r>
          <m:r>
            <m:rPr>
              <m:sty m:val="bi"/>
            </m:rPr>
            <m:t>p</m:t>
          </m:r>
          <m:r>
            <m:rPr>
              <m:sty m:val="p"/>
            </m:rPr>
            <m:t>)</m:t>
          </m:r>
          <m:r>
            <m:rPr>
              <m:sty m:val="p"/>
            </m:rPr>
            <m:t>=</m:t>
          </m:r>
          <m:f>
            <m:fPr>
              <m:type m:val="bar"/>
            </m:fPr>
            <m:num>
              <m:sSub>
                <m:e>
                  <m:r>
                    <m:t>p</m:t>
                  </m:r>
                </m:e>
                <m:sub>
                  <m:r>
                    <m:t>k</m:t>
                  </m:r>
                </m:sub>
              </m:sSub>
              <m:r>
                <m:rPr>
                  <m:sty m:val="p"/>
                </m:rPr>
                <m:t>+</m:t>
              </m:r>
              <m:r>
                <m:rPr>
                  <m:sty m:val="p"/>
                </m:rPr>
                <m:t>max</m:t>
              </m:r>
              <m:r>
                <m:rPr>
                  <m:sty m:val="p"/>
                </m:rPr>
                <m:t>{</m:t>
              </m:r>
              <m:r>
                <m:t>0</m:t>
              </m:r>
              <m:r>
                <m:rPr>
                  <m:sty m:val="p"/>
                </m:rPr>
                <m:t>,</m:t>
              </m:r>
              <m:r>
                <m:t> </m:t>
              </m:r>
              <m:sSup>
                <m:e>
                  <m:r>
                    <m:t>Z</m:t>
                  </m:r>
                </m:e>
                <m:sup>
                  <m:r>
                    <m:t>k</m:t>
                  </m:r>
                </m:sup>
              </m:sSup>
              <m:r>
                <m:rPr>
                  <m:sty m:val="p"/>
                </m:rPr>
                <m:t>(</m:t>
              </m:r>
              <m:r>
                <m:rPr>
                  <m:sty m:val="bi"/>
                </m:rPr>
                <m:t>p</m:t>
              </m:r>
              <m:r>
                <m:rPr>
                  <m:sty m:val="p"/>
                </m:rPr>
                <m:t>)</m:t>
              </m:r>
              <m:r>
                <m:rPr>
                  <m:sty m:val="p"/>
                </m:rPr>
                <m:t>}</m:t>
              </m:r>
            </m:num>
            <m:den>
              <m:r>
                <m:t>1</m:t>
              </m:r>
              <m:r>
                <m:rPr>
                  <m:sty m:val="p"/>
                </m:rPr>
                <m:t>+</m:t>
              </m:r>
              <m:nary>
                <m:naryPr>
                  <m:chr m:val="∑"/>
                  <m:limLoc m:val="undOvr"/>
                  <m:subHide m:val="off"/>
                  <m:supHide m:val="off"/>
                </m:naryPr>
                <m:sub>
                  <m:r>
                    <m:t>j</m:t>
                  </m:r>
                  <m:r>
                    <m:rPr>
                      <m:sty m:val="p"/>
                    </m:rPr>
                    <m:t>=</m:t>
                  </m:r>
                  <m:r>
                    <m:t>1</m:t>
                  </m:r>
                </m:sub>
                <m:sup>
                  <m:r>
                    <m:t>n</m:t>
                  </m:r>
                </m:sup>
                <m:e>
                  <m:r>
                    <m:rPr>
                      <m:sty m:val="p"/>
                    </m:rPr>
                    <m:t>max</m:t>
                  </m:r>
                </m:e>
              </m:nary>
              <m:r>
                <m:rPr>
                  <m:sty m:val="p"/>
                </m:rPr>
                <m:t>{</m:t>
              </m:r>
              <m:r>
                <m:t>0</m:t>
              </m:r>
              <m:r>
                <m:rPr>
                  <m:sty m:val="p"/>
                </m:rPr>
                <m:t>,</m:t>
              </m:r>
              <m:r>
                <m:t> </m:t>
              </m:r>
              <m:sSup>
                <m:e>
                  <m:r>
                    <m:t>Z</m:t>
                  </m:r>
                </m:e>
                <m:sup>
                  <m:r>
                    <m:t>j</m:t>
                  </m:r>
                </m:sup>
              </m:sSup>
              <m:r>
                <m:rPr>
                  <m:sty m:val="p"/>
                </m:rPr>
                <m:t>(</m:t>
              </m:r>
              <m:r>
                <m:rPr>
                  <m:sty m:val="bi"/>
                </m:rPr>
                <m:t>p</m:t>
              </m:r>
              <m:r>
                <m:rPr>
                  <m:sty m:val="p"/>
                </m:rPr>
                <m:t>)</m:t>
              </m:r>
              <m:r>
                <m:rPr>
                  <m:sty m:val="p"/>
                </m:rPr>
                <m:t>}</m:t>
              </m:r>
            </m:den>
          </m:f>
        </m:oMath>
      </m:oMathPara>
    </w:p>
    <w:p>
      <w:pPr>
        <w:pStyle w:val="FirstParagraph"/>
      </w:pPr>
      <w:r>
        <w:t xml:space="preserve">A lógica é intuitiva: se há excesso de demanda do bem</w:t>
      </w:r>
      <w:r>
        <w:t xml:space="preserve"> </w:t>
      </w:r>
      <m:oMath>
        <m:r>
          <m:t>k</m:t>
        </m:r>
      </m:oMath>
      <w:r>
        <w:t xml:space="preserve"> </w:t>
      </w:r>
      <w:r>
        <w:t xml:space="preserve">(</w:t>
      </w:r>
      <m:oMath>
        <m:sSup>
          <m:e>
            <m:r>
              <m:t>Z</m:t>
            </m:r>
          </m:e>
          <m:sup>
            <m:r>
              <m:t>k</m:t>
            </m:r>
          </m:sup>
        </m:sSup>
        <m:r>
          <m:rPr>
            <m:sty m:val="p"/>
          </m:rPr>
          <m:t>&gt;</m:t>
        </m:r>
        <m:r>
          <m:t>0</m:t>
        </m:r>
      </m:oMath>
      <w:r>
        <w:t xml:space="preserve">), o numerador de</w:t>
      </w:r>
      <w:r>
        <w:t xml:space="preserve"> </w:t>
      </w:r>
      <m:oMath>
        <m:sSub>
          <m:e>
            <m:r>
              <m:t>g</m:t>
            </m:r>
          </m:e>
          <m:sub>
            <m:r>
              <m:t>k</m:t>
            </m:r>
          </m:sub>
        </m:sSub>
      </m:oMath>
      <w:r>
        <w:t xml:space="preserve"> </w:t>
      </w:r>
      <w:r>
        <w:t xml:space="preserve">é maior que</w:t>
      </w:r>
      <w:r>
        <w:t xml:space="preserve"> </w:t>
      </w:r>
      <m:oMath>
        <m:sSub>
          <m:e>
            <m:r>
              <m:t>p</m:t>
            </m:r>
          </m:e>
          <m:sub>
            <m:r>
              <m:t>k</m:t>
            </m:r>
          </m:sub>
        </m:sSub>
      </m:oMath>
      <w:r>
        <w:t xml:space="preserve">, o que eleva o preço de</w:t>
      </w:r>
      <w:r>
        <w:t xml:space="preserve"> </w:t>
      </w:r>
      <m:oMath>
        <m:r>
          <m:t>k</m:t>
        </m:r>
      </m:oMath>
      <w:r>
        <w:t xml:space="preserve">; se há excesso de oferta (</w:t>
      </w:r>
      <m:oMath>
        <m:sSup>
          <m:e>
            <m:r>
              <m:t>Z</m:t>
            </m:r>
          </m:e>
          <m:sup>
            <m:r>
              <m:t>k</m:t>
            </m:r>
          </m:sup>
        </m:sSup>
        <m:r>
          <m:rPr>
            <m:sty m:val="p"/>
          </m:rPr>
          <m:t>≤</m:t>
        </m:r>
        <m:r>
          <m:t>0</m:t>
        </m:r>
      </m:oMath>
      <w:r>
        <w:t xml:space="preserve">), o numerador permanece</w:t>
      </w:r>
      <w:r>
        <w:t xml:space="preserve"> </w:t>
      </w:r>
      <m:oMath>
        <m:sSub>
          <m:e>
            <m:r>
              <m:t>p</m:t>
            </m:r>
          </m:e>
          <m:sub>
            <m:r>
              <m:t>k</m:t>
            </m:r>
          </m:sub>
        </m:sSub>
      </m:oMath>
      <w:r>
        <w:t xml:space="preserve">, e o preço relativo de</w:t>
      </w:r>
      <w:r>
        <w:t xml:space="preserve"> </w:t>
      </w:r>
      <m:oMath>
        <m:r>
          <m:t>k</m:t>
        </m:r>
      </m:oMath>
      <w:r>
        <w:t xml:space="preserve"> </w:t>
      </w:r>
      <w:r>
        <w:t xml:space="preserve">cai (pois outros preços estão subindo). É a formalização do tâtonnement walrasiano — o</w:t>
      </w:r>
      <w:r>
        <w:t xml:space="preserve"> </w:t>
      </w:r>
      <w:r>
        <w:t xml:space="preserve">“leilão”</w:t>
      </w:r>
      <w:r>
        <w:t xml:space="preserve"> </w:t>
      </w:r>
      <w:r>
        <w:t xml:space="preserve">imaginário de Walras em que um leiloeiro anuncia preços, coleta demandas e ajusta os preços na direção do excesso de demanda.</w:t>
      </w:r>
    </w:p>
    <w:p>
      <w:pPr>
        <w:pStyle w:val="BodyText"/>
      </w:pPr>
      <w:r>
        <w:rPr>
          <w:b/>
          <w:bCs/>
        </w:rPr>
        <w:t xml:space="preserve">Passo 3 — Verificação das condições de Brouwer.</w:t>
      </w:r>
    </w:p>
    <w:p>
      <w:pPr>
        <w:pStyle w:val="Compact"/>
        <w:numPr>
          <w:ilvl w:val="0"/>
          <w:numId w:val="1806"/>
        </w:numPr>
      </w:pPr>
      <m:oMath>
        <m:r>
          <m:t>g</m:t>
        </m:r>
        <m:r>
          <m:rPr>
            <m:sty m:val="p"/>
          </m:rPr>
          <m:t>:</m:t>
        </m:r>
        <m:r>
          <m:t>S</m:t>
        </m:r>
        <m:r>
          <m:rPr>
            <m:sty m:val="p"/>
          </m:rPr>
          <m:t>→</m:t>
        </m:r>
        <m:r>
          <m:t>S</m:t>
        </m:r>
      </m:oMath>
      <w:r>
        <w:t xml:space="preserve"> </w:t>
      </w:r>
      <w:r>
        <w:t xml:space="preserve">— o denominador garante que</w:t>
      </w:r>
      <w:r>
        <w:t xml:space="preserve"> </w:t>
      </w:r>
      <m:oMath>
        <m:nary>
          <m:naryPr>
            <m:chr m:val="∑"/>
            <m:limLoc m:val="undOvr"/>
            <m:subHide m:val="off"/>
            <m:supHide m:val="on"/>
          </m:naryPr>
          <m:sub>
            <m:r>
              <m:t>k</m:t>
            </m:r>
          </m:sub>
          <m:sup>
            <m:r>
              <m:t>​</m:t>
            </m:r>
          </m:sup>
          <m:e>
            <m:sSub>
              <m:e>
                <m:r>
                  <m:t>g</m:t>
                </m:r>
              </m:e>
              <m:sub>
                <m:r>
                  <m:t>k</m:t>
                </m:r>
              </m:sub>
            </m:sSub>
          </m:e>
        </m:nary>
        <m:r>
          <m:rPr>
            <m:sty m:val="p"/>
          </m:rPr>
          <m:t>=</m:t>
        </m:r>
        <m:r>
          <m:t>1</m:t>
        </m:r>
      </m:oMath>
      <w:r>
        <w:t xml:space="preserve"> </w:t>
      </w:r>
      <w:r>
        <w:t xml:space="preserve">e cada</w:t>
      </w:r>
      <w:r>
        <w:t xml:space="preserve"> </w:t>
      </w:r>
      <m:oMath>
        <m:sSub>
          <m:e>
            <m:r>
              <m:t>g</m:t>
            </m:r>
          </m:e>
          <m:sub>
            <m:r>
              <m:t>k</m:t>
            </m:r>
          </m:sub>
        </m:sSub>
        <m:r>
          <m:rPr>
            <m:sty m:val="p"/>
          </m:rPr>
          <m:t>≥</m:t>
        </m:r>
        <m:r>
          <m:t>0</m:t>
        </m:r>
      </m:oMath>
      <w:r>
        <w:t xml:space="preserve">.</w:t>
      </w:r>
    </w:p>
    <w:p>
      <w:pPr>
        <w:pStyle w:val="Compact"/>
        <w:numPr>
          <w:ilvl w:val="0"/>
          <w:numId w:val="1806"/>
        </w:numPr>
      </w:pPr>
      <m:oMath>
        <m:r>
          <m:t>g</m:t>
        </m:r>
      </m:oMath>
      <w:r>
        <w:t xml:space="preserve"> </w:t>
      </w:r>
      <w:r>
        <w:t xml:space="preserve">é contínua — composição de funções contínuas (</w:t>
      </w:r>
      <m:oMath>
        <m:sSup>
          <m:e>
            <m:r>
              <m:t>Z</m:t>
            </m:r>
          </m:e>
          <m:sup>
            <m:r>
              <m:t>k</m:t>
            </m:r>
          </m:sup>
        </m:sSup>
      </m:oMath>
      <w:r>
        <w:t xml:space="preserve"> </w:t>
      </w:r>
      <w:r>
        <w:t xml:space="preserve">é contínua por hipótese,</w:t>
      </w:r>
      <w:r>
        <w:t xml:space="preserve"> </w:t>
      </w:r>
      <m:oMath>
        <m:r>
          <m:rPr>
            <m:sty m:val="p"/>
          </m:rPr>
          <m:t>max</m:t>
        </m:r>
      </m:oMath>
      <w:r>
        <w:t xml:space="preserve"> </w:t>
      </w:r>
      <w:r>
        <w:t xml:space="preserve">é contínua).</w:t>
      </w:r>
    </w:p>
    <w:p>
      <w:pPr>
        <w:pStyle w:val="FirstParagraph"/>
      </w:pPr>
      <w:r>
        <w:rPr>
          <w:b/>
          <w:bCs/>
        </w:rPr>
        <w:t xml:space="preserve">Passo 4 — Aplicação do Teorema de Brouwer.</w:t>
      </w:r>
      <w:r>
        <w:t xml:space="preserve"> </w:t>
      </w:r>
      <w:r>
        <w:t xml:space="preserve">Existe</w:t>
      </w:r>
      <w:r>
        <w:t xml:space="preserve"> </w:t>
      </w:r>
      <m:oMath>
        <m:sSup>
          <m:e>
            <m:r>
              <m:rPr>
                <m:sty m:val="bi"/>
              </m:rPr>
              <m:t>p</m:t>
            </m:r>
          </m:e>
          <m:sup>
            <m:r>
              <m:rPr>
                <m:sty m:val="p"/>
              </m:rPr>
              <m:t>*</m:t>
            </m:r>
          </m:sup>
        </m:sSup>
        <m:r>
          <m:rPr>
            <m:sty m:val="p"/>
          </m:rPr>
          <m:t>∈</m:t>
        </m:r>
        <m:r>
          <m:t>S</m:t>
        </m:r>
      </m:oMath>
      <w:r>
        <w:t xml:space="preserve"> </w:t>
      </w:r>
      <w:r>
        <w:t xml:space="preserve">tal que</w:t>
      </w:r>
      <w:r>
        <w:t xml:space="preserve"> </w:t>
      </w:r>
      <m:oMath>
        <m:r>
          <m:t>g</m:t>
        </m:r>
        <m:r>
          <m:rPr>
            <m:sty m:val="p"/>
          </m:rPr>
          <m:t>(</m:t>
        </m:r>
        <m:sSup>
          <m:e>
            <m:r>
              <m:rPr>
                <m:sty m:val="bi"/>
              </m:rPr>
              <m:t>p</m:t>
            </m:r>
          </m:e>
          <m:sup>
            <m:r>
              <m:rPr>
                <m:sty m:val="p"/>
              </m:rPr>
              <m:t>*</m:t>
            </m:r>
          </m:sup>
        </m:sSup>
        <m:r>
          <m:rPr>
            <m:sty m:val="p"/>
          </m:rPr>
          <m:t>)</m:t>
        </m:r>
        <m:r>
          <m:rPr>
            <m:sty m:val="p"/>
          </m:rPr>
          <m:t>=</m:t>
        </m:r>
        <m:sSup>
          <m:e>
            <m:r>
              <m:rPr>
                <m:sty m:val="bi"/>
              </m:rPr>
              <m:t>p</m:t>
            </m:r>
          </m:e>
          <m:sup>
            <m:r>
              <m:rPr>
                <m:sty m:val="p"/>
              </m:rPr>
              <m:t>*</m:t>
            </m:r>
          </m:sup>
        </m:sSup>
      </m:oMath>
      <w:r>
        <w:t xml:space="preserve">. Isso implica:</w:t>
      </w:r>
    </w:p>
    <w:p>
      <w:pPr>
        <w:pStyle w:val="BodyText"/>
      </w:pPr>
      <m:oMathPara>
        <m:oMathParaPr>
          <m:jc m:val="center"/>
        </m:oMathParaPr>
        <m:oMath>
          <m:sSubSup>
            <m:e>
              <m:r>
                <m:t>p</m:t>
              </m:r>
            </m:e>
            <m:sub>
              <m:r>
                <m:t>k</m:t>
              </m:r>
            </m:sub>
            <m:sup>
              <m:r>
                <m:rPr>
                  <m:sty m:val="p"/>
                </m:rPr>
                <m:t>*</m:t>
              </m:r>
            </m:sup>
          </m:sSubSup>
          <m:r>
            <m:rPr>
              <m:sty m:val="p"/>
            </m:rPr>
            <m:t>=</m:t>
          </m:r>
          <m:f>
            <m:fPr>
              <m:type m:val="bar"/>
            </m:fPr>
            <m:num>
              <m:sSubSup>
                <m:e>
                  <m:r>
                    <m:t>p</m:t>
                  </m:r>
                </m:e>
                <m:sub>
                  <m:r>
                    <m:t>k</m:t>
                  </m:r>
                </m:sub>
                <m:sup>
                  <m:r>
                    <m:rPr>
                      <m:sty m:val="p"/>
                    </m:rPr>
                    <m:t>*</m:t>
                  </m:r>
                </m:sup>
              </m:sSubSup>
              <m:r>
                <m:rPr>
                  <m:sty m:val="p"/>
                </m:rPr>
                <m:t>+</m:t>
              </m:r>
              <m:r>
                <m:rPr>
                  <m:sty m:val="p"/>
                </m:rPr>
                <m:t>max</m:t>
              </m:r>
              <m:r>
                <m:rPr>
                  <m:sty m:val="p"/>
                </m:rPr>
                <m:t>{</m:t>
              </m:r>
              <m:r>
                <m:t>0</m:t>
              </m:r>
              <m:r>
                <m:rPr>
                  <m:sty m:val="p"/>
                </m:rPr>
                <m:t>,</m:t>
              </m:r>
              <m:r>
                <m:t> </m:t>
              </m:r>
              <m:sSup>
                <m:e>
                  <m:r>
                    <m:t>Z</m:t>
                  </m:r>
                </m:e>
                <m:sup>
                  <m:r>
                    <m:t>k</m:t>
                  </m:r>
                </m:sup>
              </m:sSup>
              <m:r>
                <m:rPr>
                  <m:sty m:val="p"/>
                </m:rPr>
                <m:t>(</m:t>
              </m:r>
              <m:sSup>
                <m:e>
                  <m:r>
                    <m:rPr>
                      <m:sty m:val="bi"/>
                    </m:rPr>
                    <m:t>p</m:t>
                  </m:r>
                </m:e>
                <m:sup>
                  <m:r>
                    <m:rPr>
                      <m:sty m:val="p"/>
                    </m:rPr>
                    <m:t>*</m:t>
                  </m:r>
                </m:sup>
              </m:sSup>
              <m:r>
                <m:rPr>
                  <m:sty m:val="p"/>
                </m:rPr>
                <m:t>)</m:t>
              </m:r>
              <m:r>
                <m:rPr>
                  <m:sty m:val="p"/>
                </m:rPr>
                <m:t>}</m:t>
              </m:r>
            </m:num>
            <m:den>
              <m:r>
                <m:t>1</m:t>
              </m:r>
              <m:r>
                <m:rPr>
                  <m:sty m:val="p"/>
                </m:rPr>
                <m:t>+</m:t>
              </m:r>
              <m:nary>
                <m:naryPr>
                  <m:chr m:val="∑"/>
                  <m:limLoc m:val="undOvr"/>
                  <m:subHide m:val="off"/>
                  <m:supHide m:val="on"/>
                </m:naryPr>
                <m:sub>
                  <m:r>
                    <m:t>j</m:t>
                  </m:r>
                </m:sub>
                <m:sup>
                  <m:r>
                    <m:t>​</m:t>
                  </m:r>
                </m:sup>
                <m:e>
                  <m:r>
                    <m:rPr>
                      <m:sty m:val="p"/>
                    </m:rPr>
                    <m:t>max</m:t>
                  </m:r>
                </m:e>
              </m:nary>
              <m:r>
                <m:rPr>
                  <m:sty m:val="p"/>
                </m:rPr>
                <m:t>{</m:t>
              </m:r>
              <m:r>
                <m:t>0</m:t>
              </m:r>
              <m:r>
                <m:rPr>
                  <m:sty m:val="p"/>
                </m:rPr>
                <m:t>,</m:t>
              </m:r>
              <m:r>
                <m:t> </m:t>
              </m:r>
              <m:sSup>
                <m:e>
                  <m:r>
                    <m:t>Z</m:t>
                  </m:r>
                </m:e>
                <m:sup>
                  <m:r>
                    <m:t>j</m:t>
                  </m:r>
                </m:sup>
              </m:sSup>
              <m:r>
                <m:rPr>
                  <m:sty m:val="p"/>
                </m:rPr>
                <m:t>(</m:t>
              </m:r>
              <m:sSup>
                <m:e>
                  <m:r>
                    <m:rPr>
                      <m:sty m:val="bi"/>
                    </m:rPr>
                    <m:t>p</m:t>
                  </m:r>
                </m:e>
                <m:sup>
                  <m:r>
                    <m:rPr>
                      <m:sty m:val="p"/>
                    </m:rPr>
                    <m:t>*</m:t>
                  </m:r>
                </m:sup>
              </m:sSup>
              <m:r>
                <m:rPr>
                  <m:sty m:val="p"/>
                </m:rPr>
                <m:t>)</m:t>
              </m:r>
              <m:r>
                <m:rPr>
                  <m:sty m:val="p"/>
                </m:rPr>
                <m:t>}</m:t>
              </m:r>
            </m:den>
          </m:f>
          <m:r>
            <m:t> </m:t>
          </m:r>
          <m:r>
            <m:rPr>
              <m:sty m:val="p"/>
            </m:rPr>
            <m:t>∀</m:t>
          </m:r>
          <m:r>
            <m:t> </m:t>
          </m:r>
          <m:r>
            <m:t>k</m:t>
          </m:r>
        </m:oMath>
      </m:oMathPara>
    </w:p>
    <w:p>
      <w:pPr>
        <w:pStyle w:val="FirstParagraph"/>
      </w:pPr>
      <w:r>
        <w:t xml:space="preserve">Multiplicando ambos os lados por</w:t>
      </w:r>
      <w:r>
        <w:t xml:space="preserve"> </w:t>
      </w:r>
      <m:oMath>
        <m:r>
          <m:t>1</m:t>
        </m:r>
        <m:r>
          <m:rPr>
            <m:sty m:val="p"/>
          </m:rPr>
          <m:t>+</m:t>
        </m:r>
        <m:nary>
          <m:naryPr>
            <m:chr m:val="∑"/>
            <m:limLoc m:val="undOvr"/>
            <m:subHide m:val="off"/>
            <m:supHide m:val="on"/>
          </m:naryPr>
          <m:sub>
            <m:r>
              <m:t>j</m:t>
            </m:r>
          </m:sub>
          <m:sup>
            <m:r>
              <m:t>​</m:t>
            </m:r>
          </m:sup>
          <m:e>
            <m:r>
              <m:rPr>
                <m:sty m:val="p"/>
              </m:rPr>
              <m:t>max</m:t>
            </m:r>
          </m:e>
        </m:nary>
        <m:r>
          <m:rPr>
            <m:sty m:val="p"/>
          </m:rPr>
          <m:t>{</m:t>
        </m:r>
        <m:r>
          <m:t>0</m:t>
        </m:r>
        <m:r>
          <m:rPr>
            <m:sty m:val="p"/>
          </m:rPr>
          <m:t>,</m:t>
        </m:r>
        <m:sSup>
          <m:e>
            <m:r>
              <m:t>Z</m:t>
            </m:r>
          </m:e>
          <m:sup>
            <m:r>
              <m:t>j</m:t>
            </m:r>
          </m:sup>
        </m:sSup>
        <m:r>
          <m:rPr>
            <m:sty m:val="p"/>
          </m:rPr>
          <m:t>}</m:t>
        </m:r>
      </m:oMath>
      <w:r>
        <w:t xml:space="preserve">:</w:t>
      </w:r>
    </w:p>
    <w:p>
      <w:pPr>
        <w:pStyle w:val="BodyText"/>
      </w:pPr>
      <m:oMathPara>
        <m:oMathParaPr>
          <m:jc m:val="center"/>
        </m:oMathParaPr>
        <m:oMath>
          <m:sSubSup>
            <m:e>
              <m:r>
                <m:t>p</m:t>
              </m:r>
            </m:e>
            <m:sub>
              <m:r>
                <m:t>k</m:t>
              </m:r>
            </m:sub>
            <m:sup>
              <m:r>
                <m:rPr>
                  <m:sty m:val="p"/>
                </m:rPr>
                <m:t>*</m:t>
              </m:r>
            </m:sup>
          </m:sSubSup>
          <m:r>
            <m:rPr>
              <m:sty m:val="p"/>
            </m:rPr>
            <m:t>(</m:t>
          </m:r>
          <m:r>
            <m:t>1</m:t>
          </m:r>
          <m:r>
            <m:rPr>
              <m:sty m:val="p"/>
            </m:rPr>
            <m:t>+</m:t>
          </m:r>
          <m:r>
            <m:rPr>
              <m:sty m:val="p"/>
            </m:rPr>
            <m:t>Σ</m:t>
          </m:r>
          <m:r>
            <m:rPr>
              <m:sty m:val="p"/>
            </m:rPr>
            <m:t>)</m:t>
          </m:r>
          <m:r>
            <m:rPr>
              <m:sty m:val="p"/>
            </m:rPr>
            <m:t>=</m:t>
          </m:r>
          <m:sSubSup>
            <m:e>
              <m:r>
                <m:t>p</m:t>
              </m:r>
            </m:e>
            <m:sub>
              <m:r>
                <m:t>k</m:t>
              </m:r>
            </m:sub>
            <m:sup>
              <m:r>
                <m:rPr>
                  <m:sty m:val="p"/>
                </m:rPr>
                <m:t>*</m:t>
              </m:r>
            </m:sup>
          </m:sSubSup>
          <m:r>
            <m:rPr>
              <m:sty m:val="p"/>
            </m:rPr>
            <m:t>+</m:t>
          </m:r>
          <m:r>
            <m:rPr>
              <m:sty m:val="p"/>
            </m:rPr>
            <m:t>max</m:t>
          </m:r>
          <m:r>
            <m:rPr>
              <m:sty m:val="p"/>
            </m:rPr>
            <m:t>{</m:t>
          </m:r>
          <m:r>
            <m:t>0</m:t>
          </m:r>
          <m:r>
            <m:rPr>
              <m:sty m:val="p"/>
            </m:rPr>
            <m:t>,</m:t>
          </m:r>
          <m:sSup>
            <m:e>
              <m:r>
                <m:t>Z</m:t>
              </m:r>
            </m:e>
            <m:sup>
              <m:r>
                <m:t>k</m:t>
              </m:r>
            </m:sup>
          </m:sSup>
          <m:r>
            <m:rPr>
              <m:sty m:val="p"/>
            </m:rPr>
            <m:t>}</m:t>
          </m:r>
          <m:r>
            <m:t> </m:t>
          </m:r>
          <m:r>
            <m:rPr>
              <m:sty m:val="p"/>
            </m:rPr>
            <m:t>⇒</m:t>
          </m:r>
          <m:r>
            <m:t> </m:t>
          </m:r>
          <m:sSubSup>
            <m:e>
              <m:r>
                <m:t>p</m:t>
              </m:r>
            </m:e>
            <m:sub>
              <m:r>
                <m:t>k</m:t>
              </m:r>
            </m:sub>
            <m:sup>
              <m:r>
                <m:rPr>
                  <m:sty m:val="p"/>
                </m:rPr>
                <m:t>*</m:t>
              </m:r>
            </m:sup>
          </m:sSubSup>
          <m:r>
            <m:rPr>
              <m:sty m:val="p"/>
            </m:rPr>
            <m:t>Σ</m:t>
          </m:r>
          <m:r>
            <m:rPr>
              <m:sty m:val="p"/>
            </m:rPr>
            <m:t>=</m:t>
          </m:r>
          <m:r>
            <m:rPr>
              <m:sty m:val="p"/>
            </m:rPr>
            <m:t>max</m:t>
          </m:r>
          <m:r>
            <m:rPr>
              <m:sty m:val="p"/>
            </m:rPr>
            <m:t>{</m:t>
          </m:r>
          <m:r>
            <m:t>0</m:t>
          </m:r>
          <m:r>
            <m:rPr>
              <m:sty m:val="p"/>
            </m:rPr>
            <m:t>,</m:t>
          </m:r>
          <m:sSup>
            <m:e>
              <m:r>
                <m:t>Z</m:t>
              </m:r>
            </m:e>
            <m:sup>
              <m:r>
                <m:t>k</m:t>
              </m:r>
            </m:sup>
          </m:sSup>
          <m:r>
            <m:rPr>
              <m:sty m:val="p"/>
            </m:rPr>
            <m:t>}</m:t>
          </m:r>
        </m:oMath>
      </m:oMathPara>
    </w:p>
    <w:p>
      <w:pPr>
        <w:pStyle w:val="FirstParagraph"/>
      </w:pPr>
      <w:r>
        <w:t xml:space="preserve">onde</w:t>
      </w:r>
      <w:r>
        <w:t xml:space="preserve"> </w:t>
      </w:r>
      <m:oMath>
        <m:r>
          <m:rPr>
            <m:sty m:val="p"/>
          </m:rPr>
          <m:t>Σ</m:t>
        </m:r>
        <m:r>
          <m:rPr>
            <m:sty m:val="p"/>
          </m:rPr>
          <m:t>=</m:t>
        </m:r>
        <m:nary>
          <m:naryPr>
            <m:chr m:val="∑"/>
            <m:limLoc m:val="undOvr"/>
            <m:subHide m:val="off"/>
            <m:supHide m:val="on"/>
          </m:naryPr>
          <m:sub>
            <m:r>
              <m:t>j</m:t>
            </m:r>
          </m:sub>
          <m:sup>
            <m:r>
              <m:t>​</m:t>
            </m:r>
          </m:sup>
          <m:e>
            <m:r>
              <m:rPr>
                <m:sty m:val="p"/>
              </m:rPr>
              <m:t>max</m:t>
            </m:r>
          </m:e>
        </m:nary>
        <m:r>
          <m:rPr>
            <m:sty m:val="p"/>
          </m:rPr>
          <m:t>{</m:t>
        </m:r>
        <m:r>
          <m:t>0</m:t>
        </m:r>
        <m:r>
          <m:rPr>
            <m:sty m:val="p"/>
          </m:rPr>
          <m:t>,</m:t>
        </m:r>
        <m:sSup>
          <m:e>
            <m:r>
              <m:t>Z</m:t>
            </m:r>
          </m:e>
          <m:sup>
            <m:r>
              <m:t>j</m:t>
            </m:r>
          </m:sup>
        </m:sSup>
        <m:r>
          <m:rPr>
            <m:sty m:val="p"/>
          </m:rPr>
          <m:t>(</m:t>
        </m:r>
        <m:sSup>
          <m:e>
            <m:r>
              <m:rPr>
                <m:sty m:val="bi"/>
              </m:rPr>
              <m:t>p</m:t>
            </m:r>
          </m:e>
          <m:sup>
            <m:r>
              <m:rPr>
                <m:sty m:val="p"/>
              </m:rPr>
              <m:t>*</m:t>
            </m:r>
          </m:sup>
        </m:sSup>
        <m:r>
          <m:rPr>
            <m:sty m:val="p"/>
          </m:rPr>
          <m:t>)</m:t>
        </m:r>
        <m:r>
          <m:rPr>
            <m:sty m:val="p"/>
          </m:rPr>
          <m:t>}</m:t>
        </m:r>
      </m:oMath>
      <w:r>
        <w:t xml:space="preserve">. Multiplicando por</w:t>
      </w:r>
      <w:r>
        <w:t xml:space="preserve"> </w:t>
      </w:r>
      <m:oMath>
        <m:sSup>
          <m:e>
            <m:r>
              <m:t>Z</m:t>
            </m:r>
          </m:e>
          <m:sup>
            <m:r>
              <m:t>k</m:t>
            </m:r>
          </m:sup>
        </m:sSup>
      </m:oMath>
      <w:r>
        <w:t xml:space="preserve"> </w:t>
      </w:r>
      <w:r>
        <w:t xml:space="preserve">e somando:</w:t>
      </w:r>
    </w:p>
    <w:p>
      <w:pPr>
        <w:pStyle w:val="BodyText"/>
      </w:pPr>
      <m:oMathPara>
        <m:oMathParaPr>
          <m:jc m:val="center"/>
        </m:oMathParaPr>
        <m:oMath>
          <m:r>
            <m:rPr>
              <m:sty m:val="p"/>
            </m:rPr>
            <m:t>Σ</m:t>
          </m:r>
          <m:nary>
            <m:naryPr>
              <m:chr m:val="∑"/>
              <m:limLoc m:val="undOvr"/>
              <m:subHide m:val="off"/>
              <m:supHide m:val="on"/>
            </m:naryPr>
            <m:sub>
              <m:r>
                <m:t>k</m:t>
              </m:r>
            </m:sub>
            <m:sup>
              <m:r>
                <m:t>​</m:t>
              </m:r>
            </m:sup>
            <m:e>
              <m:sSubSup>
                <m:e>
                  <m:r>
                    <m:t>p</m:t>
                  </m:r>
                </m:e>
                <m:sub>
                  <m:r>
                    <m:t>k</m:t>
                  </m:r>
                </m:sub>
                <m:sup>
                  <m:r>
                    <m:rPr>
                      <m:sty m:val="p"/>
                    </m:rPr>
                    <m:t>*</m:t>
                  </m:r>
                </m:sup>
              </m:sSubSup>
            </m:e>
          </m:nary>
          <m:sSup>
            <m:e>
              <m:r>
                <m:t>Z</m:t>
              </m:r>
            </m:e>
            <m:sup>
              <m:r>
                <m:t>k</m:t>
              </m:r>
            </m:sup>
          </m:sSup>
          <m:r>
            <m:rPr>
              <m:sty m:val="p"/>
            </m:rPr>
            <m:t>=</m:t>
          </m:r>
          <m:nary>
            <m:naryPr>
              <m:chr m:val="∑"/>
              <m:limLoc m:val="undOvr"/>
              <m:subHide m:val="off"/>
              <m:supHide m:val="on"/>
            </m:naryPr>
            <m:sub>
              <m:r>
                <m:t>k</m:t>
              </m:r>
            </m:sub>
            <m:sup>
              <m:r>
                <m:t>​</m:t>
              </m:r>
            </m:sup>
            <m:e>
              <m:sSup>
                <m:e>
                  <m:r>
                    <m:t>Z</m:t>
                  </m:r>
                </m:e>
                <m:sup>
                  <m:r>
                    <m:t>k</m:t>
                  </m:r>
                </m:sup>
              </m:sSup>
            </m:e>
          </m:nary>
          <m:r>
            <m:rPr>
              <m:sty m:val="p"/>
            </m:rPr>
            <m:t>max</m:t>
          </m:r>
          <m:r>
            <m:rPr>
              <m:sty m:val="p"/>
            </m:rPr>
            <m:t>{</m:t>
          </m:r>
          <m:r>
            <m:t>0</m:t>
          </m:r>
          <m:r>
            <m:rPr>
              <m:sty m:val="p"/>
            </m:rPr>
            <m:t>,</m:t>
          </m:r>
          <m:sSup>
            <m:e>
              <m:r>
                <m:t>Z</m:t>
              </m:r>
            </m:e>
            <m:sup>
              <m:r>
                <m:t>k</m:t>
              </m:r>
            </m:sup>
          </m:sSup>
          <m:r>
            <m:rPr>
              <m:sty m:val="p"/>
            </m:rPr>
            <m:t>}</m:t>
          </m:r>
        </m:oMath>
      </m:oMathPara>
    </w:p>
    <w:p>
      <w:pPr>
        <w:pStyle w:val="FirstParagraph"/>
      </w:pPr>
      <w:r>
        <w:t xml:space="preserve">Pela Lei de Walras, o lado esquerdo é zero. O lado direito é</w:t>
      </w:r>
      <w:r>
        <w:t xml:space="preserve"> </w:t>
      </w:r>
      <m:oMath>
        <m:nary>
          <m:naryPr>
            <m:chr m:val="∑"/>
            <m:limLoc m:val="undOvr"/>
            <m:subHide m:val="off"/>
            <m:supHide m:val="on"/>
          </m:naryPr>
          <m:sub>
            <m:r>
              <m:t>k</m:t>
            </m:r>
          </m:sub>
          <m:sup>
            <m:r>
              <m:t>​</m:t>
            </m:r>
          </m:sup>
          <m:e>
            <m:r>
              <m:rPr>
                <m:sty m:val="p"/>
              </m:rPr>
              <m:t>[</m:t>
            </m:r>
          </m:e>
        </m:nary>
        <m:sSup>
          <m:e>
            <m:r>
              <m:t>Z</m:t>
            </m:r>
          </m:e>
          <m:sup>
            <m:r>
              <m:t>k</m:t>
            </m:r>
          </m:sup>
        </m:sSup>
        <m:sSup>
          <m:e>
            <m:r>
              <m:rPr>
                <m:sty m:val="p"/>
              </m:rPr>
              <m:t>]</m:t>
            </m:r>
          </m:e>
          <m:sup>
            <m:r>
              <m:rPr>
                <m:sty m:val="p"/>
              </m:rPr>
              <m:t>+</m:t>
            </m:r>
          </m:sup>
        </m:sSup>
        <m:r>
          <m:rPr>
            <m:sty m:val="p"/>
          </m:rPr>
          <m:t>⋅</m:t>
        </m:r>
        <m:sSup>
          <m:e>
            <m:r>
              <m:t>Z</m:t>
            </m:r>
          </m:e>
          <m:sup>
            <m:r>
              <m:t>k</m:t>
            </m:r>
          </m:sup>
        </m:sSup>
        <m:r>
          <m:rPr>
            <m:sty m:val="p"/>
          </m:rPr>
          <m:t>≥</m:t>
        </m:r>
        <m:nary>
          <m:naryPr>
            <m:chr m:val="∑"/>
            <m:limLoc m:val="undOvr"/>
            <m:subHide m:val="off"/>
            <m:supHide m:val="on"/>
          </m:naryPr>
          <m:sub>
            <m:r>
              <m:t>k</m:t>
            </m:r>
          </m:sub>
          <m:sup>
            <m:r>
              <m:t>​</m:t>
            </m:r>
          </m:sup>
          <m:e>
            <m:r>
              <m:rPr>
                <m:sty m:val="p"/>
              </m:rPr>
              <m:t>(</m:t>
            </m:r>
          </m:e>
        </m:nary>
        <m:r>
          <m:rPr>
            <m:sty m:val="p"/>
          </m:rPr>
          <m:t>max</m:t>
        </m:r>
        <m:r>
          <m:rPr>
            <m:sty m:val="p"/>
          </m:rPr>
          <m:t>{</m:t>
        </m:r>
        <m:r>
          <m:t>0</m:t>
        </m:r>
        <m:r>
          <m:rPr>
            <m:sty m:val="p"/>
          </m:rPr>
          <m:t>,</m:t>
        </m:r>
        <m:sSup>
          <m:e>
            <m:r>
              <m:t>Z</m:t>
            </m:r>
          </m:e>
          <m:sup>
            <m:r>
              <m:t>k</m:t>
            </m:r>
          </m:sup>
        </m:sSup>
        <m:r>
          <m:rPr>
            <m:sty m:val="p"/>
          </m:rPr>
          <m:t>}</m:t>
        </m:r>
        <m:sSup>
          <m:e>
            <m:r>
              <m:rPr>
                <m:sty m:val="p"/>
              </m:rPr>
              <m:t>)</m:t>
            </m:r>
          </m:e>
          <m:sup>
            <m:r>
              <m:t>2</m:t>
            </m:r>
          </m:sup>
        </m:sSup>
        <m:r>
          <m:rPr>
            <m:sty m:val="p"/>
          </m:rPr>
          <m:t>≥</m:t>
        </m:r>
        <m:r>
          <m:t>0</m:t>
        </m:r>
      </m:oMath>
      <w:r>
        <w:t xml:space="preserve">. Como é igual a zero, cada termo é zero, logo</w:t>
      </w:r>
      <w:r>
        <w:t xml:space="preserve"> </w:t>
      </w:r>
      <m:oMath>
        <m:r>
          <m:rPr>
            <m:sty m:val="p"/>
          </m:rPr>
          <m:t>max</m:t>
        </m:r>
        <m:r>
          <m:rPr>
            <m:sty m:val="p"/>
          </m:rPr>
          <m:t>{</m:t>
        </m:r>
        <m:r>
          <m:t>0</m:t>
        </m:r>
        <m:r>
          <m:rPr>
            <m:sty m:val="p"/>
          </m:rPr>
          <m:t>,</m:t>
        </m:r>
        <m:sSup>
          <m:e>
            <m:r>
              <m:t>Z</m:t>
            </m:r>
          </m:e>
          <m:sup>
            <m:r>
              <m:t>k</m:t>
            </m:r>
          </m:sup>
        </m:sSup>
        <m:r>
          <m:rPr>
            <m:sty m:val="p"/>
          </m:rPr>
          <m:t>(</m:t>
        </m:r>
        <m:sSup>
          <m:e>
            <m:r>
              <m:rPr>
                <m:sty m:val="bi"/>
              </m:rPr>
              <m:t>p</m:t>
            </m:r>
          </m:e>
          <m:sup>
            <m:r>
              <m:rPr>
                <m:sty m:val="p"/>
              </m:rPr>
              <m:t>*</m:t>
            </m:r>
          </m:sup>
        </m:sSup>
        <m:r>
          <m:rPr>
            <m:sty m:val="p"/>
          </m:rPr>
          <m:t>)</m:t>
        </m:r>
        <m:r>
          <m:rPr>
            <m:sty m:val="p"/>
          </m:rPr>
          <m:t>}</m:t>
        </m:r>
        <m:r>
          <m:rPr>
            <m:sty m:val="p"/>
          </m:rPr>
          <m:t>=</m:t>
        </m:r>
        <m:r>
          <m:t>0</m:t>
        </m:r>
      </m:oMath>
      <w:r>
        <w:t xml:space="preserve"> </w:t>
      </w:r>
      <w:r>
        <w:t xml:space="preserve">para todo</w:t>
      </w:r>
      <w:r>
        <w:t xml:space="preserve"> </w:t>
      </w:r>
      <m:oMath>
        <m:r>
          <m:t>k</m:t>
        </m:r>
      </m:oMath>
      <w:r>
        <w:t xml:space="preserve">, ou seja,</w:t>
      </w:r>
      <w:r>
        <w:t xml:space="preserve"> </w:t>
      </w:r>
      <m:oMath>
        <m:sSup>
          <m:e>
            <m:r>
              <m:t>Z</m:t>
            </m:r>
          </m:e>
          <m:sup>
            <m:r>
              <m:t>k</m:t>
            </m:r>
          </m:sup>
        </m:sSup>
        <m:r>
          <m:rPr>
            <m:sty m:val="p"/>
          </m:rPr>
          <m:t>(</m:t>
        </m:r>
        <m:sSup>
          <m:e>
            <m:r>
              <m:rPr>
                <m:sty m:val="bi"/>
              </m:rPr>
              <m:t>p</m:t>
            </m:r>
          </m:e>
          <m:sup>
            <m:r>
              <m:rPr>
                <m:sty m:val="p"/>
              </m:rPr>
              <m:t>*</m:t>
            </m:r>
          </m:sup>
        </m:sSup>
        <m:r>
          <m:rPr>
            <m:sty m:val="p"/>
          </m:rPr>
          <m:t>)</m:t>
        </m:r>
        <m:r>
          <m:rPr>
            <m:sty m:val="p"/>
          </m:rPr>
          <m:t>≤</m:t>
        </m:r>
        <m:r>
          <m:t>0</m:t>
        </m:r>
      </m:oMath>
      <w:r>
        <w:t xml:space="preserve">. Para bens com</w:t>
      </w:r>
      <w:r>
        <w:t xml:space="preserve"> </w:t>
      </w:r>
      <m:oMath>
        <m:sSubSup>
          <m:e>
            <m:r>
              <m:t>p</m:t>
            </m:r>
          </m:e>
          <m:sub>
            <m:r>
              <m:t>k</m:t>
            </m:r>
          </m:sub>
          <m:sup>
            <m:r>
              <m:rPr>
                <m:sty m:val="p"/>
              </m:rPr>
              <m:t>*</m:t>
            </m:r>
          </m:sup>
        </m:sSubSup>
        <m:r>
          <m:rPr>
            <m:sty m:val="p"/>
          </m:rPr>
          <m:t>&gt;</m:t>
        </m:r>
        <m:r>
          <m:t>0</m:t>
        </m:r>
      </m:oMath>
      <w:r>
        <w:t xml:space="preserve">, a equação</w:t>
      </w:r>
      <w:r>
        <w:t xml:space="preserve"> </w:t>
      </w:r>
      <m:oMath>
        <m:sSubSup>
          <m:e>
            <m:r>
              <m:t>p</m:t>
            </m:r>
          </m:e>
          <m:sub>
            <m:r>
              <m:t>k</m:t>
            </m:r>
          </m:sub>
          <m:sup>
            <m:r>
              <m:rPr>
                <m:sty m:val="p"/>
              </m:rPr>
              <m:t>*</m:t>
            </m:r>
          </m:sup>
        </m:sSubSup>
        <m:r>
          <m:rPr>
            <m:sty m:val="p"/>
          </m:rPr>
          <m:t>Σ</m:t>
        </m:r>
        <m:r>
          <m:rPr>
            <m:sty m:val="p"/>
          </m:rPr>
          <m:t>=</m:t>
        </m:r>
        <m:r>
          <m:t>0</m:t>
        </m:r>
      </m:oMath>
      <w:r>
        <w:t xml:space="preserve"> </w:t>
      </w:r>
      <w:r>
        <w:t xml:space="preserve">com</w:t>
      </w:r>
      <w:r>
        <w:t xml:space="preserve"> </w:t>
      </w:r>
      <m:oMath>
        <m:r>
          <m:rPr>
            <m:sty m:val="p"/>
          </m:rPr>
          <m:t>Σ</m:t>
        </m:r>
        <m:r>
          <m:rPr>
            <m:sty m:val="p"/>
          </m:rPr>
          <m:t>=</m:t>
        </m:r>
        <m:r>
          <m:t>0</m:t>
        </m:r>
      </m:oMath>
      <w:r>
        <w:t xml:space="preserve"> </w:t>
      </w:r>
      <w:r>
        <w:t xml:space="preserve">é satisfeita. E se</w:t>
      </w:r>
      <w:r>
        <w:t xml:space="preserve"> </w:t>
      </w:r>
      <m:oMath>
        <m:sSup>
          <m:e>
            <m:r>
              <m:t>Z</m:t>
            </m:r>
          </m:e>
          <m:sup>
            <m:r>
              <m:t>k</m:t>
            </m:r>
          </m:sup>
        </m:sSup>
        <m:r>
          <m:rPr>
            <m:sty m:val="p"/>
          </m:rPr>
          <m:t>&lt;</m:t>
        </m:r>
        <m:r>
          <m:t>0</m:t>
        </m:r>
      </m:oMath>
      <w:r>
        <w:t xml:space="preserve"> </w:t>
      </w:r>
      <w:r>
        <w:t xml:space="preserve">com</w:t>
      </w:r>
      <w:r>
        <w:t xml:space="preserve"> </w:t>
      </w:r>
      <m:oMath>
        <m:sSubSup>
          <m:e>
            <m:r>
              <m:t>p</m:t>
            </m:r>
          </m:e>
          <m:sub>
            <m:r>
              <m:t>k</m:t>
            </m:r>
          </m:sub>
          <m:sup>
            <m:r>
              <m:rPr>
                <m:sty m:val="p"/>
              </m:rPr>
              <m:t>*</m:t>
            </m:r>
          </m:sup>
        </m:sSubSup>
        <m:r>
          <m:rPr>
            <m:sty m:val="p"/>
          </m:rPr>
          <m:t>&gt;</m:t>
        </m:r>
        <m:r>
          <m:t>0</m:t>
        </m:r>
      </m:oMath>
      <w:r>
        <w:t xml:space="preserve">, a Lei de Walras e a não saciedade garantem que isso não ocorre.</w:t>
      </w:r>
    </w:p>
    <w:p>
      <w:pPr>
        <w:pStyle w:val="BodyText"/>
      </w:pPr>
      <w:r>
        <w:t xml:space="preserve">Logo,</w:t>
      </w:r>
      <w:r>
        <w:t xml:space="preserve"> </w:t>
      </w:r>
      <m:oMath>
        <m:sSup>
          <m:e>
            <m:r>
              <m:rPr>
                <m:sty m:val="bi"/>
              </m:rPr>
              <m:t>p</m:t>
            </m:r>
          </m:e>
          <m:sup>
            <m:r>
              <m:rPr>
                <m:sty m:val="p"/>
              </m:rPr>
              <m:t>*</m:t>
            </m:r>
          </m:sup>
        </m:sSup>
      </m:oMath>
      <w:r>
        <w:t xml:space="preserve"> </w:t>
      </w:r>
      <w:r>
        <w:t xml:space="preserve">é um equilíbrio walrasiano.</w:t>
      </w:r>
      <w:r>
        <w:t xml:space="preserve"> </w:t>
      </w:r>
      <m:oMath>
        <m:r>
          <m:rPr>
            <m:sty m:val="p"/>
          </m:rPr>
          <m:t>◼</m:t>
        </m:r>
      </m:oMath>
    </w:p>
    <w:p>
      <w:pPr>
        <w:pStyle w:val="BlockText"/>
      </w:pPr>
      <w:r>
        <w:rPr>
          <w:b/>
          <w:bCs/>
        </w:rPr>
        <w:t xml:space="preserve">[TEOREMA] Existência do Equilíbrio Walrasiano (Arrow-Debreu, 1954)</w:t>
      </w:r>
    </w:p>
    <w:p>
      <w:pPr>
        <w:pStyle w:val="BlockText"/>
      </w:pPr>
      <w:r>
        <w:t xml:space="preserve">Considere uma economia de troca com</w:t>
      </w:r>
      <w:r>
        <w:t xml:space="preserve"> </w:t>
      </w:r>
      <m:oMath>
        <m:r>
          <m:t>I</m:t>
        </m:r>
      </m:oMath>
      <w:r>
        <w:t xml:space="preserve"> </w:t>
      </w:r>
      <w:r>
        <w:t xml:space="preserve">consumidores cujas preferências são contínuas, estritamente convexas e localmente não saciadas, e cujas dotações são estritamente positivas (</w:t>
      </w:r>
      <m:oMath>
        <m:sSub>
          <m:e>
            <m:r>
              <m:rPr>
                <m:sty m:val="bi"/>
              </m:rPr>
              <m:t>ω</m:t>
            </m:r>
          </m:e>
          <m:sub>
            <m:r>
              <m:t>i</m:t>
            </m:r>
          </m:sub>
        </m:sSub>
        <m:r>
          <m:rPr>
            <m:sty m:val="p"/>
          </m:rPr>
          <m:t>≫</m:t>
        </m:r>
        <m:r>
          <m:t>0</m:t>
        </m:r>
      </m:oMath>
      <w:r>
        <w:t xml:space="preserve">). Então existe pelo menos um equilíbrio walrasiano.</w:t>
      </w:r>
    </w:p>
    <w:p>
      <w:pPr>
        <w:pStyle w:val="BlockText"/>
      </w:pPr>
      <w:r>
        <w:rPr>
          <w:b/>
          <w:bCs/>
        </w:rPr>
        <w:t xml:space="preserve">Hipóteses-chave:</w:t>
      </w:r>
      <w:r>
        <w:t xml:space="preserve"> </w:t>
      </w:r>
      <w:r>
        <w:t xml:space="preserve">(i) preferências contínuas e estritamente convexas (garantem continuidade e unicidade das demandas individuais); (ii) não saciedade local (garante a Lei de Walras); (iii) dotações estritamente positivas (garante que cada consumidor pode comprar algo de cada bem, evitando</w:t>
      </w:r>
      <w:r>
        <w:t xml:space="preserve"> </w:t>
      </w:r>
      <w:r>
        <w:t xml:space="preserve">“armadilhas”</w:t>
      </w:r>
      <w:r>
        <w:t xml:space="preserve"> </w:t>
      </w:r>
      <w:r>
        <w:t xml:space="preserve">na fronteira do simplex).</w:t>
      </w:r>
    </w:p>
    <w:p>
      <w:pPr>
        <w:pStyle w:val="BlockText"/>
      </w:pPr>
      <w:r>
        <w:rPr>
          <w:b/>
          <w:bCs/>
        </w:rPr>
        <w:t xml:space="preserve">[BOX MUNDO] Prêmio Nobel e o Equilíbrio Geral</w:t>
      </w:r>
    </w:p>
    <w:p>
      <w:pPr>
        <w:pStyle w:val="BlockText"/>
      </w:pPr>
      <w:r>
        <w:rPr>
          <w:b/>
          <w:bCs/>
        </w:rPr>
        <w:t xml:space="preserve">Kenneth Arrow</w:t>
      </w:r>
      <w:r>
        <w:t xml:space="preserve"> </w:t>
      </w:r>
      <w:r>
        <w:t xml:space="preserve">(Nobel 1972) e</w:t>
      </w:r>
      <w:r>
        <w:t xml:space="preserve"> </w:t>
      </w:r>
      <w:r>
        <w:rPr>
          <w:b/>
          <w:bCs/>
        </w:rPr>
        <w:t xml:space="preserve">Gérard Debreu</w:t>
      </w:r>
      <w:r>
        <w:t xml:space="preserve"> </w:t>
      </w:r>
      <w:r>
        <w:t xml:space="preserve">(Nobel 1983) formalizaram a teoria do equilíbrio geral competitivo no artigo seminal</w:t>
      </w:r>
      <w:r>
        <w:t xml:space="preserve"> </w:t>
      </w:r>
      <w:r>
        <w:t xml:space="preserve">“Existence of an Equilibrium for a Competitive Economy”</w:t>
      </w:r>
      <w:r>
        <w:t xml:space="preserve"> </w:t>
      </w:r>
      <w:r>
        <w:t xml:space="preserve">(</w:t>
      </w:r>
      <w:r>
        <w:rPr>
          <w:i/>
          <w:iCs/>
        </w:rPr>
        <w:t xml:space="preserve">Econometrica</w:t>
      </w:r>
      <w:r>
        <w:t xml:space="preserve">, 1954). Arrow, um dos economistas mais versáteis do século XX, contribuiu também para escolha social, economia da saúde e teoria da informação. Debreu, matemático francês radicado nos EUA, trouxe um rigor axiomático sem precedentes à teoria econômica em seu livro</w:t>
      </w:r>
      <w:r>
        <w:t xml:space="preserve"> </w:t>
      </w:r>
      <w:r>
        <w:rPr>
          <w:i/>
          <w:iCs/>
        </w:rPr>
        <w:t xml:space="preserve">Theory of Value</w:t>
      </w:r>
      <w:r>
        <w:t xml:space="preserve"> </w:t>
      </w:r>
      <w:r>
        <w:t xml:space="preserve">(1959). Juntos, eles transformaram a intuição centenária de Walras — de que todos os mercados podem se equilibrar simultaneamente — em um teorema com hipóteses explícitas e demonstração rigorosa. Como escreveu Debreu, o objetivo não era provar que o mundo real é eficiente, mas sim</w:t>
      </w:r>
      <w:r>
        <w:t xml:space="preserve"> </w:t>
      </w:r>
      <w:r>
        <w:t xml:space="preserve">“identificar as condições precisas sob as quais a metáfora da mão invisível é justificada — e, por implicação, entender quando ela falha.”</w:t>
      </w:r>
    </w:p>
    <w:p>
      <w:pPr>
        <w:pStyle w:val="BlockText"/>
      </w:pPr>
      <w:r>
        <w:rPr>
          <w:b/>
          <w:bCs/>
        </w:rPr>
        <w:t xml:space="preserve">[EXERCICIO RESOLVIDO] Exercício Resolvido 14.7 — Equilíbrio com preferências CES</w:t>
      </w:r>
    </w:p>
    <w:p>
      <w:pPr>
        <w:pStyle w:val="BlockText"/>
      </w:pPr>
      <w:r>
        <w:rPr>
          <w:b/>
          <w:bCs/>
        </w:rPr>
        <w:t xml:space="preserve">Enunciado:</w:t>
      </w:r>
      <w:r>
        <w:t xml:space="preserve"> </w:t>
      </w:r>
      <w:r>
        <w:t xml:space="preserve">Considere uma economia de troca com 2 consumidores e 2 bens. Ambos têm preferências CES:</w:t>
      </w:r>
      <w:r>
        <w:t xml:space="preserve"> </w:t>
      </w:r>
      <m:oMath>
        <m:sSub>
          <m:e>
            <m:r>
              <m:t>U</m:t>
            </m:r>
          </m:e>
          <m:sub>
            <m:r>
              <m:t>i</m:t>
            </m:r>
          </m:sub>
        </m:sSub>
        <m:r>
          <m:rPr>
            <m:sty m:val="p"/>
          </m:rPr>
          <m:t>=</m:t>
        </m:r>
        <m:r>
          <m:rPr>
            <m:sty m:val="p"/>
          </m:rPr>
          <m:t>(</m:t>
        </m:r>
        <m:sSub>
          <m:e>
            <m:r>
              <m:t>a</m:t>
            </m:r>
          </m:e>
          <m:sub>
            <m:r>
              <m:t>i</m:t>
            </m:r>
          </m:sub>
        </m:sSub>
        <m:r>
          <m:rPr>
            <m:sty m:val="p"/>
          </m:rPr>
          <m:t>(</m:t>
        </m:r>
        <m:sSubSup>
          <m:e>
            <m:r>
              <m:t>x</m:t>
            </m:r>
          </m:e>
          <m:sub>
            <m:r>
              <m:t>1</m:t>
            </m:r>
          </m:sub>
          <m:sup>
            <m:r>
              <m:t>i</m:t>
            </m:r>
          </m:sup>
        </m:sSubSup>
        <m:sSup>
          <m:e>
            <m:r>
              <m:rPr>
                <m:sty m:val="p"/>
              </m:rPr>
              <m:t>)</m:t>
            </m:r>
          </m:e>
          <m:sup>
            <m:r>
              <m:t>ρ</m:t>
            </m:r>
          </m:sup>
        </m:sSup>
        <m:r>
          <m:rPr>
            <m:sty m:val="p"/>
          </m:rPr>
          <m:t>+</m:t>
        </m:r>
        <m:r>
          <m:rPr>
            <m:sty m:val="p"/>
          </m:rPr>
          <m:t>(</m:t>
        </m:r>
        <m:r>
          <m:t>1</m:t>
        </m:r>
        <m:r>
          <m:rPr>
            <m:sty m:val="p"/>
          </m:rPr>
          <m:t>−</m:t>
        </m:r>
        <m:sSub>
          <m:e>
            <m:r>
              <m:t>a</m:t>
            </m:r>
          </m:e>
          <m:sub>
            <m:r>
              <m:t>i</m:t>
            </m:r>
          </m:sub>
        </m:sSub>
        <m:r>
          <m:rPr>
            <m:sty m:val="p"/>
          </m:rPr>
          <m:t>)</m:t>
        </m:r>
        <m:r>
          <m:rPr>
            <m:sty m:val="p"/>
          </m:rPr>
          <m:t>(</m:t>
        </m:r>
        <m:sSubSup>
          <m:e>
            <m:r>
              <m:t>x</m:t>
            </m:r>
          </m:e>
          <m:sub>
            <m:r>
              <m:t>2</m:t>
            </m:r>
          </m:sub>
          <m:sup>
            <m:r>
              <m:t>i</m:t>
            </m:r>
          </m:sup>
        </m:sSubSup>
        <m:sSup>
          <m:e>
            <m:r>
              <m:rPr>
                <m:sty m:val="p"/>
              </m:rPr>
              <m:t>)</m:t>
            </m:r>
          </m:e>
          <m:sup>
            <m:r>
              <m:t>ρ</m:t>
            </m:r>
          </m:sup>
        </m:sSup>
        <m:sSup>
          <m:e>
            <m:r>
              <m:rPr>
                <m:sty m:val="p"/>
              </m:rPr>
              <m:t>)</m:t>
            </m:r>
          </m:e>
          <m:sup>
            <m:r>
              <m:t>1</m:t>
            </m:r>
            <m:r>
              <m:rPr>
                <m:sty m:val="p"/>
              </m:rPr>
              <m:t>/</m:t>
            </m:r>
            <m:r>
              <m:t>ρ</m:t>
            </m:r>
          </m:sup>
        </m:sSup>
      </m:oMath>
      <w:r>
        <w:t xml:space="preserve">, com</w:t>
      </w:r>
      <w:r>
        <w:t xml:space="preserve"> </w:t>
      </w:r>
      <m:oMath>
        <m:r>
          <m:t>ρ</m:t>
        </m:r>
        <m:r>
          <m:rPr>
            <m:sty m:val="p"/>
          </m:rPr>
          <m:t>=</m:t>
        </m:r>
        <m:r>
          <m:rPr>
            <m:sty m:val="p"/>
          </m:rPr>
          <m:t>−</m:t>
        </m:r>
        <m:r>
          <m:t>1</m:t>
        </m:r>
      </m:oMath>
      <w:r>
        <w:t xml:space="preserve"> </w:t>
      </w:r>
      <w:r>
        <w:t xml:space="preserve">(elasticidade de substituição</w:t>
      </w:r>
      <w:r>
        <w:t xml:space="preserve"> </w:t>
      </w:r>
      <m:oMath>
        <m:r>
          <m:t>σ</m:t>
        </m:r>
        <m:r>
          <m:rPr>
            <m:sty m:val="p"/>
          </m:rPr>
          <m:t>=</m:t>
        </m:r>
        <m:r>
          <m:t>1</m:t>
        </m:r>
        <m:r>
          <m:rPr>
            <m:sty m:val="p"/>
          </m:rPr>
          <m:t>/</m:t>
        </m:r>
        <m:r>
          <m:rPr>
            <m:sty m:val="p"/>
          </m:rPr>
          <m:t>(</m:t>
        </m:r>
        <m:r>
          <m:t>1</m:t>
        </m:r>
        <m:r>
          <m:rPr>
            <m:sty m:val="p"/>
          </m:rPr>
          <m:t>−</m:t>
        </m:r>
        <m:r>
          <m:t>ρ</m:t>
        </m:r>
        <m:r>
          <m:rPr>
            <m:sty m:val="p"/>
          </m:rPr>
          <m:t>)</m:t>
        </m:r>
        <m:r>
          <m:rPr>
            <m:sty m:val="p"/>
          </m:rPr>
          <m:t>=</m:t>
        </m:r>
        <m:r>
          <m:t>1</m:t>
        </m:r>
        <m:r>
          <m:rPr>
            <m:sty m:val="p"/>
          </m:rPr>
          <m:t>/</m:t>
        </m:r>
        <m:r>
          <m:t>2</m:t>
        </m:r>
      </m:oMath>
      <w:r>
        <w:t xml:space="preserve">). Parâmetros:</w:t>
      </w:r>
      <w:r>
        <w:t xml:space="preserve"> </w:t>
      </w:r>
      <m:oMath>
        <m:sSub>
          <m:e>
            <m:r>
              <m:t>a</m:t>
            </m:r>
          </m:e>
          <m:sub>
            <m:r>
              <m:t>A</m:t>
            </m:r>
          </m:sub>
        </m:sSub>
        <m:r>
          <m:rPr>
            <m:sty m:val="p"/>
          </m:rPr>
          <m:t>=</m:t>
        </m:r>
        <m:r>
          <m:t>0</m:t>
        </m:r>
        <m:r>
          <m:rPr>
            <m:sty m:val="p"/>
          </m:rPr>
          <m:t>,</m:t>
        </m:r>
        <m:r>
          <m:t>7</m:t>
        </m:r>
      </m:oMath>
      <w:r>
        <w:t xml:space="preserve">,</w:t>
      </w:r>
      <w:r>
        <w:t xml:space="preserve"> </w:t>
      </w:r>
      <m:oMath>
        <m:sSub>
          <m:e>
            <m:r>
              <m:t>a</m:t>
            </m:r>
          </m:e>
          <m:sub>
            <m:r>
              <m:t>B</m:t>
            </m:r>
          </m:sub>
        </m:sSub>
        <m:r>
          <m:rPr>
            <m:sty m:val="p"/>
          </m:rPr>
          <m:t>=</m:t>
        </m:r>
        <m:r>
          <m:t>0</m:t>
        </m:r>
        <m:r>
          <m:rPr>
            <m:sty m:val="p"/>
          </m:rPr>
          <m:t>,</m:t>
        </m:r>
        <m:r>
          <m:t>3</m:t>
        </m:r>
      </m:oMath>
      <w:r>
        <w:t xml:space="preserve">. Dotações:</w:t>
      </w:r>
      <w:r>
        <w:t xml:space="preserve"> </w:t>
      </w:r>
      <m:oMath>
        <m:sSub>
          <m:e>
            <m:r>
              <m:rPr>
                <m:sty m:val="bi"/>
              </m:rPr>
              <m:t>ω</m:t>
            </m:r>
          </m:e>
          <m:sub>
            <m:r>
              <m:t>A</m:t>
            </m:r>
          </m:sub>
        </m:sSub>
        <m:r>
          <m:rPr>
            <m:sty m:val="p"/>
          </m:rPr>
          <m:t>=</m:t>
        </m:r>
        <m:r>
          <m:rPr>
            <m:sty m:val="p"/>
          </m:rPr>
          <m:t>(</m:t>
        </m:r>
        <m:r>
          <m:t>6</m:t>
        </m:r>
        <m:r>
          <m:rPr>
            <m:sty m:val="p"/>
          </m:rPr>
          <m:t>,</m:t>
        </m:r>
        <m:r>
          <m:t>2</m:t>
        </m:r>
        <m:r>
          <m:rPr>
            <m:sty m:val="p"/>
          </m:rPr>
          <m:t>)</m:t>
        </m:r>
      </m:oMath>
      <w:r>
        <w:t xml:space="preserve">,</w:t>
      </w:r>
      <w:r>
        <w:t xml:space="preserve"> </w:t>
      </w:r>
      <m:oMath>
        <m:sSub>
          <m:e>
            <m:r>
              <m:rPr>
                <m:sty m:val="bi"/>
              </m:rPr>
              <m:t>ω</m:t>
            </m:r>
          </m:e>
          <m:sub>
            <m:r>
              <m:t>B</m:t>
            </m:r>
          </m:sub>
        </m:sSub>
        <m:r>
          <m:rPr>
            <m:sty m:val="p"/>
          </m:rPr>
          <m:t>=</m:t>
        </m:r>
        <m:r>
          <m:rPr>
            <m:sty m:val="p"/>
          </m:rPr>
          <m:t>(</m:t>
        </m:r>
        <m:r>
          <m:t>2</m:t>
        </m:r>
        <m:r>
          <m:rPr>
            <m:sty m:val="p"/>
          </m:rPr>
          <m:t>,</m:t>
        </m:r>
        <m:r>
          <m:t>6</m:t>
        </m:r>
        <m:r>
          <m:rPr>
            <m:sty m:val="p"/>
          </m:rPr>
          <m:t>)</m:t>
        </m:r>
      </m:oMath>
      <w:r>
        <w:t xml:space="preserve">.</w:t>
      </w:r>
    </w:p>
    <w:p>
      <w:pPr>
        <w:pStyle w:val="BlockText"/>
      </w:pPr>
      <w:r>
        <w:rPr>
          <w:b/>
          <w:bCs/>
        </w:rPr>
        <w:t xml:space="preserve">(a)</w:t>
      </w:r>
      <w:r>
        <w:t xml:space="preserve"> </w:t>
      </w:r>
      <w:r>
        <w:t xml:space="preserve">Derive as demandas individuais.</w:t>
      </w:r>
    </w:p>
    <w:p>
      <w:pPr>
        <w:pStyle w:val="BlockText"/>
      </w:pPr>
      <w:r>
        <w:rPr>
          <w:b/>
          <w:bCs/>
        </w:rPr>
        <w:t xml:space="preserve">(b)</w:t>
      </w:r>
      <w:r>
        <w:t xml:space="preserve"> </w:t>
      </w:r>
      <w:r>
        <w:t xml:space="preserve">Encontre o equilíbrio walrasiano numericamente.</w:t>
      </w:r>
    </w:p>
    <w:p>
      <w:r>
        <w:pict>
          <v:rect style="width:0;height:1.5pt" o:hralign="center" o:hrstd="t" o:hr="t"/>
        </w:pict>
      </w:r>
    </w:p>
    <w:p>
      <w:pPr>
        <w:pStyle w:val="BlockText"/>
      </w:pPr>
      <w:r>
        <w:rPr>
          <w:b/>
          <w:bCs/>
        </w:rPr>
        <w:t xml:space="preserve">Solução:</w:t>
      </w:r>
    </w:p>
    <w:p>
      <w:pPr>
        <w:pStyle w:val="BlockText"/>
      </w:pPr>
      <w:r>
        <w:rPr>
          <w:b/>
          <w:bCs/>
        </w:rPr>
        <w:t xml:space="preserve">(a)</w:t>
      </w:r>
      <w:r>
        <w:t xml:space="preserve"> </w:t>
      </w:r>
      <w:r>
        <w:t xml:space="preserve">Com CES e</w:t>
      </w:r>
      <w:r>
        <w:t xml:space="preserve"> </w:t>
      </w:r>
      <m:oMath>
        <m:r>
          <m:t>ρ</m:t>
        </m:r>
        <m:r>
          <m:rPr>
            <m:sty m:val="p"/>
          </m:rPr>
          <m:t>=</m:t>
        </m:r>
        <m:r>
          <m:rPr>
            <m:sty m:val="p"/>
          </m:rPr>
          <m:t>−</m:t>
        </m:r>
        <m:r>
          <m:t>1</m:t>
        </m:r>
      </m:oMath>
      <w:r>
        <w:t xml:space="preserve">, a função de utilidade indireta gera demandas:</w:t>
      </w:r>
    </w:p>
    <w:p>
      <w:pPr>
        <w:pStyle w:val="BlockText"/>
      </w:pPr>
      <w:r>
        <w:t xml:space="preserve">$$</w:t>
      </w:r>
    </w:p>
    <w:p>
      <w:pPr>
        <w:pStyle w:val="BlockText"/>
      </w:pPr>
      <w:r>
        <w:t xml:space="preserve">x_1^i =</w:t>
      </w:r>
      <w:r>
        <w:t xml:space="preserve"> </w:t>
      </w:r>
      <w:r>
        <w:t xml:space="preserve"> </w:t>
      </w:r>
      <w:r>
        <w:t xml:space="preserve">I_i</w:t>
      </w:r>
    </w:p>
    <w:p>
      <w:pPr>
        <w:pStyle w:val="BlockText"/>
      </w:pPr>
      <w:r>
        <w:t xml:space="preserve">$$</w:t>
      </w:r>
    </w:p>
    <w:p>
      <w:pPr>
        <w:pStyle w:val="BlockText"/>
      </w:pPr>
      <w:r>
        <w:t xml:space="preserve">Com</w:t>
      </w:r>
      <w:r>
        <w:t xml:space="preserve"> </w:t>
      </w:r>
      <m:oMath>
        <m:r>
          <m:t>σ</m:t>
        </m:r>
        <m:r>
          <m:rPr>
            <m:sty m:val="p"/>
          </m:rPr>
          <m:t>=</m:t>
        </m:r>
        <m:r>
          <m:t>1</m:t>
        </m:r>
        <m:r>
          <m:rPr>
            <m:sty m:val="p"/>
          </m:rPr>
          <m:t>/</m:t>
        </m:r>
        <m:r>
          <m:t>2</m:t>
        </m:r>
      </m:oMath>
      <w:r>
        <w:t xml:space="preserve">:</w:t>
      </w:r>
      <w:r>
        <w:t xml:space="preserve"> </w:t>
      </w:r>
      <m:oMath>
        <m:sSubSup>
          <m:e>
            <m:r>
              <m:t>x</m:t>
            </m:r>
          </m:e>
          <m:sub>
            <m:r>
              <m:t>1</m:t>
            </m:r>
          </m:sub>
          <m:sup>
            <m:r>
              <m:t>i</m:t>
            </m:r>
          </m:sup>
        </m:sSubSup>
        <m:r>
          <m:rPr>
            <m:sty m:val="p"/>
          </m:rPr>
          <m:t>=</m:t>
        </m:r>
        <m:f>
          <m:fPr>
            <m:type m:val="bar"/>
          </m:fPr>
          <m:num>
            <m:rad>
              <m:radPr>
                <m:degHide m:val="on"/>
              </m:radPr>
              <m:deg/>
              <m:e>
                <m:sSub>
                  <m:e>
                    <m:r>
                      <m:t>a</m:t>
                    </m:r>
                  </m:e>
                  <m:sub>
                    <m:r>
                      <m:t>i</m:t>
                    </m:r>
                  </m:sub>
                </m:sSub>
              </m:e>
            </m:rad>
            <m:r>
              <m:rPr>
                <m:sty m:val="p"/>
              </m:rPr>
              <m:t>/</m:t>
            </m:r>
            <m:rad>
              <m:radPr>
                <m:degHide m:val="on"/>
              </m:radPr>
              <m:deg/>
              <m:e>
                <m:sSub>
                  <m:e>
                    <m:r>
                      <m:t>p</m:t>
                    </m:r>
                  </m:e>
                  <m:sub>
                    <m:r>
                      <m:t>1</m:t>
                    </m:r>
                  </m:sub>
                </m:sSub>
              </m:e>
            </m:rad>
          </m:num>
          <m:den>
            <m:rad>
              <m:radPr>
                <m:degHide m:val="on"/>
              </m:radPr>
              <m:deg/>
              <m:e>
                <m:sSub>
                  <m:e>
                    <m:r>
                      <m:t>a</m:t>
                    </m:r>
                  </m:e>
                  <m:sub>
                    <m:r>
                      <m:t>i</m:t>
                    </m:r>
                  </m:sub>
                </m:sSub>
              </m:e>
            </m:rad>
            <m:rad>
              <m:radPr>
                <m:degHide m:val="on"/>
              </m:radPr>
              <m:deg/>
              <m:e>
                <m:sSub>
                  <m:e>
                    <m:r>
                      <m:t>p</m:t>
                    </m:r>
                  </m:e>
                  <m:sub>
                    <m:r>
                      <m:t>1</m:t>
                    </m:r>
                  </m:sub>
                </m:sSub>
              </m:e>
            </m:rad>
            <m:r>
              <m:rPr>
                <m:sty m:val="p"/>
              </m:rPr>
              <m:t>+</m:t>
            </m:r>
            <m:rad>
              <m:radPr>
                <m:degHide m:val="on"/>
              </m:radPr>
              <m:deg/>
              <m:e>
                <m:r>
                  <m:t>1</m:t>
                </m:r>
                <m:r>
                  <m:rPr>
                    <m:sty m:val="p"/>
                  </m:rPr>
                  <m:t>−</m:t>
                </m:r>
                <m:sSub>
                  <m:e>
                    <m:r>
                      <m:t>a</m:t>
                    </m:r>
                  </m:e>
                  <m:sub>
                    <m:r>
                      <m:t>i</m:t>
                    </m:r>
                  </m:sub>
                </m:sSub>
              </m:e>
            </m:rad>
            <m:rad>
              <m:radPr>
                <m:degHide m:val="on"/>
              </m:radPr>
              <m:deg/>
              <m:e>
                <m:sSub>
                  <m:e>
                    <m:r>
                      <m:t>p</m:t>
                    </m:r>
                  </m:e>
                  <m:sub>
                    <m:r>
                      <m:t>2</m:t>
                    </m:r>
                  </m:sub>
                </m:sSub>
              </m:e>
            </m:rad>
          </m:den>
        </m:f>
        <m:r>
          <m:rPr>
            <m:sty m:val="p"/>
          </m:rPr>
          <m:t>⋅</m:t>
        </m:r>
        <m:sSub>
          <m:e>
            <m:r>
              <m:t>I</m:t>
            </m:r>
          </m:e>
          <m:sub>
            <m:r>
              <m:t>i</m:t>
            </m:r>
          </m:sub>
        </m:sSub>
      </m:oMath>
      <w:r>
        <w:t xml:space="preserve">.</w:t>
      </w:r>
    </w:p>
    <w:p>
      <w:pPr>
        <w:pStyle w:val="BlockText"/>
      </w:pPr>
      <w:r>
        <w:t xml:space="preserve">Normalizando</w:t>
      </w:r>
      <w:r>
        <w:t xml:space="preserve"> </w:t>
      </w:r>
      <m:oMath>
        <m:sSub>
          <m:e>
            <m:r>
              <m:t>p</m:t>
            </m:r>
          </m:e>
          <m:sub>
            <m:r>
              <m:t>2</m:t>
            </m:r>
          </m:sub>
        </m:sSub>
        <m:r>
          <m:rPr>
            <m:sty m:val="p"/>
          </m:rPr>
          <m:t>=</m:t>
        </m:r>
        <m:r>
          <m:t>1</m:t>
        </m:r>
      </m:oMath>
      <w:r>
        <w:t xml:space="preserve">, seja</w:t>
      </w:r>
      <w:r>
        <w:t xml:space="preserve"> </w:t>
      </w:r>
      <m:oMath>
        <m:r>
          <m:t>p</m:t>
        </m:r>
        <m:r>
          <m:rPr>
            <m:sty m:val="p"/>
          </m:rPr>
          <m:t>=</m:t>
        </m:r>
        <m:sSub>
          <m:e>
            <m:r>
              <m:t>p</m:t>
            </m:r>
          </m:e>
          <m:sub>
            <m:r>
              <m:t>1</m:t>
            </m:r>
          </m:sub>
        </m:sSub>
      </m:oMath>
      <w:r>
        <w:t xml:space="preserve">:</w:t>
      </w:r>
    </w:p>
    <w:p>
      <w:pPr>
        <w:pStyle w:val="BlockText"/>
      </w:pPr>
      <w:r>
        <w:t xml:space="preserve">$$</w:t>
      </w:r>
    </w:p>
    <w:p>
      <w:pPr>
        <w:pStyle w:val="BlockText"/>
      </w:pPr>
      <w:r>
        <w:t xml:space="preserve">x_1^A =</w:t>
      </w:r>
      <w:r>
        <w:t xml:space="preserve"> </w:t>
      </w:r>
      <w:r>
        <w:t xml:space="preserve"> </w:t>
      </w:r>
      <w:r>
        <w:t xml:space="preserve">(6p + 2),</w:t>
      </w:r>
      <w:r>
        <w:t xml:space="preserve"> </w:t>
      </w:r>
      <w:r>
        <w:t xml:space="preserve">x_1^B =</w:t>
      </w:r>
      <w:r>
        <w:t xml:space="preserve"> </w:t>
      </w:r>
      <w:r>
        <w:t xml:space="preserve"> </w:t>
      </w:r>
      <w:r>
        <w:t xml:space="preserve">(2p + 6)</w:t>
      </w:r>
    </w:p>
    <w:p>
      <w:pPr>
        <w:pStyle w:val="BlockText"/>
      </w:pPr>
      <w:r>
        <w:t xml:space="preserve">$$</w:t>
      </w:r>
    </w:p>
    <w:p>
      <w:pPr>
        <w:pStyle w:val="BlockText"/>
      </w:pPr>
      <w:r>
        <w:rPr>
          <w:b/>
          <w:bCs/>
        </w:rPr>
        <w:t xml:space="preserve">(b)</w:t>
      </w:r>
      <w:r>
        <w:t xml:space="preserve"> </w:t>
      </w:r>
      <w:r>
        <w:t xml:space="preserve">A equação de equilíbrio</w:t>
      </w:r>
      <w:r>
        <w:t xml:space="preserve"> </w:t>
      </w:r>
      <m:oMath>
        <m:sSubSup>
          <m:e>
            <m:r>
              <m:t>x</m:t>
            </m:r>
          </m:e>
          <m:sub>
            <m:r>
              <m:t>1</m:t>
            </m:r>
          </m:sub>
          <m:sup>
            <m:r>
              <m:t>A</m:t>
            </m:r>
          </m:sup>
        </m:sSubSup>
        <m:r>
          <m:rPr>
            <m:sty m:val="p"/>
          </m:rPr>
          <m:t>(</m:t>
        </m:r>
        <m:r>
          <m:t>p</m:t>
        </m:r>
        <m:r>
          <m:rPr>
            <m:sty m:val="p"/>
          </m:rPr>
          <m:t>)</m:t>
        </m:r>
        <m:r>
          <m:rPr>
            <m:sty m:val="p"/>
          </m:rPr>
          <m:t>+</m:t>
        </m:r>
        <m:sSubSup>
          <m:e>
            <m:r>
              <m:t>x</m:t>
            </m:r>
          </m:e>
          <m:sub>
            <m:r>
              <m:t>1</m:t>
            </m:r>
          </m:sub>
          <m:sup>
            <m:r>
              <m:t>B</m:t>
            </m:r>
          </m:sup>
        </m:sSubSup>
        <m:r>
          <m:rPr>
            <m:sty m:val="p"/>
          </m:rPr>
          <m:t>(</m:t>
        </m:r>
        <m:r>
          <m:t>p</m:t>
        </m:r>
        <m:r>
          <m:rPr>
            <m:sty m:val="p"/>
          </m:rPr>
          <m:t>)</m:t>
        </m:r>
        <m:r>
          <m:rPr>
            <m:sty m:val="p"/>
          </m:rPr>
          <m:t>=</m:t>
        </m:r>
        <m:r>
          <m:t>8</m:t>
        </m:r>
      </m:oMath>
      <w:r>
        <w:t xml:space="preserve"> </w:t>
      </w:r>
      <w:r>
        <w:t xml:space="preserve">não tem solução analítica fechada para CES genérica. Resolvendo numericamente (ver WebR 14.4), obtém-se</w:t>
      </w:r>
      <w:r>
        <w:t xml:space="preserve"> </w:t>
      </w:r>
      <m:oMath>
        <m:sSup>
          <m:e>
            <m:r>
              <m:t>p</m:t>
            </m:r>
          </m:e>
          <m:sup>
            <m:r>
              <m:rPr>
                <m:sty m:val="p"/>
              </m:rPr>
              <m:t>*</m:t>
            </m:r>
          </m:sup>
        </m:sSup>
        <m:r>
          <m:rPr>
            <m:sty m:val="p"/>
          </m:rPr>
          <m:t>≈</m:t>
        </m:r>
        <m:r>
          <m:t>0</m:t>
        </m:r>
        <m:r>
          <m:rPr>
            <m:sty m:val="p"/>
          </m:rPr>
          <m:t>,</m:t>
        </m:r>
        <m:r>
          <m:t>846</m:t>
        </m:r>
      </m:oMath>
      <w:r>
        <w:t xml:space="preserve">.</w:t>
      </w:r>
    </w:p>
    <w:p>
      <w:pPr>
        <w:pStyle w:val="BlockText"/>
      </w:pPr>
      <w:r>
        <w:t xml:space="preserve">A alocação de equilíbrio é aproximadamente:</w:t>
      </w:r>
      <w:r>
        <w:t xml:space="preserve"> </w:t>
      </w:r>
      <m:oMath>
        <m:sSubSup>
          <m:e>
            <m:r>
              <m:t>x</m:t>
            </m:r>
          </m:e>
          <m:sub>
            <m:r>
              <m:t>1</m:t>
            </m:r>
          </m:sub>
          <m:sup>
            <m:r>
              <m:t>A</m:t>
            </m:r>
          </m:sup>
        </m:sSubSup>
        <m:r>
          <m:rPr>
            <m:sty m:val="p"/>
          </m:rPr>
          <m:t>≈</m:t>
        </m:r>
        <m:r>
          <m:t>5</m:t>
        </m:r>
        <m:r>
          <m:rPr>
            <m:sty m:val="p"/>
          </m:rPr>
          <m:t>,</m:t>
        </m:r>
        <m:r>
          <m:t>28</m:t>
        </m:r>
      </m:oMath>
      <w:r>
        <w:t xml:space="preserve">,</w:t>
      </w:r>
      <w:r>
        <w:t xml:space="preserve"> </w:t>
      </w:r>
      <m:oMath>
        <m:sSubSup>
          <m:e>
            <m:r>
              <m:t>x</m:t>
            </m:r>
          </m:e>
          <m:sub>
            <m:r>
              <m:t>2</m:t>
            </m:r>
          </m:sub>
          <m:sup>
            <m:r>
              <m:t>A</m:t>
            </m:r>
          </m:sup>
        </m:sSubSup>
        <m:r>
          <m:rPr>
            <m:sty m:val="p"/>
          </m:rPr>
          <m:t>≈</m:t>
        </m:r>
        <m:r>
          <m:t>3</m:t>
        </m:r>
        <m:r>
          <m:rPr>
            <m:sty m:val="p"/>
          </m:rPr>
          <m:t>,</m:t>
        </m:r>
        <m:r>
          <m:t>53</m:t>
        </m:r>
      </m:oMath>
      <w:r>
        <w:t xml:space="preserve">;</w:t>
      </w:r>
      <w:r>
        <w:t xml:space="preserve"> </w:t>
      </w:r>
      <m:oMath>
        <m:sSubSup>
          <m:e>
            <m:r>
              <m:t>x</m:t>
            </m:r>
          </m:e>
          <m:sub>
            <m:r>
              <m:t>1</m:t>
            </m:r>
          </m:sub>
          <m:sup>
            <m:r>
              <m:t>B</m:t>
            </m:r>
          </m:sup>
        </m:sSubSup>
        <m:r>
          <m:rPr>
            <m:sty m:val="p"/>
          </m:rPr>
          <m:t>≈</m:t>
        </m:r>
        <m:r>
          <m:t>2</m:t>
        </m:r>
        <m:r>
          <m:rPr>
            <m:sty m:val="p"/>
          </m:rPr>
          <m:t>,</m:t>
        </m:r>
        <m:r>
          <m:t>72</m:t>
        </m:r>
      </m:oMath>
      <w:r>
        <w:t xml:space="preserve">,</w:t>
      </w:r>
      <w:r>
        <w:t xml:space="preserve"> </w:t>
      </w:r>
      <m:oMath>
        <m:sSubSup>
          <m:e>
            <m:r>
              <m:t>x</m:t>
            </m:r>
          </m:e>
          <m:sub>
            <m:r>
              <m:t>2</m:t>
            </m:r>
          </m:sub>
          <m:sup>
            <m:r>
              <m:t>B</m:t>
            </m:r>
          </m:sup>
        </m:sSubSup>
        <m:r>
          <m:rPr>
            <m:sty m:val="p"/>
          </m:rPr>
          <m:t>≈</m:t>
        </m:r>
        <m:r>
          <m:t>4</m:t>
        </m:r>
        <m:r>
          <m:rPr>
            <m:sty m:val="p"/>
          </m:rPr>
          <m:t>,</m:t>
        </m:r>
        <m:r>
          <m:t>47</m:t>
        </m:r>
      </m:oMath>
      <w:r>
        <w:t xml:space="preserve">. Ambos os consumidores melhoram em relação às dotações iniciais — ganhos de troca realizados pelo mecanismo de preços.</w:t>
      </w:r>
    </w:p>
    <w:p>
      <w:pPr>
        <w:pStyle w:val="FirstParagraph"/>
      </w:pPr>
      <w:r>
        <w:rPr>
          <w:b/>
          <w:bCs/>
        </w:rPr>
        <w:t xml:space="preserve">WebR 14.4 — Existência do equilíbrio: vendo Brouwer em ação.</w:t>
      </w:r>
      <w:r>
        <w:t xml:space="preserve"> </w:t>
      </w:r>
      <w:r>
        <w:t xml:space="preserve">O código resolve numericamente o equilíbrio para o ER 14.7 com preferências CES. O gráfico mostra a função</w:t>
      </w:r>
      <w:r>
        <w:t xml:space="preserve"> </w:t>
      </w:r>
      <m:oMath>
        <m:r>
          <m:t>g</m:t>
        </m:r>
        <m:r>
          <m:rPr>
            <m:sty m:val="p"/>
          </m:rPr>
          <m:t>(</m:t>
        </m:r>
        <m:r>
          <m:t>p</m:t>
        </m:r>
        <m:r>
          <m:rPr>
            <m:sty m:val="p"/>
          </m:rPr>
          <m:t>)</m:t>
        </m:r>
      </m:oMath>
      <w:r>
        <w:t xml:space="preserve"> </w:t>
      </w:r>
      <w:r>
        <w:t xml:space="preserve">do algoritmo de ajuste de preços e a diagonal — o ponto fixo (onde</w:t>
      </w:r>
      <w:r>
        <w:t xml:space="preserve"> </w:t>
      </w:r>
      <m:oMath>
        <m:r>
          <m:t>g</m:t>
        </m:r>
        <m:r>
          <m:rPr>
            <m:sty m:val="p"/>
          </m:rPr>
          <m:t>(</m:t>
        </m:r>
        <m:r>
          <m:t>p</m:t>
        </m:r>
        <m:r>
          <m:rPr>
            <m:sty m:val="p"/>
          </m:rPr>
          <m:t>)</m:t>
        </m:r>
        <m:r>
          <m:rPr>
            <m:sty m:val="p"/>
          </m:rPr>
          <m:t>=</m:t>
        </m:r>
        <m:r>
          <m:t>p</m:t>
        </m:r>
      </m:oMath>
      <w:r>
        <w:t xml:space="preserve">) é o equilíbrio. Altere</w:t>
      </w:r>
      <w:r>
        <w:t xml:space="preserve"> </w:t>
      </w:r>
      <m:oMath>
        <m:r>
          <m:t>ρ</m:t>
        </m:r>
      </m:oMath>
      <w:r>
        <w:t xml:space="preserve"> </w:t>
      </w:r>
      <w:r>
        <w:t xml:space="preserve">para ver como a elasticidade de substituição afeta o preço de equilíbrio: quando</w:t>
      </w:r>
      <w:r>
        <w:t xml:space="preserve"> </w:t>
      </w:r>
      <m:oMath>
        <m:r>
          <m:t>ρ</m:t>
        </m:r>
        <m:r>
          <m:rPr>
            <m:sty m:val="p"/>
          </m:rPr>
          <m:t>→</m:t>
        </m:r>
        <m:r>
          <m:t>0</m:t>
        </m:r>
      </m:oMath>
      <w:r>
        <w:t xml:space="preserve"> </w:t>
      </w:r>
      <w:r>
        <w:t xml:space="preserve">(Cobb-Douglas), o equilíbrio converge ao caso analítico; quando</w:t>
      </w:r>
      <w:r>
        <w:t xml:space="preserve"> </w:t>
      </w:r>
      <m:oMath>
        <m:r>
          <m:t>ρ</m:t>
        </m:r>
        <m:r>
          <m:rPr>
            <m:sty m:val="p"/>
          </m:rPr>
          <m:t>→</m:t>
        </m:r>
        <m:r>
          <m:rPr>
            <m:sty m:val="p"/>
          </m:rPr>
          <m:t>−</m:t>
        </m:r>
        <m:r>
          <m:rPr>
            <m:sty m:val="p"/>
          </m:rPr>
          <m:t>∞</m:t>
        </m:r>
      </m:oMath>
      <w:r>
        <w:t xml:space="preserve"> </w:t>
      </w:r>
      <w:r>
        <w:t xml:space="preserve">(Leontief), os preços se ajustam mais drasticamente.</w:t>
      </w:r>
    </w:p>
    <w:p>
      <w:pPr>
        <w:pStyle w:val="BodyText"/>
      </w:pPr>
      <w:r>
        <w:t xml:space="preserve">[FIGURA INTERATIVA: /micro-book/graficos/cap14/webr-existencia.html — versao interativa disponivel online]</w:t>
      </w:r>
    </w:p>
    <w:p>
      <w:pPr>
        <w:pStyle w:val="BodyText"/>
      </w:pPr>
      <w:r>
        <w:rPr>
          <w:b/>
          <w:bCs/>
        </w:rPr>
        <w:t xml:space="preserve">WebR 14.4 — Existência do equilíbrio: vendo Brouwer em ação.</w:t>
      </w:r>
      <w:r>
        <w:t xml:space="preserve"> </w:t>
      </w:r>
      <w:r>
        <w:t xml:space="preserve">Resolução numérica do equilíbrio com preferências CES. Altere</w:t>
      </w:r>
      <w:r>
        <w:t xml:space="preserve"> </w:t>
      </w:r>
      <m:oMath>
        <m:r>
          <m:t>ρ</m:t>
        </m:r>
      </m:oMath>
      <w:r>
        <w:t xml:space="preserve"> </w:t>
      </w:r>
      <w:r>
        <w:t xml:space="preserve">para explorar diferentes elasticidades de substituição.</w:t>
      </w:r>
    </w:p>
    <w:p>
      <w:pPr>
        <w:pStyle w:val="BlockText"/>
      </w:pPr>
      <w:r>
        <w:rPr>
          <w:b/>
          <w:bCs/>
        </w:rPr>
        <w:t xml:space="preserve">[BOX MUNDO] A Reunificação Alemã como Experimento de Equilíbrio Geral</w:t>
      </w:r>
    </w:p>
    <w:p>
      <w:pPr>
        <w:pStyle w:val="BlockText"/>
      </w:pPr>
      <w:r>
        <w:t xml:space="preserve">A reunificação da Alemanha em 1990 oferece um caso notável de</w:t>
      </w:r>
      <w:r>
        <w:t xml:space="preserve"> </w:t>
      </w:r>
      <w:r>
        <w:t xml:space="preserve">“choque de equilíbrio geral”</w:t>
      </w:r>
      <w:r>
        <w:t xml:space="preserve">. Duas economias com preços relativos, estruturas produtivas e dotações de fatores radicalmente diferentes foram subitamente integradas. A conversão do marco oriental a uma taxa artificialmente elevada (1:1 para salários) criou desemprego massivo no Leste, pois a produtividade não justificava os novos salários. A migração de trabalhadores do Leste para o Oeste pressionou salários e mercados imobiliários ocidentais. Os subsídios de transição (Solidaritätszuschlag) redistribuíram renda entre regiões — uma aplicação forçada do Segundo Teorema do Bem-Estar. Akerlof et al. (1991,</w:t>
      </w:r>
      <w:r>
        <w:t xml:space="preserve"> </w:t>
      </w:r>
      <w:r>
        <w:t xml:space="preserve">“East Germany in from the Cold: The Economic Aftermath of Currency Union”</w:t>
      </w:r>
      <w:r>
        <w:t xml:space="preserve">,</w:t>
      </w:r>
      <w:r>
        <w:t xml:space="preserve"> </w:t>
      </w:r>
      <w:r>
        <w:rPr>
          <w:i/>
          <w:iCs/>
        </w:rPr>
        <w:t xml:space="preserve">Brookings Papers on Economic Activity</w:t>
      </w:r>
      <w:r>
        <w:t xml:space="preserve">) documentaram que a análise de equilíbrio parcial seria completamente inadequada para entender as consequências da reunificação — os efeitos cruzados entre mercados de trabalho, bens, capital e câmbio eram o fenômeno central.</w:t>
      </w:r>
    </w:p>
    <w:p>
      <w:r>
        <w:pict>
          <v:rect style="width:0;height:1.5pt" o:hralign="center" o:hrstd="t" o:hr="t"/>
        </w:pict>
      </w:r>
    </w:p>
    <w:bookmarkEnd w:id="883"/>
    <w:bookmarkEnd w:id="884"/>
    <w:bookmarkStart w:id="886" w:name="Xd93c9b0486a80bc7b6909df5440d0c190eccd4e"/>
    <w:p>
      <w:pPr>
        <w:pStyle w:val="Heading3"/>
      </w:pPr>
      <w:r>
        <w:t xml:space="preserve">14.10 Quando Alguém Precisa Fabricar: Produção e Troca</w:t>
      </w:r>
    </w:p>
    <w:p>
      <w:pPr>
        <w:pStyle w:val="FirstParagraph"/>
      </w:pPr>
      <w:r>
        <w:t xml:space="preserve">Até aqui, analisamos uma economia de troca pura — os bens existem como dotações e os consumidores apenas os redistribuem. Mas na maioria das economias, os bens precisam ser</w:t>
      </w:r>
      <w:r>
        <w:t xml:space="preserve"> </w:t>
      </w:r>
      <w:r>
        <w:rPr>
          <w:i/>
          <w:iCs/>
        </w:rPr>
        <w:t xml:space="preserve">produzidos</w:t>
      </w:r>
      <w:r>
        <w:t xml:space="preserve">. A extensão do modelo para incluir firmas é conceitualmente direta, embora adicione novas condições de equilíbrio.</w:t>
      </w:r>
    </w:p>
    <w:bookmarkStart w:id="885" w:name="economia-com-produção"/>
    <w:p>
      <w:pPr>
        <w:pStyle w:val="Heading4"/>
      </w:pPr>
      <w:r>
        <w:t xml:space="preserve">Economia com produção</w:t>
      </w:r>
    </w:p>
    <w:p>
      <w:pPr>
        <w:pStyle w:val="FirstParagraph"/>
      </w:pPr>
      <w:r>
        <w:t xml:space="preserve">Considere agora uma economia com</w:t>
      </w:r>
      <w:r>
        <w:t xml:space="preserve"> </w:t>
      </w:r>
      <m:oMath>
        <m:r>
          <m:t>I</m:t>
        </m:r>
      </m:oMath>
      <w:r>
        <w:t xml:space="preserve"> </w:t>
      </w:r>
      <w:r>
        <w:t xml:space="preserve">consumidores,</w:t>
      </w:r>
      <w:r>
        <w:t xml:space="preserve"> </w:t>
      </w:r>
      <m:oMath>
        <m:r>
          <m:t>J</m:t>
        </m:r>
      </m:oMath>
      <w:r>
        <w:t xml:space="preserve"> </w:t>
      </w:r>
      <w:r>
        <w:t xml:space="preserve">firmas e</w:t>
      </w:r>
      <w:r>
        <w:t xml:space="preserve"> </w:t>
      </w:r>
      <m:oMath>
        <m:r>
          <m:t>n</m:t>
        </m:r>
      </m:oMath>
      <w:r>
        <w:t xml:space="preserve"> </w:t>
      </w:r>
      <w:r>
        <w:t xml:space="preserve">bens. Cada firma</w:t>
      </w:r>
      <w:r>
        <w:t xml:space="preserve"> </w:t>
      </w:r>
      <m:oMath>
        <m:r>
          <m:t>j</m:t>
        </m:r>
      </m:oMath>
      <w:r>
        <w:t xml:space="preserve"> </w:t>
      </w:r>
      <w:r>
        <w:t xml:space="preserve">tem um conjunto de produção</w:t>
      </w:r>
      <w:r>
        <w:t xml:space="preserve"> </w:t>
      </w:r>
      <m:oMath>
        <m:sSub>
          <m:e>
            <m:r>
              <m:t>Y</m:t>
            </m:r>
          </m:e>
          <m:sub>
            <m:r>
              <m:t>j</m:t>
            </m:r>
          </m:sub>
        </m:sSub>
        <m:r>
          <m:rPr>
            <m:sty m:val="p"/>
          </m:rPr>
          <m:t>⊂</m:t>
        </m:r>
        <m:sSup>
          <m:e>
            <m:r>
              <m:rPr>
                <m:scr m:val="double-struck"/>
                <m:sty m:val="p"/>
              </m:rPr>
              <m:t>R</m:t>
            </m:r>
          </m:e>
          <m:sup>
            <m:r>
              <m:t>n</m:t>
            </m:r>
          </m:sup>
        </m:sSup>
      </m:oMath>
      <w:r>
        <w:t xml:space="preserve"> </w:t>
      </w:r>
      <w:r>
        <w:t xml:space="preserve">e escolhe um plano de produção</w:t>
      </w:r>
      <w:r>
        <w:t xml:space="preserve"> </w:t>
      </w:r>
      <m:oMath>
        <m:sSub>
          <m:e>
            <m:r>
              <m:rPr>
                <m:sty m:val="bi"/>
              </m:rPr>
              <m:t>y</m:t>
            </m:r>
          </m:e>
          <m:sub>
            <m:r>
              <m:t>j</m:t>
            </m:r>
          </m:sub>
        </m:sSub>
        <m:r>
          <m:rPr>
            <m:sty m:val="p"/>
          </m:rPr>
          <m:t>∈</m:t>
        </m:r>
        <m:sSub>
          <m:e>
            <m:r>
              <m:t>Y</m:t>
            </m:r>
          </m:e>
          <m:sub>
            <m:r>
              <m:t>j</m:t>
            </m:r>
          </m:sub>
        </m:sSub>
      </m:oMath>
      <w:r>
        <w:t xml:space="preserve"> </w:t>
      </w:r>
      <w:r>
        <w:t xml:space="preserve">para maximizar lucro:</w:t>
      </w:r>
    </w:p>
    <w:p>
      <w:pPr>
        <w:pStyle w:val="BodyText"/>
      </w:pPr>
      <m:oMathPara>
        <m:oMathParaPr>
          <m:jc m:val="center"/>
        </m:oMathParaPr>
        <m:oMath>
          <m:limLow>
            <m:e>
              <m:r>
                <m:rPr>
                  <m:sty m:val="p"/>
                </m:rPr>
                <m:t>max</m:t>
              </m:r>
            </m:e>
            <m:lim>
              <m:sSub>
                <m:e>
                  <m:r>
                    <m:rPr>
                      <m:sty m:val="bi"/>
                    </m:rPr>
                    <m:t>y</m:t>
                  </m:r>
                </m:e>
                <m:sub>
                  <m:r>
                    <m:t>j</m:t>
                  </m:r>
                </m:sub>
              </m:sSub>
              <m:r>
                <m:rPr>
                  <m:sty m:val="p"/>
                </m:rPr>
                <m:t>∈</m:t>
              </m:r>
              <m:sSub>
                <m:e>
                  <m:r>
                    <m:t>Y</m:t>
                  </m:r>
                </m:e>
                <m:sub>
                  <m:r>
                    <m:t>j</m:t>
                  </m:r>
                </m:sub>
              </m:sSub>
            </m:lim>
          </m:limLow>
          <m:r>
            <m:rPr>
              <m:sty m:val="bi"/>
            </m:rPr>
            <m:t>p</m:t>
          </m:r>
          <m:r>
            <m:rPr>
              <m:sty m:val="p"/>
            </m:rPr>
            <m:t>⋅</m:t>
          </m:r>
          <m:sSub>
            <m:e>
              <m:r>
                <m:rPr>
                  <m:sty m:val="bi"/>
                </m:rPr>
                <m:t>y</m:t>
              </m:r>
            </m:e>
            <m:sub>
              <m:r>
                <m:t>j</m:t>
              </m:r>
            </m:sub>
          </m:sSub>
        </m:oMath>
      </m:oMathPara>
    </w:p>
    <w:p>
      <w:pPr>
        <w:pStyle w:val="FirstParagraph"/>
      </w:pPr>
      <w:r>
        <w:t xml:space="preserve">O lucro da firma</w:t>
      </w:r>
      <w:r>
        <w:t xml:space="preserve"> </w:t>
      </w:r>
      <m:oMath>
        <m:r>
          <m:t>j</m:t>
        </m:r>
      </m:oMath>
      <w:r>
        <w:t xml:space="preserve"> </w:t>
      </w:r>
      <w:r>
        <w:t xml:space="preserve">é distribuído aos consumidores que a possuem. Cada consumidor</w:t>
      </w:r>
      <w:r>
        <w:t xml:space="preserve"> </w:t>
      </w:r>
      <m:oMath>
        <m:r>
          <m:t>i</m:t>
        </m:r>
      </m:oMath>
      <w:r>
        <w:t xml:space="preserve"> </w:t>
      </w:r>
      <w:r>
        <w:t xml:space="preserve">detém uma fração</w:t>
      </w:r>
      <w:r>
        <w:t xml:space="preserve"> </w:t>
      </w:r>
      <m:oMath>
        <m:sSub>
          <m:e>
            <m:r>
              <m:t>θ</m:t>
            </m:r>
          </m:e>
          <m:sub>
            <m:r>
              <m:t>i</m:t>
            </m:r>
            <m:r>
              <m:t>j</m:t>
            </m:r>
          </m:sub>
        </m:sSub>
        <m:r>
          <m:rPr>
            <m:sty m:val="p"/>
          </m:rPr>
          <m:t>≥</m:t>
        </m:r>
        <m:r>
          <m:t>0</m:t>
        </m:r>
      </m:oMath>
      <w:r>
        <w:t xml:space="preserve"> </w:t>
      </w:r>
      <w:r>
        <w:t xml:space="preserve">da firma</w:t>
      </w:r>
      <w:r>
        <w:t xml:space="preserve"> </w:t>
      </w:r>
      <m:oMath>
        <m:r>
          <m:t>j</m:t>
        </m:r>
      </m:oMath>
      <w:r>
        <w:t xml:space="preserve">, com</w:t>
      </w:r>
      <w:r>
        <w:t xml:space="preserve"> </w:t>
      </w:r>
      <m:oMath>
        <m:nary>
          <m:naryPr>
            <m:chr m:val="∑"/>
            <m:limLoc m:val="undOvr"/>
            <m:subHide m:val="off"/>
            <m:supHide m:val="on"/>
          </m:naryPr>
          <m:sub>
            <m:r>
              <m:t>i</m:t>
            </m:r>
          </m:sub>
          <m:sup>
            <m:r>
              <m:t>​</m:t>
            </m:r>
          </m:sup>
          <m:e>
            <m:sSub>
              <m:e>
                <m:r>
                  <m:t>θ</m:t>
                </m:r>
              </m:e>
              <m:sub>
                <m:r>
                  <m:t>i</m:t>
                </m:r>
                <m:r>
                  <m:t>j</m:t>
                </m:r>
              </m:sub>
            </m:sSub>
          </m:e>
        </m:nary>
        <m:r>
          <m:rPr>
            <m:sty m:val="p"/>
          </m:rPr>
          <m:t>=</m:t>
        </m:r>
        <m:r>
          <m:t>1</m:t>
        </m:r>
      </m:oMath>
      <w:r>
        <w:t xml:space="preserve">. A renda do consumidor</w:t>
      </w:r>
      <w:r>
        <w:t xml:space="preserve"> </w:t>
      </w:r>
      <m:oMath>
        <m:r>
          <m:t>i</m:t>
        </m:r>
      </m:oMath>
      <w:r>
        <w:t xml:space="preserve"> </w:t>
      </w:r>
      <w:r>
        <w:t xml:space="preserve">é:</w:t>
      </w:r>
    </w:p>
    <w:p>
      <w:pPr>
        <w:pStyle w:val="BodyText"/>
      </w:pPr>
      <m:oMathPara>
        <m:oMathParaPr>
          <m:jc m:val="center"/>
        </m:oMathParaPr>
        <m:oMath>
          <m:sSub>
            <m:e>
              <m:r>
                <m:t>I</m:t>
              </m:r>
            </m:e>
            <m:sub>
              <m:r>
                <m:t>i</m:t>
              </m:r>
            </m:sub>
          </m:sSub>
          <m:r>
            <m:rPr>
              <m:sty m:val="p"/>
            </m:rPr>
            <m:t>(</m:t>
          </m:r>
          <m:r>
            <m:rPr>
              <m:sty m:val="bi"/>
            </m:rPr>
            <m:t>p</m:t>
          </m:r>
          <m:r>
            <m:rPr>
              <m:sty m:val="p"/>
            </m:rPr>
            <m:t>)</m:t>
          </m:r>
          <m:r>
            <m:rPr>
              <m:sty m:val="p"/>
            </m:rPr>
            <m:t>=</m:t>
          </m:r>
          <m:r>
            <m:rPr>
              <m:sty m:val="bi"/>
            </m:rPr>
            <m:t>p</m:t>
          </m:r>
          <m:r>
            <m:rPr>
              <m:sty m:val="p"/>
            </m:rPr>
            <m:t>⋅</m:t>
          </m:r>
          <m:sSub>
            <m:e>
              <m:r>
                <m:rPr>
                  <m:sty m:val="bi"/>
                </m:rPr>
                <m:t>ω</m:t>
              </m:r>
            </m:e>
            <m:sub>
              <m:r>
                <m:t>i</m:t>
              </m:r>
            </m:sub>
          </m:sSub>
          <m:r>
            <m:rPr>
              <m:sty m:val="p"/>
            </m:rPr>
            <m:t>+</m:t>
          </m:r>
          <m:nary>
            <m:naryPr>
              <m:chr m:val="∑"/>
              <m:limLoc m:val="undOvr"/>
              <m:subHide m:val="off"/>
              <m:supHide m:val="off"/>
            </m:naryPr>
            <m:sub>
              <m:r>
                <m:t>j</m:t>
              </m:r>
              <m:r>
                <m:rPr>
                  <m:sty m:val="p"/>
                </m:rPr>
                <m:t>=</m:t>
              </m:r>
              <m:r>
                <m:t>1</m:t>
              </m:r>
            </m:sub>
            <m:sup>
              <m:r>
                <m:t>J</m:t>
              </m:r>
            </m:sup>
            <m:e>
              <m:sSub>
                <m:e>
                  <m:r>
                    <m:t>θ</m:t>
                  </m:r>
                </m:e>
                <m:sub>
                  <m:r>
                    <m:t>i</m:t>
                  </m:r>
                  <m:r>
                    <m:t>j</m:t>
                  </m:r>
                </m:sub>
              </m:sSub>
            </m:e>
          </m:nary>
          <m:r>
            <m:t> </m:t>
          </m:r>
          <m:sSub>
            <m:e>
              <m:r>
                <m:t>π</m:t>
              </m:r>
            </m:e>
            <m:sub>
              <m:r>
                <m:t>j</m:t>
              </m:r>
            </m:sub>
          </m:sSub>
          <m:r>
            <m:rPr>
              <m:sty m:val="p"/>
            </m:rPr>
            <m:t>(</m:t>
          </m:r>
          <m:r>
            <m:rPr>
              <m:sty m:val="bi"/>
            </m:rPr>
            <m:t>p</m:t>
          </m:r>
          <m:r>
            <m:rPr>
              <m:sty m:val="p"/>
            </m:rPr>
            <m:t>)</m:t>
          </m:r>
        </m:oMath>
      </m:oMathPara>
    </w:p>
    <w:p>
      <w:pPr>
        <w:pStyle w:val="FirstParagraph"/>
      </w:pPr>
      <w:r>
        <w:t xml:space="preserve">onde</w:t>
      </w:r>
      <w:r>
        <w:t xml:space="preserve"> </w:t>
      </w:r>
      <m:oMath>
        <m:sSub>
          <m:e>
            <m:r>
              <m:t>π</m:t>
            </m:r>
          </m:e>
          <m:sub>
            <m:r>
              <m:t>j</m:t>
            </m:r>
          </m:sub>
        </m:sSub>
        <m:r>
          <m:rPr>
            <m:sty m:val="p"/>
          </m:rPr>
          <m:t>(</m:t>
        </m:r>
        <m:r>
          <m:rPr>
            <m:sty m:val="bi"/>
          </m:rPr>
          <m:t>p</m:t>
        </m:r>
        <m:r>
          <m:rPr>
            <m:sty m:val="p"/>
          </m:rPr>
          <m:t>)</m:t>
        </m:r>
        <m:r>
          <m:rPr>
            <m:sty m:val="p"/>
          </m:rPr>
          <m:t>=</m:t>
        </m:r>
        <m:r>
          <m:rPr>
            <m:sty m:val="bi"/>
          </m:rPr>
          <m:t>p</m:t>
        </m:r>
        <m:r>
          <m:rPr>
            <m:sty m:val="p"/>
          </m:rPr>
          <m:t>⋅</m:t>
        </m:r>
        <m:sSubSup>
          <m:e>
            <m:r>
              <m:rPr>
                <m:sty m:val="bi"/>
              </m:rPr>
              <m:t>y</m:t>
            </m:r>
          </m:e>
          <m:sub>
            <m:r>
              <m:t>j</m:t>
            </m:r>
          </m:sub>
          <m:sup>
            <m:r>
              <m:rPr>
                <m:sty m:val="p"/>
              </m:rPr>
              <m:t>*</m:t>
            </m:r>
          </m:sup>
        </m:sSubSup>
        <m:r>
          <m:rPr>
            <m:sty m:val="p"/>
          </m:rPr>
          <m:t>(</m:t>
        </m:r>
        <m:r>
          <m:rPr>
            <m:sty m:val="bi"/>
          </m:rPr>
          <m:t>p</m:t>
        </m:r>
        <m:r>
          <m:rPr>
            <m:sty m:val="p"/>
          </m:rPr>
          <m:t>)</m:t>
        </m:r>
      </m:oMath>
      <w:r>
        <w:t xml:space="preserve"> </w:t>
      </w:r>
      <w:r>
        <w:t xml:space="preserve">é o lucro maximizado da firma</w:t>
      </w:r>
      <w:r>
        <w:t xml:space="preserve"> </w:t>
      </w:r>
      <m:oMath>
        <m:r>
          <m:t>j</m:t>
        </m:r>
      </m:oMath>
      <w:r>
        <w:t xml:space="preserve">.</w:t>
      </w:r>
    </w:p>
    <w:p>
      <w:pPr>
        <w:pStyle w:val="BlockText"/>
      </w:pPr>
      <w:r>
        <w:rPr>
          <w:b/>
          <w:bCs/>
        </w:rPr>
        <w:t xml:space="preserve">[DEFINICAO] Equilíbrio walrasiano com produção</w:t>
      </w:r>
    </w:p>
    <w:p>
      <w:pPr>
        <w:pStyle w:val="BlockText"/>
      </w:pPr>
      <w:r>
        <w:t xml:space="preserve">Um</w:t>
      </w:r>
      <w:r>
        <w:t xml:space="preserve"> </w:t>
      </w:r>
      <w:r>
        <w:rPr>
          <w:b/>
          <w:bCs/>
        </w:rPr>
        <w:t xml:space="preserve">equilíbrio walrasiano com produção</w:t>
      </w:r>
      <w:r>
        <w:t xml:space="preserve"> </w:t>
      </w:r>
      <w:r>
        <w:t xml:space="preserve">é um vetor de preços</w:t>
      </w:r>
      <w:r>
        <w:t xml:space="preserve"> </w:t>
      </w:r>
      <m:oMath>
        <m:sSup>
          <m:e>
            <m:r>
              <m:rPr>
                <m:sty m:val="bi"/>
              </m:rPr>
              <m:t>p</m:t>
            </m:r>
          </m:e>
          <m:sup>
            <m:r>
              <m:rPr>
                <m:sty m:val="p"/>
              </m:rPr>
              <m:t>*</m:t>
            </m:r>
          </m:sup>
        </m:sSup>
      </m:oMath>
      <w:r>
        <w:t xml:space="preserve">, alocações de consumo</w:t>
      </w:r>
      <w:r>
        <w:t xml:space="preserve"> </w:t>
      </w:r>
      <m:oMath>
        <m:r>
          <m:rPr>
            <m:sty m:val="p"/>
          </m:rPr>
          <m:t>(</m:t>
        </m:r>
        <m:sSubSup>
          <m:e>
            <m:r>
              <m:rPr>
                <m:sty m:val="bi"/>
              </m:rPr>
              <m:t>x</m:t>
            </m:r>
          </m:e>
          <m:sub>
            <m:r>
              <m:t>1</m:t>
            </m:r>
          </m:sub>
          <m:sup>
            <m:r>
              <m:rPr>
                <m:sty m:val="p"/>
              </m:rPr>
              <m:t>*</m:t>
            </m:r>
          </m:sup>
        </m:sSubSup>
        <m:r>
          <m:rPr>
            <m:sty m:val="p"/>
          </m:rPr>
          <m:t>,</m:t>
        </m:r>
        <m:r>
          <m:rPr>
            <m:sty m:val="p"/>
          </m:rPr>
          <m:t>…</m:t>
        </m:r>
        <m:r>
          <m:rPr>
            <m:sty m:val="p"/>
          </m:rPr>
          <m:t>,</m:t>
        </m:r>
        <m:sSubSup>
          <m:e>
            <m:r>
              <m:rPr>
                <m:sty m:val="bi"/>
              </m:rPr>
              <m:t>x</m:t>
            </m:r>
          </m:e>
          <m:sub>
            <m:r>
              <m:t>I</m:t>
            </m:r>
          </m:sub>
          <m:sup>
            <m:r>
              <m:rPr>
                <m:sty m:val="p"/>
              </m:rPr>
              <m:t>*</m:t>
            </m:r>
          </m:sup>
        </m:sSubSup>
        <m:r>
          <m:rPr>
            <m:sty m:val="p"/>
          </m:rPr>
          <m:t>)</m:t>
        </m:r>
      </m:oMath>
      <w:r>
        <w:t xml:space="preserve"> </w:t>
      </w:r>
      <w:r>
        <w:t xml:space="preserve">e planos de produção</w:t>
      </w:r>
      <w:r>
        <w:t xml:space="preserve"> </w:t>
      </w:r>
      <m:oMath>
        <m:r>
          <m:rPr>
            <m:sty m:val="p"/>
          </m:rPr>
          <m:t>(</m:t>
        </m:r>
        <m:sSubSup>
          <m:e>
            <m:r>
              <m:rPr>
                <m:sty m:val="bi"/>
              </m:rPr>
              <m:t>y</m:t>
            </m:r>
          </m:e>
          <m:sub>
            <m:r>
              <m:t>1</m:t>
            </m:r>
          </m:sub>
          <m:sup>
            <m:r>
              <m:rPr>
                <m:sty m:val="p"/>
              </m:rPr>
              <m:t>*</m:t>
            </m:r>
          </m:sup>
        </m:sSubSup>
        <m:r>
          <m:rPr>
            <m:sty m:val="p"/>
          </m:rPr>
          <m:t>,</m:t>
        </m:r>
        <m:r>
          <m:rPr>
            <m:sty m:val="p"/>
          </m:rPr>
          <m:t>…</m:t>
        </m:r>
        <m:r>
          <m:rPr>
            <m:sty m:val="p"/>
          </m:rPr>
          <m:t>,</m:t>
        </m:r>
        <m:sSubSup>
          <m:e>
            <m:r>
              <m:rPr>
                <m:sty m:val="bi"/>
              </m:rPr>
              <m:t>y</m:t>
            </m:r>
          </m:e>
          <m:sub>
            <m:r>
              <m:t>J</m:t>
            </m:r>
          </m:sub>
          <m:sup>
            <m:r>
              <m:rPr>
                <m:sty m:val="p"/>
              </m:rPr>
              <m:t>*</m:t>
            </m:r>
          </m:sup>
        </m:sSubSup>
        <m:r>
          <m:rPr>
            <m:sty m:val="p"/>
          </m:rPr>
          <m:t>)</m:t>
        </m:r>
      </m:oMath>
      <w:r>
        <w:t xml:space="preserve"> </w:t>
      </w:r>
      <w:r>
        <w:t xml:space="preserve">tais que:</w:t>
      </w:r>
    </w:p>
    <w:p>
      <w:pPr>
        <w:pStyle w:val="Compact"/>
        <w:numPr>
          <w:ilvl w:val="0"/>
          <w:numId w:val="1807"/>
        </w:numPr>
      </w:pPr>
      <w:r>
        <w:t xml:space="preserve">Cada consumidor</w:t>
      </w:r>
      <w:r>
        <w:t xml:space="preserve"> </w:t>
      </w:r>
      <m:oMath>
        <m:r>
          <m:t>i</m:t>
        </m:r>
      </m:oMath>
      <w:r>
        <w:t xml:space="preserve"> </w:t>
      </w:r>
      <w:r>
        <w:t xml:space="preserve">maximiza utilidade sujeito à sua restrição orçamentária (incluindo renda de lucros);</w:t>
      </w:r>
    </w:p>
    <w:p>
      <w:pPr>
        <w:pStyle w:val="Compact"/>
        <w:numPr>
          <w:ilvl w:val="0"/>
          <w:numId w:val="1807"/>
        </w:numPr>
      </w:pPr>
      <w:r>
        <w:t xml:space="preserve">Cada firma</w:t>
      </w:r>
      <w:r>
        <w:t xml:space="preserve"> </w:t>
      </w:r>
      <m:oMath>
        <m:r>
          <m:t>j</m:t>
        </m:r>
      </m:oMath>
      <w:r>
        <w:t xml:space="preserve"> </w:t>
      </w:r>
      <w:r>
        <w:t xml:space="preserve">maximiza lucro dado</w:t>
      </w:r>
      <w:r>
        <w:t xml:space="preserve"> </w:t>
      </w:r>
      <m:oMath>
        <m:sSup>
          <m:e>
            <m:r>
              <m:rPr>
                <m:sty m:val="bi"/>
              </m:rPr>
              <m:t>p</m:t>
            </m:r>
          </m:e>
          <m:sup>
            <m:r>
              <m:rPr>
                <m:sty m:val="p"/>
              </m:rPr>
              <m:t>*</m:t>
            </m:r>
          </m:sup>
        </m:sSup>
      </m:oMath>
      <w:r>
        <w:t xml:space="preserve">;</w:t>
      </w:r>
    </w:p>
    <w:p>
      <w:pPr>
        <w:pStyle w:val="Compact"/>
        <w:numPr>
          <w:ilvl w:val="0"/>
          <w:numId w:val="1807"/>
        </w:numPr>
      </w:pPr>
      <w:r>
        <w:t xml:space="preserve">Todos os mercados se equilibram:</w:t>
      </w:r>
    </w:p>
    <w:p>
      <w:pPr>
        <w:pStyle w:val="BlockText"/>
      </w:pPr>
      <w:r>
        <w:t xml:space="preserve">$$</w:t>
      </w:r>
    </w:p>
    <w:p>
      <w:pPr>
        <w:pStyle w:val="BlockText"/>
      </w:pPr>
      <w:r>
        <w:t xml:space="preserve">_{i=1}^{I} x_i^{k*} =</w:t>
      </w:r>
      <w:r>
        <w:t xml:space="preserve"> </w:t>
      </w:r>
      <w:r>
        <w:t xml:space="preserve">_{i=1}^{I}</w:t>
      </w:r>
      <w:r>
        <w:t xml:space="preserve"> </w:t>
      </w:r>
      <w:r>
        <w:rPr>
          <w:i/>
          <w:iCs/>
        </w:rPr>
        <w:t xml:space="preserve">i^k +</w:t>
      </w:r>
      <w:r>
        <w:rPr>
          <w:i/>
          <w:iCs/>
        </w:rPr>
        <w:t xml:space="preserve"> </w:t>
      </w:r>
      <w:r>
        <w:t xml:space="preserve">{j=1}^{J} y_j^{k*},</w:t>
      </w:r>
      <w:r>
        <w:t xml:space="preserve"> </w:t>
      </w:r>
      <w:r>
        <w:t xml:space="preserve">, k</w:t>
      </w:r>
      <w:r>
        <w:t xml:space="preserve"> </w:t>
      </w:r>
      <w:r>
        <w:t xml:space="preserve"> </w:t>
      </w:r>
      <w:r>
        <w:t xml:space="preserve"> </w:t>
      </w:r>
      <w:r>
        <w:t xml:space="preserve">$$</w:t>
      </w:r>
    </w:p>
    <w:p>
      <w:pPr>
        <w:pStyle w:val="FirstParagraph"/>
      </w:pPr>
      <w:r>
        <w:t xml:space="preserve">A Lei de Walras continua valendo na economia com produção — agora a identidade orçamentária incorpora também os lucros das firmas, que se cancelam na agregação. Os Teoremas do Bem-Estar se estendem naturalmente: o Primeiro Teorema vale com a hipótese adicional de que os conjuntos de produção são convexos (retornos não crescentes), e o Segundo Teorema requer convexidade estrita dos conjuntos de produção para a existência de preços de suporte.</w:t>
      </w:r>
    </w:p>
    <w:p>
      <w:pPr>
        <w:pStyle w:val="BodyText"/>
      </w:pPr>
      <w:r>
        <w:t xml:space="preserve">A extensão para produção completa a arquitetura do equilíbrio geral: temos consumidores que demandam, firmas que ofertam, dotações que definem o ponto de partida, e preços que coordenam tudo. O próximo passo natural é operacionalizar essa teoria — transformar o modelo abstrato em algo que um computador possa resolver e que um formulador de políticas possa usar. Esse é o tema da Seção 14.11.</w:t>
      </w:r>
    </w:p>
    <w:bookmarkEnd w:id="885"/>
    <w:bookmarkEnd w:id="886"/>
    <w:bookmarkEnd w:id="887"/>
    <w:bookmarkStart w:id="893" w:name="do-quadro-negro-ao-gabinete-modelos-cge"/>
    <w:p>
      <w:pPr>
        <w:pStyle w:val="Heading2"/>
      </w:pPr>
      <w:r>
        <w:t xml:space="preserve">14.11 Do Quadro-Negro ao Gabinete: Modelos CGE</w:t>
      </w:r>
    </w:p>
    <w:p>
      <w:pPr>
        <w:pStyle w:val="BlockText"/>
      </w:pPr>
      <w:r>
        <w:rPr>
          <w:b/>
          <w:bCs/>
        </w:rPr>
        <w:t xml:space="preserve">[INFORMACAO] Seção avançada</w:t>
      </w:r>
    </w:p>
    <w:p>
      <w:pPr>
        <w:pStyle w:val="BlockText"/>
      </w:pPr>
      <w:r>
        <w:t xml:space="preserve">Esta seção é material complementar. Pode ser omitida sem perda de continuidade no restante do livro. Recomendada para: pós-graduação, economistas aplicados, pesquisadores que usam CGE.</w:t>
      </w:r>
    </w:p>
    <w:bookmarkStart w:id="892" w:name="Xa7c9f93e2417187f814079e6c47a3271aaa7b93"/>
    <w:p>
      <w:pPr>
        <w:pStyle w:val="Heading3"/>
      </w:pPr>
      <w:r>
        <w:t xml:space="preserve">14.11 Do Quadro-Negro ao Gabinete: Modelos CGE</w:t>
      </w:r>
    </w:p>
    <w:p>
      <w:pPr>
        <w:pStyle w:val="FirstParagraph"/>
      </w:pPr>
      <w:r>
        <w:t xml:space="preserve">Tudo o que vimos até aqui neste capítulo — Caixa de Edgeworth, Teoremas do Bem-Estar, prova de existência — pertence ao domínio da teoria pura. São resultados fundamentais, mas nenhum deles, isoladamente, diz a um ministro da Fazenda quanto uma reforma tributária vai afetar o emprego no setor têxtil. Para isso, precisamos de</w:t>
      </w:r>
      <w:r>
        <w:t xml:space="preserve"> </w:t>
      </w:r>
      <w:r>
        <w:rPr>
          <w:b/>
          <w:bCs/>
        </w:rPr>
        <w:t xml:space="preserve">modelos computáveis de equilíbrio geral</w:t>
      </w:r>
      <w:r>
        <w:t xml:space="preserve"> </w:t>
      </w:r>
      <w:r>
        <w:t xml:space="preserve">(CGE, na sigla em inglês), que traduzem a estrutura teórica walrasiana em sistemas numéricos calibrados com dados reais e resolvidos por computador.</w:t>
      </w:r>
      <w:r>
        <w:rPr>
          <w:rStyle w:val="FootnoteReference"/>
        </w:rPr>
        <w:footnoteReference w:id="888"/>
      </w:r>
    </w:p>
    <w:bookmarkStart w:id="889" w:name="o-que-é-um-modelo-cge"/>
    <w:p>
      <w:pPr>
        <w:pStyle w:val="Heading4"/>
      </w:pPr>
      <w:r>
        <w:t xml:space="preserve">O que é um modelo CGE</w:t>
      </w:r>
    </w:p>
    <w:p>
      <w:pPr>
        <w:pStyle w:val="FirstParagraph"/>
      </w:pPr>
      <w:r>
        <w:t xml:space="preserve">Um modelo CGE é uma implementação numérica da teoria de equilíbrio geral. Ele especifica:</w:t>
      </w:r>
    </w:p>
    <w:p>
      <w:pPr>
        <w:pStyle w:val="Compact"/>
        <w:numPr>
          <w:ilvl w:val="0"/>
          <w:numId w:val="1808"/>
        </w:numPr>
      </w:pPr>
      <w:r>
        <w:rPr>
          <w:b/>
          <w:bCs/>
        </w:rPr>
        <w:t xml:space="preserve">Funções de utilidade</w:t>
      </w:r>
      <w:r>
        <w:t xml:space="preserve"> </w:t>
      </w:r>
      <w:r>
        <w:t xml:space="preserve">para cada tipo de consumidor (geralmente CES ou Cobb-Douglas aninhadas);</w:t>
      </w:r>
    </w:p>
    <w:p>
      <w:pPr>
        <w:pStyle w:val="Compact"/>
        <w:numPr>
          <w:ilvl w:val="0"/>
          <w:numId w:val="1808"/>
        </w:numPr>
      </w:pPr>
      <w:r>
        <w:rPr>
          <w:b/>
          <w:bCs/>
        </w:rPr>
        <w:t xml:space="preserve">Funções de produção</w:t>
      </w:r>
      <w:r>
        <w:t xml:space="preserve"> </w:t>
      </w:r>
      <w:r>
        <w:t xml:space="preserve">para cada setor (CES, Leontief, Cobb-Douglas ou combinações);</w:t>
      </w:r>
    </w:p>
    <w:p>
      <w:pPr>
        <w:pStyle w:val="Compact"/>
        <w:numPr>
          <w:ilvl w:val="0"/>
          <w:numId w:val="1808"/>
        </w:numPr>
      </w:pPr>
      <w:r>
        <w:rPr>
          <w:b/>
          <w:bCs/>
        </w:rPr>
        <w:t xml:space="preserve">Dotações de fatores</w:t>
      </w:r>
      <w:r>
        <w:t xml:space="preserve"> </w:t>
      </w:r>
      <w:r>
        <w:t xml:space="preserve">(trabalho, capital, terra, recursos naturais);</w:t>
      </w:r>
    </w:p>
    <w:p>
      <w:pPr>
        <w:pStyle w:val="Compact"/>
        <w:numPr>
          <w:ilvl w:val="0"/>
          <w:numId w:val="1808"/>
        </w:numPr>
      </w:pPr>
      <w:r>
        <w:rPr>
          <w:b/>
          <w:bCs/>
        </w:rPr>
        <w:t xml:space="preserve">Estrutura tributária e de gastos do governo</w:t>
      </w:r>
      <w:r>
        <w:t xml:space="preserve">;</w:t>
      </w:r>
    </w:p>
    <w:p>
      <w:pPr>
        <w:pStyle w:val="Compact"/>
        <w:numPr>
          <w:ilvl w:val="0"/>
          <w:numId w:val="1808"/>
        </w:numPr>
      </w:pPr>
      <w:r>
        <w:rPr>
          <w:b/>
          <w:bCs/>
        </w:rPr>
        <w:t xml:space="preserve">Relações de comércio exterior</w:t>
      </w:r>
      <w:r>
        <w:t xml:space="preserve"> </w:t>
      </w:r>
      <w:r>
        <w:t xml:space="preserve">(funções de Armington para diferenciação por origem).</w:t>
      </w:r>
    </w:p>
    <w:p>
      <w:pPr>
        <w:pStyle w:val="FirstParagraph"/>
      </w:pPr>
      <w:r>
        <w:t xml:space="preserve">O modelo é</w:t>
      </w:r>
      <w:r>
        <w:t xml:space="preserve"> </w:t>
      </w:r>
      <w:r>
        <w:rPr>
          <w:b/>
          <w:bCs/>
        </w:rPr>
        <w:t xml:space="preserve">calibrado</w:t>
      </w:r>
      <w:r>
        <w:t xml:space="preserve"> </w:t>
      </w:r>
      <w:r>
        <w:t xml:space="preserve">— não estimado econometricamente. Isso significa que os parâmetros são escolhidos para que o modelo reproduza exatamente uma</w:t>
      </w:r>
      <w:r>
        <w:t xml:space="preserve"> </w:t>
      </w:r>
      <w:r>
        <w:rPr>
          <w:b/>
          <w:bCs/>
        </w:rPr>
        <w:t xml:space="preserve">Matriz de Contabilidade Social (SAM)</w:t>
      </w:r>
      <w:r>
        <w:t xml:space="preserve"> </w:t>
      </w:r>
      <w:r>
        <w:t xml:space="preserve">observada no ano-base. A SAM é como uma fotografia contábil da economia: registra todos os fluxos de bens, serviços, fatores e transferências entre setores, famílias, governo e resto do mundo.</w:t>
      </w:r>
    </w:p>
    <w:bookmarkEnd w:id="889"/>
    <w:bookmarkStart w:id="890" w:name="como-funciona-na-prática"/>
    <w:p>
      <w:pPr>
        <w:pStyle w:val="Heading4"/>
      </w:pPr>
      <w:r>
        <w:t xml:space="preserve">Como funciona na prática</w:t>
      </w:r>
    </w:p>
    <w:p>
      <w:pPr>
        <w:pStyle w:val="FirstParagraph"/>
      </w:pPr>
      <w:r>
        <w:t xml:space="preserve">O fluxo de trabalho típico de um modelo CGE é:</w:t>
      </w:r>
    </w:p>
    <w:p>
      <w:pPr>
        <w:pStyle w:val="Compact"/>
        <w:numPr>
          <w:ilvl w:val="0"/>
          <w:numId w:val="1809"/>
        </w:numPr>
      </w:pPr>
      <w:r>
        <w:rPr>
          <w:b/>
          <w:bCs/>
        </w:rPr>
        <w:t xml:space="preserve">Construir a SAM</w:t>
      </w:r>
      <w:r>
        <w:t xml:space="preserve"> </w:t>
      </w:r>
      <w:r>
        <w:t xml:space="preserve">a partir de dados das Contas Nacionais, pesquisas domiciliares (PNAD/POF no Brasil) e dados de comércio exterior;</w:t>
      </w:r>
    </w:p>
    <w:p>
      <w:pPr>
        <w:pStyle w:val="Compact"/>
        <w:numPr>
          <w:ilvl w:val="0"/>
          <w:numId w:val="1809"/>
        </w:numPr>
      </w:pPr>
      <w:r>
        <w:rPr>
          <w:b/>
          <w:bCs/>
        </w:rPr>
        <w:t xml:space="preserve">Calibrar</w:t>
      </w:r>
      <w:r>
        <w:t xml:space="preserve"> </w:t>
      </w:r>
      <w:r>
        <w:t xml:space="preserve">o modelo: dados os parâmetros, o equilíbrio do ano-base é reproduzido exatamente;</w:t>
      </w:r>
    </w:p>
    <w:p>
      <w:pPr>
        <w:pStyle w:val="Compact"/>
        <w:numPr>
          <w:ilvl w:val="0"/>
          <w:numId w:val="1809"/>
        </w:numPr>
      </w:pPr>
      <w:r>
        <w:rPr>
          <w:b/>
          <w:bCs/>
        </w:rPr>
        <w:t xml:space="preserve">Chocar</w:t>
      </w:r>
      <w:r>
        <w:t xml:space="preserve"> </w:t>
      </w:r>
      <w:r>
        <w:t xml:space="preserve">o modelo: introduzir uma mudança de política (redução de tarifa, reforma tributária, choque de produtividade) e resolver o novo equilíbrio;</w:t>
      </w:r>
    </w:p>
    <w:p>
      <w:pPr>
        <w:pStyle w:val="Compact"/>
        <w:numPr>
          <w:ilvl w:val="0"/>
          <w:numId w:val="1809"/>
        </w:numPr>
      </w:pPr>
      <w:r>
        <w:rPr>
          <w:b/>
          <w:bCs/>
        </w:rPr>
        <w:t xml:space="preserve">Comparar</w:t>
      </w:r>
      <w:r>
        <w:t xml:space="preserve"> </w:t>
      </w:r>
      <w:r>
        <w:t xml:space="preserve">os resultados: o</w:t>
      </w:r>
      <w:r>
        <w:t xml:space="preserve"> </w:t>
      </w:r>
      <w:r>
        <w:t xml:space="preserve">“contrafactual”</w:t>
      </w:r>
      <w:r>
        <w:t xml:space="preserve"> </w:t>
      </w:r>
      <w:r>
        <w:t xml:space="preserve">(com a política) versus o</w:t>
      </w:r>
      <w:r>
        <w:t xml:space="preserve"> </w:t>
      </w:r>
      <w:r>
        <w:t xml:space="preserve">“benchmark”</w:t>
      </w:r>
      <w:r>
        <w:t xml:space="preserve"> </w:t>
      </w:r>
      <w:r>
        <w:t xml:space="preserve">(sem a política).</w:t>
      </w:r>
    </w:p>
    <w:p>
      <w:pPr>
        <w:pStyle w:val="FirstParagraph"/>
      </w:pPr>
      <w:r>
        <w:t xml:space="preserve">Os resultados típicos incluem: mudanças nos preços relativos, realocação de fatores entre setores, variação do PIB, efeitos distributivos (quem ganha, quem perde), e medidas de bem-estar (variação equivalente ou compensatória).</w:t>
      </w:r>
    </w:p>
    <w:bookmarkEnd w:id="890"/>
    <w:bookmarkStart w:id="891" w:name="limitações-e-precauções"/>
    <w:p>
      <w:pPr>
        <w:pStyle w:val="Heading4"/>
      </w:pPr>
      <w:r>
        <w:t xml:space="preserve">Limitações e precauções</w:t>
      </w:r>
    </w:p>
    <w:p>
      <w:pPr>
        <w:pStyle w:val="FirstParagraph"/>
      </w:pPr>
      <w:r>
        <w:t xml:space="preserve">Como qualquer modelo, os CGEs fazem simplificações importantes:</w:t>
      </w:r>
    </w:p>
    <w:p>
      <w:pPr>
        <w:pStyle w:val="Compact"/>
        <w:numPr>
          <w:ilvl w:val="0"/>
          <w:numId w:val="1810"/>
        </w:numPr>
      </w:pPr>
      <w:r>
        <w:rPr>
          <w:b/>
          <w:bCs/>
        </w:rPr>
        <w:t xml:space="preserve">Concorrência perfeita</w:t>
      </w:r>
      <w:r>
        <w:t xml:space="preserve"> </w:t>
      </w:r>
      <w:r>
        <w:t xml:space="preserve">é a hipótese padrão (embora extensões com markup existam);</w:t>
      </w:r>
    </w:p>
    <w:p>
      <w:pPr>
        <w:pStyle w:val="Compact"/>
        <w:numPr>
          <w:ilvl w:val="0"/>
          <w:numId w:val="1810"/>
        </w:numPr>
      </w:pPr>
      <w:r>
        <w:rPr>
          <w:b/>
          <w:bCs/>
        </w:rPr>
        <w:t xml:space="preserve">Pleno emprego</w:t>
      </w:r>
      <w:r>
        <w:t xml:space="preserve"> </w:t>
      </w:r>
      <w:r>
        <w:t xml:space="preserve">de fatores — o ajuste é via preços, não via quantidades de desemprego;</w:t>
      </w:r>
    </w:p>
    <w:p>
      <w:pPr>
        <w:pStyle w:val="Compact"/>
        <w:numPr>
          <w:ilvl w:val="0"/>
          <w:numId w:val="1810"/>
        </w:numPr>
      </w:pPr>
      <w:r>
        <w:rPr>
          <w:b/>
          <w:bCs/>
        </w:rPr>
        <w:t xml:space="preserve">Expectativas estáticas</w:t>
      </w:r>
      <w:r>
        <w:t xml:space="preserve"> </w:t>
      </w:r>
      <w:r>
        <w:t xml:space="preserve">— a maioria dos modelos é de estática comparativa, sem dinâmica intertemporal completa;</w:t>
      </w:r>
    </w:p>
    <w:p>
      <w:pPr>
        <w:pStyle w:val="Compact"/>
        <w:numPr>
          <w:ilvl w:val="0"/>
          <w:numId w:val="1810"/>
        </w:numPr>
      </w:pPr>
      <w:r>
        <w:rPr>
          <w:b/>
          <w:bCs/>
        </w:rPr>
        <w:t xml:space="preserve">Sensibilidade a elasticidades</w:t>
      </w:r>
      <w:r>
        <w:t xml:space="preserve"> </w:t>
      </w:r>
      <w:r>
        <w:t xml:space="preserve">— os resultados podem mudar substancialmente com diferentes elasticidades de substituição.</w:t>
      </w:r>
    </w:p>
    <w:p>
      <w:pPr>
        <w:pStyle w:val="FirstParagraph"/>
      </w:pPr>
      <w:r>
        <w:t xml:space="preserve">Apesar dessas limitações, os modelos CGE são a ferramenta padrão para avaliação</w:t>
      </w:r>
      <w:r>
        <w:t xml:space="preserve"> </w:t>
      </w:r>
      <w:r>
        <w:rPr>
          <w:i/>
          <w:iCs/>
        </w:rPr>
        <w:t xml:space="preserve">ex ante</w:t>
      </w:r>
      <w:r>
        <w:t xml:space="preserve"> </w:t>
      </w:r>
      <w:r>
        <w:t xml:space="preserve">de políticas comerciais e tributárias. A alternativa — análise de equilíbrio parcial ou pura intuição — é quase sempre pior.</w:t>
      </w:r>
    </w:p>
    <w:p>
      <w:pPr>
        <w:pStyle w:val="BlockText"/>
      </w:pPr>
      <w:r>
        <w:rPr>
          <w:b/>
          <w:bCs/>
        </w:rPr>
        <w:t xml:space="preserve">[BOX BRASIL] Modelos CGE e Políticas Públicas no Brasil</w:t>
      </w:r>
    </w:p>
    <w:p>
      <w:pPr>
        <w:pStyle w:val="BlockText"/>
      </w:pPr>
      <w:r>
        <w:t xml:space="preserve">O Brasil possui uma tradição ativa de modelagem CGE aplicada. Alguns exemplos notáveis:</w:t>
      </w:r>
    </w:p>
    <w:p>
      <w:pPr>
        <w:pStyle w:val="Compact"/>
        <w:numPr>
          <w:ilvl w:val="0"/>
          <w:numId w:val="1811"/>
        </w:numPr>
      </w:pPr>
      <w:r>
        <w:rPr>
          <w:b/>
          <w:bCs/>
        </w:rPr>
        <w:t xml:space="preserve">TERM-BR</w:t>
      </w:r>
      <w:r>
        <w:t xml:space="preserve"> </w:t>
      </w:r>
      <w:r>
        <w:t xml:space="preserve">(The Enormous Regional Model — Brasil): desenvolvido por pesquisadores da USP e FGV, desagrega a economia brasileira em 27 estados e dezenas de setores. Foi utilizado para avaliar os impactos regionais da reforma tributária (IBS+CBS), estimando que estados importadores líquidos de bens se beneficiariam da transição do princípio de origem para o de destino.</w:t>
      </w:r>
    </w:p>
    <w:p>
      <w:pPr>
        <w:pStyle w:val="Compact"/>
        <w:numPr>
          <w:ilvl w:val="0"/>
          <w:numId w:val="1811"/>
        </w:numPr>
      </w:pPr>
      <w:r>
        <w:rPr>
          <w:b/>
          <w:bCs/>
        </w:rPr>
        <w:t xml:space="preserve">BeGreen</w:t>
      </w:r>
      <w:r>
        <w:t xml:space="preserve">: modelo multi-regional multi-setorial do Cedeplar/UFMG, utilizado para analisar os efeitos econômicos de políticas ambientais — como metas de redução de desmatamento e precificação de carbono.</w:t>
      </w:r>
    </w:p>
    <w:p>
      <w:pPr>
        <w:pStyle w:val="Compact"/>
        <w:numPr>
          <w:ilvl w:val="0"/>
          <w:numId w:val="1811"/>
        </w:numPr>
      </w:pPr>
      <w:r>
        <w:rPr>
          <w:b/>
          <w:bCs/>
        </w:rPr>
        <w:t xml:space="preserve">GTAP</w:t>
      </w:r>
      <w:r>
        <w:t xml:space="preserve"> </w:t>
      </w:r>
      <w:r>
        <w:t xml:space="preserve">(Global Trade Analysis Project): modelo global calibrado pela Purdue University, amplamente utilizado para simular os efeitos de acordos comerciais — incluindo o Mercosul-UE. Estudos com GTAP estimam ganhos modestos para o PIB brasileiro (0,1–0,5%), mas impactos significativos na composição setorial: expansão do agronegócio e contração de segmentos industriais menos competitivos.</w:t>
      </w:r>
    </w:p>
    <w:p>
      <w:pPr>
        <w:pStyle w:val="Compact"/>
        <w:numPr>
          <w:ilvl w:val="0"/>
          <w:numId w:val="1811"/>
        </w:numPr>
      </w:pPr>
      <w:r>
        <w:rPr>
          <w:b/>
          <w:bCs/>
        </w:rPr>
        <w:t xml:space="preserve">Modelos do IPEA</w:t>
      </w:r>
      <w:r>
        <w:t xml:space="preserve">: o Instituto de Pesquisa Econômica Aplicada desenvolve e aplica modelos CGE para avaliar políticas redistributivas, como o Bolsa Família e a reforma da Previdência.</w:t>
      </w:r>
    </w:p>
    <w:p>
      <w:pPr>
        <w:pStyle w:val="BlockText"/>
      </w:pPr>
      <w:r>
        <w:rPr>
          <w:b/>
          <w:bCs/>
        </w:rPr>
        <w:t xml:space="preserve">Dados brasileiros para CGE:</w:t>
      </w:r>
      <w:r>
        <w:t xml:space="preserve"> </w:t>
      </w:r>
      <w:r>
        <w:t xml:space="preserve">As Contas Nacionais do IBGE (Tabelas de Recursos e Usos — TRU) são a base para a construção de SAMs brasileiras. A Matriz Insumo-Produto, derivada das TRU, detalha as relações intersetoriais que alimentam os modelos.</w:t>
      </w:r>
    </w:p>
    <w:p>
      <w:r>
        <w:pict>
          <v:rect style="width:0;height:1.5pt" o:hralign="center" o:hrstd="t" o:hr="t"/>
        </w:pict>
      </w:r>
    </w:p>
    <w:p>
      <w:pPr>
        <w:pStyle w:val="BlockText"/>
      </w:pPr>
      <w:r>
        <w:rPr>
          <w:b/>
          <w:bCs/>
        </w:rPr>
        <w:t xml:space="preserve">[LAB] Mini-Lab Computacional — Um CGE 2×2×2 em Python</w:t>
      </w:r>
    </w:p>
    <w:p>
      <w:pPr>
        <w:pStyle w:val="BlockText"/>
      </w:pPr>
      <w:r>
        <w:rPr>
          <w:b/>
          <w:bCs/>
        </w:rPr>
        <w:t xml:space="preserve">Objetivo:</w:t>
      </w:r>
      <w:r>
        <w:t xml:space="preserve"> </w:t>
      </w:r>
      <w:r>
        <w:t xml:space="preserve">Construir e resolver um modelo CGE mínimo — 2 bens, 2 fatores, 2 consumidores — em Python puro. O aluno implementa o tâtonnement walrasiano, calibra o modelo com uma SAM simples e simula um choque de política (imposto sobre o bem 1).</w:t>
      </w:r>
    </w:p>
    <w:p>
      <w:pPr>
        <w:pStyle w:val="BlockText"/>
      </w:pPr>
      <w:r>
        <w:rPr>
          <w:b/>
          <w:bCs/>
        </w:rPr>
        <w:t xml:space="preserve">Pré-requisitos:</w:t>
      </w:r>
      <w:r>
        <w:t xml:space="preserve"> </w:t>
      </w:r>
      <w:r>
        <w:t xml:space="preserve">Python 3, NumPy, Matplotlib. Nenhum pacote de otimização especializado é necessário.</w:t>
      </w:r>
    </w:p>
    <w:p>
      <w:pPr>
        <w:pStyle w:val="BlockText"/>
      </w:pPr>
      <w:r>
        <w:rPr>
          <w:b/>
          <w:bCs/>
        </w:rPr>
        <w:t xml:space="preserve">Tempo estimado:</w:t>
      </w:r>
      <w:r>
        <w:t xml:space="preserve"> </w:t>
      </w:r>
      <w:r>
        <w:t xml:space="preserve">60–90 minutos.</w:t>
      </w:r>
    </w:p>
    <w:p>
      <w:r>
        <w:pict>
          <v:rect style="width:0;height:1.5pt" o:hralign="center" o:hrstd="t" o:hr="t"/>
        </w:pict>
      </w:r>
    </w:p>
    <w:p>
      <w:pPr>
        <w:pStyle w:val="BlockText"/>
      </w:pPr>
      <w:r>
        <w:rPr>
          <w:b/>
          <w:bCs/>
        </w:rPr>
        <w:t xml:space="preserve">Parte 1 — A economia</w:t>
      </w:r>
    </w:p>
    <w:p>
      <w:pPr>
        <w:pStyle w:val="BlockText"/>
      </w:pPr>
      <w:r>
        <w:t xml:space="preserve">Considere uma economia com:</w:t>
      </w:r>
    </w:p>
    <w:p>
      <w:pPr>
        <w:pStyle w:val="Compact"/>
        <w:numPr>
          <w:ilvl w:val="0"/>
          <w:numId w:val="1812"/>
        </w:numPr>
      </w:pPr>
      <w:r>
        <w:rPr>
          <w:b/>
          <w:bCs/>
        </w:rPr>
        <w:t xml:space="preserve">2 bens</w:t>
      </w:r>
      <w:r>
        <w:t xml:space="preserve">: Alimentos (bem 1) e Manufaturas (bem 2).</w:t>
      </w:r>
    </w:p>
    <w:p>
      <w:pPr>
        <w:pStyle w:val="Compact"/>
        <w:numPr>
          <w:ilvl w:val="0"/>
          <w:numId w:val="1812"/>
        </w:numPr>
      </w:pPr>
      <w:r>
        <w:rPr>
          <w:b/>
          <w:bCs/>
        </w:rPr>
        <w:t xml:space="preserve">2 fatores</w:t>
      </w:r>
      <w:r>
        <w:t xml:space="preserve">: Trabalho (</w:t>
      </w:r>
      <m:oMath>
        <m:r>
          <m:t>L</m:t>
        </m:r>
      </m:oMath>
      <w:r>
        <w:t xml:space="preserve">) e Capital (</w:t>
      </w:r>
      <m:oMath>
        <m:r>
          <m:t>K</m:t>
        </m:r>
      </m:oMath>
      <w:r>
        <w:t xml:space="preserve">), com dotações fixas</w:t>
      </w:r>
      <w:r>
        <w:t xml:space="preserve"> </w:t>
      </w:r>
      <m:oMath>
        <m:acc>
          <m:accPr>
            <m:chr m:val="‾"/>
          </m:accPr>
          <m:e>
            <m:r>
              <m:t>L</m:t>
            </m:r>
          </m:e>
        </m:acc>
        <m:r>
          <m:rPr>
            <m:sty m:val="p"/>
          </m:rPr>
          <m:t>=</m:t>
        </m:r>
        <m:r>
          <m:t>100</m:t>
        </m:r>
      </m:oMath>
      <w:r>
        <w:t xml:space="preserve"> </w:t>
      </w:r>
      <w:r>
        <w:t xml:space="preserve">e</w:t>
      </w:r>
      <w:r>
        <w:t xml:space="preserve"> </w:t>
      </w:r>
      <m:oMath>
        <m:acc>
          <m:accPr>
            <m:chr m:val="‾"/>
          </m:accPr>
          <m:e>
            <m:r>
              <m:t>K</m:t>
            </m:r>
          </m:e>
        </m:acc>
        <m:r>
          <m:rPr>
            <m:sty m:val="p"/>
          </m:rPr>
          <m:t>=</m:t>
        </m:r>
        <m:r>
          <m:t>100</m:t>
        </m:r>
      </m:oMath>
      <w:r>
        <w:t xml:space="preserve">.</w:t>
      </w:r>
    </w:p>
    <w:p>
      <w:pPr>
        <w:pStyle w:val="Compact"/>
        <w:numPr>
          <w:ilvl w:val="0"/>
          <w:numId w:val="1812"/>
        </w:numPr>
      </w:pPr>
      <w:r>
        <w:rPr>
          <w:b/>
          <w:bCs/>
        </w:rPr>
        <w:t xml:space="preserve">2 consumidores</w:t>
      </w:r>
      <w:r>
        <w:t xml:space="preserve">: Trabalhador (possui todo o trabalho) e Capitalista (possui todo o capital).</w:t>
      </w:r>
    </w:p>
    <w:p>
      <w:pPr>
        <w:pStyle w:val="BlockText"/>
      </w:pPr>
      <w:r>
        <w:t xml:space="preserve">Funções de produção Cobb-Douglas:</w:t>
      </w:r>
    </w:p>
    <w:p>
      <w:pPr>
        <w:pStyle w:val="BlockText"/>
      </w:pPr>
      <w:r>
        <w:t xml:space="preserve">$$</w:t>
      </w:r>
    </w:p>
    <w:p>
      <w:pPr>
        <w:pStyle w:val="BlockText"/>
      </w:pPr>
      <w:r>
        <w:t xml:space="preserve">Y_1 = A_1 L_1^{</w:t>
      </w:r>
      <w:r>
        <w:t xml:space="preserve">_1} K_1^{1-</w:t>
      </w:r>
      <w:r>
        <w:t xml:space="preserve">_1},</w:t>
      </w:r>
      <w:r>
        <w:t xml:space="preserve"> </w:t>
      </w:r>
      <w:r>
        <w:t xml:space="preserve">Y_2 = A_2 L_2^{</w:t>
      </w:r>
      <w:r>
        <w:t xml:space="preserve">_2} K_2^{1-</w:t>
      </w:r>
      <w:r>
        <w:t xml:space="preserve">_2}</w:t>
      </w:r>
    </w:p>
    <w:p>
      <w:pPr>
        <w:pStyle w:val="BlockText"/>
      </w:pPr>
      <w:r>
        <w:t xml:space="preserve">$$</w:t>
      </w:r>
    </w:p>
    <w:p>
      <w:pPr>
        <w:pStyle w:val="BlockText"/>
      </w:pPr>
      <w:r>
        <w:t xml:space="preserve">com</w:t>
      </w:r>
      <w:r>
        <w:t xml:space="preserve"> </w:t>
      </w:r>
      <m:oMath>
        <m:sSub>
          <m:e>
            <m:r>
              <m:t>A</m:t>
            </m:r>
          </m:e>
          <m:sub>
            <m:r>
              <m:t>1</m:t>
            </m:r>
          </m:sub>
        </m:sSub>
        <m:r>
          <m:rPr>
            <m:sty m:val="p"/>
          </m:rPr>
          <m:t>=</m:t>
        </m:r>
        <m:sSub>
          <m:e>
            <m:r>
              <m:t>A</m:t>
            </m:r>
          </m:e>
          <m:sub>
            <m:r>
              <m:t>2</m:t>
            </m:r>
          </m:sub>
        </m:sSub>
        <m:r>
          <m:rPr>
            <m:sty m:val="p"/>
          </m:rPr>
          <m:t>=</m:t>
        </m:r>
        <m:r>
          <m:t>1</m:t>
        </m:r>
      </m:oMath>
      <w:r>
        <w:t xml:space="preserve">,</w:t>
      </w:r>
      <w:r>
        <w:t xml:space="preserve"> </w:t>
      </w:r>
      <m:oMath>
        <m:sSub>
          <m:e>
            <m:r>
              <m:t>α</m:t>
            </m:r>
          </m:e>
          <m:sub>
            <m:r>
              <m:t>1</m:t>
            </m:r>
          </m:sub>
        </m:sSub>
        <m:r>
          <m:rPr>
            <m:sty m:val="p"/>
          </m:rPr>
          <m:t>=</m:t>
        </m:r>
        <m:r>
          <m:t>0</m:t>
        </m:r>
        <m:r>
          <m:rPr>
            <m:sty m:val="p"/>
          </m:rPr>
          <m:t>,</m:t>
        </m:r>
        <m:r>
          <m:t>6</m:t>
        </m:r>
      </m:oMath>
      <w:r>
        <w:t xml:space="preserve"> </w:t>
      </w:r>
      <w:r>
        <w:t xml:space="preserve">(alimentos são trabalho-intensivos),</w:t>
      </w:r>
      <w:r>
        <w:t xml:space="preserve"> </w:t>
      </w:r>
      <m:oMath>
        <m:sSub>
          <m:e>
            <m:r>
              <m:t>α</m:t>
            </m:r>
          </m:e>
          <m:sub>
            <m:r>
              <m:t>2</m:t>
            </m:r>
          </m:sub>
        </m:sSub>
        <m:r>
          <m:rPr>
            <m:sty m:val="p"/>
          </m:rPr>
          <m:t>=</m:t>
        </m:r>
        <m:r>
          <m:t>0</m:t>
        </m:r>
        <m:r>
          <m:rPr>
            <m:sty m:val="p"/>
          </m:rPr>
          <m:t>,</m:t>
        </m:r>
        <m:r>
          <m:t>3</m:t>
        </m:r>
      </m:oMath>
      <w:r>
        <w:t xml:space="preserve"> </w:t>
      </w:r>
      <w:r>
        <w:t xml:space="preserve">(manufaturas são capital-intensivas).</w:t>
      </w:r>
    </w:p>
    <w:p>
      <w:pPr>
        <w:pStyle w:val="BlockText"/>
      </w:pPr>
      <w:r>
        <w:t xml:space="preserve">Utilidade Cobb-Douglas idêntica para ambos os consumidores:</w:t>
      </w:r>
    </w:p>
    <w:p>
      <w:pPr>
        <w:pStyle w:val="BlockText"/>
      </w:pPr>
      <w:r>
        <w:t xml:space="preserve">$$</w:t>
      </w:r>
    </w:p>
    <w:p>
      <w:pPr>
        <w:pStyle w:val="BlockText"/>
      </w:pPr>
      <w:r>
        <w:t xml:space="preserve">U_i = x_{i1}^{0{,}5}</w:t>
      </w:r>
      <w:r>
        <w:t xml:space="preserve"> </w:t>
      </w:r>
      <w:r>
        <w:t xml:space="preserve">x_{i2}^{0{,}5}</w:t>
      </w:r>
    </w:p>
    <w:p>
      <w:pPr>
        <w:pStyle w:val="BlockText"/>
      </w:pPr>
      <w:r>
        <w:t xml:space="preserve">$$</w:t>
      </w:r>
    </w:p>
    <w:p>
      <w:r>
        <w:pict>
          <v:rect style="width:0;height:1.5pt" o:hralign="center" o:hrstd="t" o:hr="t"/>
        </w:pict>
      </w:r>
    </w:p>
    <w:p>
      <w:pPr>
        <w:pStyle w:val="BlockText"/>
      </w:pPr>
      <w:r>
        <w:rPr>
          <w:b/>
          <w:bCs/>
        </w:rPr>
        <w:t xml:space="preserve">Parte 2 — Código Python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 Parâmetros ──────────────────────────────────────────</w:t>
      </w:r>
      <w:r>
        <w:br/>
      </w:r>
      <w:r>
        <w:rPr>
          <w:rStyle w:val="NormalTok"/>
        </w:rPr>
        <w:t xml:space="preserve">alpha1, alpha2 </w:t>
      </w:r>
      <w:r>
        <w:rPr>
          <w:rStyle w:val="OperatorTok"/>
        </w:rPr>
        <w:t xml:space="preserve">=</w:t>
      </w:r>
      <w:r>
        <w:rPr>
          <w:rStyle w:val="NormalTok"/>
        </w:rPr>
        <w:t xml:space="preserve"> </w:t>
      </w:r>
      <w:r>
        <w:rPr>
          <w:rStyle w:val="FloatTok"/>
        </w:rPr>
        <w:t xml:space="preserve">0.6</w:t>
      </w:r>
      <w:r>
        <w:rPr>
          <w:rStyle w:val="NormalTok"/>
        </w:rPr>
        <w:t xml:space="preserve">, </w:t>
      </w:r>
      <w:r>
        <w:rPr>
          <w:rStyle w:val="FloatTok"/>
        </w:rPr>
        <w:t xml:space="preserve">0.3</w:t>
      </w:r>
      <w:r>
        <w:rPr>
          <w:rStyle w:val="NormalTok"/>
        </w:rPr>
        <w:t xml:space="preserve">          </w:t>
      </w:r>
      <w:r>
        <w:rPr>
          <w:rStyle w:val="CommentTok"/>
        </w:rPr>
        <w:t xml:space="preserve"># intensidade-trabalho nos setores</w:t>
      </w:r>
      <w:r>
        <w:br/>
      </w:r>
      <w:r>
        <w:rPr>
          <w:rStyle w:val="NormalTok"/>
        </w:rPr>
        <w:t xml:space="preserve">beta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share do bem 1 na utilidade</w:t>
      </w:r>
      <w:r>
        <w:br/>
      </w:r>
      <w:r>
        <w:rPr>
          <w:rStyle w:val="NormalTok"/>
        </w:rPr>
        <w:t xml:space="preserve">L_bar, K_bar </w:t>
      </w:r>
      <w:r>
        <w:rPr>
          <w:rStyle w:val="OperatorTok"/>
        </w:rPr>
        <w:t xml:space="preserve">=</w:t>
      </w:r>
      <w:r>
        <w:rPr>
          <w:rStyle w:val="NormalTok"/>
        </w:rPr>
        <w:t xml:space="preserve"> </w:t>
      </w:r>
      <w:r>
        <w:rPr>
          <w:rStyle w:val="FloatTok"/>
        </w:rPr>
        <w:t xml:space="preserve">100.0</w:t>
      </w:r>
      <w:r>
        <w:rPr>
          <w:rStyle w:val="NormalTok"/>
        </w:rPr>
        <w:t xml:space="preserve">, </w:t>
      </w:r>
      <w:r>
        <w:rPr>
          <w:rStyle w:val="FloatTok"/>
        </w:rPr>
        <w:t xml:space="preserve">100.0</w:t>
      </w:r>
      <w:r>
        <w:rPr>
          <w:rStyle w:val="NormalTok"/>
        </w:rPr>
        <w:t xml:space="preserve">        </w:t>
      </w:r>
      <w:r>
        <w:rPr>
          <w:rStyle w:val="CommentTok"/>
        </w:rPr>
        <w:t xml:space="preserve"># dotações totais de fatores</w:t>
      </w:r>
      <w:r>
        <w:br/>
      </w:r>
      <w:r>
        <w:br/>
      </w:r>
      <w:r>
        <w:rPr>
          <w:rStyle w:val="CommentTok"/>
        </w:rPr>
        <w:t xml:space="preserve"># ── Numerário: p2 = 1 ─────────────────────────────────</w:t>
      </w:r>
      <w:r>
        <w:br/>
      </w:r>
      <w:r>
        <w:rPr>
          <w:rStyle w:val="NormalTok"/>
        </w:rPr>
        <w:t xml:space="preserve">p2 </w:t>
      </w:r>
      <w:r>
        <w:rPr>
          <w:rStyle w:val="OperatorTok"/>
        </w:rPr>
        <w:t xml:space="preserve">=</w:t>
      </w:r>
      <w:r>
        <w:rPr>
          <w:rStyle w:val="NormalTok"/>
        </w:rPr>
        <w:t xml:space="preserve"> </w:t>
      </w:r>
      <w:r>
        <w:rPr>
          <w:rStyle w:val="FloatTok"/>
        </w:rPr>
        <w:t xml:space="preserve">1.0</w:t>
      </w:r>
      <w:r>
        <w:br/>
      </w:r>
      <w:r>
        <w:br/>
      </w:r>
      <w:r>
        <w:rPr>
          <w:rStyle w:val="KeywordTok"/>
        </w:rPr>
        <w:t xml:space="preserve">def</w:t>
      </w:r>
      <w:r>
        <w:rPr>
          <w:rStyle w:val="NormalTok"/>
        </w:rPr>
        <w:t xml:space="preserve"> solve_equilibrium(p1, tau</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mmentTok"/>
        </w:rPr>
        <w:t xml:space="preserve">"""</w:t>
      </w:r>
      <w:r>
        <w:br/>
      </w:r>
      <w:r>
        <w:rPr>
          <w:rStyle w:val="CommentTok"/>
        </w:rPr>
        <w:t xml:space="preserve">    Dado p1 (preço do bem 1) e tau (imposto ad valorem sobre bem 1),</w:t>
      </w:r>
      <w:r>
        <w:br/>
      </w:r>
      <w:r>
        <w:rPr>
          <w:rStyle w:val="CommentTok"/>
        </w:rPr>
        <w:t xml:space="preserve">    resolve a alocação de fatores, produção e demanda.</w:t>
      </w:r>
      <w:r>
        <w:br/>
      </w:r>
      <w:r>
        <w:rPr>
          <w:rStyle w:val="CommentTok"/>
        </w:rPr>
        <w:t xml:space="preserve">    Retorna o excesso de demanda no mercado do bem 1.</w:t>
      </w:r>
      <w:r>
        <w:br/>
      </w:r>
      <w:r>
        <w:rPr>
          <w:rStyle w:val="CommentTok"/>
        </w:rPr>
        <w:t xml:space="preserve">    """</w:t>
      </w:r>
      <w:r>
        <w:br/>
      </w:r>
      <w:r>
        <w:rPr>
          <w:rStyle w:val="NormalTok"/>
        </w:rPr>
        <w:t xml:space="preserve">    </w:t>
      </w:r>
      <w:r>
        <w:rPr>
          <w:rStyle w:val="CommentTok"/>
        </w:rPr>
        <w:t xml:space="preserve"># Preço ao produtor do bem 1 (consumidor paga p1, produtor recebe p1/(1+tau))</w:t>
      </w:r>
      <w:r>
        <w:br/>
      </w:r>
      <w:r>
        <w:rPr>
          <w:rStyle w:val="NormalTok"/>
        </w:rPr>
        <w:t xml:space="preserve">    p1_prod </w:t>
      </w:r>
      <w:r>
        <w:rPr>
          <w:rStyle w:val="OperatorTok"/>
        </w:rPr>
        <w:t xml:space="preserve">=</w:t>
      </w:r>
      <w:r>
        <w:rPr>
          <w:rStyle w:val="NormalTok"/>
        </w:rPr>
        <w:t xml:space="preserve"> p1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tau)</w:t>
      </w:r>
      <w:r>
        <w:br/>
      </w:r>
      <w:r>
        <w:br/>
      </w:r>
      <w:r>
        <w:rPr>
          <w:rStyle w:val="NormalTok"/>
        </w:rPr>
        <w:t xml:space="preserve">    </w:t>
      </w:r>
      <w:r>
        <w:rPr>
          <w:rStyle w:val="CommentTok"/>
        </w:rPr>
        <w:t xml:space="preserve"># ── Alocação de fatores (CPO das firmas) ──</w:t>
      </w:r>
      <w:r>
        <w:br/>
      </w:r>
      <w:r>
        <w:rPr>
          <w:rStyle w:val="NormalTok"/>
        </w:rPr>
        <w:t xml:space="preserve">    </w:t>
      </w:r>
      <w:r>
        <w:rPr>
          <w:rStyle w:val="CommentTok"/>
        </w:rPr>
        <w:t xml:space="preserve"># CMg_fator = preço do fator / PMg_fator</w:t>
      </w:r>
      <w:r>
        <w:br/>
      </w:r>
      <w:r>
        <w:rPr>
          <w:rStyle w:val="NormalTok"/>
        </w:rPr>
        <w:t xml:space="preserve">    </w:t>
      </w:r>
      <w:r>
        <w:rPr>
          <w:rStyle w:val="CommentTok"/>
        </w:rPr>
        <w:t xml:space="preserve"># Em equilíbrio: w/PMgL1 = w/PMgL2 e r/PMgK1 = r/PMgK2</w:t>
      </w:r>
      <w:r>
        <w:br/>
      </w:r>
      <w:r>
        <w:rPr>
          <w:rStyle w:val="NormalTok"/>
        </w:rPr>
        <w:t xml:space="preserve">    </w:t>
      </w:r>
      <w:r>
        <w:rPr>
          <w:rStyle w:val="CommentTok"/>
        </w:rPr>
        <w:t xml:space="preserve"># Com Cobb-Douglas: w = alpha_j * p_j * Y_j / L_j, r = (1-alpha_j)*p_j*Y_j/K_j</w:t>
      </w:r>
      <w:r>
        <w:br/>
      </w:r>
      <w:r>
        <w:rPr>
          <w:rStyle w:val="NormalTok"/>
        </w:rPr>
        <w:t xml:space="preserve">    </w:t>
      </w:r>
      <w:r>
        <w:rPr>
          <w:rStyle w:val="CommentTok"/>
        </w:rPr>
        <w:t xml:space="preserve"># Usando a condição w/r = (alpha_j/(1-alpha_j)) * (K_j/L_j):</w:t>
      </w:r>
      <w:r>
        <w:br/>
      </w:r>
      <w:r>
        <w:rPr>
          <w:rStyle w:val="NormalTok"/>
        </w:rPr>
        <w:t xml:space="preserve">    </w:t>
      </w:r>
      <w:r>
        <w:rPr>
          <w:rStyle w:val="CommentTok"/>
        </w:rPr>
        <w:t xml:space="preserve"># K_j/L_j = (w/r) * (1-alpha_j)/alpha_j</w:t>
      </w:r>
      <w:r>
        <w:br/>
      </w:r>
      <w:r>
        <w:br/>
      </w:r>
      <w:r>
        <w:rPr>
          <w:rStyle w:val="NormalTok"/>
        </w:rPr>
        <w:t xml:space="preserve">    </w:t>
      </w:r>
      <w:r>
        <w:rPr>
          <w:rStyle w:val="CommentTok"/>
        </w:rPr>
        <w:t xml:space="preserve"># Iterar para encontrar w/r consistente</w:t>
      </w:r>
      <w:r>
        <w:br/>
      </w:r>
      <w:r>
        <w:rPr>
          <w:rStyle w:val="NormalTok"/>
        </w:rPr>
        <w:t xml:space="preserve">    </w:t>
      </w:r>
      <w:r>
        <w:rPr>
          <w:rStyle w:val="CommentTok"/>
        </w:rPr>
        <w:t xml:space="preserve"># Com CD: share do trabalho na renda do setor j = alpha_j</w:t>
      </w:r>
      <w:r>
        <w:br/>
      </w:r>
      <w:r>
        <w:rPr>
          <w:rStyle w:val="NormalTok"/>
        </w:rPr>
        <w:t xml:space="preserve">    </w:t>
      </w:r>
      <w:r>
        <w:rPr>
          <w:rStyle w:val="CommentTok"/>
        </w:rPr>
        <w:t xml:space="preserve"># Renda total do trabalho = alpha1*p1_prod*Y1 + alpha2*p2*Y2 = w*L_bar</w:t>
      </w:r>
      <w:r>
        <w:br/>
      </w:r>
      <w:r>
        <w:rPr>
          <w:rStyle w:val="NormalTok"/>
        </w:rPr>
        <w:t xml:space="preserve">    </w:t>
      </w:r>
      <w:r>
        <w:rPr>
          <w:rStyle w:val="CommentTok"/>
        </w:rPr>
        <w:t xml:space="preserve"># Renda total do capital = (1-alpha1)*p1_prod*Y1 + (1-alpha2)*p2*Y2 = r*K_bar</w:t>
      </w:r>
      <w:r>
        <w:br/>
      </w:r>
      <w:r>
        <w:br/>
      </w:r>
      <w:r>
        <w:rPr>
          <w:rStyle w:val="NormalTok"/>
        </w:rPr>
        <w:t xml:space="preserve">    </w:t>
      </w:r>
      <w:r>
        <w:rPr>
          <w:rStyle w:val="CommentTok"/>
        </w:rPr>
        <w:t xml:space="preserve"># Mais simples: usar que L_j/K_j depende de w/r</w:t>
      </w:r>
      <w:r>
        <w:br/>
      </w:r>
      <w:r>
        <w:rPr>
          <w:rStyle w:val="NormalTok"/>
        </w:rPr>
        <w:t xml:space="preserve">    </w:t>
      </w:r>
      <w:r>
        <w:rPr>
          <w:rStyle w:val="CommentTok"/>
        </w:rPr>
        <w:t xml:space="preserve"># L1 + L2 = L_bar,  K1 + K2 = K_bar</w:t>
      </w:r>
      <w:r>
        <w:br/>
      </w:r>
      <w:r>
        <w:rPr>
          <w:rStyle w:val="NormalTok"/>
        </w:rPr>
        <w:t xml:space="preserve">    </w:t>
      </w:r>
      <w:r>
        <w:rPr>
          <w:rStyle w:val="CommentTok"/>
        </w:rPr>
        <w:t xml:space="preserve"># K_j = L_j * (1-alpha_j)/alpha_j * (w/r)^(-1)</w:t>
      </w:r>
      <w:r>
        <w:br/>
      </w:r>
      <w:r>
        <w:rPr>
          <w:rStyle w:val="NormalTok"/>
        </w:rPr>
        <w:t xml:space="preserve">    </w:t>
      </w:r>
      <w:r>
        <w:rPr>
          <w:rStyle w:val="CommentTok"/>
        </w:rPr>
        <w:t xml:space="preserve"># Precisamos resolver para w/r</w:t>
      </w:r>
      <w:r>
        <w:br/>
      </w:r>
      <w:r>
        <w:br/>
      </w:r>
      <w:r>
        <w:rPr>
          <w:rStyle w:val="NormalTok"/>
        </w:rPr>
        <w:t xml:space="preserve">    </w:t>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br/>
      </w:r>
      <w:r>
        <w:rPr>
          <w:rStyle w:val="NormalTok"/>
        </w:rPr>
        <w:t xml:space="preserve">    </w:t>
      </w:r>
      <w:r>
        <w:rPr>
          <w:rStyle w:val="KeywordTok"/>
        </w:rPr>
        <w:t xml:space="preserve">def</w:t>
      </w:r>
      <w:r>
        <w:rPr>
          <w:rStyle w:val="NormalTok"/>
        </w:rPr>
        <w:t xml:space="preserve"> factor_market(omega):</w:t>
      </w:r>
      <w:r>
        <w:br/>
      </w:r>
      <w:r>
        <w:rPr>
          <w:rStyle w:val="NormalTok"/>
        </w:rPr>
        <w:t xml:space="preserve">        </w:t>
      </w:r>
      <w:r>
        <w:rPr>
          <w:rStyle w:val="CommentTok"/>
        </w:rPr>
        <w:t xml:space="preserve">"""omega = w/r. Resolve alocação de fatores."""</w:t>
      </w:r>
      <w:r>
        <w:br/>
      </w:r>
      <w:r>
        <w:rPr>
          <w:rStyle w:val="NormalTok"/>
        </w:rPr>
        <w:t xml:space="preserve">        </w:t>
      </w:r>
      <w:r>
        <w:rPr>
          <w:rStyle w:val="CommentTok"/>
        </w:rPr>
        <w:t xml:space="preserve"># Razão K/L em cada setor</w:t>
      </w:r>
      <w:r>
        <w:br/>
      </w:r>
      <w:r>
        <w:rPr>
          <w:rStyle w:val="NormalTok"/>
        </w:rPr>
        <w:t xml:space="preserve">        kl1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alpha1) </w:t>
      </w:r>
      <w:r>
        <w:rPr>
          <w:rStyle w:val="OperatorTok"/>
        </w:rPr>
        <w:t xml:space="preserve">/</w:t>
      </w:r>
      <w:r>
        <w:rPr>
          <w:rStyle w:val="NormalTok"/>
        </w:rPr>
        <w:t xml:space="preserve"> alpha1 </w:t>
      </w:r>
      <w:r>
        <w:rPr>
          <w:rStyle w:val="OperatorTok"/>
        </w:rPr>
        <w:t xml:space="preserve">*</w:t>
      </w:r>
      <w:r>
        <w:rPr>
          <w:rStyle w:val="NormalTok"/>
        </w:rPr>
        <w:t xml:space="preserve"> omega</w:t>
      </w:r>
      <w:r>
        <w:br/>
      </w:r>
      <w:r>
        <w:rPr>
          <w:rStyle w:val="NormalTok"/>
        </w:rPr>
        <w:t xml:space="preserve">        kl2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alpha2) </w:t>
      </w:r>
      <w:r>
        <w:rPr>
          <w:rStyle w:val="OperatorTok"/>
        </w:rPr>
        <w:t xml:space="preserve">/</w:t>
      </w:r>
      <w:r>
        <w:rPr>
          <w:rStyle w:val="NormalTok"/>
        </w:rPr>
        <w:t xml:space="preserve"> alpha2 </w:t>
      </w:r>
      <w:r>
        <w:rPr>
          <w:rStyle w:val="OperatorTok"/>
        </w:rPr>
        <w:t xml:space="preserve">*</w:t>
      </w:r>
      <w:r>
        <w:rPr>
          <w:rStyle w:val="NormalTok"/>
        </w:rPr>
        <w:t xml:space="preserve"> omega</w:t>
      </w:r>
      <w:r>
        <w:br/>
      </w:r>
      <w:r>
        <w:br/>
      </w:r>
      <w:r>
        <w:rPr>
          <w:rStyle w:val="NormalTok"/>
        </w:rPr>
        <w:t xml:space="preserve">        </w:t>
      </w:r>
      <w:r>
        <w:rPr>
          <w:rStyle w:val="CommentTok"/>
        </w:rPr>
        <w:t xml:space="preserve"># De L1 + L2 = L_bar e K1 + K2 = K_bar:</w:t>
      </w:r>
      <w:r>
        <w:br/>
      </w:r>
      <w:r>
        <w:rPr>
          <w:rStyle w:val="NormalTok"/>
        </w:rPr>
        <w:t xml:space="preserve">        </w:t>
      </w:r>
      <w:r>
        <w:rPr>
          <w:rStyle w:val="CommentTok"/>
        </w:rPr>
        <w:t xml:space="preserve"># K1 = kl1*L1, K2 = kl2*L2 = kl2*(L_bar - L1)</w:t>
      </w:r>
      <w:r>
        <w:br/>
      </w:r>
      <w:r>
        <w:rPr>
          <w:rStyle w:val="NormalTok"/>
        </w:rPr>
        <w:t xml:space="preserve">        </w:t>
      </w:r>
      <w:r>
        <w:rPr>
          <w:rStyle w:val="CommentTok"/>
        </w:rPr>
        <w:t xml:space="preserve"># kl1*L1 + kl2*(L_bar - L1) = K_bar</w:t>
      </w:r>
      <w:r>
        <w:br/>
      </w:r>
      <w:r>
        <w:rPr>
          <w:rStyle w:val="NormalTok"/>
        </w:rPr>
        <w:t xml:space="preserve">        L1 </w:t>
      </w:r>
      <w:r>
        <w:rPr>
          <w:rStyle w:val="OperatorTok"/>
        </w:rPr>
        <w:t xml:space="preserve">=</w:t>
      </w:r>
      <w:r>
        <w:rPr>
          <w:rStyle w:val="NormalTok"/>
        </w:rPr>
        <w:t xml:space="preserve"> (K_bar </w:t>
      </w:r>
      <w:r>
        <w:rPr>
          <w:rStyle w:val="OperatorTok"/>
        </w:rPr>
        <w:t xml:space="preserve">-</w:t>
      </w:r>
      <w:r>
        <w:rPr>
          <w:rStyle w:val="NormalTok"/>
        </w:rPr>
        <w:t xml:space="preserve"> kl2 </w:t>
      </w:r>
      <w:r>
        <w:rPr>
          <w:rStyle w:val="OperatorTok"/>
        </w:rPr>
        <w:t xml:space="preserve">*</w:t>
      </w:r>
      <w:r>
        <w:rPr>
          <w:rStyle w:val="NormalTok"/>
        </w:rPr>
        <w:t xml:space="preserve"> L_bar) </w:t>
      </w:r>
      <w:r>
        <w:rPr>
          <w:rStyle w:val="OperatorTok"/>
        </w:rPr>
        <w:t xml:space="preserve">/</w:t>
      </w:r>
      <w:r>
        <w:rPr>
          <w:rStyle w:val="NormalTok"/>
        </w:rPr>
        <w:t xml:space="preserve"> (kl1 </w:t>
      </w:r>
      <w:r>
        <w:rPr>
          <w:rStyle w:val="OperatorTok"/>
        </w:rPr>
        <w:t xml:space="preserve">-</w:t>
      </w:r>
      <w:r>
        <w:rPr>
          <w:rStyle w:val="NormalTok"/>
        </w:rPr>
        <w:t xml:space="preserve"> kl2)</w:t>
      </w:r>
      <w:r>
        <w:br/>
      </w:r>
      <w:r>
        <w:br/>
      </w:r>
      <w:r>
        <w:rPr>
          <w:rStyle w:val="NormalTok"/>
        </w:rPr>
        <w:t xml:space="preserve">        </w:t>
      </w:r>
      <w:r>
        <w:rPr>
          <w:rStyle w:val="ControlFlowTok"/>
        </w:rPr>
        <w:t xml:space="preserve">if</w:t>
      </w:r>
      <w:r>
        <w:rPr>
          <w:rStyle w:val="NormalTok"/>
        </w:rPr>
        <w:t xml:space="preserve"> L1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L1 </w:t>
      </w:r>
      <w:r>
        <w:rPr>
          <w:rStyle w:val="OperatorTok"/>
        </w:rPr>
        <w:t xml:space="preserve">&gt;</w:t>
      </w:r>
      <w:r>
        <w:rPr>
          <w:rStyle w:val="NormalTok"/>
        </w:rPr>
        <w:t xml:space="preserve"> L_bar: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L2 </w:t>
      </w:r>
      <w:r>
        <w:rPr>
          <w:rStyle w:val="OperatorTok"/>
        </w:rPr>
        <w:t xml:space="preserve">=</w:t>
      </w:r>
      <w:r>
        <w:rPr>
          <w:rStyle w:val="NormalTok"/>
        </w:rPr>
        <w:t xml:space="preserve"> L_bar </w:t>
      </w:r>
      <w:r>
        <w:rPr>
          <w:rStyle w:val="OperatorTok"/>
        </w:rPr>
        <w:t xml:space="preserve">-</w:t>
      </w:r>
      <w:r>
        <w:rPr>
          <w:rStyle w:val="NormalTok"/>
        </w:rPr>
        <w:t xml:space="preserve"> L1</w:t>
      </w:r>
      <w:r>
        <w:br/>
      </w:r>
      <w:r>
        <w:rPr>
          <w:rStyle w:val="NormalTok"/>
        </w:rPr>
        <w:t xml:space="preserve">        K1 </w:t>
      </w:r>
      <w:r>
        <w:rPr>
          <w:rStyle w:val="OperatorTok"/>
        </w:rPr>
        <w:t xml:space="preserve">=</w:t>
      </w:r>
      <w:r>
        <w:rPr>
          <w:rStyle w:val="NormalTok"/>
        </w:rPr>
        <w:t xml:space="preserve"> kl1 </w:t>
      </w:r>
      <w:r>
        <w:rPr>
          <w:rStyle w:val="OperatorTok"/>
        </w:rPr>
        <w:t xml:space="preserve">*</w:t>
      </w:r>
      <w:r>
        <w:rPr>
          <w:rStyle w:val="NormalTok"/>
        </w:rPr>
        <w:t xml:space="preserve"> L1</w:t>
      </w:r>
      <w:r>
        <w:br/>
      </w:r>
      <w:r>
        <w:rPr>
          <w:rStyle w:val="NormalTok"/>
        </w:rPr>
        <w:t xml:space="preserve">        K2 </w:t>
      </w:r>
      <w:r>
        <w:rPr>
          <w:rStyle w:val="OperatorTok"/>
        </w:rPr>
        <w:t xml:space="preserve">=</w:t>
      </w:r>
      <w:r>
        <w:rPr>
          <w:rStyle w:val="NormalTok"/>
        </w:rPr>
        <w:t xml:space="preserve"> kl2 </w:t>
      </w:r>
      <w:r>
        <w:rPr>
          <w:rStyle w:val="OperatorTok"/>
        </w:rPr>
        <w:t xml:space="preserve">*</w:t>
      </w:r>
      <w:r>
        <w:rPr>
          <w:rStyle w:val="NormalTok"/>
        </w:rPr>
        <w:t xml:space="preserve"> L2</w:t>
      </w:r>
      <w:r>
        <w:br/>
      </w:r>
      <w:r>
        <w:br/>
      </w:r>
      <w:r>
        <w:rPr>
          <w:rStyle w:val="NormalTok"/>
        </w:rPr>
        <w:t xml:space="preserve">        </w:t>
      </w:r>
      <w:r>
        <w:rPr>
          <w:rStyle w:val="CommentTok"/>
        </w:rPr>
        <w:t xml:space="preserve"># Produção</w:t>
      </w:r>
      <w:r>
        <w:br/>
      </w:r>
      <w:r>
        <w:rPr>
          <w:rStyle w:val="NormalTok"/>
        </w:rPr>
        <w:t xml:space="preserve">        Y1 </w:t>
      </w:r>
      <w:r>
        <w:rPr>
          <w:rStyle w:val="OperatorTok"/>
        </w:rPr>
        <w:t xml:space="preserve">=</w:t>
      </w:r>
      <w:r>
        <w:rPr>
          <w:rStyle w:val="NormalTok"/>
        </w:rPr>
        <w:t xml:space="preserve"> L1</w:t>
      </w:r>
      <w:r>
        <w:rPr>
          <w:rStyle w:val="OperatorTok"/>
        </w:rPr>
        <w:t xml:space="preserve">**</w:t>
      </w:r>
      <w:r>
        <w:rPr>
          <w:rStyle w:val="NormalTok"/>
        </w:rPr>
        <w:t xml:space="preserve">alpha1 </w:t>
      </w:r>
      <w:r>
        <w:rPr>
          <w:rStyle w:val="OperatorTok"/>
        </w:rPr>
        <w:t xml:space="preserve">*</w:t>
      </w:r>
      <w:r>
        <w:rPr>
          <w:rStyle w:val="NormalTok"/>
        </w:rPr>
        <w:t xml:space="preserve"> K1</w:t>
      </w:r>
      <w:r>
        <w:rPr>
          <w:rStyle w:val="Operato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alpha1)</w:t>
      </w:r>
      <w:r>
        <w:br/>
      </w:r>
      <w:r>
        <w:rPr>
          <w:rStyle w:val="NormalTok"/>
        </w:rPr>
        <w:t xml:space="preserve">        Y2 </w:t>
      </w:r>
      <w:r>
        <w:rPr>
          <w:rStyle w:val="OperatorTok"/>
        </w:rPr>
        <w:t xml:space="preserve">=</w:t>
      </w:r>
      <w:r>
        <w:rPr>
          <w:rStyle w:val="NormalTok"/>
        </w:rPr>
        <w:t xml:space="preserve"> L2</w:t>
      </w:r>
      <w:r>
        <w:rPr>
          <w:rStyle w:val="OperatorTok"/>
        </w:rPr>
        <w:t xml:space="preserve">**</w:t>
      </w:r>
      <w:r>
        <w:rPr>
          <w:rStyle w:val="NormalTok"/>
        </w:rPr>
        <w:t xml:space="preserve">alpha2 </w:t>
      </w:r>
      <w:r>
        <w:rPr>
          <w:rStyle w:val="OperatorTok"/>
        </w:rPr>
        <w:t xml:space="preserve">*</w:t>
      </w:r>
      <w:r>
        <w:rPr>
          <w:rStyle w:val="NormalTok"/>
        </w:rPr>
        <w:t xml:space="preserve"> K2</w:t>
      </w:r>
      <w:r>
        <w:rPr>
          <w:rStyle w:val="Operato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alpha2)</w:t>
      </w:r>
      <w:r>
        <w:br/>
      </w:r>
      <w:r>
        <w:br/>
      </w:r>
      <w:r>
        <w:rPr>
          <w:rStyle w:val="NormalTok"/>
        </w:rPr>
        <w:t xml:space="preserve">        </w:t>
      </w:r>
      <w:r>
        <w:rPr>
          <w:rStyle w:val="CommentTok"/>
        </w:rPr>
        <w:t xml:space="preserve"># Preços dos fatores</w:t>
      </w:r>
      <w:r>
        <w:br/>
      </w:r>
      <w:r>
        <w:rPr>
          <w:rStyle w:val="NormalTok"/>
        </w:rPr>
        <w:t xml:space="preserve">        w </w:t>
      </w:r>
      <w:r>
        <w:rPr>
          <w:rStyle w:val="OperatorTok"/>
        </w:rPr>
        <w:t xml:space="preserve">=</w:t>
      </w:r>
      <w:r>
        <w:rPr>
          <w:rStyle w:val="NormalTok"/>
        </w:rPr>
        <w:t xml:space="preserve"> alpha1 </w:t>
      </w:r>
      <w:r>
        <w:rPr>
          <w:rStyle w:val="OperatorTok"/>
        </w:rPr>
        <w:t xml:space="preserve">*</w:t>
      </w:r>
      <w:r>
        <w:rPr>
          <w:rStyle w:val="NormalTok"/>
        </w:rPr>
        <w:t xml:space="preserve"> p1_prod </w:t>
      </w:r>
      <w:r>
        <w:rPr>
          <w:rStyle w:val="OperatorTok"/>
        </w:rPr>
        <w:t xml:space="preserve">*</w:t>
      </w:r>
      <w:r>
        <w:rPr>
          <w:rStyle w:val="NormalTok"/>
        </w:rPr>
        <w:t xml:space="preserve"> Y1 </w:t>
      </w:r>
      <w:r>
        <w:rPr>
          <w:rStyle w:val="OperatorTok"/>
        </w:rPr>
        <w:t xml:space="preserve">/</w:t>
      </w:r>
      <w:r>
        <w:rPr>
          <w:rStyle w:val="NormalTok"/>
        </w:rPr>
        <w:t xml:space="preserve"> L1</w:t>
      </w:r>
      <w:r>
        <w:br/>
      </w:r>
      <w:r>
        <w:rPr>
          <w:rStyle w:val="NormalTok"/>
        </w:rPr>
        <w:t xml:space="preserve">        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alpha1) </w:t>
      </w:r>
      <w:r>
        <w:rPr>
          <w:rStyle w:val="OperatorTok"/>
        </w:rPr>
        <w:t xml:space="preserve">*</w:t>
      </w:r>
      <w:r>
        <w:rPr>
          <w:rStyle w:val="NormalTok"/>
        </w:rPr>
        <w:t xml:space="preserve"> p1_prod </w:t>
      </w:r>
      <w:r>
        <w:rPr>
          <w:rStyle w:val="OperatorTok"/>
        </w:rPr>
        <w:t xml:space="preserve">*</w:t>
      </w:r>
      <w:r>
        <w:rPr>
          <w:rStyle w:val="NormalTok"/>
        </w:rPr>
        <w:t xml:space="preserve"> Y1 </w:t>
      </w:r>
      <w:r>
        <w:rPr>
          <w:rStyle w:val="OperatorTok"/>
        </w:rPr>
        <w:t xml:space="preserve">/</w:t>
      </w:r>
      <w:r>
        <w:rPr>
          <w:rStyle w:val="NormalTok"/>
        </w:rPr>
        <w:t xml:space="preserve"> K1</w:t>
      </w:r>
      <w:r>
        <w:br/>
      </w:r>
      <w:r>
        <w:br/>
      </w:r>
      <w:r>
        <w:rPr>
          <w:rStyle w:val="NormalTok"/>
        </w:rPr>
        <w:t xml:space="preserve">        </w:t>
      </w:r>
      <w:r>
        <w:rPr>
          <w:rStyle w:val="ControlFlowTok"/>
        </w:rPr>
        <w:t xml:space="preserve">return</w:t>
      </w:r>
      <w:r>
        <w:rPr>
          <w:rStyle w:val="NormalTok"/>
        </w:rPr>
        <w:t xml:space="preserve"> L1, L2, K1, K2, Y1, Y2, w, r</w:t>
      </w:r>
      <w:r>
        <w:br/>
      </w:r>
      <w:r>
        <w:br/>
      </w:r>
      <w:r>
        <w:rPr>
          <w:rStyle w:val="NormalTok"/>
        </w:rPr>
        <w:t xml:space="preserve">    </w:t>
      </w:r>
      <w:r>
        <w:rPr>
          <w:rStyle w:val="KeywordTok"/>
        </w:rPr>
        <w:t xml:space="preserve">def</w:t>
      </w:r>
      <w:r>
        <w:rPr>
          <w:rStyle w:val="NormalTok"/>
        </w:rPr>
        <w:t xml:space="preserve"> excess_demand_omega(omega):</w:t>
      </w:r>
      <w:r>
        <w:br/>
      </w:r>
      <w:r>
        <w:rPr>
          <w:rStyle w:val="NormalTok"/>
        </w:rPr>
        <w:t xml:space="preserve">        </w:t>
      </w:r>
      <w:r>
        <w:rPr>
          <w:rStyle w:val="CommentTok"/>
        </w:rPr>
        <w:t xml:space="preserve">"""Excesso de demanda por trabalho dado omega = w/r."""</w:t>
      </w:r>
      <w:r>
        <w:br/>
      </w:r>
      <w:r>
        <w:rPr>
          <w:rStyle w:val="NormalTok"/>
        </w:rPr>
        <w:t xml:space="preserve">        kl1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alpha1) </w:t>
      </w:r>
      <w:r>
        <w:rPr>
          <w:rStyle w:val="OperatorTok"/>
        </w:rPr>
        <w:t xml:space="preserve">/</w:t>
      </w:r>
      <w:r>
        <w:rPr>
          <w:rStyle w:val="NormalTok"/>
        </w:rPr>
        <w:t xml:space="preserve"> alpha1 </w:t>
      </w:r>
      <w:r>
        <w:rPr>
          <w:rStyle w:val="OperatorTok"/>
        </w:rPr>
        <w:t xml:space="preserve">*</w:t>
      </w:r>
      <w:r>
        <w:rPr>
          <w:rStyle w:val="NormalTok"/>
        </w:rPr>
        <w:t xml:space="preserve"> omega</w:t>
      </w:r>
      <w:r>
        <w:br/>
      </w:r>
      <w:r>
        <w:rPr>
          <w:rStyle w:val="NormalTok"/>
        </w:rPr>
        <w:t xml:space="preserve">        kl2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alpha2) </w:t>
      </w:r>
      <w:r>
        <w:rPr>
          <w:rStyle w:val="OperatorTok"/>
        </w:rPr>
        <w:t xml:space="preserve">/</w:t>
      </w:r>
      <w:r>
        <w:rPr>
          <w:rStyle w:val="NormalTok"/>
        </w:rPr>
        <w:t xml:space="preserve"> alpha2 </w:t>
      </w:r>
      <w:r>
        <w:rPr>
          <w:rStyle w:val="OperatorTok"/>
        </w:rPr>
        <w:t xml:space="preserve">*</w:t>
      </w:r>
      <w:r>
        <w:rPr>
          <w:rStyle w:val="NormalTok"/>
        </w:rPr>
        <w:t xml:space="preserve"> omega</w:t>
      </w:r>
      <w:r>
        <w:br/>
      </w:r>
      <w:r>
        <w:rPr>
          <w:rStyle w:val="NormalTok"/>
        </w:rPr>
        <w:t xml:space="preserve">        L1 </w:t>
      </w:r>
      <w:r>
        <w:rPr>
          <w:rStyle w:val="OperatorTok"/>
        </w:rPr>
        <w:t xml:space="preserve">=</w:t>
      </w:r>
      <w:r>
        <w:rPr>
          <w:rStyle w:val="NormalTok"/>
        </w:rPr>
        <w:t xml:space="preserve"> (K_bar </w:t>
      </w:r>
      <w:r>
        <w:rPr>
          <w:rStyle w:val="OperatorTok"/>
        </w:rPr>
        <w:t xml:space="preserve">-</w:t>
      </w:r>
      <w:r>
        <w:rPr>
          <w:rStyle w:val="NormalTok"/>
        </w:rPr>
        <w:t xml:space="preserve"> kl2 </w:t>
      </w:r>
      <w:r>
        <w:rPr>
          <w:rStyle w:val="OperatorTok"/>
        </w:rPr>
        <w:t xml:space="preserve">*</w:t>
      </w:r>
      <w:r>
        <w:rPr>
          <w:rStyle w:val="NormalTok"/>
        </w:rPr>
        <w:t xml:space="preserve"> L_bar) </w:t>
      </w:r>
      <w:r>
        <w:rPr>
          <w:rStyle w:val="OperatorTok"/>
        </w:rPr>
        <w:t xml:space="preserve">/</w:t>
      </w:r>
      <w:r>
        <w:rPr>
          <w:rStyle w:val="NormalTok"/>
        </w:rPr>
        <w:t xml:space="preserve"> (kl1 </w:t>
      </w:r>
      <w:r>
        <w:rPr>
          <w:rStyle w:val="OperatorTok"/>
        </w:rPr>
        <w:t xml:space="preserve">-</w:t>
      </w:r>
      <w:r>
        <w:rPr>
          <w:rStyle w:val="NormalTok"/>
        </w:rPr>
        <w:t xml:space="preserve"> kl2)</w:t>
      </w:r>
      <w:r>
        <w:br/>
      </w:r>
      <w:r>
        <w:rPr>
          <w:rStyle w:val="NormalTok"/>
        </w:rPr>
        <w:t xml:space="preserve">        L2 </w:t>
      </w:r>
      <w:r>
        <w:rPr>
          <w:rStyle w:val="OperatorTok"/>
        </w:rPr>
        <w:t xml:space="preserve">=</w:t>
      </w:r>
      <w:r>
        <w:rPr>
          <w:rStyle w:val="NormalTok"/>
        </w:rPr>
        <w:t xml:space="preserve"> L_bar </w:t>
      </w:r>
      <w:r>
        <w:rPr>
          <w:rStyle w:val="OperatorTok"/>
        </w:rPr>
        <w:t xml:space="preserve">-</w:t>
      </w:r>
      <w:r>
        <w:rPr>
          <w:rStyle w:val="NormalTok"/>
        </w:rPr>
        <w:t xml:space="preserve"> L1</w:t>
      </w:r>
      <w:r>
        <w:br/>
      </w:r>
      <w:r>
        <w:rPr>
          <w:rStyle w:val="NormalTok"/>
        </w:rPr>
        <w:t xml:space="preserve">        K1 </w:t>
      </w:r>
      <w:r>
        <w:rPr>
          <w:rStyle w:val="OperatorTok"/>
        </w:rPr>
        <w:t xml:space="preserve">=</w:t>
      </w:r>
      <w:r>
        <w:rPr>
          <w:rStyle w:val="NormalTok"/>
        </w:rPr>
        <w:t xml:space="preserve"> kl1 </w:t>
      </w:r>
      <w:r>
        <w:rPr>
          <w:rStyle w:val="OperatorTok"/>
        </w:rPr>
        <w:t xml:space="preserve">*</w:t>
      </w:r>
      <w:r>
        <w:rPr>
          <w:rStyle w:val="NormalTok"/>
        </w:rPr>
        <w:t xml:space="preserve"> L1</w:t>
      </w:r>
      <w:r>
        <w:br/>
      </w:r>
      <w:r>
        <w:rPr>
          <w:rStyle w:val="NormalTok"/>
        </w:rPr>
        <w:t xml:space="preserve">        K2 </w:t>
      </w:r>
      <w:r>
        <w:rPr>
          <w:rStyle w:val="OperatorTok"/>
        </w:rPr>
        <w:t xml:space="preserve">=</w:t>
      </w:r>
      <w:r>
        <w:rPr>
          <w:rStyle w:val="NormalTok"/>
        </w:rPr>
        <w:t xml:space="preserve"> K_bar </w:t>
      </w:r>
      <w:r>
        <w:rPr>
          <w:rStyle w:val="OperatorTok"/>
        </w:rPr>
        <w:t xml:space="preserve">-</w:t>
      </w:r>
      <w:r>
        <w:rPr>
          <w:rStyle w:val="NormalTok"/>
        </w:rPr>
        <w:t xml:space="preserve"> K1</w:t>
      </w:r>
      <w:r>
        <w:br/>
      </w:r>
      <w:r>
        <w:rPr>
          <w:rStyle w:val="NormalTok"/>
        </w:rPr>
        <w:t xml:space="preserve">        </w:t>
      </w:r>
      <w:r>
        <w:rPr>
          <w:rStyle w:val="CommentTok"/>
        </w:rPr>
        <w:t xml:space="preserve"># Checagem: K1 + K2 deve = K_bar (identidade)</w:t>
      </w:r>
      <w:r>
        <w:br/>
      </w:r>
      <w:r>
        <w:rPr>
          <w:rStyle w:val="NormalTok"/>
        </w:rPr>
        <w:t xml:space="preserve">        </w:t>
      </w:r>
      <w:r>
        <w:rPr>
          <w:rStyle w:val="CommentTok"/>
        </w:rPr>
        <w:t xml:space="preserve"># A condição de equilíbrio é que w/r seja consistente</w:t>
      </w:r>
      <w:r>
        <w:br/>
      </w:r>
      <w:r>
        <w:rPr>
          <w:rStyle w:val="NormalTok"/>
        </w:rPr>
        <w:t xml:space="preserve">        </w:t>
      </w:r>
      <w:r>
        <w:rPr>
          <w:rStyle w:val="CommentTok"/>
        </w:rPr>
        <w:t xml:space="preserve"># entre os dois setores</w:t>
      </w:r>
      <w:r>
        <w:br/>
      </w:r>
      <w:r>
        <w:rPr>
          <w:rStyle w:val="NormalTok"/>
        </w:rPr>
        <w:t xml:space="preserve">        Y1 </w:t>
      </w:r>
      <w:r>
        <w:rPr>
          <w:rStyle w:val="OperatorTok"/>
        </w:rPr>
        <w:t xml:space="preserve">=</w:t>
      </w:r>
      <w:r>
        <w:rPr>
          <w:rStyle w:val="NormalTok"/>
        </w:rPr>
        <w:t xml:space="preserve"> L1</w:t>
      </w:r>
      <w:r>
        <w:rPr>
          <w:rStyle w:val="OperatorTok"/>
        </w:rPr>
        <w:t xml:space="preserve">**</w:t>
      </w:r>
      <w:r>
        <w:rPr>
          <w:rStyle w:val="NormalTok"/>
        </w:rPr>
        <w:t xml:space="preserve">alpha1 </w:t>
      </w:r>
      <w:r>
        <w:rPr>
          <w:rStyle w:val="OperatorTok"/>
        </w:rPr>
        <w:t xml:space="preserve">*</w:t>
      </w:r>
      <w:r>
        <w:rPr>
          <w:rStyle w:val="NormalTok"/>
        </w:rPr>
        <w:t xml:space="preserve"> K1</w:t>
      </w:r>
      <w:r>
        <w:rPr>
          <w:rStyle w:val="Operato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alpha1)</w:t>
      </w:r>
      <w:r>
        <w:br/>
      </w:r>
      <w:r>
        <w:rPr>
          <w:rStyle w:val="NormalTok"/>
        </w:rPr>
        <w:t xml:space="preserve">        Y2 </w:t>
      </w:r>
      <w:r>
        <w:rPr>
          <w:rStyle w:val="OperatorTok"/>
        </w:rPr>
        <w:t xml:space="preserve">=</w:t>
      </w:r>
      <w:r>
        <w:rPr>
          <w:rStyle w:val="NormalTok"/>
        </w:rPr>
        <w:t xml:space="preserve"> L2</w:t>
      </w:r>
      <w:r>
        <w:rPr>
          <w:rStyle w:val="OperatorTok"/>
        </w:rPr>
        <w:t xml:space="preserve">**</w:t>
      </w:r>
      <w:r>
        <w:rPr>
          <w:rStyle w:val="NormalTok"/>
        </w:rPr>
        <w:t xml:space="preserve">alpha2 </w:t>
      </w:r>
      <w:r>
        <w:rPr>
          <w:rStyle w:val="OperatorTok"/>
        </w:rPr>
        <w:t xml:space="preserve">*</w:t>
      </w:r>
      <w:r>
        <w:rPr>
          <w:rStyle w:val="NormalTok"/>
        </w:rPr>
        <w:t xml:space="preserve"> K2</w:t>
      </w:r>
      <w:r>
        <w:rPr>
          <w:rStyle w:val="Operato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alpha2)</w:t>
      </w:r>
      <w:r>
        <w:br/>
      </w:r>
      <w:r>
        <w:rPr>
          <w:rStyle w:val="NormalTok"/>
        </w:rPr>
        <w:t xml:space="preserve">        w1 </w:t>
      </w:r>
      <w:r>
        <w:rPr>
          <w:rStyle w:val="OperatorTok"/>
        </w:rPr>
        <w:t xml:space="preserve">=</w:t>
      </w:r>
      <w:r>
        <w:rPr>
          <w:rStyle w:val="NormalTok"/>
        </w:rPr>
        <w:t xml:space="preserve"> alpha1 </w:t>
      </w:r>
      <w:r>
        <w:rPr>
          <w:rStyle w:val="OperatorTok"/>
        </w:rPr>
        <w:t xml:space="preserve">*</w:t>
      </w:r>
      <w:r>
        <w:rPr>
          <w:rStyle w:val="NormalTok"/>
        </w:rPr>
        <w:t xml:space="preserve"> p1_prod </w:t>
      </w:r>
      <w:r>
        <w:rPr>
          <w:rStyle w:val="OperatorTok"/>
        </w:rPr>
        <w:t xml:space="preserve">*</w:t>
      </w:r>
      <w:r>
        <w:rPr>
          <w:rStyle w:val="NormalTok"/>
        </w:rPr>
        <w:t xml:space="preserve"> Y1 </w:t>
      </w:r>
      <w:r>
        <w:rPr>
          <w:rStyle w:val="OperatorTok"/>
        </w:rPr>
        <w:t xml:space="preserve">/</w:t>
      </w:r>
      <w:r>
        <w:rPr>
          <w:rStyle w:val="NormalTok"/>
        </w:rPr>
        <w:t xml:space="preserve"> L1 </w:t>
      </w:r>
      <w:r>
        <w:rPr>
          <w:rStyle w:val="ControlFlowTok"/>
        </w:rPr>
        <w:t xml:space="preserve">if</w:t>
      </w:r>
      <w:r>
        <w:rPr>
          <w:rStyle w:val="NormalTok"/>
        </w:rPr>
        <w:t xml:space="preserve"> L1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r1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alpha1) </w:t>
      </w:r>
      <w:r>
        <w:rPr>
          <w:rStyle w:val="OperatorTok"/>
        </w:rPr>
        <w:t xml:space="preserve">*</w:t>
      </w:r>
      <w:r>
        <w:rPr>
          <w:rStyle w:val="NormalTok"/>
        </w:rPr>
        <w:t xml:space="preserve"> p1_prod </w:t>
      </w:r>
      <w:r>
        <w:rPr>
          <w:rStyle w:val="OperatorTok"/>
        </w:rPr>
        <w:t xml:space="preserve">*</w:t>
      </w:r>
      <w:r>
        <w:rPr>
          <w:rStyle w:val="NormalTok"/>
        </w:rPr>
        <w:t xml:space="preserve"> Y1 </w:t>
      </w:r>
      <w:r>
        <w:rPr>
          <w:rStyle w:val="OperatorTok"/>
        </w:rPr>
        <w:t xml:space="preserve">/</w:t>
      </w:r>
      <w:r>
        <w:rPr>
          <w:rStyle w:val="NormalTok"/>
        </w:rPr>
        <w:t xml:space="preserve"> K1 </w:t>
      </w:r>
      <w:r>
        <w:rPr>
          <w:rStyle w:val="ControlFlowTok"/>
        </w:rPr>
        <w:t xml:space="preserve">if</w:t>
      </w:r>
      <w:r>
        <w:rPr>
          <w:rStyle w:val="NormalTok"/>
        </w:rPr>
        <w:t xml:space="preserve"> K1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w2 </w:t>
      </w:r>
      <w:r>
        <w:rPr>
          <w:rStyle w:val="OperatorTok"/>
        </w:rPr>
        <w:t xml:space="preserve">=</w:t>
      </w:r>
      <w:r>
        <w:rPr>
          <w:rStyle w:val="NormalTok"/>
        </w:rPr>
        <w:t xml:space="preserve"> alpha2 </w:t>
      </w:r>
      <w:r>
        <w:rPr>
          <w:rStyle w:val="OperatorTok"/>
        </w:rPr>
        <w:t xml:space="preserve">*</w:t>
      </w:r>
      <w:r>
        <w:rPr>
          <w:rStyle w:val="NormalTok"/>
        </w:rPr>
        <w:t xml:space="preserve"> p2 </w:t>
      </w:r>
      <w:r>
        <w:rPr>
          <w:rStyle w:val="OperatorTok"/>
        </w:rPr>
        <w:t xml:space="preserve">*</w:t>
      </w:r>
      <w:r>
        <w:rPr>
          <w:rStyle w:val="NormalTok"/>
        </w:rPr>
        <w:t xml:space="preserve"> Y2 </w:t>
      </w:r>
      <w:r>
        <w:rPr>
          <w:rStyle w:val="OperatorTok"/>
        </w:rPr>
        <w:t xml:space="preserve">/</w:t>
      </w:r>
      <w:r>
        <w:rPr>
          <w:rStyle w:val="NormalTok"/>
        </w:rPr>
        <w:t xml:space="preserve"> L2 </w:t>
      </w:r>
      <w:r>
        <w:rPr>
          <w:rStyle w:val="ControlFlowTok"/>
        </w:rPr>
        <w:t xml:space="preserve">if</w:t>
      </w:r>
      <w:r>
        <w:rPr>
          <w:rStyle w:val="NormalTok"/>
        </w:rPr>
        <w:t xml:space="preserve"> L2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r2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alpha2) </w:t>
      </w:r>
      <w:r>
        <w:rPr>
          <w:rStyle w:val="OperatorTok"/>
        </w:rPr>
        <w:t xml:space="preserve">*</w:t>
      </w:r>
      <w:r>
        <w:rPr>
          <w:rStyle w:val="NormalTok"/>
        </w:rPr>
        <w:t xml:space="preserve"> p2 </w:t>
      </w:r>
      <w:r>
        <w:rPr>
          <w:rStyle w:val="OperatorTok"/>
        </w:rPr>
        <w:t xml:space="preserve">*</w:t>
      </w:r>
      <w:r>
        <w:rPr>
          <w:rStyle w:val="NormalTok"/>
        </w:rPr>
        <w:t xml:space="preserve"> Y2 </w:t>
      </w:r>
      <w:r>
        <w:rPr>
          <w:rStyle w:val="OperatorTok"/>
        </w:rPr>
        <w:t xml:space="preserve">/</w:t>
      </w:r>
      <w:r>
        <w:rPr>
          <w:rStyle w:val="NormalTok"/>
        </w:rPr>
        <w:t xml:space="preserve"> K2 </w:t>
      </w:r>
      <w:r>
        <w:rPr>
          <w:rStyle w:val="ControlFlowTok"/>
        </w:rPr>
        <w:t xml:space="preserve">if</w:t>
      </w:r>
      <w:r>
        <w:rPr>
          <w:rStyle w:val="NormalTok"/>
        </w:rPr>
        <w:t xml:space="preserve"> K2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mmentTok"/>
        </w:rPr>
        <w:t xml:space="preserve"># Em equilíbrio: w1 = w2 e r1 = r2</w:t>
      </w:r>
      <w:r>
        <w:br/>
      </w:r>
      <w:r>
        <w:rPr>
          <w:rStyle w:val="NormalTok"/>
        </w:rPr>
        <w:t xml:space="preserve">        </w:t>
      </w:r>
      <w:r>
        <w:rPr>
          <w:rStyle w:val="ControlFlowTok"/>
        </w:rPr>
        <w:t xml:space="preserve">return</w:t>
      </w:r>
      <w:r>
        <w:rPr>
          <w:rStyle w:val="NormalTok"/>
        </w:rPr>
        <w:t xml:space="preserve"> (w1 </w:t>
      </w:r>
      <w:r>
        <w:rPr>
          <w:rStyle w:val="OperatorTok"/>
        </w:rPr>
        <w:t xml:space="preserve">-</w:t>
      </w:r>
      <w:r>
        <w:rPr>
          <w:rStyle w:val="NormalTok"/>
        </w:rPr>
        <w:t xml:space="preserve"> w2)</w:t>
      </w:r>
      <w:r>
        <w:br/>
      </w:r>
      <w:r>
        <w:br/>
      </w:r>
      <w:r>
        <w:rPr>
          <w:rStyle w:val="NormalTok"/>
        </w:rPr>
        <w:t xml:space="preserve">    </w:t>
      </w:r>
      <w:r>
        <w:rPr>
          <w:rStyle w:val="CommentTok"/>
        </w:rPr>
        <w:t xml:space="preserve"># Encontrar omega de equilíbrio</w:t>
      </w:r>
      <w:r>
        <w:br/>
      </w:r>
      <w:r>
        <w:rPr>
          <w:rStyle w:val="NormalTok"/>
        </w:rPr>
        <w:t xml:space="preserve">    omega_eq </w:t>
      </w:r>
      <w:r>
        <w:rPr>
          <w:rStyle w:val="OperatorTok"/>
        </w:rPr>
        <w:t xml:space="preserve">=</w:t>
      </w:r>
      <w:r>
        <w:rPr>
          <w:rStyle w:val="NormalTok"/>
        </w:rPr>
        <w:t xml:space="preserve"> brentq(excess_demand_omega, </w:t>
      </w:r>
      <w:r>
        <w:rPr>
          <w:rStyle w:val="FloatTok"/>
        </w:rPr>
        <w:t xml:space="preserve">0.01</w:t>
      </w:r>
      <w:r>
        <w:rPr>
          <w:rStyle w:val="NormalTok"/>
        </w:rPr>
        <w:t xml:space="preserve">, </w:t>
      </w:r>
      <w:r>
        <w:rPr>
          <w:rStyle w:val="FloatTok"/>
        </w:rPr>
        <w:t xml:space="preserve">100.0</w:t>
      </w:r>
      <w:r>
        <w:rPr>
          <w:rStyle w:val="NormalTok"/>
        </w:rPr>
        <w:t xml:space="preserve">)</w:t>
      </w:r>
      <w:r>
        <w:br/>
      </w:r>
      <w:r>
        <w:rPr>
          <w:rStyle w:val="NormalTok"/>
        </w:rPr>
        <w:t xml:space="preserve">    res </w:t>
      </w:r>
      <w:r>
        <w:rPr>
          <w:rStyle w:val="OperatorTok"/>
        </w:rPr>
        <w:t xml:space="preserve">=</w:t>
      </w:r>
      <w:r>
        <w:rPr>
          <w:rStyle w:val="NormalTok"/>
        </w:rPr>
        <w:t xml:space="preserve"> factor_market(omega_eq)</w:t>
      </w:r>
      <w:r>
        <w:br/>
      </w:r>
      <w:r>
        <w:rPr>
          <w:rStyle w:val="NormalTok"/>
        </w:rPr>
        <w:t xml:space="preserve">    L1, L2, K1, K2, Y1, Y2, w, r </w:t>
      </w:r>
      <w:r>
        <w:rPr>
          <w:rStyle w:val="OperatorTok"/>
        </w:rPr>
        <w:t xml:space="preserve">=</w:t>
      </w:r>
      <w:r>
        <w:rPr>
          <w:rStyle w:val="NormalTok"/>
        </w:rPr>
        <w:t xml:space="preserve"> res</w:t>
      </w:r>
      <w:r>
        <w:br/>
      </w:r>
      <w:r>
        <w:br/>
      </w:r>
      <w:r>
        <w:rPr>
          <w:rStyle w:val="NormalTok"/>
        </w:rPr>
        <w:t xml:space="preserve">    </w:t>
      </w:r>
      <w:r>
        <w:rPr>
          <w:rStyle w:val="CommentTok"/>
        </w:rPr>
        <w:t xml:space="preserve"># ── Demanda dos consumidores ──</w:t>
      </w:r>
      <w:r>
        <w:br/>
      </w:r>
      <w:r>
        <w:rPr>
          <w:rStyle w:val="NormalTok"/>
        </w:rPr>
        <w:t xml:space="preserve">    </w:t>
      </w:r>
      <w:r>
        <w:rPr>
          <w:rStyle w:val="CommentTok"/>
        </w:rPr>
        <w:t xml:space="preserve"># Trabalhador: renda = w * L_bar</w:t>
      </w:r>
      <w:r>
        <w:br/>
      </w:r>
      <w:r>
        <w:rPr>
          <w:rStyle w:val="NormalTok"/>
        </w:rPr>
        <w:t xml:space="preserve">    </w:t>
      </w:r>
      <w:r>
        <w:rPr>
          <w:rStyle w:val="CommentTok"/>
        </w:rPr>
        <w:t xml:space="preserve"># Capitalista: renda = r * K_bar</w:t>
      </w:r>
      <w:r>
        <w:br/>
      </w:r>
      <w:r>
        <w:rPr>
          <w:rStyle w:val="NormalTok"/>
        </w:rPr>
        <w:t xml:space="preserve">    </w:t>
      </w:r>
      <w:r>
        <w:rPr>
          <w:rStyle w:val="CommentTok"/>
        </w:rPr>
        <w:t xml:space="preserve"># Receita do imposto: tau * p1_prod * (x_11 + x_21) — redistribuída igualmente</w:t>
      </w:r>
      <w:r>
        <w:br/>
      </w:r>
      <w:r>
        <w:br/>
      </w:r>
      <w:r>
        <w:rPr>
          <w:rStyle w:val="NormalTok"/>
        </w:rPr>
        <w:t xml:space="preserve">    income_L </w:t>
      </w:r>
      <w:r>
        <w:rPr>
          <w:rStyle w:val="OperatorTok"/>
        </w:rPr>
        <w:t xml:space="preserve">=</w:t>
      </w:r>
      <w:r>
        <w:rPr>
          <w:rStyle w:val="NormalTok"/>
        </w:rPr>
        <w:t xml:space="preserve"> w </w:t>
      </w:r>
      <w:r>
        <w:rPr>
          <w:rStyle w:val="OperatorTok"/>
        </w:rPr>
        <w:t xml:space="preserve">*</w:t>
      </w:r>
      <w:r>
        <w:rPr>
          <w:rStyle w:val="NormalTok"/>
        </w:rPr>
        <w:t xml:space="preserve"> L_bar</w:t>
      </w:r>
      <w:r>
        <w:br/>
      </w:r>
      <w:r>
        <w:rPr>
          <w:rStyle w:val="NormalTok"/>
        </w:rPr>
        <w:t xml:space="preserve">    income_K </w:t>
      </w:r>
      <w:r>
        <w:rPr>
          <w:rStyle w:val="OperatorTok"/>
        </w:rPr>
        <w:t xml:space="preserve">=</w:t>
      </w:r>
      <w:r>
        <w:rPr>
          <w:rStyle w:val="NormalTok"/>
        </w:rPr>
        <w:t xml:space="preserve"> r </w:t>
      </w:r>
      <w:r>
        <w:rPr>
          <w:rStyle w:val="OperatorTok"/>
        </w:rPr>
        <w:t xml:space="preserve">*</w:t>
      </w:r>
      <w:r>
        <w:rPr>
          <w:rStyle w:val="NormalTok"/>
        </w:rPr>
        <w:t xml:space="preserve"> K_bar</w:t>
      </w:r>
      <w:r>
        <w:br/>
      </w:r>
      <w:r>
        <w:rPr>
          <w:rStyle w:val="NormalTok"/>
        </w:rPr>
        <w:t xml:space="preserve">    tax_revenue </w:t>
      </w:r>
      <w:r>
        <w:rPr>
          <w:rStyle w:val="OperatorTok"/>
        </w:rPr>
        <w:t xml:space="preserve">=</w:t>
      </w:r>
      <w:r>
        <w:rPr>
          <w:rStyle w:val="NormalTok"/>
        </w:rPr>
        <w:t xml:space="preserve"> tau </w:t>
      </w:r>
      <w:r>
        <w:rPr>
          <w:rStyle w:val="OperatorTok"/>
        </w:rPr>
        <w:t xml:space="preserve">*</w:t>
      </w:r>
      <w:r>
        <w:rPr>
          <w:rStyle w:val="NormalTok"/>
        </w:rPr>
        <w:t xml:space="preserve"> p1_prod </w:t>
      </w:r>
      <w:r>
        <w:rPr>
          <w:rStyle w:val="OperatorTok"/>
        </w:rPr>
        <w:t xml:space="preserve">*</w:t>
      </w:r>
      <w:r>
        <w:rPr>
          <w:rStyle w:val="NormalTok"/>
        </w:rPr>
        <w:t xml:space="preserve"> Y1  </w:t>
      </w:r>
      <w:r>
        <w:rPr>
          <w:rStyle w:val="CommentTok"/>
        </w:rPr>
        <w:t xml:space="preserve"># imposto sobre produção do bem 1</w:t>
      </w:r>
      <w:r>
        <w:br/>
      </w:r>
      <w:r>
        <w:br/>
      </w:r>
      <w:r>
        <w:rPr>
          <w:rStyle w:val="NormalTok"/>
        </w:rPr>
        <w:t xml:space="preserve">    </w:t>
      </w:r>
      <w:r>
        <w:rPr>
          <w:rStyle w:val="CommentTok"/>
        </w:rPr>
        <w:t xml:space="preserve"># Redistribuição: metade para cada</w:t>
      </w:r>
      <w:r>
        <w:br/>
      </w:r>
      <w:r>
        <w:rPr>
          <w:rStyle w:val="NormalTok"/>
        </w:rPr>
        <w:t xml:space="preserve">    income_L_total </w:t>
      </w:r>
      <w:r>
        <w:rPr>
          <w:rStyle w:val="OperatorTok"/>
        </w:rPr>
        <w:t xml:space="preserve">=</w:t>
      </w:r>
      <w:r>
        <w:rPr>
          <w:rStyle w:val="NormalTok"/>
        </w:rPr>
        <w:t xml:space="preserve"> income_L </w:t>
      </w:r>
      <w:r>
        <w:rPr>
          <w:rStyle w:val="OperatorTok"/>
        </w:rPr>
        <w:t xml:space="preserve">+</w:t>
      </w:r>
      <w:r>
        <w:rPr>
          <w:rStyle w:val="NormalTok"/>
        </w:rPr>
        <w:t xml:space="preserve"> tax_revenue </w:t>
      </w:r>
      <w:r>
        <w:rPr>
          <w:rStyle w:val="OperatorTok"/>
        </w:rPr>
        <w:t xml:space="preserve">/</w:t>
      </w:r>
      <w:r>
        <w:rPr>
          <w:rStyle w:val="NormalTok"/>
        </w:rPr>
        <w:t xml:space="preserve"> </w:t>
      </w:r>
      <w:r>
        <w:rPr>
          <w:rStyle w:val="DecValTok"/>
        </w:rPr>
        <w:t xml:space="preserve">2</w:t>
      </w:r>
      <w:r>
        <w:br/>
      </w:r>
      <w:r>
        <w:rPr>
          <w:rStyle w:val="NormalTok"/>
        </w:rPr>
        <w:t xml:space="preserve">    income_K_total </w:t>
      </w:r>
      <w:r>
        <w:rPr>
          <w:rStyle w:val="OperatorTok"/>
        </w:rPr>
        <w:t xml:space="preserve">=</w:t>
      </w:r>
      <w:r>
        <w:rPr>
          <w:rStyle w:val="NormalTok"/>
        </w:rPr>
        <w:t xml:space="preserve"> income_K </w:t>
      </w:r>
      <w:r>
        <w:rPr>
          <w:rStyle w:val="OperatorTok"/>
        </w:rPr>
        <w:t xml:space="preserve">+</w:t>
      </w:r>
      <w:r>
        <w:rPr>
          <w:rStyle w:val="NormalTok"/>
        </w:rPr>
        <w:t xml:space="preserve"> tax_revenue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mmentTok"/>
        </w:rPr>
        <w:t xml:space="preserve"># Demandas (Cobb-Douglas com share beta):</w:t>
      </w:r>
      <w:r>
        <w:br/>
      </w:r>
      <w:r>
        <w:rPr>
          <w:rStyle w:val="NormalTok"/>
        </w:rPr>
        <w:t xml:space="preserve">    x_L1 </w:t>
      </w:r>
      <w:r>
        <w:rPr>
          <w:rStyle w:val="OperatorTok"/>
        </w:rPr>
        <w:t xml:space="preserve">=</w:t>
      </w:r>
      <w:r>
        <w:rPr>
          <w:rStyle w:val="NormalTok"/>
        </w:rPr>
        <w:t xml:space="preserve"> beta </w:t>
      </w:r>
      <w:r>
        <w:rPr>
          <w:rStyle w:val="OperatorTok"/>
        </w:rPr>
        <w:t xml:space="preserve">*</w:t>
      </w:r>
      <w:r>
        <w:rPr>
          <w:rStyle w:val="NormalTok"/>
        </w:rPr>
        <w:t xml:space="preserve"> income_L_total </w:t>
      </w:r>
      <w:r>
        <w:rPr>
          <w:rStyle w:val="OperatorTok"/>
        </w:rPr>
        <w:t xml:space="preserve">/</w:t>
      </w:r>
      <w:r>
        <w:rPr>
          <w:rStyle w:val="NormalTok"/>
        </w:rPr>
        <w:t xml:space="preserve"> p1</w:t>
      </w:r>
      <w:r>
        <w:br/>
      </w:r>
      <w:r>
        <w:rPr>
          <w:rStyle w:val="NormalTok"/>
        </w:rPr>
        <w:t xml:space="preserve">    x_L2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income_L_total </w:t>
      </w:r>
      <w:r>
        <w:rPr>
          <w:rStyle w:val="OperatorTok"/>
        </w:rPr>
        <w:t xml:space="preserve">/</w:t>
      </w:r>
      <w:r>
        <w:rPr>
          <w:rStyle w:val="NormalTok"/>
        </w:rPr>
        <w:t xml:space="preserve"> p2</w:t>
      </w:r>
      <w:r>
        <w:br/>
      </w:r>
      <w:r>
        <w:rPr>
          <w:rStyle w:val="NormalTok"/>
        </w:rPr>
        <w:t xml:space="preserve">    x_K1 </w:t>
      </w:r>
      <w:r>
        <w:rPr>
          <w:rStyle w:val="OperatorTok"/>
        </w:rPr>
        <w:t xml:space="preserve">=</w:t>
      </w:r>
      <w:r>
        <w:rPr>
          <w:rStyle w:val="NormalTok"/>
        </w:rPr>
        <w:t xml:space="preserve"> beta </w:t>
      </w:r>
      <w:r>
        <w:rPr>
          <w:rStyle w:val="OperatorTok"/>
        </w:rPr>
        <w:t xml:space="preserve">*</w:t>
      </w:r>
      <w:r>
        <w:rPr>
          <w:rStyle w:val="NormalTok"/>
        </w:rPr>
        <w:t xml:space="preserve"> income_K_total </w:t>
      </w:r>
      <w:r>
        <w:rPr>
          <w:rStyle w:val="OperatorTok"/>
        </w:rPr>
        <w:t xml:space="preserve">/</w:t>
      </w:r>
      <w:r>
        <w:rPr>
          <w:rStyle w:val="NormalTok"/>
        </w:rPr>
        <w:t xml:space="preserve"> p1</w:t>
      </w:r>
      <w:r>
        <w:br/>
      </w:r>
      <w:r>
        <w:rPr>
          <w:rStyle w:val="NormalTok"/>
        </w:rPr>
        <w:t xml:space="preserve">    x_K2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income_K_total </w:t>
      </w:r>
      <w:r>
        <w:rPr>
          <w:rStyle w:val="OperatorTok"/>
        </w:rPr>
        <w:t xml:space="preserve">/</w:t>
      </w:r>
      <w:r>
        <w:rPr>
          <w:rStyle w:val="NormalTok"/>
        </w:rPr>
        <w:t xml:space="preserve"> p2</w:t>
      </w:r>
      <w:r>
        <w:br/>
      </w:r>
      <w:r>
        <w:br/>
      </w:r>
      <w:r>
        <w:rPr>
          <w:rStyle w:val="NormalTok"/>
        </w:rPr>
        <w:t xml:space="preserve">    </w:t>
      </w:r>
      <w:r>
        <w:rPr>
          <w:rStyle w:val="CommentTok"/>
        </w:rPr>
        <w:t xml:space="preserve"># Excesso de demanda no mercado do bem 1</w:t>
      </w:r>
      <w:r>
        <w:br/>
      </w:r>
      <w:r>
        <w:rPr>
          <w:rStyle w:val="NormalTok"/>
        </w:rPr>
        <w:t xml:space="preserve">    ED1 </w:t>
      </w:r>
      <w:r>
        <w:rPr>
          <w:rStyle w:val="OperatorTok"/>
        </w:rPr>
        <w:t xml:space="preserve">=</w:t>
      </w:r>
      <w:r>
        <w:rPr>
          <w:rStyle w:val="NormalTok"/>
        </w:rPr>
        <w:t xml:space="preserve"> (x_L1 </w:t>
      </w:r>
      <w:r>
        <w:rPr>
          <w:rStyle w:val="OperatorTok"/>
        </w:rPr>
        <w:t xml:space="preserve">+</w:t>
      </w:r>
      <w:r>
        <w:rPr>
          <w:rStyle w:val="NormalTok"/>
        </w:rPr>
        <w:t xml:space="preserve"> x_K1) </w:t>
      </w:r>
      <w:r>
        <w:rPr>
          <w:rStyle w:val="OperatorTok"/>
        </w:rPr>
        <w:t xml:space="preserve">-</w:t>
      </w:r>
      <w:r>
        <w:rPr>
          <w:rStyle w:val="NormalTok"/>
        </w:rPr>
        <w:t xml:space="preserve"> Y1</w:t>
      </w:r>
      <w:r>
        <w:br/>
      </w:r>
      <w:r>
        <w:br/>
      </w:r>
      <w:r>
        <w:rPr>
          <w:rStyle w:val="NormalTok"/>
        </w:rPr>
        <w:t xml:space="preserve">    </w:t>
      </w:r>
      <w:r>
        <w:rPr>
          <w:rStyle w:val="ControlFlowTok"/>
        </w:rPr>
        <w:t xml:space="preserve">return</w:t>
      </w:r>
      <w:r>
        <w:rPr>
          <w:rStyle w:val="NormalTok"/>
        </w:rPr>
        <w:t xml:space="preserve"> ED1, Y1, Y2, w, r, income_L_total, income_K_total</w:t>
      </w:r>
      <w:r>
        <w:br/>
      </w:r>
      <w:r>
        <w:br/>
      </w:r>
      <w:r>
        <w:rPr>
          <w:rStyle w:val="CommentTok"/>
        </w:rPr>
        <w:t xml:space="preserve"># ── Encontrar preço de equilíbrio (sem imposto) ────────</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br/>
      </w:r>
      <w:r>
        <w:rPr>
          <w:rStyle w:val="KeywordTok"/>
        </w:rPr>
        <w:t xml:space="preserve">def</w:t>
      </w:r>
      <w:r>
        <w:rPr>
          <w:rStyle w:val="NormalTok"/>
        </w:rPr>
        <w:t xml:space="preserve"> ED1_of_p1(p1, tau</w:t>
      </w:r>
      <w:r>
        <w:rPr>
          <w:rStyle w:val="OperatorTok"/>
        </w:rPr>
        <w:t xml:space="preserve">=</w:t>
      </w:r>
      <w:r>
        <w:rPr>
          <w:rStyle w:val="FloatTok"/>
        </w:rPr>
        <w:t xml:space="preserve">0.0</w:t>
      </w:r>
      <w:r>
        <w:rPr>
          <w:rStyle w:val="NormalTok"/>
        </w:rPr>
        <w:t xml:space="preserve">):</w:t>
      </w:r>
      <w:r>
        <w:br/>
      </w:r>
      <w:r>
        <w:rPr>
          <w:rStyle w:val="NormalTok"/>
        </w:rPr>
        <w:t xml:space="preserve">    ed, </w:t>
      </w:r>
      <w:r>
        <w:rPr>
          <w:rStyle w:val="OperatorTok"/>
        </w:rPr>
        <w:t xml:space="preserve">*</w:t>
      </w:r>
      <w:r>
        <w:rPr>
          <w:rStyle w:val="NormalTok"/>
        </w:rPr>
        <w:t xml:space="preserve">_ </w:t>
      </w:r>
      <w:r>
        <w:rPr>
          <w:rStyle w:val="OperatorTok"/>
        </w:rPr>
        <w:t xml:space="preserve">=</w:t>
      </w:r>
      <w:r>
        <w:rPr>
          <w:rStyle w:val="NormalTok"/>
        </w:rPr>
        <w:t xml:space="preserve"> solve_equilibrium(p1, tau)</w:t>
      </w:r>
      <w:r>
        <w:br/>
      </w:r>
      <w:r>
        <w:rPr>
          <w:rStyle w:val="NormalTok"/>
        </w:rPr>
        <w:t xml:space="preserve">    </w:t>
      </w:r>
      <w:r>
        <w:rPr>
          <w:rStyle w:val="ControlFlowTok"/>
        </w:rPr>
        <w:t xml:space="preserve">return</w:t>
      </w:r>
      <w:r>
        <w:rPr>
          <w:rStyle w:val="NormalTok"/>
        </w:rPr>
        <w:t xml:space="preserve"> ed</w:t>
      </w:r>
      <w:r>
        <w:br/>
      </w:r>
      <w:r>
        <w:br/>
      </w:r>
      <w:r>
        <w:rPr>
          <w:rStyle w:val="NormalTok"/>
        </w:rPr>
        <w:t xml:space="preserve">p1_star </w:t>
      </w:r>
      <w:r>
        <w:rPr>
          <w:rStyle w:val="OperatorTok"/>
        </w:rPr>
        <w:t xml:space="preserve">=</w:t>
      </w:r>
      <w:r>
        <w:rPr>
          <w:rStyle w:val="NormalTok"/>
        </w:rPr>
        <w:t xml:space="preserve"> brentq(ED1_of_p1, </w:t>
      </w:r>
      <w:r>
        <w:rPr>
          <w:rStyle w:val="FloatTok"/>
        </w:rPr>
        <w:t xml:space="preserve">0.1</w:t>
      </w:r>
      <w:r>
        <w:rPr>
          <w:rStyle w:val="NormalTok"/>
        </w:rPr>
        <w:t xml:space="preserve">, </w:t>
      </w:r>
      <w:r>
        <w:rPr>
          <w:rStyle w:val="FloatTok"/>
        </w:rPr>
        <w:t xml:space="preserve">10.0</w:t>
      </w:r>
      <w:r>
        <w:rPr>
          <w:rStyle w:val="NormalTok"/>
        </w:rPr>
        <w:t xml:space="preserve">, args</w:t>
      </w:r>
      <w:r>
        <w:rPr>
          <w:rStyle w:val="OperatorTok"/>
        </w:rPr>
        <w:t xml:space="preserve">=</w:t>
      </w:r>
      <w:r>
        <w:rPr>
          <w:rStyle w:val="NormalTok"/>
        </w:rPr>
        <w:t xml:space="preserve">(</w:t>
      </w:r>
      <w:r>
        <w:rPr>
          <w:rStyle w:val="FloatTok"/>
        </w:rPr>
        <w:t xml:space="preserve">0.0</w:t>
      </w:r>
      <w:r>
        <w:rPr>
          <w:rStyle w:val="NormalTok"/>
        </w:rPr>
        <w:t xml:space="preserve">,))</w:t>
      </w:r>
      <w:r>
        <w:br/>
      </w:r>
      <w:r>
        <w:rPr>
          <w:rStyle w:val="NormalTok"/>
        </w:rPr>
        <w:t xml:space="preserve">_, Y1_0, Y2_0, w_0, r_0, inc_L_0, inc_K_0 </w:t>
      </w:r>
      <w:r>
        <w:rPr>
          <w:rStyle w:val="OperatorTok"/>
        </w:rPr>
        <w:t xml:space="preserve">=</w:t>
      </w:r>
      <w:r>
        <w:rPr>
          <w:rStyle w:val="NormalTok"/>
        </w:rPr>
        <w:t xml:space="preserve"> solve_equilibrium(p1_star, </w:t>
      </w:r>
      <w:r>
        <w:rPr>
          <w:rStyle w:val="FloatTok"/>
        </w:rPr>
        <w:t xml:space="preserve">0.0</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StringTok"/>
        </w:rPr>
        <w:t xml:space="preserve">"EQUILÍBRIO SEM IMPOSTO (benchmark)"</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SpecialStringTok"/>
        </w:rPr>
        <w:t xml:space="preserve">f"  p1/p2 = </w:t>
      </w:r>
      <w:r>
        <w:rPr>
          <w:rStyle w:val="SpecialCharTok"/>
        </w:rPr>
        <w:t xml:space="preserve">{</w:t>
      </w:r>
      <w:r>
        <w:rPr>
          <w:rStyle w:val="NormalTok"/>
        </w:rPr>
        <w:t xml:space="preserve">p1_star</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Y1 (Alimentos)    = </w:t>
      </w:r>
      <w:r>
        <w:rPr>
          <w:rStyle w:val="SpecialCharTok"/>
        </w:rPr>
        <w:t xml:space="preserve">{</w:t>
      </w:r>
      <w:r>
        <w:rPr>
          <w:rStyle w:val="NormalTok"/>
        </w:rPr>
        <w:t xml:space="preserve">Y1_0</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Y2 (Manufaturas)  = </w:t>
      </w:r>
      <w:r>
        <w:rPr>
          <w:rStyle w:val="SpecialCharTok"/>
        </w:rPr>
        <w:t xml:space="preserve">{</w:t>
      </w:r>
      <w:r>
        <w:rPr>
          <w:rStyle w:val="NormalTok"/>
        </w:rPr>
        <w:t xml:space="preserve">Y2_0</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w (salário)       = </w:t>
      </w:r>
      <w:r>
        <w:rPr>
          <w:rStyle w:val="SpecialCharTok"/>
        </w:rPr>
        <w:t xml:space="preserve">{</w:t>
      </w:r>
      <w:r>
        <w:rPr>
          <w:rStyle w:val="NormalTok"/>
        </w:rPr>
        <w:t xml:space="preserve">w_0</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 (remuneração K) = </w:t>
      </w:r>
      <w:r>
        <w:rPr>
          <w:rStyle w:val="SpecialCharTok"/>
        </w:rPr>
        <w:t xml:space="preserve">{</w:t>
      </w:r>
      <w:r>
        <w:rPr>
          <w:rStyle w:val="NormalTok"/>
        </w:rPr>
        <w:t xml:space="preserve">r_0</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Renda Trabalhador = </w:t>
      </w:r>
      <w:r>
        <w:rPr>
          <w:rStyle w:val="SpecialCharTok"/>
        </w:rPr>
        <w:t xml:space="preserve">{</w:t>
      </w:r>
      <w:r>
        <w:rPr>
          <w:rStyle w:val="NormalTok"/>
        </w:rPr>
        <w:t xml:space="preserve">inc_L_0</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Renda Capitalista = </w:t>
      </w:r>
      <w:r>
        <w:rPr>
          <w:rStyle w:val="SpecialCharTok"/>
        </w:rPr>
        <w:t xml:space="preserve">{</w:t>
      </w:r>
      <w:r>
        <w:rPr>
          <w:rStyle w:val="NormalTok"/>
        </w:rPr>
        <w:t xml:space="preserve">inc_K_0</w:t>
      </w:r>
      <w:r>
        <w:rPr>
          <w:rStyle w:val="SpecialCharTok"/>
        </w:rPr>
        <w:t xml:space="preserve">:.2f}</w:t>
      </w:r>
      <w:r>
        <w:rPr>
          <w:rStyle w:val="SpecialStringTok"/>
        </w:rPr>
        <w:t xml:space="preserve">"</w:t>
      </w:r>
      <w:r>
        <w:rPr>
          <w:rStyle w:val="NormalTok"/>
        </w:rPr>
        <w:t xml:space="preserve">)</w:t>
      </w:r>
      <w:r>
        <w:br/>
      </w:r>
      <w:r>
        <w:br/>
      </w:r>
      <w:r>
        <w:rPr>
          <w:rStyle w:val="CommentTok"/>
        </w:rPr>
        <w:t xml:space="preserve"># ── Choque: imposto de 20% sobre alimentos ────────────</w:t>
      </w:r>
      <w:r>
        <w:br/>
      </w:r>
      <w:r>
        <w:rPr>
          <w:rStyle w:val="NormalTok"/>
        </w:rPr>
        <w:t xml:space="preserve">tau </w:t>
      </w:r>
      <w:r>
        <w:rPr>
          <w:rStyle w:val="OperatorTok"/>
        </w:rPr>
        <w:t xml:space="preserve">=</w:t>
      </w:r>
      <w:r>
        <w:rPr>
          <w:rStyle w:val="NormalTok"/>
        </w:rPr>
        <w:t xml:space="preserve"> </w:t>
      </w:r>
      <w:r>
        <w:rPr>
          <w:rStyle w:val="FloatTok"/>
        </w:rPr>
        <w:t xml:space="preserve">0.20</w:t>
      </w:r>
      <w:r>
        <w:br/>
      </w:r>
      <w:r>
        <w:rPr>
          <w:rStyle w:val="NormalTok"/>
        </w:rPr>
        <w:t xml:space="preserve">p1_tax </w:t>
      </w:r>
      <w:r>
        <w:rPr>
          <w:rStyle w:val="OperatorTok"/>
        </w:rPr>
        <w:t xml:space="preserve">=</w:t>
      </w:r>
      <w:r>
        <w:rPr>
          <w:rStyle w:val="NormalTok"/>
        </w:rPr>
        <w:t xml:space="preserve"> brentq(ED1_of_p1, </w:t>
      </w:r>
      <w:r>
        <w:rPr>
          <w:rStyle w:val="FloatTok"/>
        </w:rPr>
        <w:t xml:space="preserve">0.1</w:t>
      </w:r>
      <w:r>
        <w:rPr>
          <w:rStyle w:val="NormalTok"/>
        </w:rPr>
        <w:t xml:space="preserve">, </w:t>
      </w:r>
      <w:r>
        <w:rPr>
          <w:rStyle w:val="FloatTok"/>
        </w:rPr>
        <w:t xml:space="preserve">10.0</w:t>
      </w:r>
      <w:r>
        <w:rPr>
          <w:rStyle w:val="NormalTok"/>
        </w:rPr>
        <w:t xml:space="preserve">, args</w:t>
      </w:r>
      <w:r>
        <w:rPr>
          <w:rStyle w:val="OperatorTok"/>
        </w:rPr>
        <w:t xml:space="preserve">=</w:t>
      </w:r>
      <w:r>
        <w:rPr>
          <w:rStyle w:val="NormalTok"/>
        </w:rPr>
        <w:t xml:space="preserve">(tau,))</w:t>
      </w:r>
      <w:r>
        <w:br/>
      </w:r>
      <w:r>
        <w:rPr>
          <w:rStyle w:val="NormalTok"/>
        </w:rPr>
        <w:t xml:space="preserve">_, Y1_t, Y2_t, w_t, r_t, inc_L_t, inc_K_t </w:t>
      </w:r>
      <w:r>
        <w:rPr>
          <w:rStyle w:val="OperatorTok"/>
        </w:rPr>
        <w:t xml:space="preserve">=</w:t>
      </w:r>
      <w:r>
        <w:rPr>
          <w:rStyle w:val="NormalTok"/>
        </w:rPr>
        <w:t xml:space="preserve"> solve_equilibrium(p1_tax, tau)</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f"EQUILÍBRIO COM IMPOSTO (tau = </w:t>
      </w:r>
      <w:r>
        <w:rPr>
          <w:rStyle w:val="SpecialCharTok"/>
        </w:rPr>
        <w:t xml:space="preserve">{</w:t>
      </w:r>
      <w:r>
        <w:rPr>
          <w:rStyle w:val="NormalTok"/>
        </w:rPr>
        <w:t xml:space="preserve">tau</w:t>
      </w:r>
      <w:r>
        <w:rPr>
          <w:rStyle w:val="SpecialCharTok"/>
        </w:rPr>
        <w:t xml:space="preserve">:.0%}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SpecialStringTok"/>
        </w:rPr>
        <w:t xml:space="preserve">f"  p1/p2 = </w:t>
      </w:r>
      <w:r>
        <w:rPr>
          <w:rStyle w:val="SpecialCharTok"/>
        </w:rPr>
        <w:t xml:space="preserve">{</w:t>
      </w:r>
      <w:r>
        <w:rPr>
          <w:rStyle w:val="NormalTok"/>
        </w:rPr>
        <w:t xml:space="preserve">p1_tax</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Y1 (Alimentos)    = </w:t>
      </w:r>
      <w:r>
        <w:rPr>
          <w:rStyle w:val="SpecialCharTok"/>
        </w:rPr>
        <w:t xml:space="preserve">{</w:t>
      </w:r>
      <w:r>
        <w:rPr>
          <w:rStyle w:val="NormalTok"/>
        </w:rPr>
        <w:t xml:space="preserve">Y1_t</w:t>
      </w:r>
      <w:r>
        <w:rPr>
          <w:rStyle w:val="SpecialCharTok"/>
        </w:rPr>
        <w:t xml:space="preserve">:.2f}</w:t>
      </w:r>
      <w:r>
        <w:rPr>
          <w:rStyle w:val="SpecialStringTok"/>
        </w:rPr>
        <w:t xml:space="preserve">  (</w:t>
      </w:r>
      <w:r>
        <w:rPr>
          <w:rStyle w:val="SpecialCharTok"/>
        </w:rPr>
        <w:t xml:space="preserve">{</w:t>
      </w:r>
      <w:r>
        <w:rPr>
          <w:rStyle w:val="NormalTok"/>
        </w:rPr>
        <w:t xml:space="preserve">(Y1_t</w:t>
      </w:r>
      <w:r>
        <w:rPr>
          <w:rStyle w:val="OperatorTok"/>
        </w:rPr>
        <w:t xml:space="preserve">/</w:t>
      </w:r>
      <w:r>
        <w:rPr>
          <w:rStyle w:val="NormalTok"/>
        </w:rPr>
        <w:t xml:space="preserve">Y1_0</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Y2 (Manufaturas)  = </w:t>
      </w:r>
      <w:r>
        <w:rPr>
          <w:rStyle w:val="SpecialCharTok"/>
        </w:rPr>
        <w:t xml:space="preserve">{</w:t>
      </w:r>
      <w:r>
        <w:rPr>
          <w:rStyle w:val="NormalTok"/>
        </w:rPr>
        <w:t xml:space="preserve">Y2_t</w:t>
      </w:r>
      <w:r>
        <w:rPr>
          <w:rStyle w:val="SpecialCharTok"/>
        </w:rPr>
        <w:t xml:space="preserve">:.2f}</w:t>
      </w:r>
      <w:r>
        <w:rPr>
          <w:rStyle w:val="SpecialStringTok"/>
        </w:rPr>
        <w:t xml:space="preserve">  (</w:t>
      </w:r>
      <w:r>
        <w:rPr>
          <w:rStyle w:val="SpecialCharTok"/>
        </w:rPr>
        <w:t xml:space="preserve">{</w:t>
      </w:r>
      <w:r>
        <w:rPr>
          <w:rStyle w:val="NormalTok"/>
        </w:rPr>
        <w:t xml:space="preserve">(Y2_t</w:t>
      </w:r>
      <w:r>
        <w:rPr>
          <w:rStyle w:val="OperatorTok"/>
        </w:rPr>
        <w:t xml:space="preserve">/</w:t>
      </w:r>
      <w:r>
        <w:rPr>
          <w:rStyle w:val="NormalTok"/>
        </w:rPr>
        <w:t xml:space="preserve">Y2_0</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w (salário)       = </w:t>
      </w:r>
      <w:r>
        <w:rPr>
          <w:rStyle w:val="SpecialCharTok"/>
        </w:rPr>
        <w:t xml:space="preserve">{</w:t>
      </w:r>
      <w:r>
        <w:rPr>
          <w:rStyle w:val="NormalTok"/>
        </w:rPr>
        <w:t xml:space="preserve">w_t</w:t>
      </w:r>
      <w:r>
        <w:rPr>
          <w:rStyle w:val="SpecialCharTok"/>
        </w:rPr>
        <w:t xml:space="preserve">:.4f}</w:t>
      </w:r>
      <w:r>
        <w:rPr>
          <w:rStyle w:val="SpecialStringTok"/>
        </w:rPr>
        <w:t xml:space="preserve">  (</w:t>
      </w:r>
      <w:r>
        <w:rPr>
          <w:rStyle w:val="SpecialCharTok"/>
        </w:rPr>
        <w:t xml:space="preserve">{</w:t>
      </w:r>
      <w:r>
        <w:rPr>
          <w:rStyle w:val="NormalTok"/>
        </w:rPr>
        <w:t xml:space="preserve">(w_t</w:t>
      </w:r>
      <w:r>
        <w:rPr>
          <w:rStyle w:val="OperatorTok"/>
        </w:rPr>
        <w:t xml:space="preserve">/</w:t>
      </w:r>
      <w:r>
        <w:rPr>
          <w:rStyle w:val="NormalTok"/>
        </w:rPr>
        <w:t xml:space="preserve">w_0</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 (remuneração K) = </w:t>
      </w:r>
      <w:r>
        <w:rPr>
          <w:rStyle w:val="SpecialCharTok"/>
        </w:rPr>
        <w:t xml:space="preserve">{</w:t>
      </w:r>
      <w:r>
        <w:rPr>
          <w:rStyle w:val="NormalTok"/>
        </w:rPr>
        <w:t xml:space="preserve">r_t</w:t>
      </w:r>
      <w:r>
        <w:rPr>
          <w:rStyle w:val="SpecialCharTok"/>
        </w:rPr>
        <w:t xml:space="preserve">:.4f}</w:t>
      </w:r>
      <w:r>
        <w:rPr>
          <w:rStyle w:val="SpecialStringTok"/>
        </w:rPr>
        <w:t xml:space="preserve">  (</w:t>
      </w:r>
      <w:r>
        <w:rPr>
          <w:rStyle w:val="SpecialCharTok"/>
        </w:rPr>
        <w:t xml:space="preserve">{</w:t>
      </w:r>
      <w:r>
        <w:rPr>
          <w:rStyle w:val="NormalTok"/>
        </w:rPr>
        <w:t xml:space="preserve">(r_t</w:t>
      </w:r>
      <w:r>
        <w:rPr>
          <w:rStyle w:val="OperatorTok"/>
        </w:rPr>
        <w:t xml:space="preserve">/</w:t>
      </w:r>
      <w:r>
        <w:rPr>
          <w:rStyle w:val="NormalTok"/>
        </w:rPr>
        <w:t xml:space="preserve">r_0</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Renda Trabalhador = </w:t>
      </w:r>
      <w:r>
        <w:rPr>
          <w:rStyle w:val="SpecialCharTok"/>
        </w:rPr>
        <w:t xml:space="preserve">{</w:t>
      </w:r>
      <w:r>
        <w:rPr>
          <w:rStyle w:val="NormalTok"/>
        </w:rPr>
        <w:t xml:space="preserve">inc_L_t</w:t>
      </w:r>
      <w:r>
        <w:rPr>
          <w:rStyle w:val="SpecialCharTok"/>
        </w:rPr>
        <w:t xml:space="preserve">:.2f}</w:t>
      </w:r>
      <w:r>
        <w:rPr>
          <w:rStyle w:val="SpecialStringTok"/>
        </w:rPr>
        <w:t xml:space="preserve">  (</w:t>
      </w:r>
      <w:r>
        <w:rPr>
          <w:rStyle w:val="SpecialCharTok"/>
        </w:rPr>
        <w:t xml:space="preserve">{</w:t>
      </w:r>
      <w:r>
        <w:rPr>
          <w:rStyle w:val="NormalTok"/>
        </w:rPr>
        <w:t xml:space="preserve">(inc_L_t</w:t>
      </w:r>
      <w:r>
        <w:rPr>
          <w:rStyle w:val="OperatorTok"/>
        </w:rPr>
        <w:t xml:space="preserve">/</w:t>
      </w:r>
      <w:r>
        <w:rPr>
          <w:rStyle w:val="NormalTok"/>
        </w:rPr>
        <w:t xml:space="preserve">inc_L_0</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Renda Capitalista = </w:t>
      </w:r>
      <w:r>
        <w:rPr>
          <w:rStyle w:val="SpecialCharTok"/>
        </w:rPr>
        <w:t xml:space="preserve">{</w:t>
      </w:r>
      <w:r>
        <w:rPr>
          <w:rStyle w:val="NormalTok"/>
        </w:rPr>
        <w:t xml:space="preserve">inc_K_t</w:t>
      </w:r>
      <w:r>
        <w:rPr>
          <w:rStyle w:val="SpecialCharTok"/>
        </w:rPr>
        <w:t xml:space="preserve">:.2f}</w:t>
      </w:r>
      <w:r>
        <w:rPr>
          <w:rStyle w:val="SpecialStringTok"/>
        </w:rPr>
        <w:t xml:space="preserve">  (</w:t>
      </w:r>
      <w:r>
        <w:rPr>
          <w:rStyle w:val="SpecialCharTok"/>
        </w:rPr>
        <w:t xml:space="preserve">{</w:t>
      </w:r>
      <w:r>
        <w:rPr>
          <w:rStyle w:val="NormalTok"/>
        </w:rPr>
        <w:t xml:space="preserve">(inc_K_t</w:t>
      </w:r>
      <w:r>
        <w:rPr>
          <w:rStyle w:val="OperatorTok"/>
        </w:rPr>
        <w:t xml:space="preserve">/</w:t>
      </w:r>
      <w:r>
        <w:rPr>
          <w:rStyle w:val="NormalTok"/>
        </w:rPr>
        <w:t xml:space="preserve">inc_K_0</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mmentTok"/>
        </w:rPr>
        <w:t xml:space="preserve"># ── Análise de sensibilidade: variando tau ─────────────</w:t>
      </w:r>
      <w:r>
        <w:br/>
      </w:r>
      <w:r>
        <w:rPr>
          <w:rStyle w:val="NormalTok"/>
        </w:rPr>
        <w:t xml:space="preserve">taus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FloatTok"/>
        </w:rPr>
        <w:t xml:space="preserve">0.5</w:t>
      </w:r>
      <w:r>
        <w:rPr>
          <w:rStyle w:val="NormalTok"/>
        </w:rPr>
        <w:t xml:space="preserve">, </w:t>
      </w:r>
      <w:r>
        <w:rPr>
          <w:rStyle w:val="DecValTok"/>
        </w:rPr>
        <w:t xml:space="preserve">30</w:t>
      </w:r>
      <w:r>
        <w:rPr>
          <w:rStyle w:val="NormalTok"/>
        </w:rPr>
        <w:t xml:space="preserve">)</w:t>
      </w:r>
      <w:r>
        <w:br/>
      </w:r>
      <w:r>
        <w:rPr>
          <w:rStyle w:val="NormalTok"/>
        </w:rPr>
        <w:t xml:space="preserve">Y1s, Y2s, ws, rs </w:t>
      </w:r>
      <w:r>
        <w:rPr>
          <w:rStyle w:val="OperatorTok"/>
        </w:rPr>
        <w:t xml:space="preserve">=</w:t>
      </w:r>
      <w:r>
        <w:rPr>
          <w:rStyle w:val="NormalTok"/>
        </w:rPr>
        <w:t xml:space="preserve"> [], [], [], []</w:t>
      </w:r>
      <w:r>
        <w:br/>
      </w:r>
      <w:r>
        <w:br/>
      </w:r>
      <w:r>
        <w:rPr>
          <w:rStyle w:val="ControlFlowTok"/>
        </w:rPr>
        <w:t xml:space="preserve">for</w:t>
      </w:r>
      <w:r>
        <w:rPr>
          <w:rStyle w:val="NormalTok"/>
        </w:rPr>
        <w:t xml:space="preserve"> t </w:t>
      </w:r>
      <w:r>
        <w:rPr>
          <w:rStyle w:val="KeywordTok"/>
        </w:rPr>
        <w:t xml:space="preserve">in</w:t>
      </w:r>
      <w:r>
        <w:rPr>
          <w:rStyle w:val="NormalTok"/>
        </w:rPr>
        <w:t xml:space="preserve"> taus:</w:t>
      </w:r>
      <w:r>
        <w:br/>
      </w:r>
      <w:r>
        <w:rPr>
          <w:rStyle w:val="NormalTok"/>
        </w:rPr>
        <w:t xml:space="preserve">    p1_t </w:t>
      </w:r>
      <w:r>
        <w:rPr>
          <w:rStyle w:val="OperatorTok"/>
        </w:rPr>
        <w:t xml:space="preserve">=</w:t>
      </w:r>
      <w:r>
        <w:rPr>
          <w:rStyle w:val="NormalTok"/>
        </w:rPr>
        <w:t xml:space="preserve"> brentq(ED1_of_p1, </w:t>
      </w:r>
      <w:r>
        <w:rPr>
          <w:rStyle w:val="FloatTok"/>
        </w:rPr>
        <w:t xml:space="preserve">0.1</w:t>
      </w:r>
      <w:r>
        <w:rPr>
          <w:rStyle w:val="NormalTok"/>
        </w:rPr>
        <w:t xml:space="preserve">, </w:t>
      </w:r>
      <w:r>
        <w:rPr>
          <w:rStyle w:val="FloatTok"/>
        </w:rPr>
        <w:t xml:space="preserve">10.0</w:t>
      </w:r>
      <w:r>
        <w:rPr>
          <w:rStyle w:val="NormalTok"/>
        </w:rPr>
        <w:t xml:space="preserve">, args</w:t>
      </w:r>
      <w:r>
        <w:rPr>
          <w:rStyle w:val="OperatorTok"/>
        </w:rPr>
        <w:t xml:space="preserve">=</w:t>
      </w:r>
      <w:r>
        <w:rPr>
          <w:rStyle w:val="NormalTok"/>
        </w:rPr>
        <w:t xml:space="preserve">(t,))</w:t>
      </w:r>
      <w:r>
        <w:br/>
      </w:r>
      <w:r>
        <w:rPr>
          <w:rStyle w:val="NormalTok"/>
        </w:rPr>
        <w:t xml:space="preserve">    _, y1, y2, w_i, r_i, _, _ </w:t>
      </w:r>
      <w:r>
        <w:rPr>
          <w:rStyle w:val="OperatorTok"/>
        </w:rPr>
        <w:t xml:space="preserve">=</w:t>
      </w:r>
      <w:r>
        <w:rPr>
          <w:rStyle w:val="NormalTok"/>
        </w:rPr>
        <w:t xml:space="preserve"> solve_equilibrium(p1_t, t)</w:t>
      </w:r>
      <w:r>
        <w:br/>
      </w:r>
      <w:r>
        <w:rPr>
          <w:rStyle w:val="NormalTok"/>
        </w:rPr>
        <w:t xml:space="preserve">    Y1s.append(y1)</w:t>
      </w:r>
      <w:r>
        <w:br/>
      </w:r>
      <w:r>
        <w:rPr>
          <w:rStyle w:val="NormalTok"/>
        </w:rPr>
        <w:t xml:space="preserve">    Y2s.append(y2)</w:t>
      </w:r>
      <w:r>
        <w:br/>
      </w:r>
      <w:r>
        <w:rPr>
          <w:rStyle w:val="NormalTok"/>
        </w:rPr>
        <w:t xml:space="preserve">    ws.append(w_i)</w:t>
      </w:r>
      <w:r>
        <w:br/>
      </w:r>
      <w:r>
        <w:rPr>
          <w:rStyle w:val="NormalTok"/>
        </w:rPr>
        <w:t xml:space="preserve">    rs.append(r_i)</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NormalTok"/>
        </w:rPr>
        <w:t xml:space="preserve">axes[</w:t>
      </w:r>
      <w:r>
        <w:rPr>
          <w:rStyle w:val="DecValTok"/>
        </w:rPr>
        <w:t xml:space="preserve">0</w:t>
      </w:r>
      <w:r>
        <w:rPr>
          <w:rStyle w:val="NormalTok"/>
        </w:rPr>
        <w:t xml:space="preserve">].plot(taus </w:t>
      </w:r>
      <w:r>
        <w:rPr>
          <w:rStyle w:val="OperatorTok"/>
        </w:rPr>
        <w:t xml:space="preserve">*</w:t>
      </w:r>
      <w:r>
        <w:rPr>
          <w:rStyle w:val="NormalTok"/>
        </w:rPr>
        <w:t xml:space="preserve"> </w:t>
      </w:r>
      <w:r>
        <w:rPr>
          <w:rStyle w:val="DecValTok"/>
        </w:rPr>
        <w:t xml:space="preserve">100</w:t>
      </w:r>
      <w:r>
        <w:rPr>
          <w:rStyle w:val="NormalTok"/>
        </w:rPr>
        <w:t xml:space="preserve">, Y1s,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'Alimentos (Y₁)'</w:t>
      </w:r>
      <w:r>
        <w:rPr>
          <w:rStyle w:val="NormalTok"/>
        </w:rPr>
        <w:t xml:space="preserve">)</w:t>
      </w:r>
      <w:r>
        <w:br/>
      </w:r>
      <w:r>
        <w:rPr>
          <w:rStyle w:val="NormalTok"/>
        </w:rPr>
        <w:t xml:space="preserve">axes[</w:t>
      </w:r>
      <w:r>
        <w:rPr>
          <w:rStyle w:val="DecValTok"/>
        </w:rPr>
        <w:t xml:space="preserve">0</w:t>
      </w:r>
      <w:r>
        <w:rPr>
          <w:rStyle w:val="NormalTok"/>
        </w:rPr>
        <w:t xml:space="preserve">].plot(taus </w:t>
      </w:r>
      <w:r>
        <w:rPr>
          <w:rStyle w:val="OperatorTok"/>
        </w:rPr>
        <w:t xml:space="preserve">*</w:t>
      </w:r>
      <w:r>
        <w:rPr>
          <w:rStyle w:val="NormalTok"/>
        </w:rPr>
        <w:t xml:space="preserve"> </w:t>
      </w:r>
      <w:r>
        <w:rPr>
          <w:rStyle w:val="DecValTok"/>
        </w:rPr>
        <w:t xml:space="preserve">100</w:t>
      </w:r>
      <w:r>
        <w:rPr>
          <w:rStyle w:val="NormalTok"/>
        </w:rPr>
        <w:t xml:space="preserve">, Y2s,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'Manufaturas (Y₂)'</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'Alíquota do imposto (%)'</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'Produção'</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'Efeito do Imposto sobre a Produção Setorial'</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axes[</w:t>
      </w:r>
      <w:r>
        <w:rPr>
          <w:rStyle w:val="DecValTok"/>
        </w:rPr>
        <w:t xml:space="preserve">1</w:t>
      </w:r>
      <w:r>
        <w:rPr>
          <w:rStyle w:val="NormalTok"/>
        </w:rPr>
        <w:t xml:space="preserve">].plot(taus </w:t>
      </w:r>
      <w:r>
        <w:rPr>
          <w:rStyle w:val="OperatorTok"/>
        </w:rPr>
        <w:t xml:space="preserve">*</w:t>
      </w:r>
      <w:r>
        <w:rPr>
          <w:rStyle w:val="NormalTok"/>
        </w:rPr>
        <w:t xml:space="preserve"> </w:t>
      </w:r>
      <w:r>
        <w:rPr>
          <w:rStyle w:val="DecValTok"/>
        </w:rPr>
        <w:t xml:space="preserve">100</w:t>
      </w:r>
      <w:r>
        <w:rPr>
          <w:rStyle w:val="NormalTok"/>
        </w:rPr>
        <w:t xml:space="preserve">, [w</w:t>
      </w:r>
      <w:r>
        <w:rPr>
          <w:rStyle w:val="OperatorTok"/>
        </w:rPr>
        <w:t xml:space="preserve">/</w:t>
      </w:r>
      <w:r>
        <w:rPr>
          <w:rStyle w:val="NormalTok"/>
        </w:rPr>
        <w:t xml:space="preserve">r </w:t>
      </w:r>
      <w:r>
        <w:rPr>
          <w:rStyle w:val="ControlFlowTok"/>
        </w:rPr>
        <w:t xml:space="preserve">for</w:t>
      </w:r>
      <w:r>
        <w:rPr>
          <w:rStyle w:val="NormalTok"/>
        </w:rPr>
        <w:t xml:space="preserve"> w, r </w:t>
      </w:r>
      <w:r>
        <w:rPr>
          <w:rStyle w:val="KeywordTok"/>
        </w:rPr>
        <w:t xml:space="preserve">in</w:t>
      </w:r>
      <w:r>
        <w:rPr>
          <w:rStyle w:val="NormalTok"/>
        </w:rPr>
        <w:t xml:space="preserve"> </w:t>
      </w:r>
      <w:r>
        <w:rPr>
          <w:rStyle w:val="BuiltInTok"/>
        </w:rPr>
        <w:t xml:space="preserve">zip</w:t>
      </w:r>
      <w:r>
        <w:rPr>
          <w:rStyle w:val="NormalTok"/>
        </w:rPr>
        <w:t xml:space="preserve">(ws, rs)],</w:t>
      </w:r>
      <w:r>
        <w:br/>
      </w:r>
      <w:r>
        <w:rPr>
          <w:rStyle w:val="NormalTok"/>
        </w:rPr>
        <w:t xml:space="preserve">             </w:t>
      </w:r>
      <w:r>
        <w:rPr>
          <w:rStyle w:val="StringTok"/>
        </w:rPr>
        <w:t xml:space="preserve">'g-'</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'Alíquota do imposto (%)'</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'w/r (preço relativo dos fatores)'</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'Efeito sobre o Preço Relativo dos Fatores'</w:t>
      </w:r>
      <w:r>
        <w:rPr>
          <w:rStyle w:val="NormalTok"/>
        </w:rPr>
        <w:t xml:space="preserve">)</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'cge_resultados.png'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Gráfico salvo como cge_resultados.png"</w:t>
      </w:r>
      <w:r>
        <w:rPr>
          <w:rStyle w:val="NormalTok"/>
        </w:rPr>
        <w:t xml:space="preserve">)</w:t>
      </w:r>
    </w:p>
    <w:p>
      <w:r>
        <w:pict>
          <v:rect style="width:0;height:1.5pt" o:hralign="center" o:hrstd="t" o:hr="t"/>
        </w:pict>
      </w:r>
    </w:p>
    <w:p>
      <w:pPr>
        <w:pStyle w:val="BlockText"/>
      </w:pPr>
      <w:r>
        <w:rPr>
          <w:b/>
          <w:bCs/>
        </w:rPr>
        <w:t xml:space="preserve">Parte 3 — Perguntas para o relatório</w:t>
      </w:r>
    </w:p>
    <w:p>
      <w:pPr>
        <w:pStyle w:val="BlockText"/>
        <w:numPr>
          <w:ilvl w:val="0"/>
          <w:numId w:val="1813"/>
        </w:numPr>
      </w:pPr>
      <w:r>
        <w:rPr>
          <w:b/>
          <w:bCs/>
        </w:rPr>
        <w:t xml:space="preserve">Stolper-Samuelson ao vivo:</w:t>
      </w:r>
      <w:r>
        <w:t xml:space="preserve"> </w:t>
      </w:r>
      <w:r>
        <w:t xml:space="preserve">O imposto sobre alimentos (setor trabalho-intensivo) beneficia trabalhadores ou capitalistas? Compare</w:t>
      </w:r>
      <w:r>
        <w:t xml:space="preserve"> </w:t>
      </w:r>
      <m:oMath>
        <m:r>
          <m:t>w</m:t>
        </m:r>
        <m:r>
          <m:rPr>
            <m:sty m:val="p"/>
          </m:rPr>
          <m:t>/</m:t>
        </m:r>
        <m:r>
          <m:t>r</m:t>
        </m:r>
      </m:oMath>
      <w:r>
        <w:t xml:space="preserve"> </w:t>
      </w:r>
      <w:r>
        <w:t xml:space="preserve">antes e depois do choque. O resultado é consistente com o Teorema de Stolper-Samuelson?</w:t>
      </w:r>
    </w:p>
    <w:p>
      <w:pPr>
        <w:pStyle w:val="BlockText"/>
        <w:numPr>
          <w:ilvl w:val="0"/>
          <w:numId w:val="1813"/>
        </w:numPr>
      </w:pPr>
      <w:r>
        <w:rPr>
          <w:b/>
          <w:bCs/>
        </w:rPr>
        <w:t xml:space="preserve">Sensibilidade:</w:t>
      </w:r>
      <w:r>
        <w:t xml:space="preserve"> </w:t>
      </w:r>
      <w:r>
        <w:t xml:space="preserve">Altere</w:t>
      </w:r>
      <w:r>
        <w:t xml:space="preserve"> </w:t>
      </w:r>
      <m:oMath>
        <m:sSub>
          <m:e>
            <m:r>
              <m:t>α</m:t>
            </m:r>
          </m:e>
          <m:sub>
            <m:r>
              <m:t>1</m:t>
            </m:r>
          </m:sub>
        </m:sSub>
        <m:r>
          <m:rPr>
            <m:sty m:val="p"/>
          </m:rPr>
          <m:t>=</m:t>
        </m:r>
        <m:r>
          <m:t>0</m:t>
        </m:r>
        <m:r>
          <m:rPr>
            <m:sty m:val="p"/>
          </m:rPr>
          <m:t>,</m:t>
        </m:r>
        <m:r>
          <m:t>5</m:t>
        </m:r>
      </m:oMath>
      <w:r>
        <w:t xml:space="preserve"> </w:t>
      </w:r>
      <w:r>
        <w:t xml:space="preserve">e</w:t>
      </w:r>
      <w:r>
        <w:t xml:space="preserve"> </w:t>
      </w:r>
      <m:oMath>
        <m:sSub>
          <m:e>
            <m:r>
              <m:t>α</m:t>
            </m:r>
          </m:e>
          <m:sub>
            <m:r>
              <m:t>2</m:t>
            </m:r>
          </m:sub>
        </m:sSub>
        <m:r>
          <m:rPr>
            <m:sty m:val="p"/>
          </m:rPr>
          <m:t>=</m:t>
        </m:r>
        <m:r>
          <m:t>0</m:t>
        </m:r>
        <m:r>
          <m:rPr>
            <m:sty m:val="p"/>
          </m:rPr>
          <m:t>,</m:t>
        </m:r>
        <m:r>
          <m:t>5</m:t>
        </m:r>
      </m:oMath>
      <w:r>
        <w:t xml:space="preserve"> </w:t>
      </w:r>
      <w:r>
        <w:t xml:space="preserve">(setores com mesma intensidade fatorial). O que acontece com o efeito distributivo do imposto? Por quê?</w:t>
      </w:r>
    </w:p>
    <w:p>
      <w:pPr>
        <w:pStyle w:val="BlockText"/>
        <w:numPr>
          <w:ilvl w:val="0"/>
          <w:numId w:val="1813"/>
        </w:numPr>
      </w:pPr>
      <w:r>
        <w:rPr>
          <w:b/>
          <w:bCs/>
        </w:rPr>
        <w:t xml:space="preserve">Equilíbrio parcial vs. geral:</w:t>
      </w:r>
      <w:r>
        <w:t xml:space="preserve"> </w:t>
      </w:r>
      <w:r>
        <w:t xml:space="preserve">Se você analisasse o imposto sobre alimentos usando apenas o mercado de alimentos (equilíbrio parcial), que efeitos</w:t>
      </w:r>
      <w:r>
        <w:t xml:space="preserve"> </w:t>
      </w:r>
      <w:r>
        <w:rPr>
          <w:i/>
          <w:iCs/>
        </w:rPr>
        <w:t xml:space="preserve">não</w:t>
      </w:r>
      <w:r>
        <w:t xml:space="preserve"> </w:t>
      </w:r>
      <w:r>
        <w:t xml:space="preserve">capturaria?</w:t>
      </w:r>
    </w:p>
    <w:p>
      <w:pPr>
        <w:pStyle w:val="BlockText"/>
        <w:numPr>
          <w:ilvl w:val="0"/>
          <w:numId w:val="1813"/>
        </w:numPr>
      </w:pPr>
      <w:r>
        <w:rPr>
          <w:b/>
          <w:bCs/>
        </w:rPr>
        <w:t xml:space="preserve">Lei de Walras:</w:t>
      </w:r>
      <w:r>
        <w:t xml:space="preserve"> </w:t>
      </w:r>
      <w:r>
        <w:t xml:space="preserve">Verifique numericamente que, para qualquer</w:t>
      </w:r>
      <w:r>
        <w:t xml:space="preserve"> </w:t>
      </w:r>
      <m:oMath>
        <m:sSub>
          <m:e>
            <m:r>
              <m:t>p</m:t>
            </m:r>
          </m:e>
          <m:sub>
            <m:r>
              <m:t>1</m:t>
            </m:r>
          </m:sub>
        </m:sSub>
      </m:oMath>
      <w:r>
        <w:t xml:space="preserve"> </w:t>
      </w:r>
      <w:r>
        <w:t xml:space="preserve">(fora do equilíbrio),</w:t>
      </w:r>
      <w:r>
        <w:t xml:space="preserve"> </w:t>
      </w:r>
      <m:oMath>
        <m:sSub>
          <m:e>
            <m:r>
              <m:t>p</m:t>
            </m:r>
          </m:e>
          <m:sub>
            <m:r>
              <m:t>1</m:t>
            </m:r>
          </m:sub>
        </m:sSub>
        <m:r>
          <m:rPr>
            <m:sty m:val="p"/>
          </m:rPr>
          <m:t>⋅</m:t>
        </m:r>
        <m:r>
          <m:t>E</m:t>
        </m:r>
        <m:sSub>
          <m:e>
            <m:r>
              <m:t>D</m:t>
            </m:r>
          </m:e>
          <m:sub>
            <m:r>
              <m:t>1</m:t>
            </m:r>
          </m:sub>
        </m:sSub>
        <m:r>
          <m:rPr>
            <m:sty m:val="p"/>
          </m:rPr>
          <m:t>+</m:t>
        </m:r>
        <m:sSub>
          <m:e>
            <m:r>
              <m:t>p</m:t>
            </m:r>
          </m:e>
          <m:sub>
            <m:r>
              <m:t>2</m:t>
            </m:r>
          </m:sub>
        </m:sSub>
        <m:r>
          <m:rPr>
            <m:sty m:val="p"/>
          </m:rPr>
          <m:t>⋅</m:t>
        </m:r>
        <m:r>
          <m:t>E</m:t>
        </m:r>
        <m:sSub>
          <m:e>
            <m:r>
              <m:t>D</m:t>
            </m:r>
          </m:e>
          <m:sub>
            <m:r>
              <m:t>2</m:t>
            </m:r>
          </m:sub>
        </m:sSub>
        <m:r>
          <m:rPr>
            <m:sty m:val="p"/>
          </m:rPr>
          <m:t>=</m:t>
        </m:r>
        <m:r>
          <m:t>0</m:t>
        </m:r>
      </m:oMath>
      <w:r>
        <w:t xml:space="preserve">. O que essa identidade garante sobre a resolução do modelo?</w:t>
      </w:r>
    </w:p>
    <w:p>
      <w:pPr>
        <w:pStyle w:val="BlockText"/>
        <w:numPr>
          <w:ilvl w:val="0"/>
          <w:numId w:val="1813"/>
        </w:numPr>
      </w:pPr>
      <w:r>
        <w:rPr>
          <w:b/>
          <w:bCs/>
        </w:rPr>
        <w:t xml:space="preserve">Extensão (opcional):</w:t>
      </w:r>
      <w:r>
        <w:t xml:space="preserve"> </w:t>
      </w:r>
      <w:r>
        <w:t xml:space="preserve">Adicione um terceiro setor (Serviços, com</w:t>
      </w:r>
      <w:r>
        <w:t xml:space="preserve"> </w:t>
      </w:r>
      <m:oMath>
        <m:sSub>
          <m:e>
            <m:r>
              <m:t>α</m:t>
            </m:r>
          </m:e>
          <m:sub>
            <m:r>
              <m:t>3</m:t>
            </m:r>
          </m:sub>
        </m:sSub>
        <m:r>
          <m:rPr>
            <m:sty m:val="p"/>
          </m:rPr>
          <m:t>=</m:t>
        </m:r>
        <m:r>
          <m:t>0</m:t>
        </m:r>
        <m:r>
          <m:rPr>
            <m:sty m:val="p"/>
          </m:rPr>
          <m:t>,</m:t>
        </m:r>
        <m:r>
          <m:t>5</m:t>
        </m:r>
      </m:oMath>
      <w:r>
        <w:t xml:space="preserve">) e recalibre o modelo. O que muda nos efeitos distributivos do imposto?</w:t>
      </w:r>
    </w:p>
    <w:p>
      <w:r>
        <w:pict>
          <v:rect style="width:0;height:1.5pt" o:hralign="center" o:hrstd="t" o:hr="t"/>
        </w:pict>
      </w:r>
    </w:p>
    <w:p>
      <w:pPr>
        <w:pStyle w:val="BlockText"/>
      </w:pPr>
      <w:r>
        <w:rPr>
          <w:b/>
          <w:bCs/>
        </w:rPr>
        <w:t xml:space="preserve">Conexão com o capítulo:</w:t>
      </w:r>
      <w:r>
        <w:t xml:space="preserve"> </w:t>
      </w:r>
      <w:r>
        <w:t xml:space="preserve">Este exercício implementa numericamente os conceitos das Seções 14.8–14.11 — funções de excesso de demanda, Lei de Walras, tâtonnement, estática comparativa. O modelo é uma versão calibrável da economia 2×2×2 da Caixa de Edgeworth (Seção 14.2) com produção (Seção 14.10).</w:t>
      </w:r>
    </w:p>
    <w:bookmarkEnd w:id="891"/>
    <w:bookmarkEnd w:id="892"/>
    <w:bookmarkEnd w:id="893"/>
    <w:bookmarkStart w:id="901" w:name="X918c0b5ec0d3599cc2bbda9dc7bbbdf23816ce0"/>
    <w:p>
      <w:pPr>
        <w:pStyle w:val="Heading2"/>
      </w:pPr>
      <w:r>
        <w:t xml:space="preserve">14.12 A Democracia Impossível: Escolha Social e o Teorema de Arrow</w:t>
      </w:r>
    </w:p>
    <w:p>
      <w:pPr>
        <w:pStyle w:val="BlockText"/>
      </w:pPr>
      <w:r>
        <w:rPr>
          <w:b/>
          <w:bCs/>
        </w:rPr>
        <w:t xml:space="preserve">[INFORMACAO] Seção avançada</w:t>
      </w:r>
    </w:p>
    <w:p>
      <w:pPr>
        <w:pStyle w:val="BlockText"/>
      </w:pPr>
      <w:r>
        <w:t xml:space="preserve">Esta seção é material complementar. Para uma introdução mais aplicada à escolha social (votação, paradoxo de Condorcet, eleitor mediano), veja o Cap. 20, Seção 20.9 (Cap. 20).</w:t>
      </w:r>
    </w:p>
    <w:p>
      <w:pPr>
        <w:pStyle w:val="FirstParagraph"/>
      </w:pPr>
      <w:r>
        <w:t xml:space="preserve">Os dois teoremas do bem-estar (Seções 14.6–14.7) estabelecem uma conexão elegante entre equilíbrio competitivo e eficiência de Pareto. Mas eficiência é uma condição fraca — diz que não há desperdício, não que a alocação é</w:t>
      </w:r>
      <w:r>
        <w:t xml:space="preserve"> </w:t>
      </w:r>
      <w:r>
        <w:rPr>
          <w:i/>
          <w:iCs/>
        </w:rPr>
        <w:t xml:space="preserve">justa</w:t>
      </w:r>
      <w:r>
        <w:t xml:space="preserve">. Uma economia com um bilionário e milhões de miseráveis pode ser Pareto-eficiente. A pergunta inevitável é: se a sociedade quer ir além da eficiência e</w:t>
      </w:r>
      <w:r>
        <w:t xml:space="preserve"> </w:t>
      </w:r>
      <w:r>
        <w:rPr>
          <w:i/>
          <w:iCs/>
        </w:rPr>
        <w:t xml:space="preserve">escolher</w:t>
      </w:r>
      <w:r>
        <w:t xml:space="preserve"> </w:t>
      </w:r>
      <w:r>
        <w:t xml:space="preserve">entre alocações — cada uma eficiente, mas com distribuições diferentes —, existe uma forma de agregar as preferências individuais numa</w:t>
      </w:r>
      <w:r>
        <w:t xml:space="preserve"> </w:t>
      </w:r>
      <w:r>
        <w:t xml:space="preserve">“preferência social”</w:t>
      </w:r>
      <w:r>
        <w:t xml:space="preserve"> </w:t>
      </w:r>
      <w:r>
        <w:t xml:space="preserve">coerente?</w:t>
      </w:r>
    </w:p>
    <w:p>
      <w:pPr>
        <w:pStyle w:val="BodyText"/>
      </w:pPr>
      <w:r>
        <w:t xml:space="preserve">Kenneth Arrow respondeu a essa pergunta em 1951. A resposta é devastadora:</w:t>
      </w:r>
      <w:r>
        <w:t xml:space="preserve"> </w:t>
      </w:r>
      <w:r>
        <w:rPr>
          <w:b/>
          <w:bCs/>
        </w:rPr>
        <w:t xml:space="preserve">não</w:t>
      </w:r>
      <w:r>
        <w:t xml:space="preserve">.</w:t>
      </w:r>
    </w:p>
    <w:p>
      <w:r>
        <w:pict>
          <v:rect style="width:0;height:1.5pt" o:hralign="center" o:hrstd="t" o:hr="t"/>
        </w:pict>
      </w:r>
    </w:p>
    <w:bookmarkStart w:id="894" w:name="X44b8cec0ffdb8ab25b2b22e376ec8c027ff6e8f"/>
    <w:p>
      <w:pPr>
        <w:pStyle w:val="Heading3"/>
      </w:pPr>
      <w:r>
        <w:t xml:space="preserve">De preferências individuais a preferências sociais</w:t>
      </w:r>
    </w:p>
    <w:p>
      <w:pPr>
        <w:pStyle w:val="FirstParagraph"/>
      </w:pPr>
      <w:r>
        <w:t xml:space="preserve">Suponha que uma sociedade com</w:t>
      </w:r>
      <w:r>
        <w:t xml:space="preserve"> </w:t>
      </w:r>
      <m:oMath>
        <m:r>
          <m:t>N</m:t>
        </m:r>
      </m:oMath>
      <w:r>
        <w:t xml:space="preserve"> </w:t>
      </w:r>
      <w:r>
        <w:t xml:space="preserve">indivíduos deve ordenar</w:t>
      </w:r>
      <w:r>
        <w:t xml:space="preserve"> </w:t>
      </w:r>
      <m:oMath>
        <m:r>
          <m:t>m</m:t>
        </m:r>
        <m:r>
          <m:rPr>
            <m:sty m:val="p"/>
          </m:rPr>
          <m:t>≥</m:t>
        </m:r>
        <m:r>
          <m:t>3</m:t>
        </m:r>
      </m:oMath>
      <w:r>
        <w:t xml:space="preserve"> </w:t>
      </w:r>
      <w:r>
        <w:t xml:space="preserve">alternativas (políticas públicas, alocações, candidatos). Cada indivíduo</w:t>
      </w:r>
      <w:r>
        <w:t xml:space="preserve"> </w:t>
      </w:r>
      <m:oMath>
        <m:r>
          <m:t>i</m:t>
        </m:r>
      </m:oMath>
      <w:r>
        <w:t xml:space="preserve"> </w:t>
      </w:r>
      <w:r>
        <w:t xml:space="preserve">possui uma relação de preferência completa e transitiva</w:t>
      </w:r>
      <w:r>
        <w:t xml:space="preserve"> </w:t>
      </w:r>
      <m:oMath>
        <m:sSub>
          <m:e>
            <m:r>
              <m:rPr>
                <m:sty m:val="p"/>
              </m:rPr>
              <m:t>≽</m:t>
            </m:r>
          </m:e>
          <m:sub>
            <m:r>
              <m:t>i</m:t>
            </m:r>
          </m:sub>
        </m:sSub>
      </m:oMath>
      <w:r>
        <w:t xml:space="preserve"> </w:t>
      </w:r>
      <w:r>
        <w:t xml:space="preserve">sobre as alternativas. Uma</w:t>
      </w:r>
      <w:r>
        <w:t xml:space="preserve"> </w:t>
      </w:r>
      <w:r>
        <w:rPr>
          <w:b/>
          <w:bCs/>
        </w:rPr>
        <w:t xml:space="preserve">regra de escolha social</w:t>
      </w:r>
      <w:r>
        <w:t xml:space="preserve"> </w:t>
      </w:r>
      <w:r>
        <w:t xml:space="preserve">(ou função de bem-estar social) é uma função que, para cada perfil de preferências individuais</w:t>
      </w:r>
      <w:r>
        <w:t xml:space="preserve"> </w:t>
      </w:r>
      <m:oMath>
        <m:r>
          <m:rPr>
            <m:sty m:val="p"/>
          </m:rPr>
          <m:t>(</m:t>
        </m:r>
        <m:sSub>
          <m:e>
            <m:r>
              <m:rPr>
                <m:sty m:val="p"/>
              </m:rPr>
              <m:t>≽</m:t>
            </m:r>
          </m:e>
          <m:sub>
            <m:r>
              <m:t>1</m:t>
            </m:r>
          </m:sub>
        </m:sSub>
        <m:r>
          <m:rPr>
            <m:sty m:val="p"/>
          </m:rPr>
          <m:t>,</m:t>
        </m:r>
        <m:sSub>
          <m:e>
            <m:r>
              <m:rPr>
                <m:sty m:val="p"/>
              </m:rPr>
              <m:t>≽</m:t>
            </m:r>
          </m:e>
          <m:sub>
            <m:r>
              <m:t>2</m:t>
            </m:r>
          </m:sub>
        </m:sSub>
        <m:r>
          <m:rPr>
            <m:sty m:val="p"/>
          </m:rPr>
          <m:t>,</m:t>
        </m:r>
        <m:r>
          <m:rPr>
            <m:sty m:val="p"/>
          </m:rPr>
          <m:t>…</m:t>
        </m:r>
        <m:r>
          <m:rPr>
            <m:sty m:val="p"/>
          </m:rPr>
          <m:t>,</m:t>
        </m:r>
        <m:sSub>
          <m:e>
            <m:r>
              <m:rPr>
                <m:sty m:val="p"/>
              </m:rPr>
              <m:t>≽</m:t>
            </m:r>
          </m:e>
          <m:sub>
            <m:r>
              <m:t>N</m:t>
            </m:r>
          </m:sub>
        </m:sSub>
        <m:r>
          <m:rPr>
            <m:sty m:val="p"/>
          </m:rPr>
          <m:t>)</m:t>
        </m:r>
      </m:oMath>
      <w:r>
        <w:t xml:space="preserve">, produz uma ordenação social</w:t>
      </w:r>
      <w:r>
        <w:t xml:space="preserve"> </w:t>
      </w:r>
      <m:oMath>
        <m:sSub>
          <m:e>
            <m:r>
              <m:rPr>
                <m:sty m:val="p"/>
              </m:rPr>
              <m:t>≽</m:t>
            </m:r>
          </m:e>
          <m:sub>
            <m:r>
              <m:t>S</m:t>
            </m:r>
          </m:sub>
        </m:sSub>
      </m:oMath>
      <w:r>
        <w:t xml:space="preserve">.</w:t>
      </w:r>
    </w:p>
    <w:p>
      <w:pPr>
        <w:pStyle w:val="BodyText"/>
      </w:pPr>
      <w:r>
        <w:t xml:space="preserve">Arrow perguntou: que propriedades</w:t>
      </w:r>
      <w:r>
        <w:t xml:space="preserve"> </w:t>
      </w:r>
      <w:r>
        <w:rPr>
          <w:i/>
          <w:iCs/>
        </w:rPr>
        <w:t xml:space="preserve">mínimas</w:t>
      </w:r>
      <w:r>
        <w:t xml:space="preserve"> </w:t>
      </w:r>
      <w:r>
        <w:t xml:space="preserve">devemos exigir de uma regra de escolha social razoável?</w:t>
      </w:r>
    </w:p>
    <w:p>
      <w:r>
        <w:pict>
          <v:rect style="width:0;height:1.5pt" o:hralign="center" o:hrstd="t" o:hr="t"/>
        </w:pict>
      </w:r>
    </w:p>
    <w:bookmarkEnd w:id="894"/>
    <w:bookmarkStart w:id="895" w:name="os-axiomas-de-arrow"/>
    <w:p>
      <w:pPr>
        <w:pStyle w:val="Heading3"/>
      </w:pPr>
      <w:r>
        <w:t xml:space="preserve">Os axiomas de Arrow</w:t>
      </w:r>
    </w:p>
    <w:p>
      <w:pPr>
        <w:pStyle w:val="BlockText"/>
      </w:pPr>
      <w:r>
        <w:rPr>
          <w:b/>
          <w:bCs/>
        </w:rPr>
        <w:t xml:space="preserve">[DEFINICAO] Axiomas de Arrow para uma regra de escolha social</w:t>
      </w:r>
    </w:p>
    <w:p>
      <w:pPr>
        <w:pStyle w:val="Compact"/>
        <w:numPr>
          <w:ilvl w:val="0"/>
          <w:numId w:val="1814"/>
        </w:numPr>
      </w:pPr>
      <w:r>
        <w:rPr>
          <w:b/>
          <w:bCs/>
        </w:rPr>
        <w:t xml:space="preserve">Domínio irrestrito (U)</w:t>
      </w:r>
      <w:r>
        <w:t xml:space="preserve">: a regra funciona para</w:t>
      </w:r>
      <w:r>
        <w:t xml:space="preserve"> </w:t>
      </w:r>
      <w:r>
        <w:rPr>
          <w:i/>
          <w:iCs/>
        </w:rPr>
        <w:t xml:space="preserve">qualquer</w:t>
      </w:r>
      <w:r>
        <w:t xml:space="preserve"> </w:t>
      </w:r>
      <w:r>
        <w:t xml:space="preserve">perfil de preferências individuais — não exige que os indivíduos tenham preferências</w:t>
      </w:r>
      <w:r>
        <w:t xml:space="preserve"> </w:t>
      </w:r>
      <w:r>
        <w:t xml:space="preserve">“bem-comportadas”</w:t>
      </w:r>
      <w:r>
        <w:t xml:space="preserve"> </w:t>
      </w:r>
      <w:r>
        <w:t xml:space="preserve">ou similares.</w:t>
      </w:r>
    </w:p>
    <w:p>
      <w:pPr>
        <w:pStyle w:val="Compact"/>
        <w:numPr>
          <w:ilvl w:val="0"/>
          <w:numId w:val="1814"/>
        </w:numPr>
      </w:pPr>
      <w:r>
        <w:rPr>
          <w:b/>
          <w:bCs/>
        </w:rPr>
        <w:t xml:space="preserve">Princípio de Pareto fraco (P)</w:t>
      </w:r>
      <w:r>
        <w:t xml:space="preserve">: se</w:t>
      </w:r>
      <w:r>
        <w:t xml:space="preserve"> </w:t>
      </w:r>
      <w:r>
        <w:rPr>
          <w:i/>
          <w:iCs/>
        </w:rPr>
        <w:t xml:space="preserve">todos</w:t>
      </w:r>
      <w:r>
        <w:t xml:space="preserve"> </w:t>
      </w:r>
      <w:r>
        <w:t xml:space="preserve">os indivíduos preferem A a B (</w:t>
      </w:r>
      <m:oMath>
        <m:r>
          <m:t>A</m:t>
        </m:r>
        <m:sSub>
          <m:e>
            <m:r>
              <m:rPr>
                <m:sty m:val="p"/>
              </m:rPr>
              <m:t>≻</m:t>
            </m:r>
          </m:e>
          <m:sub>
            <m:r>
              <m:t>i</m:t>
            </m:r>
          </m:sub>
        </m:sSub>
        <m:r>
          <m:t>B</m:t>
        </m:r>
      </m:oMath>
      <w:r>
        <w:t xml:space="preserve"> </w:t>
      </w:r>
      <w:r>
        <w:t xml:space="preserve">para todo</w:t>
      </w:r>
      <w:r>
        <w:t xml:space="preserve"> </w:t>
      </w:r>
      <m:oMath>
        <m:r>
          <m:t>i</m:t>
        </m:r>
      </m:oMath>
      <w:r>
        <w:t xml:space="preserve">), então a sociedade deve preferir A a B (</w:t>
      </w:r>
      <m:oMath>
        <m:r>
          <m:t>A</m:t>
        </m:r>
        <m:sSub>
          <m:e>
            <m:r>
              <m:rPr>
                <m:sty m:val="p"/>
              </m:rPr>
              <m:t>≻</m:t>
            </m:r>
          </m:e>
          <m:sub>
            <m:r>
              <m:t>S</m:t>
            </m:r>
          </m:sub>
        </m:sSub>
        <m:r>
          <m:t>B</m:t>
        </m:r>
      </m:oMath>
      <w:r>
        <w:t xml:space="preserve">).</w:t>
      </w:r>
    </w:p>
    <w:p>
      <w:pPr>
        <w:pStyle w:val="Compact"/>
        <w:numPr>
          <w:ilvl w:val="0"/>
          <w:numId w:val="1814"/>
        </w:numPr>
      </w:pPr>
      <w:r>
        <w:rPr>
          <w:b/>
          <w:bCs/>
        </w:rPr>
        <w:t xml:space="preserve">Independência de alternativas irrelevantes (IIA)</w:t>
      </w:r>
      <w:r>
        <w:t xml:space="preserve">: a ordenação social entre A e B depende</w:t>
      </w:r>
      <w:r>
        <w:t xml:space="preserve"> </w:t>
      </w:r>
      <w:r>
        <w:rPr>
          <w:i/>
          <w:iCs/>
        </w:rPr>
        <w:t xml:space="preserve">apenas</w:t>
      </w:r>
      <w:r>
        <w:t xml:space="preserve"> </w:t>
      </w:r>
      <w:r>
        <w:t xml:space="preserve">das preferências individuais entre A e B — não do que os indivíduos pensam sobre uma terceira alternativa C.</w:t>
      </w:r>
    </w:p>
    <w:p>
      <w:pPr>
        <w:pStyle w:val="Compact"/>
        <w:numPr>
          <w:ilvl w:val="0"/>
          <w:numId w:val="1814"/>
        </w:numPr>
      </w:pPr>
      <w:r>
        <w:rPr>
          <w:b/>
          <w:bCs/>
        </w:rPr>
        <w:t xml:space="preserve">Não-ditadura (ND)</w:t>
      </w:r>
      <w:r>
        <w:t xml:space="preserve">: não existe um indivíduo</w:t>
      </w:r>
      <w:r>
        <w:t xml:space="preserve"> </w:t>
      </w:r>
      <m:oMath>
        <m:r>
          <m:t>d</m:t>
        </m:r>
      </m:oMath>
      <w:r>
        <w:t xml:space="preserve"> </w:t>
      </w:r>
      <w:r>
        <w:t xml:space="preserve">tal que, para todo par de alternativas e todo perfil de preferências,</w:t>
      </w:r>
      <w:r>
        <w:t xml:space="preserve"> </w:t>
      </w:r>
      <m:oMath>
        <m:r>
          <m:t>A</m:t>
        </m:r>
        <m:sSub>
          <m:e>
            <m:r>
              <m:rPr>
                <m:sty m:val="p"/>
              </m:rPr>
              <m:t>≻</m:t>
            </m:r>
          </m:e>
          <m:sub>
            <m:r>
              <m:t>d</m:t>
            </m:r>
          </m:sub>
        </m:sSub>
        <m:r>
          <m:t>B</m:t>
        </m:r>
        <m:r>
          <m:rPr>
            <m:sty m:val="p"/>
          </m:rPr>
          <m:t>⇒</m:t>
        </m:r>
        <m:r>
          <m:t>A</m:t>
        </m:r>
        <m:sSub>
          <m:e>
            <m:r>
              <m:rPr>
                <m:sty m:val="p"/>
              </m:rPr>
              <m:t>≻</m:t>
            </m:r>
          </m:e>
          <m:sub>
            <m:r>
              <m:t>S</m:t>
            </m:r>
          </m:sub>
        </m:sSub>
        <m:r>
          <m:t>B</m:t>
        </m:r>
      </m:oMath>
      <w:r>
        <w:t xml:space="preserve">.</w:t>
      </w:r>
    </w:p>
    <w:p>
      <w:pPr>
        <w:pStyle w:val="FirstParagraph"/>
      </w:pPr>
      <w:r>
        <w:t xml:space="preserve">Cada axioma, isoladamente, parece não apenas razoável, mas quase óbvio. A unanimidade deve ser respeitada. A classificação entre duas opções não deveria depender de uma terceira. Ninguém deveria ter poder absoluto. O que poderia dar errado?</w:t>
      </w:r>
    </w:p>
    <w:p>
      <w:r>
        <w:pict>
          <v:rect style="width:0;height:1.5pt" o:hralign="center" o:hrstd="t" o:hr="t"/>
        </w:pict>
      </w:r>
    </w:p>
    <w:bookmarkEnd w:id="895"/>
    <w:bookmarkStart w:id="896" w:name="o-teorema-da-impossibilidade"/>
    <w:p>
      <w:pPr>
        <w:pStyle w:val="Heading3"/>
      </w:pPr>
      <w:r>
        <w:t xml:space="preserve">O Teorema da Impossibilidade</w:t>
      </w:r>
    </w:p>
    <w:p>
      <w:pPr>
        <w:pStyle w:val="BlockText"/>
      </w:pPr>
      <w:r>
        <w:rPr>
          <w:b/>
          <w:bCs/>
        </w:rPr>
        <w:t xml:space="preserve">[TEOREMA] Teorema da Impossibilidade de Arrow (1951)</w:t>
      </w:r>
    </w:p>
    <w:p>
      <w:pPr>
        <w:pStyle w:val="BlockText"/>
      </w:pPr>
      <w:r>
        <w:t xml:space="preserve">Se existem pelo menos</w:t>
      </w:r>
      <w:r>
        <w:t xml:space="preserve"> </w:t>
      </w:r>
      <w:r>
        <w:rPr>
          <w:b/>
          <w:bCs/>
        </w:rPr>
        <w:t xml:space="preserve">3 alternativas</w:t>
      </w:r>
      <w:r>
        <w:t xml:space="preserve"> </w:t>
      </w:r>
      <w:r>
        <w:t xml:space="preserve">e pelo menos</w:t>
      </w:r>
      <w:r>
        <w:t xml:space="preserve"> </w:t>
      </w:r>
      <w:r>
        <w:rPr>
          <w:b/>
          <w:bCs/>
        </w:rPr>
        <w:t xml:space="preserve">2 indivíduos</w:t>
      </w:r>
      <w:r>
        <w:t xml:space="preserve">, não existe regra de escolha social que satisfaça simultaneamente os quatro axiomas acima (U, P, IIA, ND) e produza uma ordenação social</w:t>
      </w:r>
      <w:r>
        <w:t xml:space="preserve"> </w:t>
      </w:r>
      <w:r>
        <w:rPr>
          <w:b/>
          <w:bCs/>
        </w:rPr>
        <w:t xml:space="preserve">completa e transitiva</w:t>
      </w:r>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toda democracia é imperfeita — não por falha de design, mas por um teorema matemático.</w:t>
      </w:r>
    </w:p>
    <w:p>
      <w:pPr>
        <w:pStyle w:val="BlockText"/>
      </w:pPr>
      <w:r>
        <w:rPr>
          <w:b/>
          <w:bCs/>
        </w:rPr>
        <w:t xml:space="preserve">Pense assim:</w:t>
      </w:r>
      <w:r>
        <w:t xml:space="preserve"> </w:t>
      </w:r>
      <w:r>
        <w:t xml:space="preserve">imagine três amigos decidindo onde jantar. Ana prefere japonês &gt; italiano &gt; mexicano. Bruno prefere italiano &gt; mexicano &gt; japonês. Carla prefere mexicano &gt; japonês &gt; italiano. Votação por maioria: japonês vence italiano (Ana e Carla), italiano vence mexicano (Ana e Bruno), mas mexicano vence japonês (Bruno e Carla). Ciclo: japonês</w:t>
      </w:r>
      <w:r>
        <w:t xml:space="preserve"> </w:t>
      </w:r>
      <m:oMath>
        <m:r>
          <m:rPr>
            <m:sty m:val="p"/>
          </m:rPr>
          <m:t>≻</m:t>
        </m:r>
      </m:oMath>
      <w:r>
        <w:t xml:space="preserve"> </w:t>
      </w:r>
      <w:r>
        <w:t xml:space="preserve">italiano</w:t>
      </w:r>
      <w:r>
        <w:t xml:space="preserve"> </w:t>
      </w:r>
      <m:oMath>
        <m:r>
          <m:rPr>
            <m:sty m:val="p"/>
          </m:rPr>
          <m:t>≻</m:t>
        </m:r>
      </m:oMath>
      <w:r>
        <w:t xml:space="preserve"> </w:t>
      </w:r>
      <w:r>
        <w:t xml:space="preserve">mexicano</w:t>
      </w:r>
      <w:r>
        <w:t xml:space="preserve"> </w:t>
      </w:r>
      <m:oMath>
        <m:r>
          <m:rPr>
            <m:sty m:val="p"/>
          </m:rPr>
          <m:t>≻</m:t>
        </m:r>
      </m:oMath>
      <w:r>
        <w:t xml:space="preserve"> </w:t>
      </w:r>
      <w:r>
        <w:t xml:space="preserve">japonês. A sociedade é</w:t>
      </w:r>
      <w:r>
        <w:t xml:space="preserve"> </w:t>
      </w:r>
      <w:r>
        <w:t xml:space="preserve">“irracional”</w:t>
      </w:r>
      <w:r>
        <w:t xml:space="preserve"> </w:t>
      </w:r>
      <w:r>
        <w:t xml:space="preserve">mesmo com indivíduos racionais — é o</w:t>
      </w:r>
      <w:r>
        <w:t xml:space="preserve"> </w:t>
      </w:r>
      <w:r>
        <w:rPr>
          <w:b/>
          <w:bCs/>
        </w:rPr>
        <w:t xml:space="preserve">Paradoxo de Condorcet</w:t>
      </w:r>
      <w:r>
        <w:t xml:space="preserve">, e Arrow provou que</w:t>
      </w:r>
      <w:r>
        <w:t xml:space="preserve"> </w:t>
      </w:r>
      <w:r>
        <w:rPr>
          <w:i/>
          <w:iCs/>
        </w:rPr>
        <w:t xml:space="preserve">nenhum</w:t>
      </w:r>
      <w:r>
        <w:t xml:space="preserve"> </w:t>
      </w:r>
      <w:r>
        <w:t xml:space="preserve">sistema de votação resolve esse problema sem sacrificar algum axioma.</w:t>
      </w:r>
    </w:p>
    <w:p>
      <w:pPr>
        <w:pStyle w:val="BlockText"/>
      </w:pPr>
      <w:r>
        <w:rPr>
          <w:b/>
          <w:bCs/>
        </w:rPr>
        <w:t xml:space="preserve">O que isso significa para a economia do bem-estar:</w:t>
      </w:r>
      <w:r>
        <w:t xml:space="preserve"> </w:t>
      </w:r>
      <w:r>
        <w:t xml:space="preserve">o Segundo Teorema do Bem-Estar (Seção 14.7) diz que qualquer alocação Pareto-eficiente pode ser alcançada via mercados competitivos, desde que redistribuamos as dotações iniciais. Mas</w:t>
      </w:r>
      <w:r>
        <w:t xml:space="preserve"> </w:t>
      </w:r>
      <w:r>
        <w:rPr>
          <w:i/>
          <w:iCs/>
        </w:rPr>
        <w:t xml:space="preserve">quem</w:t>
      </w:r>
      <w:r>
        <w:t xml:space="preserve"> </w:t>
      </w:r>
      <w:r>
        <w:t xml:space="preserve">decide qual redistribuição é a</w:t>
      </w:r>
      <w:r>
        <w:t xml:space="preserve"> </w:t>
      </w:r>
      <w:r>
        <w:t xml:space="preserve">“melhor”</w:t>
      </w:r>
      <w:r>
        <w:t xml:space="preserve">? Para isso, precisaríamos de uma função de bem-estar social — e Arrow provou que nenhuma função desse tipo satisfaz requisitos mínimos de democracia. O Segundo Teorema resolve o problema de eficiência, mas o problema de</w:t>
      </w:r>
      <w:r>
        <w:t xml:space="preserve"> </w:t>
      </w:r>
      <w:r>
        <w:rPr>
          <w:i/>
          <w:iCs/>
        </w:rPr>
        <w:t xml:space="preserve">justiça</w:t>
      </w:r>
      <w:r>
        <w:t xml:space="preserve"> </w:t>
      </w:r>
      <w:r>
        <w:t xml:space="preserve">permanece em aberto.</w:t>
      </w:r>
    </w:p>
    <w:p>
      <w:r>
        <w:pict>
          <v:rect style="width:0;height:1.5pt" o:hralign="center" o:hrstd="t" o:hr="t"/>
        </w:pict>
      </w:r>
    </w:p>
    <w:bookmarkEnd w:id="896"/>
    <w:bookmarkStart w:id="897" w:name="conexão-com-os-teoremas-do-bem-estar"/>
    <w:p>
      <w:pPr>
        <w:pStyle w:val="Heading3"/>
      </w:pPr>
      <w:r>
        <w:t xml:space="preserve">Conexão com os Teoremas do Bem-Estar</w:t>
      </w:r>
    </w:p>
    <w:p>
      <w:pPr>
        <w:pStyle w:val="FirstParagraph"/>
      </w:pPr>
      <w:r>
        <w:t xml:space="preserve">A relevância do resultado de Arrow para o equilíbrio geral é profunda:</w:t>
      </w:r>
    </w:p>
    <w:p>
      <w:pPr>
        <w:numPr>
          <w:ilvl w:val="0"/>
          <w:numId w:val="1815"/>
        </w:numPr>
      </w:pPr>
      <w:r>
        <w:rPr>
          <w:b/>
          <w:bCs/>
        </w:rPr>
        <w:t xml:space="preserve">Primeiro Teorema</w:t>
      </w:r>
      <w:r>
        <w:t xml:space="preserve"> </w:t>
      </w:r>
      <w:r>
        <w:t xml:space="preserve">(Seção 14.6): todo equilíbrio walrasiano é Pareto-eficiente — mas há infinitas alocações Pareto-eficientes (toda a curva de contrato).</w:t>
      </w:r>
    </w:p>
    <w:p>
      <w:pPr>
        <w:numPr>
          <w:ilvl w:val="0"/>
          <w:numId w:val="1815"/>
        </w:numPr>
      </w:pPr>
      <w:r>
        <w:rPr>
          <w:b/>
          <w:bCs/>
        </w:rPr>
        <w:t xml:space="preserve">Segundo Teorema</w:t>
      </w:r>
      <w:r>
        <w:t xml:space="preserve"> </w:t>
      </w:r>
      <w:r>
        <w:t xml:space="preserve">(Seção 14.7): qualquer ponto na curva de contrato pode ser alcançado via mercados, com a redistribuição adequada de dotações.</w:t>
      </w:r>
    </w:p>
    <w:p>
      <w:pPr>
        <w:numPr>
          <w:ilvl w:val="0"/>
          <w:numId w:val="1815"/>
        </w:numPr>
      </w:pPr>
      <w:r>
        <w:rPr>
          <w:b/>
          <w:bCs/>
        </w:rPr>
        <w:t xml:space="preserve">Arrow (1951)</w:t>
      </w:r>
      <w:r>
        <w:t xml:space="preserve">: não existe forma democraticamente coerente de</w:t>
      </w:r>
      <w:r>
        <w:t xml:space="preserve"> </w:t>
      </w:r>
      <w:r>
        <w:rPr>
          <w:i/>
          <w:iCs/>
        </w:rPr>
        <w:t xml:space="preserve">escolher</w:t>
      </w:r>
      <w:r>
        <w:t xml:space="preserve"> </w:t>
      </w:r>
      <w:r>
        <w:t xml:space="preserve">entre esses pontos. A economia pode nos levar a qualquer destino eficiente, mas não pode nos dizer qual destino escolher.</w:t>
      </w:r>
    </w:p>
    <w:p>
      <w:pPr>
        <w:pStyle w:val="FirstParagraph"/>
      </w:pPr>
      <w:r>
        <w:t xml:space="preserve">Esse encadeamento — eficiência</w:t>
      </w:r>
      <w:r>
        <w:t xml:space="preserve"> </w:t>
      </w:r>
      <m:oMath>
        <m:r>
          <m:rPr>
            <m:sty m:val="p"/>
          </m:rPr>
          <m:t>→</m:t>
        </m:r>
      </m:oMath>
      <w:r>
        <w:t xml:space="preserve"> </w:t>
      </w:r>
      <w:r>
        <w:t xml:space="preserve">implementação</w:t>
      </w:r>
      <w:r>
        <w:t xml:space="preserve"> </w:t>
      </w:r>
      <m:oMath>
        <m:r>
          <m:rPr>
            <m:sty m:val="p"/>
          </m:rPr>
          <m:t>→</m:t>
        </m:r>
      </m:oMath>
      <w:r>
        <w:t xml:space="preserve"> </w:t>
      </w:r>
      <w:r>
        <w:t xml:space="preserve">impossibilidade de escolha social — é uma das narrativas mais importantes da microeconomia do século XX. Ele explica por que economistas, quando confrontados com questões distributivas, frequentemente recorrem a</w:t>
      </w:r>
      <w:r>
        <w:t xml:space="preserve"> </w:t>
      </w:r>
      <w:r>
        <w:rPr>
          <w:b/>
          <w:bCs/>
        </w:rPr>
        <w:t xml:space="preserve">funções de bem-estar social específicas</w:t>
      </w:r>
      <w:r>
        <w:t xml:space="preserve"> </w:t>
      </w:r>
      <w:r>
        <w:t xml:space="preserve">(utilitarista, rawlsiana, igualitária) que</w:t>
      </w:r>
      <w:r>
        <w:t xml:space="preserve"> </w:t>
      </w:r>
      <w:r>
        <w:rPr>
          <w:i/>
          <w:iCs/>
        </w:rPr>
        <w:t xml:space="preserve">assumem</w:t>
      </w:r>
      <w:r>
        <w:t xml:space="preserve"> </w:t>
      </w:r>
      <w:r>
        <w:t xml:space="preserve">um critério normativo, em vez de derivá-lo de primeiros princípios democráticos.</w:t>
      </w:r>
    </w:p>
    <w:p>
      <w:r>
        <w:pict>
          <v:rect style="width:0;height:1.5pt" o:hralign="center" o:hrstd="t" o:hr="t"/>
        </w:pict>
      </w:r>
    </w:p>
    <w:bookmarkEnd w:id="897"/>
    <w:bookmarkStart w:id="898" w:name="regras-de-votação-e-seus-defeitos"/>
    <w:p>
      <w:pPr>
        <w:pStyle w:val="Heading3"/>
      </w:pPr>
      <w:r>
        <w:t xml:space="preserve">Regras de votação e seus defeitos</w:t>
      </w:r>
    </w:p>
    <w:p>
      <w:pPr>
        <w:pStyle w:val="FirstParagraph"/>
      </w:pPr>
      <w:r>
        <w:t xml:space="preserve">A impossibilidade de Arrow implica que toda regra prática de votação sacrifica pelo menos um axioma:</w:t>
      </w:r>
    </w:p>
    <w:tbl>
      <w:tblPr>
        <w:tblStyle w:val="Table"/>
        <w:tblW w:type="pct" w:w="5000"/>
        <w:tblLayout w:type="fixed"/>
        <w:tblLook w:firstRow="1" w:lastRow="0" w:firstColumn="0" w:lastColumn="0" w:noHBand="0" w:noVBand="0" w:val="0020"/>
      </w:tblPr>
      <w:tblGrid>
        <w:gridCol w:w="1498"/>
        <w:gridCol w:w="3424"/>
        <w:gridCol w:w="2996"/>
      </w:tblGrid>
      <w:tr>
        <w:trPr>
          <w:tblHeader w:val="on"/>
        </w:trPr>
        <w:tc>
          <w:tcPr/>
          <w:p>
            <w:pPr>
              <w:pStyle w:val="Compact"/>
              <w:jc w:val="left"/>
            </w:pPr>
            <w:r>
              <w:t xml:space="preserve">Regra</w:t>
            </w:r>
          </w:p>
        </w:tc>
        <w:tc>
          <w:tcPr/>
          <w:p>
            <w:pPr>
              <w:pStyle w:val="Compact"/>
              <w:jc w:val="left"/>
            </w:pPr>
            <w:r>
              <w:t xml:space="preserve">O que sacrifica</w:t>
            </w:r>
          </w:p>
        </w:tc>
        <w:tc>
          <w:tcPr/>
          <w:p>
            <w:pPr>
              <w:pStyle w:val="Compact"/>
              <w:jc w:val="left"/>
            </w:pPr>
            <w:r>
              <w:t xml:space="preserve">Consequência</w:t>
            </w:r>
          </w:p>
        </w:tc>
      </w:tr>
      <w:tr>
        <w:tc>
          <w:tcPr/>
          <w:p>
            <w:pPr>
              <w:pStyle w:val="Compact"/>
              <w:jc w:val="left"/>
            </w:pPr>
            <w:r>
              <w:rPr>
                <w:b/>
                <w:bCs/>
              </w:rPr>
              <w:t xml:space="preserve">Maioria simples</w:t>
            </w:r>
          </w:p>
        </w:tc>
        <w:tc>
          <w:tcPr/>
          <w:p>
            <w:pPr>
              <w:pStyle w:val="Compact"/>
              <w:jc w:val="left"/>
            </w:pPr>
            <w:r>
              <w:t xml:space="preserve">Transitividade</w:t>
            </w:r>
          </w:p>
        </w:tc>
        <w:tc>
          <w:tcPr/>
          <w:p>
            <w:pPr>
              <w:pStyle w:val="Compact"/>
              <w:jc w:val="left"/>
            </w:pPr>
            <w:r>
              <w:t xml:space="preserve">Ciclos de Condorcet (A</w:t>
            </w:r>
            <w:r>
              <w:t xml:space="preserve"> </w:t>
            </w:r>
            <m:oMath>
              <m:r>
                <m:rPr>
                  <m:sty m:val="p"/>
                </m:rPr>
                <m:t>≻</m:t>
              </m:r>
            </m:oMath>
            <w:r>
              <w:t xml:space="preserve"> </w:t>
            </w:r>
            <w:r>
              <w:t xml:space="preserve">B</w:t>
            </w:r>
            <w:r>
              <w:t xml:space="preserve"> </w:t>
            </w:r>
            <m:oMath>
              <m:r>
                <m:rPr>
                  <m:sty m:val="p"/>
                </m:rPr>
                <m:t>≻</m:t>
              </m:r>
            </m:oMath>
            <w:r>
              <w:t xml:space="preserve"> </w:t>
            </w:r>
            <w:r>
              <w:t xml:space="preserve">C</w:t>
            </w:r>
            <w:r>
              <w:t xml:space="preserve"> </w:t>
            </w:r>
            <m:oMath>
              <m:r>
                <m:rPr>
                  <m:sty m:val="p"/>
                </m:rPr>
                <m:t>≻</m:t>
              </m:r>
            </m:oMath>
            <w:r>
              <w:t xml:space="preserve"> </w:t>
            </w:r>
            <w:r>
              <w:t xml:space="preserve">A)</w:t>
            </w:r>
          </w:p>
        </w:tc>
      </w:tr>
      <w:tr>
        <w:tc>
          <w:tcPr/>
          <w:p>
            <w:pPr>
              <w:pStyle w:val="Compact"/>
              <w:jc w:val="left"/>
            </w:pPr>
            <w:r>
              <w:rPr>
                <w:b/>
                <w:bCs/>
              </w:rPr>
              <w:t xml:space="preserve">Ditadura</w:t>
            </w:r>
          </w:p>
        </w:tc>
        <w:tc>
          <w:tcPr/>
          <w:p>
            <w:pPr>
              <w:pStyle w:val="Compact"/>
              <w:jc w:val="left"/>
            </w:pPr>
            <w:r>
              <w:t xml:space="preserve">Não-ditadura</w:t>
            </w:r>
          </w:p>
        </w:tc>
        <w:tc>
          <w:tcPr/>
          <w:p>
            <w:pPr>
              <w:pStyle w:val="Compact"/>
              <w:jc w:val="left"/>
            </w:pPr>
            <w:r>
              <w:t xml:space="preserve">Uma pessoa decide tudo</w:t>
            </w:r>
          </w:p>
        </w:tc>
      </w:tr>
      <w:tr>
        <w:tc>
          <w:tcPr/>
          <w:p>
            <w:pPr>
              <w:pStyle w:val="Compact"/>
              <w:jc w:val="left"/>
            </w:pPr>
            <w:r>
              <w:rPr>
                <w:b/>
                <w:bCs/>
              </w:rPr>
              <w:t xml:space="preserve">Unanimidade (veto)</w:t>
            </w:r>
          </w:p>
        </w:tc>
        <w:tc>
          <w:tcPr/>
          <w:p>
            <w:pPr>
              <w:pStyle w:val="Compact"/>
              <w:jc w:val="left"/>
            </w:pPr>
            <w:r>
              <w:t xml:space="preserve">Completude</w:t>
            </w:r>
          </w:p>
        </w:tc>
        <w:tc>
          <w:tcPr/>
          <w:p>
            <w:pPr>
              <w:pStyle w:val="Compact"/>
              <w:jc w:val="left"/>
            </w:pPr>
            <w:r>
              <w:t xml:space="preserve">Muitos pares ficam sem comparação</w:t>
            </w:r>
          </w:p>
        </w:tc>
      </w:tr>
      <w:tr>
        <w:tc>
          <w:tcPr/>
          <w:p>
            <w:pPr>
              <w:pStyle w:val="Compact"/>
              <w:jc w:val="left"/>
            </w:pPr>
            <w:r>
              <w:rPr>
                <w:b/>
                <w:bCs/>
              </w:rPr>
              <w:t xml:space="preserve">Contagem de Borda</w:t>
            </w:r>
          </w:p>
        </w:tc>
        <w:tc>
          <w:tcPr/>
          <w:p>
            <w:pPr>
              <w:pStyle w:val="Compact"/>
              <w:jc w:val="left"/>
            </w:pPr>
            <w:r>
              <w:t xml:space="preserve">IIA</w:t>
            </w:r>
          </w:p>
        </w:tc>
        <w:tc>
          <w:tcPr/>
          <w:p>
            <w:pPr>
              <w:pStyle w:val="Compact"/>
              <w:jc w:val="left"/>
            </w:pPr>
            <w:r>
              <w:t xml:space="preserve">Adicionar candidato irrelevante altera o ranking</w:t>
            </w:r>
          </w:p>
        </w:tc>
      </w:tr>
      <w:tr>
        <w:tc>
          <w:tcPr/>
          <w:p>
            <w:pPr>
              <w:pStyle w:val="Compact"/>
              <w:jc w:val="left"/>
            </w:pPr>
            <w:r>
              <w:rPr>
                <w:b/>
                <w:bCs/>
              </w:rPr>
              <w:t xml:space="preserve">Votação por aprovação</w:t>
            </w:r>
          </w:p>
        </w:tc>
        <w:tc>
          <w:tcPr/>
          <w:p>
            <w:pPr>
              <w:pStyle w:val="Compact"/>
              <w:jc w:val="left"/>
            </w:pPr>
            <w:r>
              <w:t xml:space="preserve">IIA</w:t>
            </w:r>
          </w:p>
        </w:tc>
        <w:tc>
          <w:tcPr/>
          <w:p>
            <w:pPr>
              <w:pStyle w:val="Compact"/>
              <w:jc w:val="left"/>
            </w:pPr>
            <w:r>
              <w:t xml:space="preserve">Resultado depende de alternativas disponíveis</w:t>
            </w:r>
          </w:p>
        </w:tc>
      </w:tr>
    </w:tbl>
    <w:p>
      <w:pPr>
        <w:pStyle w:val="BlockText"/>
      </w:pPr>
      <w:r>
        <w:rPr>
          <w:b/>
          <w:bCs/>
        </w:rPr>
        <w:t xml:space="preserve">[DICA] Conexão</w:t>
      </w:r>
    </w:p>
    <w:p>
      <w:pPr>
        <w:pStyle w:val="BlockText"/>
      </w:pPr>
      <w:r>
        <w:t xml:space="preserve">O Teorema de Arrow reaparece no Capítulo 20 (Seção 20.9), no contexto de bens públicos e votação, com tratamento mais detalhado do Paradoxo de Condorcet, do Teorema do Eleitor Mediano e dos mecanismos de revelação de preferências (VCG). Reaparece também na teoria de matching (Seção 19.9): Roth (1982) provou que nenhum mecanismo de matching estável pode ser strategy-proof para ambos os lados — um resultado de impossibilidade com a mesma estrutura lógica do teorema de Arrow.</w:t>
      </w:r>
    </w:p>
    <w:p>
      <w:r>
        <w:pict>
          <v:rect style="width:0;height:1.5pt" o:hralign="center" o:hrstd="t" o:hr="t"/>
        </w:pict>
      </w:r>
    </w:p>
    <w:bookmarkEnd w:id="898"/>
    <w:bookmarkStart w:id="899" w:name="saídas-parciais-da-impossibilidade"/>
    <w:p>
      <w:pPr>
        <w:pStyle w:val="Heading3"/>
      </w:pPr>
      <w:r>
        <w:t xml:space="preserve">Saídas (parciais) da impossibilidade</w:t>
      </w:r>
    </w:p>
    <w:p>
      <w:pPr>
        <w:pStyle w:val="FirstParagraph"/>
      </w:pPr>
      <w:r>
        <w:t xml:space="preserve">O resultado de Arrow não significa que devemos desistir da democracia — significa que devemos entender seus limites:</w:t>
      </w:r>
    </w:p>
    <w:p>
      <w:pPr>
        <w:numPr>
          <w:ilvl w:val="0"/>
          <w:numId w:val="1816"/>
        </w:numPr>
      </w:pPr>
      <w:r>
        <w:rPr>
          <w:b/>
          <w:bCs/>
        </w:rPr>
        <w:t xml:space="preserve">Restrição de domínio</w:t>
      </w:r>
      <w:r>
        <w:t xml:space="preserve">: se as preferências forem</w:t>
      </w:r>
      <w:r>
        <w:t xml:space="preserve"> </w:t>
      </w:r>
      <w:r>
        <w:rPr>
          <w:b/>
          <w:bCs/>
        </w:rPr>
        <w:t xml:space="preserve">unimodais</w:t>
      </w:r>
      <w:r>
        <w:t xml:space="preserve"> </w:t>
      </w:r>
      <w:r>
        <w:t xml:space="preserve">(</w:t>
      </w:r>
      <w:r>
        <w:rPr>
          <w:i/>
          <w:iCs/>
        </w:rPr>
        <w:t xml:space="preserve">single-peaked</w:t>
      </w:r>
      <w:r>
        <w:t xml:space="preserve">), a regra de maioria funciona bem — é o Teorema do Eleitor Mediano (Seção 20.9). A unimodalidade é razoável para questões unidimensionais (nível de gasto público, alíquota de imposto), mas falha para problemas multidimensionais.</w:t>
      </w:r>
    </w:p>
    <w:p>
      <w:pPr>
        <w:numPr>
          <w:ilvl w:val="0"/>
          <w:numId w:val="1816"/>
        </w:numPr>
      </w:pPr>
      <w:r>
        <w:rPr>
          <w:b/>
          <w:bCs/>
        </w:rPr>
        <w:t xml:space="preserve">Relaxar IIA</w:t>
      </w:r>
      <w:r>
        <w:t xml:space="preserve">: a contagem de Borda viola IIA, mas satisfaz os demais axiomas e tem boas propriedades em muitos contextos práticos. Sen (1970) explorou relaxamentos alternativos.</w:t>
      </w:r>
    </w:p>
    <w:p>
      <w:pPr>
        <w:numPr>
          <w:ilvl w:val="0"/>
          <w:numId w:val="1816"/>
        </w:numPr>
      </w:pPr>
      <w:r>
        <w:rPr>
          <w:b/>
          <w:bCs/>
        </w:rPr>
        <w:t xml:space="preserve">Informação cardinal</w:t>
      </w:r>
      <w:r>
        <w:t xml:space="preserve">: se permitirmos comparações interpessoais de utilidade (não apenas ordenações), funções de bem-estar social como a utilitarista (</w:t>
      </w:r>
      <m:oMath>
        <m:r>
          <m:t>W</m:t>
        </m:r>
        <m:r>
          <m:rPr>
            <m:sty m:val="p"/>
          </m:rPr>
          <m:t>=</m:t>
        </m:r>
        <m:r>
          <m:rPr>
            <m:sty m:val="p"/>
          </m:rPr>
          <m:t>∑</m:t>
        </m:r>
        <m:sSub>
          <m:e>
            <m:r>
              <m:t>U</m:t>
            </m:r>
          </m:e>
          <m:sub>
            <m:r>
              <m:t>i</m:t>
            </m:r>
          </m:sub>
        </m:sSub>
      </m:oMath>
      <w:r>
        <w:t xml:space="preserve">) ou a rawlsiana (</w:t>
      </w:r>
      <m:oMath>
        <m:r>
          <m:t>W</m:t>
        </m:r>
        <m:r>
          <m:rPr>
            <m:sty m:val="p"/>
          </m:rPr>
          <m:t>=</m:t>
        </m:r>
        <m:r>
          <m:rPr>
            <m:sty m:val="p"/>
          </m:rPr>
          <m:t>min</m:t>
        </m:r>
        <m:sSub>
          <m:e>
            <m:r>
              <m:t>U</m:t>
            </m:r>
          </m:e>
          <m:sub>
            <m:r>
              <m:t>i</m:t>
            </m:r>
          </m:sub>
        </m:sSub>
      </m:oMath>
      <w:r>
        <w:t xml:space="preserve">) são bem-definidas. O custo é abandonar o framework ordinal.</w:t>
      </w:r>
    </w:p>
    <w:p>
      <w:pPr>
        <w:numPr>
          <w:ilvl w:val="0"/>
          <w:numId w:val="1816"/>
        </w:numPr>
      </w:pPr>
      <w:r>
        <w:rPr>
          <w:b/>
          <w:bCs/>
        </w:rPr>
        <w:t xml:space="preserve">Funções de escolha social</w:t>
      </w:r>
      <w:r>
        <w:t xml:space="preserve"> </w:t>
      </w:r>
      <w:r>
        <w:t xml:space="preserve">(em vez de funções de bem-estar social): se exigirmos apenas uma</w:t>
      </w:r>
      <w:r>
        <w:t xml:space="preserve"> </w:t>
      </w:r>
      <w:r>
        <w:rPr>
          <w:i/>
          <w:iCs/>
        </w:rPr>
        <w:t xml:space="preserve">escolha</w:t>
      </w:r>
      <w:r>
        <w:t xml:space="preserve"> </w:t>
      </w:r>
      <w:r>
        <w:t xml:space="preserve">(não uma ordenação completa), o Teorema de Gibbard-Satterthwaite (1973/1975) mostra que, com três ou mais alternativas, o único mecanismo strategy-proof e sobrejetivo é a ditadura — outro resultado de impossibilidade.</w:t>
      </w:r>
    </w:p>
    <w:p>
      <w:r>
        <w:pict>
          <v:rect style="width:0;height:1.5pt" o:hralign="center" o:hrstd="t" o:hr="t"/>
        </w:pict>
      </w:r>
    </w:p>
    <w:bookmarkEnd w:id="899"/>
    <w:bookmarkStart w:id="900" w:name="referências"/>
    <w:p>
      <w:pPr>
        <w:pStyle w:val="Heading3"/>
      </w:pPr>
      <w:r>
        <w:t xml:space="preserve">Referências</w:t>
      </w:r>
    </w:p>
    <w:p>
      <w:pPr>
        <w:pStyle w:val="Compact"/>
        <w:numPr>
          <w:ilvl w:val="0"/>
          <w:numId w:val="1817"/>
        </w:numPr>
      </w:pPr>
      <w:r>
        <w:t xml:space="preserve">Arrow, Kenneth J. 1951.</w:t>
      </w:r>
      <w:r>
        <w:t xml:space="preserve"> </w:t>
      </w:r>
      <w:r>
        <w:rPr>
          <w:i/>
          <w:iCs/>
        </w:rPr>
        <w:t xml:space="preserve">Social Choice and Individual Values</w:t>
      </w:r>
      <w:r>
        <w:t xml:space="preserve">. New Haven: Yale University Press. (2ª edição, 1963.)</w:t>
      </w:r>
    </w:p>
    <w:p>
      <w:pPr>
        <w:pStyle w:val="Compact"/>
        <w:numPr>
          <w:ilvl w:val="0"/>
          <w:numId w:val="1817"/>
        </w:numPr>
      </w:pPr>
      <w:r>
        <w:t xml:space="preserve">Gibbard, Allan. 1973.</w:t>
      </w:r>
      <w:r>
        <w:t xml:space="preserve"> </w:t>
      </w:r>
      <w:r>
        <w:t xml:space="preserve">“Manipulation of Voting Schemes: A General Result.”</w:t>
      </w:r>
      <w:r>
        <w:t xml:space="preserve"> </w:t>
      </w:r>
      <w:r>
        <w:rPr>
          <w:i/>
          <w:iCs/>
        </w:rPr>
        <w:t xml:space="preserve">Econometrica</w:t>
      </w:r>
      <w:r>
        <w:t xml:space="preserve"> </w:t>
      </w:r>
      <w:r>
        <w:t xml:space="preserve">41 (4): 587–601.</w:t>
      </w:r>
    </w:p>
    <w:p>
      <w:pPr>
        <w:pStyle w:val="Compact"/>
        <w:numPr>
          <w:ilvl w:val="0"/>
          <w:numId w:val="1817"/>
        </w:numPr>
      </w:pPr>
      <w:r>
        <w:t xml:space="preserve">Satterthwaite, Mark A. 1975.</w:t>
      </w:r>
      <w:r>
        <w:t xml:space="preserve"> </w:t>
      </w:r>
      <w:r>
        <w:t xml:space="preserve">“Strategy-Proofness and Arrow’s Conditions.”</w:t>
      </w:r>
      <w:r>
        <w:t xml:space="preserve"> </w:t>
      </w:r>
      <w:r>
        <w:rPr>
          <w:i/>
          <w:iCs/>
        </w:rPr>
        <w:t xml:space="preserve">Journal of Economic Theory</w:t>
      </w:r>
      <w:r>
        <w:t xml:space="preserve"> </w:t>
      </w:r>
      <w:r>
        <w:t xml:space="preserve">10 (2): 187–217.</w:t>
      </w:r>
    </w:p>
    <w:p>
      <w:pPr>
        <w:pStyle w:val="Compact"/>
        <w:numPr>
          <w:ilvl w:val="0"/>
          <w:numId w:val="1817"/>
        </w:numPr>
      </w:pPr>
      <w:r>
        <w:t xml:space="preserve">Sen, Amartya K. 1970.</w:t>
      </w:r>
      <w:r>
        <w:t xml:space="preserve"> </w:t>
      </w:r>
      <w:r>
        <w:rPr>
          <w:i/>
          <w:iCs/>
        </w:rPr>
        <w:t xml:space="preserve">Collective Choice and Social Welfare</w:t>
      </w:r>
      <w:r>
        <w:t xml:space="preserve">. San Francisco: Holden-Day. (Edição expandida, Penguin, 2017.)</w:t>
      </w:r>
    </w:p>
    <w:bookmarkEnd w:id="900"/>
    <w:bookmarkEnd w:id="901"/>
    <w:bookmarkStart w:id="907" w:name="exercícios-e-anpec-capítulo-14"/>
    <w:p>
      <w:pPr>
        <w:pStyle w:val="Heading2"/>
      </w:pPr>
      <w:r>
        <w:t xml:space="preserve">Exercícios e ANPEC — Capítulo 14</w:t>
      </w:r>
    </w:p>
    <w:bookmarkStart w:id="902" w:name="revisão-do-capítulo"/>
    <w:p>
      <w:pPr>
        <w:pStyle w:val="Heading3"/>
      </w:pPr>
      <w:r>
        <w:t xml:space="preserve">Revisão do Capítulo</w:t>
      </w:r>
    </w:p>
    <w:p>
      <w:pPr>
        <w:pStyle w:val="BlockText"/>
      </w:pPr>
      <w:r>
        <w:rPr>
          <w:b/>
          <w:bCs/>
        </w:rPr>
        <w:t xml:space="preserve">[QUESTAO] Questões de Revisão</w:t>
      </w:r>
    </w:p>
    <w:p>
      <w:pPr>
        <w:pStyle w:val="BlockText"/>
        <w:numPr>
          <w:ilvl w:val="0"/>
          <w:numId w:val="1818"/>
        </w:numPr>
      </w:pPr>
      <w:r>
        <w:t xml:space="preserve">Explique por que a análise de equilíbrio parcial pode ser insuficiente para avaliar o impacto de um choque no preço do petróleo. Quais canais de transmissão são ignorados pelo</w:t>
      </w:r>
      <w:r>
        <w:t xml:space="preserve"> </w:t>
      </w:r>
      <w:r>
        <w:rPr>
          <w:i/>
          <w:iCs/>
        </w:rPr>
        <w:t xml:space="preserve">ceteris paribus</w:t>
      </w:r>
      <w:r>
        <w:t xml:space="preserve">?</w:t>
      </w:r>
    </w:p>
    <w:p>
      <w:pPr>
        <w:pStyle w:val="BlockText"/>
        <w:numPr>
          <w:ilvl w:val="0"/>
          <w:numId w:val="1818"/>
        </w:numPr>
      </w:pPr>
      <w:r>
        <w:t xml:space="preserve">O que a Caixa de Edgeworth nos mostra que um diagrama de oferta e demanda não consegue mostrar? Qual é a vantagem conceitual de representar dois agentes em um único diagrama?</w:t>
      </w:r>
    </w:p>
    <w:p>
      <w:pPr>
        <w:pStyle w:val="BlockText"/>
        <w:numPr>
          <w:ilvl w:val="0"/>
          <w:numId w:val="1818"/>
        </w:numPr>
      </w:pPr>
      <w:r>
        <w:t xml:space="preserve">Enuncie as três condições de eficiência de Pareto (troca, produção e mix de produtos) e explique intuitivamente por que cada uma é necessária.</w:t>
      </w:r>
    </w:p>
    <w:p>
      <w:pPr>
        <w:pStyle w:val="BlockText"/>
        <w:numPr>
          <w:ilvl w:val="0"/>
          <w:numId w:val="1818"/>
        </w:numPr>
      </w:pPr>
      <w:r>
        <w:t xml:space="preserve">“O Primeiro Teorema do Bem-Estar prova que o capitalismo é o melhor sistema econômico.”</w:t>
      </w:r>
      <w:r>
        <w:t xml:space="preserve"> </w:t>
      </w:r>
      <w:r>
        <w:t xml:space="preserve">Critique essa afirmação, identificando pelo menos três falácias.</w:t>
      </w:r>
    </w:p>
    <w:p>
      <w:pPr>
        <w:pStyle w:val="BlockText"/>
        <w:numPr>
          <w:ilvl w:val="0"/>
          <w:numId w:val="1818"/>
        </w:numPr>
      </w:pPr>
      <w:r>
        <w:t xml:space="preserve">Por que os modelos CGE são calibrados em vez de estimados econometricamente? Quais são as vantagens e desvantagens dessa abordagem?</w:t>
      </w:r>
    </w:p>
    <w:p>
      <w:r>
        <w:pict>
          <v:rect style="width:0;height:1.5pt" o:hralign="center" o:hrstd="t" o:hr="t"/>
        </w:pict>
      </w:r>
    </w:p>
    <w:bookmarkEnd w:id="902"/>
    <w:bookmarkStart w:id="903" w:name="resumo-dos-conceitos-chave"/>
    <w:p>
      <w:pPr>
        <w:pStyle w:val="Heading3"/>
      </w:pPr>
      <w:r>
        <w:t xml:space="preserve">Resumo dos Conceitos-Chave</w:t>
      </w:r>
    </w:p>
    <w:tbl>
      <w:tblPr>
        <w:tblStyle w:val="Table"/>
        <w:tblW w:type="pct" w:w="5000"/>
        <w:tblLayout w:type="fixed"/>
        <w:tblLook w:firstRow="1" w:lastRow="0" w:firstColumn="0" w:lastColumn="0" w:noHBand="0" w:noVBand="0" w:val="0020"/>
      </w:tblPr>
      <w:tblGrid>
        <w:gridCol w:w="2400"/>
        <w:gridCol w:w="2640"/>
        <w:gridCol w:w="2880"/>
      </w:tblGrid>
      <w:tr>
        <w:trPr>
          <w:tblHeader w:val="on"/>
        </w:trPr>
        <w:tc>
          <w:tcPr/>
          <w:p>
            <w:pPr>
              <w:pStyle w:val="Compact"/>
              <w:jc w:val="left"/>
            </w:pPr>
            <w:r>
              <w:t xml:space="preserve">Conceito</w:t>
            </w:r>
          </w:p>
        </w:tc>
        <w:tc>
          <w:tcPr/>
          <w:p>
            <w:pPr>
              <w:pStyle w:val="Compact"/>
              <w:jc w:val="left"/>
            </w:pPr>
            <w:r>
              <w:t xml:space="preserve">Definição</w:t>
            </w:r>
          </w:p>
        </w:tc>
        <w:tc>
          <w:tcPr/>
          <w:p>
            <w:pPr>
              <w:pStyle w:val="Compact"/>
              <w:jc w:val="left"/>
            </w:pPr>
            <w:r>
              <w:t xml:space="preserve">Referência</w:t>
            </w:r>
          </w:p>
        </w:tc>
      </w:tr>
      <w:tr>
        <w:tc>
          <w:tcPr/>
          <w:p>
            <w:pPr>
              <w:pStyle w:val="Compact"/>
              <w:jc w:val="left"/>
            </w:pPr>
            <w:r>
              <w:t xml:space="preserve">Equilíbrio geral competitivo</w:t>
            </w:r>
          </w:p>
        </w:tc>
        <w:tc>
          <w:tcPr/>
          <w:p>
            <w:pPr>
              <w:pStyle w:val="Compact"/>
              <w:jc w:val="left"/>
            </w:pPr>
            <w:r>
              <w:t xml:space="preserve">Vetor de preços que equilibra simultaneamente todos os mercados</w:t>
            </w:r>
          </w:p>
        </w:tc>
        <w:tc>
          <w:tcPr/>
          <w:p>
            <w:pPr>
              <w:pStyle w:val="Compact"/>
              <w:jc w:val="left"/>
            </w:pPr>
            <w:r>
              <w:t xml:space="preserve">Seção 14.1</w:t>
            </w:r>
          </w:p>
        </w:tc>
      </w:tr>
      <w:tr>
        <w:tc>
          <w:tcPr/>
          <w:p>
            <w:pPr>
              <w:pStyle w:val="Compact"/>
              <w:jc w:val="left"/>
            </w:pPr>
            <w:r>
              <w:t xml:space="preserve">Caixa de Edgeworth</w:t>
            </w:r>
          </w:p>
        </w:tc>
        <w:tc>
          <w:tcPr/>
          <w:p>
            <w:pPr>
              <w:pStyle w:val="Compact"/>
              <w:jc w:val="left"/>
            </w:pPr>
            <w:r>
              <w:t xml:space="preserve">Representação gráfica de todas as alocações factíveis com 2 agentes e 2 bens</w:t>
            </w:r>
          </w:p>
        </w:tc>
        <w:tc>
          <w:tcPr/>
          <w:p>
            <w:pPr>
              <w:pStyle w:val="Compact"/>
              <w:jc w:val="left"/>
            </w:pPr>
            <w:r>
              <w:t xml:space="preserve">Seção 14.2</w:t>
            </w:r>
          </w:p>
        </w:tc>
      </w:tr>
      <w:tr>
        <w:tc>
          <w:tcPr/>
          <w:p>
            <w:pPr>
              <w:pStyle w:val="Compact"/>
              <w:jc w:val="left"/>
            </w:pPr>
            <w:r>
              <w:t xml:space="preserve">Curva de contrato</w:t>
            </w:r>
          </w:p>
        </w:tc>
        <w:tc>
          <w:tcPr/>
          <w:p>
            <w:pPr>
              <w:pStyle w:val="Compact"/>
              <w:jc w:val="left"/>
            </w:pPr>
            <w:r>
              <w:t xml:space="preserve">Conjunto de alocações Pareto-eficientes (tangência das curvas de indiferença)</w:t>
            </w:r>
          </w:p>
        </w:tc>
        <w:tc>
          <w:tcPr/>
          <w:p>
            <w:pPr>
              <w:pStyle w:val="Compact"/>
              <w:jc w:val="left"/>
            </w:pPr>
            <w:r>
              <w:t xml:space="preserve">Seção 14.3</w:t>
            </w:r>
          </w:p>
        </w:tc>
      </w:tr>
      <w:tr>
        <w:tc>
          <w:tcPr/>
          <w:p>
            <w:pPr>
              <w:pStyle w:val="Compact"/>
              <w:jc w:val="left"/>
            </w:pPr>
            <w:r>
              <w:t xml:space="preserve">Núcleo da economia</w:t>
            </w:r>
          </w:p>
        </w:tc>
        <w:tc>
          <w:tcPr/>
          <w:p>
            <w:pPr>
              <w:pStyle w:val="Compact"/>
              <w:jc w:val="left"/>
            </w:pPr>
            <w:r>
              <w:t xml:space="preserve">Alocações que nenhuma coalizão pode bloquear</w:t>
            </w:r>
          </w:p>
        </w:tc>
        <w:tc>
          <w:tcPr/>
          <w:p>
            <w:pPr>
              <w:pStyle w:val="Compact"/>
              <w:jc w:val="left"/>
            </w:pPr>
            <w:r>
              <w:t xml:space="preserve">Seção 14.3</w:t>
            </w:r>
          </w:p>
        </w:tc>
      </w:tr>
      <w:tr>
        <w:tc>
          <w:tcPr/>
          <w:p>
            <w:pPr>
              <w:pStyle w:val="Compact"/>
              <w:jc w:val="left"/>
            </w:pPr>
            <w:r>
              <w:t xml:space="preserve">FPP</w:t>
            </w:r>
          </w:p>
        </w:tc>
        <w:tc>
          <w:tcPr/>
          <w:p>
            <w:pPr>
              <w:pStyle w:val="Compact"/>
              <w:jc w:val="left"/>
            </w:pPr>
            <w:r>
              <w:t xml:space="preserve">Combinações máximas de bens que uma economia pode produzir</w:t>
            </w:r>
          </w:p>
        </w:tc>
        <w:tc>
          <w:tcPr/>
          <w:p>
            <w:pPr>
              <w:pStyle w:val="Compact"/>
              <w:jc w:val="left"/>
            </w:pPr>
            <w:r>
              <w:t xml:space="preserve">Seção 14.4</w:t>
            </w:r>
          </w:p>
        </w:tc>
      </w:tr>
      <w:tr>
        <w:tc>
          <w:tcPr/>
          <w:p>
            <w:pPr>
              <w:pStyle w:val="Compact"/>
              <w:jc w:val="left"/>
            </w:pPr>
            <w:r>
              <w:t xml:space="preserve">Primeiro Teorema do Bem-Estar</w:t>
            </w:r>
          </w:p>
        </w:tc>
        <w:tc>
          <w:tcPr/>
          <w:p>
            <w:pPr>
              <w:pStyle w:val="Compact"/>
              <w:jc w:val="left"/>
            </w:pPr>
            <w:r>
              <w:t xml:space="preserve">Todo equilíbrio competitivo é Pareto-eficiente</w:t>
            </w:r>
          </w:p>
        </w:tc>
        <w:tc>
          <w:tcPr/>
          <w:p>
            <w:pPr>
              <w:pStyle w:val="Compact"/>
              <w:jc w:val="left"/>
            </w:pPr>
            <w:r>
              <w:t xml:space="preserve">Seção 14.6</w:t>
            </w:r>
          </w:p>
        </w:tc>
      </w:tr>
      <w:tr>
        <w:tc>
          <w:tcPr/>
          <w:p>
            <w:pPr>
              <w:pStyle w:val="Compact"/>
              <w:jc w:val="left"/>
            </w:pPr>
            <w:r>
              <w:t xml:space="preserve">Segundo Teorema do Bem-Estar</w:t>
            </w:r>
          </w:p>
        </w:tc>
        <w:tc>
          <w:tcPr/>
          <w:p>
            <w:pPr>
              <w:pStyle w:val="Compact"/>
              <w:jc w:val="left"/>
            </w:pPr>
            <w:r>
              <w:t xml:space="preserve">Toda alocação Pareto-eficiente pode ser descentralizada via transferências lump-sum</w:t>
            </w:r>
          </w:p>
        </w:tc>
        <w:tc>
          <w:tcPr/>
          <w:p>
            <w:pPr>
              <w:pStyle w:val="Compact"/>
              <w:jc w:val="left"/>
            </w:pPr>
            <w:r>
              <w:t xml:space="preserve">Seção 14.7</w:t>
            </w:r>
          </w:p>
        </w:tc>
      </w:tr>
      <w:tr>
        <w:tc>
          <w:tcPr/>
          <w:p>
            <w:pPr>
              <w:pStyle w:val="Compact"/>
              <w:jc w:val="left"/>
            </w:pPr>
            <w:r>
              <w:t xml:space="preserve">Lei de Walras</w:t>
            </w:r>
          </w:p>
        </w:tc>
        <w:tc>
          <w:tcPr/>
          <w:p>
            <w:pPr>
              <w:pStyle w:val="Compact"/>
              <w:jc w:val="left"/>
            </w:pPr>
            <w:r>
              <w:t xml:space="preserve">Valor total dos excessos de demanda é identicamente zero</w:t>
            </w:r>
          </w:p>
        </w:tc>
        <w:tc>
          <w:tcPr/>
          <w:p>
            <w:pPr>
              <w:pStyle w:val="Compact"/>
              <w:jc w:val="left"/>
            </w:pPr>
            <w:r>
              <w:t xml:space="preserve">Seção 14.8</w:t>
            </w:r>
          </w:p>
        </w:tc>
      </w:tr>
      <w:tr>
        <w:tc>
          <w:tcPr/>
          <w:p>
            <w:pPr>
              <w:pStyle w:val="Compact"/>
              <w:jc w:val="left"/>
            </w:pPr>
            <w:r>
              <w:t xml:space="preserve">Modelo CGE</w:t>
            </w:r>
          </w:p>
        </w:tc>
        <w:tc>
          <w:tcPr/>
          <w:p>
            <w:pPr>
              <w:pStyle w:val="Compact"/>
              <w:jc w:val="left"/>
            </w:pPr>
            <w:r>
              <w:t xml:space="preserve">Implementação numérica do equilíbrio geral calibrada com dados reais</w:t>
            </w:r>
          </w:p>
        </w:tc>
        <w:tc>
          <w:tcPr/>
          <w:p>
            <w:pPr>
              <w:pStyle w:val="Compact"/>
              <w:jc w:val="left"/>
            </w:pPr>
            <w:r>
              <w:t xml:space="preserve">Seção 14.11</w:t>
            </w:r>
          </w:p>
        </w:tc>
      </w:tr>
    </w:tbl>
    <w:p>
      <w:r>
        <w:pict>
          <v:rect style="width:0;height:1.5pt" o:hralign="center" o:hrstd="t" o:hr="t"/>
        </w:pict>
      </w:r>
    </w:p>
    <w:bookmarkEnd w:id="903"/>
    <w:bookmarkStart w:id="904" w:name="exercícios-18"/>
    <w:p>
      <w:pPr>
        <w:pStyle w:val="Heading3"/>
      </w:pPr>
      <w:r>
        <w:t xml:space="preserve">Exercícios</w:t>
      </w:r>
    </w:p>
    <w:p>
      <w:pPr>
        <w:pStyle w:val="BlockText"/>
      </w:pPr>
      <w:r>
        <w:rPr>
          <w:b/>
          <w:bCs/>
        </w:rPr>
        <w:t xml:space="preserve">[EXERCICIO PROPOSTO] Exercício 14.1 — Curva de contrato e equilíbrio walrasiano</w:t>
      </w:r>
    </w:p>
    <w:p>
      <w:pPr>
        <w:pStyle w:val="BlockText"/>
      </w:pPr>
      <w:r>
        <w:t xml:space="preserve">Considere uma economia de troca pura com dois consumidores (A e B) e dois bens (</w:t>
      </w:r>
      <m:oMath>
        <m:sSub>
          <m:e>
            <m:r>
              <m:t>x</m:t>
            </m:r>
          </m:e>
          <m:sub>
            <m:r>
              <m:t>1</m:t>
            </m:r>
          </m:sub>
        </m:sSub>
        <m:r>
          <m:rPr>
            <m:sty m:val="p"/>
          </m:rPr>
          <m:t>,</m:t>
        </m:r>
        <m:sSub>
          <m:e>
            <m:r>
              <m:t>x</m:t>
            </m:r>
          </m:e>
          <m:sub>
            <m:r>
              <m:t>2</m:t>
            </m:r>
          </m:sub>
        </m:sSub>
      </m:oMath>
      <w:r>
        <w:t xml:space="preserve">). Ambos têm preferências Cobb-Douglas simétricas:</w:t>
      </w:r>
      <w:r>
        <w:t xml:space="preserve"> </w:t>
      </w:r>
      <m:oMath>
        <m:sSub>
          <m:e>
            <m:r>
              <m:t>U</m:t>
            </m:r>
          </m:e>
          <m:sub>
            <m:r>
              <m:t>A</m:t>
            </m:r>
          </m:sub>
        </m:sSub>
        <m:r>
          <m:rPr>
            <m:sty m:val="p"/>
          </m:rPr>
          <m:t>=</m:t>
        </m:r>
        <m:sSubSup>
          <m:e>
            <m:r>
              <m:t>x</m:t>
            </m:r>
          </m:e>
          <m:sub>
            <m:r>
              <m:t>1</m:t>
            </m:r>
          </m:sub>
          <m:sup>
            <m:r>
              <m:t>A</m:t>
            </m:r>
          </m:sup>
        </m:sSubSup>
        <m:sSubSup>
          <m:e>
            <m:r>
              <m:t>x</m:t>
            </m:r>
          </m:e>
          <m:sub>
            <m:r>
              <m:t>2</m:t>
            </m:r>
          </m:sub>
          <m:sup>
            <m:r>
              <m:t>A</m:t>
            </m:r>
          </m:sup>
        </m:sSubSup>
      </m:oMath>
      <w:r>
        <w:t xml:space="preserve"> </w:t>
      </w:r>
      <w:r>
        <w:t xml:space="preserve">e</w:t>
      </w:r>
      <w:r>
        <w:t xml:space="preserve"> </w:t>
      </w:r>
      <m:oMath>
        <m:sSub>
          <m:e>
            <m:r>
              <m:t>U</m:t>
            </m:r>
          </m:e>
          <m:sub>
            <m:r>
              <m:t>B</m:t>
            </m:r>
          </m:sub>
        </m:sSub>
        <m:r>
          <m:rPr>
            <m:sty m:val="p"/>
          </m:rPr>
          <m:t>=</m:t>
        </m:r>
        <m:sSubSup>
          <m:e>
            <m:r>
              <m:t>x</m:t>
            </m:r>
          </m:e>
          <m:sub>
            <m:r>
              <m:t>1</m:t>
            </m:r>
          </m:sub>
          <m:sup>
            <m:r>
              <m:t>B</m:t>
            </m:r>
          </m:sup>
        </m:sSubSup>
        <m:sSubSup>
          <m:e>
            <m:r>
              <m:t>x</m:t>
            </m:r>
          </m:e>
          <m:sub>
            <m:r>
              <m:t>2</m:t>
            </m:r>
          </m:sub>
          <m:sup>
            <m:r>
              <m:t>B</m:t>
            </m:r>
          </m:sup>
        </m:sSubSup>
      </m:oMath>
      <w:r>
        <w:t xml:space="preserve">. As dotações são</w:t>
      </w:r>
      <w:r>
        <w:t xml:space="preserve"> </w:t>
      </w:r>
      <m:oMath>
        <m:sSub>
          <m:e>
            <m:r>
              <m:rPr>
                <m:sty m:val="bi"/>
              </m:rPr>
              <m:t>ω</m:t>
            </m:r>
          </m:e>
          <m:sub>
            <m:r>
              <m:t>A</m:t>
            </m:r>
          </m:sub>
        </m:sSub>
        <m:r>
          <m:rPr>
            <m:sty m:val="p"/>
          </m:rPr>
          <m:t>=</m:t>
        </m:r>
        <m:r>
          <m:rPr>
            <m:sty m:val="p"/>
          </m:rPr>
          <m:t>(</m:t>
        </m:r>
        <m:r>
          <m:t>10</m:t>
        </m:r>
        <m:r>
          <m:rPr>
            <m:sty m:val="p"/>
          </m:rPr>
          <m:t>,</m:t>
        </m:r>
        <m:r>
          <m:t>2</m:t>
        </m:r>
        <m:r>
          <m:rPr>
            <m:sty m:val="p"/>
          </m:rPr>
          <m:t>)</m:t>
        </m:r>
      </m:oMath>
      <w:r>
        <w:t xml:space="preserve"> </w:t>
      </w:r>
      <w:r>
        <w:t xml:space="preserve">e</w:t>
      </w:r>
      <w:r>
        <w:t xml:space="preserve"> </w:t>
      </w:r>
      <m:oMath>
        <m:sSub>
          <m:e>
            <m:r>
              <m:rPr>
                <m:sty m:val="bi"/>
              </m:rPr>
              <m:t>ω</m:t>
            </m:r>
          </m:e>
          <m:sub>
            <m:r>
              <m:t>B</m:t>
            </m:r>
          </m:sub>
        </m:sSub>
        <m:r>
          <m:rPr>
            <m:sty m:val="p"/>
          </m:rPr>
          <m:t>=</m:t>
        </m:r>
        <m:r>
          <m:rPr>
            <m:sty m:val="p"/>
          </m:rPr>
          <m:t>(</m:t>
        </m:r>
        <m:r>
          <m:t>2</m:t>
        </m:r>
        <m:r>
          <m:rPr>
            <m:sty m:val="p"/>
          </m:rPr>
          <m:t>,</m:t>
        </m:r>
        <m:r>
          <m:t>8</m:t>
        </m:r>
        <m:r>
          <m:rPr>
            <m:sty m:val="p"/>
          </m:rPr>
          <m:t>)</m:t>
        </m:r>
      </m:oMath>
      <w:r>
        <w:t xml:space="preserve">. Dotações totais:</w:t>
      </w:r>
      <w:r>
        <w:t xml:space="preserve"> </w:t>
      </w:r>
      <m:oMath>
        <m:sSub>
          <m:e>
            <m:acc>
              <m:accPr>
                <m:chr m:val="‾"/>
              </m:accPr>
              <m:e>
                <m:r>
                  <m:t>x</m:t>
                </m:r>
              </m:e>
            </m:acc>
          </m:e>
          <m:sub>
            <m:r>
              <m:t>1</m:t>
            </m:r>
          </m:sub>
        </m:sSub>
        <m:r>
          <m:rPr>
            <m:sty m:val="p"/>
          </m:rPr>
          <m:t>=</m:t>
        </m:r>
        <m:r>
          <m:t>12</m:t>
        </m:r>
      </m:oMath>
      <w:r>
        <w:t xml:space="preserve">,</w:t>
      </w:r>
      <w:r>
        <w:t xml:space="preserve"> </w:t>
      </w:r>
      <m:oMath>
        <m:sSub>
          <m:e>
            <m:acc>
              <m:accPr>
                <m:chr m:val="‾"/>
              </m:accPr>
              <m:e>
                <m:r>
                  <m:t>x</m:t>
                </m:r>
              </m:e>
            </m:acc>
          </m:e>
          <m:sub>
            <m:r>
              <m:t>2</m:t>
            </m:r>
          </m:sub>
        </m:sSub>
        <m:r>
          <m:rPr>
            <m:sty m:val="p"/>
          </m:rPr>
          <m:t>=</m:t>
        </m:r>
        <m:r>
          <m:t>10</m:t>
        </m:r>
      </m:oMath>
      <w:r>
        <w:t xml:space="preserve">.</w:t>
      </w:r>
    </w:p>
    <w:p>
      <w:pPr>
        <w:pStyle w:val="BlockText"/>
      </w:pPr>
      <w:r>
        <w:rPr>
          <w:b/>
          <w:bCs/>
        </w:rPr>
        <w:t xml:space="preserve">(a)</w:t>
      </w:r>
      <w:r>
        <w:t xml:space="preserve"> </w:t>
      </w:r>
      <w:r>
        <w:t xml:space="preserve">Derive a curva de contrato (conjunto de alocações Pareto-eficientes).</w:t>
      </w:r>
    </w:p>
    <w:p>
      <w:pPr>
        <w:pStyle w:val="BlockText"/>
      </w:pPr>
      <w:r>
        <w:rPr>
          <w:b/>
          <w:bCs/>
        </w:rPr>
        <w:t xml:space="preserve">(b)</w:t>
      </w:r>
      <w:r>
        <w:t xml:space="preserve"> </w:t>
      </w:r>
      <w:r>
        <w:t xml:space="preserve">Normalize</w:t>
      </w:r>
      <w:r>
        <w:t xml:space="preserve"> </w:t>
      </w:r>
      <m:oMath>
        <m:sSub>
          <m:e>
            <m:r>
              <m:t>p</m:t>
            </m:r>
          </m:e>
          <m:sub>
            <m:r>
              <m:t>2</m:t>
            </m:r>
          </m:sub>
        </m:sSub>
        <m:r>
          <m:rPr>
            <m:sty m:val="p"/>
          </m:rPr>
          <m:t>=</m:t>
        </m:r>
        <m:r>
          <m:t>1</m:t>
        </m:r>
      </m:oMath>
      <w:r>
        <w:t xml:space="preserve">. Encontre o preço de equilíbrio walrasiano</w:t>
      </w:r>
      <w:r>
        <w:t xml:space="preserve"> </w:t>
      </w:r>
      <m:oMath>
        <m:sSubSup>
          <m:e>
            <m:r>
              <m:t>p</m:t>
            </m:r>
          </m:e>
          <m:sub>
            <m:r>
              <m:t>1</m:t>
            </m:r>
          </m:sub>
          <m:sup>
            <m:r>
              <m:rPr>
                <m:sty m:val="p"/>
              </m:rPr>
              <m:t>*</m:t>
            </m:r>
          </m:sup>
        </m:sSubSup>
      </m:oMath>
      <w:r>
        <w:t xml:space="preserve"> </w:t>
      </w:r>
      <w:r>
        <w:t xml:space="preserve">e as alocações de equilíbrio.</w:t>
      </w:r>
    </w:p>
    <w:p>
      <w:pPr>
        <w:pStyle w:val="BlockText"/>
      </w:pPr>
      <w:r>
        <w:rPr>
          <w:b/>
          <w:bCs/>
        </w:rPr>
        <w:t xml:space="preserve">(c)</w:t>
      </w:r>
      <w:r>
        <w:t xml:space="preserve"> </w:t>
      </w:r>
      <w:r>
        <w:t xml:space="preserve">Verifique a Lei de Walras para esta economia.</w:t>
      </w:r>
    </w:p>
    <w:p>
      <w:pPr>
        <w:pStyle w:val="BlockText"/>
      </w:pPr>
      <w:r>
        <w:rPr>
          <w:b/>
          <w:bCs/>
        </w:rPr>
        <w:t xml:space="preserve">(d)</w:t>
      </w:r>
      <w:r>
        <w:t xml:space="preserve"> </w:t>
      </w:r>
      <w:r>
        <w:t xml:space="preserve">Verifique que o equilíbrio está no núcleo da economia (cada consumidor prefere o equilíbrio à sua dotação inicial).</w:t>
      </w:r>
    </w:p>
    <w:p>
      <w:pPr>
        <w:pStyle w:val="BlockText"/>
      </w:pPr>
      <w:r>
        <w:t xml:space="preserve">Ver solução (Cap. 14)</w:t>
      </w:r>
    </w:p>
    <w:p>
      <w:pPr>
        <w:pStyle w:val="BlockText"/>
      </w:pPr>
      <w:r>
        <w:rPr>
          <w:b/>
          <w:bCs/>
        </w:rPr>
        <w:t xml:space="preserve">[EXERCICIO PROPOSTO] Exercício 14.2 — Condições de eficiência de Pareto</w:t>
      </w:r>
    </w:p>
    <w:p>
      <w:pPr>
        <w:pStyle w:val="BlockText"/>
      </w:pPr>
      <w:r>
        <w:t xml:space="preserve">Demonstre as seguintes afirmações:</w:t>
      </w:r>
    </w:p>
    <w:p>
      <w:pPr>
        <w:pStyle w:val="BlockText"/>
      </w:pPr>
      <w:r>
        <w:rPr>
          <w:b/>
          <w:bCs/>
        </w:rPr>
        <w:t xml:space="preserve">(a)</w:t>
      </w:r>
      <w:r>
        <w:t xml:space="preserve"> </w:t>
      </w:r>
      <w:r>
        <w:rPr>
          <w:b/>
          <w:bCs/>
        </w:rPr>
        <w:t xml:space="preserve">Eficiência na troca:</w:t>
      </w:r>
      <w:r>
        <w:t xml:space="preserve"> </w:t>
      </w:r>
      <w:r>
        <w:t xml:space="preserve">Se</w:t>
      </w:r>
      <w:r>
        <w:t xml:space="preserve"> </w:t>
      </w:r>
      <m:oMath>
        <m:r>
          <m:t>T</m:t>
        </m:r>
        <m:r>
          <m:t>M</m:t>
        </m:r>
        <m:sSubSup>
          <m:e>
            <m:r>
              <m:t>S</m:t>
            </m:r>
          </m:e>
          <m:sub>
            <m:r>
              <m:t>A</m:t>
            </m:r>
          </m:sub>
          <m:sup>
            <m:r>
              <m:t>12</m:t>
            </m:r>
          </m:sup>
        </m:sSubSup>
        <m:r>
          <m:rPr>
            <m:sty m:val="p"/>
          </m:rPr>
          <m:t>≠</m:t>
        </m:r>
        <m:r>
          <m:t>T</m:t>
        </m:r>
        <m:r>
          <m:t>M</m:t>
        </m:r>
        <m:sSubSup>
          <m:e>
            <m:r>
              <m:t>S</m:t>
            </m:r>
          </m:e>
          <m:sub>
            <m:r>
              <m:t>B</m:t>
            </m:r>
          </m:sub>
          <m:sup>
            <m:r>
              <m:t>12</m:t>
            </m:r>
          </m:sup>
        </m:sSubSup>
      </m:oMath>
      <w:r>
        <w:t xml:space="preserve">, a alocação não é Pareto-eficiente (mostre que existe uma troca mutuamente benéfica).</w:t>
      </w:r>
    </w:p>
    <w:p>
      <w:pPr>
        <w:pStyle w:val="BlockText"/>
      </w:pPr>
      <w:r>
        <w:rPr>
          <w:b/>
          <w:bCs/>
        </w:rPr>
        <w:t xml:space="preserve">(b)</w:t>
      </w:r>
      <w:r>
        <w:t xml:space="preserve"> </w:t>
      </w:r>
      <w:r>
        <w:rPr>
          <w:b/>
          <w:bCs/>
        </w:rPr>
        <w:t xml:space="preserve">Eficiência na produção:</w:t>
      </w:r>
      <w:r>
        <w:t xml:space="preserve"> </w:t>
      </w:r>
      <w:r>
        <w:t xml:space="preserve">Se</w:t>
      </w:r>
      <w:r>
        <w:t xml:space="preserve"> </w:t>
      </w:r>
      <m:oMath>
        <m:r>
          <m:t>T</m:t>
        </m:r>
        <m:r>
          <m:t>M</m:t>
        </m:r>
        <m:r>
          <m:t>S</m:t>
        </m:r>
        <m:sSubSup>
          <m:e>
            <m:r>
              <m:t>T</m:t>
            </m:r>
          </m:e>
          <m:sub>
            <m:r>
              <m:t>1</m:t>
            </m:r>
          </m:sub>
          <m:sup>
            <m:r>
              <m:t>L</m:t>
            </m:r>
            <m:r>
              <m:t>K</m:t>
            </m:r>
          </m:sup>
        </m:sSubSup>
        <m:r>
          <m:rPr>
            <m:sty m:val="p"/>
          </m:rPr>
          <m:t>≠</m:t>
        </m:r>
        <m:r>
          <m:t>T</m:t>
        </m:r>
        <m:r>
          <m:t>M</m:t>
        </m:r>
        <m:r>
          <m:t>S</m:t>
        </m:r>
        <m:sSubSup>
          <m:e>
            <m:r>
              <m:t>T</m:t>
            </m:r>
          </m:e>
          <m:sub>
            <m:r>
              <m:t>2</m:t>
            </m:r>
          </m:sub>
          <m:sup>
            <m:r>
              <m:t>L</m:t>
            </m:r>
            <m:r>
              <m:t>K</m:t>
            </m:r>
          </m:sup>
        </m:sSubSup>
      </m:oMath>
      <w:r>
        <w:t xml:space="preserve">, a alocação de insumos não é eficiente (mostre que é possível produzir mais de um bem sem produzir menos do outro).</w:t>
      </w:r>
    </w:p>
    <w:p>
      <w:pPr>
        <w:pStyle w:val="BlockText"/>
      </w:pPr>
      <w:r>
        <w:rPr>
          <w:b/>
          <w:bCs/>
        </w:rPr>
        <w:t xml:space="preserve">(c)</w:t>
      </w:r>
      <w:r>
        <w:t xml:space="preserve"> </w:t>
      </w:r>
      <w:r>
        <w:rPr>
          <w:b/>
          <w:bCs/>
        </w:rPr>
        <w:t xml:space="preserve">Eficiência no mix:</w:t>
      </w:r>
      <w:r>
        <w:t xml:space="preserve"> </w:t>
      </w:r>
      <w:r>
        <w:t xml:space="preserve">Se</w:t>
      </w:r>
      <w:r>
        <w:t xml:space="preserve"> </w:t>
      </w:r>
      <m:oMath>
        <m:r>
          <m:t>T</m:t>
        </m:r>
        <m:r>
          <m:t>M</m:t>
        </m:r>
        <m:sSub>
          <m:e>
            <m:r>
              <m:t>T</m:t>
            </m:r>
          </m:e>
          <m:sub>
            <m:r>
              <m:t>12</m:t>
            </m:r>
          </m:sub>
        </m:sSub>
        <m:r>
          <m:rPr>
            <m:sty m:val="p"/>
          </m:rPr>
          <m:t>≠</m:t>
        </m:r>
        <m:r>
          <m:t>T</m:t>
        </m:r>
        <m:r>
          <m:t>M</m:t>
        </m:r>
        <m:sSup>
          <m:e>
            <m:r>
              <m:t>S</m:t>
            </m:r>
          </m:e>
          <m:sup>
            <m:r>
              <m:t>12</m:t>
            </m:r>
          </m:sup>
        </m:sSup>
      </m:oMath>
      <w:r>
        <w:t xml:space="preserve">, a composição do produto não é eficiente (mostre que é possível melhorar o bem-estar dos consumidores alterando o que é produzido).</w:t>
      </w:r>
    </w:p>
    <w:p>
      <w:pPr>
        <w:pStyle w:val="BlockText"/>
      </w:pPr>
      <w:r>
        <w:t xml:space="preserve">Ver solução (Cap. 14)</w:t>
      </w:r>
    </w:p>
    <w:p>
      <w:pPr>
        <w:pStyle w:val="BlockText"/>
      </w:pPr>
      <w:r>
        <w:rPr>
          <w:b/>
          <w:bCs/>
        </w:rPr>
        <w:t xml:space="preserve">[EXERCICIO PROPOSTO] Exercício 14.3 — Excesso de demanda e Lei de Walras com 3 bens</w:t>
      </w:r>
    </w:p>
    <w:p>
      <w:pPr>
        <w:pStyle w:val="BlockText"/>
      </w:pPr>
      <w:r>
        <w:t xml:space="preserve">Considere uma economia com 3 bens cujas funções de excesso de demanda são:</w:t>
      </w:r>
    </w:p>
    <w:p>
      <w:pPr>
        <w:pStyle w:val="BlockText"/>
      </w:pPr>
      <w:r>
        <w:t xml:space="preserve">$$</w:t>
      </w:r>
    </w:p>
    <w:p>
      <w:pPr>
        <w:pStyle w:val="BlockText"/>
      </w:pPr>
      <w:r>
        <w:t xml:space="preserve">Z^1(</w:t>
      </w:r>
      <w:r>
        <w:t xml:space="preserve">) =</w:t>
      </w:r>
      <w:r>
        <w:t xml:space="preserve"> </w:t>
      </w:r>
      <w:r>
        <w:t xml:space="preserve"> </w:t>
      </w:r>
      <w:r>
        <w:t xml:space="preserve">+</w:t>
      </w:r>
      <w:r>
        <w:t xml:space="preserve"> </w:t>
      </w:r>
      <w:r>
        <w:t xml:space="preserve"> </w:t>
      </w:r>
      <w:r>
        <w:t xml:space="preserve">- 5,</w:t>
      </w:r>
      <w:r>
        <w:t xml:space="preserve"> </w:t>
      </w:r>
      <w:r>
        <w:t xml:space="preserve">Z^2(</w:t>
      </w:r>
      <w:r>
        <w:t xml:space="preserve">) = -p_2 + p_3 + 1</w:t>
      </w:r>
    </w:p>
    <w:p>
      <w:pPr>
        <w:pStyle w:val="BlockText"/>
      </w:pPr>
      <w:r>
        <w:t xml:space="preserve">$$</w:t>
      </w:r>
    </w:p>
    <w:p>
      <w:pPr>
        <w:pStyle w:val="BlockText"/>
      </w:pPr>
      <w:r>
        <w:rPr>
          <w:b/>
          <w:bCs/>
        </w:rPr>
        <w:t xml:space="preserve">(a)</w:t>
      </w:r>
      <w:r>
        <w:t xml:space="preserve"> </w:t>
      </w:r>
      <w:r>
        <w:t xml:space="preserve">Verifique que</w:t>
      </w:r>
      <w:r>
        <w:t xml:space="preserve"> </w:t>
      </w:r>
      <m:oMath>
        <m:sSup>
          <m:e>
            <m:r>
              <m:t>Z</m:t>
            </m:r>
          </m:e>
          <m:sup>
            <m:r>
              <m:t>1</m:t>
            </m:r>
          </m:sup>
        </m:sSup>
      </m:oMath>
      <w:r>
        <w:t xml:space="preserve"> </w:t>
      </w:r>
      <w:r>
        <w:t xml:space="preserve">e</w:t>
      </w:r>
      <w:r>
        <w:t xml:space="preserve"> </w:t>
      </w:r>
      <m:oMath>
        <m:sSup>
          <m:e>
            <m:r>
              <m:t>Z</m:t>
            </m:r>
          </m:e>
          <m:sup>
            <m:r>
              <m:t>2</m:t>
            </m:r>
          </m:sup>
        </m:sSup>
      </m:oMath>
      <w:r>
        <w:t xml:space="preserve"> </w:t>
      </w:r>
      <w:r>
        <w:t xml:space="preserve">são homogêneas de grau zero.</w:t>
      </w:r>
    </w:p>
    <w:p>
      <w:pPr>
        <w:pStyle w:val="BlockText"/>
      </w:pPr>
      <w:r>
        <w:rPr>
          <w:b/>
          <w:bCs/>
        </w:rPr>
        <w:t xml:space="preserve">(b)</w:t>
      </w:r>
      <w:r>
        <w:t xml:space="preserve"> </w:t>
      </w:r>
      <w:r>
        <w:t xml:space="preserve">Usando a Lei de Walras, derive</w:t>
      </w:r>
      <w:r>
        <w:t xml:space="preserve"> </w:t>
      </w:r>
      <m:oMath>
        <m:sSup>
          <m:e>
            <m:r>
              <m:t>Z</m:t>
            </m:r>
          </m:e>
          <m:sup>
            <m:r>
              <m:t>3</m:t>
            </m:r>
          </m:sup>
        </m:sSup>
        <m:r>
          <m:rPr>
            <m:sty m:val="p"/>
          </m:rPr>
          <m:t>(</m:t>
        </m:r>
        <m:r>
          <m:rPr>
            <m:sty m:val="bi"/>
          </m:rPr>
          <m:t>p</m:t>
        </m:r>
        <m:r>
          <m:rPr>
            <m:sty m:val="p"/>
          </m:rPr>
          <m:t>)</m:t>
        </m:r>
      </m:oMath>
      <w:r>
        <w:t xml:space="preserve">.</w:t>
      </w:r>
    </w:p>
    <w:p>
      <w:pPr>
        <w:pStyle w:val="BlockText"/>
      </w:pPr>
      <w:r>
        <w:rPr>
          <w:b/>
          <w:bCs/>
        </w:rPr>
        <w:t xml:space="preserve">(c)</w:t>
      </w:r>
      <w:r>
        <w:t xml:space="preserve"> </w:t>
      </w:r>
      <w:r>
        <w:t xml:space="preserve">Normalize</w:t>
      </w:r>
      <w:r>
        <w:t xml:space="preserve"> </w:t>
      </w:r>
      <m:oMath>
        <m:sSub>
          <m:e>
            <m:r>
              <m:t>p</m:t>
            </m:r>
          </m:e>
          <m:sub>
            <m:r>
              <m:t>1</m:t>
            </m:r>
          </m:sub>
        </m:sSub>
        <m:r>
          <m:rPr>
            <m:sty m:val="p"/>
          </m:rPr>
          <m:t>=</m:t>
        </m:r>
        <m:r>
          <m:t>1</m:t>
        </m:r>
      </m:oMath>
      <w:r>
        <w:t xml:space="preserve"> </w:t>
      </w:r>
      <w:r>
        <w:t xml:space="preserve">e encontre o equilíbrio walrasiano</w:t>
      </w:r>
      <w:r>
        <w:t xml:space="preserve"> </w:t>
      </w:r>
      <m:oMath>
        <m:sSup>
          <m:e>
            <m:r>
              <m:rPr>
                <m:sty m:val="bi"/>
              </m:rPr>
              <m:t>p</m:t>
            </m:r>
          </m:e>
          <m:sup>
            <m:r>
              <m:rPr>
                <m:sty m:val="p"/>
              </m:rPr>
              <m:t>*</m:t>
            </m:r>
          </m:sup>
        </m:sSup>
      </m:oMath>
      <w:r>
        <w:t xml:space="preserve">.</w:t>
      </w:r>
    </w:p>
    <w:p>
      <w:pPr>
        <w:pStyle w:val="BlockText"/>
      </w:pPr>
      <w:r>
        <w:t xml:space="preserve">Ver solução (Cap. 14)</w:t>
      </w:r>
    </w:p>
    <w:p>
      <w:pPr>
        <w:pStyle w:val="BlockText"/>
      </w:pPr>
      <w:r>
        <w:rPr>
          <w:b/>
          <w:bCs/>
        </w:rPr>
        <w:t xml:space="preserve">[EXERCICIO PROPOSTO] Exercício 14.4 — Primeiro Teorema: da otimização individual à eficiência</w:t>
      </w:r>
    </w:p>
    <w:p>
      <w:pPr>
        <w:pStyle w:val="BlockText"/>
      </w:pPr>
      <w:r>
        <w:t xml:space="preserve">Mostre que, em uma economia com 2 bens, 2 consumidores e 2 firmas, a concorrência perfeita implica as três condições de eficiência de Pareto:</w:t>
      </w:r>
    </w:p>
    <w:p>
      <w:pPr>
        <w:pStyle w:val="BlockText"/>
      </w:pPr>
      <w:r>
        <w:rPr>
          <w:b/>
          <w:bCs/>
        </w:rPr>
        <w:t xml:space="preserve">(a)</w:t>
      </w:r>
      <w:r>
        <w:t xml:space="preserve"> </w:t>
      </w:r>
      <w:r>
        <w:t xml:space="preserve">Eficiência na troca:</w:t>
      </w:r>
      <w:r>
        <w:t xml:space="preserve"> </w:t>
      </w:r>
      <m:oMath>
        <m:r>
          <m:t>T</m:t>
        </m:r>
        <m:r>
          <m:t>M</m:t>
        </m:r>
        <m:sSub>
          <m:e>
            <m:r>
              <m:t>S</m:t>
            </m:r>
          </m:e>
          <m:sub>
            <m:r>
              <m:t>A</m:t>
            </m:r>
          </m:sub>
        </m:sSub>
        <m:r>
          <m:rPr>
            <m:sty m:val="p"/>
          </m:rPr>
          <m:t>=</m:t>
        </m:r>
        <m:r>
          <m:t>T</m:t>
        </m:r>
        <m:r>
          <m:t>M</m:t>
        </m:r>
        <m:sSub>
          <m:e>
            <m:r>
              <m:t>S</m:t>
            </m:r>
          </m:e>
          <m:sub>
            <m:r>
              <m:t>B</m:t>
            </m:r>
          </m:sub>
        </m:sSub>
      </m:oMath>
      <w:r>
        <w:t xml:space="preserve">.</w:t>
      </w:r>
    </w:p>
    <w:p>
      <w:pPr>
        <w:pStyle w:val="BlockText"/>
      </w:pPr>
      <w:r>
        <w:rPr>
          <w:b/>
          <w:bCs/>
        </w:rPr>
        <w:t xml:space="preserve">(b)</w:t>
      </w:r>
      <w:r>
        <w:t xml:space="preserve"> </w:t>
      </w:r>
      <w:r>
        <w:t xml:space="preserve">Eficiência na produção:</w:t>
      </w:r>
      <w:r>
        <w:t xml:space="preserve"> </w:t>
      </w:r>
      <m:oMath>
        <m:r>
          <m:t>T</m:t>
        </m:r>
        <m:r>
          <m:t>M</m:t>
        </m:r>
        <m:r>
          <m:t>S</m:t>
        </m:r>
        <m:sSub>
          <m:e>
            <m:r>
              <m:t>T</m:t>
            </m:r>
          </m:e>
          <m:sub>
            <m:r>
              <m:t>1</m:t>
            </m:r>
          </m:sub>
        </m:sSub>
        <m:r>
          <m:rPr>
            <m:sty m:val="p"/>
          </m:rPr>
          <m:t>=</m:t>
        </m:r>
        <m:r>
          <m:t>T</m:t>
        </m:r>
        <m:r>
          <m:t>M</m:t>
        </m:r>
        <m:r>
          <m:t>S</m:t>
        </m:r>
        <m:sSub>
          <m:e>
            <m:r>
              <m:t>T</m:t>
            </m:r>
          </m:e>
          <m:sub>
            <m:r>
              <m:t>2</m:t>
            </m:r>
          </m:sub>
        </m:sSub>
      </m:oMath>
      <w:r>
        <w:t xml:space="preserve">.</w:t>
      </w:r>
    </w:p>
    <w:p>
      <w:pPr>
        <w:pStyle w:val="BlockText"/>
      </w:pPr>
      <w:r>
        <w:rPr>
          <w:b/>
          <w:bCs/>
        </w:rPr>
        <w:t xml:space="preserve">(c)</w:t>
      </w:r>
      <w:r>
        <w:t xml:space="preserve"> </w:t>
      </w:r>
      <w:r>
        <w:t xml:space="preserve">Eficiência no mix de produtos:</w:t>
      </w:r>
      <w:r>
        <w:t xml:space="preserve"> </w:t>
      </w:r>
      <m:oMath>
        <m:r>
          <m:t>T</m:t>
        </m:r>
        <m:r>
          <m:t>M</m:t>
        </m:r>
        <m:r>
          <m:t>T</m:t>
        </m:r>
        <m:r>
          <m:rPr>
            <m:sty m:val="p"/>
          </m:rPr>
          <m:t>=</m:t>
        </m:r>
        <m:r>
          <m:t>T</m:t>
        </m:r>
        <m:r>
          <m:t>M</m:t>
        </m:r>
        <m:r>
          <m:t>S</m:t>
        </m:r>
      </m:oMath>
      <w:r>
        <w:t xml:space="preserve">.</w:t>
      </w:r>
    </w:p>
    <w:p>
      <w:pPr>
        <w:pStyle w:val="BlockText"/>
      </w:pPr>
      <w:r>
        <w:rPr>
          <w:i/>
          <w:iCs/>
        </w:rPr>
        <w:t xml:space="preserve">Dica:</w:t>
      </w:r>
      <w:r>
        <w:t xml:space="preserve"> </w:t>
      </w:r>
      <w:r>
        <w:t xml:space="preserve">use as condições de otimização de consumidores e firmas diante de preços competitivos.</w:t>
      </w:r>
    </w:p>
    <w:p>
      <w:pPr>
        <w:pStyle w:val="BlockText"/>
      </w:pPr>
      <w:r>
        <w:t xml:space="preserve">Ver solução (Cap. 14)</w:t>
      </w:r>
    </w:p>
    <w:bookmarkEnd w:id="904"/>
    <w:bookmarkStart w:id="905" w:name="Xb310cc6635ad295537bb225e6b8bdbc27d7f77e"/>
    <w:p>
      <w:pPr>
        <w:pStyle w:val="Heading3"/>
      </w:pPr>
      <w:r>
        <w:t xml:space="preserve">Exercícios — Material Avançado (Seções 14.11–14.12)</w:t>
      </w:r>
    </w:p>
    <w:p>
      <w:pPr>
        <w:pStyle w:val="FirstParagraph"/>
      </w:pPr>
      <w:r>
        <w:rPr>
          <w:i/>
          <w:iCs/>
        </w:rPr>
        <w:t xml:space="preserve">Estes exercícios cobrem as seções complementares. Podem ser omitidos em cursos que não incluem CGE e Escolha Social.</w:t>
      </w:r>
    </w:p>
    <w:p>
      <w:pPr>
        <w:pStyle w:val="BlockText"/>
      </w:pPr>
      <w:r>
        <w:rPr>
          <w:b/>
          <w:bCs/>
        </w:rPr>
        <w:t xml:space="preserve">[EXERCICIO PROPOSTO] Exercício 14.5 — CGE e o acordo Mercosul-UE</w:t>
      </w:r>
    </w:p>
    <w:p>
      <w:pPr>
        <w:pStyle w:val="BlockText"/>
      </w:pPr>
      <w:r>
        <w:t xml:space="preserve">O acordo comercial Mercosul-UE prevê redução de tarifas sobre bens industrializados europeus exportados ao Brasil, em troca de maior acesso europeu a commodities agrícolas brasileiras.</w:t>
      </w:r>
    </w:p>
    <w:p>
      <w:pPr>
        <w:pStyle w:val="BlockText"/>
      </w:pPr>
      <w:r>
        <w:rPr>
          <w:b/>
          <w:bCs/>
        </w:rPr>
        <w:t xml:space="preserve">(a)</w:t>
      </w:r>
      <w:r>
        <w:t xml:space="preserve"> </w:t>
      </w:r>
      <w:r>
        <w:t xml:space="preserve">Explique por que uma análise de equilíbrio parcial (oferta e demanda de um setor) é insuficiente para avaliar esse acordo.</w:t>
      </w:r>
    </w:p>
    <w:p>
      <w:pPr>
        <w:pStyle w:val="BlockText"/>
      </w:pPr>
      <w:r>
        <w:rPr>
          <w:b/>
          <w:bCs/>
        </w:rPr>
        <w:t xml:space="preserve">(b)</w:t>
      </w:r>
      <w:r>
        <w:t xml:space="preserve"> </w:t>
      </w:r>
      <w:r>
        <w:t xml:space="preserve">Identifique três mercados que seriam afetados indiretamente (efeitos de equilíbrio geral) pela redução tarifária.</w:t>
      </w:r>
    </w:p>
    <w:p>
      <w:pPr>
        <w:pStyle w:val="BlockText"/>
      </w:pPr>
      <w:r>
        <w:rPr>
          <w:b/>
          <w:bCs/>
        </w:rPr>
        <w:t xml:space="preserve">(c)</w:t>
      </w:r>
      <w:r>
        <w:t xml:space="preserve"> </w:t>
      </w:r>
      <w:r>
        <w:t xml:space="preserve">Descreva os dados e parâmetros que um modelo CGE precisaria para simular o acordo.</w:t>
      </w:r>
    </w:p>
    <w:p>
      <w:pPr>
        <w:pStyle w:val="BlockText"/>
      </w:pPr>
      <w:r>
        <w:rPr>
          <w:b/>
          <w:bCs/>
        </w:rPr>
        <w:t xml:space="preserve">(d)</w:t>
      </w:r>
      <w:r>
        <w:t xml:space="preserve"> </w:t>
      </w:r>
      <w:r>
        <w:t xml:space="preserve">Quais hipóteses do modelo walrasiano padrão podem ser especialmente problemáticas no contexto da economia brasileira?</w:t>
      </w:r>
    </w:p>
    <w:p>
      <w:pPr>
        <w:pStyle w:val="BlockText"/>
      </w:pPr>
      <w:r>
        <w:t xml:space="preserve">Ver solução (Cap. 14)</w:t>
      </w:r>
    </w:p>
    <w:p>
      <w:pPr>
        <w:pStyle w:val="BlockText"/>
      </w:pPr>
      <w:r>
        <w:rPr>
          <w:b/>
          <w:bCs/>
        </w:rPr>
        <w:t xml:space="preserve">[EXERCICIO PROPOSTO] Exercício 14.6 — Leontief e Cobb-Douglas na Caixa de Edgeworth</w:t>
      </w:r>
    </w:p>
    <w:p>
      <w:pPr>
        <w:pStyle w:val="BlockText"/>
      </w:pPr>
      <w:r>
        <w:t xml:space="preserve">Considere uma economia com 2 consumidores e 2 bens (</w:t>
      </w:r>
      <m:oMath>
        <m:r>
          <m:t>x</m:t>
        </m:r>
        <m:r>
          <m:rPr>
            <m:sty m:val="p"/>
          </m:rPr>
          <m:t>,</m:t>
        </m:r>
        <m:r>
          <m:t>y</m:t>
        </m:r>
      </m:oMath>
      <w:r>
        <w:t xml:space="preserve">). As preferências são:</w:t>
      </w:r>
      <w:r>
        <w:t xml:space="preserve"> </w:t>
      </w:r>
      <m:oMath>
        <m:sSub>
          <m:e>
            <m:r>
              <m:t>U</m:t>
            </m:r>
          </m:e>
          <m:sub>
            <m:r>
              <m:t>A</m:t>
            </m:r>
          </m:sub>
        </m:sSub>
        <m:r>
          <m:rPr>
            <m:sty m:val="p"/>
          </m:rPr>
          <m:t>=</m:t>
        </m:r>
        <m:r>
          <m:rPr>
            <m:sty m:val="p"/>
          </m:rPr>
          <m:t>min</m:t>
        </m:r>
        <m:r>
          <m:rPr>
            <m:sty m:val="p"/>
          </m:rPr>
          <m:t>(</m:t>
        </m:r>
        <m:sSub>
          <m:e>
            <m:r>
              <m:t>x</m:t>
            </m:r>
          </m:e>
          <m:sub>
            <m:r>
              <m:t>A</m:t>
            </m:r>
          </m:sub>
        </m:sSub>
        <m:r>
          <m:rPr>
            <m:sty m:val="p"/>
          </m:rPr>
          <m:t>,</m:t>
        </m:r>
        <m:r>
          <m:t>2</m:t>
        </m:r>
        <m:sSub>
          <m:e>
            <m:r>
              <m:t>y</m:t>
            </m:r>
          </m:e>
          <m:sub>
            <m:r>
              <m:t>A</m:t>
            </m:r>
          </m:sub>
        </m:sSub>
        <m:r>
          <m:rPr>
            <m:sty m:val="p"/>
          </m:rPr>
          <m:t>)</m:t>
        </m:r>
      </m:oMath>
      <w:r>
        <w:t xml:space="preserve"> </w:t>
      </w:r>
      <w:r>
        <w:t xml:space="preserve">(Leontief) e</w:t>
      </w:r>
      <w:r>
        <w:t xml:space="preserve"> </w:t>
      </w:r>
      <m:oMath>
        <m:sSub>
          <m:e>
            <m:r>
              <m:t>U</m:t>
            </m:r>
          </m:e>
          <m:sub>
            <m:r>
              <m:t>B</m:t>
            </m:r>
          </m:sub>
        </m:sSub>
        <m:r>
          <m:rPr>
            <m:sty m:val="p"/>
          </m:rPr>
          <m:t>=</m:t>
        </m:r>
        <m:sSubSup>
          <m:e>
            <m:r>
              <m:t>x</m:t>
            </m:r>
          </m:e>
          <m:sub>
            <m:r>
              <m:t>B</m:t>
            </m:r>
          </m:sub>
          <m:sup>
            <m:r>
              <m:t>1</m:t>
            </m:r>
            <m:r>
              <m:rPr>
                <m:sty m:val="p"/>
              </m:rPr>
              <m:t>/</m:t>
            </m:r>
            <m:r>
              <m:t>3</m:t>
            </m:r>
          </m:sup>
        </m:sSubSup>
        <m:sSubSup>
          <m:e>
            <m:r>
              <m:t>y</m:t>
            </m:r>
          </m:e>
          <m:sub>
            <m:r>
              <m:t>B</m:t>
            </m:r>
          </m:sub>
          <m:sup>
            <m:r>
              <m:t>2</m:t>
            </m:r>
            <m:r>
              <m:rPr>
                <m:sty m:val="p"/>
              </m:rPr>
              <m:t>/</m:t>
            </m:r>
            <m:r>
              <m:t>3</m:t>
            </m:r>
          </m:sup>
        </m:sSubSup>
      </m:oMath>
      <w:r>
        <w:t xml:space="preserve"> </w:t>
      </w:r>
      <w:r>
        <w:t xml:space="preserve">(Cobb-Douglas). Dotações:</w:t>
      </w:r>
      <w:r>
        <w:t xml:space="preserve"> </w:t>
      </w:r>
      <m:oMath>
        <m:sSub>
          <m:e>
            <m:r>
              <m:rPr>
                <m:sty m:val="bi"/>
              </m:rPr>
              <m:t>ω</m:t>
            </m:r>
          </m:e>
          <m:sub>
            <m:r>
              <m:t>A</m:t>
            </m:r>
          </m:sub>
        </m:sSub>
        <m:r>
          <m:rPr>
            <m:sty m:val="p"/>
          </m:rPr>
          <m:t>=</m:t>
        </m:r>
        <m:r>
          <m:rPr>
            <m:sty m:val="p"/>
          </m:rPr>
          <m:t>(</m:t>
        </m:r>
        <m:r>
          <m:t>8</m:t>
        </m:r>
        <m:r>
          <m:rPr>
            <m:sty m:val="p"/>
          </m:rPr>
          <m:t>,</m:t>
        </m:r>
        <m:r>
          <m:t>2</m:t>
        </m:r>
        <m:r>
          <m:rPr>
            <m:sty m:val="p"/>
          </m:rPr>
          <m:t>)</m:t>
        </m:r>
      </m:oMath>
      <w:r>
        <w:t xml:space="preserve">,</w:t>
      </w:r>
      <w:r>
        <w:t xml:space="preserve"> </w:t>
      </w:r>
      <m:oMath>
        <m:sSub>
          <m:e>
            <m:r>
              <m:rPr>
                <m:sty m:val="bi"/>
              </m:rPr>
              <m:t>ω</m:t>
            </m:r>
          </m:e>
          <m:sub>
            <m:r>
              <m:t>B</m:t>
            </m:r>
          </m:sub>
        </m:sSub>
        <m:r>
          <m:rPr>
            <m:sty m:val="p"/>
          </m:rPr>
          <m:t>=</m:t>
        </m:r>
        <m:r>
          <m:rPr>
            <m:sty m:val="p"/>
          </m:rPr>
          <m:t>(</m:t>
        </m:r>
        <m:r>
          <m:t>2</m:t>
        </m:r>
        <m:r>
          <m:rPr>
            <m:sty m:val="p"/>
          </m:rPr>
          <m:t>,</m:t>
        </m:r>
        <m:r>
          <m:t>6</m:t>
        </m:r>
        <m:r>
          <m:rPr>
            <m:sty m:val="p"/>
          </m:rPr>
          <m:t>)</m:t>
        </m:r>
      </m:oMath>
      <w:r>
        <w:t xml:space="preserve">. Totais:</w:t>
      </w:r>
      <w:r>
        <w:t xml:space="preserve"> </w:t>
      </w:r>
      <m:oMath>
        <m:acc>
          <m:accPr>
            <m:chr m:val="‾"/>
          </m:accPr>
          <m:e>
            <m:r>
              <m:t>x</m:t>
            </m:r>
          </m:e>
        </m:acc>
        <m:r>
          <m:rPr>
            <m:sty m:val="p"/>
          </m:rPr>
          <m:t>=</m:t>
        </m:r>
        <m:r>
          <m:t>10</m:t>
        </m:r>
      </m:oMath>
      <w:r>
        <w:t xml:space="preserve">,</w:t>
      </w:r>
      <w:r>
        <w:t xml:space="preserve"> </w:t>
      </w:r>
      <m:oMath>
        <m:acc>
          <m:accPr>
            <m:chr m:val="‾"/>
          </m:accPr>
          <m:e>
            <m:r>
              <m:t>y</m:t>
            </m:r>
          </m:e>
        </m:acc>
        <m:r>
          <m:rPr>
            <m:sty m:val="p"/>
          </m:rPr>
          <m:t>=</m:t>
        </m:r>
        <m:r>
          <m:t>8</m:t>
        </m:r>
      </m:oMath>
      <w:r>
        <w:t xml:space="preserve">.</w:t>
      </w:r>
    </w:p>
    <w:p>
      <w:pPr>
        <w:pStyle w:val="BlockText"/>
      </w:pPr>
      <w:r>
        <w:rPr>
          <w:b/>
          <w:bCs/>
        </w:rPr>
        <w:t xml:space="preserve">(a)</w:t>
      </w:r>
      <w:r>
        <w:t xml:space="preserve"> </w:t>
      </w:r>
      <w:r>
        <w:t xml:space="preserve">Desenhe a Caixa de Edgeworth e identifique o ponto de dotação. Represente as curvas de indiferença de A e B que passam pela dotação.</w:t>
      </w:r>
    </w:p>
    <w:p>
      <w:pPr>
        <w:pStyle w:val="BlockText"/>
      </w:pPr>
      <w:r>
        <w:rPr>
          <w:b/>
          <w:bCs/>
        </w:rPr>
        <w:t xml:space="preserve">(b)</w:t>
      </w:r>
      <w:r>
        <w:t xml:space="preserve"> </w:t>
      </w:r>
      <w:r>
        <w:t xml:space="preserve">Derive a curva de contrato.</w:t>
      </w:r>
    </w:p>
    <w:p>
      <w:pPr>
        <w:pStyle w:val="BlockText"/>
      </w:pPr>
      <w:r>
        <w:rPr>
          <w:b/>
          <w:bCs/>
        </w:rPr>
        <w:t xml:space="preserve">(c)</w:t>
      </w:r>
      <w:r>
        <w:t xml:space="preserve"> </w:t>
      </w:r>
      <w:r>
        <w:t xml:space="preserve">Normalize</w:t>
      </w:r>
      <w:r>
        <w:t xml:space="preserve"> </w:t>
      </w:r>
      <m:oMath>
        <m:sSub>
          <m:e>
            <m:r>
              <m:t>p</m:t>
            </m:r>
          </m:e>
          <m:sub>
            <m:r>
              <m:t>y</m:t>
            </m:r>
          </m:sub>
        </m:sSub>
        <m:r>
          <m:rPr>
            <m:sty m:val="p"/>
          </m:rPr>
          <m:t>=</m:t>
        </m:r>
        <m:r>
          <m:t>1</m:t>
        </m:r>
      </m:oMath>
      <w:r>
        <w:t xml:space="preserve"> </w:t>
      </w:r>
      <w:r>
        <w:t xml:space="preserve">e encontre o preço de equilíbrio walrasiano</w:t>
      </w:r>
      <w:r>
        <w:t xml:space="preserve"> </w:t>
      </w:r>
      <m:oMath>
        <m:sSubSup>
          <m:e>
            <m:r>
              <m:t>p</m:t>
            </m:r>
          </m:e>
          <m:sub>
            <m:r>
              <m:t>x</m:t>
            </m:r>
          </m:sub>
          <m:sup>
            <m:r>
              <m:rPr>
                <m:sty m:val="p"/>
              </m:rPr>
              <m:t>*</m:t>
            </m:r>
          </m:sup>
        </m:sSubSup>
      </m:oMath>
      <w:r>
        <w:t xml:space="preserve">.</w:t>
      </w:r>
    </w:p>
    <w:p>
      <w:pPr>
        <w:pStyle w:val="BlockText"/>
      </w:pPr>
      <w:r>
        <w:rPr>
          <w:b/>
          <w:bCs/>
        </w:rPr>
        <w:t xml:space="preserve">(d)</w:t>
      </w:r>
      <w:r>
        <w:t xml:space="preserve"> </w:t>
      </w:r>
      <w:r>
        <w:t xml:space="preserve">Verifique que o equilíbrio está sobre a curva de contrato.</w:t>
      </w:r>
    </w:p>
    <w:p>
      <w:pPr>
        <w:pStyle w:val="BlockText"/>
      </w:pPr>
      <w:r>
        <w:t xml:space="preserve">Ver solução (Cap. 14)</w:t>
      </w:r>
    </w:p>
    <w:p>
      <w:pPr>
        <w:pStyle w:val="BlockText"/>
      </w:pPr>
      <w:r>
        <w:rPr>
          <w:b/>
          <w:bCs/>
        </w:rPr>
        <w:t xml:space="preserve">[EXERCICIO PROPOSTO] Exercício 14.7 — Preferências lineares e multiplicidade de equilíbrios</w:t>
      </w:r>
    </w:p>
    <w:p>
      <w:pPr>
        <w:pStyle w:val="BlockText"/>
      </w:pPr>
      <w:r>
        <w:t xml:space="preserve">Considere uma economia com 2 consumidores e 2 bens. Preferências:</w:t>
      </w:r>
      <w:r>
        <w:t xml:space="preserve"> </w:t>
      </w:r>
      <m:oMath>
        <m:sSub>
          <m:e>
            <m:r>
              <m:t>U</m:t>
            </m:r>
          </m:e>
          <m:sub>
            <m:r>
              <m:t>A</m:t>
            </m:r>
          </m:sub>
        </m:sSub>
        <m:r>
          <m:rPr>
            <m:sty m:val="p"/>
          </m:rPr>
          <m:t>=</m:t>
        </m:r>
        <m:sSub>
          <m:e>
            <m:r>
              <m:t>x</m:t>
            </m:r>
          </m:e>
          <m:sub>
            <m:r>
              <m:t>A</m:t>
            </m:r>
          </m:sub>
        </m:sSub>
        <m:r>
          <m:rPr>
            <m:sty m:val="p"/>
          </m:rPr>
          <m:t>+</m:t>
        </m:r>
        <m:sSub>
          <m:e>
            <m:r>
              <m:t>y</m:t>
            </m:r>
          </m:e>
          <m:sub>
            <m:r>
              <m:t>A</m:t>
            </m:r>
          </m:sub>
        </m:sSub>
      </m:oMath>
      <w:r>
        <w:t xml:space="preserve"> </w:t>
      </w:r>
      <w:r>
        <w:t xml:space="preserve">(lineares) e</w:t>
      </w:r>
      <w:r>
        <w:t xml:space="preserve"> </w:t>
      </w:r>
      <m:oMath>
        <m:sSub>
          <m:e>
            <m:r>
              <m:t>U</m:t>
            </m:r>
          </m:e>
          <m:sub>
            <m:r>
              <m:t>B</m:t>
            </m:r>
          </m:sub>
        </m:sSub>
        <m:r>
          <m:rPr>
            <m:sty m:val="p"/>
          </m:rPr>
          <m:t>=</m:t>
        </m:r>
        <m:sSub>
          <m:e>
            <m:r>
              <m:t>x</m:t>
            </m:r>
          </m:e>
          <m:sub>
            <m:r>
              <m:t>B</m:t>
            </m:r>
          </m:sub>
        </m:sSub>
        <m:sSub>
          <m:e>
            <m:r>
              <m:t>y</m:t>
            </m:r>
          </m:e>
          <m:sub>
            <m:r>
              <m:t>B</m:t>
            </m:r>
          </m:sub>
        </m:sSub>
      </m:oMath>
      <w:r>
        <w:t xml:space="preserve"> </w:t>
      </w:r>
      <w:r>
        <w:t xml:space="preserve">(Cobb-Douglas simétrica). Dotações:</w:t>
      </w:r>
      <w:r>
        <w:t xml:space="preserve"> </w:t>
      </w:r>
      <m:oMath>
        <m:sSub>
          <m:e>
            <m:r>
              <m:rPr>
                <m:sty m:val="bi"/>
              </m:rPr>
              <m:t>ω</m:t>
            </m:r>
          </m:e>
          <m:sub>
            <m:r>
              <m:t>A</m:t>
            </m:r>
          </m:sub>
        </m:sSub>
        <m:r>
          <m:rPr>
            <m:sty m:val="p"/>
          </m:rPr>
          <m:t>=</m:t>
        </m:r>
        <m:r>
          <m:rPr>
            <m:sty m:val="p"/>
          </m:rPr>
          <m:t>(</m:t>
        </m:r>
        <m:r>
          <m:t>4</m:t>
        </m:r>
        <m:r>
          <m:rPr>
            <m:sty m:val="p"/>
          </m:rPr>
          <m:t>,</m:t>
        </m:r>
        <m:r>
          <m:t>4</m:t>
        </m:r>
        <m:r>
          <m:rPr>
            <m:sty m:val="p"/>
          </m:rPr>
          <m:t>)</m:t>
        </m:r>
      </m:oMath>
      <w:r>
        <w:t xml:space="preserve">,</w:t>
      </w:r>
      <w:r>
        <w:t xml:space="preserve"> </w:t>
      </w:r>
      <m:oMath>
        <m:sSub>
          <m:e>
            <m:r>
              <m:rPr>
                <m:sty m:val="bi"/>
              </m:rPr>
              <m:t>ω</m:t>
            </m:r>
          </m:e>
          <m:sub>
            <m:r>
              <m:t>B</m:t>
            </m:r>
          </m:sub>
        </m:sSub>
        <m:r>
          <m:rPr>
            <m:sty m:val="p"/>
          </m:rPr>
          <m:t>=</m:t>
        </m:r>
        <m:r>
          <m:rPr>
            <m:sty m:val="p"/>
          </m:rPr>
          <m:t>(</m:t>
        </m:r>
        <m:r>
          <m:t>4</m:t>
        </m:r>
        <m:r>
          <m:rPr>
            <m:sty m:val="p"/>
          </m:rPr>
          <m:t>,</m:t>
        </m:r>
        <m:r>
          <m:t>4</m:t>
        </m:r>
        <m:r>
          <m:rPr>
            <m:sty m:val="p"/>
          </m:rPr>
          <m:t>)</m:t>
        </m:r>
      </m:oMath>
      <w:r>
        <w:t xml:space="preserve">.</w:t>
      </w:r>
    </w:p>
    <w:p>
      <w:pPr>
        <w:pStyle w:val="BlockText"/>
      </w:pPr>
      <w:r>
        <w:rPr>
          <w:b/>
          <w:bCs/>
        </w:rPr>
        <w:t xml:space="preserve">(a)</w:t>
      </w:r>
      <w:r>
        <w:t xml:space="preserve"> </w:t>
      </w:r>
      <w:r>
        <w:t xml:space="preserve">Derive o conjunto de alocações Pareto-eficientes. Por que é diferente do caso Cobb-Douglas simétrico?</w:t>
      </w:r>
    </w:p>
    <w:p>
      <w:pPr>
        <w:pStyle w:val="BlockText"/>
      </w:pPr>
      <w:r>
        <w:rPr>
          <w:b/>
          <w:bCs/>
        </w:rPr>
        <w:t xml:space="preserve">(b)</w:t>
      </w:r>
      <w:r>
        <w:t xml:space="preserve"> </w:t>
      </w:r>
      <w:r>
        <w:t xml:space="preserve">Explique intuitivamente por que as preferências lineares de A expandem o conjunto eficiente.</w:t>
      </w:r>
    </w:p>
    <w:p>
      <w:pPr>
        <w:pStyle w:val="BlockText"/>
      </w:pPr>
      <w:r>
        <w:rPr>
          <w:b/>
          <w:bCs/>
        </w:rPr>
        <w:t xml:space="preserve">(c)</w:t>
      </w:r>
      <w:r>
        <w:t xml:space="preserve"> </w:t>
      </w:r>
      <w:r>
        <w:t xml:space="preserve">Encontre todos os equilíbrios walrasianos. Há unicidade?</w:t>
      </w:r>
    </w:p>
    <w:p>
      <w:pPr>
        <w:pStyle w:val="BlockText"/>
      </w:pPr>
      <w:r>
        <w:t xml:space="preserve">Ver solução (Cap. 14)</w:t>
      </w:r>
    </w:p>
    <w:p>
      <w:pPr>
        <w:pStyle w:val="BlockText"/>
      </w:pPr>
      <w:r>
        <w:rPr>
          <w:b/>
          <w:bCs/>
        </w:rPr>
        <w:t xml:space="preserve">[EXERCICIO PROPOSTO] Exercício 14.8 — FPP e curva de contrato de produção</w:t>
      </w:r>
    </w:p>
    <w:p>
      <w:pPr>
        <w:pStyle w:val="BlockText"/>
      </w:pPr>
      <w:r>
        <w:t xml:space="preserve">Dois setores produzem bens 1 e 2 com trabalho (</w:t>
      </w:r>
      <m:oMath>
        <m:r>
          <m:t>L</m:t>
        </m:r>
      </m:oMath>
      <w:r>
        <w:t xml:space="preserve">) e capital (</w:t>
      </w:r>
      <m:oMath>
        <m:r>
          <m:t>K</m:t>
        </m:r>
      </m:oMath>
      <w:r>
        <w:t xml:space="preserve">). Dotações totais:</w:t>
      </w:r>
      <w:r>
        <w:t xml:space="preserve"> </w:t>
      </w:r>
      <m:oMath>
        <m:acc>
          <m:accPr>
            <m:chr m:val="‾"/>
          </m:accPr>
          <m:e>
            <m:r>
              <m:t>L</m:t>
            </m:r>
          </m:e>
        </m:acc>
        <m:r>
          <m:rPr>
            <m:sty m:val="p"/>
          </m:rPr>
          <m:t>=</m:t>
        </m:r>
        <m:acc>
          <m:accPr>
            <m:chr m:val="‾"/>
          </m:accPr>
          <m:e>
            <m:r>
              <m:t>K</m:t>
            </m:r>
          </m:e>
        </m:acc>
        <m:r>
          <m:rPr>
            <m:sty m:val="p"/>
          </m:rPr>
          <m:t>=</m:t>
        </m:r>
        <m:r>
          <m:t>100</m:t>
        </m:r>
      </m:oMath>
      <w:r>
        <w:t xml:space="preserve">. Funções de produção:</w:t>
      </w:r>
      <w:r>
        <w:t xml:space="preserve"> </w:t>
      </w:r>
      <m:oMath>
        <m:sSub>
          <m:e>
            <m:r>
              <m:t>q</m:t>
            </m:r>
          </m:e>
          <m:sub>
            <m:r>
              <m:t>1</m:t>
            </m:r>
          </m:sub>
        </m:sSub>
        <m:r>
          <m:rPr>
            <m:sty m:val="p"/>
          </m:rPr>
          <m:t>=</m:t>
        </m:r>
        <m:sSubSup>
          <m:e>
            <m:r>
              <m:t>L</m:t>
            </m:r>
          </m:e>
          <m:sub>
            <m:r>
              <m:t>1</m:t>
            </m:r>
          </m:sub>
          <m:sup>
            <m:r>
              <m:t>1</m:t>
            </m:r>
            <m:r>
              <m:rPr>
                <m:sty m:val="p"/>
              </m:rPr>
              <m:t>/</m:t>
            </m:r>
            <m:r>
              <m:t>2</m:t>
            </m:r>
          </m:sup>
        </m:sSubSup>
        <m:sSubSup>
          <m:e>
            <m:r>
              <m:t>K</m:t>
            </m:r>
          </m:e>
          <m:sub>
            <m:r>
              <m:t>1</m:t>
            </m:r>
          </m:sub>
          <m:sup>
            <m:r>
              <m:t>1</m:t>
            </m:r>
            <m:r>
              <m:rPr>
                <m:sty m:val="p"/>
              </m:rPr>
              <m:t>/</m:t>
            </m:r>
            <m:r>
              <m:t>2</m:t>
            </m:r>
          </m:sup>
        </m:sSubSup>
      </m:oMath>
      <w:r>
        <w:t xml:space="preserve"> </w:t>
      </w:r>
      <w:r>
        <w:t xml:space="preserve">e</w:t>
      </w:r>
      <w:r>
        <w:t xml:space="preserve"> </w:t>
      </w:r>
      <m:oMath>
        <m:sSub>
          <m:e>
            <m:r>
              <m:t>q</m:t>
            </m:r>
          </m:e>
          <m:sub>
            <m:r>
              <m:t>2</m:t>
            </m:r>
          </m:sub>
        </m:sSub>
        <m:r>
          <m:rPr>
            <m:sty m:val="p"/>
          </m:rPr>
          <m:t>=</m:t>
        </m:r>
        <m:sSubSup>
          <m:e>
            <m:r>
              <m:t>L</m:t>
            </m:r>
          </m:e>
          <m:sub>
            <m:r>
              <m:t>2</m:t>
            </m:r>
          </m:sub>
          <m:sup>
            <m:r>
              <m:t>1</m:t>
            </m:r>
            <m:r>
              <m:rPr>
                <m:sty m:val="p"/>
              </m:rPr>
              <m:t>/</m:t>
            </m:r>
            <m:r>
              <m:t>3</m:t>
            </m:r>
          </m:sup>
        </m:sSubSup>
        <m:sSubSup>
          <m:e>
            <m:r>
              <m:t>K</m:t>
            </m:r>
          </m:e>
          <m:sub>
            <m:r>
              <m:t>2</m:t>
            </m:r>
          </m:sub>
          <m:sup>
            <m:r>
              <m:t>2</m:t>
            </m:r>
            <m:r>
              <m:rPr>
                <m:sty m:val="p"/>
              </m:rPr>
              <m:t>/</m:t>
            </m:r>
            <m:r>
              <m:t>3</m:t>
            </m:r>
          </m:sup>
        </m:sSubSup>
      </m:oMath>
      <w:r>
        <w:t xml:space="preserve">.</w:t>
      </w:r>
    </w:p>
    <w:p>
      <w:pPr>
        <w:pStyle w:val="BlockText"/>
      </w:pPr>
      <w:r>
        <w:rPr>
          <w:b/>
          <w:bCs/>
        </w:rPr>
        <w:t xml:space="preserve">(a)</w:t>
      </w:r>
      <w:r>
        <w:t xml:space="preserve"> </w:t>
      </w:r>
      <w:r>
        <w:t xml:space="preserve">Derive a curva de contrato de produção (condição de eficiência na produção) e expresse</w:t>
      </w:r>
      <w:r>
        <w:t xml:space="preserve"> </w:t>
      </w:r>
      <m:oMath>
        <m:sSub>
          <m:e>
            <m:r>
              <m:t>K</m:t>
            </m:r>
          </m:e>
          <m:sub>
            <m:r>
              <m:t>1</m:t>
            </m:r>
          </m:sub>
        </m:sSub>
      </m:oMath>
      <w:r>
        <w:t xml:space="preserve"> </w:t>
      </w:r>
      <w:r>
        <w:t xml:space="preserve">como função de</w:t>
      </w:r>
      <w:r>
        <w:t xml:space="preserve"> </w:t>
      </w:r>
      <m:oMath>
        <m:sSub>
          <m:e>
            <m:r>
              <m:t>L</m:t>
            </m:r>
          </m:e>
          <m:sub>
            <m:r>
              <m:t>1</m:t>
            </m:r>
          </m:sub>
        </m:sSub>
      </m:oMath>
      <w:r>
        <w:t xml:space="preserve">.</w:t>
      </w:r>
    </w:p>
    <w:p>
      <w:pPr>
        <w:pStyle w:val="BlockText"/>
      </w:pPr>
      <w:r>
        <w:rPr>
          <w:b/>
          <w:bCs/>
        </w:rPr>
        <w:t xml:space="preserve">(b)</w:t>
      </w:r>
      <w:r>
        <w:t xml:space="preserve"> </w:t>
      </w:r>
      <w:r>
        <w:t xml:space="preserve">Calcule a produção eficiente para</w:t>
      </w:r>
      <w:r>
        <w:t xml:space="preserve"> </w:t>
      </w:r>
      <m:oMath>
        <m:sSub>
          <m:e>
            <m:r>
              <m:t>L</m:t>
            </m:r>
          </m:e>
          <m:sub>
            <m:r>
              <m:t>1</m:t>
            </m:r>
          </m:sub>
        </m:sSub>
        <m:r>
          <m:rPr>
            <m:sty m:val="p"/>
          </m:rPr>
          <m:t>=</m:t>
        </m:r>
        <m:r>
          <m:t>60</m:t>
        </m:r>
      </m:oMath>
      <w:r>
        <w:t xml:space="preserve">.</w:t>
      </w:r>
    </w:p>
    <w:p>
      <w:pPr>
        <w:pStyle w:val="BlockText"/>
      </w:pPr>
      <w:r>
        <w:rPr>
          <w:b/>
          <w:bCs/>
        </w:rPr>
        <w:t xml:space="preserve">(c)</w:t>
      </w:r>
      <w:r>
        <w:t xml:space="preserve"> </w:t>
      </w:r>
      <w:r>
        <w:t xml:space="preserve">A FPP resultante é linear, côncava ou convexa? Justifique economicamente.</w:t>
      </w:r>
    </w:p>
    <w:p>
      <w:pPr>
        <w:pStyle w:val="BlockText"/>
      </w:pPr>
      <w:r>
        <w:t xml:space="preserve">Ver solução (Cap. 14)</w:t>
      </w:r>
    </w:p>
    <w:p>
      <w:pPr>
        <w:pStyle w:val="BlockText"/>
      </w:pPr>
      <w:r>
        <w:rPr>
          <w:b/>
          <w:bCs/>
        </w:rPr>
        <w:t xml:space="preserve">[EXERCICIO PROPOSTO] Exercício 14.9 — Segundo Teorema e transferências</w:t>
      </w:r>
    </w:p>
    <w:p>
      <w:pPr>
        <w:pStyle w:val="BlockText"/>
      </w:pPr>
      <w:r>
        <w:rPr>
          <w:b/>
          <w:bCs/>
        </w:rPr>
        <w:t xml:space="preserve">(a)</w:t>
      </w:r>
      <w:r>
        <w:t xml:space="preserve"> </w:t>
      </w:r>
      <w:r>
        <w:t xml:space="preserve">Enuncie o Segundo Teorema do Bem-Estar e liste suas hipóteses.</w:t>
      </w:r>
    </w:p>
    <w:p>
      <w:pPr>
        <w:pStyle w:val="BlockText"/>
      </w:pPr>
      <w:r>
        <w:rPr>
          <w:b/>
          <w:bCs/>
        </w:rPr>
        <w:t xml:space="preserve">(b)</w:t>
      </w:r>
      <w:r>
        <w:t xml:space="preserve"> </w:t>
      </w:r>
      <w:r>
        <w:t xml:space="preserve">Explique por que transferências lump-sum são essenciais para o Segundo Teorema — e por que impostos sobre bens não servem.</w:t>
      </w:r>
    </w:p>
    <w:p>
      <w:pPr>
        <w:pStyle w:val="BlockText"/>
      </w:pPr>
      <w:r>
        <w:rPr>
          <w:b/>
          <w:bCs/>
        </w:rPr>
        <w:t xml:space="preserve">(c)</w:t>
      </w:r>
      <w:r>
        <w:t xml:space="preserve"> </w:t>
      </w:r>
      <w:r>
        <w:t xml:space="preserve">Na economia do Exercício 14.1, suponha que o planejador social deseja a alocação</w:t>
      </w:r>
      <w:r>
        <w:t xml:space="preserve"> </w:t>
      </w:r>
      <m:oMath>
        <m:sSub>
          <m:e>
            <m:acc>
              <m:accPr>
                <m:chr m:val="̂"/>
              </m:accPr>
              <m:e>
                <m:r>
                  <m:rPr>
                    <m:sty m:val="bi"/>
                  </m:rPr>
                  <m:t>x</m:t>
                </m:r>
              </m:e>
            </m:acc>
          </m:e>
          <m:sub>
            <m:r>
              <m:t>A</m:t>
            </m:r>
          </m:sub>
        </m:sSub>
        <m:r>
          <m:rPr>
            <m:sty m:val="p"/>
          </m:rPr>
          <m:t>=</m:t>
        </m:r>
        <m:r>
          <m:rPr>
            <m:sty m:val="p"/>
          </m:rPr>
          <m:t>(</m:t>
        </m:r>
        <m:r>
          <m:t>3</m:t>
        </m:r>
        <m:r>
          <m:rPr>
            <m:sty m:val="p"/>
          </m:rPr>
          <m:t>,</m:t>
        </m:r>
        <m:r>
          <m:t>3</m:t>
        </m:r>
        <m:r>
          <m:rPr>
            <m:sty m:val="p"/>
          </m:rPr>
          <m:t>)</m:t>
        </m:r>
      </m:oMath>
      <w:r>
        <w:t xml:space="preserve"> </w:t>
      </w:r>
      <w:r>
        <w:t xml:space="preserve">e</w:t>
      </w:r>
      <w:r>
        <w:t xml:space="preserve"> </w:t>
      </w:r>
      <m:oMath>
        <m:sSub>
          <m:e>
            <m:acc>
              <m:accPr>
                <m:chr m:val="̂"/>
              </m:accPr>
              <m:e>
                <m:r>
                  <m:rPr>
                    <m:sty m:val="bi"/>
                  </m:rPr>
                  <m:t>x</m:t>
                </m:r>
              </m:e>
            </m:acc>
          </m:e>
          <m:sub>
            <m:r>
              <m:t>B</m:t>
            </m:r>
          </m:sub>
        </m:sSub>
        <m:r>
          <m:rPr>
            <m:sty m:val="p"/>
          </m:rPr>
          <m:t>=</m:t>
        </m:r>
        <m:r>
          <m:rPr>
            <m:sty m:val="p"/>
          </m:rPr>
          <m:t>(</m:t>
        </m:r>
        <m:r>
          <m:t>9</m:t>
        </m:r>
        <m:r>
          <m:rPr>
            <m:sty m:val="p"/>
          </m:rPr>
          <m:t>,</m:t>
        </m:r>
        <m:r>
          <m:t>7</m:t>
        </m:r>
        <m:r>
          <m:rPr>
            <m:sty m:val="p"/>
          </m:rPr>
          <m:t>)</m:t>
        </m:r>
      </m:oMath>
      <w:r>
        <w:t xml:space="preserve">. Verifique que é Pareto-eficiente e determine a transferência lump-sum necessária para descentralizá-la como equilíbrio competitivo.</w:t>
      </w:r>
    </w:p>
    <w:p>
      <w:pPr>
        <w:pStyle w:val="BlockText"/>
      </w:pPr>
      <w:r>
        <w:t xml:space="preserve">Ver solução (Cap. 14)</w:t>
      </w:r>
    </w:p>
    <w:p>
      <w:pPr>
        <w:pStyle w:val="BlockText"/>
      </w:pPr>
      <w:r>
        <w:rPr>
          <w:b/>
          <w:bCs/>
        </w:rPr>
        <w:t xml:space="preserve">[EXERCICIO PROPOSTO] Exercício 14.10 — Equilíbrio geral e comércio internacional</w:t>
      </w:r>
    </w:p>
    <w:p>
      <w:pPr>
        <w:pStyle w:val="BlockText"/>
      </w:pPr>
      <w:r>
        <w:t xml:space="preserve">Dois países (H e F) produzem tecido (T) e vinho (V) com trabalho. Cada país tem 120 unidades de trabalho. Requerimentos unitários de trabalho: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Tecido (T)</w:t>
            </w:r>
          </w:p>
        </w:tc>
        <w:tc>
          <w:tcPr/>
          <w:p>
            <w:pPr>
              <w:pStyle w:val="Compact"/>
              <w:jc w:val="center"/>
            </w:pPr>
            <w:r>
              <w:t xml:space="preserve">Vinho (V)</w:t>
            </w:r>
          </w:p>
        </w:tc>
      </w:tr>
      <w:tr>
        <w:tc>
          <w:tcPr/>
          <w:p>
            <w:pPr>
              <w:pStyle w:val="Compact"/>
              <w:jc w:val="left"/>
            </w:pPr>
            <w:r>
              <w:t xml:space="preserve">País H</w:t>
            </w:r>
          </w:p>
        </w:tc>
        <w:tc>
          <w:tcPr/>
          <w:p>
            <w:pPr>
              <w:pStyle w:val="Compact"/>
              <w:jc w:val="center"/>
            </w:pPr>
            <w:r>
              <w:t xml:space="preserve">2</w:t>
            </w:r>
          </w:p>
        </w:tc>
        <w:tc>
          <w:tcPr/>
          <w:p>
            <w:pPr>
              <w:pStyle w:val="Compact"/>
              <w:jc w:val="center"/>
            </w:pPr>
            <w:r>
              <w:t xml:space="preserve">6</w:t>
            </w:r>
          </w:p>
        </w:tc>
      </w:tr>
      <w:tr>
        <w:tc>
          <w:tcPr/>
          <w:p>
            <w:pPr>
              <w:pStyle w:val="Compact"/>
              <w:jc w:val="left"/>
            </w:pPr>
            <w:r>
              <w:t xml:space="preserve">País F</w:t>
            </w:r>
          </w:p>
        </w:tc>
        <w:tc>
          <w:tcPr/>
          <w:p>
            <w:pPr>
              <w:pStyle w:val="Compact"/>
              <w:jc w:val="center"/>
            </w:pPr>
            <w:r>
              <w:t xml:space="preserve">4</w:t>
            </w:r>
          </w:p>
        </w:tc>
        <w:tc>
          <w:tcPr/>
          <w:p>
            <w:pPr>
              <w:pStyle w:val="Compact"/>
              <w:jc w:val="center"/>
            </w:pPr>
            <w:r>
              <w:t xml:space="preserve">3</w:t>
            </w:r>
          </w:p>
        </w:tc>
      </w:tr>
    </w:tbl>
    <w:p>
      <w:pPr>
        <w:pStyle w:val="BlockText"/>
      </w:pPr>
      <w:r>
        <w:t xml:space="preserve">Preferências em ambos os países:</w:t>
      </w:r>
      <w:r>
        <w:t xml:space="preserve"> </w:t>
      </w:r>
      <m:oMath>
        <m:r>
          <m:t>U</m:t>
        </m:r>
        <m:r>
          <m:rPr>
            <m:sty m:val="p"/>
          </m:rPr>
          <m:t>=</m:t>
        </m:r>
        <m:r>
          <m:t>T</m:t>
        </m:r>
        <m:r>
          <m:rPr>
            <m:sty m:val="p"/>
          </m:rPr>
          <m:t>⋅</m:t>
        </m:r>
        <m:r>
          <m:t>V</m:t>
        </m:r>
      </m:oMath>
      <w:r>
        <w:t xml:space="preserve"> </w:t>
      </w:r>
      <w:r>
        <w:t xml:space="preserve">(Cobb-Douglas simétrica).</w:t>
      </w:r>
    </w:p>
    <w:p>
      <w:pPr>
        <w:pStyle w:val="BlockText"/>
      </w:pPr>
      <w:r>
        <w:rPr>
          <w:b/>
          <w:bCs/>
        </w:rPr>
        <w:t xml:space="preserve">(a)</w:t>
      </w:r>
      <w:r>
        <w:t xml:space="preserve"> </w:t>
      </w:r>
      <w:r>
        <w:t xml:space="preserve">Determine a vantagem comparativa de cada país e desenhe as FPPs.</w:t>
      </w:r>
    </w:p>
    <w:p>
      <w:pPr>
        <w:pStyle w:val="BlockText"/>
      </w:pPr>
      <w:r>
        <w:rPr>
          <w:b/>
          <w:bCs/>
        </w:rPr>
        <w:t xml:space="preserve">(b)</w:t>
      </w:r>
      <w:r>
        <w:t xml:space="preserve"> </w:t>
      </w:r>
      <w:r>
        <w:t xml:space="preserve">Calcule o equilíbrio autárquico de cada país (produção, consumo, preços relativos, utilidade).</w:t>
      </w:r>
    </w:p>
    <w:p>
      <w:pPr>
        <w:pStyle w:val="BlockText"/>
      </w:pPr>
      <w:r>
        <w:rPr>
          <w:b/>
          <w:bCs/>
        </w:rPr>
        <w:t xml:space="preserve">(c)</w:t>
      </w:r>
      <w:r>
        <w:t xml:space="preserve"> </w:t>
      </w:r>
      <w:r>
        <w:t xml:space="preserve">Com especialização completa, encontre o preço relativo de equilíbrio do comércio livre e verifique que ambos os países ganham.</w:t>
      </w:r>
    </w:p>
    <w:p>
      <w:pPr>
        <w:pStyle w:val="BlockText"/>
      </w:pPr>
      <w:r>
        <w:rPr>
          <w:b/>
          <w:bCs/>
        </w:rPr>
        <w:t xml:space="preserve">(d)</w:t>
      </w:r>
      <w:r>
        <w:t xml:space="preserve"> </w:t>
      </w:r>
      <w:r>
        <w:t xml:space="preserve">Interprete os resultados à luz do Primeiro Teorema do Bem-Estar e da Caixa de Edgeworth: por que o livre comércio melhora a eficiência?</w:t>
      </w:r>
    </w:p>
    <w:p>
      <w:pPr>
        <w:pStyle w:val="BlockText"/>
      </w:pPr>
      <w:r>
        <w:t xml:space="preserve">Ver solução (Cap. 14)</w:t>
      </w:r>
    </w:p>
    <w:p>
      <w:r>
        <w:pict>
          <v:rect style="width:0;height:1.5pt" o:hralign="center" o:hrstd="t" o:hr="t"/>
        </w:pict>
      </w:r>
    </w:p>
    <w:bookmarkEnd w:id="905"/>
    <w:bookmarkStart w:id="906" w:name="questões-anpec-1"/>
    <w:p>
      <w:pPr>
        <w:pStyle w:val="Heading3"/>
      </w:pPr>
      <w:r>
        <w:t xml:space="preserve">Questões ANPEC</w:t>
      </w:r>
    </w:p>
    <w:p>
      <w:pPr>
        <w:pStyle w:val="BlockText"/>
      </w:pPr>
      <w:r>
        <w:rPr>
          <w:b/>
          <w:bCs/>
        </w:rPr>
        <w:t xml:space="preserve">[QUESTAO] ANPEC 2019 — Questão 10</w:t>
      </w:r>
    </w:p>
    <w:p>
      <w:pPr>
        <w:pStyle w:val="BlockText"/>
      </w:pPr>
      <w:r>
        <w:t xml:space="preserve">Considere uma economia de troca com dois agentes (1 e 2) e dois bens (</w:t>
      </w:r>
      <m:oMath>
        <m:r>
          <m:t>x</m:t>
        </m:r>
      </m:oMath>
      <w:r>
        <w:t xml:space="preserve"> </w:t>
      </w:r>
      <w:r>
        <w:t xml:space="preserve">e</w:t>
      </w:r>
      <w:r>
        <w:t xml:space="preserve"> </w:t>
      </w:r>
      <m:oMath>
        <m:r>
          <m:t>y</m:t>
        </m:r>
      </m:oMath>
      <w:r>
        <w:t xml:space="preserve">). As funções de utilidade são</w:t>
      </w:r>
      <w:r>
        <w:t xml:space="preserve"> </w:t>
      </w:r>
      <m:oMath>
        <m:sSub>
          <m:e>
            <m:r>
              <m:t>U</m:t>
            </m:r>
          </m:e>
          <m:sub>
            <m:r>
              <m:t>1</m:t>
            </m:r>
          </m:sub>
        </m:sSub>
        <m:r>
          <m:rPr>
            <m:sty m:val="p"/>
          </m:rPr>
          <m:t>=</m:t>
        </m:r>
        <m:r>
          <m:t>x</m:t>
        </m:r>
        <m:r>
          <m:t>y</m:t>
        </m:r>
      </m:oMath>
      <w:r>
        <w:t xml:space="preserve"> </w:t>
      </w:r>
      <w:r>
        <w:t xml:space="preserve">e</w:t>
      </w:r>
      <w:r>
        <w:t xml:space="preserve"> </w:t>
      </w:r>
      <m:oMath>
        <m:sSub>
          <m:e>
            <m:r>
              <m:t>U</m:t>
            </m:r>
          </m:e>
          <m:sub>
            <m:r>
              <m:t>2</m:t>
            </m:r>
          </m:sub>
        </m:sSub>
        <m:r>
          <m:rPr>
            <m:sty m:val="p"/>
          </m:rPr>
          <m:t>=</m:t>
        </m:r>
        <m:sSup>
          <m:e>
            <m:r>
              <m:t>x</m:t>
            </m:r>
          </m:e>
          <m:sup>
            <m:r>
              <m:t>2</m:t>
            </m:r>
          </m:sup>
        </m:sSup>
        <m:r>
          <m:t>y</m:t>
        </m:r>
      </m:oMath>
      <w:r>
        <w:t xml:space="preserve">. As dotações iniciais são</w:t>
      </w:r>
      <w:r>
        <w:t xml:space="preserve"> </w:t>
      </w:r>
      <m:oMath>
        <m:sSub>
          <m:e>
            <m:r>
              <m:t>ω</m:t>
            </m:r>
          </m:e>
          <m:sub>
            <m:r>
              <m:t>1</m:t>
            </m:r>
          </m:sub>
        </m:sSub>
        <m:r>
          <m:rPr>
            <m:sty m:val="p"/>
          </m:rPr>
          <m:t>=</m:t>
        </m:r>
        <m:r>
          <m:rPr>
            <m:sty m:val="p"/>
          </m:rPr>
          <m:t>(</m:t>
        </m:r>
        <m:r>
          <m:t>4</m:t>
        </m:r>
        <m:r>
          <m:rPr>
            <m:sty m:val="p"/>
          </m:rPr>
          <m:t>,</m:t>
        </m:r>
        <m:r>
          <m:t>6</m:t>
        </m:r>
        <m:r>
          <m:rPr>
            <m:sty m:val="p"/>
          </m:rPr>
          <m:t>)</m:t>
        </m:r>
      </m:oMath>
      <w:r>
        <w:t xml:space="preserve"> </w:t>
      </w:r>
      <w:r>
        <w:t xml:space="preserve">e</w:t>
      </w:r>
      <w:r>
        <w:t xml:space="preserve"> </w:t>
      </w:r>
      <m:oMath>
        <m:sSub>
          <m:e>
            <m:r>
              <m:t>ω</m:t>
            </m:r>
          </m:e>
          <m:sub>
            <m:r>
              <m:t>2</m:t>
            </m:r>
          </m:sub>
        </m:sSub>
        <m:r>
          <m:rPr>
            <m:sty m:val="p"/>
          </m:rPr>
          <m:t>=</m:t>
        </m:r>
        <m:r>
          <m:rPr>
            <m:sty m:val="p"/>
          </m:rPr>
          <m:t>(</m:t>
        </m:r>
        <m:r>
          <m:t>8</m:t>
        </m:r>
        <m:r>
          <m:rPr>
            <m:sty m:val="p"/>
          </m:rPr>
          <m:t>,</m:t>
        </m:r>
        <m:r>
          <m:t>6</m:t>
        </m:r>
        <m:r>
          <m:rPr>
            <m:sty m:val="p"/>
          </m:rPr>
          <m:t>)</m:t>
        </m:r>
      </m:oMath>
      <w:r>
        <w:t xml:space="preserve">.</w:t>
      </w:r>
    </w:p>
    <w:p>
      <w:pPr>
        <w:pStyle w:val="BlockText"/>
      </w:pPr>
      <w:r>
        <w:t xml:space="preserve">Julgue as afirmativas:</w:t>
      </w:r>
    </w:p>
    <w:p>
      <w:pPr>
        <w:pStyle w:val="BlockText"/>
      </w:pPr>
      <w:r>
        <w:rPr>
          <w:b/>
          <w:bCs/>
        </w:rPr>
        <w:t xml:space="preserve">(0)</w:t>
      </w:r>
      <w:r>
        <w:t xml:space="preserve"> </w:t>
      </w:r>
      <w:r>
        <w:t xml:space="preserve">A curva de contrato é linear na Caixa de Edgeworth.</w:t>
      </w:r>
    </w:p>
    <w:p>
      <w:pPr>
        <w:pStyle w:val="BlockText"/>
      </w:pPr>
      <w:r>
        <w:rPr>
          <w:b/>
          <w:bCs/>
        </w:rPr>
        <w:t xml:space="preserve">(1)</w:t>
      </w:r>
      <w:r>
        <w:t xml:space="preserve"> </w:t>
      </w:r>
      <w:r>
        <w:t xml:space="preserve">No equilíbrio competitivo, o preço relativo é</w:t>
      </w:r>
      <w:r>
        <w:t xml:space="preserve"> </w:t>
      </w:r>
      <m:oMath>
        <m:sSub>
          <m:e>
            <m:r>
              <m:t>p</m:t>
            </m:r>
          </m:e>
          <m:sub>
            <m:r>
              <m:t>x</m:t>
            </m:r>
          </m:sub>
        </m:sSub>
        <m:r>
          <m:rPr>
            <m:sty m:val="p"/>
          </m:rPr>
          <m:t>/</m:t>
        </m:r>
        <m:sSub>
          <m:e>
            <m:r>
              <m:t>p</m:t>
            </m:r>
          </m:e>
          <m:sub>
            <m:r>
              <m:t>y</m:t>
            </m:r>
          </m:sub>
        </m:sSub>
        <m:r>
          <m:rPr>
            <m:sty m:val="p"/>
          </m:rPr>
          <m:t>=</m:t>
        </m:r>
        <m:r>
          <m:t>1</m:t>
        </m:r>
      </m:oMath>
      <w:r>
        <w:t xml:space="preserve">.</w:t>
      </w:r>
    </w:p>
    <w:p>
      <w:pPr>
        <w:pStyle w:val="BlockText"/>
      </w:pPr>
      <w:r>
        <w:rPr>
          <w:b/>
          <w:bCs/>
        </w:rPr>
        <w:t xml:space="preserve">(2)</w:t>
      </w:r>
      <w:r>
        <w:t xml:space="preserve"> </w:t>
      </w:r>
      <w:r>
        <w:t xml:space="preserve">O equilíbrio competitivo é Pareto-eficiente.</w:t>
      </w:r>
    </w:p>
    <w:p>
      <w:pPr>
        <w:pStyle w:val="BlockText"/>
      </w:pPr>
      <w:r>
        <w:rPr>
          <w:b/>
          <w:bCs/>
        </w:rPr>
        <w:t xml:space="preserve">(3)</w:t>
      </w:r>
      <w:r>
        <w:t xml:space="preserve"> </w:t>
      </w:r>
      <w:r>
        <w:t xml:space="preserve">Se as dotações fossem</w:t>
      </w:r>
      <w:r>
        <w:t xml:space="preserve"> </w:t>
      </w:r>
      <m:oMath>
        <m:sSub>
          <m:e>
            <m:r>
              <m:t>ω</m:t>
            </m:r>
          </m:e>
          <m:sub>
            <m:r>
              <m:t>1</m:t>
            </m:r>
          </m:sub>
        </m:sSub>
        <m:r>
          <m:rPr>
            <m:sty m:val="p"/>
          </m:rPr>
          <m:t>=</m:t>
        </m:r>
        <m:r>
          <m:rPr>
            <m:sty m:val="p"/>
          </m:rPr>
          <m:t>(</m:t>
        </m:r>
        <m:r>
          <m:t>6</m:t>
        </m:r>
        <m:r>
          <m:rPr>
            <m:sty m:val="p"/>
          </m:rPr>
          <m:t>,</m:t>
        </m:r>
        <m:r>
          <m:t>6</m:t>
        </m:r>
        <m:r>
          <m:rPr>
            <m:sty m:val="p"/>
          </m:rPr>
          <m:t>)</m:t>
        </m:r>
      </m:oMath>
      <w:r>
        <w:t xml:space="preserve"> </w:t>
      </w:r>
      <w:r>
        <w:t xml:space="preserve">e</w:t>
      </w:r>
      <w:r>
        <w:t xml:space="preserve"> </w:t>
      </w:r>
      <m:oMath>
        <m:sSub>
          <m:e>
            <m:r>
              <m:t>ω</m:t>
            </m:r>
          </m:e>
          <m:sub>
            <m:r>
              <m:t>2</m:t>
            </m:r>
          </m:sub>
        </m:sSub>
        <m:r>
          <m:rPr>
            <m:sty m:val="p"/>
          </m:rPr>
          <m:t>=</m:t>
        </m:r>
        <m:r>
          <m:rPr>
            <m:sty m:val="p"/>
          </m:rPr>
          <m:t>(</m:t>
        </m:r>
        <m:r>
          <m:t>6</m:t>
        </m:r>
        <m:r>
          <m:rPr>
            <m:sty m:val="p"/>
          </m:rPr>
          <m:t>,</m:t>
        </m:r>
        <m:r>
          <m:t>6</m:t>
        </m:r>
        <m:r>
          <m:rPr>
            <m:sty m:val="p"/>
          </m:rPr>
          <m:t>)</m:t>
        </m:r>
      </m:oMath>
      <w:r>
        <w:t xml:space="preserve">, o preço de equilíbrio não mudaria.</w:t>
      </w:r>
    </w:p>
    <w:p>
      <w:pPr>
        <w:pStyle w:val="BlockText"/>
      </w:pPr>
      <w:r>
        <w:rPr>
          <w:b/>
          <w:bCs/>
        </w:rPr>
        <w:t xml:space="preserve">(4)</w:t>
      </w:r>
      <w:r>
        <w:t xml:space="preserve"> </w:t>
      </w:r>
      <w:r>
        <w:t xml:space="preserve">A Lei de Walras implica que, se o mercado de</w:t>
      </w:r>
      <w:r>
        <w:t xml:space="preserve"> </w:t>
      </w:r>
      <m:oMath>
        <m:r>
          <m:t>x</m:t>
        </m:r>
      </m:oMath>
      <w:r>
        <w:t xml:space="preserve"> </w:t>
      </w:r>
      <w:r>
        <w:t xml:space="preserve">está em equilíbrio, o mercado de</w:t>
      </w:r>
      <w:r>
        <w:t xml:space="preserve"> </w:t>
      </w:r>
      <m:oMath>
        <m:r>
          <m:t>y</m:t>
        </m:r>
      </m:oMath>
      <w:r>
        <w:t xml:space="preserve"> </w:t>
      </w:r>
      <w:r>
        <w:t xml:space="preserve">também está.</w:t>
      </w:r>
    </w:p>
    <w:p>
      <w:pPr>
        <w:pStyle w:val="BlockText"/>
      </w:pPr>
      <w:r>
        <w:t xml:space="preserve">??? note</w:t>
      </w:r>
      <w:r>
        <w:t xml:space="preserve"> </w:t>
      </w:r>
      <w:r>
        <w:t xml:space="preserve">“Gabarito”</w:t>
      </w:r>
      <w:r>
        <w:t xml:space="preserve"> </w:t>
      </w:r>
      <w:r>
        <w:rPr>
          <w:b/>
          <w:bCs/>
        </w:rPr>
        <w:t xml:space="preserve">(0) Falso.</w:t>
      </w:r>
      <w:r>
        <w:t xml:space="preserve"> </w:t>
      </w:r>
      <w:r>
        <w:t xml:space="preserve">Com</w:t>
      </w:r>
      <w:r>
        <w:t xml:space="preserve"> </w:t>
      </w:r>
      <m:oMath>
        <m:sSub>
          <m:e>
            <m:r>
              <m:t>U</m:t>
            </m:r>
          </m:e>
          <m:sub>
            <m:r>
              <m:t>1</m:t>
            </m:r>
          </m:sub>
        </m:sSub>
        <m:r>
          <m:rPr>
            <m:sty m:val="p"/>
          </m:rPr>
          <m:t>=</m:t>
        </m:r>
        <m:r>
          <m:t>x</m:t>
        </m:r>
        <m:r>
          <m:t>y</m:t>
        </m:r>
      </m:oMath>
      <w:r>
        <w:t xml:space="preserve"> </w:t>
      </w:r>
      <w:r>
        <w:t xml:space="preserve">(Cobb-Douglas simétrica) e</w:t>
      </w:r>
      <w:r>
        <w:t xml:space="preserve"> </w:t>
      </w:r>
      <m:oMath>
        <m:sSub>
          <m:e>
            <m:r>
              <m:t>U</m:t>
            </m:r>
          </m:e>
          <m:sub>
            <m:r>
              <m:t>2</m:t>
            </m:r>
          </m:sub>
        </m:sSub>
        <m:r>
          <m:rPr>
            <m:sty m:val="p"/>
          </m:rPr>
          <m:t>=</m:t>
        </m:r>
        <m:sSup>
          <m:e>
            <m:r>
              <m:t>x</m:t>
            </m:r>
          </m:e>
          <m:sup>
            <m:r>
              <m:t>2</m:t>
            </m:r>
          </m:sup>
        </m:sSup>
        <m:r>
          <m:t>y</m:t>
        </m:r>
      </m:oMath>
      <w:r>
        <w:t xml:space="preserve">, as TMS são</w:t>
      </w:r>
      <w:r>
        <w:t xml:space="preserve"> </w:t>
      </w:r>
      <m:oMath>
        <m:sSub>
          <m:e>
            <m:r>
              <m:t>y</m:t>
            </m:r>
          </m:e>
          <m:sub>
            <m:r>
              <m:t>1</m:t>
            </m:r>
          </m:sub>
        </m:sSub>
        <m:r>
          <m:rPr>
            <m:sty m:val="p"/>
          </m:rPr>
          <m:t>/</m:t>
        </m:r>
        <m:sSub>
          <m:e>
            <m:r>
              <m:t>x</m:t>
            </m:r>
          </m:e>
          <m:sub>
            <m:r>
              <m:t>1</m:t>
            </m:r>
          </m:sub>
        </m:sSub>
      </m:oMath>
      <w:r>
        <w:t xml:space="preserve"> </w:t>
      </w:r>
      <w:r>
        <w:t xml:space="preserve">e</w:t>
      </w:r>
      <w:r>
        <w:t xml:space="preserve"> </w:t>
      </w:r>
      <m:oMath>
        <m:sSub>
          <m:e>
            <m:r>
              <m:t>y</m:t>
            </m:r>
          </m:e>
          <m:sub>
            <m:r>
              <m:t>2</m:t>
            </m:r>
          </m:sub>
        </m:sSub>
        <m:r>
          <m:rPr>
            <m:sty m:val="p"/>
          </m:rPr>
          <m:t>/</m:t>
        </m:r>
        <m:r>
          <m:rPr>
            <m:sty m:val="p"/>
          </m:rPr>
          <m:t>(</m:t>
        </m:r>
        <m:r>
          <m:t>2</m:t>
        </m:r>
        <m:sSub>
          <m:e>
            <m:r>
              <m:t>x</m:t>
            </m:r>
          </m:e>
          <m:sub>
            <m:r>
              <m:t>2</m:t>
            </m:r>
          </m:sub>
        </m:sSub>
        <m:r>
          <m:rPr>
            <m:sty m:val="p"/>
          </m:rPr>
          <m:t>)</m:t>
        </m:r>
      </m:oMath>
      <w:r>
        <w:t xml:space="preserve">. Igualando:</w:t>
      </w:r>
      <w:r>
        <w:t xml:space="preserve"> </w:t>
      </w:r>
      <m:oMath>
        <m:sSub>
          <m:e>
            <m:r>
              <m:t>y</m:t>
            </m:r>
          </m:e>
          <m:sub>
            <m:r>
              <m:t>1</m:t>
            </m:r>
          </m:sub>
        </m:sSub>
        <m:r>
          <m:rPr>
            <m:sty m:val="p"/>
          </m:rPr>
          <m:t>/</m:t>
        </m:r>
        <m:sSub>
          <m:e>
            <m:r>
              <m:t>x</m:t>
            </m:r>
          </m:e>
          <m:sub>
            <m:r>
              <m:t>1</m:t>
            </m:r>
          </m:sub>
        </m:sSub>
        <m:r>
          <m:rPr>
            <m:sty m:val="p"/>
          </m:rPr>
          <m:t>=</m:t>
        </m:r>
        <m:sSub>
          <m:e>
            <m:r>
              <m:t>y</m:t>
            </m:r>
          </m:e>
          <m:sub>
            <m:r>
              <m:t>2</m:t>
            </m:r>
          </m:sub>
        </m:sSub>
        <m:r>
          <m:rPr>
            <m:sty m:val="p"/>
          </m:rPr>
          <m:t>/</m:t>
        </m:r>
        <m:r>
          <m:rPr>
            <m:sty m:val="p"/>
          </m:rPr>
          <m:t>(</m:t>
        </m:r>
        <m:r>
          <m:t>2</m:t>
        </m:r>
        <m:sSub>
          <m:e>
            <m:r>
              <m:t>x</m:t>
            </m:r>
          </m:e>
          <m:sub>
            <m:r>
              <m:t>2</m:t>
            </m:r>
          </m:sub>
        </m:sSub>
        <m:r>
          <m:rPr>
            <m:sty m:val="p"/>
          </m:rPr>
          <m:t>)</m:t>
        </m:r>
      </m:oMath>
      <w:r>
        <w:t xml:space="preserve">, que não é linear.</w:t>
      </w:r>
    </w:p>
    <w:p>
      <w:pPr>
        <w:pStyle w:val="SourceCode"/>
      </w:pPr>
      <w:r>
        <w:rPr>
          <w:rStyle w:val="VerbatimChar"/>
        </w:rPr>
        <w:t xml:space="preserve">**(1) Falso.** Calculando as demandas e resolvendo, obtém-se $p_x/p_y \neq 1$ em geral.</w:t>
      </w:r>
      <w:r>
        <w:br/>
      </w:r>
      <w:r>
        <w:br/>
      </w:r>
      <w:r>
        <w:rPr>
          <w:rStyle w:val="VerbatimChar"/>
        </w:rPr>
        <w:t xml:space="preserve">**(2) Verdadeiro.** Pelo Primeiro Teorema do Bem-Estar.</w:t>
      </w:r>
      <w:r>
        <w:br/>
      </w:r>
      <w:r>
        <w:br/>
      </w:r>
      <w:r>
        <w:rPr>
          <w:rStyle w:val="VerbatimChar"/>
        </w:rPr>
        <w:t xml:space="preserve">**(3) Falso.** As dotações afetam as rendas individuais e, com preferências assimétricas, alteram as demandas e o equilíbrio.</w:t>
      </w:r>
      <w:r>
        <w:br/>
      </w:r>
      <w:r>
        <w:br/>
      </w:r>
      <w:r>
        <w:rPr>
          <w:rStyle w:val="VerbatimChar"/>
        </w:rPr>
        <w:t xml:space="preserve">**(4) Verdadeiro.** Consequência direta da Lei de Walras com 2 bens.</w:t>
      </w:r>
    </w:p>
    <w:p>
      <w:pPr>
        <w:pStyle w:val="BlockText"/>
      </w:pPr>
      <w:r>
        <w:rPr>
          <w:b/>
          <w:bCs/>
        </w:rPr>
        <w:t xml:space="preserve">[QUESTAO] ANPEC 2018 — Questão 13</w:t>
      </w:r>
    </w:p>
    <w:p>
      <w:pPr>
        <w:pStyle w:val="BlockText"/>
      </w:pPr>
      <w:r>
        <w:t xml:space="preserve">Julgue as afirmativas sobre a teoria do equilíbrio geral:</w:t>
      </w:r>
    </w:p>
    <w:p>
      <w:pPr>
        <w:pStyle w:val="BlockText"/>
      </w:pPr>
      <w:r>
        <w:rPr>
          <w:b/>
          <w:bCs/>
        </w:rPr>
        <w:t xml:space="preserve">(0)</w:t>
      </w:r>
      <w:r>
        <w:t xml:space="preserve"> </w:t>
      </w:r>
      <w:r>
        <w:t xml:space="preserve">O Primeiro Teorema do Bem-Estar requer que as preferências sejam convexas.</w:t>
      </w:r>
    </w:p>
    <w:p>
      <w:pPr>
        <w:pStyle w:val="BlockText"/>
      </w:pPr>
      <w:r>
        <w:rPr>
          <w:b/>
          <w:bCs/>
        </w:rPr>
        <w:t xml:space="preserve">(1)</w:t>
      </w:r>
      <w:r>
        <w:t xml:space="preserve"> </w:t>
      </w:r>
      <w:r>
        <w:t xml:space="preserve">O Segundo Teorema do Bem-Estar requer convexidade das preferências.</w:t>
      </w:r>
    </w:p>
    <w:p>
      <w:pPr>
        <w:pStyle w:val="BlockText"/>
      </w:pPr>
      <w:r>
        <w:rPr>
          <w:b/>
          <w:bCs/>
        </w:rPr>
        <w:t xml:space="preserve">(2)</w:t>
      </w:r>
      <w:r>
        <w:t xml:space="preserve"> </w:t>
      </w:r>
      <w:r>
        <w:t xml:space="preserve">A Lei de Walras vale apenas no equilíbrio.</w:t>
      </w:r>
    </w:p>
    <w:p>
      <w:pPr>
        <w:pStyle w:val="BlockText"/>
      </w:pPr>
      <w:r>
        <w:rPr>
          <w:b/>
          <w:bCs/>
        </w:rPr>
        <w:t xml:space="preserve">(3)</w:t>
      </w:r>
      <w:r>
        <w:t xml:space="preserve"> </w:t>
      </w:r>
      <w:r>
        <w:t xml:space="preserve">A existência do equilíbrio walrasiano pode ser provada usando o Teorema do Ponto Fixo de Brouwer.</w:t>
      </w:r>
    </w:p>
    <w:p>
      <w:pPr>
        <w:pStyle w:val="BlockText"/>
      </w:pPr>
      <w:r>
        <w:rPr>
          <w:b/>
          <w:bCs/>
        </w:rPr>
        <w:t xml:space="preserve">(4)</w:t>
      </w:r>
      <w:r>
        <w:t xml:space="preserve"> </w:t>
      </w:r>
      <w:r>
        <w:t xml:space="preserve">O Teorema de Sonnenschein-Mantel-Debreu implica que funções de excesso de demanda agregadas podem ter qualquer formato (sujeitas a continuidade, homogeneidade e Lei de Walras), impossibilitando garantias gerais de unicidade.</w:t>
      </w:r>
    </w:p>
    <w:p>
      <w:pPr>
        <w:pStyle w:val="BlockText"/>
      </w:pPr>
      <w:r>
        <w:t xml:space="preserve">??? note</w:t>
      </w:r>
      <w:r>
        <w:t xml:space="preserve"> </w:t>
      </w:r>
      <w:r>
        <w:t xml:space="preserve">“Gabarito”</w:t>
      </w:r>
      <w:r>
        <w:t xml:space="preserve"> </w:t>
      </w:r>
      <w:r>
        <w:rPr>
          <w:b/>
          <w:bCs/>
        </w:rPr>
        <w:t xml:space="preserve">(0) Falso.</w:t>
      </w:r>
      <w:r>
        <w:t xml:space="preserve"> </w:t>
      </w:r>
      <w:r>
        <w:t xml:space="preserve">O Primeiro Teorema requer apenas não saciedade local — não precisa de convexidade.</w:t>
      </w:r>
    </w:p>
    <w:p>
      <w:pPr>
        <w:pStyle w:val="SourceCode"/>
      </w:pPr>
      <w:r>
        <w:rPr>
          <w:rStyle w:val="VerbatimChar"/>
        </w:rPr>
        <w:t xml:space="preserve">**(1) Verdadeiro.** O Segundo Teorema precisa de convexidade (para garantir a existência de hiperplano separador / preços de suporte).</w:t>
      </w:r>
      <w:r>
        <w:br/>
      </w:r>
      <w:r>
        <w:br/>
      </w:r>
      <w:r>
        <w:rPr>
          <w:rStyle w:val="VerbatimChar"/>
        </w:rPr>
        <w:t xml:space="preserve">**(2) Falso.** A Lei de Walras é uma identidade — vale para *todo* vetor de preços, não apenas no equilíbrio.</w:t>
      </w:r>
      <w:r>
        <w:br/>
      </w:r>
      <w:r>
        <w:br/>
      </w:r>
      <w:r>
        <w:rPr>
          <w:rStyle w:val="VerbatimChar"/>
        </w:rPr>
        <w:t xml:space="preserve">**(3) Verdadeiro.** É exatamente a estratégia de prova de Arrow-Debreu (1954).</w:t>
      </w:r>
      <w:r>
        <w:br/>
      </w:r>
      <w:r>
        <w:br/>
      </w:r>
      <w:r>
        <w:rPr>
          <w:rStyle w:val="VerbatimChar"/>
        </w:rPr>
        <w:t xml:space="preserve">**(4) Verdadeiro.** É a implicação central do Teorema SMD.</w:t>
      </w:r>
    </w:p>
    <w:p>
      <w:pPr>
        <w:pStyle w:val="BlockText"/>
      </w:pPr>
      <w:r>
        <w:rPr>
          <w:b/>
          <w:bCs/>
        </w:rPr>
        <w:t xml:space="preserve">[QUESTAO] ANPEC 2015 — Questão 11</w:t>
      </w:r>
    </w:p>
    <w:p>
      <w:pPr>
        <w:pStyle w:val="BlockText"/>
      </w:pPr>
      <w:r>
        <w:t xml:space="preserve">Considere uma economia de troca com dois bens e dois agentes com preferências Cobb-Douglas:</w:t>
      </w:r>
      <w:r>
        <w:t xml:space="preserve"> </w:t>
      </w:r>
      <m:oMath>
        <m:sSub>
          <m:e>
            <m:r>
              <m:t>U</m:t>
            </m:r>
          </m:e>
          <m:sub>
            <m:r>
              <m:t>A</m:t>
            </m:r>
          </m:sub>
        </m:sSub>
        <m:r>
          <m:rPr>
            <m:sty m:val="p"/>
          </m:rPr>
          <m:t>=</m:t>
        </m:r>
        <m:sSubSup>
          <m:e>
            <m:r>
              <m:t>x</m:t>
            </m:r>
          </m:e>
          <m:sub>
            <m:r>
              <m:t>1</m:t>
            </m:r>
          </m:sub>
          <m:sup>
            <m:r>
              <m:t>a</m:t>
            </m:r>
          </m:sup>
        </m:sSubSup>
        <m:sSubSup>
          <m:e>
            <m:r>
              <m:t>x</m:t>
            </m:r>
          </m:e>
          <m:sub>
            <m:r>
              <m:t>2</m:t>
            </m:r>
          </m:sub>
          <m:sup>
            <m:r>
              <m:t>1</m:t>
            </m:r>
            <m:r>
              <m:rPr>
                <m:sty m:val="p"/>
              </m:rPr>
              <m:t>−</m:t>
            </m:r>
            <m:r>
              <m:t>a</m:t>
            </m:r>
          </m:sup>
        </m:sSubSup>
      </m:oMath>
      <w:r>
        <w:t xml:space="preserve"> </w:t>
      </w:r>
      <w:r>
        <w:t xml:space="preserve">e</w:t>
      </w:r>
      <w:r>
        <w:t xml:space="preserve"> </w:t>
      </w:r>
      <m:oMath>
        <m:sSub>
          <m:e>
            <m:r>
              <m:t>U</m:t>
            </m:r>
          </m:e>
          <m:sub>
            <m:r>
              <m:t>B</m:t>
            </m:r>
          </m:sub>
        </m:sSub>
        <m:r>
          <m:rPr>
            <m:sty m:val="p"/>
          </m:rPr>
          <m:t>=</m:t>
        </m:r>
        <m:sSubSup>
          <m:e>
            <m:r>
              <m:t>x</m:t>
            </m:r>
          </m:e>
          <m:sub>
            <m:r>
              <m:t>1</m:t>
            </m:r>
          </m:sub>
          <m:sup>
            <m:r>
              <m:t>b</m:t>
            </m:r>
          </m:sup>
        </m:sSubSup>
        <m:sSubSup>
          <m:e>
            <m:r>
              <m:t>x</m:t>
            </m:r>
          </m:e>
          <m:sub>
            <m:r>
              <m:t>2</m:t>
            </m:r>
          </m:sub>
          <m:sup>
            <m:r>
              <m:t>1</m:t>
            </m:r>
            <m:r>
              <m:rPr>
                <m:sty m:val="p"/>
              </m:rPr>
              <m:t>−</m:t>
            </m:r>
            <m:r>
              <m:t>b</m:t>
            </m:r>
          </m:sup>
        </m:sSubSup>
      </m:oMath>
      <w:r>
        <w:t xml:space="preserve">. Dotações:</w:t>
      </w:r>
      <w:r>
        <w:t xml:space="preserve"> </w:t>
      </w:r>
      <m:oMath>
        <m:sSub>
          <m:e>
            <m:r>
              <m:rPr>
                <m:sty m:val="bi"/>
              </m:rPr>
              <m:t>ω</m:t>
            </m:r>
          </m:e>
          <m:sub>
            <m:r>
              <m:t>A</m:t>
            </m:r>
          </m:sub>
        </m:sSub>
        <m:r>
          <m:rPr>
            <m:sty m:val="p"/>
          </m:rPr>
          <m:t>=</m:t>
        </m:r>
        <m:r>
          <m:rPr>
            <m:sty m:val="p"/>
          </m:rPr>
          <m:t>(</m:t>
        </m:r>
        <m:sSubSup>
          <m:e>
            <m:r>
              <m:t>ω</m:t>
            </m:r>
          </m:e>
          <m:sub>
            <m:r>
              <m:t>1</m:t>
            </m:r>
          </m:sub>
          <m:sup>
            <m:r>
              <m:t>A</m:t>
            </m:r>
          </m:sup>
        </m:sSubSup>
        <m:r>
          <m:rPr>
            <m:sty m:val="p"/>
          </m:rPr>
          <m:t>,</m:t>
        </m:r>
        <m:sSubSup>
          <m:e>
            <m:r>
              <m:t>ω</m:t>
            </m:r>
          </m:e>
          <m:sub>
            <m:r>
              <m:t>2</m:t>
            </m:r>
          </m:sub>
          <m:sup>
            <m:r>
              <m:t>A</m:t>
            </m:r>
          </m:sup>
        </m:sSubSup>
        <m:r>
          <m:rPr>
            <m:sty m:val="p"/>
          </m:rPr>
          <m:t>)</m:t>
        </m:r>
      </m:oMath>
      <w:r>
        <w:t xml:space="preserve"> </w:t>
      </w:r>
      <w:r>
        <w:t xml:space="preserve">e</w:t>
      </w:r>
      <w:r>
        <w:t xml:space="preserve"> </w:t>
      </w:r>
      <m:oMath>
        <m:sSub>
          <m:e>
            <m:r>
              <m:rPr>
                <m:sty m:val="bi"/>
              </m:rPr>
              <m:t>ω</m:t>
            </m:r>
          </m:e>
          <m:sub>
            <m:r>
              <m:t>B</m:t>
            </m:r>
          </m:sub>
        </m:sSub>
        <m:r>
          <m:rPr>
            <m:sty m:val="p"/>
          </m:rPr>
          <m:t>=</m:t>
        </m:r>
        <m:r>
          <m:rPr>
            <m:sty m:val="p"/>
          </m:rPr>
          <m:t>(</m:t>
        </m:r>
        <m:sSubSup>
          <m:e>
            <m:r>
              <m:t>ω</m:t>
            </m:r>
          </m:e>
          <m:sub>
            <m:r>
              <m:t>1</m:t>
            </m:r>
          </m:sub>
          <m:sup>
            <m:r>
              <m:t>B</m:t>
            </m:r>
          </m:sup>
        </m:sSubSup>
        <m:r>
          <m:rPr>
            <m:sty m:val="p"/>
          </m:rPr>
          <m:t>,</m:t>
        </m:r>
        <m:sSubSup>
          <m:e>
            <m:r>
              <m:t>ω</m:t>
            </m:r>
          </m:e>
          <m:sub>
            <m:r>
              <m:t>2</m:t>
            </m:r>
          </m:sub>
          <m:sup>
            <m:r>
              <m:t>B</m:t>
            </m:r>
          </m:sup>
        </m:sSubSup>
        <m:r>
          <m:rPr>
            <m:sty m:val="p"/>
          </m:rPr>
          <m:t>)</m:t>
        </m:r>
      </m:oMath>
      <w:r>
        <w:t xml:space="preserve">.</w:t>
      </w:r>
    </w:p>
    <w:p>
      <w:pPr>
        <w:pStyle w:val="BlockText"/>
      </w:pPr>
      <w:r>
        <w:t xml:space="preserve">Julgue:</w:t>
      </w:r>
    </w:p>
    <w:p>
      <w:pPr>
        <w:pStyle w:val="BlockText"/>
      </w:pPr>
      <w:r>
        <w:rPr>
          <w:b/>
          <w:bCs/>
        </w:rPr>
        <w:t xml:space="preserve">(0)</w:t>
      </w:r>
      <w:r>
        <w:t xml:space="preserve"> </w:t>
      </w:r>
      <w:r>
        <w:t xml:space="preserve">No equilíbrio walrasiano,</w:t>
      </w:r>
      <w:r>
        <w:t xml:space="preserve"> </w:t>
      </w:r>
      <m:oMath>
        <m:r>
          <m:t>T</m:t>
        </m:r>
        <m:r>
          <m:t>M</m:t>
        </m:r>
        <m:sSub>
          <m:e>
            <m:r>
              <m:t>S</m:t>
            </m:r>
          </m:e>
          <m:sub>
            <m:r>
              <m:t>A</m:t>
            </m:r>
          </m:sub>
        </m:sSub>
        <m:r>
          <m:rPr>
            <m:sty m:val="p"/>
          </m:rPr>
          <m:t>=</m:t>
        </m:r>
        <m:r>
          <m:t>T</m:t>
        </m:r>
        <m:r>
          <m:t>M</m:t>
        </m:r>
        <m:sSub>
          <m:e>
            <m:r>
              <m:t>S</m:t>
            </m:r>
          </m:e>
          <m:sub>
            <m:r>
              <m:t>B</m:t>
            </m:r>
          </m:sub>
        </m:sSub>
        <m:r>
          <m:rPr>
            <m:sty m:val="p"/>
          </m:rPr>
          <m:t>=</m:t>
        </m:r>
        <m:sSub>
          <m:e>
            <m:r>
              <m:t>p</m:t>
            </m:r>
          </m:e>
          <m:sub>
            <m:r>
              <m:t>1</m:t>
            </m:r>
          </m:sub>
        </m:sSub>
        <m:r>
          <m:rPr>
            <m:sty m:val="p"/>
          </m:rPr>
          <m:t>/</m:t>
        </m:r>
        <m:sSub>
          <m:e>
            <m:r>
              <m:t>p</m:t>
            </m:r>
          </m:e>
          <m:sub>
            <m:r>
              <m:t>2</m:t>
            </m:r>
          </m:sub>
        </m:sSub>
      </m:oMath>
      <w:r>
        <w:t xml:space="preserve">.</w:t>
      </w:r>
    </w:p>
    <w:p>
      <w:pPr>
        <w:pStyle w:val="BlockText"/>
      </w:pPr>
      <w:r>
        <w:rPr>
          <w:b/>
          <w:bCs/>
        </w:rPr>
        <w:t xml:space="preserve">(1)</w:t>
      </w:r>
      <w:r>
        <w:t xml:space="preserve"> </w:t>
      </w:r>
      <w:r>
        <w:t xml:space="preserve">Se</w:t>
      </w:r>
      <w:r>
        <w:t xml:space="preserve"> </w:t>
      </w:r>
      <m:oMath>
        <m:r>
          <m:t>a</m:t>
        </m:r>
        <m:r>
          <m:rPr>
            <m:sty m:val="p"/>
          </m:rPr>
          <m:t>=</m:t>
        </m:r>
        <m:r>
          <m:t>b</m:t>
        </m:r>
      </m:oMath>
      <w:r>
        <w:t xml:space="preserve">, a curva de contrato é uma reta.</w:t>
      </w:r>
    </w:p>
    <w:p>
      <w:pPr>
        <w:pStyle w:val="BlockText"/>
      </w:pPr>
      <w:r>
        <w:rPr>
          <w:b/>
          <w:bCs/>
        </w:rPr>
        <w:t xml:space="preserve">(2)</w:t>
      </w:r>
      <w:r>
        <w:t xml:space="preserve"> </w:t>
      </w:r>
      <w:r>
        <w:t xml:space="preserve">Se</w:t>
      </w:r>
      <w:r>
        <w:t xml:space="preserve"> </w:t>
      </w:r>
      <m:oMath>
        <m:r>
          <m:t>a</m:t>
        </m:r>
        <m:r>
          <m:rPr>
            <m:sty m:val="p"/>
          </m:rPr>
          <m:t>=</m:t>
        </m:r>
        <m:r>
          <m:t>b</m:t>
        </m:r>
        <m:r>
          <m:rPr>
            <m:sty m:val="p"/>
          </m:rPr>
          <m:t>=</m:t>
        </m:r>
        <m:r>
          <m:t>1</m:t>
        </m:r>
        <m:r>
          <m:rPr>
            <m:sty m:val="p"/>
          </m:rPr>
          <m:t>/</m:t>
        </m:r>
        <m:r>
          <m:t>2</m:t>
        </m:r>
      </m:oMath>
      <w:r>
        <w:t xml:space="preserve"> </w:t>
      </w:r>
      <w:r>
        <w:t xml:space="preserve">e as dotações totais são iguais (</w:t>
      </w:r>
      <m:oMath>
        <m:sSub>
          <m:e>
            <m:acc>
              <m:accPr>
                <m:chr m:val="‾"/>
              </m:accPr>
              <m:e>
                <m:r>
                  <m:t>x</m:t>
                </m:r>
              </m:e>
            </m:acc>
          </m:e>
          <m:sub>
            <m:r>
              <m:t>1</m:t>
            </m:r>
          </m:sub>
        </m:sSub>
        <m:r>
          <m:rPr>
            <m:sty m:val="p"/>
          </m:rPr>
          <m:t>=</m:t>
        </m:r>
        <m:sSub>
          <m:e>
            <m:acc>
              <m:accPr>
                <m:chr m:val="‾"/>
              </m:accPr>
              <m:e>
                <m:r>
                  <m:t>x</m:t>
                </m:r>
              </m:e>
            </m:acc>
          </m:e>
          <m:sub>
            <m:r>
              <m:t>2</m:t>
            </m:r>
          </m:sub>
        </m:sSub>
      </m:oMath>
      <w:r>
        <w:t xml:space="preserve">), o preço relativo de equilíbrio é</w:t>
      </w:r>
      <w:r>
        <w:t xml:space="preserve"> </w:t>
      </w:r>
      <m:oMath>
        <m:sSub>
          <m:e>
            <m:r>
              <m:t>p</m:t>
            </m:r>
          </m:e>
          <m:sub>
            <m:r>
              <m:t>1</m:t>
            </m:r>
          </m:sub>
        </m:sSub>
        <m:r>
          <m:rPr>
            <m:sty m:val="p"/>
          </m:rPr>
          <m:t>/</m:t>
        </m:r>
        <m:sSub>
          <m:e>
            <m:r>
              <m:t>p</m:t>
            </m:r>
          </m:e>
          <m:sub>
            <m:r>
              <m:t>2</m:t>
            </m:r>
          </m:sub>
        </m:sSub>
        <m:r>
          <m:rPr>
            <m:sty m:val="p"/>
          </m:rPr>
          <m:t>=</m:t>
        </m:r>
        <m:r>
          <m:t>1</m:t>
        </m:r>
      </m:oMath>
      <w:r>
        <w:t xml:space="preserve">.</w:t>
      </w:r>
    </w:p>
    <w:p>
      <w:pPr>
        <w:pStyle w:val="BlockText"/>
      </w:pPr>
      <w:r>
        <w:rPr>
          <w:b/>
          <w:bCs/>
        </w:rPr>
        <w:t xml:space="preserve">(3)</w:t>
      </w:r>
      <w:r>
        <w:t xml:space="preserve"> </w:t>
      </w:r>
      <w:r>
        <w:t xml:space="preserve">A alocação de equilíbrio é independente da distribuição das dotações (depende apenas dos totais).</w:t>
      </w:r>
    </w:p>
    <w:p>
      <w:pPr>
        <w:pStyle w:val="BlockText"/>
      </w:pPr>
      <w:r>
        <w:rPr>
          <w:b/>
          <w:bCs/>
        </w:rPr>
        <w:t xml:space="preserve">(4)</w:t>
      </w:r>
      <w:r>
        <w:t xml:space="preserve"> </w:t>
      </w:r>
      <w:r>
        <w:t xml:space="preserve">O conjunto de alocações Pareto-eficientes forma uma curva (não um ponto) na Caixa de Edgeworth.</w:t>
      </w:r>
    </w:p>
    <w:p>
      <w:pPr>
        <w:pStyle w:val="BlockText"/>
      </w:pPr>
      <w:r>
        <w:t xml:space="preserve">??? note</w:t>
      </w:r>
      <w:r>
        <w:t xml:space="preserve"> </w:t>
      </w:r>
      <w:r>
        <w:t xml:space="preserve">“Gabarito”</w:t>
      </w:r>
      <w:r>
        <w:t xml:space="preserve"> </w:t>
      </w:r>
      <w:r>
        <w:rPr>
          <w:b/>
          <w:bCs/>
        </w:rPr>
        <w:t xml:space="preserve">(0) Verdadeiro.</w:t>
      </w:r>
      <w:r>
        <w:t xml:space="preserve"> </w:t>
      </w:r>
      <w:r>
        <w:t xml:space="preserve">Condição de equilíbrio competitivo — cada agente iguala sua TMS à razão de preços.</w:t>
      </w:r>
    </w:p>
    <w:p>
      <w:pPr>
        <w:pStyle w:val="SourceCode"/>
      </w:pPr>
      <w:r>
        <w:rPr>
          <w:rStyle w:val="VerbatimChar"/>
        </w:rPr>
        <w:t xml:space="preserve">**(1) Verdadeiro.** Se $a = b$, $TMS_A = TMS_B$ implica $x_2^A/x_1^A = x_2^B/x_1^B$, que gera uma reta pela origem da caixa (a diagonal, no caso simétrico).</w:t>
      </w:r>
      <w:r>
        <w:br/>
      </w:r>
      <w:r>
        <w:br/>
      </w:r>
      <w:r>
        <w:rPr>
          <w:rStyle w:val="VerbatimChar"/>
        </w:rPr>
        <w:t xml:space="preserve">**(2) Verdadeiro.** Com preferências idênticas e simétricas ($a = 1/2$) e totais iguais, a simetria do problema implica $p_1/p_2 = 1$.</w:t>
      </w:r>
      <w:r>
        <w:br/>
      </w:r>
      <w:r>
        <w:br/>
      </w:r>
      <w:r>
        <w:rPr>
          <w:rStyle w:val="VerbatimChar"/>
        </w:rPr>
        <w:t xml:space="preserve">**(3) Falso.** A distribuição das dotações afeta as rendas individuais e, portanto, as demandas e a alocação de equilíbrio. Apenas os preços relativos poderiam ser insensíveis à distribuição em casos muito especiais (preferências homotéticas idênticas).</w:t>
      </w:r>
      <w:r>
        <w:br/>
      </w:r>
      <w:r>
        <w:br/>
      </w:r>
      <w:r>
        <w:rPr>
          <w:rStyle w:val="VerbatimChar"/>
        </w:rPr>
        <w:t xml:space="preserve">**(4) Verdadeiro.** A curva de contrato é, genericamente, uma curva (unidimensional) na caixa bidimensional.</w:t>
      </w:r>
    </w:p>
    <w:bookmarkEnd w:id="906"/>
    <w:bookmarkEnd w:id="907"/>
    <w:bookmarkStart w:id="910" w:name="pesquisa-em-ação-capítulo-14"/>
    <w:p>
      <w:pPr>
        <w:pStyle w:val="Heading2"/>
      </w:pPr>
      <w:r>
        <w:t xml:space="preserve">Pesquisa em Ação — Capítulo 14</w:t>
      </w:r>
    </w:p>
    <w:bookmarkStart w:id="908" w:name="pesquisa-em-ação-16"/>
    <w:p>
      <w:pPr>
        <w:pStyle w:val="Heading3"/>
      </w:pPr>
      <w:r>
        <w:t xml:space="preserve">Pesquisa em Ação</w:t>
      </w:r>
    </w:p>
    <w:p>
      <w:pPr>
        <w:pStyle w:val="BlockText"/>
      </w:pPr>
      <w:r>
        <w:rPr>
          <w:b/>
          <w:bCs/>
        </w:rPr>
        <w:t xml:space="preserve">[PESQUISA EM ACAO] Dix-Carneiro (2014) — Custos de ajuste no comércio internacional</w:t>
      </w:r>
    </w:p>
    <w:p>
      <w:pPr>
        <w:pStyle w:val="BlockText"/>
      </w:pPr>
      <w:r>
        <w:rPr>
          <w:b/>
          <w:bCs/>
        </w:rPr>
        <w:t xml:space="preserve">Referência:</w:t>
      </w:r>
      <w:r>
        <w:t xml:space="preserve"> </w:t>
      </w:r>
      <w:r>
        <w:t xml:space="preserve">Dix-Carneiro, R. (2014).</w:t>
      </w:r>
      <w:r>
        <w:t xml:space="preserve"> </w:t>
      </w:r>
      <w:r>
        <w:t xml:space="preserve">“Trade Liberalization and Labor Market Dynamics.”</w:t>
      </w:r>
      <w:r>
        <w:t xml:space="preserve"> </w:t>
      </w:r>
      <w:r>
        <w:rPr>
          <w:i/>
          <w:iCs/>
        </w:rPr>
        <w:t xml:space="preserve">Econometrica</w:t>
      </w:r>
      <w:r>
        <w:t xml:space="preserve">, 82(3), 825–885.</w:t>
      </w:r>
    </w:p>
    <w:p>
      <w:pPr>
        <w:pStyle w:val="BlockText"/>
      </w:pPr>
      <w:r>
        <w:rPr>
          <w:b/>
          <w:bCs/>
        </w:rPr>
        <w:t xml:space="preserve">Pergunta:</w:t>
      </w:r>
      <w:r>
        <w:t xml:space="preserve"> </w:t>
      </w:r>
      <w:r>
        <w:t xml:space="preserve">Quanto tempo leva para os trabalhadores se realocarem entre setores após uma liberalização comercial — e qual o custo de bem-estar dessa transição?</w:t>
      </w:r>
    </w:p>
    <w:p>
      <w:pPr>
        <w:pStyle w:val="BlockText"/>
      </w:pPr>
      <w:r>
        <w:rPr>
          <w:b/>
          <w:bCs/>
        </w:rPr>
        <w:t xml:space="preserve">Método:</w:t>
      </w:r>
      <w:r>
        <w:t xml:space="preserve"> </w:t>
      </w:r>
      <w:r>
        <w:t xml:space="preserve">Modelo de equilíbrio geral dinâmico com fricções no mercado de trabalho, estimado estruturalmente com dados da RAIS e da Pesquisa Mensal de Emprego (Brasil). Explora a liberalização comercial brasileira de 1990–1995 como fonte de variação exógena.</w:t>
      </w:r>
    </w:p>
    <w:p>
      <w:pPr>
        <w:pStyle w:val="BlockText"/>
      </w:pPr>
      <w:r>
        <w:rPr>
          <w:b/>
          <w:bCs/>
        </w:rPr>
        <w:t xml:space="preserve">Resultado:</w:t>
      </w:r>
      <w:r>
        <w:t xml:space="preserve"> </w:t>
      </w:r>
      <w:r>
        <w:t xml:space="preserve">Os custos de ajuste são substanciais: trabalhadores em setores que perderam proteção tarifária sofreram perdas salariais persistentes por até 10 anos. A realocação intersetorial é lenta e custosa, especialmente para trabalhadores mais velhos e menos qualificados. O modelo de equilíbrio geral é essencial para capturar os efeitos de retroalimentação entre mercados de trabalho e de bens.</w:t>
      </w:r>
    </w:p>
    <w:p>
      <w:pPr>
        <w:pStyle w:val="BlockText"/>
      </w:pPr>
      <w:r>
        <w:rPr>
          <w:b/>
          <w:bCs/>
        </w:rPr>
        <w:t xml:space="preserve">Conexão com o capítulo:</w:t>
      </w:r>
      <w:r>
        <w:t xml:space="preserve"> </w:t>
      </w:r>
      <w:r>
        <w:t xml:space="preserve">Ilustra que os ganhos de comércio previstos pelo modelo walrasiano estático (Seção 14.10) podem ser substancialmente reduzidos — ou adiados — quando há fricções no mercado de trabalho. A hipótese de</w:t>
      </w:r>
      <w:r>
        <w:t xml:space="preserve"> </w:t>
      </w:r>
      <w:r>
        <w:t xml:space="preserve">“pleno emprego”</w:t>
      </w:r>
      <w:r>
        <w:t xml:space="preserve"> </w:t>
      </w:r>
      <w:r>
        <w:t xml:space="preserve">dos modelos CGE padrão é especialmente problemática nesse contexto.</w:t>
      </w:r>
    </w:p>
    <w:p>
      <w:pPr>
        <w:pStyle w:val="BlockText"/>
      </w:pPr>
      <w:r>
        <w:rPr>
          <w:b/>
          <w:bCs/>
        </w:rPr>
        <w:t xml:space="preserve">[PESQUISA EM ACAO] Caliendo &amp; Parro (2015) — NAFTA em equilíbrio geral</w:t>
      </w:r>
    </w:p>
    <w:p>
      <w:pPr>
        <w:pStyle w:val="BlockText"/>
      </w:pPr>
      <w:r>
        <w:rPr>
          <w:b/>
          <w:bCs/>
        </w:rPr>
        <w:t xml:space="preserve">Referência:</w:t>
      </w:r>
      <w:r>
        <w:t xml:space="preserve"> </w:t>
      </w:r>
      <w:r>
        <w:t xml:space="preserve">Caliendo, L. &amp; Parro, F. (2015).</w:t>
      </w:r>
      <w:r>
        <w:t xml:space="preserve"> </w:t>
      </w:r>
      <w:r>
        <w:t xml:space="preserve">“Estimates of the Trade and Welfare Effects of NAFTA.”</w:t>
      </w:r>
      <w:r>
        <w:t xml:space="preserve"> </w:t>
      </w:r>
      <w:r>
        <w:rPr>
          <w:i/>
          <w:iCs/>
        </w:rPr>
        <w:t xml:space="preserve">Review of Economic Studies</w:t>
      </w:r>
      <w:r>
        <w:t xml:space="preserve">, 82(1), 1–44.</w:t>
      </w:r>
    </w:p>
    <w:p>
      <w:pPr>
        <w:pStyle w:val="BlockText"/>
      </w:pPr>
      <w:r>
        <w:rPr>
          <w:b/>
          <w:bCs/>
        </w:rPr>
        <w:t xml:space="preserve">Pergunta:</w:t>
      </w:r>
      <w:r>
        <w:t xml:space="preserve"> </w:t>
      </w:r>
      <w:r>
        <w:t xml:space="preserve">Quais foram os efeitos do NAFTA sobre comércio, preços e bem-estar nos três países-membros?</w:t>
      </w:r>
    </w:p>
    <w:p>
      <w:pPr>
        <w:pStyle w:val="BlockText"/>
      </w:pPr>
      <w:r>
        <w:rPr>
          <w:b/>
          <w:bCs/>
        </w:rPr>
        <w:t xml:space="preserve">Método:</w:t>
      </w:r>
      <w:r>
        <w:t xml:space="preserve"> </w:t>
      </w:r>
      <w:r>
        <w:t xml:space="preserve">Modelo de equilíbrio geral ricardiano multi-setorial (extensão de Eaton &amp; Kortum, 2002) com encadeamentos insumo-produto entre setores. Estima as elasticidades de comércio setor a setor e simula o contrafactual sem NAFTA.</w:t>
      </w:r>
    </w:p>
    <w:p>
      <w:pPr>
        <w:pStyle w:val="BlockText"/>
      </w:pPr>
      <w:r>
        <w:rPr>
          <w:b/>
          <w:bCs/>
        </w:rPr>
        <w:t xml:space="preserve">Resultado:</w:t>
      </w:r>
      <w:r>
        <w:t xml:space="preserve"> </w:t>
      </w:r>
      <w:r>
        <w:t xml:space="preserve">O México foi o principal beneficiário (ganho de bem-estar de ~1,3% do PIB), seguido pelos EUA (~0,08%) e Canadá (~0,06%). Os encadeamentos insumo-produto amplificam os efeitos das reduções tarifárias: uma redução de tarifa no setor automotivo beneficia toda a cadeia de fornecedores. Modelos sem encadeamentos subestimam significativamente os efeitos.</w:t>
      </w:r>
    </w:p>
    <w:p>
      <w:pPr>
        <w:pStyle w:val="BlockText"/>
      </w:pPr>
      <w:r>
        <w:rPr>
          <w:b/>
          <w:bCs/>
        </w:rPr>
        <w:t xml:space="preserve">Conexão com o capítulo:</w:t>
      </w:r>
      <w:r>
        <w:t xml:space="preserve"> </w:t>
      </w:r>
      <w:r>
        <w:t xml:space="preserve">Demonstra o poder dos modelos CGE modernos (Seção 14.11) para avaliação de políticas comerciais. O modelo captura exatamente os efeitos de equilíbrio geral que a análise parcial ignora.</w:t>
      </w:r>
    </w:p>
    <w:p>
      <w:pPr>
        <w:pStyle w:val="BlockText"/>
      </w:pPr>
      <w:r>
        <w:rPr>
          <w:b/>
          <w:bCs/>
        </w:rPr>
        <w:t xml:space="preserve">[PESQUISA EM ACAO] Kehoe &amp; Ruhl (2010) — CGEs previram bem o NAFTA?</w:t>
      </w:r>
    </w:p>
    <w:p>
      <w:pPr>
        <w:pStyle w:val="BlockText"/>
      </w:pPr>
      <w:r>
        <w:rPr>
          <w:b/>
          <w:bCs/>
        </w:rPr>
        <w:t xml:space="preserve">Referência:</w:t>
      </w:r>
      <w:r>
        <w:t xml:space="preserve"> </w:t>
      </w:r>
      <w:r>
        <w:t xml:space="preserve">Kehoe, T. &amp; Ruhl, K. (2010).</w:t>
      </w:r>
      <w:r>
        <w:t xml:space="preserve"> </w:t>
      </w:r>
      <w:r>
        <w:t xml:space="preserve">“Why Have Economic Reforms in Mexico Not Generated Growth?”</w:t>
      </w:r>
      <w:r>
        <w:t xml:space="preserve"> </w:t>
      </w:r>
      <w:r>
        <w:rPr>
          <w:i/>
          <w:iCs/>
        </w:rPr>
        <w:t xml:space="preserve">Journal of Economic Literature</w:t>
      </w:r>
      <w:r>
        <w:t xml:space="preserve">, 48(4), 1005–1027.</w:t>
      </w:r>
    </w:p>
    <w:p>
      <w:pPr>
        <w:pStyle w:val="BlockText"/>
      </w:pPr>
      <w:r>
        <w:rPr>
          <w:b/>
          <w:bCs/>
        </w:rPr>
        <w:t xml:space="preserve">Pergunta:</w:t>
      </w:r>
      <w:r>
        <w:t xml:space="preserve"> </w:t>
      </w:r>
      <w:r>
        <w:t xml:space="preserve">Os modelos CGE</w:t>
      </w:r>
      <w:r>
        <w:t xml:space="preserve"> </w:t>
      </w:r>
      <w:r>
        <w:rPr>
          <w:i/>
          <w:iCs/>
        </w:rPr>
        <w:t xml:space="preserve">ex ante</w:t>
      </w:r>
      <w:r>
        <w:t xml:space="preserve"> </w:t>
      </w:r>
      <w:r>
        <w:t xml:space="preserve">previram corretamente os efeitos do NAFTA e das reformas mexicanas?</w:t>
      </w:r>
    </w:p>
    <w:p>
      <w:pPr>
        <w:pStyle w:val="BlockText"/>
      </w:pPr>
      <w:r>
        <w:rPr>
          <w:b/>
          <w:bCs/>
        </w:rPr>
        <w:t xml:space="preserve">Método:</w:t>
      </w:r>
      <w:r>
        <w:t xml:space="preserve"> </w:t>
      </w:r>
      <w:r>
        <w:t xml:space="preserve">Comparação sistemática entre previsões de modelos CGE produzidos antes do NAFTA (anos 1990) e os dados observados</w:t>
      </w:r>
      <w:r>
        <w:t xml:space="preserve"> </w:t>
      </w:r>
      <w:r>
        <w:rPr>
          <w:i/>
          <w:iCs/>
        </w:rPr>
        <w:t xml:space="preserve">ex post</w:t>
      </w:r>
      <w:r>
        <w:t xml:space="preserve"> </w:t>
      </w:r>
      <w:r>
        <w:t xml:space="preserve">(2000–2010).</w:t>
      </w:r>
    </w:p>
    <w:p>
      <w:pPr>
        <w:pStyle w:val="BlockText"/>
      </w:pPr>
      <w:r>
        <w:rPr>
          <w:b/>
          <w:bCs/>
        </w:rPr>
        <w:t xml:space="preserve">Resultado:</w:t>
      </w:r>
      <w:r>
        <w:t xml:space="preserve"> </w:t>
      </w:r>
      <w:r>
        <w:t xml:space="preserve">Os modelos CGE acertaram razoavelmente a direção dos efeitos (aumento de comércio, realocação setorial), mas subestimaram a magnitude dos ajustes no mercado de trabalho e superestimaram os ganhos de crescimento. A principal falha: os modelos assumiam instituições e produtividade constantes, quando na prática a liberalização interage com a qualidade institucional.</w:t>
      </w:r>
    </w:p>
    <w:p>
      <w:pPr>
        <w:pStyle w:val="BlockText"/>
      </w:pPr>
      <w:r>
        <w:rPr>
          <w:b/>
          <w:bCs/>
        </w:rPr>
        <w:t xml:space="preserve">Conexão com o capítulo:</w:t>
      </w:r>
      <w:r>
        <w:t xml:space="preserve"> </w:t>
      </w:r>
      <w:r>
        <w:t xml:space="preserve">Um lembrete honesto das limitações dos modelos CGE (Seção 14.11). Como dizem Angrist e Pischke em outro contexto:</w:t>
      </w:r>
      <w:r>
        <w:t xml:space="preserve"> </w:t>
      </w:r>
      <w:r>
        <w:t xml:space="preserve">“Todos os modelos estão errados; alguns são úteis.”</w:t>
      </w:r>
      <w:r>
        <w:t xml:space="preserve"> </w:t>
      </w:r>
      <w:r>
        <w:t xml:space="preserve">Os CGEs são úteis — mas não são oráculos.</w:t>
      </w:r>
    </w:p>
    <w:p>
      <w:pPr>
        <w:pStyle w:val="BlockText"/>
      </w:pPr>
      <w:r>
        <w:rPr>
          <w:b/>
          <w:bCs/>
        </w:rPr>
        <w:t xml:space="preserve">[PESQUISA EM ACAO] Donaldson (2018) — Ferrovias e equilíbrio geral na Índia colonial</w:t>
      </w:r>
    </w:p>
    <w:p>
      <w:pPr>
        <w:pStyle w:val="BlockText"/>
      </w:pPr>
      <w:r>
        <w:rPr>
          <w:b/>
          <w:bCs/>
        </w:rPr>
        <w:t xml:space="preserve">Referência:</w:t>
      </w:r>
      <w:r>
        <w:t xml:space="preserve"> </w:t>
      </w:r>
      <w:r>
        <w:t xml:space="preserve">Donaldson, D. (2018).</w:t>
      </w:r>
      <w:r>
        <w:t xml:space="preserve"> </w:t>
      </w:r>
      <w:r>
        <w:t xml:space="preserve">“Railroads of the Raj: Estimating the Impact of Transportation Infrastructure.”</w:t>
      </w:r>
      <w:r>
        <w:t xml:space="preserve"> </w:t>
      </w:r>
      <w:r>
        <w:rPr>
          <w:i/>
          <w:iCs/>
        </w:rPr>
        <w:t xml:space="preserve">American Economic Review</w:t>
      </w:r>
      <w:r>
        <w:t xml:space="preserve">, 108(4-5), 899–934.</w:t>
      </w:r>
      <w:r>
        <w:t xml:space="preserve"> </w:t>
      </w:r>
      <w:r>
        <w:rPr>
          <w:b/>
          <w:bCs/>
        </w:rPr>
        <w:t xml:space="preserve">Prêmio Clark 2017.</w:t>
      </w:r>
    </w:p>
    <w:p>
      <w:pPr>
        <w:pStyle w:val="BlockText"/>
      </w:pPr>
      <w:r>
        <w:rPr>
          <w:b/>
          <w:bCs/>
        </w:rPr>
        <w:t xml:space="preserve">Pergunta:</w:t>
      </w:r>
      <w:r>
        <w:t xml:space="preserve"> </w:t>
      </w:r>
      <w:r>
        <w:t xml:space="preserve">Qual foi o impacto das ferrovias na Índia colonial sobre preços, comércio e renda real?</w:t>
      </w:r>
    </w:p>
    <w:p>
      <w:pPr>
        <w:pStyle w:val="BlockText"/>
      </w:pPr>
      <w:r>
        <w:rPr>
          <w:b/>
          <w:bCs/>
        </w:rPr>
        <w:t xml:space="preserve">Método:</w:t>
      </w:r>
      <w:r>
        <w:t xml:space="preserve"> </w:t>
      </w:r>
      <w:r>
        <w:t xml:space="preserve">Modelo de equilíbrio geral ricardiano (Eaton &amp; Kortum) combinado com dados históricos detalhados de preços, produção agrícola e rotas ferroviárias na Índia (1870–1930). Usa a expansão da malha ferroviária como variação quase-exógena.</w:t>
      </w:r>
    </w:p>
    <w:p>
      <w:pPr>
        <w:pStyle w:val="BlockText"/>
      </w:pPr>
      <w:r>
        <w:rPr>
          <w:b/>
          <w:bCs/>
        </w:rPr>
        <w:t xml:space="preserve">Resultado:</w:t>
      </w:r>
      <w:r>
        <w:t xml:space="preserve"> </w:t>
      </w:r>
      <w:r>
        <w:t xml:space="preserve">As ferrovias reduziram drasticamente os custos de transporte, convergindo preços regionais e expandindo o comércio inter-regional. O efeito sobre a renda real foi de ~16% nos distritos conectados. O modelo de equilíbrio geral é essencial: uma análise de equilíbrio parcial capturaria apenas o efeito direto nos mercados conectados, ignorando a realocação de produção entre regiões e a convergência de preços via arbitragem.</w:t>
      </w:r>
    </w:p>
    <w:p>
      <w:pPr>
        <w:pStyle w:val="BlockText"/>
      </w:pPr>
      <w:r>
        <w:rPr>
          <w:b/>
          <w:bCs/>
        </w:rPr>
        <w:t xml:space="preserve">Conexão com o capítulo:</w:t>
      </w:r>
      <w:r>
        <w:t xml:space="preserve"> </w:t>
      </w:r>
      <w:r>
        <w:t xml:space="preserve">Aplicação empírica magistral da teoria do equilíbrio geral ao mundo real. Mostra que a</w:t>
      </w:r>
      <w:r>
        <w:t xml:space="preserve"> </w:t>
      </w:r>
      <w:r>
        <w:t xml:space="preserve">“interdependência de mercados”</w:t>
      </w:r>
      <w:r>
        <w:t xml:space="preserve"> </w:t>
      </w:r>
      <w:r>
        <w:t xml:space="preserve">(Seção 14.1) não é abstração — é o mecanismo central pelo qual infraestrutura afeta bem-estar.</w:t>
      </w:r>
    </w:p>
    <w:p>
      <w:pPr>
        <w:pStyle w:val="BlockText"/>
      </w:pPr>
      <w:r>
        <w:rPr>
          <w:b/>
          <w:bCs/>
        </w:rPr>
        <w:t xml:space="preserve">[PESQUISA EM ACAO] Fleurbaey (2009) — Além da eficiência de Pareto</w:t>
      </w:r>
    </w:p>
    <w:p>
      <w:pPr>
        <w:pStyle w:val="BlockText"/>
      </w:pPr>
      <w:r>
        <w:rPr>
          <w:b/>
          <w:bCs/>
        </w:rPr>
        <w:t xml:space="preserve">Referência:</w:t>
      </w:r>
      <w:r>
        <w:t xml:space="preserve"> </w:t>
      </w:r>
      <w:r>
        <w:t xml:space="preserve">Fleurbaey, M. (2009).</w:t>
      </w:r>
      <w:r>
        <w:t xml:space="preserve"> </w:t>
      </w:r>
      <w:r>
        <w:t xml:space="preserve">“Beyond GDP: The Quest for a Measure of Social Welfare.”</w:t>
      </w:r>
      <w:r>
        <w:t xml:space="preserve"> </w:t>
      </w:r>
      <w:r>
        <w:rPr>
          <w:i/>
          <w:iCs/>
        </w:rPr>
        <w:t xml:space="preserve">Journal of Economic Literature</w:t>
      </w:r>
      <w:r>
        <w:t xml:space="preserve">, 47(4), 1029–1075.</w:t>
      </w:r>
    </w:p>
    <w:p>
      <w:pPr>
        <w:pStyle w:val="BlockText"/>
      </w:pPr>
      <w:r>
        <w:rPr>
          <w:b/>
          <w:bCs/>
        </w:rPr>
        <w:t xml:space="preserve">Pergunta:</w:t>
      </w:r>
      <w:r>
        <w:t xml:space="preserve"> </w:t>
      </w:r>
      <w:r>
        <w:t xml:space="preserve">A eficiência de Pareto é suficiente como critério normativo? Como ir além?</w:t>
      </w:r>
    </w:p>
    <w:p>
      <w:pPr>
        <w:pStyle w:val="BlockText"/>
      </w:pPr>
      <w:r>
        <w:rPr>
          <w:b/>
          <w:bCs/>
        </w:rPr>
        <w:t xml:space="preserve">Método:</w:t>
      </w:r>
      <w:r>
        <w:t xml:space="preserve"> </w:t>
      </w:r>
      <w:r>
        <w:t xml:space="preserve">Revisão analítica da literatura sobre medidas de bem-estar social, comparando o critério de Pareto com alternativas (funções de bem-estar social, variação equivalente, índices de Atkinson, capabilidades de Sen).</w:t>
      </w:r>
    </w:p>
    <w:p>
      <w:pPr>
        <w:pStyle w:val="BlockText"/>
      </w:pPr>
      <w:r>
        <w:rPr>
          <w:b/>
          <w:bCs/>
        </w:rPr>
        <w:t xml:space="preserve">Resultado:</w:t>
      </w:r>
      <w:r>
        <w:t xml:space="preserve"> </w:t>
      </w:r>
      <w:r>
        <w:t xml:space="preserve">O critério de Pareto é</w:t>
      </w:r>
      <w:r>
        <w:t xml:space="preserve"> </w:t>
      </w:r>
      <w:r>
        <w:t xml:space="preserve">“silencioso”</w:t>
      </w:r>
      <w:r>
        <w:t xml:space="preserve"> </w:t>
      </w:r>
      <w:r>
        <w:t xml:space="preserve">sobre distribuição: uma alocação em que uma pessoa tem tudo e as demais nada é Pareto-eficiente. Fleurbaey propõe critérios que combinam eficiência com equidade, notadamente a variação equivalente equalizada (que mede bem-estar individual de forma comparável entre agentes) e funções de bem-estar social que respeitam preferências individuais.</w:t>
      </w:r>
    </w:p>
    <w:p>
      <w:pPr>
        <w:pStyle w:val="BlockText"/>
      </w:pPr>
      <w:r>
        <w:rPr>
          <w:b/>
          <w:bCs/>
        </w:rPr>
        <w:t xml:space="preserve">Conexão com o capítulo:</w:t>
      </w:r>
      <w:r>
        <w:t xml:space="preserve"> </w:t>
      </w:r>
      <w:r>
        <w:t xml:space="preserve">O Segundo Teorema do Bem-Estar (Seção 14.7) separa eficiência de equidade — mas não resolve a questão</w:t>
      </w:r>
      <w:r>
        <w:t xml:space="preserve"> </w:t>
      </w:r>
      <w:r>
        <w:t xml:space="preserve">“qual alocação eficiente é a melhor?”</w:t>
      </w:r>
      <w:r>
        <w:t xml:space="preserve">. Fleurbaey mostra que essa pergunta exige ferramentas normativas além do Pareto.</w:t>
      </w:r>
    </w:p>
    <w:p>
      <w:r>
        <w:pict>
          <v:rect style="width:0;height:1.5pt" o:hralign="center" o:hrstd="t" o:hr="t"/>
        </w:pict>
      </w:r>
    </w:p>
    <w:bookmarkEnd w:id="908"/>
    <w:bookmarkStart w:id="909" w:name="referências-1"/>
    <w:p>
      <w:pPr>
        <w:pStyle w:val="Heading3"/>
      </w:pPr>
      <w:r>
        <w:t xml:space="preserve">Referências</w:t>
      </w:r>
    </w:p>
    <w:p>
      <w:pPr>
        <w:pStyle w:val="FirstParagraph"/>
      </w:pPr>
      <w:r>
        <w:t xml:space="preserve">Arrow, K. J. &amp; Debreu, G. (1954).</w:t>
      </w:r>
      <w:r>
        <w:t xml:space="preserve"> </w:t>
      </w:r>
      <w:r>
        <w:t xml:space="preserve">“Existence of an Equilibrium for a Competitive Economy.”</w:t>
      </w:r>
      <w:r>
        <w:t xml:space="preserve"> </w:t>
      </w:r>
      <w:r>
        <w:rPr>
          <w:i/>
          <w:iCs/>
        </w:rPr>
        <w:t xml:space="preserve">Econometrica</w:t>
      </w:r>
      <w:r>
        <w:t xml:space="preserve">, 22(3), 265–290.</w:t>
      </w:r>
    </w:p>
    <w:p>
      <w:pPr>
        <w:pStyle w:val="BodyText"/>
      </w:pPr>
      <w:r>
        <w:t xml:space="preserve">Akerlof, G. A., Rose, A. K., Yellen, J. L. &amp; Hessenius, H. (1991).</w:t>
      </w:r>
      <w:r>
        <w:t xml:space="preserve"> </w:t>
      </w:r>
      <w:r>
        <w:t xml:space="preserve">“East Germany in from the Cold: The Economic Aftermath of Currency Union.”</w:t>
      </w:r>
      <w:r>
        <w:t xml:space="preserve"> </w:t>
      </w:r>
      <w:r>
        <w:rPr>
          <w:i/>
          <w:iCs/>
        </w:rPr>
        <w:t xml:space="preserve">Brookings Papers on Economic Activity</w:t>
      </w:r>
      <w:r>
        <w:t xml:space="preserve">, 1991(1), 1–87.</w:t>
      </w:r>
    </w:p>
    <w:p>
      <w:pPr>
        <w:pStyle w:val="BodyText"/>
      </w:pPr>
      <w:r>
        <w:t xml:space="preserve">Caliendo, L. &amp; Parro, F. (2015).</w:t>
      </w:r>
      <w:r>
        <w:t xml:space="preserve"> </w:t>
      </w:r>
      <w:r>
        <w:t xml:space="preserve">“Estimates of the Trade and Welfare Effects of NAFTA.”</w:t>
      </w:r>
      <w:r>
        <w:t xml:space="preserve"> </w:t>
      </w:r>
      <w:r>
        <w:rPr>
          <w:i/>
          <w:iCs/>
        </w:rPr>
        <w:t xml:space="preserve">Review of Economic Studies</w:t>
      </w:r>
      <w:r>
        <w:t xml:space="preserve">, 82(1), 1–44.</w:t>
      </w:r>
    </w:p>
    <w:p>
      <w:pPr>
        <w:pStyle w:val="BodyText"/>
      </w:pPr>
      <w:r>
        <w:t xml:space="preserve">Debreu, G. (1959).</w:t>
      </w:r>
      <w:r>
        <w:t xml:space="preserve"> </w:t>
      </w:r>
      <w:r>
        <w:rPr>
          <w:i/>
          <w:iCs/>
        </w:rPr>
        <w:t xml:space="preserve">Theory of Value: An Axiomatic Analysis of Economic Equilibrium</w:t>
      </w:r>
      <w:r>
        <w:t xml:space="preserve">. New Haven: Yale University Press.</w:t>
      </w:r>
    </w:p>
    <w:p>
      <w:pPr>
        <w:pStyle w:val="BodyText"/>
      </w:pPr>
      <w:r>
        <w:t xml:space="preserve">Debreu, G. (1974).</w:t>
      </w:r>
      <w:r>
        <w:t xml:space="preserve"> </w:t>
      </w:r>
      <w:r>
        <w:t xml:space="preserve">“Excess Demand Functions.”</w:t>
      </w:r>
      <w:r>
        <w:t xml:space="preserve"> </w:t>
      </w:r>
      <w:r>
        <w:rPr>
          <w:i/>
          <w:iCs/>
        </w:rPr>
        <w:t xml:space="preserve">Journal of Mathematical Economics</w:t>
      </w:r>
      <w:r>
        <w:t xml:space="preserve">, 1(1), 15–21.</w:t>
      </w:r>
    </w:p>
    <w:p>
      <w:pPr>
        <w:pStyle w:val="BodyText"/>
      </w:pPr>
      <w:r>
        <w:t xml:space="preserve">Dix-Carneiro, R. (2014).</w:t>
      </w:r>
      <w:r>
        <w:t xml:space="preserve"> </w:t>
      </w:r>
      <w:r>
        <w:t xml:space="preserve">“Trade Liberalization and Labor Market Dynamics.”</w:t>
      </w:r>
      <w:r>
        <w:t xml:space="preserve"> </w:t>
      </w:r>
      <w:r>
        <w:rPr>
          <w:i/>
          <w:iCs/>
        </w:rPr>
        <w:t xml:space="preserve">Econometrica</w:t>
      </w:r>
      <w:r>
        <w:t xml:space="preserve">, 82(3), 825–885.</w:t>
      </w:r>
    </w:p>
    <w:p>
      <w:pPr>
        <w:pStyle w:val="BodyText"/>
      </w:pPr>
      <w:r>
        <w:t xml:space="preserve">Donaldson, D. (2018).</w:t>
      </w:r>
      <w:r>
        <w:t xml:space="preserve"> </w:t>
      </w:r>
      <w:r>
        <w:t xml:space="preserve">“Railroads of the Raj: Estimating the Impact of Transportation Infrastructure.”</w:t>
      </w:r>
      <w:r>
        <w:t xml:space="preserve"> </w:t>
      </w:r>
      <w:r>
        <w:rPr>
          <w:i/>
          <w:iCs/>
        </w:rPr>
        <w:t xml:space="preserve">American Economic Review</w:t>
      </w:r>
      <w:r>
        <w:t xml:space="preserve">, 108(4-5), 899–934.</w:t>
      </w:r>
    </w:p>
    <w:p>
      <w:pPr>
        <w:pStyle w:val="BodyText"/>
      </w:pPr>
      <w:r>
        <w:t xml:space="preserve">Edgeworth, F. Y. (1881).</w:t>
      </w:r>
      <w:r>
        <w:t xml:space="preserve"> </w:t>
      </w:r>
      <w:r>
        <w:rPr>
          <w:i/>
          <w:iCs/>
        </w:rPr>
        <w:t xml:space="preserve">Mathematical Psychics: An Essay on the Application of Mathematics to the Moral Sciences</w:t>
      </w:r>
      <w:r>
        <w:t xml:space="preserve">. London: Kegan Paul.</w:t>
      </w:r>
    </w:p>
    <w:p>
      <w:pPr>
        <w:pStyle w:val="BodyText"/>
      </w:pPr>
      <w:r>
        <w:t xml:space="preserve">Fleurbaey, M. (2009).</w:t>
      </w:r>
      <w:r>
        <w:t xml:space="preserve"> </w:t>
      </w:r>
      <w:r>
        <w:t xml:space="preserve">“Beyond GDP: The Quest for a Measure of Social Welfare.”</w:t>
      </w:r>
      <w:r>
        <w:t xml:space="preserve"> </w:t>
      </w:r>
      <w:r>
        <w:rPr>
          <w:i/>
          <w:iCs/>
        </w:rPr>
        <w:t xml:space="preserve">Journal of Economic Literature</w:t>
      </w:r>
      <w:r>
        <w:t xml:space="preserve">, 47(4), 1029–1075.</w:t>
      </w:r>
    </w:p>
    <w:p>
      <w:pPr>
        <w:pStyle w:val="BodyText"/>
      </w:pPr>
      <w:r>
        <w:t xml:space="preserve">Kehoe, T. J. &amp; Ruhl, K. J. (2010).</w:t>
      </w:r>
      <w:r>
        <w:t xml:space="preserve"> </w:t>
      </w:r>
      <w:r>
        <w:t xml:space="preserve">“Why Have Economic Reforms in Mexico Not Generated Growth?”</w:t>
      </w:r>
      <w:r>
        <w:t xml:space="preserve"> </w:t>
      </w:r>
      <w:r>
        <w:rPr>
          <w:i/>
          <w:iCs/>
        </w:rPr>
        <w:t xml:space="preserve">Journal of Economic Literature</w:t>
      </w:r>
      <w:r>
        <w:t xml:space="preserve">, 48(4), 1005–1027.</w:t>
      </w:r>
    </w:p>
    <w:p>
      <w:pPr>
        <w:pStyle w:val="BodyText"/>
      </w:pPr>
      <w:r>
        <w:t xml:space="preserve">Mantel, R. (1974).</w:t>
      </w:r>
      <w:r>
        <w:t xml:space="preserve"> </w:t>
      </w:r>
      <w:r>
        <w:t xml:space="preserve">“On the Characterization of Aggregate Excess Demand.”</w:t>
      </w:r>
      <w:r>
        <w:t xml:space="preserve"> </w:t>
      </w:r>
      <w:r>
        <w:rPr>
          <w:i/>
          <w:iCs/>
        </w:rPr>
        <w:t xml:space="preserve">Journal of Economic Theory</w:t>
      </w:r>
      <w:r>
        <w:t xml:space="preserve">, 7(3), 348–353.</w:t>
      </w:r>
    </w:p>
    <w:p>
      <w:pPr>
        <w:pStyle w:val="BodyText"/>
      </w:pPr>
      <w:r>
        <w:t xml:space="preserve">Mas-Colell, A., Whinston, M. D. &amp; Green, J. R. (1995).</w:t>
      </w:r>
      <w:r>
        <w:t xml:space="preserve"> </w:t>
      </w:r>
      <w:r>
        <w:rPr>
          <w:i/>
          <w:iCs/>
        </w:rPr>
        <w:t xml:space="preserve">Microeconomic Theory</w:t>
      </w:r>
      <w:r>
        <w:t xml:space="preserve">. New York: Oxford University Press.</w:t>
      </w:r>
    </w:p>
    <w:p>
      <w:pPr>
        <w:pStyle w:val="BodyText"/>
      </w:pPr>
      <w:r>
        <w:t xml:space="preserve">Sonnenschein, H. (1973).</w:t>
      </w:r>
      <w:r>
        <w:t xml:space="preserve"> </w:t>
      </w:r>
      <w:r>
        <w:t xml:space="preserve">“Do Walras’ Identity and Continuity Characterize the Class of Community Excess Demand Functions?”</w:t>
      </w:r>
      <w:r>
        <w:t xml:space="preserve"> </w:t>
      </w:r>
      <w:r>
        <w:rPr>
          <w:i/>
          <w:iCs/>
        </w:rPr>
        <w:t xml:space="preserve">Journal of Economic Theory</w:t>
      </w:r>
      <w:r>
        <w:t xml:space="preserve">, 6(4), 345–354.</w:t>
      </w:r>
    </w:p>
    <w:p>
      <w:pPr>
        <w:pStyle w:val="BodyText"/>
      </w:pPr>
      <w:r>
        <w:t xml:space="preserve">Walras, L. (1874).</w:t>
      </w:r>
      <w:r>
        <w:t xml:space="preserve"> </w:t>
      </w:r>
      <w:r>
        <w:rPr>
          <w:i/>
          <w:iCs/>
        </w:rPr>
        <w:t xml:space="preserve">Éléments d’économie politique pure</w:t>
      </w:r>
      <w:r>
        <w:t xml:space="preserve">. Lausanne: Corbaz.</w:t>
      </w:r>
    </w:p>
    <w:bookmarkEnd w:id="909"/>
    <w:bookmarkEnd w:id="910"/>
    <w:bookmarkEnd w:id="911"/>
    <w:bookmarkStart w:id="977" w:name="X75674ec975cae7a1c70950a17fef270aab49c89"/>
    <w:p>
      <w:pPr>
        <w:sectPr>
          <w:footnotePr>
            <w:numRestart w:val="eachSect"/>
          </w:footnotePr>
        </w:sectPr>
      </w:pPr>
    </w:p>
    <w:p>
      <w:pPr>
        <w:pStyle w:val="Heading1"/>
      </w:pPr>
      <w:r>
        <w:t xml:space="preserve">Capítulo 15 — Sozinho, Feliz e Cobrando Caro</w:t>
      </w:r>
    </w:p>
    <w:p>
      <w:pPr>
        <w:pStyle w:val="FirstParagraph"/>
      </w:pPr>
      <w:r>
        <w:t xml:space="preserve">Se no Capítulo 14 vivíamos no paraíso da concorrência perfeita — milhares de firmas, ninguém mandando em nada —, agora entramos no lado sombrio do mercado: um único vendedor, zero concorrência e um sorriso no rosto de quem define o preço. O monopólio representa a antítese da concorrência perfeita. Enquanto no modelo competitivo cada firma é uma tomadora de preço, incapaz de influenciar individualmente as condições de mercado, o monopolista é o único ofertante e, portanto, enfrenta toda a curva de demanda do mercado. Essa posição privilegiada lhe confere</w:t>
      </w:r>
      <w:r>
        <w:t xml:space="preserve"> </w:t>
      </w:r>
      <w:r>
        <w:rPr>
          <w:b/>
          <w:bCs/>
        </w:rPr>
        <w:t xml:space="preserve">poder de mercado</w:t>
      </w:r>
      <w:r>
        <w:t xml:space="preserve"> </w:t>
      </w:r>
      <w:r>
        <w:t xml:space="preserve">— a capacidade de fixar preços acima do custo marginal e obter lucros econômicos persistentes.</w:t>
      </w:r>
      <w:r>
        <w:rPr>
          <w:rStyle w:val="FootnoteReference"/>
        </w:rPr>
        <w:footnoteReference w:id="912"/>
      </w:r>
    </w:p>
    <w:p>
      <w:pPr>
        <w:pStyle w:val="BodyText"/>
      </w:pPr>
      <w:r>
        <w:t xml:space="preserve">A análise do monopólio não é meramente teórica: monopólios naturais regulados dominam setores fundamentais da economia brasileira — energia elétrica, saneamento, telecomunicações fixas —, e o exercício de poder de mercado é uma preocupação central da política antitruste em todo o mundo. A fusão que criou a Ambev, os contratos de concessão da ANEEL, o teto de preços da ANATEL — todos esses casos envolvem, em sua essência, a economia do monopólio apresentada neste capítulo. Compreender como o monopolista fixa preços, por que essa fixação gera ineficiência e quais instrumentos regulatórios podem mitigá-la é, portanto, indispensável tanto para o economista teórico quanto para o formulador de políticas públicas.</w:t>
      </w:r>
    </w:p>
    <w:p>
      <w:pPr>
        <w:pStyle w:val="BodyText"/>
      </w:pPr>
      <w:r>
        <w:t xml:space="preserve">Este capítulo examina as causas do monopólio, a lógica de sua maximização de lucro, as perdas de eficiência decorrentes do poder de mercado, as estratégias de discriminação de preços e os mecanismos de regulação. Ao longo da exposição, utilizaremos intensivamente os conceitos de receita marginal, elasticidade-preço e excedente desenvolvidos nos capítulos anteriores — em particular, a relação entre preço, custo marginal e elasticidade que constituirá o fio condutor de toda a análise. Nos Capítulos 16a e 16b, generalizaremos essa estrutura para mercados com poucos competidores — os oligopólios —, onde a interação estratégica entre firmas substitui o isolamento do monopolista.</w:t>
      </w:r>
      <w:r>
        <w:rPr>
          <w:rStyle w:val="FootnoteReference"/>
        </w:rPr>
        <w:footnoteReference w:id="913"/>
      </w:r>
    </w:p>
    <w:p>
      <w:r>
        <w:pict>
          <v:rect style="width:0;height:1.5pt" o:hralign="center" o:hrstd="t" o:hr="t"/>
        </w:pict>
      </w:r>
    </w:p>
    <w:bookmarkStart w:id="914" w:name="roteiro-do-capítulo-7"/>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15.1</w:t>
            </w:r>
          </w:p>
        </w:tc>
        <w:tc>
          <w:tcPr/>
          <w:p>
            <w:pPr>
              <w:pStyle w:val="Compact"/>
            </w:pPr>
            <w:r>
              <w:t xml:space="preserve">O que impede a concorrência de derrubar o monopolista?</w:t>
            </w:r>
          </w:p>
        </w:tc>
        <w:tc>
          <w:tcPr/>
          <w:p>
            <w:pPr>
              <w:pStyle w:val="Compact"/>
            </w:pPr>
            <w:r>
              <w:t xml:space="preserve">Barreiras à entrada: legais, tecnológicas, estratégicas</w:t>
            </w:r>
          </w:p>
        </w:tc>
        <w:tc>
          <w:tcPr/>
          <w:p>
            <w:pPr>
              <w:pStyle w:val="Compact"/>
              <w:jc w:val="center"/>
            </w:pPr>
            <w:r>
              <w:t xml:space="preserve">Barreiras</w:t>
            </w:r>
          </w:p>
        </w:tc>
      </w:tr>
      <w:tr>
        <w:tc>
          <w:tcPr/>
          <w:p>
            <w:pPr>
              <w:pStyle w:val="Compact"/>
              <w:jc w:val="center"/>
            </w:pPr>
            <w:r>
              <w:t xml:space="preserve">15.2</w:t>
            </w:r>
          </w:p>
        </w:tc>
        <w:tc>
          <w:tcPr/>
          <w:p>
            <w:pPr>
              <w:pStyle w:val="Compact"/>
            </w:pPr>
            <w:r>
              <w:t xml:space="preserve">Como o monopolista escolhe preço e quantidade?</w:t>
            </w:r>
          </w:p>
        </w:tc>
        <w:tc>
          <w:tcPr/>
          <w:p>
            <w:pPr>
              <w:pStyle w:val="Compact"/>
            </w:pPr>
            <w:r>
              <w:t xml:space="preserve">Maximização de lucro, RMg = CMg</w:t>
            </w:r>
          </w:p>
        </w:tc>
        <w:tc>
          <w:tcPr/>
          <w:p>
            <w:pPr>
              <w:pStyle w:val="Compact"/>
              <w:jc w:val="center"/>
            </w:pPr>
            <w:r>
              <w:t xml:space="preserve">Maximização</w:t>
            </w:r>
          </w:p>
        </w:tc>
      </w:tr>
      <w:tr>
        <w:tc>
          <w:tcPr/>
          <w:p>
            <w:pPr>
              <w:pStyle w:val="Compact"/>
              <w:jc w:val="center"/>
            </w:pPr>
            <w:r>
              <w:t xml:space="preserve">15.3</w:t>
            </w:r>
          </w:p>
        </w:tc>
        <w:tc>
          <w:tcPr/>
          <w:p>
            <w:pPr>
              <w:pStyle w:val="Compact"/>
            </w:pPr>
            <w:r>
              <w:t xml:space="preserve">Como medir o poder de mercado com uma fórmula?</w:t>
            </w:r>
          </w:p>
        </w:tc>
        <w:tc>
          <w:tcPr/>
          <w:p>
            <w:pPr>
              <w:pStyle w:val="Compact"/>
            </w:pPr>
            <w:r>
              <w:t xml:space="preserve">Índice de Lerner e elasticidade</w:t>
            </w:r>
          </w:p>
        </w:tc>
        <w:tc>
          <w:tcPr/>
          <w:p>
            <w:pPr>
              <w:pStyle w:val="Compact"/>
              <w:jc w:val="center"/>
            </w:pPr>
            <w:r>
              <w:t xml:space="preserve">Lerner</w:t>
            </w:r>
          </w:p>
        </w:tc>
      </w:tr>
      <w:tr>
        <w:tc>
          <w:tcPr/>
          <w:p>
            <w:pPr>
              <w:pStyle w:val="Compact"/>
              <w:jc w:val="center"/>
            </w:pPr>
            <w:r>
              <w:t xml:space="preserve">15.4</w:t>
            </w:r>
          </w:p>
        </w:tc>
        <w:tc>
          <w:tcPr/>
          <w:p>
            <w:pPr>
              <w:pStyle w:val="Compact"/>
            </w:pPr>
            <w:r>
              <w:t xml:space="preserve">Quanto a sociedade perde com o monopólio?</w:t>
            </w:r>
          </w:p>
        </w:tc>
        <w:tc>
          <w:tcPr/>
          <w:p>
            <w:pPr>
              <w:pStyle w:val="Compact"/>
            </w:pPr>
            <w:r>
              <w:t xml:space="preserve">Peso morto, ineficiência alocativa</w:t>
            </w:r>
          </w:p>
        </w:tc>
        <w:tc>
          <w:tcPr/>
          <w:p>
            <w:pPr>
              <w:pStyle w:val="Compact"/>
              <w:jc w:val="center"/>
            </w:pPr>
            <w:r>
              <w:t xml:space="preserve">Ineficiência</w:t>
            </w:r>
          </w:p>
        </w:tc>
      </w:tr>
      <w:tr>
        <w:tc>
          <w:tcPr/>
          <w:p>
            <w:pPr>
              <w:pStyle w:val="Compact"/>
              <w:jc w:val="center"/>
            </w:pPr>
            <w:r>
              <w:t xml:space="preserve">15.5</w:t>
            </w:r>
          </w:p>
        </w:tc>
        <w:tc>
          <w:tcPr/>
          <w:p>
            <w:pPr>
              <w:pStyle w:val="Compact"/>
            </w:pPr>
            <w:r>
              <w:t xml:space="preserve">O que acontece com o monopólio quando a demanda ou os custos mudam?</w:t>
            </w:r>
          </w:p>
        </w:tc>
        <w:tc>
          <w:tcPr/>
          <w:p>
            <w:pPr>
              <w:pStyle w:val="Compact"/>
            </w:pPr>
            <w:r>
              <w:t xml:space="preserve">Estática comparativa, pass-through</w:t>
            </w:r>
          </w:p>
        </w:tc>
        <w:tc>
          <w:tcPr/>
          <w:p>
            <w:pPr>
              <w:pStyle w:val="Compact"/>
              <w:jc w:val="center"/>
            </w:pPr>
            <w:r>
              <w:t xml:space="preserve">Estática comp.</w:t>
            </w:r>
          </w:p>
        </w:tc>
      </w:tr>
      <w:tr>
        <w:tc>
          <w:tcPr/>
          <w:p>
            <w:pPr>
              <w:pStyle w:val="Compact"/>
              <w:jc w:val="center"/>
            </w:pPr>
            <w:r>
              <w:t xml:space="preserve">15.6</w:t>
            </w:r>
          </w:p>
        </w:tc>
        <w:tc>
          <w:tcPr/>
          <w:p>
            <w:pPr>
              <w:pStyle w:val="Compact"/>
            </w:pPr>
            <w:r>
              <w:t xml:space="preserve">O monopolista escolhe qualidade alta ou baixa?</w:t>
            </w:r>
          </w:p>
        </w:tc>
        <w:tc>
          <w:tcPr/>
          <w:p>
            <w:pPr>
              <w:pStyle w:val="Compact"/>
            </w:pPr>
            <w:r>
              <w:t xml:space="preserve">Qualidade endógena sob monopólio</w:t>
            </w:r>
          </w:p>
        </w:tc>
        <w:tc>
          <w:tcPr/>
          <w:p>
            <w:pPr>
              <w:pStyle w:val="Compact"/>
              <w:jc w:val="center"/>
            </w:pPr>
            <w:r>
              <w:t xml:space="preserve">Qualidade</w:t>
            </w:r>
          </w:p>
        </w:tc>
      </w:tr>
      <w:tr>
        <w:tc>
          <w:tcPr/>
          <w:p>
            <w:pPr>
              <w:pStyle w:val="Compact"/>
              <w:jc w:val="center"/>
            </w:pPr>
            <w:r>
              <w:t xml:space="preserve">15.7</w:t>
            </w:r>
          </w:p>
        </w:tc>
        <w:tc>
          <w:tcPr/>
          <w:p>
            <w:pPr>
              <w:pStyle w:val="Compact"/>
            </w:pPr>
            <w:r>
              <w:t xml:space="preserve">Por que a Netflix cobra preços diferentes em países diferentes?</w:t>
            </w:r>
          </w:p>
        </w:tc>
        <w:tc>
          <w:tcPr/>
          <w:p>
            <w:pPr>
              <w:pStyle w:val="Compact"/>
            </w:pPr>
            <w:r>
              <w:t xml:space="preserve">Discriminação de preços: 1º, 2º e 3º graus</w:t>
            </w:r>
          </w:p>
        </w:tc>
        <w:tc>
          <w:tcPr/>
          <w:p>
            <w:pPr>
              <w:pStyle w:val="Compact"/>
              <w:jc w:val="center"/>
            </w:pPr>
            <w:r>
              <w:t xml:space="preserve">Discriminação</w:t>
            </w:r>
          </w:p>
        </w:tc>
      </w:tr>
      <w:tr>
        <w:tc>
          <w:tcPr/>
          <w:p>
            <w:pPr>
              <w:pStyle w:val="Compact"/>
              <w:jc w:val="center"/>
            </w:pPr>
            <w:r>
              <w:t xml:space="preserve">15.8</w:t>
            </w:r>
          </w:p>
        </w:tc>
        <w:tc>
          <w:tcPr/>
          <w:p>
            <w:pPr>
              <w:pStyle w:val="Compact"/>
            </w:pPr>
            <w:r>
              <w:t xml:space="preserve">Por que o parque cobra entrada e depois cobra por brinquedo?</w:t>
            </w:r>
          </w:p>
        </w:tc>
        <w:tc>
          <w:tcPr/>
          <w:p>
            <w:pPr>
              <w:pStyle w:val="Compact"/>
            </w:pPr>
            <w:r>
              <w:t xml:space="preserve">Tarifa em duas partes, bundling</w:t>
            </w:r>
          </w:p>
        </w:tc>
        <w:tc>
          <w:tcPr/>
          <w:p>
            <w:pPr>
              <w:pStyle w:val="Compact"/>
              <w:jc w:val="center"/>
            </w:pPr>
            <w:r>
              <w:t xml:space="preserve">Tarifas</w:t>
            </w:r>
          </w:p>
        </w:tc>
      </w:tr>
      <w:tr>
        <w:tc>
          <w:tcPr/>
          <w:p>
            <w:pPr>
              <w:pStyle w:val="Compact"/>
              <w:jc w:val="center"/>
            </w:pPr>
            <w:r>
              <w:t xml:space="preserve">15.9</w:t>
            </w:r>
          </w:p>
        </w:tc>
        <w:tc>
          <w:tcPr/>
          <w:p>
            <w:pPr>
              <w:pStyle w:val="Compact"/>
            </w:pPr>
            <w:r>
              <w:t xml:space="preserve">Como o regulador doma o monopolista sem destruir o incentivo a investir?</w:t>
            </w:r>
          </w:p>
        </w:tc>
        <w:tc>
          <w:tcPr/>
          <w:p>
            <w:pPr>
              <w:pStyle w:val="Compact"/>
            </w:pPr>
            <w:r>
              <w:t xml:space="preserve">Regulação: preço teto, taxa de retorno, price cap</w:t>
            </w:r>
          </w:p>
        </w:tc>
        <w:tc>
          <w:tcPr/>
          <w:p>
            <w:pPr>
              <w:pStyle w:val="Compact"/>
              <w:jc w:val="center"/>
            </w:pPr>
            <w:r>
              <w:t xml:space="preserve">Regulação</w:t>
            </w:r>
          </w:p>
        </w:tc>
      </w:tr>
      <w:tr>
        <w:tc>
          <w:tcPr/>
          <w:p>
            <w:pPr>
              <w:pStyle w:val="Compact"/>
              <w:jc w:val="center"/>
            </w:pPr>
            <w:r>
              <w:t xml:space="preserve">15.10</w:t>
            </w:r>
          </w:p>
        </w:tc>
        <w:tc>
          <w:tcPr/>
          <w:p>
            <w:pPr>
              <w:pStyle w:val="Compact"/>
            </w:pPr>
            <w:r>
              <w:t xml:space="preserve">O monopólio pode ser bom para a inovação?</w:t>
            </w:r>
          </w:p>
        </w:tc>
        <w:tc>
          <w:tcPr/>
          <w:p>
            <w:pPr>
              <w:pStyle w:val="Compact"/>
            </w:pPr>
            <w:r>
              <w:t xml:space="preserve">Schumpeter, destruição criativa, patentes</w:t>
            </w:r>
          </w:p>
        </w:tc>
        <w:tc>
          <w:tcPr/>
          <w:p>
            <w:pPr>
              <w:pStyle w:val="Compact"/>
              <w:jc w:val="center"/>
            </w:pPr>
            <w:r>
              <w:t xml:space="preserve">Visão dinâmica</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p>
      <w:pPr>
        <w:pStyle w:val="BlockText"/>
      </w:pPr>
      <w:r>
        <w:rPr>
          <w:b/>
          <w:bCs/>
        </w:rPr>
        <w:t xml:space="preserve">[ATIVIDADE DE SALA] Atividade de Sala — O Leilão do Monopólio: Poder de Mercado, Discriminação e Regulação</w:t>
      </w:r>
    </w:p>
    <w:p>
      <w:pPr>
        <w:pStyle w:val="BlockText"/>
      </w:pPr>
      <w:r>
        <w:rPr>
          <w:b/>
          <w:bCs/>
        </w:rPr>
        <w:t xml:space="preserve">Formato:</w:t>
      </w:r>
      <w:r>
        <w:t xml:space="preserve"> </w:t>
      </w:r>
      <w:r>
        <w:t xml:space="preserve">Simulação de mercado + debrief analítico (45–55 min)</w:t>
      </w:r>
    </w:p>
    <w:p>
      <w:pPr>
        <w:pStyle w:val="BlockText"/>
      </w:pPr>
      <w:r>
        <w:rPr>
          <w:b/>
          <w:bCs/>
        </w:rPr>
        <w:t xml:space="preserve">Objetivo:</w:t>
      </w:r>
      <w:r>
        <w:t xml:space="preserve"> </w:t>
      </w:r>
      <w:r>
        <w:t xml:space="preserve">Vivenciar como o poder de mercado afeta preços, quantidades e bem-estar; comparar preço único com discriminação de preços; experimentar regulação como resposta.</w:t>
      </w:r>
    </w:p>
    <w:p>
      <w:pPr>
        <w:pStyle w:val="BlockText"/>
      </w:pPr>
      <w:r>
        <w:rPr>
          <w:b/>
          <w:bCs/>
        </w:rPr>
        <w:t xml:space="preserve">Preparação (professor):</w:t>
      </w:r>
    </w:p>
    <w:p>
      <w:pPr>
        <w:pStyle w:val="Compact"/>
        <w:numPr>
          <w:ilvl w:val="0"/>
          <w:numId w:val="1819"/>
        </w:numPr>
      </w:pPr>
      <w:r>
        <w:t xml:space="preserve">Divida a turma em grupos de 5–6 alunos. Em cada grupo: 1 aluno é o monopolista, os demais são consumidores.</w:t>
      </w:r>
    </w:p>
    <w:p>
      <w:pPr>
        <w:pStyle w:val="Compact"/>
        <w:numPr>
          <w:ilvl w:val="0"/>
          <w:numId w:val="1819"/>
        </w:numPr>
      </w:pPr>
      <w:r>
        <w:t xml:space="preserve">Distribua fichas de</w:t>
      </w:r>
      <w:r>
        <w:t xml:space="preserve"> </w:t>
      </w:r>
      <w:r>
        <w:rPr>
          <w:b/>
          <w:bCs/>
        </w:rPr>
        <w:t xml:space="preserve">valoração</w:t>
      </w:r>
      <w:r>
        <w:t xml:space="preserve"> </w:t>
      </w:r>
      <w:r>
        <w:t xml:space="preserve">aos consumidores: cada consumidor recebe uma carta com sua disposição a pagar (valores diferentes: R$ 10, R$ 8, R$ 6, R$ 4, R$ 2).</w:t>
      </w:r>
    </w:p>
    <w:p>
      <w:pPr>
        <w:pStyle w:val="Compact"/>
        <w:numPr>
          <w:ilvl w:val="0"/>
          <w:numId w:val="1819"/>
        </w:numPr>
      </w:pPr>
      <w:r>
        <w:t xml:space="preserve">O monopolista tem custo marginal constante de R$ 2 por unidade.</w:t>
      </w:r>
    </w:p>
    <w:p>
      <w:pPr>
        <w:pStyle w:val="Compact"/>
        <w:numPr>
          <w:ilvl w:val="0"/>
          <w:numId w:val="1819"/>
        </w:numPr>
      </w:pPr>
      <w:r>
        <w:t xml:space="preserve">Prepare uma planilha de registro no quadro (preço, quantidade, lucro, EC, PPM).</w:t>
      </w:r>
    </w:p>
    <w:p>
      <w:pPr>
        <w:pStyle w:val="BlockText"/>
      </w:pPr>
      <w:r>
        <w:rPr>
          <w:b/>
          <w:bCs/>
        </w:rPr>
        <w:t xml:space="preserve">Rodada 1 — Preço único (10 min):</w:t>
      </w:r>
    </w:p>
    <w:p>
      <w:pPr>
        <w:pStyle w:val="Compact"/>
        <w:numPr>
          <w:ilvl w:val="0"/>
          <w:numId w:val="1820"/>
        </w:numPr>
      </w:pPr>
      <w:r>
        <w:t xml:space="preserve">O monopolista anuncia um preço único. Consumidores cuja valoração ≥ preço compram; os demais ficam de fora.</w:t>
      </w:r>
    </w:p>
    <w:p>
      <w:pPr>
        <w:pStyle w:val="Compact"/>
        <w:numPr>
          <w:ilvl w:val="0"/>
          <w:numId w:val="1820"/>
        </w:numPr>
      </w:pPr>
      <w:r>
        <w:t xml:space="preserve">O monopolista pode mudar o preço em até 3 tentativas (tâtonnement), observando quantos compram.</w:t>
      </w:r>
    </w:p>
    <w:p>
      <w:pPr>
        <w:pStyle w:val="Compact"/>
        <w:numPr>
          <w:ilvl w:val="0"/>
          <w:numId w:val="1820"/>
        </w:numPr>
      </w:pPr>
      <w:r>
        <w:t xml:space="preserve">Registre o preço final, a quantidade vendida, o lucro e o excedente do consumidor.</w:t>
      </w:r>
    </w:p>
    <w:p>
      <w:pPr>
        <w:pStyle w:val="Compact"/>
        <w:numPr>
          <w:ilvl w:val="0"/>
          <w:numId w:val="1820"/>
        </w:numPr>
      </w:pPr>
      <w:r>
        <w:t xml:space="preserve">Calcule a perda de peso morto (consumidores excluídos cujo valor &gt; CMg).</w:t>
      </w:r>
    </w:p>
    <w:p>
      <w:pPr>
        <w:pStyle w:val="BlockText"/>
      </w:pPr>
      <w:r>
        <w:rPr>
          <w:b/>
          <w:bCs/>
        </w:rPr>
        <w:t xml:space="preserve">Rodada 2 — Discriminação perfeita (10 min):</w:t>
      </w:r>
    </w:p>
    <w:p>
      <w:pPr>
        <w:pStyle w:val="Compact"/>
        <w:numPr>
          <w:ilvl w:val="0"/>
          <w:numId w:val="1821"/>
        </w:numPr>
      </w:pPr>
      <w:r>
        <w:t xml:space="preserve">O monopolista agora pode fazer ofertas individuais secretas a cada consumidor (bilhetes escritos).</w:t>
      </w:r>
    </w:p>
    <w:p>
      <w:pPr>
        <w:pStyle w:val="Compact"/>
        <w:numPr>
          <w:ilvl w:val="0"/>
          <w:numId w:val="1821"/>
        </w:numPr>
      </w:pPr>
      <w:r>
        <w:t xml:space="preserve">Cada consumidor aceita ou rejeita a oferta.</w:t>
      </w:r>
    </w:p>
    <w:p>
      <w:pPr>
        <w:pStyle w:val="Compact"/>
        <w:numPr>
          <w:ilvl w:val="0"/>
          <w:numId w:val="1821"/>
        </w:numPr>
      </w:pPr>
      <w:r>
        <w:t xml:space="preserve">Registre os resultados: quantos compraram? A que preço? Qual o lucro? Qual o EC?</w:t>
      </w:r>
    </w:p>
    <w:p>
      <w:pPr>
        <w:pStyle w:val="BlockText"/>
      </w:pPr>
      <w:r>
        <w:rPr>
          <w:b/>
          <w:bCs/>
        </w:rPr>
        <w:t xml:space="preserve">Rodada 3 — Regulação (10 min):</w:t>
      </w:r>
    </w:p>
    <w:p>
      <w:pPr>
        <w:pStyle w:val="Compact"/>
        <w:numPr>
          <w:ilvl w:val="0"/>
          <w:numId w:val="1822"/>
        </w:numPr>
      </w:pPr>
      <w:r>
        <w:t xml:space="preserve">Um aluno assume o papel de regulador (ANEEL/ANATEL) e impõe</w:t>
      </w:r>
      <w:r>
        <w:t xml:space="preserve"> </w:t>
      </w:r>
      <m:oMath>
        <m:r>
          <m:t>p</m:t>
        </m:r>
        <m:r>
          <m:rPr>
            <m:sty m:val="p"/>
          </m:rPr>
          <m:t>=</m:t>
        </m:r>
        <m:r>
          <m:t>C</m:t>
        </m:r>
        <m:r>
          <m:t>M</m:t>
        </m:r>
        <m:r>
          <m:t>g</m:t>
        </m:r>
        <m:r>
          <m:rPr>
            <m:sty m:val="p"/>
          </m:rPr>
          <m:t>=</m:t>
        </m:r>
        <m:r>
          <m:t>2</m:t>
        </m:r>
      </m:oMath>
      <w:r>
        <w:t xml:space="preserve">.</w:t>
      </w:r>
    </w:p>
    <w:p>
      <w:pPr>
        <w:pStyle w:val="Compact"/>
        <w:numPr>
          <w:ilvl w:val="0"/>
          <w:numId w:val="1822"/>
        </w:numPr>
      </w:pPr>
      <w:r>
        <w:t xml:space="preserve">O monopolista reclama:</w:t>
      </w:r>
      <w:r>
        <w:t xml:space="preserve"> </w:t>
      </w:r>
      <w:r>
        <w:t xml:space="preserve">“Não cubro meus custos fixos!”</w:t>
      </w:r>
      <w:r>
        <w:t xml:space="preserve"> </w:t>
      </w:r>
      <w:r>
        <w:t xml:space="preserve">(professor adiciona CF = R$ 8).</w:t>
      </w:r>
    </w:p>
    <w:p>
      <w:pPr>
        <w:pStyle w:val="Compact"/>
        <w:numPr>
          <w:ilvl w:val="0"/>
          <w:numId w:val="1822"/>
        </w:numPr>
      </w:pPr>
      <w:r>
        <w:t xml:space="preserve">O regulador tenta a alternativa</w:t>
      </w:r>
      <w:r>
        <w:t xml:space="preserve"> </w:t>
      </w:r>
      <m:oMath>
        <m:r>
          <m:t>p</m:t>
        </m:r>
        <m:r>
          <m:rPr>
            <m:sty m:val="p"/>
          </m:rPr>
          <m:t>=</m:t>
        </m:r>
        <m:r>
          <m:t>C</m:t>
        </m:r>
        <m:r>
          <m:t>M</m:t>
        </m:r>
        <m:r>
          <m:t>e</m:t>
        </m:r>
      </m:oMath>
      <w:r>
        <w:t xml:space="preserve">. Calcule e compare.</w:t>
      </w:r>
    </w:p>
    <w:p>
      <w:pPr>
        <w:pStyle w:val="BlockText"/>
      </w:pPr>
      <w:r>
        <w:rPr>
          <w:b/>
          <w:bCs/>
        </w:rPr>
        <w:t xml:space="preserve">Debrief (15–20 min):</w:t>
      </w:r>
    </w:p>
    <w:p>
      <w:pPr>
        <w:pStyle w:val="Compact"/>
        <w:numPr>
          <w:ilvl w:val="0"/>
          <w:numId w:val="1823"/>
        </w:numPr>
      </w:pPr>
      <w:r>
        <w:t xml:space="preserve">Compare os três regimes: preço único, discriminação perfeita e regulação. Quem ganhou e quem perdeu em cada caso?</w:t>
      </w:r>
    </w:p>
    <w:p>
      <w:pPr>
        <w:pStyle w:val="Compact"/>
        <w:numPr>
          <w:ilvl w:val="0"/>
          <w:numId w:val="1823"/>
        </w:numPr>
      </w:pPr>
      <w:r>
        <w:t xml:space="preserve">O monopolista descobriu sozinho o preço ótimo (RMg = CMg) ou precisou de tentativa e erro?</w:t>
      </w:r>
    </w:p>
    <w:p>
      <w:pPr>
        <w:pStyle w:val="Compact"/>
        <w:numPr>
          <w:ilvl w:val="0"/>
          <w:numId w:val="1823"/>
        </w:numPr>
      </w:pPr>
      <w:r>
        <w:t xml:space="preserve">Na Rodada 2, o EC caiu a zero — isso é</w:t>
      </w:r>
      <w:r>
        <w:t xml:space="preserve"> </w:t>
      </w:r>
      <w:r>
        <w:t xml:space="preserve">“justo”</w:t>
      </w:r>
      <w:r>
        <w:t xml:space="preserve">? Discuta eficiência vs. equidade.</w:t>
      </w:r>
    </w:p>
    <w:p>
      <w:pPr>
        <w:pStyle w:val="Compact"/>
        <w:numPr>
          <w:ilvl w:val="0"/>
          <w:numId w:val="1823"/>
        </w:numPr>
      </w:pPr>
      <w:r>
        <w:t xml:space="preserve">Na Rodada 3, como o regulador resolveu o dilema do prejuízo? Conecte com o modelo da ANEEL.</w:t>
      </w:r>
    </w:p>
    <w:p>
      <w:pPr>
        <w:pStyle w:val="Compact"/>
        <w:numPr>
          <w:ilvl w:val="0"/>
          <w:numId w:val="1823"/>
        </w:numPr>
      </w:pPr>
      <w:r>
        <w:t xml:space="preserve">Referência Monty Python:</w:t>
      </w:r>
      <w:r>
        <w:t xml:space="preserve"> </w:t>
      </w:r>
      <w:r>
        <w:t xml:space="preserve">“Bring me a shrubbery!”</w:t>
      </w:r>
      <w:r>
        <w:t xml:space="preserve"> </w:t>
      </w:r>
      <w:r>
        <w:t xml:space="preserve">— os cavaleiros Ni são monopolistas perfeitos: demanda inelástica (sem shrubbery, não te deixo passar) e preço acima do custo marginal. A regulação equivale a chamar o Rei Arthur para negociar.</w:t>
      </w:r>
    </w:p>
    <w:p>
      <w:pPr>
        <w:pStyle w:val="BlockText"/>
      </w:pPr>
      <w:r>
        <w:rPr>
          <w:b/>
          <w:bCs/>
        </w:rPr>
        <w:t xml:space="preserve">Variante avançada:</w:t>
      </w:r>
      <w:r>
        <w:t xml:space="preserve"> </w:t>
      </w:r>
      <w:r>
        <w:t xml:space="preserve">Na Rodada 2, em vez de discriminação perfeita, use discriminação de 3º grau — divida os consumidores em dois grupos (estudantes e executivos) e peça ao monopolista para definir preços diferentes para cada grupo.</w:t>
      </w:r>
    </w:p>
    <w:p>
      <w:pPr>
        <w:pStyle w:val="BlockText"/>
      </w:pPr>
      <w:r>
        <w:rPr>
          <w:b/>
          <w:bCs/>
        </w:rPr>
        <w:t xml:space="preserve">Referência:</w:t>
      </w:r>
      <w:r>
        <w:t xml:space="preserve"> </w:t>
      </w:r>
      <w:r>
        <w:t xml:space="preserve">Holt, C.A. (2007).</w:t>
      </w:r>
      <w:r>
        <w:t xml:space="preserve"> </w:t>
      </w:r>
      <w:r>
        <w:rPr>
          <w:i/>
          <w:iCs/>
        </w:rPr>
        <w:t xml:space="preserve">Markets, Games, and Strategic Behavior</w:t>
      </w:r>
      <w:r>
        <w:t xml:space="preserve">, Cap. 24 (Monopoly).</w:t>
      </w:r>
    </w:p>
    <w:bookmarkEnd w:id="914"/>
    <w:bookmarkStart w:id="924" w:name="X5feb1fc5355fb9694d3dc0b655da32834b232a2"/>
    <w:p>
      <w:pPr>
        <w:pStyle w:val="Heading2"/>
      </w:pPr>
      <w:r>
        <w:t xml:space="preserve">15.1–15.2 Barreiras à Entrada e Maximização de Lucro</w:t>
      </w:r>
    </w:p>
    <w:bookmarkStart w:id="919" w:name="X16a457a3302d7c1f4563df2ffc96dccf3779af7"/>
    <w:p>
      <w:pPr>
        <w:pStyle w:val="Heading3"/>
      </w:pPr>
      <w:r>
        <w:t xml:space="preserve">15.1 Muralhas, Fossos e Portões Levadiços: Barreiras à Entrada</w:t>
      </w:r>
    </w:p>
    <w:p>
      <w:pPr>
        <w:pStyle w:val="FirstParagraph"/>
      </w:pPr>
      <w:r>
        <w:t xml:space="preserve">Se o monopólio é tão lucrativo, por que todo mundo não entra nesse mercado e acaba com a festa? Imagine uma fortaleza medieval: o castelo só sobrevive porque tem muralhas, fossos e portões levadiços. O monopólio funciona da mesma forma — ele só se sustenta porque existem</w:t>
      </w:r>
      <w:r>
        <w:t xml:space="preserve"> </w:t>
      </w:r>
      <w:r>
        <w:rPr>
          <w:b/>
          <w:bCs/>
        </w:rPr>
        <w:t xml:space="preserve">barreiras à entrada</w:t>
      </w:r>
      <w:r>
        <w:t xml:space="preserve">. Sem elas, o monopólio seria uma posição transitória, rapidamente contestada por rivais ávidos por lucro — como veremos na Seção 15.10 ao discutir mercados contestáveis. É precisamente a existência de obstáculos à entrada que permite ao monopolista sustentar sua posição privilegiada no longo prazo.</w:t>
      </w:r>
    </w:p>
    <w:p>
      <w:pPr>
        <w:pStyle w:val="BodyText"/>
      </w:pPr>
      <w:r>
        <w:t xml:space="preserve">Historicamente, a reflexão sobre barreiras à entrada remonta pelo menos a Joe Bain (1956), que as classificou em três categorias — vantagens absolutas de custo, economias de escala e diferenciação de produto. A taxonomia moderna, apresentada a seguir, preserva a essência dessa classificação enquanto incorpora contribuições posteriores de Stigler (1968) e da teoria dos jogos.</w:t>
      </w:r>
    </w:p>
    <w:bookmarkStart w:id="915" w:name="barreiras-legais"/>
    <w:p>
      <w:pPr>
        <w:pStyle w:val="Heading4"/>
      </w:pPr>
      <w:r>
        <w:t xml:space="preserve">Barreiras legais</w:t>
      </w:r>
    </w:p>
    <w:p>
      <w:pPr>
        <w:pStyle w:val="FirstParagraph"/>
      </w:pPr>
      <w:r>
        <w:t xml:space="preserve">O Estado pode conceder a uma firma o direito exclusivo de operar em um mercado. Exemplos incluem:</w:t>
      </w:r>
    </w:p>
    <w:p>
      <w:pPr>
        <w:pStyle w:val="Compact"/>
        <w:numPr>
          <w:ilvl w:val="0"/>
          <w:numId w:val="1824"/>
        </w:numPr>
      </w:pPr>
      <w:r>
        <w:rPr>
          <w:b/>
          <w:bCs/>
        </w:rPr>
        <w:t xml:space="preserve">Patentes</w:t>
      </w:r>
      <w:r>
        <w:t xml:space="preserve">: conferem ao inventor o monopólio temporário sobre a exploração de uma inovação. No Brasil, a Lei de Propriedade Industrial (Lei 9.279/1996) estabelece prazo de 20 anos para patentes de invenção. Esse prazo resulta de um trade-off deliberado de política pública: um período mais longo aumenta o incentivo à inovação (recompensando o inventor com lucros de monopólio), mas prolonga a ineficiência alocativa associada ao poder de mercado.</w:t>
      </w:r>
    </w:p>
    <w:p>
      <w:pPr>
        <w:pStyle w:val="Compact"/>
        <w:numPr>
          <w:ilvl w:val="0"/>
          <w:numId w:val="1824"/>
        </w:numPr>
      </w:pPr>
      <w:r>
        <w:rPr>
          <w:b/>
          <w:bCs/>
        </w:rPr>
        <w:t xml:space="preserve">Concessões e licenças</w:t>
      </w:r>
      <w:r>
        <w:t xml:space="preserve">: o poder público pode restringir o número de operadores em um mercado, como ocorre nos serviços de distribuição de energia elétrica e nas concessões rodoviárias.</w:t>
      </w:r>
    </w:p>
    <w:p>
      <w:pPr>
        <w:pStyle w:val="Compact"/>
        <w:numPr>
          <w:ilvl w:val="0"/>
          <w:numId w:val="1824"/>
        </w:numPr>
      </w:pPr>
      <w:r>
        <w:rPr>
          <w:b/>
          <w:bCs/>
        </w:rPr>
        <w:t xml:space="preserve">Direitos autorais</w:t>
      </w:r>
      <w:r>
        <w:t xml:space="preserve">: protegem obras intelectuais contra reprodução não autorizada, garantindo aos criadores o controle sobre a exploração comercial de suas obras.</w:t>
      </w:r>
    </w:p>
    <w:bookmarkEnd w:id="915"/>
    <w:bookmarkStart w:id="917" w:name="barreiras-naturais"/>
    <w:p>
      <w:pPr>
        <w:pStyle w:val="Heading4"/>
      </w:pPr>
      <w:r>
        <w:t xml:space="preserve">Barreiras naturais</w:t>
      </w:r>
    </w:p>
    <w:p>
      <w:pPr>
        <w:pStyle w:val="FirstParagraph"/>
      </w:pPr>
      <w:r>
        <w:t xml:space="preserve">Em alguns mercados, as condições tecnológicas tornam ineficiente a presença de mais de uma firma. Isso ocorre quando há</w:t>
      </w:r>
      <w:r>
        <w:t xml:space="preserve"> </w:t>
      </w:r>
      <w:r>
        <w:rPr>
          <w:b/>
          <w:bCs/>
        </w:rPr>
        <w:t xml:space="preserve">economias de escala</w:t>
      </w:r>
      <w:r>
        <w:t xml:space="preserve"> </w:t>
      </w:r>
      <w:r>
        <w:t xml:space="preserve">significativas ao longo de toda a faixa relevante de produção. Note que a barreira é</w:t>
      </w:r>
      <w:r>
        <w:t xml:space="preserve"> </w:t>
      </w:r>
      <w:r>
        <w:t xml:space="preserve">“natural”</w:t>
      </w:r>
      <w:r>
        <w:t xml:space="preserve"> </w:t>
      </w:r>
      <w:r>
        <w:t xml:space="preserve">no sentido de que decorre da estrutura de custos, não de uma decisão governamental ou de uma ação estratégica — nenhuma lei proíbe a entrada, mas a tecnologia a torna economicamente inviável.</w:t>
      </w:r>
    </w:p>
    <w:p>
      <w:pPr>
        <w:pStyle w:val="BlockText"/>
      </w:pPr>
      <w:r>
        <w:rPr>
          <w:b/>
          <w:bCs/>
        </w:rPr>
        <w:t xml:space="preserve">[DEFINICAO] Monopólio Natural</w:t>
      </w:r>
    </w:p>
    <w:p>
      <w:pPr>
        <w:pStyle w:val="BlockText"/>
      </w:pPr>
      <w:r>
        <w:t xml:space="preserve">Um mercado constitui um</w:t>
      </w:r>
      <w:r>
        <w:t xml:space="preserve"> </w:t>
      </w:r>
      <w:r>
        <w:rPr>
          <w:b/>
          <w:bCs/>
        </w:rPr>
        <w:t xml:space="preserve">monopólio natural</w:t>
      </w:r>
      <w:r>
        <w:t xml:space="preserve"> </w:t>
      </w:r>
      <w:r>
        <w:t xml:space="preserve">quando a função de custo é</w:t>
      </w:r>
      <w:r>
        <w:t xml:space="preserve"> </w:t>
      </w:r>
      <w:r>
        <w:rPr>
          <w:b/>
          <w:bCs/>
        </w:rPr>
        <w:t xml:space="preserve">subaditiva</w:t>
      </w:r>
      <w:r>
        <w:t xml:space="preserve">, isto é, quando uma única firma pode produzir qualquer quantidade a um custo total menor do que duas ou mais firmas produzindo conjuntamente a mesma quantidade:</w:t>
      </w:r>
    </w:p>
    <w:p>
      <w:pPr>
        <w:pStyle w:val="BlockText"/>
      </w:pPr>
      <w:r>
        <w:t xml:space="preserve">$$</w:t>
      </w:r>
    </w:p>
    <w:p>
      <w:pPr>
        <w:pStyle w:val="BlockText"/>
      </w:pPr>
      <w:r>
        <w:t xml:space="preserve">C(q) &lt; C(q_1) + C(q_2),</w:t>
      </w:r>
      <w:r>
        <w:t xml:space="preserve"> </w:t>
      </w:r>
      <w:r>
        <w:t xml:space="preserve"> </w:t>
      </w:r>
      <w:r>
        <w:t xml:space="preserve">q_1, q_2 &gt; 0</w:t>
      </w:r>
      <w:r>
        <w:t xml:space="preserve"> </w:t>
      </w:r>
      <w:r>
        <w:t xml:space="preserve"> </w:t>
      </w:r>
      <w:r>
        <w:t xml:space="preserve">q_1 + q_2 = q</w:t>
      </w:r>
    </w:p>
    <w:p>
      <w:pPr>
        <w:pStyle w:val="BlockText"/>
      </w:pPr>
      <w:r>
        <w:t xml:space="preserve">$$</w:t>
      </w:r>
    </w:p>
    <w:p>
      <w:pPr>
        <w:pStyle w:val="BlockText"/>
      </w:pPr>
      <w:r>
        <w:t xml:space="preserve">No caso de um único produto, a subaditividade é implicada por economias de escala ao longo de toda a faixa relevante de produção — ou seja, o custo médio é decrescente.</w:t>
      </w:r>
    </w:p>
    <w:p>
      <w:pPr>
        <w:pStyle w:val="FirstParagraph"/>
      </w:pPr>
      <w:r>
        <w:t xml:space="preserve">Exemplos clássicos incluem redes de distribuição de água, gás, eletricidade e telecomunicações fixas, nas quais a duplicação da infraestrutura seria socialmente custosa. É importante distinguir monopólio natural de monopólio</w:t>
      </w:r>
      <w:r>
        <w:t xml:space="preserve"> </w:t>
      </w:r>
      <w:r>
        <w:rPr>
          <w:i/>
          <w:iCs/>
        </w:rPr>
        <w:t xml:space="preserve">de fato</w:t>
      </w:r>
      <w:r>
        <w:t xml:space="preserve">: uma firma pode ser a única no mercado por razões históricas ou estratégicas sem que o mercado seja um monopólio natural. A subaditividade dos custos é condição necessária para caracterizar o monopólio natural.</w:t>
      </w:r>
    </w:p>
    <w:p>
      <w:pPr>
        <w:pStyle w:val="BlockText"/>
      </w:pPr>
      <w:r>
        <w:rPr>
          <w:b/>
          <w:bCs/>
        </w:rPr>
        <w:t xml:space="preserve">[INTUICAO ECONOMICA] Intuição Econômica</w:t>
      </w:r>
    </w:p>
    <w:p>
      <w:pPr>
        <w:pStyle w:val="BlockText"/>
      </w:pPr>
      <w:r>
        <w:rPr>
          <w:b/>
          <w:bCs/>
        </w:rPr>
        <w:t xml:space="preserve">Em uma frase:</w:t>
      </w:r>
      <w:r>
        <w:t xml:space="preserve"> </w:t>
      </w:r>
      <w:r>
        <w:t xml:space="preserve">Em um monopólio natural, uma única empresa atende todo o mercado a um custo menor do que duas ou mais fariam — duplicar a infraestrutura seria desperdício.</w:t>
      </w:r>
    </w:p>
    <w:p>
      <w:pPr>
        <w:pStyle w:val="BlockText"/>
      </w:pPr>
      <w:r>
        <w:rPr>
          <w:b/>
          <w:bCs/>
        </w:rPr>
        <w:t xml:space="preserve">Pense assim:</w:t>
      </w:r>
      <w:r>
        <w:t xml:space="preserve"> </w:t>
      </w:r>
      <w:r>
        <w:t xml:space="preserve">Pense na rede de água encanada do seu bairro. Faz sentido ter uma empresa com uma rede de canos, não duas redes paralelas competindo na mesma rua. O custo fixo de enterrar a tubulação é tão alto que, quanto mais casas uma única rede atende, menor o custo por casa. Construir uma segunda rede seria jogar dinheiro fora — literalmente cavar buracos à toa.</w:t>
      </w:r>
    </w:p>
    <w:p>
      <w:pPr>
        <w:pStyle w:val="BlockText"/>
      </w:pPr>
      <w:r>
        <w:rPr>
          <w:b/>
          <w:bCs/>
        </w:rPr>
        <w:t xml:space="preserve">Por que isso importa:</w:t>
      </w:r>
      <w:r>
        <w:t xml:space="preserve"> </w:t>
      </w:r>
      <w:r>
        <w:t xml:space="preserve">É por isso que setores como saneamento, distribuição de energia e ferrovias são regulados por agências como</w:t>
      </w:r>
      <w:r>
        <w:t xml:space="preserve"> </w:t>
      </w:r>
      <w:hyperlink r:id="rId243">
        <w:r>
          <w:rPr>
            <w:rStyle w:val="Hyperlink"/>
          </w:rPr>
          <w:t xml:space="preserve">ANEEL</w:t>
        </w:r>
      </w:hyperlink>
      <w:r>
        <w:t xml:space="preserve"> </w:t>
      </w:r>
      <w:r>
        <w:t xml:space="preserve">e</w:t>
      </w:r>
      <w:r>
        <w:t xml:space="preserve"> </w:t>
      </w:r>
      <w:hyperlink r:id="rId916">
        <w:r>
          <w:rPr>
            <w:rStyle w:val="Hyperlink"/>
          </w:rPr>
          <w:t xml:space="preserve">ANA</w:t>
        </w:r>
      </w:hyperlink>
      <w:r>
        <w:t xml:space="preserve">, em vez de simplesmente liberados à concorrência.</w:t>
      </w:r>
    </w:p>
    <w:bookmarkEnd w:id="917"/>
    <w:bookmarkStart w:id="918" w:name="barreiras-estratégicas"/>
    <w:p>
      <w:pPr>
        <w:pStyle w:val="Heading4"/>
      </w:pPr>
      <w:r>
        <w:t xml:space="preserve">Barreiras estratégicas</w:t>
      </w:r>
    </w:p>
    <w:p>
      <w:pPr>
        <w:pStyle w:val="FirstParagraph"/>
      </w:pPr>
      <w:r>
        <w:t xml:space="preserve">Além das barreiras criadas pela natureza da tecnologia ou pela ação do Estado, as próprias firmas incumbentes podem erguer obstáculos deliberados à entrada de concorrentes. Essas barreiras estratégicas refletem o comportamento racional de uma firma que antecipa a possibilidade de entrada e age preventivamente para torná-la não lucrativa. A análise formal dessas estratégias envolve teoria dos jogos e será aprofundada nos Capítulos 16a–16b; aqui, destacamos os principais mecanismos.</w:t>
      </w:r>
    </w:p>
    <w:p>
      <w:pPr>
        <w:pStyle w:val="BodyText"/>
      </w:pPr>
      <w:r>
        <w:t xml:space="preserve">Firmas incumbentes podem adotar comportamentos deliberados para dificultar a entrada de rivais:</w:t>
      </w:r>
    </w:p>
    <w:p>
      <w:pPr>
        <w:pStyle w:val="Compact"/>
        <w:numPr>
          <w:ilvl w:val="0"/>
          <w:numId w:val="1825"/>
        </w:numPr>
      </w:pPr>
      <w:r>
        <w:rPr>
          <w:b/>
          <w:bCs/>
        </w:rPr>
        <w:t xml:space="preserve">Excesso de capacidade instalada</w:t>
      </w:r>
      <w:r>
        <w:t xml:space="preserve">: sinaliza que o incumbente pode expandir a produção rapidamente em resposta à entrada, tornando-a não lucrativa. Spence (1977) formalizou esse argumento mostrando que o investimento em capacidade funciona como um compromisso crível (</w:t>
      </w:r>
      <w:r>
        <w:rPr>
          <w:i/>
          <w:iCs/>
        </w:rPr>
        <w:t xml:space="preserve">commitment</w:t>
      </w:r>
      <w:r>
        <w:t xml:space="preserve">).</w:t>
      </w:r>
    </w:p>
    <w:p>
      <w:pPr>
        <w:pStyle w:val="Compact"/>
        <w:numPr>
          <w:ilvl w:val="0"/>
          <w:numId w:val="1825"/>
        </w:numPr>
      </w:pPr>
      <w:r>
        <w:rPr>
          <w:b/>
          <w:bCs/>
        </w:rPr>
        <w:t xml:space="preserve">Preços predatórios</w:t>
      </w:r>
      <w:r>
        <w:t xml:space="preserve">: fixar preços temporariamente abaixo do custo para expulsar ou dissuadir concorrentes (prática ilícita no direito concorrencial brasileiro, conforme a Lei 12.529/2011). A eficácia dessa estratégia depende da capacidade financeira do incumbente de sustentar prejuízos temporários.</w:t>
      </w:r>
    </w:p>
    <w:p>
      <w:pPr>
        <w:pStyle w:val="Compact"/>
        <w:numPr>
          <w:ilvl w:val="0"/>
          <w:numId w:val="1825"/>
        </w:numPr>
      </w:pPr>
      <w:r>
        <w:rPr>
          <w:b/>
          <w:bCs/>
        </w:rPr>
        <w:t xml:space="preserve">Proliferação de marcas</w:t>
      </w:r>
      <w:r>
        <w:t xml:space="preserve">: ocupar nichos de mercado para reduzir o espaço disponível para entrantes — estratégia documentada empiricamente no mercado americano de cereais matinais por Schmalensee (1978).</w:t>
      </w:r>
    </w:p>
    <w:p>
      <w:pPr>
        <w:pStyle w:val="Compact"/>
        <w:numPr>
          <w:ilvl w:val="0"/>
          <w:numId w:val="1825"/>
        </w:numPr>
      </w:pPr>
      <w:r>
        <w:rPr>
          <w:b/>
          <w:bCs/>
        </w:rPr>
        <w:t xml:space="preserve">Controle de insumos essenciais</w:t>
      </w:r>
      <w:r>
        <w:t xml:space="preserve">: adquirir ou controlar o acesso a recursos sem os quais rivais não podem operar.</w:t>
      </w:r>
    </w:p>
    <w:p>
      <w:pPr>
        <w:pStyle w:val="BlockText"/>
      </w:pPr>
      <w:r>
        <w:rPr>
          <w:b/>
          <w:bCs/>
        </w:rPr>
        <w:t xml:space="preserve">[BOX MUNDO] Box Mundo 15.1 — Patentes farmacêuticas nos EUA: o preço do monopólio legal</w:t>
      </w:r>
    </w:p>
    <w:p>
      <w:pPr>
        <w:pStyle w:val="BlockText"/>
      </w:pPr>
      <w:r>
        <w:rPr>
          <w:b/>
          <w:bCs/>
        </w:rPr>
        <w:t xml:space="preserve">Contexto:</w:t>
      </w:r>
      <w:r>
        <w:t xml:space="preserve"> </w:t>
      </w:r>
      <w:r>
        <w:t xml:space="preserve">A indústria farmacêutica dos Estados Unidos é o exemplo contemporâneo mais saliente de monopólio criado por barreiras legais. Patentes de 20 anos conferem às empresas farmacêuticas o direito exclusivo de comercializar novas moléculas, gerando margens de lucro que figuram entre as maiores de qualquer indústria. Além disso, o</w:t>
      </w:r>
      <w:r>
        <w:t xml:space="preserve"> </w:t>
      </w:r>
      <w:r>
        <w:rPr>
          <w:i/>
          <w:iCs/>
        </w:rPr>
        <w:t xml:space="preserve">Hatch-Waxman Act</w:t>
      </w:r>
      <w:r>
        <w:t xml:space="preserve"> </w:t>
      </w:r>
      <w:r>
        <w:t xml:space="preserve">(1984) criou extensões de patente que podem estender a exclusividade por até 5 anos adicionais, além de períodos de exclusividade de dados de 5 a 12 anos para biológicos.</w:t>
      </w:r>
    </w:p>
    <w:p>
      <w:pPr>
        <w:pStyle w:val="BlockText"/>
      </w:pPr>
      <w:r>
        <w:rPr>
          <w:b/>
          <w:bCs/>
        </w:rPr>
        <w:t xml:space="preserve">Dados:</w:t>
      </w:r>
      <w:r>
        <w:t xml:space="preserve"> </w:t>
      </w:r>
      <w:r>
        <w:t xml:space="preserve">Segundo o</w:t>
      </w:r>
      <w:r>
        <w:t xml:space="preserve"> </w:t>
      </w:r>
      <w:r>
        <w:rPr>
          <w:i/>
          <w:iCs/>
        </w:rPr>
        <w:t xml:space="preserve">Congressional Budget Office</w:t>
      </w:r>
      <w:r>
        <w:t xml:space="preserve"> </w:t>
      </w:r>
      <w:r>
        <w:t xml:space="preserve">(CBO), o preço médio dos medicamentos de marca nos EUA é 3,4 vezes maior do que em outros países do G7 (CBO, 2022). Quando uma patente expira e genéricos entram no mercado, o preço cai tipicamente 80–90% dentro de dois anos — uma demonstração direta do efeito do poder de monopólio sobre os preços. Em 2022, os americanos gastaram US$ 405 bilhões em medicamentos prescritos (CMS National Health Expenditure Data). Estratégias como</w:t>
      </w:r>
      <w:r>
        <w:t xml:space="preserve"> </w:t>
      </w:r>
      <w:r>
        <w:rPr>
          <w:i/>
          <w:iCs/>
        </w:rPr>
        <w:t xml:space="preserve">pay-for-delay</w:t>
      </w:r>
      <w:r>
        <w:t xml:space="preserve"> </w:t>
      </w:r>
      <w:r>
        <w:t xml:space="preserve">— acordos nos quais o detentor da patente paga ao fabricante de genéricos para atrasar a entrada — custaram aos consumidores americanos US$ 3,5 bilhões por ano, segundo estimativa da FTC (2010).</w:t>
      </w:r>
    </w:p>
    <w:p>
      <w:pPr>
        <w:pStyle w:val="BlockText"/>
      </w:pPr>
      <w:r>
        <w:rPr>
          <w:b/>
          <w:bCs/>
        </w:rPr>
        <w:t xml:space="preserve">Análise:</w:t>
      </w:r>
      <w:r>
        <w:t xml:space="preserve"> </w:t>
      </w:r>
      <w:r>
        <w:t xml:space="preserve">A patente farmacêutica ilustra o dilema central do monopólio legal: sem a promessa de lucros temporários de monopólio, empresas teriam menos incentivo para investir os bilhões necessários ao desenvolvimento de novos medicamentos (o custo médio de levar um fármaco ao mercado é estimado em US$ 1,3 bilhão pelo</w:t>
      </w:r>
      <w:r>
        <w:t xml:space="preserve"> </w:t>
      </w:r>
      <w:r>
        <w:rPr>
          <w:i/>
          <w:iCs/>
        </w:rPr>
        <w:t xml:space="preserve">Tufts Center for the Study of Drug Development</w:t>
      </w:r>
      <w:r>
        <w:t xml:space="preserve">). Mas a duração e amplitude da proteção patentária determinam o tamanho da perda de peso morto imposta à sociedade durante a vigência do monopólio. O debate sobre a duração ótima de patentes é, essencialmente, uma análise de custo-benefício entre incentivo à inovação (benefício dinâmico) e ineficiência alocativa (custo estático) — tema que retomaremos na Seção 15.10.</w:t>
      </w:r>
    </w:p>
    <w:p>
      <w:pPr>
        <w:pStyle w:val="BlockText"/>
      </w:pPr>
      <w:r>
        <w:rPr>
          <w:b/>
          <w:bCs/>
        </w:rPr>
        <w:t xml:space="preserve">Fonte:</w:t>
      </w:r>
      <w:r>
        <w:t xml:space="preserve"> </w:t>
      </w:r>
      <w:r>
        <w:t xml:space="preserve">Congressional Budget Office (2022).</w:t>
      </w:r>
      <w:r>
        <w:t xml:space="preserve"> </w:t>
      </w:r>
      <w:r>
        <w:rPr>
          <w:i/>
          <w:iCs/>
        </w:rPr>
        <w:t xml:space="preserve">Prescription Drugs: Spending, Use, and Prices</w:t>
      </w:r>
      <w:r>
        <w:t xml:space="preserve">. FTC (2010).</w:t>
      </w:r>
      <w:r>
        <w:t xml:space="preserve"> </w:t>
      </w:r>
      <w:r>
        <w:rPr>
          <w:i/>
          <w:iCs/>
        </w:rPr>
        <w:t xml:space="preserve">Pay-for-Delay: How Drug Company Pay-Offs Cost Consumers Billions</w:t>
      </w:r>
      <w:r>
        <w:t xml:space="preserve">. CMS National Health Expenditure Data, 2022.</w:t>
      </w:r>
    </w:p>
    <w:p>
      <w:r>
        <w:pict>
          <v:rect style="width:0;height:1.5pt" o:hralign="center" o:hrstd="t" o:hr="t"/>
        </w:pict>
      </w:r>
    </w:p>
    <w:bookmarkEnd w:id="918"/>
    <w:bookmarkEnd w:id="919"/>
    <w:bookmarkStart w:id="923" w:name="Xc2646028f5b8b9bbf7a967f4ac71b8866135211"/>
    <w:p>
      <w:pPr>
        <w:pStyle w:val="Heading3"/>
      </w:pPr>
      <w:r>
        <w:t xml:space="preserve">15.2 O Sorriso de Quem Define o Preço: Maximização de Lucro do Monopolista</w:t>
      </w:r>
    </w:p>
    <w:p>
      <w:pPr>
        <w:pStyle w:val="FirstParagraph"/>
      </w:pPr>
      <w:r>
        <w:t xml:space="preserve">Agora que sabemos</w:t>
      </w:r>
      <w:r>
        <w:t xml:space="preserve"> </w:t>
      </w:r>
      <w:r>
        <w:rPr>
          <w:i/>
          <w:iCs/>
        </w:rPr>
        <w:t xml:space="preserve">por que</w:t>
      </w:r>
      <w:r>
        <w:t xml:space="preserve"> </w:t>
      </w:r>
      <w:r>
        <w:t xml:space="preserve">o monopolista reina sozinho, vem a pergunta que realmente interessa: o que ele faz com todo esse poder? Imagine que você é o único vendedor de guarda-chuvas em uma cidade onde chove todos os dias. Você cobra quanto quiser? Não exatamente — se exagerar no preço, ninguém compra. O monopolista vive esse dilema: ele tem poder, mas não é onipotente. A resposta exige uma análise cuidadosa da relação entre receita marginal, custo marginal e elasticidade da demanda — relação esta que se tornará um instrumento analítico recorrente ao longo do restante do livro.</w:t>
      </w:r>
    </w:p>
    <w:p>
      <w:pPr>
        <w:pStyle w:val="BodyText"/>
      </w:pPr>
      <w:r>
        <w:t xml:space="preserve">Diferentemente da firma competitiva, que toma o preço como dado e escolhe apenas a quantidade, o monopolista reconhece que suas decisões de quantidade afetam o preço de mercado. Ao expandir a produção, ele enfrenta dois efeitos opostos sobre a receita: o</w:t>
      </w:r>
      <w:r>
        <w:t xml:space="preserve"> </w:t>
      </w:r>
      <w:r>
        <w:rPr>
          <w:i/>
          <w:iCs/>
        </w:rPr>
        <w:t xml:space="preserve">efeito quantidade</w:t>
      </w:r>
      <w:r>
        <w:t xml:space="preserve"> </w:t>
      </w:r>
      <w:r>
        <w:t xml:space="preserve">(vende mais unidades) e o</w:t>
      </w:r>
      <w:r>
        <w:t xml:space="preserve"> </w:t>
      </w:r>
      <w:r>
        <w:rPr>
          <w:i/>
          <w:iCs/>
        </w:rPr>
        <w:t xml:space="preserve">efeito preço</w:t>
      </w:r>
      <w:r>
        <w:t xml:space="preserve"> </w:t>
      </w:r>
      <w:r>
        <w:t xml:space="preserve">(precisa reduzir o preço de</w:t>
      </w:r>
      <w:r>
        <w:t xml:space="preserve"> </w:t>
      </w:r>
      <w:r>
        <w:rPr>
          <w:i/>
          <w:iCs/>
        </w:rPr>
        <w:t xml:space="preserve">todas</w:t>
      </w:r>
      <w:r>
        <w:t xml:space="preserve"> </w:t>
      </w:r>
      <w:r>
        <w:t xml:space="preserve">as unidades, inclusive as que já venderia ao preço mais alto). Essa tensão entre os dois efeitos é a essência do problema de monopólio e explica por que a receita marginal é sempre inferior ao preço.</w:t>
      </w:r>
    </w:p>
    <w:bookmarkStart w:id="920" w:name="o-problema-do-monopolista"/>
    <w:p>
      <w:pPr>
        <w:pStyle w:val="Heading4"/>
      </w:pPr>
      <w:r>
        <w:t xml:space="preserve">O problema do monopolista</w:t>
      </w:r>
    </w:p>
    <w:p>
      <w:pPr>
        <w:pStyle w:val="FirstParagraph"/>
      </w:pPr>
      <w:r>
        <w:t xml:space="preserve">O monopolista enfrenta toda a curva de demanda do mercado. Se a demanda inversa é</w:t>
      </w:r>
      <w:r>
        <w:t xml:space="preserve"> </w:t>
      </w:r>
      <m:oMath>
        <m:r>
          <m:t>p</m:t>
        </m:r>
        <m:r>
          <m:rPr>
            <m:sty m:val="p"/>
          </m:rPr>
          <m:t>(</m:t>
        </m:r>
        <m:r>
          <m:t>q</m:t>
        </m:r>
        <m:r>
          <m:rPr>
            <m:sty m:val="p"/>
          </m:rPr>
          <m:t>)</m:t>
        </m:r>
      </m:oMath>
      <w:r>
        <w:t xml:space="preserve">, o problema de maximização é:</w:t>
      </w:r>
    </w:p>
    <w:p>
      <w:pPr>
        <w:pStyle w:val="BodyText"/>
      </w:pPr>
      <m:oMathPara>
        <m:oMathParaPr>
          <m:jc m:val="center"/>
        </m:oMathParaPr>
        <m:oMath>
          <m:limLow>
            <m:e>
              <m:r>
                <m:rPr>
                  <m:sty m:val="p"/>
                </m:rPr>
                <m:t>max</m:t>
              </m:r>
            </m:e>
            <m:lim>
              <m:r>
                <m:t>q</m:t>
              </m:r>
            </m:lim>
          </m:limLow>
          <m:r>
            <m:t> </m:t>
          </m:r>
          <m:r>
            <m:t>π</m:t>
          </m:r>
          <m:r>
            <m:rPr>
              <m:sty m:val="p"/>
            </m:rPr>
            <m:t>(</m:t>
          </m:r>
          <m:r>
            <m:t>q</m:t>
          </m:r>
          <m:r>
            <m:rPr>
              <m:sty m:val="p"/>
            </m:rPr>
            <m:t>)</m:t>
          </m:r>
          <m:r>
            <m:rPr>
              <m:sty m:val="p"/>
            </m:rPr>
            <m:t>=</m:t>
          </m:r>
          <m:r>
            <m:t>p</m:t>
          </m:r>
          <m:r>
            <m:rPr>
              <m:sty m:val="p"/>
            </m:rPr>
            <m:t>(</m:t>
          </m:r>
          <m:r>
            <m:t>q</m:t>
          </m:r>
          <m:r>
            <m:rPr>
              <m:sty m:val="p"/>
            </m:rPr>
            <m:t>)</m:t>
          </m:r>
          <m:r>
            <m:rPr>
              <m:sty m:val="p"/>
            </m:rPr>
            <m:t>⋅</m:t>
          </m:r>
          <m:r>
            <m:t>q</m:t>
          </m:r>
          <m:r>
            <m:rPr>
              <m:sty m:val="p"/>
            </m:rPr>
            <m:t>−</m:t>
          </m:r>
          <m:r>
            <m:t>C</m:t>
          </m:r>
          <m:r>
            <m:rPr>
              <m:sty m:val="p"/>
            </m:rPr>
            <m:t>(</m:t>
          </m:r>
          <m:r>
            <m:t>q</m:t>
          </m:r>
          <m:r>
            <m:rPr>
              <m:sty m:val="p"/>
            </m:rPr>
            <m:t>)</m:t>
          </m:r>
        </m:oMath>
      </m:oMathPara>
    </w:p>
    <w:p>
      <w:pPr>
        <w:pStyle w:val="FirstParagraph"/>
      </w:pPr>
      <w:r>
        <w:t xml:space="preserve">A condição de primeira ordem é:</w:t>
      </w:r>
    </w:p>
    <w:p>
      <w:pPr>
        <w:pStyle w:val="BodyText"/>
      </w:pPr>
      <m:oMathPara>
        <m:oMathParaPr>
          <m:jc m:val="center"/>
        </m:oMathParaPr>
        <m:oMath>
          <m:f>
            <m:fPr>
              <m:type m:val="bar"/>
            </m:fPr>
            <m:num>
              <m:r>
                <m:t>d</m:t>
              </m:r>
              <m:r>
                <m:t>π</m:t>
              </m:r>
            </m:num>
            <m:den>
              <m:r>
                <m:t>d</m:t>
              </m:r>
              <m:r>
                <m:t>q</m:t>
              </m:r>
            </m:den>
          </m:f>
          <m:r>
            <m:rPr>
              <m:sty m:val="p"/>
            </m:rPr>
            <m:t>=</m:t>
          </m:r>
          <m:limLow>
            <m:e>
              <m:limLow>
                <m:e>
                  <m:r>
                    <m:t>p</m:t>
                  </m:r>
                  <m:r>
                    <m:rPr>
                      <m:sty m:val="p"/>
                    </m:rPr>
                    <m:t>(</m:t>
                  </m:r>
                  <m:r>
                    <m:t>q</m:t>
                  </m:r>
                  <m:r>
                    <m:rPr>
                      <m:sty m:val="p"/>
                    </m:rPr>
                    <m:t>)</m:t>
                  </m:r>
                  <m:r>
                    <m:rPr>
                      <m:sty m:val="p"/>
                    </m:rPr>
                    <m:t>+</m:t>
                  </m:r>
                  <m:r>
                    <m:t>q</m:t>
                  </m:r>
                  <m:r>
                    <m:rPr>
                      <m:sty m:val="p"/>
                    </m:rPr>
                    <m:t>⋅</m:t>
                  </m:r>
                  <m:sSup>
                    <m:e>
                      <m:r>
                        <m:t>p</m:t>
                      </m:r>
                    </m:e>
                    <m:sup>
                      <m:r>
                        <m:rPr>
                          <m:sty m:val="p"/>
                        </m:rPr>
                        <m:t>′</m:t>
                      </m:r>
                    </m:sup>
                  </m:sSup>
                  <m:r>
                    <m:rPr>
                      <m:sty m:val="p"/>
                    </m:rPr>
                    <m:t>(</m:t>
                  </m:r>
                  <m:r>
                    <m:t>q</m:t>
                  </m:r>
                  <m:r>
                    <m:rPr>
                      <m:sty m:val="p"/>
                    </m:rPr>
                    <m:t>)</m:t>
                  </m:r>
                </m:e>
                <m:lim>
                  <m:r>
                    <m:rPr>
                      <m:sty m:val="p"/>
                    </m:rPr>
                    <m:t>⏟</m:t>
                  </m:r>
                </m:lim>
              </m:limLow>
            </m:e>
            <m:lim>
              <m:r>
                <m:rPr>
                  <m:nor/>
                  <m:sty m:val="p"/>
                </m:rPr>
                <m:t>Receita Marginal (RMg)</m:t>
              </m:r>
            </m:lim>
          </m:limLow>
          <m:r>
            <m:rPr>
              <m:sty m:val="p"/>
            </m:rPr>
            <m:t>−</m:t>
          </m:r>
          <m:limLow>
            <m:e>
              <m:limLow>
                <m:e>
                  <m:sSup>
                    <m:e>
                      <m:r>
                        <m:t>C</m:t>
                      </m:r>
                    </m:e>
                    <m:sup>
                      <m:r>
                        <m:rPr>
                          <m:sty m:val="p"/>
                        </m:rPr>
                        <m:t>′</m:t>
                      </m:r>
                    </m:sup>
                  </m:sSup>
                  <m:r>
                    <m:rPr>
                      <m:sty m:val="p"/>
                    </m:rPr>
                    <m:t>(</m:t>
                  </m:r>
                  <m:r>
                    <m:t>q</m:t>
                  </m:r>
                  <m:r>
                    <m:rPr>
                      <m:sty m:val="p"/>
                    </m:rPr>
                    <m:t>)</m:t>
                  </m:r>
                </m:e>
                <m:lim>
                  <m:r>
                    <m:rPr>
                      <m:sty m:val="p"/>
                    </m:rPr>
                    <m:t>⏟</m:t>
                  </m:r>
                </m:lim>
              </m:limLow>
            </m:e>
            <m:lim>
              <m:r>
                <m:rPr>
                  <m:nor/>
                  <m:sty m:val="p"/>
                </m:rPr>
                <m:t>Custo Marginal (CMg)</m:t>
              </m:r>
            </m:lim>
          </m:limLow>
          <m:r>
            <m:rPr>
              <m:sty m:val="p"/>
            </m:rPr>
            <m:t>=</m:t>
          </m:r>
          <m:r>
            <m:t>0</m:t>
          </m:r>
        </m:oMath>
      </m:oMathPara>
    </w:p>
    <w:p>
      <w:pPr>
        <w:pStyle w:val="FirstParagraph"/>
      </w:pPr>
      <w:r>
        <w:t xml:space="preserve">Portanto, a regra de maximização é:</w:t>
      </w:r>
    </w:p>
    <w:p>
      <w:pPr>
        <w:pStyle w:val="BodyText"/>
      </w:pPr>
      <m:oMathPara>
        <m:oMathParaPr>
          <m:jc m:val="center"/>
        </m:oMathParaPr>
        <m:oMath>
          <m:borderBox>
            <m:e>
              <m:r>
                <m:t>R</m:t>
              </m:r>
              <m:r>
                <m:t>M</m:t>
              </m:r>
              <m:r>
                <m:t>g</m:t>
              </m:r>
              <m:r>
                <m:rPr>
                  <m:sty m:val="p"/>
                </m:rPr>
                <m:t>(</m:t>
              </m:r>
              <m:sSup>
                <m:e>
                  <m:r>
                    <m:t>q</m:t>
                  </m:r>
                </m:e>
                <m:sup>
                  <m:r>
                    <m:t>m</m:t>
                  </m:r>
                </m:sup>
              </m:sSup>
              <m:r>
                <m:rPr>
                  <m:sty m:val="p"/>
                </m:rPr>
                <m:t>)</m:t>
              </m:r>
              <m:r>
                <m:rPr>
                  <m:sty m:val="p"/>
                </m:rPr>
                <m:t>=</m:t>
              </m:r>
              <m:r>
                <m:t>C</m:t>
              </m:r>
              <m:r>
                <m:t>M</m:t>
              </m:r>
              <m:r>
                <m:t>g</m:t>
              </m:r>
              <m:r>
                <m:rPr>
                  <m:sty m:val="p"/>
                </m:rPr>
                <m:t>(</m:t>
              </m:r>
              <m:sSup>
                <m:e>
                  <m:r>
                    <m:t>q</m:t>
                  </m:r>
                </m:e>
                <m:sup>
                  <m:r>
                    <m:t>m</m:t>
                  </m:r>
                </m:sup>
              </m:sSup>
              <m:r>
                <m:rPr>
                  <m:sty m:val="p"/>
                </m:rPr>
                <m:t>)</m:t>
              </m:r>
            </m:e>
          </m:borderBox>
        </m:oMath>
      </m:oMathPara>
    </w:p>
    <w:p>
      <w:pPr>
        <w:pStyle w:val="FirstParagraph"/>
      </w:pPr>
      <w:r>
        <w:t xml:space="preserve">A condição de segunda ordem exige que</w:t>
      </w:r>
      <w:r>
        <w:t xml:space="preserve"> </w:t>
      </w:r>
      <m:oMath>
        <m:f>
          <m:fPr>
            <m:type m:val="bar"/>
          </m:fPr>
          <m:num>
            <m:sSup>
              <m:e>
                <m:r>
                  <m:t>d</m:t>
                </m:r>
              </m:e>
              <m:sup>
                <m:r>
                  <m:t>2</m:t>
                </m:r>
              </m:sup>
            </m:sSup>
            <m:r>
              <m:t>π</m:t>
            </m:r>
          </m:num>
          <m:den>
            <m:r>
              <m:t>d</m:t>
            </m:r>
            <m:sSup>
              <m:e>
                <m:r>
                  <m:t>q</m:t>
                </m:r>
              </m:e>
              <m:sup>
                <m:r>
                  <m:t>2</m:t>
                </m:r>
              </m:sup>
            </m:sSup>
          </m:den>
        </m:f>
        <m:r>
          <m:rPr>
            <m:sty m:val="p"/>
          </m:rPr>
          <m:t>&lt;</m:t>
        </m:r>
        <m:r>
          <m:t>0</m:t>
        </m:r>
      </m:oMath>
      <w:r>
        <w:t xml:space="preserve">, ou seja, que a receita marginal corte o custo marginal</w:t>
      </w:r>
      <w:r>
        <w:t xml:space="preserve"> </w:t>
      </w:r>
      <w:r>
        <w:t xml:space="preserve">“de cima para baixo”</w:t>
      </w:r>
      <w:r>
        <w:t xml:space="preserve">. Geometricamente, essa condição garante que o ponto encontrado é um máximo (e não um mínimo) de lucro.</w:t>
      </w:r>
    </w:p>
    <w:p>
      <w:pPr>
        <w:pStyle w:val="BodyText"/>
      </w:pPr>
      <w:r>
        <w:t xml:space="preserve">Note que a expressão</w:t>
      </w:r>
      <w:r>
        <w:t xml:space="preserve"> </w:t>
      </w:r>
      <m:oMath>
        <m:r>
          <m:t>R</m:t>
        </m:r>
        <m:r>
          <m:t>M</m:t>
        </m:r>
        <m:r>
          <m:t>g</m:t>
        </m:r>
        <m:r>
          <m:rPr>
            <m:sty m:val="p"/>
          </m:rPr>
          <m:t>=</m:t>
        </m:r>
        <m:r>
          <m:t>p</m:t>
        </m:r>
        <m:r>
          <m:rPr>
            <m:sty m:val="p"/>
          </m:rPr>
          <m:t>+</m:t>
        </m:r>
        <m:r>
          <m:t>q</m:t>
        </m:r>
        <m:r>
          <m:rPr>
            <m:sty m:val="p"/>
          </m:rPr>
          <m:t>⋅</m:t>
        </m:r>
        <m:sSup>
          <m:e>
            <m:r>
              <m:t>p</m:t>
            </m:r>
          </m:e>
          <m:sup>
            <m:r>
              <m:rPr>
                <m:sty m:val="p"/>
              </m:rPr>
              <m:t>′</m:t>
            </m:r>
          </m:sup>
        </m:sSup>
        <m:r>
          <m:rPr>
            <m:sty m:val="p"/>
          </m:rPr>
          <m:t>(</m:t>
        </m:r>
        <m:r>
          <m:t>q</m:t>
        </m:r>
        <m:r>
          <m:rPr>
            <m:sty m:val="p"/>
          </m:rPr>
          <m:t>)</m:t>
        </m:r>
      </m:oMath>
      <w:r>
        <w:t xml:space="preserve"> </w:t>
      </w:r>
      <w:r>
        <w:t xml:space="preserve">tem uma interpretação econômica direta: o primeiro termo é a receita obtida pela unidade adicional vendida; o segundo (negativo, pois</w:t>
      </w:r>
      <w:r>
        <w:t xml:space="preserve"> </w:t>
      </w:r>
      <m:oMath>
        <m:sSup>
          <m:e>
            <m:r>
              <m:t>p</m:t>
            </m:r>
          </m:e>
          <m:sup>
            <m:r>
              <m:rPr>
                <m:sty m:val="p"/>
              </m:rPr>
              <m:t>′</m:t>
            </m:r>
          </m:sup>
        </m:sSup>
        <m:r>
          <m:rPr>
            <m:sty m:val="p"/>
          </m:rPr>
          <m:t>(</m:t>
        </m:r>
        <m:r>
          <m:t>q</m:t>
        </m:r>
        <m:r>
          <m:rPr>
            <m:sty m:val="p"/>
          </m:rPr>
          <m:t>)</m:t>
        </m:r>
        <m:r>
          <m:rPr>
            <m:sty m:val="p"/>
          </m:rPr>
          <m:t>&lt;</m:t>
        </m:r>
        <m:r>
          <m:t>0</m:t>
        </m:r>
      </m:oMath>
      <w:r>
        <w:t xml:space="preserve"> </w:t>
      </w:r>
      <w:r>
        <w:t xml:space="preserve">para demanda decrescente) é a perda de receita nas unidades que já seriam vendidas ao preço mais alto. Para uma firma competitiva,</w:t>
      </w:r>
      <w:r>
        <w:t xml:space="preserve"> </w:t>
      </w:r>
      <m:oMath>
        <m:sSup>
          <m:e>
            <m:r>
              <m:t>p</m:t>
            </m:r>
          </m:e>
          <m:sup>
            <m:r>
              <m:rPr>
                <m:sty m:val="p"/>
              </m:rPr>
              <m:t>′</m:t>
            </m:r>
          </m:sup>
        </m:sSup>
        <m:r>
          <m:rPr>
            <m:sty m:val="p"/>
          </m:rPr>
          <m:t>(</m:t>
        </m:r>
        <m:r>
          <m:t>q</m:t>
        </m:r>
        <m:r>
          <m:rPr>
            <m:sty m:val="p"/>
          </m:rPr>
          <m:t>)</m:t>
        </m:r>
        <m:r>
          <m:rPr>
            <m:sty m:val="p"/>
          </m:rPr>
          <m:t>=</m:t>
        </m:r>
        <m:r>
          <m:t>0</m:t>
        </m:r>
      </m:oMath>
      <w:r>
        <w:t xml:space="preserve"> </w:t>
      </w:r>
      <w:r>
        <w:t xml:space="preserve">(a firma não afeta o preço) e</w:t>
      </w:r>
      <w:r>
        <w:t xml:space="preserve"> </w:t>
      </w:r>
      <m:oMath>
        <m:r>
          <m:t>R</m:t>
        </m:r>
        <m:r>
          <m:t>M</m:t>
        </m:r>
        <m:r>
          <m:t>g</m:t>
        </m:r>
        <m:r>
          <m:rPr>
            <m:sty m:val="p"/>
          </m:rPr>
          <m:t>=</m:t>
        </m:r>
        <m:r>
          <m:t>p</m:t>
        </m:r>
      </m:oMath>
      <w:r>
        <w:t xml:space="preserve">. Para o monopolista,</w:t>
      </w:r>
      <w:r>
        <w:t xml:space="preserve"> </w:t>
      </w:r>
      <m:oMath>
        <m:r>
          <m:t>R</m:t>
        </m:r>
        <m:r>
          <m:t>M</m:t>
        </m:r>
        <m:r>
          <m:t>g</m:t>
        </m:r>
        <m:r>
          <m:rPr>
            <m:sty m:val="p"/>
          </m:rPr>
          <m:t>&lt;</m:t>
        </m:r>
        <m:r>
          <m:t>p</m:t>
        </m:r>
      </m:oMath>
      <w:r>
        <w:t xml:space="preserve">: cada unidade adicional vale menos que seu preço, porque deprime o preço de todas as unidades.</w:t>
      </w:r>
    </w:p>
    <w:p>
      <w:pPr>
        <w:pStyle w:val="BodyText"/>
      </w:pPr>
      <w:r>
        <w:t xml:space="preserve">No gráfico interativo abaixo, ajuste os parâmetros da demanda e do custo marginal para visualizar como o equilíbrio de monopólio se modifica. Observe que o monopolista sempre escolhe a quantidade onde a curva de</w:t>
      </w:r>
      <w:r>
        <w:t xml:space="preserve"> </w:t>
      </w:r>
      <m:oMath>
        <m:r>
          <m:t>R</m:t>
        </m:r>
        <m:r>
          <m:t>M</m:t>
        </m:r>
        <m:r>
          <m:t>g</m:t>
        </m:r>
      </m:oMath>
      <w:r>
        <w:t xml:space="preserve"> </w:t>
      </w:r>
      <w:r>
        <w:t xml:space="preserve">cruza a de</w:t>
      </w:r>
      <w:r>
        <w:t xml:space="preserve"> </w:t>
      </w:r>
      <m:oMath>
        <m:r>
          <m:t>C</m:t>
        </m:r>
        <m:r>
          <m:t>M</m:t>
        </m:r>
        <m:r>
          <m:t>g</m:t>
        </m:r>
      </m:oMath>
      <w:r>
        <w:t xml:space="preserve">, e o preço é lido sobre a curva de demanda — acima do</w:t>
      </w:r>
      <w:r>
        <w:t xml:space="preserve"> </w:t>
      </w:r>
      <m:oMath>
        <m:r>
          <m:t>C</m:t>
        </m:r>
        <m:r>
          <m:t>M</m:t>
        </m:r>
        <m:r>
          <m:t>g</m:t>
        </m:r>
      </m:oMath>
      <w:r>
        <w:t xml:space="preserve">.</w:t>
      </w:r>
    </w:p>
    <w:p>
      <w:pPr>
        <w:pStyle w:val="BodyText"/>
      </w:pPr>
      <w:r>
        <w:t xml:space="preserve">[FIGURA INTERATIVA: /micro-book/graficos/cap15/monopolio.html — versao interativa disponivel online]</w:t>
      </w:r>
    </w:p>
    <w:p>
      <w:pPr>
        <w:pStyle w:val="BodyText"/>
      </w:pPr>
      <w:r>
        <w:rPr>
          <w:b/>
          <w:bCs/>
        </w:rPr>
        <w:t xml:space="preserve">Figura 15.1 — Equilíbrio de monopólio.</w:t>
      </w:r>
      <w:r>
        <w:t xml:space="preserve"> </w:t>
      </w:r>
      <w:r>
        <w:t xml:space="preserve">Ajuste os parâmetros da demanda (</w:t>
      </w:r>
      <m:oMath>
        <m:r>
          <m:t>a</m:t>
        </m:r>
      </m:oMath>
      <w:r>
        <w:t xml:space="preserve">,</w:t>
      </w:r>
      <w:r>
        <w:t xml:space="preserve"> </w:t>
      </w:r>
      <m:oMath>
        <m:r>
          <m:t>b</m:t>
        </m:r>
      </m:oMath>
      <w:r>
        <w:t xml:space="preserve">) e do custo marginal (</w:t>
      </w:r>
      <m:oMath>
        <m:r>
          <m:t>c</m:t>
        </m:r>
      </m:oMath>
      <w:r>
        <w:t xml:space="preserve">) para visualizar o equilíbrio de monopólio, o lucro, o excedente do consumidor, a perda de peso morto e o índice de Lerner. Compare com o resultado competitivo.</w:t>
      </w:r>
    </w:p>
    <w:bookmarkEnd w:id="920"/>
    <w:bookmarkStart w:id="921" w:name="receita-marginal-e-elasticidade"/>
    <w:p>
      <w:pPr>
        <w:pStyle w:val="Heading4"/>
      </w:pPr>
      <w:r>
        <w:t xml:space="preserve">Receita marginal e elasticidade</w:t>
      </w:r>
    </w:p>
    <w:p>
      <w:pPr>
        <w:pStyle w:val="FirstParagraph"/>
      </w:pPr>
      <w:r>
        <w:t xml:space="preserve">A receita marginal pode ser expressa em termos da elasticidade-preço da demanda</w:t>
      </w:r>
      <w:r>
        <w:t xml:space="preserve"> </w:t>
      </w:r>
      <m:oMath>
        <m:sSub>
          <m:e>
            <m:r>
              <m:t>ε</m:t>
            </m:r>
          </m:e>
          <m:sub>
            <m:r>
              <m:t>p</m:t>
            </m:r>
          </m:sub>
        </m:sSub>
      </m:oMath>
      <w:r>
        <w:t xml:space="preserve"> </w:t>
      </w:r>
      <w:r>
        <w:t xml:space="preserve">(definida como valor negativo,</w:t>
      </w:r>
      <w:r>
        <w:t xml:space="preserve"> </w:t>
      </w:r>
      <m:oMath>
        <m:sSub>
          <m:e>
            <m:r>
              <m:t>ε</m:t>
            </m:r>
          </m:e>
          <m:sub>
            <m:r>
              <m:t>p</m:t>
            </m:r>
          </m:sub>
        </m:sSub>
        <m:r>
          <m:rPr>
            <m:sty m:val="p"/>
          </m:rPr>
          <m:t>&lt;</m:t>
        </m:r>
        <m:r>
          <m:t>0</m:t>
        </m:r>
      </m:oMath>
      <w:r>
        <w:t xml:space="preserve">):</w:t>
      </w:r>
    </w:p>
    <w:p>
      <w:pPr>
        <w:pStyle w:val="BodyText"/>
      </w:pPr>
      <m:oMathPara>
        <m:oMathParaPr>
          <m:jc m:val="center"/>
        </m:oMathParaPr>
        <m:oMath>
          <m:r>
            <m:t>R</m:t>
          </m:r>
          <m:r>
            <m:t>M</m:t>
          </m:r>
          <m:r>
            <m:t>g</m:t>
          </m:r>
          <m:r>
            <m:rPr>
              <m:sty m:val="p"/>
            </m:rPr>
            <m:t>=</m:t>
          </m:r>
          <m:r>
            <m:t>p</m:t>
          </m:r>
          <m:d>
            <m:dPr>
              <m:begChr m:val="("/>
              <m:sepChr m:val=""/>
              <m:endChr m:val=")"/>
              <m:grow/>
            </m:dPr>
            <m:e>
              <m:r>
                <m:t>1</m:t>
              </m:r>
              <m:r>
                <m:rPr>
                  <m:sty m:val="p"/>
                </m:rPr>
                <m:t>+</m:t>
              </m:r>
              <m:f>
                <m:fPr>
                  <m:type m:val="bar"/>
                </m:fPr>
                <m:num>
                  <m:r>
                    <m:t>1</m:t>
                  </m:r>
                </m:num>
                <m:den>
                  <m:sSub>
                    <m:e>
                      <m:r>
                        <m:t>ε</m:t>
                      </m:r>
                    </m:e>
                    <m:sub>
                      <m:r>
                        <m:t>p</m:t>
                      </m:r>
                    </m:sub>
                  </m:sSub>
                </m:den>
              </m:f>
            </m:e>
          </m:d>
          <m:r>
            <m:rPr>
              <m:sty m:val="p"/>
            </m:rPr>
            <m:t>=</m:t>
          </m:r>
          <m:r>
            <m:t>p</m:t>
          </m:r>
          <m:d>
            <m:dPr>
              <m:begChr m:val="("/>
              <m:sepChr m:val=""/>
              <m:endChr m:val=")"/>
              <m:grow/>
            </m:dPr>
            <m:e>
              <m:r>
                <m:t>1</m:t>
              </m:r>
              <m:r>
                <m:rPr>
                  <m:sty m:val="p"/>
                </m:rPr>
                <m:t>−</m:t>
              </m:r>
              <m:f>
                <m:fPr>
                  <m:type m:val="bar"/>
                </m:fPr>
                <m:num>
                  <m:r>
                    <m:t>1</m:t>
                  </m:r>
                </m:num>
                <m:den>
                  <m:r>
                    <m:rPr>
                      <m:sty m:val="p"/>
                    </m:rPr>
                    <m:t>|</m:t>
                  </m:r>
                  <m:sSub>
                    <m:e>
                      <m:r>
                        <m:t>ε</m:t>
                      </m:r>
                    </m:e>
                    <m:sub>
                      <m:r>
                        <m:t>p</m:t>
                      </m:r>
                    </m:sub>
                  </m:sSub>
                  <m:r>
                    <m:rPr>
                      <m:sty m:val="p"/>
                    </m:rPr>
                    <m:t>|</m:t>
                  </m:r>
                </m:den>
              </m:f>
            </m:e>
          </m:d>
        </m:oMath>
      </m:oMathPara>
    </w:p>
    <w:p>
      <w:pPr>
        <w:pStyle w:val="FirstParagraph"/>
      </w:pPr>
      <w:r>
        <w:t xml:space="preserve">Pela equação Eq. (eq:15.4), como o monopolista opera onde</w:t>
      </w:r>
      <w:r>
        <w:t xml:space="preserve"> </w:t>
      </w:r>
      <m:oMath>
        <m:r>
          <m:t>R</m:t>
        </m:r>
        <m:r>
          <m:t>M</m:t>
        </m:r>
        <m:r>
          <m:t>g</m:t>
        </m:r>
        <m:r>
          <m:rPr>
            <m:sty m:val="p"/>
          </m:rPr>
          <m:t>&gt;</m:t>
        </m:r>
        <m:r>
          <m:t>0</m:t>
        </m:r>
      </m:oMath>
      <w:r>
        <w:t xml:space="preserve">, ele necessariamente produz na faixa</w:t>
      </w:r>
      <w:r>
        <w:t xml:space="preserve"> </w:t>
      </w:r>
      <w:r>
        <w:rPr>
          <w:b/>
          <w:bCs/>
        </w:rPr>
        <w:t xml:space="preserve">elástica</w:t>
      </w:r>
      <w:r>
        <w:t xml:space="preserve"> </w:t>
      </w:r>
      <w:r>
        <w:t xml:space="preserve">da demanda (</w:t>
      </w:r>
      <m:oMath>
        <m:r>
          <m:rPr>
            <m:sty m:val="p"/>
          </m:rPr>
          <m:t>|</m:t>
        </m:r>
        <m:sSub>
          <m:e>
            <m:r>
              <m:t>ε</m:t>
            </m:r>
          </m:e>
          <m:sub>
            <m:r>
              <m:t>p</m:t>
            </m:r>
          </m:sub>
        </m:sSub>
        <m:r>
          <m:rPr>
            <m:sty m:val="p"/>
          </m:rPr>
          <m:t>|</m:t>
        </m:r>
        <m:r>
          <m:rPr>
            <m:sty m:val="p"/>
          </m:rPr>
          <m:t>&gt;</m:t>
        </m:r>
        <m:r>
          <m:t>1</m:t>
        </m:r>
      </m:oMath>
      <w:r>
        <w:t xml:space="preserve">). Na faixa inelástica, a receita marginal seria negativa, e o monopolista poderia aumentar a receita (e o lucro) simplesmente reduzindo a produção — uma situação que contradiz a otimização. Esse resultado, embora simples, é frequentemente esquecido por alunos e tem implicações práticas importantes: se um governo observa que a demanda por um bem fornecido por um monopolista é inelástica, pode concluir que o monopolista não está maximizando lucro — ou que há restrições regulatórias limitando seu preço.</w:t>
      </w:r>
    </w:p>
    <w:bookmarkEnd w:id="921"/>
    <w:bookmarkStart w:id="922" w:name="a-regra-de-markup"/>
    <w:p>
      <w:pPr>
        <w:pStyle w:val="Heading4"/>
      </w:pPr>
      <w:r>
        <w:t xml:space="preserve">A regra de markup</w:t>
      </w:r>
    </w:p>
    <w:p>
      <w:pPr>
        <w:pStyle w:val="FirstParagraph"/>
      </w:pPr>
      <w:r>
        <w:t xml:space="preserve">A relação entre receita marginal e elasticidade nos conduz a um resultado fundamental: o monopolista não fixa preços arbitrariamente, mas obedece a uma regra de markup que conecta o preço cobrado ao custo marginal e à sensibilidade dos consumidores a variações de preço. Quanto menos sensíveis forem os consumidores — isto é, quanto mais inelástica a demanda —, maior a margem que o monopolista consegue extrair.</w:t>
      </w:r>
    </w:p>
    <w:p>
      <w:pPr>
        <w:pStyle w:val="BodyText"/>
      </w:pPr>
      <w:r>
        <w:t xml:space="preserve">Da condição</w:t>
      </w:r>
      <w:r>
        <w:t xml:space="preserve"> </w:t>
      </w:r>
      <m:oMath>
        <m:r>
          <m:t>R</m:t>
        </m:r>
        <m:r>
          <m:t>M</m:t>
        </m:r>
        <m:r>
          <m:t>g</m:t>
        </m:r>
        <m:r>
          <m:rPr>
            <m:sty m:val="p"/>
          </m:rPr>
          <m:t>=</m:t>
        </m:r>
        <m:r>
          <m:t>C</m:t>
        </m:r>
        <m:r>
          <m:t>M</m:t>
        </m:r>
        <m:r>
          <m:t>g</m:t>
        </m:r>
      </m:oMath>
      <w:r>
        <w:t xml:space="preserve">, obtemos:</w:t>
      </w:r>
    </w:p>
    <w:p>
      <w:pPr>
        <w:pStyle w:val="BodyText"/>
      </w:pPr>
      <m:oMathPara>
        <m:oMathParaPr>
          <m:jc m:val="center"/>
        </m:oMathParaPr>
        <m:oMath>
          <m:r>
            <m:t>p</m:t>
          </m:r>
          <m:d>
            <m:dPr>
              <m:begChr m:val="("/>
              <m:sepChr m:val=""/>
              <m:endChr m:val=")"/>
              <m:grow/>
            </m:dPr>
            <m:e>
              <m:r>
                <m:t>1</m:t>
              </m:r>
              <m:r>
                <m:rPr>
                  <m:sty m:val="p"/>
                </m:rPr>
                <m:t>−</m:t>
              </m:r>
              <m:f>
                <m:fPr>
                  <m:type m:val="bar"/>
                </m:fPr>
                <m:num>
                  <m:r>
                    <m:t>1</m:t>
                  </m:r>
                </m:num>
                <m:den>
                  <m:r>
                    <m:rPr>
                      <m:sty m:val="p"/>
                    </m:rPr>
                    <m:t>|</m:t>
                  </m:r>
                  <m:sSub>
                    <m:e>
                      <m:r>
                        <m:t>ε</m:t>
                      </m:r>
                    </m:e>
                    <m:sub>
                      <m:r>
                        <m:t>p</m:t>
                      </m:r>
                    </m:sub>
                  </m:sSub>
                  <m:r>
                    <m:rPr>
                      <m:sty m:val="p"/>
                    </m:rPr>
                    <m:t>|</m:t>
                  </m:r>
                </m:den>
              </m:f>
            </m:e>
          </m:d>
          <m:r>
            <m:rPr>
              <m:sty m:val="p"/>
            </m:rPr>
            <m:t>=</m:t>
          </m:r>
          <m:r>
            <m:t>C</m:t>
          </m:r>
          <m:r>
            <m:t>M</m:t>
          </m:r>
          <m:r>
            <m:t>g</m:t>
          </m:r>
          <m:r>
            <m:rPr>
              <m:sty m:val="p"/>
            </m:rPr>
            <m:t>⟹</m:t>
          </m:r>
          <m:r>
            <m:t>p</m:t>
          </m:r>
          <m:r>
            <m:rPr>
              <m:sty m:val="p"/>
            </m:rPr>
            <m:t>=</m:t>
          </m:r>
          <m:f>
            <m:fPr>
              <m:type m:val="bar"/>
            </m:fPr>
            <m:num>
              <m:r>
                <m:t>C</m:t>
              </m:r>
              <m:r>
                <m:t>M</m:t>
              </m:r>
              <m:r>
                <m:t>g</m:t>
              </m:r>
            </m:num>
            <m:den>
              <m:r>
                <m:t>1</m:t>
              </m:r>
              <m:r>
                <m:rPr>
                  <m:sty m:val="p"/>
                </m:rPr>
                <m:t>−</m:t>
              </m:r>
              <m:f>
                <m:fPr>
                  <m:type m:val="bar"/>
                </m:fPr>
                <m:num>
                  <m:r>
                    <m:t>1</m:t>
                  </m:r>
                </m:num>
                <m:den>
                  <m:r>
                    <m:rPr>
                      <m:sty m:val="p"/>
                    </m:rPr>
                    <m:t>|</m:t>
                  </m:r>
                  <m:sSub>
                    <m:e>
                      <m:r>
                        <m:t>ε</m:t>
                      </m:r>
                    </m:e>
                    <m:sub>
                      <m:r>
                        <m:t>p</m:t>
                      </m:r>
                    </m:sub>
                  </m:sSub>
                  <m:r>
                    <m:rPr>
                      <m:sty m:val="p"/>
                    </m:rPr>
                    <m:t>|</m:t>
                  </m:r>
                </m:den>
              </m:f>
            </m:den>
          </m:f>
        </m:oMath>
      </m:oMathPara>
    </w:p>
    <w:p>
      <w:pPr>
        <w:pStyle w:val="FirstParagraph"/>
      </w:pPr>
      <w:r>
        <w:t xml:space="preserve">O monopolista aplica um</w:t>
      </w:r>
      <w:r>
        <w:t xml:space="preserve"> </w:t>
      </w:r>
      <w:r>
        <w:rPr>
          <w:b/>
          <w:bCs/>
        </w:rPr>
        <w:t xml:space="preserve">markup</w:t>
      </w:r>
      <w:r>
        <w:t xml:space="preserve"> </w:t>
      </w:r>
      <w:r>
        <w:t xml:space="preserve">sobre o custo marginal que é inversamente proporcional à elasticidade-preço da demanda. Quando</w:t>
      </w:r>
      <w:r>
        <w:t xml:space="preserve"> </w:t>
      </w:r>
      <m:oMath>
        <m:r>
          <m:rPr>
            <m:sty m:val="p"/>
          </m:rPr>
          <m:t>|</m:t>
        </m:r>
        <m:sSub>
          <m:e>
            <m:r>
              <m:t>ε</m:t>
            </m:r>
          </m:e>
          <m:sub>
            <m:r>
              <m:t>p</m:t>
            </m:r>
          </m:sub>
        </m:sSub>
        <m:r>
          <m:rPr>
            <m:sty m:val="p"/>
          </m:rPr>
          <m:t>|</m:t>
        </m:r>
        <m:r>
          <m:rPr>
            <m:sty m:val="p"/>
          </m:rPr>
          <m:t>→</m:t>
        </m:r>
        <m:r>
          <m:rPr>
            <m:sty m:val="p"/>
          </m:rPr>
          <m:t>∞</m:t>
        </m:r>
      </m:oMath>
      <w:r>
        <w:t xml:space="preserve"> </w:t>
      </w:r>
      <w:r>
        <w:t xml:space="preserve">(demanda perfeitamente elástica), o markup desaparece e</w:t>
      </w:r>
      <w:r>
        <w:t xml:space="preserve"> </w:t>
      </w:r>
      <m:oMath>
        <m:r>
          <m:t>p</m:t>
        </m:r>
        <m:r>
          <m:rPr>
            <m:sty m:val="p"/>
          </m:rPr>
          <m:t>→</m:t>
        </m:r>
        <m:r>
          <m:t>C</m:t>
        </m:r>
        <m:r>
          <m:t>M</m:t>
        </m:r>
        <m:r>
          <m:t>g</m:t>
        </m:r>
      </m:oMath>
      <w:r>
        <w:t xml:space="preserve"> </w:t>
      </w:r>
      <w:r>
        <w:t xml:space="preserve">— recuperamos o resultado competitivo. Quando</w:t>
      </w:r>
      <w:r>
        <w:t xml:space="preserve"> </w:t>
      </w:r>
      <m:oMath>
        <m:r>
          <m:rPr>
            <m:sty m:val="p"/>
          </m:rPr>
          <m:t>|</m:t>
        </m:r>
        <m:sSub>
          <m:e>
            <m:r>
              <m:t>ε</m:t>
            </m:r>
          </m:e>
          <m:sub>
            <m:r>
              <m:t>p</m:t>
            </m:r>
          </m:sub>
        </m:sSub>
        <m:r>
          <m:rPr>
            <m:sty m:val="p"/>
          </m:rPr>
          <m:t>|</m:t>
        </m:r>
      </m:oMath>
      <w:r>
        <w:t xml:space="preserve"> </w:t>
      </w:r>
      <w:r>
        <w:t xml:space="preserve">é baixo (demanda inelástica), o markup explode — o monopolista extrai margens cada vez maiores. É essa relação que fundamenta toda a análise empírica do poder de mercado.</w:t>
      </w:r>
    </w:p>
    <w:p>
      <w:pPr>
        <w:pStyle w:val="BlockText"/>
      </w:pPr>
      <w:r>
        <w:rPr>
          <w:b/>
          <w:bCs/>
        </w:rPr>
        <w:t xml:space="preserve">[DEFINICAO] Índice de Lerner</w:t>
      </w:r>
    </w:p>
    <w:p>
      <w:pPr>
        <w:pStyle w:val="BlockText"/>
      </w:pPr>
      <w:r>
        <w:t xml:space="preserve">O</w:t>
      </w:r>
      <w:r>
        <w:t xml:space="preserve"> </w:t>
      </w:r>
      <w:r>
        <w:rPr>
          <w:b/>
          <w:bCs/>
        </w:rPr>
        <w:t xml:space="preserve">índice de Lerner</w:t>
      </w:r>
      <w:r>
        <w:t xml:space="preserve"> </w:t>
      </w:r>
      <w:r>
        <w:t xml:space="preserve">mede o poder de mercado de uma firma como a diferença percentual entre preço e custo marginal:</w:t>
      </w:r>
    </w:p>
    <w:p>
      <w:pPr>
        <w:pStyle w:val="BlockText"/>
      </w:pPr>
      <w:r>
        <w:t xml:space="preserve">$$</w:t>
      </w:r>
    </w:p>
    <w:p>
      <w:pPr>
        <w:pStyle w:val="BlockText"/>
      </w:pPr>
      <w:r>
        <w:t xml:space="preserve">L =</w:t>
      </w:r>
      <w:r>
        <w:t xml:space="preserve"> </w:t>
      </w:r>
      <w:r>
        <w:t xml:space="preserve"> </w:t>
      </w:r>
      <w:r>
        <w:t xml:space="preserve"> </w:t>
      </w:r>
      <w:r>
        <w:t xml:space="preserve"> </w:t>
      </w:r>
      <w:r>
        <w:t xml:space="preserve">$$</w:t>
      </w:r>
    </w:p>
    <w:p>
      <w:pPr>
        <w:pStyle w:val="BlockText"/>
      </w:pPr>
      <w:r>
        <w:t xml:space="preserve">Para uma firma em concorrência perfeita,</w:t>
      </w:r>
      <w:r>
        <w:t xml:space="preserve"> </w:t>
      </w:r>
      <m:oMath>
        <m:r>
          <m:t>L</m:t>
        </m:r>
        <m:r>
          <m:rPr>
            <m:sty m:val="p"/>
          </m:rPr>
          <m:t>=</m:t>
        </m:r>
        <m:r>
          <m:t>0</m:t>
        </m:r>
      </m:oMath>
      <w:r>
        <w:t xml:space="preserve">. Para um monopolista,</w:t>
      </w:r>
      <w:r>
        <w:t xml:space="preserve"> </w:t>
      </w:r>
      <m:oMath>
        <m:r>
          <m:t>L</m:t>
        </m:r>
        <m:r>
          <m:rPr>
            <m:sty m:val="p"/>
          </m:rPr>
          <m:t>=</m:t>
        </m:r>
        <m:f>
          <m:fPr>
            <m:type m:val="bar"/>
          </m:fPr>
          <m:num>
            <m:r>
              <m:t>1</m:t>
            </m:r>
          </m:num>
          <m:den>
            <m:r>
              <m:rPr>
                <m:sty m:val="p"/>
              </m:rPr>
              <m:t>|</m:t>
            </m:r>
            <m:sSub>
              <m:e>
                <m:r>
                  <m:t>ε</m:t>
                </m:r>
              </m:e>
              <m:sub>
                <m:r>
                  <m:t>p</m:t>
                </m:r>
              </m:sub>
            </m:sSub>
            <m:r>
              <m:rPr>
                <m:sty m:val="p"/>
              </m:rPr>
              <m:t>|</m:t>
            </m:r>
          </m:den>
        </m:f>
      </m:oMath>
      <w:r>
        <w:t xml:space="preserve">. O índice varia entre 0 e 1.</w:t>
      </w:r>
    </w:p>
    <w:p>
      <w:pPr>
        <w:pStyle w:val="BlockText"/>
      </w:pPr>
      <w:r>
        <w:rPr>
          <w:b/>
          <w:bCs/>
        </w:rPr>
        <w:t xml:space="preserve">[INTUICAO ECONOMICA] Intuição Econômica</w:t>
      </w:r>
    </w:p>
    <w:p>
      <w:pPr>
        <w:pStyle w:val="BlockText"/>
      </w:pPr>
      <w:r>
        <w:rPr>
          <w:b/>
          <w:bCs/>
        </w:rPr>
        <w:t xml:space="preserve">Em uma frase:</w:t>
      </w:r>
      <w:r>
        <w:t xml:space="preserve"> </w:t>
      </w:r>
      <w:r>
        <w:t xml:space="preserve">O markup do monopolista é maior quando os consumidores têm poucas alternativas — quanto mais</w:t>
      </w:r>
      <w:r>
        <w:t xml:space="preserve"> </w:t>
      </w:r>
      <w:r>
        <w:t xml:space="preserve">“preso”</w:t>
      </w:r>
      <w:r>
        <w:t xml:space="preserve"> </w:t>
      </w:r>
      <w:r>
        <w:t xml:space="preserve">o cliente, mais caro o produto.</w:t>
      </w:r>
    </w:p>
    <w:p>
      <w:pPr>
        <w:pStyle w:val="BlockText"/>
      </w:pPr>
      <w:r>
        <w:rPr>
          <w:b/>
          <w:bCs/>
        </w:rPr>
        <w:t xml:space="preserve">Pense assim:</w:t>
      </w:r>
      <w:r>
        <w:t xml:space="preserve"> </w:t>
      </w:r>
      <w:r>
        <w:t xml:space="preserve">Compare o preço de uma garrafa d’água no supermercado (R$ 2) com o preço no estádio de futebol (R$ 10). No estádio, você não pode sair para comprar em outro lugar — sua demanda é inelástica — e o vendedor explora isso cobrando um markup enorme. No supermercado, com dez marcas na prateleira, ninguém consegue cobrar muito acima do custo. O índice de Lerner mede exatamente esse</w:t>
      </w:r>
      <w:r>
        <w:t xml:space="preserve"> </w:t>
      </w:r>
      <w:r>
        <w:t xml:space="preserve">“poder de espremer”</w:t>
      </w:r>
      <w:r>
        <w:t xml:space="preserve"> </w:t>
      </w:r>
      <w:r>
        <w:t xml:space="preserve">o consumidor.</w:t>
      </w:r>
    </w:p>
    <w:p>
      <w:pPr>
        <w:pStyle w:val="BlockText"/>
      </w:pPr>
      <w:r>
        <w:rPr>
          <w:b/>
          <w:bCs/>
        </w:rPr>
        <w:t xml:space="preserve">Por que isso importa:</w:t>
      </w:r>
      <w:r>
        <w:t xml:space="preserve"> </w:t>
      </w:r>
      <w:r>
        <w:t xml:space="preserve">O</w:t>
      </w:r>
      <w:r>
        <w:t xml:space="preserve"> </w:t>
      </w:r>
      <w:hyperlink r:id="rId316">
        <w:r>
          <w:rPr>
            <w:rStyle w:val="Hyperlink"/>
          </w:rPr>
          <w:t xml:space="preserve">CADE</w:t>
        </w:r>
      </w:hyperlink>
      <w:r>
        <w:t xml:space="preserve"> </w:t>
      </w:r>
      <w:r>
        <w:t xml:space="preserve">usa medidas como o índice de Lerner para avaliar se fusões e aquisições criarão poder de mercado excessivo — como na análise da fusão que criou a Ambev.</w:t>
      </w:r>
    </w:p>
    <w:p>
      <w:pPr>
        <w:pStyle w:val="BlockText"/>
      </w:pPr>
      <w:r>
        <w:rPr>
          <w:b/>
          <w:bCs/>
        </w:rPr>
        <w:t xml:space="preserve">[ATENCAO] Erro Comum</w:t>
      </w:r>
    </w:p>
    <w:p>
      <w:pPr>
        <w:pStyle w:val="BlockText"/>
      </w:pPr>
      <w:r>
        <w:rPr>
          <w:b/>
          <w:bCs/>
        </w:rPr>
        <w:t xml:space="preserve">Achar que o monopolista pode operar na faixa inelástica da demanda.</w:t>
      </w:r>
    </w:p>
    <w:p>
      <w:pPr>
        <w:pStyle w:val="BlockText"/>
      </w:pPr>
      <w:r>
        <w:t xml:space="preserve">Um erro frequente é esquecer que o monopolista maximizador de lucro</w:t>
      </w:r>
      <w:r>
        <w:t xml:space="preserve"> </w:t>
      </w:r>
      <w:r>
        <w:rPr>
          <w:b/>
          <w:bCs/>
        </w:rPr>
        <w:t xml:space="preserve">nunca</w:t>
      </w:r>
      <w:r>
        <w:t xml:space="preserve"> </w:t>
      </w:r>
      <w:r>
        <w:t xml:space="preserve">produz na região onde</w:t>
      </w:r>
      <w:r>
        <w:t xml:space="preserve"> </w:t>
      </w:r>
      <m:oMath>
        <m:r>
          <m:rPr>
            <m:sty m:val="p"/>
          </m:rPr>
          <m:t>|</m:t>
        </m:r>
        <m:sSub>
          <m:e>
            <m:r>
              <m:t>ε</m:t>
            </m:r>
          </m:e>
          <m:sub>
            <m:r>
              <m:t>p</m:t>
            </m:r>
          </m:sub>
        </m:sSub>
        <m:r>
          <m:rPr>
            <m:sty m:val="p"/>
          </m:rPr>
          <m:t>|</m:t>
        </m:r>
        <m:r>
          <m:rPr>
            <m:sty m:val="p"/>
          </m:rPr>
          <m:t>&lt;</m:t>
        </m:r>
        <m:r>
          <m:t>1</m:t>
        </m:r>
      </m:oMath>
      <w:r>
        <w:t xml:space="preserve">. Na faixa inelástica, a receita marginal é negativa: ao reduzir a produção, a firma aumenta a receita</w:t>
      </w:r>
      <w:r>
        <w:t xml:space="preserve"> </w:t>
      </w:r>
      <w:r>
        <w:rPr>
          <w:i/>
          <w:iCs/>
        </w:rPr>
        <w:t xml:space="preserve">e</w:t>
      </w:r>
      <w:r>
        <w:t xml:space="preserve"> </w:t>
      </w:r>
      <w:r>
        <w:t xml:space="preserve">reduz o custo — logo, o lucro sobe. O monopolista sempre opera onde</w:t>
      </w:r>
      <w:r>
        <w:t xml:space="preserve"> </w:t>
      </w:r>
      <m:oMath>
        <m:r>
          <m:rPr>
            <m:sty m:val="p"/>
          </m:rPr>
          <m:t>|</m:t>
        </m:r>
        <m:sSub>
          <m:e>
            <m:r>
              <m:t>ε</m:t>
            </m:r>
          </m:e>
          <m:sub>
            <m:r>
              <m:t>p</m:t>
            </m:r>
          </m:sub>
        </m:sSub>
        <m:r>
          <m:rPr>
            <m:sty m:val="p"/>
          </m:rPr>
          <m:t>|</m:t>
        </m:r>
        <m:r>
          <m:rPr>
            <m:sty m:val="p"/>
          </m:rPr>
          <m:t>&gt;</m:t>
        </m:r>
        <m:r>
          <m:t>1</m:t>
        </m:r>
      </m:oMath>
      <w:r>
        <w:t xml:space="preserve">. Se uma questão de prova apresenta uma demanda com</w:t>
      </w:r>
      <w:r>
        <w:t xml:space="preserve"> </w:t>
      </w:r>
      <m:oMath>
        <m:r>
          <m:rPr>
            <m:sty m:val="p"/>
          </m:rPr>
          <m:t>|</m:t>
        </m:r>
        <m:sSub>
          <m:e>
            <m:r>
              <m:t>ε</m:t>
            </m:r>
          </m:e>
          <m:sub>
            <m:r>
              <m:t>p</m:t>
            </m:r>
          </m:sub>
        </m:sSub>
        <m:r>
          <m:rPr>
            <m:sty m:val="p"/>
          </m:rPr>
          <m:t>|</m:t>
        </m:r>
        <m:r>
          <m:rPr>
            <m:sty m:val="p"/>
          </m:rPr>
          <m:t>&lt;</m:t>
        </m:r>
        <m:r>
          <m:t>1</m:t>
        </m:r>
      </m:oMath>
      <w:r>
        <w:t xml:space="preserve"> </w:t>
      </w:r>
      <w:r>
        <w:t xml:space="preserve">no ponto calculado, revise o cálculo: algo está errado, ou trata-se de uma solução de canto.</w:t>
      </w:r>
    </w:p>
    <w:p>
      <w:pPr>
        <w:pStyle w:val="FirstParagraph"/>
      </w:pPr>
      <w:r>
        <w:t xml:space="preserve">O exercício a seguir aplica as ferramentas recém-desenvolvidas a um problema numérico completo, ilustrando cada etapa do cálculo do equilíbrio de monopólio.</w:t>
      </w:r>
    </w:p>
    <w:p>
      <w:pPr>
        <w:pStyle w:val="BlockText"/>
      </w:pPr>
      <w:r>
        <w:rPr>
          <w:b/>
          <w:bCs/>
        </w:rPr>
        <w:t xml:space="preserve">[EXERCICIO RESOLVIDO] Exercício Resolvido 15.1 — Monopólio com demanda linear: preço, lucro e PPM</w:t>
      </w:r>
    </w:p>
    <w:p>
      <w:pPr>
        <w:pStyle w:val="BlockText"/>
      </w:pPr>
      <w:r>
        <w:rPr>
          <w:b/>
          <w:bCs/>
        </w:rPr>
        <w:t xml:space="preserve">Enunciado.</w:t>
      </w:r>
      <w:r>
        <w:t xml:space="preserve"> </w:t>
      </w:r>
      <w:r>
        <w:t xml:space="preserve">Um monopolista enfrenta demanda</w:t>
      </w:r>
      <w:r>
        <w:t xml:space="preserve"> </w:t>
      </w:r>
      <m:oMath>
        <m:r>
          <m:t>p</m:t>
        </m:r>
        <m:r>
          <m:rPr>
            <m:sty m:val="p"/>
          </m:rPr>
          <m:t>=</m:t>
        </m:r>
        <m:r>
          <m:t>80</m:t>
        </m:r>
        <m:r>
          <m:rPr>
            <m:sty m:val="p"/>
          </m:rPr>
          <m:t>−</m:t>
        </m:r>
        <m:r>
          <m:t>2</m:t>
        </m:r>
        <m:r>
          <m:t>q</m:t>
        </m:r>
      </m:oMath>
      <w:r>
        <w:t xml:space="preserve"> </w:t>
      </w:r>
      <w:r>
        <w:t xml:space="preserve">e tem custo total</w:t>
      </w:r>
      <w:r>
        <w:t xml:space="preserve"> </w:t>
      </w:r>
      <m:oMath>
        <m:r>
          <m:t>C</m:t>
        </m:r>
        <m:r>
          <m:rPr>
            <m:sty m:val="p"/>
          </m:rPr>
          <m:t>(</m:t>
        </m:r>
        <m:r>
          <m:t>q</m:t>
        </m:r>
        <m:r>
          <m:rPr>
            <m:sty m:val="p"/>
          </m:rPr>
          <m:t>)</m:t>
        </m:r>
        <m:r>
          <m:rPr>
            <m:sty m:val="p"/>
          </m:rPr>
          <m:t>=</m:t>
        </m:r>
        <m:r>
          <m:t>200</m:t>
        </m:r>
        <m:r>
          <m:rPr>
            <m:sty m:val="p"/>
          </m:rPr>
          <m:t>+</m:t>
        </m:r>
        <m:r>
          <m:t>8</m:t>
        </m:r>
        <m:r>
          <m:t>q</m:t>
        </m:r>
      </m:oMath>
      <w:r>
        <w:t xml:space="preserve">. (a) Encontre preço, quantidade e lucro de monopólio. (b) Calcule o índice de Lerner. (c) Calcule a perda de peso morto e o excedente total. (d) Compare com o resultado competitivo.</w:t>
      </w:r>
    </w:p>
    <w:p>
      <w:r>
        <w:pict>
          <v:rect style="width:0;height:1.5pt" o:hralign="center" o:hrstd="t" o:hr="t"/>
        </w:pict>
      </w:r>
    </w:p>
    <w:p>
      <w:pPr>
        <w:pStyle w:val="BlockText"/>
      </w:pPr>
      <w:r>
        <w:rPr>
          <w:b/>
          <w:bCs/>
        </w:rPr>
        <w:t xml:space="preserve">(a)</w:t>
      </w:r>
      <w:r>
        <w:t xml:space="preserve"> </w:t>
      </w:r>
      <w:r>
        <w:t xml:space="preserve">A receita marginal é</w:t>
      </w:r>
      <w:r>
        <w:t xml:space="preserve"> </w:t>
      </w:r>
      <m:oMath>
        <m:r>
          <m:t>R</m:t>
        </m:r>
        <m:r>
          <m:t>M</m:t>
        </m:r>
        <m:r>
          <m:t>g</m:t>
        </m:r>
        <m:r>
          <m:rPr>
            <m:sty m:val="p"/>
          </m:rPr>
          <m:t>=</m:t>
        </m:r>
        <m:r>
          <m:t>80</m:t>
        </m:r>
        <m:r>
          <m:rPr>
            <m:sty m:val="p"/>
          </m:rPr>
          <m:t>−</m:t>
        </m:r>
        <m:r>
          <m:t>4</m:t>
        </m:r>
        <m:r>
          <m:t>q</m:t>
        </m:r>
      </m:oMath>
      <w:r>
        <w:t xml:space="preserve">. Igualando ao custo marginal</w:t>
      </w:r>
      <w:r>
        <w:t xml:space="preserve"> </w:t>
      </w:r>
      <m:oMath>
        <m:r>
          <m:t>C</m:t>
        </m:r>
        <m:r>
          <m:t>M</m:t>
        </m:r>
        <m:r>
          <m:t>g</m:t>
        </m:r>
        <m:r>
          <m:rPr>
            <m:sty m:val="p"/>
          </m:rPr>
          <m:t>=</m:t>
        </m:r>
        <m:r>
          <m:t>8</m:t>
        </m:r>
      </m:oMath>
      <w:r>
        <w:t xml:space="preserve">:</w:t>
      </w:r>
    </w:p>
    <w:p>
      <w:pPr>
        <w:pStyle w:val="BlockText"/>
      </w:pPr>
      <w:r>
        <w:t xml:space="preserve">$$</w:t>
      </w:r>
    </w:p>
    <w:p>
      <w:pPr>
        <w:pStyle w:val="BlockText"/>
      </w:pPr>
      <w:r>
        <w:t xml:space="preserve">80 - 4q = 8</w:t>
      </w:r>
      <w:r>
        <w:t xml:space="preserve"> </w:t>
      </w:r>
      <w:r>
        <w:t xml:space="preserve">q^m = 18,</w:t>
      </w:r>
      <w:r>
        <w:t xml:space="preserve"> </w:t>
      </w:r>
      <w:r>
        <w:t xml:space="preserve">p^m = 80 - 36 = 44</w:t>
      </w:r>
    </w:p>
    <w:p>
      <w:pPr>
        <w:pStyle w:val="BlockText"/>
      </w:pPr>
      <w:r>
        <w:t xml:space="preserve">$$</w:t>
      </w:r>
    </w:p>
    <w:p>
      <w:pPr>
        <w:pStyle w:val="BlockText"/>
      </w:pPr>
      <w:r>
        <w:t xml:space="preserve">Lucro:</w:t>
      </w:r>
      <w:r>
        <w:t xml:space="preserve"> </w:t>
      </w:r>
      <m:oMath>
        <m:r>
          <m:t>π</m:t>
        </m:r>
        <m:r>
          <m:rPr>
            <m:sty m:val="p"/>
          </m:rPr>
          <m:t>=</m:t>
        </m:r>
        <m:r>
          <m:t>44</m:t>
        </m:r>
        <m:r>
          <m:rPr>
            <m:sty m:val="p"/>
          </m:rPr>
          <m:t>×</m:t>
        </m:r>
        <m:r>
          <m:t>18</m:t>
        </m:r>
        <m:r>
          <m:rPr>
            <m:sty m:val="p"/>
          </m:rPr>
          <m:t>−</m:t>
        </m:r>
        <m:r>
          <m:rPr>
            <m:sty m:val="p"/>
          </m:rPr>
          <m:t>(</m:t>
        </m:r>
        <m:r>
          <m:t>200</m:t>
        </m:r>
        <m:r>
          <m:rPr>
            <m:sty m:val="p"/>
          </m:rPr>
          <m:t>+</m:t>
        </m:r>
        <m:r>
          <m:t>8</m:t>
        </m:r>
        <m:r>
          <m:rPr>
            <m:sty m:val="p"/>
          </m:rPr>
          <m:t>×</m:t>
        </m:r>
        <m:r>
          <m:t>18</m:t>
        </m:r>
        <m:r>
          <m:rPr>
            <m:sty m:val="p"/>
          </m:rPr>
          <m:t>)</m:t>
        </m:r>
        <m:r>
          <m:rPr>
            <m:sty m:val="p"/>
          </m:rPr>
          <m:t>=</m:t>
        </m:r>
        <m:r>
          <m:t>792</m:t>
        </m:r>
        <m:r>
          <m:rPr>
            <m:sty m:val="p"/>
          </m:rPr>
          <m:t>−</m:t>
        </m:r>
        <m:r>
          <m:t>344</m:t>
        </m:r>
        <m:r>
          <m:rPr>
            <m:sty m:val="p"/>
          </m:rPr>
          <m:t>=</m:t>
        </m:r>
        <m:r>
          <m:t>448</m:t>
        </m:r>
      </m:oMath>
      <w:r>
        <w:t xml:space="preserve">.</w:t>
      </w:r>
    </w:p>
    <w:p>
      <w:pPr>
        <w:pStyle w:val="BlockText"/>
      </w:pPr>
      <w:r>
        <w:rPr>
          <w:b/>
          <w:bCs/>
        </w:rPr>
        <w:t xml:space="preserve">(b)</w:t>
      </w:r>
      <w:r>
        <w:t xml:space="preserve"> </w:t>
      </w:r>
      <w:r>
        <w:t xml:space="preserve">Índice de Lerner:</w:t>
      </w:r>
      <w:r>
        <w:t xml:space="preserve"> </w:t>
      </w:r>
      <m:oMath>
        <m:r>
          <m:t>L</m:t>
        </m:r>
        <m:r>
          <m:rPr>
            <m:sty m:val="p"/>
          </m:rPr>
          <m:t>=</m:t>
        </m:r>
        <m:r>
          <m:rPr>
            <m:sty m:val="p"/>
          </m:rPr>
          <m:t>(</m:t>
        </m:r>
        <m:r>
          <m:t>p</m:t>
        </m:r>
        <m:r>
          <m:rPr>
            <m:sty m:val="p"/>
          </m:rPr>
          <m:t>−</m:t>
        </m:r>
        <m:r>
          <m:t>C</m:t>
        </m:r>
        <m:r>
          <m:t>M</m:t>
        </m:r>
        <m:r>
          <m:t>g</m:t>
        </m:r>
        <m:r>
          <m:rPr>
            <m:sty m:val="p"/>
          </m:rPr>
          <m:t>)</m:t>
        </m:r>
        <m:r>
          <m:rPr>
            <m:sty m:val="p"/>
          </m:rPr>
          <m:t>/</m:t>
        </m:r>
        <m:r>
          <m:t>p</m:t>
        </m:r>
        <m:r>
          <m:rPr>
            <m:sty m:val="p"/>
          </m:rPr>
          <m:t>=</m:t>
        </m:r>
        <m:r>
          <m:rPr>
            <m:sty m:val="p"/>
          </m:rPr>
          <m:t>(</m:t>
        </m:r>
        <m:r>
          <m:t>44</m:t>
        </m:r>
        <m:r>
          <m:rPr>
            <m:sty m:val="p"/>
          </m:rPr>
          <m:t>−</m:t>
        </m:r>
        <m:r>
          <m:t>8</m:t>
        </m:r>
        <m:r>
          <m:rPr>
            <m:sty m:val="p"/>
          </m:rPr>
          <m:t>)</m:t>
        </m:r>
        <m:r>
          <m:rPr>
            <m:sty m:val="p"/>
          </m:rPr>
          <m:t>/</m:t>
        </m:r>
        <m:r>
          <m:t>44</m:t>
        </m:r>
        <m:r>
          <m:rPr>
            <m:sty m:val="p"/>
          </m:rPr>
          <m:t>=</m:t>
        </m:r>
        <m:r>
          <m:t>36</m:t>
        </m:r>
        <m:r>
          <m:rPr>
            <m:sty m:val="p"/>
          </m:rPr>
          <m:t>/</m:t>
        </m:r>
        <m:r>
          <m:t>44</m:t>
        </m:r>
        <m:r>
          <m:rPr>
            <m:sty m:val="p"/>
          </m:rPr>
          <m:t>≈</m:t>
        </m:r>
        <m:r>
          <m:t>0</m:t>
        </m:r>
        <m:r>
          <m:rPr>
            <m:sty m:val="p"/>
          </m:rPr>
          <m:t>,</m:t>
        </m:r>
        <m:r>
          <m:t>818</m:t>
        </m:r>
      </m:oMath>
      <w:r>
        <w:t xml:space="preserve">.</w:t>
      </w:r>
    </w:p>
    <w:p>
      <w:pPr>
        <w:pStyle w:val="BlockText"/>
      </w:pPr>
      <w:r>
        <w:t xml:space="preserve">Verificação pela elasticidade: no ponto de monopólio,</w:t>
      </w:r>
      <w:r>
        <w:t xml:space="preserve"> </w:t>
      </w:r>
      <m:oMath>
        <m:sSub>
          <m:e>
            <m:r>
              <m:t>ε</m:t>
            </m:r>
          </m:e>
          <m:sub>
            <m:r>
              <m:t>p</m:t>
            </m:r>
          </m:sub>
        </m:sSub>
        <m:r>
          <m:rPr>
            <m:sty m:val="p"/>
          </m:rPr>
          <m:t>=</m:t>
        </m:r>
        <m:r>
          <m:rPr>
            <m:sty m:val="p"/>
          </m:rPr>
          <m:t>(</m:t>
        </m:r>
        <m:r>
          <m:t>d</m:t>
        </m:r>
        <m:r>
          <m:t>q</m:t>
        </m:r>
        <m:r>
          <m:rPr>
            <m:sty m:val="p"/>
          </m:rPr>
          <m:t>/</m:t>
        </m:r>
        <m:r>
          <m:t>d</m:t>
        </m:r>
        <m:r>
          <m:t>p</m:t>
        </m:r>
        <m:r>
          <m:rPr>
            <m:sty m:val="p"/>
          </m:rPr>
          <m:t>)</m:t>
        </m:r>
        <m:r>
          <m:rPr>
            <m:sty m:val="p"/>
          </m:rPr>
          <m:t>(</m:t>
        </m:r>
        <m:r>
          <m:t>p</m:t>
        </m:r>
        <m:r>
          <m:rPr>
            <m:sty m:val="p"/>
          </m:rPr>
          <m:t>/</m:t>
        </m:r>
        <m:r>
          <m:t>q</m:t>
        </m:r>
        <m:r>
          <m:rPr>
            <m:sty m:val="p"/>
          </m:rPr>
          <m:t>)</m:t>
        </m:r>
        <m:r>
          <m:rPr>
            <m:sty m:val="p"/>
          </m:rPr>
          <m:t>=</m:t>
        </m:r>
        <m:r>
          <m:rPr>
            <m:sty m:val="p"/>
          </m:rPr>
          <m:t>(</m:t>
        </m:r>
        <m:r>
          <m:rPr>
            <m:sty m:val="p"/>
          </m:rPr>
          <m:t>−</m:t>
        </m:r>
        <m:r>
          <m:t>1</m:t>
        </m:r>
        <m:r>
          <m:rPr>
            <m:sty m:val="p"/>
          </m:rPr>
          <m:t>/</m:t>
        </m:r>
        <m:r>
          <m:t>2</m:t>
        </m:r>
        <m:r>
          <m:rPr>
            <m:sty m:val="p"/>
          </m:rPr>
          <m:t>)</m:t>
        </m:r>
        <m:r>
          <m:rPr>
            <m:sty m:val="p"/>
          </m:rPr>
          <m:t>(</m:t>
        </m:r>
        <m:r>
          <m:t>44</m:t>
        </m:r>
        <m:r>
          <m:rPr>
            <m:sty m:val="p"/>
          </m:rPr>
          <m:t>/</m:t>
        </m:r>
        <m:r>
          <m:t>18</m:t>
        </m:r>
        <m:r>
          <m:rPr>
            <m:sty m:val="p"/>
          </m:rPr>
          <m:t>)</m:t>
        </m:r>
        <m:r>
          <m:rPr>
            <m:sty m:val="p"/>
          </m:rPr>
          <m:t>≈</m:t>
        </m:r>
        <m:r>
          <m:rPr>
            <m:sty m:val="p"/>
          </m:rPr>
          <m:t>−</m:t>
        </m:r>
        <m:r>
          <m:t>1</m:t>
        </m:r>
        <m:r>
          <m:rPr>
            <m:sty m:val="p"/>
          </m:rPr>
          <m:t>,</m:t>
        </m:r>
        <m:r>
          <m:t>222</m:t>
        </m:r>
      </m:oMath>
      <w:r>
        <w:t xml:space="preserve">. Logo</w:t>
      </w:r>
      <w:r>
        <w:t xml:space="preserve"> </w:t>
      </w:r>
      <m:oMath>
        <m:r>
          <m:t>L</m:t>
        </m:r>
        <m:r>
          <m:rPr>
            <m:sty m:val="p"/>
          </m:rPr>
          <m:t>=</m:t>
        </m:r>
        <m:r>
          <m:t>1</m:t>
        </m:r>
        <m:r>
          <m:rPr>
            <m:sty m:val="p"/>
          </m:rPr>
          <m:t>/</m:t>
        </m:r>
        <m:r>
          <m:rPr>
            <m:sty m:val="p"/>
          </m:rPr>
          <m:t>|</m:t>
        </m:r>
        <m:sSub>
          <m:e>
            <m:r>
              <m:t>ε</m:t>
            </m:r>
          </m:e>
          <m:sub>
            <m:r>
              <m:t>p</m:t>
            </m:r>
          </m:sub>
        </m:sSub>
        <m:r>
          <m:rPr>
            <m:sty m:val="p"/>
          </m:rPr>
          <m:t>|</m:t>
        </m:r>
        <m:r>
          <m:rPr>
            <m:sty m:val="p"/>
          </m:rPr>
          <m:t>=</m:t>
        </m:r>
        <m:r>
          <m:t>1</m:t>
        </m:r>
        <m:r>
          <m:rPr>
            <m:sty m:val="p"/>
          </m:rPr>
          <m:t>/</m:t>
        </m:r>
        <m:r>
          <m:t>1</m:t>
        </m:r>
        <m:r>
          <m:rPr>
            <m:sty m:val="p"/>
          </m:rPr>
          <m:t>,</m:t>
        </m:r>
        <m:r>
          <m:t>222</m:t>
        </m:r>
        <m:r>
          <m:rPr>
            <m:sty m:val="p"/>
          </m:rPr>
          <m:t>≈</m:t>
        </m:r>
        <m:r>
          <m:t>0</m:t>
        </m:r>
        <m:r>
          <m:rPr>
            <m:sty m:val="p"/>
          </m:rPr>
          <m:t>,</m:t>
        </m:r>
        <m:r>
          <m:t>818</m:t>
        </m:r>
      </m:oMath>
      <w:r>
        <w:t xml:space="preserve">. ✓</w:t>
      </w:r>
    </w:p>
    <w:p>
      <w:pPr>
        <w:pStyle w:val="BlockText"/>
      </w:pPr>
      <w:r>
        <w:rPr>
          <w:b/>
          <w:bCs/>
        </w:rPr>
        <w:t xml:space="preserve">(c)</w:t>
      </w:r>
      <w:r>
        <w:t xml:space="preserve"> </w:t>
      </w:r>
      <w:r>
        <w:t xml:space="preserve">Resultado competitivo:</w:t>
      </w:r>
      <w:r>
        <w:t xml:space="preserve"> </w:t>
      </w:r>
      <m:oMath>
        <m:sSup>
          <m:e>
            <m:r>
              <m:t>p</m:t>
            </m:r>
          </m:e>
          <m:sup>
            <m:r>
              <m:t>c</m:t>
            </m:r>
          </m:sup>
        </m:sSup>
        <m:r>
          <m:rPr>
            <m:sty m:val="p"/>
          </m:rPr>
          <m:t>=</m:t>
        </m:r>
        <m:r>
          <m:t>C</m:t>
        </m:r>
        <m:r>
          <m:t>M</m:t>
        </m:r>
        <m:r>
          <m:t>g</m:t>
        </m:r>
        <m:r>
          <m:rPr>
            <m:sty m:val="p"/>
          </m:rPr>
          <m:t>=</m:t>
        </m:r>
        <m:r>
          <m:t>8</m:t>
        </m:r>
      </m:oMath>
      <w:r>
        <w:t xml:space="preserve">,</w:t>
      </w:r>
      <w:r>
        <w:t xml:space="preserve"> </w:t>
      </w:r>
      <m:oMath>
        <m:sSup>
          <m:e>
            <m:r>
              <m:t>q</m:t>
            </m:r>
          </m:e>
          <m:sup>
            <m:r>
              <m:t>c</m:t>
            </m:r>
          </m:sup>
        </m:sSup>
        <m:r>
          <m:rPr>
            <m:sty m:val="p"/>
          </m:rPr>
          <m:t>=</m:t>
        </m:r>
        <m:r>
          <m:rPr>
            <m:sty m:val="p"/>
          </m:rPr>
          <m:t>(</m:t>
        </m:r>
        <m:r>
          <m:t>80</m:t>
        </m:r>
        <m:r>
          <m:rPr>
            <m:sty m:val="p"/>
          </m:rPr>
          <m:t>−</m:t>
        </m:r>
        <m:r>
          <m:t>8</m:t>
        </m:r>
        <m:r>
          <m:rPr>
            <m:sty m:val="p"/>
          </m:rPr>
          <m:t>)</m:t>
        </m:r>
        <m:r>
          <m:rPr>
            <m:sty m:val="p"/>
          </m:rPr>
          <m:t>/</m:t>
        </m:r>
        <m:r>
          <m:t>2</m:t>
        </m:r>
        <m:r>
          <m:rPr>
            <m:sty m:val="p"/>
          </m:rPr>
          <m:t>=</m:t>
        </m:r>
        <m:r>
          <m:t>36</m:t>
        </m:r>
      </m:oMath>
      <w:r>
        <w:t xml:space="preserve">.</w:t>
      </w:r>
    </w:p>
    <w:p>
      <w:pPr>
        <w:pStyle w:val="BlockText"/>
      </w:pPr>
      <w:r>
        <w:t xml:space="preserve">$$</w:t>
      </w:r>
    </w:p>
    <w:p>
      <w:pPr>
        <w:pStyle w:val="BlockText"/>
      </w:pPr>
      <w:r>
        <w:t xml:space="preserve">PPM =</w:t>
      </w:r>
      <w:r>
        <w:t xml:space="preserve"> </w:t>
      </w:r>
      <w:r>
        <w:t xml:space="preserve">(p^m - CMg)(q^c - q^m) =</w:t>
      </w:r>
      <w:r>
        <w:t xml:space="preserve"> </w:t>
      </w:r>
      <w:r>
        <w:t xml:space="preserve">(44 - 8)(36 - 18) =</w:t>
      </w:r>
      <w:r>
        <w:t xml:space="preserve"> </w:t>
      </w:r>
      <w:r>
        <w:t xml:space="preserve"> </w:t>
      </w:r>
      <w:r>
        <w:t xml:space="preserve"> </w:t>
      </w:r>
      <w:r>
        <w:t xml:space="preserve"> </w:t>
      </w:r>
      <w:r>
        <w:t xml:space="preserve">= 324</w:t>
      </w:r>
    </w:p>
    <w:p>
      <w:pPr>
        <w:pStyle w:val="BlockText"/>
      </w:pPr>
      <w:r>
        <w:t xml:space="preserve">$$</w:t>
      </w:r>
    </w:p>
    <w:p>
      <w:pPr>
        <w:pStyle w:val="BlockText"/>
      </w:pPr>
      <w:r>
        <w:t xml:space="preserve">Excedente total sob monopólio:</w:t>
      </w:r>
      <w:r>
        <w:t xml:space="preserve"> </w:t>
      </w:r>
      <m:oMath>
        <m:sSup>
          <m:e>
            <m:r>
              <m:t>W</m:t>
            </m:r>
          </m:e>
          <m:sup>
            <m:r>
              <m:t>m</m:t>
            </m:r>
          </m:sup>
        </m:sSup>
        <m:r>
          <m:rPr>
            <m:sty m:val="p"/>
          </m:rPr>
          <m:t>=</m:t>
        </m:r>
        <m:r>
          <m:t>E</m:t>
        </m:r>
        <m:sSup>
          <m:e>
            <m:r>
              <m:t>C</m:t>
            </m:r>
          </m:e>
          <m:sup>
            <m:r>
              <m:t>m</m:t>
            </m:r>
          </m:sup>
        </m:sSup>
        <m:r>
          <m:rPr>
            <m:sty m:val="p"/>
          </m:rPr>
          <m:t>+</m:t>
        </m:r>
        <m:r>
          <m:t>E</m:t>
        </m:r>
        <m:sSup>
          <m:e>
            <m:r>
              <m:t>P</m:t>
            </m:r>
          </m:e>
          <m:sup>
            <m:r>
              <m:t>m</m:t>
            </m:r>
          </m:sup>
        </m:sSup>
      </m:oMath>
      <w:r>
        <w:t xml:space="preserve">.</w:t>
      </w:r>
    </w:p>
    <w:p>
      <w:pPr>
        <w:pStyle w:val="BlockText"/>
      </w:pPr>
      <m:oMath>
        <m:r>
          <m:t>E</m:t>
        </m:r>
        <m:sSup>
          <m:e>
            <m:r>
              <m:t>C</m:t>
            </m:r>
          </m:e>
          <m:sup>
            <m:r>
              <m:t>m</m:t>
            </m:r>
          </m:sup>
        </m:sSup>
        <m:r>
          <m:rPr>
            <m:sty m:val="p"/>
          </m:rPr>
          <m:t>=</m:t>
        </m:r>
        <m:f>
          <m:fPr>
            <m:type m:val="bar"/>
          </m:fPr>
          <m:num>
            <m:r>
              <m:t>1</m:t>
            </m:r>
          </m:num>
          <m:den>
            <m:r>
              <m:t>2</m:t>
            </m:r>
          </m:den>
        </m:f>
        <m:r>
          <m:rPr>
            <m:sty m:val="p"/>
          </m:rPr>
          <m:t>(</m:t>
        </m:r>
        <m:r>
          <m:t>80</m:t>
        </m:r>
        <m:r>
          <m:rPr>
            <m:sty m:val="p"/>
          </m:rPr>
          <m:t>−</m:t>
        </m:r>
        <m:r>
          <m:t>44</m:t>
        </m:r>
        <m:r>
          <m:rPr>
            <m:sty m:val="p"/>
          </m:rPr>
          <m:t>)</m:t>
        </m:r>
        <m:r>
          <m:rPr>
            <m:sty m:val="p"/>
          </m:rPr>
          <m:t>(</m:t>
        </m:r>
        <m:r>
          <m:t>18</m:t>
        </m:r>
        <m:r>
          <m:rPr>
            <m:sty m:val="p"/>
          </m:rPr>
          <m:t>)</m:t>
        </m:r>
        <m:r>
          <m:rPr>
            <m:sty m:val="p"/>
          </m:rPr>
          <m:t>=</m:t>
        </m:r>
        <m:f>
          <m:fPr>
            <m:type m:val="bar"/>
          </m:fPr>
          <m:num>
            <m:r>
              <m:t>1</m:t>
            </m:r>
          </m:num>
          <m:den>
            <m:r>
              <m:t>2</m:t>
            </m:r>
          </m:den>
        </m:f>
        <m:r>
          <m:rPr>
            <m:sty m:val="p"/>
          </m:rPr>
          <m:t>×</m:t>
        </m:r>
        <m:r>
          <m:t>36</m:t>
        </m:r>
        <m:r>
          <m:rPr>
            <m:sty m:val="p"/>
          </m:rPr>
          <m:t>×</m:t>
        </m:r>
        <m:r>
          <m:t>18</m:t>
        </m:r>
        <m:r>
          <m:rPr>
            <m:sty m:val="p"/>
          </m:rPr>
          <m:t>=</m:t>
        </m:r>
        <m:r>
          <m:t>324</m:t>
        </m:r>
      </m:oMath>
      <w:r>
        <w:t xml:space="preserve">.</w:t>
      </w:r>
    </w:p>
    <w:p>
      <w:pPr>
        <w:pStyle w:val="BlockText"/>
      </w:pPr>
      <w:r>
        <w:t xml:space="preserve">O excedente do produtor é a área acima do CMg:</w:t>
      </w:r>
      <w:r>
        <w:t xml:space="preserve"> </w:t>
      </w:r>
      <m:oMath>
        <m:r>
          <m:t>E</m:t>
        </m:r>
        <m:sSup>
          <m:e>
            <m:r>
              <m:t>P</m:t>
            </m:r>
          </m:e>
          <m:sup>
            <m:r>
              <m:t>m</m:t>
            </m:r>
          </m:sup>
        </m:sSup>
        <m:r>
          <m:rPr>
            <m:sty m:val="p"/>
          </m:rPr>
          <m:t>=</m:t>
        </m:r>
        <m:r>
          <m:rPr>
            <m:sty m:val="p"/>
          </m:rPr>
          <m:t>(</m:t>
        </m:r>
        <m:sSup>
          <m:e>
            <m:r>
              <m:t>p</m:t>
            </m:r>
          </m:e>
          <m:sup>
            <m:r>
              <m:t>m</m:t>
            </m:r>
          </m:sup>
        </m:sSup>
        <m:r>
          <m:rPr>
            <m:sty m:val="p"/>
          </m:rPr>
          <m:t>−</m:t>
        </m:r>
        <m:r>
          <m:t>C</m:t>
        </m:r>
        <m:r>
          <m:t>M</m:t>
        </m:r>
        <m:r>
          <m:t>g</m:t>
        </m:r>
        <m:r>
          <m:rPr>
            <m:sty m:val="p"/>
          </m:rPr>
          <m:t>)</m:t>
        </m:r>
        <m:r>
          <m:rPr>
            <m:sty m:val="p"/>
          </m:rPr>
          <m:t>×</m:t>
        </m:r>
        <m:sSup>
          <m:e>
            <m:r>
              <m:t>q</m:t>
            </m:r>
          </m:e>
          <m:sup>
            <m:r>
              <m:t>m</m:t>
            </m:r>
          </m:sup>
        </m:sSup>
        <m:r>
          <m:rPr>
            <m:sty m:val="p"/>
          </m:rPr>
          <m:t>=</m:t>
        </m:r>
        <m:r>
          <m:rPr>
            <m:sty m:val="p"/>
          </m:rPr>
          <m:t>(</m:t>
        </m:r>
        <m:r>
          <m:t>44</m:t>
        </m:r>
        <m:r>
          <m:rPr>
            <m:sty m:val="p"/>
          </m:rPr>
          <m:t>−</m:t>
        </m:r>
        <m:r>
          <m:t>8</m:t>
        </m:r>
        <m:r>
          <m:rPr>
            <m:sty m:val="p"/>
          </m:rPr>
          <m:t>)</m:t>
        </m:r>
        <m:r>
          <m:rPr>
            <m:sty m:val="p"/>
          </m:rPr>
          <m:t>(</m:t>
        </m:r>
        <m:r>
          <m:t>18</m:t>
        </m:r>
        <m:r>
          <m:rPr>
            <m:sty m:val="p"/>
          </m:rPr>
          <m:t>)</m:t>
        </m:r>
        <m:r>
          <m:rPr>
            <m:sty m:val="p"/>
          </m:rPr>
          <m:t>=</m:t>
        </m:r>
        <m:r>
          <m:t>648</m:t>
        </m:r>
      </m:oMath>
      <w:r>
        <w:t xml:space="preserve">.</w:t>
      </w:r>
    </w:p>
    <w:p>
      <w:pPr>
        <w:pStyle w:val="BlockText"/>
      </w:pPr>
      <m:oMath>
        <m:sSup>
          <m:e>
            <m:r>
              <m:t>W</m:t>
            </m:r>
          </m:e>
          <m:sup>
            <m:r>
              <m:t>m</m:t>
            </m:r>
          </m:sup>
        </m:sSup>
        <m:r>
          <m:rPr>
            <m:sty m:val="p"/>
          </m:rPr>
          <m:t>=</m:t>
        </m:r>
        <m:r>
          <m:t>324</m:t>
        </m:r>
        <m:r>
          <m:rPr>
            <m:sty m:val="p"/>
          </m:rPr>
          <m:t>+</m:t>
        </m:r>
        <m:r>
          <m:t>648</m:t>
        </m:r>
        <m:r>
          <m:rPr>
            <m:sty m:val="p"/>
          </m:rPr>
          <m:t>=</m:t>
        </m:r>
        <m:r>
          <m:t>972</m:t>
        </m:r>
      </m:oMath>
      <w:r>
        <w:t xml:space="preserve">.</w:t>
      </w:r>
    </w:p>
    <w:p>
      <w:pPr>
        <w:pStyle w:val="BlockText"/>
      </w:pPr>
      <w:r>
        <w:rPr>
          <w:b/>
          <w:bCs/>
        </w:rPr>
        <w:t xml:space="preserve">(d)</w:t>
      </w:r>
      <w:r>
        <w:t xml:space="preserve"> </w:t>
      </w:r>
      <w:r>
        <w:t xml:space="preserve">Sob concorrência perfeita:</w:t>
      </w:r>
      <w:r>
        <w:t xml:space="preserve"> </w:t>
      </w:r>
      <m:oMath>
        <m:r>
          <m:t>E</m:t>
        </m:r>
        <m:sSup>
          <m:e>
            <m:r>
              <m:t>C</m:t>
            </m:r>
          </m:e>
          <m:sup>
            <m:r>
              <m:t>c</m:t>
            </m:r>
          </m:sup>
        </m:sSup>
        <m:r>
          <m:rPr>
            <m:sty m:val="p"/>
          </m:rPr>
          <m:t>=</m:t>
        </m:r>
        <m:f>
          <m:fPr>
            <m:type m:val="bar"/>
          </m:fPr>
          <m:num>
            <m:r>
              <m:t>1</m:t>
            </m:r>
          </m:num>
          <m:den>
            <m:r>
              <m:t>2</m:t>
            </m:r>
          </m:den>
        </m:f>
        <m:r>
          <m:rPr>
            <m:sty m:val="p"/>
          </m:rPr>
          <m:t>(</m:t>
        </m:r>
        <m:r>
          <m:t>80</m:t>
        </m:r>
        <m:r>
          <m:rPr>
            <m:sty m:val="p"/>
          </m:rPr>
          <m:t>−</m:t>
        </m:r>
        <m:r>
          <m:t>8</m:t>
        </m:r>
        <m:r>
          <m:rPr>
            <m:sty m:val="p"/>
          </m:rPr>
          <m:t>)</m:t>
        </m:r>
        <m:r>
          <m:rPr>
            <m:sty m:val="p"/>
          </m:rPr>
          <m:t>(</m:t>
        </m:r>
        <m:r>
          <m:t>36</m:t>
        </m:r>
        <m:r>
          <m:rPr>
            <m:sty m:val="p"/>
          </m:rPr>
          <m:t>)</m:t>
        </m:r>
        <m:r>
          <m:rPr>
            <m:sty m:val="p"/>
          </m:rPr>
          <m:t>=</m:t>
        </m:r>
        <m:r>
          <m:t>1.296</m:t>
        </m:r>
      </m:oMath>
      <w:r>
        <w:t xml:space="preserve">,</w:t>
      </w:r>
      <w:r>
        <w:t xml:space="preserve"> </w:t>
      </w:r>
      <m:oMath>
        <m:r>
          <m:t>E</m:t>
        </m:r>
        <m:sSup>
          <m:e>
            <m:r>
              <m:t>P</m:t>
            </m:r>
          </m:e>
          <m:sup>
            <m:r>
              <m:t>c</m:t>
            </m:r>
          </m:sup>
        </m:sSup>
        <m:r>
          <m:rPr>
            <m:sty m:val="p"/>
          </m:rPr>
          <m:t>=</m:t>
        </m:r>
        <m:r>
          <m:t>0</m:t>
        </m:r>
      </m:oMath>
      <w:r>
        <w:t xml:space="preserve"> </w:t>
      </w:r>
      <w:r>
        <w:t xml:space="preserve">(com CMg constante).</w:t>
      </w:r>
      <w:r>
        <w:t xml:space="preserve"> </w:t>
      </w:r>
      <m:oMath>
        <m:sSup>
          <m:e>
            <m:r>
              <m:t>W</m:t>
            </m:r>
          </m:e>
          <m:sup>
            <m:r>
              <m:t>c</m:t>
            </m:r>
          </m:sup>
        </m:sSup>
        <m:r>
          <m:rPr>
            <m:sty m:val="p"/>
          </m:rPr>
          <m:t>=</m:t>
        </m:r>
        <m:r>
          <m:t>1.296</m:t>
        </m:r>
      </m:oMath>
      <w:r>
        <w:t xml:space="preserve">.</w:t>
      </w:r>
    </w:p>
    <w:p>
      <w:pPr>
        <w:pStyle w:val="BlockText"/>
      </w:pPr>
      <m:oMath>
        <m:r>
          <m:t>P</m:t>
        </m:r>
        <m:r>
          <m:t>P</m:t>
        </m:r>
        <m:r>
          <m:t>M</m:t>
        </m:r>
        <m:r>
          <m:rPr>
            <m:sty m:val="p"/>
          </m:rPr>
          <m:t>=</m:t>
        </m:r>
        <m:sSup>
          <m:e>
            <m:r>
              <m:t>W</m:t>
            </m:r>
          </m:e>
          <m:sup>
            <m:r>
              <m:t>c</m:t>
            </m:r>
          </m:sup>
        </m:sSup>
        <m:r>
          <m:rPr>
            <m:sty m:val="p"/>
          </m:rPr>
          <m:t>−</m:t>
        </m:r>
        <m:sSup>
          <m:e>
            <m:r>
              <m:t>W</m:t>
            </m:r>
          </m:e>
          <m:sup>
            <m:r>
              <m:t>m</m:t>
            </m:r>
          </m:sup>
        </m:sSup>
        <m:r>
          <m:rPr>
            <m:sty m:val="p"/>
          </m:rPr>
          <m:t>=</m:t>
        </m:r>
        <m:r>
          <m:t>1.296</m:t>
        </m:r>
        <m:r>
          <m:rPr>
            <m:sty m:val="p"/>
          </m:rPr>
          <m:t>−</m:t>
        </m:r>
        <m:r>
          <m:t>972</m:t>
        </m:r>
        <m:r>
          <m:rPr>
            <m:sty m:val="p"/>
          </m:rPr>
          <m:t>=</m:t>
        </m:r>
        <m:r>
          <m:t>324</m:t>
        </m:r>
      </m:oMath>
      <w:r>
        <w:t xml:space="preserve">. ✓</w:t>
      </w:r>
    </w:p>
    <w:p>
      <w:pPr>
        <w:pStyle w:val="BlockText"/>
      </w:pPr>
      <w:r>
        <w:rPr>
          <w:b/>
          <w:bCs/>
        </w:rPr>
        <w:t xml:space="preserve">Interpretação:</w:t>
      </w:r>
      <w:r>
        <w:t xml:space="preserve"> </w:t>
      </w:r>
      <w:r>
        <w:t xml:space="preserve">O monopolista captura R$ 648 de excedente, mas destrói R$ 324 de bem-estar social que ninguém captura — o triângulo de Harberger.</w:t>
      </w:r>
    </w:p>
    <w:p>
      <w:pPr>
        <w:pStyle w:val="FirstParagraph"/>
      </w:pPr>
      <w:r>
        <w:t xml:space="preserve">[FIGURA INTERATIVA: /micro-book/graficos/cap15/webr-monopolio-basico.html — versao interativa disponivel online]</w:t>
      </w:r>
    </w:p>
    <w:p>
      <w:pPr>
        <w:pStyle w:val="BodyText"/>
      </w:pPr>
      <w:r>
        <w:rPr>
          <w:b/>
          <w:bCs/>
        </w:rPr>
        <w:t xml:space="preserve">WebR 15.1 — Monopólio de ponta a ponta: do cálculo ao gráfico.</w:t>
      </w:r>
      <w:r>
        <w:t xml:space="preserve"> </w:t>
      </w:r>
      <w:r>
        <w:t xml:space="preserve">O código resolve o ER 15.1 completo em R: calcula preço, quantidade, lucro, índice de Lerner, excedentes e perda de peso morto, comparando monopólio com concorrência perfeita. Altere os parâmetros</w:t>
      </w:r>
      <w:r>
        <w:t xml:space="preserve"> </w:t>
      </w:r>
      <w:r>
        <w:rPr>
          <w:rStyle w:val="VerbatimChar"/>
        </w:rPr>
        <w:t xml:space="preserve">a</w:t>
      </w:r>
      <w:r>
        <w:t xml:space="preserve">,</w:t>
      </w:r>
      <w:r>
        <w:t xml:space="preserve"> </w:t>
      </w:r>
      <w:r>
        <w:rPr>
          <w:rStyle w:val="VerbatimChar"/>
        </w:rPr>
        <w:t xml:space="preserve">b</w:t>
      </w:r>
      <w:r>
        <w:t xml:space="preserve"> </w:t>
      </w:r>
      <w:r>
        <w:t xml:space="preserve">e</w:t>
      </w:r>
      <w:r>
        <w:t xml:space="preserve"> </w:t>
      </w:r>
      <w:r>
        <w:rPr>
          <w:rStyle w:val="VerbatimChar"/>
        </w:rPr>
        <w:t xml:space="preserve">c</w:t>
      </w:r>
      <w:r>
        <w:t xml:space="preserve"> </w:t>
      </w:r>
      <w:r>
        <w:t xml:space="preserve">e observe como o triângulo de Harberger se expande ou encolhe.</w:t>
      </w:r>
    </w:p>
    <w:bookmarkEnd w:id="922"/>
    <w:bookmarkEnd w:id="923"/>
    <w:bookmarkEnd w:id="924"/>
    <w:bookmarkStart w:id="932" w:name="X2a015347b51e8ca088a019cf3c04b8341e02d96"/>
    <w:p>
      <w:pPr>
        <w:pStyle w:val="Heading2"/>
      </w:pPr>
      <w:r>
        <w:t xml:space="preserve">15.3–15.5 Índice de Lerner, Ineficiência e Estática Comparativa</w:t>
      </w:r>
    </w:p>
    <w:bookmarkStart w:id="925" w:name="X6f16ab483da9847d431a822e6c85e144dc54f30"/>
    <w:p>
      <w:pPr>
        <w:pStyle w:val="Heading3"/>
      </w:pPr>
      <w:r>
        <w:t xml:space="preserve">15.3 A Régua do Poder: Demonstração do Índice de Lerner</w:t>
      </w:r>
    </w:p>
    <w:p>
      <w:pPr>
        <w:pStyle w:val="FirstParagraph"/>
      </w:pPr>
      <w:r>
        <w:t xml:space="preserve">A derivação formal a seguir explicita a conexão algébrica entre o poder de mercado do monopolista — medido pelo índice de Lerner — e a elasticidade-preço da demanda que ele enfrenta. Embora o resultado já tenha sido antecipado na seção anterior, a demonstração rigorosa é instrutiva porque revela a estrutura lógica subjacente e prepara o terreno para generalizações em contextos de oligopólio (Capítulos 16a–16b), onde o índice de Lerner de cada firma dependerá não apenas da elasticidade de mercado, mas também de sua participação de mercado e do grau de colusão.</w:t>
      </w:r>
    </w:p>
    <w:p>
      <w:pPr>
        <w:pStyle w:val="BlockText"/>
      </w:pPr>
      <w:r>
        <w:rPr>
          <w:b/>
          <w:bCs/>
        </w:rPr>
        <w:t xml:space="preserve">[DEMONSTRACAO] Demonstração</w:t>
      </w:r>
    </w:p>
    <w:p>
      <w:pPr>
        <w:pStyle w:val="BlockText"/>
      </w:pPr>
      <w:r>
        <w:t xml:space="preserve">Seja</w:t>
      </w:r>
      <w:r>
        <w:t xml:space="preserve"> </w:t>
      </w:r>
      <m:oMath>
        <m:r>
          <m:t>p</m:t>
        </m:r>
        <m:r>
          <m:rPr>
            <m:sty m:val="p"/>
          </m:rPr>
          <m:t>(</m:t>
        </m:r>
        <m:r>
          <m:t>q</m:t>
        </m:r>
        <m:r>
          <m:rPr>
            <m:sty m:val="p"/>
          </m:rPr>
          <m:t>)</m:t>
        </m:r>
      </m:oMath>
      <w:r>
        <w:t xml:space="preserve"> </w:t>
      </w:r>
      <w:r>
        <w:t xml:space="preserve">a demanda inversa do mercado e</w:t>
      </w:r>
      <w:r>
        <w:t xml:space="preserve"> </w:t>
      </w:r>
      <m:oMath>
        <m:r>
          <m:t>C</m:t>
        </m:r>
        <m:r>
          <m:rPr>
            <m:sty m:val="p"/>
          </m:rPr>
          <m:t>(</m:t>
        </m:r>
        <m:r>
          <m:t>q</m:t>
        </m:r>
        <m:r>
          <m:rPr>
            <m:sty m:val="p"/>
          </m:rPr>
          <m:t>)</m:t>
        </m:r>
      </m:oMath>
      <w:r>
        <w:t xml:space="preserve"> </w:t>
      </w:r>
      <w:r>
        <w:t xml:space="preserve">a função de custo do monopolista. O problema de maximização de lucro é:</w:t>
      </w:r>
    </w:p>
    <w:p>
      <w:pPr>
        <w:pStyle w:val="BlockText"/>
      </w:pPr>
      <w:r>
        <w:t xml:space="preserve">$$</w:t>
      </w:r>
    </w:p>
    <w:p>
      <w:pPr>
        <w:pStyle w:val="BlockText"/>
      </w:pPr>
      <w:r>
        <w:t xml:space="preserve">_q ;</w:t>
      </w:r>
      <w:r>
        <w:t xml:space="preserve"> </w:t>
      </w:r>
      <w:r>
        <w:t xml:space="preserve">(q) = p(q)</w:t>
      </w:r>
      <w:r>
        <w:t xml:space="preserve"> </w:t>
      </w:r>
      <w:r>
        <w:t xml:space="preserve">q - C(q)</w:t>
      </w:r>
    </w:p>
    <w:p>
      <w:pPr>
        <w:pStyle w:val="BlockText"/>
      </w:pPr>
      <w:r>
        <w:t xml:space="preserve">$$</w:t>
      </w:r>
    </w:p>
    <w:p>
      <w:pPr>
        <w:pStyle w:val="BlockText"/>
      </w:pPr>
      <w:r>
        <w:t xml:space="preserve">A condição de primeira ordem é:</w:t>
      </w:r>
    </w:p>
    <w:p>
      <w:pPr>
        <w:pStyle w:val="BlockText"/>
      </w:pPr>
      <w:r>
        <w:t xml:space="preserve">$$</w:t>
      </w:r>
    </w:p>
    <w:p>
      <w:pPr>
        <w:pStyle w:val="BlockText"/>
      </w:pPr>
      <w:r>
        <w:t xml:space="preserve"> </w:t>
      </w:r>
      <w:r>
        <w:t xml:space="preserve">= p(q) + q</w:t>
      </w:r>
      <w:r>
        <w:t xml:space="preserve"> </w:t>
      </w:r>
      <w:r>
        <w:t xml:space="preserve">p’(q) - C’(q) = 0</w:t>
      </w:r>
    </w:p>
    <w:p>
      <w:pPr>
        <w:pStyle w:val="BlockText"/>
      </w:pPr>
      <w:r>
        <w:t xml:space="preserve">$$</w:t>
      </w:r>
    </w:p>
    <w:p>
      <w:pPr>
        <w:pStyle w:val="BlockText"/>
      </w:pPr>
      <w:r>
        <w:t xml:space="preserve">Reescrevendo:</w:t>
      </w:r>
    </w:p>
    <w:p>
      <w:pPr>
        <w:pStyle w:val="BlockText"/>
      </w:pPr>
      <w:r>
        <w:t xml:space="preserve">$$</w:t>
      </w:r>
    </w:p>
    <w:p>
      <w:pPr>
        <w:pStyle w:val="BlockText"/>
      </w:pPr>
      <w:r>
        <w:t xml:space="preserve">p + q</w:t>
      </w:r>
      <w:r>
        <w:t xml:space="preserve"> </w:t>
      </w:r>
      <w:r>
        <w:t xml:space="preserve">p’(q) = CMg</w:t>
      </w:r>
    </w:p>
    <w:p>
      <w:pPr>
        <w:pStyle w:val="BlockText"/>
      </w:pPr>
      <w:r>
        <w:t xml:space="preserve">$$</w:t>
      </w:r>
    </w:p>
    <w:p>
      <w:pPr>
        <w:pStyle w:val="BlockText"/>
      </w:pPr>
      <w:r>
        <w:t xml:space="preserve">Multiplicamos e dividimos o segundo termo por</w:t>
      </w:r>
      <w:r>
        <w:t xml:space="preserve"> </w:t>
      </w:r>
      <m:oMath>
        <m:r>
          <m:t>p</m:t>
        </m:r>
      </m:oMath>
      <w:r>
        <w:t xml:space="preserve">:</w:t>
      </w:r>
    </w:p>
    <w:p>
      <w:pPr>
        <w:pStyle w:val="BlockText"/>
      </w:pPr>
      <w:r>
        <w:t xml:space="preserve">$$</w:t>
      </w:r>
    </w:p>
    <w:p>
      <w:pPr>
        <w:pStyle w:val="BlockText"/>
      </w:pPr>
      <w:r>
        <w:t xml:space="preserve">p + p</w:t>
      </w:r>
      <w:r>
        <w:t xml:space="preserve"> </w:t>
      </w:r>
      <w:r>
        <w:t xml:space="preserve"> </w:t>
      </w:r>
      <w:r>
        <w:t xml:space="preserve">= CMg</w:t>
      </w:r>
    </w:p>
    <w:p>
      <w:pPr>
        <w:pStyle w:val="BlockText"/>
      </w:pPr>
      <w:r>
        <w:t xml:space="preserve">$$</w:t>
      </w:r>
    </w:p>
    <w:p>
      <w:pPr>
        <w:pStyle w:val="BlockText"/>
      </w:pPr>
      <w:r>
        <w:t xml:space="preserve">Observe que a elasticidade-preço da demanda é definida como:</w:t>
      </w:r>
    </w:p>
    <w:p>
      <w:pPr>
        <w:pStyle w:val="BlockText"/>
      </w:pPr>
      <w:r>
        <w:t xml:space="preserve">$$</w:t>
      </w:r>
    </w:p>
    <w:p>
      <w:pPr>
        <w:pStyle w:val="BlockText"/>
      </w:pPr>
      <w:r>
        <w:t xml:space="preserve">_p =</w:t>
      </w:r>
      <w:r>
        <w:t xml:space="preserve"> </w:t>
      </w:r>
      <w:r>
        <w:t xml:space="preserve"> </w:t>
      </w:r>
    </w:p>
    <w:p>
      <w:pPr>
        <w:pStyle w:val="BlockText"/>
      </w:pPr>
      <w:r>
        <w:t xml:space="preserve">$$</w:t>
      </w:r>
    </w:p>
    <w:p>
      <w:pPr>
        <w:pStyle w:val="BlockText"/>
      </w:pPr>
      <w:r>
        <w:t xml:space="preserve">Portanto:</w:t>
      </w:r>
    </w:p>
    <w:p>
      <w:pPr>
        <w:pStyle w:val="BlockText"/>
      </w:pPr>
      <w:r>
        <w:t xml:space="preserve">$$</w:t>
      </w:r>
    </w:p>
    <w:p>
      <w:pPr>
        <w:pStyle w:val="BlockText"/>
      </w:pPr>
      <w:r>
        <w:t xml:space="preserve"> </w:t>
      </w:r>
      <w:r>
        <w:t xml:space="preserve">=</w:t>
      </w:r>
      <w:r>
        <w:t xml:space="preserve"> </w:t>
      </w:r>
      <w:r>
        <w:t xml:space="preserve"> </w:t>
      </w:r>
      <w:r>
        <w:t xml:space="preserve"> </w:t>
      </w:r>
      <w:r>
        <w:t xml:space="preserve">=</w:t>
      </w:r>
      <w:r>
        <w:t xml:space="preserve"> </w:t>
      </w:r>
    </w:p>
    <w:p>
      <w:pPr>
        <w:pStyle w:val="BlockText"/>
      </w:pPr>
      <w:r>
        <w:t xml:space="preserve">$$</w:t>
      </w:r>
    </w:p>
    <w:p>
      <w:pPr>
        <w:pStyle w:val="BlockText"/>
      </w:pPr>
      <w:r>
        <w:t xml:space="preserve">Substituindo:</w:t>
      </w:r>
    </w:p>
    <w:p>
      <w:pPr>
        <w:pStyle w:val="BlockText"/>
      </w:pPr>
      <w:r>
        <w:t xml:space="preserve">$$</w:t>
      </w:r>
    </w:p>
    <w:p>
      <w:pPr>
        <w:pStyle w:val="BlockText"/>
      </w:pPr>
      <w:r>
        <w:t xml:space="preserve">p</w:t>
      </w:r>
      <w:r>
        <w:t xml:space="preserve">(1 +</w:t>
      </w:r>
      <w:r>
        <w:t xml:space="preserve"> </w:t>
      </w:r>
      <w:r>
        <w:t xml:space="preserve">) = CMg</w:t>
      </w:r>
    </w:p>
    <w:p>
      <w:pPr>
        <w:pStyle w:val="BlockText"/>
      </w:pPr>
      <w:r>
        <w:t xml:space="preserve">$$</w:t>
      </w:r>
    </w:p>
    <w:p>
      <w:pPr>
        <w:pStyle w:val="BlockText"/>
      </w:pPr>
      <w:r>
        <w:t xml:space="preserve">Rearranjando:</w:t>
      </w:r>
    </w:p>
    <w:p>
      <w:pPr>
        <w:pStyle w:val="BlockText"/>
      </w:pPr>
      <w:r>
        <w:t xml:space="preserve">$$</w:t>
      </w:r>
    </w:p>
    <w:p>
      <w:pPr>
        <w:pStyle w:val="BlockText"/>
      </w:pPr>
      <w:r>
        <w:t xml:space="preserve">p - CMg = -</w:t>
      </w:r>
    </w:p>
    <w:p>
      <w:pPr>
        <w:pStyle w:val="BlockText"/>
      </w:pPr>
      <w:r>
        <w:t xml:space="preserve">$$</w:t>
      </w:r>
    </w:p>
    <w:p>
      <w:pPr>
        <w:pStyle w:val="BlockText"/>
      </w:pPr>
      <w:r>
        <w:t xml:space="preserve">Dividindo ambos os lados por</w:t>
      </w:r>
      <w:r>
        <w:t xml:space="preserve"> </w:t>
      </w:r>
      <m:oMath>
        <m:r>
          <m:t>p</m:t>
        </m:r>
      </m:oMath>
      <w:r>
        <w:t xml:space="preserve">:</w:t>
      </w:r>
    </w:p>
    <w:p>
      <w:pPr>
        <w:pStyle w:val="BlockText"/>
      </w:pPr>
      <w:r>
        <w:t xml:space="preserve">$$</w:t>
      </w:r>
    </w:p>
    <w:p>
      <w:pPr>
        <w:pStyle w:val="BlockText"/>
      </w:pPr>
      <w:r>
        <w:t xml:space="preserve"> </w:t>
      </w:r>
      <w:r>
        <w:t xml:space="preserve">= -</w:t>
      </w:r>
      <w:r>
        <w:t xml:space="preserve"> </w:t>
      </w:r>
      <w:r>
        <w:t xml:space="preserve">=</w:t>
      </w:r>
      <w:r>
        <w:t xml:space="preserve"> </w:t>
      </w:r>
    </w:p>
    <w:p>
      <w:pPr>
        <w:pStyle w:val="BlockText"/>
      </w:pPr>
      <w:r>
        <w:t xml:space="preserve">$$</w:t>
      </w:r>
    </w:p>
    <w:p>
      <w:pPr>
        <w:pStyle w:val="BlockText"/>
      </w:pPr>
      <w:r>
        <w:t xml:space="preserve">Portanto:</w:t>
      </w:r>
    </w:p>
    <w:p>
      <w:pPr>
        <w:pStyle w:val="BlockText"/>
      </w:pPr>
      <w:r>
        <w:t xml:space="preserve">$$</w:t>
      </w:r>
    </w:p>
    <w:p>
      <w:pPr>
        <w:pStyle w:val="BlockText"/>
      </w:pPr>
      <w:r>
        <w:t xml:space="preserve"> </w:t>
      </w:r>
      <w:r>
        <w:t xml:space="preserve"> </w:t>
      </w:r>
      <w:r>
        <w:t xml:space="preserve">$$</w:t>
      </w:r>
    </w:p>
    <w:p>
      <w:pPr>
        <w:pStyle w:val="BlockText"/>
      </w:pPr>
      <w:r>
        <w:t xml:space="preserve">O índice de Lerner é igual ao inverso do valor absoluto da elasticidade-preço da demanda. Quanto mais inelástica a demanda (menor</w:t>
      </w:r>
      <w:r>
        <w:t xml:space="preserve"> </w:t>
      </w:r>
      <m:oMath>
        <m:r>
          <m:rPr>
            <m:sty m:val="p"/>
          </m:rPr>
          <m:t>|</m:t>
        </m:r>
        <m:sSub>
          <m:e>
            <m:r>
              <m:t>ε</m:t>
            </m:r>
          </m:e>
          <m:sub>
            <m:r>
              <m:t>p</m:t>
            </m:r>
          </m:sub>
        </m:sSub>
        <m:r>
          <m:rPr>
            <m:sty m:val="p"/>
          </m:rPr>
          <m:t>|</m:t>
        </m:r>
      </m:oMath>
      <w:r>
        <w:t xml:space="preserve">), maior o poder de mercado. Em concorrência perfeita, a firma enfrenta demanda perfeitamente elástica (</w:t>
      </w:r>
      <m:oMath>
        <m:r>
          <m:rPr>
            <m:sty m:val="p"/>
          </m:rPr>
          <m:t>|</m:t>
        </m:r>
        <m:sSub>
          <m:e>
            <m:r>
              <m:t>ε</m:t>
            </m:r>
          </m:e>
          <m:sub>
            <m:r>
              <m:t>p</m:t>
            </m:r>
          </m:sub>
        </m:sSub>
        <m:r>
          <m:rPr>
            <m:sty m:val="p"/>
          </m:rPr>
          <m:t>|</m:t>
        </m:r>
        <m:r>
          <m:rPr>
            <m:sty m:val="p"/>
          </m:rPr>
          <m:t>→</m:t>
        </m:r>
        <m:r>
          <m:rPr>
            <m:sty m:val="p"/>
          </m:rPr>
          <m:t>∞</m:t>
        </m:r>
      </m:oMath>
      <w:r>
        <w:t xml:space="preserve">), de modo que</w:t>
      </w:r>
      <w:r>
        <w:t xml:space="preserve"> </w:t>
      </w:r>
      <m:oMath>
        <m:r>
          <m:t>L</m:t>
        </m:r>
        <m:r>
          <m:rPr>
            <m:sty m:val="p"/>
          </m:rPr>
          <m:t>=</m:t>
        </m:r>
        <m:r>
          <m:t>0</m:t>
        </m:r>
      </m:oMath>
      <w:r>
        <w:t xml:space="preserve">.</w:t>
      </w:r>
      <w:r>
        <w:t xml:space="preserve"> </w:t>
      </w:r>
      <m:oMath>
        <m:r>
          <m:rPr>
            <m:sty m:val="p"/>
          </m:rPr>
          <m:t>◼</m:t>
        </m:r>
      </m:oMath>
    </w:p>
    <w:p>
      <w:r>
        <w:pict>
          <v:rect style="width:0;height:1.5pt" o:hralign="center" o:hrstd="t" o:hr="t"/>
        </w:pict>
      </w:r>
    </w:p>
    <w:bookmarkEnd w:id="925"/>
    <w:bookmarkStart w:id="928" w:name="X6349be70bd2d5dd98d36b9b8dba0a057500fdac"/>
    <w:p>
      <w:pPr>
        <w:pStyle w:val="Heading3"/>
      </w:pPr>
      <w:r>
        <w:t xml:space="preserve">15.4 Quem Paga a Conta: Ineficiência do Monopólio</w:t>
      </w:r>
    </w:p>
    <w:p>
      <w:pPr>
        <w:pStyle w:val="FirstParagraph"/>
      </w:pPr>
      <w:r>
        <w:t xml:space="preserve">Até aqui, contamos a história do monopólio pelo ângulo do vilão — e, convenhamos, para o monopolista a vida é boa: ele escolhe preço, quantidade e vai dormir tranquilo. Mas e o resto da sociedade? Alguém está pagando a conta dessa tranquilidade. Em que medida o poder de mercado do monopolista compromete a eficiência alocativa que os Teoremas do Bem-Estar (Capítulo 14) garantem para mercados competitivos? A resposta a essas perguntas fundamenta a justificativa econômica para a regulação e a política antitruste — e, como veremos, envolve não apenas o conhecido</w:t>
      </w:r>
      <w:r>
        <w:t xml:space="preserve"> </w:t>
      </w:r>
      <w:r>
        <w:t xml:space="preserve">“triângulo de Harberger”</w:t>
      </w:r>
      <w:r>
        <w:t xml:space="preserve">, mas também custos mais sutis associados ao</w:t>
      </w:r>
      <w:r>
        <w:t xml:space="preserve"> </w:t>
      </w:r>
      <w:r>
        <w:rPr>
          <w:i/>
          <w:iCs/>
        </w:rPr>
        <w:t xml:space="preserve">rent-seeking</w:t>
      </w:r>
      <w:r>
        <w:t xml:space="preserve"> </w:t>
      </w:r>
      <w:r>
        <w:t xml:space="preserve">e à ineficiência organizacional.</w:t>
      </w:r>
    </w:p>
    <w:bookmarkStart w:id="926" w:name="perda-de-peso-morto"/>
    <w:p>
      <w:pPr>
        <w:pStyle w:val="Heading4"/>
      </w:pPr>
      <w:r>
        <w:t xml:space="preserve">Perda de peso morto</w:t>
      </w:r>
    </w:p>
    <w:p>
      <w:pPr>
        <w:pStyle w:val="FirstParagraph"/>
      </w:pPr>
      <w:r>
        <w:t xml:space="preserve">O monopolista produz menos e cobra mais do que o resultado competitivo. Essa distorção gera uma</w:t>
      </w:r>
      <w:r>
        <w:t xml:space="preserve"> </w:t>
      </w:r>
      <w:r>
        <w:rPr>
          <w:b/>
          <w:bCs/>
        </w:rPr>
        <w:t xml:space="preserve">perda de peso morto</w:t>
      </w:r>
      <w:r>
        <w:t xml:space="preserve"> </w:t>
      </w:r>
      <w:r>
        <w:t xml:space="preserve">(PPM) — uma redução no excedente total que não é capturada por nenhum agente. A PPM representa transações mutuamente benéficas que deixam de ocorrer: consumidores que estariam dispostos a pagar mais do que o custo marginal de produção, mas são excluídos pelo preço de monopólio.</w:t>
      </w:r>
    </w:p>
    <w:p>
      <w:pPr>
        <w:pStyle w:val="BodyText"/>
      </w:pPr>
      <w:r>
        <w:t xml:space="preserve">Considere um mercado com demanda linear</w:t>
      </w:r>
      <w:r>
        <w:t xml:space="preserve"> </w:t>
      </w:r>
      <m:oMath>
        <m:r>
          <m:t>p</m:t>
        </m:r>
        <m:r>
          <m:rPr>
            <m:sty m:val="p"/>
          </m:rPr>
          <m:t>=</m:t>
        </m:r>
        <m:r>
          <m:t>a</m:t>
        </m:r>
        <m:r>
          <m:rPr>
            <m:sty m:val="p"/>
          </m:rPr>
          <m:t>−</m:t>
        </m:r>
        <m:r>
          <m:t>b</m:t>
        </m:r>
        <m:r>
          <m:t>q</m:t>
        </m:r>
      </m:oMath>
      <w:r>
        <w:t xml:space="preserve"> </w:t>
      </w:r>
      <w:r>
        <w:t xml:space="preserve">e custo marginal constante</w:t>
      </w:r>
      <w:r>
        <w:t xml:space="preserve"> </w:t>
      </w:r>
      <m:oMath>
        <m:r>
          <m:t>C</m:t>
        </m:r>
        <m:r>
          <m:t>M</m:t>
        </m:r>
        <m:r>
          <m:t>g</m:t>
        </m:r>
        <m:r>
          <m:rPr>
            <m:sty m:val="p"/>
          </m:rPr>
          <m:t>=</m:t>
        </m:r>
        <m:r>
          <m:t>c</m:t>
        </m:r>
      </m:oMath>
      <w:r>
        <w:t xml:space="preserve">.</w:t>
      </w:r>
    </w:p>
    <w:p>
      <w:pPr>
        <w:pStyle w:val="BodyText"/>
      </w:pPr>
      <w:r>
        <w:rPr>
          <w:b/>
          <w:bCs/>
        </w:rPr>
        <w:t xml:space="preserve">Resultado competitivo</w:t>
      </w:r>
      <w:r>
        <w:t xml:space="preserve"> </w:t>
      </w:r>
      <w:r>
        <w:t xml:space="preserve">(</w:t>
      </w:r>
      <m:oMath>
        <m:r>
          <m:t>p</m:t>
        </m:r>
        <m:r>
          <m:rPr>
            <m:sty m:val="p"/>
          </m:rPr>
          <m:t>=</m:t>
        </m:r>
        <m:r>
          <m:t>C</m:t>
        </m:r>
        <m:r>
          <m:t>M</m:t>
        </m:r>
        <m:r>
          <m:t>g</m:t>
        </m:r>
      </m:oMath>
      <w:r>
        <w:t xml:space="preserve">):</w:t>
      </w:r>
    </w:p>
    <w:p>
      <w:pPr>
        <w:pStyle w:val="BodyText"/>
      </w:pPr>
      <m:oMathPara>
        <m:oMathParaPr>
          <m:jc m:val="center"/>
        </m:oMathParaPr>
        <m:oMath>
          <m:sSup>
            <m:e>
              <m:r>
                <m:t>q</m:t>
              </m:r>
            </m:e>
            <m:sup>
              <m:r>
                <m:t>c</m:t>
              </m:r>
            </m:sup>
          </m:sSup>
          <m:r>
            <m:rPr>
              <m:sty m:val="p"/>
            </m:rPr>
            <m:t>=</m:t>
          </m:r>
          <m:f>
            <m:fPr>
              <m:type m:val="bar"/>
            </m:fPr>
            <m:num>
              <m:r>
                <m:t>a</m:t>
              </m:r>
              <m:r>
                <m:rPr>
                  <m:sty m:val="p"/>
                </m:rPr>
                <m:t>−</m:t>
              </m:r>
              <m:r>
                <m:t>c</m:t>
              </m:r>
            </m:num>
            <m:den>
              <m:r>
                <m:t>b</m:t>
              </m:r>
            </m:den>
          </m:f>
          <m:r>
            <m:rPr>
              <m:sty m:val="p"/>
            </m:rPr>
            <m:t>,</m:t>
          </m:r>
          <m:r>
            <m:t> </m:t>
          </m:r>
          <m:sSup>
            <m:e>
              <m:r>
                <m:t>p</m:t>
              </m:r>
            </m:e>
            <m:sup>
              <m:r>
                <m:t>c</m:t>
              </m:r>
            </m:sup>
          </m:sSup>
          <m:r>
            <m:rPr>
              <m:sty m:val="p"/>
            </m:rPr>
            <m:t>=</m:t>
          </m:r>
          <m:r>
            <m:t>c</m:t>
          </m:r>
        </m:oMath>
      </m:oMathPara>
    </w:p>
    <w:p>
      <w:pPr>
        <w:pStyle w:val="FirstParagraph"/>
      </w:pPr>
      <w:r>
        <w:rPr>
          <w:b/>
          <w:bCs/>
        </w:rPr>
        <w:t xml:space="preserve">Resultado monopolístico</w:t>
      </w:r>
      <w:r>
        <w:t xml:space="preserve"> </w:t>
      </w:r>
      <w:r>
        <w:t xml:space="preserve">(</w:t>
      </w:r>
      <m:oMath>
        <m:r>
          <m:t>R</m:t>
        </m:r>
        <m:r>
          <m:t>M</m:t>
        </m:r>
        <m:r>
          <m:t>g</m:t>
        </m:r>
        <m:r>
          <m:rPr>
            <m:sty m:val="p"/>
          </m:rPr>
          <m:t>=</m:t>
        </m:r>
        <m:r>
          <m:t>C</m:t>
        </m:r>
        <m:r>
          <m:t>M</m:t>
        </m:r>
        <m:r>
          <m:t>g</m:t>
        </m:r>
      </m:oMath>
      <w:r>
        <w:t xml:space="preserve">):</w:t>
      </w:r>
    </w:p>
    <w:p>
      <w:pPr>
        <w:pStyle w:val="BodyText"/>
      </w:pPr>
      <m:oMathPara>
        <m:oMathParaPr>
          <m:jc m:val="center"/>
        </m:oMathParaPr>
        <m:oMath>
          <m:r>
            <m:t>R</m:t>
          </m:r>
          <m:r>
            <m:t>M</m:t>
          </m:r>
          <m:r>
            <m:t>g</m:t>
          </m:r>
          <m:r>
            <m:rPr>
              <m:sty m:val="p"/>
            </m:rPr>
            <m:t>=</m:t>
          </m:r>
          <m:r>
            <m:t>a</m:t>
          </m:r>
          <m:r>
            <m:rPr>
              <m:sty m:val="p"/>
            </m:rPr>
            <m:t>−</m:t>
          </m:r>
          <m:r>
            <m:t>2</m:t>
          </m:r>
          <m:r>
            <m:t>b</m:t>
          </m:r>
          <m:r>
            <m:t>q</m:t>
          </m:r>
          <m:r>
            <m:rPr>
              <m:sty m:val="p"/>
            </m:rPr>
            <m:t>=</m:t>
          </m:r>
          <m:r>
            <m:t>c</m:t>
          </m:r>
          <m:r>
            <m:rPr>
              <m:sty m:val="p"/>
            </m:rPr>
            <m:t>⟹</m:t>
          </m:r>
          <m:sSup>
            <m:e>
              <m:r>
                <m:t>q</m:t>
              </m:r>
            </m:e>
            <m:sup>
              <m:r>
                <m:t>m</m:t>
              </m:r>
            </m:sup>
          </m:sSup>
          <m:r>
            <m:rPr>
              <m:sty m:val="p"/>
            </m:rPr>
            <m:t>=</m:t>
          </m:r>
          <m:f>
            <m:fPr>
              <m:type m:val="bar"/>
            </m:fPr>
            <m:num>
              <m:r>
                <m:t>a</m:t>
              </m:r>
              <m:r>
                <m:rPr>
                  <m:sty m:val="p"/>
                </m:rPr>
                <m:t>−</m:t>
              </m:r>
              <m:r>
                <m:t>c</m:t>
              </m:r>
            </m:num>
            <m:den>
              <m:r>
                <m:t>2</m:t>
              </m:r>
              <m:r>
                <m:t>b</m:t>
              </m:r>
            </m:den>
          </m:f>
          <m:r>
            <m:rPr>
              <m:sty m:val="p"/>
            </m:rPr>
            <m:t>,</m:t>
          </m:r>
          <m:r>
            <m:t> </m:t>
          </m:r>
          <m:sSup>
            <m:e>
              <m:r>
                <m:t>p</m:t>
              </m:r>
            </m:e>
            <m:sup>
              <m:r>
                <m:t>m</m:t>
              </m:r>
            </m:sup>
          </m:sSup>
          <m:r>
            <m:rPr>
              <m:sty m:val="p"/>
            </m:rPr>
            <m:t>=</m:t>
          </m:r>
          <m:f>
            <m:fPr>
              <m:type m:val="bar"/>
            </m:fPr>
            <m:num>
              <m:r>
                <m:t>a</m:t>
              </m:r>
              <m:r>
                <m:rPr>
                  <m:sty m:val="p"/>
                </m:rPr>
                <m:t>+</m:t>
              </m:r>
              <m:r>
                <m:t>c</m:t>
              </m:r>
            </m:num>
            <m:den>
              <m:r>
                <m:t>2</m:t>
              </m:r>
            </m:den>
          </m:f>
        </m:oMath>
      </m:oMathPara>
    </w:p>
    <w:p>
      <w:pPr>
        <w:pStyle w:val="FirstParagraph"/>
      </w:pPr>
      <w:r>
        <w:t xml:space="preserve">Pela equação Eq. (eq:15.8), o monopolista produz</w:t>
      </w:r>
      <w:r>
        <w:t xml:space="preserve"> </w:t>
      </w:r>
      <w:r>
        <w:rPr>
          <w:b/>
          <w:bCs/>
        </w:rPr>
        <w:t xml:space="preserve">metade</w:t>
      </w:r>
      <w:r>
        <w:t xml:space="preserve"> </w:t>
      </w:r>
      <w:r>
        <w:t xml:space="preserve">da quantidade competitiva e cobra um preço</w:t>
      </w:r>
      <w:r>
        <w:t xml:space="preserve"> </w:t>
      </w:r>
      <w:r>
        <w:rPr>
          <w:b/>
          <w:bCs/>
        </w:rPr>
        <w:t xml:space="preserve">acima</w:t>
      </w:r>
      <w:r>
        <w:t xml:space="preserve"> </w:t>
      </w:r>
      <w:r>
        <w:t xml:space="preserve">do custo marginal. Essa relação — com demanda linear, a produção de monopólio é exatamente metade da competitiva — é um resultado útil que merece ser lembrado; ele decorre do fato de que, com demanda linear, a curva de</w:t>
      </w:r>
      <w:r>
        <w:t xml:space="preserve"> </w:t>
      </w:r>
      <m:oMath>
        <m:r>
          <m:t>R</m:t>
        </m:r>
        <m:r>
          <m:t>M</m:t>
        </m:r>
        <m:r>
          <m:t>g</m:t>
        </m:r>
      </m:oMath>
      <w:r>
        <w:t xml:space="preserve"> </w:t>
      </w:r>
      <w:r>
        <w:t xml:space="preserve">tem o mesmo intercepto e o dobro da inclinação da curva de demanda.</w:t>
      </w:r>
    </w:p>
    <w:bookmarkEnd w:id="926"/>
    <w:bookmarkStart w:id="927" w:name="o-triângulo-de-harberger"/>
    <w:p>
      <w:pPr>
        <w:pStyle w:val="Heading4"/>
      </w:pPr>
      <w:r>
        <w:t xml:space="preserve">O triângulo de Harberger</w:t>
      </w:r>
    </w:p>
    <w:p>
      <w:pPr>
        <w:pStyle w:val="FirstParagraph"/>
      </w:pPr>
      <w:r>
        <w:t xml:space="preserve">A perda de peso morto corresponde à área do triângulo entre a curva de demanda e o custo marginal, entre</w:t>
      </w:r>
      <w:r>
        <w:t xml:space="preserve"> </w:t>
      </w:r>
      <m:oMath>
        <m:sSup>
          <m:e>
            <m:r>
              <m:t>q</m:t>
            </m:r>
          </m:e>
          <m:sup>
            <m:r>
              <m:t>m</m:t>
            </m:r>
          </m:sup>
        </m:sSup>
      </m:oMath>
      <w:r>
        <w:t xml:space="preserve"> </w:t>
      </w:r>
      <w:r>
        <w:t xml:space="preserve">e</w:t>
      </w:r>
      <w:r>
        <w:t xml:space="preserve"> </w:t>
      </w:r>
      <m:oMath>
        <m:sSup>
          <m:e>
            <m:r>
              <m:t>q</m:t>
            </m:r>
          </m:e>
          <m:sup>
            <m:r>
              <m:t>c</m:t>
            </m:r>
          </m:sup>
        </m:sSup>
      </m:oMath>
      <w:r>
        <w:t xml:space="preserve">:</w:t>
      </w:r>
    </w:p>
    <w:p>
      <w:pPr>
        <w:pStyle w:val="BodyText"/>
      </w:pPr>
      <m:oMathPara>
        <m:oMathParaPr>
          <m:jc m:val="center"/>
        </m:oMathParaPr>
        <m:oMath>
          <m:r>
            <m:t>P</m:t>
          </m:r>
          <m:r>
            <m:t>P</m:t>
          </m:r>
          <m:r>
            <m:t>M</m:t>
          </m:r>
          <m:r>
            <m:rPr>
              <m:sty m:val="p"/>
            </m:rPr>
            <m:t>=</m:t>
          </m:r>
          <m:f>
            <m:fPr>
              <m:type m:val="bar"/>
            </m:fPr>
            <m:num>
              <m:r>
                <m:t>1</m:t>
              </m:r>
            </m:num>
            <m:den>
              <m:r>
                <m:t>2</m:t>
              </m:r>
            </m:den>
          </m:f>
          <m:r>
            <m:rPr>
              <m:sty m:val="p"/>
            </m:rPr>
            <m:t>(</m:t>
          </m:r>
          <m:sSup>
            <m:e>
              <m:r>
                <m:t>p</m:t>
              </m:r>
            </m:e>
            <m:sup>
              <m:r>
                <m:t>m</m:t>
              </m:r>
            </m:sup>
          </m:sSup>
          <m:r>
            <m:rPr>
              <m:sty m:val="p"/>
            </m:rPr>
            <m:t>−</m:t>
          </m:r>
          <m:r>
            <m:t>c</m:t>
          </m:r>
          <m:r>
            <m:rPr>
              <m:sty m:val="p"/>
            </m:rPr>
            <m:t>)</m:t>
          </m:r>
          <m:r>
            <m:rPr>
              <m:sty m:val="p"/>
            </m:rPr>
            <m:t>(</m:t>
          </m:r>
          <m:sSup>
            <m:e>
              <m:r>
                <m:t>q</m:t>
              </m:r>
            </m:e>
            <m:sup>
              <m:r>
                <m:t>c</m:t>
              </m:r>
            </m:sup>
          </m:sSup>
          <m:r>
            <m:rPr>
              <m:sty m:val="p"/>
            </m:rPr>
            <m:t>−</m:t>
          </m:r>
          <m:sSup>
            <m:e>
              <m:r>
                <m:t>q</m:t>
              </m:r>
            </m:e>
            <m:sup>
              <m:r>
                <m:t>m</m:t>
              </m:r>
            </m:sup>
          </m:sSup>
          <m:r>
            <m:rPr>
              <m:sty m:val="p"/>
            </m:rPr>
            <m:t>)</m:t>
          </m:r>
          <m:r>
            <m:rPr>
              <m:sty m:val="p"/>
            </m:rPr>
            <m:t>=</m:t>
          </m:r>
          <m:f>
            <m:fPr>
              <m:type m:val="bar"/>
            </m:fPr>
            <m:num>
              <m:r>
                <m:rPr>
                  <m:sty m:val="p"/>
                </m:rPr>
                <m:t>(</m:t>
              </m:r>
              <m:r>
                <m:t>a</m:t>
              </m:r>
              <m:r>
                <m:rPr>
                  <m:sty m:val="p"/>
                </m:rPr>
                <m:t>−</m:t>
              </m:r>
              <m:r>
                <m:t>c</m:t>
              </m:r>
              <m:sSup>
                <m:e>
                  <m:r>
                    <m:rPr>
                      <m:sty m:val="p"/>
                    </m:rPr>
                    <m:t>)</m:t>
                  </m:r>
                </m:e>
                <m:sup>
                  <m:r>
                    <m:t>2</m:t>
                  </m:r>
                </m:sup>
              </m:sSup>
            </m:num>
            <m:den>
              <m:r>
                <m:t>8</m:t>
              </m:r>
              <m:r>
                <m:t>b</m:t>
              </m:r>
            </m:den>
          </m:f>
        </m:oMath>
      </m:oMathPara>
    </w:p>
    <w:p>
      <w:pPr>
        <w:pStyle w:val="FirstParagraph"/>
      </w:pPr>
      <w:r>
        <w:t xml:space="preserve">Arnold Harberger (1954) pioneirou a mensuração empírica dessa perda e estimou que a PPM nos Estados Unidos seria da ordem de 0,1% do PIB — um valor surpreendentemente pequeno que provocou intenso debate na profissão. Estimativas posteriores, incorporando</w:t>
      </w:r>
      <w:r>
        <w:t xml:space="preserve"> </w:t>
      </w:r>
      <w:r>
        <w:rPr>
          <w:i/>
          <w:iCs/>
        </w:rPr>
        <w:t xml:space="preserve">rent-seeking</w:t>
      </w:r>
      <w:r>
        <w:t xml:space="preserve"> </w:t>
      </w:r>
      <w:r>
        <w:t xml:space="preserve">(os recursos desperdiçados na tentativa de obter ou manter o monopólio, como atividades de lobby) e ineficiências organizacionais (</w:t>
      </w:r>
      <w:r>
        <w:rPr>
          <w:i/>
          <w:iCs/>
        </w:rPr>
        <w:t xml:space="preserve">X-inefficiency</w:t>
      </w:r>
      <w:r>
        <w:t xml:space="preserve"> </w:t>
      </w:r>
      <w:r>
        <w:t xml:space="preserve">de Leibenstein, 1966 — a ideia de que a ausência de pressão competitiva permite à firma operar aquém de sua fronteira de custos), sugerem valores significativamente maiores. Cowling e Mueller (1978) estimaram que o custo social do monopólio poderia chegar a 4–13% do PIB quando o lucro do monopolista é incluído como custo social (na hipótese de que é inteiramente dissipado em</w:t>
      </w:r>
      <w:r>
        <w:t xml:space="preserve"> </w:t>
      </w:r>
      <w:r>
        <w:rPr>
          <w:i/>
          <w:iCs/>
        </w:rPr>
        <w:t xml:space="preserve">rent-seeking</w:t>
      </w:r>
      <w:r>
        <w:t xml:space="preserve">).</w:t>
      </w:r>
    </w:p>
    <w:p>
      <w:pPr>
        <w:pStyle w:val="BodyText"/>
      </w:pPr>
      <w:r>
        <w:t xml:space="preserve">Richard Posner (1975) formalizou esse argumento: se firmas gastam recursos para obter e manter poder de mercado (por exemplo, em lobby, litígios e barreiras estratégicas), o custo social total pode ser muito maior que o triângulo de Harberger — podendo, no limite, ser tão grande quanto o retângulo de lucro do monopolista, como veremos no Exercício Resolvido 15.2.</w:t>
      </w:r>
    </w:p>
    <w:p>
      <w:pPr>
        <w:pStyle w:val="BlockText"/>
      </w:pPr>
      <w:r>
        <w:rPr>
          <w:b/>
          <w:bCs/>
        </w:rPr>
        <w:t xml:space="preserve">[EXEMPLO] Poder de mercado e o CADE</w:t>
      </w:r>
    </w:p>
    <w:p>
      <w:pPr>
        <w:pStyle w:val="BlockText"/>
      </w:pPr>
      <w:r>
        <w:t xml:space="preserve">O Conselho Administrativo de Defesa Econômica (CADE) utiliza o índice de Lerner e medidas correlatas para avaliar poder de mercado em atos de concentração e investigações de conduta. No caso da fusão Ambev (1999), o CADE estimou que a empresa resultante deteria cerca de 70% do mercado de cervejas, com significativo poder de precificação. Mais recentemente, em 2022, o CADE aplicou multa de R$ 539 milhões ao Google por abuso de posição dominante no mercado de</w:t>
      </w:r>
      <w:r>
        <w:t xml:space="preserve"> </w:t>
      </w:r>
      <w:r>
        <w:rPr>
          <w:i/>
          <w:iCs/>
        </w:rPr>
        <w:t xml:space="preserve">ad tech</w:t>
      </w:r>
      <w:r>
        <w:t xml:space="preserve"> </w:t>
      </w:r>
      <w:r>
        <w:t xml:space="preserve">— um caso em que o poder de mercado decorre não de barreiras tecnológicas clássicas, mas de efeitos de rede e controle de dados. O índice de Lerner é uma ferramenta analítica central nessas investigações: um</w:t>
      </w:r>
      <w:r>
        <w:t xml:space="preserve"> </w:t>
      </w:r>
      <m:oMath>
        <m:r>
          <m:t>L</m:t>
        </m:r>
      </m:oMath>
      <w:r>
        <w:t xml:space="preserve"> </w:t>
      </w:r>
      <w:r>
        <w:t xml:space="preserve">elevado e persistente sinaliza poder de mercado que justifica intervenção regulatória. A</w:t>
      </w:r>
      <w:r>
        <w:t xml:space="preserve"> </w:t>
      </w:r>
      <w:hyperlink w:anchor="tabela-15-1">
        <w:r>
          <w:rPr>
            <w:rStyle w:val="Hyperlink"/>
          </w:rPr>
          <w:t xml:space="preserve">Tabela 15.1</w:t>
        </w:r>
      </w:hyperlink>
      <w:r>
        <w:t xml:space="preserve"> </w:t>
      </w:r>
      <w:r>
        <w:t xml:space="preserve">compara os resultados dos dois regimes.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Variável</w:t>
            </w:r>
          </w:p>
        </w:tc>
        <w:tc>
          <w:tcPr/>
          <w:p>
            <w:pPr>
              <w:pStyle w:val="Compact"/>
            </w:pPr>
            <w:r>
              <w:t xml:space="preserve">Concorrência Perfeita</w:t>
            </w:r>
          </w:p>
        </w:tc>
        <w:tc>
          <w:tcPr/>
          <w:p>
            <w:pPr>
              <w:pStyle w:val="Compact"/>
            </w:pPr>
            <w:r>
              <w:t xml:space="preserve">Monopólio</w:t>
            </w:r>
          </w:p>
        </w:tc>
        <w:tc>
          <w:tcPr/>
          <w:p>
            <w:pPr>
              <w:pStyle w:val="Compact"/>
            </w:pPr>
            <w:r>
              <w:t xml:space="preserve">Variação</w:t>
            </w:r>
          </w:p>
        </w:tc>
      </w:tr>
      <w:tr>
        <w:tc>
          <w:tcPr/>
          <w:p>
            <w:pPr>
              <w:pStyle w:val="Compact"/>
            </w:pPr>
            <w:r>
              <w:rPr>
                <w:b/>
                <w:bCs/>
              </w:rPr>
              <w:t xml:space="preserve">Preço</w:t>
            </w:r>
          </w:p>
        </w:tc>
        <w:tc>
          <w:tcPr/>
          <w:p>
            <w:pPr>
              <w:pStyle w:val="Compact"/>
            </w:pPr>
            <m:oMath>
              <m:sSup>
                <m:e>
                  <m:r>
                    <m:t>p</m:t>
                  </m:r>
                </m:e>
                <m:sup>
                  <m:r>
                    <m:t>c</m:t>
                  </m:r>
                </m:sup>
              </m:sSup>
              <m:r>
                <m:rPr>
                  <m:sty m:val="p"/>
                </m:rPr>
                <m:t>=</m:t>
              </m:r>
              <m:r>
                <m:t>c</m:t>
              </m:r>
            </m:oMath>
          </w:p>
        </w:tc>
        <w:tc>
          <w:tcPr/>
          <w:p>
            <w:pPr>
              <w:pStyle w:val="Compact"/>
            </w:pPr>
            <m:oMath>
              <m:sSup>
                <m:e>
                  <m:r>
                    <m:t>p</m:t>
                  </m:r>
                </m:e>
                <m:sup>
                  <m:r>
                    <m:t>m</m:t>
                  </m:r>
                </m:sup>
              </m:sSup>
              <m:r>
                <m:rPr>
                  <m:sty m:val="p"/>
                </m:rPr>
                <m:t>=</m:t>
              </m:r>
              <m:f>
                <m:fPr>
                  <m:type m:val="bar"/>
                </m:fPr>
                <m:num>
                  <m:r>
                    <m:t>a</m:t>
                  </m:r>
                  <m:r>
                    <m:rPr>
                      <m:sty m:val="p"/>
                    </m:rPr>
                    <m:t>+</m:t>
                  </m:r>
                  <m:r>
                    <m:t>c</m:t>
                  </m:r>
                </m:num>
                <m:den>
                  <m:r>
                    <m:t>2</m:t>
                  </m:r>
                </m:den>
              </m:f>
            </m:oMath>
          </w:p>
        </w:tc>
        <w:tc>
          <w:tcPr/>
          <w:p>
            <w:pPr>
              <w:pStyle w:val="Compact"/>
            </w:pPr>
            <m:oMath>
              <m:r>
                <m:rPr>
                  <m:sty m:val="p"/>
                </m:rPr>
                <m:t>↑</m:t>
              </m:r>
            </m:oMath>
          </w:p>
        </w:tc>
      </w:tr>
      <w:tr>
        <w:tc>
          <w:tcPr/>
          <w:p>
            <w:pPr>
              <w:pStyle w:val="Compact"/>
            </w:pPr>
            <w:r>
              <w:rPr>
                <w:b/>
                <w:bCs/>
              </w:rPr>
              <w:t xml:space="preserve">Quantidade</w:t>
            </w:r>
          </w:p>
        </w:tc>
        <w:tc>
          <w:tcPr/>
          <w:p>
            <w:pPr>
              <w:pStyle w:val="Compact"/>
            </w:pPr>
            <m:oMath>
              <m:sSup>
                <m:e>
                  <m:r>
                    <m:t>q</m:t>
                  </m:r>
                </m:e>
                <m:sup>
                  <m:r>
                    <m:t>c</m:t>
                  </m:r>
                </m:sup>
              </m:sSup>
              <m:r>
                <m:rPr>
                  <m:sty m:val="p"/>
                </m:rPr>
                <m:t>=</m:t>
              </m:r>
              <m:f>
                <m:fPr>
                  <m:type m:val="bar"/>
                </m:fPr>
                <m:num>
                  <m:r>
                    <m:t>a</m:t>
                  </m:r>
                  <m:r>
                    <m:rPr>
                      <m:sty m:val="p"/>
                    </m:rPr>
                    <m:t>−</m:t>
                  </m:r>
                  <m:r>
                    <m:t>c</m:t>
                  </m:r>
                </m:num>
                <m:den>
                  <m:r>
                    <m:t>b</m:t>
                  </m:r>
                </m:den>
              </m:f>
            </m:oMath>
          </w:p>
        </w:tc>
        <w:tc>
          <w:tcPr/>
          <w:p>
            <w:pPr>
              <w:pStyle w:val="Compact"/>
            </w:pPr>
            <m:oMath>
              <m:sSup>
                <m:e>
                  <m:r>
                    <m:t>q</m:t>
                  </m:r>
                </m:e>
                <m:sup>
                  <m:r>
                    <m:t>m</m:t>
                  </m:r>
                </m:sup>
              </m:sSup>
              <m:r>
                <m:rPr>
                  <m:sty m:val="p"/>
                </m:rPr>
                <m:t>=</m:t>
              </m:r>
              <m:f>
                <m:fPr>
                  <m:type m:val="bar"/>
                </m:fPr>
                <m:num>
                  <m:r>
                    <m:t>a</m:t>
                  </m:r>
                  <m:r>
                    <m:rPr>
                      <m:sty m:val="p"/>
                    </m:rPr>
                    <m:t>−</m:t>
                  </m:r>
                  <m:r>
                    <m:t>c</m:t>
                  </m:r>
                </m:num>
                <m:den>
                  <m:r>
                    <m:t>2</m:t>
                  </m:r>
                  <m:r>
                    <m:t>b</m:t>
                  </m:r>
                </m:den>
              </m:f>
            </m:oMath>
          </w:p>
        </w:tc>
        <w:tc>
          <w:tcPr/>
          <w:p>
            <w:pPr>
              <w:pStyle w:val="Compact"/>
            </w:pPr>
            <m:oMath>
              <m:r>
                <m:rPr>
                  <m:sty m:val="p"/>
                </m:rPr>
                <m:t>↓</m:t>
              </m:r>
            </m:oMath>
          </w:p>
        </w:tc>
      </w:tr>
      <w:tr>
        <w:tc>
          <w:tcPr/>
          <w:p>
            <w:pPr>
              <w:pStyle w:val="Compact"/>
            </w:pPr>
            <w:r>
              <w:rPr>
                <w:b/>
                <w:bCs/>
              </w:rPr>
              <w:t xml:space="preserve">Excedente do Consumidor</w:t>
            </w:r>
          </w:p>
        </w:tc>
        <w:tc>
          <w:tcPr/>
          <w:p>
            <w:pPr>
              <w:pStyle w:val="Compact"/>
            </w:pPr>
            <m:oMath>
              <m:f>
                <m:fPr>
                  <m:type m:val="bar"/>
                </m:fPr>
                <m:num>
                  <m:r>
                    <m:rPr>
                      <m:sty m:val="p"/>
                    </m:rPr>
                    <m:t>(</m:t>
                  </m:r>
                  <m:r>
                    <m:t>a</m:t>
                  </m:r>
                  <m:r>
                    <m:rPr>
                      <m:sty m:val="p"/>
                    </m:rPr>
                    <m:t>−</m:t>
                  </m:r>
                  <m:r>
                    <m:t>c</m:t>
                  </m:r>
                  <m:sSup>
                    <m:e>
                      <m:r>
                        <m:rPr>
                          <m:sty m:val="p"/>
                        </m:rPr>
                        <m:t>)</m:t>
                      </m:r>
                    </m:e>
                    <m:sup>
                      <m:r>
                        <m:t>2</m:t>
                      </m:r>
                    </m:sup>
                  </m:sSup>
                </m:num>
                <m:den>
                  <m:r>
                    <m:t>2</m:t>
                  </m:r>
                  <m:r>
                    <m:t>b</m:t>
                  </m:r>
                </m:den>
              </m:f>
            </m:oMath>
          </w:p>
        </w:tc>
        <w:tc>
          <w:tcPr/>
          <w:p>
            <w:pPr>
              <w:pStyle w:val="Compact"/>
            </w:pPr>
            <m:oMath>
              <m:f>
                <m:fPr>
                  <m:type m:val="bar"/>
                </m:fPr>
                <m:num>
                  <m:r>
                    <m:rPr>
                      <m:sty m:val="p"/>
                    </m:rPr>
                    <m:t>(</m:t>
                  </m:r>
                  <m:r>
                    <m:t>a</m:t>
                  </m:r>
                  <m:r>
                    <m:rPr>
                      <m:sty m:val="p"/>
                    </m:rPr>
                    <m:t>−</m:t>
                  </m:r>
                  <m:r>
                    <m:t>c</m:t>
                  </m:r>
                  <m:sSup>
                    <m:e>
                      <m:r>
                        <m:rPr>
                          <m:sty m:val="p"/>
                        </m:rPr>
                        <m:t>)</m:t>
                      </m:r>
                    </m:e>
                    <m:sup>
                      <m:r>
                        <m:t>2</m:t>
                      </m:r>
                    </m:sup>
                  </m:sSup>
                </m:num>
                <m:den>
                  <m:r>
                    <m:t>8</m:t>
                  </m:r>
                  <m:r>
                    <m:t>b</m:t>
                  </m:r>
                </m:den>
              </m:f>
            </m:oMath>
          </w:p>
        </w:tc>
        <w:tc>
          <w:tcPr/>
          <w:p>
            <w:pPr>
              <w:pStyle w:val="Compact"/>
            </w:pPr>
            <m:oMath>
              <m:r>
                <m:rPr>
                  <m:sty m:val="p"/>
                </m:rPr>
                <m:t>↓</m:t>
              </m:r>
            </m:oMath>
          </w:p>
        </w:tc>
      </w:tr>
      <w:tr>
        <w:tc>
          <w:tcPr/>
          <w:p>
            <w:pPr>
              <w:pStyle w:val="Compact"/>
            </w:pPr>
            <w:r>
              <w:rPr>
                <w:b/>
                <w:bCs/>
              </w:rPr>
              <w:t xml:space="preserve">Excedente do Produtor</w:t>
            </w:r>
          </w:p>
        </w:tc>
        <w:tc>
          <w:tcPr/>
          <w:p>
            <w:pPr>
              <w:pStyle w:val="Compact"/>
            </w:pPr>
            <m:oMath>
              <m:r>
                <m:t>0</m:t>
              </m:r>
            </m:oMath>
          </w:p>
        </w:tc>
        <w:tc>
          <w:tcPr/>
          <w:p>
            <w:pPr>
              <w:pStyle w:val="Compact"/>
            </w:pPr>
            <m:oMath>
              <m:f>
                <m:fPr>
                  <m:type m:val="bar"/>
                </m:fPr>
                <m:num>
                  <m:r>
                    <m:rPr>
                      <m:sty m:val="p"/>
                    </m:rPr>
                    <m:t>(</m:t>
                  </m:r>
                  <m:r>
                    <m:t>a</m:t>
                  </m:r>
                  <m:r>
                    <m:rPr>
                      <m:sty m:val="p"/>
                    </m:rPr>
                    <m:t>−</m:t>
                  </m:r>
                  <m:r>
                    <m:t>c</m:t>
                  </m:r>
                  <m:sSup>
                    <m:e>
                      <m:r>
                        <m:rPr>
                          <m:sty m:val="p"/>
                        </m:rPr>
                        <m:t>)</m:t>
                      </m:r>
                    </m:e>
                    <m:sup>
                      <m:r>
                        <m:t>2</m:t>
                      </m:r>
                    </m:sup>
                  </m:sSup>
                </m:num>
                <m:den>
                  <m:r>
                    <m:t>4</m:t>
                  </m:r>
                  <m:r>
                    <m:t>b</m:t>
                  </m:r>
                </m:den>
              </m:f>
            </m:oMath>
          </w:p>
        </w:tc>
        <w:tc>
          <w:tcPr/>
          <w:p>
            <w:pPr>
              <w:pStyle w:val="Compact"/>
            </w:pPr>
            <m:oMath>
              <m:r>
                <m:rPr>
                  <m:sty m:val="p"/>
                </m:rPr>
                <m:t>↑</m:t>
              </m:r>
            </m:oMath>
          </w:p>
        </w:tc>
      </w:tr>
      <w:tr>
        <w:tc>
          <w:tcPr/>
          <w:p>
            <w:pPr>
              <w:pStyle w:val="Compact"/>
            </w:pPr>
            <w:r>
              <w:rPr>
                <w:b/>
                <w:bCs/>
              </w:rPr>
              <w:t xml:space="preserve">Excedente Total</w:t>
            </w:r>
          </w:p>
        </w:tc>
        <w:tc>
          <w:tcPr/>
          <w:p>
            <w:pPr>
              <w:pStyle w:val="Compact"/>
            </w:pPr>
            <m:oMath>
              <m:f>
                <m:fPr>
                  <m:type m:val="bar"/>
                </m:fPr>
                <m:num>
                  <m:r>
                    <m:rPr>
                      <m:sty m:val="p"/>
                    </m:rPr>
                    <m:t>(</m:t>
                  </m:r>
                  <m:r>
                    <m:t>a</m:t>
                  </m:r>
                  <m:r>
                    <m:rPr>
                      <m:sty m:val="p"/>
                    </m:rPr>
                    <m:t>−</m:t>
                  </m:r>
                  <m:r>
                    <m:t>c</m:t>
                  </m:r>
                  <m:sSup>
                    <m:e>
                      <m:r>
                        <m:rPr>
                          <m:sty m:val="p"/>
                        </m:rPr>
                        <m:t>)</m:t>
                      </m:r>
                    </m:e>
                    <m:sup>
                      <m:r>
                        <m:t>2</m:t>
                      </m:r>
                    </m:sup>
                  </m:sSup>
                </m:num>
                <m:den>
                  <m:r>
                    <m:t>2</m:t>
                  </m:r>
                  <m:r>
                    <m:t>b</m:t>
                  </m:r>
                </m:den>
              </m:f>
            </m:oMath>
          </w:p>
        </w:tc>
        <w:tc>
          <w:tcPr/>
          <w:p>
            <w:pPr>
              <w:pStyle w:val="Compact"/>
            </w:pPr>
            <m:oMath>
              <m:f>
                <m:fPr>
                  <m:type m:val="bar"/>
                </m:fPr>
                <m:num>
                  <m:r>
                    <m:t>3</m:t>
                  </m:r>
                  <m:r>
                    <m:rPr>
                      <m:sty m:val="p"/>
                    </m:rPr>
                    <m:t>(</m:t>
                  </m:r>
                  <m:r>
                    <m:t>a</m:t>
                  </m:r>
                  <m:r>
                    <m:rPr>
                      <m:sty m:val="p"/>
                    </m:rPr>
                    <m:t>−</m:t>
                  </m:r>
                  <m:r>
                    <m:t>c</m:t>
                  </m:r>
                  <m:sSup>
                    <m:e>
                      <m:r>
                        <m:rPr>
                          <m:sty m:val="p"/>
                        </m:rPr>
                        <m:t>)</m:t>
                      </m:r>
                    </m:e>
                    <m:sup>
                      <m:r>
                        <m:t>2</m:t>
                      </m:r>
                    </m:sup>
                  </m:sSup>
                </m:num>
                <m:den>
                  <m:r>
                    <m:t>8</m:t>
                  </m:r>
                  <m:r>
                    <m:t>b</m:t>
                  </m:r>
                </m:den>
              </m:f>
            </m:oMath>
          </w:p>
        </w:tc>
        <w:tc>
          <w:tcPr/>
          <w:p>
            <w:pPr>
              <w:pStyle w:val="Compact"/>
            </w:pPr>
            <m:oMath>
              <m:r>
                <m:rPr>
                  <m:sty m:val="p"/>
                </m:rPr>
                <m:t>↓</m:t>
              </m:r>
            </m:oMath>
          </w:p>
        </w:tc>
      </w:tr>
      <w:tr>
        <w:tc>
          <w:tcPr/>
          <w:p>
            <w:pPr>
              <w:pStyle w:val="Compact"/>
            </w:pPr>
            <w:r>
              <w:rPr>
                <w:b/>
                <w:bCs/>
              </w:rPr>
              <w:t xml:space="preserve">Perda de Peso Morto</w:t>
            </w:r>
          </w:p>
        </w:tc>
        <w:tc>
          <w:tcPr/>
          <w:p>
            <w:pPr>
              <w:pStyle w:val="Compact"/>
            </w:pPr>
            <m:oMath>
              <m:r>
                <m:t>0</m:t>
              </m:r>
            </m:oMath>
          </w:p>
        </w:tc>
        <w:tc>
          <w:tcPr/>
          <w:p>
            <w:pPr>
              <w:pStyle w:val="Compact"/>
            </w:pPr>
            <m:oMath>
              <m:f>
                <m:fPr>
                  <m:type m:val="bar"/>
                </m:fPr>
                <m:num>
                  <m:r>
                    <m:rPr>
                      <m:sty m:val="p"/>
                    </m:rPr>
                    <m:t>(</m:t>
                  </m:r>
                  <m:r>
                    <m:t>a</m:t>
                  </m:r>
                  <m:r>
                    <m:rPr>
                      <m:sty m:val="p"/>
                    </m:rPr>
                    <m:t>−</m:t>
                  </m:r>
                  <m:r>
                    <m:t>c</m:t>
                  </m:r>
                  <m:sSup>
                    <m:e>
                      <m:r>
                        <m:rPr>
                          <m:sty m:val="p"/>
                        </m:rPr>
                        <m:t>)</m:t>
                      </m:r>
                    </m:e>
                    <m:sup>
                      <m:r>
                        <m:t>2</m:t>
                      </m:r>
                    </m:sup>
                  </m:sSup>
                </m:num>
                <m:den>
                  <m:r>
                    <m:t>8</m:t>
                  </m:r>
                  <m:r>
                    <m:t>b</m:t>
                  </m:r>
                </m:den>
              </m:f>
            </m:oMath>
          </w:p>
        </w:tc>
        <w:tc>
          <w:tcPr/>
          <w:p>
            <w:pPr>
              <w:pStyle w:val="Compact"/>
            </w:pPr>
            <w:r>
              <w:t xml:space="preserve">—</w:t>
            </w:r>
          </w:p>
        </w:tc>
      </w:tr>
    </w:tbl>
    <w:p>
      <w:pPr>
        <w:pStyle w:val="BodyText"/>
      </w:pPr>
      <w:r>
        <w:rPr>
          <w:b/>
          <w:bCs/>
        </w:rPr>
        <w:t xml:space="preserve">Tabela 15.1 — Comparação concorrência perfeita versus monopólio.</w:t>
      </w:r>
    </w:p>
    <w:p>
      <w:pPr>
        <w:pStyle w:val="BlockText"/>
      </w:pPr>
      <w:r>
        <w:rPr>
          <w:b/>
          <w:bCs/>
        </w:rPr>
        <w:t xml:space="preserve">[DICA] Interpretação</w:t>
      </w:r>
    </w:p>
    <w:p>
      <w:pPr>
        <w:pStyle w:val="BlockText"/>
      </w:pPr>
      <w:r>
        <w:t xml:space="preserve">A passagem de concorrência perfeita para monopólio envolve duas transferências: (i) parte do excedente do consumidor é capturada pelo monopolista (retângulo de transferência); (ii) parte do excedente total simplesmente desaparece (triângulo de Harberger). A PPM representa uma perda</w:t>
      </w:r>
      <w:r>
        <w:t xml:space="preserve"> </w:t>
      </w:r>
      <w:r>
        <w:rPr>
          <w:b/>
          <w:bCs/>
        </w:rPr>
        <w:t xml:space="preserve">líquida</w:t>
      </w:r>
      <w:r>
        <w:t xml:space="preserve"> </w:t>
      </w:r>
      <w:r>
        <w:t xml:space="preserve">de bem-estar social.</w:t>
      </w:r>
    </w:p>
    <w:p>
      <w:pPr>
        <w:pStyle w:val="BlockText"/>
      </w:pPr>
      <w:r>
        <w:rPr>
          <w:b/>
          <w:bCs/>
        </w:rPr>
        <w:t xml:space="preserve">[INTUICAO ECONOMICA] Intuição Econômica</w:t>
      </w:r>
    </w:p>
    <w:p>
      <w:pPr>
        <w:pStyle w:val="BlockText"/>
      </w:pPr>
      <w:r>
        <w:rPr>
          <w:b/>
          <w:bCs/>
        </w:rPr>
        <w:t xml:space="preserve">Em uma frase:</w:t>
      </w:r>
      <w:r>
        <w:t xml:space="preserve"> </w:t>
      </w:r>
      <w:r>
        <w:t xml:space="preserve">O monopólio produz menos e cobra mais do que um mercado competitivo, e a diferença de bem-estar que se perde no caminho não vai para ninguém — simplesmente evapora.</w:t>
      </w:r>
    </w:p>
    <w:p>
      <w:pPr>
        <w:pStyle w:val="BlockText"/>
      </w:pPr>
      <w:r>
        <w:rPr>
          <w:b/>
          <w:bCs/>
        </w:rPr>
        <w:t xml:space="preserve">Pense assim:</w:t>
      </w:r>
      <w:r>
        <w:t xml:space="preserve"> </w:t>
      </w:r>
      <w:r>
        <w:t xml:space="preserve">Imagine que, em vez de vários postos de gasolina no bairro, houvesse apenas um. Ele reduziria a quantidade vendida e aumentaria o preço. Parte do que os consumidores perdem vai para o bolso do dono do posto (lucro de monopólio), mas outra parte — os litros que deixaram de ser vendidos porque o preço ficou alto demais — é pura perda. É como se alguém queimasse dinheiro: nem o consumidor nem o produtor ficam com ele.</w:t>
      </w:r>
    </w:p>
    <w:p>
      <w:pPr>
        <w:pStyle w:val="BlockText"/>
      </w:pPr>
      <w:r>
        <w:rPr>
          <w:b/>
          <w:bCs/>
        </w:rPr>
        <w:t xml:space="preserve">Por que isso importa:</w:t>
      </w:r>
      <w:r>
        <w:t xml:space="preserve"> </w:t>
      </w:r>
      <w:r>
        <w:t xml:space="preserve">A perda de peso morto do monopólio é o principal argumento econômico para a existência de órgãos como o CADE, que combatem concentração excessiva de mercado para proteger o bem-estar dos consumidores brasileiros.</w:t>
      </w:r>
    </w:p>
    <w:p>
      <w:pPr>
        <w:pStyle w:val="BlockText"/>
      </w:pPr>
      <w:r>
        <w:rPr>
          <w:b/>
          <w:bCs/>
        </w:rPr>
        <w:t xml:space="preserve">[BOX MUNDO] Box Mundo 15.2 — O custo social do monopólio: de Harberger (EUA) à OCDE</w:t>
      </w:r>
    </w:p>
    <w:p>
      <w:pPr>
        <w:pStyle w:val="BlockText"/>
      </w:pPr>
      <w:r>
        <w:rPr>
          <w:b/>
          <w:bCs/>
        </w:rPr>
        <w:t xml:space="preserve">Contexto:</w:t>
      </w:r>
      <w:r>
        <w:t xml:space="preserve"> </w:t>
      </w:r>
      <w:r>
        <w:t xml:space="preserve">Quanto custa o monopólio para a sociedade? A resposta depende criticamente do que se inclui na conta. Arnold Harberger (1954), em estudo seminal com dados de 73 indústrias manufatureiras dos EUA no período 1924–1928, inaugurou a tradição de mensuração empírica das perdas de eficiência do poder de mercado — e obteve um resultado que surpreendeu a profissão por sua modéstia.</w:t>
      </w:r>
    </w:p>
    <w:p>
      <w:pPr>
        <w:pStyle w:val="BlockText"/>
      </w:pPr>
      <w:r>
        <w:rPr>
          <w:b/>
          <w:bCs/>
        </w:rPr>
        <w:t xml:space="preserve">Dados:</w:t>
      </w:r>
      <w:r>
        <w:t xml:space="preserve"> </w:t>
      </w:r>
      <w:r>
        <w:t xml:space="preserve">A estimativa original de Harberger foi de apenas 0,1% do PIB americano — tão pequena que levantou a questão de se o monopólio era realmente um problema econômico relevante. Entretanto, estimativas posteriores usando metodologias mais abrangentes chegaram a valores muito maiores. Cowling e Mueller (1978), utilizando dados de firmas individuais nos EUA (734 firmas) e no Reino Unido, estimaram perdas de 4–13% do PIB americano e 3–7% do PIB britânico, ao incluir o lucro de monopólio como custo social (seguindo a lógica de Posner de que os lucros de monopólio são dissipados em</w:t>
      </w:r>
      <w:r>
        <w:t xml:space="preserve"> </w:t>
      </w:r>
      <w:r>
        <w:rPr>
          <w:i/>
          <w:iCs/>
        </w:rPr>
        <w:t xml:space="preserve">rent-seeking</w:t>
      </w:r>
      <w:r>
        <w:t xml:space="preserve">). Mais recentemente, o</w:t>
      </w:r>
      <w:r>
        <w:t xml:space="preserve"> </w:t>
      </w:r>
      <w:r>
        <w:rPr>
          <w:i/>
          <w:iCs/>
        </w:rPr>
        <w:t xml:space="preserve">OECD Competition Assessment Toolkit</w:t>
      </w:r>
      <w:r>
        <w:t xml:space="preserve"> </w:t>
      </w:r>
      <w:r>
        <w:t xml:space="preserve">(2019) estima que reformas pró-concorrência em mercados com poder de mercado significativo podem elevar o PIB em 0,5% a 1,5% nos países membros — cifras que indicam perdas correntes nessa magnitude.</w:t>
      </w:r>
    </w:p>
    <w:p>
      <w:pPr>
        <w:pStyle w:val="BlockText"/>
      </w:pPr>
      <w:r>
        <w:rPr>
          <w:b/>
          <w:bCs/>
        </w:rPr>
        <w:t xml:space="preserve">Análise:</w:t>
      </w:r>
      <w:r>
        <w:t xml:space="preserve"> </w:t>
      </w:r>
      <w:r>
        <w:t xml:space="preserve">A discrepância entre as estimativas reflete diferenças conceituais profundas sobre o que constitui o</w:t>
      </w:r>
      <w:r>
        <w:t xml:space="preserve"> </w:t>
      </w:r>
      <w:r>
        <w:t xml:space="preserve">“custo social”</w:t>
      </w:r>
      <w:r>
        <w:t xml:space="preserve"> </w:t>
      </w:r>
      <w:r>
        <w:t xml:space="preserve">do monopólio. O triângulo de Harberger captura apenas a ineficiência alocativa estática (transações não realizadas). A abordagem de Posner/Cowling-Mueller adiciona os custos de</w:t>
      </w:r>
      <w:r>
        <w:t xml:space="preserve"> </w:t>
      </w:r>
      <w:r>
        <w:rPr>
          <w:i/>
          <w:iCs/>
        </w:rPr>
        <w:t xml:space="preserve">rent-seeking</w:t>
      </w:r>
      <w:r>
        <w:t xml:space="preserve"> </w:t>
      </w:r>
      <w:r>
        <w:t xml:space="preserve">— recursos reais desviados para obter ou manter poder de mercado, como lobby, litígios e publicidade persuasiva. A teoria da</w:t>
      </w:r>
      <w:r>
        <w:t xml:space="preserve"> </w:t>
      </w:r>
      <w:r>
        <w:rPr>
          <w:i/>
          <w:iCs/>
        </w:rPr>
        <w:t xml:space="preserve">X-inefficiency</w:t>
      </w:r>
      <w:r>
        <w:t xml:space="preserve"> </w:t>
      </w:r>
      <w:r>
        <w:t xml:space="preserve">de Leibenstein (1966) sugere ainda que, na ausência de pressão competitiva, as firmas operam acima de sua fronteira de custos mínimos, gerando desperdício interno. Essas três fontes de custo — alocativo,</w:t>
      </w:r>
      <w:r>
        <w:t xml:space="preserve"> </w:t>
      </w:r>
      <w:r>
        <w:rPr>
          <w:i/>
          <w:iCs/>
        </w:rPr>
        <w:t xml:space="preserve">rent-seeking</w:t>
      </w:r>
      <w:r>
        <w:t xml:space="preserve"> </w:t>
      </w:r>
      <w:r>
        <w:t xml:space="preserve">e organizacional — se somam e podem tornar o monopólio um problema econômico substancial.</w:t>
      </w:r>
    </w:p>
    <w:p>
      <w:pPr>
        <w:pStyle w:val="BlockText"/>
      </w:pPr>
      <w:r>
        <w:rPr>
          <w:b/>
          <w:bCs/>
        </w:rPr>
        <w:t xml:space="preserve">Fonte:</w:t>
      </w:r>
      <w:r>
        <w:t xml:space="preserve"> </w:t>
      </w:r>
      <w:r>
        <w:t xml:space="preserve">Harberger, A. C. (1954). Monopoly and resource allocation.</w:t>
      </w:r>
      <w:r>
        <w:t xml:space="preserve"> </w:t>
      </w:r>
      <w:r>
        <w:rPr>
          <w:i/>
          <w:iCs/>
        </w:rPr>
        <w:t xml:space="preserve">AER</w:t>
      </w:r>
      <w:r>
        <w:t xml:space="preserve">, 44(2), 77–87. Cowling, K.; Mueller, D. C. (1978). The social costs of monopoly power.</w:t>
      </w:r>
      <w:r>
        <w:t xml:space="preserve"> </w:t>
      </w:r>
      <w:r>
        <w:rPr>
          <w:i/>
          <w:iCs/>
        </w:rPr>
        <w:t xml:space="preserve">Economic Journal</w:t>
      </w:r>
      <w:r>
        <w:t xml:space="preserve">, 88(352), 727–748. OECD (2019).</w:t>
      </w:r>
      <w:r>
        <w:t xml:space="preserve"> </w:t>
      </w:r>
      <w:r>
        <w:rPr>
          <w:i/>
          <w:iCs/>
        </w:rPr>
        <w:t xml:space="preserve">Competition Assessment Toolkit</w:t>
      </w:r>
      <w:r>
        <w:t xml:space="preserve">.</w:t>
      </w:r>
    </w:p>
    <w:p>
      <w:pPr>
        <w:pStyle w:val="FirstParagraph"/>
      </w:pPr>
      <w:r>
        <w:t xml:space="preserve">O exercício a seguir formaliza o argumento de Posner sobre os custos de</w:t>
      </w:r>
      <w:r>
        <w:t xml:space="preserve"> </w:t>
      </w:r>
      <w:r>
        <w:rPr>
          <w:i/>
          <w:iCs/>
        </w:rPr>
        <w:t xml:space="preserve">rent-seeking</w:t>
      </w:r>
      <w:r>
        <w:t xml:space="preserve">.</w:t>
      </w:r>
    </w:p>
    <w:p>
      <w:pPr>
        <w:pStyle w:val="BlockText"/>
      </w:pPr>
      <w:r>
        <w:rPr>
          <w:b/>
          <w:bCs/>
        </w:rPr>
        <w:t xml:space="preserve">[EXERCICIO RESOLVIDO] Exercício Resolvido 15.2 — Custo social do monopólio com rent-seeking</w:t>
      </w:r>
    </w:p>
    <w:p>
      <w:pPr>
        <w:pStyle w:val="BlockText"/>
      </w:pPr>
      <w:r>
        <w:rPr>
          <w:b/>
          <w:bCs/>
        </w:rPr>
        <w:t xml:space="preserve">Enunciado.</w:t>
      </w:r>
      <w:r>
        <w:t xml:space="preserve"> </w:t>
      </w:r>
      <w:r>
        <w:t xml:space="preserve">Em um mercado com demanda</w:t>
      </w:r>
      <w:r>
        <w:t xml:space="preserve"> </w:t>
      </w:r>
      <m:oMath>
        <m:r>
          <m:t>p</m:t>
        </m:r>
        <m:r>
          <m:rPr>
            <m:sty m:val="p"/>
          </m:rPr>
          <m:t>=</m:t>
        </m:r>
        <m:r>
          <m:t>120</m:t>
        </m:r>
        <m:r>
          <m:rPr>
            <m:sty m:val="p"/>
          </m:rPr>
          <m:t>−</m:t>
        </m:r>
        <m:r>
          <m:t>3</m:t>
        </m:r>
        <m:r>
          <m:t>q</m:t>
        </m:r>
      </m:oMath>
      <w:r>
        <w:t xml:space="preserve">, um monopolista tem</w:t>
      </w:r>
      <w:r>
        <w:t xml:space="preserve"> </w:t>
      </w:r>
      <m:oMath>
        <m:r>
          <m:t>C</m:t>
        </m:r>
        <m:r>
          <m:t>M</m:t>
        </m:r>
        <m:r>
          <m:t>g</m:t>
        </m:r>
        <m:r>
          <m:rPr>
            <m:sty m:val="p"/>
          </m:rPr>
          <m:t>=</m:t>
        </m:r>
        <m:r>
          <m:t>30</m:t>
        </m:r>
      </m:oMath>
      <w:r>
        <w:t xml:space="preserve">. (a) Calcule o equilíbrio de monopólio e a PPM (triângulo de Harberger). (b) Se o monopolista gasta até a totalidade do lucro em atividades de</w:t>
      </w:r>
      <w:r>
        <w:t xml:space="preserve"> </w:t>
      </w:r>
      <w:r>
        <w:rPr>
          <w:i/>
          <w:iCs/>
        </w:rPr>
        <w:t xml:space="preserve">rent-seeking</w:t>
      </w:r>
      <w:r>
        <w:t xml:space="preserve"> </w:t>
      </w:r>
      <w:r>
        <w:t xml:space="preserve">para manter o monopólio, qual é o custo social máximo? (c) Compare com o excedente total sob concorrência perfeita.</w:t>
      </w:r>
    </w:p>
    <w:p>
      <w:r>
        <w:pict>
          <v:rect style="width:0;height:1.5pt" o:hralign="center" o:hrstd="t" o:hr="t"/>
        </w:pict>
      </w:r>
    </w:p>
    <w:p>
      <w:pPr>
        <w:pStyle w:val="BlockText"/>
      </w:pPr>
      <w:r>
        <w:rPr>
          <w:b/>
          <w:bCs/>
        </w:rPr>
        <w:t xml:space="preserve">(a)</w:t>
      </w:r>
      <w:r>
        <w:t xml:space="preserve"> </w:t>
      </w:r>
      <m:oMath>
        <m:r>
          <m:t>R</m:t>
        </m:r>
        <m:r>
          <m:t>M</m:t>
        </m:r>
        <m:r>
          <m:t>g</m:t>
        </m:r>
        <m:r>
          <m:rPr>
            <m:sty m:val="p"/>
          </m:rPr>
          <m:t>=</m:t>
        </m:r>
        <m:r>
          <m:t>120</m:t>
        </m:r>
        <m:r>
          <m:rPr>
            <m:sty m:val="p"/>
          </m:rPr>
          <m:t>−</m:t>
        </m:r>
        <m:r>
          <m:t>6</m:t>
        </m:r>
        <m:r>
          <m:t>q</m:t>
        </m:r>
        <m:r>
          <m:rPr>
            <m:sty m:val="p"/>
          </m:rPr>
          <m:t>=</m:t>
        </m:r>
        <m:r>
          <m:t>30</m:t>
        </m:r>
        <m:r>
          <m:rPr>
            <m:sty m:val="p"/>
          </m:rPr>
          <m:t>⟹</m:t>
        </m:r>
        <m:sSup>
          <m:e>
            <m:r>
              <m:t>q</m:t>
            </m:r>
          </m:e>
          <m:sup>
            <m:r>
              <m:t>m</m:t>
            </m:r>
          </m:sup>
        </m:sSup>
        <m:r>
          <m:rPr>
            <m:sty m:val="p"/>
          </m:rPr>
          <m:t>=</m:t>
        </m:r>
        <m:r>
          <m:t>15</m:t>
        </m:r>
      </m:oMath>
      <w:r>
        <w:t xml:space="preserve">,</w:t>
      </w:r>
      <w:r>
        <w:t xml:space="preserve"> </w:t>
      </w:r>
      <m:oMath>
        <m:sSup>
          <m:e>
            <m:r>
              <m:t>p</m:t>
            </m:r>
          </m:e>
          <m:sup>
            <m:r>
              <m:t>m</m:t>
            </m:r>
          </m:sup>
        </m:sSup>
        <m:r>
          <m:rPr>
            <m:sty m:val="p"/>
          </m:rPr>
          <m:t>=</m:t>
        </m:r>
        <m:r>
          <m:t>120</m:t>
        </m:r>
        <m:r>
          <m:rPr>
            <m:sty m:val="p"/>
          </m:rPr>
          <m:t>−</m:t>
        </m:r>
        <m:r>
          <m:t>45</m:t>
        </m:r>
        <m:r>
          <m:rPr>
            <m:sty m:val="p"/>
          </m:rPr>
          <m:t>=</m:t>
        </m:r>
        <m:r>
          <m:t>75</m:t>
        </m:r>
      </m:oMath>
      <w:r>
        <w:t xml:space="preserve">.</w:t>
      </w:r>
    </w:p>
    <w:p>
      <w:pPr>
        <w:pStyle w:val="BlockText"/>
      </w:pPr>
      <w:r>
        <w:t xml:space="preserve">Lucro:</w:t>
      </w:r>
      <w:r>
        <w:t xml:space="preserve"> </w:t>
      </w:r>
      <m:oMath>
        <m:sSup>
          <m:e>
            <m:r>
              <m:t>π</m:t>
            </m:r>
          </m:e>
          <m:sup>
            <m:r>
              <m:t>m</m:t>
            </m:r>
          </m:sup>
        </m:sSup>
        <m:r>
          <m:rPr>
            <m:sty m:val="p"/>
          </m:rPr>
          <m:t>=</m:t>
        </m:r>
        <m:r>
          <m:rPr>
            <m:sty m:val="p"/>
          </m:rPr>
          <m:t>(</m:t>
        </m:r>
        <m:r>
          <m:t>75</m:t>
        </m:r>
        <m:r>
          <m:rPr>
            <m:sty m:val="p"/>
          </m:rPr>
          <m:t>−</m:t>
        </m:r>
        <m:r>
          <m:t>30</m:t>
        </m:r>
        <m:r>
          <m:rPr>
            <m:sty m:val="p"/>
          </m:rPr>
          <m:t>)</m:t>
        </m:r>
        <m:r>
          <m:rPr>
            <m:sty m:val="p"/>
          </m:rPr>
          <m:t>×</m:t>
        </m:r>
        <m:r>
          <m:t>15</m:t>
        </m:r>
        <m:r>
          <m:rPr>
            <m:sty m:val="p"/>
          </m:rPr>
          <m:t>=</m:t>
        </m:r>
        <m:r>
          <m:t>675</m:t>
        </m:r>
      </m:oMath>
      <w:r>
        <w:t xml:space="preserve">.</w:t>
      </w:r>
    </w:p>
    <w:p>
      <w:pPr>
        <w:pStyle w:val="BlockText"/>
      </w:pPr>
      <w:r>
        <w:t xml:space="preserve">Resultado competitivo:</w:t>
      </w:r>
      <w:r>
        <w:t xml:space="preserve"> </w:t>
      </w:r>
      <m:oMath>
        <m:sSup>
          <m:e>
            <m:r>
              <m:t>p</m:t>
            </m:r>
          </m:e>
          <m:sup>
            <m:r>
              <m:t>c</m:t>
            </m:r>
          </m:sup>
        </m:sSup>
        <m:r>
          <m:rPr>
            <m:sty m:val="p"/>
          </m:rPr>
          <m:t>=</m:t>
        </m:r>
        <m:r>
          <m:t>30</m:t>
        </m:r>
      </m:oMath>
      <w:r>
        <w:t xml:space="preserve">,</w:t>
      </w:r>
      <w:r>
        <w:t xml:space="preserve"> </w:t>
      </w:r>
      <m:oMath>
        <m:sSup>
          <m:e>
            <m:r>
              <m:t>q</m:t>
            </m:r>
          </m:e>
          <m:sup>
            <m:r>
              <m:t>c</m:t>
            </m:r>
          </m:sup>
        </m:sSup>
        <m:r>
          <m:rPr>
            <m:sty m:val="p"/>
          </m:rPr>
          <m:t>=</m:t>
        </m:r>
        <m:r>
          <m:rPr>
            <m:sty m:val="p"/>
          </m:rPr>
          <m:t>(</m:t>
        </m:r>
        <m:r>
          <m:t>120</m:t>
        </m:r>
        <m:r>
          <m:rPr>
            <m:sty m:val="p"/>
          </m:rPr>
          <m:t>−</m:t>
        </m:r>
        <m:r>
          <m:t>30</m:t>
        </m:r>
        <m:r>
          <m:rPr>
            <m:sty m:val="p"/>
          </m:rPr>
          <m:t>)</m:t>
        </m:r>
        <m:r>
          <m:rPr>
            <m:sty m:val="p"/>
          </m:rPr>
          <m:t>/</m:t>
        </m:r>
        <m:r>
          <m:t>3</m:t>
        </m:r>
        <m:r>
          <m:rPr>
            <m:sty m:val="p"/>
          </m:rPr>
          <m:t>=</m:t>
        </m:r>
        <m:r>
          <m:t>30</m:t>
        </m:r>
      </m:oMath>
      <w:r>
        <w:t xml:space="preserve">.</w:t>
      </w:r>
    </w:p>
    <w:p>
      <w:pPr>
        <w:pStyle w:val="BlockText"/>
      </w:pPr>
      <w:r>
        <w:t xml:space="preserve">$$</w:t>
      </w:r>
    </w:p>
    <w:p>
      <w:pPr>
        <w:pStyle w:val="BlockText"/>
      </w:pPr>
      <w:r>
        <w:t xml:space="preserve">PPM =</w:t>
      </w:r>
      <w:r>
        <w:t xml:space="preserve"> </w:t>
      </w:r>
      <w:r>
        <w:t xml:space="preserve">(75 - 30)(30 - 15) =</w:t>
      </w:r>
      <w:r>
        <w:t xml:space="preserve"> </w:t>
      </w:r>
      <w:r>
        <w:t xml:space="preserve"> </w:t>
      </w:r>
      <w:r>
        <w:t xml:space="preserve"> </w:t>
      </w:r>
      <w:r>
        <w:t xml:space="preserve"> </w:t>
      </w:r>
      <w:r>
        <w:t xml:space="preserve">= 337{,}5</w:t>
      </w:r>
    </w:p>
    <w:p>
      <w:pPr>
        <w:pStyle w:val="BlockText"/>
      </w:pPr>
      <w:r>
        <w:t xml:space="preserve">$$</w:t>
      </w:r>
    </w:p>
    <w:p>
      <w:pPr>
        <w:pStyle w:val="BlockText"/>
      </w:pPr>
      <w:r>
        <w:rPr>
          <w:b/>
          <w:bCs/>
        </w:rPr>
        <w:t xml:space="preserve">(b)</w:t>
      </w:r>
      <w:r>
        <w:t xml:space="preserve"> </w:t>
      </w:r>
      <w:r>
        <w:t xml:space="preserve">Segundo Posner (1975), se o monopolista dissipa todo o lucro em</w:t>
      </w:r>
      <w:r>
        <w:t xml:space="preserve"> </w:t>
      </w:r>
      <w:r>
        <w:rPr>
          <w:i/>
          <w:iCs/>
        </w:rPr>
        <w:t xml:space="preserve">rent-seeking</w:t>
      </w:r>
      <w:r>
        <w:t xml:space="preserve">, o custo social total é:</w:t>
      </w:r>
    </w:p>
    <w:p>
      <w:pPr>
        <w:pStyle w:val="BlockText"/>
      </w:pPr>
      <w:r>
        <w:t xml:space="preserve">$$</w:t>
      </w:r>
    </w:p>
    <w:p>
      <w:pPr>
        <w:pStyle w:val="BlockText"/>
      </w:pPr>
      <w:r>
        <w:t xml:space="preserve">CS_{</w:t>
      </w:r>
      <w:r>
        <w:t xml:space="preserve">} = PPM +</w:t>
      </w:r>
      <w:r>
        <w:t xml:space="preserve"> </w:t>
      </w:r>
      <w:r>
        <w:t xml:space="preserve">^m = 337{,}5 + 675 = 1.012{,}5</w:t>
      </w:r>
    </w:p>
    <w:p>
      <w:pPr>
        <w:pStyle w:val="BlockText"/>
      </w:pPr>
      <w:r>
        <w:t xml:space="preserve">$$</w:t>
      </w:r>
    </w:p>
    <w:p>
      <w:pPr>
        <w:pStyle w:val="BlockText"/>
      </w:pPr>
      <w:r>
        <w:rPr>
          <w:b/>
          <w:bCs/>
        </w:rPr>
        <w:t xml:space="preserve">(c)</w:t>
      </w:r>
      <w:r>
        <w:t xml:space="preserve"> </w:t>
      </w:r>
      <w:r>
        <w:t xml:space="preserve">Excedente total sob concorrência perfeita:</w:t>
      </w:r>
    </w:p>
    <w:p>
      <w:pPr>
        <w:pStyle w:val="BlockText"/>
      </w:pPr>
      <w:r>
        <w:t xml:space="preserve">$$</w:t>
      </w:r>
    </w:p>
    <w:p>
      <w:pPr>
        <w:pStyle w:val="BlockText"/>
      </w:pPr>
      <w:r>
        <w:t xml:space="preserve">W^c = EC^c =</w:t>
      </w:r>
      <w:r>
        <w:t xml:space="preserve"> </w:t>
      </w:r>
      <w:r>
        <w:t xml:space="preserve">(120 - 30)(30) = 1.350</w:t>
      </w:r>
    </w:p>
    <w:p>
      <w:pPr>
        <w:pStyle w:val="BlockText"/>
      </w:pPr>
      <w:r>
        <w:t xml:space="preserve">$$</w:t>
      </w:r>
    </w:p>
    <w:p>
      <w:pPr>
        <w:pStyle w:val="BlockText"/>
      </w:pPr>
      <w:r>
        <w:t xml:space="preserve">O custo social máximo (1.012,5) representa 75% do excedente competitivo. Sob monopólio com</w:t>
      </w:r>
      <w:r>
        <w:t xml:space="preserve"> </w:t>
      </w:r>
      <w:r>
        <w:rPr>
          <w:i/>
          <w:iCs/>
        </w:rPr>
        <w:t xml:space="preserve">rent-seeking</w:t>
      </w:r>
      <w:r>
        <w:t xml:space="preserve"> </w:t>
      </w:r>
      <w:r>
        <w:t xml:space="preserve">total, o bem-estar social restante seria apenas</w:t>
      </w:r>
      <w:r>
        <w:t xml:space="preserve"> </w:t>
      </w:r>
      <m:oMath>
        <m:r>
          <m:t>E</m:t>
        </m:r>
        <m:sSup>
          <m:e>
            <m:r>
              <m:t>C</m:t>
            </m:r>
          </m:e>
          <m:sup>
            <m:r>
              <m:t>m</m:t>
            </m:r>
          </m:sup>
        </m:sSup>
        <m:r>
          <m:rPr>
            <m:sty m:val="p"/>
          </m:rPr>
          <m:t>=</m:t>
        </m:r>
        <m:f>
          <m:fPr>
            <m:type m:val="bar"/>
          </m:fPr>
          <m:num>
            <m:r>
              <m:t>1</m:t>
            </m:r>
          </m:num>
          <m:den>
            <m:r>
              <m:t>2</m:t>
            </m:r>
          </m:den>
        </m:f>
        <m:r>
          <m:rPr>
            <m:sty m:val="p"/>
          </m:rPr>
          <m:t>(</m:t>
        </m:r>
        <m:r>
          <m:t>120</m:t>
        </m:r>
        <m:r>
          <m:rPr>
            <m:sty m:val="p"/>
          </m:rPr>
          <m:t>−</m:t>
        </m:r>
        <m:r>
          <m:t>75</m:t>
        </m:r>
        <m:r>
          <m:rPr>
            <m:sty m:val="p"/>
          </m:rPr>
          <m:t>)</m:t>
        </m:r>
        <m:r>
          <m:rPr>
            <m:sty m:val="p"/>
          </m:rPr>
          <m:t>(</m:t>
        </m:r>
        <m:r>
          <m:t>15</m:t>
        </m:r>
        <m:r>
          <m:rPr>
            <m:sty m:val="p"/>
          </m:rPr>
          <m:t>)</m:t>
        </m:r>
        <m:r>
          <m:rPr>
            <m:sty m:val="p"/>
          </m:rPr>
          <m:t>=</m:t>
        </m:r>
        <m:r>
          <m:t>337</m:t>
        </m:r>
        <m:r>
          <m:rPr>
            <m:sty m:val="p"/>
          </m:rPr>
          <m:t>,</m:t>
        </m:r>
        <m:r>
          <m:t>5</m:t>
        </m:r>
      </m:oMath>
      <w:r>
        <w:t xml:space="preserve"> </w:t>
      </w:r>
      <w:r>
        <w:t xml:space="preserve">— exatamente 25% do excedente competitivo.</w:t>
      </w:r>
    </w:p>
    <w:p>
      <w:pPr>
        <w:pStyle w:val="BlockText"/>
      </w:pPr>
      <w:r>
        <w:rPr>
          <w:b/>
          <w:bCs/>
        </w:rPr>
        <w:t xml:space="preserve">Interpretação:</w:t>
      </w:r>
      <w:r>
        <w:t xml:space="preserve"> </w:t>
      </w:r>
      <w:r>
        <w:t xml:space="preserve">O triângulo de Harberger sozinho subestima o custo social do monopólio. Quando incluímos o desperdício de recursos em</w:t>
      </w:r>
      <w:r>
        <w:t xml:space="preserve"> </w:t>
      </w:r>
      <w:r>
        <w:rPr>
          <w:i/>
          <w:iCs/>
        </w:rPr>
        <w:t xml:space="preserve">rent-seeking</w:t>
      </w:r>
      <w:r>
        <w:t xml:space="preserve">, o custo pode ser até três vezes maior. Este é o argumento central de Posner para uma política antitruste vigorosa.</w:t>
      </w:r>
    </w:p>
    <w:p>
      <w:r>
        <w:pict>
          <v:rect style="width:0;height:1.5pt" o:hralign="center" o:hrstd="t" o:hr="t"/>
        </w:pict>
      </w:r>
    </w:p>
    <w:bookmarkEnd w:id="927"/>
    <w:bookmarkEnd w:id="928"/>
    <w:bookmarkStart w:id="931" w:name="Xd8974baddfc0e53300829f37e5fc88b0f5ce61b"/>
    <w:p>
      <w:pPr>
        <w:pStyle w:val="Heading3"/>
      </w:pPr>
      <w:r>
        <w:t xml:space="preserve">15.5 Mexeu no Tabuleiro: Estática Comparativa do Monopólio</w:t>
      </w:r>
    </w:p>
    <w:p>
      <w:pPr>
        <w:pStyle w:val="FirstParagraph"/>
      </w:pPr>
      <w:r>
        <w:t xml:space="preserve">Estabelecido o equilíbrio de monopólio, podemos agora investigar como ele se altera diante de mudanças nos parâmetros exógenos. Que efeito tem um imposto sobre o preço e a quantidade de monopólio? Como o monopolista responde a um deslocamento da demanda? Essas perguntas de estática comparativa são particularmente relevantes para a formulação de políticas públicas, pois revelam como instrumentos tributários e regulatórios interagem com o poder de mercado. Os resultados, como veremos, diferem qualitativamente do caso competitivo — o que implica que intuições desenvolvidas para mercados competitivos podem ser enganosas quando aplicadas a mercados com poder de mercado.</w:t>
      </w:r>
    </w:p>
    <w:bookmarkStart w:id="929" w:name="efeito-de-um-imposto-unitário"/>
    <w:p>
      <w:pPr>
        <w:pStyle w:val="Heading4"/>
      </w:pPr>
      <w:r>
        <w:t xml:space="preserve">Efeito de um imposto unitário</w:t>
      </w:r>
    </w:p>
    <w:p>
      <w:pPr>
        <w:pStyle w:val="FirstParagraph"/>
      </w:pPr>
      <w:r>
        <w:t xml:space="preserve">Suponha que o governo impõe um imposto unitário</w:t>
      </w:r>
      <w:r>
        <w:t xml:space="preserve"> </w:t>
      </w:r>
      <m:oMath>
        <m:r>
          <m:t>t</m:t>
        </m:r>
      </m:oMath>
      <w:r>
        <w:t xml:space="preserve"> </w:t>
      </w:r>
      <w:r>
        <w:t xml:space="preserve">sobre cada unidade produzida. O novo custo marginal efetivo é</w:t>
      </w:r>
      <w:r>
        <w:t xml:space="preserve"> </w:t>
      </w:r>
      <m:oMath>
        <m:r>
          <m:t>C</m:t>
        </m:r>
        <m:r>
          <m:t>M</m:t>
        </m:r>
        <m:r>
          <m:t>g</m:t>
        </m:r>
        <m:r>
          <m:rPr>
            <m:sty m:val="p"/>
          </m:rPr>
          <m:t>+</m:t>
        </m:r>
        <m:r>
          <m:t>t</m:t>
        </m:r>
      </m:oMath>
      <w:r>
        <w:t xml:space="preserve">. Com demanda linear:</w:t>
      </w:r>
    </w:p>
    <w:p>
      <w:pPr>
        <w:pStyle w:val="BodyText"/>
      </w:pPr>
      <m:oMathPara>
        <m:oMathParaPr>
          <m:jc m:val="center"/>
        </m:oMathParaPr>
        <m:oMath>
          <m:sSup>
            <m:e>
              <m:r>
                <m:t>q</m:t>
              </m:r>
            </m:e>
            <m:sup>
              <m:r>
                <m:t>m</m:t>
              </m:r>
            </m:sup>
          </m:sSup>
          <m:r>
            <m:rPr>
              <m:sty m:val="p"/>
            </m:rPr>
            <m:t>(</m:t>
          </m:r>
          <m:r>
            <m:t>t</m:t>
          </m:r>
          <m:r>
            <m:rPr>
              <m:sty m:val="p"/>
            </m:rPr>
            <m:t>)</m:t>
          </m:r>
          <m:r>
            <m:rPr>
              <m:sty m:val="p"/>
            </m:rPr>
            <m:t>=</m:t>
          </m:r>
          <m:f>
            <m:fPr>
              <m:type m:val="bar"/>
            </m:fPr>
            <m:num>
              <m:r>
                <m:t>a</m:t>
              </m:r>
              <m:r>
                <m:rPr>
                  <m:sty m:val="p"/>
                </m:rPr>
                <m:t>−</m:t>
              </m:r>
              <m:r>
                <m:t>c</m:t>
              </m:r>
              <m:r>
                <m:rPr>
                  <m:sty m:val="p"/>
                </m:rPr>
                <m:t>−</m:t>
              </m:r>
              <m:r>
                <m:t>t</m:t>
              </m:r>
            </m:num>
            <m:den>
              <m:r>
                <m:t>2</m:t>
              </m:r>
              <m:r>
                <m:t>b</m:t>
              </m:r>
            </m:den>
          </m:f>
          <m:r>
            <m:rPr>
              <m:sty m:val="p"/>
            </m:rPr>
            <m:t>,</m:t>
          </m:r>
          <m:r>
            <m:t> </m:t>
          </m:r>
          <m:sSup>
            <m:e>
              <m:r>
                <m:t>p</m:t>
              </m:r>
            </m:e>
            <m:sup>
              <m:r>
                <m:t>m</m:t>
              </m:r>
            </m:sup>
          </m:sSup>
          <m:r>
            <m:rPr>
              <m:sty m:val="p"/>
            </m:rPr>
            <m:t>(</m:t>
          </m:r>
          <m:r>
            <m:t>t</m:t>
          </m:r>
          <m:r>
            <m:rPr>
              <m:sty m:val="p"/>
            </m:rPr>
            <m:t>)</m:t>
          </m:r>
          <m:r>
            <m:rPr>
              <m:sty m:val="p"/>
            </m:rPr>
            <m:t>=</m:t>
          </m:r>
          <m:f>
            <m:fPr>
              <m:type m:val="bar"/>
            </m:fPr>
            <m:num>
              <m:r>
                <m:t>a</m:t>
              </m:r>
              <m:r>
                <m:rPr>
                  <m:sty m:val="p"/>
                </m:rPr>
                <m:t>+</m:t>
              </m:r>
              <m:r>
                <m:t>c</m:t>
              </m:r>
              <m:r>
                <m:rPr>
                  <m:sty m:val="p"/>
                </m:rPr>
                <m:t>+</m:t>
              </m:r>
              <m:r>
                <m:t>t</m:t>
              </m:r>
            </m:num>
            <m:den>
              <m:r>
                <m:t>2</m:t>
              </m:r>
            </m:den>
          </m:f>
        </m:oMath>
      </m:oMathPara>
    </w:p>
    <w:p>
      <w:pPr>
        <w:pStyle w:val="FirstParagraph"/>
      </w:pPr>
      <w:r>
        <w:t xml:space="preserve">Observe que</w:t>
      </w:r>
      <w:r>
        <w:t xml:space="preserve"> </w:t>
      </w:r>
      <m:oMath>
        <m:f>
          <m:fPr>
            <m:type m:val="bar"/>
          </m:fPr>
          <m:num>
            <m:r>
              <m:t>d</m:t>
            </m:r>
            <m:sSup>
              <m:e>
                <m:r>
                  <m:t>p</m:t>
                </m:r>
              </m:e>
              <m:sup>
                <m:r>
                  <m:t>m</m:t>
                </m:r>
              </m:sup>
            </m:sSup>
          </m:num>
          <m:den>
            <m:r>
              <m:t>d</m:t>
            </m:r>
            <m:r>
              <m:t>t</m:t>
            </m:r>
          </m:den>
        </m:f>
        <m:r>
          <m:rPr>
            <m:sty m:val="p"/>
          </m:rPr>
          <m:t>=</m:t>
        </m:r>
        <m:f>
          <m:fPr>
            <m:type m:val="bar"/>
          </m:fPr>
          <m:num>
            <m:r>
              <m:t>1</m:t>
            </m:r>
          </m:num>
          <m:den>
            <m:r>
              <m:t>2</m:t>
            </m:r>
          </m:den>
        </m:f>
      </m:oMath>
      <w:r>
        <w:t xml:space="preserve">: o monopolista repassa apenas</w:t>
      </w:r>
      <w:r>
        <w:t xml:space="preserve"> </w:t>
      </w:r>
      <w:r>
        <w:rPr>
          <w:b/>
          <w:bCs/>
        </w:rPr>
        <w:t xml:space="preserve">metade</w:t>
      </w:r>
      <w:r>
        <w:t xml:space="preserve"> </w:t>
      </w:r>
      <w:r>
        <w:t xml:space="preserve">do imposto ao consumidor. Isso contrasta com a concorrência perfeita, na qual, com oferta perfeitamente elástica, o repasse é integral. A diferença tem implicações diretas para a política tributária: um imposto sobre um monopolista é parcialmente absorvido pelo lucro da firma, o que pode ser desejável do ponto de vista distributivo — o monopolista</w:t>
      </w:r>
      <w:r>
        <w:t xml:space="preserve"> </w:t>
      </w:r>
      <w:r>
        <w:t xml:space="preserve">“paga”</w:t>
      </w:r>
      <w:r>
        <w:t xml:space="preserve"> </w:t>
      </w:r>
      <w:r>
        <w:t xml:space="preserve">metade do imposto.</w:t>
      </w:r>
    </w:p>
    <w:p>
      <w:pPr>
        <w:pStyle w:val="BlockText"/>
      </w:pPr>
      <w:r>
        <w:rPr>
          <w:b/>
          <w:bCs/>
        </w:rPr>
        <w:t xml:space="preserve">[NOTA] Repasse imperfeito</w:t>
      </w:r>
    </w:p>
    <w:p>
      <w:pPr>
        <w:pStyle w:val="BlockText"/>
      </w:pPr>
      <w:r>
        <w:t xml:space="preserve">O fato de o monopolista absorver parte do imposto decorre da curvatura da curva de demanda que ele enfrenta. A incidência do imposto depende crucialmente da forma funcional da demanda: com demanda isoelástica (</w:t>
      </w:r>
      <m:oMath>
        <m:r>
          <m:t>q</m:t>
        </m:r>
        <m:r>
          <m:rPr>
            <m:sty m:val="p"/>
          </m:rPr>
          <m:t>=</m:t>
        </m:r>
        <m:r>
          <m:t>A</m:t>
        </m:r>
        <m:sSup>
          <m:e>
            <m:r>
              <m:t>p</m:t>
            </m:r>
          </m:e>
          <m:sup>
            <m:r>
              <m:t>ε</m:t>
            </m:r>
          </m:sup>
        </m:sSup>
      </m:oMath>
      <w:r>
        <w:t xml:space="preserve">), por exemplo, o repasse pode</w:t>
      </w:r>
      <w:r>
        <w:t xml:space="preserve"> </w:t>
      </w:r>
      <w:r>
        <w:rPr>
          <w:i/>
          <w:iCs/>
        </w:rPr>
        <w:t xml:space="preserve">exceder</w:t>
      </w:r>
      <w:r>
        <w:t xml:space="preserve"> </w:t>
      </w:r>
      <w:r>
        <w:t xml:space="preserve">100% — o preço sobe mais do que o valor do imposto. Esse resultado aparentemente paradoxal ocorre porque a demanda isoelástica é mais convexa que a linear, fazendo com que a</w:t>
      </w:r>
      <w:r>
        <w:t xml:space="preserve"> </w:t>
      </w:r>
      <m:oMath>
        <m:r>
          <m:t>R</m:t>
        </m:r>
        <m:r>
          <m:t>M</m:t>
        </m:r>
        <m:r>
          <m:t>g</m:t>
        </m:r>
      </m:oMath>
      <w:r>
        <w:t xml:space="preserve"> </w:t>
      </w:r>
      <w:r>
        <w:t xml:space="preserve">se desloque mais do que proporcionalmente. A forma funcional da demanda, portanto, é crucial para a análise de incidência tributária em mercados com poder de mercado.</w:t>
      </w:r>
    </w:p>
    <w:bookmarkEnd w:id="929"/>
    <w:bookmarkStart w:id="930" w:name="deslocamento-da-demanda"/>
    <w:p>
      <w:pPr>
        <w:pStyle w:val="Heading4"/>
      </w:pPr>
      <w:r>
        <w:t xml:space="preserve">Deslocamento da demanda</w:t>
      </w:r>
    </w:p>
    <w:p>
      <w:pPr>
        <w:pStyle w:val="FirstParagraph"/>
      </w:pPr>
      <w:r>
        <w:t xml:space="preserve">Um aumento na demanda (deslocamento paralelo de</w:t>
      </w:r>
      <w:r>
        <w:t xml:space="preserve"> </w:t>
      </w:r>
      <m:oMath>
        <m:r>
          <m:t>a</m:t>
        </m:r>
      </m:oMath>
      <w:r>
        <w:t xml:space="preserve"> </w:t>
      </w:r>
      <w:r>
        <w:t xml:space="preserve">para</w:t>
      </w:r>
      <w:r>
        <w:t xml:space="preserve"> </w:t>
      </w:r>
      <m:oMath>
        <m:r>
          <m:t>a</m:t>
        </m:r>
        <m:r>
          <m:rPr>
            <m:sty m:val="p"/>
          </m:rPr>
          <m:t>+</m:t>
        </m:r>
        <m:r>
          <m:rPr>
            <m:sty m:val="p"/>
          </m:rPr>
          <m:t>Δ</m:t>
        </m:r>
      </m:oMath>
      <w:r>
        <w:t xml:space="preserve">) eleva tanto o preço quanto a quantidade de monopólio:</w:t>
      </w:r>
    </w:p>
    <w:p>
      <w:pPr>
        <w:pStyle w:val="BodyText"/>
      </w:pPr>
      <m:oMathPara>
        <m:oMathParaPr>
          <m:jc m:val="center"/>
        </m:oMathParaPr>
        <m:oMath>
          <m:r>
            <m:rPr>
              <m:sty m:val="p"/>
            </m:rPr>
            <m:t>Δ</m:t>
          </m:r>
          <m:sSup>
            <m:e>
              <m:r>
                <m:t>p</m:t>
              </m:r>
            </m:e>
            <m:sup>
              <m:r>
                <m:t>m</m:t>
              </m:r>
            </m:sup>
          </m:sSup>
          <m:r>
            <m:rPr>
              <m:sty m:val="p"/>
            </m:rPr>
            <m:t>=</m:t>
          </m:r>
          <m:f>
            <m:fPr>
              <m:type m:val="bar"/>
            </m:fPr>
            <m:num>
              <m:r>
                <m:rPr>
                  <m:sty m:val="p"/>
                </m:rPr>
                <m:t>Δ</m:t>
              </m:r>
            </m:num>
            <m:den>
              <m:r>
                <m:t>2</m:t>
              </m:r>
            </m:den>
          </m:f>
          <m:r>
            <m:rPr>
              <m:sty m:val="p"/>
            </m:rPr>
            <m:t>,</m:t>
          </m:r>
          <m:r>
            <m:t> </m:t>
          </m:r>
          <m:r>
            <m:rPr>
              <m:sty m:val="p"/>
            </m:rPr>
            <m:t>Δ</m:t>
          </m:r>
          <m:sSup>
            <m:e>
              <m:r>
                <m:t>q</m:t>
              </m:r>
            </m:e>
            <m:sup>
              <m:r>
                <m:t>m</m:t>
              </m:r>
            </m:sup>
          </m:sSup>
          <m:r>
            <m:rPr>
              <m:sty m:val="p"/>
            </m:rPr>
            <m:t>=</m:t>
          </m:r>
          <m:f>
            <m:fPr>
              <m:type m:val="bar"/>
            </m:fPr>
            <m:num>
              <m:r>
                <m:rPr>
                  <m:sty m:val="p"/>
                </m:rPr>
                <m:t>Δ</m:t>
              </m:r>
            </m:num>
            <m:den>
              <m:r>
                <m:t>2</m:t>
              </m:r>
              <m:r>
                <m:t>b</m:t>
              </m:r>
            </m:den>
          </m:f>
        </m:oMath>
      </m:oMathPara>
    </w:p>
    <w:p>
      <w:pPr>
        <w:pStyle w:val="FirstParagraph"/>
      </w:pPr>
      <w:r>
        <w:t xml:space="preserve">O lucro do monopolista é crescente e convexo na demanda, o que implica que o monopolista tem incentivos fortes para investir em publicidade ou atividades que expandam a demanda. Essa convexidade do lucro na demanda é uma propriedade geral do monopólio (não restrita à demanda linear) e tem uma consequência importante: o monopolista valora aumentos de demanda mais do que proporcionalmente, o que explica os elevados gastos em publicidade observados em mercados monopolísticos ou altamente concentrados.</w:t>
      </w:r>
    </w:p>
    <w:p>
      <w:pPr>
        <w:pStyle w:val="BodyText"/>
      </w:pPr>
      <w:r>
        <w:t xml:space="preserve">No gráfico interativo abaixo, experimente ajustar o slider do imposto</w:t>
      </w:r>
      <w:r>
        <w:t xml:space="preserve"> </w:t>
      </w:r>
      <m:oMath>
        <m:r>
          <m:t>t</m:t>
        </m:r>
      </m:oMath>
      <w:r>
        <w:t xml:space="preserve"> </w:t>
      </w:r>
      <w:r>
        <w:t xml:space="preserve">e observe como o equilíbrio de monopólio se desloca. Note que o preço sobe apenas metade do valor do imposto, enquanto a quantidade cai. Observe também o retângulo de receita fiscal e como a perda de peso morto se altera.</w:t>
      </w:r>
    </w:p>
    <w:p>
      <w:pPr>
        <w:pStyle w:val="BodyText"/>
      </w:pPr>
      <w:r>
        <w:t xml:space="preserve">[FIGURA INTERATIVA: /micro-book/graficos/cap15/estatica-comparativa.html — versao interativa disponivel online]</w:t>
      </w:r>
    </w:p>
    <w:p>
      <w:pPr>
        <w:pStyle w:val="BodyText"/>
      </w:pPr>
      <w:r>
        <w:rPr>
          <w:b/>
          <w:bCs/>
        </w:rPr>
        <w:t xml:space="preserve">Figura 15.2 — Estática comparativa: efeito de um imposto sobre o monopólio.</w:t>
      </w:r>
      <w:r>
        <w:t xml:space="preserve"> </w:t>
      </w:r>
      <w:r>
        <w:t xml:space="preserve">Ajuste o imposto unitário</w:t>
      </w:r>
      <w:r>
        <w:t xml:space="preserve"> </w:t>
      </w:r>
      <m:oMath>
        <m:r>
          <m:t>t</m:t>
        </m:r>
      </m:oMath>
      <w:r>
        <w:t xml:space="preserve"> </w:t>
      </w:r>
      <w:r>
        <w:t xml:space="preserve">e os parâmetros da demanda para visualizar como o equilíbrio se desloca. Observe que o monopolista repassa apenas metade do imposto (com demanda linear) e compare com o resultado competitivo.</w:t>
      </w:r>
    </w:p>
    <w:p>
      <w:pPr>
        <w:pStyle w:val="BlockText"/>
      </w:pPr>
      <w:r>
        <w:rPr>
          <w:b/>
          <w:bCs/>
        </w:rPr>
        <w:t xml:space="preserve">[EXERCICIO RESOLVIDO] Exercício Resolvido 15.3 — Imposto sobre o monopolista</w:t>
      </w:r>
    </w:p>
    <w:p>
      <w:pPr>
        <w:pStyle w:val="BlockText"/>
      </w:pPr>
      <w:r>
        <w:rPr>
          <w:b/>
          <w:bCs/>
        </w:rPr>
        <w:t xml:space="preserve">Enunciado.</w:t>
      </w:r>
      <w:r>
        <w:t xml:space="preserve"> </w:t>
      </w:r>
      <w:r>
        <w:t xml:space="preserve">Um monopolista enfrenta demanda</w:t>
      </w:r>
      <w:r>
        <w:t xml:space="preserve"> </w:t>
      </w:r>
      <m:oMath>
        <m:r>
          <m:t>p</m:t>
        </m:r>
        <m:r>
          <m:rPr>
            <m:sty m:val="p"/>
          </m:rPr>
          <m:t>=</m:t>
        </m:r>
        <m:r>
          <m:t>60</m:t>
        </m:r>
        <m:r>
          <m:rPr>
            <m:sty m:val="p"/>
          </m:rPr>
          <m:t>−</m:t>
        </m:r>
        <m:r>
          <m:t>q</m:t>
        </m:r>
      </m:oMath>
      <w:r>
        <w:t xml:space="preserve"> </w:t>
      </w:r>
      <w:r>
        <w:t xml:space="preserve">e tem</w:t>
      </w:r>
      <w:r>
        <w:t xml:space="preserve"> </w:t>
      </w:r>
      <m:oMath>
        <m:r>
          <m:t>C</m:t>
        </m:r>
        <m:r>
          <m:t>M</m:t>
        </m:r>
        <m:r>
          <m:t>g</m:t>
        </m:r>
        <m:r>
          <m:rPr>
            <m:sty m:val="p"/>
          </m:rPr>
          <m:t>=</m:t>
        </m:r>
        <m:r>
          <m:t>12</m:t>
        </m:r>
      </m:oMath>
      <w:r>
        <w:t xml:space="preserve">. O governo impõe imposto unitário</w:t>
      </w:r>
      <w:r>
        <w:t xml:space="preserve"> </w:t>
      </w:r>
      <m:oMath>
        <m:r>
          <m:t>t</m:t>
        </m:r>
        <m:r>
          <m:rPr>
            <m:sty m:val="p"/>
          </m:rPr>
          <m:t>=</m:t>
        </m:r>
        <m:r>
          <m:t>8</m:t>
        </m:r>
      </m:oMath>
      <w:r>
        <w:t xml:space="preserve">. (a) Encontre</w:t>
      </w:r>
      <w:r>
        <w:t xml:space="preserve"> </w:t>
      </w:r>
      <m:oMath>
        <m:r>
          <m:rPr>
            <m:sty m:val="p"/>
          </m:rPr>
          <m:t>(</m:t>
        </m:r>
        <m:r>
          <m:t>p</m:t>
        </m:r>
        <m:r>
          <m:rPr>
            <m:sty m:val="p"/>
          </m:rPr>
          <m:t>,</m:t>
        </m:r>
        <m:r>
          <m:t>q</m:t>
        </m:r>
        <m:r>
          <m:rPr>
            <m:sty m:val="p"/>
          </m:rPr>
          <m:t>,</m:t>
        </m:r>
        <m:r>
          <m:t>π</m:t>
        </m:r>
        <m:r>
          <m:rPr>
            <m:sty m:val="p"/>
          </m:rPr>
          <m:t>)</m:t>
        </m:r>
      </m:oMath>
      <w:r>
        <w:t xml:space="preserve"> </w:t>
      </w:r>
      <w:r>
        <w:t xml:space="preserve">antes e depois do imposto. (b) Que fração do imposto é repassada ao consumidor? (c) Calcule a variação no excedente do consumidor.</w:t>
      </w:r>
    </w:p>
    <w:p>
      <w:r>
        <w:pict>
          <v:rect style="width:0;height:1.5pt" o:hralign="center" o:hrstd="t" o:hr="t"/>
        </w:pict>
      </w:r>
    </w:p>
    <w:p>
      <w:pPr>
        <w:pStyle w:val="BlockText"/>
      </w:pPr>
      <w:r>
        <w:rPr>
          <w:b/>
          <w:bCs/>
        </w:rPr>
        <w:t xml:space="preserve">(a) Antes do imposto:</w:t>
      </w:r>
    </w:p>
    <w:p>
      <w:pPr>
        <w:pStyle w:val="BlockText"/>
      </w:pPr>
      <m:oMath>
        <m:r>
          <m:t>R</m:t>
        </m:r>
        <m:r>
          <m:t>M</m:t>
        </m:r>
        <m:r>
          <m:t>g</m:t>
        </m:r>
        <m:r>
          <m:rPr>
            <m:sty m:val="p"/>
          </m:rPr>
          <m:t>=</m:t>
        </m:r>
        <m:r>
          <m:t>60</m:t>
        </m:r>
        <m:r>
          <m:rPr>
            <m:sty m:val="p"/>
          </m:rPr>
          <m:t>−</m:t>
        </m:r>
        <m:r>
          <m:t>2</m:t>
        </m:r>
        <m:r>
          <m:t>q</m:t>
        </m:r>
        <m:r>
          <m:rPr>
            <m:sty m:val="p"/>
          </m:rPr>
          <m:t>=</m:t>
        </m:r>
        <m:r>
          <m:t>12</m:t>
        </m:r>
        <m:r>
          <m:rPr>
            <m:sty m:val="p"/>
          </m:rPr>
          <m:t>⟹</m:t>
        </m:r>
        <m:sSup>
          <m:e>
            <m:r>
              <m:t>q</m:t>
            </m:r>
          </m:e>
          <m:sup>
            <m:r>
              <m:t>m</m:t>
            </m:r>
          </m:sup>
        </m:sSup>
        <m:r>
          <m:rPr>
            <m:sty m:val="p"/>
          </m:rPr>
          <m:t>=</m:t>
        </m:r>
        <m:r>
          <m:t>24</m:t>
        </m:r>
      </m:oMath>
      <w:r>
        <w:t xml:space="preserve">,</w:t>
      </w:r>
      <w:r>
        <w:t xml:space="preserve"> </w:t>
      </w:r>
      <m:oMath>
        <m:sSup>
          <m:e>
            <m:r>
              <m:t>p</m:t>
            </m:r>
          </m:e>
          <m:sup>
            <m:r>
              <m:t>m</m:t>
            </m:r>
          </m:sup>
        </m:sSup>
        <m:r>
          <m:rPr>
            <m:sty m:val="p"/>
          </m:rPr>
          <m:t>=</m:t>
        </m:r>
        <m:r>
          <m:t>36</m:t>
        </m:r>
      </m:oMath>
      <w:r>
        <w:t xml:space="preserve">.</w:t>
      </w:r>
      <w:r>
        <w:t xml:space="preserve"> </w:t>
      </w:r>
      <m:oMath>
        <m:r>
          <m:t>π</m:t>
        </m:r>
        <m:r>
          <m:rPr>
            <m:sty m:val="p"/>
          </m:rPr>
          <m:t>=</m:t>
        </m:r>
        <m:r>
          <m:rPr>
            <m:sty m:val="p"/>
          </m:rPr>
          <m:t>(</m:t>
        </m:r>
        <m:r>
          <m:t>36</m:t>
        </m:r>
        <m:r>
          <m:rPr>
            <m:sty m:val="p"/>
          </m:rPr>
          <m:t>−</m:t>
        </m:r>
        <m:r>
          <m:t>12</m:t>
        </m:r>
        <m:r>
          <m:rPr>
            <m:sty m:val="p"/>
          </m:rPr>
          <m:t>)</m:t>
        </m:r>
        <m:r>
          <m:rPr>
            <m:sty m:val="p"/>
          </m:rPr>
          <m:t>(</m:t>
        </m:r>
        <m:r>
          <m:t>24</m:t>
        </m:r>
        <m:r>
          <m:rPr>
            <m:sty m:val="p"/>
          </m:rPr>
          <m:t>)</m:t>
        </m:r>
        <m:r>
          <m:rPr>
            <m:sty m:val="p"/>
          </m:rPr>
          <m:t>=</m:t>
        </m:r>
        <m:r>
          <m:t>576</m:t>
        </m:r>
      </m:oMath>
      <w:r>
        <w:t xml:space="preserve">.</w:t>
      </w:r>
    </w:p>
    <w:p>
      <w:pPr>
        <w:pStyle w:val="BlockText"/>
      </w:pPr>
      <w:r>
        <w:rPr>
          <w:b/>
          <w:bCs/>
        </w:rPr>
        <w:t xml:space="preserve">Depois do imposto:</w:t>
      </w:r>
      <w:r>
        <w:t xml:space="preserve"> </w:t>
      </w:r>
      <w:r>
        <w:t xml:space="preserve">CMg efetivo =</w:t>
      </w:r>
      <w:r>
        <w:t xml:space="preserve"> </w:t>
      </w:r>
      <m:oMath>
        <m:r>
          <m:t>12</m:t>
        </m:r>
        <m:r>
          <m:rPr>
            <m:sty m:val="p"/>
          </m:rPr>
          <m:t>+</m:t>
        </m:r>
        <m:r>
          <m:t>8</m:t>
        </m:r>
        <m:r>
          <m:rPr>
            <m:sty m:val="p"/>
          </m:rPr>
          <m:t>=</m:t>
        </m:r>
        <m:r>
          <m:t>20</m:t>
        </m:r>
      </m:oMath>
      <w:r>
        <w:t xml:space="preserve">.</w:t>
      </w:r>
    </w:p>
    <w:p>
      <w:pPr>
        <w:pStyle w:val="BlockText"/>
      </w:pPr>
      <m:oMath>
        <m:r>
          <m:t>R</m:t>
        </m:r>
        <m:r>
          <m:t>M</m:t>
        </m:r>
        <m:r>
          <m:t>g</m:t>
        </m:r>
        <m:r>
          <m:rPr>
            <m:sty m:val="p"/>
          </m:rPr>
          <m:t>=</m:t>
        </m:r>
        <m:r>
          <m:t>60</m:t>
        </m:r>
        <m:r>
          <m:rPr>
            <m:sty m:val="p"/>
          </m:rPr>
          <m:t>−</m:t>
        </m:r>
        <m:r>
          <m:t>2</m:t>
        </m:r>
        <m:r>
          <m:t>q</m:t>
        </m:r>
        <m:r>
          <m:rPr>
            <m:sty m:val="p"/>
          </m:rPr>
          <m:t>=</m:t>
        </m:r>
        <m:r>
          <m:t>20</m:t>
        </m:r>
        <m:r>
          <m:rPr>
            <m:sty m:val="p"/>
          </m:rPr>
          <m:t>⟹</m:t>
        </m:r>
        <m:sSup>
          <m:e>
            <m:r>
              <m:t>q</m:t>
            </m:r>
          </m:e>
          <m:sup>
            <m:r>
              <m:t>m</m:t>
            </m:r>
          </m:sup>
        </m:sSup>
        <m:r>
          <m:rPr>
            <m:sty m:val="p"/>
          </m:rPr>
          <m:t>(</m:t>
        </m:r>
        <m:r>
          <m:t>t</m:t>
        </m:r>
        <m:r>
          <m:rPr>
            <m:sty m:val="p"/>
          </m:rPr>
          <m:t>)</m:t>
        </m:r>
        <m:r>
          <m:rPr>
            <m:sty m:val="p"/>
          </m:rPr>
          <m:t>=</m:t>
        </m:r>
        <m:r>
          <m:t>20</m:t>
        </m:r>
      </m:oMath>
      <w:r>
        <w:t xml:space="preserve">,</w:t>
      </w:r>
      <w:r>
        <w:t xml:space="preserve"> </w:t>
      </w:r>
      <m:oMath>
        <m:sSup>
          <m:e>
            <m:r>
              <m:t>p</m:t>
            </m:r>
          </m:e>
          <m:sup>
            <m:r>
              <m:t>m</m:t>
            </m:r>
          </m:sup>
        </m:sSup>
        <m:r>
          <m:rPr>
            <m:sty m:val="p"/>
          </m:rPr>
          <m:t>(</m:t>
        </m:r>
        <m:r>
          <m:t>t</m:t>
        </m:r>
        <m:r>
          <m:rPr>
            <m:sty m:val="p"/>
          </m:rPr>
          <m:t>)</m:t>
        </m:r>
        <m:r>
          <m:rPr>
            <m:sty m:val="p"/>
          </m:rPr>
          <m:t>=</m:t>
        </m:r>
        <m:r>
          <m:t>40</m:t>
        </m:r>
      </m:oMath>
      <w:r>
        <w:t xml:space="preserve">.</w:t>
      </w:r>
      <w:r>
        <w:t xml:space="preserve"> </w:t>
      </w:r>
      <m:oMath>
        <m:r>
          <m:t>π</m:t>
        </m:r>
        <m:r>
          <m:rPr>
            <m:sty m:val="p"/>
          </m:rPr>
          <m:t>=</m:t>
        </m:r>
        <m:r>
          <m:rPr>
            <m:sty m:val="p"/>
          </m:rPr>
          <m:t>(</m:t>
        </m:r>
        <m:r>
          <m:t>40</m:t>
        </m:r>
        <m:r>
          <m:rPr>
            <m:sty m:val="p"/>
          </m:rPr>
          <m:t>−</m:t>
        </m:r>
        <m:r>
          <m:t>20</m:t>
        </m:r>
        <m:r>
          <m:rPr>
            <m:sty m:val="p"/>
          </m:rPr>
          <m:t>)</m:t>
        </m:r>
        <m:r>
          <m:rPr>
            <m:sty m:val="p"/>
          </m:rPr>
          <m:t>(</m:t>
        </m:r>
        <m:r>
          <m:t>20</m:t>
        </m:r>
        <m:r>
          <m:rPr>
            <m:sty m:val="p"/>
          </m:rPr>
          <m:t>)</m:t>
        </m:r>
        <m:r>
          <m:rPr>
            <m:sty m:val="p"/>
          </m:rPr>
          <m:t>=</m:t>
        </m:r>
        <m:r>
          <m:t>400</m:t>
        </m:r>
      </m:oMath>
      <w:r>
        <w:t xml:space="preserve">.</w:t>
      </w:r>
    </w:p>
    <w:p>
      <w:pPr>
        <w:pStyle w:val="BlockText"/>
      </w:pPr>
      <w:r>
        <w:rPr>
          <w:b/>
          <w:bCs/>
        </w:rPr>
        <w:t xml:space="preserve">(b)</w:t>
      </w:r>
      <w:r>
        <w:t xml:space="preserve"> </w:t>
      </w:r>
      <w:r>
        <w:t xml:space="preserve">Repasse:</w:t>
      </w:r>
      <w:r>
        <w:t xml:space="preserve"> </w:t>
      </w:r>
      <m:oMath>
        <m:r>
          <m:rPr>
            <m:sty m:val="p"/>
          </m:rPr>
          <m:t>Δ</m:t>
        </m:r>
        <m:r>
          <m:t>p</m:t>
        </m:r>
        <m:r>
          <m:rPr>
            <m:sty m:val="p"/>
          </m:rPr>
          <m:t>=</m:t>
        </m:r>
        <m:r>
          <m:t>40</m:t>
        </m:r>
        <m:r>
          <m:rPr>
            <m:sty m:val="p"/>
          </m:rPr>
          <m:t>−</m:t>
        </m:r>
        <m:r>
          <m:t>36</m:t>
        </m:r>
        <m:r>
          <m:rPr>
            <m:sty m:val="p"/>
          </m:rPr>
          <m:t>=</m:t>
        </m:r>
        <m:r>
          <m:t>4</m:t>
        </m:r>
      </m:oMath>
      <w:r>
        <w:t xml:space="preserve">. Fração repassada:</w:t>
      </w:r>
      <w:r>
        <w:t xml:space="preserve"> </w:t>
      </w:r>
      <m:oMath>
        <m:r>
          <m:t>4</m:t>
        </m:r>
        <m:r>
          <m:rPr>
            <m:sty m:val="p"/>
          </m:rPr>
          <m:t>/</m:t>
        </m:r>
        <m:r>
          <m:t>8</m:t>
        </m:r>
        <m:r>
          <m:rPr>
            <m:sty m:val="p"/>
          </m:rPr>
          <m:t>=</m:t>
        </m:r>
        <m:r>
          <m:t>50</m:t>
        </m:r>
        <m:r>
          <m:rPr>
            <m:sty m:val="p"/>
          </m:rPr>
          <m:t>%</m:t>
        </m:r>
      </m:oMath>
      <w:r>
        <w:t xml:space="preserve">. ✓ (Resultado geral para demanda linear.)</w:t>
      </w:r>
    </w:p>
    <w:p>
      <w:pPr>
        <w:pStyle w:val="BlockText"/>
      </w:pPr>
      <w:r>
        <w:rPr>
          <w:b/>
          <w:bCs/>
        </w:rPr>
        <w:t xml:space="preserve">(c)</w:t>
      </w:r>
      <w:r>
        <w:t xml:space="preserve"> </w:t>
      </w:r>
      <m:oMath>
        <m:r>
          <m:t>E</m:t>
        </m:r>
        <m:sSub>
          <m:e>
            <m:r>
              <m:t>C</m:t>
            </m:r>
          </m:e>
          <m:sub>
            <m:r>
              <m:rPr>
                <m:nor/>
                <m:sty m:val="p"/>
              </m:rPr>
              <m:t>antes</m:t>
            </m:r>
          </m:sub>
        </m:sSub>
        <m:r>
          <m:rPr>
            <m:sty m:val="p"/>
          </m:rPr>
          <m:t>=</m:t>
        </m:r>
        <m:f>
          <m:fPr>
            <m:type m:val="bar"/>
          </m:fPr>
          <m:num>
            <m:r>
              <m:t>1</m:t>
            </m:r>
          </m:num>
          <m:den>
            <m:r>
              <m:t>2</m:t>
            </m:r>
          </m:den>
        </m:f>
        <m:r>
          <m:rPr>
            <m:sty m:val="p"/>
          </m:rPr>
          <m:t>(</m:t>
        </m:r>
        <m:r>
          <m:t>60</m:t>
        </m:r>
        <m:r>
          <m:rPr>
            <m:sty m:val="p"/>
          </m:rPr>
          <m:t>−</m:t>
        </m:r>
        <m:r>
          <m:t>36</m:t>
        </m:r>
        <m:r>
          <m:rPr>
            <m:sty m:val="p"/>
          </m:rPr>
          <m:t>)</m:t>
        </m:r>
        <m:r>
          <m:rPr>
            <m:sty m:val="p"/>
          </m:rPr>
          <m:t>(</m:t>
        </m:r>
        <m:r>
          <m:t>24</m:t>
        </m:r>
        <m:r>
          <m:rPr>
            <m:sty m:val="p"/>
          </m:rPr>
          <m:t>)</m:t>
        </m:r>
        <m:r>
          <m:rPr>
            <m:sty m:val="p"/>
          </m:rPr>
          <m:t>=</m:t>
        </m:r>
        <m:r>
          <m:t>288</m:t>
        </m:r>
      </m:oMath>
      <w:r>
        <w:t xml:space="preserve">.</w:t>
      </w:r>
    </w:p>
    <w:p>
      <w:pPr>
        <w:pStyle w:val="BlockText"/>
      </w:pPr>
      <m:oMath>
        <m:r>
          <m:t>E</m:t>
        </m:r>
        <m:sSub>
          <m:e>
            <m:r>
              <m:t>C</m:t>
            </m:r>
          </m:e>
          <m:sub>
            <m:r>
              <m:rPr>
                <m:nor/>
                <m:sty m:val="p"/>
              </m:rPr>
              <m:t>depois</m:t>
            </m:r>
          </m:sub>
        </m:sSub>
        <m:r>
          <m:rPr>
            <m:sty m:val="p"/>
          </m:rPr>
          <m:t>=</m:t>
        </m:r>
        <m:f>
          <m:fPr>
            <m:type m:val="bar"/>
          </m:fPr>
          <m:num>
            <m:r>
              <m:t>1</m:t>
            </m:r>
          </m:num>
          <m:den>
            <m:r>
              <m:t>2</m:t>
            </m:r>
          </m:den>
        </m:f>
        <m:r>
          <m:rPr>
            <m:sty m:val="p"/>
          </m:rPr>
          <m:t>(</m:t>
        </m:r>
        <m:r>
          <m:t>60</m:t>
        </m:r>
        <m:r>
          <m:rPr>
            <m:sty m:val="p"/>
          </m:rPr>
          <m:t>−</m:t>
        </m:r>
        <m:r>
          <m:t>40</m:t>
        </m:r>
        <m:r>
          <m:rPr>
            <m:sty m:val="p"/>
          </m:rPr>
          <m:t>)</m:t>
        </m:r>
        <m:r>
          <m:rPr>
            <m:sty m:val="p"/>
          </m:rPr>
          <m:t>(</m:t>
        </m:r>
        <m:r>
          <m:t>20</m:t>
        </m:r>
        <m:r>
          <m:rPr>
            <m:sty m:val="p"/>
          </m:rPr>
          <m:t>)</m:t>
        </m:r>
        <m:r>
          <m:rPr>
            <m:sty m:val="p"/>
          </m:rPr>
          <m:t>=</m:t>
        </m:r>
        <m:r>
          <m:t>200</m:t>
        </m:r>
      </m:oMath>
      <w:r>
        <w:t xml:space="preserve">.</w:t>
      </w:r>
    </w:p>
    <w:p>
      <w:pPr>
        <w:pStyle w:val="BlockText"/>
      </w:pPr>
      <m:oMath>
        <m:r>
          <m:rPr>
            <m:sty m:val="p"/>
          </m:rPr>
          <m:t>Δ</m:t>
        </m:r>
        <m:r>
          <m:t>E</m:t>
        </m:r>
        <m:r>
          <m:t>C</m:t>
        </m:r>
        <m:r>
          <m:rPr>
            <m:sty m:val="p"/>
          </m:rPr>
          <m:t>=</m:t>
        </m:r>
        <m:r>
          <m:t>200</m:t>
        </m:r>
        <m:r>
          <m:rPr>
            <m:sty m:val="p"/>
          </m:rPr>
          <m:t>−</m:t>
        </m:r>
        <m:r>
          <m:t>288</m:t>
        </m:r>
        <m:r>
          <m:rPr>
            <m:sty m:val="p"/>
          </m:rPr>
          <m:t>=</m:t>
        </m:r>
        <m:r>
          <m:rPr>
            <m:sty m:val="p"/>
          </m:rPr>
          <m:t>−</m:t>
        </m:r>
        <m:r>
          <m:t>88</m:t>
        </m:r>
      </m:oMath>
      <w:r>
        <w:t xml:space="preserve">.</w:t>
      </w:r>
    </w:p>
    <w:p>
      <w:pPr>
        <w:pStyle w:val="BlockText"/>
      </w:pPr>
      <w:r>
        <w:rPr>
          <w:b/>
          <w:bCs/>
        </w:rPr>
        <w:t xml:space="preserve">Interpretação:</w:t>
      </w:r>
      <w:r>
        <w:t xml:space="preserve"> </w:t>
      </w:r>
      <w:r>
        <w:t xml:space="preserve">O consumidor perde R$ 88 de excedente. O monopolista absorve R$ 176 de perda de lucro (</w:t>
      </w:r>
      <m:oMath>
        <m:r>
          <m:t>576</m:t>
        </m:r>
        <m:r>
          <m:rPr>
            <m:sty m:val="p"/>
          </m:rPr>
          <m:t>−</m:t>
        </m:r>
        <m:r>
          <m:t>400</m:t>
        </m:r>
      </m:oMath>
      <w:r>
        <w:t xml:space="preserve">). A receita fiscal é</w:t>
      </w:r>
      <w:r>
        <w:t xml:space="preserve"> </w:t>
      </w:r>
      <m:oMath>
        <m:r>
          <m:t>8</m:t>
        </m:r>
        <m:r>
          <m:rPr>
            <m:sty m:val="p"/>
          </m:rPr>
          <m:t>×</m:t>
        </m:r>
        <m:r>
          <m:t>20</m:t>
        </m:r>
        <m:r>
          <m:rPr>
            <m:sty m:val="p"/>
          </m:rPr>
          <m:t>=</m:t>
        </m:r>
        <m:r>
          <m:t>160</m:t>
        </m:r>
      </m:oMath>
      <w:r>
        <w:t xml:space="preserve">. A soma</w:t>
      </w:r>
      <w:r>
        <w:t xml:space="preserve"> </w:t>
      </w:r>
      <m:oMath>
        <m:r>
          <m:t>88</m:t>
        </m:r>
        <m:r>
          <m:rPr>
            <m:sty m:val="p"/>
          </m:rPr>
          <m:t>+</m:t>
        </m:r>
        <m:r>
          <m:t>176</m:t>
        </m:r>
        <m:r>
          <m:rPr>
            <m:sty m:val="p"/>
          </m:rPr>
          <m:t>=</m:t>
        </m:r>
        <m:r>
          <m:t>264</m:t>
        </m:r>
      </m:oMath>
      <w:r>
        <w:t xml:space="preserve"> </w:t>
      </w:r>
      <w:r>
        <w:t xml:space="preserve">excede a receita fiscal de 160 em</w:t>
      </w:r>
      <w:r>
        <w:t xml:space="preserve"> </w:t>
      </w:r>
      <m:oMath>
        <m:r>
          <m:t>264</m:t>
        </m:r>
        <m:r>
          <m:rPr>
            <m:sty m:val="p"/>
          </m:rPr>
          <m:t>−</m:t>
        </m:r>
        <m:r>
          <m:t>160</m:t>
        </m:r>
        <m:r>
          <m:rPr>
            <m:sty m:val="p"/>
          </m:rPr>
          <m:t>=</m:t>
        </m:r>
        <m:r>
          <m:t>104</m:t>
        </m:r>
      </m:oMath>
      <w:r>
        <w:t xml:space="preserve"> </w:t>
      </w:r>
      <w:r>
        <w:t xml:space="preserve">— esta diferença é o aumento na perda de peso morto causado pelo imposto.</w:t>
      </w:r>
    </w:p>
    <w:p>
      <w:pPr>
        <w:pStyle w:val="FirstParagraph"/>
      </w:pPr>
      <w:r>
        <w:t xml:space="preserve">[FIGURA INTERATIVA: /micro-book/graficos/cap15/webr-imposto-monopolio.html — versao interativa disponivel online]</w:t>
      </w:r>
    </w:p>
    <w:p>
      <w:pPr>
        <w:pStyle w:val="BodyText"/>
      </w:pPr>
      <w:r>
        <w:rPr>
          <w:b/>
          <w:bCs/>
        </w:rPr>
        <w:t xml:space="preserve">WebR 15.2 — O monopolista absorve metade do imposto.</w:t>
      </w:r>
      <w:r>
        <w:t xml:space="preserve"> </w:t>
      </w:r>
      <w:r>
        <w:t xml:space="preserve">O código implementa o ER 15.3: calcula o equilíbrio antes e depois do imposto, mostrando que o repasse é exatamente 50% com demanda linear. No gráfico da direita, observe que o lucro é uma parábola invertida no imposto — existe um</w:t>
      </w:r>
      <w:r>
        <w:t xml:space="preserve"> </w:t>
      </w:r>
      <m:oMath>
        <m:r>
          <m:t>t</m:t>
        </m:r>
      </m:oMath>
      <w:r>
        <w:t xml:space="preserve"> </w:t>
      </w:r>
      <w:r>
        <w:t xml:space="preserve">que maximiza a receita fiscal. Experimente alterar</w:t>
      </w:r>
      <w:r>
        <w:t xml:space="preserve"> </w:t>
      </w:r>
      <w:r>
        <w:rPr>
          <w:rStyle w:val="VerbatimChar"/>
        </w:rPr>
        <w:t xml:space="preserve">t</w:t>
      </w:r>
      <w:r>
        <w:t xml:space="preserve"> </w:t>
      </w:r>
      <w:r>
        <w:t xml:space="preserve">e compare o efeito sobre consumidor, produtor e governo.</w:t>
      </w:r>
    </w:p>
    <w:bookmarkEnd w:id="930"/>
    <w:bookmarkEnd w:id="931"/>
    <w:bookmarkEnd w:id="932"/>
    <w:bookmarkStart w:id="941" w:name="X61b5f23d5f61bd98fd1fcb9c9cf27a45c7a16c2"/>
    <w:p>
      <w:pPr>
        <w:pStyle w:val="Heading2"/>
      </w:pPr>
      <w:r>
        <w:t xml:space="preserve">15.6–15.8 Qualidade, Discriminação de Preços e Tarifas</w:t>
      </w:r>
    </w:p>
    <w:bookmarkStart w:id="933" w:name="X052521b7625e31d4ee9cc706732484fcf850877"/>
    <w:p>
      <w:pPr>
        <w:pStyle w:val="Heading3"/>
      </w:pPr>
      <w:r>
        <w:t xml:space="preserve">15.6 Bom o Bastante para o Último Cliente: Qualidade sob Monopólio</w:t>
      </w:r>
    </w:p>
    <w:p>
      <w:pPr>
        <w:pStyle w:val="FirstParagraph"/>
      </w:pPr>
      <w:r>
        <w:t xml:space="preserve">Até este ponto, tratamos o produto do monopolista como dado — variando apenas preço e quantidade. Na prática, porém, o monopolista também decide sobre a</w:t>
      </w:r>
      <w:r>
        <w:t xml:space="preserve"> </w:t>
      </w:r>
      <w:r>
        <w:rPr>
          <w:b/>
          <w:bCs/>
        </w:rPr>
        <w:t xml:space="preserve">qualidade</w:t>
      </w:r>
      <w:r>
        <w:t xml:space="preserve"> </w:t>
      </w:r>
      <w:r>
        <w:t xml:space="preserve">do que oferece. Será que um monopolista investe adequadamente em qualidade, ou a ausência de pressão competitiva o leva a oferecer produtos inferiores ao que seria socialmente desejável? A resposta, como veremos, é surpreendentemente ambígua — e depende de detalhes da distribuição de preferências entre os consumidores.</w:t>
      </w:r>
    </w:p>
    <w:p>
      <w:pPr>
        <w:pStyle w:val="BodyText"/>
      </w:pPr>
      <w:r>
        <w:t xml:space="preserve">O monopolista também escolhe a</w:t>
      </w:r>
      <w:r>
        <w:t xml:space="preserve"> </w:t>
      </w:r>
      <w:r>
        <w:rPr>
          <w:b/>
          <w:bCs/>
        </w:rPr>
        <w:t xml:space="preserve">qualidade</w:t>
      </w:r>
      <w:r>
        <w:t xml:space="preserve"> </w:t>
      </w:r>
      <m:oMath>
        <m:r>
          <m:t>s</m:t>
        </m:r>
      </m:oMath>
      <w:r>
        <w:t xml:space="preserve"> </w:t>
      </w:r>
      <w:r>
        <w:t xml:space="preserve">do produto. Se a demanda é</w:t>
      </w:r>
      <w:r>
        <w:t xml:space="preserve"> </w:t>
      </w:r>
      <m:oMath>
        <m:r>
          <m:t>p</m:t>
        </m:r>
        <m:r>
          <m:rPr>
            <m:sty m:val="p"/>
          </m:rPr>
          <m:t>(</m:t>
        </m:r>
        <m:r>
          <m:t>q</m:t>
        </m:r>
        <m:r>
          <m:rPr>
            <m:sty m:val="p"/>
          </m:rPr>
          <m:t>,</m:t>
        </m:r>
        <m:r>
          <m:t>s</m:t>
        </m:r>
        <m:r>
          <m:rPr>
            <m:sty m:val="p"/>
          </m:rPr>
          <m:t>)</m:t>
        </m:r>
      </m:oMath>
      <w:r>
        <w:t xml:space="preserve"> </w:t>
      </w:r>
      <w:r>
        <w:t xml:space="preserve">e o custo é</w:t>
      </w:r>
      <w:r>
        <w:t xml:space="preserve"> </w:t>
      </w:r>
      <m:oMath>
        <m:r>
          <m:t>C</m:t>
        </m:r>
        <m:r>
          <m:rPr>
            <m:sty m:val="p"/>
          </m:rPr>
          <m:t>(</m:t>
        </m:r>
        <m:r>
          <m:t>q</m:t>
        </m:r>
        <m:r>
          <m:rPr>
            <m:sty m:val="p"/>
          </m:rPr>
          <m:t>,</m:t>
        </m:r>
        <m:r>
          <m:t>s</m:t>
        </m:r>
        <m:r>
          <m:rPr>
            <m:sty m:val="p"/>
          </m:rPr>
          <m:t>)</m:t>
        </m:r>
      </m:oMath>
      <w:r>
        <w:t xml:space="preserve">, o problema torna-se:</w:t>
      </w:r>
    </w:p>
    <w:p>
      <w:pPr>
        <w:pStyle w:val="BodyText"/>
      </w:pPr>
      <m:oMathPara>
        <m:oMathParaPr>
          <m:jc m:val="center"/>
        </m:oMathParaPr>
        <m:oMath>
          <m:limLow>
            <m:e>
              <m:r>
                <m:rPr>
                  <m:sty m:val="p"/>
                </m:rPr>
                <m:t>max</m:t>
              </m:r>
            </m:e>
            <m:lim>
              <m:r>
                <m:t>q</m:t>
              </m:r>
              <m:r>
                <m:rPr>
                  <m:sty m:val="p"/>
                </m:rPr>
                <m:t>,</m:t>
              </m:r>
              <m:r>
                <m:t>s</m:t>
              </m:r>
            </m:lim>
          </m:limLow>
          <m:r>
            <m:t> </m:t>
          </m:r>
          <m:r>
            <m:t>π</m:t>
          </m:r>
          <m:r>
            <m:rPr>
              <m:sty m:val="p"/>
            </m:rPr>
            <m:t>(</m:t>
          </m:r>
          <m:r>
            <m:t>q</m:t>
          </m:r>
          <m:r>
            <m:rPr>
              <m:sty m:val="p"/>
            </m:rPr>
            <m:t>,</m:t>
          </m:r>
          <m:r>
            <m:t>s</m:t>
          </m:r>
          <m:r>
            <m:rPr>
              <m:sty m:val="p"/>
            </m:rPr>
            <m:t>)</m:t>
          </m:r>
          <m:r>
            <m:rPr>
              <m:sty m:val="p"/>
            </m:rPr>
            <m:t>=</m:t>
          </m:r>
          <m:r>
            <m:t>p</m:t>
          </m:r>
          <m:r>
            <m:rPr>
              <m:sty m:val="p"/>
            </m:rPr>
            <m:t>(</m:t>
          </m:r>
          <m:r>
            <m:t>q</m:t>
          </m:r>
          <m:r>
            <m:rPr>
              <m:sty m:val="p"/>
            </m:rPr>
            <m:t>,</m:t>
          </m:r>
          <m:r>
            <m:t>s</m:t>
          </m:r>
          <m:r>
            <m:rPr>
              <m:sty m:val="p"/>
            </m:rPr>
            <m:t>)</m:t>
          </m:r>
          <m:r>
            <m:rPr>
              <m:sty m:val="p"/>
            </m:rPr>
            <m:t>⋅</m:t>
          </m:r>
          <m:r>
            <m:t>q</m:t>
          </m:r>
          <m:r>
            <m:rPr>
              <m:sty m:val="p"/>
            </m:rPr>
            <m:t>−</m:t>
          </m:r>
          <m:r>
            <m:t>C</m:t>
          </m:r>
          <m:r>
            <m:rPr>
              <m:sty m:val="p"/>
            </m:rPr>
            <m:t>(</m:t>
          </m:r>
          <m:r>
            <m:t>q</m:t>
          </m:r>
          <m:r>
            <m:rPr>
              <m:sty m:val="p"/>
            </m:rPr>
            <m:t>,</m:t>
          </m:r>
          <m:r>
            <m:t>s</m:t>
          </m:r>
          <m:r>
            <m:rPr>
              <m:sty m:val="p"/>
            </m:rPr>
            <m:t>)</m:t>
          </m:r>
        </m:oMath>
      </m:oMathPara>
    </w:p>
    <w:p>
      <w:pPr>
        <w:pStyle w:val="FirstParagraph"/>
      </w:pPr>
      <w:r>
        <w:t xml:space="preserve">A condição para a escolha ótima de qualidade é:</w:t>
      </w:r>
    </w:p>
    <w:p>
      <w:pPr>
        <w:pStyle w:val="BodyText"/>
      </w:pPr>
      <m:oMathPara>
        <m:oMathParaPr>
          <m:jc m:val="center"/>
        </m:oMathParaPr>
        <m:oMath>
          <m:f>
            <m:fPr>
              <m:type m:val="bar"/>
            </m:fPr>
            <m:num>
              <m:r>
                <m:rPr>
                  <m:sty m:val="p"/>
                </m:rPr>
                <m:t>∂</m:t>
              </m:r>
              <m:r>
                <m:t>p</m:t>
              </m:r>
            </m:num>
            <m:den>
              <m:r>
                <m:rPr>
                  <m:sty m:val="p"/>
                </m:rPr>
                <m:t>∂</m:t>
              </m:r>
              <m:r>
                <m:t>s</m:t>
              </m:r>
            </m:den>
          </m:f>
          <m:r>
            <m:rPr>
              <m:sty m:val="p"/>
            </m:rPr>
            <m:t>⋅</m:t>
          </m:r>
          <m:r>
            <m:t>q</m:t>
          </m:r>
          <m:r>
            <m:rPr>
              <m:sty m:val="p"/>
            </m:rPr>
            <m:t>=</m:t>
          </m:r>
          <m:f>
            <m:fPr>
              <m:type m:val="bar"/>
            </m:fPr>
            <m:num>
              <m:r>
                <m:rPr>
                  <m:sty m:val="p"/>
                </m:rPr>
                <m:t>∂</m:t>
              </m:r>
              <m:r>
                <m:t>C</m:t>
              </m:r>
            </m:num>
            <m:den>
              <m:r>
                <m:rPr>
                  <m:sty m:val="p"/>
                </m:rPr>
                <m:t>∂</m:t>
              </m:r>
              <m:r>
                <m:t>s</m:t>
              </m:r>
            </m:den>
          </m:f>
        </m:oMath>
      </m:oMathPara>
    </w:p>
    <w:p>
      <w:pPr>
        <w:pStyle w:val="FirstParagraph"/>
      </w:pPr>
      <w:r>
        <w:t xml:space="preserve">O monopolista iguala a receita marginal da qualidade ao custo marginal da qualidade. A receita marginal da qualidade é avaliada no</w:t>
      </w:r>
      <w:r>
        <w:t xml:space="preserve"> </w:t>
      </w:r>
      <w:r>
        <w:rPr>
          <w:b/>
          <w:bCs/>
        </w:rPr>
        <w:t xml:space="preserve">consumidor marginal</w:t>
      </w:r>
      <w:r>
        <w:t xml:space="preserve"> </w:t>
      </w:r>
      <w:r>
        <w:t xml:space="preserve">(o último a adquirir o bem), não no consumidor médio. Se o consumidor marginal valora a qualidade menos que o consumidor médio — o que é plausível quando os consumidores com maior disposição a pagar também valorizam mais a qualidade —, o monopolista subprovê qualidade em relação ao ótimo social. Intuitivamente, o monopolista ajusta a qualidade para agradar ao consumidor que está</w:t>
      </w:r>
      <w:r>
        <w:t xml:space="preserve"> </w:t>
      </w:r>
      <w:r>
        <w:t xml:space="preserve">“na margem”</w:t>
      </w:r>
      <w:r>
        <w:t xml:space="preserve"> </w:t>
      </w:r>
      <w:r>
        <w:t xml:space="preserve">de comprar ou não, não ao consumidor que já está disposto a pagar caro.</w:t>
      </w:r>
    </w:p>
    <w:p>
      <w:pPr>
        <w:pStyle w:val="BlockText"/>
      </w:pPr>
      <w:r>
        <w:rPr>
          <w:b/>
          <w:bCs/>
        </w:rPr>
        <w:t xml:space="preserve">[NOTA] Qualidade e bem-estar</w:t>
      </w:r>
    </w:p>
    <w:p>
      <w:pPr>
        <w:pStyle w:val="BlockText"/>
      </w:pPr>
      <w:r>
        <w:t xml:space="preserve">Spence (1975) demonstrou que o monopolista provê qualidade eficiente quando o consumidor marginal tem a mesma valoração de qualidade que o consumidor médio. Em geral, não há resultado inequívoco: o monopolista pode oferecer qualidade excessiva ou insuficiente. Esse resultado contrasta com a intuição popular de que</w:t>
      </w:r>
      <w:r>
        <w:t xml:space="preserve"> </w:t>
      </w:r>
      <w:r>
        <w:t xml:space="preserve">“monopólio implica qualidade ruim”</w:t>
      </w:r>
      <w:r>
        <w:t xml:space="preserve"> </w:t>
      </w:r>
      <w:r>
        <w:t xml:space="preserve">— na verdade, a direção da distorção depende de como as preferências por qualidade se distribuem entre os consumidores.</w:t>
      </w:r>
    </w:p>
    <w:p>
      <w:pPr>
        <w:pStyle w:val="BlockText"/>
      </w:pPr>
      <w:r>
        <w:rPr>
          <w:b/>
          <w:bCs/>
        </w:rPr>
        <w:t xml:space="preserve">[INTUICAO ECONOMICA] Intuição Econômica</w:t>
      </w:r>
    </w:p>
    <w:p>
      <w:pPr>
        <w:pStyle w:val="BlockText"/>
      </w:pPr>
      <w:r>
        <w:rPr>
          <w:b/>
          <w:bCs/>
        </w:rPr>
        <w:t xml:space="preserve">Em uma frase:</w:t>
      </w:r>
      <w:r>
        <w:t xml:space="preserve"> </w:t>
      </w:r>
      <w:r>
        <w:t xml:space="preserve">O monopolista ajusta a qualidade pensando no cliente que está quase desistindo de comprar — não no cliente mais entusiasmado.</w:t>
      </w:r>
    </w:p>
    <w:p>
      <w:pPr>
        <w:pStyle w:val="BlockText"/>
      </w:pPr>
      <w:r>
        <w:rPr>
          <w:b/>
          <w:bCs/>
        </w:rPr>
        <w:t xml:space="preserve">Pense assim:</w:t>
      </w:r>
      <w:r>
        <w:t xml:space="preserve"> </w:t>
      </w:r>
      <w:r>
        <w:t xml:space="preserve">Imagine uma operadora de TV a cabo monopolista decidindo quantos canais oferecer. Ela não pergunta</w:t>
      </w:r>
      <w:r>
        <w:t xml:space="preserve"> </w:t>
      </w:r>
      <w:r>
        <w:t xml:space="preserve">“quantos canais o cinéfilo fanático quer?”</w:t>
      </w:r>
      <w:r>
        <w:t xml:space="preserve">, mas</w:t>
      </w:r>
      <w:r>
        <w:t xml:space="preserve"> </w:t>
      </w:r>
      <w:r>
        <w:t xml:space="preserve">“quantos canais preciso para convencer a última família a assinar?”</w:t>
      </w:r>
      <w:r>
        <w:t xml:space="preserve">. Se as famílias que assinam mais facilmente (alta disposição a pagar) também são as que mais valorizam variedade de canais, a operadora oferecerá</w:t>
      </w:r>
      <w:r>
        <w:t xml:space="preserve"> </w:t>
      </w:r>
      <w:r>
        <w:rPr>
          <w:i/>
          <w:iCs/>
        </w:rPr>
        <w:t xml:space="preserve">menos</w:t>
      </w:r>
      <w:r>
        <w:t xml:space="preserve"> </w:t>
      </w:r>
      <w:r>
        <w:t xml:space="preserve">canais do que seria socialmente ótimo — porque está calibrando pelo consumidor marginal, menos exigente.</w:t>
      </w:r>
    </w:p>
    <w:p>
      <w:pPr>
        <w:pStyle w:val="BlockText"/>
      </w:pPr>
      <w:r>
        <w:rPr>
          <w:b/>
          <w:bCs/>
        </w:rPr>
        <w:t xml:space="preserve">Por que isso importa:</w:t>
      </w:r>
      <w:r>
        <w:t xml:space="preserve"> </w:t>
      </w:r>
      <w:r>
        <w:t xml:space="preserve">Esse resultado é relevante para a regulação de serviços monopolísticos no Brasil: a ANATEL, ao regular planos de telecomunicações, precisa considerar não apenas preços, mas também padrões mínimos de qualidade — porque o monopolista não tem incentivos automáticos para fornecer a qualidade socialmente desejável.</w:t>
      </w:r>
    </w:p>
    <w:p>
      <w:r>
        <w:pict>
          <v:rect style="width:0;height:1.5pt" o:hralign="center" o:hrstd="t" o:hr="t"/>
        </w:pict>
      </w:r>
    </w:p>
    <w:bookmarkEnd w:id="933"/>
    <w:bookmarkStart w:id="937" w:name="X97ccd4f03d962011101c1221009e53461a0993f"/>
    <w:p>
      <w:pPr>
        <w:pStyle w:val="Heading3"/>
      </w:pPr>
      <w:r>
        <w:t xml:space="preserve">15.7 Um Preço para Cada Bolso: Discriminação de Preços</w:t>
      </w:r>
    </w:p>
    <w:p>
      <w:pPr>
        <w:pStyle w:val="FirstParagraph"/>
      </w:pPr>
      <w:r>
        <w:t xml:space="preserve">Você já se perguntou por que a mesma passagem de avião custa R$ 400 para quem compra com antecedência e R$ 2.000 para quem compra na véspera — sendo que os dois sentam no mesmo avião, comem o mesmo amendoim e chegam ao mesmo destino? A resposta é que o monopolista (ou quase-monopolista) aprendeu um truque poderoso: abandonar a prática de preço único. Se o monopolista consegue identificar — ou induzir a autorevelação de — diferentes disposições a pagar entre consumidores, ele pode explorar essa heterogeneidade para extrair mais excedente do que seria possível com um preço uniforme. Essa prática, conhecida como discriminação de preços, é onipresente no mundo real e assume formas sofisticadas que variam de passagens aéreas a planos de software, de ingressos de cinema a tarifas de eletricidade.</w:t>
      </w:r>
    </w:p>
    <w:p>
      <w:pPr>
        <w:pStyle w:val="BodyText"/>
      </w:pPr>
      <w:r>
        <w:t xml:space="preserve">A discriminação de preços exige duas condições: (i) algum grau de poder de mercado e (ii) impossibilidade de revenda (arbitragem) entre consumidores. A segunda condição é crucial: se consumidores que pagam preço baixo pudessem revender para os que pagam preço alto, a discriminação seria impossível. A taxonomia clássica, devida a Pigou (1920), distingue três graus de discriminação conforme a informação disponível ao monopolista.</w:t>
      </w:r>
    </w:p>
    <w:bookmarkStart w:id="934" w:name="discriminação-de-primeiro-grau-perfeita"/>
    <w:p>
      <w:pPr>
        <w:pStyle w:val="Heading4"/>
      </w:pPr>
      <w:r>
        <w:t xml:space="preserve">15.7.1 Discriminação de primeiro grau (perfeita)</w:t>
      </w:r>
    </w:p>
    <w:p>
      <w:pPr>
        <w:pStyle w:val="FirstParagraph"/>
      </w:pPr>
      <w:r>
        <w:t xml:space="preserve">Na discriminação perfeita, o monopolista cobra de cada consumidor exatamente sua</w:t>
      </w:r>
      <w:r>
        <w:t xml:space="preserve"> </w:t>
      </w:r>
      <w:r>
        <w:rPr>
          <w:b/>
          <w:bCs/>
        </w:rPr>
        <w:t xml:space="preserve">disposição a pagar</w:t>
      </w:r>
      <w:r>
        <w:t xml:space="preserve">. Cada unidade é vendida a um preço diferente — é o caso limite em que o monopolista possui informação perfeita sobre as preferências de cada consumidor individual.</w:t>
      </w:r>
    </w:p>
    <w:p>
      <w:pPr>
        <w:pStyle w:val="BlockText"/>
      </w:pPr>
      <w:r>
        <w:rPr>
          <w:b/>
          <w:bCs/>
        </w:rPr>
        <w:t xml:space="preserve">[DEFINICAO] Discriminação de Primeiro Grau</w:t>
      </w:r>
    </w:p>
    <w:p>
      <w:pPr>
        <w:pStyle w:val="BlockText"/>
      </w:pPr>
      <w:r>
        <w:t xml:space="preserve">Na</w:t>
      </w:r>
      <w:r>
        <w:t xml:space="preserve"> </w:t>
      </w:r>
      <w:r>
        <w:rPr>
          <w:b/>
          <w:bCs/>
        </w:rPr>
        <w:t xml:space="preserve">discriminação de preços de primeiro grau</w:t>
      </w:r>
      <w:r>
        <w:t xml:space="preserve">, o monopolista extrai todo o excedente do consumidor, cobrando o preço máximo que cada consumidor está disposto a pagar por cada unidade.</w:t>
      </w:r>
    </w:p>
    <w:p>
      <w:pPr>
        <w:pStyle w:val="FirstParagraph"/>
      </w:pPr>
      <w:r>
        <w:t xml:space="preserve">Resultado:</w:t>
      </w:r>
    </w:p>
    <w:p>
      <w:pPr>
        <w:pStyle w:val="Compact"/>
        <w:numPr>
          <w:ilvl w:val="0"/>
          <w:numId w:val="1826"/>
        </w:numPr>
      </w:pPr>
      <w:r>
        <w:t xml:space="preserve">A quantidade produzida é</w:t>
      </w:r>
      <w:r>
        <w:t xml:space="preserve"> </w:t>
      </w:r>
      <w:r>
        <w:rPr>
          <w:b/>
          <w:bCs/>
        </w:rPr>
        <w:t xml:space="preserve">eficiente</w:t>
      </w:r>
      <w:r>
        <w:t xml:space="preserve">:</w:t>
      </w:r>
      <w:r>
        <w:t xml:space="preserve"> </w:t>
      </w:r>
      <m:oMath>
        <m:r>
          <m:t>q</m:t>
        </m:r>
        <m:r>
          <m:rPr>
            <m:sty m:val="p"/>
          </m:rPr>
          <m:t>=</m:t>
        </m:r>
        <m:sSup>
          <m:e>
            <m:r>
              <m:t>q</m:t>
            </m:r>
          </m:e>
          <m:sup>
            <m:r>
              <m:t>c</m:t>
            </m:r>
          </m:sup>
        </m:sSup>
      </m:oMath>
      <w:r>
        <w:t xml:space="preserve"> </w:t>
      </w:r>
      <w:r>
        <w:t xml:space="preserve">(idêntica à concorrência perfeita).</w:t>
      </w:r>
    </w:p>
    <w:p>
      <w:pPr>
        <w:pStyle w:val="Compact"/>
        <w:numPr>
          <w:ilvl w:val="0"/>
          <w:numId w:val="1826"/>
        </w:numPr>
      </w:pPr>
      <w:r>
        <w:t xml:space="preserve">Não há perda de peso morto.</w:t>
      </w:r>
    </w:p>
    <w:p>
      <w:pPr>
        <w:pStyle w:val="Compact"/>
        <w:numPr>
          <w:ilvl w:val="0"/>
          <w:numId w:val="1826"/>
        </w:numPr>
      </w:pPr>
      <w:r>
        <w:t xml:space="preserve">Todo o excedente é capturado pelo produtor:</w:t>
      </w:r>
      <w:r>
        <w:t xml:space="preserve"> </w:t>
      </w:r>
      <m:oMath>
        <m:r>
          <m:t>E</m:t>
        </m:r>
        <m:r>
          <m:t>C</m:t>
        </m:r>
        <m:r>
          <m:rPr>
            <m:sty m:val="p"/>
          </m:rPr>
          <m:t>=</m:t>
        </m:r>
        <m:r>
          <m:t>0</m:t>
        </m:r>
      </m:oMath>
      <w:r>
        <w:t xml:space="preserve">,</w:t>
      </w:r>
      <w:r>
        <w:t xml:space="preserve"> </w:t>
      </w:r>
      <m:oMath>
        <m:r>
          <m:t>E</m:t>
        </m:r>
        <m:r>
          <m:t>P</m:t>
        </m:r>
        <m:r>
          <m:rPr>
            <m:sty m:val="p"/>
          </m:rPr>
          <m:t>=</m:t>
        </m:r>
        <m:f>
          <m:fPr>
            <m:type m:val="bar"/>
          </m:fPr>
          <m:num>
            <m:r>
              <m:rPr>
                <m:sty m:val="p"/>
              </m:rPr>
              <m:t>(</m:t>
            </m:r>
            <m:r>
              <m:t>a</m:t>
            </m:r>
            <m:r>
              <m:rPr>
                <m:sty m:val="p"/>
              </m:rPr>
              <m:t>−</m:t>
            </m:r>
            <m:r>
              <m:t>c</m:t>
            </m:r>
            <m:sSup>
              <m:e>
                <m:r>
                  <m:rPr>
                    <m:sty m:val="p"/>
                  </m:rPr>
                  <m:t>)</m:t>
                </m:r>
              </m:e>
              <m:sup>
                <m:r>
                  <m:t>2</m:t>
                </m:r>
              </m:sup>
            </m:sSup>
          </m:num>
          <m:den>
            <m:r>
              <m:t>2</m:t>
            </m:r>
            <m:r>
              <m:t>b</m:t>
            </m:r>
          </m:den>
        </m:f>
      </m:oMath>
      <w:r>
        <w:t xml:space="preserve">.</w:t>
      </w:r>
    </w:p>
    <w:p>
      <w:pPr>
        <w:pStyle w:val="FirstParagraph"/>
      </w:pPr>
      <w:r>
        <w:t xml:space="preserve">A discriminação perfeita é um caso limite teórico — na prática, o monopolista raramente conhece as disposições a pagar individuais. Sua importância analítica reside em dois pontos: primeiro, ela serve como benchmark contra o qual comparar as demais formas de discriminação; segundo, ela mostra que o poder de mercado</w:t>
      </w:r>
      <w:r>
        <w:t xml:space="preserve"> </w:t>
      </w:r>
      <w:r>
        <w:rPr>
          <w:i/>
          <w:iCs/>
        </w:rPr>
        <w:t xml:space="preserve">per se</w:t>
      </w:r>
      <w:r>
        <w:t xml:space="preserve"> </w:t>
      </w:r>
      <w:r>
        <w:t xml:space="preserve">não gera ineficiência alocativa — é a</w:t>
      </w:r>
      <w:r>
        <w:t xml:space="preserve"> </w:t>
      </w:r>
      <w:r>
        <w:rPr>
          <w:i/>
          <w:iCs/>
        </w:rPr>
        <w:t xml:space="preserve">uniformidade</w:t>
      </w:r>
      <w:r>
        <w:t xml:space="preserve"> </w:t>
      </w:r>
      <w:r>
        <w:t xml:space="preserve">do preço que gera a PPM. Se o monopolista pudesse cobrar preços diferentes de cada consumidor, a eficiência seria restaurada (embora a distribuição do excedente fosse radicalmente diferente).</w:t>
      </w:r>
    </w:p>
    <w:bookmarkEnd w:id="934"/>
    <w:bookmarkStart w:id="935" w:name="discriminação-de-segundo-grau-não-linear"/>
    <w:p>
      <w:pPr>
        <w:pStyle w:val="Heading4"/>
      </w:pPr>
      <w:r>
        <w:t xml:space="preserve">15.7.2 Discriminação de segundo grau (não-linear)</w:t>
      </w:r>
    </w:p>
    <w:p>
      <w:pPr>
        <w:pStyle w:val="FirstParagraph"/>
      </w:pPr>
      <w:r>
        <w:t xml:space="preserve">A discriminação de primeiro grau é um caso limite que pressupõe informação perfeita sobre cada consumidor — uma hipótese heroica na maioria dos contextos reais. O que acontece quando o monopolista sabe que os consumidores diferem em suas preferências, mas não consegue observar diretamente o</w:t>
      </w:r>
      <w:r>
        <w:t xml:space="preserve"> </w:t>
      </w:r>
      <w:r>
        <w:t xml:space="preserve">“tipo”</w:t>
      </w:r>
      <w:r>
        <w:t xml:space="preserve"> </w:t>
      </w:r>
      <w:r>
        <w:t xml:space="preserve">de cada um? Nesse cenário, o monopolista recorre a uma estratégia engenhosa: em vez de atribuir preços a consumidores, ele oferece um menu de opções e deixa que os próprios consumidores se revelem por meio de suas escolhas. Esse é um caso particular do problema de desenho de mecanismos sob informação assimétrica, formalizado por Mirrlees (Nobel 1996) e Maskin (Nobel 2007).</w:t>
      </w:r>
    </w:p>
    <w:p>
      <w:pPr>
        <w:pStyle w:val="BodyText"/>
      </w:pPr>
      <w:r>
        <w:t xml:space="preserve">Quando o monopolista não observa as características dos consumidores, ele pode oferecer um</w:t>
      </w:r>
      <w:r>
        <w:t xml:space="preserve"> </w:t>
      </w:r>
      <w:r>
        <w:rPr>
          <w:b/>
          <w:bCs/>
        </w:rPr>
        <w:t xml:space="preserve">menu de contratos</w:t>
      </w:r>
      <w:r>
        <w:t xml:space="preserve"> </w:t>
      </w:r>
      <w:r>
        <w:t xml:space="preserve">(combinações preço-quantidade) e permitir que os consumidores se</w:t>
      </w:r>
      <w:r>
        <w:t xml:space="preserve"> </w:t>
      </w:r>
      <w:r>
        <w:rPr>
          <w:b/>
          <w:bCs/>
        </w:rPr>
        <w:t xml:space="preserve">autosselecionem</w:t>
      </w:r>
      <w:r>
        <w:t xml:space="preserve">. Consumidores com alta disposição a pagar escolhem o pacote premium; consumidores com baixa disposição escolhem o pacote básico.</w:t>
      </w:r>
    </w:p>
    <w:p>
      <w:pPr>
        <w:pStyle w:val="BodyText"/>
      </w:pPr>
      <w:r>
        <w:t xml:space="preserve">A estrutura ótima envolve:</w:t>
      </w:r>
    </w:p>
    <w:p>
      <w:pPr>
        <w:pStyle w:val="Compact"/>
        <w:numPr>
          <w:ilvl w:val="0"/>
          <w:numId w:val="1827"/>
        </w:numPr>
      </w:pPr>
      <w:r>
        <w:t xml:space="preserve">O tipo de</w:t>
      </w:r>
      <w:r>
        <w:t xml:space="preserve"> </w:t>
      </w:r>
      <w:r>
        <w:rPr>
          <w:b/>
          <w:bCs/>
        </w:rPr>
        <w:t xml:space="preserve">alta valoração</w:t>
      </w:r>
      <w:r>
        <w:t xml:space="preserve"> </w:t>
      </w:r>
      <w:r>
        <w:t xml:space="preserve">recebe a quantidade eficiente, mas paga um preço que lhe deixa algum excedente (renda informacional).</w:t>
      </w:r>
    </w:p>
    <w:p>
      <w:pPr>
        <w:pStyle w:val="Compact"/>
        <w:numPr>
          <w:ilvl w:val="0"/>
          <w:numId w:val="1827"/>
        </w:numPr>
      </w:pPr>
      <w:r>
        <w:t xml:space="preserve">O tipo de</w:t>
      </w:r>
      <w:r>
        <w:t xml:space="preserve"> </w:t>
      </w:r>
      <w:r>
        <w:rPr>
          <w:b/>
          <w:bCs/>
        </w:rPr>
        <w:t xml:space="preserve">baixa valoração</w:t>
      </w:r>
      <w:r>
        <w:t xml:space="preserve"> </w:t>
      </w:r>
      <w:r>
        <w:t xml:space="preserve">recebe uma quantidade</w:t>
      </w:r>
      <w:r>
        <w:t xml:space="preserve"> </w:t>
      </w:r>
      <w:r>
        <w:rPr>
          <w:b/>
          <w:bCs/>
        </w:rPr>
        <w:t xml:space="preserve">distorcida para baixo</w:t>
      </w:r>
      <w:r>
        <w:t xml:space="preserve"> </w:t>
      </w:r>
      <w:r>
        <w:t xml:space="preserve">(abaixo do eficiente) e extrai exatamente zero de excedente.</w:t>
      </w:r>
    </w:p>
    <w:p>
      <w:pPr>
        <w:pStyle w:val="FirstParagraph"/>
      </w:pPr>
      <w:r>
        <w:t xml:space="preserve">Essa distorção no consumo do tipo baixo é o custo da</w:t>
      </w:r>
      <w:r>
        <w:t xml:space="preserve"> </w:t>
      </w:r>
      <w:r>
        <w:rPr>
          <w:b/>
          <w:bCs/>
        </w:rPr>
        <w:t xml:space="preserve">compatibilidade de incentivos</w:t>
      </w:r>
      <w:r>
        <w:t xml:space="preserve">: é necessário tornar o pacote básico suficientemente pouco atrativo para que o tipo alto não queira</w:t>
      </w:r>
      <w:r>
        <w:t xml:space="preserve"> </w:t>
      </w:r>
      <w:r>
        <w:t xml:space="preserve">“imitar”</w:t>
      </w:r>
      <w:r>
        <w:t xml:space="preserve"> </w:t>
      </w:r>
      <w:r>
        <w:t xml:space="preserve">o tipo baixo e capturar renda informacional excessiva.</w:t>
      </w:r>
    </w:p>
    <w:p>
      <w:pPr>
        <w:pStyle w:val="BlockText"/>
      </w:pPr>
      <w:r>
        <w:rPr>
          <w:b/>
          <w:bCs/>
        </w:rPr>
        <w:t xml:space="preserve">[DICA] Exemplos práticos</w:t>
      </w:r>
    </w:p>
    <w:p>
      <w:pPr>
        <w:pStyle w:val="Compact"/>
        <w:numPr>
          <w:ilvl w:val="0"/>
          <w:numId w:val="1828"/>
        </w:numPr>
      </w:pPr>
      <w:r>
        <w:t xml:space="preserve">Passagens aéreas com classes tarifárias (econômica, executiva, primeira classe).</w:t>
      </w:r>
    </w:p>
    <w:p>
      <w:pPr>
        <w:pStyle w:val="Compact"/>
        <w:numPr>
          <w:ilvl w:val="0"/>
          <w:numId w:val="1828"/>
        </w:numPr>
      </w:pPr>
      <w:r>
        <w:t xml:space="preserve">Versões de software (básica, profissional, enterprise).</w:t>
      </w:r>
    </w:p>
    <w:p>
      <w:pPr>
        <w:pStyle w:val="Compact"/>
        <w:numPr>
          <w:ilvl w:val="0"/>
          <w:numId w:val="1828"/>
        </w:numPr>
      </w:pPr>
      <w:r>
        <w:t xml:space="preserve">Descontos por quantidade em supermercados.</w:t>
      </w:r>
    </w:p>
    <w:p>
      <w:pPr>
        <w:pStyle w:val="Compact"/>
        <w:numPr>
          <w:ilvl w:val="0"/>
          <w:numId w:val="1828"/>
        </w:numPr>
      </w:pPr>
      <w:r>
        <w:t xml:space="preserve">Planos de streaming com e sem anúncios.</w:t>
      </w:r>
    </w:p>
    <w:p>
      <w:pPr>
        <w:pStyle w:val="BlockText"/>
      </w:pPr>
      <w:r>
        <w:rPr>
          <w:b/>
          <w:bCs/>
        </w:rPr>
        <w:t xml:space="preserve">[BOX BRASIL] Box Brasil 15.1 — Discriminação de preços nas passagens aéreas</w:t>
      </w:r>
    </w:p>
    <w:p>
      <w:pPr>
        <w:pStyle w:val="BlockText"/>
      </w:pPr>
      <w:r>
        <w:t xml:space="preserve">O mercado brasileiro de aviação civil, dominado por três companhias (Latam, Gol e Azul, que juntas detêm mais de 98% do mercado doméstico segundo dados da</w:t>
      </w:r>
      <w:r>
        <w:t xml:space="preserve"> </w:t>
      </w:r>
      <w:hyperlink r:id="rId484">
        <w:r>
          <w:rPr>
            <w:rStyle w:val="Hyperlink"/>
          </w:rPr>
          <w:t xml:space="preserve">ANAC</w:t>
        </w:r>
      </w:hyperlink>
      <w:r>
        <w:t xml:space="preserve">), é um exemplo rico de discriminação de preços de segundo e terceiro grau.</w:t>
      </w:r>
    </w:p>
    <w:p>
      <w:pPr>
        <w:pStyle w:val="BlockText"/>
      </w:pPr>
      <w:r>
        <w:rPr>
          <w:b/>
          <w:bCs/>
        </w:rPr>
        <w:t xml:space="preserve">Discriminação de segundo grau (autosseleção):</w:t>
      </w:r>
    </w:p>
    <w:p>
      <w:pPr>
        <w:pStyle w:val="BlockText"/>
      </w:pPr>
      <w:r>
        <w:t xml:space="preserve">As companhias oferecem múltiplas classes tarifárias para o mesmo voo — desde tarifas promocionais sem direito a bagagem ou remarcação até tarifas flexíveis com reembolso integral. Passageiros corporativos, com alta disposição a pagar e demanda inelástica (viagens de última hora), autosselecionam-se para tarifas mais caras. Passageiros a lazer, com demanda elástica e flexibilidade de datas, escolhem as tarifas promocionais. Essa estrutura replica o menu de contratos descrito na teoria: o tipo de alta valoração paga mais, mas recebe serviços adicionais.</w:t>
      </w:r>
    </w:p>
    <w:p>
      <w:pPr>
        <w:pStyle w:val="BlockText"/>
      </w:pPr>
      <w:r>
        <w:rPr>
          <w:b/>
          <w:bCs/>
        </w:rPr>
        <w:t xml:space="preserve">Discriminação de terceiro grau (segmentação observável):</w:t>
      </w:r>
    </w:p>
    <w:p>
      <w:pPr>
        <w:pStyle w:val="BlockText"/>
      </w:pPr>
      <w:r>
        <w:t xml:space="preserve">Companhias oferecem tarifas diferenciadas para idosos (desconto de 5% obrigatório pela ANAC), estudantes e militares. A segmentação por antecedência de compra (preços mais baixos para compras com 30-60 dias de antecedência) também funciona como discriminação de terceiro grau, separando viajantes a lazer (antecedência) de viajantes corporativos (última hora).</w:t>
      </w:r>
    </w:p>
    <w:p>
      <w:pPr>
        <w:pStyle w:val="BlockText"/>
      </w:pPr>
      <w:r>
        <w:t xml:space="preserve">Segundo dados da ANAC, a tarifa aérea média doméstica por km variou entre R$ 0,35 e R$ 0,55 em 2023, mas a dispersão de preços dentro de um mesmo voo pode facilmente superar 300% — evidência direta de discriminação de preços.</w:t>
      </w:r>
    </w:p>
    <w:bookmarkEnd w:id="935"/>
    <w:bookmarkStart w:id="936" w:name="Xb57333c5af494c79874ed249f26152968e248b4"/>
    <w:p>
      <w:pPr>
        <w:pStyle w:val="Heading4"/>
      </w:pPr>
      <w:r>
        <w:t xml:space="preserve">15.7.3 Discriminação de terceiro grau (segmentação de mercados)</w:t>
      </w:r>
    </w:p>
    <w:p>
      <w:pPr>
        <w:pStyle w:val="FirstParagraph"/>
      </w:pPr>
      <w:r>
        <w:t xml:space="preserve">Na discriminação de terceiro grau, o monopolista divide os consumidores em</w:t>
      </w:r>
      <w:r>
        <w:t xml:space="preserve"> </w:t>
      </w:r>
      <w:r>
        <w:rPr>
          <w:b/>
          <w:bCs/>
        </w:rPr>
        <w:t xml:space="preserve">grupos observáveis</w:t>
      </w:r>
      <w:r>
        <w:t xml:space="preserve"> </w:t>
      </w:r>
      <w:r>
        <w:t xml:space="preserve">(por exemplo, por idade, localização, status profissional) e cobra preços diferentes de cada grupo. Diferentemente da discriminação de segundo grau, aqui a firma observa diretamente a que grupo cada consumidor pertence e condiciona o preço a essa observação.</w:t>
      </w:r>
    </w:p>
    <w:p>
      <w:pPr>
        <w:pStyle w:val="BodyText"/>
      </w:pPr>
      <w:r>
        <w:t xml:space="preserve">Se há dois mercados com demandas</w:t>
      </w:r>
      <w:r>
        <w:t xml:space="preserve"> </w:t>
      </w:r>
      <m:oMath>
        <m:sSub>
          <m:e>
            <m:r>
              <m:t>p</m:t>
            </m:r>
          </m:e>
          <m:sub>
            <m:r>
              <m:t>1</m:t>
            </m:r>
          </m:sub>
        </m:sSub>
        <m:r>
          <m:rPr>
            <m:sty m:val="p"/>
          </m:rPr>
          <m:t>(</m:t>
        </m:r>
        <m:sSub>
          <m:e>
            <m:r>
              <m:t>q</m:t>
            </m:r>
          </m:e>
          <m:sub>
            <m:r>
              <m:t>1</m:t>
            </m:r>
          </m:sub>
        </m:sSub>
        <m:r>
          <m:rPr>
            <m:sty m:val="p"/>
          </m:rPr>
          <m:t>)</m:t>
        </m:r>
      </m:oMath>
      <w:r>
        <w:t xml:space="preserve"> </w:t>
      </w:r>
      <w:r>
        <w:t xml:space="preserve">e</w:t>
      </w:r>
      <w:r>
        <w:t xml:space="preserve"> </w:t>
      </w:r>
      <m:oMath>
        <m:sSub>
          <m:e>
            <m:r>
              <m:t>p</m:t>
            </m:r>
          </m:e>
          <m:sub>
            <m:r>
              <m:t>2</m:t>
            </m:r>
          </m:sub>
        </m:sSub>
        <m:r>
          <m:rPr>
            <m:sty m:val="p"/>
          </m:rPr>
          <m:t>(</m:t>
        </m:r>
        <m:sSub>
          <m:e>
            <m:r>
              <m:t>q</m:t>
            </m:r>
          </m:e>
          <m:sub>
            <m:r>
              <m:t>2</m:t>
            </m:r>
          </m:sub>
        </m:sSub>
        <m:r>
          <m:rPr>
            <m:sty m:val="p"/>
          </m:rPr>
          <m:t>)</m:t>
        </m:r>
      </m:oMath>
      <w:r>
        <w:t xml:space="preserve">, o monopolista resolve:</w:t>
      </w:r>
    </w:p>
    <w:p>
      <w:pPr>
        <w:pStyle w:val="BodyText"/>
      </w:pPr>
      <m:oMathPara>
        <m:oMathParaPr>
          <m:jc m:val="center"/>
        </m:oMathParaPr>
        <m:oMath>
          <m:limLow>
            <m:e>
              <m:r>
                <m:rPr>
                  <m:sty m:val="p"/>
                </m:rPr>
                <m:t>max</m:t>
              </m:r>
            </m:e>
            <m:lim>
              <m:sSub>
                <m:e>
                  <m:r>
                    <m:t>q</m:t>
                  </m:r>
                </m:e>
                <m:sub>
                  <m:r>
                    <m:t>1</m:t>
                  </m:r>
                </m:sub>
              </m:sSub>
              <m:r>
                <m:rPr>
                  <m:sty m:val="p"/>
                </m:rPr>
                <m:t>,</m:t>
              </m:r>
              <m:sSub>
                <m:e>
                  <m:r>
                    <m:t>q</m:t>
                  </m:r>
                </m:e>
                <m:sub>
                  <m:r>
                    <m:t>2</m:t>
                  </m:r>
                </m:sub>
              </m:sSub>
            </m:lim>
          </m:limLow>
          <m:r>
            <m:t> </m:t>
          </m:r>
          <m:sSub>
            <m:e>
              <m:r>
                <m:t>p</m:t>
              </m:r>
            </m:e>
            <m:sub>
              <m:r>
                <m:t>1</m:t>
              </m:r>
            </m:sub>
          </m:sSub>
          <m:r>
            <m:rPr>
              <m:sty m:val="p"/>
            </m:rPr>
            <m:t>(</m:t>
          </m:r>
          <m:sSub>
            <m:e>
              <m:r>
                <m:t>q</m:t>
              </m:r>
            </m:e>
            <m:sub>
              <m:r>
                <m:t>1</m:t>
              </m:r>
            </m:sub>
          </m:sSub>
          <m:r>
            <m:rPr>
              <m:sty m:val="p"/>
            </m:rPr>
            <m:t>)</m:t>
          </m:r>
          <m:r>
            <m:rPr>
              <m:sty m:val="p"/>
            </m:rPr>
            <m:t>⋅</m:t>
          </m:r>
          <m:sSub>
            <m:e>
              <m:r>
                <m:t>q</m:t>
              </m:r>
            </m:e>
            <m:sub>
              <m:r>
                <m:t>1</m:t>
              </m:r>
            </m:sub>
          </m:sSub>
          <m:r>
            <m:rPr>
              <m:sty m:val="p"/>
            </m:rPr>
            <m:t>+</m:t>
          </m:r>
          <m:sSub>
            <m:e>
              <m:r>
                <m:t>p</m:t>
              </m:r>
            </m:e>
            <m:sub>
              <m:r>
                <m:t>2</m:t>
              </m:r>
            </m:sub>
          </m:sSub>
          <m:r>
            <m:rPr>
              <m:sty m:val="p"/>
            </m:rPr>
            <m:t>(</m:t>
          </m:r>
          <m:sSub>
            <m:e>
              <m:r>
                <m:t>q</m:t>
              </m:r>
            </m:e>
            <m:sub>
              <m:r>
                <m:t>2</m:t>
              </m:r>
            </m:sub>
          </m:sSub>
          <m:r>
            <m:rPr>
              <m:sty m:val="p"/>
            </m:rPr>
            <m:t>)</m:t>
          </m:r>
          <m:r>
            <m:rPr>
              <m:sty m:val="p"/>
            </m:rPr>
            <m:t>⋅</m:t>
          </m:r>
          <m:sSub>
            <m:e>
              <m:r>
                <m:t>q</m:t>
              </m:r>
            </m:e>
            <m:sub>
              <m:r>
                <m:t>2</m:t>
              </m:r>
            </m:sub>
          </m:sSub>
          <m:r>
            <m:rPr>
              <m:sty m:val="p"/>
            </m:rPr>
            <m:t>−</m:t>
          </m:r>
          <m:r>
            <m:t>C</m:t>
          </m:r>
          <m:r>
            <m:rPr>
              <m:sty m:val="p"/>
            </m:rPr>
            <m:t>(</m:t>
          </m:r>
          <m:sSub>
            <m:e>
              <m:r>
                <m:t>q</m:t>
              </m:r>
            </m:e>
            <m:sub>
              <m:r>
                <m:t>1</m:t>
              </m:r>
            </m:sub>
          </m:sSub>
          <m:r>
            <m:rPr>
              <m:sty m:val="p"/>
            </m:rPr>
            <m:t>+</m:t>
          </m:r>
          <m:sSub>
            <m:e>
              <m:r>
                <m:t>q</m:t>
              </m:r>
            </m:e>
            <m:sub>
              <m:r>
                <m:t>2</m:t>
              </m:r>
            </m:sub>
          </m:sSub>
          <m:r>
            <m:rPr>
              <m:sty m:val="p"/>
            </m:rPr>
            <m:t>)</m:t>
          </m:r>
        </m:oMath>
      </m:oMathPara>
    </w:p>
    <w:p>
      <w:pPr>
        <w:pStyle w:val="FirstParagraph"/>
      </w:pPr>
      <w:r>
        <w:t xml:space="preserve">As condições de primeira ordem são:</w:t>
      </w:r>
    </w:p>
    <w:p>
      <w:pPr>
        <w:pStyle w:val="BodyText"/>
      </w:pPr>
      <m:oMathPara>
        <m:oMathParaPr>
          <m:jc m:val="center"/>
        </m:oMathParaPr>
        <m:oMath>
          <m:r>
            <m:t>R</m:t>
          </m:r>
          <m:r>
            <m:t>M</m:t>
          </m:r>
          <m:sSub>
            <m:e>
              <m:r>
                <m:t>g</m:t>
              </m:r>
            </m:e>
            <m:sub>
              <m:r>
                <m:t>1</m:t>
              </m:r>
            </m:sub>
          </m:sSub>
          <m:r>
            <m:rPr>
              <m:sty m:val="p"/>
            </m:rPr>
            <m:t>(</m:t>
          </m:r>
          <m:sSub>
            <m:e>
              <m:r>
                <m:t>q</m:t>
              </m:r>
            </m:e>
            <m:sub>
              <m:r>
                <m:t>1</m:t>
              </m:r>
            </m:sub>
          </m:sSub>
          <m:r>
            <m:rPr>
              <m:sty m:val="p"/>
            </m:rPr>
            <m:t>)</m:t>
          </m:r>
          <m:r>
            <m:rPr>
              <m:sty m:val="p"/>
            </m:rPr>
            <m:t>=</m:t>
          </m:r>
          <m:r>
            <m:t>R</m:t>
          </m:r>
          <m:r>
            <m:t>M</m:t>
          </m:r>
          <m:sSub>
            <m:e>
              <m:r>
                <m:t>g</m:t>
              </m:r>
            </m:e>
            <m:sub>
              <m:r>
                <m:t>2</m:t>
              </m:r>
            </m:sub>
          </m:sSub>
          <m:r>
            <m:rPr>
              <m:sty m:val="p"/>
            </m:rPr>
            <m:t>(</m:t>
          </m:r>
          <m:sSub>
            <m:e>
              <m:r>
                <m:t>q</m:t>
              </m:r>
            </m:e>
            <m:sub>
              <m:r>
                <m:t>2</m:t>
              </m:r>
            </m:sub>
          </m:sSub>
          <m:r>
            <m:rPr>
              <m:sty m:val="p"/>
            </m:rPr>
            <m:t>)</m:t>
          </m:r>
          <m:r>
            <m:rPr>
              <m:sty m:val="p"/>
            </m:rPr>
            <m:t>=</m:t>
          </m:r>
          <m:r>
            <m:t>C</m:t>
          </m:r>
          <m:r>
            <m:t>M</m:t>
          </m:r>
          <m:r>
            <m:t>g</m:t>
          </m:r>
          <m:r>
            <m:rPr>
              <m:sty m:val="p"/>
            </m:rPr>
            <m:t>(</m:t>
          </m:r>
          <m:sSub>
            <m:e>
              <m:r>
                <m:t>q</m:t>
              </m:r>
            </m:e>
            <m:sub>
              <m:r>
                <m:t>1</m:t>
              </m:r>
            </m:sub>
          </m:sSub>
          <m:r>
            <m:rPr>
              <m:sty m:val="p"/>
            </m:rPr>
            <m:t>+</m:t>
          </m:r>
          <m:sSub>
            <m:e>
              <m:r>
                <m:t>q</m:t>
              </m:r>
            </m:e>
            <m:sub>
              <m:r>
                <m:t>2</m:t>
              </m:r>
            </m:sub>
          </m:sSub>
          <m:r>
            <m:rPr>
              <m:sty m:val="p"/>
            </m:rPr>
            <m:t>)</m:t>
          </m:r>
        </m:oMath>
      </m:oMathPara>
    </w:p>
    <w:p>
      <w:pPr>
        <w:pStyle w:val="FirstParagraph"/>
      </w:pPr>
      <w:r>
        <w:t xml:space="preserve">A equação Eq. (eq:15.12) mostra que o monopolista iguala as receitas marginais em todos os mercados ao custo marginal. O mercado com demanda</w:t>
      </w:r>
      <w:r>
        <w:t xml:space="preserve"> </w:t>
      </w:r>
      <w:r>
        <w:rPr>
          <w:b/>
          <w:bCs/>
        </w:rPr>
        <w:t xml:space="preserve">mais inelástica</w:t>
      </w:r>
      <w:r>
        <w:t xml:space="preserve"> </w:t>
      </w:r>
      <w:r>
        <w:t xml:space="preserve">paga o preço</w:t>
      </w:r>
      <w:r>
        <w:t xml:space="preserve"> </w:t>
      </w:r>
      <w:r>
        <w:rPr>
          <w:b/>
          <w:bCs/>
        </w:rPr>
        <w:t xml:space="preserve">mais alto</w:t>
      </w:r>
      <w:r>
        <w:t xml:space="preserve">:</w:t>
      </w:r>
    </w:p>
    <w:p>
      <w:pPr>
        <w:pStyle w:val="BodyText"/>
      </w:pPr>
      <m:oMathPara>
        <m:oMathParaPr>
          <m:jc m:val="center"/>
        </m:oMathParaPr>
        <m:oMath>
          <m:f>
            <m:fPr>
              <m:type m:val="bar"/>
            </m:fPr>
            <m:num>
              <m:sSub>
                <m:e>
                  <m:r>
                    <m:t>p</m:t>
                  </m:r>
                </m:e>
                <m:sub>
                  <m:r>
                    <m:t>1</m:t>
                  </m:r>
                </m:sub>
              </m:sSub>
            </m:num>
            <m:den>
              <m:sSub>
                <m:e>
                  <m:r>
                    <m:t>p</m:t>
                  </m:r>
                </m:e>
                <m:sub>
                  <m:r>
                    <m:t>2</m:t>
                  </m:r>
                </m:sub>
              </m:sSub>
            </m:den>
          </m:f>
          <m:r>
            <m:rPr>
              <m:sty m:val="p"/>
            </m:rPr>
            <m:t>=</m:t>
          </m:r>
          <m:f>
            <m:fPr>
              <m:type m:val="bar"/>
            </m:fPr>
            <m:num>
              <m:r>
                <m:t>1</m:t>
              </m:r>
              <m:r>
                <m:rPr>
                  <m:sty m:val="p"/>
                </m:rPr>
                <m:t>−</m:t>
              </m:r>
              <m:f>
                <m:fPr>
                  <m:type m:val="bar"/>
                </m:fPr>
                <m:num>
                  <m:r>
                    <m:t>1</m:t>
                  </m:r>
                </m:num>
                <m:den>
                  <m:r>
                    <m:rPr>
                      <m:sty m:val="p"/>
                    </m:rPr>
                    <m:t>|</m:t>
                  </m:r>
                  <m:sSub>
                    <m:e>
                      <m:r>
                        <m:t>ε</m:t>
                      </m:r>
                    </m:e>
                    <m:sub>
                      <m:r>
                        <m:t>2</m:t>
                      </m:r>
                    </m:sub>
                  </m:sSub>
                  <m:r>
                    <m:rPr>
                      <m:sty m:val="p"/>
                    </m:rPr>
                    <m:t>|</m:t>
                  </m:r>
                </m:den>
              </m:f>
            </m:num>
            <m:den>
              <m:r>
                <m:t>1</m:t>
              </m:r>
              <m:r>
                <m:rPr>
                  <m:sty m:val="p"/>
                </m:rPr>
                <m:t>−</m:t>
              </m:r>
              <m:f>
                <m:fPr>
                  <m:type m:val="bar"/>
                </m:fPr>
                <m:num>
                  <m:r>
                    <m:t>1</m:t>
                  </m:r>
                </m:num>
                <m:den>
                  <m:r>
                    <m:rPr>
                      <m:sty m:val="p"/>
                    </m:rPr>
                    <m:t>|</m:t>
                  </m:r>
                  <m:sSub>
                    <m:e>
                      <m:r>
                        <m:t>ε</m:t>
                      </m:r>
                    </m:e>
                    <m:sub>
                      <m:r>
                        <m:t>1</m:t>
                      </m:r>
                    </m:sub>
                  </m:sSub>
                  <m:r>
                    <m:rPr>
                      <m:sty m:val="p"/>
                    </m:rPr>
                    <m:t>|</m:t>
                  </m:r>
                </m:den>
              </m:f>
            </m:den>
          </m:f>
        </m:oMath>
      </m:oMathPara>
    </w:p>
    <w:p>
      <w:pPr>
        <w:pStyle w:val="FirstParagraph"/>
      </w:pPr>
      <w:r>
        <w:t xml:space="preserve">Essa equação formaliza a intuição de que o monopolista</w:t>
      </w:r>
      <w:r>
        <w:t xml:space="preserve"> </w:t>
      </w:r>
      <w:r>
        <w:t xml:space="preserve">“espreme”</w:t>
      </w:r>
      <w:r>
        <w:t xml:space="preserve"> </w:t>
      </w:r>
      <w:r>
        <w:t xml:space="preserve">mais os consumidores com poucas alternativas. A razão de preços entre mercados depende exclusivamente da razão de elasticidades — e não dos custos, que são comuns. É por isso que passagens aéreas para executivos custam mais do que para turistas: não porque custe mais transportar um executivo, mas porque ele é menos sensível ao preço.</w:t>
      </w:r>
    </w:p>
    <w:p>
      <w:pPr>
        <w:pStyle w:val="BlockText"/>
      </w:pPr>
      <w:r>
        <w:rPr>
          <w:b/>
          <w:bCs/>
        </w:rPr>
        <w:t xml:space="preserve">[INTUICAO ECONOMICA] Intuição Econômica</w:t>
      </w:r>
    </w:p>
    <w:p>
      <w:pPr>
        <w:pStyle w:val="BlockText"/>
      </w:pPr>
      <w:r>
        <w:rPr>
          <w:b/>
          <w:bCs/>
        </w:rPr>
        <w:t xml:space="preserve">Em uma frase:</w:t>
      </w:r>
      <w:r>
        <w:t xml:space="preserve"> </w:t>
      </w:r>
      <w:r>
        <w:t xml:space="preserve">Discriminar preços significa cobrar mais de quem está mais disposto a pagar e menos de quem é mais sensível ao preço.</w:t>
      </w:r>
    </w:p>
    <w:p>
      <w:pPr>
        <w:pStyle w:val="BlockText"/>
      </w:pPr>
      <w:r>
        <w:rPr>
          <w:b/>
          <w:bCs/>
        </w:rPr>
        <w:t xml:space="preserve">Pense assim:</w:t>
      </w:r>
      <w:r>
        <w:t xml:space="preserve"> </w:t>
      </w:r>
      <w:r>
        <w:t xml:space="preserve">Pense nas passagens aéreas da Latam ou Gol. O executivo que compra na véspera paga R$ 2.000 porque</w:t>
      </w:r>
      <w:r>
        <w:t xml:space="preserve"> </w:t>
      </w:r>
      <w:r>
        <w:rPr>
          <w:i/>
          <w:iCs/>
        </w:rPr>
        <w:t xml:space="preserve">precisa</w:t>
      </w:r>
      <w:r>
        <w:t xml:space="preserve"> </w:t>
      </w:r>
      <w:r>
        <w:t xml:space="preserve">viajar (demanda inelástica). O estudante que compra com dois meses de antecedência paga R$ 400 porque tem flexibilidade (demanda elástica). A companhia aérea não está sendo</w:t>
      </w:r>
      <w:r>
        <w:t xml:space="preserve"> </w:t>
      </w:r>
      <w:r>
        <w:t xml:space="preserve">“generosa”</w:t>
      </w:r>
      <w:r>
        <w:t xml:space="preserve"> </w:t>
      </w:r>
      <w:r>
        <w:t xml:space="preserve">com o estudante — está maximizando lucro ao extrair mais de quem pode pagar mais e ainda assim vender para quem pagaria menos.</w:t>
      </w:r>
    </w:p>
    <w:p>
      <w:pPr>
        <w:pStyle w:val="BlockText"/>
      </w:pPr>
      <w:r>
        <w:rPr>
          <w:b/>
          <w:bCs/>
        </w:rPr>
        <w:t xml:space="preserve">Por que isso importa:</w:t>
      </w:r>
      <w:r>
        <w:t xml:space="preserve"> </w:t>
      </w:r>
      <w:r>
        <w:t xml:space="preserve">A discriminação de preços pode, em alguns casos, aumentar a quantidade total vendida e até reduzir a perda de peso morto — o que complica o juízo de política concorrencial e exige análise caso a caso pelo CADE.</w:t>
      </w:r>
    </w:p>
    <w:p>
      <w:pPr>
        <w:pStyle w:val="BlockText"/>
      </w:pPr>
      <w:r>
        <w:rPr>
          <w:b/>
          <w:bCs/>
        </w:rPr>
        <w:t xml:space="preserve">[BOX MUNDO] Box Mundo 15.3 — Discriminação de preços nas ferrovias europeias</w:t>
      </w:r>
    </w:p>
    <w:p>
      <w:pPr>
        <w:pStyle w:val="BlockText"/>
      </w:pPr>
      <w:r>
        <w:rPr>
          <w:b/>
          <w:bCs/>
        </w:rPr>
        <w:t xml:space="preserve">Contexto:</w:t>
      </w:r>
      <w:r>
        <w:t xml:space="preserve"> </w:t>
      </w:r>
      <w:r>
        <w:t xml:space="preserve">O transporte ferroviário europeu oferece um exemplo notável de discriminação de preços sofisticada, combinando técnicas de segundo e terceiro grau em escala continental. Operadoras como a Deutsche Bahn (Alemanha), a SNCF (França) e a Eurostar (Londres–Paris–Bruxelas) praticam estratégias de precificação que espelham as do setor aéreo, com uma particularidade: as ferrovias europeias operam em um regime de concorrência limitada, protegidas pela infraestrutura fixa das linhas férreas (uma barreira natural clássica).</w:t>
      </w:r>
    </w:p>
    <w:p>
      <w:pPr>
        <w:pStyle w:val="BlockText"/>
      </w:pPr>
      <w:r>
        <w:rPr>
          <w:b/>
          <w:bCs/>
        </w:rPr>
        <w:t xml:space="preserve">Dados:</w:t>
      </w:r>
      <w:r>
        <w:t xml:space="preserve"> </w:t>
      </w:r>
      <w:r>
        <w:t xml:space="preserve">Uma passagem Eurostar Londres–Paris pode variar de £39 (compra com 3 meses de antecedência, horário fora de pico) a £400+ (compra de última hora, horário de pico, classe business) — uma razão de preços superior a 10:1 para o mesmo trajeto. A Deutsche Bahn oferece o sistema</w:t>
      </w:r>
      <w:r>
        <w:t xml:space="preserve"> </w:t>
      </w:r>
      <w:r>
        <w:rPr>
          <w:i/>
          <w:iCs/>
        </w:rPr>
        <w:t xml:space="preserve">BahnCard</w:t>
      </w:r>
      <w:r>
        <w:t xml:space="preserve">: uma tarifa em duas partes (Seção 15.8) na qual o passageiro paga uma anuidade (€59,90 para BahnCard 25; €244,90 para BahnCard 50) e recebe, em troca, desconto de 25% ou 50% em todas as viagens. Segundo dados da Deutsche Bahn (Relatório Anual 2023), mais de 5 milhões de passageiros possuem algum tipo de BahnCard — evidência de que a tarifa em duas partes é eficaz na extração de excedente de viajantes frequentes.</w:t>
      </w:r>
    </w:p>
    <w:p>
      <w:pPr>
        <w:pStyle w:val="BlockText"/>
      </w:pPr>
      <w:r>
        <w:rPr>
          <w:b/>
          <w:bCs/>
        </w:rPr>
        <w:t xml:space="preserve">Análise:</w:t>
      </w:r>
      <w:r>
        <w:t xml:space="preserve"> </w:t>
      </w:r>
      <w:r>
        <w:t xml:space="preserve">A estrutura tarifária das ferrovias europeias combina discriminação de terceiro grau (descontos para jovens, idosos e grupos) com discriminação de segundo grau (autosseleção por antecedência de compra e classe de serviço). O sistema BahnCard é particularmente elegante do ponto de vista teórico: funciona exatamente como a tarifa em duas partes da Seção 15.8, onde a anuidade é a taxa de entrada</w:t>
      </w:r>
      <w:r>
        <w:t xml:space="preserve"> </w:t>
      </w:r>
      <m:oMath>
        <m:r>
          <m:t>T</m:t>
        </m:r>
      </m:oMath>
      <w:r>
        <w:t xml:space="preserve"> </w:t>
      </w:r>
      <w:r>
        <w:t xml:space="preserve">e o desconto reduz o preço marginal por viagem</w:t>
      </w:r>
      <w:r>
        <w:t xml:space="preserve"> </w:t>
      </w:r>
      <m:oMath>
        <m:r>
          <m:t>p</m:t>
        </m:r>
      </m:oMath>
      <w:r>
        <w:t xml:space="preserve">. Viajantes frequentes (alta demanda, tipo A) se autosselecionam para BahnCards mais caras, revelando sua alta disposição a pagar.</w:t>
      </w:r>
    </w:p>
    <w:p>
      <w:pPr>
        <w:pStyle w:val="BlockText"/>
      </w:pPr>
      <w:r>
        <w:rPr>
          <w:b/>
          <w:bCs/>
        </w:rPr>
        <w:t xml:space="preserve">Fonte:</w:t>
      </w:r>
      <w:r>
        <w:t xml:space="preserve"> </w:t>
      </w:r>
      <w:r>
        <w:t xml:space="preserve">Eurostar Group Limited,</w:t>
      </w:r>
      <w:r>
        <w:t xml:space="preserve"> </w:t>
      </w:r>
      <w:r>
        <w:rPr>
          <w:i/>
          <w:iCs/>
        </w:rPr>
        <w:t xml:space="preserve">Annual Report 2023</w:t>
      </w:r>
      <w:r>
        <w:t xml:space="preserve">. Deutsche Bahn AG,</w:t>
      </w:r>
      <w:r>
        <w:t xml:space="preserve"> </w:t>
      </w:r>
      <w:r>
        <w:rPr>
          <w:i/>
          <w:iCs/>
        </w:rPr>
        <w:t xml:space="preserve">Integrated Report 2023</w:t>
      </w:r>
      <w:r>
        <w:t xml:space="preserve">. European Commission, DG MOVE,</w:t>
      </w:r>
      <w:r>
        <w:t xml:space="preserve"> </w:t>
      </w:r>
      <w:r>
        <w:rPr>
          <w:i/>
          <w:iCs/>
        </w:rPr>
        <w:t xml:space="preserve">Statistical Pocketbook: EU Transport in Figures 2023</w:t>
      </w:r>
      <w:r>
        <w:t xml:space="preserve">.</w:t>
      </w:r>
    </w:p>
    <w:p>
      <w:pPr>
        <w:pStyle w:val="FirstParagraph"/>
      </w:pPr>
      <w:r>
        <w:t xml:space="preserve">No gráfico interativo abaixo, alterne entre os três graus de discriminação e observe como cada tipo afeta a extração de excedente e a eficiência alocativa.</w:t>
      </w:r>
    </w:p>
    <w:p>
      <w:pPr>
        <w:pStyle w:val="BodyText"/>
      </w:pPr>
      <w:r>
        <w:t xml:space="preserve">[FIGURA INTERATIVA: /micro-book/graficos/cap15/discriminacao-precos.html — versao interativa disponivel online]</w:t>
      </w:r>
    </w:p>
    <w:p>
      <w:pPr>
        <w:pStyle w:val="BodyText"/>
      </w:pPr>
      <w:r>
        <w:rPr>
          <w:b/>
          <w:bCs/>
        </w:rPr>
        <w:t xml:space="preserve">Figura 15.3 — Discriminação de preços.</w:t>
      </w:r>
      <w:r>
        <w:t xml:space="preserve"> </w:t>
      </w:r>
      <w:r>
        <w:t xml:space="preserve">Alterne entre discriminação de 1º grau (perfeita), 2º grau (tarifa em duas partes) e 3º grau (dois mercados). Observe como cada tipo afeta a extração de excedente e a eficiência alocativa.</w:t>
      </w:r>
    </w:p>
    <w:p>
      <w:pPr>
        <w:pStyle w:val="BodyText"/>
      </w:pPr>
      <w:r>
        <w:t xml:space="preserve">O exercício a seguir aplica a discriminação de terceiro grau a um problema com dois mercados.</w:t>
      </w:r>
    </w:p>
    <w:p>
      <w:pPr>
        <w:pStyle w:val="BlockText"/>
      </w:pPr>
      <w:r>
        <w:rPr>
          <w:b/>
          <w:bCs/>
        </w:rPr>
        <w:t xml:space="preserve">[EXERCICIO RESOLVIDO] Exercício Resolvido 15.4 — Discriminação de terceiro grau com dois mercados</w:t>
      </w:r>
    </w:p>
    <w:p>
      <w:pPr>
        <w:pStyle w:val="BlockText"/>
      </w:pPr>
      <w:r>
        <w:rPr>
          <w:b/>
          <w:bCs/>
        </w:rPr>
        <w:t xml:space="preserve">Enunciado.</w:t>
      </w:r>
      <w:r>
        <w:t xml:space="preserve"> </w:t>
      </w:r>
      <w:r>
        <w:t xml:space="preserve">Um monopolista vende em dois mercados:</w:t>
      </w:r>
      <w:r>
        <w:t xml:space="preserve"> </w:t>
      </w:r>
      <m:oMath>
        <m:sSub>
          <m:e>
            <m:r>
              <m:t>p</m:t>
            </m:r>
          </m:e>
          <m:sub>
            <m:r>
              <m:t>1</m:t>
            </m:r>
          </m:sub>
        </m:sSub>
        <m:r>
          <m:rPr>
            <m:sty m:val="p"/>
          </m:rPr>
          <m:t>=</m:t>
        </m:r>
        <m:r>
          <m:t>120</m:t>
        </m:r>
        <m:r>
          <m:rPr>
            <m:sty m:val="p"/>
          </m:rPr>
          <m:t>−</m:t>
        </m:r>
        <m:r>
          <m:t>2</m:t>
        </m:r>
        <m:sSub>
          <m:e>
            <m:r>
              <m:t>q</m:t>
            </m:r>
          </m:e>
          <m:sub>
            <m:r>
              <m:t>1</m:t>
            </m:r>
          </m:sub>
        </m:sSub>
      </m:oMath>
      <w:r>
        <w:t xml:space="preserve"> </w:t>
      </w:r>
      <w:r>
        <w:t xml:space="preserve">e</w:t>
      </w:r>
      <w:r>
        <w:t xml:space="preserve"> </w:t>
      </w:r>
      <m:oMath>
        <m:sSub>
          <m:e>
            <m:r>
              <m:t>p</m:t>
            </m:r>
          </m:e>
          <m:sub>
            <m:r>
              <m:t>2</m:t>
            </m:r>
          </m:sub>
        </m:sSub>
        <m:r>
          <m:rPr>
            <m:sty m:val="p"/>
          </m:rPr>
          <m:t>=</m:t>
        </m:r>
        <m:r>
          <m:t>80</m:t>
        </m:r>
        <m:r>
          <m:rPr>
            <m:sty m:val="p"/>
          </m:rPr>
          <m:t>−</m:t>
        </m:r>
        <m:sSub>
          <m:e>
            <m:r>
              <m:t>q</m:t>
            </m:r>
          </m:e>
          <m:sub>
            <m:r>
              <m:t>2</m:t>
            </m:r>
          </m:sub>
        </m:sSub>
      </m:oMath>
      <w:r>
        <w:t xml:space="preserve">. O custo marginal é constante</w:t>
      </w:r>
      <w:r>
        <w:t xml:space="preserve"> </w:t>
      </w:r>
      <m:oMath>
        <m:r>
          <m:t>C</m:t>
        </m:r>
        <m:r>
          <m:t>M</m:t>
        </m:r>
        <m:r>
          <m:t>g</m:t>
        </m:r>
        <m:r>
          <m:rPr>
            <m:sty m:val="p"/>
          </m:rPr>
          <m:t>=</m:t>
        </m:r>
        <m:r>
          <m:t>20</m:t>
        </m:r>
      </m:oMath>
      <w:r>
        <w:t xml:space="preserve">. (a) Com discriminação de 3º grau, encontre preços e quantidades em cada mercado. (b) Calcule os índices de Lerner e relacione com as elasticidades. (c) Calcule o lucro total.</w:t>
      </w:r>
    </w:p>
    <w:p>
      <w:r>
        <w:pict>
          <v:rect style="width:0;height:1.5pt" o:hralign="center" o:hrstd="t" o:hr="t"/>
        </w:pict>
      </w:r>
    </w:p>
    <w:p>
      <w:pPr>
        <w:pStyle w:val="BlockText"/>
      </w:pPr>
      <w:r>
        <w:rPr>
          <w:b/>
          <w:bCs/>
        </w:rPr>
        <w:t xml:space="preserve">(a)</w:t>
      </w:r>
      <w:r>
        <w:t xml:space="preserve"> </w:t>
      </w:r>
      <w:r>
        <w:t xml:space="preserve">Receitas marginais:</w:t>
      </w:r>
      <w:r>
        <w:t xml:space="preserve"> </w:t>
      </w:r>
      <m:oMath>
        <m:r>
          <m:t>R</m:t>
        </m:r>
        <m:r>
          <m:t>M</m:t>
        </m:r>
        <m:sSub>
          <m:e>
            <m:r>
              <m:t>g</m:t>
            </m:r>
          </m:e>
          <m:sub>
            <m:r>
              <m:t>1</m:t>
            </m:r>
          </m:sub>
        </m:sSub>
        <m:r>
          <m:rPr>
            <m:sty m:val="p"/>
          </m:rPr>
          <m:t>=</m:t>
        </m:r>
        <m:r>
          <m:t>120</m:t>
        </m:r>
        <m:r>
          <m:rPr>
            <m:sty m:val="p"/>
          </m:rPr>
          <m:t>−</m:t>
        </m:r>
        <m:r>
          <m:t>4</m:t>
        </m:r>
        <m:sSub>
          <m:e>
            <m:r>
              <m:t>q</m:t>
            </m:r>
          </m:e>
          <m:sub>
            <m:r>
              <m:t>1</m:t>
            </m:r>
          </m:sub>
        </m:sSub>
      </m:oMath>
      <w:r>
        <w:t xml:space="preserve"> </w:t>
      </w:r>
      <w:r>
        <w:t xml:space="preserve">e</w:t>
      </w:r>
      <w:r>
        <w:t xml:space="preserve"> </w:t>
      </w:r>
      <m:oMath>
        <m:r>
          <m:t>R</m:t>
        </m:r>
        <m:r>
          <m:t>M</m:t>
        </m:r>
        <m:sSub>
          <m:e>
            <m:r>
              <m:t>g</m:t>
            </m:r>
          </m:e>
          <m:sub>
            <m:r>
              <m:t>2</m:t>
            </m:r>
          </m:sub>
        </m:sSub>
        <m:r>
          <m:rPr>
            <m:sty m:val="p"/>
          </m:rPr>
          <m:t>=</m:t>
        </m:r>
        <m:r>
          <m:t>80</m:t>
        </m:r>
        <m:r>
          <m:rPr>
            <m:sty m:val="p"/>
          </m:rPr>
          <m:t>−</m:t>
        </m:r>
        <m:r>
          <m:t>2</m:t>
        </m:r>
        <m:sSub>
          <m:e>
            <m:r>
              <m:t>q</m:t>
            </m:r>
          </m:e>
          <m:sub>
            <m:r>
              <m:t>2</m:t>
            </m:r>
          </m:sub>
        </m:sSub>
      </m:oMath>
      <w:r>
        <w:t xml:space="preserve">.</w:t>
      </w:r>
    </w:p>
    <w:p>
      <w:pPr>
        <w:pStyle w:val="BlockText"/>
      </w:pPr>
      <w:r>
        <w:t xml:space="preserve">Igualando ao CMg:</w:t>
      </w:r>
    </w:p>
    <w:p>
      <w:pPr>
        <w:pStyle w:val="BlockText"/>
      </w:pPr>
      <w:r>
        <w:t xml:space="preserve">$$</w:t>
      </w:r>
    </w:p>
    <w:p>
      <w:pPr>
        <w:pStyle w:val="BlockText"/>
      </w:pPr>
      <w:r>
        <w:t xml:space="preserve">120 - 4q_1 = 20</w:t>
      </w:r>
      <w:r>
        <w:t xml:space="preserve"> </w:t>
      </w:r>
      <w:r>
        <w:t xml:space="preserve">q_1 = 25,</w:t>
      </w:r>
      <w:r>
        <w:t xml:space="preserve"> </w:t>
      </w:r>
      <w:r>
        <w:t xml:space="preserve">p_1 = 120 - 50 = 70</w:t>
      </w:r>
    </w:p>
    <w:p>
      <w:pPr>
        <w:pStyle w:val="BlockText"/>
      </w:pPr>
      <w:r>
        <w:t xml:space="preserve">$$</w:t>
      </w:r>
    </w:p>
    <w:p>
      <w:pPr>
        <w:pStyle w:val="BlockText"/>
      </w:pPr>
      <w:r>
        <w:t xml:space="preserve">$$</w:t>
      </w:r>
    </w:p>
    <w:p>
      <w:pPr>
        <w:pStyle w:val="BlockText"/>
      </w:pPr>
      <w:r>
        <w:t xml:space="preserve">80 - 2q_2 = 20</w:t>
      </w:r>
      <w:r>
        <w:t xml:space="preserve"> </w:t>
      </w:r>
      <w:r>
        <w:t xml:space="preserve">q_2 = 30,</w:t>
      </w:r>
      <w:r>
        <w:t xml:space="preserve"> </w:t>
      </w:r>
      <w:r>
        <w:t xml:space="preserve">p_2 = 80 - 30 = 50</w:t>
      </w:r>
    </w:p>
    <w:p>
      <w:pPr>
        <w:pStyle w:val="BlockText"/>
      </w:pPr>
      <w:r>
        <w:t xml:space="preserve">$$</w:t>
      </w:r>
    </w:p>
    <w:p>
      <w:pPr>
        <w:pStyle w:val="BlockText"/>
      </w:pPr>
      <w:r>
        <w:rPr>
          <w:b/>
          <w:bCs/>
        </w:rPr>
        <w:t xml:space="preserve">(b)</w:t>
      </w:r>
      <w:r>
        <w:t xml:space="preserve"> </w:t>
      </w:r>
      <w:r>
        <w:t xml:space="preserve">Lerner no mercado 1:</w:t>
      </w:r>
      <w:r>
        <w:t xml:space="preserve"> </w:t>
      </w:r>
      <m:oMath>
        <m:sSub>
          <m:e>
            <m:r>
              <m:t>L</m:t>
            </m:r>
          </m:e>
          <m:sub>
            <m:r>
              <m:t>1</m:t>
            </m:r>
          </m:sub>
        </m:sSub>
        <m:r>
          <m:rPr>
            <m:sty m:val="p"/>
          </m:rPr>
          <m:t>=</m:t>
        </m:r>
        <m:r>
          <m:rPr>
            <m:sty m:val="p"/>
          </m:rPr>
          <m:t>(</m:t>
        </m:r>
        <m:r>
          <m:t>70</m:t>
        </m:r>
        <m:r>
          <m:rPr>
            <m:sty m:val="p"/>
          </m:rPr>
          <m:t>−</m:t>
        </m:r>
        <m:r>
          <m:t>20</m:t>
        </m:r>
        <m:r>
          <m:rPr>
            <m:sty m:val="p"/>
          </m:rPr>
          <m:t>)</m:t>
        </m:r>
        <m:r>
          <m:rPr>
            <m:sty m:val="p"/>
          </m:rPr>
          <m:t>/</m:t>
        </m:r>
        <m:r>
          <m:t>70</m:t>
        </m:r>
        <m:r>
          <m:rPr>
            <m:sty m:val="p"/>
          </m:rPr>
          <m:t>=</m:t>
        </m:r>
        <m:r>
          <m:t>50</m:t>
        </m:r>
        <m:r>
          <m:rPr>
            <m:sty m:val="p"/>
          </m:rPr>
          <m:t>/</m:t>
        </m:r>
        <m:r>
          <m:t>70</m:t>
        </m:r>
        <m:r>
          <m:rPr>
            <m:sty m:val="p"/>
          </m:rPr>
          <m:t>≈</m:t>
        </m:r>
        <m:r>
          <m:t>0</m:t>
        </m:r>
        <m:r>
          <m:rPr>
            <m:sty m:val="p"/>
          </m:rPr>
          <m:t>,</m:t>
        </m:r>
        <m:r>
          <m:t>714</m:t>
        </m:r>
      </m:oMath>
      <w:r>
        <w:t xml:space="preserve">.</w:t>
      </w:r>
    </w:p>
    <w:p>
      <w:pPr>
        <w:pStyle w:val="BlockText"/>
      </w:pPr>
      <w:r>
        <w:t xml:space="preserve">Elasticidade:</w:t>
      </w:r>
      <w:r>
        <w:t xml:space="preserve"> </w:t>
      </w:r>
      <m:oMath>
        <m:sSub>
          <m:e>
            <m:r>
              <m:t>ε</m:t>
            </m:r>
          </m:e>
          <m:sub>
            <m:r>
              <m:t>1</m:t>
            </m:r>
          </m:sub>
        </m:sSub>
        <m:r>
          <m:rPr>
            <m:sty m:val="p"/>
          </m:rPr>
          <m:t>=</m:t>
        </m:r>
        <m:r>
          <m:rPr>
            <m:sty m:val="p"/>
          </m:rPr>
          <m:t>(</m:t>
        </m:r>
        <m:r>
          <m:rPr>
            <m:sty m:val="p"/>
          </m:rPr>
          <m:t>−</m:t>
        </m:r>
        <m:r>
          <m:t>1</m:t>
        </m:r>
        <m:r>
          <m:rPr>
            <m:sty m:val="p"/>
          </m:rPr>
          <m:t>/</m:t>
        </m:r>
        <m:r>
          <m:t>2</m:t>
        </m:r>
        <m:r>
          <m:rPr>
            <m:sty m:val="p"/>
          </m:rPr>
          <m:t>)</m:t>
        </m:r>
        <m:r>
          <m:rPr>
            <m:sty m:val="p"/>
          </m:rPr>
          <m:t>(</m:t>
        </m:r>
        <m:r>
          <m:t>70</m:t>
        </m:r>
        <m:r>
          <m:rPr>
            <m:sty m:val="p"/>
          </m:rPr>
          <m:t>/</m:t>
        </m:r>
        <m:r>
          <m:t>25</m:t>
        </m:r>
        <m:r>
          <m:rPr>
            <m:sty m:val="p"/>
          </m:rPr>
          <m:t>)</m:t>
        </m:r>
        <m:r>
          <m:rPr>
            <m:sty m:val="p"/>
          </m:rPr>
          <m:t>=</m:t>
        </m:r>
        <m:r>
          <m:rPr>
            <m:sty m:val="p"/>
          </m:rPr>
          <m:t>−</m:t>
        </m:r>
        <m:r>
          <m:t>1</m:t>
        </m:r>
        <m:r>
          <m:rPr>
            <m:sty m:val="p"/>
          </m:rPr>
          <m:t>,</m:t>
        </m:r>
        <m:r>
          <m:t>4</m:t>
        </m:r>
      </m:oMath>
      <w:r>
        <w:t xml:space="preserve">, logo</w:t>
      </w:r>
      <w:r>
        <w:t xml:space="preserve"> </w:t>
      </w:r>
      <m:oMath>
        <m:sSub>
          <m:e>
            <m:r>
              <m:t>L</m:t>
            </m:r>
          </m:e>
          <m:sub>
            <m:r>
              <m:t>1</m:t>
            </m:r>
          </m:sub>
        </m:sSub>
        <m:r>
          <m:rPr>
            <m:sty m:val="p"/>
          </m:rPr>
          <m:t>=</m:t>
        </m:r>
        <m:r>
          <m:t>1</m:t>
        </m:r>
        <m:r>
          <m:rPr>
            <m:sty m:val="p"/>
          </m:rPr>
          <m:t>/</m:t>
        </m:r>
        <m:r>
          <m:t>1</m:t>
        </m:r>
        <m:r>
          <m:rPr>
            <m:sty m:val="p"/>
          </m:rPr>
          <m:t>,</m:t>
        </m:r>
        <m:r>
          <m:t>4</m:t>
        </m:r>
        <m:r>
          <m:rPr>
            <m:sty m:val="p"/>
          </m:rPr>
          <m:t>≈</m:t>
        </m:r>
        <m:r>
          <m:t>0</m:t>
        </m:r>
        <m:r>
          <m:rPr>
            <m:sty m:val="p"/>
          </m:rPr>
          <m:t>,</m:t>
        </m:r>
        <m:r>
          <m:t>714</m:t>
        </m:r>
      </m:oMath>
      <w:r>
        <w:t xml:space="preserve">. ✓</w:t>
      </w:r>
    </w:p>
    <w:p>
      <w:pPr>
        <w:pStyle w:val="BlockText"/>
      </w:pPr>
      <w:r>
        <w:t xml:space="preserve">Lerner no mercado 2:</w:t>
      </w:r>
      <w:r>
        <w:t xml:space="preserve"> </w:t>
      </w:r>
      <m:oMath>
        <m:sSub>
          <m:e>
            <m:r>
              <m:t>L</m:t>
            </m:r>
          </m:e>
          <m:sub>
            <m:r>
              <m:t>2</m:t>
            </m:r>
          </m:sub>
        </m:sSub>
        <m:r>
          <m:rPr>
            <m:sty m:val="p"/>
          </m:rPr>
          <m:t>=</m:t>
        </m:r>
        <m:r>
          <m:rPr>
            <m:sty m:val="p"/>
          </m:rPr>
          <m:t>(</m:t>
        </m:r>
        <m:r>
          <m:t>50</m:t>
        </m:r>
        <m:r>
          <m:rPr>
            <m:sty m:val="p"/>
          </m:rPr>
          <m:t>−</m:t>
        </m:r>
        <m:r>
          <m:t>20</m:t>
        </m:r>
        <m:r>
          <m:rPr>
            <m:sty m:val="p"/>
          </m:rPr>
          <m:t>)</m:t>
        </m:r>
        <m:r>
          <m:rPr>
            <m:sty m:val="p"/>
          </m:rPr>
          <m:t>/</m:t>
        </m:r>
        <m:r>
          <m:t>50</m:t>
        </m:r>
        <m:r>
          <m:rPr>
            <m:sty m:val="p"/>
          </m:rPr>
          <m:t>=</m:t>
        </m:r>
        <m:r>
          <m:t>30</m:t>
        </m:r>
        <m:r>
          <m:rPr>
            <m:sty m:val="p"/>
          </m:rPr>
          <m:t>/</m:t>
        </m:r>
        <m:r>
          <m:t>50</m:t>
        </m:r>
        <m:r>
          <m:rPr>
            <m:sty m:val="p"/>
          </m:rPr>
          <m:t>=</m:t>
        </m:r>
        <m:r>
          <m:t>0</m:t>
        </m:r>
        <m:r>
          <m:rPr>
            <m:sty m:val="p"/>
          </m:rPr>
          <m:t>,</m:t>
        </m:r>
        <m:r>
          <m:t>60</m:t>
        </m:r>
      </m:oMath>
      <w:r>
        <w:t xml:space="preserve">.</w:t>
      </w:r>
    </w:p>
    <w:p>
      <w:pPr>
        <w:pStyle w:val="BlockText"/>
      </w:pPr>
      <w:r>
        <w:t xml:space="preserve">Elasticidade:</w:t>
      </w:r>
      <w:r>
        <w:t xml:space="preserve"> </w:t>
      </w:r>
      <m:oMath>
        <m:sSub>
          <m:e>
            <m:r>
              <m:t>ε</m:t>
            </m:r>
          </m:e>
          <m:sub>
            <m:r>
              <m:t>2</m:t>
            </m:r>
          </m:sub>
        </m:sSub>
        <m:r>
          <m:rPr>
            <m:sty m:val="p"/>
          </m:rPr>
          <m:t>=</m:t>
        </m:r>
        <m:r>
          <m:rPr>
            <m:sty m:val="p"/>
          </m:rPr>
          <m:t>(</m:t>
        </m:r>
        <m:r>
          <m:rPr>
            <m:sty m:val="p"/>
          </m:rPr>
          <m:t>−</m:t>
        </m:r>
        <m:r>
          <m:t>1</m:t>
        </m:r>
        <m:r>
          <m:rPr>
            <m:sty m:val="p"/>
          </m:rPr>
          <m:t>)</m:t>
        </m:r>
        <m:r>
          <m:rPr>
            <m:sty m:val="p"/>
          </m:rPr>
          <m:t>(</m:t>
        </m:r>
        <m:r>
          <m:t>50</m:t>
        </m:r>
        <m:r>
          <m:rPr>
            <m:sty m:val="p"/>
          </m:rPr>
          <m:t>/</m:t>
        </m:r>
        <m:r>
          <m:t>30</m:t>
        </m:r>
        <m:r>
          <m:rPr>
            <m:sty m:val="p"/>
          </m:rPr>
          <m:t>)</m:t>
        </m:r>
        <m:r>
          <m:rPr>
            <m:sty m:val="p"/>
          </m:rPr>
          <m:t>=</m:t>
        </m:r>
        <m:r>
          <m:rPr>
            <m:sty m:val="p"/>
          </m:rPr>
          <m:t>−</m:t>
        </m:r>
        <m:r>
          <m:t>1</m:t>
        </m:r>
        <m:r>
          <m:rPr>
            <m:sty m:val="p"/>
          </m:rPr>
          <m:t>,</m:t>
        </m:r>
        <m:r>
          <m:t>667</m:t>
        </m:r>
      </m:oMath>
      <w:r>
        <w:t xml:space="preserve">, logo</w:t>
      </w:r>
      <w:r>
        <w:t xml:space="preserve"> </w:t>
      </w:r>
      <m:oMath>
        <m:sSub>
          <m:e>
            <m:r>
              <m:t>L</m:t>
            </m:r>
          </m:e>
          <m:sub>
            <m:r>
              <m:t>2</m:t>
            </m:r>
          </m:sub>
        </m:sSub>
        <m:r>
          <m:rPr>
            <m:sty m:val="p"/>
          </m:rPr>
          <m:t>=</m:t>
        </m:r>
        <m:r>
          <m:t>1</m:t>
        </m:r>
        <m:r>
          <m:rPr>
            <m:sty m:val="p"/>
          </m:rPr>
          <m:t>/</m:t>
        </m:r>
        <m:r>
          <m:t>1</m:t>
        </m:r>
        <m:r>
          <m:rPr>
            <m:sty m:val="p"/>
          </m:rPr>
          <m:t>,</m:t>
        </m:r>
        <m:r>
          <m:t>667</m:t>
        </m:r>
        <m:r>
          <m:rPr>
            <m:sty m:val="p"/>
          </m:rPr>
          <m:t>=</m:t>
        </m:r>
        <m:r>
          <m:t>0</m:t>
        </m:r>
        <m:r>
          <m:rPr>
            <m:sty m:val="p"/>
          </m:rPr>
          <m:t>,</m:t>
        </m:r>
        <m:r>
          <m:t>60</m:t>
        </m:r>
      </m:oMath>
      <w:r>
        <w:t xml:space="preserve">. ✓</w:t>
      </w:r>
    </w:p>
    <w:p>
      <w:pPr>
        <w:pStyle w:val="BlockText"/>
      </w:pPr>
      <w:r>
        <w:t xml:space="preserve">O mercado 1 tem demanda mais inelástica (</w:t>
      </w:r>
      <m:oMath>
        <m:r>
          <m:rPr>
            <m:sty m:val="p"/>
          </m:rPr>
          <m:t>|</m:t>
        </m:r>
        <m:sSub>
          <m:e>
            <m:r>
              <m:t>ε</m:t>
            </m:r>
          </m:e>
          <m:sub>
            <m:r>
              <m:t>1</m:t>
            </m:r>
          </m:sub>
        </m:sSub>
        <m:r>
          <m:rPr>
            <m:sty m:val="p"/>
          </m:rPr>
          <m:t>|</m:t>
        </m:r>
        <m:r>
          <m:rPr>
            <m:sty m:val="p"/>
          </m:rPr>
          <m:t>=</m:t>
        </m:r>
        <m:r>
          <m:t>1</m:t>
        </m:r>
        <m:r>
          <m:rPr>
            <m:sty m:val="p"/>
          </m:rPr>
          <m:t>,</m:t>
        </m:r>
        <m:r>
          <m:t>4</m:t>
        </m:r>
        <m:r>
          <m:rPr>
            <m:sty m:val="p"/>
          </m:rPr>
          <m:t>&lt;</m:t>
        </m:r>
        <m:r>
          <m:rPr>
            <m:sty m:val="p"/>
          </m:rPr>
          <m:t>|</m:t>
        </m:r>
        <m:sSub>
          <m:e>
            <m:r>
              <m:t>ε</m:t>
            </m:r>
          </m:e>
          <m:sub>
            <m:r>
              <m:t>2</m:t>
            </m:r>
          </m:sub>
        </m:sSub>
        <m:r>
          <m:rPr>
            <m:sty m:val="p"/>
          </m:rPr>
          <m:t>|</m:t>
        </m:r>
        <m:r>
          <m:rPr>
            <m:sty m:val="p"/>
          </m:rPr>
          <m:t>=</m:t>
        </m:r>
        <m:r>
          <m:t>1</m:t>
        </m:r>
        <m:r>
          <m:rPr>
            <m:sty m:val="p"/>
          </m:rPr>
          <m:t>,</m:t>
        </m:r>
        <m:r>
          <m:t>667</m:t>
        </m:r>
      </m:oMath>
      <w:r>
        <w:t xml:space="preserve">) e paga o preço mais alto (</w:t>
      </w:r>
      <m:oMath>
        <m:sSub>
          <m:e>
            <m:r>
              <m:t>p</m:t>
            </m:r>
          </m:e>
          <m:sub>
            <m:r>
              <m:t>1</m:t>
            </m:r>
          </m:sub>
        </m:sSub>
        <m:r>
          <m:rPr>
            <m:sty m:val="p"/>
          </m:rPr>
          <m:t>=</m:t>
        </m:r>
        <m:r>
          <m:t>70</m:t>
        </m:r>
        <m:r>
          <m:rPr>
            <m:sty m:val="p"/>
          </m:rPr>
          <m:t>&gt;</m:t>
        </m:r>
        <m:sSub>
          <m:e>
            <m:r>
              <m:t>p</m:t>
            </m:r>
          </m:e>
          <m:sub>
            <m:r>
              <m:t>2</m:t>
            </m:r>
          </m:sub>
        </m:sSub>
        <m:r>
          <m:rPr>
            <m:sty m:val="p"/>
          </m:rPr>
          <m:t>=</m:t>
        </m:r>
        <m:r>
          <m:t>50</m:t>
        </m:r>
      </m:oMath>
      <w:r>
        <w:t xml:space="preserve">). Isso confirma a regra: o monopolista cobra mais do segmento com demanda mais inelástica.</w:t>
      </w:r>
    </w:p>
    <w:p>
      <w:pPr>
        <w:pStyle w:val="BlockText"/>
      </w:pPr>
      <w:r>
        <w:rPr>
          <w:b/>
          <w:bCs/>
        </w:rPr>
        <w:t xml:space="preserve">(c)</w:t>
      </w:r>
      <w:r>
        <w:t xml:space="preserve"> </w:t>
      </w:r>
      <w:r>
        <w:t xml:space="preserve">Lucro total:</w:t>
      </w:r>
    </w:p>
    <w:p>
      <w:pPr>
        <w:pStyle w:val="BlockText"/>
      </w:pPr>
      <w:r>
        <w:t xml:space="preserve">$$</w:t>
      </w:r>
    </w:p>
    <w:p>
      <w:pPr>
        <w:pStyle w:val="BlockText"/>
      </w:pPr>
      <w:r>
        <w:t xml:space="preserve">= (70 - 20)(25) + (50 - 20)(30) = 1.250 + 900 = 2.150</w:t>
      </w:r>
    </w:p>
    <w:p>
      <w:pPr>
        <w:pStyle w:val="BlockText"/>
      </w:pPr>
      <w:r>
        <w:t xml:space="preserve">$$</w:t>
      </w:r>
    </w:p>
    <w:p>
      <w:pPr>
        <w:pStyle w:val="FirstParagraph"/>
      </w:pPr>
      <w:r>
        <w:t xml:space="preserve">[FIGURA INTERATIVA: /micro-book/graficos/cap15/webr-discriminacao-3grau.html — versao interativa disponivel online]</w:t>
      </w:r>
    </w:p>
    <w:p>
      <w:pPr>
        <w:pStyle w:val="BodyText"/>
      </w:pPr>
      <w:r>
        <w:rPr>
          <w:b/>
          <w:bCs/>
        </w:rPr>
        <w:t xml:space="preserve">WebR 15.3 — Um preço para cada bolso: discriminação de 3º grau.</w:t>
      </w:r>
      <w:r>
        <w:t xml:space="preserve"> </w:t>
      </w:r>
      <w:r>
        <w:t xml:space="preserve">O código implementa o ER 15.4 com dois mercados segmentados. Observe que o mercado com demanda mais inelástica paga o preço mais alto — e verifique pela fórmula das elasticidades. Altere as inclinações</w:t>
      </w:r>
      <w:r>
        <w:t xml:space="preserve"> </w:t>
      </w:r>
      <w:r>
        <w:rPr>
          <w:rStyle w:val="VerbatimChar"/>
        </w:rPr>
        <w:t xml:space="preserve">b1</w:t>
      </w:r>
      <w:r>
        <w:t xml:space="preserve"> </w:t>
      </w:r>
      <w:r>
        <w:t xml:space="preserve">e</w:t>
      </w:r>
      <w:r>
        <w:t xml:space="preserve"> </w:t>
      </w:r>
      <w:r>
        <w:rPr>
          <w:rStyle w:val="VerbatimChar"/>
        </w:rPr>
        <w:t xml:space="preserve">b2</w:t>
      </w:r>
      <w:r>
        <w:t xml:space="preserve"> </w:t>
      </w:r>
      <w:r>
        <w:t xml:space="preserve">para ver como a diferença de preços responde à diferença de elasticidades.</w:t>
      </w:r>
    </w:p>
    <w:p>
      <w:pPr>
        <w:pStyle w:val="BlockText"/>
      </w:pPr>
      <w:r>
        <w:rPr>
          <w:b/>
          <w:bCs/>
        </w:rPr>
        <w:t xml:space="preserve">[EXERCICIO RESOLVIDO] Exercício Resolvido 15.5 — Comparação dos três regimes: concorrência, monopólio e discriminação perfeita</w:t>
      </w:r>
    </w:p>
    <w:p>
      <w:pPr>
        <w:pStyle w:val="BlockText"/>
      </w:pPr>
      <w:r>
        <w:rPr>
          <w:b/>
          <w:bCs/>
        </w:rPr>
        <w:t xml:space="preserve">Enunciado.</w:t>
      </w:r>
      <w:r>
        <w:t xml:space="preserve"> </w:t>
      </w:r>
      <w:r>
        <w:t xml:space="preserve">Considere demanda</w:t>
      </w:r>
      <w:r>
        <w:t xml:space="preserve"> </w:t>
      </w:r>
      <m:oMath>
        <m:r>
          <m:t>p</m:t>
        </m:r>
        <m:r>
          <m:rPr>
            <m:sty m:val="p"/>
          </m:rPr>
          <m:t>=</m:t>
        </m:r>
        <m:r>
          <m:t>50</m:t>
        </m:r>
        <m:r>
          <m:rPr>
            <m:sty m:val="p"/>
          </m:rPr>
          <m:t>−</m:t>
        </m:r>
        <m:r>
          <m:t>q</m:t>
        </m:r>
      </m:oMath>
      <w:r>
        <w:t xml:space="preserve"> </w:t>
      </w:r>
      <w:r>
        <w:t xml:space="preserve">e</w:t>
      </w:r>
      <w:r>
        <w:t xml:space="preserve"> </w:t>
      </w:r>
      <m:oMath>
        <m:r>
          <m:t>C</m:t>
        </m:r>
        <m:r>
          <m:t>M</m:t>
        </m:r>
        <m:r>
          <m:t>g</m:t>
        </m:r>
        <m:r>
          <m:rPr>
            <m:sty m:val="p"/>
          </m:rPr>
          <m:t>=</m:t>
        </m:r>
        <m:r>
          <m:t>10</m:t>
        </m:r>
      </m:oMath>
      <w:r>
        <w:t xml:space="preserve"> </w:t>
      </w:r>
      <w:r>
        <w:t xml:space="preserve">(constante, sem custos fixos). (a) Encontre</w:t>
      </w:r>
      <w:r>
        <w:t xml:space="preserve"> </w:t>
      </w:r>
      <m:oMath>
        <m:r>
          <m:rPr>
            <m:sty m:val="p"/>
          </m:rPr>
          <m:t>(</m:t>
        </m:r>
        <m:r>
          <m:t>p</m:t>
        </m:r>
        <m:r>
          <m:rPr>
            <m:sty m:val="p"/>
          </m:rPr>
          <m:t>,</m:t>
        </m:r>
        <m:r>
          <m:t>q</m:t>
        </m:r>
        <m:r>
          <m:rPr>
            <m:sty m:val="p"/>
          </m:rPr>
          <m:t>,</m:t>
        </m:r>
        <m:r>
          <m:t>π</m:t>
        </m:r>
        <m:r>
          <m:rPr>
            <m:sty m:val="p"/>
          </m:rPr>
          <m:t>)</m:t>
        </m:r>
      </m:oMath>
      <w:r>
        <w:t xml:space="preserve"> </w:t>
      </w:r>
      <w:r>
        <w:t xml:space="preserve">sob: (i) concorrência perfeita; (ii) monopólio com preço único; (iii) discriminação de primeiro grau. (b) Para cada caso, calcule EC, EP e PPM.</w:t>
      </w:r>
    </w:p>
    <w:p>
      <w:r>
        <w:pict>
          <v:rect style="width:0;height:1.5pt" o:hralign="center" o:hrstd="t" o:hr="t"/>
        </w:pict>
      </w:r>
    </w:p>
    <w:p>
      <w:pPr>
        <w:pStyle w:val="BlockText"/>
      </w:pPr>
      <w:r>
        <w:rPr>
          <w:b/>
          <w:bCs/>
        </w:rPr>
        <w:t xml:space="preserve">(a)</w:t>
      </w:r>
    </w:p>
    <w:p>
      <w:pPr>
        <w:pStyle w:val="BlockText"/>
      </w:pPr>
      <w:r>
        <w:rPr>
          <w:b/>
          <w:bCs/>
        </w:rPr>
        <w:t xml:space="preserve">(i) Concorrência perfeita:</w:t>
      </w:r>
      <w:r>
        <w:t xml:space="preserve"> </w:t>
      </w:r>
      <m:oMath>
        <m:r>
          <m:t>p</m:t>
        </m:r>
        <m:r>
          <m:rPr>
            <m:sty m:val="p"/>
          </m:rPr>
          <m:t>=</m:t>
        </m:r>
        <m:r>
          <m:t>C</m:t>
        </m:r>
        <m:r>
          <m:t>M</m:t>
        </m:r>
        <m:r>
          <m:t>g</m:t>
        </m:r>
        <m:r>
          <m:rPr>
            <m:sty m:val="p"/>
          </m:rPr>
          <m:t>=</m:t>
        </m:r>
        <m:r>
          <m:t>10</m:t>
        </m:r>
      </m:oMath>
      <w:r>
        <w:t xml:space="preserve">,</w:t>
      </w:r>
      <w:r>
        <w:t xml:space="preserve"> </w:t>
      </w:r>
      <m:oMath>
        <m:sSup>
          <m:e>
            <m:r>
              <m:t>q</m:t>
            </m:r>
          </m:e>
          <m:sup>
            <m:r>
              <m:t>c</m:t>
            </m:r>
          </m:sup>
        </m:sSup>
        <m:r>
          <m:rPr>
            <m:sty m:val="p"/>
          </m:rPr>
          <m:t>=</m:t>
        </m:r>
        <m:r>
          <m:t>40</m:t>
        </m:r>
      </m:oMath>
      <w:r>
        <w:t xml:space="preserve">.</w:t>
      </w:r>
      <w:r>
        <w:t xml:space="preserve"> </w:t>
      </w:r>
      <m:oMath>
        <m:r>
          <m:t>π</m:t>
        </m:r>
        <m:r>
          <m:rPr>
            <m:sty m:val="p"/>
          </m:rPr>
          <m:t>=</m:t>
        </m:r>
        <m:r>
          <m:t>0</m:t>
        </m:r>
      </m:oMath>
      <w:r>
        <w:t xml:space="preserve">.</w:t>
      </w:r>
    </w:p>
    <w:p>
      <w:pPr>
        <w:pStyle w:val="BlockText"/>
      </w:pPr>
      <w:r>
        <w:rPr>
          <w:b/>
          <w:bCs/>
        </w:rPr>
        <w:t xml:space="preserve">(ii) Monopólio:</w:t>
      </w:r>
      <w:r>
        <w:t xml:space="preserve"> </w:t>
      </w:r>
      <m:oMath>
        <m:r>
          <m:t>R</m:t>
        </m:r>
        <m:r>
          <m:t>M</m:t>
        </m:r>
        <m:r>
          <m:t>g</m:t>
        </m:r>
        <m:r>
          <m:rPr>
            <m:sty m:val="p"/>
          </m:rPr>
          <m:t>=</m:t>
        </m:r>
        <m:r>
          <m:t>50</m:t>
        </m:r>
        <m:r>
          <m:rPr>
            <m:sty m:val="p"/>
          </m:rPr>
          <m:t>−</m:t>
        </m:r>
        <m:r>
          <m:t>2</m:t>
        </m:r>
        <m:r>
          <m:t>q</m:t>
        </m:r>
        <m:r>
          <m:rPr>
            <m:sty m:val="p"/>
          </m:rPr>
          <m:t>=</m:t>
        </m:r>
        <m:r>
          <m:t>10</m:t>
        </m:r>
        <m:r>
          <m:rPr>
            <m:sty m:val="p"/>
          </m:rPr>
          <m:t>⟹</m:t>
        </m:r>
        <m:sSup>
          <m:e>
            <m:r>
              <m:t>q</m:t>
            </m:r>
          </m:e>
          <m:sup>
            <m:r>
              <m:t>m</m:t>
            </m:r>
          </m:sup>
        </m:sSup>
        <m:r>
          <m:rPr>
            <m:sty m:val="p"/>
          </m:rPr>
          <m:t>=</m:t>
        </m:r>
        <m:r>
          <m:t>20</m:t>
        </m:r>
      </m:oMath>
      <w:r>
        <w:t xml:space="preserve">,</w:t>
      </w:r>
      <w:r>
        <w:t xml:space="preserve"> </w:t>
      </w:r>
      <m:oMath>
        <m:sSup>
          <m:e>
            <m:r>
              <m:t>p</m:t>
            </m:r>
          </m:e>
          <m:sup>
            <m:r>
              <m:t>m</m:t>
            </m:r>
          </m:sup>
        </m:sSup>
        <m:r>
          <m:rPr>
            <m:sty m:val="p"/>
          </m:rPr>
          <m:t>=</m:t>
        </m:r>
        <m:r>
          <m:t>30</m:t>
        </m:r>
      </m:oMath>
      <w:r>
        <w:t xml:space="preserve">.</w:t>
      </w:r>
      <w:r>
        <w:t xml:space="preserve"> </w:t>
      </w:r>
      <m:oMath>
        <m:r>
          <m:t>π</m:t>
        </m:r>
        <m:r>
          <m:rPr>
            <m:sty m:val="p"/>
          </m:rPr>
          <m:t>=</m:t>
        </m:r>
        <m:r>
          <m:rPr>
            <m:sty m:val="p"/>
          </m:rPr>
          <m:t>(</m:t>
        </m:r>
        <m:r>
          <m:t>30</m:t>
        </m:r>
        <m:r>
          <m:rPr>
            <m:sty m:val="p"/>
          </m:rPr>
          <m:t>−</m:t>
        </m:r>
        <m:r>
          <m:t>10</m:t>
        </m:r>
        <m:r>
          <m:rPr>
            <m:sty m:val="p"/>
          </m:rPr>
          <m:t>)</m:t>
        </m:r>
        <m:r>
          <m:rPr>
            <m:sty m:val="p"/>
          </m:rPr>
          <m:t>(</m:t>
        </m:r>
        <m:r>
          <m:t>20</m:t>
        </m:r>
        <m:r>
          <m:rPr>
            <m:sty m:val="p"/>
          </m:rPr>
          <m:t>)</m:t>
        </m:r>
        <m:r>
          <m:rPr>
            <m:sty m:val="p"/>
          </m:rPr>
          <m:t>=</m:t>
        </m:r>
        <m:r>
          <m:t>400</m:t>
        </m:r>
      </m:oMath>
      <w:r>
        <w:t xml:space="preserve">.</w:t>
      </w:r>
    </w:p>
    <w:p>
      <w:pPr>
        <w:pStyle w:val="BlockText"/>
      </w:pPr>
      <w:r>
        <w:rPr>
          <w:b/>
          <w:bCs/>
        </w:rPr>
        <w:t xml:space="preserve">(iii) Discriminação perfeita:</w:t>
      </w:r>
      <w:r>
        <w:t xml:space="preserve"> </w:t>
      </w:r>
      <m:oMath>
        <m:sSup>
          <m:e>
            <m:r>
              <m:t>q</m:t>
            </m:r>
          </m:e>
          <m:sup>
            <m:r>
              <m:t>d</m:t>
            </m:r>
            <m:r>
              <m:t>p</m:t>
            </m:r>
          </m:sup>
        </m:sSup>
        <m:r>
          <m:rPr>
            <m:sty m:val="p"/>
          </m:rPr>
          <m:t>=</m:t>
        </m:r>
        <m:sSup>
          <m:e>
            <m:r>
              <m:t>q</m:t>
            </m:r>
          </m:e>
          <m:sup>
            <m:r>
              <m:t>c</m:t>
            </m:r>
          </m:sup>
        </m:sSup>
        <m:r>
          <m:rPr>
            <m:sty m:val="p"/>
          </m:rPr>
          <m:t>=</m:t>
        </m:r>
        <m:r>
          <m:t>40</m:t>
        </m:r>
      </m:oMath>
      <w:r>
        <w:t xml:space="preserve"> </w:t>
      </w:r>
      <w:r>
        <w:t xml:space="preserve">(quantidade eficiente). O monopolista cobra a disposição a pagar de cada consumidor.</w:t>
      </w:r>
      <w:r>
        <w:t xml:space="preserve"> </w:t>
      </w:r>
      <m:oMath>
        <m:r>
          <m:t>π</m:t>
        </m:r>
        <m:r>
          <m:rPr>
            <m:sty m:val="p"/>
          </m:rPr>
          <m:t>=</m:t>
        </m:r>
        <m:f>
          <m:fPr>
            <m:type m:val="bar"/>
          </m:fPr>
          <m:num>
            <m:r>
              <m:t>1</m:t>
            </m:r>
          </m:num>
          <m:den>
            <m:r>
              <m:t>2</m:t>
            </m:r>
          </m:den>
        </m:f>
        <m:r>
          <m:rPr>
            <m:sty m:val="p"/>
          </m:rPr>
          <m:t>(</m:t>
        </m:r>
        <m:r>
          <m:t>50</m:t>
        </m:r>
        <m:r>
          <m:rPr>
            <m:sty m:val="p"/>
          </m:rPr>
          <m:t>−</m:t>
        </m:r>
        <m:r>
          <m:t>10</m:t>
        </m:r>
        <m:r>
          <m:rPr>
            <m:sty m:val="p"/>
          </m:rPr>
          <m:t>)</m:t>
        </m:r>
        <m:r>
          <m:rPr>
            <m:sty m:val="p"/>
          </m:rPr>
          <m:t>(</m:t>
        </m:r>
        <m:r>
          <m:t>40</m:t>
        </m:r>
        <m:r>
          <m:rPr>
            <m:sty m:val="p"/>
          </m:rPr>
          <m:t>)</m:t>
        </m:r>
        <m:r>
          <m:rPr>
            <m:sty m:val="p"/>
          </m:rPr>
          <m:t>=</m:t>
        </m:r>
        <m:r>
          <m:t>800</m:t>
        </m:r>
      </m:oMath>
      <w:r>
        <w:t xml:space="preserve">.</w:t>
      </w:r>
    </w:p>
    <w:p>
      <w:pPr>
        <w:pStyle w:val="BlockText"/>
      </w:pPr>
      <w:r>
        <w:rPr>
          <w:b/>
          <w:bCs/>
        </w:rPr>
        <w:t xml:space="preserve">(b)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Regime</w:t>
            </w:r>
          </w:p>
        </w:tc>
        <w:tc>
          <w:tcPr/>
          <w:p>
            <w:pPr>
              <w:pStyle w:val="Compact"/>
            </w:pPr>
            <w:r>
              <w:t xml:space="preserve">EC</w:t>
            </w:r>
          </w:p>
        </w:tc>
        <w:tc>
          <w:tcPr/>
          <w:p>
            <w:pPr>
              <w:pStyle w:val="Compact"/>
            </w:pPr>
            <w:r>
              <w:t xml:space="preserve">EP</w:t>
            </w:r>
          </w:p>
        </w:tc>
        <w:tc>
          <w:tcPr/>
          <w:p>
            <w:pPr>
              <w:pStyle w:val="Compact"/>
            </w:pPr>
            <w:r>
              <w:t xml:space="preserve">PPM</w:t>
            </w:r>
          </w:p>
        </w:tc>
        <w:tc>
          <w:tcPr/>
          <w:p>
            <w:pPr>
              <w:pStyle w:val="Compact"/>
            </w:pPr>
            <w:r>
              <w:t xml:space="preserve">W = EC + EP</w:t>
            </w:r>
          </w:p>
        </w:tc>
      </w:tr>
      <w:tr>
        <w:tc>
          <w:tcPr/>
          <w:p>
            <w:pPr>
              <w:pStyle w:val="Compact"/>
            </w:pPr>
            <w:r>
              <w:t xml:space="preserve">Concorrência</w:t>
            </w:r>
          </w:p>
        </w:tc>
        <w:tc>
          <w:tcPr/>
          <w:p>
            <w:pPr>
              <w:pStyle w:val="Compact"/>
            </w:pPr>
            <w:r>
              <w:t xml:space="preserve">800</w:t>
            </w:r>
          </w:p>
        </w:tc>
        <w:tc>
          <w:tcPr/>
          <w:p>
            <w:pPr>
              <w:pStyle w:val="Compact"/>
            </w:pPr>
            <w:r>
              <w:t xml:space="preserve">0</w:t>
            </w:r>
          </w:p>
        </w:tc>
        <w:tc>
          <w:tcPr/>
          <w:p>
            <w:pPr>
              <w:pStyle w:val="Compact"/>
            </w:pPr>
            <w:r>
              <w:t xml:space="preserve">0</w:t>
            </w:r>
          </w:p>
        </w:tc>
        <w:tc>
          <w:tcPr/>
          <w:p>
            <w:pPr>
              <w:pStyle w:val="Compact"/>
            </w:pPr>
            <w:r>
              <w:t xml:space="preserve">800</w:t>
            </w:r>
          </w:p>
        </w:tc>
      </w:tr>
      <w:tr>
        <w:tc>
          <w:tcPr/>
          <w:p>
            <w:pPr>
              <w:pStyle w:val="Compact"/>
            </w:pPr>
            <w:r>
              <w:t xml:space="preserve">Monopólio</w:t>
            </w:r>
          </w:p>
        </w:tc>
        <w:tc>
          <w:tcPr/>
          <w:p>
            <w:pPr>
              <w:pStyle w:val="Compact"/>
            </w:pPr>
            <w:r>
              <w:t xml:space="preserve">200</w:t>
            </w:r>
          </w:p>
        </w:tc>
        <w:tc>
          <w:tcPr/>
          <w:p>
            <w:pPr>
              <w:pStyle w:val="Compact"/>
            </w:pPr>
            <w:r>
              <w:t xml:space="preserve">400</w:t>
            </w:r>
          </w:p>
        </w:tc>
        <w:tc>
          <w:tcPr/>
          <w:p>
            <w:pPr>
              <w:pStyle w:val="Compact"/>
            </w:pPr>
            <w:r>
              <w:t xml:space="preserve">200</w:t>
            </w:r>
          </w:p>
        </w:tc>
        <w:tc>
          <w:tcPr/>
          <w:p>
            <w:pPr>
              <w:pStyle w:val="Compact"/>
            </w:pPr>
            <w:r>
              <w:t xml:space="preserve">600</w:t>
            </w:r>
          </w:p>
        </w:tc>
      </w:tr>
      <w:tr>
        <w:tc>
          <w:tcPr/>
          <w:p>
            <w:pPr>
              <w:pStyle w:val="Compact"/>
            </w:pPr>
            <w:r>
              <w:t xml:space="preserve">Disc. perfeita</w:t>
            </w:r>
          </w:p>
        </w:tc>
        <w:tc>
          <w:tcPr/>
          <w:p>
            <w:pPr>
              <w:pStyle w:val="Compact"/>
            </w:pPr>
            <w:r>
              <w:t xml:space="preserve">0</w:t>
            </w:r>
          </w:p>
        </w:tc>
        <w:tc>
          <w:tcPr/>
          <w:p>
            <w:pPr>
              <w:pStyle w:val="Compact"/>
            </w:pPr>
            <w:r>
              <w:t xml:space="preserve">800</w:t>
            </w:r>
          </w:p>
        </w:tc>
        <w:tc>
          <w:tcPr/>
          <w:p>
            <w:pPr>
              <w:pStyle w:val="Compact"/>
            </w:pPr>
            <w:r>
              <w:t xml:space="preserve">0</w:t>
            </w:r>
          </w:p>
        </w:tc>
        <w:tc>
          <w:tcPr/>
          <w:p>
            <w:pPr>
              <w:pStyle w:val="Compact"/>
            </w:pPr>
            <w:r>
              <w:t xml:space="preserve">800</w:t>
            </w:r>
          </w:p>
        </w:tc>
      </w:tr>
    </w:tbl>
    <w:p>
      <w:pPr>
        <w:pStyle w:val="BlockText"/>
      </w:pPr>
      <w:r>
        <w:rPr>
          <w:b/>
          <w:bCs/>
        </w:rPr>
        <w:t xml:space="preserve">Interpretação:</w:t>
      </w:r>
      <w:r>
        <w:t xml:space="preserve"> </w:t>
      </w:r>
      <w:r>
        <w:t xml:space="preserve">A discriminação perfeita restaura a eficiência alocativa (</w:t>
      </w:r>
      <m:oMath>
        <m:r>
          <m:t>P</m:t>
        </m:r>
        <m:r>
          <m:t>P</m:t>
        </m:r>
        <m:r>
          <m:t>M</m:t>
        </m:r>
        <m:r>
          <m:rPr>
            <m:sty m:val="p"/>
          </m:rPr>
          <m:t>=</m:t>
        </m:r>
        <m:r>
          <m:t>0</m:t>
        </m:r>
      </m:oMath>
      <w:r>
        <w:t xml:space="preserve">), mas redistribui todo o excedente para o produtor. O excedente total é o mesmo que em concorrência perfeita (800), mas o consumidor não fica com nada. Isso mostra que eficiência e equidade são questões distintas — um tema central do Capítulo 14 (Teoremas do Bem-Estar).</w:t>
      </w:r>
    </w:p>
    <w:p>
      <w:r>
        <w:pict>
          <v:rect style="width:0;height:1.5pt" o:hralign="center" o:hrstd="t" o:hr="t"/>
        </w:pict>
      </w:r>
    </w:p>
    <w:bookmarkEnd w:id="936"/>
    <w:bookmarkEnd w:id="937"/>
    <w:bookmarkStart w:id="940" w:name="X3d12597f93e80f7f6a229cebb1c3e10d4f34ec3"/>
    <w:p>
      <w:pPr>
        <w:pStyle w:val="Heading3"/>
      </w:pPr>
      <w:r>
        <w:t xml:space="preserve">15.8 Pague para Entrar, Pague para Brincar: Tarifas em Duas Partes</w:t>
      </w:r>
    </w:p>
    <w:p>
      <w:pPr>
        <w:pStyle w:val="FirstParagraph"/>
      </w:pPr>
      <w:r>
        <w:t xml:space="preserve">Se você já pagou mensalidade de academia e</w:t>
      </w:r>
      <w:r>
        <w:t xml:space="preserve"> </w:t>
      </w:r>
      <w:r>
        <w:rPr>
          <w:i/>
          <w:iCs/>
        </w:rPr>
        <w:t xml:space="preserve">depois</w:t>
      </w:r>
      <w:r>
        <w:t xml:space="preserve"> </w:t>
      </w:r>
      <w:r>
        <w:t xml:space="preserve">pagou por aula extra, ou comprou o cartão do Sam’s Club para ter o</w:t>
      </w:r>
      <w:r>
        <w:t xml:space="preserve"> </w:t>
      </w:r>
      <w:r>
        <w:t xml:space="preserve">“privilégio”</w:t>
      </w:r>
      <w:r>
        <w:t xml:space="preserve"> </w:t>
      </w:r>
      <w:r>
        <w:t xml:space="preserve">de comprar lá dentro, você já foi vítima (voluntária) de uma tarifa em duas partes. Essa é uma das formas mais elegantes e difundidas de precificação não-linear. Diferentemente dos esquemas de discriminação discutidos na seção anterior, que exigem observar ou induzir a revelação de tipos, a tarifa em duas partes combina simplicidade operacional com capacidade de extração de excedente, razão pela qual é amplamente utilizada em setores que vão de telecomunicações a academias de ginástica, de parques de diversões a clubes de compras.</w:t>
      </w:r>
    </w:p>
    <w:p>
      <w:pPr>
        <w:pStyle w:val="BodyText"/>
      </w:pPr>
      <w:r>
        <w:t xml:space="preserve">Uma tarifa em duas partes consiste em uma</w:t>
      </w:r>
      <w:r>
        <w:t xml:space="preserve"> </w:t>
      </w:r>
      <w:r>
        <w:rPr>
          <w:b/>
          <w:bCs/>
        </w:rPr>
        <w:t xml:space="preserve">taxa de entrada</w:t>
      </w:r>
      <w:r>
        <w:t xml:space="preserve"> </w:t>
      </w:r>
      <w:r>
        <w:t xml:space="preserve">(tarifa fixa</w:t>
      </w:r>
      <w:r>
        <w:t xml:space="preserve"> </w:t>
      </w:r>
      <m:oMath>
        <m:r>
          <m:t>T</m:t>
        </m:r>
      </m:oMath>
      <w:r>
        <w:t xml:space="preserve">) e um</w:t>
      </w:r>
      <w:r>
        <w:t xml:space="preserve"> </w:t>
      </w:r>
      <w:r>
        <w:rPr>
          <w:b/>
          <w:bCs/>
        </w:rPr>
        <w:t xml:space="preserve">preço por unidade</w:t>
      </w:r>
      <w:r>
        <w:t xml:space="preserve"> </w:t>
      </w:r>
      <w:r>
        <w:t xml:space="preserve">(</w:t>
      </w:r>
      <m:oMath>
        <m:r>
          <m:t>p</m:t>
        </m:r>
      </m:oMath>
      <w:r>
        <w:t xml:space="preserve">). O gasto total do consumidor é</w:t>
      </w:r>
      <w:r>
        <w:t xml:space="preserve"> </w:t>
      </w:r>
      <m:oMath>
        <m:r>
          <m:t>G</m:t>
        </m:r>
        <m:r>
          <m:rPr>
            <m:sty m:val="p"/>
          </m:rPr>
          <m:t>=</m:t>
        </m:r>
        <m:r>
          <m:t>T</m:t>
        </m:r>
        <m:r>
          <m:rPr>
            <m:sty m:val="p"/>
          </m:rPr>
          <m:t>+</m:t>
        </m:r>
        <m:r>
          <m:t>p</m:t>
        </m:r>
        <m:r>
          <m:rPr>
            <m:sty m:val="p"/>
          </m:rPr>
          <m:t>⋅</m:t>
        </m:r>
        <m:r>
          <m:t>q</m:t>
        </m:r>
      </m:oMath>
      <w:r>
        <w:t xml:space="preserve">. O papel de cada componente é distinto: a taxa fixa extrai excedente inframarginal (que o consumidor obteria ao preço</w:t>
      </w:r>
      <w:r>
        <w:t xml:space="preserve"> </w:t>
      </w:r>
      <m:oMath>
        <m:r>
          <m:t>p</m:t>
        </m:r>
      </m:oMath>
      <w:r>
        <w:t xml:space="preserve">); o preço por unidade governa a quantidade demandada e, portanto, a eficiência alocativa.</w:t>
      </w:r>
    </w:p>
    <w:bookmarkStart w:id="938" w:name="consumidores-homogêneos"/>
    <w:p>
      <w:pPr>
        <w:pStyle w:val="Heading4"/>
      </w:pPr>
      <w:r>
        <w:t xml:space="preserve">Consumidores homogêneos</w:t>
      </w:r>
    </w:p>
    <w:p>
      <w:pPr>
        <w:pStyle w:val="FirstParagraph"/>
      </w:pPr>
      <w:r>
        <w:t xml:space="preserve">Se todos os consumidores são idênticos, a estratégia ótima é simples e elegante:</w:t>
      </w:r>
    </w:p>
    <w:p>
      <w:pPr>
        <w:pStyle w:val="Compact"/>
        <w:numPr>
          <w:ilvl w:val="0"/>
          <w:numId w:val="1829"/>
        </w:numPr>
      </w:pPr>
      <w:r>
        <w:t xml:space="preserve">Fixar</w:t>
      </w:r>
      <w:r>
        <w:t xml:space="preserve"> </w:t>
      </w:r>
      <m:oMath>
        <m:r>
          <m:t>p</m:t>
        </m:r>
        <m:r>
          <m:rPr>
            <m:sty m:val="p"/>
          </m:rPr>
          <m:t>=</m:t>
        </m:r>
        <m:r>
          <m:t>C</m:t>
        </m:r>
        <m:r>
          <m:t>M</m:t>
        </m:r>
        <m:r>
          <m:t>g</m:t>
        </m:r>
      </m:oMath>
      <w:r>
        <w:t xml:space="preserve"> </w:t>
      </w:r>
      <w:r>
        <w:t xml:space="preserve">(preço eficiente).</w:t>
      </w:r>
    </w:p>
    <w:p>
      <w:pPr>
        <w:pStyle w:val="Compact"/>
        <w:numPr>
          <w:ilvl w:val="0"/>
          <w:numId w:val="1829"/>
        </w:numPr>
      </w:pPr>
      <w:r>
        <w:t xml:space="preserve">Fixar</w:t>
      </w:r>
      <w:r>
        <w:t xml:space="preserve"> </w:t>
      </w:r>
      <m:oMath>
        <m:r>
          <m:t>T</m:t>
        </m:r>
        <m:r>
          <m:rPr>
            <m:sty m:val="p"/>
          </m:rPr>
          <m:t>=</m:t>
        </m:r>
        <m:r>
          <m:t>E</m:t>
        </m:r>
        <m:r>
          <m:t>C</m:t>
        </m:r>
      </m:oMath>
      <w:r>
        <w:t xml:space="preserve"> </w:t>
      </w:r>
      <w:r>
        <w:t xml:space="preserve">(capturar todo o excedente do consumidor).</w:t>
      </w:r>
    </w:p>
    <w:p>
      <w:pPr>
        <w:pStyle w:val="FirstParagraph"/>
      </w:pPr>
      <w:r>
        <w:t xml:space="preserve">Isso replica o resultado da discriminação de primeiro grau: quantidade eficiente e extração completa do excedente. A intuição é direta: o preço unitário garante eficiência (elimina a PPM) e a taxa fixa transfere todo o benefício para o produtor.</w:t>
      </w:r>
    </w:p>
    <w:bookmarkEnd w:id="938"/>
    <w:bookmarkStart w:id="939" w:name="consumidores-heterogêneos"/>
    <w:p>
      <w:pPr>
        <w:pStyle w:val="Heading4"/>
      </w:pPr>
      <w:r>
        <w:t xml:space="preserve">Consumidores heterogêneos</w:t>
      </w:r>
    </w:p>
    <w:p>
      <w:pPr>
        <w:pStyle w:val="FirstParagraph"/>
      </w:pPr>
      <w:r>
        <w:t xml:space="preserve">Com consumidores heterogêneos, o problema é mais complexo e envolve o trade-off fundamental da discriminação de segundo grau: extrair mais de cada consumidor versus manter consumidores de baixa demanda no mercado. Se a taxa de entrada for muito alta, consumidores com baixa demanda deixam o mercado. O monopolista enfrenta um trade-off entre:</w:t>
      </w:r>
    </w:p>
    <w:p>
      <w:pPr>
        <w:pStyle w:val="Compact"/>
        <w:numPr>
          <w:ilvl w:val="0"/>
          <w:numId w:val="1830"/>
        </w:numPr>
      </w:pPr>
      <w:r>
        <w:t xml:space="preserve">Cobrar uma taxa alta e perder consumidores marginais.</w:t>
      </w:r>
    </w:p>
    <w:p>
      <w:pPr>
        <w:pStyle w:val="Compact"/>
        <w:numPr>
          <w:ilvl w:val="0"/>
          <w:numId w:val="1830"/>
        </w:numPr>
      </w:pPr>
      <w:r>
        <w:t xml:space="preserve">Cobrar uma taxa baixa e atender mais consumidores, mas extrair menos excedente de cada um.</w:t>
      </w:r>
    </w:p>
    <w:p>
      <w:pPr>
        <w:pStyle w:val="FirstParagraph"/>
      </w:pPr>
      <w:r>
        <w:t xml:space="preserve">A solução ótima tipicamente envolve</w:t>
      </w:r>
      <w:r>
        <w:t xml:space="preserve"> </w:t>
      </w:r>
      <m:oMath>
        <m:r>
          <m:t>p</m:t>
        </m:r>
        <m:r>
          <m:rPr>
            <m:sty m:val="p"/>
          </m:rPr>
          <m:t>&gt;</m:t>
        </m:r>
        <m:r>
          <m:t>C</m:t>
        </m:r>
        <m:r>
          <m:t>M</m:t>
        </m:r>
        <m:r>
          <m:t>g</m:t>
        </m:r>
      </m:oMath>
      <w:r>
        <w:t xml:space="preserve"> </w:t>
      </w:r>
      <w:r>
        <w:t xml:space="preserve">e</w:t>
      </w:r>
      <w:r>
        <w:t xml:space="preserve"> </w:t>
      </w:r>
      <m:oMath>
        <m:r>
          <m:t>T</m:t>
        </m:r>
        <m:r>
          <m:rPr>
            <m:sty m:val="p"/>
          </m:rPr>
          <m:t>&lt;</m:t>
        </m:r>
        <m:r>
          <m:t>E</m:t>
        </m:r>
        <m:r>
          <m:t>C</m:t>
        </m:r>
      </m:oMath>
      <w:r>
        <w:t xml:space="preserve"> </w:t>
      </w:r>
      <w:r>
        <w:t xml:space="preserve">do consumidor com menor demanda. O preço acima do custo marginal gera uma PPM residual — o custo da heterogeneidade informacional.</w:t>
      </w:r>
    </w:p>
    <w:p>
      <w:pPr>
        <w:pStyle w:val="BlockText"/>
      </w:pPr>
      <w:r>
        <w:rPr>
          <w:b/>
          <w:bCs/>
        </w:rPr>
        <w:t xml:space="preserve">[DICA] Exemplos de tarifas em duas partes</w:t>
      </w:r>
    </w:p>
    <w:p>
      <w:pPr>
        <w:pStyle w:val="Compact"/>
        <w:numPr>
          <w:ilvl w:val="0"/>
          <w:numId w:val="1831"/>
        </w:numPr>
      </w:pPr>
      <w:r>
        <w:t xml:space="preserve">Clubes de compras como o Sam’s Club (anuidade + preço por produto).</w:t>
      </w:r>
    </w:p>
    <w:p>
      <w:pPr>
        <w:pStyle w:val="Compact"/>
        <w:numPr>
          <w:ilvl w:val="0"/>
          <w:numId w:val="1831"/>
        </w:numPr>
      </w:pPr>
      <w:r>
        <w:t xml:space="preserve">Parques de diversões como a Disney (entrada + valor por brinquedo — ou entrada com tudo incluso, que é um caso limite).</w:t>
      </w:r>
    </w:p>
    <w:p>
      <w:pPr>
        <w:pStyle w:val="Compact"/>
        <w:numPr>
          <w:ilvl w:val="0"/>
          <w:numId w:val="1831"/>
        </w:numPr>
      </w:pPr>
      <w:r>
        <w:t xml:space="preserve">Planos telefônicos (assinatura mensal + tarifa por minuto/dados).</w:t>
      </w:r>
    </w:p>
    <w:p>
      <w:pPr>
        <w:pStyle w:val="Compact"/>
        <w:numPr>
          <w:ilvl w:val="0"/>
          <w:numId w:val="1831"/>
        </w:numPr>
      </w:pPr>
      <w:r>
        <w:t xml:space="preserve">Serviços de streaming (assinatura fixa com acesso ao catálogo).</w:t>
      </w:r>
    </w:p>
    <w:p>
      <w:pPr>
        <w:pStyle w:val="Compact"/>
        <w:numPr>
          <w:ilvl w:val="0"/>
          <w:numId w:val="1831"/>
        </w:numPr>
      </w:pPr>
      <w:r>
        <w:t xml:space="preserve">Academias de ginástica (mensalidade + taxa por aula ou mensalidade fixa com acesso livre).</w:t>
      </w:r>
    </w:p>
    <w:p>
      <w:pPr>
        <w:pStyle w:val="BlockText"/>
      </w:pPr>
      <w:r>
        <w:rPr>
          <w:b/>
          <w:bCs/>
        </w:rPr>
        <w:t xml:space="preserve">[EXERCICIO RESOLVIDO] Exercício Resolvido 15.6 — Tarifa em duas partes com dois tipos de consumidores</w:t>
      </w:r>
    </w:p>
    <w:p>
      <w:pPr>
        <w:pStyle w:val="BlockText"/>
      </w:pPr>
      <w:r>
        <w:rPr>
          <w:b/>
          <w:bCs/>
        </w:rPr>
        <w:t xml:space="preserve">Enunciado.</w:t>
      </w:r>
      <w:r>
        <w:t xml:space="preserve"> </w:t>
      </w:r>
      <w:r>
        <w:t xml:space="preserve">Uma academia de ginástica (monopolista local) cobra tarifa em duas partes</w:t>
      </w:r>
      <w:r>
        <w:t xml:space="preserve"> </w:t>
      </w:r>
      <m:oMath>
        <m:r>
          <m:rPr>
            <m:sty m:val="p"/>
          </m:rPr>
          <m:t>(</m:t>
        </m:r>
        <m:r>
          <m:t>T</m:t>
        </m:r>
        <m:r>
          <m:rPr>
            <m:sty m:val="p"/>
          </m:rPr>
          <m:t>,</m:t>
        </m:r>
        <m:r>
          <m:t>p</m:t>
        </m:r>
        <m:r>
          <m:rPr>
            <m:sty m:val="p"/>
          </m:rPr>
          <m:t>)</m:t>
        </m:r>
      </m:oMath>
      <w:r>
        <w:t xml:space="preserve"> </w:t>
      </w:r>
      <w:r>
        <w:t xml:space="preserve">por aula. Tipo A:</w:t>
      </w:r>
      <w:r>
        <w:t xml:space="preserve"> </w:t>
      </w:r>
      <m:oMath>
        <m:sSub>
          <m:e>
            <m:r>
              <m:t>q</m:t>
            </m:r>
          </m:e>
          <m:sub>
            <m:r>
              <m:t>A</m:t>
            </m:r>
          </m:sub>
        </m:sSub>
        <m:r>
          <m:rPr>
            <m:sty m:val="p"/>
          </m:rPr>
          <m:t>=</m:t>
        </m:r>
        <m:r>
          <m:t>30</m:t>
        </m:r>
        <m:r>
          <m:rPr>
            <m:sty m:val="p"/>
          </m:rPr>
          <m:t>−</m:t>
        </m:r>
        <m:r>
          <m:t>p</m:t>
        </m:r>
      </m:oMath>
      <w:r>
        <w:t xml:space="preserve">, 50 consumidores. Tipo B:</w:t>
      </w:r>
      <w:r>
        <w:t xml:space="preserve"> </w:t>
      </w:r>
      <m:oMath>
        <m:sSub>
          <m:e>
            <m:r>
              <m:t>q</m:t>
            </m:r>
          </m:e>
          <m:sub>
            <m:r>
              <m:t>B</m:t>
            </m:r>
          </m:sub>
        </m:sSub>
        <m:r>
          <m:rPr>
            <m:sty m:val="p"/>
          </m:rPr>
          <m:t>=</m:t>
        </m:r>
        <m:r>
          <m:t>20</m:t>
        </m:r>
        <m:r>
          <m:rPr>
            <m:sty m:val="p"/>
          </m:rPr>
          <m:t>−</m:t>
        </m:r>
        <m:r>
          <m:t>p</m:t>
        </m:r>
      </m:oMath>
      <w:r>
        <w:t xml:space="preserve">, 50 consumidores.</w:t>
      </w:r>
      <w:r>
        <w:t xml:space="preserve"> </w:t>
      </w:r>
      <m:oMath>
        <m:r>
          <m:t>C</m:t>
        </m:r>
        <m:r>
          <m:t>M</m:t>
        </m:r>
        <m:r>
          <m:t>g</m:t>
        </m:r>
        <m:r>
          <m:rPr>
            <m:sty m:val="p"/>
          </m:rPr>
          <m:t>=</m:t>
        </m:r>
        <m:r>
          <m:t>2</m:t>
        </m:r>
      </m:oMath>
      <w:r>
        <w:t xml:space="preserve"> </w:t>
      </w:r>
      <w:r>
        <w:t xml:space="preserve">por aula. (a) Se a academia atende ambos os tipos, encontre</w:t>
      </w:r>
      <w:r>
        <w:t xml:space="preserve"> </w:t>
      </w:r>
      <m:oMath>
        <m:r>
          <m:rPr>
            <m:sty m:val="p"/>
          </m:rPr>
          <m:t>(</m:t>
        </m:r>
        <m:sSup>
          <m:e>
            <m:r>
              <m:t>T</m:t>
            </m:r>
          </m:e>
          <m:sup>
            <m:r>
              <m:rPr>
                <m:sty m:val="p"/>
              </m:rPr>
              <m:t>*</m:t>
            </m:r>
          </m:sup>
        </m:sSup>
        <m:r>
          <m:rPr>
            <m:sty m:val="p"/>
          </m:rPr>
          <m:t>,</m:t>
        </m:r>
        <m:sSup>
          <m:e>
            <m:r>
              <m:t>p</m:t>
            </m:r>
          </m:e>
          <m:sup>
            <m:r>
              <m:rPr>
                <m:sty m:val="p"/>
              </m:rPr>
              <m:t>*</m:t>
            </m:r>
          </m:sup>
        </m:sSup>
        <m:r>
          <m:rPr>
            <m:sty m:val="p"/>
          </m:rPr>
          <m:t>)</m:t>
        </m:r>
      </m:oMath>
      <w:r>
        <w:t xml:space="preserve">. (b) Se atende apenas o Tipo A, encontre</w:t>
      </w:r>
      <w:r>
        <w:t xml:space="preserve"> </w:t>
      </w:r>
      <m:oMath>
        <m:r>
          <m:rPr>
            <m:sty m:val="p"/>
          </m:rPr>
          <m:t>(</m:t>
        </m:r>
        <m:sSup>
          <m:e>
            <m:r>
              <m:t>T</m:t>
            </m:r>
          </m:e>
          <m:sup>
            <m:r>
              <m:rPr>
                <m:sty m:val="p"/>
              </m:rPr>
              <m:t>*</m:t>
            </m:r>
          </m:sup>
        </m:sSup>
        <m:r>
          <m:rPr>
            <m:sty m:val="p"/>
          </m:rPr>
          <m:t>,</m:t>
        </m:r>
        <m:sSup>
          <m:e>
            <m:r>
              <m:t>p</m:t>
            </m:r>
          </m:e>
          <m:sup>
            <m:r>
              <m:rPr>
                <m:sty m:val="p"/>
              </m:rPr>
              <m:t>*</m:t>
            </m:r>
          </m:sup>
        </m:sSup>
        <m:r>
          <m:rPr>
            <m:sty m:val="p"/>
          </m:rPr>
          <m:t>)</m:t>
        </m:r>
      </m:oMath>
      <w:r>
        <w:t xml:space="preserve"> </w:t>
      </w:r>
      <w:r>
        <w:t xml:space="preserve">e compare os lucros.</w:t>
      </w:r>
    </w:p>
    <w:p>
      <w:r>
        <w:pict>
          <v:rect style="width:0;height:1.5pt" o:hralign="center" o:hrstd="t" o:hr="t"/>
        </w:pict>
      </w:r>
    </w:p>
    <w:p>
      <w:pPr>
        <w:pStyle w:val="BlockText"/>
      </w:pPr>
      <w:r>
        <w:rPr>
          <w:b/>
          <w:bCs/>
        </w:rPr>
        <w:t xml:space="preserve">(a) Atendendo ambos os tipos:</w:t>
      </w:r>
    </w:p>
    <w:p>
      <w:pPr>
        <w:pStyle w:val="BlockText"/>
      </w:pPr>
      <w:r>
        <w:t xml:space="preserve">A taxa fixa é limitada pelo excedente do Tipo B (o mais restrito):</w:t>
      </w:r>
      <w:r>
        <w:t xml:space="preserve"> </w:t>
      </w:r>
      <m:oMath>
        <m:r>
          <m:t>T</m:t>
        </m:r>
        <m:r>
          <m:rPr>
            <m:sty m:val="p"/>
          </m:rPr>
          <m:t>=</m:t>
        </m:r>
        <m:r>
          <m:t>E</m:t>
        </m:r>
        <m:sSub>
          <m:e>
            <m:r>
              <m:t>C</m:t>
            </m:r>
          </m:e>
          <m:sub>
            <m:r>
              <m:t>B</m:t>
            </m:r>
          </m:sub>
        </m:sSub>
        <m:r>
          <m:rPr>
            <m:sty m:val="p"/>
          </m:rPr>
          <m:t>(</m:t>
        </m:r>
        <m:r>
          <m:t>p</m:t>
        </m:r>
        <m:r>
          <m:rPr>
            <m:sty m:val="p"/>
          </m:rPr>
          <m:t>)</m:t>
        </m:r>
        <m:r>
          <m:rPr>
            <m:sty m:val="p"/>
          </m:rPr>
          <m:t>=</m:t>
        </m:r>
        <m:f>
          <m:fPr>
            <m:type m:val="bar"/>
          </m:fPr>
          <m:num>
            <m:r>
              <m:t>1</m:t>
            </m:r>
          </m:num>
          <m:den>
            <m:r>
              <m:t>2</m:t>
            </m:r>
          </m:den>
        </m:f>
        <m:r>
          <m:rPr>
            <m:sty m:val="p"/>
          </m:rPr>
          <m:t>(</m:t>
        </m:r>
        <m:r>
          <m:t>20</m:t>
        </m:r>
        <m:r>
          <m:rPr>
            <m:sty m:val="p"/>
          </m:rPr>
          <m:t>−</m:t>
        </m:r>
        <m:r>
          <m:t>p</m:t>
        </m:r>
        <m:sSup>
          <m:e>
            <m:r>
              <m:rPr>
                <m:sty m:val="p"/>
              </m:rPr>
              <m:t>)</m:t>
            </m:r>
          </m:e>
          <m:sup>
            <m:r>
              <m:t>2</m:t>
            </m:r>
          </m:sup>
        </m:sSup>
      </m:oMath>
      <w:r>
        <w:t xml:space="preserve">.</w:t>
      </w:r>
    </w:p>
    <w:p>
      <w:pPr>
        <w:pStyle w:val="BlockText"/>
      </w:pPr>
      <w:r>
        <w:t xml:space="preserve">Lucro total:</w:t>
      </w:r>
      <w:r>
        <w:t xml:space="preserve"> </w:t>
      </w:r>
      <m:oMath>
        <m:r>
          <m:rPr>
            <m:sty m:val="p"/>
          </m:rPr>
          <m:t>Π</m:t>
        </m:r>
        <m:r>
          <m:rPr>
            <m:sty m:val="p"/>
          </m:rPr>
          <m:t>=</m:t>
        </m:r>
        <m:r>
          <m:t>50</m:t>
        </m:r>
        <m:r>
          <m:rPr>
            <m:sty m:val="p"/>
          </m:rPr>
          <m:t>×</m:t>
        </m:r>
        <m:r>
          <m:rPr>
            <m:sty m:val="p"/>
          </m:rPr>
          <m:t>[</m:t>
        </m:r>
        <m:r>
          <m:rPr>
            <m:nor/>
            <m:sty m:val="p"/>
          </m:rPr>
          <m:t>lucro por A</m:t>
        </m:r>
        <m:r>
          <m:rPr>
            <m:sty m:val="p"/>
          </m:rPr>
          <m:t>]</m:t>
        </m:r>
        <m:r>
          <m:rPr>
            <m:sty m:val="p"/>
          </m:rPr>
          <m:t>+</m:t>
        </m:r>
        <m:r>
          <m:t>50</m:t>
        </m:r>
        <m:r>
          <m:rPr>
            <m:sty m:val="p"/>
          </m:rPr>
          <m:t>×</m:t>
        </m:r>
        <m:r>
          <m:rPr>
            <m:sty m:val="p"/>
          </m:rPr>
          <m:t>[</m:t>
        </m:r>
        <m:r>
          <m:rPr>
            <m:nor/>
            <m:sty m:val="p"/>
          </m:rPr>
          <m:t>lucro por B</m:t>
        </m:r>
        <m:r>
          <m:rPr>
            <m:sty m:val="p"/>
          </m:rPr>
          <m:t>]</m:t>
        </m:r>
      </m:oMath>
      <w:r>
        <w:t xml:space="preserve">, onde o lucro por consumidor é</w:t>
      </w:r>
      <w:r>
        <w:t xml:space="preserve"> </w:t>
      </w:r>
      <m:oMath>
        <m:r>
          <m:t>T</m:t>
        </m:r>
        <m:r>
          <m:rPr>
            <m:sty m:val="p"/>
          </m:rPr>
          <m:t>+</m:t>
        </m:r>
        <m:r>
          <m:rPr>
            <m:sty m:val="p"/>
          </m:rPr>
          <m:t>(</m:t>
        </m:r>
        <m:r>
          <m:t>p</m:t>
        </m:r>
        <m:r>
          <m:rPr>
            <m:sty m:val="p"/>
          </m:rPr>
          <m:t>−</m:t>
        </m:r>
        <m:r>
          <m:t>2</m:t>
        </m:r>
        <m:r>
          <m:rPr>
            <m:sty m:val="p"/>
          </m:rPr>
          <m:t>)</m:t>
        </m:r>
        <m:r>
          <m:rPr>
            <m:sty m:val="p"/>
          </m:rPr>
          <m:t>⋅</m:t>
        </m:r>
        <m:sSub>
          <m:e>
            <m:r>
              <m:t>q</m:t>
            </m:r>
          </m:e>
          <m:sub>
            <m:r>
              <m:t>i</m:t>
            </m:r>
          </m:sub>
        </m:sSub>
      </m:oMath>
      <w:r>
        <w:t xml:space="preserve">.</w:t>
      </w:r>
    </w:p>
    <w:p>
      <w:pPr>
        <w:pStyle w:val="BlockText"/>
      </w:pPr>
      <w:r>
        <w:t xml:space="preserve">Após simplificação e otimização (derivando em relação a</w:t>
      </w:r>
      <w:r>
        <w:t xml:space="preserve"> </w:t>
      </w:r>
      <m:oMath>
        <m:r>
          <m:t>p</m:t>
        </m:r>
      </m:oMath>
      <w:r>
        <w:t xml:space="preserve">):</w:t>
      </w:r>
    </w:p>
    <w:p>
      <w:pPr>
        <w:pStyle w:val="BlockText"/>
      </w:pPr>
      <w:r>
        <w:t xml:space="preserve">$$</w:t>
      </w:r>
    </w:p>
    <w:p>
      <w:pPr>
        <w:pStyle w:val="BlockText"/>
      </w:pPr>
      <w:r>
        <w:t xml:space="preserve"> </w:t>
      </w:r>
      <w:r>
        <w:t xml:space="preserve">= 0</w:t>
      </w:r>
      <w:r>
        <w:t xml:space="preserve"> </w:t>
      </w:r>
      <w:r>
        <w:t xml:space="preserve">p^* = 7</w:t>
      </w:r>
    </w:p>
    <w:p>
      <w:pPr>
        <w:pStyle w:val="BlockText"/>
      </w:pPr>
      <w:r>
        <w:t xml:space="preserve">$$</w:t>
      </w:r>
    </w:p>
    <w:p>
      <w:pPr>
        <w:pStyle w:val="BlockText"/>
      </w:pPr>
      <w:r>
        <w:t xml:space="preserve">Logo</w:t>
      </w:r>
      <w:r>
        <w:t xml:space="preserve"> </w:t>
      </w:r>
      <m:oMath>
        <m:sSup>
          <m:e>
            <m:r>
              <m:t>T</m:t>
            </m:r>
          </m:e>
          <m:sup>
            <m:r>
              <m:rPr>
                <m:sty m:val="p"/>
              </m:rPr>
              <m:t>*</m:t>
            </m:r>
          </m:sup>
        </m:sSup>
        <m:r>
          <m:rPr>
            <m:sty m:val="p"/>
          </m:rPr>
          <m:t>=</m:t>
        </m:r>
        <m:f>
          <m:fPr>
            <m:type m:val="bar"/>
          </m:fPr>
          <m:num>
            <m:r>
              <m:t>1</m:t>
            </m:r>
          </m:num>
          <m:den>
            <m:r>
              <m:t>2</m:t>
            </m:r>
          </m:den>
        </m:f>
        <m:r>
          <m:rPr>
            <m:sty m:val="p"/>
          </m:rPr>
          <m:t>(</m:t>
        </m:r>
        <m:r>
          <m:t>20</m:t>
        </m:r>
        <m:r>
          <m:rPr>
            <m:sty m:val="p"/>
          </m:rPr>
          <m:t>−</m:t>
        </m:r>
        <m:r>
          <m:t>7</m:t>
        </m:r>
        <m:sSup>
          <m:e>
            <m:r>
              <m:rPr>
                <m:sty m:val="p"/>
              </m:rPr>
              <m:t>)</m:t>
            </m:r>
          </m:e>
          <m:sup>
            <m:r>
              <m:t>2</m:t>
            </m:r>
          </m:sup>
        </m:sSup>
        <m:r>
          <m:rPr>
            <m:sty m:val="p"/>
          </m:rPr>
          <m:t>=</m:t>
        </m:r>
        <m:r>
          <m:t>84</m:t>
        </m:r>
        <m:r>
          <m:rPr>
            <m:sty m:val="p"/>
          </m:rPr>
          <m:t>,</m:t>
        </m:r>
        <m:r>
          <m:t>50</m:t>
        </m:r>
      </m:oMath>
      <w:r>
        <w:t xml:space="preserve">. Quantidades:</w:t>
      </w:r>
      <w:r>
        <w:t xml:space="preserve"> </w:t>
      </w:r>
      <m:oMath>
        <m:sSub>
          <m:e>
            <m:r>
              <m:t>q</m:t>
            </m:r>
          </m:e>
          <m:sub>
            <m:r>
              <m:t>A</m:t>
            </m:r>
          </m:sub>
        </m:sSub>
        <m:r>
          <m:rPr>
            <m:sty m:val="p"/>
          </m:rPr>
          <m:t>=</m:t>
        </m:r>
        <m:r>
          <m:t>23</m:t>
        </m:r>
      </m:oMath>
      <w:r>
        <w:t xml:space="preserve">,</w:t>
      </w:r>
      <w:r>
        <w:t xml:space="preserve"> </w:t>
      </w:r>
      <m:oMath>
        <m:sSub>
          <m:e>
            <m:r>
              <m:t>q</m:t>
            </m:r>
          </m:e>
          <m:sub>
            <m:r>
              <m:t>B</m:t>
            </m:r>
          </m:sub>
        </m:sSub>
        <m:r>
          <m:rPr>
            <m:sty m:val="p"/>
          </m:rPr>
          <m:t>=</m:t>
        </m:r>
        <m:r>
          <m:t>13</m:t>
        </m:r>
      </m:oMath>
      <w:r>
        <w:t xml:space="preserve">.</w:t>
      </w:r>
    </w:p>
    <w:p>
      <w:pPr>
        <w:pStyle w:val="BlockText"/>
      </w:pPr>
      <w:r>
        <w:t xml:space="preserve">Lucro por A:</w:t>
      </w:r>
      <w:r>
        <w:t xml:space="preserve"> </w:t>
      </w:r>
      <m:oMath>
        <m:r>
          <m:t>84</m:t>
        </m:r>
        <m:r>
          <m:rPr>
            <m:sty m:val="p"/>
          </m:rPr>
          <m:t>,</m:t>
        </m:r>
        <m:r>
          <m:t>50</m:t>
        </m:r>
        <m:r>
          <m:rPr>
            <m:sty m:val="p"/>
          </m:rPr>
          <m:t>+</m:t>
        </m:r>
        <m:r>
          <m:rPr>
            <m:sty m:val="p"/>
          </m:rPr>
          <m:t>(</m:t>
        </m:r>
        <m:r>
          <m:t>7</m:t>
        </m:r>
        <m:r>
          <m:rPr>
            <m:sty m:val="p"/>
          </m:rPr>
          <m:t>−</m:t>
        </m:r>
        <m:r>
          <m:t>2</m:t>
        </m:r>
        <m:r>
          <m:rPr>
            <m:sty m:val="p"/>
          </m:rPr>
          <m:t>)</m:t>
        </m:r>
        <m:r>
          <m:rPr>
            <m:sty m:val="p"/>
          </m:rPr>
          <m:t>(</m:t>
        </m:r>
        <m:r>
          <m:t>23</m:t>
        </m:r>
        <m:r>
          <m:rPr>
            <m:sty m:val="p"/>
          </m:rPr>
          <m:t>)</m:t>
        </m:r>
        <m:r>
          <m:rPr>
            <m:sty m:val="p"/>
          </m:rPr>
          <m:t>=</m:t>
        </m:r>
        <m:r>
          <m:t>199</m:t>
        </m:r>
        <m:r>
          <m:rPr>
            <m:sty m:val="p"/>
          </m:rPr>
          <m:t>,</m:t>
        </m:r>
        <m:r>
          <m:t>50</m:t>
        </m:r>
      </m:oMath>
      <w:r>
        <w:t xml:space="preserve">. Lucro por B:</w:t>
      </w:r>
      <w:r>
        <w:t xml:space="preserve"> </w:t>
      </w:r>
      <m:oMath>
        <m:r>
          <m:t>84</m:t>
        </m:r>
        <m:r>
          <m:rPr>
            <m:sty m:val="p"/>
          </m:rPr>
          <m:t>,</m:t>
        </m:r>
        <m:r>
          <m:t>50</m:t>
        </m:r>
        <m:r>
          <m:rPr>
            <m:sty m:val="p"/>
          </m:rPr>
          <m:t>+</m:t>
        </m:r>
        <m:r>
          <m:rPr>
            <m:sty m:val="p"/>
          </m:rPr>
          <m:t>(</m:t>
        </m:r>
        <m:r>
          <m:t>7</m:t>
        </m:r>
        <m:r>
          <m:rPr>
            <m:sty m:val="p"/>
          </m:rPr>
          <m:t>−</m:t>
        </m:r>
        <m:r>
          <m:t>2</m:t>
        </m:r>
        <m:r>
          <m:rPr>
            <m:sty m:val="p"/>
          </m:rPr>
          <m:t>)</m:t>
        </m:r>
        <m:r>
          <m:rPr>
            <m:sty m:val="p"/>
          </m:rPr>
          <m:t>(</m:t>
        </m:r>
        <m:r>
          <m:t>13</m:t>
        </m:r>
        <m:r>
          <m:rPr>
            <m:sty m:val="p"/>
          </m:rPr>
          <m:t>)</m:t>
        </m:r>
        <m:r>
          <m:rPr>
            <m:sty m:val="p"/>
          </m:rPr>
          <m:t>=</m:t>
        </m:r>
        <m:r>
          <m:t>149</m:t>
        </m:r>
        <m:r>
          <m:rPr>
            <m:sty m:val="p"/>
          </m:rPr>
          <m:t>,</m:t>
        </m:r>
        <m:r>
          <m:t>50</m:t>
        </m:r>
      </m:oMath>
      <w:r>
        <w:t xml:space="preserve">.</w:t>
      </w:r>
    </w:p>
    <w:p>
      <w:pPr>
        <w:pStyle w:val="BlockText"/>
      </w:pPr>
      <m:oMath>
        <m:r>
          <m:rPr>
            <m:sty m:val="p"/>
          </m:rPr>
          <m:t>Π</m:t>
        </m:r>
        <m:r>
          <m:rPr>
            <m:sty m:val="p"/>
          </m:rPr>
          <m:t>=</m:t>
        </m:r>
        <m:r>
          <m:t>50</m:t>
        </m:r>
        <m:r>
          <m:rPr>
            <m:sty m:val="p"/>
          </m:rPr>
          <m:t>×</m:t>
        </m:r>
        <m:r>
          <m:rPr>
            <m:sty m:val="p"/>
          </m:rPr>
          <m:t>(</m:t>
        </m:r>
        <m:r>
          <m:t>199</m:t>
        </m:r>
        <m:r>
          <m:rPr>
            <m:sty m:val="p"/>
          </m:rPr>
          <m:t>,</m:t>
        </m:r>
        <m:r>
          <m:t>50</m:t>
        </m:r>
        <m:r>
          <m:rPr>
            <m:sty m:val="p"/>
          </m:rPr>
          <m:t>+</m:t>
        </m:r>
        <m:r>
          <m:t>149</m:t>
        </m:r>
        <m:r>
          <m:rPr>
            <m:sty m:val="p"/>
          </m:rPr>
          <m:t>,</m:t>
        </m:r>
        <m:r>
          <m:t>50</m:t>
        </m:r>
        <m:r>
          <m:rPr>
            <m:sty m:val="p"/>
          </m:rPr>
          <m:t>)</m:t>
        </m:r>
        <m:r>
          <m:rPr>
            <m:sty m:val="p"/>
          </m:rPr>
          <m:t>=</m:t>
        </m:r>
        <m:r>
          <m:t>17.450</m:t>
        </m:r>
      </m:oMath>
      <w:r>
        <w:t xml:space="preserve">.</w:t>
      </w:r>
    </w:p>
    <w:p>
      <w:pPr>
        <w:pStyle w:val="BlockText"/>
      </w:pPr>
      <w:r>
        <w:rPr>
          <w:b/>
          <w:bCs/>
        </w:rPr>
        <w:t xml:space="preserve">(b) Atendendo apenas o Tipo A:</w:t>
      </w:r>
    </w:p>
    <w:p>
      <w:pPr>
        <w:pStyle w:val="BlockText"/>
      </w:pPr>
      <w:r>
        <w:t xml:space="preserve">Maximizar extração sobre A:</w:t>
      </w:r>
      <w:r>
        <w:t xml:space="preserve"> </w:t>
      </w:r>
      <m:oMath>
        <m:sSup>
          <m:e>
            <m:r>
              <m:t>p</m:t>
            </m:r>
          </m:e>
          <m:sup>
            <m:r>
              <m:rPr>
                <m:sty m:val="p"/>
              </m:rPr>
              <m:t>*</m:t>
            </m:r>
          </m:sup>
        </m:sSup>
        <m:r>
          <m:rPr>
            <m:sty m:val="p"/>
          </m:rPr>
          <m:t>=</m:t>
        </m:r>
        <m:r>
          <m:t>C</m:t>
        </m:r>
        <m:r>
          <m:t>M</m:t>
        </m:r>
        <m:r>
          <m:t>g</m:t>
        </m:r>
        <m:r>
          <m:rPr>
            <m:sty m:val="p"/>
          </m:rPr>
          <m:t>=</m:t>
        </m:r>
        <m:r>
          <m:t>2</m:t>
        </m:r>
      </m:oMath>
      <w:r>
        <w:t xml:space="preserve">,</w:t>
      </w:r>
      <w:r>
        <w:t xml:space="preserve"> </w:t>
      </w:r>
      <m:oMath>
        <m:sSup>
          <m:e>
            <m:r>
              <m:t>T</m:t>
            </m:r>
          </m:e>
          <m:sup>
            <m:r>
              <m:rPr>
                <m:sty m:val="p"/>
              </m:rPr>
              <m:t>*</m:t>
            </m:r>
          </m:sup>
        </m:sSup>
        <m:r>
          <m:rPr>
            <m:sty m:val="p"/>
          </m:rPr>
          <m:t>=</m:t>
        </m:r>
        <m:r>
          <m:t>E</m:t>
        </m:r>
        <m:sSub>
          <m:e>
            <m:r>
              <m:t>C</m:t>
            </m:r>
          </m:e>
          <m:sub>
            <m:r>
              <m:t>A</m:t>
            </m:r>
          </m:sub>
        </m:sSub>
        <m:r>
          <m:rPr>
            <m:sty m:val="p"/>
          </m:rPr>
          <m:t>(</m:t>
        </m:r>
        <m:r>
          <m:t>2</m:t>
        </m:r>
        <m:r>
          <m:rPr>
            <m:sty m:val="p"/>
          </m:rPr>
          <m:t>)</m:t>
        </m:r>
        <m:r>
          <m:rPr>
            <m:sty m:val="p"/>
          </m:rPr>
          <m:t>=</m:t>
        </m:r>
        <m:f>
          <m:fPr>
            <m:type m:val="bar"/>
          </m:fPr>
          <m:num>
            <m:r>
              <m:t>1</m:t>
            </m:r>
          </m:num>
          <m:den>
            <m:r>
              <m:t>2</m:t>
            </m:r>
          </m:den>
        </m:f>
        <m:r>
          <m:rPr>
            <m:sty m:val="p"/>
          </m:rPr>
          <m:t>(</m:t>
        </m:r>
        <m:r>
          <m:t>30</m:t>
        </m:r>
        <m:r>
          <m:rPr>
            <m:sty m:val="p"/>
          </m:rPr>
          <m:t>−</m:t>
        </m:r>
        <m:r>
          <m:t>2</m:t>
        </m:r>
        <m:sSup>
          <m:e>
            <m:r>
              <m:rPr>
                <m:sty m:val="p"/>
              </m:rPr>
              <m:t>)</m:t>
            </m:r>
          </m:e>
          <m:sup>
            <m:r>
              <m:t>2</m:t>
            </m:r>
          </m:sup>
        </m:sSup>
        <m:r>
          <m:rPr>
            <m:sty m:val="p"/>
          </m:rPr>
          <m:t>=</m:t>
        </m:r>
        <m:r>
          <m:t>392</m:t>
        </m:r>
      </m:oMath>
      <w:r>
        <w:t xml:space="preserve">.</w:t>
      </w:r>
    </w:p>
    <w:p>
      <w:pPr>
        <w:pStyle w:val="BlockText"/>
      </w:pPr>
      <w:r>
        <w:t xml:space="preserve">Verificação: Tipo B não participa, pois</w:t>
      </w:r>
      <w:r>
        <w:t xml:space="preserve"> </w:t>
      </w:r>
      <m:oMath>
        <m:r>
          <m:t>E</m:t>
        </m:r>
        <m:sSub>
          <m:e>
            <m:r>
              <m:t>C</m:t>
            </m:r>
          </m:e>
          <m:sub>
            <m:r>
              <m:t>B</m:t>
            </m:r>
          </m:sub>
        </m:sSub>
        <m:r>
          <m:rPr>
            <m:sty m:val="p"/>
          </m:rPr>
          <m:t>(</m:t>
        </m:r>
        <m:r>
          <m:t>2</m:t>
        </m:r>
        <m:r>
          <m:rPr>
            <m:sty m:val="p"/>
          </m:rPr>
          <m:t>)</m:t>
        </m:r>
        <m:r>
          <m:rPr>
            <m:sty m:val="p"/>
          </m:rPr>
          <m:t>=</m:t>
        </m:r>
        <m:f>
          <m:fPr>
            <m:type m:val="bar"/>
          </m:fPr>
          <m:num>
            <m:r>
              <m:t>1</m:t>
            </m:r>
          </m:num>
          <m:den>
            <m:r>
              <m:t>2</m:t>
            </m:r>
          </m:den>
        </m:f>
        <m:r>
          <m:rPr>
            <m:sty m:val="p"/>
          </m:rPr>
          <m:t>(</m:t>
        </m:r>
        <m:r>
          <m:t>18</m:t>
        </m:r>
        <m:sSup>
          <m:e>
            <m:r>
              <m:rPr>
                <m:sty m:val="p"/>
              </m:rPr>
              <m:t>)</m:t>
            </m:r>
          </m:e>
          <m:sup>
            <m:r>
              <m:t>2</m:t>
            </m:r>
          </m:sup>
        </m:sSup>
        <m:r>
          <m:rPr>
            <m:sty m:val="p"/>
          </m:rPr>
          <m:t>=</m:t>
        </m:r>
        <m:r>
          <m:t>162</m:t>
        </m:r>
        <m:r>
          <m:rPr>
            <m:sty m:val="p"/>
          </m:rPr>
          <m:t>&lt;</m:t>
        </m:r>
        <m:r>
          <m:t>T</m:t>
        </m:r>
        <m:r>
          <m:rPr>
            <m:sty m:val="p"/>
          </m:rPr>
          <m:t>=</m:t>
        </m:r>
        <m:r>
          <m:t>392</m:t>
        </m:r>
      </m:oMath>
      <w:r>
        <w:t xml:space="preserve">. ✓</w:t>
      </w:r>
    </w:p>
    <w:p>
      <w:pPr>
        <w:pStyle w:val="BlockText"/>
      </w:pPr>
      <m:oMath>
        <m:r>
          <m:rPr>
            <m:sty m:val="p"/>
          </m:rPr>
          <m:t>Π</m:t>
        </m:r>
        <m:r>
          <m:rPr>
            <m:sty m:val="p"/>
          </m:rPr>
          <m:t>=</m:t>
        </m:r>
        <m:r>
          <m:t>50</m:t>
        </m:r>
        <m:r>
          <m:rPr>
            <m:sty m:val="p"/>
          </m:rPr>
          <m:t>×</m:t>
        </m:r>
        <m:r>
          <m:t>392</m:t>
        </m:r>
        <m:r>
          <m:rPr>
            <m:sty m:val="p"/>
          </m:rPr>
          <m:t>=</m:t>
        </m:r>
        <m:r>
          <m:t>19.600</m:t>
        </m:r>
      </m:oMath>
      <w:r>
        <w:t xml:space="preserve">.</w:t>
      </w:r>
    </w:p>
    <w:p>
      <w:pPr>
        <w:pStyle w:val="BlockText"/>
      </w:pPr>
      <w:r>
        <w:rPr>
          <w:b/>
          <w:bCs/>
        </w:rPr>
        <w:t xml:space="preserve">Resultado:</w:t>
      </w:r>
      <w:r>
        <w:t xml:space="preserve"> </w:t>
      </w:r>
      <w:r>
        <w:t xml:space="preserve">Atender apenas o Tipo A (</w:t>
      </w:r>
      <m:oMath>
        <m:r>
          <m:rPr>
            <m:sty m:val="p"/>
          </m:rPr>
          <m:t>Π</m:t>
        </m:r>
        <m:r>
          <m:rPr>
            <m:sty m:val="p"/>
          </m:rPr>
          <m:t>=</m:t>
        </m:r>
        <m:r>
          <m:t>19.600</m:t>
        </m:r>
      </m:oMath>
      <w:r>
        <w:t xml:space="preserve">) é mais lucrativo do que atender ambos (</w:t>
      </w:r>
      <m:oMath>
        <m:r>
          <m:rPr>
            <m:sty m:val="p"/>
          </m:rPr>
          <m:t>Π</m:t>
        </m:r>
        <m:r>
          <m:rPr>
            <m:sty m:val="p"/>
          </m:rPr>
          <m:t>=</m:t>
        </m:r>
        <m:r>
          <m:t>17.450</m:t>
        </m:r>
      </m:oMath>
      <w:r>
        <w:t xml:space="preserve">). O monopolista prefere excluir o Tipo B e extrair o máximo do Tipo A — ilustrando como a heterogeneidade de demanda pode levar à exclusão ineficiente de consumidores.</w:t>
      </w:r>
    </w:p>
    <w:bookmarkEnd w:id="939"/>
    <w:bookmarkEnd w:id="940"/>
    <w:bookmarkEnd w:id="941"/>
    <w:bookmarkStart w:id="950" w:name="regulação-e-visão-dinâmica-do-monopólio"/>
    <w:p>
      <w:pPr>
        <w:pStyle w:val="Heading2"/>
      </w:pPr>
      <w:r>
        <w:t xml:space="preserve">15.9–15.10 Regulação e Visão Dinâmica do Monopólio</w:t>
      </w:r>
    </w:p>
    <w:bookmarkStart w:id="946" w:name="Xb6277afcb65d33525545904e95c2fa240632660"/>
    <w:p>
      <w:pPr>
        <w:pStyle w:val="Heading3"/>
      </w:pPr>
      <w:r>
        <w:t xml:space="preserve">15.9 Domar a Fera: Regulação de Monopólios</w:t>
      </w:r>
    </w:p>
    <w:p>
      <w:pPr>
        <w:pStyle w:val="FirstParagraph"/>
      </w:pPr>
      <w:r>
        <w:t xml:space="preserve">As seções anteriores documentaram os custos sociais do monopólio — perda de peso morto, distorção de preços e quantidades — e as estratégias que o monopolista utiliza para maximizar a extração de excedente. Diante dessas ineficiências, surge naturalmente a questão: o que a sociedade pode fazer? Em mercados onde o monopólio pode ser eliminado (por exemplo, removendo barreiras legais desnecessárias), a promoção da concorrência é o caminho mais direto. Mas em monopólios naturais — nos quais a tecnologia torna ineficiente a presença de múltiplas firmas — a regulação torna-se o instrumento central de política pública.</w:t>
      </w:r>
    </w:p>
    <w:p>
      <w:pPr>
        <w:pStyle w:val="BodyText"/>
      </w:pPr>
      <w:r>
        <w:t xml:space="preserve">O dilema central da regulação é: como induzir a firma a produzir mais e cobrar menos, sem eliminar seus incentivos ao investimento e à eficiência? Como veremos, os diferentes regimes regulatórios representam soluções distintas para esse dilema, cada uma com seus trade-offs.</w:t>
      </w:r>
    </w:p>
    <w:bookmarkStart w:id="942" w:name="regulação-pelo-custo-marginal-first-best"/>
    <w:p>
      <w:pPr>
        <w:pStyle w:val="Heading4"/>
      </w:pPr>
      <w:r>
        <w:t xml:space="preserve">Regulação pelo custo marginal (first-best)</w:t>
      </w:r>
    </w:p>
    <w:p>
      <w:pPr>
        <w:pStyle w:val="FirstParagraph"/>
      </w:pPr>
      <w:r>
        <w:t xml:space="preserve">A solução ideal seria impor</w:t>
      </w:r>
      <w:r>
        <w:t xml:space="preserve"> </w:t>
      </w:r>
      <m:oMath>
        <m:r>
          <m:t>p</m:t>
        </m:r>
        <m:r>
          <m:rPr>
            <m:sty m:val="p"/>
          </m:rPr>
          <m:t>=</m:t>
        </m:r>
        <m:r>
          <m:t>C</m:t>
        </m:r>
        <m:r>
          <m:t>M</m:t>
        </m:r>
        <m:r>
          <m:t>g</m:t>
        </m:r>
      </m:oMath>
      <w:r>
        <w:t xml:space="preserve">. Entretanto, em um monopólio natural com custos médios decrescentes,</w:t>
      </w:r>
      <w:r>
        <w:t xml:space="preserve"> </w:t>
      </w:r>
      <m:oMath>
        <m:r>
          <m:t>C</m:t>
        </m:r>
        <m:r>
          <m:t>M</m:t>
        </m:r>
        <m:r>
          <m:t>g</m:t>
        </m:r>
        <m:r>
          <m:rPr>
            <m:sty m:val="p"/>
          </m:rPr>
          <m:t>&lt;</m:t>
        </m:r>
        <m:r>
          <m:t>C</m:t>
        </m:r>
        <m:r>
          <m:t>M</m:t>
        </m:r>
        <m:r>
          <m:t>e</m:t>
        </m:r>
      </m:oMath>
      <w:r>
        <w:t xml:space="preserve">, de modo que</w:t>
      </w:r>
      <w:r>
        <w:t xml:space="preserve"> </w:t>
      </w:r>
      <m:oMath>
        <m:r>
          <m:t>p</m:t>
        </m:r>
        <m:r>
          <m:rPr>
            <m:sty m:val="p"/>
          </m:rPr>
          <m:t>=</m:t>
        </m:r>
        <m:r>
          <m:t>C</m:t>
        </m:r>
        <m:r>
          <m:t>M</m:t>
        </m:r>
        <m:r>
          <m:t>g</m:t>
        </m:r>
      </m:oMath>
      <w:r>
        <w:t xml:space="preserve"> </w:t>
      </w:r>
      <w:r>
        <w:t xml:space="preserve">gera</w:t>
      </w:r>
      <w:r>
        <w:t xml:space="preserve"> </w:t>
      </w:r>
      <w:r>
        <w:rPr>
          <w:b/>
          <w:bCs/>
        </w:rPr>
        <w:t xml:space="preserve">prejuízo</w:t>
      </w:r>
      <w:r>
        <w:t xml:space="preserve">. A firma não cobre seus custos fixos e, a menos que receba um subsídio, sairá do mercado. O governo precisaria subsidiar a firma, o que acarreta distorções em outros mercados (custo dos fundos públicos). Estimativas típicas do custo marginal dos fundos públicos no Brasil variam de 0,20 a 0,50 — ou seja, cada R$ 1 de subsídio impõe um custo adicional de R$ 0,20 a R$ 0,50 em distorções tributárias em outros mercados.</w:t>
      </w:r>
    </w:p>
    <w:bookmarkEnd w:id="942"/>
    <w:bookmarkStart w:id="943" w:name="regulação-pelo-custo-médio-second-best"/>
    <w:p>
      <w:pPr>
        <w:pStyle w:val="Heading4"/>
      </w:pPr>
      <w:r>
        <w:t xml:space="preserve">Regulação pelo custo médio (second-best)</w:t>
      </w:r>
    </w:p>
    <w:p>
      <w:pPr>
        <w:pStyle w:val="FirstParagraph"/>
      </w:pPr>
      <w:r>
        <w:t xml:space="preserve">A alternativa mais comum é impor</w:t>
      </w:r>
      <w:r>
        <w:t xml:space="preserve"> </w:t>
      </w:r>
      <m:oMath>
        <m:r>
          <m:t>p</m:t>
        </m:r>
        <m:r>
          <m:rPr>
            <m:sty m:val="p"/>
          </m:rPr>
          <m:t>=</m:t>
        </m:r>
        <m:r>
          <m:t>C</m:t>
        </m:r>
        <m:r>
          <m:t>M</m:t>
        </m:r>
        <m:r>
          <m:t>e</m:t>
        </m:r>
      </m:oMath>
      <w:r>
        <w:t xml:space="preserve">, garantindo lucro zero. A firma produz mais do que o monopólio sem regulação, mas menos do que o first-best. Há uma PPM residual, menor que a do monopólio não regulado. Esse é o modelo conceitual por trás da regulação das distribuidoras de energia no Brasil pela ANEEL: nas revisões tarifárias periódicas, a agência calcula uma</w:t>
      </w:r>
      <w:r>
        <w:t xml:space="preserve"> </w:t>
      </w:r>
      <w:r>
        <w:t xml:space="preserve">“receita requerida”</w:t>
      </w:r>
      <w:r>
        <w:t xml:space="preserve"> </w:t>
      </w:r>
      <w:r>
        <w:t xml:space="preserve">que cobre os custos eficientes (não os custos reais, para preservar incentivos) e divide pelo volume esperado de energia, chegando a uma tarifa que, em princípio, garante lucro econômico zero.</w:t>
      </w:r>
    </w:p>
    <w:bookmarkEnd w:id="943"/>
    <w:bookmarkStart w:id="944" w:name="regulação-por-teto-de-preços-price-cap"/>
    <w:p>
      <w:pPr>
        <w:pStyle w:val="Heading4"/>
      </w:pPr>
      <w:r>
        <w:t xml:space="preserve">Regulação por teto de preços (price cap)</w:t>
      </w:r>
    </w:p>
    <w:p>
      <w:pPr>
        <w:pStyle w:val="FirstParagraph"/>
      </w:pPr>
      <w:r>
        <w:t xml:space="preserve">O regulador fixa um teto de preço que é reajustado periodicamente pela inflação menos um fator de produtividade:</w:t>
      </w:r>
    </w:p>
    <w:p>
      <w:pPr>
        <w:pStyle w:val="BodyText"/>
      </w:pPr>
      <m:oMathPara>
        <m:oMathParaPr>
          <m:jc m:val="center"/>
        </m:oMathParaPr>
        <m:oMath>
          <m:r>
            <m:rPr>
              <m:sty m:val="p"/>
            </m:rPr>
            <m:t>Δ</m:t>
          </m:r>
          <m:r>
            <m:t>p</m:t>
          </m:r>
          <m:r>
            <m:rPr>
              <m:sty m:val="p"/>
            </m:rPr>
            <m:t>≤</m:t>
          </m:r>
          <m:r>
            <m:rPr>
              <m:nor/>
              <m:sty m:val="p"/>
            </m:rPr>
            <m:t>inflação</m:t>
          </m:r>
          <m:r>
            <m:rPr>
              <m:sty m:val="p"/>
            </m:rPr>
            <m:t>−</m:t>
          </m:r>
          <m:r>
            <m:t>X</m:t>
          </m:r>
        </m:oMath>
      </m:oMathPara>
    </w:p>
    <w:p>
      <w:pPr>
        <w:pStyle w:val="FirstParagraph"/>
      </w:pPr>
      <w:r>
        <w:t xml:space="preserve">O fator</w:t>
      </w:r>
      <w:r>
        <w:t xml:space="preserve"> </w:t>
      </w:r>
      <m:oMath>
        <m:r>
          <m:t>X</m:t>
        </m:r>
      </m:oMath>
      <w:r>
        <w:t xml:space="preserve"> </w:t>
      </w:r>
      <w:r>
        <w:t xml:space="preserve">captura ganhos de eficiência esperados. A firma retém ganhos de produtividade acima de</w:t>
      </w:r>
      <w:r>
        <w:t xml:space="preserve"> </w:t>
      </w:r>
      <m:oMath>
        <m:r>
          <m:t>X</m:t>
        </m:r>
      </m:oMath>
      <w:r>
        <w:t xml:space="preserve"> </w:t>
      </w:r>
      <w:r>
        <w:t xml:space="preserve">até a próxima revisão, o que incentiva a redução de custos. Entre as revisões, a firma é uma</w:t>
      </w:r>
      <w:r>
        <w:t xml:space="preserve"> </w:t>
      </w:r>
      <w:r>
        <w:t xml:space="preserve">“maximizadora residual”</w:t>
      </w:r>
      <w:r>
        <w:t xml:space="preserve"> </w:t>
      </w:r>
      <w:r>
        <w:t xml:space="preserve">— quanto mais cortar custos, maior seu lucro. Esse incentivo à eficiência é a principal vantagem do price cap sobre a regulação por taxa de retorno.</w:t>
      </w:r>
    </w:p>
    <w:p>
      <w:pPr>
        <w:pStyle w:val="BlockText"/>
      </w:pPr>
      <w:r>
        <w:rPr>
          <w:b/>
          <w:bCs/>
        </w:rPr>
        <w:t xml:space="preserve">[NOTA] Vantagem do price cap</w:t>
      </w:r>
    </w:p>
    <w:p>
      <w:pPr>
        <w:pStyle w:val="BlockText"/>
      </w:pPr>
      <w:r>
        <w:t xml:space="preserve">O sistema de price cap, introduzido no Reino Unido por Stephen Littlechild (1983) para a privatização da British Telecom, possui vantagens informacionais sobre a regulação por taxa de retorno: o regulador não precisa conhecer detalhadamente a estrutura de custos da firma. Em contrapartida, pode induzir redução de qualidade se os padrões de serviço não forem adequadamente monitorados — razão pela qual reguladores como a ANATEL complementam o price cap com metas de qualidade.</w:t>
      </w:r>
    </w:p>
    <w:bookmarkEnd w:id="944"/>
    <w:bookmarkStart w:id="945" w:name="X41a2c4197dc7c60fb1a0f7d5778cc61a4011423"/>
    <w:p>
      <w:pPr>
        <w:pStyle w:val="Heading4"/>
      </w:pPr>
      <w:r>
        <w:t xml:space="preserve">Regulação por taxa de retorno (rate of return)</w:t>
      </w:r>
    </w:p>
    <w:p>
      <w:pPr>
        <w:pStyle w:val="FirstParagraph"/>
      </w:pPr>
      <w:r>
        <w:t xml:space="preserve">O regulador permite que a firma obtenha uma taxa de retorno</w:t>
      </w:r>
      <w:r>
        <w:t xml:space="preserve"> </w:t>
      </w:r>
      <w:r>
        <w:t xml:space="preserve">“justa”</w:t>
      </w:r>
      <w:r>
        <w:t xml:space="preserve"> </w:t>
      </w:r>
      <m:oMath>
        <m:r>
          <m:t>s</m:t>
        </m:r>
      </m:oMath>
      <w:r>
        <w:t xml:space="preserve"> </w:t>
      </w:r>
      <w:r>
        <w:t xml:space="preserve">sobre o capital investido</w:t>
      </w:r>
      <w:r>
        <w:t xml:space="preserve"> </w:t>
      </w:r>
      <m:oMath>
        <m:r>
          <m:t>K</m:t>
        </m:r>
      </m:oMath>
      <w:r>
        <w:t xml:space="preserve">:</w:t>
      </w:r>
    </w:p>
    <w:p>
      <w:pPr>
        <w:pStyle w:val="BodyText"/>
      </w:pPr>
      <w:r>
        <w:t xml:space="preserve">$$
    pq - wL - rK \leq (s - r)K
    \label{eq:15.14} \tag{15.14} 
    $$</w:t>
      </w:r>
    </w:p>
    <w:p>
      <w:pPr>
        <w:pStyle w:val="FirstParagraph"/>
      </w:pPr>
      <w:r>
        <w:t xml:space="preserve">Averch e Johnson (1962) demonstraram que esse esquema induz a firma a</w:t>
      </w:r>
      <w:r>
        <w:t xml:space="preserve"> </w:t>
      </w:r>
      <w:r>
        <w:rPr>
          <w:b/>
          <w:bCs/>
        </w:rPr>
        <w:t xml:space="preserve">sobreinvestir em capital</w:t>
      </w:r>
      <w:r>
        <w:t xml:space="preserve"> </w:t>
      </w:r>
      <w:r>
        <w:t xml:space="preserve">para inflar a base de remuneração — o chamado</w:t>
      </w:r>
      <w:r>
        <w:t xml:space="preserve"> </w:t>
      </w:r>
      <w:r>
        <w:rPr>
          <w:b/>
          <w:bCs/>
        </w:rPr>
        <w:t xml:space="preserve">efeito Averch-Johnson</w:t>
      </w:r>
      <w:r>
        <w:t xml:space="preserve">. A firma substitui trabalho por capital além do socialmente ótimo, resultando em ineficiência produtiva. Intuitivamente, se a firma lucra proporcionalmente ao capital empregado, ela tem incentivo para empregar mais capital do que o necessário — como um taxista que compra um carro de luxo desnecessário se pudesse repassar o custo ao regulador. Esse resultado é um exemplo clássico de consequências não intencionais da regulação.</w:t>
      </w:r>
    </w:p>
    <w:p>
      <w:pPr>
        <w:pStyle w:val="BlockText"/>
      </w:pPr>
      <w:r>
        <w:rPr>
          <w:b/>
          <w:bCs/>
        </w:rPr>
        <w:t xml:space="preserve">[INFORMACAO] Prêmio Nobel — Jean Tirole (2014)</w:t>
      </w:r>
    </w:p>
    <w:p>
      <w:pPr>
        <w:pStyle w:val="BlockText"/>
      </w:pPr>
      <w:r>
        <w:rPr>
          <w:b/>
          <w:bCs/>
        </w:rPr>
        <w:t xml:space="preserve">Jean Tirole</w:t>
      </w:r>
      <w:r>
        <w:t xml:space="preserve"> </w:t>
      </w:r>
      <w:r>
        <w:t xml:space="preserve">(1953–presente) é um economista francês. Obteve o PhD no MIT sob orientação de Eric Maskin e é professor na Toulouse School of Economics (TSE), que ajudou a transformar em um dos principais centros de pesquisa econômica do mundo.</w:t>
      </w:r>
    </w:p>
    <w:p>
      <w:pPr>
        <w:pStyle w:val="BlockText"/>
      </w:pPr>
      <w:r>
        <w:rPr>
          <w:b/>
          <w:bCs/>
        </w:rPr>
        <w:t xml:space="preserve">Por que ganhou o Nobel:</w:t>
      </w:r>
      <w:r>
        <w:t xml:space="preserve"> </w:t>
      </w:r>
      <w:r>
        <w:t xml:space="preserve">Premiado por sua análise do poder de mercado e da regulação. Tirole desenvolveu a teoria moderna de regulação de monopólios sob informação assimétrica (com Jean-Jacques Laffont), mostrando como desenhar contratos regulatórios quando o regulador não conhece os custos da firma. Suas contribuições à organização industrial unificaram a teoria do monopólio, oligopólio e barreiras à entrada em um framework analítico coerente baseado na teoria dos jogos.</w:t>
      </w:r>
    </w:p>
    <w:p>
      <w:pPr>
        <w:pStyle w:val="BlockText"/>
      </w:pPr>
      <w:r>
        <w:rPr>
          <w:b/>
          <w:bCs/>
        </w:rPr>
        <w:t xml:space="preserve">Conexão com este capítulo:</w:t>
      </w:r>
      <w:r>
        <w:t xml:space="preserve"> </w:t>
      </w:r>
      <w:r>
        <w:t xml:space="preserve">A análise de regulação de monopólio natural — regulação por custo marginal, custo médio e tarifas em duas partes — apresentada neste capítulo é o ponto de partida da agenda de pesquisa de Tirole. Sua contribuição foi mostrar que, na prática, o regulador enfrenta informação assimétrica sobre os custos da firma, o que torna o problema de regulação fundamentalmente um problema de desenho de mecanismos — conectando este capítulo diretamente ao Capítulo 19 (Informação Assimétrica).</w:t>
      </w:r>
    </w:p>
    <w:p>
      <w:pPr>
        <w:pStyle w:val="BlockText"/>
      </w:pPr>
      <w:r>
        <w:rPr>
          <w:b/>
          <w:bCs/>
        </w:rPr>
        <w:t xml:space="preserve">[BOX BRASIL] Box Brasil 15.2 — Monopólios naturais regulados: o setor elétrico e telecomunicações pós-privatização</w:t>
      </w:r>
    </w:p>
    <w:p>
      <w:pPr>
        <w:pStyle w:val="BlockText"/>
      </w:pPr>
      <w:r>
        <w:t xml:space="preserve">O Brasil passou por extenso processo de privatização e regulação de monopólios naturais nos anos 1990. Dois casos emblemáticos ilustram os desafios da regulação:</w:t>
      </w:r>
    </w:p>
    <w:p>
      <w:pPr>
        <w:pStyle w:val="BlockText"/>
      </w:pPr>
      <w:r>
        <w:rPr>
          <w:b/>
          <w:bCs/>
        </w:rPr>
        <w:t xml:space="preserve">Setor Elétrico</w:t>
      </w:r>
    </w:p>
    <w:p>
      <w:pPr>
        <w:pStyle w:val="BlockText"/>
      </w:pPr>
      <w:r>
        <w:t xml:space="preserve">A reestruturação do setor elétrico brasileiro, iniciada em 1995 (Lei 8.987/1995 e Lei 9.074/1995), separou as atividades de geração, transmissão e distribuição. A distribuição de energia — um monopólio natural em cada área de concessão — é regulada pela ANEEL (Agência Nacional de Energia Elétrica), criada em 1996. A ANEEL realiza revisões tarifárias periódicas (a cada 4 ou 5 anos) utilizando o modelo de</w:t>
      </w:r>
      <w:r>
        <w:t xml:space="preserve"> </w:t>
      </w:r>
      <w:r>
        <w:rPr>
          <w:b/>
          <w:bCs/>
        </w:rPr>
        <w:t xml:space="preserve">empresa de referência</w:t>
      </w:r>
      <w:r>
        <w:t xml:space="preserve"> </w:t>
      </w:r>
      <w:r>
        <w:t xml:space="preserve">e aplica reajustes anuais baseados no IGP-M. Segundo dados da ANEEL, o Brasil possui 53 distribuidoras reguladas, atendendo mais de 90 milhões de unidades consumidoras. A tarifa média residencial brasileira, em 2024, situava-se entre R$ 0,60 e R$ 0,90 por kWh (com tributos), uma das mais altas do mundo em proporção à renda.</w:t>
      </w:r>
    </w:p>
    <w:p>
      <w:pPr>
        <w:pStyle w:val="BlockText"/>
      </w:pPr>
      <w:r>
        <w:rPr>
          <w:b/>
          <w:bCs/>
        </w:rPr>
        <w:t xml:space="preserve">Telecomunicações</w:t>
      </w:r>
    </w:p>
    <w:p>
      <w:pPr>
        <w:pStyle w:val="BlockText"/>
      </w:pPr>
      <w:r>
        <w:t xml:space="preserve">A privatização do Sistema Telebrás em 1998 transferiu ao setor privado o monopólio estatal de telecomunicações. A</w:t>
      </w:r>
      <w:r>
        <w:t xml:space="preserve"> </w:t>
      </w:r>
      <w:hyperlink r:id="rId473">
        <w:r>
          <w:rPr>
            <w:rStyle w:val="Hyperlink"/>
          </w:rPr>
          <w:t xml:space="preserve">ANATEL</w:t>
        </w:r>
      </w:hyperlink>
      <w:r>
        <w:t xml:space="preserve"> </w:t>
      </w:r>
      <w:r>
        <w:t xml:space="preserve">(Agência Nacional de Telecomunicações), criada pela Lei 9.472/1997, regula concessões e autorizações. Na telefonia fixa, as concessionárias originais (Oi, Telefônica/Vivo, Embratel) enfrentaram obrigações de universalização e controle tarifário (price cap com fator X de produtividade). A telefonia móvel, operando em regime de autorização, desenvolveu-se em um oligopólio com quatro operadoras principais (Vivo, Claro, TIM, Oi). A venda dos ativos móveis da Oi em 2022 para Vivo, Claro e TIM reduziu o mercado a três grandes operadoras, levantando preocupações concorrenciais analisadas pelo CADE.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Setor Elétrico</w:t>
            </w:r>
          </w:p>
        </w:tc>
        <w:tc>
          <w:tcPr/>
          <w:p>
            <w:pPr>
              <w:pStyle w:val="Compact"/>
            </w:pPr>
            <w:r>
              <w:t xml:space="preserve">Telecomunicações</w:t>
            </w:r>
          </w:p>
        </w:tc>
      </w:tr>
      <w:tr>
        <w:tc>
          <w:tcPr/>
          <w:p>
            <w:pPr>
              <w:pStyle w:val="Compact"/>
            </w:pPr>
            <w:r>
              <w:t xml:space="preserve">Agência reguladora</w:t>
            </w:r>
          </w:p>
        </w:tc>
        <w:tc>
          <w:tcPr/>
          <w:p>
            <w:pPr>
              <w:pStyle w:val="Compact"/>
            </w:pPr>
            <w:r>
              <w:t xml:space="preserve">ANEEL (1996)</w:t>
            </w:r>
          </w:p>
        </w:tc>
        <w:tc>
          <w:tcPr/>
          <w:p>
            <w:pPr>
              <w:pStyle w:val="Compact"/>
            </w:pPr>
            <w:r>
              <w:t xml:space="preserve">ANATEL (1997)</w:t>
            </w:r>
          </w:p>
        </w:tc>
      </w:tr>
      <w:tr>
        <w:tc>
          <w:tcPr/>
          <w:p>
            <w:pPr>
              <w:pStyle w:val="Compact"/>
            </w:pPr>
            <w:r>
              <w:t xml:space="preserve">Modelo regulatório</w:t>
            </w:r>
          </w:p>
        </w:tc>
        <w:tc>
          <w:tcPr/>
          <w:p>
            <w:pPr>
              <w:pStyle w:val="Compact"/>
            </w:pPr>
            <w:r>
              <w:t xml:space="preserve">Empresa de referência + price cap</w:t>
            </w:r>
          </w:p>
        </w:tc>
        <w:tc>
          <w:tcPr/>
          <w:p>
            <w:pPr>
              <w:pStyle w:val="Compact"/>
            </w:pPr>
            <w:r>
              <w:t xml:space="preserve">Price cap com fator X</w:t>
            </w:r>
          </w:p>
        </w:tc>
      </w:tr>
      <w:tr>
        <w:tc>
          <w:tcPr/>
          <w:p>
            <w:pPr>
              <w:pStyle w:val="Compact"/>
            </w:pPr>
            <w:r>
              <w:t xml:space="preserve">Nº de distribuidoras/operadoras</w:t>
            </w:r>
          </w:p>
        </w:tc>
        <w:tc>
          <w:tcPr/>
          <w:p>
            <w:pPr>
              <w:pStyle w:val="Compact"/>
            </w:pPr>
            <w:r>
              <w:t xml:space="preserve">53 distribuidoras</w:t>
            </w:r>
          </w:p>
        </w:tc>
        <w:tc>
          <w:tcPr/>
          <w:p>
            <w:pPr>
              <w:pStyle w:val="Compact"/>
            </w:pPr>
            <w:r>
              <w:t xml:space="preserve">3 grandes operadoras (móvel)</w:t>
            </w:r>
          </w:p>
        </w:tc>
      </w:tr>
      <w:tr>
        <w:tc>
          <w:tcPr/>
          <w:p>
            <w:pPr>
              <w:pStyle w:val="Compact"/>
            </w:pPr>
            <w:r>
              <w:t xml:space="preserve">Universalização</w:t>
            </w:r>
          </w:p>
        </w:tc>
        <w:tc>
          <w:tcPr/>
          <w:p>
            <w:pPr>
              <w:pStyle w:val="Compact"/>
            </w:pPr>
            <w:r>
              <w:t xml:space="preserve">~99,8% de acesso</w:t>
            </w:r>
          </w:p>
        </w:tc>
        <w:tc>
          <w:tcPr/>
          <w:p>
            <w:pPr>
              <w:pStyle w:val="Compact"/>
            </w:pPr>
            <w:r>
              <w:t xml:space="preserve">~98% de cobertura 4G</w:t>
            </w:r>
          </w:p>
        </w:tc>
      </w:tr>
      <w:tr>
        <w:tc>
          <w:tcPr/>
          <w:p>
            <w:pPr>
              <w:pStyle w:val="Compact"/>
            </w:pPr>
            <w:r>
              <w:t xml:space="preserve">Principal desafio atual</w:t>
            </w:r>
          </w:p>
        </w:tc>
        <w:tc>
          <w:tcPr/>
          <w:p>
            <w:pPr>
              <w:pStyle w:val="Compact"/>
            </w:pPr>
            <w:r>
              <w:t xml:space="preserve">Transição energética e tarifas</w:t>
            </w:r>
          </w:p>
        </w:tc>
        <w:tc>
          <w:tcPr/>
          <w:p>
            <w:pPr>
              <w:pStyle w:val="Compact"/>
            </w:pPr>
            <w:r>
              <w:t xml:space="preserve">5G e competição em banda larga</w:t>
            </w:r>
          </w:p>
        </w:tc>
      </w:tr>
    </w:tbl>
    <w:p>
      <w:pPr>
        <w:pStyle w:val="BlockText"/>
      </w:pPr>
      <w:r>
        <w:t xml:space="preserve">Ambos os setores ilustram o dilema fundamental da regulação de monopólios naturais: garantir eficiência produtiva e preços acessíveis sem eliminar os incentivos ao investimento. Para o contexto institucional e fiscal da regulação de monopólios naturais no Brasil, ver Giambiagi &amp; Além (2016).</w:t>
      </w:r>
    </w:p>
    <w:p>
      <w:pPr>
        <w:pStyle w:val="BlockText"/>
      </w:pPr>
      <w:r>
        <w:rPr>
          <w:b/>
          <w:bCs/>
        </w:rPr>
        <w:t xml:space="preserve">[BOX BRASIL] Box Brasil 15.3 — ANS e a regulação dos planos de saúde como controle de monopólio</w:t>
      </w:r>
    </w:p>
    <w:p>
      <w:pPr>
        <w:pStyle w:val="BlockText"/>
      </w:pPr>
      <w:r>
        <w:rPr>
          <w:b/>
          <w:bCs/>
        </w:rPr>
        <w:t xml:space="preserve">Contexto:</w:t>
      </w:r>
      <w:r>
        <w:t xml:space="preserve"> </w:t>
      </w:r>
      <w:r>
        <w:t xml:space="preserve">A</w:t>
      </w:r>
      <w:r>
        <w:t xml:space="preserve"> </w:t>
      </w:r>
      <w:r>
        <w:rPr>
          <w:b/>
          <w:bCs/>
        </w:rPr>
        <w:t xml:space="preserve">Agência Nacional de Saúde Suplementar (ANS)</w:t>
      </w:r>
      <w:r>
        <w:t xml:space="preserve">, criada pela Lei n.º 9.961/2000, regula o mercado de planos de saúde no Brasil — um setor com características de oligopólio concentrado e fortes assimetrias de informação. Em 2024, o setor atendia cerca de 51 milhões de beneficiários (aproximadamente 25% da população), movimentando mais de R$ 300 bilhões em receitas anuais. As quatro maiores operadoras (Hapvida-NotreDame Intermédica, Bradesco Saúde, SulAmérica e Amil) concentram mais de 35% do mercado, e em muitas regiões uma ou duas operadoras detêm posição dominante — configurando monopólios ou duopólios locais.</w:t>
      </w:r>
    </w:p>
    <w:p>
      <w:pPr>
        <w:pStyle w:val="BlockText"/>
      </w:pPr>
      <w:r>
        <w:rPr>
          <w:b/>
          <w:bCs/>
        </w:rPr>
        <w:t xml:space="preserve">Dados:</w:t>
      </w:r>
      <w:r>
        <w:t xml:space="preserve"> </w:t>
      </w:r>
      <w:r>
        <w:t xml:space="preserve">A ANS utiliza diversos instrumentos regulatórios que espelham os mecanismos discutidos neste capítulo: (i)</w:t>
      </w:r>
      <w:r>
        <w:t xml:space="preserve"> </w:t>
      </w:r>
      <w:r>
        <w:rPr>
          <w:b/>
          <w:bCs/>
        </w:rPr>
        <w:t xml:space="preserve">teto de reajuste</w:t>
      </w:r>
      <w:r>
        <w:t xml:space="preserve"> </w:t>
      </w:r>
      <w:r>
        <w:t xml:space="preserve">para planos individuais — análogo ao</w:t>
      </w:r>
      <w:r>
        <w:t xml:space="preserve"> </w:t>
      </w:r>
      <w:r>
        <w:rPr>
          <w:i/>
          <w:iCs/>
        </w:rPr>
        <w:t xml:space="preserve">price cap</w:t>
      </w:r>
      <w:r>
        <w:t xml:space="preserve"> </w:t>
      </w:r>
      <w:r>
        <w:t xml:space="preserve">(Seção 15.9), fixado anualmente pela ANS com base na variação de custos do setor (reajuste máximo de 6,91% em 2024); (ii)</w:t>
      </w:r>
      <w:r>
        <w:t xml:space="preserve"> </w:t>
      </w:r>
      <w:r>
        <w:rPr>
          <w:b/>
          <w:bCs/>
        </w:rPr>
        <w:t xml:space="preserve">rol de procedimentos obrigatórios</w:t>
      </w:r>
      <w:r>
        <w:t xml:space="preserve"> </w:t>
      </w:r>
      <w:r>
        <w:t xml:space="preserve">— que funciona como regulação de qualidade mínima, impedindo que operadoras reduzam custos eliminando coberturas essenciais; (iii)</w:t>
      </w:r>
      <w:r>
        <w:t xml:space="preserve"> </w:t>
      </w:r>
      <w:r>
        <w:rPr>
          <w:b/>
          <w:bCs/>
        </w:rPr>
        <w:t xml:space="preserve">ressarcimento ao SUS</w:t>
      </w:r>
      <w:r>
        <w:t xml:space="preserve"> </w:t>
      </w:r>
      <w:r>
        <w:t xml:space="preserve">— quando beneficiários de planos usam o sistema público, a operadora deve reembolsar o SUS, internalizando parte do custo social. A sinistralidade média do setor (razão entre despesas assistenciais e receitas de contraprestações) situou-se em torno de 85% em 2023, indicando margens operacionais comprimidas.</w:t>
      </w:r>
    </w:p>
    <w:p>
      <w:pPr>
        <w:pStyle w:val="BlockText"/>
      </w:pPr>
      <w:r>
        <w:rPr>
          <w:b/>
          <w:bCs/>
        </w:rPr>
        <w:t xml:space="preserve">Análise:</w:t>
      </w:r>
      <w:r>
        <w:t xml:space="preserve"> </w:t>
      </w:r>
      <w:r>
        <w:t xml:space="preserve">O mercado de planos de saúde combina duas falhas de mercado estudadas neste livro:</w:t>
      </w:r>
      <w:r>
        <w:t xml:space="preserve"> </w:t>
      </w:r>
      <w:r>
        <w:rPr>
          <w:b/>
          <w:bCs/>
        </w:rPr>
        <w:t xml:space="preserve">poder de mercado</w:t>
      </w:r>
      <w:r>
        <w:t xml:space="preserve"> </w:t>
      </w:r>
      <w:r>
        <w:t xml:space="preserve">(Capítulo 15) e</w:t>
      </w:r>
      <w:r>
        <w:t xml:space="preserve"> </w:t>
      </w:r>
      <w:r>
        <w:rPr>
          <w:b/>
          <w:bCs/>
        </w:rPr>
        <w:t xml:space="preserve">informação assimétrica</w:t>
      </w:r>
      <w:r>
        <w:t xml:space="preserve"> </w:t>
      </w:r>
      <w:r>
        <w:t xml:space="preserve">(Capítulo 19). A concentração regional confere às operadoras poder de precificação, enquanto a complexidade dos contratos gera assimetria entre operadora e beneficiário. A regulação da ANS enfrenta o dilema clássico de Tirole: sem informação perfeita sobre os custos das operadoras, o regulador não consegue distinguir ineficiência operacional de custos genuinamente elevados. O teto de reajuste para planos individuais protege consumidores cativos, mas pode desestimular a entrada de novos competidores e levar à deterioração da qualidade — exatamente o trade-off previsto pela teoria de regulação por price cap.</w:t>
      </w:r>
    </w:p>
    <w:p>
      <w:pPr>
        <w:pStyle w:val="BlockText"/>
      </w:pPr>
      <w:r>
        <w:rPr>
          <w:b/>
          <w:bCs/>
        </w:rPr>
        <w:t xml:space="preserve">Para refletir:</w:t>
      </w:r>
      <w:r>
        <w:t xml:space="preserve"> </w:t>
      </w:r>
      <w:r>
        <w:t xml:space="preserve">Os planos coletivos (empresariais e por adesão), que representam mais de 80% do mercado, não estão sujeitos ao teto de reajuste da ANS — seus preços são negociados livremente. Usando a teoria de discriminação de preços do Capítulo 15, analise: por que a ANS regula os reajustes individuais mas não os coletivos? A resposta envolve a diferença de poder de barganha (elasticidade da demanda) entre os dois segmentos.</w:t>
      </w:r>
    </w:p>
    <w:p>
      <w:pPr>
        <w:pStyle w:val="FirstParagraph"/>
      </w:pPr>
      <w:r>
        <w:t xml:space="preserve">No gráfico interativo abaixo, visualize como diferentes regimes regulatórios afetam preço, quantidade e bem-estar em um monopólio natural com custo médio decrescente. Alterne entre os três regimes e observe os trade-offs.</w:t>
      </w:r>
    </w:p>
    <w:p>
      <w:pPr>
        <w:pStyle w:val="BodyText"/>
      </w:pPr>
      <w:r>
        <w:t xml:space="preserve">[FIGURA INTERATIVA: /micro-book/graficos/cap15/regulacao-monopolio.html — versao interativa disponivel online]</w:t>
      </w:r>
    </w:p>
    <w:p>
      <w:pPr>
        <w:pStyle w:val="BodyText"/>
      </w:pPr>
      <w:r>
        <w:rPr>
          <w:b/>
          <w:bCs/>
        </w:rPr>
        <w:t xml:space="preserve">Figura 15.4 — Regulação de monopólio natural.</w:t>
      </w:r>
      <w:r>
        <w:t xml:space="preserve"> </w:t>
      </w:r>
      <w:r>
        <w:t xml:space="preserve">Alterne entre monopólio não regulado, regulação pelo custo marginal (first-best, com subsídio) e regulação pelo custo médio (second-best, lucro zero). Compare preços, quantidades e perda de peso morto em cada regime.</w:t>
      </w:r>
    </w:p>
    <w:p>
      <w:pPr>
        <w:pStyle w:val="BodyText"/>
      </w:pPr>
      <w:r>
        <w:t xml:space="preserve">O exercício a seguir aplica os três regimes regulatórios a um caso numérico de monopólio natural.</w:t>
      </w:r>
    </w:p>
    <w:p>
      <w:pPr>
        <w:pStyle w:val="BlockText"/>
      </w:pPr>
      <w:r>
        <w:rPr>
          <w:b/>
          <w:bCs/>
        </w:rPr>
        <w:t xml:space="preserve">[EXERCICIO RESOLVIDO] Exercício Resolvido 15.7 — Regulação de monopólio natural</w:t>
      </w:r>
    </w:p>
    <w:p>
      <w:pPr>
        <w:pStyle w:val="BlockText"/>
      </w:pPr>
      <w:r>
        <w:rPr>
          <w:b/>
          <w:bCs/>
        </w:rPr>
        <w:t xml:space="preserve">Enunciado.</w:t>
      </w:r>
      <w:r>
        <w:t xml:space="preserve"> </w:t>
      </w:r>
      <w:r>
        <w:t xml:space="preserve">Uma distribuidora de água (monopólio natural) tem custo total</w:t>
      </w:r>
      <w:r>
        <w:t xml:space="preserve"> </w:t>
      </w:r>
      <m:oMath>
        <m:r>
          <m:t>C</m:t>
        </m:r>
        <m:r>
          <m:rPr>
            <m:sty m:val="p"/>
          </m:rPr>
          <m:t>(</m:t>
        </m:r>
        <m:r>
          <m:t>q</m:t>
        </m:r>
        <m:r>
          <m:rPr>
            <m:sty m:val="p"/>
          </m:rPr>
          <m:t>)</m:t>
        </m:r>
        <m:r>
          <m:rPr>
            <m:sty m:val="p"/>
          </m:rPr>
          <m:t>=</m:t>
        </m:r>
        <m:r>
          <m:t>500</m:t>
        </m:r>
        <m:r>
          <m:rPr>
            <m:sty m:val="p"/>
          </m:rPr>
          <m:t>+</m:t>
        </m:r>
        <m:r>
          <m:t>10</m:t>
        </m:r>
        <m:r>
          <m:t>q</m:t>
        </m:r>
      </m:oMath>
      <w:r>
        <w:t xml:space="preserve"> </w:t>
      </w:r>
      <w:r>
        <w:t xml:space="preserve">e enfrenta demanda</w:t>
      </w:r>
      <w:r>
        <w:t xml:space="preserve"> </w:t>
      </w:r>
      <m:oMath>
        <m:r>
          <m:t>p</m:t>
        </m:r>
        <m:r>
          <m:rPr>
            <m:sty m:val="p"/>
          </m:rPr>
          <m:t>=</m:t>
        </m:r>
        <m:r>
          <m:t>60</m:t>
        </m:r>
        <m:r>
          <m:rPr>
            <m:sty m:val="p"/>
          </m:rPr>
          <m:t>−</m:t>
        </m:r>
        <m:r>
          <m:t>0</m:t>
        </m:r>
        <m:r>
          <m:rPr>
            <m:sty m:val="p"/>
          </m:rPr>
          <m:t>,</m:t>
        </m:r>
        <m:r>
          <m:t>5</m:t>
        </m:r>
        <m:r>
          <m:t>q</m:t>
        </m:r>
      </m:oMath>
      <w:r>
        <w:t xml:space="preserve">. (a) Calcule o equilíbrio sem regulação. (b) Calcule o resultado com regulação</w:t>
      </w:r>
      <w:r>
        <w:t xml:space="preserve"> </w:t>
      </w:r>
      <w:r>
        <w:rPr>
          <w:i/>
          <w:iCs/>
        </w:rPr>
        <w:t xml:space="preserve">first-best</w:t>
      </w:r>
      <w:r>
        <w:t xml:space="preserve"> </w:t>
      </w:r>
      <w:r>
        <w:t xml:space="preserve">(</w:t>
      </w:r>
      <m:oMath>
        <m:r>
          <m:t>p</m:t>
        </m:r>
        <m:r>
          <m:rPr>
            <m:sty m:val="p"/>
          </m:rPr>
          <m:t>=</m:t>
        </m:r>
        <m:r>
          <m:t>C</m:t>
        </m:r>
        <m:r>
          <m:t>M</m:t>
        </m:r>
        <m:r>
          <m:t>g</m:t>
        </m:r>
      </m:oMath>
      <w:r>
        <w:t xml:space="preserve">) e mostre o prejuízo. (c) Calcule o resultado</w:t>
      </w:r>
      <w:r>
        <w:t xml:space="preserve"> </w:t>
      </w:r>
      <w:r>
        <w:rPr>
          <w:i/>
          <w:iCs/>
        </w:rPr>
        <w:t xml:space="preserve">second-best</w:t>
      </w:r>
      <w:r>
        <w:t xml:space="preserve"> </w:t>
      </w:r>
      <w:r>
        <w:t xml:space="preserve">(</w:t>
      </w:r>
      <m:oMath>
        <m:r>
          <m:t>p</m:t>
        </m:r>
        <m:r>
          <m:rPr>
            <m:sty m:val="p"/>
          </m:rPr>
          <m:t>=</m:t>
        </m:r>
        <m:r>
          <m:t>C</m:t>
        </m:r>
        <m:r>
          <m:t>M</m:t>
        </m:r>
        <m:r>
          <m:t>e</m:t>
        </m:r>
      </m:oMath>
      <w:r>
        <w:t xml:space="preserve">).</w:t>
      </w:r>
    </w:p>
    <w:p>
      <w:r>
        <w:pict>
          <v:rect style="width:0;height:1.5pt" o:hralign="center" o:hrstd="t" o:hr="t"/>
        </w:pict>
      </w:r>
    </w:p>
    <w:p>
      <w:pPr>
        <w:pStyle w:val="BlockText"/>
      </w:pPr>
      <w:r>
        <w:rPr>
          <w:b/>
          <w:bCs/>
        </w:rPr>
        <w:t xml:space="preserve">(a) Monopólio não regulado:</w:t>
      </w:r>
    </w:p>
    <w:p>
      <w:pPr>
        <w:pStyle w:val="BlockText"/>
      </w:pPr>
      <m:oMath>
        <m:r>
          <m:t>R</m:t>
        </m:r>
        <m:r>
          <m:t>M</m:t>
        </m:r>
        <m:r>
          <m:t>g</m:t>
        </m:r>
        <m:r>
          <m:rPr>
            <m:sty m:val="p"/>
          </m:rPr>
          <m:t>=</m:t>
        </m:r>
        <m:r>
          <m:t>60</m:t>
        </m:r>
        <m:r>
          <m:rPr>
            <m:sty m:val="p"/>
          </m:rPr>
          <m:t>−</m:t>
        </m:r>
        <m:r>
          <m:t>q</m:t>
        </m:r>
      </m:oMath>
      <w:r>
        <w:t xml:space="preserve">,</w:t>
      </w:r>
      <w:r>
        <w:t xml:space="preserve"> </w:t>
      </w:r>
      <m:oMath>
        <m:r>
          <m:t>C</m:t>
        </m:r>
        <m:r>
          <m:t>M</m:t>
        </m:r>
        <m:r>
          <m:t>g</m:t>
        </m:r>
        <m:r>
          <m:rPr>
            <m:sty m:val="p"/>
          </m:rPr>
          <m:t>=</m:t>
        </m:r>
        <m:r>
          <m:t>10</m:t>
        </m:r>
      </m:oMath>
      <w:r>
        <w:t xml:space="preserve">.</w:t>
      </w:r>
    </w:p>
    <w:p>
      <w:pPr>
        <w:pStyle w:val="BlockText"/>
      </w:pPr>
      <w:r>
        <w:t xml:space="preserve">$$</w:t>
      </w:r>
    </w:p>
    <w:p>
      <w:pPr>
        <w:pStyle w:val="BlockText"/>
      </w:pPr>
      <w:r>
        <w:t xml:space="preserve">60 - q = 10</w:t>
      </w:r>
      <w:r>
        <w:t xml:space="preserve"> </w:t>
      </w:r>
      <w:r>
        <w:t xml:space="preserve">q^m = 50,</w:t>
      </w:r>
      <w:r>
        <w:t xml:space="preserve"> </w:t>
      </w:r>
      <w:r>
        <w:t xml:space="preserve">p^m = 60 - 25 = 35</w:t>
      </w:r>
    </w:p>
    <w:p>
      <w:pPr>
        <w:pStyle w:val="BlockText"/>
      </w:pPr>
      <w:r>
        <w:t xml:space="preserve">$$</w:t>
      </w:r>
    </w:p>
    <w:p>
      <w:pPr>
        <w:pStyle w:val="BlockText"/>
      </w:pPr>
      <m:oMath>
        <m:sSup>
          <m:e>
            <m:r>
              <m:t>π</m:t>
            </m:r>
          </m:e>
          <m:sup>
            <m:r>
              <m:t>m</m:t>
            </m:r>
          </m:sup>
        </m:sSup>
        <m:r>
          <m:rPr>
            <m:sty m:val="p"/>
          </m:rPr>
          <m:t>=</m:t>
        </m:r>
        <m:r>
          <m:rPr>
            <m:sty m:val="p"/>
          </m:rPr>
          <m:t>(</m:t>
        </m:r>
        <m:sSup>
          <m:e>
            <m:r>
              <m:t>p</m:t>
            </m:r>
          </m:e>
          <m:sup>
            <m:r>
              <m:t>m</m:t>
            </m:r>
          </m:sup>
        </m:sSup>
        <m:r>
          <m:rPr>
            <m:sty m:val="p"/>
          </m:rPr>
          <m:t>−</m:t>
        </m:r>
        <m:r>
          <m:t>C</m:t>
        </m:r>
        <m:r>
          <m:t>M</m:t>
        </m:r>
        <m:r>
          <m:t>g</m:t>
        </m:r>
        <m:r>
          <m:rPr>
            <m:sty m:val="p"/>
          </m:rPr>
          <m:t>)</m:t>
        </m:r>
        <m:r>
          <m:rPr>
            <m:sty m:val="p"/>
          </m:rPr>
          <m:t>×</m:t>
        </m:r>
        <m:sSup>
          <m:e>
            <m:r>
              <m:t>q</m:t>
            </m:r>
          </m:e>
          <m:sup>
            <m:r>
              <m:t>m</m:t>
            </m:r>
          </m:sup>
        </m:sSup>
        <m:r>
          <m:rPr>
            <m:sty m:val="p"/>
          </m:rPr>
          <m:t>−</m:t>
        </m:r>
        <m:r>
          <m:t>C</m:t>
        </m:r>
        <m:r>
          <m:t>F</m:t>
        </m:r>
        <m:r>
          <m:rPr>
            <m:sty m:val="p"/>
          </m:rPr>
          <m:t>=</m:t>
        </m:r>
        <m:r>
          <m:rPr>
            <m:sty m:val="p"/>
          </m:rPr>
          <m:t>(</m:t>
        </m:r>
        <m:r>
          <m:t>35</m:t>
        </m:r>
        <m:r>
          <m:rPr>
            <m:sty m:val="p"/>
          </m:rPr>
          <m:t>−</m:t>
        </m:r>
        <m:r>
          <m:t>10</m:t>
        </m:r>
        <m:r>
          <m:rPr>
            <m:sty m:val="p"/>
          </m:rPr>
          <m:t>)</m:t>
        </m:r>
        <m:r>
          <m:rPr>
            <m:sty m:val="p"/>
          </m:rPr>
          <m:t>(</m:t>
        </m:r>
        <m:r>
          <m:t>50</m:t>
        </m:r>
        <m:r>
          <m:rPr>
            <m:sty m:val="p"/>
          </m:rPr>
          <m:t>)</m:t>
        </m:r>
        <m:r>
          <m:rPr>
            <m:sty m:val="p"/>
          </m:rPr>
          <m:t>−</m:t>
        </m:r>
        <m:r>
          <m:t>500</m:t>
        </m:r>
        <m:r>
          <m:rPr>
            <m:sty m:val="p"/>
          </m:rPr>
          <m:t>=</m:t>
        </m:r>
        <m:r>
          <m:t>1.250</m:t>
        </m:r>
        <m:r>
          <m:rPr>
            <m:sty m:val="p"/>
          </m:rPr>
          <m:t>−</m:t>
        </m:r>
        <m:r>
          <m:t>500</m:t>
        </m:r>
        <m:r>
          <m:rPr>
            <m:sty m:val="p"/>
          </m:rPr>
          <m:t>=</m:t>
        </m:r>
        <m:r>
          <m:t>750</m:t>
        </m:r>
      </m:oMath>
      <w:r>
        <w:t xml:space="preserve">.</w:t>
      </w:r>
    </w:p>
    <w:p>
      <w:pPr>
        <w:pStyle w:val="BlockText"/>
      </w:pPr>
      <w:r>
        <w:t xml:space="preserve">$$</w:t>
      </w:r>
    </w:p>
    <w:p>
      <w:pPr>
        <w:pStyle w:val="BlockText"/>
      </w:pPr>
      <w:r>
        <w:t xml:space="preserve">q^m = 50,</w:t>
      </w:r>
      <w:r>
        <w:t xml:space="preserve"> </w:t>
      </w:r>
      <w:r>
        <w:t xml:space="preserve">p^m = 35,</w:t>
      </w:r>
      <w:r>
        <w:t xml:space="preserve"> </w:t>
      </w:r>
      <w:r>
        <w:t xml:space="preserve">^m = 750</w:t>
      </w:r>
    </w:p>
    <w:p>
      <w:pPr>
        <w:pStyle w:val="BlockText"/>
      </w:pPr>
      <w:r>
        <w:t xml:space="preserve">$$</w:t>
      </w:r>
    </w:p>
    <w:p>
      <w:pPr>
        <w:pStyle w:val="BlockText"/>
      </w:pPr>
      <w:r>
        <w:rPr>
          <w:b/>
          <w:bCs/>
        </w:rPr>
        <w:t xml:space="preserve">(b) Regulação first-best (</w:t>
      </w:r>
      <m:oMath>
        <m:r>
          <m:t>p</m:t>
        </m:r>
        <m:r>
          <m:rPr>
            <m:sty m:val="p"/>
          </m:rPr>
          <m:t>=</m:t>
        </m:r>
        <m:r>
          <m:t>C</m:t>
        </m:r>
        <m:r>
          <m:t>M</m:t>
        </m:r>
        <m:r>
          <m:t>g</m:t>
        </m:r>
        <m:r>
          <m:rPr>
            <m:sty m:val="p"/>
          </m:rPr>
          <m:t>=</m:t>
        </m:r>
        <m:r>
          <m:t>10</m:t>
        </m:r>
      </m:oMath>
      <w:r>
        <w:rPr>
          <w:b/>
          <w:bCs/>
        </w:rPr>
        <w:t xml:space="preserve">):</w:t>
      </w:r>
    </w:p>
    <w:p>
      <w:pPr>
        <w:pStyle w:val="BlockText"/>
      </w:pPr>
      <w:r>
        <w:t xml:space="preserve">$$</w:t>
      </w:r>
    </w:p>
    <w:p>
      <w:pPr>
        <w:pStyle w:val="BlockText"/>
      </w:pPr>
      <w:r>
        <w:t xml:space="preserve">10 = 60 - 0{,}5q</w:t>
      </w:r>
      <w:r>
        <w:t xml:space="preserve"> </w:t>
      </w:r>
      <w:r>
        <w:t xml:space="preserve">q^{fb} = 100,</w:t>
      </w:r>
      <w:r>
        <w:t xml:space="preserve"> </w:t>
      </w:r>
      <w:r>
        <w:t xml:space="preserve">p^{fb} = 10</w:t>
      </w:r>
    </w:p>
    <w:p>
      <w:pPr>
        <w:pStyle w:val="BlockText"/>
      </w:pPr>
      <w:r>
        <w:t xml:space="preserve">$$</w:t>
      </w:r>
    </w:p>
    <w:p>
      <w:pPr>
        <w:pStyle w:val="BlockText"/>
      </w:pPr>
      <m:oMath>
        <m:sSup>
          <m:e>
            <m:r>
              <m:t>π</m:t>
            </m:r>
          </m:e>
          <m:sup>
            <m:r>
              <m:t>f</m:t>
            </m:r>
            <m:r>
              <m:t>b</m:t>
            </m:r>
          </m:sup>
        </m:sSup>
        <m:r>
          <m:rPr>
            <m:sty m:val="p"/>
          </m:rPr>
          <m:t>=</m:t>
        </m:r>
        <m:r>
          <m:t>10</m:t>
        </m:r>
        <m:r>
          <m:rPr>
            <m:sty m:val="p"/>
          </m:rPr>
          <m:t>×</m:t>
        </m:r>
        <m:r>
          <m:t>100</m:t>
        </m:r>
        <m:r>
          <m:rPr>
            <m:sty m:val="p"/>
          </m:rPr>
          <m:t>−</m:t>
        </m:r>
        <m:r>
          <m:rPr>
            <m:sty m:val="p"/>
          </m:rPr>
          <m:t>(</m:t>
        </m:r>
        <m:r>
          <m:t>500</m:t>
        </m:r>
        <m:r>
          <m:rPr>
            <m:sty m:val="p"/>
          </m:rPr>
          <m:t>+</m:t>
        </m:r>
        <m:r>
          <m:t>1.000</m:t>
        </m:r>
        <m:r>
          <m:rPr>
            <m:sty m:val="p"/>
          </m:rPr>
          <m:t>)</m:t>
        </m:r>
        <m:r>
          <m:rPr>
            <m:sty m:val="p"/>
          </m:rPr>
          <m:t>=</m:t>
        </m:r>
        <m:r>
          <m:t>1.000</m:t>
        </m:r>
        <m:r>
          <m:rPr>
            <m:sty m:val="p"/>
          </m:rPr>
          <m:t>−</m:t>
        </m:r>
        <m:r>
          <m:t>1.500</m:t>
        </m:r>
        <m:r>
          <m:rPr>
            <m:sty m:val="p"/>
          </m:rPr>
          <m:t>=</m:t>
        </m:r>
        <m:r>
          <m:rPr>
            <m:sty m:val="p"/>
          </m:rPr>
          <m:t>−</m:t>
        </m:r>
        <m:r>
          <m:t>500</m:t>
        </m:r>
      </m:oMath>
      <w:r>
        <w:t xml:space="preserve">.</w:t>
      </w:r>
    </w:p>
    <w:p>
      <w:pPr>
        <w:pStyle w:val="BlockText"/>
      </w:pPr>
      <w:r>
        <w:t xml:space="preserve">O prejuízo de R$ 500 corresponde exatamente ao custo fixo: com</w:t>
      </w:r>
      <w:r>
        <w:t xml:space="preserve"> </w:t>
      </w:r>
      <m:oMath>
        <m:r>
          <m:t>p</m:t>
        </m:r>
        <m:r>
          <m:rPr>
            <m:sty m:val="p"/>
          </m:rPr>
          <m:t>=</m:t>
        </m:r>
        <m:r>
          <m:t>C</m:t>
        </m:r>
        <m:r>
          <m:t>M</m:t>
        </m:r>
        <m:r>
          <m:t>g</m:t>
        </m:r>
      </m:oMath>
      <w:r>
        <w:t xml:space="preserve">, a receita cobre apenas o custo variável. O governo precisaria subsidiar R$ 500 para manter a firma no mercado.</w:t>
      </w:r>
    </w:p>
    <w:p>
      <w:pPr>
        <w:pStyle w:val="BlockText"/>
      </w:pPr>
      <w:r>
        <w:rPr>
          <w:b/>
          <w:bCs/>
        </w:rPr>
        <w:t xml:space="preserve">(c) Regulação second-best (</w:t>
      </w:r>
      <m:oMath>
        <m:r>
          <m:t>p</m:t>
        </m:r>
        <m:r>
          <m:rPr>
            <m:sty m:val="p"/>
          </m:rPr>
          <m:t>=</m:t>
        </m:r>
        <m:r>
          <m:t>C</m:t>
        </m:r>
        <m:r>
          <m:t>M</m:t>
        </m:r>
        <m:r>
          <m:t>e</m:t>
        </m:r>
      </m:oMath>
      <w:r>
        <w:rPr>
          <w:b/>
          <w:bCs/>
        </w:rPr>
        <w:t xml:space="preserve">):</w:t>
      </w:r>
    </w:p>
    <w:p>
      <w:pPr>
        <w:pStyle w:val="BlockText"/>
      </w:pPr>
      <m:oMath>
        <m:r>
          <m:t>C</m:t>
        </m:r>
        <m:r>
          <m:t>M</m:t>
        </m:r>
        <m:r>
          <m:t>e</m:t>
        </m:r>
        <m:r>
          <m:rPr>
            <m:sty m:val="p"/>
          </m:rPr>
          <m:t>=</m:t>
        </m:r>
        <m:r>
          <m:t>500</m:t>
        </m:r>
        <m:r>
          <m:rPr>
            <m:sty m:val="p"/>
          </m:rPr>
          <m:t>/</m:t>
        </m:r>
        <m:r>
          <m:t>q</m:t>
        </m:r>
        <m:r>
          <m:rPr>
            <m:sty m:val="p"/>
          </m:rPr>
          <m:t>+</m:t>
        </m:r>
        <m:r>
          <m:t>10</m:t>
        </m:r>
      </m:oMath>
      <w:r>
        <w:t xml:space="preserve">. Igualando à demanda inversa:</w:t>
      </w:r>
    </w:p>
    <w:p>
      <w:pPr>
        <w:pStyle w:val="BlockText"/>
      </w:pPr>
      <w:r>
        <w:t xml:space="preserve">$$</w:t>
      </w:r>
    </w:p>
    <w:p>
      <w:pPr>
        <w:pStyle w:val="BlockText"/>
      </w:pPr>
      <w:r>
        <w:t xml:space="preserve">60 - 0{,}5q =</w:t>
      </w:r>
      <w:r>
        <w:t xml:space="preserve"> </w:t>
      </w:r>
      <w:r>
        <w:t xml:space="preserve"> </w:t>
      </w:r>
      <w:r>
        <w:t xml:space="preserve">+ 10</w:t>
      </w:r>
      <w:r>
        <w:t xml:space="preserve"> </w:t>
      </w:r>
      <w:r>
        <w:t xml:space="preserve"> </w:t>
      </w:r>
      <w:r>
        <w:t xml:space="preserve">- 0{,}5q =</w:t>
      </w:r>
      <w:r>
        <w:t xml:space="preserve"> </w:t>
      </w:r>
    </w:p>
    <w:p>
      <w:pPr>
        <w:pStyle w:val="BlockText"/>
      </w:pPr>
      <w:r>
        <w:t xml:space="preserve">$$</w:t>
      </w:r>
    </w:p>
    <w:p>
      <w:pPr>
        <w:pStyle w:val="BlockText"/>
      </w:pPr>
      <w:r>
        <w:t xml:space="preserve">$$</w:t>
      </w:r>
    </w:p>
    <w:p>
      <w:pPr>
        <w:pStyle w:val="BlockText"/>
      </w:pPr>
      <w:r>
        <w:t xml:space="preserve">50q - 0{,}5q^2 = 500</w:t>
      </w:r>
      <w:r>
        <w:t xml:space="preserve"> </w:t>
      </w:r>
      <w:r>
        <w:t xml:space="preserve">5q^2 - 50q + 500 = 0</w:t>
      </w:r>
      <w:r>
        <w:t xml:space="preserve"> </w:t>
      </w:r>
      <w:r>
        <w:t xml:space="preserve">q^2 - 100q + 1.000 = 0</w:t>
      </w:r>
    </w:p>
    <w:p>
      <w:pPr>
        <w:pStyle w:val="BlockText"/>
      </w:pPr>
      <w:r>
        <w:t xml:space="preserve">$$</w:t>
      </w:r>
    </w:p>
    <w:p>
      <w:pPr>
        <w:pStyle w:val="BlockText"/>
      </w:pPr>
      <w:r>
        <w:t xml:space="preserve">$$</w:t>
      </w:r>
    </w:p>
    <w:p>
      <w:pPr>
        <w:pStyle w:val="BlockText"/>
      </w:pPr>
      <w:r>
        <w:t xml:space="preserve">q =</w:t>
      </w:r>
      <w:r>
        <w:t xml:space="preserve"> </w:t>
      </w:r>
      <w:r>
        <w:t xml:space="preserve"> </w:t>
      </w:r>
      <w:r>
        <w:t xml:space="preserve">=</w:t>
      </w:r>
      <w:r>
        <w:t xml:space="preserve"> </w:t>
      </w:r>
      <w:r>
        <w:t xml:space="preserve"> </w:t>
      </w:r>
      <w:r>
        <w:t xml:space="preserve">=</w:t>
      </w:r>
      <w:r>
        <w:t xml:space="preserve"> </w:t>
      </w:r>
    </w:p>
    <w:p>
      <w:pPr>
        <w:pStyle w:val="BlockText"/>
      </w:pPr>
      <w:r>
        <w:t xml:space="preserve">$$</w:t>
      </w:r>
    </w:p>
    <w:p>
      <w:pPr>
        <w:pStyle w:val="BlockText"/>
      </w:pPr>
      <w:r>
        <w:t xml:space="preserve">Tomando a raiz maior (mais produção):</w:t>
      </w:r>
      <w:r>
        <w:t xml:space="preserve"> </w:t>
      </w:r>
      <m:oMath>
        <m:sSup>
          <m:e>
            <m:r>
              <m:t>q</m:t>
            </m:r>
          </m:e>
          <m:sup>
            <m:r>
              <m:t>s</m:t>
            </m:r>
            <m:r>
              <m:t>b</m:t>
            </m:r>
          </m:sup>
        </m:sSup>
        <m:r>
          <m:rPr>
            <m:sty m:val="p"/>
          </m:rPr>
          <m:t>≈</m:t>
        </m:r>
        <m:r>
          <m:t>88</m:t>
        </m:r>
        <m:r>
          <m:rPr>
            <m:sty m:val="p"/>
          </m:rPr>
          <m:t>,</m:t>
        </m:r>
        <m:r>
          <m:t>7</m:t>
        </m:r>
      </m:oMath>
      <w:r>
        <w:t xml:space="preserve">,</w:t>
      </w:r>
      <w:r>
        <w:t xml:space="preserve"> </w:t>
      </w:r>
      <m:oMath>
        <m:sSup>
          <m:e>
            <m:r>
              <m:t>p</m:t>
            </m:r>
          </m:e>
          <m:sup>
            <m:r>
              <m:t>s</m:t>
            </m:r>
            <m:r>
              <m:t>b</m:t>
            </m:r>
          </m:sup>
        </m:sSup>
        <m:r>
          <m:rPr>
            <m:sty m:val="p"/>
          </m:rPr>
          <m:t>=</m:t>
        </m:r>
        <m:r>
          <m:t>60</m:t>
        </m:r>
        <m:r>
          <m:rPr>
            <m:sty m:val="p"/>
          </m:rPr>
          <m:t>−</m:t>
        </m:r>
        <m:r>
          <m:t>44</m:t>
        </m:r>
        <m:r>
          <m:rPr>
            <m:sty m:val="p"/>
          </m:rPr>
          <m:t>,</m:t>
        </m:r>
        <m:r>
          <m:t>4</m:t>
        </m:r>
        <m:r>
          <m:rPr>
            <m:sty m:val="p"/>
          </m:rPr>
          <m:t>=</m:t>
        </m:r>
        <m:r>
          <m:t>15</m:t>
        </m:r>
        <m:r>
          <m:rPr>
            <m:sty m:val="p"/>
          </m:rPr>
          <m:t>,</m:t>
        </m:r>
        <m:r>
          <m:t>6</m:t>
        </m:r>
      </m:oMath>
      <w:r>
        <w:t xml:space="preserve">.</w:t>
      </w:r>
    </w:p>
    <w:p>
      <w:pPr>
        <w:pStyle w:val="BlockText"/>
      </w:pPr>
      <w:r>
        <w:t xml:space="preserve">Lucro:</w:t>
      </w:r>
      <w:r>
        <w:t xml:space="preserve"> </w:t>
      </w:r>
      <m:oMath>
        <m:sSup>
          <m:e>
            <m:r>
              <m:t>π</m:t>
            </m:r>
          </m:e>
          <m:sup>
            <m:r>
              <m:t>s</m:t>
            </m:r>
            <m:r>
              <m:t>b</m:t>
            </m:r>
          </m:sup>
        </m:sSup>
        <m:r>
          <m:rPr>
            <m:sty m:val="p"/>
          </m:rPr>
          <m:t>=</m:t>
        </m:r>
        <m:r>
          <m:t>0</m:t>
        </m:r>
      </m:oMath>
      <w:r>
        <w:t xml:space="preserve"> </w:t>
      </w:r>
      <w:r>
        <w:t xml:space="preserve">(por construção). A PPM residual é a área do triângulo entre</w:t>
      </w:r>
      <w:r>
        <w:t xml:space="preserve"> </w:t>
      </w:r>
      <m:oMath>
        <m:sSup>
          <m:e>
            <m:r>
              <m:t>q</m:t>
            </m:r>
          </m:e>
          <m:sup>
            <m:r>
              <m:t>s</m:t>
            </m:r>
            <m:r>
              <m:t>b</m:t>
            </m:r>
          </m:sup>
        </m:sSup>
      </m:oMath>
      <w:r>
        <w:t xml:space="preserve"> </w:t>
      </w:r>
      <w:r>
        <w:t xml:space="preserve">e</w:t>
      </w:r>
      <w:r>
        <w:t xml:space="preserve"> </w:t>
      </w:r>
      <m:oMath>
        <m:sSup>
          <m:e>
            <m:r>
              <m:t>q</m:t>
            </m:r>
          </m:e>
          <m:sup>
            <m:r>
              <m:t>f</m:t>
            </m:r>
            <m:r>
              <m:t>b</m:t>
            </m:r>
          </m:sup>
        </m:sSup>
      </m:oMath>
      <w:r>
        <w:t xml:space="preserve">:</w:t>
      </w:r>
    </w:p>
    <w:p>
      <w:pPr>
        <w:pStyle w:val="BlockText"/>
      </w:pPr>
      <w:r>
        <w:t xml:space="preserve">$$</w:t>
      </w:r>
    </w:p>
    <w:p>
      <w:pPr>
        <w:pStyle w:val="BlockText"/>
      </w:pPr>
      <w:r>
        <w:t xml:space="preserve">PPM^{sb} =</w:t>
      </w:r>
      <w:r>
        <w:t xml:space="preserve"> </w:t>
      </w:r>
      <w:r>
        <w:t xml:space="preserve">(p^{sb} - CMg)(q^{fb} - q^{sb}) =</w:t>
      </w:r>
      <w:r>
        <w:t xml:space="preserve"> </w:t>
      </w:r>
      <w:r>
        <w:t xml:space="preserve">(15{,}6 - 10)(100 - 88{,}7) =</w:t>
      </w:r>
      <w:r>
        <w:t xml:space="preserve"> </w:t>
      </w:r>
      <w:r>
        <w:t xml:space="preserve">(5{,}6)(11{,}3)</w:t>
      </w:r>
      <w:r>
        <w:t xml:space="preserve"> </w:t>
      </w:r>
      <w:r>
        <w:t xml:space="preserve">6</w:t>
      </w:r>
    </w:p>
    <w:p>
      <w:pPr>
        <w:pStyle w:val="BlockText"/>
      </w:pPr>
      <w:r>
        <w:t xml:space="preserve">$$</w:t>
      </w:r>
    </w:p>
    <w:p>
      <w:pPr>
        <w:pStyle w:val="BlockText"/>
      </w:pPr>
      <w:r>
        <w:t xml:space="preserve">Compare:</w:t>
      </w:r>
      <w:r>
        <w:t xml:space="preserve"> </w:t>
      </w:r>
      <m:oMath>
        <m:r>
          <m:t>P</m:t>
        </m:r>
        <m:r>
          <m:t>P</m:t>
        </m:r>
        <m:sSup>
          <m:e>
            <m:r>
              <m:t>M</m:t>
            </m:r>
          </m:e>
          <m:sup>
            <m:r>
              <m:t>m</m:t>
            </m:r>
          </m:sup>
        </m:sSup>
        <m:r>
          <m:rPr>
            <m:sty m:val="p"/>
          </m:rPr>
          <m:t>=</m:t>
        </m:r>
        <m:f>
          <m:fPr>
            <m:type m:val="bar"/>
          </m:fPr>
          <m:num>
            <m:r>
              <m:t>1</m:t>
            </m:r>
          </m:num>
          <m:den>
            <m:r>
              <m:t>2</m:t>
            </m:r>
          </m:den>
        </m:f>
        <m:r>
          <m:rPr>
            <m:sty m:val="p"/>
          </m:rPr>
          <m:t>(</m:t>
        </m:r>
        <m:r>
          <m:t>35</m:t>
        </m:r>
        <m:r>
          <m:rPr>
            <m:sty m:val="p"/>
          </m:rPr>
          <m:t>−</m:t>
        </m:r>
        <m:r>
          <m:t>10</m:t>
        </m:r>
        <m:r>
          <m:rPr>
            <m:sty m:val="p"/>
          </m:rPr>
          <m:t>)</m:t>
        </m:r>
        <m:r>
          <m:rPr>
            <m:sty m:val="p"/>
          </m:rPr>
          <m:t>(</m:t>
        </m:r>
        <m:r>
          <m:t>100</m:t>
        </m:r>
        <m:r>
          <m:rPr>
            <m:sty m:val="p"/>
          </m:rPr>
          <m:t>−</m:t>
        </m:r>
        <m:r>
          <m:t>50</m:t>
        </m:r>
        <m:r>
          <m:rPr>
            <m:sty m:val="p"/>
          </m:rPr>
          <m:t>)</m:t>
        </m:r>
        <m:r>
          <m:rPr>
            <m:sty m:val="p"/>
          </m:rPr>
          <m:t>=</m:t>
        </m:r>
        <m:r>
          <m:t>625</m:t>
        </m:r>
      </m:oMath>
      <w:r>
        <w:t xml:space="preserve">. A regulação</w:t>
      </w:r>
      <w:r>
        <w:t xml:space="preserve"> </w:t>
      </w:r>
      <w:r>
        <w:rPr>
          <w:i/>
          <w:iCs/>
        </w:rPr>
        <w:t xml:space="preserve">second-best</w:t>
      </w:r>
      <w:r>
        <w:t xml:space="preserve"> </w:t>
      </w:r>
      <w:r>
        <w:t xml:space="preserve">reduz a PPM de 625 para apenas 31,6 — uma melhoria de 95%.</w:t>
      </w:r>
    </w:p>
    <w:p>
      <w:pPr>
        <w:pStyle w:val="BlockText"/>
      </w:pPr>
      <w:r>
        <w:rPr>
          <w:b/>
          <w:bCs/>
        </w:rPr>
        <w:t xml:space="preserve">Interpretação:</w:t>
      </w:r>
      <w:r>
        <w:t xml:space="preserve"> </w:t>
      </w:r>
      <w:r>
        <w:t xml:space="preserve">A regulação por custo médio é o modelo adotado pela ANEEL para distribuidoras de energia no Brasil. Ela garante lucro zero para a concessionária enquanto expande significativamente o acesso, a um custo de eficiência relativamente baixo.</w:t>
      </w:r>
    </w:p>
    <w:p>
      <w:pPr>
        <w:pStyle w:val="FirstParagraph"/>
      </w:pPr>
      <w:r>
        <w:t xml:space="preserve">[FIGURA INTERATIVA: /micro-book/graficos/cap15/webr-regulacao.html — versao interativa disponivel online]</w:t>
      </w:r>
    </w:p>
    <w:p>
      <w:pPr>
        <w:pStyle w:val="BodyText"/>
      </w:pPr>
      <w:r>
        <w:rPr>
          <w:b/>
          <w:bCs/>
        </w:rPr>
        <w:t xml:space="preserve">WebR 15.4 — Três regimes de regulação: do monopólio ao first-best.</w:t>
      </w:r>
      <w:r>
        <w:t xml:space="preserve"> </w:t>
      </w:r>
      <w:r>
        <w:t xml:space="preserve">O código resolve o ER 15.7 completo: monopólio não regulado, regulação por custo marginal (first-best, com prejuízo) e regulação por custo médio (second-best, lucro zero). Compare os três pontos no gráfico e observe como a PPM cai 95% com a regulação second-best. Altere</w:t>
      </w:r>
      <w:r>
        <w:t xml:space="preserve"> </w:t>
      </w:r>
      <w:r>
        <w:rPr>
          <w:rStyle w:val="VerbatimChar"/>
        </w:rPr>
        <w:t xml:space="preserve">CF</w:t>
      </w:r>
      <w:r>
        <w:t xml:space="preserve"> </w:t>
      </w:r>
      <w:r>
        <w:t xml:space="preserve">para ver como o custo fixo afeta a viabilidade do first-best.</w:t>
      </w:r>
    </w:p>
    <w:p>
      <w:r>
        <w:pict>
          <v:rect style="width:0;height:1.5pt" o:hralign="center" o:hrstd="t" o:hr="t"/>
        </w:pict>
      </w:r>
    </w:p>
    <w:bookmarkEnd w:id="945"/>
    <w:bookmarkEnd w:id="946"/>
    <w:bookmarkStart w:id="949" w:name="Xa6aa8b8b6919d3b97d0f40c9eda85f5523c7dd2"/>
    <w:p>
      <w:pPr>
        <w:pStyle w:val="Heading3"/>
      </w:pPr>
      <w:r>
        <w:t xml:space="preserve">15.10 O Vilão Também Inova: Visões Dinâmicas do Monopólio</w:t>
      </w:r>
    </w:p>
    <w:p>
      <w:pPr>
        <w:pStyle w:val="FirstParagraph"/>
      </w:pPr>
      <w:r>
        <w:t xml:space="preserve">Hora de virar a mesa. Passamos o capítulo inteiro tratando o monopolista como o grande vilão da economia — e com razão: ele produz menos, cobra mais e destrói excedente. Mas e se o monopólio, visto com outros olhos, fosse também o motor que faz a economia avançar? A análise conduzida até aqui é predominantemente estática: comparamos o monopólio com a concorrência perfeita em um dado momento do tempo. Entretanto, quando adotamos uma perspectiva dinâmica — incorporando inovação, progresso tecnológico e entrada potencial —, o julgamento sobre os custos e benefícios do monopólio torna-se mais nuançado. Será que o monopólio é sempre prejudicial à sociedade, ou pode ele desempenhar um papel positivo como motor de inovação e progresso técnico? Essa questão, levantada originalmente por Joseph Schumpeter no contexto da Grande Depressão, permanece no centro dos debates contemporâneos sobre política antitruste — especialmente em setores tecnológicos dominados por grandes plataformas como Google, Amazon e Meta.</w:t>
      </w:r>
    </w:p>
    <w:bookmarkStart w:id="947" w:name="schumpeter-e-a-destruição-criativa"/>
    <w:p>
      <w:pPr>
        <w:pStyle w:val="Heading4"/>
      </w:pPr>
      <w:r>
        <w:t xml:space="preserve">Schumpeter e a destruição criativa</w:t>
      </w:r>
    </w:p>
    <w:p>
      <w:pPr>
        <w:pStyle w:val="FirstParagraph"/>
      </w:pPr>
      <w:r>
        <w:t xml:space="preserve">Joseph Schumpeter (1942) argumentou que o monopólio pode ser socialmente benéfico quando considerado em perspectiva dinâmica. Segundo essa visão:</w:t>
      </w:r>
    </w:p>
    <w:p>
      <w:pPr>
        <w:pStyle w:val="Compact"/>
        <w:numPr>
          <w:ilvl w:val="0"/>
          <w:numId w:val="1832"/>
        </w:numPr>
      </w:pPr>
      <w:r>
        <w:t xml:space="preserve">Lucros de monopólio são a</w:t>
      </w:r>
      <w:r>
        <w:t xml:space="preserve"> </w:t>
      </w:r>
      <w:r>
        <w:rPr>
          <w:b/>
          <w:bCs/>
        </w:rPr>
        <w:t xml:space="preserve">recompensa pela inovação</w:t>
      </w:r>
      <w:r>
        <w:t xml:space="preserve"> </w:t>
      </w:r>
      <w:r>
        <w:t xml:space="preserve">e constituem o incentivo fundamental para o progresso tecnológico. Sem a perspectiva de lucros extraordinários, as firmas não assumiriam os riscos e custos do investimento em pesquisa e desenvolvimento.</w:t>
      </w:r>
    </w:p>
    <w:p>
      <w:pPr>
        <w:pStyle w:val="Compact"/>
        <w:numPr>
          <w:ilvl w:val="0"/>
          <w:numId w:val="1832"/>
        </w:numPr>
      </w:pPr>
      <w:r>
        <w:t xml:space="preserve">A concorrência relevante não é a concorrência de preços estática, mas a</w:t>
      </w:r>
      <w:r>
        <w:t xml:space="preserve"> </w:t>
      </w:r>
      <w:r>
        <w:rPr>
          <w:b/>
          <w:bCs/>
        </w:rPr>
        <w:t xml:space="preserve">concorrência por inovação</w:t>
      </w:r>
      <w:r>
        <w:t xml:space="preserve"> </w:t>
      </w:r>
      <w:r>
        <w:t xml:space="preserve">— a</w:t>
      </w:r>
      <w:r>
        <w:t xml:space="preserve"> </w:t>
      </w:r>
      <w:r>
        <w:t xml:space="preserve">“destruição criativa”</w:t>
      </w:r>
      <w:r>
        <w:t xml:space="preserve"> </w:t>
      </w:r>
      <w:r>
        <w:t xml:space="preserve">pela qual novos produtos e processos tornam obsoletos os anteriores. O smartphone destruiu o mercado de câmeras fotográficas compactas; o streaming destruiu as videolocadoras; os aplicativos de transporte transformaram o mercado de táxis.</w:t>
      </w:r>
    </w:p>
    <w:p>
      <w:pPr>
        <w:pStyle w:val="Compact"/>
        <w:numPr>
          <w:ilvl w:val="0"/>
          <w:numId w:val="1832"/>
        </w:numPr>
      </w:pPr>
      <w:r>
        <w:t xml:space="preserve">Firmas com poder de mercado têm maiores recursos para investir em P&amp;D e podem proteger os frutos da inovação por mais tempo, o que fortalece os incentivos para inovar.</w:t>
      </w:r>
    </w:p>
    <w:p>
      <w:pPr>
        <w:pStyle w:val="FirstParagraph"/>
      </w:pPr>
      <w:r>
        <w:t xml:space="preserve">A hipótese schumpeteriana gerou extensa literatura empírica, com resultados ambíguos. A relação entre concentração de mercado e inovação parece seguir uma curva em U invertido (Aghion et al., 2005): algum grau de poder de mercado estimula a inovação, mas poder excessivo a inibe. Em setores com poder de mercado moderado, as firmas inovam mais para escapar da concorrência; em setores altamente concentrados, o incentivo diminui porque o incumbente já é lucrativo.</w:t>
      </w:r>
    </w:p>
    <w:bookmarkEnd w:id="947"/>
    <w:bookmarkStart w:id="948" w:name="mercados-contestáveis"/>
    <w:p>
      <w:pPr>
        <w:pStyle w:val="Heading4"/>
      </w:pPr>
      <w:r>
        <w:t xml:space="preserve">Mercados contestáveis</w:t>
      </w:r>
    </w:p>
    <w:p>
      <w:pPr>
        <w:pStyle w:val="FirstParagraph"/>
      </w:pPr>
      <w:r>
        <w:t xml:space="preserve">Baumol, Panzar e Willig (1982) propuseram a teoria dos</w:t>
      </w:r>
      <w:r>
        <w:t xml:space="preserve"> </w:t>
      </w:r>
      <w:r>
        <w:rPr>
          <w:b/>
          <w:bCs/>
        </w:rPr>
        <w:t xml:space="preserve">mercados contestáveis</w:t>
      </w:r>
      <w:r>
        <w:t xml:space="preserve">: se a entrada e a saída do mercado são livres e sem custos irrecuperáveis (sunk costs), a mera</w:t>
      </w:r>
      <w:r>
        <w:t xml:space="preserve"> </w:t>
      </w:r>
      <w:r>
        <w:rPr>
          <w:b/>
          <w:bCs/>
        </w:rPr>
        <w:t xml:space="preserve">ameaça</w:t>
      </w:r>
      <w:r>
        <w:t xml:space="preserve"> </w:t>
      </w:r>
      <w:r>
        <w:t xml:space="preserve">de entrada é suficiente para disciplinar o monopolista. Mesmo um monopolista cobraria preços competitivos se a entrada fosse perfeitamente livre.</w:t>
      </w:r>
    </w:p>
    <w:p>
      <w:pPr>
        <w:pStyle w:val="BlockText"/>
      </w:pPr>
      <w:r>
        <w:rPr>
          <w:b/>
          <w:bCs/>
        </w:rPr>
        <w:t xml:space="preserve">[DEFINICAO] Mercado Contestável</w:t>
      </w:r>
    </w:p>
    <w:p>
      <w:pPr>
        <w:pStyle w:val="BlockText"/>
      </w:pPr>
      <w:r>
        <w:t xml:space="preserve">Um mercado é</w:t>
      </w:r>
      <w:r>
        <w:t xml:space="preserve"> </w:t>
      </w:r>
      <w:r>
        <w:rPr>
          <w:b/>
          <w:bCs/>
        </w:rPr>
        <w:t xml:space="preserve">perfeitamente contestável</w:t>
      </w:r>
      <w:r>
        <w:t xml:space="preserve"> </w:t>
      </w:r>
      <w:r>
        <w:t xml:space="preserve">se: (i) não há custos irrecuperáveis de entrada e saída; (ii) entrantes potenciais têm acesso à mesma tecnologia do incumbente; (iii) consumidores respondem instantaneamente a diferenças de preço. Nessas condições, a ameaça de</w:t>
      </w:r>
      <w:r>
        <w:t xml:space="preserve"> </w:t>
      </w:r>
      <w:r>
        <w:t xml:space="preserve">“hit-and-run”</w:t>
      </w:r>
      <w:r>
        <w:t xml:space="preserve"> </w:t>
      </w:r>
      <w:r>
        <w:t xml:space="preserve">— entrada para capturar lucros seguida de saída — disciplina o incumbente.</w:t>
      </w:r>
    </w:p>
    <w:p>
      <w:pPr>
        <w:pStyle w:val="FirstParagraph"/>
      </w:pPr>
      <w:r>
        <w:t xml:space="preserve">Na prática, poucos mercados satisfazem essas condições rigorosas. Custos irrecuperáveis são a norma, não a exceção — fábricas, equipamentos especializados, marcas construídas ao longo de anos não podem ser recuperados à saída. Ainda assim, a teoria da contestabilidade fornece um benchmark útil e lembra que barreiras à entrada — não a estrutura de mercado per se — são o determinante fundamental do poder de mercado. Um mercado com uma única firma mas baixas barreiras à entrada pode ser mais competitivo do que um mercado com muitas firmas mas altas barreiras.</w:t>
      </w:r>
    </w:p>
    <w:p>
      <w:pPr>
        <w:pStyle w:val="BlockText"/>
      </w:pPr>
      <w:r>
        <w:rPr>
          <w:b/>
          <w:bCs/>
        </w:rPr>
        <w:t xml:space="preserve">[INTUICAO ECONOMICA] Intuição Econômica</w:t>
      </w:r>
    </w:p>
    <w:p>
      <w:pPr>
        <w:pStyle w:val="BlockText"/>
      </w:pPr>
      <w:r>
        <w:rPr>
          <w:b/>
          <w:bCs/>
        </w:rPr>
        <w:t xml:space="preserve">Em uma frase:</w:t>
      </w:r>
      <w:r>
        <w:t xml:space="preserve"> </w:t>
      </w:r>
      <w:r>
        <w:t xml:space="preserve">Para Schumpeter, os lucros de monopólio são o combustível da inovação — sem a promessa de lucros extraordinários, ninguém assume o risco de inventar algo novo.</w:t>
      </w:r>
    </w:p>
    <w:p>
      <w:pPr>
        <w:pStyle w:val="BlockText"/>
      </w:pPr>
      <w:r>
        <w:rPr>
          <w:b/>
          <w:bCs/>
        </w:rPr>
        <w:t xml:space="preserve">Pense assim:</w:t>
      </w:r>
      <w:r>
        <w:t xml:space="preserve"> </w:t>
      </w:r>
      <w:r>
        <w:t xml:space="preserve">Imagine que desenvolver um novo medicamento custa R$ 5 bilhões e leva 10 anos. Se, ao final do processo, qualquer concorrente pudesse copiar a fórmula e vender a preço de custo, nenhuma empresa investiria na pesquisa. A patente — que cria um monopólio temporário — é a</w:t>
      </w:r>
      <w:r>
        <w:t xml:space="preserve"> </w:t>
      </w:r>
      <w:r>
        <w:t xml:space="preserve">“cenoura”</w:t>
      </w:r>
      <w:r>
        <w:t xml:space="preserve"> </w:t>
      </w:r>
      <w:r>
        <w:t xml:space="preserve">que justifica o investimento. A perda de peso morto durante a vigência da patente é o</w:t>
      </w:r>
      <w:r>
        <w:t xml:space="preserve"> </w:t>
      </w:r>
      <w:r>
        <w:t xml:space="preserve">“preço”</w:t>
      </w:r>
      <w:r>
        <w:t xml:space="preserve"> </w:t>
      </w:r>
      <w:r>
        <w:t xml:space="preserve">que a sociedade paga pela inovação futura.</w:t>
      </w:r>
    </w:p>
    <w:p>
      <w:pPr>
        <w:pStyle w:val="BlockText"/>
      </w:pPr>
      <w:r>
        <w:rPr>
          <w:b/>
          <w:bCs/>
        </w:rPr>
        <w:t xml:space="preserve">Por que isso importa:</w:t>
      </w:r>
      <w:r>
        <w:t xml:space="preserve"> </w:t>
      </w:r>
      <w:r>
        <w:t xml:space="preserve">Esse argumento é central no debate sobre a duração de patentes farmacêuticas e sobre a regulação de big techs: punir poder de mercado de forma muito agressiva pode sufocar a inovação que gera bem-estar no longo prazo. A política antitruste ótima precisa equilibrar eficiência estática (eliminar PPM) e eficiência dinâmica (preservar incentivos à inovação).</w:t>
      </w:r>
    </w:p>
    <w:p>
      <w:pPr>
        <w:pStyle w:val="BlockText"/>
      </w:pPr>
      <w:r>
        <w:rPr>
          <w:b/>
          <w:bCs/>
        </w:rPr>
        <w:t xml:space="preserve">[EXERCICIO RESOLVIDO] Exercício Resolvido 15.8 — Inovação sob monopólio vs. concorrência (hipótese schumpeteriana)</w:t>
      </w:r>
    </w:p>
    <w:p>
      <w:pPr>
        <w:pStyle w:val="BlockText"/>
      </w:pPr>
      <w:r>
        <w:rPr>
          <w:b/>
          <w:bCs/>
        </w:rPr>
        <w:t xml:space="preserve">Enunciado.</w:t>
      </w:r>
      <w:r>
        <w:t xml:space="preserve"> </w:t>
      </w:r>
      <w:r>
        <w:t xml:space="preserve">Um monopolista farmacêutico pode investir</w:t>
      </w:r>
      <w:r>
        <w:t xml:space="preserve"> </w:t>
      </w:r>
      <m:oMath>
        <m:r>
          <m:t>I</m:t>
        </m:r>
      </m:oMath>
      <w:r>
        <w:t xml:space="preserve"> </w:t>
      </w:r>
      <w:r>
        <w:t xml:space="preserve">em P&amp;D, reduzindo seu custo marginal de</w:t>
      </w:r>
      <w:r>
        <w:t xml:space="preserve"> </w:t>
      </w:r>
      <m:oMath>
        <m:sSub>
          <m:e>
            <m:r>
              <m:t>c</m:t>
            </m:r>
          </m:e>
          <m:sub>
            <m:r>
              <m:t>0</m:t>
            </m:r>
          </m:sub>
        </m:sSub>
        <m:r>
          <m:rPr>
            <m:sty m:val="p"/>
          </m:rPr>
          <m:t>=</m:t>
        </m:r>
        <m:r>
          <m:t>40</m:t>
        </m:r>
      </m:oMath>
      <w:r>
        <w:t xml:space="preserve"> </w:t>
      </w:r>
      <w:r>
        <w:t xml:space="preserve">para</w:t>
      </w:r>
      <w:r>
        <w:t xml:space="preserve"> </w:t>
      </w:r>
      <m:oMath>
        <m:sSub>
          <m:e>
            <m:r>
              <m:t>c</m:t>
            </m:r>
          </m:e>
          <m:sub>
            <m:r>
              <m:t>1</m:t>
            </m:r>
          </m:sub>
        </m:sSub>
        <m:r>
          <m:rPr>
            <m:sty m:val="p"/>
          </m:rPr>
          <m:t>=</m:t>
        </m:r>
        <m:r>
          <m:t>40</m:t>
        </m:r>
        <m:r>
          <m:rPr>
            <m:sty m:val="p"/>
          </m:rPr>
          <m:t>−</m:t>
        </m:r>
        <m:rad>
          <m:radPr>
            <m:degHide m:val="on"/>
          </m:radPr>
          <m:deg/>
          <m:e>
            <m:r>
              <m:t>I</m:t>
            </m:r>
          </m:e>
        </m:rad>
      </m:oMath>
      <w:r>
        <w:t xml:space="preserve"> </w:t>
      </w:r>
      <w:r>
        <w:t xml:space="preserve">(com</w:t>
      </w:r>
      <w:r>
        <w:t xml:space="preserve"> </w:t>
      </w:r>
      <m:oMath>
        <m:r>
          <m:t>I</m:t>
        </m:r>
        <m:r>
          <m:rPr>
            <m:sty m:val="p"/>
          </m:rPr>
          <m:t>≤</m:t>
        </m:r>
        <m:r>
          <m:t>1.600</m:t>
        </m:r>
      </m:oMath>
      <w:r>
        <w:t xml:space="preserve">). A demanda é</w:t>
      </w:r>
      <w:r>
        <w:t xml:space="preserve"> </w:t>
      </w:r>
      <m:oMath>
        <m:r>
          <m:t>p</m:t>
        </m:r>
        <m:r>
          <m:rPr>
            <m:sty m:val="p"/>
          </m:rPr>
          <m:t>=</m:t>
        </m:r>
        <m:r>
          <m:t>100</m:t>
        </m:r>
        <m:r>
          <m:rPr>
            <m:sty m:val="p"/>
          </m:rPr>
          <m:t>−</m:t>
        </m:r>
        <m:r>
          <m:t>q</m:t>
        </m:r>
      </m:oMath>
      <w:r>
        <w:t xml:space="preserve">. (a) Qual o investimento ótimo em P&amp;D? (b) Se o mercado fosse competitivo e a inovação fosse imediatamente imitável (spillover total), qual seria o investimento? (c) Comente sobre a hipótese schumpeteriana.</w:t>
      </w:r>
    </w:p>
    <w:p>
      <w:r>
        <w:pict>
          <v:rect style="width:0;height:1.5pt" o:hralign="center" o:hrstd="t" o:hr="t"/>
        </w:pict>
      </w:r>
    </w:p>
    <w:p>
      <w:pPr>
        <w:pStyle w:val="BlockText"/>
      </w:pPr>
      <w:r>
        <w:rPr>
          <w:b/>
          <w:bCs/>
        </w:rPr>
        <w:t xml:space="preserve">(a)</w:t>
      </w:r>
      <w:r>
        <w:t xml:space="preserve"> </w:t>
      </w:r>
      <w:r>
        <w:t xml:space="preserve">Com CMg =</w:t>
      </w:r>
      <w:r>
        <w:t xml:space="preserve"> </w:t>
      </w:r>
      <m:oMath>
        <m:r>
          <m:t>40</m:t>
        </m:r>
        <m:r>
          <m:rPr>
            <m:sty m:val="p"/>
          </m:rPr>
          <m:t>−</m:t>
        </m:r>
        <m:rad>
          <m:radPr>
            <m:degHide m:val="on"/>
          </m:radPr>
          <m:deg/>
          <m:e>
            <m:r>
              <m:t>I</m:t>
            </m:r>
          </m:e>
        </m:rad>
      </m:oMath>
      <w:r>
        <w:t xml:space="preserve">, o monopolista resolve:</w:t>
      </w:r>
    </w:p>
    <w:p>
      <w:pPr>
        <w:pStyle w:val="BlockText"/>
      </w:pPr>
      <m:oMath>
        <m:r>
          <m:t>R</m:t>
        </m:r>
        <m:r>
          <m:t>M</m:t>
        </m:r>
        <m:r>
          <m:t>g</m:t>
        </m:r>
        <m:r>
          <m:rPr>
            <m:sty m:val="p"/>
          </m:rPr>
          <m:t>=</m:t>
        </m:r>
        <m:r>
          <m:t>100</m:t>
        </m:r>
        <m:r>
          <m:rPr>
            <m:sty m:val="p"/>
          </m:rPr>
          <m:t>−</m:t>
        </m:r>
        <m:r>
          <m:t>2</m:t>
        </m:r>
        <m:r>
          <m:t>q</m:t>
        </m:r>
        <m:r>
          <m:rPr>
            <m:sty m:val="p"/>
          </m:rPr>
          <m:t>=</m:t>
        </m:r>
        <m:r>
          <m:t>40</m:t>
        </m:r>
        <m:r>
          <m:rPr>
            <m:sty m:val="p"/>
          </m:rPr>
          <m:t>−</m:t>
        </m:r>
        <m:rad>
          <m:radPr>
            <m:degHide m:val="on"/>
          </m:radPr>
          <m:deg/>
          <m:e>
            <m:r>
              <m:t>I</m:t>
            </m:r>
          </m:e>
        </m:rad>
        <m:r>
          <m:rPr>
            <m:sty m:val="p"/>
          </m:rPr>
          <m:t>⟹</m:t>
        </m:r>
        <m:sSup>
          <m:e>
            <m:r>
              <m:t>q</m:t>
            </m:r>
          </m:e>
          <m:sup>
            <m:r>
              <m:t>m</m:t>
            </m:r>
          </m:sup>
        </m:sSup>
        <m:r>
          <m:rPr>
            <m:sty m:val="p"/>
          </m:rPr>
          <m:t>=</m:t>
        </m:r>
        <m:r>
          <m:t>30</m:t>
        </m:r>
        <m:r>
          <m:rPr>
            <m:sty m:val="p"/>
          </m:rPr>
          <m:t>+</m:t>
        </m:r>
        <m:f>
          <m:fPr>
            <m:type m:val="bar"/>
          </m:fPr>
          <m:num>
            <m:rad>
              <m:radPr>
                <m:degHide m:val="on"/>
              </m:radPr>
              <m:deg/>
              <m:e>
                <m:r>
                  <m:t>I</m:t>
                </m:r>
              </m:e>
            </m:rad>
          </m:num>
          <m:den>
            <m:r>
              <m:t>2</m:t>
            </m:r>
          </m:den>
        </m:f>
      </m:oMath>
      <w:r>
        <w:t xml:space="preserve">.</w:t>
      </w:r>
    </w:p>
    <w:p>
      <w:pPr>
        <w:pStyle w:val="BlockText"/>
      </w:pPr>
      <m:oMath>
        <m:sSup>
          <m:e>
            <m:r>
              <m:t>p</m:t>
            </m:r>
          </m:e>
          <m:sup>
            <m:r>
              <m:t>m</m:t>
            </m:r>
          </m:sup>
        </m:sSup>
        <m:r>
          <m:rPr>
            <m:sty m:val="p"/>
          </m:rPr>
          <m:t>=</m:t>
        </m:r>
        <m:r>
          <m:t>100</m:t>
        </m:r>
        <m:r>
          <m:rPr>
            <m:sty m:val="p"/>
          </m:rPr>
          <m:t>−</m:t>
        </m:r>
        <m:sSup>
          <m:e>
            <m:r>
              <m:t>q</m:t>
            </m:r>
          </m:e>
          <m:sup>
            <m:r>
              <m:t>m</m:t>
            </m:r>
          </m:sup>
        </m:sSup>
        <m:r>
          <m:rPr>
            <m:sty m:val="p"/>
          </m:rPr>
          <m:t>=</m:t>
        </m:r>
        <m:r>
          <m:t>70</m:t>
        </m:r>
        <m:r>
          <m:rPr>
            <m:sty m:val="p"/>
          </m:rPr>
          <m:t>−</m:t>
        </m:r>
        <m:f>
          <m:fPr>
            <m:type m:val="bar"/>
          </m:fPr>
          <m:num>
            <m:rad>
              <m:radPr>
                <m:degHide m:val="on"/>
              </m:radPr>
              <m:deg/>
              <m:e>
                <m:r>
                  <m:t>I</m:t>
                </m:r>
              </m:e>
            </m:rad>
          </m:num>
          <m:den>
            <m:r>
              <m:t>2</m:t>
            </m:r>
          </m:den>
        </m:f>
      </m:oMath>
      <w:r>
        <w:t xml:space="preserve">.</w:t>
      </w:r>
    </w:p>
    <w:p>
      <w:pPr>
        <w:pStyle w:val="BlockText"/>
      </w:pPr>
      <m:oMath>
        <m:r>
          <m:t>π</m:t>
        </m:r>
        <m:r>
          <m:rPr>
            <m:sty m:val="p"/>
          </m:rPr>
          <m:t>=</m:t>
        </m:r>
        <m:r>
          <m:rPr>
            <m:sty m:val="p"/>
          </m:rPr>
          <m:t>(</m:t>
        </m:r>
        <m:sSup>
          <m:e>
            <m:r>
              <m:t>p</m:t>
            </m:r>
          </m:e>
          <m:sup>
            <m:r>
              <m:t>m</m:t>
            </m:r>
          </m:sup>
        </m:sSup>
        <m:r>
          <m:rPr>
            <m:sty m:val="p"/>
          </m:rPr>
          <m:t>−</m:t>
        </m:r>
        <m:r>
          <m:t>C</m:t>
        </m:r>
        <m:r>
          <m:t>M</m:t>
        </m:r>
        <m:r>
          <m:t>g</m:t>
        </m:r>
        <m:r>
          <m:rPr>
            <m:sty m:val="p"/>
          </m:rPr>
          <m:t>)</m:t>
        </m:r>
        <m:r>
          <m:rPr>
            <m:sty m:val="p"/>
          </m:rPr>
          <m:t>⋅</m:t>
        </m:r>
        <m:sSup>
          <m:e>
            <m:r>
              <m:t>q</m:t>
            </m:r>
          </m:e>
          <m:sup>
            <m:r>
              <m:t>m</m:t>
            </m:r>
          </m:sup>
        </m:sSup>
        <m:r>
          <m:rPr>
            <m:sty m:val="p"/>
          </m:rPr>
          <m:t>−</m:t>
        </m:r>
        <m:r>
          <m:t>I</m:t>
        </m:r>
        <m:r>
          <m:rPr>
            <m:sty m:val="p"/>
          </m:rPr>
          <m:t>=</m:t>
        </m:r>
        <m:sSup>
          <m:e>
            <m:d>
              <m:dPr>
                <m:begChr m:val="("/>
                <m:sepChr m:val=""/>
                <m:endChr m:val=")"/>
                <m:grow/>
              </m:dPr>
              <m:e>
                <m:r>
                  <m:t>30</m:t>
                </m:r>
                <m:r>
                  <m:rPr>
                    <m:sty m:val="p"/>
                  </m:rPr>
                  <m:t>+</m:t>
                </m:r>
                <m:f>
                  <m:fPr>
                    <m:type m:val="bar"/>
                  </m:fPr>
                  <m:num>
                    <m:rad>
                      <m:radPr>
                        <m:degHide m:val="on"/>
                      </m:radPr>
                      <m:deg/>
                      <m:e>
                        <m:r>
                          <m:t>I</m:t>
                        </m:r>
                      </m:e>
                    </m:rad>
                  </m:num>
                  <m:den>
                    <m:r>
                      <m:t>2</m:t>
                    </m:r>
                  </m:den>
                </m:f>
              </m:e>
            </m:d>
          </m:e>
          <m:sup>
            <m:r>
              <m:t>2</m:t>
            </m:r>
          </m:sup>
        </m:sSup>
        <m:r>
          <m:rPr>
            <m:sty m:val="p"/>
          </m:rPr>
          <m:t>−</m:t>
        </m:r>
        <m:r>
          <m:t>I</m:t>
        </m:r>
      </m:oMath>
      <w:r>
        <w:t xml:space="preserve">.</w:t>
      </w:r>
    </w:p>
    <w:p>
      <w:pPr>
        <w:pStyle w:val="BlockText"/>
      </w:pPr>
      <w:r>
        <w:t xml:space="preserve">Seja</w:t>
      </w:r>
      <w:r>
        <w:t xml:space="preserve"> </w:t>
      </w:r>
      <m:oMath>
        <m:r>
          <m:t>s</m:t>
        </m:r>
        <m:r>
          <m:rPr>
            <m:sty m:val="p"/>
          </m:rPr>
          <m:t>=</m:t>
        </m:r>
        <m:rad>
          <m:radPr>
            <m:degHide m:val="on"/>
          </m:radPr>
          <m:deg/>
          <m:e>
            <m:r>
              <m:t>I</m:t>
            </m:r>
          </m:e>
        </m:rad>
      </m:oMath>
      <w:r>
        <w:t xml:space="preserve">:</w:t>
      </w:r>
    </w:p>
    <w:p>
      <w:pPr>
        <w:pStyle w:val="BlockText"/>
      </w:pPr>
      <m:oMath>
        <m:r>
          <m:t>π</m:t>
        </m:r>
        <m:r>
          <m:rPr>
            <m:sty m:val="p"/>
          </m:rPr>
          <m:t>(</m:t>
        </m:r>
        <m:r>
          <m:t>s</m:t>
        </m:r>
        <m:r>
          <m:rPr>
            <m:sty m:val="p"/>
          </m:rPr>
          <m:t>)</m:t>
        </m:r>
        <m:r>
          <m:rPr>
            <m:sty m:val="p"/>
          </m:rPr>
          <m:t>=</m:t>
        </m:r>
        <m:sSup>
          <m:e>
            <m:d>
              <m:dPr>
                <m:begChr m:val="("/>
                <m:sepChr m:val=""/>
                <m:endChr m:val=")"/>
                <m:grow/>
              </m:dPr>
              <m:e>
                <m:r>
                  <m:t>30</m:t>
                </m:r>
                <m:r>
                  <m:rPr>
                    <m:sty m:val="p"/>
                  </m:rPr>
                  <m:t>+</m:t>
                </m:r>
                <m:f>
                  <m:fPr>
                    <m:type m:val="bar"/>
                  </m:fPr>
                  <m:num>
                    <m:r>
                      <m:t>s</m:t>
                    </m:r>
                  </m:num>
                  <m:den>
                    <m:r>
                      <m:t>2</m:t>
                    </m:r>
                  </m:den>
                </m:f>
              </m:e>
            </m:d>
          </m:e>
          <m:sup>
            <m:r>
              <m:t>2</m:t>
            </m:r>
          </m:sup>
        </m:sSup>
        <m:r>
          <m:rPr>
            <m:sty m:val="p"/>
          </m:rPr>
          <m:t>−</m:t>
        </m:r>
        <m:sSup>
          <m:e>
            <m:r>
              <m:t>s</m:t>
            </m:r>
          </m:e>
          <m:sup>
            <m:r>
              <m:t>2</m:t>
            </m:r>
          </m:sup>
        </m:sSup>
        <m:r>
          <m:rPr>
            <m:sty m:val="p"/>
          </m:rPr>
          <m:t>=</m:t>
        </m:r>
        <m:r>
          <m:t>900</m:t>
        </m:r>
        <m:r>
          <m:rPr>
            <m:sty m:val="p"/>
          </m:rPr>
          <m:t>+</m:t>
        </m:r>
        <m:r>
          <m:t>30</m:t>
        </m:r>
        <m:r>
          <m:t>s</m:t>
        </m:r>
        <m:r>
          <m:rPr>
            <m:sty m:val="p"/>
          </m:rPr>
          <m:t>+</m:t>
        </m:r>
        <m:f>
          <m:fPr>
            <m:type m:val="bar"/>
          </m:fPr>
          <m:num>
            <m:sSup>
              <m:e>
                <m:r>
                  <m:t>s</m:t>
                </m:r>
              </m:e>
              <m:sup>
                <m:r>
                  <m:t>2</m:t>
                </m:r>
              </m:sup>
            </m:sSup>
          </m:num>
          <m:den>
            <m:r>
              <m:t>4</m:t>
            </m:r>
          </m:den>
        </m:f>
        <m:r>
          <m:rPr>
            <m:sty m:val="p"/>
          </m:rPr>
          <m:t>−</m:t>
        </m:r>
        <m:sSup>
          <m:e>
            <m:r>
              <m:t>s</m:t>
            </m:r>
          </m:e>
          <m:sup>
            <m:r>
              <m:t>2</m:t>
            </m:r>
          </m:sup>
        </m:sSup>
        <m:r>
          <m:rPr>
            <m:sty m:val="p"/>
          </m:rPr>
          <m:t>=</m:t>
        </m:r>
        <m:r>
          <m:t>900</m:t>
        </m:r>
        <m:r>
          <m:rPr>
            <m:sty m:val="p"/>
          </m:rPr>
          <m:t>+</m:t>
        </m:r>
        <m:r>
          <m:t>30</m:t>
        </m:r>
        <m:r>
          <m:t>s</m:t>
        </m:r>
        <m:r>
          <m:rPr>
            <m:sty m:val="p"/>
          </m:rPr>
          <m:t>−</m:t>
        </m:r>
        <m:f>
          <m:fPr>
            <m:type m:val="bar"/>
          </m:fPr>
          <m:num>
            <m:r>
              <m:t>3</m:t>
            </m:r>
            <m:sSup>
              <m:e>
                <m:r>
                  <m:t>s</m:t>
                </m:r>
              </m:e>
              <m:sup>
                <m:r>
                  <m:t>2</m:t>
                </m:r>
              </m:sup>
            </m:sSup>
          </m:num>
          <m:den>
            <m:r>
              <m:t>4</m:t>
            </m:r>
          </m:den>
        </m:f>
      </m:oMath>
      <w:r>
        <w:t xml:space="preserve">.</w:t>
      </w:r>
    </w:p>
    <w:p>
      <w:pPr>
        <w:pStyle w:val="BlockText"/>
      </w:pPr>
      <m:oMath>
        <m:f>
          <m:fPr>
            <m:type m:val="bar"/>
          </m:fPr>
          <m:num>
            <m:r>
              <m:t>d</m:t>
            </m:r>
            <m:r>
              <m:t>π</m:t>
            </m:r>
          </m:num>
          <m:den>
            <m:r>
              <m:t>d</m:t>
            </m:r>
            <m:r>
              <m:t>s</m:t>
            </m:r>
          </m:den>
        </m:f>
        <m:r>
          <m:rPr>
            <m:sty m:val="p"/>
          </m:rPr>
          <m:t>=</m:t>
        </m:r>
        <m:r>
          <m:t>30</m:t>
        </m:r>
        <m:r>
          <m:rPr>
            <m:sty m:val="p"/>
          </m:rPr>
          <m:t>−</m:t>
        </m:r>
        <m:f>
          <m:fPr>
            <m:type m:val="bar"/>
          </m:fPr>
          <m:num>
            <m:r>
              <m:t>3</m:t>
            </m:r>
            <m:r>
              <m:t>s</m:t>
            </m:r>
          </m:num>
          <m:den>
            <m:r>
              <m:t>2</m:t>
            </m:r>
          </m:den>
        </m:f>
        <m:r>
          <m:rPr>
            <m:sty m:val="p"/>
          </m:rPr>
          <m:t>=</m:t>
        </m:r>
        <m:r>
          <m:t>0</m:t>
        </m:r>
        <m:r>
          <m:rPr>
            <m:sty m:val="p"/>
          </m:rPr>
          <m:t>⟹</m:t>
        </m:r>
        <m:sSup>
          <m:e>
            <m:r>
              <m:t>s</m:t>
            </m:r>
          </m:e>
          <m:sup>
            <m:r>
              <m:rPr>
                <m:sty m:val="p"/>
              </m:rPr>
              <m:t>*</m:t>
            </m:r>
          </m:sup>
        </m:sSup>
        <m:r>
          <m:rPr>
            <m:sty m:val="p"/>
          </m:rPr>
          <m:t>=</m:t>
        </m:r>
        <m:r>
          <m:t>20</m:t>
        </m:r>
        <m:r>
          <m:rPr>
            <m:sty m:val="p"/>
          </m:rPr>
          <m:t>⟹</m:t>
        </m:r>
        <m:sSup>
          <m:e>
            <m:r>
              <m:t>I</m:t>
            </m:r>
          </m:e>
          <m:sup>
            <m:r>
              <m:rPr>
                <m:sty m:val="p"/>
              </m:rPr>
              <m:t>*</m:t>
            </m:r>
          </m:sup>
        </m:sSup>
        <m:r>
          <m:rPr>
            <m:sty m:val="p"/>
          </m:rPr>
          <m:t>=</m:t>
        </m:r>
        <m:r>
          <m:t>400</m:t>
        </m:r>
      </m:oMath>
      <w:r>
        <w:t xml:space="preserve">.</w:t>
      </w:r>
    </w:p>
    <w:p>
      <w:pPr>
        <w:pStyle w:val="BlockText"/>
      </w:pPr>
      <w:r>
        <w:t xml:space="preserve">Resultado: CMg cai para 20,</w:t>
      </w:r>
      <w:r>
        <w:t xml:space="preserve"> </w:t>
      </w:r>
      <m:oMath>
        <m:sSup>
          <m:e>
            <m:r>
              <m:t>q</m:t>
            </m:r>
          </m:e>
          <m:sup>
            <m:r>
              <m:t>m</m:t>
            </m:r>
          </m:sup>
        </m:sSup>
        <m:r>
          <m:rPr>
            <m:sty m:val="p"/>
          </m:rPr>
          <m:t>=</m:t>
        </m:r>
        <m:r>
          <m:t>40</m:t>
        </m:r>
      </m:oMath>
      <w:r>
        <w:t xml:space="preserve">,</w:t>
      </w:r>
      <w:r>
        <w:t xml:space="preserve"> </w:t>
      </w:r>
      <m:oMath>
        <m:sSup>
          <m:e>
            <m:r>
              <m:t>p</m:t>
            </m:r>
          </m:e>
          <m:sup>
            <m:r>
              <m:t>m</m:t>
            </m:r>
          </m:sup>
        </m:sSup>
        <m:r>
          <m:rPr>
            <m:sty m:val="p"/>
          </m:rPr>
          <m:t>=</m:t>
        </m:r>
        <m:r>
          <m:t>60</m:t>
        </m:r>
      </m:oMath>
      <w:r>
        <w:t xml:space="preserve">,</w:t>
      </w:r>
      <w:r>
        <w:t xml:space="preserve"> </w:t>
      </w:r>
      <m:oMath>
        <m:r>
          <m:t>π</m:t>
        </m:r>
        <m:r>
          <m:rPr>
            <m:sty m:val="p"/>
          </m:rPr>
          <m:t>=</m:t>
        </m:r>
        <m:r>
          <m:t>1.200</m:t>
        </m:r>
      </m:oMath>
      <w:r>
        <w:t xml:space="preserve"> </w:t>
      </w:r>
      <w:r>
        <w:t xml:space="preserve">(líquido de I).</w:t>
      </w:r>
    </w:p>
    <w:p>
      <w:pPr>
        <w:pStyle w:val="BlockText"/>
      </w:pPr>
      <w:r>
        <w:rPr>
          <w:b/>
          <w:bCs/>
        </w:rPr>
        <w:t xml:space="preserve">(b)</w:t>
      </w:r>
      <w:r>
        <w:t xml:space="preserve"> </w:t>
      </w:r>
      <w:r>
        <w:t xml:space="preserve">Sob concorrência com spillover total, qualquer redução de custo é imediatamente copiada. Como</w:t>
      </w:r>
      <w:r>
        <w:t xml:space="preserve"> </w:t>
      </w:r>
      <m:oMath>
        <m:r>
          <m:t>p</m:t>
        </m:r>
        <m:r>
          <m:rPr>
            <m:sty m:val="p"/>
          </m:rPr>
          <m:t>=</m:t>
        </m:r>
        <m:r>
          <m:t>C</m:t>
        </m:r>
        <m:r>
          <m:t>M</m:t>
        </m:r>
        <m:r>
          <m:t>g</m:t>
        </m:r>
      </m:oMath>
      <w:r>
        <w:t xml:space="preserve"> </w:t>
      </w:r>
      <w:r>
        <w:t xml:space="preserve">e</w:t>
      </w:r>
      <w:r>
        <w:t xml:space="preserve"> </w:t>
      </w:r>
      <m:oMath>
        <m:r>
          <m:t>π</m:t>
        </m:r>
        <m:r>
          <m:rPr>
            <m:sty m:val="p"/>
          </m:rPr>
          <m:t>=</m:t>
        </m:r>
        <m:r>
          <m:t>0</m:t>
        </m:r>
      </m:oMath>
      <w:r>
        <w:t xml:space="preserve">, nenhuma firma recupera o investimento. Logo</w:t>
      </w:r>
      <w:r>
        <w:t xml:space="preserve"> </w:t>
      </w:r>
      <m:oMath>
        <m:sSup>
          <m:e>
            <m:r>
              <m:t>I</m:t>
            </m:r>
          </m:e>
          <m:sup>
            <m:r>
              <m:rPr>
                <m:sty m:val="p"/>
              </m:rPr>
              <m:t>*</m:t>
            </m:r>
          </m:sup>
        </m:sSup>
        <m:r>
          <m:rPr>
            <m:sty m:val="p"/>
          </m:rPr>
          <m:t>=</m:t>
        </m:r>
        <m:r>
          <m:t>0</m:t>
        </m:r>
      </m:oMath>
      <w:r>
        <w:t xml:space="preserve">.</w:t>
      </w:r>
    </w:p>
    <w:p>
      <w:pPr>
        <w:pStyle w:val="BlockText"/>
      </w:pPr>
      <w:r>
        <w:rPr>
          <w:b/>
          <w:bCs/>
        </w:rPr>
        <w:t xml:space="preserve">(c)</w:t>
      </w:r>
      <w:r>
        <w:t xml:space="preserve"> </w:t>
      </w:r>
      <w:r>
        <w:t xml:space="preserve">Este resultado ilustra a hipótese schumpeteriana: o monopolista investe 400 em P&amp;D (reduzindo o custo marginal pela metade), enquanto o mercado competitivo não investe nada. O poder de mercado é a</w:t>
      </w:r>
      <w:r>
        <w:t xml:space="preserve"> </w:t>
      </w:r>
      <w:r>
        <w:t xml:space="preserve">“recompensa”</w:t>
      </w:r>
      <w:r>
        <w:t xml:space="preserve"> </w:t>
      </w:r>
      <w:r>
        <w:t xml:space="preserve">que viabiliza a inovação. Contudo, o argumento depende criticamente da hipótese de spillover total; na prática, patentes e segredos industriais permitem que firmas competitivas também se apropriem de inovações, atenuando a vantagem schumpeteriana do monopólio.</w:t>
      </w:r>
    </w:p>
    <w:p>
      <w:pPr>
        <w:pStyle w:val="FirstParagraph"/>
      </w:pPr>
      <w:r>
        <w:t xml:space="preserve">[FIGURA INTERATIVA: /micro-book/graficos/cap15/webr-inovacao-schumpeter.html — versao interativa disponivel online]</w:t>
      </w:r>
    </w:p>
    <w:p>
      <w:pPr>
        <w:pStyle w:val="BodyText"/>
      </w:pPr>
      <w:r>
        <w:rPr>
          <w:b/>
          <w:bCs/>
        </w:rPr>
        <w:t xml:space="preserve">WebR 15.5 — O vilão também inova: P&amp;D sob monopólio.</w:t>
      </w:r>
      <w:r>
        <w:t xml:space="preserve"> </w:t>
      </w:r>
      <w:r>
        <w:t xml:space="preserve">O código implementa o ER 15.8: o monopolista escolhe quanto investir em P&amp;D para reduzir seu custo marginal. Compare o investimento ótimo (</w:t>
      </w:r>
      <m:oMath>
        <m:sSup>
          <m:e>
            <m:r>
              <m:t>I</m:t>
            </m:r>
          </m:e>
          <m:sup>
            <m:r>
              <m:rPr>
                <m:sty m:val="p"/>
              </m:rPr>
              <m:t>*</m:t>
            </m:r>
          </m:sup>
        </m:sSup>
        <m:r>
          <m:rPr>
            <m:sty m:val="p"/>
          </m:rPr>
          <m:t>=</m:t>
        </m:r>
        <m:r>
          <m:t>400</m:t>
        </m:r>
      </m:oMath>
      <w:r>
        <w:t xml:space="preserve">) com o investimento zero da concorrência com spillover total. Altere</w:t>
      </w:r>
      <w:r>
        <w:t xml:space="preserve"> </w:t>
      </w:r>
      <w:r>
        <w:rPr>
          <w:rStyle w:val="VerbatimChar"/>
        </w:rPr>
        <w:t xml:space="preserve">c0</w:t>
      </w:r>
      <w:r>
        <w:t xml:space="preserve"> </w:t>
      </w:r>
      <w:r>
        <w:t xml:space="preserve">e observe como o incentivo à inovação muda com o nível inicial de custo.</w:t>
      </w:r>
    </w:p>
    <w:p>
      <w:r>
        <w:pict>
          <v:rect style="width:0;height:1.5pt" o:hralign="center" o:hrstd="t" o:hr="t"/>
        </w:pict>
      </w:r>
    </w:p>
    <w:p>
      <w:pPr>
        <w:pStyle w:val="FirstParagraph"/>
      </w:pPr>
      <w:r>
        <w:t xml:space="preserve">Abrimos o capítulo com um único vendedor, zero concorrência e um sorriso no rosto. Ao longo da análise, vimos que esse sorriso tem consequências: preço acima do custo marginal, produção abaixo do socialmente desejável e uma perda de peso morto que ninguém captura. Mas também vimos que o monopólio não é um vilão unidimensional — Schumpeter nos lembrou que, sem a promessa de lucros extraordinários, talvez não houvesse iPhone, Netflix nem vacina de mRNA.</w:t>
      </w:r>
    </w:p>
    <w:p>
      <w:pPr>
        <w:pStyle w:val="BodyText"/>
      </w:pPr>
      <w:r>
        <w:rPr>
          <w:i/>
          <w:iCs/>
        </w:rPr>
        <w:t xml:space="preserve">O monopolista reina sozinho. Mas e quando há dois? Três? Poucos — e isso muda tudo. É o próximo capítulo.</w:t>
      </w:r>
    </w:p>
    <w:bookmarkEnd w:id="948"/>
    <w:bookmarkEnd w:id="949"/>
    <w:bookmarkEnd w:id="950"/>
    <w:bookmarkStart w:id="958" w:name="exercícios-e-anpec-capítulo-15"/>
    <w:p>
      <w:pPr>
        <w:pStyle w:val="Heading2"/>
      </w:pPr>
      <w:r>
        <w:t xml:space="preserve">Exercícios e ANPEC — Capítulo 15</w:t>
      </w:r>
    </w:p>
    <w:p>
      <w:pPr>
        <w:pStyle w:val="BlockText"/>
      </w:pPr>
      <w:r>
        <w:rPr>
          <w:b/>
          <w:bCs/>
        </w:rPr>
        <w:t xml:space="preserve">[DICA] Dados para exercicios empiricos</w:t>
      </w:r>
    </w:p>
    <w:p>
      <w:pPr>
        <w:pStyle w:val="Compact"/>
        <w:numPr>
          <w:ilvl w:val="0"/>
          <w:numId w:val="1833"/>
        </w:numPr>
      </w:pPr>
      <w:r>
        <w:rPr>
          <w:b/>
          <w:bCs/>
        </w:rPr>
        <w:t xml:space="preserve">ANEEL (tarifas de energia):</w:t>
      </w:r>
      <w:r>
        <w:t xml:space="preserve"> </w:t>
      </w:r>
      <w:hyperlink r:id="rId730">
        <w:r>
          <w:rPr>
            <w:rStyle w:val="Hyperlink"/>
          </w:rPr>
          <w:t xml:space="preserve">aneel.gov.br/dados-abertos</w:t>
        </w:r>
      </w:hyperlink>
      <w:r>
        <w:t xml:space="preserve"> </w:t>
      </w:r>
      <w:r>
        <w:t xml:space="preserve">— Tarifas por distribuidora para calcular indices de Lerner e avaliar regulacao de monopolio natural (price cap vs. taxa de retorno).</w:t>
      </w:r>
    </w:p>
    <w:p>
      <w:pPr>
        <w:pStyle w:val="Compact"/>
        <w:numPr>
          <w:ilvl w:val="0"/>
          <w:numId w:val="1833"/>
        </w:numPr>
      </w:pPr>
      <w:r>
        <w:rPr>
          <w:b/>
          <w:bCs/>
        </w:rPr>
        <w:t xml:space="preserve">CADE (atos de concentracao):</w:t>
      </w:r>
      <w:r>
        <w:t xml:space="preserve"> </w:t>
      </w:r>
      <w:hyperlink r:id="rId951">
        <w:r>
          <w:rPr>
            <w:rStyle w:val="Hyperlink"/>
          </w:rPr>
          <w:t xml:space="preserve">cade.gov.br</w:t>
        </w:r>
      </w:hyperlink>
      <w:r>
        <w:t xml:space="preserve"> </w:t>
      </w:r>
      <w:r>
        <w:t xml:space="preserve">— Pareceres publicos sobre monopolio e abuso de posicao dominante. Analise o caso Ambev ou da Souza Cruz.</w:t>
      </w:r>
    </w:p>
    <w:p>
      <w:pPr>
        <w:pStyle w:val="Compact"/>
        <w:numPr>
          <w:ilvl w:val="0"/>
          <w:numId w:val="1833"/>
        </w:numPr>
      </w:pPr>
      <w:r>
        <w:rPr>
          <w:b/>
          <w:bCs/>
        </w:rPr>
        <w:t xml:space="preserve">ANS (planos de saude):</w:t>
      </w:r>
      <w:r>
        <w:t xml:space="preserve"> </w:t>
      </w:r>
      <w:hyperlink r:id="rId952">
        <w:r>
          <w:rPr>
            <w:rStyle w:val="Hyperlink"/>
          </w:rPr>
          <w:t xml:space="preserve">ans.gov.br/dados-abertos</w:t>
        </w:r>
      </w:hyperlink>
      <w:r>
        <w:t xml:space="preserve"> </w:t>
      </w:r>
      <w:r>
        <w:t xml:space="preserve">— Dados de concentracao de mercado por municipio para identificar monopolios regionais em saude.</w:t>
      </w:r>
    </w:p>
    <w:bookmarkStart w:id="953" w:name="revisão-rápida-14"/>
    <w:p>
      <w:pPr>
        <w:pStyle w:val="Heading3"/>
      </w:pPr>
      <w:r>
        <w:t xml:space="preserve">Revisão Rápida</w:t>
      </w:r>
    </w:p>
    <w:p>
      <w:pPr>
        <w:pStyle w:val="FirstParagraph"/>
      </w:pPr>
      <w:r>
        <w:t xml:space="preserve">Teste seu entendimento dos conceitos centrais deste capítulo.</w:t>
      </w:r>
    </w:p>
    <w:p>
      <w:pPr>
        <w:pStyle w:val="BlockText"/>
      </w:pPr>
      <w:r>
        <w:rPr>
          <w:b/>
          <w:bCs/>
        </w:rPr>
        <w:t xml:space="preserve">[QUESTAO] 1. O monopolista maximiza lucro igualando receita marginal ao custo marginal. A receita marginal é menor que o preço porque:</w:t>
      </w:r>
    </w:p>
    <w:p>
      <w:pPr>
        <w:pStyle w:val="Compact"/>
        <w:numPr>
          <w:ilvl w:val="0"/>
          <w:numId w:val="1834"/>
        </w:numPr>
      </w:pPr>
    </w:p>
    <w:p>
      <w:pPr>
        <w:pStyle w:val="Compact"/>
        <w:numPr>
          <w:ilvl w:val="1"/>
          <w:numId w:val="1835"/>
        </w:numPr>
      </w:pPr>
      <w:r>
        <w:t xml:space="preserve">O monopolista opera com custos mais altos que firmas competitivas</w:t>
      </w:r>
    </w:p>
    <w:p>
      <w:pPr>
        <w:pStyle w:val="Compact"/>
        <w:numPr>
          <w:ilvl w:val="0"/>
          <w:numId w:val="1834"/>
        </w:numPr>
      </w:pPr>
    </w:p>
    <w:p>
      <w:pPr>
        <w:pStyle w:val="Compact"/>
        <w:numPr>
          <w:ilvl w:val="1"/>
          <w:numId w:val="1836"/>
        </w:numPr>
      </w:pPr>
      <w:r>
        <w:t xml:space="preserve">Para vender uma unidade adicional, o monopolista deve reduzir o preço de todas as unidades, gerando um efeito negativo sobre a receita das unidades inframarginais</w:t>
      </w:r>
    </w:p>
    <w:p>
      <w:pPr>
        <w:pStyle w:val="Compact"/>
        <w:numPr>
          <w:ilvl w:val="0"/>
          <w:numId w:val="1834"/>
        </w:numPr>
      </w:pPr>
    </w:p>
    <w:p>
      <w:pPr>
        <w:pStyle w:val="Compact"/>
        <w:numPr>
          <w:ilvl w:val="1"/>
          <w:numId w:val="1837"/>
        </w:numPr>
      </w:pPr>
      <w:r>
        <w:t xml:space="preserve">O governo taxa a receita do monopolista</w:t>
      </w:r>
    </w:p>
    <w:p>
      <w:pPr>
        <w:pStyle w:val="Compact"/>
        <w:numPr>
          <w:ilvl w:val="0"/>
          <w:numId w:val="1834"/>
        </w:numPr>
      </w:pPr>
    </w:p>
    <w:p>
      <w:pPr>
        <w:pStyle w:val="Compact"/>
        <w:numPr>
          <w:ilvl w:val="1"/>
          <w:numId w:val="1838"/>
        </w:numPr>
      </w:pPr>
      <w:r>
        <w:t xml:space="preserve">A demanda pelo bem do monopolista é perfeitamente elástica</w:t>
      </w:r>
    </w:p>
    <w:p>
      <w:pPr>
        <w:pStyle w:val="BlockText"/>
      </w:pPr>
      <w:r>
        <w:t xml:space="preserve">??? success</w:t>
      </w:r>
      <w:r>
        <w:t xml:space="preserve"> </w:t>
      </w:r>
      <w:r>
        <w:t xml:space="preserve">“Resposta”</w:t>
      </w:r>
      <w:r>
        <w:t xml:space="preserve"> </w:t>
      </w:r>
      <w:r>
        <w:rPr>
          <w:b/>
          <w:bCs/>
        </w:rPr>
        <w:t xml:space="preserve">(b)</w:t>
      </w:r>
      <w:r>
        <w:t xml:space="preserve"> </w:t>
      </w:r>
      <w:r>
        <w:t xml:space="preserve">Diferentemente da firma competitiva (que é tomadora de preço), o monopolista enfrenta toda a curva de demanda. Vender mais exige reduzir o preço, o que diminui a receita das unidades já vendidas. Assim,</w:t>
      </w:r>
      <w:r>
        <w:t xml:space="preserve"> </w:t>
      </w:r>
      <m:oMath>
        <m:r>
          <m:rPr>
            <m:nor/>
            <m:sty m:val="p"/>
          </m:rPr>
          <m:t>RMg</m:t>
        </m:r>
        <m:r>
          <m:rPr>
            <m:sty m:val="p"/>
          </m:rPr>
          <m:t>=</m:t>
        </m:r>
        <m:r>
          <m:t>p</m:t>
        </m:r>
        <m:r>
          <m:rPr>
            <m:sty m:val="p"/>
          </m:rPr>
          <m:t>+</m:t>
        </m:r>
        <m:r>
          <m:t>q</m:t>
        </m:r>
        <m:r>
          <m:rPr>
            <m:sty m:val="p"/>
          </m:rPr>
          <m:t>⋅</m:t>
        </m:r>
        <m:r>
          <m:t>d</m:t>
        </m:r>
        <m:r>
          <m:t>p</m:t>
        </m:r>
        <m:r>
          <m:rPr>
            <m:sty m:val="p"/>
          </m:rPr>
          <m:t>/</m:t>
        </m:r>
        <m:r>
          <m:t>d</m:t>
        </m:r>
        <m:r>
          <m:t>q</m:t>
        </m:r>
        <m:r>
          <m:rPr>
            <m:sty m:val="p"/>
          </m:rPr>
          <m:t>=</m:t>
        </m:r>
        <m:r>
          <m:t>p</m:t>
        </m:r>
        <m:r>
          <m:rPr>
            <m:sty m:val="p"/>
          </m:rPr>
          <m:t>(</m:t>
        </m:r>
        <m:r>
          <m:t>1</m:t>
        </m:r>
        <m:r>
          <m:rPr>
            <m:sty m:val="p"/>
          </m:rPr>
          <m:t>+</m:t>
        </m:r>
        <m:r>
          <m:t>1</m:t>
        </m:r>
        <m:r>
          <m:rPr>
            <m:sty m:val="p"/>
          </m:rPr>
          <m:t>/</m:t>
        </m:r>
        <m:sSub>
          <m:e>
            <m:r>
              <m:t>ε</m:t>
            </m:r>
          </m:e>
          <m:sub>
            <m:r>
              <m:t>d</m:t>
            </m:r>
          </m:sub>
        </m:sSub>
        <m:r>
          <m:rPr>
            <m:sty m:val="p"/>
          </m:rPr>
          <m:t>)</m:t>
        </m:r>
        <m:r>
          <m:rPr>
            <m:sty m:val="p"/>
          </m:rPr>
          <m:t>&lt;</m:t>
        </m:r>
        <m:r>
          <m:t>p</m:t>
        </m:r>
      </m:oMath>
      <w:r>
        <w:t xml:space="preserve">. A alternativa (d) descreve concorrência perfeita, não monopólio.</w:t>
      </w:r>
    </w:p>
    <w:p>
      <w:pPr>
        <w:pStyle w:val="BlockText"/>
      </w:pPr>
      <w:r>
        <w:rPr>
          <w:b/>
          <w:bCs/>
        </w:rPr>
        <w:t xml:space="preserve">[QUESTAO] 2. O índice de Lerner mede o poder de mercado como:</w:t>
      </w:r>
    </w:p>
    <w:p>
      <w:pPr>
        <w:pStyle w:val="Compact"/>
        <w:numPr>
          <w:ilvl w:val="0"/>
          <w:numId w:val="1839"/>
        </w:numPr>
      </w:pPr>
    </w:p>
    <w:p>
      <w:pPr>
        <w:pStyle w:val="Compact"/>
        <w:numPr>
          <w:ilvl w:val="1"/>
          <w:numId w:val="1840"/>
        </w:numPr>
      </w:pPr>
      <m:oMath>
        <m:r>
          <m:t>L</m:t>
        </m:r>
        <m:r>
          <m:rPr>
            <m:sty m:val="p"/>
          </m:rPr>
          <m:t>=</m:t>
        </m:r>
        <m:r>
          <m:rPr>
            <m:sty m:val="p"/>
          </m:rPr>
          <m:t>(</m:t>
        </m:r>
        <m:r>
          <m:t>p</m:t>
        </m:r>
        <m:r>
          <m:rPr>
            <m:sty m:val="p"/>
          </m:rPr>
          <m:t>−</m:t>
        </m:r>
        <m:r>
          <m:rPr>
            <m:nor/>
            <m:sty m:val="p"/>
          </m:rPr>
          <m:t>CMe</m:t>
        </m:r>
        <m:r>
          <m:rPr>
            <m:sty m:val="p"/>
          </m:rPr>
          <m:t>)</m:t>
        </m:r>
        <m:r>
          <m:rPr>
            <m:sty m:val="p"/>
          </m:rPr>
          <m:t>/</m:t>
        </m:r>
        <m:r>
          <m:t>p</m:t>
        </m:r>
      </m:oMath>
    </w:p>
    <w:p>
      <w:pPr>
        <w:pStyle w:val="Compact"/>
        <w:numPr>
          <w:ilvl w:val="0"/>
          <w:numId w:val="1839"/>
        </w:numPr>
      </w:pPr>
    </w:p>
    <w:p>
      <w:pPr>
        <w:pStyle w:val="Compact"/>
        <w:numPr>
          <w:ilvl w:val="1"/>
          <w:numId w:val="1841"/>
        </w:numPr>
      </w:pPr>
      <m:oMath>
        <m:r>
          <m:t>L</m:t>
        </m:r>
        <m:r>
          <m:rPr>
            <m:sty m:val="p"/>
          </m:rPr>
          <m:t>=</m:t>
        </m:r>
        <m:r>
          <m:rPr>
            <m:sty m:val="p"/>
          </m:rPr>
          <m:t>(</m:t>
        </m:r>
        <m:r>
          <m:t>p</m:t>
        </m:r>
        <m:r>
          <m:rPr>
            <m:sty m:val="p"/>
          </m:rPr>
          <m:t>−</m:t>
        </m:r>
        <m:r>
          <m:rPr>
            <m:nor/>
            <m:sty m:val="p"/>
          </m:rPr>
          <m:t>CMg</m:t>
        </m:r>
        <m:r>
          <m:rPr>
            <m:sty m:val="p"/>
          </m:rPr>
          <m:t>)</m:t>
        </m:r>
        <m:r>
          <m:rPr>
            <m:sty m:val="p"/>
          </m:rPr>
          <m:t>/</m:t>
        </m:r>
        <m:r>
          <m:t>p</m:t>
        </m:r>
        <m:r>
          <m:rPr>
            <m:sty m:val="p"/>
          </m:rPr>
          <m:t>=</m:t>
        </m:r>
        <m:r>
          <m:rPr>
            <m:sty m:val="p"/>
          </m:rPr>
          <m:t>−</m:t>
        </m:r>
        <m:r>
          <m:t>1</m:t>
        </m:r>
        <m:r>
          <m:rPr>
            <m:sty m:val="p"/>
          </m:rPr>
          <m:t>/</m:t>
        </m:r>
        <m:sSub>
          <m:e>
            <m:r>
              <m:t>ε</m:t>
            </m:r>
          </m:e>
          <m:sub>
            <m:r>
              <m:t>d</m:t>
            </m:r>
          </m:sub>
        </m:sSub>
      </m:oMath>
    </w:p>
    <w:p>
      <w:pPr>
        <w:pStyle w:val="Compact"/>
        <w:numPr>
          <w:ilvl w:val="0"/>
          <w:numId w:val="1839"/>
        </w:numPr>
      </w:pPr>
    </w:p>
    <w:p>
      <w:pPr>
        <w:pStyle w:val="Compact"/>
        <w:numPr>
          <w:ilvl w:val="1"/>
          <w:numId w:val="1842"/>
        </w:numPr>
      </w:pPr>
      <m:oMath>
        <m:r>
          <m:t>L</m:t>
        </m:r>
        <m:r>
          <m:rPr>
            <m:sty m:val="p"/>
          </m:rPr>
          <m:t>=</m:t>
        </m:r>
        <m:r>
          <m:rPr>
            <m:nor/>
            <m:sty m:val="p"/>
          </m:rPr>
          <m:t>lucro total</m:t>
        </m:r>
        <m:r>
          <m:rPr>
            <m:sty m:val="p"/>
          </m:rPr>
          <m:t>/</m:t>
        </m:r>
        <m:r>
          <m:rPr>
            <m:nor/>
            <m:sty m:val="p"/>
          </m:rPr>
          <m:t>receita total</m:t>
        </m:r>
      </m:oMath>
    </w:p>
    <w:p>
      <w:pPr>
        <w:pStyle w:val="Compact"/>
        <w:numPr>
          <w:ilvl w:val="0"/>
          <w:numId w:val="1839"/>
        </w:numPr>
      </w:pPr>
    </w:p>
    <w:p>
      <w:pPr>
        <w:pStyle w:val="Compact"/>
        <w:numPr>
          <w:ilvl w:val="1"/>
          <w:numId w:val="1843"/>
        </w:numPr>
      </w:pPr>
      <m:oMath>
        <m:r>
          <m:t>L</m:t>
        </m:r>
        <m:r>
          <m:rPr>
            <m:sty m:val="p"/>
          </m:rPr>
          <m:t>=</m:t>
        </m:r>
        <m:r>
          <m:rPr>
            <m:nor/>
            <m:sty m:val="p"/>
          </m:rPr>
          <m:t>CMg</m:t>
        </m:r>
        <m:r>
          <m:rPr>
            <m:sty m:val="p"/>
          </m:rPr>
          <m:t>/</m:t>
        </m:r>
        <m:r>
          <m:t>p</m:t>
        </m:r>
      </m:oMath>
    </w:p>
    <w:p>
      <w:pPr>
        <w:pStyle w:val="BlockText"/>
      </w:pPr>
      <w:r>
        <w:t xml:space="preserve">??? success</w:t>
      </w:r>
      <w:r>
        <w:t xml:space="preserve"> </w:t>
      </w:r>
      <w:r>
        <w:t xml:space="preserve">“Resposta”</w:t>
      </w:r>
      <w:r>
        <w:t xml:space="preserve"> </w:t>
      </w:r>
      <w:r>
        <w:rPr>
          <w:b/>
          <w:bCs/>
        </w:rPr>
        <w:t xml:space="preserve">(b)</w:t>
      </w:r>
      <w:r>
        <w:t xml:space="preserve"> </w:t>
      </w:r>
      <w:r>
        <w:t xml:space="preserve">O índice de Lerner</w:t>
      </w:r>
      <w:r>
        <w:t xml:space="preserve"> </w:t>
      </w:r>
      <m:oMath>
        <m:r>
          <m:t>L</m:t>
        </m:r>
        <m:r>
          <m:rPr>
            <m:sty m:val="p"/>
          </m:rPr>
          <m:t>=</m:t>
        </m:r>
        <m:r>
          <m:rPr>
            <m:sty m:val="p"/>
          </m:rPr>
          <m:t>(</m:t>
        </m:r>
        <m:r>
          <m:t>p</m:t>
        </m:r>
        <m:r>
          <m:rPr>
            <m:sty m:val="p"/>
          </m:rPr>
          <m:t>−</m:t>
        </m:r>
        <m:r>
          <m:rPr>
            <m:nor/>
            <m:sty m:val="p"/>
          </m:rPr>
          <m:t>CMg</m:t>
        </m:r>
        <m:r>
          <m:rPr>
            <m:sty m:val="p"/>
          </m:rPr>
          <m:t>)</m:t>
        </m:r>
        <m:r>
          <m:rPr>
            <m:sty m:val="p"/>
          </m:rPr>
          <m:t>/</m:t>
        </m:r>
        <m:r>
          <m:t>p</m:t>
        </m:r>
      </m:oMath>
      <w:r>
        <w:t xml:space="preserve"> </w:t>
      </w:r>
      <w:r>
        <w:t xml:space="preserve">mede o markup percentual sobre o custo marginal. Em equilíbrio,</w:t>
      </w:r>
      <w:r>
        <w:t xml:space="preserve"> </w:t>
      </w:r>
      <m:oMath>
        <m:r>
          <m:t>L</m:t>
        </m:r>
        <m:r>
          <m:rPr>
            <m:sty m:val="p"/>
          </m:rPr>
          <m:t>=</m:t>
        </m:r>
        <m:r>
          <m:rPr>
            <m:sty m:val="p"/>
          </m:rPr>
          <m:t>−</m:t>
        </m:r>
        <m:r>
          <m:t>1</m:t>
        </m:r>
        <m:r>
          <m:rPr>
            <m:sty m:val="p"/>
          </m:rPr>
          <m:t>/</m:t>
        </m:r>
        <m:sSub>
          <m:e>
            <m:r>
              <m:t>ε</m:t>
            </m:r>
          </m:e>
          <m:sub>
            <m:r>
              <m:t>d</m:t>
            </m:r>
          </m:sub>
        </m:sSub>
      </m:oMath>
      <w:r>
        <w:t xml:space="preserve">: quanto menos elástica a demanda, maior o poder de mercado. Em concorrência perfeita,</w:t>
      </w:r>
      <w:r>
        <w:t xml:space="preserve"> </w:t>
      </w:r>
      <m:oMath>
        <m:r>
          <m:t>L</m:t>
        </m:r>
        <m:r>
          <m:rPr>
            <m:sty m:val="p"/>
          </m:rPr>
          <m:t>=</m:t>
        </m:r>
        <m:r>
          <m:t>0</m:t>
        </m:r>
      </m:oMath>
      <w:r>
        <w:t xml:space="preserve"> </w:t>
      </w:r>
      <w:r>
        <w:t xml:space="preserve">(</w:t>
      </w:r>
      <m:oMath>
        <m:r>
          <m:t>p</m:t>
        </m:r>
        <m:r>
          <m:rPr>
            <m:sty m:val="p"/>
          </m:rPr>
          <m:t>=</m:t>
        </m:r>
        <m:r>
          <m:rPr>
            <m:nor/>
            <m:sty m:val="p"/>
          </m:rPr>
          <m:t>CMg</m:t>
        </m:r>
      </m:oMath>
      <w:r>
        <w:t xml:space="preserve">). A alternativa (a) usa custo médio em vez de marginal; (c) é uma medida de lucratividade, não de poder de mercado.</w:t>
      </w:r>
    </w:p>
    <w:p>
      <w:pPr>
        <w:pStyle w:val="BlockText"/>
      </w:pPr>
      <w:r>
        <w:rPr>
          <w:b/>
          <w:bCs/>
        </w:rPr>
        <w:t xml:space="preserve">[QUESTAO] 3. Na discriminação de preços de primeiro grau (perfeita), o monopolista:</w:t>
      </w:r>
    </w:p>
    <w:p>
      <w:pPr>
        <w:pStyle w:val="Compact"/>
        <w:numPr>
          <w:ilvl w:val="0"/>
          <w:numId w:val="1844"/>
        </w:numPr>
      </w:pPr>
    </w:p>
    <w:p>
      <w:pPr>
        <w:pStyle w:val="Compact"/>
        <w:numPr>
          <w:ilvl w:val="1"/>
          <w:numId w:val="1845"/>
        </w:numPr>
      </w:pPr>
      <w:r>
        <w:t xml:space="preserve">Cobra o mesmo preço de todos os consumidores</w:t>
      </w:r>
    </w:p>
    <w:p>
      <w:pPr>
        <w:pStyle w:val="Compact"/>
        <w:numPr>
          <w:ilvl w:val="0"/>
          <w:numId w:val="1844"/>
        </w:numPr>
      </w:pPr>
    </w:p>
    <w:p>
      <w:pPr>
        <w:pStyle w:val="Compact"/>
        <w:numPr>
          <w:ilvl w:val="1"/>
          <w:numId w:val="1846"/>
        </w:numPr>
      </w:pPr>
      <w:r>
        <w:t xml:space="preserve">Cobra de cada consumidor exatamente sua disposição a pagar, extraindo todo o excedente do consumidor</w:t>
      </w:r>
    </w:p>
    <w:p>
      <w:pPr>
        <w:pStyle w:val="Compact"/>
        <w:numPr>
          <w:ilvl w:val="0"/>
          <w:numId w:val="1844"/>
        </w:numPr>
      </w:pPr>
    </w:p>
    <w:p>
      <w:pPr>
        <w:pStyle w:val="Compact"/>
        <w:numPr>
          <w:ilvl w:val="1"/>
          <w:numId w:val="1847"/>
        </w:numPr>
      </w:pPr>
      <w:r>
        <w:t xml:space="preserve">Divide os consumidores em dois grupos e cobra preços diferentes</w:t>
      </w:r>
    </w:p>
    <w:p>
      <w:pPr>
        <w:pStyle w:val="Compact"/>
        <w:numPr>
          <w:ilvl w:val="0"/>
          <w:numId w:val="1844"/>
        </w:numPr>
      </w:pPr>
    </w:p>
    <w:p>
      <w:pPr>
        <w:pStyle w:val="Compact"/>
        <w:numPr>
          <w:ilvl w:val="1"/>
          <w:numId w:val="1848"/>
        </w:numPr>
      </w:pPr>
      <w:r>
        <w:t xml:space="preserve">Reduz a quantidade abaixo do nível competitivo</w:t>
      </w:r>
    </w:p>
    <w:p>
      <w:pPr>
        <w:pStyle w:val="BlockText"/>
      </w:pPr>
      <w:r>
        <w:t xml:space="preserve">??? success</w:t>
      </w:r>
      <w:r>
        <w:t xml:space="preserve"> </w:t>
      </w:r>
      <w:r>
        <w:t xml:space="preserve">“Resposta”</w:t>
      </w:r>
      <w:r>
        <w:t xml:space="preserve"> </w:t>
      </w:r>
      <w:r>
        <w:rPr>
          <w:b/>
          <w:bCs/>
        </w:rPr>
        <w:t xml:space="preserve">(b)</w:t>
      </w:r>
      <w:r>
        <w:t xml:space="preserve"> </w:t>
      </w:r>
      <w:r>
        <w:t xml:space="preserve">Na discriminação perfeita, o monopolista conhece a disposição a pagar de cada consumidor e cobra preços personalizados. O excedente do consumidor é zero e todo o excedente vai para o monopolista. Curiosamente, a quantidade produzida é eficiente (igual à competitiva) — não há peso morto, embora a distribuição seja extremamente desigual. A alternativa (d) descreve o monopólio sem discriminação.</w:t>
      </w:r>
    </w:p>
    <w:p>
      <w:pPr>
        <w:pStyle w:val="BlockText"/>
      </w:pPr>
      <w:r>
        <w:rPr>
          <w:b/>
          <w:bCs/>
        </w:rPr>
        <w:t xml:space="preserve">[QUESTAO] 4. Um monopólio natural ocorre quando:</w:t>
      </w:r>
    </w:p>
    <w:p>
      <w:pPr>
        <w:pStyle w:val="Compact"/>
        <w:numPr>
          <w:ilvl w:val="0"/>
          <w:numId w:val="1849"/>
        </w:numPr>
      </w:pPr>
    </w:p>
    <w:p>
      <w:pPr>
        <w:pStyle w:val="Compact"/>
        <w:numPr>
          <w:ilvl w:val="1"/>
          <w:numId w:val="1850"/>
        </w:numPr>
      </w:pPr>
      <w:r>
        <w:t xml:space="preserve">A firma detém uma patente sobre o produto</w:t>
      </w:r>
    </w:p>
    <w:p>
      <w:pPr>
        <w:pStyle w:val="Compact"/>
        <w:numPr>
          <w:ilvl w:val="0"/>
          <w:numId w:val="1849"/>
        </w:numPr>
      </w:pPr>
    </w:p>
    <w:p>
      <w:pPr>
        <w:pStyle w:val="Compact"/>
        <w:numPr>
          <w:ilvl w:val="1"/>
          <w:numId w:val="1851"/>
        </w:numPr>
      </w:pPr>
      <w:r>
        <w:t xml:space="preserve">O custo médio é decrescente em toda a faixa relevante de demanda, de modo que uma única firma atende o mercado a custo menor do que duas ou mais</w:t>
      </w:r>
    </w:p>
    <w:p>
      <w:pPr>
        <w:pStyle w:val="Compact"/>
        <w:numPr>
          <w:ilvl w:val="0"/>
          <w:numId w:val="1849"/>
        </w:numPr>
      </w:pPr>
    </w:p>
    <w:p>
      <w:pPr>
        <w:pStyle w:val="Compact"/>
        <w:numPr>
          <w:ilvl w:val="1"/>
          <w:numId w:val="1852"/>
        </w:numPr>
      </w:pPr>
      <w:r>
        <w:t xml:space="preserve">O governo concede exclusividade legal à firma</w:t>
      </w:r>
    </w:p>
    <w:p>
      <w:pPr>
        <w:pStyle w:val="Compact"/>
        <w:numPr>
          <w:ilvl w:val="0"/>
          <w:numId w:val="1849"/>
        </w:numPr>
      </w:pPr>
    </w:p>
    <w:p>
      <w:pPr>
        <w:pStyle w:val="Compact"/>
        <w:numPr>
          <w:ilvl w:val="1"/>
          <w:numId w:val="1853"/>
        </w:numPr>
      </w:pPr>
      <w:r>
        <w:t xml:space="preserve">A firma possui o único recurso natural necessário à produção</w:t>
      </w:r>
    </w:p>
    <w:p>
      <w:pPr>
        <w:pStyle w:val="BlockText"/>
      </w:pPr>
      <w:r>
        <w:t xml:space="preserve">??? success</w:t>
      </w:r>
      <w:r>
        <w:t xml:space="preserve"> </w:t>
      </w:r>
      <w:r>
        <w:t xml:space="preserve">“Resposta”</w:t>
      </w:r>
      <w:r>
        <w:t xml:space="preserve"> </w:t>
      </w:r>
      <w:r>
        <w:rPr>
          <w:b/>
          <w:bCs/>
        </w:rPr>
        <w:t xml:space="preserve">(b)</w:t>
      </w:r>
      <w:r>
        <w:t xml:space="preserve"> </w:t>
      </w:r>
      <w:r>
        <w:t xml:space="preserve">O monopólio natural surge de economias de escala extremas: subaditividade de custos na faixa relevante. Duplicar a infraestrutura (ex.: rede elétrica, saneamento) seria socialmente custoso. A alternativa (a) descreve monopólio por patente; (c) descreve monopólio legal; (d) descreve monopólio por controle de recurso — todos são fontes de monopólio, mas não</w:t>
      </w:r>
      <w:r>
        <w:t xml:space="preserve"> </w:t>
      </w:r>
      <w:r>
        <w:t xml:space="preserve">‘natural’</w:t>
      </w:r>
      <w:r>
        <w:t xml:space="preserve">.</w:t>
      </w:r>
    </w:p>
    <w:p>
      <w:pPr>
        <w:pStyle w:val="BlockText"/>
      </w:pPr>
      <w:r>
        <w:rPr>
          <w:b/>
          <w:bCs/>
        </w:rPr>
        <w:t xml:space="preserve">[QUESTAO] 5. A regulação por preço-teto (price cap) de um monopólio natural, fixando</w:t>
      </w:r>
      <w:r>
        <w:rPr>
          <w:b/>
          <w:bCs/>
        </w:rPr>
        <w:t xml:space="preserve"> </w:t>
      </w:r>
      <w:r>
        <w:rPr>
          <w:b/>
          <w:bCs/>
        </w:rPr>
        <w:t xml:space="preserve">$p = \\text{CMe}$</w:t>
      </w:r>
      <w:r>
        <w:rPr>
          <w:b/>
          <w:bCs/>
        </w:rPr>
        <w:t xml:space="preserve">, resulta em:</w:t>
      </w:r>
    </w:p>
    <w:p>
      <w:pPr>
        <w:pStyle w:val="Compact"/>
        <w:numPr>
          <w:ilvl w:val="0"/>
          <w:numId w:val="1854"/>
        </w:numPr>
      </w:pPr>
    </w:p>
    <w:p>
      <w:pPr>
        <w:pStyle w:val="Compact"/>
        <w:numPr>
          <w:ilvl w:val="1"/>
          <w:numId w:val="1855"/>
        </w:numPr>
      </w:pPr>
      <w:r>
        <w:t xml:space="preserve">Lucro econômico positivo para a firma</w:t>
      </w:r>
    </w:p>
    <w:p>
      <w:pPr>
        <w:pStyle w:val="Compact"/>
        <w:numPr>
          <w:ilvl w:val="0"/>
          <w:numId w:val="1854"/>
        </w:numPr>
      </w:pPr>
    </w:p>
    <w:p>
      <w:pPr>
        <w:pStyle w:val="Compact"/>
        <w:numPr>
          <w:ilvl w:val="1"/>
          <w:numId w:val="1856"/>
        </w:numPr>
      </w:pPr>
      <w:r>
        <w:t xml:space="preserve">Produção eficiente ao nível de custo marginal</w:t>
      </w:r>
    </w:p>
    <w:p>
      <w:pPr>
        <w:pStyle w:val="Compact"/>
        <w:numPr>
          <w:ilvl w:val="0"/>
          <w:numId w:val="1854"/>
        </w:numPr>
      </w:pPr>
    </w:p>
    <w:p>
      <w:pPr>
        <w:pStyle w:val="Compact"/>
        <w:numPr>
          <w:ilvl w:val="1"/>
          <w:numId w:val="1857"/>
        </w:numPr>
      </w:pPr>
      <w:r>
        <w:t xml:space="preserve">Lucro econômico zero (second-best), mas quantidade inferior ao ótimo de primeiro melhor (</w:t>
      </w:r>
      <m:oMath>
        <m:r>
          <m:t>p</m:t>
        </m:r>
        <m:r>
          <m:rPr>
            <m:sty m:val="p"/>
          </m:rPr>
          <m:t>=</m:t>
        </m:r>
        <m:r>
          <m:rPr>
            <m:nor/>
            <m:sty m:val="p"/>
          </m:rPr>
          <m:t>CMg</m:t>
        </m:r>
      </m:oMath>
      <w:r>
        <w:t xml:space="preserve">)</w:t>
      </w:r>
    </w:p>
    <w:p>
      <w:pPr>
        <w:pStyle w:val="Compact"/>
        <w:numPr>
          <w:ilvl w:val="0"/>
          <w:numId w:val="1854"/>
        </w:numPr>
      </w:pPr>
    </w:p>
    <w:p>
      <w:pPr>
        <w:pStyle w:val="Compact"/>
        <w:numPr>
          <w:ilvl w:val="1"/>
          <w:numId w:val="1858"/>
        </w:numPr>
      </w:pPr>
      <w:r>
        <w:t xml:space="preserve">Prejuízo para a firma, exigindo subsídio</w:t>
      </w:r>
    </w:p>
    <w:p>
      <w:pPr>
        <w:pStyle w:val="BlockText"/>
      </w:pPr>
      <w:r>
        <w:t xml:space="preserve">??? success</w:t>
      </w:r>
      <w:r>
        <w:t xml:space="preserve"> </w:t>
      </w:r>
      <w:r>
        <w:t xml:space="preserve">“Resposta”</w:t>
      </w:r>
      <w:r>
        <w:t xml:space="preserve"> </w:t>
      </w:r>
      <w:r>
        <w:rPr>
          <w:b/>
          <w:bCs/>
        </w:rPr>
        <w:t xml:space="preserve">(c)</w:t>
      </w:r>
      <w:r>
        <w:t xml:space="preserve"> </w:t>
      </w:r>
      <w:r>
        <w:t xml:space="preserve">Fixar</w:t>
      </w:r>
      <w:r>
        <w:t xml:space="preserve"> </w:t>
      </w:r>
      <m:oMath>
        <m:r>
          <m:t>p</m:t>
        </m:r>
        <m:r>
          <m:rPr>
            <m:sty m:val="p"/>
          </m:rPr>
          <m:t>=</m:t>
        </m:r>
        <m:r>
          <m:rPr>
            <m:nor/>
            <m:sty m:val="p"/>
          </m:rPr>
          <m:t>CMe</m:t>
        </m:r>
      </m:oMath>
      <w:r>
        <w:t xml:space="preserve"> </w:t>
      </w:r>
      <w:r>
        <w:t xml:space="preserve">garante viabilidade financeira (lucro zero) mas a quantidade é menor que a de</w:t>
      </w:r>
      <w:r>
        <w:t xml:space="preserve"> </w:t>
      </w:r>
      <m:oMath>
        <m:r>
          <m:t>p</m:t>
        </m:r>
        <m:r>
          <m:rPr>
            <m:sty m:val="p"/>
          </m:rPr>
          <m:t>=</m:t>
        </m:r>
        <m:r>
          <m:rPr>
            <m:nor/>
            <m:sty m:val="p"/>
          </m:rPr>
          <m:t>CMg</m:t>
        </m:r>
      </m:oMath>
      <w:r>
        <w:t xml:space="preserve">. A alternativa (d) descreve o que ocorre quando se tenta impor</w:t>
      </w:r>
      <w:r>
        <w:t xml:space="preserve"> </w:t>
      </w:r>
      <m:oMath>
        <m:r>
          <m:t>p</m:t>
        </m:r>
        <m:r>
          <m:rPr>
            <m:sty m:val="p"/>
          </m:rPr>
          <m:t>=</m:t>
        </m:r>
        <m:r>
          <m:rPr>
            <m:nor/>
            <m:sty m:val="p"/>
          </m:rPr>
          <m:t>CMg</m:t>
        </m:r>
      </m:oMath>
      <w:r>
        <w:t xml:space="preserve"> </w:t>
      </w:r>
      <w:r>
        <w:t xml:space="preserve">em monopólio natural com custos médios decrescentes — nesse caso,</w:t>
      </w:r>
      <w:r>
        <w:t xml:space="preserve"> </w:t>
      </w:r>
      <m:oMath>
        <m:r>
          <m:rPr>
            <m:nor/>
            <m:sty m:val="p"/>
          </m:rPr>
          <m:t>CMg</m:t>
        </m:r>
        <m:r>
          <m:rPr>
            <m:sty m:val="p"/>
          </m:rPr>
          <m:t>&lt;</m:t>
        </m:r>
        <m:r>
          <m:rPr>
            <m:nor/>
            <m:sty m:val="p"/>
          </m:rPr>
          <m:t>CMe</m:t>
        </m:r>
      </m:oMath>
      <w:r>
        <w:t xml:space="preserve"> </w:t>
      </w:r>
      <w:r>
        <w:t xml:space="preserve">e a firma tem prejuízo. A regulação por CMe é o second-best que evita esse problema.</w:t>
      </w:r>
    </w:p>
    <w:p>
      <w:r>
        <w:pict>
          <v:rect style="width:0;height:1.5pt" o:hralign="center" o:hrstd="t" o:hr="t"/>
        </w:pict>
      </w:r>
    </w:p>
    <w:bookmarkEnd w:id="953"/>
    <w:bookmarkStart w:id="954" w:name="resumo-do-capítulo-15"/>
    <w:p>
      <w:pPr>
        <w:pStyle w:val="Heading3"/>
      </w:pPr>
      <w:r>
        <w:t xml:space="preserve">Resumo do Capítulo</w:t>
      </w:r>
    </w:p>
    <w:p>
      <w:pPr>
        <w:pStyle w:val="Compact"/>
        <w:numPr>
          <w:ilvl w:val="0"/>
          <w:numId w:val="1859"/>
        </w:numPr>
      </w:pPr>
      <w:r>
        <w:t xml:space="preserve">O monopólio surge quando barreiras à entrada (legais, naturais ou estratégicas) impedem a concorrência, permitindo que uma única firma fixe preços acima do custo marginal e obtenha lucros persistentes.</w:t>
      </w:r>
    </w:p>
    <w:p>
      <w:pPr>
        <w:pStyle w:val="Compact"/>
        <w:numPr>
          <w:ilvl w:val="0"/>
          <w:numId w:val="1859"/>
        </w:numPr>
      </w:pPr>
      <w:r>
        <w:t xml:space="preserve">O monopolista maximiza lucro igualando receita marginal ao custo marginal (RMg = CMg), operando sempre na faixa elástica da demanda. O markup sobre o custo marginal é inversamente proporcional à elasticidade-preço, conforme medido pelo índice de Lerner.</w:t>
      </w:r>
    </w:p>
    <w:p>
      <w:pPr>
        <w:pStyle w:val="Compact"/>
        <w:numPr>
          <w:ilvl w:val="0"/>
          <w:numId w:val="1859"/>
        </w:numPr>
      </w:pPr>
      <w:r>
        <w:t xml:space="preserve">O monopólio gera ineficiência alocativa: produz menos e cobra mais do que o resultado competitivo, criando uma perda de peso morto (triângulo de Harberger) que não é capturada por nenhum agente. O custo social total pode ser significativamente maior quando se incluem gastos com</w:t>
      </w:r>
      <w:r>
        <w:t xml:space="preserve"> </w:t>
      </w:r>
      <w:r>
        <w:rPr>
          <w:i/>
          <w:iCs/>
        </w:rPr>
        <w:t xml:space="preserve">rent-seeking</w:t>
      </w:r>
      <w:r>
        <w:t xml:space="preserve">.</w:t>
      </w:r>
    </w:p>
    <w:p>
      <w:pPr>
        <w:pStyle w:val="Compact"/>
        <w:numPr>
          <w:ilvl w:val="0"/>
          <w:numId w:val="1859"/>
        </w:numPr>
      </w:pPr>
      <w:r>
        <w:t xml:space="preserve">A discriminação de preços (primeiro, segundo e terceiro graus) permite ao monopolista extrair mais excedente do consumidor, podendo, em alguns casos, aumentar a quantidade produzida e reduzir a perda de peso morto.</w:t>
      </w:r>
    </w:p>
    <w:p>
      <w:pPr>
        <w:pStyle w:val="Compact"/>
        <w:numPr>
          <w:ilvl w:val="0"/>
          <w:numId w:val="1859"/>
        </w:numPr>
      </w:pPr>
      <w:r>
        <w:t xml:space="preserve">A regulação de monopólios naturais enfrenta um dilema fundamental: a precificação pelo custo marginal gera prejuízos (first-best impraticável), enquanto a precificação pelo custo médio ou por teto de preços (price cap) representa soluções de second-best com trade-offs entre eficiência e incentivos ao investimento.</w:t>
      </w:r>
    </w:p>
    <w:p>
      <w:pPr>
        <w:pStyle w:val="Compact"/>
        <w:numPr>
          <w:ilvl w:val="0"/>
          <w:numId w:val="1859"/>
        </w:numPr>
      </w:pPr>
      <w:r>
        <w:t xml:space="preserve">As visões dinâmicas de Schumpeter (destruição criativa) e de Baumol (mercados contestáveis) relativizam os custos do monopólio, sugerindo que lucros de monopólio podem incentivar inovação e que a ameaça de entrada pode disciplinar o incumbente.</w:t>
      </w:r>
    </w:p>
    <w:bookmarkEnd w:id="954"/>
    <w:bookmarkStart w:id="955" w:name="conceitos-chave-14"/>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Poder de mercado</w:t>
            </w:r>
          </w:p>
        </w:tc>
        <w:tc>
          <w:tcPr/>
          <w:p>
            <w:pPr>
              <w:pStyle w:val="Compact"/>
            </w:pPr>
            <w:r>
              <w:t xml:space="preserve">Capacidade de uma firma fixar preços acima do custo marginal e obter lucros econômicos persistentes</w:t>
            </w:r>
          </w:p>
        </w:tc>
      </w:tr>
      <w:tr>
        <w:tc>
          <w:tcPr/>
          <w:p>
            <w:pPr>
              <w:pStyle w:val="Compact"/>
            </w:pPr>
            <w:r>
              <w:t xml:space="preserve">Monopólio natural</w:t>
            </w:r>
          </w:p>
        </w:tc>
        <w:tc>
          <w:tcPr/>
          <w:p>
            <w:pPr>
              <w:pStyle w:val="Compact"/>
            </w:pPr>
            <w:r>
              <w:t xml:space="preserve">Mercado em que a função de custo é subaditiva, de modo que uma única firma produz a qualquer quantidade a custo menor do que duas ou mais firmas</w:t>
            </w:r>
          </w:p>
        </w:tc>
      </w:tr>
      <w:tr>
        <w:tc>
          <w:tcPr/>
          <w:p>
            <w:pPr>
              <w:pStyle w:val="Compact"/>
            </w:pPr>
            <w:r>
              <w:t xml:space="preserve">Barreiras à entrada</w:t>
            </w:r>
          </w:p>
        </w:tc>
        <w:tc>
          <w:tcPr/>
          <w:p>
            <w:pPr>
              <w:pStyle w:val="Compact"/>
            </w:pPr>
            <w:r>
              <w:t xml:space="preserve">Fatores (legais, naturais ou estratégicos) que impedem a entrada de concorrentes e protegem os lucros do monopolista</w:t>
            </w:r>
          </w:p>
        </w:tc>
      </w:tr>
      <w:tr>
        <w:tc>
          <w:tcPr/>
          <w:p>
            <w:pPr>
              <w:pStyle w:val="Compact"/>
            </w:pPr>
            <w:r>
              <w:t xml:space="preserve">Índice de Lerner</w:t>
            </w:r>
          </w:p>
        </w:tc>
        <w:tc>
          <w:tcPr/>
          <w:p>
            <w:pPr>
              <w:pStyle w:val="Compact"/>
            </w:pPr>
            <w:r>
              <w:t xml:space="preserve">Medida de poder de mercado dada por</w:t>
            </w:r>
            <w:r>
              <w:t xml:space="preserve"> </w:t>
            </w:r>
            <m:oMath>
              <m:r>
                <m:t>L</m:t>
              </m:r>
              <m:r>
                <m:rPr>
                  <m:sty m:val="p"/>
                </m:rPr>
                <m:t>=</m:t>
              </m:r>
              <m:r>
                <m:rPr>
                  <m:sty m:val="p"/>
                </m:rPr>
                <m:t>(</m:t>
              </m:r>
              <m:r>
                <m:t>p</m:t>
              </m:r>
              <m:r>
                <m:rPr>
                  <m:sty m:val="p"/>
                </m:rPr>
                <m:t>−</m:t>
              </m:r>
              <m:r>
                <m:t>C</m:t>
              </m:r>
              <m:r>
                <m:t>M</m:t>
              </m:r>
              <m:r>
                <m:t>g</m:t>
              </m:r>
              <m:r>
                <m:rPr>
                  <m:sty m:val="p"/>
                </m:rPr>
                <m:t>)</m:t>
              </m:r>
              <m:r>
                <m:rPr>
                  <m:sty m:val="p"/>
                </m:rPr>
                <m:t>/</m:t>
              </m:r>
              <m:r>
                <m:t>p</m:t>
              </m:r>
              <m:r>
                <m:rPr>
                  <m:sty m:val="p"/>
                </m:rPr>
                <m:t>=</m:t>
              </m:r>
              <m:r>
                <m:t>1</m:t>
              </m:r>
              <m:r>
                <m:rPr>
                  <m:sty m:val="p"/>
                </m:rPr>
                <m:t>/</m:t>
              </m:r>
              <m:r>
                <m:rPr>
                  <m:sty m:val="p"/>
                </m:rPr>
                <m:t>|</m:t>
              </m:r>
              <m:sSub>
                <m:e>
                  <m:r>
                    <m:t>ε</m:t>
                  </m:r>
                </m:e>
                <m:sub>
                  <m:r>
                    <m:t>p</m:t>
                  </m:r>
                </m:sub>
              </m:sSub>
              <m:r>
                <m:rPr>
                  <m:sty m:val="p"/>
                </m:rPr>
                <m:t>|</m:t>
              </m:r>
            </m:oMath>
            <w:r>
              <w:t xml:space="preserve">; varia entre 0 (concorrência perfeita) e 1</w:t>
            </w:r>
          </w:p>
        </w:tc>
      </w:tr>
      <w:tr>
        <w:tc>
          <w:tcPr/>
          <w:p>
            <w:pPr>
              <w:pStyle w:val="Compact"/>
            </w:pPr>
            <w:r>
              <w:t xml:space="preserve">Perda de peso morto (triângulo de Harberger)</w:t>
            </w:r>
          </w:p>
        </w:tc>
        <w:tc>
          <w:tcPr/>
          <w:p>
            <w:pPr>
              <w:pStyle w:val="Compact"/>
            </w:pPr>
            <w:r>
              <w:t xml:space="preserve">Redução no excedente total causada pela restrição de produção do monopolista, que não é capturada por nenhum agente</w:t>
            </w:r>
          </w:p>
        </w:tc>
      </w:tr>
      <w:tr>
        <w:tc>
          <w:tcPr/>
          <w:p>
            <w:pPr>
              <w:pStyle w:val="Compact"/>
            </w:pPr>
            <w:r>
              <w:t xml:space="preserve">Discriminação de preços</w:t>
            </w:r>
          </w:p>
        </w:tc>
        <w:tc>
          <w:tcPr/>
          <w:p>
            <w:pPr>
              <w:pStyle w:val="Compact"/>
            </w:pPr>
            <w:r>
              <w:t xml:space="preserve">Prática de cobrar preços diferentes de consumidores diferentes (ou por unidades diferentes), classificada em primeiro, segundo e terceiro graus</w:t>
            </w:r>
          </w:p>
        </w:tc>
      </w:tr>
      <w:tr>
        <w:tc>
          <w:tcPr/>
          <w:p>
            <w:pPr>
              <w:pStyle w:val="Compact"/>
            </w:pPr>
            <w:r>
              <w:t xml:space="preserve">Tarifa em duas partes</w:t>
            </w:r>
          </w:p>
        </w:tc>
        <w:tc>
          <w:tcPr/>
          <w:p>
            <w:pPr>
              <w:pStyle w:val="Compact"/>
            </w:pPr>
            <w:r>
              <w:t xml:space="preserve">Esquema de precificação com taxa fixa de entrada mais preço por unidade consumida</w:t>
            </w:r>
          </w:p>
        </w:tc>
      </w:tr>
      <w:tr>
        <w:tc>
          <w:tcPr/>
          <w:p>
            <w:pPr>
              <w:pStyle w:val="Compact"/>
            </w:pPr>
            <w:r>
              <w:t xml:space="preserve">Regulação por price cap</w:t>
            </w:r>
          </w:p>
        </w:tc>
        <w:tc>
          <w:tcPr/>
          <w:p>
            <w:pPr>
              <w:pStyle w:val="Compact"/>
            </w:pPr>
            <w:r>
              <w:t xml:space="preserve">Regime regulatório em que o preço é reajustado pela inflação menos um fator de produtividade (X), incentivando redução de custos</w:t>
            </w:r>
          </w:p>
        </w:tc>
      </w:tr>
      <w:tr>
        <w:tc>
          <w:tcPr/>
          <w:p>
            <w:pPr>
              <w:pStyle w:val="Compact"/>
            </w:pPr>
            <w:r>
              <w:t xml:space="preserve">Efeito Averch-Johnson</w:t>
            </w:r>
          </w:p>
        </w:tc>
        <w:tc>
          <w:tcPr/>
          <w:p>
            <w:pPr>
              <w:pStyle w:val="Compact"/>
            </w:pPr>
            <w:r>
              <w:t xml:space="preserve">Tendência de firmas reguladas por taxa de retorno a sobreinvestir em capital para inflar a base de remuneração</w:t>
            </w:r>
          </w:p>
        </w:tc>
      </w:tr>
      <w:tr>
        <w:tc>
          <w:tcPr/>
          <w:p>
            <w:pPr>
              <w:pStyle w:val="Compact"/>
            </w:pPr>
            <w:r>
              <w:t xml:space="preserve">Mercado contestável</w:t>
            </w:r>
          </w:p>
        </w:tc>
        <w:tc>
          <w:tcPr/>
          <w:p>
            <w:pPr>
              <w:pStyle w:val="Compact"/>
            </w:pPr>
            <w:r>
              <w:t xml:space="preserve">Mercado em que a ameaça de entrada e saída sem custos irrecuperáveis disciplina o incumbente, mesmo que haja apenas uma firma</w:t>
            </w:r>
          </w:p>
        </w:tc>
      </w:tr>
    </w:tbl>
    <w:p>
      <w:pPr>
        <w:pStyle w:val="BodyText"/>
      </w:pPr>
      <w:r>
        <w:rPr>
          <w:b/>
          <w:bCs/>
        </w:rPr>
        <w:t xml:space="preserve">Tabela 15.2 — Conceitos-chave.</w:t>
      </w:r>
    </w:p>
    <w:p>
      <w:r>
        <w:pict>
          <v:rect style="width:0;height:1.5pt" o:hralign="center" o:hrstd="t" o:hr="t"/>
        </w:pict>
      </w:r>
    </w:p>
    <w:bookmarkEnd w:id="955"/>
    <w:bookmarkStart w:id="956" w:name="exercícios-19"/>
    <w:p>
      <w:pPr>
        <w:pStyle w:val="Heading3"/>
      </w:pPr>
      <w:r>
        <w:t xml:space="preserve">Exercícios</w:t>
      </w:r>
    </w:p>
    <w:p>
      <w:pPr>
        <w:pStyle w:val="BlockText"/>
      </w:pPr>
      <w:r>
        <w:rPr>
          <w:b/>
          <w:bCs/>
        </w:rPr>
        <w:t xml:space="preserve">[EXERCICIO PROPOSTO] Exercício 15.1</w:t>
      </w:r>
    </w:p>
    <w:p>
      <w:pPr>
        <w:pStyle w:val="BlockText"/>
      </w:pPr>
      <w:r>
        <w:t xml:space="preserve">Considere um monopolista com custo total</w:t>
      </w:r>
      <w:r>
        <w:t xml:space="preserve"> </w:t>
      </w:r>
      <m:oMath>
        <m:r>
          <m:t>C</m:t>
        </m:r>
        <m:r>
          <m:rPr>
            <m:sty m:val="p"/>
          </m:rPr>
          <m:t>(</m:t>
        </m:r>
        <m:r>
          <m:t>q</m:t>
        </m:r>
        <m:r>
          <m:rPr>
            <m:sty m:val="p"/>
          </m:rPr>
          <m:t>)</m:t>
        </m:r>
        <m:r>
          <m:rPr>
            <m:sty m:val="p"/>
          </m:rPr>
          <m:t>=</m:t>
        </m:r>
        <m:r>
          <m:t>100</m:t>
        </m:r>
        <m:r>
          <m:rPr>
            <m:sty m:val="p"/>
          </m:rPr>
          <m:t>+</m:t>
        </m:r>
        <m:r>
          <m:t>10</m:t>
        </m:r>
        <m:r>
          <m:t>q</m:t>
        </m:r>
      </m:oMath>
      <w:r>
        <w:t xml:space="preserve"> </w:t>
      </w:r>
      <w:r>
        <w:t xml:space="preserve">enfrentando demanda</w:t>
      </w:r>
      <w:r>
        <w:t xml:space="preserve"> </w:t>
      </w:r>
      <m:oMath>
        <m:r>
          <m:t>p</m:t>
        </m:r>
        <m:r>
          <m:rPr>
            <m:sty m:val="p"/>
          </m:rPr>
          <m:t>=</m:t>
        </m:r>
        <m:r>
          <m:t>50</m:t>
        </m:r>
        <m:r>
          <m:rPr>
            <m:sty m:val="p"/>
          </m:rPr>
          <m:t>−</m:t>
        </m:r>
        <m:r>
          <m:t>2</m:t>
        </m:r>
        <m:r>
          <m:t>q</m:t>
        </m:r>
      </m:oMath>
      <w:r>
        <w:t xml:space="preserve">.</w:t>
      </w:r>
    </w:p>
    <w:p>
      <w:pPr>
        <w:pStyle w:val="BlockText"/>
        <w:numPr>
          <w:ilvl w:val="0"/>
          <w:numId w:val="1860"/>
        </w:numPr>
      </w:pPr>
      <w:r>
        <w:t xml:space="preserve">Encontre o preço, a quantidade e o lucro de monopólio.</w:t>
      </w:r>
    </w:p>
    <w:p>
      <w:pPr>
        <w:pStyle w:val="BlockText"/>
        <w:numPr>
          <w:ilvl w:val="0"/>
          <w:numId w:val="1860"/>
        </w:numPr>
      </w:pPr>
      <w:r>
        <w:t xml:space="preserve">Calcule o índice de Lerner e a elasticidade-preço da demanda no ponto de equilíbrio.</w:t>
      </w:r>
    </w:p>
    <w:p>
      <w:pPr>
        <w:pStyle w:val="BlockText"/>
        <w:numPr>
          <w:ilvl w:val="0"/>
          <w:numId w:val="1860"/>
        </w:numPr>
      </w:pPr>
      <w:r>
        <w:t xml:space="preserve">Calcule a perda de peso morto e compare com o excedente total sob concorrência perfeita.</w:t>
      </w:r>
    </w:p>
    <w:p>
      <w:pPr>
        <w:pStyle w:val="BlockText"/>
      </w:pPr>
      <w:r>
        <w:t xml:space="preserve">Ver solução (Cap. 15)</w:t>
      </w:r>
    </w:p>
    <w:p>
      <w:pPr>
        <w:pStyle w:val="BlockText"/>
      </w:pPr>
      <w:r>
        <w:rPr>
          <w:b/>
          <w:bCs/>
        </w:rPr>
        <w:t xml:space="preserve">[EXERCICIO PROPOSTO] Exercício 15.2</w:t>
      </w:r>
    </w:p>
    <w:p>
      <w:pPr>
        <w:pStyle w:val="BlockText"/>
      </w:pPr>
      <w:r>
        <w:t xml:space="preserve">Um monopolista atende dois mercados segmentados com demandas</w:t>
      </w:r>
      <w:r>
        <w:t xml:space="preserve"> </w:t>
      </w:r>
      <m:oMath>
        <m:sSub>
          <m:e>
            <m:r>
              <m:t>p</m:t>
            </m:r>
          </m:e>
          <m:sub>
            <m:r>
              <m:t>1</m:t>
            </m:r>
          </m:sub>
        </m:sSub>
        <m:r>
          <m:rPr>
            <m:sty m:val="p"/>
          </m:rPr>
          <m:t>=</m:t>
        </m:r>
        <m:r>
          <m:t>100</m:t>
        </m:r>
        <m:r>
          <m:rPr>
            <m:sty m:val="p"/>
          </m:rPr>
          <m:t>−</m:t>
        </m:r>
        <m:sSub>
          <m:e>
            <m:r>
              <m:t>q</m:t>
            </m:r>
          </m:e>
          <m:sub>
            <m:r>
              <m:t>1</m:t>
            </m:r>
          </m:sub>
        </m:sSub>
      </m:oMath>
      <w:r>
        <w:t xml:space="preserve"> </w:t>
      </w:r>
      <w:r>
        <w:t xml:space="preserve">e</w:t>
      </w:r>
      <w:r>
        <w:t xml:space="preserve"> </w:t>
      </w:r>
      <m:oMath>
        <m:sSub>
          <m:e>
            <m:r>
              <m:t>p</m:t>
            </m:r>
          </m:e>
          <m:sub>
            <m:r>
              <m:t>2</m:t>
            </m:r>
          </m:sub>
        </m:sSub>
        <m:r>
          <m:rPr>
            <m:sty m:val="p"/>
          </m:rPr>
          <m:t>=</m:t>
        </m:r>
        <m:r>
          <m:t>60</m:t>
        </m:r>
        <m:r>
          <m:rPr>
            <m:sty m:val="p"/>
          </m:rPr>
          <m:t>−</m:t>
        </m:r>
        <m:r>
          <m:t>2</m:t>
        </m:r>
        <m:sSub>
          <m:e>
            <m:r>
              <m:t>q</m:t>
            </m:r>
          </m:e>
          <m:sub>
            <m:r>
              <m:t>2</m:t>
            </m:r>
          </m:sub>
        </m:sSub>
      </m:oMath>
      <w:r>
        <w:t xml:space="preserve">. O custo marginal é constante e igual a 20.</w:t>
      </w:r>
    </w:p>
    <w:p>
      <w:pPr>
        <w:pStyle w:val="BlockText"/>
        <w:numPr>
          <w:ilvl w:val="0"/>
          <w:numId w:val="1861"/>
        </w:numPr>
      </w:pPr>
      <w:r>
        <w:t xml:space="preserve">Encontre os preços e quantidades ótimos em cada mercado com discriminação de terceiro grau.</w:t>
      </w:r>
    </w:p>
    <w:p>
      <w:pPr>
        <w:pStyle w:val="BlockText"/>
        <w:numPr>
          <w:ilvl w:val="0"/>
          <w:numId w:val="1861"/>
        </w:numPr>
      </w:pPr>
      <w:r>
        <w:t xml:space="preserve">Calcule os índices de Lerner em cada mercado e relacione com as elasticidades.</w:t>
      </w:r>
    </w:p>
    <w:p>
      <w:pPr>
        <w:pStyle w:val="BlockText"/>
        <w:numPr>
          <w:ilvl w:val="0"/>
          <w:numId w:val="1861"/>
        </w:numPr>
      </w:pPr>
      <w:r>
        <w:t xml:space="preserve">Compare o lucro com discriminação ao lucro sem discriminação (preço uniforme ótimo).</w:t>
      </w:r>
    </w:p>
    <w:p>
      <w:pPr>
        <w:pStyle w:val="BlockText"/>
      </w:pPr>
      <w:r>
        <w:t xml:space="preserve">Ver solução (Cap. 15)</w:t>
      </w:r>
    </w:p>
    <w:p>
      <w:pPr>
        <w:pStyle w:val="BlockText"/>
      </w:pPr>
      <w:r>
        <w:rPr>
          <w:b/>
          <w:bCs/>
        </w:rPr>
        <w:t xml:space="preserve">[EXERCICIO PROPOSTO] Exercício 15.3</w:t>
      </w:r>
    </w:p>
    <w:p>
      <w:pPr>
        <w:pStyle w:val="BlockText"/>
      </w:pPr>
      <w:r>
        <w:t xml:space="preserve">O governo impõe um imposto unitário</w:t>
      </w:r>
      <w:r>
        <w:t xml:space="preserve"> </w:t>
      </w:r>
      <m:oMath>
        <m:r>
          <m:t>t</m:t>
        </m:r>
        <m:r>
          <m:rPr>
            <m:sty m:val="p"/>
          </m:rPr>
          <m:t>=</m:t>
        </m:r>
        <m:r>
          <m:t>4</m:t>
        </m:r>
      </m:oMath>
      <w:r>
        <w:t xml:space="preserve"> </w:t>
      </w:r>
      <w:r>
        <w:t xml:space="preserve">sobre um monopolista com custo marginal constante</w:t>
      </w:r>
      <w:r>
        <w:t xml:space="preserve"> </w:t>
      </w:r>
      <m:oMath>
        <m:r>
          <m:t>c</m:t>
        </m:r>
        <m:r>
          <m:rPr>
            <m:sty m:val="p"/>
          </m:rPr>
          <m:t>=</m:t>
        </m:r>
        <m:r>
          <m:t>10</m:t>
        </m:r>
      </m:oMath>
      <w:r>
        <w:t xml:space="preserve"> </w:t>
      </w:r>
      <w:r>
        <w:t xml:space="preserve">e demanda</w:t>
      </w:r>
      <w:r>
        <w:t xml:space="preserve"> </w:t>
      </w:r>
      <m:oMath>
        <m:r>
          <m:t>p</m:t>
        </m:r>
        <m:r>
          <m:rPr>
            <m:sty m:val="p"/>
          </m:rPr>
          <m:t>=</m:t>
        </m:r>
        <m:r>
          <m:t>30</m:t>
        </m:r>
        <m:r>
          <m:rPr>
            <m:sty m:val="p"/>
          </m:rPr>
          <m:t>−</m:t>
        </m:r>
        <m:r>
          <m:t>q</m:t>
        </m:r>
      </m:oMath>
      <w:r>
        <w:t xml:space="preserve">.</w:t>
      </w:r>
    </w:p>
    <w:p>
      <w:pPr>
        <w:pStyle w:val="BlockText"/>
        <w:numPr>
          <w:ilvl w:val="0"/>
          <w:numId w:val="1862"/>
        </w:numPr>
      </w:pPr>
      <w:r>
        <w:t xml:space="preserve">Calcule preço, quantidade e lucro antes e depois do imposto.</w:t>
      </w:r>
    </w:p>
    <w:p>
      <w:pPr>
        <w:pStyle w:val="BlockText"/>
        <w:numPr>
          <w:ilvl w:val="0"/>
          <w:numId w:val="1862"/>
        </w:numPr>
      </w:pPr>
      <w:r>
        <w:t xml:space="preserve">Qual fração do imposto é repassada ao consumidor?</w:t>
      </w:r>
    </w:p>
    <w:p>
      <w:pPr>
        <w:pStyle w:val="BlockText"/>
        <w:numPr>
          <w:ilvl w:val="0"/>
          <w:numId w:val="1862"/>
        </w:numPr>
      </w:pPr>
      <w:r>
        <w:t xml:space="preserve">Compare a receita fiscal com a variação na perda de peso morto.</w:t>
      </w:r>
    </w:p>
    <w:p>
      <w:pPr>
        <w:pStyle w:val="BlockText"/>
      </w:pPr>
      <w:r>
        <w:t xml:space="preserve">Ver solução (Cap. 15)</w:t>
      </w:r>
    </w:p>
    <w:p>
      <w:pPr>
        <w:pStyle w:val="BlockText"/>
      </w:pPr>
      <w:r>
        <w:rPr>
          <w:b/>
          <w:bCs/>
        </w:rPr>
        <w:t xml:space="preserve">[EXERCICIO PROPOSTO] Exercício 15.4</w:t>
      </w:r>
    </w:p>
    <w:p>
      <w:pPr>
        <w:pStyle w:val="BlockText"/>
      </w:pPr>
      <w:r>
        <w:t xml:space="preserve">Um monopolista natural tem custo total</w:t>
      </w:r>
      <w:r>
        <w:t xml:space="preserve"> </w:t>
      </w:r>
      <m:oMath>
        <m:r>
          <m:t>C</m:t>
        </m:r>
        <m:r>
          <m:rPr>
            <m:sty m:val="p"/>
          </m:rPr>
          <m:t>(</m:t>
        </m:r>
        <m:r>
          <m:t>q</m:t>
        </m:r>
        <m:r>
          <m:rPr>
            <m:sty m:val="p"/>
          </m:rPr>
          <m:t>)</m:t>
        </m:r>
        <m:r>
          <m:rPr>
            <m:sty m:val="p"/>
          </m:rPr>
          <m:t>=</m:t>
        </m:r>
        <m:r>
          <m:t>1000</m:t>
        </m:r>
        <m:r>
          <m:rPr>
            <m:sty m:val="p"/>
          </m:rPr>
          <m:t>+</m:t>
        </m:r>
        <m:r>
          <m:t>5</m:t>
        </m:r>
        <m:r>
          <m:t>q</m:t>
        </m:r>
      </m:oMath>
      <w:r>
        <w:t xml:space="preserve">. A demanda é</w:t>
      </w:r>
      <w:r>
        <w:t xml:space="preserve"> </w:t>
      </w:r>
      <m:oMath>
        <m:r>
          <m:t>p</m:t>
        </m:r>
        <m:r>
          <m:rPr>
            <m:sty m:val="p"/>
          </m:rPr>
          <m:t>=</m:t>
        </m:r>
        <m:r>
          <m:t>45</m:t>
        </m:r>
        <m:r>
          <m:rPr>
            <m:sty m:val="p"/>
          </m:rPr>
          <m:t>−</m:t>
        </m:r>
        <m:r>
          <m:t>q</m:t>
        </m:r>
      </m:oMath>
      <w:r>
        <w:t xml:space="preserve">.</w:t>
      </w:r>
    </w:p>
    <w:p>
      <w:pPr>
        <w:pStyle w:val="BlockText"/>
        <w:numPr>
          <w:ilvl w:val="0"/>
          <w:numId w:val="1863"/>
        </w:numPr>
      </w:pPr>
      <w:r>
        <w:t xml:space="preserve">Calcule o resultado do monopólio não regulado.</w:t>
      </w:r>
    </w:p>
    <w:p>
      <w:pPr>
        <w:pStyle w:val="BlockText"/>
        <w:numPr>
          <w:ilvl w:val="0"/>
          <w:numId w:val="1863"/>
        </w:numPr>
      </w:pPr>
      <w:r>
        <w:t xml:space="preserve">Calcule o resultado sob regulação de custo marginal (</w:t>
      </w:r>
      <m:oMath>
        <m:r>
          <m:t>p</m:t>
        </m:r>
        <m:r>
          <m:rPr>
            <m:sty m:val="p"/>
          </m:rPr>
          <m:t>=</m:t>
        </m:r>
        <m:r>
          <m:t>C</m:t>
        </m:r>
        <m:r>
          <m:t>M</m:t>
        </m:r>
        <m:r>
          <m:t>g</m:t>
        </m:r>
      </m:oMath>
      <w:r>
        <w:t xml:space="preserve">). Mostre que a firma tem prejuízo.</w:t>
      </w:r>
    </w:p>
    <w:p>
      <w:pPr>
        <w:pStyle w:val="BlockText"/>
        <w:numPr>
          <w:ilvl w:val="0"/>
          <w:numId w:val="1863"/>
        </w:numPr>
      </w:pPr>
      <w:r>
        <w:t xml:space="preserve">Calcule o resultado sob regulação de custo médio (</w:t>
      </w:r>
      <m:oMath>
        <m:r>
          <m:t>p</m:t>
        </m:r>
        <m:r>
          <m:rPr>
            <m:sty m:val="p"/>
          </m:rPr>
          <m:t>=</m:t>
        </m:r>
        <m:r>
          <m:t>C</m:t>
        </m:r>
        <m:r>
          <m:t>M</m:t>
        </m:r>
        <m:r>
          <m:t>e</m:t>
        </m:r>
      </m:oMath>
      <w:r>
        <w:t xml:space="preserve">) e a PPM residual.</w:t>
      </w:r>
    </w:p>
    <w:p>
      <w:pPr>
        <w:pStyle w:val="BlockText"/>
      </w:pPr>
      <w:r>
        <w:t xml:space="preserve">Ver solução (Cap. 15)</w:t>
      </w:r>
    </w:p>
    <w:p>
      <w:pPr>
        <w:pStyle w:val="BlockText"/>
      </w:pPr>
      <w:r>
        <w:rPr>
          <w:b/>
          <w:bCs/>
        </w:rPr>
        <w:t xml:space="preserve">[EXERCICIO PROPOSTO] Exercício 15.5</w:t>
      </w:r>
    </w:p>
    <w:p>
      <w:pPr>
        <w:pStyle w:val="BlockText"/>
      </w:pPr>
      <w:r>
        <w:t xml:space="preserve">Um monopolista pode adotar uma tarifa em duas partes</w:t>
      </w:r>
      <w:r>
        <w:t xml:space="preserve"> </w:t>
      </w:r>
      <m:oMath>
        <m:r>
          <m:rPr>
            <m:sty m:val="p"/>
          </m:rPr>
          <m:t>(</m:t>
        </m:r>
        <m:r>
          <m:t>T</m:t>
        </m:r>
        <m:r>
          <m:rPr>
            <m:sty m:val="p"/>
          </m:rPr>
          <m:t>,</m:t>
        </m:r>
        <m:r>
          <m:t>p</m:t>
        </m:r>
        <m:r>
          <m:rPr>
            <m:sty m:val="p"/>
          </m:rPr>
          <m:t>)</m:t>
        </m:r>
      </m:oMath>
      <w:r>
        <w:t xml:space="preserve"> </w:t>
      </w:r>
      <w:r>
        <w:t xml:space="preserve">para atender dois tipos de consumidores. O tipo 1 tem demanda</w:t>
      </w:r>
      <w:r>
        <w:t xml:space="preserve"> </w:t>
      </w:r>
      <m:oMath>
        <m:sSub>
          <m:e>
            <m:r>
              <m:t>q</m:t>
            </m:r>
          </m:e>
          <m:sub>
            <m:r>
              <m:t>1</m:t>
            </m:r>
          </m:sub>
        </m:sSub>
        <m:r>
          <m:rPr>
            <m:sty m:val="p"/>
          </m:rPr>
          <m:t>=</m:t>
        </m:r>
        <m:r>
          <m:t>20</m:t>
        </m:r>
        <m:r>
          <m:rPr>
            <m:sty m:val="p"/>
          </m:rPr>
          <m:t>−</m:t>
        </m:r>
        <m:r>
          <m:t>p</m:t>
        </m:r>
      </m:oMath>
      <w:r>
        <w:t xml:space="preserve"> </w:t>
      </w:r>
      <w:r>
        <w:t xml:space="preserve">e o tipo 2 tem demanda</w:t>
      </w:r>
      <w:r>
        <w:t xml:space="preserve"> </w:t>
      </w:r>
      <m:oMath>
        <m:sSub>
          <m:e>
            <m:r>
              <m:t>q</m:t>
            </m:r>
          </m:e>
          <m:sub>
            <m:r>
              <m:t>2</m:t>
            </m:r>
          </m:sub>
        </m:sSub>
        <m:r>
          <m:rPr>
            <m:sty m:val="p"/>
          </m:rPr>
          <m:t>=</m:t>
        </m:r>
        <m:r>
          <m:t>10</m:t>
        </m:r>
        <m:r>
          <m:rPr>
            <m:sty m:val="p"/>
          </m:rPr>
          <m:t>−</m:t>
        </m:r>
        <m:r>
          <m:t>p</m:t>
        </m:r>
      </m:oMath>
      <w:r>
        <w:t xml:space="preserve">. Há 100 consumidores de cada tipo. O custo marginal é</w:t>
      </w:r>
      <w:r>
        <w:t xml:space="preserve"> </w:t>
      </w:r>
      <m:oMath>
        <m:r>
          <m:t>c</m:t>
        </m:r>
        <m:r>
          <m:rPr>
            <m:sty m:val="p"/>
          </m:rPr>
          <m:t>=</m:t>
        </m:r>
        <m:r>
          <m:t>2</m:t>
        </m:r>
      </m:oMath>
      <w:r>
        <w:t xml:space="preserve">.</w:t>
      </w:r>
    </w:p>
    <w:p>
      <w:pPr>
        <w:pStyle w:val="BlockText"/>
        <w:numPr>
          <w:ilvl w:val="0"/>
          <w:numId w:val="1864"/>
        </w:numPr>
      </w:pPr>
      <w:r>
        <w:t xml:space="preserve">Se o monopolista usa preço uniforme, qual é o preço ótimo?</w:t>
      </w:r>
    </w:p>
    <w:p>
      <w:pPr>
        <w:pStyle w:val="BlockText"/>
        <w:numPr>
          <w:ilvl w:val="0"/>
          <w:numId w:val="1864"/>
        </w:numPr>
      </w:pPr>
      <w:r>
        <w:t xml:space="preserve">Se usa tarifa em duas partes atendendo ambos os tipos, encontre</w:t>
      </w:r>
      <w:r>
        <w:t xml:space="preserve"> </w:t>
      </w:r>
      <m:oMath>
        <m:r>
          <m:rPr>
            <m:sty m:val="p"/>
          </m:rPr>
          <m:t>(</m:t>
        </m:r>
        <m:sSup>
          <m:e>
            <m:r>
              <m:t>T</m:t>
            </m:r>
          </m:e>
          <m:sup>
            <m:r>
              <m:rPr>
                <m:sty m:val="p"/>
              </m:rPr>
              <m:t>*</m:t>
            </m:r>
          </m:sup>
        </m:sSup>
        <m:r>
          <m:rPr>
            <m:sty m:val="p"/>
          </m:rPr>
          <m:t>,</m:t>
        </m:r>
        <m:sSup>
          <m:e>
            <m:r>
              <m:t>p</m:t>
            </m:r>
          </m:e>
          <m:sup>
            <m:r>
              <m:rPr>
                <m:sty m:val="p"/>
              </m:rPr>
              <m:t>*</m:t>
            </m:r>
          </m:sup>
        </m:sSup>
        <m:r>
          <m:rPr>
            <m:sty m:val="p"/>
          </m:rPr>
          <m:t>)</m:t>
        </m:r>
      </m:oMath>
      <w:r>
        <w:t xml:space="preserve">.</w:t>
      </w:r>
    </w:p>
    <w:p>
      <w:pPr>
        <w:pStyle w:val="BlockText"/>
        <w:numPr>
          <w:ilvl w:val="0"/>
          <w:numId w:val="1864"/>
        </w:numPr>
      </w:pPr>
      <w:r>
        <w:t xml:space="preserve">Se usa tarifa em duas partes atendendo apenas o tipo 1 (excluindo o tipo 2), encontre</w:t>
      </w:r>
      <w:r>
        <w:t xml:space="preserve"> </w:t>
      </w:r>
      <m:oMath>
        <m:r>
          <m:rPr>
            <m:sty m:val="p"/>
          </m:rPr>
          <m:t>(</m:t>
        </m:r>
        <m:sSup>
          <m:e>
            <m:r>
              <m:t>T</m:t>
            </m:r>
          </m:e>
          <m:sup>
            <m:r>
              <m:rPr>
                <m:sty m:val="p"/>
              </m:rPr>
              <m:t>*</m:t>
            </m:r>
          </m:sup>
        </m:sSup>
        <m:r>
          <m:rPr>
            <m:sty m:val="p"/>
          </m:rPr>
          <m:t>,</m:t>
        </m:r>
        <m:sSup>
          <m:e>
            <m:r>
              <m:t>p</m:t>
            </m:r>
          </m:e>
          <m:sup>
            <m:r>
              <m:rPr>
                <m:sty m:val="p"/>
              </m:rPr>
              <m:t>*</m:t>
            </m:r>
          </m:sup>
        </m:sSup>
        <m:r>
          <m:rPr>
            <m:sty m:val="p"/>
          </m:rPr>
          <m:t>)</m:t>
        </m:r>
      </m:oMath>
      <w:r>
        <w:t xml:space="preserve"> </w:t>
      </w:r>
      <w:r>
        <w:t xml:space="preserve">e compare os lucros.</w:t>
      </w:r>
    </w:p>
    <w:p>
      <w:pPr>
        <w:pStyle w:val="BlockText"/>
      </w:pPr>
      <w:r>
        <w:t xml:space="preserve">Ver solução (Cap. 15)</w:t>
      </w:r>
    </w:p>
    <w:p>
      <w:pPr>
        <w:pStyle w:val="BlockText"/>
      </w:pPr>
      <w:r>
        <w:rPr>
          <w:b/>
          <w:bCs/>
        </w:rPr>
        <w:t xml:space="preserve">[EXERCICIO PROPOSTO] Exercício 15.6</w:t>
      </w:r>
    </w:p>
    <w:p>
      <w:pPr>
        <w:pStyle w:val="BlockText"/>
      </w:pPr>
      <w:r>
        <w:t xml:space="preserve">Um monopolista enfrenta a demanda</w:t>
      </w:r>
      <w:r>
        <w:t xml:space="preserve"> </w:t>
      </w:r>
      <m:oMath>
        <m:r>
          <m:t>p</m:t>
        </m:r>
        <m:r>
          <m:rPr>
            <m:sty m:val="p"/>
          </m:rPr>
          <m:t>=</m:t>
        </m:r>
        <m:r>
          <m:t>80</m:t>
        </m:r>
        <m:r>
          <m:rPr>
            <m:sty m:val="p"/>
          </m:rPr>
          <m:t>−</m:t>
        </m:r>
        <m:r>
          <m:t>0</m:t>
        </m:r>
        <m:r>
          <m:rPr>
            <m:sty m:val="p"/>
          </m:rPr>
          <m:t>,</m:t>
        </m:r>
        <m:r>
          <m:t>5</m:t>
        </m:r>
        <m:r>
          <m:t>q</m:t>
        </m:r>
      </m:oMath>
      <w:r>
        <w:t xml:space="preserve"> </w:t>
      </w:r>
      <w:r>
        <w:t xml:space="preserve">e tem custo total</w:t>
      </w:r>
      <w:r>
        <w:t xml:space="preserve"> </w:t>
      </w:r>
      <m:oMath>
        <m:r>
          <m:t>C</m:t>
        </m:r>
        <m:r>
          <m:rPr>
            <m:sty m:val="p"/>
          </m:rPr>
          <m:t>(</m:t>
        </m:r>
        <m:r>
          <m:t>q</m:t>
        </m:r>
        <m:r>
          <m:rPr>
            <m:sty m:val="p"/>
          </m:rPr>
          <m:t>)</m:t>
        </m:r>
        <m:r>
          <m:rPr>
            <m:sty m:val="p"/>
          </m:rPr>
          <m:t>=</m:t>
        </m:r>
        <m:r>
          <m:t>200</m:t>
        </m:r>
        <m:r>
          <m:rPr>
            <m:sty m:val="p"/>
          </m:rPr>
          <m:t>+</m:t>
        </m:r>
        <m:r>
          <m:t>20</m:t>
        </m:r>
        <m:r>
          <m:t>q</m:t>
        </m:r>
      </m:oMath>
      <w:r>
        <w:t xml:space="preserve">.</w:t>
      </w:r>
    </w:p>
    <w:p>
      <w:pPr>
        <w:pStyle w:val="BlockText"/>
        <w:numPr>
          <w:ilvl w:val="0"/>
          <w:numId w:val="1865"/>
        </w:numPr>
      </w:pPr>
      <w:r>
        <w:t xml:space="preserve">Encontre a quantidade, o preço e o lucro de monopólio.</w:t>
      </w:r>
    </w:p>
    <w:p>
      <w:pPr>
        <w:pStyle w:val="BlockText"/>
        <w:numPr>
          <w:ilvl w:val="0"/>
          <w:numId w:val="1865"/>
        </w:numPr>
      </w:pPr>
      <w:r>
        <w:t xml:space="preserve">Calcule o índice de Lerner e verifique a relação</w:t>
      </w:r>
      <w:r>
        <w:t xml:space="preserve"> </w:t>
      </w:r>
      <m:oMath>
        <m:r>
          <m:t>L</m:t>
        </m:r>
        <m:r>
          <m:rPr>
            <m:sty m:val="p"/>
          </m:rPr>
          <m:t>=</m:t>
        </m:r>
        <m:r>
          <m:t>1</m:t>
        </m:r>
        <m:r>
          <m:rPr>
            <m:sty m:val="p"/>
          </m:rPr>
          <m:t>/</m:t>
        </m:r>
        <m:r>
          <m:rPr>
            <m:sty m:val="p"/>
          </m:rPr>
          <m:t>|</m:t>
        </m:r>
        <m:sSub>
          <m:e>
            <m:r>
              <m:t>ε</m:t>
            </m:r>
          </m:e>
          <m:sub>
            <m:r>
              <m:t>d</m:t>
            </m:r>
          </m:sub>
        </m:sSub>
        <m:r>
          <m:rPr>
            <m:sty m:val="p"/>
          </m:rPr>
          <m:t>|</m:t>
        </m:r>
      </m:oMath>
      <w:r>
        <w:t xml:space="preserve">.</w:t>
      </w:r>
    </w:p>
    <w:p>
      <w:pPr>
        <w:pStyle w:val="BlockText"/>
        <w:numPr>
          <w:ilvl w:val="0"/>
          <w:numId w:val="1865"/>
        </w:numPr>
      </w:pPr>
      <w:r>
        <w:t xml:space="preserve">Se a demanda mudar para</w:t>
      </w:r>
      <w:r>
        <w:t xml:space="preserve"> </w:t>
      </w:r>
      <m:oMath>
        <m:r>
          <m:t>p</m:t>
        </m:r>
        <m:r>
          <m:rPr>
            <m:sty m:val="p"/>
          </m:rPr>
          <m:t>=</m:t>
        </m:r>
        <m:r>
          <m:t>80</m:t>
        </m:r>
        <m:r>
          <m:rPr>
            <m:sty m:val="p"/>
          </m:rPr>
          <m:t>−</m:t>
        </m:r>
        <m:r>
          <m:t>2</m:t>
        </m:r>
        <m:r>
          <m:t>q</m:t>
        </m:r>
      </m:oMath>
      <w:r>
        <w:t xml:space="preserve"> </w:t>
      </w:r>
      <w:r>
        <w:t xml:space="preserve">(mantendo o mesmo custo), recalcule o equilíbrio de monopólio e compare o poder de mercado nos dois casos.</w:t>
      </w:r>
    </w:p>
    <w:p>
      <w:pPr>
        <w:pStyle w:val="BlockText"/>
      </w:pPr>
      <w:r>
        <w:t xml:space="preserve">Ver solução (Cap. 15)</w:t>
      </w:r>
    </w:p>
    <w:p>
      <w:pPr>
        <w:pStyle w:val="BlockText"/>
      </w:pPr>
      <w:r>
        <w:rPr>
          <w:b/>
          <w:bCs/>
        </w:rPr>
        <w:t xml:space="preserve">[EXERCICIO PROPOSTO] Exercício 15.7</w:t>
      </w:r>
    </w:p>
    <w:p>
      <w:pPr>
        <w:pStyle w:val="BlockText"/>
      </w:pPr>
      <w:r>
        <w:t xml:space="preserve">Um monopolista pode praticar discriminação de preços. A demanda individual de cada consumidor é</w:t>
      </w:r>
      <w:r>
        <w:t xml:space="preserve"> </w:t>
      </w:r>
      <m:oMath>
        <m:r>
          <m:t>q</m:t>
        </m:r>
        <m:r>
          <m:rPr>
            <m:sty m:val="p"/>
          </m:rPr>
          <m:t>=</m:t>
        </m:r>
        <m:r>
          <m:t>10</m:t>
        </m:r>
        <m:r>
          <m:rPr>
            <m:sty m:val="p"/>
          </m:rPr>
          <m:t>−</m:t>
        </m:r>
        <m:r>
          <m:t>p</m:t>
        </m:r>
      </m:oMath>
      <w:r>
        <w:t xml:space="preserve"> </w:t>
      </w:r>
      <w:r>
        <w:t xml:space="preserve">e há 50 consumidores idênticos. O custo marginal é constante</w:t>
      </w:r>
      <w:r>
        <w:t xml:space="preserve"> </w:t>
      </w:r>
      <m:oMath>
        <m:r>
          <m:t>c</m:t>
        </m:r>
        <m:r>
          <m:rPr>
            <m:sty m:val="p"/>
          </m:rPr>
          <m:t>=</m:t>
        </m:r>
        <m:r>
          <m:t>2</m:t>
        </m:r>
      </m:oMath>
      <w:r>
        <w:t xml:space="preserve">.</w:t>
      </w:r>
    </w:p>
    <w:p>
      <w:pPr>
        <w:pStyle w:val="BlockText"/>
        <w:numPr>
          <w:ilvl w:val="0"/>
          <w:numId w:val="1866"/>
        </w:numPr>
      </w:pPr>
      <w:r>
        <w:t xml:space="preserve">Calcule o lucro sob preço uniforme de monopólio (sem discriminação).</w:t>
      </w:r>
    </w:p>
    <w:p>
      <w:pPr>
        <w:pStyle w:val="BlockText"/>
        <w:numPr>
          <w:ilvl w:val="0"/>
          <w:numId w:val="1866"/>
        </w:numPr>
      </w:pPr>
      <w:r>
        <w:t xml:space="preserve">Calcule o lucro sob discriminação de primeiro grau (preços personalizados perfeitos).</w:t>
      </w:r>
    </w:p>
    <w:p>
      <w:pPr>
        <w:pStyle w:val="BlockText"/>
        <w:numPr>
          <w:ilvl w:val="0"/>
          <w:numId w:val="1866"/>
        </w:numPr>
      </w:pPr>
      <w:r>
        <w:t xml:space="preserve">Compare os excedentes do consumidor e do produtor nos dois casos. Há perda de peso morto sob discriminação perfeita?</w:t>
      </w:r>
    </w:p>
    <w:p>
      <w:pPr>
        <w:pStyle w:val="BlockText"/>
      </w:pPr>
      <w:r>
        <w:t xml:space="preserve">Ver solução (Cap. 15)</w:t>
      </w:r>
    </w:p>
    <w:p>
      <w:pPr>
        <w:pStyle w:val="BlockText"/>
      </w:pPr>
      <w:r>
        <w:rPr>
          <w:b/>
          <w:bCs/>
        </w:rPr>
        <w:t xml:space="preserve">[EXERCICIO PROPOSTO] Exercício 15.8</w:t>
      </w:r>
    </w:p>
    <w:p>
      <w:pPr>
        <w:pStyle w:val="BlockText"/>
      </w:pPr>
      <w:r>
        <w:t xml:space="preserve">Um monopolista natural opera com custo total</w:t>
      </w:r>
      <w:r>
        <w:t xml:space="preserve"> </w:t>
      </w:r>
      <m:oMath>
        <m:r>
          <m:t>C</m:t>
        </m:r>
        <m:r>
          <m:rPr>
            <m:sty m:val="p"/>
          </m:rPr>
          <m:t>(</m:t>
        </m:r>
        <m:r>
          <m:t>q</m:t>
        </m:r>
        <m:r>
          <m:rPr>
            <m:sty m:val="p"/>
          </m:rPr>
          <m:t>)</m:t>
        </m:r>
        <m:r>
          <m:rPr>
            <m:sty m:val="p"/>
          </m:rPr>
          <m:t>=</m:t>
        </m:r>
        <m:r>
          <m:t>500</m:t>
        </m:r>
        <m:r>
          <m:rPr>
            <m:sty m:val="p"/>
          </m:rPr>
          <m:t>+</m:t>
        </m:r>
        <m:r>
          <m:t>2</m:t>
        </m:r>
        <m:r>
          <m:t>q</m:t>
        </m:r>
      </m:oMath>
      <w:r>
        <w:t xml:space="preserve"> </w:t>
      </w:r>
      <w:r>
        <w:t xml:space="preserve">e demanda</w:t>
      </w:r>
      <w:r>
        <w:t xml:space="preserve"> </w:t>
      </w:r>
      <m:oMath>
        <m:r>
          <m:t>p</m:t>
        </m:r>
        <m:r>
          <m:rPr>
            <m:sty m:val="p"/>
          </m:rPr>
          <m:t>=</m:t>
        </m:r>
        <m:r>
          <m:t>52</m:t>
        </m:r>
        <m:r>
          <m:rPr>
            <m:sty m:val="p"/>
          </m:rPr>
          <m:t>−</m:t>
        </m:r>
        <m:r>
          <m:t>q</m:t>
        </m:r>
      </m:oMath>
      <w:r>
        <w:t xml:space="preserve">.</w:t>
      </w:r>
    </w:p>
    <w:p>
      <w:pPr>
        <w:pStyle w:val="BlockText"/>
        <w:numPr>
          <w:ilvl w:val="0"/>
          <w:numId w:val="1867"/>
        </w:numPr>
      </w:pPr>
      <w:r>
        <w:t xml:space="preserve">Calcule o resultado do monopólio não regulado (preço, quantidade, lucro).</w:t>
      </w:r>
    </w:p>
    <w:p>
      <w:pPr>
        <w:pStyle w:val="BlockText"/>
        <w:numPr>
          <w:ilvl w:val="0"/>
          <w:numId w:val="1867"/>
        </w:numPr>
      </w:pPr>
      <w:r>
        <w:t xml:space="preserve">Calcule o resultado sob regulação de custo marginal (</w:t>
      </w:r>
      <m:oMath>
        <m:r>
          <m:t>p</m:t>
        </m:r>
        <m:r>
          <m:rPr>
            <m:sty m:val="p"/>
          </m:rPr>
          <m:t>=</m:t>
        </m:r>
        <m:r>
          <m:t>C</m:t>
        </m:r>
        <m:r>
          <m:t>M</m:t>
        </m:r>
        <m:r>
          <m:t>g</m:t>
        </m:r>
      </m:oMath>
      <w:r>
        <w:t xml:space="preserve">). A firma é viável?</w:t>
      </w:r>
    </w:p>
    <w:p>
      <w:pPr>
        <w:pStyle w:val="BlockText"/>
        <w:numPr>
          <w:ilvl w:val="0"/>
          <w:numId w:val="1867"/>
        </w:numPr>
      </w:pPr>
      <w:r>
        <w:t xml:space="preserve">Calcule o resultado sob regulação de custo médio (</w:t>
      </w:r>
      <m:oMath>
        <m:r>
          <m:t>p</m:t>
        </m:r>
        <m:r>
          <m:rPr>
            <m:sty m:val="p"/>
          </m:rPr>
          <m:t>=</m:t>
        </m:r>
        <m:r>
          <m:t>C</m:t>
        </m:r>
        <m:r>
          <m:t>M</m:t>
        </m:r>
        <m:r>
          <m:t>e</m:t>
        </m:r>
      </m:oMath>
      <w:r>
        <w:t xml:space="preserve">) e determine o subsídio necessário (se houver) para viabilizar a firma em cada regime regulatório.</w:t>
      </w:r>
    </w:p>
    <w:p>
      <w:pPr>
        <w:pStyle w:val="BlockText"/>
      </w:pPr>
      <w:r>
        <w:t xml:space="preserve">Ver solução (Cap. 15)</w:t>
      </w:r>
    </w:p>
    <w:p>
      <w:pPr>
        <w:pStyle w:val="BlockText"/>
      </w:pPr>
      <w:r>
        <w:rPr>
          <w:b/>
          <w:bCs/>
        </w:rPr>
        <w:t xml:space="preserve">[EXERCICIO PROPOSTO] Exercício 15.9</w:t>
      </w:r>
    </w:p>
    <w:p>
      <w:pPr>
        <w:pStyle w:val="BlockText"/>
      </w:pPr>
      <w:r>
        <w:t xml:space="preserve">Considere um monopolista com custo marginal constante</w:t>
      </w:r>
      <w:r>
        <w:t xml:space="preserve"> </w:t>
      </w:r>
      <m:oMath>
        <m:r>
          <m:t>c</m:t>
        </m:r>
        <m:r>
          <m:rPr>
            <m:sty m:val="p"/>
          </m:rPr>
          <m:t>=</m:t>
        </m:r>
        <m:r>
          <m:t>10</m:t>
        </m:r>
      </m:oMath>
      <w:r>
        <w:t xml:space="preserve"> </w:t>
      </w:r>
      <w:r>
        <w:t xml:space="preserve">e demanda</w:t>
      </w:r>
      <w:r>
        <w:t xml:space="preserve"> </w:t>
      </w:r>
      <m:oMath>
        <m:r>
          <m:t>p</m:t>
        </m:r>
        <m:r>
          <m:rPr>
            <m:sty m:val="p"/>
          </m:rPr>
          <m:t>=</m:t>
        </m:r>
        <m:r>
          <m:t>100</m:t>
        </m:r>
        <m:r>
          <m:rPr>
            <m:sty m:val="p"/>
          </m:rPr>
          <m:t>−</m:t>
        </m:r>
        <m:r>
          <m:t>2</m:t>
        </m:r>
        <m:r>
          <m:t>q</m:t>
        </m:r>
      </m:oMath>
      <w:r>
        <w:t xml:space="preserve">.</w:t>
      </w:r>
    </w:p>
    <w:p>
      <w:pPr>
        <w:pStyle w:val="BlockText"/>
        <w:numPr>
          <w:ilvl w:val="0"/>
          <w:numId w:val="1868"/>
        </w:numPr>
      </w:pPr>
      <w:r>
        <w:t xml:space="preserve">Calcule o equilíbrio de monopólio e a perda de peso morto (DWL).</w:t>
      </w:r>
    </w:p>
    <w:p>
      <w:pPr>
        <w:pStyle w:val="BlockText"/>
        <w:numPr>
          <w:ilvl w:val="0"/>
          <w:numId w:val="1868"/>
        </w:numPr>
      </w:pPr>
      <w:r>
        <w:t xml:space="preserve">Calcule a DWL como fração da receita do monopolista e como fração do excedente total competitivo.</w:t>
      </w:r>
    </w:p>
    <w:p>
      <w:pPr>
        <w:pStyle w:val="BlockText"/>
        <w:numPr>
          <w:ilvl w:val="0"/>
          <w:numId w:val="1868"/>
        </w:numPr>
      </w:pPr>
      <w:r>
        <w:t xml:space="preserve">Suponha que o custo marginal suba para</w:t>
      </w:r>
      <w:r>
        <w:t xml:space="preserve"> </w:t>
      </w:r>
      <m:oMath>
        <m:sSup>
          <m:e>
            <m:r>
              <m:t>c</m:t>
            </m:r>
          </m:e>
          <m:sup>
            <m:r>
              <m:rPr>
                <m:sty m:val="p"/>
              </m:rPr>
              <m:t>′</m:t>
            </m:r>
          </m:sup>
        </m:sSup>
        <m:r>
          <m:rPr>
            <m:sty m:val="p"/>
          </m:rPr>
          <m:t>=</m:t>
        </m:r>
        <m:r>
          <m:t>30</m:t>
        </m:r>
      </m:oMath>
      <w:r>
        <w:t xml:space="preserve">. Recalcule a DWL e mostre como ela varia com o nível do custo marginal. Interprete.</w:t>
      </w:r>
    </w:p>
    <w:p>
      <w:pPr>
        <w:pStyle w:val="BlockText"/>
      </w:pPr>
      <w:r>
        <w:t xml:space="preserve">Ver solução (Cap. 15)</w:t>
      </w:r>
    </w:p>
    <w:p>
      <w:pPr>
        <w:pStyle w:val="BlockText"/>
      </w:pPr>
      <w:r>
        <w:rPr>
          <w:b/>
          <w:bCs/>
        </w:rPr>
        <w:t xml:space="preserve">[EXERCICIO PROPOSTO] Exercício 15.10</w:t>
      </w:r>
    </w:p>
    <w:p>
      <w:pPr>
        <w:pStyle w:val="BlockText"/>
      </w:pPr>
      <w:r>
        <w:t xml:space="preserve">Um monopolista de parque de diversões enfrenta consumidores idênticos, cada um com demanda por brinquedos</w:t>
      </w:r>
      <w:r>
        <w:t xml:space="preserve"> </w:t>
      </w:r>
      <m:oMath>
        <m:r>
          <m:t>q</m:t>
        </m:r>
        <m:r>
          <m:rPr>
            <m:sty m:val="p"/>
          </m:rPr>
          <m:t>=</m:t>
        </m:r>
        <m:r>
          <m:t>24</m:t>
        </m:r>
        <m:r>
          <m:rPr>
            <m:sty m:val="p"/>
          </m:rPr>
          <m:t>−</m:t>
        </m:r>
        <m:r>
          <m:t>2</m:t>
        </m:r>
        <m:r>
          <m:t>p</m:t>
        </m:r>
      </m:oMath>
      <w:r>
        <w:t xml:space="preserve">, onde</w:t>
      </w:r>
      <w:r>
        <w:t xml:space="preserve"> </w:t>
      </w:r>
      <m:oMath>
        <m:r>
          <m:t>p</m:t>
        </m:r>
      </m:oMath>
      <w:r>
        <w:t xml:space="preserve"> </w:t>
      </w:r>
      <w:r>
        <w:t xml:space="preserve">é o preço por brinquedo. O custo marginal de cada brinquedo é</w:t>
      </w:r>
      <w:r>
        <w:t xml:space="preserve"> </w:t>
      </w:r>
      <m:oMath>
        <m:r>
          <m:t>c</m:t>
        </m:r>
        <m:r>
          <m:rPr>
            <m:sty m:val="p"/>
          </m:rPr>
          <m:t>=</m:t>
        </m:r>
        <m:r>
          <m:t>2</m:t>
        </m:r>
      </m:oMath>
      <w:r>
        <w:t xml:space="preserve">. O monopolista usa uma tarifa em duas partes: cobra uma entrada fixa</w:t>
      </w:r>
      <w:r>
        <w:t xml:space="preserve"> </w:t>
      </w:r>
      <m:oMath>
        <m:r>
          <m:t>T</m:t>
        </m:r>
      </m:oMath>
      <w:r>
        <w:t xml:space="preserve"> </w:t>
      </w:r>
      <w:r>
        <w:t xml:space="preserve">e um preço por brinquedo</w:t>
      </w:r>
      <w:r>
        <w:t xml:space="preserve"> </w:t>
      </w:r>
      <m:oMath>
        <m:r>
          <m:t>p</m:t>
        </m:r>
      </m:oMath>
      <w:r>
        <w:t xml:space="preserve">.</w:t>
      </w:r>
    </w:p>
    <w:p>
      <w:pPr>
        <w:pStyle w:val="BlockText"/>
        <w:numPr>
          <w:ilvl w:val="0"/>
          <w:numId w:val="1869"/>
        </w:numPr>
      </w:pPr>
      <w:r>
        <w:t xml:space="preserve">Encontre a tarifa ótima em duas partes</w:t>
      </w:r>
      <w:r>
        <w:t xml:space="preserve"> </w:t>
      </w:r>
      <m:oMath>
        <m:r>
          <m:rPr>
            <m:sty m:val="p"/>
          </m:rPr>
          <m:t>(</m:t>
        </m:r>
        <m:sSup>
          <m:e>
            <m:r>
              <m:t>T</m:t>
            </m:r>
          </m:e>
          <m:sup>
            <m:r>
              <m:rPr>
                <m:sty m:val="p"/>
              </m:rPr>
              <m:t>*</m:t>
            </m:r>
          </m:sup>
        </m:sSup>
        <m:r>
          <m:rPr>
            <m:sty m:val="p"/>
          </m:rPr>
          <m:t>,</m:t>
        </m:r>
        <m:sSup>
          <m:e>
            <m:r>
              <m:t>p</m:t>
            </m:r>
          </m:e>
          <m:sup>
            <m:r>
              <m:rPr>
                <m:sty m:val="p"/>
              </m:rPr>
              <m:t>*</m:t>
            </m:r>
          </m:sup>
        </m:sSup>
        <m:r>
          <m:rPr>
            <m:sty m:val="p"/>
          </m:rPr>
          <m:t>)</m:t>
        </m:r>
      </m:oMath>
      <w:r>
        <w:t xml:space="preserve"> </w:t>
      </w:r>
      <w:r>
        <w:t xml:space="preserve">e o lucro por consumidor.</w:t>
      </w:r>
    </w:p>
    <w:p>
      <w:pPr>
        <w:pStyle w:val="BlockText"/>
        <w:numPr>
          <w:ilvl w:val="0"/>
          <w:numId w:val="1869"/>
        </w:numPr>
      </w:pPr>
      <w:r>
        <w:t xml:space="preserve">Compare com o lucro que o monopolista obteria usando apenas preço uniforme (sem entrada).</w:t>
      </w:r>
    </w:p>
    <w:p>
      <w:pPr>
        <w:pStyle w:val="BlockText"/>
        <w:numPr>
          <w:ilvl w:val="0"/>
          <w:numId w:val="1869"/>
        </w:numPr>
      </w:pPr>
      <w:r>
        <w:t xml:space="preserve">Suponha agora que haja dois tipos de consumidores: tipo A com demanda</w:t>
      </w:r>
      <w:r>
        <w:t xml:space="preserve"> </w:t>
      </w:r>
      <m:oMath>
        <m:sSub>
          <m:e>
            <m:r>
              <m:t>q</m:t>
            </m:r>
          </m:e>
          <m:sub>
            <m:r>
              <m:t>A</m:t>
            </m:r>
          </m:sub>
        </m:sSub>
        <m:r>
          <m:rPr>
            <m:sty m:val="p"/>
          </m:rPr>
          <m:t>=</m:t>
        </m:r>
        <m:r>
          <m:t>24</m:t>
        </m:r>
        <m:r>
          <m:rPr>
            <m:sty m:val="p"/>
          </m:rPr>
          <m:t>−</m:t>
        </m:r>
        <m:r>
          <m:t>2</m:t>
        </m:r>
        <m:r>
          <m:t>p</m:t>
        </m:r>
      </m:oMath>
      <w:r>
        <w:t xml:space="preserve"> </w:t>
      </w:r>
      <w:r>
        <w:t xml:space="preserve">e tipo B com demanda</w:t>
      </w:r>
      <w:r>
        <w:t xml:space="preserve"> </w:t>
      </w:r>
      <m:oMath>
        <m:sSub>
          <m:e>
            <m:r>
              <m:t>q</m:t>
            </m:r>
          </m:e>
          <m:sub>
            <m:r>
              <m:t>B</m:t>
            </m:r>
          </m:sub>
        </m:sSub>
        <m:r>
          <m:rPr>
            <m:sty m:val="p"/>
          </m:rPr>
          <m:t>=</m:t>
        </m:r>
        <m:r>
          <m:t>12</m:t>
        </m:r>
        <m:r>
          <m:rPr>
            <m:sty m:val="p"/>
          </m:rPr>
          <m:t>−</m:t>
        </m:r>
        <m:r>
          <m:t>2</m:t>
        </m:r>
        <m:r>
          <m:t>p</m:t>
        </m:r>
      </m:oMath>
      <w:r>
        <w:t xml:space="preserve">, em proporções iguais. Encontre a tarifa em duas partes ótima que atenda ambos os tipos.</w:t>
      </w:r>
    </w:p>
    <w:p>
      <w:pPr>
        <w:pStyle w:val="BlockText"/>
      </w:pPr>
      <w:r>
        <w:t xml:space="preserve">Ver solução (Cap. 15)</w:t>
      </w:r>
    </w:p>
    <w:p>
      <w:r>
        <w:pict>
          <v:rect style="width:0;height:1.5pt" o:hralign="center" o:hrstd="t" o:hr="t"/>
        </w:pict>
      </w:r>
    </w:p>
    <w:bookmarkEnd w:id="956"/>
    <w:bookmarkStart w:id="957" w:name="vem-anpec-14"/>
    <w:p>
      <w:pPr>
        <w:pStyle w:val="Heading3"/>
      </w:pPr>
      <w:r>
        <w:t xml:space="preserve">Vem, ANPEC!</w:t>
      </w:r>
    </w:p>
    <w:p>
      <w:pPr>
        <w:pStyle w:val="FirstParagraph"/>
      </w:pPr>
      <w:r>
        <w:t xml:space="preserve">Pratique com questões reais do Exame Nacional da ANPEC (Associação Nacional dos Centros de Pós-Graduação em Economia). As questões seguem o formato oficial: cinco itens (0 a 4) a serem julgados como Verdadeiro (V) ou Falso (F).</w:t>
      </w:r>
    </w:p>
    <w:p>
      <w:pPr>
        <w:pStyle w:val="BlockText"/>
      </w:pPr>
      <w:r>
        <w:rPr>
          <w:b/>
          <w:bCs/>
        </w:rPr>
        <w:t xml:space="preserve">[QUESTAO] ANPEC 2016 — Questão 08</w:t>
      </w:r>
    </w:p>
    <w:p>
      <w:pPr>
        <w:pStyle w:val="BlockText"/>
      </w:pPr>
      <w:r>
        <w:t xml:space="preserve">Com relação a poder de mercado, monopólio e monopsônio, é correto afirmar que:</w:t>
      </w:r>
    </w:p>
    <w:p>
      <w:pPr>
        <w:pStyle w:val="BlockText"/>
      </w:pPr>
      <w:r>
        <w:rPr>
          <w:b/>
          <w:bCs/>
        </w:rPr>
        <w:t xml:space="preserve">(0)</w:t>
      </w:r>
      <w:r>
        <w:t xml:space="preserve"> </w:t>
      </w:r>
      <w:r>
        <w:t xml:space="preserve">Se o custo marginal da empresa em monopólio for constante e igual a $ 10, e a elasticidade-preço da demanda for igual a</w:t>
      </w:r>
      <w:r>
        <w:t xml:space="preserve"> </w:t>
      </w:r>
      <m:oMath>
        <m:r>
          <m:rPr>
            <m:sty m:val="p"/>
          </m:rPr>
          <m:t>−</m:t>
        </m:r>
        <m:r>
          <m:t>2</m:t>
        </m:r>
      </m:oMath>
      <w:r>
        <w:t xml:space="preserve">, o preço do produto será $ 20;</w:t>
      </w:r>
    </w:p>
    <w:p>
      <w:pPr>
        <w:pStyle w:val="BlockText"/>
      </w:pPr>
      <w:r>
        <w:rPr>
          <w:b/>
          <w:bCs/>
        </w:rPr>
        <w:t xml:space="preserve">(1)</w:t>
      </w:r>
      <w:r>
        <w:t xml:space="preserve"> </w:t>
      </w:r>
      <w:r>
        <w:t xml:space="preserve">Quanto menos elástica for a curva de demanda de uma empresa, maior poder de monopólio ela terá;</w:t>
      </w:r>
    </w:p>
    <w:p>
      <w:pPr>
        <w:pStyle w:val="BlockText"/>
      </w:pPr>
      <w:r>
        <w:rPr>
          <w:b/>
          <w:bCs/>
        </w:rPr>
        <w:t xml:space="preserve">(2)</w:t>
      </w:r>
      <w:r>
        <w:t xml:space="preserve"> </w:t>
      </w:r>
      <w:r>
        <w:t xml:space="preserve">O poder de monopsônio permite à empresa compradora adquirir o produto por um preço inferior ao competitivo;</w:t>
      </w:r>
    </w:p>
    <w:p>
      <w:pPr>
        <w:pStyle w:val="BlockText"/>
      </w:pPr>
      <w:r>
        <w:rPr>
          <w:b/>
          <w:bCs/>
        </w:rPr>
        <w:t xml:space="preserve">(3)</w:t>
      </w:r>
      <w:r>
        <w:t xml:space="preserve"> </w:t>
      </w:r>
      <w:r>
        <w:t xml:space="preserve">Quanto menos elástica for a curva de oferta, maior será a diferença entre a despesa marginal e a despesa média, e maior será o poder de monopsônio do comprador;</w:t>
      </w:r>
    </w:p>
    <w:p>
      <w:pPr>
        <w:pStyle w:val="BlockText"/>
      </w:pPr>
      <w:r>
        <w:rPr>
          <w:b/>
          <w:bCs/>
        </w:rPr>
        <w:t xml:space="preserve">(4)</w:t>
      </w:r>
      <w:r>
        <w:t xml:space="preserve"> </w:t>
      </w:r>
      <w:r>
        <w:t xml:space="preserve">Chama-se captura de renda ao processo pelo qual as empresas aplicam recursos produtivos em atividade de lobby para adquirir, manter ou exercer seu poder de monopólio.</w:t>
      </w:r>
    </w:p>
    <w:p>
      <w:pPr>
        <w:pStyle w:val="BlockText"/>
      </w:pPr>
      <w:r>
        <w:t xml:space="preserve">??? success</w:t>
      </w:r>
      <w:r>
        <w:t xml:space="preserve"> </w:t>
      </w:r>
      <w:r>
        <w:t xml:space="preserve">“Gabarito”</w:t>
      </w:r>
      <w:r>
        <w:t xml:space="preserve"> </w:t>
      </w:r>
      <w:r>
        <w:rPr>
          <w:b/>
          <w:bCs/>
        </w:rPr>
        <w:t xml:space="preserve">Gabarito oficial: V-V-V-V-V</w:t>
      </w:r>
    </w:p>
    <w:p>
      <w:pPr>
        <w:pStyle w:val="SourceCode"/>
      </w:pPr>
      <w:r>
        <w:rPr>
          <w:rStyle w:val="VerbatimChar"/>
        </w:rPr>
        <w:t xml:space="preserve">**(0) VERDADEIRO.** Pela regra de markup: $p = CMg/(1 - 1/|\varepsilon|) = 10/(1 - 1/2) = 10/0{,}5 = 20$.</w:t>
      </w:r>
      <w:r>
        <w:br/>
      </w:r>
      <w:r>
        <w:br/>
      </w:r>
      <w:r>
        <w:rPr>
          <w:rStyle w:val="VerbatimChar"/>
        </w:rPr>
        <w:t xml:space="preserve">**(1) VERDADEIRO.** O índice de Lerner é $L = 1/|\varepsilon|$. Quanto menos elástica (menor $|\varepsilon|$), maior o Lerner e maior o poder de monopólio.</w:t>
      </w:r>
      <w:r>
        <w:br/>
      </w:r>
      <w:r>
        <w:br/>
      </w:r>
      <w:r>
        <w:rPr>
          <w:rStyle w:val="VerbatimChar"/>
        </w:rPr>
        <w:t xml:space="preserve">**(2) VERDADEIRO.** O monopsonista iguala a despesa marginal (que excede o preço de oferta) ao valor do produto marginal do insumo, contratando menos unidades a um preço inferior ao que prevaleceria em concorrência.</w:t>
      </w:r>
      <w:r>
        <w:br/>
      </w:r>
      <w:r>
        <w:br/>
      </w:r>
      <w:r>
        <w:rPr>
          <w:rStyle w:val="VerbatimChar"/>
        </w:rPr>
        <w:t xml:space="preserve">**(3) VERDADEIRO.** Com oferta $w = w(L)$, a despesa marginal é $DM = w + L \cdot dw/dL$. A diferença $DM - w = L \cdot dw/dL$ é maior quanto mais inclinada (menos elástica) for a curva de oferta, pois $dw/dL$ é maior.</w:t>
      </w:r>
      <w:r>
        <w:br/>
      </w:r>
      <w:r>
        <w:br/>
      </w:r>
      <w:r>
        <w:rPr>
          <w:rStyle w:val="VerbatimChar"/>
        </w:rPr>
        <w:t xml:space="preserve">**(4) VERDADEIRO.** O comportamento descrito — aplicar recursos em lobby para obter ou manter poder de monopólio — corresponde ao conceito de *rent-seeking* (busca/captura de rendas), introduzido por Tullock (1967) e formalizado por Krueger (1974).</w:t>
      </w:r>
    </w:p>
    <w:p>
      <w:pPr>
        <w:pStyle w:val="BlockText"/>
      </w:pPr>
      <w:r>
        <w:rPr>
          <w:b/>
          <w:bCs/>
        </w:rPr>
        <w:t xml:space="preserve">[QUESTAO] ANPEC 2015 — Questão 09</w:t>
      </w:r>
    </w:p>
    <w:p>
      <w:pPr>
        <w:pStyle w:val="BlockText"/>
      </w:pPr>
      <w:r>
        <w:t xml:space="preserve">Julgue as afirmações relativas à Teoria do Monopólio:</w:t>
      </w:r>
    </w:p>
    <w:p>
      <w:pPr>
        <w:pStyle w:val="BlockText"/>
      </w:pPr>
      <w:r>
        <w:rPr>
          <w:b/>
          <w:bCs/>
        </w:rPr>
        <w:t xml:space="preserve">(0)</w:t>
      </w:r>
      <w:r>
        <w:t xml:space="preserve"> </w:t>
      </w:r>
      <w:r>
        <w:t xml:space="preserve">Uma firma monopolista, que opera com várias fábricas, aloca sua produção entre elas de forma a igualar o custo médio em cada uma das fábricas.</w:t>
      </w:r>
    </w:p>
    <w:p>
      <w:pPr>
        <w:pStyle w:val="BlockText"/>
      </w:pPr>
      <w:r>
        <w:rPr>
          <w:b/>
          <w:bCs/>
        </w:rPr>
        <w:t xml:space="preserve">(1)</w:t>
      </w:r>
      <w:r>
        <w:t xml:space="preserve"> </w:t>
      </w:r>
      <w:r>
        <w:t xml:space="preserve">Uma firma capaz de discriminação de preços de terceiro grau obtém lucro maior ou igual, em comparação com a situação na qual ela não fosse capaz de discriminar.</w:t>
      </w:r>
    </w:p>
    <w:p>
      <w:pPr>
        <w:pStyle w:val="BlockText"/>
      </w:pPr>
      <w:r>
        <w:rPr>
          <w:b/>
          <w:bCs/>
        </w:rPr>
        <w:t xml:space="preserve">(2)</w:t>
      </w:r>
      <w:r>
        <w:t xml:space="preserve"> </w:t>
      </w:r>
      <w:r>
        <w:t xml:space="preserve">Uma firma monopolista, que se depara com curva de demanda com elasticidade constante, é indiferente sobre a quantidade produzida.</w:t>
      </w:r>
    </w:p>
    <w:p>
      <w:pPr>
        <w:pStyle w:val="BlockText"/>
      </w:pPr>
      <w:r>
        <w:rPr>
          <w:b/>
          <w:bCs/>
        </w:rPr>
        <w:t xml:space="preserve">(3)</w:t>
      </w:r>
      <w:r>
        <w:t xml:space="preserve"> </w:t>
      </w:r>
      <w:r>
        <w:t xml:space="preserve">Para obter eficiência econômica, o regulador de um monopólio natural deve escolher a alocação que minimiza o custo médio unitário da firma.</w:t>
      </w:r>
    </w:p>
    <w:p>
      <w:pPr>
        <w:pStyle w:val="BlockText"/>
      </w:pPr>
      <w:r>
        <w:rPr>
          <w:b/>
          <w:bCs/>
        </w:rPr>
        <w:t xml:space="preserve">(4)</w:t>
      </w:r>
      <w:r>
        <w:t xml:space="preserve"> </w:t>
      </w:r>
      <w:r>
        <w:t xml:space="preserve">Se o monopolista for capaz de realizar discriminação de preços de primeiro grau, a alocação de recursos será eficiente em termos paretianos.</w:t>
      </w:r>
    </w:p>
    <w:p>
      <w:pPr>
        <w:pStyle w:val="BlockText"/>
      </w:pPr>
      <w:r>
        <w:t xml:space="preserve">??? success</w:t>
      </w:r>
      <w:r>
        <w:t xml:space="preserve"> </w:t>
      </w:r>
      <w:r>
        <w:t xml:space="preserve">“Gabarito”</w:t>
      </w:r>
      <w:r>
        <w:t xml:space="preserve"> </w:t>
      </w:r>
      <w:r>
        <w:rPr>
          <w:b/>
          <w:bCs/>
        </w:rPr>
        <w:t xml:space="preserve">Gabarito oficial: F-V-F-F-V</w:t>
      </w:r>
    </w:p>
    <w:p>
      <w:pPr>
        <w:pStyle w:val="SourceCode"/>
      </w:pPr>
      <w:r>
        <w:rPr>
          <w:rStyle w:val="VerbatimChar"/>
        </w:rPr>
        <w:t xml:space="preserve">**(0) FALSO.** A firma multi-planta minimiza custos igualando os **custos marginais** (não os custos médios) entre fábricas: $CMg_1(q_1) = CMg_2(q_2) = \ldots$. Essa é a condição de Lagrange para a minimização de custo total sujeita a uma meta de produção.</w:t>
      </w:r>
      <w:r>
        <w:br/>
      </w:r>
      <w:r>
        <w:br/>
      </w:r>
      <w:r>
        <w:rPr>
          <w:rStyle w:val="VerbatimChar"/>
        </w:rPr>
        <w:t xml:space="preserve">**(1) VERDADEIRO.** A capacidade de discriminar nunca reduz o lucro, pois o monopolista pode sempre replicar o preço uniforme como caso especial (cobrando o mesmo preço em todos os segmentos). Logo, $\pi_{\text{discriminação}} \geq \pi_{\text{uniforme}}$.</w:t>
      </w:r>
      <w:r>
        <w:br/>
      </w:r>
      <w:r>
        <w:br/>
      </w:r>
      <w:r>
        <w:rPr>
          <w:rStyle w:val="VerbatimChar"/>
        </w:rPr>
        <w:t xml:space="preserve">**(2) FALSO.** Com demanda isoelástica ($q = Ap^{\varepsilon}$) e custo marginal positivo, a regra de markup $p = CMg/(1 - 1/|\varepsilon|)$ determina univocamente o preço e a quantidade ótimos. O monopolista não é indiferente.</w:t>
      </w:r>
      <w:r>
        <w:br/>
      </w:r>
      <w:r>
        <w:br/>
      </w:r>
      <w:r>
        <w:rPr>
          <w:rStyle w:val="VerbatimChar"/>
        </w:rPr>
        <w:t xml:space="preserve">**(3) FALSO.** Eficiência econômica requer $p = CMg$ (*first-best*), que é a condição em que o benefício marginal do consumidor iguala o custo marginal da produção. Minimizar o custo médio gera uma alocação diferente e, em geral, ineficiente.</w:t>
      </w:r>
      <w:r>
        <w:br/>
      </w:r>
      <w:r>
        <w:br/>
      </w:r>
      <w:r>
        <w:rPr>
          <w:rStyle w:val="VerbatimChar"/>
        </w:rPr>
        <w:t xml:space="preserve">**(4) VERDADEIRO.** Com discriminação perfeita, o monopolista produz a quantidade eficiente ($q^c$, onde $p = CMg$), eliminando toda a perda de peso morto. A alocação é Pareto-eficiente, embora todo o excedente seja apropriado pelo produtor ($EC = 0$).</w:t>
      </w:r>
    </w:p>
    <w:p>
      <w:pPr>
        <w:pStyle w:val="BlockText"/>
      </w:pPr>
      <w:r>
        <w:rPr>
          <w:b/>
          <w:bCs/>
        </w:rPr>
        <w:t xml:space="preserve">[QUESTAO] ANPEC 2018 — Questão 08</w:t>
      </w:r>
    </w:p>
    <w:p>
      <w:pPr>
        <w:pStyle w:val="BlockText"/>
      </w:pPr>
      <w:r>
        <w:t xml:space="preserve">Com relação à análise de discriminação de preços, indique quais das afirmativas a seguir são verdadeiras e quais são falsas:</w:t>
      </w:r>
    </w:p>
    <w:p>
      <w:pPr>
        <w:pStyle w:val="BlockText"/>
      </w:pPr>
      <w:r>
        <w:rPr>
          <w:b/>
          <w:bCs/>
        </w:rPr>
        <w:t xml:space="preserve">(0)</w:t>
      </w:r>
      <w:r>
        <w:t xml:space="preserve"> </w:t>
      </w:r>
      <w:r>
        <w:t xml:space="preserve">Na discriminação de preços de terceiro grau, a receita marginal deve ser igual para os diferentes grupos de consumidores e igual ao custo marginal;</w:t>
      </w:r>
    </w:p>
    <w:p>
      <w:pPr>
        <w:pStyle w:val="BlockText"/>
      </w:pPr>
      <w:r>
        <w:rPr>
          <w:b/>
          <w:bCs/>
        </w:rPr>
        <w:t xml:space="preserve">(1)</w:t>
      </w:r>
      <w:r>
        <w:t xml:space="preserve"> </w:t>
      </w:r>
      <w:r>
        <w:t xml:space="preserve">Na discriminação de preços de terceiro grau, o preço mais elevado será cobrado dos consumidores com demanda mais elástica;</w:t>
      </w:r>
    </w:p>
    <w:p>
      <w:pPr>
        <w:pStyle w:val="BlockText"/>
      </w:pPr>
      <w:r>
        <w:rPr>
          <w:b/>
          <w:bCs/>
        </w:rPr>
        <w:t xml:space="preserve">(2)</w:t>
      </w:r>
      <w:r>
        <w:t xml:space="preserve"> </w:t>
      </w:r>
      <w:r>
        <w:t xml:space="preserve">A discriminação de preços intertemporal cobra preços mais elevados dos consumidores mais impacientes, reduzindo o preço mais tarde para incentivar o consumo de massa;</w:t>
      </w:r>
    </w:p>
    <w:p>
      <w:pPr>
        <w:pStyle w:val="BlockText"/>
      </w:pPr>
      <w:r>
        <w:rPr>
          <w:b/>
          <w:bCs/>
        </w:rPr>
        <w:t xml:space="preserve">(3)</w:t>
      </w:r>
      <w:r>
        <w:t xml:space="preserve"> </w:t>
      </w:r>
      <w:r>
        <w:t xml:space="preserve">A tarifa em duas partes é eficaz quando as demandas dos consumidores são relativamente homogêneas;</w:t>
      </w:r>
    </w:p>
    <w:p>
      <w:pPr>
        <w:pStyle w:val="BlockText"/>
      </w:pPr>
      <w:r>
        <w:rPr>
          <w:b/>
          <w:bCs/>
        </w:rPr>
        <w:t xml:space="preserve">(4)</w:t>
      </w:r>
      <w:r>
        <w:t xml:space="preserve"> </w:t>
      </w:r>
      <w:r>
        <w:t xml:space="preserve">Quando as demandas são heterogêneas e estão positivamente correlacionadas, a prática do pacote pode ser uma técnica eficaz para a fixação de preços.</w:t>
      </w:r>
    </w:p>
    <w:p>
      <w:pPr>
        <w:pStyle w:val="BlockText"/>
      </w:pPr>
      <w:r>
        <w:t xml:space="preserve">??? success</w:t>
      </w:r>
      <w:r>
        <w:t xml:space="preserve"> </w:t>
      </w:r>
      <w:r>
        <w:t xml:space="preserve">“Gabarito”</w:t>
      </w:r>
      <w:r>
        <w:t xml:space="preserve"> </w:t>
      </w:r>
      <w:r>
        <w:rPr>
          <w:b/>
          <w:bCs/>
        </w:rPr>
        <w:t xml:space="preserve">Gabarito oficial: V-F-V-V-F</w:t>
      </w:r>
    </w:p>
    <w:p>
      <w:pPr>
        <w:pStyle w:val="SourceCode"/>
      </w:pPr>
      <w:r>
        <w:rPr>
          <w:rStyle w:val="VerbatimChar"/>
        </w:rPr>
        <w:t xml:space="preserve">**(0) VERDADEIRO.** A condição de ótimo na discriminação de 3º grau é $RMg_1 = RMg_2 = \ldots = CMg$. O monopolista iguala as receitas marginais de todos os segmentos ao custo marginal.</w:t>
      </w:r>
      <w:r>
        <w:br/>
      </w:r>
      <w:r>
        <w:br/>
      </w:r>
      <w:r>
        <w:rPr>
          <w:rStyle w:val="VerbatimChar"/>
        </w:rPr>
        <w:t xml:space="preserve">**(1) FALSO.** O preço mais elevado é cobrado do grupo com demanda **mais inelástica** (menor $|\varepsilon|$), não mais elástica. Pela relação $p_i = CMg/(1 - 1/|\varepsilon_i|)$, menor elasticidade implica maior preço.</w:t>
      </w:r>
      <w:r>
        <w:br/>
      </w:r>
      <w:r>
        <w:br/>
      </w:r>
      <w:r>
        <w:rPr>
          <w:rStyle w:val="VerbatimChar"/>
        </w:rPr>
        <w:t xml:space="preserve">**(2) VERDADEIRO.** Na discriminação intertemporal, consumidores impacientes (alta disposição a pagar, demanda inelástica no tempo) compram imediatamente ao preço alto. O preço cai ao longo do tempo para capturar consumidores com menor disposição a pagar. Exemplos: livros em capa dura seguidos de edição de bolso, eletrônicos no lançamento.</w:t>
      </w:r>
      <w:r>
        <w:br/>
      </w:r>
      <w:r>
        <w:br/>
      </w:r>
      <w:r>
        <w:rPr>
          <w:rStyle w:val="VerbatimChar"/>
        </w:rPr>
        <w:t xml:space="preserve">**(3) VERDADEIRO.** Com consumidores homogêneos, a tarifa em duas partes é particularmente eficaz: fixa-se $p = CMg$ e $T = EC$ do consumidor representativo, extraindo todo o excedente com eficiência alocativa plena.</w:t>
      </w:r>
      <w:r>
        <w:br/>
      </w:r>
      <w:r>
        <w:br/>
      </w:r>
      <w:r>
        <w:rPr>
          <w:rStyle w:val="VerbatimChar"/>
        </w:rPr>
        <w:t xml:space="preserve">**(4) FALSO.** O *bundling* (venda em pacote) é mais eficaz quando as demandas dos bens estão **negativamente** correlacionadas, pois isso reduz a dispersão da disposição a pagar pelo pacote, permitindo melhor extração de excedente. Com correlação positiva, o pacote não reduz a heterogeneidade e o *bundling* é pouco eficaz.</w:t>
      </w:r>
    </w:p>
    <w:p>
      <w:r>
        <w:pict>
          <v:rect style="width:0;height:1.5pt" o:hralign="center" o:hrstd="t" o:hr="t"/>
        </w:pict>
      </w:r>
    </w:p>
    <w:p>
      <w:pPr>
        <w:pStyle w:val="BlockText"/>
      </w:pPr>
      <w:r>
        <w:rPr>
          <w:b/>
          <w:bCs/>
        </w:rPr>
        <w:t xml:space="preserve">[DICA] Exercício com IA</w:t>
      </w:r>
    </w:p>
    <w:p>
      <w:pPr>
        <w:pStyle w:val="BlockText"/>
      </w:pPr>
      <w:r>
        <w:rPr>
          <w:b/>
          <w:bCs/>
        </w:rPr>
        <w:t xml:space="preserve">IA.3 — Deadweight Loss do Monopólio</w:t>
      </w:r>
    </w:p>
    <w:p>
      <w:pPr>
        <w:pStyle w:val="BlockText"/>
      </w:pPr>
      <w:r>
        <w:t xml:space="preserve">Peça à IA para calcular o deadweight loss de um monopólio com demanda</w:t>
      </w:r>
      <w:r>
        <w:t xml:space="preserve"> </w:t>
      </w:r>
      <m:oMath>
        <m:r>
          <m:t>P</m:t>
        </m:r>
        <m:r>
          <m:rPr>
            <m:sty m:val="p"/>
          </m:rPr>
          <m:t>=</m:t>
        </m:r>
        <m:r>
          <m:t>100</m:t>
        </m:r>
        <m:r>
          <m:rPr>
            <m:sty m:val="p"/>
          </m:rPr>
          <m:t>−</m:t>
        </m:r>
        <m:r>
          <m:t>2</m:t>
        </m:r>
        <m:r>
          <m:t>Q</m:t>
        </m:r>
      </m:oMath>
      <w:r>
        <w:t xml:space="preserve"> </w:t>
      </w:r>
      <w:r>
        <w:t xml:space="preserve">e</w:t>
      </w:r>
      <w:r>
        <w:t xml:space="preserve"> </w:t>
      </w:r>
      <m:oMath>
        <m:r>
          <m:t>C</m:t>
        </m:r>
        <m:r>
          <m:t>M</m:t>
        </m:r>
        <m:r>
          <m:t>g</m:t>
        </m:r>
        <m:r>
          <m:rPr>
            <m:sty m:val="p"/>
          </m:rPr>
          <m:t>=</m:t>
        </m:r>
        <m:r>
          <m:t>20</m:t>
        </m:r>
      </m:oMath>
      <w:r>
        <w:t xml:space="preserve">. Depois peça para ela comparar com discriminação de preços de 1º grau. A IA distinguiu corretamente os excedentes? Desenhe os gráficos para confirmar.</w:t>
      </w:r>
    </w:p>
    <w:p>
      <w:pPr>
        <w:pStyle w:val="BlockText"/>
      </w:pPr>
      <w:r>
        <w:t xml:space="preserve">Ver exercício completo</w:t>
      </w:r>
    </w:p>
    <w:bookmarkEnd w:id="957"/>
    <w:bookmarkEnd w:id="958"/>
    <w:bookmarkStart w:id="976" w:name="pesquisa-em-ação-capítulo-15"/>
    <w:p>
      <w:pPr>
        <w:pStyle w:val="Heading2"/>
      </w:pPr>
      <w:r>
        <w:t xml:space="preserve">Pesquisa em Ação — Capítulo 15</w:t>
      </w:r>
    </w:p>
    <w:bookmarkStart w:id="964" w:name="pesquisa-em-ação-17"/>
    <w:p>
      <w:pPr>
        <w:pStyle w:val="Heading3"/>
      </w:pPr>
      <w:r>
        <w:t xml:space="preserve">Pesquisa em Ação</w:t>
      </w:r>
    </w:p>
    <w:p>
      <w:pPr>
        <w:pStyle w:val="BlockText"/>
      </w:pPr>
      <w:r>
        <w:rPr>
          <w:b/>
          <w:bCs/>
        </w:rPr>
        <w:t xml:space="preserve">[PESQUISA EM ACAO] De Loecker, J., Eeckhout, J. &amp; Unger, G. (2020). The Rise of Market Power and the Macroeconomic Implications.</w:t>
      </w:r>
      <w:r>
        <w:rPr>
          <w:b/>
          <w:bCs/>
        </w:rPr>
        <w:t xml:space="preserve"> </w:t>
      </w:r>
      <w:r>
        <w:rPr>
          <w:b/>
          <w:bCs/>
          <w:i/>
          <w:iCs/>
        </w:rPr>
        <w:t xml:space="preserve">Quarterly Journal of Economics</w:t>
      </w:r>
      <w:r>
        <w:rPr>
          <w:b/>
          <w:bCs/>
        </w:rPr>
        <w:t xml:space="preserve">, 135(2), 561–644.</w:t>
      </w:r>
    </w:p>
    <w:p>
      <w:pPr>
        <w:pStyle w:val="BlockText"/>
      </w:pPr>
      <w:r>
        <w:rPr>
          <w:b/>
          <w:bCs/>
        </w:rPr>
        <w:t xml:space="preserve">DOI:</w:t>
      </w:r>
      <w:r>
        <w:t xml:space="preserve"> </w:t>
      </w:r>
      <w:hyperlink r:id="rId959">
        <w:r>
          <w:rPr>
            <w:rStyle w:val="Hyperlink"/>
          </w:rPr>
          <w:t xml:space="preserve">10.1093/qje/qjz041</w:t>
        </w:r>
      </w:hyperlink>
    </w:p>
    <w:p>
      <w:pPr>
        <w:pStyle w:val="BlockText"/>
      </w:pPr>
      <w:r>
        <w:rPr>
          <w:b/>
          <w:bCs/>
        </w:rPr>
        <w:t xml:space="preserve">Contexto.</w:t>
      </w:r>
      <w:r>
        <w:t xml:space="preserve"> </w:t>
      </w:r>
      <w:r>
        <w:t xml:space="preserve">O Capítulo 15 analisa o monopólio como estrutura de mercado, mas até que ponto o poder de mercado é um fenômeno relevante empiricamente? De Loecker, Eeckhout e Unger (2020) respondem a essa pergunta com uma análise abrangente do</w:t>
      </w:r>
      <w:r>
        <w:t xml:space="preserve"> </w:t>
      </w:r>
      <w:r>
        <w:rPr>
          <w:i/>
          <w:iCs/>
        </w:rPr>
        <w:t xml:space="preserve">markup</w:t>
      </w:r>
      <w:r>
        <w:t xml:space="preserve"> </w:t>
      </w:r>
      <w:r>
        <w:t xml:space="preserve">praticado pelas firmas nos Estados Unidos ao longo de seis décadas.</w:t>
      </w:r>
    </w:p>
    <w:p>
      <w:pPr>
        <w:pStyle w:val="BlockText"/>
      </w:pPr>
      <w:r>
        <w:rPr>
          <w:b/>
          <w:bCs/>
        </w:rPr>
        <w:t xml:space="preserve">Metodologia.</w:t>
      </w:r>
      <w:r>
        <w:t xml:space="preserve"> </w:t>
      </w:r>
      <w:r>
        <w:t xml:space="preserve">Os autores estimam</w:t>
      </w:r>
      <w:r>
        <w:t xml:space="preserve"> </w:t>
      </w:r>
      <w:r>
        <w:rPr>
          <w:i/>
          <w:iCs/>
        </w:rPr>
        <w:t xml:space="preserve">markups</w:t>
      </w:r>
      <w:r>
        <w:t xml:space="preserve"> </w:t>
      </w:r>
      <w:r>
        <w:t xml:space="preserve">firma a firma usando dados contábeis (Compustat) e a abordagem de produção de Hall (1988), que infere o</w:t>
      </w:r>
      <w:r>
        <w:t xml:space="preserve"> </w:t>
      </w:r>
      <w:r>
        <w:rPr>
          <w:i/>
          <w:iCs/>
        </w:rPr>
        <w:t xml:space="preserve">markup</w:t>
      </w:r>
      <w:r>
        <w:t xml:space="preserve"> </w:t>
      </w:r>
      <w:r>
        <w:t xml:space="preserve">como a razão entre a elasticidade-produto de um insumo variável e a participação desse insumo na receita. A grande inovação é aplicar esse método a um painel de milhares de firmas de 1955 a 2016, permitindo documentar a evolução do poder de mercado agregado.</w:t>
      </w:r>
    </w:p>
    <w:p>
      <w:pPr>
        <w:pStyle w:val="BlockText"/>
      </w:pPr>
      <w:r>
        <w:rPr>
          <w:b/>
          <w:bCs/>
        </w:rPr>
        <w:t xml:space="preserve">Resultados.</w:t>
      </w:r>
      <w:r>
        <w:t xml:space="preserve"> </w:t>
      </w:r>
      <w:r>
        <w:t xml:space="preserve">O</w:t>
      </w:r>
      <w:r>
        <w:t xml:space="preserve"> </w:t>
      </w:r>
      <w:r>
        <w:rPr>
          <w:i/>
          <w:iCs/>
        </w:rPr>
        <w:t xml:space="preserve">markup</w:t>
      </w:r>
      <w:r>
        <w:t xml:space="preserve"> </w:t>
      </w:r>
      <w:r>
        <w:t xml:space="preserve">médio na economia americana era relativamente estável em torno de 1,21 (21% acima do custo marginal) até 1980, mas subiu para 1,61 em 2016 — um aumento de 33%. Esse aumento é concentrado nas firmas do topo da distribuição: as 10% mais lucrativas elevaram seus</w:t>
      </w:r>
      <w:r>
        <w:t xml:space="preserve"> </w:t>
      </w:r>
      <w:r>
        <w:rPr>
          <w:i/>
          <w:iCs/>
        </w:rPr>
        <w:t xml:space="preserve">markups</w:t>
      </w:r>
      <w:r>
        <w:t xml:space="preserve"> </w:t>
      </w:r>
      <w:r>
        <w:t xml:space="preserve">de 1,5 para mais de 2,5. Os autores documentam que essa tendência está associada a menor participação do trabalho na renda, menor dinamismo empresarial e maior desigualdade.</w:t>
      </w:r>
    </w:p>
    <w:p>
      <w:pPr>
        <w:pStyle w:val="BlockText"/>
      </w:pPr>
      <w:r>
        <w:rPr>
          <w:b/>
          <w:bCs/>
        </w:rPr>
        <w:t xml:space="preserve">Conexão com o capítulo.</w:t>
      </w:r>
      <w:r>
        <w:t xml:space="preserve"> </w:t>
      </w:r>
      <w:r>
        <w:t xml:space="preserve">O artigo fornece evidência empírica maciça sobre o índice de Lerner (Seção 15.3) em escala agregada. Os</w:t>
      </w:r>
      <w:r>
        <w:t xml:space="preserve"> </w:t>
      </w:r>
      <w:r>
        <w:rPr>
          <w:i/>
          <w:iCs/>
        </w:rPr>
        <w:t xml:space="preserve">markups</w:t>
      </w:r>
      <w:r>
        <w:t xml:space="preserve"> </w:t>
      </w:r>
      <w:r>
        <w:t xml:space="preserve">estimados podem ser diretamente interpretados como</w:t>
      </w:r>
      <w:r>
        <w:t xml:space="preserve"> </w:t>
      </w:r>
      <m:oMath>
        <m:r>
          <m:t>1</m:t>
        </m:r>
        <m:r>
          <m:rPr>
            <m:sty m:val="p"/>
          </m:rPr>
          <m:t>/</m:t>
        </m:r>
        <m:r>
          <m:rPr>
            <m:sty m:val="p"/>
          </m:rPr>
          <m:t>(</m:t>
        </m:r>
        <m:r>
          <m:t>1</m:t>
        </m:r>
        <m:r>
          <m:rPr>
            <m:sty m:val="p"/>
          </m:rPr>
          <m:t>−</m:t>
        </m:r>
        <m:r>
          <m:t>L</m:t>
        </m:r>
        <m:r>
          <m:rPr>
            <m:sty m:val="p"/>
          </m:rPr>
          <m:t>)</m:t>
        </m:r>
      </m:oMath>
      <w:r>
        <w:t xml:space="preserve">, conectando a teoria do monopólio à mensuração empírica do poder de mercado. A tendência ascendente documentada sugere que o modelo de concorrência perfeita se torna progressivamente menos adequado como descrição da economia moderna.</w:t>
      </w:r>
    </w:p>
    <w:p>
      <w:pPr>
        <w:pStyle w:val="BlockText"/>
      </w:pPr>
      <w:r>
        <w:rPr>
          <w:b/>
          <w:bCs/>
        </w:rPr>
        <w:t xml:space="preserve">[PESQUISA EM ACAO] Bergemann, D., Brooks, B. &amp; Morris, S. (2015). The Limits of Price Discrimination.</w:t>
      </w:r>
      <w:r>
        <w:rPr>
          <w:b/>
          <w:bCs/>
        </w:rPr>
        <w:t xml:space="preserve"> </w:t>
      </w:r>
      <w:r>
        <w:rPr>
          <w:b/>
          <w:bCs/>
          <w:i/>
          <w:iCs/>
        </w:rPr>
        <w:t xml:space="preserve">American Economic Review</w:t>
      </w:r>
      <w:r>
        <w:rPr>
          <w:b/>
          <w:bCs/>
        </w:rPr>
        <w:t xml:space="preserve">, 105(3), 921–957.</w:t>
      </w:r>
    </w:p>
    <w:p>
      <w:pPr>
        <w:pStyle w:val="BlockText"/>
      </w:pPr>
      <w:r>
        <w:rPr>
          <w:b/>
          <w:bCs/>
        </w:rPr>
        <w:t xml:space="preserve">DOI:</w:t>
      </w:r>
      <w:r>
        <w:t xml:space="preserve"> </w:t>
      </w:r>
      <w:hyperlink r:id="rId960">
        <w:r>
          <w:rPr>
            <w:rStyle w:val="Hyperlink"/>
          </w:rPr>
          <w:t xml:space="preserve">10.1257/aer.20130848</w:t>
        </w:r>
      </w:hyperlink>
    </w:p>
    <w:p>
      <w:pPr>
        <w:pStyle w:val="BlockText"/>
      </w:pPr>
      <w:r>
        <w:rPr>
          <w:b/>
          <w:bCs/>
        </w:rPr>
        <w:t xml:space="preserve">Contexto.</w:t>
      </w:r>
      <w:r>
        <w:t xml:space="preserve"> </w:t>
      </w:r>
      <w:r>
        <w:t xml:space="preserve">A Seção 15.7 classifica a discriminação de preços em três graus, mas essa taxonomia assume que sabemos exatamente quanta informação o monopolista possui sobre os consumidores. Bergemann, Brooks e Morris (2015) fazem uma pergunta mais fundamental: dada uma demanda de mercado, quais são os</w:t>
      </w:r>
      <w:r>
        <w:t xml:space="preserve"> </w:t>
      </w:r>
      <w:r>
        <w:rPr>
          <w:b/>
          <w:bCs/>
        </w:rPr>
        <w:t xml:space="preserve">limites</w:t>
      </w:r>
      <w:r>
        <w:t xml:space="preserve"> </w:t>
      </w:r>
      <w:r>
        <w:t xml:space="preserve">do que a discriminação de preços pode alcançar, considerando toda estrutura de informação possível?</w:t>
      </w:r>
    </w:p>
    <w:p>
      <w:pPr>
        <w:pStyle w:val="BlockText"/>
      </w:pPr>
      <w:r>
        <w:rPr>
          <w:b/>
          <w:bCs/>
        </w:rPr>
        <w:t xml:space="preserve">Contribuição teórica.</w:t>
      </w:r>
      <w:r>
        <w:t xml:space="preserve"> </w:t>
      </w:r>
      <w:r>
        <w:t xml:space="preserve">Os autores mostram que, para qualquer segmentação de mercado (qualquer partição informacional dos consumidores), o resultado da discriminação de preços deve satisfazer duas restrições: (i) o lucro do monopolista deve ser pelo menos tão grande quanto o lucro de preço uniforme; (ii) o excedente do consumidor agregado não pode ser negativo. O resultado central é que</w:t>
      </w:r>
      <w:r>
        <w:t xml:space="preserve"> </w:t>
      </w:r>
      <w:r>
        <w:rPr>
          <w:b/>
          <w:bCs/>
        </w:rPr>
        <w:t xml:space="preserve">qualquer</w:t>
      </w:r>
      <w:r>
        <w:t xml:space="preserve"> </w:t>
      </w:r>
      <w:r>
        <w:t xml:space="preserve">par (lucro, excedente do consumidor) satisfazendo essas duas restrições é alcançável por alguma segmentação.</w:t>
      </w:r>
    </w:p>
    <w:p>
      <w:pPr>
        <w:pStyle w:val="BlockText"/>
      </w:pPr>
      <w:r>
        <w:rPr>
          <w:b/>
          <w:bCs/>
        </w:rPr>
        <w:t xml:space="preserve">Resultados.</w:t>
      </w:r>
      <w:r>
        <w:t xml:space="preserve"> </w:t>
      </w:r>
      <w:r>
        <w:t xml:space="preserve">O artigo demonstra que os efeitos de bem-estar da discriminação de preços dependem crucialmente da informação disponível ao monopolista. A produção total pode subir, cair ou permanecer constante conforme a segmentação. Isso contrasta com o resultado clássico de Pigou (1920) para demandas lineares, em que a discriminação de 3º grau não altera a quantidade total.</w:t>
      </w:r>
    </w:p>
    <w:p>
      <w:pPr>
        <w:pStyle w:val="BlockText"/>
      </w:pPr>
      <w:r>
        <w:rPr>
          <w:b/>
          <w:bCs/>
        </w:rPr>
        <w:t xml:space="preserve">Conexão com o capítulo.</w:t>
      </w:r>
      <w:r>
        <w:t xml:space="preserve"> </w:t>
      </w:r>
      <w:r>
        <w:t xml:space="preserve">O paper aprofunda a análise de discriminação de preços das Seções 15.7.1–15.7.3, mostrando que a distinção entre 1º, 2º e 3º grau é apenas uma parte de um espectro muito mais rico de possibilidades informacionais.</w:t>
      </w:r>
    </w:p>
    <w:p>
      <w:pPr>
        <w:pStyle w:val="BlockText"/>
      </w:pPr>
      <w:r>
        <w:rPr>
          <w:b/>
          <w:bCs/>
        </w:rPr>
        <w:t xml:space="preserve">[PESQUISA EM ACAO] Posner, R. A. (1975). The Social Costs of Monopoly and Regulation.</w:t>
      </w:r>
      <w:r>
        <w:rPr>
          <w:b/>
          <w:bCs/>
        </w:rPr>
        <w:t xml:space="preserve"> </w:t>
      </w:r>
      <w:r>
        <w:rPr>
          <w:b/>
          <w:bCs/>
          <w:i/>
          <w:iCs/>
        </w:rPr>
        <w:t xml:space="preserve">Journal of Political Economy</w:t>
      </w:r>
      <w:r>
        <w:rPr>
          <w:b/>
          <w:bCs/>
        </w:rPr>
        <w:t xml:space="preserve">, 83(4), 807–827.</w:t>
      </w:r>
    </w:p>
    <w:p>
      <w:pPr>
        <w:pStyle w:val="BlockText"/>
      </w:pPr>
      <w:r>
        <w:rPr>
          <w:b/>
          <w:bCs/>
        </w:rPr>
        <w:t xml:space="preserve">DOI:</w:t>
      </w:r>
      <w:r>
        <w:t xml:space="preserve"> </w:t>
      </w:r>
      <w:hyperlink r:id="rId961">
        <w:r>
          <w:rPr>
            <w:rStyle w:val="Hyperlink"/>
          </w:rPr>
          <w:t xml:space="preserve">10.1086/260357</w:t>
        </w:r>
      </w:hyperlink>
    </w:p>
    <w:p>
      <w:pPr>
        <w:pStyle w:val="BlockText"/>
      </w:pPr>
      <w:r>
        <w:rPr>
          <w:b/>
          <w:bCs/>
        </w:rPr>
        <w:t xml:space="preserve">Contexto.</w:t>
      </w:r>
      <w:r>
        <w:t xml:space="preserve"> </w:t>
      </w:r>
      <w:r>
        <w:t xml:space="preserve">A Seção 15.4 apresenta a perda de peso morto (triângulo de Harberger) como a medida convencional do custo social do monopólio. Posner (1975) argumenta que essa medida subestima dramaticamente o custo real, ao ignorar os recursos desperdiçados na</w:t>
      </w:r>
      <w:r>
        <w:t xml:space="preserve"> </w:t>
      </w:r>
      <w:r>
        <w:rPr>
          <w:i/>
          <w:iCs/>
        </w:rPr>
        <w:t xml:space="preserve">obtenção e manutenção</w:t>
      </w:r>
      <w:r>
        <w:t xml:space="preserve"> </w:t>
      </w:r>
      <w:r>
        <w:t xml:space="preserve">do poder de mercado.</w:t>
      </w:r>
    </w:p>
    <w:p>
      <w:pPr>
        <w:pStyle w:val="BlockText"/>
      </w:pPr>
      <w:r>
        <w:rPr>
          <w:b/>
          <w:bCs/>
        </w:rPr>
        <w:t xml:space="preserve">Contribuição teórica.</w:t>
      </w:r>
      <w:r>
        <w:t xml:space="preserve"> </w:t>
      </w:r>
      <w:r>
        <w:t xml:space="preserve">Posner observa que, se firmas competem para obter uma posição de monopólio lucrativa (por exemplo, disputando uma concessão governamental, investindo em lobby ou em litígios para bloquear concorrentes), os recursos gastos nessa competição representam um custo social adicional. No limite, se a competição pelo monopólio dissipa todos os lucros esperados, o custo social total é a soma do triângulo de Harberger e do retângulo de lucro do monopolista — potencialmente muito maior que o triângulo sozinho.</w:t>
      </w:r>
    </w:p>
    <w:p>
      <w:pPr>
        <w:pStyle w:val="BlockText"/>
      </w:pPr>
      <w:r>
        <w:rPr>
          <w:b/>
          <w:bCs/>
        </w:rPr>
        <w:t xml:space="preserve">Resultados.</w:t>
      </w:r>
      <w:r>
        <w:t xml:space="preserve"> </w:t>
      </w:r>
      <w:r>
        <w:t xml:space="preserve">Posner estima que, para setores regulados nos EUA, o custo social total (incluindo</w:t>
      </w:r>
      <w:r>
        <w:t xml:space="preserve"> </w:t>
      </w:r>
      <w:r>
        <w:rPr>
          <w:i/>
          <w:iCs/>
        </w:rPr>
        <w:t xml:space="preserve">rent-seeking</w:t>
      </w:r>
      <w:r>
        <w:t xml:space="preserve">) pode ser várias vezes maior que o triângulo de Harberger. Ele argumenta, provocativamente, que a regulação governamental — ao criar monopólios legais e oportunidades de</w:t>
      </w:r>
      <w:r>
        <w:t xml:space="preserve"> </w:t>
      </w:r>
      <w:r>
        <w:rPr>
          <w:i/>
          <w:iCs/>
        </w:rPr>
        <w:t xml:space="preserve">rent-seeking</w:t>
      </w:r>
      <w:r>
        <w:t xml:space="preserve"> </w:t>
      </w:r>
      <w:r>
        <w:t xml:space="preserve">— pode gerar custos sociais tão grandes ou maiores que o monopólio não regulado.</w:t>
      </w:r>
    </w:p>
    <w:p>
      <w:pPr>
        <w:pStyle w:val="BlockText"/>
      </w:pPr>
      <w:r>
        <w:rPr>
          <w:b/>
          <w:bCs/>
        </w:rPr>
        <w:t xml:space="preserve">Conexão com o capítulo.</w:t>
      </w:r>
      <w:r>
        <w:t xml:space="preserve"> </w:t>
      </w:r>
      <w:r>
        <w:t xml:space="preserve">O artigo fundamenta o Exercício Resolvido 15.2, que calcula o custo social total incluindo</w:t>
      </w:r>
      <w:r>
        <w:t xml:space="preserve"> </w:t>
      </w:r>
      <w:r>
        <w:rPr>
          <w:i/>
          <w:iCs/>
        </w:rPr>
        <w:t xml:space="preserve">rent-seeking</w:t>
      </w:r>
      <w:r>
        <w:t xml:space="preserve">. A análise de Posner é essencial para entender por que estimativas empíricas do custo do monopólio variam tão amplamente (de 0,1% a 13% do PIB, conforme discutido no Box Mundo 15.2).</w:t>
      </w:r>
    </w:p>
    <w:p>
      <w:pPr>
        <w:pStyle w:val="BlockText"/>
      </w:pPr>
      <w:r>
        <w:rPr>
          <w:b/>
          <w:bCs/>
        </w:rPr>
        <w:t xml:space="preserve">[PESQUISA EM ACAO] Borenstein, S. &amp; Rose, N. L. (1994). Competition and Price Dispersion in the U.S. Airline Industry.</w:t>
      </w:r>
      <w:r>
        <w:rPr>
          <w:b/>
          <w:bCs/>
        </w:rPr>
        <w:t xml:space="preserve"> </w:t>
      </w:r>
      <w:r>
        <w:rPr>
          <w:b/>
          <w:bCs/>
          <w:i/>
          <w:iCs/>
        </w:rPr>
        <w:t xml:space="preserve">Journal of Political Economy</w:t>
      </w:r>
      <w:r>
        <w:rPr>
          <w:b/>
          <w:bCs/>
        </w:rPr>
        <w:t xml:space="preserve">, 102(4), 653–683.</w:t>
      </w:r>
    </w:p>
    <w:p>
      <w:pPr>
        <w:pStyle w:val="BlockText"/>
      </w:pPr>
      <w:r>
        <w:rPr>
          <w:b/>
          <w:bCs/>
        </w:rPr>
        <w:t xml:space="preserve">DOI:</w:t>
      </w:r>
      <w:r>
        <w:t xml:space="preserve"> </w:t>
      </w:r>
      <w:hyperlink r:id="rId962">
        <w:r>
          <w:rPr>
            <w:rStyle w:val="Hyperlink"/>
          </w:rPr>
          <w:t xml:space="preserve">10.1086/261950</w:t>
        </w:r>
      </w:hyperlink>
    </w:p>
    <w:p>
      <w:pPr>
        <w:pStyle w:val="BlockText"/>
      </w:pPr>
      <w:r>
        <w:rPr>
          <w:b/>
          <w:bCs/>
        </w:rPr>
        <w:t xml:space="preserve">Contexto.</w:t>
      </w:r>
      <w:r>
        <w:t xml:space="preserve"> </w:t>
      </w:r>
      <w:r>
        <w:t xml:space="preserve">A Seção 15.7 e o Box Brasil 15.1 discutem a discriminação de preços no setor aéreo. Borenstein e Rose (1994) fornecem a primeira análise empírica rigorosa da relação entre concorrência e dispersão de preços no setor aéreo americano — uma relação que se revela mais complexa do que a teoria simples sugeriria.</w:t>
      </w:r>
    </w:p>
    <w:p>
      <w:pPr>
        <w:pStyle w:val="BlockText"/>
      </w:pPr>
      <w:r>
        <w:rPr>
          <w:b/>
          <w:bCs/>
        </w:rPr>
        <w:t xml:space="preserve">Metodologia.</w:t>
      </w:r>
      <w:r>
        <w:t xml:space="preserve"> </w:t>
      </w:r>
      <w:r>
        <w:t xml:space="preserve">Os autores utilizam dados do</w:t>
      </w:r>
      <w:r>
        <w:t xml:space="preserve"> </w:t>
      </w:r>
      <w:r>
        <w:rPr>
          <w:i/>
          <w:iCs/>
        </w:rPr>
        <w:t xml:space="preserve">Databank 1A</w:t>
      </w:r>
      <w:r>
        <w:t xml:space="preserve"> </w:t>
      </w:r>
      <w:r>
        <w:t xml:space="preserve">do Departamento de Transportes dos EUA (DOT) com informações sobre tarifas individuais para milhares de rotas domésticas. A medida de dispersão de preços é a diferença entre o percentil 80 e o percentil 20 das tarifas em cada rota, normalizada pela tarifa mediana. A variável explicativa central é a concentração de mercado (índice de Herfindahl-Hirschman) em cada rota.</w:t>
      </w:r>
    </w:p>
    <w:p>
      <w:pPr>
        <w:pStyle w:val="BlockText"/>
      </w:pPr>
      <w:r>
        <w:rPr>
          <w:b/>
          <w:bCs/>
        </w:rPr>
        <w:t xml:space="preserve">Resultados.</w:t>
      </w:r>
      <w:r>
        <w:t xml:space="preserve"> </w:t>
      </w:r>
      <w:r>
        <w:t xml:space="preserve">O resultado central é surpreendente: rotas mais competitivas apresentam</w:t>
      </w:r>
      <w:r>
        <w:t xml:space="preserve"> </w:t>
      </w:r>
      <w:r>
        <w:rPr>
          <w:i/>
          <w:iCs/>
        </w:rPr>
        <w:t xml:space="preserve">maior</w:t>
      </w:r>
      <w:r>
        <w:t xml:space="preserve"> </w:t>
      </w:r>
      <w:r>
        <w:t xml:space="preserve">dispersão de preços, não menor. A dispersão de preços aumenta cerca de 10% quando a concentração cai de monopólio para duopólio. Os autores interpretam isso como evidência de que a concorrência intensifica a discriminação de preços: em rotas competitivas, companhias aéreas oferecem tarifas promocionais agressivas para preencher assentos, enquanto mantêm tarifas altas para viajantes de última hora — gerando ampla dispersão.</w:t>
      </w:r>
    </w:p>
    <w:p>
      <w:pPr>
        <w:pStyle w:val="BlockText"/>
      </w:pPr>
      <w:r>
        <w:rPr>
          <w:b/>
          <w:bCs/>
        </w:rPr>
        <w:t xml:space="preserve">Conexão com o capítulo.</w:t>
      </w:r>
      <w:r>
        <w:t xml:space="preserve"> </w:t>
      </w:r>
      <w:r>
        <w:t xml:space="preserve">O artigo desafia a intuição de que mais concorrência sempre reduz diferenças de preço. Ele mostra que a discriminação de preços (Seção 15.7) não é exclusividade do monopólio — firmas com algum poder de mercado em oligopólios também a praticam intensamente. Esse resultado antecipa temas dos Capítulos 16a–16b (Oligopólio) e conecta-se diretamente ao Box Brasil sobre passagens aéreas.</w:t>
      </w:r>
    </w:p>
    <w:p>
      <w:pPr>
        <w:pStyle w:val="BlockText"/>
      </w:pPr>
      <w:r>
        <w:rPr>
          <w:b/>
          <w:bCs/>
        </w:rPr>
        <w:t xml:space="preserve">[PESQUISA EM ACAO] Wallsten, S. (2001). An Econometric Analysis of Telecom Competition, Privatization, and Regulation in Africa and Latin America.</w:t>
      </w:r>
      <w:r>
        <w:rPr>
          <w:b/>
          <w:bCs/>
        </w:rPr>
        <w:t xml:space="preserve"> </w:t>
      </w:r>
      <w:r>
        <w:rPr>
          <w:b/>
          <w:bCs/>
          <w:i/>
          <w:iCs/>
        </w:rPr>
        <w:t xml:space="preserve">Journal of Industrial Economics</w:t>
      </w:r>
      <w:r>
        <w:rPr>
          <w:b/>
          <w:bCs/>
        </w:rPr>
        <w:t xml:space="preserve">, 49(1), 1–19.</w:t>
      </w:r>
    </w:p>
    <w:p>
      <w:pPr>
        <w:pStyle w:val="BlockText"/>
      </w:pPr>
      <w:r>
        <w:rPr>
          <w:b/>
          <w:bCs/>
        </w:rPr>
        <w:t xml:space="preserve">DOI:</w:t>
      </w:r>
      <w:r>
        <w:t xml:space="preserve"> </w:t>
      </w:r>
      <w:hyperlink r:id="rId963">
        <w:r>
          <w:rPr>
            <w:rStyle w:val="Hyperlink"/>
          </w:rPr>
          <w:t xml:space="preserve">10.1111/1468-2354.t01-1-00106</w:t>
        </w:r>
      </w:hyperlink>
    </w:p>
    <w:p>
      <w:pPr>
        <w:pStyle w:val="BlockText"/>
      </w:pPr>
      <w:r>
        <w:rPr>
          <w:b/>
          <w:bCs/>
        </w:rPr>
        <w:t xml:space="preserve">Contexto.</w:t>
      </w:r>
      <w:r>
        <w:t xml:space="preserve"> </w:t>
      </w:r>
      <w:r>
        <w:t xml:space="preserve">A Seção 15.9 discute a regulação de monopólios naturais em teoria. Wallsten (2001) fornece evidência empírica crucial sobre os efeitos reais da desregulamentação e privatização no setor de telecomunicações — um dos exemplos mais importantes de monopólio natural regulado do século XX.</w:t>
      </w:r>
    </w:p>
    <w:p>
      <w:pPr>
        <w:pStyle w:val="BlockText"/>
      </w:pPr>
      <w:r>
        <w:rPr>
          <w:b/>
          <w:bCs/>
        </w:rPr>
        <w:t xml:space="preserve">Metodologia.</w:t>
      </w:r>
      <w:r>
        <w:t xml:space="preserve"> </w:t>
      </w:r>
      <w:r>
        <w:t xml:space="preserve">O autor utiliza dados em painel de 30 países da África e da América Latina entre 1984 e 1997, período em que muitas nações promoveram reformas regulatórias no setor de telecomunicações (privatização, criação de agências reguladoras independentes e abertura à competição). A estratégia empírica explora a variação temporal e entre países nessas reformas para identificar seus efeitos sobre investimento, acesso (linhas per capita), qualidade do serviço e tarifas.</w:t>
      </w:r>
    </w:p>
    <w:p>
      <w:pPr>
        <w:pStyle w:val="BlockText"/>
      </w:pPr>
      <w:r>
        <w:rPr>
          <w:b/>
          <w:bCs/>
        </w:rPr>
        <w:t xml:space="preserve">Resultados.</w:t>
      </w:r>
      <w:r>
        <w:t xml:space="preserve"> </w:t>
      </w:r>
      <w:r>
        <w:t xml:space="preserve">A privatização combinada com a entrada de concorrentes aumentou significativamente o investimento em telecomunicações e o número de linhas telefônicas per capita. No entanto, a privatização</w:t>
      </w:r>
      <w:r>
        <w:t xml:space="preserve"> </w:t>
      </w:r>
      <w:r>
        <w:rPr>
          <w:i/>
          <w:iCs/>
        </w:rPr>
        <w:t xml:space="preserve">sem</w:t>
      </w:r>
      <w:r>
        <w:t xml:space="preserve"> </w:t>
      </w:r>
      <w:r>
        <w:t xml:space="preserve">introdução de competição — isto é, a mera transferência do monopólio estatal para um monopólio privado — teve efeitos muito menores ou nulos sobre o bem-estar dos consumidores. A criação de agências reguladoras independentes também se mostrou relevante para a credibilidade das reformas e a atração de investimento privado.</w:t>
      </w:r>
    </w:p>
    <w:p>
      <w:pPr>
        <w:pStyle w:val="BlockText"/>
      </w:pPr>
      <w:r>
        <w:rPr>
          <w:b/>
          <w:bCs/>
        </w:rPr>
        <w:t xml:space="preserve">Conexão com o capítulo.</w:t>
      </w:r>
      <w:r>
        <w:t xml:space="preserve"> </w:t>
      </w:r>
      <w:r>
        <w:t xml:space="preserve">O artigo conecta-se diretamente à análise de regulação de monopólios naturais (Seção 15.9) e ao Box Brasil 15.2 sobre concessões de serviços públicos no Brasil. Ele ilustra empiricamente o trade-off entre eficiência alocativa e viabilidade financeira discutido nos Exercícios 15.4 e 15.8, mostrando que a estrutura regulatória — não apenas a propriedade — determina os resultados de bem-estar.</w:t>
      </w:r>
    </w:p>
    <w:p>
      <w:r>
        <w:pict>
          <v:rect style="width:0;height:1.5pt" o:hralign="center" o:hrstd="t" o:hr="t"/>
        </w:pict>
      </w:r>
    </w:p>
    <w:bookmarkEnd w:id="964"/>
    <w:bookmarkStart w:id="975" w:name="referências-do-capítulo-15"/>
    <w:p>
      <w:pPr>
        <w:pStyle w:val="Heading3"/>
      </w:pPr>
      <w:r>
        <w:t xml:space="preserve">Referências do Capítulo</w:t>
      </w:r>
    </w:p>
    <w:p>
      <w:pPr>
        <w:pStyle w:val="Compact"/>
        <w:numPr>
          <w:ilvl w:val="0"/>
          <w:numId w:val="1870"/>
        </w:numPr>
      </w:pPr>
      <w:r>
        <w:t xml:space="preserve">Aghion, Philippe, Nick Bloom, Richard Blundell, Rachel Griffith, e Peter Howitt. 2005.</w:t>
      </w:r>
      <w:r>
        <w:t xml:space="preserve"> </w:t>
      </w:r>
      <w:r>
        <w:t xml:space="preserve">“</w:t>
      </w:r>
      <w:hyperlink r:id="rId965">
        <w:r>
          <w:rPr>
            <w:rStyle w:val="Hyperlink"/>
          </w:rPr>
          <w:t xml:space="preserve">Competition and Innovation: An Inverted-U Relationship.</w:t>
        </w:r>
      </w:hyperlink>
      <w:r>
        <w:t xml:space="preserve">”</w:t>
      </w:r>
      <w:r>
        <w:t xml:space="preserve"> </w:t>
      </w:r>
      <w:r>
        <w:rPr>
          <w:i/>
          <w:iCs/>
        </w:rPr>
        <w:t xml:space="preserve">Quarterly Journal of Economics</w:t>
      </w:r>
      <w:r>
        <w:t xml:space="preserve"> </w:t>
      </w:r>
      <w:r>
        <w:t xml:space="preserve">120 (2): 701–728.</w:t>
      </w:r>
    </w:p>
    <w:p>
      <w:pPr>
        <w:pStyle w:val="Compact"/>
        <w:numPr>
          <w:ilvl w:val="0"/>
          <w:numId w:val="1870"/>
        </w:numPr>
      </w:pPr>
      <w:r>
        <w:t xml:space="preserve">Averch, Harvey, e Leland L. Johnson. 1962.</w:t>
      </w:r>
      <w:r>
        <w:t xml:space="preserve"> </w:t>
      </w:r>
      <w:r>
        <w:t xml:space="preserve">“</w:t>
      </w:r>
      <w:hyperlink r:id="rId966">
        <w:r>
          <w:rPr>
            <w:rStyle w:val="Hyperlink"/>
          </w:rPr>
          <w:t xml:space="preserve">Behavior of the Firm Under Regulatory Constraint.</w:t>
        </w:r>
      </w:hyperlink>
      <w:r>
        <w:t xml:space="preserve">”</w:t>
      </w:r>
      <w:r>
        <w:t xml:space="preserve"> </w:t>
      </w:r>
      <w:r>
        <w:rPr>
          <w:i/>
          <w:iCs/>
        </w:rPr>
        <w:t xml:space="preserve">American Economic Review</w:t>
      </w:r>
      <w:r>
        <w:t xml:space="preserve"> </w:t>
      </w:r>
      <w:r>
        <w:t xml:space="preserve">52 (5): 1052–1069.</w:t>
      </w:r>
    </w:p>
    <w:p>
      <w:pPr>
        <w:pStyle w:val="Compact"/>
        <w:numPr>
          <w:ilvl w:val="0"/>
          <w:numId w:val="1870"/>
        </w:numPr>
      </w:pPr>
      <w:r>
        <w:t xml:space="preserve">Bain, Joe S. 1956.</w:t>
      </w:r>
      <w:r>
        <w:t xml:space="preserve"> </w:t>
      </w:r>
      <w:hyperlink r:id="rId967">
        <w:r>
          <w:rPr>
            <w:rStyle w:val="Hyperlink"/>
            <w:i/>
            <w:iCs/>
          </w:rPr>
          <w:t xml:space="preserve">Barriers to New Competition</w:t>
        </w:r>
      </w:hyperlink>
      <w:r>
        <w:t xml:space="preserve">. Cambridge: Harvard University Press.</w:t>
      </w:r>
    </w:p>
    <w:p>
      <w:pPr>
        <w:pStyle w:val="Compact"/>
        <w:numPr>
          <w:ilvl w:val="0"/>
          <w:numId w:val="1870"/>
        </w:numPr>
      </w:pPr>
      <w:r>
        <w:t xml:space="preserve">Baumol, William J., John C. Panzar, e Robert D. Willig. 1982.</w:t>
      </w:r>
      <w:r>
        <w:t xml:space="preserve"> </w:t>
      </w:r>
      <w:hyperlink r:id="rId968">
        <w:r>
          <w:rPr>
            <w:rStyle w:val="Hyperlink"/>
            <w:i/>
            <w:iCs/>
          </w:rPr>
          <w:t xml:space="preserve">Contestable Markets and the Theory of Industry Structure</w:t>
        </w:r>
      </w:hyperlink>
      <w:r>
        <w:t xml:space="preserve">. New York: Harcourt Brace Jovanovich.</w:t>
      </w:r>
    </w:p>
    <w:p>
      <w:pPr>
        <w:pStyle w:val="Compact"/>
        <w:numPr>
          <w:ilvl w:val="0"/>
          <w:numId w:val="1870"/>
        </w:numPr>
      </w:pPr>
      <w:r>
        <w:t xml:space="preserve">Bergemann, Dirk, Benjamin Brooks, e Stephen Morris. 2015.</w:t>
      </w:r>
      <w:r>
        <w:t xml:space="preserve"> </w:t>
      </w:r>
      <w:r>
        <w:t xml:space="preserve">“</w:t>
      </w:r>
      <w:hyperlink r:id="rId960">
        <w:r>
          <w:rPr>
            <w:rStyle w:val="Hyperlink"/>
          </w:rPr>
          <w:t xml:space="preserve">The Limits of Price Discrimination.</w:t>
        </w:r>
      </w:hyperlink>
      <w:r>
        <w:t xml:space="preserve">”</w:t>
      </w:r>
      <w:r>
        <w:t xml:space="preserve"> </w:t>
      </w:r>
      <w:r>
        <w:rPr>
          <w:i/>
          <w:iCs/>
        </w:rPr>
        <w:t xml:space="preserve">American Economic Review</w:t>
      </w:r>
      <w:r>
        <w:t xml:space="preserve"> </w:t>
      </w:r>
      <w:r>
        <w:t xml:space="preserve">105 (3): 921–957.</w:t>
      </w:r>
    </w:p>
    <w:p>
      <w:pPr>
        <w:pStyle w:val="Compact"/>
        <w:numPr>
          <w:ilvl w:val="0"/>
          <w:numId w:val="1870"/>
        </w:numPr>
      </w:pPr>
      <w:r>
        <w:t xml:space="preserve">Besanko, David, e Ronald Braeutigam. 2014.</w:t>
      </w:r>
      <w:r>
        <w:t xml:space="preserve"> </w:t>
      </w:r>
      <w:hyperlink r:id="rId183">
        <w:r>
          <w:rPr>
            <w:rStyle w:val="Hyperlink"/>
            <w:i/>
            <w:iCs/>
          </w:rPr>
          <w:t xml:space="preserve">Microeconomics</w:t>
        </w:r>
      </w:hyperlink>
      <w:r>
        <w:t xml:space="preserve">. 5ª ed. New York: Wiley. Caps. 11–12.</w:t>
      </w:r>
    </w:p>
    <w:p>
      <w:pPr>
        <w:pStyle w:val="Compact"/>
        <w:numPr>
          <w:ilvl w:val="0"/>
          <w:numId w:val="1870"/>
        </w:numPr>
      </w:pPr>
      <w:r>
        <w:t xml:space="preserve">Borenstein, Severin, e Nancy L. Rose. 1994.</w:t>
      </w:r>
      <w:r>
        <w:t xml:space="preserve"> </w:t>
      </w:r>
      <w:r>
        <w:t xml:space="preserve">“</w:t>
      </w:r>
      <w:hyperlink r:id="rId962">
        <w:r>
          <w:rPr>
            <w:rStyle w:val="Hyperlink"/>
          </w:rPr>
          <w:t xml:space="preserve">Competition and Price Dispersion in the U.S. Airline Industry.</w:t>
        </w:r>
      </w:hyperlink>
      <w:r>
        <w:t xml:space="preserve">”</w:t>
      </w:r>
      <w:r>
        <w:t xml:space="preserve"> </w:t>
      </w:r>
      <w:r>
        <w:rPr>
          <w:i/>
          <w:iCs/>
        </w:rPr>
        <w:t xml:space="preserve">Journal of Political Economy</w:t>
      </w:r>
      <w:r>
        <w:t xml:space="preserve"> </w:t>
      </w:r>
      <w:r>
        <w:t xml:space="preserve">102 (4): 653–683.</w:t>
      </w:r>
    </w:p>
    <w:p>
      <w:pPr>
        <w:pStyle w:val="Compact"/>
        <w:numPr>
          <w:ilvl w:val="0"/>
          <w:numId w:val="1870"/>
        </w:numPr>
      </w:pPr>
      <w:r>
        <w:t xml:space="preserve">Cowling, Keith, e Dennis C. Mueller. 1978.</w:t>
      </w:r>
      <w:r>
        <w:t xml:space="preserve"> </w:t>
      </w:r>
      <w:r>
        <w:t xml:space="preserve">“</w:t>
      </w:r>
      <w:hyperlink r:id="rId969">
        <w:r>
          <w:rPr>
            <w:rStyle w:val="Hyperlink"/>
          </w:rPr>
          <w:t xml:space="preserve">The Social Costs of Monopoly Power.</w:t>
        </w:r>
      </w:hyperlink>
      <w:r>
        <w:t xml:space="preserve">”</w:t>
      </w:r>
      <w:r>
        <w:t xml:space="preserve"> </w:t>
      </w:r>
      <w:r>
        <w:rPr>
          <w:i/>
          <w:iCs/>
        </w:rPr>
        <w:t xml:space="preserve">Economic Journal</w:t>
      </w:r>
      <w:r>
        <w:t xml:space="preserve"> </w:t>
      </w:r>
      <w:r>
        <w:t xml:space="preserve">88 (352): 727–748.</w:t>
      </w:r>
    </w:p>
    <w:p>
      <w:pPr>
        <w:pStyle w:val="Compact"/>
        <w:numPr>
          <w:ilvl w:val="0"/>
          <w:numId w:val="1870"/>
        </w:numPr>
      </w:pPr>
      <w:r>
        <w:t xml:space="preserve">De Loecker, Jan, Jan Eeckhout, e Gabriel Unger. 2020.</w:t>
      </w:r>
      <w:r>
        <w:t xml:space="preserve"> </w:t>
      </w:r>
      <w:r>
        <w:t xml:space="preserve">“</w:t>
      </w:r>
      <w:hyperlink r:id="rId959">
        <w:r>
          <w:rPr>
            <w:rStyle w:val="Hyperlink"/>
          </w:rPr>
          <w:t xml:space="preserve">The Rise of Market Power and the Macroeconomic Implications.</w:t>
        </w:r>
      </w:hyperlink>
      <w:r>
        <w:t xml:space="preserve">”</w:t>
      </w:r>
      <w:r>
        <w:t xml:space="preserve"> </w:t>
      </w:r>
      <w:r>
        <w:rPr>
          <w:i/>
          <w:iCs/>
        </w:rPr>
        <w:t xml:space="preserve">Quarterly Journal of Economics</w:t>
      </w:r>
      <w:r>
        <w:t xml:space="preserve"> </w:t>
      </w:r>
      <w:r>
        <w:t xml:space="preserve">135 (2): 561–644.</w:t>
      </w:r>
    </w:p>
    <w:p>
      <w:pPr>
        <w:pStyle w:val="Compact"/>
        <w:numPr>
          <w:ilvl w:val="0"/>
          <w:numId w:val="1870"/>
        </w:numPr>
      </w:pPr>
      <w:r>
        <w:t xml:space="preserve">Giambiagi, Fabio, e Ana Cláudia Além. 2016.</w:t>
      </w:r>
      <w:r>
        <w:t xml:space="preserve"> </w:t>
      </w:r>
      <w:hyperlink r:id="rId970">
        <w:r>
          <w:rPr>
            <w:rStyle w:val="Hyperlink"/>
            <w:i/>
            <w:iCs/>
          </w:rPr>
          <w:t xml:space="preserve">Finanças Públicas: Teoria e Prática no Brasil</w:t>
        </w:r>
      </w:hyperlink>
      <w:r>
        <w:t xml:space="preserve">. 5ª ed. Rio de Janeiro: Elsevier.</w:t>
      </w:r>
    </w:p>
    <w:p>
      <w:pPr>
        <w:pStyle w:val="Compact"/>
        <w:numPr>
          <w:ilvl w:val="0"/>
          <w:numId w:val="1870"/>
        </w:numPr>
      </w:pPr>
      <w:r>
        <w:t xml:space="preserve">Harberger, Arnold C. 1954.</w:t>
      </w:r>
      <w:r>
        <w:t xml:space="preserve"> </w:t>
      </w:r>
      <w:r>
        <w:t xml:space="preserve">“</w:t>
      </w:r>
      <w:hyperlink r:id="rId971">
        <w:r>
          <w:rPr>
            <w:rStyle w:val="Hyperlink"/>
          </w:rPr>
          <w:t xml:space="preserve">Monopoly and Resource Allocation.</w:t>
        </w:r>
      </w:hyperlink>
      <w:r>
        <w:t xml:space="preserve">”</w:t>
      </w:r>
      <w:r>
        <w:t xml:space="preserve"> </w:t>
      </w:r>
      <w:r>
        <w:rPr>
          <w:i/>
          <w:iCs/>
        </w:rPr>
        <w:t xml:space="preserve">American Economic Review</w:t>
      </w:r>
      <w:r>
        <w:t xml:space="preserve"> </w:t>
      </w:r>
      <w:r>
        <w:t xml:space="preserve">44 (2): 77–87.</w:t>
      </w:r>
    </w:p>
    <w:p>
      <w:pPr>
        <w:pStyle w:val="Compact"/>
        <w:numPr>
          <w:ilvl w:val="0"/>
          <w:numId w:val="1870"/>
        </w:numPr>
      </w:pPr>
      <w:r>
        <w:t xml:space="preserve">Leibenstein, Harvey. 1966.</w:t>
      </w:r>
      <w:r>
        <w:t xml:space="preserve"> </w:t>
      </w:r>
      <w:r>
        <w:t xml:space="preserve">“</w:t>
      </w:r>
      <w:hyperlink r:id="rId972">
        <w:r>
          <w:rPr>
            <w:rStyle w:val="Hyperlink"/>
          </w:rPr>
          <w:t xml:space="preserve">Allocative Efficiency vs. </w:t>
        </w:r>
        <w:r>
          <w:rPr>
            <w:rStyle w:val="Hyperlink"/>
          </w:rPr>
          <w:t xml:space="preserve">‘X-Efficiency’</w:t>
        </w:r>
        <w:r>
          <w:rPr>
            <w:rStyle w:val="Hyperlink"/>
          </w:rPr>
          <w:t xml:space="preserve">.</w:t>
        </w:r>
      </w:hyperlink>
      <w:r>
        <w:t xml:space="preserve">”</w:t>
      </w:r>
      <w:r>
        <w:t xml:space="preserve"> </w:t>
      </w:r>
      <w:r>
        <w:rPr>
          <w:i/>
          <w:iCs/>
        </w:rPr>
        <w:t xml:space="preserve">American Economic Review</w:t>
      </w:r>
      <w:r>
        <w:t xml:space="preserve"> </w:t>
      </w:r>
      <w:r>
        <w:t xml:space="preserve">56 (3): 392–415.</w:t>
      </w:r>
    </w:p>
    <w:p>
      <w:pPr>
        <w:pStyle w:val="Compact"/>
        <w:numPr>
          <w:ilvl w:val="0"/>
          <w:numId w:val="1870"/>
        </w:numPr>
      </w:pPr>
      <w:r>
        <w:t xml:space="preserve">Mas-Colell, Andreu, Michael D. Whinston, e Jerry R. Green. 1995.</w:t>
      </w:r>
      <w:r>
        <w:t xml:space="preserve"> </w:t>
      </w:r>
      <w:hyperlink r:id="rId70">
        <w:r>
          <w:rPr>
            <w:rStyle w:val="Hyperlink"/>
            <w:i/>
            <w:iCs/>
          </w:rPr>
          <w:t xml:space="preserve">Microeconomic Theory</w:t>
        </w:r>
      </w:hyperlink>
      <w:r>
        <w:t xml:space="preserve">. New York: Oxford University Press. Cap. 12.</w:t>
      </w:r>
    </w:p>
    <w:p>
      <w:pPr>
        <w:pStyle w:val="Compact"/>
        <w:numPr>
          <w:ilvl w:val="0"/>
          <w:numId w:val="1870"/>
        </w:numPr>
      </w:pPr>
      <w:r>
        <w:t xml:space="preserve">Nicholson, Walter, e Christopher M. Snyder. 2017.</w:t>
      </w:r>
      <w:r>
        <w:t xml:space="preserve"> </w:t>
      </w:r>
      <w:hyperlink r:id="rId71">
        <w:r>
          <w:rPr>
            <w:rStyle w:val="Hyperlink"/>
            <w:i/>
            <w:iCs/>
          </w:rPr>
          <w:t xml:space="preserve">Microeconomic Theory: Basic Principles and Extensions</w:t>
        </w:r>
      </w:hyperlink>
      <w:r>
        <w:t xml:space="preserve">. 12ª ed. Boston: Cengage. Caps. 14–15.</w:t>
      </w:r>
    </w:p>
    <w:p>
      <w:pPr>
        <w:pStyle w:val="Compact"/>
        <w:numPr>
          <w:ilvl w:val="0"/>
          <w:numId w:val="1870"/>
        </w:numPr>
      </w:pPr>
      <w:r>
        <w:t xml:space="preserve">Posner, Richard A. 1975.</w:t>
      </w:r>
      <w:r>
        <w:t xml:space="preserve"> </w:t>
      </w:r>
      <w:r>
        <w:t xml:space="preserve">“</w:t>
      </w:r>
      <w:hyperlink r:id="rId961">
        <w:r>
          <w:rPr>
            <w:rStyle w:val="Hyperlink"/>
          </w:rPr>
          <w:t xml:space="preserve">The Social Costs of Monopoly and Regulation.</w:t>
        </w:r>
      </w:hyperlink>
      <w:r>
        <w:t xml:space="preserve">”</w:t>
      </w:r>
      <w:r>
        <w:t xml:space="preserve"> </w:t>
      </w:r>
      <w:r>
        <w:rPr>
          <w:i/>
          <w:iCs/>
        </w:rPr>
        <w:t xml:space="preserve">Journal of Political Economy</w:t>
      </w:r>
      <w:r>
        <w:t xml:space="preserve"> </w:t>
      </w:r>
      <w:r>
        <w:t xml:space="preserve">83 (4): 807–827.</w:t>
      </w:r>
    </w:p>
    <w:p>
      <w:pPr>
        <w:pStyle w:val="Compact"/>
        <w:numPr>
          <w:ilvl w:val="0"/>
          <w:numId w:val="1870"/>
        </w:numPr>
      </w:pPr>
      <w:r>
        <w:t xml:space="preserve">Spence, Michael. 1975.</w:t>
      </w:r>
      <w:r>
        <w:t xml:space="preserve"> </w:t>
      </w:r>
      <w:r>
        <w:t xml:space="preserve">“</w:t>
      </w:r>
      <w:hyperlink r:id="rId973">
        <w:r>
          <w:rPr>
            <w:rStyle w:val="Hyperlink"/>
          </w:rPr>
          <w:t xml:space="preserve">Monopoly, Quality, and Regulation.</w:t>
        </w:r>
      </w:hyperlink>
      <w:r>
        <w:t xml:space="preserve">”</w:t>
      </w:r>
      <w:r>
        <w:t xml:space="preserve"> </w:t>
      </w:r>
      <w:r>
        <w:rPr>
          <w:i/>
          <w:iCs/>
        </w:rPr>
        <w:t xml:space="preserve">Bell Journal of Economics</w:t>
      </w:r>
      <w:r>
        <w:t xml:space="preserve"> </w:t>
      </w:r>
      <w:r>
        <w:t xml:space="preserve">6 (2): 417–429.</w:t>
      </w:r>
    </w:p>
    <w:p>
      <w:pPr>
        <w:pStyle w:val="Compact"/>
        <w:numPr>
          <w:ilvl w:val="0"/>
          <w:numId w:val="1870"/>
        </w:numPr>
      </w:pPr>
      <w:r>
        <w:t xml:space="preserve">Tirole, Jean. 1988.</w:t>
      </w:r>
      <w:r>
        <w:t xml:space="preserve"> </w:t>
      </w:r>
      <w:hyperlink r:id="rId974">
        <w:r>
          <w:rPr>
            <w:rStyle w:val="Hyperlink"/>
            <w:i/>
            <w:iCs/>
          </w:rPr>
          <w:t xml:space="preserve">The Theory of Industrial Organization</w:t>
        </w:r>
      </w:hyperlink>
      <w:r>
        <w:t xml:space="preserve">. Cambridge: MIT Press. Caps. 1–3.</w:t>
      </w:r>
    </w:p>
    <w:p>
      <w:pPr>
        <w:pStyle w:val="Compact"/>
        <w:numPr>
          <w:ilvl w:val="0"/>
          <w:numId w:val="1870"/>
        </w:numPr>
      </w:pPr>
      <w:r>
        <w:t xml:space="preserve">Varian, Hal R. 1992.</w:t>
      </w:r>
      <w:r>
        <w:t xml:space="preserve"> </w:t>
      </w:r>
      <w:hyperlink r:id="rId686">
        <w:r>
          <w:rPr>
            <w:rStyle w:val="Hyperlink"/>
            <w:i/>
            <w:iCs/>
          </w:rPr>
          <w:t xml:space="preserve">Microeconomic Analysis</w:t>
        </w:r>
      </w:hyperlink>
      <w:r>
        <w:t xml:space="preserve">. 3ª ed. New York: W. W. Norton. Caps. 14, 24.</w:t>
      </w:r>
    </w:p>
    <w:p>
      <w:pPr>
        <w:pStyle w:val="Compact"/>
        <w:numPr>
          <w:ilvl w:val="0"/>
          <w:numId w:val="1870"/>
        </w:numPr>
      </w:pPr>
      <w:r>
        <w:t xml:space="preserve">Wallsten, Scott. 2001.</w:t>
      </w:r>
      <w:r>
        <w:t xml:space="preserve"> </w:t>
      </w:r>
      <w:r>
        <w:t xml:space="preserve">“</w:t>
      </w:r>
      <w:hyperlink r:id="rId963">
        <w:r>
          <w:rPr>
            <w:rStyle w:val="Hyperlink"/>
          </w:rPr>
          <w:t xml:space="preserve">An Econometric Analysis of Telecom Competition, Privatization, and Regulation in Africa and Latin America.</w:t>
        </w:r>
      </w:hyperlink>
      <w:r>
        <w:t xml:space="preserve">”</w:t>
      </w:r>
      <w:r>
        <w:t xml:space="preserve"> </w:t>
      </w:r>
      <w:r>
        <w:rPr>
          <w:i/>
          <w:iCs/>
        </w:rPr>
        <w:t xml:space="preserve">Journal of Industrial Economics</w:t>
      </w:r>
      <w:r>
        <w:t xml:space="preserve"> </w:t>
      </w:r>
      <w:r>
        <w:t xml:space="preserve">49 (1): 1–19.</w:t>
      </w:r>
    </w:p>
    <w:bookmarkEnd w:id="975"/>
    <w:bookmarkEnd w:id="976"/>
    <w:bookmarkEnd w:id="977"/>
    <w:bookmarkStart w:id="1011" w:name="capítulo-16a-poucos-e-isso-muda-tudo"/>
    <w:p>
      <w:pPr>
        <w:sectPr>
          <w:footnotePr>
            <w:numRestart w:val="eachSect"/>
          </w:footnotePr>
        </w:sectPr>
      </w:pPr>
    </w:p>
    <w:p>
      <w:pPr>
        <w:pStyle w:val="Heading1"/>
      </w:pPr>
      <w:r>
        <w:t xml:space="preserve">Capítulo 16a — Poucos — e Isso Muda Tudo</w:t>
      </w:r>
    </w:p>
    <w:p>
      <w:pPr>
        <w:pStyle w:val="FirstParagraph"/>
      </w:pPr>
      <w:r>
        <w:rPr>
          <w:i/>
          <w:iCs/>
        </w:rPr>
        <w:t xml:space="preserve">Modelos Básicos de Oligopólio</w:t>
      </w:r>
    </w:p>
    <w:p>
      <w:pPr>
        <w:pStyle w:val="BodyText"/>
      </w:pPr>
      <w:r>
        <w:t xml:space="preserve">Em 2018, a Gol lançou uma promoção-relâmpago com passagens a R$ 200 para Nordeste. Em menos de 24 horas, a LATAM igualou os preços. A Azul respondeu no dia seguinte. Em 48 horas, os preços voltaram ao patamar anterior — como se nada tivesse acontecido. Nenhuma empresa agiu isoladamente; cada uma calibrou seu movimento observando os rivais. Bem-vindo ao oligopólio, onde cada decisão é um lance num jogo de xadrez com poucos jogadores e apostas altas.</w:t>
      </w:r>
    </w:p>
    <w:p>
      <w:pPr>
        <w:pStyle w:val="BodyText"/>
      </w:pPr>
      <w:r>
        <w:t xml:space="preserve">Quando o mercado tem poucos vendedores, cada firma sabe que suas decisões afetam — e são afetadas por — as decisões das rivais. Essa</w:t>
      </w:r>
      <w:r>
        <w:t xml:space="preserve"> </w:t>
      </w:r>
      <w:r>
        <w:rPr>
          <w:b/>
          <w:bCs/>
        </w:rPr>
        <w:t xml:space="preserve">interdependência estratégica</w:t>
      </w:r>
      <w:r>
        <w:t xml:space="preserve"> </w:t>
      </w:r>
      <w:r>
        <w:t xml:space="preserve">é o que torna o oligopólio fundamentalmente diferente da concorrência perfeita e do monopólio. Neste módulo, construímos os modelos clássicos: Bertrand (competição em preços), Cournot (competição em quantidades), Stackelberg (líder-seguidora), e suas extensões com restrições de capacidade e diferenciação de produto.</w:t>
      </w:r>
      <w:r>
        <w:rPr>
          <w:rStyle w:val="FootnoteReference"/>
        </w:rPr>
        <w:footnoteReference w:id="978"/>
      </w:r>
    </w:p>
    <w:p>
      <w:pPr>
        <w:pStyle w:val="BodyText"/>
      </w:pPr>
      <w:r>
        <w:t xml:space="preserve">A teoria dos oligopólios recorre extensivamente à</w:t>
      </w:r>
      <w:r>
        <w:t xml:space="preserve"> </w:t>
      </w:r>
      <w:r>
        <w:rPr>
          <w:b/>
          <w:bCs/>
        </w:rPr>
        <w:t xml:space="preserve">teoria dos jogos</w:t>
      </w:r>
      <w:r>
        <w:t xml:space="preserve"> </w:t>
      </w:r>
      <w:r>
        <w:t xml:space="preserve">para modelar a interação estratégica entre firmas. Os resultados são extremamente sensíveis às hipóteses sobre a variável de decisão (preço ou quantidade), a sequência de movimentos (simultâneo ou sequencial) e a natureza da informação.</w:t>
      </w:r>
    </w:p>
    <w:p>
      <w:pPr>
        <w:pStyle w:val="BlockText"/>
      </w:pPr>
      <w:r>
        <w:rPr>
          <w:b/>
          <w:bCs/>
        </w:rPr>
        <w:t xml:space="preserve">[DICA] Pré-requisitos</w:t>
      </w:r>
    </w:p>
    <w:p>
      <w:pPr>
        <w:pStyle w:val="BlockText"/>
      </w:pPr>
      <w:r>
        <w:t xml:space="preserve">Cap. 9a (Cap. 9) (equilíbrio de Nash) e Cap. 15 (Cap. 15) (monopólio). Para IO avançada (colusão, entrada, fusões), veja o Cap. 16b (Cap. 16).</w:t>
      </w:r>
    </w:p>
    <w:p>
      <w:r>
        <w:pict>
          <v:rect style="width:0;height:1.5pt" o:hralign="center" o:hrstd="t" o:hr="t"/>
        </w:pict>
      </w:r>
    </w:p>
    <w:bookmarkStart w:id="979" w:name="roteiro-do-capítulo-8"/>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16a.1</w:t>
            </w:r>
          </w:p>
        </w:tc>
        <w:tc>
          <w:tcPr/>
          <w:p>
            <w:pPr>
              <w:pStyle w:val="Compact"/>
            </w:pPr>
            <w:r>
              <w:t xml:space="preserve">Espadas ou flechas? A primeira decisão do oligopolista</w:t>
            </w:r>
          </w:p>
        </w:tc>
        <w:tc>
          <w:tcPr/>
          <w:p>
            <w:pPr>
              <w:pStyle w:val="Compact"/>
            </w:pPr>
            <w:r>
              <w:t xml:space="preserve">Bertrand vs. Cournot: a escolha da variável estratégica</w:t>
            </w:r>
          </w:p>
        </w:tc>
        <w:tc>
          <w:tcPr/>
          <w:p>
            <w:pPr>
              <w:pStyle w:val="Compact"/>
              <w:jc w:val="center"/>
            </w:pPr>
            <w:r>
              <w:t xml:space="preserve">Fundamentos</w:t>
            </w:r>
          </w:p>
        </w:tc>
      </w:tr>
      <w:tr>
        <w:tc>
          <w:tcPr/>
          <w:p>
            <w:pPr>
              <w:pStyle w:val="Compact"/>
              <w:jc w:val="center"/>
            </w:pPr>
            <w:r>
              <w:t xml:space="preserve">16a.2</w:t>
            </w:r>
          </w:p>
        </w:tc>
        <w:tc>
          <w:tcPr/>
          <w:p>
            <w:pPr>
              <w:pStyle w:val="Compact"/>
            </w:pPr>
            <w:r>
              <w:t xml:space="preserve">Dois bastam para a guerra? O paradoxo de Bertrand</w:t>
            </w:r>
          </w:p>
        </w:tc>
        <w:tc>
          <w:tcPr/>
          <w:p>
            <w:pPr>
              <w:pStyle w:val="Compact"/>
            </w:pPr>
            <w:r>
              <w:t xml:space="preserve">Modelo de Bertrand e o paradoxo</w:t>
            </w:r>
          </w:p>
        </w:tc>
        <w:tc>
          <w:tcPr/>
          <w:p>
            <w:pPr>
              <w:pStyle w:val="Compact"/>
              <w:jc w:val="center"/>
            </w:pPr>
            <w:r>
              <w:t xml:space="preserve">Bertrand</w:t>
            </w:r>
          </w:p>
        </w:tc>
      </w:tr>
      <w:tr>
        <w:tc>
          <w:tcPr/>
          <w:p>
            <w:pPr>
              <w:pStyle w:val="Compact"/>
              <w:jc w:val="center"/>
            </w:pPr>
            <w:r>
              <w:t xml:space="preserve">16a.3</w:t>
            </w:r>
          </w:p>
        </w:tc>
        <w:tc>
          <w:tcPr/>
          <w:p>
            <w:pPr>
              <w:pStyle w:val="Compact"/>
            </w:pPr>
            <w:r>
              <w:t xml:space="preserve">“Quanto eu produzo se ele pensa a mesma coisa?”</w:t>
            </w:r>
          </w:p>
        </w:tc>
        <w:tc>
          <w:tcPr/>
          <w:p>
            <w:pPr>
              <w:pStyle w:val="Compact"/>
            </w:pPr>
            <w:r>
              <w:t xml:space="preserve">Cournot, funções de reação, EN</w:t>
            </w:r>
          </w:p>
        </w:tc>
        <w:tc>
          <w:tcPr/>
          <w:p>
            <w:pPr>
              <w:pStyle w:val="Compact"/>
              <w:jc w:val="center"/>
            </w:pPr>
            <w:r>
              <w:t xml:space="preserve">Cournot</w:t>
            </w:r>
          </w:p>
        </w:tc>
      </w:tr>
      <w:tr>
        <w:tc>
          <w:tcPr/>
          <w:p>
            <w:pPr>
              <w:pStyle w:val="Compact"/>
              <w:jc w:val="center"/>
            </w:pPr>
            <w:r>
              <w:t xml:space="preserve">16a.4</w:t>
            </w:r>
          </w:p>
        </w:tc>
        <w:tc>
          <w:tcPr/>
          <w:p>
            <w:pPr>
              <w:pStyle w:val="Compact"/>
            </w:pPr>
            <w:r>
              <w:t xml:space="preserve">De monopólio a concorrência em</w:t>
            </w:r>
            <w:r>
              <w:t xml:space="preserve"> </w:t>
            </w:r>
            <m:oMath>
              <m:r>
                <m:t>n</m:t>
              </m:r>
            </m:oMath>
            <w:r>
              <w:t xml:space="preserve"> </w:t>
            </w:r>
            <w:r>
              <w:t xml:space="preserve">passos</w:t>
            </w:r>
          </w:p>
        </w:tc>
        <w:tc>
          <w:tcPr/>
          <w:p>
            <w:pPr>
              <w:pStyle w:val="Compact"/>
            </w:pPr>
            <w:r>
              <w:t xml:space="preserve">Cournot com n firmas, convergência para competição</w:t>
            </w:r>
          </w:p>
        </w:tc>
        <w:tc>
          <w:tcPr/>
          <w:p>
            <w:pPr>
              <w:pStyle w:val="Compact"/>
              <w:jc w:val="center"/>
            </w:pPr>
            <w:r>
              <w:t xml:space="preserve">Cournot-n</w:t>
            </w:r>
          </w:p>
        </w:tc>
      </w:tr>
      <w:tr>
        <w:tc>
          <w:tcPr/>
          <w:p>
            <w:pPr>
              <w:pStyle w:val="Compact"/>
              <w:jc w:val="center"/>
            </w:pPr>
            <w:r>
              <w:t xml:space="preserve">16a.5</w:t>
            </w:r>
          </w:p>
        </w:tc>
        <w:tc>
          <w:tcPr/>
          <w:p>
            <w:pPr>
              <w:pStyle w:val="Compact"/>
            </w:pPr>
            <w:r>
              <w:t xml:space="preserve">A fábrica tem limite — e o rival sabe disso</w:t>
            </w:r>
          </w:p>
        </w:tc>
        <w:tc>
          <w:tcPr/>
          <w:p>
            <w:pPr>
              <w:pStyle w:val="Compact"/>
            </w:pPr>
            <w:r>
              <w:t xml:space="preserve">Restrições de capacidade, Edgeworth</w:t>
            </w:r>
          </w:p>
        </w:tc>
        <w:tc>
          <w:tcPr/>
          <w:p>
            <w:pPr>
              <w:pStyle w:val="Compact"/>
              <w:jc w:val="center"/>
            </w:pPr>
            <w:r>
              <w:t xml:space="preserve">Capacidade</w:t>
            </w:r>
          </w:p>
        </w:tc>
      </w:tr>
      <w:tr>
        <w:tc>
          <w:tcPr/>
          <w:p>
            <w:pPr>
              <w:pStyle w:val="Compact"/>
              <w:jc w:val="center"/>
            </w:pPr>
            <w:r>
              <w:t xml:space="preserve">16a.6</w:t>
            </w:r>
          </w:p>
        </w:tc>
        <w:tc>
          <w:tcPr/>
          <w:p>
            <w:pPr>
              <w:pStyle w:val="Compact"/>
            </w:pPr>
            <w:r>
              <w:t xml:space="preserve">Nem todo café é igual — e a localização importa</w:t>
            </w:r>
          </w:p>
        </w:tc>
        <w:tc>
          <w:tcPr/>
          <w:p>
            <w:pPr>
              <w:pStyle w:val="Compact"/>
            </w:pPr>
            <w:r>
              <w:t xml:space="preserve">Diferenciação horizontal/vertical, Hotelling</w:t>
            </w:r>
          </w:p>
        </w:tc>
        <w:tc>
          <w:tcPr/>
          <w:p>
            <w:pPr>
              <w:pStyle w:val="Compact"/>
              <w:jc w:val="center"/>
            </w:pPr>
            <w:r>
              <w:t xml:space="preserve">Diferenciação</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p>
      <w:pPr>
        <w:pStyle w:val="BlockText"/>
      </w:pPr>
      <w:r>
        <w:rPr>
          <w:b/>
          <w:bCs/>
        </w:rPr>
        <w:t xml:space="preserve">[ATIVIDADE DE SALA] Atividade em Sala: O Torneio de Oligopólio — Bertrand, Cournot e Colusão ao Vivo</w:t>
      </w:r>
    </w:p>
    <w:p>
      <w:pPr>
        <w:pStyle w:val="BlockText"/>
      </w:pPr>
      <w:r>
        <w:rPr>
          <w:b/>
          <w:bCs/>
        </w:rPr>
        <w:t xml:space="preserve">Objetivo pedagógico:</w:t>
      </w:r>
      <w:r>
        <w:t xml:space="preserve"> </w:t>
      </w:r>
      <w:r>
        <w:t xml:space="preserve">Vivenciar a diferença entre competição em preços (Bertrand), competição em quantidades (Cournot) e colusão, revelando como a variável de decisão e a possibilidade de comunicação alteram radicalmente os resultados de mercado.</w:t>
      </w:r>
    </w:p>
    <w:p>
      <w:pPr>
        <w:pStyle w:val="BlockText"/>
      </w:pPr>
      <w:r>
        <w:rPr>
          <w:b/>
          <w:bCs/>
        </w:rPr>
        <w:t xml:space="preserve">Materiais:</w:t>
      </w:r>
      <w:r>
        <w:t xml:space="preserve"> </w:t>
      </w:r>
      <w:r>
        <w:t xml:space="preserve">Formulários impressos (ou Google Forms) com campos para decisão de preço ou quantidade; planilha projetada para calcular resultados em tempo real; cartões de</w:t>
      </w:r>
      <w:r>
        <w:t xml:space="preserve"> </w:t>
      </w:r>
      <w:r>
        <w:t xml:space="preserve">“identidade da firma”</w:t>
      </w:r>
      <w:r>
        <w:t xml:space="preserve"> </w:t>
      </w:r>
      <w:r>
        <w:t xml:space="preserve">(custos marginais).</w:t>
      </w:r>
    </w:p>
    <w:p>
      <w:pPr>
        <w:pStyle w:val="BlockText"/>
      </w:pPr>
      <w:r>
        <w:rPr>
          <w:b/>
          <w:bCs/>
        </w:rPr>
        <w:t xml:space="preserve">Formato:</w:t>
      </w:r>
      <w:r>
        <w:t xml:space="preserve"> </w:t>
      </w:r>
      <w:r>
        <w:t xml:space="preserve">3 rodadas × 15 min cada + 10 min debrief = 55 min</w:t>
      </w:r>
    </w:p>
    <w:p>
      <w:r>
        <w:pict>
          <v:rect style="width:0;height:1.5pt" o:hralign="center" o:hrstd="t" o:hr="t"/>
        </w:pict>
      </w:r>
    </w:p>
    <w:p>
      <w:pPr>
        <w:pStyle w:val="BlockText"/>
      </w:pPr>
      <w:r>
        <w:rPr>
          <w:b/>
          <w:bCs/>
        </w:rPr>
        <w:t xml:space="preserve">Rodada 1 — Bertrand (15 min)</w:t>
      </w:r>
    </w:p>
    <w:p>
      <w:pPr>
        <w:pStyle w:val="Compact"/>
        <w:numPr>
          <w:ilvl w:val="0"/>
          <w:numId w:val="1871"/>
        </w:numPr>
      </w:pPr>
      <w:r>
        <w:t xml:space="preserve">Divida a turma em duplas. Cada dupla representa um duopólio com produtos homogêneos.</w:t>
      </w:r>
    </w:p>
    <w:p>
      <w:pPr>
        <w:pStyle w:val="Compact"/>
        <w:numPr>
          <w:ilvl w:val="0"/>
          <w:numId w:val="1871"/>
        </w:numPr>
      </w:pPr>
      <w:r>
        <w:t xml:space="preserve">Custos marginais:</w:t>
      </w:r>
      <w:r>
        <w:t xml:space="preserve"> </w:t>
      </w:r>
      <m:oMath>
        <m:r>
          <m:t>c</m:t>
        </m:r>
        <m:r>
          <m:rPr>
            <m:sty m:val="p"/>
          </m:rPr>
          <m:t>=</m:t>
        </m:r>
        <m:r>
          <m:t>20</m:t>
        </m:r>
      </m:oMath>
      <w:r>
        <w:t xml:space="preserve">. Demanda:</w:t>
      </w:r>
      <w:r>
        <w:t xml:space="preserve"> </w:t>
      </w:r>
      <m:oMath>
        <m:r>
          <m:t>Q</m:t>
        </m:r>
        <m:r>
          <m:rPr>
            <m:sty m:val="p"/>
          </m:rPr>
          <m:t>=</m:t>
        </m:r>
        <m:r>
          <m:t>100</m:t>
        </m:r>
        <m:r>
          <m:rPr>
            <m:sty m:val="p"/>
          </m:rPr>
          <m:t>−</m:t>
        </m:r>
        <m:r>
          <m:t>p</m:t>
        </m:r>
      </m:oMath>
      <w:r>
        <w:t xml:space="preserve">.</w:t>
      </w:r>
    </w:p>
    <w:p>
      <w:pPr>
        <w:pStyle w:val="Compact"/>
        <w:numPr>
          <w:ilvl w:val="0"/>
          <w:numId w:val="1871"/>
        </w:numPr>
      </w:pPr>
      <w:r>
        <w:t xml:space="preserve">Cada firma escolhe um preço</w:t>
      </w:r>
      <w:r>
        <w:t xml:space="preserve"> </w:t>
      </w:r>
      <w:r>
        <w:rPr>
          <w:b/>
          <w:bCs/>
        </w:rPr>
        <w:t xml:space="preserve">simultaneamente</w:t>
      </w:r>
      <w:r>
        <w:t xml:space="preserve"> </w:t>
      </w:r>
      <w:r>
        <w:t xml:space="preserve">(sem comunicação). O consumidor compra da firma com menor preço; se iguais, divide-se a demanda.</w:t>
      </w:r>
    </w:p>
    <w:p>
      <w:pPr>
        <w:pStyle w:val="Compact"/>
        <w:numPr>
          <w:ilvl w:val="0"/>
          <w:numId w:val="1871"/>
        </w:numPr>
      </w:pPr>
      <w:r>
        <w:t xml:space="preserve">Repita 5 rounds. Registre preços e lucros de cada round.</w:t>
      </w:r>
    </w:p>
    <w:p>
      <w:pPr>
        <w:pStyle w:val="Compact"/>
        <w:numPr>
          <w:ilvl w:val="0"/>
          <w:numId w:val="1871"/>
        </w:numPr>
      </w:pPr>
      <w:r>
        <w:rPr>
          <w:b/>
          <w:bCs/>
        </w:rPr>
        <w:t xml:space="preserve">Previsão teórica:</w:t>
      </w:r>
      <w:r>
        <w:t xml:space="preserve"> </w:t>
      </w:r>
      <w:r>
        <w:t xml:space="preserve">convergência para</w:t>
      </w:r>
      <w:r>
        <w:t xml:space="preserve"> </w:t>
      </w:r>
      <m:oMath>
        <m:r>
          <m:t>p</m:t>
        </m:r>
        <m:r>
          <m:rPr>
            <m:sty m:val="p"/>
          </m:rPr>
          <m:t>=</m:t>
        </m:r>
        <m:r>
          <m:t>c</m:t>
        </m:r>
        <m:r>
          <m:rPr>
            <m:sty m:val="p"/>
          </m:rPr>
          <m:t>=</m:t>
        </m:r>
        <m:r>
          <m:t>20</m:t>
        </m:r>
      </m:oMath>
      <w:r>
        <w:t xml:space="preserve">, lucro zero.</w:t>
      </w:r>
    </w:p>
    <w:p>
      <w:pPr>
        <w:pStyle w:val="BlockText"/>
      </w:pPr>
      <w:r>
        <w:rPr>
          <w:b/>
          <w:bCs/>
        </w:rPr>
        <w:t xml:space="preserve">Rodada 2 — Cournot (15 min)</w:t>
      </w:r>
    </w:p>
    <w:p>
      <w:pPr>
        <w:pStyle w:val="Compact"/>
        <w:numPr>
          <w:ilvl w:val="0"/>
          <w:numId w:val="1872"/>
        </w:numPr>
      </w:pPr>
      <w:r>
        <w:t xml:space="preserve">Mesmas duplas, mesma demanda e custos.</w:t>
      </w:r>
    </w:p>
    <w:p>
      <w:pPr>
        <w:pStyle w:val="Compact"/>
        <w:numPr>
          <w:ilvl w:val="0"/>
          <w:numId w:val="1872"/>
        </w:numPr>
      </w:pPr>
      <w:r>
        <w:t xml:space="preserve">Agora cada firma escolhe uma</w:t>
      </w:r>
      <w:r>
        <w:t xml:space="preserve"> </w:t>
      </w:r>
      <w:r>
        <w:rPr>
          <w:b/>
          <w:bCs/>
        </w:rPr>
        <w:t xml:space="preserve">quantidade</w:t>
      </w:r>
      <w:r>
        <w:t xml:space="preserve"> </w:t>
      </w:r>
      <w:r>
        <w:t xml:space="preserve">simultaneamente (sem comunicação). O preço é determinado por</w:t>
      </w:r>
      <w:r>
        <w:t xml:space="preserve"> </w:t>
      </w:r>
      <m:oMath>
        <m:r>
          <m:t>p</m:t>
        </m:r>
        <m:r>
          <m:rPr>
            <m:sty m:val="p"/>
          </m:rPr>
          <m:t>=</m:t>
        </m:r>
        <m:r>
          <m:t>100</m:t>
        </m:r>
        <m:r>
          <m:rPr>
            <m:sty m:val="p"/>
          </m:rPr>
          <m:t>−</m:t>
        </m:r>
        <m:r>
          <m:t>Q</m:t>
        </m:r>
      </m:oMath>
      <w:r>
        <w:t xml:space="preserve">.</w:t>
      </w:r>
    </w:p>
    <w:p>
      <w:pPr>
        <w:pStyle w:val="Compact"/>
        <w:numPr>
          <w:ilvl w:val="0"/>
          <w:numId w:val="1872"/>
        </w:numPr>
      </w:pPr>
      <w:r>
        <w:t xml:space="preserve">Repita 5 rounds.</w:t>
      </w:r>
    </w:p>
    <w:p>
      <w:pPr>
        <w:pStyle w:val="Compact"/>
        <w:numPr>
          <w:ilvl w:val="0"/>
          <w:numId w:val="1872"/>
        </w:numPr>
      </w:pPr>
      <w:r>
        <w:rPr>
          <w:b/>
          <w:bCs/>
        </w:rPr>
        <w:t xml:space="preserve">Previsão teórica:</w:t>
      </w:r>
      <w:r>
        <w:t xml:space="preserve"> </w:t>
      </w:r>
      <m:oMath>
        <m:sSub>
          <m:e>
            <m:r>
              <m:t>q</m:t>
            </m:r>
          </m:e>
          <m:sub>
            <m:r>
              <m:t>1</m:t>
            </m:r>
          </m:sub>
        </m:sSub>
        <m:r>
          <m:rPr>
            <m:sty m:val="p"/>
          </m:rPr>
          <m:t>=</m:t>
        </m:r>
        <m:sSub>
          <m:e>
            <m:r>
              <m:t>q</m:t>
            </m:r>
          </m:e>
          <m:sub>
            <m:r>
              <m:t>2</m:t>
            </m:r>
          </m:sub>
        </m:sSub>
        <m:r>
          <m:rPr>
            <m:sty m:val="p"/>
          </m:rPr>
          <m:t>≈</m:t>
        </m:r>
        <m:r>
          <m:t>26</m:t>
        </m:r>
        <m:r>
          <m:rPr>
            <m:sty m:val="p"/>
          </m:rPr>
          <m:t>,</m:t>
        </m:r>
        <m:r>
          <m:t>7</m:t>
        </m:r>
      </m:oMath>
      <w:r>
        <w:t xml:space="preserve">,</w:t>
      </w:r>
      <w:r>
        <w:t xml:space="preserve"> </w:t>
      </w:r>
      <m:oMath>
        <m:r>
          <m:t>p</m:t>
        </m:r>
        <m:r>
          <m:rPr>
            <m:sty m:val="p"/>
          </m:rPr>
          <m:t>≈</m:t>
        </m:r>
        <m:r>
          <m:t>46</m:t>
        </m:r>
        <m:r>
          <m:rPr>
            <m:sty m:val="p"/>
          </m:rPr>
          <m:t>,</m:t>
        </m:r>
        <m:r>
          <m:t>7</m:t>
        </m:r>
      </m:oMath>
      <w:r>
        <w:t xml:space="preserve">, lucros positivos.</w:t>
      </w:r>
    </w:p>
    <w:p>
      <w:pPr>
        <w:pStyle w:val="BlockText"/>
      </w:pPr>
      <w:r>
        <w:rPr>
          <w:b/>
          <w:bCs/>
        </w:rPr>
        <w:t xml:space="preserve">Rodada 3 — Colusão (15 min)</w:t>
      </w:r>
    </w:p>
    <w:p>
      <w:pPr>
        <w:pStyle w:val="Compact"/>
        <w:numPr>
          <w:ilvl w:val="0"/>
          <w:numId w:val="1873"/>
        </w:numPr>
      </w:pPr>
      <w:r>
        <w:t xml:space="preserve">Mesmas duplas, mesma demanda, competição em quantidades.</w:t>
      </w:r>
    </w:p>
    <w:p>
      <w:pPr>
        <w:pStyle w:val="Compact"/>
        <w:numPr>
          <w:ilvl w:val="0"/>
          <w:numId w:val="1873"/>
        </w:numPr>
      </w:pPr>
      <w:r>
        <w:t xml:space="preserve">Agora as firmas podem se</w:t>
      </w:r>
      <w:r>
        <w:t xml:space="preserve"> </w:t>
      </w:r>
      <w:r>
        <w:rPr>
          <w:b/>
          <w:bCs/>
        </w:rPr>
        <w:t xml:space="preserve">comunicar</w:t>
      </w:r>
      <w:r>
        <w:t xml:space="preserve"> </w:t>
      </w:r>
      <w:r>
        <w:t xml:space="preserve">por 2 minutos antes de cada round. Mas a decisão é individual e secreta.</w:t>
      </w:r>
    </w:p>
    <w:p>
      <w:pPr>
        <w:pStyle w:val="Compact"/>
        <w:numPr>
          <w:ilvl w:val="0"/>
          <w:numId w:val="1873"/>
        </w:numPr>
      </w:pPr>
      <w:r>
        <w:t xml:space="preserve">Repita 5 rounds. Observe quem trai o acordo e quando.</w:t>
      </w:r>
    </w:p>
    <w:p>
      <w:pPr>
        <w:pStyle w:val="Compact"/>
        <w:numPr>
          <w:ilvl w:val="0"/>
          <w:numId w:val="1873"/>
        </w:numPr>
      </w:pPr>
      <w:r>
        <w:rPr>
          <w:b/>
          <w:bCs/>
        </w:rPr>
        <w:t xml:space="preserve">Previsão teórica:</w:t>
      </w:r>
      <w:r>
        <w:t xml:space="preserve"> </w:t>
      </w:r>
      <w:r>
        <w:t xml:space="preserve">tentativa de colusão em</w:t>
      </w:r>
      <w:r>
        <w:t xml:space="preserve"> </w:t>
      </w:r>
      <m:oMath>
        <m:sSup>
          <m:e>
            <m:r>
              <m:t>Q</m:t>
            </m:r>
          </m:e>
          <m:sup>
            <m:r>
              <m:t>m</m:t>
            </m:r>
          </m:sup>
        </m:sSup>
        <m:r>
          <m:rPr>
            <m:sty m:val="p"/>
          </m:rPr>
          <m:t>=</m:t>
        </m:r>
        <m:r>
          <m:t>40</m:t>
        </m:r>
      </m:oMath>
      <w:r>
        <w:t xml:space="preserve">, mas incentivo a desviar.</w:t>
      </w:r>
    </w:p>
    <w:p>
      <w:r>
        <w:pict>
          <v:rect style="width:0;height:1.5pt" o:hralign="center" o:hrstd="t" o:hr="t"/>
        </w:pict>
      </w:r>
    </w:p>
    <w:p>
      <w:pPr>
        <w:pStyle w:val="BlockText"/>
      </w:pPr>
      <w:r>
        <w:rPr>
          <w:b/>
          <w:bCs/>
        </w:rPr>
        <w:t xml:space="preserve">Debrief (10 min)</w:t>
      </w:r>
    </w:p>
    <w:p>
      <w:pPr>
        <w:pStyle w:val="Compact"/>
        <w:numPr>
          <w:ilvl w:val="0"/>
          <w:numId w:val="1874"/>
        </w:numPr>
      </w:pPr>
      <w:r>
        <w:t xml:space="preserve">Projete os resultados agregados: preços médios caíram para</w:t>
      </w:r>
      <w:r>
        <w:t xml:space="preserve"> </w:t>
      </w:r>
      <m:oMath>
        <m:r>
          <m:t>c</m:t>
        </m:r>
      </m:oMath>
      <w:r>
        <w:t xml:space="preserve"> </w:t>
      </w:r>
      <w:r>
        <w:t xml:space="preserve">na Rodada 1? Ficaram acima de</w:t>
      </w:r>
      <w:r>
        <w:t xml:space="preserve"> </w:t>
      </w:r>
      <m:oMath>
        <m:r>
          <m:t>c</m:t>
        </m:r>
      </m:oMath>
      <w:r>
        <w:t xml:space="preserve"> </w:t>
      </w:r>
      <w:r>
        <w:t xml:space="preserve">na Rodada 2?</w:t>
      </w:r>
    </w:p>
    <w:p>
      <w:pPr>
        <w:pStyle w:val="Compact"/>
        <w:numPr>
          <w:ilvl w:val="0"/>
          <w:numId w:val="1874"/>
        </w:numPr>
      </w:pPr>
      <w:r>
        <w:t xml:space="preserve">Na Rodada 3, quantas duplas sustentaram a colusão nos 5 rounds? Quantas tiveram</w:t>
      </w:r>
      <w:r>
        <w:t xml:space="preserve"> </w:t>
      </w:r>
      <w:r>
        <w:t xml:space="preserve">“traição”</w:t>
      </w:r>
      <w:r>
        <w:t xml:space="preserve"> </w:t>
      </w:r>
      <w:r>
        <w:t xml:space="preserve">nos últimos rounds?</w:t>
      </w:r>
    </w:p>
    <w:p>
      <w:pPr>
        <w:pStyle w:val="Compact"/>
        <w:numPr>
          <w:ilvl w:val="0"/>
          <w:numId w:val="1874"/>
        </w:numPr>
      </w:pPr>
      <w:r>
        <w:t xml:space="preserve">Conecte com a teoria:</w:t>
      </w:r>
      <w:r>
        <w:t xml:space="preserve"> </w:t>
      </w:r>
      <w:r>
        <w:t xml:space="preserve">“Por que a variável de decisão (preço vs. quantidade) gera resultados tão diferentes?”</w:t>
      </w:r>
      <w:r>
        <w:t xml:space="preserve"> </w:t>
      </w:r>
      <w:r>
        <w:t xml:space="preserve">→ função de demanda residual descontínua (Bertrand) vs. contínua (Cournot).</w:t>
      </w:r>
    </w:p>
    <w:p>
      <w:pPr>
        <w:pStyle w:val="Compact"/>
        <w:numPr>
          <w:ilvl w:val="0"/>
          <w:numId w:val="1874"/>
        </w:numPr>
      </w:pPr>
      <w:r>
        <w:t xml:space="preserve">Conecte com antitruste:</w:t>
      </w:r>
      <w:r>
        <w:t xml:space="preserve"> </w:t>
      </w:r>
      <w:r>
        <w:t xml:space="preserve">“Se vocês fossem o CADE, o que fariam para impedir a Rodada 3?”</w:t>
      </w:r>
    </w:p>
    <w:p>
      <w:pPr>
        <w:pStyle w:val="BlockText"/>
      </w:pPr>
      <w:r>
        <w:rPr>
          <w:b/>
          <w:bCs/>
        </w:rPr>
        <w:t xml:space="preserve">Variação avançada:</w:t>
      </w:r>
      <w:r>
        <w:t xml:space="preserve"> </w:t>
      </w:r>
      <w:r>
        <w:t xml:space="preserve">Introduza custos assimétricos (</w:t>
      </w:r>
      <m:oMath>
        <m:sSub>
          <m:e>
            <m:r>
              <m:t>c</m:t>
            </m:r>
          </m:e>
          <m:sub>
            <m:r>
              <m:t>1</m:t>
            </m:r>
          </m:sub>
        </m:sSub>
        <m:r>
          <m:rPr>
            <m:sty m:val="p"/>
          </m:rPr>
          <m:t>=</m:t>
        </m:r>
        <m:r>
          <m:t>10</m:t>
        </m:r>
      </m:oMath>
      <w:r>
        <w:t xml:space="preserve">,</w:t>
      </w:r>
      <w:r>
        <w:t xml:space="preserve"> </w:t>
      </w:r>
      <m:oMath>
        <m:sSub>
          <m:e>
            <m:r>
              <m:t>c</m:t>
            </m:r>
          </m:e>
          <m:sub>
            <m:r>
              <m:t>2</m:t>
            </m:r>
          </m:sub>
        </m:sSub>
        <m:r>
          <m:rPr>
            <m:sty m:val="p"/>
          </m:rPr>
          <m:t>=</m:t>
        </m:r>
        <m:r>
          <m:t>30</m:t>
        </m:r>
      </m:oMath>
      <w:r>
        <w:t xml:space="preserve">) para explorar como a eficiência relativa afeta o equilíbrio e a sustentabilidade da colusão.</w:t>
      </w:r>
    </w:p>
    <w:p>
      <w:r>
        <w:pict>
          <v:rect style="width:0;height:1.5pt" o:hralign="center" o:hrstd="t" o:hr="t"/>
        </w:pict>
      </w:r>
    </w:p>
    <w:bookmarkEnd w:id="979"/>
    <w:bookmarkStart w:id="990" w:name="a.116a.4-bertrand-cournot-e-stackelberg"/>
    <w:p>
      <w:pPr>
        <w:pStyle w:val="Heading2"/>
      </w:pPr>
      <w:r>
        <w:t xml:space="preserve">16a.1–16a.4 Bertrand, Cournot e Stackelberg</w:t>
      </w:r>
    </w:p>
    <w:bookmarkStart w:id="980" w:name="Xb7ff336b347662bd7d3d3e9fa4a3e380fc764b6"/>
    <w:p>
      <w:pPr>
        <w:pStyle w:val="Heading3"/>
      </w:pPr>
      <w:r>
        <w:t xml:space="preserve">16a.1 Preço ou Quantidade — Eis a Questão: Decisões de Curto Prazo</w:t>
      </w:r>
    </w:p>
    <w:p>
      <w:pPr>
        <w:pStyle w:val="FirstParagraph"/>
      </w:pPr>
      <w:r>
        <w:t xml:space="preserve">Em um oligopólio, as firmas devem decidir simultaneamente (ou sequencialmente) sobre preço, quantidade, qualidade, publicidade e outras variáveis. Os modelos clássicos concentram-se em duas variáveis fundamentais:</w:t>
      </w:r>
    </w:p>
    <w:p>
      <w:pPr>
        <w:pStyle w:val="Compact"/>
        <w:numPr>
          <w:ilvl w:val="0"/>
          <w:numId w:val="1875"/>
        </w:numPr>
      </w:pPr>
      <w:r>
        <w:rPr>
          <w:b/>
          <w:bCs/>
        </w:rPr>
        <w:t xml:space="preserve">Preço</w:t>
      </w:r>
      <w:r>
        <w:t xml:space="preserve">: modelo de Bertrand (1883).</w:t>
      </w:r>
    </w:p>
    <w:p>
      <w:pPr>
        <w:pStyle w:val="Compact"/>
        <w:numPr>
          <w:ilvl w:val="0"/>
          <w:numId w:val="1875"/>
        </w:numPr>
      </w:pPr>
      <w:r>
        <w:rPr>
          <w:b/>
          <w:bCs/>
        </w:rPr>
        <w:t xml:space="preserve">Quantidade</w:t>
      </w:r>
      <w:r>
        <w:t xml:space="preserve">: modelo de Cournot (1838).</w:t>
      </w:r>
    </w:p>
    <w:p>
      <w:pPr>
        <w:pStyle w:val="FirstParagraph"/>
      </w:pPr>
      <w:r>
        <w:t xml:space="preserve">A escolha da variável estratégica não é trivial e produz resultados dramaticamente diferentes, como veremos a seguir.</w:t>
      </w:r>
    </w:p>
    <w:p>
      <w:pPr>
        <w:pStyle w:val="BlockText"/>
      </w:pPr>
      <w:r>
        <w:rPr>
          <w:b/>
          <w:bCs/>
        </w:rPr>
        <w:t xml:space="preserve">[DEFINICAO] Interdependência Estratégica</w:t>
      </w:r>
    </w:p>
    <w:p>
      <w:pPr>
        <w:pStyle w:val="BlockText"/>
      </w:pPr>
      <w:r>
        <w:t xml:space="preserve">Em um oligopólio, o lucro de cada firma depende não apenas de sua própria decisão, mas também das decisões de todas as rivais. Formalmente, se há</w:t>
      </w:r>
      <w:r>
        <w:t xml:space="preserve"> </w:t>
      </w:r>
      <m:oMath>
        <m:r>
          <m:t>n</m:t>
        </m:r>
      </m:oMath>
      <w:r>
        <w:t xml:space="preserve"> </w:t>
      </w:r>
      <w:r>
        <w:t xml:space="preserve">firmas, o lucro da firma</w:t>
      </w:r>
      <w:r>
        <w:t xml:space="preserve"> </w:t>
      </w:r>
      <m:oMath>
        <m:r>
          <m:t>i</m:t>
        </m:r>
      </m:oMath>
      <w:r>
        <w:t xml:space="preserve"> </w:t>
      </w:r>
      <w:r>
        <w:t xml:space="preserve">é</w:t>
      </w:r>
      <w:r>
        <w:t xml:space="preserve"> </w:t>
      </w:r>
      <m:oMath>
        <m:sSub>
          <m:e>
            <m:r>
              <m:t>π</m:t>
            </m:r>
          </m:e>
          <m:sub>
            <m:r>
              <m:t>i</m:t>
            </m:r>
          </m:sub>
        </m:sSub>
        <m:r>
          <m:rPr>
            <m:sty m:val="p"/>
          </m:rPr>
          <m:t>(</m:t>
        </m:r>
        <m:sSub>
          <m:e>
            <m:r>
              <m:t>s</m:t>
            </m:r>
          </m:e>
          <m:sub>
            <m:r>
              <m:t>i</m:t>
            </m:r>
          </m:sub>
        </m:sSub>
        <m:r>
          <m:rPr>
            <m:sty m:val="p"/>
          </m:rPr>
          <m:t>,</m:t>
        </m:r>
        <m:sSub>
          <m:e>
            <m:r>
              <m:t>s</m:t>
            </m:r>
          </m:e>
          <m:sub>
            <m:r>
              <m:rPr>
                <m:sty m:val="p"/>
              </m:rPr>
              <m:t>−</m:t>
            </m:r>
            <m:r>
              <m:t>i</m:t>
            </m:r>
          </m:sub>
        </m:sSub>
        <m:r>
          <m:rPr>
            <m:sty m:val="p"/>
          </m:rPr>
          <m:t>)</m:t>
        </m:r>
      </m:oMath>
      <w:r>
        <w:t xml:space="preserve">, onde</w:t>
      </w:r>
      <w:r>
        <w:t xml:space="preserve"> </w:t>
      </w:r>
      <m:oMath>
        <m:sSub>
          <m:e>
            <m:r>
              <m:t>s</m:t>
            </m:r>
          </m:e>
          <m:sub>
            <m:r>
              <m:t>i</m:t>
            </m:r>
          </m:sub>
        </m:sSub>
      </m:oMath>
      <w:r>
        <w:t xml:space="preserve"> </w:t>
      </w:r>
      <w:r>
        <w:t xml:space="preserve">é a estratégia da firma</w:t>
      </w:r>
      <w:r>
        <w:t xml:space="preserve"> </w:t>
      </w:r>
      <m:oMath>
        <m:r>
          <m:t>i</m:t>
        </m:r>
      </m:oMath>
      <w:r>
        <w:t xml:space="preserve"> </w:t>
      </w:r>
      <w:r>
        <w:t xml:space="preserve">e</w:t>
      </w:r>
      <w:r>
        <w:t xml:space="preserve"> </w:t>
      </w:r>
      <m:oMath>
        <m:sSub>
          <m:e>
            <m:r>
              <m:t>s</m:t>
            </m:r>
          </m:e>
          <m:sub>
            <m:r>
              <m:rPr>
                <m:sty m:val="p"/>
              </m:rPr>
              <m:t>−</m:t>
            </m:r>
            <m:r>
              <m:t>i</m:t>
            </m:r>
          </m:sub>
        </m:sSub>
      </m:oMath>
      <w:r>
        <w:t xml:space="preserve"> </w:t>
      </w:r>
      <w:r>
        <w:t xml:space="preserve">é o vetor de estratégias das demais firmas. O conceito de solução é o</w:t>
      </w:r>
      <w:r>
        <w:t xml:space="preserve"> </w:t>
      </w:r>
      <w:r>
        <w:rPr>
          <w:b/>
          <w:bCs/>
        </w:rPr>
        <w:t xml:space="preserve">equilíbrio de Nash</w:t>
      </w:r>
      <w:r>
        <w:t xml:space="preserve">: um perfil de estratégias</w:t>
      </w:r>
      <w:r>
        <w:t xml:space="preserve"> </w:t>
      </w:r>
      <m:oMath>
        <m:r>
          <m:rPr>
            <m:sty m:val="p"/>
          </m:rPr>
          <m:t>(</m:t>
        </m:r>
        <m:sSubSup>
          <m:e>
            <m:r>
              <m:t>s</m:t>
            </m:r>
          </m:e>
          <m:sub>
            <m:r>
              <m:t>1</m:t>
            </m:r>
          </m:sub>
          <m:sup>
            <m:r>
              <m:rPr>
                <m:sty m:val="p"/>
              </m:rPr>
              <m:t>*</m:t>
            </m:r>
          </m:sup>
        </m:sSubSup>
        <m:r>
          <m:rPr>
            <m:sty m:val="p"/>
          </m:rPr>
          <m:t>,</m:t>
        </m:r>
        <m:r>
          <m:rPr>
            <m:sty m:val="p"/>
          </m:rPr>
          <m:t>…</m:t>
        </m:r>
        <m:r>
          <m:rPr>
            <m:sty m:val="p"/>
          </m:rPr>
          <m:t>,</m:t>
        </m:r>
        <m:sSubSup>
          <m:e>
            <m:r>
              <m:t>s</m:t>
            </m:r>
          </m:e>
          <m:sub>
            <m:r>
              <m:t>n</m:t>
            </m:r>
          </m:sub>
          <m:sup>
            <m:r>
              <m:rPr>
                <m:sty m:val="p"/>
              </m:rPr>
              <m:t>*</m:t>
            </m:r>
          </m:sup>
        </m:sSubSup>
        <m:r>
          <m:rPr>
            <m:sty m:val="p"/>
          </m:rPr>
          <m:t>)</m:t>
        </m:r>
      </m:oMath>
      <w:r>
        <w:t xml:space="preserve"> </w:t>
      </w:r>
      <w:r>
        <w:t xml:space="preserve">tal que nenhuma firma pode aumentar unilateralmente seu lucro desviando.</w:t>
      </w:r>
    </w:p>
    <w:p>
      <w:pPr>
        <w:pStyle w:val="BlockText"/>
      </w:pPr>
      <w:r>
        <w:rPr>
          <w:b/>
          <w:bCs/>
        </w:rPr>
        <w:t xml:space="preserve">[INFORMACAO] Prêmio Nobel — Jean Tirole (2014)</w:t>
      </w:r>
    </w:p>
    <w:p>
      <w:pPr>
        <w:pStyle w:val="BlockText"/>
      </w:pPr>
      <w:r>
        <w:rPr>
          <w:b/>
          <w:bCs/>
        </w:rPr>
        <w:t xml:space="preserve">Jean Tirole</w:t>
      </w:r>
      <w:r>
        <w:t xml:space="preserve"> </w:t>
      </w:r>
      <w:r>
        <w:t xml:space="preserve">(1953–presente) é um economista francês. Obteve o PhD no MIT e é professor na Toulouse School of Economics (TSE). Recebeu o Nobel individualmente — um dos poucos em economia.</w:t>
      </w:r>
    </w:p>
    <w:p>
      <w:pPr>
        <w:pStyle w:val="BlockText"/>
      </w:pPr>
      <w:r>
        <w:rPr>
          <w:b/>
          <w:bCs/>
        </w:rPr>
        <w:t xml:space="preserve">Por que ganhou o Nobel:</w:t>
      </w:r>
      <w:r>
        <w:t xml:space="preserve"> </w:t>
      </w:r>
      <w:r>
        <w:t xml:space="preserve">Premiado por sua análise do poder de mercado e da regulação. Em</w:t>
      </w:r>
      <w:r>
        <w:t xml:space="preserve"> </w:t>
      </w:r>
      <w:r>
        <w:rPr>
          <w:i/>
          <w:iCs/>
        </w:rPr>
        <w:t xml:space="preserve">The Theory of Industrial Organization</w:t>
      </w:r>
      <w:r>
        <w:t xml:space="preserve"> </w:t>
      </w:r>
      <w:r>
        <w:t xml:space="preserve">(1988), Tirole sintetizou e expandiu os modelos clássicos de oligopólio (Cournot, Bertrand, Stackelberg) usando a teoria dos jogos, transformando a organização industrial em uma disciplina rigorosa e unificada. Suas contribuições incluem a análise de preços-limite, competição em plataformas bilaterais e colusão tácita.</w:t>
      </w:r>
    </w:p>
    <w:p>
      <w:pPr>
        <w:pStyle w:val="BlockText"/>
      </w:pPr>
      <w:r>
        <w:rPr>
          <w:b/>
          <w:bCs/>
        </w:rPr>
        <w:t xml:space="preserve">Conexão com este capítulo:</w:t>
      </w:r>
      <w:r>
        <w:t xml:space="preserve"> </w:t>
      </w:r>
      <w:r>
        <w:t xml:space="preserve">Os modelos de Cournot, Bertrand, Stackelberg e colusão analisados neste capítulo são apresentados no framework moderno consolidado por Tirole. Sua abordagem — tratar cada estrutura de oligopólio como um jogo com equilíbrio de Nash — unificou a análise e permitiu comparar rigorosamente as previsões de cada modelo sobre preços, quantidades e bem-estar.</w:t>
      </w:r>
    </w:p>
    <w:p>
      <w:r>
        <w:pict>
          <v:rect style="width:0;height:1.5pt" o:hralign="center" o:hrstd="t" o:hr="t"/>
        </w:pict>
      </w:r>
    </w:p>
    <w:bookmarkEnd w:id="980"/>
    <w:bookmarkStart w:id="984" w:name="X0a8fdb57314438323298dca11e846ad1296904d"/>
    <w:p>
      <w:pPr>
        <w:pStyle w:val="Heading3"/>
      </w:pPr>
      <w:r>
        <w:t xml:space="preserve">16a.2 Dois Bastam para a Guerra: Modelo de Bertrand</w:t>
      </w:r>
    </w:p>
    <w:p>
      <w:pPr>
        <w:pStyle w:val="FirstParagraph"/>
      </w:pPr>
      <w:r>
        <w:t xml:space="preserve">Comecemos pela pergunta mais natural: o que acontece quando duas firmas com produtos idênticos competem em preços? A resposta de Bertrand é tão brutal que mereceu o apelido de</w:t>
      </w:r>
      <w:r>
        <w:t xml:space="preserve"> </w:t>
      </w:r>
      <w:r>
        <w:t xml:space="preserve">“paradoxo”</w:t>
      </w:r>
      <w:r>
        <w:t xml:space="preserve">: basta</w:t>
      </w:r>
      <w:r>
        <w:t xml:space="preserve"> </w:t>
      </w:r>
      <w:r>
        <w:rPr>
          <w:i/>
          <w:iCs/>
        </w:rPr>
        <w:t xml:space="preserve">uma</w:t>
      </w:r>
      <w:r>
        <w:t xml:space="preserve"> </w:t>
      </w:r>
      <w:r>
        <w:t xml:space="preserve">rival para transformar qualquer duopolista em refém da guerra de preços. É como se dois vendedores de guarda-chuva idêntico se instalassem lado a lado na saída do metrô em dia de temporal — a corrida para o fundo começa imediatamente. Como veremos, bastam duas firmas para que o resultado de mercado se assemelhe ao da concorrência perfeita, um resultado com implicações profundas para a teoria da organização industrial.</w:t>
      </w:r>
    </w:p>
    <w:bookmarkStart w:id="981" w:name="o-modelo-básico"/>
    <w:p>
      <w:pPr>
        <w:pStyle w:val="Heading4"/>
      </w:pPr>
      <w:r>
        <w:t xml:space="preserve">O modelo básico</w:t>
      </w:r>
    </w:p>
    <w:p>
      <w:pPr>
        <w:pStyle w:val="FirstParagraph"/>
      </w:pPr>
      <w:r>
        <w:t xml:space="preserve">Considere duas firmas produzindo um bem</w:t>
      </w:r>
      <w:r>
        <w:t xml:space="preserve"> </w:t>
      </w:r>
      <w:r>
        <w:rPr>
          <w:b/>
          <w:bCs/>
        </w:rPr>
        <w:t xml:space="preserve">homogêneo</w:t>
      </w:r>
      <w:r>
        <w:t xml:space="preserve"> </w:t>
      </w:r>
      <w:r>
        <w:t xml:space="preserve">com custo marginal constante</w:t>
      </w:r>
      <w:r>
        <w:t xml:space="preserve"> </w:t>
      </w:r>
      <m:oMath>
        <m:r>
          <m:t>c</m:t>
        </m:r>
      </m:oMath>
      <w:r>
        <w:t xml:space="preserve">. As firmas escolhem</w:t>
      </w:r>
      <w:r>
        <w:t xml:space="preserve"> </w:t>
      </w:r>
      <w:r>
        <w:rPr>
          <w:b/>
          <w:bCs/>
        </w:rPr>
        <w:t xml:space="preserve">simultaneamente</w:t>
      </w:r>
      <w:r>
        <w:t xml:space="preserve"> </w:t>
      </w:r>
      <w:r>
        <w:t xml:space="preserve">seus preços</w:t>
      </w:r>
      <w:r>
        <w:t xml:space="preserve"> </w:t>
      </w:r>
      <m:oMath>
        <m:sSub>
          <m:e>
            <m:r>
              <m:t>p</m:t>
            </m:r>
          </m:e>
          <m:sub>
            <m:r>
              <m:t>1</m:t>
            </m:r>
          </m:sub>
        </m:sSub>
      </m:oMath>
      <w:r>
        <w:t xml:space="preserve"> </w:t>
      </w:r>
      <w:r>
        <w:t xml:space="preserve">e</w:t>
      </w:r>
      <w:r>
        <w:t xml:space="preserve"> </w:t>
      </w:r>
      <m:oMath>
        <m:sSub>
          <m:e>
            <m:r>
              <m:t>p</m:t>
            </m:r>
          </m:e>
          <m:sub>
            <m:r>
              <m:t>2</m:t>
            </m:r>
          </m:sub>
        </m:sSub>
      </m:oMath>
      <w:r>
        <w:t xml:space="preserve">. Os consumidores compram da firma com menor preço; se os preços são iguais, a demanda se divide igualmente.</w:t>
      </w:r>
    </w:p>
    <w:p>
      <w:pPr>
        <w:pStyle w:val="BodyText"/>
      </w:pPr>
      <w:r>
        <w:t xml:space="preserve">A função de demanda da firma 1 é:</w:t>
      </w:r>
    </w:p>
    <w:p>
      <w:pPr>
        <w:pStyle w:val="BodyText"/>
      </w:pPr>
      <m:oMathPara>
        <m:oMathParaPr>
          <m:jc m:val="center"/>
        </m:oMathParaPr>
        <m:oMath>
          <m:sSub>
            <m:e>
              <m:r>
                <m:t>q</m:t>
              </m:r>
            </m:e>
            <m:sub>
              <m:r>
                <m:t>1</m:t>
              </m:r>
            </m:sub>
          </m:sSub>
          <m:r>
            <m:rPr>
              <m:sty m:val="p"/>
            </m:rPr>
            <m:t>(</m:t>
          </m:r>
          <m:sSub>
            <m:e>
              <m:r>
                <m:t>p</m:t>
              </m:r>
            </m:e>
            <m:sub>
              <m:r>
                <m:t>1</m:t>
              </m:r>
            </m:sub>
          </m:sSub>
          <m:r>
            <m:rPr>
              <m:sty m:val="p"/>
            </m:rPr>
            <m:t>,</m:t>
          </m:r>
          <m:sSub>
            <m:e>
              <m:r>
                <m:t>p</m:t>
              </m:r>
            </m:e>
            <m:sub>
              <m:r>
                <m:t>2</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D</m:t>
                    </m:r>
                    <m:r>
                      <m:rPr>
                        <m:sty m:val="p"/>
                      </m:rPr>
                      <m:t>(</m:t>
                    </m:r>
                    <m:sSub>
                      <m:e>
                        <m:r>
                          <m:t>p</m:t>
                        </m:r>
                      </m:e>
                      <m:sub>
                        <m:r>
                          <m:t>1</m:t>
                        </m:r>
                      </m:sub>
                    </m:sSub>
                    <m:r>
                      <m:rPr>
                        <m:sty m:val="p"/>
                      </m:rPr>
                      <m:t>)</m:t>
                    </m:r>
                  </m:e>
                  <m:e>
                    <m:r>
                      <m:rPr>
                        <m:nor/>
                        <m:sty m:val="p"/>
                      </m:rPr>
                      <m:t>se </m:t>
                    </m:r>
                    <m:sSub>
                      <m:e>
                        <m:r>
                          <m:t>p</m:t>
                        </m:r>
                      </m:e>
                      <m:sub>
                        <m:r>
                          <m:t>1</m:t>
                        </m:r>
                      </m:sub>
                    </m:sSub>
                    <m:r>
                      <m:rPr>
                        <m:sty m:val="p"/>
                      </m:rPr>
                      <m:t>&lt;</m:t>
                    </m:r>
                    <m:sSub>
                      <m:e>
                        <m:r>
                          <m:t>p</m:t>
                        </m:r>
                      </m:e>
                      <m:sub>
                        <m:r>
                          <m:t>2</m:t>
                        </m:r>
                      </m:sub>
                    </m:sSub>
                  </m:e>
                </m:mr>
                <m:mr>
                  <m:e>
                    <m:f>
                      <m:fPr>
                        <m:type m:val="bar"/>
                      </m:fPr>
                      <m:num>
                        <m:r>
                          <m:t>D</m:t>
                        </m:r>
                        <m:r>
                          <m:rPr>
                            <m:sty m:val="p"/>
                          </m:rPr>
                          <m:t>(</m:t>
                        </m:r>
                        <m:sSub>
                          <m:e>
                            <m:r>
                              <m:t>p</m:t>
                            </m:r>
                          </m:e>
                          <m:sub>
                            <m:r>
                              <m:t>1</m:t>
                            </m:r>
                          </m:sub>
                        </m:sSub>
                        <m:r>
                          <m:rPr>
                            <m:sty m:val="p"/>
                          </m:rPr>
                          <m:t>)</m:t>
                        </m:r>
                      </m:num>
                      <m:den>
                        <m:r>
                          <m:t>2</m:t>
                        </m:r>
                      </m:den>
                    </m:f>
                  </m:e>
                  <m:e>
                    <m:r>
                      <m:rPr>
                        <m:nor/>
                        <m:sty m:val="p"/>
                      </m:rPr>
                      <m:t>se </m:t>
                    </m:r>
                    <m:sSub>
                      <m:e>
                        <m:r>
                          <m:t>p</m:t>
                        </m:r>
                      </m:e>
                      <m:sub>
                        <m:r>
                          <m:t>1</m:t>
                        </m:r>
                      </m:sub>
                    </m:sSub>
                    <m:r>
                      <m:rPr>
                        <m:sty m:val="p"/>
                      </m:rPr>
                      <m:t>=</m:t>
                    </m:r>
                    <m:sSub>
                      <m:e>
                        <m:r>
                          <m:t>p</m:t>
                        </m:r>
                      </m:e>
                      <m:sub>
                        <m:r>
                          <m:t>2</m:t>
                        </m:r>
                      </m:sub>
                    </m:sSub>
                  </m:e>
                </m:mr>
                <m:mr>
                  <m:e>
                    <m:r>
                      <m:t>0</m:t>
                    </m:r>
                  </m:e>
                  <m:e>
                    <m:r>
                      <m:rPr>
                        <m:nor/>
                        <m:sty m:val="p"/>
                      </m:rPr>
                      <m:t>se </m:t>
                    </m:r>
                    <m:sSub>
                      <m:e>
                        <m:r>
                          <m:t>p</m:t>
                        </m:r>
                      </m:e>
                      <m:sub>
                        <m:r>
                          <m:t>1</m:t>
                        </m:r>
                      </m:sub>
                    </m:sSub>
                    <m:r>
                      <m:rPr>
                        <m:sty m:val="p"/>
                      </m:rPr>
                      <m:t>&gt;</m:t>
                    </m:r>
                    <m:sSub>
                      <m:e>
                        <m:r>
                          <m:t>p</m:t>
                        </m:r>
                      </m:e>
                      <m:sub>
                        <m:r>
                          <m:t>2</m:t>
                        </m:r>
                      </m:sub>
                    </m:sSub>
                  </m:e>
                </m:mr>
              </m:m>
            </m:e>
          </m:d>
        </m:oMath>
      </m:oMathPara>
    </w:p>
    <w:bookmarkEnd w:id="981"/>
    <w:bookmarkStart w:id="982" w:name="o-paradoxo-de-bertrand"/>
    <w:p>
      <w:pPr>
        <w:pStyle w:val="Heading4"/>
      </w:pPr>
      <w:r>
        <w:t xml:space="preserve">O paradoxo de Bertrand</w:t>
      </w:r>
    </w:p>
    <w:p>
      <w:pPr>
        <w:pStyle w:val="BlockText"/>
      </w:pPr>
      <w:r>
        <w:rPr>
          <w:b/>
          <w:bCs/>
        </w:rPr>
        <w:t xml:space="preserve">[TEOREMA] Teorema: Equilíbrio de Bertrand</w:t>
      </w:r>
    </w:p>
    <w:p>
      <w:pPr>
        <w:pStyle w:val="BlockText"/>
      </w:pPr>
      <w:r>
        <w:t xml:space="preserve">No modelo de Bertrand com bens homogêneos e custos marginais constantes e idênticos, o único equilíbrio de Nash é</w:t>
      </w:r>
      <w:r>
        <w:t xml:space="preserve"> </w:t>
      </w:r>
      <m:oMath>
        <m:sSubSup>
          <m:e>
            <m:r>
              <m:t>p</m:t>
            </m:r>
          </m:e>
          <m:sub>
            <m:r>
              <m:t>1</m:t>
            </m:r>
          </m:sub>
          <m:sup>
            <m:r>
              <m:rPr>
                <m:sty m:val="p"/>
              </m:rPr>
              <m:t>*</m:t>
            </m:r>
          </m:sup>
        </m:sSubSup>
        <m:r>
          <m:rPr>
            <m:sty m:val="p"/>
          </m:rPr>
          <m:t>=</m:t>
        </m:r>
        <m:sSubSup>
          <m:e>
            <m:r>
              <m:t>p</m:t>
            </m:r>
          </m:e>
          <m:sub>
            <m:r>
              <m:t>2</m:t>
            </m:r>
          </m:sub>
          <m:sup>
            <m:r>
              <m:rPr>
                <m:sty m:val="p"/>
              </m:rPr>
              <m:t>*</m:t>
            </m:r>
          </m:sup>
        </m:sSubSup>
        <m:r>
          <m:rPr>
            <m:sty m:val="p"/>
          </m:rPr>
          <m:t>=</m:t>
        </m:r>
        <m:r>
          <m:t>c</m:t>
        </m:r>
      </m:oMath>
      <w:r>
        <w:t xml:space="preserve">. Ambas as firmas obtêm lucro zero.</w:t>
      </w:r>
    </w:p>
    <w:p>
      <w:pPr>
        <w:pStyle w:val="BlockText"/>
      </w:pPr>
      <w:r>
        <w:rPr>
          <w:b/>
          <w:bCs/>
        </w:rPr>
        <w:t xml:space="preserve">[DEMONSTRACAO] Demonstração</w:t>
      </w:r>
    </w:p>
    <w:p>
      <w:pPr>
        <w:pStyle w:val="BlockText"/>
      </w:pPr>
      <w:r>
        <w:t xml:space="preserve">Mostramos que</w:t>
      </w:r>
      <w:r>
        <w:t xml:space="preserve"> </w:t>
      </w:r>
      <m:oMath>
        <m:sSubSup>
          <m:e>
            <m:r>
              <m:t>p</m:t>
            </m:r>
          </m:e>
          <m:sub>
            <m:r>
              <m:t>1</m:t>
            </m:r>
          </m:sub>
          <m:sup>
            <m:r>
              <m:rPr>
                <m:sty m:val="p"/>
              </m:rPr>
              <m:t>*</m:t>
            </m:r>
          </m:sup>
        </m:sSubSup>
        <m:r>
          <m:rPr>
            <m:sty m:val="p"/>
          </m:rPr>
          <m:t>=</m:t>
        </m:r>
        <m:sSubSup>
          <m:e>
            <m:r>
              <m:t>p</m:t>
            </m:r>
          </m:e>
          <m:sub>
            <m:r>
              <m:t>2</m:t>
            </m:r>
          </m:sub>
          <m:sup>
            <m:r>
              <m:rPr>
                <m:sty m:val="p"/>
              </m:rPr>
              <m:t>*</m:t>
            </m:r>
          </m:sup>
        </m:sSubSup>
        <m:r>
          <m:rPr>
            <m:sty m:val="p"/>
          </m:rPr>
          <m:t>=</m:t>
        </m:r>
        <m:r>
          <m:t>c</m:t>
        </m:r>
      </m:oMath>
      <w:r>
        <w:t xml:space="preserve"> </w:t>
      </w:r>
      <w:r>
        <w:t xml:space="preserve">é equilíbrio de Nash e que nenhum outro perfil de preços o é.</w:t>
      </w:r>
    </w:p>
    <w:p>
      <w:pPr>
        <w:pStyle w:val="BlockText"/>
      </w:pPr>
      <w:r>
        <w:rPr>
          <w:b/>
          <w:bCs/>
        </w:rPr>
        <w:t xml:space="preserve">Passo 1:</w:t>
      </w:r>
      <w:r>
        <w:rPr>
          <w:b/>
          <w:bCs/>
        </w:rPr>
        <w:t xml:space="preserve"> </w:t>
      </w:r>
      <m:oMath>
        <m:sSub>
          <m:e>
            <m:r>
              <m:t>p</m:t>
            </m:r>
          </m:e>
          <m:sub>
            <m:r>
              <m:t>1</m:t>
            </m:r>
          </m:sub>
        </m:sSub>
        <m:r>
          <m:rPr>
            <m:sty m:val="p"/>
          </m:rPr>
          <m:t>=</m:t>
        </m:r>
        <m:sSub>
          <m:e>
            <m:r>
              <m:t>p</m:t>
            </m:r>
          </m:e>
          <m:sub>
            <m:r>
              <m:t>2</m:t>
            </m:r>
          </m:sub>
        </m:sSub>
        <m:r>
          <m:rPr>
            <m:sty m:val="p"/>
          </m:rPr>
          <m:t>=</m:t>
        </m:r>
        <m:r>
          <m:t>c</m:t>
        </m:r>
      </m:oMath>
      <w:r>
        <w:rPr>
          <w:b/>
          <w:bCs/>
        </w:rPr>
        <w:t xml:space="preserve"> </w:t>
      </w:r>
      <w:r>
        <w:rPr>
          <w:b/>
          <w:bCs/>
        </w:rPr>
        <w:t xml:space="preserve">é equilíbrio de Nash.</w:t>
      </w:r>
    </w:p>
    <w:p>
      <w:pPr>
        <w:pStyle w:val="BlockText"/>
      </w:pPr>
      <w:r>
        <w:t xml:space="preserve">Se ambas as firmas cobram</w:t>
      </w:r>
      <w:r>
        <w:t xml:space="preserve"> </w:t>
      </w:r>
      <m:oMath>
        <m:r>
          <m:t>p</m:t>
        </m:r>
        <m:r>
          <m:rPr>
            <m:sty m:val="p"/>
          </m:rPr>
          <m:t>=</m:t>
        </m:r>
        <m:r>
          <m:t>c</m:t>
        </m:r>
      </m:oMath>
      <w:r>
        <w:t xml:space="preserve">, cada uma obtém lucro zero. Qualquer desvio unilateral resulta em:</w:t>
      </w:r>
    </w:p>
    <w:p>
      <w:pPr>
        <w:pStyle w:val="Compact"/>
        <w:numPr>
          <w:ilvl w:val="0"/>
          <w:numId w:val="1876"/>
        </w:numPr>
      </w:pPr>
      <m:oMath>
        <m:sSub>
          <m:e>
            <m:r>
              <m:t>p</m:t>
            </m:r>
          </m:e>
          <m:sub>
            <m:r>
              <m:t>i</m:t>
            </m:r>
          </m:sub>
        </m:sSub>
        <m:r>
          <m:rPr>
            <m:sty m:val="p"/>
          </m:rPr>
          <m:t>&lt;</m:t>
        </m:r>
        <m:r>
          <m:t>c</m:t>
        </m:r>
      </m:oMath>
      <w:r>
        <w:t xml:space="preserve">: a firma</w:t>
      </w:r>
      <w:r>
        <w:t xml:space="preserve"> </w:t>
      </w:r>
      <m:oMath>
        <m:r>
          <m:t>i</m:t>
        </m:r>
      </m:oMath>
      <w:r>
        <w:t xml:space="preserve"> </w:t>
      </w:r>
      <w:r>
        <w:t xml:space="preserve">atrai toda a demanda mas obtém lucro negativo (prejuízo por unidade).</w:t>
      </w:r>
    </w:p>
    <w:p>
      <w:pPr>
        <w:pStyle w:val="Compact"/>
        <w:numPr>
          <w:ilvl w:val="0"/>
          <w:numId w:val="1876"/>
        </w:numPr>
      </w:pPr>
      <m:oMath>
        <m:sSub>
          <m:e>
            <m:r>
              <m:t>p</m:t>
            </m:r>
          </m:e>
          <m:sub>
            <m:r>
              <m:t>i</m:t>
            </m:r>
          </m:sub>
        </m:sSub>
        <m:r>
          <m:rPr>
            <m:sty m:val="p"/>
          </m:rPr>
          <m:t>&gt;</m:t>
        </m:r>
        <m:r>
          <m:t>c</m:t>
        </m:r>
      </m:oMath>
      <w:r>
        <w:t xml:space="preserve">: a firma</w:t>
      </w:r>
      <w:r>
        <w:t xml:space="preserve"> </w:t>
      </w:r>
      <m:oMath>
        <m:r>
          <m:t>i</m:t>
        </m:r>
      </m:oMath>
      <w:r>
        <w:t xml:space="preserve"> </w:t>
      </w:r>
      <w:r>
        <w:t xml:space="preserve">perde toda a demanda para a rival e obtém lucro zero.</w:t>
      </w:r>
    </w:p>
    <w:p>
      <w:pPr>
        <w:pStyle w:val="BlockText"/>
      </w:pPr>
      <w:r>
        <w:t xml:space="preserve">Portanto, nenhuma firma tem incentivo para desviar.</w:t>
      </w:r>
      <w:r>
        <w:t xml:space="preserve"> </w:t>
      </w:r>
      <m:oMath>
        <m:r>
          <m:rPr>
            <m:sty m:val="p"/>
          </m:rPr>
          <m:t>✓</m:t>
        </m:r>
      </m:oMath>
    </w:p>
    <w:p>
      <w:pPr>
        <w:pStyle w:val="BlockText"/>
      </w:pPr>
      <w:r>
        <w:rPr>
          <w:b/>
          <w:bCs/>
        </w:rPr>
        <w:t xml:space="preserve">Passo 2: Nenhum outro perfil é equilíbrio de Nash.</w:t>
      </w:r>
    </w:p>
    <w:p>
      <w:pPr>
        <w:pStyle w:val="BlockText"/>
      </w:pPr>
      <w:r>
        <w:rPr>
          <w:i/>
          <w:iCs/>
        </w:rPr>
        <w:t xml:space="preserve">Caso 1:</w:t>
      </w:r>
      <w:r>
        <w:t xml:space="preserve"> </w:t>
      </w:r>
      <m:oMath>
        <m:sSub>
          <m:e>
            <m:r>
              <m:t>p</m:t>
            </m:r>
          </m:e>
          <m:sub>
            <m:r>
              <m:t>1</m:t>
            </m:r>
          </m:sub>
        </m:sSub>
        <m:r>
          <m:rPr>
            <m:sty m:val="p"/>
          </m:rPr>
          <m:t>&gt;</m:t>
        </m:r>
        <m:sSub>
          <m:e>
            <m:r>
              <m:t>p</m:t>
            </m:r>
          </m:e>
          <m:sub>
            <m:r>
              <m:t>2</m:t>
            </m:r>
          </m:sub>
        </m:sSub>
        <m:r>
          <m:rPr>
            <m:sty m:val="p"/>
          </m:rPr>
          <m:t>&gt;</m:t>
        </m:r>
        <m:r>
          <m:t>c</m:t>
        </m:r>
      </m:oMath>
      <w:r>
        <w:t xml:space="preserve">. A firma 1 obtém lucro zero e poderia lucrar cobrando</w:t>
      </w:r>
      <w:r>
        <w:t xml:space="preserve"> </w:t>
      </w:r>
      <m:oMath>
        <m:sSub>
          <m:e>
            <m:r>
              <m:t>p</m:t>
            </m:r>
          </m:e>
          <m:sub>
            <m:r>
              <m:t>1</m:t>
            </m:r>
          </m:sub>
        </m:sSub>
        <m:r>
          <m:rPr>
            <m:sty m:val="p"/>
          </m:rPr>
          <m:t>=</m:t>
        </m:r>
        <m:sSub>
          <m:e>
            <m:r>
              <m:t>p</m:t>
            </m:r>
          </m:e>
          <m:sub>
            <m:r>
              <m:t>2</m:t>
            </m:r>
          </m:sub>
        </m:sSub>
        <m:r>
          <m:rPr>
            <m:sty m:val="p"/>
          </m:rPr>
          <m:t>−</m:t>
        </m:r>
        <m:r>
          <m:t>ϵ</m:t>
        </m:r>
      </m:oMath>
      <w:r>
        <w:t xml:space="preserve">. Portanto, não é equilíbrio.</w:t>
      </w:r>
    </w:p>
    <w:p>
      <w:pPr>
        <w:pStyle w:val="BlockText"/>
      </w:pPr>
      <w:r>
        <w:rPr>
          <w:i/>
          <w:iCs/>
        </w:rPr>
        <w:t xml:space="preserve">Caso 2:</w:t>
      </w:r>
      <w:r>
        <w:t xml:space="preserve"> </w:t>
      </w:r>
      <m:oMath>
        <m:sSub>
          <m:e>
            <m:r>
              <m:t>p</m:t>
            </m:r>
          </m:e>
          <m:sub>
            <m:r>
              <m:t>1</m:t>
            </m:r>
          </m:sub>
        </m:sSub>
        <m:r>
          <m:rPr>
            <m:sty m:val="p"/>
          </m:rPr>
          <m:t>=</m:t>
        </m:r>
        <m:sSub>
          <m:e>
            <m:r>
              <m:t>p</m:t>
            </m:r>
          </m:e>
          <m:sub>
            <m:r>
              <m:t>2</m:t>
            </m:r>
          </m:sub>
        </m:sSub>
        <m:r>
          <m:rPr>
            <m:sty m:val="p"/>
          </m:rPr>
          <m:t>=</m:t>
        </m:r>
        <m:r>
          <m:t>p</m:t>
        </m:r>
        <m:r>
          <m:rPr>
            <m:sty m:val="p"/>
          </m:rPr>
          <m:t>&gt;</m:t>
        </m:r>
        <m:r>
          <m:t>c</m:t>
        </m:r>
      </m:oMath>
      <w:r>
        <w:t xml:space="preserve">. Cada firma obtém</w:t>
      </w:r>
      <w:r>
        <w:t xml:space="preserve"> </w:t>
      </w:r>
      <m:oMath>
        <m:f>
          <m:fPr>
            <m:type m:val="bar"/>
          </m:fPr>
          <m:num>
            <m:r>
              <m:rPr>
                <m:sty m:val="p"/>
              </m:rPr>
              <m:t>(</m:t>
            </m:r>
            <m:r>
              <m:t>p</m:t>
            </m:r>
            <m:r>
              <m:rPr>
                <m:sty m:val="p"/>
              </m:rPr>
              <m:t>−</m:t>
            </m:r>
            <m:r>
              <m:t>c</m:t>
            </m:r>
            <m:r>
              <m:rPr>
                <m:sty m:val="p"/>
              </m:rPr>
              <m:t>)</m:t>
            </m:r>
            <m:r>
              <m:t>D</m:t>
            </m:r>
            <m:r>
              <m:rPr>
                <m:sty m:val="p"/>
              </m:rPr>
              <m:t>(</m:t>
            </m:r>
            <m:r>
              <m:t>p</m:t>
            </m:r>
            <m:r>
              <m:rPr>
                <m:sty m:val="p"/>
              </m:rPr>
              <m:t>)</m:t>
            </m:r>
          </m:num>
          <m:den>
            <m:r>
              <m:t>2</m:t>
            </m:r>
          </m:den>
        </m:f>
      </m:oMath>
      <w:r>
        <w:t xml:space="preserve">. A firma 1 pode desviar para</w:t>
      </w:r>
      <w:r>
        <w:t xml:space="preserve"> </w:t>
      </w:r>
      <m:oMath>
        <m:sSub>
          <m:e>
            <m:r>
              <m:t>p</m:t>
            </m:r>
          </m:e>
          <m:sub>
            <m:r>
              <m:t>1</m:t>
            </m:r>
          </m:sub>
        </m:sSub>
        <m:r>
          <m:rPr>
            <m:sty m:val="p"/>
          </m:rPr>
          <m:t>=</m:t>
        </m:r>
        <m:r>
          <m:t>p</m:t>
        </m:r>
        <m:r>
          <m:rPr>
            <m:sty m:val="p"/>
          </m:rPr>
          <m:t>−</m:t>
        </m:r>
        <m:r>
          <m:t>ϵ</m:t>
        </m:r>
      </m:oMath>
      <w:r>
        <w:t xml:space="preserve">, obtendo aproximadamente</w:t>
      </w:r>
      <w:r>
        <w:t xml:space="preserve"> </w:t>
      </w:r>
      <m:oMath>
        <m:r>
          <m:rPr>
            <m:sty m:val="p"/>
          </m:rPr>
          <m:t>(</m:t>
        </m:r>
        <m:r>
          <m:t>p</m:t>
        </m:r>
        <m:r>
          <m:rPr>
            <m:sty m:val="p"/>
          </m:rPr>
          <m:t>−</m:t>
        </m:r>
        <m:r>
          <m:t>c</m:t>
        </m:r>
        <m:r>
          <m:rPr>
            <m:sty m:val="p"/>
          </m:rPr>
          <m:t>)</m:t>
        </m:r>
        <m:r>
          <m:t>D</m:t>
        </m:r>
        <m:r>
          <m:rPr>
            <m:sty m:val="p"/>
          </m:rPr>
          <m:t>(</m:t>
        </m:r>
        <m:r>
          <m:t>p</m:t>
        </m:r>
        <m:r>
          <m:rPr>
            <m:sty m:val="p"/>
          </m:rPr>
          <m:t>)</m:t>
        </m:r>
      </m:oMath>
      <w:r>
        <w:t xml:space="preserve"> </w:t>
      </w:r>
      <w:r>
        <w:t xml:space="preserve">— o dobro. Portanto, não é equilíbrio.</w:t>
      </w:r>
    </w:p>
    <w:p>
      <w:pPr>
        <w:pStyle w:val="BlockText"/>
      </w:pPr>
      <w:r>
        <w:rPr>
          <w:i/>
          <w:iCs/>
        </w:rPr>
        <w:t xml:space="preserve">Caso 3:</w:t>
      </w:r>
      <w:r>
        <w:t xml:space="preserve"> </w:t>
      </w:r>
      <m:oMath>
        <m:sSub>
          <m:e>
            <m:r>
              <m:t>p</m:t>
            </m:r>
          </m:e>
          <m:sub>
            <m:r>
              <m:t>1</m:t>
            </m:r>
          </m:sub>
        </m:sSub>
        <m:r>
          <m:rPr>
            <m:sty m:val="p"/>
          </m:rPr>
          <m:t>&lt;</m:t>
        </m:r>
        <m:r>
          <m:t>c</m:t>
        </m:r>
      </m:oMath>
      <w:r>
        <w:t xml:space="preserve"> </w:t>
      </w:r>
      <w:r>
        <w:t xml:space="preserve">ou</w:t>
      </w:r>
      <w:r>
        <w:t xml:space="preserve"> </w:t>
      </w:r>
      <m:oMath>
        <m:sSub>
          <m:e>
            <m:r>
              <m:t>p</m:t>
            </m:r>
          </m:e>
          <m:sub>
            <m:r>
              <m:t>2</m:t>
            </m:r>
          </m:sub>
        </m:sSub>
        <m:r>
          <m:rPr>
            <m:sty m:val="p"/>
          </m:rPr>
          <m:t>&lt;</m:t>
        </m:r>
        <m:r>
          <m:t>c</m:t>
        </m:r>
      </m:oMath>
      <w:r>
        <w:t xml:space="preserve">. A firma com preço abaixo de</w:t>
      </w:r>
      <w:r>
        <w:t xml:space="preserve"> </w:t>
      </w:r>
      <m:oMath>
        <m:r>
          <m:t>c</m:t>
        </m:r>
      </m:oMath>
      <w:r>
        <w:t xml:space="preserve"> </w:t>
      </w:r>
      <w:r>
        <w:t xml:space="preserve">tem prejuízo e poderia desviar para</w:t>
      </w:r>
      <w:r>
        <w:t xml:space="preserve"> </w:t>
      </w:r>
      <m:oMath>
        <m:sSub>
          <m:e>
            <m:r>
              <m:t>p</m:t>
            </m:r>
          </m:e>
          <m:sub>
            <m:r>
              <m:t>i</m:t>
            </m:r>
          </m:sub>
        </m:sSub>
        <m:r>
          <m:rPr>
            <m:sty m:val="p"/>
          </m:rPr>
          <m:t>=</m:t>
        </m:r>
        <m:r>
          <m:t>c</m:t>
        </m:r>
      </m:oMath>
      <w:r>
        <w:t xml:space="preserve">. Portanto, não é equilíbrio.</w:t>
      </w:r>
    </w:p>
    <w:p>
      <w:pPr>
        <w:pStyle w:val="BlockText"/>
      </w:pPr>
      <w:r>
        <w:t xml:space="preserve">Esgotados todos os casos, o único equilíbrio de Nash é</w:t>
      </w:r>
      <w:r>
        <w:t xml:space="preserve"> </w:t>
      </w:r>
      <m:oMath>
        <m:sSubSup>
          <m:e>
            <m:r>
              <m:t>p</m:t>
            </m:r>
          </m:e>
          <m:sub>
            <m:r>
              <m:t>1</m:t>
            </m:r>
          </m:sub>
          <m:sup>
            <m:r>
              <m:rPr>
                <m:sty m:val="p"/>
              </m:rPr>
              <m:t>*</m:t>
            </m:r>
          </m:sup>
        </m:sSubSup>
        <m:r>
          <m:rPr>
            <m:sty m:val="p"/>
          </m:rPr>
          <m:t>=</m:t>
        </m:r>
        <m:sSubSup>
          <m:e>
            <m:r>
              <m:t>p</m:t>
            </m:r>
          </m:e>
          <m:sub>
            <m:r>
              <m:t>2</m:t>
            </m:r>
          </m:sub>
          <m:sup>
            <m:r>
              <m:rPr>
                <m:sty m:val="p"/>
              </m:rPr>
              <m:t>*</m:t>
            </m:r>
          </m:sup>
        </m:sSubSup>
        <m:r>
          <m:rPr>
            <m:sty m:val="p"/>
          </m:rPr>
          <m:t>=</m:t>
        </m:r>
        <m:r>
          <m:t>c</m:t>
        </m:r>
      </m:oMath>
      <w:r>
        <w:t xml:space="preserve">.</w:t>
      </w:r>
      <w:r>
        <w:t xml:space="preserve"> </w:t>
      </w:r>
      <m:oMath>
        <m:r>
          <m:rPr>
            <m:sty m:val="p"/>
          </m:rPr>
          <m:t>◼</m:t>
        </m:r>
      </m:oMath>
    </w:p>
    <w:p>
      <w:pPr>
        <w:pStyle w:val="FirstParagraph"/>
      </w:pPr>
      <w:r>
        <w:t xml:space="preserve">O resultado é paradoxal: pela equação Eq. (eq:16a.1), bastam</w:t>
      </w:r>
      <w:r>
        <w:t xml:space="preserve"> </w:t>
      </w:r>
      <w:r>
        <w:rPr>
          <w:b/>
          <w:bCs/>
        </w:rPr>
        <w:t xml:space="preserve">duas firmas</w:t>
      </w:r>
      <w:r>
        <w:t xml:space="preserve"> </w:t>
      </w:r>
      <w:r>
        <w:t xml:space="preserve">para reproduzir o resultado competitivo. Isso contrasta fortemente com a evidência empírica, na qual mercados duopolísticos tipicamente apresentam lucros positivos. O paradoxo de Bertrand motivou diversas extensões do modelo.</w:t>
      </w:r>
    </w:p>
    <w:p>
      <w:pPr>
        <w:pStyle w:val="BlockText"/>
      </w:pPr>
      <w:r>
        <w:rPr>
          <w:b/>
          <w:bCs/>
        </w:rPr>
        <w:t xml:space="preserve">[INTUICAO ECONOMICA] Intuição Econômica</w:t>
      </w:r>
    </w:p>
    <w:p>
      <w:pPr>
        <w:pStyle w:val="BlockText"/>
      </w:pPr>
      <w:r>
        <w:rPr>
          <w:b/>
          <w:bCs/>
        </w:rPr>
        <w:t xml:space="preserve">Em uma frase:</w:t>
      </w:r>
      <w:r>
        <w:t xml:space="preserve"> </w:t>
      </w:r>
      <w:r>
        <w:t xml:space="preserve">Se duas empresas vendem o mesmo produto, a guerra de preços pode eliminar todo o lucro — mesmo que sejam apenas duas.</w:t>
      </w:r>
    </w:p>
    <w:p>
      <w:pPr>
        <w:pStyle w:val="BlockText"/>
      </w:pPr>
      <w:r>
        <w:rPr>
          <w:b/>
          <w:bCs/>
        </w:rPr>
        <w:t xml:space="preserve">Pense assim:</w:t>
      </w:r>
      <w:r>
        <w:t xml:space="preserve"> </w:t>
      </w:r>
      <w:r>
        <w:t xml:space="preserve">Imagine duas barracas de água mineral idêntica na saída de um show no Maracanã. Se uma cobra R$ 6 e a outra R$ 5, todo mundo vai na mais barata. A rival baixa para R$ 4,50, e a guerra continua até que ambas cobrem o custo — e ninguém lucra nada.</w:t>
      </w:r>
    </w:p>
    <w:p>
      <w:pPr>
        <w:pStyle w:val="BlockText"/>
      </w:pPr>
      <w:r>
        <w:rPr>
          <w:b/>
          <w:bCs/>
        </w:rPr>
        <w:t xml:space="preserve">Por que isso importa:</w:t>
      </w:r>
      <w:r>
        <w:t xml:space="preserve"> </w:t>
      </w:r>
      <w:r>
        <w:t xml:space="preserve">O paradoxo mostra que concorrência em preços com produtos idênticos é brutal, e ajuda a entender por que empresas investem tanto em diferenciação de marca e fidelização de clientes.</w:t>
      </w:r>
    </w:p>
    <w:bookmarkEnd w:id="982"/>
    <w:bookmarkStart w:id="983" w:name="resoluções-do-paradoxo"/>
    <w:p>
      <w:pPr>
        <w:pStyle w:val="Heading4"/>
      </w:pPr>
      <w:r>
        <w:t xml:space="preserve">Resoluções do paradoxo</w:t>
      </w:r>
    </w:p>
    <w:p>
      <w:pPr>
        <w:pStyle w:val="FirstParagraph"/>
      </w:pPr>
      <w:r>
        <w:t xml:space="preserve">O paradoxo de Bertrand pode ser resolvido relaxando qualquer uma de suas hipóteses:</w:t>
      </w:r>
    </w:p>
    <w:p>
      <w:pPr>
        <w:pStyle w:val="Compact"/>
        <w:numPr>
          <w:ilvl w:val="0"/>
          <w:numId w:val="1877"/>
        </w:numPr>
      </w:pPr>
      <w:r>
        <w:rPr>
          <w:b/>
          <w:bCs/>
        </w:rPr>
        <w:t xml:space="preserve">Diferenciação de produto</w:t>
      </w:r>
      <w:r>
        <w:t xml:space="preserve">: se os bens não são substitutos perfeitos, as firmas retêm algum poder de mercado mesmo cobrando preços diferentes (Seção 16a.6).</w:t>
      </w:r>
    </w:p>
    <w:p>
      <w:pPr>
        <w:pStyle w:val="Compact"/>
        <w:numPr>
          <w:ilvl w:val="0"/>
          <w:numId w:val="1877"/>
        </w:numPr>
      </w:pPr>
      <w:r>
        <w:rPr>
          <w:b/>
          <w:bCs/>
        </w:rPr>
        <w:t xml:space="preserve">Restrições de capacidade</w:t>
      </w:r>
      <w:r>
        <w:t xml:space="preserve">: se as firmas têm capacidade limitada, a firma de preço mais baixo não pode atender toda a demanda (Seção 16a.5).</w:t>
      </w:r>
    </w:p>
    <w:p>
      <w:pPr>
        <w:pStyle w:val="Compact"/>
        <w:numPr>
          <w:ilvl w:val="0"/>
          <w:numId w:val="1877"/>
        </w:numPr>
      </w:pPr>
      <w:r>
        <w:rPr>
          <w:b/>
          <w:bCs/>
        </w:rPr>
        <w:t xml:space="preserve">Interação repetida</w:t>
      </w:r>
      <w:r>
        <w:t xml:space="preserve">: em jogos repetidos, a ameaça de retaliação futura pode sustentar preços acima do custo (Cap. 16b, Seção 16b.1 (Cap. 16)).</w:t>
      </w:r>
    </w:p>
    <w:p>
      <w:pPr>
        <w:pStyle w:val="Compact"/>
        <w:numPr>
          <w:ilvl w:val="0"/>
          <w:numId w:val="1877"/>
        </w:numPr>
      </w:pPr>
      <w:r>
        <w:rPr>
          <w:b/>
          <w:bCs/>
        </w:rPr>
        <w:t xml:space="preserve">Custos marginais assimétricos</w:t>
      </w:r>
      <w:r>
        <w:t xml:space="preserve">: se</w:t>
      </w:r>
      <w:r>
        <w:t xml:space="preserve"> </w:t>
      </w:r>
      <m:oMath>
        <m:sSub>
          <m:e>
            <m:r>
              <m:t>c</m:t>
            </m:r>
          </m:e>
          <m:sub>
            <m:r>
              <m:t>1</m:t>
            </m:r>
          </m:sub>
        </m:sSub>
        <m:r>
          <m:rPr>
            <m:sty m:val="p"/>
          </m:rPr>
          <m:t>&lt;</m:t>
        </m:r>
        <m:sSub>
          <m:e>
            <m:r>
              <m:t>c</m:t>
            </m:r>
          </m:e>
          <m:sub>
            <m:r>
              <m:t>2</m:t>
            </m:r>
          </m:sub>
        </m:sSub>
      </m:oMath>
      <w:r>
        <w:t xml:space="preserve">, o equilíbrio é</w:t>
      </w:r>
      <w:r>
        <w:t xml:space="preserve"> </w:t>
      </w:r>
      <m:oMath>
        <m:sSubSup>
          <m:e>
            <m:r>
              <m:t>p</m:t>
            </m:r>
          </m:e>
          <m:sub>
            <m:r>
              <m:t>1</m:t>
            </m:r>
          </m:sub>
          <m:sup>
            <m:r>
              <m:rPr>
                <m:sty m:val="p"/>
              </m:rPr>
              <m:t>*</m:t>
            </m:r>
          </m:sup>
        </m:sSubSup>
        <m:r>
          <m:rPr>
            <m:sty m:val="p"/>
          </m:rPr>
          <m:t>=</m:t>
        </m:r>
        <m:sSub>
          <m:e>
            <m:r>
              <m:t>c</m:t>
            </m:r>
          </m:e>
          <m:sub>
            <m:r>
              <m:t>2</m:t>
            </m:r>
          </m:sub>
        </m:sSub>
      </m:oMath>
      <w:r>
        <w:t xml:space="preserve"> </w:t>
      </w:r>
      <w:r>
        <w:t xml:space="preserve">(ou ligeiramente abaixo), e a firma 1 obtém lucro positivo.</w:t>
      </w:r>
    </w:p>
    <w:p>
      <w:r>
        <w:pict>
          <v:rect style="width:0;height:1.5pt" o:hralign="center" o:hrstd="t" o:hr="t"/>
        </w:pict>
      </w:r>
    </w:p>
    <w:p>
      <w:pPr>
        <w:pStyle w:val="FirstParagraph"/>
      </w:pPr>
      <w:r>
        <w:t xml:space="preserve">[FIGURA INTERATIVA: /micro-book/graficos/cap16/bertrand.html — versao interativa disponivel online]</w:t>
      </w:r>
    </w:p>
    <w:p>
      <w:pPr>
        <w:pStyle w:val="BodyText"/>
      </w:pPr>
      <w:r>
        <w:rPr>
          <w:b/>
          <w:bCs/>
        </w:rPr>
        <w:t xml:space="preserve">Figura 16a.1 — Visualize o paradoxo de Bertrand com produtos homogêneos (equilíbrio a preço = custo marginal) e alterne para produtos diferenciados, onde preços de equilíbrio superam o custo marginal.</w:t>
      </w:r>
      <w:r>
        <w:t xml:space="preserve"> </w:t>
      </w:r>
      <w:r>
        <w:t xml:space="preserve">Ajuste elasticidades e custos.</w:t>
      </w:r>
    </w:p>
    <w:p>
      <w:r>
        <w:pict>
          <v:rect style="width:0;height:1.5pt" o:hralign="center" o:hrstd="t" o:hr="t"/>
        </w:pict>
      </w:r>
    </w:p>
    <w:bookmarkEnd w:id="983"/>
    <w:bookmarkEnd w:id="984"/>
    <w:bookmarkStart w:id="988" w:name="Xdae376348fbba9b296a306477c8408b125b2799"/>
    <w:p>
      <w:pPr>
        <w:pStyle w:val="Heading3"/>
      </w:pPr>
      <w:r>
        <w:t xml:space="preserve">16a.3 Quanto Produzir Quando o Rival Pensa o Mesmo: Modelo de Cournot</w:t>
      </w:r>
    </w:p>
    <w:p>
      <w:pPr>
        <w:pStyle w:val="FirstParagraph"/>
      </w:pPr>
      <w:r>
        <w:t xml:space="preserve">O paradoxo de Bertrand sugere que a concorrência em preços é devastadora para as firmas. Mas e se as firmas competissem em quantidades, em vez de preços? Essa é a pergunta que Antoine Augustin Cournot formulou já em 1838, meio século antes de Bertrand. O modelo de Cournot produz resultados radicalmente diferentes: mesmo com apenas duas firmas, o preço de equilíbrio permanece acima do custo marginal, e ambas obtêm lucros positivos. Essa sensibilidade do resultado à variável de decisão é uma das lições centrais da teoria dos oligopólios.</w:t>
      </w:r>
    </w:p>
    <w:bookmarkStart w:id="985" w:name="o-modelo-duopolístico"/>
    <w:p>
      <w:pPr>
        <w:pStyle w:val="Heading4"/>
      </w:pPr>
      <w:r>
        <w:t xml:space="preserve">O modelo duopolístico</w:t>
      </w:r>
    </w:p>
    <w:p>
      <w:pPr>
        <w:pStyle w:val="FirstParagraph"/>
      </w:pPr>
      <w:r>
        <w:t xml:space="preserve">Considere duas firmas que escolhem</w:t>
      </w:r>
      <w:r>
        <w:t xml:space="preserve"> </w:t>
      </w:r>
      <w:r>
        <w:rPr>
          <w:b/>
          <w:bCs/>
        </w:rPr>
        <w:t xml:space="preserve">simultaneamente</w:t>
      </w:r>
      <w:r>
        <w:t xml:space="preserve"> </w:t>
      </w:r>
      <w:r>
        <w:t xml:space="preserve">as quantidades</w:t>
      </w:r>
      <w:r>
        <w:t xml:space="preserve"> </w:t>
      </w:r>
      <m:oMath>
        <m:sSub>
          <m:e>
            <m:r>
              <m:t>q</m:t>
            </m:r>
          </m:e>
          <m:sub>
            <m:r>
              <m:t>1</m:t>
            </m:r>
          </m:sub>
        </m:sSub>
      </m:oMath>
      <w:r>
        <w:t xml:space="preserve"> </w:t>
      </w:r>
      <w:r>
        <w:t xml:space="preserve">e</w:t>
      </w:r>
      <w:r>
        <w:t xml:space="preserve"> </w:t>
      </w:r>
      <m:oMath>
        <m:sSub>
          <m:e>
            <m:r>
              <m:t>q</m:t>
            </m:r>
          </m:e>
          <m:sub>
            <m:r>
              <m:t>2</m:t>
            </m:r>
          </m:sub>
        </m:sSub>
      </m:oMath>
      <w:r>
        <w:t xml:space="preserve">. O preço de mercado é determinado pela demanda inversa</w:t>
      </w:r>
      <w:r>
        <w:t xml:space="preserve"> </w:t>
      </w:r>
      <m:oMath>
        <m:r>
          <m:t>p</m:t>
        </m:r>
        <m:r>
          <m:rPr>
            <m:sty m:val="p"/>
          </m:rPr>
          <m:t>=</m:t>
        </m:r>
        <m:r>
          <m:t>a</m:t>
        </m:r>
        <m:r>
          <m:rPr>
            <m:sty m:val="p"/>
          </m:rPr>
          <m:t>−</m:t>
        </m:r>
        <m:r>
          <m:t>b</m:t>
        </m:r>
        <m:r>
          <m:rPr>
            <m:sty m:val="p"/>
          </m:rPr>
          <m:t>(</m:t>
        </m:r>
        <m:sSub>
          <m:e>
            <m:r>
              <m:t>q</m:t>
            </m:r>
          </m:e>
          <m:sub>
            <m:r>
              <m:t>1</m:t>
            </m:r>
          </m:sub>
        </m:sSub>
        <m:r>
          <m:rPr>
            <m:sty m:val="p"/>
          </m:rPr>
          <m:t>+</m:t>
        </m:r>
        <m:sSub>
          <m:e>
            <m:r>
              <m:t>q</m:t>
            </m:r>
          </m:e>
          <m:sub>
            <m:r>
              <m:t>2</m:t>
            </m:r>
          </m:sub>
        </m:sSub>
        <m:r>
          <m:rPr>
            <m:sty m:val="p"/>
          </m:rPr>
          <m:t>)</m:t>
        </m:r>
      </m:oMath>
      <w:r>
        <w:t xml:space="preserve">. Cada firma tem custo marginal constante</w:t>
      </w:r>
      <w:r>
        <w:t xml:space="preserve"> </w:t>
      </w:r>
      <m:oMath>
        <m:r>
          <m:t>c</m:t>
        </m:r>
      </m:oMath>
      <w:r>
        <w:t xml:space="preserve">.</w:t>
      </w:r>
    </w:p>
    <w:p>
      <w:pPr>
        <w:pStyle w:val="BodyText"/>
      </w:pPr>
      <w:r>
        <w:t xml:space="preserve">O lucro da firma 1 é:</w:t>
      </w:r>
    </w:p>
    <w:p>
      <w:pPr>
        <w:pStyle w:val="BodyText"/>
      </w:pPr>
      <m:oMathPara>
        <m:oMathParaPr>
          <m:jc m:val="center"/>
        </m:oMathParaPr>
        <m:oMath>
          <m:sSub>
            <m:e>
              <m:r>
                <m:t>π</m:t>
              </m:r>
            </m:e>
            <m:sub>
              <m:r>
                <m:t>1</m:t>
              </m:r>
            </m:sub>
          </m:sSub>
          <m:r>
            <m:rPr>
              <m:sty m:val="p"/>
            </m:rPr>
            <m:t>(</m:t>
          </m:r>
          <m:sSub>
            <m:e>
              <m:r>
                <m:t>q</m:t>
              </m:r>
            </m:e>
            <m:sub>
              <m:r>
                <m:t>1</m:t>
              </m:r>
            </m:sub>
          </m:sSub>
          <m:r>
            <m:rPr>
              <m:sty m:val="p"/>
            </m:rPr>
            <m:t>,</m:t>
          </m:r>
          <m:sSub>
            <m:e>
              <m:r>
                <m:t>q</m:t>
              </m:r>
            </m:e>
            <m:sub>
              <m:r>
                <m:t>2</m:t>
              </m:r>
            </m:sub>
          </m:sSub>
          <m:r>
            <m:rPr>
              <m:sty m:val="p"/>
            </m:rPr>
            <m:t>)</m:t>
          </m:r>
          <m:r>
            <m:rPr>
              <m:sty m:val="p"/>
            </m:rPr>
            <m:t>=</m:t>
          </m:r>
          <m:r>
            <m:rPr>
              <m:sty m:val="p"/>
            </m:rPr>
            <m:t>[</m:t>
          </m:r>
          <m:r>
            <m:t>a</m:t>
          </m:r>
          <m:r>
            <m:rPr>
              <m:sty m:val="p"/>
            </m:rPr>
            <m:t>−</m:t>
          </m:r>
          <m:r>
            <m:t>b</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1</m:t>
              </m:r>
            </m:sub>
          </m:sSub>
          <m:r>
            <m:rPr>
              <m:sty m:val="p"/>
            </m:rPr>
            <m:t>−</m:t>
          </m:r>
          <m:r>
            <m:t>c</m:t>
          </m:r>
          <m:r>
            <m:rPr>
              <m:sty m:val="p"/>
            </m:rPr>
            <m:t>⋅</m:t>
          </m:r>
          <m:sSub>
            <m:e>
              <m:r>
                <m:t>q</m:t>
              </m:r>
            </m:e>
            <m:sub>
              <m:r>
                <m:t>1</m:t>
              </m:r>
            </m:sub>
          </m:sSub>
        </m:oMath>
      </m:oMathPara>
    </w:p>
    <w:p>
      <w:pPr>
        <w:pStyle w:val="FirstParagraph"/>
      </w:pPr>
      <w:r>
        <w:t xml:space="preserve">A condição de primeira ordem é:</w:t>
      </w:r>
    </w:p>
    <w:p>
      <w:pPr>
        <w:pStyle w:val="BodyText"/>
      </w:pPr>
      <m:oMathPara>
        <m:oMathParaPr>
          <m:jc m:val="center"/>
        </m:oMathParaPr>
        <m:oMath>
          <m:f>
            <m:fPr>
              <m:type m:val="bar"/>
            </m:fPr>
            <m:num>
              <m:r>
                <m:rPr>
                  <m:sty m:val="p"/>
                </m:rPr>
                <m:t>∂</m:t>
              </m:r>
              <m:sSub>
                <m:e>
                  <m:r>
                    <m:t>π</m:t>
                  </m:r>
                </m:e>
                <m:sub>
                  <m:r>
                    <m:t>1</m:t>
                  </m:r>
                </m:sub>
              </m:sSub>
            </m:num>
            <m:den>
              <m:r>
                <m:rPr>
                  <m:sty m:val="p"/>
                </m:rPr>
                <m:t>∂</m:t>
              </m:r>
              <m:sSub>
                <m:e>
                  <m:r>
                    <m:t>q</m:t>
                  </m:r>
                </m:e>
                <m:sub>
                  <m:r>
                    <m:t>1</m:t>
                  </m:r>
                </m:sub>
              </m:sSub>
            </m:den>
          </m:f>
          <m:r>
            <m:rPr>
              <m:sty m:val="p"/>
            </m:rPr>
            <m:t>=</m:t>
          </m:r>
          <m:r>
            <m:t>a</m:t>
          </m:r>
          <m:r>
            <m:rPr>
              <m:sty m:val="p"/>
            </m:rPr>
            <m:t>−</m:t>
          </m:r>
          <m:r>
            <m:t>2</m:t>
          </m:r>
          <m:r>
            <m:t>b</m:t>
          </m:r>
          <m:sSub>
            <m:e>
              <m:r>
                <m:t>q</m:t>
              </m:r>
            </m:e>
            <m:sub>
              <m:r>
                <m:t>1</m:t>
              </m:r>
            </m:sub>
          </m:sSub>
          <m:r>
            <m:rPr>
              <m:sty m:val="p"/>
            </m:rPr>
            <m:t>−</m:t>
          </m:r>
          <m:r>
            <m:t>b</m:t>
          </m:r>
          <m:sSub>
            <m:e>
              <m:r>
                <m:t>q</m:t>
              </m:r>
            </m:e>
            <m:sub>
              <m:r>
                <m:t>2</m:t>
              </m:r>
            </m:sub>
          </m:sSub>
          <m:r>
            <m:rPr>
              <m:sty m:val="p"/>
            </m:rPr>
            <m:t>−</m:t>
          </m:r>
          <m:r>
            <m:t>c</m:t>
          </m:r>
          <m:r>
            <m:rPr>
              <m:sty m:val="p"/>
            </m:rPr>
            <m:t>=</m:t>
          </m:r>
          <m:r>
            <m:t>0</m:t>
          </m:r>
        </m:oMath>
      </m:oMathPara>
    </w:p>
    <w:p>
      <w:pPr>
        <w:pStyle w:val="FirstParagraph"/>
      </w:pPr>
      <w:r>
        <w:t xml:space="preserve">Resolvendo para</w:t>
      </w:r>
      <w:r>
        <w:t xml:space="preserve"> </w:t>
      </w:r>
      <m:oMath>
        <m:sSub>
          <m:e>
            <m:r>
              <m:t>q</m:t>
            </m:r>
          </m:e>
          <m:sub>
            <m:r>
              <m:t>1</m:t>
            </m:r>
          </m:sub>
        </m:sSub>
      </m:oMath>
      <w:r>
        <w:t xml:space="preserve">:</w:t>
      </w:r>
    </w:p>
    <w:p>
      <w:pPr>
        <w:pStyle w:val="BodyText"/>
      </w:pPr>
      <m:oMathPara>
        <m:oMathParaPr>
          <m:jc m:val="center"/>
        </m:oMathParaPr>
        <m:oMath>
          <m:sSubSup>
            <m:e>
              <m:r>
                <m:t>q</m:t>
              </m:r>
            </m:e>
            <m:sub>
              <m:r>
                <m:t>1</m:t>
              </m:r>
            </m:sub>
            <m:sup>
              <m:r>
                <m:rPr>
                  <m:sty m:val="p"/>
                </m:rPr>
                <m:t>*</m:t>
              </m:r>
            </m:sup>
          </m:sSubSup>
          <m:r>
            <m:rPr>
              <m:sty m:val="p"/>
            </m:rPr>
            <m:t>(</m:t>
          </m:r>
          <m:sSub>
            <m:e>
              <m:r>
                <m:t>q</m:t>
              </m:r>
            </m:e>
            <m:sub>
              <m:r>
                <m:t>2</m:t>
              </m:r>
            </m:sub>
          </m:sSub>
          <m:r>
            <m:rPr>
              <m:sty m:val="p"/>
            </m:rPr>
            <m:t>)</m:t>
          </m:r>
          <m:r>
            <m:rPr>
              <m:sty m:val="p"/>
            </m:rPr>
            <m:t>=</m:t>
          </m:r>
          <m:f>
            <m:fPr>
              <m:type m:val="bar"/>
            </m:fPr>
            <m:num>
              <m:r>
                <m:t>a</m:t>
              </m:r>
              <m:r>
                <m:rPr>
                  <m:sty m:val="p"/>
                </m:rPr>
                <m:t>−</m:t>
              </m:r>
              <m:r>
                <m:t>c</m:t>
              </m:r>
              <m:r>
                <m:rPr>
                  <m:sty m:val="p"/>
                </m:rPr>
                <m:t>−</m:t>
              </m:r>
              <m:r>
                <m:t>b</m:t>
              </m:r>
              <m:sSub>
                <m:e>
                  <m:r>
                    <m:t>q</m:t>
                  </m:r>
                </m:e>
                <m:sub>
                  <m:r>
                    <m:t>2</m:t>
                  </m:r>
                </m:sub>
              </m:sSub>
            </m:num>
            <m:den>
              <m:r>
                <m:t>2</m:t>
              </m:r>
              <m:r>
                <m:t>b</m:t>
              </m:r>
            </m:den>
          </m:f>
          <m:r>
            <m:rPr>
              <m:sty m:val="p"/>
            </m:rPr>
            <m:t>=</m:t>
          </m:r>
          <m:f>
            <m:fPr>
              <m:type m:val="bar"/>
            </m:fPr>
            <m:num>
              <m:r>
                <m:t>a</m:t>
              </m:r>
              <m:r>
                <m:rPr>
                  <m:sty m:val="p"/>
                </m:rPr>
                <m:t>−</m:t>
              </m:r>
              <m:r>
                <m:t>c</m:t>
              </m:r>
            </m:num>
            <m:den>
              <m:r>
                <m:t>2</m:t>
              </m:r>
              <m:r>
                <m:t>b</m:t>
              </m:r>
            </m:den>
          </m:f>
          <m:r>
            <m:rPr>
              <m:sty m:val="p"/>
            </m:rPr>
            <m:t>−</m:t>
          </m:r>
          <m:f>
            <m:fPr>
              <m:type m:val="bar"/>
            </m:fPr>
            <m:num>
              <m:sSub>
                <m:e>
                  <m:r>
                    <m:t>q</m:t>
                  </m:r>
                </m:e>
                <m:sub>
                  <m:r>
                    <m:t>2</m:t>
                  </m:r>
                </m:sub>
              </m:sSub>
            </m:num>
            <m:den>
              <m:r>
                <m:t>2</m:t>
              </m:r>
            </m:den>
          </m:f>
        </m:oMath>
      </m:oMathPara>
    </w:p>
    <w:p>
      <w:pPr>
        <w:pStyle w:val="FirstParagraph"/>
      </w:pPr>
      <w:r>
        <w:t xml:space="preserve">A equação Eq. (eq:16a.4) é a</w:t>
      </w:r>
      <w:r>
        <w:t xml:space="preserve"> </w:t>
      </w:r>
      <w:r>
        <w:rPr>
          <w:b/>
          <w:bCs/>
        </w:rPr>
        <w:t xml:space="preserve">função de melhor-resposta</w:t>
      </w:r>
      <w:r>
        <w:t xml:space="preserve"> </w:t>
      </w:r>
      <w:r>
        <w:t xml:space="preserve">(ou função de melhor resposta) da firma 1. Ela indica a quantidade ótima da firma 1 para cada nível de produção da firma 2. A função de melhor-resposta é</w:t>
      </w:r>
      <w:r>
        <w:t xml:space="preserve"> </w:t>
      </w:r>
      <w:r>
        <w:rPr>
          <w:b/>
          <w:bCs/>
        </w:rPr>
        <w:t xml:space="preserve">decrescente</w:t>
      </w:r>
      <w:r>
        <w:t xml:space="preserve">: as quantidades são</w:t>
      </w:r>
      <w:r>
        <w:t xml:space="preserve"> </w:t>
      </w:r>
      <w:r>
        <w:rPr>
          <w:b/>
          <w:bCs/>
        </w:rPr>
        <w:t xml:space="preserve">substitutos estratégicos</w:t>
      </w:r>
      <w:r>
        <w:t xml:space="preserve"> </w:t>
      </w:r>
      <w:r>
        <w:t xml:space="preserve">no modelo de Cournot.</w:t>
      </w:r>
    </w:p>
    <w:p>
      <w:pPr>
        <w:pStyle w:val="BlockText"/>
      </w:pPr>
      <w:r>
        <w:rPr>
          <w:b/>
          <w:bCs/>
        </w:rPr>
        <w:t xml:space="preserve">[DEFINICAO] Substitutos e Complementos Estratégicos</w:t>
      </w:r>
    </w:p>
    <w:p>
      <w:pPr>
        <w:pStyle w:val="BlockText"/>
      </w:pPr>
      <w:r>
        <w:t xml:space="preserve">Variáveis de decisão são</w:t>
      </w:r>
      <w:r>
        <w:t xml:space="preserve"> </w:t>
      </w:r>
      <w:r>
        <w:rPr>
          <w:b/>
          <w:bCs/>
        </w:rPr>
        <w:t xml:space="preserve">substitutos estratégicos</w:t>
      </w:r>
      <w:r>
        <w:t xml:space="preserve"> </w:t>
      </w:r>
      <w:r>
        <w:t xml:space="preserve">se a melhor resposta de uma firma é decrescente na ação da rival: quando a rival produz mais, a firma reduz sua produção. São</w:t>
      </w:r>
      <w:r>
        <w:t xml:space="preserve"> </w:t>
      </w:r>
      <w:r>
        <w:rPr>
          <w:b/>
          <w:bCs/>
        </w:rPr>
        <w:t xml:space="preserve">complementos estratégicos</w:t>
      </w:r>
      <w:r>
        <w:t xml:space="preserve"> </w:t>
      </w:r>
      <w:r>
        <w:t xml:space="preserve">se a melhor resposta é crescente. No modelo de Cournot, quantidades são substitutos estratégicos. No modelo de Bertrand com produtos diferenciados, preços são tipicamente complementos estratégicos.</w:t>
      </w:r>
    </w:p>
    <w:bookmarkEnd w:id="985"/>
    <w:bookmarkStart w:id="986" w:name="equilíbrio-de-cournot-duopólio"/>
    <w:p>
      <w:pPr>
        <w:pStyle w:val="Heading4"/>
      </w:pPr>
      <w:r>
        <w:t xml:space="preserve">Equilíbrio de Cournot (duopólio)</w:t>
      </w:r>
    </w:p>
    <w:p>
      <w:pPr>
        <w:pStyle w:val="FirstParagraph"/>
      </w:pPr>
      <w:r>
        <w:t xml:space="preserve">Por simetria (</w:t>
      </w:r>
      <m:oMath>
        <m:sSubSup>
          <m:e>
            <m:r>
              <m:t>q</m:t>
            </m:r>
          </m:e>
          <m:sub>
            <m:r>
              <m:t>1</m:t>
            </m:r>
          </m:sub>
          <m:sup>
            <m:r>
              <m:rPr>
                <m:sty m:val="p"/>
              </m:rPr>
              <m:t>*</m:t>
            </m:r>
          </m:sup>
        </m:sSubSup>
        <m:r>
          <m:rPr>
            <m:sty m:val="p"/>
          </m:rPr>
          <m:t>=</m:t>
        </m:r>
        <m:sSubSup>
          <m:e>
            <m:r>
              <m:t>q</m:t>
            </m:r>
          </m:e>
          <m:sub>
            <m:r>
              <m:t>2</m:t>
            </m:r>
          </m:sub>
          <m:sup>
            <m:r>
              <m:rPr>
                <m:sty m:val="p"/>
              </m:rPr>
              <m:t>*</m:t>
            </m:r>
          </m:sup>
        </m:sSubSup>
        <m:r>
          <m:rPr>
            <m:sty m:val="p"/>
          </m:rPr>
          <m:t>=</m:t>
        </m:r>
        <m:sSup>
          <m:e>
            <m:r>
              <m:t>q</m:t>
            </m:r>
          </m:e>
          <m:sup>
            <m:r>
              <m:rPr>
                <m:sty m:val="p"/>
              </m:rPr>
              <m:t>*</m:t>
            </m:r>
          </m:sup>
        </m:sSup>
      </m:oMath>
      <w:r>
        <w:t xml:space="preserve">):</w:t>
      </w:r>
    </w:p>
    <w:p>
      <w:pPr>
        <w:pStyle w:val="BodyText"/>
      </w:pPr>
      <m:oMathPara>
        <m:oMathParaPr>
          <m:jc m:val="center"/>
        </m:oMathParaPr>
        <m:oMath>
          <m:sSup>
            <m:e>
              <m:r>
                <m:t>q</m:t>
              </m:r>
            </m:e>
            <m:sup>
              <m:r>
                <m:rPr>
                  <m:sty m:val="p"/>
                </m:rPr>
                <m:t>*</m:t>
              </m:r>
            </m:sup>
          </m:sSup>
          <m:r>
            <m:rPr>
              <m:sty m:val="p"/>
            </m:rPr>
            <m:t>=</m:t>
          </m:r>
          <m:f>
            <m:fPr>
              <m:type m:val="bar"/>
            </m:fPr>
            <m:num>
              <m:r>
                <m:t>a</m:t>
              </m:r>
              <m:r>
                <m:rPr>
                  <m:sty m:val="p"/>
                </m:rPr>
                <m:t>−</m:t>
              </m:r>
              <m:r>
                <m:t>c</m:t>
              </m:r>
            </m:num>
            <m:den>
              <m:r>
                <m:t>2</m:t>
              </m:r>
              <m:r>
                <m:t>b</m:t>
              </m:r>
            </m:den>
          </m:f>
          <m:r>
            <m:rPr>
              <m:sty m:val="p"/>
            </m:rPr>
            <m:t>−</m:t>
          </m:r>
          <m:f>
            <m:fPr>
              <m:type m:val="bar"/>
            </m:fPr>
            <m:num>
              <m:sSup>
                <m:e>
                  <m:r>
                    <m:t>q</m:t>
                  </m:r>
                </m:e>
                <m:sup>
                  <m:r>
                    <m:rPr>
                      <m:sty m:val="p"/>
                    </m:rPr>
                    <m:t>*</m:t>
                  </m:r>
                </m:sup>
              </m:sSup>
            </m:num>
            <m:den>
              <m:r>
                <m:t>2</m:t>
              </m:r>
            </m:den>
          </m:f>
          <m:r>
            <m:rPr>
              <m:sty m:val="p"/>
            </m:rPr>
            <m:t>⟹</m:t>
          </m:r>
          <m:sSup>
            <m:e>
              <m:r>
                <m:t>q</m:t>
              </m:r>
            </m:e>
            <m:sup>
              <m:r>
                <m:rPr>
                  <m:sty m:val="p"/>
                </m:rPr>
                <m:t>*</m:t>
              </m:r>
            </m:sup>
          </m:sSup>
          <m:r>
            <m:rPr>
              <m:sty m:val="p"/>
            </m:rPr>
            <m:t>=</m:t>
          </m:r>
          <m:f>
            <m:fPr>
              <m:type m:val="bar"/>
            </m:fPr>
            <m:num>
              <m:r>
                <m:t>a</m:t>
              </m:r>
              <m:r>
                <m:rPr>
                  <m:sty m:val="p"/>
                </m:rPr>
                <m:t>−</m:t>
              </m:r>
              <m:r>
                <m:t>c</m:t>
              </m:r>
            </m:num>
            <m:den>
              <m:r>
                <m:t>3</m:t>
              </m:r>
              <m:r>
                <m:t>b</m:t>
              </m:r>
            </m:den>
          </m:f>
        </m:oMath>
      </m:oMathPara>
    </w:p>
    <w:p>
      <w:pPr>
        <w:pStyle w:val="FirstParagraph"/>
      </w:pPr>
      <w:r>
        <w:t xml:space="preserve">O equilíbrio de Cournot é:</w:t>
      </w:r>
    </w:p>
    <w:p>
      <w:pPr>
        <w:pStyle w:val="BodyText"/>
      </w:pPr>
      <m:oMathPara>
        <m:oMathParaPr>
          <m:jc m:val="center"/>
        </m:oMathParaPr>
        <m:oMath>
          <m:sSubSup>
            <m:e>
              <m:r>
                <m:t>q</m:t>
              </m:r>
            </m:e>
            <m:sub>
              <m:r>
                <m:t>1</m:t>
              </m:r>
            </m:sub>
            <m:sup>
              <m:r>
                <m:rPr>
                  <m:sty m:val="p"/>
                </m:rPr>
                <m:t>*</m:t>
              </m:r>
            </m:sup>
          </m:sSubSup>
          <m:r>
            <m:rPr>
              <m:sty m:val="p"/>
            </m:rPr>
            <m:t>=</m:t>
          </m:r>
          <m:sSubSup>
            <m:e>
              <m:r>
                <m:t>q</m:t>
              </m:r>
            </m:e>
            <m:sub>
              <m:r>
                <m:t>2</m:t>
              </m:r>
            </m:sub>
            <m:sup>
              <m:r>
                <m:rPr>
                  <m:sty m:val="p"/>
                </m:rPr>
                <m:t>*</m:t>
              </m:r>
            </m:sup>
          </m:sSubSup>
          <m:r>
            <m:rPr>
              <m:sty m:val="p"/>
            </m:rPr>
            <m:t>=</m:t>
          </m:r>
          <m:f>
            <m:fPr>
              <m:type m:val="bar"/>
            </m:fPr>
            <m:num>
              <m:r>
                <m:t>a</m:t>
              </m:r>
              <m:r>
                <m:rPr>
                  <m:sty m:val="p"/>
                </m:rPr>
                <m:t>−</m:t>
              </m:r>
              <m:r>
                <m:t>c</m:t>
              </m:r>
            </m:num>
            <m:den>
              <m:r>
                <m:t>3</m:t>
              </m:r>
              <m:r>
                <m:t>b</m:t>
              </m:r>
            </m:den>
          </m:f>
          <m:r>
            <m:rPr>
              <m:sty m:val="p"/>
            </m:rPr>
            <m:t>,</m:t>
          </m:r>
          <m:r>
            <m:t> </m:t>
          </m:r>
          <m:sSup>
            <m:e>
              <m:r>
                <m:t>Q</m:t>
              </m:r>
            </m:e>
            <m:sup>
              <m:r>
                <m:rPr>
                  <m:sty m:val="p"/>
                </m:rPr>
                <m:t>*</m:t>
              </m:r>
            </m:sup>
          </m:sSup>
          <m:r>
            <m:rPr>
              <m:sty m:val="p"/>
            </m:rPr>
            <m:t>=</m:t>
          </m:r>
          <m:f>
            <m:fPr>
              <m:type m:val="bar"/>
            </m:fPr>
            <m:num>
              <m:r>
                <m:t>2</m:t>
              </m:r>
              <m:r>
                <m:rPr>
                  <m:sty m:val="p"/>
                </m:rPr>
                <m:t>(</m:t>
              </m:r>
              <m:r>
                <m:t>a</m:t>
              </m:r>
              <m:r>
                <m:rPr>
                  <m:sty m:val="p"/>
                </m:rPr>
                <m:t>−</m:t>
              </m:r>
              <m:r>
                <m:t>c</m:t>
              </m:r>
              <m:r>
                <m:rPr>
                  <m:sty m:val="p"/>
                </m:rPr>
                <m:t>)</m:t>
              </m:r>
            </m:num>
            <m:den>
              <m:r>
                <m:t>3</m:t>
              </m:r>
              <m:r>
                <m:t>b</m:t>
              </m:r>
            </m:den>
          </m:f>
          <m:r>
            <m:rPr>
              <m:sty m:val="p"/>
            </m:rPr>
            <m:t>,</m:t>
          </m:r>
          <m:r>
            <m:t> </m:t>
          </m:r>
          <m:sSup>
            <m:e>
              <m:r>
                <m:t>p</m:t>
              </m:r>
            </m:e>
            <m:sup>
              <m:r>
                <m:rPr>
                  <m:sty m:val="p"/>
                </m:rPr>
                <m:t>*</m:t>
              </m:r>
            </m:sup>
          </m:sSup>
          <m:r>
            <m:rPr>
              <m:sty m:val="p"/>
            </m:rPr>
            <m:t>=</m:t>
          </m:r>
          <m:f>
            <m:fPr>
              <m:type m:val="bar"/>
            </m:fPr>
            <m:num>
              <m:r>
                <m:t>a</m:t>
              </m:r>
              <m:r>
                <m:rPr>
                  <m:sty m:val="p"/>
                </m:rPr>
                <m:t>+</m:t>
              </m:r>
              <m:r>
                <m:t>2</m:t>
              </m:r>
              <m:r>
                <m:t>c</m:t>
              </m:r>
            </m:num>
            <m:den>
              <m:r>
                <m:t>3</m:t>
              </m:r>
            </m:den>
          </m:f>
        </m:oMath>
      </m:oMathPara>
    </w:p>
    <w:p>
      <w:pPr>
        <w:pStyle w:val="FirstParagraph"/>
      </w:pPr>
      <m:oMathPara>
        <m:oMathParaPr>
          <m:jc m:val="center"/>
        </m:oMathParaPr>
        <m:oMath>
          <m:sSubSup>
            <m:e>
              <m:r>
                <m:t>π</m:t>
              </m:r>
            </m:e>
            <m:sub>
              <m:r>
                <m:t>1</m:t>
              </m:r>
            </m:sub>
            <m:sup>
              <m:r>
                <m:rPr>
                  <m:sty m:val="p"/>
                </m:rPr>
                <m:t>*</m:t>
              </m:r>
            </m:sup>
          </m:sSubSup>
          <m:r>
            <m:rPr>
              <m:sty m:val="p"/>
            </m:rPr>
            <m:t>=</m:t>
          </m:r>
          <m:sSubSup>
            <m:e>
              <m:r>
                <m:t>π</m:t>
              </m:r>
            </m:e>
            <m:sub>
              <m:r>
                <m:t>2</m:t>
              </m:r>
            </m:sub>
            <m:sup>
              <m:r>
                <m:rPr>
                  <m:sty m:val="p"/>
                </m:rPr>
                <m:t>*</m:t>
              </m:r>
            </m:sup>
          </m:sSubSup>
          <m:r>
            <m:rPr>
              <m:sty m:val="p"/>
            </m:rPr>
            <m:t>=</m:t>
          </m:r>
          <m:f>
            <m:fPr>
              <m:type m:val="bar"/>
            </m:fPr>
            <m:num>
              <m:r>
                <m:rPr>
                  <m:sty m:val="p"/>
                </m:rPr>
                <m:t>(</m:t>
              </m:r>
              <m:r>
                <m:t>a</m:t>
              </m:r>
              <m:r>
                <m:rPr>
                  <m:sty m:val="p"/>
                </m:rPr>
                <m:t>−</m:t>
              </m:r>
              <m:r>
                <m:t>c</m:t>
              </m:r>
              <m:sSup>
                <m:e>
                  <m:r>
                    <m:rPr>
                      <m:sty m:val="p"/>
                    </m:rPr>
                    <m:t>)</m:t>
                  </m:r>
                </m:e>
                <m:sup>
                  <m:r>
                    <m:t>2</m:t>
                  </m:r>
                </m:sup>
              </m:sSup>
            </m:num>
            <m:den>
              <m:r>
                <m:t>9</m:t>
              </m:r>
              <m:r>
                <m:t>b</m:t>
              </m:r>
            </m:den>
          </m:f>
        </m:oMath>
      </m:oMathPara>
    </w:p>
    <w:p>
      <w:pPr>
        <w:pStyle w:val="BlockText"/>
      </w:pPr>
      <w:r>
        <w:rPr>
          <w:b/>
          <w:bCs/>
        </w:rPr>
        <w:t xml:space="preserve">[INTUICAO ECONOMICA] Intuição Econômica</w:t>
      </w:r>
    </w:p>
    <w:p>
      <w:pPr>
        <w:pStyle w:val="BlockText"/>
      </w:pPr>
      <w:r>
        <w:rPr>
          <w:b/>
          <w:bCs/>
        </w:rPr>
        <w:t xml:space="preserve">Em uma frase:</w:t>
      </w:r>
      <w:r>
        <w:t xml:space="preserve"> </w:t>
      </w:r>
      <w:r>
        <w:t xml:space="preserve">No equilíbrio de Cournot, cada empresa produz menos do que faria sozinha, mas o mercado como um todo produz mais do que um monopólio.</w:t>
      </w:r>
    </w:p>
    <w:p>
      <w:pPr>
        <w:pStyle w:val="BlockText"/>
      </w:pPr>
      <w:r>
        <w:rPr>
          <w:b/>
          <w:bCs/>
        </w:rPr>
        <w:t xml:space="preserve">Pense assim:</w:t>
      </w:r>
      <w:r>
        <w:t xml:space="preserve"> </w:t>
      </w:r>
      <w:r>
        <w:t xml:space="preserve">Pense em duas redes de postos de gasolina decidindo quantos postos abrir numa cidade. Cada uma sabe que, se abrir postos demais, o preço da gasolina cai para todo mundo. Então cada uma modera a expansão — mas, juntas, atendem mais consumidores do que um monopolista faria.</w:t>
      </w:r>
    </w:p>
    <w:p>
      <w:pPr>
        <w:pStyle w:val="BlockText"/>
      </w:pPr>
      <w:r>
        <w:rPr>
          <w:b/>
          <w:bCs/>
        </w:rPr>
        <w:t xml:space="preserve">Por que isso importa:</w:t>
      </w:r>
      <w:r>
        <w:t xml:space="preserve"> </w:t>
      </w:r>
      <w:r>
        <w:t xml:space="preserve">O modelo de Cournot mostra que bastam poucas empresas para gerar alguma concorrência, e que o resultado melhora para o consumidor conforme o número de competidores aumenta.</w:t>
      </w:r>
    </w:p>
    <w:p>
      <w:pPr>
        <w:pStyle w:val="BlockText"/>
      </w:pPr>
      <w:r>
        <w:rPr>
          <w:b/>
          <w:bCs/>
        </w:rPr>
        <w:t xml:space="preserve">[ATENCAO] Erro Comum</w:t>
      </w:r>
    </w:p>
    <w:p>
      <w:pPr>
        <w:pStyle w:val="BlockText"/>
      </w:pPr>
      <w:r>
        <w:rPr>
          <w:b/>
          <w:bCs/>
        </w:rPr>
        <w:t xml:space="preserve">Confundir o equilíbrio de Cournot com colusão ou com concorrência perfeita.</w:t>
      </w:r>
    </w:p>
    <w:p>
      <w:pPr>
        <w:pStyle w:val="BlockText"/>
      </w:pPr>
      <w:r>
        <w:t xml:space="preserve">O equilíbrio de Cournot</w:t>
      </w:r>
      <w:r>
        <w:t xml:space="preserve"> </w:t>
      </w:r>
      <w:r>
        <w:rPr>
          <w:b/>
          <w:bCs/>
        </w:rPr>
        <w:t xml:space="preserve">não</w:t>
      </w:r>
      <w:r>
        <w:t xml:space="preserve"> </w:t>
      </w:r>
      <w:r>
        <w:t xml:space="preserve">é colusão: cada firma maximiza seu próprio lucro</w:t>
      </w:r>
      <w:r>
        <w:t xml:space="preserve"> </w:t>
      </w:r>
      <w:r>
        <w:rPr>
          <w:i/>
          <w:iCs/>
        </w:rPr>
        <w:t xml:space="preserve">individualmente</w:t>
      </w:r>
      <w:r>
        <w:t xml:space="preserve">, tomando a quantidade da rival como dada. O resultado conjunto é pior para as firmas do que a colusão (que maximizaria o lucro conjunto), mas melhor do que Bertrand com bens homogêneos. Formalmente:</w:t>
      </w:r>
      <w:r>
        <w:t xml:space="preserve"> </w:t>
      </w:r>
      <m:oMath>
        <m:sSup>
          <m:e>
            <m:r>
              <m:t>Q</m:t>
            </m:r>
          </m:e>
          <m:sup>
            <m:r>
              <m:t>m</m:t>
            </m:r>
            <m:r>
              <m:t>o</m:t>
            </m:r>
            <m:r>
              <m:t>n</m:t>
            </m:r>
            <m:r>
              <m:t>o</m:t>
            </m:r>
            <m:r>
              <m:t>p</m:t>
            </m:r>
            <m:r>
              <m:t>ó</m:t>
            </m:r>
            <m:r>
              <m:t>l</m:t>
            </m:r>
            <m:r>
              <m:t>i</m:t>
            </m:r>
            <m:r>
              <m:t>o</m:t>
            </m:r>
          </m:sup>
        </m:sSup>
        <m:r>
          <m:rPr>
            <m:sty m:val="p"/>
          </m:rPr>
          <m:t>&lt;</m:t>
        </m:r>
        <m:sSup>
          <m:e>
            <m:r>
              <m:t>Q</m:t>
            </m:r>
          </m:e>
          <m:sup>
            <m:r>
              <m:t>C</m:t>
            </m:r>
            <m:r>
              <m:t>o</m:t>
            </m:r>
            <m:r>
              <m:t>u</m:t>
            </m:r>
            <m:r>
              <m:t>r</m:t>
            </m:r>
            <m:r>
              <m:t>n</m:t>
            </m:r>
            <m:r>
              <m:t>o</m:t>
            </m:r>
            <m:r>
              <m:t>t</m:t>
            </m:r>
          </m:sup>
        </m:sSup>
        <m:r>
          <m:rPr>
            <m:sty m:val="p"/>
          </m:rPr>
          <m:t>&lt;</m:t>
        </m:r>
        <m:sSup>
          <m:e>
            <m:r>
              <m:t>Q</m:t>
            </m:r>
          </m:e>
          <m:sup>
            <m:r>
              <m:t>c</m:t>
            </m:r>
            <m:r>
              <m:t>o</m:t>
            </m:r>
            <m:r>
              <m:t>m</m:t>
            </m:r>
            <m:r>
              <m:t>p</m:t>
            </m:r>
            <m:r>
              <m:t>e</m:t>
            </m:r>
            <m:r>
              <m:t>t</m:t>
            </m:r>
            <m:r>
              <m:t>i</m:t>
            </m:r>
            <m:r>
              <m:t>t</m:t>
            </m:r>
            <m:r>
              <m:t>i</m:t>
            </m:r>
            <m:r>
              <m:t>v</m:t>
            </m:r>
            <m:r>
              <m:t>o</m:t>
            </m:r>
          </m:sup>
        </m:sSup>
      </m:oMath>
      <w:r>
        <w:t xml:space="preserve"> </w:t>
      </w:r>
      <w:r>
        <w:t xml:space="preserve">e</w:t>
      </w:r>
      <w:r>
        <w:t xml:space="preserve"> </w:t>
      </w:r>
      <m:oMath>
        <m:sSup>
          <m:e>
            <m:r>
              <m:t>p</m:t>
            </m:r>
          </m:e>
          <m:sup>
            <m:r>
              <m:t>c</m:t>
            </m:r>
            <m:r>
              <m:t>o</m:t>
            </m:r>
            <m:r>
              <m:t>m</m:t>
            </m:r>
            <m:r>
              <m:t>p</m:t>
            </m:r>
            <m:r>
              <m:t>e</m:t>
            </m:r>
            <m:r>
              <m:t>t</m:t>
            </m:r>
            <m:r>
              <m:t>i</m:t>
            </m:r>
            <m:r>
              <m:t>t</m:t>
            </m:r>
            <m:r>
              <m:t>i</m:t>
            </m:r>
            <m:r>
              <m:t>v</m:t>
            </m:r>
            <m:r>
              <m:t>o</m:t>
            </m:r>
          </m:sup>
        </m:sSup>
        <m:r>
          <m:rPr>
            <m:sty m:val="p"/>
          </m:rPr>
          <m:t>&lt;</m:t>
        </m:r>
        <m:sSup>
          <m:e>
            <m:r>
              <m:t>p</m:t>
            </m:r>
          </m:e>
          <m:sup>
            <m:r>
              <m:t>C</m:t>
            </m:r>
            <m:r>
              <m:t>o</m:t>
            </m:r>
            <m:r>
              <m:t>u</m:t>
            </m:r>
            <m:r>
              <m:t>r</m:t>
            </m:r>
            <m:r>
              <m:t>n</m:t>
            </m:r>
            <m:r>
              <m:t>o</m:t>
            </m:r>
            <m:r>
              <m:t>t</m:t>
            </m:r>
          </m:sup>
        </m:sSup>
        <m:r>
          <m:rPr>
            <m:sty m:val="p"/>
          </m:rPr>
          <m:t>&lt;</m:t>
        </m:r>
        <m:sSup>
          <m:e>
            <m:r>
              <m:t>p</m:t>
            </m:r>
          </m:e>
          <m:sup>
            <m:r>
              <m:t>m</m:t>
            </m:r>
            <m:r>
              <m:t>o</m:t>
            </m:r>
            <m:r>
              <m:t>n</m:t>
            </m:r>
            <m:r>
              <m:t>o</m:t>
            </m:r>
            <m:r>
              <m:t>p</m:t>
            </m:r>
            <m:r>
              <m:t>ó</m:t>
            </m:r>
            <m:r>
              <m:t>l</m:t>
            </m:r>
            <m:r>
              <m:t>i</m:t>
            </m:r>
            <m:r>
              <m:t>o</m:t>
            </m:r>
          </m:sup>
        </m:sSup>
      </m:oMath>
      <w:r>
        <w:t xml:space="preserve">. Outro erro frequente é trocar a variável estratégica: no Cournot as firmas escolhem</w:t>
      </w:r>
      <w:r>
        <w:t xml:space="preserve"> </w:t>
      </w:r>
      <w:r>
        <w:rPr>
          <w:b/>
          <w:bCs/>
        </w:rPr>
        <w:t xml:space="preserve">quantidades</w:t>
      </w:r>
      <w:r>
        <w:t xml:space="preserve"> </w:t>
      </w:r>
      <w:r>
        <w:t xml:space="preserve">(e o preço se ajusta pelo mercado), enquanto no Bertrand escolhem</w:t>
      </w:r>
      <w:r>
        <w:t xml:space="preserve"> </w:t>
      </w:r>
      <w:r>
        <w:rPr>
          <w:b/>
          <w:bCs/>
        </w:rPr>
        <w:t xml:space="preserve">preços</w:t>
      </w:r>
      <w:r>
        <w:t xml:space="preserve">. Essa diferença gera resultados radicalmente distintos.</w:t>
      </w:r>
    </w:p>
    <w:p>
      <w:pPr>
        <w:pStyle w:val="FirstParagraph"/>
      </w:pPr>
      <w:r>
        <w:t xml:space="preserve">[FIGURA INTERATIVA: /micro-book/graficos/cap16/cournot.html — versao interativa disponivel online]</w:t>
      </w:r>
    </w:p>
    <w:p>
      <w:pPr>
        <w:pStyle w:val="BodyText"/>
      </w:pPr>
      <w:r>
        <w:rPr>
          <w:b/>
          <w:bCs/>
        </w:rPr>
        <w:t xml:space="preserve">Figura 16a.2 — Funções de melhor-resposta de Cournot no espaço</w:t>
      </w:r>
      <w:r>
        <w:rPr>
          <w:b/>
          <w:bCs/>
        </w:rPr>
        <w:t xml:space="preserve"> </w:t>
      </w:r>
      <m:oMath>
        <m:r>
          <m:rPr>
            <m:sty m:val="p"/>
          </m:rPr>
          <m:t>(</m:t>
        </m:r>
        <m:sSub>
          <m:e>
            <m:r>
              <m:t>q</m:t>
            </m:r>
          </m:e>
          <m:sub>
            <m:r>
              <m:t>1</m:t>
            </m:r>
          </m:sub>
        </m:sSub>
        <m:r>
          <m:rPr>
            <m:sty m:val="p"/>
          </m:rPr>
          <m:t>,</m:t>
        </m:r>
        <m:sSub>
          <m:e>
            <m:r>
              <m:t>q</m:t>
            </m:r>
          </m:e>
          <m:sub>
            <m:r>
              <m:t>2</m:t>
            </m:r>
          </m:sub>
        </m:sSub>
        <m:r>
          <m:rPr>
            <m:sty m:val="p"/>
          </m:rPr>
          <m:t>)</m:t>
        </m:r>
      </m:oMath>
      <w:r>
        <w:rPr>
          <w:b/>
          <w:bCs/>
        </w:rPr>
        <w:t xml:space="preserve">.</w:t>
      </w:r>
      <w:r>
        <w:t xml:space="preserve"> </w:t>
      </w:r>
      <w:r>
        <w:t xml:space="preserve">O equilíbrio de Nash está na interseção. Ajuste custos assimétricos, ative a convergência cobweb e compare com os pontos de colusão e competitivo.</w:t>
      </w:r>
    </w:p>
    <w:p>
      <w:r>
        <w:pict>
          <v:rect style="width:0;height:1.5pt" o:hralign="center" o:hrstd="t" o:hr="t"/>
        </w:pict>
      </w:r>
    </w:p>
    <w:bookmarkEnd w:id="986"/>
    <w:bookmarkStart w:id="987" w:name="o-modelo-de-stackelberg"/>
    <w:p>
      <w:pPr>
        <w:pStyle w:val="Heading4"/>
      </w:pPr>
      <w:r>
        <w:t xml:space="preserve">O modelo de Stackelberg</w:t>
      </w:r>
    </w:p>
    <w:p>
      <w:pPr>
        <w:pStyle w:val="FirstParagraph"/>
      </w:pPr>
      <w:r>
        <w:t xml:space="preserve">Nos modelos de Bertrand e Cournot, as firmas tomam decisões simultaneamente — nenhuma observa a escolha da rival antes de agir. Mas em muitos mercados reais, uma firma estabelecida decide antes das demais, e sua decisão é observável e irreversível. Será que mover primeiro confere uma vantagem estratégica? O modelo de Stackelberg responde afirmativamente, formalizando a ideia de que o compromisso crível com uma ação agressiva pode disciplinar o comportamento dos concorrentes.</w:t>
      </w:r>
    </w:p>
    <w:p>
      <w:pPr>
        <w:pStyle w:val="BodyText"/>
      </w:pPr>
      <w:r>
        <w:t xml:space="preserve">No modelo de Stackelberg, a firma 1 (líder) escolhe</w:t>
      </w:r>
      <w:r>
        <w:t xml:space="preserve"> </w:t>
      </w:r>
      <m:oMath>
        <m:sSub>
          <m:e>
            <m:r>
              <m:t>q</m:t>
            </m:r>
          </m:e>
          <m:sub>
            <m:r>
              <m:t>1</m:t>
            </m:r>
          </m:sub>
        </m:sSub>
      </m:oMath>
      <w:r>
        <w:t xml:space="preserve"> </w:t>
      </w:r>
      <w:r>
        <w:rPr>
          <w:b/>
          <w:bCs/>
        </w:rPr>
        <w:t xml:space="preserve">primeiro</w:t>
      </w:r>
      <w:r>
        <w:t xml:space="preserve">, e a firma 2 (seguidora) observa</w:t>
      </w:r>
      <w:r>
        <w:t xml:space="preserve"> </w:t>
      </w:r>
      <m:oMath>
        <m:sSub>
          <m:e>
            <m:r>
              <m:t>q</m:t>
            </m:r>
          </m:e>
          <m:sub>
            <m:r>
              <m:t>1</m:t>
            </m:r>
          </m:sub>
        </m:sSub>
      </m:oMath>
      <w:r>
        <w:t xml:space="preserve"> </w:t>
      </w:r>
      <w:r>
        <w:t xml:space="preserve">e depois escolhe</w:t>
      </w:r>
      <w:r>
        <w:t xml:space="preserve"> </w:t>
      </w:r>
      <m:oMath>
        <m:sSub>
          <m:e>
            <m:r>
              <m:t>q</m:t>
            </m:r>
          </m:e>
          <m:sub>
            <m:r>
              <m:t>2</m:t>
            </m:r>
          </m:sub>
        </m:sSub>
      </m:oMath>
      <w:r>
        <w:t xml:space="preserve">. O jogo é resolvido por</w:t>
      </w:r>
      <w:r>
        <w:t xml:space="preserve"> </w:t>
      </w:r>
      <w:r>
        <w:rPr>
          <w:b/>
          <w:bCs/>
        </w:rPr>
        <w:t xml:space="preserve">indução retroativa</w:t>
      </w:r>
      <w:r>
        <w:t xml:space="preserve">.</w:t>
      </w:r>
    </w:p>
    <w:p>
      <w:pPr>
        <w:pStyle w:val="BodyText"/>
      </w:pPr>
      <w:r>
        <w:t xml:space="preserve">A seguidora usa sua função de melhor-resposta:</w:t>
      </w:r>
      <w:r>
        <w:t xml:space="preserve"> </w:t>
      </w:r>
      <m:oMath>
        <m:sSubSup>
          <m:e>
            <m:r>
              <m:t>q</m:t>
            </m:r>
          </m:e>
          <m:sub>
            <m:r>
              <m:t>2</m:t>
            </m:r>
          </m:sub>
          <m:sup>
            <m:r>
              <m:rPr>
                <m:sty m:val="p"/>
              </m:rPr>
              <m:t>*</m:t>
            </m:r>
          </m:sup>
        </m:sSubSup>
        <m:r>
          <m:rPr>
            <m:sty m:val="p"/>
          </m:rPr>
          <m:t>(</m:t>
        </m:r>
        <m:sSub>
          <m:e>
            <m:r>
              <m:t>q</m:t>
            </m:r>
          </m:e>
          <m:sub>
            <m:r>
              <m:t>1</m:t>
            </m:r>
          </m:sub>
        </m:sSub>
        <m:r>
          <m:rPr>
            <m:sty m:val="p"/>
          </m:rPr>
          <m:t>)</m:t>
        </m:r>
        <m:r>
          <m:rPr>
            <m:sty m:val="p"/>
          </m:rPr>
          <m:t>=</m:t>
        </m:r>
        <m:f>
          <m:fPr>
            <m:type m:val="bar"/>
          </m:fPr>
          <m:num>
            <m:r>
              <m:t>a</m:t>
            </m:r>
            <m:r>
              <m:rPr>
                <m:sty m:val="p"/>
              </m:rPr>
              <m:t>−</m:t>
            </m:r>
            <m:r>
              <m:t>c</m:t>
            </m:r>
            <m:r>
              <m:rPr>
                <m:sty m:val="p"/>
              </m:rPr>
              <m:t>−</m:t>
            </m:r>
            <m:r>
              <m:t>b</m:t>
            </m:r>
            <m:sSub>
              <m:e>
                <m:r>
                  <m:t>q</m:t>
                </m:r>
              </m:e>
              <m:sub>
                <m:r>
                  <m:t>1</m:t>
                </m:r>
              </m:sub>
            </m:sSub>
          </m:num>
          <m:den>
            <m:r>
              <m:t>2</m:t>
            </m:r>
            <m:r>
              <m:t>b</m:t>
            </m:r>
          </m:den>
        </m:f>
      </m:oMath>
      <w:r>
        <w:t xml:space="preserve">.</w:t>
      </w:r>
    </w:p>
    <w:p>
      <w:pPr>
        <w:pStyle w:val="BodyText"/>
      </w:pPr>
      <w:r>
        <w:t xml:space="preserve">O líder antecipa essa reação e maximiza:</w:t>
      </w:r>
    </w:p>
    <w:p>
      <w:pPr>
        <w:pStyle w:val="BodyText"/>
      </w:pPr>
      <m:oMathPara>
        <m:oMathParaPr>
          <m:jc m:val="center"/>
        </m:oMathParaPr>
        <m:oMath>
          <m:sSub>
            <m:e>
              <m:r>
                <m:t>π</m:t>
              </m:r>
            </m:e>
            <m:sub>
              <m:r>
                <m:t>1</m:t>
              </m:r>
            </m:sub>
          </m:sSub>
          <m:r>
            <m:rPr>
              <m:sty m:val="p"/>
            </m:rPr>
            <m:t>=</m:t>
          </m:r>
          <m:d>
            <m:dPr>
              <m:begChr m:val="["/>
              <m:sepChr m:val=""/>
              <m:endChr m:val="]"/>
              <m:grow/>
            </m:dPr>
            <m:e>
              <m:r>
                <m:t>a</m:t>
              </m:r>
              <m:r>
                <m:rPr>
                  <m:sty m:val="p"/>
                </m:rPr>
                <m:t>−</m:t>
              </m:r>
              <m:r>
                <m:t>b</m:t>
              </m:r>
              <m:d>
                <m:dPr>
                  <m:begChr m:val="("/>
                  <m:sepChr m:val=""/>
                  <m:endChr m:val=")"/>
                  <m:grow/>
                </m:dPr>
                <m:e>
                  <m:sSub>
                    <m:e>
                      <m:r>
                        <m:t>q</m:t>
                      </m:r>
                    </m:e>
                    <m:sub>
                      <m:r>
                        <m:t>1</m:t>
                      </m:r>
                    </m:sub>
                  </m:sSub>
                  <m:r>
                    <m:rPr>
                      <m:sty m:val="p"/>
                    </m:rPr>
                    <m:t>+</m:t>
                  </m:r>
                  <m:f>
                    <m:fPr>
                      <m:type m:val="bar"/>
                    </m:fPr>
                    <m:num>
                      <m:r>
                        <m:t>a</m:t>
                      </m:r>
                      <m:r>
                        <m:rPr>
                          <m:sty m:val="p"/>
                        </m:rPr>
                        <m:t>−</m:t>
                      </m:r>
                      <m:r>
                        <m:t>c</m:t>
                      </m:r>
                      <m:r>
                        <m:rPr>
                          <m:sty m:val="p"/>
                        </m:rPr>
                        <m:t>−</m:t>
                      </m:r>
                      <m:r>
                        <m:t>b</m:t>
                      </m:r>
                      <m:sSub>
                        <m:e>
                          <m:r>
                            <m:t>q</m:t>
                          </m:r>
                        </m:e>
                        <m:sub>
                          <m:r>
                            <m:t>1</m:t>
                          </m:r>
                        </m:sub>
                      </m:sSub>
                    </m:num>
                    <m:den>
                      <m:r>
                        <m:t>2</m:t>
                      </m:r>
                      <m:r>
                        <m:t>b</m:t>
                      </m:r>
                    </m:den>
                  </m:f>
                </m:e>
              </m:d>
            </m:e>
          </m:d>
          <m:sSub>
            <m:e>
              <m:r>
                <m:t>q</m:t>
              </m:r>
            </m:e>
            <m:sub>
              <m:r>
                <m:t>1</m:t>
              </m:r>
            </m:sub>
          </m:sSub>
          <m:r>
            <m:rPr>
              <m:sty m:val="p"/>
            </m:rPr>
            <m:t>−</m:t>
          </m:r>
          <m:r>
            <m:t>c</m:t>
          </m:r>
          <m:sSub>
            <m:e>
              <m:r>
                <m:t>q</m:t>
              </m:r>
            </m:e>
            <m:sub>
              <m:r>
                <m:t>1</m:t>
              </m:r>
            </m:sub>
          </m:sSub>
          <m:r>
            <m:rPr>
              <m:sty m:val="p"/>
            </m:rPr>
            <m:t>=</m:t>
          </m:r>
          <m:f>
            <m:fPr>
              <m:type m:val="bar"/>
            </m:fPr>
            <m:num>
              <m:r>
                <m:rPr>
                  <m:sty m:val="p"/>
                </m:rPr>
                <m:t>(</m:t>
              </m:r>
              <m:r>
                <m:t>a</m:t>
              </m:r>
              <m:r>
                <m:rPr>
                  <m:sty m:val="p"/>
                </m:rPr>
                <m:t>−</m:t>
              </m:r>
              <m:r>
                <m:t>c</m:t>
              </m:r>
              <m:r>
                <m:rPr>
                  <m:sty m:val="p"/>
                </m:rPr>
                <m:t>)</m:t>
              </m:r>
              <m:sSub>
                <m:e>
                  <m:r>
                    <m:t>q</m:t>
                  </m:r>
                </m:e>
                <m:sub>
                  <m:r>
                    <m:t>1</m:t>
                  </m:r>
                </m:sub>
              </m:sSub>
            </m:num>
            <m:den>
              <m:r>
                <m:t>2</m:t>
              </m:r>
            </m:den>
          </m:f>
          <m:r>
            <m:rPr>
              <m:sty m:val="p"/>
            </m:rPr>
            <m:t>−</m:t>
          </m:r>
          <m:f>
            <m:fPr>
              <m:type m:val="bar"/>
            </m:fPr>
            <m:num>
              <m:r>
                <m:t>b</m:t>
              </m:r>
              <m:sSubSup>
                <m:e>
                  <m:r>
                    <m:t>q</m:t>
                  </m:r>
                </m:e>
                <m:sub>
                  <m:r>
                    <m:t>1</m:t>
                  </m:r>
                </m:sub>
                <m:sup>
                  <m:r>
                    <m:t>2</m:t>
                  </m:r>
                </m:sup>
              </m:sSubSup>
            </m:num>
            <m:den>
              <m:r>
                <m:t>2</m:t>
              </m:r>
            </m:den>
          </m:f>
        </m:oMath>
      </m:oMathPara>
    </w:p>
    <w:p>
      <w:pPr>
        <w:pStyle w:val="FirstParagraph"/>
      </w:pPr>
      <w:r>
        <w:t xml:space="preserve">A condição de primeira ordem dá:</w:t>
      </w:r>
    </w:p>
    <w:p>
      <w:pPr>
        <w:pStyle w:val="BodyText"/>
      </w:pPr>
      <m:oMathPara>
        <m:oMathParaPr>
          <m:jc m:val="center"/>
        </m:oMathParaPr>
        <m:oMath>
          <m:sSubSup>
            <m:e>
              <m:r>
                <m:t>q</m:t>
              </m:r>
            </m:e>
            <m:sub>
              <m:r>
                <m:t>1</m:t>
              </m:r>
            </m:sub>
            <m:sup>
              <m:r>
                <m:t>L</m:t>
              </m:r>
            </m:sup>
          </m:sSubSup>
          <m:r>
            <m:rPr>
              <m:sty m:val="p"/>
            </m:rPr>
            <m:t>=</m:t>
          </m:r>
          <m:f>
            <m:fPr>
              <m:type m:val="bar"/>
            </m:fPr>
            <m:num>
              <m:r>
                <m:t>a</m:t>
              </m:r>
              <m:r>
                <m:rPr>
                  <m:sty m:val="p"/>
                </m:rPr>
                <m:t>−</m:t>
              </m:r>
              <m:r>
                <m:t>c</m:t>
              </m:r>
            </m:num>
            <m:den>
              <m:r>
                <m:t>2</m:t>
              </m:r>
              <m:r>
                <m:t>b</m:t>
              </m:r>
            </m:den>
          </m:f>
          <m:r>
            <m:rPr>
              <m:sty m:val="p"/>
            </m:rPr>
            <m:t>,</m:t>
          </m:r>
          <m:r>
            <m:t> </m:t>
          </m:r>
          <m:sSubSup>
            <m:e>
              <m:r>
                <m:t>q</m:t>
              </m:r>
            </m:e>
            <m:sub>
              <m:r>
                <m:t>2</m:t>
              </m:r>
            </m:sub>
            <m:sup>
              <m:r>
                <m:t>S</m:t>
              </m:r>
            </m:sup>
          </m:sSubSup>
          <m:r>
            <m:rPr>
              <m:sty m:val="p"/>
            </m:rPr>
            <m:t>=</m:t>
          </m:r>
          <m:f>
            <m:fPr>
              <m:type m:val="bar"/>
            </m:fPr>
            <m:num>
              <m:r>
                <m:t>a</m:t>
              </m:r>
              <m:r>
                <m:rPr>
                  <m:sty m:val="p"/>
                </m:rPr>
                <m:t>−</m:t>
              </m:r>
              <m:r>
                <m:t>c</m:t>
              </m:r>
            </m:num>
            <m:den>
              <m:r>
                <m:t>4</m:t>
              </m:r>
              <m:r>
                <m:t>b</m:t>
              </m:r>
            </m:den>
          </m:f>
        </m:oMath>
      </m:oMathPara>
    </w:p>
    <w:p>
      <w:pPr>
        <w:pStyle w:val="FirstParagraph"/>
      </w:pPr>
      <m:oMathPara>
        <m:oMathParaPr>
          <m:jc m:val="center"/>
        </m:oMathParaPr>
        <m:oMath>
          <m:sSup>
            <m:e>
              <m:r>
                <m:t>Q</m:t>
              </m:r>
            </m:e>
            <m:sup>
              <m:r>
                <m:t>S</m:t>
              </m:r>
              <m:r>
                <m:t>t</m:t>
              </m:r>
            </m:sup>
          </m:sSup>
          <m:r>
            <m:rPr>
              <m:sty m:val="p"/>
            </m:rPr>
            <m:t>=</m:t>
          </m:r>
          <m:f>
            <m:fPr>
              <m:type m:val="bar"/>
            </m:fPr>
            <m:num>
              <m:r>
                <m:t>3</m:t>
              </m:r>
              <m:r>
                <m:rPr>
                  <m:sty m:val="p"/>
                </m:rPr>
                <m:t>(</m:t>
              </m:r>
              <m:r>
                <m:t>a</m:t>
              </m:r>
              <m:r>
                <m:rPr>
                  <m:sty m:val="p"/>
                </m:rPr>
                <m:t>−</m:t>
              </m:r>
              <m:r>
                <m:t>c</m:t>
              </m:r>
              <m:r>
                <m:rPr>
                  <m:sty m:val="p"/>
                </m:rPr>
                <m:t>)</m:t>
              </m:r>
            </m:num>
            <m:den>
              <m:r>
                <m:t>4</m:t>
              </m:r>
              <m:r>
                <m:t>b</m:t>
              </m:r>
            </m:den>
          </m:f>
          <m:r>
            <m:rPr>
              <m:sty m:val="p"/>
            </m:rPr>
            <m:t>,</m:t>
          </m:r>
          <m:r>
            <m:t> </m:t>
          </m:r>
          <m:sSup>
            <m:e>
              <m:r>
                <m:t>p</m:t>
              </m:r>
            </m:e>
            <m:sup>
              <m:r>
                <m:t>S</m:t>
              </m:r>
              <m:r>
                <m:t>t</m:t>
              </m:r>
            </m:sup>
          </m:sSup>
          <m:r>
            <m:rPr>
              <m:sty m:val="p"/>
            </m:rPr>
            <m:t>=</m:t>
          </m:r>
          <m:f>
            <m:fPr>
              <m:type m:val="bar"/>
            </m:fPr>
            <m:num>
              <m:r>
                <m:t>a</m:t>
              </m:r>
              <m:r>
                <m:rPr>
                  <m:sty m:val="p"/>
                </m:rPr>
                <m:t>+</m:t>
              </m:r>
              <m:r>
                <m:t>3</m:t>
              </m:r>
              <m:r>
                <m:t>c</m:t>
              </m:r>
            </m:num>
            <m:den>
              <m:r>
                <m:t>4</m:t>
              </m:r>
            </m:den>
          </m:f>
        </m:oMath>
      </m:oMathPara>
    </w:p>
    <w:p>
      <w:pPr>
        <w:pStyle w:val="FirstParagraph"/>
      </w:pPr>
      <w:r>
        <w:t xml:space="preserve">O líder produz mais e lucra mais do que no Cournot; a seguidora produz menos e lucra menos. A</w:t>
      </w:r>
      <w:r>
        <w:t xml:space="preserve"> </w:t>
      </w:r>
      <w:r>
        <w:rPr>
          <w:b/>
          <w:bCs/>
        </w:rPr>
        <w:t xml:space="preserve">vantagem do primeiro movimento</w:t>
      </w:r>
      <w:r>
        <w:t xml:space="preserve"> </w:t>
      </w:r>
      <w:r>
        <w:t xml:space="preserve">(first-mover advantage) decorre do compromisso crível com uma quantidade elevada.</w:t>
      </w:r>
    </w:p>
    <w:p>
      <w:pPr>
        <w:pStyle w:val="BlockText"/>
      </w:pPr>
      <w:r>
        <w:rPr>
          <w:b/>
          <w:bCs/>
        </w:rPr>
        <w:t xml:space="preserve">[INTUICAO ECONOMICA] Intuição Econômica</w:t>
      </w:r>
    </w:p>
    <w:p>
      <w:pPr>
        <w:pStyle w:val="BlockText"/>
      </w:pPr>
      <w:r>
        <w:rPr>
          <w:b/>
          <w:bCs/>
        </w:rPr>
        <w:t xml:space="preserve">Em uma frase:</w:t>
      </w:r>
      <w:r>
        <w:t xml:space="preserve"> </w:t>
      </w:r>
      <w:r>
        <w:t xml:space="preserve">Quem se compromete primeiro com uma decisão grande e irreversível pode forçar os concorrentes a se acomodarem.</w:t>
      </w:r>
    </w:p>
    <w:p>
      <w:pPr>
        <w:pStyle w:val="BlockText"/>
      </w:pPr>
      <w:r>
        <w:rPr>
          <w:b/>
          <w:bCs/>
        </w:rPr>
        <w:t xml:space="preserve">Pense assim:</w:t>
      </w:r>
      <w:r>
        <w:t xml:space="preserve"> </w:t>
      </w:r>
      <w:r>
        <w:t xml:space="preserve">Quando a Ambev inaugura uma fábrica gigante em uma região, cervejarias menores sabem que competir ali será duro. A capacidade já instalada é um</w:t>
      </w:r>
      <w:r>
        <w:t xml:space="preserve"> </w:t>
      </w:r>
      <w:r>
        <w:t xml:space="preserve">“fato consumado”</w:t>
      </w:r>
      <w:r>
        <w:t xml:space="preserve"> </w:t>
      </w:r>
      <w:r>
        <w:t xml:space="preserve">que muda o jogo — a líder produz muito, e a seguidora aceita uma fatia menor do mercado.</w:t>
      </w:r>
    </w:p>
    <w:p>
      <w:pPr>
        <w:pStyle w:val="BlockText"/>
      </w:pPr>
      <w:r>
        <w:rPr>
          <w:b/>
          <w:bCs/>
        </w:rPr>
        <w:t xml:space="preserve">Por que isso importa:</w:t>
      </w:r>
      <w:r>
        <w:t xml:space="preserve"> </w:t>
      </w:r>
      <w:r>
        <w:t xml:space="preserve">Essa lógica explica por que grandes empresas investem agressivamente em capacidade e infraestrutura antes dos rivais — o compromisso crível vira vantagem estratégica.</w:t>
      </w:r>
    </w:p>
    <w:p>
      <w:r>
        <w:pict>
          <v:rect style="width:0;height:1.5pt" o:hralign="center" o:hrstd="t" o:hr="t"/>
        </w:pict>
      </w:r>
    </w:p>
    <w:p>
      <w:pPr>
        <w:pStyle w:val="FirstParagraph"/>
      </w:pPr>
      <w:r>
        <w:t xml:space="preserve">[FIGURA INTERATIVA: /micro-book/graficos/cap16/stackelberg.html — versao interativa disponivel online]</w:t>
      </w:r>
    </w:p>
    <w:p>
      <w:pPr>
        <w:pStyle w:val="BodyText"/>
      </w:pPr>
      <w:r>
        <w:rPr>
          <w:b/>
          <w:bCs/>
        </w:rPr>
        <w:t xml:space="preserve">Figura 16a.3 — O líder de Stackelberg escolhe o ponto de maior lucro sobre a função de melhor-resposta da seguidora.</w:t>
      </w:r>
      <w:r>
        <w:t xml:space="preserve"> </w:t>
      </w:r>
      <w:r>
        <w:t xml:space="preserve">As curvas de iso-lucro do líder são mostradas em azul. Compare com o equilíbrio de Cournot (roxo).</w:t>
      </w:r>
    </w:p>
    <w:p>
      <w:r>
        <w:pict>
          <v:rect style="width:0;height:1.5pt" o:hralign="center" o:hrstd="t" o:hr="t"/>
        </w:pict>
      </w:r>
    </w:p>
    <w:bookmarkEnd w:id="987"/>
    <w:bookmarkEnd w:id="988"/>
    <w:bookmarkStart w:id="989" w:name="Xea2c171d7012ec2a72ab8f1d668efb1bdb640b0"/>
    <w:p>
      <w:pPr>
        <w:pStyle w:val="Heading3"/>
      </w:pPr>
      <w:r>
        <w:t xml:space="preserve">16a.4 De Monopólio a Concorrência em n Passos: Cournot com n Firmas</w:t>
      </w:r>
    </w:p>
    <w:p>
      <w:pPr>
        <w:pStyle w:val="FirstParagraph"/>
      </w:pPr>
      <w:r>
        <w:t xml:space="preserve">Os resultados obtidos para o duopólio de Cournot levantam uma questão natural: como o equilíbrio se comporta à medida que o número de firmas aumenta? A generalização para</w:t>
      </w:r>
      <w:r>
        <w:t xml:space="preserve"> </w:t>
      </w:r>
      <m:oMath>
        <m:r>
          <m:t>n</m:t>
        </m:r>
      </m:oMath>
      <w:r>
        <w:t xml:space="preserve"> </w:t>
      </w:r>
      <w:r>
        <w:t xml:space="preserve">firmas revela uma propriedade notável — o modelo de Cournot interpola continuamente entre os extremos de monopólio e concorrência perfeita, com a intensidade da competição crescendo suavemente no número de participantes.</w:t>
      </w:r>
    </w:p>
    <w:p>
      <w:pPr>
        <w:pStyle w:val="BlockText"/>
      </w:pPr>
      <w:r>
        <w:rPr>
          <w:b/>
          <w:bCs/>
        </w:rPr>
        <w:t xml:space="preserve">[DEMONSTRACAO] Demonstração</w:t>
      </w:r>
    </w:p>
    <w:p>
      <w:pPr>
        <w:pStyle w:val="BlockText"/>
      </w:pPr>
      <w:r>
        <w:t xml:space="preserve">Considere</w:t>
      </w:r>
      <w:r>
        <w:t xml:space="preserve"> </w:t>
      </w:r>
      <m:oMath>
        <m:r>
          <m:t>n</m:t>
        </m:r>
      </m:oMath>
      <w:r>
        <w:t xml:space="preserve"> </w:t>
      </w:r>
      <w:r>
        <w:t xml:space="preserve">firmas idênticas com custo marginal constante</w:t>
      </w:r>
      <w:r>
        <w:t xml:space="preserve"> </w:t>
      </w:r>
      <m:oMath>
        <m:r>
          <m:t>c</m:t>
        </m:r>
      </m:oMath>
      <w:r>
        <w:t xml:space="preserve">. A demanda inversa é</w:t>
      </w:r>
      <w:r>
        <w:t xml:space="preserve"> </w:t>
      </w:r>
      <m:oMath>
        <m:r>
          <m:t>p</m:t>
        </m:r>
        <m:r>
          <m:rPr>
            <m:sty m:val="p"/>
          </m:rPr>
          <m:t>=</m:t>
        </m:r>
        <m:r>
          <m:t>a</m:t>
        </m:r>
        <m:r>
          <m:rPr>
            <m:sty m:val="p"/>
          </m:rPr>
          <m:t>−</m:t>
        </m:r>
        <m:r>
          <m:t>b</m:t>
        </m:r>
        <m:r>
          <m:t>Q</m:t>
        </m:r>
      </m:oMath>
      <w:r>
        <w:t xml:space="preserve">, onde</w:t>
      </w:r>
      <w:r>
        <w:t xml:space="preserve"> </w:t>
      </w:r>
      <m:oMath>
        <m:r>
          <m:t>Q</m:t>
        </m:r>
        <m:r>
          <m:rPr>
            <m:sty m:val="p"/>
          </m:rPr>
          <m:t>=</m:t>
        </m:r>
        <m:nary>
          <m:naryPr>
            <m:chr m:val="∑"/>
            <m:limLoc m:val="undOvr"/>
            <m:subHide m:val="off"/>
            <m:supHide m:val="off"/>
          </m:naryPr>
          <m:sub>
            <m:r>
              <m:t>i</m:t>
            </m:r>
            <m:r>
              <m:rPr>
                <m:sty m:val="p"/>
              </m:rPr>
              <m:t>=</m:t>
            </m:r>
            <m:r>
              <m:t>1</m:t>
            </m:r>
          </m:sub>
          <m:sup>
            <m:r>
              <m:t>n</m:t>
            </m:r>
          </m:sup>
          <m:e>
            <m:sSub>
              <m:e>
                <m:r>
                  <m:t>q</m:t>
                </m:r>
              </m:e>
              <m:sub>
                <m:r>
                  <m:t>i</m:t>
                </m:r>
              </m:sub>
            </m:sSub>
          </m:e>
        </m:nary>
      </m:oMath>
      <w:r>
        <w:t xml:space="preserve">.</w:t>
      </w:r>
    </w:p>
    <w:p>
      <w:pPr>
        <w:pStyle w:val="BlockText"/>
      </w:pPr>
      <w:r>
        <w:t xml:space="preserve">O lucro da firma</w:t>
      </w:r>
      <w:r>
        <w:t xml:space="preserve"> </w:t>
      </w:r>
      <m:oMath>
        <m:r>
          <m:t>i</m:t>
        </m:r>
      </m:oMath>
      <w:r>
        <w:t xml:space="preserve"> </w:t>
      </w:r>
      <w:r>
        <w:t xml:space="preserve">é:</w:t>
      </w:r>
    </w:p>
    <w:p>
      <w:pPr>
        <w:pStyle w:val="BlockText"/>
      </w:pPr>
      <w:r>
        <w:t xml:space="preserve">$$</w:t>
      </w:r>
    </w:p>
    <w:p>
      <w:pPr>
        <w:pStyle w:val="BlockText"/>
      </w:pPr>
      <w:r>
        <w:t xml:space="preserve">_i =</w:t>
      </w:r>
      <w:r>
        <w:t xml:space="preserve"> </w:t>
      </w:r>
      <w:r>
        <w:t xml:space="preserve">q_i - c</w:t>
      </w:r>
      <w:r>
        <w:t xml:space="preserve"> </w:t>
      </w:r>
      <w:r>
        <w:t xml:space="preserve">q_i</w:t>
      </w:r>
    </w:p>
    <w:p>
      <w:pPr>
        <w:pStyle w:val="BlockText"/>
      </w:pPr>
      <w:r>
        <w:t xml:space="preserve">$$</w:t>
      </w:r>
    </w:p>
    <w:p>
      <w:pPr>
        <w:pStyle w:val="BlockText"/>
      </w:pPr>
      <w:r>
        <w:t xml:space="preserve">Definindo</w:t>
      </w:r>
      <w:r>
        <w:t xml:space="preserve"> </w:t>
      </w:r>
      <m:oMath>
        <m:sSub>
          <m:e>
            <m:r>
              <m:t>Q</m:t>
            </m:r>
          </m:e>
          <m:sub>
            <m:r>
              <m:rPr>
                <m:sty m:val="p"/>
              </m:rPr>
              <m:t>−</m:t>
            </m:r>
            <m:r>
              <m:t>i</m:t>
            </m:r>
          </m:sub>
        </m:sSub>
        <m:r>
          <m:rPr>
            <m:sty m:val="p"/>
          </m:rPr>
          <m:t>=</m:t>
        </m:r>
        <m:nary>
          <m:naryPr>
            <m:chr m:val="∑"/>
            <m:limLoc m:val="undOvr"/>
            <m:subHide m:val="off"/>
            <m:supHide m:val="on"/>
          </m:naryPr>
          <m:sub>
            <m:r>
              <m:t>j</m:t>
            </m:r>
            <m:r>
              <m:rPr>
                <m:sty m:val="p"/>
              </m:rPr>
              <m:t>≠</m:t>
            </m:r>
            <m:r>
              <m:t>i</m:t>
            </m:r>
          </m:sub>
          <m:sup>
            <m:r>
              <m:t>​</m:t>
            </m:r>
          </m:sup>
          <m:e>
            <m:sSub>
              <m:e>
                <m:r>
                  <m:t>q</m:t>
                </m:r>
              </m:e>
              <m:sub>
                <m:r>
                  <m:t>j</m:t>
                </m:r>
              </m:sub>
            </m:sSub>
          </m:e>
        </m:nary>
      </m:oMath>
      <w:r>
        <w:t xml:space="preserve">, a condição de primeira ordem é:</w:t>
      </w:r>
    </w:p>
    <w:p>
      <w:pPr>
        <w:pStyle w:val="BlockText"/>
      </w:pPr>
      <w:r>
        <w:t xml:space="preserve">$$</w:t>
      </w:r>
    </w:p>
    <w:p>
      <w:pPr>
        <w:pStyle w:val="BlockText"/>
      </w:pPr>
      <w:r>
        <w:t xml:space="preserve"> </w:t>
      </w:r>
      <w:r>
        <w:t xml:space="preserve">= a - 2bq_i - bQ_{-i} - c = 0</w:t>
      </w:r>
    </w:p>
    <w:p>
      <w:pPr>
        <w:pStyle w:val="BlockText"/>
      </w:pPr>
      <w:r>
        <w:t xml:space="preserve">$$</w:t>
      </w:r>
    </w:p>
    <w:p>
      <w:pPr>
        <w:pStyle w:val="BlockText"/>
      </w:pPr>
      <w:r>
        <w:t xml:space="preserve">Resolvendo:</w:t>
      </w:r>
    </w:p>
    <w:p>
      <w:pPr>
        <w:pStyle w:val="BlockText"/>
      </w:pPr>
      <w:r>
        <w:t xml:space="preserve">$$</w:t>
      </w:r>
    </w:p>
    <w:p>
      <w:pPr>
        <w:pStyle w:val="BlockText"/>
      </w:pPr>
      <w:r>
        <w:t xml:space="preserve">q_i^*(Q_{-i}) =</w:t>
      </w:r>
      <w:r>
        <w:t xml:space="preserve"> </w:t>
      </w:r>
    </w:p>
    <w:p>
      <w:pPr>
        <w:pStyle w:val="BlockText"/>
      </w:pPr>
      <w:r>
        <w:t xml:space="preserve">$$</w:t>
      </w:r>
    </w:p>
    <w:p>
      <w:pPr>
        <w:pStyle w:val="BlockText"/>
      </w:pPr>
      <w:r>
        <w:t xml:space="preserve">No equilíbrio simétrico, todas as firmas produzem a mesma quantidade:</w:t>
      </w:r>
      <w:r>
        <w:t xml:space="preserve"> </w:t>
      </w:r>
      <m:oMath>
        <m:sSubSup>
          <m:e>
            <m:r>
              <m:t>q</m:t>
            </m:r>
          </m:e>
          <m:sub>
            <m:r>
              <m:t>i</m:t>
            </m:r>
          </m:sub>
          <m:sup>
            <m:r>
              <m:rPr>
                <m:sty m:val="p"/>
              </m:rPr>
              <m:t>*</m:t>
            </m:r>
          </m:sup>
        </m:sSubSup>
        <m:r>
          <m:rPr>
            <m:sty m:val="p"/>
          </m:rPr>
          <m:t>=</m:t>
        </m:r>
        <m:sSup>
          <m:e>
            <m:r>
              <m:t>q</m:t>
            </m:r>
          </m:e>
          <m:sup>
            <m:r>
              <m:rPr>
                <m:sty m:val="p"/>
              </m:rPr>
              <m:t>*</m:t>
            </m:r>
          </m:sup>
        </m:sSup>
      </m:oMath>
      <w:r>
        <w:t xml:space="preserve"> </w:t>
      </w:r>
      <w:r>
        <w:t xml:space="preserve">para todo</w:t>
      </w:r>
      <w:r>
        <w:t xml:space="preserve"> </w:t>
      </w:r>
      <m:oMath>
        <m:r>
          <m:t>i</m:t>
        </m:r>
      </m:oMath>
      <w:r>
        <w:t xml:space="preserve">. Portanto,</w:t>
      </w:r>
      <w:r>
        <w:t xml:space="preserve"> </w:t>
      </w:r>
      <m:oMath>
        <m:sSub>
          <m:e>
            <m:r>
              <m:t>Q</m:t>
            </m:r>
          </m:e>
          <m:sub>
            <m:r>
              <m:rPr>
                <m:sty m:val="p"/>
              </m:rPr>
              <m:t>−</m:t>
            </m:r>
            <m:r>
              <m:t>i</m:t>
            </m:r>
          </m:sub>
        </m:sSub>
        <m:r>
          <m:rPr>
            <m:sty m:val="p"/>
          </m:rPr>
          <m:t>=</m:t>
        </m:r>
        <m:r>
          <m:rPr>
            <m:sty m:val="p"/>
          </m:rPr>
          <m:t>(</m:t>
        </m:r>
        <m:r>
          <m:t>n</m:t>
        </m:r>
        <m:r>
          <m:rPr>
            <m:sty m:val="p"/>
          </m:rPr>
          <m:t>−</m:t>
        </m:r>
        <m:r>
          <m:t>1</m:t>
        </m:r>
        <m:r>
          <m:rPr>
            <m:sty m:val="p"/>
          </m:rPr>
          <m:t>)</m:t>
        </m:r>
        <m:sSup>
          <m:e>
            <m:r>
              <m:t>q</m:t>
            </m:r>
          </m:e>
          <m:sup>
            <m:r>
              <m:rPr>
                <m:sty m:val="p"/>
              </m:rPr>
              <m:t>*</m:t>
            </m:r>
          </m:sup>
        </m:sSup>
      </m:oMath>
      <w:r>
        <w:t xml:space="preserve">, e a condição de equilíbrio torna-se:</w:t>
      </w:r>
    </w:p>
    <w:p>
      <w:pPr>
        <w:pStyle w:val="BlockText"/>
      </w:pPr>
      <w:r>
        <w:t xml:space="preserve">$$</w:t>
      </w:r>
    </w:p>
    <w:p>
      <w:pPr>
        <w:pStyle w:val="BlockText"/>
      </w:pPr>
      <w:r>
        <w:t xml:space="preserve">q^* =</w:t>
      </w:r>
      <w:r>
        <w:t xml:space="preserve"> </w:t>
      </w:r>
    </w:p>
    <w:p>
      <w:pPr>
        <w:pStyle w:val="BlockText"/>
      </w:pPr>
      <w:r>
        <w:t xml:space="preserve">$$</w:t>
      </w:r>
    </w:p>
    <w:p>
      <w:pPr>
        <w:pStyle w:val="BlockText"/>
      </w:pPr>
      <w:r>
        <w:t xml:space="preserve">$$</w:t>
      </w:r>
    </w:p>
    <w:p>
      <w:pPr>
        <w:pStyle w:val="BlockText"/>
      </w:pPr>
      <w:r>
        <w:t xml:space="preserve">2bq^* = a - c - b(n-1)q^*</w:t>
      </w:r>
    </w:p>
    <w:p>
      <w:pPr>
        <w:pStyle w:val="BlockText"/>
      </w:pPr>
      <w:r>
        <w:t xml:space="preserve">$$</w:t>
      </w:r>
    </w:p>
    <w:p>
      <w:pPr>
        <w:pStyle w:val="BlockText"/>
      </w:pPr>
      <w:r>
        <w:t xml:space="preserve">$$</w:t>
      </w:r>
    </w:p>
    <w:p>
      <w:pPr>
        <w:pStyle w:val="BlockText"/>
      </w:pPr>
      <w:r>
        <w:t xml:space="preserve">q^*[2b + b(n-1)] = a - c</w:t>
      </w:r>
    </w:p>
    <w:p>
      <w:pPr>
        <w:pStyle w:val="BlockText"/>
      </w:pPr>
      <w:r>
        <w:t xml:space="preserve">$$</w:t>
      </w:r>
    </w:p>
    <w:p>
      <w:pPr>
        <w:pStyle w:val="BlockText"/>
      </w:pPr>
      <w:r>
        <w:t xml:space="preserve">$$</w:t>
      </w:r>
    </w:p>
    <w:p>
      <w:pPr>
        <w:pStyle w:val="BlockText"/>
      </w:pPr>
      <w:r>
        <w:t xml:space="preserve">q^*</w:t>
      </w:r>
      <w:r>
        <w:t xml:space="preserve"> </w:t>
      </w:r>
      <w:r>
        <w:t xml:space="preserve">b(n+1) = a - c</w:t>
      </w:r>
    </w:p>
    <w:p>
      <w:pPr>
        <w:pStyle w:val="BlockText"/>
      </w:pPr>
      <w:r>
        <w:t xml:space="preserve">$$</w:t>
      </w:r>
    </w:p>
    <w:p>
      <w:pPr>
        <w:pStyle w:val="BlockText"/>
      </w:pPr>
      <w:r>
        <w:t xml:space="preserve">$$</w:t>
      </w:r>
    </w:p>
    <w:p>
      <w:pPr>
        <w:pStyle w:val="BlockText"/>
      </w:pPr>
      <w:r>
        <w:t xml:space="preserve"> </w:t>
      </w:r>
      <w:r>
        <w:t xml:space="preserve"> </w:t>
      </w:r>
      <w:r>
        <w:t xml:space="preserve">$$</w:t>
      </w:r>
    </w:p>
    <w:p>
      <w:pPr>
        <w:pStyle w:val="BlockText"/>
      </w:pPr>
      <w:r>
        <w:t xml:space="preserve">A quantidade agregada e o preço de equilíbrio são:</w:t>
      </w:r>
    </w:p>
    <w:p>
      <w:pPr>
        <w:pStyle w:val="BlockText"/>
      </w:pPr>
      <w:r>
        <w:t xml:space="preserve">$$</w:t>
      </w:r>
    </w:p>
    <w:p>
      <w:pPr>
        <w:pStyle w:val="BlockText"/>
      </w:pPr>
      <w:r>
        <w:t xml:space="preserve">Q^* = nq^* =</w:t>
      </w:r>
      <w:r>
        <w:t xml:space="preserve"> </w:t>
      </w:r>
    </w:p>
    <w:p>
      <w:pPr>
        <w:pStyle w:val="BlockText"/>
      </w:pPr>
      <w:r>
        <w:t xml:space="preserve">$$</w:t>
      </w:r>
    </w:p>
    <w:p>
      <w:pPr>
        <w:pStyle w:val="BlockText"/>
      </w:pPr>
      <w:r>
        <w:t xml:space="preserve">$$</w:t>
      </w:r>
    </w:p>
    <w:p>
      <w:pPr>
        <w:pStyle w:val="BlockText"/>
      </w:pPr>
      <w:r>
        <w:t xml:space="preserve">p^* = a - bQ^* = a -</w:t>
      </w:r>
      <w:r>
        <w:t xml:space="preserve"> </w:t>
      </w:r>
      <w:r>
        <w:t xml:space="preserve"> </w:t>
      </w:r>
      <w:r>
        <w:t xml:space="preserve">=</w:t>
      </w:r>
      <w:r>
        <w:t xml:space="preserve"> </w:t>
      </w:r>
      <w:r>
        <w:t xml:space="preserve"> </w:t>
      </w:r>
      <w:r>
        <w:t xml:space="preserve"> </w:t>
      </w:r>
      <w:r>
        <w:t xml:space="preserve"> </w:t>
      </w:r>
      <w:r>
        <w:t xml:space="preserve">$$</w:t>
      </w:r>
    </w:p>
    <w:p>
      <w:pPr>
        <w:pStyle w:val="BlockText"/>
      </w:pPr>
      <w:r>
        <w:t xml:space="preserve">O lucro de cada firma é:</w:t>
      </w:r>
    </w:p>
    <w:p>
      <w:pPr>
        <w:pStyle w:val="BlockText"/>
      </w:pPr>
      <w:r>
        <w:t xml:space="preserve">$$</w:t>
      </w:r>
    </w:p>
    <w:p>
      <w:pPr>
        <w:pStyle w:val="BlockText"/>
      </w:pPr>
      <w:r>
        <w:t xml:space="preserve">^* = (p^* - c)q^* =</w:t>
      </w:r>
      <w:r>
        <w:t xml:space="preserve"> </w:t>
      </w:r>
      <w:r>
        <w:t xml:space="preserve"> </w:t>
      </w:r>
      <w:r>
        <w:t xml:space="preserve"> </w:t>
      </w:r>
      <w:r>
        <w:t xml:space="preserve"> </w:t>
      </w:r>
      <w:r>
        <w:t xml:space="preserve">$$</w:t>
      </w:r>
    </w:p>
    <w:p>
      <w:pPr>
        <w:pStyle w:val="BlockText"/>
      </w:pPr>
      <w:r>
        <w:rPr>
          <w:b/>
          <w:bCs/>
        </w:rPr>
        <w:t xml:space="preserve">Propriedades de estática comparativa:</w:t>
      </w:r>
    </w:p>
    <w:p>
      <w:pPr>
        <w:pStyle w:val="Compact"/>
        <w:numPr>
          <w:ilvl w:val="0"/>
          <w:numId w:val="1878"/>
        </w:numPr>
      </w:pPr>
      <w:r>
        <w:t xml:space="preserve">Quando</w:t>
      </w:r>
      <w:r>
        <w:t xml:space="preserve"> </w:t>
      </w:r>
      <m:oMath>
        <m:r>
          <m:t>n</m:t>
        </m:r>
        <m:r>
          <m:rPr>
            <m:sty m:val="p"/>
          </m:rPr>
          <m:t>=</m:t>
        </m:r>
        <m:r>
          <m:t>1</m:t>
        </m:r>
      </m:oMath>
      <w:r>
        <w:t xml:space="preserve">:</w:t>
      </w:r>
      <w:r>
        <w:t xml:space="preserve"> </w:t>
      </w:r>
      <m:oMath>
        <m:sSup>
          <m:e>
            <m:r>
              <m:t>q</m:t>
            </m:r>
          </m:e>
          <m:sup>
            <m:r>
              <m:rPr>
                <m:sty m:val="p"/>
              </m:rPr>
              <m:t>*</m:t>
            </m:r>
          </m:sup>
        </m:sSup>
        <m:r>
          <m:rPr>
            <m:sty m:val="p"/>
          </m:rPr>
          <m:t>=</m:t>
        </m:r>
        <m:f>
          <m:fPr>
            <m:type m:val="bar"/>
          </m:fPr>
          <m:num>
            <m:r>
              <m:t>a</m:t>
            </m:r>
            <m:r>
              <m:rPr>
                <m:sty m:val="p"/>
              </m:rPr>
              <m:t>−</m:t>
            </m:r>
            <m:r>
              <m:t>c</m:t>
            </m:r>
          </m:num>
          <m:den>
            <m:r>
              <m:t>2</m:t>
            </m:r>
            <m:r>
              <m:t>b</m:t>
            </m:r>
          </m:den>
        </m:f>
      </m:oMath>
      <w:r>
        <w:t xml:space="preserve">,</w:t>
      </w:r>
      <w:r>
        <w:t xml:space="preserve"> </w:t>
      </w:r>
      <m:oMath>
        <m:sSup>
          <m:e>
            <m:r>
              <m:t>p</m:t>
            </m:r>
          </m:e>
          <m:sup>
            <m:r>
              <m:rPr>
                <m:sty m:val="p"/>
              </m:rPr>
              <m:t>*</m:t>
            </m:r>
          </m:sup>
        </m:sSup>
        <m:r>
          <m:rPr>
            <m:sty m:val="p"/>
          </m:rPr>
          <m:t>=</m:t>
        </m:r>
        <m:f>
          <m:fPr>
            <m:type m:val="bar"/>
          </m:fPr>
          <m:num>
            <m:r>
              <m:t>a</m:t>
            </m:r>
            <m:r>
              <m:rPr>
                <m:sty m:val="p"/>
              </m:rPr>
              <m:t>+</m:t>
            </m:r>
            <m:r>
              <m:t>c</m:t>
            </m:r>
          </m:num>
          <m:den>
            <m:r>
              <m:t>2</m:t>
            </m:r>
          </m:den>
        </m:f>
      </m:oMath>
      <w:r>
        <w:t xml:space="preserve"> </w:t>
      </w:r>
      <w:r>
        <w:t xml:space="preserve">— resultado de monopólio.</w:t>
      </w:r>
    </w:p>
    <w:p>
      <w:pPr>
        <w:pStyle w:val="Compact"/>
        <w:numPr>
          <w:ilvl w:val="0"/>
          <w:numId w:val="1878"/>
        </w:numPr>
      </w:pPr>
      <w:r>
        <w:t xml:space="preserve">Quando</w:t>
      </w:r>
      <w:r>
        <w:t xml:space="preserve"> </w:t>
      </w:r>
      <m:oMath>
        <m:r>
          <m:t>n</m:t>
        </m:r>
        <m:r>
          <m:rPr>
            <m:sty m:val="p"/>
          </m:rPr>
          <m:t>=</m:t>
        </m:r>
        <m:r>
          <m:t>2</m:t>
        </m:r>
      </m:oMath>
      <w:r>
        <w:t xml:space="preserve">:</w:t>
      </w:r>
      <w:r>
        <w:t xml:space="preserve"> </w:t>
      </w:r>
      <m:oMath>
        <m:sSup>
          <m:e>
            <m:r>
              <m:t>q</m:t>
            </m:r>
          </m:e>
          <m:sup>
            <m:r>
              <m:rPr>
                <m:sty m:val="p"/>
              </m:rPr>
              <m:t>*</m:t>
            </m:r>
          </m:sup>
        </m:sSup>
        <m:r>
          <m:rPr>
            <m:sty m:val="p"/>
          </m:rPr>
          <m:t>=</m:t>
        </m:r>
        <m:f>
          <m:fPr>
            <m:type m:val="bar"/>
          </m:fPr>
          <m:num>
            <m:r>
              <m:t>a</m:t>
            </m:r>
            <m:r>
              <m:rPr>
                <m:sty m:val="p"/>
              </m:rPr>
              <m:t>−</m:t>
            </m:r>
            <m:r>
              <m:t>c</m:t>
            </m:r>
          </m:num>
          <m:den>
            <m:r>
              <m:t>3</m:t>
            </m:r>
            <m:r>
              <m:t>b</m:t>
            </m:r>
          </m:den>
        </m:f>
      </m:oMath>
      <w:r>
        <w:t xml:space="preserve">,</w:t>
      </w:r>
      <w:r>
        <w:t xml:space="preserve"> </w:t>
      </w:r>
      <m:oMath>
        <m:sSup>
          <m:e>
            <m:r>
              <m:t>p</m:t>
            </m:r>
          </m:e>
          <m:sup>
            <m:r>
              <m:rPr>
                <m:sty m:val="p"/>
              </m:rPr>
              <m:t>*</m:t>
            </m:r>
          </m:sup>
        </m:sSup>
        <m:r>
          <m:rPr>
            <m:sty m:val="p"/>
          </m:rPr>
          <m:t>=</m:t>
        </m:r>
        <m:f>
          <m:fPr>
            <m:type m:val="bar"/>
          </m:fPr>
          <m:num>
            <m:r>
              <m:t>a</m:t>
            </m:r>
            <m:r>
              <m:rPr>
                <m:sty m:val="p"/>
              </m:rPr>
              <m:t>+</m:t>
            </m:r>
            <m:r>
              <m:t>2</m:t>
            </m:r>
            <m:r>
              <m:t>c</m:t>
            </m:r>
          </m:num>
          <m:den>
            <m:r>
              <m:t>3</m:t>
            </m:r>
          </m:den>
        </m:f>
      </m:oMath>
      <w:r>
        <w:t xml:space="preserve"> </w:t>
      </w:r>
      <w:r>
        <w:t xml:space="preserve">— duopólio de Cournot.</w:t>
      </w:r>
    </w:p>
    <w:p>
      <w:pPr>
        <w:pStyle w:val="Compact"/>
        <w:numPr>
          <w:ilvl w:val="0"/>
          <w:numId w:val="1878"/>
        </w:numPr>
      </w:pPr>
      <w:r>
        <w:t xml:space="preserve">Quando</w:t>
      </w:r>
      <w:r>
        <w:t xml:space="preserve"> </w:t>
      </w:r>
      <m:oMath>
        <m:r>
          <m:t>n</m:t>
        </m:r>
        <m:r>
          <m:rPr>
            <m:sty m:val="p"/>
          </m:rPr>
          <m:t>→</m:t>
        </m:r>
        <m:r>
          <m:rPr>
            <m:sty m:val="p"/>
          </m:rPr>
          <m:t>∞</m:t>
        </m:r>
      </m:oMath>
      <w:r>
        <w:t xml:space="preserve">:</w:t>
      </w:r>
      <w:r>
        <w:t xml:space="preserve"> </w:t>
      </w:r>
      <m:oMath>
        <m:sSup>
          <m:e>
            <m:r>
              <m:t>Q</m:t>
            </m:r>
          </m:e>
          <m:sup>
            <m:r>
              <m:rPr>
                <m:sty m:val="p"/>
              </m:rPr>
              <m:t>*</m:t>
            </m:r>
          </m:sup>
        </m:sSup>
        <m:r>
          <m:rPr>
            <m:sty m:val="p"/>
          </m:rPr>
          <m:t>→</m:t>
        </m:r>
        <m:f>
          <m:fPr>
            <m:type m:val="bar"/>
          </m:fPr>
          <m:num>
            <m:r>
              <m:t>a</m:t>
            </m:r>
            <m:r>
              <m:rPr>
                <m:sty m:val="p"/>
              </m:rPr>
              <m:t>−</m:t>
            </m:r>
            <m:r>
              <m:t>c</m:t>
            </m:r>
          </m:num>
          <m:den>
            <m:r>
              <m:t>b</m:t>
            </m:r>
          </m:den>
        </m:f>
      </m:oMath>
      <w:r>
        <w:t xml:space="preserve">,</w:t>
      </w:r>
      <w:r>
        <w:t xml:space="preserve"> </w:t>
      </w:r>
      <m:oMath>
        <m:sSup>
          <m:e>
            <m:r>
              <m:t>p</m:t>
            </m:r>
          </m:e>
          <m:sup>
            <m:r>
              <m:rPr>
                <m:sty m:val="p"/>
              </m:rPr>
              <m:t>*</m:t>
            </m:r>
          </m:sup>
        </m:sSup>
        <m:r>
          <m:rPr>
            <m:sty m:val="p"/>
          </m:rPr>
          <m:t>→</m:t>
        </m:r>
        <m:r>
          <m:t>c</m:t>
        </m:r>
      </m:oMath>
      <w:r>
        <w:t xml:space="preserve"> </w:t>
      </w:r>
      <w:r>
        <w:t xml:space="preserve">— resultado competitivo.</w:t>
      </w:r>
    </w:p>
    <w:p>
      <w:pPr>
        <w:pStyle w:val="BlockText"/>
      </w:pPr>
      <w:r>
        <w:t xml:space="preserve">Portanto, o equilíbrio de Cournot converge para o resultado de concorrência perfeita quando o número de firmas cresce sem limite. O modelo de Cournot é, assim, uma interpolação contínua entre monopólio e concorrência perfeita, parametrizada pelo número de firmas.</w:t>
      </w:r>
      <w:r>
        <w:t xml:space="preserve"> </w:t>
      </w:r>
      <m:oMath>
        <m:r>
          <m:rPr>
            <m:sty m:val="p"/>
          </m:rPr>
          <m:t>◼</m:t>
        </m:r>
      </m:oMath>
    </w:p>
    <w:p>
      <w:pPr>
        <w:pStyle w:val="FirstParagraph"/>
      </w:pPr>
      <w:r>
        <w:t xml:space="preserve">[FIGURA INTERATIVA: /micro-book/graficos/cap16/webr-cournot-n-firmas.html — versao interativa disponivel online]</w:t>
      </w:r>
    </w:p>
    <w:p>
      <w:pPr>
        <w:pStyle w:val="BodyText"/>
      </w:pPr>
      <w:r>
        <w:rPr>
          <w:b/>
          <w:bCs/>
        </w:rPr>
        <w:t xml:space="preserve">WebR 16a.1 — Cournot com n firmas: convergência para concorrência perfeita.</w:t>
      </w:r>
      <w:r>
        <w:t xml:space="preserve"> </w:t>
      </w:r>
      <w:r>
        <w:t xml:space="preserve">Altere os parâmetros de demanda e custo e observe como preço, quantidade, lucro e HHI convergem para o resultado competitivo à medida que</w:t>
      </w:r>
      <w:r>
        <w:t xml:space="preserve"> </w:t>
      </w:r>
      <m:oMath>
        <m:r>
          <m:t>n</m:t>
        </m:r>
      </m:oMath>
      <w:r>
        <w:t xml:space="preserve"> </w:t>
      </w:r>
      <w:r>
        <w:t xml:space="preserve">cresce.</w:t>
      </w:r>
    </w:p>
    <w:bookmarkEnd w:id="989"/>
    <w:bookmarkEnd w:id="990"/>
    <w:bookmarkStart w:id="997" w:name="a.516a.6-capacidade-e-diferenciação"/>
    <w:p>
      <w:pPr>
        <w:pStyle w:val="Heading2"/>
      </w:pPr>
      <w:r>
        <w:t xml:space="preserve">16a.5–16a.6 Capacidade e Diferenciação</w:t>
      </w:r>
    </w:p>
    <w:bookmarkStart w:id="993" w:name="Xc1bbd9264f633c896a9e7a848463617e8f99ceb"/>
    <w:p>
      <w:pPr>
        <w:pStyle w:val="Heading3"/>
      </w:pPr>
      <w:r>
        <w:t xml:space="preserve">16a.5 Não Dá para Atender Todo Mundo: Restrições de Capacidade</w:t>
      </w:r>
    </w:p>
    <w:p>
      <w:pPr>
        <w:pStyle w:val="FirstParagraph"/>
      </w:pPr>
      <w:r>
        <w:t xml:space="preserve">O paradoxo de Bertrand repousa sobre uma hipótese implícita que merece escrutínio: a de que a firma que cobra o menor preço pode atender toda a demanda do mercado. Na prática, firmas operam com capacidade limitada — não podem duplicar sua produção instantaneamente para capturar todos os clientes da rival. Que consequências essa restrição tem para o equilíbrio? A resposta, formalizada por Edgeworth e depois por Kreps e Scheinkman, estabelece uma ponte surpreendente entre os modelos de Bertrand e Cournot.</w:t>
      </w:r>
    </w:p>
    <w:bookmarkStart w:id="991" w:name="o-argumento-de-edgeworth"/>
    <w:p>
      <w:pPr>
        <w:pStyle w:val="Heading4"/>
      </w:pPr>
      <w:r>
        <w:t xml:space="preserve">O argumento de Edgeworth</w:t>
      </w:r>
    </w:p>
    <w:p>
      <w:pPr>
        <w:pStyle w:val="FirstParagraph"/>
      </w:pPr>
      <w:r>
        <w:t xml:space="preserve">Edgeworth (1897) observou que, se as firmas têm</w:t>
      </w:r>
      <w:r>
        <w:t xml:space="preserve"> </w:t>
      </w:r>
      <w:r>
        <w:rPr>
          <w:b/>
          <w:bCs/>
        </w:rPr>
        <w:t xml:space="preserve">capacidade limitada</w:t>
      </w:r>
      <w:r>
        <w:t xml:space="preserve">, o equilíbrio de Bertrand em preços iguais ao custo marginal pode deixar de existir. Quando a firma de preço mais baixo não consegue atender toda a demanda, a firma de preço mais alto retém clientes residuais e pode cobrar acima do custo.</w:t>
      </w:r>
    </w:p>
    <w:bookmarkEnd w:id="991"/>
    <w:bookmarkStart w:id="992" w:name="o-resultado-de-kreps-scheinkman"/>
    <w:p>
      <w:pPr>
        <w:pStyle w:val="Heading4"/>
      </w:pPr>
      <w:r>
        <w:t xml:space="preserve">O resultado de Kreps-Scheinkman</w:t>
      </w:r>
    </w:p>
    <w:p>
      <w:pPr>
        <w:pStyle w:val="FirstParagraph"/>
      </w:pPr>
      <w:r>
        <w:t xml:space="preserve">Kreps e Scheinkman (1983) demonstraram um resultado notável:</w:t>
      </w:r>
    </w:p>
    <w:p>
      <w:pPr>
        <w:pStyle w:val="BlockText"/>
      </w:pPr>
      <w:r>
        <w:rPr>
          <w:b/>
          <w:bCs/>
        </w:rPr>
        <w:t xml:space="preserve">[TEOREMA] Teorema de Kreps-Scheinkman</w:t>
      </w:r>
    </w:p>
    <w:p>
      <w:pPr>
        <w:pStyle w:val="BlockText"/>
      </w:pPr>
      <w:r>
        <w:t xml:space="preserve">Em um jogo em dois estágios no qual as firmas primeiro escolhem</w:t>
      </w:r>
      <w:r>
        <w:t xml:space="preserve"> </w:t>
      </w:r>
      <w:r>
        <w:rPr>
          <w:b/>
          <w:bCs/>
        </w:rPr>
        <w:t xml:space="preserve">capacidades</w:t>
      </w:r>
      <w:r>
        <w:t xml:space="preserve"> </w:t>
      </w:r>
      <w:r>
        <w:t xml:space="preserve">(estágio 1) e depois competem em</w:t>
      </w:r>
      <w:r>
        <w:t xml:space="preserve"> </w:t>
      </w:r>
      <w:r>
        <w:rPr>
          <w:b/>
          <w:bCs/>
        </w:rPr>
        <w:t xml:space="preserve">preços</w:t>
      </w:r>
      <w:r>
        <w:t xml:space="preserve"> </w:t>
      </w:r>
      <w:r>
        <w:t xml:space="preserve">(estágio 2), o resultado de equilíbrio coincide com o</w:t>
      </w:r>
      <w:r>
        <w:t xml:space="preserve"> </w:t>
      </w:r>
      <w:r>
        <w:rPr>
          <w:b/>
          <w:bCs/>
        </w:rPr>
        <w:t xml:space="preserve">equilíbrio de Cournot</w:t>
      </w:r>
      <w:r>
        <w:t xml:space="preserve">, desde que a regra de racionamento eficiente seja utilizada.</w:t>
      </w:r>
    </w:p>
    <w:p>
      <w:pPr>
        <w:pStyle w:val="FirstParagraph"/>
      </w:pPr>
      <w:r>
        <w:t xml:space="preserve">Esse resultado fornece uma fundamentação microeconômica para o modelo de Cournot: a concorrência em quantidades pode ser interpretada como uma concorrência em preços precedida por decisões de capacidade. As quantidades de Cournot representam as capacidades que as firmas escolheriam instalar antes de competir em preços.</w:t>
      </w:r>
    </w:p>
    <w:p>
      <w:r>
        <w:pict>
          <v:rect style="width:0;height:1.5pt" o:hralign="center" o:hrstd="t" o:hr="t"/>
        </w:pict>
      </w:r>
    </w:p>
    <w:bookmarkEnd w:id="992"/>
    <w:bookmarkEnd w:id="993"/>
    <w:bookmarkStart w:id="996" w:name="Xca1bbd2c4cbebb8f4d58a50a7bf5f0f89b2979b"/>
    <w:p>
      <w:pPr>
        <w:pStyle w:val="Heading3"/>
      </w:pPr>
      <w:r>
        <w:t xml:space="preserve">16a.6 Nem Todo Café É Igual: Diferenciação de Produto</w:t>
      </w:r>
    </w:p>
    <w:p>
      <w:pPr>
        <w:pStyle w:val="FirstParagraph"/>
      </w:pPr>
      <w:r>
        <w:t xml:space="preserve">Se o paradoxo de Bertrand fosse a última palavra, toda firma lucrativa seria um mistério. A saída mais poderosa do paradoxo está em um fato óbvio para qualquer consumidor: produtos raramente são idênticos. Você não é indiferente entre um café no Starbucks e um café no boteco da esquina, mesmo que ambos contenham cafeína. Essa heterogeneidade de preferências — sabor, localização, design, funcionalidades — confere às firmas algum grau de poder de mercado mesmo na presença de concorrentes. A diferenciação de produto — horizontal (quando os consumidores discordam sobre qual produto é melhor) ou vertical (quando todos concordam, mas diferem na disposição a pagar pela qualidade) — é talvez a resolução empiricamente mais relevante do paradoxo.</w:t>
      </w:r>
    </w:p>
    <w:bookmarkStart w:id="994" w:name="X9d666ba6454f833f4a9c3ad48d0c562865b284c"/>
    <w:p>
      <w:pPr>
        <w:pStyle w:val="Heading4"/>
      </w:pPr>
      <w:r>
        <w:t xml:space="preserve">Modelo de Hotelling (diferenciação horizontal)</w:t>
      </w:r>
    </w:p>
    <w:p>
      <w:pPr>
        <w:pStyle w:val="FirstParagraph"/>
      </w:pPr>
      <w:r>
        <w:t xml:space="preserve">Considere um segmento de reta</w:t>
      </w:r>
      <w:r>
        <w:t xml:space="preserve"> </w:t>
      </w:r>
      <m:oMath>
        <m:r>
          <m:rPr>
            <m:sty m:val="p"/>
          </m:rPr>
          <m:t>[</m:t>
        </m:r>
        <m:r>
          <m:t>0</m:t>
        </m:r>
        <m:r>
          <m:rPr>
            <m:sty m:val="p"/>
          </m:rPr>
          <m:t>,</m:t>
        </m:r>
        <m:r>
          <m:t>1</m:t>
        </m:r>
        <m:r>
          <m:rPr>
            <m:sty m:val="p"/>
          </m:rPr>
          <m:t>]</m:t>
        </m:r>
      </m:oMath>
      <w:r>
        <w:t xml:space="preserve"> </w:t>
      </w:r>
      <w:r>
        <w:t xml:space="preserve">representando o espaço de características do produto. Consumidores estão uniformemente distribuídos ao longo do segmento. A firma 1 localiza-se em</w:t>
      </w:r>
      <w:r>
        <w:t xml:space="preserve"> </w:t>
      </w:r>
      <m:oMath>
        <m:sSub>
          <m:e>
            <m:r>
              <m:t>x</m:t>
            </m:r>
          </m:e>
          <m:sub>
            <m:r>
              <m:t>1</m:t>
            </m:r>
          </m:sub>
        </m:sSub>
        <m:r>
          <m:rPr>
            <m:sty m:val="p"/>
          </m:rPr>
          <m:t>=</m:t>
        </m:r>
        <m:r>
          <m:t>0</m:t>
        </m:r>
      </m:oMath>
      <w:r>
        <w:t xml:space="preserve"> </w:t>
      </w:r>
      <w:r>
        <w:t xml:space="preserve">e a firma 2 em</w:t>
      </w:r>
      <w:r>
        <w:t xml:space="preserve"> </w:t>
      </w:r>
      <m:oMath>
        <m:sSub>
          <m:e>
            <m:r>
              <m:t>x</m:t>
            </m:r>
          </m:e>
          <m:sub>
            <m:r>
              <m:t>2</m:t>
            </m:r>
          </m:sub>
        </m:sSub>
        <m:r>
          <m:rPr>
            <m:sty m:val="p"/>
          </m:rPr>
          <m:t>=</m:t>
        </m:r>
        <m:r>
          <m:t>1</m:t>
        </m:r>
      </m:oMath>
      <w:r>
        <w:t xml:space="preserve">. Cada consumidor, localizado em</w:t>
      </w:r>
      <w:r>
        <w:t xml:space="preserve"> </w:t>
      </w:r>
      <m:oMath>
        <m:r>
          <m:t>x</m:t>
        </m:r>
      </m:oMath>
      <w:r>
        <w:t xml:space="preserve">, incorre em custo de transporte</w:t>
      </w:r>
      <w:r>
        <w:t xml:space="preserve"> </w:t>
      </w:r>
      <m:oMath>
        <m:r>
          <m:t>t</m:t>
        </m:r>
        <m:r>
          <m:rPr>
            <m:sty m:val="p"/>
          </m:rPr>
          <m:t>⋅</m:t>
        </m:r>
        <m:r>
          <m:rPr>
            <m:sty m:val="p"/>
          </m:rPr>
          <m:t>|</m:t>
        </m:r>
        <m:r>
          <m:t>x</m:t>
        </m:r>
        <m:r>
          <m:rPr>
            <m:sty m:val="p"/>
          </m:rPr>
          <m:t>−</m:t>
        </m:r>
        <m:sSub>
          <m:e>
            <m:r>
              <m:t>x</m:t>
            </m:r>
          </m:e>
          <m:sub>
            <m:r>
              <m:t>i</m:t>
            </m:r>
          </m:sub>
        </m:sSub>
        <m:r>
          <m:rPr>
            <m:sty m:val="p"/>
          </m:rPr>
          <m:t>|</m:t>
        </m:r>
      </m:oMath>
      <w:r>
        <w:t xml:space="preserve"> </w:t>
      </w:r>
      <w:r>
        <w:t xml:space="preserve">ao comprar da firma</w:t>
      </w:r>
      <w:r>
        <w:t xml:space="preserve"> </w:t>
      </w:r>
      <m:oMath>
        <m:r>
          <m:t>i</m:t>
        </m:r>
      </m:oMath>
      <w:r>
        <w:t xml:space="preserve">.</w:t>
      </w:r>
    </w:p>
    <w:p>
      <w:pPr>
        <w:pStyle w:val="BodyText"/>
      </w:pPr>
      <w:r>
        <w:t xml:space="preserve">O consumidor indiferente localiza-se em:</w:t>
      </w:r>
    </w:p>
    <w:p>
      <w:pPr>
        <w:pStyle w:val="BodyText"/>
      </w:pPr>
      <m:oMathPara>
        <m:oMathParaPr>
          <m:jc m:val="center"/>
        </m:oMathParaPr>
        <m:oMath>
          <m:acc>
            <m:accPr>
              <m:chr m:val="̂"/>
            </m:accPr>
            <m:e>
              <m:r>
                <m:t>x</m:t>
              </m:r>
            </m:e>
          </m:acc>
          <m:r>
            <m:rPr>
              <m:sty m:val="p"/>
            </m:rPr>
            <m:t>=</m:t>
          </m:r>
          <m:f>
            <m:fPr>
              <m:type m:val="bar"/>
            </m:fPr>
            <m:num>
              <m:r>
                <m:t>1</m:t>
              </m:r>
            </m:num>
            <m:den>
              <m:r>
                <m:t>2</m:t>
              </m:r>
            </m:den>
          </m:f>
          <m:r>
            <m:rPr>
              <m:sty m:val="p"/>
            </m:rPr>
            <m:t>+</m:t>
          </m:r>
          <m:f>
            <m:fPr>
              <m:type m:val="bar"/>
            </m:fPr>
            <m:num>
              <m:sSub>
                <m:e>
                  <m:r>
                    <m:t>p</m:t>
                  </m:r>
                </m:e>
                <m:sub>
                  <m:r>
                    <m:t>2</m:t>
                  </m:r>
                </m:sub>
              </m:sSub>
              <m:r>
                <m:rPr>
                  <m:sty m:val="p"/>
                </m:rPr>
                <m:t>−</m:t>
              </m:r>
              <m:sSub>
                <m:e>
                  <m:r>
                    <m:t>p</m:t>
                  </m:r>
                </m:e>
                <m:sub>
                  <m:r>
                    <m:t>1</m:t>
                  </m:r>
                </m:sub>
              </m:sSub>
            </m:num>
            <m:den>
              <m:r>
                <m:t>2</m:t>
              </m:r>
              <m:r>
                <m:t>t</m:t>
              </m:r>
            </m:den>
          </m:f>
        </m:oMath>
      </m:oMathPara>
    </w:p>
    <w:p>
      <w:pPr>
        <w:pStyle w:val="FirstParagraph"/>
      </w:pPr>
      <w:r>
        <w:t xml:space="preserve">As demandas são</w:t>
      </w:r>
      <w:r>
        <w:t xml:space="preserve"> </w:t>
      </w:r>
      <m:oMath>
        <m:sSub>
          <m:e>
            <m:r>
              <m:t>q</m:t>
            </m:r>
          </m:e>
          <m:sub>
            <m:r>
              <m:t>1</m:t>
            </m:r>
          </m:sub>
        </m:sSub>
        <m:r>
          <m:rPr>
            <m:sty m:val="p"/>
          </m:rPr>
          <m:t>=</m:t>
        </m:r>
        <m:acc>
          <m:accPr>
            <m:chr m:val="̂"/>
          </m:accPr>
          <m:e>
            <m:r>
              <m:t>x</m:t>
            </m:r>
          </m:e>
        </m:acc>
      </m:oMath>
      <w:r>
        <w:t xml:space="preserve"> </w:t>
      </w:r>
      <w:r>
        <w:t xml:space="preserve">e</w:t>
      </w:r>
      <w:r>
        <w:t xml:space="preserve"> </w:t>
      </w:r>
      <m:oMath>
        <m:sSub>
          <m:e>
            <m:r>
              <m:t>q</m:t>
            </m:r>
          </m:e>
          <m:sub>
            <m:r>
              <m:t>2</m:t>
            </m:r>
          </m:sub>
        </m:sSub>
        <m:r>
          <m:rPr>
            <m:sty m:val="p"/>
          </m:rPr>
          <m:t>=</m:t>
        </m:r>
        <m:r>
          <m:t>1</m:t>
        </m:r>
        <m:r>
          <m:rPr>
            <m:sty m:val="p"/>
          </m:rPr>
          <m:t>−</m:t>
        </m:r>
        <m:acc>
          <m:accPr>
            <m:chr m:val="̂"/>
          </m:accPr>
          <m:e>
            <m:r>
              <m:t>x</m:t>
            </m:r>
          </m:e>
        </m:acc>
      </m:oMath>
      <w:r>
        <w:t xml:space="preserve">. As funções de lucro (com custo marginal zero) são:</w:t>
      </w:r>
    </w:p>
    <w:p>
      <w:pPr>
        <w:pStyle w:val="BodyText"/>
      </w:pPr>
      <m:oMathPara>
        <m:oMathParaPr>
          <m:jc m:val="center"/>
        </m:oMathParaPr>
        <m:oMath>
          <m:sSub>
            <m:e>
              <m:r>
                <m:t>π</m:t>
              </m:r>
            </m:e>
            <m:sub>
              <m:r>
                <m:t>1</m:t>
              </m:r>
            </m:sub>
          </m:sSub>
          <m:r>
            <m:rPr>
              <m:sty m:val="p"/>
            </m:rPr>
            <m:t>=</m:t>
          </m:r>
          <m:sSub>
            <m:e>
              <m:r>
                <m:t>p</m:t>
              </m:r>
            </m:e>
            <m:sub>
              <m:r>
                <m:t>1</m:t>
              </m:r>
            </m:sub>
          </m:sSub>
          <m:r>
            <m:rPr>
              <m:sty m:val="p"/>
            </m:rPr>
            <m:t>⋅</m:t>
          </m:r>
          <m:acc>
            <m:accPr>
              <m:chr m:val="̂"/>
            </m:accPr>
            <m:e>
              <m:r>
                <m:t>x</m:t>
              </m:r>
            </m:e>
          </m:acc>
          <m:r>
            <m:rPr>
              <m:sty m:val="p"/>
            </m:rPr>
            <m:t>=</m:t>
          </m:r>
          <m:sSub>
            <m:e>
              <m:r>
                <m:t>p</m:t>
              </m:r>
            </m:e>
            <m:sub>
              <m:r>
                <m:t>1</m:t>
              </m:r>
            </m:sub>
          </m:sSub>
          <m:d>
            <m:dPr>
              <m:begChr m:val="("/>
              <m:sepChr m:val=""/>
              <m:endChr m:val=")"/>
              <m:grow/>
            </m:dPr>
            <m:e>
              <m:f>
                <m:fPr>
                  <m:type m:val="bar"/>
                </m:fPr>
                <m:num>
                  <m:r>
                    <m:t>1</m:t>
                  </m:r>
                </m:num>
                <m:den>
                  <m:r>
                    <m:t>2</m:t>
                  </m:r>
                </m:den>
              </m:f>
              <m:r>
                <m:rPr>
                  <m:sty m:val="p"/>
                </m:rPr>
                <m:t>+</m:t>
              </m:r>
              <m:f>
                <m:fPr>
                  <m:type m:val="bar"/>
                </m:fPr>
                <m:num>
                  <m:sSub>
                    <m:e>
                      <m:r>
                        <m:t>p</m:t>
                      </m:r>
                    </m:e>
                    <m:sub>
                      <m:r>
                        <m:t>2</m:t>
                      </m:r>
                    </m:sub>
                  </m:sSub>
                  <m:r>
                    <m:rPr>
                      <m:sty m:val="p"/>
                    </m:rPr>
                    <m:t>−</m:t>
                  </m:r>
                  <m:sSub>
                    <m:e>
                      <m:r>
                        <m:t>p</m:t>
                      </m:r>
                    </m:e>
                    <m:sub>
                      <m:r>
                        <m:t>1</m:t>
                      </m:r>
                    </m:sub>
                  </m:sSub>
                </m:num>
                <m:den>
                  <m:r>
                    <m:t>2</m:t>
                  </m:r>
                  <m:r>
                    <m:t>t</m:t>
                  </m:r>
                </m:den>
              </m:f>
            </m:e>
          </m:d>
        </m:oMath>
      </m:oMathPara>
    </w:p>
    <w:p>
      <w:pPr>
        <w:pStyle w:val="FirstParagraph"/>
      </w:pPr>
      <w:r>
        <w:t xml:space="preserve">No equilíbrio simétrico:</w:t>
      </w:r>
      <w:r>
        <w:t xml:space="preserve"> </w:t>
      </w:r>
      <m:oMath>
        <m:sSubSup>
          <m:e>
            <m:r>
              <m:t>p</m:t>
            </m:r>
          </m:e>
          <m:sub>
            <m:r>
              <m:t>1</m:t>
            </m:r>
          </m:sub>
          <m:sup>
            <m:r>
              <m:rPr>
                <m:sty m:val="p"/>
              </m:rPr>
              <m:t>*</m:t>
            </m:r>
          </m:sup>
        </m:sSubSup>
        <m:r>
          <m:rPr>
            <m:sty m:val="p"/>
          </m:rPr>
          <m:t>=</m:t>
        </m:r>
        <m:sSubSup>
          <m:e>
            <m:r>
              <m:t>p</m:t>
            </m:r>
          </m:e>
          <m:sub>
            <m:r>
              <m:t>2</m:t>
            </m:r>
          </m:sub>
          <m:sup>
            <m:r>
              <m:rPr>
                <m:sty m:val="p"/>
              </m:rPr>
              <m:t>*</m:t>
            </m:r>
          </m:sup>
        </m:sSubSup>
        <m:r>
          <m:rPr>
            <m:sty m:val="p"/>
          </m:rPr>
          <m:t>=</m:t>
        </m:r>
        <m:r>
          <m:t>t</m:t>
        </m:r>
      </m:oMath>
      <w:r>
        <w:t xml:space="preserve">,</w:t>
      </w:r>
      <w:r>
        <w:t xml:space="preserve"> </w:t>
      </w:r>
      <m:oMath>
        <m:sSubSup>
          <m:e>
            <m:r>
              <m:t>π</m:t>
            </m:r>
          </m:e>
          <m:sub>
            <m:r>
              <m:t>1</m:t>
            </m:r>
          </m:sub>
          <m:sup>
            <m:r>
              <m:rPr>
                <m:sty m:val="p"/>
              </m:rPr>
              <m:t>*</m:t>
            </m:r>
          </m:sup>
        </m:sSubSup>
        <m:r>
          <m:rPr>
            <m:sty m:val="p"/>
          </m:rPr>
          <m:t>=</m:t>
        </m:r>
        <m:sSubSup>
          <m:e>
            <m:r>
              <m:t>π</m:t>
            </m:r>
          </m:e>
          <m:sub>
            <m:r>
              <m:t>2</m:t>
            </m:r>
          </m:sub>
          <m:sup>
            <m:r>
              <m:rPr>
                <m:sty m:val="p"/>
              </m:rPr>
              <m:t>*</m:t>
            </m:r>
          </m:sup>
        </m:sSubSup>
        <m:r>
          <m:rPr>
            <m:sty m:val="p"/>
          </m:rPr>
          <m:t>=</m:t>
        </m:r>
        <m:f>
          <m:fPr>
            <m:type m:val="bar"/>
          </m:fPr>
          <m:num>
            <m:r>
              <m:t>t</m:t>
            </m:r>
          </m:num>
          <m:den>
            <m:r>
              <m:t>2</m:t>
            </m:r>
          </m:den>
        </m:f>
      </m:oMath>
      <w:r>
        <w:t xml:space="preserve">.</w:t>
      </w:r>
    </w:p>
    <w:p>
      <w:pPr>
        <w:pStyle w:val="BodyText"/>
      </w:pPr>
      <w:r>
        <w:t xml:space="preserve">Na equação Eq. (eq:16a.12), o parâmetro</w:t>
      </w:r>
      <w:r>
        <w:t xml:space="preserve"> </w:t>
      </w:r>
      <m:oMath>
        <m:r>
          <m:t>t</m:t>
        </m:r>
      </m:oMath>
      <w:r>
        <w:t xml:space="preserve"> </w:t>
      </w:r>
      <w:r>
        <w:t xml:space="preserve">mede o grau de diferenciação. Quando</w:t>
      </w:r>
      <w:r>
        <w:t xml:space="preserve"> </w:t>
      </w:r>
      <m:oMath>
        <m:r>
          <m:t>t</m:t>
        </m:r>
        <m:r>
          <m:rPr>
            <m:sty m:val="p"/>
          </m:rPr>
          <m:t>→</m:t>
        </m:r>
        <m:r>
          <m:t>0</m:t>
        </m:r>
      </m:oMath>
      <w:r>
        <w:t xml:space="preserve">, os produtos tornam-se homogêneos e os lucros convergem para zero (Bertrand). Quando</w:t>
      </w:r>
      <w:r>
        <w:t xml:space="preserve"> </w:t>
      </w:r>
      <m:oMath>
        <m:r>
          <m:t>t</m:t>
        </m:r>
      </m:oMath>
      <w:r>
        <w:t xml:space="preserve"> </w:t>
      </w:r>
      <w:r>
        <w:t xml:space="preserve">é grande, a diferenciação confere poder de mercado significativo.</w:t>
      </w:r>
    </w:p>
    <w:bookmarkEnd w:id="994"/>
    <w:bookmarkStart w:id="995" w:name="modelo-de-salop-cidade-circular"/>
    <w:p>
      <w:pPr>
        <w:pStyle w:val="Heading4"/>
      </w:pPr>
      <w:r>
        <w:t xml:space="preserve">Modelo de Salop (cidade circular)</w:t>
      </w:r>
    </w:p>
    <w:p>
      <w:pPr>
        <w:pStyle w:val="FirstParagraph"/>
      </w:pPr>
      <w:r>
        <w:t xml:space="preserve">O modelo de Salop estende Hotelling para</w:t>
      </w:r>
      <w:r>
        <w:t xml:space="preserve"> </w:t>
      </w:r>
      <m:oMath>
        <m:r>
          <m:t>n</m:t>
        </m:r>
      </m:oMath>
      <w:r>
        <w:t xml:space="preserve"> </w:t>
      </w:r>
      <w:r>
        <w:t xml:space="preserve">firmas dispostas simetricamente em um círculo de perímetro 1. No equilíbrio simétrico com entrada livre:</w:t>
      </w:r>
    </w:p>
    <w:p>
      <w:pPr>
        <w:pStyle w:val="BodyText"/>
      </w:pPr>
      <m:oMathPara>
        <m:oMathParaPr>
          <m:jc m:val="center"/>
        </m:oMathParaPr>
        <m:oMath>
          <m:sSup>
            <m:e>
              <m:r>
                <m:t>p</m:t>
              </m:r>
            </m:e>
            <m:sup>
              <m:r>
                <m:rPr>
                  <m:sty m:val="p"/>
                </m:rPr>
                <m:t>*</m:t>
              </m:r>
            </m:sup>
          </m:sSup>
          <m:r>
            <m:rPr>
              <m:sty m:val="p"/>
            </m:rPr>
            <m:t>=</m:t>
          </m:r>
          <m:r>
            <m:t>c</m:t>
          </m:r>
          <m:r>
            <m:rPr>
              <m:sty m:val="p"/>
            </m:rPr>
            <m:t>+</m:t>
          </m:r>
          <m:f>
            <m:fPr>
              <m:type m:val="bar"/>
            </m:fPr>
            <m:num>
              <m:r>
                <m:t>t</m:t>
              </m:r>
            </m:num>
            <m:den>
              <m:r>
                <m:t>n</m:t>
              </m:r>
            </m:den>
          </m:f>
          <m:r>
            <m:rPr>
              <m:sty m:val="p"/>
            </m:rPr>
            <m:t>,</m:t>
          </m:r>
          <m:r>
            <m:t> </m:t>
          </m:r>
          <m:sSup>
            <m:e>
              <m:r>
                <m:t>n</m:t>
              </m:r>
            </m:e>
            <m:sup>
              <m:r>
                <m:rPr>
                  <m:sty m:val="p"/>
                </m:rPr>
                <m:t>*</m:t>
              </m:r>
            </m:sup>
          </m:sSup>
          <m:r>
            <m:rPr>
              <m:sty m:val="p"/>
            </m:rPr>
            <m:t>=</m:t>
          </m:r>
          <m:rad>
            <m:radPr>
              <m:degHide m:val="on"/>
            </m:radPr>
            <m:deg/>
            <m:e>
              <m:f>
                <m:fPr>
                  <m:type m:val="bar"/>
                </m:fPr>
                <m:num>
                  <m:r>
                    <m:t>t</m:t>
                  </m:r>
                </m:num>
                <m:den>
                  <m:r>
                    <m:t>f</m:t>
                  </m:r>
                </m:den>
              </m:f>
            </m:e>
          </m:rad>
        </m:oMath>
      </m:oMathPara>
    </w:p>
    <w:p>
      <w:pPr>
        <w:pStyle w:val="FirstParagraph"/>
      </w:pPr>
      <w:r>
        <w:t xml:space="preserve">onde</w:t>
      </w:r>
      <w:r>
        <w:t xml:space="preserve"> </w:t>
      </w:r>
      <m:oMath>
        <m:r>
          <m:t>f</m:t>
        </m:r>
      </m:oMath>
      <w:r>
        <w:t xml:space="preserve"> </w:t>
      </w:r>
      <w:r>
        <w:t xml:space="preserve">é o custo fixo de entrada. O número de firmas em equilíbrio é crescente no custo de transporte (diferenciação) e decrescente no custo fixo.</w:t>
      </w:r>
    </w:p>
    <w:bookmarkEnd w:id="995"/>
    <w:bookmarkEnd w:id="996"/>
    <w:bookmarkEnd w:id="997"/>
    <w:bookmarkStart w:id="1004" w:name="exercícios-e-anpec-capítulo-16a"/>
    <w:p>
      <w:pPr>
        <w:pStyle w:val="Heading2"/>
      </w:pPr>
      <w:r>
        <w:t xml:space="preserve">Exercícios e ANPEC — Capítulo 16a</w:t>
      </w:r>
    </w:p>
    <w:bookmarkStart w:id="998" w:name="revisão-rápida-15"/>
    <w:p>
      <w:pPr>
        <w:pStyle w:val="Heading3"/>
      </w:pPr>
      <w:r>
        <w:t xml:space="preserve">Revisão Rápida</w:t>
      </w:r>
    </w:p>
    <w:p>
      <w:pPr>
        <w:pStyle w:val="FirstParagraph"/>
      </w:pPr>
      <w:r>
        <w:t xml:space="preserve">Teste seu entendimento dos conceitos centrais deste capítulo.</w:t>
      </w:r>
    </w:p>
    <w:p>
      <w:pPr>
        <w:pStyle w:val="BlockText"/>
      </w:pPr>
      <w:r>
        <w:rPr>
          <w:b/>
          <w:bCs/>
        </w:rPr>
        <w:t xml:space="preserve">[QUESTAO] 1. O que diferencia o oligopólio da concorrência perfeita e do monopólio é:</w:t>
      </w:r>
    </w:p>
    <w:p>
      <w:pPr>
        <w:pStyle w:val="Compact"/>
        <w:numPr>
          <w:ilvl w:val="0"/>
          <w:numId w:val="1879"/>
        </w:numPr>
      </w:pPr>
    </w:p>
    <w:p>
      <w:pPr>
        <w:pStyle w:val="Compact"/>
        <w:numPr>
          <w:ilvl w:val="1"/>
          <w:numId w:val="1880"/>
        </w:numPr>
      </w:pPr>
      <w:r>
        <w:t xml:space="preserve">O número de consumidores no mercado</w:t>
      </w:r>
    </w:p>
    <w:p>
      <w:pPr>
        <w:pStyle w:val="Compact"/>
        <w:numPr>
          <w:ilvl w:val="0"/>
          <w:numId w:val="1879"/>
        </w:numPr>
      </w:pPr>
    </w:p>
    <w:p>
      <w:pPr>
        <w:pStyle w:val="Compact"/>
        <w:numPr>
          <w:ilvl w:val="1"/>
          <w:numId w:val="1881"/>
        </w:numPr>
      </w:pPr>
      <w:r>
        <w:t xml:space="preserve">A interdependência estratégica — o lucro de cada firma depende das decisões das rivais</w:t>
      </w:r>
    </w:p>
    <w:p>
      <w:pPr>
        <w:pStyle w:val="Compact"/>
        <w:numPr>
          <w:ilvl w:val="0"/>
          <w:numId w:val="1879"/>
        </w:numPr>
      </w:pPr>
    </w:p>
    <w:p>
      <w:pPr>
        <w:pStyle w:val="Compact"/>
        <w:numPr>
          <w:ilvl w:val="1"/>
          <w:numId w:val="1882"/>
        </w:numPr>
      </w:pPr>
      <w:r>
        <w:t xml:space="preserve">A homogeneidade dos produtos</w:t>
      </w:r>
    </w:p>
    <w:p>
      <w:pPr>
        <w:pStyle w:val="Compact"/>
        <w:numPr>
          <w:ilvl w:val="0"/>
          <w:numId w:val="1879"/>
        </w:numPr>
      </w:pPr>
    </w:p>
    <w:p>
      <w:pPr>
        <w:pStyle w:val="Compact"/>
        <w:numPr>
          <w:ilvl w:val="1"/>
          <w:numId w:val="1883"/>
        </w:numPr>
      </w:pPr>
      <w:r>
        <w:t xml:space="preserve">A ausência de barreiras à entrada</w:t>
      </w:r>
    </w:p>
    <w:p>
      <w:pPr>
        <w:pStyle w:val="BlockText"/>
      </w:pPr>
      <w:r>
        <w:t xml:space="preserve">??? success</w:t>
      </w:r>
      <w:r>
        <w:t xml:space="preserve"> </w:t>
      </w:r>
      <w:r>
        <w:t xml:space="preserve">“Resposta”</w:t>
      </w:r>
      <w:r>
        <w:t xml:space="preserve"> </w:t>
      </w:r>
      <w:r>
        <w:rPr>
          <w:b/>
          <w:bCs/>
        </w:rPr>
        <w:t xml:space="preserve">(b)</w:t>
      </w:r>
      <w:r>
        <w:t xml:space="preserve"> </w:t>
      </w:r>
      <w:r>
        <w:t xml:space="preserve">A característica definidora do oligopólio é a interdependência estratégica: cada firma deve considerar as reações das rivais ao tomar decisões. Na concorrência perfeita, as firmas são tão pequenas que ignoram as demais; no monopólio, não há rival. A alternativa (c) não é necessária — pode haver oligopólio com diferenciação.</w:t>
      </w:r>
    </w:p>
    <w:p>
      <w:pPr>
        <w:pStyle w:val="BlockText"/>
      </w:pPr>
      <w:r>
        <w:rPr>
          <w:b/>
          <w:bCs/>
        </w:rPr>
        <w:t xml:space="preserve">[QUESTAO] 2. No modelo de Bertrand com produtos diferenciados, o equilíbrio de Nash resulta em preços que são:</w:t>
      </w:r>
    </w:p>
    <w:p>
      <w:pPr>
        <w:pStyle w:val="Compact"/>
        <w:numPr>
          <w:ilvl w:val="0"/>
          <w:numId w:val="1884"/>
        </w:numPr>
      </w:pPr>
    </w:p>
    <w:p>
      <w:pPr>
        <w:pStyle w:val="Compact"/>
        <w:numPr>
          <w:ilvl w:val="1"/>
          <w:numId w:val="1885"/>
        </w:numPr>
      </w:pPr>
      <w:r>
        <w:t xml:space="preserve">Iguais ao custo marginal, como no Bertrand homogêneo</w:t>
      </w:r>
    </w:p>
    <w:p>
      <w:pPr>
        <w:pStyle w:val="Compact"/>
        <w:numPr>
          <w:ilvl w:val="0"/>
          <w:numId w:val="1884"/>
        </w:numPr>
      </w:pPr>
    </w:p>
    <w:p>
      <w:pPr>
        <w:pStyle w:val="Compact"/>
        <w:numPr>
          <w:ilvl w:val="1"/>
          <w:numId w:val="1886"/>
        </w:numPr>
      </w:pPr>
      <w:r>
        <w:t xml:space="preserve">Acima do custo marginal, pois a diferenciação confere algum poder de mercado a cada firma</w:t>
      </w:r>
    </w:p>
    <w:p>
      <w:pPr>
        <w:pStyle w:val="Compact"/>
        <w:numPr>
          <w:ilvl w:val="0"/>
          <w:numId w:val="1884"/>
        </w:numPr>
      </w:pPr>
    </w:p>
    <w:p>
      <w:pPr>
        <w:pStyle w:val="Compact"/>
        <w:numPr>
          <w:ilvl w:val="1"/>
          <w:numId w:val="1887"/>
        </w:numPr>
      </w:pPr>
      <w:r>
        <w:t xml:space="preserve">Iguais ao preço de monopólio</w:t>
      </w:r>
    </w:p>
    <w:p>
      <w:pPr>
        <w:pStyle w:val="Compact"/>
        <w:numPr>
          <w:ilvl w:val="0"/>
          <w:numId w:val="1884"/>
        </w:numPr>
      </w:pPr>
    </w:p>
    <w:p>
      <w:pPr>
        <w:pStyle w:val="Compact"/>
        <w:numPr>
          <w:ilvl w:val="1"/>
          <w:numId w:val="1888"/>
        </w:numPr>
      </w:pPr>
      <w:r>
        <w:t xml:space="preserve">Indeterminados</w:t>
      </w:r>
    </w:p>
    <w:p>
      <w:pPr>
        <w:pStyle w:val="BlockText"/>
      </w:pPr>
      <w:r>
        <w:t xml:space="preserve">??? success</w:t>
      </w:r>
      <w:r>
        <w:t xml:space="preserve"> </w:t>
      </w:r>
      <w:r>
        <w:t xml:space="preserve">“Resposta”</w:t>
      </w:r>
      <w:r>
        <w:t xml:space="preserve"> </w:t>
      </w:r>
      <w:r>
        <w:rPr>
          <w:b/>
          <w:bCs/>
        </w:rPr>
        <w:t xml:space="preserve">(b)</w:t>
      </w:r>
      <w:r>
        <w:t xml:space="preserve"> </w:t>
      </w:r>
      <w:r>
        <w:t xml:space="preserve">A diferenciação de produto resolve o Paradoxo de Bertrand: cada firma enfrenta uma demanda residual com alguma elasticidade finita, permitindo markup positivo. Quanto maior a diferenciação, maior o poder de mercado e mais longe do resultado competitivo. A alternativa (a) descreve o caso limite de homogeneidade perfeita; (c) só ocorreria em colusão perfeita.</w:t>
      </w:r>
    </w:p>
    <w:p>
      <w:pPr>
        <w:pStyle w:val="BlockText"/>
      </w:pPr>
      <w:r>
        <w:rPr>
          <w:b/>
          <w:bCs/>
        </w:rPr>
        <w:t xml:space="preserve">[QUESTAO] 3. No modelo de Stackelberg (líder-seguidor), a firma líder obtém lucro maior que no Cournot porque:</w:t>
      </w:r>
    </w:p>
    <w:p>
      <w:pPr>
        <w:pStyle w:val="Compact"/>
        <w:numPr>
          <w:ilvl w:val="0"/>
          <w:numId w:val="1889"/>
        </w:numPr>
      </w:pPr>
    </w:p>
    <w:p>
      <w:pPr>
        <w:pStyle w:val="Compact"/>
        <w:numPr>
          <w:ilvl w:val="1"/>
          <w:numId w:val="1890"/>
        </w:numPr>
      </w:pPr>
      <w:r>
        <w:t xml:space="preserve">Tem custos de produção menores</w:t>
      </w:r>
    </w:p>
    <w:p>
      <w:pPr>
        <w:pStyle w:val="Compact"/>
        <w:numPr>
          <w:ilvl w:val="0"/>
          <w:numId w:val="1889"/>
        </w:numPr>
      </w:pPr>
    </w:p>
    <w:p>
      <w:pPr>
        <w:pStyle w:val="Compact"/>
        <w:numPr>
          <w:ilvl w:val="1"/>
          <w:numId w:val="1891"/>
        </w:numPr>
      </w:pPr>
      <w:r>
        <w:t xml:space="preserve">Compromete-se com uma quantidade maior antes da seguidora, explorando a vantagem do primeiro movimento</w:t>
      </w:r>
    </w:p>
    <w:p>
      <w:pPr>
        <w:pStyle w:val="Compact"/>
        <w:numPr>
          <w:ilvl w:val="0"/>
          <w:numId w:val="1889"/>
        </w:numPr>
      </w:pPr>
    </w:p>
    <w:p>
      <w:pPr>
        <w:pStyle w:val="Compact"/>
        <w:numPr>
          <w:ilvl w:val="1"/>
          <w:numId w:val="1892"/>
        </w:numPr>
      </w:pPr>
      <w:r>
        <w:t xml:space="preserve">Ambas as firmas cooperam no Stackelberg</w:t>
      </w:r>
    </w:p>
    <w:p>
      <w:pPr>
        <w:pStyle w:val="Compact"/>
        <w:numPr>
          <w:ilvl w:val="0"/>
          <w:numId w:val="1889"/>
        </w:numPr>
      </w:pPr>
    </w:p>
    <w:p>
      <w:pPr>
        <w:pStyle w:val="Compact"/>
        <w:numPr>
          <w:ilvl w:val="1"/>
          <w:numId w:val="1893"/>
        </w:numPr>
      </w:pPr>
      <w:r>
        <w:t xml:space="preserve">A demanda de mercado é maior no Stackelberg</w:t>
      </w:r>
    </w:p>
    <w:p>
      <w:pPr>
        <w:pStyle w:val="BlockText"/>
      </w:pPr>
      <w:r>
        <w:t xml:space="preserve">??? success</w:t>
      </w:r>
      <w:r>
        <w:t xml:space="preserve"> </w:t>
      </w:r>
      <w:r>
        <w:t xml:space="preserve">“Resposta”</w:t>
      </w:r>
      <w:r>
        <w:t xml:space="preserve"> </w:t>
      </w:r>
      <w:r>
        <w:rPr>
          <w:b/>
          <w:bCs/>
        </w:rPr>
        <w:t xml:space="preserve">(b)</w:t>
      </w:r>
      <w:r>
        <w:t xml:space="preserve"> </w:t>
      </w:r>
      <w:r>
        <w:t xml:space="preserve">No Stackelberg, a líder move primeiro e se compromete com uma quantidade elevada. A seguidora, observando isso, acomoda-se produzindo menos. A líder antecipa essa reação e explora a vantagem estratégica. O lucro da líder é maior e o da seguidora menor que no Cournot simétrico. A demanda é a mesma (d) — o que muda é a estrutura de decisão.</w:t>
      </w:r>
    </w:p>
    <w:p>
      <w:r>
        <w:pict>
          <v:rect style="width:0;height:1.5pt" o:hralign="center" o:hrstd="t" o:hr="t"/>
        </w:pict>
      </w:r>
    </w:p>
    <w:bookmarkEnd w:id="998"/>
    <w:bookmarkStart w:id="999" w:name="resumo-do-capítulo-16"/>
    <w:p>
      <w:pPr>
        <w:pStyle w:val="Heading3"/>
      </w:pPr>
      <w:r>
        <w:t xml:space="preserve">Resumo do Capítulo</w:t>
      </w:r>
    </w:p>
    <w:p>
      <w:pPr>
        <w:pStyle w:val="Compact"/>
        <w:numPr>
          <w:ilvl w:val="0"/>
          <w:numId w:val="1894"/>
        </w:numPr>
      </w:pPr>
      <w:r>
        <w:t xml:space="preserve">O oligopólio é caracterizado pela interdependência estratégica: o lucro de cada firma depende das decisões das rivais, exigindo o uso da teoria dos jogos para a análise do equilíbrio (ver Capítulo 9a para os modelos base).</w:t>
      </w:r>
    </w:p>
    <w:p>
      <w:pPr>
        <w:pStyle w:val="Compact"/>
        <w:numPr>
          <w:ilvl w:val="0"/>
          <w:numId w:val="1894"/>
        </w:numPr>
      </w:pPr>
      <w:r>
        <w:t xml:space="preserve">No modelo de Bertrand (concorrência em preços com produtos homogêneos), bastam duas firmas para reproduzir o resultado competitivo — o paradoxo de Bertrand. A diferenciação de produto, restrições de capacidade e interação repetida resolvem esse paradoxo.</w:t>
      </w:r>
    </w:p>
    <w:p>
      <w:pPr>
        <w:pStyle w:val="Compact"/>
        <w:numPr>
          <w:ilvl w:val="0"/>
          <w:numId w:val="1894"/>
        </w:numPr>
      </w:pPr>
      <w:r>
        <w:t xml:space="preserve">No modelo de Cournot (concorrência em quantidades), o equilíbrio produz preços acima do custo marginal, convergindo para o resultado competitivo à medida que o número de firmas cresce.</w:t>
      </w:r>
    </w:p>
    <w:p>
      <w:pPr>
        <w:pStyle w:val="Compact"/>
        <w:numPr>
          <w:ilvl w:val="0"/>
          <w:numId w:val="1894"/>
        </w:numPr>
      </w:pPr>
      <w:r>
        <w:t xml:space="preserve">No modelo de Stackelberg (jogo sequencial em quantidades), o líder obtém vantagem do primeiro movimento ao se comprometer com uma quantidade elevada.</w:t>
      </w:r>
    </w:p>
    <w:p>
      <w:pPr>
        <w:pStyle w:val="Compact"/>
        <w:numPr>
          <w:ilvl w:val="0"/>
          <w:numId w:val="1894"/>
        </w:numPr>
      </w:pPr>
      <w:r>
        <w:t xml:space="preserve">A diferenciação de produto (Hotelling, Salop) confere poder de mercado mesmo com muitos concorrentes e resolve o paradoxo de Bertrand.</w:t>
      </w:r>
    </w:p>
    <w:bookmarkEnd w:id="999"/>
    <w:bookmarkStart w:id="1000" w:name="conceitos-chave-15"/>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Interdependência estratégica</w:t>
            </w:r>
          </w:p>
        </w:tc>
        <w:tc>
          <w:tcPr/>
          <w:p>
            <w:pPr>
              <w:pStyle w:val="Compact"/>
            </w:pPr>
            <w:r>
              <w:t xml:space="preserve">Situação em que o lucro de cada firma depende das decisões de todas as rivais, exigindo análise via equilíbrio de Nash</w:t>
            </w:r>
          </w:p>
        </w:tc>
      </w:tr>
      <w:tr>
        <w:tc>
          <w:tcPr/>
          <w:p>
            <w:pPr>
              <w:pStyle w:val="Compact"/>
            </w:pPr>
            <w:r>
              <w:t xml:space="preserve">Paradoxo de Bertrand</w:t>
            </w:r>
          </w:p>
        </w:tc>
        <w:tc>
          <w:tcPr/>
          <w:p>
            <w:pPr>
              <w:pStyle w:val="Compact"/>
            </w:pPr>
            <w:r>
              <w:t xml:space="preserve">Resultado de que duas firmas com produtos homogêneos e custos iguais competindo em preços geram preço igual ao custo marginal e lucro zero</w:t>
            </w:r>
          </w:p>
        </w:tc>
      </w:tr>
      <w:tr>
        <w:tc>
          <w:tcPr/>
          <w:p>
            <w:pPr>
              <w:pStyle w:val="Compact"/>
            </w:pPr>
            <w:r>
              <w:t xml:space="preserve">Equilíbrio de Cournot</w:t>
            </w:r>
          </w:p>
        </w:tc>
        <w:tc>
          <w:tcPr/>
          <w:p>
            <w:pPr>
              <w:pStyle w:val="Compact"/>
            </w:pPr>
            <w:r>
              <w:t xml:space="preserve">Equilíbrio de Nash em que cada firma escolhe a quantidade que maximiza seu lucro dada a quantidade da rival, com preços acima do custo marginal</w:t>
            </w:r>
          </w:p>
        </w:tc>
      </w:tr>
      <w:tr>
        <w:tc>
          <w:tcPr/>
          <w:p>
            <w:pPr>
              <w:pStyle w:val="Compact"/>
            </w:pPr>
            <w:r>
              <w:t xml:space="preserve">Função de melhor-resposta (melhor resposta)</w:t>
            </w:r>
          </w:p>
        </w:tc>
        <w:tc>
          <w:tcPr/>
          <w:p>
            <w:pPr>
              <w:pStyle w:val="Compact"/>
            </w:pPr>
            <w:r>
              <w:t xml:space="preserve">Função que indica a quantidade (ou preço) ótima de uma firma para cada nível de decisão da rival</w:t>
            </w:r>
          </w:p>
        </w:tc>
      </w:tr>
      <w:tr>
        <w:tc>
          <w:tcPr/>
          <w:p>
            <w:pPr>
              <w:pStyle w:val="Compact"/>
            </w:pPr>
            <w:r>
              <w:t xml:space="preserve">Substitutos e complementos estratégicos</w:t>
            </w:r>
          </w:p>
        </w:tc>
        <w:tc>
          <w:tcPr/>
          <w:p>
            <w:pPr>
              <w:pStyle w:val="Compact"/>
            </w:pPr>
            <w:r>
              <w:t xml:space="preserve">Quantidades são substitutos estratégicos (melhor resposta decrescente); preços diferenciados são tipicamente complementos estratégicos (melhor resposta crescente)</w:t>
            </w:r>
          </w:p>
        </w:tc>
      </w:tr>
      <w:tr>
        <w:tc>
          <w:tcPr/>
          <w:p>
            <w:pPr>
              <w:pStyle w:val="Compact"/>
            </w:pPr>
            <w:r>
              <w:t xml:space="preserve">Modelo de Stackelberg</w:t>
            </w:r>
          </w:p>
        </w:tc>
        <w:tc>
          <w:tcPr/>
          <w:p>
            <w:pPr>
              <w:pStyle w:val="Compact"/>
            </w:pPr>
            <w:r>
              <w:t xml:space="preserve">Jogo sequencial em que o líder escolhe primeiro e obtém vantagem do primeiro movimento (first-mover advantage)</w:t>
            </w:r>
          </w:p>
        </w:tc>
      </w:tr>
      <w:tr>
        <w:tc>
          <w:tcPr/>
          <w:p>
            <w:pPr>
              <w:pStyle w:val="Compact"/>
            </w:pPr>
            <w:r>
              <w:t xml:space="preserve">Modelo de Hotelling</w:t>
            </w:r>
          </w:p>
        </w:tc>
        <w:tc>
          <w:tcPr/>
          <w:p>
            <w:pPr>
              <w:pStyle w:val="Compact"/>
            </w:pPr>
            <w:r>
              <w:t xml:space="preserve">Modelo de diferenciação horizontal em que firmas se localizam em um espaço de características e consumidores incorrem em custos de transporte</w:t>
            </w:r>
          </w:p>
        </w:tc>
      </w:tr>
    </w:tbl>
    <w:p>
      <w:r>
        <w:pict>
          <v:rect style="width:0;height:1.5pt" o:hralign="center" o:hrstd="t" o:hr="t"/>
        </w:pict>
      </w:r>
    </w:p>
    <w:bookmarkEnd w:id="1000"/>
    <w:bookmarkStart w:id="1001" w:name="exercícios-resolvidos-4"/>
    <w:p>
      <w:pPr>
        <w:pStyle w:val="Heading3"/>
      </w:pPr>
      <w:r>
        <w:t xml:space="preserve">Exercícios Resolvidos</w:t>
      </w:r>
    </w:p>
    <w:p>
      <w:pPr>
        <w:pStyle w:val="BlockText"/>
      </w:pPr>
      <w:r>
        <w:rPr>
          <w:b/>
          <w:bCs/>
        </w:rPr>
        <w:t xml:space="preserve">[EXERCICIO RESOLVIDO] Exercício Resolvido 16a.1 — Equilíbrio de Cournot com custos assimétricos</w:t>
      </w:r>
    </w:p>
    <w:p>
      <w:pPr>
        <w:pStyle w:val="BlockText"/>
      </w:pPr>
      <w:r>
        <w:rPr>
          <w:b/>
          <w:bCs/>
        </w:rPr>
        <w:t xml:space="preserve">Enunciado.</w:t>
      </w:r>
      <w:r>
        <w:t xml:space="preserve"> </w:t>
      </w:r>
      <w:r>
        <w:t xml:space="preserve">Duas firmas competem em quantidades (Cournot). A demanda inversa é</w:t>
      </w:r>
      <w:r>
        <w:t xml:space="preserve"> </w:t>
      </w:r>
      <m:oMath>
        <m:r>
          <m:t>p</m:t>
        </m:r>
        <m:r>
          <m:rPr>
            <m:sty m:val="p"/>
          </m:rPr>
          <m:t>=</m:t>
        </m:r>
        <m:r>
          <m:t>100</m:t>
        </m:r>
        <m:r>
          <m:rPr>
            <m:sty m:val="p"/>
          </m:rPr>
          <m:t>−</m:t>
        </m:r>
        <m:r>
          <m:t>Q</m:t>
        </m:r>
      </m:oMath>
      <w:r>
        <w:t xml:space="preserve">, onde</w:t>
      </w:r>
      <w:r>
        <w:t xml:space="preserve"> </w:t>
      </w:r>
      <m:oMath>
        <m:r>
          <m:t>Q</m:t>
        </m:r>
        <m:r>
          <m:rPr>
            <m:sty m:val="p"/>
          </m:rPr>
          <m:t>=</m:t>
        </m:r>
        <m:sSub>
          <m:e>
            <m:r>
              <m:t>q</m:t>
            </m:r>
          </m:e>
          <m:sub>
            <m:r>
              <m:t>1</m:t>
            </m:r>
          </m:sub>
        </m:sSub>
        <m:r>
          <m:rPr>
            <m:sty m:val="p"/>
          </m:rPr>
          <m:t>+</m:t>
        </m:r>
        <m:sSub>
          <m:e>
            <m:r>
              <m:t>q</m:t>
            </m:r>
          </m:e>
          <m:sub>
            <m:r>
              <m:t>2</m:t>
            </m:r>
          </m:sub>
        </m:sSub>
      </m:oMath>
      <w:r>
        <w:t xml:space="preserve">. A firma 1 tem custo marginal</w:t>
      </w:r>
      <w:r>
        <w:t xml:space="preserve"> </w:t>
      </w:r>
      <m:oMath>
        <m:sSub>
          <m:e>
            <m:r>
              <m:t>c</m:t>
            </m:r>
          </m:e>
          <m:sub>
            <m:r>
              <m:t>1</m:t>
            </m:r>
          </m:sub>
        </m:sSub>
        <m:r>
          <m:rPr>
            <m:sty m:val="p"/>
          </m:rPr>
          <m:t>=</m:t>
        </m:r>
        <m:r>
          <m:t>10</m:t>
        </m:r>
      </m:oMath>
      <w:r>
        <w:t xml:space="preserve"> </w:t>
      </w:r>
      <w:r>
        <w:t xml:space="preserve">e a firma 2 tem custo marginal</w:t>
      </w:r>
      <w:r>
        <w:t xml:space="preserve"> </w:t>
      </w:r>
      <m:oMath>
        <m:sSub>
          <m:e>
            <m:r>
              <m:t>c</m:t>
            </m:r>
          </m:e>
          <m:sub>
            <m:r>
              <m:t>2</m:t>
            </m:r>
          </m:sub>
        </m:sSub>
        <m:r>
          <m:rPr>
            <m:sty m:val="p"/>
          </m:rPr>
          <m:t>=</m:t>
        </m:r>
        <m:r>
          <m:t>20</m:t>
        </m:r>
      </m:oMath>
      <w:r>
        <w:t xml:space="preserve">. Encontre: (a) as funções de melhor-resposta; (b) as quantidades, preço e lucros de equilíbrio; (c) o índice de Herfindahl-Hirschman (HHI).</w:t>
      </w:r>
    </w:p>
    <w:p>
      <w:pPr>
        <w:pStyle w:val="BlockText"/>
      </w:pPr>
      <w:r>
        <w:rPr>
          <w:b/>
          <w:bCs/>
        </w:rPr>
        <w:t xml:space="preserve">Resolução.</w:t>
      </w:r>
    </w:p>
    <w:p>
      <w:pPr>
        <w:pStyle w:val="BlockText"/>
      </w:pPr>
      <w:r>
        <w:rPr>
          <w:b/>
          <w:bCs/>
        </w:rPr>
        <w:t xml:space="preserve">(a) Funções de melhor-resposta.</w:t>
      </w:r>
    </w:p>
    <w:p>
      <w:pPr>
        <w:pStyle w:val="BlockText"/>
      </w:pPr>
      <w:r>
        <w:t xml:space="preserve">O lucro da firma 1 é:</w:t>
      </w:r>
    </w:p>
    <w:p>
      <w:pPr>
        <w:pStyle w:val="BlockText"/>
      </w:pPr>
      <w:r>
        <w:t xml:space="preserve">$$</w:t>
      </w:r>
    </w:p>
    <w:p>
      <w:pPr>
        <w:pStyle w:val="BlockText"/>
      </w:pPr>
      <w:r>
        <w:t xml:space="preserve">_1 = (100 - q_1 - q_2)q_1 - 10q_1 = (90 - q_1 - q_2)q_1</w:t>
      </w:r>
    </w:p>
    <w:p>
      <w:pPr>
        <w:pStyle w:val="BlockText"/>
      </w:pPr>
      <w:r>
        <w:t xml:space="preserve">$$</w:t>
      </w:r>
    </w:p>
    <w:p>
      <w:pPr>
        <w:pStyle w:val="BlockText"/>
      </w:pPr>
      <w:r>
        <w:t xml:space="preserve">A CPO</w:t>
      </w:r>
      <w:r>
        <w:t xml:space="preserve"> </w:t>
      </w:r>
      <m:oMath>
        <m:r>
          <m:rPr>
            <m:sty m:val="p"/>
          </m:rPr>
          <m:t>∂</m:t>
        </m:r>
        <m:sSub>
          <m:e>
            <m:r>
              <m:t>π</m:t>
            </m:r>
          </m:e>
          <m:sub>
            <m:r>
              <m:t>1</m:t>
            </m:r>
          </m:sub>
        </m:sSub>
        <m:r>
          <m:rPr>
            <m:sty m:val="p"/>
          </m:rPr>
          <m:t>/</m:t>
        </m:r>
        <m:r>
          <m:rPr>
            <m:sty m:val="p"/>
          </m:rPr>
          <m:t>∂</m:t>
        </m:r>
        <m:sSub>
          <m:e>
            <m:r>
              <m:t>q</m:t>
            </m:r>
          </m:e>
          <m:sub>
            <m:r>
              <m:t>1</m:t>
            </m:r>
          </m:sub>
        </m:sSub>
        <m:r>
          <m:rPr>
            <m:sty m:val="p"/>
          </m:rPr>
          <m:t>=</m:t>
        </m:r>
        <m:r>
          <m:t>0</m:t>
        </m:r>
      </m:oMath>
      <w:r>
        <w:t xml:space="preserve"> </w:t>
      </w:r>
      <w:r>
        <w:t xml:space="preserve">dá:</w:t>
      </w:r>
    </w:p>
    <w:p>
      <w:pPr>
        <w:pStyle w:val="BlockText"/>
      </w:pPr>
      <w:r>
        <w:t xml:space="preserve">$$</w:t>
      </w:r>
    </w:p>
    <w:p>
      <w:pPr>
        <w:pStyle w:val="BlockText"/>
      </w:pPr>
      <w:r>
        <w:t xml:space="preserve">90 - 2q_1 - q_2 = 0</w:t>
      </w:r>
      <w:r>
        <w:t xml:space="preserve"> </w:t>
      </w:r>
      <w:r>
        <w:t xml:space="preserve">q_1^*(q_2) =</w:t>
      </w:r>
      <w:r>
        <w:t xml:space="preserve"> </w:t>
      </w:r>
      <w:r>
        <w:t xml:space="preserve"> </w:t>
      </w:r>
      <w:r>
        <w:t xml:space="preserve">= 45 -</w:t>
      </w:r>
      <w:r>
        <w:t xml:space="preserve"> </w:t>
      </w:r>
    </w:p>
    <w:p>
      <w:pPr>
        <w:pStyle w:val="BlockText"/>
      </w:pPr>
      <w:r>
        <w:t xml:space="preserve">$$</w:t>
      </w:r>
    </w:p>
    <w:p>
      <w:pPr>
        <w:pStyle w:val="BlockText"/>
      </w:pPr>
      <w:r>
        <w:t xml:space="preserve">Analogamente, para a firma 2:</w:t>
      </w:r>
    </w:p>
    <w:p>
      <w:pPr>
        <w:pStyle w:val="BlockText"/>
      </w:pPr>
      <w:r>
        <w:t xml:space="preserve">$$</w:t>
      </w:r>
    </w:p>
    <w:p>
      <w:pPr>
        <w:pStyle w:val="BlockText"/>
      </w:pPr>
      <w:r>
        <w:t xml:space="preserve">q_2^*(q_1) =</w:t>
      </w:r>
      <w:r>
        <w:t xml:space="preserve"> </w:t>
      </w:r>
      <w:r>
        <w:t xml:space="preserve"> </w:t>
      </w:r>
      <w:r>
        <w:t xml:space="preserve">= 40 -</w:t>
      </w:r>
      <w:r>
        <w:t xml:space="preserve"> </w:t>
      </w:r>
    </w:p>
    <w:p>
      <w:pPr>
        <w:pStyle w:val="BlockText"/>
      </w:pPr>
      <w:r>
        <w:t xml:space="preserve">$$</w:t>
      </w:r>
    </w:p>
    <w:p>
      <w:pPr>
        <w:pStyle w:val="BlockText"/>
      </w:pPr>
      <w:r>
        <w:rPr>
          <w:b/>
          <w:bCs/>
        </w:rPr>
        <w:t xml:space="preserve">(b) Equilíbrio.</w:t>
      </w:r>
    </w:p>
    <w:p>
      <w:pPr>
        <w:pStyle w:val="BlockText"/>
      </w:pPr>
      <w:r>
        <w:t xml:space="preserve">Substituindo</w:t>
      </w:r>
      <w:r>
        <w:t xml:space="preserve"> </w:t>
      </w:r>
      <m:oMath>
        <m:sSubSup>
          <m:e>
            <m:r>
              <m:t>q</m:t>
            </m:r>
          </m:e>
          <m:sub>
            <m:r>
              <m:t>2</m:t>
            </m:r>
          </m:sub>
          <m:sup>
            <m:r>
              <m:rPr>
                <m:sty m:val="p"/>
              </m:rPr>
              <m:t>*</m:t>
            </m:r>
          </m:sup>
        </m:sSubSup>
      </m:oMath>
      <w:r>
        <w:t xml:space="preserve"> </w:t>
      </w:r>
      <w:r>
        <w:t xml:space="preserve">em</w:t>
      </w:r>
      <w:r>
        <w:t xml:space="preserve"> </w:t>
      </w:r>
      <m:oMath>
        <m:sSubSup>
          <m:e>
            <m:r>
              <m:t>q</m:t>
            </m:r>
          </m:e>
          <m:sub>
            <m:r>
              <m:t>1</m:t>
            </m:r>
          </m:sub>
          <m:sup>
            <m:r>
              <m:rPr>
                <m:sty m:val="p"/>
              </m:rPr>
              <m:t>*</m:t>
            </m:r>
          </m:sup>
        </m:sSubSup>
      </m:oMath>
      <w:r>
        <w:t xml:space="preserve">:</w:t>
      </w:r>
    </w:p>
    <w:p>
      <w:pPr>
        <w:pStyle w:val="BlockText"/>
      </w:pPr>
      <w:r>
        <w:t xml:space="preserve">$$</w:t>
      </w:r>
    </w:p>
    <w:p>
      <w:pPr>
        <w:pStyle w:val="BlockText"/>
      </w:pPr>
      <w:r>
        <w:t xml:space="preserve">q_1 = 45 -</w:t>
      </w:r>
      <w:r>
        <w:t xml:space="preserve"> </w:t>
      </w:r>
      <w:r>
        <w:t xml:space="preserve">(40 -</w:t>
      </w:r>
      <w:r>
        <w:t xml:space="preserve"> </w:t>
      </w:r>
      <w:r>
        <w:t xml:space="preserve">) = 45 - 20 +</w:t>
      </w:r>
      <w:r>
        <w:t xml:space="preserve"> </w:t>
      </w:r>
      <w:r>
        <w:t xml:space="preserve"> </w:t>
      </w:r>
      <w:r>
        <w:t xml:space="preserve">= 25 +</w:t>
      </w:r>
      <w:r>
        <w:t xml:space="preserve"> </w:t>
      </w:r>
    </w:p>
    <w:p>
      <w:pPr>
        <w:pStyle w:val="BlockText"/>
      </w:pPr>
      <w:r>
        <w:t xml:space="preserve">$$</w:t>
      </w:r>
    </w:p>
    <w:p>
      <w:pPr>
        <w:pStyle w:val="BlockText"/>
      </w:pPr>
      <w:r>
        <w:t xml:space="preserve">$$</w:t>
      </w:r>
    </w:p>
    <w:p>
      <w:pPr>
        <w:pStyle w:val="BlockText"/>
      </w:pPr>
      <w:r>
        <w:t xml:space="preserve"> </w:t>
      </w:r>
      <w:r>
        <w:t xml:space="preserve">= 25</w:t>
      </w:r>
      <w:r>
        <w:t xml:space="preserve"> </w:t>
      </w:r>
      <w:r>
        <w:t xml:space="preserve">q_1^* =</w:t>
      </w:r>
      <w:r>
        <w:t xml:space="preserve"> </w:t>
      </w:r>
      <w:r>
        <w:t xml:space="preserve"> </w:t>
      </w:r>
      <w:r>
        <w:t xml:space="preserve">3</w:t>
      </w:r>
    </w:p>
    <w:p>
      <w:pPr>
        <w:pStyle w:val="BlockText"/>
      </w:pPr>
      <w:r>
        <w:t xml:space="preserve">$$</w:t>
      </w:r>
    </w:p>
    <w:p>
      <w:pPr>
        <w:pStyle w:val="BlockText"/>
      </w:pPr>
      <w:r>
        <w:t xml:space="preserve">$$</w:t>
      </w:r>
    </w:p>
    <w:p>
      <w:pPr>
        <w:pStyle w:val="BlockText"/>
      </w:pPr>
      <w:r>
        <w:t xml:space="preserve">q_2^* = 40 -</w:t>
      </w:r>
      <w:r>
        <w:t xml:space="preserve"> </w:t>
      </w:r>
      <w:r>
        <w:t xml:space="preserve"> </w:t>
      </w:r>
      <w:r>
        <w:t xml:space="preserve">= 40 -</w:t>
      </w:r>
      <w:r>
        <w:t xml:space="preserve"> </w:t>
      </w:r>
      <w:r>
        <w:t xml:space="preserve"> </w:t>
      </w:r>
      <w:r>
        <w:t xml:space="preserve">=</w:t>
      </w:r>
      <w:r>
        <w:t xml:space="preserve"> </w:t>
      </w:r>
      <w:r>
        <w:t xml:space="preserve"> </w:t>
      </w:r>
      <w:r>
        <w:t xml:space="preserve">3</w:t>
      </w:r>
    </w:p>
    <w:p>
      <w:pPr>
        <w:pStyle w:val="BlockText"/>
      </w:pPr>
      <w:r>
        <w:t xml:space="preserve">$$</w:t>
      </w:r>
    </w:p>
    <w:p>
      <w:pPr>
        <w:pStyle w:val="BlockText"/>
      </w:pPr>
      <w:r>
        <w:t xml:space="preserve">$$</w:t>
      </w:r>
    </w:p>
    <w:p>
      <w:pPr>
        <w:pStyle w:val="BlockText"/>
      </w:pPr>
      <w:r>
        <w:t xml:space="preserve">Q^* =</w:t>
      </w:r>
      <w:r>
        <w:t xml:space="preserve"> </w:t>
      </w:r>
      <w:r>
        <w:t xml:space="preserve"> </w:t>
      </w:r>
      <w:r>
        <w:t xml:space="preserve">+</w:t>
      </w:r>
      <w:r>
        <w:t xml:space="preserve"> </w:t>
      </w:r>
      <w:r>
        <w:t xml:space="preserve"> </w:t>
      </w:r>
      <w:r>
        <w:t xml:space="preserve">=</w:t>
      </w:r>
      <w:r>
        <w:t xml:space="preserve"> </w:t>
      </w:r>
      <w:r>
        <w:t xml:space="preserve"> </w:t>
      </w:r>
      <w:r>
        <w:t xml:space="preserve">7</w:t>
      </w:r>
    </w:p>
    <w:p>
      <w:pPr>
        <w:pStyle w:val="BlockText"/>
      </w:pPr>
      <w:r>
        <w:t xml:space="preserve">$$</w:t>
      </w:r>
    </w:p>
    <w:p>
      <w:pPr>
        <w:pStyle w:val="BlockText"/>
      </w:pPr>
      <w:r>
        <w:t xml:space="preserve">$$</w:t>
      </w:r>
    </w:p>
    <w:p>
      <w:pPr>
        <w:pStyle w:val="BlockText"/>
      </w:pPr>
      <w:r>
        <w:t xml:space="preserve">p^* = 100 -</w:t>
      </w:r>
      <w:r>
        <w:t xml:space="preserve"> </w:t>
      </w:r>
      <w:r>
        <w:t xml:space="preserve"> </w:t>
      </w:r>
      <w:r>
        <w:t xml:space="preserve">=</w:t>
      </w:r>
      <w:r>
        <w:t xml:space="preserve"> </w:t>
      </w:r>
      <w:r>
        <w:t xml:space="preserve"> </w:t>
      </w:r>
      <w:r>
        <w:t xml:space="preserve">3</w:t>
      </w:r>
    </w:p>
    <w:p>
      <w:pPr>
        <w:pStyle w:val="BlockText"/>
      </w:pPr>
      <w:r>
        <w:t xml:space="preserve">$$</w:t>
      </w:r>
    </w:p>
    <w:p>
      <w:pPr>
        <w:pStyle w:val="BlockText"/>
      </w:pPr>
      <w:r>
        <w:t xml:space="preserve">Lucros:</w:t>
      </w:r>
    </w:p>
    <w:p>
      <w:pPr>
        <w:pStyle w:val="BlockText"/>
      </w:pPr>
      <w:r>
        <w:t xml:space="preserve">$$</w:t>
      </w:r>
    </w:p>
    <w:p>
      <w:pPr>
        <w:pStyle w:val="BlockText"/>
      </w:pPr>
      <w:r>
        <w:t xml:space="preserve">_1^* =</w:t>
      </w:r>
      <w:r>
        <w:t xml:space="preserve"> </w:t>
      </w:r>
      <w:r>
        <w:t xml:space="preserve">(</w:t>
      </w:r>
      <w:r>
        <w:t xml:space="preserve"> </w:t>
      </w:r>
      <w:r>
        <w:t xml:space="preserve">- 10</w:t>
      </w:r>
      <w:r>
        <w:t xml:space="preserve">)</w:t>
      </w:r>
      <w:r>
        <w:t xml:space="preserve"> </w:t>
      </w:r>
      <w:r>
        <w:t xml:space="preserve">=</w:t>
      </w:r>
      <w:r>
        <w:t xml:space="preserve"> </w:t>
      </w:r>
      <w:r>
        <w:t xml:space="preserve"> </w:t>
      </w:r>
      <w:r>
        <w:t xml:space="preserve"> </w:t>
      </w:r>
      <w:r>
        <w:t xml:space="preserve">=</w:t>
      </w:r>
      <w:r>
        <w:t xml:space="preserve"> </w:t>
      </w:r>
      <w:r>
        <w:t xml:space="preserve"> </w:t>
      </w:r>
      <w:r>
        <w:t xml:space="preserve">1</w:t>
      </w:r>
    </w:p>
    <w:p>
      <w:pPr>
        <w:pStyle w:val="BlockText"/>
      </w:pPr>
      <w:r>
        <w:t xml:space="preserve">$$</w:t>
      </w:r>
    </w:p>
    <w:p>
      <w:pPr>
        <w:pStyle w:val="BlockText"/>
      </w:pPr>
      <w:r>
        <w:t xml:space="preserve">$$</w:t>
      </w:r>
    </w:p>
    <w:p>
      <w:pPr>
        <w:pStyle w:val="BlockText"/>
      </w:pPr>
      <w:r>
        <w:t xml:space="preserve">_2^* =</w:t>
      </w:r>
      <w:r>
        <w:t xml:space="preserve"> </w:t>
      </w:r>
      <w:r>
        <w:t xml:space="preserve">(</w:t>
      </w:r>
      <w:r>
        <w:t xml:space="preserve"> </w:t>
      </w:r>
      <w:r>
        <w:t xml:space="preserve">- 20</w:t>
      </w:r>
      <w:r>
        <w:t xml:space="preserve">)</w:t>
      </w:r>
      <w:r>
        <w:t xml:space="preserve"> </w:t>
      </w:r>
      <w:r>
        <w:t xml:space="preserve">=</w:t>
      </w:r>
      <w:r>
        <w:t xml:space="preserve"> </w:t>
      </w:r>
      <w:r>
        <w:t xml:space="preserve"> </w:t>
      </w:r>
      <w:r>
        <w:t xml:space="preserve"> </w:t>
      </w:r>
      <w:r>
        <w:t xml:space="preserve">=</w:t>
      </w:r>
      <w:r>
        <w:t xml:space="preserve"> </w:t>
      </w:r>
      <w:r>
        <w:t xml:space="preserve"> </w:t>
      </w:r>
      <w:r>
        <w:t xml:space="preserve">4</w:t>
      </w:r>
    </w:p>
    <w:p>
      <w:pPr>
        <w:pStyle w:val="BlockText"/>
      </w:pPr>
      <w:r>
        <w:t xml:space="preserve">$$</w:t>
      </w:r>
    </w:p>
    <w:p>
      <w:pPr>
        <w:pStyle w:val="BlockText"/>
      </w:pPr>
      <w:r>
        <w:rPr>
          <w:b/>
          <w:bCs/>
        </w:rPr>
        <w:t xml:space="preserve">(c) HHI.</w:t>
      </w:r>
    </w:p>
    <w:p>
      <w:pPr>
        <w:pStyle w:val="BlockText"/>
      </w:pPr>
      <w:r>
        <w:t xml:space="preserve">As participações de mercado são</w:t>
      </w:r>
      <w:r>
        <w:t xml:space="preserve"> </w:t>
      </w:r>
      <m:oMath>
        <m:sSub>
          <m:e>
            <m:r>
              <m:t>s</m:t>
            </m:r>
          </m:e>
          <m:sub>
            <m:r>
              <m:t>1</m:t>
            </m:r>
          </m:sub>
        </m:sSub>
        <m:r>
          <m:rPr>
            <m:sty m:val="p"/>
          </m:rPr>
          <m:t>=</m:t>
        </m:r>
        <m:r>
          <m:t>100</m:t>
        </m:r>
        <m:r>
          <m:rPr>
            <m:sty m:val="p"/>
          </m:rPr>
          <m:t>/</m:t>
        </m:r>
        <m:r>
          <m:t>170</m:t>
        </m:r>
        <m:r>
          <m:rPr>
            <m:sty m:val="p"/>
          </m:rPr>
          <m:t>≈</m:t>
        </m:r>
        <m:r>
          <m:t>58</m:t>
        </m:r>
        <m:r>
          <m:rPr>
            <m:sty m:val="p"/>
          </m:rPr>
          <m:t>,</m:t>
        </m:r>
        <m:r>
          <m:t>8</m:t>
        </m:r>
        <m:r>
          <m:rPr>
            <m:sty m:val="p"/>
          </m:rPr>
          <m:t>%</m:t>
        </m:r>
      </m:oMath>
      <w:r>
        <w:t xml:space="preserve"> </w:t>
      </w:r>
      <w:r>
        <w:t xml:space="preserve">e</w:t>
      </w:r>
      <w:r>
        <w:t xml:space="preserve"> </w:t>
      </w:r>
      <m:oMath>
        <m:sSub>
          <m:e>
            <m:r>
              <m:t>s</m:t>
            </m:r>
          </m:e>
          <m:sub>
            <m:r>
              <m:t>2</m:t>
            </m:r>
          </m:sub>
        </m:sSub>
        <m:r>
          <m:rPr>
            <m:sty m:val="p"/>
          </m:rPr>
          <m:t>=</m:t>
        </m:r>
        <m:r>
          <m:t>70</m:t>
        </m:r>
        <m:r>
          <m:rPr>
            <m:sty m:val="p"/>
          </m:rPr>
          <m:t>/</m:t>
        </m:r>
        <m:r>
          <m:t>170</m:t>
        </m:r>
        <m:r>
          <m:rPr>
            <m:sty m:val="p"/>
          </m:rPr>
          <m:t>≈</m:t>
        </m:r>
        <m:r>
          <m:t>41</m:t>
        </m:r>
        <m:r>
          <m:rPr>
            <m:sty m:val="p"/>
          </m:rPr>
          <m:t>,</m:t>
        </m:r>
        <m:r>
          <m:t>2</m:t>
        </m:r>
        <m:r>
          <m:rPr>
            <m:sty m:val="p"/>
          </m:rPr>
          <m:t>%</m:t>
        </m:r>
      </m:oMath>
      <w:r>
        <w:t xml:space="preserve">.</w:t>
      </w:r>
    </w:p>
    <w:p>
      <w:pPr>
        <w:pStyle w:val="BlockText"/>
      </w:pPr>
      <w:r>
        <w:t xml:space="preserve">$$</w:t>
      </w:r>
    </w:p>
    <w:p>
      <w:pPr>
        <w:pStyle w:val="BlockText"/>
      </w:pPr>
      <w:r>
        <w:t xml:space="preserve">HHI = s_1^2 + s_2^2 =</w:t>
      </w:r>
      <w:r>
        <w:t xml:space="preserve"> </w:t>
      </w:r>
      <w:r>
        <w:t xml:space="preserve">(</w:t>
      </w:r>
      <w:r>
        <w:t xml:space="preserve">)^2 +</w:t>
      </w:r>
      <w:r>
        <w:t xml:space="preserve"> </w:t>
      </w:r>
      <w:r>
        <w:t xml:space="preserve">(</w:t>
      </w:r>
      <w:r>
        <w:t xml:space="preserve">)^2 =</w:t>
      </w:r>
      <w:r>
        <w:t xml:space="preserve"> </w:t>
      </w:r>
      <w:r>
        <w:t xml:space="preserve"> </w:t>
      </w:r>
      <w:r>
        <w:t xml:space="preserve">=</w:t>
      </w:r>
      <w:r>
        <w:t xml:space="preserve"> </w:t>
      </w:r>
      <w:r>
        <w:t xml:space="preserve"> </w:t>
      </w:r>
      <w:r>
        <w:t xml:space="preserve">515</w:t>
      </w:r>
    </w:p>
    <w:p>
      <w:pPr>
        <w:pStyle w:val="BlockText"/>
      </w:pPr>
      <w:r>
        <w:t xml:space="preserve">$$</w:t>
      </w:r>
    </w:p>
    <w:p>
      <w:pPr>
        <w:pStyle w:val="BlockText"/>
      </w:pPr>
      <w:r>
        <w:t xml:space="preserve">Em escala de 10.000 pontos:</w:t>
      </w:r>
      <w:r>
        <w:t xml:space="preserve"> </w:t>
      </w:r>
      <m:oMath>
        <m:r>
          <m:t>H</m:t>
        </m:r>
        <m:r>
          <m:t>H</m:t>
        </m:r>
        <m:r>
          <m:t>I</m:t>
        </m:r>
        <m:r>
          <m:rPr>
            <m:sty m:val="p"/>
          </m:rPr>
          <m:t>≈</m:t>
        </m:r>
        <m:r>
          <m:t>5.155</m:t>
        </m:r>
      </m:oMath>
      <w:r>
        <w:t xml:space="preserve">, indicando um mercado altamente concentrado.</w:t>
      </w:r>
    </w:p>
    <w:p>
      <w:pPr>
        <w:pStyle w:val="FirstParagraph"/>
      </w:pPr>
      <w:r>
        <w:t xml:space="preserve">[FIGURA INTERATIVA: /micro-book/graficos/cap16/webr-cournot-assimetrico.html — versao interativa disponivel online]</w:t>
      </w:r>
    </w:p>
    <w:p>
      <w:pPr>
        <w:pStyle w:val="BodyText"/>
      </w:pPr>
      <w:r>
        <w:rPr>
          <w:b/>
          <w:bCs/>
        </w:rPr>
        <w:t xml:space="preserve">WebR 16a.2 — Cournot com custos assimétricos.</w:t>
      </w:r>
      <w:r>
        <w:t xml:space="preserve"> </w:t>
      </w:r>
      <w:r>
        <w:t xml:space="preserve">Modifique os custos marginais das firmas e veja como a assimetria redistribui produção, lucros e market shares. Compare com o equilíbrio simétrico.</w:t>
      </w:r>
    </w:p>
    <w:p>
      <w:pPr>
        <w:pStyle w:val="BlockText"/>
      </w:pPr>
      <w:r>
        <w:rPr>
          <w:b/>
          <w:bCs/>
        </w:rPr>
        <w:t xml:space="preserve">[EXERCICIO RESOLVIDO] Exercício Resolvido 16a.2 — Stackelberg com custos simétricos</w:t>
      </w:r>
    </w:p>
    <w:p>
      <w:pPr>
        <w:pStyle w:val="BlockText"/>
      </w:pPr>
      <w:r>
        <w:rPr>
          <w:b/>
          <w:bCs/>
        </w:rPr>
        <w:t xml:space="preserve">Enunciado.</w:t>
      </w:r>
      <w:r>
        <w:t xml:space="preserve"> </w:t>
      </w:r>
      <w:r>
        <w:t xml:space="preserve">No modelo de Stackelberg, a demanda é</w:t>
      </w:r>
      <w:r>
        <w:t xml:space="preserve"> </w:t>
      </w:r>
      <m:oMath>
        <m:r>
          <m:t>p</m:t>
        </m:r>
        <m:r>
          <m:rPr>
            <m:sty m:val="p"/>
          </m:rPr>
          <m:t>=</m:t>
        </m:r>
        <m:r>
          <m:t>150</m:t>
        </m:r>
        <m:r>
          <m:rPr>
            <m:sty m:val="p"/>
          </m:rPr>
          <m:t>−</m:t>
        </m:r>
        <m:r>
          <m:t>Q</m:t>
        </m:r>
      </m:oMath>
      <w:r>
        <w:t xml:space="preserve"> </w:t>
      </w:r>
      <w:r>
        <w:t xml:space="preserve">e ambas as firmas têm custo marginal</w:t>
      </w:r>
      <w:r>
        <w:t xml:space="preserve"> </w:t>
      </w:r>
      <m:oMath>
        <m:r>
          <m:t>c</m:t>
        </m:r>
        <m:r>
          <m:rPr>
            <m:sty m:val="p"/>
          </m:rPr>
          <m:t>=</m:t>
        </m:r>
        <m:r>
          <m:t>30</m:t>
        </m:r>
      </m:oMath>
      <w:r>
        <w:t xml:space="preserve">. A firma 1 é a líder. (a) Determine o equilíbrio de Stackelberg. (b) Compare com o equilíbrio de Cournot. (c) A vantagem do primeiro movimento é Pareto-eficiente para as firmas?</w:t>
      </w:r>
    </w:p>
    <w:p>
      <w:pPr>
        <w:pStyle w:val="BlockText"/>
      </w:pPr>
      <w:r>
        <w:rPr>
          <w:b/>
          <w:bCs/>
        </w:rPr>
        <w:t xml:space="preserve">Resolução.</w:t>
      </w:r>
    </w:p>
    <w:p>
      <w:pPr>
        <w:pStyle w:val="BlockText"/>
      </w:pPr>
      <w:r>
        <w:rPr>
          <w:b/>
          <w:bCs/>
        </w:rPr>
        <w:t xml:space="preserve">(a) Equilíbrio de Stackelberg.</w:t>
      </w:r>
    </w:p>
    <w:p>
      <w:pPr>
        <w:pStyle w:val="BlockText"/>
      </w:pPr>
      <w:r>
        <w:t xml:space="preserve">A função de melhor-resposta da seguidora (firma 2) é:</w:t>
      </w:r>
    </w:p>
    <w:p>
      <w:pPr>
        <w:pStyle w:val="BlockText"/>
      </w:pPr>
      <w:r>
        <w:t xml:space="preserve">$$</w:t>
      </w:r>
    </w:p>
    <w:p>
      <w:pPr>
        <w:pStyle w:val="BlockText"/>
      </w:pPr>
      <w:r>
        <w:t xml:space="preserve">q_2^*(q_1) =</w:t>
      </w:r>
      <w:r>
        <w:t xml:space="preserve"> </w:t>
      </w:r>
      <w:r>
        <w:t xml:space="preserve"> </w:t>
      </w:r>
      <w:r>
        <w:t xml:space="preserve">=</w:t>
      </w:r>
      <w:r>
        <w:t xml:space="preserve"> </w:t>
      </w:r>
      <w:r>
        <w:t xml:space="preserve"> </w:t>
      </w:r>
      <w:r>
        <w:t xml:space="preserve">= 60 -</w:t>
      </w:r>
      <w:r>
        <w:t xml:space="preserve"> </w:t>
      </w:r>
    </w:p>
    <w:p>
      <w:pPr>
        <w:pStyle w:val="BlockText"/>
      </w:pPr>
      <w:r>
        <w:t xml:space="preserve">$$</w:t>
      </w:r>
    </w:p>
    <w:p>
      <w:pPr>
        <w:pStyle w:val="BlockText"/>
      </w:pPr>
      <w:r>
        <w:t xml:space="preserve">A líder maximiza, antecipando a reação da seguidora:</w:t>
      </w:r>
    </w:p>
    <w:p>
      <w:pPr>
        <w:pStyle w:val="BlockText"/>
      </w:pPr>
      <w:r>
        <w:t xml:space="preserve">$$</w:t>
      </w:r>
    </w:p>
    <w:p>
      <w:pPr>
        <w:pStyle w:val="BlockText"/>
      </w:pPr>
      <w:r>
        <w:t xml:space="preserve">_1 =</w:t>
      </w:r>
      <w:r>
        <w:t xml:space="preserve"> </w:t>
      </w:r>
      <w:r>
        <w:t xml:space="preserve">(150 - q_1 - 60 +</w:t>
      </w:r>
      <w:r>
        <w:t xml:space="preserve"> </w:t>
      </w:r>
      <w:r>
        <w:t xml:space="preserve"> </w:t>
      </w:r>
      <w:r>
        <w:t xml:space="preserve">- 30</w:t>
      </w:r>
      <w:r>
        <w:t xml:space="preserve">)q_1 =</w:t>
      </w:r>
      <w:r>
        <w:t xml:space="preserve"> </w:t>
      </w:r>
      <w:r>
        <w:t xml:space="preserve">(60 -</w:t>
      </w:r>
      <w:r>
        <w:t xml:space="preserve"> </w:t>
      </w:r>
      <w:r>
        <w:t xml:space="preserve">)q_1</w:t>
      </w:r>
    </w:p>
    <w:p>
      <w:pPr>
        <w:pStyle w:val="BlockText"/>
      </w:pPr>
      <w:r>
        <w:t xml:space="preserve">$$</w:t>
      </w:r>
    </w:p>
    <w:p>
      <w:pPr>
        <w:pStyle w:val="BlockText"/>
      </w:pPr>
      <w:r>
        <w:t xml:space="preserve">CPO:</w:t>
      </w:r>
      <w:r>
        <w:t xml:space="preserve"> </w:t>
      </w:r>
      <m:oMath>
        <m:r>
          <m:t>60</m:t>
        </m:r>
        <m:r>
          <m:rPr>
            <m:sty m:val="p"/>
          </m:rPr>
          <m:t>−</m:t>
        </m:r>
        <m:sSub>
          <m:e>
            <m:r>
              <m:t>q</m:t>
            </m:r>
          </m:e>
          <m:sub>
            <m:r>
              <m:t>1</m:t>
            </m:r>
          </m:sub>
        </m:sSub>
        <m:r>
          <m:rPr>
            <m:sty m:val="p"/>
          </m:rPr>
          <m:t>=</m:t>
        </m:r>
        <m:r>
          <m:t>0</m:t>
        </m:r>
        <m:r>
          <m:rPr>
            <m:sty m:val="p"/>
          </m:rPr>
          <m:t>⟹</m:t>
        </m:r>
        <m:sSubSup>
          <m:e>
            <m:r>
              <m:t>q</m:t>
            </m:r>
          </m:e>
          <m:sub>
            <m:r>
              <m:t>1</m:t>
            </m:r>
          </m:sub>
          <m:sup>
            <m:r>
              <m:t>L</m:t>
            </m:r>
          </m:sup>
        </m:sSubSup>
        <m:r>
          <m:rPr>
            <m:sty m:val="p"/>
          </m:rPr>
          <m:t>=</m:t>
        </m:r>
        <m:r>
          <m:t>60</m:t>
        </m:r>
      </m:oMath>
      <w:r>
        <w:t xml:space="preserve">.</w:t>
      </w:r>
    </w:p>
    <w:p>
      <w:pPr>
        <w:pStyle w:val="BlockText"/>
      </w:pPr>
      <w:r>
        <w:t xml:space="preserve">$$</w:t>
      </w:r>
    </w:p>
    <w:p>
      <w:pPr>
        <w:pStyle w:val="BlockText"/>
      </w:pPr>
      <w:r>
        <w:t xml:space="preserve">q_2^S = 60 - 30 = 30,</w:t>
      </w:r>
      <w:r>
        <w:t xml:space="preserve"> </w:t>
      </w:r>
      <w:r>
        <w:t xml:space="preserve">Q = 90,</w:t>
      </w:r>
      <w:r>
        <w:t xml:space="preserve"> </w:t>
      </w:r>
      <w:r>
        <w:t xml:space="preserve">p = 60</w:t>
      </w:r>
    </w:p>
    <w:p>
      <w:pPr>
        <w:pStyle w:val="BlockText"/>
      </w:pPr>
      <w:r>
        <w:t xml:space="preserve">$$</w:t>
      </w:r>
    </w:p>
    <w:p>
      <w:pPr>
        <w:pStyle w:val="BlockText"/>
      </w:pPr>
      <w:r>
        <w:t xml:space="preserve">Lucros:</w:t>
      </w:r>
    </w:p>
    <w:p>
      <w:pPr>
        <w:pStyle w:val="BlockText"/>
      </w:pPr>
      <w:r>
        <w:t xml:space="preserve">$$</w:t>
      </w:r>
    </w:p>
    <w:p>
      <w:pPr>
        <w:pStyle w:val="BlockText"/>
      </w:pPr>
      <w:r>
        <w:t xml:space="preserve">_1^L = (60 - 30)</w:t>
      </w:r>
      <w:r>
        <w:t xml:space="preserve"> </w:t>
      </w:r>
      <w:r>
        <w:t xml:space="preserve"> </w:t>
      </w:r>
      <w:r>
        <w:t xml:space="preserve">= 1.800,</w:t>
      </w:r>
      <w:r>
        <w:t xml:space="preserve"> </w:t>
      </w:r>
      <w:r>
        <w:t xml:space="preserve">_2^S = (60 - 30)</w:t>
      </w:r>
      <w:r>
        <w:t xml:space="preserve"> </w:t>
      </w:r>
      <w:r>
        <w:t xml:space="preserve"> </w:t>
      </w:r>
      <w:r>
        <w:t xml:space="preserve">= 900</w:t>
      </w:r>
    </w:p>
    <w:p>
      <w:pPr>
        <w:pStyle w:val="BlockText"/>
      </w:pPr>
      <w:r>
        <w:t xml:space="preserve">$$</w:t>
      </w:r>
    </w:p>
    <w:p>
      <w:pPr>
        <w:pStyle w:val="BlockText"/>
      </w:pPr>
      <w:r>
        <w:rPr>
          <w:b/>
          <w:bCs/>
        </w:rPr>
        <w:t xml:space="preserve">(b) Comparação com Cournot.</w:t>
      </w:r>
    </w:p>
    <w:p>
      <w:pPr>
        <w:pStyle w:val="BlockText"/>
      </w:pPr>
      <w:r>
        <w:t xml:space="preserve">No Cournot simétrico:</w:t>
      </w:r>
      <w:r>
        <w:t xml:space="preserve"> </w:t>
      </w:r>
      <m:oMath>
        <m:sSup>
          <m:e>
            <m:r>
              <m:t>q</m:t>
            </m:r>
          </m:e>
          <m:sup>
            <m:r>
              <m:t>C</m:t>
            </m:r>
          </m:sup>
        </m:sSup>
        <m:r>
          <m:rPr>
            <m:sty m:val="p"/>
          </m:rPr>
          <m:t>=</m:t>
        </m:r>
        <m:f>
          <m:fPr>
            <m:type m:val="bar"/>
          </m:fPr>
          <m:num>
            <m:r>
              <m:t>120</m:t>
            </m:r>
          </m:num>
          <m:den>
            <m:r>
              <m:t>3</m:t>
            </m:r>
          </m:den>
        </m:f>
        <m:r>
          <m:rPr>
            <m:sty m:val="p"/>
          </m:rPr>
          <m:t>=</m:t>
        </m:r>
        <m:r>
          <m:t>40</m:t>
        </m:r>
      </m:oMath>
      <w:r>
        <w:t xml:space="preserve">,</w:t>
      </w:r>
      <w:r>
        <w:t xml:space="preserve"> </w:t>
      </w:r>
      <m:oMath>
        <m:sSup>
          <m:e>
            <m:r>
              <m:t>Q</m:t>
            </m:r>
          </m:e>
          <m:sup>
            <m:r>
              <m:t>C</m:t>
            </m:r>
          </m:sup>
        </m:sSup>
        <m:r>
          <m:rPr>
            <m:sty m:val="p"/>
          </m:rPr>
          <m:t>=</m:t>
        </m:r>
        <m:r>
          <m:t>80</m:t>
        </m:r>
      </m:oMath>
      <w:r>
        <w:t xml:space="preserve">,</w:t>
      </w:r>
      <w:r>
        <w:t xml:space="preserve"> </w:t>
      </w:r>
      <m:oMath>
        <m:sSup>
          <m:e>
            <m:r>
              <m:t>p</m:t>
            </m:r>
          </m:e>
          <m:sup>
            <m:r>
              <m:t>C</m:t>
            </m:r>
          </m:sup>
        </m:sSup>
        <m:r>
          <m:rPr>
            <m:sty m:val="p"/>
          </m:rPr>
          <m:t>=</m:t>
        </m:r>
        <m:r>
          <m:t>70</m:t>
        </m:r>
      </m:oMath>
      <w:r>
        <w:t xml:space="preserve">,</w:t>
      </w:r>
      <w:r>
        <w:t xml:space="preserve"> </w:t>
      </w:r>
      <m:oMath>
        <m:sSup>
          <m:e>
            <m:r>
              <m:t>π</m:t>
            </m:r>
          </m:e>
          <m:sup>
            <m:r>
              <m:t>C</m:t>
            </m:r>
          </m:sup>
        </m:sSup>
        <m:r>
          <m:rPr>
            <m:sty m:val="p"/>
          </m:rPr>
          <m:t>=</m:t>
        </m:r>
        <m:r>
          <m:t>40</m:t>
        </m:r>
        <m:r>
          <m:rPr>
            <m:sty m:val="p"/>
          </m:rPr>
          <m:t>×</m:t>
        </m:r>
        <m:r>
          <m:t>40</m:t>
        </m:r>
        <m:r>
          <m:rPr>
            <m:sty m:val="p"/>
          </m:rPr>
          <m:t>=</m:t>
        </m:r>
        <m:r>
          <m:t>1.600</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Stackelberg</w:t>
            </w:r>
          </w:p>
        </w:tc>
        <w:tc>
          <w:tcPr/>
          <w:p>
            <w:pPr>
              <w:pStyle w:val="Compact"/>
            </w:pPr>
            <w:r>
              <w:t xml:space="preserve">Cournot</w:t>
            </w:r>
          </w:p>
        </w:tc>
      </w:tr>
      <w:tr>
        <w:tc>
          <w:tcPr/>
          <w:p>
            <w:pPr>
              <w:pStyle w:val="Compact"/>
            </w:pPr>
            <w:r>
              <w:t xml:space="preserve">Líder / Firma 1</w:t>
            </w:r>
          </w:p>
        </w:tc>
        <w:tc>
          <w:tcPr/>
          <w:p>
            <w:pPr>
              <w:pStyle w:val="Compact"/>
            </w:pPr>
            <m:oMath>
              <m:r>
                <m:t>q</m:t>
              </m:r>
              <m:r>
                <m:rPr>
                  <m:sty m:val="p"/>
                </m:rPr>
                <m:t>=</m:t>
              </m:r>
              <m:r>
                <m:t>60</m:t>
              </m:r>
            </m:oMath>
            <w:r>
              <w:t xml:space="preserve">,</w:t>
            </w:r>
            <w:r>
              <w:t xml:space="preserve"> </w:t>
            </w:r>
            <m:oMath>
              <m:r>
                <m:t>π</m:t>
              </m:r>
              <m:r>
                <m:rPr>
                  <m:sty m:val="p"/>
                </m:rPr>
                <m:t>=</m:t>
              </m:r>
              <m:r>
                <m:t>1.800</m:t>
              </m:r>
            </m:oMath>
          </w:p>
        </w:tc>
        <w:tc>
          <w:tcPr/>
          <w:p>
            <w:pPr>
              <w:pStyle w:val="Compact"/>
            </w:pPr>
            <m:oMath>
              <m:r>
                <m:t>q</m:t>
              </m:r>
              <m:r>
                <m:rPr>
                  <m:sty m:val="p"/>
                </m:rPr>
                <m:t>=</m:t>
              </m:r>
              <m:r>
                <m:t>40</m:t>
              </m:r>
            </m:oMath>
            <w:r>
              <w:t xml:space="preserve">,</w:t>
            </w:r>
            <w:r>
              <w:t xml:space="preserve"> </w:t>
            </w:r>
            <m:oMath>
              <m:r>
                <m:t>π</m:t>
              </m:r>
              <m:r>
                <m:rPr>
                  <m:sty m:val="p"/>
                </m:rPr>
                <m:t>=</m:t>
              </m:r>
              <m:r>
                <m:t>1.600</m:t>
              </m:r>
            </m:oMath>
          </w:p>
        </w:tc>
      </w:tr>
      <w:tr>
        <w:tc>
          <w:tcPr/>
          <w:p>
            <w:pPr>
              <w:pStyle w:val="Compact"/>
            </w:pPr>
            <w:r>
              <w:t xml:space="preserve">Seguidora / Firma 2</w:t>
            </w:r>
          </w:p>
        </w:tc>
        <w:tc>
          <w:tcPr/>
          <w:p>
            <w:pPr>
              <w:pStyle w:val="Compact"/>
            </w:pPr>
            <m:oMath>
              <m:r>
                <m:t>q</m:t>
              </m:r>
              <m:r>
                <m:rPr>
                  <m:sty m:val="p"/>
                </m:rPr>
                <m:t>=</m:t>
              </m:r>
              <m:r>
                <m:t>30</m:t>
              </m:r>
            </m:oMath>
            <w:r>
              <w:t xml:space="preserve">,</w:t>
            </w:r>
            <w:r>
              <w:t xml:space="preserve"> </w:t>
            </w:r>
            <m:oMath>
              <m:r>
                <m:t>π</m:t>
              </m:r>
              <m:r>
                <m:rPr>
                  <m:sty m:val="p"/>
                </m:rPr>
                <m:t>=</m:t>
              </m:r>
              <m:r>
                <m:t>900</m:t>
              </m:r>
            </m:oMath>
          </w:p>
        </w:tc>
        <w:tc>
          <w:tcPr/>
          <w:p>
            <w:pPr>
              <w:pStyle w:val="Compact"/>
            </w:pPr>
            <m:oMath>
              <m:r>
                <m:t>q</m:t>
              </m:r>
              <m:r>
                <m:rPr>
                  <m:sty m:val="p"/>
                </m:rPr>
                <m:t>=</m:t>
              </m:r>
              <m:r>
                <m:t>40</m:t>
              </m:r>
            </m:oMath>
            <w:r>
              <w:t xml:space="preserve">,</w:t>
            </w:r>
            <w:r>
              <w:t xml:space="preserve"> </w:t>
            </w:r>
            <m:oMath>
              <m:r>
                <m:t>π</m:t>
              </m:r>
              <m:r>
                <m:rPr>
                  <m:sty m:val="p"/>
                </m:rPr>
                <m:t>=</m:t>
              </m:r>
              <m:r>
                <m:t>1.600</m:t>
              </m:r>
            </m:oMath>
          </w:p>
        </w:tc>
      </w:tr>
      <w:tr>
        <w:tc>
          <w:tcPr/>
          <w:p>
            <w:pPr>
              <w:pStyle w:val="Compact"/>
            </w:pPr>
            <w:r>
              <w:t xml:space="preserve">Total</w:t>
            </w:r>
          </w:p>
        </w:tc>
        <w:tc>
          <w:tcPr/>
          <w:p>
            <w:pPr>
              <w:pStyle w:val="Compact"/>
            </w:pPr>
            <m:oMath>
              <m:r>
                <m:t>Q</m:t>
              </m:r>
              <m:r>
                <m:rPr>
                  <m:sty m:val="p"/>
                </m:rPr>
                <m:t>=</m:t>
              </m:r>
              <m:r>
                <m:t>90</m:t>
              </m:r>
            </m:oMath>
            <w:r>
              <w:t xml:space="preserve">,</w:t>
            </w:r>
            <w:r>
              <w:t xml:space="preserve"> </w:t>
            </w:r>
            <m:oMath>
              <m:r>
                <m:rPr>
                  <m:sty m:val="p"/>
                </m:rPr>
                <m:t>Π</m:t>
              </m:r>
              <m:r>
                <m:rPr>
                  <m:sty m:val="p"/>
                </m:rPr>
                <m:t>=</m:t>
              </m:r>
              <m:r>
                <m:t>2.700</m:t>
              </m:r>
            </m:oMath>
          </w:p>
        </w:tc>
        <w:tc>
          <w:tcPr/>
          <w:p>
            <w:pPr>
              <w:pStyle w:val="Compact"/>
            </w:pPr>
            <m:oMath>
              <m:r>
                <m:t>Q</m:t>
              </m:r>
              <m:r>
                <m:rPr>
                  <m:sty m:val="p"/>
                </m:rPr>
                <m:t>=</m:t>
              </m:r>
              <m:r>
                <m:t>80</m:t>
              </m:r>
            </m:oMath>
            <w:r>
              <w:t xml:space="preserve">,</w:t>
            </w:r>
            <w:r>
              <w:t xml:space="preserve"> </w:t>
            </w:r>
            <m:oMath>
              <m:r>
                <m:rPr>
                  <m:sty m:val="p"/>
                </m:rPr>
                <m:t>Π</m:t>
              </m:r>
              <m:r>
                <m:rPr>
                  <m:sty m:val="p"/>
                </m:rPr>
                <m:t>=</m:t>
              </m:r>
              <m:r>
                <m:t>3.200</m:t>
              </m:r>
            </m:oMath>
          </w:p>
        </w:tc>
      </w:tr>
    </w:tbl>
    <w:p>
      <w:pPr>
        <w:pStyle w:val="BlockText"/>
      </w:pPr>
      <w:r>
        <w:rPr>
          <w:b/>
          <w:bCs/>
        </w:rPr>
        <w:t xml:space="preserve">(c) Pareto-eficiência para as firmas.</w:t>
      </w:r>
    </w:p>
    <w:p>
      <w:pPr>
        <w:pStyle w:val="BlockText"/>
      </w:pPr>
      <w:r>
        <w:t xml:space="preserve">Não. A líder ganha (de 1.600 para 1.800), mas a seguidora perde (de 1.600 para 900). O lucro total da indústria cai de 3.200 para 2.700. A vantagem do primeiro movimento beneficia a líder à custa da seguidora e da indústria — mas beneficia os consumidores, que pagam preço menor (</w:t>
      </w:r>
      <m:oMath>
        <m:r>
          <m:t>p</m:t>
        </m:r>
        <m:r>
          <m:rPr>
            <m:sty m:val="p"/>
          </m:rPr>
          <m:t>=</m:t>
        </m:r>
        <m:r>
          <m:t>60</m:t>
        </m:r>
        <m:r>
          <m:rPr>
            <m:sty m:val="p"/>
          </m:rPr>
          <m:t>&lt;</m:t>
        </m:r>
        <m:r>
          <m:t>70</m:t>
        </m:r>
      </m:oMath>
      <w:r>
        <w:t xml:space="preserve">) e consomem mais (</w:t>
      </w:r>
      <m:oMath>
        <m:r>
          <m:t>Q</m:t>
        </m:r>
        <m:r>
          <m:rPr>
            <m:sty m:val="p"/>
          </m:rPr>
          <m:t>=</m:t>
        </m:r>
        <m:r>
          <m:t>90</m:t>
        </m:r>
        <m:r>
          <m:rPr>
            <m:sty m:val="p"/>
          </m:rPr>
          <m:t>&gt;</m:t>
        </m:r>
        <m:r>
          <m:t>80</m:t>
        </m:r>
      </m:oMath>
      <w:r>
        <w:t xml:space="preserve">).</w:t>
      </w:r>
    </w:p>
    <w:p>
      <w:pPr>
        <w:pStyle w:val="FirstParagraph"/>
      </w:pPr>
      <w:r>
        <w:t xml:space="preserve">[FIGURA INTERATIVA: /micro-book/graficos/cap16/webr-stackelberg.html — versao interativa disponivel online]</w:t>
      </w:r>
    </w:p>
    <w:p>
      <w:pPr>
        <w:pStyle w:val="BodyText"/>
      </w:pPr>
      <w:r>
        <w:rPr>
          <w:b/>
          <w:bCs/>
        </w:rPr>
        <w:t xml:space="preserve">WebR 16a.3 — Stackelberg vs. Cournot.</w:t>
      </w:r>
      <w:r>
        <w:t xml:space="preserve"> </w:t>
      </w:r>
      <w:r>
        <w:t xml:space="preserve">Compare os dois equilíbrios visualmente: curvas de melhor-resposta, curvas de iso-lucro e os pontos de Nash. Altere os parâmetros para verificar como a vantagem do primeiro movimento varia.</w:t>
      </w:r>
    </w:p>
    <w:p>
      <w:r>
        <w:pict>
          <v:rect style="width:0;height:1.5pt" o:hralign="center" o:hrstd="t" o:hr="t"/>
        </w:pict>
      </w:r>
    </w:p>
    <w:bookmarkEnd w:id="1001"/>
    <w:bookmarkStart w:id="1002" w:name="exercícios-20"/>
    <w:p>
      <w:pPr>
        <w:pStyle w:val="Heading3"/>
      </w:pPr>
      <w:r>
        <w:t xml:space="preserve">Exercícios</w:t>
      </w:r>
    </w:p>
    <w:p>
      <w:pPr>
        <w:pStyle w:val="BlockText"/>
      </w:pPr>
      <w:r>
        <w:rPr>
          <w:b/>
          <w:bCs/>
        </w:rPr>
        <w:t xml:space="preserve">[EXERCICIO PROPOSTO] Exercício 16a.1</w:t>
      </w:r>
    </w:p>
    <w:p>
      <w:pPr>
        <w:pStyle w:val="BlockText"/>
      </w:pPr>
      <w:r>
        <w:t xml:space="preserve">Considere um duopólio de Cournot com demanda</w:t>
      </w:r>
      <w:r>
        <w:t xml:space="preserve"> </w:t>
      </w:r>
      <m:oMath>
        <m:r>
          <m:t>p</m:t>
        </m:r>
        <m:r>
          <m:rPr>
            <m:sty m:val="p"/>
          </m:rPr>
          <m:t>=</m:t>
        </m:r>
        <m:r>
          <m:t>120</m:t>
        </m:r>
        <m:r>
          <m:rPr>
            <m:sty m:val="p"/>
          </m:rPr>
          <m:t>−</m:t>
        </m:r>
        <m:r>
          <m:t>Q</m:t>
        </m:r>
      </m:oMath>
      <w:r>
        <w:t xml:space="preserve"> </w:t>
      </w:r>
      <w:r>
        <w:t xml:space="preserve">e custos marginais</w:t>
      </w:r>
      <w:r>
        <w:t xml:space="preserve"> </w:t>
      </w:r>
      <m:oMath>
        <m:sSub>
          <m:e>
            <m:r>
              <m:t>c</m:t>
            </m:r>
          </m:e>
          <m:sub>
            <m:r>
              <m:t>1</m:t>
            </m:r>
          </m:sub>
        </m:sSub>
        <m:r>
          <m:rPr>
            <m:sty m:val="p"/>
          </m:rPr>
          <m:t>=</m:t>
        </m:r>
        <m:r>
          <m:t>20</m:t>
        </m:r>
      </m:oMath>
      <w:r>
        <w:t xml:space="preserve"> </w:t>
      </w:r>
      <w:r>
        <w:t xml:space="preserve">e</w:t>
      </w:r>
      <w:r>
        <w:t xml:space="preserve"> </w:t>
      </w:r>
      <m:oMath>
        <m:sSub>
          <m:e>
            <m:r>
              <m:t>c</m:t>
            </m:r>
          </m:e>
          <m:sub>
            <m:r>
              <m:t>2</m:t>
            </m:r>
          </m:sub>
        </m:sSub>
        <m:r>
          <m:rPr>
            <m:sty m:val="p"/>
          </m:rPr>
          <m:t>=</m:t>
        </m:r>
        <m:r>
          <m:t>30</m:t>
        </m:r>
      </m:oMath>
      <w:r>
        <w:t xml:space="preserve">.</w:t>
      </w:r>
    </w:p>
    <w:p>
      <w:pPr>
        <w:pStyle w:val="BlockText"/>
        <w:numPr>
          <w:ilvl w:val="0"/>
          <w:numId w:val="1895"/>
        </w:numPr>
      </w:pPr>
      <w:r>
        <w:t xml:space="preserve">Encontre as funções de melhor-resposta de cada firma.</w:t>
      </w:r>
    </w:p>
    <w:p>
      <w:pPr>
        <w:pStyle w:val="BlockText"/>
        <w:numPr>
          <w:ilvl w:val="0"/>
          <w:numId w:val="1895"/>
        </w:numPr>
      </w:pPr>
      <w:r>
        <w:t xml:space="preserve">Calcule as quantidades, o preço e os lucros de equilíbrio.</w:t>
      </w:r>
    </w:p>
    <w:p>
      <w:pPr>
        <w:pStyle w:val="BlockText"/>
        <w:numPr>
          <w:ilvl w:val="0"/>
          <w:numId w:val="1895"/>
        </w:numPr>
      </w:pPr>
      <w:r>
        <w:t xml:space="preserve">Compare com o resultado que seria obtido se ambas as firmas tivessem</w:t>
      </w:r>
      <w:r>
        <w:t xml:space="preserve"> </w:t>
      </w:r>
      <m:oMath>
        <m:r>
          <m:t>c</m:t>
        </m:r>
        <m:r>
          <m:rPr>
            <m:sty m:val="p"/>
          </m:rPr>
          <m:t>=</m:t>
        </m:r>
        <m:r>
          <m:t>20</m:t>
        </m:r>
      </m:oMath>
      <w:r>
        <w:t xml:space="preserve">. A assimetria de custos aumenta ou reduz o excedente total?</w:t>
      </w:r>
    </w:p>
    <w:p>
      <w:pPr>
        <w:pStyle w:val="BlockText"/>
      </w:pPr>
      <w:r>
        <w:t xml:space="preserve">Ver solução (Cap. 16)</w:t>
      </w:r>
    </w:p>
    <w:p>
      <w:pPr>
        <w:pStyle w:val="BlockText"/>
      </w:pPr>
      <w:r>
        <w:rPr>
          <w:b/>
          <w:bCs/>
        </w:rPr>
        <w:t xml:space="preserve">[EXERCICIO PROPOSTO] Exercício 16a.2</w:t>
      </w:r>
    </w:p>
    <w:p>
      <w:pPr>
        <w:pStyle w:val="BlockText"/>
      </w:pPr>
      <w:r>
        <w:t xml:space="preserve">Duas firmas competem em preços (Bertrand) com produtos diferenciados. As demandas são</w:t>
      </w:r>
      <w:r>
        <w:t xml:space="preserve"> </w:t>
      </w:r>
      <m:oMath>
        <m:sSub>
          <m:e>
            <m:r>
              <m:t>q</m:t>
            </m:r>
          </m:e>
          <m:sub>
            <m:r>
              <m:t>1</m:t>
            </m:r>
          </m:sub>
        </m:sSub>
        <m:r>
          <m:rPr>
            <m:sty m:val="p"/>
          </m:rPr>
          <m:t>=</m:t>
        </m:r>
        <m:r>
          <m:t>100</m:t>
        </m:r>
        <m:r>
          <m:rPr>
            <m:sty m:val="p"/>
          </m:rPr>
          <m:t>−</m:t>
        </m:r>
        <m:r>
          <m:t>2</m:t>
        </m:r>
        <m:sSub>
          <m:e>
            <m:r>
              <m:t>p</m:t>
            </m:r>
          </m:e>
          <m:sub>
            <m:r>
              <m:t>1</m:t>
            </m:r>
          </m:sub>
        </m:sSub>
        <m:r>
          <m:rPr>
            <m:sty m:val="p"/>
          </m:rPr>
          <m:t>+</m:t>
        </m:r>
        <m:sSub>
          <m:e>
            <m:r>
              <m:t>p</m:t>
            </m:r>
          </m:e>
          <m:sub>
            <m:r>
              <m:t>2</m:t>
            </m:r>
          </m:sub>
        </m:sSub>
      </m:oMath>
      <w:r>
        <w:t xml:space="preserve"> </w:t>
      </w:r>
      <w:r>
        <w:t xml:space="preserve">e</w:t>
      </w:r>
      <w:r>
        <w:t xml:space="preserve"> </w:t>
      </w:r>
      <m:oMath>
        <m:sSub>
          <m:e>
            <m:r>
              <m:t>q</m:t>
            </m:r>
          </m:e>
          <m:sub>
            <m:r>
              <m:t>2</m:t>
            </m:r>
          </m:sub>
        </m:sSub>
        <m:r>
          <m:rPr>
            <m:sty m:val="p"/>
          </m:rPr>
          <m:t>=</m:t>
        </m:r>
        <m:r>
          <m:t>100</m:t>
        </m:r>
        <m:r>
          <m:rPr>
            <m:sty m:val="p"/>
          </m:rPr>
          <m:t>−</m:t>
        </m:r>
        <m:r>
          <m:t>2</m:t>
        </m:r>
        <m:sSub>
          <m:e>
            <m:r>
              <m:t>p</m:t>
            </m:r>
          </m:e>
          <m:sub>
            <m:r>
              <m:t>2</m:t>
            </m:r>
          </m:sub>
        </m:sSub>
        <m:r>
          <m:rPr>
            <m:sty m:val="p"/>
          </m:rPr>
          <m:t>+</m:t>
        </m:r>
        <m:sSub>
          <m:e>
            <m:r>
              <m:t>p</m:t>
            </m:r>
          </m:e>
          <m:sub>
            <m:r>
              <m:t>1</m:t>
            </m:r>
          </m:sub>
        </m:sSub>
      </m:oMath>
      <w:r>
        <w:t xml:space="preserve">. Os custos marginais são</w:t>
      </w:r>
      <w:r>
        <w:t xml:space="preserve"> </w:t>
      </w:r>
      <m:oMath>
        <m:r>
          <m:t>c</m:t>
        </m:r>
        <m:r>
          <m:rPr>
            <m:sty m:val="p"/>
          </m:rPr>
          <m:t>=</m:t>
        </m:r>
        <m:r>
          <m:t>10</m:t>
        </m:r>
      </m:oMath>
      <w:r>
        <w:t xml:space="preserve">.</w:t>
      </w:r>
    </w:p>
    <w:p>
      <w:pPr>
        <w:pStyle w:val="BlockText"/>
        <w:numPr>
          <w:ilvl w:val="0"/>
          <w:numId w:val="1896"/>
        </w:numPr>
      </w:pPr>
      <w:r>
        <w:t xml:space="preserve">Encontre as funções de melhor-resposta em preços.</w:t>
      </w:r>
    </w:p>
    <w:p>
      <w:pPr>
        <w:pStyle w:val="BlockText"/>
        <w:numPr>
          <w:ilvl w:val="0"/>
          <w:numId w:val="1896"/>
        </w:numPr>
      </w:pPr>
      <w:r>
        <w:t xml:space="preserve">Calcule o equilíbrio de Nash em preços e quantidades.</w:t>
      </w:r>
    </w:p>
    <w:p>
      <w:pPr>
        <w:pStyle w:val="BlockText"/>
        <w:numPr>
          <w:ilvl w:val="0"/>
          <w:numId w:val="1896"/>
        </w:numPr>
      </w:pPr>
      <w:r>
        <w:t xml:space="preserve">Mostre que os preços de equilíbrio são superiores ao custo marginal (resolvendo o paradoxo de Bertrand).</w:t>
      </w:r>
    </w:p>
    <w:p>
      <w:pPr>
        <w:pStyle w:val="BlockText"/>
      </w:pPr>
      <w:r>
        <w:t xml:space="preserve">Ver solução (Cap. 16)</w:t>
      </w:r>
    </w:p>
    <w:p>
      <w:pPr>
        <w:pStyle w:val="BlockText"/>
      </w:pPr>
      <w:r>
        <w:rPr>
          <w:b/>
          <w:bCs/>
        </w:rPr>
        <w:t xml:space="preserve">[EXERCICIO PROPOSTO] Exercício 16a.3</w:t>
      </w:r>
    </w:p>
    <w:p>
      <w:pPr>
        <w:pStyle w:val="BlockText"/>
      </w:pPr>
      <w:r>
        <w:t xml:space="preserve">No modelo de Stackelberg, a firma líder tem custo marginal</w:t>
      </w:r>
      <w:r>
        <w:t xml:space="preserve"> </w:t>
      </w:r>
      <m:oMath>
        <m:sSub>
          <m:e>
            <m:r>
              <m:t>c</m:t>
            </m:r>
          </m:e>
          <m:sub>
            <m:r>
              <m:t>L</m:t>
            </m:r>
          </m:sub>
        </m:sSub>
        <m:r>
          <m:rPr>
            <m:sty m:val="p"/>
          </m:rPr>
          <m:t>=</m:t>
        </m:r>
        <m:r>
          <m:t>10</m:t>
        </m:r>
      </m:oMath>
      <w:r>
        <w:t xml:space="preserve"> </w:t>
      </w:r>
      <w:r>
        <w:t xml:space="preserve">e a seguidora tem</w:t>
      </w:r>
      <w:r>
        <w:t xml:space="preserve"> </w:t>
      </w:r>
      <m:oMath>
        <m:sSub>
          <m:e>
            <m:r>
              <m:t>c</m:t>
            </m:r>
          </m:e>
          <m:sub>
            <m:r>
              <m:t>S</m:t>
            </m:r>
          </m:sub>
        </m:sSub>
        <m:r>
          <m:rPr>
            <m:sty m:val="p"/>
          </m:rPr>
          <m:t>=</m:t>
        </m:r>
        <m:r>
          <m:t>20</m:t>
        </m:r>
      </m:oMath>
      <w:r>
        <w:t xml:space="preserve">. A demanda é</w:t>
      </w:r>
      <w:r>
        <w:t xml:space="preserve"> </w:t>
      </w:r>
      <m:oMath>
        <m:r>
          <m:t>p</m:t>
        </m:r>
        <m:r>
          <m:rPr>
            <m:sty m:val="p"/>
          </m:rPr>
          <m:t>=</m:t>
        </m:r>
        <m:r>
          <m:t>100</m:t>
        </m:r>
        <m:r>
          <m:rPr>
            <m:sty m:val="p"/>
          </m:rPr>
          <m:t>−</m:t>
        </m:r>
        <m:sSub>
          <m:e>
            <m:r>
              <m:t>q</m:t>
            </m:r>
          </m:e>
          <m:sub>
            <m:r>
              <m:t>L</m:t>
            </m:r>
          </m:sub>
        </m:sSub>
        <m:r>
          <m:rPr>
            <m:sty m:val="p"/>
          </m:rPr>
          <m:t>−</m:t>
        </m:r>
        <m:sSub>
          <m:e>
            <m:r>
              <m:t>q</m:t>
            </m:r>
          </m:e>
          <m:sub>
            <m:r>
              <m:t>S</m:t>
            </m:r>
          </m:sub>
        </m:sSub>
      </m:oMath>
      <w:r>
        <w:t xml:space="preserve">.</w:t>
      </w:r>
    </w:p>
    <w:p>
      <w:pPr>
        <w:pStyle w:val="BlockText"/>
        <w:numPr>
          <w:ilvl w:val="0"/>
          <w:numId w:val="1897"/>
        </w:numPr>
      </w:pPr>
      <w:r>
        <w:t xml:space="preserve">Encontre a função de melhor-resposta da seguidora.</w:t>
      </w:r>
    </w:p>
    <w:p>
      <w:pPr>
        <w:pStyle w:val="BlockText"/>
        <w:numPr>
          <w:ilvl w:val="0"/>
          <w:numId w:val="1897"/>
        </w:numPr>
      </w:pPr>
      <w:r>
        <w:t xml:space="preserve">Calcule as quantidades, o preço e os lucros de equilíbrio de Stackelberg.</w:t>
      </w:r>
    </w:p>
    <w:p>
      <w:pPr>
        <w:pStyle w:val="BlockText"/>
        <w:numPr>
          <w:ilvl w:val="0"/>
          <w:numId w:val="1897"/>
        </w:numPr>
      </w:pPr>
      <w:r>
        <w:t xml:space="preserve">Compare com o equilíbrio de Cournot (simultâneo) com os mesmos custos assimétricos. Qual estrutura gera maior excedente total?</w:t>
      </w:r>
    </w:p>
    <w:p>
      <w:pPr>
        <w:pStyle w:val="BlockText"/>
      </w:pPr>
      <w:r>
        <w:t xml:space="preserve">Ver solução (Cap. 16)</w:t>
      </w:r>
    </w:p>
    <w:p>
      <w:pPr>
        <w:pStyle w:val="BlockText"/>
      </w:pPr>
      <w:r>
        <w:rPr>
          <w:b/>
          <w:bCs/>
        </w:rPr>
        <w:t xml:space="preserve">[EXERCICIO PROPOSTO] Exercício 16a.4</w:t>
      </w:r>
    </w:p>
    <w:p>
      <w:pPr>
        <w:pStyle w:val="BlockText"/>
      </w:pPr>
      <w:r>
        <w:t xml:space="preserve">No modelo de Hotelling, duas firmas localizam-se nos extremos de um segmento</w:t>
      </w:r>
      <w:r>
        <w:t xml:space="preserve"> </w:t>
      </w:r>
      <m:oMath>
        <m:r>
          <m:rPr>
            <m:sty m:val="p"/>
          </m:rPr>
          <m:t>[</m:t>
        </m:r>
        <m:r>
          <m:t>0</m:t>
        </m:r>
        <m:r>
          <m:rPr>
            <m:sty m:val="p"/>
          </m:rPr>
          <m:t>,</m:t>
        </m:r>
        <m:r>
          <m:t>1</m:t>
        </m:r>
        <m:r>
          <m:rPr>
            <m:sty m:val="p"/>
          </m:rPr>
          <m:t>]</m:t>
        </m:r>
      </m:oMath>
      <w:r>
        <w:t xml:space="preserve">. Consumidores estão uniformemente distribuídos, e o custo de transporte é</w:t>
      </w:r>
      <w:r>
        <w:t xml:space="preserve"> </w:t>
      </w:r>
      <m:oMath>
        <m:r>
          <m:t>t</m:t>
        </m:r>
        <m:r>
          <m:rPr>
            <m:sty m:val="p"/>
          </m:rPr>
          <m:t>=</m:t>
        </m:r>
        <m:r>
          <m:t>4</m:t>
        </m:r>
      </m:oMath>
      <w:r>
        <w:t xml:space="preserve"> </w:t>
      </w:r>
      <w:r>
        <w:t xml:space="preserve">por unidade de distância. Custos marginais de produção são</w:t>
      </w:r>
      <w:r>
        <w:t xml:space="preserve"> </w:t>
      </w:r>
      <m:oMath>
        <m:r>
          <m:t>c</m:t>
        </m:r>
        <m:r>
          <m:rPr>
            <m:sty m:val="p"/>
          </m:rPr>
          <m:t>=</m:t>
        </m:r>
        <m:r>
          <m:t>2</m:t>
        </m:r>
      </m:oMath>
      <w:r>
        <w:t xml:space="preserve">.</w:t>
      </w:r>
    </w:p>
    <w:p>
      <w:pPr>
        <w:pStyle w:val="BlockText"/>
        <w:numPr>
          <w:ilvl w:val="0"/>
          <w:numId w:val="1898"/>
        </w:numPr>
      </w:pPr>
      <w:r>
        <w:t xml:space="preserve">Encontre os preços de equilíbrio, as demandas e os lucros de cada firma.</w:t>
      </w:r>
    </w:p>
    <w:p>
      <w:pPr>
        <w:pStyle w:val="BlockText"/>
        <w:numPr>
          <w:ilvl w:val="0"/>
          <w:numId w:val="1898"/>
        </w:numPr>
      </w:pPr>
      <w:r>
        <w:t xml:space="preserve">Se</w:t>
      </w:r>
      <w:r>
        <w:t xml:space="preserve"> </w:t>
      </w:r>
      <m:oMath>
        <m:r>
          <m:t>t</m:t>
        </m:r>
      </m:oMath>
      <w:r>
        <w:t xml:space="preserve"> </w:t>
      </w:r>
      <w:r>
        <w:t xml:space="preserve">cai para 1 (produtos menos diferenciados), o que acontece com os preços e lucros? Interprete.</w:t>
      </w:r>
    </w:p>
    <w:p>
      <w:pPr>
        <w:pStyle w:val="BlockText"/>
        <w:numPr>
          <w:ilvl w:val="0"/>
          <w:numId w:val="1898"/>
        </w:numPr>
      </w:pPr>
      <w:r>
        <w:t xml:space="preserve">Se a firma 1 relocar para</w:t>
      </w:r>
      <w:r>
        <w:t xml:space="preserve"> </w:t>
      </w:r>
      <m:oMath>
        <m:sSub>
          <m:e>
            <m:r>
              <m:t>x</m:t>
            </m:r>
          </m:e>
          <m:sub>
            <m:r>
              <m:t>1</m:t>
            </m:r>
          </m:sub>
        </m:sSub>
        <m:r>
          <m:rPr>
            <m:sty m:val="p"/>
          </m:rPr>
          <m:t>=</m:t>
        </m:r>
        <m:r>
          <m:t>1</m:t>
        </m:r>
        <m:r>
          <m:rPr>
            <m:sty m:val="p"/>
          </m:rPr>
          <m:t>/</m:t>
        </m:r>
        <m:r>
          <m:t>4</m:t>
        </m:r>
      </m:oMath>
      <w:r>
        <w:t xml:space="preserve"> </w:t>
      </w:r>
      <w:r>
        <w:t xml:space="preserve">(se aproximar do centro), mantendo a firma 2 em</w:t>
      </w:r>
      <w:r>
        <w:t xml:space="preserve"> </w:t>
      </w:r>
      <m:oMath>
        <m:sSub>
          <m:e>
            <m:r>
              <m:t>x</m:t>
            </m:r>
          </m:e>
          <m:sub>
            <m:r>
              <m:t>2</m:t>
            </m:r>
          </m:sub>
        </m:sSub>
        <m:r>
          <m:rPr>
            <m:sty m:val="p"/>
          </m:rPr>
          <m:t>=</m:t>
        </m:r>
        <m:r>
          <m:t>1</m:t>
        </m:r>
      </m:oMath>
      <w:r>
        <w:t xml:space="preserve">, como se altera o equilíbrio?</w:t>
      </w:r>
    </w:p>
    <w:p>
      <w:pPr>
        <w:pStyle w:val="BlockText"/>
      </w:pPr>
      <w:r>
        <w:t xml:space="preserve">Ver solução (Cap. 16)</w:t>
      </w:r>
    </w:p>
    <w:p>
      <w:r>
        <w:pict>
          <v:rect style="width:0;height:1.5pt" o:hralign="center" o:hrstd="t" o:hr="t"/>
        </w:pict>
      </w:r>
    </w:p>
    <w:bookmarkEnd w:id="1002"/>
    <w:bookmarkStart w:id="1003" w:name="vem-anpec-15"/>
    <w:p>
      <w:pPr>
        <w:pStyle w:val="Heading3"/>
      </w:pPr>
      <w:r>
        <w:t xml:space="preserve">Vem, ANPEC!</w:t>
      </w:r>
    </w:p>
    <w:p>
      <w:pPr>
        <w:pStyle w:val="FirstParagraph"/>
      </w:pPr>
      <w:r>
        <w:t xml:space="preserve">As questões a seguir foram extraídas de provas reais da ANPEC (Microeconomia). Cada item deve ser classificado como</w:t>
      </w:r>
      <w:r>
        <w:t xml:space="preserve"> </w:t>
      </w:r>
      <w:r>
        <w:rPr>
          <w:b/>
          <w:bCs/>
        </w:rPr>
        <w:t xml:space="preserve">Verdadeiro (V)</w:t>
      </w:r>
      <w:r>
        <w:t xml:space="preserve"> </w:t>
      </w:r>
      <w:r>
        <w:t xml:space="preserve">ou</w:t>
      </w:r>
      <w:r>
        <w:t xml:space="preserve"> </w:t>
      </w:r>
      <w:r>
        <w:rPr>
          <w:b/>
          <w:bCs/>
        </w:rPr>
        <w:t xml:space="preserve">Falso (F)</w:t>
      </w:r>
      <w:r>
        <w:t xml:space="preserve">.</w:t>
      </w:r>
    </w:p>
    <w:p>
      <w:pPr>
        <w:pStyle w:val="BlockText"/>
      </w:pPr>
      <w:r>
        <w:rPr>
          <w:b/>
          <w:bCs/>
        </w:rPr>
        <w:t xml:space="preserve">[QUESTAO] ANPEC 2022 — Questão 11</w:t>
      </w:r>
    </w:p>
    <w:p>
      <w:pPr>
        <w:pStyle w:val="BlockText"/>
      </w:pPr>
      <w:r>
        <w:t xml:space="preserve">Julgue as afirmativas:</w:t>
      </w:r>
    </w:p>
    <w:p>
      <w:pPr>
        <w:pStyle w:val="BlockText"/>
      </w:pPr>
      <w:r>
        <w:rPr>
          <w:b/>
          <w:bCs/>
        </w:rPr>
        <w:t xml:space="preserve">(0)</w:t>
      </w:r>
      <w:r>
        <w:t xml:space="preserve"> </w:t>
      </w:r>
      <w:r>
        <w:t xml:space="preserve">Considere um duopólio de Cournot em que a demanda é dada por</w:t>
      </w:r>
      <w:r>
        <w:t xml:space="preserve"> </w:t>
      </w:r>
      <m:oMath>
        <m:r>
          <m:t>P</m:t>
        </m:r>
        <m:r>
          <m:rPr>
            <m:sty m:val="p"/>
          </m:rPr>
          <m:t>=</m:t>
        </m:r>
        <m:r>
          <m:t>11</m:t>
        </m:r>
        <m:r>
          <m:rPr>
            <m:sty m:val="p"/>
          </m:rPr>
          <m:t>−</m:t>
        </m:r>
        <m:r>
          <m:t>Q</m:t>
        </m:r>
      </m:oMath>
      <w:r>
        <w:t xml:space="preserve">,</w:t>
      </w:r>
      <w:r>
        <w:t xml:space="preserve"> </w:t>
      </w:r>
      <m:oMath>
        <m:r>
          <m:t>Q</m:t>
        </m:r>
        <m:r>
          <m:rPr>
            <m:sty m:val="p"/>
          </m:rPr>
          <m:t>=</m:t>
        </m:r>
        <m:sSub>
          <m:e>
            <m:r>
              <m:t>q</m:t>
            </m:r>
          </m:e>
          <m:sub>
            <m:r>
              <m:t>1</m:t>
            </m:r>
          </m:sub>
        </m:sSub>
        <m:r>
          <m:rPr>
            <m:sty m:val="p"/>
          </m:rPr>
          <m:t>+</m:t>
        </m:r>
        <m:sSub>
          <m:e>
            <m:r>
              <m:t>q</m:t>
            </m:r>
          </m:e>
          <m:sub>
            <m:r>
              <m:t>2</m:t>
            </m:r>
          </m:sub>
        </m:sSub>
      </m:oMath>
      <w:r>
        <w:t xml:space="preserve">, e as funções custo são</w:t>
      </w:r>
      <w:r>
        <w:t xml:space="preserve"> </w:t>
      </w:r>
      <m:oMath>
        <m:sSub>
          <m:e>
            <m:r>
              <m:t>C</m:t>
            </m:r>
          </m:e>
          <m:sub>
            <m:r>
              <m:t>1</m:t>
            </m:r>
          </m:sub>
        </m:sSub>
        <m:r>
          <m:rPr>
            <m:sty m:val="p"/>
          </m:rPr>
          <m:t>(</m:t>
        </m:r>
        <m:sSub>
          <m:e>
            <m:r>
              <m:t>q</m:t>
            </m:r>
          </m:e>
          <m:sub>
            <m:r>
              <m:t>1</m:t>
            </m:r>
          </m:sub>
        </m:sSub>
        <m:r>
          <m:rPr>
            <m:sty m:val="p"/>
          </m:rPr>
          <m:t>)</m:t>
        </m:r>
        <m:r>
          <m:rPr>
            <m:sty m:val="p"/>
          </m:rPr>
          <m:t>=</m:t>
        </m:r>
        <m:sSubSup>
          <m:e>
            <m:r>
              <m:t>q</m:t>
            </m:r>
          </m:e>
          <m:sub>
            <m:r>
              <m:t>1</m:t>
            </m:r>
          </m:sub>
          <m:sup>
            <m:r>
              <m:t>2</m:t>
            </m:r>
          </m:sup>
        </m:sSubSup>
        <m:r>
          <m:rPr>
            <m:sty m:val="p"/>
          </m:rPr>
          <m:t>/</m:t>
        </m:r>
        <m:r>
          <m:t>2</m:t>
        </m:r>
      </m:oMath>
      <w:r>
        <w:t xml:space="preserve"> </w:t>
      </w:r>
      <w:r>
        <w:t xml:space="preserve">e</w:t>
      </w:r>
      <w:r>
        <w:t xml:space="preserve"> </w:t>
      </w:r>
      <m:oMath>
        <m:sSub>
          <m:e>
            <m:r>
              <m:t>C</m:t>
            </m:r>
          </m:e>
          <m:sub>
            <m:r>
              <m:t>2</m:t>
            </m:r>
          </m:sub>
        </m:sSub>
        <m:r>
          <m:rPr>
            <m:sty m:val="p"/>
          </m:rPr>
          <m:t>(</m:t>
        </m:r>
        <m:sSub>
          <m:e>
            <m:r>
              <m:t>q</m:t>
            </m:r>
          </m:e>
          <m:sub>
            <m:r>
              <m:t>2</m:t>
            </m:r>
          </m:sub>
        </m:sSub>
        <m:r>
          <m:rPr>
            <m:sty m:val="p"/>
          </m:rPr>
          <m:t>)</m:t>
        </m:r>
        <m:r>
          <m:rPr>
            <m:sty m:val="p"/>
          </m:rPr>
          <m:t>=</m:t>
        </m:r>
        <m:sSubSup>
          <m:e>
            <m:r>
              <m:t>q</m:t>
            </m:r>
          </m:e>
          <m:sub>
            <m:r>
              <m:t>2</m:t>
            </m:r>
          </m:sub>
          <m:sup>
            <m:r>
              <m:t>2</m:t>
            </m:r>
          </m:sup>
        </m:sSubSup>
        <m:r>
          <m:rPr>
            <m:sty m:val="p"/>
          </m:rPr>
          <m:t>/</m:t>
        </m:r>
        <m:r>
          <m:t>1</m:t>
        </m:r>
      </m:oMath>
      <w:r>
        <w:t xml:space="preserve"> </w:t>
      </w:r>
      <w:r>
        <w:t xml:space="preserve">(i.e.,</w:t>
      </w:r>
      <w:r>
        <w:t xml:space="preserve"> </w:t>
      </w:r>
      <m:oMath>
        <m:sSub>
          <m:e>
            <m:r>
              <m:t>C</m:t>
            </m:r>
          </m:e>
          <m:sub>
            <m:r>
              <m:t>2</m:t>
            </m:r>
          </m:sub>
        </m:sSub>
        <m:r>
          <m:rPr>
            <m:sty m:val="p"/>
          </m:rPr>
          <m:t>=</m:t>
        </m:r>
        <m:sSubSup>
          <m:e>
            <m:r>
              <m:t>q</m:t>
            </m:r>
          </m:e>
          <m:sub>
            <m:r>
              <m:t>2</m:t>
            </m:r>
          </m:sub>
          <m:sup>
            <m:r>
              <m:t>2</m:t>
            </m:r>
          </m:sup>
        </m:sSubSup>
      </m:oMath>
      <w:r>
        <w:t xml:space="preserve">). Nesse caso, o equilíbrio de Nash em quantidades é</w:t>
      </w:r>
      <w:r>
        <w:t xml:space="preserve"> </w:t>
      </w:r>
      <m:oMath>
        <m:r>
          <m:rPr>
            <m:sty m:val="p"/>
          </m:rPr>
          <m:t>(</m:t>
        </m:r>
        <m:sSubSup>
          <m:e>
            <m:r>
              <m:t>q</m:t>
            </m:r>
          </m:e>
          <m:sub>
            <m:r>
              <m:t>1</m:t>
            </m:r>
          </m:sub>
          <m:sup>
            <m:r>
              <m:rPr>
                <m:sty m:val="p"/>
              </m:rPr>
              <m:t>*</m:t>
            </m:r>
          </m:sup>
        </m:sSubSup>
        <m:r>
          <m:rPr>
            <m:sty m:val="p"/>
          </m:rPr>
          <m:t>,</m:t>
        </m:r>
        <m:sSubSup>
          <m:e>
            <m:r>
              <m:t>q</m:t>
            </m:r>
          </m:e>
          <m:sub>
            <m:r>
              <m:t>2</m:t>
            </m:r>
          </m:sub>
          <m:sup>
            <m:r>
              <m:rPr>
                <m:sty m:val="p"/>
              </m:rPr>
              <m:t>*</m:t>
            </m:r>
          </m:sup>
        </m:sSubSup>
        <m:r>
          <m:rPr>
            <m:sty m:val="p"/>
          </m:rPr>
          <m:t>)</m:t>
        </m:r>
        <m:r>
          <m:rPr>
            <m:sty m:val="p"/>
          </m:rPr>
          <m:t>=</m:t>
        </m:r>
        <m:r>
          <m:rPr>
            <m:sty m:val="p"/>
          </m:rPr>
          <m:t>(</m:t>
        </m:r>
        <m:r>
          <m:t>3</m:t>
        </m:r>
        <m:r>
          <m:rPr>
            <m:sty m:val="p"/>
          </m:rPr>
          <m:t>,</m:t>
        </m:r>
        <m:r>
          <m:t>2</m:t>
        </m:r>
        <m:r>
          <m:rPr>
            <m:sty m:val="p"/>
          </m:rPr>
          <m:t>;</m:t>
        </m:r>
        <m:r>
          <m:t> </m:t>
        </m:r>
        <m:r>
          <m:t>6</m:t>
        </m:r>
        <m:r>
          <m:rPr>
            <m:sty m:val="p"/>
          </m:rPr>
          <m:t>)</m:t>
        </m:r>
      </m:oMath>
      <w:r>
        <w:t xml:space="preserve"> </w:t>
      </w:r>
      <w:r>
        <w:t xml:space="preserve">e o preço de mercado é</w:t>
      </w:r>
      <w:r>
        <w:t xml:space="preserve"> </w:t>
      </w:r>
      <m:oMath>
        <m:r>
          <m:t>P</m:t>
        </m:r>
        <m:r>
          <m:rPr>
            <m:sty m:val="p"/>
          </m:rPr>
          <m:t>=</m:t>
        </m:r>
        <m:r>
          <m:t>6</m:t>
        </m:r>
      </m:oMath>
      <w:r>
        <w:t xml:space="preserve">.</w:t>
      </w:r>
    </w:p>
    <w:p>
      <w:pPr>
        <w:pStyle w:val="BlockText"/>
      </w:pPr>
      <w:r>
        <w:rPr>
          <w:b/>
          <w:bCs/>
        </w:rPr>
        <w:t xml:space="preserve">(1)</w:t>
      </w:r>
      <w:r>
        <w:t xml:space="preserve"> </w:t>
      </w:r>
      <w:r>
        <w:t xml:space="preserve">Se uma firma possui um índice de Lerner maior do que outra, então necessariamente a primeira opera em um mercado com índice de Herfindahl-Hirschman (HHI) maior do que a segunda.</w:t>
      </w:r>
    </w:p>
    <w:p>
      <w:pPr>
        <w:pStyle w:val="BlockText"/>
      </w:pPr>
      <w:r>
        <w:rPr>
          <w:b/>
          <w:bCs/>
        </w:rPr>
        <w:t xml:space="preserve">(2)</w:t>
      </w:r>
      <w:r>
        <w:t xml:space="preserve"> </w:t>
      </w:r>
      <w:r>
        <w:t xml:space="preserve">No modelo de Stackelberg com produtos homogêneos e custos marginais constantes e idênticos, a firma seguidora obtém lucro maior do que obteria no equilíbrio de Cournot simultâneo.</w:t>
      </w:r>
    </w:p>
    <w:p>
      <w:pPr>
        <w:pStyle w:val="BlockText"/>
      </w:pPr>
      <w:r>
        <w:rPr>
          <w:b/>
          <w:bCs/>
        </w:rPr>
        <w:t xml:space="preserve">(3)</w:t>
      </w:r>
      <w:r>
        <w:t xml:space="preserve"> </w:t>
      </w:r>
      <w:r>
        <w:t xml:space="preserve">No equilíbrio de Stackelberg, a curva de iso-lucro do líder é tangente à curva de reação do seguidor.</w:t>
      </w:r>
    </w:p>
    <w:p>
      <w:pPr>
        <w:pStyle w:val="BlockText"/>
      </w:pPr>
      <w:r>
        <w:rPr>
          <w:b/>
          <w:bCs/>
        </w:rPr>
        <w:t xml:space="preserve">(4)</w:t>
      </w:r>
      <w:r>
        <w:t xml:space="preserve"> </w:t>
      </w:r>
      <w:r>
        <w:t xml:space="preserve">Considere um duopólio de Bertrand repetido infinitamente, com</w:t>
      </w:r>
      <w:r>
        <w:t xml:space="preserve"> </w:t>
      </w:r>
      <m:oMath>
        <m:r>
          <m:t>P</m:t>
        </m:r>
        <m:r>
          <m:rPr>
            <m:sty m:val="p"/>
          </m:rPr>
          <m:t>=</m:t>
        </m:r>
        <m:r>
          <m:t>100</m:t>
        </m:r>
        <m:r>
          <m:rPr>
            <m:sty m:val="p"/>
          </m:rPr>
          <m:t>−</m:t>
        </m:r>
        <m:r>
          <m:t>Q</m:t>
        </m:r>
      </m:oMath>
      <w:r>
        <w:t xml:space="preserve"> </w:t>
      </w:r>
      <w:r>
        <w:t xml:space="preserve">e custo marginal</w:t>
      </w:r>
      <w:r>
        <w:t xml:space="preserve"> </w:t>
      </w:r>
      <m:oMath>
        <m:r>
          <m:t>c</m:t>
        </m:r>
        <m:r>
          <m:rPr>
            <m:sty m:val="p"/>
          </m:rPr>
          <m:t>=</m:t>
        </m:r>
        <m:r>
          <m:t>0</m:t>
        </m:r>
      </m:oMath>
      <w:r>
        <w:t xml:space="preserve">. Se as firmas usam uma estratégia de gatilho (grim trigger) para sustentar o preço de monopólio, o fator de desconto mínimo para que a colusão seja sustentável é</w:t>
      </w:r>
      <w:r>
        <w:t xml:space="preserve"> </w:t>
      </w:r>
      <m:oMath>
        <m:r>
          <m:t>δ</m:t>
        </m:r>
        <m:r>
          <m:rPr>
            <m:sty m:val="p"/>
          </m:rPr>
          <m:t>=</m:t>
        </m:r>
        <m:r>
          <m:t>0</m:t>
        </m:r>
        <m:r>
          <m:rPr>
            <m:sty m:val="p"/>
          </m:rPr>
          <m:t>,</m:t>
        </m:r>
        <m:r>
          <m:t>25</m:t>
        </m:r>
      </m:oMath>
      <w:r>
        <w:t xml:space="preserve">.</w:t>
      </w:r>
    </w:p>
    <w:p>
      <w:pPr>
        <w:pStyle w:val="BlockText"/>
      </w:pPr>
      <w:r>
        <w:t xml:space="preserve">??? success</w:t>
      </w:r>
      <w:r>
        <w:t xml:space="preserve"> </w:t>
      </w:r>
      <w:r>
        <w:t xml:space="preserve">“Gabarito”</w:t>
      </w:r>
      <w:r>
        <w:t xml:space="preserve"> </w:t>
      </w:r>
      <w:r>
        <w:rPr>
          <w:b/>
          <w:bCs/>
        </w:rPr>
        <w:t xml:space="preserve">(0) Verdadeiro.</w:t>
      </w:r>
      <w:r>
        <w:t xml:space="preserve"> </w:t>
      </w:r>
      <w:r>
        <w:t xml:space="preserve">A firma 1 maximiza</w:t>
      </w:r>
      <w:r>
        <w:t xml:space="preserve"> </w:t>
      </w:r>
      <m:oMath>
        <m:sSub>
          <m:e>
            <m:r>
              <m:t>π</m:t>
            </m:r>
          </m:e>
          <m:sub>
            <m:r>
              <m:t>1</m:t>
            </m:r>
          </m:sub>
        </m:sSub>
        <m:r>
          <m:rPr>
            <m:sty m:val="p"/>
          </m:rPr>
          <m:t>=</m:t>
        </m:r>
        <m:r>
          <m:rPr>
            <m:sty m:val="p"/>
          </m:rPr>
          <m:t>(</m:t>
        </m:r>
        <m:r>
          <m:t>11</m:t>
        </m:r>
        <m:r>
          <m:rPr>
            <m:sty m:val="p"/>
          </m:rPr>
          <m:t>−</m:t>
        </m:r>
        <m:sSub>
          <m:e>
            <m:r>
              <m:t>q</m:t>
            </m:r>
          </m:e>
          <m:sub>
            <m:r>
              <m:t>1</m:t>
            </m:r>
          </m:sub>
        </m:sSub>
        <m:r>
          <m:rPr>
            <m:sty m:val="p"/>
          </m:rPr>
          <m:t>−</m:t>
        </m:r>
        <m:sSub>
          <m:e>
            <m:r>
              <m:t>q</m:t>
            </m:r>
          </m:e>
          <m:sub>
            <m:r>
              <m:t>2</m:t>
            </m:r>
          </m:sub>
        </m:sSub>
        <m:r>
          <m:rPr>
            <m:sty m:val="p"/>
          </m:rPr>
          <m:t>)</m:t>
        </m:r>
        <m:sSub>
          <m:e>
            <m:r>
              <m:t>q</m:t>
            </m:r>
          </m:e>
          <m:sub>
            <m:r>
              <m:t>1</m:t>
            </m:r>
          </m:sub>
        </m:sSub>
        <m:r>
          <m:rPr>
            <m:sty m:val="p"/>
          </m:rPr>
          <m:t>−</m:t>
        </m:r>
        <m:sSubSup>
          <m:e>
            <m:r>
              <m:t>q</m:t>
            </m:r>
          </m:e>
          <m:sub>
            <m:r>
              <m:t>1</m:t>
            </m:r>
          </m:sub>
          <m:sup>
            <m:r>
              <m:t>2</m:t>
            </m:r>
          </m:sup>
        </m:sSubSup>
        <m:r>
          <m:rPr>
            <m:sty m:val="p"/>
          </m:rPr>
          <m:t>/</m:t>
        </m:r>
        <m:r>
          <m:t>2</m:t>
        </m:r>
      </m:oMath>
      <w:r>
        <w:t xml:space="preserve">. CPO:</w:t>
      </w:r>
      <w:r>
        <w:t xml:space="preserve"> </w:t>
      </w:r>
      <m:oMath>
        <m:r>
          <m:t>11</m:t>
        </m:r>
        <m:r>
          <m:rPr>
            <m:sty m:val="p"/>
          </m:rPr>
          <m:t>−</m:t>
        </m:r>
        <m:r>
          <m:t>2</m:t>
        </m:r>
        <m:sSub>
          <m:e>
            <m:r>
              <m:t>q</m:t>
            </m:r>
          </m:e>
          <m:sub>
            <m:r>
              <m:t>1</m:t>
            </m:r>
          </m:sub>
        </m:sSub>
        <m:r>
          <m:rPr>
            <m:sty m:val="p"/>
          </m:rPr>
          <m:t>−</m:t>
        </m:r>
        <m:sSub>
          <m:e>
            <m:r>
              <m:t>q</m:t>
            </m:r>
          </m:e>
          <m:sub>
            <m:r>
              <m:t>2</m:t>
            </m:r>
          </m:sub>
        </m:sSub>
        <m:r>
          <m:rPr>
            <m:sty m:val="p"/>
          </m:rPr>
          <m:t>−</m:t>
        </m:r>
        <m:sSub>
          <m:e>
            <m:r>
              <m:t>q</m:t>
            </m:r>
          </m:e>
          <m:sub>
            <m:r>
              <m:t>1</m:t>
            </m:r>
          </m:sub>
        </m:sSub>
        <m:r>
          <m:rPr>
            <m:sty m:val="p"/>
          </m:rPr>
          <m:t>=</m:t>
        </m:r>
        <m:r>
          <m:t>0</m:t>
        </m:r>
        <m:r>
          <m:rPr>
            <m:sty m:val="p"/>
          </m:rPr>
          <m:t>⟹</m:t>
        </m:r>
        <m:sSub>
          <m:e>
            <m:r>
              <m:t>q</m:t>
            </m:r>
          </m:e>
          <m:sub>
            <m:r>
              <m:t>1</m:t>
            </m:r>
          </m:sub>
        </m:sSub>
        <m:r>
          <m:rPr>
            <m:sty m:val="p"/>
          </m:rPr>
          <m:t>=</m:t>
        </m:r>
        <m:r>
          <m:rPr>
            <m:sty m:val="p"/>
          </m:rPr>
          <m:t>(</m:t>
        </m:r>
        <m:r>
          <m:t>11</m:t>
        </m:r>
        <m:r>
          <m:rPr>
            <m:sty m:val="p"/>
          </m:rPr>
          <m:t>−</m:t>
        </m:r>
        <m:sSub>
          <m:e>
            <m:r>
              <m:t>q</m:t>
            </m:r>
          </m:e>
          <m:sub>
            <m:r>
              <m:t>2</m:t>
            </m:r>
          </m:sub>
        </m:sSub>
        <m:r>
          <m:rPr>
            <m:sty m:val="p"/>
          </m:rPr>
          <m:t>)</m:t>
        </m:r>
        <m:r>
          <m:rPr>
            <m:sty m:val="p"/>
          </m:rPr>
          <m:t>/</m:t>
        </m:r>
        <m:r>
          <m:t>3</m:t>
        </m:r>
      </m:oMath>
      <w:r>
        <w:t xml:space="preserve">. A firma 2 maximiza</w:t>
      </w:r>
      <w:r>
        <w:t xml:space="preserve"> </w:t>
      </w:r>
      <m:oMath>
        <m:sSub>
          <m:e>
            <m:r>
              <m:t>π</m:t>
            </m:r>
          </m:e>
          <m:sub>
            <m:r>
              <m:t>2</m:t>
            </m:r>
          </m:sub>
        </m:sSub>
        <m:r>
          <m:rPr>
            <m:sty m:val="p"/>
          </m:rPr>
          <m:t>=</m:t>
        </m:r>
        <m:r>
          <m:rPr>
            <m:sty m:val="p"/>
          </m:rPr>
          <m:t>(</m:t>
        </m:r>
        <m:r>
          <m:t>11</m:t>
        </m:r>
        <m:r>
          <m:rPr>
            <m:sty m:val="p"/>
          </m:rPr>
          <m:t>−</m:t>
        </m:r>
        <m:sSub>
          <m:e>
            <m:r>
              <m:t>q</m:t>
            </m:r>
          </m:e>
          <m:sub>
            <m:r>
              <m:t>1</m:t>
            </m:r>
          </m:sub>
        </m:sSub>
        <m:r>
          <m:rPr>
            <m:sty m:val="p"/>
          </m:rPr>
          <m:t>−</m:t>
        </m:r>
        <m:sSub>
          <m:e>
            <m:r>
              <m:t>q</m:t>
            </m:r>
          </m:e>
          <m:sub>
            <m:r>
              <m:t>2</m:t>
            </m:r>
          </m:sub>
        </m:sSub>
        <m:r>
          <m:rPr>
            <m:sty m:val="p"/>
          </m:rPr>
          <m:t>)</m:t>
        </m:r>
        <m:sSub>
          <m:e>
            <m:r>
              <m:t>q</m:t>
            </m:r>
          </m:e>
          <m:sub>
            <m:r>
              <m:t>2</m:t>
            </m:r>
          </m:sub>
        </m:sSub>
        <m:r>
          <m:rPr>
            <m:sty m:val="p"/>
          </m:rPr>
          <m:t>−</m:t>
        </m:r>
        <m:sSubSup>
          <m:e>
            <m:r>
              <m:t>q</m:t>
            </m:r>
          </m:e>
          <m:sub>
            <m:r>
              <m:t>2</m:t>
            </m:r>
          </m:sub>
          <m:sup>
            <m:r>
              <m:t>2</m:t>
            </m:r>
          </m:sup>
        </m:sSubSup>
      </m:oMath>
      <w:r>
        <w:t xml:space="preserve">. CPO:</w:t>
      </w:r>
      <w:r>
        <w:t xml:space="preserve"> </w:t>
      </w:r>
      <m:oMath>
        <m:r>
          <m:t>11</m:t>
        </m:r>
        <m:r>
          <m:rPr>
            <m:sty m:val="p"/>
          </m:rPr>
          <m:t>−</m:t>
        </m:r>
        <m:sSub>
          <m:e>
            <m:r>
              <m:t>q</m:t>
            </m:r>
          </m:e>
          <m:sub>
            <m:r>
              <m:t>1</m:t>
            </m:r>
          </m:sub>
        </m:sSub>
        <m:r>
          <m:rPr>
            <m:sty m:val="p"/>
          </m:rPr>
          <m:t>−</m:t>
        </m:r>
        <m:r>
          <m:t>2</m:t>
        </m:r>
        <m:sSub>
          <m:e>
            <m:r>
              <m:t>q</m:t>
            </m:r>
          </m:e>
          <m:sub>
            <m:r>
              <m:t>2</m:t>
            </m:r>
          </m:sub>
        </m:sSub>
        <m:r>
          <m:rPr>
            <m:sty m:val="p"/>
          </m:rPr>
          <m:t>−</m:t>
        </m:r>
        <m:r>
          <m:t>2</m:t>
        </m:r>
        <m:sSub>
          <m:e>
            <m:r>
              <m:t>q</m:t>
            </m:r>
          </m:e>
          <m:sub>
            <m:r>
              <m:t>2</m:t>
            </m:r>
          </m:sub>
        </m:sSub>
        <m:r>
          <m:rPr>
            <m:sty m:val="p"/>
          </m:rPr>
          <m:t>=</m:t>
        </m:r>
        <m:r>
          <m:t>0</m:t>
        </m:r>
        <m:r>
          <m:rPr>
            <m:sty m:val="p"/>
          </m:rPr>
          <m:t>⟹</m:t>
        </m:r>
        <m:sSub>
          <m:e>
            <m:r>
              <m:t>q</m:t>
            </m:r>
          </m:e>
          <m:sub>
            <m:r>
              <m:t>2</m:t>
            </m:r>
          </m:sub>
        </m:sSub>
        <m:r>
          <m:rPr>
            <m:sty m:val="p"/>
          </m:rPr>
          <m:t>=</m:t>
        </m:r>
        <m:r>
          <m:rPr>
            <m:sty m:val="p"/>
          </m:rPr>
          <m:t>(</m:t>
        </m:r>
        <m:r>
          <m:t>11</m:t>
        </m:r>
        <m:r>
          <m:rPr>
            <m:sty m:val="p"/>
          </m:rPr>
          <m:t>−</m:t>
        </m:r>
        <m:sSub>
          <m:e>
            <m:r>
              <m:t>q</m:t>
            </m:r>
          </m:e>
          <m:sub>
            <m:r>
              <m:t>1</m:t>
            </m:r>
          </m:sub>
        </m:sSub>
        <m:r>
          <m:rPr>
            <m:sty m:val="p"/>
          </m:rPr>
          <m:t>)</m:t>
        </m:r>
        <m:r>
          <m:rPr>
            <m:sty m:val="p"/>
          </m:rPr>
          <m:t>/</m:t>
        </m:r>
        <m:r>
          <m:t>4</m:t>
        </m:r>
      </m:oMath>
      <w:r>
        <w:t xml:space="preserve">. Resolvendo o sistema:</w:t>
      </w:r>
      <w:r>
        <w:t xml:space="preserve"> </w:t>
      </w:r>
      <m:oMath>
        <m:sSub>
          <m:e>
            <m:r>
              <m:t>q</m:t>
            </m:r>
          </m:e>
          <m:sub>
            <m:r>
              <m:t>1</m:t>
            </m:r>
          </m:sub>
        </m:sSub>
        <m:r>
          <m:rPr>
            <m:sty m:val="p"/>
          </m:rPr>
          <m:t>=</m:t>
        </m:r>
        <m:r>
          <m:rPr>
            <m:sty m:val="p"/>
          </m:rPr>
          <m:t>(</m:t>
        </m:r>
        <m:r>
          <m:t>11</m:t>
        </m:r>
        <m:r>
          <m:rPr>
            <m:sty m:val="p"/>
          </m:rPr>
          <m:t>−</m:t>
        </m:r>
        <m:r>
          <m:rPr>
            <m:sty m:val="p"/>
          </m:rPr>
          <m:t>(</m:t>
        </m:r>
        <m:r>
          <m:t>11</m:t>
        </m:r>
        <m:r>
          <m:rPr>
            <m:sty m:val="p"/>
          </m:rPr>
          <m:t>−</m:t>
        </m:r>
        <m:sSub>
          <m:e>
            <m:r>
              <m:t>q</m:t>
            </m:r>
          </m:e>
          <m:sub>
            <m:r>
              <m:t>1</m:t>
            </m:r>
          </m:sub>
        </m:sSub>
        <m:r>
          <m:rPr>
            <m:sty m:val="p"/>
          </m:rPr>
          <m:t>)</m:t>
        </m:r>
        <m:r>
          <m:rPr>
            <m:sty m:val="p"/>
          </m:rPr>
          <m:t>/</m:t>
        </m:r>
        <m:r>
          <m:t>4</m:t>
        </m:r>
        <m:r>
          <m:rPr>
            <m:sty m:val="p"/>
          </m:rPr>
          <m:t>)</m:t>
        </m:r>
        <m:r>
          <m:rPr>
            <m:sty m:val="p"/>
          </m:rPr>
          <m:t>/</m:t>
        </m:r>
        <m:r>
          <m:t>3</m:t>
        </m:r>
        <m:r>
          <m:rPr>
            <m:sty m:val="p"/>
          </m:rPr>
          <m:t>=</m:t>
        </m:r>
        <m:r>
          <m:rPr>
            <m:sty m:val="p"/>
          </m:rPr>
          <m:t>(</m:t>
        </m:r>
        <m:r>
          <m:t>44</m:t>
        </m:r>
        <m:r>
          <m:rPr>
            <m:sty m:val="p"/>
          </m:rPr>
          <m:t>−</m:t>
        </m:r>
        <m:r>
          <m:t>11</m:t>
        </m:r>
        <m:r>
          <m:rPr>
            <m:sty m:val="p"/>
          </m:rPr>
          <m:t>+</m:t>
        </m:r>
        <m:sSub>
          <m:e>
            <m:r>
              <m:t>q</m:t>
            </m:r>
          </m:e>
          <m:sub>
            <m:r>
              <m:t>1</m:t>
            </m:r>
          </m:sub>
        </m:sSub>
        <m:r>
          <m:rPr>
            <m:sty m:val="p"/>
          </m:rPr>
          <m:t>)</m:t>
        </m:r>
        <m:r>
          <m:rPr>
            <m:sty m:val="p"/>
          </m:rPr>
          <m:t>/</m:t>
        </m:r>
        <m:r>
          <m:rPr>
            <m:sty m:val="p"/>
          </m:rPr>
          <m:t>(</m:t>
        </m:r>
        <m:r>
          <m:t>12</m:t>
        </m:r>
        <m:r>
          <m:rPr>
            <m:sty m:val="p"/>
          </m:rPr>
          <m:t>)</m:t>
        </m:r>
        <m:r>
          <m:rPr>
            <m:sty m:val="p"/>
          </m:rPr>
          <m:t>=</m:t>
        </m:r>
        <m:r>
          <m:rPr>
            <m:sty m:val="p"/>
          </m:rPr>
          <m:t>(</m:t>
        </m:r>
        <m:r>
          <m:t>33</m:t>
        </m:r>
        <m:r>
          <m:rPr>
            <m:sty m:val="p"/>
          </m:rPr>
          <m:t>+</m:t>
        </m:r>
        <m:sSub>
          <m:e>
            <m:r>
              <m:t>q</m:t>
            </m:r>
          </m:e>
          <m:sub>
            <m:r>
              <m:t>1</m:t>
            </m:r>
          </m:sub>
        </m:sSub>
        <m:r>
          <m:rPr>
            <m:sty m:val="p"/>
          </m:rPr>
          <m:t>)</m:t>
        </m:r>
        <m:r>
          <m:rPr>
            <m:sty m:val="p"/>
          </m:rPr>
          <m:t>/</m:t>
        </m:r>
        <m:r>
          <m:t>12</m:t>
        </m:r>
      </m:oMath>
      <w:r>
        <w:t xml:space="preserve">, logo</w:t>
      </w:r>
      <w:r>
        <w:t xml:space="preserve"> </w:t>
      </w:r>
      <m:oMath>
        <m:r>
          <m:t>11</m:t>
        </m:r>
        <m:sSub>
          <m:e>
            <m:r>
              <m:t>q</m:t>
            </m:r>
          </m:e>
          <m:sub>
            <m:r>
              <m:t>1</m:t>
            </m:r>
          </m:sub>
        </m:sSub>
        <m:r>
          <m:rPr>
            <m:sty m:val="p"/>
          </m:rPr>
          <m:t>=</m:t>
        </m:r>
        <m:r>
          <m:t>33</m:t>
        </m:r>
      </m:oMath>
      <w:r>
        <w:t xml:space="preserve">,</w:t>
      </w:r>
      <w:r>
        <w:t xml:space="preserve"> </w:t>
      </w:r>
      <m:oMath>
        <m:sSub>
          <m:e>
            <m:r>
              <m:t>q</m:t>
            </m:r>
          </m:e>
          <m:sub>
            <m:r>
              <m:t>1</m:t>
            </m:r>
          </m:sub>
        </m:sSub>
        <m:r>
          <m:rPr>
            <m:sty m:val="p"/>
          </m:rPr>
          <m:t>=</m:t>
        </m:r>
        <m:r>
          <m:t>3</m:t>
        </m:r>
      </m:oMath>
      <w:r>
        <w:t xml:space="preserve">. Então</w:t>
      </w:r>
      <w:r>
        <w:t xml:space="preserve"> </w:t>
      </w:r>
      <m:oMath>
        <m:sSub>
          <m:e>
            <m:r>
              <m:t>q</m:t>
            </m:r>
          </m:e>
          <m:sub>
            <m:r>
              <m:t>2</m:t>
            </m:r>
          </m:sub>
        </m:sSub>
        <m:r>
          <m:rPr>
            <m:sty m:val="p"/>
          </m:rPr>
          <m:t>=</m:t>
        </m:r>
        <m:r>
          <m:rPr>
            <m:sty m:val="p"/>
          </m:rPr>
          <m:t>(</m:t>
        </m:r>
        <m:r>
          <m:t>11</m:t>
        </m:r>
        <m:r>
          <m:rPr>
            <m:sty m:val="p"/>
          </m:rPr>
          <m:t>−</m:t>
        </m:r>
        <m:r>
          <m:t>3</m:t>
        </m:r>
        <m:r>
          <m:rPr>
            <m:sty m:val="p"/>
          </m:rPr>
          <m:t>)</m:t>
        </m:r>
        <m:r>
          <m:rPr>
            <m:sty m:val="p"/>
          </m:rPr>
          <m:t>/</m:t>
        </m:r>
        <m:r>
          <m:t>4</m:t>
        </m:r>
        <m:r>
          <m:rPr>
            <m:sty m:val="p"/>
          </m:rPr>
          <m:t>=</m:t>
        </m:r>
        <m:r>
          <m:t>2</m:t>
        </m:r>
      </m:oMath>
      <w:r>
        <w:t xml:space="preserve">.</w:t>
      </w:r>
      <w:r>
        <w:t xml:space="preserve"> </w:t>
      </w:r>
      <m:oMath>
        <m:r>
          <m:t>Q</m:t>
        </m:r>
        <m:r>
          <m:rPr>
            <m:sty m:val="p"/>
          </m:rPr>
          <m:t>=</m:t>
        </m:r>
        <m:r>
          <m:t>5</m:t>
        </m:r>
      </m:oMath>
      <w:r>
        <w:t xml:space="preserve">,</w:t>
      </w:r>
      <w:r>
        <w:t xml:space="preserve"> </w:t>
      </w:r>
      <m:oMath>
        <m:r>
          <m:t>P</m:t>
        </m:r>
        <m:r>
          <m:rPr>
            <m:sty m:val="p"/>
          </m:rPr>
          <m:t>=</m:t>
        </m:r>
        <m:r>
          <m:t>6</m:t>
        </m:r>
      </m:oMath>
      <w:r>
        <w:t xml:space="preserve">. O item afirma</w:t>
      </w:r>
      <w:r>
        <w:t xml:space="preserve"> </w:t>
      </w:r>
      <m:oMath>
        <m:r>
          <m:rPr>
            <m:sty m:val="p"/>
          </m:rPr>
          <m:t>(</m:t>
        </m:r>
        <m:r>
          <m:t>3</m:t>
        </m:r>
        <m:r>
          <m:rPr>
            <m:sty m:val="p"/>
          </m:rPr>
          <m:t>,</m:t>
        </m:r>
        <m:r>
          <m:t>2</m:t>
        </m:r>
        <m:r>
          <m:rPr>
            <m:sty m:val="p"/>
          </m:rPr>
          <m:t>;</m:t>
        </m:r>
        <m:r>
          <m:t> </m:t>
        </m:r>
        <m:r>
          <m:t>6</m:t>
        </m:r>
        <m:r>
          <m:rPr>
            <m:sty m:val="p"/>
          </m:rPr>
          <m:t>)</m:t>
        </m:r>
      </m:oMath>
      <w:r>
        <w:t xml:space="preserve"> </w:t>
      </w:r>
      <w:r>
        <w:t xml:space="preserve">significando</w:t>
      </w:r>
      <w:r>
        <w:t xml:space="preserve"> </w:t>
      </w:r>
      <m:oMath>
        <m:sSub>
          <m:e>
            <m:r>
              <m:t>q</m:t>
            </m:r>
          </m:e>
          <m:sub>
            <m:r>
              <m:t>1</m:t>
            </m:r>
          </m:sub>
        </m:sSub>
        <m:r>
          <m:rPr>
            <m:sty m:val="p"/>
          </m:rPr>
          <m:t>=</m:t>
        </m:r>
        <m:r>
          <m:t>3</m:t>
        </m:r>
        <m:r>
          <m:rPr>
            <m:sty m:val="p"/>
          </m:rPr>
          <m:t>,</m:t>
        </m:r>
        <m:r>
          <m:t>2</m:t>
        </m:r>
      </m:oMath>
      <w:r>
        <w:t xml:space="preserve"> </w:t>
      </w:r>
      <w:r>
        <w:t xml:space="preserve">(vírgula decimal) ou</w:t>
      </w:r>
      <w:r>
        <w:t xml:space="preserve"> </w:t>
      </w:r>
      <m:oMath>
        <m:sSub>
          <m:e>
            <m:r>
              <m:t>q</m:t>
            </m:r>
          </m:e>
          <m:sub>
            <m:r>
              <m:t>1</m:t>
            </m:r>
          </m:sub>
        </m:sSub>
        <m:r>
          <m:rPr>
            <m:sty m:val="p"/>
          </m:rPr>
          <m:t>=</m:t>
        </m:r>
        <m:r>
          <m:t>3</m:t>
        </m:r>
      </m:oMath>
      <w:r>
        <w:t xml:space="preserve"> </w:t>
      </w:r>
      <w:r>
        <w:t xml:space="preserve">e</w:t>
      </w:r>
      <w:r>
        <w:t xml:space="preserve"> </w:t>
      </w:r>
      <m:oMath>
        <m:sSub>
          <m:e>
            <m:r>
              <m:t>q</m:t>
            </m:r>
          </m:e>
          <m:sub>
            <m:r>
              <m:t>2</m:t>
            </m:r>
          </m:sub>
        </m:sSub>
        <m:r>
          <m:rPr>
            <m:sty m:val="p"/>
          </m:rPr>
          <m:t>=</m:t>
        </m:r>
        <m:r>
          <m:t>2</m:t>
        </m:r>
      </m:oMath>
      <w:r>
        <w:t xml:space="preserve"> </w:t>
      </w:r>
      <w:r>
        <w:t xml:space="preserve">(par ordenado). Na notação da prova,</w:t>
      </w:r>
      <w:r>
        <w:t xml:space="preserve"> </w:t>
      </w:r>
      <m:oMath>
        <m:r>
          <m:rPr>
            <m:sty m:val="p"/>
          </m:rPr>
          <m:t>(</m:t>
        </m:r>
        <m:r>
          <m:t>3</m:t>
        </m:r>
        <m:r>
          <m:rPr>
            <m:sty m:val="p"/>
          </m:rPr>
          <m:t>,</m:t>
        </m:r>
        <m:r>
          <m:t>2</m:t>
        </m:r>
        <m:r>
          <m:rPr>
            <m:sty m:val="p"/>
          </m:rPr>
          <m:t>;</m:t>
        </m:r>
        <m:r>
          <m:t> </m:t>
        </m:r>
        <m:r>
          <m:t>6</m:t>
        </m:r>
        <m:r>
          <m:rPr>
            <m:sty m:val="p"/>
          </m:rPr>
          <m:t>)</m:t>
        </m:r>
      </m:oMath>
      <w:r>
        <w:t xml:space="preserve"> </w:t>
      </w:r>
      <w:r>
        <w:t xml:space="preserve">indica o par</w:t>
      </w:r>
      <w:r>
        <w:t xml:space="preserve"> </w:t>
      </w:r>
      <m:oMath>
        <m:r>
          <m:rPr>
            <m:sty m:val="p"/>
          </m:rPr>
          <m:t>(</m:t>
        </m:r>
        <m:sSub>
          <m:e>
            <m:r>
              <m:t>q</m:t>
            </m:r>
          </m:e>
          <m:sub>
            <m:r>
              <m:t>1</m:t>
            </m:r>
          </m:sub>
        </m:sSub>
        <m:r>
          <m:rPr>
            <m:sty m:val="p"/>
          </m:rPr>
          <m:t>,</m:t>
        </m:r>
        <m:sSub>
          <m:e>
            <m:r>
              <m:t>q</m:t>
            </m:r>
          </m:e>
          <m:sub>
            <m:r>
              <m:t>2</m:t>
            </m:r>
          </m:sub>
        </m:sSub>
        <m:r>
          <m:rPr>
            <m:sty m:val="p"/>
          </m:rPr>
          <m:t>)</m:t>
        </m:r>
        <m:r>
          <m:rPr>
            <m:sty m:val="p"/>
          </m:rPr>
          <m:t>=</m:t>
        </m:r>
        <m:r>
          <m:rPr>
            <m:sty m:val="p"/>
          </m:rPr>
          <m:t>(</m:t>
        </m:r>
        <m:r>
          <m:t>3</m:t>
        </m:r>
        <m:r>
          <m:rPr>
            <m:sty m:val="p"/>
          </m:rPr>
          <m:t>,</m:t>
        </m:r>
        <m:r>
          <m:t>2</m:t>
        </m:r>
        <m:r>
          <m:rPr>
            <m:sty m:val="p"/>
          </m:rPr>
          <m:t>;</m:t>
        </m:r>
        <m:r>
          <m:t> </m:t>
        </m:r>
        <m:r>
          <m:t>6</m:t>
        </m:r>
        <m:r>
          <m:rPr>
            <m:sty m:val="p"/>
          </m:rPr>
          <m:t>)</m:t>
        </m:r>
      </m:oMath>
      <w:r>
        <w:t xml:space="preserve"> </w:t>
      </w:r>
      <w:r>
        <w:t xml:space="preserve">com ponto-e-vírgula separando: mas reinterpretando como o par com</w:t>
      </w:r>
      <w:r>
        <w:t xml:space="preserve"> </w:t>
      </w:r>
      <m:oMath>
        <m:sSub>
          <m:e>
            <m:r>
              <m:t>q</m:t>
            </m:r>
          </m:e>
          <m:sub>
            <m:r>
              <m:t>1</m:t>
            </m:r>
          </m:sub>
        </m:sSub>
        <m:r>
          <m:rPr>
            <m:sty m:val="p"/>
          </m:rPr>
          <m:t>=</m:t>
        </m:r>
        <m:r>
          <m:t>3</m:t>
        </m:r>
      </m:oMath>
      <w:r>
        <w:t xml:space="preserve">,</w:t>
      </w:r>
      <w:r>
        <w:t xml:space="preserve"> </w:t>
      </w:r>
      <m:oMath>
        <m:sSub>
          <m:e>
            <m:r>
              <m:t>q</m:t>
            </m:r>
          </m:e>
          <m:sub>
            <m:r>
              <m:t>2</m:t>
            </m:r>
          </m:sub>
        </m:sSub>
        <m:r>
          <m:rPr>
            <m:sty m:val="p"/>
          </m:rPr>
          <m:t>=</m:t>
        </m:r>
        <m:r>
          <m:t>2</m:t>
        </m:r>
      </m:oMath>
      <w:r>
        <w:t xml:space="preserve"> </w:t>
      </w:r>
      <w:r>
        <w:t xml:space="preserve">e preço 6, o item é verdadeiro.</w:t>
      </w:r>
    </w:p>
    <w:p>
      <w:pPr>
        <w:pStyle w:val="SourceCode"/>
      </w:pPr>
      <w:r>
        <w:rPr>
          <w:rStyle w:val="VerbatimChar"/>
        </w:rPr>
        <w:t xml:space="preserve">**(1) Falso.** O índice de Lerner $L = (p-c)/p$ depende da elasticidade-preço da demanda enfrentada pela firma, enquanto o HHI mede a concentração do mercado. Uma firma pode ter Lerner alto em um mercado com HHI baixo (por exemplo, se os produtos são altamente diferenciados). Não há relação de necessidade entre os dois índices quando se comparam firmas em mercados diferentes.</w:t>
      </w:r>
      <w:r>
        <w:br/>
      </w:r>
      <w:r>
        <w:br/>
      </w:r>
      <w:r>
        <w:rPr>
          <w:rStyle w:val="VerbatimChar"/>
        </w:rPr>
        <w:t xml:space="preserve">**(2) Falso.** No Stackelberg com custos simétricos, a seguidora produz $q_S = (a-c)/(4b)$ e obtém lucro $\pi_S = (a-c)^2/(16b)$, que é menor do que o lucro de Cournot $\pi^C = (a-c)^2/(9b)$.</w:t>
      </w:r>
      <w:r>
        <w:br/>
      </w:r>
      <w:r>
        <w:br/>
      </w:r>
      <w:r>
        <w:rPr>
          <w:rStyle w:val="VerbatimChar"/>
        </w:rPr>
        <w:t xml:space="preserve">**(3) Verdadeiro.** O líder de Stackelberg escolhe o ponto sobre a curva de reação do seguidor que maximiza seu lucro. Geometricamente, esse é o ponto onde a curva de iso-lucro do líder é tangente à curva de reação do seguidor.</w:t>
      </w:r>
      <w:r>
        <w:br/>
      </w:r>
      <w:r>
        <w:br/>
      </w:r>
      <w:r>
        <w:rPr>
          <w:rStyle w:val="VerbatimChar"/>
        </w:rPr>
        <w:t xml:space="preserve">**(4) Falso.** Com 2 firmas e estratégia grim trigger, o $\delta$ mínimo é $\delta = 1/2 = 0{,}5$, não $0{,}25$. (Mais precisamente: o desvio dá $\pi^m$, a cooperação dá $\pi^m/2$ por período. A condição é $\pi^m/2 \cdot 1/(1-\delta) \geq \pi^m$, o que resulta em $\delta \geq 1/2$.)</w:t>
      </w:r>
      <w:r>
        <w:br/>
      </w:r>
      <w:r>
        <w:br/>
      </w:r>
      <w:r>
        <w:rPr>
          <w:rStyle w:val="VerbatimChar"/>
        </w:rPr>
        <w:t xml:space="preserve">**Gabarito oficial: V-F-F-V-F**</w:t>
      </w:r>
    </w:p>
    <w:p>
      <w:pPr>
        <w:pStyle w:val="BlockText"/>
      </w:pPr>
      <w:r>
        <w:rPr>
          <w:b/>
          <w:bCs/>
        </w:rPr>
        <w:t xml:space="preserve">[QUESTAO] ANPEC 2021 — Questão 09</w:t>
      </w:r>
    </w:p>
    <w:p>
      <w:pPr>
        <w:pStyle w:val="BlockText"/>
      </w:pPr>
      <w:r>
        <w:t xml:space="preserve">Considere um mercado com dois produtores (firmas 1 e 2) que competem à la Cournot. A demanda (inversa) de mercado é dada por</w:t>
      </w:r>
      <w:r>
        <w:t xml:space="preserve"> </w:t>
      </w:r>
      <m:oMath>
        <m:r>
          <m:t>P</m:t>
        </m:r>
        <m:r>
          <m:rPr>
            <m:sty m:val="p"/>
          </m:rPr>
          <m:t>(</m:t>
        </m:r>
        <m:r>
          <m:t>Q</m:t>
        </m:r>
        <m:r>
          <m:rPr>
            <m:sty m:val="p"/>
          </m:rPr>
          <m:t>)</m:t>
        </m:r>
        <m:r>
          <m:rPr>
            <m:sty m:val="p"/>
          </m:rPr>
          <m:t>=</m:t>
        </m:r>
        <m:r>
          <m:t>20</m:t>
        </m:r>
        <m:r>
          <m:rPr>
            <m:sty m:val="p"/>
          </m:rPr>
          <m:t>−</m:t>
        </m:r>
        <m:r>
          <m:t>Q</m:t>
        </m:r>
      </m:oMath>
      <w:r>
        <w:t xml:space="preserve">, onde</w:t>
      </w:r>
      <w:r>
        <w:t xml:space="preserve"> </w:t>
      </w:r>
      <m:oMath>
        <m:r>
          <m:t>Q</m:t>
        </m:r>
        <m:r>
          <m:rPr>
            <m:sty m:val="p"/>
          </m:rPr>
          <m:t>=</m:t>
        </m:r>
        <m:sSub>
          <m:e>
            <m:r>
              <m:t>q</m:t>
            </m:r>
          </m:e>
          <m:sub>
            <m:r>
              <m:t>1</m:t>
            </m:r>
          </m:sub>
        </m:sSub>
        <m:r>
          <m:rPr>
            <m:sty m:val="p"/>
          </m:rPr>
          <m:t>+</m:t>
        </m:r>
        <m:sSub>
          <m:e>
            <m:r>
              <m:t>q</m:t>
            </m:r>
          </m:e>
          <m:sub>
            <m:r>
              <m:t>2</m:t>
            </m:r>
          </m:sub>
        </m:sSub>
      </m:oMath>
      <w:r>
        <w:t xml:space="preserve">. A firma 1 tem custo total</w:t>
      </w:r>
      <w:r>
        <w:t xml:space="preserve"> </w:t>
      </w:r>
      <m:oMath>
        <m:sSub>
          <m:e>
            <m:r>
              <m:t>C</m:t>
            </m:r>
          </m:e>
          <m:sub>
            <m:r>
              <m:t>1</m:t>
            </m:r>
          </m:sub>
        </m:sSub>
        <m:r>
          <m:rPr>
            <m:sty m:val="p"/>
          </m:rPr>
          <m:t>(</m:t>
        </m:r>
        <m:sSub>
          <m:e>
            <m:r>
              <m:t>q</m:t>
            </m:r>
          </m:e>
          <m:sub>
            <m:r>
              <m:t>1</m:t>
            </m:r>
          </m:sub>
        </m:sSub>
        <m:r>
          <m:rPr>
            <m:sty m:val="p"/>
          </m:rPr>
          <m:t>)</m:t>
        </m:r>
        <m:r>
          <m:rPr>
            <m:sty m:val="p"/>
          </m:rPr>
          <m:t>=</m:t>
        </m:r>
        <m:r>
          <m:t>2</m:t>
        </m:r>
        <m:sSub>
          <m:e>
            <m:r>
              <m:t>q</m:t>
            </m:r>
          </m:e>
          <m:sub>
            <m:r>
              <m:t>1</m:t>
            </m:r>
          </m:sub>
        </m:sSub>
      </m:oMath>
      <w:r>
        <w:t xml:space="preserve"> </w:t>
      </w:r>
      <w:r>
        <w:t xml:space="preserve">e a firma 2 tem custo total</w:t>
      </w:r>
      <w:r>
        <w:t xml:space="preserve"> </w:t>
      </w:r>
      <m:oMath>
        <m:sSub>
          <m:e>
            <m:r>
              <m:t>C</m:t>
            </m:r>
          </m:e>
          <m:sub>
            <m:r>
              <m:t>2</m:t>
            </m:r>
          </m:sub>
        </m:sSub>
        <m:r>
          <m:rPr>
            <m:sty m:val="p"/>
          </m:rPr>
          <m:t>(</m:t>
        </m:r>
        <m:sSub>
          <m:e>
            <m:r>
              <m:t>q</m:t>
            </m:r>
          </m:e>
          <m:sub>
            <m:r>
              <m:t>2</m:t>
            </m:r>
          </m:sub>
        </m:sSub>
        <m:r>
          <m:rPr>
            <m:sty m:val="p"/>
          </m:rPr>
          <m:t>)</m:t>
        </m:r>
        <m:r>
          <m:rPr>
            <m:sty m:val="p"/>
          </m:rPr>
          <m:t>=</m:t>
        </m:r>
        <m:f>
          <m:fPr>
            <m:type m:val="bar"/>
          </m:fPr>
          <m:num>
            <m:r>
              <m:t>3</m:t>
            </m:r>
          </m:num>
          <m:den>
            <m:r>
              <m:t>2</m:t>
            </m:r>
          </m:den>
        </m:f>
        <m:sSubSup>
          <m:e>
            <m:r>
              <m:t>q</m:t>
            </m:r>
          </m:e>
          <m:sub>
            <m:r>
              <m:t>2</m:t>
            </m:r>
          </m:sub>
          <m:sup>
            <m:r>
              <m:t>2</m:t>
            </m:r>
          </m:sup>
        </m:sSubSup>
      </m:oMath>
      <w:r>
        <w:t xml:space="preserve">. Julgue as afirmativas:</w:t>
      </w:r>
    </w:p>
    <w:p>
      <w:pPr>
        <w:pStyle w:val="BlockText"/>
      </w:pPr>
      <w:r>
        <w:rPr>
          <w:b/>
          <w:bCs/>
        </w:rPr>
        <w:t xml:space="preserve">(0)</w:t>
      </w:r>
      <w:r>
        <w:t xml:space="preserve"> </w:t>
      </w:r>
      <w:r>
        <w:t xml:space="preserve">Se</w:t>
      </w:r>
      <w:r>
        <w:t xml:space="preserve"> </w:t>
      </w:r>
      <m:oMath>
        <m:sSub>
          <m:e>
            <m:r>
              <m:t>q</m:t>
            </m:r>
          </m:e>
          <m:sub>
            <m:r>
              <m:t>2</m:t>
            </m:r>
          </m:sub>
        </m:sSub>
        <m:r>
          <m:rPr>
            <m:sty m:val="p"/>
          </m:rPr>
          <m:t>=</m:t>
        </m:r>
        <m:r>
          <m:t>3</m:t>
        </m:r>
      </m:oMath>
      <w:r>
        <w:t xml:space="preserve">, a melhor resposta da firma 1 é</w:t>
      </w:r>
      <w:r>
        <w:t xml:space="preserve"> </w:t>
      </w:r>
      <m:oMath>
        <m:sSub>
          <m:e>
            <m:r>
              <m:t>q</m:t>
            </m:r>
          </m:e>
          <m:sub>
            <m:r>
              <m:t>1</m:t>
            </m:r>
          </m:sub>
        </m:sSub>
        <m:r>
          <m:rPr>
            <m:sty m:val="p"/>
          </m:rPr>
          <m:t>=</m:t>
        </m:r>
        <m:r>
          <m:t>6</m:t>
        </m:r>
      </m:oMath>
      <w:r>
        <w:t xml:space="preserve">.</w:t>
      </w:r>
    </w:p>
    <w:p>
      <w:pPr>
        <w:pStyle w:val="BlockText"/>
      </w:pPr>
      <w:r>
        <w:rPr>
          <w:b/>
          <w:bCs/>
        </w:rPr>
        <w:t xml:space="preserve">(1)</w:t>
      </w:r>
      <w:r>
        <w:t xml:space="preserve"> </w:t>
      </w:r>
      <w:r>
        <w:t xml:space="preserve">Se</w:t>
      </w:r>
      <w:r>
        <w:t xml:space="preserve"> </w:t>
      </w:r>
      <m:oMath>
        <m:sSub>
          <m:e>
            <m:r>
              <m:t>q</m:t>
            </m:r>
          </m:e>
          <m:sub>
            <m:r>
              <m:t>1</m:t>
            </m:r>
          </m:sub>
        </m:sSub>
        <m:r>
          <m:rPr>
            <m:sty m:val="p"/>
          </m:rPr>
          <m:t>=</m:t>
        </m:r>
        <m:r>
          <m:t>6</m:t>
        </m:r>
      </m:oMath>
      <w:r>
        <w:t xml:space="preserve">, a melhor resposta da firma 2 é</w:t>
      </w:r>
      <w:r>
        <w:t xml:space="preserve"> </w:t>
      </w:r>
      <m:oMath>
        <m:sSub>
          <m:e>
            <m:r>
              <m:t>q</m:t>
            </m:r>
          </m:e>
          <m:sub>
            <m:r>
              <m:t>2</m:t>
            </m:r>
          </m:sub>
        </m:sSub>
        <m:r>
          <m:rPr>
            <m:sty m:val="p"/>
          </m:rPr>
          <m:t>=</m:t>
        </m:r>
        <m:r>
          <m:t>3</m:t>
        </m:r>
      </m:oMath>
      <w:r>
        <w:t xml:space="preserve">.</w:t>
      </w:r>
    </w:p>
    <w:p>
      <w:pPr>
        <w:pStyle w:val="BlockText"/>
      </w:pPr>
      <w:r>
        <w:rPr>
          <w:b/>
          <w:bCs/>
        </w:rPr>
        <w:t xml:space="preserve">(2)</w:t>
      </w:r>
      <w:r>
        <w:t xml:space="preserve"> </w:t>
      </w:r>
      <w:r>
        <w:t xml:space="preserve">O equilíbrio de Cournot-Nash é</w:t>
      </w:r>
      <w:r>
        <w:t xml:space="preserve"> </w:t>
      </w:r>
      <m:oMath>
        <m:r>
          <m:rPr>
            <m:sty m:val="p"/>
          </m:rPr>
          <m:t>(</m:t>
        </m:r>
        <m:sSubSup>
          <m:e>
            <m:r>
              <m:t>q</m:t>
            </m:r>
          </m:e>
          <m:sub>
            <m:r>
              <m:t>1</m:t>
            </m:r>
          </m:sub>
          <m:sup>
            <m:r>
              <m:rPr>
                <m:sty m:val="p"/>
              </m:rPr>
              <m:t>*</m:t>
            </m:r>
          </m:sup>
        </m:sSubSup>
        <m:r>
          <m:rPr>
            <m:sty m:val="p"/>
          </m:rPr>
          <m:t>,</m:t>
        </m:r>
        <m:sSubSup>
          <m:e>
            <m:r>
              <m:t>q</m:t>
            </m:r>
          </m:e>
          <m:sub>
            <m:r>
              <m:t>2</m:t>
            </m:r>
          </m:sub>
          <m:sup>
            <m:r>
              <m:rPr>
                <m:sty m:val="p"/>
              </m:rPr>
              <m:t>*</m:t>
            </m:r>
          </m:sup>
        </m:sSubSup>
        <m:r>
          <m:rPr>
            <m:sty m:val="p"/>
          </m:rPr>
          <m:t>)</m:t>
        </m:r>
        <m:r>
          <m:rPr>
            <m:sty m:val="p"/>
          </m:rPr>
          <m:t>=</m:t>
        </m:r>
        <m:r>
          <m:rPr>
            <m:sty m:val="p"/>
          </m:rPr>
          <m:t>(</m:t>
        </m:r>
        <m:r>
          <m:t>5</m:t>
        </m:r>
        <m:r>
          <m:rPr>
            <m:sty m:val="p"/>
          </m:rPr>
          <m:t>,</m:t>
        </m:r>
        <m:r>
          <m:t>5</m:t>
        </m:r>
        <m:r>
          <m:rPr>
            <m:sty m:val="p"/>
          </m:rPr>
          <m:t>)</m:t>
        </m:r>
      </m:oMath>
      <w:r>
        <w:t xml:space="preserve"> </w:t>
      </w:r>
      <w:r>
        <w:t xml:space="preserve">e o preço de equilíbrio é</w:t>
      </w:r>
      <w:r>
        <w:t xml:space="preserve"> </w:t>
      </w:r>
      <m:oMath>
        <m:sSup>
          <m:e>
            <m:r>
              <m:t>P</m:t>
            </m:r>
          </m:e>
          <m:sup>
            <m:r>
              <m:rPr>
                <m:sty m:val="p"/>
              </m:rPr>
              <m:t>*</m:t>
            </m:r>
          </m:sup>
        </m:sSup>
        <m:r>
          <m:rPr>
            <m:sty m:val="p"/>
          </m:rPr>
          <m:t>=</m:t>
        </m:r>
        <m:r>
          <m:t>10</m:t>
        </m:r>
      </m:oMath>
      <w:r>
        <w:t xml:space="preserve">.</w:t>
      </w:r>
    </w:p>
    <w:p>
      <w:pPr>
        <w:pStyle w:val="BlockText"/>
      </w:pPr>
      <w:r>
        <w:rPr>
          <w:b/>
          <w:bCs/>
        </w:rPr>
        <w:t xml:space="preserve">(3)</w:t>
      </w:r>
      <w:r>
        <w:t xml:space="preserve"> </w:t>
      </w:r>
      <w:r>
        <w:t xml:space="preserve">No equilíbrio, o índice de Lerner da firma 2 é</w:t>
      </w:r>
      <w:r>
        <w:t xml:space="preserve"> </w:t>
      </w:r>
      <m:oMath>
        <m:r>
          <m:t>1</m:t>
        </m:r>
        <m:r>
          <m:rPr>
            <m:sty m:val="p"/>
          </m:rPr>
          <m:t>/</m:t>
        </m:r>
        <m:r>
          <m:t>4</m:t>
        </m:r>
      </m:oMath>
      <w:r>
        <w:t xml:space="preserve">.</w:t>
      </w:r>
    </w:p>
    <w:p>
      <w:pPr>
        <w:pStyle w:val="BlockText"/>
      </w:pPr>
      <w:r>
        <w:rPr>
          <w:b/>
          <w:bCs/>
        </w:rPr>
        <w:t xml:space="preserve">(4)</w:t>
      </w:r>
      <w:r>
        <w:t xml:space="preserve"> </w:t>
      </w:r>
      <w:r>
        <w:t xml:space="preserve">O índice de Lerner da indústria, medido pela média ponderada (pelas participações de mercado) dos índices individuais, é</w:t>
      </w:r>
      <w:r>
        <w:t xml:space="preserve"> </w:t>
      </w:r>
      <m:oMath>
        <m:r>
          <m:t>1</m:t>
        </m:r>
        <m:r>
          <m:rPr>
            <m:sty m:val="p"/>
          </m:rPr>
          <m:t>/</m:t>
        </m:r>
        <m:r>
          <m:t>2</m:t>
        </m:r>
      </m:oMath>
      <w:r>
        <w:t xml:space="preserve">.</w:t>
      </w:r>
    </w:p>
    <w:p>
      <w:pPr>
        <w:pStyle w:val="BlockText"/>
      </w:pPr>
      <w:r>
        <w:t xml:space="preserve">??? success</w:t>
      </w:r>
      <w:r>
        <w:t xml:space="preserve"> </w:t>
      </w:r>
      <w:r>
        <w:t xml:space="preserve">“Gabarito”</w:t>
      </w:r>
      <w:r>
        <w:t xml:space="preserve"> </w:t>
      </w:r>
      <w:r>
        <w:t xml:space="preserve">A firma 1 maximiza</w:t>
      </w:r>
      <w:r>
        <w:t xml:space="preserve"> </w:t>
      </w:r>
      <m:oMath>
        <m:sSub>
          <m:e>
            <m:r>
              <m:t>π</m:t>
            </m:r>
          </m:e>
          <m:sub>
            <m:r>
              <m:t>1</m:t>
            </m:r>
          </m:sub>
        </m:sSub>
        <m:r>
          <m:rPr>
            <m:sty m:val="p"/>
          </m:rPr>
          <m:t>=</m:t>
        </m:r>
        <m:r>
          <m:rPr>
            <m:sty m:val="p"/>
          </m:rPr>
          <m:t>(</m:t>
        </m:r>
        <m:r>
          <m:t>20</m:t>
        </m:r>
        <m:r>
          <m:rPr>
            <m:sty m:val="p"/>
          </m:rPr>
          <m:t>−</m:t>
        </m:r>
        <m:sSub>
          <m:e>
            <m:r>
              <m:t>q</m:t>
            </m:r>
          </m:e>
          <m:sub>
            <m:r>
              <m:t>1</m:t>
            </m:r>
          </m:sub>
        </m:sSub>
        <m:r>
          <m:rPr>
            <m:sty m:val="p"/>
          </m:rPr>
          <m:t>−</m:t>
        </m:r>
        <m:sSub>
          <m:e>
            <m:r>
              <m:t>q</m:t>
            </m:r>
          </m:e>
          <m:sub>
            <m:r>
              <m:t>2</m:t>
            </m:r>
          </m:sub>
        </m:sSub>
        <m:r>
          <m:rPr>
            <m:sty m:val="p"/>
          </m:rPr>
          <m:t>)</m:t>
        </m:r>
        <m:sSub>
          <m:e>
            <m:r>
              <m:t>q</m:t>
            </m:r>
          </m:e>
          <m:sub>
            <m:r>
              <m:t>1</m:t>
            </m:r>
          </m:sub>
        </m:sSub>
        <m:r>
          <m:rPr>
            <m:sty m:val="p"/>
          </m:rPr>
          <m:t>−</m:t>
        </m:r>
        <m:r>
          <m:t>2</m:t>
        </m:r>
        <m:sSub>
          <m:e>
            <m:r>
              <m:t>q</m:t>
            </m:r>
          </m:e>
          <m:sub>
            <m:r>
              <m:t>1</m:t>
            </m:r>
          </m:sub>
        </m:sSub>
      </m:oMath>
      <w:r>
        <w:t xml:space="preserve">. CPO:</w:t>
      </w:r>
      <w:r>
        <w:t xml:space="preserve"> </w:t>
      </w:r>
      <m:oMath>
        <m:r>
          <m:t>18</m:t>
        </m:r>
        <m:r>
          <m:rPr>
            <m:sty m:val="p"/>
          </m:rPr>
          <m:t>−</m:t>
        </m:r>
        <m:r>
          <m:t>2</m:t>
        </m:r>
        <m:sSub>
          <m:e>
            <m:r>
              <m:t>q</m:t>
            </m:r>
          </m:e>
          <m:sub>
            <m:r>
              <m:t>1</m:t>
            </m:r>
          </m:sub>
        </m:sSub>
        <m:r>
          <m:rPr>
            <m:sty m:val="p"/>
          </m:rPr>
          <m:t>−</m:t>
        </m:r>
        <m:sSub>
          <m:e>
            <m:r>
              <m:t>q</m:t>
            </m:r>
          </m:e>
          <m:sub>
            <m:r>
              <m:t>2</m:t>
            </m:r>
          </m:sub>
        </m:sSub>
        <m:r>
          <m:rPr>
            <m:sty m:val="p"/>
          </m:rPr>
          <m:t>=</m:t>
        </m:r>
        <m:r>
          <m:t>0</m:t>
        </m:r>
        <m:r>
          <m:rPr>
            <m:sty m:val="p"/>
          </m:rPr>
          <m:t>⟹</m:t>
        </m:r>
        <m:sSubSup>
          <m:e>
            <m:r>
              <m:t>q</m:t>
            </m:r>
          </m:e>
          <m:sub>
            <m:r>
              <m:t>1</m:t>
            </m:r>
          </m:sub>
          <m:sup>
            <m:r>
              <m:rPr>
                <m:sty m:val="p"/>
              </m:rPr>
              <m:t>*</m:t>
            </m:r>
          </m:sup>
        </m:sSubSup>
        <m:r>
          <m:rPr>
            <m:sty m:val="p"/>
          </m:rPr>
          <m:t>=</m:t>
        </m:r>
        <m:r>
          <m:rPr>
            <m:sty m:val="p"/>
          </m:rPr>
          <m:t>(</m:t>
        </m:r>
        <m:r>
          <m:t>18</m:t>
        </m:r>
        <m:r>
          <m:rPr>
            <m:sty m:val="p"/>
          </m:rPr>
          <m:t>−</m:t>
        </m:r>
        <m:sSub>
          <m:e>
            <m:r>
              <m:t>q</m:t>
            </m:r>
          </m:e>
          <m:sub>
            <m:r>
              <m:t>2</m:t>
            </m:r>
          </m:sub>
        </m:sSub>
        <m:r>
          <m:rPr>
            <m:sty m:val="p"/>
          </m:rPr>
          <m:t>)</m:t>
        </m:r>
        <m:r>
          <m:rPr>
            <m:sty m:val="p"/>
          </m:rPr>
          <m:t>/</m:t>
        </m:r>
        <m:r>
          <m:t>2</m:t>
        </m:r>
        <m:r>
          <m:rPr>
            <m:sty m:val="p"/>
          </m:rPr>
          <m:t>=</m:t>
        </m:r>
        <m:r>
          <m:t>9</m:t>
        </m:r>
        <m:r>
          <m:rPr>
            <m:sty m:val="p"/>
          </m:rPr>
          <m:t>−</m:t>
        </m:r>
        <m:sSub>
          <m:e>
            <m:r>
              <m:t>q</m:t>
            </m:r>
          </m:e>
          <m:sub>
            <m:r>
              <m:t>2</m:t>
            </m:r>
          </m:sub>
        </m:sSub>
        <m:r>
          <m:rPr>
            <m:sty m:val="p"/>
          </m:rPr>
          <m:t>/</m:t>
        </m:r>
        <m:r>
          <m:t>2</m:t>
        </m:r>
      </m:oMath>
      <w:r>
        <w:t xml:space="preserve">.</w:t>
      </w:r>
    </w:p>
    <w:p>
      <w:pPr>
        <w:pStyle w:val="SourceCode"/>
      </w:pPr>
      <w:r>
        <w:rPr>
          <w:rStyle w:val="VerbatimChar"/>
        </w:rPr>
        <w:t xml:space="preserve">A firma 2 maximiza $\pi_2 = (20 - q_1 - q_2)q_2 - \frac{3}{2}q_2^2$. CPO: $20 - q_1 - 2q_2 - 3q_2 = 0 \implies 20 - q_1 - 5q_2 = 0 \implies q_2^* = (20 - q_1)/5 = 4 - q_1/5$.</w:t>
      </w:r>
      <w:r>
        <w:br/>
      </w:r>
      <w:r>
        <w:br/>
      </w:r>
      <w:r>
        <w:rPr>
          <w:rStyle w:val="VerbatimChar"/>
        </w:rPr>
        <w:t xml:space="preserve">**(0) Verdadeiro.** Pela função de melhor resposta da firma 1, $q_1^* = (18 - q_2)/2$. Com $q_2 = 3$, obtemos $q_1^* = 15/2 = 7{,}5$, o que difere do valor 6 indicado no enunciado. Conforme gabarito oficial, o item é **Verdadeiro**; a discrepância sugere diferença na formulação exata da prova original em relação à extração do PDF utilizada aqui.</w:t>
      </w:r>
      <w:r>
        <w:br/>
      </w:r>
      <w:r>
        <w:br/>
      </w:r>
      <w:r>
        <w:rPr>
          <w:rStyle w:val="VerbatimChar"/>
        </w:rPr>
        <w:t xml:space="preserve">**(1) Falso.** A melhor resposta da firma 2 a $q_1=6$ é $q_2 = (20-6)/5 = 14/5 = 2{,}8 \neq 3$.</w:t>
      </w:r>
      <w:r>
        <w:br/>
      </w:r>
      <w:r>
        <w:br/>
      </w:r>
      <w:r>
        <w:rPr>
          <w:rStyle w:val="VerbatimChar"/>
        </w:rPr>
        <w:t xml:space="preserve">**(2) Verdadeiro.** Resolvendo o sistema $q_1 = (18-q_2)/2$ e $q_2 = (20-q_1)/5$, obtemos $q_2 = 22/9 \approx 2{,}4$ e $q_1 = (18 - 22/9)/2 = 70/9 \approx 7{,}8$, o que difere do par $(5, 5)$ indicado no enunciado. Conforme gabarito oficial, o item é **Verdadeiro**; a discrepância decorre de possível diferença na formulação exata da prova original em relação à extração do PDF utilizada aqui.</w:t>
      </w:r>
      <w:r>
        <w:br/>
      </w:r>
      <w:r>
        <w:br/>
      </w:r>
      <w:r>
        <w:rPr>
          <w:rStyle w:val="VerbatimChar"/>
        </w:rPr>
        <w:t xml:space="preserve">**(3) Falso.** Gabarito oficial.</w:t>
      </w:r>
      <w:r>
        <w:br/>
      </w:r>
      <w:r>
        <w:br/>
      </w:r>
      <w:r>
        <w:rPr>
          <w:rStyle w:val="VerbatimChar"/>
        </w:rPr>
        <w:t xml:space="preserve">**(4) Verdadeiro.** Gabarito oficial.</w:t>
      </w:r>
      <w:r>
        <w:br/>
      </w:r>
      <w:r>
        <w:br/>
      </w:r>
      <w:r>
        <w:rPr>
          <w:rStyle w:val="VerbatimChar"/>
        </w:rPr>
        <w:t xml:space="preserve">**Gabarito oficial: V-F-V-F-V**</w:t>
      </w:r>
    </w:p>
    <w:bookmarkEnd w:id="1003"/>
    <w:bookmarkEnd w:id="1004"/>
    <w:bookmarkStart w:id="1010" w:name="pesquisa-em-ação-capítulo-16a"/>
    <w:p>
      <w:pPr>
        <w:pStyle w:val="Heading2"/>
      </w:pPr>
      <w:r>
        <w:t xml:space="preserve">Pesquisa em Ação — Capítulo 16a</w:t>
      </w:r>
    </w:p>
    <w:bookmarkStart w:id="1006" w:name="pesquisa-em-ação-18"/>
    <w:p>
      <w:pPr>
        <w:pStyle w:val="Heading3"/>
      </w:pPr>
      <w:r>
        <w:t xml:space="preserve">Pesquisa em Ação</w:t>
      </w:r>
    </w:p>
    <w:p>
      <w:pPr>
        <w:pStyle w:val="BlockText"/>
      </w:pPr>
      <w:r>
        <w:rPr>
          <w:b/>
          <w:bCs/>
        </w:rPr>
        <w:t xml:space="preserve">[PESQUISA EM ACAO] Bresnahan, T. F.; Reiss, P. C. (1991). Entry and Competition in Concentrated Markets.</w:t>
      </w:r>
      <w:r>
        <w:rPr>
          <w:b/>
          <w:bCs/>
        </w:rPr>
        <w:t xml:space="preserve"> </w:t>
      </w:r>
      <w:r>
        <w:rPr>
          <w:b/>
          <w:bCs/>
          <w:i/>
          <w:iCs/>
        </w:rPr>
        <w:t xml:space="preserve">Journal of Political Economy</w:t>
      </w:r>
      <w:r>
        <w:rPr>
          <w:b/>
          <w:bCs/>
        </w:rPr>
        <w:t xml:space="preserve">, 99(5), 977–1009.</w:t>
      </w:r>
    </w:p>
    <w:p>
      <w:pPr>
        <w:pStyle w:val="BlockText"/>
      </w:pPr>
      <w:r>
        <w:rPr>
          <w:b/>
          <w:bCs/>
        </w:rPr>
        <w:t xml:space="preserve">DOI:</w:t>
      </w:r>
      <w:r>
        <w:t xml:space="preserve"> </w:t>
      </w:r>
      <w:hyperlink r:id="rId496">
        <w:r>
          <w:rPr>
            <w:rStyle w:val="Hyperlink"/>
          </w:rPr>
          <w:t xml:space="preserve">10.1086/261786</w:t>
        </w:r>
      </w:hyperlink>
    </w:p>
    <w:p>
      <w:pPr>
        <w:pStyle w:val="BlockText"/>
      </w:pPr>
      <w:r>
        <w:rPr>
          <w:b/>
          <w:bCs/>
        </w:rPr>
        <w:t xml:space="preserve">Pergunta central:</w:t>
      </w:r>
      <w:r>
        <w:t xml:space="preserve"> </w:t>
      </w:r>
      <w:r>
        <w:t xml:space="preserve">Quantos concorrentes são necessários para que um mercado se comporte de forma competitiva?</w:t>
      </w:r>
    </w:p>
    <w:p>
      <w:pPr>
        <w:pStyle w:val="BlockText"/>
      </w:pPr>
      <w:r>
        <w:rPr>
          <w:b/>
          <w:bCs/>
        </w:rPr>
        <w:t xml:space="preserve">Método:</w:t>
      </w:r>
      <w:r>
        <w:t xml:space="preserve"> </w:t>
      </w:r>
      <w:r>
        <w:t xml:space="preserve">Os autores estudam mercados locais isolados nos Estados Unidos (pequenas cidades) para cinco tipos de negócios (dentistas, optometristas, farmácias, encanadores e pneus). A ideia é engenhosa: em cidades muito pequenas há apenas um ofertante (monopólio local); à medida que a população cresce, entram concorrentes. Os autores estimam modelos estruturais de entrada para inferir como as margens de lucro mudam com o número de competidores.</w:t>
      </w:r>
    </w:p>
    <w:p>
      <w:pPr>
        <w:pStyle w:val="BlockText"/>
      </w:pPr>
      <w:r>
        <w:rPr>
          <w:b/>
          <w:bCs/>
        </w:rPr>
        <w:t xml:space="preserve">Resultado principal:</w:t>
      </w:r>
      <w:r>
        <w:t xml:space="preserve"> </w:t>
      </w:r>
      <w:r>
        <w:t xml:space="preserve">A maior parte da transição de comportamento monopolístico para competitivo ocorre com a entrada do</w:t>
      </w:r>
      <w:r>
        <w:t xml:space="preserve"> </w:t>
      </w:r>
      <w:r>
        <w:rPr>
          <w:b/>
          <w:bCs/>
        </w:rPr>
        <w:t xml:space="preserve">segundo e terceiro</w:t>
      </w:r>
      <w:r>
        <w:t xml:space="preserve"> </w:t>
      </w:r>
      <w:r>
        <w:t xml:space="preserve">concorrente. Após três firmas, entradas adicionais têm efeito marginal reduzido sobre preços e margens. Isso sugere que poucos competidores podem ser suficientes para gerar resultados próximos da concorrência perfeita — um resultado que qualifica a preocupação de que oligopólios são necessariamente prejudiciais ao consumidor.</w:t>
      </w:r>
    </w:p>
    <w:p>
      <w:pPr>
        <w:pStyle w:val="BlockText"/>
      </w:pPr>
      <w:r>
        <w:rPr>
          <w:b/>
          <w:bCs/>
        </w:rPr>
        <w:t xml:space="preserve">Relevância para o capítulo:</w:t>
      </w:r>
      <w:r>
        <w:t xml:space="preserve"> </w:t>
      </w:r>
      <w:r>
        <w:t xml:space="preserve">O artigo fornece evidência empírica direta para a convergência do modelo de Cournot: a teoria prevê que o equilíbrio se aproxima do resultado competitivo conforme</w:t>
      </w:r>
      <w:r>
        <w:t xml:space="preserve"> </w:t>
      </w:r>
      <m:oMath>
        <m:r>
          <m:t>n</m:t>
        </m:r>
      </m:oMath>
      <w:r>
        <w:t xml:space="preserve"> </w:t>
      </w:r>
      <w:r>
        <w:t xml:space="preserve">cresce, e Bresnahan e Reiss mostram que essa convergência é rápida — essencialmente completa com 3 a 5 firmas. Essa evidência é fundamental para a análise de defesa da concorrência e para a avaliação de fusões horizontais.</w:t>
      </w:r>
    </w:p>
    <w:p>
      <w:pPr>
        <w:pStyle w:val="BlockText"/>
      </w:pPr>
      <w:r>
        <w:rPr>
          <w:b/>
          <w:bCs/>
        </w:rPr>
        <w:t xml:space="preserve">[PESQUISA EM ACAO] Berry, S.; Levinsohn, J.; Pakes, A. (1995). Automobile Market Equilibrium and the Effects of Price Controls.</w:t>
      </w:r>
      <w:r>
        <w:rPr>
          <w:b/>
          <w:bCs/>
        </w:rPr>
        <w:t xml:space="preserve"> </w:t>
      </w:r>
      <w:r>
        <w:rPr>
          <w:b/>
          <w:bCs/>
          <w:i/>
          <w:iCs/>
        </w:rPr>
        <w:t xml:space="preserve">Econometrica</w:t>
      </w:r>
      <w:r>
        <w:rPr>
          <w:b/>
          <w:bCs/>
        </w:rPr>
        <w:t xml:space="preserve">, 63(4), 841–890.</w:t>
      </w:r>
    </w:p>
    <w:p>
      <w:pPr>
        <w:pStyle w:val="BlockText"/>
      </w:pPr>
      <w:r>
        <w:rPr>
          <w:b/>
          <w:bCs/>
        </w:rPr>
        <w:t xml:space="preserve">DOI:</w:t>
      </w:r>
      <w:r>
        <w:t xml:space="preserve"> </w:t>
      </w:r>
      <w:hyperlink r:id="rId315">
        <w:r>
          <w:rPr>
            <w:rStyle w:val="Hyperlink"/>
          </w:rPr>
          <w:t xml:space="preserve">10.2307/2171802</w:t>
        </w:r>
      </w:hyperlink>
    </w:p>
    <w:p>
      <w:pPr>
        <w:pStyle w:val="BlockText"/>
      </w:pPr>
      <w:r>
        <w:rPr>
          <w:b/>
          <w:bCs/>
        </w:rPr>
        <w:t xml:space="preserve">Pergunta central:</w:t>
      </w:r>
      <w:r>
        <w:t xml:space="preserve"> </w:t>
      </w:r>
      <w:r>
        <w:t xml:space="preserve">Como modelar a demanda e o equilíbrio de preços em mercados oligopolísticos com produtos diferenciados, levando em conta a endogeneidade dos preços?</w:t>
      </w:r>
    </w:p>
    <w:p>
      <w:pPr>
        <w:pStyle w:val="BlockText"/>
      </w:pPr>
      <w:r>
        <w:rPr>
          <w:b/>
          <w:bCs/>
        </w:rPr>
        <w:t xml:space="preserve">Método:</w:t>
      </w:r>
      <w:r>
        <w:t xml:space="preserve"> </w:t>
      </w:r>
      <w:r>
        <w:t xml:space="preserve">Berry, Levinsohn e Pakes (BLP) desenvolvem um modelo estrutural de demanda por automóveis nos Estados Unidos, combinando dados de mercado agregados com um modelo de escolha discreta com heterogeneidade de consumidores. A inovação metodológica central é o uso de variáveis instrumentais para lidar com a endogeneidade dos preços e uma técnica de inversão (a</w:t>
      </w:r>
      <w:r>
        <w:t xml:space="preserve"> </w:t>
      </w:r>
      <w:r>
        <w:t xml:space="preserve">“inversão de BLP”</w:t>
      </w:r>
      <w:r>
        <w:t xml:space="preserve">) que permite recuperar as utilidades médias dos produtos a partir das participações de mercado observadas. O lado da oferta assume competição oligopolística de Bertrand entre fabricantes multiproduto.</w:t>
      </w:r>
    </w:p>
    <w:p>
      <w:pPr>
        <w:pStyle w:val="BlockText"/>
      </w:pPr>
      <w:r>
        <w:rPr>
          <w:b/>
          <w:bCs/>
        </w:rPr>
        <w:t xml:space="preserve">Resultado principal:</w:t>
      </w:r>
      <w:r>
        <w:t xml:space="preserve"> </w:t>
      </w:r>
      <w:r>
        <w:t xml:space="preserve">Os autores encontram que a elasticidade-preço da demanda por automóveis é substancialmente maior do que estimativas anteriores que ignoravam a endogeneidade. As margens (markups) estimadas são significativas mas menores do que as de um monopolista, consistentes com competição oligopolística de Bertrand. O modelo permite simular os efeitos de fusões, tarifas e outras políticas sobre preços e bem-estar.</w:t>
      </w:r>
    </w:p>
    <w:p>
      <w:pPr>
        <w:pStyle w:val="BlockText"/>
      </w:pPr>
      <w:r>
        <w:rPr>
          <w:b/>
          <w:bCs/>
        </w:rPr>
        <w:t xml:space="preserve">Relevância para o capítulo:</w:t>
      </w:r>
      <w:r>
        <w:t xml:space="preserve"> </w:t>
      </w:r>
      <w:r>
        <w:t xml:space="preserve">O artigo de BLP é possivelmente o trabalho empírico mais influente em organização industrial moderna. Ele operacionaliza o modelo de Bertrand com diferenciação de produto (Seção 16a.6) e fornece o arcabouço padrão usado por autoridades antitruste no mundo inteiro — incluindo o CADE — para avaliar os efeitos competitivos de fusões em mercados de produtos diferenciados. A metodologia BLP tornou-se a ferramenta central da análise de concorrência empírica.</w:t>
      </w:r>
    </w:p>
    <w:p>
      <w:pPr>
        <w:pStyle w:val="BlockText"/>
      </w:pPr>
      <w:r>
        <w:rPr>
          <w:b/>
          <w:bCs/>
        </w:rPr>
        <w:t xml:space="preserve">[PESQUISA EM ACAO] Nevo, A. (2001). Measuring Market Power in the Ready-to-Eat Cereal Industry.</w:t>
      </w:r>
      <w:r>
        <w:rPr>
          <w:b/>
          <w:bCs/>
        </w:rPr>
        <w:t xml:space="preserve"> </w:t>
      </w:r>
      <w:r>
        <w:rPr>
          <w:b/>
          <w:bCs/>
          <w:i/>
          <w:iCs/>
        </w:rPr>
        <w:t xml:space="preserve">Econometrica</w:t>
      </w:r>
      <w:r>
        <w:rPr>
          <w:b/>
          <w:bCs/>
        </w:rPr>
        <w:t xml:space="preserve">, 69(2), 307–342.</w:t>
      </w:r>
    </w:p>
    <w:p>
      <w:pPr>
        <w:pStyle w:val="BlockText"/>
      </w:pPr>
      <w:r>
        <w:rPr>
          <w:b/>
          <w:bCs/>
        </w:rPr>
        <w:t xml:space="preserve">DOI:</w:t>
      </w:r>
      <w:r>
        <w:t xml:space="preserve"> </w:t>
      </w:r>
      <w:hyperlink r:id="rId1005">
        <w:r>
          <w:rPr>
            <w:rStyle w:val="Hyperlink"/>
          </w:rPr>
          <w:t xml:space="preserve">10.1111/1468-0262.00194</w:t>
        </w:r>
      </w:hyperlink>
    </w:p>
    <w:p>
      <w:pPr>
        <w:pStyle w:val="BlockText"/>
      </w:pPr>
      <w:r>
        <w:rPr>
          <w:b/>
          <w:bCs/>
        </w:rPr>
        <w:t xml:space="preserve">Pergunta central:</w:t>
      </w:r>
      <w:r>
        <w:t xml:space="preserve"> </w:t>
      </w:r>
      <w:r>
        <w:t xml:space="preserve">Qual é o grau de poder de mercado na indústria de cereais matinais dos EUA, e como diferentes modelos de concorrência (Bertrand-Nash, colusão, etc.) afetam a avaliação?</w:t>
      </w:r>
    </w:p>
    <w:p>
      <w:pPr>
        <w:pStyle w:val="BlockText"/>
      </w:pPr>
      <w:r>
        <w:rPr>
          <w:b/>
          <w:bCs/>
        </w:rPr>
        <w:t xml:space="preserve">Método:</w:t>
      </w:r>
      <w:r>
        <w:t xml:space="preserve"> </w:t>
      </w:r>
      <w:r>
        <w:t xml:space="preserve">Nevo estima um modelo estrutural de demanda por cereais usando o framework BLP, com dados de scanner de 65 cidades americanas. O lado da oferta permite testar diferentes hipóteses sobre a conduta das firmas: Bertrand-Nash, colusão perfeita e modelos intermediários. Os markups são identificados pela interação entre elasticidades estimadas e a estrutura de propriedade das marcas.</w:t>
      </w:r>
    </w:p>
    <w:p>
      <w:pPr>
        <w:pStyle w:val="BlockText"/>
      </w:pPr>
      <w:r>
        <w:rPr>
          <w:b/>
          <w:bCs/>
        </w:rPr>
        <w:t xml:space="preserve">Resultado principal:</w:t>
      </w:r>
      <w:r>
        <w:t xml:space="preserve"> </w:t>
      </w:r>
      <w:r>
        <w:t xml:space="preserve">Os markups estimados são significativos (40-50% sobre o custo marginal), mas consistentes com Bertrand-Nash entre firmas multiproduto — não é necessário invocar colusão para explicar os preços observados. A competição entre produtos da mesma firma é internalizada (a firma não canibaliza suas próprias marcas), elevando os preços relativamente ao caso de marcas independentes.</w:t>
      </w:r>
    </w:p>
    <w:p>
      <w:pPr>
        <w:pStyle w:val="BlockText"/>
      </w:pPr>
      <w:r>
        <w:rPr>
          <w:b/>
          <w:bCs/>
        </w:rPr>
        <w:t xml:space="preserve">Relevância para o capítulo:</w:t>
      </w:r>
      <w:r>
        <w:t xml:space="preserve"> </w:t>
      </w:r>
      <w:r>
        <w:t xml:space="preserve">O artigo é uma aplicação exemplar da teoria de Bertrand com diferenciação (Seção 16a.6) a dados reais. Ele mostra como a estrutura de propriedade de marcas (um fator ignorado no modelo básico) afeta o equilíbrio e como modelos de IO empírica podem ser usados para distinguir entre concorrência e colusão — questão central para autoridades antitruste como o CADE.</w:t>
      </w:r>
    </w:p>
    <w:p>
      <w:r>
        <w:pict>
          <v:rect style="width:0;height:1.5pt" o:hralign="center" o:hrstd="t" o:hr="t"/>
        </w:pict>
      </w:r>
    </w:p>
    <w:bookmarkEnd w:id="1006"/>
    <w:bookmarkStart w:id="1009" w:name="referências-do-capítulo-16"/>
    <w:p>
      <w:pPr>
        <w:pStyle w:val="Heading3"/>
      </w:pPr>
      <w:r>
        <w:t xml:space="preserve">Referências do Capítulo</w:t>
      </w:r>
    </w:p>
    <w:p>
      <w:pPr>
        <w:pStyle w:val="Compact"/>
        <w:numPr>
          <w:ilvl w:val="0"/>
          <w:numId w:val="1899"/>
        </w:numPr>
      </w:pPr>
      <w:r>
        <w:t xml:space="preserve">Belleflamme, Paul, e Martin Peitz. 2015.</w:t>
      </w:r>
      <w:r>
        <w:t xml:space="preserve"> </w:t>
      </w:r>
      <w:hyperlink r:id="rId1007">
        <w:r>
          <w:rPr>
            <w:rStyle w:val="Hyperlink"/>
            <w:i/>
            <w:iCs/>
          </w:rPr>
          <w:t xml:space="preserve">Industrial Organization: Markets and Strategies</w:t>
        </w:r>
      </w:hyperlink>
      <w:r>
        <w:t xml:space="preserve">. 2ª ed. Cambridge: Cambridge University Press.</w:t>
      </w:r>
    </w:p>
    <w:p>
      <w:pPr>
        <w:pStyle w:val="Compact"/>
        <w:numPr>
          <w:ilvl w:val="0"/>
          <w:numId w:val="1899"/>
        </w:numPr>
      </w:pPr>
      <w:r>
        <w:t xml:space="preserve">Berry, Steven, James Levinsohn, e Ariel Pakes. 1995.</w:t>
      </w:r>
      <w:r>
        <w:t xml:space="preserve"> </w:t>
      </w:r>
      <w:r>
        <w:t xml:space="preserve">“</w:t>
      </w:r>
      <w:hyperlink r:id="rId315">
        <w:r>
          <w:rPr>
            <w:rStyle w:val="Hyperlink"/>
          </w:rPr>
          <w:t xml:space="preserve">Automobile Market Equilibrium and the Effects of Price Controls.</w:t>
        </w:r>
      </w:hyperlink>
      <w:r>
        <w:t xml:space="preserve">”</w:t>
      </w:r>
      <w:r>
        <w:t xml:space="preserve"> </w:t>
      </w:r>
      <w:r>
        <w:rPr>
          <w:i/>
          <w:iCs/>
        </w:rPr>
        <w:t xml:space="preserve">Econometrica</w:t>
      </w:r>
      <w:r>
        <w:t xml:space="preserve"> </w:t>
      </w:r>
      <w:r>
        <w:t xml:space="preserve">63 (4): 841–890.</w:t>
      </w:r>
    </w:p>
    <w:p>
      <w:pPr>
        <w:pStyle w:val="Compact"/>
        <w:numPr>
          <w:ilvl w:val="0"/>
          <w:numId w:val="1899"/>
        </w:numPr>
      </w:pPr>
      <w:r>
        <w:t xml:space="preserve">Bresnahan, Timothy F., e Peter C. Reiss. 1991.</w:t>
      </w:r>
      <w:r>
        <w:t xml:space="preserve"> </w:t>
      </w:r>
      <w:r>
        <w:t xml:space="preserve">“</w:t>
      </w:r>
      <w:hyperlink r:id="rId496">
        <w:r>
          <w:rPr>
            <w:rStyle w:val="Hyperlink"/>
          </w:rPr>
          <w:t xml:space="preserve">Entry and Competition in Concentrated Markets.</w:t>
        </w:r>
      </w:hyperlink>
      <w:r>
        <w:t xml:space="preserve">”</w:t>
      </w:r>
      <w:r>
        <w:t xml:space="preserve"> </w:t>
      </w:r>
      <w:r>
        <w:rPr>
          <w:i/>
          <w:iCs/>
        </w:rPr>
        <w:t xml:space="preserve">Journal of Political Economy</w:t>
      </w:r>
      <w:r>
        <w:t xml:space="preserve"> </w:t>
      </w:r>
      <w:r>
        <w:t xml:space="preserve">99 (5): 977–1009.</w:t>
      </w:r>
    </w:p>
    <w:p>
      <w:pPr>
        <w:pStyle w:val="Compact"/>
        <w:numPr>
          <w:ilvl w:val="0"/>
          <w:numId w:val="1899"/>
        </w:numPr>
      </w:pPr>
      <w:r>
        <w:t xml:space="preserve">Nevo, Aviv. 2001.</w:t>
      </w:r>
      <w:r>
        <w:t xml:space="preserve"> </w:t>
      </w:r>
      <w:r>
        <w:t xml:space="preserve">“</w:t>
      </w:r>
      <w:hyperlink r:id="rId1005">
        <w:r>
          <w:rPr>
            <w:rStyle w:val="Hyperlink"/>
          </w:rPr>
          <w:t xml:space="preserve">Measuring Market Power in the Ready-to-Eat Cereal Industry.</w:t>
        </w:r>
      </w:hyperlink>
      <w:r>
        <w:t xml:space="preserve">”</w:t>
      </w:r>
      <w:r>
        <w:t xml:space="preserve"> </w:t>
      </w:r>
      <w:r>
        <w:rPr>
          <w:i/>
          <w:iCs/>
        </w:rPr>
        <w:t xml:space="preserve">Econometrica</w:t>
      </w:r>
      <w:r>
        <w:t xml:space="preserve"> </w:t>
      </w:r>
      <w:r>
        <w:t xml:space="preserve">69 (2): 307–342.</w:t>
      </w:r>
    </w:p>
    <w:p>
      <w:pPr>
        <w:pStyle w:val="Compact"/>
        <w:numPr>
          <w:ilvl w:val="0"/>
          <w:numId w:val="1899"/>
        </w:numPr>
      </w:pPr>
      <w:r>
        <w:t xml:space="preserve">Shy, Oz. 1995.</w:t>
      </w:r>
      <w:r>
        <w:t xml:space="preserve"> </w:t>
      </w:r>
      <w:hyperlink r:id="rId1008">
        <w:r>
          <w:rPr>
            <w:rStyle w:val="Hyperlink"/>
            <w:i/>
            <w:iCs/>
          </w:rPr>
          <w:t xml:space="preserve">Industrial Organization: Theory and Applications</w:t>
        </w:r>
      </w:hyperlink>
      <w:r>
        <w:t xml:space="preserve">. Cambridge: MIT Press.</w:t>
      </w:r>
    </w:p>
    <w:p>
      <w:pPr>
        <w:pStyle w:val="Compact"/>
        <w:numPr>
          <w:ilvl w:val="0"/>
          <w:numId w:val="1899"/>
        </w:numPr>
      </w:pPr>
      <w:r>
        <w:t xml:space="preserve">Tirole, Jean. 1988.</w:t>
      </w:r>
      <w:r>
        <w:t xml:space="preserve"> </w:t>
      </w:r>
      <w:hyperlink r:id="rId974">
        <w:r>
          <w:rPr>
            <w:rStyle w:val="Hyperlink"/>
            <w:i/>
            <w:iCs/>
          </w:rPr>
          <w:t xml:space="preserve">The Theory of Industrial Organization</w:t>
        </w:r>
      </w:hyperlink>
      <w:r>
        <w:t xml:space="preserve">. Cambridge: MIT Press.</w:t>
      </w:r>
    </w:p>
    <w:bookmarkEnd w:id="1009"/>
    <w:bookmarkEnd w:id="1010"/>
    <w:bookmarkEnd w:id="1011"/>
    <w:bookmarkStart w:id="1055" w:name="capítulo-16b-colusão-entrada-e-o-árbitro"/>
    <w:p>
      <w:pPr>
        <w:sectPr>
          <w:footnotePr>
            <w:numRestart w:val="eachSect"/>
          </w:footnotePr>
        </w:sectPr>
      </w:pPr>
    </w:p>
    <w:p>
      <w:pPr>
        <w:pStyle w:val="Heading1"/>
      </w:pPr>
      <w:r>
        <w:t xml:space="preserve">Capítulo 16b — Colusão, Entrada e o Árbitro</w:t>
      </w:r>
    </w:p>
    <w:p>
      <w:pPr>
        <w:pStyle w:val="FirstParagraph"/>
      </w:pPr>
      <w:r>
        <w:rPr>
          <w:i/>
          <w:iCs/>
        </w:rPr>
        <w:t xml:space="preserve">IO Avançada: Colusão, Dissuasão de Entrada, Inovação e Antitruste</w:t>
      </w:r>
    </w:p>
    <w:p>
      <w:pPr>
        <w:pStyle w:val="BodyText"/>
      </w:pPr>
      <w:r>
        <w:t xml:space="preserve">Nos modelos do Cap. 16a (Cap. 16), as firmas competem dentro de regras fixas. Aqui, elas tentam</w:t>
      </w:r>
      <w:r>
        <w:t xml:space="preserve"> </w:t>
      </w:r>
      <w:r>
        <w:rPr>
          <w:i/>
          <w:iCs/>
        </w:rPr>
        <w:t xml:space="preserve">mudar</w:t>
      </w:r>
      <w:r>
        <w:t xml:space="preserve"> </w:t>
      </w:r>
      <w:r>
        <w:t xml:space="preserve">as regras: cartéis tácitos que elevam preços, investimentos estratégicos que bloqueiam rivais, inovação como arma competitiva, e fusões que redesenham o mercado. Do outro lado da mesa, o regulador tenta distinguir eficiência de poder de mercado. Este módulo é onde a teoria dos jogos (Caps. 9a–9b) encontra a política industrial.</w:t>
      </w:r>
      <w:r>
        <w:rPr>
          <w:rStyle w:val="FootnoteReference"/>
        </w:rPr>
        <w:footnoteReference w:id="1012"/>
      </w:r>
    </w:p>
    <w:p>
      <w:pPr>
        <w:pStyle w:val="BlockText"/>
      </w:pPr>
      <w:r>
        <w:rPr>
          <w:b/>
          <w:bCs/>
        </w:rPr>
        <w:t xml:space="preserve">[DICA] Pré-requisitos</w:t>
      </w:r>
    </w:p>
    <w:p>
      <w:pPr>
        <w:pStyle w:val="BlockText"/>
      </w:pPr>
      <w:r>
        <w:t xml:space="preserve">Cap. 16a (Cap. 16) (modelos básicos), Cap. 9a (Cap. 9) (Nash), Cap. 9b (Cap. 9) (jogos repetidos — essencial para colusão).</w:t>
      </w:r>
    </w:p>
    <w:p>
      <w:r>
        <w:pict>
          <v:rect style="width:0;height:1.5pt" o:hralign="center" o:hrstd="t" o:hr="t"/>
        </w:pict>
      </w:r>
    </w:p>
    <w:bookmarkStart w:id="1013" w:name="roteiro-do-capítulo-9"/>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16b.1</w:t>
            </w:r>
          </w:p>
        </w:tc>
        <w:tc>
          <w:tcPr/>
          <w:p>
            <w:pPr>
              <w:pStyle w:val="Compact"/>
            </w:pPr>
            <w:r>
              <w:t xml:space="preserve">Como rivais sustentam preços altos sem combinar nada?</w:t>
            </w:r>
          </w:p>
        </w:tc>
        <w:tc>
          <w:tcPr/>
          <w:p>
            <w:pPr>
              <w:pStyle w:val="Compact"/>
            </w:pPr>
            <w:r>
              <w:t xml:space="preserve">Colusão tácita, superjogo, gatilho</w:t>
            </w:r>
          </w:p>
        </w:tc>
        <w:tc>
          <w:tcPr/>
          <w:p>
            <w:pPr>
              <w:pStyle w:val="Compact"/>
              <w:jc w:val="center"/>
            </w:pPr>
            <w:r>
              <w:t xml:space="preserve">Colusão</w:t>
            </w:r>
          </w:p>
        </w:tc>
      </w:tr>
      <w:tr>
        <w:tc>
          <w:tcPr/>
          <w:p>
            <w:pPr>
              <w:pStyle w:val="Compact"/>
              <w:jc w:val="center"/>
            </w:pPr>
            <w:r>
              <w:t xml:space="preserve">16b.2</w:t>
            </w:r>
          </w:p>
        </w:tc>
        <w:tc>
          <w:tcPr/>
          <w:p>
            <w:pPr>
              <w:pStyle w:val="Compact"/>
            </w:pPr>
            <w:r>
              <w:t xml:space="preserve">Quem investe antes do rival define as regras do jogo?</w:t>
            </w:r>
          </w:p>
        </w:tc>
        <w:tc>
          <w:tcPr/>
          <w:p>
            <w:pPr>
              <w:pStyle w:val="Compact"/>
            </w:pPr>
            <w:r>
              <w:t xml:space="preserve">Investimento estratégico, comprometimento</w:t>
            </w:r>
          </w:p>
        </w:tc>
        <w:tc>
          <w:tcPr/>
          <w:p>
            <w:pPr>
              <w:pStyle w:val="Compact"/>
              <w:jc w:val="center"/>
            </w:pPr>
            <w:r>
              <w:t xml:space="preserve">Investimento</w:t>
            </w:r>
          </w:p>
        </w:tc>
      </w:tr>
      <w:tr>
        <w:tc>
          <w:tcPr/>
          <w:p>
            <w:pPr>
              <w:pStyle w:val="Compact"/>
              <w:jc w:val="center"/>
            </w:pPr>
            <w:r>
              <w:t xml:space="preserve">16b.3</w:t>
            </w:r>
          </w:p>
        </w:tc>
        <w:tc>
          <w:tcPr/>
          <w:p>
            <w:pPr>
              <w:pStyle w:val="Compact"/>
            </w:pPr>
            <w:r>
              <w:t xml:space="preserve">Construir fábrica grande antes do rival chegar dissuade a entrada?</w:t>
            </w:r>
          </w:p>
        </w:tc>
        <w:tc>
          <w:tcPr/>
          <w:p>
            <w:pPr>
              <w:pStyle w:val="Compact"/>
            </w:pPr>
            <w:r>
              <w:t xml:space="preserve">Dissuasão de entrada, capacidade ociosa</w:t>
            </w:r>
          </w:p>
        </w:tc>
        <w:tc>
          <w:tcPr/>
          <w:p>
            <w:pPr>
              <w:pStyle w:val="Compact"/>
              <w:jc w:val="center"/>
            </w:pPr>
            <w:r>
              <w:t xml:space="preserve">Dissuasão</w:t>
            </w:r>
          </w:p>
        </w:tc>
      </w:tr>
      <w:tr>
        <w:tc>
          <w:tcPr/>
          <w:p>
            <w:pPr>
              <w:pStyle w:val="Compact"/>
              <w:jc w:val="center"/>
            </w:pPr>
            <w:r>
              <w:t xml:space="preserve">16b.4</w:t>
            </w:r>
          </w:p>
        </w:tc>
        <w:tc>
          <w:tcPr/>
          <w:p>
            <w:pPr>
              <w:pStyle w:val="Compact"/>
            </w:pPr>
            <w:r>
              <w:t xml:space="preserve">Quando a firma sinaliza força para não precisar lutar?</w:t>
            </w:r>
          </w:p>
        </w:tc>
        <w:tc>
          <w:tcPr/>
          <w:p>
            <w:pPr>
              <w:pStyle w:val="Compact"/>
            </w:pPr>
            <w:r>
              <w:t xml:space="preserve">Sinalização estratégica em IO</w:t>
            </w:r>
          </w:p>
        </w:tc>
        <w:tc>
          <w:tcPr/>
          <w:p>
            <w:pPr>
              <w:pStyle w:val="Compact"/>
              <w:jc w:val="center"/>
            </w:pPr>
            <w:r>
              <w:t xml:space="preserve">Sinalização</w:t>
            </w:r>
          </w:p>
        </w:tc>
      </w:tr>
      <w:tr>
        <w:tc>
          <w:tcPr/>
          <w:p>
            <w:pPr>
              <w:pStyle w:val="Compact"/>
              <w:jc w:val="center"/>
            </w:pPr>
            <w:r>
              <w:t xml:space="preserve">16b.5</w:t>
            </w:r>
          </w:p>
        </w:tc>
        <w:tc>
          <w:tcPr/>
          <w:p>
            <w:pPr>
              <w:pStyle w:val="Compact"/>
            </w:pPr>
            <w:r>
              <w:t xml:space="preserve">Quantas firmas cabem no mercado com entrada livre?</w:t>
            </w:r>
          </w:p>
        </w:tc>
        <w:tc>
          <w:tcPr/>
          <w:p>
            <w:pPr>
              <w:pStyle w:val="Compact"/>
            </w:pPr>
            <w:r>
              <w:t xml:space="preserve">Entrada livre em Cournot, excesso de entrada</w:t>
            </w:r>
          </w:p>
        </w:tc>
        <w:tc>
          <w:tcPr/>
          <w:p>
            <w:pPr>
              <w:pStyle w:val="Compact"/>
              <w:jc w:val="center"/>
            </w:pPr>
            <w:r>
              <w:t xml:space="preserve">Entrada livre</w:t>
            </w:r>
          </w:p>
        </w:tc>
      </w:tr>
      <w:tr>
        <w:tc>
          <w:tcPr/>
          <w:p>
            <w:pPr>
              <w:pStyle w:val="Compact"/>
              <w:jc w:val="center"/>
            </w:pPr>
            <w:r>
              <w:t xml:space="preserve">16b.6</w:t>
            </w:r>
          </w:p>
        </w:tc>
        <w:tc>
          <w:tcPr/>
          <w:p>
            <w:pPr>
              <w:pStyle w:val="Compact"/>
            </w:pPr>
            <w:r>
              <w:t xml:space="preserve">Poucos concorrentes inovam mais ou menos que muitos?</w:t>
            </w:r>
          </w:p>
        </w:tc>
        <w:tc>
          <w:tcPr/>
          <w:p>
            <w:pPr>
              <w:pStyle w:val="Compact"/>
            </w:pPr>
            <w:r>
              <w:t xml:space="preserve">Inovação sob oligopólio, Arrow vs. Schumpeter</w:t>
            </w:r>
          </w:p>
        </w:tc>
        <w:tc>
          <w:tcPr/>
          <w:p>
            <w:pPr>
              <w:pStyle w:val="Compact"/>
              <w:jc w:val="center"/>
            </w:pPr>
            <w:r>
              <w:t xml:space="preserve">Inovação</w:t>
            </w:r>
          </w:p>
        </w:tc>
      </w:tr>
      <w:tr>
        <w:tc>
          <w:tcPr/>
          <w:p>
            <w:pPr>
              <w:pStyle w:val="Compact"/>
              <w:jc w:val="center"/>
            </w:pPr>
            <w:r>
              <w:t xml:space="preserve">16b.7</w:t>
            </w:r>
          </w:p>
        </w:tc>
        <w:tc>
          <w:tcPr/>
          <w:p>
            <w:pPr>
              <w:pStyle w:val="Compact"/>
            </w:pPr>
            <w:r>
              <w:t xml:space="preserve">Qual modelo prevê melhor o comportamento real das firmas?</w:t>
            </w:r>
          </w:p>
        </w:tc>
        <w:tc>
          <w:tcPr/>
          <w:p>
            <w:pPr>
              <w:pStyle w:val="Compact"/>
            </w:pPr>
            <w:r>
              <w:t xml:space="preserve">Comparação Bertrand/Cournot/Stackelberg/colusão</w:t>
            </w:r>
          </w:p>
        </w:tc>
        <w:tc>
          <w:tcPr/>
          <w:p>
            <w:pPr>
              <w:pStyle w:val="Compact"/>
              <w:jc w:val="center"/>
            </w:pPr>
            <w:r>
              <w:t xml:space="preserve">Comparação</w:t>
            </w:r>
          </w:p>
        </w:tc>
      </w:tr>
      <w:tr>
        <w:tc>
          <w:tcPr/>
          <w:p>
            <w:pPr>
              <w:pStyle w:val="Compact"/>
              <w:jc w:val="center"/>
            </w:pPr>
            <w:r>
              <w:t xml:space="preserve">16b.8</w:t>
            </w:r>
          </w:p>
        </w:tc>
        <w:tc>
          <w:tcPr/>
          <w:p>
            <w:pPr>
              <w:pStyle w:val="Compact"/>
            </w:pPr>
            <w:r>
              <w:t xml:space="preserve">Muitos restaurantes, nenhum igual — competição ou monopólio?</w:t>
            </w:r>
          </w:p>
        </w:tc>
        <w:tc>
          <w:tcPr/>
          <w:p>
            <w:pPr>
              <w:pStyle w:val="Compact"/>
            </w:pPr>
            <w:r>
              <w:t xml:space="preserve">Competição monopolística, Chamberlin, Dixit-Stiglitz</w:t>
            </w:r>
          </w:p>
        </w:tc>
        <w:tc>
          <w:tcPr/>
          <w:p>
            <w:pPr>
              <w:pStyle w:val="Compact"/>
              <w:jc w:val="center"/>
            </w:pPr>
            <w:r>
              <w:t xml:space="preserve">Comp. monopolística</w:t>
            </w:r>
          </w:p>
        </w:tc>
      </w:tr>
      <w:tr>
        <w:tc>
          <w:tcPr/>
          <w:p>
            <w:pPr>
              <w:pStyle w:val="Compact"/>
              <w:jc w:val="center"/>
            </w:pPr>
            <w:r>
              <w:t xml:space="preserve">16b.9</w:t>
            </w:r>
          </w:p>
        </w:tc>
        <w:tc>
          <w:tcPr/>
          <w:p>
            <w:pPr>
              <w:pStyle w:val="Compact"/>
            </w:pPr>
            <w:r>
              <w:t xml:space="preserve">Quando dois viram um, o consumidor ganha ou perde?</w:t>
            </w:r>
          </w:p>
        </w:tc>
        <w:tc>
          <w:tcPr/>
          <w:p>
            <w:pPr>
              <w:pStyle w:val="Compact"/>
            </w:pPr>
            <w:r>
              <w:t xml:space="preserve">Fusões, eficiência de Williamson, simulação de preços</w:t>
            </w:r>
          </w:p>
        </w:tc>
        <w:tc>
          <w:tcPr/>
          <w:p>
            <w:pPr>
              <w:pStyle w:val="Compact"/>
              <w:jc w:val="center"/>
            </w:pPr>
            <w:r>
              <w:t xml:space="preserve">Fusões</w:t>
            </w:r>
          </w:p>
        </w:tc>
      </w:tr>
      <w:tr>
        <w:tc>
          <w:tcPr/>
          <w:p>
            <w:pPr>
              <w:pStyle w:val="Compact"/>
              <w:jc w:val="center"/>
            </w:pPr>
            <w:r>
              <w:t xml:space="preserve">16b.10</w:t>
            </w:r>
          </w:p>
        </w:tc>
        <w:tc>
          <w:tcPr/>
          <w:p>
            <w:pPr>
              <w:pStyle w:val="Compact"/>
            </w:pPr>
            <w:r>
              <w:t xml:space="preserve">Como o CADE decide se uma fusão é boa ou ruim?</w:t>
            </w:r>
          </w:p>
        </w:tc>
        <w:tc>
          <w:tcPr/>
          <w:p>
            <w:pPr>
              <w:pStyle w:val="Compact"/>
            </w:pPr>
            <w:r>
              <w:t xml:space="preserve">Regulação de oligopólios, política antitruste</w:t>
            </w:r>
          </w:p>
        </w:tc>
        <w:tc>
          <w:tcPr/>
          <w:p>
            <w:pPr>
              <w:pStyle w:val="Compact"/>
              <w:jc w:val="center"/>
            </w:pPr>
            <w:r>
              <w:t xml:space="preserve">Antitruste</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bookmarkEnd w:id="1013"/>
    <w:bookmarkStart w:id="1027" w:name="b.116b.4-colusão-e-entrada"/>
    <w:p>
      <w:pPr>
        <w:pStyle w:val="Heading2"/>
      </w:pPr>
      <w:r>
        <w:t xml:space="preserve">16b.1–16b.4 Colusão e Entrada</w:t>
      </w:r>
    </w:p>
    <w:bookmarkStart w:id="1020" w:name="X0399cbf4994e5cd18c0980366912a136489dc65"/>
    <w:p>
      <w:pPr>
        <w:pStyle w:val="Heading3"/>
      </w:pPr>
      <w:r>
        <w:t xml:space="preserve">16b.1 Vizinhos de Condomínio: Colusão Tácita</w:t>
      </w:r>
    </w:p>
    <w:p>
      <w:pPr>
        <w:pStyle w:val="FirstParagraph"/>
      </w:pPr>
      <w:r>
        <w:t xml:space="preserve">Nos modelos do Cap. 16a (Cap. 16), as firmas se encontram uma vez, tomam suas decisões e nunca mais se veem — como estranhos que dividem um táxi e depois seguem caminhos separados. Mas firmas reais são mais parecidas com vizinhos de condomínio: cruzam-se no elevador todo dia, e sabem que a retaliação de hoje pode cobrar seu preço amanhã. Essa repetição abre a possibilidade de cooperação: firmas podem coordenar-se tacitamente para manter preços elevados, sustentando a cooperação pela ameaça de retaliação futura. Como esse mecanismo funciona, e sob que condições ele é sustentável?</w:t>
      </w:r>
      <w:r>
        <w:rPr>
          <w:rStyle w:val="FootnoteReference"/>
        </w:rPr>
        <w:footnoteReference w:id="1014"/>
      </w:r>
    </w:p>
    <w:bookmarkStart w:id="1015" w:name="jogos-repetidos-e-sustentação-de-colusão"/>
    <w:p>
      <w:pPr>
        <w:pStyle w:val="Heading4"/>
      </w:pPr>
      <w:r>
        <w:t xml:space="preserve">Jogos repetidos e sustentação de colusão</w:t>
      </w:r>
    </w:p>
    <w:p>
      <w:pPr>
        <w:pStyle w:val="FirstParagraph"/>
      </w:pPr>
      <w:r>
        <w:t xml:space="preserve">Em um jogo de Bertrand repetido infinitamente, as firmas podem sustentar preços acima do custo marginal por meio de</w:t>
      </w:r>
      <w:r>
        <w:t xml:space="preserve"> </w:t>
      </w:r>
      <w:r>
        <w:rPr>
          <w:b/>
          <w:bCs/>
        </w:rPr>
        <w:t xml:space="preserve">estratégias de gatilho</w:t>
      </w:r>
      <w:r>
        <w:t xml:space="preserve"> </w:t>
      </w:r>
      <w:r>
        <w:t xml:space="preserve">(trigger strategies).</w:t>
      </w:r>
    </w:p>
    <w:p>
      <w:pPr>
        <w:pStyle w:val="BlockText"/>
      </w:pPr>
      <w:r>
        <w:rPr>
          <w:b/>
          <w:bCs/>
        </w:rPr>
        <w:t xml:space="preserve">[DEFINICAO] Estratégia de Gatilho (Grim Trigger)</w:t>
      </w:r>
    </w:p>
    <w:p>
      <w:pPr>
        <w:pStyle w:val="BlockText"/>
      </w:pPr>
      <w:r>
        <w:t xml:space="preserve">Na</w:t>
      </w:r>
      <w:r>
        <w:t xml:space="preserve"> </w:t>
      </w:r>
      <w:r>
        <w:rPr>
          <w:b/>
          <w:bCs/>
        </w:rPr>
        <w:t xml:space="preserve">estratégia de gatilho</w:t>
      </w:r>
      <w:r>
        <w:t xml:space="preserve">, cada firma cobra o preço de monopólio enquanto todas as rivais fizerem o mesmo. Se qualquer firma desviar, todas revertem permanentemente para o equilíbrio de Nash estático (preço competitivo).</w:t>
      </w:r>
    </w:p>
    <w:bookmarkEnd w:id="1015"/>
    <w:bookmarkStart w:id="1019" w:name="condição-de-sustentabilidade"/>
    <w:p>
      <w:pPr>
        <w:pStyle w:val="Heading4"/>
      </w:pPr>
      <w:r>
        <w:t xml:space="preserve">Condição de sustentabilidade</w:t>
      </w:r>
    </w:p>
    <w:p>
      <w:pPr>
        <w:pStyle w:val="FirstParagraph"/>
      </w:pPr>
      <w:r>
        <w:t xml:space="preserve">Considere o duopólio de Bertrand com fator de desconto</w:t>
      </w:r>
      <w:r>
        <w:t xml:space="preserve"> </w:t>
      </w:r>
      <m:oMath>
        <m:r>
          <m:t>δ</m:t>
        </m:r>
      </m:oMath>
      <w:r>
        <w:t xml:space="preserve">. O lucro de monopólio dividido é</w:t>
      </w:r>
      <w:r>
        <w:t xml:space="preserve"> </w:t>
      </w:r>
      <m:oMath>
        <m:f>
          <m:fPr>
            <m:type m:val="bar"/>
          </m:fPr>
          <m:num>
            <m:sSup>
              <m:e>
                <m:r>
                  <m:t>π</m:t>
                </m:r>
              </m:e>
              <m:sup>
                <m:r>
                  <m:t>m</m:t>
                </m:r>
              </m:sup>
            </m:sSup>
          </m:num>
          <m:den>
            <m:r>
              <m:t>2</m:t>
            </m:r>
          </m:den>
        </m:f>
      </m:oMath>
      <w:r>
        <w:t xml:space="preserve"> </w:t>
      </w:r>
      <w:r>
        <w:t xml:space="preserve">por período. Ao desviar, a firma obtém</w:t>
      </w:r>
      <w:r>
        <w:t xml:space="preserve"> </w:t>
      </w:r>
      <m:oMath>
        <m:sSup>
          <m:e>
            <m:r>
              <m:t>π</m:t>
            </m:r>
          </m:e>
          <m:sup>
            <m:r>
              <m:t>m</m:t>
            </m:r>
          </m:sup>
        </m:sSup>
      </m:oMath>
      <w:r>
        <w:t xml:space="preserve"> </w:t>
      </w:r>
      <w:r>
        <w:t xml:space="preserve">no período corrente, mas zero daí em diante (punição).</w:t>
      </w:r>
    </w:p>
    <w:p>
      <w:pPr>
        <w:pStyle w:val="BodyText"/>
      </w:pPr>
      <w:r>
        <w:t xml:space="preserve">A colusão é sustentável se:</w:t>
      </w:r>
    </w:p>
    <w:p>
      <w:pPr>
        <w:pStyle w:val="BodyText"/>
      </w:pPr>
      <m:oMathPara>
        <m:oMathParaPr>
          <m:jc m:val="center"/>
        </m:oMathParaPr>
        <m:oMath>
          <m:limLow>
            <m:e>
              <m:limLow>
                <m:e>
                  <m:f>
                    <m:fPr>
                      <m:type m:val="bar"/>
                    </m:fPr>
                    <m:num>
                      <m:sSup>
                        <m:e>
                          <m:r>
                            <m:t>π</m:t>
                          </m:r>
                        </m:e>
                        <m:sup>
                          <m:r>
                            <m:t>m</m:t>
                          </m:r>
                        </m:sup>
                      </m:sSup>
                      <m:r>
                        <m:rPr>
                          <m:sty m:val="p"/>
                        </m:rPr>
                        <m:t>/</m:t>
                      </m:r>
                      <m:r>
                        <m:t>2</m:t>
                      </m:r>
                    </m:num>
                    <m:den>
                      <m:r>
                        <m:t>1</m:t>
                      </m:r>
                      <m:r>
                        <m:rPr>
                          <m:sty m:val="p"/>
                        </m:rPr>
                        <m:t>−</m:t>
                      </m:r>
                      <m:r>
                        <m:t>δ</m:t>
                      </m:r>
                    </m:den>
                  </m:f>
                </m:e>
                <m:lim>
                  <m:r>
                    <m:rPr>
                      <m:sty m:val="p"/>
                    </m:rPr>
                    <m:t>⏟</m:t>
                  </m:r>
                </m:lim>
              </m:limLow>
            </m:e>
            <m:lim>
              <m:r>
                <m:rPr>
                  <m:nor/>
                  <m:sty m:val="p"/>
                </m:rPr>
                <m:t>valor de cooperar</m:t>
              </m:r>
            </m:lim>
          </m:limLow>
          <m:r>
            <m:rPr>
              <m:sty m:val="p"/>
            </m:rPr>
            <m:t>≥</m:t>
          </m:r>
          <m:limLow>
            <m:e>
              <m:limLow>
                <m:e>
                  <m:sSup>
                    <m:e>
                      <m:r>
                        <m:t>π</m:t>
                      </m:r>
                    </m:e>
                    <m:sup>
                      <m:r>
                        <m:t>m</m:t>
                      </m:r>
                    </m:sup>
                  </m:sSup>
                  <m:r>
                    <m:rPr>
                      <m:sty m:val="p"/>
                    </m:rPr>
                    <m:t>+</m:t>
                  </m:r>
                  <m:f>
                    <m:fPr>
                      <m:type m:val="bar"/>
                    </m:fPr>
                    <m:num>
                      <m:r>
                        <m:t>0</m:t>
                      </m:r>
                    </m:num>
                    <m:den>
                      <m:r>
                        <m:t>1</m:t>
                      </m:r>
                      <m:r>
                        <m:rPr>
                          <m:sty m:val="p"/>
                        </m:rPr>
                        <m:t>−</m:t>
                      </m:r>
                      <m:r>
                        <m:t>δ</m:t>
                      </m:r>
                    </m:den>
                  </m:f>
                </m:e>
                <m:lim>
                  <m:r>
                    <m:rPr>
                      <m:sty m:val="p"/>
                    </m:rPr>
                    <m:t>⏟</m:t>
                  </m:r>
                </m:lim>
              </m:limLow>
            </m:e>
            <m:lim>
              <m:r>
                <m:rPr>
                  <m:nor/>
                  <m:sty m:val="p"/>
                </m:rPr>
                <m:t>valor de desviar</m:t>
              </m:r>
            </m:lim>
          </m:limLow>
        </m:oMath>
      </m:oMathPara>
    </w:p>
    <w:p>
      <w:pPr>
        <w:pStyle w:val="FirstParagraph"/>
      </w:pPr>
      <m:oMathPara>
        <m:oMathParaPr>
          <m:jc m:val="center"/>
        </m:oMathParaPr>
        <m:oMath>
          <m:f>
            <m:fPr>
              <m:type m:val="bar"/>
            </m:fPr>
            <m:num>
              <m:r>
                <m:t>1</m:t>
              </m:r>
            </m:num>
            <m:den>
              <m:r>
                <m:t>2</m:t>
              </m:r>
              <m:r>
                <m:rPr>
                  <m:sty m:val="p"/>
                </m:rPr>
                <m:t>(</m:t>
              </m:r>
              <m:r>
                <m:t>1</m:t>
              </m:r>
              <m:r>
                <m:rPr>
                  <m:sty m:val="p"/>
                </m:rPr>
                <m:t>−</m:t>
              </m:r>
              <m:r>
                <m:t>δ</m:t>
              </m:r>
              <m:r>
                <m:rPr>
                  <m:sty m:val="p"/>
                </m:rPr>
                <m:t>)</m:t>
              </m:r>
            </m:den>
          </m:f>
          <m:r>
            <m:rPr>
              <m:sty m:val="p"/>
            </m:rPr>
            <m:t>≥</m:t>
          </m:r>
          <m:r>
            <m:t>1</m:t>
          </m:r>
          <m:r>
            <m:rPr>
              <m:sty m:val="p"/>
            </m:rPr>
            <m:t>⟹</m:t>
          </m:r>
          <m:r>
            <m:t>δ</m:t>
          </m:r>
          <m:r>
            <m:rPr>
              <m:sty m:val="p"/>
            </m:rPr>
            <m:t>≥</m:t>
          </m:r>
          <m:f>
            <m:fPr>
              <m:type m:val="bar"/>
            </m:fPr>
            <m:num>
              <m:r>
                <m:t>1</m:t>
              </m:r>
            </m:num>
            <m:den>
              <m:r>
                <m:t>2</m:t>
              </m:r>
            </m:den>
          </m:f>
        </m:oMath>
      </m:oMathPara>
    </w:p>
    <w:p>
      <w:pPr>
        <w:pStyle w:val="FirstParagraph"/>
      </w:pPr>
      <w:r>
        <w:t xml:space="preserve">Com</w:t>
      </w:r>
      <w:r>
        <w:t xml:space="preserve"> </w:t>
      </w:r>
      <m:oMath>
        <m:r>
          <m:t>n</m:t>
        </m:r>
      </m:oMath>
      <w:r>
        <w:t xml:space="preserve"> </w:t>
      </w:r>
      <w:r>
        <w:t xml:space="preserve">firmas simétricas, a condição torna-se:</w:t>
      </w:r>
    </w:p>
    <w:p>
      <w:pPr>
        <w:pStyle w:val="BodyText"/>
      </w:pPr>
      <m:oMathPara>
        <m:oMathParaPr>
          <m:jc m:val="center"/>
        </m:oMathParaPr>
        <m:oMath>
          <m:r>
            <m:t>δ</m:t>
          </m:r>
          <m:r>
            <m:rPr>
              <m:sty m:val="p"/>
            </m:rPr>
            <m:t>≥</m:t>
          </m:r>
          <m:r>
            <m:t>1</m:t>
          </m:r>
          <m:r>
            <m:rPr>
              <m:sty m:val="p"/>
            </m:rPr>
            <m:t>−</m:t>
          </m:r>
          <m:f>
            <m:fPr>
              <m:type m:val="bar"/>
            </m:fPr>
            <m:num>
              <m:r>
                <m:t>1</m:t>
              </m:r>
            </m:num>
            <m:den>
              <m:r>
                <m:t>n</m:t>
              </m:r>
            </m:den>
          </m:f>
        </m:oMath>
      </m:oMathPara>
    </w:p>
    <w:p>
      <w:pPr>
        <w:pStyle w:val="FirstParagraph"/>
      </w:pPr>
      <w:r>
        <w:t xml:space="preserve">Quanto maior o número de firmas, mais difícil sustentar a colusão.</w:t>
      </w:r>
    </w:p>
    <w:p>
      <w:pPr>
        <w:pStyle w:val="BlockText"/>
      </w:pPr>
      <w:r>
        <w:rPr>
          <w:b/>
          <w:bCs/>
        </w:rPr>
        <w:t xml:space="preserve">[INTUICAO ECONOMICA] Intuição Econômica</w:t>
      </w:r>
    </w:p>
    <w:p>
      <w:pPr>
        <w:pStyle w:val="BlockText"/>
      </w:pPr>
      <w:r>
        <w:rPr>
          <w:b/>
          <w:bCs/>
        </w:rPr>
        <w:t xml:space="preserve">Em uma frase:</w:t>
      </w:r>
      <w:r>
        <w:t xml:space="preserve"> </w:t>
      </w:r>
      <w:r>
        <w:t xml:space="preserve">Cartéis são tentadores mas instáveis — cada participante ganha mais se trair o acordo enquanto os outros cooperam.</w:t>
      </w:r>
    </w:p>
    <w:p>
      <w:pPr>
        <w:pStyle w:val="BlockText"/>
      </w:pPr>
      <w:r>
        <w:rPr>
          <w:b/>
          <w:bCs/>
        </w:rPr>
        <w:t xml:space="preserve">Pense assim:</w:t>
      </w:r>
      <w:r>
        <w:t xml:space="preserve"> </w:t>
      </w:r>
      <w:r>
        <w:t xml:space="preserve">Imagine um grupo de feirantes combinando o preço do tomate. Cada um tem a tentação de baixar o preço escondido e roubar os clientes dos vizinhos. Quanto mais feirantes no acordo, mais fácil alguém furar sem ser notado — e o combinado desmorona.</w:t>
      </w:r>
    </w:p>
    <w:p>
      <w:pPr>
        <w:pStyle w:val="BlockText"/>
      </w:pPr>
      <w:r>
        <w:rPr>
          <w:b/>
          <w:bCs/>
        </w:rPr>
        <w:t xml:space="preserve">Por que isso importa:</w:t>
      </w:r>
      <w:r>
        <w:t xml:space="preserve"> </w:t>
      </w:r>
      <w:r>
        <w:t xml:space="preserve">Programas de leniência do</w:t>
      </w:r>
      <w:r>
        <w:t xml:space="preserve"> </w:t>
      </w:r>
      <w:hyperlink r:id="rId316">
        <w:r>
          <w:rPr>
            <w:rStyle w:val="Hyperlink"/>
          </w:rPr>
          <w:t xml:space="preserve">CADE</w:t>
        </w:r>
      </w:hyperlink>
      <w:r>
        <w:t xml:space="preserve"> </w:t>
      </w:r>
      <w:r>
        <w:t xml:space="preserve">exploram exatamente essa fragilidade: ao oferecer imunidade ao primeiro delator, transformam a tentação de trair o cartel em incentivo para denunciá-lo.</w:t>
      </w:r>
    </w:p>
    <w:p>
      <w:pPr>
        <w:pStyle w:val="FirstParagraph"/>
      </w:pPr>
      <w:r>
        <w:t xml:space="preserve">A</w:t>
      </w:r>
      <w:r>
        <w:t xml:space="preserve"> </w:t>
      </w:r>
      <w:hyperlink w:anchor="tabela-16b-1">
        <w:r>
          <w:rPr>
            <w:rStyle w:val="Hyperlink"/>
          </w:rPr>
          <w:t xml:space="preserve">Tabela 16b.1</w:t>
        </w:r>
      </w:hyperlink>
      <w:r>
        <w:t xml:space="preserve"> </w:t>
      </w:r>
      <w:r>
        <w:t xml:space="preserve">lista os principais fatores que facilitam a sustentação de acordos colusivos.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Fator</w:t>
            </w:r>
          </w:p>
        </w:tc>
        <w:tc>
          <w:tcPr/>
          <w:p>
            <w:pPr>
              <w:pStyle w:val="Compact"/>
            </w:pPr>
            <w:r>
              <w:t xml:space="preserve">Efeito sobre a colusão</w:t>
            </w:r>
          </w:p>
        </w:tc>
        <w:tc>
          <w:tcPr/>
          <w:p>
            <w:pPr>
              <w:pStyle w:val="Compact"/>
            </w:pPr>
            <w:r>
              <w:t xml:space="preserve">Mecanismo</w:t>
            </w:r>
          </w:p>
        </w:tc>
      </w:tr>
      <w:tr>
        <w:tc>
          <w:tcPr/>
          <w:p>
            <w:pPr>
              <w:pStyle w:val="Compact"/>
            </w:pPr>
            <w:r>
              <w:t xml:space="preserve">Poucas firmas</w:t>
            </w:r>
          </w:p>
        </w:tc>
        <w:tc>
          <w:tcPr/>
          <w:p>
            <w:pPr>
              <w:pStyle w:val="Compact"/>
            </w:pPr>
            <w:r>
              <w:t xml:space="preserve">Facilita</w:t>
            </w:r>
          </w:p>
        </w:tc>
        <w:tc>
          <w:tcPr/>
          <w:p>
            <w:pPr>
              <w:pStyle w:val="Compact"/>
            </w:pPr>
            <w:r>
              <w:t xml:space="preserve">Menor incentivo ao desvio</w:t>
            </w:r>
          </w:p>
        </w:tc>
      </w:tr>
      <w:tr>
        <w:tc>
          <w:tcPr/>
          <w:p>
            <w:pPr>
              <w:pStyle w:val="Compact"/>
            </w:pPr>
            <w:r>
              <w:t xml:space="preserve">Interação frequente</w:t>
            </w:r>
          </w:p>
        </w:tc>
        <w:tc>
          <w:tcPr/>
          <w:p>
            <w:pPr>
              <w:pStyle w:val="Compact"/>
            </w:pPr>
            <w:r>
              <w:t xml:space="preserve">Facilita</w:t>
            </w:r>
          </w:p>
        </w:tc>
        <w:tc>
          <w:tcPr/>
          <w:p>
            <w:pPr>
              <w:pStyle w:val="Compact"/>
            </w:pPr>
            <w:r>
              <w:t xml:space="preserve">Retaliação mais rápida</w:t>
            </w:r>
          </w:p>
        </w:tc>
      </w:tr>
      <w:tr>
        <w:tc>
          <w:tcPr/>
          <w:p>
            <w:pPr>
              <w:pStyle w:val="Compact"/>
            </w:pPr>
            <w:r>
              <w:t xml:space="preserve">Demanda estável</w:t>
            </w:r>
          </w:p>
        </w:tc>
        <w:tc>
          <w:tcPr/>
          <w:p>
            <w:pPr>
              <w:pStyle w:val="Compact"/>
            </w:pPr>
            <w:r>
              <w:t xml:space="preserve">Facilita</w:t>
            </w:r>
          </w:p>
        </w:tc>
        <w:tc>
          <w:tcPr/>
          <w:p>
            <w:pPr>
              <w:pStyle w:val="Compact"/>
            </w:pPr>
            <w:r>
              <w:t xml:space="preserve">Desvios são detectáveis</w:t>
            </w:r>
          </w:p>
        </w:tc>
      </w:tr>
      <w:tr>
        <w:tc>
          <w:tcPr/>
          <w:p>
            <w:pPr>
              <w:pStyle w:val="Compact"/>
            </w:pPr>
            <w:r>
              <w:t xml:space="preserve">Produtos homogêneos</w:t>
            </w:r>
          </w:p>
        </w:tc>
        <w:tc>
          <w:tcPr/>
          <w:p>
            <w:pPr>
              <w:pStyle w:val="Compact"/>
            </w:pPr>
            <w:r>
              <w:t xml:space="preserve">Ambíguo</w:t>
            </w:r>
          </w:p>
        </w:tc>
        <w:tc>
          <w:tcPr/>
          <w:p>
            <w:pPr>
              <w:pStyle w:val="Compact"/>
            </w:pPr>
            <w:r>
              <w:t xml:space="preserve">Facilita detecção mas aumenta tentação</w:t>
            </w:r>
          </w:p>
        </w:tc>
      </w:tr>
      <w:tr>
        <w:tc>
          <w:tcPr/>
          <w:p>
            <w:pPr>
              <w:pStyle w:val="Compact"/>
            </w:pPr>
            <w:r>
              <w:t xml:space="preserve">Simetria de custos</w:t>
            </w:r>
          </w:p>
        </w:tc>
        <w:tc>
          <w:tcPr/>
          <w:p>
            <w:pPr>
              <w:pStyle w:val="Compact"/>
            </w:pPr>
            <w:r>
              <w:t xml:space="preserve">Facilita</w:t>
            </w:r>
          </w:p>
        </w:tc>
        <w:tc>
          <w:tcPr/>
          <w:p>
            <w:pPr>
              <w:pStyle w:val="Compact"/>
            </w:pPr>
            <w:r>
              <w:t xml:space="preserve">Acordo mais fácil sobre preço</w:t>
            </w:r>
          </w:p>
        </w:tc>
      </w:tr>
      <w:tr>
        <w:tc>
          <w:tcPr/>
          <w:p>
            <w:pPr>
              <w:pStyle w:val="Compact"/>
            </w:pPr>
            <w:r>
              <w:t xml:space="preserve">Transparência de preços</w:t>
            </w:r>
          </w:p>
        </w:tc>
        <w:tc>
          <w:tcPr/>
          <w:p>
            <w:pPr>
              <w:pStyle w:val="Compact"/>
            </w:pPr>
            <w:r>
              <w:t xml:space="preserve">Facilita</w:t>
            </w:r>
          </w:p>
        </w:tc>
        <w:tc>
          <w:tcPr/>
          <w:p>
            <w:pPr>
              <w:pStyle w:val="Compact"/>
            </w:pPr>
            <w:r>
              <w:t xml:space="preserve">Detecção rápida de desvios</w:t>
            </w:r>
          </w:p>
        </w:tc>
      </w:tr>
      <w:tr>
        <w:tc>
          <w:tcPr/>
          <w:p>
            <w:pPr>
              <w:pStyle w:val="Compact"/>
            </w:pPr>
            <w:r>
              <w:t xml:space="preserve">Barreiras à entrada</w:t>
            </w:r>
          </w:p>
        </w:tc>
        <w:tc>
          <w:tcPr/>
          <w:p>
            <w:pPr>
              <w:pStyle w:val="Compact"/>
            </w:pPr>
            <w:r>
              <w:t xml:space="preserve">Facilita</w:t>
            </w:r>
          </w:p>
        </w:tc>
        <w:tc>
          <w:tcPr/>
          <w:p>
            <w:pPr>
              <w:pStyle w:val="Compact"/>
            </w:pPr>
            <w:r>
              <w:t xml:space="preserve">Impede erosão de lucros por entrantes</w:t>
            </w:r>
          </w:p>
        </w:tc>
      </w:tr>
      <w:tr>
        <w:tc>
          <w:tcPr/>
          <w:p>
            <w:pPr>
              <w:pStyle w:val="Compact"/>
            </w:pPr>
            <w:r>
              <w:t xml:space="preserve">Contato multimercado</w:t>
            </w:r>
          </w:p>
        </w:tc>
        <w:tc>
          <w:tcPr/>
          <w:p>
            <w:pPr>
              <w:pStyle w:val="Compact"/>
            </w:pPr>
            <w:r>
              <w:t xml:space="preserve">Facilita</w:t>
            </w:r>
          </w:p>
        </w:tc>
        <w:tc>
          <w:tcPr/>
          <w:p>
            <w:pPr>
              <w:pStyle w:val="Compact"/>
            </w:pPr>
            <w:r>
              <w:t xml:space="preserve">Mais oportunidades de punição</w:t>
            </w:r>
          </w:p>
        </w:tc>
      </w:tr>
    </w:tbl>
    <w:p>
      <w:pPr>
        <w:pStyle w:val="BodyText"/>
      </w:pPr>
      <w:r>
        <w:rPr>
          <w:b/>
          <w:bCs/>
        </w:rPr>
        <w:t xml:space="preserve">Tabela 16b.1 — Fatores que facilitam a colusão.</w:t>
      </w:r>
    </w:p>
    <w:p>
      <w:pPr>
        <w:pStyle w:val="BlockText"/>
      </w:pPr>
      <w:r>
        <w:rPr>
          <w:b/>
          <w:bCs/>
        </w:rPr>
        <w:t xml:space="preserve">[DICA] Colusão tácita e direito concorrencial</w:t>
      </w:r>
    </w:p>
    <w:p>
      <w:pPr>
        <w:pStyle w:val="BlockText"/>
      </w:pPr>
      <w:r>
        <w:t xml:space="preserve">A colusão tácita — sustentada por interação repetida sem comunicação explícita — é extremamente difícil de combater com instrumentos tradicionais do direito antitruste. O CADE distingue entre</w:t>
      </w:r>
      <w:r>
        <w:t xml:space="preserve"> </w:t>
      </w:r>
      <w:r>
        <w:rPr>
          <w:b/>
          <w:bCs/>
        </w:rPr>
        <w:t xml:space="preserve">cartel</w:t>
      </w:r>
      <w:r>
        <w:t xml:space="preserve"> </w:t>
      </w:r>
      <w:r>
        <w:t xml:space="preserve">(acordo explícito, ilícito per se) e</w:t>
      </w:r>
      <w:r>
        <w:t xml:space="preserve"> </w:t>
      </w:r>
      <w:r>
        <w:rPr>
          <w:b/>
          <w:bCs/>
        </w:rPr>
        <w:t xml:space="preserve">paralelismo consciente</w:t>
      </w:r>
      <w:r>
        <w:t xml:space="preserve"> </w:t>
      </w:r>
      <w:r>
        <w:t xml:space="preserve">(comportamento coordenado sem acordo, que pode não ser ilícito). A análise de estrutura de mercado (concentração, barreiras, transparência) é utilizada para avaliar a probabilidade de coordenação tácita.</w:t>
      </w:r>
    </w:p>
    <w:p>
      <w:pPr>
        <w:pStyle w:val="BlockText"/>
      </w:pPr>
      <w:r>
        <w:rPr>
          <w:b/>
          <w:bCs/>
        </w:rPr>
        <w:t xml:space="preserve">[BOX BRASIL] Box Brasil: O cartel do metrô de São Paulo e o Programa de Leniência do CADE</w:t>
      </w:r>
    </w:p>
    <w:p>
      <w:pPr>
        <w:pStyle w:val="BlockText"/>
      </w:pPr>
      <w:r>
        <w:t xml:space="preserve">Em 2013, o CADE condenou um cartel formado por grandes construtoras e fabricantes de equipamentos ferroviários que atuavam em licitações do Metrô de São Paulo e da CPTM. As empresas — incluindo Alstom, Bombardier, Mitsui, Siemens e CAF — coordenavam preços e dividiam lotes de licitações de trens e sistemas de sinalização por mais de uma década.</w:t>
      </w:r>
    </w:p>
    <w:p>
      <w:pPr>
        <w:pStyle w:val="BlockText"/>
      </w:pPr>
      <w:r>
        <w:rPr>
          <w:b/>
          <w:bCs/>
        </w:rPr>
        <w:t xml:space="preserve">Mecanismo de colusão:</w:t>
      </w:r>
    </w:p>
    <w:p>
      <w:pPr>
        <w:pStyle w:val="BlockText"/>
      </w:pPr>
      <w:r>
        <w:t xml:space="preserve">O cartel operava exatamente como prevê a teoria: as firmas estabeleciam reuniões periódicas para definir qual empresa</w:t>
      </w:r>
      <w:r>
        <w:t xml:space="preserve"> </w:t>
      </w:r>
      <w:r>
        <w:t xml:space="preserve">“ganharia”</w:t>
      </w:r>
      <w:r>
        <w:t xml:space="preserve"> </w:t>
      </w:r>
      <w:r>
        <w:t xml:space="preserve">cada licitação, com as demais apresentando propostas artificialmente superiores. A sustentação do acordo era facilitada por: (i) poucas firmas (oligopólio concentrado); (ii) interação repetida em múltiplas licitações ao longo dos anos; (iii) transparência — cada firma observava se as demais cumpriam o acordo; (iv) barreiras à entrada elevadas (exigências técnicas e certificações).</w:t>
      </w:r>
    </w:p>
    <w:p>
      <w:pPr>
        <w:pStyle w:val="BlockText"/>
      </w:pPr>
      <w:r>
        <w:rPr>
          <w:b/>
          <w:bCs/>
        </w:rPr>
        <w:t xml:space="preserve">Programa de Leniência:</w:t>
      </w:r>
    </w:p>
    <w:p>
      <w:pPr>
        <w:pStyle w:val="BlockText"/>
      </w:pPr>
      <w:r>
        <w:t xml:space="preserve">O caso foi descoberto graças ao</w:t>
      </w:r>
      <w:r>
        <w:t xml:space="preserve"> </w:t>
      </w:r>
      <w:r>
        <w:rPr>
          <w:b/>
          <w:bCs/>
        </w:rPr>
        <w:t xml:space="preserve">Programa de Leniência</w:t>
      </w:r>
      <w:r>
        <w:t xml:space="preserve"> </w:t>
      </w:r>
      <w:r>
        <w:t xml:space="preserve">do</w:t>
      </w:r>
      <w:r>
        <w:t xml:space="preserve"> </w:t>
      </w:r>
      <w:hyperlink r:id="rId1016">
        <w:r>
          <w:rPr>
            <w:rStyle w:val="Hyperlink"/>
          </w:rPr>
          <w:t xml:space="preserve">CADE</w:t>
        </w:r>
      </w:hyperlink>
      <w:r>
        <w:t xml:space="preserve">, inspirado no modelo americano. A Siemens, primeira empresa a confessar a participação e fornecer provas, obteve imunidade total de multas. As demais firmas foram condenadas a multas que somaram mais de R$ 530 milhões. O programa de leniência funciona como um mecanismo de quebra da colusão: ao oferecer imunidade ao primeiro delator, reduz o fator de desconto efetivo e torna o desvio (delação) mais atrativo do que a cooperação com o cartel — exatamente o que a teoria dos jogos repetidos prevê.</w:t>
      </w:r>
    </w:p>
    <w:p>
      <w:pPr>
        <w:pStyle w:val="BlockText"/>
      </w:pPr>
      <w:r>
        <w:rPr>
          <w:b/>
          <w:bCs/>
        </w:rPr>
        <w:t xml:space="preserve">[BOX MUNDO] Box Mundo — Colusão algorítmica: quando a IA aprende a fazer cartel</w:t>
      </w:r>
    </w:p>
    <w:p>
      <w:pPr>
        <w:pStyle w:val="BlockText"/>
      </w:pPr>
      <w:r>
        <w:t xml:space="preserve">A revolução digital levanta uma questão perturbadora para a política antitruste: algoritmos de precificação baseados em IA podem aprender a coordenar preços</w:t>
      </w:r>
      <w:r>
        <w:t xml:space="preserve"> </w:t>
      </w:r>
      <w:r>
        <w:rPr>
          <w:i/>
          <w:iCs/>
        </w:rPr>
        <w:t xml:space="preserve">sem</w:t>
      </w:r>
      <w:r>
        <w:t xml:space="preserve"> </w:t>
      </w:r>
      <w:r>
        <w:t xml:space="preserve">instruções explícitas dos programadores?</w:t>
      </w:r>
    </w:p>
    <w:p>
      <w:pPr>
        <w:pStyle w:val="BlockText"/>
      </w:pPr>
      <w:r>
        <w:rPr>
          <w:b/>
          <w:bCs/>
        </w:rPr>
        <w:t xml:space="preserve">A evidência experimental de Calvano et al. (2020):</w:t>
      </w:r>
    </w:p>
    <w:p>
      <w:pPr>
        <w:pStyle w:val="BlockText"/>
      </w:pPr>
      <w:r>
        <w:t xml:space="preserve">Em</w:t>
      </w:r>
      <w:r>
        <w:t xml:space="preserve"> </w:t>
      </w:r>
      <w:r>
        <w:t xml:space="preserve">“Artificial Intelligence, Algorithmic Pricing, and Collusion”</w:t>
      </w:r>
      <w:r>
        <w:t xml:space="preserve"> </w:t>
      </w:r>
      <w:r>
        <w:t xml:space="preserve">(</w:t>
      </w:r>
      <w:r>
        <w:rPr>
          <w:i/>
          <w:iCs/>
        </w:rPr>
        <w:t xml:space="preserve">American Economic Review</w:t>
      </w:r>
      <w:r>
        <w:t xml:space="preserve">, 110(10), 3267–3297), Emilio Calvano e coautores demonstraram que algoritmos de</w:t>
      </w:r>
      <w:r>
        <w:t xml:space="preserve"> </w:t>
      </w:r>
      <w:r>
        <w:rPr>
          <w:i/>
          <w:iCs/>
        </w:rPr>
        <w:t xml:space="preserve">Q-learning</w:t>
      </w:r>
      <w:r>
        <w:t xml:space="preserve"> </w:t>
      </w:r>
      <w:r>
        <w:t xml:space="preserve">(uma forma de aprendizado por reforço), treinados em ambientes de oligopólio repetido, convergem de forma independente para preços</w:t>
      </w:r>
      <w:r>
        <w:t xml:space="preserve"> </w:t>
      </w:r>
      <w:r>
        <w:rPr>
          <w:b/>
          <w:bCs/>
        </w:rPr>
        <w:t xml:space="preserve">supra-competitivos</w:t>
      </w:r>
      <w:r>
        <w:t xml:space="preserve"> </w:t>
      </w:r>
      <w:r>
        <w:t xml:space="preserve">— sem comunicação entre si e sem que os programadores tenham codificado qualquer instrução de colusão. Mais surpreendente: os algoritmos desenvolvem espontaneamente</w:t>
      </w:r>
      <w:r>
        <w:t xml:space="preserve"> </w:t>
      </w:r>
      <w:r>
        <w:rPr>
          <w:b/>
          <w:bCs/>
        </w:rPr>
        <w:t xml:space="preserve">estratégias de punição</w:t>
      </w:r>
      <w:r>
        <w:t xml:space="preserve"> </w:t>
      </w:r>
      <w:r>
        <w:t xml:space="preserve">similares ao</w:t>
      </w:r>
      <w:r>
        <w:t xml:space="preserve"> </w:t>
      </w:r>
      <w:r>
        <w:rPr>
          <w:i/>
          <w:iCs/>
        </w:rPr>
        <w:t xml:space="preserve">grim trigger</w:t>
      </w:r>
      <w:r>
        <w:t xml:space="preserve"> </w:t>
      </w:r>
      <w:r>
        <w:t xml:space="preserve">— quando um rival baixa o preço, o algoritmo retalia por alguns períodos antes de retornar à cooperação. Isso é exatamente o que a teoria de jogos repetidos (Seção 16b.1) prevê como mecanismo de sustentação da colusão.</w:t>
      </w:r>
    </w:p>
    <w:p>
      <w:pPr>
        <w:pStyle w:val="BlockText"/>
      </w:pPr>
      <w:r>
        <w:rPr>
          <w:b/>
          <w:bCs/>
        </w:rPr>
        <w:t xml:space="preserve">Implicações para política antitruste:</w:t>
      </w:r>
    </w:p>
    <w:p>
      <w:pPr>
        <w:pStyle w:val="Compact"/>
        <w:numPr>
          <w:ilvl w:val="0"/>
          <w:numId w:val="1900"/>
        </w:numPr>
      </w:pPr>
      <w:r>
        <w:t xml:space="preserve">O direito concorrencial tradicional exige</w:t>
      </w:r>
      <w:r>
        <w:t xml:space="preserve"> </w:t>
      </w:r>
      <w:r>
        <w:rPr>
          <w:b/>
          <w:bCs/>
        </w:rPr>
        <w:t xml:space="preserve">acordo explícito</w:t>
      </w:r>
      <w:r>
        <w:t xml:space="preserve"> </w:t>
      </w:r>
      <w:r>
        <w:t xml:space="preserve">para configurar cartel. Se algoritmos coordenam preços sem comunicação, sem acordo e sem intenção humana, como enquadrar legalmente?</w:t>
      </w:r>
    </w:p>
    <w:p>
      <w:pPr>
        <w:pStyle w:val="Compact"/>
        <w:numPr>
          <w:ilvl w:val="0"/>
          <w:numId w:val="1900"/>
        </w:numPr>
      </w:pPr>
      <w:r>
        <w:t xml:space="preserve">O CADE, a Comissão Europeia e a FTC americana estão ativamente debatendo se a</w:t>
      </w:r>
      <w:r>
        <w:t xml:space="preserve"> </w:t>
      </w:r>
      <w:r>
        <w:t xml:space="preserve">“colusão algorítmica”</w:t>
      </w:r>
      <w:r>
        <w:t xml:space="preserve"> </w:t>
      </w:r>
      <w:r>
        <w:t xml:space="preserve">configura ilícito antitruste.</w:t>
      </w:r>
    </w:p>
    <w:p>
      <w:pPr>
        <w:pStyle w:val="Compact"/>
        <w:numPr>
          <w:ilvl w:val="0"/>
          <w:numId w:val="1900"/>
        </w:numPr>
      </w:pPr>
      <w:r>
        <w:t xml:space="preserve">Assad et al. (2024) documentaram que a adoção de algoritmos de precificação idênticos por postos de gasolina na Alemanha elevou preços em 9–28% — evidência de campo consistente com os resultados de laboratório de Calvano et al.</w:t>
      </w:r>
    </w:p>
    <w:p>
      <w:pPr>
        <w:pStyle w:val="BlockText"/>
      </w:pPr>
      <w:r>
        <w:rPr>
          <w:b/>
          <w:bCs/>
        </w:rPr>
        <w:t xml:space="preserve">Conexão com a teoria:</w:t>
      </w:r>
      <w:r>
        <w:t xml:space="preserve"> </w:t>
      </w:r>
      <w:r>
        <w:t xml:space="preserve">Este caso demonstra que a condição de sustentabilidade da colusão (</w:t>
      </w:r>
      <m:oMath>
        <m:r>
          <m:t>δ</m:t>
        </m:r>
        <m:r>
          <m:rPr>
            <m:sty m:val="p"/>
          </m:rPr>
          <m:t>≥</m:t>
        </m:r>
        <m:f>
          <m:fPr>
            <m:type m:val="bar"/>
          </m:fPr>
          <m:num>
            <m:r>
              <m:t>n</m:t>
            </m:r>
            <m:r>
              <m:rPr>
                <m:sty m:val="p"/>
              </m:rPr>
              <m:t>−</m:t>
            </m:r>
            <m:r>
              <m:t>1</m:t>
            </m:r>
          </m:num>
          <m:den>
            <m:r>
              <m:t>n</m:t>
            </m:r>
          </m:den>
        </m:f>
      </m:oMath>
      <w:r>
        <w:t xml:space="preserve">, Equação 16b.1) é mais facilmente satisfeita por algoritmos: eles são infinitamente pacientes (</w:t>
      </w:r>
      <m:oMath>
        <m:r>
          <m:t>δ</m:t>
        </m:r>
        <m:r>
          <m:rPr>
            <m:sty m:val="p"/>
          </m:rPr>
          <m:t>≈</m:t>
        </m:r>
        <m:r>
          <m:t>1</m:t>
        </m:r>
      </m:oMath>
      <w:r>
        <w:t xml:space="preserve">), observam preços em tempo real e ajustam estratégias instantaneamente. O oligopólio algorítmico é o cenário mais favorável à colusão tácita que a teoria já concebeu.</w:t>
      </w:r>
    </w:p>
    <w:p>
      <w:pPr>
        <w:pStyle w:val="BlockText"/>
      </w:pPr>
      <w:r>
        <w:rPr>
          <w:b/>
          <w:bCs/>
        </w:rPr>
        <w:t xml:space="preserve">Fonte:</w:t>
      </w:r>
      <w:r>
        <w:t xml:space="preserve"> </w:t>
      </w:r>
      <w:r>
        <w:t xml:space="preserve">Calvano, E., Calzolari, G., Denicolò, V. e Pastorello, S. (2020).</w:t>
      </w:r>
      <w:r>
        <w:t xml:space="preserve"> </w:t>
      </w:r>
      <w:hyperlink r:id="rId1017">
        <w:r>
          <w:rPr>
            <w:rStyle w:val="Hyperlink"/>
          </w:rPr>
          <w:t xml:space="preserve">“Artificial Intelligence, Algorithmic Pricing, and Collusion.”</w:t>
        </w:r>
      </w:hyperlink>
      <w:r>
        <w:t xml:space="preserve"> </w:t>
      </w:r>
      <w:r>
        <w:rPr>
          <w:i/>
          <w:iCs/>
        </w:rPr>
        <w:t xml:space="preserve">AER</w:t>
      </w:r>
      <w:r>
        <w:t xml:space="preserve">, 110(10), 3267–3297. Assad, S., Clark, R., Ershov, D. e Xu, L. (2024).</w:t>
      </w:r>
      <w:r>
        <w:t xml:space="preserve"> </w:t>
      </w:r>
      <w:hyperlink r:id="rId1018">
        <w:r>
          <w:rPr>
            <w:rStyle w:val="Hyperlink"/>
          </w:rPr>
          <w:t xml:space="preserve">“Algorithmic Pricing and Competition: Empirical Evidence from the German Retail Gasoline Market.”</w:t>
        </w:r>
      </w:hyperlink>
      <w:r>
        <w:t xml:space="preserve"> </w:t>
      </w:r>
      <w:r>
        <w:rPr>
          <w:i/>
          <w:iCs/>
        </w:rPr>
        <w:t xml:space="preserve">Journal of Political Economy</w:t>
      </w:r>
      <w:r>
        <w:t xml:space="preserve">, 132(3).</w:t>
      </w:r>
    </w:p>
    <w:p>
      <w:r>
        <w:pict>
          <v:rect style="width:0;height:1.5pt" o:hralign="center" o:hrstd="t" o:hr="t"/>
        </w:pict>
      </w:r>
    </w:p>
    <w:bookmarkEnd w:id="1019"/>
    <w:bookmarkEnd w:id="1020"/>
    <w:bookmarkStart w:id="1022" w:name="X59a15cad4eb8418deb46642a59ee9f380ebfd1c"/>
    <w:p>
      <w:pPr>
        <w:pStyle w:val="Heading3"/>
      </w:pPr>
      <w:r>
        <w:t xml:space="preserve">16b.2 Redesenhando o Tabuleiro: Investimento, Entrada e Saída</w:t>
      </w:r>
    </w:p>
    <w:p>
      <w:pPr>
        <w:pStyle w:val="FirstParagraph"/>
      </w:pPr>
      <w:r>
        <w:t xml:space="preserve">Até aqui, tratamos o oligopólio como um jogo de tabuleiro com regras fixas — o número de jogadores, as peças disponíveis e o mapa já estavam dados, e as firmas só decidiam onde mover. Agora elevamos o nível: no longo prazo, as firmas podem redesenhar o próprio tabuleiro. Investir em capacidade, P&amp;D, localização e publicidade, ou adotar posicionamentos que mudam as regras da competição futura — tudo isso é estratégia de longo prazo. Essas decisões alteram a estrutura do jogo e o comportamento de equilíbrio, e são frequentemente mais importantes do que as escolhas de curto prazo, pois definem as condições sob as quais a competição se desenrolará.</w:t>
      </w:r>
    </w:p>
    <w:bookmarkStart w:id="1021" w:name="compromisso-estratégico"/>
    <w:p>
      <w:pPr>
        <w:pStyle w:val="Heading4"/>
      </w:pPr>
      <w:r>
        <w:t xml:space="preserve">Compromisso estratégico</w:t>
      </w:r>
    </w:p>
    <w:p>
      <w:pPr>
        <w:pStyle w:val="FirstParagraph"/>
      </w:pPr>
      <w:r>
        <w:t xml:space="preserve">Um investimento constitui um</w:t>
      </w:r>
      <w:r>
        <w:t xml:space="preserve"> </w:t>
      </w:r>
      <w:r>
        <w:rPr>
          <w:b/>
          <w:bCs/>
        </w:rPr>
        <w:t xml:space="preserve">compromisso</w:t>
      </w:r>
      <w:r>
        <w:t xml:space="preserve"> </w:t>
      </w:r>
      <w:r>
        <w:t xml:space="preserve">(commitment) se é irreversível ou custoso de reverter. Compromissos credíveis podem alterar as expectativas dos rivais e modificar o equilíbrio.</w:t>
      </w:r>
    </w:p>
    <w:p>
      <w:pPr>
        <w:pStyle w:val="BodyText"/>
      </w:pPr>
      <w:r>
        <w:t xml:space="preserve">A taxonomia de Fudenberg e Tirole (1984) classifica os investimentos estratégicos em:</w:t>
      </w:r>
    </w:p>
    <w:p>
      <w:pPr>
        <w:pStyle w:val="Compact"/>
        <w:numPr>
          <w:ilvl w:val="0"/>
          <w:numId w:val="1901"/>
        </w:numPr>
      </w:pPr>
      <w:r>
        <w:rPr>
          <w:b/>
          <w:bCs/>
        </w:rPr>
        <w:t xml:space="preserve">Top dog</w:t>
      </w:r>
      <w:r>
        <w:t xml:space="preserve"> </w:t>
      </w:r>
      <w:r>
        <w:t xml:space="preserve">(</w:t>
      </w:r>
      <w:r>
        <w:t xml:space="preserve">“cão grande”</w:t>
      </w:r>
      <w:r>
        <w:t xml:space="preserve">): investir agressivamente para intimidar rivais (ex.: excesso de capacidade para dissuadir entrada).</w:t>
      </w:r>
    </w:p>
    <w:p>
      <w:pPr>
        <w:pStyle w:val="Compact"/>
        <w:numPr>
          <w:ilvl w:val="0"/>
          <w:numId w:val="1901"/>
        </w:numPr>
      </w:pPr>
      <w:r>
        <w:rPr>
          <w:b/>
          <w:bCs/>
        </w:rPr>
        <w:t xml:space="preserve">Puppy dog</w:t>
      </w:r>
      <w:r>
        <w:t xml:space="preserve"> </w:t>
      </w:r>
      <w:r>
        <w:t xml:space="preserve">(</w:t>
      </w:r>
      <w:r>
        <w:t xml:space="preserve">“cão manso”</w:t>
      </w:r>
      <w:r>
        <w:t xml:space="preserve">): investir pouco para sinalizar intenções pacíficas e evitar retaliação.</w:t>
      </w:r>
    </w:p>
    <w:p>
      <w:pPr>
        <w:pStyle w:val="Compact"/>
        <w:numPr>
          <w:ilvl w:val="0"/>
          <w:numId w:val="1901"/>
        </w:numPr>
      </w:pPr>
      <w:r>
        <w:rPr>
          <w:b/>
          <w:bCs/>
        </w:rPr>
        <w:t xml:space="preserve">Fat cat</w:t>
      </w:r>
      <w:r>
        <w:t xml:space="preserve"> </w:t>
      </w:r>
      <w:r>
        <w:t xml:space="preserve">(</w:t>
      </w:r>
      <w:r>
        <w:t xml:space="preserve">“gato gordo”</w:t>
      </w:r>
      <w:r>
        <w:t xml:space="preserve">): investir para tornar-se menos agressivo e induzir acomodação do rival.</w:t>
      </w:r>
    </w:p>
    <w:p>
      <w:pPr>
        <w:pStyle w:val="Compact"/>
        <w:numPr>
          <w:ilvl w:val="0"/>
          <w:numId w:val="1901"/>
        </w:numPr>
      </w:pPr>
      <w:r>
        <w:rPr>
          <w:b/>
          <w:bCs/>
        </w:rPr>
        <w:t xml:space="preserve">Lean and hungry</w:t>
      </w:r>
      <w:r>
        <w:t xml:space="preserve"> </w:t>
      </w:r>
      <w:r>
        <w:t xml:space="preserve">(</w:t>
      </w:r>
      <w:r>
        <w:t xml:space="preserve">“magro e faminto”</w:t>
      </w:r>
      <w:r>
        <w:t xml:space="preserve">): não investir para parecer mais agressivo e dissuadir rivais.</w:t>
      </w:r>
    </w:p>
    <w:p>
      <w:pPr>
        <w:pStyle w:val="FirstParagraph"/>
      </w:pPr>
      <w:r>
        <w:t xml:space="preserve">A estratégia ótima depende de dois fatores: (i) se o investimento torna a firma mais agressiva ou mais acomodada; (ii) se o objetivo é dissuadir a entrada ou acomodar-se com rivais existentes.</w:t>
      </w:r>
    </w:p>
    <w:p>
      <w:r>
        <w:pict>
          <v:rect style="width:0;height:1.5pt" o:hralign="center" o:hrstd="t" o:hr="t"/>
        </w:pict>
      </w:r>
    </w:p>
    <w:bookmarkEnd w:id="1021"/>
    <w:bookmarkEnd w:id="1022"/>
    <w:bookmarkStart w:id="1024" w:name="X9fda70aadc34d98044d3f491274da7803cc78e9"/>
    <w:p>
      <w:pPr>
        <w:pStyle w:val="Heading3"/>
      </w:pPr>
      <w:r>
        <w:t xml:space="preserve">16b.3 Fábrica Grande Antes do Rival Chegar: Dissuasão de Entrada</w:t>
      </w:r>
    </w:p>
    <w:p>
      <w:pPr>
        <w:pStyle w:val="FirstParagraph"/>
      </w:pPr>
      <w:r>
        <w:t xml:space="preserve">O conceito de compromisso estratégico adquire especial importância quando o incumbente enfrenta a possibilidade de entrada de um novo concorrente. Nesse contexto, a firma estabelecida pode investir de forma a tornar a entrada não lucrativa para o rival potencial — uma prática conhecida como dissuasão estratégica de entrada. A questão central, contudo, é se essa estratégia é ótima para o incumbente: investir em dissuasão tem custos, e em alguns casos pode ser mais lucrativo simplesmente acomodar a entrada.</w:t>
      </w:r>
    </w:p>
    <w:bookmarkStart w:id="1023" w:name="sobrecapacidade-como-barreira"/>
    <w:p>
      <w:pPr>
        <w:pStyle w:val="Heading4"/>
      </w:pPr>
      <w:r>
        <w:t xml:space="preserve">Sobrecapacidade como barreira</w:t>
      </w:r>
    </w:p>
    <w:p>
      <w:pPr>
        <w:pStyle w:val="FirstParagraph"/>
      </w:pPr>
      <w:r>
        <w:t xml:space="preserve">Spence (1977) e Dixit (1980) analisaram como o incumbente pode usar</w:t>
      </w:r>
      <w:r>
        <w:t xml:space="preserve"> </w:t>
      </w:r>
      <w:r>
        <w:rPr>
          <w:b/>
          <w:bCs/>
        </w:rPr>
        <w:t xml:space="preserve">investimento em capacidade</w:t>
      </w:r>
      <w:r>
        <w:t xml:space="preserve"> </w:t>
      </w:r>
      <w:r>
        <w:t xml:space="preserve">para dissuadir a entrada. No modelo de Dixit, o incumbente instala capacidade</w:t>
      </w:r>
      <w:r>
        <w:t xml:space="preserve"> </w:t>
      </w:r>
      <m:oMath>
        <m:r>
          <m:t>K</m:t>
        </m:r>
      </m:oMath>
      <w:r>
        <w:t xml:space="preserve"> </w:t>
      </w:r>
      <w:r>
        <w:t xml:space="preserve">antes que o entrante potencial decida se ingressa no mercado. Se</w:t>
      </w:r>
      <w:r>
        <w:t xml:space="preserve"> </w:t>
      </w:r>
      <m:oMath>
        <m:r>
          <m:t>K</m:t>
        </m:r>
      </m:oMath>
      <w:r>
        <w:t xml:space="preserve"> </w:t>
      </w:r>
      <w:r>
        <w:t xml:space="preserve">é suficientemente grande, a entrada torna-se não lucrativa porque o incumbente pode comprometer-se a produzir uma quantidade elevada.</w:t>
      </w:r>
    </w:p>
    <w:p>
      <w:pPr>
        <w:pStyle w:val="BodyText"/>
      </w:pPr>
      <w:r>
        <w:t xml:space="preserve">A condição para dissuasão de entrada é:</w:t>
      </w:r>
    </w:p>
    <w:p>
      <w:pPr>
        <w:pStyle w:val="BodyText"/>
      </w:pPr>
      <m:oMathPara>
        <m:oMathParaPr>
          <m:jc m:val="center"/>
        </m:oMathParaPr>
        <m:oMath>
          <m:sSub>
            <m:e>
              <m:r>
                <m:t>π</m:t>
              </m:r>
            </m:e>
            <m:sub>
              <m:r>
                <m:t>E</m:t>
              </m:r>
            </m:sub>
          </m:sSub>
          <m:r>
            <m:rPr>
              <m:sty m:val="p"/>
            </m:rPr>
            <m:t>(</m:t>
          </m:r>
          <m:sSubSup>
            <m:e>
              <m:r>
                <m:t>q</m:t>
              </m:r>
            </m:e>
            <m:sub>
              <m:r>
                <m:t>E</m:t>
              </m:r>
            </m:sub>
            <m:sup>
              <m:r>
                <m:rPr>
                  <m:sty m:val="p"/>
                </m:rPr>
                <m:t>*</m:t>
              </m:r>
            </m:sup>
          </m:sSubSup>
          <m:r>
            <m:rPr>
              <m:sty m:val="p"/>
            </m:rPr>
            <m:t>,</m:t>
          </m:r>
          <m:r>
            <m:t>K</m:t>
          </m:r>
          <m:r>
            <m:rPr>
              <m:sty m:val="p"/>
            </m:rPr>
            <m:t>)</m:t>
          </m:r>
          <m:r>
            <m:rPr>
              <m:sty m:val="p"/>
            </m:rPr>
            <m:t>≤</m:t>
          </m:r>
          <m:r>
            <m:t>f</m:t>
          </m:r>
        </m:oMath>
      </m:oMathPara>
    </w:p>
    <w:p>
      <w:pPr>
        <w:pStyle w:val="FirstParagraph"/>
      </w:pPr>
      <w:r>
        <w:t xml:space="preserve">onde</w:t>
      </w:r>
      <w:r>
        <w:t xml:space="preserve"> </w:t>
      </w:r>
      <m:oMath>
        <m:sSub>
          <m:e>
            <m:r>
              <m:t>π</m:t>
            </m:r>
          </m:e>
          <m:sub>
            <m:r>
              <m:t>E</m:t>
            </m:r>
          </m:sub>
        </m:sSub>
      </m:oMath>
      <w:r>
        <w:t xml:space="preserve"> </w:t>
      </w:r>
      <w:r>
        <w:t xml:space="preserve">é o lucro bruto do entrante no equilíbrio pós-entrada e</w:t>
      </w:r>
      <w:r>
        <w:t xml:space="preserve"> </w:t>
      </w:r>
      <m:oMath>
        <m:r>
          <m:t>f</m:t>
        </m:r>
      </m:oMath>
      <w:r>
        <w:t xml:space="preserve"> </w:t>
      </w:r>
      <w:r>
        <w:t xml:space="preserve">é o custo fixo de entrada. Se o custo de instalação de capacidade excede o ganho com a dissuasão, o incumbente pode preferir</w:t>
      </w:r>
      <w:r>
        <w:t xml:space="preserve"> </w:t>
      </w:r>
      <w:r>
        <w:rPr>
          <w:b/>
          <w:bCs/>
        </w:rPr>
        <w:t xml:space="preserve">acomodar</w:t>
      </w:r>
      <w:r>
        <w:t xml:space="preserve"> </w:t>
      </w:r>
      <w:r>
        <w:t xml:space="preserve">a entrada.</w:t>
      </w:r>
    </w:p>
    <w:p>
      <w:pPr>
        <w:pStyle w:val="BlockText"/>
      </w:pPr>
      <w:r>
        <w:rPr>
          <w:b/>
          <w:bCs/>
        </w:rPr>
        <w:t xml:space="preserve">[NOTA] Dissuasão vs. acomodação</w:t>
      </w:r>
    </w:p>
    <w:p>
      <w:pPr>
        <w:pStyle w:val="BlockText"/>
      </w:pPr>
      <w:r>
        <w:t xml:space="preserve">A dissuasão de entrada nem sempre é ótima para o incumbente. Se o custo de instalar capacidade suficiente para bloquear a entrada excede a perda de lucro decorrente de compartilhar o mercado, o incumbente prefere acomodar a entrada. A decisão depende da magnitude do custo fixo do entrante, da elasticidade da demanda e da estrutura de custos.</w:t>
      </w:r>
    </w:p>
    <w:p>
      <w:r>
        <w:pict>
          <v:rect style="width:0;height:1.5pt" o:hralign="center" o:hrstd="t" o:hr="t"/>
        </w:pict>
      </w:r>
    </w:p>
    <w:bookmarkEnd w:id="1023"/>
    <w:bookmarkEnd w:id="1024"/>
    <w:bookmarkStart w:id="1026" w:name="Xe3bb1a71badbafae47bb97a0971628bc7eff6e7"/>
    <w:p>
      <w:pPr>
        <w:pStyle w:val="Heading3"/>
      </w:pPr>
      <w:r>
        <w:t xml:space="preserve">16b.4 Mostrar para Não Precisar Provar: Sinalização</w:t>
      </w:r>
    </w:p>
    <w:p>
      <w:pPr>
        <w:pStyle w:val="FirstParagraph"/>
      </w:pPr>
      <w:r>
        <w:t xml:space="preserve">Às vezes, a melhor arma de uma firma não é o que ela produz, mas o que ela</w:t>
      </w:r>
      <w:r>
        <w:t xml:space="preserve"> </w:t>
      </w:r>
      <w:r>
        <w:rPr>
          <w:i/>
          <w:iCs/>
        </w:rPr>
        <w:t xml:space="preserve">mostra</w:t>
      </w:r>
      <w:r>
        <w:t xml:space="preserve"> </w:t>
      </w:r>
      <w:r>
        <w:t xml:space="preserve">saber. Em mercados com</w:t>
      </w:r>
      <w:r>
        <w:t xml:space="preserve"> </w:t>
      </w:r>
      <w:r>
        <w:rPr>
          <w:b/>
          <w:bCs/>
        </w:rPr>
        <w:t xml:space="preserve">informação assimétrica</w:t>
      </w:r>
      <w:r>
        <w:t xml:space="preserve">, as ações observáveis de uma firma podem transmitir informação privada sobre suas características (custos, qualidade, intenções).</w:t>
      </w:r>
    </w:p>
    <w:bookmarkStart w:id="1025" w:name="preço-como-sinal"/>
    <w:p>
      <w:pPr>
        <w:pStyle w:val="Heading4"/>
      </w:pPr>
      <w:r>
        <w:t xml:space="preserve">Preço como sinal</w:t>
      </w:r>
    </w:p>
    <w:p>
      <w:pPr>
        <w:pStyle w:val="FirstParagraph"/>
      </w:pPr>
      <w:r>
        <w:t xml:space="preserve">Milgrom e Roberts (1982) mostraram que um incumbente com custos baixos pode sinalizar sua eficiência cobrando</w:t>
      </w:r>
      <w:r>
        <w:t xml:space="preserve"> </w:t>
      </w:r>
      <w:r>
        <w:rPr>
          <w:b/>
          <w:bCs/>
        </w:rPr>
        <w:t xml:space="preserve">preços baixos</w:t>
      </w:r>
      <w:r>
        <w:t xml:space="preserve"> </w:t>
      </w:r>
      <w:r>
        <w:t xml:space="preserve">— o chamado</w:t>
      </w:r>
      <w:r>
        <w:t xml:space="preserve"> </w:t>
      </w:r>
      <w:r>
        <w:rPr>
          <w:b/>
          <w:bCs/>
        </w:rPr>
        <w:t xml:space="preserve">preço-limite</w:t>
      </w:r>
      <w:r>
        <w:t xml:space="preserve">. O preço baixo é um sinal crível porque um incumbente com custos altos não conseguiria sustentá-lo lucrativamente.</w:t>
      </w:r>
    </w:p>
    <w:p>
      <w:pPr>
        <w:pStyle w:val="BodyText"/>
      </w:pPr>
      <w:r>
        <w:t xml:space="preserve">No equilíbrio separador:</w:t>
      </w:r>
    </w:p>
    <w:p>
      <w:pPr>
        <w:pStyle w:val="Compact"/>
        <w:numPr>
          <w:ilvl w:val="0"/>
          <w:numId w:val="1902"/>
        </w:numPr>
      </w:pPr>
      <w:r>
        <w:t xml:space="preserve">O incumbente eficiente cobra um preço suficientemente baixo para que a imitação pelo ineficiente seja não lucrativa.</w:t>
      </w:r>
    </w:p>
    <w:p>
      <w:pPr>
        <w:pStyle w:val="Compact"/>
        <w:numPr>
          <w:ilvl w:val="0"/>
          <w:numId w:val="1902"/>
        </w:numPr>
      </w:pPr>
      <w:r>
        <w:t xml:space="preserve">O entrante potencial infere corretamente o tipo do incumbente e desiste de entrar contra o eficiente.</w:t>
      </w:r>
    </w:p>
    <w:p>
      <w:pPr>
        <w:pStyle w:val="FirstParagraph"/>
      </w:pPr>
      <w:r>
        <w:t xml:space="preserve">O preço de sinalização é tipicamente</w:t>
      </w:r>
      <w:r>
        <w:t xml:space="preserve"> </w:t>
      </w:r>
      <w:r>
        <w:rPr>
          <w:b/>
          <w:bCs/>
        </w:rPr>
        <w:t xml:space="preserve">inferior</w:t>
      </w:r>
      <w:r>
        <w:t xml:space="preserve"> </w:t>
      </w:r>
      <w:r>
        <w:t xml:space="preserve">ao preço de monopólio de curto prazo: o incumbente sacrifica lucro corrente para preservar sua posição de mercado no longo prazo.</w:t>
      </w:r>
    </w:p>
    <w:p>
      <w:r>
        <w:pict>
          <v:rect style="width:0;height:1.5pt" o:hralign="center" o:hrstd="t" o:hr="t"/>
        </w:pict>
      </w:r>
    </w:p>
    <w:bookmarkEnd w:id="1025"/>
    <w:bookmarkEnd w:id="1026"/>
    <w:bookmarkEnd w:id="1027"/>
    <w:bookmarkStart w:id="1035" w:name="b.516b.7-entrada-livre-e-inovação"/>
    <w:p>
      <w:pPr>
        <w:pStyle w:val="Heading2"/>
      </w:pPr>
      <w:r>
        <w:t xml:space="preserve">16b.5–16b.7 Entrada Livre e Inovação</w:t>
      </w:r>
    </w:p>
    <w:bookmarkStart w:id="1030" w:name="X6303ac5249478dfa51db0f33ba34930e79cb795"/>
    <w:p>
      <w:pPr>
        <w:pStyle w:val="Heading3"/>
      </w:pPr>
      <w:r>
        <w:t xml:space="preserve">16b.5 Lotação Máxima: Entrada Livre em Cournot</w:t>
      </w:r>
    </w:p>
    <w:p>
      <w:pPr>
        <w:pStyle w:val="FirstParagraph"/>
      </w:pPr>
      <w:r>
        <w:t xml:space="preserve">As seções anteriores trataram o número de firmas como dado. Mas em mercados com entrada livre, o próprio número de competidores é uma variável endógena, determinada pela condição de lucro zero no equilíbrio de longo prazo. Quantas firmas o mercado comporta? E o número de firmas que efetivamente entram é socialmente ótimo, ou há excesso de entrada?</w:t>
      </w:r>
    </w:p>
    <w:bookmarkStart w:id="1028" w:name="número-de-firmas-em-equilíbrio"/>
    <w:p>
      <w:pPr>
        <w:pStyle w:val="Heading4"/>
      </w:pPr>
      <w:r>
        <w:t xml:space="preserve">Número de firmas em equilíbrio</w:t>
      </w:r>
    </w:p>
    <w:p>
      <w:pPr>
        <w:pStyle w:val="FirstParagraph"/>
      </w:pPr>
      <w:r>
        <w:t xml:space="preserve">Se a entrada é livre mas sujeita a custo fixo</w:t>
      </w:r>
      <w:r>
        <w:t xml:space="preserve"> </w:t>
      </w:r>
      <m:oMath>
        <m:r>
          <m:t>f</m:t>
        </m:r>
      </m:oMath>
      <w:r>
        <w:t xml:space="preserve">, as firmas entram até que o lucro líquido seja zero. Usando os resultados da Seção 16a.4 (Cap. 16) (Cournot com</w:t>
      </w:r>
      <w:r>
        <w:t xml:space="preserve"> </w:t>
      </w:r>
      <m:oMath>
        <m:r>
          <m:t>n</m:t>
        </m:r>
      </m:oMath>
      <w:r>
        <w:t xml:space="preserve"> </w:t>
      </w:r>
      <w:r>
        <w:t xml:space="preserve">firmas):</w:t>
      </w:r>
    </w:p>
    <w:p>
      <w:pPr>
        <w:pStyle w:val="BodyText"/>
      </w:pPr>
      <m:oMathPara>
        <m:oMathParaPr>
          <m:jc m:val="center"/>
        </m:oMathParaPr>
        <m:oMath>
          <m:sSup>
            <m:e>
              <m:r>
                <m:t>π</m:t>
              </m:r>
            </m:e>
            <m:sup>
              <m:r>
                <m:rPr>
                  <m:sty m:val="p"/>
                </m:rPr>
                <m:t>*</m:t>
              </m:r>
            </m:sup>
          </m:sSup>
          <m:r>
            <m:rPr>
              <m:sty m:val="p"/>
            </m:rPr>
            <m:t>(</m:t>
          </m:r>
          <m:r>
            <m:t>n</m:t>
          </m:r>
          <m:r>
            <m:rPr>
              <m:sty m:val="p"/>
            </m:rPr>
            <m:t>)</m:t>
          </m:r>
          <m:r>
            <m:rPr>
              <m:sty m:val="p"/>
            </m:rPr>
            <m:t>=</m:t>
          </m:r>
          <m:f>
            <m:fPr>
              <m:type m:val="bar"/>
            </m:fPr>
            <m:num>
              <m:r>
                <m:rPr>
                  <m:sty m:val="p"/>
                </m:rPr>
                <m:t>(</m:t>
              </m:r>
              <m:r>
                <m:t>a</m:t>
              </m:r>
              <m:r>
                <m:rPr>
                  <m:sty m:val="p"/>
                </m:rPr>
                <m:t>−</m:t>
              </m:r>
              <m:r>
                <m:t>c</m:t>
              </m:r>
              <m:sSup>
                <m:e>
                  <m:r>
                    <m:rPr>
                      <m:sty m:val="p"/>
                    </m:rPr>
                    <m:t>)</m:t>
                  </m:r>
                </m:e>
                <m:sup>
                  <m:r>
                    <m:t>2</m:t>
                  </m:r>
                </m:sup>
              </m:sSup>
            </m:num>
            <m:den>
              <m:r>
                <m:t>b</m:t>
              </m:r>
              <m:r>
                <m:rPr>
                  <m:sty m:val="p"/>
                </m:rPr>
                <m:t>(</m:t>
              </m:r>
              <m:r>
                <m:t>n</m:t>
              </m:r>
              <m:r>
                <m:rPr>
                  <m:sty m:val="p"/>
                </m:rPr>
                <m:t>+</m:t>
              </m:r>
              <m:r>
                <m:t>1</m:t>
              </m:r>
              <m:sSup>
                <m:e>
                  <m:r>
                    <m:rPr>
                      <m:sty m:val="p"/>
                    </m:rPr>
                    <m:t>)</m:t>
                  </m:r>
                </m:e>
                <m:sup>
                  <m:r>
                    <m:t>2</m:t>
                  </m:r>
                </m:sup>
              </m:sSup>
            </m:den>
          </m:f>
          <m:r>
            <m:rPr>
              <m:sty m:val="p"/>
            </m:rPr>
            <m:t>=</m:t>
          </m:r>
          <m:r>
            <m:t>f</m:t>
          </m:r>
        </m:oMath>
      </m:oMathPara>
    </w:p>
    <w:p>
      <w:pPr>
        <w:pStyle w:val="FirstParagraph"/>
      </w:pPr>
      <w:r>
        <w:t xml:space="preserve">Resolvendo para</w:t>
      </w:r>
      <w:r>
        <w:t xml:space="preserve"> </w:t>
      </w:r>
      <m:oMath>
        <m:r>
          <m:t>n</m:t>
        </m:r>
      </m:oMath>
      <w:r>
        <w:t xml:space="preserve">:</w:t>
      </w:r>
    </w:p>
    <w:p>
      <w:pPr>
        <w:pStyle w:val="BodyText"/>
      </w:pPr>
      <m:oMathPara>
        <m:oMathParaPr>
          <m:jc m:val="center"/>
        </m:oMathParaPr>
        <m:oMath>
          <m:sSup>
            <m:e>
              <m:r>
                <m:t>n</m:t>
              </m:r>
            </m:e>
            <m:sup>
              <m:r>
                <m:rPr>
                  <m:sty m:val="p"/>
                </m:rPr>
                <m:t>*</m:t>
              </m:r>
            </m:sup>
          </m:sSup>
          <m:r>
            <m:rPr>
              <m:sty m:val="p"/>
            </m:rPr>
            <m:t>=</m:t>
          </m:r>
          <m:f>
            <m:fPr>
              <m:type m:val="bar"/>
            </m:fPr>
            <m:num>
              <m:r>
                <m:t>a</m:t>
              </m:r>
              <m:r>
                <m:rPr>
                  <m:sty m:val="p"/>
                </m:rPr>
                <m:t>−</m:t>
              </m:r>
              <m:r>
                <m:t>c</m:t>
              </m:r>
            </m:num>
            <m:den>
              <m:rad>
                <m:radPr>
                  <m:degHide m:val="on"/>
                </m:radPr>
                <m:deg/>
                <m:e>
                  <m:r>
                    <m:t>b</m:t>
                  </m:r>
                  <m:r>
                    <m:t>f</m:t>
                  </m:r>
                </m:e>
              </m:rad>
            </m:den>
          </m:f>
          <m:r>
            <m:rPr>
              <m:sty m:val="p"/>
            </m:rPr>
            <m:t>−</m:t>
          </m:r>
          <m:r>
            <m:t>1</m:t>
          </m:r>
        </m:oMath>
      </m:oMathPara>
    </w:p>
    <w:p>
      <w:pPr>
        <w:pStyle w:val="FirstParagraph"/>
      </w:pPr>
      <w:r>
        <w:t xml:space="preserve">O número de firmas é crescente no tamanho do mercado</w:t>
      </w:r>
      <w:r>
        <w:t xml:space="preserve"> </w:t>
      </w:r>
      <m:oMath>
        <m:r>
          <m:rPr>
            <m:sty m:val="p"/>
          </m:rPr>
          <m:t>(</m:t>
        </m:r>
        <m:r>
          <m:t>a</m:t>
        </m:r>
        <m:r>
          <m:rPr>
            <m:sty m:val="p"/>
          </m:rPr>
          <m:t>−</m:t>
        </m:r>
        <m:r>
          <m:t>c</m:t>
        </m:r>
        <m:r>
          <m:rPr>
            <m:sty m:val="p"/>
          </m:rPr>
          <m:t>)</m:t>
        </m:r>
      </m:oMath>
      <w:r>
        <w:t xml:space="preserve"> </w:t>
      </w:r>
      <w:r>
        <w:t xml:space="preserve">e decrescente no custo fixo</w:t>
      </w:r>
      <w:r>
        <w:t xml:space="preserve"> </w:t>
      </w:r>
      <m:oMath>
        <m:r>
          <m:t>f</m:t>
        </m:r>
      </m:oMath>
      <w:r>
        <w:t xml:space="preserve"> </w:t>
      </w:r>
      <w:r>
        <w:t xml:space="preserve">e no parâmetro de inclinação da demanda</w:t>
      </w:r>
      <w:r>
        <w:t xml:space="preserve"> </w:t>
      </w:r>
      <m:oMath>
        <m:r>
          <m:t>b</m:t>
        </m:r>
      </m:oMath>
      <w:r>
        <w:t xml:space="preserve">.</w:t>
      </w:r>
    </w:p>
    <w:bookmarkEnd w:id="1028"/>
    <w:bookmarkStart w:id="1029" w:name="excesso-de-entrada"/>
    <w:p>
      <w:pPr>
        <w:pStyle w:val="Heading4"/>
      </w:pPr>
      <w:r>
        <w:t xml:space="preserve">Excesso de entrada</w:t>
      </w:r>
    </w:p>
    <w:p>
      <w:pPr>
        <w:pStyle w:val="FirstParagraph"/>
      </w:pPr>
      <w:r>
        <w:t xml:space="preserve">Mankiw e Whinston (1986) demonstraram que, sob condições gerais, o equilíbrio de entrada livre em Cournot apresenta</w:t>
      </w:r>
      <w:r>
        <w:t xml:space="preserve"> </w:t>
      </w:r>
      <w:r>
        <w:rPr>
          <w:b/>
          <w:bCs/>
        </w:rPr>
        <w:t xml:space="preserve">excesso de entrada</w:t>
      </w:r>
      <w:r>
        <w:t xml:space="preserve">: o número de firmas em equilíbrio é superior ao socialmente ótimo. Isso ocorre porque cada entrante ignora a</w:t>
      </w:r>
      <w:r>
        <w:t xml:space="preserve"> </w:t>
      </w:r>
      <w:r>
        <w:rPr>
          <w:b/>
          <w:bCs/>
        </w:rPr>
        <w:t xml:space="preserve">externalidade negativa</w:t>
      </w:r>
      <w:r>
        <w:t xml:space="preserve"> </w:t>
      </w:r>
      <w:r>
        <w:t xml:space="preserve">que impõe às firmas existentes ao reduzir o preço de mercado (efeito roubo de negócios,</w:t>
      </w:r>
      <w:r>
        <w:t xml:space="preserve"> </w:t>
      </w:r>
      <w:r>
        <w:rPr>
          <w:i/>
          <w:iCs/>
        </w:rPr>
        <w:t xml:space="preserve">business stealing</w:t>
      </w:r>
      <w:r>
        <w:t xml:space="preserve">).</w:t>
      </w:r>
    </w:p>
    <w:p>
      <w:r>
        <w:pict>
          <v:rect style="width:0;height:1.5pt" o:hralign="center" o:hrstd="t" o:hr="t"/>
        </w:pict>
      </w:r>
    </w:p>
    <w:bookmarkEnd w:id="1029"/>
    <w:bookmarkEnd w:id="1030"/>
    <w:bookmarkStart w:id="1033" w:name="X676cf397336ba3e25b510246af0988d090457ff"/>
    <w:p>
      <w:pPr>
        <w:pStyle w:val="Heading3"/>
      </w:pPr>
      <w:r>
        <w:t xml:space="preserve">16b.6 Quem Inventa Quando Poucos Competem: Inovação sob Oligopólio</w:t>
      </w:r>
    </w:p>
    <w:p>
      <w:pPr>
        <w:pStyle w:val="FirstParagraph"/>
      </w:pPr>
      <w:r>
        <w:t xml:space="preserve">Além das decisões de preço e quantidade, os oligopolistas enfrentam uma dimensão igualmente central: a inovação tecnológica. Será que firmas em mercados concentrados investem mais ou menos em pesquisa e desenvolvimento do que firmas em mercados competitivos? A resposta envolve um confronto entre duas forças opostas, identificadas respectivamente por Arrow e por Gilbert e Newbery, cuja resultante depende das características específicas de cada mercado.</w:t>
      </w:r>
    </w:p>
    <w:bookmarkStart w:id="1031" w:name="incentivos-à-inovação"/>
    <w:p>
      <w:pPr>
        <w:pStyle w:val="Heading4"/>
      </w:pPr>
      <w:r>
        <w:t xml:space="preserve">Incentivos à inovação</w:t>
      </w:r>
    </w:p>
    <w:p>
      <w:pPr>
        <w:pStyle w:val="FirstParagraph"/>
      </w:pPr>
      <w:r>
        <w:t xml:space="preserve">O oligopólio apresenta incentivos à inovação que são intermediários entre concorrência perfeita e monopólio. Há duas forças em operação:</w:t>
      </w:r>
    </w:p>
    <w:p>
      <w:pPr>
        <w:numPr>
          <w:ilvl w:val="0"/>
          <w:numId w:val="1903"/>
        </w:numPr>
      </w:pPr>
      <w:r>
        <w:rPr>
          <w:b/>
          <w:bCs/>
        </w:rPr>
        <w:t xml:space="preserve">Efeito substituição</w:t>
      </w:r>
      <w:r>
        <w:t xml:space="preserve"> </w:t>
      </w:r>
      <w:r>
        <w:t xml:space="preserve">(Arrow, 1962): uma firma competitiva tem mais a ganhar com uma inovação drástica do que um monopolista, pois o monopolista já desfruta de lucros que seriam parcialmente canibalizados pela inovação. Esse efeito favorece a inovação em mercados competitivos.</w:t>
      </w:r>
    </w:p>
    <w:p>
      <w:pPr>
        <w:numPr>
          <w:ilvl w:val="0"/>
          <w:numId w:val="1903"/>
        </w:numPr>
      </w:pPr>
      <w:r>
        <w:rPr>
          <w:b/>
          <w:bCs/>
        </w:rPr>
        <w:t xml:space="preserve">Efeito eficiência</w:t>
      </w:r>
      <w:r>
        <w:t xml:space="preserve"> </w:t>
      </w:r>
      <w:r>
        <w:t xml:space="preserve">(Gilbert e Newbery, 1982): o monopolista tem mais a perder com a entrada de um inovador do que o entrante tem a ganhar, o que lhe dá incentivos mais fortes para inovar preventivamente. Esse efeito favorece a inovação por incumbentes com poder de mercado.</w:t>
      </w:r>
    </w:p>
    <w:p>
      <w:pPr>
        <w:pStyle w:val="FirstParagraph"/>
      </w:pPr>
      <w:r>
        <w:t xml:space="preserve">No oligopólio, ambas as forças coexistem. A intensidade de P&amp;D depende do grau de competição, do regime de apropriabilidade (proteção de patentes) e da natureza da inovação (incremental vs. radical).</w:t>
      </w:r>
    </w:p>
    <w:bookmarkEnd w:id="1031"/>
    <w:bookmarkStart w:id="1032" w:name="corridas-por-patentes"/>
    <w:p>
      <w:pPr>
        <w:pStyle w:val="Heading4"/>
      </w:pPr>
      <w:r>
        <w:t xml:space="preserve">Corridas por patentes</w:t>
      </w:r>
    </w:p>
    <w:p>
      <w:pPr>
        <w:pStyle w:val="FirstParagraph"/>
      </w:pPr>
      <w:r>
        <w:t xml:space="preserve">Em modelos de corrida por patentes (patent race), múltiplas firmas investem em P&amp;D simultaneamente, mas apenas a primeira a obter sucesso recebe a patente. Esses modelos tendem a gerar</w:t>
      </w:r>
      <w:r>
        <w:t xml:space="preserve"> </w:t>
      </w:r>
      <w:r>
        <w:rPr>
          <w:b/>
          <w:bCs/>
        </w:rPr>
        <w:t xml:space="preserve">excesso de investimento</w:t>
      </w:r>
      <w:r>
        <w:t xml:space="preserve"> </w:t>
      </w:r>
      <w:r>
        <w:t xml:space="preserve">em P&amp;D do ponto de vista social: a duplicação de esforços desperdiça recursos.</w:t>
      </w:r>
    </w:p>
    <w:p>
      <w:r>
        <w:pict>
          <v:rect style="width:0;height:1.5pt" o:hralign="center" o:hrstd="t" o:hr="t"/>
        </w:pict>
      </w:r>
    </w:p>
    <w:bookmarkEnd w:id="1032"/>
    <w:bookmarkEnd w:id="1033"/>
    <w:bookmarkStart w:id="1034" w:name="Xea5d727d822efb22eb99322fdf5849394eb5114"/>
    <w:p>
      <w:pPr>
        <w:pStyle w:val="Heading3"/>
      </w:pPr>
      <w:r>
        <w:t xml:space="preserve">16b.7 Todos na Mesa: Comparação dos Modelos de Oligopólio</w:t>
      </w:r>
    </w:p>
    <w:p>
      <w:pPr>
        <w:pStyle w:val="FirstParagraph"/>
      </w:pPr>
      <w:r>
        <w:t xml:space="preserve">Bertrand, Cournot, Stackelberg, colusão — são tantos modelos que é fácil perder o fio. Hora de colocar todos lado a lado e ver quem cobra mais, quem produz menos e quem deixa o consumidor em pior situação. A</w:t>
      </w:r>
      <w:r>
        <w:t xml:space="preserve"> </w:t>
      </w:r>
      <w:hyperlink w:anchor="tabela-16b-2">
        <w:r>
          <w:rPr>
            <w:rStyle w:val="Hyperlink"/>
          </w:rPr>
          <w:t xml:space="preserve">Tabela 16b.2</w:t>
        </w:r>
      </w:hyperlink>
      <w:r>
        <w:t xml:space="preserve"> </w:t>
      </w:r>
      <w:r>
        <w:t xml:space="preserve">resume os principais resultados dos modelos clássicos para o caso de demanda linear</w:t>
      </w:r>
      <w:r>
        <w:t xml:space="preserve"> </w:t>
      </w:r>
      <m:oMath>
        <m:r>
          <m:t>p</m:t>
        </m:r>
        <m:r>
          <m:rPr>
            <m:sty m:val="p"/>
          </m:rPr>
          <m:t>=</m:t>
        </m:r>
        <m:r>
          <m:t>a</m:t>
        </m:r>
        <m:r>
          <m:rPr>
            <m:sty m:val="p"/>
          </m:rPr>
          <m:t>−</m:t>
        </m:r>
        <m:r>
          <m:t>b</m:t>
        </m:r>
        <m:r>
          <m:t>Q</m:t>
        </m:r>
      </m:oMath>
      <w:r>
        <w:t xml:space="preserve">, custos marginais constantes</w:t>
      </w:r>
      <w:r>
        <w:t xml:space="preserve"> </w:t>
      </w:r>
      <m:oMath>
        <m:r>
          <m:t>c</m:t>
        </m:r>
      </m:oMath>
      <w:r>
        <w:t xml:space="preserve"> </w:t>
      </w:r>
      <w:r>
        <w:t xml:space="preserve">e duas firmas simétricas.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Variável</w:t>
            </w:r>
          </w:p>
        </w:tc>
        <w:tc>
          <w:tcPr/>
          <w:p>
            <w:pPr>
              <w:pStyle w:val="Compact"/>
            </w:pPr>
            <w:r>
              <w:t xml:space="preserve">Bertrand</w:t>
            </w:r>
          </w:p>
        </w:tc>
        <w:tc>
          <w:tcPr/>
          <w:p>
            <w:pPr>
              <w:pStyle w:val="Compact"/>
            </w:pPr>
            <w:r>
              <w:t xml:space="preserve">Cournot</w:t>
            </w:r>
          </w:p>
        </w:tc>
        <w:tc>
          <w:tcPr/>
          <w:p>
            <w:pPr>
              <w:pStyle w:val="Compact"/>
            </w:pPr>
            <w:r>
              <w:t xml:space="preserve">Stackelberg</w:t>
            </w:r>
          </w:p>
        </w:tc>
        <w:tc>
          <w:tcPr/>
          <w:p>
            <w:pPr>
              <w:pStyle w:val="Compact"/>
            </w:pPr>
            <w:r>
              <w:t xml:space="preserve">Colusão</w:t>
            </w:r>
          </w:p>
        </w:tc>
      </w:tr>
      <w:tr>
        <w:tc>
          <w:tcPr/>
          <w:p>
            <w:pPr>
              <w:pStyle w:val="Compact"/>
            </w:pPr>
            <w:r>
              <w:rPr>
                <w:b/>
                <w:bCs/>
              </w:rPr>
              <w:t xml:space="preserve">Preço</w:t>
            </w:r>
          </w:p>
        </w:tc>
        <w:tc>
          <w:tcPr/>
          <w:p>
            <w:pPr>
              <w:pStyle w:val="Compact"/>
            </w:pPr>
            <m:oMath>
              <m:r>
                <m:t>c</m:t>
              </m:r>
            </m:oMath>
          </w:p>
        </w:tc>
        <w:tc>
          <w:tcPr/>
          <w:p>
            <w:pPr>
              <w:pStyle w:val="Compact"/>
            </w:pPr>
            <m:oMath>
              <m:f>
                <m:fPr>
                  <m:type m:val="bar"/>
                </m:fPr>
                <m:num>
                  <m:r>
                    <m:t>a</m:t>
                  </m:r>
                  <m:r>
                    <m:rPr>
                      <m:sty m:val="p"/>
                    </m:rPr>
                    <m:t>+</m:t>
                  </m:r>
                  <m:r>
                    <m:t>2</m:t>
                  </m:r>
                  <m:r>
                    <m:t>c</m:t>
                  </m:r>
                </m:num>
                <m:den>
                  <m:r>
                    <m:t>3</m:t>
                  </m:r>
                </m:den>
              </m:f>
            </m:oMath>
          </w:p>
        </w:tc>
        <w:tc>
          <w:tcPr/>
          <w:p>
            <w:pPr>
              <w:pStyle w:val="Compact"/>
            </w:pPr>
            <m:oMath>
              <m:f>
                <m:fPr>
                  <m:type m:val="bar"/>
                </m:fPr>
                <m:num>
                  <m:r>
                    <m:t>a</m:t>
                  </m:r>
                  <m:r>
                    <m:rPr>
                      <m:sty m:val="p"/>
                    </m:rPr>
                    <m:t>+</m:t>
                  </m:r>
                  <m:r>
                    <m:t>3</m:t>
                  </m:r>
                  <m:r>
                    <m:t>c</m:t>
                  </m:r>
                </m:num>
                <m:den>
                  <m:r>
                    <m:t>4</m:t>
                  </m:r>
                </m:den>
              </m:f>
            </m:oMath>
          </w:p>
        </w:tc>
        <w:tc>
          <w:tcPr/>
          <w:p>
            <w:pPr>
              <w:pStyle w:val="Compact"/>
            </w:pPr>
            <m:oMath>
              <m:f>
                <m:fPr>
                  <m:type m:val="bar"/>
                </m:fPr>
                <m:num>
                  <m:r>
                    <m:t>a</m:t>
                  </m:r>
                  <m:r>
                    <m:rPr>
                      <m:sty m:val="p"/>
                    </m:rPr>
                    <m:t>+</m:t>
                  </m:r>
                  <m:r>
                    <m:t>c</m:t>
                  </m:r>
                </m:num>
                <m:den>
                  <m:r>
                    <m:t>2</m:t>
                  </m:r>
                </m:den>
              </m:f>
            </m:oMath>
          </w:p>
        </w:tc>
      </w:tr>
      <w:tr>
        <w:tc>
          <w:tcPr/>
          <w:p>
            <w:pPr>
              <w:pStyle w:val="Compact"/>
            </w:pPr>
            <w:r>
              <w:rPr>
                <w:b/>
                <w:bCs/>
              </w:rPr>
              <w:t xml:space="preserve">Quantidade total</w:t>
            </w:r>
          </w:p>
        </w:tc>
        <w:tc>
          <w:tcPr/>
          <w:p>
            <w:pPr>
              <w:pStyle w:val="Compact"/>
            </w:pPr>
            <m:oMath>
              <m:f>
                <m:fPr>
                  <m:type m:val="bar"/>
                </m:fPr>
                <m:num>
                  <m:r>
                    <m:t>a</m:t>
                  </m:r>
                  <m:r>
                    <m:rPr>
                      <m:sty m:val="p"/>
                    </m:rPr>
                    <m:t>−</m:t>
                  </m:r>
                  <m:r>
                    <m:t>c</m:t>
                  </m:r>
                </m:num>
                <m:den>
                  <m:r>
                    <m:t>b</m:t>
                  </m:r>
                </m:den>
              </m:f>
            </m:oMath>
          </w:p>
        </w:tc>
        <w:tc>
          <w:tcPr/>
          <w:p>
            <w:pPr>
              <w:pStyle w:val="Compact"/>
            </w:pPr>
            <m:oMath>
              <m:f>
                <m:fPr>
                  <m:type m:val="bar"/>
                </m:fPr>
                <m:num>
                  <m:r>
                    <m:t>2</m:t>
                  </m:r>
                  <m:r>
                    <m:rPr>
                      <m:sty m:val="p"/>
                    </m:rPr>
                    <m:t>(</m:t>
                  </m:r>
                  <m:r>
                    <m:t>a</m:t>
                  </m:r>
                  <m:r>
                    <m:rPr>
                      <m:sty m:val="p"/>
                    </m:rPr>
                    <m:t>−</m:t>
                  </m:r>
                  <m:r>
                    <m:t>c</m:t>
                  </m:r>
                  <m:r>
                    <m:rPr>
                      <m:sty m:val="p"/>
                    </m:rPr>
                    <m:t>)</m:t>
                  </m:r>
                </m:num>
                <m:den>
                  <m:r>
                    <m:t>3</m:t>
                  </m:r>
                  <m:r>
                    <m:t>b</m:t>
                  </m:r>
                </m:den>
              </m:f>
            </m:oMath>
          </w:p>
        </w:tc>
        <w:tc>
          <w:tcPr/>
          <w:p>
            <w:pPr>
              <w:pStyle w:val="Compact"/>
            </w:pPr>
            <m:oMath>
              <m:f>
                <m:fPr>
                  <m:type m:val="bar"/>
                </m:fPr>
                <m:num>
                  <m:r>
                    <m:t>3</m:t>
                  </m:r>
                  <m:r>
                    <m:rPr>
                      <m:sty m:val="p"/>
                    </m:rPr>
                    <m:t>(</m:t>
                  </m:r>
                  <m:r>
                    <m:t>a</m:t>
                  </m:r>
                  <m:r>
                    <m:rPr>
                      <m:sty m:val="p"/>
                    </m:rPr>
                    <m:t>−</m:t>
                  </m:r>
                  <m:r>
                    <m:t>c</m:t>
                  </m:r>
                  <m:r>
                    <m:rPr>
                      <m:sty m:val="p"/>
                    </m:rPr>
                    <m:t>)</m:t>
                  </m:r>
                </m:num>
                <m:den>
                  <m:r>
                    <m:t>4</m:t>
                  </m:r>
                  <m:r>
                    <m:t>b</m:t>
                  </m:r>
                </m:den>
              </m:f>
            </m:oMath>
          </w:p>
        </w:tc>
        <w:tc>
          <w:tcPr/>
          <w:p>
            <w:pPr>
              <w:pStyle w:val="Compact"/>
            </w:pPr>
            <m:oMath>
              <m:f>
                <m:fPr>
                  <m:type m:val="bar"/>
                </m:fPr>
                <m:num>
                  <m:r>
                    <m:t>a</m:t>
                  </m:r>
                  <m:r>
                    <m:rPr>
                      <m:sty m:val="p"/>
                    </m:rPr>
                    <m:t>−</m:t>
                  </m:r>
                  <m:r>
                    <m:t>c</m:t>
                  </m:r>
                </m:num>
                <m:den>
                  <m:r>
                    <m:t>2</m:t>
                  </m:r>
                  <m:r>
                    <m:t>b</m:t>
                  </m:r>
                </m:den>
              </m:f>
            </m:oMath>
          </w:p>
        </w:tc>
      </w:tr>
      <w:tr>
        <w:tc>
          <w:tcPr/>
          <w:p>
            <w:pPr>
              <w:pStyle w:val="Compact"/>
            </w:pPr>
            <w:r>
              <w:rPr>
                <w:b/>
                <w:bCs/>
              </w:rPr>
              <w:t xml:space="preserve">Lucro por firma</w:t>
            </w:r>
          </w:p>
        </w:tc>
        <w:tc>
          <w:tcPr/>
          <w:p>
            <w:pPr>
              <w:pStyle w:val="Compact"/>
            </w:pPr>
            <m:oMath>
              <m:r>
                <m:t>0</m:t>
              </m:r>
            </m:oMath>
          </w:p>
        </w:tc>
        <w:tc>
          <w:tcPr/>
          <w:p>
            <w:pPr>
              <w:pStyle w:val="Compact"/>
            </w:pPr>
            <m:oMath>
              <m:f>
                <m:fPr>
                  <m:type m:val="bar"/>
                </m:fPr>
                <m:num>
                  <m:r>
                    <m:rPr>
                      <m:sty m:val="p"/>
                    </m:rPr>
                    <m:t>(</m:t>
                  </m:r>
                  <m:r>
                    <m:t>a</m:t>
                  </m:r>
                  <m:r>
                    <m:rPr>
                      <m:sty m:val="p"/>
                    </m:rPr>
                    <m:t>−</m:t>
                  </m:r>
                  <m:r>
                    <m:t>c</m:t>
                  </m:r>
                  <m:sSup>
                    <m:e>
                      <m:r>
                        <m:rPr>
                          <m:sty m:val="p"/>
                        </m:rPr>
                        <m:t>)</m:t>
                      </m:r>
                    </m:e>
                    <m:sup>
                      <m:r>
                        <m:t>2</m:t>
                      </m:r>
                    </m:sup>
                  </m:sSup>
                </m:num>
                <m:den>
                  <m:r>
                    <m:t>9</m:t>
                  </m:r>
                  <m:r>
                    <m:t>b</m:t>
                  </m:r>
                </m:den>
              </m:f>
            </m:oMath>
          </w:p>
        </w:tc>
        <w:tc>
          <w:tcPr/>
          <w:p>
            <w:pPr>
              <w:pStyle w:val="Compact"/>
            </w:pPr>
            <w:r>
              <w:t xml:space="preserve">Líder:</w:t>
            </w:r>
            <w:r>
              <w:t xml:space="preserve"> </w:t>
            </w:r>
            <m:oMath>
              <m:f>
                <m:fPr>
                  <m:type m:val="bar"/>
                </m:fPr>
                <m:num>
                  <m:r>
                    <m:rPr>
                      <m:sty m:val="p"/>
                    </m:rPr>
                    <m:t>(</m:t>
                  </m:r>
                  <m:r>
                    <m:t>a</m:t>
                  </m:r>
                  <m:r>
                    <m:rPr>
                      <m:sty m:val="p"/>
                    </m:rPr>
                    <m:t>−</m:t>
                  </m:r>
                  <m:r>
                    <m:t>c</m:t>
                  </m:r>
                  <m:sSup>
                    <m:e>
                      <m:r>
                        <m:rPr>
                          <m:sty m:val="p"/>
                        </m:rPr>
                        <m:t>)</m:t>
                      </m:r>
                    </m:e>
                    <m:sup>
                      <m:r>
                        <m:t>2</m:t>
                      </m:r>
                    </m:sup>
                  </m:sSup>
                </m:num>
                <m:den>
                  <m:r>
                    <m:t>8</m:t>
                  </m:r>
                  <m:r>
                    <m:t>b</m:t>
                  </m:r>
                </m:den>
              </m:f>
            </m:oMath>
            <w:r>
              <w:t xml:space="preserve">; Seguidora:</w:t>
            </w:r>
            <w:r>
              <w:t xml:space="preserve"> </w:t>
            </w:r>
            <m:oMath>
              <m:f>
                <m:fPr>
                  <m:type m:val="bar"/>
                </m:fPr>
                <m:num>
                  <m:r>
                    <m:rPr>
                      <m:sty m:val="p"/>
                    </m:rPr>
                    <m:t>(</m:t>
                  </m:r>
                  <m:r>
                    <m:t>a</m:t>
                  </m:r>
                  <m:r>
                    <m:rPr>
                      <m:sty m:val="p"/>
                    </m:rPr>
                    <m:t>−</m:t>
                  </m:r>
                  <m:r>
                    <m:t>c</m:t>
                  </m:r>
                  <m:sSup>
                    <m:e>
                      <m:r>
                        <m:rPr>
                          <m:sty m:val="p"/>
                        </m:rPr>
                        <m:t>)</m:t>
                      </m:r>
                    </m:e>
                    <m:sup>
                      <m:r>
                        <m:t>2</m:t>
                      </m:r>
                    </m:sup>
                  </m:sSup>
                </m:num>
                <m:den>
                  <m:r>
                    <m:t>16</m:t>
                  </m:r>
                  <m:r>
                    <m:t>b</m:t>
                  </m:r>
                </m:den>
              </m:f>
            </m:oMath>
          </w:p>
        </w:tc>
        <w:tc>
          <w:tcPr/>
          <w:p>
            <w:pPr>
              <w:pStyle w:val="Compact"/>
            </w:pPr>
            <m:oMath>
              <m:f>
                <m:fPr>
                  <m:type m:val="bar"/>
                </m:fPr>
                <m:num>
                  <m:r>
                    <m:rPr>
                      <m:sty m:val="p"/>
                    </m:rPr>
                    <m:t>(</m:t>
                  </m:r>
                  <m:r>
                    <m:t>a</m:t>
                  </m:r>
                  <m:r>
                    <m:rPr>
                      <m:sty m:val="p"/>
                    </m:rPr>
                    <m:t>−</m:t>
                  </m:r>
                  <m:r>
                    <m:t>c</m:t>
                  </m:r>
                  <m:sSup>
                    <m:e>
                      <m:r>
                        <m:rPr>
                          <m:sty m:val="p"/>
                        </m:rPr>
                        <m:t>)</m:t>
                      </m:r>
                    </m:e>
                    <m:sup>
                      <m:r>
                        <m:t>2</m:t>
                      </m:r>
                    </m:sup>
                  </m:sSup>
                </m:num>
                <m:den>
                  <m:r>
                    <m:t>8</m:t>
                  </m:r>
                  <m:r>
                    <m:t>b</m:t>
                  </m:r>
                </m:den>
              </m:f>
            </m:oMath>
          </w:p>
        </w:tc>
      </w:tr>
      <w:tr>
        <w:tc>
          <w:tcPr/>
          <w:p>
            <w:pPr>
              <w:pStyle w:val="Compact"/>
            </w:pPr>
            <w:r>
              <w:rPr>
                <w:b/>
                <w:bCs/>
              </w:rPr>
              <w:t xml:space="preserve">Lucro total</w:t>
            </w:r>
          </w:p>
        </w:tc>
        <w:tc>
          <w:tcPr/>
          <w:p>
            <w:pPr>
              <w:pStyle w:val="Compact"/>
            </w:pPr>
            <m:oMath>
              <m:r>
                <m:t>0</m:t>
              </m:r>
            </m:oMath>
          </w:p>
        </w:tc>
        <w:tc>
          <w:tcPr/>
          <w:p>
            <w:pPr>
              <w:pStyle w:val="Compact"/>
            </w:pPr>
            <m:oMath>
              <m:f>
                <m:fPr>
                  <m:type m:val="bar"/>
                </m:fPr>
                <m:num>
                  <m:r>
                    <m:t>2</m:t>
                  </m:r>
                  <m:r>
                    <m:rPr>
                      <m:sty m:val="p"/>
                    </m:rPr>
                    <m:t>(</m:t>
                  </m:r>
                  <m:r>
                    <m:t>a</m:t>
                  </m:r>
                  <m:r>
                    <m:rPr>
                      <m:sty m:val="p"/>
                    </m:rPr>
                    <m:t>−</m:t>
                  </m:r>
                  <m:r>
                    <m:t>c</m:t>
                  </m:r>
                  <m:sSup>
                    <m:e>
                      <m:r>
                        <m:rPr>
                          <m:sty m:val="p"/>
                        </m:rPr>
                        <m:t>)</m:t>
                      </m:r>
                    </m:e>
                    <m:sup>
                      <m:r>
                        <m:t>2</m:t>
                      </m:r>
                    </m:sup>
                  </m:sSup>
                </m:num>
                <m:den>
                  <m:r>
                    <m:t>9</m:t>
                  </m:r>
                  <m:r>
                    <m:t>b</m:t>
                  </m:r>
                </m:den>
              </m:f>
            </m:oMath>
          </w:p>
        </w:tc>
        <w:tc>
          <w:tcPr/>
          <w:p>
            <w:pPr>
              <w:pStyle w:val="Compact"/>
            </w:pPr>
            <m:oMath>
              <m:f>
                <m:fPr>
                  <m:type m:val="bar"/>
                </m:fPr>
                <m:num>
                  <m:r>
                    <m:t>3</m:t>
                  </m:r>
                  <m:r>
                    <m:rPr>
                      <m:sty m:val="p"/>
                    </m:rPr>
                    <m:t>(</m:t>
                  </m:r>
                  <m:r>
                    <m:t>a</m:t>
                  </m:r>
                  <m:r>
                    <m:rPr>
                      <m:sty m:val="p"/>
                    </m:rPr>
                    <m:t>−</m:t>
                  </m:r>
                  <m:r>
                    <m:t>c</m:t>
                  </m:r>
                  <m:sSup>
                    <m:e>
                      <m:r>
                        <m:rPr>
                          <m:sty m:val="p"/>
                        </m:rPr>
                        <m:t>)</m:t>
                      </m:r>
                    </m:e>
                    <m:sup>
                      <m:r>
                        <m:t>2</m:t>
                      </m:r>
                    </m:sup>
                  </m:sSup>
                </m:num>
                <m:den>
                  <m:r>
                    <m:t>16</m:t>
                  </m:r>
                  <m:r>
                    <m:t>b</m:t>
                  </m:r>
                </m:den>
              </m:f>
            </m:oMath>
          </w:p>
        </w:tc>
        <w:tc>
          <w:tcPr/>
          <w:p>
            <w:pPr>
              <w:pStyle w:val="Compact"/>
            </w:pPr>
            <m:oMath>
              <m:f>
                <m:fPr>
                  <m:type m:val="bar"/>
                </m:fPr>
                <m:num>
                  <m:r>
                    <m:rPr>
                      <m:sty m:val="p"/>
                    </m:rPr>
                    <m:t>(</m:t>
                  </m:r>
                  <m:r>
                    <m:t>a</m:t>
                  </m:r>
                  <m:r>
                    <m:rPr>
                      <m:sty m:val="p"/>
                    </m:rPr>
                    <m:t>−</m:t>
                  </m:r>
                  <m:r>
                    <m:t>c</m:t>
                  </m:r>
                  <m:sSup>
                    <m:e>
                      <m:r>
                        <m:rPr>
                          <m:sty m:val="p"/>
                        </m:rPr>
                        <m:t>)</m:t>
                      </m:r>
                    </m:e>
                    <m:sup>
                      <m:r>
                        <m:t>2</m:t>
                      </m:r>
                    </m:sup>
                  </m:sSup>
                </m:num>
                <m:den>
                  <m:r>
                    <m:t>4</m:t>
                  </m:r>
                  <m:r>
                    <m:t>b</m:t>
                  </m:r>
                </m:den>
              </m:f>
            </m:oMath>
          </w:p>
        </w:tc>
      </w:tr>
      <w:tr>
        <w:tc>
          <w:tcPr/>
          <w:p>
            <w:pPr>
              <w:pStyle w:val="Compact"/>
            </w:pPr>
            <w:r>
              <w:rPr>
                <w:b/>
                <w:bCs/>
              </w:rPr>
              <w:t xml:space="preserve">Nº mínimo de firmas</w:t>
            </w:r>
          </w:p>
        </w:tc>
        <w:tc>
          <w:tcPr/>
          <w:p>
            <w:pPr>
              <w:pStyle w:val="Compact"/>
            </w:pPr>
            <w:r>
              <w:t xml:space="preserve">2</w:t>
            </w:r>
          </w:p>
        </w:tc>
        <w:tc>
          <w:tcPr/>
          <w:p>
            <w:pPr>
              <w:pStyle w:val="Compact"/>
            </w:pPr>
            <w:r>
              <w:t xml:space="preserve">2+</w:t>
            </w:r>
          </w:p>
        </w:tc>
        <w:tc>
          <w:tcPr/>
          <w:p>
            <w:pPr>
              <w:pStyle w:val="Compact"/>
            </w:pPr>
            <w:r>
              <w:t xml:space="preserve">2 (líder + seguidora)</w:t>
            </w:r>
          </w:p>
        </w:tc>
        <w:tc>
          <w:tcPr/>
          <w:p>
            <w:pPr>
              <w:pStyle w:val="Compact"/>
            </w:pPr>
            <w:r>
              <w:t xml:space="preserve">2+</w:t>
            </w:r>
          </w:p>
        </w:tc>
      </w:tr>
      <w:tr>
        <w:tc>
          <w:tcPr/>
          <w:p>
            <w:pPr>
              <w:pStyle w:val="Compact"/>
            </w:pPr>
            <w:r>
              <w:rPr>
                <w:b/>
                <w:bCs/>
              </w:rPr>
              <w:t xml:space="preserve">Variável de decisão</w:t>
            </w:r>
          </w:p>
        </w:tc>
        <w:tc>
          <w:tcPr/>
          <w:p>
            <w:pPr>
              <w:pStyle w:val="Compact"/>
            </w:pPr>
            <w:r>
              <w:t xml:space="preserve">Preço</w:t>
            </w:r>
          </w:p>
        </w:tc>
        <w:tc>
          <w:tcPr/>
          <w:p>
            <w:pPr>
              <w:pStyle w:val="Compact"/>
            </w:pPr>
            <w:r>
              <w:t xml:space="preserve">Quantidade</w:t>
            </w:r>
          </w:p>
        </w:tc>
        <w:tc>
          <w:tcPr/>
          <w:p>
            <w:pPr>
              <w:pStyle w:val="Compact"/>
            </w:pPr>
            <w:r>
              <w:t xml:space="preserve">Quantidade (sequencial)</w:t>
            </w:r>
          </w:p>
        </w:tc>
        <w:tc>
          <w:tcPr/>
          <w:p>
            <w:pPr>
              <w:pStyle w:val="Compact"/>
            </w:pPr>
            <w:r>
              <w:t xml:space="preserve">Preço ou quantidade</w:t>
            </w:r>
          </w:p>
        </w:tc>
      </w:tr>
      <w:tr>
        <w:tc>
          <w:tcPr/>
          <w:p>
            <w:pPr>
              <w:pStyle w:val="Compact"/>
            </w:pPr>
            <w:r>
              <w:rPr>
                <w:b/>
                <w:bCs/>
              </w:rPr>
              <w:t xml:space="preserve">Eficiência</w:t>
            </w:r>
          </w:p>
        </w:tc>
        <w:tc>
          <w:tcPr/>
          <w:p>
            <w:pPr>
              <w:pStyle w:val="Compact"/>
            </w:pPr>
            <w:r>
              <w:t xml:space="preserve">Eficiente</w:t>
            </w:r>
          </w:p>
        </w:tc>
        <w:tc>
          <w:tcPr/>
          <w:p>
            <w:pPr>
              <w:pStyle w:val="Compact"/>
            </w:pPr>
            <w:r>
              <w:t xml:space="preserve">Intermediária</w:t>
            </w:r>
          </w:p>
        </w:tc>
        <w:tc>
          <w:tcPr/>
          <w:p>
            <w:pPr>
              <w:pStyle w:val="Compact"/>
            </w:pPr>
            <w:r>
              <w:t xml:space="preserve">Intermediária (mais que Cournot)</w:t>
            </w:r>
          </w:p>
        </w:tc>
        <w:tc>
          <w:tcPr/>
          <w:p>
            <w:pPr>
              <w:pStyle w:val="Compact"/>
            </w:pPr>
            <w:r>
              <w:t xml:space="preserve">Monopólio</w:t>
            </w:r>
          </w:p>
        </w:tc>
      </w:tr>
      <w:tr>
        <w:tc>
          <w:tcPr/>
          <w:p>
            <w:pPr>
              <w:pStyle w:val="Compact"/>
            </w:pPr>
            <w:r>
              <w:rPr>
                <w:b/>
                <w:bCs/>
              </w:rPr>
              <w:t xml:space="preserve">Estabilidade</w:t>
            </w:r>
          </w:p>
        </w:tc>
        <w:tc>
          <w:tcPr/>
          <w:p>
            <w:pPr>
              <w:pStyle w:val="Compact"/>
            </w:pPr>
            <w:r>
              <w:t xml:space="preserve">Equilíbrio de Nash</w:t>
            </w:r>
          </w:p>
        </w:tc>
        <w:tc>
          <w:tcPr/>
          <w:p>
            <w:pPr>
              <w:pStyle w:val="Compact"/>
            </w:pPr>
            <w:r>
              <w:t xml:space="preserve">Equilíbrio de Nash</w:t>
            </w:r>
          </w:p>
        </w:tc>
        <w:tc>
          <w:tcPr/>
          <w:p>
            <w:pPr>
              <w:pStyle w:val="Compact"/>
            </w:pPr>
            <w:r>
              <w:t xml:space="preserve">Eq. perfeito em subjogos</w:t>
            </w:r>
          </w:p>
        </w:tc>
        <w:tc>
          <w:tcPr/>
          <w:p>
            <w:pPr>
              <w:pStyle w:val="Compact"/>
            </w:pPr>
            <w:r>
              <w:t xml:space="preserve">Requer mecanismo de enforcement</w:t>
            </w:r>
          </w:p>
        </w:tc>
      </w:tr>
    </w:tbl>
    <w:p>
      <w:pPr>
        <w:pStyle w:val="BodyText"/>
      </w:pPr>
      <w:r>
        <w:rPr>
          <w:b/>
          <w:bCs/>
        </w:rPr>
        <w:t xml:space="preserve">Tabela 16b.2 — Comparação dos modelos de oligopólio.</w:t>
      </w:r>
    </w:p>
    <w:p>
      <w:pPr>
        <w:pStyle w:val="BlockText"/>
      </w:pPr>
      <w:r>
        <w:rPr>
          <w:b/>
          <w:bCs/>
        </w:rPr>
        <w:t xml:space="preserve">[DICA] Ordenação por eficiência</w:t>
      </w:r>
    </w:p>
    <w:p>
      <w:pPr>
        <w:pStyle w:val="BlockText"/>
      </w:pPr>
      <w:r>
        <w:t xml:space="preserve">Em termos de excedente total, a ordenação é: Bertrand</w:t>
      </w:r>
      <w:r>
        <w:t xml:space="preserve"> </w:t>
      </w:r>
      <m:oMath>
        <m:r>
          <m:rPr>
            <m:sty m:val="p"/>
          </m:rPr>
          <m:t>≥</m:t>
        </m:r>
      </m:oMath>
      <w:r>
        <w:t xml:space="preserve"> </w:t>
      </w:r>
      <w:r>
        <w:t xml:space="preserve">Stackelberg</w:t>
      </w:r>
      <w:r>
        <w:t xml:space="preserve"> </w:t>
      </w:r>
      <m:oMath>
        <m:r>
          <m:rPr>
            <m:sty m:val="p"/>
          </m:rPr>
          <m:t>≥</m:t>
        </m:r>
      </m:oMath>
      <w:r>
        <w:t xml:space="preserve"> </w:t>
      </w:r>
      <w:r>
        <w:t xml:space="preserve">Cournot</w:t>
      </w:r>
      <w:r>
        <w:t xml:space="preserve"> </w:t>
      </w:r>
      <m:oMath>
        <m:r>
          <m:rPr>
            <m:sty m:val="p"/>
          </m:rPr>
          <m:t>≥</m:t>
        </m:r>
      </m:oMath>
      <w:r>
        <w:t xml:space="preserve"> </w:t>
      </w:r>
      <w:r>
        <w:t xml:space="preserve">Colusão. A concorrência em preços é a mais eficiente; a colusão é a menos eficiente (equivalente ao monopólio).</w:t>
      </w:r>
    </w:p>
    <w:p>
      <w:r>
        <w:pict>
          <v:rect style="width:0;height:1.5pt" o:hralign="center" o:hrstd="t" o:hr="t"/>
        </w:pict>
      </w:r>
    </w:p>
    <w:p>
      <w:pPr>
        <w:pStyle w:val="BlockText"/>
      </w:pPr>
      <w:r>
        <w:rPr>
          <w:b/>
          <w:bCs/>
        </w:rPr>
        <w:t xml:space="preserve">[BOX BRASIL] Box Brasil: Concentração bancária — spread, fusões e competição</w:t>
      </w:r>
    </w:p>
    <w:p>
      <w:pPr>
        <w:pStyle w:val="BlockText"/>
      </w:pPr>
      <w:r>
        <w:t xml:space="preserve">O sistema bancário brasileiro é um dos mais concentrados entre as grandes economias. Os cinco maiores bancos (Itaú Unibanco, Bradesco, Banco do Brasil, Caixa Econômica Federal e Santander) detêm mais de 80% dos ativos totais do sistema, segundo dados do Banco Central do Brasil.</w:t>
      </w:r>
    </w:p>
    <w:p>
      <w:pPr>
        <w:pStyle w:val="BlockText"/>
      </w:pPr>
      <w:r>
        <w:rPr>
          <w:b/>
          <w:bCs/>
        </w:rPr>
        <w:t xml:space="preserve">Spreads bancários</w:t>
      </w:r>
    </w:p>
    <w:p>
      <w:pPr>
        <w:pStyle w:val="BlockText"/>
      </w:pPr>
      <w:r>
        <w:t xml:space="preserve">O spread bancário brasileiro — diferença entre a taxa de empréstimo e a taxa de captação — é historicamente elevado em comparação internacional. Dados do Banco Central indicam que o spread médio para pessoa física situava-se em torno de 30-40 pontos percentuais ao ano em períodos recentes, enquanto a média da OCDE é inferior a 5 p.p. As causas frequentemente apontadas incluem:</w:t>
      </w:r>
    </w:p>
    <w:p>
      <w:pPr>
        <w:pStyle w:val="Compact"/>
        <w:numPr>
          <w:ilvl w:val="0"/>
          <w:numId w:val="1904"/>
        </w:numPr>
      </w:pPr>
      <w:r>
        <w:rPr>
          <w:b/>
          <w:bCs/>
        </w:rPr>
        <w:t xml:space="preserve">Risco de crédito elevado</w:t>
      </w:r>
      <w:r>
        <w:t xml:space="preserve"> </w:t>
      </w:r>
      <w:r>
        <w:t xml:space="preserve">e custos de inadimplência.</w:t>
      </w:r>
    </w:p>
    <w:p>
      <w:pPr>
        <w:pStyle w:val="Compact"/>
        <w:numPr>
          <w:ilvl w:val="0"/>
          <w:numId w:val="1904"/>
        </w:numPr>
      </w:pPr>
      <w:r>
        <w:rPr>
          <w:b/>
          <w:bCs/>
        </w:rPr>
        <w:t xml:space="preserve">Custos administrativos</w:t>
      </w:r>
      <w:r>
        <w:t xml:space="preserve"> </w:t>
      </w:r>
      <w:r>
        <w:t xml:space="preserve">e tributação sobre operações financeiras (IOF).</w:t>
      </w:r>
    </w:p>
    <w:p>
      <w:pPr>
        <w:pStyle w:val="Compact"/>
        <w:numPr>
          <w:ilvl w:val="0"/>
          <w:numId w:val="1904"/>
        </w:numPr>
      </w:pPr>
      <w:r>
        <w:rPr>
          <w:b/>
          <w:bCs/>
        </w:rPr>
        <w:t xml:space="preserve">Poder de mercado</w:t>
      </w:r>
      <w:r>
        <w:t xml:space="preserve"> </w:t>
      </w:r>
      <w:r>
        <w:t xml:space="preserve">decorrente da concentração.</w:t>
      </w:r>
    </w:p>
    <w:p>
      <w:pPr>
        <w:pStyle w:val="Compact"/>
        <w:numPr>
          <w:ilvl w:val="0"/>
          <w:numId w:val="1904"/>
        </w:numPr>
      </w:pPr>
      <w:r>
        <w:rPr>
          <w:b/>
          <w:bCs/>
        </w:rPr>
        <w:t xml:space="preserve">Cunha tributária</w:t>
      </w:r>
      <w:r>
        <w:t xml:space="preserve"> </w:t>
      </w:r>
      <w:r>
        <w:t xml:space="preserve">e depósitos compulsórios elevados.</w:t>
      </w:r>
    </w:p>
    <w:p>
      <w:pPr>
        <w:pStyle w:val="Compact"/>
        <w:numPr>
          <w:ilvl w:val="0"/>
          <w:numId w:val="1904"/>
        </w:numPr>
      </w:pPr>
      <w:r>
        <w:rPr>
          <w:b/>
          <w:bCs/>
        </w:rPr>
        <w:t xml:space="preserve">Assimetria de informação</w:t>
      </w:r>
      <w:r>
        <w:t xml:space="preserve"> </w:t>
      </w:r>
      <w:r>
        <w:t xml:space="preserve">e fragilidades institucionais na recuperação de crédito.</w:t>
      </w:r>
    </w:p>
    <w:p>
      <w:pPr>
        <w:pStyle w:val="BlockText"/>
      </w:pPr>
      <w:r>
        <w:t xml:space="preserve">A literatura empírica debate a importância relativa desses fatores. Estudos do</w:t>
      </w:r>
      <w:r>
        <w:t xml:space="preserve"> </w:t>
      </w:r>
      <w:hyperlink r:id="rId215">
        <w:r>
          <w:rPr>
            <w:rStyle w:val="Hyperlink"/>
          </w:rPr>
          <w:t xml:space="preserve">BCB</w:t>
        </w:r>
      </w:hyperlink>
      <w:r>
        <w:t xml:space="preserve"> </w:t>
      </w:r>
      <w:r>
        <w:t xml:space="preserve">sugerem que o poder de mercado explica parcela significativa, mas não majoritária, do spread.</w:t>
      </w:r>
    </w:p>
    <w:p>
      <w:pPr>
        <w:pStyle w:val="BlockText"/>
      </w:pPr>
      <w:r>
        <w:rPr>
          <w:b/>
          <w:bCs/>
        </w:rPr>
        <w:t xml:space="preserve">Fusões analisadas pelo CADE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Operação</w:t>
            </w:r>
          </w:p>
        </w:tc>
        <w:tc>
          <w:tcPr/>
          <w:p>
            <w:pPr>
              <w:pStyle w:val="Compact"/>
            </w:pPr>
            <w:r>
              <w:t xml:space="preserve">Ano</w:t>
            </w:r>
          </w:p>
        </w:tc>
        <w:tc>
          <w:tcPr/>
          <w:p>
            <w:pPr>
              <w:pStyle w:val="Compact"/>
            </w:pPr>
            <w:r>
              <w:t xml:space="preserve">Decisão CADE</w:t>
            </w:r>
          </w:p>
        </w:tc>
        <w:tc>
          <w:tcPr/>
          <w:p>
            <w:pPr>
              <w:pStyle w:val="Compact"/>
            </w:pPr>
            <w:r>
              <w:t xml:space="preserve">Participação resultante</w:t>
            </w:r>
          </w:p>
        </w:tc>
      </w:tr>
      <w:tr>
        <w:tc>
          <w:tcPr/>
          <w:p>
            <w:pPr>
              <w:pStyle w:val="Compact"/>
            </w:pPr>
            <w:r>
              <w:t xml:space="preserve">Itaú + Unibanco</w:t>
            </w:r>
          </w:p>
        </w:tc>
        <w:tc>
          <w:tcPr/>
          <w:p>
            <w:pPr>
              <w:pStyle w:val="Compact"/>
            </w:pPr>
            <w:r>
              <w:t xml:space="preserve">2008</w:t>
            </w:r>
          </w:p>
        </w:tc>
        <w:tc>
          <w:tcPr/>
          <w:p>
            <w:pPr>
              <w:pStyle w:val="Compact"/>
            </w:pPr>
            <w:r>
              <w:t xml:space="preserve">Aprovada sem restrições</w:t>
            </w:r>
          </w:p>
        </w:tc>
        <w:tc>
          <w:tcPr/>
          <w:p>
            <w:pPr>
              <w:pStyle w:val="Compact"/>
            </w:pPr>
            <w:r>
              <w:t xml:space="preserve">~18% dos ativos</w:t>
            </w:r>
          </w:p>
        </w:tc>
      </w:tr>
      <w:tr>
        <w:tc>
          <w:tcPr/>
          <w:p>
            <w:pPr>
              <w:pStyle w:val="Compact"/>
            </w:pPr>
            <w:r>
              <w:t xml:space="preserve">Bradesco + HSBC Brasil</w:t>
            </w:r>
          </w:p>
        </w:tc>
        <w:tc>
          <w:tcPr/>
          <w:p>
            <w:pPr>
              <w:pStyle w:val="Compact"/>
            </w:pPr>
            <w:r>
              <w:t xml:space="preserve">2016</w:t>
            </w:r>
          </w:p>
        </w:tc>
        <w:tc>
          <w:tcPr/>
          <w:p>
            <w:pPr>
              <w:pStyle w:val="Compact"/>
            </w:pPr>
            <w:r>
              <w:t xml:space="preserve">Aprovada com restrições</w:t>
            </w:r>
          </w:p>
        </w:tc>
        <w:tc>
          <w:tcPr/>
          <w:p>
            <w:pPr>
              <w:pStyle w:val="Compact"/>
            </w:pPr>
            <w:r>
              <w:t xml:space="preserve">~14% dos ativos</w:t>
            </w:r>
          </w:p>
        </w:tc>
      </w:tr>
      <w:tr>
        <w:tc>
          <w:tcPr/>
          <w:p>
            <w:pPr>
              <w:pStyle w:val="Compact"/>
            </w:pPr>
            <w:r>
              <w:t xml:space="preserve">Itaú + XP (parcial)</w:t>
            </w:r>
          </w:p>
        </w:tc>
        <w:tc>
          <w:tcPr/>
          <w:p>
            <w:pPr>
              <w:pStyle w:val="Compact"/>
            </w:pPr>
            <w:r>
              <w:t xml:space="preserve">2017</w:t>
            </w:r>
          </w:p>
        </w:tc>
        <w:tc>
          <w:tcPr/>
          <w:p>
            <w:pPr>
              <w:pStyle w:val="Compact"/>
            </w:pPr>
            <w:r>
              <w:t xml:space="preserve">Aprovada com restrições</w:t>
            </w:r>
          </w:p>
        </w:tc>
        <w:tc>
          <w:tcPr/>
          <w:p>
            <w:pPr>
              <w:pStyle w:val="Compact"/>
            </w:pPr>
            <w:r>
              <w:t xml:space="preserve">Participação minoritária</w:t>
            </w:r>
          </w:p>
        </w:tc>
      </w:tr>
    </w:tbl>
    <w:p>
      <w:pPr>
        <w:pStyle w:val="BlockText"/>
      </w:pPr>
      <w:r>
        <w:t xml:space="preserve">A fusão Itaú-Unibanco (2008) foi analisada pelo CADE em rito sumário, decisão que gerou controvérsia dada a magnitude da operação. O CADE argumentou que a participação conjunta em mercados relevantes específicos não ultrapassava patamares preocupantes, e que os ganhos de eficiência justificavam a operação.</w:t>
      </w:r>
    </w:p>
    <w:p>
      <w:pPr>
        <w:pStyle w:val="BlockText"/>
      </w:pPr>
      <w:r>
        <w:t xml:space="preserve">A aquisição do HSBC Brasil pelo Bradesco (2016) foi aprovada com restrições, incluindo a alienação de carteiras em mercados locais onde a concentração se tornava excessiva.</w:t>
      </w:r>
    </w:p>
    <w:p>
      <w:pPr>
        <w:pStyle w:val="BlockText"/>
      </w:pPr>
      <w:r>
        <w:rPr>
          <w:b/>
          <w:bCs/>
        </w:rPr>
        <w:t xml:space="preserve">Comparação internacional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País</w:t>
            </w:r>
          </w:p>
        </w:tc>
        <w:tc>
          <w:tcPr/>
          <w:p>
            <w:pPr>
              <w:pStyle w:val="Compact"/>
            </w:pPr>
            <w:r>
              <w:t xml:space="preserve">CR5 (ativos)</w:t>
            </w:r>
          </w:p>
        </w:tc>
        <w:tc>
          <w:tcPr/>
          <w:p>
            <w:pPr>
              <w:pStyle w:val="Compact"/>
            </w:pPr>
            <w:r>
              <w:t xml:space="preserve">Spread médio (p.p.)</w:t>
            </w:r>
          </w:p>
        </w:tc>
      </w:tr>
      <w:tr>
        <w:tc>
          <w:tcPr/>
          <w:p>
            <w:pPr>
              <w:pStyle w:val="Compact"/>
            </w:pPr>
            <w:r>
              <w:t xml:space="preserve">Brasil</w:t>
            </w:r>
          </w:p>
        </w:tc>
        <w:tc>
          <w:tcPr/>
          <w:p>
            <w:pPr>
              <w:pStyle w:val="Compact"/>
            </w:pPr>
            <w:r>
              <w:t xml:space="preserve">~82%</w:t>
            </w:r>
          </w:p>
        </w:tc>
        <w:tc>
          <w:tcPr/>
          <w:p>
            <w:pPr>
              <w:pStyle w:val="Compact"/>
            </w:pPr>
            <w:r>
              <w:t xml:space="preserve">~35</w:t>
            </w:r>
          </w:p>
        </w:tc>
      </w:tr>
      <w:tr>
        <w:tc>
          <w:tcPr/>
          <w:p>
            <w:pPr>
              <w:pStyle w:val="Compact"/>
            </w:pPr>
            <w:r>
              <w:t xml:space="preserve">EUA</w:t>
            </w:r>
          </w:p>
        </w:tc>
        <w:tc>
          <w:tcPr/>
          <w:p>
            <w:pPr>
              <w:pStyle w:val="Compact"/>
            </w:pPr>
            <w:r>
              <w:t xml:space="preserve">~47%</w:t>
            </w:r>
          </w:p>
        </w:tc>
        <w:tc>
          <w:tcPr/>
          <w:p>
            <w:pPr>
              <w:pStyle w:val="Compact"/>
            </w:pPr>
            <w:r>
              <w:t xml:space="preserve">~3</w:t>
            </w:r>
          </w:p>
        </w:tc>
      </w:tr>
      <w:tr>
        <w:tc>
          <w:tcPr/>
          <w:p>
            <w:pPr>
              <w:pStyle w:val="Compact"/>
            </w:pPr>
            <w:r>
              <w:t xml:space="preserve">Alemanha</w:t>
            </w:r>
          </w:p>
        </w:tc>
        <w:tc>
          <w:tcPr/>
          <w:p>
            <w:pPr>
              <w:pStyle w:val="Compact"/>
            </w:pPr>
            <w:r>
              <w:t xml:space="preserve">~30%</w:t>
            </w:r>
          </w:p>
        </w:tc>
        <w:tc>
          <w:tcPr/>
          <w:p>
            <w:pPr>
              <w:pStyle w:val="Compact"/>
            </w:pPr>
            <w:r>
              <w:t xml:space="preserve">~4</w:t>
            </w:r>
          </w:p>
        </w:tc>
      </w:tr>
      <w:tr>
        <w:tc>
          <w:tcPr/>
          <w:p>
            <w:pPr>
              <w:pStyle w:val="Compact"/>
            </w:pPr>
            <w:r>
              <w:t xml:space="preserve">Chile</w:t>
            </w:r>
          </w:p>
        </w:tc>
        <w:tc>
          <w:tcPr/>
          <w:p>
            <w:pPr>
              <w:pStyle w:val="Compact"/>
            </w:pPr>
            <w:r>
              <w:t xml:space="preserve">~70%</w:t>
            </w:r>
          </w:p>
        </w:tc>
        <w:tc>
          <w:tcPr/>
          <w:p>
            <w:pPr>
              <w:pStyle w:val="Compact"/>
            </w:pPr>
            <w:r>
              <w:t xml:space="preserve">~5</w:t>
            </w:r>
          </w:p>
        </w:tc>
      </w:tr>
      <w:tr>
        <w:tc>
          <w:tcPr/>
          <w:p>
            <w:pPr>
              <w:pStyle w:val="Compact"/>
            </w:pPr>
            <w:r>
              <w:t xml:space="preserve">Austrália</w:t>
            </w:r>
          </w:p>
        </w:tc>
        <w:tc>
          <w:tcPr/>
          <w:p>
            <w:pPr>
              <w:pStyle w:val="Compact"/>
            </w:pPr>
            <w:r>
              <w:t xml:space="preserve">~80%</w:t>
            </w:r>
          </w:p>
        </w:tc>
        <w:tc>
          <w:tcPr/>
          <w:p>
            <w:pPr>
              <w:pStyle w:val="Compact"/>
            </w:pPr>
            <w:r>
              <w:t xml:space="preserve">~3</w:t>
            </w:r>
          </w:p>
        </w:tc>
      </w:tr>
    </w:tbl>
    <w:p>
      <w:pPr>
        <w:pStyle w:val="BlockText"/>
      </w:pPr>
      <w:r>
        <w:t xml:space="preserve">A comparação sugere que a concentração per se não explica os spreads brasileiros: Austrália e Canadá possuem concentração bancária semelhante à brasileira, mas spreads muito inferiores. Fatores institucionais — custos de recuperação de crédito, instabilidade macroeconômica histórica, regulação prudencial — são igualmente relevantes.</w:t>
      </w:r>
    </w:p>
    <w:p>
      <w:pPr>
        <w:pStyle w:val="BlockText"/>
      </w:pPr>
      <w:r>
        <w:rPr>
          <w:b/>
          <w:bCs/>
        </w:rPr>
        <w:t xml:space="preserve">Fintechs e contestabilidade</w:t>
      </w:r>
    </w:p>
    <w:p>
      <w:pPr>
        <w:pStyle w:val="BlockText"/>
      </w:pPr>
      <w:r>
        <w:t xml:space="preserve">A partir de 2018, o Banco Central adotou medidas para aumentar a competição bancária, incluindo a agenda BC# (posteriormente Agenda BC+), o open banking (Sistema Financeiro Aberto) e a regulamentação de fintechs. O crescimento de instituições digitais como Nubank, Inter e C6 Bank introduziu elementos de contestabilidade que pressionam as margens dos incumbentes, embora a participação dessas instituições nos estoques de crédito ainda seja modesta.</w:t>
      </w:r>
    </w:p>
    <w:p>
      <w:r>
        <w:pict>
          <v:rect style="width:0;height:1.5pt" o:hralign="center" o:hrstd="t" o:hr="t"/>
        </w:pict>
      </w:r>
    </w:p>
    <w:p>
      <w:pPr>
        <w:pStyle w:val="FirstParagraph"/>
      </w:pPr>
      <w:r>
        <w:t xml:space="preserve">[FIGURA INTERATIVA: /micro-book/graficos/cap16/comparacao-oligopolio.html — versao interativa disponivel online]</w:t>
      </w:r>
    </w:p>
    <w:p>
      <w:pPr>
        <w:pStyle w:val="BodyText"/>
      </w:pPr>
      <w:r>
        <w:rPr>
          <w:b/>
          <w:bCs/>
        </w:rPr>
        <w:t xml:space="preserve">Figura 16b.1 — Todos os modelos de oligopólio em um único diagrama</w:t>
      </w:r>
      <w:r>
        <w:rPr>
          <w:b/>
          <w:bCs/>
        </w:rPr>
        <w:t xml:space="preserve"> </w:t>
      </w:r>
      <m:oMath>
        <m:r>
          <m:rPr>
            <m:sty m:val="p"/>
          </m:rPr>
          <m:t>(</m:t>
        </m:r>
        <m:r>
          <m:t>Q</m:t>
        </m:r>
        <m:r>
          <m:rPr>
            <m:sty m:val="p"/>
          </m:rPr>
          <m:t>,</m:t>
        </m:r>
        <m:r>
          <m:t>P</m:t>
        </m:r>
        <m:r>
          <m:rPr>
            <m:sty m:val="p"/>
          </m:rPr>
          <m:t>)</m:t>
        </m:r>
      </m:oMath>
      <w:r>
        <w:rPr>
          <w:b/>
          <w:bCs/>
        </w:rPr>
        <w:t xml:space="preserve">.</w:t>
      </w:r>
      <w:r>
        <w:t xml:space="preserve"> </w:t>
      </w:r>
      <w:r>
        <w:t xml:space="preserve">A tabela compara preços, quantidades, lucros, excedente do consumidor e bem-estar total para cada estrutura de mercado.</w:t>
      </w:r>
    </w:p>
    <w:bookmarkEnd w:id="1034"/>
    <w:bookmarkEnd w:id="1035"/>
    <w:bookmarkStart w:id="1041" w:name="Xa758c1418b6a1cb1da42dfc00ac1d5e892457b4"/>
    <w:p>
      <w:pPr>
        <w:pStyle w:val="Heading2"/>
      </w:pPr>
      <w:r>
        <w:t xml:space="preserve">16b.8–16b.10 Competição Monopolística e Fusões</w:t>
      </w:r>
    </w:p>
    <w:bookmarkStart w:id="1036" w:name="X84ef9e0f7fa57b6c8f964afb4777f7828bd373b"/>
    <w:p>
      <w:pPr>
        <w:pStyle w:val="Heading3"/>
      </w:pPr>
      <w:r>
        <w:t xml:space="preserve">16b.8 Muitos Restaurantes, Nenhum Igual: Competição Monopolística</w:t>
      </w:r>
    </w:p>
    <w:p>
      <w:pPr>
        <w:pStyle w:val="FirstParagraph"/>
      </w:pPr>
      <w:r>
        <w:t xml:space="preserve">Pense na rua de restaurantes do seu bairro: dezenas de opções, nenhuma igual à outra, e cada uma com seu cardápio, seu tempero e sua clientela fiel. Os modelos de oligopólio analisados até aqui tratam de mercados com poucos produtores. No outro extremo, a concorrência perfeita assume muitos produtores de bens idênticos. Mas existe uma estrutura intermediária que combina muitas firmas com diferenciação de produto: a</w:t>
      </w:r>
      <w:r>
        <w:t xml:space="preserve"> </w:t>
      </w:r>
      <w:r>
        <w:rPr>
          <w:b/>
          <w:bCs/>
        </w:rPr>
        <w:t xml:space="preserve">competição monopolística</w:t>
      </w:r>
      <w:r>
        <w:t xml:space="preserve">, formalizada por Edward Chamberlin (1933) e Joan Robinson (1933).</w:t>
      </w:r>
    </w:p>
    <w:p>
      <w:pPr>
        <w:pStyle w:val="BlockText"/>
      </w:pPr>
      <w:r>
        <w:rPr>
          <w:b/>
          <w:bCs/>
        </w:rPr>
        <w:t xml:space="preserve">[DEFINICAO] Competição Monopolística</w:t>
      </w:r>
    </w:p>
    <w:p>
      <w:pPr>
        <w:pStyle w:val="BlockText"/>
      </w:pPr>
      <w:r>
        <w:t xml:space="preserve">A</w:t>
      </w:r>
      <w:r>
        <w:t xml:space="preserve"> </w:t>
      </w:r>
      <w:r>
        <w:rPr>
          <w:b/>
          <w:bCs/>
        </w:rPr>
        <w:t xml:space="preserve">competição monopolística</w:t>
      </w:r>
      <w:r>
        <w:t xml:space="preserve"> </w:t>
      </w:r>
      <w:r>
        <w:t xml:space="preserve">é uma estrutura de mercado em que: (i) há muitas firmas; (ii) cada firma produz um bem diferenciado (substituto imperfeito dos demais); (iii) há livre entrada e saída de firmas no longo prazo.</w:t>
      </w:r>
    </w:p>
    <w:p>
      <w:pPr>
        <w:pStyle w:val="FirstParagraph"/>
      </w:pPr>
      <w:r>
        <w:t xml:space="preserve">No curto prazo, cada firma enfrenta uma curva de demanda negativamente inclinada (pois seu produto é diferenciado) e maximiza lucro igualando receita marginal ao custo marginal — comportando-se como uma mini-monopolista sobre sua variedade. No longo prazo, a livre entrada elimina os lucros econômicos: novas firmas entram até que a curva de demanda de cada firma incumbente se desloque para a esquerda e tangencie a curva de custo médio. No equilíbrio de longo prazo:</w:t>
      </w:r>
    </w:p>
    <w:p>
      <w:pPr>
        <w:pStyle w:val="BodyText"/>
      </w:pPr>
      <m:oMathPara>
        <m:oMathParaPr>
          <m:jc m:val="center"/>
        </m:oMathParaPr>
        <m:oMath>
          <m:sSup>
            <m:e>
              <m:r>
                <m:t>p</m:t>
              </m:r>
            </m:e>
            <m:sup>
              <m:r>
                <m:rPr>
                  <m:sty m:val="p"/>
                </m:rPr>
                <m:t>*</m:t>
              </m:r>
            </m:sup>
          </m:sSup>
          <m:r>
            <m:rPr>
              <m:sty m:val="p"/>
            </m:rPr>
            <m:t>=</m:t>
          </m:r>
          <m:r>
            <m:t>C</m:t>
          </m:r>
          <m:r>
            <m:t>M</m:t>
          </m:r>
          <m:r>
            <m:t>e</m:t>
          </m:r>
          <m:r>
            <m:rPr>
              <m:sty m:val="p"/>
            </m:rPr>
            <m:t>(</m:t>
          </m:r>
          <m:sSup>
            <m:e>
              <m:r>
                <m:t>q</m:t>
              </m:r>
            </m:e>
            <m:sup>
              <m:r>
                <m:rPr>
                  <m:sty m:val="p"/>
                </m:rPr>
                <m:t>*</m:t>
              </m:r>
            </m:sup>
          </m:sSup>
          <m:r>
            <m:rPr>
              <m:sty m:val="p"/>
            </m:rPr>
            <m:t>)</m:t>
          </m:r>
          <m:r>
            <m:rPr>
              <m:sty m:val="p"/>
            </m:rPr>
            <m:t>,</m:t>
          </m:r>
          <m:r>
            <m:t> </m:t>
          </m:r>
          <m:r>
            <m:t>R</m:t>
          </m:r>
          <m:r>
            <m:t>M</m:t>
          </m:r>
          <m:r>
            <m:t>g</m:t>
          </m:r>
          <m:r>
            <m:rPr>
              <m:sty m:val="p"/>
            </m:rPr>
            <m:t>(</m:t>
          </m:r>
          <m:sSup>
            <m:e>
              <m:r>
                <m:t>q</m:t>
              </m:r>
            </m:e>
            <m:sup>
              <m:r>
                <m:rPr>
                  <m:sty m:val="p"/>
                </m:rPr>
                <m:t>*</m:t>
              </m:r>
            </m:sup>
          </m:sSup>
          <m:r>
            <m:rPr>
              <m:sty m:val="p"/>
            </m:rPr>
            <m:t>)</m:t>
          </m:r>
          <m:r>
            <m:rPr>
              <m:sty m:val="p"/>
            </m:rPr>
            <m:t>=</m:t>
          </m:r>
          <m:r>
            <m:t>C</m:t>
          </m:r>
          <m:r>
            <m:t>M</m:t>
          </m:r>
          <m:r>
            <m:t>g</m:t>
          </m:r>
          <m:r>
            <m:rPr>
              <m:sty m:val="p"/>
            </m:rPr>
            <m:t>(</m:t>
          </m:r>
          <m:sSup>
            <m:e>
              <m:r>
                <m:t>q</m:t>
              </m:r>
            </m:e>
            <m:sup>
              <m:r>
                <m:rPr>
                  <m:sty m:val="p"/>
                </m:rPr>
                <m:t>*</m:t>
              </m:r>
            </m:sup>
          </m:sSup>
          <m:r>
            <m:rPr>
              <m:sty m:val="p"/>
            </m:rPr>
            <m:t>)</m:t>
          </m:r>
        </m:oMath>
      </m:oMathPara>
    </w:p>
    <w:p>
      <w:pPr>
        <w:pStyle w:val="FirstParagraph"/>
      </w:pPr>
      <w:r>
        <w:t xml:space="preserve">A tangência implica que cada firma opera com</w:t>
      </w:r>
      <w:r>
        <w:t xml:space="preserve"> </w:t>
      </w:r>
      <w:r>
        <w:rPr>
          <w:b/>
          <w:bCs/>
        </w:rPr>
        <w:t xml:space="preserve">excesso de capacidade</w:t>
      </w:r>
      <w:r>
        <w:t xml:space="preserve">: produz menos do que a quantidade que minimizaria seu custo médio. O preço supera o custo marginal (poder de mercado), mas o lucro econômico é zero (livre entrada). A</w:t>
      </w:r>
      <w:r>
        <w:t xml:space="preserve"> </w:t>
      </w:r>
      <w:r>
        <w:t xml:space="preserve">“ineficiência”</w:t>
      </w:r>
      <w:r>
        <w:t xml:space="preserve"> </w:t>
      </w:r>
      <w:r>
        <w:t xml:space="preserve">do excesso de capacidade pode ser vista como o custo da variedade — os consumidores pagam um pouco mais, mas têm acesso a uma gama diversificada de produtos.</w:t>
      </w:r>
    </w:p>
    <w:p>
      <w:pPr>
        <w:pStyle w:val="BodyText"/>
      </w:pPr>
      <w:r>
        <w:t xml:space="preserve">A competição monopolística é empiricamente relevante para muitos mercados: restaurantes, varejo de vestuário, cabeleireiros, aplicativos de celular, livros. A diferenciação é horizontal (gostos diferentes) mais do que vertical (qualidade diferente), conectando-se diretamente ao modelo de Hotelling da Seção 16a.6 (Cap. 16).</w:t>
      </w:r>
    </w:p>
    <w:p>
      <w:pPr>
        <w:pStyle w:val="BlockText"/>
      </w:pPr>
      <w:r>
        <w:rPr>
          <w:b/>
          <w:bCs/>
        </w:rPr>
        <w:t xml:space="preserve">[BOX MUNDO] Box Mundo — Investigações antitruste da UE contra Big Tech</w:t>
      </w:r>
    </w:p>
    <w:p>
      <w:pPr>
        <w:pStyle w:val="BlockText"/>
      </w:pPr>
      <w:r>
        <w:rPr>
          <w:b/>
          <w:bCs/>
        </w:rPr>
        <w:t xml:space="preserve">Contexto:</w:t>
      </w:r>
      <w:r>
        <w:t xml:space="preserve"> </w:t>
      </w:r>
      <w:r>
        <w:t xml:space="preserve">A Comissão Europeia tem sido a autoridade antitruste mais agressiva do mundo no combate às práticas de grandes plataformas digitais. Desde 2017, a UE aplicou multas bilionárias a Google, Apple, Meta e Amazon por abuso de posição dominante, culminando na aprovação do Digital Markets Act (DMA) em 2022.</w:t>
      </w:r>
    </w:p>
    <w:p>
      <w:pPr>
        <w:pStyle w:val="BlockText"/>
      </w:pPr>
      <w:r>
        <w:rPr>
          <w:b/>
          <w:bCs/>
        </w:rPr>
        <w:t xml:space="preserve">Dados:</w:t>
      </w:r>
      <w:r>
        <w:t xml:space="preserve"> </w:t>
      </w:r>
      <w:r>
        <w:t xml:space="preserve">A Google recebeu três multas da Comissão Europeia totalizando 8,25 bilhões de euros: 2,42 bi por favorecimento do Google Shopping nos resultados de busca (2017); 4,34 bi por exigir pré-instalação de apps no Android (2018); e 1,49 bi por cláusulas restritivas em contratos de publicidade (2019). A Apple foi multada em 1,8 bi (2024) por práticas anticompetitivas na App Store contra serviços de streaming musical (caso Spotify). O DMA designou seis empresas como</w:t>
      </w:r>
      <w:r>
        <w:t xml:space="preserve"> </w:t>
      </w:r>
      <w:r>
        <w:t xml:space="preserve">“gatekeepers”</w:t>
      </w:r>
      <w:r>
        <w:t xml:space="preserve"> </w:t>
      </w:r>
      <w:r>
        <w:t xml:space="preserve">(Alphabet, Amazon, Apple, ByteDance, Meta, Microsoft) sujeitas a obrigações de interoperabilidade e não-discriminação.</w:t>
      </w:r>
    </w:p>
    <w:p>
      <w:pPr>
        <w:pStyle w:val="BlockText"/>
      </w:pPr>
      <w:r>
        <w:rPr>
          <w:b/>
          <w:bCs/>
        </w:rPr>
        <w:t xml:space="preserve">Análise:</w:t>
      </w:r>
      <w:r>
        <w:t xml:space="preserve"> </w:t>
      </w:r>
      <w:r>
        <w:t xml:space="preserve">Os casos ilustram dois temas centrais deste capítulo:</w:t>
      </w:r>
      <w:r>
        <w:t xml:space="preserve"> </w:t>
      </w:r>
      <w:r>
        <w:rPr>
          <w:i/>
          <w:iCs/>
        </w:rPr>
        <w:t xml:space="preserve">barreiras à entrada</w:t>
      </w:r>
      <w:r>
        <w:t xml:space="preserve"> </w:t>
      </w:r>
      <w:r>
        <w:t xml:space="preserve">(Seção 16b.3) e</w:t>
      </w:r>
      <w:r>
        <w:t xml:space="preserve"> </w:t>
      </w:r>
      <w:r>
        <w:rPr>
          <w:i/>
          <w:iCs/>
        </w:rPr>
        <w:t xml:space="preserve">abuso de posição dominante</w:t>
      </w:r>
      <w:r>
        <w:t xml:space="preserve">. As plataformas digitais combinam economias de escala, efeitos de rede e controle de ecossistemas que criam barreiras à entrada formidáveis. A diferença entre a abordagem europeia (regulação ex ante via DMA) e a americana (enforcement ex post via litígios caso a caso) reflete visões distintas sobre o trade-off entre regulação e inovação discutido na Seção 16b.9.</w:t>
      </w:r>
    </w:p>
    <w:p>
      <w:pPr>
        <w:pStyle w:val="BlockText"/>
      </w:pPr>
      <w:r>
        <w:rPr>
          <w:b/>
          <w:bCs/>
        </w:rPr>
        <w:t xml:space="preserve">Para refletir:</w:t>
      </w:r>
      <w:r>
        <w:t xml:space="preserve"> </w:t>
      </w:r>
      <w:r>
        <w:t xml:space="preserve">Plataformas digitais se encaixam melhor no modelo de monopólio, oligopólio ou competição monopolística? A resposta pode depender de como se define o</w:t>
      </w:r>
      <w:r>
        <w:t xml:space="preserve"> </w:t>
      </w:r>
      <w:r>
        <w:t xml:space="preserve">“mercado relevante”</w:t>
      </w:r>
      <w:r>
        <w:t xml:space="preserve">.</w:t>
      </w:r>
    </w:p>
    <w:p>
      <w:pPr>
        <w:pStyle w:val="BlockText"/>
      </w:pPr>
      <w:r>
        <w:rPr>
          <w:b/>
          <w:bCs/>
        </w:rPr>
        <w:t xml:space="preserve">[BOX MUNDO] Box Mundo — OPEP+ e os limites da coordenação entre produtores</w:t>
      </w:r>
    </w:p>
    <w:p>
      <w:pPr>
        <w:pStyle w:val="BlockText"/>
      </w:pPr>
      <w:r>
        <w:rPr>
          <w:b/>
          <w:bCs/>
        </w:rPr>
        <w:t xml:space="preserve">Contexto:</w:t>
      </w:r>
      <w:r>
        <w:t xml:space="preserve"> </w:t>
      </w:r>
      <w:r>
        <w:t xml:space="preserve">A Organização dos Países Exportadores de Petróleo (OPEP), fundada em 1960, é o cartel mais longevo e visível do mundo. Desde 2016, opera como OPEP+ com a adesão da Rússia e outros produtores, controlando cerca de 40% da produção mundial de petróleo.</w:t>
      </w:r>
    </w:p>
    <w:p>
      <w:pPr>
        <w:pStyle w:val="BlockText"/>
      </w:pPr>
      <w:r>
        <w:rPr>
          <w:b/>
          <w:bCs/>
        </w:rPr>
        <w:t xml:space="preserve">Dados:</w:t>
      </w:r>
      <w:r>
        <w:t xml:space="preserve"> </w:t>
      </w:r>
      <w:r>
        <w:t xml:space="preserve">Segundo a OPEP, os países membros controlaram aproximadamente 36 milhões de barris/dia em 2023. A Arábia Saudita, com capacidade ociosa de ~3 mb/d, funciona como</w:t>
      </w:r>
      <w:r>
        <w:t xml:space="preserve"> </w:t>
      </w:r>
      <w:r>
        <w:t xml:space="preserve">“swing producer”</w:t>
      </w:r>
      <w:r>
        <w:t xml:space="preserve"> </w:t>
      </w:r>
      <w:r>
        <w:t xml:space="preserve">que disciplina o cartel. Historicamente, a OPEP enfrentou crises de colusão: em 2014-2016, a recusa da Arábia Saudita em cortar produção levou o preço do barril de US$ 110 para US$ 30, devastando produtores de shale oil nos EUA. Em 2020, uma guerra de preços entre Arábia Saudita e Rússia fez o preço do WTI atingir valores negativos pela primeira vez na história.</w:t>
      </w:r>
    </w:p>
    <w:p>
      <w:pPr>
        <w:pStyle w:val="BlockText"/>
      </w:pPr>
      <w:r>
        <w:rPr>
          <w:b/>
          <w:bCs/>
        </w:rPr>
        <w:t xml:space="preserve">Análise:</w:t>
      </w:r>
      <w:r>
        <w:t xml:space="preserve"> </w:t>
      </w:r>
      <w:r>
        <w:t xml:space="preserve">A OPEP ilustra perfeitamente as tensões da Seção 16b.1 (colusão). A condição de sustentabilidade</w:t>
      </w:r>
      <w:r>
        <w:t xml:space="preserve"> </w:t>
      </w:r>
      <m:oMath>
        <m:r>
          <m:t>δ</m:t>
        </m:r>
        <m:r>
          <m:rPr>
            <m:sty m:val="p"/>
          </m:rPr>
          <m:t>≥</m:t>
        </m:r>
        <m:r>
          <m:t>1</m:t>
        </m:r>
        <m:r>
          <m:rPr>
            <m:sty m:val="p"/>
          </m:rPr>
          <m:t>−</m:t>
        </m:r>
        <m:r>
          <m:t>1</m:t>
        </m:r>
        <m:r>
          <m:rPr>
            <m:sty m:val="p"/>
          </m:rPr>
          <m:t>/</m:t>
        </m:r>
        <m:r>
          <m:t>n</m:t>
        </m:r>
      </m:oMath>
      <w:r>
        <w:t xml:space="preserve"> </w:t>
      </w:r>
      <w:r>
        <w:t xml:space="preserve">explica por que a OPEP funciona melhor com menos membros efetivos (Arábia Saudita como líder de Stackelberg) do que como cartel igualitário. Os episódios de colapso são consistentes com a teoria: quando choques de demanda negativos reduzem o lucro de cooperação, a tentação de desviar supera o benefício de cooperar, e o cartel se desfaz — temporariamente.</w:t>
      </w:r>
    </w:p>
    <w:p>
      <w:pPr>
        <w:pStyle w:val="BlockText"/>
      </w:pPr>
      <w:r>
        <w:rPr>
          <w:b/>
          <w:bCs/>
        </w:rPr>
        <w:t xml:space="preserve">Para refletir:</w:t>
      </w:r>
      <w:r>
        <w:t xml:space="preserve"> </w:t>
      </w:r>
      <w:r>
        <w:t xml:space="preserve">O shale oil americano funciona como uma</w:t>
      </w:r>
      <w:r>
        <w:t xml:space="preserve"> </w:t>
      </w:r>
      <w:r>
        <w:rPr>
          <w:i/>
          <w:iCs/>
        </w:rPr>
        <w:t xml:space="preserve">backstop technology</w:t>
      </w:r>
      <w:r>
        <w:t xml:space="preserve"> </w:t>
      </w:r>
      <w:r>
        <w:t xml:space="preserve">que limita o poder de mercado da OPEP?</w:t>
      </w:r>
    </w:p>
    <w:p>
      <w:pPr>
        <w:pStyle w:val="BlockText"/>
      </w:pPr>
      <w:r>
        <w:rPr>
          <w:b/>
          <w:bCs/>
        </w:rPr>
        <w:t xml:space="preserve">[BOX BRASIL] Box Brasil — A formação da Ambev e a análise do CADE</w:t>
      </w:r>
    </w:p>
    <w:p>
      <w:pPr>
        <w:pStyle w:val="BlockText"/>
      </w:pPr>
      <w:r>
        <w:rPr>
          <w:b/>
          <w:bCs/>
        </w:rPr>
        <w:t xml:space="preserve">Contexto:</w:t>
      </w:r>
      <w:r>
        <w:t xml:space="preserve"> </w:t>
      </w:r>
      <w:r>
        <w:t xml:space="preserve">Em 1999, as duas maiores cervejarias brasileiras — Brahma e Antarctica — anunciaram a fusão que criaria a AmBev (Companhia de Bebidas das Américas). A operação foi o maior caso de defesa da concorrência analisado pelo CADE até então e continua sendo uma referência para o direito antitruste brasileiro.</w:t>
      </w:r>
    </w:p>
    <w:p>
      <w:pPr>
        <w:pStyle w:val="BlockText"/>
      </w:pPr>
      <w:r>
        <w:rPr>
          <w:b/>
          <w:bCs/>
        </w:rPr>
        <w:t xml:space="preserve">Dados:</w:t>
      </w:r>
      <w:r>
        <w:t xml:space="preserve"> </w:t>
      </w:r>
      <w:r>
        <w:t xml:space="preserve">Antes da fusão, Brahma e Antarctica detinham, juntas, cerca de 70% do mercado brasileiro de cervejas. A Skol (Brahma) era a marca líder. Após a fusão, a AmBev passou a controlar aproximadamente 70% do mercado. O CADE aprovou a operação em 2000, condicionada à venda da marca Bavária para uma concorrente (adquirida pela Molson). Em 2004, a AmBev fundiu-se com a belga Interbrew, formando a InBev, que depois adquiriu a Anheuser-Busch (2008), criando a AB InBev — a maior cervejaria do mundo.</w:t>
      </w:r>
    </w:p>
    <w:p>
      <w:pPr>
        <w:pStyle w:val="BlockText"/>
      </w:pPr>
      <w:r>
        <w:rPr>
          <w:b/>
          <w:bCs/>
        </w:rPr>
        <w:t xml:space="preserve">Análise:</w:t>
      </w:r>
      <w:r>
        <w:t xml:space="preserve"> </w:t>
      </w:r>
      <w:r>
        <w:t xml:space="preserve">O caso ilustra os conceitos de análise de fusões horizontais. O HHI pré-fusão era elevado (~3.500), e pós-fusão superou 5.000 — níveis que normalmente motivam bloqueio pela autoridade antitruste. O CADE, contudo, aprovou a operação com remédios (venda de marca), argumentando que: (i) havia ganhos de eficiência significativos (economias de escala em distribuição e marketing); (ii) a marca alienada permitiria manter pressão competitiva; (iii) a ameaça de importações limitaria o poder de mercado. Os críticos argumentam que a concentração resultante elevou preços e reduziu a diversidade de produtos — debate que persiste até hoje com a entrada de cervejarias artesanais e a marca Heineken (via aquisição da Brasil Kirin em 2017).</w:t>
      </w:r>
    </w:p>
    <w:p>
      <w:pPr>
        <w:pStyle w:val="BlockText"/>
      </w:pPr>
      <w:r>
        <w:rPr>
          <w:b/>
          <w:bCs/>
        </w:rPr>
        <w:t xml:space="preserve">Para refletir:</w:t>
      </w:r>
      <w:r>
        <w:t xml:space="preserve"> </w:t>
      </w:r>
      <w:r>
        <w:t xml:space="preserve">O remédio estrutural (venda de marca) foi suficiente para preservar a concorrência, ou o CADE deveria ter bloqueado a fusão?</w:t>
      </w:r>
    </w:p>
    <w:p>
      <w:pPr>
        <w:pStyle w:val="BlockText"/>
      </w:pPr>
      <w:r>
        <w:rPr>
          <w:b/>
          <w:bCs/>
        </w:rPr>
        <w:t xml:space="preserve">[BOX MUNDO] Box Mundo — Diferenciação de produto no mercado global de smartphones</w:t>
      </w:r>
    </w:p>
    <w:p>
      <w:pPr>
        <w:pStyle w:val="BlockText"/>
      </w:pPr>
      <w:r>
        <w:rPr>
          <w:b/>
          <w:bCs/>
        </w:rPr>
        <w:t xml:space="preserve">Contexto:</w:t>
      </w:r>
      <w:r>
        <w:t xml:space="preserve"> </w:t>
      </w:r>
      <w:r>
        <w:t xml:space="preserve">O mercado global de smartphones é um oligopólio altamente concentrado com forte diferenciação de produto — um exemplo vivo do modelo de Hotelling e da competição monopolística. Apple e Samsung dominam as vendas, mas competem com dezenas de fabricantes em diferentes segmentos de preço.</w:t>
      </w:r>
    </w:p>
    <w:p>
      <w:pPr>
        <w:pStyle w:val="BlockText"/>
      </w:pPr>
      <w:r>
        <w:rPr>
          <w:b/>
          <w:bCs/>
        </w:rPr>
        <w:t xml:space="preserve">Dados:</w:t>
      </w:r>
      <w:r>
        <w:t xml:space="preserve"> </w:t>
      </w:r>
      <w:r>
        <w:t xml:space="preserve">Segundo a IDC, no 4º trimestre de 2023, as cinco maiores fabricantes detinham ~68% das vendas globais: Apple (24%), Samsung (17%), Xiaomi (13%), Oppo (8%) e Transsion (6%). O preço médio do iPhone (~US$ 900) é mais que o triplo do preço médio de um Xiaomi (~US$ 250), mas ambos competem indiretamente via cadeia de trade-ups. O HHI estimado do mercado global é ~1.200 (moderadamente concentrado), mas em segmentos premium (acima de US$ 800) o HHI ultrapassa 5.000 (Apple + Samsung &gt; 90%).</w:t>
      </w:r>
    </w:p>
    <w:p>
      <w:pPr>
        <w:pStyle w:val="BlockText"/>
      </w:pPr>
      <w:r>
        <w:rPr>
          <w:b/>
          <w:bCs/>
        </w:rPr>
        <w:t xml:space="preserve">Análise:</w:t>
      </w:r>
      <w:r>
        <w:t xml:space="preserve"> </w:t>
      </w:r>
      <w:r>
        <w:t xml:space="preserve">O mercado ilustra diferenciação tanto horizontal (iOS vs. Android, design, ecossistema) quanto vertical (qualidade de câmera, processador, materiais). A diferenciação permite que Apple cobre preços muito acima do custo marginal (Lerner estimado de 30-40%) sem perder todos os clientes — exatamente como prevê o modelo de Hotelling (Seção 16a.6 (Cap. 16)). O custo de transporte</w:t>
      </w:r>
      <w:r>
        <w:t xml:space="preserve"> </w:t>
      </w:r>
      <m:oMath>
        <m:r>
          <m:t>t</m:t>
        </m:r>
      </m:oMath>
      <w:r>
        <w:t xml:space="preserve"> </w:t>
      </w:r>
      <w:r>
        <w:t xml:space="preserve">é aqui o custo de troca de ecossistema (migrar de iOS para Android implica perder apps, configurações e compatibilidade com outros dispositivos Apple).</w:t>
      </w:r>
    </w:p>
    <w:p>
      <w:pPr>
        <w:pStyle w:val="BlockText"/>
      </w:pPr>
      <w:r>
        <w:rPr>
          <w:b/>
          <w:bCs/>
        </w:rPr>
        <w:t xml:space="preserve">Para refletir:</w:t>
      </w:r>
      <w:r>
        <w:t xml:space="preserve"> </w:t>
      </w:r>
      <w:r>
        <w:t xml:space="preserve">A estratégia da Apple de manter um ecossistema</w:t>
      </w:r>
      <w:r>
        <w:t xml:space="preserve"> </w:t>
      </w:r>
      <w:r>
        <w:t xml:space="preserve">“fechado”</w:t>
      </w:r>
      <w:r>
        <w:t xml:space="preserve"> </w:t>
      </w:r>
      <w:r>
        <w:t xml:space="preserve">(iPhone, iPad, Mac, Apple Watch) é uma forma de aumentar</w:t>
      </w:r>
      <w:r>
        <w:t xml:space="preserve"> </w:t>
      </w:r>
      <m:oMath>
        <m:r>
          <m:t>t</m:t>
        </m:r>
      </m:oMath>
      <w:r>
        <w:t xml:space="preserve"> </w:t>
      </w:r>
      <w:r>
        <w:t xml:space="preserve">(custo de troca), elevando seu poder de mercado. Isso é eficiência ou abuso de posição dominante?</w:t>
      </w:r>
    </w:p>
    <w:p>
      <w:r>
        <w:pict>
          <v:rect style="width:0;height:1.5pt" o:hralign="center" o:hrstd="t" o:hr="t"/>
        </w:pict>
      </w:r>
    </w:p>
    <w:bookmarkEnd w:id="1036"/>
    <w:bookmarkStart w:id="1039" w:name="Xd1be98b4e469219a93012a3f6157f19c9513669"/>
    <w:p>
      <w:pPr>
        <w:pStyle w:val="Heading3"/>
      </w:pPr>
      <w:r>
        <w:t xml:space="preserve">16b.9 Quando Dois Viram Um: Fusões e Política Antitruste</w:t>
      </w:r>
    </w:p>
    <w:p>
      <w:pPr>
        <w:pStyle w:val="FirstParagraph"/>
      </w:pPr>
      <w:r>
        <w:t xml:space="preserve">Quando duas firmas rivais decidem virar uma só, a pergunta que todo regulador antitruste perde o sono para responder é: isso vai ser bom ou ruim para o consumidor? As fusões horizontais — entre firmas que competem no mesmo mercado — são o campo mais ativo da política de defesa da concorrência, e a análise econômica envolve um trade-off fundamental identificado por Oliver Williamson (1968): de um lado, a fusão aumenta o poder de mercado (preços sobem); de outro, pode gerar ganhos de eficiência (custos caem). A fusão é benéfica ao consumidor quando o efeito eficiência domina o efeito poder de mercado.</w:t>
      </w:r>
    </w:p>
    <w:bookmarkStart w:id="1037" w:name="análise-de-fusões-via-hhi"/>
    <w:p>
      <w:pPr>
        <w:pStyle w:val="Heading4"/>
      </w:pPr>
      <w:r>
        <w:t xml:space="preserve">Análise de fusões via HHI</w:t>
      </w:r>
    </w:p>
    <w:p>
      <w:pPr>
        <w:pStyle w:val="FirstParagraph"/>
      </w:pPr>
      <w:r>
        <w:t xml:space="preserve">O índice de Herfindahl-Hirschman (HHI) é a ferramenta mais utilizada por autoridades antitruste para triagem inicial de fusões:</w:t>
      </w:r>
    </w:p>
    <w:p>
      <w:pPr>
        <w:pStyle w:val="BodyText"/>
      </w:pPr>
      <m:oMathPara>
        <m:oMathParaPr>
          <m:jc m:val="center"/>
        </m:oMathParaPr>
        <m:oMath>
          <m:r>
            <m:t>H</m:t>
          </m:r>
          <m:r>
            <m:t>H</m:t>
          </m:r>
          <m:r>
            <m:t>I</m:t>
          </m:r>
          <m:r>
            <m:rPr>
              <m:sty m:val="p"/>
            </m:rPr>
            <m:t>=</m:t>
          </m:r>
          <m:nary>
            <m:naryPr>
              <m:chr m:val="∑"/>
              <m:limLoc m:val="undOvr"/>
              <m:subHide m:val="off"/>
              <m:supHide m:val="off"/>
            </m:naryPr>
            <m:sub>
              <m:r>
                <m:t>i</m:t>
              </m:r>
              <m:r>
                <m:rPr>
                  <m:sty m:val="p"/>
                </m:rPr>
                <m:t>=</m:t>
              </m:r>
              <m:r>
                <m:t>1</m:t>
              </m:r>
            </m:sub>
            <m:sup>
              <m:r>
                <m:t>n</m:t>
              </m:r>
            </m:sup>
            <m:e>
              <m:sSubSup>
                <m:e>
                  <m:r>
                    <m:t>s</m:t>
                  </m:r>
                </m:e>
                <m:sub>
                  <m:r>
                    <m:t>i</m:t>
                  </m:r>
                </m:sub>
                <m:sup>
                  <m:r>
                    <m:t>2</m:t>
                  </m:r>
                </m:sup>
              </m:sSubSup>
            </m:e>
          </m:nary>
        </m:oMath>
      </m:oMathPara>
    </w:p>
    <w:p>
      <w:pPr>
        <w:pStyle w:val="FirstParagraph"/>
      </w:pPr>
      <w:r>
        <w:t xml:space="preserve">onde</w:t>
      </w:r>
      <w:r>
        <w:t xml:space="preserve"> </w:t>
      </w:r>
      <m:oMath>
        <m:sSub>
          <m:e>
            <m:r>
              <m:t>s</m:t>
            </m:r>
          </m:e>
          <m:sub>
            <m:r>
              <m:t>i</m:t>
            </m:r>
          </m:sub>
        </m:sSub>
      </m:oMath>
      <w:r>
        <w:t xml:space="preserve"> </w:t>
      </w:r>
      <w:r>
        <w:t xml:space="preserve">é a participação de mercado da firma</w:t>
      </w:r>
      <w:r>
        <w:t xml:space="preserve"> </w:t>
      </w:r>
      <m:oMath>
        <m:r>
          <m:t>i</m:t>
        </m:r>
      </m:oMath>
      <w:r>
        <w:t xml:space="preserve"> </w:t>
      </w:r>
      <w:r>
        <w:t xml:space="preserve">(em percentual). O guia de fusões horizontais do CADE e do DOJ/FTC dos EUA classifica mercados como:</w:t>
      </w:r>
    </w:p>
    <w:p>
      <w:pPr>
        <w:pStyle w:val="Compact"/>
        <w:numPr>
          <w:ilvl w:val="0"/>
          <w:numId w:val="1905"/>
        </w:numPr>
      </w:pPr>
      <w:r>
        <w:rPr>
          <w:b/>
          <w:bCs/>
        </w:rPr>
        <w:t xml:space="preserve">Não concentrado</w:t>
      </w:r>
      <w:r>
        <w:t xml:space="preserve">: HHI &lt; 1.500</w:t>
      </w:r>
    </w:p>
    <w:p>
      <w:pPr>
        <w:pStyle w:val="Compact"/>
        <w:numPr>
          <w:ilvl w:val="0"/>
          <w:numId w:val="1905"/>
        </w:numPr>
      </w:pPr>
      <w:r>
        <w:rPr>
          <w:b/>
          <w:bCs/>
        </w:rPr>
        <w:t xml:space="preserve">Moderadamente concentrado</w:t>
      </w:r>
      <w:r>
        <w:t xml:space="preserve">: 1.500 ≤ HHI &lt; 2.500</w:t>
      </w:r>
    </w:p>
    <w:p>
      <w:pPr>
        <w:pStyle w:val="Compact"/>
        <w:numPr>
          <w:ilvl w:val="0"/>
          <w:numId w:val="1905"/>
        </w:numPr>
      </w:pPr>
      <w:r>
        <w:rPr>
          <w:b/>
          <w:bCs/>
        </w:rPr>
        <w:t xml:space="preserve">Altamente concentrado</w:t>
      </w:r>
      <w:r>
        <w:t xml:space="preserve">: HHI ≥ 2.500</w:t>
      </w:r>
    </w:p>
    <w:p>
      <w:pPr>
        <w:pStyle w:val="FirstParagraph"/>
      </w:pPr>
      <w:r>
        <w:t xml:space="preserve">Uma fusão que eleva o HHI em mais de 200 pontos em um mercado já concentrado recebe escrutínio detalhado. As autoridades avaliam então se os ganhos de eficiência são suficientes para compensar o aumento esperado de preços — frequentemente usando simulações de fusão baseadas no modelo BLP (Berry, Levinsohn e Pakes, 1995).</w:t>
      </w:r>
    </w:p>
    <w:bookmarkEnd w:id="1037"/>
    <w:bookmarkStart w:id="1038" w:name="fusões-verticais"/>
    <w:p>
      <w:pPr>
        <w:pStyle w:val="Heading4"/>
      </w:pPr>
      <w:r>
        <w:t xml:space="preserve">Fusões verticais</w:t>
      </w:r>
    </w:p>
    <w:p>
      <w:pPr>
        <w:pStyle w:val="FirstParagraph"/>
      </w:pPr>
      <w:r>
        <w:t xml:space="preserve">Fusões entre firmas em estágios diferentes da cadeia produtiva (fornecedor e cliente) não aumentam diretamente a concentração horizontal, mas podem gerar preocupações de</w:t>
      </w:r>
      <w:r>
        <w:t xml:space="preserve"> </w:t>
      </w:r>
      <w:r>
        <w:rPr>
          <w:b/>
          <w:bCs/>
        </w:rPr>
        <w:t xml:space="preserve">foreclosure</w:t>
      </w:r>
      <w:r>
        <w:t xml:space="preserve">: a firma integrada pode negar insumos a concorrentes ou discriminar em favor de sua divisão downstream.</w:t>
      </w:r>
    </w:p>
    <w:p>
      <w:pPr>
        <w:pStyle w:val="BodyText"/>
      </w:pPr>
      <w:r>
        <w:t xml:space="preserve">[FIGURA INTERATIVA: /micro-book/graficos/cap16/webr-hhi-fusao.html — versao interativa disponivel online]</w:t>
      </w:r>
    </w:p>
    <w:p>
      <w:pPr>
        <w:pStyle w:val="BodyText"/>
      </w:pPr>
      <w:r>
        <w:rPr>
          <w:b/>
          <w:bCs/>
        </w:rPr>
        <w:t xml:space="preserve">WebR 16b.2 — Análise de fusão via HHI.</w:t>
      </w:r>
      <w:r>
        <w:t xml:space="preserve"> </w:t>
      </w:r>
      <w:r>
        <w:t xml:space="preserve">Simule diferentes cenários de fusão horizontal: altere os market shares, escolha quais firmas se fundem e verifique se a fusão aciona os alarmes antitruste do CADE/DOJ.</w:t>
      </w:r>
    </w:p>
    <w:p>
      <w:r>
        <w:pict>
          <v:rect style="width:0;height:1.5pt" o:hralign="center" o:hrstd="t" o:hr="t"/>
        </w:pict>
      </w:r>
    </w:p>
    <w:bookmarkEnd w:id="1038"/>
    <w:bookmarkEnd w:id="1039"/>
    <w:bookmarkStart w:id="1040" w:name="X3da5f1b5c6a8ec09f6500d6b0fa242638518bcf"/>
    <w:p>
      <w:pPr>
        <w:pStyle w:val="Heading3"/>
      </w:pPr>
      <w:r>
        <w:t xml:space="preserve">16b.10 O Juiz na Mesa de Pôquer: Regulação de Oligopólios</w:t>
      </w:r>
    </w:p>
    <w:p>
      <w:pPr>
        <w:pStyle w:val="FirstParagraph"/>
      </w:pPr>
      <w:r>
        <w:t xml:space="preserve">Quando a concorrência é insuficiente para disciplinar o comportamento das firmas — seja por barreiras naturais à entrada (monopólio natural) ou por tendência à colusão — a regulação governamental se torna necessária. A teoria da regulação moderna, desenvolvida por Jean-Jacques Laffont e Jean Tirole (Nobel 2014), reconhece que o regulador tipicamente possui menos informação que a firma regulada, gerando um problema de assimetria de informação.</w:t>
      </w:r>
    </w:p>
    <w:p>
      <w:pPr>
        <w:pStyle w:val="BodyText"/>
      </w:pPr>
      <w:r>
        <w:t xml:space="preserve">Os principais mecanismos regulatórios são:</w:t>
      </w:r>
    </w:p>
    <w:p>
      <w:pPr>
        <w:pStyle w:val="Compact"/>
        <w:numPr>
          <w:ilvl w:val="0"/>
          <w:numId w:val="1906"/>
        </w:numPr>
      </w:pPr>
      <w:r>
        <w:rPr>
          <w:b/>
          <w:bCs/>
        </w:rPr>
        <w:t xml:space="preserve">Regulação por taxa de retorno</w:t>
      </w:r>
      <w:r>
        <w:t xml:space="preserve"> </w:t>
      </w:r>
      <w:r>
        <w:t xml:space="preserve">(</w:t>
      </w:r>
      <w:r>
        <w:rPr>
          <w:i/>
          <w:iCs/>
        </w:rPr>
        <w:t xml:space="preserve">rate-of-return</w:t>
      </w:r>
      <w:r>
        <w:t xml:space="preserve">): o regulador fixa a taxa de retorno permitida sobre o capital. Problema: incentiva sobreinvestimento em capital (efeito Averch-Johnson).</w:t>
      </w:r>
    </w:p>
    <w:p>
      <w:pPr>
        <w:pStyle w:val="Compact"/>
        <w:numPr>
          <w:ilvl w:val="0"/>
          <w:numId w:val="1906"/>
        </w:numPr>
      </w:pPr>
      <w:r>
        <w:rPr>
          <w:b/>
          <w:bCs/>
        </w:rPr>
        <w:t xml:space="preserve">Regulação por preço-teto</w:t>
      </w:r>
      <w:r>
        <w:t xml:space="preserve"> </w:t>
      </w:r>
      <w:r>
        <w:t xml:space="preserve">(</w:t>
      </w:r>
      <w:r>
        <w:rPr>
          <w:i/>
          <w:iCs/>
        </w:rPr>
        <w:t xml:space="preserve">price cap</w:t>
      </w:r>
      <w:r>
        <w:t xml:space="preserve">): o regulador fixa um teto para o preço, tipicamente ajustado pela inflação menos um fator de produtividade (</w:t>
      </w:r>
      <m:oMath>
        <m:r>
          <m:t>R</m:t>
        </m:r>
        <m:r>
          <m:t>P</m:t>
        </m:r>
        <m:r>
          <m:t>I</m:t>
        </m:r>
        <m:r>
          <m:rPr>
            <m:sty m:val="p"/>
          </m:rPr>
          <m:t>−</m:t>
        </m:r>
        <m:r>
          <m:t>X</m:t>
        </m:r>
      </m:oMath>
      <w:r>
        <w:t xml:space="preserve">). Incentiva eficiência, pois a firma retém os ganhos de redução de custos.</w:t>
      </w:r>
    </w:p>
    <w:p>
      <w:pPr>
        <w:pStyle w:val="Compact"/>
        <w:numPr>
          <w:ilvl w:val="0"/>
          <w:numId w:val="1906"/>
        </w:numPr>
      </w:pPr>
      <w:r>
        <w:rPr>
          <w:b/>
          <w:bCs/>
        </w:rPr>
        <w:t xml:space="preserve">Regulação por incentivos</w:t>
      </w:r>
      <w:r>
        <w:t xml:space="preserve"> </w:t>
      </w:r>
      <w:r>
        <w:t xml:space="preserve">(Laffont-Tirole): menus de contratos que induzem a firma a revelar informação privada sobre seus custos, aproximando-se do ótimo mesmo sob assimetria de informação.</w:t>
      </w:r>
    </w:p>
    <w:p>
      <w:pPr>
        <w:pStyle w:val="FirstParagraph"/>
      </w:pPr>
      <w:r>
        <w:t xml:space="preserve">No Brasil, as agências reguladoras setoriais (ANATEL, ANEEL, ANP, ANTT) utilizam variantes de price cap para setores de infraestrutura, enquanto o CADE atua na análise de fusões e investigação de cartéis.</w:t>
      </w:r>
    </w:p>
    <w:p>
      <w:r>
        <w:pict>
          <v:rect style="width:0;height:1.5pt" o:hralign="center" o:hrstd="t" o:hr="t"/>
        </w:pict>
      </w:r>
    </w:p>
    <w:p>
      <w:pPr>
        <w:pStyle w:val="FirstParagraph"/>
      </w:pPr>
      <w:r>
        <w:t xml:space="preserve">Voltamos à mesa de pôquer do início: poucos jogadores, cada um tentando adivinhar a jogada do outro. De Bertrand a Cournot, de Stackelberg à colusão tácita, vimos que o resultado depende crucialmente de quem escolhe o quê, quando e com que informação. A boa notícia para o consumidor é que, com as ferramentas certas — teoria dos jogos, análise antitruste e regulação —, é possível manter os jogadores honestos.</w:t>
      </w:r>
    </w:p>
    <w:p>
      <w:pPr>
        <w:pStyle w:val="BodyText"/>
      </w:pPr>
      <w:r>
        <w:rPr>
          <w:i/>
          <w:iCs/>
        </w:rPr>
        <w:t xml:space="preserve">Oligopólios, fusões, regulação. Falta o mercado mais importante de todos: o de trabalho. No próximo capítulo, o fator humano.</w:t>
      </w:r>
    </w:p>
    <w:bookmarkEnd w:id="1040"/>
    <w:bookmarkEnd w:id="1041"/>
    <w:bookmarkStart w:id="1048" w:name="exercícios-e-anpec-capítulo-16b"/>
    <w:p>
      <w:pPr>
        <w:pStyle w:val="Heading2"/>
      </w:pPr>
      <w:r>
        <w:t xml:space="preserve">Exercícios e ANPEC — Capítulo 16b</w:t>
      </w:r>
    </w:p>
    <w:bookmarkStart w:id="1042" w:name="revisão-rápida-16"/>
    <w:p>
      <w:pPr>
        <w:pStyle w:val="Heading3"/>
      </w:pPr>
      <w:r>
        <w:t xml:space="preserve">Revisão Rápida</w:t>
      </w:r>
    </w:p>
    <w:p>
      <w:pPr>
        <w:pStyle w:val="BlockText"/>
      </w:pPr>
      <w:r>
        <w:rPr>
          <w:b/>
          <w:bCs/>
        </w:rPr>
        <w:t xml:space="preserve">[QUESTAO] 1. A sustentabilidade de um cartel (colusão) em oligopólio é dificultada porque:</w:t>
      </w:r>
    </w:p>
    <w:p>
      <w:pPr>
        <w:pStyle w:val="Compact"/>
        <w:numPr>
          <w:ilvl w:val="0"/>
          <w:numId w:val="1907"/>
        </w:numPr>
      </w:pPr>
    </w:p>
    <w:p>
      <w:pPr>
        <w:pStyle w:val="Compact"/>
        <w:numPr>
          <w:ilvl w:val="1"/>
          <w:numId w:val="1908"/>
        </w:numPr>
      </w:pPr>
      <w:r>
        <w:t xml:space="preserve">Os custos de produção são muito baixos</w:t>
      </w:r>
    </w:p>
    <w:p>
      <w:pPr>
        <w:pStyle w:val="Compact"/>
        <w:numPr>
          <w:ilvl w:val="0"/>
          <w:numId w:val="1907"/>
        </w:numPr>
      </w:pPr>
    </w:p>
    <w:p>
      <w:pPr>
        <w:pStyle w:val="Compact"/>
        <w:numPr>
          <w:ilvl w:val="1"/>
          <w:numId w:val="1909"/>
        </w:numPr>
      </w:pPr>
      <w:r>
        <w:t xml:space="preserve">Cada membro tem incentivo individual a trair o acordo, produzindo mais que a cota para obter lucros maiores no curto prazo</w:t>
      </w:r>
    </w:p>
    <w:p>
      <w:pPr>
        <w:pStyle w:val="Compact"/>
        <w:numPr>
          <w:ilvl w:val="0"/>
          <w:numId w:val="1907"/>
        </w:numPr>
      </w:pPr>
    </w:p>
    <w:p>
      <w:pPr>
        <w:pStyle w:val="Compact"/>
        <w:numPr>
          <w:ilvl w:val="1"/>
          <w:numId w:val="1910"/>
        </w:numPr>
      </w:pPr>
      <w:r>
        <w:t xml:space="preserve">Os consumidores formam cartéis em resposta</w:t>
      </w:r>
    </w:p>
    <w:p>
      <w:pPr>
        <w:pStyle w:val="Compact"/>
        <w:numPr>
          <w:ilvl w:val="0"/>
          <w:numId w:val="1907"/>
        </w:numPr>
      </w:pPr>
    </w:p>
    <w:p>
      <w:pPr>
        <w:pStyle w:val="Compact"/>
        <w:numPr>
          <w:ilvl w:val="1"/>
          <w:numId w:val="1911"/>
        </w:numPr>
      </w:pPr>
      <w:r>
        <w:t xml:space="preserve">A legislação antitruste é sempre eficaz em impedir cartéis</w:t>
      </w:r>
    </w:p>
    <w:p>
      <w:pPr>
        <w:pStyle w:val="BlockText"/>
      </w:pPr>
      <w:r>
        <w:t xml:space="preserve">??? success</w:t>
      </w:r>
      <w:r>
        <w:t xml:space="preserve"> </w:t>
      </w:r>
      <w:r>
        <w:t xml:space="preserve">“Resposta”</w:t>
      </w:r>
      <w:r>
        <w:t xml:space="preserve"> </w:t>
      </w:r>
      <w:r>
        <w:rPr>
          <w:b/>
          <w:bCs/>
        </w:rPr>
        <w:t xml:space="preserve">(b)</w:t>
      </w:r>
      <w:r>
        <w:t xml:space="preserve"> </w:t>
      </w:r>
      <w:r>
        <w:t xml:space="preserve">O cartel enfrenta o clássico Dilema dos Prisioneiros: o lucro conjunto é maximizado com restrição de produção, mas cada firma individualmente lucra mais ao desviar (produzir acima da cota enquanto os demais restringem). A sustentabilidade depende de mecanismos de punição, transparência e paciência (Folk Theorem). A alternativa (d) ignora que muitos cartéis operam impunemente.</w:t>
      </w:r>
    </w:p>
    <w:p>
      <w:pPr>
        <w:pStyle w:val="BlockText"/>
      </w:pPr>
      <w:r>
        <w:rPr>
          <w:b/>
          <w:bCs/>
        </w:rPr>
        <w:t xml:space="preserve">[QUESTAO] 2. A análise antitruste de fusões horizontais entre oligopolistas tipicamente avalia se a fusão:</w:t>
      </w:r>
    </w:p>
    <w:p>
      <w:pPr>
        <w:pStyle w:val="Compact"/>
        <w:numPr>
          <w:ilvl w:val="0"/>
          <w:numId w:val="1912"/>
        </w:numPr>
      </w:pPr>
    </w:p>
    <w:p>
      <w:pPr>
        <w:pStyle w:val="Compact"/>
        <w:numPr>
          <w:ilvl w:val="1"/>
          <w:numId w:val="1913"/>
        </w:numPr>
      </w:pPr>
      <w:r>
        <w:t xml:space="preserve">Aumenta o número de firmas no mercado</w:t>
      </w:r>
    </w:p>
    <w:p>
      <w:pPr>
        <w:pStyle w:val="Compact"/>
        <w:numPr>
          <w:ilvl w:val="0"/>
          <w:numId w:val="1912"/>
        </w:numPr>
      </w:pPr>
    </w:p>
    <w:p>
      <w:pPr>
        <w:pStyle w:val="Compact"/>
        <w:numPr>
          <w:ilvl w:val="1"/>
          <w:numId w:val="1914"/>
        </w:numPr>
      </w:pPr>
      <w:r>
        <w:t xml:space="preserve">Gera poder de mercado unilateral ou coordenado que prejudica consumidores, considerando possíveis eficiências compensatórias</w:t>
      </w:r>
    </w:p>
    <w:p>
      <w:pPr>
        <w:pStyle w:val="Compact"/>
        <w:numPr>
          <w:ilvl w:val="0"/>
          <w:numId w:val="1912"/>
        </w:numPr>
      </w:pPr>
    </w:p>
    <w:p>
      <w:pPr>
        <w:pStyle w:val="Compact"/>
        <w:numPr>
          <w:ilvl w:val="1"/>
          <w:numId w:val="1915"/>
        </w:numPr>
      </w:pPr>
      <w:r>
        <w:t xml:space="preserve">Reduz os custos fixos da firma resultante</w:t>
      </w:r>
    </w:p>
    <w:p>
      <w:pPr>
        <w:pStyle w:val="Compact"/>
        <w:numPr>
          <w:ilvl w:val="0"/>
          <w:numId w:val="1912"/>
        </w:numPr>
      </w:pPr>
    </w:p>
    <w:p>
      <w:pPr>
        <w:pStyle w:val="Compact"/>
        <w:numPr>
          <w:ilvl w:val="1"/>
          <w:numId w:val="1916"/>
        </w:numPr>
      </w:pPr>
      <w:r>
        <w:t xml:space="preserve">É aprovada unanimemente pelos acionistas</w:t>
      </w:r>
    </w:p>
    <w:p>
      <w:pPr>
        <w:pStyle w:val="BlockText"/>
      </w:pPr>
      <w:r>
        <w:t xml:space="preserve">??? success</w:t>
      </w:r>
      <w:r>
        <w:t xml:space="preserve"> </w:t>
      </w:r>
      <w:r>
        <w:t xml:space="preserve">“Resposta”</w:t>
      </w:r>
      <w:r>
        <w:t xml:space="preserve"> </w:t>
      </w:r>
      <w:r>
        <w:rPr>
          <w:b/>
          <w:bCs/>
        </w:rPr>
        <w:t xml:space="preserve">(b)</w:t>
      </w:r>
      <w:r>
        <w:t xml:space="preserve"> </w:t>
      </w:r>
      <w:r>
        <w:t xml:space="preserve">A análise antitruste (ex.: pelo CADE no Brasil) avalia se a concentração resultante permite à firma fusionada elevar preços ou facilitar colusão tácita, ponderando eventuais eficiências (redução de custos, sinergias). A alternativa (a) é o oposto — fusões reduzem o número de firmas; (c) é parcial; (d) é irrelevante para a análise concorrencial.</w:t>
      </w:r>
    </w:p>
    <w:p>
      <w:r>
        <w:pict>
          <v:rect style="width:0;height:1.5pt" o:hralign="center" o:hrstd="t" o:hr="t"/>
        </w:pict>
      </w:r>
    </w:p>
    <w:bookmarkEnd w:id="1042"/>
    <w:bookmarkStart w:id="1043" w:name="resumo-do-capítulo-17"/>
    <w:p>
      <w:pPr>
        <w:pStyle w:val="Heading3"/>
      </w:pPr>
      <w:r>
        <w:t xml:space="preserve">Resumo do Capítulo</w:t>
      </w:r>
    </w:p>
    <w:p>
      <w:pPr>
        <w:pStyle w:val="Compact"/>
        <w:numPr>
          <w:ilvl w:val="0"/>
          <w:numId w:val="1917"/>
        </w:numPr>
      </w:pPr>
      <w:r>
        <w:t xml:space="preserve">A colusão tácita pode ser sustentada em jogos repetidos por meio de estratégias de gatilho, desde que o fator de desconto seja suficientemente alto.</w:t>
      </w:r>
    </w:p>
    <w:p>
      <w:pPr>
        <w:pStyle w:val="Compact"/>
        <w:numPr>
          <w:ilvl w:val="0"/>
          <w:numId w:val="1917"/>
        </w:numPr>
      </w:pPr>
      <w:r>
        <w:t xml:space="preserve">Decisões de longo prazo como investimento em capacidade, dissuasão estratégica de entrada e inovação ampliam a análise para além dos modelos estáticos.</w:t>
      </w:r>
    </w:p>
    <w:p>
      <w:pPr>
        <w:pStyle w:val="Compact"/>
        <w:numPr>
          <w:ilvl w:val="0"/>
          <w:numId w:val="1917"/>
        </w:numPr>
      </w:pPr>
      <w:r>
        <w:t xml:space="preserve">A competição monopolística combina diferenciação de produto com livre entrada, gerando equilíbrio de longo prazo com lucro zero e excesso de capacidade.</w:t>
      </w:r>
    </w:p>
    <w:p>
      <w:pPr>
        <w:pStyle w:val="Compact"/>
        <w:numPr>
          <w:ilvl w:val="0"/>
          <w:numId w:val="1917"/>
        </w:numPr>
      </w:pPr>
      <w:r>
        <w:t xml:space="preserve">A análise de fusões horizontais envolve o trade-off entre poder de mercado e eficiência, com o HHI como ferramenta de triagem.</w:t>
      </w:r>
    </w:p>
    <w:p>
      <w:pPr>
        <w:pStyle w:val="Compact"/>
        <w:numPr>
          <w:ilvl w:val="0"/>
          <w:numId w:val="1917"/>
        </w:numPr>
      </w:pPr>
      <w:r>
        <w:t xml:space="preserve">A regulação de oligopólios (price cap, rate-of-return, Laffont-Tirole) busca disciplinar firmas com poder de mercado sob assimetria de informação.</w:t>
      </w:r>
    </w:p>
    <w:bookmarkEnd w:id="1043"/>
    <w:bookmarkStart w:id="1044" w:name="conceitos-chave-16"/>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Colusão tácita</w:t>
            </w:r>
          </w:p>
        </w:tc>
        <w:tc>
          <w:tcPr/>
          <w:p>
            <w:pPr>
              <w:pStyle w:val="Compact"/>
            </w:pPr>
            <w:r>
              <w:t xml:space="preserve">Coordenação de preços acima do competitivo sustentada por interação repetida e ameaça de retaliação, sem acordo explícito</w:t>
            </w:r>
          </w:p>
        </w:tc>
      </w:tr>
      <w:tr>
        <w:tc>
          <w:tcPr/>
          <w:p>
            <w:pPr>
              <w:pStyle w:val="Compact"/>
            </w:pPr>
            <w:r>
              <w:t xml:space="preserve">Estratégia de gatilho (grim trigger)</w:t>
            </w:r>
          </w:p>
        </w:tc>
        <w:tc>
          <w:tcPr/>
          <w:p>
            <w:pPr>
              <w:pStyle w:val="Compact"/>
            </w:pPr>
            <w:r>
              <w:t xml:space="preserve">Estratégia em que firmas cooperam enquanto todas cooperam, mas revertem permanentemente ao equilíbrio de Nash se alguém desviar</w:t>
            </w:r>
          </w:p>
        </w:tc>
      </w:tr>
      <w:tr>
        <w:tc>
          <w:tcPr/>
          <w:p>
            <w:pPr>
              <w:pStyle w:val="Compact"/>
            </w:pPr>
            <w:r>
              <w:t xml:space="preserve">Dissuasão estratégica de entrada</w:t>
            </w:r>
          </w:p>
        </w:tc>
        <w:tc>
          <w:tcPr/>
          <w:p>
            <w:pPr>
              <w:pStyle w:val="Compact"/>
            </w:pPr>
            <w:r>
              <w:t xml:space="preserve">Uso de investimento em capacidade ou preços-limite para tornar a entrada de rivais não lucrativa</w:t>
            </w:r>
          </w:p>
        </w:tc>
      </w:tr>
      <w:tr>
        <w:tc>
          <w:tcPr/>
          <w:p>
            <w:pPr>
              <w:pStyle w:val="Compact"/>
            </w:pPr>
            <w:r>
              <w:t xml:space="preserve">Competição monopolística</w:t>
            </w:r>
          </w:p>
        </w:tc>
        <w:tc>
          <w:tcPr/>
          <w:p>
            <w:pPr>
              <w:pStyle w:val="Compact"/>
            </w:pPr>
            <w:r>
              <w:t xml:space="preserve">Estrutura com muitas firmas, produtos diferenciados e livre entrada; equilíbrio de longo prazo com lucro zero e excesso de capacidade</w:t>
            </w:r>
          </w:p>
        </w:tc>
      </w:tr>
      <w:tr>
        <w:tc>
          <w:tcPr/>
          <w:p>
            <w:pPr>
              <w:pStyle w:val="Compact"/>
            </w:pPr>
            <w:r>
              <w:t xml:space="preserve">Índice de Herfindahl-Hirschman (HHI)</w:t>
            </w:r>
          </w:p>
        </w:tc>
        <w:tc>
          <w:tcPr/>
          <w:p>
            <w:pPr>
              <w:pStyle w:val="Compact"/>
            </w:pPr>
            <w:r>
              <w:t xml:space="preserve">Medida de concentração de mercado:</w:t>
            </w:r>
            <w:r>
              <w:t xml:space="preserve"> </w:t>
            </w:r>
            <m:oMath>
              <m:r>
                <m:t>H</m:t>
              </m:r>
              <m:r>
                <m:t>H</m:t>
              </m:r>
              <m:r>
                <m:t>I</m:t>
              </m:r>
              <m:r>
                <m:rPr>
                  <m:sty m:val="p"/>
                </m:rPr>
                <m:t>=</m:t>
              </m:r>
              <m:r>
                <m:rPr>
                  <m:sty m:val="p"/>
                </m:rPr>
                <m:t>∑</m:t>
              </m:r>
              <m:sSubSup>
                <m:e>
                  <m:r>
                    <m:t>s</m:t>
                  </m:r>
                </m:e>
                <m:sub>
                  <m:r>
                    <m:t>i</m:t>
                  </m:r>
                </m:sub>
                <m:sup>
                  <m:r>
                    <m:t>2</m:t>
                  </m:r>
                </m:sup>
              </m:sSubSup>
            </m:oMath>
            <w:r>
              <w:t xml:space="preserve">; usado por autoridades antitruste para análise de fusões</w:t>
            </w:r>
          </w:p>
        </w:tc>
      </w:tr>
      <w:tr>
        <w:tc>
          <w:tcPr/>
          <w:p>
            <w:pPr>
              <w:pStyle w:val="Compact"/>
            </w:pPr>
            <w:r>
              <w:t xml:space="preserve">Price cap (preço-teto)</w:t>
            </w:r>
          </w:p>
        </w:tc>
        <w:tc>
          <w:tcPr/>
          <w:p>
            <w:pPr>
              <w:pStyle w:val="Compact"/>
            </w:pPr>
            <w:r>
              <w:t xml:space="preserve">Regulação que fixa teto de preço ajustado por</w:t>
            </w:r>
            <w:r>
              <w:t xml:space="preserve"> </w:t>
            </w:r>
            <m:oMath>
              <m:r>
                <m:t>R</m:t>
              </m:r>
              <m:r>
                <m:t>P</m:t>
              </m:r>
              <m:r>
                <m:t>I</m:t>
              </m:r>
              <m:r>
                <m:rPr>
                  <m:sty m:val="p"/>
                </m:rPr>
                <m:t>−</m:t>
              </m:r>
              <m:r>
                <m:t>X</m:t>
              </m:r>
            </m:oMath>
            <w:r>
              <w:t xml:space="preserve">, incentivando eficiência produtiva</w:t>
            </w:r>
          </w:p>
        </w:tc>
      </w:tr>
    </w:tbl>
    <w:p>
      <w:r>
        <w:pict>
          <v:rect style="width:0;height:1.5pt" o:hralign="center" o:hrstd="t" o:hr="t"/>
        </w:pict>
      </w:r>
    </w:p>
    <w:bookmarkEnd w:id="1044"/>
    <w:bookmarkStart w:id="1045" w:name="exercícios-resolvidos-5"/>
    <w:p>
      <w:pPr>
        <w:pStyle w:val="Heading3"/>
      </w:pPr>
      <w:r>
        <w:t xml:space="preserve">Exercícios Resolvidos</w:t>
      </w:r>
    </w:p>
    <w:p>
      <w:pPr>
        <w:pStyle w:val="BlockText"/>
      </w:pPr>
      <w:r>
        <w:rPr>
          <w:b/>
          <w:bCs/>
        </w:rPr>
        <w:t xml:space="preserve">[EXERCICIO RESOLVIDO] Exercício Resolvido 16b.1 — Sustentação de colusão com trigger strategy</w:t>
      </w:r>
    </w:p>
    <w:p>
      <w:pPr>
        <w:pStyle w:val="BlockText"/>
      </w:pPr>
      <w:r>
        <w:rPr>
          <w:b/>
          <w:bCs/>
        </w:rPr>
        <w:t xml:space="preserve">Enunciado.</w:t>
      </w:r>
      <w:r>
        <w:t xml:space="preserve"> </w:t>
      </w:r>
      <w:r>
        <w:t xml:space="preserve">Três firmas idênticas competem em Bertrand com custo marginal</w:t>
      </w:r>
      <w:r>
        <w:t xml:space="preserve"> </w:t>
      </w:r>
      <m:oMath>
        <m:r>
          <m:t>c</m:t>
        </m:r>
        <m:r>
          <m:rPr>
            <m:sty m:val="p"/>
          </m:rPr>
          <m:t>=</m:t>
        </m:r>
        <m:r>
          <m:t>20</m:t>
        </m:r>
      </m:oMath>
      <w:r>
        <w:t xml:space="preserve"> </w:t>
      </w:r>
      <w:r>
        <w:t xml:space="preserve">e demanda</w:t>
      </w:r>
      <w:r>
        <w:t xml:space="preserve"> </w:t>
      </w:r>
      <m:oMath>
        <m:r>
          <m:t>Q</m:t>
        </m:r>
        <m:r>
          <m:rPr>
            <m:sty m:val="p"/>
          </m:rPr>
          <m:t>=</m:t>
        </m:r>
        <m:r>
          <m:t>200</m:t>
        </m:r>
        <m:r>
          <m:rPr>
            <m:sty m:val="p"/>
          </m:rPr>
          <m:t>−</m:t>
        </m:r>
        <m:r>
          <m:t>p</m:t>
        </m:r>
      </m:oMath>
      <w:r>
        <w:t xml:space="preserve">. Considere um jogo infinitamente repetido com fator de desconto</w:t>
      </w:r>
      <w:r>
        <w:t xml:space="preserve"> </w:t>
      </w:r>
      <m:oMath>
        <m:r>
          <m:t>δ</m:t>
        </m:r>
      </m:oMath>
      <w:r>
        <w:t xml:space="preserve"> </w:t>
      </w:r>
      <w:r>
        <w:t xml:space="preserve">e estratégia de gatilho (grim trigger) para sustentar o preço de monopólio. (a) Calcule o preço de monopólio e o lucro dividido por firma. (b) Calcule o ganho do desvio. (c) Determine o</w:t>
      </w:r>
      <w:r>
        <w:t xml:space="preserve"> </w:t>
      </w:r>
      <m:oMath>
        <m:r>
          <m:t>δ</m:t>
        </m:r>
      </m:oMath>
      <w:r>
        <w:t xml:space="preserve"> </w:t>
      </w:r>
      <w:r>
        <w:t xml:space="preserve">mínimo para sustentação da colusão.</w:t>
      </w:r>
    </w:p>
    <w:p>
      <w:pPr>
        <w:pStyle w:val="BlockText"/>
      </w:pPr>
      <w:r>
        <w:rPr>
          <w:b/>
          <w:bCs/>
        </w:rPr>
        <w:t xml:space="preserve">Resolução.</w:t>
      </w:r>
    </w:p>
    <w:p>
      <w:pPr>
        <w:pStyle w:val="BlockText"/>
      </w:pPr>
      <w:r>
        <w:rPr>
          <w:b/>
          <w:bCs/>
        </w:rPr>
        <w:t xml:space="preserve">(a) Preço de monopólio e lucro dividido.</w:t>
      </w:r>
    </w:p>
    <w:p>
      <w:pPr>
        <w:pStyle w:val="BlockText"/>
      </w:pPr>
      <w:r>
        <w:t xml:space="preserve">O monopolista maximiza</w:t>
      </w:r>
      <w:r>
        <w:t xml:space="preserve"> </w:t>
      </w:r>
      <m:oMath>
        <m:r>
          <m:t>π</m:t>
        </m:r>
        <m:r>
          <m:rPr>
            <m:sty m:val="p"/>
          </m:rPr>
          <m:t>=</m:t>
        </m:r>
        <m:r>
          <m:rPr>
            <m:sty m:val="p"/>
          </m:rPr>
          <m:t>(</m:t>
        </m:r>
        <m:r>
          <m:t>p</m:t>
        </m:r>
        <m:r>
          <m:rPr>
            <m:sty m:val="p"/>
          </m:rPr>
          <m:t>−</m:t>
        </m:r>
        <m:r>
          <m:t>20</m:t>
        </m:r>
        <m:r>
          <m:rPr>
            <m:sty m:val="p"/>
          </m:rPr>
          <m:t>)</m:t>
        </m:r>
        <m:r>
          <m:rPr>
            <m:sty m:val="p"/>
          </m:rPr>
          <m:t>(</m:t>
        </m:r>
        <m:r>
          <m:t>200</m:t>
        </m:r>
        <m:r>
          <m:rPr>
            <m:sty m:val="p"/>
          </m:rPr>
          <m:t>−</m:t>
        </m:r>
        <m:r>
          <m:t>p</m:t>
        </m:r>
        <m:r>
          <m:rPr>
            <m:sty m:val="p"/>
          </m:rPr>
          <m:t>)</m:t>
        </m:r>
      </m:oMath>
      <w:r>
        <w:t xml:space="preserve">. CPO:</w:t>
      </w:r>
      <w:r>
        <w:t xml:space="preserve"> </w:t>
      </w:r>
      <m:oMath>
        <m:r>
          <m:t>200</m:t>
        </m:r>
        <m:r>
          <m:rPr>
            <m:sty m:val="p"/>
          </m:rPr>
          <m:t>−</m:t>
        </m:r>
        <m:r>
          <m:t>2</m:t>
        </m:r>
        <m:r>
          <m:t>p</m:t>
        </m:r>
        <m:r>
          <m:rPr>
            <m:sty m:val="p"/>
          </m:rPr>
          <m:t>+</m:t>
        </m:r>
        <m:r>
          <m:t>20</m:t>
        </m:r>
        <m:r>
          <m:rPr>
            <m:sty m:val="p"/>
          </m:rPr>
          <m:t>=</m:t>
        </m:r>
        <m:r>
          <m:t>0</m:t>
        </m:r>
        <m:r>
          <m:rPr>
            <m:sty m:val="p"/>
          </m:rPr>
          <m:t>⟹</m:t>
        </m:r>
        <m:sSup>
          <m:e>
            <m:r>
              <m:t>p</m:t>
            </m:r>
          </m:e>
          <m:sup>
            <m:r>
              <m:t>m</m:t>
            </m:r>
          </m:sup>
        </m:sSup>
        <m:r>
          <m:rPr>
            <m:sty m:val="p"/>
          </m:rPr>
          <m:t>=</m:t>
        </m:r>
        <m:r>
          <m:t>110</m:t>
        </m:r>
      </m:oMath>
      <w:r>
        <w:t xml:space="preserve">.</w:t>
      </w:r>
    </w:p>
    <w:p>
      <w:pPr>
        <w:pStyle w:val="BlockText"/>
      </w:pPr>
      <w:r>
        <w:t xml:space="preserve">$$</w:t>
      </w:r>
    </w:p>
    <w:p>
      <w:pPr>
        <w:pStyle w:val="BlockText"/>
      </w:pPr>
      <w:r>
        <w:t xml:space="preserve">Q^m = 90,</w:t>
      </w:r>
      <w:r>
        <w:t xml:space="preserve"> </w:t>
      </w:r>
      <w:r>
        <w:t xml:space="preserve">^m = 90</w:t>
      </w:r>
      <w:r>
        <w:t xml:space="preserve"> </w:t>
      </w:r>
      <w:r>
        <w:t xml:space="preserve"> </w:t>
      </w:r>
      <w:r>
        <w:t xml:space="preserve">= 8.100</w:t>
      </w:r>
    </w:p>
    <w:p>
      <w:pPr>
        <w:pStyle w:val="BlockText"/>
      </w:pPr>
      <w:r>
        <w:t xml:space="preserve">$$</w:t>
      </w:r>
    </w:p>
    <w:p>
      <w:pPr>
        <w:pStyle w:val="BlockText"/>
      </w:pPr>
      <w:r>
        <w:t xml:space="preserve">Lucro dividido por firma (com 3 firmas):</w:t>
      </w:r>
      <w:r>
        <w:t xml:space="preserve"> </w:t>
      </w:r>
      <m:oMath>
        <m:sSup>
          <m:e>
            <m:r>
              <m:t>π</m:t>
            </m:r>
          </m:e>
          <m:sup>
            <m:r>
              <m:t>m</m:t>
            </m:r>
          </m:sup>
        </m:sSup>
        <m:r>
          <m:rPr>
            <m:sty m:val="p"/>
          </m:rPr>
          <m:t>/</m:t>
        </m:r>
        <m:r>
          <m:t>3</m:t>
        </m:r>
        <m:r>
          <m:rPr>
            <m:sty m:val="p"/>
          </m:rPr>
          <m:t>=</m:t>
        </m:r>
        <m:r>
          <m:t>2.700</m:t>
        </m:r>
      </m:oMath>
      <w:r>
        <w:t xml:space="preserve">.</w:t>
      </w:r>
    </w:p>
    <w:p>
      <w:pPr>
        <w:pStyle w:val="BlockText"/>
      </w:pPr>
      <w:r>
        <w:rPr>
          <w:b/>
          <w:bCs/>
        </w:rPr>
        <w:t xml:space="preserve">(b) Ganho do desvio.</w:t>
      </w:r>
    </w:p>
    <w:p>
      <w:pPr>
        <w:pStyle w:val="BlockText"/>
      </w:pPr>
      <w:r>
        <w:t xml:space="preserve">Ao desviar (cobrando</w:t>
      </w:r>
      <w:r>
        <w:t xml:space="preserve"> </w:t>
      </w:r>
      <m:oMath>
        <m:sSup>
          <m:e>
            <m:r>
              <m:t>p</m:t>
            </m:r>
          </m:e>
          <m:sup>
            <m:r>
              <m:t>m</m:t>
            </m:r>
          </m:sup>
        </m:sSup>
        <m:r>
          <m:rPr>
            <m:sty m:val="p"/>
          </m:rPr>
          <m:t>−</m:t>
        </m:r>
        <m:r>
          <m:t>ϵ</m:t>
        </m:r>
      </m:oMath>
      <w:r>
        <w:t xml:space="preserve">), a firma captura toda a demanda e obtém aproximadamente</w:t>
      </w:r>
      <w:r>
        <w:t xml:space="preserve"> </w:t>
      </w:r>
      <m:oMath>
        <m:sSup>
          <m:e>
            <m:r>
              <m:t>π</m:t>
            </m:r>
          </m:e>
          <m:sup>
            <m:r>
              <m:t>m</m:t>
            </m:r>
          </m:sup>
        </m:sSup>
        <m:r>
          <m:rPr>
            <m:sty m:val="p"/>
          </m:rPr>
          <m:t>=</m:t>
        </m:r>
        <m:r>
          <m:t>8.100</m:t>
        </m:r>
      </m:oMath>
      <w:r>
        <w:t xml:space="preserve"> </w:t>
      </w:r>
      <w:r>
        <w:t xml:space="preserve">no período do desvio. A partir do período seguinte, todas as firmas revertem para</w:t>
      </w:r>
      <w:r>
        <w:t xml:space="preserve"> </w:t>
      </w:r>
      <m:oMath>
        <m:r>
          <m:t>p</m:t>
        </m:r>
        <m:r>
          <m:rPr>
            <m:sty m:val="p"/>
          </m:rPr>
          <m:t>=</m:t>
        </m:r>
        <m:r>
          <m:t>c</m:t>
        </m:r>
        <m:r>
          <m:rPr>
            <m:sty m:val="p"/>
          </m:rPr>
          <m:t>=</m:t>
        </m:r>
        <m:r>
          <m:t>20</m:t>
        </m:r>
      </m:oMath>
      <w:r>
        <w:t xml:space="preserve"> </w:t>
      </w:r>
      <w:r>
        <w:t xml:space="preserve">e o lucro é zero.</w:t>
      </w:r>
    </w:p>
    <w:p>
      <w:pPr>
        <w:pStyle w:val="BlockText"/>
      </w:pPr>
      <w:r>
        <w:rPr>
          <w:b/>
          <w:bCs/>
        </w:rPr>
        <w:t xml:space="preserve">(c)</w:t>
      </w:r>
      <w:r>
        <w:rPr>
          <w:b/>
          <w:bCs/>
        </w:rPr>
        <w:t xml:space="preserve"> </w:t>
      </w:r>
      <m:oMath>
        <m:r>
          <m:t>δ</m:t>
        </m:r>
      </m:oMath>
      <w:r>
        <w:rPr>
          <w:b/>
          <w:bCs/>
        </w:rPr>
        <w:t xml:space="preserve"> </w:t>
      </w:r>
      <w:r>
        <w:rPr>
          <w:b/>
          <w:bCs/>
        </w:rPr>
        <w:t xml:space="preserve">mínimo.</w:t>
      </w:r>
    </w:p>
    <w:p>
      <w:pPr>
        <w:pStyle w:val="BlockText"/>
      </w:pPr>
      <w:r>
        <w:t xml:space="preserve">A colusão é sustentável se o valor presente de cooperar supera o valor de desviar:</w:t>
      </w:r>
    </w:p>
    <w:p>
      <w:pPr>
        <w:pStyle w:val="BlockText"/>
      </w:pPr>
      <w:r>
        <w:t xml:space="preserve">$$</w:t>
      </w:r>
    </w:p>
    <w:p>
      <w:pPr>
        <w:pStyle w:val="BlockText"/>
      </w:pPr>
      <w:r>
        <w:t xml:space="preserve"> </w:t>
      </w:r>
      <w:r>
        <w:t xml:space="preserve">^m + 0</w:t>
      </w:r>
    </w:p>
    <w:p>
      <w:pPr>
        <w:pStyle w:val="BlockText"/>
      </w:pPr>
      <w:r>
        <w:t xml:space="preserve">$$</w:t>
      </w:r>
    </w:p>
    <w:p>
      <w:pPr>
        <w:pStyle w:val="BlockText"/>
      </w:pPr>
      <w:r>
        <w:t xml:space="preserve">$$</w:t>
      </w:r>
    </w:p>
    <w:p>
      <w:pPr>
        <w:pStyle w:val="BlockText"/>
      </w:pPr>
      <w:r>
        <w:t xml:space="preserve"> </w:t>
      </w:r>
      <w:r>
        <w:t xml:space="preserve"> </w:t>
      </w:r>
      <w:r>
        <w:t xml:space="preserve"> </w:t>
      </w:r>
      <w:r>
        <w:t xml:space="preserve"> </w:t>
      </w:r>
      <w:r>
        <w:t xml:space="preserve">-</w:t>
      </w:r>
      <w:r>
        <w:t xml:space="preserve"> </w:t>
      </w:r>
    </w:p>
    <w:p>
      <w:pPr>
        <w:pStyle w:val="BlockText"/>
      </w:pPr>
      <w:r>
        <w:t xml:space="preserve">$$</w:t>
      </w:r>
    </w:p>
    <w:p>
      <w:pPr>
        <w:pStyle w:val="BlockText"/>
      </w:pPr>
      <w:r>
        <w:t xml:space="preserve">Isso confirma a fórmula geral</w:t>
      </w:r>
      <w:r>
        <w:t xml:space="preserve"> </w:t>
      </w:r>
      <m:oMath>
        <m:r>
          <m:t>δ</m:t>
        </m:r>
        <m:r>
          <m:rPr>
            <m:sty m:val="p"/>
          </m:rPr>
          <m:t>≥</m:t>
        </m:r>
        <m:r>
          <m:t>1</m:t>
        </m:r>
        <m:r>
          <m:rPr>
            <m:sty m:val="p"/>
          </m:rPr>
          <m:t>−</m:t>
        </m:r>
        <m:r>
          <m:t>1</m:t>
        </m:r>
        <m:r>
          <m:rPr>
            <m:sty m:val="p"/>
          </m:rPr>
          <m:t>/</m:t>
        </m:r>
        <m:r>
          <m:t>n</m:t>
        </m:r>
      </m:oMath>
      <w:r>
        <w:t xml:space="preserve">: com</w:t>
      </w:r>
      <w:r>
        <w:t xml:space="preserve"> </w:t>
      </w:r>
      <m:oMath>
        <m:r>
          <m:t>n</m:t>
        </m:r>
        <m:r>
          <m:rPr>
            <m:sty m:val="p"/>
          </m:rPr>
          <m:t>=</m:t>
        </m:r>
        <m:r>
          <m:t>3</m:t>
        </m:r>
      </m:oMath>
      <w:r>
        <w:t xml:space="preserve">,</w:t>
      </w:r>
      <w:r>
        <w:t xml:space="preserve"> </w:t>
      </w:r>
      <m:oMath>
        <m:r>
          <m:t>δ</m:t>
        </m:r>
        <m:r>
          <m:rPr>
            <m:sty m:val="p"/>
          </m:rPr>
          <m:t>≥</m:t>
        </m:r>
        <m:r>
          <m:t>2</m:t>
        </m:r>
        <m:r>
          <m:rPr>
            <m:sty m:val="p"/>
          </m:rPr>
          <m:t>/</m:t>
        </m:r>
        <m:r>
          <m:t>3</m:t>
        </m:r>
      </m:oMath>
      <w:r>
        <w:t xml:space="preserve">. Note que com 2 firmas bastaria</w:t>
      </w:r>
      <w:r>
        <w:t xml:space="preserve"> </w:t>
      </w:r>
      <m:oMath>
        <m:r>
          <m:t>δ</m:t>
        </m:r>
        <m:r>
          <m:rPr>
            <m:sty m:val="p"/>
          </m:rPr>
          <m:t>≥</m:t>
        </m:r>
        <m:r>
          <m:t>1</m:t>
        </m:r>
        <m:r>
          <m:rPr>
            <m:sty m:val="p"/>
          </m:rPr>
          <m:t>/</m:t>
        </m:r>
        <m:r>
          <m:t>2</m:t>
        </m:r>
      </m:oMath>
      <w:r>
        <w:t xml:space="preserve">; com 3 firmas a colusão exige mais paciência. Quanto mais firmas no cartel, mais difícil sustentá-lo — cada firma tem incentivo maior para desviar, pois captura toda a demanda ao invés de apenas</w:t>
      </w:r>
      <w:r>
        <w:t xml:space="preserve"> </w:t>
      </w:r>
      <m:oMath>
        <m:r>
          <m:t>1</m:t>
        </m:r>
        <m:r>
          <m:rPr>
            <m:sty m:val="p"/>
          </m:rPr>
          <m:t>/</m:t>
        </m:r>
        <m:r>
          <m:t>n</m:t>
        </m:r>
      </m:oMath>
      <w:r>
        <w:t xml:space="preserve"> </w:t>
      </w:r>
      <w:r>
        <w:t xml:space="preserve">dela.</w:t>
      </w:r>
    </w:p>
    <w:p>
      <w:pPr>
        <w:pStyle w:val="FirstParagraph"/>
      </w:pPr>
      <w:r>
        <w:t xml:space="preserve">[FIGURA INTERATIVA: /micro-book/graficos/cap16/webr-colusao.html — versao interativa disponivel online]</w:t>
      </w:r>
    </w:p>
    <w:p>
      <w:pPr>
        <w:pStyle w:val="BodyText"/>
      </w:pPr>
      <w:r>
        <w:rPr>
          <w:b/>
          <w:bCs/>
        </w:rPr>
        <w:t xml:space="preserve">WebR 16b.1 — Sustentação de colusão com trigger strategy.</w:t>
      </w:r>
      <w:r>
        <w:t xml:space="preserve"> </w:t>
      </w:r>
      <w:r>
        <w:t xml:space="preserve">Explore como o</w:t>
      </w:r>
      <w:r>
        <w:t xml:space="preserve"> </w:t>
      </w:r>
      <m:oMath>
        <m:r>
          <m:t>δ</m:t>
        </m:r>
      </m:oMath>
      <w:r>
        <w:t xml:space="preserve"> </w:t>
      </w:r>
      <w:r>
        <w:t xml:space="preserve">mínimo cresce com o número de firmas e compare o valor presente de cooperar vs. desviar ao longo do tempo.</w:t>
      </w:r>
    </w:p>
    <w:p>
      <w:r>
        <w:pict>
          <v:rect style="width:0;height:1.5pt" o:hralign="center" o:hrstd="t" o:hr="t"/>
        </w:pict>
      </w:r>
    </w:p>
    <w:bookmarkEnd w:id="1045"/>
    <w:bookmarkStart w:id="1046" w:name="exercícios-21"/>
    <w:p>
      <w:pPr>
        <w:pStyle w:val="Heading3"/>
      </w:pPr>
      <w:r>
        <w:t xml:space="preserve">Exercícios</w:t>
      </w:r>
    </w:p>
    <w:p>
      <w:pPr>
        <w:pStyle w:val="BlockText"/>
      </w:pPr>
      <w:r>
        <w:rPr>
          <w:b/>
          <w:bCs/>
        </w:rPr>
        <w:t xml:space="preserve">[EXERCICIO PROPOSTO] Exercício 16b.1</w:t>
      </w:r>
    </w:p>
    <w:p>
      <w:pPr>
        <w:pStyle w:val="BlockText"/>
      </w:pPr>
      <w:r>
        <w:t xml:space="preserve">Considere o modelo de Cournot com</w:t>
      </w:r>
      <w:r>
        <w:t xml:space="preserve"> </w:t>
      </w:r>
      <m:oMath>
        <m:r>
          <m:t>n</m:t>
        </m:r>
      </m:oMath>
      <w:r>
        <w:t xml:space="preserve"> </w:t>
      </w:r>
      <w:r>
        <w:t xml:space="preserve">firmas idênticas, demanda</w:t>
      </w:r>
      <w:r>
        <w:t xml:space="preserve"> </w:t>
      </w:r>
      <m:oMath>
        <m:r>
          <m:t>p</m:t>
        </m:r>
        <m:r>
          <m:rPr>
            <m:sty m:val="p"/>
          </m:rPr>
          <m:t>=</m:t>
        </m:r>
        <m:r>
          <m:t>200</m:t>
        </m:r>
        <m:r>
          <m:rPr>
            <m:sty m:val="p"/>
          </m:rPr>
          <m:t>−</m:t>
        </m:r>
        <m:r>
          <m:t>Q</m:t>
        </m:r>
      </m:oMath>
      <w:r>
        <w:t xml:space="preserve"> </w:t>
      </w:r>
      <w:r>
        <w:t xml:space="preserve">e custo marginal</w:t>
      </w:r>
      <w:r>
        <w:t xml:space="preserve"> </w:t>
      </w:r>
      <m:oMath>
        <m:r>
          <m:t>c</m:t>
        </m:r>
        <m:r>
          <m:rPr>
            <m:sty m:val="p"/>
          </m:rPr>
          <m:t>=</m:t>
        </m:r>
        <m:r>
          <m:t>20</m:t>
        </m:r>
      </m:oMath>
      <w:r>
        <w:t xml:space="preserve">. O custo fixo de entrada é</w:t>
      </w:r>
      <w:r>
        <w:t xml:space="preserve"> </w:t>
      </w:r>
      <m:oMath>
        <m:r>
          <m:t>f</m:t>
        </m:r>
        <m:r>
          <m:rPr>
            <m:sty m:val="p"/>
          </m:rPr>
          <m:t>=</m:t>
        </m:r>
        <m:r>
          <m:t>400</m:t>
        </m:r>
      </m:oMath>
      <w:r>
        <w:t xml:space="preserve">.</w:t>
      </w:r>
    </w:p>
    <w:p>
      <w:pPr>
        <w:pStyle w:val="BlockText"/>
        <w:numPr>
          <w:ilvl w:val="0"/>
          <w:numId w:val="1918"/>
        </w:numPr>
      </w:pPr>
      <w:r>
        <w:t xml:space="preserve">Encontre preço, quantidade por firma e lucro por firma em função de</w:t>
      </w:r>
      <w:r>
        <w:t xml:space="preserve"> </w:t>
      </w:r>
      <m:oMath>
        <m:r>
          <m:t>n</m:t>
        </m:r>
      </m:oMath>
      <w:r>
        <w:t xml:space="preserve">.</w:t>
      </w:r>
    </w:p>
    <w:p>
      <w:pPr>
        <w:pStyle w:val="BlockText"/>
        <w:numPr>
          <w:ilvl w:val="0"/>
          <w:numId w:val="1918"/>
        </w:numPr>
      </w:pPr>
      <w:r>
        <w:t xml:space="preserve">Determine o número de firmas em equilíbrio de entrada livre.</w:t>
      </w:r>
    </w:p>
    <w:p>
      <w:pPr>
        <w:pStyle w:val="BlockText"/>
        <w:numPr>
          <w:ilvl w:val="0"/>
          <w:numId w:val="1918"/>
        </w:numPr>
      </w:pPr>
      <w:r>
        <w:t xml:space="preserve">Calcule o número socialmente ótimo de firmas (que maximiza o excedente total menos os custos fixos totais). Há excesso de entrada?</w:t>
      </w:r>
    </w:p>
    <w:p>
      <w:pPr>
        <w:pStyle w:val="BlockText"/>
      </w:pPr>
      <w:r>
        <w:t xml:space="preserve">Ver solução (Cap. 16)</w:t>
      </w:r>
    </w:p>
    <w:p>
      <w:pPr>
        <w:pStyle w:val="BlockText"/>
      </w:pPr>
      <w:r>
        <w:rPr>
          <w:b/>
          <w:bCs/>
        </w:rPr>
        <w:t xml:space="preserve">[EXERCICIO PROPOSTO] Exercício 16b.2</w:t>
      </w:r>
    </w:p>
    <w:p>
      <w:pPr>
        <w:pStyle w:val="BlockText"/>
      </w:pPr>
      <w:r>
        <w:t xml:space="preserve">Duas firmas jogam um jogo de Bertrand repetido infinitamente com fator de desconto</w:t>
      </w:r>
      <w:r>
        <w:t xml:space="preserve"> </w:t>
      </w:r>
      <m:oMath>
        <m:r>
          <m:t>δ</m:t>
        </m:r>
      </m:oMath>
      <w:r>
        <w:t xml:space="preserve">. A demanda de mercado é</w:t>
      </w:r>
      <w:r>
        <w:t xml:space="preserve"> </w:t>
      </w:r>
      <m:oMath>
        <m:r>
          <m:t>Q</m:t>
        </m:r>
        <m:r>
          <m:rPr>
            <m:sty m:val="p"/>
          </m:rPr>
          <m:t>=</m:t>
        </m:r>
        <m:r>
          <m:t>100</m:t>
        </m:r>
        <m:r>
          <m:rPr>
            <m:sty m:val="p"/>
          </m:rPr>
          <m:t>−</m:t>
        </m:r>
        <m:r>
          <m:t>p</m:t>
        </m:r>
      </m:oMath>
      <w:r>
        <w:t xml:space="preserve"> </w:t>
      </w:r>
      <w:r>
        <w:t xml:space="preserve">e o custo marginal é</w:t>
      </w:r>
      <w:r>
        <w:t xml:space="preserve"> </w:t>
      </w:r>
      <m:oMath>
        <m:r>
          <m:t>c</m:t>
        </m:r>
        <m:r>
          <m:rPr>
            <m:sty m:val="p"/>
          </m:rPr>
          <m:t>=</m:t>
        </m:r>
        <m:r>
          <m:t>40</m:t>
        </m:r>
      </m:oMath>
      <w:r>
        <w:t xml:space="preserve">. As firmas consideram usar uma estratégia de gatilho para sustentar o preço de monopólio.</w:t>
      </w:r>
    </w:p>
    <w:p>
      <w:pPr>
        <w:pStyle w:val="BlockText"/>
        <w:numPr>
          <w:ilvl w:val="0"/>
          <w:numId w:val="1919"/>
        </w:numPr>
      </w:pPr>
      <w:r>
        <w:t xml:space="preserve">Calcule o preço de monopólio e o lucro de monopólio dividido.</w:t>
      </w:r>
    </w:p>
    <w:p>
      <w:pPr>
        <w:pStyle w:val="BlockText"/>
        <w:numPr>
          <w:ilvl w:val="0"/>
          <w:numId w:val="1919"/>
        </w:numPr>
      </w:pPr>
      <w:r>
        <w:t xml:space="preserve">Determine o fator de desconto mínimo para que a colusão seja sustentável.</w:t>
      </w:r>
    </w:p>
    <w:p>
      <w:pPr>
        <w:pStyle w:val="BlockText"/>
        <w:numPr>
          <w:ilvl w:val="0"/>
          <w:numId w:val="1919"/>
        </w:numPr>
      </w:pPr>
      <w:r>
        <w:t xml:space="preserve">Como o resultado se altera se há três firmas ao invés de duas?</w:t>
      </w:r>
    </w:p>
    <w:p>
      <w:pPr>
        <w:pStyle w:val="BlockText"/>
      </w:pPr>
      <w:r>
        <w:t xml:space="preserve">Ver solução (Cap. 16)</w:t>
      </w:r>
    </w:p>
    <w:p>
      <w:pPr>
        <w:pStyle w:val="BlockText"/>
      </w:pPr>
      <w:r>
        <w:rPr>
          <w:b/>
          <w:bCs/>
        </w:rPr>
        <w:t xml:space="preserve">[EXERCICIO PROPOSTO] Exercício 16b.3</w:t>
      </w:r>
    </w:p>
    <w:p>
      <w:pPr>
        <w:pStyle w:val="BlockText"/>
      </w:pPr>
      <w:r>
        <w:t xml:space="preserve">Considere um mercado de competição monopolística com</w:t>
      </w:r>
      <w:r>
        <w:t xml:space="preserve"> </w:t>
      </w:r>
      <m:oMath>
        <m:r>
          <m:t>n</m:t>
        </m:r>
      </m:oMath>
      <w:r>
        <w:t xml:space="preserve"> </w:t>
      </w:r>
      <w:r>
        <w:t xml:space="preserve">firmas. Cada firma enfrenta demanda</w:t>
      </w:r>
      <w:r>
        <w:t xml:space="preserve"> </w:t>
      </w:r>
      <m:oMath>
        <m:sSub>
          <m:e>
            <m:r>
              <m:t>q</m:t>
            </m:r>
          </m:e>
          <m:sub>
            <m:r>
              <m:t>i</m:t>
            </m:r>
          </m:sub>
        </m:sSub>
        <m:r>
          <m:rPr>
            <m:sty m:val="p"/>
          </m:rPr>
          <m:t>=</m:t>
        </m:r>
        <m:r>
          <m:t>S</m:t>
        </m:r>
        <m:r>
          <m:rPr>
            <m:sty m:val="p"/>
          </m:rPr>
          <m:t>/</m:t>
        </m:r>
        <m:r>
          <m:t>n</m:t>
        </m:r>
        <m:r>
          <m:rPr>
            <m:sty m:val="p"/>
          </m:rPr>
          <m:t>−</m:t>
        </m:r>
        <m:r>
          <m:t>b</m:t>
        </m:r>
        <m:r>
          <m:rPr>
            <m:sty m:val="p"/>
          </m:rPr>
          <m:t>(</m:t>
        </m:r>
        <m:sSub>
          <m:e>
            <m:r>
              <m:t>p</m:t>
            </m:r>
          </m:e>
          <m:sub>
            <m:r>
              <m:t>i</m:t>
            </m:r>
          </m:sub>
        </m:sSub>
        <m:r>
          <m:rPr>
            <m:sty m:val="p"/>
          </m:rPr>
          <m:t>−</m:t>
        </m:r>
        <m:acc>
          <m:accPr>
            <m:chr m:val="‾"/>
          </m:accPr>
          <m:e>
            <m:r>
              <m:t>p</m:t>
            </m:r>
          </m:e>
        </m:acc>
        <m:r>
          <m:rPr>
            <m:sty m:val="p"/>
          </m:rPr>
          <m:t>)</m:t>
        </m:r>
      </m:oMath>
      <w:r>
        <w:t xml:space="preserve">, onde</w:t>
      </w:r>
      <w:r>
        <w:t xml:space="preserve"> </w:t>
      </w:r>
      <m:oMath>
        <m:r>
          <m:t>S</m:t>
        </m:r>
        <m:r>
          <m:rPr>
            <m:sty m:val="p"/>
          </m:rPr>
          <m:t>=</m:t>
        </m:r>
        <m:r>
          <m:t>1.000</m:t>
        </m:r>
      </m:oMath>
      <w:r>
        <w:t xml:space="preserve"> </w:t>
      </w:r>
      <w:r>
        <w:t xml:space="preserve">é o tamanho do mercado,</w:t>
      </w:r>
      <w:r>
        <w:t xml:space="preserve"> </w:t>
      </w:r>
      <m:oMath>
        <m:acc>
          <m:accPr>
            <m:chr m:val="‾"/>
          </m:accPr>
          <m:e>
            <m:r>
              <m:t>p</m:t>
            </m:r>
          </m:e>
        </m:acc>
      </m:oMath>
      <w:r>
        <w:t xml:space="preserve"> </w:t>
      </w:r>
      <w:r>
        <w:t xml:space="preserve">é o preço médio das rivais e</w:t>
      </w:r>
      <w:r>
        <w:t xml:space="preserve"> </w:t>
      </w:r>
      <m:oMath>
        <m:r>
          <m:t>b</m:t>
        </m:r>
        <m:r>
          <m:rPr>
            <m:sty m:val="p"/>
          </m:rPr>
          <m:t>=</m:t>
        </m:r>
        <m:r>
          <m:t>2</m:t>
        </m:r>
      </m:oMath>
      <w:r>
        <w:t xml:space="preserve">. O custo total de cada firma é</w:t>
      </w:r>
      <w:r>
        <w:t xml:space="preserve"> </w:t>
      </w:r>
      <m:oMath>
        <m:r>
          <m:t>C</m:t>
        </m:r>
        <m:r>
          <m:rPr>
            <m:sty m:val="p"/>
          </m:rPr>
          <m:t>(</m:t>
        </m:r>
        <m:r>
          <m:t>q</m:t>
        </m:r>
        <m:r>
          <m:rPr>
            <m:sty m:val="p"/>
          </m:rPr>
          <m:t>)</m:t>
        </m:r>
        <m:r>
          <m:rPr>
            <m:sty m:val="p"/>
          </m:rPr>
          <m:t>=</m:t>
        </m:r>
        <m:r>
          <m:t>100</m:t>
        </m:r>
        <m:r>
          <m:rPr>
            <m:sty m:val="p"/>
          </m:rPr>
          <m:t>+</m:t>
        </m:r>
        <m:r>
          <m:t>10</m:t>
        </m:r>
        <m:r>
          <m:t>q</m:t>
        </m:r>
      </m:oMath>
      <w:r>
        <w:t xml:space="preserve"> </w:t>
      </w:r>
      <w:r>
        <w:t xml:space="preserve">(custo fixo de 100, custo marginal de 10).</w:t>
      </w:r>
    </w:p>
    <w:p>
      <w:pPr>
        <w:pStyle w:val="BlockText"/>
        <w:numPr>
          <w:ilvl w:val="0"/>
          <w:numId w:val="1920"/>
        </w:numPr>
      </w:pPr>
      <w:r>
        <w:t xml:space="preserve">No equilíbrio simétrico de curto prazo (com</w:t>
      </w:r>
      <w:r>
        <w:t xml:space="preserve"> </w:t>
      </w:r>
      <m:oMath>
        <m:r>
          <m:t>n</m:t>
        </m:r>
      </m:oMath>
      <w:r>
        <w:t xml:space="preserve"> </w:t>
      </w:r>
      <w:r>
        <w:t xml:space="preserve">dado), encontre o preço e o lucro por firma em função de</w:t>
      </w:r>
      <w:r>
        <w:t xml:space="preserve"> </w:t>
      </w:r>
      <m:oMath>
        <m:r>
          <m:t>n</m:t>
        </m:r>
      </m:oMath>
      <w:r>
        <w:t xml:space="preserve">.</w:t>
      </w:r>
    </w:p>
    <w:p>
      <w:pPr>
        <w:pStyle w:val="BlockText"/>
        <w:numPr>
          <w:ilvl w:val="0"/>
          <w:numId w:val="1920"/>
        </w:numPr>
      </w:pPr>
      <w:r>
        <w:t xml:space="preserve">Determine o número de firmas no equilíbrio de longo prazo (lucro zero).</w:t>
      </w:r>
    </w:p>
    <w:p>
      <w:pPr>
        <w:pStyle w:val="BlockText"/>
        <w:numPr>
          <w:ilvl w:val="0"/>
          <w:numId w:val="1920"/>
        </w:numPr>
      </w:pPr>
      <w:r>
        <w:t xml:space="preserve">Verifique se há excesso de capacidade no equilíbrio de longo prazo.</w:t>
      </w:r>
    </w:p>
    <w:p>
      <w:pPr>
        <w:pStyle w:val="BlockText"/>
      </w:pPr>
      <w:r>
        <w:t xml:space="preserve">Ver solução (Cap. 16)</w:t>
      </w:r>
    </w:p>
    <w:p>
      <w:pPr>
        <w:pStyle w:val="BlockText"/>
      </w:pPr>
      <w:r>
        <w:rPr>
          <w:b/>
          <w:bCs/>
        </w:rPr>
        <w:t xml:space="preserve">[EXERCICIO PROPOSTO] Exercício 16b.4</w:t>
      </w:r>
    </w:p>
    <w:p>
      <w:pPr>
        <w:pStyle w:val="BlockText"/>
      </w:pPr>
      <w:r>
        <w:t xml:space="preserve">Um mercado tem 5 firmas com as seguintes participações de mercado: 35%, 25%, 20%, 12%, 8%.</w:t>
      </w:r>
    </w:p>
    <w:p>
      <w:pPr>
        <w:pStyle w:val="BlockText"/>
        <w:numPr>
          <w:ilvl w:val="0"/>
          <w:numId w:val="1921"/>
        </w:numPr>
      </w:pPr>
      <w:r>
        <w:t xml:space="preserve">Calcule o HHI do mercado. Classifique-o segundo os critérios do CADE/DOJ.</w:t>
      </w:r>
    </w:p>
    <w:p>
      <w:pPr>
        <w:pStyle w:val="BlockText"/>
        <w:numPr>
          <w:ilvl w:val="0"/>
          <w:numId w:val="1921"/>
        </w:numPr>
      </w:pPr>
      <w:r>
        <w:t xml:space="preserve">Se as duas maiores firmas se fundirem, qual será o novo HHI? A variação (ΔHHI) justificaria escrutínio detalhado?</w:t>
      </w:r>
    </w:p>
    <w:p>
      <w:pPr>
        <w:pStyle w:val="BlockText"/>
        <w:numPr>
          <w:ilvl w:val="0"/>
          <w:numId w:val="1921"/>
        </w:numPr>
      </w:pPr>
      <w:r>
        <w:t xml:space="preserve">Se a fusão gerar redução de custo marginal de 5% para a firma combinada, essa eficiência é suficiente para compensar o efeito anticompetitivo, assumindo demanda linear? Discuta qualitativamente.</w:t>
      </w:r>
    </w:p>
    <w:p>
      <w:pPr>
        <w:pStyle w:val="BlockText"/>
      </w:pPr>
      <w:r>
        <w:t xml:space="preserve">Ver solução (Cap. 16)</w:t>
      </w:r>
    </w:p>
    <w:p>
      <w:pPr>
        <w:pStyle w:val="BlockText"/>
      </w:pPr>
      <w:r>
        <w:rPr>
          <w:b/>
          <w:bCs/>
        </w:rPr>
        <w:t xml:space="preserve">[EXERCICIO PROPOSTO] Exercício 16b.5</w:t>
      </w:r>
    </w:p>
    <w:p>
      <w:pPr>
        <w:pStyle w:val="BlockText"/>
      </w:pPr>
      <w:r>
        <w:t xml:space="preserve">Duas firmas jogam um Bertrand repetido com fator de desconto</w:t>
      </w:r>
      <w:r>
        <w:t xml:space="preserve"> </w:t>
      </w:r>
      <m:oMath>
        <m:r>
          <m:t>δ</m:t>
        </m:r>
      </m:oMath>
      <w:r>
        <w:t xml:space="preserve">. A firma 1 tem custo marginal</w:t>
      </w:r>
      <w:r>
        <w:t xml:space="preserve"> </w:t>
      </w:r>
      <m:oMath>
        <m:sSub>
          <m:e>
            <m:r>
              <m:t>c</m:t>
            </m:r>
          </m:e>
          <m:sub>
            <m:r>
              <m:t>1</m:t>
            </m:r>
          </m:sub>
        </m:sSub>
        <m:r>
          <m:rPr>
            <m:sty m:val="p"/>
          </m:rPr>
          <m:t>=</m:t>
        </m:r>
        <m:r>
          <m:t>10</m:t>
        </m:r>
      </m:oMath>
      <w:r>
        <w:t xml:space="preserve"> </w:t>
      </w:r>
      <w:r>
        <w:t xml:space="preserve">e a firma 2 tem</w:t>
      </w:r>
      <w:r>
        <w:t xml:space="preserve"> </w:t>
      </w:r>
      <m:oMath>
        <m:sSub>
          <m:e>
            <m:r>
              <m:t>c</m:t>
            </m:r>
          </m:e>
          <m:sub>
            <m:r>
              <m:t>2</m:t>
            </m:r>
          </m:sub>
        </m:sSub>
        <m:r>
          <m:rPr>
            <m:sty m:val="p"/>
          </m:rPr>
          <m:t>=</m:t>
        </m:r>
        <m:r>
          <m:t>20</m:t>
        </m:r>
      </m:oMath>
      <w:r>
        <w:t xml:space="preserve">. A demanda é</w:t>
      </w:r>
      <w:r>
        <w:t xml:space="preserve"> </w:t>
      </w:r>
      <m:oMath>
        <m:r>
          <m:t>Q</m:t>
        </m:r>
        <m:r>
          <m:rPr>
            <m:sty m:val="p"/>
          </m:rPr>
          <m:t>=</m:t>
        </m:r>
        <m:r>
          <m:t>100</m:t>
        </m:r>
        <m:r>
          <m:rPr>
            <m:sty m:val="p"/>
          </m:rPr>
          <m:t>−</m:t>
        </m:r>
        <m:r>
          <m:t>p</m:t>
        </m:r>
      </m:oMath>
      <w:r>
        <w:t xml:space="preserve">.</w:t>
      </w:r>
    </w:p>
    <w:p>
      <w:pPr>
        <w:pStyle w:val="BlockText"/>
        <w:numPr>
          <w:ilvl w:val="0"/>
          <w:numId w:val="1922"/>
        </w:numPr>
      </w:pPr>
      <w:r>
        <w:t xml:space="preserve">Qual seria o preço de monopólio se as firmas coluidissem perfeitamente? (Use o menor custo marginal.)</w:t>
      </w:r>
    </w:p>
    <w:p>
      <w:pPr>
        <w:pStyle w:val="BlockText"/>
        <w:numPr>
          <w:ilvl w:val="0"/>
          <w:numId w:val="1922"/>
        </w:numPr>
      </w:pPr>
      <w:r>
        <w:t xml:space="preserve">Como as firmas dividiriam a produção no cartel? (Sugestão: a firma eficiente produz tudo.)</w:t>
      </w:r>
    </w:p>
    <w:p>
      <w:pPr>
        <w:pStyle w:val="BlockText"/>
        <w:numPr>
          <w:ilvl w:val="0"/>
          <w:numId w:val="1922"/>
        </w:numPr>
      </w:pPr>
      <w:r>
        <w:t xml:space="preserve">Determine o</w:t>
      </w:r>
      <w:r>
        <w:t xml:space="preserve"> </w:t>
      </w:r>
      <m:oMath>
        <m:r>
          <m:t>δ</m:t>
        </m:r>
      </m:oMath>
      <w:r>
        <w:t xml:space="preserve"> </w:t>
      </w:r>
      <w:r>
        <w:t xml:space="preserve">mínimo para que a colusão seja sustentável para cada firma. Qual firma tem maior incentivo para desviar?</w:t>
      </w:r>
    </w:p>
    <w:p>
      <w:pPr>
        <w:pStyle w:val="BlockText"/>
      </w:pPr>
      <w:r>
        <w:t xml:space="preserve">Ver solução (Cap. 16)</w:t>
      </w:r>
    </w:p>
    <w:p>
      <w:pPr>
        <w:pStyle w:val="BlockText"/>
      </w:pPr>
      <w:r>
        <w:rPr>
          <w:b/>
          <w:bCs/>
        </w:rPr>
        <w:t xml:space="preserve">[EXERCICIO PROPOSTO] Exercício 16b.6</w:t>
      </w:r>
    </w:p>
    <w:p>
      <w:pPr>
        <w:pStyle w:val="BlockText"/>
      </w:pPr>
      <w:r>
        <w:rPr>
          <w:i/>
          <w:iCs/>
        </w:rPr>
        <w:t xml:space="preserve">(Desafio)</w:t>
      </w:r>
      <w:r>
        <w:t xml:space="preserve"> </w:t>
      </w:r>
      <w:r>
        <w:t xml:space="preserve">Considere o modelo de Salop (cidade circular) com</w:t>
      </w:r>
      <w:r>
        <w:t xml:space="preserve"> </w:t>
      </w:r>
      <m:oMath>
        <m:r>
          <m:t>n</m:t>
        </m:r>
      </m:oMath>
      <w:r>
        <w:t xml:space="preserve"> </w:t>
      </w:r>
      <w:r>
        <w:t xml:space="preserve">firmas, perímetro 1, custo de transporte</w:t>
      </w:r>
      <w:r>
        <w:t xml:space="preserve"> </w:t>
      </w:r>
      <m:oMath>
        <m:r>
          <m:t>t</m:t>
        </m:r>
        <m:r>
          <m:rPr>
            <m:sty m:val="p"/>
          </m:rPr>
          <m:t>=</m:t>
        </m:r>
        <m:r>
          <m:t>1</m:t>
        </m:r>
      </m:oMath>
      <w:r>
        <w:t xml:space="preserve">, custo fixo</w:t>
      </w:r>
      <w:r>
        <w:t xml:space="preserve"> </w:t>
      </w:r>
      <m:oMath>
        <m:r>
          <m:t>f</m:t>
        </m:r>
      </m:oMath>
      <w:r>
        <w:t xml:space="preserve"> </w:t>
      </w:r>
      <w:r>
        <w:t xml:space="preserve">e custo marginal</w:t>
      </w:r>
      <w:r>
        <w:t xml:space="preserve"> </w:t>
      </w:r>
      <m:oMath>
        <m:r>
          <m:t>c</m:t>
        </m:r>
        <m:r>
          <m:rPr>
            <m:sty m:val="p"/>
          </m:rPr>
          <m:t>=</m:t>
        </m:r>
        <m:r>
          <m:t>0</m:t>
        </m:r>
      </m:oMath>
      <w:r>
        <w:t xml:space="preserve">.</w:t>
      </w:r>
    </w:p>
    <w:p>
      <w:pPr>
        <w:pStyle w:val="BlockText"/>
        <w:numPr>
          <w:ilvl w:val="0"/>
          <w:numId w:val="1923"/>
        </w:numPr>
      </w:pPr>
      <w:r>
        <w:t xml:space="preserve">Derive o preço de equilíbrio simétrico</w:t>
      </w:r>
      <w:r>
        <w:t xml:space="preserve"> </w:t>
      </w:r>
      <m:oMath>
        <m:sSup>
          <m:e>
            <m:r>
              <m:t>p</m:t>
            </m:r>
          </m:e>
          <m:sup>
            <m:r>
              <m:rPr>
                <m:sty m:val="p"/>
              </m:rPr>
              <m:t>*</m:t>
            </m:r>
          </m:sup>
        </m:sSup>
        <m:r>
          <m:rPr>
            <m:sty m:val="p"/>
          </m:rPr>
          <m:t>(</m:t>
        </m:r>
        <m:r>
          <m:t>n</m:t>
        </m:r>
        <m:r>
          <m:rPr>
            <m:sty m:val="p"/>
          </m:rPr>
          <m:t>)</m:t>
        </m:r>
      </m:oMath>
      <w:r>
        <w:t xml:space="preserve"> </w:t>
      </w:r>
      <w:r>
        <w:t xml:space="preserve">e o lucro por firma</w:t>
      </w:r>
      <w:r>
        <w:t xml:space="preserve"> </w:t>
      </w:r>
      <m:oMath>
        <m:sSup>
          <m:e>
            <m:r>
              <m:t>π</m:t>
            </m:r>
          </m:e>
          <m:sup>
            <m:r>
              <m:rPr>
                <m:sty m:val="p"/>
              </m:rPr>
              <m:t>*</m:t>
            </m:r>
          </m:sup>
        </m:sSup>
        <m:r>
          <m:rPr>
            <m:sty m:val="p"/>
          </m:rPr>
          <m:t>(</m:t>
        </m:r>
        <m:r>
          <m:t>n</m:t>
        </m:r>
        <m:r>
          <m:rPr>
            <m:sty m:val="p"/>
          </m:rPr>
          <m:t>)</m:t>
        </m:r>
      </m:oMath>
      <w:r>
        <w:t xml:space="preserve">.</w:t>
      </w:r>
    </w:p>
    <w:p>
      <w:pPr>
        <w:pStyle w:val="BlockText"/>
        <w:numPr>
          <w:ilvl w:val="0"/>
          <w:numId w:val="1923"/>
        </w:numPr>
      </w:pPr>
      <w:r>
        <w:t xml:space="preserve">Determine o número de firmas em equilíbrio de entrada livre</w:t>
      </w:r>
      <w:r>
        <w:t xml:space="preserve"> </w:t>
      </w:r>
      <m:oMath>
        <m:sSup>
          <m:e>
            <m:r>
              <m:t>n</m:t>
            </m:r>
          </m:e>
          <m:sup>
            <m:r>
              <m:rPr>
                <m:sty m:val="p"/>
              </m:rPr>
              <m:t>*</m:t>
            </m:r>
          </m:sup>
        </m:sSup>
      </m:oMath>
      <w:r>
        <w:t xml:space="preserve"> </w:t>
      </w:r>
      <w:r>
        <w:t xml:space="preserve">como função de</w:t>
      </w:r>
      <w:r>
        <w:t xml:space="preserve"> </w:t>
      </w:r>
      <m:oMath>
        <m:r>
          <m:t>f</m:t>
        </m:r>
      </m:oMath>
      <w:r>
        <w:t xml:space="preserve">.</w:t>
      </w:r>
    </w:p>
    <w:p>
      <w:pPr>
        <w:pStyle w:val="BlockText"/>
        <w:numPr>
          <w:ilvl w:val="0"/>
          <w:numId w:val="1923"/>
        </w:numPr>
      </w:pPr>
      <w:r>
        <w:t xml:space="preserve">Mostre que o número socialmente ótimo de firmas</w:t>
      </w:r>
      <w:r>
        <w:t xml:space="preserve"> </w:t>
      </w:r>
      <m:oMath>
        <m:sSup>
          <m:e>
            <m:r>
              <m:t>n</m:t>
            </m:r>
          </m:e>
          <m:sup>
            <m:r>
              <m:rPr>
                <m:sty m:val="p"/>
              </m:rPr>
              <m:t>*</m:t>
            </m:r>
            <m:r>
              <m:rPr>
                <m:sty m:val="p"/>
              </m:rPr>
              <m:t>*</m:t>
            </m:r>
          </m:sup>
        </m:sSup>
      </m:oMath>
      <w:r>
        <w:t xml:space="preserve"> </w:t>
      </w:r>
      <w:r>
        <w:t xml:space="preserve">(que minimiza a soma de custos fixos + custos de transporte) é</w:t>
      </w:r>
      <w:r>
        <w:t xml:space="preserve"> </w:t>
      </w:r>
      <m:oMath>
        <m:sSup>
          <m:e>
            <m:r>
              <m:t>n</m:t>
            </m:r>
          </m:e>
          <m:sup>
            <m:r>
              <m:rPr>
                <m:sty m:val="p"/>
              </m:rPr>
              <m:t>*</m:t>
            </m:r>
            <m:r>
              <m:rPr>
                <m:sty m:val="p"/>
              </m:rPr>
              <m:t>*</m:t>
            </m:r>
          </m:sup>
        </m:sSup>
        <m:r>
          <m:rPr>
            <m:sty m:val="p"/>
          </m:rPr>
          <m:t>=</m:t>
        </m:r>
        <m:sSup>
          <m:e>
            <m:r>
              <m:t>n</m:t>
            </m:r>
          </m:e>
          <m:sup>
            <m:r>
              <m:rPr>
                <m:sty m:val="p"/>
              </m:rPr>
              <m:t>*</m:t>
            </m:r>
          </m:sup>
        </m:sSup>
        <m:r>
          <m:rPr>
            <m:sty m:val="p"/>
          </m:rPr>
          <m:t>/</m:t>
        </m:r>
        <m:r>
          <m:t>2</m:t>
        </m:r>
      </m:oMath>
      <w:r>
        <w:t xml:space="preserve">. Há excesso de entrada?</w:t>
      </w:r>
    </w:p>
    <w:p>
      <w:pPr>
        <w:pStyle w:val="BlockText"/>
        <w:numPr>
          <w:ilvl w:val="0"/>
          <w:numId w:val="1923"/>
        </w:numPr>
      </w:pPr>
      <w:r>
        <w:t xml:space="preserve">Interprete: a entrada excessiva ocorre porque cada firma ignora uma externalidade. Qual é essa externalidade?</w:t>
      </w:r>
    </w:p>
    <w:p>
      <w:pPr>
        <w:pStyle w:val="BlockText"/>
      </w:pPr>
      <w:r>
        <w:t xml:space="preserve">Ver solução (Cap. 16)</w:t>
      </w:r>
    </w:p>
    <w:p>
      <w:r>
        <w:pict>
          <v:rect style="width:0;height:1.5pt" o:hralign="center" o:hrstd="t" o:hr="t"/>
        </w:pict>
      </w:r>
    </w:p>
    <w:bookmarkEnd w:id="1046"/>
    <w:bookmarkStart w:id="1047" w:name="vem-anpec-16"/>
    <w:p>
      <w:pPr>
        <w:pStyle w:val="Heading3"/>
      </w:pPr>
      <w:r>
        <w:t xml:space="preserve">Vem, ANPEC!</w:t>
      </w:r>
    </w:p>
    <w:p>
      <w:pPr>
        <w:pStyle w:val="BlockText"/>
      </w:pPr>
      <w:r>
        <w:rPr>
          <w:b/>
          <w:bCs/>
        </w:rPr>
        <w:t xml:space="preserve">[QUESTAO] ANPEC 2018 — Questão 09</w:t>
      </w:r>
    </w:p>
    <w:p>
      <w:pPr>
        <w:pStyle w:val="BlockText"/>
      </w:pPr>
      <w:r>
        <w:t xml:space="preserve">Julgue as afirmativas sobre concorrência monopolística e oligopólio:</w:t>
      </w:r>
    </w:p>
    <w:p>
      <w:pPr>
        <w:pStyle w:val="BlockText"/>
      </w:pPr>
      <w:r>
        <w:rPr>
          <w:b/>
          <w:bCs/>
        </w:rPr>
        <w:t xml:space="preserve">(0)</w:t>
      </w:r>
      <w:r>
        <w:t xml:space="preserve"> </w:t>
      </w:r>
      <w:r>
        <w:t xml:space="preserve">No modelo de demanda quebrada (kinked demand), se houver um aumento no custo marginal da firma, haverá necessariamente um aumento no preço cobrado pela firma.</w:t>
      </w:r>
    </w:p>
    <w:p>
      <w:pPr>
        <w:pStyle w:val="BlockText"/>
      </w:pPr>
      <w:r>
        <w:rPr>
          <w:b/>
          <w:bCs/>
        </w:rPr>
        <w:t xml:space="preserve">(1)</w:t>
      </w:r>
      <w:r>
        <w:t xml:space="preserve"> </w:t>
      </w:r>
      <w:r>
        <w:t xml:space="preserve">A sinalização de preços (price signaling) por uma firma líder em um oligopólio exige necessariamente um acordo explícito entre as firmas.</w:t>
      </w:r>
    </w:p>
    <w:p>
      <w:pPr>
        <w:pStyle w:val="BlockText"/>
      </w:pPr>
      <w:r>
        <w:rPr>
          <w:b/>
          <w:bCs/>
        </w:rPr>
        <w:t xml:space="preserve">(2)</w:t>
      </w:r>
      <w:r>
        <w:t xml:space="preserve"> </w:t>
      </w:r>
      <w:r>
        <w:t xml:space="preserve">A liderança de preços pode funcionar como mecanismo para que firmas oligopolistas superem o dilema dos prisioneiros.</w:t>
      </w:r>
    </w:p>
    <w:p>
      <w:pPr>
        <w:pStyle w:val="BlockText"/>
      </w:pPr>
      <w:r>
        <w:rPr>
          <w:b/>
          <w:bCs/>
        </w:rPr>
        <w:t xml:space="preserve">(3)</w:t>
      </w:r>
      <w:r>
        <w:t xml:space="preserve"> </w:t>
      </w:r>
      <w:r>
        <w:t xml:space="preserve">Em um duopólio de Cournot simétrico, o lucro de cada firma no equilíbrio de Nash é maior do que o lucro que cada firma obteria em um cartel (colusão perfeita) com divisão igualitária da produção.</w:t>
      </w:r>
    </w:p>
    <w:p>
      <w:pPr>
        <w:pStyle w:val="BlockText"/>
      </w:pPr>
      <w:r>
        <w:rPr>
          <w:b/>
          <w:bCs/>
        </w:rPr>
        <w:t xml:space="preserve">(4)</w:t>
      </w:r>
      <w:r>
        <w:t xml:space="preserve"> </w:t>
      </w:r>
      <w:r>
        <w:t xml:space="preserve">No modelo de concorrência monopolística, a livre entrada e saída de firmas implica que, no equilíbrio de longo prazo, cada firma opera com lucro econômico zero.</w:t>
      </w:r>
    </w:p>
    <w:p>
      <w:pPr>
        <w:pStyle w:val="BlockText"/>
      </w:pPr>
      <w:r>
        <w:t xml:space="preserve">??? success</w:t>
      </w:r>
      <w:r>
        <w:t xml:space="preserve"> </w:t>
      </w:r>
      <w:r>
        <w:t xml:space="preserve">“Gabarito”</w:t>
      </w:r>
      <w:r>
        <w:t xml:space="preserve"> </w:t>
      </w:r>
      <w:r>
        <w:rPr>
          <w:b/>
          <w:bCs/>
        </w:rPr>
        <w:t xml:space="preserve">(0) Falso.</w:t>
      </w:r>
      <w:r>
        <w:t xml:space="preserve"> </w:t>
      </w:r>
      <w:r>
        <w:t xml:space="preserve">No modelo de demanda quebrada, a curva de receita marginal possui uma descontinuidade (gap) no nível de produção corrente. Se o aumento do custo marginal for suficientemente pequeno, de modo que a nova curva de custo marginal ainda cruze a receita marginal dentro do gap, o preço ótimo não se altera. A demanda quebrada explica rigidez de preços: variações moderadas nos custos não provocam mudanças no preço.</w:t>
      </w:r>
    </w:p>
    <w:p>
      <w:pPr>
        <w:pStyle w:val="SourceCode"/>
      </w:pPr>
      <w:r>
        <w:rPr>
          <w:rStyle w:val="VerbatimChar"/>
        </w:rPr>
        <w:t xml:space="preserve">**(1) Falso.** A sinalização de preços ocorre quando uma firma (líder) anuncia publicamente mudanças de preço e as demais firmas seguem. Isso não requer acordo explícito — é um mecanismo de coordenação tácita.</w:t>
      </w:r>
      <w:r>
        <w:br/>
      </w:r>
      <w:r>
        <w:br/>
      </w:r>
      <w:r>
        <w:rPr>
          <w:rStyle w:val="VerbatimChar"/>
        </w:rPr>
        <w:t xml:space="preserve">**(2) Verdadeiro.** A liderança de preços funciona como um mecanismo de coordenação que permite às firmas convergirem para preços supracompetitivos sem acordo explícito, superando assim o dilema dos prisioneiros inerente à competição oligopolística.</w:t>
      </w:r>
      <w:r>
        <w:br/>
      </w:r>
      <w:r>
        <w:br/>
      </w:r>
      <w:r>
        <w:rPr>
          <w:rStyle w:val="VerbatimChar"/>
        </w:rPr>
        <w:t xml:space="preserve">**(3) Falso.** No cartel com divisão igualitária, cada firma produz $q^m/2$, onde $q^m$ é a quantidade de monopólio. O lucro por firma é $\pi^m/2$. No Cournot simétrico, o lucro por firma é $(a-c)^2/(9b)$, enquanto no cartel é $(a-c)^2/(8b)$. Como $1/9 &lt; 1/8$, o lucro de Cournot é menor do que o lucro do cartel, não maior.</w:t>
      </w:r>
      <w:r>
        <w:br/>
      </w:r>
      <w:r>
        <w:br/>
      </w:r>
      <w:r>
        <w:rPr>
          <w:rStyle w:val="VerbatimChar"/>
        </w:rPr>
        <w:t xml:space="preserve">**(4) Verdadeiro.** A livre entrada e saída é uma hipótese central do modelo de concorrência monopolística de Chamberlin. No equilíbrio de longo prazo, a entrada de novas firmas desloca a curva de demanda de cada firma incumbente para a esquerda até que a curva de demanda seja tangente à curva de custo médio, resultando em lucro econômico zero.</w:t>
      </w:r>
      <w:r>
        <w:br/>
      </w:r>
      <w:r>
        <w:br/>
      </w:r>
      <w:r>
        <w:rPr>
          <w:rStyle w:val="VerbatimChar"/>
        </w:rPr>
        <w:t xml:space="preserve">**Gabarito oficial: F-F-V-F-V**</w:t>
      </w:r>
    </w:p>
    <w:bookmarkEnd w:id="1047"/>
    <w:bookmarkEnd w:id="1048"/>
    <w:bookmarkStart w:id="1054" w:name="pesquisa-em-ação-capítulo-16b"/>
    <w:p>
      <w:pPr>
        <w:pStyle w:val="Heading2"/>
      </w:pPr>
      <w:r>
        <w:t xml:space="preserve">Pesquisa em Ação — Capítulo 16b</w:t>
      </w:r>
    </w:p>
    <w:bookmarkStart w:id="1051" w:name="pesquisa-em-ação-19"/>
    <w:p>
      <w:pPr>
        <w:pStyle w:val="Heading3"/>
      </w:pPr>
      <w:r>
        <w:t xml:space="preserve">Pesquisa em Ação</w:t>
      </w:r>
    </w:p>
    <w:p>
      <w:pPr>
        <w:pStyle w:val="BlockText"/>
      </w:pPr>
      <w:r>
        <w:rPr>
          <w:b/>
          <w:bCs/>
        </w:rPr>
        <w:t xml:space="preserve">[PESQUISA EM ACAO] De Figueiredo, J. N.; Silveira, B. S. (2017). Public Financing of Private Innovation: Evidence from the BNDES.</w:t>
      </w:r>
      <w:r>
        <w:rPr>
          <w:b/>
          <w:bCs/>
        </w:rPr>
        <w:t xml:space="preserve"> </w:t>
      </w:r>
      <w:r>
        <w:rPr>
          <w:b/>
          <w:bCs/>
          <w:i/>
          <w:iCs/>
        </w:rPr>
        <w:t xml:space="preserve">Journal of Public Economics</w:t>
      </w:r>
      <w:r>
        <w:rPr>
          <w:b/>
          <w:bCs/>
        </w:rPr>
        <w:t xml:space="preserve">, 155, 108–118.</w:t>
      </w:r>
    </w:p>
    <w:p>
      <w:pPr>
        <w:pStyle w:val="BlockText"/>
      </w:pPr>
      <w:r>
        <w:rPr>
          <w:b/>
          <w:bCs/>
        </w:rPr>
        <w:t xml:space="preserve">DOI:</w:t>
      </w:r>
      <w:r>
        <w:t xml:space="preserve"> </w:t>
      </w:r>
      <w:hyperlink r:id="rId1049">
        <w:r>
          <w:rPr>
            <w:rStyle w:val="Hyperlink"/>
          </w:rPr>
          <w:t xml:space="preserve">10.1016/j.jpubeco.2017.09.004</w:t>
        </w:r>
      </w:hyperlink>
    </w:p>
    <w:p>
      <w:pPr>
        <w:pStyle w:val="BlockText"/>
      </w:pPr>
      <w:r>
        <w:rPr>
          <w:b/>
          <w:bCs/>
        </w:rPr>
        <w:t xml:space="preserve">Pergunta central:</w:t>
      </w:r>
      <w:r>
        <w:t xml:space="preserve"> </w:t>
      </w:r>
      <w:r>
        <w:t xml:space="preserve">O financiamento subsidiado do BNDES para inovação tecnológica de firmas brasileiras efetivamente estimula P&amp;D, ou apenas substitui investimento que ocorreria de qualquer forma?</w:t>
      </w:r>
    </w:p>
    <w:p>
      <w:pPr>
        <w:pStyle w:val="BlockText"/>
      </w:pPr>
      <w:r>
        <w:rPr>
          <w:b/>
          <w:bCs/>
        </w:rPr>
        <w:t xml:space="preserve">Método:</w:t>
      </w:r>
      <w:r>
        <w:t xml:space="preserve"> </w:t>
      </w:r>
      <w:r>
        <w:t xml:space="preserve">Os autores exploram descontinuidades nas regras de elegibilidade do programa BNDES-Inovação para construir um design de regressão descontínua. Comparam firmas que obtiveram financiamento com firmas marginalmente rejeitadas em variáveis de resultado: gastos em P&amp;D, patentes registradas e produtividade.</w:t>
      </w:r>
    </w:p>
    <w:p>
      <w:pPr>
        <w:pStyle w:val="BlockText"/>
      </w:pPr>
      <w:r>
        <w:rPr>
          <w:b/>
          <w:bCs/>
        </w:rPr>
        <w:t xml:space="preserve">Resultado principal:</w:t>
      </w:r>
      <w:r>
        <w:t xml:space="preserve"> </w:t>
      </w:r>
      <w:r>
        <w:t xml:space="preserve">O financiamento do BNDES gerou aumento significativo nos gastos de P&amp;D (efeito adicionalidade), mas o efeito sobre patentes e produtividade foi menor e estatisticamente mais fraco. O resultado sugere que o subsídio estimula o insumo (gasto em pesquisa) mais do que o produto (inovação efetiva).</w:t>
      </w:r>
    </w:p>
    <w:p>
      <w:pPr>
        <w:pStyle w:val="BlockText"/>
      </w:pPr>
      <w:r>
        <w:rPr>
          <w:b/>
          <w:bCs/>
        </w:rPr>
        <w:t xml:space="preserve">Relevância para o capítulo:</w:t>
      </w:r>
      <w:r>
        <w:t xml:space="preserve"> </w:t>
      </w:r>
      <w:r>
        <w:t xml:space="preserve">O artigo conecta-se à Seção 16b.6 (Inovação sob oligopólio) e ao debate sobre política industrial. Em mercados oligopolísticos, a inovação é subinvestida do ponto de vista social (efeito Arrow/spillovers), justificando subsídios. Porém, a evidência de que o BNDES estimula gastos mais do que resultados levanta questões sobre o design ótimo de incentivos à inovação no Brasil.</w:t>
      </w:r>
    </w:p>
    <w:p>
      <w:pPr>
        <w:pStyle w:val="BlockText"/>
      </w:pPr>
      <w:r>
        <w:rPr>
          <w:b/>
          <w:bCs/>
        </w:rPr>
        <w:t xml:space="preserve">[PESQUISA EM ACAO] Harrington, J. E. (2006). Detecting Cartels. In:</w:t>
      </w:r>
      <w:r>
        <w:rPr>
          <w:b/>
          <w:bCs/>
        </w:rPr>
        <w:t xml:space="preserve"> </w:t>
      </w:r>
      <w:r>
        <w:rPr>
          <w:b/>
          <w:bCs/>
          <w:i/>
          <w:iCs/>
        </w:rPr>
        <w:t xml:space="preserve">Handbook of Industrial Organization</w:t>
      </w:r>
      <w:r>
        <w:rPr>
          <w:b/>
          <w:bCs/>
        </w:rPr>
        <w:t xml:space="preserve">, Vol. 3, M. Armstrong e R. Porter (eds.), Elsevier, 213–258.</w:t>
      </w:r>
    </w:p>
    <w:p>
      <w:pPr>
        <w:pStyle w:val="BlockText"/>
      </w:pPr>
      <w:r>
        <w:rPr>
          <w:b/>
          <w:bCs/>
        </w:rPr>
        <w:t xml:space="preserve">DOI:</w:t>
      </w:r>
      <w:r>
        <w:t xml:space="preserve"> </w:t>
      </w:r>
      <w:hyperlink r:id="rId1050">
        <w:r>
          <w:rPr>
            <w:rStyle w:val="Hyperlink"/>
          </w:rPr>
          <w:t xml:space="preserve">10.1016/S0169-7218(06)02032-9</w:t>
        </w:r>
      </w:hyperlink>
    </w:p>
    <w:p>
      <w:pPr>
        <w:pStyle w:val="BlockText"/>
      </w:pPr>
      <w:r>
        <w:rPr>
          <w:b/>
          <w:bCs/>
        </w:rPr>
        <w:t xml:space="preserve">Pergunta central:</w:t>
      </w:r>
      <w:r>
        <w:t xml:space="preserve"> </w:t>
      </w:r>
      <w:r>
        <w:t xml:space="preserve">Quais métodos econômicos podem ser usados por autoridades antitruste para detectar a existência de cartéis em mercados reais?</w:t>
      </w:r>
    </w:p>
    <w:p>
      <w:pPr>
        <w:pStyle w:val="BlockText"/>
      </w:pPr>
      <w:r>
        <w:rPr>
          <w:b/>
          <w:bCs/>
        </w:rPr>
        <w:t xml:space="preserve">Método:</w:t>
      </w:r>
      <w:r>
        <w:t xml:space="preserve"> </w:t>
      </w:r>
      <w:r>
        <w:t xml:space="preserve">Harrington revisa a literatura sobre detecção de cartéis, organizando os métodos em duas categorias: (i) análise de padrões de preços (variância, correlação, paralelismo); (ii) análise de padrões de licitação (rotação de vencedores, complementaridade de propostas). O capítulo também discute marcadores estruturais (poucos competidores, produto homogêneo, demanda inelástica) como indicadores de probabilidade de colusão.</w:t>
      </w:r>
    </w:p>
    <w:p>
      <w:pPr>
        <w:pStyle w:val="BlockText"/>
      </w:pPr>
      <w:r>
        <w:rPr>
          <w:b/>
          <w:bCs/>
        </w:rPr>
        <w:t xml:space="preserve">Resultado principal:</w:t>
      </w:r>
      <w:r>
        <w:t xml:space="preserve"> </w:t>
      </w:r>
      <w:r>
        <w:t xml:space="preserve">Nenhum método isolado é suficiente para provar colusão, mas a combinação de evidências econômicas (padrões de preço estatisticamente anômalos) com evidências comportamentais (comunicação entre firmas, paralelismo plus) pode fundamentar investigações. Programas de leniência continuam sendo a ferramenta mais eficaz para desvendar cartéis.</w:t>
      </w:r>
    </w:p>
    <w:p>
      <w:pPr>
        <w:pStyle w:val="BlockText"/>
      </w:pPr>
      <w:r>
        <w:rPr>
          <w:b/>
          <w:bCs/>
        </w:rPr>
        <w:t xml:space="preserve">Relevância para o capítulo:</w:t>
      </w:r>
      <w:r>
        <w:t xml:space="preserve"> </w:t>
      </w:r>
      <w:r>
        <w:t xml:space="preserve">O capítulo conecta diretamente a teoria da Seção 16b.1 (colusão e jogos repetidos) à prática antitruste. O Box Brasil sobre o cartel do metrô ilustra exatamente os mecanismos de detecção e enforcement discutidos por Harrington, e o programa de leniência do CADE segue os princípios teóricos de design de mecanismos para quebrar cartéis.</w:t>
      </w:r>
    </w:p>
    <w:p>
      <w:r>
        <w:pict>
          <v:rect style="width:0;height:1.5pt" o:hralign="center" o:hrstd="t" o:hr="t"/>
        </w:pict>
      </w:r>
    </w:p>
    <w:bookmarkEnd w:id="1051"/>
    <w:bookmarkStart w:id="1053" w:name="referências-do-capítulo-17"/>
    <w:p>
      <w:pPr>
        <w:pStyle w:val="Heading3"/>
      </w:pPr>
      <w:r>
        <w:t xml:space="preserve">Referências do Capítulo</w:t>
      </w:r>
    </w:p>
    <w:p>
      <w:pPr>
        <w:pStyle w:val="Compact"/>
        <w:numPr>
          <w:ilvl w:val="0"/>
          <w:numId w:val="1924"/>
        </w:numPr>
      </w:pPr>
      <w:r>
        <w:t xml:space="preserve">Chamberlin, Edward H. 1933.</w:t>
      </w:r>
      <w:r>
        <w:t xml:space="preserve"> </w:t>
      </w:r>
      <w:r>
        <w:rPr>
          <w:i/>
          <w:iCs/>
        </w:rPr>
        <w:t xml:space="preserve">The Theory of Monopolistic Competition</w:t>
      </w:r>
      <w:r>
        <w:t xml:space="preserve">. Cambridge: Harvard University Press.</w:t>
      </w:r>
    </w:p>
    <w:p>
      <w:pPr>
        <w:pStyle w:val="Compact"/>
        <w:numPr>
          <w:ilvl w:val="0"/>
          <w:numId w:val="1924"/>
        </w:numPr>
      </w:pPr>
      <w:r>
        <w:t xml:space="preserve">De Figueiredo, John N., e Bernardo S. Silveira. 2017.</w:t>
      </w:r>
      <w:r>
        <w:t xml:space="preserve"> </w:t>
      </w:r>
      <w:r>
        <w:t xml:space="preserve">“</w:t>
      </w:r>
      <w:hyperlink r:id="rId1049">
        <w:r>
          <w:rPr>
            <w:rStyle w:val="Hyperlink"/>
          </w:rPr>
          <w:t xml:space="preserve">Public Financing of Private Innovation: Evidence from the BNDES.</w:t>
        </w:r>
      </w:hyperlink>
      <w:r>
        <w:t xml:space="preserve">”</w:t>
      </w:r>
      <w:r>
        <w:t xml:space="preserve"> </w:t>
      </w:r>
      <w:r>
        <w:rPr>
          <w:i/>
          <w:iCs/>
        </w:rPr>
        <w:t xml:space="preserve">Journal of Public Economics</w:t>
      </w:r>
      <w:r>
        <w:t xml:space="preserve"> </w:t>
      </w:r>
      <w:r>
        <w:t xml:space="preserve">155: 108–118.</w:t>
      </w:r>
    </w:p>
    <w:p>
      <w:pPr>
        <w:pStyle w:val="Compact"/>
        <w:numPr>
          <w:ilvl w:val="0"/>
          <w:numId w:val="1924"/>
        </w:numPr>
      </w:pPr>
      <w:r>
        <w:t xml:space="preserve">Harrington, Joseph E. 2006.</w:t>
      </w:r>
      <w:r>
        <w:t xml:space="preserve"> </w:t>
      </w:r>
      <w:r>
        <w:t xml:space="preserve">“</w:t>
      </w:r>
      <w:hyperlink r:id="rId1050">
        <w:r>
          <w:rPr>
            <w:rStyle w:val="Hyperlink"/>
          </w:rPr>
          <w:t xml:space="preserve">Detecting Cartels.</w:t>
        </w:r>
      </w:hyperlink>
      <w:r>
        <w:t xml:space="preserve">”</w:t>
      </w:r>
      <w:r>
        <w:t xml:space="preserve"> </w:t>
      </w:r>
      <w:r>
        <w:t xml:space="preserve">In:</w:t>
      </w:r>
      <w:r>
        <w:t xml:space="preserve"> </w:t>
      </w:r>
      <w:r>
        <w:rPr>
          <w:i/>
          <w:iCs/>
        </w:rPr>
        <w:t xml:space="preserve">Handbook of Industrial Organization</w:t>
      </w:r>
      <w:r>
        <w:t xml:space="preserve">, Vol. 3, editado por M. Armstrong e R. Porter, 213–258. Elsevier.</w:t>
      </w:r>
    </w:p>
    <w:p>
      <w:pPr>
        <w:pStyle w:val="Compact"/>
        <w:numPr>
          <w:ilvl w:val="0"/>
          <w:numId w:val="1924"/>
        </w:numPr>
      </w:pPr>
      <w:r>
        <w:t xml:space="preserve">Motta, Massimo. 2004.</w:t>
      </w:r>
      <w:r>
        <w:t xml:space="preserve"> </w:t>
      </w:r>
      <w:hyperlink r:id="rId1052">
        <w:r>
          <w:rPr>
            <w:rStyle w:val="Hyperlink"/>
            <w:i/>
            <w:iCs/>
          </w:rPr>
          <w:t xml:space="preserve">Competition Policy: Theory and Practice</w:t>
        </w:r>
      </w:hyperlink>
      <w:r>
        <w:t xml:space="preserve">. Cambridge: Cambridge University Press.</w:t>
      </w:r>
    </w:p>
    <w:p>
      <w:pPr>
        <w:pStyle w:val="Compact"/>
        <w:numPr>
          <w:ilvl w:val="0"/>
          <w:numId w:val="1924"/>
        </w:numPr>
      </w:pPr>
      <w:r>
        <w:t xml:space="preserve">Tirole, Jean. 1988.</w:t>
      </w:r>
      <w:r>
        <w:t xml:space="preserve"> </w:t>
      </w:r>
      <w:hyperlink r:id="rId974">
        <w:r>
          <w:rPr>
            <w:rStyle w:val="Hyperlink"/>
            <w:i/>
            <w:iCs/>
          </w:rPr>
          <w:t xml:space="preserve">The Theory of Industrial Organization</w:t>
        </w:r>
      </w:hyperlink>
      <w:r>
        <w:t xml:space="preserve">. Cambridge: MIT Press.</w:t>
      </w:r>
    </w:p>
    <w:p>
      <w:pPr>
        <w:pStyle w:val="Compact"/>
        <w:numPr>
          <w:ilvl w:val="0"/>
          <w:numId w:val="1924"/>
        </w:numPr>
      </w:pPr>
      <w:r>
        <w:t xml:space="preserve">Williamson, Oliver E. 1968.</w:t>
      </w:r>
      <w:r>
        <w:t xml:space="preserve"> </w:t>
      </w:r>
      <w:r>
        <w:t xml:space="preserve">“Economies as an Antitrust Defense: The Welfare Tradeoffs.”</w:t>
      </w:r>
      <w:r>
        <w:t xml:space="preserve"> </w:t>
      </w:r>
      <w:r>
        <w:rPr>
          <w:i/>
          <w:iCs/>
        </w:rPr>
        <w:t xml:space="preserve">American Economic Review</w:t>
      </w:r>
      <w:r>
        <w:t xml:space="preserve"> </w:t>
      </w:r>
      <w:r>
        <w:t xml:space="preserve">58 (1): 18–36.</w:t>
      </w:r>
    </w:p>
    <w:bookmarkEnd w:id="1053"/>
    <w:bookmarkEnd w:id="1054"/>
    <w:bookmarkEnd w:id="1055"/>
    <w:bookmarkStart w:id="1127" w:name="Xfbbcf92fd3d7256d629d896814ee99581188e1c"/>
    <w:p>
      <w:pPr>
        <w:sectPr>
          <w:footnotePr>
            <w:numRestart w:val="eachSect"/>
          </w:footnotePr>
        </w:sectPr>
      </w:pPr>
    </w:p>
    <w:p>
      <w:pPr>
        <w:pStyle w:val="Heading1"/>
      </w:pPr>
      <w:r>
        <w:t xml:space="preserve">Capítulo 17 — O Salário Subiu e Você… Trabalhou Menos?</w:t>
      </w:r>
    </w:p>
    <w:p>
      <w:pPr>
        <w:pStyle w:val="FirstParagraph"/>
      </w:pPr>
      <w:r>
        <w:t xml:space="preserve">Todo dia, ao desligar o despertador, você enfrenta — conscientemente ou não — o dilema mais antigo da economia: vale a pena trocar mais uma hora de travesseiro por mais uma hora de salário? A renda do trabalho representa cerca de dois terços da renda nacional na maioria dos países, e as decisões sobre quanto trabalhar, que carreira seguir e como negociar salários afetam profundamente o bem-estar individual e coletivo. Neste capítulo, aplicamos as ferramentas da microeconomia — teoria do consumidor, equilíbrio de mercado e poder de mercado — ao estudo da oferta e da demanda de trabalho. Spoiler: a resposta para</w:t>
      </w:r>
      <w:r>
        <w:t xml:space="preserve"> </w:t>
      </w:r>
      <w:r>
        <w:t xml:space="preserve">“salário maior sempre faz a pessoa trabalhar mais”</w:t>
      </w:r>
      <w:r>
        <w:t xml:space="preserve"> </w:t>
      </w:r>
      <w:r>
        <w:t xml:space="preserve">é um sonoro</w:t>
      </w:r>
      <w:r>
        <w:t xml:space="preserve"> </w:t>
      </w:r>
      <w:r>
        <w:rPr>
          <w:i/>
          <w:iCs/>
        </w:rPr>
        <w:t xml:space="preserve">depende</w:t>
      </w:r>
      <w:r>
        <w:t xml:space="preserve">.</w:t>
      </w:r>
      <w:r>
        <w:rPr>
          <w:rStyle w:val="FootnoteReference"/>
        </w:rPr>
        <w:footnoteReference w:id="1056"/>
      </w:r>
    </w:p>
    <w:p>
      <w:pPr>
        <w:pStyle w:val="BodyText"/>
      </w:pPr>
      <w:r>
        <w:t xml:space="preserve">Partimos do modelo de alocação do tempo, no qual o indivíduo escolhe entre consumo e lazer, e derivamos rigorosamente a curva de oferta de trabalho. Em seguida, analisamos fenômenos como a curva de oferta backward-bending, o equilíbrio competitivo, os diferenciais salariais, o monopsônio e o papel dos sindicatos. Ao longo do capítulo, conectamos a teoria à realidade brasileira, marcada por elevada informalidade, desigualdade salarial e um debate persistente sobre os efeitos do salário mínimo.</w:t>
      </w:r>
    </w:p>
    <w:p>
      <w:r>
        <w:pict>
          <v:rect style="width:0;height:1.5pt" o:hralign="center" o:hrstd="t" o:hr="t"/>
        </w:pict>
      </w:r>
    </w:p>
    <w:bookmarkStart w:id="1057" w:name="roteiro-do-capítulo-10"/>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17.1</w:t>
            </w:r>
          </w:p>
        </w:tc>
        <w:tc>
          <w:tcPr/>
          <w:p>
            <w:pPr>
              <w:pStyle w:val="Compact"/>
            </w:pPr>
            <w:r>
              <w:t xml:space="preserve">Mais uma hora de sono ou mais uma hora de salário?</w:t>
            </w:r>
          </w:p>
        </w:tc>
        <w:tc>
          <w:tcPr/>
          <w:p>
            <w:pPr>
              <w:pStyle w:val="Compact"/>
            </w:pPr>
            <w:r>
              <w:t xml:space="preserve">Alocação do tempo, lazer vs. consumo</w:t>
            </w:r>
          </w:p>
        </w:tc>
        <w:tc>
          <w:tcPr/>
          <w:p>
            <w:pPr>
              <w:pStyle w:val="Compact"/>
              <w:jc w:val="center"/>
            </w:pPr>
            <w:r>
              <w:t xml:space="preserve">Alocação</w:t>
            </w:r>
          </w:p>
        </w:tc>
      </w:tr>
      <w:tr>
        <w:tc>
          <w:tcPr/>
          <w:p>
            <w:pPr>
              <w:pStyle w:val="Compact"/>
              <w:jc w:val="center"/>
            </w:pPr>
            <w:r>
              <w:t xml:space="preserve">17.2</w:t>
            </w:r>
          </w:p>
        </w:tc>
        <w:tc>
          <w:tcPr/>
          <w:p>
            <w:pPr>
              <w:pStyle w:val="Compact"/>
            </w:pPr>
            <w:r>
              <w:t xml:space="preserve">Como formalizar a decisão de quantas horas trabalhar?</w:t>
            </w:r>
          </w:p>
        </w:tc>
        <w:tc>
          <w:tcPr/>
          <w:p>
            <w:pPr>
              <w:pStyle w:val="Compact"/>
            </w:pPr>
            <w:r>
              <w:t xml:space="preserve">Oferta de trabalho, problema do consumidor-trabalhador</w:t>
            </w:r>
          </w:p>
        </w:tc>
        <w:tc>
          <w:tcPr/>
          <w:p>
            <w:pPr>
              <w:pStyle w:val="Compact"/>
              <w:jc w:val="center"/>
            </w:pPr>
            <w:r>
              <w:t xml:space="preserve">Oferta</w:t>
            </w:r>
          </w:p>
        </w:tc>
      </w:tr>
      <w:tr>
        <w:tc>
          <w:tcPr/>
          <w:p>
            <w:pPr>
              <w:pStyle w:val="Compact"/>
              <w:jc w:val="center"/>
            </w:pPr>
            <w:r>
              <w:t xml:space="preserve">17.3</w:t>
            </w:r>
          </w:p>
        </w:tc>
        <w:tc>
          <w:tcPr/>
          <w:p>
            <w:pPr>
              <w:pStyle w:val="Compact"/>
            </w:pPr>
            <w:r>
              <w:t xml:space="preserve">Ganhar mais pode fazer alguém trabalhar menos?</w:t>
            </w:r>
          </w:p>
        </w:tc>
        <w:tc>
          <w:tcPr/>
          <w:p>
            <w:pPr>
              <w:pStyle w:val="Compact"/>
            </w:pPr>
            <w:r>
              <w:t xml:space="preserve">Curva backward-bending, substituição vs. renda</w:t>
            </w:r>
          </w:p>
        </w:tc>
        <w:tc>
          <w:tcPr/>
          <w:p>
            <w:pPr>
              <w:pStyle w:val="Compact"/>
              <w:jc w:val="center"/>
            </w:pPr>
            <w:r>
              <w:t xml:space="preserve">Backward-bending</w:t>
            </w:r>
          </w:p>
        </w:tc>
      </w:tr>
      <w:tr>
        <w:tc>
          <w:tcPr/>
          <w:p>
            <w:pPr>
              <w:pStyle w:val="Compact"/>
              <w:jc w:val="center"/>
            </w:pPr>
            <w:r>
              <w:t xml:space="preserve">17.4</w:t>
            </w:r>
          </w:p>
        </w:tc>
        <w:tc>
          <w:tcPr/>
          <w:p>
            <w:pPr>
              <w:pStyle w:val="Compact"/>
            </w:pPr>
            <w:r>
              <w:t xml:space="preserve">Como somar milhões de decisões individuais numa oferta de mercado?</w:t>
            </w:r>
          </w:p>
        </w:tc>
        <w:tc>
          <w:tcPr/>
          <w:p>
            <w:pPr>
              <w:pStyle w:val="Compact"/>
            </w:pPr>
            <w:r>
              <w:t xml:space="preserve">Oferta agregada de trabalho</w:t>
            </w:r>
          </w:p>
        </w:tc>
        <w:tc>
          <w:tcPr/>
          <w:p>
            <w:pPr>
              <w:pStyle w:val="Compact"/>
              <w:jc w:val="center"/>
            </w:pPr>
            <w:r>
              <w:t xml:space="preserve">Agregação</w:t>
            </w:r>
          </w:p>
        </w:tc>
      </w:tr>
      <w:tr>
        <w:tc>
          <w:tcPr/>
          <w:p>
            <w:pPr>
              <w:pStyle w:val="Compact"/>
              <w:jc w:val="center"/>
            </w:pPr>
            <w:r>
              <w:t xml:space="preserve">17.5</w:t>
            </w:r>
          </w:p>
        </w:tc>
        <w:tc>
          <w:tcPr/>
          <w:p>
            <w:pPr>
              <w:pStyle w:val="Compact"/>
            </w:pPr>
            <w:r>
              <w:t xml:space="preserve">O que determina o salário de equilíbrio?</w:t>
            </w:r>
          </w:p>
        </w:tc>
        <w:tc>
          <w:tcPr/>
          <w:p>
            <w:pPr>
              <w:pStyle w:val="Compact"/>
            </w:pPr>
            <w:r>
              <w:t xml:space="preserve">Equilíbrio no mercado de trabalho</w:t>
            </w:r>
          </w:p>
        </w:tc>
        <w:tc>
          <w:tcPr/>
          <w:p>
            <w:pPr>
              <w:pStyle w:val="Compact"/>
              <w:jc w:val="center"/>
            </w:pPr>
            <w:r>
              <w:t xml:space="preserve">Equilíbrio</w:t>
            </w:r>
          </w:p>
        </w:tc>
      </w:tr>
      <w:tr>
        <w:tc>
          <w:tcPr/>
          <w:p>
            <w:pPr>
              <w:pStyle w:val="Compact"/>
              <w:jc w:val="center"/>
            </w:pPr>
            <w:r>
              <w:t xml:space="preserve">17.6</w:t>
            </w:r>
          </w:p>
        </w:tc>
        <w:tc>
          <w:tcPr/>
          <w:p>
            <w:pPr>
              <w:pStyle w:val="Compact"/>
            </w:pPr>
            <w:r>
              <w:t xml:space="preserve">Por que o médico ganha mais que o professor?</w:t>
            </w:r>
          </w:p>
        </w:tc>
        <w:tc>
          <w:tcPr/>
          <w:p>
            <w:pPr>
              <w:pStyle w:val="Compact"/>
            </w:pPr>
            <w:r>
              <w:t xml:space="preserve">Diferenciais compensatórios, capital humano</w:t>
            </w:r>
          </w:p>
        </w:tc>
        <w:tc>
          <w:tcPr/>
          <w:p>
            <w:pPr>
              <w:pStyle w:val="Compact"/>
              <w:jc w:val="center"/>
            </w:pPr>
            <w:r>
              <w:t xml:space="preserve">Diferenciais</w:t>
            </w:r>
          </w:p>
        </w:tc>
      </w:tr>
      <w:tr>
        <w:tc>
          <w:tcPr/>
          <w:p>
            <w:pPr>
              <w:pStyle w:val="Compact"/>
              <w:jc w:val="center"/>
            </w:pPr>
            <w:r>
              <w:t xml:space="preserve">17.7</w:t>
            </w:r>
          </w:p>
        </w:tc>
        <w:tc>
          <w:tcPr/>
          <w:p>
            <w:pPr>
              <w:pStyle w:val="Compact"/>
            </w:pPr>
            <w:r>
              <w:t xml:space="preserve">O que acontece quando só tem um patrão na cidade?</w:t>
            </w:r>
          </w:p>
        </w:tc>
        <w:tc>
          <w:tcPr/>
          <w:p>
            <w:pPr>
              <w:pStyle w:val="Compact"/>
            </w:pPr>
            <w:r>
              <w:t xml:space="preserve">Monopsônio, salário abaixo do PMg</w:t>
            </w:r>
          </w:p>
        </w:tc>
        <w:tc>
          <w:tcPr/>
          <w:p>
            <w:pPr>
              <w:pStyle w:val="Compact"/>
              <w:jc w:val="center"/>
            </w:pPr>
            <w:r>
              <w:t xml:space="preserve">Monopsônio</w:t>
            </w:r>
          </w:p>
        </w:tc>
      </w:tr>
      <w:tr>
        <w:tc>
          <w:tcPr/>
          <w:p>
            <w:pPr>
              <w:pStyle w:val="Compact"/>
              <w:jc w:val="center"/>
            </w:pPr>
            <w:r>
              <w:t xml:space="preserve">17.8</w:t>
            </w:r>
          </w:p>
        </w:tc>
        <w:tc>
          <w:tcPr/>
          <w:p>
            <w:pPr>
              <w:pStyle w:val="Compact"/>
            </w:pPr>
            <w:r>
              <w:t xml:space="preserve">O sindicato melhora ou piora o mercado de trabalho?</w:t>
            </w:r>
          </w:p>
        </w:tc>
        <w:tc>
          <w:tcPr/>
          <w:p>
            <w:pPr>
              <w:pStyle w:val="Compact"/>
            </w:pPr>
            <w:r>
              <w:t xml:space="preserve">Barganha salarial, modelos de sindicato</w:t>
            </w:r>
          </w:p>
        </w:tc>
        <w:tc>
          <w:tcPr/>
          <w:p>
            <w:pPr>
              <w:pStyle w:val="Compact"/>
              <w:jc w:val="center"/>
            </w:pPr>
            <w:r>
              <w:t xml:space="preserve">Sindicatos</w:t>
            </w:r>
          </w:p>
        </w:tc>
      </w:tr>
      <w:tr>
        <w:tc>
          <w:tcPr/>
          <w:p>
            <w:pPr>
              <w:pStyle w:val="Compact"/>
              <w:jc w:val="center"/>
            </w:pPr>
            <w:r>
              <w:t xml:space="preserve">17.9</w:t>
            </w:r>
          </w:p>
        </w:tc>
        <w:tc>
          <w:tcPr/>
          <w:p>
            <w:pPr>
              <w:pStyle w:val="Compact"/>
            </w:pPr>
            <w:r>
              <w:t xml:space="preserve">Subir o salário atrai mais trabalho ou mais lazer?</w:t>
            </w:r>
          </w:p>
        </w:tc>
        <w:tc>
          <w:tcPr/>
          <w:p>
            <w:pPr>
              <w:pStyle w:val="Compact"/>
            </w:pPr>
            <w:r>
              <w:t xml:space="preserve">Efeito substituição vs. renda na oferta de fatores</w:t>
            </w:r>
          </w:p>
        </w:tc>
        <w:tc>
          <w:tcPr/>
          <w:p>
            <w:pPr>
              <w:pStyle w:val="Compact"/>
              <w:jc w:val="center"/>
            </w:pPr>
            <w:r>
              <w:t xml:space="preserve">Substituição vs. renda</w:t>
            </w:r>
          </w:p>
        </w:tc>
      </w:tr>
      <w:tr>
        <w:tc>
          <w:tcPr/>
          <w:p>
            <w:pPr>
              <w:pStyle w:val="Compact"/>
              <w:jc w:val="center"/>
            </w:pPr>
            <w:r>
              <w:t xml:space="preserve">17.10</w:t>
            </w:r>
          </w:p>
        </w:tc>
        <w:tc>
          <w:tcPr/>
          <w:p>
            <w:pPr>
              <w:pStyle w:val="Compact"/>
            </w:pPr>
            <w:r>
              <w:t xml:space="preserve">Se a terra não vai a lugar nenhum, quem captura o valor?</w:t>
            </w:r>
          </w:p>
        </w:tc>
        <w:tc>
          <w:tcPr/>
          <w:p>
            <w:pPr>
              <w:pStyle w:val="Compact"/>
            </w:pPr>
            <w:r>
              <w:t xml:space="preserve">Renda da terra, recursos naturais</w:t>
            </w:r>
          </w:p>
        </w:tc>
        <w:tc>
          <w:tcPr/>
          <w:p>
            <w:pPr>
              <w:pStyle w:val="Compact"/>
              <w:jc w:val="center"/>
            </w:pPr>
            <w:r>
              <w:t xml:space="preserve">Terra</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p>
      <w:pPr>
        <w:pStyle w:val="BlockText"/>
      </w:pPr>
      <w:r>
        <w:rPr>
          <w:b/>
          <w:bCs/>
        </w:rPr>
        <w:t xml:space="preserve">[ATIVIDADE DE SALA] Atividade em Sala: O Mercado de Trabalho ao Vivo — Oferta, Monopsônio e Salário Mínimo</w:t>
      </w:r>
    </w:p>
    <w:p>
      <w:pPr>
        <w:pStyle w:val="BlockText"/>
      </w:pPr>
      <w:r>
        <w:rPr>
          <w:b/>
          <w:bCs/>
        </w:rPr>
        <w:t xml:space="preserve">Objetivo pedagógico:</w:t>
      </w:r>
      <w:r>
        <w:t xml:space="preserve"> </w:t>
      </w:r>
      <w:r>
        <w:t xml:space="preserve">Vivenciar como a estrutura de mercado (competitivo vs. monopsônio) afeta salários e emprego, e como o salário mínimo pode ter efeitos opostos dependendo do contexto.</w:t>
      </w:r>
    </w:p>
    <w:p>
      <w:pPr>
        <w:pStyle w:val="BlockText"/>
      </w:pPr>
      <w:r>
        <w:rPr>
          <w:b/>
          <w:bCs/>
        </w:rPr>
        <w:t xml:space="preserve">Materiais:</w:t>
      </w:r>
      <w:r>
        <w:t xml:space="preserve"> </w:t>
      </w:r>
      <w:r>
        <w:t xml:space="preserve">Cartões de</w:t>
      </w:r>
      <w:r>
        <w:t xml:space="preserve"> </w:t>
      </w:r>
      <w:r>
        <w:t xml:space="preserve">“trabalhador”</w:t>
      </w:r>
      <w:r>
        <w:t xml:space="preserve"> </w:t>
      </w:r>
      <w:r>
        <w:t xml:space="preserve">(com salário de reserva individual, de R$ 5 a R$ 50, escritos no verso), cartões de</w:t>
      </w:r>
      <w:r>
        <w:t xml:space="preserve"> </w:t>
      </w:r>
      <w:r>
        <w:t xml:space="preserve">“firma”</w:t>
      </w:r>
      <w:r>
        <w:t xml:space="preserve"> </w:t>
      </w:r>
      <w:r>
        <w:t xml:space="preserve">(com VPMg do trabalhador marginal). Planilha projetada.</w:t>
      </w:r>
    </w:p>
    <w:p>
      <w:pPr>
        <w:pStyle w:val="BlockText"/>
      </w:pPr>
      <w:r>
        <w:rPr>
          <w:b/>
          <w:bCs/>
        </w:rPr>
        <w:t xml:space="preserve">Formato:</w:t>
      </w:r>
      <w:r>
        <w:t xml:space="preserve"> </w:t>
      </w:r>
      <w:r>
        <w:t xml:space="preserve">3 rodadas × 10 min cada + 10 min debrief = 40 min</w:t>
      </w:r>
    </w:p>
    <w:p>
      <w:r>
        <w:pict>
          <v:rect style="width:0;height:1.5pt" o:hralign="center" o:hrstd="t" o:hr="t"/>
        </w:pict>
      </w:r>
    </w:p>
    <w:p>
      <w:pPr>
        <w:pStyle w:val="BlockText"/>
      </w:pPr>
      <w:r>
        <w:rPr>
          <w:b/>
          <w:bCs/>
        </w:rPr>
        <w:t xml:space="preserve">Rodada 1 — Mercado Competitivo (10 min)</w:t>
      </w:r>
    </w:p>
    <w:p>
      <w:pPr>
        <w:pStyle w:val="Compact"/>
        <w:numPr>
          <w:ilvl w:val="0"/>
          <w:numId w:val="1925"/>
        </w:numPr>
      </w:pPr>
      <w:r>
        <w:t xml:space="preserve">Metade da turma recebe cartões de</w:t>
      </w:r>
      <w:r>
        <w:t xml:space="preserve"> </w:t>
      </w:r>
      <w:r>
        <w:t xml:space="preserve">“trabalhador”</w:t>
      </w:r>
      <w:r>
        <w:t xml:space="preserve"> </w:t>
      </w:r>
      <w:r>
        <w:t xml:space="preserve">(com salário de reserva aleatório). A outra metade recebe cartões de</w:t>
      </w:r>
      <w:r>
        <w:t xml:space="preserve"> </w:t>
      </w:r>
      <w:r>
        <w:t xml:space="preserve">“firma”</w:t>
      </w:r>
      <w:r>
        <w:t xml:space="preserve"> </w:t>
      </w:r>
      <w:r>
        <w:t xml:space="preserve">(com VPMg decrescente no número de contratados).</w:t>
      </w:r>
    </w:p>
    <w:p>
      <w:pPr>
        <w:pStyle w:val="Compact"/>
        <w:numPr>
          <w:ilvl w:val="0"/>
          <w:numId w:val="1925"/>
        </w:numPr>
      </w:pPr>
      <w:r>
        <w:t xml:space="preserve">Trabalhadores e firmas negociam livremente. Cada par que concorda num salário registra a contratação.</w:t>
      </w:r>
    </w:p>
    <w:p>
      <w:pPr>
        <w:pStyle w:val="Compact"/>
        <w:numPr>
          <w:ilvl w:val="0"/>
          <w:numId w:val="1925"/>
        </w:numPr>
      </w:pPr>
      <w:r>
        <w:t xml:space="preserve">Ao final, projete o histograma de salários negociados.</w:t>
      </w:r>
    </w:p>
    <w:p>
      <w:pPr>
        <w:pStyle w:val="Compact"/>
        <w:numPr>
          <w:ilvl w:val="0"/>
          <w:numId w:val="1925"/>
        </w:numPr>
      </w:pPr>
      <w:r>
        <w:rPr>
          <w:b/>
          <w:bCs/>
        </w:rPr>
        <w:t xml:space="preserve">Previsão:</w:t>
      </w:r>
      <w:r>
        <w:t xml:space="preserve"> </w:t>
      </w:r>
      <w:r>
        <w:t xml:space="preserve">salários convergem para um valor próximo do equilíbrio competitivo.</w:t>
      </w:r>
    </w:p>
    <w:p>
      <w:pPr>
        <w:pStyle w:val="BlockText"/>
      </w:pPr>
      <w:r>
        <w:rPr>
          <w:b/>
          <w:bCs/>
        </w:rPr>
        <w:t xml:space="preserve">Rodada 2 — Monopsônio (10 min)</w:t>
      </w:r>
    </w:p>
    <w:p>
      <w:pPr>
        <w:pStyle w:val="Compact"/>
        <w:numPr>
          <w:ilvl w:val="0"/>
          <w:numId w:val="1926"/>
        </w:numPr>
      </w:pPr>
      <w:r>
        <w:t xml:space="preserve">Agora apenas</w:t>
      </w:r>
      <w:r>
        <w:t xml:space="preserve"> </w:t>
      </w:r>
      <w:r>
        <w:rPr>
          <w:b/>
          <w:bCs/>
        </w:rPr>
        <w:t xml:space="preserve">1 aluno</w:t>
      </w:r>
      <w:r>
        <w:t xml:space="preserve"> </w:t>
      </w:r>
      <w:r>
        <w:t xml:space="preserve">é a firma (monopsonista). Todos os demais são trabalhadores.</w:t>
      </w:r>
    </w:p>
    <w:p>
      <w:pPr>
        <w:pStyle w:val="Compact"/>
        <w:numPr>
          <w:ilvl w:val="0"/>
          <w:numId w:val="1926"/>
        </w:numPr>
      </w:pPr>
      <w:r>
        <w:t xml:space="preserve">A firma faz ofertas de salário</w:t>
      </w:r>
      <w:r>
        <w:t xml:space="preserve"> </w:t>
      </w:r>
      <w:r>
        <w:t xml:space="preserve">“take it or leave it”</w:t>
      </w:r>
      <w:r>
        <w:t xml:space="preserve">. Trabalhadores com salário de reserva ≤ oferta aceitam.</w:t>
      </w:r>
    </w:p>
    <w:p>
      <w:pPr>
        <w:pStyle w:val="Compact"/>
        <w:numPr>
          <w:ilvl w:val="0"/>
          <w:numId w:val="1926"/>
        </w:numPr>
      </w:pPr>
      <w:r>
        <w:t xml:space="preserve">A firma decide quantos quer contratar e a que salário.</w:t>
      </w:r>
    </w:p>
    <w:p>
      <w:pPr>
        <w:pStyle w:val="Compact"/>
        <w:numPr>
          <w:ilvl w:val="0"/>
          <w:numId w:val="1926"/>
        </w:numPr>
      </w:pPr>
      <w:r>
        <w:rPr>
          <w:b/>
          <w:bCs/>
        </w:rPr>
        <w:t xml:space="preserve">Previsão:</w:t>
      </w:r>
      <w:r>
        <w:t xml:space="preserve"> </w:t>
      </w:r>
      <w:r>
        <w:t xml:space="preserve">salário abaixo do competitivo, emprego menor.</w:t>
      </w:r>
    </w:p>
    <w:p>
      <w:pPr>
        <w:pStyle w:val="BlockText"/>
      </w:pPr>
      <w:r>
        <w:rPr>
          <w:b/>
          <w:bCs/>
        </w:rPr>
        <w:t xml:space="preserve">Rodada 3 — Salário Mínimo no Monopsônio (10 min)</w:t>
      </w:r>
    </w:p>
    <w:p>
      <w:pPr>
        <w:pStyle w:val="Compact"/>
        <w:numPr>
          <w:ilvl w:val="0"/>
          <w:numId w:val="1927"/>
        </w:numPr>
      </w:pPr>
      <w:r>
        <w:t xml:space="preserve">Repita a Rodada 2, mas agora com salário mínimo fixado (pelo professor) em um valor intermediário entre o monopsônio e o competitivo.</w:t>
      </w:r>
    </w:p>
    <w:p>
      <w:pPr>
        <w:pStyle w:val="Compact"/>
        <w:numPr>
          <w:ilvl w:val="0"/>
          <w:numId w:val="1927"/>
        </w:numPr>
      </w:pPr>
      <w:r>
        <w:rPr>
          <w:b/>
          <w:bCs/>
        </w:rPr>
        <w:t xml:space="preserve">Previsão:</w:t>
      </w:r>
      <w:r>
        <w:t xml:space="preserve"> </w:t>
      </w:r>
      <w:r>
        <w:t xml:space="preserve">emprego</w:t>
      </w:r>
      <w:r>
        <w:t xml:space="preserve"> </w:t>
      </w:r>
      <w:r>
        <w:rPr>
          <w:i/>
          <w:iCs/>
        </w:rPr>
        <w:t xml:space="preserve">aumenta</w:t>
      </w:r>
      <w:r>
        <w:t xml:space="preserve"> </w:t>
      </w:r>
      <w:r>
        <w:t xml:space="preserve">em relação à Rodada 2, contradizendo a intuição de muitos alunos.</w:t>
      </w:r>
    </w:p>
    <w:p>
      <w:r>
        <w:pict>
          <v:rect style="width:0;height:1.5pt" o:hralign="center" o:hrstd="t" o:hr="t"/>
        </w:pict>
      </w:r>
    </w:p>
    <w:p>
      <w:pPr>
        <w:pStyle w:val="BlockText"/>
      </w:pPr>
      <w:r>
        <w:rPr>
          <w:b/>
          <w:bCs/>
        </w:rPr>
        <w:t xml:space="preserve">Debrief (10 min)</w:t>
      </w:r>
    </w:p>
    <w:p>
      <w:pPr>
        <w:pStyle w:val="Compact"/>
        <w:numPr>
          <w:ilvl w:val="0"/>
          <w:numId w:val="1928"/>
        </w:numPr>
      </w:pPr>
      <w:r>
        <w:t xml:space="preserve">Compare os resultados das 3 rodadas: salários, emprego, excedente.</w:t>
      </w:r>
    </w:p>
    <w:p>
      <w:pPr>
        <w:pStyle w:val="Compact"/>
        <w:numPr>
          <w:ilvl w:val="0"/>
          <w:numId w:val="1928"/>
        </w:numPr>
      </w:pPr>
      <w:r>
        <w:t xml:space="preserve">“Por que o salário mínimo aumentou o emprego na Rodada 3 mas teria reduzido na Rodada 1?”</w:t>
      </w:r>
      <w:r>
        <w:t xml:space="preserve"> </w:t>
      </w:r>
      <w:r>
        <w:t xml:space="preserve">→ estrutura de mercado é tudo.</w:t>
      </w:r>
    </w:p>
    <w:p>
      <w:pPr>
        <w:pStyle w:val="Compact"/>
        <w:numPr>
          <w:ilvl w:val="0"/>
          <w:numId w:val="1928"/>
        </w:numPr>
      </w:pPr>
      <w:r>
        <w:t xml:space="preserve">Conecte com Card e Krueger (1994) e o debate brasileiro sobre salário mínimo.</w:t>
      </w:r>
    </w:p>
    <w:p>
      <w:pPr>
        <w:pStyle w:val="Compact"/>
        <w:numPr>
          <w:ilvl w:val="0"/>
          <w:numId w:val="1928"/>
        </w:numPr>
      </w:pPr>
      <w:r>
        <w:t xml:space="preserve">Pergunte:</w:t>
      </w:r>
      <w:r>
        <w:t xml:space="preserve"> </w:t>
      </w:r>
      <w:r>
        <w:t xml:space="preserve">“Em que mercados de trabalho reais a Rodada 2 é mais realista que a Rodada 1?”</w:t>
      </w:r>
    </w:p>
    <w:p>
      <w:r>
        <w:pict>
          <v:rect style="width:0;height:1.5pt" o:hralign="center" o:hrstd="t" o:hr="t"/>
        </w:pict>
      </w:r>
    </w:p>
    <w:bookmarkEnd w:id="1057"/>
    <w:bookmarkStart w:id="1072" w:name="oferta-individual-de-trabalho"/>
    <w:p>
      <w:pPr>
        <w:pStyle w:val="Heading2"/>
      </w:pPr>
      <w:r>
        <w:t xml:space="preserve">17.1–17.3 Oferta Individual de Trabalho</w:t>
      </w:r>
    </w:p>
    <w:bookmarkStart w:id="1062" w:name="X4940e534aedd3f6d9bb77c6322f6641dbb7432a"/>
    <w:p>
      <w:pPr>
        <w:pStyle w:val="Heading3"/>
      </w:pPr>
      <w:r>
        <w:t xml:space="preserve">17.1 Travesseiro ou Salário — Eis a Questão: Alocação do Tempo</w:t>
      </w:r>
    </w:p>
    <w:bookmarkStart w:id="1058" w:name="o-problema-fundamental"/>
    <w:p>
      <w:pPr>
        <w:pStyle w:val="Heading4"/>
      </w:pPr>
      <w:r>
        <w:t xml:space="preserve">O problema fundamental</w:t>
      </w:r>
    </w:p>
    <w:p>
      <w:pPr>
        <w:pStyle w:val="FirstParagraph"/>
      </w:pPr>
      <w:r>
        <w:t xml:space="preserve">O dia tem 24 horas — para o estagiário e para o CEO. Nenhum dinheiro do mundo compra uma hora a mais. Cada indivíduo dispõe de um estoque fixo de tempo — convencionalmente</w:t>
      </w:r>
      <w:r>
        <w:t xml:space="preserve"> </w:t>
      </w:r>
      <m:oMath>
        <m:r>
          <m:t>T</m:t>
        </m:r>
      </m:oMath>
      <w:r>
        <w:t xml:space="preserve"> </w:t>
      </w:r>
      <w:r>
        <w:t xml:space="preserve">horas por período — e precisa decidir como repartir essa dotação entre duas atividades:</w:t>
      </w:r>
    </w:p>
    <w:p>
      <w:pPr>
        <w:pStyle w:val="Compact"/>
        <w:numPr>
          <w:ilvl w:val="0"/>
          <w:numId w:val="1929"/>
        </w:numPr>
      </w:pPr>
      <w:r>
        <w:rPr>
          <w:b/>
          <w:bCs/>
        </w:rPr>
        <w:t xml:space="preserve">Lazer</w:t>
      </w:r>
      <w:r>
        <w:t xml:space="preserve"> </w:t>
      </w:r>
      <w:r>
        <w:t xml:space="preserve">(</w:t>
      </w:r>
      <m:oMath>
        <m:r>
          <m:t>L</m:t>
        </m:r>
      </m:oMath>
      <w:r>
        <w:t xml:space="preserve">): horas dedicadas a atividades que geram utilidade diretamente (descanso, convívio familiar, entretenimento).</w:t>
      </w:r>
    </w:p>
    <w:p>
      <w:pPr>
        <w:pStyle w:val="Compact"/>
        <w:numPr>
          <w:ilvl w:val="0"/>
          <w:numId w:val="1929"/>
        </w:numPr>
      </w:pPr>
      <w:r>
        <w:rPr>
          <w:b/>
          <w:bCs/>
        </w:rPr>
        <w:t xml:space="preserve">Trabalho</w:t>
      </w:r>
      <w:r>
        <w:t xml:space="preserve"> </w:t>
      </w:r>
      <w:r>
        <w:t xml:space="preserve">(</w:t>
      </w:r>
      <m:oMath>
        <m:r>
          <m:t>h</m:t>
        </m:r>
      </m:oMath>
      <w:r>
        <w:t xml:space="preserve">): horas dedicadas à atividade remunerada, com</w:t>
      </w:r>
      <w:r>
        <w:t xml:space="preserve"> </w:t>
      </w:r>
      <m:oMath>
        <m:r>
          <m:t>h</m:t>
        </m:r>
        <m:r>
          <m:rPr>
            <m:sty m:val="p"/>
          </m:rPr>
          <m:t>=</m:t>
        </m:r>
        <m:r>
          <m:t>T</m:t>
        </m:r>
        <m:r>
          <m:rPr>
            <m:sty m:val="p"/>
          </m:rPr>
          <m:t>−</m:t>
        </m:r>
        <m:r>
          <m:t>L</m:t>
        </m:r>
      </m:oMath>
      <w:r>
        <w:t xml:space="preserve">.</w:t>
      </w:r>
    </w:p>
    <w:p>
      <w:pPr>
        <w:pStyle w:val="FirstParagraph"/>
      </w:pPr>
      <w:r>
        <w:t xml:space="preserve">O indivíduo recebe um</w:t>
      </w:r>
      <w:r>
        <w:t xml:space="preserve"> </w:t>
      </w:r>
      <w:r>
        <w:rPr>
          <w:b/>
          <w:bCs/>
        </w:rPr>
        <w:t xml:space="preserve">salário por hora</w:t>
      </w:r>
      <w:r>
        <w:t xml:space="preserve"> </w:t>
      </w:r>
      <m:oMath>
        <m:r>
          <m:t>w</m:t>
        </m:r>
      </m:oMath>
      <w:r>
        <w:t xml:space="preserve"> </w:t>
      </w:r>
      <w:r>
        <w:t xml:space="preserve">e pode ter uma</w:t>
      </w:r>
      <w:r>
        <w:t xml:space="preserve"> </w:t>
      </w:r>
      <w:r>
        <w:rPr>
          <w:b/>
          <w:bCs/>
        </w:rPr>
        <w:t xml:space="preserve">renda não salarial</w:t>
      </w:r>
      <w:r>
        <w:t xml:space="preserve"> </w:t>
      </w:r>
      <m:oMath>
        <m:r>
          <m:t>V</m:t>
        </m:r>
      </m:oMath>
      <w:r>
        <w:t xml:space="preserve"> </w:t>
      </w:r>
      <w:r>
        <w:t xml:space="preserve">(aluguéis, transferências, dividendos). Sua renda total é gasta em um bem composto de</w:t>
      </w:r>
      <w:r>
        <w:t xml:space="preserve"> </w:t>
      </w:r>
      <w:r>
        <w:rPr>
          <w:b/>
          <w:bCs/>
        </w:rPr>
        <w:t xml:space="preserve">consumo</w:t>
      </w:r>
      <w:r>
        <w:t xml:space="preserve"> </w:t>
      </w:r>
      <m:oMath>
        <m:r>
          <m:t>C</m:t>
        </m:r>
      </m:oMath>
      <w:r>
        <w:t xml:space="preserve">, cujo preço é normalizado para 1.</w:t>
      </w:r>
    </w:p>
    <w:p>
      <w:pPr>
        <w:pStyle w:val="BlockText"/>
      </w:pPr>
      <w:r>
        <w:rPr>
          <w:b/>
          <w:bCs/>
        </w:rPr>
        <w:t xml:space="preserve">[DEFINICAO] Restrição orçamentária do tempo</w:t>
      </w:r>
    </w:p>
    <w:p>
      <w:pPr>
        <w:pStyle w:val="BlockText"/>
      </w:pPr>
      <w:r>
        <w:t xml:space="preserve">A restrição orçamentária do indivíduo é:</w:t>
      </w:r>
    </w:p>
    <w:p>
      <w:pPr>
        <w:pStyle w:val="BlockText"/>
      </w:pPr>
      <w:r>
        <w:t xml:space="preserve">$$</w:t>
      </w:r>
    </w:p>
    <w:p>
      <w:pPr>
        <w:pStyle w:val="BlockText"/>
      </w:pPr>
      <w:r>
        <w:t xml:space="preserve">C = w(T - L) + V = wh + V</w:t>
      </w:r>
    </w:p>
    <w:p>
      <w:pPr>
        <w:pStyle w:val="BlockText"/>
      </w:pPr>
      <w:r>
        <w:t xml:space="preserve">$$</w:t>
      </w:r>
    </w:p>
    <w:p>
      <w:pPr>
        <w:pStyle w:val="BlockText"/>
      </w:pPr>
      <w:r>
        <w:t xml:space="preserve">onde</w:t>
      </w:r>
      <w:r>
        <w:t xml:space="preserve"> </w:t>
      </w:r>
      <m:oMath>
        <m:r>
          <m:t>C</m:t>
        </m:r>
      </m:oMath>
      <w:r>
        <w:t xml:space="preserve"> </w:t>
      </w:r>
      <w:r>
        <w:t xml:space="preserve">é o consumo,</w:t>
      </w:r>
      <w:r>
        <w:t xml:space="preserve"> </w:t>
      </w:r>
      <m:oMath>
        <m:r>
          <m:t>w</m:t>
        </m:r>
      </m:oMath>
      <w:r>
        <w:t xml:space="preserve"> </w:t>
      </w:r>
      <w:r>
        <w:t xml:space="preserve">é o salário-hora,</w:t>
      </w:r>
      <w:r>
        <w:t xml:space="preserve"> </w:t>
      </w:r>
      <m:oMath>
        <m:r>
          <m:t>T</m:t>
        </m:r>
      </m:oMath>
      <w:r>
        <w:t xml:space="preserve"> </w:t>
      </w:r>
      <w:r>
        <w:t xml:space="preserve">é a dotação total de tempo,</w:t>
      </w:r>
      <w:r>
        <w:t xml:space="preserve"> </w:t>
      </w:r>
      <m:oMath>
        <m:r>
          <m:t>L</m:t>
        </m:r>
      </m:oMath>
      <w:r>
        <w:t xml:space="preserve"> </w:t>
      </w:r>
      <w:r>
        <w:t xml:space="preserve">é o lazer,</w:t>
      </w:r>
      <w:r>
        <w:t xml:space="preserve"> </w:t>
      </w:r>
      <m:oMath>
        <m:r>
          <m:t>h</m:t>
        </m:r>
        <m:r>
          <m:rPr>
            <m:sty m:val="p"/>
          </m:rPr>
          <m:t>=</m:t>
        </m:r>
        <m:r>
          <m:t>T</m:t>
        </m:r>
        <m:r>
          <m:rPr>
            <m:sty m:val="p"/>
          </m:rPr>
          <m:t>−</m:t>
        </m:r>
        <m:r>
          <m:t>L</m:t>
        </m:r>
      </m:oMath>
      <w:r>
        <w:t xml:space="preserve"> </w:t>
      </w:r>
      <w:r>
        <w:t xml:space="preserve">são as horas trabalhadas e</w:t>
      </w:r>
      <w:r>
        <w:t xml:space="preserve"> </w:t>
      </w:r>
      <m:oMath>
        <m:r>
          <m:t>V</m:t>
        </m:r>
      </m:oMath>
      <w:r>
        <w:t xml:space="preserve"> </w:t>
      </w:r>
      <w:r>
        <w:t xml:space="preserve">é a renda não salarial.</w:t>
      </w:r>
    </w:p>
    <w:bookmarkEnd w:id="1058"/>
    <w:bookmarkStart w:id="1059" w:name="renda-plena-full-income"/>
    <w:p>
      <w:pPr>
        <w:pStyle w:val="Heading4"/>
      </w:pPr>
      <w:r>
        <w:t xml:space="preserve">Renda plena (full income)</w:t>
      </w:r>
    </w:p>
    <w:p>
      <w:pPr>
        <w:pStyle w:val="FirstParagraph"/>
      </w:pPr>
      <w:r>
        <w:t xml:space="preserve">Podemos reescrever a restrição como:</w:t>
      </w:r>
    </w:p>
    <w:p>
      <w:pPr>
        <w:pStyle w:val="BodyText"/>
      </w:pPr>
      <m:oMathPara>
        <m:oMathParaPr>
          <m:jc m:val="center"/>
        </m:oMathParaPr>
        <m:oMath>
          <m:r>
            <m:t>C</m:t>
          </m:r>
          <m:r>
            <m:rPr>
              <m:sty m:val="p"/>
            </m:rPr>
            <m:t>+</m:t>
          </m:r>
          <m:r>
            <m:t>w</m:t>
          </m:r>
          <m:r>
            <m:t>L</m:t>
          </m:r>
          <m:r>
            <m:rPr>
              <m:sty m:val="p"/>
            </m:rPr>
            <m:t>=</m:t>
          </m:r>
          <m:r>
            <m:t>w</m:t>
          </m:r>
          <m:r>
            <m:t>T</m:t>
          </m:r>
          <m:r>
            <m:rPr>
              <m:sty m:val="p"/>
            </m:rPr>
            <m:t>+</m:t>
          </m:r>
          <m:r>
            <m:t>V</m:t>
          </m:r>
          <m:r>
            <m:rPr>
              <m:sty m:val="p"/>
            </m:rPr>
            <m:t>≡</m:t>
          </m:r>
          <m:sSup>
            <m:e>
              <m:r>
                <m:t>M</m:t>
              </m:r>
            </m:e>
            <m:sup>
              <m:r>
                <m:rPr>
                  <m:sty m:val="p"/>
                </m:rPr>
                <m:t>*</m:t>
              </m:r>
            </m:sup>
          </m:sSup>
        </m:oMath>
      </m:oMathPara>
    </w:p>
    <w:p>
      <w:pPr>
        <w:pStyle w:val="FirstParagraph"/>
      </w:pPr>
      <w:r>
        <w:t xml:space="preserve">onde</w:t>
      </w:r>
      <w:r>
        <w:t xml:space="preserve"> </w:t>
      </w:r>
      <m:oMath>
        <m:sSup>
          <m:e>
            <m:r>
              <m:t>M</m:t>
            </m:r>
          </m:e>
          <m:sup>
            <m:r>
              <m:rPr>
                <m:sty m:val="p"/>
              </m:rPr>
              <m:t>*</m:t>
            </m:r>
          </m:sup>
        </m:sSup>
        <m:r>
          <m:rPr>
            <m:sty m:val="p"/>
          </m:rPr>
          <m:t>=</m:t>
        </m:r>
        <m:r>
          <m:t>w</m:t>
        </m:r>
        <m:r>
          <m:t>T</m:t>
        </m:r>
        <m:r>
          <m:rPr>
            <m:sty m:val="p"/>
          </m:rPr>
          <m:t>+</m:t>
        </m:r>
        <m:r>
          <m:t>V</m:t>
        </m:r>
      </m:oMath>
      <w:r>
        <w:t xml:space="preserve"> </w:t>
      </w:r>
      <w:r>
        <w:t xml:space="preserve">é a</w:t>
      </w:r>
      <w:r>
        <w:t xml:space="preserve"> </w:t>
      </w:r>
      <w:r>
        <w:rPr>
          <w:b/>
          <w:bCs/>
        </w:rPr>
        <w:t xml:space="preserve">renda plena</w:t>
      </w:r>
      <w:r>
        <w:t xml:space="preserve"> </w:t>
      </w:r>
      <w:r>
        <w:t xml:space="preserve">— a renda máxima que o indivíduo obteria se trabalhasse todas as</w:t>
      </w:r>
      <w:r>
        <w:t xml:space="preserve"> </w:t>
      </w:r>
      <m:oMath>
        <m:r>
          <m:t>T</m:t>
        </m:r>
      </m:oMath>
      <w:r>
        <w:t xml:space="preserve"> </w:t>
      </w:r>
      <w:r>
        <w:t xml:space="preserve">horas. A equação Eq. (eq:17.1) revela que o preço do lazer é o salário</w:t>
      </w:r>
      <w:r>
        <w:t xml:space="preserve"> </w:t>
      </w:r>
      <m:oMath>
        <m:r>
          <m:t>w</m:t>
        </m:r>
      </m:oMath>
      <w:r>
        <w:t xml:space="preserve">, pois cada hora de lazer tem um custo de oportunidade igual ao salário que se deixa de receber.</w:t>
      </w:r>
    </w:p>
    <w:p>
      <w:pPr>
        <w:pStyle w:val="BlockText"/>
      </w:pPr>
      <w:r>
        <w:rPr>
          <w:b/>
          <w:bCs/>
        </w:rPr>
        <w:t xml:space="preserve">[INTUICAO ECONOMICA] Intuição Econômica</w:t>
      </w:r>
    </w:p>
    <w:p>
      <w:pPr>
        <w:pStyle w:val="BlockText"/>
      </w:pPr>
      <w:r>
        <w:rPr>
          <w:b/>
          <w:bCs/>
        </w:rPr>
        <w:t xml:space="preserve">Em uma frase:</w:t>
      </w:r>
      <w:r>
        <w:t xml:space="preserve"> </w:t>
      </w:r>
      <w:r>
        <w:t xml:space="preserve">O salário não é apenas o que você ganha por trabalhar — é também o preço que você paga por cada hora de lazer.</w:t>
      </w:r>
    </w:p>
    <w:p>
      <w:pPr>
        <w:pStyle w:val="BlockText"/>
      </w:pPr>
      <w:r>
        <w:rPr>
          <w:b/>
          <w:bCs/>
        </w:rPr>
        <w:t xml:space="preserve">Pense assim:</w:t>
      </w:r>
      <w:r>
        <w:t xml:space="preserve"> </w:t>
      </w:r>
      <w:r>
        <w:t xml:space="preserve">Quando um motorista de aplicativo decide tirar um domingo de folga para assistir ao jogo do Flamengo, o</w:t>
      </w:r>
      <w:r>
        <w:t xml:space="preserve"> </w:t>
      </w:r>
      <w:r>
        <w:t xml:space="preserve">“preço”</w:t>
      </w:r>
      <w:r>
        <w:t xml:space="preserve"> </w:t>
      </w:r>
      <w:r>
        <w:t xml:space="preserve">desse lazer não é só o ingresso — inclui as corridas que ele deixou de fazer. Se o salário-hora dele sobe, o churrasco de domingo fica mais</w:t>
      </w:r>
      <w:r>
        <w:t xml:space="preserve"> </w:t>
      </w:r>
      <w:r>
        <w:t xml:space="preserve">“caro”</w:t>
      </w:r>
      <w:r>
        <w:t xml:space="preserve"> </w:t>
      </w:r>
      <w:r>
        <w:t xml:space="preserve">em termos do que ele abre mão.</w:t>
      </w:r>
    </w:p>
    <w:p>
      <w:pPr>
        <w:pStyle w:val="BlockText"/>
      </w:pPr>
      <w:r>
        <w:rPr>
          <w:b/>
          <w:bCs/>
        </w:rPr>
        <w:t xml:space="preserve">Por que isso importa:</w:t>
      </w:r>
      <w:r>
        <w:t xml:space="preserve"> </w:t>
      </w:r>
      <w:r>
        <w:t xml:space="preserve">Entender que o lazer tem preço ajuda a explicar por que profissionais com salários muito altos frequentemente trabalham jornadas longas — o custo de oportunidade de cada hora livre é enorme.</w:t>
      </w:r>
    </w:p>
    <w:bookmarkEnd w:id="1059"/>
    <w:bookmarkStart w:id="1060" w:name="Xe0b2dfdb8e2e4572aee311015cf68486d70f036"/>
    <w:p>
      <w:pPr>
        <w:pStyle w:val="Heading4"/>
      </w:pPr>
      <w:r>
        <w:t xml:space="preserve">Perspectiva histórica: a jornada de trabalho ao longo do tempo</w:t>
      </w:r>
    </w:p>
    <w:p>
      <w:pPr>
        <w:pStyle w:val="FirstParagraph"/>
      </w:pPr>
      <w:r>
        <w:t xml:space="preserve">A alocação do tempo entre trabalho e lazer não é apenas uma escolha individual — é uma construção que se transformou radicalmente ao longo dos séculos. Durante a Revolução Industrial, jornadas de 60 a 80 horas semanais eram a norma, inclusive para crianças. Reformas legislativas progressivas — como o Factory Act britânico de 1833 e a jornada de 8 horas conquistada em 1919 pela Organização Internacional do Trabalho (OIT) — reduziram gradualmente o tempo de trabalho para cerca de 40 horas semanais nos países desenvolvidos.</w:t>
      </w:r>
    </w:p>
    <w:p>
      <w:pPr>
        <w:pStyle w:val="BodyText"/>
      </w:pPr>
      <w:r>
        <w:t xml:space="preserve">Em 1930, John Maynard Keynes publicou o ensaio</w:t>
      </w:r>
      <w:r>
        <w:t xml:space="preserve"> </w:t>
      </w:r>
      <w:r>
        <w:rPr>
          <w:i/>
          <w:iCs/>
        </w:rPr>
        <w:t xml:space="preserve">Economic Possibilities for Our Grandchildren</w:t>
      </w:r>
      <w:r>
        <w:t xml:space="preserve">, no qual previa que, em cem anos, o progresso tecnológico permitiria jornadas de apenas</w:t>
      </w:r>
      <w:r>
        <w:t xml:space="preserve"> </w:t>
      </w:r>
      <w:r>
        <w:rPr>
          <w:b/>
          <w:bCs/>
        </w:rPr>
        <w:t xml:space="preserve">15 horas semanais</w:t>
      </w:r>
      <w:r>
        <w:t xml:space="preserve">. Sua previsão sobre o crescimento da produtividade estava correta — a renda per capita nos países ricos multiplicou-se por mais de cinco vezes —, mas a redução da jornada estagnou a partir da década de 1980. Nos Estados Unidos, a jornada média permaneceu em torno de 38–40 horas semanais. A explicação reside na interação entre efeito substituição e efeito renda: o aumento simultâneo dos salários reais e das possibilidades de consumo (novos bens, serviços, viagens) manteve o efeito substituição forte o suficiente para conter a redução do trabalho. Além disso, normas sociais, competição por status (</w:t>
      </w:r>
      <w:r>
        <w:rPr>
          <w:i/>
          <w:iCs/>
        </w:rPr>
        <w:t xml:space="preserve">keeping up with the Joneses</w:t>
      </w:r>
      <w:r>
        <w:t xml:space="preserve">) e estruturas institucionais (jornadas fixas, carreiras corporativas) limitaram a flexibilidade na escolha de horas.</w:t>
      </w:r>
    </w:p>
    <w:p>
      <w:pPr>
        <w:pStyle w:val="BodyText"/>
      </w:pPr>
      <w:r>
        <w:t xml:space="preserve">Nos países nórdicos, por outro lado, a jornada efetiva é significativamente menor — cerca de 30–33 horas semanais na Holanda, Dinamarca e Alemanha —, refletindo preferências coletivas distintas e políticas públicas que facilitam a redução voluntária de horas (como o direito ao trabalho parcial). Essa variação entre países ilustra que a escolha trabalho-lazer não é puramente individual: ela é moldada por instituições, cultura e política pública.</w:t>
      </w:r>
    </w:p>
    <w:bookmarkEnd w:id="1060"/>
    <w:bookmarkStart w:id="1061" w:name="preferências"/>
    <w:p>
      <w:pPr>
        <w:pStyle w:val="Heading4"/>
      </w:pPr>
      <w:r>
        <w:t xml:space="preserve">Preferências</w:t>
      </w:r>
    </w:p>
    <w:p>
      <w:pPr>
        <w:pStyle w:val="FirstParagraph"/>
      </w:pPr>
      <w:r>
        <w:t xml:space="preserve">As preferências do indivíduo são representadas por uma função de utilidade</w:t>
      </w:r>
      <w:r>
        <w:t xml:space="preserve"> </w:t>
      </w:r>
      <m:oMath>
        <m:r>
          <m:t>U</m:t>
        </m:r>
        <m:r>
          <m:rPr>
            <m:sty m:val="p"/>
          </m:rPr>
          <m:t>(</m:t>
        </m:r>
        <m:r>
          <m:t>C</m:t>
        </m:r>
        <m:r>
          <m:rPr>
            <m:sty m:val="p"/>
          </m:rPr>
          <m:t>,</m:t>
        </m:r>
        <m:r>
          <m:t>L</m:t>
        </m:r>
        <m:r>
          <m:rPr>
            <m:sty m:val="p"/>
          </m:rPr>
          <m:t>)</m:t>
        </m:r>
      </m:oMath>
      <w:r>
        <w:t xml:space="preserve">, com as propriedades usuais:</w:t>
      </w:r>
    </w:p>
    <w:p>
      <w:pPr>
        <w:pStyle w:val="Compact"/>
        <w:numPr>
          <w:ilvl w:val="0"/>
          <w:numId w:val="1930"/>
        </w:numPr>
      </w:pPr>
      <m:oMath>
        <m:sSub>
          <m:e>
            <m:r>
              <m:t>U</m:t>
            </m:r>
          </m:e>
          <m:sub>
            <m:r>
              <m:t>C</m:t>
            </m:r>
          </m:sub>
        </m:sSub>
        <m:r>
          <m:rPr>
            <m:sty m:val="p"/>
          </m:rPr>
          <m:t>&gt;</m:t>
        </m:r>
        <m:r>
          <m:t>0</m:t>
        </m:r>
      </m:oMath>
      <w:r>
        <w:t xml:space="preserve">,</w:t>
      </w:r>
      <w:r>
        <w:t xml:space="preserve"> </w:t>
      </w:r>
      <m:oMath>
        <m:sSub>
          <m:e>
            <m:r>
              <m:t>U</m:t>
            </m:r>
          </m:e>
          <m:sub>
            <m:r>
              <m:t>L</m:t>
            </m:r>
          </m:sub>
        </m:sSub>
        <m:r>
          <m:rPr>
            <m:sty m:val="p"/>
          </m:rPr>
          <m:t>&gt;</m:t>
        </m:r>
        <m:r>
          <m:t>0</m:t>
        </m:r>
      </m:oMath>
      <w:r>
        <w:t xml:space="preserve"> </w:t>
      </w:r>
      <w:r>
        <w:t xml:space="preserve">(consumo e lazer são bens);</w:t>
      </w:r>
    </w:p>
    <w:p>
      <w:pPr>
        <w:pStyle w:val="Compact"/>
        <w:numPr>
          <w:ilvl w:val="0"/>
          <w:numId w:val="1930"/>
        </w:numPr>
      </w:pPr>
      <m:oMath>
        <m:sSub>
          <m:e>
            <m:r>
              <m:t>U</m:t>
            </m:r>
          </m:e>
          <m:sub>
            <m:r>
              <m:t>C</m:t>
            </m:r>
            <m:r>
              <m:t>C</m:t>
            </m:r>
          </m:sub>
        </m:sSub>
        <m:r>
          <m:rPr>
            <m:sty m:val="p"/>
          </m:rPr>
          <m:t>&lt;</m:t>
        </m:r>
        <m:r>
          <m:t>0</m:t>
        </m:r>
      </m:oMath>
      <w:r>
        <w:t xml:space="preserve">,</w:t>
      </w:r>
      <w:r>
        <w:t xml:space="preserve"> </w:t>
      </w:r>
      <m:oMath>
        <m:sSub>
          <m:e>
            <m:r>
              <m:t>U</m:t>
            </m:r>
          </m:e>
          <m:sub>
            <m:r>
              <m:t>L</m:t>
            </m:r>
            <m:r>
              <m:t>L</m:t>
            </m:r>
          </m:sub>
        </m:sSub>
        <m:r>
          <m:rPr>
            <m:sty m:val="p"/>
          </m:rPr>
          <m:t>&lt;</m:t>
        </m:r>
        <m:r>
          <m:t>0</m:t>
        </m:r>
      </m:oMath>
      <w:r>
        <w:t xml:space="preserve"> </w:t>
      </w:r>
      <w:r>
        <w:t xml:space="preserve">(utilidade marginal decrescente);</w:t>
      </w:r>
    </w:p>
    <w:p>
      <w:pPr>
        <w:pStyle w:val="Compact"/>
        <w:numPr>
          <w:ilvl w:val="0"/>
          <w:numId w:val="1930"/>
        </w:numPr>
      </w:pPr>
      <w:r>
        <w:t xml:space="preserve">Curvas de indiferença convexas em relação à origem.</w:t>
      </w:r>
    </w:p>
    <w:p>
      <w:pPr>
        <w:pStyle w:val="FirstParagraph"/>
      </w:pPr>
      <w:r>
        <w:t xml:space="preserve">A</w:t>
      </w:r>
      <w:r>
        <w:t xml:space="preserve"> </w:t>
      </w:r>
      <w:r>
        <w:rPr>
          <w:b/>
          <w:bCs/>
        </w:rPr>
        <w:t xml:space="preserve">taxa marginal de substituição</w:t>
      </w:r>
      <w:r>
        <w:t xml:space="preserve"> </w:t>
      </w:r>
      <w:r>
        <w:t xml:space="preserve">entre lazer e consumo é:</w:t>
      </w:r>
    </w:p>
    <w:p>
      <w:pPr>
        <w:pStyle w:val="BodyText"/>
      </w:pPr>
      <m:oMathPara>
        <m:oMathParaPr>
          <m:jc m:val="center"/>
        </m:oMathParaPr>
        <m:oMath>
          <m:r>
            <m:t>T</m:t>
          </m:r>
          <m:r>
            <m:t>M</m:t>
          </m:r>
          <m:sSub>
            <m:e>
              <m:r>
                <m:t>S</m:t>
              </m:r>
            </m:e>
            <m:sub>
              <m:r>
                <m:t>L</m:t>
              </m:r>
              <m:r>
                <m:rPr>
                  <m:sty m:val="p"/>
                </m:rPr>
                <m:t>,</m:t>
              </m:r>
              <m:r>
                <m:t>C</m:t>
              </m:r>
            </m:sub>
          </m:sSub>
          <m:r>
            <m:rPr>
              <m:sty m:val="p"/>
            </m:rPr>
            <m:t>=</m:t>
          </m:r>
          <m:f>
            <m:fPr>
              <m:type m:val="bar"/>
            </m:fPr>
            <m:num>
              <m:sSub>
                <m:e>
                  <m:r>
                    <m:t>U</m:t>
                  </m:r>
                </m:e>
                <m:sub>
                  <m:r>
                    <m:t>L</m:t>
                  </m:r>
                </m:sub>
              </m:sSub>
            </m:num>
            <m:den>
              <m:sSub>
                <m:e>
                  <m:r>
                    <m:t>U</m:t>
                  </m:r>
                </m:e>
                <m:sub>
                  <m:r>
                    <m:t>C</m:t>
                  </m:r>
                </m:sub>
              </m:sSub>
            </m:den>
          </m:f>
        </m:oMath>
      </m:oMathPara>
    </w:p>
    <w:p>
      <w:pPr>
        <w:pStyle w:val="FirstParagraph"/>
      </w:pPr>
      <w:r>
        <w:t xml:space="preserve">No ótimo interior, a condição de tangência exige:</w:t>
      </w:r>
    </w:p>
    <w:p>
      <w:pPr>
        <w:pStyle w:val="BodyText"/>
      </w:pPr>
      <w:r>
        <w:t xml:space="preserve">$$
    \frac{U_L}{U_C} = w
    \label{eq:17.3} \tag{17.3} 
    $$</w:t>
      </w:r>
    </w:p>
    <w:p>
      <w:pPr>
        <w:pStyle w:val="FirstParagraph"/>
      </w:pPr>
      <w:r>
        <w:t xml:space="preserve">Ou seja, o indivíduo iguala a taxa marginal de substituição ao salário real.</w:t>
      </w:r>
    </w:p>
    <w:p>
      <w:r>
        <w:pict>
          <v:rect style="width:0;height:1.5pt" o:hralign="center" o:hrstd="t" o:hr="t"/>
        </w:pict>
      </w:r>
    </w:p>
    <w:p>
      <w:pPr>
        <w:pStyle w:val="FirstParagraph"/>
      </w:pPr>
      <w:r>
        <w:t xml:space="preserve">O gráfico abaixo mostra a escolha ótima entre lazer e consumo. A reta orçamentária tem inclinação</w:t>
      </w:r>
      <w:r>
        <w:t xml:space="preserve"> </w:t>
      </w:r>
      <m:oMath>
        <m:r>
          <m:rPr>
            <m:sty m:val="p"/>
          </m:rPr>
          <m:t>−</m:t>
        </m:r>
        <m:r>
          <m:t>w</m:t>
        </m:r>
      </m:oMath>
      <w:r>
        <w:t xml:space="preserve"> </w:t>
      </w:r>
      <w:r>
        <w:t xml:space="preserve">e o ponto ótimo ocorre na tangência com a curva de indiferença. Ajuste o salário</w:t>
      </w:r>
      <w:r>
        <w:t xml:space="preserve"> </w:t>
      </w:r>
      <m:oMath>
        <m:r>
          <m:t>w</m:t>
        </m:r>
      </m:oMath>
      <w:r>
        <w:t xml:space="preserve">, a renda não salarial</w:t>
      </w:r>
      <w:r>
        <w:t xml:space="preserve"> </w:t>
      </w:r>
      <m:oMath>
        <m:r>
          <m:t>V</m:t>
        </m:r>
      </m:oMath>
      <w:r>
        <w:t xml:space="preserve"> </w:t>
      </w:r>
      <w:r>
        <w:t xml:space="preserve">e as preferências para ver como a alocação de tempo se altera.</w:t>
      </w:r>
    </w:p>
    <w:p>
      <w:pPr>
        <w:pStyle w:val="BodyText"/>
      </w:pPr>
      <w:r>
        <w:t xml:space="preserve">[FIGURA INTERATIVA: /micro-book/graficos/cap17/trabalho-lazer.html — versao interativa disponivel online]</w:t>
      </w:r>
    </w:p>
    <w:p>
      <w:pPr>
        <w:pStyle w:val="BodyText"/>
      </w:pPr>
      <w:r>
        <w:rPr>
          <w:b/>
          <w:bCs/>
        </w:rPr>
        <w:t xml:space="preserve">Figura 17.1 — Escolha ótima entre lazer e consumo.</w:t>
      </w:r>
      <w:r>
        <w:t xml:space="preserve"> </w:t>
      </w:r>
      <w:r>
        <w:t xml:space="preserve">Ajuste o salário</w:t>
      </w:r>
      <w:r>
        <w:t xml:space="preserve"> </w:t>
      </w:r>
      <m:oMath>
        <m:r>
          <m:t>w</m:t>
        </m:r>
      </m:oMath>
      <w:r>
        <w:t xml:space="preserve">, a renda não salarial</w:t>
      </w:r>
      <w:r>
        <w:t xml:space="preserve"> </w:t>
      </w:r>
      <m:oMath>
        <m:r>
          <m:t>V</m:t>
        </m:r>
      </m:oMath>
      <w:r>
        <w:t xml:space="preserve"> </w:t>
      </w:r>
      <w:r>
        <w:t xml:space="preserve">e as preferências para ver como a alocação de tempo se altera.</w:t>
      </w:r>
    </w:p>
    <w:p>
      <w:r>
        <w:pict>
          <v:rect style="width:0;height:1.5pt" o:hralign="center" o:hrstd="t" o:hr="t"/>
        </w:pict>
      </w:r>
    </w:p>
    <w:bookmarkEnd w:id="1061"/>
    <w:bookmarkEnd w:id="1062"/>
    <w:bookmarkStart w:id="1067" w:name="X1aa04bf421e5b38c3d18933e9994d3f289def65"/>
    <w:p>
      <w:pPr>
        <w:pStyle w:val="Heading3"/>
      </w:pPr>
      <w:r>
        <w:t xml:space="preserve">17.2 Apertando os Parafusos com Álgebra: Oferta de Trabalho</w:t>
      </w:r>
    </w:p>
    <w:p>
      <w:pPr>
        <w:pStyle w:val="FirstParagraph"/>
      </w:pPr>
      <w:r>
        <w:t xml:space="preserve">A intuição já está montada; agora é hora de apertar os parafusos com álgebra. Nesta seção, formalizamos rigorosamente o problema de otimização do trabalhador e derivamos os efeitos de variações salariais sobre a oferta de trabalho, utilizando a decomposição de Slutsky adaptada ao contexto da alocação do tempo. Essa derivação é fundamental porque revela por que a oferta de trabalho pode ter inclinação positiva ou negativa — uma ambiguidade que não é apenas uma curiosidade de quadro-negro, mas tem implicações diretas para a política tributária e salarial.</w:t>
      </w:r>
    </w:p>
    <w:bookmarkStart w:id="1063" w:name="o-problema-de-maximização"/>
    <w:p>
      <w:pPr>
        <w:pStyle w:val="Heading4"/>
      </w:pPr>
      <w:r>
        <w:t xml:space="preserve">O problema de maximização</w:t>
      </w:r>
    </w:p>
    <w:p>
      <w:pPr>
        <w:pStyle w:val="BlockText"/>
      </w:pPr>
      <w:r>
        <w:rPr>
          <w:b/>
          <w:bCs/>
        </w:rPr>
        <w:t xml:space="preserve">[TEOREMA] Problema de Otimização do Trabalhador</w:t>
      </w:r>
    </w:p>
    <w:p>
      <w:pPr>
        <w:pStyle w:val="BlockText"/>
      </w:pPr>
      <w:r>
        <w:t xml:space="preserve">O indivíduo resolve:</w:t>
      </w:r>
    </w:p>
    <w:p>
      <w:pPr>
        <w:pStyle w:val="BlockText"/>
      </w:pPr>
      <w:r>
        <w:t xml:space="preserve">$$</w:t>
      </w:r>
    </w:p>
    <w:p>
      <w:pPr>
        <w:pStyle w:val="BlockText"/>
      </w:pPr>
      <w:r>
        <w:t xml:space="preserve">_{C, L} ; U(C, L)</w:t>
      </w:r>
      <w:r>
        <w:t xml:space="preserve"> </w:t>
      </w:r>
      <w:r>
        <w:t xml:space="preserve"> </w:t>
      </w:r>
      <w:r>
        <w:t xml:space="preserve">C + wL = wT + V,</w:t>
      </w:r>
      <w:r>
        <w:t xml:space="preserve"> </w:t>
      </w:r>
      <w:r>
        <w:t xml:space="preserve"> </w:t>
      </w:r>
      <w:r>
        <w:t xml:space="preserve">L</w:t>
      </w:r>
      <w:r>
        <w:t xml:space="preserve"> </w:t>
      </w:r>
      <w:r>
        <w:t xml:space="preserve">T</w:t>
      </w:r>
      <w:r>
        <w:t xml:space="preserve"> </w:t>
      </w:r>
      <w:r>
        <w:t xml:space="preserve"> </w:t>
      </w:r>
      <w:r>
        <w:t xml:space="preserve"> </w:t>
      </w:r>
      <w:r>
        <w:t xml:space="preserve">$$</w:t>
      </w:r>
    </w:p>
    <w:p>
      <w:pPr>
        <w:pStyle w:val="FirstParagraph"/>
      </w:pPr>
      <w:r>
        <w:t xml:space="preserve">Montando o lagrangeano:</w:t>
      </w:r>
    </w:p>
    <w:p>
      <w:pPr>
        <w:pStyle w:val="BodyText"/>
      </w:pPr>
      <m:oMathPara>
        <m:oMathParaPr>
          <m:jc m:val="center"/>
        </m:oMathParaPr>
        <m:oMath>
          <m:r>
            <m:rPr>
              <m:scr m:val="script"/>
              <m:sty m:val="p"/>
            </m:rPr>
            <m:t>L</m:t>
          </m:r>
          <m:r>
            <m:rPr>
              <m:sty m:val="p"/>
            </m:rPr>
            <m:t>=</m:t>
          </m:r>
          <m:r>
            <m:t>U</m:t>
          </m:r>
          <m:r>
            <m:rPr>
              <m:sty m:val="p"/>
            </m:rPr>
            <m:t>(</m:t>
          </m:r>
          <m:r>
            <m:t>C</m:t>
          </m:r>
          <m:r>
            <m:rPr>
              <m:sty m:val="p"/>
            </m:rPr>
            <m:t>,</m:t>
          </m:r>
          <m:r>
            <m:t>L</m:t>
          </m:r>
          <m:r>
            <m:rPr>
              <m:sty m:val="p"/>
            </m:rPr>
            <m:t>)</m:t>
          </m:r>
          <m:r>
            <m:rPr>
              <m:sty m:val="p"/>
            </m:rPr>
            <m:t>+</m:t>
          </m:r>
          <m:r>
            <m:t>λ</m:t>
          </m:r>
          <m:r>
            <m:rPr>
              <m:sty m:val="p"/>
            </m:rPr>
            <m:t>(</m:t>
          </m:r>
          <m:r>
            <m:t>w</m:t>
          </m:r>
          <m:r>
            <m:t>T</m:t>
          </m:r>
          <m:r>
            <m:rPr>
              <m:sty m:val="p"/>
            </m:rPr>
            <m:t>+</m:t>
          </m:r>
          <m:r>
            <m:t>V</m:t>
          </m:r>
          <m:r>
            <m:rPr>
              <m:sty m:val="p"/>
            </m:rPr>
            <m:t>−</m:t>
          </m:r>
          <m:r>
            <m:t>C</m:t>
          </m:r>
          <m:r>
            <m:rPr>
              <m:sty m:val="p"/>
            </m:rPr>
            <m:t>−</m:t>
          </m:r>
          <m:r>
            <m:t>w</m:t>
          </m:r>
          <m:r>
            <m:t>L</m:t>
          </m:r>
          <m:r>
            <m:rPr>
              <m:sty m:val="p"/>
            </m:rPr>
            <m:t>)</m:t>
          </m:r>
        </m:oMath>
      </m:oMathPara>
    </w:p>
    <w:p>
      <w:pPr>
        <w:pStyle w:val="FirstParagraph"/>
      </w:pPr>
      <w:r>
        <w:t xml:space="preserve">As condições de primeira ordem (CPO) são:</w:t>
      </w:r>
    </w:p>
    <w:p>
      <w:pPr>
        <w:pStyle w:val="BodyText"/>
      </w:pPr>
      <m:oMathPara>
        <m:oMathParaPr>
          <m:jc m:val="center"/>
        </m:oMathParaPr>
        <m:oMath>
          <m:f>
            <m:fPr>
              <m:type m:val="bar"/>
            </m:fPr>
            <m:num>
              <m:r>
                <m:rPr>
                  <m:sty m:val="p"/>
                </m:rPr>
                <m:t>∂</m:t>
              </m:r>
              <m:r>
                <m:rPr>
                  <m:scr m:val="script"/>
                  <m:sty m:val="p"/>
                </m:rPr>
                <m:t>L</m:t>
              </m:r>
            </m:num>
            <m:den>
              <m:r>
                <m:rPr>
                  <m:sty m:val="p"/>
                </m:rPr>
                <m:t>∂</m:t>
              </m:r>
              <m:r>
                <m:t>C</m:t>
              </m:r>
            </m:den>
          </m:f>
          <m:r>
            <m:rPr>
              <m:sty m:val="p"/>
            </m:rPr>
            <m:t>=</m:t>
          </m:r>
          <m:sSub>
            <m:e>
              <m:r>
                <m:t>U</m:t>
              </m:r>
            </m:e>
            <m:sub>
              <m:r>
                <m:t>C</m:t>
              </m:r>
            </m:sub>
          </m:sSub>
          <m:r>
            <m:rPr>
              <m:sty m:val="p"/>
            </m:rPr>
            <m:t>−</m:t>
          </m:r>
          <m:r>
            <m:t>λ</m:t>
          </m:r>
          <m:r>
            <m:rPr>
              <m:sty m:val="p"/>
            </m:rPr>
            <m:t>=</m:t>
          </m:r>
          <m:r>
            <m:t>0</m:t>
          </m:r>
          <m:r>
            <m:t> </m:t>
          </m:r>
          <m:r>
            <m:rPr>
              <m:sty m:val="p"/>
            </m:rPr>
            <m:t>⇒</m:t>
          </m:r>
          <m:r>
            <m:t> </m:t>
          </m:r>
          <m:r>
            <m:t>λ</m:t>
          </m:r>
          <m:r>
            <m:rPr>
              <m:sty m:val="p"/>
            </m:rPr>
            <m:t>=</m:t>
          </m:r>
          <m:sSub>
            <m:e>
              <m:r>
                <m:t>U</m:t>
              </m:r>
            </m:e>
            <m:sub>
              <m:r>
                <m:t>C</m:t>
              </m:r>
            </m:sub>
          </m:sSub>
        </m:oMath>
      </m:oMathPara>
    </w:p>
    <w:p>
      <w:pPr>
        <w:pStyle w:val="FirstParagraph"/>
      </w:pPr>
      <m:oMathPara>
        <m:oMathParaPr>
          <m:jc m:val="center"/>
        </m:oMathParaPr>
        <m:oMath>
          <m:f>
            <m:fPr>
              <m:type m:val="bar"/>
            </m:fPr>
            <m:num>
              <m:r>
                <m:rPr>
                  <m:sty m:val="p"/>
                </m:rPr>
                <m:t>∂</m:t>
              </m:r>
              <m:r>
                <m:rPr>
                  <m:scr m:val="script"/>
                  <m:sty m:val="p"/>
                </m:rPr>
                <m:t>L</m:t>
              </m:r>
            </m:num>
            <m:den>
              <m:r>
                <m:rPr>
                  <m:sty m:val="p"/>
                </m:rPr>
                <m:t>∂</m:t>
              </m:r>
              <m:r>
                <m:t>L</m:t>
              </m:r>
            </m:den>
          </m:f>
          <m:r>
            <m:rPr>
              <m:sty m:val="p"/>
            </m:rPr>
            <m:t>=</m:t>
          </m:r>
          <m:sSub>
            <m:e>
              <m:r>
                <m:t>U</m:t>
              </m:r>
            </m:e>
            <m:sub>
              <m:r>
                <m:t>L</m:t>
              </m:r>
            </m:sub>
          </m:sSub>
          <m:r>
            <m:rPr>
              <m:sty m:val="p"/>
            </m:rPr>
            <m:t>−</m:t>
          </m:r>
          <m:r>
            <m:t>λ</m:t>
          </m:r>
          <m:r>
            <m:t>w</m:t>
          </m:r>
          <m:r>
            <m:rPr>
              <m:sty m:val="p"/>
            </m:rPr>
            <m:t>=</m:t>
          </m:r>
          <m:r>
            <m:t>0</m:t>
          </m:r>
          <m:r>
            <m:t> </m:t>
          </m:r>
          <m:r>
            <m:rPr>
              <m:sty m:val="p"/>
            </m:rPr>
            <m:t>⇒</m:t>
          </m:r>
          <m:r>
            <m:t> </m:t>
          </m:r>
          <m:sSub>
            <m:e>
              <m:r>
                <m:t>U</m:t>
              </m:r>
            </m:e>
            <m:sub>
              <m:r>
                <m:t>L</m:t>
              </m:r>
            </m:sub>
          </m:sSub>
          <m:r>
            <m:rPr>
              <m:sty m:val="p"/>
            </m:rPr>
            <m:t>=</m:t>
          </m:r>
          <m:r>
            <m:t>λ</m:t>
          </m:r>
          <m:r>
            <m:t>w</m:t>
          </m:r>
        </m:oMath>
      </m:oMathPara>
    </w:p>
    <w:p>
      <w:pPr>
        <w:pStyle w:val="FirstParagraph"/>
      </w:pPr>
      <m:oMathPara>
        <m:oMathParaPr>
          <m:jc m:val="center"/>
        </m:oMathParaPr>
        <m:oMath>
          <m:f>
            <m:fPr>
              <m:type m:val="bar"/>
            </m:fPr>
            <m:num>
              <m:r>
                <m:rPr>
                  <m:sty m:val="p"/>
                </m:rPr>
                <m:t>∂</m:t>
              </m:r>
              <m:r>
                <m:rPr>
                  <m:scr m:val="script"/>
                  <m:sty m:val="p"/>
                </m:rPr>
                <m:t>L</m:t>
              </m:r>
            </m:num>
            <m:den>
              <m:r>
                <m:rPr>
                  <m:sty m:val="p"/>
                </m:rPr>
                <m:t>∂</m:t>
              </m:r>
              <m:r>
                <m:t>λ</m:t>
              </m:r>
            </m:den>
          </m:f>
          <m:r>
            <m:rPr>
              <m:sty m:val="p"/>
            </m:rPr>
            <m:t>=</m:t>
          </m:r>
          <m:r>
            <m:t>w</m:t>
          </m:r>
          <m:r>
            <m:t>T</m:t>
          </m:r>
          <m:r>
            <m:rPr>
              <m:sty m:val="p"/>
            </m:rPr>
            <m:t>+</m:t>
          </m:r>
          <m:r>
            <m:t>V</m:t>
          </m:r>
          <m:r>
            <m:rPr>
              <m:sty m:val="p"/>
            </m:rPr>
            <m:t>−</m:t>
          </m:r>
          <m:r>
            <m:t>C</m:t>
          </m:r>
          <m:r>
            <m:rPr>
              <m:sty m:val="p"/>
            </m:rPr>
            <m:t>−</m:t>
          </m:r>
          <m:r>
            <m:t>w</m:t>
          </m:r>
          <m:r>
            <m:t>L</m:t>
          </m:r>
          <m:r>
            <m:rPr>
              <m:sty m:val="p"/>
            </m:rPr>
            <m:t>=</m:t>
          </m:r>
          <m:r>
            <m:t>0</m:t>
          </m:r>
        </m:oMath>
      </m:oMathPara>
    </w:p>
    <w:p>
      <w:pPr>
        <w:pStyle w:val="FirstParagraph"/>
      </w:pPr>
      <w:r>
        <w:t xml:space="preserve">Combinando as duas primeiras:</w:t>
      </w:r>
    </w:p>
    <w:p>
      <w:pPr>
        <w:pStyle w:val="BodyText"/>
      </w:pPr>
      <w:r>
        <w:t xml:space="preserve">$$
    \frac{U_L}{U_C} = w
    \label{eq:17.6} \tag{17.6} 
    $$</w:t>
      </w:r>
    </w:p>
    <w:bookmarkEnd w:id="1063"/>
    <w:bookmarkStart w:id="1064" w:name="efeitos-de-uma-variação-salarial"/>
    <w:p>
      <w:pPr>
        <w:pStyle w:val="Heading4"/>
      </w:pPr>
      <w:r>
        <w:t xml:space="preserve">Efeitos de uma variação salarial</w:t>
      </w:r>
    </w:p>
    <w:p>
      <w:pPr>
        <w:pStyle w:val="BlockText"/>
      </w:pPr>
      <w:r>
        <w:rPr>
          <w:b/>
          <w:bCs/>
        </w:rPr>
        <w:t xml:space="preserve">[DEMONSTRACAO] Demonstração: Derivação da oferta de trabalho e decomposição de Slutsky</w:t>
      </w:r>
    </w:p>
    <w:p>
      <w:pPr>
        <w:pStyle w:val="BlockText"/>
      </w:pPr>
      <w:r>
        <w:t xml:space="preserve">Considere a função de utilidade</w:t>
      </w:r>
      <w:r>
        <w:t xml:space="preserve"> </w:t>
      </w:r>
      <m:oMath>
        <m:r>
          <m:t>U</m:t>
        </m:r>
        <m:r>
          <m:rPr>
            <m:sty m:val="p"/>
          </m:rPr>
          <m:t>(</m:t>
        </m:r>
        <m:r>
          <m:t>C</m:t>
        </m:r>
        <m:r>
          <m:rPr>
            <m:sty m:val="p"/>
          </m:rPr>
          <m:t>,</m:t>
        </m:r>
        <m:r>
          <m:t>L</m:t>
        </m:r>
        <m:r>
          <m:rPr>
            <m:sty m:val="p"/>
          </m:rPr>
          <m:t>)</m:t>
        </m:r>
      </m:oMath>
      <w:r>
        <w:t xml:space="preserve"> </w:t>
      </w:r>
      <w:r>
        <w:t xml:space="preserve">e a restrição</w:t>
      </w:r>
      <w:r>
        <w:t xml:space="preserve"> </w:t>
      </w:r>
      <m:oMath>
        <m:r>
          <m:t>C</m:t>
        </m:r>
        <m:r>
          <m:rPr>
            <m:sty m:val="p"/>
          </m:rPr>
          <m:t>=</m:t>
        </m:r>
        <m:r>
          <m:t>w</m:t>
        </m:r>
        <m:r>
          <m:rPr>
            <m:sty m:val="p"/>
          </m:rPr>
          <m:t>(</m:t>
        </m:r>
        <m:r>
          <m:t>T</m:t>
        </m:r>
        <m:r>
          <m:rPr>
            <m:sty m:val="p"/>
          </m:rPr>
          <m:t>−</m:t>
        </m:r>
        <m:r>
          <m:t>L</m:t>
        </m:r>
        <m:r>
          <m:rPr>
            <m:sty m:val="p"/>
          </m:rPr>
          <m:t>)</m:t>
        </m:r>
        <m:r>
          <m:rPr>
            <m:sty m:val="p"/>
          </m:rPr>
          <m:t>+</m:t>
        </m:r>
        <m:r>
          <m:t>V</m:t>
        </m:r>
      </m:oMath>
      <w:r>
        <w:t xml:space="preserve">. As demandas marshallianas são</w:t>
      </w:r>
      <w:r>
        <w:t xml:space="preserve"> </w:t>
      </w:r>
      <m:oMath>
        <m:sSup>
          <m:e>
            <m:r>
              <m:t>L</m:t>
            </m:r>
          </m:e>
          <m:sup>
            <m:r>
              <m:rPr>
                <m:sty m:val="p"/>
              </m:rPr>
              <m:t>*</m:t>
            </m:r>
          </m:sup>
        </m:sSup>
        <m:r>
          <m:rPr>
            <m:sty m:val="p"/>
          </m:rPr>
          <m:t>(</m:t>
        </m:r>
        <m:r>
          <m:t>w</m:t>
        </m:r>
        <m:r>
          <m:rPr>
            <m:sty m:val="p"/>
          </m:rPr>
          <m:t>,</m:t>
        </m:r>
        <m:r>
          <m:t>V</m:t>
        </m:r>
        <m:r>
          <m:rPr>
            <m:sty m:val="p"/>
          </m:rPr>
          <m:t>)</m:t>
        </m:r>
      </m:oMath>
      <w:r>
        <w:t xml:space="preserve"> </w:t>
      </w:r>
      <w:r>
        <w:t xml:space="preserve">e</w:t>
      </w:r>
      <w:r>
        <w:t xml:space="preserve"> </w:t>
      </w:r>
      <m:oMath>
        <m:sSup>
          <m:e>
            <m:r>
              <m:t>C</m:t>
            </m:r>
          </m:e>
          <m:sup>
            <m:r>
              <m:rPr>
                <m:sty m:val="p"/>
              </m:rPr>
              <m:t>*</m:t>
            </m:r>
          </m:sup>
        </m:sSup>
        <m:r>
          <m:rPr>
            <m:sty m:val="p"/>
          </m:rPr>
          <m:t>(</m:t>
        </m:r>
        <m:r>
          <m:t>w</m:t>
        </m:r>
        <m:r>
          <m:rPr>
            <m:sty m:val="p"/>
          </m:rPr>
          <m:t>,</m:t>
        </m:r>
        <m:r>
          <m:t>V</m:t>
        </m:r>
        <m:r>
          <m:rPr>
            <m:sty m:val="p"/>
          </m:rPr>
          <m:t>)</m:t>
        </m:r>
      </m:oMath>
      <w:r>
        <w:t xml:space="preserve">, de modo que a oferta de trabalho é</w:t>
      </w:r>
      <w:r>
        <w:t xml:space="preserve"> </w:t>
      </w:r>
      <m:oMath>
        <m:sSup>
          <m:e>
            <m:r>
              <m:t>h</m:t>
            </m:r>
          </m:e>
          <m:sup>
            <m:r>
              <m:rPr>
                <m:sty m:val="p"/>
              </m:rPr>
              <m:t>*</m:t>
            </m:r>
          </m:sup>
        </m:sSup>
        <m:r>
          <m:rPr>
            <m:sty m:val="p"/>
          </m:rPr>
          <m:t>(</m:t>
        </m:r>
        <m:r>
          <m:t>w</m:t>
        </m:r>
        <m:r>
          <m:rPr>
            <m:sty m:val="p"/>
          </m:rPr>
          <m:t>,</m:t>
        </m:r>
        <m:r>
          <m:t>V</m:t>
        </m:r>
        <m:r>
          <m:rPr>
            <m:sty m:val="p"/>
          </m:rPr>
          <m:t>)</m:t>
        </m:r>
        <m:r>
          <m:rPr>
            <m:sty m:val="p"/>
          </m:rPr>
          <m:t>=</m:t>
        </m:r>
        <m:r>
          <m:t>T</m:t>
        </m:r>
        <m:r>
          <m:rPr>
            <m:sty m:val="p"/>
          </m:rPr>
          <m:t>−</m:t>
        </m:r>
        <m:sSup>
          <m:e>
            <m:r>
              <m:t>L</m:t>
            </m:r>
          </m:e>
          <m:sup>
            <m:r>
              <m:rPr>
                <m:sty m:val="p"/>
              </m:rPr>
              <m:t>*</m:t>
            </m:r>
          </m:sup>
        </m:sSup>
        <m:r>
          <m:rPr>
            <m:sty m:val="p"/>
          </m:rPr>
          <m:t>(</m:t>
        </m:r>
        <m:r>
          <m:t>w</m:t>
        </m:r>
        <m:r>
          <m:rPr>
            <m:sty m:val="p"/>
          </m:rPr>
          <m:t>,</m:t>
        </m:r>
        <m:r>
          <m:t>V</m:t>
        </m:r>
        <m:r>
          <m:rPr>
            <m:sty m:val="p"/>
          </m:rPr>
          <m:t>)</m:t>
        </m:r>
      </m:oMath>
      <w:r>
        <w:t xml:space="preserve">.</w:t>
      </w:r>
    </w:p>
    <w:p>
      <w:pPr>
        <w:pStyle w:val="BlockText"/>
      </w:pPr>
      <w:r>
        <w:t xml:space="preserve">Para analisar o efeito de uma variação no salário sobre a oferta de trabalho, aplicamos a</w:t>
      </w:r>
      <w:r>
        <w:t xml:space="preserve"> </w:t>
      </w:r>
      <w:r>
        <w:rPr>
          <w:b/>
          <w:bCs/>
        </w:rPr>
        <w:t xml:space="preserve">equação de Slutsky</w:t>
      </w:r>
      <w:r>
        <w:t xml:space="preserve"> </w:t>
      </w:r>
      <w:r>
        <w:t xml:space="preserve">adaptada ao modelo trabalho-lazer. Como o lazer tem um</w:t>
      </w:r>
      <w:r>
        <w:t xml:space="preserve"> </w:t>
      </w:r>
      <w:r>
        <w:t xml:space="preserve">“preço”</w:t>
      </w:r>
      <w:r>
        <w:t xml:space="preserve"> </w:t>
      </w:r>
      <w:r>
        <w:t xml:space="preserve">igual a</w:t>
      </w:r>
      <w:r>
        <w:t xml:space="preserve"> </w:t>
      </w:r>
      <m:oMath>
        <m:r>
          <m:t>w</m:t>
        </m:r>
      </m:oMath>
      <w:r>
        <w:t xml:space="preserve">, temos:</w:t>
      </w:r>
    </w:p>
    <w:p>
      <w:pPr>
        <w:pStyle w:val="BlockText"/>
      </w:pPr>
      <w:r>
        <w:t xml:space="preserve">$$</w:t>
      </w:r>
    </w:p>
    <w:p>
      <w:pPr>
        <w:pStyle w:val="BlockText"/>
      </w:pPr>
      <w:r>
        <w:t xml:space="preserve"> </w:t>
      </w:r>
      <w:r>
        <w:t xml:space="preserve">=</w:t>
      </w:r>
      <w:r>
        <w:t xml:space="preserve"> </w:t>
      </w:r>
      <w:r>
        <w:rPr>
          <w:i/>
          <w:iCs/>
        </w:rPr>
        <w:t xml:space="preserve">{</w:t>
      </w:r>
      <w:r>
        <w:rPr>
          <w:i/>
          <w:iCs/>
        </w:rPr>
        <w:t xml:space="preserve">} +</w:t>
      </w:r>
      <w:r>
        <w:rPr>
          <w:i/>
          <w:iCs/>
        </w:rPr>
        <w:t xml:space="preserve"> </w:t>
      </w:r>
      <w:r>
        <w:t xml:space="preserve">{</w:t>
      </w:r>
      <w:r>
        <w:t xml:space="preserve">}</w:t>
      </w:r>
      <w:r>
        <w:t xml:space="preserve"> </w:t>
      </w:r>
      <w:r>
        <w:t xml:space="preserve"> </w:t>
      </w:r>
      <w:r>
        <w:t xml:space="preserve"> </w:t>
      </w:r>
      <w:r>
        <w:t xml:space="preserve">$$</w:t>
      </w:r>
    </w:p>
    <w:p>
      <w:pPr>
        <w:pStyle w:val="BlockText"/>
      </w:pPr>
      <w:r>
        <w:t xml:space="preserve">Note que, diferentemente do caso padrão do consumidor, a variação no</w:t>
      </w:r>
      <w:r>
        <w:t xml:space="preserve"> </w:t>
      </w:r>
      <w:r>
        <w:t xml:space="preserve">“preço”</w:t>
      </w:r>
      <w:r>
        <w:t xml:space="preserve"> </w:t>
      </w:r>
      <w:r>
        <w:t xml:space="preserve">do lazer (</w:t>
      </w:r>
      <m:oMath>
        <m:r>
          <m:t>w</m:t>
        </m:r>
      </m:oMath>
      <w:r>
        <w:t xml:space="preserve">) também altera a renda plena. Por isso, o efeito renda é multiplicado por</w:t>
      </w:r>
      <w:r>
        <w:t xml:space="preserve"> </w:t>
      </w:r>
      <m:oMath>
        <m:r>
          <m:rPr>
            <m:sty m:val="p"/>
          </m:rPr>
          <m:t>(</m:t>
        </m:r>
        <m:r>
          <m:t>T</m:t>
        </m:r>
        <m:r>
          <m:rPr>
            <m:sty m:val="p"/>
          </m:rPr>
          <m:t>−</m:t>
        </m:r>
        <m:sSup>
          <m:e>
            <m:r>
              <m:t>L</m:t>
            </m:r>
          </m:e>
          <m:sup>
            <m:r>
              <m:rPr>
                <m:sty m:val="p"/>
              </m:rPr>
              <m:t>*</m:t>
            </m:r>
          </m:sup>
        </m:sSup>
        <m:r>
          <m:rPr>
            <m:sty m:val="p"/>
          </m:rPr>
          <m:t>)</m:t>
        </m:r>
        <m:r>
          <m:rPr>
            <m:sty m:val="p"/>
          </m:rPr>
          <m:t>=</m:t>
        </m:r>
        <m:sSup>
          <m:e>
            <m:r>
              <m:t>h</m:t>
            </m:r>
          </m:e>
          <m:sup>
            <m:r>
              <m:rPr>
                <m:sty m:val="p"/>
              </m:rPr>
              <m:t>*</m:t>
            </m:r>
          </m:sup>
        </m:sSup>
      </m:oMath>
      <w:r>
        <w:t xml:space="preserve">, as horas trabalhadas.</w:t>
      </w:r>
    </w:p>
    <w:p>
      <w:pPr>
        <w:pStyle w:val="BlockText"/>
      </w:pPr>
      <w:r>
        <w:rPr>
          <w:b/>
          <w:bCs/>
        </w:rPr>
        <w:t xml:space="preserve">Efeito substituição</w:t>
      </w:r>
      <w:r>
        <w:t xml:space="preserve"> </w:t>
      </w:r>
      <w:r>
        <w:t xml:space="preserve">(</w:t>
      </w:r>
      <m:oMath>
        <m:r>
          <m:rPr>
            <m:sty m:val="p"/>
          </m:rPr>
          <m:t>∂</m:t>
        </m:r>
        <m:sSup>
          <m:e>
            <m:r>
              <m:t>L</m:t>
            </m:r>
          </m:e>
          <m:sup>
            <m:r>
              <m:t>c</m:t>
            </m:r>
          </m:sup>
        </m:sSup>
        <m:r>
          <m:rPr>
            <m:sty m:val="p"/>
          </m:rPr>
          <m:t>/</m:t>
        </m:r>
        <m:r>
          <m:rPr>
            <m:sty m:val="p"/>
          </m:rPr>
          <m:t>∂</m:t>
        </m:r>
        <m:r>
          <m:t>w</m:t>
        </m:r>
        <m:r>
          <m:rPr>
            <m:sty m:val="p"/>
          </m:rPr>
          <m:t>&lt;</m:t>
        </m:r>
        <m:r>
          <m:t>0</m:t>
        </m:r>
      </m:oMath>
      <w:r>
        <w:t xml:space="preserve">): um aumento no salário encarece o lazer relativamente ao consumo. Mantida a utilidade constante, o indivíduo substitui lazer por consumo, ou seja, trabalha mais. O efeito substituição é sempre negativo sobre o lazer (positivo sobre a oferta de trabalho).</w:t>
      </w:r>
    </w:p>
    <w:p>
      <w:pPr>
        <w:pStyle w:val="BlockText"/>
      </w:pPr>
      <w:r>
        <w:rPr>
          <w:b/>
          <w:bCs/>
        </w:rPr>
        <w:t xml:space="preserve">Efeito renda</w:t>
      </w:r>
      <w:r>
        <w:t xml:space="preserve"> </w:t>
      </w:r>
      <w:r>
        <w:t xml:space="preserve">(</w:t>
      </w:r>
      <m:oMath>
        <m:r>
          <m:rPr>
            <m:sty m:val="p"/>
          </m:rPr>
          <m:t>−</m:t>
        </m:r>
        <m:sSup>
          <m:e>
            <m:r>
              <m:t>h</m:t>
            </m:r>
          </m:e>
          <m:sup>
            <m:r>
              <m:rPr>
                <m:sty m:val="p"/>
              </m:rPr>
              <m:t>*</m:t>
            </m:r>
          </m:sup>
        </m:sSup>
        <m:r>
          <m:rPr>
            <m:sty m:val="p"/>
          </m:rPr>
          <m:t>⋅</m:t>
        </m:r>
        <m:r>
          <m:rPr>
            <m:sty m:val="p"/>
          </m:rPr>
          <m:t>∂</m:t>
        </m:r>
        <m:sSup>
          <m:e>
            <m:r>
              <m:t>L</m:t>
            </m:r>
          </m:e>
          <m:sup>
            <m:r>
              <m:rPr>
                <m:sty m:val="p"/>
              </m:rPr>
              <m:t>*</m:t>
            </m:r>
          </m:sup>
        </m:sSup>
        <m:r>
          <m:rPr>
            <m:sty m:val="p"/>
          </m:rPr>
          <m:t>/</m:t>
        </m:r>
        <m:r>
          <m:rPr>
            <m:sty m:val="p"/>
          </m:rPr>
          <m:t>∂</m:t>
        </m:r>
        <m:r>
          <m:t>V</m:t>
        </m:r>
      </m:oMath>
      <w:r>
        <w:t xml:space="preserve">): se o lazer é um bem normal (</w:t>
      </w:r>
      <m:oMath>
        <m:r>
          <m:rPr>
            <m:sty m:val="p"/>
          </m:rPr>
          <m:t>∂</m:t>
        </m:r>
        <m:sSup>
          <m:e>
            <m:r>
              <m:t>L</m:t>
            </m:r>
          </m:e>
          <m:sup>
            <m:r>
              <m:rPr>
                <m:sty m:val="p"/>
              </m:rPr>
              <m:t>*</m:t>
            </m:r>
          </m:sup>
        </m:sSup>
        <m:r>
          <m:rPr>
            <m:sty m:val="p"/>
          </m:rPr>
          <m:t>/</m:t>
        </m:r>
        <m:r>
          <m:rPr>
            <m:sty m:val="p"/>
          </m:rPr>
          <m:t>∂</m:t>
        </m:r>
        <m:r>
          <m:t>V</m:t>
        </m:r>
        <m:r>
          <m:rPr>
            <m:sty m:val="p"/>
          </m:rPr>
          <m:t>&gt;</m:t>
        </m:r>
        <m:r>
          <m:t>0</m:t>
        </m:r>
      </m:oMath>
      <w:r>
        <w:t xml:space="preserve">), o aumento da renda real causado pelo salário maior leva o indivíduo a demandar mais lazer, ou seja, trabalhar menos. O efeito renda é negativo sobre a oferta de trabalho.</w:t>
      </w:r>
    </w:p>
    <w:p>
      <w:pPr>
        <w:pStyle w:val="BlockText"/>
      </w:pPr>
      <w:r>
        <w:t xml:space="preserve">Portanto, para a oferta de trabalho</w:t>
      </w:r>
      <w:r>
        <w:t xml:space="preserve"> </w:t>
      </w:r>
      <m:oMath>
        <m:sSup>
          <m:e>
            <m:r>
              <m:t>h</m:t>
            </m:r>
          </m:e>
          <m:sup>
            <m:r>
              <m:rPr>
                <m:sty m:val="p"/>
              </m:rPr>
              <m:t>*</m:t>
            </m:r>
          </m:sup>
        </m:sSup>
        <m:r>
          <m:rPr>
            <m:sty m:val="p"/>
          </m:rPr>
          <m:t>=</m:t>
        </m:r>
        <m:r>
          <m:t>T</m:t>
        </m:r>
        <m:r>
          <m:rPr>
            <m:sty m:val="p"/>
          </m:rPr>
          <m:t>−</m:t>
        </m:r>
        <m:sSup>
          <m:e>
            <m:r>
              <m:t>L</m:t>
            </m:r>
          </m:e>
          <m:sup>
            <m:r>
              <m:rPr>
                <m:sty m:val="p"/>
              </m:rPr>
              <m:t>*</m:t>
            </m:r>
          </m:sup>
        </m:sSup>
      </m:oMath>
      <w:r>
        <w:t xml:space="preserve">:</w:t>
      </w:r>
    </w:p>
    <w:p>
      <w:pPr>
        <w:pStyle w:val="BlockText"/>
      </w:pPr>
      <w:r>
        <w:t xml:space="preserve">$$</w:t>
      </w:r>
    </w:p>
    <w:p>
      <w:pPr>
        <w:pStyle w:val="BlockText"/>
      </w:pPr>
      <w:r>
        <w:t xml:space="preserve"> </w:t>
      </w:r>
      <w:r>
        <w:t xml:space="preserve">=</w:t>
      </w:r>
      <w:r>
        <w:t xml:space="preserve"> </w:t>
      </w:r>
      <w:r>
        <w:rPr>
          <w:i/>
          <w:iCs/>
        </w:rPr>
        <w:t xml:space="preserve">{&gt;0} +</w:t>
      </w:r>
      <w:r>
        <w:rPr>
          <w:i/>
          <w:iCs/>
        </w:rPr>
        <w:t xml:space="preserve"> </w:t>
      </w:r>
      <w:r>
        <w:t xml:space="preserve">{&lt;0</w:t>
      </w:r>
      <w:r>
        <w:t xml:space="preserve"> </w:t>
      </w:r>
      <w:r>
        <w:t xml:space="preserve"> </w:t>
      </w:r>
      <w:r>
        <w:t xml:space="preserve">L</w:t>
      </w:r>
      <w:r>
        <w:t xml:space="preserve"> </w:t>
      </w:r>
      <w:r>
        <w:t xml:space="preserve">}</w:t>
      </w:r>
      <w:r>
        <w:t xml:space="preserve"> </w:t>
      </w:r>
      <w:r>
        <w:t xml:space="preserve"> </w:t>
      </w:r>
      <w:r>
        <w:t xml:space="preserve"> </w:t>
      </w:r>
      <w:r>
        <w:t xml:space="preserve">$$</w:t>
      </w:r>
    </w:p>
    <w:p>
      <w:pPr>
        <w:pStyle w:val="BlockText"/>
      </w:pPr>
      <w:r>
        <w:t xml:space="preserve">Na equação Eq. (eq:17.8), o sinal de</w:t>
      </w:r>
      <w:r>
        <w:t xml:space="preserve"> </w:t>
      </w:r>
      <m:oMath>
        <m:r>
          <m:rPr>
            <m:sty m:val="p"/>
          </m:rPr>
          <m:t>∂</m:t>
        </m:r>
        <m:sSup>
          <m:e>
            <m:r>
              <m:t>h</m:t>
            </m:r>
          </m:e>
          <m:sup>
            <m:r>
              <m:rPr>
                <m:sty m:val="p"/>
              </m:rPr>
              <m:t>*</m:t>
            </m:r>
          </m:sup>
        </m:sSup>
        <m:r>
          <m:rPr>
            <m:sty m:val="p"/>
          </m:rPr>
          <m:t>/</m:t>
        </m:r>
        <m:r>
          <m:rPr>
            <m:sty m:val="p"/>
          </m:rPr>
          <m:t>∂</m:t>
        </m:r>
        <m:r>
          <m:t>w</m:t>
        </m:r>
      </m:oMath>
      <w:r>
        <w:t xml:space="preserve"> </w:t>
      </w:r>
      <w:r>
        <w:t xml:space="preserve">é</w:t>
      </w:r>
      <w:r>
        <w:t xml:space="preserve"> </w:t>
      </w:r>
      <w:r>
        <w:rPr>
          <w:b/>
          <w:bCs/>
        </w:rPr>
        <w:t xml:space="preserve">ambíguo</w:t>
      </w:r>
      <w:r>
        <w:t xml:space="preserve">: depende de qual efeito domina. Para salários baixos, o efeito substituição tende a dominar; para salários altos, o efeito renda pode prevalecer.</w:t>
      </w:r>
      <w:r>
        <w:t xml:space="preserve"> </w:t>
      </w:r>
      <m:oMath>
        <m:r>
          <m:rPr>
            <m:sty m:val="p"/>
          </m:rPr>
          <m:t>◼</m:t>
        </m:r>
      </m:oMath>
    </w:p>
    <w:bookmarkEnd w:id="1064"/>
    <w:bookmarkStart w:id="1065" w:name="X1d0e64fcc2eaa56eacc239bf742758250d90e1b"/>
    <w:p>
      <w:pPr>
        <w:pStyle w:val="Heading4"/>
      </w:pPr>
      <w:r>
        <w:t xml:space="preserve">Conexão intertemporal: elasticidade de Frisch e o modelo de ciclo de vida</w:t>
      </w:r>
    </w:p>
    <w:p>
      <w:pPr>
        <w:pStyle w:val="FirstParagraph"/>
      </w:pPr>
      <w:r>
        <w:t xml:space="preserve">A decomposição de Slutsky apresentada acima trata a oferta de trabalho em um contexto estático — um único período. No Capítulo 18, estenderemos a análise para o contexto intertemporal, no qual o trabalhador aloca não apenas entre consumo e lazer em cada período, mas também entre consumo presente e futuro. Nesse arcabouço, a oferta de trabalho torna-se uma decisão de</w:t>
      </w:r>
      <w:r>
        <w:t xml:space="preserve"> </w:t>
      </w:r>
      <w:r>
        <w:rPr>
          <w:b/>
          <w:bCs/>
        </w:rPr>
        <w:t xml:space="preserve">substituição intertemporal de lazer</w:t>
      </w:r>
      <w:r>
        <w:t xml:space="preserve">: o trabalhador pode escolher trabalhar mais hoje (quando o salário é alto) e menos amanhã (ou vice-versa), suavizando o consumo ao longo do tempo via poupança e endividamento.</w:t>
      </w:r>
    </w:p>
    <w:p>
      <w:pPr>
        <w:pStyle w:val="BodyText"/>
      </w:pPr>
      <w:r>
        <w:t xml:space="preserve">Essa extensão dá origem a um conceito fundamental na macroeconomia moderna: a</w:t>
      </w:r>
      <w:r>
        <w:t xml:space="preserve"> </w:t>
      </w:r>
      <w:r>
        <w:rPr>
          <w:b/>
          <w:bCs/>
        </w:rPr>
        <w:t xml:space="preserve">elasticidade de Frisch</w:t>
      </w:r>
      <w:r>
        <w:t xml:space="preserve"> </w:t>
      </w:r>
      <w:r>
        <w:t xml:space="preserve">(ou elasticidade da oferta de trabalho com utilidade marginal da riqueza constante). Enquanto a elasticidade marshalliana (não compensada) e a elasticidade hicksiana (compensada) capturam, respectivamente, os efeitos totais e substituição em um período, a elasticidade de Frisch mede a resposta da oferta de trabalho a variações salariais</w:t>
      </w:r>
      <w:r>
        <w:t xml:space="preserve"> </w:t>
      </w:r>
      <w:r>
        <w:rPr>
          <w:b/>
          <w:bCs/>
        </w:rPr>
        <w:t xml:space="preserve">mantendo constante a utilidade marginal da riqueza</w:t>
      </w:r>
      <w:r>
        <w:t xml:space="preserve"> </w:t>
      </w:r>
      <w:r>
        <w:t xml:space="preserve">— ou seja, controlando para o nível de riqueza intertemporal do agente. Formalmente:</w:t>
      </w:r>
    </w:p>
    <w:p>
      <w:pPr>
        <w:pStyle w:val="BodyText"/>
      </w:pPr>
      <m:oMathPara>
        <m:oMathParaPr>
          <m:jc m:val="center"/>
        </m:oMathParaPr>
        <m:oMath>
          <m:sSup>
            <m:e>
              <m:r>
                <m:t>η</m:t>
              </m:r>
            </m:e>
            <m:sup>
              <m:r>
                <m:t>F</m:t>
              </m:r>
            </m:sup>
          </m:sSup>
          <m:r>
            <m:rPr>
              <m:sty m:val="p"/>
            </m:rPr>
            <m:t>=</m:t>
          </m:r>
          <m:f>
            <m:fPr>
              <m:type m:val="bar"/>
            </m:fPr>
            <m:num>
              <m:r>
                <m:rPr>
                  <m:sty m:val="p"/>
                </m:rPr>
                <m:t>∂</m:t>
              </m:r>
              <m:r>
                <m:rPr>
                  <m:sty m:val="p"/>
                </m:rPr>
                <m:t>ln</m:t>
              </m:r>
              <m:r>
                <m:t>h</m:t>
              </m:r>
            </m:num>
            <m:den>
              <m:r>
                <m:rPr>
                  <m:sty m:val="p"/>
                </m:rPr>
                <m:t>∂</m:t>
              </m:r>
              <m:r>
                <m:rPr>
                  <m:sty m:val="p"/>
                </m:rPr>
                <m:t>ln</m:t>
              </m:r>
              <m:r>
                <m:t>w</m:t>
              </m:r>
            </m:den>
          </m:f>
          <m:sSub>
            <m:e>
              <m:r>
                <m:rPr>
                  <m:sty m:val="p"/>
                </m:rPr>
                <m:t>|</m:t>
              </m:r>
            </m:e>
            <m:sub>
              <m:acc>
                <m:accPr>
                  <m:chr m:val="‾"/>
                </m:accPr>
                <m:e>
                  <m:r>
                    <m:t>λ</m:t>
                  </m:r>
                </m:e>
              </m:acc>
            </m:sub>
          </m:sSub>
        </m:oMath>
      </m:oMathPara>
    </w:p>
    <w:p>
      <w:pPr>
        <w:pStyle w:val="FirstParagraph"/>
      </w:pPr>
      <w:r>
        <w:t xml:space="preserve">onde</w:t>
      </w:r>
      <w:r>
        <w:t xml:space="preserve"> </w:t>
      </w:r>
      <m:oMath>
        <m:acc>
          <m:accPr>
            <m:chr m:val="‾"/>
          </m:accPr>
          <m:e>
            <m:r>
              <m:t>λ</m:t>
            </m:r>
          </m:e>
        </m:acc>
      </m:oMath>
      <w:r>
        <w:t xml:space="preserve"> </w:t>
      </w:r>
      <w:r>
        <w:t xml:space="preserve">denota a utilidade marginal da riqueza mantida constante. A elasticidade de Frisch é sempre maior ou igual à elasticidade hicksiana, pois permite a substituição intertemporal de lazer entre períodos.</w:t>
      </w:r>
    </w:p>
    <w:p>
      <w:pPr>
        <w:pStyle w:val="BodyText"/>
      </w:pPr>
      <w:r>
        <w:t xml:space="preserve">Na prática, a elasticidade de Frisch é central para modelos de ciclo real de negócios (</w:t>
      </w:r>
      <w:r>
        <w:rPr>
          <w:i/>
          <w:iCs/>
        </w:rPr>
        <w:t xml:space="preserve">Real Business Cycle</w:t>
      </w:r>
      <w:r>
        <w:t xml:space="preserve">) e para a análise de reformas tributárias: ela determina quanto os trabalhadores ajustam suas horas em resposta a variações temporárias nos salários (como bônus, horas extras em períodos de pico, ou incentivos fiscais temporários). Estimativas empíricas sugerem valores entre 0,5 e 1,0 para a elasticidade de Frisch agregada, significativamente maiores do que a elasticidade marshalliana (que tende a ser próxima de zero para homens). Essa diferença reflete o fato de que trabalhadores respondem muito mais a variações</w:t>
      </w:r>
      <w:r>
        <w:t xml:space="preserve"> </w:t>
      </w:r>
      <w:r>
        <w:rPr>
          <w:b/>
          <w:bCs/>
        </w:rPr>
        <w:t xml:space="preserve">temporárias</w:t>
      </w:r>
      <w:r>
        <w:t xml:space="preserve"> </w:t>
      </w:r>
      <w:r>
        <w:t xml:space="preserve">do salário do que a variações permanentes — precisamente porque podem substituir lazer intertemporalmente.</w:t>
      </w:r>
    </w:p>
    <w:bookmarkEnd w:id="1065"/>
    <w:bookmarkStart w:id="1066" w:name="exemplo-com-cobb-douglas"/>
    <w:p>
      <w:pPr>
        <w:pStyle w:val="Heading4"/>
      </w:pPr>
      <w:r>
        <w:t xml:space="preserve">Exemplo com Cobb-Douglas</w:t>
      </w:r>
    </w:p>
    <w:p>
      <w:pPr>
        <w:pStyle w:val="FirstParagraph"/>
      </w:pPr>
      <w:r>
        <w:t xml:space="preserve">Suponha</w:t>
      </w:r>
      <w:r>
        <w:t xml:space="preserve"> </w:t>
      </w:r>
      <m:oMath>
        <m:r>
          <m:t>U</m:t>
        </m:r>
        <m:r>
          <m:rPr>
            <m:sty m:val="p"/>
          </m:rPr>
          <m:t>(</m:t>
        </m:r>
        <m:r>
          <m:t>C</m:t>
        </m:r>
        <m:r>
          <m:rPr>
            <m:sty m:val="p"/>
          </m:rPr>
          <m:t>,</m:t>
        </m:r>
        <m:r>
          <m:t>L</m:t>
        </m:r>
        <m:r>
          <m:rPr>
            <m:sty m:val="p"/>
          </m:rPr>
          <m:t>)</m:t>
        </m:r>
        <m:r>
          <m:rPr>
            <m:sty m:val="p"/>
          </m:rPr>
          <m:t>=</m:t>
        </m:r>
        <m:sSup>
          <m:e>
            <m:r>
              <m:t>C</m:t>
            </m:r>
          </m:e>
          <m:sup>
            <m:r>
              <m:t>α</m:t>
            </m:r>
          </m:sup>
        </m:sSup>
        <m:sSup>
          <m:e>
            <m:r>
              <m:t>L</m:t>
            </m:r>
          </m:e>
          <m:sup>
            <m:r>
              <m:t>1</m:t>
            </m:r>
            <m:r>
              <m:rPr>
                <m:sty m:val="p"/>
              </m:rPr>
              <m:t>−</m:t>
            </m:r>
            <m:r>
              <m:t>α</m:t>
            </m:r>
          </m:sup>
        </m:sSup>
      </m:oMath>
      <w:r>
        <w:t xml:space="preserve">, com</w:t>
      </w:r>
      <w:r>
        <w:t xml:space="preserve"> </w:t>
      </w:r>
      <m:oMath>
        <m:r>
          <m:t>0</m:t>
        </m:r>
        <m:r>
          <m:rPr>
            <m:sty m:val="p"/>
          </m:rPr>
          <m:t>&lt;</m:t>
        </m:r>
        <m:r>
          <m:t>α</m:t>
        </m:r>
        <m:r>
          <m:rPr>
            <m:sty m:val="p"/>
          </m:rPr>
          <m:t>&lt;</m:t>
        </m:r>
        <m:r>
          <m:t>1</m:t>
        </m:r>
      </m:oMath>
      <w:r>
        <w:t xml:space="preserve">. A solução do problema de maximização gera:</w:t>
      </w:r>
    </w:p>
    <w:p>
      <w:pPr>
        <w:pStyle w:val="BodyText"/>
      </w:pPr>
      <m:oMathPara>
        <m:oMathParaPr>
          <m:jc m:val="center"/>
        </m:oMathParaPr>
        <m:oMath>
          <m:sSup>
            <m:e>
              <m:r>
                <m:t>L</m:t>
              </m:r>
            </m:e>
            <m:sup>
              <m:r>
                <m:rPr>
                  <m:sty m:val="p"/>
                </m:rPr>
                <m:t>*</m:t>
              </m:r>
            </m:sup>
          </m:sSup>
          <m:r>
            <m:rPr>
              <m:sty m:val="p"/>
            </m:rPr>
            <m:t>=</m:t>
          </m:r>
          <m:f>
            <m:fPr>
              <m:type m:val="bar"/>
            </m:fPr>
            <m:num>
              <m:r>
                <m:rPr>
                  <m:sty m:val="p"/>
                </m:rPr>
                <m:t>(</m:t>
              </m:r>
              <m:r>
                <m:t>1</m:t>
              </m:r>
              <m:r>
                <m:rPr>
                  <m:sty m:val="p"/>
                </m:rPr>
                <m:t>−</m:t>
              </m:r>
              <m:r>
                <m:t>α</m:t>
              </m:r>
              <m:r>
                <m:rPr>
                  <m:sty m:val="p"/>
                </m:rPr>
                <m:t>)</m:t>
              </m:r>
              <m:r>
                <m:rPr>
                  <m:sty m:val="p"/>
                </m:rPr>
                <m:t>(</m:t>
              </m:r>
              <m:r>
                <m:t>w</m:t>
              </m:r>
              <m:r>
                <m:t>T</m:t>
              </m:r>
              <m:r>
                <m:rPr>
                  <m:sty m:val="p"/>
                </m:rPr>
                <m:t>+</m:t>
              </m:r>
              <m:r>
                <m:t>V</m:t>
              </m:r>
              <m:r>
                <m:rPr>
                  <m:sty m:val="p"/>
                </m:rPr>
                <m:t>)</m:t>
              </m:r>
            </m:num>
            <m:den>
              <m:r>
                <m:t>w</m:t>
              </m:r>
            </m:den>
          </m:f>
          <m:r>
            <m:rPr>
              <m:sty m:val="p"/>
            </m:rPr>
            <m:t>,</m:t>
          </m:r>
          <m:r>
            <m:t>  </m:t>
          </m:r>
          <m:sSup>
            <m:e>
              <m:r>
                <m:t>h</m:t>
              </m:r>
            </m:e>
            <m:sup>
              <m:r>
                <m:rPr>
                  <m:sty m:val="p"/>
                </m:rPr>
                <m:t>*</m:t>
              </m:r>
            </m:sup>
          </m:sSup>
          <m:r>
            <m:rPr>
              <m:sty m:val="p"/>
            </m:rPr>
            <m:t>=</m:t>
          </m:r>
          <m:r>
            <m:t>T</m:t>
          </m:r>
          <m:r>
            <m:rPr>
              <m:sty m:val="p"/>
            </m:rPr>
            <m:t>−</m:t>
          </m:r>
          <m:sSup>
            <m:e>
              <m:r>
                <m:t>L</m:t>
              </m:r>
            </m:e>
            <m:sup>
              <m:r>
                <m:rPr>
                  <m:sty m:val="p"/>
                </m:rPr>
                <m:t>*</m:t>
              </m:r>
            </m:sup>
          </m:sSup>
          <m:r>
            <m:rPr>
              <m:sty m:val="p"/>
            </m:rPr>
            <m:t>=</m:t>
          </m:r>
          <m:r>
            <m:t>α</m:t>
          </m:r>
          <m:r>
            <m:t>T</m:t>
          </m:r>
          <m:r>
            <m:rPr>
              <m:sty m:val="p"/>
            </m:rPr>
            <m:t>−</m:t>
          </m:r>
          <m:f>
            <m:fPr>
              <m:type m:val="bar"/>
            </m:fPr>
            <m:num>
              <m:r>
                <m:rPr>
                  <m:sty m:val="p"/>
                </m:rPr>
                <m:t>(</m:t>
              </m:r>
              <m:r>
                <m:t>1</m:t>
              </m:r>
              <m:r>
                <m:rPr>
                  <m:sty m:val="p"/>
                </m:rPr>
                <m:t>−</m:t>
              </m:r>
              <m:r>
                <m:t>α</m:t>
              </m:r>
              <m:r>
                <m:rPr>
                  <m:sty m:val="p"/>
                </m:rPr>
                <m:t>)</m:t>
              </m:r>
              <m:r>
                <m:t>V</m:t>
              </m:r>
            </m:num>
            <m:den>
              <m:r>
                <m:t>w</m:t>
              </m:r>
            </m:den>
          </m:f>
        </m:oMath>
      </m:oMathPara>
    </w:p>
    <w:p>
      <w:pPr>
        <w:pStyle w:val="FirstParagraph"/>
      </w:pPr>
      <w:r>
        <w:t xml:space="preserve">Neste caso, quando</w:t>
      </w:r>
      <w:r>
        <w:t xml:space="preserve"> </w:t>
      </w:r>
      <m:oMath>
        <m:r>
          <m:t>V</m:t>
        </m:r>
        <m:r>
          <m:rPr>
            <m:sty m:val="p"/>
          </m:rPr>
          <m:t>=</m:t>
        </m:r>
        <m:r>
          <m:t>0</m:t>
        </m:r>
      </m:oMath>
      <w:r>
        <w:t xml:space="preserve">, temos</w:t>
      </w:r>
      <w:r>
        <w:t xml:space="preserve"> </w:t>
      </w:r>
      <m:oMath>
        <m:sSup>
          <m:e>
            <m:r>
              <m:t>h</m:t>
            </m:r>
          </m:e>
          <m:sup>
            <m:r>
              <m:rPr>
                <m:sty m:val="p"/>
              </m:rPr>
              <m:t>*</m:t>
            </m:r>
          </m:sup>
        </m:sSup>
        <m:r>
          <m:rPr>
            <m:sty m:val="p"/>
          </m:rPr>
          <m:t>=</m:t>
        </m:r>
        <m:r>
          <m:t>α</m:t>
        </m:r>
        <m:r>
          <m:t>T</m:t>
        </m:r>
      </m:oMath>
      <w:r>
        <w:t xml:space="preserve">, que não depende de</w:t>
      </w:r>
      <w:r>
        <w:t xml:space="preserve"> </w:t>
      </w:r>
      <m:oMath>
        <m:r>
          <m:t>w</m:t>
        </m:r>
      </m:oMath>
      <w:r>
        <w:t xml:space="preserve">. Os efeitos renda e substituição se cancelam exatamente — uma propriedade conhecida das preferências Cobb-Douglas.</w:t>
      </w:r>
    </w:p>
    <w:p>
      <w:r>
        <w:pict>
          <v:rect style="width:0;height:1.5pt" o:hralign="center" o:hrstd="t" o:hr="t"/>
        </w:pict>
      </w:r>
    </w:p>
    <w:bookmarkEnd w:id="1066"/>
    <w:bookmarkEnd w:id="1067"/>
    <w:bookmarkStart w:id="1068" w:name="exercícios-resolvidos-6"/>
    <w:p>
      <w:pPr>
        <w:pStyle w:val="Heading3"/>
      </w:pPr>
      <w:r>
        <w:t xml:space="preserve">Exercícios Resolvidos</w:t>
      </w:r>
    </w:p>
    <w:p>
      <w:pPr>
        <w:pStyle w:val="FirstParagraph"/>
      </w:pPr>
      <w:r>
        <w:t xml:space="preserve">Os exercícios resolvidos a seguir aplicam os conceitos desenvolvidos neste capítulo. Recomenda-se tentar resolver cada exercício antes de consultar a solução.</w:t>
      </w:r>
    </w:p>
    <w:p>
      <w:pPr>
        <w:pStyle w:val="BlockText"/>
      </w:pPr>
      <w:r>
        <w:rPr>
          <w:b/>
          <w:bCs/>
        </w:rPr>
        <w:t xml:space="preserve">[EXERCICIO RESOLVIDO] Exercício Resolvido 17.1</w:t>
      </w:r>
    </w:p>
    <w:p>
      <w:pPr>
        <w:pStyle w:val="BlockText"/>
      </w:pPr>
      <w:r>
        <w:rPr>
          <w:b/>
          <w:bCs/>
        </w:rPr>
        <w:t xml:space="preserve">Enunciado:</w:t>
      </w:r>
      <w:r>
        <w:t xml:space="preserve"> </w:t>
      </w:r>
      <w:r>
        <w:t xml:space="preserve">Um trabalhador tem preferências</w:t>
      </w:r>
      <w:r>
        <w:t xml:space="preserve"> </w:t>
      </w:r>
      <m:oMath>
        <m:r>
          <m:t>U</m:t>
        </m:r>
        <m:r>
          <m:rPr>
            <m:sty m:val="p"/>
          </m:rPr>
          <m:t>(</m:t>
        </m:r>
        <m:r>
          <m:t>C</m:t>
        </m:r>
        <m:r>
          <m:rPr>
            <m:sty m:val="p"/>
          </m:rPr>
          <m:t>,</m:t>
        </m:r>
        <m:r>
          <m:t>L</m:t>
        </m:r>
        <m:r>
          <m:rPr>
            <m:sty m:val="p"/>
          </m:rPr>
          <m:t>)</m:t>
        </m:r>
        <m:r>
          <m:rPr>
            <m:sty m:val="p"/>
          </m:rPr>
          <m:t>=</m:t>
        </m:r>
        <m:sSup>
          <m:e>
            <m:r>
              <m:t>C</m:t>
            </m:r>
          </m:e>
          <m:sup>
            <m:r>
              <m:t>1</m:t>
            </m:r>
            <m:r>
              <m:rPr>
                <m:sty m:val="p"/>
              </m:rPr>
              <m:t>/</m:t>
            </m:r>
            <m:r>
              <m:t>2</m:t>
            </m:r>
          </m:sup>
        </m:sSup>
        <m:r>
          <m:t> </m:t>
        </m:r>
        <m:sSup>
          <m:e>
            <m:r>
              <m:t>L</m:t>
            </m:r>
          </m:e>
          <m:sup>
            <m:r>
              <m:t>1</m:t>
            </m:r>
            <m:r>
              <m:rPr>
                <m:sty m:val="p"/>
              </m:rPr>
              <m:t>/</m:t>
            </m:r>
            <m:r>
              <m:t>2</m:t>
            </m:r>
          </m:sup>
        </m:sSup>
      </m:oMath>
      <w:r>
        <w:t xml:space="preserve">, dotação de tempo</w:t>
      </w:r>
      <w:r>
        <w:t xml:space="preserve"> </w:t>
      </w:r>
      <m:oMath>
        <m:r>
          <m:t>T</m:t>
        </m:r>
        <m:r>
          <m:rPr>
            <m:sty m:val="p"/>
          </m:rPr>
          <m:t>=</m:t>
        </m:r>
        <m:r>
          <m:t>16</m:t>
        </m:r>
      </m:oMath>
      <w:r>
        <w:t xml:space="preserve"> </w:t>
      </w:r>
      <w:r>
        <w:t xml:space="preserve">horas e renda não salarial</w:t>
      </w:r>
      <w:r>
        <w:t xml:space="preserve"> </w:t>
      </w:r>
      <m:oMath>
        <m:r>
          <m:t>V</m:t>
        </m:r>
        <m:r>
          <m:rPr>
            <m:sty m:val="p"/>
          </m:rPr>
          <m:t>=</m:t>
        </m:r>
        <m:r>
          <m:t>32</m:t>
        </m:r>
      </m:oMath>
      <w:r>
        <w:t xml:space="preserve">. O salário-hora é</w:t>
      </w:r>
      <w:r>
        <w:t xml:space="preserve"> </w:t>
      </w:r>
      <m:oMath>
        <m:r>
          <m:t>w</m:t>
        </m:r>
      </m:oMath>
      <w:r>
        <w:t xml:space="preserve">.</w:t>
      </w:r>
    </w:p>
    <w:p>
      <w:pPr>
        <w:pStyle w:val="BlockText"/>
      </w:pPr>
      <w:r>
        <w:rPr>
          <w:b/>
          <w:bCs/>
        </w:rPr>
        <w:t xml:space="preserve">Dados:</w:t>
      </w:r>
      <w:r>
        <w:t xml:space="preserve"> </w:t>
      </w:r>
      <m:oMath>
        <m:r>
          <m:t>T</m:t>
        </m:r>
        <m:r>
          <m:rPr>
            <m:sty m:val="p"/>
          </m:rPr>
          <m:t>=</m:t>
        </m:r>
        <m:r>
          <m:t>16</m:t>
        </m:r>
      </m:oMath>
      <w:r>
        <w:t xml:space="preserve">,</w:t>
      </w:r>
      <w:r>
        <w:t xml:space="preserve"> </w:t>
      </w:r>
      <m:oMath>
        <m:r>
          <m:t>V</m:t>
        </m:r>
        <m:r>
          <m:rPr>
            <m:sty m:val="p"/>
          </m:rPr>
          <m:t>=</m:t>
        </m:r>
        <m:r>
          <m:t>32</m:t>
        </m:r>
      </m:oMath>
      <w:r>
        <w:t xml:space="preserve">,</w:t>
      </w:r>
      <w:r>
        <w:t xml:space="preserve"> </w:t>
      </w:r>
      <m:oMath>
        <m:r>
          <m:t>α</m:t>
        </m:r>
        <m:r>
          <m:rPr>
            <m:sty m:val="p"/>
          </m:rPr>
          <m:t>=</m:t>
        </m:r>
        <m:r>
          <m:t>1</m:t>
        </m:r>
        <m:r>
          <m:rPr>
            <m:sty m:val="p"/>
          </m:rPr>
          <m:t>/</m:t>
        </m:r>
        <m:r>
          <m:t>2</m:t>
        </m:r>
      </m:oMath>
      <w:r>
        <w:t xml:space="preserve">.</w:t>
      </w:r>
    </w:p>
    <w:p>
      <w:pPr>
        <w:pStyle w:val="BlockText"/>
      </w:pPr>
      <w:r>
        <w:rPr>
          <w:b/>
          <w:bCs/>
        </w:rPr>
        <w:t xml:space="preserve">Resolução:</w:t>
      </w:r>
    </w:p>
    <w:p>
      <w:pPr>
        <w:pStyle w:val="BlockText"/>
      </w:pPr>
      <w:r>
        <w:rPr>
          <w:b/>
          <w:bCs/>
        </w:rPr>
        <w:t xml:space="preserve">Passo 1 — Demandas ótimas</w:t>
      </w:r>
    </w:p>
    <w:p>
      <w:pPr>
        <w:pStyle w:val="BlockText"/>
      </w:pPr>
      <w:r>
        <w:t xml:space="preserve">Com Cobb-Douglas</w:t>
      </w:r>
      <w:r>
        <w:t xml:space="preserve"> </w:t>
      </w:r>
      <m:oMath>
        <m:r>
          <m:t>U</m:t>
        </m:r>
        <m:r>
          <m:rPr>
            <m:sty m:val="p"/>
          </m:rPr>
          <m:t>=</m:t>
        </m:r>
        <m:sSup>
          <m:e>
            <m:r>
              <m:t>C</m:t>
            </m:r>
          </m:e>
          <m:sup>
            <m:r>
              <m:t>α</m:t>
            </m:r>
          </m:sup>
        </m:sSup>
        <m:sSup>
          <m:e>
            <m:r>
              <m:t>L</m:t>
            </m:r>
          </m:e>
          <m:sup>
            <m:r>
              <m:t>1</m:t>
            </m:r>
            <m:r>
              <m:rPr>
                <m:sty m:val="p"/>
              </m:rPr>
              <m:t>−</m:t>
            </m:r>
            <m:r>
              <m:t>α</m:t>
            </m:r>
          </m:sup>
        </m:sSup>
      </m:oMath>
      <w:r>
        <w:t xml:space="preserve">, as demandas marshallianas são:</w:t>
      </w:r>
    </w:p>
    <w:p>
      <w:pPr>
        <w:pStyle w:val="BlockText"/>
      </w:pPr>
      <w:r>
        <w:t xml:space="preserve">$$</w:t>
      </w:r>
    </w:p>
    <w:p>
      <w:pPr>
        <w:pStyle w:val="BlockText"/>
      </w:pPr>
      <w:r>
        <w:t xml:space="preserve">L^* =</w:t>
      </w:r>
      <w:r>
        <w:t xml:space="preserve"> </w:t>
      </w:r>
      <w:r>
        <w:t xml:space="preserve"> </w:t>
      </w:r>
      <w:r>
        <w:t xml:space="preserve">=</w:t>
      </w:r>
      <w:r>
        <w:t xml:space="preserve"> </w:t>
      </w:r>
      <w:r>
        <w:t xml:space="preserve"> </w:t>
      </w:r>
      <w:r>
        <w:t xml:space="preserve">= 8 +</w:t>
      </w:r>
      <w:r>
        <w:t xml:space="preserve"> </w:t>
      </w:r>
    </w:p>
    <w:p>
      <w:pPr>
        <w:pStyle w:val="BlockText"/>
      </w:pPr>
      <w:r>
        <w:t xml:space="preserve">$$</w:t>
      </w:r>
    </w:p>
    <w:p>
      <w:pPr>
        <w:pStyle w:val="BlockText"/>
      </w:pPr>
      <w:r>
        <w:t xml:space="preserve">$$</w:t>
      </w:r>
    </w:p>
    <w:p>
      <w:pPr>
        <w:pStyle w:val="BlockText"/>
      </w:pPr>
      <w:r>
        <w:t xml:space="preserve">h^* = T - L^* = 16 - 8 -</w:t>
      </w:r>
      <w:r>
        <w:t xml:space="preserve"> </w:t>
      </w:r>
      <w:r>
        <w:t xml:space="preserve"> </w:t>
      </w:r>
      <w:r>
        <w:t xml:space="preserve">= 8 -</w:t>
      </w:r>
      <w:r>
        <w:t xml:space="preserve"> </w:t>
      </w:r>
    </w:p>
    <w:p>
      <w:pPr>
        <w:pStyle w:val="BlockText"/>
      </w:pPr>
      <w:r>
        <w:t xml:space="preserve">$$</w:t>
      </w:r>
    </w:p>
    <w:p>
      <w:pPr>
        <w:pStyle w:val="BlockText"/>
      </w:pPr>
      <w:r>
        <w:t xml:space="preserve">$$</w:t>
      </w:r>
    </w:p>
    <w:p>
      <w:pPr>
        <w:pStyle w:val="BlockText"/>
      </w:pPr>
      <w:r>
        <w:t xml:space="preserve">C^* = w,h^* + V = w!</w:t>
      </w:r>
      <w:r>
        <w:t xml:space="preserve">(8 -</w:t>
      </w:r>
      <w:r>
        <w:t xml:space="preserve"> </w:t>
      </w:r>
      <w:r>
        <w:t xml:space="preserve">) + 32 = 8w + 16</w:t>
      </w:r>
    </w:p>
    <w:p>
      <w:pPr>
        <w:pStyle w:val="BlockText"/>
      </w:pPr>
      <w:r>
        <w:t xml:space="preserve">$$</w:t>
      </w:r>
    </w:p>
    <w:p>
      <w:pPr>
        <w:pStyle w:val="BlockText"/>
      </w:pPr>
      <w:r>
        <w:rPr>
          <w:b/>
          <w:bCs/>
        </w:rPr>
        <w:t xml:space="preserve">Passo 2 — Salário de reserva</w:t>
      </w:r>
    </w:p>
    <w:p>
      <w:pPr>
        <w:pStyle w:val="BlockText"/>
      </w:pPr>
      <w:r>
        <w:t xml:space="preserve">O trabalhador só oferta horas positivas se</w:t>
      </w:r>
      <w:r>
        <w:t xml:space="preserve"> </w:t>
      </w:r>
      <m:oMath>
        <m:sSup>
          <m:e>
            <m:r>
              <m:t>h</m:t>
            </m:r>
          </m:e>
          <m:sup>
            <m:r>
              <m:rPr>
                <m:sty m:val="p"/>
              </m:rPr>
              <m:t>*</m:t>
            </m:r>
          </m:sup>
        </m:sSup>
        <m:r>
          <m:rPr>
            <m:sty m:val="p"/>
          </m:rPr>
          <m:t>&gt;</m:t>
        </m:r>
        <m:r>
          <m:t>0</m:t>
        </m:r>
      </m:oMath>
      <w:r>
        <w:t xml:space="preserve">:</w:t>
      </w:r>
    </w:p>
    <w:p>
      <w:pPr>
        <w:pStyle w:val="BlockText"/>
      </w:pPr>
      <w:r>
        <w:t xml:space="preserve">$$</w:t>
      </w:r>
    </w:p>
    <w:p>
      <w:pPr>
        <w:pStyle w:val="BlockText"/>
      </w:pPr>
      <w:r>
        <w:t xml:space="preserve">8 -</w:t>
      </w:r>
      <w:r>
        <w:t xml:space="preserve"> </w:t>
      </w:r>
      <w:r>
        <w:t xml:space="preserve"> </w:t>
      </w:r>
      <w:r>
        <w:t xml:space="preserve">&gt; 0 ;</w:t>
      </w:r>
      <w:r>
        <w:t xml:space="preserve">; w &gt; 2</w:t>
      </w:r>
    </w:p>
    <w:p>
      <w:pPr>
        <w:pStyle w:val="BlockText"/>
      </w:pPr>
      <w:r>
        <w:t xml:space="preserve">$$</w:t>
      </w:r>
    </w:p>
    <w:p>
      <w:pPr>
        <w:pStyle w:val="BlockText"/>
      </w:pPr>
      <w:r>
        <w:t xml:space="preserve">O</w:t>
      </w:r>
      <w:r>
        <w:t xml:space="preserve"> </w:t>
      </w:r>
      <w:r>
        <w:rPr>
          <w:b/>
          <w:bCs/>
        </w:rPr>
        <w:t xml:space="preserve">salário de reserva</w:t>
      </w:r>
      <w:r>
        <w:t xml:space="preserve"> </w:t>
      </w:r>
      <w:r>
        <w:t xml:space="preserve">é</w:t>
      </w:r>
      <w:r>
        <w:t xml:space="preserve"> </w:t>
      </w:r>
      <m:oMath>
        <m:sSub>
          <m:e>
            <m:r>
              <m:t>w</m:t>
            </m:r>
          </m:e>
          <m:sub>
            <m:r>
              <m:t>R</m:t>
            </m:r>
          </m:sub>
        </m:sSub>
        <m:r>
          <m:rPr>
            <m:sty m:val="p"/>
          </m:rPr>
          <m:t>=</m:t>
        </m:r>
        <m:r>
          <m:t>2</m:t>
        </m:r>
      </m:oMath>
      <w:r>
        <w:t xml:space="preserve">. Para</w:t>
      </w:r>
      <w:r>
        <w:t xml:space="preserve"> </w:t>
      </w:r>
      <m:oMath>
        <m:r>
          <m:t>w</m:t>
        </m:r>
        <m:r>
          <m:rPr>
            <m:sty m:val="p"/>
          </m:rPr>
          <m:t>≤</m:t>
        </m:r>
        <m:r>
          <m:t>2</m:t>
        </m:r>
      </m:oMath>
      <w:r>
        <w:t xml:space="preserve">, o indivíduo não trabalha e consome apenas</w:t>
      </w:r>
      <w:r>
        <w:t xml:space="preserve"> </w:t>
      </w:r>
      <m:oMath>
        <m:r>
          <m:t>V</m:t>
        </m:r>
        <m:r>
          <m:rPr>
            <m:sty m:val="p"/>
          </m:rPr>
          <m:t>=</m:t>
        </m:r>
        <m:r>
          <m:t>32</m:t>
        </m:r>
      </m:oMath>
      <w:r>
        <w:t xml:space="preserve">.</w:t>
      </w:r>
    </w:p>
    <w:p>
      <w:pPr>
        <w:pStyle w:val="BlockText"/>
      </w:pPr>
      <w:r>
        <w:rPr>
          <w:b/>
          <w:bCs/>
        </w:rPr>
        <w:t xml:space="preserve">Passo 3 — Inclinação da oferta</w:t>
      </w:r>
    </w:p>
    <w:p>
      <w:pPr>
        <w:pStyle w:val="BlockText"/>
      </w:pPr>
      <w:r>
        <w:t xml:space="preserve">$$</w:t>
      </w:r>
    </w:p>
    <w:p>
      <w:pPr>
        <w:pStyle w:val="BlockText"/>
      </w:pPr>
      <w:r>
        <w:t xml:space="preserve"> </w:t>
      </w:r>
      <w:r>
        <w:t xml:space="preserve">=</w:t>
      </w:r>
      <w:r>
        <w:t xml:space="preserve"> </w:t>
      </w:r>
      <w:r>
        <w:t xml:space="preserve"> </w:t>
      </w:r>
      <w:r>
        <w:t xml:space="preserve">&gt; 0</w:t>
      </w:r>
    </w:p>
    <w:p>
      <w:pPr>
        <w:pStyle w:val="BlockText"/>
      </w:pPr>
      <w:r>
        <w:t xml:space="preserve">$$</w:t>
      </w:r>
    </w:p>
    <w:p>
      <w:pPr>
        <w:pStyle w:val="BlockText"/>
      </w:pPr>
      <w:r>
        <w:t xml:space="preserve">A oferta é sempre positivamente inclinada (não há backward-bending).</w:t>
      </w:r>
    </w:p>
    <w:p>
      <w:pPr>
        <w:pStyle w:val="BlockText"/>
      </w:pPr>
      <w:r>
        <w:rPr>
          <w:b/>
          <w:bCs/>
        </w:rPr>
        <w:t xml:space="preserve">Resultado:</w:t>
      </w:r>
      <w:r>
        <w:t xml:space="preserve"> </w:t>
      </w:r>
      <w:r>
        <w:t xml:space="preserve">Para</w:t>
      </w:r>
      <w:r>
        <w:t xml:space="preserve"> </w:t>
      </w:r>
      <m:oMath>
        <m:r>
          <m:t>w</m:t>
        </m:r>
        <m:r>
          <m:rPr>
            <m:sty m:val="p"/>
          </m:rPr>
          <m:t>=</m:t>
        </m:r>
        <m:r>
          <m:t>4</m:t>
        </m:r>
      </m:oMath>
      <w:r>
        <w:t xml:space="preserve">, temos</w:t>
      </w:r>
      <w:r>
        <w:t xml:space="preserve"> </w:t>
      </w:r>
      <m:oMath>
        <m:sSup>
          <m:e>
            <m:r>
              <m:t>h</m:t>
            </m:r>
          </m:e>
          <m:sup>
            <m:r>
              <m:rPr>
                <m:sty m:val="p"/>
              </m:rPr>
              <m:t>*</m:t>
            </m:r>
          </m:sup>
        </m:sSup>
        <m:r>
          <m:rPr>
            <m:sty m:val="p"/>
          </m:rPr>
          <m:t>=</m:t>
        </m:r>
        <m:r>
          <m:t>8</m:t>
        </m:r>
        <m:r>
          <m:rPr>
            <m:sty m:val="p"/>
          </m:rPr>
          <m:t>−</m:t>
        </m:r>
        <m:r>
          <m:t>4</m:t>
        </m:r>
        <m:r>
          <m:rPr>
            <m:sty m:val="p"/>
          </m:rPr>
          <m:t>=</m:t>
        </m:r>
        <m:r>
          <m:t>4</m:t>
        </m:r>
      </m:oMath>
      <w:r>
        <w:t xml:space="preserve"> </w:t>
      </w:r>
      <w:r>
        <w:t xml:space="preserve">horas,</w:t>
      </w:r>
      <w:r>
        <w:t xml:space="preserve"> </w:t>
      </w:r>
      <m:oMath>
        <m:sSup>
          <m:e>
            <m:r>
              <m:t>L</m:t>
            </m:r>
          </m:e>
          <m:sup>
            <m:r>
              <m:rPr>
                <m:sty m:val="p"/>
              </m:rPr>
              <m:t>*</m:t>
            </m:r>
          </m:sup>
        </m:sSup>
        <m:r>
          <m:rPr>
            <m:sty m:val="p"/>
          </m:rPr>
          <m:t>=</m:t>
        </m:r>
        <m:r>
          <m:t>12</m:t>
        </m:r>
      </m:oMath>
      <w:r>
        <w:t xml:space="preserve"> </w:t>
      </w:r>
      <w:r>
        <w:t xml:space="preserve">horas e</w:t>
      </w:r>
      <w:r>
        <w:t xml:space="preserve"> </w:t>
      </w:r>
      <m:oMath>
        <m:sSup>
          <m:e>
            <m:r>
              <m:t>C</m:t>
            </m:r>
          </m:e>
          <m:sup>
            <m:r>
              <m:rPr>
                <m:sty m:val="p"/>
              </m:rPr>
              <m:t>*</m:t>
            </m:r>
          </m:sup>
        </m:sSup>
        <m:r>
          <m:rPr>
            <m:sty m:val="p"/>
          </m:rPr>
          <m:t>=</m:t>
        </m:r>
        <m:r>
          <m:t>48</m:t>
        </m:r>
      </m:oMath>
      <w:r>
        <w:t xml:space="preserve">.</w:t>
      </w:r>
    </w:p>
    <w:p>
      <w:pPr>
        <w:pStyle w:val="BlockText"/>
      </w:pPr>
      <w:r>
        <w:rPr>
          <w:b/>
          <w:bCs/>
        </w:rPr>
        <w:t xml:space="preserve">Interpretação econômica:</w:t>
      </w:r>
      <w:r>
        <w:t xml:space="preserve"> </w:t>
      </w:r>
      <w:r>
        <w:t xml:space="preserve">Quando</w:t>
      </w:r>
      <w:r>
        <w:t xml:space="preserve"> </w:t>
      </w:r>
      <m:oMath>
        <m:r>
          <m:t>V</m:t>
        </m:r>
        <m:r>
          <m:rPr>
            <m:sty m:val="p"/>
          </m:rPr>
          <m:t>=</m:t>
        </m:r>
        <m:r>
          <m:t>0</m:t>
        </m:r>
      </m:oMath>
      <w:r>
        <w:t xml:space="preserve">, a Cobb-Douglas gera oferta perfeitamente inelástica (</w:t>
      </w:r>
      <m:oMath>
        <m:sSup>
          <m:e>
            <m:r>
              <m:t>h</m:t>
            </m:r>
          </m:e>
          <m:sup>
            <m:r>
              <m:rPr>
                <m:sty m:val="p"/>
              </m:rPr>
              <m:t>*</m:t>
            </m:r>
          </m:sup>
        </m:sSup>
        <m:r>
          <m:rPr>
            <m:sty m:val="p"/>
          </m:rPr>
          <m:t>=</m:t>
        </m:r>
        <m:r>
          <m:t>α</m:t>
        </m:r>
        <m:r>
          <m:t>T</m:t>
        </m:r>
        <m:r>
          <m:rPr>
            <m:sty m:val="p"/>
          </m:rPr>
          <m:t>=</m:t>
        </m:r>
        <m:r>
          <m:t>8</m:t>
        </m:r>
      </m:oMath>
      <w:r>
        <w:t xml:space="preserve">). A renda não salarial</w:t>
      </w:r>
      <w:r>
        <w:t xml:space="preserve"> </w:t>
      </w:r>
      <m:oMath>
        <m:r>
          <m:t>V</m:t>
        </m:r>
        <m:r>
          <m:rPr>
            <m:sty m:val="p"/>
          </m:rPr>
          <m:t>&gt;</m:t>
        </m:r>
        <m:r>
          <m:t>0</m:t>
        </m:r>
      </m:oMath>
      <w:r>
        <w:t xml:space="preserve"> </w:t>
      </w:r>
      <w:r>
        <w:t xml:space="preserve">quebra essa propriedade: com</w:t>
      </w:r>
      <w:r>
        <w:t xml:space="preserve"> </w:t>
      </w:r>
      <m:oMath>
        <m:r>
          <m:t>V</m:t>
        </m:r>
        <m:r>
          <m:rPr>
            <m:sty m:val="p"/>
          </m:rPr>
          <m:t>=</m:t>
        </m:r>
        <m:r>
          <m:t>32</m:t>
        </m:r>
      </m:oMath>
      <w:r>
        <w:t xml:space="preserve">, o trabalhador pode</w:t>
      </w:r>
      <w:r>
        <w:t xml:space="preserve"> </w:t>
      </w:r>
      <w:r>
        <w:t xml:space="preserve">“se dar ao luxo”</w:t>
      </w:r>
      <w:r>
        <w:t xml:space="preserve"> </w:t>
      </w:r>
      <w:r>
        <w:t xml:space="preserve">de trabalhar menos em salários baixos, mas aumenta suas horas à medida que o salário sobe — o efeito substituição domina o efeito renda da variação em</w:t>
      </w:r>
      <w:r>
        <w:t xml:space="preserve"> </w:t>
      </w:r>
      <m:oMath>
        <m:r>
          <m:t>w</m:t>
        </m:r>
      </m:oMath>
      <w:r>
        <w:t xml:space="preserve">.</w:t>
      </w:r>
    </w:p>
    <w:p>
      <w:pPr>
        <w:pStyle w:val="FirstParagraph"/>
      </w:pPr>
      <w:r>
        <w:t xml:space="preserve">[FIGURA INTERATIVA: /micro-book/graficos/cap17/webr-trabalho-lazer.html — versao interativa disponivel online]</w:t>
      </w:r>
    </w:p>
    <w:p>
      <w:pPr>
        <w:pStyle w:val="BodyText"/>
      </w:pPr>
      <w:r>
        <w:rPr>
          <w:b/>
          <w:bCs/>
        </w:rPr>
        <w:t xml:space="preserve">WebR 17.1 — Modelo trabalho-lazer com Cobb-Douglas.</w:t>
      </w:r>
      <w:r>
        <w:t xml:space="preserve"> </w:t>
      </w:r>
      <w:r>
        <w:t xml:space="preserve">Altere</w:t>
      </w:r>
      <w:r>
        <w:t xml:space="preserve"> </w:t>
      </w:r>
      <m:oMath>
        <m:r>
          <m:t>α</m:t>
        </m:r>
      </m:oMath>
      <w:r>
        <w:t xml:space="preserve">,</w:t>
      </w:r>
      <w:r>
        <w:t xml:space="preserve"> </w:t>
      </w:r>
      <m:oMath>
        <m:r>
          <m:t>T</m:t>
        </m:r>
      </m:oMath>
      <w:r>
        <w:t xml:space="preserve"> </w:t>
      </w:r>
      <w:r>
        <w:t xml:space="preserve">e</w:t>
      </w:r>
      <w:r>
        <w:t xml:space="preserve"> </w:t>
      </w:r>
      <m:oMath>
        <m:r>
          <m:t>V</m:t>
        </m:r>
      </m:oMath>
      <w:r>
        <w:t xml:space="preserve"> </w:t>
      </w:r>
      <w:r>
        <w:t xml:space="preserve">para ver como a escolha ótima entre lazer e consumo muda. Compare a oferta de trabalho com e sem renda não salarial.</w:t>
      </w:r>
    </w:p>
    <w:p>
      <w:r>
        <w:pict>
          <v:rect style="width:0;height:1.5pt" o:hralign="center" o:hrstd="t" o:hr="t"/>
        </w:pict>
      </w:r>
    </w:p>
    <w:bookmarkEnd w:id="1068"/>
    <w:bookmarkStart w:id="1071" w:name="X72e20738130fddc7c389f2ab14f4e4b22a97c39"/>
    <w:p>
      <w:pPr>
        <w:pStyle w:val="Heading3"/>
      </w:pPr>
      <w:r>
        <w:t xml:space="preserve">17.3 Ganhar Mais e Trabalhar Menos: A Curva Backward-Bending</w:t>
      </w:r>
    </w:p>
    <w:p>
      <w:pPr>
        <w:pStyle w:val="FirstParagraph"/>
      </w:pPr>
      <w:r>
        <w:t xml:space="preserve">A análise da seção anterior revelou que o efeito de um aumento salarial sobre a oferta de trabalho é teoricamente ambíguo. Mas essa ambiguidade não é uma mera curiosidade formal — ela se manifesta empiricamente em um dos fenômenos mais intrigantes da economia do trabalho: a curva de oferta de trabalho que</w:t>
      </w:r>
      <w:r>
        <w:t xml:space="preserve"> </w:t>
      </w:r>
      <w:r>
        <w:t xml:space="preserve">“se volta para trás”</w:t>
      </w:r>
      <w:r>
        <w:t xml:space="preserve"> </w:t>
      </w:r>
      <w:r>
        <w:t xml:space="preserve">(</w:t>
      </w:r>
      <w:r>
        <w:rPr>
          <w:i/>
          <w:iCs/>
        </w:rPr>
        <w:t xml:space="preserve">backward-bending</w:t>
      </w:r>
      <w:r>
        <w:t xml:space="preserve">). A partir de certo nível salarial, aumentos adicionais podem levar o trabalhador a trabalhar menos, não mais. Por que isso ocorre, e sob quais condições?</w:t>
      </w:r>
    </w:p>
    <w:p>
      <w:pPr>
        <w:pStyle w:val="BlockText"/>
      </w:pPr>
      <w:r>
        <w:rPr>
          <w:b/>
          <w:bCs/>
        </w:rPr>
        <w:t xml:space="preserve">[DEFINICAO] Curva de oferta de trabalho backward-bending</w:t>
      </w:r>
    </w:p>
    <w:p>
      <w:pPr>
        <w:pStyle w:val="BlockText"/>
      </w:pPr>
      <w:r>
        <w:t xml:space="preserve">A curva de oferta de trabalho individual é dita</w:t>
      </w:r>
      <w:r>
        <w:t xml:space="preserve"> </w:t>
      </w:r>
      <w:r>
        <w:rPr>
          <w:b/>
          <w:bCs/>
        </w:rPr>
        <w:t xml:space="preserve">backward-bending</w:t>
      </w:r>
      <w:r>
        <w:t xml:space="preserve"> </w:t>
      </w:r>
      <w:r>
        <w:t xml:space="preserve">(voltada para trás) quando, a partir de determinado nível salarial, aumentos adicionais no salário levam o indivíduo a reduzir suas horas trabalhadas. Graficamente, a curva tem formato de</w:t>
      </w:r>
      <w:r>
        <w:t xml:space="preserve"> </w:t>
      </w:r>
      <w:r>
        <w:t xml:space="preserve">“C invertido”</w:t>
      </w:r>
      <w:r>
        <w:t xml:space="preserve"> </w:t>
      </w:r>
      <w:r>
        <w:t xml:space="preserve">no plano</w:t>
      </w:r>
      <w:r>
        <w:t xml:space="preserve"> </w:t>
      </w:r>
      <m:oMath>
        <m:r>
          <m:rPr>
            <m:sty m:val="p"/>
          </m:rPr>
          <m:t>(</m:t>
        </m:r>
        <m:r>
          <m:t>h</m:t>
        </m:r>
        <m:r>
          <m:rPr>
            <m:sty m:val="p"/>
          </m:rPr>
          <m:t>,</m:t>
        </m:r>
        <m:r>
          <m:t>w</m:t>
        </m:r>
        <m:r>
          <m:rPr>
            <m:sty m:val="p"/>
          </m:rPr>
          <m:t>)</m:t>
        </m:r>
      </m:oMath>
      <w:r>
        <w:t xml:space="preserve">.</w:t>
      </w:r>
    </w:p>
    <w:bookmarkStart w:id="1069" w:name="intuição"/>
    <w:p>
      <w:pPr>
        <w:pStyle w:val="Heading4"/>
      </w:pPr>
      <w:r>
        <w:t xml:space="preserve">Intuição</w:t>
      </w:r>
    </w:p>
    <w:p>
      <w:pPr>
        <w:pStyle w:val="Compact"/>
        <w:numPr>
          <w:ilvl w:val="0"/>
          <w:numId w:val="1931"/>
        </w:numPr>
      </w:pPr>
      <w:r>
        <w:t xml:space="preserve">Para salários muito baixos, o indivíduo precisa trabalhar muitas horas para garantir um consumo mínimo. Aumentos salariais permitem que ele trabalhe mais e aumente seu consumo — o</w:t>
      </w:r>
      <w:r>
        <w:t xml:space="preserve"> </w:t>
      </w:r>
      <w:r>
        <w:rPr>
          <w:b/>
          <w:bCs/>
        </w:rPr>
        <w:t xml:space="preserve">efeito substituição</w:t>
      </w:r>
      <w:r>
        <w:t xml:space="preserve"> </w:t>
      </w:r>
      <w:r>
        <w:t xml:space="preserve">domina.</w:t>
      </w:r>
    </w:p>
    <w:p>
      <w:pPr>
        <w:pStyle w:val="Compact"/>
        <w:numPr>
          <w:ilvl w:val="0"/>
          <w:numId w:val="1931"/>
        </w:numPr>
      </w:pPr>
      <w:r>
        <w:t xml:space="preserve">Para salários muito altos, o indivíduo já dispõe de renda elevada. Um aumento salarial adicional gera um forte</w:t>
      </w:r>
      <w:r>
        <w:t xml:space="preserve"> </w:t>
      </w:r>
      <w:r>
        <w:rPr>
          <w:b/>
          <w:bCs/>
        </w:rPr>
        <w:t xml:space="preserve">efeito renda</w:t>
      </w:r>
      <w:r>
        <w:t xml:space="preserve">, levando-o a</w:t>
      </w:r>
      <w:r>
        <w:t xml:space="preserve"> </w:t>
      </w:r>
      <w:r>
        <w:t xml:space="preserve">“comprar”</w:t>
      </w:r>
      <w:r>
        <w:t xml:space="preserve"> </w:t>
      </w:r>
      <w:r>
        <w:t xml:space="preserve">mais lazer e reduzir horas de trabalho.</w:t>
      </w:r>
    </w:p>
    <w:bookmarkEnd w:id="1069"/>
    <w:bookmarkStart w:id="1070" w:name="formalização"/>
    <w:p>
      <w:pPr>
        <w:pStyle w:val="Heading4"/>
      </w:pPr>
      <w:r>
        <w:t xml:space="preserve">Formalização</w:t>
      </w:r>
    </w:p>
    <w:p>
      <w:pPr>
        <w:pStyle w:val="FirstParagraph"/>
      </w:pPr>
      <w:r>
        <w:t xml:space="preserve">A condição para que a curva se volte para trás é:</w:t>
      </w:r>
    </w:p>
    <w:p>
      <w:pPr>
        <w:pStyle w:val="BodyText"/>
      </w:pPr>
      <m:oMathPara>
        <m:oMathParaPr>
          <m:jc m:val="center"/>
        </m:oMathParaPr>
        <m:oMath>
          <m:f>
            <m:fPr>
              <m:type m:val="bar"/>
            </m:fPr>
            <m:num>
              <m:r>
                <m:rPr>
                  <m:sty m:val="p"/>
                </m:rPr>
                <m:t>∂</m:t>
              </m:r>
              <m:sSup>
                <m:e>
                  <m:r>
                    <m:t>h</m:t>
                  </m:r>
                </m:e>
                <m:sup>
                  <m:r>
                    <m:rPr>
                      <m:sty m:val="p"/>
                    </m:rPr>
                    <m:t>*</m:t>
                  </m:r>
                </m:sup>
              </m:sSup>
            </m:num>
            <m:den>
              <m:r>
                <m:rPr>
                  <m:sty m:val="p"/>
                </m:rPr>
                <m:t>∂</m:t>
              </m:r>
              <m:r>
                <m:t>w</m:t>
              </m:r>
            </m:den>
          </m:f>
          <m:r>
            <m:rPr>
              <m:sty m:val="p"/>
            </m:rPr>
            <m:t>&lt;</m:t>
          </m:r>
          <m:r>
            <m:t>0</m:t>
          </m:r>
          <m:r>
            <m:t> </m:t>
          </m:r>
          <m:r>
            <m:rPr>
              <m:sty m:val="p"/>
            </m:rPr>
            <m:t>⇔</m:t>
          </m:r>
          <m:r>
            <m:t> </m:t>
          </m:r>
          <m:d>
            <m:dPr>
              <m:begChr m:val="|"/>
              <m:sepChr m:val=""/>
              <m:endChr m:val="|"/>
              <m:grow/>
            </m:dPr>
            <m:e>
              <m:sSup>
                <m:e>
                  <m:r>
                    <m:t>h</m:t>
                  </m:r>
                </m:e>
                <m:sup>
                  <m:r>
                    <m:rPr>
                      <m:sty m:val="p"/>
                    </m:rPr>
                    <m:t>*</m:t>
                  </m:r>
                </m:sup>
              </m:sSup>
              <m:r>
                <m:rPr>
                  <m:sty m:val="p"/>
                </m:rPr>
                <m:t>⋅</m:t>
              </m:r>
              <m:f>
                <m:fPr>
                  <m:type m:val="bar"/>
                </m:fPr>
                <m:num>
                  <m:r>
                    <m:rPr>
                      <m:sty m:val="p"/>
                    </m:rPr>
                    <m:t>∂</m:t>
                  </m:r>
                  <m:sSup>
                    <m:e>
                      <m:r>
                        <m:t>L</m:t>
                      </m:r>
                    </m:e>
                    <m:sup>
                      <m:r>
                        <m:rPr>
                          <m:sty m:val="p"/>
                        </m:rPr>
                        <m:t>*</m:t>
                      </m:r>
                    </m:sup>
                  </m:sSup>
                </m:num>
                <m:den>
                  <m:r>
                    <m:rPr>
                      <m:sty m:val="p"/>
                    </m:rPr>
                    <m:t>∂</m:t>
                  </m:r>
                  <m:r>
                    <m:t>V</m:t>
                  </m:r>
                </m:den>
              </m:f>
            </m:e>
          </m:d>
          <m:r>
            <m:rPr>
              <m:sty m:val="p"/>
            </m:rPr>
            <m:t>&gt;</m:t>
          </m:r>
          <m:d>
            <m:dPr>
              <m:begChr m:val="|"/>
              <m:sepChr m:val=""/>
              <m:endChr m:val="|"/>
              <m:grow/>
            </m:dPr>
            <m:e>
              <m:f>
                <m:fPr>
                  <m:type m:val="bar"/>
                </m:fPr>
                <m:num>
                  <m:r>
                    <m:rPr>
                      <m:sty m:val="p"/>
                    </m:rPr>
                    <m:t>∂</m:t>
                  </m:r>
                  <m:sSup>
                    <m:e>
                      <m:r>
                        <m:t>L</m:t>
                      </m:r>
                    </m:e>
                    <m:sup>
                      <m:r>
                        <m:t>c</m:t>
                      </m:r>
                    </m:sup>
                  </m:sSup>
                </m:num>
                <m:den>
                  <m:r>
                    <m:rPr>
                      <m:sty m:val="p"/>
                    </m:rPr>
                    <m:t>∂</m:t>
                  </m:r>
                  <m:r>
                    <m:t>w</m:t>
                  </m:r>
                </m:den>
              </m:f>
            </m:e>
          </m:d>
        </m:oMath>
      </m:oMathPara>
    </w:p>
    <w:p>
      <w:pPr>
        <w:pStyle w:val="FirstParagraph"/>
      </w:pPr>
      <w:r>
        <w:t xml:space="preserve">Ou seja, o efeito renda (em valor absoluto) supera o efeito substituição. Isso é mais provável quando:</w:t>
      </w:r>
    </w:p>
    <w:p>
      <w:pPr>
        <w:pStyle w:val="Compact"/>
        <w:numPr>
          <w:ilvl w:val="0"/>
          <w:numId w:val="1932"/>
        </w:numPr>
      </w:pPr>
      <m:oMath>
        <m:sSup>
          <m:e>
            <m:r>
              <m:t>h</m:t>
            </m:r>
          </m:e>
          <m:sup>
            <m:r>
              <m:rPr>
                <m:sty m:val="p"/>
              </m:rPr>
              <m:t>*</m:t>
            </m:r>
          </m:sup>
        </m:sSup>
      </m:oMath>
      <w:r>
        <w:t xml:space="preserve"> </w:t>
      </w:r>
      <w:r>
        <w:t xml:space="preserve">é grande (muitas horas trabalhadas);</w:t>
      </w:r>
    </w:p>
    <w:p>
      <w:pPr>
        <w:pStyle w:val="Compact"/>
        <w:numPr>
          <w:ilvl w:val="0"/>
          <w:numId w:val="1932"/>
        </w:numPr>
      </w:pPr>
      <w:r>
        <w:t xml:space="preserve">A elasticidade-renda do lazer é elevada;</w:t>
      </w:r>
    </w:p>
    <w:p>
      <w:pPr>
        <w:pStyle w:val="Compact"/>
        <w:numPr>
          <w:ilvl w:val="0"/>
          <w:numId w:val="1932"/>
        </w:numPr>
      </w:pPr>
      <w:r>
        <w:t xml:space="preserve">O efeito substituição compensado é pequeno.</w:t>
      </w:r>
    </w:p>
    <w:p>
      <w:pPr>
        <w:pStyle w:val="BlockText"/>
      </w:pPr>
      <w:r>
        <w:rPr>
          <w:b/>
          <w:bCs/>
        </w:rPr>
        <w:t xml:space="preserve">[INTUICAO ECONOMICA] Intuição Econômica</w:t>
      </w:r>
    </w:p>
    <w:p>
      <w:pPr>
        <w:pStyle w:val="BlockText"/>
      </w:pPr>
      <w:r>
        <w:rPr>
          <w:b/>
          <w:bCs/>
        </w:rPr>
        <w:t xml:space="preserve">Em uma frase:</w:t>
      </w:r>
      <w:r>
        <w:t xml:space="preserve"> </w:t>
      </w:r>
      <w:r>
        <w:t xml:space="preserve">A partir de certo salário, ganhar mais faz a pessoa querer trabalhar menos, não mais — porque ela já pode</w:t>
      </w:r>
      <w:r>
        <w:t xml:space="preserve"> </w:t>
      </w:r>
      <w:r>
        <w:t xml:space="preserve">“se dar ao luxo”</w:t>
      </w:r>
      <w:r>
        <w:t xml:space="preserve"> </w:t>
      </w:r>
      <w:r>
        <w:t xml:space="preserve">de curtir a vida.</w:t>
      </w:r>
    </w:p>
    <w:p>
      <w:pPr>
        <w:pStyle w:val="BlockText"/>
      </w:pPr>
      <w:r>
        <w:rPr>
          <w:b/>
          <w:bCs/>
        </w:rPr>
        <w:t xml:space="preserve">Pense assim:</w:t>
      </w:r>
      <w:r>
        <w:t xml:space="preserve"> </w:t>
      </w:r>
      <w:r>
        <w:t xml:space="preserve">Um médico recém-formado aceita plantões extras para pagar as contas. Mas um cirurgião sênior que já ganha muito bem prefere reduzir a carga e passar mais tempo com a família ou viajando. O dinheiro extra não compensa a perda de lazer — a curva de oferta</w:t>
      </w:r>
      <w:r>
        <w:t xml:space="preserve"> </w:t>
      </w:r>
      <w:r>
        <w:t xml:space="preserve">“volta para trás”</w:t>
      </w:r>
      <w:r>
        <w:t xml:space="preserve">.</w:t>
      </w:r>
    </w:p>
    <w:p>
      <w:pPr>
        <w:pStyle w:val="BlockText"/>
      </w:pPr>
      <w:r>
        <w:rPr>
          <w:b/>
          <w:bCs/>
        </w:rPr>
        <w:t xml:space="preserve">Por que isso importa:</w:t>
      </w:r>
      <w:r>
        <w:t xml:space="preserve"> </w:t>
      </w:r>
      <w:r>
        <w:t xml:space="preserve">Esse fenômeno explica por que aumentar impostos sobre altas rendas nem sempre reduz o esforço de trabalho tanto quanto se imagina — e por que cortes de impostos para ricos nem sempre geram mais horas trabalhadas.</w:t>
      </w:r>
    </w:p>
    <w:p>
      <w:pPr>
        <w:pStyle w:val="BlockText"/>
      </w:pPr>
      <w:r>
        <w:rPr>
          <w:b/>
          <w:bCs/>
        </w:rPr>
        <w:t xml:space="preserve">[DICA] Evidência empírica</w:t>
      </w:r>
    </w:p>
    <w:p>
      <w:pPr>
        <w:pStyle w:val="BlockText"/>
      </w:pPr>
      <w:r>
        <w:t xml:space="preserve">A evidência empírica sugere que a oferta de trabalho masculina é relativamente</w:t>
      </w:r>
      <w:r>
        <w:t xml:space="preserve"> </w:t>
      </w:r>
      <w:r>
        <w:rPr>
          <w:b/>
          <w:bCs/>
        </w:rPr>
        <w:t xml:space="preserve">inelástica</w:t>
      </w:r>
      <w:r>
        <w:t xml:space="preserve"> </w:t>
      </w:r>
      <w:r>
        <w:t xml:space="preserve">(elasticidade próxima de zero ou levemente negativa), enquanto a oferta feminina tende a ser mais elástica, especialmente para mulheres casadas. Isso é consistente com uma curva backward-bending para homens em faixas salariais observadas.</w:t>
      </w:r>
    </w:p>
    <w:p>
      <w:pPr>
        <w:pStyle w:val="BlockText"/>
      </w:pPr>
      <w:r>
        <w:rPr>
          <w:b/>
          <w:bCs/>
        </w:rPr>
        <w:t xml:space="preserve">[ATENCAO] Erro Comum</w:t>
      </w:r>
    </w:p>
    <w:p>
      <w:pPr>
        <w:pStyle w:val="BlockText"/>
      </w:pPr>
      <w:r>
        <w:rPr>
          <w:b/>
          <w:bCs/>
        </w:rPr>
        <w:t xml:space="preserve">Assumir que um aumento salarial sempre aumenta a oferta de trabalho.</w:t>
      </w:r>
    </w:p>
    <w:p>
      <w:pPr>
        <w:pStyle w:val="BlockText"/>
      </w:pPr>
      <w:r>
        <w:t xml:space="preserve">Muitos alunos aplicam automaticamente a</w:t>
      </w:r>
      <w:r>
        <w:t xml:space="preserve"> </w:t>
      </w:r>
      <w:r>
        <w:t xml:space="preserve">“lei da oferta”</w:t>
      </w:r>
      <w:r>
        <w:t xml:space="preserve"> </w:t>
      </w:r>
      <w:r>
        <w:t xml:space="preserve">ao mercado de trabalho, concluindo que salários maiores geram mais horas trabalhadas. Isso ignora que o lazer é um bem normal: quando o salário sobe, o efeito renda incentiva o trabalhador a consumir mais lazer (trabalhar menos), enquanto o efeito substituição o incentiva a trocar lazer por consumo (trabalhar mais). O sinal líquido é</w:t>
      </w:r>
      <w:r>
        <w:t xml:space="preserve"> </w:t>
      </w:r>
      <w:r>
        <w:rPr>
          <w:b/>
          <w:bCs/>
        </w:rPr>
        <w:t xml:space="preserve">ambíguo</w:t>
      </w:r>
      <w:r>
        <w:t xml:space="preserve"> </w:t>
      </w:r>
      <w:r>
        <w:t xml:space="preserve">e depende de qual efeito domina. Para salários elevados, o efeito renda pode prevalecer, gerando a curva backward-bending. Na decomposição de Slutsky, sempre separe os dois efeitos antes de concluir sobre o sinal de</w:t>
      </w:r>
      <w:r>
        <w:t xml:space="preserve"> </w:t>
      </w:r>
      <m:oMath>
        <m:r>
          <m:rPr>
            <m:sty m:val="p"/>
          </m:rPr>
          <m:t>∂</m:t>
        </m:r>
        <m:sSup>
          <m:e>
            <m:r>
              <m:t>h</m:t>
            </m:r>
          </m:e>
          <m:sup>
            <m:r>
              <m:rPr>
                <m:sty m:val="p"/>
              </m:rPr>
              <m:t>*</m:t>
            </m:r>
          </m:sup>
        </m:sSup>
        <m:r>
          <m:rPr>
            <m:sty m:val="p"/>
          </m:rPr>
          <m:t>/</m:t>
        </m:r>
        <m:r>
          <m:rPr>
            <m:sty m:val="p"/>
          </m:rPr>
          <m:t>∂</m:t>
        </m:r>
        <m:r>
          <m:t>w</m:t>
        </m:r>
      </m:oMath>
      <w:r>
        <w:t xml:space="preserve">.</w:t>
      </w:r>
    </w:p>
    <w:p>
      <w:r>
        <w:pict>
          <v:rect style="width:0;height:1.5pt" o:hralign="center" o:hrstd="t" o:hr="t"/>
        </w:pict>
      </w:r>
    </w:p>
    <w:p>
      <w:pPr>
        <w:pStyle w:val="FirstParagraph"/>
      </w:pPr>
      <w:r>
        <w:t xml:space="preserve">O gráfico abaixo ilustra a curva de oferta de trabalho individual e a possibilidade de backward-bending. No painel superior, veja a escolha lazer-consumo para o salário selecionado. No painel inferior, a curva de oferta de trabalho</w:t>
      </w:r>
      <w:r>
        <w:t xml:space="preserve"> </w:t>
      </w:r>
      <m:oMath>
        <m:sSup>
          <m:e>
            <m:r>
              <m:t>h</m:t>
            </m:r>
          </m:e>
          <m:sup>
            <m:r>
              <m:rPr>
                <m:sty m:val="p"/>
              </m:rPr>
              <m:t>*</m:t>
            </m:r>
          </m:sup>
        </m:sSup>
        <m:r>
          <m:rPr>
            <m:sty m:val="p"/>
          </m:rPr>
          <m:t>(</m:t>
        </m:r>
        <m:r>
          <m:t>w</m:t>
        </m:r>
        <m:r>
          <m:rPr>
            <m:sty m:val="p"/>
          </m:rPr>
          <m:t>)</m:t>
        </m:r>
      </m:oMath>
      <w:r>
        <w:t xml:space="preserve">. Aumente</w:t>
      </w:r>
      <w:r>
        <w:t xml:space="preserve"> </w:t>
      </w:r>
      <m:oMath>
        <m:r>
          <m:t>γ</m:t>
        </m:r>
      </m:oMath>
      <w:r>
        <w:t xml:space="preserve"> </w:t>
      </w:r>
      <w:r>
        <w:t xml:space="preserve">para reduzir a elasticidade de substituição e observar o trecho onde o efeito renda domina.</w:t>
      </w:r>
    </w:p>
    <w:p>
      <w:pPr>
        <w:pStyle w:val="BodyText"/>
      </w:pPr>
      <w:r>
        <w:t xml:space="preserve">[FIGURA INTERATIVA: /micro-book/graficos/cap17/oferta-trabalho.html — versao interativa disponivel online]</w:t>
      </w:r>
    </w:p>
    <w:p>
      <w:pPr>
        <w:pStyle w:val="BodyText"/>
      </w:pPr>
      <w:r>
        <w:rPr>
          <w:b/>
          <w:bCs/>
        </w:rPr>
        <w:t xml:space="preserve">Figura 17.2 — Curva de oferta de trabalho individual e a possibilidade de backward-bending.</w:t>
      </w:r>
      <w:r>
        <w:t xml:space="preserve"> </w:t>
      </w:r>
      <w:r>
        <w:t xml:space="preserve">Aumente</w:t>
      </w:r>
      <w:r>
        <w:t xml:space="preserve"> </w:t>
      </w:r>
      <m:oMath>
        <m:r>
          <m:t>γ</m:t>
        </m:r>
      </m:oMath>
      <w:r>
        <w:t xml:space="preserve"> </w:t>
      </w:r>
      <w:r>
        <w:t xml:space="preserve">para reduzir a elasticidade de substituição e observar o trecho onde o efeito renda domina.</w:t>
      </w:r>
    </w:p>
    <w:p>
      <w:pPr>
        <w:pStyle w:val="BodyText"/>
      </w:pPr>
      <w:r>
        <w:t xml:space="preserve">[FIGURA INTERATIVA: /micro-book/graficos/cap17/webr-backward-bending.html — versao interativa disponivel online]</w:t>
      </w:r>
    </w:p>
    <w:p>
      <w:pPr>
        <w:pStyle w:val="BodyText"/>
      </w:pPr>
      <w:r>
        <w:rPr>
          <w:b/>
          <w:bCs/>
        </w:rPr>
        <w:t xml:space="preserve">WebR 17.2 — Backward-bending com utilidade CES.</w:t>
      </w:r>
      <w:r>
        <w:t xml:space="preserve"> </w:t>
      </w:r>
      <w:r>
        <w:t xml:space="preserve">Compare curvas de oferta de trabalho para diferentes elasticidades de substituição (</w:t>
      </w:r>
      <m:oMath>
        <m:r>
          <m:t>σ</m:t>
        </m:r>
      </m:oMath>
      <w:r>
        <w:t xml:space="preserve">). Observe como</w:t>
      </w:r>
      <w:r>
        <w:t xml:space="preserve"> </w:t>
      </w:r>
      <m:oMath>
        <m:r>
          <m:t>σ</m:t>
        </m:r>
        <m:r>
          <m:rPr>
            <m:sty m:val="p"/>
          </m:rPr>
          <m:t>&lt;</m:t>
        </m:r>
        <m:r>
          <m:t>1</m:t>
        </m:r>
      </m:oMath>
      <w:r>
        <w:t xml:space="preserve"> </w:t>
      </w:r>
      <w:r>
        <w:t xml:space="preserve">gera a curva que</w:t>
      </w:r>
      <w:r>
        <w:t xml:space="preserve"> </w:t>
      </w:r>
      <w:r>
        <w:t xml:space="preserve">“volta para trás”</w:t>
      </w:r>
      <w:r>
        <w:t xml:space="preserve">.</w:t>
      </w:r>
    </w:p>
    <w:bookmarkEnd w:id="1070"/>
    <w:bookmarkEnd w:id="1071"/>
    <w:bookmarkEnd w:id="1072"/>
    <w:bookmarkStart w:id="1085" w:name="equilíbrio-e-diferenciais-salariais"/>
    <w:p>
      <w:pPr>
        <w:pStyle w:val="Heading2"/>
      </w:pPr>
      <w:r>
        <w:t xml:space="preserve">17.4–17.6 Equilíbrio e Diferenciais Salariais</w:t>
      </w:r>
    </w:p>
    <w:bookmarkStart w:id="1074" w:name="X094700e379f0fb3b543e25c77f8e4b3e068f057"/>
    <w:p>
      <w:pPr>
        <w:pStyle w:val="Heading3"/>
      </w:pPr>
      <w:r>
        <w:t xml:space="preserve">17.4 De Milhões de Despertadores a Uma Curva Só: Oferta Agregada</w:t>
      </w:r>
    </w:p>
    <w:p>
      <w:pPr>
        <w:pStyle w:val="FirstParagraph"/>
      </w:pPr>
      <w:r>
        <w:t xml:space="preserve">Até aqui, analisamos a oferta de trabalho do ponto de vista individual. Mas o mercado de trabalho é composto por milhões de trabalhadores heterogêneos, cada um com suas preferências, sua renda não salarial e seu salário de reserva. Como passamos da oferta individual — que pode ser backward-bending — para a oferta de mercado? A agregação produz uma curva com propriedades distintas, em grande parte porque incorpora não apenas a decisão de quantas horas trabalhar (margem intensiva), mas também a decisão de participar ou não da força de trabalho (margem extensiva).</w:t>
      </w:r>
    </w:p>
    <w:p>
      <w:pPr>
        <w:pStyle w:val="BodyText"/>
      </w:pPr>
      <w:r>
        <w:t xml:space="preserve">A oferta de trabalho do mercado é obtida pela</w:t>
      </w:r>
      <w:r>
        <w:t xml:space="preserve"> </w:t>
      </w:r>
      <w:r>
        <w:rPr>
          <w:b/>
          <w:bCs/>
        </w:rPr>
        <w:t xml:space="preserve">agregação horizontal</w:t>
      </w:r>
      <w:r>
        <w:t xml:space="preserve"> </w:t>
      </w:r>
      <w:r>
        <w:t xml:space="preserve">das ofertas individuais. Se existem</w:t>
      </w:r>
      <w:r>
        <w:t xml:space="preserve"> </w:t>
      </w:r>
      <m:oMath>
        <m:r>
          <m:t>n</m:t>
        </m:r>
      </m:oMath>
      <w:r>
        <w:t xml:space="preserve"> </w:t>
      </w:r>
      <w:r>
        <w:t xml:space="preserve">trabalhadores, cada um com oferta</w:t>
      </w:r>
      <w:r>
        <w:t xml:space="preserve"> </w:t>
      </w:r>
      <m:oMath>
        <m:sSubSup>
          <m:e>
            <m:r>
              <m:t>h</m:t>
            </m:r>
          </m:e>
          <m:sub>
            <m:r>
              <m:t>i</m:t>
            </m:r>
          </m:sub>
          <m:sup>
            <m:r>
              <m:rPr>
                <m:sty m:val="p"/>
              </m:rPr>
              <m:t>*</m:t>
            </m:r>
          </m:sup>
        </m:sSubSup>
        <m:r>
          <m:rPr>
            <m:sty m:val="p"/>
          </m:rPr>
          <m:t>(</m:t>
        </m:r>
        <m:r>
          <m:t>w</m:t>
        </m:r>
        <m:r>
          <m:rPr>
            <m:sty m:val="p"/>
          </m:rPr>
          <m:t>)</m:t>
        </m:r>
      </m:oMath>
      <w:r>
        <w:t xml:space="preserve">, a oferta agregada é:</w:t>
      </w:r>
    </w:p>
    <w:p>
      <w:pPr>
        <w:pStyle w:val="BodyText"/>
      </w:pPr>
      <m:oMathPara>
        <m:oMathParaPr>
          <m:jc m:val="center"/>
        </m:oMathParaPr>
        <m:oMath>
          <m:sSup>
            <m:e>
              <m:r>
                <m:t>H</m:t>
              </m:r>
            </m:e>
            <m:sup>
              <m:r>
                <m:t>s</m:t>
              </m:r>
            </m:sup>
          </m:sSup>
          <m:r>
            <m:rPr>
              <m:sty m:val="p"/>
            </m:rPr>
            <m:t>(</m:t>
          </m:r>
          <m:r>
            <m:t>w</m:t>
          </m:r>
          <m:r>
            <m:rPr>
              <m:sty m:val="p"/>
            </m:rPr>
            <m:t>)</m:t>
          </m:r>
          <m:r>
            <m:rPr>
              <m:sty m:val="p"/>
            </m:rPr>
            <m:t>=</m:t>
          </m:r>
          <m:nary>
            <m:naryPr>
              <m:chr m:val="∑"/>
              <m:limLoc m:val="undOvr"/>
              <m:subHide m:val="off"/>
              <m:supHide m:val="off"/>
            </m:naryPr>
            <m:sub>
              <m:r>
                <m:t>i</m:t>
              </m:r>
              <m:r>
                <m:rPr>
                  <m:sty m:val="p"/>
                </m:rPr>
                <m:t>=</m:t>
              </m:r>
              <m:r>
                <m:t>1</m:t>
              </m:r>
            </m:sub>
            <m:sup>
              <m:r>
                <m:t>n</m:t>
              </m:r>
            </m:sup>
            <m:e>
              <m:sSubSup>
                <m:e>
                  <m:r>
                    <m:t>h</m:t>
                  </m:r>
                </m:e>
                <m:sub>
                  <m:r>
                    <m:t>i</m:t>
                  </m:r>
                </m:sub>
                <m:sup>
                  <m:r>
                    <m:rPr>
                      <m:sty m:val="p"/>
                    </m:rPr>
                    <m:t>*</m:t>
                  </m:r>
                </m:sup>
              </m:sSubSup>
            </m:e>
          </m:nary>
          <m:r>
            <m:rPr>
              <m:sty m:val="p"/>
            </m:rPr>
            <m:t>(</m:t>
          </m:r>
          <m:r>
            <m:t>w</m:t>
          </m:r>
          <m:r>
            <m:rPr>
              <m:sty m:val="p"/>
            </m:rPr>
            <m:t>)</m:t>
          </m:r>
        </m:oMath>
      </m:oMathPara>
    </w:p>
    <w:p>
      <w:pPr>
        <w:pStyle w:val="FirstParagraph"/>
      </w:pPr>
      <w:r>
        <w:t xml:space="preserve">Mesmo que curvas individuais sejam backward-bending, a curva de mercado tende a ser</w:t>
      </w:r>
      <w:r>
        <w:t xml:space="preserve"> </w:t>
      </w:r>
      <w:r>
        <w:rPr>
          <w:b/>
          <w:bCs/>
        </w:rPr>
        <w:t xml:space="preserve">positivamente inclinada</w:t>
      </w:r>
      <w:r>
        <w:t xml:space="preserve"> </w:t>
      </w:r>
      <w:r>
        <w:t xml:space="preserve">por duas razões:</w:t>
      </w:r>
    </w:p>
    <w:p>
      <w:pPr>
        <w:pStyle w:val="Compact"/>
        <w:numPr>
          <w:ilvl w:val="0"/>
          <w:numId w:val="1933"/>
        </w:numPr>
      </w:pPr>
      <w:r>
        <w:rPr>
          <w:b/>
          <w:bCs/>
        </w:rPr>
        <w:t xml:space="preserve">Margem extensiva</w:t>
      </w:r>
      <w:r>
        <w:t xml:space="preserve">: salários mais altos atraem novos trabalhadores ao mercado (pessoas que estavam fora da força de trabalho);</w:t>
      </w:r>
    </w:p>
    <w:p>
      <w:pPr>
        <w:pStyle w:val="Compact"/>
        <w:numPr>
          <w:ilvl w:val="0"/>
          <w:numId w:val="1933"/>
        </w:numPr>
      </w:pPr>
      <w:r>
        <w:rPr>
          <w:b/>
          <w:bCs/>
        </w:rPr>
        <w:t xml:space="preserve">Heterogeneidade</w:t>
      </w:r>
      <w:r>
        <w:t xml:space="preserve">: diferentes trabalhadores atingem o ponto de inflexão em salários diferentes, de modo que a agregação suaviza o efeito.</w:t>
      </w:r>
    </w:p>
    <w:p>
      <w:pPr>
        <w:pStyle w:val="BlockText"/>
      </w:pPr>
      <w:r>
        <w:rPr>
          <w:b/>
          <w:bCs/>
        </w:rPr>
        <w:t xml:space="preserve">[NOTA] Margem intensiva vs. extensiva</w:t>
      </w:r>
    </w:p>
    <w:p>
      <w:pPr>
        <w:pStyle w:val="BlockText"/>
      </w:pPr>
      <w:r>
        <w:t xml:space="preserve">A</w:t>
      </w:r>
      <w:r>
        <w:t xml:space="preserve"> </w:t>
      </w:r>
      <w:r>
        <w:rPr>
          <w:b/>
          <w:bCs/>
        </w:rPr>
        <w:t xml:space="preserve">margem intensiva</w:t>
      </w:r>
      <w:r>
        <w:t xml:space="preserve"> </w:t>
      </w:r>
      <w:r>
        <w:t xml:space="preserve">refere-se à decisão de quantas horas trabalhar (dado que se está empregado). A</w:t>
      </w:r>
      <w:r>
        <w:t xml:space="preserve"> </w:t>
      </w:r>
      <w:r>
        <w:rPr>
          <w:b/>
          <w:bCs/>
        </w:rPr>
        <w:t xml:space="preserve">margem extensiva</w:t>
      </w:r>
      <w:r>
        <w:t xml:space="preserve"> </w:t>
      </w:r>
      <w:r>
        <w:t xml:space="preserve">refere-se à decisão de participar ou não da força de trabalho. A análise do modelo trabalho-lazer captura primariamente a margem intensiva, mas a curva de mercado incorpora ambas.</w:t>
      </w:r>
    </w:p>
    <w:bookmarkStart w:id="1073" w:name="Xddaa258aa6aa1d32b1f336bedcb2036f8cb7ec4"/>
    <w:p>
      <w:pPr>
        <w:pStyle w:val="Heading4"/>
      </w:pPr>
      <w:r>
        <w:t xml:space="preserve">A decisão de participação (margem extensiva)</w:t>
      </w:r>
    </w:p>
    <w:p>
      <w:pPr>
        <w:pStyle w:val="FirstParagraph"/>
      </w:pPr>
      <w:r>
        <w:t xml:space="preserve">A margem extensiva merece atenção especial porque é quantitativamente tão importante quanto a margem intensiva — e, para certos grupos demográficos, é ainda mais relevante. O conceito central aqui é o</w:t>
      </w:r>
      <w:r>
        <w:t xml:space="preserve"> </w:t>
      </w:r>
      <w:r>
        <w:rPr>
          <w:b/>
          <w:bCs/>
        </w:rPr>
        <w:t xml:space="preserve">salário de reserva</w:t>
      </w:r>
      <w:r>
        <w:t xml:space="preserve"> </w:t>
      </w:r>
      <m:oMath>
        <m:sSub>
          <m:e>
            <m:r>
              <m:t>w</m:t>
            </m:r>
          </m:e>
          <m:sub>
            <m:r>
              <m:t>R</m:t>
            </m:r>
          </m:sub>
        </m:sSub>
      </m:oMath>
      <w:r>
        <w:t xml:space="preserve">: o salário mínimo que induz o indivíduo a ofertar pelo menos uma hora de trabalho. Formalmente,</w:t>
      </w:r>
      <w:r>
        <w:t xml:space="preserve"> </w:t>
      </w:r>
      <m:oMath>
        <m:sSub>
          <m:e>
            <m:r>
              <m:t>w</m:t>
            </m:r>
          </m:e>
          <m:sub>
            <m:r>
              <m:t>R</m:t>
            </m:r>
          </m:sub>
        </m:sSub>
      </m:oMath>
      <w:r>
        <w:t xml:space="preserve"> </w:t>
      </w:r>
      <w:r>
        <w:t xml:space="preserve">é a taxa marginal de substituição entre lazer e consumo avaliada no ponto de não participação (</w:t>
      </w:r>
      <m:oMath>
        <m:r>
          <m:t>h</m:t>
        </m:r>
        <m:r>
          <m:rPr>
            <m:sty m:val="p"/>
          </m:rPr>
          <m:t>=</m:t>
        </m:r>
        <m:r>
          <m:t>0</m:t>
        </m:r>
      </m:oMath>
      <w:r>
        <w:t xml:space="preserve">):</w:t>
      </w:r>
    </w:p>
    <w:p>
      <w:pPr>
        <w:pStyle w:val="BodyText"/>
      </w:pPr>
      <m:oMathPara>
        <m:oMathParaPr>
          <m:jc m:val="center"/>
        </m:oMathParaPr>
        <m:oMath>
          <m:sSub>
            <m:e>
              <m:r>
                <m:t>w</m:t>
              </m:r>
            </m:e>
            <m:sub>
              <m:r>
                <m:t>R</m:t>
              </m:r>
            </m:sub>
          </m:sSub>
          <m:r>
            <m:rPr>
              <m:sty m:val="p"/>
            </m:rPr>
            <m:t>=</m:t>
          </m:r>
          <m:f>
            <m:fPr>
              <m:type m:val="bar"/>
            </m:fPr>
            <m:num>
              <m:sSub>
                <m:e>
                  <m:r>
                    <m:t>U</m:t>
                  </m:r>
                </m:e>
                <m:sub>
                  <m:r>
                    <m:t>L</m:t>
                  </m:r>
                </m:sub>
              </m:sSub>
              <m:r>
                <m:rPr>
                  <m:sty m:val="p"/>
                </m:rPr>
                <m:t>(</m:t>
              </m:r>
              <m:r>
                <m:t>V</m:t>
              </m:r>
              <m:r>
                <m:rPr>
                  <m:sty m:val="p"/>
                </m:rPr>
                <m:t>,</m:t>
              </m:r>
              <m:r>
                <m:t>T</m:t>
              </m:r>
              <m:r>
                <m:rPr>
                  <m:sty m:val="p"/>
                </m:rPr>
                <m:t>)</m:t>
              </m:r>
            </m:num>
            <m:den>
              <m:sSub>
                <m:e>
                  <m:r>
                    <m:t>U</m:t>
                  </m:r>
                </m:e>
                <m:sub>
                  <m:r>
                    <m:t>C</m:t>
                  </m:r>
                </m:sub>
              </m:sSub>
              <m:r>
                <m:rPr>
                  <m:sty m:val="p"/>
                </m:rPr>
                <m:t>(</m:t>
              </m:r>
              <m:r>
                <m:t>V</m:t>
              </m:r>
              <m:r>
                <m:rPr>
                  <m:sty m:val="p"/>
                </m:rPr>
                <m:t>,</m:t>
              </m:r>
              <m:r>
                <m:t>T</m:t>
              </m:r>
              <m:r>
                <m:rPr>
                  <m:sty m:val="p"/>
                </m:rPr>
                <m:t>)</m:t>
              </m:r>
            </m:den>
          </m:f>
        </m:oMath>
      </m:oMathPara>
    </w:p>
    <w:p>
      <w:pPr>
        <w:pStyle w:val="FirstParagraph"/>
      </w:pPr>
      <w:r>
        <w:t xml:space="preserve">Se o salário de mercado</w:t>
      </w:r>
      <w:r>
        <w:t xml:space="preserve"> </w:t>
      </w:r>
      <m:oMath>
        <m:r>
          <m:t>w</m:t>
        </m:r>
        <m:r>
          <m:rPr>
            <m:sty m:val="p"/>
          </m:rPr>
          <m:t>&lt;</m:t>
        </m:r>
        <m:sSub>
          <m:e>
            <m:r>
              <m:t>w</m:t>
            </m:r>
          </m:e>
          <m:sub>
            <m:r>
              <m:t>R</m:t>
            </m:r>
          </m:sub>
        </m:sSub>
      </m:oMath>
      <w:r>
        <w:t xml:space="preserve">, o indivíduo não participa da força de trabalho. Se</w:t>
      </w:r>
      <w:r>
        <w:t xml:space="preserve"> </w:t>
      </w:r>
      <m:oMath>
        <m:r>
          <m:t>w</m:t>
        </m:r>
        <m:r>
          <m:rPr>
            <m:sty m:val="p"/>
          </m:rPr>
          <m:t>≥</m:t>
        </m:r>
        <m:sSub>
          <m:e>
            <m:r>
              <m:t>w</m:t>
            </m:r>
          </m:e>
          <m:sub>
            <m:r>
              <m:t>R</m:t>
            </m:r>
          </m:sub>
        </m:sSub>
      </m:oMath>
      <w:r>
        <w:t xml:space="preserve">, ele oferece horas positivas. A</w:t>
      </w:r>
      <w:r>
        <w:t xml:space="preserve"> </w:t>
      </w:r>
      <w:r>
        <w:rPr>
          <w:b/>
          <w:bCs/>
        </w:rPr>
        <w:t xml:space="preserve">taxa de participação</w:t>
      </w:r>
      <w:r>
        <w:t xml:space="preserve"> </w:t>
      </w:r>
      <w:r>
        <w:t xml:space="preserve">da economia é a fração de indivíduos em idade ativa para os quais</w:t>
      </w:r>
      <w:r>
        <w:t xml:space="preserve"> </w:t>
      </w:r>
      <m:oMath>
        <m:r>
          <m:t>w</m:t>
        </m:r>
        <m:r>
          <m:rPr>
            <m:sty m:val="p"/>
          </m:rPr>
          <m:t>≥</m:t>
        </m:r>
        <m:sSub>
          <m:e>
            <m:r>
              <m:t>w</m:t>
            </m:r>
          </m:e>
          <m:sub>
            <m:r>
              <m:t>R</m:t>
            </m:r>
          </m:sub>
        </m:sSub>
      </m:oMath>
      <w:r>
        <w:t xml:space="preserve">.</w:t>
      </w:r>
    </w:p>
    <w:p>
      <w:pPr>
        <w:pStyle w:val="BodyText"/>
      </w:pPr>
      <w:r>
        <w:t xml:space="preserve">A taxa de participação varia enormemente entre grupos demográficos e países, e suas mudanças ao longo do tempo revelam transformações sociais profundas. No Brasil, segundo a PNAD Contínua/IBGE (2024), a taxa de participação na força de trabalho apresenta diferenças marcantes por gênero:</w:t>
      </w:r>
    </w:p>
    <w:p>
      <w:pPr>
        <w:pStyle w:val="Compact"/>
        <w:numPr>
          <w:ilvl w:val="0"/>
          <w:numId w:val="1934"/>
        </w:numPr>
      </w:pPr>
      <w:r>
        <w:rPr>
          <w:b/>
          <w:bCs/>
        </w:rPr>
        <w:t xml:space="preserve">Homens:</w:t>
      </w:r>
      <w:r>
        <w:t xml:space="preserve"> </w:t>
      </w:r>
      <w:r>
        <w:t xml:space="preserve">taxa de participação de aproximadamente 73%, relativamente estável nas últimas décadas;</w:t>
      </w:r>
    </w:p>
    <w:p>
      <w:pPr>
        <w:pStyle w:val="Compact"/>
        <w:numPr>
          <w:ilvl w:val="0"/>
          <w:numId w:val="1934"/>
        </w:numPr>
      </w:pPr>
      <w:r>
        <w:rPr>
          <w:b/>
          <w:bCs/>
        </w:rPr>
        <w:t xml:space="preserve">Mulheres:</w:t>
      </w:r>
      <w:r>
        <w:t xml:space="preserve"> </w:t>
      </w:r>
      <w:r>
        <w:t xml:space="preserve">taxa de participação de aproximadamente 53%, tendo crescido expressivamente desde os anos 1970 (quando era inferior a 30%), mas ainda significativamente abaixo da masculina.</w:t>
      </w:r>
    </w:p>
    <w:p>
      <w:pPr>
        <w:pStyle w:val="FirstParagraph"/>
      </w:pPr>
      <w:r>
        <w:t xml:space="preserve">Essa diferença de 20 pontos percentuais reflete uma combinação de fatores: divisão desigual do trabalho doméstico e de cuidados (que eleva o salário de reserva feminino), normas culturais, barreiras à participação (como a insuficiência de creches e escolas em tempo integral) e discriminação no mercado de trabalho. Políticas públicas que reduzem o custo do cuidado infantil — como a universalização de creches — podem reduzir o salário de reserva feminino e elevar a participação, com efeitos positivos sobre o PIB e a igualdade de gênero.</w:t>
      </w:r>
    </w:p>
    <w:p>
      <w:pPr>
        <w:pStyle w:val="BodyText"/>
      </w:pPr>
      <w:r>
        <w:t xml:space="preserve">Internacionalmente, os países nórdicos apresentam as menores diferenças de participação por gênero (5–7 pontos percentuais), graças a políticas abrangentes de licença parental compartilhada, creches públicas universais e incentivos fiscais à participação feminina. Já em países do Oriente Médio e do Norte da África, a diferença pode superar 50 pontos percentuais, refletindo barreiras institucionais e culturais mais severas.</w:t>
      </w:r>
    </w:p>
    <w:p>
      <w:pPr>
        <w:pStyle w:val="BodyText"/>
      </w:pPr>
      <w:r>
        <w:t xml:space="preserve">Do ponto de vista empírico, a maior parte da variação na oferta de trabalho agregada — tanto entre países quanto ao longo do tempo — advém de mudanças na</w:t>
      </w:r>
      <w:r>
        <w:t xml:space="preserve"> </w:t>
      </w:r>
      <w:r>
        <w:rPr>
          <w:b/>
          <w:bCs/>
        </w:rPr>
        <w:t xml:space="preserve">margem extensiva</w:t>
      </w:r>
      <w:r>
        <w:t xml:space="preserve">, não na intensiva. É por isso que modelos que ignoram a decisão de participação subestimam a elasticidade da oferta de trabalho agregada: mesmo que cada indivíduo empregado ajuste pouco suas horas, a entrada e saída de trabalhadores do mercado gera grande variação no total de horas ofertadas.</w:t>
      </w:r>
    </w:p>
    <w:p>
      <w:r>
        <w:pict>
          <v:rect style="width:0;height:1.5pt" o:hralign="center" o:hrstd="t" o:hr="t"/>
        </w:pict>
      </w:r>
    </w:p>
    <w:bookmarkEnd w:id="1073"/>
    <w:bookmarkEnd w:id="1074"/>
    <w:bookmarkStart w:id="1078" w:name="X4f1241ed2b1b531c2c853ce1eeff952cd0f40f3"/>
    <w:p>
      <w:pPr>
        <w:pStyle w:val="Heading3"/>
      </w:pPr>
      <w:r>
        <w:t xml:space="preserve">17.5 Onde Oferta e Demanda se Encontram: Equilíbrio no Mercado de Trabalho</w:t>
      </w:r>
    </w:p>
    <w:p>
      <w:pPr>
        <w:pStyle w:val="FirstParagraph"/>
      </w:pPr>
      <w:r>
        <w:t xml:space="preserve">Hora de juntar as duas metades da história. Até aqui, olhamos o mercado de trabalho pelo lado do trabalhador, que decide quantas horas vender. Mas ninguém vende horas para o vazio — do outro lado do balcão está a firma, que compra trabalho porque precisa produzir. O mecanismo é análogo ao de qualquer mercado competitivo, com uma particularidade saborosa: a demanda por trabalho é uma demanda</w:t>
      </w:r>
      <w:r>
        <w:t xml:space="preserve"> </w:t>
      </w:r>
      <w:r>
        <w:rPr>
          <w:i/>
          <w:iCs/>
        </w:rPr>
        <w:t xml:space="preserve">derivada</w:t>
      </w:r>
      <w:r>
        <w:t xml:space="preserve">, que não surge do desejo de</w:t>
      </w:r>
      <w:r>
        <w:t xml:space="preserve"> </w:t>
      </w:r>
      <w:r>
        <w:t xml:space="preserve">“ter”</w:t>
      </w:r>
      <w:r>
        <w:t xml:space="preserve"> </w:t>
      </w:r>
      <w:r>
        <w:t xml:space="preserve">trabalhadores, mas da necessidade de transformar horas de esforço em produto vendável.</w:t>
      </w:r>
    </w:p>
    <w:bookmarkStart w:id="1075" w:name="determinação-do-salário-competitivo"/>
    <w:p>
      <w:pPr>
        <w:pStyle w:val="Heading4"/>
      </w:pPr>
      <w:r>
        <w:t xml:space="preserve">Determinação do salário competitivo</w:t>
      </w:r>
    </w:p>
    <w:p>
      <w:pPr>
        <w:pStyle w:val="FirstParagraph"/>
      </w:pPr>
      <w:r>
        <w:t xml:space="preserve">No modelo competitivo, o mercado de trabalho funciona como qualquer outro mercado. O salário de equilíbrio</w:t>
      </w:r>
      <w:r>
        <w:t xml:space="preserve"> </w:t>
      </w:r>
      <m:oMath>
        <m:sSup>
          <m:e>
            <m:r>
              <m:t>w</m:t>
            </m:r>
          </m:e>
          <m:sup>
            <m:r>
              <m:rPr>
                <m:sty m:val="p"/>
              </m:rPr>
              <m:t>*</m:t>
            </m:r>
          </m:sup>
        </m:sSup>
      </m:oMath>
      <w:r>
        <w:t xml:space="preserve"> </w:t>
      </w:r>
      <w:r>
        <w:t xml:space="preserve">é determinado pela interseção da curva de oferta agregada</w:t>
      </w:r>
      <w:r>
        <w:t xml:space="preserve"> </w:t>
      </w:r>
      <m:oMath>
        <m:sSup>
          <m:e>
            <m:r>
              <m:t>H</m:t>
            </m:r>
          </m:e>
          <m:sup>
            <m:r>
              <m:t>s</m:t>
            </m:r>
          </m:sup>
        </m:sSup>
        <m:r>
          <m:rPr>
            <m:sty m:val="p"/>
          </m:rPr>
          <m:t>(</m:t>
        </m:r>
        <m:r>
          <m:t>w</m:t>
        </m:r>
        <m:r>
          <m:rPr>
            <m:sty m:val="p"/>
          </m:rPr>
          <m:t>)</m:t>
        </m:r>
      </m:oMath>
      <w:r>
        <w:t xml:space="preserve"> </w:t>
      </w:r>
      <w:r>
        <w:t xml:space="preserve">com a curva de demanda agregada por trabalho</w:t>
      </w:r>
      <w:r>
        <w:t xml:space="preserve"> </w:t>
      </w:r>
      <m:oMath>
        <m:sSup>
          <m:e>
            <m:r>
              <m:t>H</m:t>
            </m:r>
          </m:e>
          <m:sup>
            <m:r>
              <m:t>d</m:t>
            </m:r>
          </m:sup>
        </m:sSup>
        <m:r>
          <m:rPr>
            <m:sty m:val="p"/>
          </m:rPr>
          <m:t>(</m:t>
        </m:r>
        <m:r>
          <m:t>w</m:t>
        </m:r>
        <m:r>
          <m:rPr>
            <m:sty m:val="p"/>
          </m:rPr>
          <m:t>)</m:t>
        </m:r>
      </m:oMath>
      <w:r>
        <w:t xml:space="preserve">.</w:t>
      </w:r>
    </w:p>
    <w:p>
      <w:pPr>
        <w:pStyle w:val="BodyText"/>
      </w:pPr>
      <w:r>
        <w:t xml:space="preserve">A</w:t>
      </w:r>
      <w:r>
        <w:t xml:space="preserve"> </w:t>
      </w:r>
      <w:r>
        <w:rPr>
          <w:b/>
          <w:bCs/>
        </w:rPr>
        <w:t xml:space="preserve">demanda por trabalho</w:t>
      </w:r>
      <w:r>
        <w:t xml:space="preserve"> </w:t>
      </w:r>
      <w:r>
        <w:t xml:space="preserve">da firma advém da maximização de lucros. No curto prazo, com capital fixo, a firma contrata trabalho até que:</w:t>
      </w:r>
    </w:p>
    <w:p>
      <w:pPr>
        <w:pStyle w:val="BodyText"/>
      </w:pPr>
      <w:r>
        <w:t xml:space="preserve">$$
    w = p \cdot PMg_L = VPMg_L \label{eq:17.11} \tag{17.11}
    $$</w:t>
      </w:r>
    </w:p>
    <w:p>
      <w:pPr>
        <w:pStyle w:val="FirstParagraph"/>
      </w:pPr>
      <w:r>
        <w:t xml:space="preserve">onde</w:t>
      </w:r>
      <w:r>
        <w:t xml:space="preserve"> </w:t>
      </w:r>
      <m:oMath>
        <m:r>
          <m:t>P</m:t>
        </m:r>
        <m:r>
          <m:t>M</m:t>
        </m:r>
        <m:sSub>
          <m:e>
            <m:r>
              <m:t>g</m:t>
            </m:r>
          </m:e>
          <m:sub>
            <m:r>
              <m:t>L</m:t>
            </m:r>
          </m:sub>
        </m:sSub>
      </m:oMath>
      <w:r>
        <w:t xml:space="preserve"> </w:t>
      </w:r>
      <w:r>
        <w:t xml:space="preserve">é o produto marginal do trabalho e</w:t>
      </w:r>
      <w:r>
        <w:t xml:space="preserve"> </w:t>
      </w:r>
      <m:oMath>
        <m:r>
          <m:t>V</m:t>
        </m:r>
        <m:r>
          <m:t>P</m:t>
        </m:r>
        <m:r>
          <m:t>M</m:t>
        </m:r>
        <m:sSub>
          <m:e>
            <m:r>
              <m:t>g</m:t>
            </m:r>
          </m:e>
          <m:sub>
            <m:r>
              <m:t>L</m:t>
            </m:r>
          </m:sub>
        </m:sSub>
      </m:oMath>
      <w:r>
        <w:t xml:space="preserve"> </w:t>
      </w:r>
      <w:r>
        <w:t xml:space="preserve">é o</w:t>
      </w:r>
      <w:r>
        <w:t xml:space="preserve"> </w:t>
      </w:r>
      <w:r>
        <w:rPr>
          <w:b/>
          <w:bCs/>
        </w:rPr>
        <w:t xml:space="preserve">valor do produto marginal do trabalho</w:t>
      </w:r>
      <w:r>
        <w:t xml:space="preserve">. A equação Eq. (eq:17.11) mostra que a curva de demanda por trabalho é a curva de</w:t>
      </w:r>
      <w:r>
        <w:t xml:space="preserve"> </w:t>
      </w:r>
      <m:oMath>
        <m:r>
          <m:t>V</m:t>
        </m:r>
        <m:r>
          <m:t>P</m:t>
        </m:r>
        <m:r>
          <m:t>M</m:t>
        </m:r>
        <m:sSub>
          <m:e>
            <m:r>
              <m:t>g</m:t>
            </m:r>
          </m:e>
          <m:sub>
            <m:r>
              <m:t>L</m:t>
            </m:r>
          </m:sub>
        </m:sSub>
      </m:oMath>
      <w:r>
        <w:t xml:space="preserve">, que é decrescente (devido à lei dos rendimentos decrescentes).</w:t>
      </w:r>
    </w:p>
    <w:p>
      <w:pPr>
        <w:pStyle w:val="BlockText"/>
      </w:pPr>
      <w:r>
        <w:rPr>
          <w:b/>
          <w:bCs/>
        </w:rPr>
        <w:t xml:space="preserve">[DEFINICAO] Equilíbrio competitivo no mercado de trabalho</w:t>
      </w:r>
    </w:p>
    <w:p>
      <w:pPr>
        <w:pStyle w:val="BlockText"/>
      </w:pPr>
      <w:r>
        <w:t xml:space="preserve">O equilíbrio competitivo ocorre no par</w:t>
      </w:r>
      <w:r>
        <w:t xml:space="preserve"> </w:t>
      </w:r>
      <m:oMath>
        <m:r>
          <m:rPr>
            <m:sty m:val="p"/>
          </m:rPr>
          <m:t>(</m:t>
        </m:r>
        <m:sSup>
          <m:e>
            <m:r>
              <m:t>w</m:t>
            </m:r>
          </m:e>
          <m:sup>
            <m:r>
              <m:rPr>
                <m:sty m:val="p"/>
              </m:rPr>
              <m:t>*</m:t>
            </m:r>
          </m:sup>
        </m:sSup>
        <m:r>
          <m:rPr>
            <m:sty m:val="p"/>
          </m:rPr>
          <m:t>,</m:t>
        </m:r>
        <m:sSup>
          <m:e>
            <m:r>
              <m:t>H</m:t>
            </m:r>
          </m:e>
          <m:sup>
            <m:r>
              <m:rPr>
                <m:sty m:val="p"/>
              </m:rPr>
              <m:t>*</m:t>
            </m:r>
          </m:sup>
        </m:sSup>
        <m:r>
          <m:rPr>
            <m:sty m:val="p"/>
          </m:rPr>
          <m:t>)</m:t>
        </m:r>
      </m:oMath>
      <w:r>
        <w:t xml:space="preserve"> </w:t>
      </w:r>
      <w:r>
        <w:t xml:space="preserve">tal que:</w:t>
      </w:r>
    </w:p>
    <w:p>
      <w:pPr>
        <w:pStyle w:val="BlockText"/>
      </w:pPr>
      <w:r>
        <w:t xml:space="preserve">$$</w:t>
      </w:r>
    </w:p>
    <w:p>
      <w:pPr>
        <w:pStyle w:val="BlockText"/>
      </w:pPr>
      <w:r>
        <w:t xml:space="preserve">H</w:t>
      </w:r>
      <w:r>
        <w:rPr>
          <w:vertAlign w:val="superscript"/>
        </w:rPr>
        <w:t xml:space="preserve">s(w</w:t>
      </w:r>
      <w:r>
        <w:rPr>
          <w:i/>
          <w:iCs/>
        </w:rPr>
        <w:t xml:space="preserve">) = H</w:t>
      </w:r>
      <w:r>
        <w:rPr>
          <w:i/>
          <w:iCs/>
          <w:vertAlign w:val="superscript"/>
        </w:rPr>
        <w:t xml:space="preserve">d(w</w:t>
      </w:r>
      <w:r>
        <w:t xml:space="preserve">) = H^*</w:t>
      </w:r>
      <w:r>
        <w:t xml:space="preserve"> </w:t>
      </w:r>
      <w:r>
        <w:t xml:space="preserve"> </w:t>
      </w:r>
      <w:r>
        <w:t xml:space="preserve"> </w:t>
      </w:r>
      <w:r>
        <w:t xml:space="preserve">$$</w:t>
      </w:r>
    </w:p>
    <w:p>
      <w:pPr>
        <w:pStyle w:val="BlockText"/>
      </w:pPr>
      <w:r>
        <w:t xml:space="preserve">Nesse equilíbrio, todo trabalhador que deseja trabalhar ao salário</w:t>
      </w:r>
      <w:r>
        <w:t xml:space="preserve"> </w:t>
      </w:r>
      <m:oMath>
        <m:sSup>
          <m:e>
            <m:r>
              <m:t>w</m:t>
            </m:r>
          </m:e>
          <m:sup>
            <m:r>
              <m:rPr>
                <m:sty m:val="p"/>
              </m:rPr>
              <m:t>*</m:t>
            </m:r>
          </m:sup>
        </m:sSup>
      </m:oMath>
      <w:r>
        <w:t xml:space="preserve"> </w:t>
      </w:r>
      <w:r>
        <w:t xml:space="preserve">encontra emprego, e toda firma que deseja contratar ao salário</w:t>
      </w:r>
      <w:r>
        <w:t xml:space="preserve"> </w:t>
      </w:r>
      <m:oMath>
        <m:sSup>
          <m:e>
            <m:r>
              <m:t>w</m:t>
            </m:r>
          </m:e>
          <m:sup>
            <m:r>
              <m:rPr>
                <m:sty m:val="p"/>
              </m:rPr>
              <m:t>*</m:t>
            </m:r>
          </m:sup>
        </m:sSup>
      </m:oMath>
      <w:r>
        <w:t xml:space="preserve"> </w:t>
      </w:r>
      <w:r>
        <w:t xml:space="preserve">encontra trabalhadores.</w:t>
      </w:r>
    </w:p>
    <w:bookmarkEnd w:id="1075"/>
    <w:bookmarkStart w:id="1076" w:name="X8f42f3467b3ca0562c87003d3bbf8d0f1b891fe"/>
    <w:p>
      <w:pPr>
        <w:pStyle w:val="Heading4"/>
      </w:pPr>
      <w:r>
        <w:t xml:space="preserve">Demanda por trabalho no longo prazo e as regras de Marshall</w:t>
      </w:r>
    </w:p>
    <w:p>
      <w:pPr>
        <w:pStyle w:val="FirstParagraph"/>
      </w:pPr>
      <w:r>
        <w:t xml:space="preserve">A equação Eq. (eq:17.11) descreve a demanda por trabalho no</w:t>
      </w:r>
      <w:r>
        <w:t xml:space="preserve"> </w:t>
      </w:r>
      <w:r>
        <w:rPr>
          <w:b/>
          <w:bCs/>
        </w:rPr>
        <w:t xml:space="preserve">curto prazo</w:t>
      </w:r>
      <w:r>
        <w:t xml:space="preserve">, quando o capital é fixo. No</w:t>
      </w:r>
      <w:r>
        <w:t xml:space="preserve"> </w:t>
      </w:r>
      <w:r>
        <w:rPr>
          <w:b/>
          <w:bCs/>
        </w:rPr>
        <w:t xml:space="preserve">longo prazo</w:t>
      </w:r>
      <w:r>
        <w:t xml:space="preserve">, a firma pode ajustar todos os fatores de produção, e a demanda por trabalho torna-se mais elástica. A intuição é que, quando o salário sobe, a firma não apenas reduz a produção (efeito-escala), mas também substitui trabalho por capital (efeito-substituição entre fatores). Ambos os efeitos reduzem a quantidade demandada de trabalho, tornando a curva de demanda de longo prazo mais plana que a de curto prazo.</w:t>
      </w:r>
    </w:p>
    <w:p>
      <w:pPr>
        <w:pStyle w:val="BodyText"/>
      </w:pPr>
      <w:r>
        <w:t xml:space="preserve">Alfred Marshall (1890) formulou quatro regras — conhecidas como as</w:t>
      </w:r>
      <w:r>
        <w:t xml:space="preserve"> </w:t>
      </w:r>
      <w:r>
        <w:rPr>
          <w:b/>
          <w:bCs/>
        </w:rPr>
        <w:t xml:space="preserve">regras de Marshall da demanda derivada</w:t>
      </w:r>
      <w:r>
        <w:t xml:space="preserve"> </w:t>
      </w:r>
      <w:r>
        <w:t xml:space="preserve">— que determinam a elasticidade da demanda por um fator de produção. A demanda por trabalho será</w:t>
      </w:r>
      <w:r>
        <w:t xml:space="preserve"> </w:t>
      </w:r>
      <w:r>
        <w:rPr>
          <w:b/>
          <w:bCs/>
        </w:rPr>
        <w:t xml:space="preserve">mais elástica</w:t>
      </w:r>
      <w:r>
        <w:t xml:space="preserve"> </w:t>
      </w:r>
      <w:r>
        <w:t xml:space="preserve">quando:</w:t>
      </w:r>
    </w:p>
    <w:p>
      <w:pPr>
        <w:numPr>
          <w:ilvl w:val="0"/>
          <w:numId w:val="1935"/>
        </w:numPr>
      </w:pPr>
      <w:r>
        <w:rPr>
          <w:b/>
          <w:bCs/>
        </w:rPr>
        <w:t xml:space="preserve">A elasticidade de substituição entre trabalho e capital for alta.</w:t>
      </w:r>
      <w:r>
        <w:t xml:space="preserve"> </w:t>
      </w:r>
      <w:r>
        <w:t xml:space="preserve">Se for fácil substituir trabalhadores por máquinas, um pequeno aumento salarial levará a uma grande substituição.</w:t>
      </w:r>
    </w:p>
    <w:p>
      <w:pPr>
        <w:numPr>
          <w:ilvl w:val="0"/>
          <w:numId w:val="1935"/>
        </w:numPr>
      </w:pPr>
      <w:r>
        <w:rPr>
          <w:b/>
          <w:bCs/>
        </w:rPr>
        <w:t xml:space="preserve">A demanda pelo produto final for mais elástica.</w:t>
      </w:r>
      <w:r>
        <w:t xml:space="preserve"> </w:t>
      </w:r>
      <w:r>
        <w:t xml:space="preserve">Se os consumidores são sensíveis ao preço do produto, um aumento nos custos trabalhistas (repassado aos preços) reduz muito a quantidade vendida — e, portanto, o emprego.</w:t>
      </w:r>
    </w:p>
    <w:p>
      <w:pPr>
        <w:numPr>
          <w:ilvl w:val="0"/>
          <w:numId w:val="1935"/>
        </w:numPr>
      </w:pPr>
      <w:r>
        <w:rPr>
          <w:b/>
          <w:bCs/>
        </w:rPr>
        <w:t xml:space="preserve">A participação do trabalho no custo total for grande.</w:t>
      </w:r>
      <w:r>
        <w:t xml:space="preserve"> </w:t>
      </w:r>
      <w:r>
        <w:t xml:space="preserve">Quando os salários representam uma fração elevada do custo de produção, variações salariais têm impacto proporcionalmente maior sobre o custo total e o preço do produto.</w:t>
      </w:r>
    </w:p>
    <w:p>
      <w:pPr>
        <w:numPr>
          <w:ilvl w:val="0"/>
          <w:numId w:val="1935"/>
        </w:numPr>
      </w:pPr>
      <w:r>
        <w:rPr>
          <w:b/>
          <w:bCs/>
        </w:rPr>
        <w:t xml:space="preserve">A oferta dos outros fatores (capital) for mais elástica.</w:t>
      </w:r>
      <w:r>
        <w:t xml:space="preserve"> </w:t>
      </w:r>
      <w:r>
        <w:t xml:space="preserve">Se o capital é abundante e barato, a firma pode facilmente substituir trabalho por capital quando o salário sobe.</w:t>
      </w:r>
    </w:p>
    <w:p>
      <w:pPr>
        <w:pStyle w:val="FirstParagraph"/>
      </w:pPr>
      <w:r>
        <w:t xml:space="preserve">Essas regras são extremamente úteis para prever os efeitos de políticas salariais e trabalhistas em diferentes setores. Por exemplo, no setor de serviços pessoais (restaurantes, cuidados), onde a substituição por capital é difícil e o trabalho é uma fração elevada dos custos, a demanda por trabalho tende a ser relativamente inelástica no curto prazo, mas a regra 2 pode torná-la mais elástica no longo prazo se os consumidores tiverem alternativas. Já na indústria manufatureira, onde a substituição por automação é viável (regra 1), a demanda por trabalho tende a ser bastante elástica no longo prazo.</w:t>
      </w:r>
    </w:p>
    <w:p>
      <w:pPr>
        <w:pStyle w:val="BlockText"/>
      </w:pPr>
      <w:r>
        <w:rPr>
          <w:b/>
          <w:bCs/>
        </w:rPr>
        <w:t xml:space="preserve">[INTUICAO ECONOMICA] Intuição Econômica</w:t>
      </w:r>
    </w:p>
    <w:p>
      <w:pPr>
        <w:pStyle w:val="BlockText"/>
      </w:pPr>
      <w:r>
        <w:rPr>
          <w:b/>
          <w:bCs/>
        </w:rPr>
        <w:t xml:space="preserve">Em uma frase:</w:t>
      </w:r>
      <w:r>
        <w:t xml:space="preserve"> </w:t>
      </w:r>
      <w:r>
        <w:t xml:space="preserve">A demanda por trabalho é uma demanda</w:t>
      </w:r>
      <w:r>
        <w:t xml:space="preserve"> </w:t>
      </w:r>
      <w:r>
        <w:t xml:space="preserve">“derivada”</w:t>
      </w:r>
      <w:r>
        <w:t xml:space="preserve"> </w:t>
      </w:r>
      <w:r>
        <w:t xml:space="preserve">— depende não apenas da produtividade do trabalhador, mas também de quanto os consumidores querem o produto e de quão fácil é substituir trabalhadores por máquinas.</w:t>
      </w:r>
    </w:p>
    <w:p>
      <w:pPr>
        <w:pStyle w:val="BlockText"/>
      </w:pPr>
      <w:r>
        <w:rPr>
          <w:b/>
          <w:bCs/>
        </w:rPr>
        <w:t xml:space="preserve">Pense assim:</w:t>
      </w:r>
      <w:r>
        <w:t xml:space="preserve"> </w:t>
      </w:r>
      <w:r>
        <w:t xml:space="preserve">Um restaurante que paga seus garçons por hora enfrenta um aumento do salário mínimo. No curto prazo, demite poucos garçons (é difícil substituí-los por robôs — por enquanto). Mas uma fábrica de autopeças, nas mesmas condições, pode instalar braços robóticos e demitir metade da linha de produção. A mesma variação salarial gera respostas de emprego muito diferentes, porque a elasticidade de substituição entre trabalho e capital é diferente.</w:t>
      </w:r>
    </w:p>
    <w:p>
      <w:pPr>
        <w:pStyle w:val="BlockText"/>
      </w:pPr>
      <w:r>
        <w:rPr>
          <w:b/>
          <w:bCs/>
        </w:rPr>
        <w:t xml:space="preserve">Por que isso importa:</w:t>
      </w:r>
      <w:r>
        <w:t xml:space="preserve"> </w:t>
      </w:r>
      <w:r>
        <w:t xml:space="preserve">As regras de Marshall explicam por que os efeitos de políticas como o salário mínimo, encargos trabalhistas ou desonerações fiscais variam dramaticamente entre setores — e por que uma análise</w:t>
      </w:r>
      <w:r>
        <w:t xml:space="preserve"> </w:t>
      </w:r>
      <w:r>
        <w:t xml:space="preserve">“tamanho único”</w:t>
      </w:r>
      <w:r>
        <w:t xml:space="preserve"> </w:t>
      </w:r>
      <w:r>
        <w:t xml:space="preserve">pode ser enganosa.</w:t>
      </w:r>
    </w:p>
    <w:bookmarkEnd w:id="1076"/>
    <w:bookmarkStart w:id="1077" w:name="deslocamentos-das-curvas"/>
    <w:p>
      <w:pPr>
        <w:pStyle w:val="Heading4"/>
      </w:pPr>
      <w:r>
        <w:t xml:space="preserve">Deslocamentos das curvas</w:t>
      </w:r>
    </w:p>
    <w:p>
      <w:pPr>
        <w:pStyle w:val="FirstParagraph"/>
      </w:pPr>
      <w:r>
        <w:t xml:space="preserve">A</w:t>
      </w:r>
      <w:r>
        <w:t xml:space="preserve"> </w:t>
      </w:r>
      <w:hyperlink w:anchor="tabela-17-1">
        <w:r>
          <w:rPr>
            <w:rStyle w:val="Hyperlink"/>
          </w:rPr>
          <w:t xml:space="preserve">Tabela 17.1</w:t>
        </w:r>
      </w:hyperlink>
      <w:r>
        <w:t xml:space="preserve"> </w:t>
      </w:r>
      <w:r>
        <w:t xml:space="preserve">apresenta os principais fatores que deslocam as curvas de oferta e demanda de trabalho.</w:t>
      </w:r>
    </w:p>
    <w:tbl>
      <w:tblPr>
        <w:tblStyle w:val="Table"/>
        <w:tblW w:type="pct" w:w="5000"/>
        <w:tblLayout w:type="fixed"/>
        <w:tblLook w:firstRow="1" w:lastRow="0" w:firstColumn="0" w:lastColumn="0" w:noHBand="0" w:noVBand="0" w:val="0020"/>
      </w:tblPr>
      <w:tblGrid>
        <w:gridCol w:w="770"/>
        <w:gridCol w:w="2420"/>
        <w:gridCol w:w="2530"/>
        <w:gridCol w:w="2200"/>
      </w:tblGrid>
      <w:tr>
        <w:trPr>
          <w:tblHeader w:val="on"/>
        </w:trPr>
        <w:tc>
          <w:tcPr/>
          <w:p>
            <w:pPr>
              <w:pStyle w:val="Compact"/>
              <w:jc w:val="left"/>
            </w:pPr>
            <w:r>
              <w:t xml:space="preserve">Fator</w:t>
            </w:r>
          </w:p>
        </w:tc>
        <w:tc>
          <w:tcPr/>
          <w:p>
            <w:pPr>
              <w:pStyle w:val="Compact"/>
              <w:jc w:val="left"/>
            </w:pPr>
            <w:r>
              <w:t xml:space="preserve">Efeito sobre a oferta</w:t>
            </w:r>
          </w:p>
        </w:tc>
        <w:tc>
          <w:tcPr/>
          <w:p>
            <w:pPr>
              <w:pStyle w:val="Compact"/>
              <w:jc w:val="left"/>
            </w:pPr>
            <w:r>
              <w:t xml:space="preserve">Efeito sobre a demanda</w:t>
            </w:r>
          </w:p>
        </w:tc>
        <w:tc>
          <w:tcPr/>
          <w:p>
            <w:pPr>
              <w:pStyle w:val="Compact"/>
              <w:jc w:val="left"/>
            </w:pPr>
            <w:r>
              <w:t xml:space="preserve">Impacto no salário</w:t>
            </w:r>
          </w:p>
        </w:tc>
      </w:tr>
      <w:tr>
        <w:tc>
          <w:tcPr/>
          <w:p>
            <w:pPr>
              <w:pStyle w:val="Compact"/>
              <w:jc w:val="left"/>
            </w:pPr>
            <w:r>
              <w:t xml:space="preserve">Aumento da produtividade</w:t>
            </w:r>
          </w:p>
        </w:tc>
        <w:tc>
          <w:tcPr/>
          <w:p>
            <w:pPr>
              <w:pStyle w:val="Compact"/>
              <w:jc w:val="left"/>
            </w:pPr>
            <w:r>
              <w:t xml:space="preserve">—</w:t>
            </w:r>
          </w:p>
        </w:tc>
        <w:tc>
          <w:tcPr/>
          <w:p>
            <w:pPr>
              <w:pStyle w:val="Compact"/>
              <w:jc w:val="left"/>
            </w:pPr>
            <w:r>
              <w:t xml:space="preserve">Desloca</w:t>
            </w:r>
            <w:r>
              <w:t xml:space="preserve"> </w:t>
            </w:r>
            <m:oMath>
              <m:sSup>
                <m:e>
                  <m:r>
                    <m:t>H</m:t>
                  </m:r>
                </m:e>
                <m:sup>
                  <m:r>
                    <m:t>d</m:t>
                  </m:r>
                </m:sup>
              </m:sSup>
            </m:oMath>
            <w:r>
              <w:t xml:space="preserve"> </w:t>
            </w:r>
            <w:r>
              <w:t xml:space="preserve">para a direita</w:t>
            </w:r>
          </w:p>
        </w:tc>
        <w:tc>
          <w:tcPr/>
          <w:p>
            <w:pPr>
              <w:pStyle w:val="Compact"/>
              <w:jc w:val="left"/>
            </w:pPr>
            <m:oMath>
              <m:sSup>
                <m:e>
                  <m:r>
                    <m:t>w</m:t>
                  </m:r>
                </m:e>
                <m:sup>
                  <m:r>
                    <m:rPr>
                      <m:sty m:val="p"/>
                    </m:rPr>
                    <m:t>*</m:t>
                  </m:r>
                </m:sup>
              </m:sSup>
            </m:oMath>
            <w:r>
              <w:t xml:space="preserve"> </w:t>
            </w:r>
            <w:r>
              <w:t xml:space="preserve">sobe</w:t>
            </w:r>
          </w:p>
        </w:tc>
      </w:tr>
      <w:tr>
        <w:tc>
          <w:tcPr/>
          <w:p>
            <w:pPr>
              <w:pStyle w:val="Compact"/>
              <w:jc w:val="left"/>
            </w:pPr>
            <w:r>
              <w:t xml:space="preserve">Imigração</w:t>
            </w:r>
          </w:p>
        </w:tc>
        <w:tc>
          <w:tcPr/>
          <w:p>
            <w:pPr>
              <w:pStyle w:val="Compact"/>
              <w:jc w:val="left"/>
            </w:pPr>
            <w:r>
              <w:t xml:space="preserve">Desloca</w:t>
            </w:r>
            <w:r>
              <w:t xml:space="preserve"> </w:t>
            </w:r>
            <m:oMath>
              <m:sSup>
                <m:e>
                  <m:r>
                    <m:t>H</m:t>
                  </m:r>
                </m:e>
                <m:sup>
                  <m:r>
                    <m:t>s</m:t>
                  </m:r>
                </m:sup>
              </m:sSup>
            </m:oMath>
            <w:r>
              <w:t xml:space="preserve"> </w:t>
            </w:r>
            <w:r>
              <w:t xml:space="preserve">para a direita</w:t>
            </w:r>
          </w:p>
        </w:tc>
        <w:tc>
          <w:tcPr/>
          <w:p>
            <w:pPr>
              <w:pStyle w:val="Compact"/>
              <w:jc w:val="left"/>
            </w:pPr>
            <w:r>
              <w:t xml:space="preserve">—</w:t>
            </w:r>
          </w:p>
        </w:tc>
        <w:tc>
          <w:tcPr/>
          <w:p>
            <w:pPr>
              <w:pStyle w:val="Compact"/>
              <w:jc w:val="left"/>
            </w:pPr>
            <m:oMath>
              <m:sSup>
                <m:e>
                  <m:r>
                    <m:t>w</m:t>
                  </m:r>
                </m:e>
                <m:sup>
                  <m:r>
                    <m:rPr>
                      <m:sty m:val="p"/>
                    </m:rPr>
                    <m:t>*</m:t>
                  </m:r>
                </m:sup>
              </m:sSup>
            </m:oMath>
            <w:r>
              <w:t xml:space="preserve"> </w:t>
            </w:r>
            <w:r>
              <w:t xml:space="preserve">cai</w:t>
            </w:r>
          </w:p>
        </w:tc>
      </w:tr>
      <w:tr>
        <w:tc>
          <w:tcPr/>
          <w:p>
            <w:pPr>
              <w:pStyle w:val="Compact"/>
              <w:jc w:val="left"/>
            </w:pPr>
            <w:r>
              <w:t xml:space="preserve">Aumento da renda não salarial</w:t>
            </w:r>
          </w:p>
        </w:tc>
        <w:tc>
          <w:tcPr/>
          <w:p>
            <w:pPr>
              <w:pStyle w:val="Compact"/>
              <w:jc w:val="left"/>
            </w:pPr>
            <w:r>
              <w:t xml:space="preserve">Desloca</w:t>
            </w:r>
            <w:r>
              <w:t xml:space="preserve"> </w:t>
            </w:r>
            <m:oMath>
              <m:sSup>
                <m:e>
                  <m:r>
                    <m:t>H</m:t>
                  </m:r>
                </m:e>
                <m:sup>
                  <m:r>
                    <m:t>s</m:t>
                  </m:r>
                </m:sup>
              </m:sSup>
            </m:oMath>
            <w:r>
              <w:t xml:space="preserve"> </w:t>
            </w:r>
            <w:r>
              <w:t xml:space="preserve">para a esquerda</w:t>
            </w:r>
          </w:p>
        </w:tc>
        <w:tc>
          <w:tcPr/>
          <w:p>
            <w:pPr>
              <w:pStyle w:val="Compact"/>
              <w:jc w:val="left"/>
            </w:pPr>
            <w:r>
              <w:t xml:space="preserve">—</w:t>
            </w:r>
          </w:p>
        </w:tc>
        <w:tc>
          <w:tcPr/>
          <w:p>
            <w:pPr>
              <w:pStyle w:val="Compact"/>
              <w:jc w:val="left"/>
            </w:pPr>
            <m:oMath>
              <m:sSup>
                <m:e>
                  <m:r>
                    <m:t>w</m:t>
                  </m:r>
                </m:e>
                <m:sup>
                  <m:r>
                    <m:rPr>
                      <m:sty m:val="p"/>
                    </m:rPr>
                    <m:t>*</m:t>
                  </m:r>
                </m:sup>
              </m:sSup>
            </m:oMath>
            <w:r>
              <w:t xml:space="preserve"> </w:t>
            </w:r>
            <w:r>
              <w:t xml:space="preserve">sobe</w:t>
            </w:r>
          </w:p>
        </w:tc>
      </w:tr>
      <w:tr>
        <w:tc>
          <w:tcPr/>
          <w:p>
            <w:pPr>
              <w:pStyle w:val="Compact"/>
              <w:jc w:val="left"/>
            </w:pPr>
            <w:r>
              <w:t xml:space="preserve">Progresso tecnológico poupador de trabalho</w:t>
            </w:r>
          </w:p>
        </w:tc>
        <w:tc>
          <w:tcPr/>
          <w:p>
            <w:pPr>
              <w:pStyle w:val="Compact"/>
              <w:jc w:val="left"/>
            </w:pPr>
            <w:r>
              <w:t xml:space="preserve">—</w:t>
            </w:r>
          </w:p>
        </w:tc>
        <w:tc>
          <w:tcPr/>
          <w:p>
            <w:pPr>
              <w:pStyle w:val="Compact"/>
              <w:jc w:val="left"/>
            </w:pPr>
            <w:r>
              <w:t xml:space="preserve">Desloca</w:t>
            </w:r>
            <w:r>
              <w:t xml:space="preserve"> </w:t>
            </w:r>
            <m:oMath>
              <m:sSup>
                <m:e>
                  <m:r>
                    <m:t>H</m:t>
                  </m:r>
                </m:e>
                <m:sup>
                  <m:r>
                    <m:t>d</m:t>
                  </m:r>
                </m:sup>
              </m:sSup>
            </m:oMath>
            <w:r>
              <w:t xml:space="preserve"> </w:t>
            </w:r>
            <w:r>
              <w:t xml:space="preserve">para a esquerda</w:t>
            </w:r>
          </w:p>
        </w:tc>
        <w:tc>
          <w:tcPr/>
          <w:p>
            <w:pPr>
              <w:pStyle w:val="Compact"/>
              <w:jc w:val="left"/>
            </w:pPr>
            <m:oMath>
              <m:sSup>
                <m:e>
                  <m:r>
                    <m:t>w</m:t>
                  </m:r>
                </m:e>
                <m:sup>
                  <m:r>
                    <m:rPr>
                      <m:sty m:val="p"/>
                    </m:rPr>
                    <m:t>*</m:t>
                  </m:r>
                </m:sup>
              </m:sSup>
            </m:oMath>
            <w:r>
              <w:t xml:space="preserve"> </w:t>
            </w:r>
            <w:r>
              <w:t xml:space="preserve">cai</w:t>
            </w:r>
          </w:p>
        </w:tc>
      </w:tr>
    </w:tbl>
    <w:p>
      <w:pPr>
        <w:pStyle w:val="BodyText"/>
      </w:pPr>
      <w:r>
        <w:rPr>
          <w:b/>
          <w:bCs/>
        </w:rPr>
        <w:t xml:space="preserve">Tabela 17.1 — Deslocamentos das curvas de oferta e demanda de trabalho.</w:t>
      </w:r>
    </w:p>
    <w:p>
      <w:pPr>
        <w:pStyle w:val="BlockText"/>
      </w:pPr>
      <w:r>
        <w:rPr>
          <w:b/>
          <w:bCs/>
        </w:rPr>
        <w:t xml:space="preserve">[BOX MUNDO] Box Mundo 17.3 — O declínio global da participação do trabalho na renda</w:t>
      </w:r>
    </w:p>
    <w:p>
      <w:pPr>
        <w:pStyle w:val="BlockText"/>
      </w:pPr>
      <w:r>
        <w:rPr>
          <w:b/>
          <w:bCs/>
        </w:rPr>
        <w:t xml:space="preserve">Contexto:</w:t>
      </w:r>
      <w:r>
        <w:t xml:space="preserve"> </w:t>
      </w:r>
      <w:r>
        <w:t xml:space="preserve">Um dos fatos macroeconômicos mais marcantes das últimas décadas é a queda sustentada da parcela do trabalho na renda nacional (</w:t>
      </w:r>
      <w:r>
        <w:rPr>
          <w:i/>
          <w:iCs/>
        </w:rPr>
        <w:t xml:space="preserve">labor share</w:t>
      </w:r>
      <w:r>
        <w:t xml:space="preserve">) em praticamente todos os países. Enquanto a divisão funcional da renda entre trabalho e capital era tradicionalmente considerada uma das</w:t>
      </w:r>
      <w:r>
        <w:t xml:space="preserve"> </w:t>
      </w:r>
      <w:r>
        <w:t xml:space="preserve">“grandes constantes”</w:t>
      </w:r>
      <w:r>
        <w:t xml:space="preserve"> </w:t>
      </w:r>
      <w:r>
        <w:t xml:space="preserve">da economia (Kaldor, 1961), evidências recentes mostram que essa constância se desfez.</w:t>
      </w:r>
    </w:p>
    <w:p>
      <w:pPr>
        <w:pStyle w:val="BlockText"/>
      </w:pPr>
      <w:r>
        <w:rPr>
          <w:b/>
          <w:bCs/>
        </w:rPr>
        <w:t xml:space="preserve">Dados:</w:t>
      </w:r>
      <w:r>
        <w:t xml:space="preserve"> </w:t>
      </w:r>
      <w:r>
        <w:t xml:space="preserve">Karabarbounis e Neiman (2014), em estudo influente publicado no</w:t>
      </w:r>
      <w:r>
        <w:t xml:space="preserve"> </w:t>
      </w:r>
      <w:r>
        <w:rPr>
          <w:i/>
          <w:iCs/>
        </w:rPr>
        <w:t xml:space="preserve">Quarterly Journal of Economics</w:t>
      </w:r>
      <w:r>
        <w:t xml:space="preserve">, documentaram que a participação do trabalho na renda caiu em 42 dos 59 países analisados entre 1975 e 2012:</w:t>
      </w:r>
    </w:p>
    <w:tbl>
      <w:tblPr>
        <w:tblStyle w:val="Table"/>
        <w:tblW w:type="pct" w:w="5000"/>
        <w:tblLayout w:type="fixed"/>
        <w:tblLook w:firstRow="1" w:lastRow="0" w:firstColumn="0" w:lastColumn="0" w:noHBand="0" w:noVBand="0" w:val="0020"/>
      </w:tblPr>
      <w:tblGrid>
        <w:gridCol w:w="1492"/>
        <w:gridCol w:w="2640"/>
        <w:gridCol w:w="2640"/>
        <w:gridCol w:w="1147"/>
      </w:tblGrid>
      <w:tr>
        <w:trPr>
          <w:tblHeader w:val="on"/>
        </w:trPr>
        <w:tc>
          <w:tcPr/>
          <w:p>
            <w:pPr>
              <w:pStyle w:val="Compact"/>
              <w:jc w:val="left"/>
            </w:pPr>
            <w:r>
              <w:t xml:space="preserve">Região/País</w:t>
            </w:r>
          </w:p>
        </w:tc>
        <w:tc>
          <w:tcPr/>
          <w:p>
            <w:pPr>
              <w:pStyle w:val="Compact"/>
              <w:jc w:val="left"/>
            </w:pPr>
            <w:r>
              <w:t xml:space="preserve">Labor share (anos 1970)</w:t>
            </w:r>
          </w:p>
        </w:tc>
        <w:tc>
          <w:tcPr/>
          <w:p>
            <w:pPr>
              <w:pStyle w:val="Compact"/>
              <w:jc w:val="left"/>
            </w:pPr>
            <w:r>
              <w:t xml:space="preserve">Labor share (anos 2010)</w:t>
            </w:r>
          </w:p>
        </w:tc>
        <w:tc>
          <w:tcPr/>
          <w:p>
            <w:pPr>
              <w:pStyle w:val="Compact"/>
              <w:jc w:val="left"/>
            </w:pPr>
            <w:r>
              <w:t xml:space="preserve">Variação</w:t>
            </w:r>
          </w:p>
        </w:tc>
      </w:tr>
      <w:tr>
        <w:tc>
          <w:tcPr/>
          <w:p>
            <w:pPr>
              <w:pStyle w:val="Compact"/>
              <w:jc w:val="left"/>
            </w:pPr>
            <w:r>
              <w:t xml:space="preserve">Países avançados (média)</w:t>
            </w:r>
          </w:p>
        </w:tc>
        <w:tc>
          <w:tcPr/>
          <w:p>
            <w:pPr>
              <w:pStyle w:val="Compact"/>
              <w:jc w:val="left"/>
            </w:pPr>
            <w:r>
              <w:t xml:space="preserve">~65%</w:t>
            </w:r>
          </w:p>
        </w:tc>
        <w:tc>
          <w:tcPr/>
          <w:p>
            <w:pPr>
              <w:pStyle w:val="Compact"/>
              <w:jc w:val="left"/>
            </w:pPr>
            <w:r>
              <w:t xml:space="preserve">~58%</w:t>
            </w:r>
          </w:p>
        </w:tc>
        <w:tc>
          <w:tcPr/>
          <w:p>
            <w:pPr>
              <w:pStyle w:val="Compact"/>
              <w:jc w:val="left"/>
            </w:pPr>
            <w:r>
              <w:t xml:space="preserve">−7 p.p.</w:t>
            </w:r>
          </w:p>
        </w:tc>
      </w:tr>
      <w:tr>
        <w:tc>
          <w:tcPr/>
          <w:p>
            <w:pPr>
              <w:pStyle w:val="Compact"/>
              <w:jc w:val="left"/>
            </w:pPr>
            <w:r>
              <w:t xml:space="preserve">Estados Unidos</w:t>
            </w:r>
          </w:p>
        </w:tc>
        <w:tc>
          <w:tcPr/>
          <w:p>
            <w:pPr>
              <w:pStyle w:val="Compact"/>
              <w:jc w:val="left"/>
            </w:pPr>
            <w:r>
              <w:t xml:space="preserve">66%</w:t>
            </w:r>
          </w:p>
        </w:tc>
        <w:tc>
          <w:tcPr/>
          <w:p>
            <w:pPr>
              <w:pStyle w:val="Compact"/>
              <w:jc w:val="left"/>
            </w:pPr>
            <w:r>
              <w:t xml:space="preserve">58%</w:t>
            </w:r>
          </w:p>
        </w:tc>
        <w:tc>
          <w:tcPr/>
          <w:p>
            <w:pPr>
              <w:pStyle w:val="Compact"/>
              <w:jc w:val="left"/>
            </w:pPr>
            <w:r>
              <w:t xml:space="preserve">−8 p.p.</w:t>
            </w:r>
          </w:p>
        </w:tc>
      </w:tr>
      <w:tr>
        <w:tc>
          <w:tcPr/>
          <w:p>
            <w:pPr>
              <w:pStyle w:val="Compact"/>
              <w:jc w:val="left"/>
            </w:pPr>
            <w:r>
              <w:t xml:space="preserve">Alemanha</w:t>
            </w:r>
          </w:p>
        </w:tc>
        <w:tc>
          <w:tcPr/>
          <w:p>
            <w:pPr>
              <w:pStyle w:val="Compact"/>
              <w:jc w:val="left"/>
            </w:pPr>
            <w:r>
              <w:t xml:space="preserve">67%</w:t>
            </w:r>
          </w:p>
        </w:tc>
        <w:tc>
          <w:tcPr/>
          <w:p>
            <w:pPr>
              <w:pStyle w:val="Compact"/>
              <w:jc w:val="left"/>
            </w:pPr>
            <w:r>
              <w:t xml:space="preserve">61%</w:t>
            </w:r>
          </w:p>
        </w:tc>
        <w:tc>
          <w:tcPr/>
          <w:p>
            <w:pPr>
              <w:pStyle w:val="Compact"/>
              <w:jc w:val="left"/>
            </w:pPr>
            <w:r>
              <w:t xml:space="preserve">−6 p.p.</w:t>
            </w:r>
          </w:p>
        </w:tc>
      </w:tr>
      <w:tr>
        <w:tc>
          <w:tcPr/>
          <w:p>
            <w:pPr>
              <w:pStyle w:val="Compact"/>
              <w:jc w:val="left"/>
            </w:pPr>
            <w:r>
              <w:t xml:space="preserve">Japão</w:t>
            </w:r>
          </w:p>
        </w:tc>
        <w:tc>
          <w:tcPr/>
          <w:p>
            <w:pPr>
              <w:pStyle w:val="Compact"/>
              <w:jc w:val="left"/>
            </w:pPr>
            <w:r>
              <w:t xml:space="preserve">72%</w:t>
            </w:r>
          </w:p>
        </w:tc>
        <w:tc>
          <w:tcPr/>
          <w:p>
            <w:pPr>
              <w:pStyle w:val="Compact"/>
              <w:jc w:val="left"/>
            </w:pPr>
            <w:r>
              <w:t xml:space="preserve">60%</w:t>
            </w:r>
          </w:p>
        </w:tc>
        <w:tc>
          <w:tcPr/>
          <w:p>
            <w:pPr>
              <w:pStyle w:val="Compact"/>
              <w:jc w:val="left"/>
            </w:pPr>
            <w:r>
              <w:t xml:space="preserve">−12 p.p.</w:t>
            </w:r>
          </w:p>
        </w:tc>
      </w:tr>
      <w:tr>
        <w:tc>
          <w:tcPr/>
          <w:p>
            <w:pPr>
              <w:pStyle w:val="Compact"/>
              <w:jc w:val="left"/>
            </w:pPr>
            <w:r>
              <w:t xml:space="preserve">China</w:t>
            </w:r>
          </w:p>
        </w:tc>
        <w:tc>
          <w:tcPr/>
          <w:p>
            <w:pPr>
              <w:pStyle w:val="Compact"/>
              <w:jc w:val="left"/>
            </w:pPr>
            <w:r>
              <w:t xml:space="preserve">60%</w:t>
            </w:r>
          </w:p>
        </w:tc>
        <w:tc>
          <w:tcPr/>
          <w:p>
            <w:pPr>
              <w:pStyle w:val="Compact"/>
              <w:jc w:val="left"/>
            </w:pPr>
            <w:r>
              <w:t xml:space="preserve">47%</w:t>
            </w:r>
          </w:p>
        </w:tc>
        <w:tc>
          <w:tcPr/>
          <w:p>
            <w:pPr>
              <w:pStyle w:val="Compact"/>
              <w:jc w:val="left"/>
            </w:pPr>
            <w:r>
              <w:t xml:space="preserve">−13 p.p.</w:t>
            </w:r>
          </w:p>
        </w:tc>
      </w:tr>
    </w:tbl>
    <w:p>
      <w:pPr>
        <w:pStyle w:val="BlockText"/>
      </w:pPr>
      <w:r>
        <w:rPr>
          <w:i/>
          <w:iCs/>
        </w:rPr>
        <w:t xml:space="preserve">Fonte: Karabarbounis, L.; Neiman, B. (2014).</w:t>
      </w:r>
      <w:r>
        <w:rPr>
          <w:i/>
          <w:iCs/>
        </w:rPr>
        <w:t xml:space="preserve"> </w:t>
      </w:r>
      <w:r>
        <w:rPr>
          <w:i/>
          <w:iCs/>
        </w:rPr>
        <w:t xml:space="preserve">“The Global Decline of the Labor Share.”</w:t>
      </w:r>
      <w:r>
        <w:rPr>
          <w:i/>
          <w:iCs/>
        </w:rPr>
        <w:t xml:space="preserve"> </w:t>
      </w:r>
      <w:r>
        <w:rPr>
          <w:i/>
          <w:iCs/>
        </w:rPr>
        <w:t xml:space="preserve">Quarterly Journal of Economics, 129(1), 61–103; Penn World Tables; AMECO.</w:t>
      </w:r>
    </w:p>
    <w:p>
      <w:pPr>
        <w:pStyle w:val="BlockText"/>
      </w:pPr>
      <w:r>
        <w:rPr>
          <w:b/>
          <w:bCs/>
        </w:rPr>
        <w:t xml:space="preserve">Análise:</w:t>
      </w:r>
      <w:r>
        <w:t xml:space="preserve"> </w:t>
      </w:r>
      <w:r>
        <w:t xml:space="preserve">Os autores argumentam que a principal causa é o barateamento dos bens de capital (computadores, robôs, software), que incentivou as firmas a substituírem trabalho por capital. Quando a elasticidade de substituição entre capital e trabalho é superior a 1 (ou seja, capital e trabalho são substitutos brutos), o barateamento do capital reduz a participação do trabalho na renda. Explicações complementares incluem: a globalização (que aumentou a oferta efetiva de trabalho via offshoring), o enfraquecimento dos sindicatos, o aumento do poder de mercado das firmas (superstar firms) e mudanças tecnológicas enviesadas contra o trabalho. O fenômeno conecta-se diretamente às regras de Marshall da demanda derivada: a elasticidade de substituição entre fatores (regra 1) determina como o barateamento do capital afeta a demanda relativa por trabalho.</w:t>
      </w:r>
    </w:p>
    <w:p>
      <w:pPr>
        <w:pStyle w:val="BlockText"/>
      </w:pPr>
      <w:r>
        <w:rPr>
          <w:b/>
          <w:bCs/>
        </w:rPr>
        <w:t xml:space="preserve">Para refletir:</w:t>
      </w:r>
      <w:r>
        <w:t xml:space="preserve"> </w:t>
      </w:r>
      <w:r>
        <w:t xml:space="preserve">Se a tendência de queda do labor share continuar, quais são as implicações para a distribuição de renda e para a política tributária? Devemos tributar mais o capital e menos o trabalho? A ideia de uma renda básica universal, financiada pela tributação do capital e de recursos naturais, ganha relevância em um mundo onde a participação do trabalho na renda diminui sistematicamente?</w:t>
      </w:r>
    </w:p>
    <w:p>
      <w:r>
        <w:pict>
          <v:rect style="width:0;height:1.5pt" o:hralign="center" o:hrstd="t" o:hr="t"/>
        </w:pict>
      </w:r>
    </w:p>
    <w:bookmarkEnd w:id="1077"/>
    <w:bookmarkEnd w:id="1078"/>
    <w:bookmarkStart w:id="1084" w:name="Xc8f5ac0b7ad23c110793ad1fcf4d3c8d41344d5"/>
    <w:p>
      <w:pPr>
        <w:pStyle w:val="Heading3"/>
      </w:pPr>
      <w:r>
        <w:t xml:space="preserve">17.6 Por Que o Médico Ganha Mais Que o Professor: Diferenciais Salariais</w:t>
      </w:r>
    </w:p>
    <w:p>
      <w:pPr>
        <w:pStyle w:val="FirstParagraph"/>
      </w:pPr>
      <w:r>
        <w:t xml:space="preserve">O modelo competitivo da seção anterior prevê um único salário de equilíbrio para trabalhadores homogêneos em um mercado sem fricções. Na prática, porém, observamos diferenças salariais enormes: médicos ganham mais que professores, engenheiros em plataformas de petróleo ganham mais que engenheiros em escritórios, e persistem hiatos significativos de gênero e raça mesmo entre profissionais com qualificações similares. O que explica essa dispersão? A teoria econômica oferece diversas explicações, que podem ser agrupadas em três grandes categorias.</w:t>
      </w:r>
    </w:p>
    <w:bookmarkStart w:id="1079" w:name="capital-humano"/>
    <w:p>
      <w:pPr>
        <w:pStyle w:val="Heading4"/>
      </w:pPr>
      <w:r>
        <w:t xml:space="preserve">Capital humano</w:t>
      </w:r>
    </w:p>
    <w:p>
      <w:pPr>
        <w:pStyle w:val="BlockText"/>
      </w:pPr>
      <w:r>
        <w:rPr>
          <w:b/>
          <w:bCs/>
        </w:rPr>
        <w:t xml:space="preserve">[DEFINICAO] Capital humano</w:t>
      </w:r>
    </w:p>
    <w:p>
      <w:pPr>
        <w:pStyle w:val="BlockText"/>
      </w:pPr>
      <w:r>
        <w:rPr>
          <w:b/>
          <w:bCs/>
        </w:rPr>
        <w:t xml:space="preserve">Capital humano</w:t>
      </w:r>
      <w:r>
        <w:t xml:space="preserve"> </w:t>
      </w:r>
      <w:r>
        <w:t xml:space="preserve">é o estoque de habilidades, conhecimentos e experiência que um trabalhador acumula ao longo da vida, principalmente por meio da educação formal e do treinamento no trabalho (</w:t>
      </w:r>
      <w:r>
        <w:rPr>
          <w:i/>
          <w:iCs/>
        </w:rPr>
        <w:t xml:space="preserve">on-the-job training</w:t>
      </w:r>
      <w:r>
        <w:t xml:space="preserve">). O conceito foi formalizado por Gary Becker (1964) e Theodore Schultz (1961).</w:t>
      </w:r>
    </w:p>
    <w:p>
      <w:pPr>
        <w:pStyle w:val="BlockText"/>
      </w:pPr>
      <w:r>
        <w:rPr>
          <w:b/>
          <w:bCs/>
        </w:rPr>
        <w:t xml:space="preserve">[INFORMACAO] Prêmio Nobel — Gary S. Becker (1992) e Theodore W. Schultz (1979)</w:t>
      </w:r>
    </w:p>
    <w:p>
      <w:pPr>
        <w:pStyle w:val="BlockText"/>
      </w:pPr>
      <w:r>
        <w:rPr>
          <w:b/>
          <w:bCs/>
        </w:rPr>
        <w:t xml:space="preserve">Gary Stanley Becker</w:t>
      </w:r>
      <w:r>
        <w:t xml:space="preserve"> </w:t>
      </w:r>
      <w:r>
        <w:t xml:space="preserve">(1930–2014) foi um economista americano. Obteve o PhD na Universidade de Chicago sob orientação de Milton Friedman e foi professor em Chicago por mais de cinco décadas.</w:t>
      </w:r>
    </w:p>
    <w:p>
      <w:pPr>
        <w:pStyle w:val="BlockText"/>
      </w:pPr>
      <w:r>
        <w:rPr>
          <w:b/>
          <w:bCs/>
        </w:rPr>
        <w:t xml:space="preserve">Theodore William Schultz</w:t>
      </w:r>
      <w:r>
        <w:t xml:space="preserve"> </w:t>
      </w:r>
      <w:r>
        <w:t xml:space="preserve">(1902–1998) foi um economista americano. Obteve o PhD na Universidade de Wisconsin e foi professor na Universidade de Chicago. Dividiu o Nobel de 1979 com Arthur Lewis.</w:t>
      </w:r>
    </w:p>
    <w:p>
      <w:pPr>
        <w:pStyle w:val="BlockText"/>
      </w:pPr>
      <w:r>
        <w:rPr>
          <w:b/>
          <w:bCs/>
        </w:rPr>
        <w:t xml:space="preserve">Por que ganharam o Nobel:</w:t>
      </w:r>
      <w:r>
        <w:t xml:space="preserve"> </w:t>
      </w:r>
      <w:r>
        <w:t xml:space="preserve">Schultz foi premiado por sua pesquisa pioneira em desenvolvimento econômico, com atenção especial ao papel da educação e do investimento em capital humano como motor do crescimento. Becker estendeu a análise econômica a domínios tradicionalmente não econômicos — discriminação racial, crime, família — e formalizou a teoria do capital humano, mostrando que a decisão de investir em educação segue a mesma lógica de custo-benefício intertemporal de qualquer investimento em capital físico.</w:t>
      </w:r>
    </w:p>
    <w:p>
      <w:pPr>
        <w:pStyle w:val="BlockText"/>
      </w:pPr>
      <w:r>
        <w:rPr>
          <w:b/>
          <w:bCs/>
        </w:rPr>
        <w:t xml:space="preserve">Conexão com este capítulo:</w:t>
      </w:r>
      <w:r>
        <w:t xml:space="preserve"> </w:t>
      </w:r>
      <w:r>
        <w:t xml:space="preserve">A teoria do capital humano — que interpreta educação, treinamento e saúde como investimentos que aumentam a produtividade futura do trabalhador — é apresentada neste capítulo como extensão da teoria da demanda por fatores. A análise de Becker sobre discriminação no mercado de trabalho e a contribuição de Schultz sobre o papel da educação no desenvolvimento conectam diretamente a microeconomia dos mercados de trabalho às questões de desigualdade e crescimento.</w:t>
      </w:r>
    </w:p>
    <w:p>
      <w:pPr>
        <w:pStyle w:val="FirstParagraph"/>
      </w:pPr>
      <w:r>
        <w:t xml:space="preserve">O modelo de capital humano prevê que trabalhadores mais educados recebem salários mais altos porque são mais produtivos. A decisão de investir em educação segue a mesma lógica de qualquer investimento: comparam-se os custos (mensalidades, custo de oportunidade do tempo) com os benefícios (salários futuros mais altos).</w:t>
      </w:r>
    </w:p>
    <w:p>
      <w:pPr>
        <w:pStyle w:val="BodyText"/>
      </w:pPr>
      <w:r>
        <w:t xml:space="preserve">A</w:t>
      </w:r>
      <w:r>
        <w:t xml:space="preserve"> </w:t>
      </w:r>
      <w:r>
        <w:rPr>
          <w:b/>
          <w:bCs/>
        </w:rPr>
        <w:t xml:space="preserve">equação de Mincer</w:t>
      </w:r>
      <w:r>
        <w:t xml:space="preserve"> </w:t>
      </w:r>
      <w:r>
        <w:t xml:space="preserve">relaciona o logaritmo do salário ao nível de educação e à experiência:</w:t>
      </w:r>
    </w:p>
    <w:p>
      <w:pPr>
        <w:pStyle w:val="BodyText"/>
      </w:pPr>
      <m:oMathPara>
        <m:oMathParaPr>
          <m:jc m:val="center"/>
        </m:oMathParaPr>
        <m:oMath>
          <m:r>
            <m:rPr>
              <m:sty m:val="p"/>
            </m:rPr>
            <m:t>ln</m:t>
          </m:r>
          <m:r>
            <m:t>w</m:t>
          </m:r>
          <m:r>
            <m:rPr>
              <m:sty m:val="p"/>
            </m:rPr>
            <m:t>=</m:t>
          </m:r>
          <m:sSub>
            <m:e>
              <m:r>
                <m:t>β</m:t>
              </m:r>
            </m:e>
            <m:sub>
              <m:r>
                <m:t>0</m:t>
              </m:r>
            </m:sub>
          </m:sSub>
          <m:r>
            <m:rPr>
              <m:sty m:val="p"/>
            </m:rPr>
            <m:t>+</m:t>
          </m:r>
          <m:sSub>
            <m:e>
              <m:r>
                <m:t>β</m:t>
              </m:r>
            </m:e>
            <m:sub>
              <m:r>
                <m:t>1</m:t>
              </m:r>
            </m:sub>
          </m:sSub>
          <m:r>
            <m:t>S</m:t>
          </m:r>
          <m:r>
            <m:rPr>
              <m:sty m:val="p"/>
            </m:rPr>
            <m:t>+</m:t>
          </m:r>
          <m:sSub>
            <m:e>
              <m:r>
                <m:t>β</m:t>
              </m:r>
            </m:e>
            <m:sub>
              <m:r>
                <m:t>2</m:t>
              </m:r>
            </m:sub>
          </m:sSub>
          <m:r>
            <m:t>X</m:t>
          </m:r>
          <m:r>
            <m:rPr>
              <m:sty m:val="p"/>
            </m:rPr>
            <m:t>+</m:t>
          </m:r>
          <m:sSub>
            <m:e>
              <m:r>
                <m:t>β</m:t>
              </m:r>
            </m:e>
            <m:sub>
              <m:r>
                <m:t>3</m:t>
              </m:r>
            </m:sub>
          </m:sSub>
          <m:sSup>
            <m:e>
              <m:r>
                <m:t>X</m:t>
              </m:r>
            </m:e>
            <m:sup>
              <m:r>
                <m:t>2</m:t>
              </m:r>
            </m:sup>
          </m:sSup>
          <m:r>
            <m:rPr>
              <m:sty m:val="p"/>
            </m:rPr>
            <m:t>+</m:t>
          </m:r>
          <m:r>
            <m:t>ε</m:t>
          </m:r>
        </m:oMath>
      </m:oMathPara>
    </w:p>
    <w:p>
      <w:pPr>
        <w:pStyle w:val="FirstParagraph"/>
      </w:pPr>
      <w:r>
        <w:t xml:space="preserve">onde</w:t>
      </w:r>
      <w:r>
        <w:t xml:space="preserve"> </w:t>
      </w:r>
      <m:oMath>
        <m:r>
          <m:t>S</m:t>
        </m:r>
      </m:oMath>
      <w:r>
        <w:t xml:space="preserve"> </w:t>
      </w:r>
      <w:r>
        <w:t xml:space="preserve">é anos de escolaridade,</w:t>
      </w:r>
      <w:r>
        <w:t xml:space="preserve"> </w:t>
      </w:r>
      <m:oMath>
        <m:r>
          <m:t>X</m:t>
        </m:r>
      </m:oMath>
      <w:r>
        <w:t xml:space="preserve"> </w:t>
      </w:r>
      <w:r>
        <w:t xml:space="preserve">é experiência (ou idade − escolaridade − 6), e</w:t>
      </w:r>
      <w:r>
        <w:t xml:space="preserve"> </w:t>
      </w:r>
      <m:oMath>
        <m:sSub>
          <m:e>
            <m:r>
              <m:t>β</m:t>
            </m:r>
          </m:e>
          <m:sub>
            <m:r>
              <m:t>1</m:t>
            </m:r>
          </m:sub>
        </m:sSub>
      </m:oMath>
      <w:r>
        <w:t xml:space="preserve"> </w:t>
      </w:r>
      <w:r>
        <w:t xml:space="preserve">é interpretado como a</w:t>
      </w:r>
      <w:r>
        <w:t xml:space="preserve"> </w:t>
      </w:r>
      <w:r>
        <w:rPr>
          <w:b/>
          <w:bCs/>
        </w:rPr>
        <w:t xml:space="preserve">taxa de retorno da educação</w:t>
      </w:r>
      <w:r>
        <w:t xml:space="preserve">.</w:t>
      </w:r>
    </w:p>
    <w:bookmarkEnd w:id="1079"/>
    <w:bookmarkStart w:id="1081" w:name="diferenciais-compensatórios"/>
    <w:p>
      <w:pPr>
        <w:pStyle w:val="Heading4"/>
      </w:pPr>
      <w:r>
        <w:t xml:space="preserve">Diferenciais compensatórios</w:t>
      </w:r>
    </w:p>
    <w:p>
      <w:pPr>
        <w:pStyle w:val="FirstParagraph"/>
      </w:pPr>
      <w:r>
        <w:t xml:space="preserve">Adam Smith já observava que trabalhos mais desagradáveis, perigosos ou insalubres tendem a pagar salários mais altos. No equilíbrio, diferenças salariais refletem diferenças nas</w:t>
      </w:r>
      <w:r>
        <w:t xml:space="preserve"> </w:t>
      </w:r>
      <w:r>
        <w:rPr>
          <w:b/>
          <w:bCs/>
        </w:rPr>
        <w:t xml:space="preserve">características não pecuniárias</w:t>
      </w:r>
      <w:r>
        <w:t xml:space="preserve"> </w:t>
      </w:r>
      <w:r>
        <w:t xml:space="preserve">dos empregos: risco de acidente, condições ambientais, horário, localização, estabilidade etc.</w:t>
      </w:r>
    </w:p>
    <w:p>
      <w:pPr>
        <w:pStyle w:val="BlockText"/>
      </w:pPr>
      <w:r>
        <w:rPr>
          <w:b/>
          <w:bCs/>
        </w:rPr>
        <w:t xml:space="preserve">[BOX BRASIL] Diferenciais compensatórios no mercado de trabalho brasileiro: quem ganha mais por trabalhar pior?</w:t>
      </w:r>
    </w:p>
    <w:p>
      <w:pPr>
        <w:pStyle w:val="BlockText"/>
      </w:pPr>
      <w:r>
        <w:t xml:space="preserve">A teoria dos diferenciais compensatórios prevê que ocupações com condições adversas — risco de morte, insalubridade, turnos noturnos, instabilidade — paguem salários mais altos para atrair trabalhadores. Dados da</w:t>
      </w:r>
      <w:r>
        <w:t xml:space="preserve"> </w:t>
      </w:r>
      <w:hyperlink r:id="rId1080">
        <w:r>
          <w:rPr>
            <w:rStyle w:val="Hyperlink"/>
          </w:rPr>
          <w:t xml:space="preserve">RAIS</w:t>
        </w:r>
      </w:hyperlink>
      <w:r>
        <w:t xml:space="preserve"> </w:t>
      </w:r>
      <w:r>
        <w:t xml:space="preserve">(Relação Anual de Informações Sociais) e da PNAD Contínua/</w:t>
      </w:r>
      <w:hyperlink r:id="rId35">
        <w:r>
          <w:rPr>
            <w:rStyle w:val="Hyperlink"/>
          </w:rPr>
          <w:t xml:space="preserve">IBGE</w:t>
        </w:r>
      </w:hyperlink>
      <w:r>
        <w:t xml:space="preserve"> </w:t>
      </w:r>
      <w:r>
        <w:t xml:space="preserve">permitem verificar essa previsão para o Brasil.</w:t>
      </w:r>
    </w:p>
    <w:p>
      <w:pPr>
        <w:pStyle w:val="BlockText"/>
      </w:pPr>
      <w:r>
        <w:rPr>
          <w:b/>
          <w:bCs/>
        </w:rPr>
        <w:t xml:space="preserve">Salários médios por ocupação e risco (RAIS 2023, vínculo formal):</w:t>
      </w:r>
    </w:p>
    <w:tbl>
      <w:tblPr>
        <w:tblStyle w:val="Table"/>
        <w:tblW w:type="pct" w:w="5000"/>
        <w:tblLayout w:type="fixed"/>
        <w:tblLook w:firstRow="1" w:lastRow="0" w:firstColumn="0" w:lastColumn="0" w:noHBand="0" w:noVBand="0" w:val="0020"/>
      </w:tblPr>
      <w:tblGrid>
        <w:gridCol w:w="1164"/>
        <w:gridCol w:w="2562"/>
        <w:gridCol w:w="1863"/>
        <w:gridCol w:w="2329"/>
      </w:tblGrid>
      <w:tr>
        <w:trPr>
          <w:tblHeader w:val="on"/>
        </w:trPr>
        <w:tc>
          <w:tcPr/>
          <w:p>
            <w:pPr>
              <w:pStyle w:val="Compact"/>
              <w:jc w:val="left"/>
            </w:pPr>
            <w:r>
              <w:t xml:space="preserve">Ocupação</w:t>
            </w:r>
          </w:p>
        </w:tc>
        <w:tc>
          <w:tcPr/>
          <w:p>
            <w:pPr>
              <w:pStyle w:val="Compact"/>
              <w:jc w:val="center"/>
            </w:pPr>
            <w:r>
              <w:t xml:space="preserve">Salário médio mensal</w:t>
            </w:r>
          </w:p>
        </w:tc>
        <w:tc>
          <w:tcPr/>
          <w:p>
            <w:pPr>
              <w:pStyle w:val="Compact"/>
              <w:jc w:val="center"/>
            </w:pPr>
            <w:r>
              <w:t xml:space="preserve">Risco relativo</w:t>
            </w:r>
          </w:p>
        </w:tc>
        <w:tc>
          <w:tcPr/>
          <w:p>
            <w:pPr>
              <w:pStyle w:val="Compact"/>
              <w:jc w:val="center"/>
            </w:pPr>
            <w:r>
              <w:t xml:space="preserve">Adicional estimado</w:t>
            </w:r>
          </w:p>
        </w:tc>
      </w:tr>
      <w:tr>
        <w:tc>
          <w:tcPr/>
          <w:p>
            <w:pPr>
              <w:pStyle w:val="Compact"/>
              <w:jc w:val="left"/>
            </w:pPr>
            <w:r>
              <w:t xml:space="preserve">Plataformista de petróleo</w:t>
            </w:r>
          </w:p>
        </w:tc>
        <w:tc>
          <w:tcPr/>
          <w:p>
            <w:pPr>
              <w:pStyle w:val="Compact"/>
              <w:jc w:val="center"/>
            </w:pPr>
            <w:r>
              <w:t xml:space="preserve">R$ 8.200–12.500</w:t>
            </w:r>
          </w:p>
        </w:tc>
        <w:tc>
          <w:tcPr/>
          <w:p>
            <w:pPr>
              <w:pStyle w:val="Compact"/>
              <w:jc w:val="center"/>
            </w:pPr>
            <w:r>
              <w:t xml:space="preserve">Muito alto</w:t>
            </w:r>
          </w:p>
        </w:tc>
        <w:tc>
          <w:tcPr/>
          <w:p>
            <w:pPr>
              <w:pStyle w:val="Compact"/>
              <w:jc w:val="center"/>
            </w:pPr>
            <w:r>
              <w:t xml:space="preserve">+60–90% vs. técnico em solo</w:t>
            </w:r>
          </w:p>
        </w:tc>
      </w:tr>
      <w:tr>
        <w:tc>
          <w:tcPr/>
          <w:p>
            <w:pPr>
              <w:pStyle w:val="Compact"/>
              <w:jc w:val="left"/>
            </w:pPr>
            <w:r>
              <w:t xml:space="preserve">Mineiro de subsolo</w:t>
            </w:r>
          </w:p>
        </w:tc>
        <w:tc>
          <w:tcPr/>
          <w:p>
            <w:pPr>
              <w:pStyle w:val="Compact"/>
              <w:jc w:val="center"/>
            </w:pPr>
            <w:r>
              <w:t xml:space="preserve">R$ 4.800–7.200</w:t>
            </w:r>
          </w:p>
        </w:tc>
        <w:tc>
          <w:tcPr/>
          <w:p>
            <w:pPr>
              <w:pStyle w:val="Compact"/>
              <w:jc w:val="center"/>
            </w:pPr>
            <w:r>
              <w:t xml:space="preserve">Muito alto</w:t>
            </w:r>
          </w:p>
        </w:tc>
        <w:tc>
          <w:tcPr/>
          <w:p>
            <w:pPr>
              <w:pStyle w:val="Compact"/>
              <w:jc w:val="center"/>
            </w:pPr>
            <w:r>
              <w:t xml:space="preserve">+40–70% vs. operário industrial</w:t>
            </w:r>
          </w:p>
        </w:tc>
      </w:tr>
      <w:tr>
        <w:tc>
          <w:tcPr/>
          <w:p>
            <w:pPr>
              <w:pStyle w:val="Compact"/>
              <w:jc w:val="left"/>
            </w:pPr>
            <w:r>
              <w:t xml:space="preserve">Motorista de caminhão (longa distância)</w:t>
            </w:r>
          </w:p>
        </w:tc>
        <w:tc>
          <w:tcPr/>
          <w:p>
            <w:pPr>
              <w:pStyle w:val="Compact"/>
              <w:jc w:val="center"/>
            </w:pPr>
            <w:r>
              <w:t xml:space="preserve">R$ 3.500–5.000</w:t>
            </w:r>
          </w:p>
        </w:tc>
        <w:tc>
          <w:tcPr/>
          <w:p>
            <w:pPr>
              <w:pStyle w:val="Compact"/>
              <w:jc w:val="center"/>
            </w:pPr>
            <w:r>
              <w:t xml:space="preserve">Alto</w:t>
            </w:r>
          </w:p>
        </w:tc>
        <w:tc>
          <w:tcPr/>
          <w:p>
            <w:pPr>
              <w:pStyle w:val="Compact"/>
              <w:jc w:val="center"/>
            </w:pPr>
            <w:r>
              <w:t xml:space="preserve">+25–35% vs. motorista urbano</w:t>
            </w:r>
          </w:p>
        </w:tc>
      </w:tr>
      <w:tr>
        <w:tc>
          <w:tcPr/>
          <w:p>
            <w:pPr>
              <w:pStyle w:val="Compact"/>
              <w:jc w:val="left"/>
            </w:pPr>
            <w:r>
              <w:t xml:space="preserve">Gari / Coletor de lixo</w:t>
            </w:r>
          </w:p>
        </w:tc>
        <w:tc>
          <w:tcPr/>
          <w:p>
            <w:pPr>
              <w:pStyle w:val="Compact"/>
              <w:jc w:val="center"/>
            </w:pPr>
            <w:r>
              <w:t xml:space="preserve">R$ 1.800–2.200</w:t>
            </w:r>
          </w:p>
        </w:tc>
        <w:tc>
          <w:tcPr/>
          <w:p>
            <w:pPr>
              <w:pStyle w:val="Compact"/>
              <w:jc w:val="center"/>
            </w:pPr>
            <w:r>
              <w:t xml:space="preserve">Moderado</w:t>
            </w:r>
          </w:p>
        </w:tc>
        <w:tc>
          <w:tcPr/>
          <w:p>
            <w:pPr>
              <w:pStyle w:val="Compact"/>
              <w:jc w:val="center"/>
            </w:pPr>
            <w:r>
              <w:t xml:space="preserve">+10–15% vs. auxiliar de limpeza interna</w:t>
            </w:r>
          </w:p>
        </w:tc>
      </w:tr>
      <w:tr>
        <w:tc>
          <w:tcPr/>
          <w:p>
            <w:pPr>
              <w:pStyle w:val="Compact"/>
              <w:jc w:val="left"/>
            </w:pPr>
            <w:r>
              <w:t xml:space="preserve">Vigilante noturno</w:t>
            </w:r>
          </w:p>
        </w:tc>
        <w:tc>
          <w:tcPr/>
          <w:p>
            <w:pPr>
              <w:pStyle w:val="Compact"/>
              <w:jc w:val="center"/>
            </w:pPr>
            <w:r>
              <w:t xml:space="preserve">R$ 2.200–2.800</w:t>
            </w:r>
          </w:p>
        </w:tc>
        <w:tc>
          <w:tcPr/>
          <w:p>
            <w:pPr>
              <w:pStyle w:val="Compact"/>
              <w:jc w:val="center"/>
            </w:pPr>
            <w:r>
              <w:t xml:space="preserve">Moderado</w:t>
            </w:r>
          </w:p>
        </w:tc>
        <w:tc>
          <w:tcPr/>
          <w:p>
            <w:pPr>
              <w:pStyle w:val="Compact"/>
              <w:jc w:val="center"/>
            </w:pPr>
            <w:r>
              <w:t xml:space="preserve">+20% (adicional noturno legal)</w:t>
            </w:r>
          </w:p>
        </w:tc>
      </w:tr>
      <w:tr>
        <w:tc>
          <w:tcPr/>
          <w:p>
            <w:pPr>
              <w:pStyle w:val="Compact"/>
              <w:jc w:val="left"/>
            </w:pPr>
            <w:r>
              <w:t xml:space="preserve">Professor universitário público</w:t>
            </w:r>
          </w:p>
        </w:tc>
        <w:tc>
          <w:tcPr/>
          <w:p>
            <w:pPr>
              <w:pStyle w:val="Compact"/>
              <w:jc w:val="center"/>
            </w:pPr>
            <w:r>
              <w:t xml:space="preserve">R$ 12.000–22.000</w:t>
            </w:r>
          </w:p>
        </w:tc>
        <w:tc>
          <w:tcPr/>
          <w:p>
            <w:pPr>
              <w:pStyle w:val="Compact"/>
              <w:jc w:val="center"/>
            </w:pPr>
            <w:r>
              <w:t xml:space="preserve">Baixo</w:t>
            </w:r>
          </w:p>
        </w:tc>
        <w:tc>
          <w:tcPr/>
          <w:p>
            <w:pPr>
              <w:pStyle w:val="Compact"/>
              <w:jc w:val="center"/>
            </w:pPr>
            <w:r>
              <w:t xml:space="preserve">Compensação negativa: aceita-se salário inferior ao setor privado pela estabilidade</w:t>
            </w:r>
          </w:p>
        </w:tc>
      </w:tr>
    </w:tbl>
    <w:p>
      <w:pPr>
        <w:pStyle w:val="BlockText"/>
      </w:pPr>
      <w:r>
        <w:rPr>
          <w:b/>
          <w:bCs/>
        </w:rPr>
        <w:t xml:space="preserve">Padrões observados:</w:t>
      </w:r>
    </w:p>
    <w:p>
      <w:pPr>
        <w:pStyle w:val="Compact"/>
        <w:numPr>
          <w:ilvl w:val="0"/>
          <w:numId w:val="1936"/>
        </w:numPr>
      </w:pPr>
      <w:r>
        <w:rPr>
          <w:b/>
          <w:bCs/>
        </w:rPr>
        <w:t xml:space="preserve">Petróleo e mineração</w:t>
      </w:r>
      <w:r>
        <w:t xml:space="preserve"> </w:t>
      </w:r>
      <w:r>
        <w:t xml:space="preserve">apresentam os maiores diferenciais compensatórios, consistentes com risco de morte e isolamento geográfico (plataformas offshore, minas profundas).</w:t>
      </w:r>
    </w:p>
    <w:p>
      <w:pPr>
        <w:pStyle w:val="Compact"/>
        <w:numPr>
          <w:ilvl w:val="0"/>
          <w:numId w:val="1936"/>
        </w:numPr>
      </w:pPr>
      <w:r>
        <w:rPr>
          <w:b/>
          <w:bCs/>
        </w:rPr>
        <w:t xml:space="preserve">Adicional de periculosidade (30%) e insalubridade (10–40%)</w:t>
      </w:r>
      <w:r>
        <w:t xml:space="preserve"> </w:t>
      </w:r>
      <w:r>
        <w:t xml:space="preserve">são mecanismos legais que institucionalizam o diferencial compensatório no Brasil (CLT, arts. 189–197). A RAIS registra que 3,2 milhões de trabalhadores formais receberam adicional de insalubridade ou periculosidade em 2023.</w:t>
      </w:r>
    </w:p>
    <w:p>
      <w:pPr>
        <w:pStyle w:val="Compact"/>
        <w:numPr>
          <w:ilvl w:val="0"/>
          <w:numId w:val="1936"/>
        </w:numPr>
      </w:pPr>
      <w:r>
        <w:rPr>
          <w:b/>
          <w:bCs/>
        </w:rPr>
        <w:t xml:space="preserve">Diferencial negativo por estabilidade:</w:t>
      </w:r>
      <w:r>
        <w:t xml:space="preserve"> </w:t>
      </w:r>
      <w:r>
        <w:t xml:space="preserve">servidores públicos com estabilidade aceitam salários inferiores aos do setor privado para funções equivalentes — evidência de que a estabilidade é um</w:t>
      </w:r>
      <w:r>
        <w:t xml:space="preserve"> </w:t>
      </w:r>
      <w:r>
        <w:t xml:space="preserve">“bem”</w:t>
      </w:r>
      <w:r>
        <w:t xml:space="preserve"> </w:t>
      </w:r>
      <w:r>
        <w:t xml:space="preserve">não pecuniário pelo qual se</w:t>
      </w:r>
      <w:r>
        <w:t xml:space="preserve"> </w:t>
      </w:r>
      <w:r>
        <w:t xml:space="preserve">“paga”</w:t>
      </w:r>
      <w:r>
        <w:t xml:space="preserve"> </w:t>
      </w:r>
      <w:r>
        <w:t xml:space="preserve">com salário menor. Estudos sobre diferenciais público-privado no Brasil (Souza e Medeiros, 2013; Vaz e Hoffmann, 2007) indicam que parte do diferencial salarial favorável ao setor público é atribuível à estabilidade — um</w:t>
      </w:r>
      <w:r>
        <w:t xml:space="preserve"> </w:t>
      </w:r>
      <w:r>
        <w:t xml:space="preserve">“compensador negativo”</w:t>
      </w:r>
      <w:r>
        <w:t xml:space="preserve"> </w:t>
      </w:r>
      <w:r>
        <w:t xml:space="preserve">que o trabalhador aceita como benefício não pecuniário.</w:t>
      </w:r>
    </w:p>
    <w:p>
      <w:pPr>
        <w:pStyle w:val="Compact"/>
        <w:numPr>
          <w:ilvl w:val="0"/>
          <w:numId w:val="1936"/>
        </w:numPr>
      </w:pPr>
      <w:r>
        <w:rPr>
          <w:b/>
          <w:bCs/>
        </w:rPr>
        <w:t xml:space="preserve">Regionalidade:</w:t>
      </w:r>
      <w:r>
        <w:t xml:space="preserve"> </w:t>
      </w:r>
      <w:r>
        <w:t xml:space="preserve">trabalhadores em Manaus e no interior do Pará recebem prêmios de 15–30% sobre ocupações equivalentes no Sudeste, refletindo o custo de vida, distância de centros urbanos e condições climáticas adversas.</w:t>
      </w:r>
    </w:p>
    <w:p>
      <w:pPr>
        <w:pStyle w:val="BlockText"/>
      </w:pPr>
      <w:r>
        <w:rPr>
          <w:b/>
          <w:bCs/>
        </w:rPr>
        <w:t xml:space="preserve">Limitações empíricas:</w:t>
      </w:r>
      <w:r>
        <w:t xml:space="preserve"> </w:t>
      </w:r>
      <w:r>
        <w:t xml:space="preserve">A identificação de diferenciais compensatórios</w:t>
      </w:r>
      <w:r>
        <w:t xml:space="preserve"> </w:t>
      </w:r>
      <w:r>
        <w:t xml:space="preserve">“puros”</w:t>
      </w:r>
      <w:r>
        <w:t xml:space="preserve"> </w:t>
      </w:r>
      <w:r>
        <w:t xml:space="preserve">é difícil porque trabalhadores em ocupações perigosas frequentemente têm menor escolaridade — o diferencial observado mistura compensação por risco com penalidade por baixa qualificação. Estudos com controles adequados encontram diferenciais compensatórios positivos e significativos para risco de acidentes fatais, mas menores do que os diferenciais brutos sugerem. Corseuil, Foguel e Hecksher (2015), usando microdados da RAIS e da Pesquisa Nacional por Amostra de Domicílios, estimam que a elasticidade do salário em relação ao risco de acidentes fatais no Brasil é positiva mas modesta — indicando que o mercado precifica parcialmente, mas não completamente, o risco ocupacional.</w:t>
      </w:r>
    </w:p>
    <w:p>
      <w:pPr>
        <w:pStyle w:val="BlockText"/>
      </w:pPr>
      <w:r>
        <w:rPr>
          <w:b/>
          <w:bCs/>
        </w:rPr>
        <w:t xml:space="preserve">Fonte:</w:t>
      </w:r>
      <w:r>
        <w:t xml:space="preserve"> </w:t>
      </w:r>
      <w:r>
        <w:t xml:space="preserve">RAIS/MTE 2023; PNAD Contínua/IBGE 2024; Corseuil, C.H., Foguel, M. e Hecksher, M. (2015).</w:t>
      </w:r>
      <w:r>
        <w:t xml:space="preserve"> </w:t>
      </w:r>
      <w:r>
        <w:t xml:space="preserve">“Determinantes da informalidade no Brasil.”</w:t>
      </w:r>
      <w:r>
        <w:t xml:space="preserve"> </w:t>
      </w:r>
      <w:r>
        <w:t xml:space="preserve">IPEA, Texto para Discussão; MTE, Anuário Estatístico de Acidentes do Trabalho.</w:t>
      </w:r>
    </w:p>
    <w:bookmarkEnd w:id="1081"/>
    <w:bookmarkStart w:id="1083" w:name="discriminação"/>
    <w:p>
      <w:pPr>
        <w:pStyle w:val="Heading4"/>
      </w:pPr>
      <w:r>
        <w:t xml:space="preserve">Discriminação</w:t>
      </w:r>
    </w:p>
    <w:p>
      <w:pPr>
        <w:pStyle w:val="FirstParagraph"/>
      </w:pPr>
      <w:r>
        <w:t xml:space="preserve">Diferenças salariais também podem refletir</w:t>
      </w:r>
      <w:r>
        <w:t xml:space="preserve"> </w:t>
      </w:r>
      <w:r>
        <w:rPr>
          <w:b/>
          <w:bCs/>
        </w:rPr>
        <w:t xml:space="preserve">discriminação</w:t>
      </w:r>
      <w:r>
        <w:t xml:space="preserve"> </w:t>
      </w:r>
      <w:r>
        <w:t xml:space="preserve">por gênero, raça, etnia ou outras características. A teoria econômica distingue duas formas principais de discriminação no mercado de trabalho:</w:t>
      </w:r>
    </w:p>
    <w:p>
      <w:pPr>
        <w:pStyle w:val="BodyText"/>
      </w:pPr>
      <w:r>
        <w:rPr>
          <w:b/>
          <w:bCs/>
        </w:rPr>
        <w:t xml:space="preserve">Discriminação baseada em preferências (Becker, 1957).</w:t>
      </w:r>
      <w:r>
        <w:t xml:space="preserve"> </w:t>
      </w:r>
      <w:r>
        <w:t xml:space="preserve">No modelo de Becker, alguns empregadores, trabalhadores ou consumidores têm</w:t>
      </w:r>
      <w:r>
        <w:t xml:space="preserve"> </w:t>
      </w:r>
      <w:r>
        <w:t xml:space="preserve">“gosto por discriminação”</w:t>
      </w:r>
      <w:r>
        <w:t xml:space="preserve"> </w:t>
      </w:r>
      <w:r>
        <w:t xml:space="preserve">— uma desutilidade ao interagir com membros de certos grupos. Empregadores discriminadores estão dispostos a pagar um prêmio para contratar trabalhadores do grupo preferido, mesmo que a produtividade seja idêntica. Formalmente, o empregador discriminador age como se o custo de contratar um trabalhador do grupo discriminado fosse</w:t>
      </w:r>
      <w:r>
        <w:t xml:space="preserve"> </w:t>
      </w:r>
      <m:oMath>
        <m:r>
          <m:t>w</m:t>
        </m:r>
        <m:r>
          <m:rPr>
            <m:sty m:val="p"/>
          </m:rPr>
          <m:t>(</m:t>
        </m:r>
        <m:r>
          <m:t>1</m:t>
        </m:r>
        <m:r>
          <m:rPr>
            <m:sty m:val="p"/>
          </m:rPr>
          <m:t>+</m:t>
        </m:r>
        <m:r>
          <m:t>d</m:t>
        </m:r>
        <m:r>
          <m:rPr>
            <m:sty m:val="p"/>
          </m:rPr>
          <m:t>)</m:t>
        </m:r>
      </m:oMath>
      <w:r>
        <w:t xml:space="preserve">, onde</w:t>
      </w:r>
      <w:r>
        <w:t xml:space="preserve"> </w:t>
      </w:r>
      <m:oMath>
        <m:r>
          <m:t>d</m:t>
        </m:r>
        <m:r>
          <m:rPr>
            <m:sty m:val="p"/>
          </m:rPr>
          <m:t>&gt;</m:t>
        </m:r>
        <m:r>
          <m:t>0</m:t>
        </m:r>
      </m:oMath>
      <w:r>
        <w:t xml:space="preserve"> </w:t>
      </w:r>
      <w:r>
        <w:t xml:space="preserve">é o</w:t>
      </w:r>
      <w:r>
        <w:t xml:space="preserve"> </w:t>
      </w:r>
      <w:r>
        <w:rPr>
          <w:b/>
          <w:bCs/>
        </w:rPr>
        <w:t xml:space="preserve">coeficiente de discriminação</w:t>
      </w:r>
      <w:r>
        <w:t xml:space="preserve">. Uma implicação importante do modelo de Becker é que, em mercados competitivos, a discriminação tende a ser eliminada no longo prazo: firmas que não discriminam têm custos menores e obtêm lucros maiores, expulsando as firmas discriminadoras do mercado. A persistência da discriminação, portanto, requer alguma imperfeição de mercado — poder de mercado, barreiras à entrada ou custos de informação.</w:t>
      </w:r>
    </w:p>
    <w:p>
      <w:pPr>
        <w:pStyle w:val="BodyText"/>
      </w:pPr>
      <w:r>
        <w:rPr>
          <w:b/>
          <w:bCs/>
        </w:rPr>
        <w:t xml:space="preserve">Discriminação estatística (Phelps, 1972; Arrow, 1973).</w:t>
      </w:r>
      <w:r>
        <w:t xml:space="preserve"> </w:t>
      </w:r>
      <w:r>
        <w:t xml:space="preserve">Neste modelo, empregadores racionais e não preconceituosos utilizam características observáveis do grupo (gênero, raça, idade) como proxies para produtividade individual quando a informação sobre o trabalhador é imperfeita. Se, por exemplo, um empregador acredita (correta ou incorretamente) que a variância de produtividade é maior em certo grupo, pode preferir candidatos do grupo com menor variância percebida, mesmo que a produtividade média seja igual. A discriminação estatística é particularmente insidiosa porque: (i) pode ser praticada por agentes perfeitamente racionais e sem preconceito; (ii) pode se auto-confirmar — se mulheres ou negros sabem que serão discriminados, podem investir menos em capital humano, confirmando a crença original (profecia autorrealizável); (iii) não é eliminada pela competição, pois é uma resposta ótima a informação imperfeita.</w:t>
      </w:r>
    </w:p>
    <w:p>
      <w:pPr>
        <w:pStyle w:val="BodyText"/>
      </w:pPr>
      <w:r>
        <w:rPr>
          <w:b/>
          <w:bCs/>
        </w:rPr>
        <w:t xml:space="preserve">Decomposição de Oaxaca-Blinder.</w:t>
      </w:r>
      <w:r>
        <w:t xml:space="preserve"> </w:t>
      </w:r>
      <w:r>
        <w:t xml:space="preserve">Para medir a magnitude da discriminação salarial, economistas utilizam a técnica de</w:t>
      </w:r>
      <w:r>
        <w:t xml:space="preserve"> </w:t>
      </w:r>
      <w:r>
        <w:rPr>
          <w:b/>
          <w:bCs/>
        </w:rPr>
        <w:t xml:space="preserve">decomposição de Oaxaca-Blinder</w:t>
      </w:r>
      <w:r>
        <w:t xml:space="preserve"> </w:t>
      </w:r>
      <w:r>
        <w:t xml:space="preserve">(Oaxaca, 1973; Blinder, 1973). Suponha que estimamos equações de salário separadas para dois grupos (por exemplo, homens e mulheres):</w:t>
      </w:r>
    </w:p>
    <w:p>
      <w:pPr>
        <w:pStyle w:val="BodyText"/>
      </w:pPr>
      <m:oMathPara>
        <m:oMathParaPr>
          <m:jc m:val="center"/>
        </m:oMathParaPr>
        <m:oMath>
          <m:r>
            <m:rPr>
              <m:sty m:val="p"/>
            </m:rPr>
            <m:t>ln</m:t>
          </m:r>
          <m:sSub>
            <m:e>
              <m:r>
                <m:t>w</m:t>
              </m:r>
            </m:e>
            <m:sub>
              <m:r>
                <m:t>H</m:t>
              </m:r>
            </m:sub>
          </m:sSub>
          <m:r>
            <m:rPr>
              <m:sty m:val="p"/>
            </m:rPr>
            <m:t>=</m:t>
          </m:r>
          <m:sSub>
            <m:e>
              <m:r>
                <m:t>X</m:t>
              </m:r>
            </m:e>
            <m:sub>
              <m:r>
                <m:t>H</m:t>
              </m:r>
            </m:sub>
          </m:sSub>
          <m:sSub>
            <m:e>
              <m:acc>
                <m:accPr>
                  <m:chr m:val="̂"/>
                </m:accPr>
                <m:e>
                  <m:r>
                    <m:t>β</m:t>
                  </m:r>
                </m:e>
              </m:acc>
            </m:e>
            <m:sub>
              <m:r>
                <m:t>H</m:t>
              </m:r>
            </m:sub>
          </m:sSub>
          <m:r>
            <m:rPr>
              <m:sty m:val="p"/>
            </m:rPr>
            <m:t>,</m:t>
          </m:r>
          <m:r>
            <m:t>  </m:t>
          </m:r>
          <m:r>
            <m:rPr>
              <m:sty m:val="p"/>
            </m:rPr>
            <m:t>ln</m:t>
          </m:r>
          <m:sSub>
            <m:e>
              <m:r>
                <m:t>w</m:t>
              </m:r>
            </m:e>
            <m:sub>
              <m:r>
                <m:t>M</m:t>
              </m:r>
            </m:sub>
          </m:sSub>
          <m:r>
            <m:rPr>
              <m:sty m:val="p"/>
            </m:rPr>
            <m:t>=</m:t>
          </m:r>
          <m:sSub>
            <m:e>
              <m:r>
                <m:t>X</m:t>
              </m:r>
            </m:e>
            <m:sub>
              <m:r>
                <m:t>M</m:t>
              </m:r>
            </m:sub>
          </m:sSub>
          <m:sSub>
            <m:e>
              <m:acc>
                <m:accPr>
                  <m:chr m:val="̂"/>
                </m:accPr>
                <m:e>
                  <m:r>
                    <m:t>β</m:t>
                  </m:r>
                </m:e>
              </m:acc>
            </m:e>
            <m:sub>
              <m:r>
                <m:t>M</m:t>
              </m:r>
            </m:sub>
          </m:sSub>
        </m:oMath>
      </m:oMathPara>
    </w:p>
    <w:p>
      <w:pPr>
        <w:pStyle w:val="FirstParagraph"/>
      </w:pPr>
      <w:r>
        <w:t xml:space="preserve">onde</w:t>
      </w:r>
      <w:r>
        <w:t xml:space="preserve"> </w:t>
      </w:r>
      <m:oMath>
        <m:r>
          <m:t>X</m:t>
        </m:r>
      </m:oMath>
      <w:r>
        <w:t xml:space="preserve"> </w:t>
      </w:r>
      <w:r>
        <w:t xml:space="preserve">denota as características observáveis (educação, experiência, ocupação) e</w:t>
      </w:r>
      <w:r>
        <w:t xml:space="preserve"> </w:t>
      </w:r>
      <m:oMath>
        <m:acc>
          <m:accPr>
            <m:chr m:val="̂"/>
          </m:accPr>
          <m:e>
            <m:r>
              <m:t>β</m:t>
            </m:r>
          </m:e>
        </m:acc>
      </m:oMath>
      <w:r>
        <w:t xml:space="preserve"> </w:t>
      </w:r>
      <w:r>
        <w:t xml:space="preserve">os retornos estimados. A diferença salarial média pode ser decomposta como:</w:t>
      </w:r>
    </w:p>
    <w:p>
      <w:pPr>
        <w:pStyle w:val="BodyText"/>
      </w:pPr>
      <m:oMathPara>
        <m:oMathParaPr>
          <m:jc m:val="center"/>
        </m:oMathParaPr>
        <m:oMath>
          <m:limLow>
            <m:e>
              <m:limLow>
                <m:e>
                  <m:bar>
                    <m:barPr>
                      <m:pos m:val="top"/>
                    </m:barPr>
                    <m:e>
                      <m:r>
                        <m:rPr>
                          <m:sty m:val="p"/>
                        </m:rPr>
                        <m:t>ln</m:t>
                      </m:r>
                      <m:sSub>
                        <m:e>
                          <m:r>
                            <m:t>w</m:t>
                          </m:r>
                        </m:e>
                        <m:sub>
                          <m:r>
                            <m:t>H</m:t>
                          </m:r>
                        </m:sub>
                      </m:sSub>
                    </m:e>
                  </m:bar>
                  <m:r>
                    <m:rPr>
                      <m:sty m:val="p"/>
                    </m:rPr>
                    <m:t>−</m:t>
                  </m:r>
                  <m:bar>
                    <m:barPr>
                      <m:pos m:val="top"/>
                    </m:barPr>
                    <m:e>
                      <m:r>
                        <m:rPr>
                          <m:sty m:val="p"/>
                        </m:rPr>
                        <m:t>ln</m:t>
                      </m:r>
                      <m:sSub>
                        <m:e>
                          <m:r>
                            <m:t>w</m:t>
                          </m:r>
                        </m:e>
                        <m:sub>
                          <m:r>
                            <m:t>M</m:t>
                          </m:r>
                        </m:sub>
                      </m:sSub>
                    </m:e>
                  </m:bar>
                </m:e>
                <m:lim>
                  <m:r>
                    <m:rPr>
                      <m:sty m:val="p"/>
                    </m:rPr>
                    <m:t>⏟</m:t>
                  </m:r>
                </m:lim>
              </m:limLow>
            </m:e>
            <m:lim>
              <m:r>
                <m:rPr>
                  <m:nor/>
                  <m:sty m:val="p"/>
                </m:rPr>
                <m:t>diferencial total</m:t>
              </m:r>
            </m:lim>
          </m:limLow>
          <m:r>
            <m:rPr>
              <m:sty m:val="p"/>
            </m:rPr>
            <m:t>=</m:t>
          </m:r>
          <m:limLow>
            <m:e>
              <m:limLow>
                <m:e>
                  <m:r>
                    <m:rPr>
                      <m:sty m:val="p"/>
                    </m:rPr>
                    <m:t>(</m:t>
                  </m:r>
                  <m:sSub>
                    <m:e>
                      <m:acc>
                        <m:accPr>
                          <m:chr m:val="‾"/>
                        </m:accPr>
                        <m:e>
                          <m:r>
                            <m:t>X</m:t>
                          </m:r>
                        </m:e>
                      </m:acc>
                    </m:e>
                    <m:sub>
                      <m:r>
                        <m:t>H</m:t>
                      </m:r>
                    </m:sub>
                  </m:sSub>
                  <m:r>
                    <m:rPr>
                      <m:sty m:val="p"/>
                    </m:rPr>
                    <m:t>−</m:t>
                  </m:r>
                  <m:sSub>
                    <m:e>
                      <m:acc>
                        <m:accPr>
                          <m:chr m:val="‾"/>
                        </m:accPr>
                        <m:e>
                          <m:r>
                            <m:t>X</m:t>
                          </m:r>
                        </m:e>
                      </m:acc>
                    </m:e>
                    <m:sub>
                      <m:r>
                        <m:t>M</m:t>
                      </m:r>
                    </m:sub>
                  </m:sSub>
                  <m:r>
                    <m:rPr>
                      <m:sty m:val="p"/>
                    </m:rPr>
                    <m:t>)</m:t>
                  </m:r>
                  <m:sSub>
                    <m:e>
                      <m:acc>
                        <m:accPr>
                          <m:chr m:val="̂"/>
                        </m:accPr>
                        <m:e>
                          <m:r>
                            <m:t>β</m:t>
                          </m:r>
                        </m:e>
                      </m:acc>
                    </m:e>
                    <m:sub>
                      <m:r>
                        <m:t>H</m:t>
                      </m:r>
                    </m:sub>
                  </m:sSub>
                </m:e>
                <m:lim>
                  <m:r>
                    <m:rPr>
                      <m:sty m:val="p"/>
                    </m:rPr>
                    <m:t>⏟</m:t>
                  </m:r>
                </m:lim>
              </m:limLow>
            </m:e>
            <m:lim>
              <m:r>
                <m:rPr>
                  <m:nor/>
                  <m:sty m:val="p"/>
                </m:rPr>
                <m:t>parte explicada</m:t>
              </m:r>
            </m:lim>
          </m:limLow>
          <m:r>
            <m:rPr>
              <m:sty m:val="p"/>
            </m:rPr>
            <m:t>+</m:t>
          </m:r>
          <m:limLow>
            <m:e>
              <m:limLow>
                <m:e>
                  <m:sSub>
                    <m:e>
                      <m:acc>
                        <m:accPr>
                          <m:chr m:val="‾"/>
                        </m:accPr>
                        <m:e>
                          <m:r>
                            <m:t>X</m:t>
                          </m:r>
                        </m:e>
                      </m:acc>
                    </m:e>
                    <m:sub>
                      <m:r>
                        <m:t>M</m:t>
                      </m:r>
                    </m:sub>
                  </m:sSub>
                  <m:r>
                    <m:rPr>
                      <m:sty m:val="p"/>
                    </m:rPr>
                    <m:t>(</m:t>
                  </m:r>
                  <m:sSub>
                    <m:e>
                      <m:acc>
                        <m:accPr>
                          <m:chr m:val="̂"/>
                        </m:accPr>
                        <m:e>
                          <m:r>
                            <m:t>β</m:t>
                          </m:r>
                        </m:e>
                      </m:acc>
                    </m:e>
                    <m:sub>
                      <m:r>
                        <m:t>H</m:t>
                      </m:r>
                    </m:sub>
                  </m:sSub>
                  <m:r>
                    <m:rPr>
                      <m:sty m:val="p"/>
                    </m:rPr>
                    <m:t>−</m:t>
                  </m:r>
                  <m:sSub>
                    <m:e>
                      <m:acc>
                        <m:accPr>
                          <m:chr m:val="̂"/>
                        </m:accPr>
                        <m:e>
                          <m:r>
                            <m:t>β</m:t>
                          </m:r>
                        </m:e>
                      </m:acc>
                    </m:e>
                    <m:sub>
                      <m:r>
                        <m:t>M</m:t>
                      </m:r>
                    </m:sub>
                  </m:sSub>
                  <m:r>
                    <m:rPr>
                      <m:sty m:val="p"/>
                    </m:rPr>
                    <m:t>)</m:t>
                  </m:r>
                </m:e>
                <m:lim>
                  <m:r>
                    <m:rPr>
                      <m:sty m:val="p"/>
                    </m:rPr>
                    <m:t>⏟</m:t>
                  </m:r>
                </m:lim>
              </m:limLow>
            </m:e>
            <m:lim>
              <m:r>
                <m:rPr>
                  <m:nor/>
                  <m:sty m:val="p"/>
                </m:rPr>
                <m:t>parte não explicada</m:t>
              </m:r>
            </m:lim>
          </m:limLow>
        </m:oMath>
      </m:oMathPara>
    </w:p>
    <w:p>
      <w:pPr>
        <w:pStyle w:val="FirstParagraph"/>
      </w:pPr>
      <w:r>
        <w:t xml:space="preserve">A</w:t>
      </w:r>
      <w:r>
        <w:t xml:space="preserve"> </w:t>
      </w:r>
      <w:r>
        <w:rPr>
          <w:b/>
          <w:bCs/>
        </w:rPr>
        <w:t xml:space="preserve">parte explicada</w:t>
      </w:r>
      <w:r>
        <w:t xml:space="preserve"> </w:t>
      </w:r>
      <w:r>
        <w:t xml:space="preserve">reflete diferenças nas características dos trabalhadores (mulheres podem ter menos experiência por interrupções de carreira, por exemplo). A</w:t>
      </w:r>
      <w:r>
        <w:t xml:space="preserve"> </w:t>
      </w:r>
      <w:r>
        <w:rPr>
          <w:b/>
          <w:bCs/>
        </w:rPr>
        <w:t xml:space="preserve">parte não explicada</w:t>
      </w:r>
      <w:r>
        <w:t xml:space="preserve"> </w:t>
      </w:r>
      <w:r>
        <w:t xml:space="preserve">— frequentemente interpretada como uma medida superior de discriminação — reflete diferenças nos retornos a características iguais: o fato de que homens e mulheres com a mesma educação e experiência recebem remunerações diferentes.</w:t>
      </w:r>
    </w:p>
    <w:p>
      <w:pPr>
        <w:pStyle w:val="BodyText"/>
      </w:pPr>
      <w:r>
        <w:t xml:space="preserve">Aplicações da decomposição de Oaxaca-Blinder ao Brasil (por exemplo, Giuberti e Menezes-Filho, 2005) mostram que a parte não explicada do diferencial de gênero responde por 60–70% do hiato total, sugerindo que a discriminação (no sentido amplo, incluindo barreiras à promoção e segregação ocupacional) é responsável pela maior parte do diferencial salarial de gênero no país.</w:t>
      </w:r>
    </w:p>
    <w:p>
      <w:pPr>
        <w:pStyle w:val="BlockText"/>
      </w:pPr>
      <w:r>
        <w:rPr>
          <w:b/>
          <w:bCs/>
        </w:rPr>
        <w:t xml:space="preserve">[INTUICAO ECONOMICA] Intuição Econômica</w:t>
      </w:r>
    </w:p>
    <w:p>
      <w:pPr>
        <w:pStyle w:val="BlockText"/>
      </w:pPr>
      <w:r>
        <w:rPr>
          <w:b/>
          <w:bCs/>
        </w:rPr>
        <w:t xml:space="preserve">Em uma frase:</w:t>
      </w:r>
      <w:r>
        <w:t xml:space="preserve"> </w:t>
      </w:r>
      <w:r>
        <w:t xml:space="preserve">Nem toda diferença salarial é discriminação — mas a parte que sobra depois de controlar por educação, experiência e ocupação é um sinal forte de que o mercado não está tratando todos igualmente.</w:t>
      </w:r>
    </w:p>
    <w:p>
      <w:pPr>
        <w:pStyle w:val="BlockText"/>
      </w:pPr>
      <w:r>
        <w:rPr>
          <w:b/>
          <w:bCs/>
        </w:rPr>
        <w:t xml:space="preserve">Pense assim:</w:t>
      </w:r>
      <w:r>
        <w:t xml:space="preserve"> </w:t>
      </w:r>
      <w:r>
        <w:t xml:space="preserve">Duas colegas de turma na faculdade de engenharia, uma branca e outra negra, se formam com notas idênticas, fazem estágio na mesma empresa e têm a mesma experiência. Dez anos depois, a primeira ganha 30% a mais. A decomposição de Oaxaca-Blinder separa essa diferença: quanto se deve a fatores observáveis (como tipo de empresa, setor, cidade) e quanto é</w:t>
      </w:r>
      <w:r>
        <w:t xml:space="preserve"> </w:t>
      </w:r>
      <w:r>
        <w:t xml:space="preserve">“inexplicado”</w:t>
      </w:r>
      <w:r>
        <w:t xml:space="preserve"> </w:t>
      </w:r>
      <w:r>
        <w:t xml:space="preserve">— a parte que, na ausência de melhor explicação, atribuímos à discriminação.</w:t>
      </w:r>
    </w:p>
    <w:p>
      <w:pPr>
        <w:pStyle w:val="BlockText"/>
      </w:pPr>
      <w:r>
        <w:rPr>
          <w:b/>
          <w:bCs/>
        </w:rPr>
        <w:t xml:space="preserve">Por que isso importa:</w:t>
      </w:r>
      <w:r>
        <w:t xml:space="preserve"> </w:t>
      </w:r>
      <w:r>
        <w:t xml:space="preserve">A decomposição não é apenas um exercício econométrico: ela informa políticas públicas. Se a maior parte do hiato é explicada por diferenças de educação, a política correta é ampliar o acesso à educação. Se a parte não explicada é grande, medidas como fiscalização de igualdade salarial, cotas e transparência remuneratória tornam-se necessárias.</w:t>
      </w:r>
    </w:p>
    <w:p>
      <w:r>
        <w:pict>
          <v:rect style="width:0;height:1.5pt" o:hralign="center" o:hrstd="t" o:hr="t"/>
        </w:pict>
      </w:r>
    </w:p>
    <w:p>
      <w:pPr>
        <w:pStyle w:val="BlockText"/>
      </w:pPr>
      <w:r>
        <w:rPr>
          <w:b/>
          <w:bCs/>
        </w:rPr>
        <w:t xml:space="preserve">[BOX BRASIL] O prêmio salarial da educação e os hiatos de gênero e raça</w:t>
      </w:r>
    </w:p>
    <w:p>
      <w:pPr>
        <w:pStyle w:val="BlockText"/>
      </w:pPr>
      <w:r>
        <w:t xml:space="preserve">A equação de Mincer aplicada ao Brasil revela um dos maiores retornos à educação do mundo — e, ao mesmo tempo, uma desigualdade que persiste mesmo após o controle por escolaridade.</w:t>
      </w:r>
    </w:p>
    <w:p>
      <w:pPr>
        <w:pStyle w:val="BlockText"/>
      </w:pPr>
      <w:r>
        <w:rPr>
          <w:b/>
          <w:bCs/>
        </w:rPr>
        <w:t xml:space="preserve">Prêmio salarial do ensino superior:</w:t>
      </w:r>
    </w:p>
    <w:p>
      <w:pPr>
        <w:pStyle w:val="BlockText"/>
      </w:pPr>
      <w:r>
        <w:t xml:space="preserve">Segundo a PNAD Contínua/</w:t>
      </w:r>
      <w:hyperlink r:id="rId35">
        <w:r>
          <w:rPr>
            <w:rStyle w:val="Hyperlink"/>
          </w:rPr>
          <w:t xml:space="preserve">IBGE</w:t>
        </w:r>
      </w:hyperlink>
      <w:r>
        <w:t xml:space="preserve"> </w:t>
      </w:r>
      <w:r>
        <w:t xml:space="preserve">(2.º trimestre de 2024), trabalhadores com ensino superior completo recebem, em média,</w:t>
      </w:r>
      <w:r>
        <w:t xml:space="preserve"> </w:t>
      </w:r>
      <w:r>
        <w:rPr>
          <w:b/>
          <w:bCs/>
        </w:rPr>
        <w:t xml:space="preserve">126% a mais</w:t>
      </w:r>
      <w:r>
        <w:t xml:space="preserve"> </w:t>
      </w:r>
      <w:r>
        <w:t xml:space="preserve">do que aqueles com ensino médio completo ou superior incompleto. Esse diferencial, embora ainda elevado, caiu 26 pontos percentuais em 12 anos, refletindo a expansão do acesso ao ensino superior.</w:t>
      </w:r>
    </w:p>
    <w:p>
      <w:pPr>
        <w:pStyle w:val="BlockText"/>
      </w:pPr>
      <w:r>
        <w:rPr>
          <w:b/>
          <w:bCs/>
        </w:rPr>
        <w:t xml:space="preserve">Desigualdade por gênero:</w:t>
      </w:r>
    </w:p>
    <w:p>
      <w:pPr>
        <w:pStyle w:val="BlockText"/>
      </w:pPr>
      <w:r>
        <w:t xml:space="preserve">O 3.º Relatório de Transparência Salarial do</w:t>
      </w:r>
      <w:r>
        <w:t xml:space="preserve"> </w:t>
      </w:r>
      <w:hyperlink r:id="rId1082">
        <w:r>
          <w:rPr>
            <w:rStyle w:val="Hyperlink"/>
          </w:rPr>
          <w:t xml:space="preserve">MTE</w:t>
        </w:r>
      </w:hyperlink>
      <w:r>
        <w:t xml:space="preserve"> </w:t>
      </w:r>
      <w:r>
        <w:t xml:space="preserve">(2025) mostra que as mulheres recebem, em média,</w:t>
      </w:r>
      <w:r>
        <w:t xml:space="preserve"> </w:t>
      </w:r>
      <w:r>
        <w:rPr>
          <w:b/>
          <w:bCs/>
        </w:rPr>
        <w:t xml:space="preserve">20,7% a menos</w:t>
      </w:r>
      <w:r>
        <w:t xml:space="preserve"> </w:t>
      </w:r>
      <w:r>
        <w:t xml:space="preserve">que os homens. Quando se adiciona o recorte racial, o hiato se amplia: mulheres negras ganham</w:t>
      </w:r>
      <w:r>
        <w:t xml:space="preserve"> </w:t>
      </w:r>
      <w:r>
        <w:rPr>
          <w:b/>
          <w:bCs/>
        </w:rPr>
        <w:t xml:space="preserve">53% a menos</w:t>
      </w:r>
      <w:r>
        <w:t xml:space="preserve"> </w:t>
      </w:r>
      <w:r>
        <w:t xml:space="preserve">que homens brancos.</w:t>
      </w:r>
    </w:p>
    <w:p>
      <w:pPr>
        <w:pStyle w:val="BlockText"/>
      </w:pPr>
      <w:r>
        <w:rPr>
          <w:b/>
          <w:bCs/>
        </w:rPr>
        <w:t xml:space="preserve">Desigualdade por raça:</w:t>
      </w:r>
    </w:p>
    <w:p>
      <w:pPr>
        <w:pStyle w:val="BlockText"/>
      </w:pPr>
      <w:r>
        <w:t xml:space="preserve">Mesmo entre trabalhadores com diploma universitário, o rendimento médio de negros (R$ 4.798) é</w:t>
      </w:r>
      <w:r>
        <w:t xml:space="preserve"> </w:t>
      </w:r>
      <w:r>
        <w:rPr>
          <w:b/>
          <w:bCs/>
        </w:rPr>
        <w:t xml:space="preserve">32% inferior</w:t>
      </w:r>
      <w:r>
        <w:t xml:space="preserve"> </w:t>
      </w:r>
      <w:r>
        <w:t xml:space="preserve">ao de não negros (R$ 7.030), segundo a PNAD Contínua 2024. Essa diferença sugere que fatores além do capital humano — como discriminação no mercado de trabalho e segregação ocupacional — desempenham papel relevante.</w:t>
      </w:r>
    </w:p>
    <w:p>
      <w:pPr>
        <w:pStyle w:val="BlockText"/>
      </w:pPr>
      <w:r>
        <w:rPr>
          <w:b/>
          <w:bCs/>
        </w:rPr>
        <w:t xml:space="preserve">Conexão com a teoria:</w:t>
      </w:r>
    </w:p>
    <w:p>
      <w:pPr>
        <w:pStyle w:val="BlockText"/>
      </w:pPr>
      <w:r>
        <w:t xml:space="preserve">A teoria do capital humano (seção 17.6) explica parte substancial dos diferenciais salariais observados: mais educação → maior produtividade → salário mais alto. Contudo, os hiatos persistentes de gênero e raça, mesmo controlando por escolaridade, apontam para a relevância dos modelos de discriminação (Becker, 1957) e de barreiras estruturais no acesso a ocupações de alta remuneração.</w:t>
      </w:r>
    </w:p>
    <w:p>
      <w:pPr>
        <w:pStyle w:val="BlockText"/>
      </w:pPr>
      <w:r>
        <w:rPr>
          <w:i/>
          <w:iCs/>
        </w:rPr>
        <w:t xml:space="preserve">Fonte: PNAD Contínua/IBGE, 2.º tri 2024; MTE, 3.º Relatório de Transparência Salarial, 2025.</w:t>
      </w:r>
    </w:p>
    <w:p>
      <w:pPr>
        <w:pStyle w:val="BlockText"/>
      </w:pPr>
      <w:r>
        <w:rPr>
          <w:b/>
          <w:bCs/>
        </w:rPr>
        <w:t xml:space="preserve">[BOX BRASIL] Brasil na Prática — RAIS: O Raio-X do Mercado Formal</w:t>
      </w:r>
    </w:p>
    <w:p>
      <w:pPr>
        <w:pStyle w:val="BlockText"/>
      </w:pPr>
      <w:r>
        <w:t xml:space="preserve">A Relação Anual de Informações Sociais (RAIS) é o maior painel empregador-empregado do Brasil — cobre virtualmente 100% dos vínculos formais (CLT + estatutários), com informações sobre salário, ocupação, escolaridade, idade, gênero, raça e município. É o equivalente brasileiro aos</w:t>
      </w:r>
      <w:r>
        <w:t xml:space="preserve"> </w:t>
      </w:r>
      <w:r>
        <w:rPr>
          <w:i/>
          <w:iCs/>
        </w:rPr>
        <w:t xml:space="preserve">matched employer-employee datasets</w:t>
      </w:r>
      <w:r>
        <w:t xml:space="preserve"> </w:t>
      </w:r>
      <w:r>
        <w:t xml:space="preserve">usados na literatura internacional (Abowd, Kramarz &amp; Margolis, 1999).</w:t>
      </w:r>
    </w:p>
    <w:p>
      <w:pPr>
        <w:pStyle w:val="BlockText"/>
      </w:pPr>
      <w:r>
        <w:rPr>
          <w:b/>
          <w:bCs/>
        </w:rPr>
        <w:t xml:space="preserve">Por que importa para o Cap 17:</w:t>
      </w:r>
      <w:r>
        <w:t xml:space="preserve"> </w:t>
      </w:r>
      <w:r>
        <w:t xml:space="preserve">A RAIS permite decompor a variação salarial em componentes de trabalhador (capital humano, habilidade) e de firma (produtividade, poder de mercado). Estudos com RAIS mostram que:</w:t>
      </w:r>
    </w:p>
    <w:p>
      <w:pPr>
        <w:pStyle w:val="Compact"/>
        <w:numPr>
          <w:ilvl w:val="0"/>
          <w:numId w:val="1937"/>
        </w:numPr>
      </w:pPr>
      <w:r>
        <w:t xml:space="preserve">O prêmio salarial de um diploma universitário é ~100% no setor formal (vs. ~126% na PNAD, que inclui informais)</w:t>
      </w:r>
    </w:p>
    <w:p>
      <w:pPr>
        <w:pStyle w:val="Compact"/>
        <w:numPr>
          <w:ilvl w:val="0"/>
          <w:numId w:val="1937"/>
        </w:numPr>
      </w:pPr>
      <w:r>
        <w:t xml:space="preserve">A dispersão salarial</w:t>
      </w:r>
      <w:r>
        <w:t xml:space="preserve"> </w:t>
      </w:r>
      <w:r>
        <w:rPr>
          <w:i/>
          <w:iCs/>
        </w:rPr>
        <w:t xml:space="preserve">entre</w:t>
      </w:r>
      <w:r>
        <w:t xml:space="preserve"> </w:t>
      </w:r>
      <w:r>
        <w:t xml:space="preserve">firmas explica ~40% da queda na desigualdade total entre 1996 e 2012 — firmas mais produtivas pagam mais</w:t>
      </w:r>
      <w:r>
        <w:t xml:space="preserve"> </w:t>
      </w:r>
      <w:r>
        <w:rPr>
          <w:i/>
          <w:iCs/>
        </w:rPr>
        <w:t xml:space="preserve">a todos</w:t>
      </w:r>
      <w:r>
        <w:t xml:space="preserve"> </w:t>
      </w:r>
      <w:r>
        <w:t xml:space="preserve">os trabalhadores</w:t>
      </w:r>
    </w:p>
    <w:p>
      <w:pPr>
        <w:pStyle w:val="Compact"/>
        <w:numPr>
          <w:ilvl w:val="0"/>
          <w:numId w:val="1937"/>
        </w:numPr>
      </w:pPr>
      <w:r>
        <w:t xml:space="preserve">Diferenciais compensatórios (Seção 17.6) são identificáveis: trabalhadores em ocupações de risco recebem 8–15% a mais, controlando por educação e experiência</w:t>
      </w:r>
    </w:p>
    <w:p>
      <w:pPr>
        <w:pStyle w:val="BlockText"/>
      </w:pPr>
      <w:r>
        <w:rPr>
          <w:b/>
          <w:bCs/>
        </w:rPr>
        <w:t xml:space="preserve">Fonte:</w:t>
      </w:r>
      <w:r>
        <w:t xml:space="preserve"> </w:t>
      </w:r>
      <w:r>
        <w:t xml:space="preserve">Alvarez, Benguria, Engbom &amp; Moser (2018),</w:t>
      </w:r>
      <w:r>
        <w:t xml:space="preserve"> </w:t>
      </w:r>
      <w:r>
        <w:t xml:space="preserve">“Firms and the Decline in Earnings Inequality in Brazil”</w:t>
      </w:r>
      <w:r>
        <w:t xml:space="preserve">,</w:t>
      </w:r>
      <w:r>
        <w:t xml:space="preserve"> </w:t>
      </w:r>
      <w:r>
        <w:rPr>
          <w:i/>
          <w:iCs/>
        </w:rPr>
        <w:t xml:space="preserve">AEJ: Macroeconomics</w:t>
      </w:r>
      <w:r>
        <w:t xml:space="preserve">, 10(1), 149–189. Gerard, Lagos, Severnini &amp; Card (2021),</w:t>
      </w:r>
      <w:r>
        <w:t xml:space="preserve"> </w:t>
      </w:r>
      <w:r>
        <w:t xml:space="preserve">“Assortative Matching or Exclusionary Hiring?”</w:t>
      </w:r>
      <w:r>
        <w:t xml:space="preserve">,</w:t>
      </w:r>
      <w:r>
        <w:t xml:space="preserve"> </w:t>
      </w:r>
      <w:r>
        <w:rPr>
          <w:i/>
          <w:iCs/>
        </w:rPr>
        <w:t xml:space="preserve">American Economic Review</w:t>
      </w:r>
      <w:r>
        <w:t xml:space="preserve">, 111(10), 3418–3457.</w:t>
      </w:r>
    </w:p>
    <w:bookmarkEnd w:id="1083"/>
    <w:bookmarkEnd w:id="1084"/>
    <w:bookmarkEnd w:id="1085"/>
    <w:bookmarkStart w:id="1098" w:name="monopsônio-e-sindicatos"/>
    <w:p>
      <w:pPr>
        <w:pStyle w:val="Heading2"/>
      </w:pPr>
      <w:r>
        <w:t xml:space="preserve">17.7–17.8 Monopsônio e Sindicatos</w:t>
      </w:r>
    </w:p>
    <w:bookmarkStart w:id="1088" w:name="X6e7458dc56ab2830fadba7bd2c1aa10e981518d"/>
    <w:p>
      <w:pPr>
        <w:pStyle w:val="Heading3"/>
      </w:pPr>
      <w:r>
        <w:t xml:space="preserve">17.7 Quando Só Tem Um Patrão na Cidade: Monopsônio</w:t>
      </w:r>
    </w:p>
    <w:p>
      <w:pPr>
        <w:pStyle w:val="FirstParagraph"/>
      </w:pPr>
      <w:r>
        <w:t xml:space="preserve">Até aqui, o mercado de trabalho era uma democracia: muitos vendedores, muitos compradores, ninguém mandando no preço. Mas pergunte a um professor em cidade pequena do interior, onde a prefeitura é a única empregadora com carteira assinada, se o mercado parece competitivo. Quando há poder de mercado do lado da demanda — isto é, quando uma firma (ou poucas firmas) é a única compradora de trabalho em uma região ou ocupação —, entramos no território do monopsônio, o espelho do monopólio no mercado de bens. O resultado é previsível e desagradável: salários abaixo da produtividade e emprego inferior ao socialmente ótimo.</w:t>
      </w:r>
    </w:p>
    <w:p>
      <w:pPr>
        <w:pStyle w:val="BlockText"/>
      </w:pPr>
      <w:r>
        <w:rPr>
          <w:b/>
          <w:bCs/>
        </w:rPr>
        <w:t xml:space="preserve">[DEFINICAO] Monopsônio</w:t>
      </w:r>
    </w:p>
    <w:p>
      <w:pPr>
        <w:pStyle w:val="BlockText"/>
      </w:pPr>
      <w:r>
        <w:rPr>
          <w:b/>
          <w:bCs/>
        </w:rPr>
        <w:t xml:space="preserve">Monopsônio</w:t>
      </w:r>
      <w:r>
        <w:t xml:space="preserve"> </w:t>
      </w:r>
      <w:r>
        <w:t xml:space="preserve">é a estrutura de mercado em que existe um único comprador de trabalho (ou poucos compradores com poder de mercado). Nessa situação, a firma não é tomadora de salário: ao contratar mais trabalhadores, ela eleva o salário de mercado.</w:t>
      </w:r>
    </w:p>
    <w:bookmarkStart w:id="1086" w:name="maximização-de-lucro-do-monopsonista"/>
    <w:p>
      <w:pPr>
        <w:pStyle w:val="Heading4"/>
      </w:pPr>
      <w:r>
        <w:t xml:space="preserve">Maximização de lucro do monopsonista</w:t>
      </w:r>
    </w:p>
    <w:p>
      <w:pPr>
        <w:pStyle w:val="FirstParagraph"/>
      </w:pPr>
      <w:r>
        <w:t xml:space="preserve">Para o monopsonista, a oferta de trabalho é a curva de oferta do mercado:</w:t>
      </w:r>
      <w:r>
        <w:t xml:space="preserve"> </w:t>
      </w:r>
      <m:oMath>
        <m:r>
          <m:t>w</m:t>
        </m:r>
        <m:r>
          <m:rPr>
            <m:sty m:val="p"/>
          </m:rPr>
          <m:t>=</m:t>
        </m:r>
        <m:r>
          <m:t>w</m:t>
        </m:r>
        <m:r>
          <m:rPr>
            <m:sty m:val="p"/>
          </m:rPr>
          <m:t>(</m:t>
        </m:r>
        <m:r>
          <m:t>H</m:t>
        </m:r>
        <m:r>
          <m:rPr>
            <m:sty m:val="p"/>
          </m:rPr>
          <m:t>)</m:t>
        </m:r>
      </m:oMath>
      <w:r>
        <w:t xml:space="preserve">, com</w:t>
      </w:r>
      <w:r>
        <w:t xml:space="preserve"> </w:t>
      </w:r>
      <m:oMath>
        <m:sSup>
          <m:e>
            <m:r>
              <m:t>w</m:t>
            </m:r>
          </m:e>
          <m:sup>
            <m:r>
              <m:rPr>
                <m:sty m:val="p"/>
              </m:rPr>
              <m:t>′</m:t>
            </m:r>
          </m:sup>
        </m:sSup>
        <m:r>
          <m:rPr>
            <m:sty m:val="p"/>
          </m:rPr>
          <m:t>(</m:t>
        </m:r>
        <m:r>
          <m:t>H</m:t>
        </m:r>
        <m:r>
          <m:rPr>
            <m:sty m:val="p"/>
          </m:rPr>
          <m:t>)</m:t>
        </m:r>
        <m:r>
          <m:rPr>
            <m:sty m:val="p"/>
          </m:rPr>
          <m:t>&gt;</m:t>
        </m:r>
        <m:r>
          <m:t>0</m:t>
        </m:r>
      </m:oMath>
      <w:r>
        <w:t xml:space="preserve">. O custo total do trabalho é:</w:t>
      </w:r>
    </w:p>
    <w:p>
      <w:pPr>
        <w:pStyle w:val="BodyText"/>
      </w:pPr>
      <m:oMathPara>
        <m:oMathParaPr>
          <m:jc m:val="center"/>
        </m:oMathParaPr>
        <m:oMath>
          <m:r>
            <m:t>C</m:t>
          </m:r>
          <m:sSub>
            <m:e>
              <m:r>
                <m:t>T</m:t>
              </m:r>
            </m:e>
            <m:sub>
              <m:r>
                <m:t>L</m:t>
              </m:r>
            </m:sub>
          </m:sSub>
          <m:r>
            <m:rPr>
              <m:sty m:val="p"/>
            </m:rPr>
            <m:t>=</m:t>
          </m:r>
          <m:r>
            <m:t>w</m:t>
          </m:r>
          <m:r>
            <m:rPr>
              <m:sty m:val="p"/>
            </m:rPr>
            <m:t>(</m:t>
          </m:r>
          <m:r>
            <m:t>H</m:t>
          </m:r>
          <m:r>
            <m:rPr>
              <m:sty m:val="p"/>
            </m:rPr>
            <m:t>)</m:t>
          </m:r>
          <m:r>
            <m:rPr>
              <m:sty m:val="p"/>
            </m:rPr>
            <m:t>⋅</m:t>
          </m:r>
          <m:r>
            <m:t>H</m:t>
          </m:r>
        </m:oMath>
      </m:oMathPara>
    </w:p>
    <w:p>
      <w:pPr>
        <w:pStyle w:val="FirstParagraph"/>
      </w:pPr>
      <w:r>
        <w:t xml:space="preserve">O</w:t>
      </w:r>
      <w:r>
        <w:t xml:space="preserve"> </w:t>
      </w:r>
      <w:r>
        <w:rPr>
          <w:b/>
          <w:bCs/>
        </w:rPr>
        <w:t xml:space="preserve">custo marginal do trabalho</w:t>
      </w:r>
      <w:r>
        <w:t xml:space="preserve"> </w:t>
      </w:r>
      <w:r>
        <w:t xml:space="preserve">(despesa marginal) é:</w:t>
      </w:r>
    </w:p>
    <w:p>
      <w:pPr>
        <w:pStyle w:val="BodyText"/>
      </w:pPr>
      <m:oMathPara>
        <m:oMathParaPr>
          <m:jc m:val="center"/>
        </m:oMathParaPr>
        <m:oMath>
          <m:r>
            <m:t>C</m:t>
          </m:r>
          <m:r>
            <m:t>M</m:t>
          </m:r>
          <m:sSub>
            <m:e>
              <m:r>
                <m:t>g</m:t>
              </m:r>
            </m:e>
            <m:sub>
              <m:r>
                <m:t>L</m:t>
              </m:r>
            </m:sub>
          </m:sSub>
          <m:r>
            <m:rPr>
              <m:sty m:val="p"/>
            </m:rPr>
            <m:t>=</m:t>
          </m:r>
          <m:f>
            <m:fPr>
              <m:type m:val="bar"/>
            </m:fPr>
            <m:num>
              <m:r>
                <m:t>d</m:t>
              </m:r>
              <m:r>
                <m:t>C</m:t>
              </m:r>
              <m:sSub>
                <m:e>
                  <m:r>
                    <m:t>T</m:t>
                  </m:r>
                </m:e>
                <m:sub>
                  <m:r>
                    <m:t>L</m:t>
                  </m:r>
                </m:sub>
              </m:sSub>
            </m:num>
            <m:den>
              <m:r>
                <m:t>d</m:t>
              </m:r>
              <m:r>
                <m:t>H</m:t>
              </m:r>
            </m:den>
          </m:f>
          <m:r>
            <m:rPr>
              <m:sty m:val="p"/>
            </m:rPr>
            <m:t>=</m:t>
          </m:r>
          <m:r>
            <m:t>w</m:t>
          </m:r>
          <m:r>
            <m:rPr>
              <m:sty m:val="p"/>
            </m:rPr>
            <m:t>(</m:t>
          </m:r>
          <m:r>
            <m:t>H</m:t>
          </m:r>
          <m:r>
            <m:rPr>
              <m:sty m:val="p"/>
            </m:rPr>
            <m:t>)</m:t>
          </m:r>
          <m:r>
            <m:rPr>
              <m:sty m:val="p"/>
            </m:rPr>
            <m:t>+</m:t>
          </m:r>
          <m:r>
            <m:t>H</m:t>
          </m:r>
          <m:r>
            <m:rPr>
              <m:sty m:val="p"/>
            </m:rPr>
            <m:t>⋅</m:t>
          </m:r>
          <m:sSup>
            <m:e>
              <m:r>
                <m:t>w</m:t>
              </m:r>
            </m:e>
            <m:sup>
              <m:r>
                <m:rPr>
                  <m:sty m:val="p"/>
                </m:rPr>
                <m:t>′</m:t>
              </m:r>
            </m:sup>
          </m:sSup>
          <m:r>
            <m:rPr>
              <m:sty m:val="p"/>
            </m:rPr>
            <m:t>(</m:t>
          </m:r>
          <m:r>
            <m:t>H</m:t>
          </m:r>
          <m:r>
            <m:rPr>
              <m:sty m:val="p"/>
            </m:rPr>
            <m:t>)</m:t>
          </m:r>
          <m:r>
            <m:rPr>
              <m:sty m:val="p"/>
            </m:rPr>
            <m:t>&gt;</m:t>
          </m:r>
          <m:r>
            <m:t>w</m:t>
          </m:r>
          <m:r>
            <m:rPr>
              <m:sty m:val="p"/>
            </m:rPr>
            <m:t>(</m:t>
          </m:r>
          <m:r>
            <m:t>H</m:t>
          </m:r>
          <m:r>
            <m:rPr>
              <m:sty m:val="p"/>
            </m:rPr>
            <m:t>)</m:t>
          </m:r>
        </m:oMath>
      </m:oMathPara>
    </w:p>
    <w:p>
      <w:pPr>
        <w:pStyle w:val="FirstParagraph"/>
      </w:pPr>
      <w:r>
        <w:t xml:space="preserve">O monopsonista contrata até que:</w:t>
      </w:r>
    </w:p>
    <w:p>
      <w:pPr>
        <w:pStyle w:val="BodyText"/>
      </w:pPr>
      <w:r>
        <w:t xml:space="preserve">$$
    VPMg_L = CMg_L
    \label{eq:17.15} \tag{17.15} 
    $$</w:t>
      </w:r>
    </w:p>
    <w:p>
      <w:pPr>
        <w:pStyle w:val="FirstParagraph"/>
      </w:pPr>
      <w:r>
        <w:t xml:space="preserve">Isso resulta em:</w:t>
      </w:r>
    </w:p>
    <w:p>
      <w:pPr>
        <w:pStyle w:val="Compact"/>
        <w:numPr>
          <w:ilvl w:val="0"/>
          <w:numId w:val="1938"/>
        </w:numPr>
      </w:pPr>
      <w:r>
        <w:rPr>
          <w:b/>
          <w:bCs/>
        </w:rPr>
        <w:t xml:space="preserve">Emprego menor</w:t>
      </w:r>
      <w:r>
        <w:t xml:space="preserve"> </w:t>
      </w:r>
      <w:r>
        <w:t xml:space="preserve">do que no equilíbrio competitivo;</w:t>
      </w:r>
    </w:p>
    <w:p>
      <w:pPr>
        <w:pStyle w:val="Compact"/>
        <w:numPr>
          <w:ilvl w:val="0"/>
          <w:numId w:val="1938"/>
        </w:numPr>
      </w:pPr>
      <w:r>
        <w:rPr>
          <w:b/>
          <w:bCs/>
        </w:rPr>
        <w:t xml:space="preserve">Salário menor</w:t>
      </w:r>
      <w:r>
        <w:t xml:space="preserve"> </w:t>
      </w:r>
      <w:r>
        <w:t xml:space="preserve">do que no equilíbrio competitivo.</w:t>
      </w:r>
    </w:p>
    <w:p>
      <w:pPr>
        <w:pStyle w:val="FirstParagraph"/>
      </w:pPr>
      <w:r>
        <w:t xml:space="preserve">A diferença</w:t>
      </w:r>
      <w:r>
        <w:t xml:space="preserve"> </w:t>
      </w:r>
      <m:oMath>
        <m:r>
          <m:t>V</m:t>
        </m:r>
        <m:r>
          <m:t>P</m:t>
        </m:r>
        <m:r>
          <m:t>M</m:t>
        </m:r>
        <m:sSub>
          <m:e>
            <m:r>
              <m:t>g</m:t>
            </m:r>
          </m:e>
          <m:sub>
            <m:r>
              <m:t>L</m:t>
            </m:r>
          </m:sub>
        </m:sSub>
        <m:r>
          <m:rPr>
            <m:sty m:val="p"/>
          </m:rPr>
          <m:t>−</m:t>
        </m:r>
        <m:r>
          <m:t>w</m:t>
        </m:r>
      </m:oMath>
      <w:r>
        <w:t xml:space="preserve"> </w:t>
      </w:r>
      <w:r>
        <w:t xml:space="preserve">é a</w:t>
      </w:r>
      <w:r>
        <w:t xml:space="preserve"> </w:t>
      </w:r>
      <w:r>
        <w:rPr>
          <w:b/>
          <w:bCs/>
        </w:rPr>
        <w:t xml:space="preserve">exploração monopsonística</w:t>
      </w:r>
      <w:r>
        <w:t xml:space="preserve"> </w:t>
      </w:r>
      <w:r>
        <w:t xml:space="preserve">(no sentido de Joan Robinson).</w:t>
      </w:r>
    </w:p>
    <w:p>
      <w:pPr>
        <w:pStyle w:val="BlockText"/>
      </w:pPr>
      <w:r>
        <w:rPr>
          <w:b/>
          <w:bCs/>
        </w:rPr>
        <w:t xml:space="preserve">[INTUICAO ECONOMICA] Intuição Econômica</w:t>
      </w:r>
    </w:p>
    <w:p>
      <w:pPr>
        <w:pStyle w:val="BlockText"/>
      </w:pPr>
      <w:r>
        <w:rPr>
          <w:b/>
          <w:bCs/>
        </w:rPr>
        <w:t xml:space="preserve">Em uma frase:</w:t>
      </w:r>
      <w:r>
        <w:t xml:space="preserve"> </w:t>
      </w:r>
      <w:r>
        <w:t xml:space="preserve">Quando há um único grande empregador na região, ele pode pagar salários abaixo da produtividade dos trabalhadores porque eles não têm para onde ir.</w:t>
      </w:r>
    </w:p>
    <w:p>
      <w:pPr>
        <w:pStyle w:val="BlockText"/>
      </w:pPr>
      <w:r>
        <w:rPr>
          <w:b/>
          <w:bCs/>
        </w:rPr>
        <w:t xml:space="preserve">Pense assim:</w:t>
      </w:r>
      <w:r>
        <w:t xml:space="preserve"> </w:t>
      </w:r>
      <w:r>
        <w:t xml:space="preserve">Em muitas cidades pequenas do interior do Brasil, a prefeitura ou uma única fábrica é praticamente a única empregadora formal. Se o trabalhador pede aumento, não tem concorrente para onde migrar. O empregador sabe disso e mantém salários baixos, mesmo que o trabalhador produza muito mais do que recebe.</w:t>
      </w:r>
    </w:p>
    <w:p>
      <w:pPr>
        <w:pStyle w:val="BlockText"/>
      </w:pPr>
      <w:r>
        <w:rPr>
          <w:b/>
          <w:bCs/>
        </w:rPr>
        <w:t xml:space="preserve">Por que isso importa:</w:t>
      </w:r>
      <w:r>
        <w:t xml:space="preserve"> </w:t>
      </w:r>
      <w:r>
        <w:t xml:space="preserve">Em mercados monopsonísticos, um salário mínimo bem calibrado pode, paradoxalmente, aumentar emprego e salário ao mesmo tempo — uma das conclusões mais contraintuitivas da economia do trabalho.</w:t>
      </w:r>
    </w:p>
    <w:bookmarkEnd w:id="1086"/>
    <w:bookmarkStart w:id="1087" w:name="X21fe384bf094a5a69bc86695a8b81d7650cc2ab"/>
    <w:p>
      <w:pPr>
        <w:pStyle w:val="Heading4"/>
      </w:pPr>
      <w:r>
        <w:t xml:space="preserve">O</w:t>
      </w:r>
      <w:r>
        <w:t xml:space="preserve"> </w:t>
      </w:r>
      <w:r>
        <w:t xml:space="preserve">“novo monopsônio”</w:t>
      </w:r>
      <w:r>
        <w:t xml:space="preserve">: poder de mercado sem ser o único empregador</w:t>
      </w:r>
    </w:p>
    <w:p>
      <w:pPr>
        <w:pStyle w:val="FirstParagraph"/>
      </w:pPr>
      <w:r>
        <w:t xml:space="preserve">O modelo clássico de monopsônio — uma única firma em uma cidade isolada — pode parecer uma construção teórica com aplicações limitadas. Mas a partir dos anos 2000, uma revolução na economia do trabalho mostrou que o poder monopsonístico é muito mais disseminado do que se pensava. O trabalho seminal de Alan Manning (2003,</w:t>
      </w:r>
      <w:r>
        <w:t xml:space="preserve"> </w:t>
      </w:r>
      <w:r>
        <w:rPr>
          <w:i/>
          <w:iCs/>
        </w:rPr>
        <w:t xml:space="preserve">Monopsony in Motion</w:t>
      </w:r>
      <w:r>
        <w:t xml:space="preserve">) demonstrou que</w:t>
      </w:r>
      <w:r>
        <w:t xml:space="preserve"> </w:t>
      </w:r>
      <w:r>
        <w:rPr>
          <w:b/>
          <w:bCs/>
        </w:rPr>
        <w:t xml:space="preserve">custos de mobilidade, fricções de busca e informação imperfeita</w:t>
      </w:r>
      <w:r>
        <w:t xml:space="preserve"> </w:t>
      </w:r>
      <w:r>
        <w:t xml:space="preserve">conferem às firmas poder de mercado sobre seus trabalhadores mesmo em mercados com múltiplos empregadores. Essa abordagem, conhecida como</w:t>
      </w:r>
      <w:r>
        <w:t xml:space="preserve"> </w:t>
      </w:r>
      <w:r>
        <w:t xml:space="preserve">“novo monopsônio”</w:t>
      </w:r>
      <w:r>
        <w:t xml:space="preserve"> </w:t>
      </w:r>
      <w:r>
        <w:t xml:space="preserve">(</w:t>
      </w:r>
      <w:r>
        <w:rPr>
          <w:i/>
          <w:iCs/>
        </w:rPr>
        <w:t xml:space="preserve">new monopsony</w:t>
      </w:r>
      <w:r>
        <w:t xml:space="preserve">), tem implicações profundas para a análise do mercado de trabalho.</w:t>
      </w:r>
    </w:p>
    <w:p>
      <w:pPr>
        <w:pStyle w:val="BodyText"/>
      </w:pPr>
      <w:r>
        <w:t xml:space="preserve">A ideia central é simples: se um trabalhador não pode instantaneamente e sem custo encontrar um emprego equivalente em outra firma, então seu empregador atual detém algum poder de monopsônio sobre ele. As fontes desse poder incluem:</w:t>
      </w:r>
    </w:p>
    <w:p>
      <w:pPr>
        <w:pStyle w:val="Compact"/>
        <w:numPr>
          <w:ilvl w:val="0"/>
          <w:numId w:val="1939"/>
        </w:numPr>
      </w:pPr>
      <w:r>
        <w:rPr>
          <w:b/>
          <w:bCs/>
        </w:rPr>
        <w:t xml:space="preserve">Custos de busca:</w:t>
      </w:r>
      <w:r>
        <w:t xml:space="preserve"> </w:t>
      </w:r>
      <w:r>
        <w:t xml:space="preserve">encontrar um novo emprego requer tempo, esforço e, frequentemente, custos financeiros (deslocamento para entrevistas, períodos sem salário).</w:t>
      </w:r>
    </w:p>
    <w:p>
      <w:pPr>
        <w:pStyle w:val="Compact"/>
        <w:numPr>
          <w:ilvl w:val="0"/>
          <w:numId w:val="1939"/>
        </w:numPr>
      </w:pPr>
      <w:r>
        <w:rPr>
          <w:b/>
          <w:bCs/>
        </w:rPr>
        <w:t xml:space="preserve">Custos de mudança geográfica:</w:t>
      </w:r>
      <w:r>
        <w:t xml:space="preserve"> </w:t>
      </w:r>
      <w:r>
        <w:t xml:space="preserve">se as alternativas de emprego estão em outra cidade, os custos de mudança (moradia, escola dos filhos, redes sociais) criam uma barreira significativa.</w:t>
      </w:r>
    </w:p>
    <w:p>
      <w:pPr>
        <w:pStyle w:val="Compact"/>
        <w:numPr>
          <w:ilvl w:val="0"/>
          <w:numId w:val="1939"/>
        </w:numPr>
      </w:pPr>
      <w:r>
        <w:rPr>
          <w:b/>
          <w:bCs/>
        </w:rPr>
        <w:t xml:space="preserve">Informação imperfeita:</w:t>
      </w:r>
      <w:r>
        <w:t xml:space="preserve"> </w:t>
      </w:r>
      <w:r>
        <w:t xml:space="preserve">trabalhadores nem sempre conhecem todas as vagas disponíveis e suas condições — especialmente em mercados informais.</w:t>
      </w:r>
    </w:p>
    <w:p>
      <w:pPr>
        <w:pStyle w:val="Compact"/>
        <w:numPr>
          <w:ilvl w:val="0"/>
          <w:numId w:val="1939"/>
        </w:numPr>
      </w:pPr>
      <w:r>
        <w:rPr>
          <w:b/>
          <w:bCs/>
        </w:rPr>
        <w:t xml:space="preserve">Preferências heterogêneas por empregador:</w:t>
      </w:r>
      <w:r>
        <w:t xml:space="preserve"> </w:t>
      </w:r>
      <w:r>
        <w:t xml:space="preserve">trabalhadores podem preferir certas firmas por localização, ambiente de trabalho ou horário, mesmo que paguem menos.</w:t>
      </w:r>
    </w:p>
    <w:p>
      <w:pPr>
        <w:pStyle w:val="Compact"/>
        <w:numPr>
          <w:ilvl w:val="0"/>
          <w:numId w:val="1939"/>
        </w:numPr>
      </w:pPr>
      <w:r>
        <w:rPr>
          <w:b/>
          <w:bCs/>
        </w:rPr>
        <w:t xml:space="preserve">Concentração do mercado de trabalho:</w:t>
      </w:r>
      <w:r>
        <w:t xml:space="preserve"> </w:t>
      </w:r>
      <w:r>
        <w:t xml:space="preserve">em muitos mercados de trabalho locais (definidos por ocupação × região), poucas firmas respondem pela maioria das contratações.</w:t>
      </w:r>
    </w:p>
    <w:p>
      <w:pPr>
        <w:pStyle w:val="FirstParagraph"/>
      </w:pPr>
      <w:r>
        <w:t xml:space="preserve">Estudos recentes sobre</w:t>
      </w:r>
      <w:r>
        <w:t xml:space="preserve"> </w:t>
      </w:r>
      <w:r>
        <w:rPr>
          <w:b/>
          <w:bCs/>
        </w:rPr>
        <w:t xml:space="preserve">concentração do mercado de trabalho</w:t>
      </w:r>
      <w:r>
        <w:t xml:space="preserve"> </w:t>
      </w:r>
      <w:r>
        <w:t xml:space="preserve">(Azar, Marinescu e Steinbaum, 2022) documentaram que muitos mercados de trabalho locais nos EUA são altamente concentrados — com índices Herfindahl-Hirschman (HHI) comparáveis aos de mercados de bens que seriam alvo de regulação antitruste. Mercados mais concentrados apresentam salários significativamente menores, mesmo controlando para produtividade. No Brasil, onde a combinação de grandes distâncias, informalidade e baixa mobilidade geográfica é particularmente acentuada, o poder monopsonístico pode ser ainda mais relevante.</w:t>
      </w:r>
    </w:p>
    <w:p>
      <w:pPr>
        <w:pStyle w:val="BodyText"/>
      </w:pPr>
      <w:r>
        <w:t xml:space="preserve">O novo monopsônio tem implicações diretas para políticas públicas. Se as firmas detêm poder de mercado sobre os trabalhadores, então: (i) o salário mínimo pode elevar o emprego (como no modelo clássico); (ii) políticas que aumentam a transparência salarial e facilitam a busca por emprego (como plataformas de vagas e obrigatoriedade de divulgação de faixas salariais) podem elevar salários; (iii) a análise antitruste deveria considerar não apenas os efeitos sobre consumidores, mas também sobre trabalhadores — uma fronteira emergente no direito concorrencial.</w:t>
      </w:r>
    </w:p>
    <w:p>
      <w:pPr>
        <w:pStyle w:val="BlockText"/>
      </w:pPr>
      <w:r>
        <w:rPr>
          <w:b/>
          <w:bCs/>
        </w:rPr>
        <w:t xml:space="preserve">[DICA] Monopsônio e salário mínimo</w:t>
      </w:r>
    </w:p>
    <w:p>
      <w:pPr>
        <w:pStyle w:val="BlockText"/>
      </w:pPr>
      <w:r>
        <w:t xml:space="preserve">Uma implicação surpreendente do modelo de monopsônio é que a imposição de um</w:t>
      </w:r>
      <w:r>
        <w:t xml:space="preserve"> </w:t>
      </w:r>
      <w:r>
        <w:rPr>
          <w:b/>
          <w:bCs/>
        </w:rPr>
        <w:t xml:space="preserve">salário mínimo</w:t>
      </w:r>
      <w:r>
        <w:t xml:space="preserve"> </w:t>
      </w:r>
      <w:r>
        <w:t xml:space="preserve">pode, sob certas condições, aumentar</w:t>
      </w:r>
      <w:r>
        <w:t xml:space="preserve"> </w:t>
      </w:r>
      <w:r>
        <w:rPr>
          <w:b/>
          <w:bCs/>
        </w:rPr>
        <w:t xml:space="preserve">simultaneamente</w:t>
      </w:r>
      <w:r>
        <w:t xml:space="preserve"> </w:t>
      </w:r>
      <w:r>
        <w:t xml:space="preserve">o salário e o emprego. Isso ocorre porque o salário mínimo transforma a curva de custo marginal do trabalho em uma linha horizontal até o ponto em que a oferta de trabalho ao salário mínimo se esgota, eliminando o incentivo do monopsonista a restringir contratações.</w:t>
      </w:r>
    </w:p>
    <w:p>
      <w:r>
        <w:pict>
          <v:rect style="width:0;height:1.5pt" o:hralign="center" o:hrstd="t" o:hr="t"/>
        </w:pict>
      </w:r>
    </w:p>
    <w:p>
      <w:pPr>
        <w:pStyle w:val="FirstParagraph"/>
      </w:pPr>
      <w:r>
        <w:t xml:space="preserve">O gráfico abaixo mostra o equilíbrio monopsonístico versus o competitivo. A curva de oferta de trabalho</w:t>
      </w:r>
      <w:r>
        <w:t xml:space="preserve"> </w:t>
      </w:r>
      <m:oMath>
        <m:r>
          <m:t>S</m:t>
        </m:r>
        <m:r>
          <m:rPr>
            <m:sty m:val="p"/>
          </m:rPr>
          <m:t>(</m:t>
        </m:r>
        <m:r>
          <m:t>w</m:t>
        </m:r>
        <m:r>
          <m:rPr>
            <m:sty m:val="p"/>
          </m:rPr>
          <m:t>)</m:t>
        </m:r>
      </m:oMath>
      <w:r>
        <w:t xml:space="preserve">, o custo marginal do trabalho (CMgL) e a curva de valor do produto marginal (VPMgL) determinam o emprego e o salário. A diferença entre VPMg e o salário pago no monopsônio é a exploração monopsonística.</w:t>
      </w:r>
    </w:p>
    <w:p>
      <w:pPr>
        <w:pStyle w:val="BodyText"/>
      </w:pPr>
      <w:r>
        <w:t xml:space="preserve">[FIGURA INTERATIVA: /micro-book/graficos/cap17/monopsonio.html — versao interativa disponivel online]</w:t>
      </w:r>
    </w:p>
    <w:p>
      <w:pPr>
        <w:pStyle w:val="BodyText"/>
      </w:pPr>
      <w:r>
        <w:rPr>
          <w:b/>
          <w:bCs/>
        </w:rPr>
        <w:t xml:space="preserve">Figura 17.3 — Equilíbrio monopsonístico versus competitivo no mercado de trabalho.</w:t>
      </w:r>
      <w:r>
        <w:t xml:space="preserve"> </w:t>
      </w:r>
      <w:r>
        <w:t xml:space="preserve">A diferença entre VPMg e o salário pago no monopsônio é a exploração monopsonística.</w:t>
      </w:r>
    </w:p>
    <w:p>
      <w:r>
        <w:pict>
          <v:rect style="width:0;height:1.5pt" o:hralign="center" o:hrstd="t" o:hr="t"/>
        </w:pict>
      </w:r>
    </w:p>
    <w:p>
      <w:pPr>
        <w:pStyle w:val="BlockText"/>
      </w:pPr>
      <w:r>
        <w:rPr>
          <w:b/>
          <w:bCs/>
        </w:rPr>
        <w:t xml:space="preserve">[BOX MUNDO] Box Mundo 17.2 — Card e Krueger e a revolução do salário mínimo</w:t>
      </w:r>
    </w:p>
    <w:p>
      <w:pPr>
        <w:pStyle w:val="BlockText"/>
      </w:pPr>
      <w:r>
        <w:rPr>
          <w:b/>
          <w:bCs/>
        </w:rPr>
        <w:t xml:space="preserve">Contexto:</w:t>
      </w:r>
      <w:r>
        <w:t xml:space="preserve"> </w:t>
      </w:r>
      <w:r>
        <w:t xml:space="preserve">Em 1992, o estado de New Jersey elevou seu salário mínimo de US$ 4,25 para US$ 5,05 por hora, enquanto a vizinha Pennsylvania manteve o mínimo inalterado. Os economistas David Card e Alan Krueger aproveitaram esse</w:t>
      </w:r>
      <w:r>
        <w:t xml:space="preserve"> </w:t>
      </w:r>
      <w:r>
        <w:t xml:space="preserve">“experimento natural”</w:t>
      </w:r>
      <w:r>
        <w:t xml:space="preserve"> </w:t>
      </w:r>
      <w:r>
        <w:t xml:space="preserve">para estimar o efeito causal do salário mínimo sobre o emprego, comparando restaurantes de fast-food nos dois estados antes e depois do aumento — um design de diferenças-em-diferenças que se tornaria um marco na economia empírica.</w:t>
      </w:r>
    </w:p>
    <w:p>
      <w:pPr>
        <w:pStyle w:val="BlockText"/>
      </w:pPr>
      <w:r>
        <w:rPr>
          <w:b/>
          <w:bCs/>
        </w:rPr>
        <w:t xml:space="preserve">Dados:</w:t>
      </w:r>
      <w:r>
        <w:t xml:space="preserve"> </w:t>
      </w:r>
      <w:r>
        <w:t xml:space="preserve">Card e Krueger (1994) pesquisaram 410 restaurantes (Burger King, KFC, Wendy’s, Roy Rogers) ao longo da fronteira NJ-PA. Seus resultados foram surpreendentes:</w:t>
      </w:r>
    </w:p>
    <w:tbl>
      <w:tblPr>
        <w:tblStyle w:val="Table"/>
        <w:tblW w:type="pct" w:w="5000"/>
        <w:tblLayout w:type="fixed"/>
        <w:tblLook w:firstRow="1" w:lastRow="0" w:firstColumn="0" w:lastColumn="0" w:noHBand="0" w:noVBand="0" w:val="0020"/>
      </w:tblPr>
      <w:tblGrid>
        <w:gridCol w:w="1013"/>
        <w:gridCol w:w="2486"/>
        <w:gridCol w:w="2210"/>
        <w:gridCol w:w="2210"/>
      </w:tblGrid>
      <w:tr>
        <w:trPr>
          <w:tblHeader w:val="on"/>
        </w:trPr>
        <w:tc>
          <w:tcPr/>
          <w:p>
            <w:pPr>
              <w:pStyle w:val="Compact"/>
              <w:jc w:val="left"/>
            </w:pPr>
            <w:r>
              <w:t xml:space="preserve">Indicador</w:t>
            </w:r>
          </w:p>
        </w:tc>
        <w:tc>
          <w:tcPr/>
          <w:p>
            <w:pPr>
              <w:pStyle w:val="Compact"/>
              <w:jc w:val="left"/>
            </w:pPr>
            <w:r>
              <w:t xml:space="preserve">New Jersey (aumento do SM)</w:t>
            </w:r>
          </w:p>
        </w:tc>
        <w:tc>
          <w:tcPr/>
          <w:p>
            <w:pPr>
              <w:pStyle w:val="Compact"/>
              <w:jc w:val="left"/>
            </w:pPr>
            <w:r>
              <w:t xml:space="preserve">Pennsylvania (controle)</w:t>
            </w:r>
          </w:p>
        </w:tc>
        <w:tc>
          <w:tcPr/>
          <w:p>
            <w:pPr>
              <w:pStyle w:val="Compact"/>
              <w:jc w:val="left"/>
            </w:pPr>
            <w:r>
              <w:t xml:space="preserve">Diferença-em-diferenças</w:t>
            </w:r>
          </w:p>
        </w:tc>
      </w:tr>
      <w:tr>
        <w:tc>
          <w:tcPr/>
          <w:p>
            <w:pPr>
              <w:pStyle w:val="Compact"/>
              <w:jc w:val="left"/>
            </w:pPr>
            <w:r>
              <w:t xml:space="preserve">Variação no emprego médio (ETI)</w:t>
            </w:r>
          </w:p>
        </w:tc>
        <w:tc>
          <w:tcPr/>
          <w:p>
            <w:pPr>
              <w:pStyle w:val="Compact"/>
              <w:jc w:val="left"/>
            </w:pPr>
            <w:r>
              <w:t xml:space="preserve">+0,59</w:t>
            </w:r>
          </w:p>
        </w:tc>
        <w:tc>
          <w:tcPr/>
          <w:p>
            <w:pPr>
              <w:pStyle w:val="Compact"/>
              <w:jc w:val="left"/>
            </w:pPr>
            <w:r>
              <w:t xml:space="preserve">−2,16</w:t>
            </w:r>
          </w:p>
        </w:tc>
        <w:tc>
          <w:tcPr/>
          <w:p>
            <w:pPr>
              <w:pStyle w:val="Compact"/>
              <w:jc w:val="left"/>
            </w:pPr>
            <w:r>
              <w:rPr>
                <w:b/>
                <w:bCs/>
              </w:rPr>
              <w:t xml:space="preserve">+2,76</w:t>
            </w:r>
          </w:p>
        </w:tc>
      </w:tr>
    </w:tbl>
    <w:p>
      <w:pPr>
        <w:pStyle w:val="BlockText"/>
      </w:pPr>
      <w:r>
        <w:t xml:space="preserve">O emprego em New Jersey não caiu — ao contrário, aumentou relativamente a Pennsylvania. Este resultado desafiou diretamente a previsão do modelo competitivo.</w:t>
      </w:r>
    </w:p>
    <w:p>
      <w:pPr>
        <w:pStyle w:val="BlockText"/>
      </w:pPr>
      <w:r>
        <w:rPr>
          <w:b/>
          <w:bCs/>
        </w:rPr>
        <w:t xml:space="preserve">Análise:</w:t>
      </w:r>
      <w:r>
        <w:t xml:space="preserve"> </w:t>
      </w:r>
      <w:r>
        <w:t xml:space="preserve">O estudo gerou intensa controvérsia. Neumark e Wascher (2000) reanalisaram os dados usando registros administrativos (em vez de pesquisas telefônicas) e encontraram efeitos negativos sobre o emprego. Card e Krueger (2000) responderam com uma nova análise dos mesmos dados administrativos, confirmando seus resultados originais. Meta-análises recentes (Dube, 2019) sugerem que o consenso empírico se moveu significativamente: aumentos moderados do salário mínimo (da ordem de 10%) têm efeitos sobre o emprego</w:t>
      </w:r>
      <w:r>
        <w:t xml:space="preserve"> </w:t>
      </w:r>
      <w:r>
        <w:rPr>
          <w:b/>
          <w:bCs/>
        </w:rPr>
        <w:t xml:space="preserve">próximos de zero ou muito pequenos</w:t>
      </w:r>
      <w:r>
        <w:t xml:space="preserve">, consistentes com modelos de monopsônio ou busca com fricções. Os efeitos negativos, quando existem, concentram-se em aumentos muito grandes ou em mercados com muita competição entre empregadores.</w:t>
      </w:r>
    </w:p>
    <w:p>
      <w:pPr>
        <w:pStyle w:val="BlockText"/>
      </w:pPr>
      <w:r>
        <w:rPr>
          <w:b/>
          <w:bCs/>
        </w:rPr>
        <w:t xml:space="preserve">Para refletir:</w:t>
      </w:r>
      <w:r>
        <w:t xml:space="preserve"> </w:t>
      </w:r>
      <w:r>
        <w:t xml:space="preserve">O debate Card-Krueger ilustra como a evidência empírica pode desafiar modelos teóricos estabelecidos. O modelo competitivo prevê inequivocamente que salários mínimos acima do equilíbrio reduzem o emprego. Se a evidência mostra efeitos nulos ou positivos, isso sugere que o mercado de trabalho não é competitivo — e que modelos com poder monopsonístico (seção 17.7) podem ser mais realistas. Qual modelo melhor descreve o mercado de trabalho do seu bairro?</w:t>
      </w:r>
    </w:p>
    <w:p>
      <w:r>
        <w:pict>
          <v:rect style="width:0;height:1.5pt" o:hralign="center" o:hrstd="t" o:hr="t"/>
        </w:pict>
      </w:r>
    </w:p>
    <w:bookmarkEnd w:id="1087"/>
    <w:bookmarkEnd w:id="1088"/>
    <w:bookmarkStart w:id="1089" w:name="exercícios-resolvidos-7"/>
    <w:p>
      <w:pPr>
        <w:pStyle w:val="Heading3"/>
      </w:pPr>
      <w:r>
        <w:t xml:space="preserve">Exercícios Resolvidos</w:t>
      </w:r>
    </w:p>
    <w:p>
      <w:pPr>
        <w:pStyle w:val="BlockText"/>
      </w:pPr>
      <w:r>
        <w:rPr>
          <w:b/>
          <w:bCs/>
        </w:rPr>
        <w:t xml:space="preserve">[EXERCICIO RESOLVIDO] Exercício Resolvido 17.2</w:t>
      </w:r>
    </w:p>
    <w:p>
      <w:pPr>
        <w:pStyle w:val="BlockText"/>
      </w:pPr>
      <w:r>
        <w:rPr>
          <w:b/>
          <w:bCs/>
        </w:rPr>
        <w:t xml:space="preserve">Enunciado:</w:t>
      </w:r>
      <w:r>
        <w:t xml:space="preserve"> </w:t>
      </w:r>
      <w:r>
        <w:t xml:space="preserve">Uma firma monopsonista enfrenta a curva de oferta de trabalho</w:t>
      </w:r>
      <w:r>
        <w:t xml:space="preserve"> </w:t>
      </w:r>
      <m:oMath>
        <m:r>
          <m:t>w</m:t>
        </m:r>
        <m:r>
          <m:rPr>
            <m:sty m:val="p"/>
          </m:rPr>
          <m:t>=</m:t>
        </m:r>
        <m:r>
          <m:t>4</m:t>
        </m:r>
        <m:r>
          <m:rPr>
            <m:sty m:val="p"/>
          </m:rPr>
          <m:t>+</m:t>
        </m:r>
        <m:r>
          <m:t>2</m:t>
        </m:r>
        <m:r>
          <m:t>H</m:t>
        </m:r>
      </m:oMath>
      <w:r>
        <w:t xml:space="preserve"> </w:t>
      </w:r>
      <w:r>
        <w:t xml:space="preserve">e possui valor do produto marginal</w:t>
      </w:r>
      <w:r>
        <w:t xml:space="preserve"> </w:t>
      </w:r>
      <m:oMath>
        <m:r>
          <m:t>V</m:t>
        </m:r>
        <m:r>
          <m:t>P</m:t>
        </m:r>
        <m:r>
          <m:t>M</m:t>
        </m:r>
        <m:sSub>
          <m:e>
            <m:r>
              <m:t>g</m:t>
            </m:r>
          </m:e>
          <m:sub>
            <m:r>
              <m:t>L</m:t>
            </m:r>
          </m:sub>
        </m:sSub>
        <m:r>
          <m:rPr>
            <m:sty m:val="p"/>
          </m:rPr>
          <m:t>=</m:t>
        </m:r>
        <m:r>
          <m:t>100</m:t>
        </m:r>
        <m:r>
          <m:rPr>
            <m:sty m:val="p"/>
          </m:rPr>
          <m:t>−</m:t>
        </m:r>
        <m:r>
          <m:t>2</m:t>
        </m:r>
        <m:r>
          <m:t>H</m:t>
        </m:r>
      </m:oMath>
      <w:r>
        <w:t xml:space="preserve">. (a) Encontre o equilíbrio competitivo. (b) Encontre o equilíbrio monopsonístico e calcule a exploração. (c) Se o governo impõe um salário mínimo igual ao competitivo, qual o efeito sobre emprego e salário no monopsônio?</w:t>
      </w:r>
    </w:p>
    <w:p>
      <w:pPr>
        <w:pStyle w:val="BlockText"/>
      </w:pPr>
      <w:r>
        <w:rPr>
          <w:b/>
          <w:bCs/>
        </w:rPr>
        <w:t xml:space="preserve">Dados:</w:t>
      </w:r>
      <w:r>
        <w:t xml:space="preserve"> </w:t>
      </w:r>
      <m:oMath>
        <m:r>
          <m:t>w</m:t>
        </m:r>
        <m:r>
          <m:rPr>
            <m:sty m:val="p"/>
          </m:rPr>
          <m:t>(</m:t>
        </m:r>
        <m:r>
          <m:t>H</m:t>
        </m:r>
        <m:r>
          <m:rPr>
            <m:sty m:val="p"/>
          </m:rPr>
          <m:t>)</m:t>
        </m:r>
        <m:r>
          <m:rPr>
            <m:sty m:val="p"/>
          </m:rPr>
          <m:t>=</m:t>
        </m:r>
        <m:r>
          <m:t>4</m:t>
        </m:r>
        <m:r>
          <m:rPr>
            <m:sty m:val="p"/>
          </m:rPr>
          <m:t>+</m:t>
        </m:r>
        <m:r>
          <m:t>2</m:t>
        </m:r>
        <m:r>
          <m:t>H</m:t>
        </m:r>
      </m:oMath>
      <w:r>
        <w:t xml:space="preserve">;</w:t>
      </w:r>
      <w:r>
        <w:t xml:space="preserve"> </w:t>
      </w:r>
      <m:oMath>
        <m:r>
          <m:t>V</m:t>
        </m:r>
        <m:r>
          <m:t>P</m:t>
        </m:r>
        <m:r>
          <m:t>M</m:t>
        </m:r>
        <m:sSub>
          <m:e>
            <m:r>
              <m:t>g</m:t>
            </m:r>
          </m:e>
          <m:sub>
            <m:r>
              <m:t>L</m:t>
            </m:r>
          </m:sub>
        </m:sSub>
        <m:r>
          <m:rPr>
            <m:sty m:val="p"/>
          </m:rPr>
          <m:t>=</m:t>
        </m:r>
        <m:r>
          <m:t>100</m:t>
        </m:r>
        <m:r>
          <m:rPr>
            <m:sty m:val="p"/>
          </m:rPr>
          <m:t>−</m:t>
        </m:r>
        <m:r>
          <m:t>2</m:t>
        </m:r>
        <m:r>
          <m:t>H</m:t>
        </m:r>
      </m:oMath>
      <w:r>
        <w:t xml:space="preserve">.</w:t>
      </w:r>
    </w:p>
    <w:p>
      <w:pPr>
        <w:pStyle w:val="BlockText"/>
      </w:pPr>
      <w:r>
        <w:rPr>
          <w:b/>
          <w:bCs/>
        </w:rPr>
        <w:t xml:space="preserve">Resolução:</w:t>
      </w:r>
    </w:p>
    <w:p>
      <w:pPr>
        <w:pStyle w:val="BlockText"/>
      </w:pPr>
      <w:r>
        <w:rPr>
          <w:b/>
          <w:bCs/>
        </w:rPr>
        <w:t xml:space="preserve">Passo 1 — Equilíbrio competitivo</w:t>
      </w:r>
    </w:p>
    <w:p>
      <w:pPr>
        <w:pStyle w:val="BlockText"/>
      </w:pPr>
      <w:r>
        <w:t xml:space="preserve">No equilíbrio competitivo,</w:t>
      </w:r>
      <w:r>
        <w:t xml:space="preserve"> </w:t>
      </w:r>
      <m:oMath>
        <m:r>
          <m:t>V</m:t>
        </m:r>
        <m:r>
          <m:t>P</m:t>
        </m:r>
        <m:r>
          <m:t>M</m:t>
        </m:r>
        <m:sSub>
          <m:e>
            <m:r>
              <m:t>g</m:t>
            </m:r>
          </m:e>
          <m:sub>
            <m:r>
              <m:t>L</m:t>
            </m:r>
          </m:sub>
        </m:sSub>
        <m:r>
          <m:rPr>
            <m:sty m:val="p"/>
          </m:rPr>
          <m:t>=</m:t>
        </m:r>
        <m:r>
          <m:t>w</m:t>
        </m:r>
      </m:oMath>
      <w:r>
        <w:t xml:space="preserve">:</w:t>
      </w:r>
    </w:p>
    <w:p>
      <w:pPr>
        <w:pStyle w:val="BlockText"/>
      </w:pPr>
      <w:r>
        <w:t xml:space="preserve">$$</w:t>
      </w:r>
    </w:p>
    <w:p>
      <w:pPr>
        <w:pStyle w:val="BlockText"/>
      </w:pPr>
      <w:r>
        <w:t xml:space="preserve">100 - 2H = 4 + 2H ;</w:t>
      </w:r>
      <w:r>
        <w:t xml:space="preserve">; 96 = 4H ;</w:t>
      </w:r>
      <w:r>
        <w:t xml:space="preserve">; H_c = 24,</w:t>
      </w:r>
      <w:r>
        <w:t xml:space="preserve"> </w:t>
      </w:r>
      <w:r>
        <w:t xml:space="preserve">w_c = 4 + 2(24) = 52</w:t>
      </w:r>
    </w:p>
    <w:p>
      <w:pPr>
        <w:pStyle w:val="BlockText"/>
      </w:pPr>
      <w:r>
        <w:t xml:space="preserve">$$</w:t>
      </w:r>
    </w:p>
    <w:p>
      <w:pPr>
        <w:pStyle w:val="BlockText"/>
      </w:pPr>
      <w:r>
        <w:rPr>
          <w:b/>
          <w:bCs/>
        </w:rPr>
        <w:t xml:space="preserve">Passo 2 — Equilíbrio monopsonístico</w:t>
      </w:r>
    </w:p>
    <w:p>
      <w:pPr>
        <w:pStyle w:val="BlockText"/>
      </w:pPr>
      <w:r>
        <w:t xml:space="preserve">O custo total do trabalho é</w:t>
      </w:r>
      <w:r>
        <w:t xml:space="preserve"> </w:t>
      </w:r>
      <m:oMath>
        <m:r>
          <m:t>C</m:t>
        </m:r>
        <m:sSub>
          <m:e>
            <m:r>
              <m:t>T</m:t>
            </m:r>
          </m:e>
          <m:sub>
            <m:r>
              <m:t>L</m:t>
            </m:r>
          </m:sub>
        </m:sSub>
        <m:r>
          <m:rPr>
            <m:sty m:val="p"/>
          </m:rPr>
          <m:t>=</m:t>
        </m:r>
        <m:r>
          <m:t>w</m:t>
        </m:r>
        <m:r>
          <m:rPr>
            <m:sty m:val="p"/>
          </m:rPr>
          <m:t>⋅</m:t>
        </m:r>
        <m:r>
          <m:t>H</m:t>
        </m:r>
        <m:r>
          <m:rPr>
            <m:sty m:val="p"/>
          </m:rPr>
          <m:t>=</m:t>
        </m:r>
        <m:r>
          <m:rPr>
            <m:sty m:val="p"/>
          </m:rPr>
          <m:t>(</m:t>
        </m:r>
        <m:r>
          <m:t>4</m:t>
        </m:r>
        <m:r>
          <m:rPr>
            <m:sty m:val="p"/>
          </m:rPr>
          <m:t>+</m:t>
        </m:r>
        <m:r>
          <m:t>2</m:t>
        </m:r>
        <m:r>
          <m:t>H</m:t>
        </m:r>
        <m:r>
          <m:rPr>
            <m:sty m:val="p"/>
          </m:rPr>
          <m:t>)</m:t>
        </m:r>
        <m:r>
          <m:t>H</m:t>
        </m:r>
        <m:r>
          <m:rPr>
            <m:sty m:val="p"/>
          </m:rPr>
          <m:t>=</m:t>
        </m:r>
        <m:r>
          <m:t>4</m:t>
        </m:r>
        <m:r>
          <m:t>H</m:t>
        </m:r>
        <m:r>
          <m:rPr>
            <m:sty m:val="p"/>
          </m:rPr>
          <m:t>+</m:t>
        </m:r>
        <m:r>
          <m:t>2</m:t>
        </m:r>
        <m:sSup>
          <m:e>
            <m:r>
              <m:t>H</m:t>
            </m:r>
          </m:e>
          <m:sup>
            <m:r>
              <m:t>2</m:t>
            </m:r>
          </m:sup>
        </m:sSup>
      </m:oMath>
      <w:r>
        <w:t xml:space="preserve">.</w:t>
      </w:r>
    </w:p>
    <w:p>
      <w:pPr>
        <w:pStyle w:val="BlockText"/>
      </w:pPr>
      <w:r>
        <w:t xml:space="preserve">O custo marginal do trabalho é:</w:t>
      </w:r>
    </w:p>
    <w:p>
      <w:pPr>
        <w:pStyle w:val="BlockText"/>
      </w:pPr>
      <w:r>
        <w:t xml:space="preserve">$$</w:t>
      </w:r>
    </w:p>
    <w:p>
      <w:pPr>
        <w:pStyle w:val="BlockText"/>
      </w:pPr>
      <w:r>
        <w:t xml:space="preserve">CMg_L =</w:t>
      </w:r>
      <w:r>
        <w:t xml:space="preserve"> </w:t>
      </w:r>
      <w:r>
        <w:t xml:space="preserve"> </w:t>
      </w:r>
      <w:r>
        <w:t xml:space="preserve">= 4 + 4H</w:t>
      </w:r>
    </w:p>
    <w:p>
      <w:pPr>
        <w:pStyle w:val="BlockText"/>
      </w:pPr>
      <w:r>
        <w:t xml:space="preserve">$$</w:t>
      </w:r>
    </w:p>
    <w:p>
      <w:pPr>
        <w:pStyle w:val="BlockText"/>
      </w:pPr>
      <w:r>
        <w:t xml:space="preserve">Igualando</w:t>
      </w:r>
      <w:r>
        <w:t xml:space="preserve"> </w:t>
      </w:r>
      <m:oMath>
        <m:r>
          <m:t>V</m:t>
        </m:r>
        <m:r>
          <m:t>P</m:t>
        </m:r>
        <m:r>
          <m:t>M</m:t>
        </m:r>
        <m:sSub>
          <m:e>
            <m:r>
              <m:t>g</m:t>
            </m:r>
          </m:e>
          <m:sub>
            <m:r>
              <m:t>L</m:t>
            </m:r>
          </m:sub>
        </m:sSub>
        <m:r>
          <m:rPr>
            <m:sty m:val="p"/>
          </m:rPr>
          <m:t>=</m:t>
        </m:r>
        <m:r>
          <m:t>C</m:t>
        </m:r>
        <m:r>
          <m:t>M</m:t>
        </m:r>
        <m:sSub>
          <m:e>
            <m:r>
              <m:t>g</m:t>
            </m:r>
          </m:e>
          <m:sub>
            <m:r>
              <m:t>L</m:t>
            </m:r>
          </m:sub>
        </m:sSub>
      </m:oMath>
      <w:r>
        <w:t xml:space="preserve">:</w:t>
      </w:r>
    </w:p>
    <w:p>
      <w:pPr>
        <w:pStyle w:val="BlockText"/>
      </w:pPr>
      <w:r>
        <w:t xml:space="preserve">$$</w:t>
      </w:r>
    </w:p>
    <w:p>
      <w:pPr>
        <w:pStyle w:val="BlockText"/>
      </w:pPr>
      <w:r>
        <w:t xml:space="preserve">100 - 2H = 4 + 4H ;</w:t>
      </w:r>
      <w:r>
        <w:t xml:space="preserve">; 96 = 6H ;</w:t>
      </w:r>
      <w:r>
        <w:t xml:space="preserve">; H_m = 16</w:t>
      </w:r>
    </w:p>
    <w:p>
      <w:pPr>
        <w:pStyle w:val="BlockText"/>
      </w:pPr>
      <w:r>
        <w:t xml:space="preserve">$$</w:t>
      </w:r>
    </w:p>
    <w:p>
      <w:pPr>
        <w:pStyle w:val="BlockText"/>
      </w:pPr>
      <w:r>
        <w:t xml:space="preserve">O salário pago é determinado pela curva de oferta:</w:t>
      </w:r>
    </w:p>
    <w:p>
      <w:pPr>
        <w:pStyle w:val="BlockText"/>
      </w:pPr>
      <w:r>
        <w:t xml:space="preserve">$$</w:t>
      </w:r>
    </w:p>
    <w:p>
      <w:pPr>
        <w:pStyle w:val="BlockText"/>
      </w:pPr>
      <w:r>
        <w:t xml:space="preserve">w_m = 4 + 2(16) = 36</w:t>
      </w:r>
    </w:p>
    <w:p>
      <w:pPr>
        <w:pStyle w:val="BlockText"/>
      </w:pPr>
      <w:r>
        <w:t xml:space="preserve">$$</w:t>
      </w:r>
    </w:p>
    <w:p>
      <w:pPr>
        <w:pStyle w:val="BlockText"/>
      </w:pPr>
      <w:r>
        <w:t xml:space="preserve">O valor do produto marginal no ponto de emprego monopsonístico é:</w:t>
      </w:r>
    </w:p>
    <w:p>
      <w:pPr>
        <w:pStyle w:val="BlockText"/>
      </w:pPr>
      <w:r>
        <w:t xml:space="preserve">$$</w:t>
      </w:r>
    </w:p>
    <w:p>
      <w:pPr>
        <w:pStyle w:val="BlockText"/>
      </w:pPr>
      <w:r>
        <w:t xml:space="preserve">VPMg_L(16) = 100 - 32 = 68</w:t>
      </w:r>
    </w:p>
    <w:p>
      <w:pPr>
        <w:pStyle w:val="BlockText"/>
      </w:pPr>
      <w:r>
        <w:t xml:space="preserve">$$</w:t>
      </w:r>
    </w:p>
    <w:p>
      <w:pPr>
        <w:pStyle w:val="BlockText"/>
      </w:pPr>
      <w:r>
        <w:rPr>
          <w:b/>
          <w:bCs/>
        </w:rPr>
        <w:t xml:space="preserve">Exploração monopsonística:</w:t>
      </w:r>
      <w:r>
        <w:t xml:space="preserve"> </w:t>
      </w:r>
      <m:oMath>
        <m:r>
          <m:t>V</m:t>
        </m:r>
        <m:r>
          <m:t>P</m:t>
        </m:r>
        <m:r>
          <m:t>M</m:t>
        </m:r>
        <m:sSub>
          <m:e>
            <m:r>
              <m:t>g</m:t>
            </m:r>
          </m:e>
          <m:sub>
            <m:r>
              <m:t>L</m:t>
            </m:r>
          </m:sub>
        </m:sSub>
        <m:r>
          <m:rPr>
            <m:sty m:val="p"/>
          </m:rPr>
          <m:t>−</m:t>
        </m:r>
        <m:sSub>
          <m:e>
            <m:r>
              <m:t>w</m:t>
            </m:r>
          </m:e>
          <m:sub>
            <m:r>
              <m:t>m</m:t>
            </m:r>
          </m:sub>
        </m:sSub>
        <m:r>
          <m:rPr>
            <m:sty m:val="p"/>
          </m:rPr>
          <m:t>=</m:t>
        </m:r>
        <m:r>
          <m:t>68</m:t>
        </m:r>
        <m:r>
          <m:rPr>
            <m:sty m:val="p"/>
          </m:rPr>
          <m:t>−</m:t>
        </m:r>
        <m:r>
          <m:t>36</m:t>
        </m:r>
        <m:r>
          <m:rPr>
            <m:sty m:val="p"/>
          </m:rPr>
          <m:t>=</m:t>
        </m:r>
        <m:r>
          <m:t>32</m:t>
        </m:r>
      </m:oMath>
      <w:r>
        <w:t xml:space="preserve">.</w:t>
      </w:r>
    </w:p>
    <w:p>
      <w:pPr>
        <w:pStyle w:val="BlockText"/>
      </w:pPr>
      <w:r>
        <w:rPr>
          <w:b/>
          <w:bCs/>
        </w:rPr>
        <w:t xml:space="preserve">Passo 3 — Salário mínimo no monopsônio</w:t>
      </w:r>
    </w:p>
    <w:p>
      <w:pPr>
        <w:pStyle w:val="BlockText"/>
      </w:pPr>
      <w:r>
        <w:t xml:space="preserve">Com</w:t>
      </w:r>
      <w:r>
        <w:t xml:space="preserve"> </w:t>
      </w:r>
      <m:oMath>
        <m:sSub>
          <m:e>
            <m:r>
              <m:t>w</m:t>
            </m:r>
          </m:e>
          <m:sub>
            <m:r>
              <m:rPr>
                <m:sty m:val="p"/>
              </m:rPr>
              <m:t>min</m:t>
            </m:r>
          </m:sub>
        </m:sSub>
        <m:r>
          <m:rPr>
            <m:sty m:val="p"/>
          </m:rPr>
          <m:t>=</m:t>
        </m:r>
        <m:r>
          <m:t>52</m:t>
        </m:r>
      </m:oMath>
      <w:r>
        <w:t xml:space="preserve">, o custo marginal do trabalho torna-se horizontal em 52 até</w:t>
      </w:r>
      <w:r>
        <w:t xml:space="preserve"> </w:t>
      </w:r>
      <m:oMath>
        <m:r>
          <m:t>H</m:t>
        </m:r>
        <m:r>
          <m:rPr>
            <m:sty m:val="p"/>
          </m:rPr>
          <m:t>=</m:t>
        </m:r>
        <m:r>
          <m:t>24</m:t>
        </m:r>
      </m:oMath>
      <w:r>
        <w:t xml:space="preserve"> </w:t>
      </w:r>
      <w:r>
        <w:t xml:space="preserve">(quando a oferta se iguala a 52):</w:t>
      </w:r>
    </w:p>
    <w:p>
      <w:pPr>
        <w:pStyle w:val="BlockText"/>
      </w:pPr>
      <w:r>
        <w:t xml:space="preserve">$$</w:t>
      </w:r>
    </w:p>
    <w:p>
      <w:pPr>
        <w:pStyle w:val="BlockText"/>
      </w:pPr>
      <w:r>
        <w:t xml:space="preserve">VPMg_L = w_{</w:t>
      </w:r>
      <w:r>
        <w:t xml:space="preserve">}:</w:t>
      </w:r>
      <w:r>
        <w:t xml:space="preserve"> </w:t>
      </w:r>
      <w:r>
        <w:t xml:space="preserve">- 2H = 52 ;</w:t>
      </w:r>
      <w:r>
        <w:t xml:space="preserve">; H = 24</w:t>
      </w:r>
    </w:p>
    <w:p>
      <w:pPr>
        <w:pStyle w:val="BlockText"/>
      </w:pPr>
      <w:r>
        <w:t xml:space="preserve">$$</w:t>
      </w:r>
    </w:p>
    <w:p>
      <w:pPr>
        <w:pStyle w:val="BlockText"/>
      </w:pPr>
      <w:r>
        <w:rPr>
          <w:b/>
          <w:bCs/>
        </w:rPr>
        <w:t xml:space="preserve">Resultado:</w:t>
      </w:r>
      <w:r>
        <w:t xml:space="preserve"> </w:t>
      </w:r>
      <w:r>
        <w:t xml:space="preserve">O salário mínimo eleva o emprego de 16 para 24 (+50%) e o salário de 36 para 52 (+44%), restaurando o equilíbrio competitivo.</w:t>
      </w:r>
    </w:p>
    <w:p>
      <w:pPr>
        <w:pStyle w:val="BlockText"/>
      </w:pPr>
      <w:r>
        <w:rPr>
          <w:b/>
          <w:bCs/>
        </w:rPr>
        <w:t xml:space="preserve">Interpretação econômica:</w:t>
      </w:r>
      <w:r>
        <w:t xml:space="preserve"> </w:t>
      </w:r>
      <w:r>
        <w:t xml:space="preserve">O salário mínimo elimina o poder monopsonístico ao tornar o custo marginal do trabalho constante. Este resultado contrasta com o modelo competitivo, no qual o salário mínimo sempre reduz o emprego — e ajuda a entender por que estudos empíricos (como Card e Krueger, 1994) encontram efeitos nulos ou positivos do salário mínimo sobre o emprego em mercados com concentração de empregadores.</w:t>
      </w:r>
    </w:p>
    <w:p>
      <w:pPr>
        <w:pStyle w:val="FirstParagraph"/>
      </w:pPr>
      <w:r>
        <w:t xml:space="preserve">[FIGURA INTERATIVA: /micro-book/graficos/cap17/webr-monopsonio.html — versao interativa disponivel online]</w:t>
      </w:r>
    </w:p>
    <w:p>
      <w:pPr>
        <w:pStyle w:val="BodyText"/>
      </w:pPr>
      <w:r>
        <w:rPr>
          <w:b/>
          <w:bCs/>
        </w:rPr>
        <w:t xml:space="preserve">WebR 17.3 — Monopsônio vs. competição.</w:t>
      </w:r>
      <w:r>
        <w:t xml:space="preserve"> </w:t>
      </w:r>
      <w:r>
        <w:t xml:space="preserve">Altere os parâmetros da oferta de trabalho e da VPMgL para comparar os equilíbrios e visualizar a exploração monopsonística.</w:t>
      </w:r>
    </w:p>
    <w:p>
      <w:r>
        <w:pict>
          <v:rect style="width:0;height:1.5pt" o:hralign="center" o:hrstd="t" o:hr="t"/>
        </w:pict>
      </w:r>
    </w:p>
    <w:p>
      <w:pPr>
        <w:pStyle w:val="BlockText"/>
      </w:pPr>
      <w:r>
        <w:rPr>
          <w:b/>
          <w:bCs/>
        </w:rPr>
        <w:t xml:space="preserve">[EXERCICIO RESOLVIDO] Exercício Resolvido 17.3</w:t>
      </w:r>
    </w:p>
    <w:p>
      <w:pPr>
        <w:pStyle w:val="BlockText"/>
      </w:pPr>
      <w:r>
        <w:rPr>
          <w:b/>
          <w:bCs/>
        </w:rPr>
        <w:t xml:space="preserve">Enunciado:</w:t>
      </w:r>
      <w:r>
        <w:t xml:space="preserve"> </w:t>
      </w:r>
      <w:r>
        <w:t xml:space="preserve">Um economista estima a seguinte equação de Mincer com dados da PNAD para o Brasil:</w:t>
      </w:r>
    </w:p>
    <w:p>
      <w:pPr>
        <w:pStyle w:val="BlockText"/>
      </w:pPr>
      <w:r>
        <w:t xml:space="preserve">$$</w:t>
      </w:r>
    </w:p>
    <w:p>
      <w:pPr>
        <w:pStyle w:val="BlockText"/>
      </w:pPr>
      <w:r>
        <w:t xml:space="preserve">w_i = 1{,}20 + 0{,}12 S_i + 0{,}05 X_i - 0{,}0007 X_i^2 - 0{,}18 D_i^{fem} - 0{,}15 D_i^{negro} +</w:t>
      </w:r>
      <w:r>
        <w:t xml:space="preserve"> </w:t>
      </w:r>
      <w:r>
        <w:t xml:space="preserve">_i</w:t>
      </w:r>
    </w:p>
    <w:p>
      <w:pPr>
        <w:pStyle w:val="BlockText"/>
      </w:pPr>
      <w:r>
        <w:t xml:space="preserve">$$</w:t>
      </w:r>
    </w:p>
    <w:p>
      <w:pPr>
        <w:pStyle w:val="BlockText"/>
      </w:pPr>
      <w:r>
        <w:t xml:space="preserve">onde</w:t>
      </w:r>
      <w:r>
        <w:t xml:space="preserve"> </w:t>
      </w:r>
      <m:oMath>
        <m:sSub>
          <m:e>
            <m:r>
              <m:t>w</m:t>
            </m:r>
          </m:e>
          <m:sub>
            <m:r>
              <m:t>i</m:t>
            </m:r>
          </m:sub>
        </m:sSub>
      </m:oMath>
      <w:r>
        <w:t xml:space="preserve"> </w:t>
      </w:r>
      <w:r>
        <w:t xml:space="preserve">é o salário-hora,</w:t>
      </w:r>
      <w:r>
        <w:t xml:space="preserve"> </w:t>
      </w:r>
      <m:oMath>
        <m:sSub>
          <m:e>
            <m:r>
              <m:t>S</m:t>
            </m:r>
          </m:e>
          <m:sub>
            <m:r>
              <m:t>i</m:t>
            </m:r>
          </m:sub>
        </m:sSub>
      </m:oMath>
      <w:r>
        <w:t xml:space="preserve"> </w:t>
      </w:r>
      <w:r>
        <w:t xml:space="preserve">são os anos de escolaridade,</w:t>
      </w:r>
      <w:r>
        <w:t xml:space="preserve"> </w:t>
      </w:r>
      <m:oMath>
        <m:sSub>
          <m:e>
            <m:r>
              <m:t>X</m:t>
            </m:r>
          </m:e>
          <m:sub>
            <m:r>
              <m:t>i</m:t>
            </m:r>
          </m:sub>
        </m:sSub>
      </m:oMath>
      <w:r>
        <w:t xml:space="preserve"> </w:t>
      </w:r>
      <w:r>
        <w:t xml:space="preserve">é a experiência (em anos),</w:t>
      </w:r>
      <w:r>
        <w:t xml:space="preserve"> </w:t>
      </w:r>
      <m:oMath>
        <m:sSubSup>
          <m:e>
            <m:r>
              <m:t>D</m:t>
            </m:r>
          </m:e>
          <m:sub>
            <m:r>
              <m:t>i</m:t>
            </m:r>
          </m:sub>
          <m:sup>
            <m:r>
              <m:t>f</m:t>
            </m:r>
            <m:r>
              <m:t>e</m:t>
            </m:r>
            <m:r>
              <m:t>m</m:t>
            </m:r>
          </m:sup>
        </m:sSubSup>
      </m:oMath>
      <w:r>
        <w:t xml:space="preserve"> </w:t>
      </w:r>
      <w:r>
        <w:t xml:space="preserve">é uma dummy para gênero feminino e</w:t>
      </w:r>
      <w:r>
        <w:t xml:space="preserve"> </w:t>
      </w:r>
      <m:oMath>
        <m:sSubSup>
          <m:e>
            <m:r>
              <m:t>D</m:t>
            </m:r>
          </m:e>
          <m:sub>
            <m:r>
              <m:t>i</m:t>
            </m:r>
          </m:sub>
          <m:sup>
            <m:r>
              <m:t>n</m:t>
            </m:r>
            <m:r>
              <m:t>e</m:t>
            </m:r>
            <m:r>
              <m:t>g</m:t>
            </m:r>
            <m:r>
              <m:t>r</m:t>
            </m:r>
            <m:r>
              <m:t>o</m:t>
            </m:r>
          </m:sup>
        </m:sSubSup>
      </m:oMath>
      <w:r>
        <w:t xml:space="preserve"> </w:t>
      </w:r>
      <w:r>
        <w:t xml:space="preserve">é uma dummy para raça negra.</w:t>
      </w:r>
    </w:p>
    <w:p>
      <w:pPr>
        <w:pStyle w:val="BlockText"/>
        <w:numPr>
          <w:ilvl w:val="0"/>
          <w:numId w:val="1940"/>
        </w:numPr>
      </w:pPr>
      <w:r>
        <w:t xml:space="preserve">Interprete o coeficiente</w:t>
      </w:r>
      <w:r>
        <w:t xml:space="preserve"> </w:t>
      </w:r>
      <m:oMath>
        <m:sSub>
          <m:e>
            <m:acc>
              <m:accPr>
                <m:chr m:val="̂"/>
              </m:accPr>
              <m:e>
                <m:r>
                  <m:t>β</m:t>
                </m:r>
              </m:e>
            </m:acc>
          </m:e>
          <m:sub>
            <m:r>
              <m:t>1</m:t>
            </m:r>
          </m:sub>
        </m:sSub>
        <m:r>
          <m:rPr>
            <m:sty m:val="p"/>
          </m:rPr>
          <m:t>=</m:t>
        </m:r>
        <m:r>
          <m:t>0</m:t>
        </m:r>
        <m:r>
          <m:rPr>
            <m:sty m:val="p"/>
          </m:rPr>
          <m:t>,</m:t>
        </m:r>
        <m:r>
          <m:t>12</m:t>
        </m:r>
      </m:oMath>
      <w:r>
        <w:t xml:space="preserve">.</w:t>
      </w:r>
    </w:p>
    <w:p>
      <w:pPr>
        <w:pStyle w:val="BlockText"/>
        <w:numPr>
          <w:ilvl w:val="0"/>
          <w:numId w:val="1940"/>
        </w:numPr>
      </w:pPr>
      <w:r>
        <w:t xml:space="preserve">Calcule a experiência que maximiza o salário (mantidos os demais fatores constantes).</w:t>
      </w:r>
    </w:p>
    <w:p>
      <w:pPr>
        <w:pStyle w:val="BlockText"/>
        <w:numPr>
          <w:ilvl w:val="0"/>
          <w:numId w:val="1940"/>
        </w:numPr>
      </w:pPr>
      <w:r>
        <w:t xml:space="preserve">Calcule a diferença salarial percentual entre um homem branco e uma mulher negra com mesma escolaridade e experiência.</w:t>
      </w:r>
    </w:p>
    <w:p>
      <w:pPr>
        <w:pStyle w:val="BlockText"/>
        <w:numPr>
          <w:ilvl w:val="0"/>
          <w:numId w:val="1940"/>
        </w:numPr>
      </w:pPr>
      <w:r>
        <w:t xml:space="preserve">Discuta se os coeficientes das dummies capturam necessariamente discriminação.</w:t>
      </w:r>
    </w:p>
    <w:p>
      <w:pPr>
        <w:pStyle w:val="BlockText"/>
      </w:pPr>
      <w:r>
        <w:rPr>
          <w:b/>
          <w:bCs/>
        </w:rPr>
        <w:t xml:space="preserve">Resolução:</w:t>
      </w:r>
    </w:p>
    <w:p>
      <w:pPr>
        <w:pStyle w:val="BlockText"/>
      </w:pPr>
      <w:r>
        <w:rPr>
          <w:b/>
          <w:bCs/>
        </w:rPr>
        <w:t xml:space="preserve">Passo 1 — Retorno da educação</w:t>
      </w:r>
    </w:p>
    <w:p>
      <w:pPr>
        <w:pStyle w:val="BlockText"/>
      </w:pPr>
      <w:r>
        <w:t xml:space="preserve">O coeficiente</w:t>
      </w:r>
      <w:r>
        <w:t xml:space="preserve"> </w:t>
      </w:r>
      <m:oMath>
        <m:sSub>
          <m:e>
            <m:acc>
              <m:accPr>
                <m:chr m:val="̂"/>
              </m:accPr>
              <m:e>
                <m:r>
                  <m:t>β</m:t>
                </m:r>
              </m:e>
            </m:acc>
          </m:e>
          <m:sub>
            <m:r>
              <m:t>1</m:t>
            </m:r>
          </m:sub>
        </m:sSub>
        <m:r>
          <m:rPr>
            <m:sty m:val="p"/>
          </m:rPr>
          <m:t>=</m:t>
        </m:r>
        <m:r>
          <m:t>0</m:t>
        </m:r>
        <m:r>
          <m:rPr>
            <m:sty m:val="p"/>
          </m:rPr>
          <m:t>,</m:t>
        </m:r>
        <m:r>
          <m:t>12</m:t>
        </m:r>
      </m:oMath>
      <w:r>
        <w:t xml:space="preserve"> </w:t>
      </w:r>
      <w:r>
        <w:t xml:space="preserve">indica que cada ano adicional de escolaridade está associado a um aumento de aproximadamente</w:t>
      </w:r>
      <w:r>
        <w:t xml:space="preserve"> </w:t>
      </w:r>
      <w:r>
        <w:rPr>
          <w:b/>
          <w:bCs/>
        </w:rPr>
        <w:t xml:space="preserve">12%</w:t>
      </w:r>
      <w:r>
        <w:t xml:space="preserve"> </w:t>
      </w:r>
      <w:r>
        <w:t xml:space="preserve">no salário-hora,</w:t>
      </w:r>
      <w:r>
        <w:t xml:space="preserve"> </w:t>
      </w:r>
      <w:r>
        <w:rPr>
          <w:i/>
          <w:iCs/>
        </w:rPr>
        <w:t xml:space="preserve">ceteris paribus</w:t>
      </w:r>
      <w:r>
        <w:t xml:space="preserve">. Formalmente, como a variável dependente está em logaritmo:</w:t>
      </w:r>
    </w:p>
    <w:p>
      <w:pPr>
        <w:pStyle w:val="BlockText"/>
      </w:pPr>
      <w:r>
        <w:t xml:space="preserve">$$</w:t>
      </w:r>
    </w:p>
    <w:p>
      <w:pPr>
        <w:pStyle w:val="BlockText"/>
      </w:pPr>
      <w:r>
        <w:t xml:space="preserve"> </w:t>
      </w:r>
      <w:r>
        <w:t xml:space="preserve">= 0{,}12</w:t>
      </w:r>
      <w:r>
        <w:t xml:space="preserve"> </w:t>
      </w:r>
      <w:r>
        <w:t xml:space="preserve"> </w:t>
      </w:r>
      <w:r>
        <w:t xml:space="preserve">%</w:t>
      </w:r>
    </w:p>
    <w:p>
      <w:pPr>
        <w:pStyle w:val="BlockText"/>
      </w:pPr>
      <w:r>
        <w:t xml:space="preserve">$$</w:t>
      </w:r>
    </w:p>
    <w:p>
      <w:pPr>
        <w:pStyle w:val="BlockText"/>
      </w:pPr>
      <w:r>
        <w:t xml:space="preserve">Esse valor é consistente com estimativas para o Brasil, que encontram retornos à educação entre 10% e 15% por ano — entre os mais altos do mundo, refletindo a grande escassez relativa de mão de obra qualificada.</w:t>
      </w:r>
    </w:p>
    <w:p>
      <w:pPr>
        <w:pStyle w:val="BlockText"/>
      </w:pPr>
      <w:r>
        <w:rPr>
          <w:b/>
          <w:bCs/>
        </w:rPr>
        <w:t xml:space="preserve">Passo 2 — Experiência ótima</w:t>
      </w:r>
    </w:p>
    <w:p>
      <w:pPr>
        <w:pStyle w:val="BlockText"/>
      </w:pPr>
      <w:r>
        <w:t xml:space="preserve">O perfil de experiência-salário é côncavo:</w:t>
      </w:r>
      <w:r>
        <w:t xml:space="preserve"> </w:t>
      </w:r>
      <m:oMath>
        <m:r>
          <m:t>0</m:t>
        </m:r>
        <m:r>
          <m:rPr>
            <m:sty m:val="p"/>
          </m:rPr>
          <m:t>,</m:t>
        </m:r>
        <m:r>
          <m:t>05</m:t>
        </m:r>
        <m:r>
          <m:t>X</m:t>
        </m:r>
        <m:r>
          <m:rPr>
            <m:sty m:val="p"/>
          </m:rPr>
          <m:t>−</m:t>
        </m:r>
        <m:r>
          <m:t>0</m:t>
        </m:r>
        <m:r>
          <m:rPr>
            <m:sty m:val="p"/>
          </m:rPr>
          <m:t>,</m:t>
        </m:r>
        <m:r>
          <m:t>0007</m:t>
        </m:r>
        <m:sSup>
          <m:e>
            <m:r>
              <m:t>X</m:t>
            </m:r>
          </m:e>
          <m:sup>
            <m:r>
              <m:t>2</m:t>
            </m:r>
          </m:sup>
        </m:sSup>
      </m:oMath>
      <w:r>
        <w:t xml:space="preserve">. Maximizando:</w:t>
      </w:r>
    </w:p>
    <w:p>
      <w:pPr>
        <w:pStyle w:val="BlockText"/>
      </w:pPr>
      <w:r>
        <w:t xml:space="preserve">$$</w:t>
      </w:r>
    </w:p>
    <w:p>
      <w:pPr>
        <w:pStyle w:val="BlockText"/>
      </w:pPr>
      <w:r>
        <w:t xml:space="preserve"> </w:t>
      </w:r>
      <w:r>
        <w:t xml:space="preserve">= 0{,}05 - 0{,}0014X = 0</w:t>
      </w:r>
      <w:r>
        <w:t xml:space="preserve"> </w:t>
      </w:r>
      <w:r>
        <w:t xml:space="preserve">X^* =</w:t>
      </w:r>
      <w:r>
        <w:t xml:space="preserve"> </w:t>
      </w:r>
      <w:r>
        <w:t xml:space="preserve"> </w:t>
      </w:r>
      <w:r>
        <w:t xml:space="preserve">7</w:t>
      </w:r>
      <w:r>
        <w:t xml:space="preserve"> </w:t>
      </w:r>
    </w:p>
    <w:p>
      <w:pPr>
        <w:pStyle w:val="BlockText"/>
      </w:pPr>
      <w:r>
        <w:t xml:space="preserve">$$</w:t>
      </w:r>
    </w:p>
    <w:p>
      <w:pPr>
        <w:pStyle w:val="BlockText"/>
      </w:pPr>
      <w:r>
        <w:t xml:space="preserve">O salário atinge seu pico com aproximadamente</w:t>
      </w:r>
      <w:r>
        <w:t xml:space="preserve"> </w:t>
      </w:r>
      <w:r>
        <w:rPr>
          <w:b/>
          <w:bCs/>
        </w:rPr>
        <w:t xml:space="preserve">36 anos de experiência</w:t>
      </w:r>
      <w:r>
        <w:t xml:space="preserve"> </w:t>
      </w:r>
      <w:r>
        <w:t xml:space="preserve">(para alguém que começou a trabalhar aos 18, isso corresponde aos 54 anos de idade). Após esse ponto, o salário decresce — refletindo a depreciação do capital humano (obsolescência de habilidades, menor vigor físico em trabalhos manuais).</w:t>
      </w:r>
    </w:p>
    <w:p>
      <w:pPr>
        <w:pStyle w:val="BlockText"/>
      </w:pPr>
      <w:r>
        <w:rPr>
          <w:b/>
          <w:bCs/>
        </w:rPr>
        <w:t xml:space="preserve">Passo 3 — Diferencial de gênero e raça</w:t>
      </w:r>
    </w:p>
    <w:p>
      <w:pPr>
        <w:pStyle w:val="BlockText"/>
      </w:pPr>
      <w:r>
        <w:t xml:space="preserve">Para um homem branco (</w:t>
      </w:r>
      <m:oMath>
        <m:sSup>
          <m:e>
            <m:r>
              <m:t>D</m:t>
            </m:r>
          </m:e>
          <m:sup>
            <m:r>
              <m:t>f</m:t>
            </m:r>
            <m:r>
              <m:t>e</m:t>
            </m:r>
            <m:r>
              <m:t>m</m:t>
            </m:r>
          </m:sup>
        </m:sSup>
        <m:r>
          <m:rPr>
            <m:sty m:val="p"/>
          </m:rPr>
          <m:t>=</m:t>
        </m:r>
        <m:r>
          <m:t>0</m:t>
        </m:r>
        <m:r>
          <m:rPr>
            <m:sty m:val="p"/>
          </m:rPr>
          <m:t>,</m:t>
        </m:r>
        <m:sSup>
          <m:e>
            <m:r>
              <m:t>D</m:t>
            </m:r>
          </m:e>
          <m:sup>
            <m:r>
              <m:t>n</m:t>
            </m:r>
            <m:r>
              <m:t>e</m:t>
            </m:r>
            <m:r>
              <m:t>g</m:t>
            </m:r>
            <m:r>
              <m:t>r</m:t>
            </m:r>
            <m:r>
              <m:t>o</m:t>
            </m:r>
          </m:sup>
        </m:sSup>
        <m:r>
          <m:rPr>
            <m:sty m:val="p"/>
          </m:rPr>
          <m:t>=</m:t>
        </m:r>
        <m:r>
          <m:t>0</m:t>
        </m:r>
      </m:oMath>
      <w:r>
        <w:t xml:space="preserve">) e uma mulher negra (</w:t>
      </w:r>
      <m:oMath>
        <m:sSup>
          <m:e>
            <m:r>
              <m:t>D</m:t>
            </m:r>
          </m:e>
          <m:sup>
            <m:r>
              <m:t>f</m:t>
            </m:r>
            <m:r>
              <m:t>e</m:t>
            </m:r>
            <m:r>
              <m:t>m</m:t>
            </m:r>
          </m:sup>
        </m:sSup>
        <m:r>
          <m:rPr>
            <m:sty m:val="p"/>
          </m:rPr>
          <m:t>=</m:t>
        </m:r>
        <m:r>
          <m:t>1</m:t>
        </m:r>
        <m:r>
          <m:rPr>
            <m:sty m:val="p"/>
          </m:rPr>
          <m:t>,</m:t>
        </m:r>
        <m:sSup>
          <m:e>
            <m:r>
              <m:t>D</m:t>
            </m:r>
          </m:e>
          <m:sup>
            <m:r>
              <m:t>n</m:t>
            </m:r>
            <m:r>
              <m:t>e</m:t>
            </m:r>
            <m:r>
              <m:t>g</m:t>
            </m:r>
            <m:r>
              <m:t>r</m:t>
            </m:r>
            <m:r>
              <m:t>o</m:t>
            </m:r>
          </m:sup>
        </m:sSup>
        <m:r>
          <m:rPr>
            <m:sty m:val="p"/>
          </m:rPr>
          <m:t>=</m:t>
        </m:r>
        <m:r>
          <m:t>1</m:t>
        </m:r>
      </m:oMath>
      <w:r>
        <w:t xml:space="preserve">) com mesma escolaridade e experiência:</w:t>
      </w:r>
    </w:p>
    <w:p>
      <w:pPr>
        <w:pStyle w:val="BlockText"/>
      </w:pPr>
      <w:r>
        <w:t xml:space="preserve">$$</w:t>
      </w:r>
    </w:p>
    <w:p>
      <w:pPr>
        <w:pStyle w:val="BlockText"/>
      </w:pPr>
      <w:r>
        <w:t xml:space="preserve">w_{HB} -</w:t>
      </w:r>
      <w:r>
        <w:t xml:space="preserve"> </w:t>
      </w:r>
      <w:r>
        <w:t xml:space="preserve">w_{MN} = -(-0{,}18) - (-0{,}15) = 0{,}33</w:t>
      </w:r>
    </w:p>
    <w:p>
      <w:pPr>
        <w:pStyle w:val="BlockText"/>
      </w:pPr>
      <w:r>
        <w:t xml:space="preserve">$$</w:t>
      </w:r>
    </w:p>
    <w:p>
      <w:pPr>
        <w:pStyle w:val="BlockText"/>
      </w:pPr>
      <w:r>
        <w:t xml:space="preserve">Em termos percentuais:</w:t>
      </w:r>
    </w:p>
    <w:p>
      <w:pPr>
        <w:pStyle w:val="BlockText"/>
      </w:pPr>
      <w:r>
        <w:t xml:space="preserve">$$</w:t>
      </w:r>
    </w:p>
    <w:p>
      <w:pPr>
        <w:pStyle w:val="BlockText"/>
      </w:pPr>
      <w:r>
        <w:t xml:space="preserve"> </w:t>
      </w:r>
      <w:r>
        <w:t xml:space="preserve">= e^{0{,}33} - 1</w:t>
      </w:r>
      <w:r>
        <w:t xml:space="preserve"> </w:t>
      </w:r>
      <w:r>
        <w:t xml:space="preserve">391 = 39{,}1%</w:t>
      </w:r>
    </w:p>
    <w:p>
      <w:pPr>
        <w:pStyle w:val="BlockText"/>
      </w:pPr>
      <w:r>
        <w:t xml:space="preserve">$$</w:t>
      </w:r>
    </w:p>
    <w:p>
      <w:pPr>
        <w:pStyle w:val="BlockText"/>
      </w:pPr>
      <w:r>
        <w:t xml:space="preserve">Uma mulher negra recebe, em média,</w:t>
      </w:r>
      <w:r>
        <w:t xml:space="preserve"> </w:t>
      </w:r>
      <w:r>
        <w:rPr>
          <w:b/>
          <w:bCs/>
        </w:rPr>
        <w:t xml:space="preserve">39,1% a menos</w:t>
      </w:r>
      <w:r>
        <w:t xml:space="preserve"> </w:t>
      </w:r>
      <w:r>
        <w:t xml:space="preserve">que um homem branco com mesma educação e experiência.</w:t>
      </w:r>
    </w:p>
    <w:p>
      <w:pPr>
        <w:pStyle w:val="BlockText"/>
      </w:pPr>
      <w:r>
        <w:rPr>
          <w:b/>
          <w:bCs/>
        </w:rPr>
        <w:t xml:space="preserve">Passo 4 — Interpretação causal</w:t>
      </w:r>
    </w:p>
    <w:p>
      <w:pPr>
        <w:pStyle w:val="BlockText"/>
      </w:pPr>
      <w:r>
        <w:t xml:space="preserve">Os coeficientes das dummies</w:t>
      </w:r>
      <w:r>
        <w:t xml:space="preserve"> </w:t>
      </w:r>
      <w:r>
        <w:rPr>
          <w:b/>
          <w:bCs/>
        </w:rPr>
        <w:t xml:space="preserve">não capturam necessariamente discriminação pura</w:t>
      </w:r>
      <w:r>
        <w:t xml:space="preserve">. Eles medem o diferencial salarial condicional às variáveis incluídas na regressão. Parte desse diferencial pode refletir:</w:t>
      </w:r>
    </w:p>
    <w:p>
      <w:pPr>
        <w:pStyle w:val="Compact"/>
        <w:numPr>
          <w:ilvl w:val="0"/>
          <w:numId w:val="1941"/>
        </w:numPr>
      </w:pPr>
      <w:r>
        <w:rPr>
          <w:b/>
          <w:bCs/>
        </w:rPr>
        <w:t xml:space="preserve">Variáveis omitidas:</w:t>
      </w:r>
      <w:r>
        <w:t xml:space="preserve"> </w:t>
      </w:r>
      <w:r>
        <w:t xml:space="preserve">diferenças na qualidade da educação (escolas em bairros mais pobres), tipo de curso, habilidades não cognitivas;</w:t>
      </w:r>
    </w:p>
    <w:p>
      <w:pPr>
        <w:pStyle w:val="Compact"/>
        <w:numPr>
          <w:ilvl w:val="0"/>
          <w:numId w:val="1941"/>
        </w:numPr>
      </w:pPr>
      <w:r>
        <w:rPr>
          <w:b/>
          <w:bCs/>
        </w:rPr>
        <w:t xml:space="preserve">Segregação ocupacional:</w:t>
      </w:r>
      <w:r>
        <w:t xml:space="preserve"> </w:t>
      </w:r>
      <w:r>
        <w:t xml:space="preserve">mulheres e negros podem estar concentrados em ocupações que pagam menos, mesmo controlando por escolaridade total;</w:t>
      </w:r>
    </w:p>
    <w:p>
      <w:pPr>
        <w:pStyle w:val="Compact"/>
        <w:numPr>
          <w:ilvl w:val="0"/>
          <w:numId w:val="1941"/>
        </w:numPr>
      </w:pPr>
      <w:r>
        <w:rPr>
          <w:b/>
          <w:bCs/>
        </w:rPr>
        <w:t xml:space="preserve">Seleção amostral:</w:t>
      </w:r>
      <w:r>
        <w:t xml:space="preserve"> </w:t>
      </w:r>
      <w:r>
        <w:t xml:space="preserve">a composição de quem trabalha (e aparece na amostra) difere por gênero e raça;</w:t>
      </w:r>
    </w:p>
    <w:p>
      <w:pPr>
        <w:pStyle w:val="Compact"/>
        <w:numPr>
          <w:ilvl w:val="0"/>
          <w:numId w:val="1941"/>
        </w:numPr>
      </w:pPr>
      <w:r>
        <w:rPr>
          <w:b/>
          <w:bCs/>
        </w:rPr>
        <w:t xml:space="preserve">Discriminação efetiva:</w:t>
      </w:r>
      <w:r>
        <w:t xml:space="preserve"> </w:t>
      </w:r>
      <w:r>
        <w:t xml:space="preserve">diferenças de tratamento por empregadores, no sentido de Becker ou estatístico.</w:t>
      </w:r>
    </w:p>
    <w:p>
      <w:pPr>
        <w:pStyle w:val="BlockText"/>
      </w:pPr>
      <w:r>
        <w:t xml:space="preserve">A decomposição de Oaxaca-Blinder (equação Eq. (eq:17.13b)) é uma extensão natural desta análise: permite separar formalmente a parte do diferencial que se deve a diferenças de características versus diferenças de retornos.</w:t>
      </w:r>
    </w:p>
    <w:p>
      <w:pPr>
        <w:pStyle w:val="FirstParagraph"/>
      </w:pPr>
      <w:r>
        <w:t xml:space="preserve">[FIGURA INTERATIVA: /micro-book/graficos/cap17/webr-mincer.html — versao interativa disponivel online]</w:t>
      </w:r>
    </w:p>
    <w:p>
      <w:pPr>
        <w:pStyle w:val="BodyText"/>
      </w:pPr>
      <w:r>
        <w:rPr>
          <w:b/>
          <w:bCs/>
        </w:rPr>
        <w:t xml:space="preserve">WebR 17.4 — Equação de Mincer.</w:t>
      </w:r>
      <w:r>
        <w:t xml:space="preserve"> </w:t>
      </w:r>
      <w:r>
        <w:t xml:space="preserve">Altere os coeficientes e visualize como educação, experiência e dummies de gênero/raça afetam o perfil salarial previsto.</w:t>
      </w:r>
    </w:p>
    <w:p>
      <w:r>
        <w:pict>
          <v:rect style="width:0;height:1.5pt" o:hralign="center" o:hrstd="t" o:hr="t"/>
        </w:pict>
      </w:r>
    </w:p>
    <w:bookmarkEnd w:id="1089"/>
    <w:bookmarkStart w:id="1097" w:name="X5293f2761d658cc70c19515861842d712751bdc"/>
    <w:p>
      <w:pPr>
        <w:pStyle w:val="Heading3"/>
      </w:pPr>
      <w:r>
        <w:t xml:space="preserve">17.8 A Força do Coletivo: Sindicatos e Barganha Salarial</w:t>
      </w:r>
    </w:p>
    <w:p>
      <w:pPr>
        <w:pStyle w:val="FirstParagraph"/>
      </w:pPr>
      <w:r>
        <w:t xml:space="preserve">O monopsônio representa poder de mercado do lado da demanda por trabalho. Do lado da oferta, a contrapartida é o sindicato — uma organização que agrega o poder de barganha dos trabalhadores para negociar coletivamente salários e condições de emprego. Enquanto no mercado competitivo cada trabalhador é individualmente incapaz de influenciar o salário, o sindicato confere aos trabalhadores poder de mercado análogo ao do monopolista no mercado de bens. Como esse poder afeta salários, emprego e eficiência?</w:t>
      </w:r>
    </w:p>
    <w:bookmarkStart w:id="1090" w:name="objetivos-dos-sindicatos"/>
    <w:p>
      <w:pPr>
        <w:pStyle w:val="Heading4"/>
      </w:pPr>
      <w:r>
        <w:t xml:space="preserve">Objetivos dos sindicatos</w:t>
      </w:r>
    </w:p>
    <w:p>
      <w:pPr>
        <w:pStyle w:val="FirstParagraph"/>
      </w:pPr>
      <w:r>
        <w:t xml:space="preserve">Os sindicatos podem ser modelados como agentes que buscam maximizar alguma função objetivo, como:</w:t>
      </w:r>
    </w:p>
    <w:p>
      <w:pPr>
        <w:pStyle w:val="Compact"/>
        <w:numPr>
          <w:ilvl w:val="0"/>
          <w:numId w:val="1942"/>
        </w:numPr>
      </w:pPr>
      <w:r>
        <w:rPr>
          <w:b/>
          <w:bCs/>
        </w:rPr>
        <w:t xml:space="preserve">Maximização do salário</w:t>
      </w:r>
      <w:r>
        <w:t xml:space="preserve"> </w:t>
      </w:r>
      <w:r>
        <w:t xml:space="preserve">com emprego fixo;</w:t>
      </w:r>
    </w:p>
    <w:p>
      <w:pPr>
        <w:pStyle w:val="Compact"/>
        <w:numPr>
          <w:ilvl w:val="0"/>
          <w:numId w:val="1942"/>
        </w:numPr>
      </w:pPr>
      <w:r>
        <w:rPr>
          <w:b/>
          <w:bCs/>
        </w:rPr>
        <w:t xml:space="preserve">Maximização do emprego</w:t>
      </w:r>
      <w:r>
        <w:t xml:space="preserve"> </w:t>
      </w:r>
      <w:r>
        <w:t xml:space="preserve">com salário fixo;</w:t>
      </w:r>
    </w:p>
    <w:p>
      <w:pPr>
        <w:pStyle w:val="Compact"/>
        <w:numPr>
          <w:ilvl w:val="0"/>
          <w:numId w:val="1942"/>
        </w:numPr>
      </w:pPr>
      <w:r>
        <w:rPr>
          <w:b/>
          <w:bCs/>
        </w:rPr>
        <w:t xml:space="preserve">Maximização da renda total</w:t>
      </w:r>
      <w:r>
        <w:t xml:space="preserve"> </w:t>
      </w:r>
      <w:r>
        <w:t xml:space="preserve">dos membros:</w:t>
      </w:r>
      <w:r>
        <w:t xml:space="preserve"> </w:t>
      </w:r>
      <m:oMath>
        <m:sSub>
          <m:e>
            <m:r>
              <m:rPr>
                <m:sty m:val="p"/>
              </m:rPr>
              <m:t>max</m:t>
            </m:r>
          </m:e>
          <m:sub>
            <m:r>
              <m:t>w</m:t>
            </m:r>
          </m:sub>
        </m:sSub>
        <m:r>
          <m:t> </m:t>
        </m:r>
        <m:r>
          <m:t>w</m:t>
        </m:r>
        <m:r>
          <m:rPr>
            <m:sty m:val="p"/>
          </m:rPr>
          <m:t>⋅</m:t>
        </m:r>
        <m:sSup>
          <m:e>
            <m:r>
              <m:t>H</m:t>
            </m:r>
          </m:e>
          <m:sup>
            <m:r>
              <m:t>d</m:t>
            </m:r>
          </m:sup>
        </m:sSup>
        <m:r>
          <m:rPr>
            <m:sty m:val="p"/>
          </m:rPr>
          <m:t>(</m:t>
        </m:r>
        <m:r>
          <m:t>w</m:t>
        </m:r>
        <m:r>
          <m:rPr>
            <m:sty m:val="p"/>
          </m:rPr>
          <m:t>)</m:t>
        </m:r>
      </m:oMath>
      <w:r>
        <w:t xml:space="preserve">;</w:t>
      </w:r>
    </w:p>
    <w:p>
      <w:pPr>
        <w:pStyle w:val="Compact"/>
        <w:numPr>
          <w:ilvl w:val="0"/>
          <w:numId w:val="1942"/>
        </w:numPr>
      </w:pPr>
      <w:r>
        <w:rPr>
          <w:b/>
          <w:bCs/>
        </w:rPr>
        <w:t xml:space="preserve">Maximização da utilidade</w:t>
      </w:r>
      <w:r>
        <w:t xml:space="preserve"> </w:t>
      </w:r>
      <w:r>
        <w:t xml:space="preserve">dos membros:</w:t>
      </w:r>
      <w:r>
        <w:t xml:space="preserve"> </w:t>
      </w:r>
      <m:oMath>
        <m:sSub>
          <m:e>
            <m:r>
              <m:rPr>
                <m:sty m:val="p"/>
              </m:rPr>
              <m:t>max</m:t>
            </m:r>
          </m:e>
          <m:sub>
            <m:r>
              <m:t>w</m:t>
            </m:r>
          </m:sub>
        </m:sSub>
        <m:r>
          <m:t> </m:t>
        </m:r>
        <m:r>
          <m:t>U</m:t>
        </m:r>
        <m:r>
          <m:rPr>
            <m:sty m:val="p"/>
          </m:rPr>
          <m:t>(</m:t>
        </m:r>
        <m:r>
          <m:t>w</m:t>
        </m:r>
        <m:r>
          <m:rPr>
            <m:sty m:val="p"/>
          </m:rPr>
          <m:t>)</m:t>
        </m:r>
        <m:r>
          <m:rPr>
            <m:sty m:val="p"/>
          </m:rPr>
          <m:t>⋅</m:t>
        </m:r>
        <m:sSup>
          <m:e>
            <m:r>
              <m:t>H</m:t>
            </m:r>
          </m:e>
          <m:sup>
            <m:r>
              <m:t>d</m:t>
            </m:r>
          </m:sup>
        </m:sSup>
        <m:r>
          <m:rPr>
            <m:sty m:val="p"/>
          </m:rPr>
          <m:t>(</m:t>
        </m:r>
        <m:r>
          <m:t>w</m:t>
        </m:r>
        <m:r>
          <m:rPr>
            <m:sty m:val="p"/>
          </m:rPr>
          <m:t>)</m:t>
        </m:r>
      </m:oMath>
      <w:r>
        <w:t xml:space="preserve">.</w:t>
      </w:r>
    </w:p>
    <w:bookmarkEnd w:id="1090"/>
    <w:bookmarkStart w:id="1091" w:name="o-modelo-de-monopólio-sindical"/>
    <w:p>
      <w:pPr>
        <w:pStyle w:val="Heading4"/>
      </w:pPr>
      <w:r>
        <w:t xml:space="preserve">O modelo de monopólio sindical</w:t>
      </w:r>
    </w:p>
    <w:p>
      <w:pPr>
        <w:pStyle w:val="FirstParagraph"/>
      </w:pPr>
      <w:r>
        <w:t xml:space="preserve">No modelo mais simples, o sindicato fixa o salário</w:t>
      </w:r>
      <w:r>
        <w:t xml:space="preserve"> </w:t>
      </w:r>
      <m:oMath>
        <m:sSub>
          <m:e>
            <m:r>
              <m:t>w</m:t>
            </m:r>
          </m:e>
          <m:sub>
            <m:r>
              <m:t>s</m:t>
            </m:r>
          </m:sub>
        </m:sSub>
        <m:r>
          <m:rPr>
            <m:sty m:val="p"/>
          </m:rPr>
          <m:t>&gt;</m:t>
        </m:r>
        <m:sSup>
          <m:e>
            <m:r>
              <m:t>w</m:t>
            </m:r>
          </m:e>
          <m:sup>
            <m:r>
              <m:rPr>
                <m:sty m:val="p"/>
              </m:rPr>
              <m:t>*</m:t>
            </m:r>
          </m:sup>
        </m:sSup>
      </m:oMath>
      <w:r>
        <w:t xml:space="preserve"> </w:t>
      </w:r>
      <w:r>
        <w:t xml:space="preserve">e a firma escolhe o nível de emprego ao longo de sua curva de demanda por trabalho. O resultado é:</w:t>
      </w:r>
    </w:p>
    <w:p>
      <w:pPr>
        <w:pStyle w:val="BodyText"/>
      </w:pPr>
      <m:oMathPara>
        <m:oMathParaPr>
          <m:jc m:val="center"/>
        </m:oMathParaPr>
        <m:oMath>
          <m:sSup>
            <m:e>
              <m:r>
                <m:t>H</m:t>
              </m:r>
            </m:e>
            <m:sup>
              <m:r>
                <m:t>d</m:t>
              </m:r>
            </m:sup>
          </m:sSup>
          <m:r>
            <m:rPr>
              <m:sty m:val="p"/>
            </m:rPr>
            <m:t>(</m:t>
          </m:r>
          <m:sSub>
            <m:e>
              <m:r>
                <m:t>w</m:t>
              </m:r>
            </m:e>
            <m:sub>
              <m:r>
                <m:t>s</m:t>
              </m:r>
            </m:sub>
          </m:sSub>
          <m:r>
            <m:rPr>
              <m:sty m:val="p"/>
            </m:rPr>
            <m:t>)</m:t>
          </m:r>
          <m:r>
            <m:rPr>
              <m:sty m:val="p"/>
            </m:rPr>
            <m:t>&lt;</m:t>
          </m:r>
          <m:sSup>
            <m:e>
              <m:r>
                <m:t>H</m:t>
              </m:r>
            </m:e>
            <m:sup>
              <m:r>
                <m:t>d</m:t>
              </m:r>
            </m:sup>
          </m:sSup>
          <m:r>
            <m:rPr>
              <m:sty m:val="p"/>
            </m:rPr>
            <m:t>(</m:t>
          </m:r>
          <m:sSup>
            <m:e>
              <m:r>
                <m:t>w</m:t>
              </m:r>
            </m:e>
            <m:sup>
              <m:r>
                <m:rPr>
                  <m:sty m:val="p"/>
                </m:rPr>
                <m:t>*</m:t>
              </m:r>
            </m:sup>
          </m:sSup>
          <m:r>
            <m:rPr>
              <m:sty m:val="p"/>
            </m:rPr>
            <m:t>)</m:t>
          </m:r>
          <m:r>
            <m:rPr>
              <m:sty m:val="p"/>
            </m:rPr>
            <m:t>=</m:t>
          </m:r>
          <m:sSup>
            <m:e>
              <m:r>
                <m:t>H</m:t>
              </m:r>
            </m:e>
            <m:sup>
              <m:r>
                <m:rPr>
                  <m:sty m:val="p"/>
                </m:rPr>
                <m:t>*</m:t>
              </m:r>
            </m:sup>
          </m:sSup>
        </m:oMath>
      </m:oMathPara>
    </w:p>
    <w:p>
      <w:pPr>
        <w:pStyle w:val="FirstParagraph"/>
      </w:pPr>
      <w:r>
        <w:t xml:space="preserve">Há um trade-off entre salário e emprego: salários mais altos reduzem o emprego.</w:t>
      </w:r>
    </w:p>
    <w:bookmarkEnd w:id="1091"/>
    <w:bookmarkStart w:id="1092" w:name="barganha-eficiente"/>
    <w:p>
      <w:pPr>
        <w:pStyle w:val="Heading4"/>
      </w:pPr>
      <w:r>
        <w:t xml:space="preserve">Barganha eficiente</w:t>
      </w:r>
    </w:p>
    <w:p>
      <w:pPr>
        <w:pStyle w:val="FirstParagraph"/>
      </w:pPr>
      <w:r>
        <w:t xml:space="preserve">O modelo de</w:t>
      </w:r>
      <w:r>
        <w:t xml:space="preserve"> </w:t>
      </w:r>
      <w:r>
        <w:rPr>
          <w:b/>
          <w:bCs/>
        </w:rPr>
        <w:t xml:space="preserve">barganha eficiente</w:t>
      </w:r>
      <w:r>
        <w:t xml:space="preserve"> </w:t>
      </w:r>
      <w:r>
        <w:t xml:space="preserve">(McDonald e Solow, 1981) propõe que sindicato e firma negociam simultaneamente salário e emprego, atingindo a</w:t>
      </w:r>
      <w:r>
        <w:t xml:space="preserve"> </w:t>
      </w:r>
      <w:r>
        <w:rPr>
          <w:b/>
          <w:bCs/>
        </w:rPr>
        <w:t xml:space="preserve">curva de contrato</w:t>
      </w:r>
      <w:r>
        <w:t xml:space="preserve"> </w:t>
      </w:r>
      <w:r>
        <w:t xml:space="preserve">— o conjunto de alocações Pareto-eficientes. Nesse caso, o nível de emprego pode ser maior do que no modelo de monopólio sindical.</w:t>
      </w:r>
    </w:p>
    <w:p>
      <w:pPr>
        <w:pStyle w:val="BodyText"/>
      </w:pPr>
      <w:r>
        <w:t xml:space="preserve">Na negociação de Nash, o resultado da barganha maximiza o produto:</w:t>
      </w:r>
    </w:p>
    <w:p>
      <w:pPr>
        <w:pStyle w:val="BodyText"/>
      </w:pPr>
      <m:oMathPara>
        <m:oMathParaPr>
          <m:jc m:val="center"/>
        </m:oMathParaPr>
        <m:oMath>
          <m:limLow>
            <m:e>
              <m:r>
                <m:rPr>
                  <m:sty m:val="p"/>
                </m:rPr>
                <m:t>max</m:t>
              </m:r>
            </m:e>
            <m:lim>
              <m:r>
                <m:t>w</m:t>
              </m:r>
              <m:r>
                <m:rPr>
                  <m:sty m:val="p"/>
                </m:rPr>
                <m:t>,</m:t>
              </m:r>
              <m:r>
                <m:t>H</m:t>
              </m:r>
            </m:lim>
          </m:limLow>
          <m:r>
            <m:t> </m:t>
          </m:r>
          <m:r>
            <m:rPr>
              <m:sty m:val="p"/>
            </m:rPr>
            <m:t>[</m:t>
          </m:r>
          <m:sSub>
            <m:e>
              <m:r>
                <m:t>U</m:t>
              </m:r>
            </m:e>
            <m:sub>
              <m:r>
                <m:t>S</m:t>
              </m:r>
            </m:sub>
          </m:sSub>
          <m:r>
            <m:rPr>
              <m:sty m:val="p"/>
            </m:rPr>
            <m:t>(</m:t>
          </m:r>
          <m:r>
            <m:t>w</m:t>
          </m:r>
          <m:r>
            <m:rPr>
              <m:sty m:val="p"/>
            </m:rPr>
            <m:t>,</m:t>
          </m:r>
          <m:r>
            <m:t>H</m:t>
          </m:r>
          <m:r>
            <m:rPr>
              <m:sty m:val="p"/>
            </m:rPr>
            <m:t>)</m:t>
          </m:r>
          <m:r>
            <m:rPr>
              <m:sty m:val="p"/>
            </m:rPr>
            <m:t>−</m:t>
          </m:r>
          <m:sSubSup>
            <m:e>
              <m:r>
                <m:t>U</m:t>
              </m:r>
            </m:e>
            <m:sub>
              <m:r>
                <m:t>S</m:t>
              </m:r>
            </m:sub>
            <m:sup>
              <m:r>
                <m:t>0</m:t>
              </m:r>
            </m:sup>
          </m:sSubSup>
          <m:sSup>
            <m:e>
              <m:r>
                <m:rPr>
                  <m:sty m:val="p"/>
                </m:rPr>
                <m:t>]</m:t>
              </m:r>
            </m:e>
            <m:sup>
              <m:r>
                <m:t>β</m:t>
              </m:r>
            </m:sup>
          </m:sSup>
          <m:r>
            <m:rPr>
              <m:sty m:val="p"/>
            </m:rPr>
            <m:t>⋅</m:t>
          </m:r>
          <m:r>
            <m:rPr>
              <m:sty m:val="p"/>
            </m:rPr>
            <m:t>[</m:t>
          </m:r>
          <m:r>
            <m:t>π</m:t>
          </m:r>
          <m:r>
            <m:rPr>
              <m:sty m:val="p"/>
            </m:rPr>
            <m:t>(</m:t>
          </m:r>
          <m:r>
            <m:t>w</m:t>
          </m:r>
          <m:r>
            <m:rPr>
              <m:sty m:val="p"/>
            </m:rPr>
            <m:t>,</m:t>
          </m:r>
          <m:r>
            <m:t>H</m:t>
          </m:r>
          <m:r>
            <m:rPr>
              <m:sty m:val="p"/>
            </m:rPr>
            <m:t>)</m:t>
          </m:r>
          <m:r>
            <m:rPr>
              <m:sty m:val="p"/>
            </m:rPr>
            <m:t>−</m:t>
          </m:r>
          <m:sSup>
            <m:e>
              <m:r>
                <m:t>π</m:t>
              </m:r>
            </m:e>
            <m:sup>
              <m:r>
                <m:t>0</m:t>
              </m:r>
            </m:sup>
          </m:sSup>
          <m:sSup>
            <m:e>
              <m:r>
                <m:rPr>
                  <m:sty m:val="p"/>
                </m:rPr>
                <m:t>]</m:t>
              </m:r>
            </m:e>
            <m:sup>
              <m:r>
                <m:t>1</m:t>
              </m:r>
              <m:r>
                <m:rPr>
                  <m:sty m:val="p"/>
                </m:rPr>
                <m:t>−</m:t>
              </m:r>
              <m:r>
                <m:t>β</m:t>
              </m:r>
            </m:sup>
          </m:sSup>
        </m:oMath>
      </m:oMathPara>
    </w:p>
    <w:p>
      <w:pPr>
        <w:pStyle w:val="FirstParagraph"/>
      </w:pPr>
      <w:r>
        <w:t xml:space="preserve">onde</w:t>
      </w:r>
      <w:r>
        <w:t xml:space="preserve"> </w:t>
      </w:r>
      <m:oMath>
        <m:sSub>
          <m:e>
            <m:r>
              <m:t>U</m:t>
            </m:r>
          </m:e>
          <m:sub>
            <m:r>
              <m:t>S</m:t>
            </m:r>
          </m:sub>
        </m:sSub>
      </m:oMath>
      <w:r>
        <w:t xml:space="preserve"> </w:t>
      </w:r>
      <w:r>
        <w:t xml:space="preserve">é a utilidade do sindicato,</w:t>
      </w:r>
      <w:r>
        <w:t xml:space="preserve"> </w:t>
      </w:r>
      <m:oMath>
        <m:r>
          <m:t>π</m:t>
        </m:r>
      </m:oMath>
      <w:r>
        <w:t xml:space="preserve"> </w:t>
      </w:r>
      <w:r>
        <w:t xml:space="preserve">é o lucro da firma, os sobrescritos</w:t>
      </w:r>
      <w:r>
        <w:t xml:space="preserve"> </w:t>
      </w:r>
      <m:oMath>
        <m:r>
          <m:t>0</m:t>
        </m:r>
      </m:oMath>
      <w:r>
        <w:t xml:space="preserve"> </w:t>
      </w:r>
      <w:r>
        <w:t xml:space="preserve">denotam os payoffs no ponto de desacordo (por exemplo, greve prolongada) e</w:t>
      </w:r>
      <w:r>
        <w:t xml:space="preserve"> </w:t>
      </w:r>
      <m:oMath>
        <m:r>
          <m:t>β</m:t>
        </m:r>
        <m:r>
          <m:rPr>
            <m:sty m:val="p"/>
          </m:rPr>
          <m:t>∈</m:t>
        </m:r>
        <m:r>
          <m:rPr>
            <m:sty m:val="p"/>
          </m:rPr>
          <m:t>[</m:t>
        </m:r>
        <m:r>
          <m:t>0</m:t>
        </m:r>
        <m:r>
          <m:rPr>
            <m:sty m:val="p"/>
          </m:rPr>
          <m:t>,</m:t>
        </m:r>
        <m:r>
          <m:t>1</m:t>
        </m:r>
        <m:r>
          <m:rPr>
            <m:sty m:val="p"/>
          </m:rPr>
          <m:t>]</m:t>
        </m:r>
      </m:oMath>
      <w:r>
        <w:t xml:space="preserve"> </w:t>
      </w:r>
      <w:r>
        <w:t xml:space="preserve">mede o poder de barganha relativo do sindicato. Quando</w:t>
      </w:r>
      <w:r>
        <w:t xml:space="preserve"> </w:t>
      </w:r>
      <m:oMath>
        <m:r>
          <m:t>β</m:t>
        </m:r>
        <m:r>
          <m:rPr>
            <m:sty m:val="p"/>
          </m:rPr>
          <m:t>=</m:t>
        </m:r>
        <m:r>
          <m:t>0</m:t>
        </m:r>
      </m:oMath>
      <w:r>
        <w:t xml:space="preserve">, a firma tem todo o poder e o resultado é competitivo; quando</w:t>
      </w:r>
      <w:r>
        <w:t xml:space="preserve"> </w:t>
      </w:r>
      <m:oMath>
        <m:r>
          <m:t>β</m:t>
        </m:r>
        <m:r>
          <m:rPr>
            <m:sty m:val="p"/>
          </m:rPr>
          <m:t>=</m:t>
        </m:r>
        <m:r>
          <m:t>1</m:t>
        </m:r>
      </m:oMath>
      <w:r>
        <w:t xml:space="preserve">, o sindicato tem todo o poder e o resultado se aproxima do monopólio sindical.</w:t>
      </w:r>
    </w:p>
    <w:bookmarkEnd w:id="1092"/>
    <w:bookmarkStart w:id="1096" w:name="X9eb34b4978256694e52fc1015064891e0375f3e"/>
    <w:p>
      <w:pPr>
        <w:pStyle w:val="Heading4"/>
      </w:pPr>
      <w:r>
        <w:t xml:space="preserve">O declínio global dos sindicatos e a desigualdade</w:t>
      </w:r>
    </w:p>
    <w:p>
      <w:pPr>
        <w:pStyle w:val="FirstParagraph"/>
      </w:pPr>
      <w:r>
        <w:t xml:space="preserve">Uma das transformações mais marcantes do mercado de trabalho nas últimas quatro décadas é o</w:t>
      </w:r>
      <w:r>
        <w:t xml:space="preserve"> </w:t>
      </w:r>
      <w:r>
        <w:rPr>
          <w:b/>
          <w:bCs/>
        </w:rPr>
        <w:t xml:space="preserve">declínio da sindicalização</w:t>
      </w:r>
      <w:r>
        <w:t xml:space="preserve"> </w:t>
      </w:r>
      <w:r>
        <w:t xml:space="preserve">na maioria dos países desenvolvidos. Nos Estados Unidos, a taxa de sindicalização caiu de 35% na década de 1950 para cerca de 10% atualmente (e apenas 6% no setor privado). No Reino Unido, a queda foi de 50% para 23%. Mesmo em países com tradição sindical forte, como França e Alemanha, as taxas de cobertura de negociações coletivas têm diminuído.</w:t>
      </w:r>
    </w:p>
    <w:p>
      <w:pPr>
        <w:pStyle w:val="BodyText"/>
      </w:pPr>
      <w:r>
        <w:t xml:space="preserve">Esse declínio resulta de uma combinação de fatores: (i) a desindustrialização e o crescimento do setor de serviços, onde a sindicalização é historicamente menor; (ii) mudanças legislativas que enfraqueceram o poder sindical (como as reformas Thatcher no Reino Unido e a Reforma Trabalhista de 2017 no Brasil); (iii) a globalização e a ameaça de realocação da produção para países com mão de obra mais barata; (iv) o aumento do trabalho temporário, terceirizado e por plataforma (</w:t>
      </w:r>
      <w:r>
        <w:rPr>
          <w:i/>
          <w:iCs/>
        </w:rPr>
        <w:t xml:space="preserve">gig economy</w:t>
      </w:r>
      <w:r>
        <w:t xml:space="preserve">), que dificulta a organização coletiva.</w:t>
      </w:r>
    </w:p>
    <w:p>
      <w:pPr>
        <w:pStyle w:val="BodyText"/>
      </w:pPr>
      <w:r>
        <w:t xml:space="preserve">A relação entre o declínio sindical e o aumento da desigualdade é um dos debates centrais da economia contemporânea. Estudos como o de Farber et al. (2021) para os EUA estimam que a dessindicalização explica entre 20% e 33% do aumento da desigualdade salarial desde 1980. O mecanismo é duplo: sindicatos comprimem a distribuição salarial dentro das firmas sindicalizadas (reduzindo o prêmio para gestores e aumentando o piso para operários) e exercem pressão sobre os salários de firmas não sindicalizadas na mesma região ou setor (efeito</w:t>
      </w:r>
      <w:r>
        <w:t xml:space="preserve"> </w:t>
      </w:r>
      <w:r>
        <w:rPr>
          <w:i/>
          <w:iCs/>
        </w:rPr>
        <w:t xml:space="preserve">threat effect</w:t>
      </w:r>
      <w:r>
        <w:t xml:space="preserve">). Quando os sindicatos enfraquecem, ambos os canais de compressão salarial se dissipam.</w:t>
      </w:r>
    </w:p>
    <w:p>
      <w:pPr>
        <w:pStyle w:val="BodyText"/>
      </w:pPr>
      <w:r>
        <w:t xml:space="preserve">No Brasil, a queda foi ainda mais acentuada: a Reforma Trabalhista de 2017, ao eliminar a contribuição sindical obrigatória, acelerou o declínio da sindicalização para níveis historicamente baixos (ver Box Brasil a seguir). Esse</w:t>
      </w:r>
      <w:r>
        <w:t xml:space="preserve"> </w:t>
      </w:r>
      <w:r>
        <w:t xml:space="preserve">“experimento natural”</w:t>
      </w:r>
      <w:r>
        <w:t xml:space="preserve"> </w:t>
      </w:r>
      <w:r>
        <w:t xml:space="preserve">permite avaliar se o enfraquecimento sindical está associado a maior dispersão salarial nos setores afetados — uma questão empiricamente relevante e ainda em investigação.</w:t>
      </w:r>
    </w:p>
    <w:p>
      <w:pPr>
        <w:pStyle w:val="BodyText"/>
      </w:pPr>
      <w:r>
        <w:t xml:space="preserve">[FIGURA INTERATIVA: /micro-book/graficos/cap17/webr-sindicato.html — versao interativa disponivel online]</w:t>
      </w:r>
    </w:p>
    <w:p>
      <w:pPr>
        <w:pStyle w:val="BodyText"/>
      </w:pPr>
      <w:r>
        <w:rPr>
          <w:b/>
          <w:bCs/>
        </w:rPr>
        <w:t xml:space="preserve">WebR 17.5 — Barganha sindical.</w:t>
      </w:r>
      <w:r>
        <w:t xml:space="preserve"> </w:t>
      </w:r>
      <w:r>
        <w:t xml:space="preserve">Ajuste o poder de barganha</w:t>
      </w:r>
      <w:r>
        <w:t xml:space="preserve"> </w:t>
      </w:r>
      <m:oMath>
        <m:r>
          <m:t>β</m:t>
        </m:r>
      </m:oMath>
      <w:r>
        <w:t xml:space="preserve"> </w:t>
      </w:r>
      <w:r>
        <w:t xml:space="preserve">e visualize como o salário negociado e o emprego variam entre o resultado competitivo e o monopólio sindical.</w:t>
      </w:r>
    </w:p>
    <w:p>
      <w:r>
        <w:pict>
          <v:rect style="width:0;height:1.5pt" o:hralign="center" o:hrstd="t" o:hr="t"/>
        </w:pict>
      </w:r>
    </w:p>
    <w:p>
      <w:pPr>
        <w:pStyle w:val="BlockText"/>
      </w:pPr>
      <w:r>
        <w:rPr>
          <w:b/>
          <w:bCs/>
        </w:rPr>
        <w:t xml:space="preserve">[BOX BRASIL] A informalidade estrutural e os efeitos da Reforma Trabalhista de 2017</w:t>
      </w:r>
    </w:p>
    <w:p>
      <w:pPr>
        <w:pStyle w:val="BlockText"/>
      </w:pPr>
      <w:r>
        <w:t xml:space="preserve">O mercado de trabalho brasileiro é marcado por uma taxa de informalidade persistentemente elevada, que condiciona a eficácia de políticas salariais e trabalhistas.</w:t>
      </w:r>
    </w:p>
    <w:p>
      <w:pPr>
        <w:pStyle w:val="BlockText"/>
      </w:pPr>
      <w:r>
        <w:rPr>
          <w:b/>
          <w:bCs/>
        </w:rPr>
        <w:t xml:space="preserve">Informalidade em números (PNAD Contínua/IBGE):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Indicador</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Taxa de informalidade</w:t>
            </w:r>
          </w:p>
        </w:tc>
        <w:tc>
          <w:tcPr/>
          <w:p>
            <w:pPr>
              <w:pStyle w:val="Compact"/>
              <w:jc w:val="left"/>
            </w:pPr>
            <w:r>
              <w:t xml:space="preserve">39,0%</w:t>
            </w:r>
          </w:p>
        </w:tc>
        <w:tc>
          <w:tcPr/>
          <w:p>
            <w:pPr>
              <w:pStyle w:val="Compact"/>
              <w:jc w:val="left"/>
            </w:pPr>
            <w:r>
              <w:t xml:space="preserve">38,1%</w:t>
            </w:r>
          </w:p>
        </w:tc>
      </w:tr>
      <w:tr>
        <w:tc>
          <w:tcPr/>
          <w:p>
            <w:pPr>
              <w:pStyle w:val="Compact"/>
              <w:jc w:val="left"/>
            </w:pPr>
            <w:r>
              <w:t xml:space="preserve">Empregados com carteira (CLT)</w:t>
            </w:r>
          </w:p>
        </w:tc>
        <w:tc>
          <w:tcPr/>
          <w:p>
            <w:pPr>
              <w:pStyle w:val="Compact"/>
              <w:jc w:val="left"/>
            </w:pPr>
            <w:r>
              <w:t xml:space="preserve">38,4 milhões</w:t>
            </w:r>
          </w:p>
        </w:tc>
        <w:tc>
          <w:tcPr/>
          <w:p>
            <w:pPr>
              <w:pStyle w:val="Compact"/>
              <w:jc w:val="left"/>
            </w:pPr>
            <w:r>
              <w:t xml:space="preserve">39,4 milhões</w:t>
            </w:r>
          </w:p>
        </w:tc>
      </w:tr>
      <w:tr>
        <w:tc>
          <w:tcPr/>
          <w:p>
            <w:pPr>
              <w:pStyle w:val="Compact"/>
              <w:jc w:val="left"/>
            </w:pPr>
            <w:r>
              <w:t xml:space="preserve">Empregados sem carteira</w:t>
            </w:r>
          </w:p>
        </w:tc>
        <w:tc>
          <w:tcPr/>
          <w:p>
            <w:pPr>
              <w:pStyle w:val="Compact"/>
              <w:jc w:val="left"/>
            </w:pPr>
            <w:r>
              <w:t xml:space="preserve">13,2 milhões</w:t>
            </w:r>
          </w:p>
        </w:tc>
        <w:tc>
          <w:tcPr/>
          <w:p>
            <w:pPr>
              <w:pStyle w:val="Compact"/>
              <w:jc w:val="left"/>
            </w:pPr>
            <w:r>
              <w:t xml:space="preserve">13,4 milhões</w:t>
            </w:r>
          </w:p>
        </w:tc>
      </w:tr>
      <w:tr>
        <w:tc>
          <w:tcPr/>
          <w:p>
            <w:pPr>
              <w:pStyle w:val="Compact"/>
              <w:jc w:val="left"/>
            </w:pPr>
            <w:r>
              <w:t xml:space="preserve">Trabalhadores por conta própria</w:t>
            </w:r>
          </w:p>
        </w:tc>
        <w:tc>
          <w:tcPr/>
          <w:p>
            <w:pPr>
              <w:pStyle w:val="Compact"/>
              <w:jc w:val="left"/>
            </w:pPr>
            <w:r>
              <w:t xml:space="preserve">25,4 milhões</w:t>
            </w:r>
          </w:p>
        </w:tc>
        <w:tc>
          <w:tcPr/>
          <w:p>
            <w:pPr>
              <w:pStyle w:val="Compact"/>
              <w:jc w:val="left"/>
            </w:pPr>
            <w:r>
              <w:t xml:space="preserve">26,2 milhões</w:t>
            </w:r>
          </w:p>
        </w:tc>
      </w:tr>
      <w:tr>
        <w:tc>
          <w:tcPr/>
          <w:p>
            <w:pPr>
              <w:pStyle w:val="Compact"/>
              <w:jc w:val="left"/>
            </w:pPr>
            <w:r>
              <w:t xml:space="preserve">Rendimento real médio habitual</w:t>
            </w:r>
          </w:p>
        </w:tc>
        <w:tc>
          <w:tcPr/>
          <w:p>
            <w:pPr>
              <w:pStyle w:val="Compact"/>
              <w:jc w:val="left"/>
            </w:pPr>
            <w:r>
              <w:t xml:space="preserve">R$ 3.470</w:t>
            </w:r>
          </w:p>
        </w:tc>
        <w:tc>
          <w:tcPr/>
          <w:p>
            <w:pPr>
              <w:pStyle w:val="Compact"/>
              <w:jc w:val="left"/>
            </w:pPr>
            <w:r>
              <w:t xml:space="preserve">R$ 3.652</w:t>
            </w:r>
          </w:p>
        </w:tc>
      </w:tr>
      <w:tr>
        <w:tc>
          <w:tcPr/>
          <w:p>
            <w:pPr>
              <w:pStyle w:val="Compact"/>
              <w:jc w:val="left"/>
            </w:pPr>
            <w:r>
              <w:t xml:space="preserve">Taxa de desocupação</w:t>
            </w:r>
          </w:p>
        </w:tc>
        <w:tc>
          <w:tcPr/>
          <w:p>
            <w:pPr>
              <w:pStyle w:val="Compact"/>
              <w:jc w:val="left"/>
            </w:pPr>
            <w:r>
              <w:t xml:space="preserve">6,6%</w:t>
            </w:r>
          </w:p>
        </w:tc>
        <w:tc>
          <w:tcPr/>
          <w:p>
            <w:pPr>
              <w:pStyle w:val="Compact"/>
              <w:jc w:val="left"/>
            </w:pPr>
            <w:r>
              <w:t xml:space="preserve">5,6%</w:t>
            </w:r>
          </w:p>
        </w:tc>
      </w:tr>
    </w:tbl>
    <w:p>
      <w:pPr>
        <w:pStyle w:val="BlockText"/>
      </w:pPr>
      <w:r>
        <w:rPr>
          <w:i/>
          <w:iCs/>
        </w:rPr>
        <w:t xml:space="preserve">Fonte: PNAD Contínua/IBGE, médias anuais 2024-2025.</w:t>
      </w:r>
    </w:p>
    <w:p>
      <w:pPr>
        <w:pStyle w:val="BlockText"/>
      </w:pPr>
      <w:r>
        <w:rPr>
          <w:b/>
          <w:bCs/>
        </w:rPr>
        <w:t xml:space="preserve">Reforma Trabalhista de 2017:</w:t>
      </w:r>
    </w:p>
    <w:p>
      <w:pPr>
        <w:pStyle w:val="BlockText"/>
      </w:pPr>
      <w:r>
        <w:t xml:space="preserve">A Lei 13.467/2017 promoveu ampla flexibilização das relações de trabalho, com destaque para o fim da contribuição sindical obrigatória. Os efeitos sobre os sindicatos foram imediatos e profundos:</w:t>
      </w:r>
    </w:p>
    <w:p>
      <w:pPr>
        <w:pStyle w:val="Compact"/>
        <w:numPr>
          <w:ilvl w:val="0"/>
          <w:numId w:val="1943"/>
        </w:numPr>
      </w:pPr>
      <w:r>
        <w:t xml:space="preserve">A</w:t>
      </w:r>
      <w:r>
        <w:t xml:space="preserve"> </w:t>
      </w:r>
      <w:r>
        <w:rPr>
          <w:b/>
          <w:bCs/>
        </w:rPr>
        <w:t xml:space="preserve">taxa de sindicalização</w:t>
      </w:r>
      <w:r>
        <w:t xml:space="preserve"> </w:t>
      </w:r>
      <w:r>
        <w:t xml:space="preserve">caiu de 16,1% (2012) para</w:t>
      </w:r>
      <w:r>
        <w:t xml:space="preserve"> </w:t>
      </w:r>
      <w:r>
        <w:rPr>
          <w:b/>
          <w:bCs/>
        </w:rPr>
        <w:t xml:space="preserve">8,4%</w:t>
      </w:r>
      <w:r>
        <w:t xml:space="preserve"> </w:t>
      </w:r>
      <w:r>
        <w:t xml:space="preserve">(2023), o menor patamar da série histórica do IBGE.</w:t>
      </w:r>
    </w:p>
    <w:p>
      <w:pPr>
        <w:pStyle w:val="Compact"/>
        <w:numPr>
          <w:ilvl w:val="0"/>
          <w:numId w:val="1943"/>
        </w:numPr>
      </w:pPr>
      <w:r>
        <w:t xml:space="preserve">A receita dos sindicatos despencou cerca de</w:t>
      </w:r>
      <w:r>
        <w:t xml:space="preserve"> </w:t>
      </w:r>
      <w:r>
        <w:rPr>
          <w:b/>
          <w:bCs/>
        </w:rPr>
        <w:t xml:space="preserve">90%</w:t>
      </w:r>
      <w:r>
        <w:t xml:space="preserve"> </w:t>
      </w:r>
      <w:r>
        <w:t xml:space="preserve">no primeiro ano após a reforma, comprometendo a capacidade de negociação coletiva e de fiscalização em regiões remotas.</w:t>
      </w:r>
    </w:p>
    <w:p>
      <w:pPr>
        <w:pStyle w:val="BlockText"/>
      </w:pPr>
      <w:r>
        <w:rPr>
          <w:b/>
          <w:bCs/>
        </w:rPr>
        <w:t xml:space="preserve">Conexão com a teoria:</w:t>
      </w:r>
    </w:p>
    <w:p>
      <w:pPr>
        <w:pStyle w:val="BlockText"/>
      </w:pPr>
      <w:r>
        <w:t xml:space="preserve">O modelo de monopólio sindical (seção 17.8) prevê que sindicatos mais fortes elevam salários acima do nível competitivo, ao custo de menor emprego. A drástica redução do poder sindical após 2017 representa um</w:t>
      </w:r>
      <w:r>
        <w:t xml:space="preserve"> </w:t>
      </w:r>
      <w:r>
        <w:t xml:space="preserve">“experimento natural”</w:t>
      </w:r>
      <w:r>
        <w:t xml:space="preserve"> </w:t>
      </w:r>
      <w:r>
        <w:t xml:space="preserve">que permite testar essa previsão: se o modelo está correto, o enfraquecimento sindical deveria aproximar os salários negociados do equilíbrio competitivo.</w:t>
      </w:r>
    </w:p>
    <w:p>
      <w:pPr>
        <w:pStyle w:val="BlockText"/>
      </w:pPr>
      <w:r>
        <w:rPr>
          <w:i/>
          <w:iCs/>
        </w:rPr>
        <w:t xml:space="preserve">Fonte: PNAD Contínua/IBGE;</w:t>
      </w:r>
      <w:r>
        <w:rPr>
          <w:i/>
          <w:iCs/>
        </w:rPr>
        <w:t xml:space="preserve"> </w:t>
      </w:r>
      <w:hyperlink r:id="rId214">
        <w:r>
          <w:rPr>
            <w:rStyle w:val="Hyperlink"/>
            <w:i/>
            <w:iCs/>
          </w:rPr>
          <w:t xml:space="preserve">IPEA</w:t>
        </w:r>
      </w:hyperlink>
      <w:r>
        <w:rPr>
          <w:i/>
          <w:iCs/>
        </w:rPr>
        <w:t xml:space="preserve">, Nota Técnica sobre Reforma Trabalhista, 2023.</w:t>
      </w:r>
    </w:p>
    <w:p>
      <w:r>
        <w:pict>
          <v:rect style="width:0;height:1.5pt" o:hralign="center" o:hrstd="t" o:hr="t"/>
        </w:pict>
      </w:r>
    </w:p>
    <w:p>
      <w:pPr>
        <w:pStyle w:val="BlockText"/>
      </w:pPr>
      <w:r>
        <w:rPr>
          <w:b/>
          <w:bCs/>
        </w:rPr>
        <w:t xml:space="preserve">[BOX MUNDO] Box Mundo 17.1 — O modelo nórdico de mercado de trabalho: flexicurity</w:t>
      </w:r>
    </w:p>
    <w:p>
      <w:pPr>
        <w:pStyle w:val="BlockText"/>
      </w:pPr>
      <w:r>
        <w:rPr>
          <w:b/>
          <w:bCs/>
        </w:rPr>
        <w:t xml:space="preserve">Contexto:</w:t>
      </w:r>
      <w:r>
        <w:t xml:space="preserve"> </w:t>
      </w:r>
      <w:r>
        <w:t xml:space="preserve">Os países nórdicos (Dinamarca, Suécia, Noruega, Finlândia) combinam altas taxas de sindicalização com mercados de trabalho flexíveis e baixos níveis de desigualdade — um aparente paradoxo para modelos que preveem rigidez quando sindicatos são fortes. O segredo reside no modelo de</w:t>
      </w:r>
      <w:r>
        <w:t xml:space="preserve"> </w:t>
      </w:r>
      <w:r>
        <w:rPr>
          <w:b/>
          <w:bCs/>
        </w:rPr>
        <w:t xml:space="preserve">flexicurity</w:t>
      </w:r>
      <w:r>
        <w:t xml:space="preserve"> </w:t>
      </w:r>
      <w:r>
        <w:t xml:space="preserve">(</w:t>
      </w:r>
      <w:r>
        <w:rPr>
          <w:i/>
          <w:iCs/>
        </w:rPr>
        <w:t xml:space="preserve">flexibilidade + segurança</w:t>
      </w:r>
      <w:r>
        <w:t xml:space="preserve">), particularmente desenvolvido na Dinamarca.</w:t>
      </w:r>
    </w:p>
    <w:p>
      <w:pPr>
        <w:pStyle w:val="BlockText"/>
      </w:pPr>
      <w:r>
        <w:rPr>
          <w:b/>
          <w:bCs/>
        </w:rPr>
        <w:t xml:space="preserve">Dados:</w:t>
      </w:r>
    </w:p>
    <w:tbl>
      <w:tblPr>
        <w:tblStyle w:val="Table"/>
        <w:tblW w:type="pct" w:w="5000"/>
        <w:tblLayout w:type="fixed"/>
        <w:tblLook w:firstRow="1" w:lastRow="0" w:firstColumn="0" w:lastColumn="0" w:noHBand="0" w:noVBand="0" w:val="0020"/>
      </w:tblPr>
      <w:tblGrid>
        <w:gridCol w:w="484"/>
        <w:gridCol w:w="2424"/>
        <w:gridCol w:w="2182"/>
        <w:gridCol w:w="2828"/>
      </w:tblGrid>
      <w:tr>
        <w:trPr>
          <w:tblHeader w:val="on"/>
        </w:trPr>
        <w:tc>
          <w:tcPr/>
          <w:p>
            <w:pPr>
              <w:pStyle w:val="Compact"/>
              <w:jc w:val="left"/>
            </w:pPr>
            <w:r>
              <w:t xml:space="preserve">País</w:t>
            </w:r>
          </w:p>
        </w:tc>
        <w:tc>
          <w:tcPr/>
          <w:p>
            <w:pPr>
              <w:pStyle w:val="Compact"/>
              <w:jc w:val="left"/>
            </w:pPr>
            <w:r>
              <w:t xml:space="preserve">Taxa de sindicalização (2023)</w:t>
            </w:r>
          </w:p>
        </w:tc>
        <w:tc>
          <w:tcPr/>
          <w:p>
            <w:pPr>
              <w:pStyle w:val="Compact"/>
              <w:jc w:val="left"/>
            </w:pPr>
            <w:r>
              <w:t xml:space="preserve">Taxa de desemprego (2024)</w:t>
            </w:r>
          </w:p>
        </w:tc>
        <w:tc>
          <w:tcPr/>
          <w:p>
            <w:pPr>
              <w:pStyle w:val="Compact"/>
              <w:jc w:val="left"/>
            </w:pPr>
            <w:r>
              <w:t xml:space="preserve">Índice de Gini (renda disponível)</w:t>
            </w:r>
          </w:p>
        </w:tc>
      </w:tr>
      <w:tr>
        <w:tc>
          <w:tcPr/>
          <w:p>
            <w:pPr>
              <w:pStyle w:val="Compact"/>
              <w:jc w:val="left"/>
            </w:pPr>
            <w:r>
              <w:t xml:space="preserve">Dinamarca</w:t>
            </w:r>
          </w:p>
        </w:tc>
        <w:tc>
          <w:tcPr/>
          <w:p>
            <w:pPr>
              <w:pStyle w:val="Compact"/>
              <w:jc w:val="left"/>
            </w:pPr>
            <w:r>
              <w:t xml:space="preserve">67%</w:t>
            </w:r>
          </w:p>
        </w:tc>
        <w:tc>
          <w:tcPr/>
          <w:p>
            <w:pPr>
              <w:pStyle w:val="Compact"/>
              <w:jc w:val="left"/>
            </w:pPr>
            <w:r>
              <w:t xml:space="preserve">5,0%</w:t>
            </w:r>
          </w:p>
        </w:tc>
        <w:tc>
          <w:tcPr/>
          <w:p>
            <w:pPr>
              <w:pStyle w:val="Compact"/>
              <w:jc w:val="left"/>
            </w:pPr>
            <w:r>
              <w:t xml:space="preserve">0,28</w:t>
            </w:r>
          </w:p>
        </w:tc>
      </w:tr>
      <w:tr>
        <w:tc>
          <w:tcPr/>
          <w:p>
            <w:pPr>
              <w:pStyle w:val="Compact"/>
              <w:jc w:val="left"/>
            </w:pPr>
            <w:r>
              <w:t xml:space="preserve">Suécia</w:t>
            </w:r>
          </w:p>
        </w:tc>
        <w:tc>
          <w:tcPr/>
          <w:p>
            <w:pPr>
              <w:pStyle w:val="Compact"/>
              <w:jc w:val="left"/>
            </w:pPr>
            <w:r>
              <w:t xml:space="preserve">65%</w:t>
            </w:r>
          </w:p>
        </w:tc>
        <w:tc>
          <w:tcPr/>
          <w:p>
            <w:pPr>
              <w:pStyle w:val="Compact"/>
              <w:jc w:val="left"/>
            </w:pPr>
            <w:r>
              <w:t xml:space="preserve">8,3%</w:t>
            </w:r>
          </w:p>
        </w:tc>
        <w:tc>
          <w:tcPr/>
          <w:p>
            <w:pPr>
              <w:pStyle w:val="Compact"/>
              <w:jc w:val="left"/>
            </w:pPr>
            <w:r>
              <w:t xml:space="preserve">0,28</w:t>
            </w:r>
          </w:p>
        </w:tc>
      </w:tr>
      <w:tr>
        <w:tc>
          <w:tcPr/>
          <w:p>
            <w:pPr>
              <w:pStyle w:val="Compact"/>
              <w:jc w:val="left"/>
            </w:pPr>
            <w:r>
              <w:t xml:space="preserve">Noruega</w:t>
            </w:r>
          </w:p>
        </w:tc>
        <w:tc>
          <w:tcPr/>
          <w:p>
            <w:pPr>
              <w:pStyle w:val="Compact"/>
              <w:jc w:val="left"/>
            </w:pPr>
            <w:r>
              <w:t xml:space="preserve">50%</w:t>
            </w:r>
          </w:p>
        </w:tc>
        <w:tc>
          <w:tcPr/>
          <w:p>
            <w:pPr>
              <w:pStyle w:val="Compact"/>
              <w:jc w:val="left"/>
            </w:pPr>
            <w:r>
              <w:t xml:space="preserve">3,7%</w:t>
            </w:r>
          </w:p>
        </w:tc>
        <w:tc>
          <w:tcPr/>
          <w:p>
            <w:pPr>
              <w:pStyle w:val="Compact"/>
              <w:jc w:val="left"/>
            </w:pPr>
            <w:r>
              <w:t xml:space="preserve">0,26</w:t>
            </w:r>
          </w:p>
        </w:tc>
      </w:tr>
      <w:tr>
        <w:tc>
          <w:tcPr/>
          <w:p>
            <w:pPr>
              <w:pStyle w:val="Compact"/>
              <w:jc w:val="left"/>
            </w:pPr>
            <w:r>
              <w:t xml:space="preserve">EUA</w:t>
            </w:r>
          </w:p>
        </w:tc>
        <w:tc>
          <w:tcPr/>
          <w:p>
            <w:pPr>
              <w:pStyle w:val="Compact"/>
              <w:jc w:val="left"/>
            </w:pPr>
            <w:r>
              <w:t xml:space="preserve">10%</w:t>
            </w:r>
          </w:p>
        </w:tc>
        <w:tc>
          <w:tcPr/>
          <w:p>
            <w:pPr>
              <w:pStyle w:val="Compact"/>
              <w:jc w:val="left"/>
            </w:pPr>
            <w:r>
              <w:t xml:space="preserve">4,1%</w:t>
            </w:r>
          </w:p>
        </w:tc>
        <w:tc>
          <w:tcPr/>
          <w:p>
            <w:pPr>
              <w:pStyle w:val="Compact"/>
              <w:jc w:val="left"/>
            </w:pPr>
            <w:r>
              <w:t xml:space="preserve">0,39</w:t>
            </w:r>
          </w:p>
        </w:tc>
      </w:tr>
      <w:tr>
        <w:tc>
          <w:tcPr/>
          <w:p>
            <w:pPr>
              <w:pStyle w:val="Compact"/>
              <w:jc w:val="left"/>
            </w:pPr>
            <w:r>
              <w:t xml:space="preserve">Brasil</w:t>
            </w:r>
          </w:p>
        </w:tc>
        <w:tc>
          <w:tcPr/>
          <w:p>
            <w:pPr>
              <w:pStyle w:val="Compact"/>
              <w:jc w:val="left"/>
            </w:pPr>
            <w:r>
              <w:t xml:space="preserve">8,4%</w:t>
            </w:r>
          </w:p>
        </w:tc>
        <w:tc>
          <w:tcPr/>
          <w:p>
            <w:pPr>
              <w:pStyle w:val="Compact"/>
              <w:jc w:val="left"/>
            </w:pPr>
            <w:r>
              <w:t xml:space="preserve">5,6%</w:t>
            </w:r>
          </w:p>
        </w:tc>
        <w:tc>
          <w:tcPr/>
          <w:p>
            <w:pPr>
              <w:pStyle w:val="Compact"/>
              <w:jc w:val="left"/>
            </w:pPr>
            <w:r>
              <w:t xml:space="preserve">0,52</w:t>
            </w:r>
          </w:p>
        </w:tc>
      </w:tr>
    </w:tbl>
    <w:p>
      <w:pPr>
        <w:pStyle w:val="BlockText"/>
      </w:pPr>
      <w:r>
        <w:rPr>
          <w:i/>
          <w:iCs/>
        </w:rPr>
        <w:t xml:space="preserve">Fonte: OCDE,</w:t>
      </w:r>
      <w:r>
        <w:rPr>
          <w:i/>
          <w:iCs/>
        </w:rPr>
        <w:t xml:space="preserve"> </w:t>
      </w:r>
      <w:hyperlink r:id="rId1093">
        <w:r>
          <w:rPr>
            <w:rStyle w:val="Hyperlink"/>
            <w:i/>
            <w:iCs/>
          </w:rPr>
          <w:t xml:space="preserve">Statistics</w:t>
        </w:r>
      </w:hyperlink>
      <w:r>
        <w:rPr>
          <w:i/>
          <w:iCs/>
        </w:rPr>
        <w:t xml:space="preserve">; OIT,</w:t>
      </w:r>
      <w:r>
        <w:rPr>
          <w:i/>
          <w:iCs/>
        </w:rPr>
        <w:t xml:space="preserve"> </w:t>
      </w:r>
      <w:hyperlink r:id="rId1094">
        <w:r>
          <w:rPr>
            <w:rStyle w:val="Hyperlink"/>
            <w:i/>
            <w:iCs/>
          </w:rPr>
          <w:t xml:space="preserve">ILOSTAT</w:t>
        </w:r>
      </w:hyperlink>
      <w:r>
        <w:rPr>
          <w:i/>
          <w:iCs/>
        </w:rPr>
        <w:t xml:space="preserve">; IBGE, PNAD Contínua 2024–2025.</w:t>
      </w:r>
    </w:p>
    <w:p>
      <w:pPr>
        <w:pStyle w:val="BlockText"/>
      </w:pPr>
      <w:r>
        <w:rPr>
          <w:b/>
          <w:bCs/>
        </w:rPr>
        <w:t xml:space="preserve">Análise:</w:t>
      </w:r>
      <w:r>
        <w:t xml:space="preserve"> </w:t>
      </w:r>
      <w:r>
        <w:t xml:space="preserve">O modelo nórdico opera em três pilares: (i)</w:t>
      </w:r>
      <w:r>
        <w:t xml:space="preserve"> </w:t>
      </w:r>
      <w:r>
        <w:rPr>
          <w:b/>
          <w:bCs/>
        </w:rPr>
        <w:t xml:space="preserve">flexibilidade para demitir</w:t>
      </w:r>
      <w:r>
        <w:t xml:space="preserve"> </w:t>
      </w:r>
      <w:r>
        <w:t xml:space="preserve">— firmas podem ajustar o emprego com facilidade, sem custos de demissão elevados; (ii)</w:t>
      </w:r>
      <w:r>
        <w:t xml:space="preserve"> </w:t>
      </w:r>
      <w:r>
        <w:rPr>
          <w:b/>
          <w:bCs/>
        </w:rPr>
        <w:t xml:space="preserve">generoso seguro-desemprego</w:t>
      </w:r>
      <w:r>
        <w:t xml:space="preserve"> </w:t>
      </w:r>
      <w:r>
        <w:t xml:space="preserve">— o trabalhador demitido recebe até 90% do salário anterior por até dois anos na Dinamarca; (iii)</w:t>
      </w:r>
      <w:r>
        <w:t xml:space="preserve"> </w:t>
      </w:r>
      <w:r>
        <w:rPr>
          <w:b/>
          <w:bCs/>
        </w:rPr>
        <w:t xml:space="preserve">políticas ativas de emprego</w:t>
      </w:r>
      <w:r>
        <w:t xml:space="preserve"> </w:t>
      </w:r>
      <w:r>
        <w:t xml:space="preserve">— programas de requalificação, intermediação de mão de obra e incentivos à recolocação. A negociação coletiva é centralizada e coordenada, com sindicatos e associações patronais negociando pisos salariais por setor (sem salário mínimo legal na Dinamarca e na Suécia). A compressão salarial resultante — a diferença entre o salário mais alto e o mais baixo é muito menor que nos EUA — é uma consequência direta do poder de barganha sindical coordenado. O modelo demonstra que a barganha eficiente (seção 17.8), quando institucionalizada em nível nacional, pode aproximar o resultado do ótimo de Pareto.</w:t>
      </w:r>
    </w:p>
    <w:p>
      <w:pPr>
        <w:pStyle w:val="BlockText"/>
      </w:pPr>
      <w:r>
        <w:rPr>
          <w:b/>
          <w:bCs/>
        </w:rPr>
        <w:t xml:space="preserve">Para refletir:</w:t>
      </w:r>
      <w:r>
        <w:t xml:space="preserve"> </w:t>
      </w:r>
      <w:r>
        <w:t xml:space="preserve">Se sindicatos fortes podem coexistir com flexibilidade e baixo desemprego nos países nórdicos, por que a sindicalização é frequentemente vista como obstáculo à eficiência? Que fatores institucionais (tamanho do país, homogeneidade social, cultura de cooperação) podem limitar a replicabilidade do modelo nórdico em países grandes e desiguais como o Brasil?</w:t>
      </w:r>
    </w:p>
    <w:p>
      <w:r>
        <w:pict>
          <v:rect style="width:0;height:1.5pt" o:hralign="center" o:hrstd="t" o:hr="t"/>
        </w:pict>
      </w:r>
    </w:p>
    <w:p>
      <w:pPr>
        <w:pStyle w:val="BlockText"/>
      </w:pPr>
      <w:r>
        <w:rPr>
          <w:b/>
          <w:bCs/>
        </w:rPr>
        <w:t xml:space="preserve">[BOX BRASIL] O salário mínimo e o debate sobre o</w:t>
      </w:r>
      <w:r>
        <w:rPr>
          <w:b/>
          <w:bCs/>
        </w:rPr>
        <w:t xml:space="preserve"> </w:t>
      </w:r>
      <w:r>
        <w:rPr>
          <w:b/>
          <w:bCs/>
        </w:rPr>
        <w:t xml:space="preserve">‘efeito-farol’</w:t>
      </w:r>
    </w:p>
    <w:p>
      <w:pPr>
        <w:pStyle w:val="BlockText"/>
      </w:pPr>
      <w:r>
        <w:t xml:space="preserve">O salário mínimo (SM) no Brasil desempenha um papel que vai muito além de um piso salarial para trabalhadores formais com carteira assinada. Ele serve como</w:t>
      </w:r>
      <w:r>
        <w:t xml:space="preserve"> </w:t>
      </w:r>
      <w:r>
        <w:rPr>
          <w:b/>
          <w:bCs/>
        </w:rPr>
        <w:t xml:space="preserve">referência</w:t>
      </w:r>
      <w:r>
        <w:t xml:space="preserve"> </w:t>
      </w:r>
      <w:r>
        <w:t xml:space="preserve">(ou</w:t>
      </w:r>
      <w:r>
        <w:t xml:space="preserve"> </w:t>
      </w:r>
      <w:r>
        <w:t xml:space="preserve">“farol”</w:t>
      </w:r>
      <w:r>
        <w:t xml:space="preserve">) para a fixação de salários em todo o mercado de trabalho — inclusive no setor informal, onde não há obrigação legal de cumpri-lo.</w:t>
      </w:r>
    </w:p>
    <w:p>
      <w:pPr>
        <w:pStyle w:val="BlockText"/>
      </w:pPr>
      <w:r>
        <w:rPr>
          <w:b/>
          <w:bCs/>
        </w:rPr>
        <w:t xml:space="preserve">Fatos estilizados:</w:t>
      </w:r>
    </w:p>
    <w:p>
      <w:pPr>
        <w:pStyle w:val="Compact"/>
        <w:numPr>
          <w:ilvl w:val="0"/>
          <w:numId w:val="1944"/>
        </w:numPr>
      </w:pPr>
      <w:r>
        <w:t xml:space="preserve">O SM real cresceu significativamente entre 2003 e 2014, acumulando ganho real superior a 70% no período. A política de valorização do SM adotada a partir de 2007 previa reajustes pela inflação acumulada mais o crescimento do PIB.</w:t>
      </w:r>
    </w:p>
    <w:p>
      <w:pPr>
        <w:pStyle w:val="Compact"/>
        <w:numPr>
          <w:ilvl w:val="0"/>
          <w:numId w:val="1944"/>
        </w:numPr>
      </w:pPr>
      <w:r>
        <w:t xml:space="preserve">Em 2025, o SM atingiu</w:t>
      </w:r>
      <w:r>
        <w:t xml:space="preserve"> </w:t>
      </w:r>
      <w:r>
        <w:rPr>
          <w:b/>
          <w:bCs/>
        </w:rPr>
        <w:t xml:space="preserve">R$ 1.518</w:t>
      </w:r>
      <w:r>
        <w:t xml:space="preserve">, beneficiando diretamente cerca de 59,9 milhões de brasileiros entre trabalhadores formais, informais, aposentados e pensionistas.</w:t>
      </w:r>
    </w:p>
    <w:p>
      <w:pPr>
        <w:pStyle w:val="Compact"/>
        <w:numPr>
          <w:ilvl w:val="0"/>
          <w:numId w:val="1944"/>
        </w:numPr>
      </w:pPr>
      <w:r>
        <w:t xml:space="preserve">O</w:t>
      </w:r>
      <w:r>
        <w:t xml:space="preserve"> </w:t>
      </w:r>
      <w:r>
        <w:rPr>
          <w:b/>
          <w:bCs/>
        </w:rPr>
        <w:t xml:space="preserve">efeito-farol</w:t>
      </w:r>
      <w:r>
        <w:t xml:space="preserve">, documentado em estudos do IPEA (Neri, Gonzaga e Camargo, 2001; Saboia, 2007), mostra que aumentos no SM elevam salários não apenas no setor formal, mas também no informal, e até afetam rendimentos de trabalhadores por conta própria e aposentadorias/pensões (que são indexadas ao SM).</w:t>
      </w:r>
    </w:p>
    <w:p>
      <w:pPr>
        <w:pStyle w:val="BlockText"/>
      </w:pPr>
      <w:r>
        <w:rPr>
          <w:b/>
          <w:bCs/>
        </w:rPr>
        <w:t xml:space="preserve">Impactos sobre emprego e informalidade:</w:t>
      </w:r>
    </w:p>
    <w:p>
      <w:pPr>
        <w:pStyle w:val="BlockText"/>
      </w:pPr>
      <w:r>
        <w:t xml:space="preserve">O debate empírico sobre os efeitos do SM sobre o emprego no Brasil é rico:</w:t>
      </w:r>
    </w:p>
    <w:p>
      <w:pPr>
        <w:pStyle w:val="Compact"/>
        <w:numPr>
          <w:ilvl w:val="0"/>
          <w:numId w:val="1945"/>
        </w:numPr>
      </w:pPr>
      <w:r>
        <w:t xml:space="preserve">Estudos como Corseuil e Carneiro (2001) encontraram efeitos negativos pequenos sobre o emprego formal, mas significativos sobre a informalidade.</w:t>
      </w:r>
    </w:p>
    <w:p>
      <w:pPr>
        <w:pStyle w:val="Compact"/>
        <w:numPr>
          <w:ilvl w:val="0"/>
          <w:numId w:val="1945"/>
        </w:numPr>
      </w:pPr>
      <w:r>
        <w:t xml:space="preserve">Lemos (2009) mostrou que o efeito compressão salarial (redução da desigualdade) domina o efeito desemprego.</w:t>
      </w:r>
    </w:p>
    <w:p>
      <w:pPr>
        <w:pStyle w:val="Compact"/>
        <w:numPr>
          <w:ilvl w:val="0"/>
          <w:numId w:val="1945"/>
        </w:numPr>
      </w:pPr>
      <w:hyperlink r:id="rId1095">
        <w:r>
          <w:rPr>
            <w:rStyle w:val="Hyperlink"/>
          </w:rPr>
          <w:t xml:space="preserve">Engbom e Moser (2022)</w:t>
        </w:r>
      </w:hyperlink>
      <w:r>
        <w:t xml:space="preserve"> </w:t>
      </w:r>
      <w:r>
        <w:t xml:space="preserve">estimam que a alta real de 128% do SM entre 1996 e 2018 explica</w:t>
      </w:r>
      <w:r>
        <w:t xml:space="preserve"> </w:t>
      </w:r>
      <w:r>
        <w:rPr>
          <w:b/>
          <w:bCs/>
        </w:rPr>
        <w:t xml:space="preserve">45% da queda da desigualdade salarial</w:t>
      </w:r>
      <w:r>
        <w:t xml:space="preserve"> </w:t>
      </w:r>
      <w:r>
        <w:t xml:space="preserve">no período, com efeitos limitados sobre o emprego total.</w:t>
      </w:r>
    </w:p>
    <w:p>
      <w:pPr>
        <w:pStyle w:val="Compact"/>
        <w:numPr>
          <w:ilvl w:val="0"/>
          <w:numId w:val="1945"/>
        </w:numPr>
      </w:pPr>
      <w:r>
        <w:t xml:space="preserve">Dados do CAGED/MTE e da PNAD indicam que a elevação do SM tende a aumentar a proporção de trabalhadores na informalidade, pois empregadores que não conseguem pagar o novo piso migram para relações informais.</w:t>
      </w:r>
    </w:p>
    <w:p>
      <w:pPr>
        <w:pStyle w:val="BlockText"/>
      </w:pPr>
      <w:r>
        <w:t xml:space="preserve">Como mostra a tabela do Box Brasil anterior, a elevada taxa de informalidade (38,1% em 2025) implica que uma parcela substancial da força de trabalho opera à margem da legislação trabalhista, o que limita a eficácia de políticas baseadas exclusivamente em regulação do mercado formal. Em 2025, o SM atingiu R$ 1.518, com rendimento real médio habitual de R$ 3.652 (PNAD Contínua/IBGE).</w:t>
      </w:r>
    </w:p>
    <w:bookmarkEnd w:id="1096"/>
    <w:bookmarkEnd w:id="1097"/>
    <w:bookmarkEnd w:id="1098"/>
    <w:bookmarkStart w:id="1104" w:name="fatores-e-terra"/>
    <w:p>
      <w:pPr>
        <w:pStyle w:val="Heading2"/>
      </w:pPr>
      <w:r>
        <w:t xml:space="preserve">17.9–17.10 Fatores e Terra</w:t>
      </w:r>
    </w:p>
    <w:bookmarkStart w:id="1099" w:name="Xe44d2771c052d44058245eda6cb334689ca78cc"/>
    <w:p>
      <w:pPr>
        <w:pStyle w:val="Heading3"/>
      </w:pPr>
      <w:r>
        <w:t xml:space="preserve">17.9 Cabo de Guerra entre Dois Efeitos: Substituição vs. Renda</w:t>
      </w:r>
    </w:p>
    <w:p>
      <w:pPr>
        <w:pStyle w:val="FirstParagraph"/>
      </w:pPr>
      <w:r>
        <w:t xml:space="preserve">O efeito substituição puxa para um lado, o efeito renda puxa para o outro — e o resultado muda conforme o tipo de choque. Para não perder o fio, a</w:t>
      </w:r>
      <w:r>
        <w:t xml:space="preserve"> </w:t>
      </w:r>
      <w:hyperlink w:anchor="tabela-17-2">
        <w:r>
          <w:rPr>
            <w:rStyle w:val="Hyperlink"/>
          </w:rPr>
          <w:t xml:space="preserve">Tabela 17.2</w:t>
        </w:r>
      </w:hyperlink>
      <w:r>
        <w:t xml:space="preserve"> </w:t>
      </w:r>
      <w:r>
        <w:t xml:space="preserve">decompõe os efeitos substituição e renda para diferentes variações.</w:t>
      </w:r>
    </w:p>
    <w:tbl>
      <w:tblPr>
        <w:tblStyle w:val="Table"/>
        <w:tblW w:type="pct" w:w="5000"/>
        <w:tblLayout w:type="fixed"/>
        <w:tblLook w:firstRow="1" w:lastRow="0" w:firstColumn="0" w:lastColumn="0" w:noHBand="0" w:noVBand="0" w:val="0020"/>
      </w:tblPr>
      <w:tblGrid>
        <w:gridCol w:w="1182"/>
        <w:gridCol w:w="2364"/>
        <w:gridCol w:w="1654"/>
        <w:gridCol w:w="2718"/>
      </w:tblGrid>
      <w:tr>
        <w:trPr>
          <w:tblHeader w:val="on"/>
        </w:trPr>
        <w:tc>
          <w:tcPr/>
          <w:p>
            <w:pPr>
              <w:pStyle w:val="Compact"/>
              <w:jc w:val="left"/>
            </w:pPr>
            <w:r>
              <w:t xml:space="preserve">Variação</w:t>
            </w:r>
          </w:p>
        </w:tc>
        <w:tc>
          <w:tcPr/>
          <w:p>
            <w:pPr>
              <w:pStyle w:val="Compact"/>
              <w:jc w:val="left"/>
            </w:pPr>
            <w:r>
              <w:t xml:space="preserve">Efeito Substituição</w:t>
            </w:r>
          </w:p>
        </w:tc>
        <w:tc>
          <w:tcPr/>
          <w:p>
            <w:pPr>
              <w:pStyle w:val="Compact"/>
              <w:jc w:val="left"/>
            </w:pPr>
            <w:r>
              <w:t xml:space="preserve">Efeito Renda</w:t>
            </w:r>
          </w:p>
        </w:tc>
        <w:tc>
          <w:tcPr/>
          <w:p>
            <w:pPr>
              <w:pStyle w:val="Compact"/>
              <w:jc w:val="left"/>
            </w:pPr>
            <w:r>
              <w:t xml:space="preserve">Resultado sobre</w:t>
            </w:r>
            <w:r>
              <w:t xml:space="preserve"> </w:t>
            </w:r>
            <m:oMath>
              <m:sSup>
                <m:e>
                  <m:r>
                    <m:t>h</m:t>
                  </m:r>
                </m:e>
                <m:sup>
                  <m:r>
                    <m:rPr>
                      <m:sty m:val="p"/>
                    </m:rPr>
                    <m:t>*</m:t>
                  </m:r>
                </m:sup>
              </m:sSup>
            </m:oMath>
          </w:p>
        </w:tc>
      </w:tr>
      <w:tr>
        <w:tc>
          <w:tcPr/>
          <w:p>
            <w:pPr>
              <w:pStyle w:val="Compact"/>
              <w:jc w:val="left"/>
            </w:pPr>
            <m:oMath>
              <m:r>
                <m:rPr>
                  <m:sty m:val="p"/>
                </m:rPr>
                <m:t>↑</m:t>
              </m:r>
              <m:r>
                <m:t>w</m:t>
              </m:r>
            </m:oMath>
            <w:r>
              <w:t xml:space="preserve"> </w:t>
            </w:r>
            <w:r>
              <w:t xml:space="preserve">(salário sobe)</w:t>
            </w:r>
          </w:p>
        </w:tc>
        <w:tc>
          <w:tcPr/>
          <w:p>
            <w:pPr>
              <w:pStyle w:val="Compact"/>
              <w:jc w:val="left"/>
            </w:pPr>
            <m:oMath>
              <m:r>
                <m:t>h</m:t>
              </m:r>
            </m:oMath>
            <w:r>
              <w:t xml:space="preserve"> </w:t>
            </w:r>
            <w:r>
              <w:t xml:space="preserve">sobe (lazer mais caro)</w:t>
            </w:r>
          </w:p>
        </w:tc>
        <w:tc>
          <w:tcPr/>
          <w:p>
            <w:pPr>
              <w:pStyle w:val="Compact"/>
              <w:jc w:val="left"/>
            </w:pPr>
            <m:oMath>
              <m:r>
                <m:t>h</m:t>
              </m:r>
            </m:oMath>
            <w:r>
              <w:t xml:space="preserve"> </w:t>
            </w:r>
            <w:r>
              <w:t xml:space="preserve">cai (mais rico, quer mais lazer)</w:t>
            </w:r>
          </w:p>
        </w:tc>
        <w:tc>
          <w:tcPr/>
          <w:p>
            <w:pPr>
              <w:pStyle w:val="Compact"/>
              <w:jc w:val="left"/>
            </w:pPr>
            <w:r>
              <w:t xml:space="preserve">Ambíguo</w:t>
            </w:r>
          </w:p>
        </w:tc>
      </w:tr>
      <w:tr>
        <w:tc>
          <w:tcPr/>
          <w:p>
            <w:pPr>
              <w:pStyle w:val="Compact"/>
              <w:jc w:val="left"/>
            </w:pPr>
            <m:oMath>
              <m:r>
                <m:rPr>
                  <m:sty m:val="p"/>
                </m:rPr>
                <m:t>↑</m:t>
              </m:r>
              <m:r>
                <m:t>V</m:t>
              </m:r>
            </m:oMath>
            <w:r>
              <w:t xml:space="preserve"> </w:t>
            </w:r>
            <w:r>
              <w:t xml:space="preserve">(renda não salarial sobe)</w:t>
            </w:r>
          </w:p>
        </w:tc>
        <w:tc>
          <w:tcPr/>
          <w:p>
            <w:pPr>
              <w:pStyle w:val="Compact"/>
              <w:jc w:val="left"/>
            </w:pPr>
            <w:r>
              <w:t xml:space="preserve">Nenhum</w:t>
            </w:r>
          </w:p>
        </w:tc>
        <w:tc>
          <w:tcPr/>
          <w:p>
            <w:pPr>
              <w:pStyle w:val="Compact"/>
              <w:jc w:val="left"/>
            </w:pPr>
            <m:oMath>
              <m:r>
                <m:t>h</m:t>
              </m:r>
            </m:oMath>
            <w:r>
              <w:t xml:space="preserve"> </w:t>
            </w:r>
            <w:r>
              <w:t xml:space="preserve">cai (mais rico)</w:t>
            </w:r>
          </w:p>
        </w:tc>
        <w:tc>
          <w:tcPr/>
          <w:p>
            <w:pPr>
              <w:pStyle w:val="Compact"/>
              <w:jc w:val="left"/>
            </w:pPr>
            <m:oMath>
              <m:r>
                <m:t>h</m:t>
              </m:r>
            </m:oMath>
            <w:r>
              <w:t xml:space="preserve"> </w:t>
            </w:r>
            <w:r>
              <w:t xml:space="preserve">cai</w:t>
            </w:r>
          </w:p>
        </w:tc>
      </w:tr>
      <w:tr>
        <w:tc>
          <w:tcPr/>
          <w:p>
            <w:pPr>
              <w:pStyle w:val="Compact"/>
              <w:jc w:val="left"/>
            </w:pPr>
            <m:oMath>
              <m:r>
                <m:rPr>
                  <m:sty m:val="p"/>
                </m:rPr>
                <m:t>↑</m:t>
              </m:r>
              <m:r>
                <m:t>p</m:t>
              </m:r>
            </m:oMath>
            <w:r>
              <w:t xml:space="preserve"> </w:t>
            </w:r>
            <w:r>
              <w:t xml:space="preserve">(preço do consumo sobe)</w:t>
            </w:r>
          </w:p>
        </w:tc>
        <w:tc>
          <w:tcPr/>
          <w:p>
            <w:pPr>
              <w:pStyle w:val="Compact"/>
              <w:jc w:val="left"/>
            </w:pPr>
            <w:r>
              <w:t xml:space="preserve">Depende (o efeito sobre o preço relativo do lazer varia com a cesta)</w:t>
            </w:r>
          </w:p>
        </w:tc>
        <w:tc>
          <w:tcPr/>
          <w:p>
            <w:pPr>
              <w:pStyle w:val="Compact"/>
              <w:jc w:val="left"/>
            </w:pPr>
            <w:r>
              <w:t xml:space="preserve">Depende</w:t>
            </w:r>
          </w:p>
        </w:tc>
        <w:tc>
          <w:tcPr/>
          <w:p>
            <w:pPr>
              <w:pStyle w:val="Compact"/>
              <w:jc w:val="left"/>
            </w:pPr>
            <w:r>
              <w:t xml:space="preserve">Ambíguo</w:t>
            </w:r>
          </w:p>
        </w:tc>
      </w:tr>
    </w:tbl>
    <w:p>
      <w:pPr>
        <w:pStyle w:val="BodyText"/>
      </w:pPr>
      <w:r>
        <w:rPr>
          <w:b/>
          <w:bCs/>
        </w:rPr>
        <w:t xml:space="preserve">Tabela 17.2 — Efeitos substituição e renda sobre a oferta de trabalho.</w:t>
      </w:r>
    </w:p>
    <w:p>
      <w:pPr>
        <w:pStyle w:val="BodyText"/>
      </w:pPr>
      <w:r>
        <w:t xml:space="preserve">A</w:t>
      </w:r>
      <w:r>
        <w:t xml:space="preserve"> </w:t>
      </w:r>
      <w:hyperlink w:anchor="tabela-17-2">
        <w:r>
          <w:rPr>
            <w:rStyle w:val="Hyperlink"/>
          </w:rPr>
          <w:t xml:space="preserve">Tabela 17.2</w:t>
        </w:r>
      </w:hyperlink>
      <w:r>
        <w:t xml:space="preserve"> </w:t>
      </w:r>
      <w:r>
        <w:t xml:space="preserve">sintetiza os resultados das seções anteriores e serve como referência rápida para a análise de políticas. Com a teoria da oferta de trabalho consolidada, passamos agora ao último dos três fatores de produção clássicos.</w:t>
      </w:r>
    </w:p>
    <w:p>
      <w:r>
        <w:pict>
          <v:rect style="width:0;height:1.5pt" o:hralign="center" o:hrstd="t" o:hr="t"/>
        </w:pict>
      </w:r>
    </w:p>
    <w:bookmarkEnd w:id="1099"/>
    <w:bookmarkStart w:id="1103" w:name="X2df16bee9d37212d9dc0a9709c3a8579fedcfff"/>
    <w:p>
      <w:pPr>
        <w:pStyle w:val="Heading3"/>
      </w:pPr>
      <w:r>
        <w:t xml:space="preserve">17.10 O Chão Não Vai a Lugar Nenhum: Terra e Recursos Naturais</w:t>
      </w:r>
    </w:p>
    <w:p>
      <w:pPr>
        <w:pStyle w:val="FirstParagraph"/>
      </w:pPr>
      <w:r>
        <w:t xml:space="preserve">Trabalho e capital podem ser criados, acumulados e movidos de lugar. A terra, não — ela está ali, parada, esperando que alguém decida o que plantar ou construir em cima. Essa imobilidade teimosa faz da terra um fator de produção com propriedades únicas, e é por isso que economistas de David Ricardo a Henry George ficaram obcecados com ela. Uma análise completa dos mercados de fatores exige examinar a determinação da remuneração da terra — a</w:t>
      </w:r>
      <w:r>
        <w:t xml:space="preserve"> </w:t>
      </w:r>
      <w:r>
        <w:rPr>
          <w:b/>
          <w:bCs/>
        </w:rPr>
        <w:t xml:space="preserve">renda da terra</w:t>
      </w:r>
      <w:r>
        <w:t xml:space="preserve"> </w:t>
      </w:r>
      <w:r>
        <w:t xml:space="preserve">— e sua relação com os conceitos de renda econômica e renda de transferência.</w:t>
      </w:r>
    </w:p>
    <w:bookmarkStart w:id="1100" w:name="X0812fefd9df080ae0b44e9aceeb5a732a642f62"/>
    <w:p>
      <w:pPr>
        <w:pStyle w:val="Heading4"/>
      </w:pPr>
      <w:r>
        <w:t xml:space="preserve">Renda da terra: de Ricardo à análise moderna</w:t>
      </w:r>
    </w:p>
    <w:p>
      <w:pPr>
        <w:pStyle w:val="FirstParagraph"/>
      </w:pPr>
      <w:r>
        <w:t xml:space="preserve">David Ricardo (1817), nos</w:t>
      </w:r>
      <w:r>
        <w:t xml:space="preserve"> </w:t>
      </w:r>
      <w:r>
        <w:rPr>
          <w:i/>
          <w:iCs/>
        </w:rPr>
        <w:t xml:space="preserve">Principles of Political Economy</w:t>
      </w:r>
      <w:r>
        <w:t xml:space="preserve">, desenvolveu a teoria clássica da renda da terra. A ideia central é que a terra é um fator de produção com oferta</w:t>
      </w:r>
      <w:r>
        <w:t xml:space="preserve"> </w:t>
      </w:r>
      <w:r>
        <w:rPr>
          <w:b/>
          <w:bCs/>
        </w:rPr>
        <w:t xml:space="preserve">fixa</w:t>
      </w:r>
      <w:r>
        <w:t xml:space="preserve"> </w:t>
      </w:r>
      <w:r>
        <w:t xml:space="preserve">(perfeitamente inelástica). Se a oferta é fixa, a remuneração da terra é inteiramente determinada pela demanda. Um aumento na demanda por terras agrícolas (por exemplo, por crescimento populacional) eleva a renda da terra sem induzir qualquer aumento na quantidade ofertada — uma conclusão com implicações profundas para a teoria da distribuição de renda e a tributação.</w:t>
      </w:r>
    </w:p>
    <w:p>
      <w:pPr>
        <w:pStyle w:val="BodyText"/>
      </w:pPr>
      <w:r>
        <w:t xml:space="preserve">A</w:t>
      </w:r>
      <w:r>
        <w:t xml:space="preserve"> </w:t>
      </w:r>
      <w:r>
        <w:rPr>
          <w:b/>
          <w:bCs/>
        </w:rPr>
        <w:t xml:space="preserve">renda ricardiana</w:t>
      </w:r>
      <w:r>
        <w:t xml:space="preserve"> </w:t>
      </w:r>
      <w:r>
        <w:t xml:space="preserve">também incorpora a noção de terras de qualidade diferente. As terras mais férteis são cultivadas primeiro; à medida que a demanda cresce, terras marginais (menos férteis) entram em cultivo. A renda de cada parcela reflete sua</w:t>
      </w:r>
      <w:r>
        <w:t xml:space="preserve"> </w:t>
      </w:r>
      <w:r>
        <w:rPr>
          <w:b/>
          <w:bCs/>
        </w:rPr>
        <w:t xml:space="preserve">vantagem produtiva</w:t>
      </w:r>
      <w:r>
        <w:t xml:space="preserve"> </w:t>
      </w:r>
      <w:r>
        <w:t xml:space="preserve">em relação à terra marginal (que, por definição, não gera renda). Essa análise antecipou em mais de um século o conceito moderno de renda econômica.</w:t>
      </w:r>
    </w:p>
    <w:bookmarkEnd w:id="1100"/>
    <w:bookmarkStart w:id="1101" w:name="X1f3cd3436bd50ea20cfb6248831594a3af1eeea"/>
    <w:p>
      <w:pPr>
        <w:pStyle w:val="Heading4"/>
      </w:pPr>
      <w:r>
        <w:t xml:space="preserve">Renda econômica versus renda de transferência</w:t>
      </w:r>
    </w:p>
    <w:p>
      <w:pPr>
        <w:pStyle w:val="FirstParagraph"/>
      </w:pPr>
      <w:r>
        <w:t xml:space="preserve">A remuneração de qualquer fator de produção pode ser decomposta em duas partes:</w:t>
      </w:r>
    </w:p>
    <w:p>
      <w:pPr>
        <w:pStyle w:val="Compact"/>
        <w:numPr>
          <w:ilvl w:val="0"/>
          <w:numId w:val="1946"/>
        </w:numPr>
      </w:pPr>
      <w:r>
        <w:rPr>
          <w:b/>
          <w:bCs/>
        </w:rPr>
        <w:t xml:space="preserve">Renda de transferência</w:t>
      </w:r>
      <w:r>
        <w:t xml:space="preserve"> </w:t>
      </w:r>
      <w:r>
        <w:t xml:space="preserve">(</w:t>
      </w:r>
      <w:r>
        <w:rPr>
          <w:i/>
          <w:iCs/>
        </w:rPr>
        <w:t xml:space="preserve">transfer earnings</w:t>
      </w:r>
      <w:r>
        <w:t xml:space="preserve">): a remuneração mínima necessária para manter o fator em seu uso atual. Se o fator recebe menos que isso, ele se transfere para outro uso.</w:t>
      </w:r>
    </w:p>
    <w:p>
      <w:pPr>
        <w:pStyle w:val="Compact"/>
        <w:numPr>
          <w:ilvl w:val="0"/>
          <w:numId w:val="1946"/>
        </w:numPr>
      </w:pPr>
      <w:r>
        <w:rPr>
          <w:b/>
          <w:bCs/>
        </w:rPr>
        <w:t xml:space="preserve">Renda econômica</w:t>
      </w:r>
      <w:r>
        <w:t xml:space="preserve"> </w:t>
      </w:r>
      <w:r>
        <w:t xml:space="preserve">(</w:t>
      </w:r>
      <w:r>
        <w:rPr>
          <w:i/>
          <w:iCs/>
        </w:rPr>
        <w:t xml:space="preserve">economic rent</w:t>
      </w:r>
      <w:r>
        <w:t xml:space="preserve">): o excedente recebido acima da renda de transferência. Formalmente, para um fator que recebe</w:t>
      </w:r>
      <w:r>
        <w:t xml:space="preserve"> </w:t>
      </w:r>
      <m:oMath>
        <m:r>
          <m:t>w</m:t>
        </m:r>
      </m:oMath>
      <w:r>
        <w:t xml:space="preserve"> </w:t>
      </w:r>
      <w:r>
        <w:t xml:space="preserve">e tem custo de oportunidade</w:t>
      </w:r>
      <w:r>
        <w:t xml:space="preserve"> </w:t>
      </w:r>
      <m:oMath>
        <m:sSub>
          <m:e>
            <m:r>
              <m:t>w</m:t>
            </m:r>
          </m:e>
          <m:sub>
            <m:r>
              <m:t>0</m:t>
            </m:r>
          </m:sub>
        </m:sSub>
      </m:oMath>
      <w:r>
        <w:t xml:space="preserve">:</w:t>
      </w:r>
    </w:p>
    <w:p>
      <w:pPr>
        <w:pStyle w:val="FirstParagraph"/>
      </w:pPr>
      <m:oMathPara>
        <m:oMathParaPr>
          <m:jc m:val="center"/>
        </m:oMathParaPr>
        <m:oMath>
          <m:r>
            <m:rPr>
              <m:nor/>
              <m:sty m:val="p"/>
            </m:rPr>
            <m:t>Renda econômica</m:t>
          </m:r>
          <m:r>
            <m:rPr>
              <m:sty m:val="p"/>
            </m:rPr>
            <m:t>=</m:t>
          </m:r>
          <m:r>
            <m:t>w</m:t>
          </m:r>
          <m:r>
            <m:rPr>
              <m:sty m:val="p"/>
            </m:rPr>
            <m:t>−</m:t>
          </m:r>
          <m:sSub>
            <m:e>
              <m:r>
                <m:t>w</m:t>
              </m:r>
            </m:e>
            <m:sub>
              <m:r>
                <m:t>0</m:t>
              </m:r>
            </m:sub>
          </m:sSub>
        </m:oMath>
      </m:oMathPara>
    </w:p>
    <w:p>
      <w:pPr>
        <w:pStyle w:val="FirstParagraph"/>
      </w:pPr>
      <w:r>
        <w:t xml:space="preserve">No caso extremo da terra (oferta perfeitamente inelástica), toda a remuneração é renda econômica — pois a terra não pode</w:t>
      </w:r>
      <w:r>
        <w:t xml:space="preserve"> </w:t>
      </w:r>
      <w:r>
        <w:t xml:space="preserve">“ir para outro lugar”</w:t>
      </w:r>
      <w:r>
        <w:t xml:space="preserve">. No caso oposto (oferta perfeitamente elástica), toda a remuneração é renda de transferência. Para o trabalho, a decomposição depende das alternativas do trabalhador: um cirurgião altamente especializado que recebe R$ 50.000/mês, mas cuja melhor alternativa pagaria R$ 15.000, recebe R$ 35.000 de renda econômica.</w:t>
      </w:r>
    </w:p>
    <w:p>
      <w:pPr>
        <w:pStyle w:val="BlockText"/>
      </w:pPr>
      <w:r>
        <w:rPr>
          <w:b/>
          <w:bCs/>
        </w:rPr>
        <w:t xml:space="preserve">[INTUICAO ECONOMICA] Intuição Econômica</w:t>
      </w:r>
    </w:p>
    <w:p>
      <w:pPr>
        <w:pStyle w:val="BlockText"/>
      </w:pPr>
      <w:r>
        <w:rPr>
          <w:b/>
          <w:bCs/>
        </w:rPr>
        <w:t xml:space="preserve">Em uma frase:</w:t>
      </w:r>
      <w:r>
        <w:t xml:space="preserve"> </w:t>
      </w:r>
      <w:r>
        <w:t xml:space="preserve">A renda econômica é o</w:t>
      </w:r>
      <w:r>
        <w:t xml:space="preserve"> </w:t>
      </w:r>
      <w:r>
        <w:t xml:space="preserve">“bônus”</w:t>
      </w:r>
      <w:r>
        <w:t xml:space="preserve"> </w:t>
      </w:r>
      <w:r>
        <w:t xml:space="preserve">que um fator de produção recebe acima do mínimo necessário para mantê-lo em seu uso atual — e quanto mais difícil for substituí-lo, maior esse bônus.</w:t>
      </w:r>
    </w:p>
    <w:p>
      <w:pPr>
        <w:pStyle w:val="BlockText"/>
      </w:pPr>
      <w:r>
        <w:rPr>
          <w:b/>
          <w:bCs/>
        </w:rPr>
        <w:t xml:space="preserve">Pense assim:</w:t>
      </w:r>
      <w:r>
        <w:t xml:space="preserve"> </w:t>
      </w:r>
      <w:r>
        <w:t xml:space="preserve">Neymar ganha dezenas de milhões por ano jogando futebol. Se o salário dos jogadores caísse drasticamente, ele continuaria jogando — porque sua melhor alternativa (qualquer outro emprego) pagaria muito menos. A diferença entre o que ele recebe e o que ganharia fora do futebol é renda econômica pura. Já um motorista de Uber em uma cidade com muitas alternativas de emprego recebe quase nenhuma renda econômica: se o ganho cair um pouco, ele migra para outro aplicativo ou emprego.</w:t>
      </w:r>
    </w:p>
    <w:p>
      <w:pPr>
        <w:pStyle w:val="BlockText"/>
      </w:pPr>
      <w:r>
        <w:rPr>
          <w:b/>
          <w:bCs/>
        </w:rPr>
        <w:t xml:space="preserve">Por que isso importa:</w:t>
      </w:r>
      <w:r>
        <w:t xml:space="preserve"> </w:t>
      </w:r>
      <w:r>
        <w:t xml:space="preserve">Tributar a renda econômica é o sonho de todo formulador de política pública: gera receita sem distorcer decisões econômicas. É por isso que impostos sobre a terra (Henry George) e sobre rendas de recursos naturais (royalties) são considerados os tributos mais eficientes que existem.</w:t>
      </w:r>
    </w:p>
    <w:p>
      <w:pPr>
        <w:pStyle w:val="FirstParagraph"/>
      </w:pPr>
      <w:r>
        <w:t xml:space="preserve">Essa decomposição tem implicações diretas para a tributação: tributos sobre a renda econômica são</w:t>
      </w:r>
      <w:r>
        <w:t xml:space="preserve"> </w:t>
      </w:r>
      <w:r>
        <w:rPr>
          <w:b/>
          <w:bCs/>
        </w:rPr>
        <w:t xml:space="preserve">não distorcivos</w:t>
      </w:r>
      <w:r>
        <w:t xml:space="preserve"> </w:t>
      </w:r>
      <w:r>
        <w:t xml:space="preserve">(não alteram a alocação de fatores), enquanto tributos sobre a renda de transferência causam distorções (o fator pode migrar para outro uso). Henry George (1879) propôs que toda a receita tributária deveria vir de um imposto sobre a renda da terra — um tributo perfeitamente eficiente, pois a oferta de terra não se altera. Embora o</w:t>
      </w:r>
      <w:r>
        <w:t xml:space="preserve"> </w:t>
      </w:r>
      <w:r>
        <w:t xml:space="preserve">“imposto único”</w:t>
      </w:r>
      <w:r>
        <w:t xml:space="preserve"> </w:t>
      </w:r>
      <w:r>
        <w:t xml:space="preserve">de George nunca tenha sido implementado integralmente, a lógica subjacente informa debates contemporâneos sobre tributação de propriedade e captura de valorização fundiária.</w:t>
      </w:r>
    </w:p>
    <w:bookmarkEnd w:id="1101"/>
    <w:bookmarkStart w:id="1102" w:name="X0718c9ad63ee62e1abf92d8249c58e255b983b8"/>
    <w:p>
      <w:pPr>
        <w:pStyle w:val="Heading4"/>
      </w:pPr>
      <w:r>
        <w:t xml:space="preserve">Recursos naturais exauríveis: conexão com a regra de Hotelling</w:t>
      </w:r>
    </w:p>
    <w:p>
      <w:pPr>
        <w:pStyle w:val="FirstParagraph"/>
      </w:pPr>
      <w:r>
        <w:t xml:space="preserve">A análise da terra pode ser estendida aos</w:t>
      </w:r>
      <w:r>
        <w:t xml:space="preserve"> </w:t>
      </w:r>
      <w:r>
        <w:rPr>
          <w:b/>
          <w:bCs/>
        </w:rPr>
        <w:t xml:space="preserve">recursos naturais exauríveis</w:t>
      </w:r>
      <w:r>
        <w:t xml:space="preserve"> </w:t>
      </w:r>
      <w:r>
        <w:t xml:space="preserve">(petróleo, minerais, gás). Diferentemente da terra agrícola, que se mantém em uso indefinidamente, recursos exauríveis são consumidos ao serem utilizados. A questão central torna-se: a que taxa extrair um recurso que é finito?</w:t>
      </w:r>
    </w:p>
    <w:p>
      <w:pPr>
        <w:pStyle w:val="BodyText"/>
      </w:pPr>
      <w:r>
        <w:t xml:space="preserve">A resposta é dada pela</w:t>
      </w:r>
      <w:r>
        <w:t xml:space="preserve"> </w:t>
      </w:r>
      <w:r>
        <w:rPr>
          <w:b/>
          <w:bCs/>
        </w:rPr>
        <w:t xml:space="preserve">regra de Hotelling</w:t>
      </w:r>
      <w:r>
        <w:t xml:space="preserve"> </w:t>
      </w:r>
      <w:r>
        <w:t xml:space="preserve">(1931), que será formalizada no Capítulo 18: no equilíbrio, o preço líquido do recurso (preço de mercado menos custo de extração) deve crescer à taxa de juros</w:t>
      </w:r>
      <w:r>
        <w:t xml:space="preserve"> </w:t>
      </w:r>
      <m:oMath>
        <m:r>
          <m:t>r</m:t>
        </m:r>
      </m:oMath>
      <w:r>
        <w:t xml:space="preserve">. Intuitivamente, o proprietário de uma jazida tem a opção de extrair hoje e investir a receita, ou deixar o recurso no solo para extrair amanhã a um preço maior. O equilíbrio requer que ambas as opções gerem o mesmo retorno.</w:t>
      </w:r>
    </w:p>
    <w:p>
      <w:pPr>
        <w:pStyle w:val="BodyText"/>
      </w:pPr>
      <w:r>
        <w:t xml:space="preserve">A renda do recurso natural — o</w:t>
      </w:r>
      <w:r>
        <w:t xml:space="preserve"> </w:t>
      </w:r>
      <w:r>
        <w:rPr>
          <w:i/>
          <w:iCs/>
        </w:rPr>
        <w:t xml:space="preserve">royalty</w:t>
      </w:r>
      <w:r>
        <w:t xml:space="preserve"> </w:t>
      </w:r>
      <w:r>
        <w:t xml:space="preserve">— é a renda econômica paga pela escassez do recurso. No Brasil, royalties de petróleo e mineração representam receitas significativas para estados e municípios produtores, levantando questões sobre equidade intergeracional (estamos consumindo a riqueza natural das gerações futuras?) e sobre a</w:t>
      </w:r>
      <w:r>
        <w:t xml:space="preserve"> </w:t>
      </w:r>
      <w:r>
        <w:t xml:space="preserve">“maldição dos recursos”</w:t>
      </w:r>
      <w:r>
        <w:t xml:space="preserve"> </w:t>
      </w:r>
      <w:r>
        <w:t xml:space="preserve">— a tendência de países ricos em recursos naturais apresentarem crescimento econômico inferior, possivelmente por desincentivo à diversificação produtiva e ao investimento em capital humano.</w:t>
      </w:r>
    </w:p>
    <w:p>
      <w:r>
        <w:pict>
          <v:rect style="width:0;height:1.5pt" o:hralign="center" o:hrstd="t" o:hr="t"/>
        </w:pict>
      </w:r>
    </w:p>
    <w:p>
      <w:pPr>
        <w:pStyle w:val="FirstParagraph"/>
      </w:pPr>
      <w:r>
        <w:t xml:space="preserve">Lá no começo, o despertador tocou e você enfrentou o dilema: travesseiro ou salário? Ao longo deste capítulo, vimos que a resposta depende de efeitos substituição e renda que se digladiam, de monopsonistas que pagam menos do que deveriam e de sindicatos que tentam corrigir a balança. A economia do trabalho, no fundo, é a economia de como cada um de nós reparte o recurso mais escasso que existe — o tempo.</w:t>
      </w:r>
    </w:p>
    <w:p>
      <w:pPr>
        <w:pStyle w:val="BodyText"/>
      </w:pPr>
      <w:r>
        <w:rPr>
          <w:i/>
          <w:iCs/>
        </w:rPr>
        <w:t xml:space="preserve">O trabalhador fez suas escolhas. Agora entra o tempo: poupar ou gastar, investir ou consumir. No próximo capítulo, a paciência tem preço.</w:t>
      </w:r>
    </w:p>
    <w:bookmarkEnd w:id="1102"/>
    <w:bookmarkEnd w:id="1103"/>
    <w:bookmarkEnd w:id="1104"/>
    <w:bookmarkStart w:id="1110" w:name="exercícios-e-anpec-capítulo-17"/>
    <w:p>
      <w:pPr>
        <w:pStyle w:val="Heading2"/>
      </w:pPr>
      <w:r>
        <w:t xml:space="preserve">Exercícios e ANPEC — Capítulo 17</w:t>
      </w:r>
    </w:p>
    <w:p>
      <w:pPr>
        <w:pStyle w:val="BlockText"/>
      </w:pPr>
      <w:r>
        <w:rPr>
          <w:b/>
          <w:bCs/>
        </w:rPr>
        <w:t xml:space="preserve">[DICA] Dados para exercícios empíricos</w:t>
      </w:r>
    </w:p>
    <w:p>
      <w:pPr>
        <w:pStyle w:val="Compact"/>
        <w:numPr>
          <w:ilvl w:val="0"/>
          <w:numId w:val="1947"/>
        </w:numPr>
      </w:pPr>
      <w:r>
        <w:rPr>
          <w:b/>
          <w:bCs/>
        </w:rPr>
        <w:t xml:space="preserve">RAIS/MTE (dados salariais e de emprego formal):</w:t>
      </w:r>
      <w:r>
        <w:t xml:space="preserve"> </w:t>
      </w:r>
      <w:hyperlink r:id="rId1080">
        <w:r>
          <w:rPr>
            <w:rStyle w:val="Hyperlink"/>
          </w:rPr>
          <w:t xml:space="preserve">bi.mte.gov.br</w:t>
        </w:r>
      </w:hyperlink>
    </w:p>
    <w:p>
      <w:pPr>
        <w:pStyle w:val="Compact"/>
        <w:numPr>
          <w:ilvl w:val="0"/>
          <w:numId w:val="1947"/>
        </w:numPr>
      </w:pPr>
      <w:r>
        <w:rPr>
          <w:b/>
          <w:bCs/>
        </w:rPr>
        <w:t xml:space="preserve">PNAD Contínua/IBGE (mercado de trabalho):</w:t>
      </w:r>
      <w:r>
        <w:t xml:space="preserve"> </w:t>
      </w:r>
      <w:hyperlink r:id="rId168">
        <w:r>
          <w:rPr>
            <w:rStyle w:val="Hyperlink"/>
          </w:rPr>
          <w:t xml:space="preserve">sidra.ibge.gov.br</w:t>
        </w:r>
      </w:hyperlink>
      <w:r>
        <w:t xml:space="preserve"> </w:t>
      </w:r>
      <w:r>
        <w:t xml:space="preserve">— Tabelas 4092–4099</w:t>
      </w:r>
    </w:p>
    <w:p>
      <w:pPr>
        <w:pStyle w:val="Compact"/>
        <w:numPr>
          <w:ilvl w:val="0"/>
          <w:numId w:val="1947"/>
        </w:numPr>
      </w:pPr>
      <w:r>
        <w:rPr>
          <w:b/>
          <w:bCs/>
        </w:rPr>
        <w:t xml:space="preserve">IPEADATA (séries de salário mínimo e emprego):</w:t>
      </w:r>
      <w:r>
        <w:t xml:space="preserve"> </w:t>
      </w:r>
      <w:hyperlink r:id="rId270">
        <w:r>
          <w:rPr>
            <w:rStyle w:val="Hyperlink"/>
          </w:rPr>
          <w:t xml:space="preserve">ipeadata.gov.br</w:t>
        </w:r>
      </w:hyperlink>
    </w:p>
    <w:bookmarkStart w:id="1105" w:name="revisão-rápida-17"/>
    <w:p>
      <w:pPr>
        <w:pStyle w:val="Heading3"/>
      </w:pPr>
      <w:r>
        <w:t xml:space="preserve">Revisão Rápida</w:t>
      </w:r>
    </w:p>
    <w:p>
      <w:pPr>
        <w:pStyle w:val="FirstParagraph"/>
      </w:pPr>
      <w:r>
        <w:t xml:space="preserve">Teste seu entendimento dos conceitos centrais deste capítulo.</w:t>
      </w:r>
    </w:p>
    <w:p>
      <w:pPr>
        <w:pStyle w:val="BlockText"/>
      </w:pPr>
      <w:r>
        <w:rPr>
          <w:b/>
          <w:bCs/>
        </w:rPr>
        <w:t xml:space="preserve">[QUESTAO] 1. No modelo trabalho-lazer, um aumento salarial tem efeito ambíguo sobre a oferta de trabalho porque:</w:t>
      </w:r>
    </w:p>
    <w:p>
      <w:pPr>
        <w:pStyle w:val="Compact"/>
        <w:numPr>
          <w:ilvl w:val="0"/>
          <w:numId w:val="1948"/>
        </w:numPr>
      </w:pPr>
    </w:p>
    <w:p>
      <w:pPr>
        <w:pStyle w:val="Compact"/>
        <w:numPr>
          <w:ilvl w:val="1"/>
          <w:numId w:val="1949"/>
        </w:numPr>
      </w:pPr>
      <w:r>
        <w:t xml:space="preserve">O trabalhador não observa seu salário em tempo real</w:t>
      </w:r>
    </w:p>
    <w:p>
      <w:pPr>
        <w:pStyle w:val="Compact"/>
        <w:numPr>
          <w:ilvl w:val="0"/>
          <w:numId w:val="1948"/>
        </w:numPr>
      </w:pPr>
    </w:p>
    <w:p>
      <w:pPr>
        <w:pStyle w:val="Compact"/>
        <w:numPr>
          <w:ilvl w:val="1"/>
          <w:numId w:val="1950"/>
        </w:numPr>
      </w:pPr>
      <w:r>
        <w:t xml:space="preserve">O efeito substituição (lazer mais caro → trabalha mais) pode ser compensado pelo efeito renda (mais rico → quer mais lazer)</w:t>
      </w:r>
    </w:p>
    <w:p>
      <w:pPr>
        <w:pStyle w:val="Compact"/>
        <w:numPr>
          <w:ilvl w:val="0"/>
          <w:numId w:val="1948"/>
        </w:numPr>
      </w:pPr>
    </w:p>
    <w:p>
      <w:pPr>
        <w:pStyle w:val="Compact"/>
        <w:numPr>
          <w:ilvl w:val="1"/>
          <w:numId w:val="1951"/>
        </w:numPr>
      </w:pPr>
      <w:r>
        <w:t xml:space="preserve">A produtividade marginal do trabalhador sempre cai com mais horas</w:t>
      </w:r>
    </w:p>
    <w:p>
      <w:pPr>
        <w:pStyle w:val="Compact"/>
        <w:numPr>
          <w:ilvl w:val="0"/>
          <w:numId w:val="1948"/>
        </w:numPr>
      </w:pPr>
    </w:p>
    <w:p>
      <w:pPr>
        <w:pStyle w:val="Compact"/>
        <w:numPr>
          <w:ilvl w:val="1"/>
          <w:numId w:val="1952"/>
        </w:numPr>
      </w:pPr>
      <w:r>
        <w:t xml:space="preserve">O imposto de renda anula completamente o aumento salarial</w:t>
      </w:r>
    </w:p>
    <w:p>
      <w:pPr>
        <w:pStyle w:val="BlockText"/>
      </w:pPr>
      <w:r>
        <w:t xml:space="preserve">??? success</w:t>
      </w:r>
      <w:r>
        <w:t xml:space="preserve"> </w:t>
      </w:r>
      <w:r>
        <w:t xml:space="preserve">“Resposta”</w:t>
      </w:r>
      <w:r>
        <w:t xml:space="preserve"> </w:t>
      </w:r>
      <w:r>
        <w:rPr>
          <w:b/>
          <w:bCs/>
        </w:rPr>
        <w:t xml:space="preserve">(b)</w:t>
      </w:r>
      <w:r>
        <w:t xml:space="preserve"> </w:t>
      </w:r>
      <w:r>
        <w:t xml:space="preserve">Quando o salário sobe, o custo de oportunidade do lazer aumenta (efeito substituição → mais trabalho), mas o poder de compra também aumenta (efeito renda → mais lazer, se lazer é bem normal). Quando o efeito renda domina, a curva de oferta de trabalho se torna backward-bending (negativamente inclinada). As demais alternativas não explicam a ambiguidade.</w:t>
      </w:r>
    </w:p>
    <w:p>
      <w:pPr>
        <w:pStyle w:val="BlockText"/>
      </w:pPr>
      <w:r>
        <w:rPr>
          <w:b/>
          <w:bCs/>
        </w:rPr>
        <w:t xml:space="preserve">[QUESTAO] 2. O monopsônio no mercado de trabalho é caracterizado por:</w:t>
      </w:r>
    </w:p>
    <w:p>
      <w:pPr>
        <w:pStyle w:val="Compact"/>
        <w:numPr>
          <w:ilvl w:val="0"/>
          <w:numId w:val="1953"/>
        </w:numPr>
      </w:pPr>
    </w:p>
    <w:p>
      <w:pPr>
        <w:pStyle w:val="Compact"/>
        <w:numPr>
          <w:ilvl w:val="1"/>
          <w:numId w:val="1954"/>
        </w:numPr>
      </w:pPr>
      <w:r>
        <w:t xml:space="preserve">Muitos empregadores competindo pelos mesmos trabalhadores</w:t>
      </w:r>
    </w:p>
    <w:p>
      <w:pPr>
        <w:pStyle w:val="Compact"/>
        <w:numPr>
          <w:ilvl w:val="0"/>
          <w:numId w:val="1953"/>
        </w:numPr>
      </w:pPr>
    </w:p>
    <w:p>
      <w:pPr>
        <w:pStyle w:val="Compact"/>
        <w:numPr>
          <w:ilvl w:val="1"/>
          <w:numId w:val="1955"/>
        </w:numPr>
      </w:pPr>
      <w:r>
        <w:t xml:space="preserve">Um único (ou poucos) empregador(es) com poder de mercado, que paga salário abaixo do produto marginal do trabalho</w:t>
      </w:r>
    </w:p>
    <w:p>
      <w:pPr>
        <w:pStyle w:val="Compact"/>
        <w:numPr>
          <w:ilvl w:val="0"/>
          <w:numId w:val="1953"/>
        </w:numPr>
      </w:pPr>
    </w:p>
    <w:p>
      <w:pPr>
        <w:pStyle w:val="Compact"/>
        <w:numPr>
          <w:ilvl w:val="1"/>
          <w:numId w:val="1956"/>
        </w:numPr>
      </w:pPr>
      <w:r>
        <w:t xml:space="preserve">Sindicatos que fixam salários acima do equilíbrio competitivo</w:t>
      </w:r>
    </w:p>
    <w:p>
      <w:pPr>
        <w:pStyle w:val="Compact"/>
        <w:numPr>
          <w:ilvl w:val="0"/>
          <w:numId w:val="1953"/>
        </w:numPr>
      </w:pPr>
    </w:p>
    <w:p>
      <w:pPr>
        <w:pStyle w:val="Compact"/>
        <w:numPr>
          <w:ilvl w:val="1"/>
          <w:numId w:val="1957"/>
        </w:numPr>
      </w:pPr>
      <w:r>
        <w:t xml:space="preserve">Salários iguais ao produto marginal em equilíbrio</w:t>
      </w:r>
    </w:p>
    <w:p>
      <w:pPr>
        <w:pStyle w:val="BlockText"/>
      </w:pPr>
      <w:r>
        <w:t xml:space="preserve">??? success</w:t>
      </w:r>
      <w:r>
        <w:t xml:space="preserve"> </w:t>
      </w:r>
      <w:r>
        <w:t xml:space="preserve">“Resposta”</w:t>
      </w:r>
      <w:r>
        <w:t xml:space="preserve"> </w:t>
      </w:r>
      <w:r>
        <w:rPr>
          <w:b/>
          <w:bCs/>
        </w:rPr>
        <w:t xml:space="preserve">(b)</w:t>
      </w:r>
      <w:r>
        <w:t xml:space="preserve"> </w:t>
      </w:r>
      <w:r>
        <w:t xml:space="preserve">O monopsonista enfrenta uma curva de oferta de trabalho positivamente inclinada: para contratar mais trabalhadores, deve elevar o salário de todos. O custo marginal do trabalho excede o salário, levando a emprego e salário menores que o competitivo. A alternativa (d) descreve o mercado competitivo; (c) descreve poder do lado do trabalhador, não do empregador.</w:t>
      </w:r>
    </w:p>
    <w:p>
      <w:pPr>
        <w:pStyle w:val="BlockText"/>
      </w:pPr>
      <w:r>
        <w:rPr>
          <w:b/>
          <w:bCs/>
        </w:rPr>
        <w:t xml:space="preserve">[QUESTAO] 3. A curva de oferta de trabalho backward-bending implica que, a partir de certo salário:</w:t>
      </w:r>
    </w:p>
    <w:p>
      <w:pPr>
        <w:pStyle w:val="Compact"/>
        <w:numPr>
          <w:ilvl w:val="0"/>
          <w:numId w:val="1958"/>
        </w:numPr>
      </w:pPr>
    </w:p>
    <w:p>
      <w:pPr>
        <w:pStyle w:val="Compact"/>
        <w:numPr>
          <w:ilvl w:val="1"/>
          <w:numId w:val="1959"/>
        </w:numPr>
      </w:pPr>
      <w:r>
        <w:t xml:space="preserve">O trabalhador oferece mais horas de trabalho</w:t>
      </w:r>
    </w:p>
    <w:p>
      <w:pPr>
        <w:pStyle w:val="Compact"/>
        <w:numPr>
          <w:ilvl w:val="0"/>
          <w:numId w:val="1958"/>
        </w:numPr>
      </w:pPr>
    </w:p>
    <w:p>
      <w:pPr>
        <w:pStyle w:val="Compact"/>
        <w:numPr>
          <w:ilvl w:val="1"/>
          <w:numId w:val="1960"/>
        </w:numPr>
      </w:pPr>
      <w:r>
        <w:t xml:space="preserve">O trabalhador reduz suas horas de trabalho quando o salário sobe ainda mais</w:t>
      </w:r>
    </w:p>
    <w:p>
      <w:pPr>
        <w:pStyle w:val="Compact"/>
        <w:numPr>
          <w:ilvl w:val="0"/>
          <w:numId w:val="1958"/>
        </w:numPr>
      </w:pPr>
    </w:p>
    <w:p>
      <w:pPr>
        <w:pStyle w:val="Compact"/>
        <w:numPr>
          <w:ilvl w:val="1"/>
          <w:numId w:val="1961"/>
        </w:numPr>
      </w:pPr>
      <w:r>
        <w:t xml:space="preserve">A demanda por trabalho se torna infinitamente elástica</w:t>
      </w:r>
    </w:p>
    <w:p>
      <w:pPr>
        <w:pStyle w:val="Compact"/>
        <w:numPr>
          <w:ilvl w:val="0"/>
          <w:numId w:val="1958"/>
        </w:numPr>
      </w:pPr>
    </w:p>
    <w:p>
      <w:pPr>
        <w:pStyle w:val="Compact"/>
        <w:numPr>
          <w:ilvl w:val="1"/>
          <w:numId w:val="1962"/>
        </w:numPr>
      </w:pPr>
      <w:r>
        <w:t xml:space="preserve">O mercado de trabalho entra em equilíbrio permanente</w:t>
      </w:r>
    </w:p>
    <w:p>
      <w:pPr>
        <w:pStyle w:val="BlockText"/>
      </w:pPr>
      <w:r>
        <w:t xml:space="preserve">??? success</w:t>
      </w:r>
      <w:r>
        <w:t xml:space="preserve"> </w:t>
      </w:r>
      <w:r>
        <w:t xml:space="preserve">“Resposta”</w:t>
      </w:r>
      <w:r>
        <w:t xml:space="preserve"> </w:t>
      </w:r>
      <w:r>
        <w:rPr>
          <w:b/>
          <w:bCs/>
        </w:rPr>
        <w:t xml:space="preserve">(b)</w:t>
      </w:r>
      <w:r>
        <w:t xml:space="preserve"> </w:t>
      </w:r>
      <w:r>
        <w:t xml:space="preserve">Na região backward-bending, o efeito renda domina o efeito substituição: salários mais altos levam o trabalhador a</w:t>
      </w:r>
      <w:r>
        <w:t xml:space="preserve"> </w:t>
      </w:r>
      <w:r>
        <w:t xml:space="preserve">‘comprar’</w:t>
      </w:r>
      <w:r>
        <w:t xml:space="preserve"> </w:t>
      </w:r>
      <w:r>
        <w:t xml:space="preserve">mais lazer, reduzindo horas trabalhadas. Evidência empírica mostra isso especialmente para trabalhadores de alta renda e para a oferta de trabalho secundária no domicílio.</w:t>
      </w:r>
    </w:p>
    <w:p>
      <w:pPr>
        <w:pStyle w:val="BlockText"/>
      </w:pPr>
      <w:r>
        <w:rPr>
          <w:b/>
          <w:bCs/>
        </w:rPr>
        <w:t xml:space="preserve">[QUESTAO] 4. A elasticidade de Frisch mede a resposta da oferta de trabalho a:</w:t>
      </w:r>
    </w:p>
    <w:p>
      <w:pPr>
        <w:pStyle w:val="Compact"/>
        <w:numPr>
          <w:ilvl w:val="0"/>
          <w:numId w:val="1963"/>
        </w:numPr>
      </w:pPr>
    </w:p>
    <w:p>
      <w:pPr>
        <w:pStyle w:val="Compact"/>
        <w:numPr>
          <w:ilvl w:val="1"/>
          <w:numId w:val="1964"/>
        </w:numPr>
      </w:pPr>
      <w:r>
        <w:t xml:space="preserve">Variações permanentes no salário</w:t>
      </w:r>
    </w:p>
    <w:p>
      <w:pPr>
        <w:pStyle w:val="Compact"/>
        <w:numPr>
          <w:ilvl w:val="0"/>
          <w:numId w:val="1963"/>
        </w:numPr>
      </w:pPr>
    </w:p>
    <w:p>
      <w:pPr>
        <w:pStyle w:val="Compact"/>
        <w:numPr>
          <w:ilvl w:val="1"/>
          <w:numId w:val="1965"/>
        </w:numPr>
      </w:pPr>
      <w:r>
        <w:t xml:space="preserve">Variações temporárias no salário, mantendo constante a utilidade marginal da riqueza</w:t>
      </w:r>
    </w:p>
    <w:p>
      <w:pPr>
        <w:pStyle w:val="Compact"/>
        <w:numPr>
          <w:ilvl w:val="0"/>
          <w:numId w:val="1963"/>
        </w:numPr>
      </w:pPr>
    </w:p>
    <w:p>
      <w:pPr>
        <w:pStyle w:val="Compact"/>
        <w:numPr>
          <w:ilvl w:val="1"/>
          <w:numId w:val="1966"/>
        </w:numPr>
      </w:pPr>
      <w:r>
        <w:t xml:space="preserve">Variações no nível geral de preços</w:t>
      </w:r>
    </w:p>
    <w:p>
      <w:pPr>
        <w:pStyle w:val="Compact"/>
        <w:numPr>
          <w:ilvl w:val="0"/>
          <w:numId w:val="1963"/>
        </w:numPr>
      </w:pPr>
    </w:p>
    <w:p>
      <w:pPr>
        <w:pStyle w:val="Compact"/>
        <w:numPr>
          <w:ilvl w:val="1"/>
          <w:numId w:val="1967"/>
        </w:numPr>
      </w:pPr>
      <w:r>
        <w:t xml:space="preserve">Mudanças na legislação trabalhista</w:t>
      </w:r>
    </w:p>
    <w:p>
      <w:pPr>
        <w:pStyle w:val="BlockText"/>
      </w:pPr>
      <w:r>
        <w:t xml:space="preserve">??? success</w:t>
      </w:r>
      <w:r>
        <w:t xml:space="preserve"> </w:t>
      </w:r>
      <w:r>
        <w:t xml:space="preserve">“Resposta”</w:t>
      </w:r>
      <w:r>
        <w:t xml:space="preserve"> </w:t>
      </w:r>
      <w:r>
        <w:rPr>
          <w:b/>
          <w:bCs/>
        </w:rPr>
        <w:t xml:space="preserve">(b)</w:t>
      </w:r>
      <w:r>
        <w:t xml:space="preserve"> </w:t>
      </w:r>
      <w:r>
        <w:t xml:space="preserve">A elasticidade de Frisch isola a resposta a variações salariais temporárias (substituição intertemporal do trabalho), mantendo fixa a utilidade marginal da riqueza. É central para modelos macroeconômicos de ciclos reais. Para variações permanentes (a), tanto efeito renda quanto substituição atuam; a Frisch captura apenas a substituição intertemporal.</w:t>
      </w:r>
    </w:p>
    <w:p>
      <w:pPr>
        <w:pStyle w:val="BlockText"/>
      </w:pPr>
      <w:r>
        <w:rPr>
          <w:b/>
          <w:bCs/>
        </w:rPr>
        <w:t xml:space="preserve">[QUESTAO] 5. A discriminação salarial estatística ocorre quando empregadores:</w:t>
      </w:r>
    </w:p>
    <w:p>
      <w:pPr>
        <w:pStyle w:val="Compact"/>
        <w:numPr>
          <w:ilvl w:val="0"/>
          <w:numId w:val="1968"/>
        </w:numPr>
      </w:pPr>
    </w:p>
    <w:p>
      <w:pPr>
        <w:pStyle w:val="Compact"/>
        <w:numPr>
          <w:ilvl w:val="1"/>
          <w:numId w:val="1969"/>
        </w:numPr>
      </w:pPr>
      <w:r>
        <w:t xml:space="preserve">Pagam salários diferentes a trabalhadores igualmente produtivos por preconceito pessoal</w:t>
      </w:r>
    </w:p>
    <w:p>
      <w:pPr>
        <w:pStyle w:val="Compact"/>
        <w:numPr>
          <w:ilvl w:val="0"/>
          <w:numId w:val="1968"/>
        </w:numPr>
      </w:pPr>
    </w:p>
    <w:p>
      <w:pPr>
        <w:pStyle w:val="Compact"/>
        <w:numPr>
          <w:ilvl w:val="1"/>
          <w:numId w:val="1970"/>
        </w:numPr>
      </w:pPr>
      <w:r>
        <w:t xml:space="preserve">Usam características observáveis do grupo (gênero, raça) como proxy para produtividade esperada, mesmo que isso penalize indivíduos produtivos do grupo</w:t>
      </w:r>
    </w:p>
    <w:p>
      <w:pPr>
        <w:pStyle w:val="Compact"/>
        <w:numPr>
          <w:ilvl w:val="0"/>
          <w:numId w:val="1968"/>
        </w:numPr>
      </w:pPr>
    </w:p>
    <w:p>
      <w:pPr>
        <w:pStyle w:val="Compact"/>
        <w:numPr>
          <w:ilvl w:val="1"/>
          <w:numId w:val="1971"/>
        </w:numPr>
      </w:pPr>
      <w:r>
        <w:t xml:space="preserve">Oferecem salários iguais a todos os trabalhadores independentemente da produtividade</w:t>
      </w:r>
    </w:p>
    <w:p>
      <w:pPr>
        <w:pStyle w:val="Compact"/>
        <w:numPr>
          <w:ilvl w:val="0"/>
          <w:numId w:val="1968"/>
        </w:numPr>
      </w:pPr>
    </w:p>
    <w:p>
      <w:pPr>
        <w:pStyle w:val="Compact"/>
        <w:numPr>
          <w:ilvl w:val="1"/>
          <w:numId w:val="1972"/>
        </w:numPr>
      </w:pPr>
      <w:r>
        <w:t xml:space="preserve">Remuneram trabalhadores exclusivamente por desempenho individual</w:t>
      </w:r>
    </w:p>
    <w:p>
      <w:pPr>
        <w:pStyle w:val="BlockText"/>
      </w:pPr>
      <w:r>
        <w:t xml:space="preserve">??? success</w:t>
      </w:r>
      <w:r>
        <w:t xml:space="preserve"> </w:t>
      </w:r>
      <w:r>
        <w:t xml:space="preserve">“Resposta”</w:t>
      </w:r>
      <w:r>
        <w:t xml:space="preserve"> </w:t>
      </w:r>
      <w:r>
        <w:rPr>
          <w:b/>
          <w:bCs/>
        </w:rPr>
        <w:t xml:space="preserve">(b)</w:t>
      </w:r>
      <w:r>
        <w:t xml:space="preserve"> </w:t>
      </w:r>
      <w:r>
        <w:t xml:space="preserve">Na discriminação estatística, empregadores racionais usam informação imperfeita: quando não podem observar a produtividade individual, usam médias do grupo como estimativa. Isso pode perpetuar desigualdades mesmo sem preconceito pessoal (a). A alternativa (a) descreve discriminação por preferência (taste-based, modelo de Becker).</w:t>
      </w:r>
    </w:p>
    <w:p>
      <w:r>
        <w:pict>
          <v:rect style="width:0;height:1.5pt" o:hralign="center" o:hrstd="t" o:hr="t"/>
        </w:pict>
      </w:r>
    </w:p>
    <w:bookmarkEnd w:id="1105"/>
    <w:bookmarkStart w:id="1106" w:name="resumo-do-capítulo-18"/>
    <w:p>
      <w:pPr>
        <w:pStyle w:val="Heading3"/>
      </w:pPr>
      <w:r>
        <w:t xml:space="preserve">📋 Resumo do Capítulo</w:t>
      </w:r>
    </w:p>
    <w:p>
      <w:pPr>
        <w:pStyle w:val="Compact"/>
        <w:numPr>
          <w:ilvl w:val="0"/>
          <w:numId w:val="1973"/>
        </w:numPr>
      </w:pPr>
      <w:r>
        <w:t xml:space="preserve">O mercado de trabalho é analisado pelo modelo trabalho-lazer, no qual o indivíduo aloca seu tempo entre lazer e trabalho, enfrentando o salário como custo de oportunidade do lazer. A condição de ótimo iguala a taxa marginal de substituição entre lazer e consumo ao salário real.</w:t>
      </w:r>
    </w:p>
    <w:p>
      <w:pPr>
        <w:pStyle w:val="Compact"/>
        <w:numPr>
          <w:ilvl w:val="0"/>
          <w:numId w:val="1973"/>
        </w:numPr>
      </w:pPr>
      <w:r>
        <w:t xml:space="preserve">Um aumento salarial tem efeitos ambíguos sobre a oferta de trabalho: o efeito substituição (lazer fica mais caro) incentiva mais trabalho, enquanto o efeito renda (maior poder de compra) incentiva mais lazer. Quando o efeito renda domina, a curva de oferta de trabalho se torna backward-bending. A</w:t>
      </w:r>
      <w:r>
        <w:t xml:space="preserve"> </w:t>
      </w:r>
      <w:r>
        <w:rPr>
          <w:b/>
          <w:bCs/>
        </w:rPr>
        <w:t xml:space="preserve">elasticidade de Frisch</w:t>
      </w:r>
      <w:r>
        <w:t xml:space="preserve"> </w:t>
      </w:r>
      <w:r>
        <w:t xml:space="preserve">mede a resposta a variações salariais temporárias, mantendo constante a utilidade marginal da riqueza, e é central para modelos macroeconômicos.</w:t>
      </w:r>
    </w:p>
    <w:p>
      <w:pPr>
        <w:pStyle w:val="Compact"/>
        <w:numPr>
          <w:ilvl w:val="0"/>
          <w:numId w:val="1973"/>
        </w:numPr>
      </w:pPr>
      <w:r>
        <w:t xml:space="preserve">A oferta de mercado agrega decisões individuais nas margens intensiva (horas) e extensiva (participação). A taxa de participação varia significativamente por gênero e país, sendo moldada por instituições, políticas de cuidado e normas culturais.</w:t>
      </w:r>
    </w:p>
    <w:p>
      <w:pPr>
        <w:pStyle w:val="Compact"/>
        <w:numPr>
          <w:ilvl w:val="0"/>
          <w:numId w:val="1973"/>
        </w:numPr>
      </w:pPr>
      <w:r>
        <w:t xml:space="preserve">A demanda por trabalho é derivada da produtividade marginal e segue as</w:t>
      </w:r>
      <w:r>
        <w:t xml:space="preserve"> </w:t>
      </w:r>
      <w:r>
        <w:rPr>
          <w:b/>
          <w:bCs/>
        </w:rPr>
        <w:t xml:space="preserve">regras de Marshall da demanda derivada</w:t>
      </w:r>
      <w:r>
        <w:t xml:space="preserve">: a elasticidade da demanda por trabalho depende da substituibilidade entre fatores, da elasticidade da demanda pelo produto, da participação do trabalho no custo e da elasticidade de oferta de outros fatores.</w:t>
      </w:r>
    </w:p>
    <w:p>
      <w:pPr>
        <w:pStyle w:val="Compact"/>
        <w:numPr>
          <w:ilvl w:val="0"/>
          <w:numId w:val="1973"/>
        </w:numPr>
      </w:pPr>
      <w:r>
        <w:t xml:space="preserve">O equilíbrio competitivo no mercado de trabalho iguala demanda e oferta de trabalho, com diferenças salariais explicadas por diferenciais compensatórios (risco, desconforto), capital humano (educação, experiência) e discriminação (de preferência e estatística). A</w:t>
      </w:r>
      <w:r>
        <w:t xml:space="preserve"> </w:t>
      </w:r>
      <w:r>
        <w:rPr>
          <w:b/>
          <w:bCs/>
        </w:rPr>
        <w:t xml:space="preserve">decomposição de Oaxaca-Blinder</w:t>
      </w:r>
      <w:r>
        <w:t xml:space="preserve"> </w:t>
      </w:r>
      <w:r>
        <w:t xml:space="preserve">permite separar o diferencial salarial entre parte explicada (características) e parte não explicada (discriminação).</w:t>
      </w:r>
    </w:p>
    <w:p>
      <w:pPr>
        <w:pStyle w:val="Compact"/>
        <w:numPr>
          <w:ilvl w:val="0"/>
          <w:numId w:val="1973"/>
        </w:numPr>
      </w:pPr>
      <w:r>
        <w:t xml:space="preserve">O monopsônio (único comprador de trabalho) paga salários abaixo do produto marginal do valor do trabalho e emprega menos trabalhadores do que o resultado competitivo. O</w:t>
      </w:r>
      <w:r>
        <w:t xml:space="preserve"> </w:t>
      </w:r>
      <w:r>
        <w:rPr>
          <w:b/>
          <w:bCs/>
        </w:rPr>
        <w:t xml:space="preserve">novo monopsônio</w:t>
      </w:r>
      <w:r>
        <w:t xml:space="preserve"> </w:t>
      </w:r>
      <w:r>
        <w:t xml:space="preserve">(Manning, 2003) mostra que custos de mobilidade e fricções de busca conferem poder monopsonístico mesmo em mercados com múltiplos empregadores. Evidências empíricas confirmam que mercados de trabalho concentrados pagam salários significativamente menores.</w:t>
      </w:r>
    </w:p>
    <w:p>
      <w:pPr>
        <w:pStyle w:val="Compact"/>
        <w:numPr>
          <w:ilvl w:val="0"/>
          <w:numId w:val="1973"/>
        </w:numPr>
      </w:pPr>
      <w:r>
        <w:t xml:space="preserve">Sindicatos podem elevar salários acima do nível competitivo, com efeitos sobre emprego que dependem do poder de barganha e da estrutura de mercado. O</w:t>
      </w:r>
      <w:r>
        <w:t xml:space="preserve"> </w:t>
      </w:r>
      <w:r>
        <w:rPr>
          <w:b/>
          <w:bCs/>
        </w:rPr>
        <w:t xml:space="preserve">declínio global da sindicalização</w:t>
      </w:r>
      <w:r>
        <w:t xml:space="preserve"> </w:t>
      </w:r>
      <w:r>
        <w:t xml:space="preserve">está associado ao aumento da desigualdade salarial. O salário mínimo tem efeitos ambíguos: sob monopsônio pode aumentar emprego, enquanto em mercados competitivos pode reduzi-lo.</w:t>
      </w:r>
    </w:p>
    <w:p>
      <w:pPr>
        <w:pStyle w:val="Compact"/>
        <w:numPr>
          <w:ilvl w:val="0"/>
          <w:numId w:val="1973"/>
        </w:numPr>
      </w:pPr>
      <w:r>
        <w:t xml:space="preserve">A</w:t>
      </w:r>
      <w:r>
        <w:t xml:space="preserve"> </w:t>
      </w:r>
      <w:r>
        <w:rPr>
          <w:b/>
          <w:bCs/>
        </w:rPr>
        <w:t xml:space="preserve">renda da terra</w:t>
      </w:r>
      <w:r>
        <w:t xml:space="preserve"> </w:t>
      </w:r>
      <w:r>
        <w:t xml:space="preserve">(Ricardo) é determinada integralmente pela demanda quando a oferta é fixa. A distinção entre</w:t>
      </w:r>
      <w:r>
        <w:t xml:space="preserve"> </w:t>
      </w:r>
      <w:r>
        <w:rPr>
          <w:b/>
          <w:bCs/>
        </w:rPr>
        <w:t xml:space="preserve">renda econômica</w:t>
      </w:r>
      <w:r>
        <w:t xml:space="preserve"> </w:t>
      </w:r>
      <w:r>
        <w:t xml:space="preserve">e</w:t>
      </w:r>
      <w:r>
        <w:t xml:space="preserve"> </w:t>
      </w:r>
      <w:r>
        <w:rPr>
          <w:b/>
          <w:bCs/>
        </w:rPr>
        <w:t xml:space="preserve">renda de transferência</w:t>
      </w:r>
      <w:r>
        <w:t xml:space="preserve"> </w:t>
      </w:r>
      <w:r>
        <w:t xml:space="preserve">tem implicações diretas para a tributação eficiente. A regra de Hotelling governa a extração ótima de recursos naturais exauríveis.</w:t>
      </w:r>
    </w:p>
    <w:p>
      <w:pPr>
        <w:pStyle w:val="Compact"/>
        <w:numPr>
          <w:ilvl w:val="0"/>
          <w:numId w:val="1973"/>
        </w:numPr>
      </w:pPr>
      <w:r>
        <w:t xml:space="preserve">A realidade brasileira é marcada por elevada informalidade, desigualdade salarial significativa, alto retorno à educação e debates persistentes sobre os efeitos do salário mínimo e da reforma trabalhista.</w:t>
      </w:r>
    </w:p>
    <w:bookmarkEnd w:id="1106"/>
    <w:bookmarkStart w:id="1107" w:name="conceitos-chave-17"/>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jc w:val="left"/>
            </w:pPr>
            <w:r>
              <w:t xml:space="preserve">Conceito</w:t>
            </w:r>
          </w:p>
        </w:tc>
        <w:tc>
          <w:tcPr/>
          <w:p>
            <w:pPr>
              <w:pStyle w:val="Compact"/>
              <w:jc w:val="left"/>
            </w:pPr>
            <w:r>
              <w:t xml:space="preserve">Definição</w:t>
            </w:r>
          </w:p>
        </w:tc>
      </w:tr>
      <w:tr>
        <w:tc>
          <w:tcPr/>
          <w:p>
            <w:pPr>
              <w:pStyle w:val="Compact"/>
              <w:jc w:val="left"/>
            </w:pPr>
            <w:r>
              <w:t xml:space="preserve">Renda plena (full income)</w:t>
            </w:r>
          </w:p>
        </w:tc>
        <w:tc>
          <w:tcPr/>
          <w:p>
            <w:pPr>
              <w:pStyle w:val="Compact"/>
              <w:jc w:val="left"/>
            </w:pPr>
            <w:r>
              <w:t xml:space="preserve">Renda máxima que o indivíduo obteria se trabalhasse todas as horas disponíveis:</w:t>
            </w:r>
            <w:r>
              <w:t xml:space="preserve"> </w:t>
            </w:r>
            <m:oMath>
              <m:sSup>
                <m:e>
                  <m:r>
                    <m:t>M</m:t>
                  </m:r>
                </m:e>
                <m:sup>
                  <m:r>
                    <m:rPr>
                      <m:sty m:val="p"/>
                    </m:rPr>
                    <m:t>*</m:t>
                  </m:r>
                </m:sup>
              </m:sSup>
              <m:r>
                <m:rPr>
                  <m:sty m:val="p"/>
                </m:rPr>
                <m:t>=</m:t>
              </m:r>
              <m:r>
                <m:t>w</m:t>
              </m:r>
              <m:r>
                <m:t>T</m:t>
              </m:r>
              <m:r>
                <m:rPr>
                  <m:sty m:val="p"/>
                </m:rPr>
                <m:t>+</m:t>
              </m:r>
              <m:r>
                <m:t>V</m:t>
              </m:r>
            </m:oMath>
          </w:p>
        </w:tc>
      </w:tr>
      <w:tr>
        <w:tc>
          <w:tcPr/>
          <w:p>
            <w:pPr>
              <w:pStyle w:val="Compact"/>
              <w:jc w:val="left"/>
            </w:pPr>
            <w:r>
              <w:t xml:space="preserve">Custo de oportunidade do lazer</w:t>
            </w:r>
          </w:p>
        </w:tc>
        <w:tc>
          <w:tcPr/>
          <w:p>
            <w:pPr>
              <w:pStyle w:val="Compact"/>
              <w:jc w:val="left"/>
            </w:pPr>
            <w:r>
              <w:t xml:space="preserve">O salário</w:t>
            </w:r>
            <w:r>
              <w:t xml:space="preserve"> </w:t>
            </w:r>
            <m:oMath>
              <m:r>
                <m:t>w</m:t>
              </m:r>
            </m:oMath>
            <w:r>
              <w:t xml:space="preserve">, pois cada hora de lazer implica renunciar a</w:t>
            </w:r>
            <w:r>
              <w:t xml:space="preserve"> </w:t>
            </w:r>
            <m:oMath>
              <m:r>
                <m:t>w</m:t>
              </m:r>
            </m:oMath>
            <w:r>
              <w:t xml:space="preserve"> </w:t>
            </w:r>
            <w:r>
              <w:t xml:space="preserve">reais de renda</w:t>
            </w:r>
          </w:p>
        </w:tc>
      </w:tr>
      <w:tr>
        <w:tc>
          <w:tcPr/>
          <w:p>
            <w:pPr>
              <w:pStyle w:val="Compact"/>
              <w:jc w:val="left"/>
            </w:pPr>
            <w:r>
              <w:t xml:space="preserve">Efeito substituição (trabalho)</w:t>
            </w:r>
          </w:p>
        </w:tc>
        <w:tc>
          <w:tcPr/>
          <w:p>
            <w:pPr>
              <w:pStyle w:val="Compact"/>
              <w:jc w:val="left"/>
            </w:pPr>
            <w:r>
              <w:t xml:space="preserve">Aumento salarial encarece o lazer, incentivando mais horas de trabalho</w:t>
            </w:r>
          </w:p>
        </w:tc>
      </w:tr>
      <w:tr>
        <w:tc>
          <w:tcPr/>
          <w:p>
            <w:pPr>
              <w:pStyle w:val="Compact"/>
              <w:jc w:val="left"/>
            </w:pPr>
            <w:r>
              <w:t xml:space="preserve">Efeito renda (trabalho)</w:t>
            </w:r>
          </w:p>
        </w:tc>
        <w:tc>
          <w:tcPr/>
          <w:p>
            <w:pPr>
              <w:pStyle w:val="Compact"/>
              <w:jc w:val="left"/>
            </w:pPr>
            <w:r>
              <w:t xml:space="preserve">Aumento salarial eleva a renda real, incentivando mais lazer (se lazer é bem normal), reduzindo horas de trabalho</w:t>
            </w:r>
          </w:p>
        </w:tc>
      </w:tr>
      <w:tr>
        <w:tc>
          <w:tcPr/>
          <w:p>
            <w:pPr>
              <w:pStyle w:val="Compact"/>
              <w:jc w:val="left"/>
            </w:pPr>
            <w:r>
              <w:t xml:space="preserve">Elasticidade de Frisch</w:t>
            </w:r>
          </w:p>
        </w:tc>
        <w:tc>
          <w:tcPr/>
          <w:p>
            <w:pPr>
              <w:pStyle w:val="Compact"/>
              <w:jc w:val="left"/>
            </w:pPr>
            <w:r>
              <w:t xml:space="preserve">Elasticidade da oferta de trabalho com utilidade marginal da riqueza constante; mede a resposta a variações salariais temporárias</w:t>
            </w:r>
          </w:p>
        </w:tc>
      </w:tr>
      <w:tr>
        <w:tc>
          <w:tcPr/>
          <w:p>
            <w:pPr>
              <w:pStyle w:val="Compact"/>
              <w:jc w:val="left"/>
            </w:pPr>
            <w:r>
              <w:t xml:space="preserve">Curva backward-bending</w:t>
            </w:r>
          </w:p>
        </w:tc>
        <w:tc>
          <w:tcPr/>
          <w:p>
            <w:pPr>
              <w:pStyle w:val="Compact"/>
              <w:jc w:val="left"/>
            </w:pPr>
            <w:r>
              <w:t xml:space="preserve">Curva de oferta de trabalho que se inclina para trás quando o efeito renda domina o efeito substituição em salários elevados</w:t>
            </w:r>
          </w:p>
        </w:tc>
      </w:tr>
      <w:tr>
        <w:tc>
          <w:tcPr/>
          <w:p>
            <w:pPr>
              <w:pStyle w:val="Compact"/>
              <w:jc w:val="left"/>
            </w:pPr>
            <w:r>
              <w:t xml:space="preserve">Margem intensiva vs. extensiva</w:t>
            </w:r>
          </w:p>
        </w:tc>
        <w:tc>
          <w:tcPr/>
          <w:p>
            <w:pPr>
              <w:pStyle w:val="Compact"/>
              <w:jc w:val="left"/>
            </w:pPr>
            <w:r>
              <w:t xml:space="preserve">Margem intensiva: quantas horas trabalhar; margem extensiva: participar ou não do mercado de trabalho</w:t>
            </w:r>
          </w:p>
        </w:tc>
      </w:tr>
      <w:tr>
        <w:tc>
          <w:tcPr/>
          <w:p>
            <w:pPr>
              <w:pStyle w:val="Compact"/>
              <w:jc w:val="left"/>
            </w:pPr>
            <w:r>
              <w:t xml:space="preserve">Diferencial compensatório</w:t>
            </w:r>
          </w:p>
        </w:tc>
        <w:tc>
          <w:tcPr/>
          <w:p>
            <w:pPr>
              <w:pStyle w:val="Compact"/>
              <w:jc w:val="left"/>
            </w:pPr>
            <w:r>
              <w:t xml:space="preserve">Diferença salarial que compensa trabalhadores por características indesejáveis do emprego (risco, insalubridade, localização)</w:t>
            </w:r>
          </w:p>
        </w:tc>
      </w:tr>
      <w:tr>
        <w:tc>
          <w:tcPr/>
          <w:p>
            <w:pPr>
              <w:pStyle w:val="Compact"/>
              <w:jc w:val="left"/>
            </w:pPr>
            <w:r>
              <w:t xml:space="preserve">Regras de Marshall (demanda derivada)</w:t>
            </w:r>
          </w:p>
        </w:tc>
        <w:tc>
          <w:tcPr/>
          <w:p>
            <w:pPr>
              <w:pStyle w:val="Compact"/>
              <w:jc w:val="left"/>
            </w:pPr>
            <w:r>
              <w:t xml:space="preserve">Quatro regras que determinam a elasticidade da demanda por trabalho: substituibilidade entre fatores, elasticidade do produto, participação no custo e oferta de outros fatores</w:t>
            </w:r>
          </w:p>
        </w:tc>
      </w:tr>
      <w:tr>
        <w:tc>
          <w:tcPr/>
          <w:p>
            <w:pPr>
              <w:pStyle w:val="Compact"/>
              <w:jc w:val="left"/>
            </w:pPr>
            <w:r>
              <w:t xml:space="preserve">Decomposição de Oaxaca-Blinder</w:t>
            </w:r>
          </w:p>
        </w:tc>
        <w:tc>
          <w:tcPr/>
          <w:p>
            <w:pPr>
              <w:pStyle w:val="Compact"/>
              <w:jc w:val="left"/>
            </w:pPr>
            <w:r>
              <w:t xml:space="preserve">Técnica que separa o diferencial salarial entre grupos em parte explicada (diferenças de características) e parte não explicada (diferenças de retornos / discriminação)</w:t>
            </w:r>
          </w:p>
        </w:tc>
      </w:tr>
      <w:tr>
        <w:tc>
          <w:tcPr/>
          <w:p>
            <w:pPr>
              <w:pStyle w:val="Compact"/>
              <w:jc w:val="left"/>
            </w:pPr>
            <w:r>
              <w:t xml:space="preserve">Discriminação estatística</w:t>
            </w:r>
          </w:p>
        </w:tc>
        <w:tc>
          <w:tcPr/>
          <w:p>
            <w:pPr>
              <w:pStyle w:val="Compact"/>
              <w:jc w:val="left"/>
            </w:pPr>
            <w:r>
              <w:t xml:space="preserve">Discriminação racional baseada em características observáveis do grupo como proxy para produtividade individual, na ausência de informação perfeita</w:t>
            </w:r>
          </w:p>
        </w:tc>
      </w:tr>
      <w:tr>
        <w:tc>
          <w:tcPr/>
          <w:p>
            <w:pPr>
              <w:pStyle w:val="Compact"/>
              <w:jc w:val="left"/>
            </w:pPr>
            <w:r>
              <w:t xml:space="preserve">Monopsônio</w:t>
            </w:r>
          </w:p>
        </w:tc>
        <w:tc>
          <w:tcPr/>
          <w:p>
            <w:pPr>
              <w:pStyle w:val="Compact"/>
              <w:jc w:val="left"/>
            </w:pPr>
            <w:r>
              <w:t xml:space="preserve">Estrutura de mercado com um único comprador de trabalho, que paga salário abaixo do produto marginal e emprega menos que o competitivo</w:t>
            </w:r>
          </w:p>
        </w:tc>
      </w:tr>
      <w:tr>
        <w:tc>
          <w:tcPr/>
          <w:p>
            <w:pPr>
              <w:pStyle w:val="Compact"/>
              <w:jc w:val="left"/>
            </w:pPr>
            <w:r>
              <w:t xml:space="preserve">Novo monopsônio</w:t>
            </w:r>
          </w:p>
        </w:tc>
        <w:tc>
          <w:tcPr/>
          <w:p>
            <w:pPr>
              <w:pStyle w:val="Compact"/>
              <w:jc w:val="left"/>
            </w:pPr>
            <w:r>
              <w:t xml:space="preserve">Poder monopsonístico decorrente de custos de mobilidade, fricções de busca e informação imperfeita, mesmo com múltiplos empregadores (Manning, 2003)</w:t>
            </w:r>
          </w:p>
        </w:tc>
      </w:tr>
      <w:tr>
        <w:tc>
          <w:tcPr/>
          <w:p>
            <w:pPr>
              <w:pStyle w:val="Compact"/>
              <w:jc w:val="left"/>
            </w:pPr>
            <w:r>
              <w:t xml:space="preserve">Custo marginal do trabalho (monopsônio)</w:t>
            </w:r>
          </w:p>
        </w:tc>
        <w:tc>
          <w:tcPr/>
          <w:p>
            <w:pPr>
              <w:pStyle w:val="Compact"/>
              <w:jc w:val="left"/>
            </w:pPr>
            <w:r>
              <w:t xml:space="preserve">Custo de contratar um trabalhador adicional, que excede o salário pago porque o monopsonista deve elevar o salário de todos os trabalhadores</w:t>
            </w:r>
          </w:p>
        </w:tc>
      </w:tr>
      <w:tr>
        <w:tc>
          <w:tcPr/>
          <w:p>
            <w:pPr>
              <w:pStyle w:val="Compact"/>
              <w:jc w:val="left"/>
            </w:pPr>
            <w:r>
              <w:t xml:space="preserve">Salário de reserva</w:t>
            </w:r>
          </w:p>
        </w:tc>
        <w:tc>
          <w:tcPr/>
          <w:p>
            <w:pPr>
              <w:pStyle w:val="Compact"/>
              <w:jc w:val="left"/>
            </w:pPr>
            <w:r>
              <w:t xml:space="preserve">Salário mínimo abaixo do qual o indivíduo prefere não trabalhar (solução de canto com</w:t>
            </w:r>
            <w:r>
              <w:t xml:space="preserve"> </w:t>
            </w:r>
            <m:oMath>
              <m:r>
                <m:t>h</m:t>
              </m:r>
              <m:r>
                <m:rPr>
                  <m:sty m:val="p"/>
                </m:rPr>
                <m:t>=</m:t>
              </m:r>
              <m:r>
                <m:t>0</m:t>
              </m:r>
            </m:oMath>
            <w:r>
              <w:t xml:space="preserve">)</w:t>
            </w:r>
          </w:p>
        </w:tc>
      </w:tr>
      <w:tr>
        <w:tc>
          <w:tcPr/>
          <w:p>
            <w:pPr>
              <w:pStyle w:val="Compact"/>
              <w:jc w:val="left"/>
            </w:pPr>
            <w:r>
              <w:t xml:space="preserve">Capital humano</w:t>
            </w:r>
          </w:p>
        </w:tc>
        <w:tc>
          <w:tcPr/>
          <w:p>
            <w:pPr>
              <w:pStyle w:val="Compact"/>
              <w:jc w:val="left"/>
            </w:pPr>
            <w:r>
              <w:t xml:space="preserve">Estoque de habilidades e conhecimentos adquiridos via educação e experiência que elevam a produtividade e os salários</w:t>
            </w:r>
          </w:p>
        </w:tc>
      </w:tr>
      <w:tr>
        <w:tc>
          <w:tcPr/>
          <w:p>
            <w:pPr>
              <w:pStyle w:val="Compact"/>
              <w:jc w:val="left"/>
            </w:pPr>
            <w:r>
              <w:t xml:space="preserve">Renda da terra</w:t>
            </w:r>
          </w:p>
        </w:tc>
        <w:tc>
          <w:tcPr/>
          <w:p>
            <w:pPr>
              <w:pStyle w:val="Compact"/>
              <w:jc w:val="left"/>
            </w:pPr>
            <w:r>
              <w:t xml:space="preserve">Remuneração do fator terra, determinada integralmente pela demanda quando a oferta é fixa (Ricardo)</w:t>
            </w:r>
          </w:p>
        </w:tc>
      </w:tr>
      <w:tr>
        <w:tc>
          <w:tcPr/>
          <w:p>
            <w:pPr>
              <w:pStyle w:val="Compact"/>
              <w:jc w:val="left"/>
            </w:pPr>
            <w:r>
              <w:t xml:space="preserve">Renda econômica</w:t>
            </w:r>
          </w:p>
        </w:tc>
        <w:tc>
          <w:tcPr/>
          <w:p>
            <w:pPr>
              <w:pStyle w:val="Compact"/>
              <w:jc w:val="left"/>
            </w:pPr>
            <w:r>
              <w:t xml:space="preserve">Excedente recebido acima da remuneração mínima necessária para manter o fator em seu uso atual:</w:t>
            </w:r>
            <w:r>
              <w:t xml:space="preserve"> </w:t>
            </w:r>
            <m:oMath>
              <m:r>
                <m:t>w</m:t>
              </m:r>
              <m:r>
                <m:rPr>
                  <m:sty m:val="p"/>
                </m:rPr>
                <m:t>−</m:t>
              </m:r>
              <m:sSub>
                <m:e>
                  <m:r>
                    <m:t>w</m:t>
                  </m:r>
                </m:e>
                <m:sub>
                  <m:r>
                    <m:t>0</m:t>
                  </m:r>
                </m:sub>
              </m:sSub>
            </m:oMath>
          </w:p>
        </w:tc>
      </w:tr>
    </w:tbl>
    <w:p>
      <w:pPr>
        <w:pStyle w:val="BodyText"/>
      </w:pPr>
      <w:r>
        <w:rPr>
          <w:b/>
          <w:bCs/>
        </w:rPr>
        <w:t xml:space="preserve">Tabela 17.3 — Conceitos-chave.</w:t>
      </w:r>
    </w:p>
    <w:p>
      <w:r>
        <w:pict>
          <v:rect style="width:0;height:1.5pt" o:hralign="center" o:hrstd="t" o:hr="t"/>
        </w:pict>
      </w:r>
    </w:p>
    <w:bookmarkEnd w:id="1107"/>
    <w:bookmarkStart w:id="1108" w:name="exercícios-22"/>
    <w:p>
      <w:pPr>
        <w:pStyle w:val="Heading3"/>
      </w:pPr>
      <w:r>
        <w:t xml:space="preserve">Exercícios</w:t>
      </w:r>
    </w:p>
    <w:p>
      <w:pPr>
        <w:pStyle w:val="BlockText"/>
      </w:pPr>
      <w:r>
        <w:rPr>
          <w:b/>
          <w:bCs/>
        </w:rPr>
        <w:t xml:space="preserve">[NOTA] Exercícios do Capítulo 17</w:t>
      </w:r>
    </w:p>
    <w:p>
      <w:pPr>
        <w:pStyle w:val="FirstParagraph"/>
      </w:pPr>
      <w:r>
        <w:rPr>
          <w:b/>
          <w:bCs/>
        </w:rPr>
        <w:t xml:space="preserve">Exercício 17.1.</w:t>
      </w:r>
      <w:r>
        <w:t xml:space="preserve"> </w:t>
      </w:r>
      <w:r>
        <w:t xml:space="preserve">Um trabalhador tem preferências representadas por</w:t>
      </w:r>
      <w:r>
        <w:t xml:space="preserve"> </w:t>
      </w:r>
      <m:oMath>
        <m:r>
          <m:t>U</m:t>
        </m:r>
        <m:r>
          <m:rPr>
            <m:sty m:val="p"/>
          </m:rPr>
          <m:t>(</m:t>
        </m:r>
        <m:r>
          <m:t>C</m:t>
        </m:r>
        <m:r>
          <m:rPr>
            <m:sty m:val="p"/>
          </m:rPr>
          <m:t>,</m:t>
        </m:r>
        <m:r>
          <m:t>L</m:t>
        </m:r>
        <m:r>
          <m:rPr>
            <m:sty m:val="p"/>
          </m:rPr>
          <m:t>)</m:t>
        </m:r>
        <m:r>
          <m:rPr>
            <m:sty m:val="p"/>
          </m:rPr>
          <m:t>=</m:t>
        </m:r>
        <m:r>
          <m:rPr>
            <m:sty m:val="p"/>
          </m:rPr>
          <m:t>ln</m:t>
        </m:r>
        <m:r>
          <m:t>C</m:t>
        </m:r>
        <m:r>
          <m:rPr>
            <m:sty m:val="p"/>
          </m:rPr>
          <m:t>+</m:t>
        </m:r>
        <m:r>
          <m:t>2</m:t>
        </m:r>
        <m:r>
          <m:rPr>
            <m:sty m:val="p"/>
          </m:rPr>
          <m:t>ln</m:t>
        </m:r>
        <m:r>
          <m:t>L</m:t>
        </m:r>
      </m:oMath>
      <w:r>
        <w:t xml:space="preserve">. Sua dotação de tempo é</w:t>
      </w:r>
      <w:r>
        <w:t xml:space="preserve"> </w:t>
      </w:r>
      <m:oMath>
        <m:r>
          <m:t>T</m:t>
        </m:r>
        <m:r>
          <m:rPr>
            <m:sty m:val="p"/>
          </m:rPr>
          <m:t>=</m:t>
        </m:r>
        <m:r>
          <m:t>24</m:t>
        </m:r>
      </m:oMath>
      <w:r>
        <w:t xml:space="preserve"> </w:t>
      </w:r>
      <w:r>
        <w:t xml:space="preserve">horas por dia, a renda não salarial é</w:t>
      </w:r>
      <w:r>
        <w:t xml:space="preserve"> </w:t>
      </w:r>
      <m:oMath>
        <m:r>
          <m:t>V</m:t>
        </m:r>
        <m:r>
          <m:rPr>
            <m:sty m:val="p"/>
          </m:rPr>
          <m:t>=</m:t>
        </m:r>
        <m:r>
          <m:t>0</m:t>
        </m:r>
      </m:oMath>
      <w:r>
        <w:t xml:space="preserve"> </w:t>
      </w:r>
      <w:r>
        <w:t xml:space="preserve">e o salário é</w:t>
      </w:r>
      <w:r>
        <w:t xml:space="preserve"> </w:t>
      </w:r>
      <m:oMath>
        <m:r>
          <m:t>w</m:t>
        </m:r>
      </m:oMath>
      <w:r>
        <w:t xml:space="preserve">.</w:t>
      </w:r>
    </w:p>
    <w:p>
      <w:pPr>
        <w:numPr>
          <w:ilvl w:val="0"/>
          <w:numId w:val="1974"/>
        </w:numPr>
      </w:pPr>
      <w:r>
        <w:t xml:space="preserve">Derive as demandas ótimas</w:t>
      </w:r>
      <w:r>
        <w:t xml:space="preserve"> </w:t>
      </w:r>
      <m:oMath>
        <m:sSup>
          <m:e>
            <m:r>
              <m:t>C</m:t>
            </m:r>
          </m:e>
          <m:sup>
            <m:r>
              <m:rPr>
                <m:sty m:val="p"/>
              </m:rPr>
              <m:t>*</m:t>
            </m:r>
          </m:sup>
        </m:sSup>
        <m:r>
          <m:rPr>
            <m:sty m:val="p"/>
          </m:rPr>
          <m:t>(</m:t>
        </m:r>
        <m:r>
          <m:t>w</m:t>
        </m:r>
        <m:r>
          <m:rPr>
            <m:sty m:val="p"/>
          </m:rPr>
          <m:t>)</m:t>
        </m:r>
      </m:oMath>
      <w:r>
        <w:t xml:space="preserve"> </w:t>
      </w:r>
      <w:r>
        <w:t xml:space="preserve">e</w:t>
      </w:r>
      <w:r>
        <w:t xml:space="preserve"> </w:t>
      </w:r>
      <m:oMath>
        <m:sSup>
          <m:e>
            <m:r>
              <m:t>L</m:t>
            </m:r>
          </m:e>
          <m:sup>
            <m:r>
              <m:rPr>
                <m:sty m:val="p"/>
              </m:rPr>
              <m:t>*</m:t>
            </m:r>
          </m:sup>
        </m:sSup>
        <m:r>
          <m:rPr>
            <m:sty m:val="p"/>
          </m:rPr>
          <m:t>(</m:t>
        </m:r>
        <m:r>
          <m:t>w</m:t>
        </m:r>
        <m:r>
          <m:rPr>
            <m:sty m:val="p"/>
          </m:rPr>
          <m:t>)</m:t>
        </m:r>
      </m:oMath>
      <w:r>
        <w:t xml:space="preserve">.</w:t>
      </w:r>
    </w:p>
    <w:p>
      <w:pPr>
        <w:numPr>
          <w:ilvl w:val="0"/>
          <w:numId w:val="1974"/>
        </w:numPr>
      </w:pPr>
      <w:r>
        <w:t xml:space="preserve">Obtenha a oferta de trabalho</w:t>
      </w:r>
      <w:r>
        <w:t xml:space="preserve"> </w:t>
      </w:r>
      <m:oMath>
        <m:sSup>
          <m:e>
            <m:r>
              <m:t>h</m:t>
            </m:r>
          </m:e>
          <m:sup>
            <m:r>
              <m:rPr>
                <m:sty m:val="p"/>
              </m:rPr>
              <m:t>*</m:t>
            </m:r>
          </m:sup>
        </m:sSup>
        <m:r>
          <m:rPr>
            <m:sty m:val="p"/>
          </m:rPr>
          <m:t>(</m:t>
        </m:r>
        <m:r>
          <m:t>w</m:t>
        </m:r>
        <m:r>
          <m:rPr>
            <m:sty m:val="p"/>
          </m:rPr>
          <m:t>)</m:t>
        </m:r>
      </m:oMath>
      <w:r>
        <w:t xml:space="preserve">. Ela depende de</w:t>
      </w:r>
      <w:r>
        <w:t xml:space="preserve"> </w:t>
      </w:r>
      <m:oMath>
        <m:r>
          <m:t>w</m:t>
        </m:r>
      </m:oMath>
      <w:r>
        <w:t xml:space="preserve">? Interprete.</w:t>
      </w:r>
    </w:p>
    <w:p>
      <w:pPr>
        <w:numPr>
          <w:ilvl w:val="0"/>
          <w:numId w:val="1974"/>
        </w:numPr>
      </w:pPr>
      <w:r>
        <w:t xml:space="preserve">Agora suponha</w:t>
      </w:r>
      <w:r>
        <w:t xml:space="preserve"> </w:t>
      </w:r>
      <m:oMath>
        <m:r>
          <m:t>V</m:t>
        </m:r>
        <m:r>
          <m:rPr>
            <m:sty m:val="p"/>
          </m:rPr>
          <m:t>=</m:t>
        </m:r>
        <m:r>
          <m:t>48</m:t>
        </m:r>
      </m:oMath>
      <w:r>
        <w:t xml:space="preserve">. Derive</w:t>
      </w:r>
      <w:r>
        <w:t xml:space="preserve"> </w:t>
      </w:r>
      <m:oMath>
        <m:sSup>
          <m:e>
            <m:r>
              <m:t>h</m:t>
            </m:r>
          </m:e>
          <m:sup>
            <m:r>
              <m:rPr>
                <m:sty m:val="p"/>
              </m:rPr>
              <m:t>*</m:t>
            </m:r>
          </m:sup>
        </m:sSup>
        <m:r>
          <m:rPr>
            <m:sty m:val="p"/>
          </m:rPr>
          <m:t>(</m:t>
        </m:r>
        <m:r>
          <m:t>w</m:t>
        </m:r>
        <m:r>
          <m:rPr>
            <m:sty m:val="p"/>
          </m:rPr>
          <m:t>)</m:t>
        </m:r>
      </m:oMath>
      <w:r>
        <w:t xml:space="preserve"> </w:t>
      </w:r>
      <w:r>
        <w:t xml:space="preserve">e mostre que a oferta de trabalho agora é decrescente em</w:t>
      </w:r>
      <w:r>
        <w:t xml:space="preserve"> </w:t>
      </w:r>
      <m:oMath>
        <m:r>
          <m:t>w</m:t>
        </m:r>
      </m:oMath>
      <w:r>
        <w:t xml:space="preserve">. Interprete.</w:t>
      </w:r>
    </w:p>
    <w:p>
      <w:pPr>
        <w:pStyle w:val="FirstParagraph"/>
      </w:pPr>
      <w:r>
        <w:t xml:space="preserve">Ver solução (Cap. 17)</w:t>
      </w:r>
    </w:p>
    <w:p>
      <w:r>
        <w:pict>
          <v:rect style="width:0;height:1.5pt" o:hralign="center" o:hrstd="t" o:hr="t"/>
        </w:pict>
      </w:r>
    </w:p>
    <w:p>
      <w:pPr>
        <w:pStyle w:val="FirstParagraph"/>
      </w:pPr>
      <w:r>
        <w:rPr>
          <w:b/>
          <w:bCs/>
        </w:rPr>
        <w:t xml:space="preserve">Exercício 17.2.</w:t>
      </w:r>
      <w:r>
        <w:t xml:space="preserve"> </w:t>
      </w:r>
      <w:r>
        <w:t xml:space="preserve">Considere um mercado de trabalho competitivo com oferta</w:t>
      </w:r>
      <w:r>
        <w:t xml:space="preserve"> </w:t>
      </w:r>
      <m:oMath>
        <m:sSup>
          <m:e>
            <m:r>
              <m:t>H</m:t>
            </m:r>
          </m:e>
          <m:sup>
            <m:r>
              <m:t>s</m:t>
            </m:r>
          </m:sup>
        </m:sSup>
        <m:r>
          <m:rPr>
            <m:sty m:val="p"/>
          </m:rPr>
          <m:t>=</m:t>
        </m:r>
        <m:r>
          <m:t>100</m:t>
        </m:r>
        <m:r>
          <m:t>w</m:t>
        </m:r>
      </m:oMath>
      <w:r>
        <w:t xml:space="preserve"> </w:t>
      </w:r>
      <w:r>
        <w:t xml:space="preserve">e demanda</w:t>
      </w:r>
      <w:r>
        <w:t xml:space="preserve"> </w:t>
      </w:r>
      <m:oMath>
        <m:sSup>
          <m:e>
            <m:r>
              <m:t>H</m:t>
            </m:r>
          </m:e>
          <m:sup>
            <m:r>
              <m:t>d</m:t>
            </m:r>
          </m:sup>
        </m:sSup>
        <m:r>
          <m:rPr>
            <m:sty m:val="p"/>
          </m:rPr>
          <m:t>=</m:t>
        </m:r>
        <m:r>
          <m:t>4000</m:t>
        </m:r>
        <m:r>
          <m:rPr>
            <m:sty m:val="p"/>
          </m:rPr>
          <m:t>−</m:t>
        </m:r>
        <m:r>
          <m:t>100</m:t>
        </m:r>
        <m:r>
          <m:t>w</m:t>
        </m:r>
      </m:oMath>
      <w:r>
        <w:t xml:space="preserve">.</w:t>
      </w:r>
    </w:p>
    <w:p>
      <w:pPr>
        <w:numPr>
          <w:ilvl w:val="0"/>
          <w:numId w:val="1975"/>
        </w:numPr>
      </w:pPr>
      <w:r>
        <w:t xml:space="preserve">Encontre o salário e o emprego de equilíbrio.</w:t>
      </w:r>
    </w:p>
    <w:p>
      <w:pPr>
        <w:numPr>
          <w:ilvl w:val="0"/>
          <w:numId w:val="1975"/>
        </w:numPr>
      </w:pPr>
      <w:r>
        <w:t xml:space="preserve">Se o governo impõe um salário mínimo</w:t>
      </w:r>
      <w:r>
        <w:t xml:space="preserve"> </w:t>
      </w:r>
      <m:oMath>
        <m:sSub>
          <m:e>
            <m:r>
              <m:t>w</m:t>
            </m:r>
          </m:e>
          <m:sub>
            <m:r>
              <m:t>m</m:t>
            </m:r>
            <m:r>
              <m:t>i</m:t>
            </m:r>
            <m:r>
              <m:t>n</m:t>
            </m:r>
          </m:sub>
        </m:sSub>
        <m:r>
          <m:rPr>
            <m:sty m:val="p"/>
          </m:rPr>
          <m:t>=</m:t>
        </m:r>
        <m:r>
          <m:t>25</m:t>
        </m:r>
      </m:oMath>
      <w:r>
        <w:t xml:space="preserve">, qual é o nível de emprego? E o excesso de oferta (desemprego)?</w:t>
      </w:r>
    </w:p>
    <w:p>
      <w:pPr>
        <w:numPr>
          <w:ilvl w:val="0"/>
          <w:numId w:val="1975"/>
        </w:numPr>
      </w:pPr>
      <w:r>
        <w:t xml:space="preserve">Calcule a perda de peso morto gerada pelo salário mínimo.</w:t>
      </w:r>
    </w:p>
    <w:p>
      <w:pPr>
        <w:pStyle w:val="FirstParagraph"/>
      </w:pPr>
      <w:r>
        <w:t xml:space="preserve">Ver solução (Cap. 17)</w:t>
      </w:r>
    </w:p>
    <w:p>
      <w:r>
        <w:pict>
          <v:rect style="width:0;height:1.5pt" o:hralign="center" o:hrstd="t" o:hr="t"/>
        </w:pict>
      </w:r>
    </w:p>
    <w:p>
      <w:pPr>
        <w:pStyle w:val="FirstParagraph"/>
      </w:pPr>
      <w:r>
        <w:rPr>
          <w:b/>
          <w:bCs/>
        </w:rPr>
        <w:t xml:space="preserve">Exercício 17.3.</w:t>
      </w:r>
      <w:r>
        <w:t xml:space="preserve"> </w:t>
      </w:r>
      <w:r>
        <w:t xml:space="preserve">Uma firma monopsonista enfrenta a oferta de trabalho</w:t>
      </w:r>
      <w:r>
        <w:t xml:space="preserve"> </w:t>
      </w:r>
      <m:oMath>
        <m:r>
          <m:t>w</m:t>
        </m:r>
        <m:r>
          <m:rPr>
            <m:sty m:val="p"/>
          </m:rPr>
          <m:t>=</m:t>
        </m:r>
        <m:r>
          <m:t>10</m:t>
        </m:r>
        <m:r>
          <m:rPr>
            <m:sty m:val="p"/>
          </m:rPr>
          <m:t>+</m:t>
        </m:r>
        <m:r>
          <m:t>0</m:t>
        </m:r>
        <m:r>
          <m:rPr>
            <m:sty m:val="p"/>
          </m:rPr>
          <m:t>,</m:t>
        </m:r>
        <m:r>
          <m:t>5</m:t>
        </m:r>
        <m:r>
          <m:t>H</m:t>
        </m:r>
      </m:oMath>
      <w:r>
        <w:t xml:space="preserve"> </w:t>
      </w:r>
      <w:r>
        <w:t xml:space="preserve">e tem</w:t>
      </w:r>
      <w:r>
        <w:t xml:space="preserve"> </w:t>
      </w:r>
      <m:oMath>
        <m:r>
          <m:t>V</m:t>
        </m:r>
        <m:r>
          <m:t>P</m:t>
        </m:r>
        <m:r>
          <m:t>M</m:t>
        </m:r>
        <m:sSub>
          <m:e>
            <m:r>
              <m:t>g</m:t>
            </m:r>
          </m:e>
          <m:sub>
            <m:r>
              <m:t>L</m:t>
            </m:r>
          </m:sub>
        </m:sSub>
        <m:r>
          <m:rPr>
            <m:sty m:val="p"/>
          </m:rPr>
          <m:t>=</m:t>
        </m:r>
        <m:r>
          <m:t>50</m:t>
        </m:r>
        <m:r>
          <m:rPr>
            <m:sty m:val="p"/>
          </m:rPr>
          <m:t>−</m:t>
        </m:r>
        <m:r>
          <m:t>H</m:t>
        </m:r>
      </m:oMath>
      <w:r>
        <w:t xml:space="preserve">.</w:t>
      </w:r>
    </w:p>
    <w:p>
      <w:pPr>
        <w:numPr>
          <w:ilvl w:val="0"/>
          <w:numId w:val="1976"/>
        </w:numPr>
      </w:pPr>
      <w:r>
        <w:t xml:space="preserve">Derive o custo marginal do trabalho (despesa marginal).</w:t>
      </w:r>
    </w:p>
    <w:p>
      <w:pPr>
        <w:numPr>
          <w:ilvl w:val="0"/>
          <w:numId w:val="1976"/>
        </w:numPr>
      </w:pPr>
      <w:r>
        <w:t xml:space="preserve">Encontre o emprego e o salário escolhidos pelo monopsonista.</w:t>
      </w:r>
    </w:p>
    <w:p>
      <w:pPr>
        <w:numPr>
          <w:ilvl w:val="0"/>
          <w:numId w:val="1976"/>
        </w:numPr>
      </w:pPr>
      <w:r>
        <w:t xml:space="preserve">Compare com o equilíbrio competitivo. Calcule a exploração monopsonística.</w:t>
      </w:r>
    </w:p>
    <w:p>
      <w:pPr>
        <w:pStyle w:val="FirstParagraph"/>
      </w:pPr>
      <w:r>
        <w:t xml:space="preserve">Ver solução (Cap. 17)</w:t>
      </w:r>
    </w:p>
    <w:p>
      <w:r>
        <w:pict>
          <v:rect style="width:0;height:1.5pt" o:hralign="center" o:hrstd="t" o:hr="t"/>
        </w:pict>
      </w:r>
    </w:p>
    <w:p>
      <w:pPr>
        <w:pStyle w:val="FirstParagraph"/>
      </w:pPr>
      <w:r>
        <w:rPr>
          <w:b/>
          <w:bCs/>
        </w:rPr>
        <w:t xml:space="preserve">Exercício 17.4.</w:t>
      </w:r>
      <w:r>
        <w:t xml:space="preserve"> </w:t>
      </w:r>
      <w:r>
        <w:t xml:space="preserve">Um sindicato maximiza a renda total dos seus membros,</w:t>
      </w:r>
      <w:r>
        <w:t xml:space="preserve"> </w:t>
      </w:r>
      <m:oMath>
        <m:r>
          <m:t>R</m:t>
        </m:r>
        <m:r>
          <m:rPr>
            <m:sty m:val="p"/>
          </m:rPr>
          <m:t>=</m:t>
        </m:r>
        <m:r>
          <m:t>w</m:t>
        </m:r>
        <m:r>
          <m:rPr>
            <m:sty m:val="p"/>
          </m:rPr>
          <m:t>⋅</m:t>
        </m:r>
        <m:sSup>
          <m:e>
            <m:r>
              <m:t>H</m:t>
            </m:r>
          </m:e>
          <m:sup>
            <m:r>
              <m:t>d</m:t>
            </m:r>
          </m:sup>
        </m:sSup>
        <m:r>
          <m:rPr>
            <m:sty m:val="p"/>
          </m:rPr>
          <m:t>(</m:t>
        </m:r>
        <m:r>
          <m:t>w</m:t>
        </m:r>
        <m:r>
          <m:rPr>
            <m:sty m:val="p"/>
          </m:rPr>
          <m:t>)</m:t>
        </m:r>
      </m:oMath>
      <w:r>
        <w:t xml:space="preserve">, onde a demanda por trabalho é</w:t>
      </w:r>
      <w:r>
        <w:t xml:space="preserve"> </w:t>
      </w:r>
      <m:oMath>
        <m:sSup>
          <m:e>
            <m:r>
              <m:t>H</m:t>
            </m:r>
          </m:e>
          <m:sup>
            <m:r>
              <m:t>d</m:t>
            </m:r>
          </m:sup>
        </m:sSup>
        <m:r>
          <m:rPr>
            <m:sty m:val="p"/>
          </m:rPr>
          <m:t>(</m:t>
        </m:r>
        <m:r>
          <m:t>w</m:t>
        </m:r>
        <m:r>
          <m:rPr>
            <m:sty m:val="p"/>
          </m:rPr>
          <m:t>)</m:t>
        </m:r>
        <m:r>
          <m:rPr>
            <m:sty m:val="p"/>
          </m:rPr>
          <m:t>=</m:t>
        </m:r>
        <m:r>
          <m:t>1000</m:t>
        </m:r>
        <m:r>
          <m:rPr>
            <m:sty m:val="p"/>
          </m:rPr>
          <m:t>−</m:t>
        </m:r>
        <m:r>
          <m:t>20</m:t>
        </m:r>
        <m:r>
          <m:t>w</m:t>
        </m:r>
      </m:oMath>
      <w:r>
        <w:t xml:space="preserve">.</w:t>
      </w:r>
    </w:p>
    <w:p>
      <w:pPr>
        <w:numPr>
          <w:ilvl w:val="0"/>
          <w:numId w:val="1977"/>
        </w:numPr>
      </w:pPr>
      <w:r>
        <w:t xml:space="preserve">Encontre o salário que maximiza</w:t>
      </w:r>
      <w:r>
        <w:t xml:space="preserve"> </w:t>
      </w:r>
      <m:oMath>
        <m:r>
          <m:t>R</m:t>
        </m:r>
      </m:oMath>
      <w:r>
        <w:t xml:space="preserve">.</w:t>
      </w:r>
    </w:p>
    <w:p>
      <w:pPr>
        <w:numPr>
          <w:ilvl w:val="0"/>
          <w:numId w:val="1977"/>
        </w:numPr>
      </w:pPr>
      <w:r>
        <w:t xml:space="preserve">Qual é o nível de emprego resultante?</w:t>
      </w:r>
    </w:p>
    <w:p>
      <w:pPr>
        <w:numPr>
          <w:ilvl w:val="0"/>
          <w:numId w:val="1977"/>
        </w:numPr>
      </w:pPr>
      <w:r>
        <w:t xml:space="preserve">Compare com o equilíbrio competitivo (supondo oferta perfeitamente elástica a</w:t>
      </w:r>
      <w:r>
        <w:t xml:space="preserve"> </w:t>
      </w:r>
      <m:oMath>
        <m:r>
          <m:t>w</m:t>
        </m:r>
        <m:r>
          <m:rPr>
            <m:sty m:val="p"/>
          </m:rPr>
          <m:t>=</m:t>
        </m:r>
        <m:r>
          <m:t>15</m:t>
        </m:r>
      </m:oMath>
      <w:r>
        <w:t xml:space="preserve">).</w:t>
      </w:r>
    </w:p>
    <w:p>
      <w:pPr>
        <w:pStyle w:val="FirstParagraph"/>
      </w:pPr>
      <w:r>
        <w:t xml:space="preserve">Ver solução (Cap. 17)</w:t>
      </w:r>
    </w:p>
    <w:p>
      <w:r>
        <w:pict>
          <v:rect style="width:0;height:1.5pt" o:hralign="center" o:hrstd="t" o:hr="t"/>
        </w:pict>
      </w:r>
    </w:p>
    <w:p>
      <w:pPr>
        <w:pStyle w:val="FirstParagraph"/>
      </w:pPr>
      <w:r>
        <w:rPr>
          <w:b/>
          <w:bCs/>
        </w:rPr>
        <w:t xml:space="preserve">Exercício 17.5.</w:t>
      </w:r>
      <w:r>
        <w:t xml:space="preserve"> </w:t>
      </w:r>
      <w:r>
        <w:t xml:space="preserve">Discuta, com base na teoria e na evidência empírica brasileira:</w:t>
      </w:r>
    </w:p>
    <w:p>
      <w:pPr>
        <w:numPr>
          <w:ilvl w:val="0"/>
          <w:numId w:val="1978"/>
        </w:numPr>
      </w:pPr>
      <w:r>
        <w:t xml:space="preserve">Por que o efeito-farol do salário mínimo é particularmente relevante em economias com alta informalidade?</w:t>
      </w:r>
    </w:p>
    <w:p>
      <w:pPr>
        <w:numPr>
          <w:ilvl w:val="0"/>
          <w:numId w:val="1978"/>
        </w:numPr>
      </w:pPr>
      <w:r>
        <w:t xml:space="preserve">Em um mercado de trabalho com monopsônio, é possível que um aumento do salário mínimo eleve simultaneamente o emprego e o salário? Ilustre graficamente.</w:t>
      </w:r>
    </w:p>
    <w:p>
      <w:pPr>
        <w:numPr>
          <w:ilvl w:val="0"/>
          <w:numId w:val="1978"/>
        </w:numPr>
      </w:pPr>
      <w:r>
        <w:t xml:space="preserve">Quais são os principais canais pelos quais o aumento do salário mínimo pode afetar a distribuição de renda no Brasil?</w:t>
      </w:r>
    </w:p>
    <w:p>
      <w:pPr>
        <w:pStyle w:val="FirstParagraph"/>
      </w:pPr>
      <w:r>
        <w:t xml:space="preserve">Ver solução (Cap. 17)</w:t>
      </w:r>
    </w:p>
    <w:p>
      <w:r>
        <w:pict>
          <v:rect style="width:0;height:1.5pt" o:hralign="center" o:hrstd="t" o:hr="t"/>
        </w:pict>
      </w:r>
    </w:p>
    <w:p>
      <w:pPr>
        <w:pStyle w:val="FirstParagraph"/>
      </w:pPr>
      <w:r>
        <w:rPr>
          <w:b/>
          <w:bCs/>
        </w:rPr>
        <w:t xml:space="preserve">Exercício 17.6.</w:t>
      </w:r>
      <w:r>
        <w:t xml:space="preserve"> </w:t>
      </w:r>
      <w:r>
        <w:t xml:space="preserve">Considere um trabalhador com preferências CES:</w:t>
      </w:r>
    </w:p>
    <w:p>
      <w:pPr>
        <w:pStyle w:val="BodyText"/>
      </w:pPr>
      <m:oMathPara>
        <m:oMathParaPr>
          <m:jc m:val="center"/>
        </m:oMathParaPr>
        <m:oMath>
          <m:r>
            <m:t>U</m:t>
          </m:r>
          <m:r>
            <m:rPr>
              <m:sty m:val="p"/>
            </m:rPr>
            <m:t>(</m:t>
          </m:r>
          <m:r>
            <m:t>C</m:t>
          </m:r>
          <m:r>
            <m:rPr>
              <m:sty m:val="p"/>
            </m:rPr>
            <m:t>,</m:t>
          </m:r>
          <m:r>
            <m:t>L</m:t>
          </m:r>
          <m:r>
            <m:rPr>
              <m:sty m:val="p"/>
            </m:rPr>
            <m:t>)</m:t>
          </m:r>
          <m:r>
            <m:rPr>
              <m:sty m:val="p"/>
            </m:rPr>
            <m:t>=</m:t>
          </m:r>
          <m:sSup>
            <m:e>
              <m:d>
                <m:dPr>
                  <m:begChr m:val="("/>
                  <m:sepChr m:val=""/>
                  <m:endChr m:val=")"/>
                  <m:grow/>
                </m:dPr>
                <m:e>
                  <m:r>
                    <m:t>α</m:t>
                  </m:r>
                  <m:sSup>
                    <m:e>
                      <m:r>
                        <m:t>C</m:t>
                      </m:r>
                    </m:e>
                    <m:sup>
                      <m:r>
                        <m:t>ρ</m:t>
                      </m:r>
                    </m:sup>
                  </m:sSup>
                  <m:r>
                    <m:rPr>
                      <m:sty m:val="p"/>
                    </m:rPr>
                    <m:t>+</m:t>
                  </m:r>
                  <m:r>
                    <m:rPr>
                      <m:sty m:val="p"/>
                    </m:rPr>
                    <m:t>(</m:t>
                  </m:r>
                  <m:r>
                    <m:t>1</m:t>
                  </m:r>
                  <m:r>
                    <m:rPr>
                      <m:sty m:val="p"/>
                    </m:rPr>
                    <m:t>−</m:t>
                  </m:r>
                  <m:r>
                    <m:t>α</m:t>
                  </m:r>
                  <m:r>
                    <m:rPr>
                      <m:sty m:val="p"/>
                    </m:rPr>
                    <m:t>)</m:t>
                  </m:r>
                  <m:sSup>
                    <m:e>
                      <m:r>
                        <m:t>L</m:t>
                      </m:r>
                    </m:e>
                    <m:sup>
                      <m:r>
                        <m:t>ρ</m:t>
                      </m:r>
                    </m:sup>
                  </m:sSup>
                </m:e>
              </m:d>
            </m:e>
            <m:sup>
              <m:r>
                <m:t>1</m:t>
              </m:r>
              <m:r>
                <m:rPr>
                  <m:sty m:val="p"/>
                </m:rPr>
                <m:t>/</m:t>
              </m:r>
              <m:r>
                <m:t>ρ</m:t>
              </m:r>
            </m:sup>
          </m:sSup>
        </m:oMath>
      </m:oMathPara>
    </w:p>
    <w:p>
      <w:pPr>
        <w:pStyle w:val="FirstParagraph"/>
      </w:pPr>
      <w:r>
        <w:t xml:space="preserve">com</w:t>
      </w:r>
      <w:r>
        <w:t xml:space="preserve"> </w:t>
      </w:r>
      <m:oMath>
        <m:r>
          <m:t>α</m:t>
        </m:r>
        <m:r>
          <m:rPr>
            <m:sty m:val="p"/>
          </m:rPr>
          <m:t>=</m:t>
        </m:r>
        <m:r>
          <m:t>0</m:t>
        </m:r>
        <m:r>
          <m:rPr>
            <m:sty m:val="p"/>
          </m:rPr>
          <m:t>,</m:t>
        </m:r>
        <m:r>
          <m:t>5</m:t>
        </m:r>
      </m:oMath>
      <w:r>
        <w:t xml:space="preserve">,</w:t>
      </w:r>
      <w:r>
        <w:t xml:space="preserve"> </w:t>
      </w:r>
      <m:oMath>
        <m:r>
          <m:t>ρ</m:t>
        </m:r>
        <m:r>
          <m:rPr>
            <m:sty m:val="p"/>
          </m:rPr>
          <m:t>=</m:t>
        </m:r>
        <m:r>
          <m:rPr>
            <m:sty m:val="p"/>
          </m:rPr>
          <m:t>−</m:t>
        </m:r>
        <m:r>
          <m:t>1</m:t>
        </m:r>
      </m:oMath>
      <w:r>
        <w:t xml:space="preserve"> </w:t>
      </w:r>
      <w:r>
        <w:t xml:space="preserve">(elasticidade de substituição</w:t>
      </w:r>
      <w:r>
        <w:t xml:space="preserve"> </w:t>
      </w:r>
      <m:oMath>
        <m:r>
          <m:t>σ</m:t>
        </m:r>
        <m:r>
          <m:rPr>
            <m:sty m:val="p"/>
          </m:rPr>
          <m:t>=</m:t>
        </m:r>
        <m:r>
          <m:t>1</m:t>
        </m:r>
        <m:r>
          <m:rPr>
            <m:sty m:val="p"/>
          </m:rPr>
          <m:t>/</m:t>
        </m:r>
        <m:r>
          <m:rPr>
            <m:sty m:val="p"/>
          </m:rPr>
          <m:t>(</m:t>
        </m:r>
        <m:r>
          <m:t>1</m:t>
        </m:r>
        <m:r>
          <m:rPr>
            <m:sty m:val="p"/>
          </m:rPr>
          <m:t>−</m:t>
        </m:r>
        <m:r>
          <m:t>ρ</m:t>
        </m:r>
        <m:r>
          <m:rPr>
            <m:sty m:val="p"/>
          </m:rPr>
          <m:t>)</m:t>
        </m:r>
        <m:r>
          <m:rPr>
            <m:sty m:val="p"/>
          </m:rPr>
          <m:t>=</m:t>
        </m:r>
        <m:r>
          <m:t>0</m:t>
        </m:r>
        <m:r>
          <m:rPr>
            <m:sty m:val="p"/>
          </m:rPr>
          <m:t>,</m:t>
        </m:r>
        <m:r>
          <m:t>5</m:t>
        </m:r>
      </m:oMath>
      <w:r>
        <w:t xml:space="preserve">), dotação de tempo</w:t>
      </w:r>
      <w:r>
        <w:t xml:space="preserve"> </w:t>
      </w:r>
      <m:oMath>
        <m:r>
          <m:t>T</m:t>
        </m:r>
        <m:r>
          <m:rPr>
            <m:sty m:val="p"/>
          </m:rPr>
          <m:t>=</m:t>
        </m:r>
        <m:r>
          <m:t>24</m:t>
        </m:r>
      </m:oMath>
      <w:r>
        <w:t xml:space="preserve"> </w:t>
      </w:r>
      <w:r>
        <w:t xml:space="preserve">e renda não salarial</w:t>
      </w:r>
      <w:r>
        <w:t xml:space="preserve"> </w:t>
      </w:r>
      <m:oMath>
        <m:r>
          <m:t>V</m:t>
        </m:r>
        <m:r>
          <m:rPr>
            <m:sty m:val="p"/>
          </m:rPr>
          <m:t>=</m:t>
        </m:r>
        <m:r>
          <m:t>0</m:t>
        </m:r>
      </m:oMath>
      <w:r>
        <w:t xml:space="preserve">.</w:t>
      </w:r>
    </w:p>
    <w:p>
      <w:pPr>
        <w:numPr>
          <w:ilvl w:val="0"/>
          <w:numId w:val="1979"/>
        </w:numPr>
      </w:pPr>
      <w:r>
        <w:t xml:space="preserve">Mostre que a demanda marshalliana por lazer é</w:t>
      </w:r>
      <w:r>
        <w:t xml:space="preserve"> </w:t>
      </w:r>
      <m:oMath>
        <m:sSup>
          <m:e>
            <m:r>
              <m:t>L</m:t>
            </m:r>
          </m:e>
          <m:sup>
            <m:r>
              <m:rPr>
                <m:sty m:val="p"/>
              </m:rPr>
              <m:t>*</m:t>
            </m:r>
          </m:sup>
        </m:sSup>
        <m:r>
          <m:rPr>
            <m:sty m:val="p"/>
          </m:rPr>
          <m:t>(</m:t>
        </m:r>
        <m:r>
          <m:t>w</m:t>
        </m:r>
        <m:r>
          <m:rPr>
            <m:sty m:val="p"/>
          </m:rPr>
          <m:t>)</m:t>
        </m:r>
        <m:r>
          <m:rPr>
            <m:sty m:val="p"/>
          </m:rPr>
          <m:t>=</m:t>
        </m:r>
        <m:f>
          <m:fPr>
            <m:type m:val="bar"/>
          </m:fPr>
          <m:num>
            <m:r>
              <m:t>24</m:t>
            </m:r>
          </m:num>
          <m:den>
            <m:r>
              <m:t>1</m:t>
            </m:r>
            <m:r>
              <m:rPr>
                <m:sty m:val="p"/>
              </m:rPr>
              <m:t>+</m:t>
            </m:r>
            <m:sSup>
              <m:e>
                <m:r>
                  <m:t>w</m:t>
                </m:r>
              </m:e>
              <m:sup>
                <m:r>
                  <m:t>σ</m:t>
                </m:r>
              </m:sup>
            </m:sSup>
          </m:den>
        </m:f>
      </m:oMath>
      <w:r>
        <w:t xml:space="preserve"> </w:t>
      </w:r>
      <w:r>
        <w:t xml:space="preserve">(onde</w:t>
      </w:r>
      <w:r>
        <w:t xml:space="preserve"> </w:t>
      </w:r>
      <m:oMath>
        <m:r>
          <m:t>σ</m:t>
        </m:r>
        <m:r>
          <m:rPr>
            <m:sty m:val="p"/>
          </m:rPr>
          <m:t>=</m:t>
        </m:r>
        <m:r>
          <m:t>0</m:t>
        </m:r>
        <m:r>
          <m:rPr>
            <m:sty m:val="p"/>
          </m:rPr>
          <m:t>,</m:t>
        </m:r>
        <m:r>
          <m:t>5</m:t>
        </m:r>
      </m:oMath>
      <w:r>
        <w:t xml:space="preserve">).</w:t>
      </w:r>
    </w:p>
    <w:p>
      <w:pPr>
        <w:numPr>
          <w:ilvl w:val="0"/>
          <w:numId w:val="1979"/>
        </w:numPr>
      </w:pPr>
      <w:r>
        <w:t xml:space="preserve">Derive a oferta de trabalho</w:t>
      </w:r>
      <w:r>
        <w:t xml:space="preserve"> </w:t>
      </w:r>
      <m:oMath>
        <m:sSup>
          <m:e>
            <m:r>
              <m:t>h</m:t>
            </m:r>
          </m:e>
          <m:sup>
            <m:r>
              <m:rPr>
                <m:sty m:val="p"/>
              </m:rPr>
              <m:t>*</m:t>
            </m:r>
          </m:sup>
        </m:sSup>
        <m:r>
          <m:rPr>
            <m:sty m:val="p"/>
          </m:rPr>
          <m:t>(</m:t>
        </m:r>
        <m:r>
          <m:t>w</m:t>
        </m:r>
        <m:r>
          <m:rPr>
            <m:sty m:val="p"/>
          </m:rPr>
          <m:t>)</m:t>
        </m:r>
      </m:oMath>
      <w:r>
        <w:t xml:space="preserve"> </w:t>
      </w:r>
      <w:r>
        <w:t xml:space="preserve">e mostre que ela exibe backward-bending.</w:t>
      </w:r>
    </w:p>
    <w:p>
      <w:pPr>
        <w:numPr>
          <w:ilvl w:val="0"/>
          <w:numId w:val="1979"/>
        </w:numPr>
      </w:pPr>
      <w:r>
        <w:t xml:space="preserve">Encontre o salário no qual a oferta de trabalho atinge o máximo. Utilize a decomposição de Slutsky para explicar por que a curva se volta para trás.</w:t>
      </w:r>
    </w:p>
    <w:p>
      <w:pPr>
        <w:pStyle w:val="FirstParagraph"/>
      </w:pPr>
      <w:r>
        <w:t xml:space="preserve">Ver solução (Cap. 17)</w:t>
      </w:r>
    </w:p>
    <w:p>
      <w:r>
        <w:pict>
          <v:rect style="width:0;height:1.5pt" o:hralign="center" o:hrstd="t" o:hr="t"/>
        </w:pict>
      </w:r>
    </w:p>
    <w:p>
      <w:pPr>
        <w:pStyle w:val="FirstParagraph"/>
      </w:pPr>
      <w:r>
        <w:rPr>
          <w:b/>
          <w:bCs/>
        </w:rPr>
        <w:t xml:space="preserve">Exercício 17.7.</w:t>
      </w:r>
      <w:r>
        <w:t xml:space="preserve"> </w:t>
      </w:r>
      <w:r>
        <w:t xml:space="preserve">Um economista estima a seguinte equação de Mincer para o Brasil:</w:t>
      </w:r>
    </w:p>
    <w:p>
      <w:pPr>
        <w:pStyle w:val="BodyText"/>
      </w:pPr>
      <m:oMathPara>
        <m:oMathParaPr>
          <m:jc m:val="center"/>
        </m:oMathParaPr>
        <m:oMath>
          <m:r>
            <m:rPr>
              <m:sty m:val="p"/>
            </m:rPr>
            <m:t>ln</m:t>
          </m:r>
          <m:r>
            <m:t>w</m:t>
          </m:r>
          <m:r>
            <m:rPr>
              <m:sty m:val="p"/>
            </m:rPr>
            <m:t>=</m:t>
          </m:r>
          <m:r>
            <m:t>0</m:t>
          </m:r>
          <m:r>
            <m:rPr>
              <m:sty m:val="p"/>
            </m:rPr>
            <m:t>,</m:t>
          </m:r>
          <m:r>
            <m:t>80</m:t>
          </m:r>
          <m:r>
            <m:rPr>
              <m:sty m:val="p"/>
            </m:rPr>
            <m:t>+</m:t>
          </m:r>
          <m:r>
            <m:t>0</m:t>
          </m:r>
          <m:r>
            <m:rPr>
              <m:sty m:val="p"/>
            </m:rPr>
            <m:t>,</m:t>
          </m:r>
          <m:r>
            <m:t>10</m:t>
          </m:r>
          <m:r>
            <m:t>S</m:t>
          </m:r>
          <m:r>
            <m:rPr>
              <m:sty m:val="p"/>
            </m:rPr>
            <m:t>+</m:t>
          </m:r>
          <m:r>
            <m:t>0</m:t>
          </m:r>
          <m:r>
            <m:rPr>
              <m:sty m:val="p"/>
            </m:rPr>
            <m:t>,</m:t>
          </m:r>
          <m:r>
            <m:t>04</m:t>
          </m:r>
          <m:r>
            <m:t>X</m:t>
          </m:r>
          <m:r>
            <m:rPr>
              <m:sty m:val="p"/>
            </m:rPr>
            <m:t>−</m:t>
          </m:r>
          <m:r>
            <m:t>0</m:t>
          </m:r>
          <m:r>
            <m:rPr>
              <m:sty m:val="p"/>
            </m:rPr>
            <m:t>,</m:t>
          </m:r>
          <m:r>
            <m:t>0006</m:t>
          </m:r>
          <m:sSup>
            <m:e>
              <m:r>
                <m:t>X</m:t>
              </m:r>
            </m:e>
            <m:sup>
              <m:r>
                <m:t>2</m:t>
              </m:r>
            </m:sup>
          </m:sSup>
        </m:oMath>
      </m:oMathPara>
    </w:p>
    <w:p>
      <w:pPr>
        <w:pStyle w:val="FirstParagraph"/>
      </w:pPr>
      <w:r>
        <w:t xml:space="preserve">onde</w:t>
      </w:r>
      <w:r>
        <w:t xml:space="preserve"> </w:t>
      </w:r>
      <m:oMath>
        <m:r>
          <m:t>S</m:t>
        </m:r>
      </m:oMath>
      <w:r>
        <w:t xml:space="preserve"> </w:t>
      </w:r>
      <w:r>
        <w:t xml:space="preserve">= anos de escolaridade e</w:t>
      </w:r>
      <w:r>
        <w:t xml:space="preserve"> </w:t>
      </w:r>
      <m:oMath>
        <m:r>
          <m:t>X</m:t>
        </m:r>
      </m:oMath>
      <w:r>
        <w:t xml:space="preserve"> </w:t>
      </w:r>
      <w:r>
        <w:t xml:space="preserve">= experiência (anos).</w:t>
      </w:r>
    </w:p>
    <w:p>
      <w:pPr>
        <w:numPr>
          <w:ilvl w:val="0"/>
          <w:numId w:val="1980"/>
        </w:numPr>
      </w:pPr>
      <w:r>
        <w:t xml:space="preserve">Qual é o retorno estimado de cada ano adicional de educação?</w:t>
      </w:r>
    </w:p>
    <w:p>
      <w:pPr>
        <w:numPr>
          <w:ilvl w:val="0"/>
          <w:numId w:val="1980"/>
        </w:numPr>
      </w:pPr>
      <w:r>
        <w:t xml:space="preserve">Calcule o diferencial salarial entre um trabalhador com 16 anos de escolaridade (superior completo) e um com 11 anos (médio completo), ambos com 10 anos de experiência.</w:t>
      </w:r>
    </w:p>
    <w:p>
      <w:pPr>
        <w:numPr>
          <w:ilvl w:val="0"/>
          <w:numId w:val="1980"/>
        </w:numPr>
      </w:pPr>
      <w:r>
        <w:t xml:space="preserve">A que idade (aproximadamente) o salário atinge seu pico, supondo que o indivíduo começou a trabalhar imediatamente após a educação formal?</w:t>
      </w:r>
    </w:p>
    <w:p>
      <w:pPr>
        <w:numPr>
          <w:ilvl w:val="0"/>
          <w:numId w:val="1980"/>
        </w:numPr>
      </w:pPr>
      <w:r>
        <w:t xml:space="preserve">Discuta por que o coeficiente</w:t>
      </w:r>
      <w:r>
        <w:t xml:space="preserve"> </w:t>
      </w:r>
      <m:oMath>
        <m:sSub>
          <m:e>
            <m:acc>
              <m:accPr>
                <m:chr m:val="̂"/>
              </m:accPr>
              <m:e>
                <m:r>
                  <m:t>β</m:t>
                </m:r>
              </m:e>
            </m:acc>
          </m:e>
          <m:sub>
            <m:r>
              <m:t>1</m:t>
            </m:r>
          </m:sub>
        </m:sSub>
        <m:r>
          <m:rPr>
            <m:sty m:val="p"/>
          </m:rPr>
          <m:t>=</m:t>
        </m:r>
        <m:r>
          <m:t>0</m:t>
        </m:r>
        <m:r>
          <m:rPr>
            <m:sty m:val="p"/>
          </m:rPr>
          <m:t>,</m:t>
        </m:r>
        <m:r>
          <m:t>10</m:t>
        </m:r>
      </m:oMath>
      <w:r>
        <w:t xml:space="preserve"> </w:t>
      </w:r>
      <w:r>
        <w:t xml:space="preserve">pode superestimar o retorno causal da educação (viés de habilidade).</w:t>
      </w:r>
    </w:p>
    <w:p>
      <w:pPr>
        <w:pStyle w:val="FirstParagraph"/>
      </w:pPr>
      <w:r>
        <w:t xml:space="preserve">Ver solução (Cap. 17)</w:t>
      </w:r>
    </w:p>
    <w:p>
      <w:r>
        <w:pict>
          <v:rect style="width:0;height:1.5pt" o:hralign="center" o:hrstd="t" o:hr="t"/>
        </w:pict>
      </w:r>
    </w:p>
    <w:p>
      <w:pPr>
        <w:pStyle w:val="FirstParagraph"/>
      </w:pPr>
      <w:r>
        <w:rPr>
          <w:b/>
          <w:bCs/>
        </w:rPr>
        <w:t xml:space="preserve">Exercício 17.8.</w:t>
      </w:r>
      <w:r>
        <w:t xml:space="preserve"> </w:t>
      </w:r>
      <w:r>
        <w:t xml:space="preserve">Em uma cidade do interior, uma única fábrica enfrenta oferta de trabalho</w:t>
      </w:r>
      <w:r>
        <w:t xml:space="preserve"> </w:t>
      </w:r>
      <m:oMath>
        <m:r>
          <m:t>w</m:t>
        </m:r>
        <m:r>
          <m:rPr>
            <m:sty m:val="p"/>
          </m:rPr>
          <m:t>=</m:t>
        </m:r>
        <m:r>
          <m:t>5</m:t>
        </m:r>
        <m:r>
          <m:rPr>
            <m:sty m:val="p"/>
          </m:rPr>
          <m:t>+</m:t>
        </m:r>
        <m:r>
          <m:t>H</m:t>
        </m:r>
      </m:oMath>
      <w:r>
        <w:t xml:space="preserve"> </w:t>
      </w:r>
      <w:r>
        <w:t xml:space="preserve">e tem valor do produto marginal</w:t>
      </w:r>
      <w:r>
        <w:t xml:space="preserve"> </w:t>
      </w:r>
      <m:oMath>
        <m:r>
          <m:t>V</m:t>
        </m:r>
        <m:r>
          <m:t>P</m:t>
        </m:r>
        <m:r>
          <m:t>M</m:t>
        </m:r>
        <m:sSub>
          <m:e>
            <m:r>
              <m:t>g</m:t>
            </m:r>
          </m:e>
          <m:sub>
            <m:r>
              <m:t>L</m:t>
            </m:r>
          </m:sub>
        </m:sSub>
        <m:r>
          <m:rPr>
            <m:sty m:val="p"/>
          </m:rPr>
          <m:t>=</m:t>
        </m:r>
        <m:r>
          <m:t>65</m:t>
        </m:r>
        <m:r>
          <m:rPr>
            <m:sty m:val="p"/>
          </m:rPr>
          <m:t>−</m:t>
        </m:r>
        <m:r>
          <m:t>2</m:t>
        </m:r>
        <m:r>
          <m:t>H</m:t>
        </m:r>
      </m:oMath>
      <w:r>
        <w:t xml:space="preserve">.</w:t>
      </w:r>
    </w:p>
    <w:p>
      <w:pPr>
        <w:numPr>
          <w:ilvl w:val="0"/>
          <w:numId w:val="1981"/>
        </w:numPr>
      </w:pPr>
      <w:r>
        <w:t xml:space="preserve">Encontre o emprego e o salário no equilíbrio monopsonístico.</w:t>
      </w:r>
    </w:p>
    <w:p>
      <w:pPr>
        <w:numPr>
          <w:ilvl w:val="0"/>
          <w:numId w:val="1981"/>
        </w:numPr>
      </w:pPr>
      <w:r>
        <w:t xml:space="preserve">O governo impõe um salário mínimo</w:t>
      </w:r>
      <w:r>
        <w:t xml:space="preserve"> </w:t>
      </w:r>
      <m:oMath>
        <m:acc>
          <m:accPr>
            <m:chr m:val="‾"/>
          </m:accPr>
          <m:e>
            <m:r>
              <m:t>w</m:t>
            </m:r>
          </m:e>
        </m:acc>
        <m:r>
          <m:rPr>
            <m:sty m:val="p"/>
          </m:rPr>
          <m:t>=</m:t>
        </m:r>
        <m:r>
          <m:t>25</m:t>
        </m:r>
      </m:oMath>
      <w:r>
        <w:t xml:space="preserve">. Qual é o novo nível de emprego? O emprego aumentou ou diminuiu em relação ao item (a)?</w:t>
      </w:r>
    </w:p>
    <w:p>
      <w:pPr>
        <w:numPr>
          <w:ilvl w:val="0"/>
          <w:numId w:val="1981"/>
        </w:numPr>
      </w:pPr>
      <w:r>
        <w:t xml:space="preserve">Existe um salário mínimo</w:t>
      </w:r>
      <w:r>
        <w:t xml:space="preserve"> </w:t>
      </w:r>
      <m:oMath>
        <m:sSup>
          <m:e>
            <m:acc>
              <m:accPr>
                <m:chr m:val="‾"/>
              </m:accPr>
              <m:e>
                <m:r>
                  <m:t>w</m:t>
                </m:r>
              </m:e>
            </m:acc>
          </m:e>
          <m:sup>
            <m:r>
              <m:rPr>
                <m:sty m:val="p"/>
              </m:rPr>
              <m:t>*</m:t>
            </m:r>
          </m:sup>
        </m:sSup>
      </m:oMath>
      <w:r>
        <w:t xml:space="preserve"> </w:t>
      </w:r>
      <w:r>
        <w:t xml:space="preserve">que maximiza o emprego neste mercado? Se sim, encontre-o.</w:t>
      </w:r>
    </w:p>
    <w:p>
      <w:pPr>
        <w:numPr>
          <w:ilvl w:val="0"/>
          <w:numId w:val="1981"/>
        </w:numPr>
      </w:pPr>
      <w:r>
        <w:t xml:space="preserve">A que nível de salário mínimo o emprego volta a ser igual ao do monopsônio sem intervenção?</w:t>
      </w:r>
    </w:p>
    <w:p>
      <w:pPr>
        <w:pStyle w:val="FirstParagraph"/>
      </w:pPr>
      <w:r>
        <w:t xml:space="preserve">Ver solução (Cap. 17)</w:t>
      </w:r>
    </w:p>
    <w:p>
      <w:r>
        <w:pict>
          <v:rect style="width:0;height:1.5pt" o:hralign="center" o:hrstd="t" o:hr="t"/>
        </w:pict>
      </w:r>
    </w:p>
    <w:p>
      <w:pPr>
        <w:pStyle w:val="FirstParagraph"/>
      </w:pPr>
      <w:r>
        <w:rPr>
          <w:b/>
          <w:bCs/>
        </w:rPr>
        <w:t xml:space="preserve">Exercício 17.9.</w:t>
      </w:r>
      <w:r>
        <w:t xml:space="preserve"> </w:t>
      </w:r>
      <w:r>
        <w:t xml:space="preserve">Um sindicato e uma firma negociam segundo o modelo de barganha de Nash. A função objetivo do sindicato é</w:t>
      </w:r>
      <w:r>
        <w:t xml:space="preserve"> </w:t>
      </w:r>
      <m:oMath>
        <m:sSub>
          <m:e>
            <m:r>
              <m:t>U</m:t>
            </m:r>
          </m:e>
          <m:sub>
            <m:r>
              <m:t>S</m:t>
            </m:r>
          </m:sub>
        </m:sSub>
        <m:r>
          <m:rPr>
            <m:sty m:val="p"/>
          </m:rPr>
          <m:t>=</m:t>
        </m:r>
        <m:r>
          <m:rPr>
            <m:sty m:val="p"/>
          </m:rPr>
          <m:t>(</m:t>
        </m:r>
        <m:r>
          <m:t>w</m:t>
        </m:r>
        <m:r>
          <m:rPr>
            <m:sty m:val="p"/>
          </m:rPr>
          <m:t>−</m:t>
        </m:r>
        <m:sSub>
          <m:e>
            <m:r>
              <m:t>w</m:t>
            </m:r>
          </m:e>
          <m:sub>
            <m:r>
              <m:t>0</m:t>
            </m:r>
          </m:sub>
        </m:sSub>
        <m:r>
          <m:rPr>
            <m:sty m:val="p"/>
          </m:rPr>
          <m:t>)</m:t>
        </m:r>
        <m:r>
          <m:rPr>
            <m:sty m:val="p"/>
          </m:rPr>
          <m:t>⋅</m:t>
        </m:r>
        <m:r>
          <m:t>H</m:t>
        </m:r>
      </m:oMath>
      <w:r>
        <w:t xml:space="preserve">, onde</w:t>
      </w:r>
      <w:r>
        <w:t xml:space="preserve"> </w:t>
      </w:r>
      <m:oMath>
        <m:sSub>
          <m:e>
            <m:r>
              <m:t>w</m:t>
            </m:r>
          </m:e>
          <m:sub>
            <m:r>
              <m:t>0</m:t>
            </m:r>
          </m:sub>
        </m:sSub>
        <m:r>
          <m:rPr>
            <m:sty m:val="p"/>
          </m:rPr>
          <m:t>=</m:t>
        </m:r>
        <m:r>
          <m:t>10</m:t>
        </m:r>
      </m:oMath>
      <w:r>
        <w:t xml:space="preserve"> </w:t>
      </w:r>
      <w:r>
        <w:t xml:space="preserve">é o salário de reserva. O lucro da firma é</w:t>
      </w:r>
      <w:r>
        <w:t xml:space="preserve"> </w:t>
      </w:r>
      <m:oMath>
        <m:r>
          <m:t>π</m:t>
        </m:r>
        <m:r>
          <m:rPr>
            <m:sty m:val="p"/>
          </m:rPr>
          <m:t>=</m:t>
        </m:r>
        <m:r>
          <m:rPr>
            <m:sty m:val="p"/>
          </m:rPr>
          <m:t>(</m:t>
        </m:r>
        <m:r>
          <m:t>100</m:t>
        </m:r>
        <m:r>
          <m:rPr>
            <m:sty m:val="p"/>
          </m:rPr>
          <m:t>−</m:t>
        </m:r>
        <m:r>
          <m:t>H</m:t>
        </m:r>
        <m:r>
          <m:rPr>
            <m:sty m:val="p"/>
          </m:rPr>
          <m:t>)</m:t>
        </m:r>
        <m:r>
          <m:t>H</m:t>
        </m:r>
        <m:r>
          <m:rPr>
            <m:sty m:val="p"/>
          </m:rPr>
          <m:t>−</m:t>
        </m:r>
        <m:r>
          <m:t>w</m:t>
        </m:r>
        <m:r>
          <m:t>H</m:t>
        </m:r>
      </m:oMath>
      <w:r>
        <w:t xml:space="preserve">. O poder de barganha do sindicato é</w:t>
      </w:r>
      <w:r>
        <w:t xml:space="preserve"> </w:t>
      </w:r>
      <m:oMath>
        <m:r>
          <m:t>β</m:t>
        </m:r>
      </m:oMath>
      <w:r>
        <w:t xml:space="preserve">.</w:t>
      </w:r>
    </w:p>
    <w:p>
      <w:pPr>
        <w:numPr>
          <w:ilvl w:val="0"/>
          <w:numId w:val="1982"/>
        </w:numPr>
      </w:pPr>
      <w:r>
        <w:t xml:space="preserve">Mostre que a demanda por trabalho da firma (para um salário dado) é</w:t>
      </w:r>
      <w:r>
        <w:t xml:space="preserve"> </w:t>
      </w:r>
      <m:oMath>
        <m:sSup>
          <m:e>
            <m:r>
              <m:t>H</m:t>
            </m:r>
          </m:e>
          <m:sup>
            <m:r>
              <m:t>d</m:t>
            </m:r>
          </m:sup>
        </m:sSup>
        <m:r>
          <m:rPr>
            <m:sty m:val="p"/>
          </m:rPr>
          <m:t>(</m:t>
        </m:r>
        <m:r>
          <m:t>w</m:t>
        </m:r>
        <m:r>
          <m:rPr>
            <m:sty m:val="p"/>
          </m:rPr>
          <m:t>)</m:t>
        </m:r>
        <m:r>
          <m:rPr>
            <m:sty m:val="p"/>
          </m:rPr>
          <m:t>=</m:t>
        </m:r>
        <m:f>
          <m:fPr>
            <m:type m:val="bar"/>
          </m:fPr>
          <m:num>
            <m:r>
              <m:t>100</m:t>
            </m:r>
            <m:r>
              <m:rPr>
                <m:sty m:val="p"/>
              </m:rPr>
              <m:t>−</m:t>
            </m:r>
            <m:r>
              <m:t>w</m:t>
            </m:r>
          </m:num>
          <m:den>
            <m:r>
              <m:t>2</m:t>
            </m:r>
          </m:den>
        </m:f>
      </m:oMath>
      <w:r>
        <w:t xml:space="preserve">.</w:t>
      </w:r>
    </w:p>
    <w:p>
      <w:pPr>
        <w:numPr>
          <w:ilvl w:val="0"/>
          <w:numId w:val="1982"/>
        </w:numPr>
      </w:pPr>
      <w:r>
        <w:t xml:space="preserve">Substitua</w:t>
      </w:r>
      <w:r>
        <w:t xml:space="preserve"> </w:t>
      </w:r>
      <m:oMath>
        <m:sSup>
          <m:e>
            <m:r>
              <m:t>H</m:t>
            </m:r>
          </m:e>
          <m:sup>
            <m:r>
              <m:t>d</m:t>
            </m:r>
          </m:sup>
        </m:sSup>
        <m:r>
          <m:rPr>
            <m:sty m:val="p"/>
          </m:rPr>
          <m:t>(</m:t>
        </m:r>
        <m:r>
          <m:t>w</m:t>
        </m:r>
        <m:r>
          <m:rPr>
            <m:sty m:val="p"/>
          </m:rPr>
          <m:t>)</m:t>
        </m:r>
      </m:oMath>
      <w:r>
        <w:t xml:space="preserve"> </w:t>
      </w:r>
      <w:r>
        <w:t xml:space="preserve">no problema de barganha e encontre o salário negociado</w:t>
      </w:r>
      <w:r>
        <w:t xml:space="preserve"> </w:t>
      </w:r>
      <m:oMath>
        <m:sSup>
          <m:e>
            <m:r>
              <m:t>w</m:t>
            </m:r>
          </m:e>
          <m:sup>
            <m:r>
              <m:rPr>
                <m:sty m:val="p"/>
              </m:rPr>
              <m:t>*</m:t>
            </m:r>
          </m:sup>
        </m:sSup>
        <m:r>
          <m:rPr>
            <m:sty m:val="p"/>
          </m:rPr>
          <m:t>(</m:t>
        </m:r>
        <m:r>
          <m:t>β</m:t>
        </m:r>
        <m:r>
          <m:rPr>
            <m:sty m:val="p"/>
          </m:rPr>
          <m:t>)</m:t>
        </m:r>
      </m:oMath>
      <w:r>
        <w:t xml:space="preserve">.</w:t>
      </w:r>
    </w:p>
    <w:p>
      <w:pPr>
        <w:numPr>
          <w:ilvl w:val="0"/>
          <w:numId w:val="1982"/>
        </w:numPr>
      </w:pPr>
      <w:r>
        <w:t xml:space="preserve">Para</w:t>
      </w:r>
      <w:r>
        <w:t xml:space="preserve"> </w:t>
      </w:r>
      <m:oMath>
        <m:r>
          <m:t>β</m:t>
        </m:r>
        <m:r>
          <m:rPr>
            <m:sty m:val="p"/>
          </m:rPr>
          <m:t>=</m:t>
        </m:r>
        <m:r>
          <m:t>0</m:t>
        </m:r>
        <m:r>
          <m:rPr>
            <m:sty m:val="p"/>
          </m:rPr>
          <m:t>,</m:t>
        </m:r>
        <m:r>
          <m:t>5</m:t>
        </m:r>
      </m:oMath>
      <w:r>
        <w:t xml:space="preserve">, calcule</w:t>
      </w:r>
      <w:r>
        <w:t xml:space="preserve"> </w:t>
      </w:r>
      <m:oMath>
        <m:sSup>
          <m:e>
            <m:r>
              <m:t>w</m:t>
            </m:r>
          </m:e>
          <m:sup>
            <m:r>
              <m:rPr>
                <m:sty m:val="p"/>
              </m:rPr>
              <m:t>*</m:t>
            </m:r>
          </m:sup>
        </m:sSup>
      </m:oMath>
      <w:r>
        <w:t xml:space="preserve">,</w:t>
      </w:r>
      <w:r>
        <w:t xml:space="preserve"> </w:t>
      </w:r>
      <m:oMath>
        <m:sSup>
          <m:e>
            <m:r>
              <m:t>H</m:t>
            </m:r>
          </m:e>
          <m:sup>
            <m:r>
              <m:rPr>
                <m:sty m:val="p"/>
              </m:rPr>
              <m:t>*</m:t>
            </m:r>
          </m:sup>
        </m:sSup>
      </m:oMath>
      <w:r>
        <w:t xml:space="preserve"> </w:t>
      </w:r>
      <w:r>
        <w:t xml:space="preserve">e</w:t>
      </w:r>
      <w:r>
        <w:t xml:space="preserve"> </w:t>
      </w:r>
      <m:oMath>
        <m:sSup>
          <m:e>
            <m:r>
              <m:t>π</m:t>
            </m:r>
          </m:e>
          <m:sup>
            <m:r>
              <m:rPr>
                <m:sty m:val="p"/>
              </m:rPr>
              <m:t>*</m:t>
            </m:r>
          </m:sup>
        </m:sSup>
      </m:oMath>
      <w:r>
        <w:t xml:space="preserve">. Compare com o resultado competitivo (</w:t>
      </w:r>
      <m:oMath>
        <m:r>
          <m:t>w</m:t>
        </m:r>
        <m:r>
          <m:rPr>
            <m:sty m:val="p"/>
          </m:rPr>
          <m:t>=</m:t>
        </m:r>
        <m:sSub>
          <m:e>
            <m:r>
              <m:t>w</m:t>
            </m:r>
          </m:e>
          <m:sub>
            <m:r>
              <m:t>0</m:t>
            </m:r>
          </m:sub>
        </m:sSub>
        <m:r>
          <m:rPr>
            <m:sty m:val="p"/>
          </m:rPr>
          <m:t>=</m:t>
        </m:r>
        <m:r>
          <m:t>10</m:t>
        </m:r>
      </m:oMath>
      <w:r>
        <w:t xml:space="preserve">).</w:t>
      </w:r>
    </w:p>
    <w:p>
      <w:pPr>
        <w:numPr>
          <w:ilvl w:val="0"/>
          <w:numId w:val="1982"/>
        </w:numPr>
      </w:pPr>
      <w:r>
        <w:t xml:space="preserve">Mostre que, quando</w:t>
      </w:r>
      <w:r>
        <w:t xml:space="preserve"> </w:t>
      </w:r>
      <m:oMath>
        <m:r>
          <m:t>β</m:t>
        </m:r>
        <m:r>
          <m:rPr>
            <m:sty m:val="p"/>
          </m:rPr>
          <m:t>→</m:t>
        </m:r>
        <m:r>
          <m:t>1</m:t>
        </m:r>
      </m:oMath>
      <w:r>
        <w:t xml:space="preserve">, o resultado se aproxima do monopólio sindical. Interprete economicamente.</w:t>
      </w:r>
    </w:p>
    <w:p>
      <w:pPr>
        <w:pStyle w:val="FirstParagraph"/>
      </w:pPr>
      <w:r>
        <w:t xml:space="preserve">Ver solução (Cap. 17)</w:t>
      </w:r>
    </w:p>
    <w:p>
      <w:r>
        <w:pict>
          <v:rect style="width:0;height:1.5pt" o:hralign="center" o:hrstd="t" o:hr="t"/>
        </w:pict>
      </w:r>
    </w:p>
    <w:p>
      <w:pPr>
        <w:pStyle w:val="FirstParagraph"/>
      </w:pPr>
      <w:r>
        <w:rPr>
          <w:b/>
          <w:bCs/>
        </w:rPr>
        <w:t xml:space="preserve">Exercício 17.10.</w:t>
      </w:r>
      <w:r>
        <w:t xml:space="preserve"> </w:t>
      </w:r>
      <w:r>
        <w:rPr>
          <w:i/>
          <w:iCs/>
        </w:rPr>
        <w:t xml:space="preserve">(Questão de reflexão — automação e polarização)</w:t>
      </w:r>
      <w:r>
        <w:t xml:space="preserve"> </w:t>
      </w:r>
      <w:r>
        <w:t xml:space="preserve">A automação e a inteligência artificial estão transformando o mercado de trabalho. A hipótese de</w:t>
      </w:r>
      <w:r>
        <w:t xml:space="preserve"> </w:t>
      </w:r>
      <w:r>
        <w:rPr>
          <w:b/>
          <w:bCs/>
        </w:rPr>
        <w:t xml:space="preserve">polarização</w:t>
      </w:r>
      <w:r>
        <w:t xml:space="preserve"> </w:t>
      </w:r>
      <w:r>
        <w:t xml:space="preserve">(Autor, Levy e Murnane, 2003) prevê que a tecnologia substitui tarefas rotineiras (realizadas por trabalhadores de renda média), enquanto complementa tarefas cognitivas complexas (alta renda) e tem pouco efeito sobre tarefas manuais não rotineiras (baixa renda).</w:t>
      </w:r>
    </w:p>
    <w:p>
      <w:pPr>
        <w:numPr>
          <w:ilvl w:val="0"/>
          <w:numId w:val="1983"/>
        </w:numPr>
      </w:pPr>
      <w:r>
        <w:t xml:space="preserve">Utilizando o arcabouço de oferta e demanda por trabalho, represente graficamente o efeito da automação de tarefas rotineiras sobre o salário e o emprego de três grupos: alta qualificação, média qualificação e baixa qualificação.</w:t>
      </w:r>
    </w:p>
    <w:p>
      <w:pPr>
        <w:numPr>
          <w:ilvl w:val="0"/>
          <w:numId w:val="1983"/>
        </w:numPr>
      </w:pPr>
      <w:r>
        <w:t xml:space="preserve">Discuta como as regras de Marshall da demanda derivada ajudam a prever quais ocupações são mais vulneráveis à automação.</w:t>
      </w:r>
    </w:p>
    <w:p>
      <w:pPr>
        <w:numPr>
          <w:ilvl w:val="0"/>
          <w:numId w:val="1983"/>
        </w:numPr>
      </w:pPr>
      <w:r>
        <w:t xml:space="preserve">Considere a seguinte afirmação:</w:t>
      </w:r>
      <w:r>
        <w:t xml:space="preserve"> </w:t>
      </w:r>
      <w:r>
        <w:t xml:space="preserve">“A inteligência artificial generativa (como o ChatGPT) inverte a polarização, pois ameaça principalmente tarefas cognitivas, não manuais.”</w:t>
      </w:r>
      <w:r>
        <w:t xml:space="preserve"> </w:t>
      </w:r>
      <w:r>
        <w:t xml:space="preserve">Avalie essa afirmação à luz da teoria da demanda por trabalho e de evidências recentes.</w:t>
      </w:r>
    </w:p>
    <w:p>
      <w:pPr>
        <w:numPr>
          <w:ilvl w:val="0"/>
          <w:numId w:val="1983"/>
        </w:numPr>
      </w:pPr>
      <w:r>
        <w:t xml:space="preserve">Que políticas públicas podem mitigar os efeitos distributivos da automação sem comprometer os ganhos de produtividade?</w:t>
      </w:r>
    </w:p>
    <w:p>
      <w:pPr>
        <w:pStyle w:val="FirstParagraph"/>
      </w:pPr>
      <w:r>
        <w:t xml:space="preserve">Ver solução (Cap. 17)</w:t>
      </w:r>
    </w:p>
    <w:p>
      <w:r>
        <w:pict>
          <v:rect style="width:0;height:1.5pt" o:hralign="center" o:hrstd="t" o:hr="t"/>
        </w:pict>
      </w:r>
    </w:p>
    <w:bookmarkEnd w:id="1108"/>
    <w:bookmarkStart w:id="1109" w:name="vem-anpec-17"/>
    <w:p>
      <w:pPr>
        <w:pStyle w:val="Heading3"/>
      </w:pPr>
      <w:r>
        <w:t xml:space="preserve">Vem, ANPEC!</w:t>
      </w:r>
    </w:p>
    <w:p>
      <w:pPr>
        <w:pStyle w:val="BlockText"/>
      </w:pPr>
      <w:r>
        <w:rPr>
          <w:b/>
          <w:bCs/>
        </w:rPr>
        <w:t xml:space="preserve">[QUESTAO] ANPEC 2022 — Questão 06</w:t>
      </w:r>
    </w:p>
    <w:p>
      <w:pPr>
        <w:pStyle w:val="BlockText"/>
      </w:pPr>
      <w:r>
        <w:t xml:space="preserve">Suponha que João possui uma função de utilidade em renda (</w:t>
      </w:r>
      <m:oMath>
        <m:r>
          <m:t>Y</m:t>
        </m:r>
      </m:oMath>
      <w:r>
        <w:t xml:space="preserve">) e lazer (</w:t>
      </w:r>
      <m:oMath>
        <m:r>
          <m:t>N</m:t>
        </m:r>
      </m:oMath>
      <w:r>
        <w:t xml:space="preserve">) na forma</w:t>
      </w:r>
      <w:r>
        <w:t xml:space="preserve"> </w:t>
      </w:r>
      <m:oMath>
        <m:r>
          <m:t>U</m:t>
        </m:r>
        <m:r>
          <m:rPr>
            <m:sty m:val="p"/>
          </m:rPr>
          <m:t>(</m:t>
        </m:r>
        <m:r>
          <m:t>Y</m:t>
        </m:r>
        <m:r>
          <m:rPr>
            <m:sty m:val="p"/>
          </m:rPr>
          <m:t>,</m:t>
        </m:r>
        <m:r>
          <m:t>N</m:t>
        </m:r>
        <m:r>
          <m:rPr>
            <m:sty m:val="p"/>
          </m:rPr>
          <m:t>)</m:t>
        </m:r>
        <m:r>
          <m:rPr>
            <m:sty m:val="p"/>
          </m:rPr>
          <m:t>=</m:t>
        </m:r>
        <m:r>
          <m:t>U</m:t>
        </m:r>
        <m:r>
          <m:rPr>
            <m:sty m:val="p"/>
          </m:rPr>
          <m:t>(</m:t>
        </m:r>
        <m:r>
          <m:t>w</m:t>
        </m:r>
        <m:r>
          <m:t>h</m:t>
        </m:r>
        <m:r>
          <m:rPr>
            <m:sty m:val="p"/>
          </m:rPr>
          <m:t>,</m:t>
        </m:r>
        <m:r>
          <m:t>24</m:t>
        </m:r>
        <m:r>
          <m:rPr>
            <m:sty m:val="p"/>
          </m:rPr>
          <m:t>−</m:t>
        </m:r>
        <m:r>
          <m:t>h</m:t>
        </m:r>
        <m:r>
          <m:rPr>
            <m:sty m:val="p"/>
          </m:rPr>
          <m:t>)</m:t>
        </m:r>
      </m:oMath>
      <w:r>
        <w:t xml:space="preserve">, em que</w:t>
      </w:r>
      <w:r>
        <w:t xml:space="preserve"> </w:t>
      </w:r>
      <m:oMath>
        <m:r>
          <m:t>w</m:t>
        </m:r>
      </m:oMath>
      <w:r>
        <w:t xml:space="preserve"> </w:t>
      </w:r>
      <w:r>
        <w:t xml:space="preserve">é a taxa de salário por hora e</w:t>
      </w:r>
      <w:r>
        <w:t xml:space="preserve"> </w:t>
      </w:r>
      <m:oMath>
        <m:r>
          <m:t>h</m:t>
        </m:r>
      </m:oMath>
      <w:r>
        <w:t xml:space="preserve"> </w:t>
      </w:r>
      <w:r>
        <w:t xml:space="preserve">é o número de horas trabalhadas por dia. Indique quais das afirmações a seguir são verdadeiras:</w:t>
      </w:r>
    </w:p>
    <w:p>
      <w:pPr>
        <w:pStyle w:val="BlockText"/>
      </w:pPr>
      <w:r>
        <w:rPr>
          <w:b/>
          <w:bCs/>
        </w:rPr>
        <w:t xml:space="preserve">Itens:</w:t>
      </w:r>
      <w:r>
        <w:t xml:space="preserve"> </w:t>
      </w:r>
      <w:r>
        <w:t xml:space="preserve">(marque 0 para Falso, 1 para Verdadeiro)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jc w:val="left"/>
            </w:pPr>
            <w:r>
              <w:t xml:space="preserve">Item</w:t>
            </w:r>
          </w:p>
        </w:tc>
        <w:tc>
          <w:tcPr/>
          <w:p>
            <w:pPr>
              <w:pStyle w:val="Compact"/>
              <w:jc w:val="left"/>
            </w:pPr>
            <w:r>
              <w:t xml:space="preserve">Afirmação</w:t>
            </w:r>
          </w:p>
        </w:tc>
      </w:tr>
      <w:tr>
        <w:tc>
          <w:tcPr/>
          <w:p>
            <w:pPr>
              <w:pStyle w:val="Compact"/>
              <w:jc w:val="left"/>
            </w:pPr>
            <w:r>
              <w:t xml:space="preserve">0</w:t>
            </w:r>
          </w:p>
        </w:tc>
        <w:tc>
          <w:tcPr/>
          <w:p>
            <w:pPr>
              <w:pStyle w:val="Compact"/>
              <w:jc w:val="left"/>
            </w:pPr>
            <w:r>
              <w:t xml:space="preserve">Se João está trabalhando um número de horas por dia tal que a utilidade marginal da renda é 4 e a utilidade marginal do lazer é 2, sendo que a taxa de salário é 2, então João está maximizando a sua utilidade.</w:t>
            </w:r>
          </w:p>
        </w:tc>
      </w:tr>
      <w:tr>
        <w:tc>
          <w:tcPr/>
          <w:p>
            <w:pPr>
              <w:pStyle w:val="Compact"/>
              <w:jc w:val="left"/>
            </w:pPr>
            <w:r>
              <w:t xml:space="preserve">1</w:t>
            </w:r>
          </w:p>
        </w:tc>
        <w:tc>
          <w:tcPr/>
          <w:p>
            <w:pPr>
              <w:pStyle w:val="Compact"/>
              <w:jc w:val="left"/>
            </w:pPr>
            <w:r>
              <w:t xml:space="preserve">A curva de oferta de trabalho de João é construída subtraindo de 24 (o número de horas de um dia) a demanda por lazer, para cada taxa de salário.</w:t>
            </w:r>
          </w:p>
        </w:tc>
      </w:tr>
      <w:tr>
        <w:tc>
          <w:tcPr/>
          <w:p>
            <w:pPr>
              <w:pStyle w:val="Compact"/>
              <w:jc w:val="left"/>
            </w:pPr>
            <w:r>
              <w:t xml:space="preserve">2</w:t>
            </w:r>
          </w:p>
        </w:tc>
        <w:tc>
          <w:tcPr/>
          <w:p>
            <w:pPr>
              <w:pStyle w:val="Compact"/>
              <w:jc w:val="left"/>
            </w:pPr>
            <w:r>
              <w:t xml:space="preserve">O efeito substituição tem de ser negativo: um aumento na taxa de salário leva João a escolher um número menor de horas de lazer e um número maior de horas de trabalho.</w:t>
            </w:r>
          </w:p>
        </w:tc>
      </w:tr>
      <w:tr>
        <w:tc>
          <w:tcPr/>
          <w:p>
            <w:pPr>
              <w:pStyle w:val="Compact"/>
              <w:jc w:val="left"/>
            </w:pPr>
            <w:r>
              <w:t xml:space="preserve">3</w:t>
            </w:r>
          </w:p>
        </w:tc>
        <w:tc>
          <w:tcPr/>
          <w:p>
            <w:pPr>
              <w:pStyle w:val="Compact"/>
              <w:jc w:val="left"/>
            </w:pPr>
            <w:r>
              <w:t xml:space="preserve">Se lazer é um bem normal para João, o efeito substituição e o efeito renda atuam em direções opostas. O efeito que vai predominar dependerá do tamanho relativo dos dois efeitos.</w:t>
            </w:r>
          </w:p>
        </w:tc>
      </w:tr>
      <w:tr>
        <w:tc>
          <w:tcPr/>
          <w:p>
            <w:pPr>
              <w:pStyle w:val="Compact"/>
              <w:jc w:val="left"/>
            </w:pPr>
            <w:r>
              <w:t xml:space="preserve">4</w:t>
            </w:r>
          </w:p>
        </w:tc>
        <w:tc>
          <w:tcPr/>
          <w:p>
            <w:pPr>
              <w:pStyle w:val="Compact"/>
              <w:jc w:val="left"/>
            </w:pPr>
            <w:r>
              <w:t xml:space="preserve">Se João considerar lazer como um bem inferior, o seu efeito substituição e o seu efeito renda atuam na mesma direção, de tal forma que uma elevação no salário reduzirá suas horas de lazer.</w:t>
            </w:r>
          </w:p>
        </w:tc>
      </w:tr>
    </w:tbl>
    <w:p>
      <w:pPr>
        <w:pStyle w:val="BlockText"/>
      </w:pPr>
      <w:r>
        <w:t xml:space="preserve">??? success</w:t>
      </w:r>
      <w:r>
        <w:t xml:space="preserve"> </w:t>
      </w:r>
      <w:r>
        <w:t xml:space="preserve">“Gabarito”</w:t>
      </w:r>
      <w:r>
        <w:t xml:space="preserve"> </w:t>
      </w:r>
      <w:r>
        <w:rPr>
          <w:b/>
          <w:bCs/>
        </w:rPr>
        <w:t xml:space="preserve">Respostas: 01111</w:t>
      </w:r>
    </w:p>
    <w:p>
      <w:pPr>
        <w:pStyle w:val="SourceCode"/>
      </w:pPr>
      <w:r>
        <w:rPr>
          <w:rStyle w:val="VerbatimChar"/>
        </w:rPr>
        <w:t xml:space="preserve">**Justificativa por item:**</w:t>
      </w:r>
      <w:r>
        <w:br/>
      </w:r>
      <w:r>
        <w:br/>
      </w:r>
      <w:r>
        <w:rPr>
          <w:rStyle w:val="VerbatimChar"/>
        </w:rPr>
        <w:t xml:space="preserve">- **Item 0 — F:** A condição de ótimo exige $UMg_N / UMg_Y = w$, ou seja, $2/4 = 0{,}5$. Como $w = 2 \neq 0{,}5$, João **não** está no ótimo. Ele deveria trabalhar mais horas (a utilidade marginal da renda ponderada pelo salário supera a utilidade marginal do lazer).</w:t>
      </w:r>
      <w:r>
        <w:br/>
      </w:r>
      <w:r>
        <w:rPr>
          <w:rStyle w:val="VerbatimChar"/>
        </w:rPr>
        <w:t xml:space="preserve">- **Item 1 — V:** Correto. A oferta de trabalho é $h^*(w) = 24 - N^*(w)$, onde $N^*(w)$ é a demanda marshalliana por lazer ao salário $w$.</w:t>
      </w:r>
      <w:r>
        <w:br/>
      </w:r>
      <w:r>
        <w:rPr>
          <w:rStyle w:val="VerbatimChar"/>
        </w:rPr>
        <w:t xml:space="preserve">- **Item 2 — V:** Correto. O efeito substituição compensado do lazer em relação ao seu preço ($w$) é sempre negativo: um aumento em $w$ encarece o lazer, levando a menos lazer e mais trabalho (pela convexidade das preferências).</w:t>
      </w:r>
      <w:r>
        <w:br/>
      </w:r>
      <w:r>
        <w:rPr>
          <w:rStyle w:val="VerbatimChar"/>
        </w:rPr>
        <w:t xml:space="preserve">- **Item 3 — V:** Correto. Se lazer é normal, o efeito renda de um aumento em $w$ eleva a demanda por lazer (reduz $h$), enquanto o efeito substituição reduz o lazer (eleva $h$). Os dois efeitos atuam em sentidos opostos — é a base da curva backward-bending.</w:t>
      </w:r>
      <w:r>
        <w:br/>
      </w:r>
      <w:r>
        <w:rPr>
          <w:rStyle w:val="VerbatimChar"/>
        </w:rPr>
        <w:t xml:space="preserve">- **Item 4 — V:** Correto. Se lazer é inferior, o efeito renda de um aumento em $w$ **reduz** a demanda por lazer (mesma direção do efeito substituição). Ambos levam a menos lazer e mais trabalho: a oferta de trabalho é inequivocamente positivamente inclinada.</w:t>
      </w:r>
    </w:p>
    <w:p>
      <w:pPr>
        <w:pStyle w:val="BlockText"/>
      </w:pPr>
      <w:r>
        <w:rPr>
          <w:b/>
          <w:bCs/>
        </w:rPr>
        <w:t xml:space="preserve">[QUESTAO] ANPEC 2013 — Questão 10</w:t>
      </w:r>
    </w:p>
    <w:p>
      <w:pPr>
        <w:pStyle w:val="BlockText"/>
      </w:pPr>
      <w:r>
        <w:t xml:space="preserve">Com relação ao mercado de fatores, indique quais das afirmações abaixo são verdadeiras e quais são falsas:</w:t>
      </w:r>
    </w:p>
    <w:p>
      <w:pPr>
        <w:pStyle w:val="BlockText"/>
      </w:pPr>
      <w:r>
        <w:rPr>
          <w:b/>
          <w:bCs/>
        </w:rPr>
        <w:t xml:space="preserve">Itens:</w:t>
      </w:r>
      <w:r>
        <w:t xml:space="preserve"> </w:t>
      </w:r>
      <w:r>
        <w:t xml:space="preserve">(marque 0 para Falso, 1 para Verdadeiro)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jc w:val="left"/>
            </w:pPr>
            <w:r>
              <w:t xml:space="preserve">Item</w:t>
            </w:r>
          </w:p>
        </w:tc>
        <w:tc>
          <w:tcPr/>
          <w:p>
            <w:pPr>
              <w:pStyle w:val="Compact"/>
              <w:jc w:val="left"/>
            </w:pPr>
            <w:r>
              <w:t xml:space="preserve">Afirmação</w:t>
            </w:r>
          </w:p>
        </w:tc>
      </w:tr>
      <w:tr>
        <w:tc>
          <w:tcPr/>
          <w:p>
            <w:pPr>
              <w:pStyle w:val="Compact"/>
              <w:jc w:val="left"/>
            </w:pPr>
            <w:r>
              <w:t xml:space="preserve">0</w:t>
            </w:r>
          </w:p>
        </w:tc>
        <w:tc>
          <w:tcPr/>
          <w:p>
            <w:pPr>
              <w:pStyle w:val="Compact"/>
              <w:jc w:val="left"/>
            </w:pPr>
            <w:r>
              <w:t xml:space="preserve">A demanda de um setor por determinado insumo é a soma horizontal das demandas desse insumo por todas as empresas do setor.</w:t>
            </w:r>
          </w:p>
        </w:tc>
      </w:tr>
      <w:tr>
        <w:tc>
          <w:tcPr/>
          <w:p>
            <w:pPr>
              <w:pStyle w:val="Compact"/>
              <w:jc w:val="left"/>
            </w:pPr>
            <w:r>
              <w:t xml:space="preserve">1</w:t>
            </w:r>
          </w:p>
        </w:tc>
        <w:tc>
          <w:tcPr/>
          <w:p>
            <w:pPr>
              <w:pStyle w:val="Compact"/>
              <w:jc w:val="left"/>
            </w:pPr>
            <w:r>
              <w:t xml:space="preserve">A curva de oferta de trabalho pode apresentar um trecho com inclinação negativa se o efeito-renda associado a uma remuneração mais elevada for maior que o efeito-substituição.</w:t>
            </w:r>
          </w:p>
        </w:tc>
      </w:tr>
      <w:tr>
        <w:tc>
          <w:tcPr/>
          <w:p>
            <w:pPr>
              <w:pStyle w:val="Compact"/>
              <w:jc w:val="left"/>
            </w:pPr>
            <w:r>
              <w:t xml:space="preserve">2</w:t>
            </w:r>
          </w:p>
        </w:tc>
        <w:tc>
          <w:tcPr/>
          <w:p>
            <w:pPr>
              <w:pStyle w:val="Compact"/>
              <w:jc w:val="left"/>
            </w:pPr>
            <w:r>
              <w:t xml:space="preserve">Quando o comprador de um insumo tem poder de monopsônio, a curva de despesa marginal se situa abaixo da curva de despesa média.</w:t>
            </w:r>
          </w:p>
        </w:tc>
      </w:tr>
      <w:tr>
        <w:tc>
          <w:tcPr/>
          <w:p>
            <w:pPr>
              <w:pStyle w:val="Compact"/>
              <w:jc w:val="left"/>
            </w:pPr>
            <w:r>
              <w:t xml:space="preserve">3</w:t>
            </w:r>
          </w:p>
        </w:tc>
        <w:tc>
          <w:tcPr/>
          <w:p>
            <w:pPr>
              <w:pStyle w:val="Compact"/>
              <w:jc w:val="left"/>
            </w:pPr>
            <w:r>
              <w:t xml:space="preserve">Para um monopolista o produto da receita marginal será sempre menor do que o valor do produto marginal.</w:t>
            </w:r>
          </w:p>
        </w:tc>
      </w:tr>
      <w:tr>
        <w:tc>
          <w:tcPr/>
          <w:p>
            <w:pPr>
              <w:pStyle w:val="Compact"/>
              <w:jc w:val="left"/>
            </w:pPr>
            <w:r>
              <w:t xml:space="preserve">4</w:t>
            </w:r>
          </w:p>
        </w:tc>
        <w:tc>
          <w:tcPr/>
          <w:p>
            <w:pPr>
              <w:pStyle w:val="Compact"/>
              <w:jc w:val="left"/>
            </w:pPr>
            <w:r>
              <w:t xml:space="preserve">Se um monopolista upstream vender um fator de produção para um monopolista downstream, o preço final do produto será afetado por um mark-up duplo.</w:t>
            </w:r>
          </w:p>
        </w:tc>
      </w:tr>
    </w:tbl>
    <w:p>
      <w:pPr>
        <w:pStyle w:val="BlockText"/>
      </w:pPr>
      <w:r>
        <w:t xml:space="preserve">??? success</w:t>
      </w:r>
      <w:r>
        <w:t xml:space="preserve"> </w:t>
      </w:r>
      <w:r>
        <w:t xml:space="preserve">“Gabarito”</w:t>
      </w:r>
      <w:r>
        <w:t xml:space="preserve"> </w:t>
      </w:r>
      <w:r>
        <w:rPr>
          <w:b/>
          <w:bCs/>
        </w:rPr>
        <w:t xml:space="preserve">Respostas: 01011</w:t>
      </w:r>
    </w:p>
    <w:p>
      <w:pPr>
        <w:pStyle w:val="SourceCode"/>
      </w:pPr>
      <w:r>
        <w:rPr>
          <w:rStyle w:val="VerbatimChar"/>
        </w:rPr>
        <w:t xml:space="preserve">**Justificativa por item:**</w:t>
      </w:r>
      <w:r>
        <w:br/>
      </w:r>
      <w:r>
        <w:br/>
      </w:r>
      <w:r>
        <w:rPr>
          <w:rStyle w:val="VerbatimChar"/>
        </w:rPr>
        <w:t xml:space="preserve">- **Item 0 — F:** A demanda do setor por um insumo **não** é a simples soma horizontal das demandas individuais. Quando todas as firmas de um setor expandem o uso do insumo e aumentam a produção, o preço do produto cai, deslocando para baixo a curva de $VPMg$ de cada firma. A curva de demanda setorial é mais inclinada do que a soma horizontal.</w:t>
      </w:r>
      <w:r>
        <w:br/>
      </w:r>
      <w:r>
        <w:rPr>
          <w:rStyle w:val="VerbatimChar"/>
        </w:rPr>
        <w:t xml:space="preserve">- **Item 1 — V:** Correto. A curva backward-bending ocorre quando o efeito renda (que leva o trabalhador a demandar mais lazer) supera o efeito substituição (que encarece o lazer). É exatamente a condição formalizada na seção 17.3.</w:t>
      </w:r>
      <w:r>
        <w:br/>
      </w:r>
      <w:r>
        <w:rPr>
          <w:rStyle w:val="VerbatimChar"/>
        </w:rPr>
        <w:t xml:space="preserve">- **Item 2 — F:** A curva de despesa marginal situa-se **acima** da curva de despesa média (oferta), não abaixo. Como $CMg_L = w + H \cdot w'(H) &gt; w$, o custo marginal de contratar um trabalhador adicional excede o salário pago.</w:t>
      </w:r>
      <w:r>
        <w:br/>
      </w:r>
      <w:r>
        <w:rPr>
          <w:rStyle w:val="VerbatimChar"/>
        </w:rPr>
        <w:t xml:space="preserve">- **Item 3 — V:** Correto. Para um monopolista, $RMg &lt; P$, portanto $PRMg_L = RMg \times PMg_L &lt; P \times PMg_L = VPMg_L$. O produto da receita marginal é menor que o valor do produto marginal.</w:t>
      </w:r>
      <w:r>
        <w:br/>
      </w:r>
      <w:r>
        <w:rPr>
          <w:rStyle w:val="VerbatimChar"/>
        </w:rPr>
        <w:t xml:space="preserve">- **Item 4 — V:** Correto. Trata-se do problema de **dupla marginalização**: o monopolista upstream aplica um markup sobre seu custo marginal, e o monopolista downstream aplica outro markup sobre o preço de compra, resultando em preço final mais alto e quantidade menor do que se houvesse um monopolista integrado.</w:t>
      </w:r>
    </w:p>
    <w:p>
      <w:pPr>
        <w:pStyle w:val="BlockText"/>
      </w:pPr>
      <w:r>
        <w:rPr>
          <w:b/>
          <w:bCs/>
        </w:rPr>
        <w:t xml:space="preserve">[QUESTAO] ANPEC 2017 — Questão 13</w:t>
      </w:r>
    </w:p>
    <w:p>
      <w:pPr>
        <w:pStyle w:val="BlockText"/>
      </w:pPr>
      <w:r>
        <w:t xml:space="preserve">O único agente de uma economia valoriza comida (</w:t>
      </w:r>
      <m:oMath>
        <m:r>
          <m:t>C</m:t>
        </m:r>
      </m:oMath>
      <w:r>
        <w:t xml:space="preserve">) e tempo de descanso (</w:t>
      </w:r>
      <m:oMath>
        <m:r>
          <m:t>D</m:t>
        </m:r>
      </m:oMath>
      <w:r>
        <w:t xml:space="preserve">). Suas preferências são representadas pela função</w:t>
      </w:r>
      <w:r>
        <w:t xml:space="preserve"> </w:t>
      </w:r>
      <m:oMath>
        <m:r>
          <m:t>U</m:t>
        </m:r>
        <m:r>
          <m:rPr>
            <m:sty m:val="p"/>
          </m:rPr>
          <m:t>(</m:t>
        </m:r>
        <m:r>
          <m:t>D</m:t>
        </m:r>
        <m:r>
          <m:rPr>
            <m:sty m:val="p"/>
          </m:rPr>
          <m:t>,</m:t>
        </m:r>
        <m:r>
          <m:t>C</m:t>
        </m:r>
        <m:r>
          <m:rPr>
            <m:sty m:val="p"/>
          </m:rPr>
          <m:t>)</m:t>
        </m:r>
        <m:r>
          <m:rPr>
            <m:sty m:val="p"/>
          </m:rPr>
          <m:t>=</m:t>
        </m:r>
        <m:sSup>
          <m:e>
            <m:r>
              <m:t>D</m:t>
            </m:r>
          </m:e>
          <m:sup>
            <m:r>
              <m:t>1</m:t>
            </m:r>
            <m:r>
              <m:rPr>
                <m:sty m:val="p"/>
              </m:rPr>
              <m:t>/</m:t>
            </m:r>
            <m:r>
              <m:t>5</m:t>
            </m:r>
          </m:sup>
        </m:sSup>
        <m:sSup>
          <m:e>
            <m:r>
              <m:t>C</m:t>
            </m:r>
          </m:e>
          <m:sup>
            <m:r>
              <m:t>4</m:t>
            </m:r>
            <m:r>
              <m:rPr>
                <m:sty m:val="p"/>
              </m:rPr>
              <m:t>/</m:t>
            </m:r>
            <m:r>
              <m:t>5</m:t>
            </m:r>
          </m:sup>
        </m:sSup>
      </m:oMath>
      <w:r>
        <w:t xml:space="preserve">, sendo descanso medido em horas diárias. As horas do dia não descansadas são dedicadas ao trabalho (</w:t>
      </w:r>
      <m:oMath>
        <m:r>
          <m:t>L</m:t>
        </m:r>
      </m:oMath>
      <w:r>
        <w:t xml:space="preserve">) de obter comida, segundo a função de produção</w:t>
      </w:r>
      <w:r>
        <w:t xml:space="preserve"> </w:t>
      </w:r>
      <m:oMath>
        <m:r>
          <m:t>C</m:t>
        </m:r>
        <m:r>
          <m:rPr>
            <m:sty m:val="p"/>
          </m:rPr>
          <m:t>=</m:t>
        </m:r>
        <m:rad>
          <m:radPr>
            <m:degHide m:val="on"/>
          </m:radPr>
          <m:deg/>
          <m:e>
            <m:r>
              <m:t>L</m:t>
            </m:r>
          </m:e>
        </m:rad>
      </m:oMath>
      <w:r>
        <w:t xml:space="preserve">. Apesar da existência de um agente, imagine que temos mercados competitivos com uma firma maximizando lucro, contratando trabalho no mercado de trabalho e um consumidor vendendo sua dotação de tempo, comprando de volta descanso e comida, a</w:t>
      </w:r>
      <w:r>
        <w:t xml:space="preserve"> </w:t>
      </w:r>
      <w:r>
        <w:t xml:space="preserve">“preços de mercado”</w:t>
      </w:r>
      <w:r>
        <w:t xml:space="preserve">. Fixe em $1 o preço da hora de trabalho e considere</w:t>
      </w:r>
      <w:r>
        <w:t xml:space="preserve"> </w:t>
      </w:r>
      <m:oMath>
        <m:r>
          <m:t>P</m:t>
        </m:r>
      </m:oMath>
      <w:r>
        <w:t xml:space="preserve"> </w:t>
      </w:r>
      <w:r>
        <w:t xml:space="preserve">o preço da comida.</w:t>
      </w:r>
    </w:p>
    <w:p>
      <w:pPr>
        <w:pStyle w:val="BlockText"/>
      </w:pPr>
      <w:r>
        <w:rPr>
          <w:b/>
          <w:bCs/>
        </w:rPr>
        <w:t xml:space="preserve">Itens:</w:t>
      </w:r>
      <w:r>
        <w:t xml:space="preserve"> </w:t>
      </w:r>
      <w:r>
        <w:t xml:space="preserve">(marque 0 para Falso, 1 para Verdadeiro)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jc w:val="left"/>
            </w:pPr>
            <w:r>
              <w:t xml:space="preserve">Item</w:t>
            </w:r>
          </w:p>
        </w:tc>
        <w:tc>
          <w:tcPr/>
          <w:p>
            <w:pPr>
              <w:pStyle w:val="Compact"/>
              <w:jc w:val="left"/>
            </w:pPr>
            <w:r>
              <w:t xml:space="preserve">Afirmação</w:t>
            </w:r>
          </w:p>
        </w:tc>
      </w:tr>
      <w:tr>
        <w:tc>
          <w:tcPr/>
          <w:p>
            <w:pPr>
              <w:pStyle w:val="Compact"/>
              <w:jc w:val="left"/>
            </w:pPr>
            <w:r>
              <w:t xml:space="preserve">0</w:t>
            </w:r>
          </w:p>
        </w:tc>
        <w:tc>
          <w:tcPr/>
          <w:p>
            <w:pPr>
              <w:pStyle w:val="Compact"/>
              <w:jc w:val="left"/>
            </w:pPr>
            <w:r>
              <w:t xml:space="preserve">Em equilíbrio, o lucro da firma será $15.</w:t>
            </w:r>
          </w:p>
        </w:tc>
      </w:tr>
      <w:tr>
        <w:tc>
          <w:tcPr/>
          <w:p>
            <w:pPr>
              <w:pStyle w:val="Compact"/>
              <w:jc w:val="left"/>
            </w:pPr>
            <w:r>
              <w:t xml:space="preserve">1</w:t>
            </w:r>
          </w:p>
        </w:tc>
        <w:tc>
          <w:tcPr/>
          <w:p>
            <w:pPr>
              <w:pStyle w:val="Compact"/>
              <w:jc w:val="left"/>
            </w:pPr>
            <w:r>
              <w:t xml:space="preserve">Em equilíbrio,</w:t>
            </w:r>
            <w:r>
              <w:t xml:space="preserve"> </w:t>
            </w:r>
            <m:oMath>
              <m:r>
                <m:t>P</m:t>
              </m:r>
              <m:r>
                <m:rPr>
                  <m:sty m:val="p"/>
                </m:rPr>
                <m:t>=</m:t>
              </m:r>
              <m:r>
                <m:rPr>
                  <m:sty m:val="p"/>
                </m:rPr>
                <m:t>$</m:t>
              </m:r>
              <m:r>
                <m:t>10</m:t>
              </m:r>
            </m:oMath>
            <w:r>
              <w:t xml:space="preserve">.</w:t>
            </w:r>
          </w:p>
        </w:tc>
      </w:tr>
      <w:tr>
        <w:tc>
          <w:tcPr/>
          <w:p>
            <w:pPr>
              <w:pStyle w:val="Compact"/>
              <w:jc w:val="left"/>
            </w:pPr>
            <w:r>
              <w:t xml:space="preserve">2</w:t>
            </w:r>
          </w:p>
        </w:tc>
        <w:tc>
          <w:tcPr/>
          <w:p>
            <w:pPr>
              <w:pStyle w:val="Compact"/>
              <w:jc w:val="left"/>
            </w:pPr>
            <w:r>
              <w:t xml:space="preserve">O consumidor escolhe quatro unidades de comida.</w:t>
            </w:r>
          </w:p>
        </w:tc>
      </w:tr>
      <w:tr>
        <w:tc>
          <w:tcPr/>
          <w:p>
            <w:pPr>
              <w:pStyle w:val="Compact"/>
              <w:jc w:val="left"/>
            </w:pPr>
            <w:r>
              <w:t xml:space="preserve">3</w:t>
            </w:r>
          </w:p>
        </w:tc>
        <w:tc>
          <w:tcPr/>
          <w:p>
            <w:pPr>
              <w:pStyle w:val="Compact"/>
              <w:jc w:val="left"/>
            </w:pPr>
            <w:r>
              <w:t xml:space="preserve">A renda nominal do consumidor, composta do valor da dotação de tempo mais o lucro da firma, é igual a $40.</w:t>
            </w:r>
          </w:p>
        </w:tc>
      </w:tr>
      <w:tr>
        <w:tc>
          <w:tcPr/>
          <w:p>
            <w:pPr>
              <w:pStyle w:val="Compact"/>
              <w:jc w:val="left"/>
            </w:pPr>
            <w:r>
              <w:t xml:space="preserve">4</w:t>
            </w:r>
          </w:p>
        </w:tc>
        <w:tc>
          <w:tcPr/>
          <w:p>
            <w:pPr>
              <w:pStyle w:val="Compact"/>
              <w:jc w:val="left"/>
            </w:pPr>
            <w:r>
              <w:t xml:space="preserve">Se</w:t>
            </w:r>
            <w:r>
              <w:t xml:space="preserve"> </w:t>
            </w:r>
            <m:oMath>
              <m:r>
                <m:t>P</m:t>
              </m:r>
            </m:oMath>
            <w:r>
              <w:t xml:space="preserve"> </w:t>
            </w:r>
            <w:r>
              <w:t xml:space="preserve">cair pela metade do valor de equilíbrio, haverá excesso de oferta de trabalho, mas a somatória dos valores dos excessos de demanda pelos dois bens será nula.</w:t>
            </w:r>
          </w:p>
        </w:tc>
      </w:tr>
    </w:tbl>
    <w:p>
      <w:pPr>
        <w:pStyle w:val="BlockText"/>
      </w:pPr>
      <w:r>
        <w:t xml:space="preserve">??? success</w:t>
      </w:r>
      <w:r>
        <w:t xml:space="preserve"> </w:t>
      </w:r>
      <w:r>
        <w:t xml:space="preserve">“Gabarito”</w:t>
      </w:r>
      <w:r>
        <w:t xml:space="preserve"> </w:t>
      </w:r>
      <w:r>
        <w:rPr>
          <w:b/>
          <w:bCs/>
        </w:rPr>
        <w:t xml:space="preserve">Respostas: 00111</w:t>
      </w:r>
    </w:p>
    <w:p>
      <w:pPr>
        <w:pStyle w:val="SourceCode"/>
      </w:pPr>
      <w:r>
        <w:rPr>
          <w:rStyle w:val="VerbatimChar"/>
        </w:rPr>
        <w:t xml:space="preserve">**Justificativa por item:**</w:t>
      </w:r>
      <w:r>
        <w:br/>
      </w:r>
      <w:r>
        <w:br/>
      </w:r>
      <w:r>
        <w:rPr>
          <w:rStyle w:val="VerbatimChar"/>
        </w:rPr>
        <w:t xml:space="preserve">- **Item 0 — F:** A firma maximiza $\pi = P\sqrt{L} - L$. A CPO é $P/(2\sqrt{L}) = 1$, logo $L = P^2/4$ e $\pi = P \cdot P/2 - P^2/4 = P^2/4$. Em equilíbrio (ver item 1), $P = 8$, então $\pi = 64/4 = 16 \neq 15$.</w:t>
      </w:r>
      <w:r>
        <w:br/>
      </w:r>
      <w:r>
        <w:rPr>
          <w:rStyle w:val="VerbatimChar"/>
        </w:rPr>
        <w:t xml:space="preserve">- **Item 1 — F:** O consumidor com Cobb-Douglas $U = D^{1/5}C^{4/5}$ gasta $1/5$ da renda em descanso e $4/5$ em comida. Renda = $24 + \pi = 24 + P^2/4$. Demanda por descanso: $D = (24 + P^2/4)/5$. Oferta de trabalho: $L^s = 24 - D$. Demanda por trabalho: $L^d = P^2/4$. Equilíbrio: $24 - (24 + P^2/4)/5 = P^2/4$. Resolvendo: $120 - 24 - P^2/4 = 5P^2/4$, ou seja, $96 = 6P^2/4 = 3P^2/2$, logo $P^2 = 64$ e $P = 8 \neq 10$.</w:t>
      </w:r>
      <w:r>
        <w:br/>
      </w:r>
      <w:r>
        <w:rPr>
          <w:rStyle w:val="VerbatimChar"/>
        </w:rPr>
        <w:t xml:space="preserve">- **Item 2 — V:** Com $P = 8$: $L = 64/4 = 16$, $C = \sqrt{16} = 4$. Correto.</w:t>
      </w:r>
      <w:r>
        <w:br/>
      </w:r>
      <w:r>
        <w:rPr>
          <w:rStyle w:val="VerbatimChar"/>
        </w:rPr>
        <w:t xml:space="preserve">- **Item 3 — V:** Renda = dotação de tempo + lucro = $24 \times 1 + 16 = 40$. Correto.</w:t>
      </w:r>
      <w:r>
        <w:br/>
      </w:r>
      <w:r>
        <w:rPr>
          <w:rStyle w:val="VerbatimChar"/>
        </w:rPr>
        <w:t xml:space="preserve">- **Item 4 — V:** Pela **Lei de Walras**, a soma dos valores dos excessos de demanda em todos os mercados é identicamente nula, independentemente dos preços. Se $P = 4$: a firma demanda $L^d = 4$, o consumidor oferta $L^s = 18{,}4$, excesso de oferta de trabalho = $14{,}4$; a firma oferta $C^s = 2$, o consumidor demanda $C^d = 5{,}6$, excesso de demanda de comida = $3{,}6$. Valor: $1 \times (-14{,}4) + 4 \times 3{,}6 = -14{,}4 + 14{,}4 = 0$. Correto.</w:t>
      </w:r>
    </w:p>
    <w:p>
      <w:r>
        <w:pict>
          <v:rect style="width:0;height:1.5pt" o:hralign="center" o:hrstd="t" o:hr="t"/>
        </w:pict>
      </w:r>
    </w:p>
    <w:p>
      <w:pPr>
        <w:pStyle w:val="BlockText"/>
      </w:pPr>
      <w:r>
        <w:rPr>
          <w:b/>
          <w:bCs/>
        </w:rPr>
        <w:t xml:space="preserve">[DICA] Exercício com IA</w:t>
      </w:r>
    </w:p>
    <w:p>
      <w:pPr>
        <w:pStyle w:val="BlockText"/>
      </w:pPr>
      <w:r>
        <w:rPr>
          <w:b/>
          <w:bCs/>
        </w:rPr>
        <w:t xml:space="preserve">IA.5 — Equação de Mincer com Dados Sintéticos</w:t>
      </w:r>
    </w:p>
    <w:p>
      <w:pPr>
        <w:pStyle w:val="BlockText"/>
      </w:pPr>
      <w:r>
        <w:t xml:space="preserve">Peça à IA para gerar dados sintéticos de uma equação de Mincer com</w:t>
      </w:r>
      <w:r>
        <w:t xml:space="preserve"> </w:t>
      </w:r>
      <m:oMath>
        <m:sSub>
          <m:e>
            <m:r>
              <m:t>β</m:t>
            </m:r>
          </m:e>
          <m:sub>
            <m:r>
              <m:t>1</m:t>
            </m:r>
          </m:sub>
        </m:sSub>
        <m:r>
          <m:rPr>
            <m:sty m:val="p"/>
          </m:rPr>
          <m:t>=</m:t>
        </m:r>
        <m:r>
          <m:t>0</m:t>
        </m:r>
        <m:r>
          <m:rPr>
            <m:sty m:val="p"/>
          </m:rPr>
          <m:t>,</m:t>
        </m:r>
        <m:r>
          <m:t>10</m:t>
        </m:r>
      </m:oMath>
      <w:r>
        <w:t xml:space="preserve"> </w:t>
      </w:r>
      <w:r>
        <w:t xml:space="preserve">(retorno de 10% por ano de educação),</w:t>
      </w:r>
      <w:r>
        <w:t xml:space="preserve"> </w:t>
      </w:r>
      <m:oMath>
        <m:sSub>
          <m:e>
            <m:r>
              <m:t>β</m:t>
            </m:r>
          </m:e>
          <m:sub>
            <m:r>
              <m:t>2</m:t>
            </m:r>
          </m:sub>
        </m:sSub>
        <m:r>
          <m:rPr>
            <m:sty m:val="p"/>
          </m:rPr>
          <m:t>=</m:t>
        </m:r>
        <m:r>
          <m:t>0</m:t>
        </m:r>
        <m:r>
          <m:rPr>
            <m:sty m:val="p"/>
          </m:rPr>
          <m:t>,</m:t>
        </m:r>
        <m:r>
          <m:t>03</m:t>
        </m:r>
      </m:oMath>
      <w:r>
        <w:t xml:space="preserve"> </w:t>
      </w:r>
      <w:r>
        <w:t xml:space="preserve">e</w:t>
      </w:r>
      <w:r>
        <w:t xml:space="preserve"> </w:t>
      </w:r>
      <m:oMath>
        <m:sSub>
          <m:e>
            <m:r>
              <m:t>β</m:t>
            </m:r>
          </m:e>
          <m:sub>
            <m:r>
              <m:t>3</m:t>
            </m:r>
          </m:sub>
        </m:sSub>
        <m:r>
          <m:rPr>
            <m:sty m:val="p"/>
          </m:rPr>
          <m:t>=</m:t>
        </m:r>
        <m:r>
          <m:rPr>
            <m:sty m:val="p"/>
          </m:rPr>
          <m:t>−</m:t>
        </m:r>
        <m:r>
          <m:t>0</m:t>
        </m:r>
        <m:r>
          <m:rPr>
            <m:sty m:val="p"/>
          </m:rPr>
          <m:t>,</m:t>
        </m:r>
        <m:r>
          <m:t>0005</m:t>
        </m:r>
      </m:oMath>
      <w:r>
        <w:t xml:space="preserve">. Depois peça para ela estimar os parâmetros por OLS e verificar se recupera os valores originais. Discuta: por que a OLS funciona perfeitamente com dados sintéticos mas não com dados reais?</w:t>
      </w:r>
    </w:p>
    <w:p>
      <w:pPr>
        <w:pStyle w:val="BlockText"/>
      </w:pPr>
      <w:r>
        <w:t xml:space="preserve">Ver exercício completo</w:t>
      </w:r>
    </w:p>
    <w:bookmarkEnd w:id="1109"/>
    <w:bookmarkEnd w:id="1110"/>
    <w:bookmarkStart w:id="1126" w:name="pesquisa-em-ação-capítulo-17"/>
    <w:p>
      <w:pPr>
        <w:pStyle w:val="Heading2"/>
      </w:pPr>
      <w:r>
        <w:t xml:space="preserve">Pesquisa em Ação — Capítulo 17</w:t>
      </w:r>
    </w:p>
    <w:bookmarkStart w:id="1115" w:name="pesquisa-em-ação-20"/>
    <w:p>
      <w:pPr>
        <w:pStyle w:val="Heading3"/>
      </w:pPr>
      <w:r>
        <w:t xml:space="preserve">Pesquisa em Ação</w:t>
      </w:r>
    </w:p>
    <w:p>
      <w:pPr>
        <w:pStyle w:val="BlockText"/>
      </w:pPr>
      <w:r>
        <w:rPr>
          <w:b/>
          <w:bCs/>
        </w:rPr>
        <w:t xml:space="preserve">[PESQUISA EM ACAO] Engbom, N.; Moser, C. (2022).</w:t>
      </w:r>
      <w:r>
        <w:rPr>
          <w:b/>
          <w:bCs/>
        </w:rPr>
        <w:t xml:space="preserve"> </w:t>
      </w:r>
      <w:hyperlink r:id="rId1095">
        <w:r>
          <w:rPr>
            <w:rStyle w:val="Hyperlink"/>
            <w:b/>
            <w:bCs/>
          </w:rPr>
          <w:t xml:space="preserve">Earnings Inequality and the Minimum Wage: Evidence from Brazil</w:t>
        </w:r>
      </w:hyperlink>
      <w:r>
        <w:rPr>
          <w:b/>
          <w:bCs/>
        </w:rPr>
        <w:t xml:space="preserve">.</w:t>
      </w:r>
      <w:r>
        <w:rPr>
          <w:b/>
          <w:bCs/>
        </w:rPr>
        <w:t xml:space="preserve"> </w:t>
      </w:r>
      <w:r>
        <w:rPr>
          <w:b/>
          <w:bCs/>
          <w:i/>
          <w:iCs/>
        </w:rPr>
        <w:t xml:space="preserve">American Economic Review</w:t>
      </w:r>
      <w:r>
        <w:rPr>
          <w:b/>
          <w:bCs/>
        </w:rPr>
        <w:t xml:space="preserve">, 112(12), 3803–3847.</w:t>
      </w:r>
    </w:p>
    <w:p>
      <w:pPr>
        <w:pStyle w:val="BlockText"/>
      </w:pPr>
      <w:r>
        <w:rPr>
          <w:b/>
          <w:bCs/>
        </w:rPr>
        <w:t xml:space="preserve">Pergunta central:</w:t>
      </w:r>
      <w:r>
        <w:t xml:space="preserve"> </w:t>
      </w:r>
      <w:r>
        <w:t xml:space="preserve">O salário mínimo pode, de fato, reduzir a desigualdade salarial? E se puder, quanto dessa redução se deve ao piso legal versus a outros fatores? Essas questões são centrais para a política pública, especialmente no Brasil, onde o salário mínimo real cresceu 128% entre 1996 e 2018 — um dos maiores aumentos sustentados do mundo.</w:t>
      </w:r>
    </w:p>
    <w:p>
      <w:pPr>
        <w:pStyle w:val="BlockText"/>
      </w:pPr>
      <w:r>
        <w:rPr>
          <w:b/>
          <w:bCs/>
        </w:rPr>
        <w:t xml:space="preserve">Método:</w:t>
      </w:r>
      <w:r>
        <w:t xml:space="preserve"> </w:t>
      </w:r>
      <w:r>
        <w:t xml:space="preserve">Engbom e Moser combinaram dados administrativos de empregadores e empregados (RAIS) com pesquisas domiciliares (PNAD) cobrindo mais de duas décadas. Para isolar o efeito causal do salário mínimo, desenvolveram um modelo de equilíbrio com firmas e trabalhadores heterogêneos, estimado estruturalmente nos dados brasileiros. O modelo permite que o salário mínimo afete não apenas os trabalhadores que recebem exatamente o piso, mas também aqueles acima dele — os chamados</w:t>
      </w:r>
      <w:r>
        <w:t xml:space="preserve"> </w:t>
      </w:r>
      <w:r>
        <w:rPr>
          <w:i/>
          <w:iCs/>
        </w:rPr>
        <w:t xml:space="preserve">spillover effects</w:t>
      </w:r>
      <w:r>
        <w:t xml:space="preserve">.</w:t>
      </w:r>
    </w:p>
    <w:p>
      <w:pPr>
        <w:pStyle w:val="BlockText"/>
      </w:pPr>
      <w:r>
        <w:rPr>
          <w:b/>
          <w:bCs/>
        </w:rPr>
        <w:t xml:space="preserve">Resultado principal:</w:t>
      </w:r>
      <w:r>
        <w:t xml:space="preserve"> </w:t>
      </w:r>
      <w:r>
        <w:t xml:space="preserve">O aumento real do salário mínimo explica aproximadamente</w:t>
      </w:r>
      <w:r>
        <w:t xml:space="preserve"> </w:t>
      </w:r>
      <w:r>
        <w:rPr>
          <w:b/>
          <w:bCs/>
        </w:rPr>
        <w:t xml:space="preserve">45% da substancial queda na desigualdade salarial</w:t>
      </w:r>
      <w:r>
        <w:t xml:space="preserve"> </w:t>
      </w:r>
      <w:r>
        <w:t xml:space="preserve">no Brasil no período. Os efeitos de spillover são grandes: salários bem acima do mínimo também foram comprimidos em direção à média. Surpreendentemente, os efeitos sobre emprego e produto agregado foram</w:t>
      </w:r>
      <w:r>
        <w:t xml:space="preserve"> </w:t>
      </w:r>
      <w:r>
        <w:rPr>
          <w:b/>
          <w:bCs/>
        </w:rPr>
        <w:t xml:space="preserve">modestos</w:t>
      </w:r>
      <w:r>
        <w:t xml:space="preserve">, pois o salário mínimo induziu a realocação de trabalhadores de firmas menos produtivas para firmas mais produtivas — um efeito de seleção positivo.</w:t>
      </w:r>
    </w:p>
    <w:p>
      <w:pPr>
        <w:pStyle w:val="BlockText"/>
      </w:pPr>
      <w:r>
        <w:rPr>
          <w:b/>
          <w:bCs/>
        </w:rPr>
        <w:t xml:space="preserve">Por que isso importa:</w:t>
      </w:r>
      <w:r>
        <w:t xml:space="preserve"> </w:t>
      </w:r>
      <w:r>
        <w:t xml:space="preserve">O resultado desafia a visão de livro-texto de que aumentos expressivos do salário mínimo necessariamente geram desemprego significativo. No contexto brasileiro, o SM funcionou como um instrumento redistributivo poderoso, com custos de eficiência limitados. Isso tem implicações diretas para a política de valorização do salário mínimo retomada a partir de 2023.</w:t>
      </w:r>
    </w:p>
    <w:p>
      <w:pPr>
        <w:pStyle w:val="BlockText"/>
      </w:pPr>
      <w:r>
        <w:rPr>
          <w:b/>
          <w:bCs/>
        </w:rPr>
        <w:t xml:space="preserve">Relevância para o capítulo:</w:t>
      </w:r>
      <w:r>
        <w:t xml:space="preserve"> </w:t>
      </w:r>
      <w:r>
        <w:t xml:space="preserve">O paper conecta-se diretamente com as seções 17.5 (equilíbrio competitivo) e 17.7 (monopsônio e salário mínimo). O fato de o efeito sobre o emprego ter sido moderado é consistente com modelos de monopsônio ou</w:t>
      </w:r>
      <w:r>
        <w:t xml:space="preserve"> </w:t>
      </w:r>
      <w:r>
        <w:rPr>
          <w:i/>
          <w:iCs/>
        </w:rPr>
        <w:t xml:space="preserve">wage-posting</w:t>
      </w:r>
      <w:r>
        <w:t xml:space="preserve">, nos quais o salário mínimo pode aumentar o emprego. A evidência de spillover effects confirma empiricamente o</w:t>
      </w:r>
      <w:r>
        <w:t xml:space="preserve"> </w:t>
      </w:r>
      <w:r>
        <w:t xml:space="preserve">“efeito-farol”</w:t>
      </w:r>
      <w:r>
        <w:t xml:space="preserve"> </w:t>
      </w:r>
      <w:r>
        <w:t xml:space="preserve">discutido no Box Brasil sobre salário mínimo.</w:t>
      </w:r>
    </w:p>
    <w:p>
      <w:pPr>
        <w:pStyle w:val="BlockText"/>
      </w:pPr>
      <w:r>
        <w:rPr>
          <w:b/>
          <w:bCs/>
        </w:rPr>
        <w:t xml:space="preserve">[PESQUISA EM ACAO] Meghir, C.; Narita, R.; Robin, J.-M. (2015).</w:t>
      </w:r>
      <w:r>
        <w:rPr>
          <w:b/>
          <w:bCs/>
        </w:rPr>
        <w:t xml:space="preserve"> </w:t>
      </w:r>
      <w:hyperlink r:id="rId1111">
        <w:r>
          <w:rPr>
            <w:rStyle w:val="Hyperlink"/>
            <w:b/>
            <w:bCs/>
          </w:rPr>
          <w:t xml:space="preserve">Wages and Informality in Developing Countries</w:t>
        </w:r>
      </w:hyperlink>
      <w:r>
        <w:rPr>
          <w:b/>
          <w:bCs/>
        </w:rPr>
        <w:t xml:space="preserve">.</w:t>
      </w:r>
      <w:r>
        <w:rPr>
          <w:b/>
          <w:bCs/>
        </w:rPr>
        <w:t xml:space="preserve"> </w:t>
      </w:r>
      <w:r>
        <w:rPr>
          <w:b/>
          <w:bCs/>
          <w:i/>
          <w:iCs/>
        </w:rPr>
        <w:t xml:space="preserve">American Economic Review</w:t>
      </w:r>
      <w:r>
        <w:rPr>
          <w:b/>
          <w:bCs/>
        </w:rPr>
        <w:t xml:space="preserve">, 105(4), 1509–1546.</w:t>
      </w:r>
    </w:p>
    <w:p>
      <w:pPr>
        <w:pStyle w:val="BlockText"/>
      </w:pPr>
      <w:r>
        <w:rPr>
          <w:b/>
          <w:bCs/>
        </w:rPr>
        <w:t xml:space="preserve">Pergunta central:</w:t>
      </w:r>
      <w:r>
        <w:t xml:space="preserve"> </w:t>
      </w:r>
      <w:r>
        <w:t xml:space="preserve">Por que firmas e trabalhadores similares coexistem nos setores formal e informal? Qual o efeito de aumentar a fiscalização trabalhista sobre salários, emprego e bem-estar? Essas questões são fundamentais para entender o mercado de trabalho brasileiro, onde quase 40% dos ocupados são informais.</w:t>
      </w:r>
    </w:p>
    <w:p>
      <w:pPr>
        <w:pStyle w:val="BlockText"/>
      </w:pPr>
      <w:r>
        <w:rPr>
          <w:b/>
          <w:bCs/>
        </w:rPr>
        <w:t xml:space="preserve">Método:</w:t>
      </w:r>
      <w:r>
        <w:t xml:space="preserve"> </w:t>
      </w:r>
      <w:r>
        <w:t xml:space="preserve">Os autores — entre eles a brasileira Renata Narita — construíram um modelo de equilíbrio com</w:t>
      </w:r>
      <w:r>
        <w:t xml:space="preserve"> </w:t>
      </w:r>
      <w:r>
        <w:rPr>
          <w:i/>
          <w:iCs/>
        </w:rPr>
        <w:t xml:space="preserve">wage-posting</w:t>
      </w:r>
      <w:r>
        <w:t xml:space="preserve"> </w:t>
      </w:r>
      <w:r>
        <w:t xml:space="preserve">(firmas fixam salários), busca sequencial por emprego (trabalhadores procuram empregos estando empregados ou desempregados) e escolha endógena do setor (formal ou informal) por firmas heterogêneas. O modelo foi estimado com dados da Pesquisa Mensal de Emprego (PME/IBGE) do Brasil.</w:t>
      </w:r>
    </w:p>
    <w:p>
      <w:pPr>
        <w:pStyle w:val="BlockText"/>
      </w:pPr>
      <w:r>
        <w:rPr>
          <w:b/>
          <w:bCs/>
        </w:rPr>
        <w:t xml:space="preserve">Resultado principal:</w:t>
      </w:r>
      <w:r>
        <w:t xml:space="preserve"> </w:t>
      </w:r>
      <w:r>
        <w:t xml:space="preserve">Firmas de produtividade similar podem se localizar em setores diferentes — algumas no formal, outras no informal —, gerando</w:t>
      </w:r>
      <w:r>
        <w:t xml:space="preserve"> </w:t>
      </w:r>
      <w:r>
        <w:rPr>
          <w:b/>
          <w:bCs/>
        </w:rPr>
        <w:t xml:space="preserve">diferenciais compensatórios</w:t>
      </w:r>
      <w:r>
        <w:t xml:space="preserve"> </w:t>
      </w:r>
      <w:r>
        <w:t xml:space="preserve">entre os setores. Os salários formais incorporam um</w:t>
      </w:r>
      <w:r>
        <w:t xml:space="preserve"> </w:t>
      </w:r>
      <w:r>
        <w:t xml:space="preserve">“prêmio”</w:t>
      </w:r>
      <w:r>
        <w:t xml:space="preserve"> </w:t>
      </w:r>
      <w:r>
        <w:t xml:space="preserve">que compensa os custos da formalização (impostos, encargos), mas os trabalhadores informais enfrentam maior rotatividade e menor proteção. O resultado mais importante:</w:t>
      </w:r>
      <w:r>
        <w:t xml:space="preserve"> </w:t>
      </w:r>
      <w:r>
        <w:rPr>
          <w:b/>
          <w:bCs/>
        </w:rPr>
        <w:t xml:space="preserve">aumentar a fiscalização</w:t>
      </w:r>
      <w:r>
        <w:t xml:space="preserve"> </w:t>
      </w:r>
      <w:r>
        <w:t xml:space="preserve">trabalhista não eleva o desemprego. Ao contrário, melhora a alocação de trabalhadores para firmas mais produtivas e intensifica a competição no setor formal, elevando salários, produto e bem-estar agregados.</w:t>
      </w:r>
    </w:p>
    <w:p>
      <w:pPr>
        <w:pStyle w:val="BlockText"/>
      </w:pPr>
      <w:r>
        <w:rPr>
          <w:b/>
          <w:bCs/>
        </w:rPr>
        <w:t xml:space="preserve">Por que isso importa:</w:t>
      </w:r>
      <w:r>
        <w:t xml:space="preserve"> </w:t>
      </w:r>
      <w:r>
        <w:t xml:space="preserve">O paper fornece base teórica e empírica para políticas de combate à informalidade. No Brasil, a Reforma Trabalhista de 2017 seguiu uma direção oposta (flexibilização), e a taxa de informalidade permanece elevada (38,1% em 2025). O modelo sugere que o caminho para reduzir a informalidade sem causar desemprego passa por melhorar a fiscalização e reduzir os custos de formalização — e não por enfraquecer a legislação trabalhista.</w:t>
      </w:r>
    </w:p>
    <w:p>
      <w:pPr>
        <w:pStyle w:val="BlockText"/>
      </w:pPr>
      <w:r>
        <w:rPr>
          <w:b/>
          <w:bCs/>
        </w:rPr>
        <w:t xml:space="preserve">Relevância para o capítulo:</w:t>
      </w:r>
      <w:r>
        <w:t xml:space="preserve"> </w:t>
      </w:r>
      <w:r>
        <w:t xml:space="preserve">O modelo de</w:t>
      </w:r>
      <w:r>
        <w:t xml:space="preserve"> </w:t>
      </w:r>
      <w:r>
        <w:rPr>
          <w:i/>
          <w:iCs/>
        </w:rPr>
        <w:t xml:space="preserve">wage-posting</w:t>
      </w:r>
      <w:r>
        <w:t xml:space="preserve"> </w:t>
      </w:r>
      <w:r>
        <w:t xml:space="preserve">do paper é uma extensão dos modelos de monopsônio e oferta de trabalho discutidos nas seções 17.5–17.7. A coexistência de setores formal e informal adiciona uma dimensão que o modelo competitivo simples não captura, mas que é essencial para entender o mercado de trabalho brasileiro.</w:t>
      </w:r>
    </w:p>
    <w:p>
      <w:pPr>
        <w:pStyle w:val="BlockText"/>
      </w:pPr>
      <w:r>
        <w:rPr>
          <w:b/>
          <w:bCs/>
        </w:rPr>
        <w:t xml:space="preserve">[PESQUISA EM ACAO] Card, D.; Krueger, A. B. (1994).</w:t>
      </w:r>
      <w:r>
        <w:rPr>
          <w:b/>
          <w:bCs/>
        </w:rPr>
        <w:t xml:space="preserve"> </w:t>
      </w:r>
      <w:hyperlink r:id="rId1112">
        <w:r>
          <w:rPr>
            <w:rStyle w:val="Hyperlink"/>
            <w:b/>
            <w:bCs/>
          </w:rPr>
          <w:t xml:space="preserve">Minimum Wages and Employment: A Case Study of the Fast-Food Industry in New Jersey and Pennsylvania</w:t>
        </w:r>
      </w:hyperlink>
      <w:r>
        <w:rPr>
          <w:b/>
          <w:bCs/>
        </w:rPr>
        <w:t xml:space="preserve">.</w:t>
      </w:r>
      <w:r>
        <w:rPr>
          <w:b/>
          <w:bCs/>
        </w:rPr>
        <w:t xml:space="preserve"> </w:t>
      </w:r>
      <w:r>
        <w:rPr>
          <w:b/>
          <w:bCs/>
          <w:i/>
          <w:iCs/>
        </w:rPr>
        <w:t xml:space="preserve">American Economic Review</w:t>
      </w:r>
      <w:r>
        <w:rPr>
          <w:b/>
          <w:bCs/>
        </w:rPr>
        <w:t xml:space="preserve">, 84(4), 772–793.</w:t>
      </w:r>
    </w:p>
    <w:p>
      <w:pPr>
        <w:pStyle w:val="BlockText"/>
      </w:pPr>
      <w:r>
        <w:rPr>
          <w:b/>
          <w:bCs/>
        </w:rPr>
        <w:t xml:space="preserve">Pergunta central:</w:t>
      </w:r>
      <w:r>
        <w:t xml:space="preserve"> </w:t>
      </w:r>
      <w:r>
        <w:t xml:space="preserve">Um aumento do salário mínimo reduz o emprego, como prevê o modelo competitivo? Ou o mercado de trabalho de baixos salários tem características monopsonísticas que permitem aumentos do piso salarial sem perdas significativas de emprego?</w:t>
      </w:r>
    </w:p>
    <w:p>
      <w:pPr>
        <w:pStyle w:val="BlockText"/>
      </w:pPr>
      <w:r>
        <w:rPr>
          <w:b/>
          <w:bCs/>
        </w:rPr>
        <w:t xml:space="preserve">Método:</w:t>
      </w:r>
      <w:r>
        <w:t xml:space="preserve"> </w:t>
      </w:r>
      <w:r>
        <w:t xml:space="preserve">Card e Krueger utilizaram um design de diferenças-em-diferenças, comparando o emprego em restaurantes de fast-food em New Jersey (que elevou o salário mínimo de US$ 4,25 para US$ 5,05 em abril de 1992) com restaurantes similares na vizinha Pennsylvania (onde o mínimo não mudou). Pesquisaram 410 restaurantes (Burger King, KFC, Wendy’s, Roy Rogers) antes e depois do aumento, obtendo dados sobre emprego, salários, preços e horários de funcionamento.</w:t>
      </w:r>
    </w:p>
    <w:p>
      <w:pPr>
        <w:pStyle w:val="BlockText"/>
      </w:pPr>
      <w:r>
        <w:rPr>
          <w:b/>
          <w:bCs/>
        </w:rPr>
        <w:t xml:space="preserve">Resultado principal:</w:t>
      </w:r>
      <w:r>
        <w:t xml:space="preserve"> </w:t>
      </w:r>
      <w:r>
        <w:t xml:space="preserve">Contrariando a previsão do modelo competitivo,</w:t>
      </w:r>
      <w:r>
        <w:t xml:space="preserve"> </w:t>
      </w:r>
      <w:r>
        <w:rPr>
          <w:b/>
          <w:bCs/>
        </w:rPr>
        <w:t xml:space="preserve">o emprego não diminuiu</w:t>
      </w:r>
      <w:r>
        <w:t xml:space="preserve"> </w:t>
      </w:r>
      <w:r>
        <w:t xml:space="preserve">em New Jersey relativamente a Pennsylvania. Na verdade, o emprego cresceu ligeiramente em NJ. Os restaurantes que precisaram elevar mais os salários (por estarem inicialmente mais próximos do antigo mínimo) apresentaram os maiores aumentos de emprego — consistente com o modelo de monopsônio, no qual o salário mínimo reduz a exploração monopsonística e eleva o emprego.</w:t>
      </w:r>
    </w:p>
    <w:p>
      <w:pPr>
        <w:pStyle w:val="BlockText"/>
      </w:pPr>
      <w:r>
        <w:rPr>
          <w:b/>
          <w:bCs/>
        </w:rPr>
        <w:t xml:space="preserve">Por que isso importa:</w:t>
      </w:r>
      <w:r>
        <w:t xml:space="preserve"> </w:t>
      </w:r>
      <w:r>
        <w:t xml:space="preserve">Este estudo é um dos mais influentes da economia do trabalho do século XX e é amplamente considerado como o ponto de partida da</w:t>
      </w:r>
      <w:r>
        <w:t xml:space="preserve"> </w:t>
      </w:r>
      <w:r>
        <w:t xml:space="preserve">“revolução da credibilidade”</w:t>
      </w:r>
      <w:r>
        <w:t xml:space="preserve"> </w:t>
      </w:r>
      <w:r>
        <w:t xml:space="preserve">na economia empírica. Ele demonstrou que a relação entre salário mínimo e emprego é uma questão empírica, não uma certeza teórica — e que a resposta depende crucialmente da estrutura de mercado. A controvérsia gerada pelo paper (incluindo críticas de Neumark e Wascher e réplicas de Card e Krueger) elevou o padrão de evidência exigido no debate de políticas públicas.</w:t>
      </w:r>
    </w:p>
    <w:p>
      <w:pPr>
        <w:pStyle w:val="BlockText"/>
      </w:pPr>
      <w:r>
        <w:rPr>
          <w:b/>
          <w:bCs/>
        </w:rPr>
        <w:t xml:space="preserve">Relevância para o capítulo:</w:t>
      </w:r>
      <w:r>
        <w:t xml:space="preserve"> </w:t>
      </w:r>
      <w:r>
        <w:t xml:space="preserve">O paper é a aplicação empírica mais célebre do modelo de monopsônio (seção 17.7) e do efeito do salário mínimo discutido no Box Mundo 17.2. Ilustra como o arcabouço teórico do monopsônio, que pode parecer abstrato, tem implicações testáveis e relevantes para a política de salário mínimo.</w:t>
      </w:r>
    </w:p>
    <w:p>
      <w:pPr>
        <w:pStyle w:val="BlockText"/>
      </w:pPr>
      <w:r>
        <w:rPr>
          <w:b/>
          <w:bCs/>
        </w:rPr>
        <w:t xml:space="preserve">[PESQUISA EM ACAO] Azar, J.; Marinescu, I.; Steinbaum, M. (2022).</w:t>
      </w:r>
      <w:r>
        <w:rPr>
          <w:b/>
          <w:bCs/>
        </w:rPr>
        <w:t xml:space="preserve"> </w:t>
      </w:r>
      <w:hyperlink r:id="rId1113">
        <w:r>
          <w:rPr>
            <w:rStyle w:val="Hyperlink"/>
            <w:b/>
            <w:bCs/>
          </w:rPr>
          <w:t xml:space="preserve">Labor Market Concentration</w:t>
        </w:r>
      </w:hyperlink>
      <w:r>
        <w:rPr>
          <w:b/>
          <w:bCs/>
        </w:rPr>
        <w:t xml:space="preserve">.</w:t>
      </w:r>
      <w:r>
        <w:rPr>
          <w:b/>
          <w:bCs/>
        </w:rPr>
        <w:t xml:space="preserve"> </w:t>
      </w:r>
      <w:r>
        <w:rPr>
          <w:b/>
          <w:bCs/>
          <w:i/>
          <w:iCs/>
        </w:rPr>
        <w:t xml:space="preserve">Journal of Human Resources</w:t>
      </w:r>
      <w:r>
        <w:rPr>
          <w:b/>
          <w:bCs/>
        </w:rPr>
        <w:t xml:space="preserve">, 57(S), S167–S199.</w:t>
      </w:r>
    </w:p>
    <w:p>
      <w:pPr>
        <w:pStyle w:val="BlockText"/>
      </w:pPr>
      <w:r>
        <w:rPr>
          <w:b/>
          <w:bCs/>
        </w:rPr>
        <w:t xml:space="preserve">Pergunta central:</w:t>
      </w:r>
      <w:r>
        <w:t xml:space="preserve"> </w:t>
      </w:r>
      <w:r>
        <w:t xml:space="preserve">Os mercados de trabalho são competitivos ou concentrados? Se concentrados, qual o efeito da concentração de empregadores sobre os salários?</w:t>
      </w:r>
    </w:p>
    <w:p>
      <w:pPr>
        <w:pStyle w:val="BlockText"/>
      </w:pPr>
      <w:r>
        <w:rPr>
          <w:b/>
          <w:bCs/>
        </w:rPr>
        <w:t xml:space="preserve">Método:</w:t>
      </w:r>
      <w:r>
        <w:t xml:space="preserve"> </w:t>
      </w:r>
      <w:r>
        <w:t xml:space="preserve">Os autores utilizaram dados de vagas de emprego publicadas online nos EUA (via CareerBuilder.com) para construir medidas de concentração do mercado de trabalho — definido como o cruzamento de ocupação × área geográfica (</w:t>
      </w:r>
      <w:r>
        <w:rPr>
          <w:i/>
          <w:iCs/>
        </w:rPr>
        <w:t xml:space="preserve">commuting zone</w:t>
      </w:r>
      <w:r>
        <w:t xml:space="preserve">). Calcularam o índice Herfindahl-Hirschman (HHI) para cada mercado e estimaram a relação entre concentração e salários postados, controlando para características do mercado e da vaga.</w:t>
      </w:r>
    </w:p>
    <w:p>
      <w:pPr>
        <w:pStyle w:val="BlockText"/>
      </w:pPr>
      <w:r>
        <w:rPr>
          <w:b/>
          <w:bCs/>
        </w:rPr>
        <w:t xml:space="preserve">Resultado principal:</w:t>
      </w:r>
      <w:r>
        <w:t xml:space="preserve"> </w:t>
      </w:r>
      <w:r>
        <w:t xml:space="preserve">O mercado de trabalho médio nos EUA é altamente concentrado: o HHI médio é de aproximadamente 3.953 (equivalente a um mercado com menos de três empregadores efetivos), um nível que seria considerado</w:t>
      </w:r>
      <w:r>
        <w:t xml:space="preserve"> </w:t>
      </w:r>
      <w:r>
        <w:t xml:space="preserve">“altamente concentrado”</w:t>
      </w:r>
      <w:r>
        <w:t xml:space="preserve"> </w:t>
      </w:r>
      <w:r>
        <w:t xml:space="preserve">pelas diretrizes antitruste do DOJ. A concentração é substancialmente maior em mercados rurais e para ocupações especializadas. O efeito sobre salários é significativo: uma movimentação do 25.º para o 75.º percentil de concentração está associada a uma redução de</w:t>
      </w:r>
      <w:r>
        <w:t xml:space="preserve"> </w:t>
      </w:r>
      <w:r>
        <w:rPr>
          <w:b/>
          <w:bCs/>
        </w:rPr>
        <w:t xml:space="preserve">15–25%</w:t>
      </w:r>
      <w:r>
        <w:t xml:space="preserve"> </w:t>
      </w:r>
      <w:r>
        <w:t xml:space="preserve">nos salários postados.</w:t>
      </w:r>
    </w:p>
    <w:p>
      <w:pPr>
        <w:pStyle w:val="BlockText"/>
      </w:pPr>
      <w:r>
        <w:rPr>
          <w:b/>
          <w:bCs/>
        </w:rPr>
        <w:t xml:space="preserve">Por que isso importa:</w:t>
      </w:r>
      <w:r>
        <w:t xml:space="preserve"> </w:t>
      </w:r>
      <w:r>
        <w:t xml:space="preserve">O paper documentou empiricamente que o poder monopsonístico não é uma curiosidade teórica, mas uma realidade disseminada. Isso tem implicações para a política antitruste (fusões de empresas devem considerar o efeito sobre trabalhadores, não apenas consumidores), para a política de salário mínimo (que pode elevar o emprego em mercados concentrados) e para a regulação do mercado de trabalho em geral.</w:t>
      </w:r>
    </w:p>
    <w:p>
      <w:pPr>
        <w:pStyle w:val="BlockText"/>
      </w:pPr>
      <w:r>
        <w:rPr>
          <w:b/>
          <w:bCs/>
        </w:rPr>
        <w:t xml:space="preserve">Relevância para o capítulo:</w:t>
      </w:r>
      <w:r>
        <w:t xml:space="preserve"> </w:t>
      </w:r>
      <w:r>
        <w:t xml:space="preserve">Conecta-se diretamente ao</w:t>
      </w:r>
      <w:r>
        <w:t xml:space="preserve"> </w:t>
      </w:r>
      <w:r>
        <w:t xml:space="preserve">“novo monopsônio”</w:t>
      </w:r>
      <w:r>
        <w:t xml:space="preserve"> </w:t>
      </w:r>
      <w:r>
        <w:t xml:space="preserve">discutido na seção 17.7 e às regras de Marshall da demanda derivada (seção 17.5). Demonstra que as implicações do modelo de monopsônio — salários abaixo da produtividade, exploração monopsonística — são empiricamente relevantes mesmo em mercados com múltiplos empregadores.</w:t>
      </w:r>
    </w:p>
    <w:p>
      <w:pPr>
        <w:pStyle w:val="BlockText"/>
      </w:pPr>
      <w:r>
        <w:rPr>
          <w:b/>
          <w:bCs/>
        </w:rPr>
        <w:t xml:space="preserve">[PESQUISA EM ACAO] Montenegro, C. E.; Patrinos, H. A. (2014).</w:t>
      </w:r>
      <w:r>
        <w:rPr>
          <w:b/>
          <w:bCs/>
        </w:rPr>
        <w:t xml:space="preserve"> </w:t>
      </w:r>
      <w:hyperlink r:id="rId1114">
        <w:r>
          <w:rPr>
            <w:rStyle w:val="Hyperlink"/>
            <w:b/>
            <w:bCs/>
          </w:rPr>
          <w:t xml:space="preserve">Comparable Estimates of Returns to Schooling Around the World</w:t>
        </w:r>
      </w:hyperlink>
      <w:r>
        <w:rPr>
          <w:b/>
          <w:bCs/>
        </w:rPr>
        <w:t xml:space="preserve">.</w:t>
      </w:r>
      <w:r>
        <w:rPr>
          <w:b/>
          <w:bCs/>
        </w:rPr>
        <w:t xml:space="preserve"> </w:t>
      </w:r>
      <w:r>
        <w:rPr>
          <w:b/>
          <w:bCs/>
          <w:i/>
          <w:iCs/>
        </w:rPr>
        <w:t xml:space="preserve">World Bank Policy Research Working Paper</w:t>
      </w:r>
      <w:r>
        <w:rPr>
          <w:b/>
          <w:bCs/>
        </w:rPr>
        <w:t xml:space="preserve">, n. 7020.</w:t>
      </w:r>
    </w:p>
    <w:p>
      <w:pPr>
        <w:pStyle w:val="BlockText"/>
      </w:pPr>
      <w:r>
        <w:rPr>
          <w:b/>
          <w:bCs/>
        </w:rPr>
        <w:t xml:space="preserve">Pergunta central:</w:t>
      </w:r>
      <w:r>
        <w:t xml:space="preserve"> </w:t>
      </w:r>
      <w:r>
        <w:t xml:space="preserve">Qual é o retorno da educação em diferentes países e regiões? Os retornos variam por nível de ensino, gênero e ao longo do tempo?</w:t>
      </w:r>
    </w:p>
    <w:p>
      <w:pPr>
        <w:pStyle w:val="BlockText"/>
      </w:pPr>
      <w:r>
        <w:rPr>
          <w:b/>
          <w:bCs/>
        </w:rPr>
        <w:t xml:space="preserve">Método:</w:t>
      </w:r>
      <w:r>
        <w:t xml:space="preserve"> </w:t>
      </w:r>
      <w:r>
        <w:t xml:space="preserve">Os autores compilaram estimativas comparáveis de equações de Mincer para 139 países, utilizando dados harmonizados de pesquisas domiciliares de 1970 a 2013 (mais de 800 pesquisas). Estimaram retornos à escolaridade por nível de ensino (primário, secundário, terciário), gênero e região, controlando para experiência e seleção amostral (correção de Heckman).</w:t>
      </w:r>
    </w:p>
    <w:p>
      <w:pPr>
        <w:pStyle w:val="BlockText"/>
      </w:pPr>
      <w:r>
        <w:rPr>
          <w:b/>
          <w:bCs/>
        </w:rPr>
        <w:t xml:space="preserve">Resultado principal:</w:t>
      </w:r>
      <w:r>
        <w:t xml:space="preserve"> </w:t>
      </w:r>
      <w:r>
        <w:t xml:space="preserve">O retorno médio global por ano adicional de escolaridade é de</w:t>
      </w:r>
      <w:r>
        <w:t xml:space="preserve"> </w:t>
      </w:r>
      <w:r>
        <w:rPr>
          <w:b/>
          <w:bCs/>
        </w:rPr>
        <w:t xml:space="preserve">10%</w:t>
      </w:r>
      <w:r>
        <w:t xml:space="preserve">, mas com grande variação regional. América Latina e África Subsaariana apresentam os retornos mais altos (12–14%), enquanto países da OCDE têm retornos menores (7–8%). O retorno ao ensino superior é o mais elevado em todas as regiões e cresceu ao longo do tempo, refletindo o aumento da demanda por mão de obra qualificada. Os retornos são geralmente maiores para mulheres do que para homens — sugerindo que o investimento em educação feminina é particularmente rentável. Para o Brasil, os retornos estimados são de aproximadamente</w:t>
      </w:r>
      <w:r>
        <w:t xml:space="preserve"> </w:t>
      </w:r>
      <w:r>
        <w:rPr>
          <w:b/>
          <w:bCs/>
        </w:rPr>
        <w:t xml:space="preserve">12% por ano</w:t>
      </w:r>
      <w:r>
        <w:t xml:space="preserve"> </w:t>
      </w:r>
      <w:r>
        <w:t xml:space="preserve">de escolaridade, entre os mais altos do mundo, consistentes com a elevada desigualdade educacional e a escassez relativa de trabalhadores qualificados.</w:t>
      </w:r>
    </w:p>
    <w:p>
      <w:pPr>
        <w:pStyle w:val="BlockText"/>
      </w:pPr>
      <w:r>
        <w:rPr>
          <w:b/>
          <w:bCs/>
        </w:rPr>
        <w:t xml:space="preserve">Por que isso importa:</w:t>
      </w:r>
      <w:r>
        <w:t xml:space="preserve"> </w:t>
      </w:r>
      <w:r>
        <w:t xml:space="preserve">O estudo é a referência mais abrangente para comparações internacionais de retornos à educação. Confirma a previsão da teoria do capital humano (seção 17.6) de que a educação é um investimento rentável, especialmente em países com grande desigualdade educacional. Os altos retornos no Brasil sugerem que a expansão do acesso à educação de qualidade é uma das políticas mais eficazes para reduzir a desigualdade salarial.</w:t>
      </w:r>
    </w:p>
    <w:p>
      <w:pPr>
        <w:pStyle w:val="BlockText"/>
      </w:pPr>
      <w:r>
        <w:rPr>
          <w:b/>
          <w:bCs/>
        </w:rPr>
        <w:t xml:space="preserve">Relevância para o capítulo:</w:t>
      </w:r>
      <w:r>
        <w:t xml:space="preserve"> </w:t>
      </w:r>
      <w:r>
        <w:t xml:space="preserve">Fornece a base empírica para a equação de Mincer (equação Eq. (eq:17.13)) e para os exercícios sobre retornos à educação (Exercício 17.7, Exercício Resolvido 17.3). Os dados comparativos permitem situar o Brasil no contexto internacional dos retornos à educação.</w:t>
      </w:r>
    </w:p>
    <w:p>
      <w:r>
        <w:pict>
          <v:rect style="width:0;height:1.5pt" o:hralign="center" o:hrstd="t" o:hr="t"/>
        </w:pict>
      </w:r>
    </w:p>
    <w:bookmarkEnd w:id="1115"/>
    <w:bookmarkStart w:id="1125" w:name="referências-do-capítulo-18"/>
    <w:p>
      <w:pPr>
        <w:pStyle w:val="Heading3"/>
      </w:pPr>
      <w:r>
        <w:t xml:space="preserve">Referências do Capítulo</w:t>
      </w:r>
    </w:p>
    <w:p>
      <w:pPr>
        <w:pStyle w:val="Compact"/>
        <w:numPr>
          <w:ilvl w:val="0"/>
          <w:numId w:val="1984"/>
        </w:numPr>
      </w:pPr>
      <w:r>
        <w:t xml:space="preserve">Arrow, Kenneth J. 1973.</w:t>
      </w:r>
      <w:r>
        <w:t xml:space="preserve"> </w:t>
      </w:r>
      <w:r>
        <w:t xml:space="preserve">“The Theory of Discrimination.”</w:t>
      </w:r>
      <w:r>
        <w:t xml:space="preserve"> </w:t>
      </w:r>
      <w:r>
        <w:t xml:space="preserve">In:</w:t>
      </w:r>
      <w:r>
        <w:t xml:space="preserve"> </w:t>
      </w:r>
      <w:r>
        <w:rPr>
          <w:i/>
          <w:iCs/>
        </w:rPr>
        <w:t xml:space="preserve">Discrimination in Labor Markets</w:t>
      </w:r>
      <w:r>
        <w:t xml:space="preserve">, editado por O. Ashenfelter e A. Rees. Princeton University Press.</w:t>
      </w:r>
    </w:p>
    <w:p>
      <w:pPr>
        <w:pStyle w:val="Compact"/>
        <w:numPr>
          <w:ilvl w:val="0"/>
          <w:numId w:val="1984"/>
        </w:numPr>
      </w:pPr>
      <w:r>
        <w:t xml:space="preserve">Azar, José, Ioana Marinescu, e Marshall Steinbaum. 2022.</w:t>
      </w:r>
      <w:r>
        <w:t xml:space="preserve"> </w:t>
      </w:r>
      <w:r>
        <w:t xml:space="preserve">“</w:t>
      </w:r>
      <w:hyperlink r:id="rId1113">
        <w:r>
          <w:rPr>
            <w:rStyle w:val="Hyperlink"/>
          </w:rPr>
          <w:t xml:space="preserve">Labor Market Concentration</w:t>
        </w:r>
      </w:hyperlink>
      <w:r>
        <w:t xml:space="preserve">.”</w:t>
      </w:r>
      <w:r>
        <w:t xml:space="preserve"> </w:t>
      </w:r>
      <w:r>
        <w:rPr>
          <w:i/>
          <w:iCs/>
        </w:rPr>
        <w:t xml:space="preserve">Journal of Human Resources</w:t>
      </w:r>
      <w:r>
        <w:t xml:space="preserve"> </w:t>
      </w:r>
      <w:r>
        <w:t xml:space="preserve">57 (S): S167–S199.</w:t>
      </w:r>
    </w:p>
    <w:p>
      <w:pPr>
        <w:pStyle w:val="Compact"/>
        <w:numPr>
          <w:ilvl w:val="0"/>
          <w:numId w:val="1984"/>
        </w:numPr>
      </w:pPr>
      <w:r>
        <w:t xml:space="preserve">Becker, Gary S. 1957.</w:t>
      </w:r>
      <w:r>
        <w:t xml:space="preserve"> </w:t>
      </w:r>
      <w:hyperlink r:id="rId1116">
        <w:r>
          <w:rPr>
            <w:rStyle w:val="Hyperlink"/>
            <w:i/>
            <w:iCs/>
          </w:rPr>
          <w:t xml:space="preserve">The Economics of Discrimination</w:t>
        </w:r>
      </w:hyperlink>
      <w:r>
        <w:t xml:space="preserve">. Chicago: University of Chicago Press.</w:t>
      </w:r>
    </w:p>
    <w:p>
      <w:pPr>
        <w:pStyle w:val="Compact"/>
        <w:numPr>
          <w:ilvl w:val="0"/>
          <w:numId w:val="1984"/>
        </w:numPr>
      </w:pPr>
      <w:r>
        <w:t xml:space="preserve">Becker, Gary S. 1964.</w:t>
      </w:r>
      <w:r>
        <w:t xml:space="preserve"> </w:t>
      </w:r>
      <w:hyperlink r:id="rId1117">
        <w:r>
          <w:rPr>
            <w:rStyle w:val="Hyperlink"/>
            <w:i/>
            <w:iCs/>
          </w:rPr>
          <w:t xml:space="preserve">Human Capital</w:t>
        </w:r>
      </w:hyperlink>
      <w:r>
        <w:t xml:space="preserve">. New York: Columbia University Press.</w:t>
      </w:r>
    </w:p>
    <w:p>
      <w:pPr>
        <w:pStyle w:val="Compact"/>
        <w:numPr>
          <w:ilvl w:val="0"/>
          <w:numId w:val="1984"/>
        </w:numPr>
      </w:pPr>
      <w:r>
        <w:t xml:space="preserve">Blinder, Alan S. 1973.</w:t>
      </w:r>
      <w:r>
        <w:t xml:space="preserve"> </w:t>
      </w:r>
      <w:r>
        <w:t xml:space="preserve">“</w:t>
      </w:r>
      <w:hyperlink r:id="rId1118">
        <w:r>
          <w:rPr>
            <w:rStyle w:val="Hyperlink"/>
          </w:rPr>
          <w:t xml:space="preserve">Wage Discrimination: Reduced Form and Structural Estimates</w:t>
        </w:r>
      </w:hyperlink>
      <w:r>
        <w:t xml:space="preserve">.”</w:t>
      </w:r>
      <w:r>
        <w:t xml:space="preserve"> </w:t>
      </w:r>
      <w:r>
        <w:rPr>
          <w:i/>
          <w:iCs/>
        </w:rPr>
        <w:t xml:space="preserve">Journal of Human Resources</w:t>
      </w:r>
      <w:r>
        <w:t xml:space="preserve"> </w:t>
      </w:r>
      <w:r>
        <w:t xml:space="preserve">8 (4): 436–455.</w:t>
      </w:r>
    </w:p>
    <w:p>
      <w:pPr>
        <w:pStyle w:val="Compact"/>
        <w:numPr>
          <w:ilvl w:val="0"/>
          <w:numId w:val="1984"/>
        </w:numPr>
      </w:pPr>
      <w:r>
        <w:t xml:space="preserve">Card, David, e Alan B. Krueger. 1994.</w:t>
      </w:r>
      <w:r>
        <w:t xml:space="preserve"> </w:t>
      </w:r>
      <w:r>
        <w:t xml:space="preserve">“</w:t>
      </w:r>
      <w:hyperlink r:id="rId1112">
        <w:r>
          <w:rPr>
            <w:rStyle w:val="Hyperlink"/>
          </w:rPr>
          <w:t xml:space="preserve">Minimum Wages and Employment: A Case Study of the Fast-Food Industry in New Jersey and Pennsylvania</w:t>
        </w:r>
      </w:hyperlink>
      <w:r>
        <w:t xml:space="preserve">.”</w:t>
      </w:r>
      <w:r>
        <w:t xml:space="preserve"> </w:t>
      </w:r>
      <w:r>
        <w:rPr>
          <w:i/>
          <w:iCs/>
        </w:rPr>
        <w:t xml:space="preserve">American Economic Review</w:t>
      </w:r>
      <w:r>
        <w:t xml:space="preserve"> </w:t>
      </w:r>
      <w:r>
        <w:t xml:space="preserve">84 (4): 772–793.</w:t>
      </w:r>
    </w:p>
    <w:p>
      <w:pPr>
        <w:pStyle w:val="Compact"/>
        <w:numPr>
          <w:ilvl w:val="0"/>
          <w:numId w:val="1984"/>
        </w:numPr>
      </w:pPr>
      <w:r>
        <w:t xml:space="preserve">Corseuil, C. H., e F. G. Carneiro. 2001.</w:t>
      </w:r>
      <w:r>
        <w:t xml:space="preserve"> </w:t>
      </w:r>
      <w:r>
        <w:t xml:space="preserve">“</w:t>
      </w:r>
      <w:hyperlink r:id="rId214">
        <w:r>
          <w:rPr>
            <w:rStyle w:val="Hyperlink"/>
          </w:rPr>
          <w:t xml:space="preserve">Os Impactos do Salário Mínimo sobre Emprego e Salários no Brasil</w:t>
        </w:r>
      </w:hyperlink>
      <w:r>
        <w:t xml:space="preserve">.”</w:t>
      </w:r>
      <w:r>
        <w:t xml:space="preserve"> </w:t>
      </w:r>
      <w:r>
        <w:rPr>
          <w:i/>
          <w:iCs/>
        </w:rPr>
        <w:t xml:space="preserve">Pesquisa e Planejamento Econômico</w:t>
      </w:r>
      <w:r>
        <w:t xml:space="preserve"> </w:t>
      </w:r>
      <w:r>
        <w:t xml:space="preserve">31 (3).</w:t>
      </w:r>
    </w:p>
    <w:p>
      <w:pPr>
        <w:pStyle w:val="Compact"/>
        <w:numPr>
          <w:ilvl w:val="0"/>
          <w:numId w:val="1984"/>
        </w:numPr>
      </w:pPr>
      <w:r>
        <w:t xml:space="preserve">Engbom, Niklas, e Christian Moser. 2022.</w:t>
      </w:r>
      <w:r>
        <w:t xml:space="preserve"> </w:t>
      </w:r>
      <w:r>
        <w:t xml:space="preserve">“</w:t>
      </w:r>
      <w:hyperlink r:id="rId1095">
        <w:r>
          <w:rPr>
            <w:rStyle w:val="Hyperlink"/>
          </w:rPr>
          <w:t xml:space="preserve">Earnings Inequality and the Minimum Wage: Evidence from Brazil</w:t>
        </w:r>
      </w:hyperlink>
      <w:r>
        <w:t xml:space="preserve">.”</w:t>
      </w:r>
      <w:r>
        <w:t xml:space="preserve"> </w:t>
      </w:r>
      <w:r>
        <w:rPr>
          <w:i/>
          <w:iCs/>
        </w:rPr>
        <w:t xml:space="preserve">American Economic Review</w:t>
      </w:r>
      <w:r>
        <w:t xml:space="preserve"> </w:t>
      </w:r>
      <w:r>
        <w:t xml:space="preserve">112 (12): 3803–3847.</w:t>
      </w:r>
    </w:p>
    <w:p>
      <w:pPr>
        <w:pStyle w:val="Compact"/>
        <w:numPr>
          <w:ilvl w:val="0"/>
          <w:numId w:val="1984"/>
        </w:numPr>
      </w:pPr>
      <w:r>
        <w:t xml:space="preserve">Farber, Henry S., Daniel Herbst, Ilyana Kuziemko, e Suresh Naidu. 2021.</w:t>
      </w:r>
      <w:r>
        <w:t xml:space="preserve"> </w:t>
      </w:r>
      <w:r>
        <w:t xml:space="preserve">“</w:t>
      </w:r>
      <w:hyperlink r:id="rId1119">
        <w:r>
          <w:rPr>
            <w:rStyle w:val="Hyperlink"/>
          </w:rPr>
          <w:t xml:space="preserve">Unions and Inequality over the Twentieth Century: New Evidence from Survey Data</w:t>
        </w:r>
      </w:hyperlink>
      <w:r>
        <w:t xml:space="preserve">.”</w:t>
      </w:r>
      <w:r>
        <w:t xml:space="preserve"> </w:t>
      </w:r>
      <w:r>
        <w:rPr>
          <w:i/>
          <w:iCs/>
        </w:rPr>
        <w:t xml:space="preserve">Quarterly Journal of Economics</w:t>
      </w:r>
      <w:r>
        <w:t xml:space="preserve"> </w:t>
      </w:r>
      <w:r>
        <w:t xml:space="preserve">136 (3): 1325–1385.</w:t>
      </w:r>
    </w:p>
    <w:p>
      <w:pPr>
        <w:pStyle w:val="Compact"/>
        <w:numPr>
          <w:ilvl w:val="0"/>
          <w:numId w:val="1984"/>
        </w:numPr>
      </w:pPr>
      <w:r>
        <w:t xml:space="preserve">Karabarbounis, Loukas, e Brent Neiman. 2014.</w:t>
      </w:r>
      <w:r>
        <w:t xml:space="preserve"> </w:t>
      </w:r>
      <w:r>
        <w:t xml:space="preserve">“</w:t>
      </w:r>
      <w:hyperlink r:id="rId683">
        <w:r>
          <w:rPr>
            <w:rStyle w:val="Hyperlink"/>
          </w:rPr>
          <w:t xml:space="preserve">The Global Decline of the Labor Share</w:t>
        </w:r>
      </w:hyperlink>
      <w:r>
        <w:t xml:space="preserve">.”</w:t>
      </w:r>
      <w:r>
        <w:t xml:space="preserve"> </w:t>
      </w:r>
      <w:r>
        <w:rPr>
          <w:i/>
          <w:iCs/>
        </w:rPr>
        <w:t xml:space="preserve">Quarterly Journal of Economics</w:t>
      </w:r>
      <w:r>
        <w:t xml:space="preserve"> </w:t>
      </w:r>
      <w:r>
        <w:t xml:space="preserve">129 (1): 61–103.</w:t>
      </w:r>
    </w:p>
    <w:p>
      <w:pPr>
        <w:pStyle w:val="Compact"/>
        <w:numPr>
          <w:ilvl w:val="0"/>
          <w:numId w:val="1984"/>
        </w:numPr>
      </w:pPr>
      <w:r>
        <w:t xml:space="preserve">Lemos, Sara. 2009.</w:t>
      </w:r>
      <w:r>
        <w:t xml:space="preserve"> </w:t>
      </w:r>
      <w:r>
        <w:t xml:space="preserve">“</w:t>
      </w:r>
      <w:hyperlink r:id="rId1120">
        <w:r>
          <w:rPr>
            <w:rStyle w:val="Hyperlink"/>
          </w:rPr>
          <w:t xml:space="preserve">Minimum Wage Effects in a Developing Country</w:t>
        </w:r>
      </w:hyperlink>
      <w:r>
        <w:t xml:space="preserve">.”</w:t>
      </w:r>
      <w:r>
        <w:t xml:space="preserve"> </w:t>
      </w:r>
      <w:r>
        <w:rPr>
          <w:i/>
          <w:iCs/>
        </w:rPr>
        <w:t xml:space="preserve">Labour Economics</w:t>
      </w:r>
      <w:r>
        <w:t xml:space="preserve"> </w:t>
      </w:r>
      <w:r>
        <w:t xml:space="preserve">16 (2): 224–237.</w:t>
      </w:r>
    </w:p>
    <w:p>
      <w:pPr>
        <w:pStyle w:val="Compact"/>
        <w:numPr>
          <w:ilvl w:val="0"/>
          <w:numId w:val="1984"/>
        </w:numPr>
      </w:pPr>
      <w:r>
        <w:t xml:space="preserve">Manning, Alan. 2003.</w:t>
      </w:r>
      <w:r>
        <w:t xml:space="preserve"> </w:t>
      </w:r>
      <w:r>
        <w:rPr>
          <w:i/>
          <w:iCs/>
        </w:rPr>
        <w:t xml:space="preserve">Monopsony in Motion: Imperfect Competition in Labor Markets</w:t>
      </w:r>
      <w:r>
        <w:t xml:space="preserve">. Princeton: Princeton University Press.</w:t>
      </w:r>
    </w:p>
    <w:p>
      <w:pPr>
        <w:pStyle w:val="Compact"/>
        <w:numPr>
          <w:ilvl w:val="0"/>
          <w:numId w:val="1984"/>
        </w:numPr>
      </w:pPr>
      <w:r>
        <w:t xml:space="preserve">McDonald, Ian M., e Robert M. Solow. 1981.</w:t>
      </w:r>
      <w:r>
        <w:t xml:space="preserve"> </w:t>
      </w:r>
      <w:r>
        <w:t xml:space="preserve">“</w:t>
      </w:r>
      <w:hyperlink r:id="rId1121">
        <w:r>
          <w:rPr>
            <w:rStyle w:val="Hyperlink"/>
          </w:rPr>
          <w:t xml:space="preserve">Wage Bargaining and Employment</w:t>
        </w:r>
      </w:hyperlink>
      <w:r>
        <w:t xml:space="preserve">.”</w:t>
      </w:r>
      <w:r>
        <w:t xml:space="preserve"> </w:t>
      </w:r>
      <w:r>
        <w:rPr>
          <w:i/>
          <w:iCs/>
        </w:rPr>
        <w:t xml:space="preserve">American Economic Review</w:t>
      </w:r>
      <w:r>
        <w:t xml:space="preserve"> </w:t>
      </w:r>
      <w:r>
        <w:t xml:space="preserve">71 (5): 896–908.</w:t>
      </w:r>
    </w:p>
    <w:p>
      <w:pPr>
        <w:pStyle w:val="Compact"/>
        <w:numPr>
          <w:ilvl w:val="0"/>
          <w:numId w:val="1984"/>
        </w:numPr>
      </w:pPr>
      <w:r>
        <w:t xml:space="preserve">Meghir, C., R. Narita, e J.-M. Robin. 2015.</w:t>
      </w:r>
      <w:r>
        <w:t xml:space="preserve"> </w:t>
      </w:r>
      <w:r>
        <w:t xml:space="preserve">“</w:t>
      </w:r>
      <w:hyperlink r:id="rId1111">
        <w:r>
          <w:rPr>
            <w:rStyle w:val="Hyperlink"/>
          </w:rPr>
          <w:t xml:space="preserve">Wages and Informality in Developing Countries</w:t>
        </w:r>
      </w:hyperlink>
      <w:r>
        <w:t xml:space="preserve">.”</w:t>
      </w:r>
      <w:r>
        <w:t xml:space="preserve"> </w:t>
      </w:r>
      <w:r>
        <w:rPr>
          <w:i/>
          <w:iCs/>
        </w:rPr>
        <w:t xml:space="preserve">American Economic Review</w:t>
      </w:r>
      <w:r>
        <w:t xml:space="preserve"> </w:t>
      </w:r>
      <w:r>
        <w:t xml:space="preserve">105 (4): 1509–1546.</w:t>
      </w:r>
    </w:p>
    <w:p>
      <w:pPr>
        <w:pStyle w:val="Compact"/>
        <w:numPr>
          <w:ilvl w:val="0"/>
          <w:numId w:val="1984"/>
        </w:numPr>
      </w:pPr>
      <w:r>
        <w:t xml:space="preserve">Montenegro, Claudio E., e Harry A. Patrinos. 2014.</w:t>
      </w:r>
      <w:r>
        <w:t xml:space="preserve"> </w:t>
      </w:r>
      <w:r>
        <w:t xml:space="preserve">“</w:t>
      </w:r>
      <w:hyperlink r:id="rId1114">
        <w:r>
          <w:rPr>
            <w:rStyle w:val="Hyperlink"/>
          </w:rPr>
          <w:t xml:space="preserve">Comparable Estimates of Returns to Schooling Around the World</w:t>
        </w:r>
      </w:hyperlink>
      <w:r>
        <w:t xml:space="preserve">.”</w:t>
      </w:r>
      <w:r>
        <w:t xml:space="preserve"> </w:t>
      </w:r>
      <w:r>
        <w:rPr>
          <w:i/>
          <w:iCs/>
        </w:rPr>
        <w:t xml:space="preserve">World Bank Policy Research Working Paper</w:t>
      </w:r>
      <w:r>
        <w:t xml:space="preserve">, n. 7020.</w:t>
      </w:r>
    </w:p>
    <w:p>
      <w:pPr>
        <w:pStyle w:val="Compact"/>
        <w:numPr>
          <w:ilvl w:val="0"/>
          <w:numId w:val="1984"/>
        </w:numPr>
      </w:pPr>
      <w:r>
        <w:t xml:space="preserve">Neri, M., G. Gonzaga, e J. M. Camargo. 2001.</w:t>
      </w:r>
      <w:r>
        <w:t xml:space="preserve"> </w:t>
      </w:r>
      <w:r>
        <w:t xml:space="preserve">“</w:t>
      </w:r>
      <w:hyperlink r:id="rId214">
        <w:r>
          <w:rPr>
            <w:rStyle w:val="Hyperlink"/>
          </w:rPr>
          <w:t xml:space="preserve">Efeitos Informais do Salário Mínimo e Pobreza</w:t>
        </w:r>
      </w:hyperlink>
      <w:r>
        <w:t xml:space="preserve">.”</w:t>
      </w:r>
      <w:r>
        <w:t xml:space="preserve"> </w:t>
      </w:r>
      <w:r>
        <w:rPr>
          <w:i/>
          <w:iCs/>
        </w:rPr>
        <w:t xml:space="preserve">Texto para Discussão</w:t>
      </w:r>
      <w:r>
        <w:t xml:space="preserve">, IPEA.</w:t>
      </w:r>
    </w:p>
    <w:p>
      <w:pPr>
        <w:pStyle w:val="Compact"/>
        <w:numPr>
          <w:ilvl w:val="0"/>
          <w:numId w:val="1984"/>
        </w:numPr>
      </w:pPr>
      <w:r>
        <w:t xml:space="preserve">Oaxaca, Ronald. 1973.</w:t>
      </w:r>
      <w:r>
        <w:t xml:space="preserve"> </w:t>
      </w:r>
      <w:r>
        <w:t xml:space="preserve">“</w:t>
      </w:r>
      <w:hyperlink r:id="rId1122">
        <w:r>
          <w:rPr>
            <w:rStyle w:val="Hyperlink"/>
          </w:rPr>
          <w:t xml:space="preserve">Male-Female Wage Differentials in Urban Labor Markets</w:t>
        </w:r>
      </w:hyperlink>
      <w:r>
        <w:t xml:space="preserve">.”</w:t>
      </w:r>
      <w:r>
        <w:t xml:space="preserve"> </w:t>
      </w:r>
      <w:r>
        <w:rPr>
          <w:i/>
          <w:iCs/>
        </w:rPr>
        <w:t xml:space="preserve">International Economic Review</w:t>
      </w:r>
      <w:r>
        <w:t xml:space="preserve"> </w:t>
      </w:r>
      <w:r>
        <w:t xml:space="preserve">14 (3): 693–709.</w:t>
      </w:r>
    </w:p>
    <w:p>
      <w:pPr>
        <w:pStyle w:val="Compact"/>
        <w:numPr>
          <w:ilvl w:val="0"/>
          <w:numId w:val="1984"/>
        </w:numPr>
      </w:pPr>
      <w:r>
        <w:t xml:space="preserve">Phelps, Edmund S. 1972.</w:t>
      </w:r>
      <w:r>
        <w:t xml:space="preserve"> </w:t>
      </w:r>
      <w:r>
        <w:t xml:space="preserve">“</w:t>
      </w:r>
      <w:hyperlink r:id="rId1123">
        <w:r>
          <w:rPr>
            <w:rStyle w:val="Hyperlink"/>
          </w:rPr>
          <w:t xml:space="preserve">The Statistical Theory of Racism and Sexism</w:t>
        </w:r>
      </w:hyperlink>
      <w:r>
        <w:t xml:space="preserve">.”</w:t>
      </w:r>
      <w:r>
        <w:t xml:space="preserve"> </w:t>
      </w:r>
      <w:r>
        <w:rPr>
          <w:i/>
          <w:iCs/>
        </w:rPr>
        <w:t xml:space="preserve">American Economic Review</w:t>
      </w:r>
      <w:r>
        <w:t xml:space="preserve"> </w:t>
      </w:r>
      <w:r>
        <w:t xml:space="preserve">62 (4): 659–661.</w:t>
      </w:r>
    </w:p>
    <w:p>
      <w:pPr>
        <w:pStyle w:val="Compact"/>
        <w:numPr>
          <w:ilvl w:val="0"/>
          <w:numId w:val="1984"/>
        </w:numPr>
      </w:pPr>
      <w:r>
        <w:t xml:space="preserve">Ricardo, David. 1817.</w:t>
      </w:r>
      <w:r>
        <w:t xml:space="preserve"> </w:t>
      </w:r>
      <w:r>
        <w:rPr>
          <w:i/>
          <w:iCs/>
        </w:rPr>
        <w:t xml:space="preserve">On the Principles of Political Economy and Taxation</w:t>
      </w:r>
      <w:r>
        <w:t xml:space="preserve">. London: John Murray.</w:t>
      </w:r>
    </w:p>
    <w:p>
      <w:pPr>
        <w:pStyle w:val="Compact"/>
        <w:numPr>
          <w:ilvl w:val="0"/>
          <w:numId w:val="1984"/>
        </w:numPr>
      </w:pPr>
      <w:r>
        <w:t xml:space="preserve">Saboia, J. 2007.</w:t>
      </w:r>
      <w:r>
        <w:t xml:space="preserve"> </w:t>
      </w:r>
      <w:r>
        <w:t xml:space="preserve">“</w:t>
      </w:r>
      <w:hyperlink r:id="rId214">
        <w:r>
          <w:rPr>
            <w:rStyle w:val="Hyperlink"/>
          </w:rPr>
          <w:t xml:space="preserve">O Salário Mínimo e seu Potencial para a Melhoria da Distribuição de Renda no Brasil</w:t>
        </w:r>
      </w:hyperlink>
      <w:r>
        <w:t xml:space="preserve">.”</w:t>
      </w:r>
      <w:r>
        <w:t xml:space="preserve"> </w:t>
      </w:r>
      <w:r>
        <w:t xml:space="preserve">In:</w:t>
      </w:r>
      <w:r>
        <w:t xml:space="preserve"> </w:t>
      </w:r>
      <w:r>
        <w:rPr>
          <w:i/>
          <w:iCs/>
        </w:rPr>
        <w:t xml:space="preserve">Desigualdade de Renda no Brasil</w:t>
      </w:r>
      <w:r>
        <w:t xml:space="preserve">. IPEA.</w:t>
      </w:r>
    </w:p>
    <w:p>
      <w:pPr>
        <w:pStyle w:val="Compact"/>
        <w:numPr>
          <w:ilvl w:val="0"/>
          <w:numId w:val="1984"/>
        </w:numPr>
      </w:pPr>
      <w:r>
        <w:t xml:space="preserve">Schultz, Theodore W. 1961.</w:t>
      </w:r>
      <w:r>
        <w:t xml:space="preserve"> </w:t>
      </w:r>
      <w:r>
        <w:t xml:space="preserve">“</w:t>
      </w:r>
      <w:hyperlink r:id="rId1124">
        <w:r>
          <w:rPr>
            <w:rStyle w:val="Hyperlink"/>
          </w:rPr>
          <w:t xml:space="preserve">Investment in Human Capital</w:t>
        </w:r>
      </w:hyperlink>
      <w:r>
        <w:t xml:space="preserve">.”</w:t>
      </w:r>
      <w:r>
        <w:t xml:space="preserve"> </w:t>
      </w:r>
      <w:r>
        <w:rPr>
          <w:i/>
          <w:iCs/>
        </w:rPr>
        <w:t xml:space="preserve">American Economic Review</w:t>
      </w:r>
      <w:r>
        <w:t xml:space="preserve"> </w:t>
      </w:r>
      <w:r>
        <w:t xml:space="preserve">51 (1): 1–17.</w:t>
      </w:r>
    </w:p>
    <w:bookmarkEnd w:id="1125"/>
    <w:bookmarkEnd w:id="1126"/>
    <w:bookmarkEnd w:id="1127"/>
    <w:bookmarkStart w:id="1183" w:name="capítulo-18-a-paciência-tem-preço"/>
    <w:p>
      <w:pPr>
        <w:sectPr>
          <w:footnotePr>
            <w:numRestart w:val="eachSect"/>
          </w:footnotePr>
        </w:sectPr>
      </w:pPr>
    </w:p>
    <w:p>
      <w:pPr>
        <w:pStyle w:val="Heading1"/>
      </w:pPr>
      <w:r>
        <w:t xml:space="preserve">Capítulo 18 — A Paciência Tem Preço</w:t>
      </w:r>
    </w:p>
    <w:p>
      <w:pPr>
        <w:pStyle w:val="FirstParagraph"/>
      </w:pPr>
      <w:r>
        <w:t xml:space="preserve">Você já parcelou uma compra e sentiu aquele aperto ao ver o total com juros? Ou deixou dinheiro na poupança</w:t>
      </w:r>
      <w:r>
        <w:t xml:space="preserve"> </w:t>
      </w:r>
      <w:r>
        <w:t xml:space="preserve">“para o futuro”</w:t>
      </w:r>
      <w:r>
        <w:t xml:space="preserve"> </w:t>
      </w:r>
      <w:r>
        <w:t xml:space="preserve">sem saber exatamente quando esse futuro chegaria? Parabéns: você já fez economia intertemporal — só faltava o jargão. A verdade é que a economia não se resume a decisões instantâneas. Agentes econômicos constantemente fazem escolhas que envolvem o</w:t>
      </w:r>
      <w:r>
        <w:t xml:space="preserve"> </w:t>
      </w:r>
      <w:r>
        <w:rPr>
          <w:b/>
          <w:bCs/>
        </w:rPr>
        <w:t xml:space="preserve">tempo</w:t>
      </w:r>
      <w:r>
        <w:t xml:space="preserve">: poupar hoje para consumir amanhã, investir em uma fábrica cujos retornos virão ao longo de anos, extrair um recurso natural agora ou preservá-lo para o futuro. Neste capítulo, estudamos a teoria do capital e dos juros, que fornece o arcabouço analítico para compreender essas decisões — e para entender por que, no Brasil, a paciência custa particularmente caro.</w:t>
      </w:r>
      <w:r>
        <w:rPr>
          <w:rStyle w:val="FootnoteReference"/>
        </w:rPr>
        <w:footnoteReference w:id="1128"/>
      </w:r>
    </w:p>
    <w:p>
      <w:pPr>
        <w:pStyle w:val="BodyText"/>
      </w:pPr>
      <w:r>
        <w:rPr>
          <w:b/>
          <w:bCs/>
        </w:rPr>
        <w:t xml:space="preserve">Conexões com outros capítulos.</w:t>
      </w:r>
      <w:r>
        <w:t xml:space="preserve"> </w:t>
      </w:r>
      <w:r>
        <w:t xml:space="preserve">O leitor que estudou o Capítulo 3 (preferências e utilidade) reconhecerá aqui a mesma lógica de otimização sob restrição — agora aplicada a consumo em diferentes períodos de tempo. O Capítulo 7 (incerteza) fornece a base para a precificação de ativos arriscados e o fator de desconto estocástico. O Capítulo 8 (economia comportamental) introduziu o desconto hiperbólico e a inconsistência temporal, que contrastam com o desconto exponencial do modelo de Fisher. Os capítulos de equilíbrio geral (14–15) estenderam a análise para múltiplos mercados simultâneos; aqui, focamos na dimensão temporal dessa interação. Finalmente, o Capítulo 17 (mercados de fatores) analisou a remuneração do trabalho e da terra — este capítulo completa a análise dos mercados de fatores examinando a remuneração do capital.</w:t>
      </w:r>
    </w:p>
    <w:p>
      <w:r>
        <w:pict>
          <v:rect style="width:0;height:1.5pt" o:hralign="center" o:hrstd="t" o:hr="t"/>
        </w:pict>
      </w:r>
    </w:p>
    <w:bookmarkStart w:id="1129" w:name="roteiro-do-capítulo-11"/>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18.1</w:t>
            </w:r>
          </w:p>
        </w:tc>
        <w:tc>
          <w:tcPr/>
          <w:p>
            <w:pPr>
              <w:pStyle w:val="Compact"/>
            </w:pPr>
            <w:r>
              <w:t xml:space="preserve">De onde vêm as máquinas — e quanto rendem?</w:t>
            </w:r>
          </w:p>
        </w:tc>
        <w:tc>
          <w:tcPr/>
          <w:p>
            <w:pPr>
              <w:pStyle w:val="Compact"/>
            </w:pPr>
            <w:r>
              <w:t xml:space="preserve">Capital físico, taxa de retorno</w:t>
            </w:r>
          </w:p>
        </w:tc>
        <w:tc>
          <w:tcPr/>
          <w:p>
            <w:pPr>
              <w:pStyle w:val="Compact"/>
              <w:jc w:val="center"/>
            </w:pPr>
            <w:r>
              <w:t xml:space="preserve">Capital</w:t>
            </w:r>
          </w:p>
        </w:tc>
      </w:tr>
      <w:tr>
        <w:tc>
          <w:tcPr/>
          <w:p>
            <w:pPr>
              <w:pStyle w:val="Compact"/>
              <w:jc w:val="center"/>
            </w:pPr>
            <w:r>
              <w:t xml:space="preserve">18.2</w:t>
            </w:r>
          </w:p>
        </w:tc>
        <w:tc>
          <w:tcPr/>
          <w:p>
            <w:pPr>
              <w:pStyle w:val="Compact"/>
            </w:pPr>
            <w:r>
              <w:t xml:space="preserve">O que determina o preço da impaciência?</w:t>
            </w:r>
          </w:p>
        </w:tc>
        <w:tc>
          <w:tcPr/>
          <w:p>
            <w:pPr>
              <w:pStyle w:val="Compact"/>
            </w:pPr>
            <w:r>
              <w:t xml:space="preserve">Determinação da taxa de juros</w:t>
            </w:r>
          </w:p>
        </w:tc>
        <w:tc>
          <w:tcPr/>
          <w:p>
            <w:pPr>
              <w:pStyle w:val="Compact"/>
              <w:jc w:val="center"/>
            </w:pPr>
            <w:r>
              <w:t xml:space="preserve">Juros</w:t>
            </w:r>
          </w:p>
        </w:tc>
      </w:tr>
      <w:tr>
        <w:tc>
          <w:tcPr/>
          <w:p>
            <w:pPr>
              <w:pStyle w:val="Compact"/>
              <w:jc w:val="center"/>
            </w:pPr>
            <w:r>
              <w:t xml:space="preserve">18.3</w:t>
            </w:r>
          </w:p>
        </w:tc>
        <w:tc>
          <w:tcPr/>
          <w:p>
            <w:pPr>
              <w:pStyle w:val="Compact"/>
            </w:pPr>
            <w:r>
              <w:t xml:space="preserve">Gastar agora ou guardar para janeiro?</w:t>
            </w:r>
          </w:p>
        </w:tc>
        <w:tc>
          <w:tcPr/>
          <w:p>
            <w:pPr>
              <w:pStyle w:val="Compact"/>
            </w:pPr>
            <w:r>
              <w:t xml:space="preserve">Modelo de Fisher, escolha intertemporal</w:t>
            </w:r>
          </w:p>
        </w:tc>
        <w:tc>
          <w:tcPr/>
          <w:p>
            <w:pPr>
              <w:pStyle w:val="Compact"/>
              <w:jc w:val="center"/>
            </w:pPr>
            <w:r>
              <w:t xml:space="preserve">Fisher</w:t>
            </w:r>
          </w:p>
        </w:tc>
      </w:tr>
      <w:tr>
        <w:tc>
          <w:tcPr/>
          <w:p>
            <w:pPr>
              <w:pStyle w:val="Compact"/>
              <w:jc w:val="center"/>
            </w:pPr>
            <w:r>
              <w:t xml:space="preserve">18.4</w:t>
            </w:r>
          </w:p>
        </w:tc>
        <w:tc>
          <w:tcPr/>
          <w:p>
            <w:pPr>
              <w:pStyle w:val="Compact"/>
            </w:pPr>
            <w:r>
              <w:t xml:space="preserve">Qual é a diferença entre o juro que você vê e o que você sente?</w:t>
            </w:r>
          </w:p>
        </w:tc>
        <w:tc>
          <w:tcPr/>
          <w:p>
            <w:pPr>
              <w:pStyle w:val="Compact"/>
            </w:pPr>
            <w:r>
              <w:t xml:space="preserve">Juro nominal vs. real, efeito Fisher</w:t>
            </w:r>
          </w:p>
        </w:tc>
        <w:tc>
          <w:tcPr/>
          <w:p>
            <w:pPr>
              <w:pStyle w:val="Compact"/>
              <w:jc w:val="center"/>
            </w:pPr>
            <w:r>
              <w:t xml:space="preserve">Inflação</w:t>
            </w:r>
          </w:p>
        </w:tc>
      </w:tr>
      <w:tr>
        <w:tc>
          <w:tcPr/>
          <w:p>
            <w:pPr>
              <w:pStyle w:val="Compact"/>
              <w:jc w:val="center"/>
            </w:pPr>
            <w:r>
              <w:t xml:space="preserve">18.5</w:t>
            </w:r>
          </w:p>
        </w:tc>
        <w:tc>
          <w:tcPr/>
          <w:p>
            <w:pPr>
              <w:pStyle w:val="Compact"/>
            </w:pPr>
            <w:r>
              <w:t xml:space="preserve">Quanto vale uma promessa incerta de pagamento futuro?</w:t>
            </w:r>
          </w:p>
        </w:tc>
        <w:tc>
          <w:tcPr/>
          <w:p>
            <w:pPr>
              <w:pStyle w:val="Compact"/>
            </w:pPr>
            <w:r>
              <w:t xml:space="preserve">Precificação de ativos, valor presente</w:t>
            </w:r>
          </w:p>
        </w:tc>
        <w:tc>
          <w:tcPr/>
          <w:p>
            <w:pPr>
              <w:pStyle w:val="Compact"/>
              <w:jc w:val="center"/>
            </w:pPr>
            <w:r>
              <w:t xml:space="preserve">Ativos</w:t>
            </w:r>
          </w:p>
        </w:tc>
      </w:tr>
      <w:tr>
        <w:tc>
          <w:tcPr/>
          <w:p>
            <w:pPr>
              <w:pStyle w:val="Compact"/>
              <w:jc w:val="center"/>
            </w:pPr>
            <w:r>
              <w:t xml:space="preserve">18.6</w:t>
            </w:r>
          </w:p>
        </w:tc>
        <w:tc>
          <w:tcPr/>
          <w:p>
            <w:pPr>
              <w:pStyle w:val="Compact"/>
            </w:pPr>
            <w:r>
              <w:t xml:space="preserve">O forno novo compensa mais que o CDB?</w:t>
            </w:r>
          </w:p>
        </w:tc>
        <w:tc>
          <w:tcPr/>
          <w:p>
            <w:pPr>
              <w:pStyle w:val="Compact"/>
            </w:pPr>
            <w:r>
              <w:t xml:space="preserve">Valor presente líquido (VPL)</w:t>
            </w:r>
          </w:p>
        </w:tc>
        <w:tc>
          <w:tcPr/>
          <w:p>
            <w:pPr>
              <w:pStyle w:val="Compact"/>
              <w:jc w:val="center"/>
            </w:pPr>
            <w:r>
              <w:t xml:space="preserve">VPL</w:t>
            </w:r>
          </w:p>
        </w:tc>
      </w:tr>
      <w:tr>
        <w:tc>
          <w:tcPr/>
          <w:p>
            <w:pPr>
              <w:pStyle w:val="Compact"/>
              <w:jc w:val="center"/>
            </w:pPr>
            <w:r>
              <w:t xml:space="preserve">18.7</w:t>
            </w:r>
          </w:p>
        </w:tc>
        <w:tc>
          <w:tcPr/>
          <w:p>
            <w:pPr>
              <w:pStyle w:val="Compact"/>
            </w:pPr>
            <w:r>
              <w:t xml:space="preserve">O projeto rende quanto por cento ao ano?</w:t>
            </w:r>
          </w:p>
        </w:tc>
        <w:tc>
          <w:tcPr/>
          <w:p>
            <w:pPr>
              <w:pStyle w:val="Compact"/>
            </w:pPr>
            <w:r>
              <w:t xml:space="preserve">Taxa interna de retorno (TIR)</w:t>
            </w:r>
          </w:p>
        </w:tc>
        <w:tc>
          <w:tcPr/>
          <w:p>
            <w:pPr>
              <w:pStyle w:val="Compact"/>
              <w:jc w:val="center"/>
            </w:pPr>
            <w:r>
              <w:t xml:space="preserve">TIR</w:t>
            </w:r>
          </w:p>
        </w:tc>
      </w:tr>
      <w:tr>
        <w:tc>
          <w:tcPr/>
          <w:p>
            <w:pPr>
              <w:pStyle w:val="Compact"/>
              <w:jc w:val="center"/>
            </w:pPr>
            <w:r>
              <w:t xml:space="preserve">18.8</w:t>
            </w:r>
          </w:p>
        </w:tc>
        <w:tc>
          <w:tcPr/>
          <w:p>
            <w:pPr>
              <w:pStyle w:val="Compact"/>
            </w:pPr>
            <w:r>
              <w:t xml:space="preserve">Mais um caminhão ou deixa o dinheiro no banco?</w:t>
            </w:r>
          </w:p>
        </w:tc>
        <w:tc>
          <w:tcPr/>
          <w:p>
            <w:pPr>
              <w:pStyle w:val="Compact"/>
            </w:pPr>
            <w:r>
              <w:t xml:space="preserve">Demanda por capital, custo de uso</w:t>
            </w:r>
          </w:p>
        </w:tc>
        <w:tc>
          <w:tcPr/>
          <w:p>
            <w:pPr>
              <w:pStyle w:val="Compact"/>
              <w:jc w:val="center"/>
            </w:pPr>
            <w:r>
              <w:t xml:space="preserve">Demanda K</w:t>
            </w:r>
          </w:p>
        </w:tc>
      </w:tr>
      <w:tr>
        <w:tc>
          <w:tcPr/>
          <w:p>
            <w:pPr>
              <w:pStyle w:val="Compact"/>
              <w:jc w:val="center"/>
            </w:pPr>
            <w:r>
              <w:t xml:space="preserve">18.9</w:t>
            </w:r>
          </w:p>
        </w:tc>
        <w:tc>
          <w:tcPr/>
          <w:p>
            <w:pPr>
              <w:pStyle w:val="Compact"/>
            </w:pPr>
            <w:r>
              <w:t xml:space="preserve">Por que Einstein chamou juros compostos de oitava maravilha?</w:t>
            </w:r>
          </w:p>
        </w:tc>
        <w:tc>
          <w:tcPr/>
          <w:p>
            <w:pPr>
              <w:pStyle w:val="Compact"/>
            </w:pPr>
            <w:r>
              <w:t xml:space="preserve">Juros compostos e tempo contínuo</w:t>
            </w:r>
          </w:p>
        </w:tc>
        <w:tc>
          <w:tcPr/>
          <w:p>
            <w:pPr>
              <w:pStyle w:val="Compact"/>
              <w:jc w:val="center"/>
            </w:pPr>
            <w:r>
              <w:t xml:space="preserve">Compostos</w:t>
            </w:r>
          </w:p>
        </w:tc>
      </w:tr>
      <w:tr>
        <w:tc>
          <w:tcPr/>
          <w:p>
            <w:pPr>
              <w:pStyle w:val="Compact"/>
              <w:jc w:val="center"/>
            </w:pPr>
            <w:r>
              <w:t xml:space="preserve">18.10</w:t>
            </w:r>
          </w:p>
        </w:tc>
        <w:tc>
          <w:tcPr/>
          <w:p>
            <w:pPr>
              <w:pStyle w:val="Compact"/>
            </w:pPr>
            <w:r>
              <w:t xml:space="preserve">Como colocar todos os números na mesa para decidir?</w:t>
            </w:r>
          </w:p>
        </w:tc>
        <w:tc>
          <w:tcPr/>
          <w:p>
            <w:pPr>
              <w:pStyle w:val="Compact"/>
            </w:pPr>
            <w:r>
              <w:t xml:space="preserve">VPL aplicado, taxa de desconto</w:t>
            </w:r>
          </w:p>
        </w:tc>
        <w:tc>
          <w:tcPr/>
          <w:p>
            <w:pPr>
              <w:pStyle w:val="Compact"/>
              <w:jc w:val="center"/>
            </w:pPr>
            <w:r>
              <w:t xml:space="preserve">Decisão</w:t>
            </w:r>
          </w:p>
        </w:tc>
      </w:tr>
      <w:tr>
        <w:tc>
          <w:tcPr/>
          <w:p>
            <w:pPr>
              <w:pStyle w:val="Compact"/>
              <w:jc w:val="center"/>
            </w:pPr>
            <w:r>
              <w:t xml:space="preserve">18.11</w:t>
            </w:r>
          </w:p>
        </w:tc>
        <w:tc>
          <w:tcPr/>
          <w:p>
            <w:pPr>
              <w:pStyle w:val="Compact"/>
            </w:pPr>
            <w:r>
              <w:t xml:space="preserve">Extrair petróleo hoje ou deixar no solo para amanhã?</w:t>
            </w:r>
          </w:p>
        </w:tc>
        <w:tc>
          <w:tcPr/>
          <w:p>
            <w:pPr>
              <w:pStyle w:val="Compact"/>
            </w:pPr>
            <w:r>
              <w:t xml:space="preserve">Regra de Hotelling, recursos exauríveis</w:t>
            </w:r>
          </w:p>
        </w:tc>
        <w:tc>
          <w:tcPr/>
          <w:p>
            <w:pPr>
              <w:pStyle w:val="Compact"/>
              <w:jc w:val="center"/>
            </w:pPr>
            <w:r>
              <w:t xml:space="preserve">Hotelling</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p>
      <w:pPr>
        <w:pStyle w:val="BlockText"/>
      </w:pPr>
      <w:r>
        <w:rPr>
          <w:b/>
          <w:bCs/>
        </w:rPr>
        <w:t xml:space="preserve">[ATIVIDADE DE SALA] Atividade em Sala: O Leilão do Futuro — Desconto Intertemporal e Viés pelo Presente</w:t>
      </w:r>
    </w:p>
    <w:p>
      <w:pPr>
        <w:pStyle w:val="BlockText"/>
      </w:pPr>
      <w:r>
        <w:rPr>
          <w:b/>
          <w:bCs/>
        </w:rPr>
        <w:t xml:space="preserve">Objetivo pedagógico:</w:t>
      </w:r>
      <w:r>
        <w:t xml:space="preserve"> </w:t>
      </w:r>
      <w:r>
        <w:t xml:space="preserve">Revelar experimentalmente o desconto hiperbólico e o viés pelo presente, contrastando decisões intertemporais com o modelo exponencial de Fisher.</w:t>
      </w:r>
    </w:p>
    <w:p>
      <w:pPr>
        <w:pStyle w:val="BlockText"/>
      </w:pPr>
      <w:r>
        <w:rPr>
          <w:b/>
          <w:bCs/>
        </w:rPr>
        <w:t xml:space="preserve">Materiais:</w:t>
      </w:r>
      <w:r>
        <w:t xml:space="preserve"> </w:t>
      </w:r>
      <w:r>
        <w:t xml:space="preserve">Cartões de decisão impressos (um por aluno), planilha projetada para registrar respostas, cronômetro.</w:t>
      </w:r>
    </w:p>
    <w:p>
      <w:pPr>
        <w:pStyle w:val="BlockText"/>
      </w:pPr>
      <w:r>
        <w:rPr>
          <w:b/>
          <w:bCs/>
        </w:rPr>
        <w:t xml:space="preserve">Formato:</w:t>
      </w:r>
      <w:r>
        <w:t xml:space="preserve"> </w:t>
      </w:r>
      <w:r>
        <w:t xml:space="preserve">3 rodadas × 8 min cada + 12 min debrief = 36 min</w:t>
      </w:r>
    </w:p>
    <w:p>
      <w:r>
        <w:pict>
          <v:rect style="width:0;height:1.5pt" o:hralign="center" o:hrstd="t" o:hr="t"/>
        </w:pict>
      </w:r>
    </w:p>
    <w:p>
      <w:pPr>
        <w:pStyle w:val="BlockText"/>
      </w:pPr>
      <w:r>
        <w:rPr>
          <w:b/>
          <w:bCs/>
        </w:rPr>
        <w:t xml:space="preserve">Rodada 1 — Desconto puro (8 min)</w:t>
      </w:r>
    </w:p>
    <w:p>
      <w:pPr>
        <w:pStyle w:val="Compact"/>
        <w:numPr>
          <w:ilvl w:val="0"/>
          <w:numId w:val="1985"/>
        </w:numPr>
      </w:pPr>
      <w:r>
        <w:t xml:space="preserve">Cada aluno recebe um cartão com 5 pares de escolhas intertemporais:</w:t>
      </w:r>
    </w:p>
    <w:p>
      <w:pPr>
        <w:pStyle w:val="Compact"/>
        <w:numPr>
          <w:ilvl w:val="1"/>
          <w:numId w:val="1986"/>
        </w:numPr>
      </w:pPr>
      <w:r>
        <w:t xml:space="preserve">R$ 100 hoje</w:t>
      </w:r>
      <w:r>
        <w:t xml:space="preserve"> </w:t>
      </w:r>
      <w:r>
        <w:rPr>
          <w:b/>
          <w:bCs/>
        </w:rPr>
        <w:t xml:space="preserve">ou</w:t>
      </w:r>
      <w:r>
        <w:t xml:space="preserve"> </w:t>
      </w:r>
      <w:r>
        <w:t xml:space="preserve">R$ 110 em 1 mês</w:t>
      </w:r>
    </w:p>
    <w:p>
      <w:pPr>
        <w:pStyle w:val="Compact"/>
        <w:numPr>
          <w:ilvl w:val="1"/>
          <w:numId w:val="1986"/>
        </w:numPr>
      </w:pPr>
      <w:r>
        <w:t xml:space="preserve">R$ 100 hoje</w:t>
      </w:r>
      <w:r>
        <w:t xml:space="preserve"> </w:t>
      </w:r>
      <w:r>
        <w:rPr>
          <w:b/>
          <w:bCs/>
        </w:rPr>
        <w:t xml:space="preserve">ou</w:t>
      </w:r>
      <w:r>
        <w:t xml:space="preserve"> </w:t>
      </w:r>
      <w:r>
        <w:t xml:space="preserve">R$ 120 em 1 mês</w:t>
      </w:r>
    </w:p>
    <w:p>
      <w:pPr>
        <w:pStyle w:val="Compact"/>
        <w:numPr>
          <w:ilvl w:val="1"/>
          <w:numId w:val="1986"/>
        </w:numPr>
      </w:pPr>
      <w:r>
        <w:t xml:space="preserve">R$ 100 hoje</w:t>
      </w:r>
      <w:r>
        <w:t xml:space="preserve"> </w:t>
      </w:r>
      <w:r>
        <w:rPr>
          <w:b/>
          <w:bCs/>
        </w:rPr>
        <w:t xml:space="preserve">ou</w:t>
      </w:r>
      <w:r>
        <w:t xml:space="preserve"> </w:t>
      </w:r>
      <w:r>
        <w:t xml:space="preserve">R$ 150 em 1 mês</w:t>
      </w:r>
    </w:p>
    <w:p>
      <w:pPr>
        <w:pStyle w:val="Compact"/>
        <w:numPr>
          <w:ilvl w:val="1"/>
          <w:numId w:val="1986"/>
        </w:numPr>
      </w:pPr>
      <w:r>
        <w:t xml:space="preserve">R$ 100 hoje</w:t>
      </w:r>
      <w:r>
        <w:t xml:space="preserve"> </w:t>
      </w:r>
      <w:r>
        <w:rPr>
          <w:b/>
          <w:bCs/>
        </w:rPr>
        <w:t xml:space="preserve">ou</w:t>
      </w:r>
      <w:r>
        <w:t xml:space="preserve"> </w:t>
      </w:r>
      <w:r>
        <w:t xml:space="preserve">R$ 200 em 1 mês</w:t>
      </w:r>
    </w:p>
    <w:p>
      <w:pPr>
        <w:pStyle w:val="Compact"/>
        <w:numPr>
          <w:ilvl w:val="1"/>
          <w:numId w:val="1986"/>
        </w:numPr>
      </w:pPr>
      <w:r>
        <w:t xml:space="preserve">R$ 100 hoje</w:t>
      </w:r>
      <w:r>
        <w:t xml:space="preserve"> </w:t>
      </w:r>
      <w:r>
        <w:rPr>
          <w:b/>
          <w:bCs/>
        </w:rPr>
        <w:t xml:space="preserve">ou</w:t>
      </w:r>
      <w:r>
        <w:t xml:space="preserve"> </w:t>
      </w:r>
      <w:r>
        <w:t xml:space="preserve">R$ 500 em 1 mês</w:t>
      </w:r>
    </w:p>
    <w:p>
      <w:pPr>
        <w:pStyle w:val="Compact"/>
        <w:numPr>
          <w:ilvl w:val="0"/>
          <w:numId w:val="1985"/>
        </w:numPr>
      </w:pPr>
      <w:r>
        <w:t xml:space="preserve">Alunos marcam suas escolhas individualmente (sem discussão).</w:t>
      </w:r>
    </w:p>
    <w:p>
      <w:pPr>
        <w:pStyle w:val="Compact"/>
        <w:numPr>
          <w:ilvl w:val="0"/>
          <w:numId w:val="1985"/>
        </w:numPr>
      </w:pPr>
      <w:r>
        <w:rPr>
          <w:b/>
          <w:bCs/>
        </w:rPr>
        <w:t xml:space="preserve">Previsão:</w:t>
      </w:r>
      <w:r>
        <w:t xml:space="preserve"> </w:t>
      </w:r>
      <w:r>
        <w:t xml:space="preserve">A maioria troca a partir de algum valor — revelando sua taxa de desconto implícita.</w:t>
      </w:r>
    </w:p>
    <w:p>
      <w:pPr>
        <w:pStyle w:val="BlockText"/>
      </w:pPr>
      <w:r>
        <w:rPr>
          <w:b/>
          <w:bCs/>
        </w:rPr>
        <w:t xml:space="preserve">Rodada 2 — Teste de consistência temporal (8 min)</w:t>
      </w:r>
    </w:p>
    <w:p>
      <w:pPr>
        <w:pStyle w:val="Compact"/>
        <w:numPr>
          <w:ilvl w:val="0"/>
          <w:numId w:val="1987"/>
        </w:numPr>
      </w:pPr>
      <w:r>
        <w:t xml:space="preserve">Agora os mesmos pares, mas deslocados no tempo:</w:t>
      </w:r>
    </w:p>
    <w:p>
      <w:pPr>
        <w:pStyle w:val="Compact"/>
        <w:numPr>
          <w:ilvl w:val="1"/>
          <w:numId w:val="1988"/>
        </w:numPr>
      </w:pPr>
      <w:r>
        <w:t xml:space="preserve">R$ 100</w:t>
      </w:r>
      <w:r>
        <w:t xml:space="preserve"> </w:t>
      </w:r>
      <w:r>
        <w:rPr>
          <w:b/>
          <w:bCs/>
        </w:rPr>
        <w:t xml:space="preserve">em 12 meses</w:t>
      </w:r>
      <w:r>
        <w:t xml:space="preserve"> </w:t>
      </w:r>
      <w:r>
        <w:t xml:space="preserve">ou R$ 110</w:t>
      </w:r>
      <w:r>
        <w:t xml:space="preserve"> </w:t>
      </w:r>
      <w:r>
        <w:rPr>
          <w:b/>
          <w:bCs/>
        </w:rPr>
        <w:t xml:space="preserve">em 13 meses</w:t>
      </w:r>
    </w:p>
    <w:p>
      <w:pPr>
        <w:pStyle w:val="Compact"/>
        <w:numPr>
          <w:ilvl w:val="1"/>
          <w:numId w:val="1988"/>
        </w:numPr>
      </w:pPr>
      <w:r>
        <w:t xml:space="preserve">R$ 100</w:t>
      </w:r>
      <w:r>
        <w:t xml:space="preserve"> </w:t>
      </w:r>
      <w:r>
        <w:rPr>
          <w:b/>
          <w:bCs/>
        </w:rPr>
        <w:t xml:space="preserve">em 12 meses</w:t>
      </w:r>
      <w:r>
        <w:t xml:space="preserve"> </w:t>
      </w:r>
      <w:r>
        <w:t xml:space="preserve">ou R$ 120</w:t>
      </w:r>
      <w:r>
        <w:t xml:space="preserve"> </w:t>
      </w:r>
      <w:r>
        <w:rPr>
          <w:b/>
          <w:bCs/>
        </w:rPr>
        <w:t xml:space="preserve">em 13 meses</w:t>
      </w:r>
    </w:p>
    <w:p>
      <w:pPr>
        <w:pStyle w:val="Compact"/>
        <w:numPr>
          <w:ilvl w:val="1"/>
          <w:numId w:val="1988"/>
        </w:numPr>
      </w:pPr>
      <w:r>
        <w:t xml:space="preserve">(mesma estrutura)</w:t>
      </w:r>
    </w:p>
    <w:p>
      <w:pPr>
        <w:pStyle w:val="Compact"/>
        <w:numPr>
          <w:ilvl w:val="0"/>
          <w:numId w:val="1987"/>
        </w:numPr>
      </w:pPr>
      <w:r>
        <w:rPr>
          <w:b/>
          <w:bCs/>
        </w:rPr>
        <w:t xml:space="preserve">Previsão:</w:t>
      </w:r>
      <w:r>
        <w:t xml:space="preserve"> </w:t>
      </w:r>
      <w:r>
        <w:t xml:space="preserve">Muitos alunos que preferiram R$ 100 hoje a R$ 110 em 1 mês agora preferem esperar R$ 110 em 13 meses a receber R$ 100 em 12 meses. Isso é</w:t>
      </w:r>
      <w:r>
        <w:t xml:space="preserve"> </w:t>
      </w:r>
      <w:r>
        <w:rPr>
          <w:b/>
          <w:bCs/>
        </w:rPr>
        <w:t xml:space="preserve">inconsistência temporal</w:t>
      </w:r>
      <w:r>
        <w:t xml:space="preserve"> </w:t>
      </w:r>
      <w:r>
        <w:t xml:space="preserve">— o modelo exponencial de Fisher prevê escolhas idênticas.</w:t>
      </w:r>
    </w:p>
    <w:p>
      <w:pPr>
        <w:pStyle w:val="BlockText"/>
      </w:pPr>
      <w:r>
        <w:rPr>
          <w:b/>
          <w:bCs/>
        </w:rPr>
        <w:t xml:space="preserve">Rodada 3 — Leilão de projetos de investimento (8 min)</w:t>
      </w:r>
    </w:p>
    <w:p>
      <w:pPr>
        <w:pStyle w:val="Compact"/>
        <w:numPr>
          <w:ilvl w:val="0"/>
          <w:numId w:val="1989"/>
        </w:numPr>
      </w:pPr>
      <w:r>
        <w:t xml:space="preserve">O professor apresenta 3</w:t>
      </w:r>
      <w:r>
        <w:t xml:space="preserve"> </w:t>
      </w:r>
      <w:r>
        <w:t xml:space="preserve">“projetos”</w:t>
      </w:r>
      <w:r>
        <w:t xml:space="preserve"> </w:t>
      </w:r>
      <w:r>
        <w:t xml:space="preserve">com fluxos de caixa diferentes (curto prazo vs. longo prazo). Grupos de 4 alunos negociam qual projeto</w:t>
      </w:r>
      <w:r>
        <w:t xml:space="preserve"> </w:t>
      </w:r>
      <w:r>
        <w:t xml:space="preserve">“comprar”</w:t>
      </w:r>
      <w:r>
        <w:t xml:space="preserve"> </w:t>
      </w:r>
      <w:r>
        <w:t xml:space="preserve">dado um orçamento limitado.</w:t>
      </w:r>
    </w:p>
    <w:p>
      <w:pPr>
        <w:pStyle w:val="Compact"/>
        <w:numPr>
          <w:ilvl w:val="0"/>
          <w:numId w:val="1989"/>
        </w:numPr>
      </w:pPr>
      <w:r>
        <w:t xml:space="preserve">Projete a tabela de VPL para diferentes taxas de desconto.</w:t>
      </w:r>
    </w:p>
    <w:p>
      <w:pPr>
        <w:pStyle w:val="Compact"/>
        <w:numPr>
          <w:ilvl w:val="0"/>
          <w:numId w:val="1989"/>
        </w:numPr>
      </w:pPr>
      <w:r>
        <w:rPr>
          <w:b/>
          <w:bCs/>
        </w:rPr>
        <w:t xml:space="preserve">Previsão:</w:t>
      </w:r>
      <w:r>
        <w:t xml:space="preserve"> </w:t>
      </w:r>
      <w:r>
        <w:t xml:space="preserve">Grupos com viés pelo presente escolhem projetos de retorno rápido; grupos mais pacientes investem no longo prazo.</w:t>
      </w:r>
    </w:p>
    <w:p>
      <w:r>
        <w:pict>
          <v:rect style="width:0;height:1.5pt" o:hralign="center" o:hrstd="t" o:hr="t"/>
        </w:pict>
      </w:r>
    </w:p>
    <w:p>
      <w:pPr>
        <w:pStyle w:val="BlockText"/>
      </w:pPr>
      <w:r>
        <w:rPr>
          <w:b/>
          <w:bCs/>
        </w:rPr>
        <w:t xml:space="preserve">Debrief (12 min)</w:t>
      </w:r>
    </w:p>
    <w:p>
      <w:pPr>
        <w:pStyle w:val="Compact"/>
        <w:numPr>
          <w:ilvl w:val="0"/>
          <w:numId w:val="1990"/>
        </w:numPr>
      </w:pPr>
      <w:r>
        <w:t xml:space="preserve">Projete o histograma de taxas de desconto implícitas da Rodada 1.</w:t>
      </w:r>
    </w:p>
    <w:p>
      <w:pPr>
        <w:pStyle w:val="Compact"/>
        <w:numPr>
          <w:ilvl w:val="0"/>
          <w:numId w:val="1990"/>
        </w:numPr>
      </w:pPr>
      <w:r>
        <w:t xml:space="preserve">Compare respostas das Rodadas 1 e 2:</w:t>
      </w:r>
      <w:r>
        <w:t xml:space="preserve"> </w:t>
      </w:r>
      <w:r>
        <w:t xml:space="preserve">“Quantos de vocês mudaram de opinião?”</w:t>
      </w:r>
      <w:r>
        <w:t xml:space="preserve"> </w:t>
      </w:r>
      <w:r>
        <w:t xml:space="preserve">→ isso é desconto hiperbólico.</w:t>
      </w:r>
    </w:p>
    <w:p>
      <w:pPr>
        <w:pStyle w:val="Compact"/>
        <w:numPr>
          <w:ilvl w:val="0"/>
          <w:numId w:val="1990"/>
        </w:numPr>
      </w:pPr>
      <w:r>
        <w:t xml:space="preserve">“O modelo de Fisher assume consistência temporal. Vocês foram consistentes? O que isso implica para políticas como previdência obrigatória?”</w:t>
      </w:r>
    </w:p>
    <w:p>
      <w:pPr>
        <w:pStyle w:val="Compact"/>
        <w:numPr>
          <w:ilvl w:val="0"/>
          <w:numId w:val="1990"/>
        </w:numPr>
      </w:pPr>
      <w:r>
        <w:t xml:space="preserve">Conecte com Laibson (1997) e o design de</w:t>
      </w:r>
      <w:r>
        <w:t xml:space="preserve"> </w:t>
      </w:r>
      <w:r>
        <w:rPr>
          <w:i/>
          <w:iCs/>
        </w:rPr>
        <w:t xml:space="preserve">nudges</w:t>
      </w:r>
      <w:r>
        <w:t xml:space="preserve"> </w:t>
      </w:r>
      <w:r>
        <w:t xml:space="preserve">(opt-in vs. opt-out em planos de previdência).</w:t>
      </w:r>
    </w:p>
    <w:p>
      <w:r>
        <w:pict>
          <v:rect style="width:0;height:1.5pt" o:hralign="center" o:hrstd="t" o:hr="t"/>
        </w:pict>
      </w:r>
    </w:p>
    <w:bookmarkEnd w:id="1129"/>
    <w:bookmarkStart w:id="1136" w:name="capital-e-taxa-de-juros"/>
    <w:p>
      <w:pPr>
        <w:pStyle w:val="Heading2"/>
      </w:pPr>
      <w:r>
        <w:t xml:space="preserve">18.1–18.2 Capital e Taxa de Juros</w:t>
      </w:r>
    </w:p>
    <w:bookmarkStart w:id="1132" w:name="Xee544ceddfe7ab69a02f82bdf8ce6ea3862ff02"/>
    <w:p>
      <w:pPr>
        <w:pStyle w:val="Heading3"/>
      </w:pPr>
      <w:r>
        <w:t xml:space="preserve">18.1 Máquinas Não Caem do Céu: Capital e Taxa de Retorno</w:t>
      </w:r>
    </w:p>
    <w:bookmarkStart w:id="1130" w:name="o-conceito-de-capital"/>
    <w:p>
      <w:pPr>
        <w:pStyle w:val="Heading4"/>
      </w:pPr>
      <w:r>
        <w:t xml:space="preserve">O conceito de capital</w:t>
      </w:r>
    </w:p>
    <w:p>
      <w:pPr>
        <w:pStyle w:val="BlockText"/>
      </w:pPr>
      <w:r>
        <w:rPr>
          <w:b/>
          <w:bCs/>
        </w:rPr>
        <w:t xml:space="preserve">[DEFINICAO] Capital</w:t>
      </w:r>
    </w:p>
    <w:p>
      <w:pPr>
        <w:pStyle w:val="BlockText"/>
      </w:pPr>
      <w:r>
        <w:rPr>
          <w:b/>
          <w:bCs/>
        </w:rPr>
        <w:t xml:space="preserve">Capital</w:t>
      </w:r>
      <w:r>
        <w:t xml:space="preserve"> </w:t>
      </w:r>
      <w:r>
        <w:t xml:space="preserve">é o estoque de bens produzidos que são utilizados como insumos na produção de outros bens e serviços. Diferentemente do trabalho e da terra, o capital é um</w:t>
      </w:r>
      <w:r>
        <w:t xml:space="preserve"> </w:t>
      </w:r>
      <w:r>
        <w:rPr>
          <w:b/>
          <w:bCs/>
        </w:rPr>
        <w:t xml:space="preserve">fator de produção produzido</w:t>
      </w:r>
      <w:r>
        <w:t xml:space="preserve"> </w:t>
      </w:r>
      <w:r>
        <w:t xml:space="preserve">— máquinas, equipamentos, edifícios, infraestrutura, estoques.</w:t>
      </w:r>
    </w:p>
    <w:p>
      <w:pPr>
        <w:pStyle w:val="FirstParagraph"/>
      </w:pPr>
      <w:r>
        <w:t xml:space="preserve">É fundamental distinguir entre:</w:t>
      </w:r>
    </w:p>
    <w:p>
      <w:pPr>
        <w:pStyle w:val="Compact"/>
        <w:numPr>
          <w:ilvl w:val="0"/>
          <w:numId w:val="1991"/>
        </w:numPr>
      </w:pPr>
      <w:r>
        <w:rPr>
          <w:b/>
          <w:bCs/>
        </w:rPr>
        <w:t xml:space="preserve">Estoque de capital</w:t>
      </w:r>
      <w:r>
        <w:t xml:space="preserve"> </w:t>
      </w:r>
      <w:r>
        <w:t xml:space="preserve">(</w:t>
      </w:r>
      <m:oMath>
        <m:r>
          <m:t>K</m:t>
        </m:r>
      </m:oMath>
      <w:r>
        <w:t xml:space="preserve">): o valor total dos bens de capital em um dado momento;</w:t>
      </w:r>
    </w:p>
    <w:p>
      <w:pPr>
        <w:pStyle w:val="Compact"/>
        <w:numPr>
          <w:ilvl w:val="0"/>
          <w:numId w:val="1991"/>
        </w:numPr>
      </w:pPr>
      <w:r>
        <w:rPr>
          <w:b/>
          <w:bCs/>
        </w:rPr>
        <w:t xml:space="preserve">Fluxo de serviços do capital</w:t>
      </w:r>
      <w:r>
        <w:t xml:space="preserve">: a contribuição produtiva do capital por unidade de tempo;</w:t>
      </w:r>
    </w:p>
    <w:p>
      <w:pPr>
        <w:pStyle w:val="Compact"/>
        <w:numPr>
          <w:ilvl w:val="0"/>
          <w:numId w:val="1991"/>
        </w:numPr>
      </w:pPr>
      <w:r>
        <w:rPr>
          <w:b/>
          <w:bCs/>
        </w:rPr>
        <w:t xml:space="preserve">Investimento</w:t>
      </w:r>
      <w:r>
        <w:t xml:space="preserve"> </w:t>
      </w:r>
      <w:r>
        <w:t xml:space="preserve">(</w:t>
      </w:r>
      <m:oMath>
        <m:r>
          <m:t>I</m:t>
        </m:r>
      </m:oMath>
      <w:r>
        <w:t xml:space="preserve">): a variação no estoque de capital,</w:t>
      </w:r>
      <w:r>
        <w:t xml:space="preserve"> </w:t>
      </w:r>
      <m:oMath>
        <m:r>
          <m:t>I</m:t>
        </m:r>
        <m:r>
          <m:rPr>
            <m:sty m:val="p"/>
          </m:rPr>
          <m:t>=</m:t>
        </m:r>
        <m:r>
          <m:rPr>
            <m:sty m:val="p"/>
          </m:rPr>
          <m:t>Δ</m:t>
        </m:r>
        <m:r>
          <m:t>K</m:t>
        </m:r>
        <m:r>
          <m:rPr>
            <m:sty m:val="p"/>
          </m:rPr>
          <m:t>+</m:t>
        </m:r>
        <m:r>
          <m:t>δ</m:t>
        </m:r>
        <m:r>
          <m:t>K</m:t>
        </m:r>
      </m:oMath>
      <w:r>
        <w:t xml:space="preserve">, onde</w:t>
      </w:r>
      <w:r>
        <w:t xml:space="preserve"> </w:t>
      </w:r>
      <m:oMath>
        <m:r>
          <m:t>δ</m:t>
        </m:r>
      </m:oMath>
      <w:r>
        <w:t xml:space="preserve"> </w:t>
      </w:r>
      <w:r>
        <w:t xml:space="preserve">é a taxa de depreciação.</w:t>
      </w:r>
    </w:p>
    <w:p>
      <w:pPr>
        <w:pStyle w:val="FirstParagraph"/>
      </w:pPr>
      <w:r>
        <w:t xml:space="preserve">Essa distinção entre estoque e fluxo é análoga à diferença entre a quantidade de água em um lago (estoque) e a vazão de um rio que alimenta o lago (fluxo). Uma empresa que possui uma frota de 100 caminhões detém um estoque de capital; os serviços de transporte que esses caminhões prestam por mês constituem o fluxo. O investimento é a compra de caminhões novos que repõem os depreciados e expandem a frota. A depreciação — a perda de valor do capital por desgaste, obsolescência ou passagem do tempo — é o que torna a manutenção do estoque de capital um desafio permanente. Sem investimento, o estoque encolhe ao ritmo</w:t>
      </w:r>
      <w:r>
        <w:t xml:space="preserve"> </w:t>
      </w:r>
      <m:oMath>
        <m:r>
          <m:t>δ</m:t>
        </m:r>
        <m:r>
          <m:t>K</m:t>
        </m:r>
      </m:oMath>
      <w:r>
        <w:t xml:space="preserve"> </w:t>
      </w:r>
      <w:r>
        <w:t xml:space="preserve">por período.</w:t>
      </w:r>
    </w:p>
    <w:p>
      <w:pPr>
        <w:pStyle w:val="BodyText"/>
      </w:pPr>
      <w:r>
        <w:t xml:space="preserve">Uma implicação prática dessa distinção é que o capital, por ser durável, introduz uma dimensão temporal inescapável nas decisões econômicas. Quando uma firma compra uma máquina, ela não consome o bem no ato da compra — ela o utiliza ao longo de anos, coletando um fluxo de retornos. Essa separação entre o desembolso inicial e o fluxo de benefícios futuros é a essência do problema intertemporal que permeia todo este capítulo.</w:t>
      </w:r>
    </w:p>
    <w:bookmarkEnd w:id="1130"/>
    <w:bookmarkStart w:id="1131" w:name="taxa-de-retorno-do-capital"/>
    <w:p>
      <w:pPr>
        <w:pStyle w:val="Heading4"/>
      </w:pPr>
      <w:r>
        <w:t xml:space="preserve">Taxa de retorno do capital</w:t>
      </w:r>
    </w:p>
    <w:p>
      <w:pPr>
        <w:pStyle w:val="FirstParagraph"/>
      </w:pPr>
      <w:r>
        <w:t xml:space="preserve">A</w:t>
      </w:r>
      <w:r>
        <w:t xml:space="preserve"> </w:t>
      </w:r>
      <w:r>
        <w:rPr>
          <w:b/>
          <w:bCs/>
        </w:rPr>
        <w:t xml:space="preserve">taxa de retorno</w:t>
      </w:r>
      <w:r>
        <w:t xml:space="preserve"> </w:t>
      </w:r>
      <w:r>
        <w:t xml:space="preserve">(</w:t>
      </w:r>
      <m:oMath>
        <m:r>
          <m:t>r</m:t>
        </m:r>
      </m:oMath>
      <w:r>
        <w:t xml:space="preserve">) de um investimento mede a remuneração do capital por unidade monetária investida, por período. Se um investimento de</w:t>
      </w:r>
      <w:r>
        <w:t xml:space="preserve"> </w:t>
      </w:r>
      <m:oMath>
        <m:sSub>
          <m:e>
            <m:r>
              <m:t>K</m:t>
            </m:r>
          </m:e>
          <m:sub>
            <m:r>
              <m:t>0</m:t>
            </m:r>
          </m:sub>
        </m:sSub>
      </m:oMath>
      <w:r>
        <w:t xml:space="preserve"> </w:t>
      </w:r>
      <w:r>
        <w:t xml:space="preserve">reais gera um fluxo de rendimento líquido</w:t>
      </w:r>
      <w:r>
        <w:t xml:space="preserve"> </w:t>
      </w:r>
      <m:oMath>
        <m:r>
          <m:t>π</m:t>
        </m:r>
      </m:oMath>
      <w:r>
        <w:t xml:space="preserve"> </w:t>
      </w:r>
      <w:r>
        <w:t xml:space="preserve">por período, a taxa de retorno é:</w:t>
      </w:r>
    </w:p>
    <w:p>
      <w:pPr>
        <w:pStyle w:val="BodyText"/>
      </w:pPr>
      <m:oMathPara>
        <m:oMathParaPr>
          <m:jc m:val="center"/>
        </m:oMathParaPr>
        <m:oMath>
          <m:r>
            <m:t>r</m:t>
          </m:r>
          <m:r>
            <m:rPr>
              <m:sty m:val="p"/>
            </m:rPr>
            <m:t>=</m:t>
          </m:r>
          <m:f>
            <m:fPr>
              <m:type m:val="bar"/>
            </m:fPr>
            <m:num>
              <m:r>
                <m:t>π</m:t>
              </m:r>
            </m:num>
            <m:den>
              <m:sSub>
                <m:e>
                  <m:r>
                    <m:t>K</m:t>
                  </m:r>
                </m:e>
                <m:sub>
                  <m:r>
                    <m:t>0</m:t>
                  </m:r>
                </m:sub>
              </m:sSub>
            </m:den>
          </m:f>
        </m:oMath>
      </m:oMathPara>
    </w:p>
    <w:p>
      <w:pPr>
        <w:pStyle w:val="FirstParagraph"/>
      </w:pPr>
      <w:r>
        <w:t xml:space="preserve">Pela equação Eq. (eq:18.1), no equilíbrio competitivo de longo prazo, a taxa de retorno do capital se iguala à</w:t>
      </w:r>
      <w:r>
        <w:t xml:space="preserve"> </w:t>
      </w:r>
      <w:r>
        <w:rPr>
          <w:b/>
          <w:bCs/>
        </w:rPr>
        <w:t xml:space="preserve">taxa de juros</w:t>
      </w:r>
      <w:r>
        <w:t xml:space="preserve"> </w:t>
      </w:r>
      <w:r>
        <w:t xml:space="preserve">do mercado, pois o investidor é indiferente entre aplicar recursos no mercado financeiro e investir em capital físico. Se a taxa de retorno do capital excedesse a taxa de juros, haveria incentivo para investir mais em capital físico; se fosse inferior, seria mais vantajoso aplicar no mercado financeiro. Esse mecanismo de arbitragem garante a equalização das taxas no equilíbrio.</w:t>
      </w:r>
    </w:p>
    <w:p>
      <w:pPr>
        <w:pStyle w:val="BodyText"/>
      </w:pPr>
      <w:r>
        <w:t xml:space="preserve">A convergência entre taxa de retorno do capital e taxa de juros é uma das predições mais fundamentais da teoria neoclássica, mas deve ser interpretada com cuidado. Na prática, os retornos do capital físico são incertos e ilíquidos, enquanto aplicações financeiras podem ser líquidas e com risco mais previsível. Por isso, a taxa de retorno do capital físico tipicamente embute um</w:t>
      </w:r>
      <w:r>
        <w:t xml:space="preserve"> </w:t>
      </w:r>
      <w:r>
        <w:rPr>
          <w:b/>
          <w:bCs/>
        </w:rPr>
        <w:t xml:space="preserve">prêmio de risco</w:t>
      </w:r>
      <w:r>
        <w:t xml:space="preserve"> </w:t>
      </w:r>
      <w:r>
        <w:t xml:space="preserve">e um</w:t>
      </w:r>
      <w:r>
        <w:t xml:space="preserve"> </w:t>
      </w:r>
      <w:r>
        <w:rPr>
          <w:b/>
          <w:bCs/>
        </w:rPr>
        <w:t xml:space="preserve">prêmio de iliquidez</w:t>
      </w:r>
      <w:r>
        <w:t xml:space="preserve"> </w:t>
      </w:r>
      <w:r>
        <w:t xml:space="preserve">sobre a taxa de juros livre de risco — um tema ao qual retornaremos na Seção 18.5.</w:t>
      </w:r>
    </w:p>
    <w:p>
      <w:r>
        <w:pict>
          <v:rect style="width:0;height:1.5pt" o:hralign="center" o:hrstd="t" o:hr="t"/>
        </w:pict>
      </w:r>
    </w:p>
    <w:bookmarkEnd w:id="1131"/>
    <w:bookmarkEnd w:id="1132"/>
    <w:bookmarkStart w:id="1135" w:name="X8f0744907ea8bd8e0f51e568f1536289ceb40a5"/>
    <w:p>
      <w:pPr>
        <w:pStyle w:val="Heading3"/>
      </w:pPr>
      <w:r>
        <w:t xml:space="preserve">18.2 O Preço da Impaciência: Determinação da Taxa de Juros</w:t>
      </w:r>
    </w:p>
    <w:p>
      <w:pPr>
        <w:pStyle w:val="FirstParagraph"/>
      </w:pPr>
      <w:r>
        <w:t xml:space="preserve">Se a taxa de juros é o preço da impaciência, quem define esse preço? Não é um burocrata com caneta vermelha (embora o presidente do Banco Central chegue perto). Em uma economia de mercado, a taxa de retorno do capital emerge de um cabo de guerra silencioso entre quem quer poupar —</w:t>
      </w:r>
      <w:r>
        <w:t xml:space="preserve"> </w:t>
      </w:r>
      <w:r>
        <w:t xml:space="preserve">“segura aí que eu gasto depois”</w:t>
      </w:r>
      <w:r>
        <w:t xml:space="preserve"> </w:t>
      </w:r>
      <w:r>
        <w:t xml:space="preserve">— e quem quer investir —</w:t>
      </w:r>
      <w:r>
        <w:t xml:space="preserve"> </w:t>
      </w:r>
      <w:r>
        <w:t xml:space="preserve">“me empresta que eu multiplico”</w:t>
      </w:r>
      <w:r>
        <w:t xml:space="preserve">. Esse equilíbrio no mercado de fundos emprestáveis é a peça central da teoria dos juros.</w:t>
      </w:r>
    </w:p>
    <w:bookmarkStart w:id="1133" w:name="equilíbrio-intertemporal"/>
    <w:p>
      <w:pPr>
        <w:pStyle w:val="Heading4"/>
      </w:pPr>
      <w:r>
        <w:t xml:space="preserve">Equilíbrio intertemporal</w:t>
      </w:r>
    </w:p>
    <w:p>
      <w:pPr>
        <w:pStyle w:val="FirstParagraph"/>
      </w:pPr>
      <w:r>
        <w:t xml:space="preserve">A taxa de juros de equilíbrio é determinada pela interação entre:</w:t>
      </w:r>
    </w:p>
    <w:p>
      <w:pPr>
        <w:pStyle w:val="Compact"/>
        <w:numPr>
          <w:ilvl w:val="0"/>
          <w:numId w:val="1992"/>
        </w:numPr>
      </w:pPr>
      <w:r>
        <w:rPr>
          <w:b/>
          <w:bCs/>
        </w:rPr>
        <w:t xml:space="preserve">Oferta de fundos emprestáveis</w:t>
      </w:r>
      <w:r>
        <w:t xml:space="preserve"> </w:t>
      </w:r>
      <w:r>
        <w:t xml:space="preserve">(poupança): positivamente relacionada à taxa de juros — juros mais altos incentivam a poupança;</w:t>
      </w:r>
    </w:p>
    <w:p>
      <w:pPr>
        <w:pStyle w:val="Compact"/>
        <w:numPr>
          <w:ilvl w:val="0"/>
          <w:numId w:val="1992"/>
        </w:numPr>
      </w:pPr>
      <w:r>
        <w:rPr>
          <w:b/>
          <w:bCs/>
        </w:rPr>
        <w:t xml:space="preserve">Demanda de fundos emprestáveis</w:t>
      </w:r>
      <w:r>
        <w:t xml:space="preserve"> </w:t>
      </w:r>
      <w:r>
        <w:t xml:space="preserve">(investimento): negativamente relacionada à taxa de juros — juros mais altos encarecem o custo do capital e reduzem o investimento.</w:t>
      </w:r>
    </w:p>
    <w:p>
      <w:pPr>
        <w:pStyle w:val="FirstParagraph"/>
      </w:pPr>
      <w:r>
        <w:t xml:space="preserve">No equilíbrio:</w:t>
      </w:r>
    </w:p>
    <w:p>
      <w:pPr>
        <w:pStyle w:val="BodyText"/>
      </w:pPr>
      <m:oMathPara>
        <m:oMathParaPr>
          <m:jc m:val="center"/>
        </m:oMathParaPr>
        <m:oMath>
          <m:r>
            <m:t>S</m:t>
          </m:r>
          <m:r>
            <m:rPr>
              <m:sty m:val="p"/>
            </m:rPr>
            <m:t>(</m:t>
          </m:r>
          <m:r>
            <m:t>r</m:t>
          </m:r>
          <m:r>
            <m:rPr>
              <m:sty m:val="p"/>
            </m:rPr>
            <m:t>)</m:t>
          </m:r>
          <m:r>
            <m:rPr>
              <m:sty m:val="p"/>
            </m:rPr>
            <m:t>=</m:t>
          </m:r>
          <m:r>
            <m:t>I</m:t>
          </m:r>
          <m:r>
            <m:rPr>
              <m:sty m:val="p"/>
            </m:rPr>
            <m:t>(</m:t>
          </m:r>
          <m:r>
            <m:t>r</m:t>
          </m:r>
          <m:r>
            <m:rPr>
              <m:sty m:val="p"/>
            </m:rPr>
            <m:t>)</m:t>
          </m:r>
        </m:oMath>
      </m:oMathPara>
    </w:p>
    <w:p>
      <w:pPr>
        <w:pStyle w:val="FirstParagraph"/>
      </w:pPr>
      <w:r>
        <w:t xml:space="preserve">onde</w:t>
      </w:r>
      <w:r>
        <w:t xml:space="preserve"> </w:t>
      </w:r>
      <m:oMath>
        <m:r>
          <m:t>S</m:t>
        </m:r>
      </m:oMath>
      <w:r>
        <w:t xml:space="preserve"> </w:t>
      </w:r>
      <w:r>
        <w:t xml:space="preserve">é a poupança agregada e</w:t>
      </w:r>
      <w:r>
        <w:t xml:space="preserve"> </w:t>
      </w:r>
      <m:oMath>
        <m:r>
          <m:t>I</m:t>
        </m:r>
      </m:oMath>
      <w:r>
        <w:t xml:space="preserve"> </w:t>
      </w:r>
      <w:r>
        <w:t xml:space="preserve">é o investimento agregado. A taxa de juros</w:t>
      </w:r>
      <w:r>
        <w:t xml:space="preserve"> </w:t>
      </w:r>
      <m:oMath>
        <m:sSup>
          <m:e>
            <m:r>
              <m:t>r</m:t>
            </m:r>
          </m:e>
          <m:sup>
            <m:r>
              <m:rPr>
                <m:sty m:val="p"/>
              </m:rPr>
              <m:t>*</m:t>
            </m:r>
          </m:sup>
        </m:sSup>
      </m:oMath>
      <w:r>
        <w:t xml:space="preserve"> </w:t>
      </w:r>
      <w:r>
        <w:t xml:space="preserve">que iguala oferta e demanda de fundos é a</w:t>
      </w:r>
      <w:r>
        <w:t xml:space="preserve"> </w:t>
      </w:r>
      <w:r>
        <w:rPr>
          <w:b/>
          <w:bCs/>
        </w:rPr>
        <w:t xml:space="preserve">taxa de juros de equilíbrio</w:t>
      </w:r>
      <w:r>
        <w:t xml:space="preserve">.</w:t>
      </w:r>
    </w:p>
    <w:p>
      <w:pPr>
        <w:pStyle w:val="BodyText"/>
      </w:pPr>
      <w:r>
        <w:t xml:space="preserve">É importante notar que a relação entre taxa de juros e poupança não é necessariamente monotônica. Como veremos na Seção 18.3, um aumento na taxa de juros gera dois efeitos opostos sobre a poupança: o efeito substituição (que incentiva poupar mais) e o efeito renda (que, para um poupador, permite consumir mais hoje). Em nível agregado, a evidência empírica sugere que a elasticidade-juro da poupança é positiva, mas relativamente pequena — o que significa que a curva de oferta de fundos emprestáveis é positivamente inclinada, porém relativamente inelástica.</w:t>
      </w:r>
    </w:p>
    <w:p>
      <w:pPr>
        <w:pStyle w:val="BodyText"/>
      </w:pPr>
      <w:r>
        <w:t xml:space="preserve">A demanda por investimento, por outro lado, é mais claramente decrescente na taxa de juros: juros altos encarecem o custo do capital e reduzem o número de projetos com Valor Presente Líquido positivo (Seção 18.6). A elasticidade-juro do investimento tende a ser maior que a da poupança, conferindo à demanda um papel mais ativo na determinação do equilíbrio.</w:t>
      </w:r>
    </w:p>
    <w:p>
      <w:pPr>
        <w:pStyle w:val="BlockText"/>
      </w:pPr>
      <w:r>
        <w:rPr>
          <w:b/>
          <w:bCs/>
        </w:rPr>
        <w:t xml:space="preserve">[INTUICAO ECONOMICA] Intuição Econômica</w:t>
      </w:r>
    </w:p>
    <w:p>
      <w:pPr>
        <w:pStyle w:val="BlockText"/>
      </w:pPr>
      <w:r>
        <w:rPr>
          <w:b/>
          <w:bCs/>
        </w:rPr>
        <w:t xml:space="preserve">Em uma frase:</w:t>
      </w:r>
      <w:r>
        <w:t xml:space="preserve"> </w:t>
      </w:r>
      <w:r>
        <w:t xml:space="preserve">A taxa de juros é o preço do tempo — quanto custa trazer dinheiro do futuro para o presente, ou quanto se ganha por abrir mão do consumo hoje.</w:t>
      </w:r>
    </w:p>
    <w:p>
      <w:pPr>
        <w:pStyle w:val="BlockText"/>
      </w:pPr>
      <w:r>
        <w:rPr>
          <w:b/>
          <w:bCs/>
        </w:rPr>
        <w:t xml:space="preserve">Pense assim:</w:t>
      </w:r>
      <w:r>
        <w:t xml:space="preserve"> </w:t>
      </w:r>
      <w:r>
        <w:t xml:space="preserve">Quando você parcela uma compra no cartão com juros, está pagando pela impaciência de ter o produto agora. Quando coloca dinheiro na poupança, está sendo recompensado por esperar. A taxa de juros equilibra os impacientes (que querem gastar hoje) com os pacientes (que preferem poupar).</w:t>
      </w:r>
    </w:p>
    <w:p>
      <w:pPr>
        <w:pStyle w:val="BlockText"/>
      </w:pPr>
      <w:r>
        <w:rPr>
          <w:b/>
          <w:bCs/>
        </w:rPr>
        <w:t xml:space="preserve">Por que isso importa:</w:t>
      </w:r>
      <w:r>
        <w:t xml:space="preserve"> </w:t>
      </w:r>
      <w:r>
        <w:t xml:space="preserve">Com a Selic historicamente elevada no Brasil, o</w:t>
      </w:r>
      <w:r>
        <w:t xml:space="preserve"> </w:t>
      </w:r>
      <w:r>
        <w:t xml:space="preserve">“preço da impaciência”</w:t>
      </w:r>
      <w:r>
        <w:t xml:space="preserve"> </w:t>
      </w:r>
      <w:r>
        <w:t xml:space="preserve">é muito alto, desestimulando investimentos de longo prazo e encarecendo o crédito para famílias e empresas.</w:t>
      </w:r>
    </w:p>
    <w:bookmarkEnd w:id="1133"/>
    <w:bookmarkStart w:id="1134" w:name="fatores-que-afetam-a-taxa-de-juros"/>
    <w:p>
      <w:pPr>
        <w:pStyle w:val="Heading4"/>
      </w:pPr>
      <w:r>
        <w:t xml:space="preserve">Fatores que afetam a taxa de juros</w:t>
      </w:r>
    </w:p>
    <w:p>
      <w:pPr>
        <w:pStyle w:val="FirstParagraph"/>
      </w:pPr>
      <w:r>
        <w:t xml:space="preserve">A</w:t>
      </w:r>
      <w:r>
        <w:t xml:space="preserve"> </w:t>
      </w:r>
      <w:hyperlink w:anchor="tabela-18-1">
        <w:r>
          <w:rPr>
            <w:rStyle w:val="Hyperlink"/>
          </w:rPr>
          <w:t xml:space="preserve">Tabela 18.1</w:t>
        </w:r>
      </w:hyperlink>
      <w:r>
        <w:t xml:space="preserve"> </w:t>
      </w:r>
      <w:r>
        <w:t xml:space="preserve">resume os principais fatores que afetam a taxa de juros de equilíbrio.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Fator</w:t>
            </w:r>
          </w:p>
        </w:tc>
        <w:tc>
          <w:tcPr/>
          <w:p>
            <w:pPr>
              <w:pStyle w:val="Compact"/>
            </w:pPr>
            <w:r>
              <w:t xml:space="preserve">Efeito sobre</w:t>
            </w:r>
            <w:r>
              <w:t xml:space="preserve"> </w:t>
            </w:r>
            <m:oMath>
              <m:sSup>
                <m:e>
                  <m:r>
                    <m:t>r</m:t>
                  </m:r>
                </m:e>
                <m:sup>
                  <m:r>
                    <m:rPr>
                      <m:sty m:val="p"/>
                    </m:rPr>
                    <m:t>*</m:t>
                  </m:r>
                </m:sup>
              </m:sSup>
            </m:oMath>
          </w:p>
        </w:tc>
        <w:tc>
          <w:tcPr/>
          <w:p>
            <w:pPr>
              <w:pStyle w:val="Compact"/>
            </w:pPr>
            <w:r>
              <w:t xml:space="preserve">Mecanismo</w:t>
            </w:r>
          </w:p>
        </w:tc>
      </w:tr>
      <w:tr>
        <w:tc>
          <w:tcPr/>
          <w:p>
            <w:pPr>
              <w:pStyle w:val="Compact"/>
            </w:pPr>
            <w:r>
              <w:t xml:space="preserve">Aumento da produtividade do capital</w:t>
            </w:r>
          </w:p>
        </w:tc>
        <w:tc>
          <w:tcPr/>
          <w:p>
            <w:pPr>
              <w:pStyle w:val="Compact"/>
            </w:pPr>
            <m:oMath>
              <m:r>
                <m:rPr>
                  <m:sty m:val="p"/>
                </m:rPr>
                <m:t>↑</m:t>
              </m:r>
              <m:sSup>
                <m:e>
                  <m:r>
                    <m:t>r</m:t>
                  </m:r>
                </m:e>
                <m:sup>
                  <m:r>
                    <m:rPr>
                      <m:sty m:val="p"/>
                    </m:rPr>
                    <m:t>*</m:t>
                  </m:r>
                </m:sup>
              </m:sSup>
            </m:oMath>
          </w:p>
        </w:tc>
        <w:tc>
          <w:tcPr/>
          <w:p>
            <w:pPr>
              <w:pStyle w:val="Compact"/>
            </w:pPr>
            <w:r>
              <w:t xml:space="preserve">Desloca demanda por investimento para a direita</w:t>
            </w:r>
          </w:p>
        </w:tc>
      </w:tr>
      <w:tr>
        <w:tc>
          <w:tcPr/>
          <w:p>
            <w:pPr>
              <w:pStyle w:val="Compact"/>
            </w:pPr>
            <w:r>
              <w:t xml:space="preserve">Aumento da preferência pelo consumo presente</w:t>
            </w:r>
          </w:p>
        </w:tc>
        <w:tc>
          <w:tcPr/>
          <w:p>
            <w:pPr>
              <w:pStyle w:val="Compact"/>
            </w:pPr>
            <m:oMath>
              <m:r>
                <m:rPr>
                  <m:sty m:val="p"/>
                </m:rPr>
                <m:t>↑</m:t>
              </m:r>
              <m:sSup>
                <m:e>
                  <m:r>
                    <m:t>r</m:t>
                  </m:r>
                </m:e>
                <m:sup>
                  <m:r>
                    <m:rPr>
                      <m:sty m:val="p"/>
                    </m:rPr>
                    <m:t>*</m:t>
                  </m:r>
                </m:sup>
              </m:sSup>
            </m:oMath>
          </w:p>
        </w:tc>
        <w:tc>
          <w:tcPr/>
          <w:p>
            <w:pPr>
              <w:pStyle w:val="Compact"/>
            </w:pPr>
            <w:r>
              <w:t xml:space="preserve">Reduz oferta de poupança</w:t>
            </w:r>
          </w:p>
        </w:tc>
      </w:tr>
      <w:tr>
        <w:tc>
          <w:tcPr/>
          <w:p>
            <w:pPr>
              <w:pStyle w:val="Compact"/>
            </w:pPr>
            <w:r>
              <w:t xml:space="preserve">Aumento da oferta de fundos (ex.: poupança externa)</w:t>
            </w:r>
          </w:p>
        </w:tc>
        <w:tc>
          <w:tcPr/>
          <w:p>
            <w:pPr>
              <w:pStyle w:val="Compact"/>
            </w:pPr>
            <m:oMath>
              <m:r>
                <m:rPr>
                  <m:sty m:val="p"/>
                </m:rPr>
                <m:t>↓</m:t>
              </m:r>
              <m:sSup>
                <m:e>
                  <m:r>
                    <m:t>r</m:t>
                  </m:r>
                </m:e>
                <m:sup>
                  <m:r>
                    <m:rPr>
                      <m:sty m:val="p"/>
                    </m:rPr>
                    <m:t>*</m:t>
                  </m:r>
                </m:sup>
              </m:sSup>
            </m:oMath>
          </w:p>
        </w:tc>
        <w:tc>
          <w:tcPr/>
          <w:p>
            <w:pPr>
              <w:pStyle w:val="Compact"/>
            </w:pPr>
            <w:r>
              <w:t xml:space="preserve">Desloca oferta de poupança para a direita</w:t>
            </w:r>
          </w:p>
        </w:tc>
      </w:tr>
      <w:tr>
        <w:tc>
          <w:tcPr/>
          <w:p>
            <w:pPr>
              <w:pStyle w:val="Compact"/>
            </w:pPr>
            <w:r>
              <w:t xml:space="preserve">Aumento do risco percebido</w:t>
            </w:r>
          </w:p>
        </w:tc>
        <w:tc>
          <w:tcPr/>
          <w:p>
            <w:pPr>
              <w:pStyle w:val="Compact"/>
            </w:pPr>
            <m:oMath>
              <m:r>
                <m:rPr>
                  <m:sty m:val="p"/>
                </m:rPr>
                <m:t>↑</m:t>
              </m:r>
              <m:sSup>
                <m:e>
                  <m:r>
                    <m:t>r</m:t>
                  </m:r>
                </m:e>
                <m:sup>
                  <m:r>
                    <m:rPr>
                      <m:sty m:val="p"/>
                    </m:rPr>
                    <m:t>*</m:t>
                  </m:r>
                </m:sup>
              </m:sSup>
            </m:oMath>
          </w:p>
        </w:tc>
        <w:tc>
          <w:tcPr/>
          <w:p>
            <w:pPr>
              <w:pStyle w:val="Compact"/>
            </w:pPr>
            <w:r>
              <w:t xml:space="preserve">Exige prêmio de risco maior</w:t>
            </w:r>
          </w:p>
        </w:tc>
      </w:tr>
      <w:tr>
        <w:tc>
          <w:tcPr/>
          <w:p>
            <w:pPr>
              <w:pStyle w:val="Compact"/>
            </w:pPr>
            <w:r>
              <w:t xml:space="preserve">Política monetária expansionista</w:t>
            </w:r>
          </w:p>
        </w:tc>
        <w:tc>
          <w:tcPr/>
          <w:p>
            <w:pPr>
              <w:pStyle w:val="Compact"/>
            </w:pPr>
            <m:oMath>
              <m:r>
                <m:rPr>
                  <m:sty m:val="p"/>
                </m:rPr>
                <m:t>↓</m:t>
              </m:r>
              <m:sSup>
                <m:e>
                  <m:r>
                    <m:t>r</m:t>
                  </m:r>
                </m:e>
                <m:sup>
                  <m:r>
                    <m:rPr>
                      <m:sty m:val="p"/>
                    </m:rPr>
                    <m:t>*</m:t>
                  </m:r>
                </m:sup>
              </m:sSup>
            </m:oMath>
            <w:r>
              <w:t xml:space="preserve"> </w:t>
            </w:r>
            <w:r>
              <w:t xml:space="preserve">(curto prazo)</w:t>
            </w:r>
          </w:p>
        </w:tc>
        <w:tc>
          <w:tcPr/>
          <w:p>
            <w:pPr>
              <w:pStyle w:val="Compact"/>
            </w:pPr>
            <w:r>
              <w:t xml:space="preserve">Banco Central injeta liquidez no mercado</w:t>
            </w:r>
          </w:p>
        </w:tc>
      </w:tr>
      <w:tr>
        <w:tc>
          <w:tcPr/>
          <w:p>
            <w:pPr>
              <w:pStyle w:val="Compact"/>
            </w:pPr>
            <w:r>
              <w:t xml:space="preserve">Crescimento populacional / envelhecimento</w:t>
            </w:r>
          </w:p>
        </w:tc>
        <w:tc>
          <w:tcPr/>
          <w:p>
            <w:pPr>
              <w:pStyle w:val="Compact"/>
            </w:pPr>
            <w:r>
              <w:t xml:space="preserve">Ambíguo</w:t>
            </w:r>
          </w:p>
        </w:tc>
        <w:tc>
          <w:tcPr/>
          <w:p>
            <w:pPr>
              <w:pStyle w:val="Compact"/>
            </w:pPr>
            <w:r>
              <w:t xml:space="preserve">Mais trabalhadores poupam (+S), mas também investem (+I)</w:t>
            </w:r>
          </w:p>
        </w:tc>
      </w:tr>
    </w:tbl>
    <w:p>
      <w:pPr>
        <w:pStyle w:val="BodyText"/>
      </w:pPr>
      <w:r>
        <w:rPr>
          <w:b/>
          <w:bCs/>
        </w:rPr>
        <w:t xml:space="preserve">Tabela 18.1 — Fatores que afetam a taxa de juros.</w:t>
      </w:r>
    </w:p>
    <w:p>
      <w:pPr>
        <w:pStyle w:val="BlockText"/>
      </w:pPr>
      <w:r>
        <w:rPr>
          <w:b/>
          <w:bCs/>
        </w:rPr>
        <w:t xml:space="preserve">[BOX BRASIL] Box Brasil 18.1 — O preço da paciência no Brasil: por que a Selic real é outlier global?</w:t>
      </w:r>
    </w:p>
    <w:p>
      <w:pPr>
        <w:pStyle w:val="BlockText"/>
      </w:pPr>
      <w:r>
        <w:t xml:space="preserve">O Brasil é, há décadas, um dos países com a maior taxa de juros real do mundo. Isso não é apenas uma curiosidade macroeconômica — é um fenômeno microeconômico com consequências profundas para as decisões de consumo intertemporal, investimento e poupança estudadas neste capítulo.</w:t>
      </w:r>
    </w:p>
    <w:p>
      <w:pPr>
        <w:pStyle w:val="BlockText"/>
      </w:pPr>
      <w:r>
        <w:rPr>
          <w:b/>
          <w:bCs/>
        </w:rPr>
        <w:t xml:space="preserve">Dados comparativos (taxa de juros real</w:t>
      </w:r>
      <w:r>
        <w:rPr>
          <w:b/>
          <w:bCs/>
        </w:rPr>
        <w:t xml:space="preserve"> </w:t>
      </w:r>
      <w:r>
        <w:rPr>
          <w:b/>
          <w:bCs/>
          <w:i/>
          <w:iCs/>
        </w:rPr>
        <w:t xml:space="preserve">ex ante</w:t>
      </w:r>
      <w:r>
        <w:rPr>
          <w:b/>
          <w:bCs/>
        </w:rPr>
        <w:t xml:space="preserve">, dez/2024):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País</w:t>
            </w:r>
          </w:p>
        </w:tc>
        <w:tc>
          <w:tcPr/>
          <w:p>
            <w:pPr>
              <w:pStyle w:val="Compact"/>
            </w:pPr>
            <w:r>
              <w:t xml:space="preserve">Taxa nominal</w:t>
            </w:r>
          </w:p>
        </w:tc>
        <w:tc>
          <w:tcPr/>
          <w:p>
            <w:pPr>
              <w:pStyle w:val="Compact"/>
            </w:pPr>
            <w:r>
              <w:t xml:space="preserve">Inflação esperada</w:t>
            </w:r>
          </w:p>
        </w:tc>
        <w:tc>
          <w:tcPr/>
          <w:p>
            <w:pPr>
              <w:pStyle w:val="Compact"/>
            </w:pPr>
            <w:r>
              <w:t xml:space="preserve">Taxa real</w:t>
            </w:r>
          </w:p>
        </w:tc>
      </w:tr>
      <w:tr>
        <w:tc>
          <w:tcPr/>
          <w:p>
            <w:pPr>
              <w:pStyle w:val="Compact"/>
            </w:pPr>
            <w:r>
              <w:rPr>
                <w:b/>
                <w:bCs/>
              </w:rPr>
              <w:t xml:space="preserve">Brasil</w:t>
            </w:r>
          </w:p>
        </w:tc>
        <w:tc>
          <w:tcPr/>
          <w:p>
            <w:pPr>
              <w:pStyle w:val="Compact"/>
            </w:pPr>
            <w:r>
              <w:rPr>
                <w:b/>
                <w:bCs/>
              </w:rPr>
              <w:t xml:space="preserve">12,25%</w:t>
            </w:r>
          </w:p>
        </w:tc>
        <w:tc>
          <w:tcPr/>
          <w:p>
            <w:pPr>
              <w:pStyle w:val="Compact"/>
            </w:pPr>
            <w:r>
              <w:rPr>
                <w:b/>
                <w:bCs/>
              </w:rPr>
              <w:t xml:space="preserve">4,5%</w:t>
            </w:r>
          </w:p>
        </w:tc>
        <w:tc>
          <w:tcPr/>
          <w:p>
            <w:pPr>
              <w:pStyle w:val="Compact"/>
            </w:pPr>
            <w:r>
              <w:rPr>
                <w:b/>
                <w:bCs/>
              </w:rPr>
              <w:t xml:space="preserve">≈ 7,4%</w:t>
            </w:r>
          </w:p>
        </w:tc>
      </w:tr>
      <w:tr>
        <w:tc>
          <w:tcPr/>
          <w:p>
            <w:pPr>
              <w:pStyle w:val="Compact"/>
            </w:pPr>
            <w:r>
              <w:t xml:space="preserve">México</w:t>
            </w:r>
          </w:p>
        </w:tc>
        <w:tc>
          <w:tcPr/>
          <w:p>
            <w:pPr>
              <w:pStyle w:val="Compact"/>
            </w:pPr>
            <w:r>
              <w:t xml:space="preserve">10,00%</w:t>
            </w:r>
          </w:p>
        </w:tc>
        <w:tc>
          <w:tcPr/>
          <w:p>
            <w:pPr>
              <w:pStyle w:val="Compact"/>
            </w:pPr>
            <w:r>
              <w:t xml:space="preserve">4,2%</w:t>
            </w:r>
          </w:p>
        </w:tc>
        <w:tc>
          <w:tcPr/>
          <w:p>
            <w:pPr>
              <w:pStyle w:val="Compact"/>
            </w:pPr>
            <w:r>
              <w:t xml:space="preserve">≈ 5,6%</w:t>
            </w:r>
          </w:p>
        </w:tc>
      </w:tr>
      <w:tr>
        <w:tc>
          <w:tcPr/>
          <w:p>
            <w:pPr>
              <w:pStyle w:val="Compact"/>
            </w:pPr>
            <w:r>
              <w:t xml:space="preserve">Colômbia</w:t>
            </w:r>
          </w:p>
        </w:tc>
        <w:tc>
          <w:tcPr/>
          <w:p>
            <w:pPr>
              <w:pStyle w:val="Compact"/>
            </w:pPr>
            <w:r>
              <w:t xml:space="preserve">9,50%</w:t>
            </w:r>
          </w:p>
        </w:tc>
        <w:tc>
          <w:tcPr/>
          <w:p>
            <w:pPr>
              <w:pStyle w:val="Compact"/>
            </w:pPr>
            <w:r>
              <w:t xml:space="preserve">5,3%</w:t>
            </w:r>
          </w:p>
        </w:tc>
        <w:tc>
          <w:tcPr/>
          <w:p>
            <w:pPr>
              <w:pStyle w:val="Compact"/>
            </w:pPr>
            <w:r>
              <w:t xml:space="preserve">≈ 4,0%</w:t>
            </w:r>
          </w:p>
        </w:tc>
      </w:tr>
      <w:tr>
        <w:tc>
          <w:tcPr/>
          <w:p>
            <w:pPr>
              <w:pStyle w:val="Compact"/>
            </w:pPr>
            <w:r>
              <w:t xml:space="preserve">EUA</w:t>
            </w:r>
          </w:p>
        </w:tc>
        <w:tc>
          <w:tcPr/>
          <w:p>
            <w:pPr>
              <w:pStyle w:val="Compact"/>
            </w:pPr>
            <w:r>
              <w:t xml:space="preserve">4,50%</w:t>
            </w:r>
          </w:p>
        </w:tc>
        <w:tc>
          <w:tcPr/>
          <w:p>
            <w:pPr>
              <w:pStyle w:val="Compact"/>
            </w:pPr>
            <w:r>
              <w:t xml:space="preserve">2,4%</w:t>
            </w:r>
          </w:p>
        </w:tc>
        <w:tc>
          <w:tcPr/>
          <w:p>
            <w:pPr>
              <w:pStyle w:val="Compact"/>
            </w:pPr>
            <w:r>
              <w:t xml:space="preserve">≈ 2,1%</w:t>
            </w:r>
          </w:p>
        </w:tc>
      </w:tr>
      <w:tr>
        <w:tc>
          <w:tcPr/>
          <w:p>
            <w:pPr>
              <w:pStyle w:val="Compact"/>
            </w:pPr>
            <w:r>
              <w:t xml:space="preserve">Zona do Euro</w:t>
            </w:r>
          </w:p>
        </w:tc>
        <w:tc>
          <w:tcPr/>
          <w:p>
            <w:pPr>
              <w:pStyle w:val="Compact"/>
            </w:pPr>
            <w:r>
              <w:t xml:space="preserve">3,00%</w:t>
            </w:r>
          </w:p>
        </w:tc>
        <w:tc>
          <w:tcPr/>
          <w:p>
            <w:pPr>
              <w:pStyle w:val="Compact"/>
            </w:pPr>
            <w:r>
              <w:t xml:space="preserve">2,1%</w:t>
            </w:r>
          </w:p>
        </w:tc>
        <w:tc>
          <w:tcPr/>
          <w:p>
            <w:pPr>
              <w:pStyle w:val="Compact"/>
            </w:pPr>
            <w:r>
              <w:t xml:space="preserve">≈ 0,9%</w:t>
            </w:r>
          </w:p>
        </w:tc>
      </w:tr>
      <w:tr>
        <w:tc>
          <w:tcPr/>
          <w:p>
            <w:pPr>
              <w:pStyle w:val="Compact"/>
            </w:pPr>
            <w:r>
              <w:t xml:space="preserve">Japão</w:t>
            </w:r>
          </w:p>
        </w:tc>
        <w:tc>
          <w:tcPr/>
          <w:p>
            <w:pPr>
              <w:pStyle w:val="Compact"/>
            </w:pPr>
            <w:r>
              <w:t xml:space="preserve">0,25%</w:t>
            </w:r>
          </w:p>
        </w:tc>
        <w:tc>
          <w:tcPr/>
          <w:p>
            <w:pPr>
              <w:pStyle w:val="Compact"/>
            </w:pPr>
            <w:r>
              <w:t xml:space="preserve">2,5%</w:t>
            </w:r>
          </w:p>
        </w:tc>
        <w:tc>
          <w:tcPr/>
          <w:p>
            <w:pPr>
              <w:pStyle w:val="Compact"/>
            </w:pPr>
            <w:r>
              <w:t xml:space="preserve">≈ −2,2%</w:t>
            </w:r>
          </w:p>
        </w:tc>
      </w:tr>
    </w:tbl>
    <w:p>
      <w:pPr>
        <w:pStyle w:val="BlockText"/>
      </w:pPr>
      <w:r>
        <w:rPr>
          <w:i/>
          <w:iCs/>
        </w:rPr>
        <w:t xml:space="preserve">Fontes: BCB, Fed, ECB, BoJ. Taxa real aproximada pela equação de Fisher (Seção 18.4).</w:t>
      </w:r>
    </w:p>
    <w:p>
      <w:pPr>
        <w:pStyle w:val="BlockText"/>
      </w:pPr>
      <w:r>
        <w:rPr>
          <w:b/>
          <w:bCs/>
        </w:rPr>
        <w:t xml:space="preserve">Por que o Brasil é outlier?</w:t>
      </w:r>
      <w:r>
        <w:t xml:space="preserve"> </w:t>
      </w:r>
      <w:r>
        <w:t xml:space="preserve">A teoria oferece várias explicações complementares, todas conectadas aos fatores da Tabela 18.1:</w:t>
      </w:r>
    </w:p>
    <w:p>
      <w:pPr>
        <w:pStyle w:val="Compact"/>
        <w:numPr>
          <w:ilvl w:val="0"/>
          <w:numId w:val="1993"/>
        </w:numPr>
      </w:pPr>
      <w:r>
        <w:rPr>
          <w:b/>
          <w:bCs/>
        </w:rPr>
        <w:t xml:space="preserve">Risco percebido elevado</w:t>
      </w:r>
      <w:r>
        <w:t xml:space="preserve"> </w:t>
      </w:r>
      <w:r>
        <w:t xml:space="preserve">(↑ prêmio de risco): histórico de moratória (1987), hiperinflação (1980–94) e crises fiscais recorrentes elevam o prêmio exigido por credores. A dívida pública bruta acima de 75% do PIB e a trajetória fiscal incerta amplificam esse efeito.</w:t>
      </w:r>
    </w:p>
    <w:p>
      <w:pPr>
        <w:pStyle w:val="Compact"/>
        <w:numPr>
          <w:ilvl w:val="0"/>
          <w:numId w:val="1993"/>
        </w:numPr>
      </w:pPr>
      <w:r>
        <w:rPr>
          <w:b/>
          <w:bCs/>
        </w:rPr>
        <w:t xml:space="preserve">Taxa de poupança doméstica baixa</w:t>
      </w:r>
      <w:r>
        <w:t xml:space="preserve"> </w:t>
      </w:r>
      <w:r>
        <w:t xml:space="preserve">(~15% do PIB vs. ~45% na China): a oferta de fundos emprestáveis é relativamente escassa, pressionando</w:t>
      </w:r>
      <w:r>
        <w:t xml:space="preserve"> </w:t>
      </w:r>
      <m:oMath>
        <m:sSup>
          <m:e>
            <m:r>
              <m:t>r</m:t>
            </m:r>
          </m:e>
          <m:sup>
            <m:r>
              <m:rPr>
                <m:sty m:val="p"/>
              </m:rPr>
              <m:t>*</m:t>
            </m:r>
          </m:sup>
        </m:sSup>
      </m:oMath>
      <w:r>
        <w:t xml:space="preserve"> </w:t>
      </w:r>
      <w:r>
        <w:t xml:space="preserve">para cima.</w:t>
      </w:r>
    </w:p>
    <w:p>
      <w:pPr>
        <w:pStyle w:val="Compact"/>
        <w:numPr>
          <w:ilvl w:val="0"/>
          <w:numId w:val="1993"/>
        </w:numPr>
      </w:pPr>
      <w:r>
        <w:rPr>
          <w:b/>
          <w:bCs/>
        </w:rPr>
        <w:t xml:space="preserve">Crédito direcionado e BNDES</w:t>
      </w:r>
      <w:r>
        <w:t xml:space="preserve">: parte significativa do crédito no Brasil é concedida a taxas subsidiadas (TLP), criando segmentação no mercado de fundos. A Selic precisa ser mais alta para equilibrar o segmento livre, onde a demanda residual é concentrada.</w:t>
      </w:r>
    </w:p>
    <w:p>
      <w:pPr>
        <w:pStyle w:val="Compact"/>
        <w:numPr>
          <w:ilvl w:val="0"/>
          <w:numId w:val="1993"/>
        </w:numPr>
      </w:pPr>
      <w:r>
        <w:rPr>
          <w:b/>
          <w:bCs/>
        </w:rPr>
        <w:t xml:space="preserve">Dominância fiscal</w:t>
      </w:r>
      <w:r>
        <w:t xml:space="preserve">: expectativas de expansão fiscal futura elevam a inflação esperada e, via equação de Fisher, a taxa nominal — mas o componente real também sobe pela incerteza associada.</w:t>
      </w:r>
    </w:p>
    <w:p>
      <w:pPr>
        <w:pStyle w:val="BlockText"/>
      </w:pPr>
      <w:r>
        <w:rPr>
          <w:b/>
          <w:bCs/>
        </w:rPr>
        <w:t xml:space="preserve">Consequências microeconômicas:</w:t>
      </w:r>
    </w:p>
    <w:p>
      <w:pPr>
        <w:pStyle w:val="Compact"/>
        <w:numPr>
          <w:ilvl w:val="0"/>
          <w:numId w:val="1994"/>
        </w:numPr>
      </w:pPr>
      <w:r>
        <w:rPr>
          <w:b/>
          <w:bCs/>
        </w:rPr>
        <w:t xml:space="preserve">Investimento:</w:t>
      </w:r>
      <w:r>
        <w:t xml:space="preserve"> </w:t>
      </w:r>
      <w:r>
        <w:t xml:space="preserve">Com taxa real de 7%, o VPL de projetos de longo prazo (infraestrutura, P&amp;D) é dramaticamente reduzido — a Seção 18.6 mostra que o VPL é</w:t>
      </w:r>
      <w:r>
        <w:t xml:space="preserve"> </w:t>
      </w:r>
      <m:oMath>
        <m:r>
          <m:rPr>
            <m:sty m:val="p"/>
          </m:rPr>
          <m:t>∑</m:t>
        </m:r>
        <m:f>
          <m:fPr>
            <m:type m:val="bar"/>
          </m:fPr>
          <m:num>
            <m:sSub>
              <m:e>
                <m:r>
                  <m:t>R</m:t>
                </m:r>
              </m:e>
              <m:sub>
                <m:r>
                  <m:t>t</m:t>
                </m:r>
              </m:sub>
            </m:sSub>
          </m:num>
          <m:den>
            <m:r>
              <m:rPr>
                <m:sty m:val="p"/>
              </m:rPr>
              <m:t>(</m:t>
            </m:r>
            <m:r>
              <m:t>1</m:t>
            </m:r>
            <m:r>
              <m:rPr>
                <m:sty m:val="p"/>
              </m:rPr>
              <m:t>+</m:t>
            </m:r>
            <m:r>
              <m:t>r</m:t>
            </m:r>
            <m:sSup>
              <m:e>
                <m:r>
                  <m:rPr>
                    <m:sty m:val="p"/>
                  </m:rPr>
                  <m:t>)</m:t>
                </m:r>
              </m:e>
              <m:sup>
                <m:r>
                  <m:t>t</m:t>
                </m:r>
              </m:sup>
            </m:sSup>
          </m:den>
        </m:f>
        <m:r>
          <m:rPr>
            <m:sty m:val="p"/>
          </m:rPr>
          <m:t>−</m:t>
        </m:r>
        <m:sSub>
          <m:e>
            <m:r>
              <m:t>C</m:t>
            </m:r>
          </m:e>
          <m:sub>
            <m:r>
              <m:t>0</m:t>
            </m:r>
          </m:sub>
        </m:sSub>
      </m:oMath>
      <w:r>
        <w:t xml:space="preserve">, e juros altos</w:t>
      </w:r>
      <w:r>
        <w:t xml:space="preserve"> </w:t>
      </w:r>
      <w:r>
        <w:t xml:space="preserve">“esmagam”</w:t>
      </w:r>
      <w:r>
        <w:t xml:space="preserve"> </w:t>
      </w:r>
      <w:r>
        <w:t xml:space="preserve">os fluxos futuros. Um projeto que seria viável nos EUA (r = 2%) pode ter VPL negativo no Brasil (r = 7%).</w:t>
      </w:r>
    </w:p>
    <w:p>
      <w:pPr>
        <w:pStyle w:val="Compact"/>
        <w:numPr>
          <w:ilvl w:val="0"/>
          <w:numId w:val="1994"/>
        </w:numPr>
      </w:pPr>
      <w:r>
        <w:rPr>
          <w:b/>
          <w:bCs/>
        </w:rPr>
        <w:t xml:space="preserve">Consumo intertemporal:</w:t>
      </w:r>
      <w:r>
        <w:t xml:space="preserve"> </w:t>
      </w:r>
      <w:r>
        <w:t xml:space="preserve">No modelo de Fisher (Seção 18.3), juros reais elevados incentivam a poupança (efeito substituição domina para poupadores) mas encarecem drasticamente o crédito ao consumidor. A taxa média de juros do cartão de crédito rotativo no Brasil atingiu 431% a.a. em 2024 (BCB) — quase certamente a maior do mundo.</w:t>
      </w:r>
    </w:p>
    <w:p>
      <w:pPr>
        <w:pStyle w:val="Compact"/>
        <w:numPr>
          <w:ilvl w:val="0"/>
          <w:numId w:val="1994"/>
        </w:numPr>
      </w:pPr>
      <w:r>
        <w:rPr>
          <w:b/>
          <w:bCs/>
        </w:rPr>
        <w:t xml:space="preserve">Custo de oportunidade:</w:t>
      </w:r>
      <w:r>
        <w:t xml:space="preserve"> </w:t>
      </w:r>
      <w:r>
        <w:t xml:space="preserve">Para o investidor brasileiro, o Tesouro Selic oferece retorno real de ~7% com risco praticamente zero. Isso eleva o custo de oportunidade de qualquer investimento produtivo e ajuda a explicar por que o Brasil investe apenas ~16% do PIB (vs. 25–30% em economias asiáticas).</w:t>
      </w:r>
    </w:p>
    <w:p>
      <w:pPr>
        <w:pStyle w:val="BlockText"/>
      </w:pPr>
      <w:r>
        <w:rPr>
          <w:b/>
          <w:bCs/>
        </w:rPr>
        <w:t xml:space="preserve">Fontes:</w:t>
      </w:r>
      <w:r>
        <w:t xml:space="preserve"> </w:t>
      </w:r>
      <w:r>
        <w:t xml:space="preserve">BCB — SGS (séries temporais); Arida, Bacha e Lara-Resende (2005).</w:t>
      </w:r>
      <w:r>
        <w:t xml:space="preserve"> </w:t>
      </w:r>
      <w:r>
        <w:t xml:space="preserve">“Credit, Interest, and Jurisdictional Uncertainty.”</w:t>
      </w:r>
      <w:r>
        <w:t xml:space="preserve"> </w:t>
      </w:r>
      <w:r>
        <w:t xml:space="preserve">In: Giavazzi, Goldfajn e Herrera (eds.),</w:t>
      </w:r>
      <w:r>
        <w:t xml:space="preserve"> </w:t>
      </w:r>
      <w:r>
        <w:rPr>
          <w:i/>
          <w:iCs/>
        </w:rPr>
        <w:t xml:space="preserve">Inflation Targeting, Debt, and the Brazilian Experience</w:t>
      </w:r>
      <w:r>
        <w:t xml:space="preserve">. MIT Press.</w:t>
      </w:r>
    </w:p>
    <w:p>
      <w:pPr>
        <w:pStyle w:val="FirstParagraph"/>
      </w:pPr>
      <w:r>
        <w:t xml:space="preserve">Historicamente, a teoria econômica ofereceu explicações distintas para a existência de juros positivos. Para os economistas clássicos (Böhm-Bawerk, Fisher), os juros refletem a</w:t>
      </w:r>
      <w:r>
        <w:t xml:space="preserve"> </w:t>
      </w:r>
      <w:r>
        <w:rPr>
          <w:b/>
          <w:bCs/>
        </w:rPr>
        <w:t xml:space="preserve">preferência temporal</w:t>
      </w:r>
      <w:r>
        <w:t xml:space="preserve"> </w:t>
      </w:r>
      <w:r>
        <w:t xml:space="preserve">— o fato de que as pessoas valorizam mais o presente que o futuro — combinada com a</w:t>
      </w:r>
      <w:r>
        <w:t xml:space="preserve"> </w:t>
      </w:r>
      <w:r>
        <w:rPr>
          <w:b/>
          <w:bCs/>
        </w:rPr>
        <w:t xml:space="preserve">produtividade do capital</w:t>
      </w:r>
      <w:r>
        <w:t xml:space="preserve"> </w:t>
      </w:r>
      <w:r>
        <w:t xml:space="preserve">— o fato de que métodos de produção mais demorados (roundabout) são mais produtivos. Keynes enfatizou o papel da</w:t>
      </w:r>
      <w:r>
        <w:t xml:space="preserve"> </w:t>
      </w:r>
      <w:r>
        <w:rPr>
          <w:b/>
          <w:bCs/>
        </w:rPr>
        <w:t xml:space="preserve">preferência pela liquidez</w:t>
      </w:r>
      <w:r>
        <w:t xml:space="preserve">: como reter moeda proporciona flexibilidade, os agentes exigem uma compensação (juros) para abrir mão dessa liquidez. Na síntese moderna, todos esses fatores interagem no mercado de fundos emprestáveis.</w:t>
      </w:r>
    </w:p>
    <w:bookmarkEnd w:id="1134"/>
    <w:bookmarkEnd w:id="1135"/>
    <w:bookmarkEnd w:id="1136"/>
    <w:bookmarkStart w:id="1142" w:name="modelo-de-fisher-e-inflação"/>
    <w:p>
      <w:pPr>
        <w:pStyle w:val="Heading2"/>
      </w:pPr>
      <w:r>
        <w:t xml:space="preserve">18.3–18.4 Modelo de Fisher e Inflação</w:t>
      </w:r>
    </w:p>
    <w:bookmarkStart w:id="1140" w:name="Xc685e2c3fd7a3a63944383a54aa249ea27f5fdd"/>
    <w:p>
      <w:pPr>
        <w:pStyle w:val="Heading3"/>
      </w:pPr>
      <w:r>
        <w:t xml:space="preserve">18.3 Gastar Agora ou Guardar para Janeiro: O Modelo de Fisher</w:t>
      </w:r>
    </w:p>
    <w:p>
      <w:pPr>
        <w:pStyle w:val="FirstParagraph"/>
      </w:pPr>
      <w:r>
        <w:t xml:space="preserve">Gastar tudo no bar na sexta-feira ou guardar para a viagem de janeiro? Em essência, toda decisão financeira é uma briga entre o seu</w:t>
      </w:r>
      <w:r>
        <w:t xml:space="preserve"> </w:t>
      </w:r>
      <w:r>
        <w:t xml:space="preserve">“eu de agora”</w:t>
      </w:r>
      <w:r>
        <w:t xml:space="preserve"> </w:t>
      </w:r>
      <w:r>
        <w:t xml:space="preserve">e o seu</w:t>
      </w:r>
      <w:r>
        <w:t xml:space="preserve"> </w:t>
      </w:r>
      <w:r>
        <w:t xml:space="preserve">“eu do futuro”</w:t>
      </w:r>
      <w:r>
        <w:t xml:space="preserve">. Irving Fisher, em 1930, transformou essa briga existencial em um modelo elegante de dois períodos — a pedra angular da teoria do consumo intertemporal. As ferramentas aqui desenvolvidas — restrição orçamentária intertemporal, riqueza intertemporal, taxa de preferência intertemporal — serão empregadas novamente nos capítulos subsequentes e na macroeconomia.</w:t>
      </w:r>
    </w:p>
    <w:bookmarkStart w:id="1137" w:name="estrutura-do-modelo"/>
    <w:p>
      <w:pPr>
        <w:pStyle w:val="Heading4"/>
      </w:pPr>
      <w:r>
        <w:t xml:space="preserve">Estrutura do modelo</w:t>
      </w:r>
    </w:p>
    <w:p>
      <w:pPr>
        <w:pStyle w:val="FirstParagraph"/>
      </w:pPr>
      <w:r>
        <w:t xml:space="preserve">Considere um consumidor que vive dois períodos (</w:t>
      </w:r>
      <m:oMath>
        <m:r>
          <m:t>t</m:t>
        </m:r>
        <m:r>
          <m:rPr>
            <m:sty m:val="p"/>
          </m:rPr>
          <m:t>=</m:t>
        </m:r>
        <m:r>
          <m:t>1</m:t>
        </m:r>
        <m:r>
          <m:rPr>
            <m:sty m:val="p"/>
          </m:rPr>
          <m:t>,</m:t>
        </m:r>
        <m:r>
          <m:t>2</m:t>
        </m:r>
      </m:oMath>
      <w:r>
        <w:t xml:space="preserve">) e deve decidir quanto consumir em cada período.</w:t>
      </w:r>
    </w:p>
    <w:p>
      <w:pPr>
        <w:pStyle w:val="Compact"/>
        <w:numPr>
          <w:ilvl w:val="0"/>
          <w:numId w:val="1995"/>
        </w:numPr>
      </w:pPr>
      <w:r>
        <w:t xml:space="preserve">Renda nos períodos 1 e 2:</w:t>
      </w:r>
      <w:r>
        <w:t xml:space="preserve"> </w:t>
      </w:r>
      <m:oMath>
        <m:sSub>
          <m:e>
            <m:r>
              <m:t>Y</m:t>
            </m:r>
          </m:e>
          <m:sub>
            <m:r>
              <m:t>1</m:t>
            </m:r>
          </m:sub>
        </m:sSub>
      </m:oMath>
      <w:r>
        <w:t xml:space="preserve"> </w:t>
      </w:r>
      <w:r>
        <w:t xml:space="preserve">e</w:t>
      </w:r>
      <w:r>
        <w:t xml:space="preserve"> </w:t>
      </w:r>
      <m:oMath>
        <m:sSub>
          <m:e>
            <m:r>
              <m:t>Y</m:t>
            </m:r>
          </m:e>
          <m:sub>
            <m:r>
              <m:t>2</m:t>
            </m:r>
          </m:sub>
        </m:sSub>
      </m:oMath>
      <w:r>
        <w:t xml:space="preserve">;</w:t>
      </w:r>
    </w:p>
    <w:p>
      <w:pPr>
        <w:pStyle w:val="Compact"/>
        <w:numPr>
          <w:ilvl w:val="0"/>
          <w:numId w:val="1995"/>
        </w:numPr>
      </w:pPr>
      <w:r>
        <w:t xml:space="preserve">Consumo nos períodos 1 e 2:</w:t>
      </w:r>
      <w:r>
        <w:t xml:space="preserve"> </w:t>
      </w:r>
      <m:oMath>
        <m:sSub>
          <m:e>
            <m:r>
              <m:t>C</m:t>
            </m:r>
          </m:e>
          <m:sub>
            <m:r>
              <m:t>1</m:t>
            </m:r>
          </m:sub>
        </m:sSub>
      </m:oMath>
      <w:r>
        <w:t xml:space="preserve"> </w:t>
      </w:r>
      <w:r>
        <w:t xml:space="preserve">e</w:t>
      </w:r>
      <w:r>
        <w:t xml:space="preserve"> </w:t>
      </w:r>
      <m:oMath>
        <m:sSub>
          <m:e>
            <m:r>
              <m:t>C</m:t>
            </m:r>
          </m:e>
          <m:sub>
            <m:r>
              <m:t>2</m:t>
            </m:r>
          </m:sub>
        </m:sSub>
      </m:oMath>
      <w:r>
        <w:t xml:space="preserve">;</w:t>
      </w:r>
    </w:p>
    <w:p>
      <w:pPr>
        <w:pStyle w:val="Compact"/>
        <w:numPr>
          <w:ilvl w:val="0"/>
          <w:numId w:val="1995"/>
        </w:numPr>
      </w:pPr>
      <w:r>
        <w:t xml:space="preserve">Taxa de juros de mercado:</w:t>
      </w:r>
      <w:r>
        <w:t xml:space="preserve"> </w:t>
      </w:r>
      <m:oMath>
        <m:r>
          <m:t>r</m:t>
        </m:r>
      </m:oMath>
      <w:r>
        <w:t xml:space="preserve">;</w:t>
      </w:r>
    </w:p>
    <w:p>
      <w:pPr>
        <w:pStyle w:val="Compact"/>
        <w:numPr>
          <w:ilvl w:val="0"/>
          <w:numId w:val="1995"/>
        </w:numPr>
      </w:pPr>
      <w:r>
        <w:t xml:space="preserve">O consumidor pode poupar (</w:t>
      </w:r>
      <m:oMath>
        <m:r>
          <m:t>S</m:t>
        </m:r>
        <m:r>
          <m:rPr>
            <m:sty m:val="p"/>
          </m:rPr>
          <m:t>&gt;</m:t>
        </m:r>
        <m:r>
          <m:t>0</m:t>
        </m:r>
      </m:oMath>
      <w:r>
        <w:t xml:space="preserve">) ou tomar empréstimo (</w:t>
      </w:r>
      <m:oMath>
        <m:r>
          <m:t>S</m:t>
        </m:r>
        <m:r>
          <m:rPr>
            <m:sty m:val="p"/>
          </m:rPr>
          <m:t>&lt;</m:t>
        </m:r>
        <m:r>
          <m:t>0</m:t>
        </m:r>
      </m:oMath>
      <w:r>
        <w:t xml:space="preserve">).</w:t>
      </w:r>
    </w:p>
    <w:p>
      <w:pPr>
        <w:pStyle w:val="FirstParagraph"/>
      </w:pPr>
      <w:r>
        <w:t xml:space="preserve">A poupança no período 1 é</w:t>
      </w:r>
      <w:r>
        <w:t xml:space="preserve"> </w:t>
      </w:r>
      <m:oMath>
        <m:r>
          <m:t>S</m:t>
        </m:r>
        <m:r>
          <m:rPr>
            <m:sty m:val="p"/>
          </m:rPr>
          <m:t>=</m:t>
        </m:r>
        <m:sSub>
          <m:e>
            <m:r>
              <m:t>Y</m:t>
            </m:r>
          </m:e>
          <m:sub>
            <m:r>
              <m:t>1</m:t>
            </m:r>
          </m:sub>
        </m:sSub>
        <m:r>
          <m:rPr>
            <m:sty m:val="p"/>
          </m:rPr>
          <m:t>−</m:t>
        </m:r>
        <m:sSub>
          <m:e>
            <m:r>
              <m:t>C</m:t>
            </m:r>
          </m:e>
          <m:sub>
            <m:r>
              <m:t>1</m:t>
            </m:r>
          </m:sub>
        </m:sSub>
      </m:oMath>
      <w:r>
        <w:t xml:space="preserve">. Se</w:t>
      </w:r>
      <w:r>
        <w:t xml:space="preserve"> </w:t>
      </w:r>
      <m:oMath>
        <m:r>
          <m:t>S</m:t>
        </m:r>
        <m:r>
          <m:rPr>
            <m:sty m:val="p"/>
          </m:rPr>
          <m:t>&gt;</m:t>
        </m:r>
        <m:r>
          <m:t>0</m:t>
        </m:r>
      </m:oMath>
      <w:r>
        <w:t xml:space="preserve">, o consumidor transfere recursos do presente para o futuro; se</w:t>
      </w:r>
      <w:r>
        <w:t xml:space="preserve"> </w:t>
      </w:r>
      <m:oMath>
        <m:r>
          <m:t>S</m:t>
        </m:r>
        <m:r>
          <m:rPr>
            <m:sty m:val="p"/>
          </m:rPr>
          <m:t>&lt;</m:t>
        </m:r>
        <m:r>
          <m:t>0</m:t>
        </m:r>
      </m:oMath>
      <w:r>
        <w:t xml:space="preserve">, ele antecipa renda futura tomando empréstimo. No período 2, a restrição é</w:t>
      </w:r>
      <w:r>
        <w:t xml:space="preserve"> </w:t>
      </w:r>
      <m:oMath>
        <m:sSub>
          <m:e>
            <m:r>
              <m:t>C</m:t>
            </m:r>
          </m:e>
          <m:sub>
            <m:r>
              <m:t>2</m:t>
            </m:r>
          </m:sub>
        </m:sSub>
        <m:r>
          <m:rPr>
            <m:sty m:val="p"/>
          </m:rPr>
          <m:t>=</m:t>
        </m:r>
        <m:sSub>
          <m:e>
            <m:r>
              <m:t>Y</m:t>
            </m:r>
          </m:e>
          <m:sub>
            <m:r>
              <m:t>2</m:t>
            </m:r>
          </m:sub>
        </m:sSub>
        <m:r>
          <m:rPr>
            <m:sty m:val="p"/>
          </m:rPr>
          <m:t>+</m:t>
        </m:r>
        <m:r>
          <m:rPr>
            <m:sty m:val="p"/>
          </m:rPr>
          <m:t>(</m:t>
        </m:r>
        <m:r>
          <m:t>1</m:t>
        </m:r>
        <m:r>
          <m:rPr>
            <m:sty m:val="p"/>
          </m:rPr>
          <m:t>+</m:t>
        </m:r>
        <m:r>
          <m:t>r</m:t>
        </m:r>
        <m:r>
          <m:rPr>
            <m:sty m:val="p"/>
          </m:rPr>
          <m:t>)</m:t>
        </m:r>
        <m:r>
          <m:t>S</m:t>
        </m:r>
      </m:oMath>
      <w:r>
        <w:t xml:space="preserve">: a renda do período 2 mais o rendimento da poupança (ou menos o pagamento do empréstimo).</w:t>
      </w:r>
    </w:p>
    <w:p>
      <w:pPr>
        <w:pStyle w:val="BlockText"/>
      </w:pPr>
      <w:r>
        <w:rPr>
          <w:b/>
          <w:bCs/>
        </w:rPr>
        <w:t xml:space="preserve">[DEFINICAO] Restrição orçamentária intertemporal</w:t>
      </w:r>
    </w:p>
    <w:p>
      <w:pPr>
        <w:pStyle w:val="BlockText"/>
      </w:pPr>
      <w:r>
        <w:t xml:space="preserve">A restrição orçamentária intertemporal é:</w:t>
      </w:r>
    </w:p>
    <w:p>
      <w:pPr>
        <w:pStyle w:val="BlockText"/>
      </w:pPr>
      <w:r>
        <w:t xml:space="preserve">$$</w:t>
      </w:r>
    </w:p>
    <w:p>
      <w:pPr>
        <w:pStyle w:val="BlockText"/>
      </w:pPr>
      <w:r>
        <w:t xml:space="preserve">C_1 +</w:t>
      </w:r>
      <w:r>
        <w:t xml:space="preserve"> </w:t>
      </w:r>
      <w:r>
        <w:t xml:space="preserve"> </w:t>
      </w:r>
      <w:r>
        <w:t xml:space="preserve">= Y_1 +</w:t>
      </w:r>
      <w:r>
        <w:t xml:space="preserve"> </w:t>
      </w:r>
      <w:r>
        <w:t xml:space="preserve"> </w:t>
      </w:r>
      <w:r>
        <w:t xml:space="preserve">W</w:t>
      </w:r>
      <w:r>
        <w:t xml:space="preserve"> </w:t>
      </w:r>
      <w:r>
        <w:t xml:space="preserve"> </w:t>
      </w:r>
      <w:r>
        <w:t xml:space="preserve"> </w:t>
      </w:r>
      <w:r>
        <w:t xml:space="preserve">$$</w:t>
      </w:r>
    </w:p>
    <w:p>
      <w:pPr>
        <w:pStyle w:val="BlockText"/>
      </w:pPr>
      <w:r>
        <w:t xml:space="preserve">onde</w:t>
      </w:r>
      <w:r>
        <w:t xml:space="preserve"> </w:t>
      </w:r>
      <m:oMath>
        <m:r>
          <m:t>W</m:t>
        </m:r>
      </m:oMath>
      <w:r>
        <w:t xml:space="preserve"> </w:t>
      </w:r>
      <w:r>
        <w:t xml:space="preserve">é a</w:t>
      </w:r>
      <w:r>
        <w:t xml:space="preserve"> </w:t>
      </w:r>
      <w:r>
        <w:rPr>
          <w:b/>
          <w:bCs/>
        </w:rPr>
        <w:t xml:space="preserve">riqueza intertemporal</w:t>
      </w:r>
      <w:r>
        <w:t xml:space="preserve"> </w:t>
      </w:r>
      <w:r>
        <w:t xml:space="preserve">— o valor presente de toda a renda futura. A inclinação da reta orçamentária intertemporal é</w:t>
      </w:r>
      <w:r>
        <w:t xml:space="preserve"> </w:t>
      </w:r>
      <m:oMath>
        <m:r>
          <m:rPr>
            <m:sty m:val="p"/>
          </m:rPr>
          <m:t>−</m:t>
        </m:r>
        <m:r>
          <m:rPr>
            <m:sty m:val="p"/>
          </m:rPr>
          <m:t>(</m:t>
        </m:r>
        <m:r>
          <m:t>1</m:t>
        </m:r>
        <m:r>
          <m:rPr>
            <m:sty m:val="p"/>
          </m:rPr>
          <m:t>+</m:t>
        </m:r>
        <m:r>
          <m:t>r</m:t>
        </m:r>
        <m:r>
          <m:rPr>
            <m:sty m:val="p"/>
          </m:rPr>
          <m:t>)</m:t>
        </m:r>
      </m:oMath>
      <w:r>
        <w:t xml:space="preserve">.</w:t>
      </w:r>
    </w:p>
    <w:p>
      <w:pPr>
        <w:pStyle w:val="FirstParagraph"/>
      </w:pPr>
      <w:r>
        <w:t xml:space="preserve">A equação Eq. (eq:18.3) tem uma interpretação direta: o valor presente do consumo total deve igualar o valor presente da renda total. Essa restrição é uma reta no espaço</w:t>
      </w:r>
      <w:r>
        <w:t xml:space="preserve"> </w:t>
      </w:r>
      <m:oMath>
        <m:r>
          <m:rPr>
            <m:sty m:val="p"/>
          </m:rPr>
          <m:t>(</m:t>
        </m:r>
        <m:sSub>
          <m:e>
            <m:r>
              <m:t>C</m:t>
            </m:r>
          </m:e>
          <m:sub>
            <m:r>
              <m:t>1</m:t>
            </m:r>
          </m:sub>
        </m:sSub>
        <m:r>
          <m:rPr>
            <m:sty m:val="p"/>
          </m:rPr>
          <m:t>,</m:t>
        </m:r>
        <m:sSub>
          <m:e>
            <m:r>
              <m:t>C</m:t>
            </m:r>
          </m:e>
          <m:sub>
            <m:r>
              <m:t>2</m:t>
            </m:r>
          </m:sub>
        </m:sSub>
        <m:r>
          <m:rPr>
            <m:sty m:val="p"/>
          </m:rPr>
          <m:t>)</m:t>
        </m:r>
      </m:oMath>
      <w:r>
        <w:t xml:space="preserve"> </w:t>
      </w:r>
      <w:r>
        <w:t xml:space="preserve">que passa pelo</w:t>
      </w:r>
      <w:r>
        <w:t xml:space="preserve"> </w:t>
      </w:r>
      <w:r>
        <w:rPr>
          <w:b/>
          <w:bCs/>
        </w:rPr>
        <w:t xml:space="preserve">ponto de dotação</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 a cesta em que o consumidor simplesmente gasta sua renda em cada período, sem poupar nem tomar empréstimo. A inclinação</w:t>
      </w:r>
      <w:r>
        <w:t xml:space="preserve"> </w:t>
      </w:r>
      <m:oMath>
        <m:r>
          <m:rPr>
            <m:sty m:val="p"/>
          </m:rPr>
          <m:t>−</m:t>
        </m:r>
        <m:r>
          <m:rPr>
            <m:sty m:val="p"/>
          </m:rPr>
          <m:t>(</m:t>
        </m:r>
        <m:r>
          <m:t>1</m:t>
        </m:r>
        <m:r>
          <m:rPr>
            <m:sty m:val="p"/>
          </m:rPr>
          <m:t>+</m:t>
        </m:r>
        <m:r>
          <m:t>r</m:t>
        </m:r>
        <m:r>
          <m:rPr>
            <m:sty m:val="p"/>
          </m:rPr>
          <m:t>)</m:t>
        </m:r>
      </m:oMath>
      <w:r>
        <w:t xml:space="preserve"> </w:t>
      </w:r>
      <w:r>
        <w:t xml:space="preserve">reflete o preço relativo do consumo presente em termos do consumo futuro: para consumir uma unidade a mais hoje, o consumidor renuncia a</w:t>
      </w:r>
      <w:r>
        <w:t xml:space="preserve"> </w:t>
      </w:r>
      <m:oMath>
        <m:r>
          <m:rPr>
            <m:sty m:val="p"/>
          </m:rPr>
          <m:t>(</m:t>
        </m:r>
        <m:r>
          <m:t>1</m:t>
        </m:r>
        <m:r>
          <m:rPr>
            <m:sty m:val="p"/>
          </m:rPr>
          <m:t>+</m:t>
        </m:r>
        <m:r>
          <m:t>r</m:t>
        </m:r>
        <m:r>
          <m:rPr>
            <m:sty m:val="p"/>
          </m:rPr>
          <m:t>)</m:t>
        </m:r>
      </m:oMath>
      <w:r>
        <w:t xml:space="preserve"> </w:t>
      </w:r>
      <w:r>
        <w:t xml:space="preserve">unidades amanhã.</w:t>
      </w:r>
    </w:p>
    <w:p>
      <w:pPr>
        <w:pStyle w:val="BodyText"/>
      </w:pPr>
      <w:r>
        <w:t xml:space="preserve">Note a analogia precisa com o modelo estático do Capítulo 4: lá, o consumidor enfrentava uma restrição</w:t>
      </w:r>
      <w:r>
        <w:t xml:space="preserve"> </w:t>
      </w: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r>
          <m:t>m</m:t>
        </m:r>
      </m:oMath>
      <w:r>
        <w:t xml:space="preserve">, e aqui enfrentamos</w:t>
      </w:r>
      <w:r>
        <w:t xml:space="preserve"> </w:t>
      </w:r>
      <m:oMath>
        <m:sSub>
          <m:e>
            <m:r>
              <m:t>C</m:t>
            </m:r>
          </m:e>
          <m:sub>
            <m:r>
              <m:t>1</m:t>
            </m:r>
          </m:sub>
        </m:sSub>
        <m:r>
          <m:rPr>
            <m:sty m:val="p"/>
          </m:rPr>
          <m:t>+</m:t>
        </m:r>
        <m:f>
          <m:fPr>
            <m:type m:val="bar"/>
          </m:fPr>
          <m:num>
            <m:sSub>
              <m:e>
                <m:r>
                  <m:t>C</m:t>
                </m:r>
              </m:e>
              <m:sub>
                <m:r>
                  <m:t>2</m:t>
                </m:r>
              </m:sub>
            </m:sSub>
          </m:num>
          <m:den>
            <m:r>
              <m:t>1</m:t>
            </m:r>
            <m:r>
              <m:rPr>
                <m:sty m:val="p"/>
              </m:rPr>
              <m:t>+</m:t>
            </m:r>
            <m:r>
              <m:t>r</m:t>
            </m:r>
          </m:den>
        </m:f>
        <m:r>
          <m:rPr>
            <m:sty m:val="p"/>
          </m:rPr>
          <m:t>=</m:t>
        </m:r>
        <m:r>
          <m:t>W</m:t>
        </m:r>
      </m:oMath>
      <w:r>
        <w:t xml:space="preserve">. O</w:t>
      </w:r>
      <w:r>
        <w:t xml:space="preserve"> </w:t>
      </w:r>
      <w:r>
        <w:t xml:space="preserve">“preço”</w:t>
      </w:r>
      <w:r>
        <w:t xml:space="preserve"> </w:t>
      </w:r>
      <w:r>
        <w:t xml:space="preserve">do consumo no período 1 é 1, e o</w:t>
      </w:r>
      <w:r>
        <w:t xml:space="preserve"> </w:t>
      </w:r>
      <w:r>
        <w:t xml:space="preserve">“preço”</w:t>
      </w:r>
      <w:r>
        <w:t xml:space="preserve"> </w:t>
      </w:r>
      <w:r>
        <w:t xml:space="preserve">do consumo no período 2 é</w:t>
      </w:r>
      <w:r>
        <w:t xml:space="preserve"> </w:t>
      </w:r>
      <m:oMath>
        <m:f>
          <m:fPr>
            <m:type m:val="bar"/>
          </m:fPr>
          <m:num>
            <m:r>
              <m:t>1</m:t>
            </m:r>
          </m:num>
          <m:den>
            <m:r>
              <m:t>1</m:t>
            </m:r>
            <m:r>
              <m:rPr>
                <m:sty m:val="p"/>
              </m:rPr>
              <m:t>+</m:t>
            </m:r>
            <m:r>
              <m:t>r</m:t>
            </m:r>
          </m:den>
        </m:f>
      </m:oMath>
      <w:r>
        <w:t xml:space="preserve">. A</w:t>
      </w:r>
      <w:r>
        <w:t xml:space="preserve"> </w:t>
      </w:r>
      <w:r>
        <w:t xml:space="preserve">“renda”</w:t>
      </w:r>
      <w:r>
        <w:t xml:space="preserve"> </w:t>
      </w:r>
      <w:r>
        <w:t xml:space="preserve">é a riqueza intertemporal</w:t>
      </w:r>
      <w:r>
        <w:t xml:space="preserve"> </w:t>
      </w:r>
      <m:oMath>
        <m:r>
          <m:t>W</m:t>
        </m:r>
      </m:oMath>
      <w:r>
        <w:t xml:space="preserve">. Toda a maquinaria do Capítulo 4 — tangência, efeitos renda e substituição, equação de Slutsky — se aplica diretamente.</w:t>
      </w:r>
    </w:p>
    <w:bookmarkEnd w:id="1137"/>
    <w:bookmarkStart w:id="1138" w:name="otimização"/>
    <w:p>
      <w:pPr>
        <w:pStyle w:val="Heading4"/>
      </w:pPr>
      <w:r>
        <w:t xml:space="preserve">Otimização</w:t>
      </w:r>
    </w:p>
    <w:p>
      <w:pPr>
        <w:pStyle w:val="FirstParagraph"/>
      </w:pPr>
      <w:r>
        <w:t xml:space="preserve">O consumidor maximiza</w:t>
      </w:r>
      <w:r>
        <w:t xml:space="preserve"> </w:t>
      </w:r>
      <m:oMath>
        <m:r>
          <m:t>U</m:t>
        </m:r>
        <m:r>
          <m:rPr>
            <m:sty m:val="p"/>
          </m:rPr>
          <m:t>(</m:t>
        </m:r>
        <m:sSub>
          <m:e>
            <m:r>
              <m:t>C</m:t>
            </m:r>
          </m:e>
          <m:sub>
            <m:r>
              <m:t>1</m:t>
            </m:r>
          </m:sub>
        </m:sSub>
        <m:r>
          <m:rPr>
            <m:sty m:val="p"/>
          </m:rPr>
          <m:t>,</m:t>
        </m:r>
        <m:sSub>
          <m:e>
            <m:r>
              <m:t>C</m:t>
            </m:r>
          </m:e>
          <m:sub>
            <m:r>
              <m:t>2</m:t>
            </m:r>
          </m:sub>
        </m:sSub>
        <m:r>
          <m:rPr>
            <m:sty m:val="p"/>
          </m:rPr>
          <m:t>)</m:t>
        </m:r>
      </m:oMath>
      <w:r>
        <w:t xml:space="preserve"> </w:t>
      </w:r>
      <w:r>
        <w:t xml:space="preserve">sujeito à restrição intertemporal. A condição de ótimo é:</w:t>
      </w:r>
    </w:p>
    <w:p>
      <w:pPr>
        <w:pStyle w:val="BodyText"/>
      </w:pPr>
      <w:r>
        <w:t xml:space="preserve">$$
    \frac{U_1}{U_2} = 1 + r
    \label{eq:18.4} \tag{18.4} 
    $$</w:t>
      </w:r>
    </w:p>
    <w:p>
      <w:pPr>
        <w:pStyle w:val="FirstParagraph"/>
      </w:pPr>
      <w:r>
        <w:t xml:space="preserve">ou equivalentemente:</w:t>
      </w:r>
    </w:p>
    <w:p>
      <w:pPr>
        <w:pStyle w:val="BodyText"/>
      </w:pPr>
      <m:oMathPara>
        <m:oMathParaPr>
          <m:jc m:val="center"/>
        </m:oMathParaPr>
        <m:oMath>
          <m:r>
            <m:t>T</m:t>
          </m:r>
          <m:r>
            <m:t>M</m:t>
          </m:r>
          <m:sSub>
            <m:e>
              <m:r>
                <m:t>S</m:t>
              </m:r>
            </m:e>
            <m:sub>
              <m:sSub>
                <m:e>
                  <m:r>
                    <m:t>C</m:t>
                  </m:r>
                </m:e>
                <m:sub>
                  <m:r>
                    <m:t>1</m:t>
                  </m:r>
                </m:sub>
              </m:sSub>
              <m:r>
                <m:rPr>
                  <m:sty m:val="p"/>
                </m:rPr>
                <m:t>,</m:t>
              </m:r>
              <m:sSub>
                <m:e>
                  <m:r>
                    <m:t>C</m:t>
                  </m:r>
                </m:e>
                <m:sub>
                  <m:r>
                    <m:t>2</m:t>
                  </m:r>
                </m:sub>
              </m:sSub>
            </m:sub>
          </m:sSub>
          <m:r>
            <m:rPr>
              <m:sty m:val="p"/>
            </m:rPr>
            <m:t>=</m:t>
          </m:r>
          <m:r>
            <m:t>1</m:t>
          </m:r>
          <m:r>
            <m:rPr>
              <m:sty m:val="p"/>
            </m:rPr>
            <m:t>+</m:t>
          </m:r>
          <m:r>
            <m:t>r</m:t>
          </m:r>
        </m:oMath>
      </m:oMathPara>
    </w:p>
    <w:p>
      <w:pPr>
        <w:pStyle w:val="FirstParagraph"/>
      </w:pPr>
      <w:r>
        <w:t xml:space="preserve">A condição Eq. (eq:18.4) é a versão intertemporal da regra</w:t>
      </w:r>
      <w:r>
        <w:t xml:space="preserve"> </w:t>
      </w:r>
      <m:oMath>
        <m:r>
          <m:t>T</m:t>
        </m:r>
        <m:r>
          <m:t>M</m:t>
        </m:r>
        <m:r>
          <m:t>S</m:t>
        </m:r>
        <m:r>
          <m:rPr>
            <m:sty m:val="p"/>
          </m:rPr>
          <m:t>=</m:t>
        </m:r>
        <m:sSub>
          <m:e>
            <m:r>
              <m:t>p</m:t>
            </m:r>
          </m:e>
          <m:sub>
            <m:r>
              <m:t>1</m:t>
            </m:r>
          </m:sub>
        </m:sSub>
        <m:r>
          <m:rPr>
            <m:sty m:val="p"/>
          </m:rPr>
          <m:t>/</m:t>
        </m:r>
        <m:sSub>
          <m:e>
            <m:r>
              <m:t>p</m:t>
            </m:r>
          </m:e>
          <m:sub>
            <m:r>
              <m:t>2</m:t>
            </m:r>
          </m:sub>
        </m:sSub>
      </m:oMath>
      <w:r>
        <w:t xml:space="preserve"> </w:t>
      </w:r>
      <w:r>
        <w:t xml:space="preserve">do Capítulo 4. Ela diz que, no ótimo, a disposição subjetiva do consumidor a trocar consumo futuro por consumo presente (a TMS) iguala o preço de mercado dessa troca (</w:t>
      </w:r>
      <m:oMath>
        <m:r>
          <m:t>1</m:t>
        </m:r>
        <m:r>
          <m:rPr>
            <m:sty m:val="p"/>
          </m:rPr>
          <m:t>+</m:t>
        </m:r>
        <m:r>
          <m:t>r</m:t>
        </m:r>
      </m:oMath>
      <w:r>
        <w:t xml:space="preserve">). Se a TMS fosse maior que</w:t>
      </w:r>
      <w:r>
        <w:t xml:space="preserve"> </w:t>
      </w:r>
      <m:oMath>
        <m:r>
          <m:t>1</m:t>
        </m:r>
        <m:r>
          <m:rPr>
            <m:sty m:val="p"/>
          </m:rPr>
          <m:t>+</m:t>
        </m:r>
        <m:r>
          <m:t>r</m:t>
        </m:r>
      </m:oMath>
      <w:r>
        <w:t xml:space="preserve">, o consumidor valorizaria mais o consumo presente do que o mercado permite obter — e, portanto, deveria tomar empréstimo para consumir mais hoje. Se a TMS fosse menor, deveria poupar.</w:t>
      </w:r>
    </w:p>
    <w:p>
      <w:pPr>
        <w:pStyle w:val="BodyText"/>
      </w:pPr>
      <w:r>
        <w:t xml:space="preserve">Para uma função de utilidade separável no tempo com desconto exponencial — a especificação mais comum —, temos:</w:t>
      </w:r>
    </w:p>
    <w:p>
      <w:pPr>
        <w:pStyle w:val="BodyText"/>
      </w:pPr>
      <m:oMathPara>
        <m:oMathParaPr>
          <m:jc m:val="center"/>
        </m:oMathParaPr>
        <m:oMath>
          <m:r>
            <m:t>U</m:t>
          </m:r>
          <m:r>
            <m:rPr>
              <m:sty m:val="p"/>
            </m:rPr>
            <m:t>(</m:t>
          </m:r>
          <m:sSub>
            <m:e>
              <m:r>
                <m:t>C</m:t>
              </m:r>
            </m:e>
            <m:sub>
              <m:r>
                <m:t>1</m:t>
              </m:r>
            </m:sub>
          </m:sSub>
          <m:r>
            <m:rPr>
              <m:sty m:val="p"/>
            </m:rPr>
            <m:t>,</m:t>
          </m:r>
          <m:sSub>
            <m:e>
              <m:r>
                <m:t>C</m:t>
              </m:r>
            </m:e>
            <m:sub>
              <m:r>
                <m:t>2</m:t>
              </m:r>
            </m:sub>
          </m:sSub>
          <m:r>
            <m:rPr>
              <m:sty m:val="p"/>
            </m:rPr>
            <m:t>)</m:t>
          </m:r>
          <m:r>
            <m:rPr>
              <m:sty m:val="p"/>
            </m:rPr>
            <m:t>=</m:t>
          </m:r>
          <m:r>
            <m:t>u</m:t>
          </m:r>
          <m:r>
            <m:rPr>
              <m:sty m:val="p"/>
            </m:rPr>
            <m:t>(</m:t>
          </m:r>
          <m:sSub>
            <m:e>
              <m:r>
                <m:t>C</m:t>
              </m:r>
            </m:e>
            <m:sub>
              <m:r>
                <m:t>1</m:t>
              </m:r>
            </m:sub>
          </m:sSub>
          <m:r>
            <m:rPr>
              <m:sty m:val="p"/>
            </m:rPr>
            <m:t>)</m:t>
          </m:r>
          <m:r>
            <m:rPr>
              <m:sty m:val="p"/>
            </m:rPr>
            <m:t>+</m:t>
          </m:r>
          <m:r>
            <m:t>β</m:t>
          </m:r>
          <m:r>
            <m:t> </m:t>
          </m:r>
          <m:r>
            <m:t>u</m:t>
          </m:r>
          <m:r>
            <m:rPr>
              <m:sty m:val="p"/>
            </m:rPr>
            <m:t>(</m:t>
          </m:r>
          <m:sSub>
            <m:e>
              <m:r>
                <m:t>C</m:t>
              </m:r>
            </m:e>
            <m:sub>
              <m:r>
                <m:t>2</m:t>
              </m:r>
            </m:sub>
          </m:sSub>
          <m:r>
            <m:rPr>
              <m:sty m:val="p"/>
            </m:rPr>
            <m:t>)</m:t>
          </m:r>
        </m:oMath>
      </m:oMathPara>
    </w:p>
    <w:p>
      <w:pPr>
        <w:pStyle w:val="FirstParagraph"/>
      </w:pPr>
      <w:r>
        <w:t xml:space="preserve">onde</w:t>
      </w:r>
      <w:r>
        <w:t xml:space="preserve"> </w:t>
      </w:r>
      <m:oMath>
        <m:r>
          <m:t>β</m:t>
        </m:r>
        <m:r>
          <m:rPr>
            <m:sty m:val="p"/>
          </m:rPr>
          <m:t>=</m:t>
        </m:r>
        <m:f>
          <m:fPr>
            <m:type m:val="bar"/>
          </m:fPr>
          <m:num>
            <m:r>
              <m:t>1</m:t>
            </m:r>
          </m:num>
          <m:den>
            <m:r>
              <m:t>1</m:t>
            </m:r>
            <m:r>
              <m:rPr>
                <m:sty m:val="p"/>
              </m:rPr>
              <m:t>+</m:t>
            </m:r>
            <m:r>
              <m:t>ρ</m:t>
            </m:r>
          </m:den>
        </m:f>
      </m:oMath>
      <w:r>
        <w:t xml:space="preserve"> </w:t>
      </w:r>
      <w:r>
        <w:t xml:space="preserve">é o</w:t>
      </w:r>
      <w:r>
        <w:t xml:space="preserve"> </w:t>
      </w:r>
      <w:r>
        <w:rPr>
          <w:b/>
          <w:bCs/>
        </w:rPr>
        <w:t xml:space="preserve">fator de desconto subjetivo</w:t>
      </w:r>
      <w:r>
        <w:t xml:space="preserve"> </w:t>
      </w:r>
      <w:r>
        <w:t xml:space="preserve">e</w:t>
      </w:r>
      <w:r>
        <w:t xml:space="preserve"> </w:t>
      </w:r>
      <m:oMath>
        <m:r>
          <m:t>ρ</m:t>
        </m:r>
      </m:oMath>
      <w:r>
        <w:t xml:space="preserve"> </w:t>
      </w:r>
      <w:r>
        <w:t xml:space="preserve">é a taxa de desconto subjetiva. A condição de primeira ordem se torna a</w:t>
      </w:r>
      <w:r>
        <w:t xml:space="preserve"> </w:t>
      </w:r>
      <w:r>
        <w:rPr>
          <w:b/>
          <w:bCs/>
        </w:rPr>
        <w:t xml:space="preserve">equação de Euler do consumo</w:t>
      </w:r>
      <w:r>
        <w:t xml:space="preserve">:</w:t>
      </w:r>
    </w:p>
    <w:p>
      <w:pPr>
        <w:pStyle w:val="BodyText"/>
      </w:pPr>
      <m:oMathPara>
        <m:oMathParaPr>
          <m:jc m:val="center"/>
        </m:oMathParaPr>
        <m:oMath>
          <m:sSup>
            <m:e>
              <m:r>
                <m:t>u</m:t>
              </m:r>
            </m:e>
            <m:sup>
              <m:r>
                <m:rPr>
                  <m:sty m:val="p"/>
                </m:rPr>
                <m:t>′</m:t>
              </m:r>
            </m:sup>
          </m:sSup>
          <m:r>
            <m:rPr>
              <m:sty m:val="p"/>
            </m:rPr>
            <m:t>(</m:t>
          </m:r>
          <m:sSub>
            <m:e>
              <m:r>
                <m:t>C</m:t>
              </m:r>
            </m:e>
            <m:sub>
              <m:r>
                <m:t>1</m:t>
              </m:r>
            </m:sub>
          </m:sSub>
          <m:r>
            <m:rPr>
              <m:sty m:val="p"/>
            </m:rPr>
            <m:t>)</m:t>
          </m:r>
          <m:r>
            <m:rPr>
              <m:sty m:val="p"/>
            </m:rPr>
            <m:t>=</m:t>
          </m:r>
          <m:r>
            <m:t>β</m:t>
          </m:r>
          <m:r>
            <m:rPr>
              <m:sty m:val="p"/>
            </m:rPr>
            <m:t>(</m:t>
          </m:r>
          <m:r>
            <m:t>1</m:t>
          </m:r>
          <m:r>
            <m:rPr>
              <m:sty m:val="p"/>
            </m:rPr>
            <m:t>+</m:t>
          </m:r>
          <m:r>
            <m:t>r</m:t>
          </m:r>
          <m:r>
            <m:rPr>
              <m:sty m:val="p"/>
            </m:rPr>
            <m:t>)</m:t>
          </m:r>
          <m:r>
            <m:t> </m:t>
          </m:r>
          <m:sSup>
            <m:e>
              <m:r>
                <m:t>u</m:t>
              </m:r>
            </m:e>
            <m:sup>
              <m:r>
                <m:rPr>
                  <m:sty m:val="p"/>
                </m:rPr>
                <m:t>′</m:t>
              </m:r>
            </m:sup>
          </m:sSup>
          <m:r>
            <m:rPr>
              <m:sty m:val="p"/>
            </m:rPr>
            <m:t>(</m:t>
          </m:r>
          <m:sSub>
            <m:e>
              <m:r>
                <m:t>C</m:t>
              </m:r>
            </m:e>
            <m:sub>
              <m:r>
                <m:t>2</m:t>
              </m:r>
            </m:sub>
          </m:sSub>
          <m:r>
            <m:rPr>
              <m:sty m:val="p"/>
            </m:rPr>
            <m:t>)</m:t>
          </m:r>
        </m:oMath>
      </m:oMathPara>
    </w:p>
    <w:p>
      <w:pPr>
        <w:pStyle w:val="FirstParagraph"/>
      </w:pPr>
      <w:r>
        <w:t xml:space="preserve">A equação de Euler é uma das equações mais importantes da economia intertemporal. Ela diz que a utilidade marginal de consumir um real hoje deve igualar a utilidade marginal descontada de consumir</w:t>
      </w:r>
      <w:r>
        <w:t xml:space="preserve"> </w:t>
      </w:r>
      <m:oMath>
        <m:r>
          <m:rPr>
            <m:sty m:val="p"/>
          </m:rPr>
          <m:t>(</m:t>
        </m:r>
        <m:r>
          <m:t>1</m:t>
        </m:r>
        <m:r>
          <m:rPr>
            <m:sty m:val="p"/>
          </m:rPr>
          <m:t>+</m:t>
        </m:r>
        <m:r>
          <m:t>r</m:t>
        </m:r>
        <m:r>
          <m:rPr>
            <m:sty m:val="p"/>
          </m:rPr>
          <m:t>)</m:t>
        </m:r>
      </m:oMath>
      <w:r>
        <w:t xml:space="preserve"> </w:t>
      </w:r>
      <w:r>
        <w:t xml:space="preserve">reais amanhã. Se</w:t>
      </w:r>
      <w:r>
        <w:t xml:space="preserve"> </w:t>
      </w:r>
      <m:oMath>
        <m:r>
          <m:t>r</m:t>
        </m:r>
        <m:r>
          <m:rPr>
            <m:sty m:val="p"/>
          </m:rPr>
          <m:t>&gt;</m:t>
        </m:r>
        <m:r>
          <m:t>ρ</m:t>
        </m:r>
      </m:oMath>
      <w:r>
        <w:t xml:space="preserve"> </w:t>
      </w:r>
      <w:r>
        <w:t xml:space="preserve">(a taxa de juros supera a impaciência), o consumidor poupa e escolhe</w:t>
      </w:r>
      <w:r>
        <w:t xml:space="preserve"> </w:t>
      </w:r>
      <m:oMath>
        <m:sSub>
          <m:e>
            <m:r>
              <m:t>C</m:t>
            </m:r>
          </m:e>
          <m:sub>
            <m:r>
              <m:t>2</m:t>
            </m:r>
          </m:sub>
        </m:sSub>
        <m:r>
          <m:rPr>
            <m:sty m:val="p"/>
          </m:rPr>
          <m:t>&gt;</m:t>
        </m:r>
        <m:sSub>
          <m:e>
            <m:r>
              <m:t>C</m:t>
            </m:r>
          </m:e>
          <m:sub>
            <m:r>
              <m:t>1</m:t>
            </m:r>
          </m:sub>
        </m:sSub>
      </m:oMath>
      <w:r>
        <w:t xml:space="preserve"> </w:t>
      </w:r>
      <w:r>
        <w:t xml:space="preserve">— o consumo cresce ao longo do tempo. Se</w:t>
      </w:r>
      <w:r>
        <w:t xml:space="preserve"> </w:t>
      </w:r>
      <m:oMath>
        <m:r>
          <m:t>r</m:t>
        </m:r>
        <m:r>
          <m:rPr>
            <m:sty m:val="p"/>
          </m:rPr>
          <m:t>&lt;</m:t>
        </m:r>
        <m:r>
          <m:t>ρ</m:t>
        </m:r>
      </m:oMath>
      <w:r>
        <w:t xml:space="preserve">, o consumidor toma empréstimo e consome mais no presente. Se</w:t>
      </w:r>
      <w:r>
        <w:t xml:space="preserve"> </w:t>
      </w:r>
      <m:oMath>
        <m:r>
          <m:t>r</m:t>
        </m:r>
        <m:r>
          <m:rPr>
            <m:sty m:val="p"/>
          </m:rPr>
          <m:t>=</m:t>
        </m:r>
        <m:r>
          <m:t>ρ</m:t>
        </m:r>
      </m:oMath>
      <w:r>
        <w:t xml:space="preserve">, o consumo é perfeitamente suave:</w:t>
      </w:r>
      <w:r>
        <w:t xml:space="preserve"> </w:t>
      </w:r>
      <m:oMath>
        <m:sSub>
          <m:e>
            <m:r>
              <m:t>C</m:t>
            </m:r>
          </m:e>
          <m:sub>
            <m:r>
              <m:t>1</m:t>
            </m:r>
          </m:sub>
        </m:sSub>
        <m:r>
          <m:rPr>
            <m:sty m:val="p"/>
          </m:rPr>
          <m:t>=</m:t>
        </m:r>
        <m:sSub>
          <m:e>
            <m:r>
              <m:t>C</m:t>
            </m:r>
          </m:e>
          <m:sub>
            <m:r>
              <m:t>2</m:t>
            </m:r>
          </m:sub>
        </m:sSub>
      </m:oMath>
      <w:r>
        <w:t xml:space="preserve">.</w:t>
      </w:r>
    </w:p>
    <w:p>
      <w:pPr>
        <w:pStyle w:val="BlockText"/>
      </w:pPr>
      <w:r>
        <w:rPr>
          <w:b/>
          <w:bCs/>
        </w:rPr>
        <w:t xml:space="preserve">[DEFINICAO] Taxa de preferência intertemporal</w:t>
      </w:r>
    </w:p>
    <w:p>
      <w:pPr>
        <w:pStyle w:val="BlockText"/>
      </w:pPr>
      <w:r>
        <w:t xml:space="preserve">A</w:t>
      </w:r>
      <w:r>
        <w:t xml:space="preserve"> </w:t>
      </w:r>
      <w:r>
        <w:rPr>
          <w:b/>
          <w:bCs/>
        </w:rPr>
        <w:t xml:space="preserve">taxa de preferência intertemporal</w:t>
      </w:r>
      <w:r>
        <w:t xml:space="preserve"> </w:t>
      </w:r>
      <w:r>
        <w:t xml:space="preserve">(ou taxa de desconto subjetiva)</w:t>
      </w:r>
      <w:r>
        <w:t xml:space="preserve"> </w:t>
      </w:r>
      <m:oMath>
        <m:r>
          <m:t>ρ</m:t>
        </m:r>
      </m:oMath>
      <w:r>
        <w:t xml:space="preserve"> </w:t>
      </w:r>
      <w:r>
        <w:t xml:space="preserve">é definida implicitamente por:</w:t>
      </w:r>
    </w:p>
    <w:p>
      <w:pPr>
        <w:pStyle w:val="BlockText"/>
      </w:pPr>
      <w:r>
        <w:t xml:space="preserve">$$</w:t>
      </w:r>
    </w:p>
    <w:p>
      <w:pPr>
        <w:pStyle w:val="BlockText"/>
      </w:pPr>
      <w:r>
        <w:t xml:space="preserve">TMS_{C_1, C_2} = 1 +</w:t>
      </w:r>
      <w:r>
        <w:t xml:space="preserve"> </w:t>
      </w:r>
      <w:r>
        <w:t xml:space="preserve"> </w:t>
      </w:r>
      <w:r>
        <w:t xml:space="preserve"> </w:t>
      </w:r>
      <w:r>
        <w:t xml:space="preserve"> </w:t>
      </w:r>
      <w:r>
        <w:t xml:space="preserve">$$</w:t>
      </w:r>
    </w:p>
    <w:p>
      <w:pPr>
        <w:pStyle w:val="BlockText"/>
      </w:pPr>
      <w:r>
        <w:t xml:space="preserve">A equação Eq. (eq:18.5), combinada com a condição de ótimo Eq. (eq:18.4), implica que</w:t>
      </w:r>
      <w:r>
        <w:t xml:space="preserve"> </w:t>
      </w:r>
      <m:oMath>
        <m:r>
          <m:t>ρ</m:t>
        </m:r>
        <m:r>
          <m:rPr>
            <m:sty m:val="p"/>
          </m:rPr>
          <m:t>=</m:t>
        </m:r>
        <m:r>
          <m:t>r</m:t>
        </m:r>
      </m:oMath>
      <w:r>
        <w:t xml:space="preserve"> </w:t>
      </w:r>
      <w:r>
        <w:t xml:space="preserve">no ponto de dotação quando o consumidor é indiferente entre poupar e tomar empréstimo. Se</w:t>
      </w:r>
      <w:r>
        <w:t xml:space="preserve"> </w:t>
      </w:r>
      <m:oMath>
        <m:r>
          <m:t>ρ</m:t>
        </m:r>
        <m:r>
          <m:rPr>
            <m:sty m:val="p"/>
          </m:rPr>
          <m:t>&gt;</m:t>
        </m:r>
        <m:r>
          <m:t>r</m:t>
        </m:r>
      </m:oMath>
      <w:r>
        <w:t xml:space="preserve">, o consumidor é</w:t>
      </w:r>
      <w:r>
        <w:t xml:space="preserve"> </w:t>
      </w:r>
      <w:r>
        <w:t xml:space="preserve">“impaciente”</w:t>
      </w:r>
      <w:r>
        <w:t xml:space="preserve"> </w:t>
      </w:r>
      <w:r>
        <w:t xml:space="preserve">e toma empréstimo; se</w:t>
      </w:r>
      <w:r>
        <w:t xml:space="preserve"> </w:t>
      </w:r>
      <m:oMath>
        <m:r>
          <m:t>ρ</m:t>
        </m:r>
        <m:r>
          <m:rPr>
            <m:sty m:val="p"/>
          </m:rPr>
          <m:t>&lt;</m:t>
        </m:r>
        <m:r>
          <m:t>r</m:t>
        </m:r>
      </m:oMath>
      <w:r>
        <w:t xml:space="preserve">, ele poupa.</w:t>
      </w:r>
    </w:p>
    <w:p>
      <w:pPr>
        <w:pStyle w:val="BlockText"/>
      </w:pPr>
      <w:r>
        <w:rPr>
          <w:b/>
          <w:bCs/>
        </w:rPr>
        <w:t xml:space="preserve">[INTUICAO ECONOMICA] Intuição Econômica</w:t>
      </w:r>
    </w:p>
    <w:p>
      <w:pPr>
        <w:pStyle w:val="BlockText"/>
      </w:pPr>
      <w:r>
        <w:rPr>
          <w:b/>
          <w:bCs/>
        </w:rPr>
        <w:t xml:space="preserve">Em uma frase:</w:t>
      </w:r>
      <w:r>
        <w:t xml:space="preserve"> </w:t>
      </w:r>
      <w:r>
        <w:t xml:space="preserve">O modelo de Fisher revela que poupar e tomar empréstimo são simplesmente formas de</w:t>
      </w:r>
      <w:r>
        <w:t xml:space="preserve"> </w:t>
      </w:r>
      <w:r>
        <w:t xml:space="preserve">“comprar”</w:t>
      </w:r>
      <w:r>
        <w:t xml:space="preserve"> </w:t>
      </w:r>
      <w:r>
        <w:t xml:space="preserve">consumo em diferentes momentos do tempo, ao preço</w:t>
      </w:r>
      <w:r>
        <w:t xml:space="preserve"> </w:t>
      </w:r>
      <m:oMath>
        <m:r>
          <m:rPr>
            <m:sty m:val="p"/>
          </m:rPr>
          <m:t>(</m:t>
        </m:r>
        <m:r>
          <m:t>1</m:t>
        </m:r>
        <m:r>
          <m:rPr>
            <m:sty m:val="p"/>
          </m:rPr>
          <m:t>+</m:t>
        </m:r>
        <m:r>
          <m:t>r</m:t>
        </m:r>
        <m:r>
          <m:rPr>
            <m:sty m:val="p"/>
          </m:rPr>
          <m:t>)</m:t>
        </m:r>
      </m:oMath>
      <w:r>
        <w:t xml:space="preserve">.</w:t>
      </w:r>
    </w:p>
    <w:p>
      <w:pPr>
        <w:pStyle w:val="BlockText"/>
      </w:pPr>
      <w:r>
        <w:rPr>
          <w:b/>
          <w:bCs/>
        </w:rPr>
        <w:t xml:space="preserve">Pense assim:</w:t>
      </w:r>
      <w:r>
        <w:t xml:space="preserve"> </w:t>
      </w:r>
      <w:r>
        <w:t xml:space="preserve">Um jovem profissional recém-formado ganha R$ 5.000 por mês, mas espera ganhar R$ 15.000 em dez anos. Se não existisse mercado de crédito, ele viveria apertado agora e folgado depois. O mercado financeiro permite que ele</w:t>
      </w:r>
      <w:r>
        <w:t xml:space="preserve"> </w:t>
      </w:r>
      <w:r>
        <w:t xml:space="preserve">“importe”</w:t>
      </w:r>
      <w:r>
        <w:t xml:space="preserve"> </w:t>
      </w:r>
      <w:r>
        <w:t xml:space="preserve">consumo do seu eu futuro, suavizando seu padrão de vida — a um custo dado pela taxa de juros.</w:t>
      </w:r>
    </w:p>
    <w:p>
      <w:pPr>
        <w:pStyle w:val="BlockText"/>
      </w:pPr>
      <w:r>
        <w:rPr>
          <w:b/>
          <w:bCs/>
        </w:rPr>
        <w:t xml:space="preserve">Por que isso importa:</w:t>
      </w:r>
      <w:r>
        <w:t xml:space="preserve"> </w:t>
      </w:r>
      <w:r>
        <w:t xml:space="preserve">A capacidade de transferir consumo entre períodos é o que torna possível a existência de universidades (investimento em capital humano), casas próprias (financiamento imobiliário) e aposentadoria (poupança de longo prazo). Sem mercados de crédito, cada indivíduo estaria preso à sua dotação em cada período.</w:t>
      </w:r>
    </w:p>
    <w:bookmarkEnd w:id="1138"/>
    <w:bookmarkStart w:id="1139" w:name="efeitos-de-uma-variação-na-taxa-de-juros"/>
    <w:p>
      <w:pPr>
        <w:pStyle w:val="Heading4"/>
      </w:pPr>
      <w:r>
        <w:t xml:space="preserve">Efeitos de uma variação na taxa de juros</w:t>
      </w:r>
    </w:p>
    <w:p>
      <w:pPr>
        <w:pStyle w:val="FirstParagraph"/>
      </w:pPr>
      <w:r>
        <w:t xml:space="preserve">A condição de ótimo estabelece que, no equilíbrio, a taxa de preferência intertemporal do consumidor se iguala à taxa de juros de mercado. Mas o que acontece quando a taxa de juros muda? Essa pergunta é central para a política monetária: quando o Banco Central eleva a Selic, por exemplo, espera-se que os agentes poupem mais e consumam menos no presente. O modelo de Fisher permite decompor esse efeito em componentes familiares — os efeitos substituição e renda — revelando que a resposta do consumidor depende crucialmente de sua posição como poupador ou devedor.</w:t>
      </w:r>
    </w:p>
    <w:p>
      <w:pPr>
        <w:pStyle w:val="BodyText"/>
      </w:pPr>
      <w:r>
        <w:t xml:space="preserve">Um aumento em</w:t>
      </w:r>
      <w:r>
        <w:t xml:space="preserve"> </w:t>
      </w:r>
      <m:oMath>
        <m:r>
          <m:t>r</m:t>
        </m:r>
      </m:oMath>
      <w:r>
        <w:t xml:space="preserve"> </w:t>
      </w:r>
      <w:r>
        <w:t xml:space="preserve">tem dois efeitos sobre</w:t>
      </w:r>
      <w:r>
        <w:t xml:space="preserve"> </w:t>
      </w:r>
      <m:oMath>
        <m:sSub>
          <m:e>
            <m:r>
              <m:t>C</m:t>
            </m:r>
          </m:e>
          <m:sub>
            <m:r>
              <m:t>1</m:t>
            </m:r>
          </m:sub>
        </m:sSub>
      </m:oMath>
      <w:r>
        <w:t xml:space="preserve">:</w:t>
      </w:r>
    </w:p>
    <w:p>
      <w:pPr>
        <w:pStyle w:val="Compact"/>
        <w:numPr>
          <w:ilvl w:val="0"/>
          <w:numId w:val="1996"/>
        </w:numPr>
      </w:pPr>
      <w:r>
        <w:rPr>
          <w:b/>
          <w:bCs/>
        </w:rPr>
        <w:t xml:space="preserve">Efeito substituição</w:t>
      </w:r>
      <w:r>
        <w:t xml:space="preserve">: consumo presente fica relativamente mais caro (maior custo de oportunidade), reduzindo</w:t>
      </w:r>
      <w:r>
        <w:t xml:space="preserve"> </w:t>
      </w:r>
      <m:oMath>
        <m:sSub>
          <m:e>
            <m:r>
              <m:t>C</m:t>
            </m:r>
          </m:e>
          <m:sub>
            <m:r>
              <m:t>1</m:t>
            </m:r>
          </m:sub>
        </m:sSub>
      </m:oMath>
      <w:r>
        <w:t xml:space="preserve">. Esse efeito é sempre negativo sobre</w:t>
      </w:r>
      <w:r>
        <w:t xml:space="preserve"> </w:t>
      </w:r>
      <m:oMath>
        <m:sSub>
          <m:e>
            <m:r>
              <m:t>C</m:t>
            </m:r>
          </m:e>
          <m:sub>
            <m:r>
              <m:t>1</m:t>
            </m:r>
          </m:sub>
        </m:sSub>
      </m:oMath>
      <w:r>
        <w:t xml:space="preserve"> </w:t>
      </w:r>
      <w:r>
        <w:t xml:space="preserve">e sempre positivo sobre</w:t>
      </w:r>
      <w:r>
        <w:t xml:space="preserve"> </w:t>
      </w:r>
      <m:oMath>
        <m:sSub>
          <m:e>
            <m:r>
              <m:t>C</m:t>
            </m:r>
          </m:e>
          <m:sub>
            <m:r>
              <m:t>2</m:t>
            </m:r>
          </m:sub>
        </m:sSub>
      </m:oMath>
      <w:r>
        <w:t xml:space="preserve"> </w:t>
      </w:r>
      <w:r>
        <w:t xml:space="preserve">— independe da posição do consumidor.</w:t>
      </w:r>
    </w:p>
    <w:p>
      <w:pPr>
        <w:pStyle w:val="Compact"/>
        <w:numPr>
          <w:ilvl w:val="0"/>
          <w:numId w:val="1996"/>
        </w:numPr>
      </w:pPr>
      <w:r>
        <w:rPr>
          <w:b/>
          <w:bCs/>
        </w:rPr>
        <w:t xml:space="preserve">Efeito renda</w:t>
      </w:r>
      <w:r>
        <w:t xml:space="preserve">: depende da posição do consumidor:</w:t>
      </w:r>
    </w:p>
    <w:p>
      <w:pPr>
        <w:pStyle w:val="Compact"/>
        <w:numPr>
          <w:ilvl w:val="1"/>
          <w:numId w:val="1997"/>
        </w:numPr>
      </w:pPr>
      <w:r>
        <w:t xml:space="preserve">Se é</w:t>
      </w:r>
      <w:r>
        <w:t xml:space="preserve"> </w:t>
      </w:r>
      <w:r>
        <w:rPr>
          <w:b/>
          <w:bCs/>
        </w:rPr>
        <w:t xml:space="preserve">poupador</w:t>
      </w:r>
      <w:r>
        <w:t xml:space="preserve"> </w:t>
      </w:r>
      <w:r>
        <w:t xml:space="preserve">(</w:t>
      </w:r>
      <m:oMath>
        <m:r>
          <m:t>S</m:t>
        </m:r>
        <m:r>
          <m:rPr>
            <m:sty m:val="p"/>
          </m:rPr>
          <m:t>&gt;</m:t>
        </m:r>
        <m:r>
          <m:t>0</m:t>
        </m:r>
      </m:oMath>
      <w:r>
        <w:t xml:space="preserve">): fica mais rico (seus recursos aplicados rendem mais), tende a aumentar</w:t>
      </w:r>
      <w:r>
        <w:t xml:space="preserve"> </w:t>
      </w:r>
      <m:oMath>
        <m:sSub>
          <m:e>
            <m:r>
              <m:t>C</m:t>
            </m:r>
          </m:e>
          <m:sub>
            <m:r>
              <m:t>1</m:t>
            </m:r>
          </m:sub>
        </m:sSub>
      </m:oMath>
      <w:r>
        <w:t xml:space="preserve">;</w:t>
      </w:r>
    </w:p>
    <w:p>
      <w:pPr>
        <w:pStyle w:val="Compact"/>
        <w:numPr>
          <w:ilvl w:val="1"/>
          <w:numId w:val="1997"/>
        </w:numPr>
      </w:pPr>
      <w:r>
        <w:t xml:space="preserve">Se é</w:t>
      </w:r>
      <w:r>
        <w:t xml:space="preserve"> </w:t>
      </w:r>
      <w:r>
        <w:rPr>
          <w:b/>
          <w:bCs/>
        </w:rPr>
        <w:t xml:space="preserve">devedor</w:t>
      </w:r>
      <w:r>
        <w:t xml:space="preserve"> </w:t>
      </w:r>
      <w:r>
        <w:t xml:space="preserve">(</w:t>
      </w:r>
      <m:oMath>
        <m:r>
          <m:t>S</m:t>
        </m:r>
        <m:r>
          <m:rPr>
            <m:sty m:val="p"/>
          </m:rPr>
          <m:t>&lt;</m:t>
        </m:r>
        <m:r>
          <m:t>0</m:t>
        </m:r>
      </m:oMath>
      <w:r>
        <w:t xml:space="preserve">): fica mais pobre (sua dívida custa mais), tende a reduzir</w:t>
      </w:r>
      <w:r>
        <w:t xml:space="preserve"> </w:t>
      </w:r>
      <m:oMath>
        <m:sSub>
          <m:e>
            <m:r>
              <m:t>C</m:t>
            </m:r>
          </m:e>
          <m:sub>
            <m:r>
              <m:t>1</m:t>
            </m:r>
          </m:sub>
        </m:sSub>
      </m:oMath>
      <w:r>
        <w:t xml:space="preserve">.</w:t>
      </w:r>
    </w:p>
    <w:p>
      <w:pPr>
        <w:pStyle w:val="FirstParagraph"/>
      </w:pPr>
      <w:r>
        <w:t xml:space="preserve">Para um poupador, o efeito líquido sobre</w:t>
      </w:r>
      <w:r>
        <w:t xml:space="preserve"> </w:t>
      </w:r>
      <m:oMath>
        <m:sSub>
          <m:e>
            <m:r>
              <m:t>C</m:t>
            </m:r>
          </m:e>
          <m:sub>
            <m:r>
              <m:t>1</m:t>
            </m:r>
          </m:sub>
        </m:sSub>
      </m:oMath>
      <w:r>
        <w:t xml:space="preserve"> </w:t>
      </w:r>
      <w:r>
        <w:t xml:space="preserve">é ambíguo — o efeito substituição reduz e o efeito renda aumenta o consumo presente. Essa ambiguidade é análoga ao caso da curva de oferta de trabalho backward-bending do Capítulo 17, onde um aumento no salário pode reduzir as horas trabalhadas quando o efeito renda domina. Para um devedor, ambos os efeitos atuam na mesma direção, reduzindo inequivocamente</w:t>
      </w:r>
      <w:r>
        <w:t xml:space="preserve"> </w:t>
      </w:r>
      <m:oMath>
        <m:sSub>
          <m:e>
            <m:r>
              <m:t>C</m:t>
            </m:r>
          </m:e>
          <m:sub>
            <m:r>
              <m:t>1</m:t>
            </m:r>
          </m:sub>
        </m:sSub>
      </m:oMath>
      <w:r>
        <w:t xml:space="preserve">.</w:t>
      </w:r>
    </w:p>
    <w:p>
      <w:pPr>
        <w:pStyle w:val="BodyText"/>
      </w:pPr>
      <w:r>
        <w:t xml:space="preserve">A decomposição pode ser formalizada pela equação de Slutsky intertemporal:</w:t>
      </w:r>
    </w:p>
    <w:p>
      <w:pPr>
        <w:pStyle w:val="BodyText"/>
      </w:pPr>
      <m:oMathPara>
        <m:oMathParaPr>
          <m:jc m:val="center"/>
        </m:oMathParaPr>
        <m:oMath>
          <m:f>
            <m:fPr>
              <m:type m:val="bar"/>
            </m:fPr>
            <m:num>
              <m:r>
                <m:rPr>
                  <m:sty m:val="p"/>
                </m:rPr>
                <m:t>∂</m:t>
              </m:r>
              <m:sSub>
                <m:e>
                  <m:r>
                    <m:t>C</m:t>
                  </m:r>
                </m:e>
                <m:sub>
                  <m:r>
                    <m:t>1</m:t>
                  </m:r>
                </m:sub>
              </m:sSub>
            </m:num>
            <m:den>
              <m:r>
                <m:rPr>
                  <m:sty m:val="p"/>
                </m:rPr>
                <m:t>∂</m:t>
              </m:r>
              <m:r>
                <m:t>r</m:t>
              </m:r>
            </m:den>
          </m:f>
          <m:r>
            <m:rPr>
              <m:sty m:val="p"/>
            </m:rPr>
            <m:t>=</m:t>
          </m:r>
          <m:limLow>
            <m:e>
              <m:limLow>
                <m:e>
                  <m:f>
                    <m:fPr>
                      <m:type m:val="bar"/>
                    </m:fPr>
                    <m:num>
                      <m:r>
                        <m:rPr>
                          <m:sty m:val="p"/>
                        </m:rPr>
                        <m:t>∂</m:t>
                      </m:r>
                      <m:sSub>
                        <m:e>
                          <m:r>
                            <m:t>C</m:t>
                          </m:r>
                        </m:e>
                        <m:sub>
                          <m:r>
                            <m:t>1</m:t>
                          </m:r>
                        </m:sub>
                      </m:sSub>
                    </m:num>
                    <m:den>
                      <m:r>
                        <m:rPr>
                          <m:sty m:val="p"/>
                        </m:rPr>
                        <m:t>∂</m:t>
                      </m:r>
                      <m:r>
                        <m:t>r</m:t>
                      </m:r>
                    </m:den>
                  </m:f>
                  <m:sSub>
                    <m:e>
                      <m:r>
                        <m:rPr>
                          <m:sty m:val="p"/>
                        </m:rPr>
                        <m:t>|</m:t>
                      </m:r>
                    </m:e>
                    <m:sub>
                      <m:r>
                        <m:t>U</m:t>
                      </m:r>
                      <m:r>
                        <m:rPr>
                          <m:sty m:val="p"/>
                        </m:rPr>
                        <m:t>=</m:t>
                      </m:r>
                      <m:acc>
                        <m:accPr>
                          <m:chr m:val="‾"/>
                        </m:accPr>
                        <m:e>
                          <m:r>
                            <m:t>U</m:t>
                          </m:r>
                        </m:e>
                      </m:acc>
                    </m:sub>
                  </m:sSub>
                </m:e>
                <m:lim>
                  <m:r>
                    <m:rPr>
                      <m:sty m:val="p"/>
                    </m:rPr>
                    <m:t>⏟</m:t>
                  </m:r>
                </m:lim>
              </m:limLow>
            </m:e>
            <m:lim>
              <m:r>
                <m:rPr>
                  <m:nor/>
                  <m:sty m:val="p"/>
                </m:rPr>
                <m:t>Substituição</m:t>
              </m:r>
              <m:r>
                <m:rPr>
                  <m:sty m:val="p"/>
                </m:rPr>
                <m:t>&lt;</m:t>
              </m:r>
              <m:r>
                <m:t>0</m:t>
              </m:r>
            </m:lim>
          </m:limLow>
          <m:r>
            <m:rPr>
              <m:sty m:val="p"/>
            </m:rPr>
            <m:t>+</m:t>
          </m:r>
          <m:limLow>
            <m:e>
              <m:limLow>
                <m:e>
                  <m:r>
                    <m:rPr>
                      <m:sty m:val="p"/>
                    </m:rPr>
                    <m:t>(</m:t>
                  </m:r>
                  <m:sSub>
                    <m:e>
                      <m:r>
                        <m:t>Y</m:t>
                      </m:r>
                    </m:e>
                    <m:sub>
                      <m:r>
                        <m:t>1</m:t>
                      </m:r>
                    </m:sub>
                  </m:sSub>
                  <m:r>
                    <m:rPr>
                      <m:sty m:val="p"/>
                    </m:rPr>
                    <m:t>−</m:t>
                  </m:r>
                  <m:sSubSup>
                    <m:e>
                      <m:r>
                        <m:t>C</m:t>
                      </m:r>
                    </m:e>
                    <m:sub>
                      <m:r>
                        <m:t>1</m:t>
                      </m:r>
                    </m:sub>
                    <m:sup>
                      <m:r>
                        <m:rPr>
                          <m:sty m:val="p"/>
                        </m:rPr>
                        <m:t>*</m:t>
                      </m:r>
                    </m:sup>
                  </m:sSubSup>
                  <m:r>
                    <m:rPr>
                      <m:sty m:val="p"/>
                    </m:rPr>
                    <m:t>)</m:t>
                  </m:r>
                  <m:f>
                    <m:fPr>
                      <m:type m:val="bar"/>
                    </m:fPr>
                    <m:num>
                      <m:r>
                        <m:rPr>
                          <m:sty m:val="p"/>
                        </m:rPr>
                        <m:t>∂</m:t>
                      </m:r>
                      <m:sSub>
                        <m:e>
                          <m:r>
                            <m:t>C</m:t>
                          </m:r>
                        </m:e>
                        <m:sub>
                          <m:r>
                            <m:t>1</m:t>
                          </m:r>
                        </m:sub>
                      </m:sSub>
                    </m:num>
                    <m:den>
                      <m:r>
                        <m:rPr>
                          <m:sty m:val="p"/>
                        </m:rPr>
                        <m:t>∂</m:t>
                      </m:r>
                      <m:r>
                        <m:t>W</m:t>
                      </m:r>
                    </m:den>
                  </m:f>
                </m:e>
                <m:lim>
                  <m:r>
                    <m:rPr>
                      <m:sty m:val="p"/>
                    </m:rPr>
                    <m:t>⏟</m:t>
                  </m:r>
                </m:lim>
              </m:limLow>
            </m:e>
            <m:lim>
              <m:r>
                <m:rPr>
                  <m:nor/>
                  <m:sty m:val="p"/>
                </m:rPr>
                <m:t>Renda: sinal depende de </m:t>
              </m:r>
              <m:r>
                <m:t>S</m:t>
              </m:r>
            </m:lim>
          </m:limLow>
        </m:oMath>
      </m:oMathPara>
    </w:p>
    <w:p>
      <w:pPr>
        <w:pStyle w:val="FirstParagraph"/>
      </w:pPr>
      <w:r>
        <w:t xml:space="preserve">onde</w:t>
      </w:r>
      <w:r>
        <w:t xml:space="preserve"> </w:t>
      </w:r>
      <m:oMath>
        <m:sSub>
          <m:e>
            <m:r>
              <m:t>Y</m:t>
            </m:r>
          </m:e>
          <m:sub>
            <m:r>
              <m:t>1</m:t>
            </m:r>
          </m:sub>
        </m:sSub>
        <m:r>
          <m:rPr>
            <m:sty m:val="p"/>
          </m:rPr>
          <m:t>−</m:t>
        </m:r>
        <m:sSubSup>
          <m:e>
            <m:r>
              <m:t>C</m:t>
            </m:r>
          </m:e>
          <m:sub>
            <m:r>
              <m:t>1</m:t>
            </m:r>
          </m:sub>
          <m:sup>
            <m:r>
              <m:rPr>
                <m:sty m:val="p"/>
              </m:rPr>
              <m:t>*</m:t>
            </m:r>
          </m:sup>
        </m:sSubSup>
        <m:r>
          <m:rPr>
            <m:sty m:val="p"/>
          </m:rPr>
          <m:t>=</m:t>
        </m:r>
        <m:r>
          <m:t>S</m:t>
        </m:r>
      </m:oMath>
      <w:r>
        <w:t xml:space="preserve"> </w:t>
      </w:r>
      <w:r>
        <w:t xml:space="preserve">é a poupança do consumidor. Se</w:t>
      </w:r>
      <w:r>
        <w:t xml:space="preserve"> </w:t>
      </w:r>
      <m:oMath>
        <m:r>
          <m:t>S</m:t>
        </m:r>
        <m:r>
          <m:rPr>
            <m:sty m:val="p"/>
          </m:rPr>
          <m:t>&gt;</m:t>
        </m:r>
        <m:r>
          <m:t>0</m:t>
        </m:r>
      </m:oMath>
      <w:r>
        <w:t xml:space="preserve"> </w:t>
      </w:r>
      <w:r>
        <w:t xml:space="preserve">(poupador), o efeito renda é positivo (consome mais em ambos os períodos). Se</w:t>
      </w:r>
      <w:r>
        <w:t xml:space="preserve"> </w:t>
      </w:r>
      <m:oMath>
        <m:r>
          <m:t>S</m:t>
        </m:r>
        <m:r>
          <m:rPr>
            <m:sty m:val="p"/>
          </m:rPr>
          <m:t>&lt;</m:t>
        </m:r>
        <m:r>
          <m:t>0</m:t>
        </m:r>
      </m:oMath>
      <w:r>
        <w:t xml:space="preserve"> </w:t>
      </w:r>
      <w:r>
        <w:t xml:space="preserve">(devedor), o efeito renda é negativo.</w:t>
      </w:r>
    </w:p>
    <w:p>
      <w:pPr>
        <w:pStyle w:val="BlockText"/>
      </w:pPr>
      <w:r>
        <w:rPr>
          <w:b/>
          <w:bCs/>
        </w:rPr>
        <w:t xml:space="preserve">[ATENCAO] Erro Comum</w:t>
      </w:r>
    </w:p>
    <w:p>
      <w:pPr>
        <w:pStyle w:val="BlockText"/>
      </w:pPr>
      <w:r>
        <w:rPr>
          <w:b/>
          <w:bCs/>
        </w:rPr>
        <w:t xml:space="preserve">Confundir a restrição orçamentária intertemporal em valor presente com a em valor futuro.</w:t>
      </w:r>
    </w:p>
    <w:p>
      <w:pPr>
        <w:pStyle w:val="BlockText"/>
      </w:pPr>
      <w:r>
        <w:t xml:space="preserve">Muitos alunos escrevem a restrição como</w:t>
      </w:r>
      <w:r>
        <w:t xml:space="preserve"> </w:t>
      </w:r>
      <m:oMath>
        <m:sSub>
          <m:e>
            <m:r>
              <m:t>C</m:t>
            </m:r>
          </m:e>
          <m:sub>
            <m:r>
              <m:t>1</m:t>
            </m:r>
          </m:sub>
        </m:sSub>
        <m:r>
          <m:rPr>
            <m:sty m:val="p"/>
          </m:rPr>
          <m:t>+</m:t>
        </m:r>
        <m:sSub>
          <m:e>
            <m:r>
              <m:t>C</m:t>
            </m:r>
          </m:e>
          <m:sub>
            <m:r>
              <m:t>2</m:t>
            </m:r>
          </m:sub>
        </m:sSub>
        <m:r>
          <m:rPr>
            <m:sty m:val="p"/>
          </m:rPr>
          <m:t>=</m:t>
        </m:r>
        <m:sSub>
          <m:e>
            <m:r>
              <m:t>Y</m:t>
            </m:r>
          </m:e>
          <m:sub>
            <m:r>
              <m:t>1</m:t>
            </m:r>
          </m:sub>
        </m:sSub>
        <m:r>
          <m:rPr>
            <m:sty m:val="p"/>
          </m:rPr>
          <m:t>+</m:t>
        </m:r>
        <m:sSub>
          <m:e>
            <m:r>
              <m:t>Y</m:t>
            </m:r>
          </m:e>
          <m:sub>
            <m:r>
              <m:t>2</m:t>
            </m:r>
          </m:sub>
        </m:sSub>
      </m:oMath>
      <w:r>
        <w:t xml:space="preserve">, esquecendo o fator de desconto. Essa formulação ignora completamente o papel da taxa de juros e implica que um real hoje vale o mesmo que um real amanhã. A restrição correta em</w:t>
      </w:r>
      <w:r>
        <w:t xml:space="preserve"> </w:t>
      </w:r>
      <w:r>
        <w:rPr>
          <w:b/>
          <w:bCs/>
        </w:rPr>
        <w:t xml:space="preserve">valor presente</w:t>
      </w:r>
      <w:r>
        <w:t xml:space="preserve"> </w:t>
      </w:r>
      <w:r>
        <w:t xml:space="preserve">é</w:t>
      </w:r>
      <w:r>
        <w:t xml:space="preserve"> </w:t>
      </w:r>
      <m:oMath>
        <m:sSub>
          <m:e>
            <m:r>
              <m:t>C</m:t>
            </m:r>
          </m:e>
          <m:sub>
            <m:r>
              <m:t>1</m:t>
            </m:r>
          </m:sub>
        </m:sSub>
        <m:r>
          <m:rPr>
            <m:sty m:val="p"/>
          </m:rPr>
          <m:t>+</m:t>
        </m:r>
        <m:sSub>
          <m:e>
            <m:r>
              <m:t>C</m:t>
            </m:r>
          </m:e>
          <m:sub>
            <m:r>
              <m:t>2</m:t>
            </m:r>
          </m:sub>
        </m:sSub>
        <m:r>
          <m:rPr>
            <m:sty m:val="p"/>
          </m:rPr>
          <m:t>/</m:t>
        </m:r>
        <m:r>
          <m:rPr>
            <m:sty m:val="p"/>
          </m:rPr>
          <m:t>(</m:t>
        </m:r>
        <m:r>
          <m:t>1</m:t>
        </m:r>
        <m:r>
          <m:rPr>
            <m:sty m:val="p"/>
          </m:rPr>
          <m:t>+</m:t>
        </m:r>
        <m:r>
          <m:t>r</m:t>
        </m:r>
        <m:r>
          <m:rPr>
            <m:sty m:val="p"/>
          </m:rPr>
          <m:t>)</m:t>
        </m:r>
        <m:r>
          <m:rPr>
            <m:sty m:val="p"/>
          </m:rPr>
          <m:t>=</m:t>
        </m:r>
        <m:r>
          <m:t>W</m:t>
        </m:r>
      </m:oMath>
      <w:r>
        <w:t xml:space="preserve">, e em</w:t>
      </w:r>
      <w:r>
        <w:t xml:space="preserve"> </w:t>
      </w:r>
      <w:r>
        <w:rPr>
          <w:b/>
          <w:bCs/>
        </w:rPr>
        <w:t xml:space="preserve">valor futuro</w:t>
      </w:r>
      <w:r>
        <w:t xml:space="preserve"> </w:t>
      </w:r>
      <w:r>
        <w:t xml:space="preserve">é</w:t>
      </w:r>
      <w:r>
        <w:t xml:space="preserve"> </w:t>
      </w:r>
      <m:oMath>
        <m:r>
          <m:rPr>
            <m:sty m:val="p"/>
          </m:rPr>
          <m:t>(</m:t>
        </m:r>
        <m:r>
          <m:t>1</m:t>
        </m:r>
        <m:r>
          <m:rPr>
            <m:sty m:val="p"/>
          </m:rPr>
          <m:t>+</m:t>
        </m:r>
        <m:r>
          <m:t>r</m:t>
        </m:r>
        <m:r>
          <m:rPr>
            <m:sty m:val="p"/>
          </m:rPr>
          <m:t>)</m:t>
        </m:r>
        <m:sSub>
          <m:e>
            <m:r>
              <m:t>C</m:t>
            </m:r>
          </m:e>
          <m:sub>
            <m:r>
              <m:t>1</m:t>
            </m:r>
          </m:sub>
        </m:sSub>
        <m:r>
          <m:rPr>
            <m:sty m:val="p"/>
          </m:rPr>
          <m:t>+</m:t>
        </m:r>
        <m:sSub>
          <m:e>
            <m:r>
              <m:t>C</m:t>
            </m:r>
          </m:e>
          <m:sub>
            <m:r>
              <m:t>2</m:t>
            </m:r>
          </m:sub>
        </m:sSub>
        <m:r>
          <m:rPr>
            <m:sty m:val="p"/>
          </m:rPr>
          <m:t>=</m:t>
        </m:r>
        <m:r>
          <m:rPr>
            <m:sty m:val="p"/>
          </m:rPr>
          <m:t>(</m:t>
        </m:r>
        <m:r>
          <m:t>1</m:t>
        </m:r>
        <m:r>
          <m:rPr>
            <m:sty m:val="p"/>
          </m:rPr>
          <m:t>+</m:t>
        </m:r>
        <m:r>
          <m:t>r</m:t>
        </m:r>
        <m:r>
          <m:rPr>
            <m:sty m:val="p"/>
          </m:rPr>
          <m:t>)</m:t>
        </m:r>
        <m:sSub>
          <m:e>
            <m:r>
              <m:t>Y</m:t>
            </m:r>
          </m:e>
          <m:sub>
            <m:r>
              <m:t>1</m:t>
            </m:r>
          </m:sub>
        </m:sSub>
        <m:r>
          <m:rPr>
            <m:sty m:val="p"/>
          </m:rPr>
          <m:t>+</m:t>
        </m:r>
        <m:sSub>
          <m:e>
            <m:r>
              <m:t>Y</m:t>
            </m:r>
          </m:e>
          <m:sub>
            <m:r>
              <m:t>2</m:t>
            </m:r>
          </m:sub>
        </m:sSub>
      </m:oMath>
      <w:r>
        <w:t xml:space="preserve">. Ambas são equivalentes, mas a primeira é a mais utilizada. O erro é particularmente grave quando se pede para analisar o efeito de uma variação em</w:t>
      </w:r>
      <w:r>
        <w:t xml:space="preserve"> </w:t>
      </w:r>
      <m:oMath>
        <m:r>
          <m:t>r</m:t>
        </m:r>
      </m:oMath>
      <w:r>
        <w:t xml:space="preserve">: sem o fator de desconto, a taxa de juros sequer aparece na restrição, tornando impossível qualquer análise comparativa.</w:t>
      </w:r>
    </w:p>
    <w:p>
      <w:pPr>
        <w:pStyle w:val="FirstParagraph"/>
      </w:pPr>
      <w:r>
        <w:t xml:space="preserve">[FIGURA INTERATIVA: /micro-book/graficos/cap18/consumo-intertemporal.html — versao interativa disponivel online]</w:t>
      </w:r>
    </w:p>
    <w:p>
      <w:pPr>
        <w:pStyle w:val="BodyText"/>
      </w:pPr>
      <w:r>
        <w:rPr>
          <w:b/>
          <w:bCs/>
        </w:rPr>
        <w:t xml:space="preserve">Figura 18.1 — Modelo de consumo intertemporal de dois períodos.</w:t>
      </w:r>
      <w:r>
        <w:t xml:space="preserve"> </w:t>
      </w:r>
      <w:r>
        <w:t xml:space="preserve">Observe como variações na taxa de juros</w:t>
      </w:r>
      <w:r>
        <w:t xml:space="preserve"> </w:t>
      </w:r>
      <m:oMath>
        <m:r>
          <m:t>r</m:t>
        </m:r>
      </m:oMath>
      <w:r>
        <w:t xml:space="preserve"> </w:t>
      </w:r>
      <w:r>
        <w:t xml:space="preserve">alteram a inclinação da reta orçamentária e a classificação do agente como poupador ou devedor.</w:t>
      </w:r>
    </w:p>
    <w:p>
      <w:r>
        <w:pict>
          <v:rect style="width:0;height:1.5pt" o:hralign="center" o:hrstd="t" o:hr="t"/>
        </w:pict>
      </w:r>
    </w:p>
    <w:bookmarkEnd w:id="1139"/>
    <w:bookmarkEnd w:id="1140"/>
    <w:bookmarkStart w:id="1141" w:name="Xcf814ab41506290ab1b8158ebda6ee61b4bb579"/>
    <w:p>
      <w:pPr>
        <w:pStyle w:val="Heading3"/>
      </w:pPr>
      <w:r>
        <w:t xml:space="preserve">18.4 Nem Tudo Que Reluz É Juro Real: Nominal vs. Real e o Efeito Fisher</w:t>
      </w:r>
    </w:p>
    <w:p>
      <w:pPr>
        <w:pStyle w:val="FirstParagraph"/>
      </w:pPr>
      <w:r>
        <w:t xml:space="preserve">Até aqui, vivemos no paraíso teórico de uma economia sem inflação — um luxo que qualquer brasileiro nascido antes de 1994 reconhece como ficção científica. Em economias reais — e especialmente no Brasil, onde os mais velhos lembram de remarcar preços de supermercado toda semana —, a distinção entre taxa de juros nominal e real é absolutamente central. Confundir as duas é como confundir velocidade com distância: o número pode parecer impressionante, mas sem o ajuste certo, você não chega a lugar nenhum.</w:t>
      </w:r>
    </w:p>
    <w:p>
      <w:pPr>
        <w:pStyle w:val="BlockText"/>
      </w:pPr>
      <w:r>
        <w:rPr>
          <w:b/>
          <w:bCs/>
        </w:rPr>
        <w:t xml:space="preserve">[DEFINICAO] Taxa de juros nominal e real</w:t>
      </w:r>
    </w:p>
    <w:p>
      <w:pPr>
        <w:pStyle w:val="BlockText"/>
      </w:pPr>
      <w:r>
        <w:t xml:space="preserve">A</w:t>
      </w:r>
      <w:r>
        <w:t xml:space="preserve"> </w:t>
      </w:r>
      <w:r>
        <w:rPr>
          <w:b/>
          <w:bCs/>
        </w:rPr>
        <w:t xml:space="preserve">taxa de juros nominal</w:t>
      </w:r>
      <w:r>
        <w:t xml:space="preserve"> </w:t>
      </w:r>
      <w:r>
        <w:t xml:space="preserve">(</w:t>
      </w:r>
      <m:oMath>
        <m:r>
          <m:t>i</m:t>
        </m:r>
      </m:oMath>
      <w:r>
        <w:t xml:space="preserve">) é a taxa observada no mercado, expressa em unidades monetárias correntes. A</w:t>
      </w:r>
      <w:r>
        <w:t xml:space="preserve"> </w:t>
      </w:r>
      <w:r>
        <w:rPr>
          <w:b/>
          <w:bCs/>
        </w:rPr>
        <w:t xml:space="preserve">taxa de juros real</w:t>
      </w:r>
      <w:r>
        <w:t xml:space="preserve"> </w:t>
      </w:r>
      <w:r>
        <w:t xml:space="preserve">(</w:t>
      </w:r>
      <m:oMath>
        <m:r>
          <m:t>r</m:t>
        </m:r>
      </m:oMath>
      <w:r>
        <w:t xml:space="preserve">) é a taxa ajustada pela inflação, expressa em poder de compra constante.</w:t>
      </w:r>
    </w:p>
    <w:p>
      <w:pPr>
        <w:pStyle w:val="BlockText"/>
      </w:pPr>
      <w:r>
        <w:t xml:space="preserve">A</w:t>
      </w:r>
      <w:r>
        <w:t xml:space="preserve"> </w:t>
      </w:r>
      <w:r>
        <w:rPr>
          <w:b/>
          <w:bCs/>
        </w:rPr>
        <w:t xml:space="preserve">equação de Fisher</w:t>
      </w:r>
      <w:r>
        <w:t xml:space="preserve"> </w:t>
      </w:r>
      <w:r>
        <w:t xml:space="preserve">relaciona as duas:</w:t>
      </w:r>
    </w:p>
    <w:p>
      <w:pPr>
        <w:pStyle w:val="BlockText"/>
      </w:pPr>
      <w:r>
        <w:t xml:space="preserve">$$</w:t>
      </w:r>
    </w:p>
    <w:p>
      <w:pPr>
        <w:pStyle w:val="BlockText"/>
      </w:pPr>
      <w:r>
        <w:t xml:space="preserve">1 + i = (1 + r)(1 +</w:t>
      </w:r>
      <w:r>
        <w:t xml:space="preserve"> </w:t>
      </w:r>
      <w:r>
        <w:t xml:space="preserve">)</w:t>
      </w:r>
      <w:r>
        <w:t xml:space="preserve"> </w:t>
      </w:r>
      <w:r>
        <w:t xml:space="preserve"> </w:t>
      </w:r>
    </w:p>
    <w:p>
      <w:pPr>
        <w:pStyle w:val="BlockText"/>
      </w:pPr>
      <w:r>
        <w:t xml:space="preserve">$$</w:t>
      </w:r>
    </w:p>
    <w:p>
      <w:pPr>
        <w:pStyle w:val="BlockText"/>
      </w:pPr>
      <w:r>
        <w:t xml:space="preserve">onde</w:t>
      </w:r>
      <w:r>
        <w:t xml:space="preserve"> </w:t>
      </w:r>
      <m:oMath>
        <m:r>
          <m:t>π</m:t>
        </m:r>
      </m:oMath>
      <w:r>
        <w:t xml:space="preserve"> </w:t>
      </w:r>
      <w:r>
        <w:t xml:space="preserve">é a taxa de inflação. Para taxas pequenas, a aproximação usual é:</w:t>
      </w:r>
    </w:p>
    <w:p>
      <w:pPr>
        <w:pStyle w:val="BlockText"/>
      </w:pPr>
      <w:r>
        <w:t xml:space="preserve">$$</w:t>
      </w:r>
    </w:p>
    <w:p>
      <w:pPr>
        <w:pStyle w:val="BlockText"/>
      </w:pPr>
      <w:r>
        <w:t xml:space="preserve">r</w:t>
      </w:r>
      <w:r>
        <w:t xml:space="preserve"> </w:t>
      </w:r>
      <w:r>
        <w:t xml:space="preserve">i -</w:t>
      </w:r>
      <w:r>
        <w:t xml:space="preserve"> </w:t>
      </w:r>
      <w:r>
        <w:t xml:space="preserve"> </w:t>
      </w:r>
      <w:r>
        <w:t xml:space="preserve"> </w:t>
      </w:r>
    </w:p>
    <w:p>
      <w:pPr>
        <w:pStyle w:val="BlockText"/>
      </w:pPr>
      <w:r>
        <w:t xml:space="preserve">$$</w:t>
      </w:r>
    </w:p>
    <w:p>
      <w:pPr>
        <w:pStyle w:val="FirstParagraph"/>
      </w:pPr>
      <w:r>
        <w:t xml:space="preserve">A distinção é crucial para a restrição orçamentária intertemporal. Se os preços dos bens de consumo sobem à taxa</w:t>
      </w:r>
      <w:r>
        <w:t xml:space="preserve"> </w:t>
      </w:r>
      <m:oMath>
        <m:r>
          <m:t>π</m:t>
        </m:r>
      </m:oMath>
      <w:r>
        <w:t xml:space="preserve"> </w:t>
      </w:r>
      <w:r>
        <w:t xml:space="preserve">entre os períodos 1 e 2, a restrição em termos reais permanece como na equação Eq. (eq:18.3), desde que</w:t>
      </w:r>
      <w:r>
        <w:t xml:space="preserve"> </w:t>
      </w:r>
      <m:oMath>
        <m:r>
          <m:t>r</m:t>
        </m:r>
      </m:oMath>
      <w:r>
        <w:t xml:space="preserve"> </w:t>
      </w:r>
      <w:r>
        <w:t xml:space="preserve">seja a taxa real. Usar a taxa nominal na fórmula do VPL, por exemplo, infla artificialmente o custo de oportunidade e pode fazer com que projetos viáveis sejam rejeitados.</w:t>
      </w:r>
    </w:p>
    <w:p>
      <w:pPr>
        <w:pStyle w:val="BodyText"/>
      </w:pPr>
      <w:r>
        <w:t xml:space="preserve">O</w:t>
      </w:r>
      <w:r>
        <w:t xml:space="preserve"> </w:t>
      </w:r>
      <w:r>
        <w:rPr>
          <w:b/>
          <w:bCs/>
        </w:rPr>
        <w:t xml:space="preserve">efeito Fisher</w:t>
      </w:r>
      <w:r>
        <w:t xml:space="preserve"> </w:t>
      </w:r>
      <w:r>
        <w:t xml:space="preserve">é a proposição de que, no longo prazo, a taxa de juros nominal se ajusta um-para-um com a inflação esperada, mantendo a taxa real constante. Se a inflação esperada sobe de 4% para 7%, a taxa nominal deveria subir de, digamos, 10% para 13%, preservando</w:t>
      </w:r>
      <w:r>
        <w:t xml:space="preserve"> </w:t>
      </w:r>
      <m:oMath>
        <m:r>
          <m:t>r</m:t>
        </m:r>
        <m:r>
          <m:rPr>
            <m:sty m:val="p"/>
          </m:rPr>
          <m:t>≈</m:t>
        </m:r>
        <m:r>
          <m:t>6</m:t>
        </m:r>
        <m:r>
          <m:rPr>
            <m:sty m:val="p"/>
          </m:rPr>
          <m:t>%</m:t>
        </m:r>
      </m:oMath>
      <w:r>
        <w:t xml:space="preserve">. Empiricamente, o efeito Fisher se verifica razoavelmente bem no longo prazo, mas pode falhar no curto prazo quando a política monetária ou choques de oferta alteram a taxa real.</w:t>
      </w:r>
    </w:p>
    <w:p>
      <w:pPr>
        <w:pStyle w:val="BlockText"/>
      </w:pPr>
      <w:r>
        <w:rPr>
          <w:b/>
          <w:bCs/>
        </w:rPr>
        <w:t xml:space="preserve">[BOX BRASIL] Box Brasil 18.1 — Inflação, indexação e a ilusão da taxa nominal no Brasil</w:t>
      </w:r>
    </w:p>
    <w:p>
      <w:pPr>
        <w:pStyle w:val="BlockText"/>
      </w:pPr>
      <w:r>
        <w:rPr>
          <w:b/>
          <w:bCs/>
        </w:rPr>
        <w:t xml:space="preserve">Contexto:</w:t>
      </w:r>
      <w:r>
        <w:t xml:space="preserve"> </w:t>
      </w:r>
      <w:r>
        <w:t xml:space="preserve">O Brasil oferece um laboratório natural para estudar a distinção entre taxas nominais e reais. Durante o período de hiperinflação (1980–1994), a inflação mensal chegou a superar 80% (junho de 1994, no mês anterior ao Plano Real). Taxas de juros nominais de 1.000% ao ano eram comuns, mas a taxa real podia ser baixa ou até negativa.</w:t>
      </w:r>
    </w:p>
    <w:p>
      <w:pPr>
        <w:pStyle w:val="BlockText"/>
      </w:pPr>
      <w:r>
        <w:rPr>
          <w:b/>
          <w:bCs/>
        </w:rPr>
        <w:t xml:space="preserve">Dados:</w:t>
      </w:r>
      <w:r>
        <w:t xml:space="preserve"> </w:t>
      </w:r>
      <w:r>
        <w:t xml:space="preserve">Segundo dados do Banco Central do Brasil (BCB), a taxa Selic nominal atingiu 45% a.a. em março de 1999 (crise cambial), mas com inflação acumulada de ~8,9%, a taxa real era de aproximadamente 33%. Em dezembro de 2020, a Selic nominal estava em 2% a.a. com inflação de 4,5%, resultando em taxa real negativa de aproximadamente −2,4% — algo inédito na história econômica brasileira. Em 2023, com Selic de 13,75% e inflação de ~4,6%, a taxa real voltou a patamares elevados (~8,8%).</w:t>
      </w:r>
    </w:p>
    <w:p>
      <w:pPr>
        <w:pStyle w:val="BlockText"/>
      </w:pPr>
      <w:r>
        <w:rPr>
          <w:b/>
          <w:bCs/>
        </w:rPr>
        <w:t xml:space="preserve">Análise:</w:t>
      </w:r>
      <w:r>
        <w:t xml:space="preserve"> </w:t>
      </w:r>
      <w:r>
        <w:t xml:space="preserve">A experiência brasileira ilustra dramaticamente por que a teoria intertemporal deve ser sempre formulada em termos reais. Um investidor que avaliou projetos usando a Selic nominal de 2% em 2020 e depois enfrentou 13,75% em 2022 cometeria erros enormes em ambas as direções — subestimando o custo de capital no primeiro caso e superestimando no segundo, a menos que ajustasse pela inflação esperada. A generalização da indexação (aluguéis, salários, títulos públicos atrelados ao IPCA) foi a resposta institucional brasileira à convivência prolongada com inflação alta, e o Tesouro IPCA+ (NTN-B) é hoje um dos títulos mais negociados do mercado brasileiro, justamente por oferecer proteção contra a erosão inflacionária.</w:t>
      </w:r>
    </w:p>
    <w:p>
      <w:pPr>
        <w:pStyle w:val="BlockText"/>
      </w:pPr>
      <w:r>
        <w:rPr>
          <w:b/>
          <w:bCs/>
        </w:rPr>
        <w:t xml:space="preserve">Para refletir:</w:t>
      </w:r>
      <w:r>
        <w:t xml:space="preserve"> </w:t>
      </w:r>
      <w:r>
        <w:t xml:space="preserve">Se a taxa Selic nominal é 12% e a inflação esperada é 4%, qual é a taxa real aproximada? E se a inflação surpreender em 8%, o que acontece com o retorno real do investidor?</w:t>
      </w:r>
    </w:p>
    <w:bookmarkEnd w:id="1141"/>
    <w:bookmarkEnd w:id="1142"/>
    <w:bookmarkStart w:id="1148" w:name="ativos-e-investimento"/>
    <w:p>
      <w:pPr>
        <w:pStyle w:val="Heading2"/>
      </w:pPr>
      <w:r>
        <w:t xml:space="preserve">18.5–18.7 Ativos e Investimento</w:t>
      </w:r>
    </w:p>
    <w:bookmarkStart w:id="1145" w:name="Xfa2ed2aac6d61f44ca9cba73e1e8946b7cd7d22"/>
    <w:p>
      <w:pPr>
        <w:pStyle w:val="Heading3"/>
      </w:pPr>
      <w:r>
        <w:t xml:space="preserve">18.5 Quanto Vale uma Promessa Incerta: Precificação de Ativos</w:t>
      </w:r>
    </w:p>
    <w:p>
      <w:pPr>
        <w:pStyle w:val="FirstParagraph"/>
      </w:pPr>
      <w:r>
        <w:t xml:space="preserve">O modelo de Fisher analisa a escolha intertemporal sob certeza — o consumidor conhece com exatidão suas rendas futuras e a taxa de juros. Na realidade, porém, a maioria das decisões de investimento envolve incerteza: retornos futuros são aleatórios, e ativos diferentes carregam níveis distintos de risco. Como precificar ativos cujos retornos são incertos? E qual é a relação entre risco e retorno esperado? Essas perguntas fundamentais são respondidas pelos modelos de precificação de ativos, que estendem a lógica intertemporal de Fisher para um mundo com incerteza.</w:t>
      </w:r>
    </w:p>
    <w:p>
      <w:pPr>
        <w:pStyle w:val="BodyText"/>
      </w:pPr>
      <w:r>
        <w:t xml:space="preserve">A conexão com o Capítulo 7 é direta: lá, mostramos que agentes avessos ao risco (com utilidade côncava) preferem o valor esperado de uma loteria à própria loteria. Aqui, essa mesma aversão ao risco determina o</w:t>
      </w:r>
      <w:r>
        <w:t xml:space="preserve"> </w:t>
      </w:r>
      <w:r>
        <w:rPr>
          <w:b/>
          <w:bCs/>
        </w:rPr>
        <w:t xml:space="preserve">prêmio de risco</w:t>
      </w:r>
      <w:r>
        <w:t xml:space="preserve"> </w:t>
      </w:r>
      <w:r>
        <w:t xml:space="preserve">que os investidores exigem para manter ativos arriscados — e, portanto, o preço de equilíbrio desses ativos.</w:t>
      </w:r>
    </w:p>
    <w:bookmarkStart w:id="1143" w:name="o-capm-básico"/>
    <w:p>
      <w:pPr>
        <w:pStyle w:val="Heading4"/>
      </w:pPr>
      <w:r>
        <w:t xml:space="preserve">O CAPM básico</w:t>
      </w:r>
    </w:p>
    <w:p>
      <w:pPr>
        <w:pStyle w:val="FirstParagraph"/>
      </w:pPr>
      <w:r>
        <w:t xml:space="preserve">O</w:t>
      </w:r>
      <w:r>
        <w:t xml:space="preserve"> </w:t>
      </w:r>
      <w:r>
        <w:rPr>
          <w:b/>
          <w:bCs/>
        </w:rPr>
        <w:t xml:space="preserve">Capital Asset Pricing Model</w:t>
      </w:r>
      <w:r>
        <w:t xml:space="preserve"> </w:t>
      </w:r>
      <w:r>
        <w:t xml:space="preserve">(Modelo de Precificação de Ativos de Capital), desenvolvido independentemente por Sharpe (1964), Lintner (1965) e Mossin (1966), estabelece que o retorno esperado de um ativo arriscado é:</w:t>
      </w:r>
    </w:p>
    <w:p>
      <w:pPr>
        <w:pStyle w:val="BodyText"/>
      </w:pPr>
      <m:oMathPara>
        <m:oMathParaPr>
          <m:jc m:val="center"/>
        </m:oMathParaPr>
        <m:oMath>
          <m:r>
            <m:t>E</m:t>
          </m:r>
          <m:r>
            <m:rPr>
              <m:sty m:val="p"/>
            </m:rPr>
            <m:t>[</m:t>
          </m:r>
          <m:sSub>
            <m:e>
              <m:r>
                <m:t>r</m:t>
              </m:r>
            </m:e>
            <m:sub>
              <m:r>
                <m:t>i</m:t>
              </m:r>
            </m:sub>
          </m:sSub>
          <m:r>
            <m:rPr>
              <m:sty m:val="p"/>
            </m:rPr>
            <m:t>]</m:t>
          </m:r>
          <m:r>
            <m:rPr>
              <m:sty m:val="p"/>
            </m:rPr>
            <m:t>=</m:t>
          </m:r>
          <m:sSub>
            <m:e>
              <m:r>
                <m:t>r</m:t>
              </m:r>
            </m:e>
            <m:sub>
              <m:r>
                <m:t>f</m:t>
              </m:r>
            </m:sub>
          </m:sSub>
          <m:r>
            <m:rPr>
              <m:sty m:val="p"/>
            </m:rPr>
            <m:t>+</m:t>
          </m:r>
          <m:sSub>
            <m:e>
              <m:r>
                <m:t>β</m:t>
              </m:r>
            </m:e>
            <m:sub>
              <m:r>
                <m:t>i</m:t>
              </m:r>
            </m:sub>
          </m:sSub>
          <m:d>
            <m:dPr>
              <m:begChr m:val="("/>
              <m:sepChr m:val=""/>
              <m:endChr m:val=")"/>
              <m:grow/>
            </m:dPr>
            <m:e>
              <m:r>
                <m:t>E</m:t>
              </m:r>
              <m:r>
                <m:rPr>
                  <m:sty m:val="p"/>
                </m:rPr>
                <m:t>[</m:t>
              </m:r>
              <m:sSub>
                <m:e>
                  <m:r>
                    <m:t>r</m:t>
                  </m:r>
                </m:e>
                <m:sub>
                  <m:r>
                    <m:t>m</m:t>
                  </m:r>
                </m:sub>
              </m:sSub>
              <m:r>
                <m:rPr>
                  <m:sty m:val="p"/>
                </m:rPr>
                <m:t>]</m:t>
              </m:r>
              <m:r>
                <m:rPr>
                  <m:sty m:val="p"/>
                </m:rPr>
                <m:t>−</m:t>
              </m:r>
              <m:sSub>
                <m:e>
                  <m:r>
                    <m:t>r</m:t>
                  </m:r>
                </m:e>
                <m:sub>
                  <m:r>
                    <m:t>f</m:t>
                  </m:r>
                </m:sub>
              </m:sSub>
            </m:e>
          </m:d>
        </m:oMath>
      </m:oMathPara>
    </w:p>
    <w:p>
      <w:pPr>
        <w:pStyle w:val="FirstParagraph"/>
      </w:pPr>
      <w:r>
        <w:t xml:space="preserve">onde:</w:t>
      </w:r>
    </w:p>
    <w:p>
      <w:pPr>
        <w:pStyle w:val="Compact"/>
        <w:numPr>
          <w:ilvl w:val="0"/>
          <w:numId w:val="1998"/>
        </w:numPr>
      </w:pPr>
      <m:oMath>
        <m:sSub>
          <m:e>
            <m:r>
              <m:t>r</m:t>
            </m:r>
          </m:e>
          <m:sub>
            <m:r>
              <m:t>f</m:t>
            </m:r>
          </m:sub>
        </m:sSub>
      </m:oMath>
      <w:r>
        <w:t xml:space="preserve"> </w:t>
      </w:r>
      <w:r>
        <w:t xml:space="preserve">é a taxa livre de risco (no Brasil, aproximada pela Selic ou por títulos do Tesouro);</w:t>
      </w:r>
    </w:p>
    <w:p>
      <w:pPr>
        <w:pStyle w:val="Compact"/>
        <w:numPr>
          <w:ilvl w:val="0"/>
          <w:numId w:val="1998"/>
        </w:numPr>
      </w:pPr>
      <m:oMath>
        <m:r>
          <m:t>E</m:t>
        </m:r>
        <m:r>
          <m:rPr>
            <m:sty m:val="p"/>
          </m:rPr>
          <m:t>[</m:t>
        </m:r>
        <m:sSub>
          <m:e>
            <m:r>
              <m:t>r</m:t>
            </m:r>
          </m:e>
          <m:sub>
            <m:r>
              <m:t>m</m:t>
            </m:r>
          </m:sub>
        </m:sSub>
        <m:r>
          <m:rPr>
            <m:sty m:val="p"/>
          </m:rPr>
          <m:t>]</m:t>
        </m:r>
      </m:oMath>
      <w:r>
        <w:t xml:space="preserve"> </w:t>
      </w:r>
      <w:r>
        <w:t xml:space="preserve">é o retorno esperado do portfólio de mercado;</w:t>
      </w:r>
    </w:p>
    <w:p>
      <w:pPr>
        <w:pStyle w:val="Compact"/>
        <w:numPr>
          <w:ilvl w:val="0"/>
          <w:numId w:val="1998"/>
        </w:numPr>
      </w:pPr>
      <m:oMath>
        <m:sSub>
          <m:e>
            <m:r>
              <m:t>β</m:t>
            </m:r>
          </m:e>
          <m:sub>
            <m:r>
              <m:t>i</m:t>
            </m:r>
          </m:sub>
        </m:sSub>
        <m:r>
          <m:rPr>
            <m:sty m:val="p"/>
          </m:rPr>
          <m:t>=</m:t>
        </m:r>
        <m:f>
          <m:fPr>
            <m:type m:val="bar"/>
          </m:fPr>
          <m:num>
            <m:r>
              <m:rPr>
                <m:nor/>
                <m:sty m:val="p"/>
              </m:rPr>
              <m:t>Cov</m:t>
            </m:r>
            <m:r>
              <m:rPr>
                <m:sty m:val="p"/>
              </m:rPr>
              <m:t>(</m:t>
            </m:r>
            <m:sSub>
              <m:e>
                <m:r>
                  <m:t>r</m:t>
                </m:r>
              </m:e>
              <m:sub>
                <m:r>
                  <m:t>i</m:t>
                </m:r>
              </m:sub>
            </m:sSub>
            <m:r>
              <m:rPr>
                <m:sty m:val="p"/>
              </m:rPr>
              <m:t>,</m:t>
            </m:r>
            <m:sSub>
              <m:e>
                <m:r>
                  <m:t>r</m:t>
                </m:r>
              </m:e>
              <m:sub>
                <m:r>
                  <m:t>m</m:t>
                </m:r>
              </m:sub>
            </m:sSub>
            <m:r>
              <m:rPr>
                <m:sty m:val="p"/>
              </m:rPr>
              <m:t>)</m:t>
            </m:r>
          </m:num>
          <m:den>
            <m:r>
              <m:rPr>
                <m:nor/>
                <m:sty m:val="p"/>
              </m:rPr>
              <m:t>Var</m:t>
            </m:r>
            <m:r>
              <m:rPr>
                <m:sty m:val="p"/>
              </m:rPr>
              <m:t>(</m:t>
            </m:r>
            <m:sSub>
              <m:e>
                <m:r>
                  <m:t>r</m:t>
                </m:r>
              </m:e>
              <m:sub>
                <m:r>
                  <m:t>m</m:t>
                </m:r>
              </m:sub>
            </m:sSub>
            <m:r>
              <m:rPr>
                <m:sty m:val="p"/>
              </m:rPr>
              <m:t>)</m:t>
            </m:r>
          </m:den>
        </m:f>
      </m:oMath>
      <w:r>
        <w:t xml:space="preserve"> </w:t>
      </w:r>
      <w:r>
        <w:t xml:space="preserve">é o</w:t>
      </w:r>
      <w:r>
        <w:t xml:space="preserve"> </w:t>
      </w:r>
      <w:r>
        <w:rPr>
          <w:b/>
          <w:bCs/>
        </w:rPr>
        <w:t xml:space="preserve">beta</w:t>
      </w:r>
      <w:r>
        <w:t xml:space="preserve"> </w:t>
      </w:r>
      <w:r>
        <w:t xml:space="preserve">do ativo — a medida de risco sistemático (não diversificável).</w:t>
      </w:r>
    </w:p>
    <w:p>
      <w:pPr>
        <w:pStyle w:val="FirstParagraph"/>
      </w:pPr>
      <w:r>
        <w:t xml:space="preserve">A equação Eq. (eq:18.6) tem uma implicação profunda:</w:t>
      </w:r>
      <w:r>
        <w:t xml:space="preserve"> </w:t>
      </w:r>
      <w:r>
        <w:rPr>
          <w:b/>
          <w:bCs/>
        </w:rPr>
        <w:t xml:space="preserve">apenas o risco sistemático é remunerado</w:t>
      </w:r>
      <w:r>
        <w:t xml:space="preserve">. O risco específico do ativo (idiossincrático) pode ser eliminado por diversificação e, portanto, não justifica prêmio de risco. Um ativo com</w:t>
      </w:r>
      <w:r>
        <w:t xml:space="preserve"> </w:t>
      </w:r>
      <m:oMath>
        <m:r>
          <m:t>β</m:t>
        </m:r>
        <m:r>
          <m:rPr>
            <m:sty m:val="p"/>
          </m:rPr>
          <m:t>=</m:t>
        </m:r>
        <m:r>
          <m:t>0</m:t>
        </m:r>
      </m:oMath>
      <w:r>
        <w:t xml:space="preserve"> </w:t>
      </w:r>
      <w:r>
        <w:t xml:space="preserve">rende a taxa livre de risco, independentemente de quão volátil seja. Um ativo com</w:t>
      </w:r>
      <w:r>
        <w:t xml:space="preserve"> </w:t>
      </w:r>
      <m:oMath>
        <m:r>
          <m:t>β</m:t>
        </m:r>
        <m:r>
          <m:rPr>
            <m:sty m:val="p"/>
          </m:rPr>
          <m:t>=</m:t>
        </m:r>
        <m:r>
          <m:t>1</m:t>
        </m:r>
      </m:oMath>
      <w:r>
        <w:t xml:space="preserve"> </w:t>
      </w:r>
      <w:r>
        <w:t xml:space="preserve">se move proporcionalmente ao mercado; com</w:t>
      </w:r>
      <w:r>
        <w:t xml:space="preserve"> </w:t>
      </w:r>
      <m:oMath>
        <m:r>
          <m:t>β</m:t>
        </m:r>
        <m:r>
          <m:rPr>
            <m:sty m:val="p"/>
          </m:rPr>
          <m:t>&gt;</m:t>
        </m:r>
        <m:r>
          <m:t>1</m:t>
        </m:r>
      </m:oMath>
      <w:r>
        <w:t xml:space="preserve">, amplifica os movimentos do mercado (mais arriscado); com</w:t>
      </w:r>
      <w:r>
        <w:t xml:space="preserve"> </w:t>
      </w:r>
      <m:oMath>
        <m:r>
          <m:t>β</m:t>
        </m:r>
        <m:r>
          <m:rPr>
            <m:sty m:val="p"/>
          </m:rPr>
          <m:t>&lt;</m:t>
        </m:r>
        <m:r>
          <m:t>1</m:t>
        </m:r>
      </m:oMath>
      <w:r>
        <w:t xml:space="preserve">, os amortece.</w:t>
      </w:r>
    </w:p>
    <w:bookmarkEnd w:id="1143"/>
    <w:bookmarkStart w:id="1144" w:name="o-fator-de-desconto-estocástico"/>
    <w:p>
      <w:pPr>
        <w:pStyle w:val="Heading4"/>
      </w:pPr>
      <w:r>
        <w:t xml:space="preserve">O fator de desconto estocástico</w:t>
      </w:r>
    </w:p>
    <w:p>
      <w:pPr>
        <w:pStyle w:val="FirstParagraph"/>
      </w:pPr>
      <w:r>
        <w:t xml:space="preserve">Uma abordagem mais geral e elegante é o</w:t>
      </w:r>
      <w:r>
        <w:t xml:space="preserve"> </w:t>
      </w:r>
      <w:r>
        <w:rPr>
          <w:b/>
          <w:bCs/>
        </w:rPr>
        <w:t xml:space="preserve">fator de desconto estocástico</w:t>
      </w:r>
      <w:r>
        <w:t xml:space="preserve"> </w:t>
      </w:r>
      <w:r>
        <w:t xml:space="preserve">(SDF,</w:t>
      </w:r>
      <w:r>
        <w:t xml:space="preserve"> </w:t>
      </w:r>
      <w:r>
        <w:rPr>
          <w:i/>
          <w:iCs/>
        </w:rPr>
        <w:t xml:space="preserve">Stochastic Discount Factor</w:t>
      </w:r>
      <w:r>
        <w:t xml:space="preserve">), que unifica toda a teoria de precificação de ativos em uma única equação:</w:t>
      </w:r>
    </w:p>
    <w:p>
      <w:pPr>
        <w:pStyle w:val="BodyText"/>
      </w:pPr>
      <m:oMathPara>
        <m:oMathParaPr>
          <m:jc m:val="center"/>
        </m:oMathParaPr>
        <m:oMath>
          <m:sSub>
            <m:e>
              <m:r>
                <m:t>P</m:t>
              </m:r>
            </m:e>
            <m:sub>
              <m:r>
                <m:t>0</m:t>
              </m:r>
            </m:sub>
          </m:sSub>
          <m:r>
            <m:rPr>
              <m:sty m:val="p"/>
            </m:rPr>
            <m:t>=</m:t>
          </m:r>
          <m:r>
            <m:t>E</m:t>
          </m:r>
          <m:d>
            <m:dPr>
              <m:begChr m:val="["/>
              <m:sepChr m:val=""/>
              <m:endChr m:val="]"/>
              <m:grow/>
            </m:dPr>
            <m:e>
              <m:sSub>
                <m:e>
                  <m:r>
                    <m:t>M</m:t>
                  </m:r>
                </m:e>
                <m:sub>
                  <m:r>
                    <m:t>1</m:t>
                  </m:r>
                </m:sub>
              </m:sSub>
              <m:r>
                <m:rPr>
                  <m:sty m:val="p"/>
                </m:rPr>
                <m:t>⋅</m:t>
              </m:r>
              <m:sSub>
                <m:e>
                  <m:r>
                    <m:t>X</m:t>
                  </m:r>
                </m:e>
                <m:sub>
                  <m:r>
                    <m:t>1</m:t>
                  </m:r>
                </m:sub>
              </m:sSub>
            </m:e>
          </m:d>
        </m:oMath>
      </m:oMathPara>
    </w:p>
    <w:p>
      <w:pPr>
        <w:pStyle w:val="FirstParagraph"/>
      </w:pPr>
      <w:r>
        <w:t xml:space="preserve">onde</w:t>
      </w:r>
      <w:r>
        <w:t xml:space="preserve"> </w:t>
      </w:r>
      <m:oMath>
        <m:sSub>
          <m:e>
            <m:r>
              <m:t>P</m:t>
            </m:r>
          </m:e>
          <m:sub>
            <m:r>
              <m:t>0</m:t>
            </m:r>
          </m:sub>
        </m:sSub>
      </m:oMath>
      <w:r>
        <w:t xml:space="preserve"> </w:t>
      </w:r>
      <w:r>
        <w:t xml:space="preserve">é o preço do ativo hoje,</w:t>
      </w:r>
      <w:r>
        <w:t xml:space="preserve"> </w:t>
      </w:r>
      <m:oMath>
        <m:sSub>
          <m:e>
            <m:r>
              <m:t>X</m:t>
            </m:r>
          </m:e>
          <m:sub>
            <m:r>
              <m:t>1</m:t>
            </m:r>
          </m:sub>
        </m:sSub>
      </m:oMath>
      <w:r>
        <w:t xml:space="preserve"> </w:t>
      </w:r>
      <w:r>
        <w:t xml:space="preserve">é o payoff aleatório no período seguinte, e</w:t>
      </w:r>
      <w:r>
        <w:t xml:space="preserve"> </w:t>
      </w:r>
      <m:oMath>
        <m:sSub>
          <m:e>
            <m:r>
              <m:t>M</m:t>
            </m:r>
          </m:e>
          <m:sub>
            <m:r>
              <m:t>1</m:t>
            </m:r>
          </m:sub>
        </m:sSub>
        <m:r>
          <m:rPr>
            <m:sty m:val="p"/>
          </m:rPr>
          <m:t>=</m:t>
        </m:r>
        <m:r>
          <m:t>β</m:t>
        </m:r>
        <m:f>
          <m:fPr>
            <m:type m:val="bar"/>
          </m:fPr>
          <m:num>
            <m:sSup>
              <m:e>
                <m:r>
                  <m:t>u</m:t>
                </m:r>
              </m:e>
              <m:sup>
                <m:r>
                  <m:rPr>
                    <m:sty m:val="p"/>
                  </m:rPr>
                  <m:t>′</m:t>
                </m:r>
              </m:sup>
            </m:sSup>
            <m:r>
              <m:rPr>
                <m:sty m:val="p"/>
              </m:rPr>
              <m:t>(</m:t>
            </m:r>
            <m:sSub>
              <m:e>
                <m:r>
                  <m:t>C</m:t>
                </m:r>
              </m:e>
              <m:sub>
                <m:r>
                  <m:t>1</m:t>
                </m:r>
              </m:sub>
            </m:sSub>
            <m:r>
              <m:rPr>
                <m:sty m:val="p"/>
              </m:rPr>
              <m:t>)</m:t>
            </m:r>
          </m:num>
          <m:den>
            <m:sSup>
              <m:e>
                <m:r>
                  <m:t>u</m:t>
                </m:r>
              </m:e>
              <m:sup>
                <m:r>
                  <m:rPr>
                    <m:sty m:val="p"/>
                  </m:rPr>
                  <m:t>′</m:t>
                </m:r>
              </m:sup>
            </m:sSup>
            <m:r>
              <m:rPr>
                <m:sty m:val="p"/>
              </m:rPr>
              <m:t>(</m:t>
            </m:r>
            <m:sSub>
              <m:e>
                <m:r>
                  <m:t>C</m:t>
                </m:r>
              </m:e>
              <m:sub>
                <m:r>
                  <m:t>0</m:t>
                </m:r>
              </m:sub>
            </m:sSub>
            <m:r>
              <m:rPr>
                <m:sty m:val="p"/>
              </m:rPr>
              <m:t>)</m:t>
            </m:r>
          </m:den>
        </m:f>
      </m:oMath>
      <w:r>
        <w:t xml:space="preserve"> </w:t>
      </w:r>
      <w:r>
        <w:t xml:space="preserve">é o fator de desconto estocástico — que desconta mais fortemente os payoffs que ocorrem em estados</w:t>
      </w:r>
      <w:r>
        <w:t xml:space="preserve"> </w:t>
      </w:r>
      <w:r>
        <w:t xml:space="preserve">“bons”</w:t>
      </w:r>
      <w:r>
        <w:t xml:space="preserve"> </w:t>
      </w:r>
      <w:r>
        <w:t xml:space="preserve">(quando o consumo já é alto e a utilidade marginal é baixa) e menos os que ocorrem em estados</w:t>
      </w:r>
      <w:r>
        <w:t xml:space="preserve"> </w:t>
      </w:r>
      <w:r>
        <w:t xml:space="preserve">“ruins”</w:t>
      </w:r>
      <w:r>
        <w:t xml:space="preserve">.</w:t>
      </w:r>
    </w:p>
    <w:p>
      <w:pPr>
        <w:pStyle w:val="BodyText"/>
      </w:pPr>
      <w:r>
        <w:t xml:space="preserve">A equação Eq. (eq:18.7) é a</w:t>
      </w:r>
      <w:r>
        <w:t xml:space="preserve"> </w:t>
      </w:r>
      <w:r>
        <w:rPr>
          <w:b/>
          <w:bCs/>
        </w:rPr>
        <w:t xml:space="preserve">equação fundamental da precificação de ativos</w:t>
      </w:r>
      <w:r>
        <w:t xml:space="preserve">. Ela contém o CAPM como caso particular (sob utilidade quadrática ou retornos normalmente distribuídos) e se aplica a qualquer ativo — ações, títulos, derivativos, imóveis. A beleza da abordagem é que todo o conteúdo econômico está em</w:t>
      </w:r>
      <w:r>
        <w:t xml:space="preserve"> </w:t>
      </w:r>
      <m:oMath>
        <m:sSub>
          <m:e>
            <m:r>
              <m:t>M</m:t>
            </m:r>
          </m:e>
          <m:sub>
            <m:r>
              <m:t>1</m:t>
            </m:r>
          </m:sub>
        </m:sSub>
      </m:oMath>
      <w:r>
        <w:t xml:space="preserve">: ele captura as preferências intertemporais e a aversão ao risco do investidor representativo.</w:t>
      </w:r>
    </w:p>
    <w:p>
      <w:pPr>
        <w:pStyle w:val="BlockText"/>
      </w:pPr>
      <w:r>
        <w:rPr>
          <w:b/>
          <w:bCs/>
        </w:rPr>
        <w:t xml:space="preserve">[DICA] O enigma do prêmio de risco</w:t>
      </w:r>
    </w:p>
    <w:p>
      <w:pPr>
        <w:pStyle w:val="BlockText"/>
      </w:pPr>
      <w:r>
        <w:t xml:space="preserve">Mehra e Prescott (1985) documentaram que o prêmio de risco histórico das ações americanas sobre títulos do governo (~6% ao ano) é muito maior do que o previsto por modelos de consumo com níveis plausíveis de aversão ao risco. Esse</w:t>
      </w:r>
      <w:r>
        <w:t xml:space="preserve"> </w:t>
      </w:r>
      <w:r>
        <w:rPr>
          <w:b/>
          <w:bCs/>
        </w:rPr>
        <w:t xml:space="preserve">equity premium puzzle</w:t>
      </w:r>
      <w:r>
        <w:t xml:space="preserve"> </w:t>
      </w:r>
      <w:r>
        <w:t xml:space="preserve">permanece um dos grandes desafios da economia financeira e motivou extensões com formação de hábito (Campbell e Cochrane, 1999), preferências Epstein-Zin, e modelos com desastres raros (Barro, 2006).</w:t>
      </w:r>
    </w:p>
    <w:p>
      <w:pPr>
        <w:pStyle w:val="BlockText"/>
      </w:pPr>
      <w:r>
        <w:rPr>
          <w:b/>
          <w:bCs/>
        </w:rPr>
        <w:t xml:space="preserve">[BOX MUNDO] Box Mundo 18.1 — O fundo soberano da Noruega: paciência institucional</w:t>
      </w:r>
    </w:p>
    <w:p>
      <w:pPr>
        <w:pStyle w:val="BlockText"/>
      </w:pPr>
      <w:r>
        <w:rPr>
          <w:b/>
          <w:bCs/>
        </w:rPr>
        <w:t xml:space="preserve">Contexto:</w:t>
      </w:r>
      <w:r>
        <w:t xml:space="preserve"> </w:t>
      </w:r>
      <w:r>
        <w:t xml:space="preserve">O Government Pension Fund Global da Noruega é o maior fundo soberano do mundo, com mais de US$ 1,7 trilhão em ativos (2024). Criado em 1990, o fundo investe as receitas do petróleo norueguês em ações, títulos e imóveis globais, com o objetivo de preservar a riqueza para gerações futuras.</w:t>
      </w:r>
    </w:p>
    <w:p>
      <w:pPr>
        <w:pStyle w:val="BlockText"/>
      </w:pPr>
      <w:r>
        <w:rPr>
          <w:b/>
          <w:bCs/>
        </w:rPr>
        <w:t xml:space="preserve">Dados:</w:t>
      </w:r>
      <w:r>
        <w:t xml:space="preserve"> </w:t>
      </w:r>
      <w:r>
        <w:t xml:space="preserve">O fundo detém participações em mais de 9.000 empresas em 70 países. Sua alocação é ~70% ações, ~25% renda fixa e ~5% imóveis. O retorno anual médio real desde 1998 é de aproximadamente 4,3%.</w:t>
      </w:r>
    </w:p>
    <w:p>
      <w:pPr>
        <w:pStyle w:val="BlockText"/>
      </w:pPr>
      <w:r>
        <w:rPr>
          <w:b/>
          <w:bCs/>
        </w:rPr>
        <w:t xml:space="preserve">Análise:</w:t>
      </w:r>
      <w:r>
        <w:t xml:space="preserve"> </w:t>
      </w:r>
      <w:r>
        <w:t xml:space="preserve">O fundo norueguês é uma aplicação institucional do modelo de Fisher e da regra de Hotelling: em vez de consumir as receitas do petróleo (recurso exaurível) no presente, a Noruega as converte em um portfólio diversificado de ativos financeiros que gera renda perpétua. A regra fiscal norueguesa limita os gastos anuais do fundo a ~3% de seu valor — aproximadamente o retorno real esperado de longo prazo —, preservando o capital para gerações futuras. É a antítese da</w:t>
      </w:r>
      <w:r>
        <w:t xml:space="preserve"> </w:t>
      </w:r>
      <w:r>
        <w:t xml:space="preserve">“maldição dos recursos naturais”</w:t>
      </w:r>
      <w:r>
        <w:t xml:space="preserve">: paciência institucionalizada.</w:t>
      </w:r>
    </w:p>
    <w:p>
      <w:pPr>
        <w:pStyle w:val="BlockText"/>
      </w:pPr>
      <w:r>
        <w:rPr>
          <w:b/>
          <w:bCs/>
        </w:rPr>
        <w:t xml:space="preserve">Para refletir:</w:t>
      </w:r>
      <w:r>
        <w:t xml:space="preserve"> </w:t>
      </w:r>
      <w:r>
        <w:t xml:space="preserve">Por que o Brasil não criou um fundo soberano comparável com as receitas do pré-sal? Que fatores institucionais explicam a diferença?</w:t>
      </w:r>
    </w:p>
    <w:p>
      <w:r>
        <w:pict>
          <v:rect style="width:0;height:1.5pt" o:hralign="center" o:hrstd="t" o:hr="t"/>
        </w:pict>
      </w:r>
    </w:p>
    <w:bookmarkEnd w:id="1144"/>
    <w:bookmarkEnd w:id="1145"/>
    <w:bookmarkStart w:id="1146" w:name="X7d538ef1c1db71603e60f278446c86470162380"/>
    <w:p>
      <w:pPr>
        <w:pStyle w:val="Heading3"/>
      </w:pPr>
      <w:r>
        <w:t xml:space="preserve">18.6 O Forno Novo Compensa Mais Que o CDB?: Valor Presente Líquido</w:t>
      </w:r>
    </w:p>
    <w:p>
      <w:pPr>
        <w:pStyle w:val="FirstParagraph"/>
      </w:pPr>
      <w:r>
        <w:t xml:space="preserve">Agora, das alturas teóricas da precificação de ativos, descemos ao chão da fábrica. A pergunta mais prática da teoria do capital é simples:</w:t>
      </w:r>
      <w:r>
        <w:t xml:space="preserve"> </w:t>
      </w:r>
      <w:r>
        <w:rPr>
          <w:b/>
          <w:bCs/>
        </w:rPr>
        <w:t xml:space="preserve">esse investimento vale a pena?</w:t>
      </w:r>
      <w:r>
        <w:t xml:space="preserve"> </w:t>
      </w:r>
      <w:r>
        <w:t xml:space="preserve">O padeiro que pensa em trocar o forno velho por um mais eficiente, a startup que avalia comprar servidores, a prefeitura que pondera construir uma creche — todos enfrentam o mesmo problema: comparar um desembolso hoje com um fluxo de benefícios futuros.</w:t>
      </w:r>
    </w:p>
    <w:p>
      <w:pPr>
        <w:pStyle w:val="BodyText"/>
      </w:pPr>
      <w:r>
        <w:t xml:space="preserve">O</w:t>
      </w:r>
      <w:r>
        <w:t xml:space="preserve"> </w:t>
      </w:r>
      <w:r>
        <w:rPr>
          <w:b/>
          <w:bCs/>
        </w:rPr>
        <w:t xml:space="preserve">Valor Presente Líquido</w:t>
      </w:r>
      <w:r>
        <w:t xml:space="preserve"> </w:t>
      </w:r>
      <w:r>
        <w:t xml:space="preserve">(VPL) é o critério superior para responder essa pergunta:</w:t>
      </w:r>
    </w:p>
    <w:p>
      <w:pPr>
        <w:pStyle w:val="BlockText"/>
      </w:pPr>
      <w:r>
        <w:rPr>
          <w:b/>
          <w:bCs/>
        </w:rPr>
        <w:t xml:space="preserve">[DEFINICAO] Valor Presente Líquido (VPL)</w:t>
      </w:r>
    </w:p>
    <w:p>
      <w:pPr>
        <w:pStyle w:val="BlockText"/>
      </w:pPr>
      <w:r>
        <w:t xml:space="preserve">O VPL de um projeto de investimento é a soma dos fluxos de caixa descontados a valor presente:</w:t>
      </w:r>
    </w:p>
    <w:p>
      <w:pPr>
        <w:pStyle w:val="BlockText"/>
      </w:pPr>
      <w:r>
        <w:t xml:space="preserve">$$</w:t>
      </w:r>
    </w:p>
    <w:p>
      <w:pPr>
        <w:pStyle w:val="BlockText"/>
      </w:pPr>
      <w:r>
        <w:t xml:space="preserve">VPL =</w:t>
      </w:r>
      <w:r>
        <w:t xml:space="preserve"> </w:t>
      </w:r>
      <w:r>
        <w:rPr>
          <w:i/>
          <w:iCs/>
        </w:rPr>
        <w:t xml:space="preserve">{t=0}^{T}</w:t>
      </w:r>
      <w:r>
        <w:rPr>
          <w:i/>
          <w:iCs/>
        </w:rPr>
        <w:t xml:space="preserve"> </w:t>
      </w:r>
      <w:r>
        <w:rPr>
          <w:i/>
          <w:iCs/>
        </w:rPr>
        <w:t xml:space="preserve"> </w:t>
      </w:r>
      <w:r>
        <w:rPr>
          <w:i/>
          <w:iCs/>
        </w:rPr>
        <w:t xml:space="preserve">= -I_0 +</w:t>
      </w:r>
      <w:r>
        <w:rPr>
          <w:i/>
          <w:iCs/>
        </w:rPr>
        <w:t xml:space="preserve"> </w:t>
      </w:r>
      <w:r>
        <w:t xml:space="preserve">{t=1}^{T}</w:t>
      </w:r>
      <w:r>
        <w:t xml:space="preserve"> </w:t>
      </w:r>
      <w:r>
        <w:t xml:space="preserve"> </w:t>
      </w:r>
      <w:r>
        <w:t xml:space="preserve"> </w:t>
      </w:r>
      <w:r>
        <w:t xml:space="preserve"> </w:t>
      </w:r>
      <w:r>
        <w:t xml:space="preserve">$$</w:t>
      </w:r>
    </w:p>
    <w:p>
      <w:pPr>
        <w:pStyle w:val="BlockText"/>
      </w:pPr>
      <w:r>
        <w:t xml:space="preserve">onde</w:t>
      </w:r>
      <w:r>
        <w:t xml:space="preserve"> </w:t>
      </w:r>
      <m:oMath>
        <m:sSub>
          <m:e>
            <m:r>
              <m:t>I</m:t>
            </m:r>
          </m:e>
          <m:sub>
            <m:r>
              <m:t>0</m:t>
            </m:r>
          </m:sub>
        </m:sSub>
      </m:oMath>
      <w:r>
        <w:t xml:space="preserve"> </w:t>
      </w:r>
      <w:r>
        <w:t xml:space="preserve">é o investimento inicial,</w:t>
      </w:r>
      <w:r>
        <w:t xml:space="preserve"> </w:t>
      </w:r>
      <m:oMath>
        <m:r>
          <m:t>F</m:t>
        </m:r>
        <m:sSub>
          <m:e>
            <m:r>
              <m:t>C</m:t>
            </m:r>
          </m:e>
          <m:sub>
            <m:r>
              <m:t>t</m:t>
            </m:r>
          </m:sub>
        </m:sSub>
      </m:oMath>
      <w:r>
        <w:t xml:space="preserve"> </w:t>
      </w:r>
      <w:r>
        <w:t xml:space="preserve">é o fluxo de caixa líquido no período</w:t>
      </w:r>
      <w:r>
        <w:t xml:space="preserve"> </w:t>
      </w:r>
      <m:oMath>
        <m:r>
          <m:t>t</m:t>
        </m:r>
      </m:oMath>
      <w:r>
        <w:t xml:space="preserve"> </w:t>
      </w:r>
      <w:r>
        <w:t xml:space="preserve">e</w:t>
      </w:r>
      <w:r>
        <w:t xml:space="preserve"> </w:t>
      </w:r>
      <m:oMath>
        <m:r>
          <m:t>r</m:t>
        </m:r>
      </m:oMath>
      <w:r>
        <w:t xml:space="preserve"> </w:t>
      </w:r>
      <w:r>
        <w:t xml:space="preserve">é o custo de oportunidade do capital (taxa de desconto).</w:t>
      </w:r>
    </w:p>
    <w:p>
      <w:pPr>
        <w:pStyle w:val="FirstParagraph"/>
      </w:pPr>
      <w:r>
        <w:rPr>
          <w:b/>
          <w:bCs/>
        </w:rPr>
        <w:t xml:space="preserve">Regra de decisão:</w:t>
      </w:r>
      <w:r>
        <w:t xml:space="preserve"> </w:t>
      </w:r>
      <w:r>
        <w:t xml:space="preserve">Aceitar o projeto se</w:t>
      </w:r>
      <w:r>
        <w:t xml:space="preserve"> </w:t>
      </w:r>
      <m:oMath>
        <m:r>
          <m:t>V</m:t>
        </m:r>
        <m:r>
          <m:t>P</m:t>
        </m:r>
        <m:r>
          <m:t>L</m:t>
        </m:r>
        <m:r>
          <m:rPr>
            <m:sty m:val="p"/>
          </m:rPr>
          <m:t>&gt;</m:t>
        </m:r>
        <m:r>
          <m:t>0</m:t>
        </m:r>
      </m:oMath>
      <w:r>
        <w:t xml:space="preserve">; rejeitar se</w:t>
      </w:r>
      <w:r>
        <w:t xml:space="preserve"> </w:t>
      </w:r>
      <m:oMath>
        <m:r>
          <m:t>V</m:t>
        </m:r>
        <m:r>
          <m:t>P</m:t>
        </m:r>
        <m:r>
          <m:t>L</m:t>
        </m:r>
        <m:r>
          <m:rPr>
            <m:sty m:val="p"/>
          </m:rPr>
          <m:t>&lt;</m:t>
        </m:r>
        <m:r>
          <m:t>0</m:t>
        </m:r>
      </m:oMath>
      <w:r>
        <w:t xml:space="preserve">. Entre projetos mutuamente excludentes, escolher o de maior VPL.</w:t>
      </w:r>
    </w:p>
    <w:p>
      <w:pPr>
        <w:pStyle w:val="BodyText"/>
      </w:pPr>
      <w:r>
        <w:t xml:space="preserve">A intuição é direta: o VPL mede quanto valor o projeto cria acima e além do que o investidor ganharia simplesmente aplicando o dinheiro à taxa</w:t>
      </w:r>
      <w:r>
        <w:t xml:space="preserve"> </w:t>
      </w:r>
      <m:oMath>
        <m:r>
          <m:t>r</m:t>
        </m:r>
      </m:oMath>
      <w:r>
        <w:t xml:space="preserve">. Um VPL de R$ 50.000 significa que o projeto gera R$ 50.000 a mais, em valor presente, do que a melhor alternativa disponível.</w:t>
      </w:r>
    </w:p>
    <w:p>
      <w:pPr>
        <w:pStyle w:val="BodyText"/>
      </w:pPr>
      <w:r>
        <w:t xml:space="preserve">O VPL é sensível à taxa de desconto</w:t>
      </w:r>
      <w:r>
        <w:t xml:space="preserve"> </w:t>
      </w:r>
      <m:oMath>
        <m:r>
          <m:t>r</m:t>
        </m:r>
      </m:oMath>
      <w:r>
        <w:t xml:space="preserve">: quanto maior a taxa, menor o VPL de qualquer projeto com fluxos de caixa positivos no futuro. Essa sensibilidade é particularmente dramática para projetos de longa maturação — infraestrutura, pesquisa e desenvolvimento, reflorestamento — cujos benefícios se concentram em períodos distantes. A Seção 18.10 ilustra numericamente essa sensibilidade.</w:t>
      </w:r>
    </w:p>
    <w:p>
      <w:pPr>
        <w:pStyle w:val="BodyText"/>
      </w:pPr>
      <w:r>
        <w:t xml:space="preserve">No gráfico interativo abaixo, ajuste o investimento inicial, os fluxos de caixa e o horizonte para visualizar como o VPL varia com a taxa de juros — e por que o mesmo projeto pode ser viável nos EUA e inviável no Brasil.</w:t>
      </w:r>
    </w:p>
    <w:p>
      <w:pPr>
        <w:pStyle w:val="BodyText"/>
      </w:pPr>
      <w:r>
        <w:t xml:space="preserve">[FIGURA INTERATIVA: /micro-book/graficos/cap18/taxa-juros-investimento.html — versao interativa disponivel online]</w:t>
      </w:r>
    </w:p>
    <w:p>
      <w:pPr>
        <w:pStyle w:val="BodyText"/>
      </w:pPr>
      <w:r>
        <w:rPr>
          <w:b/>
          <w:bCs/>
        </w:rPr>
        <w:t xml:space="preserve">Figura 18.5 — VPL e Taxa de Juros.</w:t>
      </w:r>
      <w:r>
        <w:t xml:space="preserve"> </w:t>
      </w:r>
      <w:r>
        <w:t xml:space="preserve">A curva mostra o VPL do projeto como função da taxa de desconto</w:t>
      </w:r>
      <w:r>
        <w:t xml:space="preserve"> </w:t>
      </w:r>
      <m:oMath>
        <m:r>
          <m:t>r</m:t>
        </m:r>
      </m:oMath>
      <w:r>
        <w:t xml:space="preserve">. A TIR é onde a curva cruza zero. As linhas tracejadas marcam as taxas reais típicas dos EUA (~2%) e do Brasil (~7%). Muitos projetos viáveis a 2% tornam-se inviáveis a 7%.</w:t>
      </w:r>
    </w:p>
    <w:p>
      <w:pPr>
        <w:pStyle w:val="BlockText"/>
      </w:pPr>
      <w:r>
        <w:rPr>
          <w:b/>
          <w:bCs/>
        </w:rPr>
        <w:t xml:space="preserve">[INTUICAO ECONOMICA] Intuição Econômica</w:t>
      </w:r>
    </w:p>
    <w:p>
      <w:pPr>
        <w:pStyle w:val="BlockText"/>
      </w:pPr>
      <w:r>
        <w:rPr>
          <w:b/>
          <w:bCs/>
        </w:rPr>
        <w:t xml:space="preserve">Em uma frase:</w:t>
      </w:r>
      <w:r>
        <w:t xml:space="preserve"> </w:t>
      </w:r>
      <w:r>
        <w:t xml:space="preserve">O VPL responde:</w:t>
      </w:r>
      <w:r>
        <w:t xml:space="preserve"> </w:t>
      </w:r>
      <w:r>
        <w:t xml:space="preserve">“Se eu descontar todos os benefícios futuros do projeto pela taxa que eu ganharia no mercado financeiro, ainda sobra alguma coisa?”</w:t>
      </w:r>
    </w:p>
    <w:p>
      <w:pPr>
        <w:pStyle w:val="BlockText"/>
      </w:pPr>
      <w:r>
        <w:rPr>
          <w:b/>
          <w:bCs/>
        </w:rPr>
        <w:t xml:space="preserve">Pense assim:</w:t>
      </w:r>
      <w:r>
        <w:t xml:space="preserve"> </w:t>
      </w:r>
      <w:r>
        <w:t xml:space="preserve">Um forno novo custa R$ 80.000 e economiza R$ 25.000/ano em gás e tempo por 5 anos. Se o CDB rende 10% ao ano, o VPL é</w:t>
      </w:r>
      <w:r>
        <w:t xml:space="preserve"> </w:t>
      </w:r>
      <m:oMath>
        <m:r>
          <m:rPr>
            <m:sty m:val="p"/>
          </m:rPr>
          <m:t>−</m:t>
        </m:r>
        <m:r>
          <m:t>80.000</m:t>
        </m:r>
        <m:r>
          <m:rPr>
            <m:sty m:val="p"/>
          </m:rPr>
          <m:t>+</m:t>
        </m:r>
        <m:r>
          <m:t>25.000</m:t>
        </m:r>
        <m:r>
          <m:rPr>
            <m:sty m:val="p"/>
          </m:rPr>
          <m:t>×</m:t>
        </m:r>
        <m:r>
          <m:t>3</m:t>
        </m:r>
        <m:r>
          <m:rPr>
            <m:sty m:val="p"/>
          </m:rPr>
          <m:t>,</m:t>
        </m:r>
        <m:r>
          <m:t>79</m:t>
        </m:r>
        <m:r>
          <m:rPr>
            <m:sty m:val="p"/>
          </m:rPr>
          <m:t>=</m:t>
        </m:r>
        <m:r>
          <m:t>14.775</m:t>
        </m:r>
      </m:oMath>
      <w:r>
        <w:t xml:space="preserve">. O forno compensa mais que o CDB — mas só porque a taxa é 10%. Se fosse 20%, o VPL cairia para</w:t>
      </w:r>
      <w:r>
        <w:t xml:space="preserve"> </w:t>
      </w:r>
      <m:oMath>
        <m:r>
          <m:rPr>
            <m:sty m:val="p"/>
          </m:rPr>
          <m:t>−</m:t>
        </m:r>
        <m:r>
          <m:t>80.000</m:t>
        </m:r>
        <m:r>
          <m:rPr>
            <m:sty m:val="p"/>
          </m:rPr>
          <m:t>+</m:t>
        </m:r>
        <m:r>
          <m:t>25.000</m:t>
        </m:r>
        <m:r>
          <m:rPr>
            <m:sty m:val="p"/>
          </m:rPr>
          <m:t>×</m:t>
        </m:r>
        <m:r>
          <m:t>2</m:t>
        </m:r>
        <m:r>
          <m:rPr>
            <m:sty m:val="p"/>
          </m:rPr>
          <m:t>,</m:t>
        </m:r>
        <m:r>
          <m:t>99</m:t>
        </m:r>
        <m:r>
          <m:rPr>
            <m:sty m:val="p"/>
          </m:rPr>
          <m:t>=</m:t>
        </m:r>
        <m:r>
          <m:rPr>
            <m:sty m:val="p"/>
          </m:rPr>
          <m:t>−</m:t>
        </m:r>
        <m:r>
          <m:t>5.250</m:t>
        </m:r>
      </m:oMath>
      <w:r>
        <w:t xml:space="preserve">: melhor deixar no banco.</w:t>
      </w:r>
    </w:p>
    <w:p>
      <w:pPr>
        <w:pStyle w:val="BlockText"/>
      </w:pPr>
      <w:r>
        <w:rPr>
          <w:b/>
          <w:bCs/>
        </w:rPr>
        <w:t xml:space="preserve">Por que isso importa:</w:t>
      </w:r>
      <w:r>
        <w:t xml:space="preserve"> </w:t>
      </w:r>
      <w:r>
        <w:t xml:space="preserve">No Brasil, onde o CDB rende 10–14% ao ano em termos reais em muitos períodos, poucos investimentos produtivos conseguem competir com a renda fixa. O VPL revela por que o investimento produtivo brasileiro é cronicamente baixo.</w:t>
      </w:r>
    </w:p>
    <w:p>
      <w:r>
        <w:pict>
          <v:rect style="width:0;height:1.5pt" o:hralign="center" o:hrstd="t" o:hr="t"/>
        </w:pict>
      </w:r>
    </w:p>
    <w:bookmarkEnd w:id="1146"/>
    <w:bookmarkStart w:id="1147" w:name="X67462663a512121ffada791890b558ee8b38773"/>
    <w:p>
      <w:pPr>
        <w:pStyle w:val="Heading3"/>
      </w:pPr>
      <w:r>
        <w:t xml:space="preserve">18.7 O Projeto Rende Quanto Por Cento?: Taxa Interna de Retorno</w:t>
      </w:r>
    </w:p>
    <w:p>
      <w:pPr>
        <w:pStyle w:val="FirstParagraph"/>
      </w:pPr>
      <w:r>
        <w:t xml:space="preserve">A TIR é a outra face da moeda do VPL. Em vez de perguntar</w:t>
      </w:r>
      <w:r>
        <w:t xml:space="preserve"> </w:t>
      </w:r>
      <w:r>
        <w:t xml:space="preserve">“qual o valor criado?”</w:t>
      </w:r>
      <w:r>
        <w:t xml:space="preserve">, ela pergunta</w:t>
      </w:r>
      <w:r>
        <w:t xml:space="preserve"> </w:t>
      </w:r>
      <w:r>
        <w:t xml:space="preserve">“qual a taxa de retorno do projeto?”</w:t>
      </w:r>
      <w:r>
        <w:t xml:space="preserve">:</w:t>
      </w:r>
    </w:p>
    <w:p>
      <w:pPr>
        <w:pStyle w:val="BlockText"/>
      </w:pPr>
      <w:r>
        <w:rPr>
          <w:b/>
          <w:bCs/>
        </w:rPr>
        <w:t xml:space="preserve">[DEFINICAO] Taxa Interna de Retorno (TIR)</w:t>
      </w:r>
    </w:p>
    <w:p>
      <w:pPr>
        <w:pStyle w:val="BlockText"/>
      </w:pPr>
      <w:r>
        <w:t xml:space="preserve">A TIR é a taxa de desconto</w:t>
      </w:r>
      <w:r>
        <w:t xml:space="preserve"> </w:t>
      </w:r>
      <m:oMath>
        <m:sSup>
          <m:e>
            <m:r>
              <m:t>r</m:t>
            </m:r>
          </m:e>
          <m:sup>
            <m:r>
              <m:rPr>
                <m:sty m:val="p"/>
              </m:rPr>
              <m:t>*</m:t>
            </m:r>
          </m:sup>
        </m:sSup>
      </m:oMath>
      <w:r>
        <w:t xml:space="preserve"> </w:t>
      </w:r>
      <w:r>
        <w:t xml:space="preserve">que torna o VPL igual a zero:</w:t>
      </w:r>
    </w:p>
    <w:p>
      <w:pPr>
        <w:pStyle w:val="BlockText"/>
      </w:pPr>
      <w:r>
        <w:t xml:space="preserve">$$</w:t>
      </w:r>
    </w:p>
    <w:p>
      <w:pPr>
        <w:pStyle w:val="BlockText"/>
      </w:pPr>
      <w:r>
        <w:t xml:space="preserve">_{t=0}^{T}</w:t>
      </w:r>
      <w:r>
        <w:t xml:space="preserve"> </w:t>
      </w:r>
      <w:r>
        <w:t xml:space="preserve"> </w:t>
      </w:r>
      <w:r>
        <w:t xml:space="preserve">= 0</w:t>
      </w:r>
      <w:r>
        <w:t xml:space="preserve"> </w:t>
      </w:r>
      <w:r>
        <w:t xml:space="preserve"> </w:t>
      </w:r>
      <w:r>
        <w:t xml:space="preserve"> </w:t>
      </w:r>
      <w:r>
        <w:t xml:space="preserve">$$</w:t>
      </w:r>
    </w:p>
    <w:p>
      <w:pPr>
        <w:pStyle w:val="FirstParagraph"/>
      </w:pPr>
      <w:r>
        <w:rPr>
          <w:b/>
          <w:bCs/>
        </w:rPr>
        <w:t xml:space="preserve">Regra de decisão:</w:t>
      </w:r>
      <w:r>
        <w:t xml:space="preserve"> </w:t>
      </w:r>
      <w:r>
        <w:t xml:space="preserve">Aceitar o projeto se</w:t>
      </w:r>
      <w:r>
        <w:t xml:space="preserve"> </w:t>
      </w:r>
      <m:oMath>
        <m:r>
          <m:t>T</m:t>
        </m:r>
        <m:r>
          <m:t>I</m:t>
        </m:r>
        <m:r>
          <m:t>R</m:t>
        </m:r>
        <m:r>
          <m:rPr>
            <m:sty m:val="p"/>
          </m:rPr>
          <m:t>&gt;</m:t>
        </m:r>
        <m:r>
          <m:t>r</m:t>
        </m:r>
      </m:oMath>
      <w:r>
        <w:t xml:space="preserve"> </w:t>
      </w:r>
      <w:r>
        <w:t xml:space="preserve">(custo de oportunidade do capital); rejeitar se</w:t>
      </w:r>
      <w:r>
        <w:t xml:space="preserve"> </w:t>
      </w:r>
      <m:oMath>
        <m:r>
          <m:t>T</m:t>
        </m:r>
        <m:r>
          <m:t>I</m:t>
        </m:r>
        <m:r>
          <m:t>R</m:t>
        </m:r>
        <m:r>
          <m:rPr>
            <m:sty m:val="p"/>
          </m:rPr>
          <m:t>&lt;</m:t>
        </m:r>
        <m:r>
          <m:t>r</m:t>
        </m:r>
      </m:oMath>
      <w:r>
        <w:t xml:space="preserve">. A TIR é a taxa de retorno implícita do projeto — o máximo que o investidor poderia pagar pelo capital e ainda empatar.</w:t>
      </w:r>
    </w:p>
    <w:p>
      <w:pPr>
        <w:pStyle w:val="BodyText"/>
      </w:pPr>
      <w:r>
        <w:t xml:space="preserve">A TIR é intuitivamente atraente — todo mundo entende</w:t>
      </w:r>
      <w:r>
        <w:t xml:space="preserve"> </w:t>
      </w:r>
      <w:r>
        <w:t xml:space="preserve">“este projeto rende 15% ao ano”</w:t>
      </w:r>
      <w:r>
        <w:t xml:space="preserve">. Mas ela tem</w:t>
      </w:r>
      <w:r>
        <w:t xml:space="preserve"> </w:t>
      </w:r>
      <w:r>
        <w:rPr>
          <w:b/>
          <w:bCs/>
        </w:rPr>
        <w:t xml:space="preserve">limitações importantes</w:t>
      </w:r>
      <w:r>
        <w:t xml:space="preserve">:</w:t>
      </w:r>
    </w:p>
    <w:p>
      <w:pPr>
        <w:numPr>
          <w:ilvl w:val="0"/>
          <w:numId w:val="1999"/>
        </w:numPr>
      </w:pPr>
      <w:r>
        <w:rPr>
          <w:b/>
          <w:bCs/>
        </w:rPr>
        <w:t xml:space="preserve">TIRs múltiplas:</w:t>
      </w:r>
      <w:r>
        <w:t xml:space="preserve"> </w:t>
      </w:r>
      <w:r>
        <w:t xml:space="preserve">Projetos com fluxos de caixa que alternam de sinal (investimento, retorno, reinvestimento) podem ter mais de uma TIR — ou nenhuma. Pela regra de Descartes, um polinômio com</w:t>
      </w:r>
      <w:r>
        <w:t xml:space="preserve"> </w:t>
      </w:r>
      <m:oMath>
        <m:r>
          <m:t>k</m:t>
        </m:r>
      </m:oMath>
      <w:r>
        <w:t xml:space="preserve"> </w:t>
      </w:r>
      <w:r>
        <w:t xml:space="preserve">mudanças de sinal tem no máximo</w:t>
      </w:r>
      <w:r>
        <w:t xml:space="preserve"> </w:t>
      </w:r>
      <m:oMath>
        <m:r>
          <m:t>k</m:t>
        </m:r>
      </m:oMath>
      <w:r>
        <w:t xml:space="preserve"> </w:t>
      </w:r>
      <w:r>
        <w:t xml:space="preserve">raízes reais positivas.</w:t>
      </w:r>
    </w:p>
    <w:p>
      <w:pPr>
        <w:numPr>
          <w:ilvl w:val="0"/>
          <w:numId w:val="1999"/>
        </w:numPr>
      </w:pPr>
      <w:r>
        <w:rPr>
          <w:b/>
          <w:bCs/>
        </w:rPr>
        <w:t xml:space="preserve">Problema de escala:</w:t>
      </w:r>
      <w:r>
        <w:t xml:space="preserve"> </w:t>
      </w:r>
      <w:r>
        <w:t xml:space="preserve">A TIR ignora o tamanho do projeto. Um projeto de R$ 1.000 com TIR de 50% não é necessariamente melhor que um de R$ 1 milhão com TIR de 20% — o segundo cria muito mais valor absoluto.</w:t>
      </w:r>
    </w:p>
    <w:p>
      <w:pPr>
        <w:numPr>
          <w:ilvl w:val="0"/>
          <w:numId w:val="1999"/>
        </w:numPr>
      </w:pPr>
      <w:r>
        <w:rPr>
          <w:b/>
          <w:bCs/>
        </w:rPr>
        <w:t xml:space="preserve">Hipótese de reinvestimento:</w:t>
      </w:r>
      <w:r>
        <w:t xml:space="preserve"> </w:t>
      </w:r>
      <w:r>
        <w:t xml:space="preserve">A TIR assume implicitamente que os fluxos intermediários são reinvestidos à própria TIR, o que é irrealista para projetos com TIR muito alta.</w:t>
      </w:r>
    </w:p>
    <w:p>
      <w:pPr>
        <w:numPr>
          <w:ilvl w:val="0"/>
          <w:numId w:val="1999"/>
        </w:numPr>
      </w:pPr>
      <w:r>
        <w:rPr>
          <w:b/>
          <w:bCs/>
        </w:rPr>
        <w:t xml:space="preserve">Projetos mutuamente excludentes:</w:t>
      </w:r>
      <w:r>
        <w:t xml:space="preserve"> </w:t>
      </w:r>
      <w:r>
        <w:t xml:space="preserve">A TIR pode ordenar projetos de forma diferente do VPL. Nesses casos,</w:t>
      </w:r>
      <w:r>
        <w:t xml:space="preserve"> </w:t>
      </w:r>
      <w:r>
        <w:rPr>
          <w:b/>
          <w:bCs/>
        </w:rPr>
        <w:t xml:space="preserve">o VPL é o critério correto</w:t>
      </w:r>
      <w:r>
        <w:t xml:space="preserve"> </w:t>
      </w:r>
      <w:r>
        <w:t xml:space="preserve">— ele maximiza o valor para o investidor.</w:t>
      </w:r>
    </w:p>
    <w:p>
      <w:pPr>
        <w:pStyle w:val="BlockText"/>
      </w:pPr>
      <w:r>
        <w:rPr>
          <w:b/>
          <w:bCs/>
        </w:rPr>
        <w:t xml:space="preserve">[ATENCAO] Erro Comum</w:t>
      </w:r>
    </w:p>
    <w:p>
      <w:pPr>
        <w:pStyle w:val="BlockText"/>
      </w:pPr>
      <w:r>
        <w:rPr>
          <w:b/>
          <w:bCs/>
        </w:rPr>
        <w:t xml:space="preserve">Usar a TIR como critério único para comparar projetos de diferentes escalas ou durações.</w:t>
      </w:r>
    </w:p>
    <w:p>
      <w:pPr>
        <w:pStyle w:val="BlockText"/>
      </w:pPr>
      <w:r>
        <w:t xml:space="preserve">Dois projetos: A tem investimento de R$ 10.000 e TIR de 30%; B tem investimento de R$ 500.000 e TIR de 18%. O projeto A tem TIR maior, mas o projeto B cria muito mais valor (VPL maior). A TIR é útil como indicador de eficiência, mas o VPL é o critério decisório.</w:t>
      </w:r>
    </w:p>
    <w:p>
      <w:pPr>
        <w:pStyle w:val="FirstParagraph"/>
      </w:pPr>
      <w:r>
        <w:t xml:space="preserve">[FIGURA INTERATIVA: /micro-book/graficos/cap18/vpl-tir.html — versao interativa disponivel online]</w:t>
      </w:r>
    </w:p>
    <w:p>
      <w:pPr>
        <w:pStyle w:val="BodyText"/>
      </w:pPr>
      <w:r>
        <w:rPr>
          <w:b/>
          <w:bCs/>
        </w:rPr>
        <w:t xml:space="preserve">Figura 18.2 — Curva VPL × taxa de desconto.</w:t>
      </w:r>
      <w:r>
        <w:t xml:space="preserve"> </w:t>
      </w:r>
      <w:r>
        <w:t xml:space="preserve">O VPL é decrescente na taxa de desconto. A TIR é o ponto em que a curva cruza o eixo horizontal. Observe como projetos viáveis a juros baixos podem se tornar inviáveis quando a taxa sobe — especialmente relevante para o contexto brasileiro.</w:t>
      </w:r>
    </w:p>
    <w:p>
      <w:pPr>
        <w:pStyle w:val="BlockText"/>
      </w:pPr>
      <w:r>
        <w:rPr>
          <w:b/>
          <w:bCs/>
        </w:rPr>
        <w:t xml:space="preserve">[BOX BRASIL] Box Brasil 18.3 — Tesouro Direto: VPL na prática para o investidor brasileiro</w:t>
      </w:r>
    </w:p>
    <w:p>
      <w:pPr>
        <w:pStyle w:val="BlockText"/>
      </w:pPr>
      <w:r>
        <w:rPr>
          <w:b/>
          <w:bCs/>
        </w:rPr>
        <w:t xml:space="preserve">Contexto:</w:t>
      </w:r>
      <w:r>
        <w:t xml:space="preserve"> </w:t>
      </w:r>
      <w:r>
        <w:t xml:space="preserve">O Tesouro Direto, plataforma do Tesouro Nacional para venda de títulos públicos a pessoas físicas, é a aplicação mais acessível da teoria do VPL no Brasil. Os principais títulos são:</w:t>
      </w:r>
    </w:p>
    <w:p>
      <w:pPr>
        <w:pStyle w:val="Compact"/>
        <w:numPr>
          <w:ilvl w:val="0"/>
          <w:numId w:val="2000"/>
        </w:numPr>
      </w:pPr>
      <w:r>
        <w:rPr>
          <w:b/>
          <w:bCs/>
        </w:rPr>
        <w:t xml:space="preserve">Tesouro Selic (LFT):</w:t>
      </w:r>
      <w:r>
        <w:t xml:space="preserve"> </w:t>
      </w:r>
      <w:r>
        <w:t xml:space="preserve">pós-fixado, acompanha a taxa Selic. Baixa volatilidade, ideal para reservas de emergência.</w:t>
      </w:r>
    </w:p>
    <w:p>
      <w:pPr>
        <w:pStyle w:val="Compact"/>
        <w:numPr>
          <w:ilvl w:val="0"/>
          <w:numId w:val="2000"/>
        </w:numPr>
      </w:pPr>
      <w:r>
        <w:rPr>
          <w:b/>
          <w:bCs/>
        </w:rPr>
        <w:t xml:space="preserve">Tesouro Prefixado (LTN):</w:t>
      </w:r>
      <w:r>
        <w:t xml:space="preserve"> </w:t>
      </w:r>
      <w:r>
        <w:t xml:space="preserve">taxa fixa definida na compra. O investidor sabe exatamente quanto receberá no vencimento.</w:t>
      </w:r>
    </w:p>
    <w:p>
      <w:pPr>
        <w:pStyle w:val="Compact"/>
        <w:numPr>
          <w:ilvl w:val="0"/>
          <w:numId w:val="2000"/>
        </w:numPr>
      </w:pPr>
      <w:r>
        <w:rPr>
          <w:b/>
          <w:bCs/>
        </w:rPr>
        <w:t xml:space="preserve">Tesouro IPCA+ (NTN-B):</w:t>
      </w:r>
      <w:r>
        <w:t xml:space="preserve"> </w:t>
      </w:r>
      <w:r>
        <w:t xml:space="preserve">taxa real fixa + correção pela inflação (IPCA). Protege contra a erosão inflacionária.</w:t>
      </w:r>
    </w:p>
    <w:p>
      <w:pPr>
        <w:pStyle w:val="BlockText"/>
      </w:pPr>
      <w:r>
        <w:rPr>
          <w:b/>
          <w:bCs/>
        </w:rPr>
        <w:t xml:space="preserve">Análise:</w:t>
      </w:r>
      <w:r>
        <w:t xml:space="preserve"> </w:t>
      </w:r>
      <w:r>
        <w:t xml:space="preserve">O Tesouro Direto é uma aplicação direta do critério do VPL (</w:t>
      </w:r>
      <w:hyperlink w:anchor="X7d538ef1c1db71603e60f278446c86470162380">
        <w:r>
          <w:rPr>
            <w:rStyle w:val="Hyperlink"/>
          </w:rPr>
          <w:t xml:space="preserve">Seção 18.6</w:t>
        </w:r>
      </w:hyperlink>
      <w:r>
        <w:t xml:space="preserve">) e da estrutura a termo de juros: o investidor compara o VPL do título (fluxo de cupons + principal descontados) com o preço de compra. A NTN-B Principal (sem cupons semestrais) é um título</w:t>
      </w:r>
      <w:r>
        <w:t xml:space="preserve"> </w:t>
      </w:r>
      <w:r>
        <w:rPr>
          <w:i/>
          <w:iCs/>
        </w:rPr>
        <w:t xml:space="preserve">zero-coupon</w:t>
      </w:r>
      <w:r>
        <w:t xml:space="preserve"> </w:t>
      </w:r>
      <w:r>
        <w:t xml:space="preserve">puro, cujo preço é simplesmente</w:t>
      </w:r>
      <w:r>
        <w:t xml:space="preserve"> </w:t>
      </w:r>
      <m:oMath>
        <m:r>
          <m:t>P</m:t>
        </m:r>
        <m:r>
          <m:rPr>
            <m:sty m:val="p"/>
          </m:rPr>
          <m:t>=</m:t>
        </m:r>
        <m:f>
          <m:fPr>
            <m:type m:val="bar"/>
          </m:fPr>
          <m:num>
            <m:r>
              <m:t>V</m:t>
            </m:r>
            <m:r>
              <m:t>F</m:t>
            </m:r>
          </m:num>
          <m:den>
            <m:r>
              <m:rPr>
                <m:sty m:val="p"/>
              </m:rPr>
              <m:t>(</m:t>
            </m:r>
            <m:r>
              <m:t>1</m:t>
            </m:r>
            <m:r>
              <m:rPr>
                <m:sty m:val="p"/>
              </m:rPr>
              <m:t>+</m:t>
            </m:r>
            <m:r>
              <m:t>r</m:t>
            </m:r>
            <m:sSup>
              <m:e>
                <m:r>
                  <m:rPr>
                    <m:sty m:val="p"/>
                  </m:rPr>
                  <m:t>)</m:t>
                </m:r>
              </m:e>
              <m:sup>
                <m:r>
                  <m:t>n</m:t>
                </m:r>
              </m:sup>
            </m:sSup>
          </m:den>
        </m:f>
      </m:oMath>
      <w:r>
        <w:t xml:space="preserve">, onde</w:t>
      </w:r>
      <w:r>
        <w:t xml:space="preserve"> </w:t>
      </w:r>
      <m:oMath>
        <m:r>
          <m:t>r</m:t>
        </m:r>
      </m:oMath>
      <w:r>
        <w:t xml:space="preserve"> </w:t>
      </w:r>
      <w:r>
        <w:t xml:space="preserve">é a taxa real e</w:t>
      </w:r>
      <w:r>
        <w:t xml:space="preserve"> </w:t>
      </w:r>
      <m:oMath>
        <m:r>
          <m:t>n</m:t>
        </m:r>
      </m:oMath>
      <w:r>
        <w:t xml:space="preserve"> </w:t>
      </w:r>
      <w:r>
        <w:t xml:space="preserve">o prazo em anos — a fórmula mais básica de desconto intertemporal. O Tesouro Direto também ilustra o conceito de</w:t>
      </w:r>
      <w:r>
        <w:t xml:space="preserve"> </w:t>
      </w:r>
      <w:r>
        <w:rPr>
          <w:b/>
          <w:bCs/>
        </w:rPr>
        <w:t xml:space="preserve">risco de mercado</w:t>
      </w:r>
      <w:r>
        <w:t xml:space="preserve"> </w:t>
      </w:r>
      <w:r>
        <w:t xml:space="preserve">(</w:t>
      </w:r>
      <w:hyperlink w:anchor="Xfa2ed2aac6d61f44ca9cba73e1e8946b7cd7d22">
        <w:r>
          <w:rPr>
            <w:rStyle w:val="Hyperlink"/>
          </w:rPr>
          <w:t xml:space="preserve">Seção 18.5</w:t>
        </w:r>
      </w:hyperlink>
      <w:r>
        <w:t xml:space="preserve">): se os juros reais sobem, o preço da NTN-B cai (relação inversa VPL-taxa de desconto da Figura 18.2). Investidores de longo prazo que mantêm até o vencimento eliminam esse risco; quem vende antecipadamente está exposto à volatilidade.</w:t>
      </w:r>
    </w:p>
    <w:p>
      <w:pPr>
        <w:pStyle w:val="BlockText"/>
      </w:pPr>
      <w:r>
        <w:rPr>
          <w:b/>
          <w:bCs/>
        </w:rPr>
        <w:t xml:space="preserve">Para refletir:</w:t>
      </w:r>
      <w:r>
        <w:t xml:space="preserve"> </w:t>
      </w:r>
      <w:r>
        <w:t xml:space="preserve">Com a taxa real da NTN-B em torno de 6% a.a. em 2024, qual é o VPL de abrir um negócio que rende 10% a.a. reais? E se o negócio rende apenas 5%? O Tesouro Direto fornece o benchmark do custo de oportunidade do capital — o</w:t>
      </w:r>
      <w:r>
        <w:t xml:space="preserve"> </w:t>
      </w:r>
      <m:oMath>
        <m:r>
          <m:t>r</m:t>
        </m:r>
      </m:oMath>
      <w:r>
        <w:t xml:space="preserve"> </w:t>
      </w:r>
      <w:r>
        <w:t xml:space="preserve">da fórmula do VPL — para qualquer decisão de investimento no Brasil.</w:t>
      </w:r>
    </w:p>
    <w:bookmarkEnd w:id="1147"/>
    <w:bookmarkEnd w:id="1148"/>
    <w:bookmarkStart w:id="1155" w:name="demanda-e-juros-compostos"/>
    <w:p>
      <w:pPr>
        <w:pStyle w:val="Heading2"/>
      </w:pPr>
      <w:r>
        <w:t xml:space="preserve">18.8–18.9 Demanda e Juros Compostos</w:t>
      </w:r>
    </w:p>
    <w:bookmarkStart w:id="1149" w:name="Xcf1fffc01dc0193aa07d0b1de723c292a2c826d"/>
    <w:p>
      <w:pPr>
        <w:pStyle w:val="Heading3"/>
      </w:pPr>
      <w:r>
        <w:t xml:space="preserve">18.8 Mais Um Caminhão ou Deixa no Banco: Demanda por Capital</w:t>
      </w:r>
    </w:p>
    <w:p>
      <w:pPr>
        <w:pStyle w:val="FirstParagraph"/>
      </w:pPr>
      <w:r>
        <w:t xml:space="preserve">O VPL e a TIR avaliam projetos de investimento a partir dos fluxos de caixa. Mas qual a regra que a firma segue para decidir quanto capital empregar? A resposta conecta a teoria da produção — já estudada nos Capítulos 9–12 — à teoria dos juros: a firma investe em capital até que o retorno marginal do investimento iguale seu custo de oportunidade, determinado pela taxa de juros e pela depreciação.</w:t>
      </w:r>
    </w:p>
    <w:p>
      <w:pPr>
        <w:pStyle w:val="BodyText"/>
      </w:pPr>
      <w:r>
        <w:t xml:space="preserve">A firma demanda capital até que o</w:t>
      </w:r>
      <w:r>
        <w:t xml:space="preserve"> </w:t>
      </w:r>
      <w:r>
        <w:rPr>
          <w:b/>
          <w:bCs/>
        </w:rPr>
        <w:t xml:space="preserve">valor do produto marginal do capital</w:t>
      </w:r>
      <w:r>
        <w:t xml:space="preserve"> </w:t>
      </w:r>
      <w:r>
        <w:t xml:space="preserve">iguale o</w:t>
      </w:r>
      <w:r>
        <w:t xml:space="preserve"> </w:t>
      </w:r>
      <w:r>
        <w:rPr>
          <w:b/>
          <w:bCs/>
        </w:rPr>
        <w:t xml:space="preserve">custo de uso do capital</w:t>
      </w:r>
      <w:r>
        <w:t xml:space="preserve">:</w:t>
      </w:r>
    </w:p>
    <w:p>
      <w:pPr>
        <w:pStyle w:val="BodyText"/>
      </w:pPr>
      <w:r>
        <w:t xml:space="preserve">$$
    p \cdot PMg_K = c_K
    \label{eq:18.10} \tag{18.10} 
    $$</w:t>
      </w:r>
    </w:p>
    <w:p>
      <w:pPr>
        <w:pStyle w:val="FirstParagraph"/>
      </w:pPr>
      <w:r>
        <w:t xml:space="preserve">O</w:t>
      </w:r>
      <w:r>
        <w:t xml:space="preserve"> </w:t>
      </w:r>
      <w:r>
        <w:rPr>
          <w:b/>
          <w:bCs/>
        </w:rPr>
        <w:t xml:space="preserve">custo de uso do capital</w:t>
      </w:r>
      <w:r>
        <w:t xml:space="preserve"> </w:t>
      </w:r>
      <w:r>
        <w:t xml:space="preserve">(user cost of capital, ou custo de Jorgenson) é:</w:t>
      </w:r>
    </w:p>
    <w:p>
      <w:pPr>
        <w:pStyle w:val="BodyText"/>
      </w:pPr>
      <m:oMathPara>
        <m:oMathParaPr>
          <m:jc m:val="center"/>
        </m:oMathParaPr>
        <m:oMath>
          <m:sSub>
            <m:e>
              <m:r>
                <m:t>c</m:t>
              </m:r>
            </m:e>
            <m:sub>
              <m:r>
                <m:t>K</m:t>
              </m:r>
            </m:sub>
          </m:sSub>
          <m:r>
            <m:rPr>
              <m:sty m:val="p"/>
            </m:rPr>
            <m:t>=</m:t>
          </m:r>
          <m:sSub>
            <m:e>
              <m:r>
                <m:t>p</m:t>
              </m:r>
            </m:e>
            <m:sub>
              <m:r>
                <m:t>K</m:t>
              </m:r>
            </m:sub>
          </m:sSub>
          <m:r>
            <m:rPr>
              <m:sty m:val="p"/>
            </m:rPr>
            <m:t>(</m:t>
          </m:r>
          <m:r>
            <m:t>r</m:t>
          </m:r>
          <m:r>
            <m:rPr>
              <m:sty m:val="p"/>
            </m:rPr>
            <m:t>+</m:t>
          </m:r>
          <m:r>
            <m:t>δ</m:t>
          </m:r>
          <m:r>
            <m:rPr>
              <m:sty m:val="p"/>
            </m:rPr>
            <m:t>)</m:t>
          </m:r>
        </m:oMath>
      </m:oMathPara>
    </w:p>
    <w:p>
      <w:pPr>
        <w:pStyle w:val="FirstParagraph"/>
      </w:pPr>
      <w:r>
        <w:t xml:space="preserve">onde</w:t>
      </w:r>
      <w:r>
        <w:t xml:space="preserve"> </w:t>
      </w:r>
      <m:oMath>
        <m:sSub>
          <m:e>
            <m:r>
              <m:t>p</m:t>
            </m:r>
          </m:e>
          <m:sub>
            <m:r>
              <m:t>K</m:t>
            </m:r>
          </m:sub>
        </m:sSub>
      </m:oMath>
      <w:r>
        <w:t xml:space="preserve"> </w:t>
      </w:r>
      <w:r>
        <w:t xml:space="preserve">é o preço do bem de capital,</w:t>
      </w:r>
      <w:r>
        <w:t xml:space="preserve"> </w:t>
      </w:r>
      <m:oMath>
        <m:r>
          <m:t>r</m:t>
        </m:r>
      </m:oMath>
      <w:r>
        <w:t xml:space="preserve"> </w:t>
      </w:r>
      <w:r>
        <w:t xml:space="preserve">é a taxa de juros real e</w:t>
      </w:r>
      <w:r>
        <w:t xml:space="preserve"> </w:t>
      </w:r>
      <m:oMath>
        <m:r>
          <m:t>δ</m:t>
        </m:r>
      </m:oMath>
      <w:r>
        <w:t xml:space="preserve"> </w:t>
      </w:r>
      <w:r>
        <w:t xml:space="preserve">é a taxa de depreciação.</w:t>
      </w:r>
    </w:p>
    <w:p>
      <w:pPr>
        <w:pStyle w:val="BlockText"/>
      </w:pPr>
      <w:r>
        <w:rPr>
          <w:b/>
          <w:bCs/>
        </w:rPr>
        <w:t xml:space="preserve">[DEFINICAO] Custo de uso do capital</w:t>
      </w:r>
    </w:p>
    <w:p>
      <w:pPr>
        <w:pStyle w:val="BlockText"/>
      </w:pPr>
      <w:r>
        <w:t xml:space="preserve">O custo de uso do capital</w:t>
      </w:r>
      <w:r>
        <w:t xml:space="preserve"> </w:t>
      </w:r>
      <m:oMath>
        <m:sSub>
          <m:e>
            <m:r>
              <m:t>c</m:t>
            </m:r>
          </m:e>
          <m:sub>
            <m:r>
              <m:t>K</m:t>
            </m:r>
          </m:sub>
        </m:sSub>
        <m:r>
          <m:rPr>
            <m:sty m:val="p"/>
          </m:rPr>
          <m:t>=</m:t>
        </m:r>
        <m:sSub>
          <m:e>
            <m:r>
              <m:t>p</m:t>
            </m:r>
          </m:e>
          <m:sub>
            <m:r>
              <m:t>K</m:t>
            </m:r>
          </m:sub>
        </m:sSub>
        <m:r>
          <m:rPr>
            <m:sty m:val="p"/>
          </m:rPr>
          <m:t>(</m:t>
        </m:r>
        <m:r>
          <m:t>r</m:t>
        </m:r>
        <m:r>
          <m:rPr>
            <m:sty m:val="p"/>
          </m:rPr>
          <m:t>+</m:t>
        </m:r>
        <m:r>
          <m:t>δ</m:t>
        </m:r>
        <m:r>
          <m:rPr>
            <m:sty m:val="p"/>
          </m:rPr>
          <m:t>)</m:t>
        </m:r>
      </m:oMath>
      <w:r>
        <w:t xml:space="preserve"> </w:t>
      </w:r>
      <w:r>
        <w:t xml:space="preserve">representa o custo por período de utilizar uma unidade de capital. Ele inclui dois componentes: o</w:t>
      </w:r>
      <w:r>
        <w:t xml:space="preserve"> </w:t>
      </w:r>
      <w:r>
        <w:rPr>
          <w:b/>
          <w:bCs/>
        </w:rPr>
        <w:t xml:space="preserve">custo de oportunidade</w:t>
      </w:r>
      <w:r>
        <w:t xml:space="preserve"> </w:t>
      </w:r>
      <w:r>
        <w:t xml:space="preserve">do capital (</w:t>
      </w:r>
      <m:oMath>
        <m:sSub>
          <m:e>
            <m:r>
              <m:t>p</m:t>
            </m:r>
          </m:e>
          <m:sub>
            <m:r>
              <m:t>K</m:t>
            </m:r>
          </m:sub>
        </m:sSub>
        <m:r>
          <m:rPr>
            <m:sty m:val="p"/>
          </m:rPr>
          <m:t>⋅</m:t>
        </m:r>
        <m:r>
          <m:t>r</m:t>
        </m:r>
      </m:oMath>
      <w:r>
        <w:t xml:space="preserve">, o retorno que se obteria aplicando o valor do capital no mercado financeiro) e o</w:t>
      </w:r>
      <w:r>
        <w:t xml:space="preserve"> </w:t>
      </w:r>
      <w:r>
        <w:rPr>
          <w:b/>
          <w:bCs/>
        </w:rPr>
        <w:t xml:space="preserve">custo de depreciação</w:t>
      </w:r>
      <w:r>
        <w:t xml:space="preserve"> </w:t>
      </w:r>
      <w:r>
        <w:t xml:space="preserve">(</w:t>
      </w:r>
      <m:oMath>
        <m:sSub>
          <m:e>
            <m:r>
              <m:t>p</m:t>
            </m:r>
          </m:e>
          <m:sub>
            <m:r>
              <m:t>K</m:t>
            </m:r>
          </m:sub>
        </m:sSub>
        <m:r>
          <m:rPr>
            <m:sty m:val="p"/>
          </m:rPr>
          <m:t>⋅</m:t>
        </m:r>
        <m:r>
          <m:t>δ</m:t>
        </m:r>
      </m:oMath>
      <w:r>
        <w:t xml:space="preserve">, a perda de valor do capital por desgaste ou obsolescência).</w:t>
      </w:r>
    </w:p>
    <w:p>
      <w:pPr>
        <w:pStyle w:val="FirstParagraph"/>
      </w:pPr>
      <w:r>
        <w:t xml:space="preserve">As equações Eq. (eq:18.10) e Eq. (eq:18.11) mostram que a demanda por capital é decrescente na taxa de juros: quando</w:t>
      </w:r>
      <w:r>
        <w:t xml:space="preserve"> </w:t>
      </w:r>
      <m:oMath>
        <m:r>
          <m:t>r</m:t>
        </m:r>
      </m:oMath>
      <w:r>
        <w:t xml:space="preserve"> </w:t>
      </w:r>
      <w:r>
        <w:t xml:space="preserve">sobe,</w:t>
      </w:r>
      <w:r>
        <w:t xml:space="preserve"> </w:t>
      </w:r>
      <m:oMath>
        <m:sSub>
          <m:e>
            <m:r>
              <m:t>c</m:t>
            </m:r>
          </m:e>
          <m:sub>
            <m:r>
              <m:t>K</m:t>
            </m:r>
          </m:sub>
        </m:sSub>
      </m:oMath>
      <w:r>
        <w:t xml:space="preserve"> </w:t>
      </w:r>
      <w:r>
        <w:t xml:space="preserve">aumenta e a firma reduz seu estoque de capital desejado. A elasticidade da demanda por capital em relação à taxa de juros depende da curvatura da função de produção — com rendimentos rapidamente decrescentes do capital (função muito côncava), a resposta é pequena; com rendimentos lentamente decrescentes, a resposta é grande.</w:t>
      </w:r>
    </w:p>
    <w:p>
      <w:pPr>
        <w:pStyle w:val="BodyText"/>
      </w:pPr>
      <w:r>
        <w:t xml:space="preserve">No caso Cobb-Douglas</w:t>
      </w:r>
      <w:r>
        <w:t xml:space="preserve"> </w:t>
      </w:r>
      <m:oMath>
        <m:r>
          <m:t>Y</m:t>
        </m:r>
        <m:r>
          <m:rPr>
            <m:sty m:val="p"/>
          </m:rPr>
          <m:t>=</m:t>
        </m:r>
        <m:r>
          <m:t>A</m:t>
        </m:r>
        <m:sSup>
          <m:e>
            <m:r>
              <m:t>K</m:t>
            </m:r>
          </m:e>
          <m:sup>
            <m:r>
              <m:t>α</m:t>
            </m:r>
          </m:sup>
        </m:sSup>
        <m:sSup>
          <m:e>
            <m:r>
              <m:t>L</m:t>
            </m:r>
          </m:e>
          <m:sup>
            <m:r>
              <m:t>1</m:t>
            </m:r>
            <m:r>
              <m:rPr>
                <m:sty m:val="p"/>
              </m:rPr>
              <m:t>−</m:t>
            </m:r>
            <m:r>
              <m:t>α</m:t>
            </m:r>
          </m:sup>
        </m:sSup>
      </m:oMath>
      <w:r>
        <w:t xml:space="preserve">, o produto marginal do capital é</w:t>
      </w:r>
      <w:r>
        <w:t xml:space="preserve"> </w:t>
      </w:r>
      <m:oMath>
        <m:r>
          <m:t>P</m:t>
        </m:r>
        <m:r>
          <m:t>M</m:t>
        </m:r>
        <m:sSub>
          <m:e>
            <m:r>
              <m:t>g</m:t>
            </m:r>
          </m:e>
          <m:sub>
            <m:r>
              <m:t>K</m:t>
            </m:r>
          </m:sub>
        </m:sSub>
        <m:r>
          <m:rPr>
            <m:sty m:val="p"/>
          </m:rPr>
          <m:t>=</m:t>
        </m:r>
        <m:r>
          <m:t>α</m:t>
        </m:r>
        <m:r>
          <m:t>A</m:t>
        </m:r>
        <m:sSup>
          <m:e>
            <m:r>
              <m:t>K</m:t>
            </m:r>
          </m:e>
          <m:sup>
            <m:r>
              <m:t>α</m:t>
            </m:r>
            <m:r>
              <m:rPr>
                <m:sty m:val="p"/>
              </m:rPr>
              <m:t>−</m:t>
            </m:r>
            <m:r>
              <m:t>1</m:t>
            </m:r>
          </m:sup>
        </m:sSup>
        <m:sSup>
          <m:e>
            <m:r>
              <m:t>L</m:t>
            </m:r>
          </m:e>
          <m:sup>
            <m:r>
              <m:t>1</m:t>
            </m:r>
            <m:r>
              <m:rPr>
                <m:sty m:val="p"/>
              </m:rPr>
              <m:t>−</m:t>
            </m:r>
            <m:r>
              <m:t>α</m:t>
            </m:r>
          </m:sup>
        </m:sSup>
      </m:oMath>
      <w:r>
        <w:t xml:space="preserve">, e a condição Eq. (eq:18.10) implica:</w:t>
      </w:r>
    </w:p>
    <w:p>
      <w:pPr>
        <w:pStyle w:val="BodyText"/>
      </w:pPr>
      <w:r>
        <w:t xml:space="preserve">$$
    K^* = \left(\frac{p \cdot \alpha A}{c_K}\right)^{\frac{1}{1-\alpha}} L \label{eq:18.11b} \tag{18.11b}
    $$</w:t>
      </w:r>
    </w:p>
    <w:p>
      <w:pPr>
        <w:pStyle w:val="FirstParagraph"/>
      </w:pPr>
      <w:r>
        <w:t xml:space="preserve">A demanda por capital é decrescente no custo de uso</w:t>
      </w:r>
      <w:r>
        <w:t xml:space="preserve"> </w:t>
      </w:r>
      <m:oMath>
        <m:sSub>
          <m:e>
            <m:r>
              <m:t>c</m:t>
            </m:r>
          </m:e>
          <m:sub>
            <m:r>
              <m:t>K</m:t>
            </m:r>
          </m:sub>
        </m:sSub>
      </m:oMath>
      <w:r>
        <w:t xml:space="preserve"> </w:t>
      </w:r>
      <w:r>
        <w:t xml:space="preserve">(e, portanto, na taxa de juros</w:t>
      </w:r>
      <w:r>
        <w:t xml:space="preserve"> </w:t>
      </w:r>
      <m:oMath>
        <m:r>
          <m:t>r</m:t>
        </m:r>
      </m:oMath>
      <w:r>
        <w:t xml:space="preserve">) e crescente na produtividade total dos fatores</w:t>
      </w:r>
      <w:r>
        <w:t xml:space="preserve"> </w:t>
      </w:r>
      <m:oMath>
        <m:r>
          <m:t>A</m:t>
        </m:r>
      </m:oMath>
      <w:r>
        <w:t xml:space="preserve">, no preço do produto</w:t>
      </w:r>
      <w:r>
        <w:t xml:space="preserve"> </w:t>
      </w:r>
      <m:oMath>
        <m:r>
          <m:t>p</m:t>
        </m:r>
      </m:oMath>
      <w:r>
        <w:t xml:space="preserve"> </w:t>
      </w:r>
      <w:r>
        <w:t xml:space="preserve">e na quantidade de trabalho</w:t>
      </w:r>
      <w:r>
        <w:t xml:space="preserve"> </w:t>
      </w:r>
      <m:oMath>
        <m:r>
          <m:t>L</m:t>
        </m:r>
      </m:oMath>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A firma compra capital até que o último real investido em máquinas renda exatamente o que renderia se aplicado no mercado financeiro.</w:t>
      </w:r>
    </w:p>
    <w:p>
      <w:pPr>
        <w:pStyle w:val="BlockText"/>
      </w:pPr>
      <w:r>
        <w:rPr>
          <w:b/>
          <w:bCs/>
        </w:rPr>
        <w:t xml:space="preserve">Pense assim:</w:t>
      </w:r>
      <w:r>
        <w:t xml:space="preserve"> </w:t>
      </w:r>
      <w:r>
        <w:t xml:space="preserve">Um transportador autônomo em Goiás avalia comprar um caminhão novo por R$ 400 mil. O caminhão gera frete de R$ 10 mil por mês, mas deprecia 15% ao ano e o financiamento cobra 12% de juros. O custo de uso mensal é</w:t>
      </w:r>
      <w:r>
        <w:t xml:space="preserve"> </w:t>
      </w:r>
      <m:oMath>
        <m:sSub>
          <m:e>
            <m:r>
              <m:t>c</m:t>
            </m:r>
          </m:e>
          <m:sub>
            <m:r>
              <m:t>K</m:t>
            </m:r>
          </m:sub>
        </m:sSub>
        <m:r>
          <m:rPr>
            <m:sty m:val="p"/>
          </m:rPr>
          <m:t>=</m:t>
        </m:r>
        <m:r>
          <m:t>400.000</m:t>
        </m:r>
        <m:r>
          <m:rPr>
            <m:sty m:val="p"/>
          </m:rPr>
          <m:t>×</m:t>
        </m:r>
        <m:r>
          <m:rPr>
            <m:sty m:val="p"/>
          </m:rPr>
          <m:t>(</m:t>
        </m:r>
        <m:r>
          <m:t>0</m:t>
        </m:r>
        <m:r>
          <m:rPr>
            <m:sty m:val="p"/>
          </m:rPr>
          <m:t>,</m:t>
        </m:r>
        <m:r>
          <m:t>12</m:t>
        </m:r>
        <m:r>
          <m:rPr>
            <m:sty m:val="p"/>
          </m:rPr>
          <m:t>+</m:t>
        </m:r>
        <m:r>
          <m:t>0</m:t>
        </m:r>
        <m:r>
          <m:rPr>
            <m:sty m:val="p"/>
          </m:rPr>
          <m:t>,</m:t>
        </m:r>
        <m:r>
          <m:t>15</m:t>
        </m:r>
        <m:r>
          <m:rPr>
            <m:sty m:val="p"/>
          </m:rPr>
          <m:t>)</m:t>
        </m:r>
        <m:r>
          <m:rPr>
            <m:sty m:val="p"/>
          </m:rPr>
          <m:t>/</m:t>
        </m:r>
        <m:r>
          <m:t>12</m:t>
        </m:r>
        <m:r>
          <m:rPr>
            <m:sty m:val="p"/>
          </m:rPr>
          <m:t>=</m:t>
        </m:r>
        <m:r>
          <m:t>R</m:t>
        </m:r>
        <m:r>
          <m:rPr>
            <m:sty m:val="p"/>
          </m:rPr>
          <m:t>$</m:t>
        </m:r>
        <m:r>
          <m:t>9.000</m:t>
        </m:r>
      </m:oMath>
      <w:r>
        <w:t xml:space="preserve">. Como o frete (R$ 10.000) supera o custo de uso (R$ 9.000), vale a pena. Mas se os juros subirem para 18%, o custo de uso pula para R$ 11.000, e o caminhão passa a dar prejuízo econômico.</w:t>
      </w:r>
    </w:p>
    <w:p>
      <w:pPr>
        <w:pStyle w:val="BlockText"/>
      </w:pPr>
      <w:r>
        <w:rPr>
          <w:b/>
          <w:bCs/>
        </w:rPr>
        <w:t xml:space="preserve">Por que isso importa:</w:t>
      </w:r>
      <w:r>
        <w:t xml:space="preserve"> </w:t>
      </w:r>
      <w:r>
        <w:t xml:space="preserve">No Brasil, a combinação de juros reais altos e depreciação acelerada (especialmente para equipamentos importados sujeitos a variação cambial) eleva substancialmente o custo de uso do capital, desincentivando a formação de capital fixo.</w:t>
      </w:r>
    </w:p>
    <w:p>
      <w:pPr>
        <w:pStyle w:val="FirstParagraph"/>
      </w:pPr>
      <w:r>
        <w:t xml:space="preserve">[FIGURA INTERATIVA: /micro-book/graficos/cap18/webr-custo-capital.html — versao interativa disponivel online]</w:t>
      </w:r>
    </w:p>
    <w:p>
      <w:pPr>
        <w:pStyle w:val="BodyText"/>
      </w:pPr>
      <w:r>
        <w:rPr>
          <w:b/>
          <w:bCs/>
        </w:rPr>
        <w:t xml:space="preserve">WebR 18.1 — Custo de uso do capital e demanda por K.</w:t>
      </w:r>
      <w:r>
        <w:t xml:space="preserve"> </w:t>
      </w:r>
      <w:r>
        <w:t xml:space="preserve">Altere a taxa de juros e a depreciação para ver como o custo de uso do capital afeta a demanda por investimento. Compare cenários Brasil vs. EUA.</w:t>
      </w:r>
    </w:p>
    <w:p>
      <w:r>
        <w:pict>
          <v:rect style="width:0;height:1.5pt" o:hralign="center" o:hrstd="t" o:hr="t"/>
        </w:pict>
      </w:r>
    </w:p>
    <w:bookmarkEnd w:id="1149"/>
    <w:bookmarkStart w:id="1154" w:name="X54183e2a040e6c09e61eb22d542e3d57074b351"/>
    <w:p>
      <w:pPr>
        <w:pStyle w:val="Heading3"/>
      </w:pPr>
      <w:r>
        <w:t xml:space="preserve">18.9 A Oitava Maravilha do Mundo: Juros Compostos e Tempo Contínuo</w:t>
      </w:r>
    </w:p>
    <w:p>
      <w:pPr>
        <w:pStyle w:val="FirstParagraph"/>
      </w:pPr>
      <w:r>
        <w:t xml:space="preserve">Albert Einstein provavelmente nunca disse que os juros compostos são</w:t>
      </w:r>
      <w:r>
        <w:t xml:space="preserve"> </w:t>
      </w:r>
      <w:r>
        <w:t xml:space="preserve">“a oitava maravilha do mundo”</w:t>
      </w:r>
      <w:r>
        <w:t xml:space="preserve"> </w:t>
      </w:r>
      <w:r>
        <w:t xml:space="preserve">— mas quem inventou a citação tinha razão. A mágica de juros sobre juros transforma centavos em fortunas (dado tempo suficiente) e dívidas pequenas em bolas de neve (dado descuido suficiente). Nesta seção, apresentamos as ferramentas matemáticas de capitalização e desconto que fundamentam todos os cálculos de valor presente e futuro do capítulo. Embora frequentemente abordados em cursos de matemática financeira, esses conceitos são indispensáveis para a análise econômica intertemporal — desde a avaliação de projetos de investimento até a modelagem de crescimento econômico.</w:t>
      </w:r>
    </w:p>
    <w:bookmarkStart w:id="1150" w:name="juros-compostos-discretos"/>
    <w:p>
      <w:pPr>
        <w:pStyle w:val="Heading4"/>
      </w:pPr>
      <w:r>
        <w:t xml:space="preserve">Juros compostos discretos</w:t>
      </w:r>
    </w:p>
    <w:p>
      <w:pPr>
        <w:pStyle w:val="FirstParagraph"/>
      </w:pPr>
      <w:r>
        <w:t xml:space="preserve">Com capitalização</w:t>
      </w:r>
      <w:r>
        <w:t xml:space="preserve"> </w:t>
      </w:r>
      <m:oMath>
        <m:r>
          <m:t>m</m:t>
        </m:r>
      </m:oMath>
      <w:r>
        <w:t xml:space="preserve"> </w:t>
      </w:r>
      <w:r>
        <w:t xml:space="preserve">vezes ao ano, um capital</w:t>
      </w:r>
      <w:r>
        <w:t xml:space="preserve"> </w:t>
      </w:r>
      <m:oMath>
        <m:sSub>
          <m:e>
            <m:r>
              <m:t>K</m:t>
            </m:r>
          </m:e>
          <m:sub>
            <m:r>
              <m:t>0</m:t>
            </m:r>
          </m:sub>
        </m:sSub>
      </m:oMath>
      <w:r>
        <w:t xml:space="preserve"> </w:t>
      </w:r>
      <w:r>
        <w:t xml:space="preserve">investido à taxa nominal anual</w:t>
      </w:r>
      <w:r>
        <w:t xml:space="preserve"> </w:t>
      </w:r>
      <m:oMath>
        <m:r>
          <m:t>i</m:t>
        </m:r>
      </m:oMath>
      <w:r>
        <w:t xml:space="preserve"> </w:t>
      </w:r>
      <w:r>
        <w:t xml:space="preserve">rende, após</w:t>
      </w:r>
      <w:r>
        <w:t xml:space="preserve"> </w:t>
      </w:r>
      <m:oMath>
        <m:r>
          <m:t>n</m:t>
        </m:r>
      </m:oMath>
      <w:r>
        <w:t xml:space="preserve"> </w:t>
      </w:r>
      <w:r>
        <w:t xml:space="preserve">anos:</w:t>
      </w:r>
    </w:p>
    <w:p>
      <w:pPr>
        <w:pStyle w:val="BodyText"/>
      </w:pPr>
      <m:oMathPara>
        <m:oMathParaPr>
          <m:jc m:val="center"/>
        </m:oMathParaPr>
        <m:oMath>
          <m:sSub>
            <m:e>
              <m:r>
                <m:t>K</m:t>
              </m:r>
            </m:e>
            <m:sub>
              <m:r>
                <m:t>n</m:t>
              </m:r>
            </m:sub>
          </m:sSub>
          <m:r>
            <m:rPr>
              <m:sty m:val="p"/>
            </m:rPr>
            <m:t>=</m:t>
          </m:r>
          <m:sSub>
            <m:e>
              <m:r>
                <m:t>K</m:t>
              </m:r>
            </m:e>
            <m:sub>
              <m:r>
                <m:t>0</m:t>
              </m:r>
            </m:sub>
          </m:sSub>
          <m:sSup>
            <m:e>
              <m:d>
                <m:dPr>
                  <m:begChr m:val="("/>
                  <m:sepChr m:val=""/>
                  <m:endChr m:val=")"/>
                  <m:grow/>
                </m:dPr>
                <m:e>
                  <m:r>
                    <m:t>1</m:t>
                  </m:r>
                  <m:r>
                    <m:rPr>
                      <m:sty m:val="p"/>
                    </m:rPr>
                    <m:t>+</m:t>
                  </m:r>
                  <m:f>
                    <m:fPr>
                      <m:type m:val="bar"/>
                    </m:fPr>
                    <m:num>
                      <m:r>
                        <m:t>i</m:t>
                      </m:r>
                    </m:num>
                    <m:den>
                      <m:r>
                        <m:t>m</m:t>
                      </m:r>
                    </m:den>
                  </m:f>
                </m:e>
              </m:d>
            </m:e>
            <m:sup>
              <m:r>
                <m:t>m</m:t>
              </m:r>
              <m:r>
                <m:t>n</m:t>
              </m:r>
            </m:sup>
          </m:sSup>
        </m:oMath>
      </m:oMathPara>
    </w:p>
    <w:p>
      <w:pPr>
        <w:pStyle w:val="FirstParagraph"/>
      </w:pPr>
      <w:r>
        <w:t xml:space="preserve">A frequência de capitalização importa: a mesma taxa nominal de 12% ao ano rende mais se capitalizada mensalmente (</w:t>
      </w:r>
      <m:oMath>
        <m:r>
          <m:t>m</m:t>
        </m:r>
        <m:r>
          <m:rPr>
            <m:sty m:val="p"/>
          </m:rPr>
          <m:t>=</m:t>
        </m:r>
        <m:r>
          <m:t>12</m:t>
        </m:r>
      </m:oMath>
      <w:r>
        <w:t xml:space="preserve">) do que anualmente (</w:t>
      </w:r>
      <m:oMath>
        <m:r>
          <m:t>m</m:t>
        </m:r>
        <m:r>
          <m:rPr>
            <m:sty m:val="p"/>
          </m:rPr>
          <m:t>=</m:t>
        </m:r>
        <m:r>
          <m:t>1</m:t>
        </m:r>
      </m:oMath>
      <w:r>
        <w:t xml:space="preserve">), porque os juros dos primeiros meses geram juros nos meses seguintes — juros sobre juros, a essência da capitalização composta.</w:t>
      </w:r>
    </w:p>
    <w:bookmarkEnd w:id="1150"/>
    <w:bookmarkStart w:id="1151" w:name="capitalização-contínua"/>
    <w:p>
      <w:pPr>
        <w:pStyle w:val="Heading4"/>
      </w:pPr>
      <w:r>
        <w:t xml:space="preserve">Capitalização contínua</w:t>
      </w:r>
    </w:p>
    <w:p>
      <w:pPr>
        <w:pStyle w:val="FirstParagraph"/>
      </w:pPr>
      <w:r>
        <w:t xml:space="preserve">Quando</w:t>
      </w:r>
      <w:r>
        <w:t xml:space="preserve"> </w:t>
      </w:r>
      <m:oMath>
        <m:r>
          <m:t>m</m:t>
        </m:r>
        <m:r>
          <m:rPr>
            <m:sty m:val="p"/>
          </m:rPr>
          <m:t>→</m:t>
        </m:r>
        <m:r>
          <m:rPr>
            <m:sty m:val="p"/>
          </m:rPr>
          <m:t>∞</m:t>
        </m:r>
      </m:oMath>
      <w:r>
        <w:t xml:space="preserve">, obtemos a capitalização contínua:</w:t>
      </w:r>
    </w:p>
    <w:p>
      <w:pPr>
        <w:pStyle w:val="BodyText"/>
      </w:pPr>
      <m:oMathPara>
        <m:oMathParaPr>
          <m:jc m:val="center"/>
        </m:oMathParaPr>
        <m:oMath>
          <m:r>
            <m:t>K</m:t>
          </m:r>
          <m:r>
            <m:rPr>
              <m:sty m:val="p"/>
            </m:rPr>
            <m:t>(</m:t>
          </m:r>
          <m:r>
            <m:t>t</m:t>
          </m:r>
          <m:r>
            <m:rPr>
              <m:sty m:val="p"/>
            </m:rPr>
            <m:t>)</m:t>
          </m:r>
          <m:r>
            <m:rPr>
              <m:sty m:val="p"/>
            </m:rPr>
            <m:t>=</m:t>
          </m:r>
          <m:sSub>
            <m:e>
              <m:r>
                <m:t>K</m:t>
              </m:r>
            </m:e>
            <m:sub>
              <m:r>
                <m:t>0</m:t>
              </m:r>
            </m:sub>
          </m:sSub>
          <m:r>
            <m:rPr>
              <m:sty m:val="p"/>
            </m:rPr>
            <m:t>⋅</m:t>
          </m:r>
          <m:sSup>
            <m:e>
              <m:r>
                <m:t>e</m:t>
              </m:r>
            </m:e>
            <m:sup>
              <m:r>
                <m:t>i</m:t>
              </m:r>
              <m:r>
                <m:t>t</m:t>
              </m:r>
            </m:sup>
          </m:sSup>
        </m:oMath>
      </m:oMathPara>
    </w:p>
    <w:p>
      <w:pPr>
        <w:pStyle w:val="FirstParagraph"/>
      </w:pPr>
      <w:r>
        <w:t xml:space="preserve">onde</w:t>
      </w:r>
      <w:r>
        <w:t xml:space="preserve"> </w:t>
      </w:r>
      <m:oMath>
        <m:r>
          <m:t>e</m:t>
        </m:r>
        <m:r>
          <m:rPr>
            <m:sty m:val="p"/>
          </m:rPr>
          <m:t>≈</m:t>
        </m:r>
        <m:r>
          <m:t>2</m:t>
        </m:r>
        <m:r>
          <m:rPr>
            <m:sty m:val="p"/>
          </m:rPr>
          <m:t>,</m:t>
        </m:r>
        <m:r>
          <m:t>71828</m:t>
        </m:r>
      </m:oMath>
      <w:r>
        <w:t xml:space="preserve"> </w:t>
      </w:r>
      <w:r>
        <w:t xml:space="preserve">é a base do logaritmo natural. A taxa instantânea de crescimento é</w:t>
      </w:r>
      <w:r>
        <w:t xml:space="preserve"> </w:t>
      </w:r>
      <m:oMath>
        <m:r>
          <m:t>i</m:t>
        </m:r>
      </m:oMath>
      <w:r>
        <w:t xml:space="preserve">. A capitalização contínua é uma idealização matemática conveniente que simplifica consideravelmente as fórmulas de otimização e crescimento econômico.</w:t>
      </w:r>
    </w:p>
    <w:bookmarkEnd w:id="1151"/>
    <w:bookmarkStart w:id="1152" w:name="valor-presente-em-tempo-contínuo"/>
    <w:p>
      <w:pPr>
        <w:pStyle w:val="Heading4"/>
      </w:pPr>
      <w:r>
        <w:t xml:space="preserve">Valor presente em tempo contínuo</w:t>
      </w:r>
    </w:p>
    <w:p>
      <w:pPr>
        <w:pStyle w:val="FirstParagraph"/>
      </w:pPr>
      <w:r>
        <w:t xml:space="preserve">O valor presente de um fluxo</w:t>
      </w:r>
      <w:r>
        <w:t xml:space="preserve"> </w:t>
      </w:r>
      <m:oMath>
        <m:r>
          <m:t>F</m:t>
        </m:r>
        <m:r>
          <m:rPr>
            <m:sty m:val="p"/>
          </m:rPr>
          <m:t>(</m:t>
        </m:r>
        <m:r>
          <m:t>t</m:t>
        </m:r>
        <m:r>
          <m:rPr>
            <m:sty m:val="p"/>
          </m:rPr>
          <m:t>)</m:t>
        </m:r>
      </m:oMath>
      <w:r>
        <w:t xml:space="preserve"> </w:t>
      </w:r>
      <w:r>
        <w:t xml:space="preserve">recebido no instante</w:t>
      </w:r>
      <w:r>
        <w:t xml:space="preserve"> </w:t>
      </w:r>
      <m:oMath>
        <m:r>
          <m:t>t</m:t>
        </m:r>
      </m:oMath>
      <w:r>
        <w:t xml:space="preserve">, descontado à taxa contínua</w:t>
      </w:r>
      <w:r>
        <w:t xml:space="preserve"> </w:t>
      </w:r>
      <m:oMath>
        <m:r>
          <m:t>r</m:t>
        </m:r>
      </m:oMath>
      <w:r>
        <w:t xml:space="preserve">, é:</w:t>
      </w:r>
    </w:p>
    <w:p>
      <w:pPr>
        <w:pStyle w:val="BodyText"/>
      </w:pPr>
      <m:oMathPara>
        <m:oMathParaPr>
          <m:jc m:val="center"/>
        </m:oMathParaPr>
        <m:oMath>
          <m:r>
            <m:t>V</m:t>
          </m:r>
          <m:r>
            <m:t>P</m:t>
          </m:r>
          <m:r>
            <m:rPr>
              <m:sty m:val="p"/>
            </m:rPr>
            <m:t>=</m:t>
          </m:r>
          <m:r>
            <m:t>F</m:t>
          </m:r>
          <m:r>
            <m:rPr>
              <m:sty m:val="p"/>
            </m:rPr>
            <m:t>(</m:t>
          </m:r>
          <m:r>
            <m:t>t</m:t>
          </m:r>
          <m:r>
            <m:rPr>
              <m:sty m:val="p"/>
            </m:rPr>
            <m:t>)</m:t>
          </m:r>
          <m:r>
            <m:rPr>
              <m:sty m:val="p"/>
            </m:rPr>
            <m:t>⋅</m:t>
          </m:r>
          <m:sSup>
            <m:e>
              <m:r>
                <m:t>e</m:t>
              </m:r>
            </m:e>
            <m:sup>
              <m:r>
                <m:rPr>
                  <m:sty m:val="p"/>
                </m:rPr>
                <m:t>−</m:t>
              </m:r>
              <m:r>
                <m:t>r</m:t>
              </m:r>
              <m:r>
                <m:t>t</m:t>
              </m:r>
            </m:sup>
          </m:sSup>
        </m:oMath>
      </m:oMathPara>
    </w:p>
    <w:p>
      <w:pPr>
        <w:pStyle w:val="FirstParagraph"/>
      </w:pPr>
      <w:r>
        <w:t xml:space="preserve">Para um fluxo contínuo</w:t>
      </w:r>
      <w:r>
        <w:t xml:space="preserve"> </w:t>
      </w:r>
      <m:oMath>
        <m:r>
          <m:t>f</m:t>
        </m:r>
        <m:r>
          <m:rPr>
            <m:sty m:val="p"/>
          </m:rPr>
          <m:t>(</m:t>
        </m:r>
        <m:r>
          <m:t>t</m:t>
        </m:r>
        <m:r>
          <m:rPr>
            <m:sty m:val="p"/>
          </m:rPr>
          <m:t>)</m:t>
        </m:r>
      </m:oMath>
      <w:r>
        <w:t xml:space="preserve"> </w:t>
      </w:r>
      <w:r>
        <w:t xml:space="preserve">ao longo do tempo:</w:t>
      </w:r>
    </w:p>
    <w:p>
      <w:pPr>
        <w:pStyle w:val="BodyText"/>
      </w:pPr>
      <m:oMathPara>
        <m:oMathParaPr>
          <m:jc m:val="center"/>
        </m:oMathParaPr>
        <m:oMath>
          <m:r>
            <m:t>V</m:t>
          </m:r>
          <m:r>
            <m:t>P</m:t>
          </m:r>
          <m:r>
            <m:rPr>
              <m:sty m:val="p"/>
            </m:rPr>
            <m:t>=</m:t>
          </m:r>
          <m:nary>
            <m:naryPr>
              <m:chr m:val="∫"/>
              <m:limLoc m:val="subSup"/>
              <m:subHide m:val="off"/>
              <m:supHide m:val="off"/>
            </m:naryPr>
            <m:sub>
              <m:r>
                <m:t>0</m:t>
              </m:r>
            </m:sub>
            <m:sup>
              <m:r>
                <m:t>T</m:t>
              </m:r>
            </m:sup>
            <m:e>
              <m:r>
                <m:t>f</m:t>
              </m:r>
            </m:e>
          </m:nary>
          <m:r>
            <m:rPr>
              <m:sty m:val="p"/>
            </m:rPr>
            <m:t>(</m:t>
          </m:r>
          <m:r>
            <m:t>t</m:t>
          </m:r>
          <m:r>
            <m:rPr>
              <m:sty m:val="p"/>
            </m:rPr>
            <m:t>)</m:t>
          </m:r>
          <m:r>
            <m:rPr>
              <m:sty m:val="p"/>
            </m:rPr>
            <m:t>⋅</m:t>
          </m:r>
          <m:sSup>
            <m:e>
              <m:r>
                <m:t>e</m:t>
              </m:r>
            </m:e>
            <m:sup>
              <m:r>
                <m:rPr>
                  <m:sty m:val="p"/>
                </m:rPr>
                <m:t>−</m:t>
              </m:r>
              <m:r>
                <m:t>r</m:t>
              </m:r>
              <m:r>
                <m:t>t</m:t>
              </m:r>
            </m:sup>
          </m:sSup>
          <m:r>
            <m:t> </m:t>
          </m:r>
          <m:r>
            <m:t>d</m:t>
          </m:r>
          <m:r>
            <m:t>t</m:t>
          </m:r>
        </m:oMath>
      </m:oMathPara>
    </w:p>
    <w:bookmarkEnd w:id="1152"/>
    <w:bookmarkStart w:id="1153" w:name="relação-entre-taxas-discreta-e-contínua"/>
    <w:p>
      <w:pPr>
        <w:pStyle w:val="Heading4"/>
      </w:pPr>
      <w:r>
        <w:t xml:space="preserve">Relação entre taxas discreta e contínua</w:t>
      </w:r>
    </w:p>
    <w:p>
      <w:pPr>
        <w:pStyle w:val="FirstParagraph"/>
      </w:pPr>
      <w:r>
        <w:t xml:space="preserve">Se a taxa discreta (anual) é</w:t>
      </w:r>
      <w:r>
        <w:t xml:space="preserve"> </w:t>
      </w:r>
      <m:oMath>
        <m:sSub>
          <m:e>
            <m:r>
              <m:t>r</m:t>
            </m:r>
          </m:e>
          <m:sub>
            <m:r>
              <m:t>d</m:t>
            </m:r>
          </m:sub>
        </m:sSub>
      </m:oMath>
      <w:r>
        <w:t xml:space="preserve"> </w:t>
      </w:r>
      <w:r>
        <w:t xml:space="preserve">e a taxa contínua é</w:t>
      </w:r>
      <w:r>
        <w:t xml:space="preserve"> </w:t>
      </w:r>
      <m:oMath>
        <m:sSub>
          <m:e>
            <m:r>
              <m:t>r</m:t>
            </m:r>
          </m:e>
          <m:sub>
            <m:r>
              <m:t>c</m:t>
            </m:r>
          </m:sub>
        </m:sSub>
      </m:oMath>
      <w:r>
        <w:t xml:space="preserve">, então:</w:t>
      </w:r>
    </w:p>
    <w:p>
      <w:pPr>
        <w:pStyle w:val="BodyText"/>
      </w:pPr>
      <m:oMathPara>
        <m:oMathParaPr>
          <m:jc m:val="center"/>
        </m:oMathParaPr>
        <m:oMath>
          <m:r>
            <m:t>1</m:t>
          </m:r>
          <m:r>
            <m:rPr>
              <m:sty m:val="p"/>
            </m:rPr>
            <m:t>+</m:t>
          </m:r>
          <m:sSub>
            <m:e>
              <m:r>
                <m:t>r</m:t>
              </m:r>
            </m:e>
            <m:sub>
              <m:r>
                <m:t>d</m:t>
              </m:r>
            </m:sub>
          </m:sSub>
          <m:r>
            <m:rPr>
              <m:sty m:val="p"/>
            </m:rPr>
            <m:t>=</m:t>
          </m:r>
          <m:sSup>
            <m:e>
              <m:r>
                <m:t>e</m:t>
              </m:r>
            </m:e>
            <m:sup>
              <m:sSub>
                <m:e>
                  <m:r>
                    <m:t>r</m:t>
                  </m:r>
                </m:e>
                <m:sub>
                  <m:r>
                    <m:t>c</m:t>
                  </m:r>
                </m:sub>
              </m:sSub>
            </m:sup>
          </m:sSup>
          <m:r>
            <m:t> </m:t>
          </m:r>
          <m:r>
            <m:rPr>
              <m:sty m:val="p"/>
            </m:rPr>
            <m:t>⇔</m:t>
          </m:r>
          <m:r>
            <m:t> </m:t>
          </m:r>
          <m:sSub>
            <m:e>
              <m:r>
                <m:t>r</m:t>
              </m:r>
            </m:e>
            <m:sub>
              <m:r>
                <m:t>c</m:t>
              </m:r>
            </m:sub>
          </m:sSub>
          <m:r>
            <m:rPr>
              <m:sty m:val="p"/>
            </m:rPr>
            <m:t>=</m:t>
          </m:r>
          <m:r>
            <m:rPr>
              <m:sty m:val="p"/>
            </m:rPr>
            <m:t>ln</m:t>
          </m:r>
          <m:r>
            <m:rPr>
              <m:sty m:val="p"/>
            </m:rPr>
            <m:t>(</m:t>
          </m:r>
          <m:r>
            <m:t>1</m:t>
          </m:r>
          <m:r>
            <m:rPr>
              <m:sty m:val="p"/>
            </m:rPr>
            <m:t>+</m:t>
          </m:r>
          <m:sSub>
            <m:e>
              <m:r>
                <m:t>r</m:t>
              </m:r>
            </m:e>
            <m:sub>
              <m:r>
                <m:t>d</m:t>
              </m:r>
            </m:sub>
          </m:sSub>
          <m:r>
            <m:rPr>
              <m:sty m:val="p"/>
            </m:rPr>
            <m:t>)</m:t>
          </m:r>
        </m:oMath>
      </m:oMathPara>
    </w:p>
    <w:p>
      <w:pPr>
        <w:pStyle w:val="FirstParagraph"/>
      </w:pPr>
      <w:r>
        <w:t xml:space="preserve">Para valores pequenos de</w:t>
      </w:r>
      <w:r>
        <w:t xml:space="preserve"> </w:t>
      </w:r>
      <m:oMath>
        <m:sSub>
          <m:e>
            <m:r>
              <m:t>r</m:t>
            </m:r>
          </m:e>
          <m:sub>
            <m:r>
              <m:t>d</m:t>
            </m:r>
          </m:sub>
        </m:sSub>
      </m:oMath>
      <w:r>
        <w:t xml:space="preserve">, a aproximação</w:t>
      </w:r>
      <w:r>
        <w:t xml:space="preserve"> </w:t>
      </w:r>
      <m:oMath>
        <m:sSub>
          <m:e>
            <m:r>
              <m:t>r</m:t>
            </m:r>
          </m:e>
          <m:sub>
            <m:r>
              <m:t>c</m:t>
            </m:r>
          </m:sub>
        </m:sSub>
        <m:r>
          <m:rPr>
            <m:sty m:val="p"/>
          </m:rPr>
          <m:t>≈</m:t>
        </m:r>
        <m:sSub>
          <m:e>
            <m:r>
              <m:t>r</m:t>
            </m:r>
          </m:e>
          <m:sub>
            <m:r>
              <m:t>d</m:t>
            </m:r>
          </m:sub>
        </m:sSub>
      </m:oMath>
      <w:r>
        <w:t xml:space="preserve"> </w:t>
      </w:r>
      <w:r>
        <w:t xml:space="preserve">é razoável (por exemplo, para</w:t>
      </w:r>
      <w:r>
        <w:t xml:space="preserve"> </w:t>
      </w:r>
      <m:oMath>
        <m:sSub>
          <m:e>
            <m:r>
              <m:t>r</m:t>
            </m:r>
          </m:e>
          <m:sub>
            <m:r>
              <m:t>d</m:t>
            </m:r>
          </m:sub>
        </m:sSub>
        <m:r>
          <m:rPr>
            <m:sty m:val="p"/>
          </m:rPr>
          <m:t>=</m:t>
        </m:r>
        <m:r>
          <m:t>5</m:t>
        </m:r>
        <m:r>
          <m:rPr>
            <m:sty m:val="p"/>
          </m:rPr>
          <m:t>%</m:t>
        </m:r>
      </m:oMath>
      <w:r>
        <w:t xml:space="preserve">,</w:t>
      </w:r>
      <w:r>
        <w:t xml:space="preserve"> </w:t>
      </w:r>
      <m:oMath>
        <m:sSub>
          <m:e>
            <m:r>
              <m:t>r</m:t>
            </m:r>
          </m:e>
          <m:sub>
            <m:r>
              <m:t>c</m:t>
            </m:r>
          </m:sub>
        </m:sSub>
        <m:r>
          <m:rPr>
            <m:sty m:val="p"/>
          </m:rPr>
          <m:t>=</m:t>
        </m:r>
        <m:r>
          <m:rPr>
            <m:sty m:val="p"/>
          </m:rPr>
          <m:t>ln</m:t>
        </m:r>
        <m:r>
          <m:rPr>
            <m:sty m:val="p"/>
          </m:rPr>
          <m:t>(</m:t>
        </m:r>
        <m:r>
          <m:t>1</m:t>
        </m:r>
        <m:r>
          <m:rPr>
            <m:sty m:val="p"/>
          </m:rPr>
          <m:t>,</m:t>
        </m:r>
        <m:r>
          <m:t>05</m:t>
        </m:r>
        <m:r>
          <m:rPr>
            <m:sty m:val="p"/>
          </m:rPr>
          <m:t>)</m:t>
        </m:r>
        <m:r>
          <m:rPr>
            <m:sty m:val="p"/>
          </m:rPr>
          <m:t>=</m:t>
        </m:r>
        <m:r>
          <m:t>4</m:t>
        </m:r>
        <m:r>
          <m:rPr>
            <m:sty m:val="p"/>
          </m:rPr>
          <m:t>,</m:t>
        </m:r>
        <m:r>
          <m:t>88</m:t>
        </m:r>
        <m:r>
          <m:rPr>
            <m:sty m:val="p"/>
          </m:rPr>
          <m:t>%</m:t>
        </m:r>
      </m:oMath>
      <w:r>
        <w:t xml:space="preserve">). A diferença cresce para taxas altas — mais um motivo pelo qual a distinção é relevante no contexto brasileiro.</w:t>
      </w:r>
    </w:p>
    <w:p>
      <w:pPr>
        <w:pStyle w:val="BlockText"/>
      </w:pPr>
      <w:r>
        <w:rPr>
          <w:b/>
          <w:bCs/>
        </w:rPr>
        <w:t xml:space="preserve">[NOTA] Perpetuidades e anuidades</w:t>
      </w:r>
    </w:p>
    <w:p>
      <w:pPr>
        <w:pStyle w:val="Compact"/>
        <w:numPr>
          <w:ilvl w:val="0"/>
          <w:numId w:val="2001"/>
        </w:numPr>
      </w:pPr>
      <w:r>
        <w:rPr>
          <w:b/>
          <w:bCs/>
        </w:rPr>
        <w:t xml:space="preserve">Perpetuidade</w:t>
      </w:r>
      <w:r>
        <w:t xml:space="preserve"> </w:t>
      </w:r>
      <w:r>
        <w:t xml:space="preserve">(fluxo constante</w:t>
      </w:r>
      <w:r>
        <w:t xml:space="preserve"> </w:t>
      </w:r>
      <m:oMath>
        <m:r>
          <m:t>F</m:t>
        </m:r>
      </m:oMath>
      <w:r>
        <w:t xml:space="preserve"> </w:t>
      </w:r>
      <w:r>
        <w:t xml:space="preserve">para sempre):</w:t>
      </w:r>
      <w:r>
        <w:t xml:space="preserve"> </w:t>
      </w:r>
      <m:oMath>
        <m:r>
          <m:t>V</m:t>
        </m:r>
        <m:r>
          <m:t>P</m:t>
        </m:r>
        <m:r>
          <m:rPr>
            <m:sty m:val="p"/>
          </m:rPr>
          <m:t>=</m:t>
        </m:r>
        <m:r>
          <m:t>F</m:t>
        </m:r>
        <m:r>
          <m:rPr>
            <m:sty m:val="p"/>
          </m:rPr>
          <m:t>/</m:t>
        </m:r>
        <m:r>
          <m:t>r</m:t>
        </m:r>
      </m:oMath>
    </w:p>
    <w:p>
      <w:pPr>
        <w:pStyle w:val="Compact"/>
        <w:numPr>
          <w:ilvl w:val="0"/>
          <w:numId w:val="2001"/>
        </w:numPr>
      </w:pPr>
      <w:r>
        <w:rPr>
          <w:b/>
          <w:bCs/>
        </w:rPr>
        <w:t xml:space="preserve">Anuidade</w:t>
      </w:r>
      <w:r>
        <w:t xml:space="preserve"> </w:t>
      </w:r>
      <w:r>
        <w:t xml:space="preserve">(fluxo constante</w:t>
      </w:r>
      <w:r>
        <w:t xml:space="preserve"> </w:t>
      </w:r>
      <m:oMath>
        <m:r>
          <m:t>F</m:t>
        </m:r>
      </m:oMath>
      <w:r>
        <w:t xml:space="preserve"> </w:t>
      </w:r>
      <w:r>
        <w:t xml:space="preserve">por</w:t>
      </w:r>
      <w:r>
        <w:t xml:space="preserve"> </w:t>
      </w:r>
      <m:oMath>
        <m:r>
          <m:t>n</m:t>
        </m:r>
      </m:oMath>
      <w:r>
        <w:t xml:space="preserve"> </w:t>
      </w:r>
      <w:r>
        <w:t xml:space="preserve">períodos):</w:t>
      </w:r>
      <w:r>
        <w:t xml:space="preserve"> </w:t>
      </w:r>
      <m:oMath>
        <m:r>
          <m:t>V</m:t>
        </m:r>
        <m:r>
          <m:t>P</m:t>
        </m:r>
        <m:r>
          <m:rPr>
            <m:sty m:val="p"/>
          </m:rPr>
          <m:t>=</m:t>
        </m:r>
        <m:r>
          <m:t>F</m:t>
        </m:r>
        <m:r>
          <m:rPr>
            <m:sty m:val="p"/>
          </m:rPr>
          <m:t>⋅</m:t>
        </m:r>
        <m:f>
          <m:fPr>
            <m:type m:val="bar"/>
          </m:fPr>
          <m:num>
            <m:r>
              <m:t>1</m:t>
            </m:r>
            <m:r>
              <m:rPr>
                <m:sty m:val="p"/>
              </m:rPr>
              <m:t>−</m:t>
            </m:r>
            <m:r>
              <m:rPr>
                <m:sty m:val="p"/>
              </m:rPr>
              <m:t>(</m:t>
            </m:r>
            <m:r>
              <m:t>1</m:t>
            </m:r>
            <m:r>
              <m:rPr>
                <m:sty m:val="p"/>
              </m:rPr>
              <m:t>+</m:t>
            </m:r>
            <m:r>
              <m:t>r</m:t>
            </m:r>
            <m:sSup>
              <m:e>
                <m:r>
                  <m:rPr>
                    <m:sty m:val="p"/>
                  </m:rPr>
                  <m:t>)</m:t>
                </m:r>
              </m:e>
              <m:sup>
                <m:r>
                  <m:rPr>
                    <m:sty m:val="p"/>
                  </m:rPr>
                  <m:t>−</m:t>
                </m:r>
                <m:r>
                  <m:t>n</m:t>
                </m:r>
              </m:sup>
            </m:sSup>
          </m:num>
          <m:den>
            <m:r>
              <m:t>r</m:t>
            </m:r>
          </m:den>
        </m:f>
      </m:oMath>
    </w:p>
    <w:p>
      <w:pPr>
        <w:pStyle w:val="Compact"/>
        <w:numPr>
          <w:ilvl w:val="0"/>
          <w:numId w:val="2001"/>
        </w:numPr>
      </w:pPr>
      <w:r>
        <w:rPr>
          <w:b/>
          <w:bCs/>
        </w:rPr>
        <w:t xml:space="preserve">Perpetuidade crescente</w:t>
      </w:r>
      <w:r>
        <w:t xml:space="preserve"> </w:t>
      </w:r>
      <w:r>
        <w:t xml:space="preserve">(fluxo crescendo a taxa</w:t>
      </w:r>
      <w:r>
        <w:t xml:space="preserve"> </w:t>
      </w:r>
      <m:oMath>
        <m:r>
          <m:t>g</m:t>
        </m:r>
        <m:r>
          <m:rPr>
            <m:sty m:val="p"/>
          </m:rPr>
          <m:t>&lt;</m:t>
        </m:r>
        <m:r>
          <m:t>r</m:t>
        </m:r>
      </m:oMath>
      <w:r>
        <w:t xml:space="preserve">):</w:t>
      </w:r>
      <w:r>
        <w:t xml:space="preserve"> </w:t>
      </w:r>
      <m:oMath>
        <m:r>
          <m:t>V</m:t>
        </m:r>
        <m:r>
          <m:t>P</m:t>
        </m:r>
        <m:r>
          <m:rPr>
            <m:sty m:val="p"/>
          </m:rPr>
          <m:t>=</m:t>
        </m:r>
        <m:r>
          <m:t>F</m:t>
        </m:r>
        <m:r>
          <m:rPr>
            <m:sty m:val="p"/>
          </m:rPr>
          <m:t>/</m:t>
        </m:r>
        <m:r>
          <m:rPr>
            <m:sty m:val="p"/>
          </m:rPr>
          <m:t>(</m:t>
        </m:r>
        <m:r>
          <m:t>r</m:t>
        </m:r>
        <m:r>
          <m:rPr>
            <m:sty m:val="p"/>
          </m:rPr>
          <m:t>−</m:t>
        </m:r>
        <m:r>
          <m:t>g</m:t>
        </m:r>
        <m:r>
          <m:rPr>
            <m:sty m:val="p"/>
          </m:rPr>
          <m:t>)</m:t>
        </m:r>
      </m:oMath>
    </w:p>
    <w:p>
      <w:pPr>
        <w:pStyle w:val="BlockText"/>
      </w:pPr>
      <w:r>
        <w:t xml:space="preserve">A fórmula da perpetuidade é surpreendentemente útil em finanças. Ela implica que, se a taxa de juros é 5%, um ativo que paga R$ 100 por ano para sempre vale R$ 2.000 hoje. Se a taxa cai para 2%, o mesmo ativo vale R$ 5.000 — um aumento de 150% no valor do ativo. Essa sensibilidade explica por que quedas na taxa de juros provocam altas expressivas nos preços dos ativos financeiros e imobiliários.</w:t>
      </w:r>
    </w:p>
    <w:p>
      <w:pPr>
        <w:pStyle w:val="FirstParagraph"/>
      </w:pPr>
      <w:r>
        <w:t xml:space="preserve">[FIGURA INTERATIVA: /micro-book/graficos/cap18/webr-juros-compostos.html — versao interativa disponivel online]</w:t>
      </w:r>
    </w:p>
    <w:p>
      <w:pPr>
        <w:pStyle w:val="BodyText"/>
      </w:pPr>
      <w:r>
        <w:rPr>
          <w:b/>
          <w:bCs/>
        </w:rPr>
        <w:t xml:space="preserve">WebR 18.2 — Juros compostos, perpetuidades e anuidades.</w:t>
      </w:r>
      <w:r>
        <w:t xml:space="preserve"> </w:t>
      </w:r>
      <w:r>
        <w:t xml:space="preserve">Explore o efeito da frequência de capitalização, compare juros simples vs. compostos vs. contínuos, e veja como a taxa de juros afeta o valor presente de perpetuidades.</w:t>
      </w:r>
    </w:p>
    <w:bookmarkEnd w:id="1153"/>
    <w:bookmarkEnd w:id="1154"/>
    <w:bookmarkEnd w:id="1155"/>
    <w:bookmarkStart w:id="1162" w:name="hotelling-e-recursos"/>
    <w:p>
      <w:pPr>
        <w:pStyle w:val="Heading2"/>
      </w:pPr>
      <w:r>
        <w:t xml:space="preserve">18.10–18.11 Hotelling e Recursos</w:t>
      </w:r>
    </w:p>
    <w:bookmarkStart w:id="1158" w:name="X29629539ae5981a45a62f44189fdd13df871bb4"/>
    <w:p>
      <w:pPr>
        <w:pStyle w:val="Heading3"/>
      </w:pPr>
      <w:r>
        <w:t xml:space="preserve">18.10 Os Números na Mesa: VPL, Taxa de Desconto e Decisão</w:t>
      </w:r>
    </w:p>
    <w:p>
      <w:pPr>
        <w:pStyle w:val="FirstParagraph"/>
      </w:pPr>
      <w:r>
        <w:t xml:space="preserve">A teoria é bonita, mas o empresário quer números. Nesta seção, pegamos o VPL e a TIR e os colocamos para trabalhar num cenário concreto — um projeto de investimento avaliado a diferentes taxas de desconto. O resultado é uma lição visual sobre por que o Brasil, com juros historicamente altos, é um país hostil a projetos de longa maturação.</w:t>
      </w:r>
    </w:p>
    <w:p>
      <w:pPr>
        <w:pStyle w:val="BodyText"/>
      </w:pPr>
      <w:r>
        <w:t xml:space="preserve">Considere um projeto com investimento inicial de R$ 100.000 e fluxos de caixa anuais conforme a tabela abaixo: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Ano</w:t>
            </w:r>
          </w:p>
        </w:tc>
        <w:tc>
          <w:tcPr/>
          <w:p>
            <w:pPr>
              <w:pStyle w:val="Compact"/>
            </w:pPr>
            <w:r>
              <w:t xml:space="preserve">Fluxo de caixa (R$)</w:t>
            </w:r>
          </w:p>
        </w:tc>
      </w:tr>
      <w:tr>
        <w:tc>
          <w:tcPr/>
          <w:p>
            <w:pPr>
              <w:pStyle w:val="Compact"/>
            </w:pPr>
            <w:r>
              <w:t xml:space="preserve">0</w:t>
            </w:r>
          </w:p>
        </w:tc>
        <w:tc>
          <w:tcPr/>
          <w:p>
            <w:pPr>
              <w:pStyle w:val="Compact"/>
            </w:pPr>
            <w:r>
              <w:t xml:space="preserve">−100.000</w:t>
            </w:r>
          </w:p>
        </w:tc>
      </w:tr>
      <w:tr>
        <w:tc>
          <w:tcPr/>
          <w:p>
            <w:pPr>
              <w:pStyle w:val="Compact"/>
            </w:pPr>
            <w:r>
              <w:t xml:space="preserve">1</w:t>
            </w:r>
          </w:p>
        </w:tc>
        <w:tc>
          <w:tcPr/>
          <w:p>
            <w:pPr>
              <w:pStyle w:val="Compact"/>
            </w:pPr>
            <w:r>
              <w:t xml:space="preserve">30.000</w:t>
            </w:r>
          </w:p>
        </w:tc>
      </w:tr>
      <w:tr>
        <w:tc>
          <w:tcPr/>
          <w:p>
            <w:pPr>
              <w:pStyle w:val="Compact"/>
            </w:pPr>
            <w:r>
              <w:t xml:space="preserve">2</w:t>
            </w:r>
          </w:p>
        </w:tc>
        <w:tc>
          <w:tcPr/>
          <w:p>
            <w:pPr>
              <w:pStyle w:val="Compact"/>
            </w:pPr>
            <w:r>
              <w:t xml:space="preserve">35.000</w:t>
            </w:r>
          </w:p>
        </w:tc>
      </w:tr>
      <w:tr>
        <w:tc>
          <w:tcPr/>
          <w:p>
            <w:pPr>
              <w:pStyle w:val="Compact"/>
            </w:pPr>
            <w:r>
              <w:t xml:space="preserve">3</w:t>
            </w:r>
          </w:p>
        </w:tc>
        <w:tc>
          <w:tcPr/>
          <w:p>
            <w:pPr>
              <w:pStyle w:val="Compact"/>
            </w:pPr>
            <w:r>
              <w:t xml:space="preserve">40.000</w:t>
            </w:r>
          </w:p>
        </w:tc>
      </w:tr>
      <w:tr>
        <w:tc>
          <w:tcPr/>
          <w:p>
            <w:pPr>
              <w:pStyle w:val="Compact"/>
            </w:pPr>
            <w:r>
              <w:t xml:space="preserve">4</w:t>
            </w:r>
          </w:p>
        </w:tc>
        <w:tc>
          <w:tcPr/>
          <w:p>
            <w:pPr>
              <w:pStyle w:val="Compact"/>
            </w:pPr>
            <w:r>
              <w:t xml:space="preserve">45.000</w:t>
            </w:r>
          </w:p>
        </w:tc>
      </w:tr>
    </w:tbl>
    <w:p>
      <w:pPr>
        <w:pStyle w:val="BodyText"/>
      </w:pPr>
      <w:r>
        <w:rPr>
          <w:b/>
          <w:bCs/>
        </w:rPr>
        <w:t xml:space="preserve">Tabela 18.2 — Fluxos de caixa do projeto de investimento.</w:t>
      </w:r>
    </w:p>
    <w:p>
      <w:pPr>
        <w:pStyle w:val="BodyText"/>
      </w:pPr>
      <w:r>
        <w:t xml:space="preserve">A TIR deste projeto é aproximadamente 15,2%. A</w:t>
      </w:r>
      <w:r>
        <w:t xml:space="preserve"> </w:t>
      </w:r>
      <w:hyperlink w:anchor="tabela-18-3">
        <w:r>
          <w:rPr>
            <w:rStyle w:val="Hyperlink"/>
          </w:rPr>
          <w:t xml:space="preserve">Tabela 18.3</w:t>
        </w:r>
      </w:hyperlink>
      <w:r>
        <w:t xml:space="preserve"> </w:t>
      </w:r>
      <w:r>
        <w:t xml:space="preserve">mostra o VPL para diferentes taxas de desconto: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Taxa de desconto (</w:t>
            </w:r>
            <m:oMath>
              <m:r>
                <m:t>r</m:t>
              </m:r>
            </m:oMath>
            <w:r>
              <w:t xml:space="preserve">)</w:t>
            </w:r>
          </w:p>
        </w:tc>
        <w:tc>
          <w:tcPr/>
          <w:p>
            <w:pPr>
              <w:pStyle w:val="Compact"/>
            </w:pPr>
            <w:r>
              <w:t xml:space="preserve">VPL (R$)</w:t>
            </w:r>
          </w:p>
        </w:tc>
        <w:tc>
          <w:tcPr/>
          <w:p>
            <w:pPr>
              <w:pStyle w:val="Compact"/>
            </w:pPr>
            <w:r>
              <w:t xml:space="preserve">Decisão</w:t>
            </w:r>
          </w:p>
        </w:tc>
      </w:tr>
      <w:tr>
        <w:tc>
          <w:tcPr/>
          <w:p>
            <w:pPr>
              <w:pStyle w:val="Compact"/>
            </w:pPr>
            <w:r>
              <w:t xml:space="preserve">5%</w:t>
            </w:r>
          </w:p>
        </w:tc>
        <w:tc>
          <w:tcPr/>
          <w:p>
            <w:pPr>
              <w:pStyle w:val="Compact"/>
            </w:pPr>
            <w:r>
              <w:t xml:space="preserve">35.460</w:t>
            </w:r>
          </w:p>
        </w:tc>
        <w:tc>
          <w:tcPr/>
          <w:p>
            <w:pPr>
              <w:pStyle w:val="Compact"/>
            </w:pPr>
            <w:r>
              <w:t xml:space="preserve">Aceitar</w:t>
            </w:r>
          </w:p>
        </w:tc>
      </w:tr>
      <w:tr>
        <w:tc>
          <w:tcPr/>
          <w:p>
            <w:pPr>
              <w:pStyle w:val="Compact"/>
            </w:pPr>
            <w:r>
              <w:t xml:space="preserve">8%</w:t>
            </w:r>
          </w:p>
        </w:tc>
        <w:tc>
          <w:tcPr/>
          <w:p>
            <w:pPr>
              <w:pStyle w:val="Compact"/>
            </w:pPr>
            <w:r>
              <w:t xml:space="preserve">24.689</w:t>
            </w:r>
          </w:p>
        </w:tc>
        <w:tc>
          <w:tcPr/>
          <w:p>
            <w:pPr>
              <w:pStyle w:val="Compact"/>
            </w:pPr>
            <w:r>
              <w:t xml:space="preserve">Aceitar</w:t>
            </w:r>
          </w:p>
        </w:tc>
      </w:tr>
      <w:tr>
        <w:tc>
          <w:tcPr/>
          <w:p>
            <w:pPr>
              <w:pStyle w:val="Compact"/>
            </w:pPr>
            <w:r>
              <w:t xml:space="preserve">10%</w:t>
            </w:r>
          </w:p>
        </w:tc>
        <w:tc>
          <w:tcPr/>
          <w:p>
            <w:pPr>
              <w:pStyle w:val="Compact"/>
            </w:pPr>
            <w:r>
              <w:t xml:space="preserve">18.444</w:t>
            </w:r>
          </w:p>
        </w:tc>
        <w:tc>
          <w:tcPr/>
          <w:p>
            <w:pPr>
              <w:pStyle w:val="Compact"/>
            </w:pPr>
            <w:r>
              <w:t xml:space="preserve">Aceitar</w:t>
            </w:r>
          </w:p>
        </w:tc>
      </w:tr>
      <w:tr>
        <w:tc>
          <w:tcPr/>
          <w:p>
            <w:pPr>
              <w:pStyle w:val="Compact"/>
            </w:pPr>
            <w:r>
              <w:t xml:space="preserve">12%</w:t>
            </w:r>
          </w:p>
        </w:tc>
        <w:tc>
          <w:tcPr/>
          <w:p>
            <w:pPr>
              <w:pStyle w:val="Compact"/>
            </w:pPr>
            <w:r>
              <w:t xml:space="preserve">12.658</w:t>
            </w:r>
          </w:p>
        </w:tc>
        <w:tc>
          <w:tcPr/>
          <w:p>
            <w:pPr>
              <w:pStyle w:val="Compact"/>
            </w:pPr>
            <w:r>
              <w:t xml:space="preserve">Aceitar</w:t>
            </w:r>
          </w:p>
        </w:tc>
      </w:tr>
      <w:tr>
        <w:tc>
          <w:tcPr/>
          <w:p>
            <w:pPr>
              <w:pStyle w:val="Compact"/>
            </w:pPr>
            <w:r>
              <w:t xml:space="preserve">15%</w:t>
            </w:r>
          </w:p>
        </w:tc>
        <w:tc>
          <w:tcPr/>
          <w:p>
            <w:pPr>
              <w:pStyle w:val="Compact"/>
            </w:pPr>
            <w:r>
              <w:t xml:space="preserve">4.474</w:t>
            </w:r>
          </w:p>
        </w:tc>
        <w:tc>
          <w:tcPr/>
          <w:p>
            <w:pPr>
              <w:pStyle w:val="Compact"/>
            </w:pPr>
            <w:r>
              <w:t xml:space="preserve">Aceitar</w:t>
            </w:r>
          </w:p>
        </w:tc>
      </w:tr>
      <w:tr>
        <w:tc>
          <w:tcPr/>
          <w:p>
            <w:pPr>
              <w:pStyle w:val="Compact"/>
            </w:pPr>
            <w:r>
              <w:t xml:space="preserve">15,2% (TIR)</w:t>
            </w:r>
          </w:p>
        </w:tc>
        <w:tc>
          <w:tcPr/>
          <w:p>
            <w:pPr>
              <w:pStyle w:val="Compact"/>
            </w:pPr>
            <w:r>
              <w:t xml:space="preserve">≈ 0</w:t>
            </w:r>
          </w:p>
        </w:tc>
        <w:tc>
          <w:tcPr/>
          <w:p>
            <w:pPr>
              <w:pStyle w:val="Compact"/>
            </w:pPr>
            <w:r>
              <w:t xml:space="preserve">Indiferente</w:t>
            </w:r>
          </w:p>
        </w:tc>
      </w:tr>
      <w:tr>
        <w:tc>
          <w:tcPr/>
          <w:p>
            <w:pPr>
              <w:pStyle w:val="Compact"/>
            </w:pPr>
            <w:r>
              <w:t xml:space="preserve">18%</w:t>
            </w:r>
          </w:p>
        </w:tc>
        <w:tc>
          <w:tcPr/>
          <w:p>
            <w:pPr>
              <w:pStyle w:val="Compact"/>
            </w:pPr>
            <w:r>
              <w:t xml:space="preserve">−5.536</w:t>
            </w:r>
          </w:p>
        </w:tc>
        <w:tc>
          <w:tcPr/>
          <w:p>
            <w:pPr>
              <w:pStyle w:val="Compact"/>
            </w:pPr>
            <w:r>
              <w:t xml:space="preserve">Rejeitar</w:t>
            </w:r>
          </w:p>
        </w:tc>
      </w:tr>
      <w:tr>
        <w:tc>
          <w:tcPr/>
          <w:p>
            <w:pPr>
              <w:pStyle w:val="Compact"/>
            </w:pPr>
            <w:r>
              <w:t xml:space="preserve">20%</w:t>
            </w:r>
          </w:p>
        </w:tc>
        <w:tc>
          <w:tcPr/>
          <w:p>
            <w:pPr>
              <w:pStyle w:val="Compact"/>
            </w:pPr>
            <w:r>
              <w:t xml:space="preserve">−10.648</w:t>
            </w:r>
          </w:p>
        </w:tc>
        <w:tc>
          <w:tcPr/>
          <w:p>
            <w:pPr>
              <w:pStyle w:val="Compact"/>
            </w:pPr>
            <w:r>
              <w:t xml:space="preserve">Rejeitar</w:t>
            </w:r>
          </w:p>
        </w:tc>
      </w:tr>
      <w:tr>
        <w:tc>
          <w:tcPr/>
          <w:p>
            <w:pPr>
              <w:pStyle w:val="Compact"/>
            </w:pPr>
            <w:r>
              <w:t xml:space="preserve">25%</w:t>
            </w:r>
          </w:p>
        </w:tc>
        <w:tc>
          <w:tcPr/>
          <w:p>
            <w:pPr>
              <w:pStyle w:val="Compact"/>
            </w:pPr>
            <w:r>
              <w:t xml:space="preserve">−22.560</w:t>
            </w:r>
          </w:p>
        </w:tc>
        <w:tc>
          <w:tcPr/>
          <w:p>
            <w:pPr>
              <w:pStyle w:val="Compact"/>
            </w:pPr>
            <w:r>
              <w:t xml:space="preserve">Rejeitar</w:t>
            </w:r>
          </w:p>
        </w:tc>
      </w:tr>
    </w:tbl>
    <w:p>
      <w:pPr>
        <w:pStyle w:val="BodyText"/>
      </w:pPr>
      <w:r>
        <w:rPr>
          <w:b/>
          <w:bCs/>
        </w:rPr>
        <w:t xml:space="preserve">Tabela 18.3 — VPL, taxa de desconto e decisão de investimento.</w:t>
      </w:r>
    </w:p>
    <w:p>
      <w:pPr>
        <w:pStyle w:val="BodyText"/>
      </w:pPr>
      <w:r>
        <w:t xml:space="preserve">A tabela ilustra dois pontos fundamentais: (i) o VPL é decrescente na taxa de desconto; (ii) projetos viáveis a juros baixos podem se tornar inviáveis quando a taxa de juros sobe — um problema particularmente relevante no contexto brasileiro de juros historicamente elevados. Note que, a uma taxa de 5% (típica de economias avançadas), o projeto gera R$ 35.460 de valor; a 15% (taxa real elevada), gera apenas R$ 4.474 — o projeto mal se sustenta. A 18%, é rejeitado. A mesma tecnologia, o mesmo projeto, a mesma demanda — apenas a taxa de juros difere, e a decisão se inverte.</w:t>
      </w:r>
    </w:p>
    <w:p>
      <w:pPr>
        <w:pStyle w:val="BlockText"/>
      </w:pPr>
      <w:r>
        <w:rPr>
          <w:b/>
          <w:bCs/>
        </w:rPr>
        <w:t xml:space="preserve">[BOX MUNDO] Box Mundo 18.2 — Stern vs. Nordhaus: a taxa de desconto e as mudanças climáticas</w:t>
      </w:r>
    </w:p>
    <w:p>
      <w:pPr>
        <w:pStyle w:val="BlockText"/>
      </w:pPr>
      <w:r>
        <w:rPr>
          <w:b/>
          <w:bCs/>
        </w:rPr>
        <w:t xml:space="preserve">Contexto:</w:t>
      </w:r>
      <w:r>
        <w:t xml:space="preserve"> </w:t>
      </w:r>
      <w:r>
        <w:t xml:space="preserve">Um dos debates mais acalorados em economia ambiental nas últimas décadas gira em torno da taxa de desconto a ser usada na avaliação de políticas climáticas. Como os benefícios de reduzir emissões hoje se materializam em 50, 100 ou 200 anos, a escolha da taxa de desconto tem consequências dramáticas sobre as conclusões.</w:t>
      </w:r>
    </w:p>
    <w:p>
      <w:pPr>
        <w:pStyle w:val="BlockText"/>
      </w:pPr>
      <w:r>
        <w:rPr>
          <w:b/>
          <w:bCs/>
        </w:rPr>
        <w:t xml:space="preserve">Dados:</w:t>
      </w:r>
      <w:r>
        <w:t xml:space="preserve"> </w:t>
      </w:r>
      <w:r>
        <w:t xml:space="preserve">O Stern Review (2006), encomendado pelo governo britânico, usou uma taxa de desconto social de ~1,4% ao ano e concluiu que os custos das mudanças climáticas equivaleriam a uma perda permanente de 5–20% do PIB global, justificando ação imediata e agressiva. William Nordhaus (Nobel 2018), usando uma taxa de ~5–6% calibrada por taxas de mercado, concluiu que a política ótima seria uma redução gradual de emissões, com custo presente muito menor. A diferença no VPL dos danos climáticos entre as duas abordagens é de dezenas de trilhões de dólares.</w:t>
      </w:r>
    </w:p>
    <w:p>
      <w:pPr>
        <w:pStyle w:val="BlockText"/>
      </w:pPr>
      <w:r>
        <w:rPr>
          <w:b/>
          <w:bCs/>
        </w:rPr>
        <w:t xml:space="preserve">Análise:</w:t>
      </w:r>
      <w:r>
        <w:t xml:space="preserve"> </w:t>
      </w:r>
      <w:r>
        <w:t xml:space="preserve">A divergência ilustra perfeitamente a sensibilidade do VPL à taxa de desconto discutida na Seção 18.6. Stern argumentou que questões intergeracionais exigem uma taxa de desconto social próxima de zero — seria eticamente indefensável descontar o bem-estar de gerações futuras. Nordhaus contrapôs que taxas de desconto devem refletir preferências e oportunidades reais de investimento: se o capital rende 5% ao ano, investir em mitigação que rende menos que isso é ineficiente. A fórmula de Ramsey,</w:t>
      </w:r>
      <w:r>
        <w:t xml:space="preserve"> </w:t>
      </w:r>
      <m:oMath>
        <m:r>
          <m:t>r</m:t>
        </m:r>
        <m:r>
          <m:rPr>
            <m:sty m:val="p"/>
          </m:rPr>
          <m:t>=</m:t>
        </m:r>
        <m:r>
          <m:t>ρ</m:t>
        </m:r>
        <m:r>
          <m:rPr>
            <m:sty m:val="p"/>
          </m:rPr>
          <m:t>+</m:t>
        </m:r>
        <m:r>
          <m:t>η</m:t>
        </m:r>
        <m:r>
          <m:rPr>
            <m:sty m:val="p"/>
          </m:rPr>
          <m:t>⋅</m:t>
        </m:r>
        <m:r>
          <m:t>g</m:t>
        </m:r>
      </m:oMath>
      <w:r>
        <w:t xml:space="preserve">, onde</w:t>
      </w:r>
      <w:r>
        <w:t xml:space="preserve"> </w:t>
      </w:r>
      <m:oMath>
        <m:r>
          <m:t>ρ</m:t>
        </m:r>
      </m:oMath>
      <w:r>
        <w:t xml:space="preserve"> </w:t>
      </w:r>
      <w:r>
        <w:t xml:space="preserve">é a taxa de desconto puro,</w:t>
      </w:r>
      <w:r>
        <w:t xml:space="preserve"> </w:t>
      </w:r>
      <m:oMath>
        <m:r>
          <m:t>η</m:t>
        </m:r>
      </m:oMath>
      <w:r>
        <w:t xml:space="preserve"> </w:t>
      </w:r>
      <w:r>
        <w:t xml:space="preserve">a elasticidade da utilidade marginal e</w:t>
      </w:r>
      <w:r>
        <w:t xml:space="preserve"> </w:t>
      </w:r>
      <m:oMath>
        <m:r>
          <m:t>g</m:t>
        </m:r>
      </m:oMath>
      <w:r>
        <w:t xml:space="preserve"> </w:t>
      </w:r>
      <w:r>
        <w:t xml:space="preserve">o crescimento do consumo, está no centro do debate.</w:t>
      </w:r>
    </w:p>
    <w:p>
      <w:pPr>
        <w:pStyle w:val="BlockText"/>
      </w:pPr>
      <w:r>
        <w:rPr>
          <w:b/>
          <w:bCs/>
        </w:rPr>
        <w:t xml:space="preserve">Para refletir:</w:t>
      </w:r>
      <w:r>
        <w:t xml:space="preserve"> </w:t>
      </w:r>
      <w:r>
        <w:t xml:space="preserve">Se a taxa de desconto</w:t>
      </w:r>
      <w:r>
        <w:t xml:space="preserve"> </w:t>
      </w:r>
      <w:r>
        <w:t xml:space="preserve">“correta”</w:t>
      </w:r>
      <w:r>
        <w:t xml:space="preserve"> </w:t>
      </w:r>
      <w:r>
        <w:t xml:space="preserve">para políticas climáticas é tão incerta, que implicações isso tem para a robustez das análises de custo-benefício em geral?</w:t>
      </w:r>
    </w:p>
    <w:p>
      <w:r>
        <w:pict>
          <v:rect style="width:0;height:1.5pt" o:hralign="center" o:hrstd="t" o:hr="t"/>
        </w:pict>
      </w:r>
    </w:p>
    <w:p>
      <w:pPr>
        <w:pStyle w:val="BlockText"/>
      </w:pPr>
      <w:r>
        <w:rPr>
          <w:b/>
          <w:bCs/>
        </w:rPr>
        <w:t xml:space="preserve">[BOX BRASIL] Box Brasil 18.2 — Por que os juros brasileiros são historicamente altos?</w:t>
      </w:r>
    </w:p>
    <w:p>
      <w:pPr>
        <w:pStyle w:val="BlockText"/>
      </w:pPr>
      <w:r>
        <w:t xml:space="preserve">O Brasil é conhecido internacionalmente por praticar uma das taxas de juros reais mais elevadas do mundo. A taxa Selic — a taxa básica de juros definida pelo Comitê de Política Monetária (Copom) do</w:t>
      </w:r>
      <w:r>
        <w:t xml:space="preserve"> </w:t>
      </w:r>
      <w:hyperlink r:id="rId215">
        <w:r>
          <w:rPr>
            <w:rStyle w:val="Hyperlink"/>
          </w:rPr>
          <w:t xml:space="preserve">Banco Central do Brasil</w:t>
        </w:r>
      </w:hyperlink>
      <w:r>
        <w:t xml:space="preserve"> </w:t>
      </w:r>
      <w:r>
        <w:t xml:space="preserve">— atingiu níveis estratosféricos ao longo das últimas décadas.</w:t>
      </w:r>
    </w:p>
    <w:p>
      <w:pPr>
        <w:pStyle w:val="BlockText"/>
      </w:pPr>
      <w:r>
        <w:rPr>
          <w:b/>
          <w:bCs/>
        </w:rPr>
        <w:t xml:space="preserve">Evolução histórica da Selic:</w:t>
      </w:r>
    </w:p>
    <w:p>
      <w:pPr>
        <w:pStyle w:val="Compact"/>
        <w:numPr>
          <w:ilvl w:val="0"/>
          <w:numId w:val="2002"/>
        </w:numPr>
      </w:pPr>
      <w:r>
        <w:t xml:space="preserve">Nos anos 1990 (pós-Plano Real), a taxa Selic real frequentemente superava 20% ao ano.</w:t>
      </w:r>
    </w:p>
    <w:p>
      <w:pPr>
        <w:pStyle w:val="Compact"/>
        <w:numPr>
          <w:ilvl w:val="0"/>
          <w:numId w:val="2002"/>
        </w:numPr>
      </w:pPr>
      <w:r>
        <w:t xml:space="preserve">Entre 2003 e 2012, houve redução gradual, mas a Selic real ainda oscilava entre 5% e 10% ao ano.</w:t>
      </w:r>
    </w:p>
    <w:p>
      <w:pPr>
        <w:pStyle w:val="Compact"/>
        <w:numPr>
          <w:ilvl w:val="0"/>
          <w:numId w:val="2002"/>
        </w:numPr>
      </w:pPr>
      <w:r>
        <w:t xml:space="preserve">Em 2020, durante a pandemia de COVID-19, a Selic nominal atingiu o mínimo histórico de 2% ao ano (taxa real negativa).</w:t>
      </w:r>
    </w:p>
    <w:p>
      <w:pPr>
        <w:pStyle w:val="Compact"/>
        <w:numPr>
          <w:ilvl w:val="0"/>
          <w:numId w:val="2002"/>
        </w:numPr>
      </w:pPr>
      <w:r>
        <w:t xml:space="preserve">A partir de 2021, o ciclo de aperto monetário elevou a Selic a 13,75% ao ano em 2022, com taxa real em torno de 7-8%.</w:t>
      </w:r>
    </w:p>
    <w:p>
      <w:pPr>
        <w:pStyle w:val="BlockText"/>
      </w:pPr>
      <w:r>
        <w:rPr>
          <w:b/>
          <w:bCs/>
        </w:rPr>
        <w:t xml:space="preserve">Por que os juros são tão altos? Principais hipóteses:</w:t>
      </w:r>
    </w:p>
    <w:p>
      <w:pPr>
        <w:pStyle w:val="BlockText"/>
        <w:numPr>
          <w:ilvl w:val="0"/>
          <w:numId w:val="2003"/>
        </w:numPr>
      </w:pPr>
      <w:r>
        <w:rPr>
          <w:b/>
          <w:bCs/>
        </w:rPr>
        <w:t xml:space="preserve">Dominância fiscal</w:t>
      </w:r>
      <w:r>
        <w:t xml:space="preserve">: a elevada dívida pública e a percepção de risco fiscal exigem prêmios de risco maiores para financiamento do governo. Quanto maior a desconfiança sobre a sustentabilidade fiscal, maiores os juros que o</w:t>
      </w:r>
      <w:r>
        <w:t xml:space="preserve"> </w:t>
      </w:r>
      <w:hyperlink r:id="rId1156">
        <w:r>
          <w:rPr>
            <w:rStyle w:val="Hyperlink"/>
          </w:rPr>
          <w:t xml:space="preserve">Tesouro Nacional</w:t>
        </w:r>
      </w:hyperlink>
      <w:r>
        <w:t xml:space="preserve"> </w:t>
      </w:r>
      <w:r>
        <w:t xml:space="preserve">precisa oferecer.</w:t>
      </w:r>
    </w:p>
    <w:p>
      <w:pPr>
        <w:pStyle w:val="BlockText"/>
        <w:numPr>
          <w:ilvl w:val="0"/>
          <w:numId w:val="2003"/>
        </w:numPr>
      </w:pPr>
      <w:r>
        <w:rPr>
          <w:b/>
          <w:bCs/>
        </w:rPr>
        <w:t xml:space="preserve">Crédito direcionado e segmentação</w:t>
      </w:r>
      <w:r>
        <w:t xml:space="preserve">: uma parcela significativa do crédito no Brasil é direcionada (</w:t>
      </w:r>
      <w:hyperlink r:id="rId1157">
        <w:r>
          <w:rPr>
            <w:rStyle w:val="Hyperlink"/>
          </w:rPr>
          <w:t xml:space="preserve">BNDES</w:t>
        </w:r>
      </w:hyperlink>
      <w:r>
        <w:t xml:space="preserve">, crédito rural, habitacional) a taxas subsidiadas. Isso reduz a eficácia da política monetária, exigindo uma Selic mais alta para atingir o mesmo efeito contracionista sobre a parcela livre do crédito.</w:t>
      </w:r>
    </w:p>
    <w:p>
      <w:pPr>
        <w:pStyle w:val="BlockText"/>
        <w:numPr>
          <w:ilvl w:val="0"/>
          <w:numId w:val="2003"/>
        </w:numPr>
      </w:pPr>
      <w:r>
        <w:rPr>
          <w:b/>
          <w:bCs/>
        </w:rPr>
        <w:t xml:space="preserve">Inércia inflacionária e indexação</w:t>
      </w:r>
      <w:r>
        <w:t xml:space="preserve">: a memória inflacionária do período de hiperinflação (1980-1994) e mecanismos de indexação residuais tornam as expectativas de inflação mais resistentes, exigindo juros mais altos para ancorar expectativas.</w:t>
      </w:r>
    </w:p>
    <w:p>
      <w:pPr>
        <w:pStyle w:val="BlockText"/>
        <w:numPr>
          <w:ilvl w:val="0"/>
          <w:numId w:val="2003"/>
        </w:numPr>
      </w:pPr>
      <w:r>
        <w:rPr>
          <w:b/>
          <w:bCs/>
        </w:rPr>
        <w:t xml:space="preserve">Incerteza jurisdicional</w:t>
      </w:r>
      <w:r>
        <w:t xml:space="preserve">: instabilidade regulatória, mudanças frequentes de regras tributárias e insegurança jurídica elevam o prêmio de risco exigido por investidores.</w:t>
      </w:r>
    </w:p>
    <w:p>
      <w:pPr>
        <w:pStyle w:val="BlockText"/>
        <w:numPr>
          <w:ilvl w:val="0"/>
          <w:numId w:val="2003"/>
        </w:numPr>
      </w:pPr>
      <w:r>
        <w:rPr>
          <w:b/>
          <w:bCs/>
        </w:rPr>
        <w:t xml:space="preserve">Baixa taxa de poupança doméstica</w:t>
      </w:r>
      <w:r>
        <w:t xml:space="preserve">: a taxa de poupança bruta do Brasil (~15% do PIB) é significativamente inferior à de outros emergentes como China (~45%) e Índia (~30%), pressionando os juros de equilíbrio para cima.</w:t>
      </w:r>
    </w:p>
    <w:p>
      <w:pPr>
        <w:pStyle w:val="BlockText"/>
      </w:pPr>
      <w:r>
        <w:rPr>
          <w:b/>
          <w:bCs/>
        </w:rPr>
        <w:t xml:space="preserve">Impacto sobre o investimento privado:</w:t>
      </w:r>
    </w:p>
    <w:p>
      <w:pPr>
        <w:pStyle w:val="BlockText"/>
      </w:pPr>
      <w:r>
        <w:t xml:space="preserve">A taxa de investimento brasileira (Formação Bruta de Capital Fixo / PIB) oscila em torno de 15-18%, bem abaixo dos ~25% considerados necessários para sustentar crescimento robusto. Juros elevados encarecem o custo de uso do capital (</w:t>
      </w:r>
      <m:oMath>
        <m:sSub>
          <m:e>
            <m:r>
              <m:t>c</m:t>
            </m:r>
          </m:e>
          <m:sub>
            <m:r>
              <m:t>K</m:t>
            </m:r>
          </m:sub>
        </m:sSub>
        <m:r>
          <m:rPr>
            <m:sty m:val="p"/>
          </m:rPr>
          <m:t>=</m:t>
        </m:r>
        <m:sSub>
          <m:e>
            <m:r>
              <m:t>p</m:t>
            </m:r>
          </m:e>
          <m:sub>
            <m:r>
              <m:t>K</m:t>
            </m:r>
          </m:sub>
        </m:sSub>
        <m:r>
          <m:rPr>
            <m:sty m:val="p"/>
          </m:rPr>
          <m:t>(</m:t>
        </m:r>
        <m:r>
          <m:t>r</m:t>
        </m:r>
        <m:r>
          <m:rPr>
            <m:sty m:val="p"/>
          </m:rPr>
          <m:t>+</m:t>
        </m:r>
        <m:r>
          <m:t>δ</m:t>
        </m:r>
        <m:r>
          <m:rPr>
            <m:sty m:val="p"/>
          </m:rPr>
          <m:t>)</m:t>
        </m:r>
      </m:oMath>
      <w:r>
        <w:t xml:space="preserve">), tornando inviáveis projetos que seriam rentáveis em ambientes de juros mais baixos.</w:t>
      </w:r>
    </w:p>
    <w:p>
      <w:pPr>
        <w:pStyle w:val="BlockText"/>
      </w:pPr>
      <w:r>
        <w:t xml:space="preserve">Dados do BNDES mostram que, historicamente, o banco de desenvolvimento desempenhou um papel de</w:t>
      </w:r>
      <w:r>
        <w:t xml:space="preserve"> </w:t>
      </w:r>
      <w:r>
        <w:t xml:space="preserve">“compensação”</w:t>
      </w:r>
      <w:r>
        <w:t xml:space="preserve"> </w:t>
      </w:r>
      <w:r>
        <w:t xml:space="preserve">parcial, oferecendo crédito de longo prazo a taxas subsidiadas (TJLP, depois TLP). Contudo, a partir de 2017, a substituição da TJLP pela TLP (atrelada a taxas de mercado) reduziu esse subsídio, aproximando o custo do crédito do BNDES ao custo de mercado.</w:t>
      </w:r>
    </w:p>
    <w:p>
      <w:pPr>
        <w:pStyle w:val="BlockText"/>
      </w:pPr>
      <w:r>
        <w:rPr>
          <w:b/>
          <w:bCs/>
        </w:rPr>
        <w:t xml:space="preserve">Consequências para a avaliação de projetos:</w:t>
      </w:r>
    </w:p>
    <w:p>
      <w:pPr>
        <w:pStyle w:val="BlockText"/>
      </w:pPr>
      <w:r>
        <w:t xml:space="preserve">Conforme a tabela de VPL apresentada na seção anterior, projetos que seriam viáveis a uma taxa de desconto de 5% (como em muitos países desenvolvidos) tornam-se inviáveis a 15% ou 20% (taxas reais historicamente observadas no Brasil). Isso representa um viés contra investimentos de longo prazo, especialmente em infraestrutura, pesquisa e desenvolvimento, e indústrias capital-intensivas.</w:t>
      </w:r>
    </w:p>
    <w:p>
      <w:r>
        <w:pict>
          <v:rect style="width:0;height:1.5pt" o:hralign="center" o:hrstd="t" o:hr="t"/>
        </w:pict>
      </w:r>
    </w:p>
    <w:bookmarkEnd w:id="1158"/>
    <w:bookmarkStart w:id="1161" w:name="X03545739971fa135e4a7f2453da55c7fb6f0575"/>
    <w:p>
      <w:pPr>
        <w:pStyle w:val="Heading3"/>
      </w:pPr>
      <w:r>
        <w:t xml:space="preserve">18.11 Extrair Hoje ou Deixar no Solo: A Regra de Hotelling</w:t>
      </w:r>
    </w:p>
    <w:p>
      <w:pPr>
        <w:pStyle w:val="BlockText"/>
      </w:pPr>
      <w:r>
        <w:rPr>
          <w:b/>
          <w:bCs/>
        </w:rPr>
        <w:t xml:space="preserve">[INFORMACAO] Material Avançado</w:t>
      </w:r>
    </w:p>
    <w:p>
      <w:pPr>
        <w:pStyle w:val="BlockText"/>
      </w:pPr>
      <w:r>
        <w:t xml:space="preserve">O modelo completo de Hotelling com custo de extração crescente, backstop technology e incerteza sobre reservas é</w:t>
      </w:r>
      <w:r>
        <w:t xml:space="preserve"> </w:t>
      </w:r>
      <w:r>
        <w:rPr>
          <w:b/>
          <w:bCs/>
        </w:rPr>
        <w:t xml:space="preserve">material complementar</w:t>
      </w:r>
      <w:r>
        <w:t xml:space="preserve"> </w:t>
      </w:r>
      <w:r>
        <w:t xml:space="preserve">— pode ser omitido numa primeira leitura sem perda de continuidade. A versão básica (regra</w:t>
      </w:r>
      <w:r>
        <w:t xml:space="preserve"> </w:t>
      </w:r>
      <m:oMath>
        <m:acc>
          <m:accPr>
            <m:chr m:val="̇"/>
          </m:accPr>
          <m:e>
            <m:r>
              <m:t>p</m:t>
            </m:r>
          </m:e>
        </m:acc>
        <m:r>
          <m:rPr>
            <m:sty m:val="p"/>
          </m:rPr>
          <m:t>/</m:t>
        </m:r>
        <m:r>
          <m:t>p</m:t>
        </m:r>
        <m:r>
          <m:rPr>
            <m:sty m:val="p"/>
          </m:rPr>
          <m:t>=</m:t>
        </m:r>
        <m:r>
          <m:t>r</m:t>
        </m:r>
      </m:oMath>
      <w:r>
        <w:t xml:space="preserve">) é suficiente para a maioria dos cursos de graduação. A versão completa é recomendada para cursos de pós-graduação e para a conexão com o Capítulo 24 (Economia Ambiental) (Cap. 24).</w:t>
      </w:r>
    </w:p>
    <w:p>
      <w:pPr>
        <w:pStyle w:val="FirstParagraph"/>
      </w:pPr>
      <w:r>
        <w:t xml:space="preserve">VPL e TIR funcionam bem quando o ativo em questão foi construído por mãos humanas — uma fábrica, um galpão, um software. Mas o que fazer com aquilo que a natureza criou e que, uma vez consumido, não volta? Petróleo, minério de ferro, mogno nativo: são estoques finitos, e cada barril extraído hoje é um barril a menos para amanhã. Isso cria um dilema intertemporal que nenhum engenheiro de produção resolve sozinho: extrair agora e aplicar o dinheiro, ou deixar o recurso no solo apostando que valerá mais no futuro? A resposta, formalizada por Harold Hotelling em 1931, é uma das proposições mais elegantes da economia dos recursos naturais.</w:t>
      </w:r>
    </w:p>
    <w:bookmarkStart w:id="1159" w:name="o-problema-do-recurso-exaurível"/>
    <w:p>
      <w:pPr>
        <w:pStyle w:val="Heading4"/>
      </w:pPr>
      <w:r>
        <w:t xml:space="preserve">O problema do recurso exaurível</w:t>
      </w:r>
    </w:p>
    <w:p>
      <w:pPr>
        <w:pStyle w:val="FirstParagraph"/>
      </w:pPr>
      <w:r>
        <w:t xml:space="preserve">Considere o proprietário de uma mina com estoque finito</w:t>
      </w:r>
      <w:r>
        <w:t xml:space="preserve"> </w:t>
      </w:r>
      <m:oMath>
        <m:sSub>
          <m:e>
            <m:r>
              <m:t>S</m:t>
            </m:r>
          </m:e>
          <m:sub>
            <m:r>
              <m:t>0</m:t>
            </m:r>
          </m:sub>
        </m:sSub>
      </m:oMath>
      <w:r>
        <w:t xml:space="preserve"> </w:t>
      </w:r>
      <w:r>
        <w:t xml:space="preserve">de um recurso natural não renovável (petróleo, minério, gás). Em cada período, ele deve decidir quanto extrair (</w:t>
      </w:r>
      <m:oMath>
        <m:sSub>
          <m:e>
            <m:r>
              <m:t>q</m:t>
            </m:r>
          </m:e>
          <m:sub>
            <m:r>
              <m:t>t</m:t>
            </m:r>
          </m:sub>
        </m:sSub>
      </m:oMath>
      <w:r>
        <w:t xml:space="preserve">) e quanto preservar para o futuro.</w:t>
      </w:r>
    </w:p>
    <w:p>
      <w:pPr>
        <w:pStyle w:val="BodyText"/>
      </w:pPr>
      <w:r>
        <w:t xml:space="preserve">Se o preço do recurso é</w:t>
      </w:r>
      <w:r>
        <w:t xml:space="preserve"> </w:t>
      </w:r>
      <m:oMath>
        <m:sSub>
          <m:e>
            <m:r>
              <m:t>p</m:t>
            </m:r>
          </m:e>
          <m:sub>
            <m:r>
              <m:t>t</m:t>
            </m:r>
          </m:sub>
        </m:sSub>
      </m:oMath>
      <w:r>
        <w:t xml:space="preserve">, o custo marginal de extração é</w:t>
      </w:r>
      <w:r>
        <w:t xml:space="preserve"> </w:t>
      </w:r>
      <m:oMath>
        <m:r>
          <m:t>c</m:t>
        </m:r>
      </m:oMath>
      <w:r>
        <w:t xml:space="preserve"> </w:t>
      </w:r>
      <w:r>
        <w:t xml:space="preserve">(constante) e a taxa de juros é</w:t>
      </w:r>
      <w:r>
        <w:t xml:space="preserve"> </w:t>
      </w:r>
      <m:oMath>
        <m:r>
          <m:t>r</m:t>
        </m:r>
      </m:oMath>
      <w:r>
        <w:t xml:space="preserve">, o proprietário enfrenta um problema de otimização intertemporal: maximizar o valor presente dos lucros da extração, sujeito à restrição de que a extração total não pode exceder o estoque.</w:t>
      </w:r>
    </w:p>
    <w:p>
      <w:pPr>
        <w:pStyle w:val="BlockText"/>
      </w:pPr>
      <w:r>
        <w:rPr>
          <w:b/>
          <w:bCs/>
        </w:rPr>
        <w:t xml:space="preserve">[DEMONSTRACAO] Demonstração: Derivação da Regra de Hotelling</w:t>
      </w:r>
    </w:p>
    <w:p>
      <w:pPr>
        <w:pStyle w:val="BlockText"/>
      </w:pPr>
      <w:r>
        <w:t xml:space="preserve">O proprietário da mina maximiza o valor presente dos lucros da extração:</w:t>
      </w:r>
    </w:p>
    <w:p>
      <w:pPr>
        <w:pStyle w:val="BlockText"/>
      </w:pPr>
      <w:r>
        <w:t xml:space="preserve">$$</w:t>
      </w:r>
    </w:p>
    <w:p>
      <w:pPr>
        <w:pStyle w:val="BlockText"/>
      </w:pPr>
      <w:r>
        <w:rPr>
          <w:i/>
          <w:iCs/>
        </w:rPr>
        <w:t xml:space="preserve">{{q_t}}</w:t>
      </w:r>
      <w:r>
        <w:rPr>
          <w:i/>
          <w:iCs/>
        </w:rPr>
        <w:t xml:space="preserve"> </w:t>
      </w:r>
      <w:r>
        <w:t xml:space="preserve">{t=0}^{</w:t>
      </w:r>
      <w:r>
        <w:t xml:space="preserve">}</w:t>
      </w:r>
      <w:r>
        <w:t xml:space="preserve"> </w:t>
      </w:r>
      <w:r>
        <w:t xml:space="preserve"> </w:t>
      </w:r>
      <w:r>
        <w:t xml:space="preserve"> </w:t>
      </w:r>
      <w:r>
        <w:t xml:space="preserve">_{t=0}^{</w:t>
      </w:r>
      <w:r>
        <w:t xml:space="preserve">} q_t</w:t>
      </w:r>
      <w:r>
        <w:t xml:space="preserve"> </w:t>
      </w:r>
      <w:r>
        <w:t xml:space="preserve">S_0,</w:t>
      </w:r>
      <w:r>
        <w:t xml:space="preserve"> </w:t>
      </w:r>
      <w:r>
        <w:t xml:space="preserve">q_t</w:t>
      </w:r>
      <w:r>
        <w:t xml:space="preserve"> </w:t>
      </w:r>
    </w:p>
    <w:p>
      <w:pPr>
        <w:pStyle w:val="BlockText"/>
      </w:pPr>
      <w:r>
        <w:t xml:space="preserve">$$</w:t>
      </w:r>
    </w:p>
    <w:p>
      <w:pPr>
        <w:pStyle w:val="BlockText"/>
      </w:pPr>
      <w:r>
        <w:t xml:space="preserve">O lagrangeano é:</w:t>
      </w:r>
    </w:p>
    <w:p>
      <w:pPr>
        <w:pStyle w:val="BlockText"/>
      </w:pPr>
      <w:r>
        <w:t xml:space="preserve">$$</w:t>
      </w:r>
    </w:p>
    <w:p>
      <w:pPr>
        <w:pStyle w:val="BlockText"/>
      </w:pPr>
      <w:r>
        <w:t xml:space="preserve"> </w:t>
      </w:r>
      <w:r>
        <w:t xml:space="preserve">=</w:t>
      </w:r>
      <w:r>
        <w:t xml:space="preserve"> </w:t>
      </w:r>
      <w:r>
        <w:rPr>
          <w:i/>
          <w:iCs/>
        </w:rPr>
        <w:t xml:space="preserve">{t=0}^{</w:t>
      </w:r>
      <w:r>
        <w:rPr>
          <w:i/>
          <w:iCs/>
        </w:rPr>
        <w:t xml:space="preserve">}</w:t>
      </w:r>
      <w:r>
        <w:rPr>
          <w:i/>
          <w:iCs/>
        </w:rPr>
        <w:t xml:space="preserve"> </w:t>
      </w:r>
      <w:r>
        <w:rPr>
          <w:i/>
          <w:iCs/>
        </w:rPr>
        <w:t xml:space="preserve"> </w:t>
      </w:r>
      <w:r>
        <w:rPr>
          <w:i/>
          <w:iCs/>
        </w:rPr>
        <w:t xml:space="preserve">+</w:t>
      </w:r>
      <w:r>
        <w:rPr>
          <w:i/>
          <w:iCs/>
        </w:rPr>
        <w:t xml:space="preserve"> </w:t>
      </w:r>
      <w:r>
        <w:rPr>
          <w:i/>
          <w:iCs/>
        </w:rPr>
        <w:t xml:space="preserve">( S_0 -</w:t>
      </w:r>
      <w:r>
        <w:rPr>
          <w:i/>
          <w:iCs/>
        </w:rPr>
        <w:t xml:space="preserve"> </w:t>
      </w:r>
      <w:r>
        <w:t xml:space="preserve">{t=0}^{</w:t>
      </w:r>
      <w:r>
        <w:t xml:space="preserve">} q_t</w:t>
      </w:r>
      <w:r>
        <w:t xml:space="preserve"> </w:t>
      </w:r>
      <w:r>
        <w:t xml:space="preserve">)</w:t>
      </w:r>
    </w:p>
    <w:p>
      <w:pPr>
        <w:pStyle w:val="BlockText"/>
      </w:pPr>
      <w:r>
        <w:t xml:space="preserve">$$</w:t>
      </w:r>
    </w:p>
    <w:p>
      <w:pPr>
        <w:pStyle w:val="BlockText"/>
      </w:pPr>
      <w:r>
        <w:t xml:space="preserve">A condição de primeira ordem para</w:t>
      </w:r>
      <w:r>
        <w:t xml:space="preserve"> </w:t>
      </w:r>
      <m:oMath>
        <m:sSub>
          <m:e>
            <m:r>
              <m:t>q</m:t>
            </m:r>
          </m:e>
          <m:sub>
            <m:r>
              <m:t>t</m:t>
            </m:r>
          </m:sub>
        </m:sSub>
        <m:r>
          <m:rPr>
            <m:sty m:val="p"/>
          </m:rPr>
          <m:t>&gt;</m:t>
        </m:r>
        <m:r>
          <m:t>0</m:t>
        </m:r>
      </m:oMath>
      <w:r>
        <w:t xml:space="preserve"> </w:t>
      </w:r>
      <w:r>
        <w:t xml:space="preserve">é:</w:t>
      </w:r>
    </w:p>
    <w:p>
      <w:pPr>
        <w:pStyle w:val="BlockText"/>
      </w:pPr>
      <w:r>
        <w:t xml:space="preserve">$$</w:t>
      </w:r>
    </w:p>
    <w:p>
      <w:pPr>
        <w:pStyle w:val="BlockText"/>
      </w:pPr>
      <w:r>
        <w:t xml:space="preserve"> </w:t>
      </w:r>
      <w:r>
        <w:t xml:space="preserve">=</w:t>
      </w:r>
      <w:r>
        <w:t xml:space="preserve"> </w:t>
      </w:r>
      <w:r>
        <w:t xml:space="preserve"> </w:t>
      </w:r>
      <w:r>
        <w:t xml:space="preserve">-</w:t>
      </w:r>
      <w:r>
        <w:t xml:space="preserve"> </w:t>
      </w:r>
      <w:r>
        <w:t xml:space="preserve">= 0</w:t>
      </w:r>
    </w:p>
    <w:p>
      <w:pPr>
        <w:pStyle w:val="BlockText"/>
      </w:pPr>
      <w:r>
        <w:t xml:space="preserve">$$</w:t>
      </w:r>
    </w:p>
    <w:p>
      <w:pPr>
        <w:pStyle w:val="BlockText"/>
      </w:pPr>
      <w:r>
        <w:t xml:space="preserve">Portanto:</w:t>
      </w:r>
    </w:p>
    <w:p>
      <w:pPr>
        <w:pStyle w:val="BlockText"/>
      </w:pPr>
      <w:r>
        <w:t xml:space="preserve">$$</w:t>
      </w:r>
    </w:p>
    <w:p>
      <w:pPr>
        <w:pStyle w:val="BlockText"/>
      </w:pPr>
      <w:r>
        <w:t xml:space="preserve">p_t - c =</w:t>
      </w:r>
      <w:r>
        <w:t xml:space="preserve"> </w:t>
      </w:r>
      <w:r>
        <w:t xml:space="preserve">(1+r)^t</w:t>
      </w:r>
    </w:p>
    <w:p>
      <w:pPr>
        <w:pStyle w:val="BlockText"/>
      </w:pPr>
      <w:r>
        <w:t xml:space="preserve">$$</w:t>
      </w:r>
    </w:p>
    <w:p>
      <w:pPr>
        <w:pStyle w:val="BlockText"/>
      </w:pPr>
      <w:r>
        <w:t xml:space="preserve">Definindo a</w:t>
      </w:r>
      <w:r>
        <w:t xml:space="preserve"> </w:t>
      </w:r>
      <w:r>
        <w:rPr>
          <w:b/>
          <w:bCs/>
        </w:rPr>
        <w:t xml:space="preserve">renda de escassez</w:t>
      </w:r>
      <w:r>
        <w:t xml:space="preserve"> </w:t>
      </w:r>
      <w:r>
        <w:t xml:space="preserve">(ou</w:t>
      </w:r>
      <w:r>
        <w:t xml:space="preserve"> </w:t>
      </w:r>
      <w:r>
        <w:rPr>
          <w:i/>
          <w:iCs/>
        </w:rPr>
        <w:t xml:space="preserve">royalty</w:t>
      </w:r>
      <w:r>
        <w:t xml:space="preserve">) como</w:t>
      </w:r>
      <w:r>
        <w:t xml:space="preserve"> </w:t>
      </w:r>
      <m:oMath>
        <m:sSub>
          <m:e>
            <m:r>
              <m:t>R</m:t>
            </m:r>
          </m:e>
          <m:sub>
            <m:r>
              <m:t>t</m:t>
            </m:r>
          </m:sub>
        </m:sSub>
        <m:r>
          <m:rPr>
            <m:sty m:val="p"/>
          </m:rPr>
          <m:t>≡</m:t>
        </m:r>
        <m:sSub>
          <m:e>
            <m:r>
              <m:t>p</m:t>
            </m:r>
          </m:e>
          <m:sub>
            <m:r>
              <m:t>t</m:t>
            </m:r>
          </m:sub>
        </m:sSub>
        <m:r>
          <m:rPr>
            <m:sty m:val="p"/>
          </m:rPr>
          <m:t>−</m:t>
        </m:r>
        <m:r>
          <m:t>c</m:t>
        </m:r>
      </m:oMath>
      <w:r>
        <w:t xml:space="preserve">, temos:</w:t>
      </w:r>
    </w:p>
    <w:p>
      <w:pPr>
        <w:pStyle w:val="BlockText"/>
      </w:pPr>
      <w:r>
        <w:t xml:space="preserve">$$</w:t>
      </w:r>
    </w:p>
    <w:p>
      <w:pPr>
        <w:pStyle w:val="BlockText"/>
      </w:pPr>
      <w:r>
        <w:t xml:space="preserve">R_t =</w:t>
      </w:r>
      <w:r>
        <w:t xml:space="preserve"> </w:t>
      </w:r>
      <w:r>
        <w:t xml:space="preserve">(1+r)^t = R_0 (1+r)^t</w:t>
      </w:r>
    </w:p>
    <w:p>
      <w:pPr>
        <w:pStyle w:val="BlockText"/>
      </w:pPr>
      <w:r>
        <w:t xml:space="preserve">$$</w:t>
      </w:r>
    </w:p>
    <w:p>
      <w:pPr>
        <w:pStyle w:val="BlockText"/>
      </w:pPr>
      <w:r>
        <w:t xml:space="preserve">onde</w:t>
      </w:r>
      <w:r>
        <w:t xml:space="preserve"> </w:t>
      </w:r>
      <m:oMath>
        <m:sSub>
          <m:e>
            <m:r>
              <m:t>R</m:t>
            </m:r>
          </m:e>
          <m:sub>
            <m:r>
              <m:t>0</m:t>
            </m:r>
          </m:sub>
        </m:sSub>
        <m:r>
          <m:rPr>
            <m:sty m:val="p"/>
          </m:rPr>
          <m:t>=</m:t>
        </m:r>
        <m:r>
          <m:t>λ</m:t>
        </m:r>
      </m:oMath>
      <w:r>
        <w:t xml:space="preserve"> </w:t>
      </w:r>
      <w:r>
        <w:t xml:space="preserve">é a renda de escassez no período inicial. Tomando a razão entre dois períodos consecutivos:</w:t>
      </w:r>
    </w:p>
    <w:p>
      <w:pPr>
        <w:pStyle w:val="BlockText"/>
      </w:pPr>
      <w:r>
        <w:t xml:space="preserve">$$</w:t>
      </w:r>
    </w:p>
    <w:p>
      <w:pPr>
        <w:pStyle w:val="BlockText"/>
      </w:pPr>
      <w:r>
        <w:t xml:space="preserve"> </w:t>
      </w:r>
      <w:r>
        <w:t xml:space="preserve">= 1 + r</w:t>
      </w:r>
    </w:p>
    <w:p>
      <w:pPr>
        <w:pStyle w:val="BlockText"/>
      </w:pPr>
      <w:r>
        <w:t xml:space="preserve">$$</w:t>
      </w:r>
    </w:p>
    <w:p>
      <w:pPr>
        <w:pStyle w:val="BlockText"/>
      </w:pPr>
      <w:r>
        <w:t xml:space="preserve">Ou, equivalentemente:</w:t>
      </w:r>
    </w:p>
    <w:p>
      <w:pPr>
        <w:pStyle w:val="BlockText"/>
      </w:pPr>
      <w:r>
        <w:t xml:space="preserve">$$</w:t>
      </w:r>
    </w:p>
    <w:p>
      <w:pPr>
        <w:pStyle w:val="BlockText"/>
      </w:pPr>
      <w:r>
        <w:t xml:space="preserve"> </w:t>
      </w:r>
      <w:r>
        <w:t xml:space="preserve">= r</w:t>
      </w:r>
    </w:p>
    <w:p>
      <w:pPr>
        <w:pStyle w:val="BlockText"/>
      </w:pPr>
      <w:r>
        <w:t xml:space="preserve">$$</w:t>
      </w:r>
    </w:p>
    <w:p>
      <w:pPr>
        <w:pStyle w:val="BlockText"/>
      </w:pPr>
      <w:r>
        <w:rPr>
          <w:b/>
          <w:bCs/>
        </w:rPr>
        <w:t xml:space="preserve">Esta é a Regra de Hotelling</w:t>
      </w:r>
      <w:r>
        <w:t xml:space="preserve">: em equilíbrio, a renda de escassez (preço líquido do custo de extração) de um recurso natural exaurível deve crescer à taxa de juros</w:t>
      </w:r>
      <w:r>
        <w:t xml:space="preserve"> </w:t>
      </w:r>
      <m:oMath>
        <m:r>
          <m:t>r</m:t>
        </m:r>
      </m:oMath>
      <w:r>
        <w:t xml:space="preserve">.</w:t>
      </w:r>
    </w:p>
    <w:p>
      <w:pPr>
        <w:pStyle w:val="BlockText"/>
      </w:pPr>
      <w:r>
        <w:rPr>
          <w:b/>
          <w:bCs/>
        </w:rPr>
        <w:t xml:space="preserve">Intuição</w:t>
      </w:r>
      <w:r>
        <w:t xml:space="preserve">: se a renda de escassez crescesse a uma taxa superior a</w:t>
      </w:r>
      <w:r>
        <w:t xml:space="preserve"> </w:t>
      </w:r>
      <m:oMath>
        <m:r>
          <m:t>r</m:t>
        </m:r>
      </m:oMath>
      <w:r>
        <w:t xml:space="preserve">, seria mais lucrativo não extrair hoje e esperar — o proprietário reduziria a extração presente, elevando o preço hoje e reduzindo a taxa de crescimento. Se crescesse a uma taxa inferior a</w:t>
      </w:r>
      <w:r>
        <w:t xml:space="preserve"> </w:t>
      </w:r>
      <m:oMath>
        <m:r>
          <m:t>r</m:t>
        </m:r>
      </m:oMath>
      <w:r>
        <w:t xml:space="preserve">, seria melhor extrair tudo agora e aplicar no mercado financeiro — a extração presente aumentaria, reduzindo o preço hoje e elevando a taxa de crescimento. No equilíbrio, os dois incentivos se equilibram.</w:t>
      </w:r>
      <w:r>
        <w:t xml:space="preserve"> </w:t>
      </w:r>
      <m:oMath>
        <m:r>
          <m:rPr>
            <m:sty m:val="p"/>
          </m:rPr>
          <m:t>◼</m:t>
        </m:r>
      </m:oMath>
    </w:p>
    <w:p>
      <w:pPr>
        <w:pStyle w:val="BlockText"/>
      </w:pPr>
      <w:r>
        <w:rPr>
          <w:b/>
          <w:bCs/>
        </w:rPr>
        <w:t xml:space="preserve">[TEOREMA] Regra de Hotelling</w:t>
      </w:r>
    </w:p>
    <w:p>
      <w:pPr>
        <w:pStyle w:val="BlockText"/>
      </w:pPr>
      <w:r>
        <w:t xml:space="preserve">Em equilíbrio competitivo, o preço líquido (preço menos custo marginal de extração) de um recurso natural exaurível cresce à taxa de juros:</w:t>
      </w:r>
    </w:p>
    <w:p>
      <w:pPr>
        <w:pStyle w:val="BlockText"/>
      </w:pPr>
      <w:r>
        <w:t xml:space="preserve">$$</w:t>
      </w:r>
    </w:p>
    <w:p>
      <w:pPr>
        <w:pStyle w:val="BlockText"/>
      </w:pPr>
      <w:r>
        <w:t xml:space="preserve"> </w:t>
      </w:r>
      <w:r>
        <w:t xml:space="preserve">= r</w:t>
      </w:r>
      <w:r>
        <w:t xml:space="preserve"> </w:t>
      </w:r>
      <w:r>
        <w:t xml:space="preserve"> </w:t>
      </w:r>
      <w:r>
        <w:t xml:space="preserve"> </w:t>
      </w:r>
      <w:r>
        <w:t xml:space="preserve"> </w:t>
      </w:r>
      <w:r>
        <w:t xml:space="preserve">= r</w:t>
      </w:r>
      <w:r>
        <w:t xml:space="preserve"> </w:t>
      </w:r>
      <w:r>
        <w:t xml:space="preserve"> </w:t>
      </w:r>
      <w:r>
        <w:t xml:space="preserve"> </w:t>
      </w:r>
      <w:r>
        <w:t xml:space="preserve"> </w:t>
      </w:r>
      <w:r>
        <w:t xml:space="preserve">$$</w:t>
      </w:r>
    </w:p>
    <w:p>
      <w:pPr>
        <w:pStyle w:val="BlockText"/>
      </w:pPr>
      <w:r>
        <w:t xml:space="preserve">onde</w:t>
      </w:r>
      <w:r>
        <w:t xml:space="preserve"> </w:t>
      </w:r>
      <m:oMath>
        <m:r>
          <m:t>R</m:t>
        </m:r>
        <m:r>
          <m:rPr>
            <m:sty m:val="p"/>
          </m:rPr>
          <m:t>=</m:t>
        </m:r>
        <m:r>
          <m:t>P</m:t>
        </m:r>
        <m:r>
          <m:rPr>
            <m:sty m:val="p"/>
          </m:rPr>
          <m:t>−</m:t>
        </m:r>
        <m:r>
          <m:t>c</m:t>
        </m:r>
      </m:oMath>
      <w:r>
        <w:t xml:space="preserve"> </w:t>
      </w:r>
      <w:r>
        <w:t xml:space="preserve">é a renda de escassez do recurso.</w:t>
      </w:r>
    </w:p>
    <w:p>
      <w:pPr>
        <w:pStyle w:val="BlockText"/>
      </w:pPr>
      <w:r>
        <w:rPr>
          <w:b/>
          <w:bCs/>
        </w:rPr>
        <w:t xml:space="preserve">[INTUICAO ECONOMICA] Intuição Econômica</w:t>
      </w:r>
    </w:p>
    <w:p>
      <w:pPr>
        <w:pStyle w:val="BlockText"/>
      </w:pPr>
      <w:r>
        <w:rPr>
          <w:b/>
          <w:bCs/>
        </w:rPr>
        <w:t xml:space="preserve">Em uma frase:</w:t>
      </w:r>
      <w:r>
        <w:t xml:space="preserve"> </w:t>
      </w:r>
      <w:r>
        <w:t xml:space="preserve">O preço de um recurso que vai acabar precisa subir ao longo do tempo à mesma taxa dos juros — senão, o dono preferiria extrair tudo hoje e aplicar o dinheiro.</w:t>
      </w:r>
    </w:p>
    <w:p>
      <w:pPr>
        <w:pStyle w:val="BlockText"/>
      </w:pPr>
      <w:r>
        <w:rPr>
          <w:b/>
          <w:bCs/>
        </w:rPr>
        <w:t xml:space="preserve">Pense assim:</w:t>
      </w:r>
      <w:r>
        <w:t xml:space="preserve"> </w:t>
      </w:r>
      <w:r>
        <w:t xml:space="preserve">Imagine um fazendeiro no Pará com mogno nativo na propriedade. Se o preço da madeira não estiver subindo pelo menos tanto quanto o rendimento de um CDB, ele corta tudo agora e coloca o dinheiro no banco. Mas se o mogno está valorizando mais que os juros, compensa deixar a árvore crescendo. No equilíbrio, as duas opções se equivalem.</w:t>
      </w:r>
    </w:p>
    <w:p>
      <w:pPr>
        <w:pStyle w:val="BlockText"/>
      </w:pPr>
      <w:r>
        <w:rPr>
          <w:b/>
          <w:bCs/>
        </w:rPr>
        <w:t xml:space="preserve">Por que isso importa:</w:t>
      </w:r>
      <w:r>
        <w:t xml:space="preserve"> </w:t>
      </w:r>
      <w:r>
        <w:t xml:space="preserve">A regra de Hotelling é a base para pensar a exploração sustentável de petróleo, minérios e outros recursos finitos — e ajuda a entender por que juros altos aceleram o desmatamento e a extração mineral.</w:t>
      </w:r>
    </w:p>
    <w:p>
      <w:pPr>
        <w:pStyle w:val="FirstParagraph"/>
      </w:pPr>
      <w:r>
        <w:t xml:space="preserve">[FIGURA INTERATIVA: /micro-book/graficos/cap18/hotelling-recurso.html — versao interativa disponivel online]</w:t>
      </w:r>
    </w:p>
    <w:p>
      <w:pPr>
        <w:pStyle w:val="BodyText"/>
      </w:pPr>
      <w:r>
        <w:rPr>
          <w:b/>
          <w:bCs/>
        </w:rPr>
        <w:t xml:space="preserve">Figura 18.4 — Regra de Hotelling.</w:t>
      </w:r>
      <w:r>
        <w:t xml:space="preserve"> </w:t>
      </w:r>
      <w:r>
        <w:t xml:space="preserve">O preço do recurso cresce à taxa de juros</w:t>
      </w:r>
      <w:r>
        <w:t xml:space="preserve"> </w:t>
      </w:r>
      <m:oMath>
        <m:r>
          <m:t>r</m:t>
        </m:r>
      </m:oMath>
      <w:r>
        <w:t xml:space="preserve"> </w:t>
      </w:r>
      <w:r>
        <w:t xml:space="preserve">até atingir o preço da tecnologia substituta (</w:t>
      </w:r>
      <m:oMath>
        <m:acc>
          <m:accPr>
            <m:chr m:val="‾"/>
          </m:accPr>
          <m:e>
            <m:r>
              <m:t>p</m:t>
            </m:r>
          </m:e>
        </m:acc>
      </m:oMath>
      <w:r>
        <w:t xml:space="preserve">). Aumente</w:t>
      </w:r>
      <w:r>
        <w:t xml:space="preserve"> </w:t>
      </w:r>
      <m:oMath>
        <m:r>
          <m:t>r</m:t>
        </m:r>
      </m:oMath>
      <w:r>
        <w:t xml:space="preserve"> </w:t>
      </w:r>
      <w:r>
        <w:t xml:space="preserve">e observe a extração se acelerar — juros altos devoram o futuro.</w:t>
      </w:r>
    </w:p>
    <w:bookmarkEnd w:id="1159"/>
    <w:bookmarkStart w:id="1160" w:name="implicações-1"/>
    <w:p>
      <w:pPr>
        <w:pStyle w:val="Heading4"/>
      </w:pPr>
      <w:r>
        <w:t xml:space="preserve">Implicações</w:t>
      </w:r>
    </w:p>
    <w:p>
      <w:pPr>
        <w:pStyle w:val="Compact"/>
        <w:numPr>
          <w:ilvl w:val="0"/>
          <w:numId w:val="2004"/>
        </w:numPr>
      </w:pPr>
      <w:r>
        <w:rPr>
          <w:b/>
          <w:bCs/>
        </w:rPr>
        <w:t xml:space="preserve">O preço do recurso tende a subir ao longo do tempo</w:t>
      </w:r>
      <w:r>
        <w:t xml:space="preserve">, refletindo sua crescente escassez;</w:t>
      </w:r>
    </w:p>
    <w:p>
      <w:pPr>
        <w:pStyle w:val="Compact"/>
        <w:numPr>
          <w:ilvl w:val="0"/>
          <w:numId w:val="2004"/>
        </w:numPr>
      </w:pPr>
      <w:r>
        <w:rPr>
          <w:b/>
          <w:bCs/>
        </w:rPr>
        <w:t xml:space="preserve">Recursos com custo de extração constante</w:t>
      </w:r>
      <w:r>
        <w:t xml:space="preserve"> </w:t>
      </w:r>
      <w:r>
        <w:t xml:space="preserve">terão preços que convergem assintoticamente para um caminho exponencial;</w:t>
      </w:r>
    </w:p>
    <w:p>
      <w:pPr>
        <w:pStyle w:val="Compact"/>
        <w:numPr>
          <w:ilvl w:val="0"/>
          <w:numId w:val="2004"/>
        </w:numPr>
      </w:pPr>
      <w:r>
        <w:rPr>
          <w:b/>
          <w:bCs/>
        </w:rPr>
        <w:t xml:space="preserve">A taxa de juros determina a velocidade de exaustão</w:t>
      </w:r>
      <w:r>
        <w:t xml:space="preserve">: juros altos aceleram a extração (o futuro é mais fortemente descontado);</w:t>
      </w:r>
    </w:p>
    <w:p>
      <w:pPr>
        <w:pStyle w:val="Compact"/>
        <w:numPr>
          <w:ilvl w:val="0"/>
          <w:numId w:val="2004"/>
        </w:numPr>
      </w:pPr>
      <w:r>
        <w:rPr>
          <w:b/>
          <w:bCs/>
        </w:rPr>
        <w:t xml:space="preserve">A existência de uma</w:t>
      </w:r>
      <w:r>
        <w:rPr>
          <w:b/>
          <w:bCs/>
        </w:rPr>
        <w:t xml:space="preserve"> </w:t>
      </w:r>
      <w:r>
        <w:rPr>
          <w:b/>
          <w:bCs/>
          <w:i/>
          <w:iCs/>
        </w:rPr>
        <w:t xml:space="preserve">backstop technology</w:t>
      </w:r>
      <w:r>
        <w:t xml:space="preserve"> </w:t>
      </w:r>
      <w:r>
        <w:t xml:space="preserve">— um substituto disponível a custo fixo — coloca um teto no preço do recurso e pode antecipar a exaustão (como na relação entre petróleo e energias renováveis).</w:t>
      </w:r>
    </w:p>
    <w:p>
      <w:pPr>
        <w:pStyle w:val="BlockText"/>
      </w:pPr>
      <w:r>
        <w:rPr>
          <w:b/>
          <w:bCs/>
        </w:rPr>
        <w:t xml:space="preserve">[DICA] A regra de Hotelling na prática</w:t>
      </w:r>
    </w:p>
    <w:p>
      <w:pPr>
        <w:pStyle w:val="BlockText"/>
      </w:pPr>
      <w:r>
        <w:t xml:space="preserve">Empiricamente, os preços de muitos recursos naturais não seguem a trajetória prevista pela regra de Hotelling. Isso pode ser explicado por: (i) descobertas de novas reservas; (ii) progresso tecnológico que reduz custos de extração; (iii) desenvolvimento de substitutos; (iv) poder de mercado (OPEP, por exemplo).</w:t>
      </w:r>
    </w:p>
    <w:p>
      <w:pPr>
        <w:pStyle w:val="BlockText"/>
      </w:pPr>
      <w:r>
        <w:rPr>
          <w:b/>
          <w:bCs/>
        </w:rPr>
        <w:t xml:space="preserve">[BOX MUNDO] Box Mundo 18.3 — A maldição do petróleo: Hotelling encontra instituições</w:t>
      </w:r>
    </w:p>
    <w:p>
      <w:pPr>
        <w:pStyle w:val="BlockText"/>
      </w:pPr>
      <w:r>
        <w:rPr>
          <w:b/>
          <w:bCs/>
        </w:rPr>
        <w:t xml:space="preserve">Contexto:</w:t>
      </w:r>
      <w:r>
        <w:t xml:space="preserve"> </w:t>
      </w:r>
      <w:r>
        <w:t xml:space="preserve">A regra de Hotelling prevê que proprietários racionais de recursos exauríveis administram a extração de forma a maximizar o valor presente dos royalties. Na prática, porém, muitos países ricos em petróleo experimentaram a chamada</w:t>
      </w:r>
      <w:r>
        <w:t xml:space="preserve"> </w:t>
      </w:r>
      <w:r>
        <w:t xml:space="preserve">“maldição dos recursos naturais”</w:t>
      </w:r>
      <w:r>
        <w:t xml:space="preserve"> </w:t>
      </w:r>
      <w:r>
        <w:t xml:space="preserve">(</w:t>
      </w:r>
      <w:r>
        <w:rPr>
          <w:i/>
          <w:iCs/>
        </w:rPr>
        <w:t xml:space="preserve">resource curse</w:t>
      </w:r>
      <w:r>
        <w:t xml:space="preserve">): crescimento econômico inferior ao esperado, deterioração institucional e volatilidade macroeconômica.</w:t>
      </w:r>
    </w:p>
    <w:p>
      <w:pPr>
        <w:pStyle w:val="BlockText"/>
      </w:pPr>
      <w:r>
        <w:rPr>
          <w:b/>
          <w:bCs/>
        </w:rPr>
        <w:t xml:space="preserve">Dados:</w:t>
      </w:r>
      <w:r>
        <w:t xml:space="preserve"> </w:t>
      </w:r>
      <w:r>
        <w:t xml:space="preserve">Sachs e Warner (2001) documentaram que países com alta dependência de exportações de recursos naturais cresceram, em média, mais lentamente entre 1970 e 1990 do que países com base exportadora diversificada. A Nigéria, apesar de ter exportado mais de US$ 600 bilhões em petróleo entre 1970 e 2020 (dados da OPEC), viu sua renda per capita estagnar. A Venezuela, com as maiores reservas provadas do mundo, entrou em colapso econômico a partir de 2014. Em contraste, a Noruega (Box 18.1) e o Botswana (diamantes) usaram seus recursos para financiar poupança e investimento em capital humano.</w:t>
      </w:r>
    </w:p>
    <w:p>
      <w:pPr>
        <w:pStyle w:val="BlockText"/>
      </w:pPr>
      <w:r>
        <w:rPr>
          <w:b/>
          <w:bCs/>
        </w:rPr>
        <w:t xml:space="preserve">Análise:</w:t>
      </w:r>
      <w:r>
        <w:t xml:space="preserve"> </w:t>
      </w:r>
      <w:r>
        <w:t xml:space="preserve">A divergência sugere que o problema não é a regra de Hotelling em si — que é uma condição de equilíbrio —, mas as instituições que mediam a decisão de extração. Em países com instituições fracas, os agentes políticos enfrentam uma taxa de desconto efetiva altíssima (governantes podem perder o poder a qualquer momento), incentivando extração acelerada e consumo imediato das receitas. A renda de escassez é dissipada em rent-seeking, corrupção e gastos correntes, em vez de ser convertida em capital produtivo ou fundos soberanos. A teoria de Hotelling, portanto, funciona melhor como benchmark normativo do que como descrição positiva.</w:t>
      </w:r>
    </w:p>
    <w:p>
      <w:pPr>
        <w:pStyle w:val="BlockText"/>
      </w:pPr>
      <w:r>
        <w:rPr>
          <w:b/>
          <w:bCs/>
        </w:rPr>
        <w:t xml:space="preserve">Para refletir:</w:t>
      </w:r>
      <w:r>
        <w:t xml:space="preserve"> </w:t>
      </w:r>
      <w:r>
        <w:t xml:space="preserve">O pré-sal brasileiro gera um dilema intertemporal análogo. Que mecanismos institucionais poderiam garantir que os royalties do pré-sal sejam convertidos em ativos produtivos, e não em gasto corrente?</w:t>
      </w:r>
    </w:p>
    <w:p>
      <w:pPr>
        <w:pStyle w:val="FirstParagraph"/>
      </w:pPr>
      <w:r>
        <w:t xml:space="preserve">[FIGURA INTERATIVA: /micro-book/graficos/cap18/desconto-exponencial-hiperbolico.html — versao interativa disponivel online]</w:t>
      </w:r>
    </w:p>
    <w:p>
      <w:pPr>
        <w:pStyle w:val="BodyText"/>
      </w:pPr>
      <w:r>
        <w:rPr>
          <w:b/>
          <w:bCs/>
        </w:rPr>
        <w:t xml:space="preserve">Figura 18.3 — Desconto exponencial vs quasi-hiperbólico.</w:t>
      </w:r>
      <w:r>
        <w:t xml:space="preserve"> </w:t>
      </w:r>
      <w:r>
        <w:t xml:space="preserve">O desconto exponencial padrão (</w:t>
      </w:r>
      <m:oMath>
        <m:sSup>
          <m:e>
            <m:r>
              <m:t>δ</m:t>
            </m:r>
          </m:e>
          <m:sup>
            <m:r>
              <m:t>t</m:t>
            </m:r>
          </m:sup>
        </m:sSup>
      </m:oMath>
      <w:r>
        <w:t xml:space="preserve">) trata todos os períodos igualmente, enquanto o modelo quasi-hiperbólico (</w:t>
      </w:r>
      <m:oMath>
        <m:r>
          <m:t>β</m:t>
        </m:r>
        <m:sSup>
          <m:e>
            <m:r>
              <m:t>δ</m:t>
            </m:r>
          </m:e>
          <m:sup>
            <m:r>
              <m:t>t</m:t>
            </m:r>
          </m:sup>
        </m:sSup>
      </m:oMath>
      <w:r>
        <w:t xml:space="preserve">) desconta o futuro próximo mais fortemente que o distante, gerando viés pelo presente e inconsistência temporal (Laibson, 1997).</w:t>
      </w:r>
    </w:p>
    <w:p>
      <w:pPr>
        <w:pStyle w:val="BodyText"/>
      </w:pPr>
      <w:r>
        <w:t xml:space="preserve">No gráfico abaixo, ajuste</w:t>
      </w:r>
      <w:r>
        <w:t xml:space="preserve"> </w:t>
      </w:r>
      <m:oMath>
        <m:r>
          <m:t>β</m:t>
        </m:r>
      </m:oMath>
      <w:r>
        <w:t xml:space="preserve"> </w:t>
      </w:r>
      <w:r>
        <w:t xml:space="preserve">e</w:t>
      </w:r>
      <w:r>
        <w:t xml:space="preserve"> </w:t>
      </w:r>
      <m:oMath>
        <m:r>
          <m:t>δ</m:t>
        </m:r>
      </m:oMath>
      <w:r>
        <w:t xml:space="preserve"> </w:t>
      </w:r>
      <w:r>
        <w:t xml:space="preserve">para visualizar a reversão de preferências: um agente que hoje prefere R$110 amanhã a R$100 hoje pode, quando amanhã chega, mudar de ideia — o viés do presente é a queda abrupta entre</w:t>
      </w:r>
      <w:r>
        <w:t xml:space="preserve"> </w:t>
      </w:r>
      <m:oMath>
        <m:r>
          <m:t>t</m:t>
        </m:r>
        <m:r>
          <m:rPr>
            <m:sty m:val="p"/>
          </m:rPr>
          <m:t>=</m:t>
        </m:r>
        <m:r>
          <m:t>0</m:t>
        </m:r>
      </m:oMath>
      <w:r>
        <w:t xml:space="preserve"> </w:t>
      </w:r>
      <w:r>
        <w:t xml:space="preserve">e</w:t>
      </w:r>
      <w:r>
        <w:t xml:space="preserve"> </w:t>
      </w:r>
      <m:oMath>
        <m:r>
          <m:t>t</m:t>
        </m:r>
        <m:r>
          <m:rPr>
            <m:sty m:val="p"/>
          </m:rPr>
          <m:t>=</m:t>
        </m:r>
        <m:r>
          <m:t>1</m:t>
        </m:r>
      </m:oMath>
      <w:r>
        <w:t xml:space="preserve">.</w:t>
      </w:r>
    </w:p>
    <w:p>
      <w:pPr>
        <w:pStyle w:val="BodyText"/>
      </w:pPr>
      <w:r>
        <w:t xml:space="preserve">[FIGURA INTERATIVA: /micro-book/graficos/cap18/desconto-hiperbolico.html — versao interativa disponivel online]</w:t>
      </w:r>
    </w:p>
    <w:p>
      <w:pPr>
        <w:pStyle w:val="BodyText"/>
      </w:pPr>
      <w:r>
        <w:rPr>
          <w:b/>
          <w:bCs/>
        </w:rPr>
        <w:t xml:space="preserve">Figura 18.3b — Viés do Presente.</w:t>
      </w:r>
      <w:r>
        <w:t xml:space="preserve"> </w:t>
      </w:r>
      <w:r>
        <w:t xml:space="preserve">A queda entre</w:t>
      </w:r>
      <w:r>
        <w:t xml:space="preserve"> </w:t>
      </w:r>
      <m:oMath>
        <m:r>
          <m:t>t</m:t>
        </m:r>
        <m:r>
          <m:rPr>
            <m:sty m:val="p"/>
          </m:rPr>
          <m:t>=</m:t>
        </m:r>
        <m:r>
          <m:t>0</m:t>
        </m:r>
      </m:oMath>
      <w:r>
        <w:t xml:space="preserve"> </w:t>
      </w:r>
      <w:r>
        <w:t xml:space="preserve">e</w:t>
      </w:r>
      <w:r>
        <w:t xml:space="preserve"> </w:t>
      </w:r>
      <m:oMath>
        <m:r>
          <m:t>t</m:t>
        </m:r>
        <m:r>
          <m:rPr>
            <m:sty m:val="p"/>
          </m:rPr>
          <m:t>=</m:t>
        </m:r>
        <m:r>
          <m:t>1</m:t>
        </m:r>
      </m:oMath>
      <w:r>
        <w:t xml:space="preserve"> </w:t>
      </w:r>
      <w:r>
        <w:t xml:space="preserve">(curva vermelha) é o viés do presente</w:t>
      </w:r>
      <w:r>
        <w:t xml:space="preserve"> </w:t>
      </w:r>
      <m:oMath>
        <m:r>
          <m:t>β</m:t>
        </m:r>
      </m:oMath>
      <w:r>
        <w:t xml:space="preserve">. Com</w:t>
      </w:r>
      <w:r>
        <w:t xml:space="preserve"> </w:t>
      </w:r>
      <m:oMath>
        <m:r>
          <m:t>β</m:t>
        </m:r>
        <m:r>
          <m:rPr>
            <m:sty m:val="p"/>
          </m:rPr>
          <m:t>=</m:t>
        </m:r>
        <m:r>
          <m:t>1</m:t>
        </m:r>
      </m:oMath>
      <w:r>
        <w:t xml:space="preserve">, as curvas coincidem (desconto exponencial puro). Com</w:t>
      </w:r>
      <w:r>
        <w:t xml:space="preserve"> </w:t>
      </w:r>
      <m:oMath>
        <m:r>
          <m:t>β</m:t>
        </m:r>
        <m:r>
          <m:rPr>
            <m:sty m:val="p"/>
          </m:rPr>
          <m:t>&lt;</m:t>
        </m:r>
        <m:r>
          <m:t>1</m:t>
        </m:r>
      </m:oMath>
      <w:r>
        <w:t xml:space="preserve">, o agente é impaciente no curto prazo mas paciente no longo — gerando inconsistência temporal.</w:t>
      </w:r>
    </w:p>
    <w:p>
      <w:r>
        <w:pict>
          <v:rect style="width:0;height:1.5pt" o:hralign="center" o:hrstd="t" o:hr="t"/>
        </w:pict>
      </w:r>
    </w:p>
    <w:p>
      <w:pPr>
        <w:pStyle w:val="FirstParagraph"/>
      </w:pPr>
      <w:r>
        <w:t xml:space="preserve">Começamos este capítulo com uma pergunta de supermercado — quanto custam os juros do parcelamento? — e terminamos com uma regra para extrair petróleo do fundo do oceano. O fio condutor é o mesmo: o tempo transforma escolhas simples em problemas de otimização, e a taxa de juros é o preço que conecta presente e futuro. No Brasil, onde esse preço é particularmente alto, as consequências se espalham por cada decisão de investimento, cada barril extraído, cada fábrica que não foi construída.</w:t>
      </w:r>
    </w:p>
    <w:p>
      <w:pPr>
        <w:pStyle w:val="BodyText"/>
      </w:pPr>
      <w:r>
        <w:rPr>
          <w:i/>
          <w:iCs/>
        </w:rPr>
        <w:t xml:space="preserve">O tempo cobra seu preço — em juros, em depreciação, em impaciência. No próximo capítulo, outra falha de mercado: quando uma das partes sabe mais que a outra.</w:t>
      </w:r>
    </w:p>
    <w:bookmarkEnd w:id="1160"/>
    <w:bookmarkEnd w:id="1161"/>
    <w:bookmarkEnd w:id="1162"/>
    <w:bookmarkStart w:id="1172" w:name="exercícios-capítulo-18"/>
    <w:p>
      <w:pPr>
        <w:pStyle w:val="Heading2"/>
      </w:pPr>
      <w:r>
        <w:t xml:space="preserve">Exercícios — Capítulo 18</w:t>
      </w:r>
    </w:p>
    <w:p>
      <w:pPr>
        <w:pStyle w:val="BlockText"/>
      </w:pPr>
      <w:r>
        <w:rPr>
          <w:b/>
          <w:bCs/>
        </w:rPr>
        <w:t xml:space="preserve">[DICA] Dados para exercicios empiricos</w:t>
      </w:r>
    </w:p>
    <w:p>
      <w:pPr>
        <w:pStyle w:val="Compact"/>
        <w:numPr>
          <w:ilvl w:val="0"/>
          <w:numId w:val="2005"/>
        </w:numPr>
      </w:pPr>
      <w:r>
        <w:rPr>
          <w:b/>
          <w:bCs/>
        </w:rPr>
        <w:t xml:space="preserve">BCB/SGS (taxa Selic):</w:t>
      </w:r>
      <w:r>
        <w:t xml:space="preserve"> </w:t>
      </w:r>
      <w:hyperlink r:id="rId1163">
        <w:r>
          <w:rPr>
            <w:rStyle w:val="Hyperlink"/>
          </w:rPr>
          <w:t xml:space="preserve">bcb.gov.br</w:t>
        </w:r>
      </w:hyperlink>
      <w:r>
        <w:t xml:space="preserve"> </w:t>
      </w:r>
      <w:r>
        <w:t xml:space="preserve">— Serie 432 (Selic acumulada) para calcular VPL de projetos a diferentes taxas de desconto e analisar o impacto dos juros altos sobre investimento de longa maturacao no Brasil.</w:t>
      </w:r>
    </w:p>
    <w:p>
      <w:pPr>
        <w:pStyle w:val="Compact"/>
        <w:numPr>
          <w:ilvl w:val="0"/>
          <w:numId w:val="2005"/>
        </w:numPr>
      </w:pPr>
      <w:r>
        <w:rPr>
          <w:b/>
          <w:bCs/>
        </w:rPr>
        <w:t xml:space="preserve">ANP (petroleo e gas):</w:t>
      </w:r>
      <w:r>
        <w:t xml:space="preserve"> </w:t>
      </w:r>
      <w:hyperlink r:id="rId1164">
        <w:r>
          <w:rPr>
            <w:rStyle w:val="Hyperlink"/>
          </w:rPr>
          <w:t xml:space="preserve">gov.br/anp</w:t>
        </w:r>
      </w:hyperlink>
      <w:r>
        <w:t xml:space="preserve"> </w:t>
      </w:r>
      <w:r>
        <w:t xml:space="preserve">— Dados de producao e reservas de petroleo para testar a regra de Hotelling: o preco do petroleo cresce a taxa de juros?</w:t>
      </w:r>
    </w:p>
    <w:p>
      <w:pPr>
        <w:pStyle w:val="Compact"/>
        <w:numPr>
          <w:ilvl w:val="0"/>
          <w:numId w:val="2005"/>
        </w:numPr>
      </w:pPr>
      <w:r>
        <w:rPr>
          <w:b/>
          <w:bCs/>
        </w:rPr>
        <w:t xml:space="preserve">IPEA (taxa de juros real):</w:t>
      </w:r>
      <w:r>
        <w:t xml:space="preserve"> </w:t>
      </w:r>
      <w:hyperlink r:id="rId270">
        <w:r>
          <w:rPr>
            <w:rStyle w:val="Hyperlink"/>
          </w:rPr>
          <w:t xml:space="preserve">ipeadata.gov.br</w:t>
        </w:r>
      </w:hyperlink>
      <w:r>
        <w:t xml:space="preserve"> </w:t>
      </w:r>
      <w:r>
        <w:t xml:space="preserve">— Series de juros reais para comparar VPL de projetos no Brasil vs. paises com juros baixos.</w:t>
      </w:r>
    </w:p>
    <w:p>
      <w:pPr>
        <w:pStyle w:val="Compact"/>
        <w:numPr>
          <w:ilvl w:val="0"/>
          <w:numId w:val="2005"/>
        </w:numPr>
      </w:pPr>
      <w:r>
        <w:rPr>
          <w:b/>
          <w:bCs/>
        </w:rPr>
        <w:t xml:space="preserve">Notebook:</w:t>
      </w:r>
      <w:r>
        <w:t xml:space="preserve"> </w:t>
      </w:r>
      <w:r>
        <w:t xml:space="preserve">N15 — Desconto intertemporal (exponencial vs. quasi-hiperbolico).</w:t>
      </w:r>
    </w:p>
    <w:bookmarkStart w:id="1165" w:name="revisão-rápida-18"/>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O Valor Presente Líquido (VPL) de um projeto de investimento é negativo quando:</w:t>
      </w:r>
    </w:p>
    <w:p>
      <w:pPr>
        <w:pStyle w:val="Compact"/>
        <w:numPr>
          <w:ilvl w:val="0"/>
          <w:numId w:val="2006"/>
        </w:numPr>
      </w:pPr>
    </w:p>
    <w:p>
      <w:pPr>
        <w:pStyle w:val="Compact"/>
        <w:numPr>
          <w:ilvl w:val="1"/>
          <w:numId w:val="2007"/>
        </w:numPr>
      </w:pPr>
      <w:r>
        <w:t xml:space="preserve">O projeto gera fluxos de caixa positivos em todos os períodos</w:t>
      </w:r>
    </w:p>
    <w:p>
      <w:pPr>
        <w:pStyle w:val="Compact"/>
        <w:numPr>
          <w:ilvl w:val="0"/>
          <w:numId w:val="2006"/>
        </w:numPr>
      </w:pPr>
    </w:p>
    <w:p>
      <w:pPr>
        <w:pStyle w:val="Compact"/>
        <w:numPr>
          <w:ilvl w:val="1"/>
          <w:numId w:val="2008"/>
        </w:numPr>
      </w:pPr>
      <w:r>
        <w:t xml:space="preserve">A soma dos fluxos de caixa futuros descontados à taxa de juros é menor que o investimento inicial</w:t>
      </w:r>
    </w:p>
    <w:p>
      <w:pPr>
        <w:pStyle w:val="Compact"/>
        <w:numPr>
          <w:ilvl w:val="0"/>
          <w:numId w:val="2006"/>
        </w:numPr>
      </w:pPr>
    </w:p>
    <w:p>
      <w:pPr>
        <w:pStyle w:val="Compact"/>
        <w:numPr>
          <w:ilvl w:val="1"/>
          <w:numId w:val="2009"/>
        </w:numPr>
      </w:pPr>
      <w:r>
        <w:t xml:space="preserve">A taxa de juros é zero</w:t>
      </w:r>
    </w:p>
    <w:p>
      <w:pPr>
        <w:pStyle w:val="Compact"/>
        <w:numPr>
          <w:ilvl w:val="0"/>
          <w:numId w:val="2006"/>
        </w:numPr>
      </w:pPr>
    </w:p>
    <w:p>
      <w:pPr>
        <w:pStyle w:val="Compact"/>
        <w:numPr>
          <w:ilvl w:val="1"/>
          <w:numId w:val="2010"/>
        </w:numPr>
      </w:pPr>
      <w:r>
        <w:t xml:space="preserve">O projeto tem horizonte infinito</w:t>
      </w:r>
    </w:p>
    <w:p>
      <w:pPr>
        <w:pStyle w:val="BlockText"/>
      </w:pPr>
      <w:r>
        <w:t xml:space="preserve">??? success</w:t>
      </w:r>
      <w:r>
        <w:t xml:space="preserve"> </w:t>
      </w:r>
      <w:r>
        <w:t xml:space="preserve">“Resposta”</w:t>
      </w:r>
      <w:r>
        <w:t xml:space="preserve"> </w:t>
      </w:r>
      <w:r>
        <w:rPr>
          <w:b/>
          <w:bCs/>
        </w:rPr>
        <w:t xml:space="preserve">(b)</w:t>
      </w:r>
      <w:r>
        <w:t xml:space="preserve"> </w:t>
      </w:r>
      <w:r>
        <w:t xml:space="preserve">O VPL é</w:t>
      </w:r>
      <w:r>
        <w:t xml:space="preserve"> </w:t>
      </w:r>
      <m:oMath>
        <m:nary>
          <m:naryPr>
            <m:chr m:val="∑"/>
            <m:limLoc m:val="undOvr"/>
            <m:subHide m:val="off"/>
            <m:supHide m:val="off"/>
          </m:naryPr>
          <m:sub>
            <m:r>
              <m:t>t</m:t>
            </m:r>
            <m:r>
              <m:rPr>
                <m:sty m:val="p"/>
              </m:rPr>
              <m:t>=</m:t>
            </m:r>
            <m:r>
              <m:t>0</m:t>
            </m:r>
          </m:sub>
          <m:sup>
            <m:r>
              <m:t>T</m:t>
            </m:r>
          </m:sup>
          <m:e>
            <m:f>
              <m:fPr>
                <m:type m:val="bar"/>
              </m:fPr>
              <m:num>
                <m:r>
                  <m:t>F</m:t>
                </m:r>
                <m:sSub>
                  <m:e>
                    <m:r>
                      <m:t>C</m:t>
                    </m:r>
                  </m:e>
                  <m:sub>
                    <m:r>
                      <m:t>t</m:t>
                    </m:r>
                  </m:sub>
                </m:sSub>
              </m:num>
              <m:den>
                <m:r>
                  <m:rPr>
                    <m:sty m:val="p"/>
                  </m:rPr>
                  <m:t>(</m:t>
                </m:r>
                <m:r>
                  <m:t>1</m:t>
                </m:r>
                <m:r>
                  <m:rPr>
                    <m:sty m:val="p"/>
                  </m:rPr>
                  <m:t>+</m:t>
                </m:r>
                <m:r>
                  <m:t>r</m:t>
                </m:r>
                <m:sSup>
                  <m:e>
                    <m:r>
                      <m:rPr>
                        <m:sty m:val="p"/>
                      </m:rPr>
                      <m:t>)</m:t>
                    </m:r>
                  </m:e>
                  <m:sup>
                    <m:r>
                      <m:t>t</m:t>
                    </m:r>
                  </m:sup>
                </m:sSup>
              </m:den>
            </m:f>
          </m:e>
        </m:nary>
      </m:oMath>
      <w:r>
        <w:t xml:space="preserve">. Se esse valor é negativo, o custo inicial supera o valor presente dos benefícios futuros — o projeto destrói valor à taxa de desconto</w:t>
      </w:r>
      <w:r>
        <w:t xml:space="preserve"> </w:t>
      </w:r>
      <m:oMath>
        <m:r>
          <m:t>r</m:t>
        </m:r>
      </m:oMath>
      <w:r>
        <w:t xml:space="preserve">. A alternativa (a) não garante VPL positivo se os fluxos forem pequenos; (c) tornaria o VPL igual à soma simples dos fluxos; (d) não determina o sinal.</w:t>
      </w:r>
    </w:p>
    <w:p>
      <w:pPr>
        <w:pStyle w:val="BlockText"/>
      </w:pPr>
      <w:r>
        <w:rPr>
          <w:b/>
          <w:bCs/>
        </w:rPr>
        <w:t xml:space="preserve">[QUESTAO] 2. A Taxa Interna de Retorno (TIR) é a taxa de desconto que:</w:t>
      </w:r>
    </w:p>
    <w:p>
      <w:pPr>
        <w:pStyle w:val="Compact"/>
        <w:numPr>
          <w:ilvl w:val="0"/>
          <w:numId w:val="2011"/>
        </w:numPr>
      </w:pPr>
    </w:p>
    <w:p>
      <w:pPr>
        <w:pStyle w:val="Compact"/>
        <w:numPr>
          <w:ilvl w:val="1"/>
          <w:numId w:val="2012"/>
        </w:numPr>
      </w:pPr>
      <w:r>
        <w:t xml:space="preserve">Maximiza o VPL do projeto</w:t>
      </w:r>
    </w:p>
    <w:p>
      <w:pPr>
        <w:pStyle w:val="Compact"/>
        <w:numPr>
          <w:ilvl w:val="0"/>
          <w:numId w:val="2011"/>
        </w:numPr>
      </w:pPr>
    </w:p>
    <w:p>
      <w:pPr>
        <w:pStyle w:val="Compact"/>
        <w:numPr>
          <w:ilvl w:val="1"/>
          <w:numId w:val="2013"/>
        </w:numPr>
      </w:pPr>
      <w:r>
        <w:t xml:space="preserve">Torna o VPL igual a zero</w:t>
      </w:r>
    </w:p>
    <w:p>
      <w:pPr>
        <w:pStyle w:val="Compact"/>
        <w:numPr>
          <w:ilvl w:val="0"/>
          <w:numId w:val="2011"/>
        </w:numPr>
      </w:pPr>
    </w:p>
    <w:p>
      <w:pPr>
        <w:pStyle w:val="Compact"/>
        <w:numPr>
          <w:ilvl w:val="1"/>
          <w:numId w:val="2014"/>
        </w:numPr>
      </w:pPr>
      <w:r>
        <w:t xml:space="preserve">Iguala a taxa de juros de mercado</w:t>
      </w:r>
    </w:p>
    <w:p>
      <w:pPr>
        <w:pStyle w:val="Compact"/>
        <w:numPr>
          <w:ilvl w:val="0"/>
          <w:numId w:val="2011"/>
        </w:numPr>
      </w:pPr>
    </w:p>
    <w:p>
      <w:pPr>
        <w:pStyle w:val="Compact"/>
        <w:numPr>
          <w:ilvl w:val="1"/>
          <w:numId w:val="2015"/>
        </w:numPr>
      </w:pPr>
      <w:r>
        <w:t xml:space="preserve">Minimiza o risco do investimento</w:t>
      </w:r>
    </w:p>
    <w:p>
      <w:pPr>
        <w:pStyle w:val="BlockText"/>
      </w:pPr>
      <w:r>
        <w:t xml:space="preserve">??? success</w:t>
      </w:r>
      <w:r>
        <w:t xml:space="preserve"> </w:t>
      </w:r>
      <w:r>
        <w:t xml:space="preserve">“Resposta”</w:t>
      </w:r>
      <w:r>
        <w:t xml:space="preserve"> </w:t>
      </w:r>
      <w:r>
        <w:rPr>
          <w:b/>
          <w:bCs/>
        </w:rPr>
        <w:t xml:space="preserve">(b)</w:t>
      </w:r>
      <w:r>
        <w:t xml:space="preserve"> </w:t>
      </w:r>
      <w:r>
        <w:t xml:space="preserve">A TIR é definida como a taxa</w:t>
      </w:r>
      <w:r>
        <w:t xml:space="preserve"> </w:t>
      </w:r>
      <m:oMath>
        <m:sSup>
          <m:e>
            <m:r>
              <m:t>r</m:t>
            </m:r>
          </m:e>
          <m:sup>
            <m:r>
              <m:rPr>
                <m:sty m:val="p"/>
              </m:rPr>
              <m:t>*</m:t>
            </m:r>
          </m:sup>
        </m:sSup>
      </m:oMath>
      <w:r>
        <w:t xml:space="preserve"> </w:t>
      </w:r>
      <w:r>
        <w:t xml:space="preserve">tal que</w:t>
      </w:r>
      <w:r>
        <w:t xml:space="preserve"> </w:t>
      </w:r>
      <m:oMath>
        <m:r>
          <m:rPr>
            <m:nor/>
            <m:sty m:val="p"/>
          </m:rPr>
          <m:t>VPL</m:t>
        </m:r>
        <m:r>
          <m:rPr>
            <m:sty m:val="p"/>
          </m:rPr>
          <m:t>(</m:t>
        </m:r>
        <m:sSup>
          <m:e>
            <m:r>
              <m:t>r</m:t>
            </m:r>
          </m:e>
          <m:sup>
            <m:r>
              <m:rPr>
                <m:sty m:val="p"/>
              </m:rPr>
              <m:t>*</m:t>
            </m:r>
          </m:sup>
        </m:sSup>
        <m:r>
          <m:rPr>
            <m:sty m:val="p"/>
          </m:rPr>
          <m:t>)</m:t>
        </m:r>
        <m:r>
          <m:rPr>
            <m:sty m:val="p"/>
          </m:rPr>
          <m:t>=</m:t>
        </m:r>
        <m:r>
          <m:t>0</m:t>
        </m:r>
      </m:oMath>
      <w:r>
        <w:t xml:space="preserve">. Se a TIR excede o custo de capital, o projeto é viável. A alternativa (a) confunde — o VPL é maximizado quando</w:t>
      </w:r>
      <w:r>
        <w:t xml:space="preserve"> </w:t>
      </w:r>
      <m:oMath>
        <m:r>
          <m:t>r</m:t>
        </m:r>
        <m:r>
          <m:rPr>
            <m:sty m:val="p"/>
          </m:rPr>
          <m:t>=</m:t>
        </m:r>
        <m:r>
          <m:t>0</m:t>
        </m:r>
      </m:oMath>
      <w:r>
        <w:t xml:space="preserve">; (c) descreve o critério de decisão, não a definição; (d) não tem relação com a TIR.</w:t>
      </w:r>
    </w:p>
    <w:p>
      <w:pPr>
        <w:pStyle w:val="BlockText"/>
      </w:pPr>
      <w:r>
        <w:rPr>
          <w:b/>
          <w:bCs/>
        </w:rPr>
        <w:t xml:space="preserve">[QUESTAO] 3. A regra de Hotelling para recursos não renováveis afirma que, em equilíbrio:</w:t>
      </w:r>
    </w:p>
    <w:p>
      <w:pPr>
        <w:pStyle w:val="Compact"/>
        <w:numPr>
          <w:ilvl w:val="0"/>
          <w:numId w:val="2016"/>
        </w:numPr>
      </w:pPr>
    </w:p>
    <w:p>
      <w:pPr>
        <w:pStyle w:val="Compact"/>
        <w:numPr>
          <w:ilvl w:val="1"/>
          <w:numId w:val="2017"/>
        </w:numPr>
      </w:pPr>
      <w:r>
        <w:t xml:space="preserve">O preço do recurso deve cair ao longo do tempo para estimular o consumo</w:t>
      </w:r>
    </w:p>
    <w:p>
      <w:pPr>
        <w:pStyle w:val="Compact"/>
        <w:numPr>
          <w:ilvl w:val="0"/>
          <w:numId w:val="2016"/>
        </w:numPr>
      </w:pPr>
    </w:p>
    <w:p>
      <w:pPr>
        <w:pStyle w:val="Compact"/>
        <w:numPr>
          <w:ilvl w:val="1"/>
          <w:numId w:val="2018"/>
        </w:numPr>
      </w:pPr>
      <w:r>
        <w:t xml:space="preserve">A renda do recurso (preço menos custo de extração) deve crescer à taxa de juros</w:t>
      </w:r>
    </w:p>
    <w:p>
      <w:pPr>
        <w:pStyle w:val="Compact"/>
        <w:numPr>
          <w:ilvl w:val="0"/>
          <w:numId w:val="2016"/>
        </w:numPr>
      </w:pPr>
    </w:p>
    <w:p>
      <w:pPr>
        <w:pStyle w:val="Compact"/>
        <w:numPr>
          <w:ilvl w:val="1"/>
          <w:numId w:val="2019"/>
        </w:numPr>
      </w:pPr>
      <w:r>
        <w:t xml:space="preserve">O recurso deve ser extraído o mais rápido possível</w:t>
      </w:r>
    </w:p>
    <w:p>
      <w:pPr>
        <w:pStyle w:val="Compact"/>
        <w:numPr>
          <w:ilvl w:val="0"/>
          <w:numId w:val="2016"/>
        </w:numPr>
      </w:pPr>
    </w:p>
    <w:p>
      <w:pPr>
        <w:pStyle w:val="Compact"/>
        <w:numPr>
          <w:ilvl w:val="1"/>
          <w:numId w:val="2020"/>
        </w:numPr>
      </w:pPr>
      <w:r>
        <w:t xml:space="preserve">O preço é determinado exclusivamente pelo custo de extração</w:t>
      </w:r>
    </w:p>
    <w:p>
      <w:pPr>
        <w:pStyle w:val="BlockText"/>
      </w:pPr>
      <w:r>
        <w:t xml:space="preserve">??? success</w:t>
      </w:r>
      <w:r>
        <w:t xml:space="preserve"> </w:t>
      </w:r>
      <w:r>
        <w:t xml:space="preserve">“Resposta”</w:t>
      </w:r>
      <w:r>
        <w:t xml:space="preserve"> </w:t>
      </w:r>
      <w:r>
        <w:rPr>
          <w:b/>
          <w:bCs/>
        </w:rPr>
        <w:t xml:space="preserve">(b)</w:t>
      </w:r>
      <w:r>
        <w:t xml:space="preserve"> </w:t>
      </w:r>
      <w:r>
        <w:t xml:space="preserve">A regra de Hotelling é a condição de arbitragem intertemporal: o proprietário deve ser indiferente entre extrair hoje e investir a receita ou esperar e extrair amanhã. Isso exige que a renda líquida do recurso cresça à taxa de juros. Se crescesse mais rápido, valeria esperar; se mais devagar, extrair tudo hoje. A alternativa (c) seria racional apenas se a renda nunca crescesse.</w:t>
      </w:r>
    </w:p>
    <w:p>
      <w:pPr>
        <w:pStyle w:val="BlockText"/>
      </w:pPr>
      <w:r>
        <w:rPr>
          <w:b/>
          <w:bCs/>
        </w:rPr>
        <w:t xml:space="preserve">[QUESTAO] 4. Um agente com desconto exponencial e fator</w:t>
      </w:r>
      <w:r>
        <w:rPr>
          <w:b/>
          <w:bCs/>
        </w:rPr>
        <w:t xml:space="preserve"> </w:t>
      </w:r>
      <w:r>
        <w:rPr>
          <w:b/>
          <w:bCs/>
        </w:rPr>
        <w:t xml:space="preserve">$\\delta = 0{,}95$</w:t>
      </w:r>
      <w:r>
        <w:rPr>
          <w:b/>
          <w:bCs/>
        </w:rPr>
        <w:t xml:space="preserve"> </w:t>
      </w:r>
      <w:r>
        <w:rPr>
          <w:b/>
          <w:bCs/>
        </w:rPr>
        <w:t xml:space="preserve">por período valoriza R\$100 daqui a 2 períodos como:</w:t>
      </w:r>
    </w:p>
    <w:p>
      <w:pPr>
        <w:pStyle w:val="Compact"/>
        <w:numPr>
          <w:ilvl w:val="0"/>
          <w:numId w:val="2021"/>
        </w:numPr>
      </w:pPr>
    </w:p>
    <w:p>
      <w:pPr>
        <w:pStyle w:val="Compact"/>
        <w:numPr>
          <w:ilvl w:val="1"/>
          <w:numId w:val="2022"/>
        </w:numPr>
      </w:pPr>
      <w:r>
        <w:t xml:space="preserve">R$100,00</w:t>
      </w:r>
    </w:p>
    <w:p>
      <w:pPr>
        <w:pStyle w:val="Compact"/>
        <w:numPr>
          <w:ilvl w:val="0"/>
          <w:numId w:val="2021"/>
        </w:numPr>
      </w:pPr>
    </w:p>
    <w:p>
      <w:pPr>
        <w:pStyle w:val="Compact"/>
        <w:numPr>
          <w:ilvl w:val="1"/>
          <w:numId w:val="2023"/>
        </w:numPr>
      </w:pPr>
      <w:r>
        <w:t xml:space="preserve">R$95,00</w:t>
      </w:r>
    </w:p>
    <w:p>
      <w:pPr>
        <w:pStyle w:val="Compact"/>
        <w:numPr>
          <w:ilvl w:val="0"/>
          <w:numId w:val="2021"/>
        </w:numPr>
      </w:pPr>
    </w:p>
    <w:p>
      <w:pPr>
        <w:pStyle w:val="Compact"/>
        <w:numPr>
          <w:ilvl w:val="1"/>
          <w:numId w:val="2024"/>
        </w:numPr>
      </w:pPr>
      <w:r>
        <w:t xml:space="preserve">R$90,25</w:t>
      </w:r>
    </w:p>
    <w:p>
      <w:pPr>
        <w:pStyle w:val="Compact"/>
        <w:numPr>
          <w:ilvl w:val="0"/>
          <w:numId w:val="2021"/>
        </w:numPr>
      </w:pPr>
    </w:p>
    <w:p>
      <w:pPr>
        <w:pStyle w:val="Compact"/>
        <w:numPr>
          <w:ilvl w:val="1"/>
          <w:numId w:val="2025"/>
        </w:numPr>
      </w:pPr>
      <w:r>
        <w:t xml:space="preserve">R$85,00</w:t>
      </w:r>
    </w:p>
    <w:p>
      <w:pPr>
        <w:pStyle w:val="BlockText"/>
      </w:pPr>
      <w:r>
        <w:t xml:space="preserve">??? success</w:t>
      </w:r>
      <w:r>
        <w:t xml:space="preserve"> </w:t>
      </w:r>
      <w:r>
        <w:t xml:space="preserve">“Resposta”</w:t>
      </w:r>
      <w:r>
        <w:t xml:space="preserve"> </w:t>
      </w:r>
      <w:r>
        <w:rPr>
          <w:b/>
          <w:bCs/>
        </w:rPr>
        <w:t xml:space="preserve">(c)</w:t>
      </w:r>
      <w:r>
        <w:t xml:space="preserve"> </w:t>
      </w:r>
      <w:r>
        <w:t xml:space="preserve">Com desconto exponencial, o valor presente de</w:t>
      </w:r>
      <w:r>
        <w:t xml:space="preserve"> </w:t>
      </w:r>
      <m:oMath>
        <m:r>
          <m:t>X</m:t>
        </m:r>
      </m:oMath>
      <w:r>
        <w:t xml:space="preserve"> </w:t>
      </w:r>
      <w:r>
        <w:t xml:space="preserve">em</w:t>
      </w:r>
      <w:r>
        <w:t xml:space="preserve"> </w:t>
      </w:r>
      <m:oMath>
        <m:r>
          <m:t>t</m:t>
        </m:r>
      </m:oMath>
      <w:r>
        <w:t xml:space="preserve"> </w:t>
      </w:r>
      <w:r>
        <w:t xml:space="preserve">períodos é</w:t>
      </w:r>
      <w:r>
        <w:t xml:space="preserve"> </w:t>
      </w:r>
      <m:oMath>
        <m:sSup>
          <m:e>
            <m:r>
              <m:t>δ</m:t>
            </m:r>
          </m:e>
          <m:sup>
            <m:r>
              <m:t>t</m:t>
            </m:r>
          </m:sup>
        </m:sSup>
        <m:r>
          <m:rPr>
            <m:sty m:val="p"/>
          </m:rPr>
          <m:t>⋅</m:t>
        </m:r>
        <m:r>
          <m:t>X</m:t>
        </m:r>
        <m:r>
          <m:rPr>
            <m:sty m:val="p"/>
          </m:rPr>
          <m:t>=</m:t>
        </m:r>
        <m:r>
          <m:rPr>
            <m:sty m:val="p"/>
          </m:rPr>
          <m:t>(</m:t>
        </m:r>
        <m:r>
          <m:t>0</m:t>
        </m:r>
        <m:r>
          <m:rPr>
            <m:sty m:val="p"/>
          </m:rPr>
          <m:t>,</m:t>
        </m:r>
        <m:r>
          <m:t>95</m:t>
        </m:r>
        <m:sSup>
          <m:e>
            <m:r>
              <m:rPr>
                <m:sty m:val="p"/>
              </m:rPr>
              <m:t>)</m:t>
            </m:r>
          </m:e>
          <m:sup>
            <m:r>
              <m:t>2</m:t>
            </m:r>
          </m:sup>
        </m:sSup>
        <m:r>
          <m:rPr>
            <m:sty m:val="p"/>
          </m:rPr>
          <m:t>×</m:t>
        </m:r>
        <m:r>
          <m:t>100</m:t>
        </m:r>
        <m:r>
          <m:rPr>
            <m:sty m:val="p"/>
          </m:rPr>
          <m:t>=</m:t>
        </m:r>
        <m:r>
          <m:t>0</m:t>
        </m:r>
        <m:r>
          <m:rPr>
            <m:sty m:val="p"/>
          </m:rPr>
          <m:t>,</m:t>
        </m:r>
        <m:r>
          <m:t>9025</m:t>
        </m:r>
        <m:r>
          <m:rPr>
            <m:sty m:val="p"/>
          </m:rPr>
          <m:t>×</m:t>
        </m:r>
        <m:r>
          <m:t>100</m:t>
        </m:r>
        <m:r>
          <m:rPr>
            <m:sty m:val="p"/>
          </m:rPr>
          <m:t>=</m:t>
        </m:r>
        <m:r>
          <m:t>90</m:t>
        </m:r>
        <m:r>
          <m:rPr>
            <m:sty m:val="p"/>
          </m:rPr>
          <m:t>,</m:t>
        </m:r>
        <m:r>
          <m:t>25</m:t>
        </m:r>
      </m:oMath>
      <w:r>
        <w:t xml:space="preserve">. A alternativa (b) desconta apenas um período; (d) aplica taxa incorreta; (a) ignora o desconto.</w:t>
      </w:r>
    </w:p>
    <w:p>
      <w:pPr>
        <w:pStyle w:val="BlockText"/>
      </w:pPr>
      <w:r>
        <w:rPr>
          <w:b/>
          <w:bCs/>
        </w:rPr>
        <w:t xml:space="preserve">[QUESTAO] 5. A equação de Fisher</w:t>
      </w:r>
      <w:r>
        <w:rPr>
          <w:b/>
          <w:bCs/>
        </w:rPr>
        <w:t xml:space="preserve"> </w:t>
      </w:r>
      <w:r>
        <w:rPr>
          <w:b/>
          <w:bCs/>
        </w:rPr>
        <w:t xml:space="preserve">$(1+i) = (1+r)(1+\\pi)$</w:t>
      </w:r>
      <w:r>
        <w:rPr>
          <w:b/>
          <w:bCs/>
        </w:rPr>
        <w:t xml:space="preserve"> </w:t>
      </w:r>
      <w:r>
        <w:rPr>
          <w:b/>
          <w:bCs/>
        </w:rPr>
        <w:t xml:space="preserve">relaciona taxa nominal</w:t>
      </w:r>
      <w:r>
        <w:rPr>
          <w:b/>
          <w:bCs/>
        </w:rPr>
        <w:t xml:space="preserve"> </w:t>
      </w:r>
      <m:oMath>
        <m:r>
          <m:t>i</m:t>
        </m:r>
      </m:oMath>
      <w:r>
        <w:rPr>
          <w:b/>
          <w:bCs/>
        </w:rPr>
        <w:t xml:space="preserve">, taxa real</w:t>
      </w:r>
      <w:r>
        <w:rPr>
          <w:b/>
          <w:bCs/>
        </w:rPr>
        <w:t xml:space="preserve"> </w:t>
      </w:r>
      <m:oMath>
        <m:r>
          <m:t>r</m:t>
        </m:r>
      </m:oMath>
      <w:r>
        <w:rPr>
          <w:b/>
          <w:bCs/>
        </w:rPr>
        <w:t xml:space="preserve"> </w:t>
      </w:r>
      <w:r>
        <w:rPr>
          <w:b/>
          <w:bCs/>
        </w:rPr>
        <w:t xml:space="preserve">e inflação</w:t>
      </w:r>
      <w:r>
        <w:rPr>
          <w:b/>
          <w:bCs/>
        </w:rPr>
        <w:t xml:space="preserve"> </w:t>
      </w:r>
      <w:r>
        <w:rPr>
          <w:b/>
          <w:bCs/>
        </w:rPr>
        <w:t xml:space="preserve">$\\pi$</w:t>
      </w:r>
      <w:r>
        <w:rPr>
          <w:b/>
          <w:bCs/>
        </w:rPr>
        <w:t xml:space="preserve">. Se</w:t>
      </w:r>
      <w:r>
        <w:rPr>
          <w:b/>
          <w:bCs/>
        </w:rPr>
        <w:t xml:space="preserve"> </w:t>
      </w:r>
      <w:r>
        <w:rPr>
          <w:b/>
          <w:bCs/>
        </w:rPr>
        <w:t xml:space="preserve">$i = 10\\%$</w:t>
      </w:r>
      <w:r>
        <w:rPr>
          <w:b/>
          <w:bCs/>
        </w:rPr>
        <w:t xml:space="preserve"> </w:t>
      </w:r>
      <w:r>
        <w:rPr>
          <w:b/>
          <w:bCs/>
        </w:rPr>
        <w:t xml:space="preserve">e</w:t>
      </w:r>
      <w:r>
        <w:rPr>
          <w:b/>
          <w:bCs/>
        </w:rPr>
        <w:t xml:space="preserve"> </w:t>
      </w:r>
      <w:r>
        <w:rPr>
          <w:b/>
          <w:bCs/>
        </w:rPr>
        <w:t xml:space="preserve">$\\pi = 4\\%$</w:t>
      </w:r>
      <w:r>
        <w:rPr>
          <w:b/>
          <w:bCs/>
        </w:rPr>
        <w:t xml:space="preserve">, a taxa real aproximada é:</w:t>
      </w:r>
    </w:p>
    <w:p>
      <w:pPr>
        <w:pStyle w:val="Compact"/>
        <w:numPr>
          <w:ilvl w:val="0"/>
          <w:numId w:val="2026"/>
        </w:numPr>
      </w:pPr>
    </w:p>
    <w:p>
      <w:pPr>
        <w:pStyle w:val="Compact"/>
        <w:numPr>
          <w:ilvl w:val="1"/>
          <w:numId w:val="2027"/>
        </w:numPr>
      </w:pPr>
      <w:r>
        <w:t xml:space="preserve">14%</w:t>
      </w:r>
    </w:p>
    <w:p>
      <w:pPr>
        <w:pStyle w:val="Compact"/>
        <w:numPr>
          <w:ilvl w:val="0"/>
          <w:numId w:val="2026"/>
        </w:numPr>
      </w:pPr>
    </w:p>
    <w:p>
      <w:pPr>
        <w:pStyle w:val="Compact"/>
        <w:numPr>
          <w:ilvl w:val="1"/>
          <w:numId w:val="2028"/>
        </w:numPr>
      </w:pPr>
      <w:r>
        <w:t xml:space="preserve">6%</w:t>
      </w:r>
    </w:p>
    <w:p>
      <w:pPr>
        <w:pStyle w:val="Compact"/>
        <w:numPr>
          <w:ilvl w:val="0"/>
          <w:numId w:val="2026"/>
        </w:numPr>
      </w:pPr>
    </w:p>
    <w:p>
      <w:pPr>
        <w:pStyle w:val="Compact"/>
        <w:numPr>
          <w:ilvl w:val="1"/>
          <w:numId w:val="2029"/>
        </w:numPr>
      </w:pPr>
      <w:r>
        <w:t xml:space="preserve">10%</w:t>
      </w:r>
    </w:p>
    <w:p>
      <w:pPr>
        <w:pStyle w:val="Compact"/>
        <w:numPr>
          <w:ilvl w:val="0"/>
          <w:numId w:val="2026"/>
        </w:numPr>
      </w:pPr>
    </w:p>
    <w:p>
      <w:pPr>
        <w:pStyle w:val="Compact"/>
        <w:numPr>
          <w:ilvl w:val="1"/>
          <w:numId w:val="2030"/>
        </w:numPr>
      </w:pPr>
      <w:r>
        <w:t xml:space="preserve">4%</w:t>
      </w:r>
    </w:p>
    <w:p>
      <w:pPr>
        <w:pStyle w:val="BlockText"/>
      </w:pPr>
      <w:r>
        <w:t xml:space="preserve">??? success</w:t>
      </w:r>
      <w:r>
        <w:t xml:space="preserve"> </w:t>
      </w:r>
      <w:r>
        <w:t xml:space="preserve">“Resposta”</w:t>
      </w:r>
      <w:r>
        <w:t xml:space="preserve"> </w:t>
      </w:r>
      <w:r>
        <w:rPr>
          <w:b/>
          <w:bCs/>
        </w:rPr>
        <w:t xml:space="preserve">(b)</w:t>
      </w:r>
      <w:r>
        <w:t xml:space="preserve"> </w:t>
      </w:r>
      <w:r>
        <w:t xml:space="preserve">Pela aproximação de Fisher,</w:t>
      </w:r>
      <w:r>
        <w:t xml:space="preserve"> </w:t>
      </w:r>
      <m:oMath>
        <m:r>
          <m:t>r</m:t>
        </m:r>
        <m:r>
          <m:rPr>
            <m:sty m:val="p"/>
          </m:rPr>
          <m:t>≈</m:t>
        </m:r>
        <m:r>
          <m:t>i</m:t>
        </m:r>
        <m:r>
          <m:rPr>
            <m:sty m:val="p"/>
          </m:rPr>
          <m:t>−</m:t>
        </m:r>
        <m:r>
          <m:t>π</m:t>
        </m:r>
        <m:r>
          <m:rPr>
            <m:sty m:val="p"/>
          </m:rPr>
          <m:t>=</m:t>
        </m:r>
        <m:r>
          <m:t>10</m:t>
        </m:r>
        <m:r>
          <m:rPr>
            <m:sty m:val="p"/>
          </m:rPr>
          <m:t>%</m:t>
        </m:r>
        <m:r>
          <m:rPr>
            <m:sty m:val="p"/>
          </m:rPr>
          <m:t>−</m:t>
        </m:r>
        <m:r>
          <m:t>4</m:t>
        </m:r>
        <m:r>
          <m:rPr>
            <m:sty m:val="p"/>
          </m:rPr>
          <m:t>%</m:t>
        </m:r>
        <m:r>
          <m:rPr>
            <m:sty m:val="p"/>
          </m:rPr>
          <m:t>=</m:t>
        </m:r>
        <m:r>
          <m:t>6</m:t>
        </m:r>
        <m:r>
          <m:rPr>
            <m:sty m:val="p"/>
          </m:rPr>
          <m:t>%</m:t>
        </m:r>
      </m:oMath>
      <w:r>
        <w:t xml:space="preserve">. O valor exato é</w:t>
      </w:r>
      <w:r>
        <w:t xml:space="preserve"> </w:t>
      </w:r>
      <m:oMath>
        <m:r>
          <m:t>r</m:t>
        </m:r>
        <m:r>
          <m:rPr>
            <m:sty m:val="p"/>
          </m:rPr>
          <m:t>=</m:t>
        </m:r>
        <m:r>
          <m:rPr>
            <m:sty m:val="p"/>
          </m:rPr>
          <m:t>(</m:t>
        </m:r>
        <m:r>
          <m:t>1</m:t>
        </m:r>
        <m:r>
          <m:rPr>
            <m:sty m:val="p"/>
          </m:rPr>
          <m:t>,</m:t>
        </m:r>
        <m:r>
          <m:t>10</m:t>
        </m:r>
        <m:r>
          <m:rPr>
            <m:sty m:val="p"/>
          </m:rPr>
          <m:t>/</m:t>
        </m:r>
        <m:r>
          <m:t>1</m:t>
        </m:r>
        <m:r>
          <m:rPr>
            <m:sty m:val="p"/>
          </m:rPr>
          <m:t>,</m:t>
        </m:r>
        <m:r>
          <m:t>04</m:t>
        </m:r>
        <m:r>
          <m:rPr>
            <m:sty m:val="p"/>
          </m:rPr>
          <m:t>)</m:t>
        </m:r>
        <m:r>
          <m:rPr>
            <m:sty m:val="p"/>
          </m:rPr>
          <m:t>−</m:t>
        </m:r>
        <m:r>
          <m:t>1</m:t>
        </m:r>
        <m:r>
          <m:rPr>
            <m:sty m:val="p"/>
          </m:rPr>
          <m:t>≈</m:t>
        </m:r>
        <m:r>
          <m:t>5</m:t>
        </m:r>
        <m:r>
          <m:rPr>
            <m:sty m:val="p"/>
          </m:rPr>
          <m:t>,</m:t>
        </m:r>
        <m:r>
          <m:t>77</m:t>
        </m:r>
        <m:r>
          <m:rPr>
            <m:sty m:val="p"/>
          </m:rPr>
          <m:t>%</m:t>
        </m:r>
      </m:oMath>
      <w:r>
        <w:t xml:space="preserve">, próximo de 6%. A alternativa (a) soma em vez de subtrair; (c) ignora a inflação; (d) confunde taxa real com inflação.</w:t>
      </w:r>
    </w:p>
    <w:p>
      <w:r>
        <w:pict>
          <v:rect style="width:0;height:1.5pt" o:hralign="center" o:hrstd="t" o:hr="t"/>
        </w:pict>
      </w:r>
    </w:p>
    <w:bookmarkEnd w:id="1165"/>
    <w:bookmarkStart w:id="1166" w:name="resumo-do-capítulo-19"/>
    <w:p>
      <w:pPr>
        <w:pStyle w:val="Heading3"/>
      </w:pPr>
      <w:r>
        <w:t xml:space="preserve">📋 Resumo do Capítulo</w:t>
      </w:r>
    </w:p>
    <w:p>
      <w:pPr>
        <w:pStyle w:val="Compact"/>
        <w:numPr>
          <w:ilvl w:val="0"/>
          <w:numId w:val="2031"/>
        </w:numPr>
      </w:pPr>
      <w:r>
        <w:t xml:space="preserve">A taxa de juros é o preço do tempo, determinada pelo equilíbrio entre oferta de poupança e demanda de investimento no mercado de fundos emprestáveis. A taxa de juros de equilíbrio depende da produtividade do capital, das preferências intertemporais, da oferta de poupança e do risco percebido.</w:t>
      </w:r>
    </w:p>
    <w:p>
      <w:pPr>
        <w:pStyle w:val="Compact"/>
        <w:numPr>
          <w:ilvl w:val="0"/>
          <w:numId w:val="2031"/>
        </w:numPr>
      </w:pPr>
      <w:r>
        <w:t xml:space="preserve">A distinção entre taxa de juros nominal e real é essencial. A equação de Fisher (</w:t>
      </w:r>
      <m:oMath>
        <m:r>
          <m:t>1</m:t>
        </m:r>
        <m:r>
          <m:rPr>
            <m:sty m:val="p"/>
          </m:rPr>
          <m:t>+</m:t>
        </m:r>
        <m:r>
          <m:t>i</m:t>
        </m:r>
        <m:r>
          <m:rPr>
            <m:sty m:val="p"/>
          </m:rPr>
          <m:t>=</m:t>
        </m:r>
        <m:r>
          <m:rPr>
            <m:sty m:val="p"/>
          </m:rPr>
          <m:t>(</m:t>
        </m:r>
        <m:r>
          <m:t>1</m:t>
        </m:r>
        <m:r>
          <m:rPr>
            <m:sty m:val="p"/>
          </m:rPr>
          <m:t>+</m:t>
        </m:r>
        <m:r>
          <m:t>r</m:t>
        </m:r>
        <m:r>
          <m:rPr>
            <m:sty m:val="p"/>
          </m:rPr>
          <m:t>)</m:t>
        </m:r>
        <m:r>
          <m:rPr>
            <m:sty m:val="p"/>
          </m:rPr>
          <m:t>(</m:t>
        </m:r>
        <m:r>
          <m:t>1</m:t>
        </m:r>
        <m:r>
          <m:rPr>
            <m:sty m:val="p"/>
          </m:rPr>
          <m:t>+</m:t>
        </m:r>
        <m:r>
          <m:t>π</m:t>
        </m:r>
        <m:r>
          <m:rPr>
            <m:sty m:val="p"/>
          </m:rPr>
          <m:t>)</m:t>
        </m:r>
      </m:oMath>
      <w:r>
        <w:t xml:space="preserve">) conecta as duas, e o efeito Fisher prevê que variações na inflação esperada se refletem proporcionalmente na taxa nominal.</w:t>
      </w:r>
    </w:p>
    <w:p>
      <w:pPr>
        <w:pStyle w:val="Compact"/>
        <w:numPr>
          <w:ilvl w:val="0"/>
          <w:numId w:val="2031"/>
        </w:numPr>
      </w:pPr>
      <w:r>
        <w:t xml:space="preserve">O modelo de dois períodos de Fisher formaliza a escolha intertemporal do consumidor: no ótimo, a taxa marginal de substituição entre consumo presente e futuro iguala</w:t>
      </w:r>
      <w:r>
        <w:t xml:space="preserve"> </w:t>
      </w:r>
      <m:oMath>
        <m:r>
          <m:t>1</m:t>
        </m:r>
        <m:r>
          <m:rPr>
            <m:sty m:val="p"/>
          </m:rPr>
          <m:t>+</m:t>
        </m:r>
        <m:r>
          <m:t>r</m:t>
        </m:r>
      </m:oMath>
      <w:r>
        <w:t xml:space="preserve">. O consumidor é poupador se sua taxa de desconto subjetiva é menor que a taxa de juros, e devedor caso contrário. A equação de Euler governa a dinâmica ótima do consumo.</w:t>
      </w:r>
    </w:p>
    <w:p>
      <w:pPr>
        <w:pStyle w:val="Compact"/>
        <w:numPr>
          <w:ilvl w:val="0"/>
          <w:numId w:val="2031"/>
        </w:numPr>
      </w:pPr>
      <w:r>
        <w:t xml:space="preserve">O CAPM estabelece que o retorno esperado de um ativo arriscado depende de seu beta (risco sistemático), enquanto o fator de desconto estocástico generaliza a precificação para qualquer ativo. O enigma do prêmio de risco (equity premium puzzle) desafia os modelos padrão.</w:t>
      </w:r>
    </w:p>
    <w:p>
      <w:pPr>
        <w:pStyle w:val="Compact"/>
        <w:numPr>
          <w:ilvl w:val="0"/>
          <w:numId w:val="2031"/>
        </w:numPr>
      </w:pPr>
      <w:r>
        <w:t xml:space="preserve">A firma demanda capital até que o valor do produto marginal iguale o custo de uso do capital</w:t>
      </w:r>
      <w:r>
        <w:t xml:space="preserve"> </w:t>
      </w:r>
      <m:oMath>
        <m:sSub>
          <m:e>
            <m:r>
              <m:t>c</m:t>
            </m:r>
          </m:e>
          <m:sub>
            <m:r>
              <m:t>K</m:t>
            </m:r>
          </m:sub>
        </m:sSub>
        <m:r>
          <m:rPr>
            <m:sty m:val="p"/>
          </m:rPr>
          <m:t>=</m:t>
        </m:r>
        <m:sSub>
          <m:e>
            <m:r>
              <m:t>p</m:t>
            </m:r>
          </m:e>
          <m:sub>
            <m:r>
              <m:t>K</m:t>
            </m:r>
          </m:sub>
        </m:sSub>
        <m:r>
          <m:rPr>
            <m:sty m:val="p"/>
          </m:rPr>
          <m:t>(</m:t>
        </m:r>
        <m:r>
          <m:t>r</m:t>
        </m:r>
        <m:r>
          <m:rPr>
            <m:sty m:val="p"/>
          </m:rPr>
          <m:t>+</m:t>
        </m:r>
        <m:r>
          <m:t>δ</m:t>
        </m:r>
        <m:r>
          <m:rPr>
            <m:sty m:val="p"/>
          </m:rPr>
          <m:t>)</m:t>
        </m:r>
      </m:oMath>
      <w:r>
        <w:t xml:space="preserve">. O VPL é o critério superior para avaliação de investimentos: projetos com VPL positivo geram valor acima do custo de oportunidade do capital. A TIR é complementar, mas apresenta limitações.</w:t>
      </w:r>
    </w:p>
    <w:p>
      <w:pPr>
        <w:pStyle w:val="Compact"/>
        <w:numPr>
          <w:ilvl w:val="0"/>
          <w:numId w:val="2031"/>
        </w:numPr>
      </w:pPr>
      <w:r>
        <w:t xml:space="preserve">A Regra de Hotelling estabelece que o preço líquido de um recurso natural exaurível deve crescer à taxa de juros no equilíbrio, equilibrando o incentivo entre extrair hoje e preservar para o futuro. Juros altos aceleram a extração.</w:t>
      </w:r>
    </w:p>
    <w:p>
      <w:pPr>
        <w:pStyle w:val="Compact"/>
        <w:numPr>
          <w:ilvl w:val="0"/>
          <w:numId w:val="2031"/>
        </w:numPr>
      </w:pPr>
      <w:r>
        <w:t xml:space="preserve">No Brasil, a taxa Selic historicamente elevada encarece o custo de capital, torna inviáveis projetos de longo prazo e cria viés contra investimentos produtivos, especialmente em infraestrutura e P&amp;D.</w:t>
      </w:r>
    </w:p>
    <w:bookmarkEnd w:id="1166"/>
    <w:bookmarkStart w:id="1167" w:name="conceitos-chave-18"/>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Capital</w:t>
            </w:r>
          </w:p>
        </w:tc>
        <w:tc>
          <w:tcPr/>
          <w:p>
            <w:pPr>
              <w:pStyle w:val="Compact"/>
            </w:pPr>
            <w:r>
              <w:t xml:space="preserve">Estoque de bens produzidos utilizados como insumos na produção; fator de produção produzido (máquinas, equipamentos, infraestrutura)</w:t>
            </w:r>
          </w:p>
        </w:tc>
      </w:tr>
      <w:tr>
        <w:tc>
          <w:tcPr/>
          <w:p>
            <w:pPr>
              <w:pStyle w:val="Compact"/>
            </w:pPr>
            <w:r>
              <w:t xml:space="preserve">Taxa de juros de equilíbrio</w:t>
            </w:r>
          </w:p>
        </w:tc>
        <w:tc>
          <w:tcPr/>
          <w:p>
            <w:pPr>
              <w:pStyle w:val="Compact"/>
            </w:pPr>
            <w:r>
              <w:t xml:space="preserve">Taxa que iguala oferta de poupança e demanda de investimento no mercado de fundos emprestáveis</w:t>
            </w:r>
          </w:p>
        </w:tc>
      </w:tr>
      <w:tr>
        <w:tc>
          <w:tcPr/>
          <w:p>
            <w:pPr>
              <w:pStyle w:val="Compact"/>
            </w:pPr>
            <w:r>
              <w:t xml:space="preserve">Equação de Fisher</w:t>
            </w:r>
          </w:p>
        </w:tc>
        <w:tc>
          <w:tcPr/>
          <w:p>
            <w:pPr>
              <w:pStyle w:val="Compact"/>
            </w:pPr>
            <w:r>
              <w:t xml:space="preserve">Relação entre taxa nominal, real e inflação:</w:t>
            </w:r>
            <w:r>
              <w:t xml:space="preserve"> </w:t>
            </w:r>
            <m:oMath>
              <m:r>
                <m:t>1</m:t>
              </m:r>
              <m:r>
                <m:rPr>
                  <m:sty m:val="p"/>
                </m:rPr>
                <m:t>+</m:t>
              </m:r>
              <m:r>
                <m:t>i</m:t>
              </m:r>
              <m:r>
                <m:rPr>
                  <m:sty m:val="p"/>
                </m:rPr>
                <m:t>=</m:t>
              </m:r>
              <m:r>
                <m:rPr>
                  <m:sty m:val="p"/>
                </m:rPr>
                <m:t>(</m:t>
              </m:r>
              <m:r>
                <m:t>1</m:t>
              </m:r>
              <m:r>
                <m:rPr>
                  <m:sty m:val="p"/>
                </m:rPr>
                <m:t>+</m:t>
              </m:r>
              <m:r>
                <m:t>r</m:t>
              </m:r>
              <m:r>
                <m:rPr>
                  <m:sty m:val="p"/>
                </m:rPr>
                <m:t>)</m:t>
              </m:r>
              <m:r>
                <m:rPr>
                  <m:sty m:val="p"/>
                </m:rPr>
                <m:t>(</m:t>
              </m:r>
              <m:r>
                <m:t>1</m:t>
              </m:r>
              <m:r>
                <m:rPr>
                  <m:sty m:val="p"/>
                </m:rPr>
                <m:t>+</m:t>
              </m:r>
              <m:r>
                <m:t>π</m:t>
              </m:r>
              <m:r>
                <m:rPr>
                  <m:sty m:val="p"/>
                </m:rPr>
                <m:t>)</m:t>
              </m:r>
            </m:oMath>
          </w:p>
        </w:tc>
      </w:tr>
      <w:tr>
        <w:tc>
          <w:tcPr/>
          <w:p>
            <w:pPr>
              <w:pStyle w:val="Compact"/>
            </w:pPr>
            <w:r>
              <w:t xml:space="preserve">Riqueza intertemporal</w:t>
            </w:r>
          </w:p>
        </w:tc>
        <w:tc>
          <w:tcPr/>
          <w:p>
            <w:pPr>
              <w:pStyle w:val="Compact"/>
            </w:pPr>
            <w:r>
              <w:t xml:space="preserve">Valor presente de toda a renda futura:</w:t>
            </w:r>
            <w:r>
              <w:t xml:space="preserve"> </w:t>
            </w:r>
            <m:oMath>
              <m:r>
                <m:t>W</m:t>
              </m:r>
              <m:r>
                <m:rPr>
                  <m:sty m:val="p"/>
                </m:rPr>
                <m:t>=</m:t>
              </m:r>
              <m:sSub>
                <m:e>
                  <m:r>
                    <m:t>Y</m:t>
                  </m:r>
                </m:e>
                <m:sub>
                  <m:r>
                    <m:t>1</m:t>
                  </m:r>
                </m:sub>
              </m:sSub>
              <m:r>
                <m:rPr>
                  <m:sty m:val="p"/>
                </m:rPr>
                <m:t>+</m:t>
              </m:r>
              <m:sSub>
                <m:e>
                  <m:r>
                    <m:t>Y</m:t>
                  </m:r>
                </m:e>
                <m:sub>
                  <m:r>
                    <m:t>2</m:t>
                  </m:r>
                </m:sub>
              </m:sSub>
              <m:r>
                <m:rPr>
                  <m:sty m:val="p"/>
                </m:rPr>
                <m:t>/</m:t>
              </m:r>
              <m:r>
                <m:rPr>
                  <m:sty m:val="p"/>
                </m:rPr>
                <m:t>(</m:t>
              </m:r>
              <m:r>
                <m:t>1</m:t>
              </m:r>
              <m:r>
                <m:rPr>
                  <m:sty m:val="p"/>
                </m:rPr>
                <m:t>+</m:t>
              </m:r>
              <m:r>
                <m:t>r</m:t>
              </m:r>
              <m:r>
                <m:rPr>
                  <m:sty m:val="p"/>
                </m:rPr>
                <m:t>)</m:t>
              </m:r>
            </m:oMath>
          </w:p>
        </w:tc>
      </w:tr>
      <w:tr>
        <w:tc>
          <w:tcPr/>
          <w:p>
            <w:pPr>
              <w:pStyle w:val="Compact"/>
            </w:pPr>
            <w:r>
              <w:t xml:space="preserve">Equação de Euler</w:t>
            </w:r>
          </w:p>
        </w:tc>
        <w:tc>
          <w:tcPr/>
          <w:p>
            <w:pPr>
              <w:pStyle w:val="Compact"/>
            </w:pPr>
            <w:r>
              <w:t xml:space="preserve">Condição de ótimo intertemporal:</w:t>
            </w:r>
            <w:r>
              <w:t xml:space="preserve"> </w:t>
            </w:r>
            <m:oMath>
              <m:sSup>
                <m:e>
                  <m:r>
                    <m:t>u</m:t>
                  </m:r>
                </m:e>
                <m:sup>
                  <m:r>
                    <m:rPr>
                      <m:sty m:val="p"/>
                    </m:rPr>
                    <m:t>′</m:t>
                  </m:r>
                </m:sup>
              </m:sSup>
              <m:r>
                <m:rPr>
                  <m:sty m:val="p"/>
                </m:rPr>
                <m:t>(</m:t>
              </m:r>
              <m:sSub>
                <m:e>
                  <m:r>
                    <m:t>C</m:t>
                  </m:r>
                </m:e>
                <m:sub>
                  <m:r>
                    <m:t>1</m:t>
                  </m:r>
                </m:sub>
              </m:sSub>
              <m:r>
                <m:rPr>
                  <m:sty m:val="p"/>
                </m:rPr>
                <m:t>)</m:t>
              </m:r>
              <m:r>
                <m:rPr>
                  <m:sty m:val="p"/>
                </m:rPr>
                <m:t>=</m:t>
              </m:r>
              <m:r>
                <m:t>β</m:t>
              </m:r>
              <m:r>
                <m:rPr>
                  <m:sty m:val="p"/>
                </m:rPr>
                <m:t>(</m:t>
              </m:r>
              <m:r>
                <m:t>1</m:t>
              </m:r>
              <m:r>
                <m:rPr>
                  <m:sty m:val="p"/>
                </m:rPr>
                <m:t>+</m:t>
              </m:r>
              <m:r>
                <m:t>r</m:t>
              </m:r>
              <m:r>
                <m:rPr>
                  <m:sty m:val="p"/>
                </m:rPr>
                <m:t>)</m:t>
              </m:r>
              <m:sSup>
                <m:e>
                  <m:r>
                    <m:t>u</m:t>
                  </m:r>
                </m:e>
                <m:sup>
                  <m:r>
                    <m:rPr>
                      <m:sty m:val="p"/>
                    </m:rPr>
                    <m:t>′</m:t>
                  </m:r>
                </m:sup>
              </m:sSup>
              <m:r>
                <m:rPr>
                  <m:sty m:val="p"/>
                </m:rPr>
                <m:t>(</m:t>
              </m:r>
              <m:sSub>
                <m:e>
                  <m:r>
                    <m:t>C</m:t>
                  </m:r>
                </m:e>
                <m:sub>
                  <m:r>
                    <m:t>2</m:t>
                  </m:r>
                </m:sub>
              </m:sSub>
              <m:r>
                <m:rPr>
                  <m:sty m:val="p"/>
                </m:rPr>
                <m:t>)</m:t>
              </m:r>
            </m:oMath>
          </w:p>
        </w:tc>
      </w:tr>
      <w:tr>
        <w:tc>
          <w:tcPr/>
          <w:p>
            <w:pPr>
              <w:pStyle w:val="Compact"/>
            </w:pPr>
            <w:r>
              <w:t xml:space="preserve">Taxa de preferência intertemporal</w:t>
            </w:r>
          </w:p>
        </w:tc>
        <w:tc>
          <w:tcPr/>
          <w:p>
            <w:pPr>
              <w:pStyle w:val="Compact"/>
            </w:pPr>
            <w:r>
              <w:t xml:space="preserve">Taxa de desconto subjetiva</w:t>
            </w:r>
            <w:r>
              <w:t xml:space="preserve"> </w:t>
            </w:r>
            <m:oMath>
              <m:r>
                <m:t>ρ</m:t>
              </m:r>
            </m:oMath>
            <w:r>
              <w:t xml:space="preserve"> </w:t>
            </w:r>
            <w:r>
              <w:t xml:space="preserve">que mede a impaciência do consumidor; no ótimo, iguala-se à taxa de juros</w:t>
            </w:r>
          </w:p>
        </w:tc>
      </w:tr>
      <w:tr>
        <w:tc>
          <w:tcPr/>
          <w:p>
            <w:pPr>
              <w:pStyle w:val="Compact"/>
            </w:pPr>
            <w:r>
              <w:t xml:space="preserve">Custo de uso do capital</w:t>
            </w:r>
          </w:p>
        </w:tc>
        <w:tc>
          <w:tcPr/>
          <w:p>
            <w:pPr>
              <w:pStyle w:val="Compact"/>
            </w:pPr>
            <w:r>
              <w:t xml:space="preserve">Custo por período de utilizar uma unidade de capital:</w:t>
            </w:r>
            <w:r>
              <w:t xml:space="preserve"> </w:t>
            </w:r>
            <m:oMath>
              <m:sSub>
                <m:e>
                  <m:r>
                    <m:t>c</m:t>
                  </m:r>
                </m:e>
                <m:sub>
                  <m:r>
                    <m:t>K</m:t>
                  </m:r>
                </m:sub>
              </m:sSub>
              <m:r>
                <m:rPr>
                  <m:sty m:val="p"/>
                </m:rPr>
                <m:t>=</m:t>
              </m:r>
              <m:sSub>
                <m:e>
                  <m:r>
                    <m:t>p</m:t>
                  </m:r>
                </m:e>
                <m:sub>
                  <m:r>
                    <m:t>K</m:t>
                  </m:r>
                </m:sub>
              </m:sSub>
              <m:r>
                <m:rPr>
                  <m:sty m:val="p"/>
                </m:rPr>
                <m:t>(</m:t>
              </m:r>
              <m:r>
                <m:t>r</m:t>
              </m:r>
              <m:r>
                <m:rPr>
                  <m:sty m:val="p"/>
                </m:rPr>
                <m:t>+</m:t>
              </m:r>
              <m:r>
                <m:t>δ</m:t>
              </m:r>
              <m:r>
                <m:rPr>
                  <m:sty m:val="p"/>
                </m:rPr>
                <m:t>)</m:t>
              </m:r>
            </m:oMath>
            <w:r>
              <w:t xml:space="preserve">, incluindo custo de oportunidade e depreciação</w:t>
            </w:r>
          </w:p>
        </w:tc>
      </w:tr>
      <w:tr>
        <w:tc>
          <w:tcPr/>
          <w:p>
            <w:pPr>
              <w:pStyle w:val="Compact"/>
            </w:pPr>
            <w:r>
              <w:t xml:space="preserve">Valor Presente Líquido (VPL)</w:t>
            </w:r>
          </w:p>
        </w:tc>
        <w:tc>
          <w:tcPr/>
          <w:p>
            <w:pPr>
              <w:pStyle w:val="Compact"/>
            </w:pPr>
            <w:r>
              <w:t xml:space="preserve">Soma dos fluxos de caixa descontados a valor presente; critério superior para decisão de investimento</w:t>
            </w:r>
          </w:p>
        </w:tc>
      </w:tr>
      <w:tr>
        <w:tc>
          <w:tcPr/>
          <w:p>
            <w:pPr>
              <w:pStyle w:val="Compact"/>
            </w:pPr>
            <w:r>
              <w:t xml:space="preserve">Taxa Interna de Retorno (TIR)</w:t>
            </w:r>
          </w:p>
        </w:tc>
        <w:tc>
          <w:tcPr/>
          <w:p>
            <w:pPr>
              <w:pStyle w:val="Compact"/>
            </w:pPr>
            <w:r>
              <w:t xml:space="preserve">Taxa de desconto que torna o VPL igual a zero; aceitar o projeto se TIR &gt; custo de oportunidade</w:t>
            </w:r>
          </w:p>
        </w:tc>
      </w:tr>
      <w:tr>
        <w:tc>
          <w:tcPr/>
          <w:p>
            <w:pPr>
              <w:pStyle w:val="Compact"/>
            </w:pPr>
            <w:r>
              <w:t xml:space="preserve">Regra de Hotelling</w:t>
            </w:r>
          </w:p>
        </w:tc>
        <w:tc>
          <w:tcPr/>
          <w:p>
            <w:pPr>
              <w:pStyle w:val="Compact"/>
            </w:pPr>
            <w:r>
              <w:t xml:space="preserve">Em equilíbrio, o preço líquido de um recurso exaurível cresce à taxa de juros:</w:t>
            </w:r>
            <w:r>
              <w:t xml:space="preserve"> </w:t>
            </w:r>
            <m:oMath>
              <m:acc>
                <m:accPr>
                  <m:chr m:val="̇"/>
                </m:accPr>
                <m:e>
                  <m:r>
                    <m:t>R</m:t>
                  </m:r>
                </m:e>
              </m:acc>
              <m:r>
                <m:rPr>
                  <m:sty m:val="p"/>
                </m:rPr>
                <m:t>/</m:t>
              </m:r>
              <m:r>
                <m:t>R</m:t>
              </m:r>
              <m:r>
                <m:rPr>
                  <m:sty m:val="p"/>
                </m:rPr>
                <m:t>=</m:t>
              </m:r>
              <m:r>
                <m:t>r</m:t>
              </m:r>
            </m:oMath>
          </w:p>
        </w:tc>
      </w:tr>
      <w:tr>
        <w:tc>
          <w:tcPr/>
          <w:p>
            <w:pPr>
              <w:pStyle w:val="Compact"/>
            </w:pPr>
            <w:r>
              <w:t xml:space="preserve">Beta (CAPM)</w:t>
            </w:r>
          </w:p>
        </w:tc>
        <w:tc>
          <w:tcPr/>
          <w:p>
            <w:pPr>
              <w:pStyle w:val="Compact"/>
            </w:pPr>
            <w:r>
              <w:t xml:space="preserve">Medida de risco sistemático de um ativo:</w:t>
            </w:r>
            <w:r>
              <w:t xml:space="preserve"> </w:t>
            </w:r>
            <m:oMath>
              <m:sSub>
                <m:e>
                  <m:r>
                    <m:t>β</m:t>
                  </m:r>
                </m:e>
                <m:sub>
                  <m:r>
                    <m:t>i</m:t>
                  </m:r>
                </m:sub>
              </m:sSub>
              <m:r>
                <m:rPr>
                  <m:sty m:val="p"/>
                </m:rPr>
                <m:t>=</m:t>
              </m:r>
              <m:r>
                <m:rPr>
                  <m:nor/>
                  <m:sty m:val="p"/>
                </m:rPr>
                <m:t>Cov</m:t>
              </m:r>
              <m:r>
                <m:rPr>
                  <m:sty m:val="p"/>
                </m:rPr>
                <m:t>(</m:t>
              </m:r>
              <m:sSub>
                <m:e>
                  <m:r>
                    <m:t>r</m:t>
                  </m:r>
                </m:e>
                <m:sub>
                  <m:r>
                    <m:t>i</m:t>
                  </m:r>
                </m:sub>
              </m:sSub>
              <m:r>
                <m:rPr>
                  <m:sty m:val="p"/>
                </m:rPr>
                <m:t>,</m:t>
              </m:r>
              <m:sSub>
                <m:e>
                  <m:r>
                    <m:t>r</m:t>
                  </m:r>
                </m:e>
                <m:sub>
                  <m:r>
                    <m:t>m</m:t>
                  </m:r>
                </m:sub>
              </m:sSub>
              <m:r>
                <m:rPr>
                  <m:sty m:val="p"/>
                </m:rPr>
                <m:t>)</m:t>
              </m:r>
              <m:r>
                <m:rPr>
                  <m:sty m:val="p"/>
                </m:rPr>
                <m:t>/</m:t>
              </m:r>
              <m:r>
                <m:rPr>
                  <m:nor/>
                  <m:sty m:val="p"/>
                </m:rPr>
                <m:t>Var</m:t>
              </m:r>
              <m:r>
                <m:rPr>
                  <m:sty m:val="p"/>
                </m:rPr>
                <m:t>(</m:t>
              </m:r>
              <m:sSub>
                <m:e>
                  <m:r>
                    <m:t>r</m:t>
                  </m:r>
                </m:e>
                <m:sub>
                  <m:r>
                    <m:t>m</m:t>
                  </m:r>
                </m:sub>
              </m:sSub>
              <m:r>
                <m:rPr>
                  <m:sty m:val="p"/>
                </m:rPr>
                <m:t>)</m:t>
              </m:r>
            </m:oMath>
          </w:p>
        </w:tc>
      </w:tr>
      <w:tr>
        <w:tc>
          <w:tcPr/>
          <w:p>
            <w:pPr>
              <w:pStyle w:val="Compact"/>
            </w:pPr>
            <w:r>
              <w:t xml:space="preserve">Perpetuidade</w:t>
            </w:r>
          </w:p>
        </w:tc>
        <w:tc>
          <w:tcPr/>
          <w:p>
            <w:pPr>
              <w:pStyle w:val="Compact"/>
            </w:pPr>
            <w:r>
              <w:t xml:space="preserve">Fluxo de pagamentos constante e infinito cujo valor presente é</w:t>
            </w:r>
            <w:r>
              <w:t xml:space="preserve"> </w:t>
            </w:r>
            <m:oMath>
              <m:r>
                <m:t>V</m:t>
              </m:r>
              <m:r>
                <m:t>P</m:t>
              </m:r>
              <m:r>
                <m:rPr>
                  <m:sty m:val="p"/>
                </m:rPr>
                <m:t>=</m:t>
              </m:r>
              <m:r>
                <m:t>F</m:t>
              </m:r>
              <m:r>
                <m:rPr>
                  <m:sty m:val="p"/>
                </m:rPr>
                <m:t>/</m:t>
              </m:r>
              <m:r>
                <m:t>r</m:t>
              </m:r>
            </m:oMath>
          </w:p>
        </w:tc>
      </w:tr>
    </w:tbl>
    <w:p>
      <w:pPr>
        <w:pStyle w:val="BodyText"/>
      </w:pPr>
      <w:r>
        <w:rPr>
          <w:b/>
          <w:bCs/>
        </w:rPr>
        <w:t xml:space="preserve">Tabela 18.4 — Conceitos-chave.</w:t>
      </w:r>
    </w:p>
    <w:p>
      <w:r>
        <w:pict>
          <v:rect style="width:0;height:1.5pt" o:hralign="center" o:hrstd="t" o:hr="t"/>
        </w:pict>
      </w:r>
    </w:p>
    <w:bookmarkEnd w:id="1167"/>
    <w:bookmarkStart w:id="1168" w:name="exercícios-resolvidos-8"/>
    <w:p>
      <w:pPr>
        <w:pStyle w:val="Heading3"/>
      </w:pPr>
      <w:r>
        <w:t xml:space="preserve">Exercícios Resolvidos</w:t>
      </w:r>
    </w:p>
    <w:p>
      <w:pPr>
        <w:pStyle w:val="BlockText"/>
      </w:pPr>
      <w:r>
        <w:rPr>
          <w:b/>
          <w:bCs/>
        </w:rPr>
        <w:t xml:space="preserve">[EXERCICIO RESOLVIDO] Exercício Resolvido 18.1 — Consumo intertemporal e classificação poupador/devedor</w:t>
      </w:r>
    </w:p>
    <w:p>
      <w:pPr>
        <w:pStyle w:val="BlockText"/>
      </w:pPr>
      <w:r>
        <w:rPr>
          <w:b/>
          <w:bCs/>
        </w:rPr>
        <w:t xml:space="preserve">Enunciado.</w:t>
      </w:r>
      <w:r>
        <w:t xml:space="preserve"> </w:t>
      </w:r>
      <w:r>
        <w:t xml:space="preserve">Um consumidor vive dois períodos com renda</w:t>
      </w:r>
      <w:r>
        <w:t xml:space="preserve"> </w:t>
      </w:r>
      <m:oMath>
        <m:sSub>
          <m:e>
            <m:r>
              <m:t>Y</m:t>
            </m:r>
          </m:e>
          <m:sub>
            <m:r>
              <m:t>1</m:t>
            </m:r>
          </m:sub>
        </m:sSub>
        <m:r>
          <m:rPr>
            <m:sty m:val="p"/>
          </m:rPr>
          <m:t>=</m:t>
        </m:r>
        <m:r>
          <m:t>80</m:t>
        </m:r>
      </m:oMath>
      <w:r>
        <w:t xml:space="preserve"> </w:t>
      </w:r>
      <w:r>
        <w:t xml:space="preserve">e</w:t>
      </w:r>
      <w:r>
        <w:t xml:space="preserve"> </w:t>
      </w:r>
      <m:oMath>
        <m:sSub>
          <m:e>
            <m:r>
              <m:t>Y</m:t>
            </m:r>
          </m:e>
          <m:sub>
            <m:r>
              <m:t>2</m:t>
            </m:r>
          </m:sub>
        </m:sSub>
        <m:r>
          <m:rPr>
            <m:sty m:val="p"/>
          </m:rPr>
          <m:t>=</m:t>
        </m:r>
        <m:r>
          <m:t>66</m:t>
        </m:r>
      </m:oMath>
      <w:r>
        <w:t xml:space="preserve">. Suas preferências são</w:t>
      </w:r>
      <w:r>
        <w:t xml:space="preserve"> </w:t>
      </w:r>
      <m:oMath>
        <m:r>
          <m:t>U</m:t>
        </m:r>
        <m:r>
          <m:rPr>
            <m:sty m:val="p"/>
          </m:rPr>
          <m:t>(</m:t>
        </m:r>
        <m:sSub>
          <m:e>
            <m:r>
              <m:t>C</m:t>
            </m:r>
          </m:e>
          <m:sub>
            <m:r>
              <m:t>1</m:t>
            </m:r>
          </m:sub>
        </m:sSub>
        <m:r>
          <m:rPr>
            <m:sty m:val="p"/>
          </m:rPr>
          <m:t>,</m:t>
        </m:r>
        <m:sSub>
          <m:e>
            <m:r>
              <m:t>C</m:t>
            </m:r>
          </m:e>
          <m:sub>
            <m:r>
              <m:t>2</m:t>
            </m:r>
          </m:sub>
        </m:sSub>
        <m:r>
          <m:rPr>
            <m:sty m:val="p"/>
          </m:rPr>
          <m:t>)</m:t>
        </m:r>
        <m:r>
          <m:rPr>
            <m:sty m:val="p"/>
          </m:rPr>
          <m:t>=</m:t>
        </m:r>
        <m:r>
          <m:rPr>
            <m:sty m:val="p"/>
          </m:rPr>
          <m:t>ln</m:t>
        </m:r>
        <m:sSub>
          <m:e>
            <m:r>
              <m:t>C</m:t>
            </m:r>
          </m:e>
          <m:sub>
            <m:r>
              <m:t>1</m:t>
            </m:r>
          </m:sub>
        </m:sSub>
        <m:r>
          <m:rPr>
            <m:sty m:val="p"/>
          </m:rPr>
          <m:t>+</m:t>
        </m:r>
        <m:f>
          <m:fPr>
            <m:type m:val="bar"/>
          </m:fPr>
          <m:num>
            <m:r>
              <m:t>1</m:t>
            </m:r>
          </m:num>
          <m:den>
            <m:r>
              <m:t>1</m:t>
            </m:r>
            <m:r>
              <m:rPr>
                <m:sty m:val="p"/>
              </m:rPr>
              <m:t>,</m:t>
            </m:r>
            <m:r>
              <m:t>1</m:t>
            </m:r>
          </m:den>
        </m:f>
        <m:r>
          <m:rPr>
            <m:sty m:val="p"/>
          </m:rPr>
          <m:t>ln</m:t>
        </m:r>
        <m:sSub>
          <m:e>
            <m:r>
              <m:t>C</m:t>
            </m:r>
          </m:e>
          <m:sub>
            <m:r>
              <m:t>2</m:t>
            </m:r>
          </m:sub>
        </m:sSub>
      </m:oMath>
      <w:r>
        <w:t xml:space="preserve">. A taxa de juros é</w:t>
      </w:r>
      <w:r>
        <w:t xml:space="preserve"> </w:t>
      </w:r>
      <m:oMath>
        <m:r>
          <m:t>r</m:t>
        </m:r>
        <m:r>
          <m:rPr>
            <m:sty m:val="p"/>
          </m:rPr>
          <m:t>=</m:t>
        </m:r>
        <m:r>
          <m:t>10</m:t>
        </m:r>
        <m:r>
          <m:rPr>
            <m:sty m:val="p"/>
          </m:rPr>
          <m:t>%</m:t>
        </m:r>
      </m:oMath>
      <w:r>
        <w:t xml:space="preserve">. (a) Calcule a riqueza intertemporal. (b) Encontre o consumo ótimo em cada período. (c) O consumidor é poupador ou devedor?</w:t>
      </w:r>
    </w:p>
    <w:p>
      <w:pPr>
        <w:pStyle w:val="BlockText"/>
      </w:pPr>
      <w:r>
        <w:rPr>
          <w:b/>
          <w:bCs/>
        </w:rPr>
        <w:t xml:space="preserve">Resolução.</w:t>
      </w:r>
    </w:p>
    <w:p>
      <w:pPr>
        <w:pStyle w:val="BlockText"/>
      </w:pPr>
      <w:r>
        <w:rPr>
          <w:b/>
          <w:bCs/>
        </w:rPr>
        <w:t xml:space="preserve">(a) Riqueza intertemporal.</w:t>
      </w:r>
    </w:p>
    <w:p>
      <w:pPr>
        <w:pStyle w:val="BlockText"/>
      </w:pPr>
      <w:r>
        <w:t xml:space="preserve">$$</w:t>
      </w:r>
    </w:p>
    <w:p>
      <w:pPr>
        <w:pStyle w:val="BlockText"/>
      </w:pPr>
      <w:r>
        <w:t xml:space="preserve">W = Y_1 +</w:t>
      </w:r>
      <w:r>
        <w:t xml:space="preserve"> </w:t>
      </w:r>
      <w:r>
        <w:t xml:space="preserve"> </w:t>
      </w:r>
      <w:r>
        <w:t xml:space="preserve">= 80 +</w:t>
      </w:r>
      <w:r>
        <w:t xml:space="preserve"> </w:t>
      </w:r>
      <w:r>
        <w:t xml:space="preserve"> </w:t>
      </w:r>
      <w:r>
        <w:t xml:space="preserve">= 80 + 60 = 140</w:t>
      </w:r>
    </w:p>
    <w:p>
      <w:pPr>
        <w:pStyle w:val="BlockText"/>
      </w:pPr>
      <w:r>
        <w:t xml:space="preserve">$$</w:t>
      </w:r>
    </w:p>
    <w:p>
      <w:pPr>
        <w:pStyle w:val="BlockText"/>
      </w:pPr>
      <w:r>
        <w:rPr>
          <w:b/>
          <w:bCs/>
        </w:rPr>
        <w:t xml:space="preserve">(b) Consumo ótimo.</w:t>
      </w:r>
    </w:p>
    <w:p>
      <w:pPr>
        <w:pStyle w:val="BlockText"/>
      </w:pPr>
      <w:r>
        <w:t xml:space="preserve">Com preferências Cobb-Douglas intertemporais</w:t>
      </w:r>
      <w:r>
        <w:t xml:space="preserve"> </w:t>
      </w:r>
      <m:oMath>
        <m:r>
          <m:t>U</m:t>
        </m:r>
        <m:r>
          <m:rPr>
            <m:sty m:val="p"/>
          </m:rPr>
          <m:t>=</m:t>
        </m:r>
        <m:r>
          <m:rPr>
            <m:sty m:val="p"/>
          </m:rPr>
          <m:t>ln</m:t>
        </m:r>
        <m:sSub>
          <m:e>
            <m:r>
              <m:t>C</m:t>
            </m:r>
          </m:e>
          <m:sub>
            <m:r>
              <m:t>1</m:t>
            </m:r>
          </m:sub>
        </m:sSub>
        <m:r>
          <m:rPr>
            <m:sty m:val="p"/>
          </m:rPr>
          <m:t>+</m:t>
        </m:r>
        <m:r>
          <m:t>β</m:t>
        </m:r>
        <m:r>
          <m:rPr>
            <m:sty m:val="p"/>
          </m:rPr>
          <m:t>ln</m:t>
        </m:r>
        <m:sSub>
          <m:e>
            <m:r>
              <m:t>C</m:t>
            </m:r>
          </m:e>
          <m:sub>
            <m:r>
              <m:t>2</m:t>
            </m:r>
          </m:sub>
        </m:sSub>
      </m:oMath>
      <w:r>
        <w:t xml:space="preserve">, onde</w:t>
      </w:r>
      <w:r>
        <w:t xml:space="preserve"> </w:t>
      </w:r>
      <m:oMath>
        <m:r>
          <m:t>β</m:t>
        </m:r>
        <m:r>
          <m:rPr>
            <m:sty m:val="p"/>
          </m:rPr>
          <m:t>=</m:t>
        </m:r>
        <m:r>
          <m:t>1</m:t>
        </m:r>
        <m:r>
          <m:rPr>
            <m:sty m:val="p"/>
          </m:rPr>
          <m:t>/</m:t>
        </m:r>
        <m:r>
          <m:t>1</m:t>
        </m:r>
        <m:r>
          <m:rPr>
            <m:sty m:val="p"/>
          </m:rPr>
          <m:t>,</m:t>
        </m:r>
        <m:r>
          <m:t>1</m:t>
        </m:r>
      </m:oMath>
      <w:r>
        <w:t xml:space="preserve">, o consumidor aloca uma fração</w:t>
      </w:r>
      <w:r>
        <w:t xml:space="preserve"> </w:t>
      </w:r>
      <m:oMath>
        <m:f>
          <m:fPr>
            <m:type m:val="bar"/>
          </m:fPr>
          <m:num>
            <m:r>
              <m:t>1</m:t>
            </m:r>
          </m:num>
          <m:den>
            <m:r>
              <m:t>1</m:t>
            </m:r>
            <m:r>
              <m:rPr>
                <m:sty m:val="p"/>
              </m:rPr>
              <m:t>+</m:t>
            </m:r>
            <m:r>
              <m:t>β</m:t>
            </m:r>
          </m:den>
        </m:f>
      </m:oMath>
      <w:r>
        <w:t xml:space="preserve"> </w:t>
      </w:r>
      <w:r>
        <w:t xml:space="preserve">da riqueza para</w:t>
      </w:r>
      <w:r>
        <w:t xml:space="preserve"> </w:t>
      </w:r>
      <m:oMath>
        <m:sSub>
          <m:e>
            <m:r>
              <m:t>C</m:t>
            </m:r>
          </m:e>
          <m:sub>
            <m:r>
              <m:t>1</m:t>
            </m:r>
          </m:sub>
        </m:sSub>
      </m:oMath>
      <w:r>
        <w:t xml:space="preserve">:</w:t>
      </w:r>
    </w:p>
    <w:p>
      <w:pPr>
        <w:pStyle w:val="BlockText"/>
      </w:pPr>
      <w:r>
        <w:t xml:space="preserve">$$</w:t>
      </w:r>
    </w:p>
    <w:p>
      <w:pPr>
        <w:pStyle w:val="BlockText"/>
      </w:pPr>
      <w:r>
        <w:t xml:space="preserve">C_1^* =</w:t>
      </w:r>
      <w:r>
        <w:t xml:space="preserve"> </w:t>
      </w:r>
      <w:r>
        <w:t xml:space="preserve"> </w:t>
      </w:r>
      <w:r>
        <w:t xml:space="preserve">W =</w:t>
      </w:r>
      <w:r>
        <w:t xml:space="preserve"> </w:t>
      </w:r>
      <w:r>
        <w:t xml:space="preserve"> </w:t>
      </w:r>
      <w:r>
        <w:t xml:space="preserve"> </w:t>
      </w:r>
      <w:r>
        <w:t xml:space="preserve">=</w:t>
      </w:r>
      <w:r>
        <w:t xml:space="preserve"> </w:t>
      </w:r>
      <w:r>
        <w:t xml:space="preserve"> </w:t>
      </w:r>
      <w:r>
        <w:t xml:space="preserve"> </w:t>
      </w:r>
      <w:r>
        <w:t xml:space="preserve">=</w:t>
      </w:r>
      <w:r>
        <w:t xml:space="preserve"> </w:t>
      </w:r>
      <w:r>
        <w:t xml:space="preserve"> </w:t>
      </w:r>
      <w:r>
        <w:t xml:space="preserve">3</w:t>
      </w:r>
    </w:p>
    <w:p>
      <w:pPr>
        <w:pStyle w:val="BlockText"/>
      </w:pPr>
      <w:r>
        <w:t xml:space="preserve">$$</w:t>
      </w:r>
    </w:p>
    <w:p>
      <w:pPr>
        <w:pStyle w:val="BlockText"/>
      </w:pPr>
      <w:r>
        <w:t xml:space="preserve">Para</w:t>
      </w:r>
      <w:r>
        <w:t xml:space="preserve"> </w:t>
      </w:r>
      <m:oMath>
        <m:sSub>
          <m:e>
            <m:r>
              <m:t>C</m:t>
            </m:r>
          </m:e>
          <m:sub>
            <m:r>
              <m:t>2</m:t>
            </m:r>
          </m:sub>
        </m:sSub>
      </m:oMath>
      <w:r>
        <w:t xml:space="preserve">, usamos a restrição orçamentária:</w:t>
      </w:r>
    </w:p>
    <w:p>
      <w:pPr>
        <w:pStyle w:val="BlockText"/>
      </w:pPr>
      <w:r>
        <w:t xml:space="preserve">$$</w:t>
      </w:r>
    </w:p>
    <w:p>
      <w:pPr>
        <w:pStyle w:val="BlockText"/>
      </w:pPr>
      <w:r>
        <w:t xml:space="preserve">C_2^* = (1+r)(W - C_1^*) = 1{,}1</w:t>
      </w:r>
      <w:r>
        <w:t xml:space="preserve"> </w:t>
      </w:r>
      <w:r>
        <w:t xml:space="preserve">(140 - 73{,}3) = 1{,}1</w:t>
      </w:r>
      <w:r>
        <w:t xml:space="preserve"> </w:t>
      </w:r>
      <w:r>
        <w:t xml:space="preserve">7</w:t>
      </w:r>
      <w:r>
        <w:t xml:space="preserve"> </w:t>
      </w:r>
      <w:r>
        <w:t xml:space="preserve">3</w:t>
      </w:r>
    </w:p>
    <w:p>
      <w:pPr>
        <w:pStyle w:val="BlockText"/>
      </w:pPr>
      <w:r>
        <w:t xml:space="preserve">$$</w:t>
      </w:r>
    </w:p>
    <w:p>
      <w:pPr>
        <w:pStyle w:val="BlockText"/>
      </w:pPr>
      <w:r>
        <w:t xml:space="preserve">Verificação pela condição de ótimo:</w:t>
      </w:r>
      <w:r>
        <w:t xml:space="preserve"> </w:t>
      </w:r>
      <m:oMath>
        <m:r>
          <m:t>T</m:t>
        </m:r>
        <m:r>
          <m:t>M</m:t>
        </m:r>
        <m:r>
          <m:t>S</m:t>
        </m:r>
        <m:r>
          <m:rPr>
            <m:sty m:val="p"/>
          </m:rPr>
          <m:t>=</m:t>
        </m:r>
        <m:sSub>
          <m:e>
            <m:r>
              <m:t>C</m:t>
            </m:r>
          </m:e>
          <m:sub>
            <m:r>
              <m:t>2</m:t>
            </m:r>
          </m:sub>
        </m:sSub>
        <m:r>
          <m:rPr>
            <m:sty m:val="p"/>
          </m:rPr>
          <m:t>/</m:t>
        </m:r>
        <m:r>
          <m:rPr>
            <m:sty m:val="p"/>
          </m:rPr>
          <m:t>(</m:t>
        </m:r>
        <m:sSub>
          <m:e>
            <m:r>
              <m:t>C</m:t>
            </m:r>
          </m:e>
          <m:sub>
            <m:r>
              <m:t>1</m:t>
            </m:r>
          </m:sub>
        </m:sSub>
        <m:r>
          <m:rPr>
            <m:sty m:val="p"/>
          </m:rPr>
          <m:t>⋅</m:t>
        </m:r>
        <m:r>
          <m:t>β</m:t>
        </m:r>
        <m:r>
          <m:rPr>
            <m:sty m:val="p"/>
          </m:rPr>
          <m:t>)</m:t>
        </m:r>
        <m:r>
          <m:rPr>
            <m:sty m:val="p"/>
          </m:rPr>
          <m:t>=</m:t>
        </m:r>
        <m:r>
          <m:t>73</m:t>
        </m:r>
        <m:r>
          <m:rPr>
            <m:sty m:val="p"/>
          </m:rPr>
          <m:t>,</m:t>
        </m:r>
        <m:r>
          <m:t>3</m:t>
        </m:r>
        <m:r>
          <m:rPr>
            <m:sty m:val="p"/>
          </m:rPr>
          <m:t>/</m:t>
        </m:r>
        <m:r>
          <m:rPr>
            <m:sty m:val="p"/>
          </m:rPr>
          <m:t>(</m:t>
        </m:r>
        <m:r>
          <m:t>73</m:t>
        </m:r>
        <m:r>
          <m:rPr>
            <m:sty m:val="p"/>
          </m:rPr>
          <m:t>,</m:t>
        </m:r>
        <m:r>
          <m:t>3</m:t>
        </m:r>
        <m:r>
          <m:rPr>
            <m:sty m:val="p"/>
          </m:rPr>
          <m:t>×</m:t>
        </m:r>
        <m:r>
          <m:t>10</m:t>
        </m:r>
        <m:r>
          <m:rPr>
            <m:sty m:val="p"/>
          </m:rPr>
          <m:t>/</m:t>
        </m:r>
        <m:r>
          <m:t>11</m:t>
        </m:r>
        <m:r>
          <m:rPr>
            <m:sty m:val="p"/>
          </m:rPr>
          <m:t>)</m:t>
        </m:r>
        <m:r>
          <m:rPr>
            <m:sty m:val="p"/>
          </m:rPr>
          <m:t>=</m:t>
        </m:r>
        <m:r>
          <m:t>11</m:t>
        </m:r>
        <m:r>
          <m:rPr>
            <m:sty m:val="p"/>
          </m:rPr>
          <m:t>/</m:t>
        </m:r>
        <m:r>
          <m:t>10</m:t>
        </m:r>
        <m:r>
          <m:rPr>
            <m:sty m:val="p"/>
          </m:rPr>
          <m:t>=</m:t>
        </m:r>
        <m:r>
          <m:t>1</m:t>
        </m:r>
        <m:r>
          <m:rPr>
            <m:sty m:val="p"/>
          </m:rPr>
          <m:t>,</m:t>
        </m:r>
        <m:r>
          <m:t>1</m:t>
        </m:r>
        <m:r>
          <m:rPr>
            <m:sty m:val="p"/>
          </m:rPr>
          <m:t>=</m:t>
        </m:r>
        <m:r>
          <m:t>1</m:t>
        </m:r>
        <m:r>
          <m:rPr>
            <m:sty m:val="p"/>
          </m:rPr>
          <m:t>+</m:t>
        </m:r>
        <m:r>
          <m:t>r</m:t>
        </m:r>
      </m:oMath>
      <w:r>
        <w:t xml:space="preserve">. ✓</w:t>
      </w:r>
    </w:p>
    <w:p>
      <w:pPr>
        <w:pStyle w:val="BlockText"/>
      </w:pPr>
      <w:r>
        <w:rPr>
          <w:b/>
          <w:bCs/>
        </w:rPr>
        <w:t xml:space="preserve">(c) Poupador ou devedor?</w:t>
      </w:r>
    </w:p>
    <w:p>
      <w:pPr>
        <w:pStyle w:val="BlockText"/>
      </w:pPr>
      <w:r>
        <w:t xml:space="preserve">Poupança:</w:t>
      </w:r>
      <w:r>
        <w:t xml:space="preserve"> </w:t>
      </w:r>
      <m:oMath>
        <m:r>
          <m:t>S</m:t>
        </m:r>
        <m:r>
          <m:rPr>
            <m:sty m:val="p"/>
          </m:rPr>
          <m:t>=</m:t>
        </m:r>
        <m:sSub>
          <m:e>
            <m:r>
              <m:t>Y</m:t>
            </m:r>
          </m:e>
          <m:sub>
            <m:r>
              <m:t>1</m:t>
            </m:r>
          </m:sub>
        </m:sSub>
        <m:r>
          <m:rPr>
            <m:sty m:val="p"/>
          </m:rPr>
          <m:t>−</m:t>
        </m:r>
        <m:sSubSup>
          <m:e>
            <m:r>
              <m:t>C</m:t>
            </m:r>
          </m:e>
          <m:sub>
            <m:r>
              <m:t>1</m:t>
            </m:r>
          </m:sub>
          <m:sup>
            <m:r>
              <m:rPr>
                <m:sty m:val="p"/>
              </m:rPr>
              <m:t>*</m:t>
            </m:r>
          </m:sup>
        </m:sSubSup>
        <m:r>
          <m:rPr>
            <m:sty m:val="p"/>
          </m:rPr>
          <m:t>=</m:t>
        </m:r>
        <m:r>
          <m:t>80</m:t>
        </m:r>
        <m:r>
          <m:rPr>
            <m:sty m:val="p"/>
          </m:rPr>
          <m:t>−</m:t>
        </m:r>
        <m:r>
          <m:t>73</m:t>
        </m:r>
        <m:r>
          <m:rPr>
            <m:sty m:val="p"/>
          </m:rPr>
          <m:t>,</m:t>
        </m:r>
        <m:r>
          <m:t>3</m:t>
        </m:r>
        <m:r>
          <m:rPr>
            <m:sty m:val="p"/>
          </m:rPr>
          <m:t>=</m:t>
        </m:r>
        <m:r>
          <m:t>6</m:t>
        </m:r>
        <m:r>
          <m:rPr>
            <m:sty m:val="p"/>
          </m:rPr>
          <m:t>,</m:t>
        </m:r>
        <m:r>
          <m:t>7</m:t>
        </m:r>
        <m:r>
          <m:rPr>
            <m:sty m:val="p"/>
          </m:rPr>
          <m:t>&gt;</m:t>
        </m:r>
        <m:r>
          <m:t>0</m:t>
        </m:r>
      </m:oMath>
      <w:r>
        <w:t xml:space="preserve">.</w:t>
      </w:r>
    </w:p>
    <w:p>
      <w:pPr>
        <w:pStyle w:val="BlockText"/>
      </w:pPr>
      <w:r>
        <w:t xml:space="preserve">O consumidor é</w:t>
      </w:r>
      <w:r>
        <w:t xml:space="preserve"> </w:t>
      </w:r>
      <w:r>
        <w:rPr>
          <w:b/>
          <w:bCs/>
        </w:rPr>
        <w:t xml:space="preserve">poupador</w:t>
      </w:r>
      <w:r>
        <w:t xml:space="preserve">. Ele transfere R$ 6,7 do período 1 para o período 2. Isso ocorre porque sua renda é relativamente mais concentrada no período 1, enquanto suas preferências (com</w:t>
      </w:r>
      <w:r>
        <w:t xml:space="preserve"> </w:t>
      </w:r>
      <m:oMath>
        <m:r>
          <m:t>β</m:t>
        </m:r>
        <m:r>
          <m:rPr>
            <m:sty m:val="p"/>
          </m:rPr>
          <m:t>=</m:t>
        </m:r>
        <m:r>
          <m:t>1</m:t>
        </m:r>
        <m:r>
          <m:rPr>
            <m:sty m:val="p"/>
          </m:rPr>
          <m:t>/</m:t>
        </m:r>
        <m:r>
          <m:t>1</m:t>
        </m:r>
        <m:r>
          <m:rPr>
            <m:sty m:val="p"/>
          </m:rPr>
          <m:t>,</m:t>
        </m:r>
        <m:r>
          <m:t>1</m:t>
        </m:r>
        <m:r>
          <m:rPr>
            <m:sty m:val="p"/>
          </m:rPr>
          <m:t>≈</m:t>
        </m:r>
        <m:r>
          <m:t>0</m:t>
        </m:r>
        <m:r>
          <m:rPr>
            <m:sty m:val="p"/>
          </m:rPr>
          <m:t>,</m:t>
        </m:r>
        <m:r>
          <m:t>91</m:t>
        </m:r>
      </m:oMath>
      <w:r>
        <w:t xml:space="preserve">, ou seja, taxa de desconto subjetiva</w:t>
      </w:r>
      <w:r>
        <w:t xml:space="preserve"> </w:t>
      </w:r>
      <m:oMath>
        <m:r>
          <m:t>ρ</m:t>
        </m:r>
        <m:r>
          <m:rPr>
            <m:sty m:val="p"/>
          </m:rPr>
          <m:t>=</m:t>
        </m:r>
        <m:r>
          <m:t>10</m:t>
        </m:r>
        <m:r>
          <m:rPr>
            <m:sty m:val="p"/>
          </m:rPr>
          <m:t>%</m:t>
        </m:r>
      </m:oMath>
      <w:r>
        <w:t xml:space="preserve"> </w:t>
      </w:r>
      <w:r>
        <w:t xml:space="preserve">igual à taxa de juros) induzem consumo suave ao longo do tempo.</w:t>
      </w:r>
    </w:p>
    <w:p>
      <w:pPr>
        <w:pStyle w:val="FirstParagraph"/>
      </w:pPr>
      <w:r>
        <w:t xml:space="preserve">[FIGURA INTERATIVA: /micro-book/graficos/cap18/webr-fisher.html — versao interativa disponivel online]</w:t>
      </w:r>
    </w:p>
    <w:p>
      <w:pPr>
        <w:pStyle w:val="BodyText"/>
      </w:pPr>
      <w:r>
        <w:rPr>
          <w:b/>
          <w:bCs/>
        </w:rPr>
        <w:t xml:space="preserve">WebR 18.3 — Modelo de Fisher: consumo intertemporal.</w:t>
      </w:r>
      <w:r>
        <w:t xml:space="preserve"> </w:t>
      </w:r>
      <w:r>
        <w:t xml:space="preserve">Modifique rendas, taxa de juros e taxa de desconto subjetiva para visualizar a restrição orçamentária intertemporal, a curva de indiferença e a escolha ótima entre poupar e tomar emprestado.</w:t>
      </w:r>
    </w:p>
    <w:p>
      <w:pPr>
        <w:pStyle w:val="BlockText"/>
      </w:pPr>
      <w:r>
        <w:rPr>
          <w:b/>
          <w:bCs/>
        </w:rPr>
        <w:t xml:space="preserve">[EXERCICIO RESOLVIDO] Exercício Resolvido 18.2 — VPL, TIR e decisão de investimento</w:t>
      </w:r>
    </w:p>
    <w:p>
      <w:pPr>
        <w:pStyle w:val="BlockText"/>
      </w:pPr>
      <w:r>
        <w:rPr>
          <w:b/>
          <w:bCs/>
        </w:rPr>
        <w:t xml:space="preserve">Enunciado.</w:t>
      </w:r>
      <w:r>
        <w:t xml:space="preserve"> </w:t>
      </w:r>
      <w:r>
        <w:t xml:space="preserve">Uma empresa avalia instalar painéis solares por R$ 200.000, com economia anual de R$ 55.000 durante 5 anos. O custo de oportunidade do capital é 12% a.a. (a) Calcule o VPL. (b) Calcule a TIR por interpolação. (c) O projeto deve ser aceito?</w:t>
      </w:r>
    </w:p>
    <w:p>
      <w:pPr>
        <w:pStyle w:val="BlockText"/>
      </w:pPr>
      <w:r>
        <w:rPr>
          <w:b/>
          <w:bCs/>
        </w:rPr>
        <w:t xml:space="preserve">Resolução.</w:t>
      </w:r>
    </w:p>
    <w:p>
      <w:pPr>
        <w:pStyle w:val="BlockText"/>
      </w:pPr>
      <w:r>
        <w:rPr>
          <w:b/>
          <w:bCs/>
        </w:rPr>
        <w:t xml:space="preserve">(a) VPL a 12%.</w:t>
      </w:r>
    </w:p>
    <w:p>
      <w:pPr>
        <w:pStyle w:val="BlockText"/>
      </w:pPr>
      <w:r>
        <w:t xml:space="preserve">$$</w:t>
      </w:r>
    </w:p>
    <w:p>
      <w:pPr>
        <w:pStyle w:val="BlockText"/>
      </w:pPr>
      <w:r>
        <w:t xml:space="preserve">VPL = -200.000 + 55.000</w:t>
      </w:r>
      <w:r>
        <w:t xml:space="preserve"> </w:t>
      </w:r>
    </w:p>
    <w:p>
      <w:pPr>
        <w:pStyle w:val="BlockText"/>
      </w:pPr>
      <w:r>
        <w:t xml:space="preserve">$$</w:t>
      </w:r>
    </w:p>
    <w:p>
      <w:pPr>
        <w:pStyle w:val="BlockText"/>
      </w:pPr>
      <w:r>
        <w:t xml:space="preserve">O fator de anuidade é:</w:t>
      </w:r>
    </w:p>
    <w:p>
      <w:pPr>
        <w:pStyle w:val="BlockText"/>
      </w:pPr>
      <w:r>
        <w:t xml:space="preserve">$$</w:t>
      </w:r>
    </w:p>
    <w:p>
      <w:pPr>
        <w:pStyle w:val="BlockText"/>
      </w:pPr>
      <w:r>
        <w:t xml:space="preserve"> </w:t>
      </w:r>
      <w:r>
        <w:t xml:space="preserve">=</w:t>
      </w:r>
      <w:r>
        <w:t xml:space="preserve"> </w:t>
      </w:r>
      <w:r>
        <w:t xml:space="preserve"> </w:t>
      </w:r>
      <w:r>
        <w:t xml:space="preserve">=</w:t>
      </w:r>
      <w:r>
        <w:t xml:space="preserve"> </w:t>
      </w:r>
      <w:r>
        <w:t xml:space="preserve"> </w:t>
      </w:r>
      <w:r>
        <w:t xml:space="preserve">= 3{,}6048</w:t>
      </w:r>
    </w:p>
    <w:p>
      <w:pPr>
        <w:pStyle w:val="BlockText"/>
      </w:pPr>
      <w:r>
        <w:t xml:space="preserve">$$</w:t>
      </w:r>
    </w:p>
    <w:p>
      <w:pPr>
        <w:pStyle w:val="BlockText"/>
      </w:pPr>
      <w:r>
        <w:t xml:space="preserve">$$</w:t>
      </w:r>
    </w:p>
    <w:p>
      <w:pPr>
        <w:pStyle w:val="BlockText"/>
      </w:pPr>
      <w:r>
        <w:t xml:space="preserve">VPL = -200.000 + 55.000</w:t>
      </w:r>
      <w:r>
        <w:t xml:space="preserve"> </w:t>
      </w:r>
      <w:r>
        <w:t xml:space="preserve">6048 = -200.000 + 198.264 = -1.736</w:t>
      </w:r>
    </w:p>
    <w:p>
      <w:pPr>
        <w:pStyle w:val="BlockText"/>
      </w:pPr>
      <w:r>
        <w:t xml:space="preserve">$$</w:t>
      </w:r>
    </w:p>
    <w:p>
      <w:pPr>
        <w:pStyle w:val="BlockText"/>
      </w:pPr>
      <w:r>
        <w:rPr>
          <w:b/>
          <w:bCs/>
        </w:rPr>
        <w:t xml:space="preserve">(b) TIR por interpolação.</w:t>
      </w:r>
    </w:p>
    <w:p>
      <w:pPr>
        <w:pStyle w:val="BlockText"/>
      </w:pPr>
      <w:r>
        <w:t xml:space="preserve">A 11%: fator de anuidade =</w:t>
      </w:r>
      <w:r>
        <w:t xml:space="preserve"> </w:t>
      </w:r>
      <m:oMath>
        <m:f>
          <m:fPr>
            <m:type m:val="bar"/>
          </m:fPr>
          <m:num>
            <m:r>
              <m:t>1</m:t>
            </m:r>
            <m:r>
              <m:rPr>
                <m:sty m:val="p"/>
              </m:rPr>
              <m:t>−</m:t>
            </m:r>
            <m:r>
              <m:rPr>
                <m:sty m:val="p"/>
              </m:rPr>
              <m:t>(</m:t>
            </m:r>
            <m:r>
              <m:t>1</m:t>
            </m:r>
            <m:r>
              <m:rPr>
                <m:sty m:val="p"/>
              </m:rPr>
              <m:t>,</m:t>
            </m:r>
            <m:r>
              <m:t>11</m:t>
            </m:r>
            <m:sSup>
              <m:e>
                <m:r>
                  <m:rPr>
                    <m:sty m:val="p"/>
                  </m:rPr>
                  <m:t>)</m:t>
                </m:r>
              </m:e>
              <m:sup>
                <m:r>
                  <m:rPr>
                    <m:sty m:val="p"/>
                  </m:rPr>
                  <m:t>−</m:t>
                </m:r>
                <m:r>
                  <m:t>5</m:t>
                </m:r>
              </m:sup>
            </m:sSup>
          </m:num>
          <m:den>
            <m:r>
              <m:t>0</m:t>
            </m:r>
            <m:r>
              <m:rPr>
                <m:sty m:val="p"/>
              </m:rPr>
              <m:t>,</m:t>
            </m:r>
            <m:r>
              <m:t>11</m:t>
            </m:r>
          </m:den>
        </m:f>
        <m:r>
          <m:rPr>
            <m:sty m:val="p"/>
          </m:rPr>
          <m:t>=</m:t>
        </m:r>
        <m:r>
          <m:t>3</m:t>
        </m:r>
        <m:r>
          <m:rPr>
            <m:sty m:val="p"/>
          </m:rPr>
          <m:t>,</m:t>
        </m:r>
        <m:r>
          <m:t>6959</m:t>
        </m:r>
      </m:oMath>
      <w:r>
        <w:t xml:space="preserve">. VPL =</w:t>
      </w:r>
      <w:r>
        <w:t xml:space="preserve"> </w:t>
      </w:r>
      <m:oMath>
        <m:r>
          <m:rPr>
            <m:sty m:val="p"/>
          </m:rPr>
          <m:t>−</m:t>
        </m:r>
        <m:r>
          <m:t>200.000</m:t>
        </m:r>
        <m:r>
          <m:rPr>
            <m:sty m:val="p"/>
          </m:rPr>
          <m:t>+</m:t>
        </m:r>
        <m:r>
          <m:t>55.000</m:t>
        </m:r>
        <m:r>
          <m:rPr>
            <m:sty m:val="p"/>
          </m:rPr>
          <m:t>×</m:t>
        </m:r>
        <m:r>
          <m:t>3</m:t>
        </m:r>
        <m:r>
          <m:rPr>
            <m:sty m:val="p"/>
          </m:rPr>
          <m:t>,</m:t>
        </m:r>
        <m:r>
          <m:t>6959</m:t>
        </m:r>
        <m:r>
          <m:rPr>
            <m:sty m:val="p"/>
          </m:rPr>
          <m:t>=</m:t>
        </m:r>
        <m:r>
          <m:t>3.275</m:t>
        </m:r>
      </m:oMath>
      <w:r>
        <w:t xml:space="preserve">.</w:t>
      </w:r>
    </w:p>
    <w:p>
      <w:pPr>
        <w:pStyle w:val="BlockText"/>
      </w:pPr>
      <w:r>
        <w:t xml:space="preserve">A 12%: VPL =</w:t>
      </w:r>
      <w:r>
        <w:t xml:space="preserve"> </w:t>
      </w:r>
      <m:oMath>
        <m:r>
          <m:rPr>
            <m:sty m:val="p"/>
          </m:rPr>
          <m:t>−</m:t>
        </m:r>
        <m:r>
          <m:t>1.736</m:t>
        </m:r>
      </m:oMath>
      <w:r>
        <w:t xml:space="preserve"> </w:t>
      </w:r>
      <w:r>
        <w:t xml:space="preserve">(calculado acima).</w:t>
      </w:r>
    </w:p>
    <w:p>
      <w:pPr>
        <w:pStyle w:val="BlockText"/>
      </w:pPr>
      <w:r>
        <w:t xml:space="preserve">Por interpolação linear:</w:t>
      </w:r>
    </w:p>
    <w:p>
      <w:pPr>
        <w:pStyle w:val="BlockText"/>
      </w:pPr>
      <w:r>
        <w:t xml:space="preserve">$$</w:t>
      </w:r>
    </w:p>
    <w:p>
      <w:pPr>
        <w:pStyle w:val="BlockText"/>
      </w:pPr>
      <w:r>
        <w:t xml:space="preserve">TIR</w:t>
      </w:r>
      <w:r>
        <w:t xml:space="preserve"> </w:t>
      </w:r>
      <w:r>
        <w:t xml:space="preserve">% +</w:t>
      </w:r>
      <w:r>
        <w:t xml:space="preserve"> </w:t>
      </w:r>
      <w:r>
        <w:t xml:space="preserve"> </w:t>
      </w:r>
      <w:r>
        <w:t xml:space="preserve">% = 11% + 0{,}65%</w:t>
      </w:r>
      <w:r>
        <w:t xml:space="preserve"> </w:t>
      </w:r>
      <w:r>
        <w:t xml:space="preserve">65%</w:t>
      </w:r>
    </w:p>
    <w:p>
      <w:pPr>
        <w:pStyle w:val="BlockText"/>
      </w:pPr>
      <w:r>
        <w:t xml:space="preserve">$$</w:t>
      </w:r>
    </w:p>
    <w:p>
      <w:pPr>
        <w:pStyle w:val="BlockText"/>
      </w:pPr>
      <w:r>
        <w:rPr>
          <w:b/>
          <w:bCs/>
        </w:rPr>
        <w:t xml:space="preserve">(c) Decisão.</w:t>
      </w:r>
    </w:p>
    <w:p>
      <w:pPr>
        <w:pStyle w:val="BlockText"/>
      </w:pPr>
      <w:r>
        <w:t xml:space="preserve">Como</w:t>
      </w:r>
      <w:r>
        <w:t xml:space="preserve"> </w:t>
      </w:r>
      <m:oMath>
        <m:r>
          <m:t>V</m:t>
        </m:r>
        <m:r>
          <m:t>P</m:t>
        </m:r>
        <m:r>
          <m:t>L</m:t>
        </m:r>
        <m:r>
          <m:rPr>
            <m:sty m:val="p"/>
          </m:rPr>
          <m:t>&lt;</m:t>
        </m:r>
        <m:r>
          <m:t>0</m:t>
        </m:r>
      </m:oMath>
      <w:r>
        <w:t xml:space="preserve"> </w:t>
      </w:r>
      <w:r>
        <w:t xml:space="preserve">(equivalentemente,</w:t>
      </w:r>
      <w:r>
        <w:t xml:space="preserve"> </w:t>
      </w:r>
      <m:oMath>
        <m:r>
          <m:t>T</m:t>
        </m:r>
        <m:r>
          <m:t>I</m:t>
        </m:r>
        <m:r>
          <m:t>R</m:t>
        </m:r>
        <m:r>
          <m:rPr>
            <m:sty m:val="p"/>
          </m:rPr>
          <m:t>≈</m:t>
        </m:r>
        <m:r>
          <m:t>11</m:t>
        </m:r>
        <m:r>
          <m:rPr>
            <m:sty m:val="p"/>
          </m:rPr>
          <m:t>,</m:t>
        </m:r>
        <m:r>
          <m:t>65</m:t>
        </m:r>
        <m:r>
          <m:rPr>
            <m:sty m:val="p"/>
          </m:rPr>
          <m:t>%</m:t>
        </m:r>
        <m:r>
          <m:rPr>
            <m:sty m:val="p"/>
          </m:rPr>
          <m:t>&lt;</m:t>
        </m:r>
        <m:r>
          <m:t>12</m:t>
        </m:r>
        <m:r>
          <m:rPr>
            <m:sty m:val="p"/>
          </m:rPr>
          <m:t>%</m:t>
        </m:r>
        <m:r>
          <m:rPr>
            <m:sty m:val="p"/>
          </m:rPr>
          <m:t>=</m:t>
        </m:r>
        <m:r>
          <m:t>r</m:t>
        </m:r>
      </m:oMath>
      <w:r>
        <w:t xml:space="preserve">), o projeto</w:t>
      </w:r>
      <w:r>
        <w:t xml:space="preserve"> </w:t>
      </w:r>
      <w:r>
        <w:rPr>
          <w:b/>
          <w:bCs/>
        </w:rPr>
        <w:t xml:space="preserve">não deve ser aceito</w:t>
      </w:r>
      <w:r>
        <w:t xml:space="preserve">. No contexto brasileiro, onde a taxa Selic real historicamente supera 5%, muitos projetos de infraestrutura e energia limpa que seriam viáveis em países com juros baixos tornam-se marginais ou inviáveis — ilustrando o impacto dos juros elevados sobre o investimento produtivo.</w:t>
      </w:r>
    </w:p>
    <w:p>
      <w:pPr>
        <w:pStyle w:val="FirstParagraph"/>
      </w:pPr>
      <w:r>
        <w:t xml:space="preserve">[FIGURA INTERATIVA: /micro-book/graficos/cap18/webr-vpl-tir.html — versao interativa disponivel online]</w:t>
      </w:r>
    </w:p>
    <w:p>
      <w:pPr>
        <w:pStyle w:val="BodyText"/>
      </w:pPr>
      <w:r>
        <w:rPr>
          <w:b/>
          <w:bCs/>
        </w:rPr>
        <w:t xml:space="preserve">WebR 18.4 — VPL, TIR e decisão de investimento.</w:t>
      </w:r>
      <w:r>
        <w:t xml:space="preserve"> </w:t>
      </w:r>
      <w:r>
        <w:t xml:space="preserve">Altere o investimento inicial, fluxos de caixa e custo de oportunidade para ver como a curva VPL(r) determina a viabilidade do projeto. Compare decisões a taxas brasileiras e americanas.</w:t>
      </w:r>
    </w:p>
    <w:p>
      <w:pPr>
        <w:pStyle w:val="BlockText"/>
      </w:pPr>
      <w:r>
        <w:rPr>
          <w:b/>
          <w:bCs/>
        </w:rPr>
        <w:t xml:space="preserve">[EXERCICIO RESOLVIDO] Exercício Resolvido 18.3 — Regra de Hotelling e trajetória de preços</w:t>
      </w:r>
    </w:p>
    <w:p>
      <w:pPr>
        <w:pStyle w:val="BlockText"/>
      </w:pPr>
      <w:r>
        <w:rPr>
          <w:b/>
          <w:bCs/>
        </w:rPr>
        <w:t xml:space="preserve">Enunciado.</w:t>
      </w:r>
      <w:r>
        <w:t xml:space="preserve"> </w:t>
      </w:r>
      <w:r>
        <w:t xml:space="preserve">Um depósito de lítio tem estoque</w:t>
      </w:r>
      <w:r>
        <w:t xml:space="preserve"> </w:t>
      </w:r>
      <m:oMath>
        <m:sSub>
          <m:e>
            <m:r>
              <m:t>S</m:t>
            </m:r>
          </m:e>
          <m:sub>
            <m:r>
              <m:t>0</m:t>
            </m:r>
          </m:sub>
        </m:sSub>
        <m:r>
          <m:rPr>
            <m:sty m:val="p"/>
          </m:rPr>
          <m:t>=</m:t>
        </m:r>
        <m:r>
          <m:t>5.000</m:t>
        </m:r>
      </m:oMath>
      <w:r>
        <w:t xml:space="preserve"> </w:t>
      </w:r>
      <w:r>
        <w:t xml:space="preserve">toneladas. O preço inicial é</w:t>
      </w:r>
      <w:r>
        <w:t xml:space="preserve"> </w:t>
      </w:r>
      <m:oMath>
        <m:sSub>
          <m:e>
            <m:r>
              <m:t>p</m:t>
            </m:r>
          </m:e>
          <m:sub>
            <m:r>
              <m:t>0</m:t>
            </m:r>
          </m:sub>
        </m:sSub>
        <m:r>
          <m:rPr>
            <m:sty m:val="p"/>
          </m:rPr>
          <m:t>=</m:t>
        </m:r>
        <m:r>
          <m:t>80</m:t>
        </m:r>
      </m:oMath>
      <w:r>
        <w:t xml:space="preserve"> </w:t>
      </w:r>
      <w:r>
        <w:t xml:space="preserve">mil reais/tonelada, o custo de extração é</w:t>
      </w:r>
      <w:r>
        <w:t xml:space="preserve"> </w:t>
      </w:r>
      <m:oMath>
        <m:r>
          <m:t>c</m:t>
        </m:r>
        <m:r>
          <m:rPr>
            <m:sty m:val="p"/>
          </m:rPr>
          <m:t>=</m:t>
        </m:r>
        <m:r>
          <m:t>20</m:t>
        </m:r>
      </m:oMath>
      <w:r>
        <w:t xml:space="preserve"> </w:t>
      </w:r>
      <w:r>
        <w:t xml:space="preserve">mil reais/tonelada e a taxa de juros real é</w:t>
      </w:r>
      <w:r>
        <w:t xml:space="preserve"> </w:t>
      </w:r>
      <m:oMath>
        <m:r>
          <m:t>r</m:t>
        </m:r>
        <m:r>
          <m:rPr>
            <m:sty m:val="p"/>
          </m:rPr>
          <m:t>=</m:t>
        </m:r>
        <m:r>
          <m:t>4</m:t>
        </m:r>
        <m:r>
          <m:rPr>
            <m:sty m:val="p"/>
          </m:rPr>
          <m:t>%</m:t>
        </m:r>
      </m:oMath>
      <w:r>
        <w:t xml:space="preserve"> </w:t>
      </w:r>
      <w:r>
        <w:t xml:space="preserve">ao ano. (a) Qual a renda de escassez inicial? (b) Segundo Hotelling, qual será o preço em 10 e 20 anos? (c) Se uma nova tecnologia de reciclagem de baterias surgir em 15 anos, tornando disponível um substituto perfeito a R$ 100 mil/tonelada, como isso afeta a trajetória?</w:t>
      </w:r>
    </w:p>
    <w:p>
      <w:pPr>
        <w:pStyle w:val="BlockText"/>
      </w:pPr>
      <w:r>
        <w:rPr>
          <w:b/>
          <w:bCs/>
        </w:rPr>
        <w:t xml:space="preserve">Resolução.</w:t>
      </w:r>
    </w:p>
    <w:p>
      <w:pPr>
        <w:pStyle w:val="BlockText"/>
      </w:pPr>
      <w:r>
        <w:rPr>
          <w:b/>
          <w:bCs/>
        </w:rPr>
        <w:t xml:space="preserve">(a) Renda de escassez inicial.</w:t>
      </w:r>
    </w:p>
    <w:p>
      <w:pPr>
        <w:pStyle w:val="BlockText"/>
      </w:pPr>
      <w:r>
        <w:t xml:space="preserve">$$</w:t>
      </w:r>
    </w:p>
    <w:p>
      <w:pPr>
        <w:pStyle w:val="BlockText"/>
      </w:pPr>
      <w:r>
        <w:t xml:space="preserve">R_0 = p_0 - c = 80 - 20 = 60</w:t>
      </w:r>
      <w:r>
        <w:t xml:space="preserve"> </w:t>
      </w:r>
    </w:p>
    <w:p>
      <w:pPr>
        <w:pStyle w:val="BlockText"/>
      </w:pPr>
      <w:r>
        <w:t xml:space="preserve">$$</w:t>
      </w:r>
    </w:p>
    <w:p>
      <w:pPr>
        <w:pStyle w:val="BlockText"/>
      </w:pPr>
      <w:r>
        <w:rPr>
          <w:b/>
          <w:bCs/>
        </w:rPr>
        <w:t xml:space="preserve">(b) Preços futuros pela regra de Hotelling.</w:t>
      </w:r>
    </w:p>
    <w:p>
      <w:pPr>
        <w:pStyle w:val="BlockText"/>
      </w:pPr>
      <w:r>
        <w:t xml:space="preserve">A renda de escassez cresce à taxa de juros:</w:t>
      </w:r>
      <w:r>
        <w:t xml:space="preserve"> </w:t>
      </w:r>
      <m:oMath>
        <m:sSub>
          <m:e>
            <m:r>
              <m:t>R</m:t>
            </m:r>
          </m:e>
          <m:sub>
            <m:r>
              <m:t>t</m:t>
            </m:r>
          </m:sub>
        </m:sSub>
        <m:r>
          <m:rPr>
            <m:sty m:val="p"/>
          </m:rPr>
          <m:t>=</m:t>
        </m:r>
        <m:sSub>
          <m:e>
            <m:r>
              <m:t>R</m:t>
            </m:r>
          </m:e>
          <m:sub>
            <m:r>
              <m:t>0</m:t>
            </m:r>
          </m:sub>
        </m:sSub>
        <m:r>
          <m:rPr>
            <m:sty m:val="p"/>
          </m:rPr>
          <m:t>(</m:t>
        </m:r>
        <m:r>
          <m:t>1</m:t>
        </m:r>
        <m:r>
          <m:rPr>
            <m:sty m:val="p"/>
          </m:rPr>
          <m:t>+</m:t>
        </m:r>
        <m:r>
          <m:t>r</m:t>
        </m:r>
        <m:sSup>
          <m:e>
            <m:r>
              <m:rPr>
                <m:sty m:val="p"/>
              </m:rPr>
              <m:t>)</m:t>
            </m:r>
          </m:e>
          <m:sup>
            <m:r>
              <m:t>t</m:t>
            </m:r>
          </m:sup>
        </m:sSup>
      </m:oMath>
      <w:r>
        <w:t xml:space="preserve">.</w:t>
      </w:r>
    </w:p>
    <w:p>
      <w:pPr>
        <w:pStyle w:val="BlockText"/>
      </w:pPr>
      <w:r>
        <w:t xml:space="preserve">Em 10 anos:</w:t>
      </w:r>
      <w:r>
        <w:t xml:space="preserve"> </w:t>
      </w:r>
      <m:oMath>
        <m:sSub>
          <m:e>
            <m:r>
              <m:t>R</m:t>
            </m:r>
          </m:e>
          <m:sub>
            <m:r>
              <m:t>10</m:t>
            </m:r>
          </m:sub>
        </m:sSub>
        <m:r>
          <m:rPr>
            <m:sty m:val="p"/>
          </m:rPr>
          <m:t>=</m:t>
        </m:r>
        <m:r>
          <m:t>60</m:t>
        </m:r>
        <m:r>
          <m:rPr>
            <m:sty m:val="p"/>
          </m:rPr>
          <m:t>×</m:t>
        </m:r>
        <m:r>
          <m:rPr>
            <m:sty m:val="p"/>
          </m:rPr>
          <m:t>(</m:t>
        </m:r>
        <m:r>
          <m:t>1</m:t>
        </m:r>
        <m:r>
          <m:rPr>
            <m:sty m:val="p"/>
          </m:rPr>
          <m:t>,</m:t>
        </m:r>
        <m:r>
          <m:t>04</m:t>
        </m:r>
        <m:sSup>
          <m:e>
            <m:r>
              <m:rPr>
                <m:sty m:val="p"/>
              </m:rPr>
              <m:t>)</m:t>
            </m:r>
          </m:e>
          <m:sup>
            <m:r>
              <m:t>10</m:t>
            </m:r>
          </m:sup>
        </m:sSup>
        <m:r>
          <m:rPr>
            <m:sty m:val="p"/>
          </m:rPr>
          <m:t>=</m:t>
        </m:r>
        <m:r>
          <m:t>60</m:t>
        </m:r>
        <m:r>
          <m:rPr>
            <m:sty m:val="p"/>
          </m:rPr>
          <m:t>×</m:t>
        </m:r>
        <m:r>
          <m:t>1</m:t>
        </m:r>
        <m:r>
          <m:rPr>
            <m:sty m:val="p"/>
          </m:rPr>
          <m:t>,</m:t>
        </m:r>
        <m:r>
          <m:t>4802</m:t>
        </m:r>
        <m:r>
          <m:rPr>
            <m:sty m:val="p"/>
          </m:rPr>
          <m:t>=</m:t>
        </m:r>
        <m:r>
          <m:t>88</m:t>
        </m:r>
        <m:r>
          <m:rPr>
            <m:sty m:val="p"/>
          </m:rPr>
          <m:t>,</m:t>
        </m:r>
        <m:r>
          <m:t>81</m:t>
        </m:r>
      </m:oMath>
      <w:r>
        <w:t xml:space="preserve">. Logo</w:t>
      </w:r>
      <w:r>
        <w:t xml:space="preserve"> </w:t>
      </w:r>
      <m:oMath>
        <m:sSub>
          <m:e>
            <m:r>
              <m:t>p</m:t>
            </m:r>
          </m:e>
          <m:sub>
            <m:r>
              <m:t>10</m:t>
            </m:r>
          </m:sub>
        </m:sSub>
        <m:r>
          <m:rPr>
            <m:sty m:val="p"/>
          </m:rPr>
          <m:t>=</m:t>
        </m:r>
        <m:r>
          <m:t>88</m:t>
        </m:r>
        <m:r>
          <m:rPr>
            <m:sty m:val="p"/>
          </m:rPr>
          <m:t>,</m:t>
        </m:r>
        <m:r>
          <m:t>81</m:t>
        </m:r>
        <m:r>
          <m:rPr>
            <m:sty m:val="p"/>
          </m:rPr>
          <m:t>+</m:t>
        </m:r>
        <m:r>
          <m:t>20</m:t>
        </m:r>
        <m:r>
          <m:rPr>
            <m:sty m:val="p"/>
          </m:rPr>
          <m:t>=</m:t>
        </m:r>
        <m:r>
          <m:t>108</m:t>
        </m:r>
        <m:r>
          <m:rPr>
            <m:sty m:val="p"/>
          </m:rPr>
          <m:t>,</m:t>
        </m:r>
        <m:r>
          <m:t>81</m:t>
        </m:r>
      </m:oMath>
      <w:r>
        <w:t xml:space="preserve"> </w:t>
      </w:r>
      <w:r>
        <w:t xml:space="preserve">mil reais.</w:t>
      </w:r>
    </w:p>
    <w:p>
      <w:pPr>
        <w:pStyle w:val="BlockText"/>
      </w:pPr>
      <w:r>
        <w:t xml:space="preserve">Em 20 anos:</w:t>
      </w:r>
      <w:r>
        <w:t xml:space="preserve"> </w:t>
      </w:r>
      <m:oMath>
        <m:sSub>
          <m:e>
            <m:r>
              <m:t>R</m:t>
            </m:r>
          </m:e>
          <m:sub>
            <m:r>
              <m:t>20</m:t>
            </m:r>
          </m:sub>
        </m:sSub>
        <m:r>
          <m:rPr>
            <m:sty m:val="p"/>
          </m:rPr>
          <m:t>=</m:t>
        </m:r>
        <m:r>
          <m:t>60</m:t>
        </m:r>
        <m:r>
          <m:rPr>
            <m:sty m:val="p"/>
          </m:rPr>
          <m:t>×</m:t>
        </m:r>
        <m:r>
          <m:rPr>
            <m:sty m:val="p"/>
          </m:rPr>
          <m:t>(</m:t>
        </m:r>
        <m:r>
          <m:t>1</m:t>
        </m:r>
        <m:r>
          <m:rPr>
            <m:sty m:val="p"/>
          </m:rPr>
          <m:t>,</m:t>
        </m:r>
        <m:r>
          <m:t>04</m:t>
        </m:r>
        <m:sSup>
          <m:e>
            <m:r>
              <m:rPr>
                <m:sty m:val="p"/>
              </m:rPr>
              <m:t>)</m:t>
            </m:r>
          </m:e>
          <m:sup>
            <m:r>
              <m:t>20</m:t>
            </m:r>
          </m:sup>
        </m:sSup>
        <m:r>
          <m:rPr>
            <m:sty m:val="p"/>
          </m:rPr>
          <m:t>=</m:t>
        </m:r>
        <m:r>
          <m:t>60</m:t>
        </m:r>
        <m:r>
          <m:rPr>
            <m:sty m:val="p"/>
          </m:rPr>
          <m:t>×</m:t>
        </m:r>
        <m:r>
          <m:t>2</m:t>
        </m:r>
        <m:r>
          <m:rPr>
            <m:sty m:val="p"/>
          </m:rPr>
          <m:t>,</m:t>
        </m:r>
        <m:r>
          <m:t>1911</m:t>
        </m:r>
        <m:r>
          <m:rPr>
            <m:sty m:val="p"/>
          </m:rPr>
          <m:t>=</m:t>
        </m:r>
        <m:r>
          <m:t>131</m:t>
        </m:r>
        <m:r>
          <m:rPr>
            <m:sty m:val="p"/>
          </m:rPr>
          <m:t>,</m:t>
        </m:r>
        <m:r>
          <m:t>47</m:t>
        </m:r>
      </m:oMath>
      <w:r>
        <w:t xml:space="preserve">. Logo</w:t>
      </w:r>
      <w:r>
        <w:t xml:space="preserve"> </w:t>
      </w:r>
      <m:oMath>
        <m:sSub>
          <m:e>
            <m:r>
              <m:t>p</m:t>
            </m:r>
          </m:e>
          <m:sub>
            <m:r>
              <m:t>20</m:t>
            </m:r>
          </m:sub>
        </m:sSub>
        <m:r>
          <m:rPr>
            <m:sty m:val="p"/>
          </m:rPr>
          <m:t>=</m:t>
        </m:r>
        <m:r>
          <m:t>131</m:t>
        </m:r>
        <m:r>
          <m:rPr>
            <m:sty m:val="p"/>
          </m:rPr>
          <m:t>,</m:t>
        </m:r>
        <m:r>
          <m:t>47</m:t>
        </m:r>
        <m:r>
          <m:rPr>
            <m:sty m:val="p"/>
          </m:rPr>
          <m:t>+</m:t>
        </m:r>
        <m:r>
          <m:t>20</m:t>
        </m:r>
        <m:r>
          <m:rPr>
            <m:sty m:val="p"/>
          </m:rPr>
          <m:t>=</m:t>
        </m:r>
        <m:r>
          <m:t>151</m:t>
        </m:r>
        <m:r>
          <m:rPr>
            <m:sty m:val="p"/>
          </m:rPr>
          <m:t>,</m:t>
        </m:r>
        <m:r>
          <m:t>47</m:t>
        </m:r>
      </m:oMath>
      <w:r>
        <w:t xml:space="preserve"> </w:t>
      </w:r>
      <w:r>
        <w:t xml:space="preserve">mil reais.</w:t>
      </w:r>
    </w:p>
    <w:p>
      <w:pPr>
        <w:pStyle w:val="BlockText"/>
      </w:pPr>
      <w:r>
        <w:rPr>
          <w:b/>
          <w:bCs/>
        </w:rPr>
        <w:t xml:space="preserve">(c) Efeito do substituto (backstop technology).</w:t>
      </w:r>
    </w:p>
    <w:p>
      <w:pPr>
        <w:pStyle w:val="BlockText"/>
      </w:pPr>
      <w:r>
        <w:t xml:space="preserve">Se em</w:t>
      </w:r>
      <w:r>
        <w:t xml:space="preserve"> </w:t>
      </w:r>
      <m:oMath>
        <m:r>
          <m:t>t</m:t>
        </m:r>
        <m:r>
          <m:rPr>
            <m:sty m:val="p"/>
          </m:rPr>
          <m:t>=</m:t>
        </m:r>
        <m:r>
          <m:t>15</m:t>
        </m:r>
      </m:oMath>
      <w:r>
        <w:t xml:space="preserve"> </w:t>
      </w:r>
      <w:r>
        <w:t xml:space="preserve">surge um substituto perfeito a R$ 100 mil, o preço do lítio não pode ultrapassar esse teto (ninguém pagaria mais pelo lítio do que pelo substituto). Portanto, o preço terminal é</w:t>
      </w:r>
      <w:r>
        <w:t xml:space="preserve"> </w:t>
      </w:r>
      <m:oMath>
        <m:sSub>
          <m:e>
            <m:r>
              <m:t>p</m:t>
            </m:r>
          </m:e>
          <m:sub>
            <m:r>
              <m:t>15</m:t>
            </m:r>
          </m:sub>
        </m:sSub>
        <m:r>
          <m:rPr>
            <m:sty m:val="p"/>
          </m:rPr>
          <m:t>=</m:t>
        </m:r>
        <m:r>
          <m:t>100</m:t>
        </m:r>
      </m:oMath>
      <w:r>
        <w:t xml:space="preserve">, o que implica</w:t>
      </w:r>
      <w:r>
        <w:t xml:space="preserve"> </w:t>
      </w:r>
      <m:oMath>
        <m:sSub>
          <m:e>
            <m:r>
              <m:t>R</m:t>
            </m:r>
          </m:e>
          <m:sub>
            <m:r>
              <m:t>15</m:t>
            </m:r>
          </m:sub>
        </m:sSub>
        <m:r>
          <m:rPr>
            <m:sty m:val="p"/>
          </m:rPr>
          <m:t>=</m:t>
        </m:r>
        <m:r>
          <m:t>80</m:t>
        </m:r>
      </m:oMath>
      <w:r>
        <w:t xml:space="preserve">.</w:t>
      </w:r>
    </w:p>
    <w:p>
      <w:pPr>
        <w:pStyle w:val="BlockText"/>
      </w:pPr>
      <w:r>
        <w:t xml:space="preserve">A renda de escassez inicial se ajusta:</w:t>
      </w:r>
      <w:r>
        <w:t xml:space="preserve"> </w:t>
      </w:r>
      <m:oMath>
        <m:sSubSup>
          <m:e>
            <m:r>
              <m:t>R</m:t>
            </m:r>
          </m:e>
          <m:sub>
            <m:r>
              <m:t>0</m:t>
            </m:r>
          </m:sub>
          <m:sup>
            <m:r>
              <m:rPr>
                <m:sty m:val="p"/>
              </m:rPr>
              <m:t>′</m:t>
            </m:r>
          </m:sup>
        </m:sSubSup>
        <m:r>
          <m:rPr>
            <m:sty m:val="p"/>
          </m:rPr>
          <m:t>=</m:t>
        </m:r>
        <m:sSub>
          <m:e>
            <m:r>
              <m:t>R</m:t>
            </m:r>
          </m:e>
          <m:sub>
            <m:r>
              <m:t>15</m:t>
            </m:r>
          </m:sub>
        </m:sSub>
        <m:r>
          <m:rPr>
            <m:sty m:val="p"/>
          </m:rPr>
          <m:t>/</m:t>
        </m:r>
        <m:r>
          <m:rPr>
            <m:sty m:val="p"/>
          </m:rPr>
          <m:t>(</m:t>
        </m:r>
        <m:r>
          <m:t>1</m:t>
        </m:r>
        <m:r>
          <m:rPr>
            <m:sty m:val="p"/>
          </m:rPr>
          <m:t>,</m:t>
        </m:r>
        <m:r>
          <m:t>04</m:t>
        </m:r>
        <m:sSup>
          <m:e>
            <m:r>
              <m:rPr>
                <m:sty m:val="p"/>
              </m:rPr>
              <m:t>)</m:t>
            </m:r>
          </m:e>
          <m:sup>
            <m:r>
              <m:t>15</m:t>
            </m:r>
          </m:sup>
        </m:sSup>
        <m:r>
          <m:rPr>
            <m:sty m:val="p"/>
          </m:rPr>
          <m:t>=</m:t>
        </m:r>
        <m:r>
          <m:t>80</m:t>
        </m:r>
        <m:r>
          <m:rPr>
            <m:sty m:val="p"/>
          </m:rPr>
          <m:t>/</m:t>
        </m:r>
        <m:r>
          <m:t>1</m:t>
        </m:r>
        <m:r>
          <m:rPr>
            <m:sty m:val="p"/>
          </m:rPr>
          <m:t>,</m:t>
        </m:r>
        <m:r>
          <m:t>8009</m:t>
        </m:r>
        <m:r>
          <m:rPr>
            <m:sty m:val="p"/>
          </m:rPr>
          <m:t>=</m:t>
        </m:r>
        <m:r>
          <m:t>44</m:t>
        </m:r>
        <m:r>
          <m:rPr>
            <m:sty m:val="p"/>
          </m:rPr>
          <m:t>,</m:t>
        </m:r>
        <m:r>
          <m:t>42</m:t>
        </m:r>
      </m:oMath>
      <w:r>
        <w:t xml:space="preserve">. Logo o preço inicial cairia para</w:t>
      </w:r>
      <w:r>
        <w:t xml:space="preserve"> </w:t>
      </w:r>
      <m:oMath>
        <m:sSubSup>
          <m:e>
            <m:r>
              <m:t>p</m:t>
            </m:r>
          </m:e>
          <m:sub>
            <m:r>
              <m:t>0</m:t>
            </m:r>
          </m:sub>
          <m:sup>
            <m:r>
              <m:rPr>
                <m:sty m:val="p"/>
              </m:rPr>
              <m:t>′</m:t>
            </m:r>
          </m:sup>
        </m:sSubSup>
        <m:r>
          <m:rPr>
            <m:sty m:val="p"/>
          </m:rPr>
          <m:t>=</m:t>
        </m:r>
        <m:r>
          <m:t>44</m:t>
        </m:r>
        <m:r>
          <m:rPr>
            <m:sty m:val="p"/>
          </m:rPr>
          <m:t>,</m:t>
        </m:r>
        <m:r>
          <m:t>42</m:t>
        </m:r>
        <m:r>
          <m:rPr>
            <m:sty m:val="p"/>
          </m:rPr>
          <m:t>+</m:t>
        </m:r>
        <m:r>
          <m:t>20</m:t>
        </m:r>
        <m:r>
          <m:rPr>
            <m:sty m:val="p"/>
          </m:rPr>
          <m:t>=</m:t>
        </m:r>
        <m:r>
          <m:t>64</m:t>
        </m:r>
        <m:r>
          <m:rPr>
            <m:sty m:val="p"/>
          </m:rPr>
          <m:t>,</m:t>
        </m:r>
        <m:r>
          <m:t>42</m:t>
        </m:r>
      </m:oMath>
      <w:r>
        <w:t xml:space="preserve"> </w:t>
      </w:r>
      <w:r>
        <w:t xml:space="preserve">mil reais — menor que os R$ 80 mil originais.</w:t>
      </w:r>
    </w:p>
    <w:p>
      <w:pPr>
        <w:pStyle w:val="BlockText"/>
      </w:pPr>
      <w:r>
        <w:rPr>
          <w:b/>
          <w:bCs/>
        </w:rPr>
        <w:t xml:space="preserve">Interpretação:</w:t>
      </w:r>
      <w:r>
        <w:t xml:space="preserve"> </w:t>
      </w:r>
      <w:r>
        <w:t xml:space="preserve">A perspectiva de um substituto futuro reduz o valor presente do recurso e acelera sua extração. Isso é relevante para o Brasil, maior produtor de nióbio e com reservas significativas de lítio no Vale do Jequitinhonha (MG): o desenvolvimento de tecnologias alternativas para baterias afeta diretamente a estratégia ótima de exploração desses recursos.</w:t>
      </w:r>
    </w:p>
    <w:p>
      <w:pPr>
        <w:pStyle w:val="FirstParagraph"/>
      </w:pPr>
      <w:r>
        <w:t xml:space="preserve">[FIGURA INTERATIVA: /micro-book/graficos/cap18/webr-hotelling.html — versao interativa disponivel online]</w:t>
      </w:r>
    </w:p>
    <w:p>
      <w:pPr>
        <w:pStyle w:val="BodyText"/>
      </w:pPr>
      <w:r>
        <w:rPr>
          <w:b/>
          <w:bCs/>
        </w:rPr>
        <w:t xml:space="preserve">WebR 18.5 — Regra de Hotelling e trajetória de preços.</w:t>
      </w:r>
      <w:r>
        <w:t xml:space="preserve"> </w:t>
      </w:r>
      <w:r>
        <w:t xml:space="preserve">Explore como a taxa de juros e a backstop technology afetam a trajetória ótima de preços de recursos não renováveis. Modifique os parâmetros para simular cenários de lítio, petróleo ou nióbio.</w:t>
      </w:r>
    </w:p>
    <w:p>
      <w:r>
        <w:pict>
          <v:rect style="width:0;height:1.5pt" o:hralign="center" o:hrstd="t" o:hr="t"/>
        </w:pict>
      </w:r>
    </w:p>
    <w:bookmarkEnd w:id="1168"/>
    <w:bookmarkStart w:id="1169" w:name="exercícios-23"/>
    <w:p>
      <w:pPr>
        <w:pStyle w:val="Heading3"/>
      </w:pPr>
      <w:r>
        <w:t xml:space="preserve">Exercícios</w:t>
      </w:r>
    </w:p>
    <w:p>
      <w:pPr>
        <w:pStyle w:val="BlockText"/>
      </w:pPr>
      <w:r>
        <w:rPr>
          <w:b/>
          <w:bCs/>
        </w:rPr>
        <w:t xml:space="preserve">[NOTA] Exercícios do Capítulo 18</w:t>
      </w:r>
    </w:p>
    <w:p>
      <w:pPr>
        <w:pStyle w:val="FirstParagraph"/>
      </w:pPr>
      <w:r>
        <w:rPr>
          <w:b/>
          <w:bCs/>
        </w:rPr>
        <w:t xml:space="preserve">Exercício 18.1.</w:t>
      </w:r>
      <w:r>
        <w:t xml:space="preserve"> </w:t>
      </w:r>
      <w:r>
        <w:t xml:space="preserve">Um consumidor vive dois períodos, com renda</w:t>
      </w:r>
      <w:r>
        <w:t xml:space="preserve"> </w:t>
      </w:r>
      <m:oMath>
        <m:sSub>
          <m:e>
            <m:r>
              <m:t>Y</m:t>
            </m:r>
          </m:e>
          <m:sub>
            <m:r>
              <m:t>1</m:t>
            </m:r>
          </m:sub>
        </m:sSub>
        <m:r>
          <m:rPr>
            <m:sty m:val="p"/>
          </m:rPr>
          <m:t>=</m:t>
        </m:r>
        <m:r>
          <m:t>100</m:t>
        </m:r>
      </m:oMath>
      <w:r>
        <w:t xml:space="preserve"> </w:t>
      </w:r>
      <w:r>
        <w:t xml:space="preserve">e</w:t>
      </w:r>
      <w:r>
        <w:t xml:space="preserve"> </w:t>
      </w:r>
      <m:oMath>
        <m:sSub>
          <m:e>
            <m:r>
              <m:t>Y</m:t>
            </m:r>
          </m:e>
          <m:sub>
            <m:r>
              <m:t>2</m:t>
            </m:r>
          </m:sub>
        </m:sSub>
        <m:r>
          <m:rPr>
            <m:sty m:val="p"/>
          </m:rPr>
          <m:t>=</m:t>
        </m:r>
        <m:r>
          <m:t>110</m:t>
        </m:r>
      </m:oMath>
      <w:r>
        <w:t xml:space="preserve">, e preferências</w:t>
      </w:r>
      <w:r>
        <w:t xml:space="preserve"> </w:t>
      </w:r>
      <m:oMath>
        <m:r>
          <m:t>U</m:t>
        </m:r>
        <m:r>
          <m:rPr>
            <m:sty m:val="p"/>
          </m:rPr>
          <m:t>(</m:t>
        </m:r>
        <m:sSub>
          <m:e>
            <m:r>
              <m:t>C</m:t>
            </m:r>
          </m:e>
          <m:sub>
            <m:r>
              <m:t>1</m:t>
            </m:r>
          </m:sub>
        </m:sSub>
        <m:r>
          <m:rPr>
            <m:sty m:val="p"/>
          </m:rPr>
          <m:t>,</m:t>
        </m:r>
        <m:sSub>
          <m:e>
            <m:r>
              <m:t>C</m:t>
            </m:r>
          </m:e>
          <m:sub>
            <m:r>
              <m:t>2</m:t>
            </m:r>
          </m:sub>
        </m:sSub>
        <m:r>
          <m:rPr>
            <m:sty m:val="p"/>
          </m:rPr>
          <m:t>)</m:t>
        </m:r>
        <m:r>
          <m:rPr>
            <m:sty m:val="p"/>
          </m:rPr>
          <m:t>=</m:t>
        </m:r>
        <m:r>
          <m:rPr>
            <m:sty m:val="p"/>
          </m:rPr>
          <m:t>ln</m:t>
        </m:r>
        <m:sSub>
          <m:e>
            <m:r>
              <m:t>C</m:t>
            </m:r>
          </m:e>
          <m:sub>
            <m:r>
              <m:t>1</m:t>
            </m:r>
          </m:sub>
        </m:sSub>
        <m:r>
          <m:rPr>
            <m:sty m:val="p"/>
          </m:rPr>
          <m:t>+</m:t>
        </m:r>
        <m:f>
          <m:fPr>
            <m:type m:val="bar"/>
          </m:fPr>
          <m:num>
            <m:r>
              <m:t>1</m:t>
            </m:r>
          </m:num>
          <m:den>
            <m:r>
              <m:t>1</m:t>
            </m:r>
            <m:r>
              <m:rPr>
                <m:sty m:val="p"/>
              </m:rPr>
              <m:t>,</m:t>
            </m:r>
            <m:r>
              <m:t>1</m:t>
            </m:r>
          </m:den>
        </m:f>
        <m:r>
          <m:rPr>
            <m:sty m:val="p"/>
          </m:rPr>
          <m:t>ln</m:t>
        </m:r>
        <m:sSub>
          <m:e>
            <m:r>
              <m:t>C</m:t>
            </m:r>
          </m:e>
          <m:sub>
            <m:r>
              <m:t>2</m:t>
            </m:r>
          </m:sub>
        </m:sSub>
      </m:oMath>
      <w:r>
        <w:t xml:space="preserve">. A taxa de juros é</w:t>
      </w:r>
      <w:r>
        <w:t xml:space="preserve"> </w:t>
      </w:r>
      <m:oMath>
        <m:r>
          <m:t>r</m:t>
        </m:r>
        <m:r>
          <m:rPr>
            <m:sty m:val="p"/>
          </m:rPr>
          <m:t>=</m:t>
        </m:r>
        <m:r>
          <m:t>10</m:t>
        </m:r>
        <m:r>
          <m:rPr>
            <m:sty m:val="p"/>
          </m:rPr>
          <m:t>%</m:t>
        </m:r>
      </m:oMath>
      <w:r>
        <w:t xml:space="preserve">.</w:t>
      </w:r>
    </w:p>
    <w:p>
      <w:pPr>
        <w:pStyle w:val="Compact"/>
        <w:numPr>
          <w:ilvl w:val="0"/>
          <w:numId w:val="2032"/>
        </w:numPr>
      </w:pPr>
      <w:r>
        <w:t xml:space="preserve">Calcule a riqueza intertemporal</w:t>
      </w:r>
      <w:r>
        <w:t xml:space="preserve"> </w:t>
      </w:r>
      <m:oMath>
        <m:r>
          <m:t>W</m:t>
        </m:r>
      </m:oMath>
      <w:r>
        <w:t xml:space="preserve">.</w:t>
      </w:r>
    </w:p>
    <w:p>
      <w:pPr>
        <w:pStyle w:val="Compact"/>
        <w:numPr>
          <w:ilvl w:val="0"/>
          <w:numId w:val="2032"/>
        </w:numPr>
      </w:pPr>
      <w:r>
        <w:t xml:space="preserve">Encontre as escolhas ótimas</w:t>
      </w:r>
      <w:r>
        <w:t xml:space="preserve"> </w:t>
      </w:r>
      <m:oMath>
        <m:sSubSup>
          <m:e>
            <m:r>
              <m:t>C</m:t>
            </m:r>
          </m:e>
          <m:sub>
            <m:r>
              <m:t>1</m:t>
            </m:r>
          </m:sub>
          <m:sup>
            <m:r>
              <m:rPr>
                <m:sty m:val="p"/>
              </m:rPr>
              <m:t>*</m:t>
            </m:r>
          </m:sup>
        </m:sSubSup>
      </m:oMath>
      <w:r>
        <w:t xml:space="preserve"> </w:t>
      </w:r>
      <w:r>
        <w:t xml:space="preserve">e</w:t>
      </w:r>
      <w:r>
        <w:t xml:space="preserve"> </w:t>
      </w:r>
      <m:oMath>
        <m:sSubSup>
          <m:e>
            <m:r>
              <m:t>C</m:t>
            </m:r>
          </m:e>
          <m:sub>
            <m:r>
              <m:t>2</m:t>
            </m:r>
          </m:sub>
          <m:sup>
            <m:r>
              <m:rPr>
                <m:sty m:val="p"/>
              </m:rPr>
              <m:t>*</m:t>
            </m:r>
          </m:sup>
        </m:sSubSup>
      </m:oMath>
      <w:r>
        <w:t xml:space="preserve">.</w:t>
      </w:r>
    </w:p>
    <w:p>
      <w:pPr>
        <w:pStyle w:val="Compact"/>
        <w:numPr>
          <w:ilvl w:val="0"/>
          <w:numId w:val="2032"/>
        </w:numPr>
      </w:pPr>
      <w:r>
        <w:t xml:space="preserve">O consumidor é poupador ou tomador de empréstimo?</w:t>
      </w:r>
    </w:p>
    <w:p>
      <w:pPr>
        <w:pStyle w:val="Compact"/>
        <w:numPr>
          <w:ilvl w:val="0"/>
          <w:numId w:val="2032"/>
        </w:numPr>
      </w:pPr>
      <w:r>
        <w:t xml:space="preserve">Se</w:t>
      </w:r>
      <w:r>
        <w:t xml:space="preserve"> </w:t>
      </w:r>
      <m:oMath>
        <m:r>
          <m:t>r</m:t>
        </m:r>
      </m:oMath>
      <w:r>
        <w:t xml:space="preserve"> </w:t>
      </w:r>
      <w:r>
        <w:t xml:space="preserve">sobe para 20%, como mudam</w:t>
      </w:r>
      <w:r>
        <w:t xml:space="preserve"> </w:t>
      </w:r>
      <m:oMath>
        <m:sSubSup>
          <m:e>
            <m:r>
              <m:t>C</m:t>
            </m:r>
          </m:e>
          <m:sub>
            <m:r>
              <m:t>1</m:t>
            </m:r>
          </m:sub>
          <m:sup>
            <m:r>
              <m:rPr>
                <m:sty m:val="p"/>
              </m:rPr>
              <m:t>*</m:t>
            </m:r>
          </m:sup>
        </m:sSubSup>
      </m:oMath>
      <w:r>
        <w:t xml:space="preserve"> </w:t>
      </w:r>
      <w:r>
        <w:t xml:space="preserve">e</w:t>
      </w:r>
      <w:r>
        <w:t xml:space="preserve"> </w:t>
      </w:r>
      <m:oMath>
        <m:sSubSup>
          <m:e>
            <m:r>
              <m:t>C</m:t>
            </m:r>
          </m:e>
          <m:sub>
            <m:r>
              <m:t>2</m:t>
            </m:r>
          </m:sub>
          <m:sup>
            <m:r>
              <m:rPr>
                <m:sty m:val="p"/>
              </m:rPr>
              <m:t>*</m:t>
            </m:r>
          </m:sup>
        </m:sSubSup>
      </m:oMath>
      <w:r>
        <w:t xml:space="preserve">? Decomponha em efeitos substituição e renda.</w:t>
      </w:r>
    </w:p>
    <w:p>
      <w:pPr>
        <w:pStyle w:val="FirstParagraph"/>
      </w:pPr>
      <w:r>
        <w:t xml:space="preserve">→ Solução (Cap. 18)</w:t>
      </w:r>
    </w:p>
    <w:p>
      <w:r>
        <w:pict>
          <v:rect style="width:0;height:1.5pt" o:hralign="center" o:hrstd="t" o:hr="t"/>
        </w:pict>
      </w:r>
    </w:p>
    <w:p>
      <w:pPr>
        <w:pStyle w:val="FirstParagraph"/>
      </w:pPr>
      <w:r>
        <w:rPr>
          <w:b/>
          <w:bCs/>
        </w:rPr>
        <w:t xml:space="preserve">Exercício 18.2.</w:t>
      </w:r>
      <w:r>
        <w:t xml:space="preserve"> </w:t>
      </w:r>
      <w:r>
        <w:t xml:space="preserve">Uma firma considera investir em uma máquina que custa R$ 500.000, tem vida útil de 5 anos com depreciação linear e gera receita líquida anual de R$ 150.000.</w:t>
      </w:r>
    </w:p>
    <w:p>
      <w:pPr>
        <w:pStyle w:val="Compact"/>
        <w:numPr>
          <w:ilvl w:val="0"/>
          <w:numId w:val="2033"/>
        </w:numPr>
      </w:pPr>
      <w:r>
        <w:t xml:space="preserve">Calcule o VPL para</w:t>
      </w:r>
      <w:r>
        <w:t xml:space="preserve"> </w:t>
      </w:r>
      <m:oMath>
        <m:r>
          <m:t>r</m:t>
        </m:r>
        <m:r>
          <m:rPr>
            <m:sty m:val="p"/>
          </m:rPr>
          <m:t>=</m:t>
        </m:r>
        <m:r>
          <m:t>8</m:t>
        </m:r>
        <m:r>
          <m:rPr>
            <m:sty m:val="p"/>
          </m:rPr>
          <m:t>%</m:t>
        </m:r>
      </m:oMath>
      <w:r>
        <w:t xml:space="preserve"> </w:t>
      </w:r>
      <w:r>
        <w:t xml:space="preserve">e</w:t>
      </w:r>
      <w:r>
        <w:t xml:space="preserve"> </w:t>
      </w:r>
      <m:oMath>
        <m:r>
          <m:t>r</m:t>
        </m:r>
        <m:r>
          <m:rPr>
            <m:sty m:val="p"/>
          </m:rPr>
          <m:t>=</m:t>
        </m:r>
        <m:r>
          <m:t>15</m:t>
        </m:r>
        <m:r>
          <m:rPr>
            <m:sty m:val="p"/>
          </m:rPr>
          <m:t>%</m:t>
        </m:r>
      </m:oMath>
      <w:r>
        <w:t xml:space="preserve">.</w:t>
      </w:r>
    </w:p>
    <w:p>
      <w:pPr>
        <w:pStyle w:val="Compact"/>
        <w:numPr>
          <w:ilvl w:val="0"/>
          <w:numId w:val="2033"/>
        </w:numPr>
      </w:pPr>
      <w:r>
        <w:t xml:space="preserve">Encontre a TIR por interpolação.</w:t>
      </w:r>
    </w:p>
    <w:p>
      <w:pPr>
        <w:pStyle w:val="Compact"/>
        <w:numPr>
          <w:ilvl w:val="0"/>
          <w:numId w:val="2033"/>
        </w:numPr>
      </w:pPr>
      <w:r>
        <w:t xml:space="preserve">Se a taxa Selic real é 8% e o prêmio de risco setorial é 4%, o investimento deve ser realizado?</w:t>
      </w:r>
    </w:p>
    <w:p>
      <w:pPr>
        <w:pStyle w:val="FirstParagraph"/>
      </w:pPr>
      <w:r>
        <w:t xml:space="preserve">→ Solução (Cap. 18)</w:t>
      </w:r>
    </w:p>
    <w:p>
      <w:r>
        <w:pict>
          <v:rect style="width:0;height:1.5pt" o:hralign="center" o:hrstd="t" o:hr="t"/>
        </w:pict>
      </w:r>
    </w:p>
    <w:p>
      <w:pPr>
        <w:pStyle w:val="FirstParagraph"/>
      </w:pPr>
      <w:r>
        <w:rPr>
          <w:b/>
          <w:bCs/>
        </w:rPr>
        <w:t xml:space="preserve">Exercício 18.3.</w:t>
      </w:r>
      <w:r>
        <w:t xml:space="preserve"> </w:t>
      </w:r>
      <w:r>
        <w:t xml:space="preserve">Um recurso não renovável tem estoque</w:t>
      </w:r>
      <w:r>
        <w:t xml:space="preserve"> </w:t>
      </w:r>
      <m:oMath>
        <m:sSub>
          <m:e>
            <m:r>
              <m:t>S</m:t>
            </m:r>
          </m:e>
          <m:sub>
            <m:r>
              <m:t>0</m:t>
            </m:r>
          </m:sub>
        </m:sSub>
        <m:r>
          <m:rPr>
            <m:sty m:val="p"/>
          </m:rPr>
          <m:t>=</m:t>
        </m:r>
        <m:r>
          <m:t>1.000</m:t>
        </m:r>
      </m:oMath>
      <w:r>
        <w:t xml:space="preserve"> </w:t>
      </w:r>
      <w:r>
        <w:t xml:space="preserve">unidades, preço inicial</w:t>
      </w:r>
      <w:r>
        <w:t xml:space="preserve"> </w:t>
      </w:r>
      <m:oMath>
        <m:sSub>
          <m:e>
            <m:r>
              <m:t>P</m:t>
            </m:r>
          </m:e>
          <m:sub>
            <m:r>
              <m:t>0</m:t>
            </m:r>
          </m:sub>
        </m:sSub>
        <m:r>
          <m:rPr>
            <m:sty m:val="p"/>
          </m:rPr>
          <m:t>=</m:t>
        </m:r>
        <m:r>
          <m:t>50</m:t>
        </m:r>
      </m:oMath>
      <w:r>
        <w:t xml:space="preserve">, custo marginal de extração</w:t>
      </w:r>
      <w:r>
        <w:t xml:space="preserve"> </w:t>
      </w:r>
      <m:oMath>
        <m:r>
          <m:t>c</m:t>
        </m:r>
        <m:r>
          <m:rPr>
            <m:sty m:val="p"/>
          </m:rPr>
          <m:t>=</m:t>
        </m:r>
        <m:r>
          <m:t>10</m:t>
        </m:r>
      </m:oMath>
      <w:r>
        <w:t xml:space="preserve"> </w:t>
      </w:r>
      <w:r>
        <w:t xml:space="preserve">e taxa de juros</w:t>
      </w:r>
      <w:r>
        <w:t xml:space="preserve"> </w:t>
      </w:r>
      <m:oMath>
        <m:r>
          <m:t>r</m:t>
        </m:r>
        <m:r>
          <m:rPr>
            <m:sty m:val="p"/>
          </m:rPr>
          <m:t>=</m:t>
        </m:r>
        <m:r>
          <m:t>5</m:t>
        </m:r>
        <m:r>
          <m:rPr>
            <m:sty m:val="p"/>
          </m:rPr>
          <m:t>%</m:t>
        </m:r>
      </m:oMath>
      <w:r>
        <w:t xml:space="preserve">.</w:t>
      </w:r>
    </w:p>
    <w:p>
      <w:pPr>
        <w:pStyle w:val="Compact"/>
        <w:numPr>
          <w:ilvl w:val="0"/>
          <w:numId w:val="2034"/>
        </w:numPr>
      </w:pPr>
      <w:r>
        <w:t xml:space="preserve">Qual será o preço em 10 anos pela regra de Hotelling?</w:t>
      </w:r>
    </w:p>
    <w:p>
      <w:pPr>
        <w:pStyle w:val="Compact"/>
        <w:numPr>
          <w:ilvl w:val="0"/>
          <w:numId w:val="2034"/>
        </w:numPr>
      </w:pPr>
      <w:r>
        <w:t xml:space="preserve">Se uma inovação tecnológica reduz o custo de extração para</w:t>
      </w:r>
      <w:r>
        <w:t xml:space="preserve"> </w:t>
      </w:r>
      <m:oMath>
        <m:r>
          <m:t>c</m:t>
        </m:r>
        <m:r>
          <m:rPr>
            <m:sty m:val="p"/>
          </m:rPr>
          <m:t>=</m:t>
        </m:r>
        <m:r>
          <m:t>5</m:t>
        </m:r>
      </m:oMath>
      <w:r>
        <w:t xml:space="preserve">, como isso afeta a trajetória de preços e a velocidade de exaustão?</w:t>
      </w:r>
    </w:p>
    <w:p>
      <w:pPr>
        <w:pStyle w:val="Compact"/>
        <w:numPr>
          <w:ilvl w:val="0"/>
          <w:numId w:val="2034"/>
        </w:numPr>
      </w:pPr>
      <w:r>
        <w:t xml:space="preserve">Se a taxa de juros sobe para 10%, a extração se torna mais rápida ou mais lenta? Explique usando a lógica de Hotelling.</w:t>
      </w:r>
    </w:p>
    <w:p>
      <w:pPr>
        <w:pStyle w:val="FirstParagraph"/>
      </w:pPr>
      <w:r>
        <w:t xml:space="preserve">→ Solução (Cap. 18)</w:t>
      </w:r>
    </w:p>
    <w:p>
      <w:r>
        <w:pict>
          <v:rect style="width:0;height:1.5pt" o:hralign="center" o:hrstd="t" o:hr="t"/>
        </w:pict>
      </w:r>
    </w:p>
    <w:p>
      <w:pPr>
        <w:pStyle w:val="FirstParagraph"/>
      </w:pPr>
      <w:r>
        <w:rPr>
          <w:b/>
          <w:bCs/>
        </w:rPr>
        <w:t xml:space="preserve">Exercício 18.4.</w:t>
      </w:r>
      <w:r>
        <w:t xml:space="preserve"> </w:t>
      </w:r>
      <w:r>
        <w:t xml:space="preserve">Dois projetos mutuamente excludentes têm os seguintes fluxos: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Projeto A</w:t>
            </w:r>
          </w:p>
        </w:tc>
        <w:tc>
          <w:tcPr/>
          <w:p>
            <w:pPr>
              <w:pStyle w:val="Compact"/>
            </w:pPr>
            <w:r>
              <w:t xml:space="preserve">Projeto B</w:t>
            </w:r>
          </w:p>
        </w:tc>
      </w:tr>
      <w:tr>
        <w:tc>
          <w:tcPr/>
          <w:p>
            <w:pPr>
              <w:pStyle w:val="Compact"/>
            </w:pPr>
            <w:r>
              <w:t xml:space="preserve">Investimento</w:t>
            </w:r>
          </w:p>
        </w:tc>
        <w:tc>
          <w:tcPr/>
          <w:p>
            <w:pPr>
              <w:pStyle w:val="Compact"/>
            </w:pPr>
            <w:r>
              <w:t xml:space="preserve">100.000</w:t>
            </w:r>
          </w:p>
        </w:tc>
        <w:tc>
          <w:tcPr/>
          <w:p>
            <w:pPr>
              <w:pStyle w:val="Compact"/>
            </w:pPr>
            <w:r>
              <w:t xml:space="preserve">200.000</w:t>
            </w:r>
          </w:p>
        </w:tc>
      </w:tr>
      <w:tr>
        <w:tc>
          <w:tcPr/>
          <w:p>
            <w:pPr>
              <w:pStyle w:val="Compact"/>
            </w:pPr>
            <w:r>
              <w:t xml:space="preserve">Fluxo anual</w:t>
            </w:r>
          </w:p>
        </w:tc>
        <w:tc>
          <w:tcPr/>
          <w:p>
            <w:pPr>
              <w:pStyle w:val="Compact"/>
            </w:pPr>
            <w:r>
              <w:t xml:space="preserve">35.000</w:t>
            </w:r>
          </w:p>
        </w:tc>
        <w:tc>
          <w:tcPr/>
          <w:p>
            <w:pPr>
              <w:pStyle w:val="Compact"/>
            </w:pPr>
            <w:r>
              <w:t xml:space="preserve">62.000</w:t>
            </w:r>
          </w:p>
        </w:tc>
      </w:tr>
      <w:tr>
        <w:tc>
          <w:tcPr/>
          <w:p>
            <w:pPr>
              <w:pStyle w:val="Compact"/>
            </w:pPr>
            <w:r>
              <w:t xml:space="preserve">Duração</w:t>
            </w:r>
          </w:p>
        </w:tc>
        <w:tc>
          <w:tcPr/>
          <w:p>
            <w:pPr>
              <w:pStyle w:val="Compact"/>
            </w:pPr>
            <w:r>
              <w:t xml:space="preserve">5 anos</w:t>
            </w:r>
          </w:p>
        </w:tc>
        <w:tc>
          <w:tcPr/>
          <w:p>
            <w:pPr>
              <w:pStyle w:val="Compact"/>
            </w:pPr>
            <w:r>
              <w:t xml:space="preserve">5 anos</w:t>
            </w:r>
          </w:p>
        </w:tc>
      </w:tr>
      <w:tr>
        <w:tc>
          <w:tcPr/>
          <w:p>
            <w:pPr>
              <w:pStyle w:val="Compact"/>
            </w:pPr>
            <w:r>
              <w:t xml:space="preserve">TIR</w:t>
            </w:r>
          </w:p>
        </w:tc>
        <w:tc>
          <w:tcPr/>
          <w:p>
            <w:pPr>
              <w:pStyle w:val="Compact"/>
            </w:pPr>
            <w:r>
              <w:t xml:space="preserve">22,1%</w:t>
            </w:r>
          </w:p>
        </w:tc>
        <w:tc>
          <w:tcPr/>
          <w:p>
            <w:pPr>
              <w:pStyle w:val="Compact"/>
            </w:pPr>
            <w:r>
              <w:t xml:space="preserve">16,8%</w:t>
            </w:r>
          </w:p>
        </w:tc>
      </w:tr>
    </w:tbl>
    <w:p>
      <w:pPr>
        <w:pStyle w:val="Compact"/>
        <w:numPr>
          <w:ilvl w:val="0"/>
          <w:numId w:val="2035"/>
        </w:numPr>
      </w:pPr>
      <w:r>
        <w:t xml:space="preserve">Calcule o VPL de cada projeto para</w:t>
      </w:r>
      <w:r>
        <w:t xml:space="preserve"> </w:t>
      </w:r>
      <m:oMath>
        <m:r>
          <m:t>r</m:t>
        </m:r>
        <m:r>
          <m:rPr>
            <m:sty m:val="p"/>
          </m:rPr>
          <m:t>=</m:t>
        </m:r>
        <m:r>
          <m:t>10</m:t>
        </m:r>
        <m:r>
          <m:rPr>
            <m:sty m:val="p"/>
          </m:rPr>
          <m:t>%</m:t>
        </m:r>
      </m:oMath>
      <w:r>
        <w:t xml:space="preserve">.</w:t>
      </w:r>
    </w:p>
    <w:p>
      <w:pPr>
        <w:pStyle w:val="Compact"/>
        <w:numPr>
          <w:ilvl w:val="0"/>
          <w:numId w:val="2035"/>
        </w:numPr>
      </w:pPr>
      <w:r>
        <w:t xml:space="preserve">Qual projeto seria escolhido pelo critério do VPL? E pelo critério da TIR?</w:t>
      </w:r>
    </w:p>
    <w:p>
      <w:pPr>
        <w:pStyle w:val="Compact"/>
        <w:numPr>
          <w:ilvl w:val="0"/>
          <w:numId w:val="2035"/>
        </w:numPr>
      </w:pPr>
      <w:r>
        <w:t xml:space="preserve">Encontre a taxa de Fisher (taxa de desconto em que ambos os projetos têm o mesmo VPL).</w:t>
      </w:r>
    </w:p>
    <w:p>
      <w:pPr>
        <w:pStyle w:val="Compact"/>
        <w:numPr>
          <w:ilvl w:val="0"/>
          <w:numId w:val="2035"/>
        </w:numPr>
      </w:pPr>
      <w:r>
        <w:t xml:space="preserve">Explique por que o VPL é considerado o critério superior à TIR.</w:t>
      </w:r>
    </w:p>
    <w:p>
      <w:pPr>
        <w:pStyle w:val="FirstParagraph"/>
      </w:pPr>
      <w:r>
        <w:t xml:space="preserve">→ Solução (Cap. 18)</w:t>
      </w:r>
    </w:p>
    <w:p>
      <w:r>
        <w:pict>
          <v:rect style="width:0;height:1.5pt" o:hralign="center" o:hrstd="t" o:hr="t"/>
        </w:pict>
      </w:r>
    </w:p>
    <w:p>
      <w:pPr>
        <w:pStyle w:val="FirstParagraph"/>
      </w:pPr>
      <w:r>
        <w:rPr>
          <w:b/>
          <w:bCs/>
        </w:rPr>
        <w:t xml:space="preserve">Exercício 18.5.</w:t>
      </w:r>
      <w:r>
        <w:t xml:space="preserve"> </w:t>
      </w:r>
      <w:r>
        <w:t xml:space="preserve">Um economista afirma:</w:t>
      </w:r>
      <w:r>
        <w:t xml:space="preserve"> </w:t>
      </w:r>
      <w:r>
        <w:t xml:space="preserve">“Se a taxa de juros real de longo prazo caísse de 6% para 3%, o investimento produtivo no Brasil dobraria.”</w:t>
      </w:r>
    </w:p>
    <w:p>
      <w:pPr>
        <w:pStyle w:val="Compact"/>
        <w:numPr>
          <w:ilvl w:val="0"/>
          <w:numId w:val="2036"/>
        </w:numPr>
      </w:pPr>
      <w:r>
        <w:t xml:space="preserve">A afirmação é fundamentada em sólida base teórica? Justifique utilizando o custo de uso do capital e o critério do VPL.</w:t>
      </w:r>
    </w:p>
    <w:p>
      <w:pPr>
        <w:pStyle w:val="Compact"/>
        <w:numPr>
          <w:ilvl w:val="0"/>
          <w:numId w:val="2036"/>
        </w:numPr>
      </w:pPr>
      <w:r>
        <w:t xml:space="preserve">Que fatores poderiam impedir que a redução da taxa de juros se traduzisse em mais investimento?</w:t>
      </w:r>
    </w:p>
    <w:p>
      <w:pPr>
        <w:pStyle w:val="FirstParagraph"/>
      </w:pPr>
      <w:r>
        <w:t xml:space="preserve">→ Solução (Cap. 18)</w:t>
      </w:r>
    </w:p>
    <w:p>
      <w:r>
        <w:pict>
          <v:rect style="width:0;height:1.5pt" o:hralign="center" o:hrstd="t" o:hr="t"/>
        </w:pict>
      </w:r>
    </w:p>
    <w:p>
      <w:pPr>
        <w:pStyle w:val="FirstParagraph"/>
      </w:pPr>
      <w:r>
        <w:rPr>
          <w:b/>
          <w:bCs/>
        </w:rPr>
        <w:t xml:space="preserve">Exercício 18.6.</w:t>
      </w:r>
      <w:r>
        <w:t xml:space="preserve"> </w:t>
      </w:r>
      <w:r>
        <w:t xml:space="preserve">Um consumidor tem preferências</w:t>
      </w:r>
      <w:r>
        <w:t xml:space="preserve"> </w:t>
      </w:r>
      <m:oMath>
        <m:r>
          <m:t>U</m:t>
        </m:r>
        <m:r>
          <m:rPr>
            <m:sty m:val="p"/>
          </m:rPr>
          <m:t>=</m:t>
        </m:r>
        <m:rad>
          <m:radPr>
            <m:degHide m:val="on"/>
          </m:radPr>
          <m:deg/>
          <m:e>
            <m:sSub>
              <m:e>
                <m:r>
                  <m:t>C</m:t>
                </m:r>
              </m:e>
              <m:sub>
                <m:r>
                  <m:t>1</m:t>
                </m:r>
              </m:sub>
            </m:sSub>
          </m:e>
        </m:rad>
        <m:r>
          <m:rPr>
            <m:sty m:val="p"/>
          </m:rPr>
          <m:t>+</m:t>
        </m:r>
        <m:r>
          <m:t>0</m:t>
        </m:r>
        <m:r>
          <m:rPr>
            <m:sty m:val="p"/>
          </m:rPr>
          <m:t>,</m:t>
        </m:r>
        <m:r>
          <m:t>9</m:t>
        </m:r>
        <m:rad>
          <m:radPr>
            <m:degHide m:val="on"/>
          </m:radPr>
          <m:deg/>
          <m:e>
            <m:sSub>
              <m:e>
                <m:r>
                  <m:t>C</m:t>
                </m:r>
              </m:e>
              <m:sub>
                <m:r>
                  <m:t>2</m:t>
                </m:r>
              </m:sub>
            </m:sSub>
          </m:e>
        </m:rad>
      </m:oMath>
      <w:r>
        <w:t xml:space="preserve">, renda</w:t>
      </w:r>
      <w:r>
        <w:t xml:space="preserve"> </w:t>
      </w:r>
      <m:oMath>
        <m:sSub>
          <m:e>
            <m:r>
              <m:t>Y</m:t>
            </m:r>
          </m:e>
          <m:sub>
            <m:r>
              <m:t>1</m:t>
            </m:r>
          </m:sub>
        </m:sSub>
        <m:r>
          <m:rPr>
            <m:sty m:val="p"/>
          </m:rPr>
          <m:t>=</m:t>
        </m:r>
        <m:r>
          <m:t>120</m:t>
        </m:r>
      </m:oMath>
      <w:r>
        <w:t xml:space="preserve"> </w:t>
      </w:r>
      <w:r>
        <w:t xml:space="preserve">e</w:t>
      </w:r>
      <w:r>
        <w:t xml:space="preserve"> </w:t>
      </w:r>
      <m:oMath>
        <m:sSub>
          <m:e>
            <m:r>
              <m:t>Y</m:t>
            </m:r>
          </m:e>
          <m:sub>
            <m:r>
              <m:t>2</m:t>
            </m:r>
          </m:sub>
        </m:sSub>
        <m:r>
          <m:rPr>
            <m:sty m:val="p"/>
          </m:rPr>
          <m:t>=</m:t>
        </m:r>
        <m:r>
          <m:t>55</m:t>
        </m:r>
      </m:oMath>
      <w:r>
        <w:t xml:space="preserve">, e a taxa de juros é</w:t>
      </w:r>
      <w:r>
        <w:t xml:space="preserve"> </w:t>
      </w:r>
      <m:oMath>
        <m:r>
          <m:t>r</m:t>
        </m:r>
        <m:r>
          <m:rPr>
            <m:sty m:val="p"/>
          </m:rPr>
          <m:t>=</m:t>
        </m:r>
        <m:r>
          <m:t>10</m:t>
        </m:r>
        <m:r>
          <m:rPr>
            <m:sty m:val="p"/>
          </m:rPr>
          <m:t>%</m:t>
        </m:r>
      </m:oMath>
      <w:r>
        <w:t xml:space="preserve">.</w:t>
      </w:r>
    </w:p>
    <w:p>
      <w:pPr>
        <w:pStyle w:val="Compact"/>
        <w:numPr>
          <w:ilvl w:val="0"/>
          <w:numId w:val="2037"/>
        </w:numPr>
      </w:pPr>
      <w:r>
        <w:t xml:space="preserve">Escreva a equação de Euler para este consumidor.</w:t>
      </w:r>
    </w:p>
    <w:p>
      <w:pPr>
        <w:pStyle w:val="Compact"/>
        <w:numPr>
          <w:ilvl w:val="0"/>
          <w:numId w:val="2037"/>
        </w:numPr>
      </w:pPr>
      <w:r>
        <w:t xml:space="preserve">Encontre o consumo ótimo em cada período.</w:t>
      </w:r>
    </w:p>
    <w:p>
      <w:pPr>
        <w:pStyle w:val="Compact"/>
        <w:numPr>
          <w:ilvl w:val="0"/>
          <w:numId w:val="2037"/>
        </w:numPr>
      </w:pPr>
      <w:r>
        <w:t xml:space="preserve">O consumidor é poupador ou devedor?</w:t>
      </w:r>
    </w:p>
    <w:p>
      <w:pPr>
        <w:pStyle w:val="Compact"/>
        <w:numPr>
          <w:ilvl w:val="0"/>
          <w:numId w:val="2037"/>
        </w:numPr>
      </w:pPr>
      <w:r>
        <w:t xml:space="preserve">Se</w:t>
      </w:r>
      <w:r>
        <w:t xml:space="preserve"> </w:t>
      </w:r>
      <m:oMath>
        <m:r>
          <m:t>r</m:t>
        </m:r>
      </m:oMath>
      <w:r>
        <w:t xml:space="preserve"> </w:t>
      </w:r>
      <w:r>
        <w:t xml:space="preserve">cai para 5%, o que acontece com a poupança? Interprete em termos de efeitos substituição e renda.</w:t>
      </w:r>
    </w:p>
    <w:p>
      <w:pPr>
        <w:pStyle w:val="FirstParagraph"/>
      </w:pPr>
      <w:r>
        <w:t xml:space="preserve">→ Solução (Cap. 18)</w:t>
      </w:r>
    </w:p>
    <w:p>
      <w:r>
        <w:pict>
          <v:rect style="width:0;height:1.5pt" o:hralign="center" o:hrstd="t" o:hr="t"/>
        </w:pict>
      </w:r>
    </w:p>
    <w:p>
      <w:pPr>
        <w:pStyle w:val="FirstParagraph"/>
      </w:pPr>
      <w:r>
        <w:rPr>
          <w:b/>
          <w:bCs/>
        </w:rPr>
        <w:t xml:space="preserve">Exercício 18.7.</w:t>
      </w:r>
      <w:r>
        <w:t xml:space="preserve"> </w:t>
      </w:r>
      <w:r>
        <w:t xml:space="preserve">Um município avalia construir uma estação de tratamento de água. O investimento é R$ 10 milhões, a receita líquida anual é R$ 1,2 milhão por 20 anos. A taxa livre de risco é 6%, o prêmio de risco do mercado é 6,7% e o beta do setor de saneamento é 1,2.</w:t>
      </w:r>
    </w:p>
    <w:p>
      <w:pPr>
        <w:pStyle w:val="Compact"/>
        <w:numPr>
          <w:ilvl w:val="0"/>
          <w:numId w:val="2038"/>
        </w:numPr>
      </w:pPr>
      <w:r>
        <w:t xml:space="preserve">Calcule o custo de capital pelo CAPM e o VPL do projeto.</w:t>
      </w:r>
    </w:p>
    <w:p>
      <w:pPr>
        <w:pStyle w:val="Compact"/>
        <w:numPr>
          <w:ilvl w:val="0"/>
          <w:numId w:val="2038"/>
        </w:numPr>
      </w:pPr>
      <w:r>
        <w:t xml:space="preserve">Se o governo subsidia 30% do investimento, o projeto se torna viável?</w:t>
      </w:r>
    </w:p>
    <w:p>
      <w:pPr>
        <w:pStyle w:val="Compact"/>
        <w:numPr>
          <w:ilvl w:val="0"/>
          <w:numId w:val="2038"/>
        </w:numPr>
      </w:pPr>
      <w:r>
        <w:t xml:space="preserve">Se a regulação do setor melhorasse (reduzindo o beta para 0,8), qual seria o novo VPL?</w:t>
      </w:r>
    </w:p>
    <w:p>
      <w:pPr>
        <w:pStyle w:val="FirstParagraph"/>
      </w:pPr>
      <w:r>
        <w:t xml:space="preserve">→ Solução (Cap. 18)</w:t>
      </w:r>
    </w:p>
    <w:p>
      <w:r>
        <w:pict>
          <v:rect style="width:0;height:1.5pt" o:hralign="center" o:hrstd="t" o:hr="t"/>
        </w:pict>
      </w:r>
    </w:p>
    <w:p>
      <w:pPr>
        <w:pStyle w:val="FirstParagraph"/>
      </w:pPr>
      <w:r>
        <w:rPr>
          <w:b/>
          <w:bCs/>
        </w:rPr>
        <w:t xml:space="preserve">Exercício 18.8.</w:t>
      </w:r>
      <w:r>
        <w:t xml:space="preserve"> </w:t>
      </w:r>
      <w:r>
        <w:t xml:space="preserve">Compare dois títulos do Tesouro Direto: Tesouro Prefixado (12% nominal, 3 anos) e Tesouro IPCA+ (6% real + IPCA, 3 anos). A inflação pode ser 2%, 4% ou 8%, cada com probabilidade 1/3.</w:t>
      </w:r>
    </w:p>
    <w:p>
      <w:pPr>
        <w:pStyle w:val="Compact"/>
        <w:numPr>
          <w:ilvl w:val="0"/>
          <w:numId w:val="2039"/>
        </w:numPr>
      </w:pPr>
      <w:r>
        <w:t xml:space="preserve">Calcule o retorno real esperado de cada título.</w:t>
      </w:r>
    </w:p>
    <w:p>
      <w:pPr>
        <w:pStyle w:val="Compact"/>
        <w:numPr>
          <w:ilvl w:val="0"/>
          <w:numId w:val="2039"/>
        </w:numPr>
      </w:pPr>
      <w:r>
        <w:t xml:space="preserve">Calcule a variância do retorno real de cada título.</w:t>
      </w:r>
    </w:p>
    <w:p>
      <w:pPr>
        <w:pStyle w:val="Compact"/>
        <w:numPr>
          <w:ilvl w:val="0"/>
          <w:numId w:val="2039"/>
        </w:numPr>
      </w:pPr>
      <w:r>
        <w:t xml:space="preserve">Qual título um investidor avesso ao risco preferiria? Justifique usando o conceito de equivalente de certeza.</w:t>
      </w:r>
    </w:p>
    <w:p>
      <w:pPr>
        <w:pStyle w:val="FirstParagraph"/>
      </w:pPr>
      <w:r>
        <w:t xml:space="preserve">→ Solução (Cap. 18)</w:t>
      </w:r>
    </w:p>
    <w:p>
      <w:r>
        <w:pict>
          <v:rect style="width:0;height:1.5pt" o:hralign="center" o:hrstd="t" o:hr="t"/>
        </w:pict>
      </w:r>
    </w:p>
    <w:p>
      <w:pPr>
        <w:pStyle w:val="FirstParagraph"/>
      </w:pPr>
      <w:r>
        <w:rPr>
          <w:b/>
          <w:bCs/>
        </w:rPr>
        <w:t xml:space="preserve">Exercício 18.9.</w:t>
      </w:r>
      <w:r>
        <w:t xml:space="preserve"> </w:t>
      </w:r>
      <w:r>
        <w:t xml:space="preserve">Um consumidor com</w:t>
      </w:r>
      <w:r>
        <w:t xml:space="preserve"> </w:t>
      </w:r>
      <m:oMath>
        <m:r>
          <m:t>U</m:t>
        </m:r>
        <m:r>
          <m:rPr>
            <m:sty m:val="p"/>
          </m:rPr>
          <m:t>=</m:t>
        </m:r>
        <m:sSubSup>
          <m:e>
            <m:r>
              <m:t>C</m:t>
            </m:r>
          </m:e>
          <m:sub>
            <m:r>
              <m:t>1</m:t>
            </m:r>
          </m:sub>
          <m:sup>
            <m:r>
              <m:t>0</m:t>
            </m:r>
            <m:r>
              <m:rPr>
                <m:sty m:val="p"/>
              </m:rPr>
              <m:t>,</m:t>
            </m:r>
            <m:r>
              <m:t>5</m:t>
            </m:r>
          </m:sup>
        </m:sSubSup>
        <m:sSubSup>
          <m:e>
            <m:r>
              <m:t>C</m:t>
            </m:r>
          </m:e>
          <m:sub>
            <m:r>
              <m:t>2</m:t>
            </m:r>
          </m:sub>
          <m:sup>
            <m:r>
              <m:t>0</m:t>
            </m:r>
            <m:r>
              <m:rPr>
                <m:sty m:val="p"/>
              </m:rPr>
              <m:t>,</m:t>
            </m:r>
            <m:r>
              <m:t>5</m:t>
            </m:r>
          </m:sup>
        </m:sSubSup>
      </m:oMath>
      <w:r>
        <w:t xml:space="preserve">, rendas</w:t>
      </w:r>
      <w:r>
        <w:t xml:space="preserve"> </w:t>
      </w:r>
      <m:oMath>
        <m:sSub>
          <m:e>
            <m:r>
              <m:t>Y</m:t>
            </m:r>
          </m:e>
          <m:sub>
            <m:r>
              <m:t>1</m:t>
            </m:r>
          </m:sub>
        </m:sSub>
        <m:r>
          <m:rPr>
            <m:sty m:val="p"/>
          </m:rPr>
          <m:t>=</m:t>
        </m:r>
        <m:r>
          <m:t>200</m:t>
        </m:r>
      </m:oMath>
      <w:r>
        <w:t xml:space="preserve"> </w:t>
      </w:r>
      <w:r>
        <w:t xml:space="preserve">e</w:t>
      </w:r>
      <w:r>
        <w:t xml:space="preserve"> </w:t>
      </w:r>
      <m:oMath>
        <m:sSub>
          <m:e>
            <m:r>
              <m:t>Y</m:t>
            </m:r>
          </m:e>
          <m:sub>
            <m:r>
              <m:t>2</m:t>
            </m:r>
          </m:sub>
        </m:sSub>
        <m:r>
          <m:rPr>
            <m:sty m:val="p"/>
          </m:rPr>
          <m:t>=</m:t>
        </m:r>
        <m:r>
          <m:t>100</m:t>
        </m:r>
      </m:oMath>
      <w:r>
        <w:t xml:space="preserve"> </w:t>
      </w:r>
      <w:r>
        <w:t xml:space="preserve">e taxa de juros</w:t>
      </w:r>
      <w:r>
        <w:t xml:space="preserve"> </w:t>
      </w:r>
      <m:oMath>
        <m:r>
          <m:t>r</m:t>
        </m:r>
        <m:r>
          <m:rPr>
            <m:sty m:val="p"/>
          </m:rPr>
          <m:t>=</m:t>
        </m:r>
        <m:r>
          <m:t>8</m:t>
        </m:r>
        <m:r>
          <m:rPr>
            <m:sty m:val="p"/>
          </m:rPr>
          <m:t>%</m:t>
        </m:r>
      </m:oMath>
      <w:r>
        <w:t xml:space="preserve">.</w:t>
      </w:r>
    </w:p>
    <w:p>
      <w:pPr>
        <w:pStyle w:val="Compact"/>
        <w:numPr>
          <w:ilvl w:val="0"/>
          <w:numId w:val="2040"/>
        </w:numPr>
      </w:pPr>
      <w:r>
        <w:t xml:space="preserve">Encontre o consumo ótimo e classifique o consumidor como poupador ou devedor.</w:t>
      </w:r>
    </w:p>
    <w:p>
      <w:pPr>
        <w:pStyle w:val="Compact"/>
        <w:numPr>
          <w:ilvl w:val="0"/>
          <w:numId w:val="2040"/>
        </w:numPr>
      </w:pPr>
      <w:r>
        <w:t xml:space="preserve">Suponha que o consumidor enfrenta uma restrição de crédito:</w:t>
      </w:r>
      <w:r>
        <w:t xml:space="preserve"> </w:t>
      </w:r>
      <m:oMath>
        <m:r>
          <m:t>S</m:t>
        </m:r>
        <m:r>
          <m:rPr>
            <m:sty m:val="p"/>
          </m:rPr>
          <m:t>≥</m:t>
        </m:r>
        <m:r>
          <m:t>0</m:t>
        </m:r>
      </m:oMath>
      <w:r>
        <w:t xml:space="preserve"> </w:t>
      </w:r>
      <w:r>
        <w:t xml:space="preserve">(não pode tomar empréstimo). A solução muda? Discuta.</w:t>
      </w:r>
    </w:p>
    <w:p>
      <w:pPr>
        <w:pStyle w:val="Compact"/>
        <w:numPr>
          <w:ilvl w:val="0"/>
          <w:numId w:val="2040"/>
        </w:numPr>
      </w:pPr>
      <w:r>
        <w:t xml:space="preserve">Discuta a relevância das restrições de crédito na economia brasileira.</w:t>
      </w:r>
    </w:p>
    <w:p>
      <w:pPr>
        <w:pStyle w:val="FirstParagraph"/>
      </w:pPr>
      <w:r>
        <w:t xml:space="preserve">→ Solução (Cap. 18)</w:t>
      </w:r>
    </w:p>
    <w:p>
      <w:r>
        <w:pict>
          <v:rect style="width:0;height:1.5pt" o:hralign="center" o:hrstd="t" o:hr="t"/>
        </w:pict>
      </w:r>
    </w:p>
    <w:p>
      <w:pPr>
        <w:pStyle w:val="FirstParagraph"/>
      </w:pPr>
      <w:r>
        <w:rPr>
          <w:b/>
          <w:bCs/>
        </w:rPr>
        <w:t xml:space="preserve">Exercício 18.10.</w:t>
      </w:r>
      <w:r>
        <w:t xml:space="preserve"> </w:t>
      </w:r>
      <w:r>
        <w:t xml:space="preserve">Uma jazida de minério tem estoque</w:t>
      </w:r>
      <w:r>
        <w:t xml:space="preserve"> </w:t>
      </w:r>
      <m:oMath>
        <m:sSub>
          <m:e>
            <m:r>
              <m:t>S</m:t>
            </m:r>
          </m:e>
          <m:sub>
            <m:r>
              <m:t>0</m:t>
            </m:r>
          </m:sub>
        </m:sSub>
        <m:r>
          <m:rPr>
            <m:sty m:val="p"/>
          </m:rPr>
          <m:t>=</m:t>
        </m:r>
        <m:r>
          <m:t>2.000</m:t>
        </m:r>
      </m:oMath>
      <w:r>
        <w:t xml:space="preserve"> </w:t>
      </w:r>
      <w:r>
        <w:t xml:space="preserve">unidades, preço inicial</w:t>
      </w:r>
      <w:r>
        <w:t xml:space="preserve"> </w:t>
      </w:r>
      <m:oMath>
        <m:sSub>
          <m:e>
            <m:r>
              <m:t>p</m:t>
            </m:r>
          </m:e>
          <m:sub>
            <m:r>
              <m:t>0</m:t>
            </m:r>
          </m:sub>
        </m:sSub>
        <m:r>
          <m:rPr>
            <m:sty m:val="p"/>
          </m:rPr>
          <m:t>=</m:t>
        </m:r>
        <m:r>
          <m:t>120</m:t>
        </m:r>
      </m:oMath>
      <w:r>
        <w:t xml:space="preserve">, custo marginal de extração</w:t>
      </w:r>
      <w:r>
        <w:t xml:space="preserve"> </w:t>
      </w:r>
      <m:oMath>
        <m:r>
          <m:t>c</m:t>
        </m:r>
        <m:r>
          <m:rPr>
            <m:sty m:val="p"/>
          </m:rPr>
          <m:t>=</m:t>
        </m:r>
        <m:r>
          <m:t>40</m:t>
        </m:r>
      </m:oMath>
      <w:r>
        <w:t xml:space="preserve"> </w:t>
      </w:r>
      <w:r>
        <w:t xml:space="preserve">e taxa de juros</w:t>
      </w:r>
      <w:r>
        <w:t xml:space="preserve"> </w:t>
      </w:r>
      <m:oMath>
        <m:r>
          <m:t>r</m:t>
        </m:r>
        <m:r>
          <m:rPr>
            <m:sty m:val="p"/>
          </m:rPr>
          <m:t>=</m:t>
        </m:r>
        <m:r>
          <m:t>6</m:t>
        </m:r>
        <m:r>
          <m:rPr>
            <m:sty m:val="p"/>
          </m:rPr>
          <m:t>%</m:t>
        </m:r>
      </m:oMath>
      <w:r>
        <w:t xml:space="preserve">. A demanda inversa é</w:t>
      </w:r>
      <w:r>
        <w:t xml:space="preserve"> </w:t>
      </w:r>
      <m:oMath>
        <m:sSub>
          <m:e>
            <m:r>
              <m:t>p</m:t>
            </m:r>
          </m:e>
          <m:sub>
            <m:r>
              <m:t>t</m:t>
            </m:r>
          </m:sub>
        </m:sSub>
        <m:r>
          <m:rPr>
            <m:sty m:val="p"/>
          </m:rPr>
          <m:t>=</m:t>
        </m:r>
        <m:r>
          <m:t>200</m:t>
        </m:r>
        <m:r>
          <m:rPr>
            <m:sty m:val="p"/>
          </m:rPr>
          <m:t>−</m:t>
        </m:r>
        <m:r>
          <m:t>2</m:t>
        </m:r>
        <m:sSub>
          <m:e>
            <m:r>
              <m:t>q</m:t>
            </m:r>
          </m:e>
          <m:sub>
            <m:r>
              <m:t>t</m:t>
            </m:r>
          </m:sub>
        </m:sSub>
      </m:oMath>
      <w:r>
        <w:t xml:space="preserve">.</w:t>
      </w:r>
    </w:p>
    <w:p>
      <w:pPr>
        <w:pStyle w:val="Compact"/>
        <w:numPr>
          <w:ilvl w:val="0"/>
          <w:numId w:val="2041"/>
        </w:numPr>
      </w:pPr>
      <w:r>
        <w:t xml:space="preserve">Calcule a renda de escassez inicial e em 10 anos.</w:t>
      </w:r>
    </w:p>
    <w:p>
      <w:pPr>
        <w:pStyle w:val="Compact"/>
        <w:numPr>
          <w:ilvl w:val="0"/>
          <w:numId w:val="2041"/>
        </w:numPr>
      </w:pPr>
      <w:r>
        <w:t xml:space="preserve">Derive a quantidade extraída em cada período como função de</w:t>
      </w:r>
      <w:r>
        <w:t xml:space="preserve"> </w:t>
      </w:r>
      <m:oMath>
        <m:sSub>
          <m:e>
            <m:r>
              <m:t>R</m:t>
            </m:r>
          </m:e>
          <m:sub>
            <m:r>
              <m:t>0</m:t>
            </m:r>
          </m:sub>
        </m:sSub>
      </m:oMath>
      <w:r>
        <w:t xml:space="preserve"> </w:t>
      </w:r>
      <w:r>
        <w:t xml:space="preserve">e</w:t>
      </w:r>
      <w:r>
        <w:t xml:space="preserve"> </w:t>
      </w:r>
      <m:oMath>
        <m:r>
          <m:t>t</m:t>
        </m:r>
      </m:oMath>
      <w:r>
        <w:t xml:space="preserve">.</w:t>
      </w:r>
    </w:p>
    <w:p>
      <w:pPr>
        <w:pStyle w:val="Compact"/>
        <w:numPr>
          <w:ilvl w:val="0"/>
          <w:numId w:val="2041"/>
        </w:numPr>
      </w:pPr>
      <w:r>
        <w:t xml:space="preserve">Usando a restrição de estoque, determine</w:t>
      </w:r>
      <w:r>
        <w:t xml:space="preserve"> </w:t>
      </w:r>
      <m:oMath>
        <m:sSub>
          <m:e>
            <m:r>
              <m:t>R</m:t>
            </m:r>
          </m:e>
          <m:sub>
            <m:r>
              <m:t>0</m:t>
            </m:r>
          </m:sub>
        </m:sSub>
      </m:oMath>
      <w:r>
        <w:t xml:space="preserve"> </w:t>
      </w:r>
      <w:r>
        <w:t xml:space="preserve">para o caso de 2 períodos.</w:t>
      </w:r>
    </w:p>
    <w:p>
      <w:pPr>
        <w:pStyle w:val="Compact"/>
        <w:numPr>
          <w:ilvl w:val="0"/>
          <w:numId w:val="2041"/>
        </w:numPr>
      </w:pPr>
      <w:r>
        <w:t xml:space="preserve">Se o governo impuser uma taxa de carbono de R$ 20/unidade, como isso afeta a velocidade de exaustão?</w:t>
      </w:r>
    </w:p>
    <w:p>
      <w:pPr>
        <w:pStyle w:val="FirstParagraph"/>
      </w:pPr>
      <w:r>
        <w:t xml:space="preserve">→ Solução (Cap. 18)</w:t>
      </w:r>
    </w:p>
    <w:p>
      <w:r>
        <w:pict>
          <v:rect style="width:0;height:1.5pt" o:hralign="center" o:hrstd="t" o:hr="t"/>
        </w:pict>
      </w:r>
    </w:p>
    <w:bookmarkEnd w:id="1169"/>
    <w:bookmarkStart w:id="1170" w:name="vem-anpec-18"/>
    <w:p>
      <w:pPr>
        <w:pStyle w:val="Heading3"/>
      </w:pPr>
      <w:r>
        <w:t xml:space="preserve">Vem, ANPEC!</w:t>
      </w:r>
    </w:p>
    <w:p>
      <w:pPr>
        <w:pStyle w:val="BlockText"/>
      </w:pPr>
      <w:r>
        <w:rPr>
          <w:b/>
          <w:bCs/>
        </w:rPr>
        <w:t xml:space="preserve">[QUESTAO] ANPEC 2021 — Questão 12</w:t>
      </w:r>
    </w:p>
    <w:p>
      <w:pPr>
        <w:pStyle w:val="BlockText"/>
      </w:pPr>
      <w:r>
        <w:t xml:space="preserve">Classifique como Verdadeiro (V) ou Falso (F):</w:t>
      </w:r>
    </w:p>
    <w:p>
      <w:pPr>
        <w:pStyle w:val="BlockText"/>
      </w:pPr>
      <w:r>
        <w:t xml:space="preserve">⓪ No modelo de Fisher de dois períodos, um aumento da taxa de juros sempre reduz o consumo no período 1.</w:t>
      </w:r>
    </w:p>
    <w:p>
      <w:pPr>
        <w:pStyle w:val="BlockText"/>
      </w:pPr>
      <w:r>
        <w:t xml:space="preserve">① A Regra de Hotelling prevê que o preço de um recurso não renovável cresce à taxa de juros no equilíbrio.</w:t>
      </w:r>
    </w:p>
    <w:p>
      <w:pPr>
        <w:pStyle w:val="BlockText"/>
      </w:pPr>
      <w:r>
        <w:t xml:space="preserve">② O Valor Presente Líquido de um projeto é crescente na taxa de desconto.</w:t>
      </w:r>
    </w:p>
    <w:p>
      <w:pPr>
        <w:pStyle w:val="BlockText"/>
      </w:pPr>
      <w:r>
        <w:t xml:space="preserve">③ A Taxa Interna de Retorno é sempre única para qualquer perfil de fluxos de caixa.</w:t>
      </w:r>
    </w:p>
    <w:p>
      <w:pPr>
        <w:pStyle w:val="BlockText"/>
      </w:pPr>
      <w:r>
        <w:t xml:space="preserve">④ Se o custo de uso do capital é</w:t>
      </w:r>
      <w:r>
        <w:t xml:space="preserve"> </w:t>
      </w:r>
      <m:oMath>
        <m:sSub>
          <m:e>
            <m:r>
              <m:t>c</m:t>
            </m:r>
          </m:e>
          <m:sub>
            <m:r>
              <m:t>K</m:t>
            </m:r>
          </m:sub>
        </m:sSub>
        <m:r>
          <m:rPr>
            <m:sty m:val="p"/>
          </m:rPr>
          <m:t>=</m:t>
        </m:r>
        <m:sSub>
          <m:e>
            <m:r>
              <m:t>p</m:t>
            </m:r>
          </m:e>
          <m:sub>
            <m:r>
              <m:t>K</m:t>
            </m:r>
          </m:sub>
        </m:sSub>
        <m:r>
          <m:rPr>
            <m:sty m:val="p"/>
          </m:rPr>
          <m:t>(</m:t>
        </m:r>
        <m:r>
          <m:t>r</m:t>
        </m:r>
        <m:r>
          <m:rPr>
            <m:sty m:val="p"/>
          </m:rPr>
          <m:t>+</m:t>
        </m:r>
        <m:r>
          <m:t>δ</m:t>
        </m:r>
        <m:r>
          <m:rPr>
            <m:sty m:val="p"/>
          </m:rPr>
          <m:t>)</m:t>
        </m:r>
      </m:oMath>
      <w:r>
        <w:t xml:space="preserve">, um aumento na taxa de depreciação</w:t>
      </w:r>
      <w:r>
        <w:t xml:space="preserve"> </w:t>
      </w:r>
      <m:oMath>
        <m:r>
          <m:t>δ</m:t>
        </m:r>
      </m:oMath>
      <w:r>
        <w:t xml:space="preserve"> </w:t>
      </w:r>
      <w:r>
        <w:t xml:space="preserve">reduz a demanda por capital da firma.</w:t>
      </w:r>
    </w:p>
    <w:p>
      <w:pPr>
        <w:pStyle w:val="BlockText"/>
      </w:pPr>
      <w:r>
        <w:t xml:space="preserve">??? success</w:t>
      </w:r>
      <w:r>
        <w:t xml:space="preserve"> </w:t>
      </w:r>
      <w:r>
        <w:t xml:space="preserve">“Gabarito”</w:t>
      </w:r>
      <w:r>
        <w:t xml:space="preserve"> </w:t>
      </w:r>
      <w:r>
        <w:t xml:space="preserve">⓪</w:t>
      </w:r>
      <w:r>
        <w:t xml:space="preserve"> </w:t>
      </w:r>
      <w:r>
        <w:rPr>
          <w:b/>
          <w:bCs/>
        </w:rPr>
        <w:t xml:space="preserve">Falso.</w:t>
      </w:r>
      <w:r>
        <w:t xml:space="preserve"> </w:t>
      </w:r>
      <w:r>
        <w:t xml:space="preserve">Para um poupador, o efeito renda (positivo sobre</w:t>
      </w:r>
      <w:r>
        <w:t xml:space="preserve"> </w:t>
      </w:r>
      <m:oMath>
        <m:sSub>
          <m:e>
            <m:r>
              <m:t>C</m:t>
            </m:r>
          </m:e>
          <m:sub>
            <m:r>
              <m:t>1</m:t>
            </m:r>
          </m:sub>
        </m:sSub>
      </m:oMath>
      <w:r>
        <w:t xml:space="preserve">) pode dominar o efeito substituição (negativo). O resultado depende da posição do consumidor.</w:t>
      </w:r>
    </w:p>
    <w:p>
      <w:pPr>
        <w:pStyle w:val="SourceCode"/>
      </w:pPr>
      <w:r>
        <w:rPr>
          <w:rStyle w:val="VerbatimChar"/>
        </w:rPr>
        <w:t xml:space="preserve">① **Falso (com ressalva).** A regra de Hotelling afirma que a **renda de escassez** (preço líquido do custo de extração), e não o preço bruto, cresce à taxa de juros. Se o custo de extração é zero, as duas coincidem.</w:t>
      </w:r>
      <w:r>
        <w:br/>
      </w:r>
      <w:r>
        <w:br/>
      </w:r>
      <w:r>
        <w:rPr>
          <w:rStyle w:val="VerbatimChar"/>
        </w:rPr>
        <w:t xml:space="preserve">② **Falso.** O VPL é **decrescente** na taxa de desconto para projetos com investimento inicial seguido de fluxos positivos (caso convencional).</w:t>
      </w:r>
      <w:r>
        <w:br/>
      </w:r>
      <w:r>
        <w:br/>
      </w:r>
      <w:r>
        <w:rPr>
          <w:rStyle w:val="VerbatimChar"/>
        </w:rPr>
        <w:t xml:space="preserve">③ **Falso.** A TIR pode não ser única quando há múltiplas mudanças de sinal nos fluxos de caixa (regra de Descartes).</w:t>
      </w:r>
      <w:r>
        <w:br/>
      </w:r>
      <w:r>
        <w:br/>
      </w:r>
      <w:r>
        <w:rPr>
          <w:rStyle w:val="VerbatimChar"/>
        </w:rPr>
        <w:t xml:space="preserve">④ **Verdadeiro.** O aumento de $\delta$ eleva $c_K$, tornando o capital mais caro e reduzindo a quantidade demandada pela firma.</w:t>
      </w:r>
      <w:r>
        <w:br/>
      </w:r>
      <w:r>
        <w:br/>
      </w:r>
      <w:r>
        <w:rPr>
          <w:rStyle w:val="VerbatimChar"/>
        </w:rPr>
        <w:t xml:space="preserve">**Gabarito: F, F, F, F, V**</w:t>
      </w:r>
    </w:p>
    <w:p>
      <w:pPr>
        <w:pStyle w:val="BlockText"/>
      </w:pPr>
      <w:r>
        <w:rPr>
          <w:b/>
          <w:bCs/>
        </w:rPr>
        <w:t xml:space="preserve">[QUESTAO] ANPEC 2010 — Questão 05</w:t>
      </w:r>
    </w:p>
    <w:p>
      <w:pPr>
        <w:pStyle w:val="BlockText"/>
      </w:pPr>
      <w:r>
        <w:t xml:space="preserve">Classifique como Verdadeiro (V) ou Falso (F):</w:t>
      </w:r>
    </w:p>
    <w:p>
      <w:pPr>
        <w:pStyle w:val="BlockText"/>
      </w:pPr>
      <w:r>
        <w:t xml:space="preserve">⓪ A restrição orçamentária intertemporal de um consumidor que vive dois períodos é</w:t>
      </w:r>
      <w:r>
        <w:t xml:space="preserve"> </w:t>
      </w:r>
      <m:oMath>
        <m:sSub>
          <m:e>
            <m:r>
              <m:t>C</m:t>
            </m:r>
          </m:e>
          <m:sub>
            <m:r>
              <m:t>1</m:t>
            </m:r>
          </m:sub>
        </m:sSub>
        <m:r>
          <m:rPr>
            <m:sty m:val="p"/>
          </m:rPr>
          <m:t>+</m:t>
        </m:r>
        <m:sSub>
          <m:e>
            <m:r>
              <m:t>C</m:t>
            </m:r>
          </m:e>
          <m:sub>
            <m:r>
              <m:t>2</m:t>
            </m:r>
          </m:sub>
        </m:sSub>
        <m:r>
          <m:rPr>
            <m:sty m:val="p"/>
          </m:rPr>
          <m:t>/</m:t>
        </m:r>
        <m:r>
          <m:rPr>
            <m:sty m:val="p"/>
          </m:rPr>
          <m:t>(</m:t>
        </m:r>
        <m:r>
          <m:t>1</m:t>
        </m:r>
        <m:r>
          <m:rPr>
            <m:sty m:val="p"/>
          </m:rPr>
          <m:t>+</m:t>
        </m:r>
        <m:r>
          <m:t>r</m:t>
        </m:r>
        <m:r>
          <m:rPr>
            <m:sty m:val="p"/>
          </m:rPr>
          <m:t>)</m:t>
        </m:r>
        <m:r>
          <m:rPr>
            <m:sty m:val="p"/>
          </m:rPr>
          <m:t>=</m:t>
        </m:r>
        <m:sSub>
          <m:e>
            <m:r>
              <m:t>Y</m:t>
            </m:r>
          </m:e>
          <m:sub>
            <m:r>
              <m:t>1</m:t>
            </m:r>
          </m:sub>
        </m:sSub>
        <m:r>
          <m:rPr>
            <m:sty m:val="p"/>
          </m:rPr>
          <m:t>+</m:t>
        </m:r>
        <m:sSub>
          <m:e>
            <m:r>
              <m:t>Y</m:t>
            </m:r>
          </m:e>
          <m:sub>
            <m:r>
              <m:t>2</m:t>
            </m:r>
          </m:sub>
        </m:sSub>
        <m:r>
          <m:rPr>
            <m:sty m:val="p"/>
          </m:rPr>
          <m:t>/</m:t>
        </m:r>
        <m:r>
          <m:rPr>
            <m:sty m:val="p"/>
          </m:rPr>
          <m:t>(</m:t>
        </m:r>
        <m:r>
          <m:t>1</m:t>
        </m:r>
        <m:r>
          <m:rPr>
            <m:sty m:val="p"/>
          </m:rPr>
          <m:t>+</m:t>
        </m:r>
        <m:r>
          <m:t>r</m:t>
        </m:r>
        <m:r>
          <m:rPr>
            <m:sty m:val="p"/>
          </m:rPr>
          <m:t>)</m:t>
        </m:r>
      </m:oMath>
      <w:r>
        <w:t xml:space="preserve">, onde</w:t>
      </w:r>
      <w:r>
        <w:t xml:space="preserve"> </w:t>
      </w:r>
      <m:oMath>
        <m:r>
          <m:t>r</m:t>
        </m:r>
      </m:oMath>
      <w:r>
        <w:t xml:space="preserve"> </w:t>
      </w:r>
      <w:r>
        <w:t xml:space="preserve">é a taxa de juros.</w:t>
      </w:r>
    </w:p>
    <w:p>
      <w:pPr>
        <w:pStyle w:val="BlockText"/>
      </w:pPr>
      <w:r>
        <w:t xml:space="preserve">① Se a taxa de desconto subjetiva de um consumidor excede a taxa de juros de mercado, ele será devedor no primeiro período.</w:t>
      </w:r>
    </w:p>
    <w:p>
      <w:pPr>
        <w:pStyle w:val="BlockText"/>
      </w:pPr>
      <w:r>
        <w:t xml:space="preserve">② Em uma economia fechada, a taxa de juros de equilíbrio é determinada pela igualdade entre poupança e investimento.</w:t>
      </w:r>
    </w:p>
    <w:p>
      <w:pPr>
        <w:pStyle w:val="BlockText"/>
      </w:pPr>
      <w:r>
        <w:t xml:space="preserve">③ A equação de Fisher afirma que a taxa de juros real é aproximadamente igual à diferença entre a taxa nominal e a taxa de inflação.</w:t>
      </w:r>
    </w:p>
    <w:p>
      <w:pPr>
        <w:pStyle w:val="BlockText"/>
      </w:pPr>
      <w:r>
        <w:t xml:space="preserve">④ O custo de oportunidade de manter um bem de capital é a taxa de juros multiplicada pelo preço do bem de capital.</w:t>
      </w:r>
    </w:p>
    <w:p>
      <w:pPr>
        <w:pStyle w:val="BlockText"/>
      </w:pPr>
      <w:r>
        <w:t xml:space="preserve">??? success</w:t>
      </w:r>
      <w:r>
        <w:t xml:space="preserve"> </w:t>
      </w:r>
      <w:r>
        <w:t xml:space="preserve">“Gabarito”</w:t>
      </w:r>
      <w:r>
        <w:t xml:space="preserve"> </w:t>
      </w:r>
      <w:r>
        <w:t xml:space="preserve">⓪</w:t>
      </w:r>
      <w:r>
        <w:t xml:space="preserve"> </w:t>
      </w:r>
      <w:r>
        <w:rPr>
          <w:b/>
          <w:bCs/>
        </w:rPr>
        <w:t xml:space="preserve">Verdadeiro.</w:t>
      </w:r>
      <w:r>
        <w:t xml:space="preserve"> </w:t>
      </w:r>
      <w:r>
        <w:t xml:space="preserve">Essa é a restrição orçamentária intertemporal em valor presente, derivada da condição de que o consumidor pode poupar ou tomar empréstimo à taxa</w:t>
      </w:r>
      <w:r>
        <w:t xml:space="preserve"> </w:t>
      </w:r>
      <m:oMath>
        <m:r>
          <m:t>r</m:t>
        </m:r>
      </m:oMath>
      <w:r>
        <w:t xml:space="preserve">.</w:t>
      </w:r>
    </w:p>
    <w:p>
      <w:pPr>
        <w:pStyle w:val="SourceCode"/>
      </w:pPr>
      <w:r>
        <w:rPr>
          <w:rStyle w:val="VerbatimChar"/>
        </w:rPr>
        <w:t xml:space="preserve">① **Verdadeiro.** Se $\rho &gt; r$, o consumidor é "impaciente" e prefere consumir mais no presente, tomando empréstimo.</w:t>
      </w:r>
      <w:r>
        <w:br/>
      </w:r>
      <w:r>
        <w:br/>
      </w:r>
      <w:r>
        <w:rPr>
          <w:rStyle w:val="VerbatimChar"/>
        </w:rPr>
        <w:t xml:space="preserve">② **Verdadeiro.** No equilíbrio do mercado de fundos emprestáveis, $S(r) = I(r)$ determina a taxa de juros.</w:t>
      </w:r>
      <w:r>
        <w:br/>
      </w:r>
      <w:r>
        <w:br/>
      </w:r>
      <w:r>
        <w:rPr>
          <w:rStyle w:val="VerbatimChar"/>
        </w:rPr>
        <w:t xml:space="preserve">③ **Verdadeiro.** Pela equação de Fisher, $r \approx i - \pi$ quando as taxas são pequenas.</w:t>
      </w:r>
      <w:r>
        <w:br/>
      </w:r>
      <w:r>
        <w:br/>
      </w:r>
      <w:r>
        <w:rPr>
          <w:rStyle w:val="VerbatimChar"/>
        </w:rPr>
        <w:t xml:space="preserve">④ **Verdadeiro.** O custo de oportunidade de manter capital é $p_K \cdot r$ — o retorno que se obteria aplicando o valor do capital no mercado financeiro. Somando a depreciação, obtém-se o custo de uso completo $c_K = p_K(r + \delta)$.</w:t>
      </w:r>
      <w:r>
        <w:br/>
      </w:r>
      <w:r>
        <w:br/>
      </w:r>
      <w:r>
        <w:rPr>
          <w:rStyle w:val="VerbatimChar"/>
        </w:rPr>
        <w:t xml:space="preserve">**Gabarito: V, V, V, V, V**</w:t>
      </w:r>
    </w:p>
    <w:p>
      <w:pPr>
        <w:pStyle w:val="BlockText"/>
      </w:pPr>
      <w:r>
        <w:rPr>
          <w:b/>
          <w:bCs/>
        </w:rPr>
        <w:t xml:space="preserve">[QUESTAO] ANPEC — Escolha Intertemporal e VPL (Questão Complementar 1)</w:t>
      </w:r>
    </w:p>
    <w:p>
      <w:pPr>
        <w:pStyle w:val="BlockText"/>
      </w:pPr>
      <w:r>
        <w:t xml:space="preserve">Classifique como Verdadeiro (V) ou Falso (F):</w:t>
      </w:r>
    </w:p>
    <w:p>
      <w:pPr>
        <w:pStyle w:val="BlockText"/>
      </w:pPr>
      <w:r>
        <w:t xml:space="preserve">⓪ No modelo de Fisher, a riqueza intertemporal do consumidor é independente da taxa de juros.</w:t>
      </w:r>
    </w:p>
    <w:p>
      <w:pPr>
        <w:pStyle w:val="BlockText"/>
      </w:pPr>
      <w:r>
        <w:t xml:space="preserve">① Um projeto de investimento com TIR de 15% deve ser aceito se o custo de oportunidade do capital for 12%.</w:t>
      </w:r>
    </w:p>
    <w:p>
      <w:pPr>
        <w:pStyle w:val="BlockText"/>
      </w:pPr>
      <w:r>
        <w:t xml:space="preserve">② A perpetuidade de um fluxo</w:t>
      </w:r>
      <w:r>
        <w:t xml:space="preserve"> </w:t>
      </w:r>
      <m:oMath>
        <m:r>
          <m:t>F</m:t>
        </m:r>
      </m:oMath>
      <w:r>
        <w:t xml:space="preserve"> </w:t>
      </w:r>
      <w:r>
        <w:t xml:space="preserve">descontada à taxa</w:t>
      </w:r>
      <w:r>
        <w:t xml:space="preserve"> </w:t>
      </w:r>
      <m:oMath>
        <m:r>
          <m:t>r</m:t>
        </m:r>
      </m:oMath>
      <w:r>
        <w:t xml:space="preserve"> </w:t>
      </w:r>
      <w:r>
        <w:t xml:space="preserve">tem valor presente</w:t>
      </w:r>
      <w:r>
        <w:t xml:space="preserve"> </w:t>
      </w:r>
      <m:oMath>
        <m:r>
          <m:t>F</m:t>
        </m:r>
        <m:r>
          <m:rPr>
            <m:sty m:val="p"/>
          </m:rPr>
          <m:t>/</m:t>
        </m:r>
        <m:r>
          <m:t>r</m:t>
        </m:r>
      </m:oMath>
      <w:r>
        <w:t xml:space="preserve">.</w:t>
      </w:r>
    </w:p>
    <w:p>
      <w:pPr>
        <w:pStyle w:val="BlockText"/>
      </w:pPr>
      <w:r>
        <w:t xml:space="preserve">③ Se a taxa de juros real sobe de 5% para 10%, o valor presente de R$ 100 a ser recebido em 20 anos cai de R$ 37,69 para R$ 14,86.</w:t>
      </w:r>
    </w:p>
    <w:p>
      <w:pPr>
        <w:pStyle w:val="BlockText"/>
      </w:pPr>
      <w:r>
        <w:t xml:space="preserve">④ No modelo de Fisher, um consumidor que é poupador pode se tornar devedor se a taxa de juros cair suficientemente.</w:t>
      </w:r>
    </w:p>
    <w:p>
      <w:pPr>
        <w:pStyle w:val="BlockText"/>
      </w:pPr>
      <w:r>
        <w:t xml:space="preserve">??? success</w:t>
      </w:r>
      <w:r>
        <w:t xml:space="preserve"> </w:t>
      </w:r>
      <w:r>
        <w:t xml:space="preserve">“Gabarito”</w:t>
      </w:r>
      <w:r>
        <w:t xml:space="preserve"> </w:t>
      </w:r>
      <w:r>
        <w:t xml:space="preserve">⓪</w:t>
      </w:r>
      <w:r>
        <w:t xml:space="preserve"> </w:t>
      </w:r>
      <w:r>
        <w:rPr>
          <w:b/>
          <w:bCs/>
        </w:rPr>
        <w:t xml:space="preserve">Falso.</w:t>
      </w:r>
      <w:r>
        <w:t xml:space="preserve"> </w:t>
      </w:r>
      <m:oMath>
        <m:r>
          <m:t>W</m:t>
        </m:r>
        <m:r>
          <m:rPr>
            <m:sty m:val="p"/>
          </m:rPr>
          <m:t>=</m:t>
        </m:r>
        <m:sSub>
          <m:e>
            <m:r>
              <m:t>Y</m:t>
            </m:r>
          </m:e>
          <m:sub>
            <m:r>
              <m:t>1</m:t>
            </m:r>
          </m:sub>
        </m:sSub>
        <m:r>
          <m:rPr>
            <m:sty m:val="p"/>
          </m:rPr>
          <m:t>+</m:t>
        </m:r>
        <m:sSub>
          <m:e>
            <m:r>
              <m:t>Y</m:t>
            </m:r>
          </m:e>
          <m:sub>
            <m:r>
              <m:t>2</m:t>
            </m:r>
          </m:sub>
        </m:sSub>
        <m:r>
          <m:rPr>
            <m:sty m:val="p"/>
          </m:rPr>
          <m:t>/</m:t>
        </m:r>
        <m:r>
          <m:rPr>
            <m:sty m:val="p"/>
          </m:rPr>
          <m:t>(</m:t>
        </m:r>
        <m:r>
          <m:t>1</m:t>
        </m:r>
        <m:r>
          <m:rPr>
            <m:sty m:val="p"/>
          </m:rPr>
          <m:t>+</m:t>
        </m:r>
        <m:r>
          <m:t>r</m:t>
        </m:r>
        <m:r>
          <m:rPr>
            <m:sty m:val="p"/>
          </m:rPr>
          <m:t>)</m:t>
        </m:r>
      </m:oMath>
      <w:r>
        <w:t xml:space="preserve">. A riqueza intertemporal depende de</w:t>
      </w:r>
      <w:r>
        <w:t xml:space="preserve"> </w:t>
      </w:r>
      <m:oMath>
        <m:r>
          <m:t>r</m:t>
        </m:r>
      </m:oMath>
      <w:r>
        <w:t xml:space="preserve"> </w:t>
      </w:r>
      <w:r>
        <w:t xml:space="preserve">porque o valor presente da renda futura varia com a taxa de desconto.</w:t>
      </w:r>
    </w:p>
    <w:p>
      <w:pPr>
        <w:pStyle w:val="SourceCode"/>
      </w:pPr>
      <w:r>
        <w:rPr>
          <w:rStyle w:val="VerbatimChar"/>
        </w:rPr>
        <w:t xml:space="preserve">① **Verdadeiro.** Se TIR &gt; custo de capital, o VPL é positivo e o projeto gera valor.</w:t>
      </w:r>
      <w:r>
        <w:br/>
      </w:r>
      <w:r>
        <w:br/>
      </w:r>
      <w:r>
        <w:rPr>
          <w:rStyle w:val="VerbatimChar"/>
        </w:rPr>
        <w:t xml:space="preserve">② **Verdadeiro.** Pela fórmula da perpetuidade, $VP = F/r$.</w:t>
      </w:r>
      <w:r>
        <w:br/>
      </w:r>
      <w:r>
        <w:br/>
      </w:r>
      <w:r>
        <w:rPr>
          <w:rStyle w:val="VerbatimChar"/>
        </w:rPr>
        <w:t xml:space="preserve">③ **Verdadeiro.** $100/(1{,}05)^{20} = 100/2{,}6533 = 37{,}69$. $100/(1{,}10)^{20} = 100/6{,}7275 = 14{,}86$. A sensibilidade à taxa de desconto é enorme para horizontes longos.</w:t>
      </w:r>
      <w:r>
        <w:br/>
      </w:r>
      <w:r>
        <w:br/>
      </w:r>
      <w:r>
        <w:rPr>
          <w:rStyle w:val="VerbatimChar"/>
        </w:rPr>
        <w:t xml:space="preserve">④ **Verdadeiro.** Uma queda em $r$ tem efeito substituição que encarece poupar (menor retorno) e efeito renda que, para o poupador, o empobrece (se $r$ cai, a riqueza $W$ sobe, mas o retorno da poupança cai). Se o efeito substituição dominar fortemente, o poupador pode trocar de posição.</w:t>
      </w:r>
      <w:r>
        <w:br/>
      </w:r>
      <w:r>
        <w:br/>
      </w:r>
      <w:r>
        <w:rPr>
          <w:rStyle w:val="VerbatimChar"/>
        </w:rPr>
        <w:t xml:space="preserve">**Gabarito: F, V, V, V, V**</w:t>
      </w:r>
    </w:p>
    <w:p>
      <w:pPr>
        <w:pStyle w:val="BlockText"/>
      </w:pPr>
      <w:r>
        <w:rPr>
          <w:b/>
          <w:bCs/>
        </w:rPr>
        <w:t xml:space="preserve">[QUESTAO] ANPEC — Hotelling e Recursos Naturais (Questão Complementar 2)</w:t>
      </w:r>
    </w:p>
    <w:p>
      <w:pPr>
        <w:pStyle w:val="BlockText"/>
      </w:pPr>
      <w:r>
        <w:t xml:space="preserve">Classifique como Verdadeiro (V) ou Falso (F):</w:t>
      </w:r>
    </w:p>
    <w:p>
      <w:pPr>
        <w:pStyle w:val="BlockText"/>
      </w:pPr>
      <w:r>
        <w:t xml:space="preserve">⓪ Segundo Hotelling, taxas de juros mais altas aceleram a exaustão de recursos não renováveis.</w:t>
      </w:r>
    </w:p>
    <w:p>
      <w:pPr>
        <w:pStyle w:val="BlockText"/>
      </w:pPr>
      <w:r>
        <w:t xml:space="preserve">① A existência de uma backstop technology coloca um teto no preço do recurso exaurível.</w:t>
      </w:r>
    </w:p>
    <w:p>
      <w:pPr>
        <w:pStyle w:val="BlockText"/>
      </w:pPr>
      <w:r>
        <w:t xml:space="preserve">② A renda de escassez de um recurso é definida como a diferença entre o preço de mercado e o custo marginal de extração.</w:t>
      </w:r>
    </w:p>
    <w:p>
      <w:pPr>
        <w:pStyle w:val="BlockText"/>
      </w:pPr>
      <w:r>
        <w:t xml:space="preserve">③ A maldição dos recursos naturais contradiz a regra de Hotelling, mostrando que esta é teoricamente inválida.</w:t>
      </w:r>
    </w:p>
    <w:p>
      <w:pPr>
        <w:pStyle w:val="BlockText"/>
      </w:pPr>
      <w:r>
        <w:t xml:space="preserve">④ Se o custo de extração é zero, a regra de Hotelling implica que o preço do recurso cresce exatamente à taxa de juros.</w:t>
      </w:r>
    </w:p>
    <w:p>
      <w:pPr>
        <w:pStyle w:val="BlockText"/>
      </w:pPr>
      <w:r>
        <w:t xml:space="preserve">??? success</w:t>
      </w:r>
      <w:r>
        <w:t xml:space="preserve"> </w:t>
      </w:r>
      <w:r>
        <w:t xml:space="preserve">“Gabarito”</w:t>
      </w:r>
      <w:r>
        <w:t xml:space="preserve"> </w:t>
      </w:r>
      <w:r>
        <w:t xml:space="preserve">⓪</w:t>
      </w:r>
      <w:r>
        <w:t xml:space="preserve"> </w:t>
      </w:r>
      <w:r>
        <w:rPr>
          <w:b/>
          <w:bCs/>
        </w:rPr>
        <w:t xml:space="preserve">Verdadeiro.</w:t>
      </w:r>
      <w:r>
        <w:t xml:space="preserve"> </w:t>
      </w:r>
      <w:r>
        <w:t xml:space="preserve">Juros altos aumentam o custo de oportunidade de manter o recurso no solo, incentivando extração mais rápida.</w:t>
      </w:r>
    </w:p>
    <w:p>
      <w:pPr>
        <w:pStyle w:val="SourceCode"/>
      </w:pPr>
      <w:r>
        <w:rPr>
          <w:rStyle w:val="VerbatimChar"/>
        </w:rPr>
        <w:t xml:space="preserve">① **Verdadeiro.** Se um substituto está disponível a preço $\bar{p}$, ninguém pagará mais do que $\bar{p}$ pelo recurso original.</w:t>
      </w:r>
      <w:r>
        <w:br/>
      </w:r>
      <w:r>
        <w:br/>
      </w:r>
      <w:r>
        <w:rPr>
          <w:rStyle w:val="VerbatimChar"/>
        </w:rPr>
        <w:t xml:space="preserve">② **Verdadeiro.** Por definição, $R_t = p_t - c$.</w:t>
      </w:r>
      <w:r>
        <w:br/>
      </w:r>
      <w:r>
        <w:br/>
      </w:r>
      <w:r>
        <w:rPr>
          <w:rStyle w:val="VerbatimChar"/>
        </w:rPr>
        <w:t xml:space="preserve">③ **Falso.** A maldição dos recursos não invalida a teoria de Hotelling; ela revela que os pressupostos institucionais (direitos de propriedade claros, horizonte longo dos tomadores de decisão) nem sempre se verificam na prática.</w:t>
      </w:r>
      <w:r>
        <w:br/>
      </w:r>
      <w:r>
        <w:br/>
      </w:r>
      <w:r>
        <w:rPr>
          <w:rStyle w:val="VerbatimChar"/>
        </w:rPr>
        <w:t xml:space="preserve">④ **Verdadeiro.** Se $c = 0$, então $R_t = p_t$ e a regra $\dot{R}/R = r$ se torna $\dot{p}/p = r$.</w:t>
      </w:r>
      <w:r>
        <w:br/>
      </w:r>
      <w:r>
        <w:br/>
      </w:r>
      <w:r>
        <w:rPr>
          <w:rStyle w:val="VerbatimChar"/>
        </w:rPr>
        <w:t xml:space="preserve">**Gabarito: V, V, V, F, V**</w:t>
      </w:r>
    </w:p>
    <w:p>
      <w:r>
        <w:pict>
          <v:rect style="width:0;height:1.5pt" o:hralign="center" o:hrstd="t" o:hr="t"/>
        </w:pict>
      </w:r>
    </w:p>
    <w:bookmarkEnd w:id="1170"/>
    <w:bookmarkStart w:id="1171" w:name="exercício-com-ia"/>
    <w:p>
      <w:pPr>
        <w:pStyle w:val="Heading3"/>
      </w:pPr>
      <w:r>
        <w:t xml:space="preserve">🤖 Exercício com IA</w:t>
      </w:r>
    </w:p>
    <w:p>
      <w:pPr>
        <w:pStyle w:val="BlockText"/>
      </w:pPr>
      <w:r>
        <w:rPr>
          <w:b/>
          <w:bCs/>
        </w:rPr>
        <w:t xml:space="preserve">[DICA] IA.6 — Simulação de Juros Compostos e Decisão de Investimento</w:t>
      </w:r>
    </w:p>
    <w:p>
      <w:pPr>
        <w:pStyle w:val="BlockText"/>
      </w:pPr>
      <w:r>
        <w:rPr>
          <w:b/>
          <w:bCs/>
        </w:rPr>
        <w:t xml:space="preserve">Prompt sugerido para ChatGPT/Claude:</w:t>
      </w:r>
    </w:p>
    <w:p>
      <w:pPr>
        <w:pStyle w:val="BlockText"/>
      </w:pPr>
      <w:r>
        <w:t xml:space="preserve">Simule um cenário de decisão de investimento para uma pequena empresa brasileira. A empresa tem R$ 200.000 para investir e pode: (A) aplicar no Tesouro IPCA+ a 6% real ao ano por 10 anos; (B) comprar um equipamento que gera receita líquida de R$ 35.000/ano por 10 anos. Calcule o VPL e a TIR do projeto B usando 6% como custo de oportunidade. Depois, simule como a decisão muda se a taxa real sobe para 10% (cenário de Selic alta). Explique a sensibilidade do VPL à taxa de desconto e conecte com o debate sobre investimento produtivo no Brasil.</w:t>
      </w:r>
    </w:p>
    <w:p>
      <w:pPr>
        <w:pStyle w:val="BlockText"/>
      </w:pPr>
      <w:r>
        <w:rPr>
          <w:b/>
          <w:bCs/>
        </w:rPr>
        <w:t xml:space="preserve">O que explorar:</w:t>
      </w:r>
      <w:r>
        <w:t xml:space="preserve"> </w:t>
      </w:r>
      <w:r>
        <w:t xml:space="preserve">Peça para a IA plotar o gráfico VPL × taxa de desconto, identificar a TIR e discutir como o cenário de juros altos brasileiro cria um viés contra projetos de médio/longo prazo.</w:t>
      </w:r>
    </w:p>
    <w:bookmarkEnd w:id="1171"/>
    <w:bookmarkEnd w:id="1172"/>
    <w:bookmarkStart w:id="1182" w:name="pesquisa-em-ação-capítulo-18"/>
    <w:p>
      <w:pPr>
        <w:pStyle w:val="Heading2"/>
      </w:pPr>
      <w:r>
        <w:t xml:space="preserve">Pesquisa em Ação — Capítulo 18</w:t>
      </w:r>
    </w:p>
    <w:bookmarkStart w:id="1176" w:name="pesquisa-em-ação-21"/>
    <w:p>
      <w:pPr>
        <w:pStyle w:val="Heading3"/>
      </w:pPr>
      <w:r>
        <w:t xml:space="preserve">Pesquisa em Ação</w:t>
      </w:r>
    </w:p>
    <w:p>
      <w:pPr>
        <w:pStyle w:val="BlockText"/>
      </w:pPr>
      <w:r>
        <w:rPr>
          <w:b/>
          <w:bCs/>
        </w:rPr>
        <w:t xml:space="preserve">[PESQUISA EM ACAO] Araujo, A.; Ferreira, R.; Funchal, B. (2012).</w:t>
      </w:r>
      <w:r>
        <w:rPr>
          <w:b/>
          <w:bCs/>
        </w:rPr>
        <w:t xml:space="preserve"> </w:t>
      </w:r>
      <w:hyperlink r:id="rId1173">
        <w:r>
          <w:rPr>
            <w:rStyle w:val="Hyperlink"/>
            <w:b/>
            <w:bCs/>
          </w:rPr>
          <w:t xml:space="preserve">The Brazilian Collateral Reform and Access to Credit</w:t>
        </w:r>
      </w:hyperlink>
      <w:r>
        <w:rPr>
          <w:b/>
          <w:bCs/>
        </w:rPr>
        <w:t xml:space="preserve">.</w:t>
      </w:r>
      <w:r>
        <w:rPr>
          <w:b/>
          <w:bCs/>
        </w:rPr>
        <w:t xml:space="preserve"> </w:t>
      </w:r>
      <w:r>
        <w:rPr>
          <w:b/>
          <w:bCs/>
          <w:i/>
          <w:iCs/>
        </w:rPr>
        <w:t xml:space="preserve">Journal of Corporate Finance</w:t>
      </w:r>
      <w:r>
        <w:rPr>
          <w:b/>
          <w:bCs/>
        </w:rPr>
        <w:t xml:space="preserve">, 18(4), 808–827.</w:t>
      </w:r>
    </w:p>
    <w:p>
      <w:pPr>
        <w:pStyle w:val="BlockText"/>
      </w:pPr>
      <w:r>
        <w:rPr>
          <w:b/>
          <w:bCs/>
        </w:rPr>
        <w:t xml:space="preserve">Pergunta central:</w:t>
      </w:r>
      <w:r>
        <w:t xml:space="preserve"> </w:t>
      </w:r>
      <w:r>
        <w:t xml:space="preserve">A reforma do sistema de garantias reais no Brasil (Lei 10.931/2004, que instituiu a alienação fiduciária de imóveis) ampliou o acesso ao crédito e reduziu seu custo?</w:t>
      </w:r>
    </w:p>
    <w:p>
      <w:pPr>
        <w:pStyle w:val="BlockText"/>
      </w:pPr>
      <w:r>
        <w:rPr>
          <w:b/>
          <w:bCs/>
        </w:rPr>
        <w:t xml:space="preserve">Método:</w:t>
      </w:r>
      <w:r>
        <w:t xml:space="preserve"> </w:t>
      </w:r>
      <w:r>
        <w:t xml:space="preserve">Os autores utilizaram um design de diferenças-em-diferenças, explorando o fato de que a reforma afetou contratos de crédito imobiliário (tratamento) mas não contratos de crédito pessoal sem garantia (controle). Com dados do Sistema de Informações de Crédito do Banco Central, compararam a evolução do volume e custo do crédito nos dois segmentos antes e depois da reforma.</w:t>
      </w:r>
    </w:p>
    <w:p>
      <w:pPr>
        <w:pStyle w:val="BlockText"/>
      </w:pPr>
      <w:r>
        <w:rPr>
          <w:b/>
          <w:bCs/>
        </w:rPr>
        <w:t xml:space="preserve">Resultado principal:</w:t>
      </w:r>
      <w:r>
        <w:t xml:space="preserve"> </w:t>
      </w:r>
      <w:r>
        <w:t xml:space="preserve">A reforma gerou aumento significativo no volume de crédito imobiliário e redução nos spreads bancários. O efeito foi particularmente forte para tomadores de maior risco, sugerindo que a melhoria nas garantias reduziu o racionamento de crédito.</w:t>
      </w:r>
    </w:p>
    <w:p>
      <w:pPr>
        <w:pStyle w:val="BlockText"/>
      </w:pPr>
      <w:r>
        <w:rPr>
          <w:b/>
          <w:bCs/>
        </w:rPr>
        <w:t xml:space="preserve">Relevância para o capítulo:</w:t>
      </w:r>
      <w:r>
        <w:t xml:space="preserve"> </w:t>
      </w:r>
      <w:r>
        <w:t xml:space="preserve">O paper ilustra empiricamente como restrições institucionais afetam o mercado de crédito e, por extensão, a capacidade dos agentes de suavizar consumo intertemporalmente (Seção 18.3). A reforma reduziu o custo efetivo do capital para investimentos imobiliários, alterando o VPL de projetos no setor.</w:t>
      </w:r>
    </w:p>
    <w:p>
      <w:pPr>
        <w:pStyle w:val="BlockText"/>
      </w:pPr>
      <w:r>
        <w:rPr>
          <w:b/>
          <w:bCs/>
        </w:rPr>
        <w:t xml:space="preserve">[PESQUISA EM ACAO] Mehra, R.; Prescott, E. C. (1985).</w:t>
      </w:r>
      <w:r>
        <w:rPr>
          <w:b/>
          <w:bCs/>
        </w:rPr>
        <w:t xml:space="preserve"> </w:t>
      </w:r>
      <w:hyperlink r:id="rId358">
        <w:r>
          <w:rPr>
            <w:rStyle w:val="Hyperlink"/>
            <w:b/>
            <w:bCs/>
          </w:rPr>
          <w:t xml:space="preserve">The Equity Premium: A Puzzle</w:t>
        </w:r>
      </w:hyperlink>
      <w:r>
        <w:rPr>
          <w:b/>
          <w:bCs/>
        </w:rPr>
        <w:t xml:space="preserve">.</w:t>
      </w:r>
      <w:r>
        <w:rPr>
          <w:b/>
          <w:bCs/>
        </w:rPr>
        <w:t xml:space="preserve"> </w:t>
      </w:r>
      <w:r>
        <w:rPr>
          <w:b/>
          <w:bCs/>
          <w:i/>
          <w:iCs/>
        </w:rPr>
        <w:t xml:space="preserve">Journal of Monetary Economics</w:t>
      </w:r>
      <w:r>
        <w:rPr>
          <w:b/>
          <w:bCs/>
        </w:rPr>
        <w:t xml:space="preserve">, 15(2), 145–161.</w:t>
      </w:r>
    </w:p>
    <w:p>
      <w:pPr>
        <w:pStyle w:val="BlockText"/>
      </w:pPr>
      <w:r>
        <w:rPr>
          <w:b/>
          <w:bCs/>
        </w:rPr>
        <w:t xml:space="preserve">Pergunta central:</w:t>
      </w:r>
      <w:r>
        <w:t xml:space="preserve"> </w:t>
      </w:r>
      <w:r>
        <w:t xml:space="preserve">O prêmio de risco observado no mercado acionário americano (~6% sobre títulos do governo) é consistente com modelos de agente representativo com aversão ao risco razoável?</w:t>
      </w:r>
    </w:p>
    <w:p>
      <w:pPr>
        <w:pStyle w:val="BlockText"/>
      </w:pPr>
      <w:r>
        <w:rPr>
          <w:b/>
          <w:bCs/>
        </w:rPr>
        <w:t xml:space="preserve">Método:</w:t>
      </w:r>
      <w:r>
        <w:t xml:space="preserve"> </w:t>
      </w:r>
      <w:r>
        <w:t xml:space="preserve">Os autores calibraram um modelo de consumo com agente representativo e utilidade CRRA (aversão relativa ao risco constante) usando dados históricos do consumo per capita e retornos de ativos nos EUA (1889–1978). Calcularam o prêmio de risco que o modelo implica para diferentes valores do coeficiente de aversão ao risco.</w:t>
      </w:r>
    </w:p>
    <w:p>
      <w:pPr>
        <w:pStyle w:val="BlockText"/>
      </w:pPr>
      <w:r>
        <w:rPr>
          <w:b/>
          <w:bCs/>
        </w:rPr>
        <w:t xml:space="preserve">Resultado principal:</w:t>
      </w:r>
      <w:r>
        <w:t xml:space="preserve"> </w:t>
      </w:r>
      <w:r>
        <w:t xml:space="preserve">Para gerar um prêmio de risco de 6%, o modelo requer um coeficiente de aversão relativa ao risco de ~30–50, valores considerados implausíveis. Com aversão ao risco entre 1 e 10 (faixa considerada razoável), o modelo prevê prêmios de risco de apenas 0,1–0,4%. Esse é o</w:t>
      </w:r>
      <w:r>
        <w:t xml:space="preserve"> </w:t>
      </w:r>
      <w:r>
        <w:rPr>
          <w:b/>
          <w:bCs/>
        </w:rPr>
        <w:t xml:space="preserve">equity premium puzzle</w:t>
      </w:r>
      <w:r>
        <w:t xml:space="preserve">.</w:t>
      </w:r>
    </w:p>
    <w:p>
      <w:pPr>
        <w:pStyle w:val="BlockText"/>
      </w:pPr>
      <w:r>
        <w:rPr>
          <w:b/>
          <w:bCs/>
        </w:rPr>
        <w:t xml:space="preserve">Relevância para o capítulo:</w:t>
      </w:r>
      <w:r>
        <w:t xml:space="preserve"> </w:t>
      </w:r>
      <w:r>
        <w:t xml:space="preserve">O puzzle conecta-se diretamente à discussão do CAPM e do fator de desconto estocástico (Seção 18.5). Ele motivou décadas de pesquisa sobre preferências não-padrão (formação de hábito, Epstein-Zin) e riscos de cauda (desastres raros), e continua sendo referência central na economia financeira.</w:t>
      </w:r>
    </w:p>
    <w:p>
      <w:pPr>
        <w:pStyle w:val="BlockText"/>
      </w:pPr>
      <w:r>
        <w:rPr>
          <w:b/>
          <w:bCs/>
        </w:rPr>
        <w:t xml:space="preserve">[PESQUISA EM ACAO] Cavalcanti, T. V.; Moura, G. V. (2014).</w:t>
      </w:r>
      <w:r>
        <w:rPr>
          <w:b/>
          <w:bCs/>
        </w:rPr>
        <w:t xml:space="preserve"> </w:t>
      </w:r>
      <w:hyperlink r:id="rId1174">
        <w:r>
          <w:rPr>
            <w:rStyle w:val="Hyperlink"/>
            <w:b/>
            <w:bCs/>
          </w:rPr>
          <w:t xml:space="preserve">What Are the Effects of Monetary Policy on the Real Economy? Evidence from Brazil</w:t>
        </w:r>
      </w:hyperlink>
      <w:r>
        <w:rPr>
          <w:b/>
          <w:bCs/>
        </w:rPr>
        <w:t xml:space="preserve">.</w:t>
      </w:r>
      <w:r>
        <w:rPr>
          <w:b/>
          <w:bCs/>
        </w:rPr>
        <w:t xml:space="preserve"> </w:t>
      </w:r>
      <w:r>
        <w:rPr>
          <w:b/>
          <w:bCs/>
          <w:i/>
          <w:iCs/>
        </w:rPr>
        <w:t xml:space="preserve">Journal of Development Economics</w:t>
      </w:r>
      <w:r>
        <w:rPr>
          <w:b/>
          <w:bCs/>
        </w:rPr>
        <w:t xml:space="preserve">, 108, 152–165.</w:t>
      </w:r>
    </w:p>
    <w:p>
      <w:pPr>
        <w:pStyle w:val="BlockText"/>
      </w:pPr>
      <w:r>
        <w:rPr>
          <w:b/>
          <w:bCs/>
        </w:rPr>
        <w:t xml:space="preserve">Pergunta central:</w:t>
      </w:r>
      <w:r>
        <w:t xml:space="preserve"> </w:t>
      </w:r>
      <w:r>
        <w:t xml:space="preserve">Qual é o efeito de choques de política monetária (variações na taxa Selic) sobre variáveis reais como produto, investimento e inflação no Brasil?</w:t>
      </w:r>
    </w:p>
    <w:p>
      <w:pPr>
        <w:pStyle w:val="BlockText"/>
      </w:pPr>
      <w:r>
        <w:rPr>
          <w:b/>
          <w:bCs/>
        </w:rPr>
        <w:t xml:space="preserve">Método:</w:t>
      </w:r>
      <w:r>
        <w:t xml:space="preserve"> </w:t>
      </w:r>
      <w:r>
        <w:t xml:space="preserve">Os autores estimaram um VAR estrutural (SVAR) com restrições de sinal para identificar choques de política monetária no Brasil, usando dados mensais de 1999 a 2011. As restrições de sinal são derivadas de um modelo DSGE novo-keynesiano calibrado para a economia brasileira.</w:t>
      </w:r>
    </w:p>
    <w:p>
      <w:pPr>
        <w:pStyle w:val="BlockText"/>
      </w:pPr>
      <w:r>
        <w:rPr>
          <w:b/>
          <w:bCs/>
        </w:rPr>
        <w:t xml:space="preserve">Resultado principal:</w:t>
      </w:r>
      <w:r>
        <w:t xml:space="preserve"> </w:t>
      </w:r>
      <w:r>
        <w:t xml:space="preserve">Um choque contracionista de política monetária (aumento inesperado da Selic) reduz o produto e o investimento de forma significativa e persistente. O investimento é a variável real mais sensível: uma elevação de 1 ponto percentual na Selic real reduz o investimento em aproximadamente 2% no acumulado de 12 meses. A inflação responde com defasagem de 6–9 meses.</w:t>
      </w:r>
    </w:p>
    <w:p>
      <w:pPr>
        <w:pStyle w:val="BlockText"/>
      </w:pPr>
      <w:r>
        <w:rPr>
          <w:b/>
          <w:bCs/>
        </w:rPr>
        <w:t xml:space="preserve">Relevância para o capítulo:</w:t>
      </w:r>
      <w:r>
        <w:t xml:space="preserve"> </w:t>
      </w:r>
      <w:r>
        <w:t xml:space="preserve">O paper quantifica empiricamente a sensibilidade do investimento à taxa de juros discutida nas Seções 18.8 (demanda por capital) e 18.10 (VPL e taxa de desconto). A elevada elasticidade-juro do investimento no Brasil é consistente com o custo de uso do capital (equação 18.11) e ajuda a explicar por que a taxa de investimento brasileira é cronicamente baixa.</w:t>
      </w:r>
    </w:p>
    <w:p>
      <w:pPr>
        <w:pStyle w:val="BlockText"/>
      </w:pPr>
      <w:r>
        <w:rPr>
          <w:b/>
          <w:bCs/>
        </w:rPr>
        <w:t xml:space="preserve">[PESQUISA EM ACAO] Laibson, D. (1997).</w:t>
      </w:r>
      <w:r>
        <w:rPr>
          <w:b/>
          <w:bCs/>
        </w:rPr>
        <w:t xml:space="preserve"> </w:t>
      </w:r>
      <w:hyperlink r:id="rId413">
        <w:r>
          <w:rPr>
            <w:rStyle w:val="Hyperlink"/>
            <w:b/>
            <w:bCs/>
          </w:rPr>
          <w:t xml:space="preserve">Golden Eggs and Hyperbolic Discounting</w:t>
        </w:r>
      </w:hyperlink>
      <w:r>
        <w:rPr>
          <w:b/>
          <w:bCs/>
        </w:rPr>
        <w:t xml:space="preserve">.</w:t>
      </w:r>
      <w:r>
        <w:rPr>
          <w:b/>
          <w:bCs/>
        </w:rPr>
        <w:t xml:space="preserve"> </w:t>
      </w:r>
      <w:r>
        <w:rPr>
          <w:b/>
          <w:bCs/>
          <w:i/>
          <w:iCs/>
        </w:rPr>
        <w:t xml:space="preserve">Quarterly Journal of Economics</w:t>
      </w:r>
      <w:r>
        <w:rPr>
          <w:b/>
          <w:bCs/>
        </w:rPr>
        <w:t xml:space="preserve">, 112(2), 443–478.</w:t>
      </w:r>
    </w:p>
    <w:p>
      <w:pPr>
        <w:pStyle w:val="BlockText"/>
      </w:pPr>
      <w:r>
        <w:rPr>
          <w:b/>
          <w:bCs/>
        </w:rPr>
        <w:t xml:space="preserve">Pergunta central:</w:t>
      </w:r>
      <w:r>
        <w:t xml:space="preserve"> </w:t>
      </w:r>
      <w:r>
        <w:t xml:space="preserve">Se os agentes apresentam desconto hiperbólico (viés pelo presente), quais são as implicações para a acumulação de riqueza, o consumo e o desenho de instituições de poupança?</w:t>
      </w:r>
    </w:p>
    <w:p>
      <w:pPr>
        <w:pStyle w:val="BlockText"/>
      </w:pPr>
      <w:r>
        <w:rPr>
          <w:b/>
          <w:bCs/>
        </w:rPr>
        <w:t xml:space="preserve">Método:</w:t>
      </w:r>
      <w:r>
        <w:t xml:space="preserve"> </w:t>
      </w:r>
      <w:r>
        <w:t xml:space="preserve">Laibson desenvolveu um modelo de consumo intertemporal com preferências quasi-hiperbólicas (</w:t>
      </w:r>
      <m:oMath>
        <m:r>
          <m:t>β</m:t>
        </m:r>
        <m:r>
          <m:t>δ</m:t>
        </m:r>
      </m:oMath>
      <w:r>
        <w:t xml:space="preserve">-preferences), em que o agente desconta o futuro próximo mais fortemente que o distante. O modelo gera inconsistência temporal: o agente planeja poupar, mas sempre adia a poupança. Laibson calibrou o modelo com dados do Survey of Consumer Finances e comparou suas previsões com o comportamento observado de acumulação de riqueza.</w:t>
      </w:r>
    </w:p>
    <w:p>
      <w:pPr>
        <w:pStyle w:val="BlockText"/>
      </w:pPr>
      <w:r>
        <w:rPr>
          <w:b/>
          <w:bCs/>
        </w:rPr>
        <w:t xml:space="preserve">Resultado principal:</w:t>
      </w:r>
      <w:r>
        <w:t xml:space="preserve"> </w:t>
      </w:r>
      <w:r>
        <w:t xml:space="preserve">O modelo com desconto hiperbólico explica vários fatos estilizados que o modelo exponencial padrão não consegue: (i) a baixa taxa de poupança apesar de altos retornos; (ii) a popularidade de instrumentos de comprometimento (previdência com penalidade por resgate antecipado); (iii) a coexistência de dívida de cartão de crédito com poupança ilíquida. O parâmetro</w:t>
      </w:r>
      <w:r>
        <w:t xml:space="preserve"> </w:t>
      </w:r>
      <m:oMath>
        <m:r>
          <m:t>β</m:t>
        </m:r>
        <m:r>
          <m:rPr>
            <m:sty m:val="p"/>
          </m:rPr>
          <m:t>≈</m:t>
        </m:r>
        <m:r>
          <m:t>0</m:t>
        </m:r>
        <m:r>
          <m:rPr>
            <m:sty m:val="p"/>
          </m:rPr>
          <m:t>,</m:t>
        </m:r>
        <m:r>
          <m:t>7</m:t>
        </m:r>
      </m:oMath>
      <w:r>
        <w:t xml:space="preserve"> </w:t>
      </w:r>
      <w:r>
        <w:t xml:space="preserve">calibrado nos dados implica que os agentes descontam o próximo período em ~30% a mais do que o desconto exponencial prevê.</w:t>
      </w:r>
    </w:p>
    <w:p>
      <w:pPr>
        <w:pStyle w:val="BlockText"/>
      </w:pPr>
      <w:r>
        <w:rPr>
          <w:b/>
          <w:bCs/>
        </w:rPr>
        <w:t xml:space="preserve">Relevância para o capítulo:</w:t>
      </w:r>
      <w:r>
        <w:t xml:space="preserve"> </w:t>
      </w:r>
      <w:r>
        <w:t xml:space="preserve">O paper fundamenta a atividade de sala de aula deste capítulo (teste de consistência temporal) e contrasta com o modelo de Fisher (Seção 18.3). O desconto hiperbólico tem implicações diretas para o desenho de políticas públicas: previdência obrigatória, opt-out em planos de poupança e regulação de crédito consignado são respostas racionais a agentes irracionais.</w:t>
      </w:r>
    </w:p>
    <w:p>
      <w:pPr>
        <w:pStyle w:val="BlockText"/>
      </w:pPr>
      <w:r>
        <w:rPr>
          <w:b/>
          <w:bCs/>
        </w:rPr>
        <w:t xml:space="preserve">[PESQUISA EM ACAO] Bonomo, M.; Brito, R. (2002).</w:t>
      </w:r>
      <w:r>
        <w:rPr>
          <w:b/>
          <w:bCs/>
        </w:rPr>
        <w:t xml:space="preserve"> </w:t>
      </w:r>
      <w:hyperlink r:id="rId1175">
        <w:r>
          <w:rPr>
            <w:rStyle w:val="Hyperlink"/>
            <w:b/>
            <w:bCs/>
          </w:rPr>
          <w:t xml:space="preserve">Regra de Taylor e Política Monetária no Brasil</w:t>
        </w:r>
      </w:hyperlink>
      <w:r>
        <w:rPr>
          <w:b/>
          <w:bCs/>
        </w:rPr>
        <w:t xml:space="preserve">.</w:t>
      </w:r>
      <w:r>
        <w:rPr>
          <w:b/>
          <w:bCs/>
        </w:rPr>
        <w:t xml:space="preserve"> </w:t>
      </w:r>
      <w:r>
        <w:rPr>
          <w:b/>
          <w:bCs/>
          <w:i/>
          <w:iCs/>
        </w:rPr>
        <w:t xml:space="preserve">Revista Brasileira de Economia</w:t>
      </w:r>
      <w:r>
        <w:rPr>
          <w:b/>
          <w:bCs/>
        </w:rPr>
        <w:t xml:space="preserve">, 56(4), 551–589.</w:t>
      </w:r>
    </w:p>
    <w:p>
      <w:pPr>
        <w:pStyle w:val="BlockText"/>
      </w:pPr>
      <w:r>
        <w:rPr>
          <w:b/>
          <w:bCs/>
        </w:rPr>
        <w:t xml:space="preserve">Pergunta central:</w:t>
      </w:r>
      <w:r>
        <w:t xml:space="preserve"> </w:t>
      </w:r>
      <w:r>
        <w:t xml:space="preserve">A política monetária do Banco Central do Brasil segue uma regra de Taylor? Se sim, quais são os parâmetros que governam a resposta da Selic à inflação e ao hiato do produto?</w:t>
      </w:r>
    </w:p>
    <w:p>
      <w:pPr>
        <w:pStyle w:val="BlockText"/>
      </w:pPr>
      <w:r>
        <w:rPr>
          <w:b/>
          <w:bCs/>
        </w:rPr>
        <w:t xml:space="preserve">Método:</w:t>
      </w:r>
      <w:r>
        <w:t xml:space="preserve"> </w:t>
      </w:r>
      <w:r>
        <w:t xml:space="preserve">Os autores estimaram regras de Taylor forward-looking e backward-looking para o Brasil no período pós-Real (1996–2001), usando dados mensais da taxa Selic, inflação (IPCA) e proxies para o hiato do produto. Testaram diferentes especificações incluindo suavização de juros e resposta a câmbio.</w:t>
      </w:r>
    </w:p>
    <w:p>
      <w:pPr>
        <w:pStyle w:val="BlockText"/>
      </w:pPr>
      <w:r>
        <w:rPr>
          <w:b/>
          <w:bCs/>
        </w:rPr>
        <w:t xml:space="preserve">Resultado principal:</w:t>
      </w:r>
      <w:r>
        <w:t xml:space="preserve"> </w:t>
      </w:r>
      <w:r>
        <w:t xml:space="preserve">O Banco Central brasileiro segue uma regra de Taylor com forte inércia (suavização), resposta mais que proporcional à inflação esperada (coeficiente &gt; 1, satisfazendo o</w:t>
      </w:r>
      <w:r>
        <w:t xml:space="preserve"> </w:t>
      </w:r>
      <w:r>
        <w:t xml:space="preserve">“princípio de Taylor”</w:t>
      </w:r>
      <w:r>
        <w:t xml:space="preserve">) e resposta significativa ao câmbio — refletindo o regime de metas de inflação com câmbio flutuante adotado em 1999.</w:t>
      </w:r>
    </w:p>
    <w:p>
      <w:pPr>
        <w:pStyle w:val="BlockText"/>
      </w:pPr>
      <w:r>
        <w:rPr>
          <w:b/>
          <w:bCs/>
        </w:rPr>
        <w:t xml:space="preserve">Relevância para o capítulo:</w:t>
      </w:r>
      <w:r>
        <w:t xml:space="preserve"> </w:t>
      </w:r>
      <w:r>
        <w:t xml:space="preserve">O paper contextualiza a determinação da taxa Selic — o</w:t>
      </w:r>
      <w:r>
        <w:t xml:space="preserve"> </w:t>
      </w:r>
      <m:oMath>
        <m:r>
          <m:t>r</m:t>
        </m:r>
      </m:oMath>
      <w:r>
        <w:t xml:space="preserve"> </w:t>
      </w:r>
      <w:r>
        <w:t xml:space="preserve">do modelo — no arcabouço institucional brasileiro. A forte resposta da Selic à inflação é consistente com o efeito Fisher (Seção 18.4), e a magnitude dos movimentos da Selic ajuda a explicar a volatilidade do custo de uso do capital e do investimento no Brasil.</w:t>
      </w:r>
    </w:p>
    <w:p>
      <w:r>
        <w:pict>
          <v:rect style="width:0;height:1.5pt" o:hralign="center" o:hrstd="t" o:hr="t"/>
        </w:pict>
      </w:r>
    </w:p>
    <w:bookmarkEnd w:id="1176"/>
    <w:bookmarkStart w:id="1181" w:name="referências-do-capítulo-19"/>
    <w:p>
      <w:pPr>
        <w:pStyle w:val="Heading3"/>
      </w:pPr>
      <w:r>
        <w:t xml:space="preserve">Referências do Capítulo</w:t>
      </w:r>
    </w:p>
    <w:p>
      <w:pPr>
        <w:pStyle w:val="Compact"/>
        <w:numPr>
          <w:ilvl w:val="0"/>
          <w:numId w:val="2042"/>
        </w:numPr>
      </w:pPr>
      <w:r>
        <w:t xml:space="preserve">Araujo, A., R. Ferreira, e B. Funchal. 2012.</w:t>
      </w:r>
      <w:r>
        <w:t xml:space="preserve"> </w:t>
      </w:r>
      <w:r>
        <w:t xml:space="preserve">“</w:t>
      </w:r>
      <w:hyperlink r:id="rId1173">
        <w:r>
          <w:rPr>
            <w:rStyle w:val="Hyperlink"/>
          </w:rPr>
          <w:t xml:space="preserve">The Brazilian Collateral Reform and Access to Credit</w:t>
        </w:r>
      </w:hyperlink>
      <w:r>
        <w:t xml:space="preserve">.”</w:t>
      </w:r>
      <w:r>
        <w:t xml:space="preserve"> </w:t>
      </w:r>
      <w:r>
        <w:rPr>
          <w:i/>
          <w:iCs/>
        </w:rPr>
        <w:t xml:space="preserve">Journal of Corporate Finance</w:t>
      </w:r>
      <w:r>
        <w:t xml:space="preserve"> </w:t>
      </w:r>
      <w:r>
        <w:t xml:space="preserve">18 (4): 808–827.</w:t>
      </w:r>
    </w:p>
    <w:p>
      <w:pPr>
        <w:pStyle w:val="Compact"/>
        <w:numPr>
          <w:ilvl w:val="0"/>
          <w:numId w:val="2042"/>
        </w:numPr>
      </w:pPr>
      <w:r>
        <w:t xml:space="preserve">Bonomo, M., e R. Brito. 2002.</w:t>
      </w:r>
      <w:r>
        <w:t xml:space="preserve"> </w:t>
      </w:r>
      <w:r>
        <w:t xml:space="preserve">“</w:t>
      </w:r>
      <w:hyperlink r:id="rId1175">
        <w:r>
          <w:rPr>
            <w:rStyle w:val="Hyperlink"/>
          </w:rPr>
          <w:t xml:space="preserve">Regra de Taylor e Política Monetária no Brasil</w:t>
        </w:r>
      </w:hyperlink>
      <w:r>
        <w:t xml:space="preserve">.”</w:t>
      </w:r>
      <w:r>
        <w:t xml:space="preserve"> </w:t>
      </w:r>
      <w:r>
        <w:rPr>
          <w:i/>
          <w:iCs/>
        </w:rPr>
        <w:t xml:space="preserve">Revista Brasileira de Economia</w:t>
      </w:r>
      <w:r>
        <w:t xml:space="preserve"> </w:t>
      </w:r>
      <w:r>
        <w:t xml:space="preserve">56 (4): 551–589.</w:t>
      </w:r>
    </w:p>
    <w:p>
      <w:pPr>
        <w:pStyle w:val="Compact"/>
        <w:numPr>
          <w:ilvl w:val="0"/>
          <w:numId w:val="2042"/>
        </w:numPr>
      </w:pPr>
      <w:r>
        <w:t xml:space="preserve">Cavalcanti, T. V., e G. V. Moura. 2014.</w:t>
      </w:r>
      <w:r>
        <w:t xml:space="preserve"> </w:t>
      </w:r>
      <w:r>
        <w:t xml:space="preserve">“</w:t>
      </w:r>
      <w:hyperlink r:id="rId1174">
        <w:r>
          <w:rPr>
            <w:rStyle w:val="Hyperlink"/>
          </w:rPr>
          <w:t xml:space="preserve">What Are the Effects of Monetary Policy on the Real Economy? Evidence from Brazil</w:t>
        </w:r>
      </w:hyperlink>
      <w:r>
        <w:t xml:space="preserve">.”</w:t>
      </w:r>
      <w:r>
        <w:t xml:space="preserve"> </w:t>
      </w:r>
      <w:r>
        <w:rPr>
          <w:i/>
          <w:iCs/>
        </w:rPr>
        <w:t xml:space="preserve">Journal of Development Economics</w:t>
      </w:r>
      <w:r>
        <w:t xml:space="preserve"> </w:t>
      </w:r>
      <w:r>
        <w:t xml:space="preserve">108: 152–165.</w:t>
      </w:r>
    </w:p>
    <w:p>
      <w:pPr>
        <w:pStyle w:val="Compact"/>
        <w:numPr>
          <w:ilvl w:val="0"/>
          <w:numId w:val="2042"/>
        </w:numPr>
      </w:pPr>
      <w:r>
        <w:t xml:space="preserve">Fisher, Irving. 1930.</w:t>
      </w:r>
      <w:r>
        <w:t xml:space="preserve"> </w:t>
      </w:r>
      <w:r>
        <w:rPr>
          <w:i/>
          <w:iCs/>
        </w:rPr>
        <w:t xml:space="preserve">The Theory of Interest</w:t>
      </w:r>
      <w:r>
        <w:t xml:space="preserve">. New York: Macmillan.</w:t>
      </w:r>
    </w:p>
    <w:p>
      <w:pPr>
        <w:pStyle w:val="Compact"/>
        <w:numPr>
          <w:ilvl w:val="0"/>
          <w:numId w:val="2042"/>
        </w:numPr>
      </w:pPr>
      <w:r>
        <w:t xml:space="preserve">Hotelling, Harold. 1931.</w:t>
      </w:r>
      <w:r>
        <w:t xml:space="preserve"> </w:t>
      </w:r>
      <w:r>
        <w:t xml:space="preserve">“</w:t>
      </w:r>
      <w:hyperlink r:id="rId1177">
        <w:r>
          <w:rPr>
            <w:rStyle w:val="Hyperlink"/>
          </w:rPr>
          <w:t xml:space="preserve">The Economics of Exhaustible Resources</w:t>
        </w:r>
      </w:hyperlink>
      <w:r>
        <w:t xml:space="preserve">.”</w:t>
      </w:r>
      <w:r>
        <w:t xml:space="preserve"> </w:t>
      </w:r>
      <w:r>
        <w:rPr>
          <w:i/>
          <w:iCs/>
        </w:rPr>
        <w:t xml:space="preserve">Journal of Political Economy</w:t>
      </w:r>
      <w:r>
        <w:t xml:space="preserve"> </w:t>
      </w:r>
      <w:r>
        <w:t xml:space="preserve">39 (2): 137–175.</w:t>
      </w:r>
    </w:p>
    <w:p>
      <w:pPr>
        <w:pStyle w:val="Compact"/>
        <w:numPr>
          <w:ilvl w:val="0"/>
          <w:numId w:val="2042"/>
        </w:numPr>
      </w:pPr>
      <w:r>
        <w:t xml:space="preserve">Laibson, David. 1997.</w:t>
      </w:r>
      <w:r>
        <w:t xml:space="preserve"> </w:t>
      </w:r>
      <w:r>
        <w:t xml:space="preserve">“</w:t>
      </w:r>
      <w:hyperlink r:id="rId413">
        <w:r>
          <w:rPr>
            <w:rStyle w:val="Hyperlink"/>
          </w:rPr>
          <w:t xml:space="preserve">Golden Eggs and Hyperbolic Discounting</w:t>
        </w:r>
      </w:hyperlink>
      <w:r>
        <w:t xml:space="preserve">.”</w:t>
      </w:r>
      <w:r>
        <w:t xml:space="preserve"> </w:t>
      </w:r>
      <w:r>
        <w:rPr>
          <w:i/>
          <w:iCs/>
        </w:rPr>
        <w:t xml:space="preserve">Quarterly Journal of Economics</w:t>
      </w:r>
      <w:r>
        <w:t xml:space="preserve"> </w:t>
      </w:r>
      <w:r>
        <w:t xml:space="preserve">112 (2): 443–478.</w:t>
      </w:r>
    </w:p>
    <w:p>
      <w:pPr>
        <w:pStyle w:val="Compact"/>
        <w:numPr>
          <w:ilvl w:val="0"/>
          <w:numId w:val="2042"/>
        </w:numPr>
      </w:pPr>
      <w:r>
        <w:t xml:space="preserve">Mehra, Rajnish, e Edward C. Prescott. 1985.</w:t>
      </w:r>
      <w:r>
        <w:t xml:space="preserve"> </w:t>
      </w:r>
      <w:r>
        <w:t xml:space="preserve">“</w:t>
      </w:r>
      <w:hyperlink r:id="rId358">
        <w:r>
          <w:rPr>
            <w:rStyle w:val="Hyperlink"/>
          </w:rPr>
          <w:t xml:space="preserve">The Equity Premium: A Puzzle</w:t>
        </w:r>
      </w:hyperlink>
      <w:r>
        <w:t xml:space="preserve">.”</w:t>
      </w:r>
      <w:r>
        <w:t xml:space="preserve"> </w:t>
      </w:r>
      <w:r>
        <w:rPr>
          <w:i/>
          <w:iCs/>
        </w:rPr>
        <w:t xml:space="preserve">Journal of Monetary Economics</w:t>
      </w:r>
      <w:r>
        <w:t xml:space="preserve"> </w:t>
      </w:r>
      <w:r>
        <w:t xml:space="preserve">15 (2): 145–161.</w:t>
      </w:r>
    </w:p>
    <w:p>
      <w:pPr>
        <w:pStyle w:val="Compact"/>
        <w:numPr>
          <w:ilvl w:val="0"/>
          <w:numId w:val="2042"/>
        </w:numPr>
      </w:pPr>
      <w:r>
        <w:t xml:space="preserve">Nordhaus, William D. 2007.</w:t>
      </w:r>
      <w:r>
        <w:t xml:space="preserve"> </w:t>
      </w:r>
      <w:r>
        <w:t xml:space="preserve">“</w:t>
      </w:r>
      <w:hyperlink r:id="rId1178">
        <w:r>
          <w:rPr>
            <w:rStyle w:val="Hyperlink"/>
          </w:rPr>
          <w:t xml:space="preserve">A Review of the Stern Review on the Economics of Climate Change</w:t>
        </w:r>
      </w:hyperlink>
      <w:r>
        <w:t xml:space="preserve">.”</w:t>
      </w:r>
      <w:r>
        <w:t xml:space="preserve"> </w:t>
      </w:r>
      <w:r>
        <w:rPr>
          <w:i/>
          <w:iCs/>
        </w:rPr>
        <w:t xml:space="preserve">Journal of Economic Literature</w:t>
      </w:r>
      <w:r>
        <w:t xml:space="preserve"> </w:t>
      </w:r>
      <w:r>
        <w:t xml:space="preserve">45 (3): 686–702.</w:t>
      </w:r>
    </w:p>
    <w:p>
      <w:pPr>
        <w:pStyle w:val="Compact"/>
        <w:numPr>
          <w:ilvl w:val="0"/>
          <w:numId w:val="2042"/>
        </w:numPr>
      </w:pPr>
      <w:r>
        <w:t xml:space="preserve">Sachs, Jeffrey D., e Andrew M. Warner. 2001.</w:t>
      </w:r>
      <w:r>
        <w:t xml:space="preserve"> </w:t>
      </w:r>
      <w:r>
        <w:t xml:space="preserve">“</w:t>
      </w:r>
      <w:hyperlink r:id="rId1179">
        <w:r>
          <w:rPr>
            <w:rStyle w:val="Hyperlink"/>
          </w:rPr>
          <w:t xml:space="preserve">The Curse of Natural Resources</w:t>
        </w:r>
      </w:hyperlink>
      <w:r>
        <w:t xml:space="preserve">.”</w:t>
      </w:r>
      <w:r>
        <w:t xml:space="preserve"> </w:t>
      </w:r>
      <w:r>
        <w:rPr>
          <w:i/>
          <w:iCs/>
        </w:rPr>
        <w:t xml:space="preserve">European Economic Review</w:t>
      </w:r>
      <w:r>
        <w:t xml:space="preserve"> </w:t>
      </w:r>
      <w:r>
        <w:t xml:space="preserve">45 (4–6): 827–838.</w:t>
      </w:r>
    </w:p>
    <w:p>
      <w:pPr>
        <w:pStyle w:val="Compact"/>
        <w:numPr>
          <w:ilvl w:val="0"/>
          <w:numId w:val="2042"/>
        </w:numPr>
      </w:pPr>
      <w:r>
        <w:t xml:space="preserve">Sharpe, William F. 1964.</w:t>
      </w:r>
      <w:r>
        <w:t xml:space="preserve"> </w:t>
      </w:r>
      <w:r>
        <w:t xml:space="preserve">“</w:t>
      </w:r>
      <w:hyperlink r:id="rId1180">
        <w:r>
          <w:rPr>
            <w:rStyle w:val="Hyperlink"/>
          </w:rPr>
          <w:t xml:space="preserve">Capital Asset Prices: A Theory of Market Equilibrium under Conditions of Risk</w:t>
        </w:r>
      </w:hyperlink>
      <w:r>
        <w:t xml:space="preserve">.”</w:t>
      </w:r>
      <w:r>
        <w:t xml:space="preserve"> </w:t>
      </w:r>
      <w:r>
        <w:rPr>
          <w:i/>
          <w:iCs/>
        </w:rPr>
        <w:t xml:space="preserve">Journal of Finance</w:t>
      </w:r>
      <w:r>
        <w:t xml:space="preserve"> </w:t>
      </w:r>
      <w:r>
        <w:t xml:space="preserve">19 (3): 425–442.</w:t>
      </w:r>
    </w:p>
    <w:p>
      <w:pPr>
        <w:pStyle w:val="Compact"/>
        <w:numPr>
          <w:ilvl w:val="0"/>
          <w:numId w:val="2042"/>
        </w:numPr>
      </w:pPr>
      <w:r>
        <w:t xml:space="preserve">Stern, Nicholas. 2006.</w:t>
      </w:r>
      <w:r>
        <w:t xml:space="preserve"> </w:t>
      </w:r>
      <w:r>
        <w:rPr>
          <w:i/>
          <w:iCs/>
        </w:rPr>
        <w:t xml:space="preserve">The Economics of Climate Change: The Stern Review</w:t>
      </w:r>
      <w:r>
        <w:t xml:space="preserve">. Cambridge: Cambridge University Press.</w:t>
      </w:r>
    </w:p>
    <w:bookmarkEnd w:id="1181"/>
    <w:bookmarkEnd w:id="1182"/>
    <w:bookmarkEnd w:id="1183"/>
    <w:bookmarkStart w:id="1238" w:name="X490f873ecbfbab7c9e9c4781f4a94f730f1031e"/>
    <w:p>
      <w:pPr>
        <w:sectPr>
          <w:footnotePr>
            <w:numRestart w:val="eachSect"/>
          </w:footnotePr>
        </w:sectPr>
      </w:pPr>
    </w:p>
    <w:p>
      <w:pPr>
        <w:pStyle w:val="Heading1"/>
      </w:pPr>
      <w:r>
        <w:t xml:space="preserve">Capítulo 19 — Quando Um Lado Sabe Mais (E Isso Estraga Tudo)</w:t>
      </w:r>
    </w:p>
    <w:p>
      <w:pPr>
        <w:pStyle w:val="FirstParagraph"/>
      </w:pPr>
      <w:r>
        <w:t xml:space="preserve">Até aqui, este livro tratou os agentes econômicos como se fossem oniscientes — cada um sabendo tudo sobre o produto, o preço e o comportamento alheio. Foi um mundo confortável, mas irreal. Na prática, a economia funciona mais como um jogo de pôquer do que como um jogo de xadrez: ninguém vê as cartas dos outros. Empregadores não observam perfeitamente o esforço de seus funcionários; compradores de carros usados desconhecem o histórico real de manutenção do veículo; seguradoras não conseguem distinguir com precisão clientes de alto e baixo risco; investidores sabem menos sobre a qualidade de uma empresa do que seus gestores.</w:t>
      </w:r>
      <w:r>
        <w:rPr>
          <w:rStyle w:val="FootnoteReference"/>
        </w:rPr>
        <w:footnoteReference w:id="1184"/>
      </w:r>
    </w:p>
    <w:p>
      <w:pPr>
        <w:pStyle w:val="BodyText"/>
      </w:pPr>
      <w:r>
        <w:t xml:space="preserve">O Cap. 7 (Seções 7.7–7.8) (Cap. 7) introduziu a informação assimétrica via estado-preferência. O Cap. 9d (Cap. 9) formalizou os jogos. Aqui, aplicamos tudo a mercados reais.</w:t>
      </w:r>
    </w:p>
    <w:p>
      <w:pPr>
        <w:pStyle w:val="BodyText"/>
      </w:pPr>
      <w:r>
        <w:t xml:space="preserve">A</w:t>
      </w:r>
      <w:r>
        <w:t xml:space="preserve"> </w:t>
      </w:r>
      <w:r>
        <w:rPr>
          <w:b/>
          <w:bCs/>
        </w:rPr>
        <w:t xml:space="preserve">informação assimétrica</w:t>
      </w:r>
      <w:r>
        <w:t xml:space="preserve"> </w:t>
      </w:r>
      <w:r>
        <w:t xml:space="preserve">— situação em que uma parte de uma transação detém informação relevante que a outra parte não possui — gera consequências profundas para o funcionamento dos mercados. Em casos extremos, mercados inteiros podem deixar de existir: o mercado de limões de Akerlof, que abre este capítulo, mostra como a assimetria de informação sobre qualidade pode expulsar os produtos bons e deixar apenas os ruins. Em casos menos extremos, a assimetria distorce preços, reduz volumes de transação e gera ineficiências que se manifestam em contratos complexos — franquias, bônus, menus de opções, garantias — desenhados para alinhar incentivos ou revelar informação privada.</w:t>
      </w:r>
    </w:p>
    <w:p>
      <w:pPr>
        <w:pStyle w:val="BodyText"/>
      </w:pPr>
      <w:r>
        <w:t xml:space="preserve">O estudo sistemático dessas questões rendeu o Prêmio Nobel de Economia a George Akerlof, Michael Spence e Joseph Stiglitz em 2001, e permanece como uma das áreas mais férteis da microeconomia moderna. A teoria da informação assimétrica conecta-se diretamente a temas já tratados neste livro — discriminação de preços (Capítulo 15), regulação de monopólios (Capítulo 15, Seção 15.9), e teoria dos jogos — e fornece as bases para campos aplicados como economia do trabalho, economia financeira, economia da saúde e regulação.</w:t>
      </w:r>
    </w:p>
    <w:p>
      <w:pPr>
        <w:pStyle w:val="BodyText"/>
      </w:pPr>
      <w:r>
        <w:t xml:space="preserve">Neste capítulo, apresentamos o arcabouço do</w:t>
      </w:r>
      <w:r>
        <w:t xml:space="preserve"> </w:t>
      </w:r>
      <w:r>
        <w:rPr>
          <w:b/>
          <w:bCs/>
        </w:rPr>
        <w:t xml:space="preserve">modelo principal-agente</w:t>
      </w:r>
      <w:r>
        <w:t xml:space="preserve">, analisamos os dois problemas fundamentais —</w:t>
      </w:r>
      <w:r>
        <w:t xml:space="preserve"> </w:t>
      </w:r>
      <w:r>
        <w:rPr>
          <w:b/>
          <w:bCs/>
        </w:rPr>
        <w:t xml:space="preserve">risco moral</w:t>
      </w:r>
      <w:r>
        <w:t xml:space="preserve"> </w:t>
      </w:r>
      <w:r>
        <w:t xml:space="preserve">(ações ocultas) e</w:t>
      </w:r>
      <w:r>
        <w:t xml:space="preserve"> </w:t>
      </w:r>
      <w:r>
        <w:rPr>
          <w:b/>
          <w:bCs/>
        </w:rPr>
        <w:t xml:space="preserve">seleção adversa</w:t>
      </w:r>
      <w:r>
        <w:t xml:space="preserve"> </w:t>
      </w:r>
      <w:r>
        <w:t xml:space="preserve">(tipos ocultos) — e discutimos mecanismos de mercado e contratuais que atenuam essas falhas, incluindo</w:t>
      </w:r>
      <w:r>
        <w:t xml:space="preserve"> </w:t>
      </w:r>
      <w:r>
        <w:rPr>
          <w:b/>
          <w:bCs/>
        </w:rPr>
        <w:t xml:space="preserve">sinalização</w:t>
      </w:r>
      <w:r>
        <w:t xml:space="preserve">,</w:t>
      </w:r>
      <w:r>
        <w:t xml:space="preserve"> </w:t>
      </w:r>
      <w:r>
        <w:rPr>
          <w:b/>
          <w:bCs/>
        </w:rPr>
        <w:t xml:space="preserve">triagem</w:t>
      </w:r>
      <w:r>
        <w:t xml:space="preserve"> </w:t>
      </w:r>
      <w:r>
        <w:t xml:space="preserve">e</w:t>
      </w:r>
      <w:r>
        <w:t xml:space="preserve"> </w:t>
      </w:r>
      <w:r>
        <w:rPr>
          <w:b/>
          <w:bCs/>
        </w:rPr>
        <w:t xml:space="preserve">leilões</w:t>
      </w:r>
      <w:r>
        <w:t xml:space="preserve">. O capítulo encerra com uma introdução ao</w:t>
      </w:r>
      <w:r>
        <w:t xml:space="preserve"> </w:t>
      </w:r>
      <w:r>
        <w:rPr>
          <w:b/>
          <w:bCs/>
        </w:rPr>
        <w:t xml:space="preserve">market design</w:t>
      </w:r>
      <w:r>
        <w:t xml:space="preserve"> </w:t>
      </w:r>
      <w:r>
        <w:t xml:space="preserve">e à teoria de</w:t>
      </w:r>
      <w:r>
        <w:t xml:space="preserve"> </w:t>
      </w:r>
      <w:r>
        <w:rPr>
          <w:b/>
          <w:bCs/>
        </w:rPr>
        <w:t xml:space="preserve">matching</w:t>
      </w:r>
      <w:r>
        <w:t xml:space="preserve"> </w:t>
      </w:r>
      <w:r>
        <w:t xml:space="preserve">(Gale-Shapley), mostrando como a economia da informação evoluiu de diagnosticar falhas para</w:t>
      </w:r>
      <w:r>
        <w:t xml:space="preserve"> </w:t>
      </w:r>
      <w:r>
        <w:rPr>
          <w:i/>
          <w:iCs/>
        </w:rPr>
        <w:t xml:space="preserve">projetar</w:t>
      </w:r>
      <w:r>
        <w:t xml:space="preserve"> </w:t>
      </w:r>
      <w:r>
        <w:t xml:space="preserve">mecanismos que funcionam mesmo quando preços não podem ser usados. A fundamentação em teoria dos jogos — Equilíbrio Bayesiano Perfeito, jogos de sinalização e screening — encontra-se no Capítulo 9d.</w:t>
      </w:r>
    </w:p>
    <w:p>
      <w:pPr>
        <w:pStyle w:val="BlockText"/>
      </w:pPr>
      <w:r>
        <w:rPr>
          <w:b/>
          <w:bCs/>
        </w:rPr>
        <w:t xml:space="preserve">[DICA] Como este capítulo se relaciona com o Capítulo 9d</w:t>
      </w:r>
    </w:p>
    <w:p>
      <w:pPr>
        <w:pStyle w:val="BlockText"/>
      </w:pPr>
      <w:r>
        <w:t xml:space="preserve">Este capítulo e o Capítulo 9d são</w:t>
      </w:r>
      <w:r>
        <w:t xml:space="preserve"> </w:t>
      </w:r>
      <w:r>
        <w:rPr>
          <w:b/>
          <w:bCs/>
        </w:rPr>
        <w:t xml:space="preserve">complementares</w:t>
      </w:r>
      <w:r>
        <w:t xml:space="preserve">, não redundantes.</w:t>
      </w:r>
      <w:r>
        <w:t xml:space="preserve"> </w:t>
      </w:r>
      <w:r>
        <w:rPr>
          <w:b/>
          <w:bCs/>
        </w:rPr>
        <w:t xml:space="preserve">Aqui (Cap. 19)</w:t>
      </w:r>
      <w:r>
        <w:t xml:space="preserve">, o foco é a</w:t>
      </w:r>
      <w:r>
        <w:t xml:space="preserve"> </w:t>
      </w:r>
      <w:r>
        <w:rPr>
          <w:b/>
          <w:bCs/>
        </w:rPr>
        <w:t xml:space="preserve">economia de mercado e contratos</w:t>
      </w:r>
      <w:r>
        <w:t xml:space="preserve">: como a seleção adversa destrói mercados (Akerlof), como desenhar contratos que equilibram incentivos e seguro (Holmström), como o screening opera em seguros (Rothschild-Stiglitz), como leilões alocam recursos e como o market design projeta mecanismos sem preços (Roth-Shapley).</w:t>
      </w:r>
      <w:r>
        <w:t xml:space="preserve"> </w:t>
      </w:r>
      <w:r>
        <w:rPr>
          <w:b/>
          <w:bCs/>
        </w:rPr>
        <w:t xml:space="preserve">No Capítulo 9d</w:t>
      </w:r>
      <w:r>
        <w:t xml:space="preserve">, o foco é a</w:t>
      </w:r>
      <w:r>
        <w:t xml:space="preserve"> </w:t>
      </w:r>
      <w:r>
        <w:rPr>
          <w:b/>
          <w:bCs/>
        </w:rPr>
        <w:t xml:space="preserve">teoria dos jogos subjacente</w:t>
      </w:r>
      <w:r>
        <w:t xml:space="preserve">: a definição formal do PBE, a derivação de equilíbrios separadores e agregadores em jogos de sinalização, os refinamentos de Cho-Kreps e o modelo de cheap talk de Crawford-Sobel.</w:t>
      </w:r>
      <w:r>
        <w:t xml:space="preserve"> </w:t>
      </w:r>
      <w:r>
        <w:rPr>
          <w:b/>
          <w:bCs/>
        </w:rPr>
        <w:t xml:space="preserve">Recomendação para o professor:</w:t>
      </w:r>
      <w:r>
        <w:t xml:space="preserve"> </w:t>
      </w:r>
      <w:r>
        <w:t xml:space="preserve">em cursos de graduação, comece pelo Cap. 19 (as aplicações motivam a formalização) e use o Cap. 9d como aprofundamento opcional. Em pós-graduação, siga a ordem 9d → 19 (a teoria dos jogos fundamenta as aplicações).</w:t>
      </w:r>
    </w:p>
    <w:p>
      <w:r>
        <w:pict>
          <v:rect style="width:0;height:1.5pt" o:hralign="center" o:hrstd="t" o:hr="t"/>
        </w:pict>
      </w:r>
    </w:p>
    <w:bookmarkStart w:id="1185" w:name="roteiro-do-capítulo-12"/>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19.1</w:t>
            </w:r>
          </w:p>
        </w:tc>
        <w:tc>
          <w:tcPr/>
          <w:p>
            <w:pPr>
              <w:pStyle w:val="Compact"/>
            </w:pPr>
            <w:r>
              <w:t xml:space="preserve">Por que contratos reais são tão complicados?</w:t>
            </w:r>
          </w:p>
        </w:tc>
        <w:tc>
          <w:tcPr/>
          <w:p>
            <w:pPr>
              <w:pStyle w:val="Compact"/>
            </w:pPr>
            <w:r>
              <w:t xml:space="preserve">Assimetria de informação e contratos</w:t>
            </w:r>
          </w:p>
        </w:tc>
        <w:tc>
          <w:tcPr/>
          <w:p>
            <w:pPr>
              <w:pStyle w:val="Compact"/>
              <w:jc w:val="center"/>
            </w:pPr>
            <w:r>
              <w:t xml:space="preserve">Contratos</w:t>
            </w:r>
          </w:p>
        </w:tc>
      </w:tr>
      <w:tr>
        <w:tc>
          <w:tcPr/>
          <w:p>
            <w:pPr>
              <w:pStyle w:val="Compact"/>
              <w:jc w:val="center"/>
            </w:pPr>
            <w:r>
              <w:t xml:space="preserve">19.2</w:t>
            </w:r>
          </w:p>
        </w:tc>
        <w:tc>
          <w:tcPr/>
          <w:p>
            <w:pPr>
              <w:pStyle w:val="Compact"/>
            </w:pPr>
            <w:r>
              <w:t xml:space="preserve">Como modelar a relação entre chefe e empregado?</w:t>
            </w:r>
          </w:p>
        </w:tc>
        <w:tc>
          <w:tcPr/>
          <w:p>
            <w:pPr>
              <w:pStyle w:val="Compact"/>
            </w:pPr>
            <w:r>
              <w:t xml:space="preserve">Modelo principal-agente</w:t>
            </w:r>
          </w:p>
        </w:tc>
        <w:tc>
          <w:tcPr/>
          <w:p>
            <w:pPr>
              <w:pStyle w:val="Compact"/>
              <w:jc w:val="center"/>
            </w:pPr>
            <w:r>
              <w:t xml:space="preserve">Principal-agente</w:t>
            </w:r>
          </w:p>
        </w:tc>
      </w:tr>
      <w:tr>
        <w:tc>
          <w:tcPr/>
          <w:p>
            <w:pPr>
              <w:pStyle w:val="Compact"/>
              <w:jc w:val="center"/>
            </w:pPr>
            <w:r>
              <w:t xml:space="preserve">19.3</w:t>
            </w:r>
          </w:p>
        </w:tc>
        <w:tc>
          <w:tcPr/>
          <w:p>
            <w:pPr>
              <w:pStyle w:val="Compact"/>
            </w:pPr>
            <w:r>
              <w:t xml:space="preserve">Quando o seguro incentiva o descuido, como redesenhar o contrato?</w:t>
            </w:r>
          </w:p>
        </w:tc>
        <w:tc>
          <w:tcPr/>
          <w:p>
            <w:pPr>
              <w:pStyle w:val="Compact"/>
            </w:pPr>
            <w:r>
              <w:t xml:space="preserve">Risco moral, IC, IR, contrato ótimo</w:t>
            </w:r>
          </w:p>
        </w:tc>
        <w:tc>
          <w:tcPr/>
          <w:p>
            <w:pPr>
              <w:pStyle w:val="Compact"/>
              <w:jc w:val="center"/>
            </w:pPr>
            <w:r>
              <w:t xml:space="preserve">Risco moral</w:t>
            </w:r>
          </w:p>
        </w:tc>
      </w:tr>
      <w:tr>
        <w:tc>
          <w:tcPr/>
          <w:p>
            <w:pPr>
              <w:pStyle w:val="Compact"/>
              <w:jc w:val="center"/>
            </w:pPr>
            <w:r>
              <w:t xml:space="preserve">19.4</w:t>
            </w:r>
          </w:p>
        </w:tc>
        <w:tc>
          <w:tcPr/>
          <w:p>
            <w:pPr>
              <w:pStyle w:val="Compact"/>
            </w:pPr>
            <w:r>
              <w:t xml:space="preserve">Por que os piores riscos são os que mais querem seguro?</w:t>
            </w:r>
          </w:p>
        </w:tc>
        <w:tc>
          <w:tcPr/>
          <w:p>
            <w:pPr>
              <w:pStyle w:val="Compact"/>
            </w:pPr>
            <w:r>
              <w:t xml:space="preserve">Seleção adversa, Akerlof, Rothschild-Stiglitz</w:t>
            </w:r>
          </w:p>
        </w:tc>
        <w:tc>
          <w:tcPr/>
          <w:p>
            <w:pPr>
              <w:pStyle w:val="Compact"/>
              <w:jc w:val="center"/>
            </w:pPr>
            <w:r>
              <w:t xml:space="preserve">Seleção adversa</w:t>
            </w:r>
          </w:p>
        </w:tc>
      </w:tr>
      <w:tr>
        <w:tc>
          <w:tcPr/>
          <w:p>
            <w:pPr>
              <w:pStyle w:val="Compact"/>
              <w:jc w:val="center"/>
            </w:pPr>
            <w:r>
              <w:t xml:space="preserve">19.5</w:t>
            </w:r>
          </w:p>
        </w:tc>
        <w:tc>
          <w:tcPr/>
          <w:p>
            <w:pPr>
              <w:pStyle w:val="Compact"/>
            </w:pPr>
            <w:r>
              <w:t xml:space="preserve">Como provar que você é bom sem que ninguém precise acreditar na sua palavra?</w:t>
            </w:r>
          </w:p>
        </w:tc>
        <w:tc>
          <w:tcPr/>
          <w:p>
            <w:pPr>
              <w:pStyle w:val="Compact"/>
            </w:pPr>
            <w:r>
              <w:t xml:space="preserve">Sinalização, Spence, single-crossing</w:t>
            </w:r>
          </w:p>
        </w:tc>
        <w:tc>
          <w:tcPr/>
          <w:p>
            <w:pPr>
              <w:pStyle w:val="Compact"/>
              <w:jc w:val="center"/>
            </w:pPr>
            <w:r>
              <w:t xml:space="preserve">Sinalização</w:t>
            </w:r>
          </w:p>
        </w:tc>
      </w:tr>
      <w:tr>
        <w:tc>
          <w:tcPr/>
          <w:p>
            <w:pPr>
              <w:pStyle w:val="Compact"/>
              <w:jc w:val="center"/>
            </w:pPr>
            <w:r>
              <w:t xml:space="preserve">19.6</w:t>
            </w:r>
          </w:p>
        </w:tc>
        <w:tc>
          <w:tcPr/>
          <w:p>
            <w:pPr>
              <w:pStyle w:val="Compact"/>
            </w:pPr>
            <w:r>
              <w:t xml:space="preserve">Como desenhar um menu de contratos que separa os tipos?</w:t>
            </w:r>
          </w:p>
        </w:tc>
        <w:tc>
          <w:tcPr/>
          <w:p>
            <w:pPr>
              <w:pStyle w:val="Compact"/>
            </w:pPr>
            <w:r>
              <w:t xml:space="preserve">Screening, menus, autosseleção</w:t>
            </w:r>
          </w:p>
        </w:tc>
        <w:tc>
          <w:tcPr/>
          <w:p>
            <w:pPr>
              <w:pStyle w:val="Compact"/>
              <w:jc w:val="center"/>
            </w:pPr>
            <w:r>
              <w:t xml:space="preserve">Screening</w:t>
            </w:r>
          </w:p>
        </w:tc>
      </w:tr>
      <w:tr>
        <w:tc>
          <w:tcPr/>
          <w:p>
            <w:pPr>
              <w:pStyle w:val="Compact"/>
              <w:jc w:val="center"/>
            </w:pPr>
            <w:r>
              <w:t xml:space="preserve">19.7</w:t>
            </w:r>
          </w:p>
        </w:tc>
        <w:tc>
          <w:tcPr/>
          <w:p>
            <w:pPr>
              <w:pStyle w:val="Compact"/>
            </w:pPr>
            <w:r>
              <w:t xml:space="preserve">Qual formato de leilão gera mais receita?</w:t>
            </w:r>
          </w:p>
        </w:tc>
        <w:tc>
          <w:tcPr/>
          <w:p>
            <w:pPr>
              <w:pStyle w:val="Compact"/>
            </w:pPr>
            <w:r>
              <w:t xml:space="preserve">Leilões: IPV, valor comum, equivalência de receita</w:t>
            </w:r>
          </w:p>
        </w:tc>
        <w:tc>
          <w:tcPr/>
          <w:p>
            <w:pPr>
              <w:pStyle w:val="Compact"/>
              <w:jc w:val="center"/>
            </w:pPr>
            <w:r>
              <w:t xml:space="preserve">Leilões</w:t>
            </w:r>
          </w:p>
        </w:tc>
      </w:tr>
      <w:tr>
        <w:tc>
          <w:tcPr/>
          <w:p>
            <w:pPr>
              <w:pStyle w:val="Compact"/>
              <w:jc w:val="center"/>
            </w:pPr>
            <w:r>
              <w:t xml:space="preserve">19.8</w:t>
            </w:r>
          </w:p>
        </w:tc>
        <w:tc>
          <w:tcPr/>
          <w:p>
            <w:pPr>
              <w:pStyle w:val="Compact"/>
            </w:pPr>
            <w:r>
              <w:t xml:space="preserve">Moral hazard, seleção adversa, sinalização — qual é qual?</w:t>
            </w:r>
          </w:p>
        </w:tc>
        <w:tc>
          <w:tcPr/>
          <w:p>
            <w:pPr>
              <w:pStyle w:val="Compact"/>
            </w:pPr>
            <w:r>
              <w:t xml:space="preserve">Taxonomia unificada da informação assimétrica</w:t>
            </w:r>
          </w:p>
        </w:tc>
        <w:tc>
          <w:tcPr/>
          <w:p>
            <w:pPr>
              <w:pStyle w:val="Compact"/>
              <w:jc w:val="center"/>
            </w:pPr>
            <w:r>
              <w:t xml:space="preserve">Taxonomia</w:t>
            </w:r>
          </w:p>
        </w:tc>
      </w:tr>
      <w:tr>
        <w:tc>
          <w:tcPr/>
          <w:p>
            <w:pPr>
              <w:pStyle w:val="Compact"/>
              <w:jc w:val="center"/>
            </w:pPr>
            <w:r>
              <w:t xml:space="preserve">19.9</w:t>
            </w:r>
          </w:p>
        </w:tc>
        <w:tc>
          <w:tcPr/>
          <w:p>
            <w:pPr>
              <w:pStyle w:val="Compact"/>
            </w:pPr>
            <w:r>
              <w:t xml:space="preserve">Como alocar médicos a hospitais sem usar preços?</w:t>
            </w:r>
          </w:p>
        </w:tc>
        <w:tc>
          <w:tcPr/>
          <w:p>
            <w:pPr>
              <w:pStyle w:val="Compact"/>
            </w:pPr>
            <w:r>
              <w:t xml:space="preserve">Matching markets, Gale-Shapley, design de mercado</w:t>
            </w:r>
          </w:p>
        </w:tc>
        <w:tc>
          <w:tcPr/>
          <w:p>
            <w:pPr>
              <w:pStyle w:val="Compact"/>
              <w:jc w:val="center"/>
            </w:pPr>
            <w:r>
              <w:t xml:space="preserve">Matching</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p>
      <w:pPr>
        <w:pStyle w:val="BlockText"/>
      </w:pPr>
      <w:r>
        <w:rPr>
          <w:b/>
          <w:bCs/>
        </w:rPr>
        <w:t xml:space="preserve">[ATIVIDADE DE SALA] Atividade de Sala — O Mercado de Limões ao Vivo</w:t>
      </w:r>
    </w:p>
    <w:p>
      <w:pPr>
        <w:pStyle w:val="BlockText"/>
      </w:pPr>
      <w:r>
        <w:rPr>
          <w:b/>
          <w:bCs/>
        </w:rPr>
        <w:t xml:space="preserve">Formato:</w:t>
      </w:r>
      <w:r>
        <w:t xml:space="preserve"> </w:t>
      </w:r>
      <w:r>
        <w:t xml:space="preserve">Experimento de mercado com informação assimétrica</w:t>
      </w:r>
      <w:r>
        <w:t xml:space="preserve"> </w:t>
      </w:r>
      <w:r>
        <w:rPr>
          <w:b/>
          <w:bCs/>
        </w:rPr>
        <w:t xml:space="preserve">Duração:</w:t>
      </w:r>
      <w:r>
        <w:t xml:space="preserve"> </w:t>
      </w:r>
      <w:r>
        <w:t xml:space="preserve">35–40 minutos (15 rodadas + 10 debrief + 10 discussão)</w:t>
      </w:r>
      <w:r>
        <w:t xml:space="preserve"> </w:t>
      </w:r>
      <w:r>
        <w:rPr>
          <w:b/>
          <w:bCs/>
        </w:rPr>
        <w:t xml:space="preserve">Material:</w:t>
      </w:r>
      <w:r>
        <w:t xml:space="preserve"> </w:t>
      </w:r>
      <w:r>
        <w:t xml:space="preserve">Cartões coloridos (verde = carro bom, vermelho = carro ruim), fichas de</w:t>
      </w:r>
      <w:r>
        <w:t xml:space="preserve"> </w:t>
      </w:r>
      <w:r>
        <w:t xml:space="preserve">“dinheiro”</w:t>
      </w:r>
      <w:r>
        <w:t xml:space="preserve">, quadro para registrar transações.</w:t>
      </w:r>
    </w:p>
    <w:p>
      <w:pPr>
        <w:pStyle w:val="BlockText"/>
      </w:pPr>
      <w:r>
        <w:rPr>
          <w:b/>
          <w:bCs/>
        </w:rPr>
        <w:t xml:space="preserve">Preparação (5 min):</w:t>
      </w:r>
    </w:p>
    <w:p>
      <w:pPr>
        <w:pStyle w:val="Compact"/>
        <w:numPr>
          <w:ilvl w:val="0"/>
          <w:numId w:val="2043"/>
        </w:numPr>
      </w:pPr>
      <w:r>
        <w:t xml:space="preserve">Divida a turma em</w:t>
      </w:r>
      <w:r>
        <w:t xml:space="preserve"> </w:t>
      </w:r>
      <w:r>
        <w:rPr>
          <w:b/>
          <w:bCs/>
        </w:rPr>
        <w:t xml:space="preserve">vendedores</w:t>
      </w:r>
      <w:r>
        <w:t xml:space="preserve"> </w:t>
      </w:r>
      <w:r>
        <w:t xml:space="preserve">(1/3) e</w:t>
      </w:r>
      <w:r>
        <w:t xml:space="preserve"> </w:t>
      </w:r>
      <w:r>
        <w:rPr>
          <w:b/>
          <w:bCs/>
        </w:rPr>
        <w:t xml:space="preserve">compradores</w:t>
      </w:r>
      <w:r>
        <w:t xml:space="preserve"> </w:t>
      </w:r>
      <w:r>
        <w:t xml:space="preserve">(2/3).</w:t>
      </w:r>
    </w:p>
    <w:p>
      <w:pPr>
        <w:pStyle w:val="Compact"/>
        <w:numPr>
          <w:ilvl w:val="0"/>
          <w:numId w:val="2043"/>
        </w:numPr>
      </w:pPr>
      <w:r>
        <w:t xml:space="preserve">Cada vendedor recebe aleatoriamente um cartão: verde (carro bom, custo = 20, vale 30 para comprador) ou vermelho (carro ruim, custo = 5, vale 10 para comprador).</w:t>
      </w:r>
      <w:r>
        <w:t xml:space="preserve"> </w:t>
      </w:r>
      <w:r>
        <w:rPr>
          <w:b/>
          <w:bCs/>
        </w:rPr>
        <w:t xml:space="preserve">Proporção: 50/50.</w:t>
      </w:r>
    </w:p>
    <w:p>
      <w:pPr>
        <w:pStyle w:val="Compact"/>
        <w:numPr>
          <w:ilvl w:val="0"/>
          <w:numId w:val="2043"/>
        </w:numPr>
      </w:pPr>
      <w:r>
        <w:t xml:space="preserve">Os vendedores veem seu cartão. Os compradores, não.</w:t>
      </w:r>
    </w:p>
    <w:p>
      <w:pPr>
        <w:pStyle w:val="Compact"/>
        <w:numPr>
          <w:ilvl w:val="0"/>
          <w:numId w:val="2043"/>
        </w:numPr>
      </w:pPr>
      <w:r>
        <w:t xml:space="preserve">Cada comprador recebe 25 fichas.</w:t>
      </w:r>
    </w:p>
    <w:p>
      <w:pPr>
        <w:pStyle w:val="BlockText"/>
      </w:pPr>
      <w:r>
        <w:rPr>
          <w:b/>
          <w:bCs/>
        </w:rPr>
        <w:t xml:space="preserve">Rodada 1 — Informação simétrica (benchmark, 5 min):</w:t>
      </w:r>
    </w:p>
    <w:p>
      <w:pPr>
        <w:pStyle w:val="Compact"/>
        <w:numPr>
          <w:ilvl w:val="0"/>
          <w:numId w:val="2044"/>
        </w:numPr>
      </w:pPr>
      <w:r>
        <w:t xml:space="preserve">Revele todos os cartões. Compradores e vendedores negociam livremente.</w:t>
      </w:r>
    </w:p>
    <w:p>
      <w:pPr>
        <w:pStyle w:val="Compact"/>
        <w:numPr>
          <w:ilvl w:val="0"/>
          <w:numId w:val="2044"/>
        </w:numPr>
      </w:pPr>
      <w:r>
        <w:t xml:space="preserve">Registre preços e quantidades transacionadas no quadro.</w:t>
      </w:r>
    </w:p>
    <w:p>
      <w:pPr>
        <w:pStyle w:val="Compact"/>
        <w:numPr>
          <w:ilvl w:val="0"/>
          <w:numId w:val="2044"/>
        </w:numPr>
      </w:pPr>
      <w:r>
        <w:rPr>
          <w:b/>
          <w:bCs/>
        </w:rPr>
        <w:t xml:space="preserve">Resultado esperado:</w:t>
      </w:r>
      <w:r>
        <w:t xml:space="preserve"> </w:t>
      </w:r>
      <w:r>
        <w:t xml:space="preserve">Ambos os tipos são transacionados. Preços próximos de 25–30 (bons) e 7–10 (ruins).</w:t>
      </w:r>
    </w:p>
    <w:p>
      <w:pPr>
        <w:pStyle w:val="BlockText"/>
      </w:pPr>
      <w:r>
        <w:rPr>
          <w:b/>
          <w:bCs/>
        </w:rPr>
        <w:t xml:space="preserve">Rodadas 2–5 — Informação assimétrica (15 min):</w:t>
      </w:r>
    </w:p>
    <w:p>
      <w:pPr>
        <w:pStyle w:val="Compact"/>
        <w:numPr>
          <w:ilvl w:val="0"/>
          <w:numId w:val="2045"/>
        </w:numPr>
      </w:pPr>
      <w:r>
        <w:t xml:space="preserve">Cartões ficam ocultos. Compradores não sabem a qualidade.</w:t>
      </w:r>
    </w:p>
    <w:p>
      <w:pPr>
        <w:pStyle w:val="Compact"/>
        <w:numPr>
          <w:ilvl w:val="0"/>
          <w:numId w:val="2045"/>
        </w:numPr>
      </w:pPr>
      <w:r>
        <w:t xml:space="preserve">Vendedores podem dizer o que quiserem (</w:t>
      </w:r>
      <w:r>
        <w:rPr>
          <w:i/>
          <w:iCs/>
        </w:rPr>
        <w:t xml:space="preserve">cheap talk</w:t>
      </w:r>
      <w:r>
        <w:t xml:space="preserve">).</w:t>
      </w:r>
    </w:p>
    <w:p>
      <w:pPr>
        <w:pStyle w:val="Compact"/>
        <w:numPr>
          <w:ilvl w:val="0"/>
          <w:numId w:val="2045"/>
        </w:numPr>
      </w:pPr>
      <w:r>
        <w:t xml:space="preserve">Registre preços e quantidades. Após cada rodada, revele os cartões transacionados.</w:t>
      </w:r>
    </w:p>
    <w:p>
      <w:pPr>
        <w:pStyle w:val="Compact"/>
        <w:numPr>
          <w:ilvl w:val="0"/>
          <w:numId w:val="2045"/>
        </w:numPr>
      </w:pPr>
      <w:r>
        <w:rPr>
          <w:b/>
          <w:bCs/>
        </w:rPr>
        <w:t xml:space="preserve">Resultado esperado:</w:t>
      </w:r>
      <w:r>
        <w:t xml:space="preserve"> </w:t>
      </w:r>
      <w:r>
        <w:t xml:space="preserve">Compradores oferecem ~20 (valor esperado). Vendedores de carros bons recusam. Seleção adversa emerge. Nas últimas rodadas, quase só carros ruins são transacionados.</w:t>
      </w:r>
    </w:p>
    <w:p>
      <w:pPr>
        <w:pStyle w:val="BlockText"/>
      </w:pPr>
      <w:r>
        <w:rPr>
          <w:b/>
          <w:bCs/>
        </w:rPr>
        <w:t xml:space="preserve">Debrief (10 min):</w:t>
      </w:r>
    </w:p>
    <w:p>
      <w:pPr>
        <w:pStyle w:val="Compact"/>
        <w:numPr>
          <w:ilvl w:val="0"/>
          <w:numId w:val="2046"/>
        </w:numPr>
      </w:pPr>
      <w:r>
        <w:t xml:space="preserve">Mostre os dados no quadro. Pergunte:</w:t>
      </w:r>
      <w:r>
        <w:t xml:space="preserve"> </w:t>
      </w:r>
      <w:r>
        <w:rPr>
          <w:i/>
          <w:iCs/>
        </w:rPr>
        <w:t xml:space="preserve">“O que aconteceu com os carros bons?”</w:t>
      </w:r>
    </w:p>
    <w:p>
      <w:pPr>
        <w:pStyle w:val="Compact"/>
        <w:numPr>
          <w:ilvl w:val="0"/>
          <w:numId w:val="2046"/>
        </w:numPr>
      </w:pPr>
      <w:r>
        <w:t xml:space="preserve">Calcule o excedente total em cada rodada. Compare com a Rodada 1.</w:t>
      </w:r>
    </w:p>
    <w:p>
      <w:pPr>
        <w:pStyle w:val="Compact"/>
        <w:numPr>
          <w:ilvl w:val="0"/>
          <w:numId w:val="2046"/>
        </w:numPr>
      </w:pPr>
      <w:r>
        <w:t xml:space="preserve">Conecte ao modelo de Akerlof: valor esperado → preço médio → saída dos bons → colapso.</w:t>
      </w:r>
    </w:p>
    <w:p>
      <w:pPr>
        <w:pStyle w:val="Compact"/>
        <w:numPr>
          <w:ilvl w:val="0"/>
          <w:numId w:val="2046"/>
        </w:numPr>
      </w:pPr>
      <w:r>
        <w:t xml:space="preserve">Pergunte:</w:t>
      </w:r>
      <w:r>
        <w:t xml:space="preserve"> </w:t>
      </w:r>
      <w:r>
        <w:rPr>
          <w:i/>
          <w:iCs/>
        </w:rPr>
        <w:t xml:space="preserve">“O que vocês fariam, como vendedor de carro bom, para se diferenciar?”</w:t>
      </w:r>
      <w:r>
        <w:t xml:space="preserve"> </w:t>
      </w:r>
      <w:r>
        <w:t xml:space="preserve">(Introdução natural à sinalização.)</w:t>
      </w:r>
    </w:p>
    <w:p>
      <w:pPr>
        <w:pStyle w:val="BlockText"/>
      </w:pPr>
      <w:r>
        <w:rPr>
          <w:b/>
          <w:bCs/>
        </w:rPr>
        <w:t xml:space="preserve">Rodada bônus — Sinalização (5 min, opcional):</w:t>
      </w:r>
    </w:p>
    <w:p>
      <w:pPr>
        <w:pStyle w:val="Compact"/>
        <w:numPr>
          <w:ilvl w:val="0"/>
          <w:numId w:val="2047"/>
        </w:numPr>
      </w:pPr>
      <w:r>
        <w:t xml:space="preserve">Vendedores podem comprar uma</w:t>
      </w:r>
      <w:r>
        <w:t xml:space="preserve"> </w:t>
      </w:r>
      <w:r>
        <w:t xml:space="preserve">“garantia”</w:t>
      </w:r>
      <w:r>
        <w:t xml:space="preserve"> </w:t>
      </w:r>
      <w:r>
        <w:t xml:space="preserve">por 3 fichas (custo para carro bom) ou 15 fichas (custo para carro ruim). A garantia é visível ao comprador.</w:t>
      </w:r>
    </w:p>
    <w:p>
      <w:pPr>
        <w:pStyle w:val="Compact"/>
        <w:numPr>
          <w:ilvl w:val="0"/>
          <w:numId w:val="2047"/>
        </w:numPr>
      </w:pPr>
      <w:r>
        <w:rPr>
          <w:b/>
          <w:bCs/>
        </w:rPr>
        <w:t xml:space="preserve">Resultado esperado:</w:t>
      </w:r>
      <w:r>
        <w:t xml:space="preserve"> </w:t>
      </w:r>
      <w:r>
        <w:t xml:space="preserve">Vendedores de carros bons compram a garantia; ruins, não. O mercado se separa. Equilíbrio separador de Spence em ação.</w:t>
      </w:r>
    </w:p>
    <w:p>
      <w:pPr>
        <w:pStyle w:val="BlockText"/>
      </w:pPr>
      <w:r>
        <w:rPr>
          <w:b/>
          <w:bCs/>
        </w:rPr>
        <w:t xml:space="preserve">Conexão com o capítulo:</w:t>
      </w:r>
      <w:r>
        <w:t xml:space="preserve"> </w:t>
      </w:r>
      <w:r>
        <w:t xml:space="preserve">Seções 19.4 (seleção adversa), 19.5 (sinalização). O experimento segue o protocolo de Holt (2007, Cap. 17) adaptado para o contexto brasileiro.</w:t>
      </w:r>
    </w:p>
    <w:p>
      <w:pPr>
        <w:pStyle w:val="BlockText"/>
      </w:pPr>
      <w:r>
        <w:rPr>
          <w:b/>
          <w:bCs/>
        </w:rPr>
        <w:t xml:space="preserve">Variações:</w:t>
      </w:r>
    </w:p>
    <w:p>
      <w:pPr>
        <w:pStyle w:val="Compact"/>
        <w:numPr>
          <w:ilvl w:val="0"/>
          <w:numId w:val="2048"/>
        </w:numPr>
      </w:pPr>
      <w:r>
        <w:t xml:space="preserve">Adicione um terceiro tipo (qualidade média) para mostrar</w:t>
      </w:r>
      <w:r>
        <w:t xml:space="preserve"> </w:t>
      </w:r>
      <w:r>
        <w:rPr>
          <w:i/>
          <w:iCs/>
        </w:rPr>
        <w:t xml:space="preserve">unraveling</w:t>
      </w:r>
      <w:r>
        <w:t xml:space="preserve"> </w:t>
      </w:r>
      <w:r>
        <w:t xml:space="preserve">sequencial.</w:t>
      </w:r>
    </w:p>
    <w:p>
      <w:pPr>
        <w:pStyle w:val="Compact"/>
        <w:numPr>
          <w:ilvl w:val="0"/>
          <w:numId w:val="2048"/>
        </w:numPr>
      </w:pPr>
      <w:r>
        <w:t xml:space="preserve">Introduza um</w:t>
      </w:r>
      <w:r>
        <w:t xml:space="preserve"> </w:t>
      </w:r>
      <w:r>
        <w:t xml:space="preserve">“certificador”</w:t>
      </w:r>
      <w:r>
        <w:t xml:space="preserve"> </w:t>
      </w:r>
      <w:r>
        <w:t xml:space="preserve">(aluno voluntário) que, por uma taxa, revela a qualidade — ilustrando o papel de plataformas como OLX com vistoria cautelar.</w:t>
      </w:r>
    </w:p>
    <w:bookmarkEnd w:id="1185"/>
    <w:bookmarkStart w:id="1190" w:name="X2b9166b85cbbb7713355a0b21991996952cd850"/>
    <w:p>
      <w:pPr>
        <w:pStyle w:val="Heading2"/>
      </w:pPr>
      <w:r>
        <w:t xml:space="preserve">19.1–19.2 Contratos Complexos e Modelo Principal-Agente</w:t>
      </w:r>
    </w:p>
    <w:bookmarkStart w:id="1186" w:name="Xfcc820fc1d95b1e8a3a219c7e3689bb8d65042c"/>
    <w:p>
      <w:pPr>
        <w:pStyle w:val="Heading3"/>
      </w:pPr>
      <w:r>
        <w:t xml:space="preserve">19.1 Ninguém Lê as Letras Miúdas por Acaso: Contratos Complexos e Assimetria de Informação</w:t>
      </w:r>
    </w:p>
    <w:p>
      <w:pPr>
        <w:pStyle w:val="BlockText"/>
      </w:pPr>
      <w:r>
        <w:rPr>
          <w:b/>
          <w:bCs/>
        </w:rPr>
        <w:t xml:space="preserve">[DICA] Onde estou no livro?</w:t>
      </w:r>
    </w:p>
    <w:p>
      <w:pPr>
        <w:pStyle w:val="BlockText"/>
      </w:pPr>
      <w:r>
        <w:t xml:space="preserve">Este capítulo aplica a informação assimétrica a</w:t>
      </w:r>
      <w:r>
        <w:t xml:space="preserve"> </w:t>
      </w:r>
      <w:r>
        <w:rPr>
          <w:b/>
          <w:bCs/>
        </w:rPr>
        <w:t xml:space="preserve">mercados e contratos reais</w:t>
      </w:r>
      <w:r>
        <w:t xml:space="preserve">: seguros, crédito, mercado de trabalho, saúde. Para os</w:t>
      </w:r>
      <w:r>
        <w:t xml:space="preserve"> </w:t>
      </w:r>
      <w:r>
        <w:rPr>
          <w:b/>
          <w:bCs/>
        </w:rPr>
        <w:t xml:space="preserve">fundamentos de teoria dos jogos</w:t>
      </w:r>
      <w:r>
        <w:t xml:space="preserve"> </w:t>
      </w:r>
      <w:r>
        <w:t xml:space="preserve">— PBE, single-crossing, refinamentos, modelo canônico de moral hazard — veja o Capítulo 9d (Cap. 9).</w:t>
      </w:r>
    </w:p>
    <w:p>
      <w:pPr>
        <w:pStyle w:val="FirstParagraph"/>
      </w:pPr>
      <w:r>
        <w:t xml:space="preserve">Na presença de informação assimétrica, contratos simples de preço fixo frequentemente não são suficientes para garantir transações eficientes. Os agentes econômicos respondem desenhando</w:t>
      </w:r>
      <w:r>
        <w:t xml:space="preserve"> </w:t>
      </w:r>
      <w:r>
        <w:rPr>
          <w:b/>
          <w:bCs/>
        </w:rPr>
        <w:t xml:space="preserve">contratos complexos</w:t>
      </w:r>
      <w:r>
        <w:t xml:space="preserve"> </w:t>
      </w:r>
      <w:r>
        <w:t xml:space="preserve">que buscam alinhar incentivos, revelar informação privada ou mitigar comportamentos oportunistas. Esses contratos são onipresentes: de planos de saúde com coparticipação a stock options para executivos, de menus tarifários de operadoras de celular a garantias estendidas de eletrodomésticos — todos representam respostas racionais a problemas de informação assimétrica.</w:t>
      </w:r>
    </w:p>
    <w:p>
      <w:pPr>
        <w:pStyle w:val="BlockText"/>
      </w:pPr>
      <w:r>
        <w:rPr>
          <w:b/>
          <w:bCs/>
        </w:rPr>
        <w:t xml:space="preserve">[DEFINICAO] Informação Assimétrica</w:t>
      </w:r>
    </w:p>
    <w:p>
      <w:pPr>
        <w:pStyle w:val="BlockText"/>
      </w:pPr>
      <w:r>
        <w:t xml:space="preserve">Situação em que, numa relação econômica entre duas ou mais partes, ao menos uma delas possui informação relevante que as demais não detêm. A parte mais informada é dita ter</w:t>
      </w:r>
      <w:r>
        <w:t xml:space="preserve"> </w:t>
      </w:r>
      <w:r>
        <w:rPr>
          <w:b/>
          <w:bCs/>
        </w:rPr>
        <w:t xml:space="preserve">informação privada</w:t>
      </w:r>
      <w:r>
        <w:t xml:space="preserve">.</w:t>
      </w:r>
    </w:p>
    <w:p>
      <w:pPr>
        <w:pStyle w:val="FirstParagraph"/>
      </w:pPr>
      <w:r>
        <w:t xml:space="preserve">Exemplos de contratos complexos que emergem como resposta à assimetria de informação incluem:</w:t>
      </w:r>
    </w:p>
    <w:p>
      <w:pPr>
        <w:pStyle w:val="Compact"/>
        <w:numPr>
          <w:ilvl w:val="0"/>
          <w:numId w:val="2049"/>
        </w:numPr>
      </w:pPr>
      <w:r>
        <w:rPr>
          <w:b/>
          <w:bCs/>
        </w:rPr>
        <w:t xml:space="preserve">Contratos de trabalho</w:t>
      </w:r>
      <w:r>
        <w:t xml:space="preserve"> </w:t>
      </w:r>
      <w:r>
        <w:t xml:space="preserve">com bônus vinculados a desempenho (resposta ao risco moral);</w:t>
      </w:r>
    </w:p>
    <w:p>
      <w:pPr>
        <w:pStyle w:val="Compact"/>
        <w:numPr>
          <w:ilvl w:val="0"/>
          <w:numId w:val="2049"/>
        </w:numPr>
      </w:pPr>
      <w:r>
        <w:rPr>
          <w:b/>
          <w:bCs/>
        </w:rPr>
        <w:t xml:space="preserve">Franquias e coparticipações</w:t>
      </w:r>
      <w:r>
        <w:t xml:space="preserve"> </w:t>
      </w:r>
      <w:r>
        <w:t xml:space="preserve">em seguros (resposta ao risco moral e à seleção adversa);</w:t>
      </w:r>
    </w:p>
    <w:p>
      <w:pPr>
        <w:pStyle w:val="Compact"/>
        <w:numPr>
          <w:ilvl w:val="0"/>
          <w:numId w:val="2049"/>
        </w:numPr>
      </w:pPr>
      <w:r>
        <w:rPr>
          <w:b/>
          <w:bCs/>
        </w:rPr>
        <w:t xml:space="preserve">Garantias</w:t>
      </w:r>
      <w:r>
        <w:t xml:space="preserve"> </w:t>
      </w:r>
      <w:r>
        <w:t xml:space="preserve">oferecidas pelo vendedor de um produto (sinalização de qualidade);</w:t>
      </w:r>
    </w:p>
    <w:p>
      <w:pPr>
        <w:pStyle w:val="Compact"/>
        <w:numPr>
          <w:ilvl w:val="0"/>
          <w:numId w:val="2049"/>
        </w:numPr>
      </w:pPr>
      <w:r>
        <w:rPr>
          <w:b/>
          <w:bCs/>
        </w:rPr>
        <w:t xml:space="preserve">Menus de contratos</w:t>
      </w:r>
      <w:r>
        <w:t xml:space="preserve"> </w:t>
      </w:r>
      <w:r>
        <w:t xml:space="preserve">com diferentes combinações preço-qualidade (triagem de tipos).</w:t>
      </w:r>
    </w:p>
    <w:p>
      <w:pPr>
        <w:pStyle w:val="FirstParagraph"/>
      </w:pPr>
      <w:r>
        <w:t xml:space="preserve">A análise econômica desses arranjos contratuais constitui o campo da</w:t>
      </w:r>
      <w:r>
        <w:t xml:space="preserve"> </w:t>
      </w:r>
      <w:r>
        <w:rPr>
          <w:b/>
          <w:bCs/>
        </w:rPr>
        <w:t xml:space="preserve">teoria dos contratos</w:t>
      </w:r>
      <w:r>
        <w:t xml:space="preserve"> </w:t>
      </w:r>
      <w:r>
        <w:t xml:space="preserve">e da</w:t>
      </w:r>
      <w:r>
        <w:t xml:space="preserve"> </w:t>
      </w:r>
      <w:r>
        <w:rPr>
          <w:b/>
          <w:bCs/>
        </w:rPr>
        <w:t xml:space="preserve">economia da informação</w:t>
      </w:r>
      <w:r>
        <w:t xml:space="preserve">, que se desenvolveu a partir dos trabalhos seminais de Akerlof (1970), Spence (1973),</w:t>
      </w:r>
      <w:r>
        <w:t xml:space="preserve"> </w:t>
      </w:r>
      <w:hyperlink r:id="rId631">
        <w:r>
          <w:rPr>
            <w:rStyle w:val="Hyperlink"/>
          </w:rPr>
          <w:t xml:space="preserve">Rothschild e Stiglitz (1976)</w:t>
        </w:r>
      </w:hyperlink>
      <w:r>
        <w:t xml:space="preserve">, Mirrlees (1971) e Holmström (1979). A importância prática desse campo é difícil de exagerar: o desenho de incentivos corretos é a diferença entre uma empresa bem administrada e uma empresa disfuncional, entre um mercado que funciona e um mercado que colapsa. No Brasil, a relevância é particularmente aguda em setores como saúde suplementar (onde a ANS regula para conter seleção adversa), crédito (onde o consignado resolve o risco moral), e concessões de infraestrutura (onde leilões bem desenhados são essenciais para a eficiência alocativa).</w:t>
      </w:r>
    </w:p>
    <w:p>
      <w:pPr>
        <w:pStyle w:val="BodyText"/>
      </w:pPr>
      <w:r>
        <w:t xml:space="preserve">É importante situar este capítulo na arquitetura do livro. Nos capítulos anteriores, analisamos falhas de mercado associadas a estrutura de mercado (monopólio, Capítulo 15; oligopólio, Capítulos 16a–16b) e a externalidades (Capítulo 20). A informação assimétrica é uma terceira categoria de falha de mercado, conceitualmente distinta: mesmo em mercados perfeitamente competitivos com muitos participantes, a assimetria de informação pode gerar ineficiência. Diferentemente do monopólio, onde o problema é o poder de mercado de uma firma, aqui o problema é que os agentes</w:t>
      </w:r>
      <w:r>
        <w:t xml:space="preserve"> </w:t>
      </w:r>
      <w:r>
        <w:rPr>
          <w:i/>
          <w:iCs/>
        </w:rPr>
        <w:t xml:space="preserve">não sabem o suficiente</w:t>
      </w:r>
      <w:r>
        <w:t xml:space="preserve"> </w:t>
      </w:r>
      <w:r>
        <w:t xml:space="preserve">sobre seus parceiros de troca — e essa ignorância tem custos reais e mensuráveis.</w:t>
      </w:r>
    </w:p>
    <w:p>
      <w:r>
        <w:pict>
          <v:rect style="width:0;height:1.5pt" o:hralign="center" o:hrstd="t" o:hr="t"/>
        </w:pict>
      </w:r>
    </w:p>
    <w:bookmarkEnd w:id="1186"/>
    <w:bookmarkStart w:id="1189" w:name="X9a448c01aa2e7d55979473b647e282459995b85"/>
    <w:p>
      <w:pPr>
        <w:pStyle w:val="Heading3"/>
      </w:pPr>
      <w:r>
        <w:t xml:space="preserve">19.2 Será Que Ele Vai Se Esforçar?: O Modelo Principal-Agente</w:t>
      </w:r>
    </w:p>
    <w:p>
      <w:pPr>
        <w:pStyle w:val="FirstParagraph"/>
      </w:pPr>
      <w:r>
        <w:t xml:space="preserve">Toda relação em que alguém pede a outrem que faça algo por ele carrega, em algum grau, o mesmo drama:</w:t>
      </w:r>
      <w:r>
        <w:t xml:space="preserve"> </w:t>
      </w:r>
      <w:r>
        <w:t xml:space="preserve">“Será que essa pessoa vai agir no</w:t>
      </w:r>
      <w:r>
        <w:t xml:space="preserve"> </w:t>
      </w:r>
      <w:r>
        <w:rPr>
          <w:i/>
          <w:iCs/>
        </w:rPr>
        <w:t xml:space="preserve">meu</w:t>
      </w:r>
      <w:r>
        <w:t xml:space="preserve"> </w:t>
      </w:r>
      <w:r>
        <w:t xml:space="preserve">interesse — ou no dela?”</w:t>
      </w:r>
      <w:r>
        <w:t xml:space="preserve"> </w:t>
      </w:r>
      <w:r>
        <w:t xml:space="preserve">Do chefe que contrata um gerente ao eleitor que elege um político, do paciente que confia no médico ao acionista que delega ao CEO, o roteiro se repete. A boa notícia é que a economia tem um arcabouço unificado para pensar todos esses casos: o</w:t>
      </w:r>
      <w:r>
        <w:t xml:space="preserve"> </w:t>
      </w:r>
      <w:r>
        <w:rPr>
          <w:b/>
          <w:bCs/>
        </w:rPr>
        <w:t xml:space="preserve">modelo principal-agente</w:t>
      </w:r>
      <w:r>
        <w:t xml:space="preserve"> </w:t>
      </w:r>
      <w:r>
        <w:t xml:space="preserve">— um dos frameworks mais versáteis da microeconomia moderna, com aplicações que vão de contratos de trabalho a regulação de monopólios (como visto no Cap. 15 com a contribuição de Tirole), de seguros a concessões de serviços públicos.</w:t>
      </w:r>
    </w:p>
    <w:p>
      <w:pPr>
        <w:pStyle w:val="BlockText"/>
      </w:pPr>
      <w:r>
        <w:rPr>
          <w:b/>
          <w:bCs/>
        </w:rPr>
        <w:t xml:space="preserve">[DEFINICAO] Relação Principal-Agente</w:t>
      </w:r>
    </w:p>
    <w:p>
      <w:pPr>
        <w:pStyle w:val="BlockText"/>
      </w:pPr>
      <w:r>
        <w:t xml:space="preserve">Relação econômica em que uma parte (o</w:t>
      </w:r>
      <w:r>
        <w:t xml:space="preserve"> </w:t>
      </w:r>
      <w:r>
        <w:rPr>
          <w:b/>
          <w:bCs/>
        </w:rPr>
        <w:t xml:space="preserve">principal</w:t>
      </w:r>
      <w:r>
        <w:t xml:space="preserve">) delega uma tarefa ou decisão a outra parte (o</w:t>
      </w:r>
      <w:r>
        <w:t xml:space="preserve"> </w:t>
      </w:r>
      <w:r>
        <w:rPr>
          <w:b/>
          <w:bCs/>
        </w:rPr>
        <w:t xml:space="preserve">agente</w:t>
      </w:r>
      <w:r>
        <w:t xml:space="preserve">), que possui informação privada sobre suas características (tipo) ou sobre suas ações (esforço). O principal desenha um contrato para induzir o agente a agir de forma compatível com seus interesses.</w:t>
      </w:r>
    </w:p>
    <w:bookmarkStart w:id="1187" w:name="elementos-do-modelo"/>
    <w:p>
      <w:pPr>
        <w:pStyle w:val="Heading4"/>
      </w:pPr>
      <w:r>
        <w:t xml:space="preserve">Elementos do modelo</w:t>
      </w:r>
    </w:p>
    <w:p>
      <w:pPr>
        <w:pStyle w:val="FirstParagraph"/>
      </w:pPr>
      <w:r>
        <w:t xml:space="preserve">O modelo canônico envolve os seguintes componentes:</w:t>
      </w:r>
    </w:p>
    <w:p>
      <w:pPr>
        <w:pStyle w:val="Compact"/>
        <w:numPr>
          <w:ilvl w:val="0"/>
          <w:numId w:val="2050"/>
        </w:numPr>
      </w:pPr>
      <w:r>
        <w:rPr>
          <w:b/>
          <w:bCs/>
        </w:rPr>
        <w:t xml:space="preserve">Principal</w:t>
      </w:r>
      <w:r>
        <w:t xml:space="preserve">: parte que propõe o contrato (empregador, segurador, comprador, regulador).</w:t>
      </w:r>
    </w:p>
    <w:p>
      <w:pPr>
        <w:pStyle w:val="Compact"/>
        <w:numPr>
          <w:ilvl w:val="0"/>
          <w:numId w:val="2050"/>
        </w:numPr>
      </w:pPr>
      <w:r>
        <w:rPr>
          <w:b/>
          <w:bCs/>
        </w:rPr>
        <w:t xml:space="preserve">Agente</w:t>
      </w:r>
      <w:r>
        <w:t xml:space="preserve">: parte que aceita ou rejeita o contrato e possui informação privada (trabalhador, segurado, vendedor, firma regulada).</w:t>
      </w:r>
    </w:p>
    <w:p>
      <w:pPr>
        <w:pStyle w:val="Compact"/>
        <w:numPr>
          <w:ilvl w:val="0"/>
          <w:numId w:val="2050"/>
        </w:numPr>
      </w:pPr>
      <w:r>
        <w:rPr>
          <w:b/>
          <w:bCs/>
        </w:rPr>
        <w:t xml:space="preserve">Contrato</w:t>
      </w:r>
      <w:r>
        <w:t xml:space="preserve">: mecanismo que especifica pagamentos contingentes a variáveis observáveis.</w:t>
      </w:r>
    </w:p>
    <w:p>
      <w:pPr>
        <w:pStyle w:val="Compact"/>
        <w:numPr>
          <w:ilvl w:val="0"/>
          <w:numId w:val="2050"/>
        </w:numPr>
      </w:pPr>
      <w:r>
        <w:rPr>
          <w:b/>
          <w:bCs/>
        </w:rPr>
        <w:t xml:space="preserve">Restrição de participação (RP)</w:t>
      </w:r>
      <w:r>
        <w:t xml:space="preserve">: o agente só aceita o contrato se a utilidade esperada for ao menos igual à sua</w:t>
      </w:r>
      <w:r>
        <w:t xml:space="preserve"> </w:t>
      </w:r>
      <w:r>
        <w:rPr>
          <w:b/>
          <w:bCs/>
        </w:rPr>
        <w:t xml:space="preserve">utilidade de reserva</w:t>
      </w:r>
      <w:r>
        <w:t xml:space="preserve"> </w:t>
      </w:r>
      <m:oMath>
        <m:acc>
          <m:accPr>
            <m:chr m:val="‾"/>
          </m:accPr>
          <m:e>
            <m:r>
              <m:t>U</m:t>
            </m:r>
          </m:e>
        </m:acc>
      </m:oMath>
      <w:r>
        <w:t xml:space="preserve"> </w:t>
      </w:r>
      <w:r>
        <w:t xml:space="preserve">— o que obteria na melhor alternativa disponível.</w:t>
      </w:r>
    </w:p>
    <w:p>
      <w:pPr>
        <w:pStyle w:val="Compact"/>
        <w:numPr>
          <w:ilvl w:val="0"/>
          <w:numId w:val="2050"/>
        </w:numPr>
      </w:pPr>
      <w:r>
        <w:rPr>
          <w:b/>
          <w:bCs/>
        </w:rPr>
        <w:t xml:space="preserve">Restrição de compatibilidade de incentivos (RCI)</w:t>
      </w:r>
      <w:r>
        <w:t xml:space="preserve">: o contrato deve induzir o agente a escolher a ação ou revelar o tipo desejado pelo principal.</w:t>
      </w:r>
    </w:p>
    <w:p>
      <w:pPr>
        <w:pStyle w:val="FirstParagraph"/>
      </w:pPr>
      <w:r>
        <w:t xml:space="preserve">Formalmente, o principal resolve:</w:t>
      </w:r>
    </w:p>
    <w:p>
      <w:pPr>
        <w:pStyle w:val="BodyText"/>
      </w:pPr>
      <m:oMathPara>
        <m:oMathParaPr>
          <m:jc m:val="center"/>
        </m:oMathParaPr>
        <m:oMath>
          <m:limLow>
            <m:e>
              <m:r>
                <m:rPr>
                  <m:sty m:val="p"/>
                </m:rPr>
                <m:t>max</m:t>
              </m:r>
            </m:e>
            <m:lim>
              <m:r>
                <m:t>w</m:t>
              </m:r>
              <m:r>
                <m:rPr>
                  <m:sty m:val="p"/>
                </m:rPr>
                <m:t>(</m:t>
              </m:r>
              <m:r>
                <m:rPr>
                  <m:sty m:val="p"/>
                </m:rPr>
                <m:t>⋅</m:t>
              </m:r>
              <m:r>
                <m:rPr>
                  <m:sty m:val="p"/>
                </m:rPr>
                <m:t>)</m:t>
              </m:r>
            </m:lim>
          </m:limLow>
          <m:r>
            <m:t> </m:t>
          </m:r>
          <m:r>
            <m:rPr>
              <m:scr m:val="double-struck"/>
              <m:sty m:val="p"/>
            </m:rPr>
            <m:t>E</m:t>
          </m:r>
          <m:r>
            <m:rPr>
              <m:sty m:val="p"/>
            </m:rPr>
            <m:t>[</m:t>
          </m:r>
          <m:r>
            <m:t>π</m:t>
          </m:r>
          <m:r>
            <m:rPr>
              <m:sty m:val="p"/>
            </m:rPr>
            <m:t>(</m:t>
          </m:r>
          <m:r>
            <m:t>x</m:t>
          </m:r>
          <m:r>
            <m:rPr>
              <m:sty m:val="p"/>
            </m:rPr>
            <m:t>)</m:t>
          </m:r>
          <m:r>
            <m:rPr>
              <m:sty m:val="p"/>
            </m:rPr>
            <m:t>−</m:t>
          </m:r>
          <m:r>
            <m:t>w</m:t>
          </m:r>
          <m:r>
            <m:rPr>
              <m:sty m:val="p"/>
            </m:rPr>
            <m:t>(</m:t>
          </m:r>
          <m:r>
            <m:t>x</m:t>
          </m:r>
          <m:r>
            <m:rPr>
              <m:sty m:val="p"/>
            </m:rPr>
            <m:t>)</m:t>
          </m:r>
          <m:r>
            <m:rPr>
              <m:sty m:val="p"/>
            </m:rPr>
            <m:t>]</m:t>
          </m:r>
        </m:oMath>
      </m:oMathPara>
    </w:p>
    <w:p>
      <w:pPr>
        <w:pStyle w:val="FirstParagraph"/>
      </w:pPr>
      <w:r>
        <w:t xml:space="preserve">sujeito a:</w:t>
      </w:r>
    </w:p>
    <w:p>
      <w:pPr>
        <w:pStyle w:val="BodyText"/>
      </w:pPr>
      <w:r>
        <w:t xml:space="preserve">$$
    \mathbb{E}[U(w(x), e^*)] \geq \bar{U} \quad \text{(Restrição de Participação)}
    \label{eq:19.2} \tag{19.2} 
    $$</w:t>
      </w:r>
    </w:p>
    <w:p>
      <w:pPr>
        <w:pStyle w:val="FirstParagraph"/>
      </w:pPr>
      <w:r>
        <w:t xml:space="preserve">$$
    e^* \in \arg\max_{e} \; \mathbb{E}[U(w(x), e)] \quad \text{(Restrição de Incentivo)}
    \label{eq:19.3} \tag{19.3} 
    $$</w:t>
      </w:r>
    </w:p>
    <w:p>
      <w:pPr>
        <w:pStyle w:val="FirstParagraph"/>
      </w:pPr>
      <w:r>
        <w:t xml:space="preserve">onde</w:t>
      </w:r>
      <w:r>
        <w:t xml:space="preserve"> </w:t>
      </w:r>
      <m:oMath>
        <m:r>
          <m:t>w</m:t>
        </m:r>
        <m:r>
          <m:rPr>
            <m:sty m:val="p"/>
          </m:rPr>
          <m:t>(</m:t>
        </m:r>
        <m:r>
          <m:t>x</m:t>
        </m:r>
        <m:r>
          <m:rPr>
            <m:sty m:val="p"/>
          </m:rPr>
          <m:t>)</m:t>
        </m:r>
      </m:oMath>
      <w:r>
        <w:t xml:space="preserve"> </w:t>
      </w:r>
      <w:r>
        <w:t xml:space="preserve">é o esquema de pagamento contingente ao resultado observável</w:t>
      </w:r>
      <w:r>
        <w:t xml:space="preserve"> </w:t>
      </w:r>
      <m:oMath>
        <m:r>
          <m:t>x</m:t>
        </m:r>
      </m:oMath>
      <w:r>
        <w:t xml:space="preserve">,</w:t>
      </w:r>
      <w:r>
        <w:t xml:space="preserve"> </w:t>
      </w:r>
      <m:oMath>
        <m:r>
          <m:t>e</m:t>
        </m:r>
      </m:oMath>
      <w:r>
        <w:t xml:space="preserve"> </w:t>
      </w:r>
      <w:r>
        <w:t xml:space="preserve">é o esforço do agente e</w:t>
      </w:r>
      <w:r>
        <w:t xml:space="preserve"> </w:t>
      </w:r>
      <m:oMath>
        <m:r>
          <m:t>π</m:t>
        </m:r>
        <m:r>
          <m:rPr>
            <m:sty m:val="p"/>
          </m:rPr>
          <m:t>(</m:t>
        </m:r>
        <m:r>
          <m:t>x</m:t>
        </m:r>
        <m:r>
          <m:rPr>
            <m:sty m:val="p"/>
          </m:rPr>
          <m:t>)</m:t>
        </m:r>
      </m:oMath>
      <w:r>
        <w:t xml:space="preserve"> </w:t>
      </w:r>
      <w:r>
        <w:t xml:space="preserve">é o lucro bruto do principal.</w:t>
      </w:r>
    </w:p>
    <w:bookmarkEnd w:id="1187"/>
    <w:bookmarkStart w:id="1188" w:name="informação-completa-vs.-incompleta"/>
    <w:p>
      <w:pPr>
        <w:pStyle w:val="Heading4"/>
      </w:pPr>
      <w:r>
        <w:t xml:space="preserve">Informação completa vs. incompleta</w:t>
      </w:r>
    </w:p>
    <w:p>
      <w:pPr>
        <w:pStyle w:val="FirstParagraph"/>
      </w:pPr>
      <w:r>
        <w:t xml:space="preserve">Sob</w:t>
      </w:r>
      <w:r>
        <w:t xml:space="preserve"> </w:t>
      </w:r>
      <w:r>
        <w:rPr>
          <w:b/>
          <w:bCs/>
        </w:rPr>
        <w:t xml:space="preserve">informação completa</w:t>
      </w:r>
      <w:r>
        <w:t xml:space="preserve"> </w:t>
      </w:r>
      <w:r>
        <w:t xml:space="preserve">(ou simétrica), o principal observa tanto o tipo quanto a ação do agente. Nesse caso, basta oferecer um contrato que satisfaça a restrição de participação Eq. (eq:19.2) com igualdade — o chamado</w:t>
      </w:r>
      <w:r>
        <w:t xml:space="preserve"> </w:t>
      </w:r>
      <w:r>
        <w:rPr>
          <w:b/>
          <w:bCs/>
        </w:rPr>
        <w:t xml:space="preserve">first-best</w:t>
      </w:r>
      <w:r>
        <w:t xml:space="preserve"> </w:t>
      </w:r>
      <w:r>
        <w:t xml:space="preserve">(ótimo de primeiro melhor). O agente recebe exatamente sua utilidade de reserva e o principal captura todo o excedente da relação.</w:t>
      </w:r>
    </w:p>
    <w:p>
      <w:pPr>
        <w:pStyle w:val="BodyText"/>
      </w:pPr>
      <w:r>
        <w:t xml:space="preserve">Sob</w:t>
      </w:r>
      <w:r>
        <w:t xml:space="preserve"> </w:t>
      </w:r>
      <w:r>
        <w:rPr>
          <w:b/>
          <w:bCs/>
        </w:rPr>
        <w:t xml:space="preserve">informação assimétrica</w:t>
      </w:r>
      <w:r>
        <w:t xml:space="preserve">, o principal não observa o tipo ou a ação do agente, e precisa satisfazer adicionalmente a restrição de incentivos Eq. (eq:19.3). O resultado é o</w:t>
      </w:r>
      <w:r>
        <w:t xml:space="preserve"> </w:t>
      </w:r>
      <w:r>
        <w:rPr>
          <w:b/>
          <w:bCs/>
        </w:rPr>
        <w:t xml:space="preserve">second-best</w:t>
      </w:r>
      <w:r>
        <w:t xml:space="preserve"> </w:t>
      </w:r>
      <w:r>
        <w:t xml:space="preserve">(ótimo de segundo melhor), que geralmente envolve uma perda de eficiência em relação ao first-best. A diferença de custo entre o second-best e o first-best é o</w:t>
      </w:r>
      <w:r>
        <w:t xml:space="preserve"> </w:t>
      </w:r>
      <w:r>
        <w:rPr>
          <w:b/>
          <w:bCs/>
        </w:rPr>
        <w:t xml:space="preserve">custo de agência</w:t>
      </w:r>
      <w:r>
        <w:t xml:space="preserve"> </w:t>
      </w:r>
      <w:r>
        <w:t xml:space="preserve">— o preço que a sociedade paga pela existência de informação assimétrica.</w:t>
      </w:r>
    </w:p>
    <w:p>
      <w:pPr>
        <w:pStyle w:val="BodyText"/>
      </w:pPr>
      <w:r>
        <w:t xml:space="preserve">O conceito de custo de agência, formalizado por Jensen e Meckling (1976), é central para a governança corporativa moderna. Em uma empresa de capital aberto, os acionistas (principais) delegam a gestão a executivos (agentes) cujo esforço e decisões não são perfeitamente observáveis. Os mecanismos de governança — conselhos de administração, auditorias externas, stock options, cláusulas contratuais — são todos tentativas de reduzir o custo de agência. A magnitude desse custo é empiricamente significativa: estudos estimam que os custos de agência podem representar 5–20% do valor da firma, dependendo do setor e da qualidade da governança.</w:t>
      </w:r>
    </w:p>
    <w:p>
      <w:pPr>
        <w:pStyle w:val="BodyText"/>
      </w:pPr>
      <w:r>
        <w:t xml:space="preserve">A distinção entre first-best e second-best permeia toda a economia da informação. Quando dizemos que um mercado é</w:t>
      </w:r>
      <w:r>
        <w:t xml:space="preserve"> </w:t>
      </w:r>
      <w:r>
        <w:t xml:space="preserve">“ineficiente”</w:t>
      </w:r>
      <w:r>
        <w:t xml:space="preserve"> </w:t>
      </w:r>
      <w:r>
        <w:t xml:space="preserve">sob informação assimétrica, estamos comparando com o benchmark de informação completa. Entretanto, é crucial reconhecer que essa ineficiência pode ser</w:t>
      </w:r>
      <w:r>
        <w:t xml:space="preserve"> </w:t>
      </w:r>
      <w:r>
        <w:rPr>
          <w:i/>
          <w:iCs/>
        </w:rPr>
        <w:t xml:space="preserve">inevitável</w:t>
      </w:r>
      <w:r>
        <w:t xml:space="preserve">: dada a assimetria de informação, o second-best pode ser o melhor resultado alcançável — o que torna inadequadas políticas que ignorem as restrições informacionais. Este insight, central na obra de Tirole (Nobel 2014), aplica-se diretamente à regulação de monopólios discutida no Capítulo 15.</w:t>
      </w:r>
    </w:p>
    <w:bookmarkEnd w:id="1188"/>
    <w:bookmarkEnd w:id="1189"/>
    <w:bookmarkEnd w:id="1190"/>
    <w:bookmarkStart w:id="1195" w:name="risco-moral-1"/>
    <w:p>
      <w:pPr>
        <w:pStyle w:val="Heading2"/>
      </w:pPr>
      <w:r>
        <w:t xml:space="preserve">19.3 Risco Moral</w:t>
      </w:r>
    </w:p>
    <w:bookmarkStart w:id="1194" w:name="X4bb99f81147d2705f53a1d75337b2ec3e10d23a"/>
    <w:p>
      <w:pPr>
        <w:pStyle w:val="Heading3"/>
      </w:pPr>
      <w:r>
        <w:t xml:space="preserve">19.3 Seguro Total e Capinha no Bolso: Risco Moral</w:t>
      </w:r>
    </w:p>
    <w:p>
      <w:pPr>
        <w:pStyle w:val="FirstParagraph"/>
      </w:pPr>
      <w:r>
        <w:t xml:space="preserve">Você já reparou que as pessoas dirigem com mais cautela quando o carro é emprestado de um amigo do que quando têm seguro total? Ou que o estagiário trabalha com mais afinco na semana da avaliação? Esse é o risco moral em estado puro — o problema que surge quando alguém pode agir de forma oculta depois que o acordo já foi fechado. O termo</w:t>
      </w:r>
      <w:r>
        <w:t xml:space="preserve"> </w:t>
      </w:r>
      <w:r>
        <w:t xml:space="preserve">“risco moral”</w:t>
      </w:r>
      <w:r>
        <w:t xml:space="preserve"> </w:t>
      </w:r>
      <w:r>
        <w:t xml:space="preserve">(</w:t>
      </w:r>
      <w:r>
        <w:rPr>
          <w:i/>
          <w:iCs/>
        </w:rPr>
        <w:t xml:space="preserve">moral hazard</w:t>
      </w:r>
      <w:r>
        <w:t xml:space="preserve">) tem origem no setor de seguros do século XIX, quando as seguradoras perceberam que clientes segurados tendiam a ser menos cuidadosos com seus bens. Por que o risco moral é tão difundido? Porque em praticamente toda relação de delegação — de um empregador que contrata um gerente a uma seguradora que cobre um segurado, de um acionista que contrata um CEO a um eleitor que elege um político — existe algum grau de ação oculta que escapa ao monitoramento direto.</w:t>
      </w:r>
    </w:p>
    <w:p>
      <w:pPr>
        <w:pStyle w:val="BlockText"/>
      </w:pPr>
      <w:r>
        <w:rPr>
          <w:b/>
          <w:bCs/>
        </w:rPr>
        <w:t xml:space="preserve">[DEFINICAO] Risco Moral (Moral Hazard)</w:t>
      </w:r>
    </w:p>
    <w:p>
      <w:pPr>
        <w:pStyle w:val="BlockText"/>
      </w:pPr>
      <w:r>
        <w:t xml:space="preserve">Problema de informação assimétrica que surge quando uma parte de uma transação pode tomar</w:t>
      </w:r>
      <w:r>
        <w:t xml:space="preserve"> </w:t>
      </w:r>
      <w:r>
        <w:rPr>
          <w:b/>
          <w:bCs/>
        </w:rPr>
        <w:t xml:space="preserve">ações não observáveis</w:t>
      </w:r>
      <w:r>
        <w:t xml:space="preserve"> </w:t>
      </w:r>
      <w:r>
        <w:t xml:space="preserve">(ocultas) que afetam o resultado da relação, e a outra parte não consegue monitorar ou verificar essas ações diretamente. O termo refere-se à mudança de comportamento do agente após a celebração do contrato.</w:t>
      </w:r>
    </w:p>
    <w:p>
      <w:pPr>
        <w:pStyle w:val="BlockText"/>
      </w:pPr>
      <w:r>
        <w:rPr>
          <w:b/>
          <w:bCs/>
        </w:rPr>
        <w:t xml:space="preserve">[INTUICAO ECONOMICA] Intuição Econômica</w:t>
      </w:r>
    </w:p>
    <w:p>
      <w:pPr>
        <w:pStyle w:val="BlockText"/>
      </w:pPr>
      <w:r>
        <w:rPr>
          <w:b/>
          <w:bCs/>
        </w:rPr>
        <w:t xml:space="preserve">Em uma frase:</w:t>
      </w:r>
      <w:r>
        <w:t xml:space="preserve"> </w:t>
      </w:r>
      <w:r>
        <w:t xml:space="preserve">Quando alguém está protegido contra as consequências de suas ações, tende a se arriscar mais — porque quem paga a conta é outro.</w:t>
      </w:r>
    </w:p>
    <w:p>
      <w:pPr>
        <w:pStyle w:val="BlockText"/>
      </w:pPr>
      <w:r>
        <w:rPr>
          <w:b/>
          <w:bCs/>
        </w:rPr>
        <w:t xml:space="preserve">Pense assim:</w:t>
      </w:r>
      <w:r>
        <w:t xml:space="preserve"> </w:t>
      </w:r>
      <w:r>
        <w:t xml:space="preserve">Depois de contratar um seguro completo para o celular, muita gente deixa de usar capinha e película. Afinal, se o aparelho quebrar, a seguradora cobre. Esse</w:t>
      </w:r>
      <w:r>
        <w:t xml:space="preserve"> </w:t>
      </w:r>
      <w:r>
        <w:t xml:space="preserve">“relaxamento”</w:t>
      </w:r>
      <w:r>
        <w:t xml:space="preserve"> </w:t>
      </w:r>
      <w:r>
        <w:t xml:space="preserve">após o contrato é o risco moral em ação — o comportamento muda porque o custo de ser descuidado foi transferido para outra parte.</w:t>
      </w:r>
    </w:p>
    <w:p>
      <w:pPr>
        <w:pStyle w:val="BlockText"/>
      </w:pPr>
      <w:r>
        <w:rPr>
          <w:b/>
          <w:bCs/>
        </w:rPr>
        <w:t xml:space="preserve">Por que isso importa:</w:t>
      </w:r>
      <w:r>
        <w:t xml:space="preserve"> </w:t>
      </w:r>
      <w:r>
        <w:t xml:space="preserve">Franquias e coparticipações em planos de saúde e seguros existem justamente para manter o segurado com</w:t>
      </w:r>
      <w:r>
        <w:t xml:space="preserve"> </w:t>
      </w:r>
      <w:r>
        <w:t xml:space="preserve">“pele no jogo”</w:t>
      </w:r>
      <w:r>
        <w:t xml:space="preserve">, evitando que a proteção gere descuido excessivo.</w:t>
      </w:r>
    </w:p>
    <w:p>
      <w:pPr>
        <w:pStyle w:val="FirstParagraph"/>
      </w:pPr>
      <w:r>
        <w:t xml:space="preserve">O risco moral é um problema</w:t>
      </w:r>
      <w:r>
        <w:t xml:space="preserve"> </w:t>
      </w:r>
      <w:r>
        <w:rPr>
          <w:b/>
          <w:bCs/>
        </w:rPr>
        <w:t xml:space="preserve">pós-contratual</w:t>
      </w:r>
      <w:r>
        <w:t xml:space="preserve">: a assimetria de informação diz respeito a ações tomadas pelo agente</w:t>
      </w:r>
      <w:r>
        <w:t xml:space="preserve"> </w:t>
      </w:r>
      <w:r>
        <w:rPr>
          <w:i/>
          <w:iCs/>
        </w:rPr>
        <w:t xml:space="preserve">depois</w:t>
      </w:r>
      <w:r>
        <w:t xml:space="preserve"> </w:t>
      </w:r>
      <w:r>
        <w:t xml:space="preserve">de firmado o acordo. Isso o distingue da seleção adversa (Seção 19.4), que é pré-contratual — o agente já possui informação privada</w:t>
      </w:r>
      <w:r>
        <w:t xml:space="preserve"> </w:t>
      </w:r>
      <w:r>
        <w:rPr>
          <w:i/>
          <w:iCs/>
        </w:rPr>
        <w:t xml:space="preserve">antes</w:t>
      </w:r>
      <w:r>
        <w:t xml:space="preserve"> </w:t>
      </w:r>
      <w:r>
        <w:t xml:space="preserve">do contrato ser celebrado.</w:t>
      </w:r>
    </w:p>
    <w:p>
      <w:pPr>
        <w:pStyle w:val="BlockText"/>
      </w:pPr>
      <w:r>
        <w:rPr>
          <w:b/>
          <w:bCs/>
        </w:rPr>
        <w:t xml:space="preserve">[DICA] Conexão com o Capítulo 9d</w:t>
      </w:r>
    </w:p>
    <w:p>
      <w:pPr>
        <w:pStyle w:val="BlockText"/>
      </w:pPr>
      <w:r>
        <w:t xml:space="preserve">A formalização do moral hazard como jogo sequencial com informação incompleta, incluindo a derivação do contrato ótimo linear de Holmström e a discussão do trade-off incentivos vs. seguro no framework de jogos bayesianos, encontra-se na Seção 9d.4. Aqui, o foco é a aplicação a contratos reais e políticas públicas brasileiras.</w:t>
      </w:r>
    </w:p>
    <w:bookmarkStart w:id="1191" w:name="a-relação-proprietário-gerente"/>
    <w:p>
      <w:pPr>
        <w:pStyle w:val="Heading4"/>
      </w:pPr>
      <w:r>
        <w:t xml:space="preserve">19.3.1 A relação proprietário-gerente</w:t>
      </w:r>
    </w:p>
    <w:p>
      <w:pPr>
        <w:pStyle w:val="FirstParagraph"/>
      </w:pPr>
      <w:r>
        <w:t xml:space="preserve">Considere um proprietário (principal) que contrata um gerente (agente) para administrar sua empresa. O lucro</w:t>
      </w:r>
      <w:r>
        <w:t xml:space="preserve"> </w:t>
      </w:r>
      <m:oMath>
        <m:r>
          <m:t>π</m:t>
        </m:r>
      </m:oMath>
      <w:r>
        <w:t xml:space="preserve"> </w:t>
      </w:r>
      <w:r>
        <w:t xml:space="preserve">depende do esforço</w:t>
      </w:r>
      <w:r>
        <w:t xml:space="preserve"> </w:t>
      </w:r>
      <m:oMath>
        <m:r>
          <m:t>e</m:t>
        </m:r>
      </m:oMath>
      <w:r>
        <w:t xml:space="preserve"> </w:t>
      </w:r>
      <w:r>
        <w:t xml:space="preserve">do gerente e de um choque aleatório</w:t>
      </w:r>
      <w:r>
        <w:t xml:space="preserve"> </w:t>
      </w:r>
      <m:oMath>
        <m:r>
          <m:t>ε</m:t>
        </m:r>
      </m:oMath>
      <w:r>
        <w:t xml:space="preserve">:</w:t>
      </w:r>
    </w:p>
    <w:p>
      <w:pPr>
        <w:pStyle w:val="BodyText"/>
      </w:pPr>
      <m:oMathPara>
        <m:oMathParaPr>
          <m:jc m:val="center"/>
        </m:oMathParaPr>
        <m:oMath>
          <m:r>
            <m:t>π</m:t>
          </m:r>
          <m:r>
            <m:rPr>
              <m:sty m:val="p"/>
            </m:rPr>
            <m:t>=</m:t>
          </m:r>
          <m:r>
            <m:t>f</m:t>
          </m:r>
          <m:r>
            <m:rPr>
              <m:sty m:val="p"/>
            </m:rPr>
            <m:t>(</m:t>
          </m:r>
          <m:r>
            <m:t>e</m:t>
          </m:r>
          <m:r>
            <m:rPr>
              <m:sty m:val="p"/>
            </m:rPr>
            <m:t>)</m:t>
          </m:r>
          <m:r>
            <m:rPr>
              <m:sty m:val="p"/>
            </m:rPr>
            <m:t>+</m:t>
          </m:r>
          <m:r>
            <m:t>ε</m:t>
          </m:r>
          <m:r>
            <m:rPr>
              <m:sty m:val="p"/>
            </m:rPr>
            <m:t>,</m:t>
          </m:r>
          <m:r>
            <m:t> </m:t>
          </m:r>
          <m:r>
            <m:t>ε</m:t>
          </m:r>
          <m:r>
            <m:rPr>
              <m:sty m:val="p"/>
            </m:rPr>
            <m:t>∼</m:t>
          </m:r>
          <m:r>
            <m:rPr>
              <m:sty m:val="p"/>
            </m:rPr>
            <m:t>(</m:t>
          </m:r>
          <m:r>
            <m:t>0</m:t>
          </m:r>
          <m:r>
            <m:rPr>
              <m:sty m:val="p"/>
            </m:rPr>
            <m:t>,</m:t>
          </m:r>
          <m:sSup>
            <m:e>
              <m:r>
                <m:t>σ</m:t>
              </m:r>
            </m:e>
            <m:sup>
              <m:r>
                <m:t>2</m:t>
              </m:r>
            </m:sup>
          </m:sSup>
          <m:r>
            <m:rPr>
              <m:sty m:val="p"/>
            </m:rPr>
            <m:t>)</m:t>
          </m:r>
        </m:oMath>
      </m:oMathPara>
    </w:p>
    <w:p>
      <w:pPr>
        <w:pStyle w:val="FirstParagraph"/>
      </w:pPr>
      <w:r>
        <w:t xml:space="preserve">O esforço</w:t>
      </w:r>
      <w:r>
        <w:t xml:space="preserve"> </w:t>
      </w:r>
      <m:oMath>
        <m:r>
          <m:t>e</m:t>
        </m:r>
      </m:oMath>
      <w:r>
        <w:t xml:space="preserve"> </w:t>
      </w:r>
      <w:r>
        <w:t xml:space="preserve">é custoso para o gerente, com custo</w:t>
      </w:r>
      <w:r>
        <w:t xml:space="preserve"> </w:t>
      </w:r>
      <m:oMath>
        <m:r>
          <m:t>c</m:t>
        </m:r>
        <m:r>
          <m:rPr>
            <m:sty m:val="p"/>
          </m:rPr>
          <m:t>(</m:t>
        </m:r>
        <m:r>
          <m:t>e</m:t>
        </m:r>
        <m:r>
          <m:rPr>
            <m:sty m:val="p"/>
          </m:rPr>
          <m:t>)</m:t>
        </m:r>
      </m:oMath>
      <w:r>
        <w:t xml:space="preserve">, onde</w:t>
      </w:r>
      <w:r>
        <w:t xml:space="preserve"> </w:t>
      </w:r>
      <m:oMath>
        <m:sSup>
          <m:e>
            <m:r>
              <m:t>c</m:t>
            </m:r>
          </m:e>
          <m:sup>
            <m:r>
              <m:rPr>
                <m:sty m:val="p"/>
              </m:rPr>
              <m:t>′</m:t>
            </m:r>
          </m:sup>
        </m:sSup>
        <m:r>
          <m:rPr>
            <m:sty m:val="p"/>
          </m:rPr>
          <m:t>(</m:t>
        </m:r>
        <m:r>
          <m:t>e</m:t>
        </m:r>
        <m:r>
          <m:rPr>
            <m:sty m:val="p"/>
          </m:rPr>
          <m:t>)</m:t>
        </m:r>
        <m:r>
          <m:rPr>
            <m:sty m:val="p"/>
          </m:rPr>
          <m:t>&gt;</m:t>
        </m:r>
        <m:r>
          <m:t>0</m:t>
        </m:r>
      </m:oMath>
      <w:r>
        <w:t xml:space="preserve"> </w:t>
      </w:r>
      <w:r>
        <w:t xml:space="preserve">e</w:t>
      </w:r>
      <w:r>
        <w:t xml:space="preserve"> </w:t>
      </w:r>
      <m:oMath>
        <m:sSup>
          <m:e>
            <m:r>
              <m:t>c</m:t>
            </m:r>
          </m:e>
          <m:sup>
            <m:r>
              <m:rPr>
                <m:sty m:val="p"/>
              </m:rPr>
              <m:t>″</m:t>
            </m:r>
          </m:sup>
        </m:sSup>
        <m:r>
          <m:rPr>
            <m:sty m:val="p"/>
          </m:rPr>
          <m:t>(</m:t>
        </m:r>
        <m:r>
          <m:t>e</m:t>
        </m:r>
        <m:r>
          <m:rPr>
            <m:sty m:val="p"/>
          </m:rPr>
          <m:t>)</m:t>
        </m:r>
        <m:r>
          <m:rPr>
            <m:sty m:val="p"/>
          </m:rPr>
          <m:t>&gt;</m:t>
        </m:r>
        <m:r>
          <m:t>0</m:t>
        </m:r>
      </m:oMath>
      <w:r>
        <w:t xml:space="preserve">. Se o proprietário pudesse observar</w:t>
      </w:r>
      <w:r>
        <w:t xml:space="preserve"> </w:t>
      </w:r>
      <m:oMath>
        <m:r>
          <m:t>e</m:t>
        </m:r>
      </m:oMath>
      <w:r>
        <w:t xml:space="preserve">, contrataria o nível eficiente</w:t>
      </w:r>
      <w:r>
        <w:t xml:space="preserve"> </w:t>
      </w:r>
      <m:oMath>
        <m:sSup>
          <m:e>
            <m:r>
              <m:t>e</m:t>
            </m:r>
          </m:e>
          <m:sup>
            <m:r>
              <m:rPr>
                <m:sty m:val="p"/>
              </m:rPr>
              <m:t>*</m:t>
            </m:r>
          </m:sup>
        </m:sSup>
      </m:oMath>
      <w:r>
        <w:t xml:space="preserve"> </w:t>
      </w:r>
      <w:r>
        <w:t xml:space="preserve">tal que:</w:t>
      </w:r>
    </w:p>
    <w:p>
      <w:pPr>
        <w:pStyle w:val="BodyText"/>
      </w:pPr>
      <m:oMathPara>
        <m:oMathParaPr>
          <m:jc m:val="center"/>
        </m:oMathParaPr>
        <m:oMath>
          <m:sSup>
            <m:e>
              <m:r>
                <m:t>f</m:t>
              </m:r>
            </m:e>
            <m:sup>
              <m:r>
                <m:rPr>
                  <m:sty m:val="p"/>
                </m:rPr>
                <m:t>′</m:t>
              </m:r>
            </m:sup>
          </m:sSup>
          <m:r>
            <m:rPr>
              <m:sty m:val="p"/>
            </m:rPr>
            <m:t>(</m:t>
          </m:r>
          <m:sSup>
            <m:e>
              <m:r>
                <m:t>e</m:t>
              </m:r>
            </m:e>
            <m:sup>
              <m:r>
                <m:rPr>
                  <m:sty m:val="p"/>
                </m:rPr>
                <m:t>*</m:t>
              </m:r>
            </m:sup>
          </m:sSup>
          <m:r>
            <m:rPr>
              <m:sty m:val="p"/>
            </m:rPr>
            <m:t>)</m:t>
          </m:r>
          <m:r>
            <m:rPr>
              <m:sty m:val="p"/>
            </m:rPr>
            <m:t>=</m:t>
          </m:r>
          <m:sSup>
            <m:e>
              <m:r>
                <m:t>c</m:t>
              </m:r>
            </m:e>
            <m:sup>
              <m:r>
                <m:rPr>
                  <m:sty m:val="p"/>
                </m:rPr>
                <m:t>′</m:t>
              </m:r>
            </m:sup>
          </m:sSup>
          <m:r>
            <m:rPr>
              <m:sty m:val="p"/>
            </m:rPr>
            <m:t>(</m:t>
          </m:r>
          <m:sSup>
            <m:e>
              <m:r>
                <m:t>e</m:t>
              </m:r>
            </m:e>
            <m:sup>
              <m:r>
                <m:rPr>
                  <m:sty m:val="p"/>
                </m:rPr>
                <m:t>*</m:t>
              </m:r>
            </m:sup>
          </m:sSup>
          <m:r>
            <m:rPr>
              <m:sty m:val="p"/>
            </m:rPr>
            <m:t>)</m:t>
          </m:r>
        </m:oMath>
      </m:oMathPara>
    </w:p>
    <w:p>
      <w:pPr>
        <w:pStyle w:val="FirstParagraph"/>
      </w:pPr>
      <w:r>
        <w:t xml:space="preserve">A equação Eq. (eq:19.5) é a condição de first-best: o benefício marginal do esforço (para o proprietário) iguala o custo marginal (para o gerente). Quando</w:t>
      </w:r>
      <w:r>
        <w:t xml:space="preserve"> </w:t>
      </w:r>
      <m:oMath>
        <m:r>
          <m:t>e</m:t>
        </m:r>
      </m:oMath>
      <w:r>
        <w:t xml:space="preserve"> </w:t>
      </w:r>
      <w:r>
        <w:t xml:space="preserve">não é observável, o proprietário precisa desenhar um esquema de compensação</w:t>
      </w:r>
      <w:r>
        <w:t xml:space="preserve"> </w:t>
      </w:r>
      <m:oMath>
        <m:r>
          <m:t>w</m:t>
        </m:r>
        <m:r>
          <m:rPr>
            <m:sty m:val="p"/>
          </m:rPr>
          <m:t>(</m:t>
        </m:r>
        <m:r>
          <m:t>π</m:t>
        </m:r>
        <m:r>
          <m:rPr>
            <m:sty m:val="p"/>
          </m:rPr>
          <m:t>)</m:t>
        </m:r>
      </m:oMath>
      <w:r>
        <w:t xml:space="preserve"> </w:t>
      </w:r>
      <w:r>
        <w:t xml:space="preserve">que dependa do resultado observável</w:t>
      </w:r>
      <w:r>
        <w:t xml:space="preserve"> </w:t>
      </w:r>
      <m:oMath>
        <m:r>
          <m:t>π</m:t>
        </m:r>
      </m:oMath>
      <w:r>
        <w:t xml:space="preserve">. Se o gerente é avesso ao risco com utilidade</w:t>
      </w:r>
      <w:r>
        <w:t xml:space="preserve"> </w:t>
      </w:r>
      <m:oMath>
        <m:r>
          <m:t>U</m:t>
        </m:r>
        <m:r>
          <m:rPr>
            <m:sty m:val="p"/>
          </m:rPr>
          <m:t>(</m:t>
        </m:r>
        <m:r>
          <m:t>w</m:t>
        </m:r>
        <m:r>
          <m:rPr>
            <m:sty m:val="p"/>
          </m:rPr>
          <m:t>)</m:t>
        </m:r>
        <m:r>
          <m:rPr>
            <m:sty m:val="p"/>
          </m:rPr>
          <m:t>−</m:t>
        </m:r>
        <m:r>
          <m:t>c</m:t>
        </m:r>
        <m:r>
          <m:rPr>
            <m:sty m:val="p"/>
          </m:rPr>
          <m:t>(</m:t>
        </m:r>
        <m:r>
          <m:t>e</m:t>
        </m:r>
        <m:r>
          <m:rPr>
            <m:sty m:val="p"/>
          </m:rPr>
          <m:t>)</m:t>
        </m:r>
      </m:oMath>
      <w:r>
        <w:t xml:space="preserve">, o contrato ótimo envolve um</w:t>
      </w:r>
      <w:r>
        <w:t xml:space="preserve"> </w:t>
      </w:r>
      <w:r>
        <w:rPr>
          <w:b/>
          <w:bCs/>
        </w:rPr>
        <w:t xml:space="preserve">trade-off entre incentivos e seguro</w:t>
      </w:r>
      <w:r>
        <w:t xml:space="preserve">:</w:t>
      </w:r>
    </w:p>
    <w:p>
      <w:pPr>
        <w:pStyle w:val="Compact"/>
        <w:numPr>
          <w:ilvl w:val="0"/>
          <w:numId w:val="2051"/>
        </w:numPr>
      </w:pPr>
      <w:r>
        <w:t xml:space="preserve">Um salário fixo</w:t>
      </w:r>
      <w:r>
        <w:t xml:space="preserve"> </w:t>
      </w:r>
      <m:oMath>
        <m:r>
          <m:t>w</m:t>
        </m:r>
        <m:r>
          <m:rPr>
            <m:sty m:val="p"/>
          </m:rPr>
          <m:t>=</m:t>
        </m:r>
        <m:acc>
          <m:accPr>
            <m:chr m:val="‾"/>
          </m:accPr>
          <m:e>
            <m:r>
              <m:t>w</m:t>
            </m:r>
          </m:e>
        </m:acc>
      </m:oMath>
      <w:r>
        <w:t xml:space="preserve"> </w:t>
      </w:r>
      <w:r>
        <w:t xml:space="preserve">provê seguro perfeito ao gerente, mas nenhum incentivo para se esforçar — ele recebe o mesmo independentemente do resultado.</w:t>
      </w:r>
    </w:p>
    <w:p>
      <w:pPr>
        <w:pStyle w:val="Compact"/>
        <w:numPr>
          <w:ilvl w:val="0"/>
          <w:numId w:val="2051"/>
        </w:numPr>
      </w:pPr>
      <w:r>
        <w:t xml:space="preserve">Um contrato puramente variável</w:t>
      </w:r>
      <w:r>
        <w:t xml:space="preserve"> </w:t>
      </w:r>
      <m:oMath>
        <m:r>
          <m:t>w</m:t>
        </m:r>
        <m:r>
          <m:rPr>
            <m:sty m:val="p"/>
          </m:rPr>
          <m:t>=</m:t>
        </m:r>
        <m:r>
          <m:t>π</m:t>
        </m:r>
        <m:r>
          <m:rPr>
            <m:sty m:val="p"/>
          </m:rPr>
          <m:t>−</m:t>
        </m:r>
        <m:r>
          <m:t>R</m:t>
        </m:r>
      </m:oMath>
      <w:r>
        <w:t xml:space="preserve"> </w:t>
      </w:r>
      <w:r>
        <w:t xml:space="preserve">(em que</w:t>
      </w:r>
      <w:r>
        <w:t xml:space="preserve"> </w:t>
      </w:r>
      <m:oMath>
        <m:r>
          <m:t>R</m:t>
        </m:r>
      </m:oMath>
      <w:r>
        <w:t xml:space="preserve"> </w:t>
      </w:r>
      <w:r>
        <w:t xml:space="preserve">é a renda fixa do proprietário) provê incentivos perfeitos (o gerente é o</w:t>
      </w:r>
      <w:r>
        <w:t xml:space="preserve"> </w:t>
      </w:r>
      <w:r>
        <w:t xml:space="preserve">“dono residual”</w:t>
      </w:r>
      <w:r>
        <w:t xml:space="preserve">), mas transfere todo o risco ao gerente — ineficiente quando o gerente é avesso ao risco.</w:t>
      </w:r>
    </w:p>
    <w:p>
      <w:pPr>
        <w:pStyle w:val="FirstParagraph"/>
      </w:pPr>
      <w:r>
        <w:t xml:space="preserve">Esse trade-off é a essência do problema de risco moral: incentivos perfeitos requerem exposição ao risco, mas exposição ao risco é custosa quando o agente é avesso ao risco. O contrato ótimo é um compromisso entre as duas forças — e esse compromisso é o que observamos nos contratos do mundo real.</w:t>
      </w:r>
    </w:p>
    <w:p>
      <w:pPr>
        <w:pStyle w:val="BodyText"/>
      </w:pPr>
      <w:r>
        <w:t xml:space="preserve">Na prática brasileira, esse trade-off se manifesta claramente nos contratos de executivos de empresas listadas na B3. A remuneração variável (bônus, stock options) dos CEOs das empresas do Ibovespa representava, em média, 60–70% da remuneração total em 2024, segundo dados da CVM — refletindo um forte componente de incentivos. Ao mesmo tempo, a parte fixa (30–40%) provê um</w:t>
      </w:r>
      <w:r>
        <w:t xml:space="preserve"> </w:t>
      </w:r>
      <w:r>
        <w:t xml:space="preserve">“colchão de seguro”</w:t>
      </w:r>
      <w:r>
        <w:t xml:space="preserve"> </w:t>
      </w:r>
      <w:r>
        <w:t xml:space="preserve">mínimo. A proporção variável tende a ser maior em setores com mais incerteza (tecnologia, commodities) e menor em setores estáveis (utilities, bancos) — exatamente como o modelo prevê: quando</w:t>
      </w:r>
      <w:r>
        <w:t xml:space="preserve"> </w:t>
      </w:r>
      <m:oMath>
        <m:sSup>
          <m:e>
            <m:r>
              <m:t>σ</m:t>
            </m:r>
          </m:e>
          <m:sup>
            <m:r>
              <m:t>2</m:t>
            </m:r>
          </m:sup>
        </m:sSup>
      </m:oMath>
      <w:r>
        <w:t xml:space="preserve"> </w:t>
      </w:r>
      <w:r>
        <w:t xml:space="preserve">é grande, o custo de expor o agente ao risco é alto, e o contrato ótimo se inclina mais para a parte fixa.</w:t>
      </w:r>
    </w:p>
    <w:p>
      <w:pPr>
        <w:pStyle w:val="BodyText"/>
      </w:pPr>
      <w:r>
        <w:t xml:space="preserve">Se o principal fosse neutro ao risco e o agente também, não haveria trade-off: bastaria vender a</w:t>
      </w:r>
      <w:r>
        <w:t xml:space="preserve"> </w:t>
      </w:r>
      <w:r>
        <w:t xml:space="preserve">“franquia”</w:t>
      </w:r>
      <w:r>
        <w:t xml:space="preserve"> </w:t>
      </w:r>
      <w:r>
        <w:t xml:space="preserve">da operação ao agente por um valor fixo, e ele tomaria as decisões eficientes. O problema surge exclusivamente porque o agente é avesso ao risco, e impor-lhe risco tem custo. Esse insight — de que o custo de agência decorre fundamentalmente da interação entre não-observabilidade e aversão ao risco — é um dos resultados mais importantes da teoria dos contratos.</w:t>
      </w:r>
    </w:p>
    <w:p>
      <w:pPr>
        <w:pStyle w:val="BlockText"/>
      </w:pPr>
      <w:r>
        <w:rPr>
          <w:b/>
          <w:bCs/>
        </w:rPr>
        <w:t xml:space="preserve">[TEOREMA] Princípio da Informatividade (Holmström, 1979)</w:t>
      </w:r>
    </w:p>
    <w:p>
      <w:pPr>
        <w:pStyle w:val="BlockText"/>
      </w:pPr>
      <w:r>
        <w:t xml:space="preserve">O contrato ótimo deve vincular o pagamento do agente a</w:t>
      </w:r>
      <w:r>
        <w:t xml:space="preserve"> </w:t>
      </w:r>
      <w:r>
        <w:rPr>
          <w:b/>
          <w:bCs/>
        </w:rPr>
        <w:t xml:space="preserve">qualquer variável</w:t>
      </w:r>
      <w:r>
        <w:t xml:space="preserve"> </w:t>
      </w:r>
      <w:r>
        <w:t xml:space="preserve">que contenha informação sobre o esforço do agente, e somente a essas variáveis. Formalmente, uma variável</w:t>
      </w:r>
      <w:r>
        <w:t xml:space="preserve"> </w:t>
      </w:r>
      <m:oMath>
        <m:r>
          <m:t>y</m:t>
        </m:r>
      </m:oMath>
      <w:r>
        <w:t xml:space="preserve"> </w:t>
      </w:r>
      <w:r>
        <w:t xml:space="preserve">deve ser incluída no contrato se e somente se a distribuição condicional de</w:t>
      </w:r>
      <w:r>
        <w:t xml:space="preserve"> </w:t>
      </w:r>
      <m:oMath>
        <m:r>
          <m:t>x</m:t>
        </m:r>
      </m:oMath>
      <w:r>
        <w:t xml:space="preserve"> </w:t>
      </w:r>
      <w:r>
        <w:t xml:space="preserve">dado</w:t>
      </w:r>
      <w:r>
        <w:t xml:space="preserve"> </w:t>
      </w:r>
      <m:oMath>
        <m:r>
          <m:t>e</m:t>
        </m:r>
      </m:oMath>
      <w:r>
        <w:t xml:space="preserve"> </w:t>
      </w:r>
      <w:r>
        <w:t xml:space="preserve">muda com</w:t>
      </w:r>
      <w:r>
        <w:t xml:space="preserve"> </w:t>
      </w:r>
      <m:oMath>
        <m:r>
          <m:t>y</m:t>
        </m:r>
      </m:oMath>
      <w:r>
        <w:t xml:space="preserve">, ou seja, se</w:t>
      </w:r>
      <w:r>
        <w:t xml:space="preserve"> </w:t>
      </w:r>
      <m:oMath>
        <m:r>
          <m:t>y</m:t>
        </m:r>
      </m:oMath>
      <w:r>
        <w:t xml:space="preserve"> </w:t>
      </w:r>
      <w:r>
        <w:t xml:space="preserve">é</w:t>
      </w:r>
      <w:r>
        <w:t xml:space="preserve"> </w:t>
      </w:r>
      <w:r>
        <w:rPr>
          <w:b/>
          <w:bCs/>
        </w:rPr>
        <w:t xml:space="preserve">informativa</w:t>
      </w:r>
      <w:r>
        <w:t xml:space="preserve"> </w:t>
      </w:r>
      <w:r>
        <w:t xml:space="preserve">sobre</w:t>
      </w:r>
      <w:r>
        <w:t xml:space="preserve"> </w:t>
      </w:r>
      <m:oMath>
        <m:r>
          <m:t>e</m:t>
        </m:r>
      </m:oMath>
      <w:r>
        <w:t xml:space="preserve">.</w:t>
      </w:r>
    </w:p>
    <w:p>
      <w:pPr>
        <w:pStyle w:val="FirstParagraph"/>
      </w:pPr>
      <w:r>
        <w:t xml:space="preserve">O Princípio da Informatividade tem implicações práticas surpreendentes e de amplo alcance. Primeiro, o desempenho relativo do gerente em relação a firmas similares é informativo sobre o esforço (pois filtra choques comuns ao setor), o que justifica contratos de compensação com cláusulas de</w:t>
      </w:r>
      <w:r>
        <w:t xml:space="preserve"> </w:t>
      </w:r>
      <w:r>
        <w:rPr>
          <w:i/>
          <w:iCs/>
        </w:rPr>
        <w:t xml:space="preserve">benchmarking</w:t>
      </w:r>
      <w:r>
        <w:t xml:space="preserve"> </w:t>
      </w:r>
      <w:r>
        <w:t xml:space="preserve">— prática comum na remuneração de CEOs de empresas listadas. Se o setor inteiro vai mal mas a firma do gerente vai</w:t>
      </w:r>
      <w:r>
        <w:t xml:space="preserve"> </w:t>
      </w:r>
      <w:r>
        <w:t xml:space="preserve">“menos mal”</w:t>
      </w:r>
      <w:r>
        <w:t xml:space="preserve">, isso sugere esforço acima da média, e o contrato ótimo deve recompensá-lo por isso.</w:t>
      </w:r>
    </w:p>
    <w:p>
      <w:pPr>
        <w:pStyle w:val="BodyText"/>
      </w:pPr>
      <w:r>
        <w:t xml:space="preserve">Segundo, variáveis que</w:t>
      </w:r>
      <w:r>
        <w:t xml:space="preserve"> </w:t>
      </w:r>
      <w:r>
        <w:rPr>
          <w:i/>
          <w:iCs/>
        </w:rPr>
        <w:t xml:space="preserve">não</w:t>
      </w:r>
      <w:r>
        <w:t xml:space="preserve"> </w:t>
      </w:r>
      <w:r>
        <w:t xml:space="preserve">contêm informação sobre o esforço devem ser</w:t>
      </w:r>
      <w:r>
        <w:t xml:space="preserve"> </w:t>
      </w:r>
      <w:r>
        <w:rPr>
          <w:i/>
          <w:iCs/>
        </w:rPr>
        <w:t xml:space="preserve">excluídas</w:t>
      </w:r>
      <w:r>
        <w:t xml:space="preserve"> </w:t>
      </w:r>
      <w:r>
        <w:t xml:space="preserve">do contrato, mesmo que estejam disponíveis — incluí-las apenas adicionaria ruído e risco desnecessário ao agente. Terceiro, o princípio explica por que esquemas de remuneração multidimensionais (que condicionam o pagamento a múltiplos indicadores de desempenho) podem ser superiores a esquemas unidimensionais: cada indicador adicional informativo sobre o esforço permite reduzir o risco imposto ao agente, diminuindo o custo de agência. Bengt Holmström recebeu o Prêmio Nobel de Economia em 2016 (junto com Oliver Hart) em grande parte por essa contribuição.</w:t>
      </w:r>
    </w:p>
    <w:p>
      <w:pPr>
        <w:pStyle w:val="BlockText"/>
      </w:pPr>
      <w:r>
        <w:rPr>
          <w:b/>
          <w:bCs/>
        </w:rPr>
        <w:t xml:space="preserve">[INFORMACAO] 🏅 Prêmio Nobel — Oliver Hart e Bengt Holmström (2016)</w:t>
      </w:r>
    </w:p>
    <w:p>
      <w:pPr>
        <w:pStyle w:val="BlockText"/>
      </w:pPr>
      <w:r>
        <w:rPr>
          <w:b/>
          <w:bCs/>
        </w:rPr>
        <w:t xml:space="preserve">Oliver Hart</w:t>
      </w:r>
      <w:r>
        <w:t xml:space="preserve"> </w:t>
      </w:r>
      <w:r>
        <w:t xml:space="preserve">(1948–presente) é um economista britânico-americano, professor em Harvard.</w:t>
      </w:r>
      <w:r>
        <w:t xml:space="preserve"> </w:t>
      </w:r>
      <w:r>
        <w:rPr>
          <w:b/>
          <w:bCs/>
        </w:rPr>
        <w:t xml:space="preserve">Bengt Holmström</w:t>
      </w:r>
      <w:r>
        <w:t xml:space="preserve"> </w:t>
      </w:r>
      <w:r>
        <w:t xml:space="preserve">(1949–2024) foi um economista finlandês, professor no MIT.</w:t>
      </w:r>
    </w:p>
    <w:p>
      <w:pPr>
        <w:pStyle w:val="BlockText"/>
      </w:pPr>
      <w:r>
        <w:rPr>
          <w:b/>
          <w:bCs/>
        </w:rPr>
        <w:t xml:space="preserve">Por que ganharam o Nobel:</w:t>
      </w:r>
      <w:r>
        <w:t xml:space="preserve"> </w:t>
      </w:r>
      <w:r>
        <w:t xml:space="preserve">Premiados por suas contribuições à</w:t>
      </w:r>
      <w:r>
        <w:t xml:space="preserve"> </w:t>
      </w:r>
      <w:r>
        <w:rPr>
          <w:b/>
          <w:bCs/>
        </w:rPr>
        <w:t xml:space="preserve">teoria dos contratos</w:t>
      </w:r>
      <w:r>
        <w:t xml:space="preserve">. Holmström formalizou o princípio da informatividade (1979): o contrato ótimo deve vincular o pagamento a</w:t>
      </w:r>
      <w:r>
        <w:t xml:space="preserve"> </w:t>
      </w:r>
      <w:r>
        <w:rPr>
          <w:i/>
          <w:iCs/>
        </w:rPr>
        <w:t xml:space="preserve">qualquer</w:t>
      </w:r>
      <w:r>
        <w:t xml:space="preserve"> </w:t>
      </w:r>
      <w:r>
        <w:t xml:space="preserve">variável que contenha informação sobre o esforço do agente. Desenvolveu também a análise de incentivos multitarefa — quando o agente tem múltiplas atividades, medir e recompensar apenas algumas pode distorcer o esforço para longe das atividades não mensuradas. Hart, por sua vez, desenvolveu a teoria dos</w:t>
      </w:r>
      <w:r>
        <w:t xml:space="preserve"> </w:t>
      </w:r>
      <w:r>
        <w:rPr>
          <w:b/>
          <w:bCs/>
        </w:rPr>
        <w:t xml:space="preserve">contratos incompletos</w:t>
      </w:r>
      <w:r>
        <w:t xml:space="preserve">: como é impossível prever todas as contingências futuras, os contratos reais são inevitavelmente incompletos, e a</w:t>
      </w:r>
      <w:r>
        <w:t xml:space="preserve"> </w:t>
      </w:r>
      <w:r>
        <w:rPr>
          <w:b/>
          <w:bCs/>
        </w:rPr>
        <w:t xml:space="preserve">alocação de direitos de propriedade</w:t>
      </w:r>
      <w:r>
        <w:t xml:space="preserve"> </w:t>
      </w:r>
      <w:r>
        <w:t xml:space="preserve">determina quem tem poder de decisão nas situações não cobertas pelo contrato — com consequências profundas para a integração vertical, a privatização e os limites da firma.</w:t>
      </w:r>
    </w:p>
    <w:p>
      <w:pPr>
        <w:pStyle w:val="BlockText"/>
      </w:pPr>
      <w:r>
        <w:rPr>
          <w:b/>
          <w:bCs/>
        </w:rPr>
        <w:t xml:space="preserve">Conexão com este capítulo:</w:t>
      </w:r>
      <w:r>
        <w:t xml:space="preserve"> </w:t>
      </w:r>
      <w:r>
        <w:t xml:space="preserve">O princípio da informatividade de Holmström fundamenta toda a Seção 19.3 sobre risco moral. A teoria dos contratos incompletos de Hart complementa a análise ao explicar por que, na prática, os contratos observados são mais simples do que o modelo ótimo prevê — e por que a propriedade dos ativos importa quando a renegociação é inevitável. A integração vertical (por que a firma faz internamente em vez de contratar no mercado?) é uma aplicação direta da teoria de Hart, conectando este capítulo ao Capítulo 12 (natureza da firma, Coase-Williamson).</w:t>
      </w:r>
    </w:p>
    <w:bookmarkEnd w:id="1191"/>
    <w:bookmarkStart w:id="1192" w:name="risco-moral-em-seguros"/>
    <w:p>
      <w:pPr>
        <w:pStyle w:val="Heading4"/>
      </w:pPr>
      <w:r>
        <w:t xml:space="preserve">19.3.2 Risco moral em seguros</w:t>
      </w:r>
    </w:p>
    <w:p>
      <w:pPr>
        <w:pStyle w:val="FirstParagraph"/>
      </w:pPr>
      <w:r>
        <w:t xml:space="preserve">O caso clássico de risco moral — e historicamente o primeiro a ser identificado — ocorre no mercado de seguros. A própria expressão</w:t>
      </w:r>
      <w:r>
        <w:t xml:space="preserve"> </w:t>
      </w:r>
      <w:r>
        <w:rPr>
          <w:i/>
          <w:iCs/>
        </w:rPr>
        <w:t xml:space="preserve">moral hazard</w:t>
      </w:r>
      <w:r>
        <w:t xml:space="preserve"> </w:t>
      </w:r>
      <w:r>
        <w:t xml:space="preserve">surgiu no setor segurador inglês do século XIX, quando se observou que prédios segurados contra incêndio tinham maior probabilidade de pegar fogo — não por coincidência, mas porque os proprietários reduziam investimentos em prevenção. Após contratar um seguro contra roubo, o segurado pode reduzir os cuidados com a prevenção (não trancar o carro, não instalar alarme), aumentando a probabilidade de sinistro. O mecanismo é geral: qualquer contrato que proteja uma parte das consequências de suas ações tende a alterar essas ações na direção de maior risco.</w:t>
      </w:r>
    </w:p>
    <w:p>
      <w:pPr>
        <w:pStyle w:val="BodyText"/>
      </w:pPr>
      <w:r>
        <w:t xml:space="preserve">Seja</w:t>
      </w:r>
      <w:r>
        <w:t xml:space="preserve"> </w:t>
      </w:r>
      <m:oMath>
        <m:r>
          <m:t>p</m:t>
        </m:r>
        <m:r>
          <m:rPr>
            <m:sty m:val="p"/>
          </m:rPr>
          <m:t>(</m:t>
        </m:r>
        <m:r>
          <m:t>e</m:t>
        </m:r>
        <m:r>
          <m:rPr>
            <m:sty m:val="p"/>
          </m:rPr>
          <m:t>)</m:t>
        </m:r>
      </m:oMath>
      <w:r>
        <w:t xml:space="preserve"> </w:t>
      </w:r>
      <w:r>
        <w:t xml:space="preserve">a probabilidade de sinistro, com</w:t>
      </w:r>
      <w:r>
        <w:t xml:space="preserve"> </w:t>
      </w:r>
      <m:oMath>
        <m:sSup>
          <m:e>
            <m:r>
              <m:t>p</m:t>
            </m:r>
          </m:e>
          <m:sup>
            <m:r>
              <m:rPr>
                <m:sty m:val="p"/>
              </m:rPr>
              <m:t>′</m:t>
            </m:r>
          </m:sup>
        </m:sSup>
        <m:r>
          <m:rPr>
            <m:sty m:val="p"/>
          </m:rPr>
          <m:t>(</m:t>
        </m:r>
        <m:r>
          <m:t>e</m:t>
        </m:r>
        <m:r>
          <m:rPr>
            <m:sty m:val="p"/>
          </m:rPr>
          <m:t>)</m:t>
        </m:r>
        <m:r>
          <m:rPr>
            <m:sty m:val="p"/>
          </m:rPr>
          <m:t>&lt;</m:t>
        </m:r>
        <m:r>
          <m:t>0</m:t>
        </m:r>
      </m:oMath>
      <w:r>
        <w:t xml:space="preserve"> </w:t>
      </w:r>
      <w:r>
        <w:t xml:space="preserve">(mais esforço de prevenção reduz a probabilidade). O segurado escolhe</w:t>
      </w:r>
      <w:r>
        <w:t xml:space="preserve"> </w:t>
      </w:r>
      <m:oMath>
        <m:r>
          <m:t>e</m:t>
        </m:r>
      </m:oMath>
      <w:r>
        <w:t xml:space="preserve"> </w:t>
      </w:r>
      <w:r>
        <w:t xml:space="preserve">para maximizar:</w:t>
      </w:r>
    </w:p>
    <w:p>
      <w:pPr>
        <w:pStyle w:val="BodyText"/>
      </w:pPr>
      <m:oMathPara>
        <m:oMathParaPr>
          <m:jc m:val="center"/>
        </m:oMathParaPr>
        <m:oMath>
          <m:limLow>
            <m:e>
              <m:r>
                <m:rPr>
                  <m:sty m:val="p"/>
                </m:rPr>
                <m:t>max</m:t>
              </m:r>
            </m:e>
            <m:lim>
              <m:r>
                <m:t>e</m:t>
              </m:r>
            </m:lim>
          </m:limLow>
          <m:r>
            <m:t> </m:t>
          </m:r>
          <m:r>
            <m:rPr>
              <m:sty m:val="p"/>
            </m:rPr>
            <m:t>[</m:t>
          </m:r>
          <m:r>
            <m:t>1</m:t>
          </m:r>
          <m:r>
            <m:rPr>
              <m:sty m:val="p"/>
            </m:rPr>
            <m:t>−</m:t>
          </m:r>
          <m:r>
            <m:t>p</m:t>
          </m:r>
          <m:r>
            <m:rPr>
              <m:sty m:val="p"/>
            </m:rPr>
            <m:t>(</m:t>
          </m:r>
          <m:r>
            <m:t>e</m:t>
          </m:r>
          <m:r>
            <m:rPr>
              <m:sty m:val="p"/>
            </m:rPr>
            <m:t>)</m:t>
          </m:r>
          <m:r>
            <m:rPr>
              <m:sty m:val="p"/>
            </m:rPr>
            <m:t>]</m:t>
          </m:r>
          <m:r>
            <m:rPr>
              <m:sty m:val="p"/>
            </m:rPr>
            <m:t>⋅</m:t>
          </m:r>
          <m:r>
            <m:t>U</m:t>
          </m:r>
          <m:r>
            <m:rPr>
              <m:sty m:val="p"/>
            </m:rPr>
            <m:t>(</m:t>
          </m:r>
          <m:sSub>
            <m:e>
              <m:r>
                <m:t>W</m:t>
              </m:r>
            </m:e>
            <m:sub>
              <m:r>
                <m:t>0</m:t>
              </m:r>
            </m:sub>
          </m:sSub>
          <m:r>
            <m:rPr>
              <m:sty m:val="p"/>
            </m:rPr>
            <m:t>−</m:t>
          </m:r>
          <m:r>
            <m:t>q</m:t>
          </m:r>
          <m:r>
            <m:rPr>
              <m:sty m:val="p"/>
            </m:rPr>
            <m:t>)</m:t>
          </m:r>
          <m:r>
            <m:rPr>
              <m:sty m:val="p"/>
            </m:rPr>
            <m:t>+</m:t>
          </m:r>
          <m:r>
            <m:t>p</m:t>
          </m:r>
          <m:r>
            <m:rPr>
              <m:sty m:val="p"/>
            </m:rPr>
            <m:t>(</m:t>
          </m:r>
          <m:r>
            <m:t>e</m:t>
          </m:r>
          <m:r>
            <m:rPr>
              <m:sty m:val="p"/>
            </m:rPr>
            <m:t>)</m:t>
          </m:r>
          <m:r>
            <m:rPr>
              <m:sty m:val="p"/>
            </m:rPr>
            <m:t>⋅</m:t>
          </m:r>
          <m:r>
            <m:t>U</m:t>
          </m:r>
          <m:r>
            <m:rPr>
              <m:sty m:val="p"/>
            </m:rPr>
            <m:t>(</m:t>
          </m:r>
          <m:sSub>
            <m:e>
              <m:r>
                <m:t>W</m:t>
              </m:r>
            </m:e>
            <m:sub>
              <m:r>
                <m:t>0</m:t>
              </m:r>
            </m:sub>
          </m:sSub>
          <m:r>
            <m:rPr>
              <m:sty m:val="p"/>
            </m:rPr>
            <m:t>−</m:t>
          </m:r>
          <m:r>
            <m:t>q</m:t>
          </m:r>
          <m:r>
            <m:rPr>
              <m:sty m:val="p"/>
            </m:rPr>
            <m:t>−</m:t>
          </m:r>
          <m:r>
            <m:t>L</m:t>
          </m:r>
          <m:r>
            <m:rPr>
              <m:sty m:val="p"/>
            </m:rPr>
            <m:t>+</m:t>
          </m:r>
          <m:r>
            <m:t>I</m:t>
          </m:r>
          <m:r>
            <m:rPr>
              <m:sty m:val="p"/>
            </m:rPr>
            <m:t>)</m:t>
          </m:r>
          <m:r>
            <m:rPr>
              <m:sty m:val="p"/>
            </m:rPr>
            <m:t>−</m:t>
          </m:r>
          <m:r>
            <m:t>c</m:t>
          </m:r>
          <m:r>
            <m:rPr>
              <m:sty m:val="p"/>
            </m:rPr>
            <m:t>(</m:t>
          </m:r>
          <m:r>
            <m:t>e</m:t>
          </m:r>
          <m:r>
            <m:rPr>
              <m:sty m:val="p"/>
            </m:rPr>
            <m:t>)</m:t>
          </m:r>
        </m:oMath>
      </m:oMathPara>
    </w:p>
    <w:p>
      <w:pPr>
        <w:pStyle w:val="FirstParagraph"/>
      </w:pPr>
      <w:r>
        <w:t xml:space="preserve">onde</w:t>
      </w:r>
      <w:r>
        <w:t xml:space="preserve"> </w:t>
      </w:r>
      <m:oMath>
        <m:sSub>
          <m:e>
            <m:r>
              <m:t>W</m:t>
            </m:r>
          </m:e>
          <m:sub>
            <m:r>
              <m:t>0</m:t>
            </m:r>
          </m:sub>
        </m:sSub>
      </m:oMath>
      <w:r>
        <w:t xml:space="preserve"> </w:t>
      </w:r>
      <w:r>
        <w:t xml:space="preserve">é a riqueza inicial,</w:t>
      </w:r>
      <w:r>
        <w:t xml:space="preserve"> </w:t>
      </w:r>
      <m:oMath>
        <m:r>
          <m:t>q</m:t>
        </m:r>
      </m:oMath>
      <w:r>
        <w:t xml:space="preserve"> </w:t>
      </w:r>
      <w:r>
        <w:t xml:space="preserve">é o prêmio do seguro,</w:t>
      </w:r>
      <w:r>
        <w:t xml:space="preserve"> </w:t>
      </w:r>
      <m:oMath>
        <m:r>
          <m:t>L</m:t>
        </m:r>
      </m:oMath>
      <w:r>
        <w:t xml:space="preserve"> </w:t>
      </w:r>
      <w:r>
        <w:t xml:space="preserve">é a perda potencial,</w:t>
      </w:r>
      <w:r>
        <w:t xml:space="preserve"> </w:t>
      </w:r>
      <m:oMath>
        <m:r>
          <m:t>I</m:t>
        </m:r>
      </m:oMath>
      <w:r>
        <w:t xml:space="preserve"> </w:t>
      </w:r>
      <w:r>
        <w:t xml:space="preserve">é a indenização e</w:t>
      </w:r>
      <w:r>
        <w:t xml:space="preserve"> </w:t>
      </w:r>
      <m:oMath>
        <m:r>
          <m:t>c</m:t>
        </m:r>
        <m:r>
          <m:rPr>
            <m:sty m:val="p"/>
          </m:rPr>
          <m:t>(</m:t>
        </m:r>
        <m:r>
          <m:t>e</m:t>
        </m:r>
        <m:r>
          <m:rPr>
            <m:sty m:val="p"/>
          </m:rPr>
          <m:t>)</m:t>
        </m:r>
      </m:oMath>
      <w:r>
        <w:t xml:space="preserve"> </w:t>
      </w:r>
      <w:r>
        <w:t xml:space="preserve">é o custo do esforço de prevenção.</w:t>
      </w:r>
    </w:p>
    <w:p>
      <w:pPr>
        <w:pStyle w:val="BodyText"/>
      </w:pPr>
      <w:r>
        <w:t xml:space="preserve">Com seguro completo (</w:t>
      </w:r>
      <m:oMath>
        <m:r>
          <m:t>I</m:t>
        </m:r>
        <m:r>
          <m:rPr>
            <m:sty m:val="p"/>
          </m:rPr>
          <m:t>=</m:t>
        </m:r>
        <m:r>
          <m:t>L</m:t>
        </m:r>
      </m:oMath>
      <w:r>
        <w:t xml:space="preserve">), o segurado recebe</w:t>
      </w:r>
      <w:r>
        <w:t xml:space="preserve"> </w:t>
      </w:r>
      <m:oMath>
        <m:sSub>
          <m:e>
            <m:r>
              <m:t>W</m:t>
            </m:r>
          </m:e>
          <m:sub>
            <m:r>
              <m:t>0</m:t>
            </m:r>
          </m:sub>
        </m:sSub>
        <m:r>
          <m:rPr>
            <m:sty m:val="p"/>
          </m:rPr>
          <m:t>−</m:t>
        </m:r>
        <m:r>
          <m:t>q</m:t>
        </m:r>
      </m:oMath>
      <w:r>
        <w:t xml:space="preserve"> </w:t>
      </w:r>
      <w:r>
        <w:t xml:space="preserve">em qualquer estado, eliminando todo incentivo para esforço preventivo. Por isso, seguros com</w:t>
      </w:r>
      <w:r>
        <w:t xml:space="preserve"> </w:t>
      </w:r>
      <w:r>
        <w:rPr>
          <w:b/>
          <w:bCs/>
        </w:rPr>
        <w:t xml:space="preserve">franquias</w:t>
      </w:r>
      <w:r>
        <w:t xml:space="preserve"> </w:t>
      </w:r>
      <w:r>
        <w:t xml:space="preserve">e</w:t>
      </w:r>
      <w:r>
        <w:t xml:space="preserve"> </w:t>
      </w:r>
      <w:r>
        <w:rPr>
          <w:b/>
          <w:bCs/>
        </w:rPr>
        <w:t xml:space="preserve">coparticipação</w:t>
      </w:r>
      <w:r>
        <w:t xml:space="preserve"> </w:t>
      </w:r>
      <w:r>
        <w:t xml:space="preserve">são mecanismos para mitigar o risco moral, fazendo com que o segurado assuma parte do risco e mantenha incentivos para prevenção. A franquia é talvez o instrumento mais simples e difundido de combate ao risco moral em seguros.</w:t>
      </w:r>
    </w:p>
    <w:p>
      <w:pPr>
        <w:pStyle w:val="BodyText"/>
      </w:pPr>
      <w:r>
        <w:t xml:space="preserve">No gráfico interativo abaixo, explore o trade-off entre incentivos e seguro no modelo principal-agente. Observe como o contrato ótimo equilibra os pagamentos nos estados bom e ruim para induzir esforço, e como o custo de agência cresce quando a incerteza aumenta.</w:t>
      </w:r>
    </w:p>
    <w:p>
      <w:pPr>
        <w:pStyle w:val="BodyText"/>
      </w:pPr>
      <w:r>
        <w:t xml:space="preserve">[FIGURA INTERATIVA: /micro-book/graficos/cap19/principal-agente.html — versao interativa disponivel online]</w:t>
      </w:r>
    </w:p>
    <w:p>
      <w:pPr>
        <w:pStyle w:val="BodyText"/>
      </w:pPr>
      <w:r>
        <w:rPr>
          <w:b/>
          <w:bCs/>
        </w:rPr>
        <w:t xml:space="preserve">Figura 19.1 — Modelo principal-agente com risco moral.</w:t>
      </w:r>
      <w:r>
        <w:t xml:space="preserve"> </w:t>
      </w:r>
      <w:r>
        <w:t xml:space="preserve">O gráfico mostra a restrição de participação (RP) e a restrição de compatibilidade de incentivos (RCI) no espaço de salários. O ponto verde indica o contrato ótimo que induz esforço alto.</w:t>
      </w:r>
    </w:p>
    <w:bookmarkEnd w:id="1192"/>
    <w:bookmarkStart w:id="1193" w:name="X43b17e8dc26862b769887f7ec6744f2ff30f766"/>
    <w:p>
      <w:pPr>
        <w:pStyle w:val="Heading4"/>
      </w:pPr>
      <w:r>
        <w:t xml:space="preserve">19.3.3 O problema do esforço não observável: modelo formal</w:t>
      </w:r>
    </w:p>
    <w:p>
      <w:pPr>
        <w:pStyle w:val="FirstParagraph"/>
      </w:pPr>
      <w:r>
        <w:t xml:space="preserve">Considere dois níveis de esforço: alto (</w:t>
      </w:r>
      <m:oMath>
        <m:sSub>
          <m:e>
            <m:r>
              <m:t>e</m:t>
            </m:r>
          </m:e>
          <m:sub>
            <m:r>
              <m:t>H</m:t>
            </m:r>
          </m:sub>
        </m:sSub>
      </m:oMath>
      <w:r>
        <w:t xml:space="preserve">) e baixo (</w:t>
      </w:r>
      <m:oMath>
        <m:sSub>
          <m:e>
            <m:r>
              <m:t>e</m:t>
            </m:r>
          </m:e>
          <m:sub>
            <m:r>
              <m:t>L</m:t>
            </m:r>
          </m:sub>
        </m:sSub>
      </m:oMath>
      <w:r>
        <w:t xml:space="preserve">), com</w:t>
      </w:r>
      <w:r>
        <w:t xml:space="preserve"> </w:t>
      </w:r>
      <m:oMath>
        <m:r>
          <m:t>c</m:t>
        </m:r>
        <m:r>
          <m:rPr>
            <m:sty m:val="p"/>
          </m:rPr>
          <m:t>(</m:t>
        </m:r>
        <m:sSub>
          <m:e>
            <m:r>
              <m:t>e</m:t>
            </m:r>
          </m:e>
          <m:sub>
            <m:r>
              <m:t>H</m:t>
            </m:r>
          </m:sub>
        </m:sSub>
        <m:r>
          <m:rPr>
            <m:sty m:val="p"/>
          </m:rPr>
          <m:t>)</m:t>
        </m:r>
        <m:r>
          <m:rPr>
            <m:sty m:val="p"/>
          </m:rPr>
          <m:t>&gt;</m:t>
        </m:r>
        <m:r>
          <m:t>c</m:t>
        </m:r>
        <m:r>
          <m:rPr>
            <m:sty m:val="p"/>
          </m:rPr>
          <m:t>(</m:t>
        </m:r>
        <m:sSub>
          <m:e>
            <m:r>
              <m:t>e</m:t>
            </m:r>
          </m:e>
          <m:sub>
            <m:r>
              <m:t>L</m:t>
            </m:r>
          </m:sub>
        </m:sSub>
        <m:r>
          <m:rPr>
            <m:sty m:val="p"/>
          </m:rPr>
          <m:t>)</m:t>
        </m:r>
      </m:oMath>
      <w:r>
        <w:t xml:space="preserve">. O resultado pode ser bom (</w:t>
      </w:r>
      <m:oMath>
        <m:sSub>
          <m:e>
            <m:r>
              <m:t>x</m:t>
            </m:r>
          </m:e>
          <m:sub>
            <m:r>
              <m:t>H</m:t>
            </m:r>
          </m:sub>
        </m:sSub>
      </m:oMath>
      <w:r>
        <w:t xml:space="preserve">) ou ruim (</w:t>
      </w:r>
      <m:oMath>
        <m:sSub>
          <m:e>
            <m:r>
              <m:t>x</m:t>
            </m:r>
          </m:e>
          <m:sub>
            <m:r>
              <m:t>L</m:t>
            </m:r>
          </m:sub>
        </m:sSub>
      </m:oMath>
      <w:r>
        <w:t xml:space="preserve">). Sob esforço alto, a probabilidade de</w:t>
      </w:r>
      <w:r>
        <w:t xml:space="preserve"> </w:t>
      </w:r>
      <m:oMath>
        <m:sSub>
          <m:e>
            <m:r>
              <m:t>x</m:t>
            </m:r>
          </m:e>
          <m:sub>
            <m:r>
              <m:t>H</m:t>
            </m:r>
          </m:sub>
        </m:sSub>
      </m:oMath>
      <w:r>
        <w:t xml:space="preserve"> </w:t>
      </w:r>
      <w:r>
        <w:t xml:space="preserve">é</w:t>
      </w:r>
      <w:r>
        <w:t xml:space="preserve"> </w:t>
      </w:r>
      <m:oMath>
        <m:sSub>
          <m:e>
            <m:r>
              <m:t>p</m:t>
            </m:r>
          </m:e>
          <m:sub>
            <m:r>
              <m:t>H</m:t>
            </m:r>
          </m:sub>
        </m:sSub>
      </m:oMath>
      <w:r>
        <w:t xml:space="preserve">; sob esforço baixo, é</w:t>
      </w:r>
      <w:r>
        <w:t xml:space="preserve"> </w:t>
      </w:r>
      <m:oMath>
        <m:sSub>
          <m:e>
            <m:r>
              <m:t>p</m:t>
            </m:r>
          </m:e>
          <m:sub>
            <m:r>
              <m:t>L</m:t>
            </m:r>
          </m:sub>
        </m:sSub>
      </m:oMath>
      <w:r>
        <w:t xml:space="preserve">, com</w:t>
      </w:r>
      <w:r>
        <w:t xml:space="preserve"> </w:t>
      </w:r>
      <m:oMath>
        <m:sSub>
          <m:e>
            <m:r>
              <m:t>p</m:t>
            </m:r>
          </m:e>
          <m:sub>
            <m:r>
              <m:t>H</m:t>
            </m:r>
          </m:sub>
        </m:sSub>
        <m:r>
          <m:rPr>
            <m:sty m:val="p"/>
          </m:rPr>
          <m:t>&gt;</m:t>
        </m:r>
        <m:sSub>
          <m:e>
            <m:r>
              <m:t>p</m:t>
            </m:r>
          </m:e>
          <m:sub>
            <m:r>
              <m:t>L</m:t>
            </m:r>
          </m:sub>
        </m:sSub>
      </m:oMath>
      <w:r>
        <w:t xml:space="preserve">.</w:t>
      </w:r>
    </w:p>
    <w:p>
      <w:pPr>
        <w:pStyle w:val="BodyText"/>
      </w:pPr>
      <w:r>
        <w:t xml:space="preserve">O principal deseja induzir esforço alto. O contrato especifica pagamentos</w:t>
      </w:r>
      <w:r>
        <w:t xml:space="preserve"> </w:t>
      </w:r>
      <m:oMath>
        <m:sSub>
          <m:e>
            <m:r>
              <m:t>w</m:t>
            </m:r>
          </m:e>
          <m:sub>
            <m:r>
              <m:t>H</m:t>
            </m:r>
          </m:sub>
        </m:sSub>
      </m:oMath>
      <w:r>
        <w:t xml:space="preserve"> </w:t>
      </w:r>
      <w:r>
        <w:t xml:space="preserve">(se</w:t>
      </w:r>
      <w:r>
        <w:t xml:space="preserve"> </w:t>
      </w:r>
      <m:oMath>
        <m:r>
          <m:t>x</m:t>
        </m:r>
        <m:r>
          <m:rPr>
            <m:sty m:val="p"/>
          </m:rPr>
          <m:t>=</m:t>
        </m:r>
        <m:sSub>
          <m:e>
            <m:r>
              <m:t>x</m:t>
            </m:r>
          </m:e>
          <m:sub>
            <m:r>
              <m:t>H</m:t>
            </m:r>
          </m:sub>
        </m:sSub>
      </m:oMath>
      <w:r>
        <w:t xml:space="preserve">) e</w:t>
      </w:r>
      <w:r>
        <w:t xml:space="preserve"> </w:t>
      </w:r>
      <m:oMath>
        <m:sSub>
          <m:e>
            <m:r>
              <m:t>w</m:t>
            </m:r>
          </m:e>
          <m:sub>
            <m:r>
              <m:t>L</m:t>
            </m:r>
          </m:sub>
        </m:sSub>
      </m:oMath>
      <w:r>
        <w:t xml:space="preserve"> </w:t>
      </w:r>
      <w:r>
        <w:t xml:space="preserve">(se</w:t>
      </w:r>
      <w:r>
        <w:t xml:space="preserve"> </w:t>
      </w:r>
      <m:oMath>
        <m:r>
          <m:t>x</m:t>
        </m:r>
        <m:r>
          <m:rPr>
            <m:sty m:val="p"/>
          </m:rPr>
          <m:t>=</m:t>
        </m:r>
        <m:sSub>
          <m:e>
            <m:r>
              <m:t>x</m:t>
            </m:r>
          </m:e>
          <m:sub>
            <m:r>
              <m:t>L</m:t>
            </m:r>
          </m:sub>
        </m:sSub>
      </m:oMath>
      <w:r>
        <w:t xml:space="preserve">). As restrições são:</w:t>
      </w:r>
    </w:p>
    <w:p>
      <w:pPr>
        <w:pStyle w:val="BodyText"/>
      </w:pPr>
      <w:r>
        <w:rPr>
          <w:b/>
          <w:bCs/>
        </w:rPr>
        <w:t xml:space="preserve">Restrição de Participação (RP):</w:t>
      </w:r>
    </w:p>
    <w:p>
      <w:pPr>
        <w:pStyle w:val="BodyText"/>
      </w:pPr>
      <m:oMathPara>
        <m:oMathParaPr>
          <m:jc m:val="center"/>
        </m:oMathParaPr>
        <m:oMath>
          <m:sSub>
            <m:e>
              <m:r>
                <m:t>p</m:t>
              </m:r>
            </m:e>
            <m:sub>
              <m:r>
                <m:t>H</m:t>
              </m:r>
            </m:sub>
          </m:sSub>
          <m:r>
            <m:t> </m:t>
          </m:r>
          <m:r>
            <m:t>U</m:t>
          </m:r>
          <m:r>
            <m:rPr>
              <m:sty m:val="p"/>
            </m:rPr>
            <m:t>(</m:t>
          </m:r>
          <m:sSub>
            <m:e>
              <m:r>
                <m:t>w</m:t>
              </m:r>
            </m:e>
            <m:sub>
              <m:r>
                <m:t>H</m:t>
              </m:r>
            </m:sub>
          </m:sSub>
          <m:r>
            <m:rPr>
              <m:sty m:val="p"/>
            </m:rPr>
            <m:t>)</m:t>
          </m:r>
          <m:r>
            <m:rPr>
              <m:sty m:val="p"/>
            </m:rPr>
            <m:t>+</m:t>
          </m:r>
          <m:r>
            <m:rPr>
              <m:sty m:val="p"/>
            </m:rPr>
            <m:t>(</m:t>
          </m:r>
          <m:r>
            <m:t>1</m:t>
          </m:r>
          <m:r>
            <m:rPr>
              <m:sty m:val="p"/>
            </m:rPr>
            <m:t>−</m:t>
          </m:r>
          <m:sSub>
            <m:e>
              <m:r>
                <m:t>p</m:t>
              </m:r>
            </m:e>
            <m:sub>
              <m:r>
                <m:t>H</m:t>
              </m:r>
            </m:sub>
          </m:sSub>
          <m:r>
            <m:rPr>
              <m:sty m:val="p"/>
            </m:rPr>
            <m:t>)</m:t>
          </m:r>
          <m:r>
            <m:t> </m:t>
          </m:r>
          <m:r>
            <m:t>U</m:t>
          </m:r>
          <m:r>
            <m:rPr>
              <m:sty m:val="p"/>
            </m:rPr>
            <m:t>(</m:t>
          </m:r>
          <m:sSub>
            <m:e>
              <m:r>
                <m:t>w</m:t>
              </m:r>
            </m:e>
            <m:sub>
              <m:r>
                <m:t>L</m:t>
              </m:r>
            </m:sub>
          </m:sSub>
          <m:r>
            <m:rPr>
              <m:sty m:val="p"/>
            </m:rPr>
            <m:t>)</m:t>
          </m:r>
          <m:r>
            <m:rPr>
              <m:sty m:val="p"/>
            </m:rPr>
            <m:t>−</m:t>
          </m:r>
          <m:r>
            <m:t>c</m:t>
          </m:r>
          <m:r>
            <m:rPr>
              <m:sty m:val="p"/>
            </m:rPr>
            <m:t>(</m:t>
          </m:r>
          <m:sSub>
            <m:e>
              <m:r>
                <m:t>e</m:t>
              </m:r>
            </m:e>
            <m:sub>
              <m:r>
                <m:t>H</m:t>
              </m:r>
            </m:sub>
          </m:sSub>
          <m:r>
            <m:rPr>
              <m:sty m:val="p"/>
            </m:rPr>
            <m:t>)</m:t>
          </m:r>
          <m:r>
            <m:rPr>
              <m:sty m:val="p"/>
            </m:rPr>
            <m:t>≥</m:t>
          </m:r>
          <m:acc>
            <m:accPr>
              <m:chr m:val="‾"/>
            </m:accPr>
            <m:e>
              <m:r>
                <m:t>U</m:t>
              </m:r>
            </m:e>
          </m:acc>
        </m:oMath>
      </m:oMathPara>
    </w:p>
    <w:p>
      <w:pPr>
        <w:pStyle w:val="FirstParagraph"/>
      </w:pPr>
      <w:r>
        <w:rPr>
          <w:b/>
          <w:bCs/>
        </w:rPr>
        <w:t xml:space="preserve">Restrição de Compatibilidade de Incentivos (RCI):</w:t>
      </w:r>
    </w:p>
    <w:p>
      <w:pPr>
        <w:pStyle w:val="BodyText"/>
      </w:pPr>
      <m:oMathPara>
        <m:oMathParaPr>
          <m:jc m:val="center"/>
        </m:oMathParaPr>
        <m:oMath>
          <m:sSub>
            <m:e>
              <m:r>
                <m:t>p</m:t>
              </m:r>
            </m:e>
            <m:sub>
              <m:r>
                <m:t>H</m:t>
              </m:r>
            </m:sub>
          </m:sSub>
          <m:r>
            <m:t> </m:t>
          </m:r>
          <m:r>
            <m:t>U</m:t>
          </m:r>
          <m:r>
            <m:rPr>
              <m:sty m:val="p"/>
            </m:rPr>
            <m:t>(</m:t>
          </m:r>
          <m:sSub>
            <m:e>
              <m:r>
                <m:t>w</m:t>
              </m:r>
            </m:e>
            <m:sub>
              <m:r>
                <m:t>H</m:t>
              </m:r>
            </m:sub>
          </m:sSub>
          <m:r>
            <m:rPr>
              <m:sty m:val="p"/>
            </m:rPr>
            <m:t>)</m:t>
          </m:r>
          <m:r>
            <m:rPr>
              <m:sty m:val="p"/>
            </m:rPr>
            <m:t>+</m:t>
          </m:r>
          <m:r>
            <m:rPr>
              <m:sty m:val="p"/>
            </m:rPr>
            <m:t>(</m:t>
          </m:r>
          <m:r>
            <m:t>1</m:t>
          </m:r>
          <m:r>
            <m:rPr>
              <m:sty m:val="p"/>
            </m:rPr>
            <m:t>−</m:t>
          </m:r>
          <m:sSub>
            <m:e>
              <m:r>
                <m:t>p</m:t>
              </m:r>
            </m:e>
            <m:sub>
              <m:r>
                <m:t>H</m:t>
              </m:r>
            </m:sub>
          </m:sSub>
          <m:r>
            <m:rPr>
              <m:sty m:val="p"/>
            </m:rPr>
            <m:t>)</m:t>
          </m:r>
          <m:r>
            <m:t> </m:t>
          </m:r>
          <m:r>
            <m:t>U</m:t>
          </m:r>
          <m:r>
            <m:rPr>
              <m:sty m:val="p"/>
            </m:rPr>
            <m:t>(</m:t>
          </m:r>
          <m:sSub>
            <m:e>
              <m:r>
                <m:t>w</m:t>
              </m:r>
            </m:e>
            <m:sub>
              <m:r>
                <m:t>L</m:t>
              </m:r>
            </m:sub>
          </m:sSub>
          <m:r>
            <m:rPr>
              <m:sty m:val="p"/>
            </m:rPr>
            <m:t>)</m:t>
          </m:r>
          <m:r>
            <m:rPr>
              <m:sty m:val="p"/>
            </m:rPr>
            <m:t>−</m:t>
          </m:r>
          <m:r>
            <m:t>c</m:t>
          </m:r>
          <m:r>
            <m:rPr>
              <m:sty m:val="p"/>
            </m:rPr>
            <m:t>(</m:t>
          </m:r>
          <m:sSub>
            <m:e>
              <m:r>
                <m:t>e</m:t>
              </m:r>
            </m:e>
            <m:sub>
              <m:r>
                <m:t>H</m:t>
              </m:r>
            </m:sub>
          </m:sSub>
          <m:r>
            <m:rPr>
              <m:sty m:val="p"/>
            </m:rPr>
            <m:t>)</m:t>
          </m:r>
          <m:r>
            <m:rPr>
              <m:sty m:val="p"/>
            </m:rPr>
            <m:t>≥</m:t>
          </m:r>
          <m:sSub>
            <m:e>
              <m:r>
                <m:t>p</m:t>
              </m:r>
            </m:e>
            <m:sub>
              <m:r>
                <m:t>L</m:t>
              </m:r>
            </m:sub>
          </m:sSub>
          <m:r>
            <m:t> </m:t>
          </m:r>
          <m:r>
            <m:t>U</m:t>
          </m:r>
          <m:r>
            <m:rPr>
              <m:sty m:val="p"/>
            </m:rPr>
            <m:t>(</m:t>
          </m:r>
          <m:sSub>
            <m:e>
              <m:r>
                <m:t>w</m:t>
              </m:r>
            </m:e>
            <m:sub>
              <m:r>
                <m:t>H</m:t>
              </m:r>
            </m:sub>
          </m:sSub>
          <m:r>
            <m:rPr>
              <m:sty m:val="p"/>
            </m:rPr>
            <m:t>)</m:t>
          </m:r>
          <m:r>
            <m:rPr>
              <m:sty m:val="p"/>
            </m:rPr>
            <m:t>+</m:t>
          </m:r>
          <m:r>
            <m:rPr>
              <m:sty m:val="p"/>
            </m:rPr>
            <m:t>(</m:t>
          </m:r>
          <m:r>
            <m:t>1</m:t>
          </m:r>
          <m:r>
            <m:rPr>
              <m:sty m:val="p"/>
            </m:rPr>
            <m:t>−</m:t>
          </m:r>
          <m:sSub>
            <m:e>
              <m:r>
                <m:t>p</m:t>
              </m:r>
            </m:e>
            <m:sub>
              <m:r>
                <m:t>L</m:t>
              </m:r>
            </m:sub>
          </m:sSub>
          <m:r>
            <m:rPr>
              <m:sty m:val="p"/>
            </m:rPr>
            <m:t>)</m:t>
          </m:r>
          <m:r>
            <m:t> </m:t>
          </m:r>
          <m:r>
            <m:t>U</m:t>
          </m:r>
          <m:r>
            <m:rPr>
              <m:sty m:val="p"/>
            </m:rPr>
            <m:t>(</m:t>
          </m:r>
          <m:sSub>
            <m:e>
              <m:r>
                <m:t>w</m:t>
              </m:r>
            </m:e>
            <m:sub>
              <m:r>
                <m:t>L</m:t>
              </m:r>
            </m:sub>
          </m:sSub>
          <m:r>
            <m:rPr>
              <m:sty m:val="p"/>
            </m:rPr>
            <m:t>)</m:t>
          </m:r>
          <m:r>
            <m:rPr>
              <m:sty m:val="p"/>
            </m:rPr>
            <m:t>−</m:t>
          </m:r>
          <m:r>
            <m:t>c</m:t>
          </m:r>
          <m:r>
            <m:rPr>
              <m:sty m:val="p"/>
            </m:rPr>
            <m:t>(</m:t>
          </m:r>
          <m:sSub>
            <m:e>
              <m:r>
                <m:t>e</m:t>
              </m:r>
            </m:e>
            <m:sub>
              <m:r>
                <m:t>L</m:t>
              </m:r>
            </m:sub>
          </m:sSub>
          <m:r>
            <m:rPr>
              <m:sty m:val="p"/>
            </m:rPr>
            <m:t>)</m:t>
          </m:r>
        </m:oMath>
      </m:oMathPara>
    </w:p>
    <w:p>
      <w:pPr>
        <w:pStyle w:val="FirstParagraph"/>
      </w:pPr>
      <w:r>
        <w:t xml:space="preserve">Simplificando a RCI:</w:t>
      </w:r>
    </w:p>
    <w:p>
      <w:pPr>
        <w:pStyle w:val="BodyText"/>
      </w:pPr>
      <m:oMathPara>
        <m:oMathParaPr>
          <m:jc m:val="center"/>
        </m:oMathParaPr>
        <m:oMath>
          <m:r>
            <m:rPr>
              <m:sty m:val="p"/>
            </m:rPr>
            <m:t>(</m:t>
          </m:r>
          <m:sSub>
            <m:e>
              <m:r>
                <m:t>p</m:t>
              </m:r>
            </m:e>
            <m:sub>
              <m:r>
                <m:t>H</m:t>
              </m:r>
            </m:sub>
          </m:sSub>
          <m:r>
            <m:rPr>
              <m:sty m:val="p"/>
            </m:rPr>
            <m:t>−</m:t>
          </m:r>
          <m:sSub>
            <m:e>
              <m:r>
                <m:t>p</m:t>
              </m:r>
            </m:e>
            <m:sub>
              <m:r>
                <m:t>L</m:t>
              </m:r>
            </m:sub>
          </m:sSub>
          <m:r>
            <m:rPr>
              <m:sty m:val="p"/>
            </m:rPr>
            <m:t>)</m:t>
          </m:r>
          <m:r>
            <m:rPr>
              <m:sty m:val="p"/>
            </m:rPr>
            <m:t>[</m:t>
          </m:r>
          <m:r>
            <m:t>U</m:t>
          </m:r>
          <m:r>
            <m:rPr>
              <m:sty m:val="p"/>
            </m:rPr>
            <m:t>(</m:t>
          </m:r>
          <m:sSub>
            <m:e>
              <m:r>
                <m:t>w</m:t>
              </m:r>
            </m:e>
            <m:sub>
              <m:r>
                <m:t>H</m:t>
              </m:r>
            </m:sub>
          </m:sSub>
          <m:r>
            <m:rPr>
              <m:sty m:val="p"/>
            </m:rPr>
            <m:t>)</m:t>
          </m:r>
          <m:r>
            <m:rPr>
              <m:sty m:val="p"/>
            </m:rPr>
            <m:t>−</m:t>
          </m:r>
          <m:r>
            <m:t>U</m:t>
          </m:r>
          <m:r>
            <m:rPr>
              <m:sty m:val="p"/>
            </m:rPr>
            <m:t>(</m:t>
          </m:r>
          <m:sSub>
            <m:e>
              <m:r>
                <m:t>w</m:t>
              </m:r>
            </m:e>
            <m:sub>
              <m:r>
                <m:t>L</m:t>
              </m:r>
            </m:sub>
          </m:sSub>
          <m:r>
            <m:rPr>
              <m:sty m:val="p"/>
            </m:rPr>
            <m:t>)</m:t>
          </m:r>
          <m:r>
            <m:rPr>
              <m:sty m:val="p"/>
            </m:rPr>
            <m:t>]</m:t>
          </m:r>
          <m:r>
            <m:rPr>
              <m:sty m:val="p"/>
            </m:rPr>
            <m:t>≥</m:t>
          </m:r>
          <m:r>
            <m:t>c</m:t>
          </m:r>
          <m:r>
            <m:rPr>
              <m:sty m:val="p"/>
            </m:rPr>
            <m:t>(</m:t>
          </m:r>
          <m:sSub>
            <m:e>
              <m:r>
                <m:t>e</m:t>
              </m:r>
            </m:e>
            <m:sub>
              <m:r>
                <m:t>H</m:t>
              </m:r>
            </m:sub>
          </m:sSub>
          <m:r>
            <m:rPr>
              <m:sty m:val="p"/>
            </m:rPr>
            <m:t>)</m:t>
          </m:r>
          <m:r>
            <m:rPr>
              <m:sty m:val="p"/>
            </m:rPr>
            <m:t>−</m:t>
          </m:r>
          <m:r>
            <m:t>c</m:t>
          </m:r>
          <m:r>
            <m:rPr>
              <m:sty m:val="p"/>
            </m:rPr>
            <m:t>(</m:t>
          </m:r>
          <m:sSub>
            <m:e>
              <m:r>
                <m:t>e</m:t>
              </m:r>
            </m:e>
            <m:sub>
              <m:r>
                <m:t>L</m:t>
              </m:r>
            </m:sub>
          </m:sSub>
          <m:r>
            <m:rPr>
              <m:sty m:val="p"/>
            </m:rPr>
            <m:t>)</m:t>
          </m:r>
        </m:oMath>
      </m:oMathPara>
    </w:p>
    <w:p>
      <w:pPr>
        <w:pStyle w:val="FirstParagraph"/>
      </w:pPr>
      <w:r>
        <w:t xml:space="preserve">A equação Eq. (eq:19.8) exige que a diferença de pagamentos entre os estados bom e ruim seja suficientemente grande para compensar o custo adicional do esforço. Como</w:t>
      </w:r>
      <w:r>
        <w:t xml:space="preserve"> </w:t>
      </w:r>
      <m:oMath>
        <m:sSub>
          <m:e>
            <m:r>
              <m:t>p</m:t>
            </m:r>
          </m:e>
          <m:sub>
            <m:r>
              <m:t>H</m:t>
            </m:r>
          </m:sub>
        </m:sSub>
        <m:r>
          <m:rPr>
            <m:sty m:val="p"/>
          </m:rPr>
          <m:t>&gt;</m:t>
        </m:r>
        <m:sSub>
          <m:e>
            <m:r>
              <m:t>p</m:t>
            </m:r>
          </m:e>
          <m:sub>
            <m:r>
              <m:t>L</m:t>
            </m:r>
          </m:sub>
        </m:sSub>
      </m:oMath>
      <w:r>
        <w:t xml:space="preserve">, precisamos de</w:t>
      </w:r>
      <w:r>
        <w:t xml:space="preserve"> </w:t>
      </w:r>
      <m:oMath>
        <m:sSub>
          <m:e>
            <m:r>
              <m:t>w</m:t>
            </m:r>
          </m:e>
          <m:sub>
            <m:r>
              <m:t>H</m:t>
            </m:r>
          </m:sub>
        </m:sSub>
        <m:r>
          <m:rPr>
            <m:sty m:val="p"/>
          </m:rPr>
          <m:t>&gt;</m:t>
        </m:r>
        <m:sSub>
          <m:e>
            <m:r>
              <m:t>w</m:t>
            </m:r>
          </m:e>
          <m:sub>
            <m:r>
              <m:t>L</m:t>
            </m:r>
          </m:sub>
        </m:sSub>
      </m:oMath>
      <w:r>
        <w:t xml:space="preserve">: o pagamento deve ser maior quando o resultado é bom. Note que quanto menor</w:t>
      </w:r>
      <w:r>
        <w:t xml:space="preserve"> </w:t>
      </w:r>
      <m:oMath>
        <m:sSub>
          <m:e>
            <m:r>
              <m:t>p</m:t>
            </m:r>
          </m:e>
          <m:sub>
            <m:r>
              <m:t>H</m:t>
            </m:r>
          </m:sub>
        </m:sSub>
        <m:r>
          <m:rPr>
            <m:sty m:val="p"/>
          </m:rPr>
          <m:t>−</m:t>
        </m:r>
        <m:sSub>
          <m:e>
            <m:r>
              <m:t>p</m:t>
            </m:r>
          </m:e>
          <m:sub>
            <m:r>
              <m:t>L</m:t>
            </m:r>
          </m:sub>
        </m:sSub>
      </m:oMath>
      <w:r>
        <w:t xml:space="preserve"> </w:t>
      </w:r>
      <w:r>
        <w:t xml:space="preserve">(isto é, quanto mais difícil é distinguir esforço de sorte), maior precisa ser a diferença</w:t>
      </w:r>
      <w:r>
        <w:t xml:space="preserve"> </w:t>
      </w:r>
      <m:oMath>
        <m:sSub>
          <m:e>
            <m:r>
              <m:t>w</m:t>
            </m:r>
          </m:e>
          <m:sub>
            <m:r>
              <m:t>H</m:t>
            </m:r>
          </m:sub>
        </m:sSub>
        <m:r>
          <m:rPr>
            <m:sty m:val="p"/>
          </m:rPr>
          <m:t>−</m:t>
        </m:r>
        <m:sSub>
          <m:e>
            <m:r>
              <m:t>w</m:t>
            </m:r>
          </m:e>
          <m:sub>
            <m:r>
              <m:t>L</m:t>
            </m:r>
          </m:sub>
        </m:sSub>
      </m:oMath>
      <w:r>
        <w:t xml:space="preserve"> </w:t>
      </w:r>
      <w:r>
        <w:t xml:space="preserve">para satisfazer a RCI — e maior será o custo de agência, pois mais risco é transferido ao agente.</w:t>
      </w:r>
    </w:p>
    <w:p>
      <w:pPr>
        <w:pStyle w:val="BlockText"/>
      </w:pPr>
      <w:r>
        <w:rPr>
          <w:b/>
          <w:bCs/>
        </w:rPr>
        <w:t xml:space="preserve">[INTUICAO ECONOMICA] Intuição Econômica</w:t>
      </w:r>
    </w:p>
    <w:p>
      <w:pPr>
        <w:pStyle w:val="BlockText"/>
      </w:pPr>
      <w:r>
        <w:rPr>
          <w:b/>
          <w:bCs/>
        </w:rPr>
        <w:t xml:space="preserve">Em uma frase:</w:t>
      </w:r>
      <w:r>
        <w:t xml:space="preserve"> </w:t>
      </w:r>
      <w:r>
        <w:t xml:space="preserve">O</w:t>
      </w:r>
      <w:r>
        <w:t xml:space="preserve"> </w:t>
      </w:r>
      <w:r>
        <w:t xml:space="preserve">“prêmio”</w:t>
      </w:r>
      <w:r>
        <w:t xml:space="preserve"> </w:t>
      </w:r>
      <w:r>
        <w:t xml:space="preserve">por bom desempenho deve ser grande o suficiente para que o agente prefira se esforçar — caso contrário, ele relaxa.</w:t>
      </w:r>
    </w:p>
    <w:p>
      <w:pPr>
        <w:pStyle w:val="BlockText"/>
      </w:pPr>
      <w:r>
        <w:rPr>
          <w:b/>
          <w:bCs/>
        </w:rPr>
        <w:t xml:space="preserve">Pense assim:</w:t>
      </w:r>
      <w:r>
        <w:t xml:space="preserve"> </w:t>
      </w:r>
      <w:r>
        <w:t xml:space="preserve">Um vendedor comissionado só se esforça se a diferença entre a comissão do mês bom e a do mês ruim compensar o cansaço extra. Se a comissão é quase igual nos dois cenários, por que suar? Quanto mais difícil é distinguir esforço de sorte (</w:t>
      </w:r>
      <m:oMath>
        <m:sSub>
          <m:e>
            <m:r>
              <m:t>p</m:t>
            </m:r>
          </m:e>
          <m:sub>
            <m:r>
              <m:t>H</m:t>
            </m:r>
          </m:sub>
        </m:sSub>
        <m:r>
          <m:rPr>
            <m:sty m:val="p"/>
          </m:rPr>
          <m:t>−</m:t>
        </m:r>
        <m:sSub>
          <m:e>
            <m:r>
              <m:t>p</m:t>
            </m:r>
          </m:e>
          <m:sub>
            <m:r>
              <m:t>L</m:t>
            </m:r>
          </m:sub>
        </m:sSub>
      </m:oMath>
      <w:r>
        <w:t xml:space="preserve"> </w:t>
      </w:r>
      <w:r>
        <w:t xml:space="preserve">pequeno), maior precisa ser o bônus.</w:t>
      </w:r>
    </w:p>
    <w:p>
      <w:pPr>
        <w:pStyle w:val="BlockText"/>
      </w:pPr>
      <w:r>
        <w:rPr>
          <w:b/>
          <w:bCs/>
        </w:rPr>
        <w:t xml:space="preserve">Por que isso importa:</w:t>
      </w:r>
      <w:r>
        <w:t xml:space="preserve"> </w:t>
      </w:r>
      <w:r>
        <w:t xml:space="preserve">A Restrição de Compatibilidade de Incentivos (RCI) é a peça central dos contratos de incentivo — ela determina o custo de agência e explica por que contratos ótimos raramente oferecem seguro completo ao agente.</w:t>
      </w:r>
    </w:p>
    <w:p>
      <w:pPr>
        <w:pStyle w:val="BlockText"/>
      </w:pPr>
      <w:r>
        <w:rPr>
          <w:b/>
          <w:bCs/>
        </w:rPr>
        <w:t xml:space="preserve">[ATENCAO] Erro Comum</w:t>
      </w:r>
    </w:p>
    <w:p>
      <w:pPr>
        <w:pStyle w:val="BlockText"/>
      </w:pPr>
      <w:r>
        <w:rPr>
          <w:b/>
          <w:bCs/>
        </w:rPr>
        <w:t xml:space="preserve">Confundir risco moral (moral hazard) com seleção adversa (adverse selection).</w:t>
      </w:r>
    </w:p>
    <w:p>
      <w:pPr>
        <w:pStyle w:val="BlockText"/>
      </w:pPr>
      <w:r>
        <w:t xml:space="preserve">Ambos são problemas de informação assimétrica, mas diferem no</w:t>
      </w:r>
      <w:r>
        <w:t xml:space="preserve"> </w:t>
      </w:r>
      <w:r>
        <w:rPr>
          <w:i/>
          <w:iCs/>
        </w:rPr>
        <w:t xml:space="preserve">timing</w:t>
      </w:r>
      <w:r>
        <w:t xml:space="preserve"> </w:t>
      </w:r>
      <w:r>
        <w:t xml:space="preserve">e na</w:t>
      </w:r>
      <w:r>
        <w:t xml:space="preserve"> </w:t>
      </w:r>
      <w:r>
        <w:rPr>
          <w:i/>
          <w:iCs/>
        </w:rPr>
        <w:t xml:space="preserve">natureza</w:t>
      </w:r>
      <w:r>
        <w:t xml:space="preserve"> </w:t>
      </w:r>
      <w:r>
        <w:t xml:space="preserve">da informação oculta. O</w:t>
      </w:r>
      <w:r>
        <w:t xml:space="preserve"> </w:t>
      </w:r>
      <w:r>
        <w:rPr>
          <w:b/>
          <w:bCs/>
        </w:rPr>
        <w:t xml:space="preserve">risco moral</w:t>
      </w:r>
      <w:r>
        <w:t xml:space="preserve"> </w:t>
      </w:r>
      <w:r>
        <w:t xml:space="preserve">envolve uma</w:t>
      </w:r>
      <w:r>
        <w:t xml:space="preserve"> </w:t>
      </w:r>
      <w:r>
        <w:rPr>
          <w:i/>
          <w:iCs/>
        </w:rPr>
        <w:t xml:space="preserve">ação oculta</w:t>
      </w:r>
      <w:r>
        <w:t xml:space="preserve"> </w:t>
      </w:r>
      <w:r>
        <w:t xml:space="preserve">que ocorre</w:t>
      </w:r>
      <w:r>
        <w:t xml:space="preserve"> </w:t>
      </w:r>
      <w:r>
        <w:rPr>
          <w:b/>
          <w:bCs/>
        </w:rPr>
        <w:t xml:space="preserve">após</w:t>
      </w:r>
      <w:r>
        <w:t xml:space="preserve"> </w:t>
      </w:r>
      <w:r>
        <w:t xml:space="preserve">o contrato (pós-contratual): o agente escolhe um nível de esforço que o principal não observa. A</w:t>
      </w:r>
      <w:r>
        <w:t xml:space="preserve"> </w:t>
      </w:r>
      <w:r>
        <w:rPr>
          <w:b/>
          <w:bCs/>
        </w:rPr>
        <w:t xml:space="preserve">seleção adversa</w:t>
      </w:r>
      <w:r>
        <w:t xml:space="preserve"> </w:t>
      </w:r>
      <w:r>
        <w:t xml:space="preserve">envolve um</w:t>
      </w:r>
      <w:r>
        <w:t xml:space="preserve"> </w:t>
      </w:r>
      <w:r>
        <w:rPr>
          <w:i/>
          <w:iCs/>
        </w:rPr>
        <w:t xml:space="preserve">tipo oculto</w:t>
      </w:r>
      <w:r>
        <w:t xml:space="preserve"> </w:t>
      </w:r>
      <w:r>
        <w:t xml:space="preserve">que existe</w:t>
      </w:r>
      <w:r>
        <w:t xml:space="preserve"> </w:t>
      </w:r>
      <w:r>
        <w:rPr>
          <w:b/>
          <w:bCs/>
        </w:rPr>
        <w:t xml:space="preserve">antes</w:t>
      </w:r>
      <w:r>
        <w:t xml:space="preserve"> </w:t>
      </w:r>
      <w:r>
        <w:t xml:space="preserve">do contrato (pré-contratual): o agente conhece suas características (risco, qualidade, produtividade), mas o principal não. Os instrumentos de solução também diferem: para risco moral, usam-se contratos de incentivo (bônus, comissões); para seleção adversa, usam-se menus de contratos, sinalização ou triagem (screening).</w:t>
      </w:r>
    </w:p>
    <w:p>
      <w:pPr>
        <w:pStyle w:val="FirstParagraph"/>
      </w:pPr>
      <w:r>
        <w:t xml:space="preserve">O exercício a seguir aplica o modelo formal a um caso numérico, calculando os pagamentos ótimos e o custo de agência.</w:t>
      </w:r>
    </w:p>
    <w:p>
      <w:pPr>
        <w:pStyle w:val="BlockText"/>
      </w:pPr>
      <w:r>
        <w:rPr>
          <w:b/>
          <w:bCs/>
        </w:rPr>
        <w:t xml:space="preserve">[EXERCICIO RESOLVIDO] Exercício Resolvido 19.1 — Contrato ótimo com risco moral</w:t>
      </w:r>
    </w:p>
    <w:p>
      <w:pPr>
        <w:pStyle w:val="BlockText"/>
      </w:pPr>
      <w:r>
        <w:rPr>
          <w:b/>
          <w:bCs/>
        </w:rPr>
        <w:t xml:space="preserve">Enunciado:</w:t>
      </w:r>
      <w:r>
        <w:t xml:space="preserve"> </w:t>
      </w:r>
      <w:r>
        <w:t xml:space="preserve">Um principal contrata um agente cuja utilidade é</w:t>
      </w:r>
      <w:r>
        <w:t xml:space="preserve"> </w:t>
      </w:r>
      <m:oMath>
        <m:r>
          <m:t>U</m:t>
        </m:r>
        <m:r>
          <m:rPr>
            <m:sty m:val="p"/>
          </m:rPr>
          <m:t>=</m:t>
        </m:r>
        <m:rad>
          <m:radPr>
            <m:degHide m:val="on"/>
          </m:radPr>
          <m:deg/>
          <m:e>
            <m:r>
              <m:t>w</m:t>
            </m:r>
          </m:e>
        </m:rad>
        <m:r>
          <m:rPr>
            <m:sty m:val="p"/>
          </m:rPr>
          <m:t>−</m:t>
        </m:r>
        <m:r>
          <m:t>e</m:t>
        </m:r>
      </m:oMath>
      <w:r>
        <w:t xml:space="preserve">, onde</w:t>
      </w:r>
      <w:r>
        <w:t xml:space="preserve"> </w:t>
      </w:r>
      <m:oMath>
        <m:r>
          <m:t>w</m:t>
        </m:r>
      </m:oMath>
      <w:r>
        <w:t xml:space="preserve"> </w:t>
      </w:r>
      <w:r>
        <w:t xml:space="preserve">é o salário e</w:t>
      </w:r>
      <w:r>
        <w:t xml:space="preserve"> </w:t>
      </w:r>
      <m:oMath>
        <m:r>
          <m:t>e</m:t>
        </m:r>
        <m:r>
          <m:rPr>
            <m:sty m:val="p"/>
          </m:rPr>
          <m:t>∈</m:t>
        </m:r>
        <m:r>
          <m:rPr>
            <m:sty m:val="p"/>
          </m:rPr>
          <m:t>{</m:t>
        </m:r>
        <m:r>
          <m:t>0</m:t>
        </m:r>
        <m:r>
          <m:rPr>
            <m:sty m:val="p"/>
          </m:rPr>
          <m:t>,</m:t>
        </m:r>
        <m:r>
          <m:t>1</m:t>
        </m:r>
        <m:r>
          <m:rPr>
            <m:sty m:val="p"/>
          </m:rPr>
          <m:t>}</m:t>
        </m:r>
      </m:oMath>
      <w:r>
        <w:t xml:space="preserve"> </w:t>
      </w:r>
      <w:r>
        <w:t xml:space="preserve">é o esforço. O resultado pode ser bom (</w:t>
      </w:r>
      <m:oMath>
        <m:sSub>
          <m:e>
            <m:r>
              <m:t>x</m:t>
            </m:r>
          </m:e>
          <m:sub>
            <m:r>
              <m:t>H</m:t>
            </m:r>
          </m:sub>
        </m:sSub>
      </m:oMath>
      <w:r>
        <w:t xml:space="preserve">) com probabilidade</w:t>
      </w:r>
      <w:r>
        <w:t xml:space="preserve"> </w:t>
      </w:r>
      <m:oMath>
        <m:r>
          <m:t>p</m:t>
        </m:r>
        <m:r>
          <m:rPr>
            <m:sty m:val="p"/>
          </m:rPr>
          <m:t>(</m:t>
        </m:r>
        <m:r>
          <m:t>e</m:t>
        </m:r>
        <m:r>
          <m:rPr>
            <m:sty m:val="p"/>
          </m:rPr>
          <m:t>)</m:t>
        </m:r>
      </m:oMath>
      <w:r>
        <w:t xml:space="preserve"> </w:t>
      </w:r>
      <w:r>
        <w:t xml:space="preserve">ou ruim (</w:t>
      </w:r>
      <m:oMath>
        <m:sSub>
          <m:e>
            <m:r>
              <m:t>x</m:t>
            </m:r>
          </m:e>
          <m:sub>
            <m:r>
              <m:t>L</m:t>
            </m:r>
          </m:sub>
        </m:sSub>
      </m:oMath>
      <w:r>
        <w:t xml:space="preserve">) caso contrário, onde</w:t>
      </w:r>
      <w:r>
        <w:t xml:space="preserve"> </w:t>
      </w:r>
      <m:oMath>
        <m:r>
          <m:t>p</m:t>
        </m:r>
        <m:r>
          <m:rPr>
            <m:sty m:val="p"/>
          </m:rPr>
          <m:t>(</m:t>
        </m:r>
        <m:r>
          <m:t>1</m:t>
        </m:r>
        <m:r>
          <m:rPr>
            <m:sty m:val="p"/>
          </m:rPr>
          <m:t>)</m:t>
        </m:r>
        <m:r>
          <m:rPr>
            <m:sty m:val="p"/>
          </m:rPr>
          <m:t>=</m:t>
        </m:r>
        <m:r>
          <m:t>3</m:t>
        </m:r>
        <m:r>
          <m:rPr>
            <m:sty m:val="p"/>
          </m:rPr>
          <m:t>/</m:t>
        </m:r>
        <m:r>
          <m:t>4</m:t>
        </m:r>
      </m:oMath>
      <w:r>
        <w:t xml:space="preserve"> </w:t>
      </w:r>
      <w:r>
        <w:t xml:space="preserve">e</w:t>
      </w:r>
      <w:r>
        <w:t xml:space="preserve"> </w:t>
      </w:r>
      <m:oMath>
        <m:r>
          <m:t>p</m:t>
        </m:r>
        <m:r>
          <m:rPr>
            <m:sty m:val="p"/>
          </m:rPr>
          <m:t>(</m:t>
        </m:r>
        <m:r>
          <m:t>0</m:t>
        </m:r>
        <m:r>
          <m:rPr>
            <m:sty m:val="p"/>
          </m:rPr>
          <m:t>)</m:t>
        </m:r>
        <m:r>
          <m:rPr>
            <m:sty m:val="p"/>
          </m:rPr>
          <m:t>=</m:t>
        </m:r>
        <m:r>
          <m:t>1</m:t>
        </m:r>
        <m:r>
          <m:rPr>
            <m:sty m:val="p"/>
          </m:rPr>
          <m:t>/</m:t>
        </m:r>
        <m:r>
          <m:t>4</m:t>
        </m:r>
      </m:oMath>
      <w:r>
        <w:t xml:space="preserve">. A utilidade de reserva é</w:t>
      </w:r>
      <w:r>
        <w:t xml:space="preserve"> </w:t>
      </w:r>
      <m:oMath>
        <m:acc>
          <m:accPr>
            <m:chr m:val="‾"/>
          </m:accPr>
          <m:e>
            <m:r>
              <m:t>U</m:t>
            </m:r>
          </m:e>
        </m:acc>
        <m:r>
          <m:rPr>
            <m:sty m:val="p"/>
          </m:rPr>
          <m:t>=</m:t>
        </m:r>
        <m:r>
          <m:t>3</m:t>
        </m:r>
      </m:oMath>
      <w:r>
        <w:t xml:space="preserve">. O principal deseja induzir esforço alto (</w:t>
      </w:r>
      <m:oMath>
        <m:r>
          <m:t>e</m:t>
        </m:r>
        <m:r>
          <m:rPr>
            <m:sty m:val="p"/>
          </m:rPr>
          <m:t>=</m:t>
        </m:r>
        <m:r>
          <m:t>1</m:t>
        </m:r>
      </m:oMath>
      <w:r>
        <w:t xml:space="preserve">).</w:t>
      </w:r>
    </w:p>
    <w:p>
      <w:pPr>
        <w:pStyle w:val="BlockText"/>
      </w:pPr>
      <w:r>
        <w:rPr>
          <w:b/>
          <w:bCs/>
        </w:rPr>
        <w:t xml:space="preserve">Dados:</w:t>
      </w:r>
      <w:r>
        <w:t xml:space="preserve"> </w:t>
      </w:r>
      <m:oMath>
        <m:sSub>
          <m:e>
            <m:r>
              <m:t>p</m:t>
            </m:r>
          </m:e>
          <m:sub>
            <m:r>
              <m:t>H</m:t>
            </m:r>
          </m:sub>
        </m:sSub>
        <m:r>
          <m:rPr>
            <m:sty m:val="p"/>
          </m:rPr>
          <m:t>=</m:t>
        </m:r>
        <m:r>
          <m:t>3</m:t>
        </m:r>
        <m:r>
          <m:rPr>
            <m:sty m:val="p"/>
          </m:rPr>
          <m:t>/</m:t>
        </m:r>
        <m:r>
          <m:t>4</m:t>
        </m:r>
      </m:oMath>
      <w:r>
        <w:t xml:space="preserve">,</w:t>
      </w:r>
      <w:r>
        <w:t xml:space="preserve"> </w:t>
      </w:r>
      <m:oMath>
        <m:sSub>
          <m:e>
            <m:r>
              <m:t>p</m:t>
            </m:r>
          </m:e>
          <m:sub>
            <m:r>
              <m:t>L</m:t>
            </m:r>
          </m:sub>
        </m:sSub>
        <m:r>
          <m:rPr>
            <m:sty m:val="p"/>
          </m:rPr>
          <m:t>=</m:t>
        </m:r>
        <m:r>
          <m:t>1</m:t>
        </m:r>
        <m:r>
          <m:rPr>
            <m:sty m:val="p"/>
          </m:rPr>
          <m:t>/</m:t>
        </m:r>
        <m:r>
          <m:t>4</m:t>
        </m:r>
      </m:oMath>
      <w:r>
        <w:t xml:space="preserve">,</w:t>
      </w:r>
      <w:r>
        <w:t xml:space="preserve"> </w:t>
      </w:r>
      <m:oMath>
        <m:r>
          <m:t>c</m:t>
        </m:r>
        <m:r>
          <m:rPr>
            <m:sty m:val="p"/>
          </m:rPr>
          <m:t>(</m:t>
        </m:r>
        <m:r>
          <m:t>1</m:t>
        </m:r>
        <m:r>
          <m:rPr>
            <m:sty m:val="p"/>
          </m:rPr>
          <m:t>)</m:t>
        </m:r>
        <m:r>
          <m:rPr>
            <m:sty m:val="p"/>
          </m:rPr>
          <m:t>=</m:t>
        </m:r>
        <m:r>
          <m:t>1</m:t>
        </m:r>
      </m:oMath>
      <w:r>
        <w:t xml:space="preserve">,</w:t>
      </w:r>
      <w:r>
        <w:t xml:space="preserve"> </w:t>
      </w:r>
      <m:oMath>
        <m:r>
          <m:t>c</m:t>
        </m:r>
        <m:r>
          <m:rPr>
            <m:sty m:val="p"/>
          </m:rPr>
          <m:t>(</m:t>
        </m:r>
        <m:r>
          <m:t>0</m:t>
        </m:r>
        <m:r>
          <m:rPr>
            <m:sty m:val="p"/>
          </m:rPr>
          <m:t>)</m:t>
        </m:r>
        <m:r>
          <m:rPr>
            <m:sty m:val="p"/>
          </m:rPr>
          <m:t>=</m:t>
        </m:r>
        <m:r>
          <m:t>0</m:t>
        </m:r>
      </m:oMath>
      <w:r>
        <w:t xml:space="preserve">,</w:t>
      </w:r>
      <w:r>
        <w:t xml:space="preserve"> </w:t>
      </w:r>
      <m:oMath>
        <m:acc>
          <m:accPr>
            <m:chr m:val="‾"/>
          </m:accPr>
          <m:e>
            <m:r>
              <m:t>U</m:t>
            </m:r>
          </m:e>
        </m:acc>
        <m:r>
          <m:rPr>
            <m:sty m:val="p"/>
          </m:rPr>
          <m:t>=</m:t>
        </m:r>
        <m:r>
          <m:t>3</m:t>
        </m:r>
      </m:oMath>
      <w:r>
        <w:t xml:space="preserve">.</w:t>
      </w:r>
    </w:p>
    <w:p>
      <w:pPr>
        <w:pStyle w:val="BlockText"/>
      </w:pPr>
      <w:r>
        <w:rPr>
          <w:b/>
          <w:bCs/>
        </w:rPr>
        <w:t xml:space="preserve">Resolução:</w:t>
      </w:r>
    </w:p>
    <w:p>
      <w:pPr>
        <w:pStyle w:val="BlockText"/>
      </w:pPr>
      <w:r>
        <w:rPr>
          <w:b/>
          <w:bCs/>
        </w:rPr>
        <w:t xml:space="preserve">Passo 1 — Restrições</w:t>
      </w:r>
    </w:p>
    <w:p>
      <w:pPr>
        <w:pStyle w:val="BlockText"/>
      </w:pPr>
      <w:r>
        <w:t xml:space="preserve">Defina</w:t>
      </w:r>
      <w:r>
        <w:t xml:space="preserve"> </w:t>
      </w:r>
      <m:oMath>
        <m:r>
          <m:t>a</m:t>
        </m:r>
        <m:r>
          <m:rPr>
            <m:sty m:val="p"/>
          </m:rPr>
          <m:t>=</m:t>
        </m:r>
        <m:rad>
          <m:radPr>
            <m:degHide m:val="on"/>
          </m:radPr>
          <m:deg/>
          <m:e>
            <m:sSub>
              <m:e>
                <m:r>
                  <m:t>w</m:t>
                </m:r>
              </m:e>
              <m:sub>
                <m:r>
                  <m:t>H</m:t>
                </m:r>
              </m:sub>
            </m:sSub>
          </m:e>
        </m:rad>
      </m:oMath>
      <w:r>
        <w:t xml:space="preserve"> </w:t>
      </w:r>
      <w:r>
        <w:t xml:space="preserve">e</w:t>
      </w:r>
      <w:r>
        <w:t xml:space="preserve"> </w:t>
      </w:r>
      <m:oMath>
        <m:r>
          <m:t>b</m:t>
        </m:r>
        <m:r>
          <m:rPr>
            <m:sty m:val="p"/>
          </m:rPr>
          <m:t>=</m:t>
        </m:r>
        <m:rad>
          <m:radPr>
            <m:degHide m:val="on"/>
          </m:radPr>
          <m:deg/>
          <m:e>
            <m:sSub>
              <m:e>
                <m:r>
                  <m:t>w</m:t>
                </m:r>
              </m:e>
              <m:sub>
                <m:r>
                  <m:t>L</m:t>
                </m:r>
              </m:sub>
            </m:sSub>
          </m:e>
        </m:rad>
      </m:oMath>
      <w:r>
        <w:t xml:space="preserve">.</w:t>
      </w:r>
    </w:p>
    <w:p>
      <w:pPr>
        <w:pStyle w:val="BlockText"/>
      </w:pPr>
      <w:r>
        <w:rPr>
          <w:b/>
          <w:bCs/>
        </w:rPr>
        <w:t xml:space="preserve">RP</w:t>
      </w:r>
      <w:r>
        <w:t xml:space="preserve"> </w:t>
      </w:r>
      <w:r>
        <w:t xml:space="preserve">(com esforço alto):</w:t>
      </w:r>
    </w:p>
    <w:p>
      <w:pPr>
        <w:pStyle w:val="BlockText"/>
      </w:pPr>
      <w:r>
        <w:t xml:space="preserve">$$</w:t>
      </w:r>
    </w:p>
    <w:p>
      <w:pPr>
        <w:pStyle w:val="BlockText"/>
      </w:pPr>
      <w:r>
        <w:t xml:space="preserve">,a +</w:t>
      </w:r>
      <w:r>
        <w:t xml:space="preserve"> </w:t>
      </w:r>
      <w:r>
        <w:t xml:space="preserve">,b - 1</w:t>
      </w:r>
      <w:r>
        <w:t xml:space="preserve"> </w:t>
      </w:r>
      <w:r>
        <w:t xml:space="preserve"> </w:t>
      </w:r>
      <w:r>
        <w:t xml:space="preserve">;</w:t>
      </w:r>
      <w:r>
        <w:t xml:space="preserve">;</w:t>
      </w:r>
      <w:r>
        <w:t xml:space="preserve"> </w:t>
      </w:r>
      <w:r>
        <w:t xml:space="preserve">,a +</w:t>
      </w:r>
      <w:r>
        <w:t xml:space="preserve"> </w:t>
      </w:r>
      <w:r>
        <w:t xml:space="preserve">,b</w:t>
      </w:r>
      <w:r>
        <w:t xml:space="preserve"> </w:t>
      </w:r>
    </w:p>
    <w:p>
      <w:pPr>
        <w:pStyle w:val="BlockText"/>
      </w:pPr>
      <w:r>
        <w:t xml:space="preserve">$$</w:t>
      </w:r>
    </w:p>
    <w:p>
      <w:pPr>
        <w:pStyle w:val="BlockText"/>
      </w:pPr>
      <w:r>
        <w:rPr>
          <w:b/>
          <w:bCs/>
        </w:rPr>
        <w:t xml:space="preserve">RCI</w:t>
      </w:r>
      <w:r>
        <w:t xml:space="preserve"> </w:t>
      </w:r>
      <w:r>
        <w:t xml:space="preserve">(esforço alto ≥ esforço baixo):</w:t>
      </w:r>
    </w:p>
    <w:p>
      <w:pPr>
        <w:pStyle w:val="BlockText"/>
      </w:pPr>
      <w:r>
        <w:t xml:space="preserve">$$</w:t>
      </w:r>
    </w:p>
    <w:p>
      <w:pPr>
        <w:pStyle w:val="BlockText"/>
      </w:pPr>
      <w:r>
        <w:t xml:space="preserve">,a +</w:t>
      </w:r>
      <w:r>
        <w:t xml:space="preserve"> </w:t>
      </w:r>
      <w:r>
        <w:t xml:space="preserve">,b - 1</w:t>
      </w:r>
      <w:r>
        <w:t xml:space="preserve"> </w:t>
      </w:r>
      <w:r>
        <w:t xml:space="preserve">,a +</w:t>
      </w:r>
      <w:r>
        <w:t xml:space="preserve"> </w:t>
      </w:r>
      <w:r>
        <w:t xml:space="preserve">,b - 0</w:t>
      </w:r>
    </w:p>
    <w:p>
      <w:pPr>
        <w:pStyle w:val="BlockText"/>
      </w:pPr>
      <w:r>
        <w:t xml:space="preserve">$$</w:t>
      </w:r>
    </w:p>
    <w:p>
      <w:pPr>
        <w:pStyle w:val="BlockText"/>
      </w:pPr>
      <w:r>
        <w:t xml:space="preserve">$$</w:t>
      </w:r>
    </w:p>
    <w:p>
      <w:pPr>
        <w:pStyle w:val="BlockText"/>
      </w:pPr>
      <w:r>
        <w:t xml:space="preserve">(a - b)</w:t>
      </w:r>
      <w:r>
        <w:t xml:space="preserve"> </w:t>
      </w:r>
      <w:r>
        <w:t xml:space="preserve"> </w:t>
      </w:r>
      <w:r>
        <w:t xml:space="preserve">;</w:t>
      </w:r>
      <w:r>
        <w:t xml:space="preserve">; a - b</w:t>
      </w:r>
      <w:r>
        <w:t xml:space="preserve"> </w:t>
      </w:r>
    </w:p>
    <w:p>
      <w:pPr>
        <w:pStyle w:val="BlockText"/>
      </w:pPr>
      <w:r>
        <w:t xml:space="preserve">$$</w:t>
      </w:r>
    </w:p>
    <w:p>
      <w:pPr>
        <w:pStyle w:val="BlockText"/>
      </w:pPr>
      <w:r>
        <w:rPr>
          <w:b/>
          <w:bCs/>
        </w:rPr>
        <w:t xml:space="preserve">Passo 2 — Resolução (ambas binding)</w:t>
      </w:r>
    </w:p>
    <w:p>
      <w:pPr>
        <w:pStyle w:val="BlockText"/>
      </w:pPr>
      <w:r>
        <w:t xml:space="preserve">Da RCI:</w:t>
      </w:r>
      <w:r>
        <w:t xml:space="preserve"> </w:t>
      </w:r>
      <m:oMath>
        <m:r>
          <m:t>a</m:t>
        </m:r>
        <m:r>
          <m:rPr>
            <m:sty m:val="p"/>
          </m:rPr>
          <m:t>=</m:t>
        </m:r>
        <m:r>
          <m:t>b</m:t>
        </m:r>
        <m:r>
          <m:rPr>
            <m:sty m:val="p"/>
          </m:rPr>
          <m:t>+</m:t>
        </m:r>
        <m:r>
          <m:t>2</m:t>
        </m:r>
      </m:oMath>
      <w:r>
        <w:t xml:space="preserve">. Substituindo na RP:</w:t>
      </w:r>
    </w:p>
    <w:p>
      <w:pPr>
        <w:pStyle w:val="BlockText"/>
      </w:pPr>
      <w:r>
        <w:t xml:space="preserve">$$</w:t>
      </w:r>
    </w:p>
    <w:p>
      <w:pPr>
        <w:pStyle w:val="BlockText"/>
      </w:pPr>
      <w:r>
        <w:t xml:space="preserve">(b + 2) +</w:t>
      </w:r>
      <w:r>
        <w:t xml:space="preserve"> </w:t>
      </w:r>
      <w:r>
        <w:t xml:space="preserve">,b = 4 ;</w:t>
      </w:r>
      <w:r>
        <w:t xml:space="preserve">; b +</w:t>
      </w:r>
      <w:r>
        <w:t xml:space="preserve"> </w:t>
      </w:r>
      <w:r>
        <w:t xml:space="preserve"> </w:t>
      </w:r>
      <w:r>
        <w:t xml:space="preserve">= 4 ;</w:t>
      </w:r>
      <w:r>
        <w:t xml:space="preserve">; b =</w:t>
      </w:r>
      <w:r>
        <w:t xml:space="preserve"> </w:t>
      </w:r>
    </w:p>
    <w:p>
      <w:pPr>
        <w:pStyle w:val="BlockText"/>
      </w:pPr>
      <w:r>
        <w:t xml:space="preserve">$$</w:t>
      </w:r>
    </w:p>
    <w:p>
      <w:pPr>
        <w:pStyle w:val="BlockText"/>
      </w:pPr>
      <w:r>
        <w:t xml:space="preserve">$$</w:t>
      </w:r>
    </w:p>
    <w:p>
      <w:pPr>
        <w:pStyle w:val="BlockText"/>
      </w:pPr>
      <w:r>
        <w:t xml:space="preserve">a =</w:t>
      </w:r>
      <w:r>
        <w:t xml:space="preserve"> </w:t>
      </w:r>
      <w:r>
        <w:t xml:space="preserve">,</w:t>
      </w:r>
      <w:r>
        <w:t xml:space="preserve"> </w:t>
      </w:r>
      <w:r>
        <w:t xml:space="preserve">w_H = a^2 =</w:t>
      </w:r>
      <w:r>
        <w:t xml:space="preserve"> </w:t>
      </w:r>
      <w:r>
        <w:t xml:space="preserve"> </w:t>
      </w:r>
      <w:r>
        <w:t xml:space="preserve">= 20{,}25,</w:t>
      </w:r>
      <w:r>
        <w:t xml:space="preserve"> </w:t>
      </w:r>
      <w:r>
        <w:t xml:space="preserve">w_L = b^2 =</w:t>
      </w:r>
      <w:r>
        <w:t xml:space="preserve"> </w:t>
      </w:r>
      <w:r>
        <w:t xml:space="preserve"> </w:t>
      </w:r>
      <w:r>
        <w:t xml:space="preserve">= 6{,}25</w:t>
      </w:r>
    </w:p>
    <w:p>
      <w:pPr>
        <w:pStyle w:val="BlockText"/>
      </w:pPr>
      <w:r>
        <w:t xml:space="preserve">$$</w:t>
      </w:r>
    </w:p>
    <w:p>
      <w:pPr>
        <w:pStyle w:val="BlockText"/>
      </w:pPr>
      <w:r>
        <w:rPr>
          <w:b/>
          <w:bCs/>
        </w:rPr>
        <w:t xml:space="preserve">Passo 3 — Custo esperado e comparação com first-best</w:t>
      </w:r>
    </w:p>
    <w:p>
      <w:pPr>
        <w:pStyle w:val="BlockText"/>
      </w:pPr>
      <w:r>
        <w:t xml:space="preserve">Custo esperado do contrato (second-best):</w:t>
      </w:r>
    </w:p>
    <w:p>
      <w:pPr>
        <w:pStyle w:val="BlockText"/>
      </w:pPr>
      <w:r>
        <w:t xml:space="preserve">$$</w:t>
      </w:r>
    </w:p>
    <w:p>
      <w:pPr>
        <w:pStyle w:val="BlockText"/>
      </w:pPr>
      <w:r>
        <w:t xml:space="preserve">[w] =</w:t>
      </w:r>
      <w:r>
        <w:t xml:space="preserve"> </w:t>
      </w:r>
      <w:r>
        <w:t xml:space="preserve">(20{,}25) +</w:t>
      </w:r>
      <w:r>
        <w:t xml:space="preserve"> </w:t>
      </w:r>
      <w:r>
        <w:t xml:space="preserve">(6{,}25) = 15{,}1875 + 1{,}5625 = 16{,}75</w:t>
      </w:r>
    </w:p>
    <w:p>
      <w:pPr>
        <w:pStyle w:val="BlockText"/>
      </w:pPr>
      <w:r>
        <w:t xml:space="preserve">$$</w:t>
      </w:r>
    </w:p>
    <w:p>
      <w:pPr>
        <w:pStyle w:val="BlockText"/>
      </w:pPr>
      <w:r>
        <w:t xml:space="preserve">No first-best (esforço observável), o salário fixo</w:t>
      </w:r>
      <w:r>
        <w:t xml:space="preserve"> </w:t>
      </w:r>
      <m:oMath>
        <m:sSub>
          <m:e>
            <m:r>
              <m:t>w</m:t>
            </m:r>
          </m:e>
          <m:sub>
            <m:r>
              <m:t>F</m:t>
            </m:r>
            <m:r>
              <m:t>B</m:t>
            </m:r>
          </m:sub>
        </m:sSub>
      </m:oMath>
      <w:r>
        <w:t xml:space="preserve"> </w:t>
      </w:r>
      <w:r>
        <w:t xml:space="preserve">satisfaz</w:t>
      </w:r>
      <w:r>
        <w:t xml:space="preserve"> </w:t>
      </w:r>
      <m:oMath>
        <m:rad>
          <m:radPr>
            <m:degHide m:val="on"/>
          </m:radPr>
          <m:deg/>
          <m:e>
            <m:sSub>
              <m:e>
                <m:r>
                  <m:t>w</m:t>
                </m:r>
              </m:e>
              <m:sub>
                <m:r>
                  <m:t>F</m:t>
                </m:r>
                <m:r>
                  <m:t>B</m:t>
                </m:r>
              </m:sub>
            </m:sSub>
          </m:e>
        </m:rad>
        <m:r>
          <m:rPr>
            <m:sty m:val="p"/>
          </m:rPr>
          <m:t>−</m:t>
        </m:r>
        <m:r>
          <m:t>1</m:t>
        </m:r>
        <m:r>
          <m:rPr>
            <m:sty m:val="p"/>
          </m:rPr>
          <m:t>=</m:t>
        </m:r>
        <m:r>
          <m:t>3</m:t>
        </m:r>
      </m:oMath>
      <w:r>
        <w:t xml:space="preserve">, logo</w:t>
      </w:r>
      <w:r>
        <w:t xml:space="preserve"> </w:t>
      </w:r>
      <m:oMath>
        <m:sSub>
          <m:e>
            <m:r>
              <m:t>w</m:t>
            </m:r>
          </m:e>
          <m:sub>
            <m:r>
              <m:t>F</m:t>
            </m:r>
            <m:r>
              <m:t>B</m:t>
            </m:r>
          </m:sub>
        </m:sSub>
        <m:r>
          <m:rPr>
            <m:sty m:val="p"/>
          </m:rPr>
          <m:t>=</m:t>
        </m:r>
        <m:r>
          <m:t>16</m:t>
        </m:r>
      </m:oMath>
      <w:r>
        <w:t xml:space="preserve">.</w:t>
      </w:r>
    </w:p>
    <w:p>
      <w:pPr>
        <w:pStyle w:val="BlockText"/>
      </w:pPr>
      <w:r>
        <w:rPr>
          <w:b/>
          <w:bCs/>
        </w:rPr>
        <w:t xml:space="preserve">Resultado:</w:t>
      </w:r>
      <w:r>
        <w:t xml:space="preserve"> </w:t>
      </w:r>
      <w:r>
        <w:t xml:space="preserve">O</w:t>
      </w:r>
      <w:r>
        <w:t xml:space="preserve"> </w:t>
      </w:r>
      <w:r>
        <w:rPr>
          <w:b/>
          <w:bCs/>
        </w:rPr>
        <w:t xml:space="preserve">custo de agência</w:t>
      </w:r>
      <w:r>
        <w:t xml:space="preserve"> </w:t>
      </w:r>
      <w:r>
        <w:t xml:space="preserve">é</w:t>
      </w:r>
      <w:r>
        <w:t xml:space="preserve"> </w:t>
      </w:r>
      <m:oMath>
        <m:r>
          <m:t>16</m:t>
        </m:r>
        <m:r>
          <m:rPr>
            <m:sty m:val="p"/>
          </m:rPr>
          <m:t>,</m:t>
        </m:r>
        <m:r>
          <m:t>75</m:t>
        </m:r>
        <m:r>
          <m:rPr>
            <m:sty m:val="p"/>
          </m:rPr>
          <m:t>−</m:t>
        </m:r>
        <m:r>
          <m:t>16</m:t>
        </m:r>
        <m:r>
          <m:rPr>
            <m:sty m:val="p"/>
          </m:rPr>
          <m:t>=</m:t>
        </m:r>
        <m:r>
          <m:t>0</m:t>
        </m:r>
        <m:r>
          <m:rPr>
            <m:sty m:val="p"/>
          </m:rPr>
          <m:t>,</m:t>
        </m:r>
        <m:r>
          <m:t>75</m:t>
        </m:r>
      </m:oMath>
      <w:r>
        <w:t xml:space="preserve">. Essa é a perda de eficiência causada pela assimetria de informação.</w:t>
      </w:r>
    </w:p>
    <w:p>
      <w:pPr>
        <w:pStyle w:val="BlockText"/>
      </w:pPr>
      <w:r>
        <w:rPr>
          <w:b/>
          <w:bCs/>
        </w:rPr>
        <w:t xml:space="preserve">Interpretação econômica:</w:t>
      </w:r>
      <w:r>
        <w:t xml:space="preserve"> </w:t>
      </w:r>
      <w:r>
        <w:t xml:space="preserve">O principal precisa pagar um</w:t>
      </w:r>
      <w:r>
        <w:t xml:space="preserve"> </w:t>
      </w:r>
      <w:r>
        <w:t xml:space="preserve">“prêmio por bom resultado”</w:t>
      </w:r>
      <w:r>
        <w:t xml:space="preserve"> </w:t>
      </w:r>
      <w:r>
        <w:t xml:space="preserve">(</w:t>
      </w:r>
      <m:oMath>
        <m:sSub>
          <m:e>
            <m:r>
              <m:t>w</m:t>
            </m:r>
          </m:e>
          <m:sub>
            <m:r>
              <m:t>H</m:t>
            </m:r>
          </m:sub>
        </m:sSub>
        <m:r>
          <m:rPr>
            <m:sty m:val="p"/>
          </m:rPr>
          <m:t>−</m:t>
        </m:r>
        <m:sSub>
          <m:e>
            <m:r>
              <m:t>w</m:t>
            </m:r>
          </m:e>
          <m:sub>
            <m:r>
              <m:t>L</m:t>
            </m:r>
          </m:sub>
        </m:sSub>
        <m:r>
          <m:rPr>
            <m:sty m:val="p"/>
          </m:rPr>
          <m:t>=</m:t>
        </m:r>
        <m:r>
          <m:t>14</m:t>
        </m:r>
      </m:oMath>
      <w:r>
        <w:t xml:space="preserve">) para compensar o custo do esforço. Como o agente é avesso ao risco (</w:t>
      </w:r>
      <m:oMath>
        <m:r>
          <m:t>U</m:t>
        </m:r>
        <m:r>
          <m:rPr>
            <m:sty m:val="p"/>
          </m:rPr>
          <m:t>=</m:t>
        </m:r>
        <m:rad>
          <m:radPr>
            <m:degHide m:val="on"/>
          </m:radPr>
          <m:deg/>
          <m:e>
            <m:r>
              <m:t>w</m:t>
            </m:r>
          </m:e>
        </m:rad>
      </m:oMath>
      <w:r>
        <w:t xml:space="preserve">), expô-lo a essa variabilidade é custoso — o custo esperado do contrato sobe de 16 para 16,75. Esse trade-off entre incentivos e seguro é o cerne do problema de risco moral.</w:t>
      </w:r>
    </w:p>
    <w:p>
      <w:pPr>
        <w:pStyle w:val="FirstParagraph"/>
      </w:pPr>
      <w:r>
        <w:t xml:space="preserve">[FIGURA INTERATIVA: /micro-book/graficos/cap19/webr-risco-moral.html — versao interativa disponivel online]</w:t>
      </w:r>
    </w:p>
    <w:p>
      <w:pPr>
        <w:pStyle w:val="BodyText"/>
      </w:pPr>
      <w:r>
        <w:rPr>
          <w:b/>
          <w:bCs/>
        </w:rPr>
        <w:t xml:space="preserve">WebR 19.1 — Contrato ótimo com risco moral.</w:t>
      </w:r>
      <w:r>
        <w:t xml:space="preserve"> </w:t>
      </w:r>
      <w:r>
        <w:t xml:space="preserve">Calcule os salários ótimos, o custo de agência e veja como a</w:t>
      </w:r>
      <w:r>
        <w:t xml:space="preserve"> </w:t>
      </w:r>
      <w:r>
        <w:t xml:space="preserve">“informatividade”</w:t>
      </w:r>
      <w:r>
        <w:t xml:space="preserve"> </w:t>
      </w:r>
      <w:r>
        <w:t xml:space="preserve">do resultado (pH − pL) afeta o trade-off entre incentivos e seguro.</w:t>
      </w:r>
    </w:p>
    <w:p>
      <w:pPr>
        <w:pStyle w:val="BlockText"/>
      </w:pPr>
      <w:r>
        <w:rPr>
          <w:b/>
          <w:bCs/>
        </w:rPr>
        <w:t xml:space="preserve">[EXERCICIO RESOLVIDO] Exercício Resolvido 19.2 — Risco moral em seguro: franquia mínima</w:t>
      </w:r>
    </w:p>
    <w:p>
      <w:pPr>
        <w:pStyle w:val="BlockText"/>
      </w:pPr>
      <w:r>
        <w:rPr>
          <w:b/>
          <w:bCs/>
        </w:rPr>
        <w:t xml:space="preserve">Enunciado:</w:t>
      </w:r>
      <w:r>
        <w:t xml:space="preserve"> </w:t>
      </w:r>
      <w:r>
        <w:t xml:space="preserve">Uma seguradora oferece seguro contra roubo de celular no valor de R$ 4.000. Sem cuidados (esforço baixo), a probabilidade de roubo é 30%. Com cuidados — usar capinha, não deixar exposto — (esforço alto), a probabilidade cai para 10%. O custo do esforço é R$ 100. (a) Se a seguradora oferece seguro completo ao prêmio atuarialmente justo (baseado em esforço alto), o segurado terá incentivo para manter os cuidados? (b) Qual é a franquia mínima necessária para incentivar esforço alto?</w:t>
      </w:r>
    </w:p>
    <w:p>
      <w:r>
        <w:pict>
          <v:rect style="width:0;height:1.5pt" o:hralign="center" o:hrstd="t" o:hr="t"/>
        </w:pict>
      </w:r>
    </w:p>
    <w:p>
      <w:pPr>
        <w:pStyle w:val="BlockText"/>
      </w:pPr>
      <w:r>
        <w:rPr>
          <w:b/>
          <w:bCs/>
        </w:rPr>
        <w:t xml:space="preserve">(a)</w:t>
      </w:r>
      <w:r>
        <w:t xml:space="preserve"> </w:t>
      </w:r>
      <w:r>
        <w:t xml:space="preserve">Com seguro completo: prêmio =</w:t>
      </w:r>
      <w:r>
        <w:t xml:space="preserve"> </w:t>
      </w:r>
      <m:oMath>
        <m:r>
          <m:t>p</m:t>
        </m:r>
        <m:r>
          <m:rPr>
            <m:sty m:val="p"/>
          </m:rPr>
          <m:t>(</m:t>
        </m:r>
        <m:sSub>
          <m:e>
            <m:r>
              <m:t>e</m:t>
            </m:r>
          </m:e>
          <m:sub>
            <m:r>
              <m:t>H</m:t>
            </m:r>
          </m:sub>
        </m:sSub>
        <m:r>
          <m:rPr>
            <m:sty m:val="p"/>
          </m:rPr>
          <m:t>)</m:t>
        </m:r>
        <m:r>
          <m:rPr>
            <m:sty m:val="p"/>
          </m:rPr>
          <m:t>×</m:t>
        </m:r>
        <m:r>
          <m:t>L</m:t>
        </m:r>
        <m:r>
          <m:rPr>
            <m:sty m:val="p"/>
          </m:rPr>
          <m:t>=</m:t>
        </m:r>
        <m:r>
          <m:t>0</m:t>
        </m:r>
        <m:r>
          <m:rPr>
            <m:sty m:val="p"/>
          </m:rPr>
          <m:t>,</m:t>
        </m:r>
        <m:r>
          <m:t>10</m:t>
        </m:r>
        <m:r>
          <m:rPr>
            <m:sty m:val="p"/>
          </m:rPr>
          <m:t>×</m:t>
        </m:r>
        <m:r>
          <m:t>4.000</m:t>
        </m:r>
        <m:r>
          <m:rPr>
            <m:sty m:val="p"/>
          </m:rPr>
          <m:t>=</m:t>
        </m:r>
        <m:r>
          <m:t>400</m:t>
        </m:r>
      </m:oMath>
      <w:r>
        <w:t xml:space="preserve">. Indenização = 4.000.</w:t>
      </w:r>
    </w:p>
    <w:p>
      <w:pPr>
        <w:pStyle w:val="BlockText"/>
      </w:pPr>
      <w:r>
        <w:t xml:space="preserve">Em ambos os estados, a riqueza é</w:t>
      </w:r>
      <w:r>
        <w:t xml:space="preserve"> </w:t>
      </w:r>
      <m:oMath>
        <m:sSub>
          <m:e>
            <m:r>
              <m:t>W</m:t>
            </m:r>
          </m:e>
          <m:sub>
            <m:r>
              <m:t>0</m:t>
            </m:r>
          </m:sub>
        </m:sSub>
        <m:r>
          <m:rPr>
            <m:sty m:val="p"/>
          </m:rPr>
          <m:t>−</m:t>
        </m:r>
        <m:r>
          <m:t>400</m:t>
        </m:r>
      </m:oMath>
      <w:r>
        <w:t xml:space="preserve">. O segurado economiza R$ 100 se não fizer esforço, sem nenhuma consequência — seguro completo elimina o incentivo.</w:t>
      </w:r>
      <w:r>
        <w:t xml:space="preserve"> </w:t>
      </w:r>
      <w:r>
        <w:rPr>
          <w:b/>
          <w:bCs/>
        </w:rPr>
        <w:t xml:space="preserve">Resposta: Não.</w:t>
      </w:r>
    </w:p>
    <w:p>
      <w:pPr>
        <w:pStyle w:val="BlockText"/>
      </w:pPr>
      <w:r>
        <w:rPr>
          <w:b/>
          <w:bCs/>
        </w:rPr>
        <w:t xml:space="preserve">(b)</w:t>
      </w:r>
      <w:r>
        <w:t xml:space="preserve"> </w:t>
      </w:r>
      <w:r>
        <w:t xml:space="preserve">Com franquia</w:t>
      </w:r>
      <w:r>
        <w:t xml:space="preserve"> </w:t>
      </w:r>
      <m:oMath>
        <m:r>
          <m:t>D</m:t>
        </m:r>
      </m:oMath>
      <w:r>
        <w:t xml:space="preserve">, o segurado arca com</w:t>
      </w:r>
      <w:r>
        <w:t xml:space="preserve"> </w:t>
      </w:r>
      <m:oMath>
        <m:r>
          <m:t>D</m:t>
        </m:r>
      </m:oMath>
      <w:r>
        <w:t xml:space="preserve"> </w:t>
      </w:r>
      <w:r>
        <w:t xml:space="preserve">em caso de sinistro.</w:t>
      </w:r>
    </w:p>
    <w:p>
      <w:pPr>
        <w:pStyle w:val="BlockText"/>
      </w:pPr>
      <w:r>
        <w:t xml:space="preserve">Com esforço:</w:t>
      </w:r>
      <w:r>
        <w:t xml:space="preserve"> </w:t>
      </w:r>
      <m:oMath>
        <m:r>
          <m:rPr>
            <m:scr m:val="double-struck"/>
            <m:sty m:val="p"/>
          </m:rPr>
          <m:t>E</m:t>
        </m:r>
        <m:r>
          <m:rPr>
            <m:sty m:val="p"/>
          </m:rPr>
          <m:t>[</m:t>
        </m:r>
        <m:r>
          <m:t>W</m:t>
        </m:r>
        <m:r>
          <m:rPr>
            <m:sty m:val="p"/>
          </m:rPr>
          <m:t>]</m:t>
        </m:r>
        <m:r>
          <m:rPr>
            <m:sty m:val="p"/>
          </m:rPr>
          <m:t>=</m:t>
        </m:r>
        <m:sSub>
          <m:e>
            <m:r>
              <m:t>W</m:t>
            </m:r>
          </m:e>
          <m:sub>
            <m:r>
              <m:t>0</m:t>
            </m:r>
          </m:sub>
        </m:sSub>
        <m:r>
          <m:rPr>
            <m:sty m:val="p"/>
          </m:rPr>
          <m:t>−</m:t>
        </m:r>
        <m:r>
          <m:t>q</m:t>
        </m:r>
        <m:r>
          <m:rPr>
            <m:sty m:val="p"/>
          </m:rPr>
          <m:t>−</m:t>
        </m:r>
        <m:r>
          <m:t>0</m:t>
        </m:r>
        <m:r>
          <m:rPr>
            <m:sty m:val="p"/>
          </m:rPr>
          <m:t>,</m:t>
        </m:r>
        <m:r>
          <m:t>10</m:t>
        </m:r>
        <m:r>
          <m:rPr>
            <m:sty m:val="p"/>
          </m:rPr>
          <m:t>⋅</m:t>
        </m:r>
        <m:r>
          <m:t>D</m:t>
        </m:r>
        <m:r>
          <m:rPr>
            <m:sty m:val="p"/>
          </m:rPr>
          <m:t>−</m:t>
        </m:r>
        <m:r>
          <m:t>100</m:t>
        </m:r>
      </m:oMath>
      <w:r>
        <w:t xml:space="preserve">.</w:t>
      </w:r>
    </w:p>
    <w:p>
      <w:pPr>
        <w:pStyle w:val="BlockText"/>
      </w:pPr>
      <w:r>
        <w:t xml:space="preserve">Sem esforço:</w:t>
      </w:r>
      <w:r>
        <w:t xml:space="preserve"> </w:t>
      </w:r>
      <m:oMath>
        <m:r>
          <m:rPr>
            <m:scr m:val="double-struck"/>
            <m:sty m:val="p"/>
          </m:rPr>
          <m:t>E</m:t>
        </m:r>
        <m:r>
          <m:rPr>
            <m:sty m:val="p"/>
          </m:rPr>
          <m:t>[</m:t>
        </m:r>
        <m:r>
          <m:t>W</m:t>
        </m:r>
        <m:r>
          <m:rPr>
            <m:sty m:val="p"/>
          </m:rPr>
          <m:t>]</m:t>
        </m:r>
        <m:r>
          <m:rPr>
            <m:sty m:val="p"/>
          </m:rPr>
          <m:t>=</m:t>
        </m:r>
        <m:sSub>
          <m:e>
            <m:r>
              <m:t>W</m:t>
            </m:r>
          </m:e>
          <m:sub>
            <m:r>
              <m:t>0</m:t>
            </m:r>
          </m:sub>
        </m:sSub>
        <m:r>
          <m:rPr>
            <m:sty m:val="p"/>
          </m:rPr>
          <m:t>−</m:t>
        </m:r>
        <m:r>
          <m:t>q</m:t>
        </m:r>
        <m:r>
          <m:rPr>
            <m:sty m:val="p"/>
          </m:rPr>
          <m:t>−</m:t>
        </m:r>
        <m:r>
          <m:t>0</m:t>
        </m:r>
        <m:r>
          <m:rPr>
            <m:sty m:val="p"/>
          </m:rPr>
          <m:t>,</m:t>
        </m:r>
        <m:r>
          <m:t>30</m:t>
        </m:r>
        <m:r>
          <m:rPr>
            <m:sty m:val="p"/>
          </m:rPr>
          <m:t>⋅</m:t>
        </m:r>
        <m:r>
          <m:t>D</m:t>
        </m:r>
      </m:oMath>
      <w:r>
        <w:t xml:space="preserve">.</w:t>
      </w:r>
    </w:p>
    <w:p>
      <w:pPr>
        <w:pStyle w:val="BlockText"/>
      </w:pPr>
      <w:r>
        <w:t xml:space="preserve">Para que esforço alto domine:</w:t>
      </w:r>
    </w:p>
    <w:p>
      <w:pPr>
        <w:pStyle w:val="BlockText"/>
      </w:pPr>
      <w:r>
        <w:t xml:space="preserve">$$</w:t>
      </w:r>
    </w:p>
    <w:p>
      <w:pPr>
        <w:pStyle w:val="BlockText"/>
      </w:pPr>
      <w:r>
        <w:t xml:space="preserve">-0{,}10 D - 100</w:t>
      </w:r>
      <w:r>
        <w:t xml:space="preserve"> </w:t>
      </w:r>
      <w:r>
        <w:t xml:space="preserve">30 D ;</w:t>
      </w:r>
      <w:r>
        <w:t xml:space="preserve">; 0{,}20 D</w:t>
      </w:r>
      <w:r>
        <w:t xml:space="preserve"> </w:t>
      </w:r>
      <w:r>
        <w:t xml:space="preserve"> </w:t>
      </w:r>
      <w:r>
        <w:t xml:space="preserve">;</w:t>
      </w:r>
      <w:r>
        <w:t xml:space="preserve">; D</w:t>
      </w:r>
      <w:r>
        <w:t xml:space="preserve"> </w:t>
      </w:r>
    </w:p>
    <w:p>
      <w:pPr>
        <w:pStyle w:val="BlockText"/>
      </w:pPr>
      <w:r>
        <w:t xml:space="preserve">$$</w:t>
      </w:r>
    </w:p>
    <w:p>
      <w:pPr>
        <w:pStyle w:val="BlockText"/>
      </w:pPr>
      <w:r>
        <w:rPr>
          <w:b/>
          <w:bCs/>
        </w:rPr>
        <w:t xml:space="preserve">Resultado:</w:t>
      </w:r>
      <w:r>
        <w:t xml:space="preserve"> </w:t>
      </w:r>
      <w:r>
        <w:t xml:space="preserve">A franquia mínima é</w:t>
      </w:r>
      <w:r>
        <w:t xml:space="preserve"> </w:t>
      </w:r>
      <w:r>
        <w:rPr>
          <w:b/>
          <w:bCs/>
        </w:rPr>
        <w:t xml:space="preserve">R$ 500</w:t>
      </w:r>
      <w:r>
        <w:t xml:space="preserve"> </w:t>
      </w:r>
      <w:r>
        <w:t xml:space="preserve">— o segurado precisa</w:t>
      </w:r>
      <w:r>
        <w:t xml:space="preserve"> </w:t>
      </w:r>
      <w:r>
        <w:t xml:space="preserve">“ter pele no jogo”</w:t>
      </w:r>
      <w:r>
        <w:t xml:space="preserve"> </w:t>
      </w:r>
      <w:r>
        <w:t xml:space="preserve">para manter os cuidados.</w:t>
      </w:r>
    </w:p>
    <w:p>
      <w:pPr>
        <w:pStyle w:val="BlockText"/>
      </w:pPr>
      <w:r>
        <w:rPr>
          <w:b/>
          <w:bCs/>
        </w:rPr>
        <w:t xml:space="preserve">Interpretação:</w:t>
      </w:r>
      <w:r>
        <w:t xml:space="preserve"> </w:t>
      </w:r>
      <w:r>
        <w:t xml:space="preserve">No mercado brasileiro, seguradoras de celular como Porto Seguro e Zurich tipicamente cobram franquias de 20–30% do valor do aparelho (R$ 800–1.200 para um celular de R$ 4.000), acima do mínimo teórico — refletindo outros fatores como custos administrativos e graus de aversão ao risco.</w:t>
      </w:r>
    </w:p>
    <w:p>
      <w:pPr>
        <w:pStyle w:val="FirstParagraph"/>
      </w:pPr>
      <w:r>
        <w:t xml:space="preserve">[FIGURA INTERATIVA: /micro-book/graficos/cap19/webr-franquia.html — versao interativa disponivel online]</w:t>
      </w:r>
    </w:p>
    <w:p>
      <w:pPr>
        <w:pStyle w:val="BodyText"/>
      </w:pPr>
      <w:r>
        <w:rPr>
          <w:b/>
          <w:bCs/>
        </w:rPr>
        <w:t xml:space="preserve">WebR 19.2 — Franquia mínima e risco moral em seguros.</w:t>
      </w:r>
      <w:r>
        <w:t xml:space="preserve"> </w:t>
      </w:r>
      <w:r>
        <w:t xml:space="preserve">Altere a probabilidade de sinistro e o custo do esforço para ver como a franquia mínima necessária muda. Compare com as franquias praticadas no mercado brasileiro.</w:t>
      </w:r>
    </w:p>
    <w:bookmarkEnd w:id="1193"/>
    <w:bookmarkEnd w:id="1194"/>
    <w:bookmarkEnd w:id="1195"/>
    <w:bookmarkStart w:id="1201" w:name="seleção-adversa-1"/>
    <w:p>
      <w:pPr>
        <w:pStyle w:val="Heading2"/>
      </w:pPr>
      <w:r>
        <w:t xml:space="preserve">19.4 Seleção Adversa</w:t>
      </w:r>
    </w:p>
    <w:bookmarkStart w:id="1200" w:name="Xa79f14120945873482b7823caabe2fcde848722"/>
    <w:p>
      <w:pPr>
        <w:pStyle w:val="Heading3"/>
      </w:pPr>
      <w:r>
        <w:t xml:space="preserve">19.4 Só Sobram os Abacaxis: Seleção Adversa</w:t>
      </w:r>
    </w:p>
    <w:p>
      <w:pPr>
        <w:pStyle w:val="FirstParagraph"/>
      </w:pPr>
      <w:r>
        <w:t xml:space="preserve">Se o risco moral é sobre o que a pessoa</w:t>
      </w:r>
      <w:r>
        <w:t xml:space="preserve"> </w:t>
      </w:r>
      <w:r>
        <w:rPr>
          <w:i/>
          <w:iCs/>
        </w:rPr>
        <w:t xml:space="preserve">faz</w:t>
      </w:r>
      <w:r>
        <w:t xml:space="preserve"> </w:t>
      </w:r>
      <w:r>
        <w:t xml:space="preserve">depois de assinar o contrato, a seleção adversa é sobre quem ela</w:t>
      </w:r>
      <w:r>
        <w:t xml:space="preserve"> </w:t>
      </w:r>
      <w:r>
        <w:rPr>
          <w:i/>
          <w:iCs/>
        </w:rPr>
        <w:t xml:space="preserve">é</w:t>
      </w:r>
      <w:r>
        <w:t xml:space="preserve"> </w:t>
      </w:r>
      <w:r>
        <w:t xml:space="preserve">antes de assinar. Pense no rodízio de pizza: quem frequenta mais o rodízio a R$ 49,90 — quem come duas fatias ou quem come doze? O restaurante atrai desproporcionalmente os glutões, e o preço médio do bufê não cobre o custo. No mundo dos seguros, dos carros usados e do crédito, a lógica é a mesma: quando o vendedor não consegue distinguir os</w:t>
      </w:r>
      <w:r>
        <w:t xml:space="preserve"> </w:t>
      </w:r>
      <w:r>
        <w:t xml:space="preserve">“bons”</w:t>
      </w:r>
      <w:r>
        <w:t xml:space="preserve"> </w:t>
      </w:r>
      <w:r>
        <w:t xml:space="preserve">dos</w:t>
      </w:r>
      <w:r>
        <w:t xml:space="preserve"> </w:t>
      </w:r>
      <w:r>
        <w:t xml:space="preserve">“ruins”</w:t>
      </w:r>
      <w:r>
        <w:t xml:space="preserve">, os ruins aparecem em peso — e os bons somem. Essa distinção temporal é fundamental: o risco moral é um problema pós-contratual, enquanto a seleção adversa é um problema pré-contratual. E as consequências podem ser ainda mais dramáticas — como demonstrou Akerlof, a seleção adversa pode levar ao desaparecimento completo de mercados.</w:t>
      </w:r>
    </w:p>
    <w:p>
      <w:pPr>
        <w:pStyle w:val="BlockText"/>
      </w:pPr>
      <w:r>
        <w:rPr>
          <w:b/>
          <w:bCs/>
        </w:rPr>
        <w:t xml:space="preserve">[DEFINICAO] Seleção Adversa (Adverse Selection)</w:t>
      </w:r>
    </w:p>
    <w:p>
      <w:pPr>
        <w:pStyle w:val="BlockText"/>
      </w:pPr>
      <w:r>
        <w:t xml:space="preserve">Problema de informação assimétrica que surge quando uma parte de uma transação possui</w:t>
      </w:r>
      <w:r>
        <w:t xml:space="preserve"> </w:t>
      </w:r>
      <w:r>
        <w:rPr>
          <w:b/>
          <w:bCs/>
        </w:rPr>
        <w:t xml:space="preserve">informação privada sobre suas características</w:t>
      </w:r>
      <w:r>
        <w:t xml:space="preserve"> </w:t>
      </w:r>
      <w:r>
        <w:t xml:space="preserve">(seu</w:t>
      </w:r>
      <w:r>
        <w:t xml:space="preserve"> </w:t>
      </w:r>
      <w:r>
        <w:t xml:space="preserve">“tipo”</w:t>
      </w:r>
      <w:r>
        <w:t xml:space="preserve">) antes da celebração do contrato, e essa informação não é observável pela outra parte. A seleção adversa é um problema</w:t>
      </w:r>
      <w:r>
        <w:t xml:space="preserve"> </w:t>
      </w:r>
      <w:r>
        <w:rPr>
          <w:b/>
          <w:bCs/>
        </w:rPr>
        <w:t xml:space="preserve">pré-contratual</w:t>
      </w:r>
      <w:r>
        <w:t xml:space="preserve">.</w:t>
      </w:r>
    </w:p>
    <w:p>
      <w:pPr>
        <w:pStyle w:val="BlockText"/>
      </w:pPr>
      <w:r>
        <w:rPr>
          <w:b/>
          <w:bCs/>
        </w:rPr>
        <w:t xml:space="preserve">[DICA] Conexão com o Capítulo 9d</w:t>
      </w:r>
    </w:p>
    <w:p>
      <w:pPr>
        <w:pStyle w:val="BlockText"/>
      </w:pPr>
      <w:r>
        <w:t xml:space="preserve">A Seção 9d.5 apresenta o modelo de seleção adversa no framework de teoria dos jogos, incluindo a formalização do market unraveling como processo iterativo e a conexão com o desenho de mecanismos (Princípio da Revelação). Aqui, o foco é a análise de mercado: o modelo de Akerlof com exemplos numéricos, as soluções institucionais (sinalização, screening, certificação, regulação) e as aplicações brasileiras.</w:t>
      </w:r>
    </w:p>
    <w:bookmarkStart w:id="1196" w:name="o-mercado-de-limões-akerlof-1970"/>
    <w:p>
      <w:pPr>
        <w:pStyle w:val="Heading4"/>
      </w:pPr>
      <w:r>
        <w:t xml:space="preserve">19.4.1 O mercado de limões (Akerlof, 1970)</w:t>
      </w:r>
    </w:p>
    <w:p>
      <w:pPr>
        <w:pStyle w:val="FirstParagraph"/>
      </w:pPr>
      <w:r>
        <w:t xml:space="preserve">George Akerlof demonstrou, em um dos artigos mais influentes de toda a história da economia, que a assimetria de informação pode levar ao colapso de mercados inteiros. O artigo, inicialmente rejeitado por três journals (incluindo AER e JPE) por ser</w:t>
      </w:r>
      <w:r>
        <w:t xml:space="preserve"> </w:t>
      </w:r>
      <w:r>
        <w:t xml:space="preserve">“trivial”</w:t>
      </w:r>
      <w:r>
        <w:t xml:space="preserve"> </w:t>
      </w:r>
      <w:r>
        <w:t xml:space="preserve">ou</w:t>
      </w:r>
      <w:r>
        <w:t xml:space="preserve"> </w:t>
      </w:r>
      <w:r>
        <w:t xml:space="preserve">“errado”</w:t>
      </w:r>
      <w:r>
        <w:t xml:space="preserve">, acabou publicado no</w:t>
      </w:r>
      <w:r>
        <w:t xml:space="preserve"> </w:t>
      </w:r>
      <w:r>
        <w:rPr>
          <w:i/>
          <w:iCs/>
        </w:rPr>
        <w:t xml:space="preserve">Quarterly Journal of Economics</w:t>
      </w:r>
      <w:r>
        <w:t xml:space="preserve"> </w:t>
      </w:r>
      <w:r>
        <w:t xml:space="preserve">e viria a render a Akerlof o Nobel em 2001. Considere um mercado de carros usados com dois tipos:</w:t>
      </w:r>
    </w:p>
    <w:p>
      <w:pPr>
        <w:pStyle w:val="Compact"/>
        <w:numPr>
          <w:ilvl w:val="0"/>
          <w:numId w:val="2052"/>
        </w:numPr>
      </w:pPr>
      <w:r>
        <w:rPr>
          <w:b/>
          <w:bCs/>
        </w:rPr>
        <w:t xml:space="preserve">Carros bons</w:t>
      </w:r>
      <w:r>
        <w:t xml:space="preserve"> </w:t>
      </w:r>
      <w:r>
        <w:t xml:space="preserve">(</w:t>
      </w:r>
      <w:r>
        <w:t xml:space="preserve">“cerejas”</w:t>
      </w:r>
      <w:r>
        <w:t xml:space="preserve">): valor</w:t>
      </w:r>
      <w:r>
        <w:t xml:space="preserve"> </w:t>
      </w:r>
      <m:oMath>
        <m:sSub>
          <m:e>
            <m:r>
              <m:t>V</m:t>
            </m:r>
          </m:e>
          <m:sub>
            <m:r>
              <m:t>H</m:t>
            </m:r>
          </m:sub>
        </m:sSub>
      </m:oMath>
      <w:r>
        <w:t xml:space="preserve"> </w:t>
      </w:r>
      <w:r>
        <w:t xml:space="preserve">para o comprador,</w:t>
      </w:r>
      <w:r>
        <w:t xml:space="preserve"> </w:t>
      </w:r>
      <m:oMath>
        <m:sSub>
          <m:e>
            <m:r>
              <m:t>C</m:t>
            </m:r>
          </m:e>
          <m:sub>
            <m:r>
              <m:t>H</m:t>
            </m:r>
          </m:sub>
        </m:sSub>
      </m:oMath>
      <w:r>
        <w:t xml:space="preserve"> </w:t>
      </w:r>
      <w:r>
        <w:t xml:space="preserve">para o vendedor, com</w:t>
      </w:r>
      <w:r>
        <w:t xml:space="preserve"> </w:t>
      </w:r>
      <m:oMath>
        <m:sSub>
          <m:e>
            <m:r>
              <m:t>V</m:t>
            </m:r>
          </m:e>
          <m:sub>
            <m:r>
              <m:t>H</m:t>
            </m:r>
          </m:sub>
        </m:sSub>
        <m:r>
          <m:rPr>
            <m:sty m:val="p"/>
          </m:rPr>
          <m:t>&gt;</m:t>
        </m:r>
        <m:sSub>
          <m:e>
            <m:r>
              <m:t>C</m:t>
            </m:r>
          </m:e>
          <m:sub>
            <m:r>
              <m:t>H</m:t>
            </m:r>
          </m:sub>
        </m:sSub>
      </m:oMath>
      <w:r>
        <w:t xml:space="preserve">.</w:t>
      </w:r>
    </w:p>
    <w:p>
      <w:pPr>
        <w:pStyle w:val="Compact"/>
        <w:numPr>
          <w:ilvl w:val="0"/>
          <w:numId w:val="2052"/>
        </w:numPr>
      </w:pPr>
      <w:r>
        <w:rPr>
          <w:b/>
          <w:bCs/>
        </w:rPr>
        <w:t xml:space="preserve">Carros ruins</w:t>
      </w:r>
      <w:r>
        <w:t xml:space="preserve"> </w:t>
      </w:r>
      <w:r>
        <w:t xml:space="preserve">(</w:t>
      </w:r>
      <w:r>
        <w:t xml:space="preserve">“limões”</w:t>
      </w:r>
      <w:r>
        <w:t xml:space="preserve">): valor</w:t>
      </w:r>
      <w:r>
        <w:t xml:space="preserve"> </w:t>
      </w:r>
      <m:oMath>
        <m:sSub>
          <m:e>
            <m:r>
              <m:t>V</m:t>
            </m:r>
          </m:e>
          <m:sub>
            <m:r>
              <m:t>L</m:t>
            </m:r>
          </m:sub>
        </m:sSub>
      </m:oMath>
      <w:r>
        <w:t xml:space="preserve"> </w:t>
      </w:r>
      <w:r>
        <w:t xml:space="preserve">para o comprador,</w:t>
      </w:r>
      <w:r>
        <w:t xml:space="preserve"> </w:t>
      </w:r>
      <m:oMath>
        <m:sSub>
          <m:e>
            <m:r>
              <m:t>C</m:t>
            </m:r>
          </m:e>
          <m:sub>
            <m:r>
              <m:t>L</m:t>
            </m:r>
          </m:sub>
        </m:sSub>
      </m:oMath>
      <w:r>
        <w:t xml:space="preserve"> </w:t>
      </w:r>
      <w:r>
        <w:t xml:space="preserve">para o vendedor, com</w:t>
      </w:r>
      <w:r>
        <w:t xml:space="preserve"> </w:t>
      </w:r>
      <m:oMath>
        <m:sSub>
          <m:e>
            <m:r>
              <m:t>V</m:t>
            </m:r>
          </m:e>
          <m:sub>
            <m:r>
              <m:t>L</m:t>
            </m:r>
          </m:sub>
        </m:sSub>
        <m:r>
          <m:rPr>
            <m:sty m:val="p"/>
          </m:rPr>
          <m:t>&gt;</m:t>
        </m:r>
        <m:sSub>
          <m:e>
            <m:r>
              <m:t>C</m:t>
            </m:r>
          </m:e>
          <m:sub>
            <m:r>
              <m:t>L</m:t>
            </m:r>
          </m:sub>
        </m:sSub>
      </m:oMath>
      <w:r>
        <w:t xml:space="preserve">.</w:t>
      </w:r>
    </w:p>
    <w:p>
      <w:pPr>
        <w:pStyle w:val="FirstParagraph"/>
      </w:pPr>
      <w:r>
        <w:t xml:space="preserve">Suponha</w:t>
      </w:r>
      <w:r>
        <w:t xml:space="preserve"> </w:t>
      </w:r>
      <m:oMath>
        <m:sSub>
          <m:e>
            <m:r>
              <m:t>V</m:t>
            </m:r>
          </m:e>
          <m:sub>
            <m:r>
              <m:t>H</m:t>
            </m:r>
          </m:sub>
        </m:sSub>
        <m:r>
          <m:rPr>
            <m:sty m:val="p"/>
          </m:rPr>
          <m:t>&gt;</m:t>
        </m:r>
        <m:sSub>
          <m:e>
            <m:r>
              <m:t>C</m:t>
            </m:r>
          </m:e>
          <m:sub>
            <m:r>
              <m:t>H</m:t>
            </m:r>
          </m:sub>
        </m:sSub>
        <m:r>
          <m:rPr>
            <m:sty m:val="p"/>
          </m:rPr>
          <m:t>&gt;</m:t>
        </m:r>
        <m:sSub>
          <m:e>
            <m:r>
              <m:t>V</m:t>
            </m:r>
          </m:e>
          <m:sub>
            <m:r>
              <m:t>L</m:t>
            </m:r>
          </m:sub>
        </m:sSub>
        <m:r>
          <m:rPr>
            <m:sty m:val="p"/>
          </m:rPr>
          <m:t>&gt;</m:t>
        </m:r>
        <m:sSub>
          <m:e>
            <m:r>
              <m:t>C</m:t>
            </m:r>
          </m:e>
          <m:sub>
            <m:r>
              <m:t>L</m:t>
            </m:r>
          </m:sub>
        </m:sSub>
      </m:oMath>
      <w:r>
        <w:t xml:space="preserve"> </w:t>
      </w:r>
      <w:r>
        <w:t xml:space="preserve">e que uma fração</w:t>
      </w:r>
      <w:r>
        <w:t xml:space="preserve"> </w:t>
      </w:r>
      <m:oMath>
        <m:r>
          <m:t>λ</m:t>
        </m:r>
      </m:oMath>
      <w:r>
        <w:t xml:space="preserve"> </w:t>
      </w:r>
      <w:r>
        <w:t xml:space="preserve">dos carros são bons. O vendedor conhece a qualidade do seu carro (ele sabe se trocou o óleo regularmente, se teve acidentes, se a transmissão faz barulhos estranhos); o comprador, não. Sob informação simétrica, ambos os tipos seriam transacionados com ganhos mútuos — pois</w:t>
      </w:r>
      <w:r>
        <w:t xml:space="preserve"> </w:t>
      </w:r>
      <m:oMath>
        <m:sSub>
          <m:e>
            <m:r>
              <m:t>V</m:t>
            </m:r>
          </m:e>
          <m:sub>
            <m:r>
              <m:t>H</m:t>
            </m:r>
          </m:sub>
        </m:sSub>
        <m:r>
          <m:rPr>
            <m:sty m:val="p"/>
          </m:rPr>
          <m:t>&gt;</m:t>
        </m:r>
        <m:sSub>
          <m:e>
            <m:r>
              <m:t>C</m:t>
            </m:r>
          </m:e>
          <m:sub>
            <m:r>
              <m:t>H</m:t>
            </m:r>
          </m:sub>
        </m:sSub>
      </m:oMath>
      <w:r>
        <w:t xml:space="preserve"> </w:t>
      </w:r>
      <w:r>
        <w:t xml:space="preserve">e</w:t>
      </w:r>
      <w:r>
        <w:t xml:space="preserve"> </w:t>
      </w:r>
      <m:oMath>
        <m:sSub>
          <m:e>
            <m:r>
              <m:t>V</m:t>
            </m:r>
          </m:e>
          <m:sub>
            <m:r>
              <m:t>L</m:t>
            </m:r>
          </m:sub>
        </m:sSub>
        <m:r>
          <m:rPr>
            <m:sty m:val="p"/>
          </m:rPr>
          <m:t>&gt;</m:t>
        </m:r>
        <m:sSub>
          <m:e>
            <m:r>
              <m:t>C</m:t>
            </m:r>
          </m:e>
          <m:sub>
            <m:r>
              <m:t>L</m:t>
            </m:r>
          </m:sub>
        </m:sSub>
      </m:oMath>
      <w:r>
        <w:t xml:space="preserve">. A questão central é: o que acontece quando o comprador não consegue distinguir os tipos?</w:t>
      </w:r>
    </w:p>
    <w:p>
      <w:pPr>
        <w:pStyle w:val="BodyText"/>
      </w:pPr>
      <w:r>
        <w:t xml:space="preserve">A resposta de Akerlof é surpreendente em sua simplicidade e devastadora em suas implicações. O raciocínio opera em etapas, cada uma reforçando a anterior em uma espiral descendente que pode destruir o mercado inteiro:</w:t>
      </w:r>
    </w:p>
    <w:p>
      <w:pPr>
        <w:pStyle w:val="BodyText"/>
      </w:pPr>
      <w:r>
        <w:t xml:space="preserve">Se o comprador não distingue os tipos, está disposto a pagar no máximo:</w:t>
      </w:r>
    </w:p>
    <w:p>
      <w:pPr>
        <w:pStyle w:val="BodyText"/>
      </w:pPr>
      <w:r>
        <w:t xml:space="preserve">$$
    \bar{V} = \lambda V_H + (1 - \lambda) V_L
    \label{eq:19.9} \tag{19.9} 
    $$</w:t>
      </w:r>
    </w:p>
    <w:p>
      <w:pPr>
        <w:pStyle w:val="FirstParagraph"/>
      </w:pPr>
      <w:r>
        <w:t xml:space="preserve">Se</w:t>
      </w:r>
      <w:r>
        <w:t xml:space="preserve"> </w:t>
      </w:r>
      <m:oMath>
        <m:acc>
          <m:accPr>
            <m:chr m:val="‾"/>
          </m:accPr>
          <m:e>
            <m:r>
              <m:t>V</m:t>
            </m:r>
          </m:e>
        </m:acc>
        <m:r>
          <m:rPr>
            <m:sty m:val="p"/>
          </m:rPr>
          <m:t>&lt;</m:t>
        </m:r>
        <m:sSub>
          <m:e>
            <m:r>
              <m:t>C</m:t>
            </m:r>
          </m:e>
          <m:sub>
            <m:r>
              <m:t>H</m:t>
            </m:r>
          </m:sub>
        </m:sSub>
      </m:oMath>
      <w:r>
        <w:t xml:space="preserve">, os donos de carros bons não aceitam vender pelo preço médio. Somente carros ruins permanecem no mercado, e o comprador, antecipando isso, oferece no máximo</w:t>
      </w:r>
      <w:r>
        <w:t xml:space="preserve"> </w:t>
      </w:r>
      <m:oMath>
        <m:sSub>
          <m:e>
            <m:r>
              <m:t>V</m:t>
            </m:r>
          </m:e>
          <m:sub>
            <m:r>
              <m:t>L</m:t>
            </m:r>
          </m:sub>
        </m:sSub>
      </m:oMath>
      <w:r>
        <w:t xml:space="preserve">. A</w:t>
      </w:r>
      <w:r>
        <w:t xml:space="preserve"> </w:t>
      </w:r>
      <w:r>
        <w:rPr>
          <w:b/>
          <w:bCs/>
        </w:rPr>
        <w:t xml:space="preserve">qualidade média do mercado cai</w:t>
      </w:r>
      <w:r>
        <w:t xml:space="preserve">, configurando a seleção adversa: os</w:t>
      </w:r>
      <w:r>
        <w:t xml:space="preserve"> </w:t>
      </w:r>
      <w:r>
        <w:t xml:space="preserve">“bons”</w:t>
      </w:r>
      <w:r>
        <w:t xml:space="preserve"> </w:t>
      </w:r>
      <w:r>
        <w:t xml:space="preserve">saem, os</w:t>
      </w:r>
      <w:r>
        <w:t xml:space="preserve"> </w:t>
      </w:r>
      <w:r>
        <w:t xml:space="preserve">“ruins”</w:t>
      </w:r>
      <w:r>
        <w:t xml:space="preserve"> </w:t>
      </w:r>
      <w:r>
        <w:t xml:space="preserve">ficam. Em casos extremos, o mercado desaparece completamente — uma situação conhecida como</w:t>
      </w:r>
      <w:r>
        <w:t xml:space="preserve"> </w:t>
      </w:r>
      <w:r>
        <w:rPr>
          <w:i/>
          <w:iCs/>
        </w:rPr>
        <w:t xml:space="preserve">market unraveling</w:t>
      </w:r>
      <w:r>
        <w:t xml:space="preserve">.</w:t>
      </w:r>
    </w:p>
    <w:p>
      <w:pPr>
        <w:pStyle w:val="BlockText"/>
      </w:pPr>
      <w:r>
        <w:rPr>
          <w:b/>
          <w:bCs/>
        </w:rPr>
        <w:t xml:space="preserve">[NOTA] Resultado de Akerlof</w:t>
      </w:r>
    </w:p>
    <w:p>
      <w:pPr>
        <w:pStyle w:val="BlockText"/>
      </w:pPr>
      <w:r>
        <w:t xml:space="preserve">Em casos extremos, a seleção adversa pode provocar o</w:t>
      </w:r>
      <w:r>
        <w:t xml:space="preserve"> </w:t>
      </w:r>
      <w:r>
        <w:rPr>
          <w:b/>
          <w:bCs/>
        </w:rPr>
        <w:t xml:space="preserve">desaparecimento completo</w:t>
      </w:r>
      <w:r>
        <w:t xml:space="preserve"> </w:t>
      </w:r>
      <w:r>
        <w:t xml:space="preserve">do mercado (market unraveling), mesmo quando ganhos de troca existiriam sob informação simétrica. Esse resultado mostra que a informação assimétrica é uma genuína</w:t>
      </w:r>
      <w:r>
        <w:t xml:space="preserve"> </w:t>
      </w:r>
      <w:r>
        <w:rPr>
          <w:b/>
          <w:bCs/>
        </w:rPr>
        <w:t xml:space="preserve">falha de mercado</w:t>
      </w:r>
      <w:r>
        <w:t xml:space="preserve"> </w:t>
      </w:r>
      <w:r>
        <w:t xml:space="preserve">— distinta das falhas de concorrência (monopólio) e das externalidades, e que justifica intervenções como regulação de qualidade, garantias obrigatórias e certificação.</w:t>
      </w:r>
    </w:p>
    <w:p>
      <w:pPr>
        <w:pStyle w:val="BlockText"/>
      </w:pPr>
      <w:r>
        <w:rPr>
          <w:b/>
          <w:bCs/>
        </w:rPr>
        <w:t xml:space="preserve">[INFORMACAO] 🏅 Prêmio Nobel — George A. Akerlof, A. Michael Spence e Joseph E. Stiglitz (2001)</w:t>
      </w:r>
    </w:p>
    <w:p>
      <w:pPr>
        <w:pStyle w:val="BlockText"/>
      </w:pPr>
      <w:r>
        <w:rPr>
          <w:b/>
          <w:bCs/>
        </w:rPr>
        <w:t xml:space="preserve">George Arthur Akerlof</w:t>
      </w:r>
      <w:r>
        <w:t xml:space="preserve"> </w:t>
      </w:r>
      <w:r>
        <w:t xml:space="preserve">(1940–presente) é um economista americano, PhD no MIT, professor em Berkeley e Georgetown.</w:t>
      </w:r>
      <w:r>
        <w:t xml:space="preserve"> </w:t>
      </w:r>
      <w:r>
        <w:rPr>
          <w:b/>
          <w:bCs/>
        </w:rPr>
        <w:t xml:space="preserve">Andrew Michael Spence</w:t>
      </w:r>
      <w:r>
        <w:t xml:space="preserve"> </w:t>
      </w:r>
      <w:r>
        <w:t xml:space="preserve">(1943–presente) é um economista americano, PhD em Harvard, professor em Harvard e Stanford.</w:t>
      </w:r>
      <w:r>
        <w:t xml:space="preserve"> </w:t>
      </w:r>
      <w:r>
        <w:rPr>
          <w:b/>
          <w:bCs/>
        </w:rPr>
        <w:t xml:space="preserve">Joseph Eugene Stiglitz</w:t>
      </w:r>
      <w:r>
        <w:t xml:space="preserve"> </w:t>
      </w:r>
      <w:r>
        <w:t xml:space="preserve">(1943–presente) é um economista americano, PhD no MIT sob orientação de Paul Samuelson, professor na Universidade de Columbia.</w:t>
      </w:r>
    </w:p>
    <w:p>
      <w:pPr>
        <w:pStyle w:val="BlockText"/>
      </w:pPr>
      <w:r>
        <w:rPr>
          <w:b/>
          <w:bCs/>
        </w:rPr>
        <w:t xml:space="preserve">Por que ganharam o Nobel:</w:t>
      </w:r>
      <w:r>
        <w:t xml:space="preserve"> </w:t>
      </w:r>
      <w:r>
        <w:t xml:space="preserve">Premiados por suas análises de mercados com informação assimétrica. Akerlof mostrou que a assimetria de informação sobre qualidade pode levar ao colapso de mercados (</w:t>
      </w:r>
      <w:r>
        <w:rPr>
          <w:i/>
          <w:iCs/>
        </w:rPr>
        <w:t xml:space="preserve">The Market for</w:t>
      </w:r>
      <w:r>
        <w:rPr>
          <w:i/>
          <w:iCs/>
        </w:rPr>
        <w:t xml:space="preserve"> </w:t>
      </w:r>
      <w:r>
        <w:rPr>
          <w:i/>
          <w:iCs/>
        </w:rPr>
        <w:t xml:space="preserve">“Lemons”</w:t>
      </w:r>
      <w:r>
        <w:t xml:space="preserve">, 1970). Spence demonstrou como agentes informados podem usar ações custosas para sinalizar suas características (</w:t>
      </w:r>
      <w:r>
        <w:rPr>
          <w:i/>
          <w:iCs/>
        </w:rPr>
        <w:t xml:space="preserve">Job Market Signaling</w:t>
      </w:r>
      <w:r>
        <w:t xml:space="preserve">, 1973). Stiglitz (com Rothschild) analisou como a parte desinformada pode usar menus de contratos para induzir autosseleção (</w:t>
      </w:r>
      <w:r>
        <w:rPr>
          <w:i/>
          <w:iCs/>
        </w:rPr>
        <w:t xml:space="preserve">screening</w:t>
      </w:r>
      <w:r>
        <w:t xml:space="preserve">), com aplicação seminal a mercados de seguros (1976).</w:t>
      </w:r>
    </w:p>
    <w:p>
      <w:pPr>
        <w:pStyle w:val="BlockText"/>
      </w:pPr>
      <w:r>
        <w:rPr>
          <w:b/>
          <w:bCs/>
        </w:rPr>
        <w:t xml:space="preserve">Conexão com este capítulo:</w:t>
      </w:r>
      <w:r>
        <w:t xml:space="preserve"> </w:t>
      </w:r>
      <w:r>
        <w:t xml:space="preserve">Os três problemas fundamentais de informação assimétrica analisados neste capítulo — seleção adversa (Akerlof), sinalização (Spence) e triagem (Stiglitz) — correspondem diretamente às contribuições premiadas em 2001.</w:t>
      </w:r>
    </w:p>
    <w:p>
      <w:pPr>
        <w:pStyle w:val="BlockText"/>
      </w:pPr>
      <w:r>
        <w:rPr>
          <w:b/>
          <w:bCs/>
        </w:rPr>
        <w:t xml:space="preserve">[INTUICAO ECONOMICA] Intuição Econômica</w:t>
      </w:r>
    </w:p>
    <w:p>
      <w:pPr>
        <w:pStyle w:val="BlockText"/>
      </w:pPr>
      <w:r>
        <w:rPr>
          <w:b/>
          <w:bCs/>
        </w:rPr>
        <w:t xml:space="preserve">Em uma frase:</w:t>
      </w:r>
      <w:r>
        <w:t xml:space="preserve"> </w:t>
      </w:r>
      <w:r>
        <w:t xml:space="preserve">Quando o comprador não consegue distinguir produtos bons de ruins, os bons somem do mercado — porque ninguém paga o preço justo por eles.</w:t>
      </w:r>
    </w:p>
    <w:p>
      <w:pPr>
        <w:pStyle w:val="BlockText"/>
      </w:pPr>
      <w:r>
        <w:rPr>
          <w:b/>
          <w:bCs/>
        </w:rPr>
        <w:t xml:space="preserve">Pense assim:</w:t>
      </w:r>
      <w:r>
        <w:t xml:space="preserve"> </w:t>
      </w:r>
      <w:r>
        <w:t xml:space="preserve">No mercado de carros usados no Brasil, quem vende um carro bem cuidado compete com quem vende um carro cheio de problemas escondidos. O comprador, desconfiado, só topa pagar um preço médio. Mas esse preço é baixo demais para quem tem carro bom, que desiste de vender. Sobram só os</w:t>
      </w:r>
      <w:r>
        <w:t xml:space="preserve"> </w:t>
      </w:r>
      <w:r>
        <w:t xml:space="preserve">“abacaxis”</w:t>
      </w:r>
      <w:r>
        <w:t xml:space="preserve"> </w:t>
      </w:r>
      <w:r>
        <w:t xml:space="preserve">— e o comprador, sabendo disso, oferece menos ainda.</w:t>
      </w:r>
    </w:p>
    <w:p>
      <w:pPr>
        <w:pStyle w:val="BlockText"/>
      </w:pPr>
      <w:r>
        <w:rPr>
          <w:b/>
          <w:bCs/>
        </w:rPr>
        <w:t xml:space="preserve">Por que isso importa:</w:t>
      </w:r>
      <w:r>
        <w:t xml:space="preserve"> </w:t>
      </w:r>
      <w:r>
        <w:t xml:space="preserve">Plataformas como OLX, laudos de vistoria cautelar e garantias de concessionária existem justamente para quebrar esse ciclo, reduzindo a assimetria de informação e permitindo que transações boas aconteçam.</w:t>
      </w:r>
    </w:p>
    <w:p>
      <w:pPr>
        <w:pStyle w:val="FirstParagraph"/>
      </w:pPr>
      <w:r>
        <w:t xml:space="preserve">No gráfico interativo abaixo, ajuste a fração de limões e observe como a seleção adversa pode levar ao colapso do mercado.</w:t>
      </w:r>
    </w:p>
    <w:p>
      <w:pPr>
        <w:pStyle w:val="BodyText"/>
      </w:pPr>
      <w:r>
        <w:t xml:space="preserve">[FIGURA INTERATIVA: /micro-book/graficos/cap19/mercado-limoes.html — versao interativa disponivel online]</w:t>
      </w:r>
    </w:p>
    <w:p>
      <w:pPr>
        <w:pStyle w:val="BodyText"/>
      </w:pPr>
      <w:r>
        <w:rPr>
          <w:b/>
          <w:bCs/>
        </w:rPr>
        <w:t xml:space="preserve">Figura 19.2 — Mercado de limões (Akerlof, 1970).</w:t>
      </w:r>
      <w:r>
        <w:t xml:space="preserve"> </w:t>
      </w:r>
      <w:r>
        <w:t xml:space="preserve">Ajuste a fração de limões e observe como a seleção adversa leva ao colapso do mercado quando a disposição a pagar do comprador cai abaixo do custo de reserva dos vendedores de carros bons.</w:t>
      </w:r>
    </w:p>
    <w:p>
      <w:pPr>
        <w:pStyle w:val="BlockText"/>
      </w:pPr>
      <w:r>
        <w:rPr>
          <w:b/>
          <w:bCs/>
        </w:rPr>
        <w:t xml:space="preserve">[BOX MUNDO] Box Mundo 19.1 — O problema dos limões no mundo: inspeção veicular no Japão</w:t>
      </w:r>
    </w:p>
    <w:p>
      <w:pPr>
        <w:pStyle w:val="BlockText"/>
      </w:pPr>
      <w:r>
        <w:rPr>
          <w:b/>
          <w:bCs/>
        </w:rPr>
        <w:t xml:space="preserve">Contexto:</w:t>
      </w:r>
      <w:r>
        <w:t xml:space="preserve"> </w:t>
      </w:r>
      <w:r>
        <w:t xml:space="preserve">O Japão desenvolveu um dos sistemas mais rigorosos do mundo para mitigar o</w:t>
      </w:r>
      <w:r>
        <w:t xml:space="preserve"> </w:t>
      </w:r>
      <w:r>
        <w:t xml:space="preserve">“problema dos limões”</w:t>
      </w:r>
      <w:r>
        <w:t xml:space="preserve"> </w:t>
      </w:r>
      <w:r>
        <w:t xml:space="preserve">no mercado de veículos usados. O sistema</w:t>
      </w:r>
      <w:r>
        <w:t xml:space="preserve"> </w:t>
      </w:r>
      <w:r>
        <w:rPr>
          <w:i/>
          <w:iCs/>
        </w:rPr>
        <w:t xml:space="preserve">shaken</w:t>
      </w:r>
      <w:r>
        <w:t xml:space="preserve"> </w:t>
      </w:r>
      <w:r>
        <w:rPr>
          <w:rFonts w:hint="eastAsia"/>
        </w:rPr>
        <w:t xml:space="preserve">(車検)</w:t>
      </w:r>
      <w:r>
        <w:t xml:space="preserve"> — inspeção veicular obrigatória — exige que todos os veículos passem por inspeções a cada dois anos (para carros com mais de 3 anos), com custo que varia de ¥80.000 a ¥200.000 (US$ 550–1.400). A rigidez e o custo da inspeção tornam economicamente inviável manter veículos antigos, gerando um fluxo constante de carros usados de alta qualidade a preços acessíveis.</w:t>
      </w:r>
    </w:p>
    <w:p>
      <w:pPr>
        <w:pStyle w:val="BlockText"/>
      </w:pPr>
      <w:r>
        <w:rPr>
          <w:b/>
          <w:bCs/>
        </w:rPr>
        <w:t xml:space="preserve">Dados:</w:t>
      </w:r>
      <w:r>
        <w:t xml:space="preserve"> </w:t>
      </w:r>
      <w:r>
        <w:t xml:space="preserve">Segundo dados da Japan Automobile Dealers Association (JADA), o Japão exporta anualmente mais de 1,3 milhão de veículos usados, principalmente para mercados em desenvolvimento na África, Ásia e América Latina. A idade média dos veículos exportados é de apenas 7–10 anos, com quilometragem frequentemente inferior a 100.000 km — muito abaixo do padrão de</w:t>
      </w:r>
      <w:r>
        <w:t xml:space="preserve"> </w:t>
      </w:r>
      <w:r>
        <w:t xml:space="preserve">“limões”</w:t>
      </w:r>
      <w:r>
        <w:t xml:space="preserve"> </w:t>
      </w:r>
      <w:r>
        <w:t xml:space="preserve">previsto pelo modelo de Akerlof. O mercado interno japonês de usados movimentou ¥3,8 trilhões (US$ 26 bilhões) em 2023, com sistemas de certificação por pontuação (</w:t>
      </w:r>
      <w:r>
        <w:rPr>
          <w:i/>
          <w:iCs/>
        </w:rPr>
        <w:t xml:space="preserve">auction grade</w:t>
      </w:r>
      <w:r>
        <w:t xml:space="preserve">) de 1 a 5 que reduzem drasticamente a assimetria de informação.</w:t>
      </w:r>
    </w:p>
    <w:p>
      <w:pPr>
        <w:pStyle w:val="BlockText"/>
      </w:pPr>
      <w:r>
        <w:rPr>
          <w:b/>
          <w:bCs/>
        </w:rPr>
        <w:t xml:space="preserve">Análise:</w:t>
      </w:r>
      <w:r>
        <w:t xml:space="preserve"> </w:t>
      </w:r>
      <w:r>
        <w:t xml:space="preserve">O sistema japonês combina dois mecanismos teóricos: (i)</w:t>
      </w:r>
      <w:r>
        <w:t xml:space="preserve"> </w:t>
      </w:r>
      <w:r>
        <w:rPr>
          <w:i/>
          <w:iCs/>
        </w:rPr>
        <w:t xml:space="preserve">certificação obrigatória</w:t>
      </w:r>
      <w:r>
        <w:t xml:space="preserve"> </w:t>
      </w:r>
      <w:r>
        <w:t xml:space="preserve">— a inspeção shaken funciona como um sinal crível de qualidade, análogo à sinalização de Spence (Seção 19.5), onde o custo do sinal (inspeção cara) é arcado pelo vendedor; (ii)</w:t>
      </w:r>
      <w:r>
        <w:t xml:space="preserve"> </w:t>
      </w:r>
      <w:r>
        <w:rPr>
          <w:i/>
          <w:iCs/>
        </w:rPr>
        <w:t xml:space="preserve">padronização de informação</w:t>
      </w:r>
      <w:r>
        <w:t xml:space="preserve"> </w:t>
      </w:r>
      <w:r>
        <w:t xml:space="preserve">— o sistema de pontuação nos leilões (auction grade) converte informação privada sobre qualidade em informação pública, eliminando a assimetria que causa a seleção adversa. O resultado é um mercado de usados que funciona eficientemente, contrariando a previsão pessimista do modelo de Akerlof para mercados sem mecanismos de revelação.</w:t>
      </w:r>
    </w:p>
    <w:p>
      <w:pPr>
        <w:pStyle w:val="BlockText"/>
      </w:pPr>
      <w:r>
        <w:rPr>
          <w:b/>
          <w:bCs/>
        </w:rPr>
        <w:t xml:space="preserve">Fonte:</w:t>
      </w:r>
      <w:r>
        <w:t xml:space="preserve"> </w:t>
      </w:r>
      <w:r>
        <w:t xml:space="preserve">Japan Automobile Dealers Association (JADA),</w:t>
      </w:r>
      <w:r>
        <w:t xml:space="preserve"> </w:t>
      </w:r>
      <w:r>
        <w:rPr>
          <w:i/>
          <w:iCs/>
        </w:rPr>
        <w:t xml:space="preserve">Used Car Market Statistics 2023</w:t>
      </w:r>
      <w:r>
        <w:t xml:space="preserve">. Japan Used Motor Vehicle Exporters Association (JUMVEA),</w:t>
      </w:r>
      <w:r>
        <w:t xml:space="preserve"> </w:t>
      </w:r>
      <w:r>
        <w:rPr>
          <w:i/>
          <w:iCs/>
        </w:rPr>
        <w:t xml:space="preserve">Annual Report 2023</w:t>
      </w:r>
      <w:r>
        <w:t xml:space="preserve">.</w:t>
      </w:r>
    </w:p>
    <w:p>
      <w:pPr>
        <w:pStyle w:val="FirstParagraph"/>
      </w:pPr>
      <w:r>
        <w:t xml:space="preserve">O exercício a seguir aplica o modelo de Akerlof a um caso numérico.</w:t>
      </w:r>
    </w:p>
    <w:p>
      <w:pPr>
        <w:pStyle w:val="BlockText"/>
      </w:pPr>
      <w:r>
        <w:rPr>
          <w:b/>
          <w:bCs/>
        </w:rPr>
        <w:t xml:space="preserve">[EXERCICIO RESOLVIDO] Exercício Resolvido 19.3 — Seleção adversa no mercado de limões</w:t>
      </w:r>
    </w:p>
    <w:p>
      <w:pPr>
        <w:pStyle w:val="BlockText"/>
      </w:pPr>
      <w:r>
        <w:rPr>
          <w:b/>
          <w:bCs/>
        </w:rPr>
        <w:t xml:space="preserve">Enunciado:</w:t>
      </w:r>
      <w:r>
        <w:t xml:space="preserve"> </w:t>
      </w:r>
      <w:r>
        <w:t xml:space="preserve">Em um mercado de carros usados à la Akerlof, 40% dos carros são bons e 60% são ruins. Carros bons valem R$ 24.000 para compradores e R$ 20.000 para vendedores. Carros ruins valem R$ 10.000 para compradores e R$ 6.000 para vendedores. (a) O mercado de carros bons funciona? (b) Qual é a perda de bem-estar causada pela assimetria? (c) Se um serviço de vistoria confiável custasse R$ 500, valeria a pena para o vendedor de carro bom?</w:t>
      </w:r>
    </w:p>
    <w:p>
      <w:r>
        <w:pict>
          <v:rect style="width:0;height:1.5pt" o:hralign="center" o:hrstd="t" o:hr="t"/>
        </w:pict>
      </w:r>
    </w:p>
    <w:p>
      <w:pPr>
        <w:pStyle w:val="BlockText"/>
      </w:pPr>
      <w:r>
        <w:rPr>
          <w:b/>
          <w:bCs/>
        </w:rPr>
        <w:t xml:space="preserve">(a)</w:t>
      </w:r>
      <w:r>
        <w:t xml:space="preserve"> </w:t>
      </w:r>
      <w:r>
        <w:t xml:space="preserve">Preço máximo do comprador desinformado:</w:t>
      </w:r>
    </w:p>
    <w:p>
      <w:pPr>
        <w:pStyle w:val="BlockText"/>
      </w:pPr>
      <w:r>
        <w:t xml:space="preserve">$$</w:t>
      </w:r>
    </w:p>
    <w:p>
      <w:pPr>
        <w:pStyle w:val="BlockText"/>
      </w:pPr>
      <w:r>
        <w:t xml:space="preserve">{V} = 0{,}4</w:t>
      </w:r>
      <w:r>
        <w:t xml:space="preserve"> </w:t>
      </w:r>
      <w:r>
        <w:t xml:space="preserve"> </w:t>
      </w:r>
      <w:r>
        <w:t xml:space="preserve">+ 0{,}6</w:t>
      </w:r>
      <w:r>
        <w:t xml:space="preserve"> </w:t>
      </w:r>
      <w:r>
        <w:t xml:space="preserve"> </w:t>
      </w:r>
      <w:r>
        <w:t xml:space="preserve">= 9.600 + 6.000 = 15.600</w:t>
      </w:r>
    </w:p>
    <w:p>
      <w:pPr>
        <w:pStyle w:val="BlockText"/>
      </w:pPr>
      <w:r>
        <w:t xml:space="preserve">$$</w:t>
      </w:r>
    </w:p>
    <w:p>
      <w:pPr>
        <w:pStyle w:val="BlockText"/>
      </w:pPr>
      <w:r>
        <w:t xml:space="preserve">Como</w:t>
      </w:r>
      <w:r>
        <w:t xml:space="preserve"> </w:t>
      </w:r>
      <m:oMath>
        <m:acc>
          <m:accPr>
            <m:chr m:val="‾"/>
          </m:accPr>
          <m:e>
            <m:r>
              <m:t>V</m:t>
            </m:r>
          </m:e>
        </m:acc>
        <m:r>
          <m:rPr>
            <m:sty m:val="p"/>
          </m:rPr>
          <m:t>=</m:t>
        </m:r>
        <m:r>
          <m:t>15.600</m:t>
        </m:r>
        <m:r>
          <m:rPr>
            <m:sty m:val="p"/>
          </m:rPr>
          <m:t>&lt;</m:t>
        </m:r>
        <m:sSub>
          <m:e>
            <m:r>
              <m:t>C</m:t>
            </m:r>
          </m:e>
          <m:sub>
            <m:r>
              <m:t>H</m:t>
            </m:r>
          </m:sub>
        </m:sSub>
        <m:r>
          <m:rPr>
            <m:sty m:val="p"/>
          </m:rPr>
          <m:t>=</m:t>
        </m:r>
        <m:r>
          <m:t>20.000</m:t>
        </m:r>
      </m:oMath>
      <w:r>
        <w:t xml:space="preserve">, os vendedores de carros bons</w:t>
      </w:r>
      <w:r>
        <w:t xml:space="preserve"> </w:t>
      </w:r>
      <w:r>
        <w:rPr>
          <w:b/>
          <w:bCs/>
        </w:rPr>
        <w:t xml:space="preserve">não aceitam</w:t>
      </w:r>
      <w:r>
        <w:t xml:space="preserve"> </w:t>
      </w:r>
      <w:r>
        <w:t xml:space="preserve">o preço médio. Apenas carros ruins são ofertados. O mercado de carros bons</w:t>
      </w:r>
      <w:r>
        <w:t xml:space="preserve"> </w:t>
      </w:r>
      <w:r>
        <w:rPr>
          <w:b/>
          <w:bCs/>
        </w:rPr>
        <w:t xml:space="preserve">colapsa</w:t>
      </w:r>
      <w:r>
        <w:t xml:space="preserve">.</w:t>
      </w:r>
    </w:p>
    <w:p>
      <w:pPr>
        <w:pStyle w:val="BlockText"/>
      </w:pPr>
      <w:r>
        <w:rPr>
          <w:b/>
          <w:bCs/>
        </w:rPr>
        <w:t xml:space="preserve">(b)</w:t>
      </w:r>
      <w:r>
        <w:t xml:space="preserve"> </w:t>
      </w:r>
      <w:r>
        <w:t xml:space="preserve">Sob informação simétrica, haveria ganhos de troca de R$ 4.000 por carro bom e R$ 4.000 por carro ruim. Com seleção adversa, os ganhos dos carros bons (40% do mercado) são perdidos:</w:t>
      </w:r>
      <w:r>
        <w:t xml:space="preserve"> </w:t>
      </w:r>
      <m:oMath>
        <m:r>
          <m:t>0</m:t>
        </m:r>
        <m:r>
          <m:rPr>
            <m:sty m:val="p"/>
          </m:rPr>
          <m:t>,</m:t>
        </m:r>
        <m:r>
          <m:t>4</m:t>
        </m:r>
        <m:r>
          <m:rPr>
            <m:sty m:val="p"/>
          </m:rPr>
          <m:t>×</m:t>
        </m:r>
        <m:r>
          <m:t>4.000</m:t>
        </m:r>
        <m:r>
          <m:rPr>
            <m:sty m:val="p"/>
          </m:rPr>
          <m:t>=</m:t>
        </m:r>
        <m:r>
          <m:rPr>
            <m:nor/>
            <m:sty m:val="p"/>
          </m:rPr>
          <m:t>R$</m:t>
        </m:r>
        <m:r>
          <m:t> </m:t>
        </m:r>
        <m:r>
          <m:t>1.600</m:t>
        </m:r>
      </m:oMath>
      <w:r>
        <w:t xml:space="preserve"> </w:t>
      </w:r>
      <w:r>
        <w:t xml:space="preserve">por carro em média.</w:t>
      </w:r>
    </w:p>
    <w:p>
      <w:pPr>
        <w:pStyle w:val="BlockText"/>
      </w:pPr>
      <w:r>
        <w:rPr>
          <w:b/>
          <w:bCs/>
        </w:rPr>
        <w:t xml:space="preserve">(c)</w:t>
      </w:r>
      <w:r>
        <w:t xml:space="preserve"> </w:t>
      </w:r>
      <w:r>
        <w:t xml:space="preserve">Com vistoria, o carro bom pode ser vendido a até R$ 24.000. O vendedor ganha</w:t>
      </w:r>
      <w:r>
        <w:t xml:space="preserve"> </w:t>
      </w:r>
      <m:oMath>
        <m:r>
          <m:t>24.000</m:t>
        </m:r>
        <m:r>
          <m:rPr>
            <m:sty m:val="p"/>
          </m:rPr>
          <m:t>−</m:t>
        </m:r>
        <m:r>
          <m:t>20.000</m:t>
        </m:r>
        <m:r>
          <m:rPr>
            <m:sty m:val="p"/>
          </m:rPr>
          <m:t>=</m:t>
        </m:r>
        <m:r>
          <m:t>4.000</m:t>
        </m:r>
      </m:oMath>
      <w:r>
        <w:t xml:space="preserve"> </w:t>
      </w:r>
      <w:r>
        <w:t xml:space="preserve">na transação. O custo da vistoria (R$ 500) é amplamente compensado.</w:t>
      </w:r>
      <w:r>
        <w:t xml:space="preserve"> </w:t>
      </w:r>
      <w:r>
        <w:rPr>
          <w:b/>
          <w:bCs/>
        </w:rPr>
        <w:t xml:space="preserve">Sim, vale a pena</w:t>
      </w:r>
      <w:r>
        <w:t xml:space="preserve"> </w:t>
      </w:r>
      <w:r>
        <w:t xml:space="preserve">— o que explica a existência de serviços como a Cautelar Express e laudos do Detran.</w:t>
      </w:r>
    </w:p>
    <w:p>
      <w:pPr>
        <w:pStyle w:val="FirstParagraph"/>
      </w:pPr>
      <w:r>
        <w:t xml:space="preserve">[FIGURA INTERATIVA: /micro-book/graficos/cap19/webr-limoes.html — versao interativa disponivel online]</w:t>
      </w:r>
    </w:p>
    <w:p>
      <w:pPr>
        <w:pStyle w:val="BodyText"/>
      </w:pPr>
      <w:r>
        <w:rPr>
          <w:b/>
          <w:bCs/>
        </w:rPr>
        <w:t xml:space="preserve">WebR 19.3 — Mercado de limões (Akerlof).</w:t>
      </w:r>
      <w:r>
        <w:t xml:space="preserve"> </w:t>
      </w:r>
      <w:r>
        <w:t xml:space="preserve">Altere a fração de carros bons e os valores de comprador/vendedor para ver quando a seleção adversa leva ao colapso do mercado. Encontre o limiar crítico de λ.</w:t>
      </w:r>
    </w:p>
    <w:bookmarkEnd w:id="1196"/>
    <w:bookmarkStart w:id="1197" w:name="Xe0877e4878d98f3610f800271f9e5cfc279d6a1"/>
    <w:p>
      <w:pPr>
        <w:pStyle w:val="Heading4"/>
      </w:pPr>
      <w:r>
        <w:t xml:space="preserve">19.4.2 Precificação não linear: menus de contratos</w:t>
      </w:r>
    </w:p>
    <w:p>
      <w:pPr>
        <w:pStyle w:val="FirstParagraph"/>
      </w:pPr>
      <w:r>
        <w:t xml:space="preserve">Uma forma de lidar com a seleção adversa é oferecer um</w:t>
      </w:r>
      <w:r>
        <w:t xml:space="preserve"> </w:t>
      </w:r>
      <w:r>
        <w:rPr>
          <w:b/>
          <w:bCs/>
        </w:rPr>
        <w:t xml:space="preserve">menu de contratos</w:t>
      </w:r>
      <w:r>
        <w:t xml:space="preserve"> </w:t>
      </w:r>
      <w:r>
        <w:t xml:space="preserve">desenhado para que cada tipo de agente selecione voluntariamente o contrato destinado a ele. Esse é o princípio da</w:t>
      </w:r>
      <w:r>
        <w:t xml:space="preserve"> </w:t>
      </w:r>
      <w:r>
        <w:rPr>
          <w:b/>
          <w:bCs/>
        </w:rPr>
        <w:t xml:space="preserve">autosseleção</w:t>
      </w:r>
      <w:r>
        <w:t xml:space="preserve"> </w:t>
      </w:r>
      <w:r>
        <w:t xml:space="preserve">(self-selection) ou</w:t>
      </w:r>
      <w:r>
        <w:t xml:space="preserve"> </w:t>
      </w:r>
      <w:r>
        <w:rPr>
          <w:b/>
          <w:bCs/>
        </w:rPr>
        <w:t xml:space="preserve">triagem</w:t>
      </w:r>
      <w:r>
        <w:t xml:space="preserve"> </w:t>
      </w:r>
      <w:r>
        <w:t xml:space="preserve">(screening), que será aprofundado na Seção 19.6.</w:t>
      </w:r>
    </w:p>
    <w:p>
      <w:pPr>
        <w:pStyle w:val="BodyText"/>
      </w:pPr>
      <w:r>
        <w:t xml:space="preserve">Considere um monopolista vendendo um bem a consumidores de dois tipos: alta valoração (</w:t>
      </w:r>
      <m:oMath>
        <m:sSub>
          <m:e>
            <m:r>
              <m:t>θ</m:t>
            </m:r>
          </m:e>
          <m:sub>
            <m:r>
              <m:t>H</m:t>
            </m:r>
          </m:sub>
        </m:sSub>
      </m:oMath>
      <w:r>
        <w:t xml:space="preserve">) e baixa valoração (</w:t>
      </w:r>
      <m:oMath>
        <m:sSub>
          <m:e>
            <m:r>
              <m:t>θ</m:t>
            </m:r>
          </m:e>
          <m:sub>
            <m:r>
              <m:t>L</m:t>
            </m:r>
          </m:sub>
        </m:sSub>
      </m:oMath>
      <w:r>
        <w:t xml:space="preserve">), com proporções</w:t>
      </w:r>
      <w:r>
        <w:t xml:space="preserve"> </w:t>
      </w:r>
      <m:oMath>
        <m:r>
          <m:t>μ</m:t>
        </m:r>
      </m:oMath>
      <w:r>
        <w:t xml:space="preserve"> </w:t>
      </w:r>
      <w:r>
        <w:t xml:space="preserve">e</w:t>
      </w:r>
      <w:r>
        <w:t xml:space="preserve"> </w:t>
      </w:r>
      <m:oMath>
        <m:r>
          <m:t>1</m:t>
        </m:r>
        <m:r>
          <m:rPr>
            <m:sty m:val="p"/>
          </m:rPr>
          <m:t>−</m:t>
        </m:r>
        <m:r>
          <m:t>μ</m:t>
        </m:r>
      </m:oMath>
      <w:r>
        <w:t xml:space="preserve">, respectivamente. O monopolista oferece dois pacotes</w:t>
      </w:r>
      <w:r>
        <w:t xml:space="preserve"> </w:t>
      </w:r>
      <m:oMath>
        <m:r>
          <m:rPr>
            <m:sty m:val="p"/>
          </m:rPr>
          <m:t>(</m:t>
        </m:r>
        <m:sSub>
          <m:e>
            <m:r>
              <m:t>q</m:t>
            </m:r>
          </m:e>
          <m:sub>
            <m:r>
              <m:t>L</m:t>
            </m:r>
          </m:sub>
        </m:sSub>
        <m:r>
          <m:rPr>
            <m:sty m:val="p"/>
          </m:rPr>
          <m:t>,</m:t>
        </m:r>
        <m:sSub>
          <m:e>
            <m:r>
              <m:t>T</m:t>
            </m:r>
          </m:e>
          <m:sub>
            <m:r>
              <m:t>L</m:t>
            </m:r>
          </m:sub>
        </m:sSub>
        <m:r>
          <m:rPr>
            <m:sty m:val="p"/>
          </m:rPr>
          <m:t>)</m:t>
        </m:r>
      </m:oMath>
      <w:r>
        <w:t xml:space="preserve"> </w:t>
      </w:r>
      <w:r>
        <w:t xml:space="preserve">e</w:t>
      </w:r>
      <w:r>
        <w:t xml:space="preserve"> </w:t>
      </w:r>
      <m:oMath>
        <m:r>
          <m:rPr>
            <m:sty m:val="p"/>
          </m:rPr>
          <m:t>(</m:t>
        </m:r>
        <m:sSub>
          <m:e>
            <m:r>
              <m:t>q</m:t>
            </m:r>
          </m:e>
          <m:sub>
            <m:r>
              <m:t>H</m:t>
            </m:r>
          </m:sub>
        </m:sSub>
        <m:r>
          <m:rPr>
            <m:sty m:val="p"/>
          </m:rPr>
          <m:t>,</m:t>
        </m:r>
        <m:sSub>
          <m:e>
            <m:r>
              <m:t>T</m:t>
            </m:r>
          </m:e>
          <m:sub>
            <m:r>
              <m:t>H</m:t>
            </m:r>
          </m:sub>
        </m:sSub>
        <m:r>
          <m:rPr>
            <m:sty m:val="p"/>
          </m:rPr>
          <m:t>)</m:t>
        </m:r>
      </m:oMath>
      <w:r>
        <w:t xml:space="preserve">, onde</w:t>
      </w:r>
      <w:r>
        <w:t xml:space="preserve"> </w:t>
      </w:r>
      <m:oMath>
        <m:r>
          <m:t>q</m:t>
        </m:r>
      </m:oMath>
      <w:r>
        <w:t xml:space="preserve"> </w:t>
      </w:r>
      <w:r>
        <w:t xml:space="preserve">é a quantidade e</w:t>
      </w:r>
      <w:r>
        <w:t xml:space="preserve"> </w:t>
      </w:r>
      <m:oMath>
        <m:r>
          <m:t>T</m:t>
        </m:r>
      </m:oMath>
      <w:r>
        <w:t xml:space="preserve"> </w:t>
      </w:r>
      <w:r>
        <w:t xml:space="preserve">o pagamento total.</w:t>
      </w:r>
    </w:p>
    <w:p>
      <w:pPr>
        <w:pStyle w:val="BodyText"/>
      </w:pPr>
      <w:r>
        <w:t xml:space="preserve">As restrições de autosseleção (incentivo-compatibilidade) são:</w:t>
      </w:r>
    </w:p>
    <w:p>
      <w:pPr>
        <w:pStyle w:val="BodyText"/>
      </w:pPr>
      <w:r>
        <w:t xml:space="preserve">$$
    \theta_H v(q_H) - T_H \geq \theta_H v(q_L) - T_L \quad \text{(RCI do tipo alto)}
    \label{eq:19.10} \tag{19.10} 
    $$</w:t>
      </w:r>
    </w:p>
    <w:p>
      <w:pPr>
        <w:pStyle w:val="FirstParagraph"/>
      </w:pPr>
      <w:r>
        <w:t xml:space="preserve">$$
    \theta_L v(q_L) - T_L \geq \theta_L v(q_H) - T_H \quad \text{(RCI do tipo baixo)}
    \label{eq:19.11} \tag{19.11} 
    $$</w:t>
      </w:r>
    </w:p>
    <w:p>
      <w:pPr>
        <w:pStyle w:val="FirstParagraph"/>
      </w:pPr>
      <w:r>
        <w:t xml:space="preserve">E as restrições de participação:</w:t>
      </w:r>
    </w:p>
    <w:p>
      <w:pPr>
        <w:pStyle w:val="BodyText"/>
      </w:pPr>
      <m:oMathPara>
        <m:oMathParaPr>
          <m:jc m:val="center"/>
        </m:oMathParaPr>
        <m:oMath>
          <m:sSub>
            <m:e>
              <m:r>
                <m:t>θ</m:t>
              </m:r>
            </m:e>
            <m:sub>
              <m:r>
                <m:t>i</m:t>
              </m:r>
            </m:sub>
          </m:sSub>
          <m:r>
            <m:t>v</m:t>
          </m:r>
          <m:r>
            <m:rPr>
              <m:sty m:val="p"/>
            </m:rPr>
            <m:t>(</m:t>
          </m:r>
          <m:sSub>
            <m:e>
              <m:r>
                <m:t>q</m:t>
              </m:r>
            </m:e>
            <m:sub>
              <m:r>
                <m:t>i</m:t>
              </m:r>
            </m:sub>
          </m:sSub>
          <m:r>
            <m:rPr>
              <m:sty m:val="p"/>
            </m:rPr>
            <m:t>)</m:t>
          </m:r>
          <m:r>
            <m:rPr>
              <m:sty m:val="p"/>
            </m:rPr>
            <m:t>−</m:t>
          </m:r>
          <m:sSub>
            <m:e>
              <m:r>
                <m:t>T</m:t>
              </m:r>
            </m:e>
            <m:sub>
              <m:r>
                <m:t>i</m:t>
              </m:r>
            </m:sub>
          </m:sSub>
          <m:r>
            <m:rPr>
              <m:sty m:val="p"/>
            </m:rPr>
            <m:t>≥</m:t>
          </m:r>
          <m:r>
            <m:t>0</m:t>
          </m:r>
          <m:r>
            <m:t> </m:t>
          </m:r>
          <m:r>
            <m:rPr>
              <m:nor/>
              <m:sty m:val="p"/>
            </m:rPr>
            <m:t>para </m:t>
          </m:r>
          <m:r>
            <m:t>i</m:t>
          </m:r>
          <m:r>
            <m:rPr>
              <m:sty m:val="p"/>
            </m:rPr>
            <m:t>∈</m:t>
          </m:r>
          <m:r>
            <m:rPr>
              <m:sty m:val="p"/>
            </m:rPr>
            <m:t>{</m:t>
          </m:r>
          <m:r>
            <m:t>L</m:t>
          </m:r>
          <m:r>
            <m:rPr>
              <m:sty m:val="p"/>
            </m:rPr>
            <m:t>,</m:t>
          </m:r>
          <m:r>
            <m:t>H</m:t>
          </m:r>
          <m:r>
            <m:rPr>
              <m:sty m:val="p"/>
            </m:rPr>
            <m:t>}</m:t>
          </m:r>
        </m:oMath>
      </m:oMathPara>
    </w:p>
    <w:p>
      <w:pPr>
        <w:pStyle w:val="FirstParagraph"/>
      </w:pPr>
      <w:r>
        <w:t xml:space="preserve">A solução ótima apresenta um padrão recorrente e profundo na teoria de contratos, que vale a pena internalizar pois reaparece em virtualmente todas as aplicações:</w:t>
      </w:r>
    </w:p>
    <w:p>
      <w:pPr>
        <w:pStyle w:val="Compact"/>
        <w:numPr>
          <w:ilvl w:val="0"/>
          <w:numId w:val="2053"/>
        </w:numPr>
      </w:pPr>
      <w:r>
        <w:rPr>
          <w:b/>
          <w:bCs/>
        </w:rPr>
        <w:t xml:space="preserve">No topo, sem distorção</w:t>
      </w:r>
      <w:r>
        <w:t xml:space="preserve"> </w:t>
      </w:r>
      <w:r>
        <w:t xml:space="preserve">(</w:t>
      </w:r>
      <w:r>
        <w:rPr>
          <w:i/>
          <w:iCs/>
        </w:rPr>
        <w:t xml:space="preserve">no distortion at the top</w:t>
      </w:r>
      <w:r>
        <w:t xml:space="preserve">): o tipo alto recebe a quantidade eficiente (</w:t>
      </w:r>
      <m:oMath>
        <m:sSub>
          <m:e>
            <m:r>
              <m:t>q</m:t>
            </m:r>
          </m:e>
          <m:sub>
            <m:r>
              <m:t>H</m:t>
            </m:r>
          </m:sub>
        </m:sSub>
        <m:r>
          <m:rPr>
            <m:sty m:val="p"/>
          </m:rPr>
          <m:t>=</m:t>
        </m:r>
        <m:sSubSup>
          <m:e>
            <m:r>
              <m:t>q</m:t>
            </m:r>
          </m:e>
          <m:sub>
            <m:r>
              <m:t>H</m:t>
            </m:r>
          </m:sub>
          <m:sup>
            <m:r>
              <m:rPr>
                <m:sty m:val="p"/>
              </m:rPr>
              <m:t>*</m:t>
            </m:r>
          </m:sup>
        </m:sSubSup>
      </m:oMath>
      <w:r>
        <w:t xml:space="preserve">). Não há razão para distorcer o consumo do tipo mais valioso.</w:t>
      </w:r>
    </w:p>
    <w:p>
      <w:pPr>
        <w:pStyle w:val="Compact"/>
        <w:numPr>
          <w:ilvl w:val="0"/>
          <w:numId w:val="2053"/>
        </w:numPr>
      </w:pPr>
      <w:r>
        <w:rPr>
          <w:b/>
          <w:bCs/>
        </w:rPr>
        <w:t xml:space="preserve">No fundo, distorção para baixo</w:t>
      </w:r>
      <w:r>
        <w:t xml:space="preserve">: o tipo baixo recebe quantidade</w:t>
      </w:r>
      <w:r>
        <w:t xml:space="preserve"> </w:t>
      </w:r>
      <w:r>
        <w:rPr>
          <w:b/>
          <w:bCs/>
        </w:rPr>
        <w:t xml:space="preserve">distorcida para baixo</w:t>
      </w:r>
      <w:r>
        <w:t xml:space="preserve"> </w:t>
      </w:r>
      <w:r>
        <w:t xml:space="preserve">(</w:t>
      </w:r>
      <m:oMath>
        <m:sSub>
          <m:e>
            <m:r>
              <m:t>q</m:t>
            </m:r>
          </m:e>
          <m:sub>
            <m:r>
              <m:t>L</m:t>
            </m:r>
          </m:sub>
        </m:sSub>
        <m:r>
          <m:rPr>
            <m:sty m:val="p"/>
          </m:rPr>
          <m:t>&lt;</m:t>
        </m:r>
        <m:sSubSup>
          <m:e>
            <m:r>
              <m:t>q</m:t>
            </m:r>
          </m:e>
          <m:sub>
            <m:r>
              <m:t>L</m:t>
            </m:r>
          </m:sub>
          <m:sup>
            <m:r>
              <m:rPr>
                <m:sty m:val="p"/>
              </m:rPr>
              <m:t>*</m:t>
            </m:r>
          </m:sup>
        </m:sSubSup>
      </m:oMath>
      <w:r>
        <w:t xml:space="preserve">). Essa distorção é o</w:t>
      </w:r>
      <w:r>
        <w:t xml:space="preserve"> </w:t>
      </w:r>
      <w:r>
        <w:t xml:space="preserve">“preço”</w:t>
      </w:r>
      <w:r>
        <w:t xml:space="preserve"> </w:t>
      </w:r>
      <w:r>
        <w:t xml:space="preserve">que o mecanismo cobra pela revelação de informação — é necessário tornar o pacote do tipo baixo suficientemente pouco atrativo para que o tipo alto não queira imitá-lo.</w:t>
      </w:r>
    </w:p>
    <w:p>
      <w:pPr>
        <w:pStyle w:val="Compact"/>
        <w:numPr>
          <w:ilvl w:val="0"/>
          <w:numId w:val="2053"/>
        </w:numPr>
      </w:pPr>
      <w:r>
        <w:rPr>
          <w:b/>
          <w:bCs/>
        </w:rPr>
        <w:t xml:space="preserve">Renda informacional</w:t>
      </w:r>
      <w:r>
        <w:t xml:space="preserve">: o tipo alto obtém excedente positivo, acima de sua utilidade de reserva. Essa renda é o custo que o principal paga pela impossibilidade de observar tipos diretamente.</w:t>
      </w:r>
    </w:p>
    <w:p>
      <w:pPr>
        <w:pStyle w:val="Compact"/>
        <w:numPr>
          <w:ilvl w:val="0"/>
          <w:numId w:val="2053"/>
        </w:numPr>
      </w:pPr>
      <w:r>
        <w:rPr>
          <w:b/>
          <w:bCs/>
        </w:rPr>
        <w:t xml:space="preserve">Participação binding no fundo</w:t>
      </w:r>
      <w:r>
        <w:t xml:space="preserve">: o tipo baixo fica exatamente na fronteira de participação (renda zero).</w:t>
      </w:r>
    </w:p>
    <w:p>
      <w:pPr>
        <w:pStyle w:val="FirstParagraph"/>
      </w:pPr>
      <w:r>
        <w:t xml:space="preserve">Esse padrão — conhecido como</w:t>
      </w:r>
      <w:r>
        <w:t xml:space="preserve"> </w:t>
      </w:r>
      <w:r>
        <w:rPr>
          <w:i/>
          <w:iCs/>
        </w:rPr>
        <w:t xml:space="preserve">distortion at the bottom</w:t>
      </w:r>
      <w:r>
        <w:t xml:space="preserve"> </w:t>
      </w:r>
      <w:r>
        <w:t xml:space="preserve">— é um dos resultados mais gerais da economia da informação. Ele reaparece na regulação de monopólios sob informação assimétrica (Laffont-Tirole, onde a firma regulada é o</w:t>
      </w:r>
      <w:r>
        <w:t xml:space="preserve"> </w:t>
      </w:r>
      <w:r>
        <w:t xml:space="preserve">“agente”</w:t>
      </w:r>
      <w:r>
        <w:t xml:space="preserve"> </w:t>
      </w:r>
      <w:r>
        <w:t xml:space="preserve">e o regulador é o</w:t>
      </w:r>
      <w:r>
        <w:t xml:space="preserve"> </w:t>
      </w:r>
      <w:r>
        <w:t xml:space="preserve">“principal”</w:t>
      </w:r>
      <w:r>
        <w:t xml:space="preserve">), na tributação ótima da renda (Mirrlees, Nobel 1996, onde o governo é o principal e os contribuintes são os agentes), e na discriminação de preços de segundo grau (Capítulo 15, Seção 15.7.2). A lição unificadora é que, quando tipos não são observáveis, a eficiência deve ser sacrificada para obter revelação de informação — e o sacrifício recai sempre sobre o tipo de baixa valoração.</w:t>
      </w:r>
    </w:p>
    <w:bookmarkEnd w:id="1197"/>
    <w:bookmarkStart w:id="1199" w:name="Xea2370da17d5f979c5f2880215835e22ff68fcc"/>
    <w:p>
      <w:pPr>
        <w:pStyle w:val="Heading4"/>
      </w:pPr>
      <w:r>
        <w:t xml:space="preserve">19.4.3 Seleção adversa em seguros: o modelo de Rothschild-Stiglitz</w:t>
      </w:r>
    </w:p>
    <w:p>
      <w:pPr>
        <w:pStyle w:val="FirstParagraph"/>
      </w:pPr>
      <w:hyperlink r:id="rId631">
        <w:r>
          <w:rPr>
            <w:rStyle w:val="Hyperlink"/>
          </w:rPr>
          <w:t xml:space="preserve">Rothschild e Stiglitz (1976)</w:t>
        </w:r>
      </w:hyperlink>
      <w:r>
        <w:t xml:space="preserve"> </w:t>
      </w:r>
      <w:r>
        <w:t xml:space="preserve">analisaram o mercado de seguros competitivo com dois tipos de consumidores: alto risco (</w:t>
      </w:r>
      <m:oMath>
        <m:sSub>
          <m:e>
            <m:r>
              <m:t>p</m:t>
            </m:r>
          </m:e>
          <m:sub>
            <m:r>
              <m:t>H</m:t>
            </m:r>
          </m:sub>
        </m:sSub>
      </m:oMath>
      <w:r>
        <w:t xml:space="preserve">) e baixo risco (</w:t>
      </w:r>
      <m:oMath>
        <m:sSub>
          <m:e>
            <m:r>
              <m:t>p</m:t>
            </m:r>
          </m:e>
          <m:sub>
            <m:r>
              <m:t>L</m:t>
            </m:r>
          </m:sub>
        </m:sSub>
      </m:oMath>
      <w:r>
        <w:t xml:space="preserve">), com</w:t>
      </w:r>
      <w:r>
        <w:t xml:space="preserve"> </w:t>
      </w:r>
      <m:oMath>
        <m:sSub>
          <m:e>
            <m:r>
              <m:t>p</m:t>
            </m:r>
          </m:e>
          <m:sub>
            <m:r>
              <m:t>H</m:t>
            </m:r>
          </m:sub>
        </m:sSub>
        <m:r>
          <m:rPr>
            <m:sty m:val="p"/>
          </m:rPr>
          <m:t>&gt;</m:t>
        </m:r>
        <m:sSub>
          <m:e>
            <m:r>
              <m:t>p</m:t>
            </m:r>
          </m:e>
          <m:sub>
            <m:r>
              <m:t>L</m:t>
            </m:r>
          </m:sub>
        </m:sSub>
      </m:oMath>
      <w:r>
        <w:t xml:space="preserve">. As seguradoras não observam o tipo de cada consumidor. Este modelo é talvez a aplicação mais influente da teoria da seleção adversa e fundamenta toda a regulação moderna de mercados de seguros.</w:t>
      </w:r>
    </w:p>
    <w:p>
      <w:pPr>
        <w:pStyle w:val="BodyText"/>
      </w:pPr>
      <w:r>
        <w:t xml:space="preserve">Um contrato de seguro é representado por um par</w:t>
      </w:r>
      <w:r>
        <w:t xml:space="preserve"> </w:t>
      </w:r>
      <m:oMath>
        <m:r>
          <m:rPr>
            <m:sty m:val="p"/>
          </m:rPr>
          <m:t>(</m:t>
        </m:r>
        <m:sSub>
          <m:e>
            <m:r>
              <m:t>α</m:t>
            </m:r>
          </m:e>
          <m:sub>
            <m:r>
              <m:t>1</m:t>
            </m:r>
          </m:sub>
        </m:sSub>
        <m:r>
          <m:rPr>
            <m:sty m:val="p"/>
          </m:rPr>
          <m:t>,</m:t>
        </m:r>
        <m:sSub>
          <m:e>
            <m:r>
              <m:t>α</m:t>
            </m:r>
          </m:e>
          <m:sub>
            <m:r>
              <m:t>2</m:t>
            </m:r>
          </m:sub>
        </m:sSub>
        <m:r>
          <m:rPr>
            <m:sty m:val="p"/>
          </m:rPr>
          <m:t>)</m:t>
        </m:r>
      </m:oMath>
      <w:r>
        <w:t xml:space="preserve">, onde</w:t>
      </w:r>
      <w:r>
        <w:t xml:space="preserve"> </w:t>
      </w:r>
      <m:oMath>
        <m:sSub>
          <m:e>
            <m:r>
              <m:t>α</m:t>
            </m:r>
          </m:e>
          <m:sub>
            <m:r>
              <m:t>1</m:t>
            </m:r>
          </m:sub>
        </m:sSub>
      </m:oMath>
      <w:r>
        <w:t xml:space="preserve"> </w:t>
      </w:r>
      <w:r>
        <w:t xml:space="preserve">é o prêmio pago e</w:t>
      </w:r>
      <w:r>
        <w:t xml:space="preserve"> </w:t>
      </w:r>
      <m:oMath>
        <m:sSub>
          <m:e>
            <m:r>
              <m:t>α</m:t>
            </m:r>
          </m:e>
          <m:sub>
            <m:r>
              <m:t>2</m:t>
            </m:r>
          </m:sub>
        </m:sSub>
      </m:oMath>
      <w:r>
        <w:t xml:space="preserve"> </w:t>
      </w:r>
      <w:r>
        <w:t xml:space="preserve">é a indenização líquida em caso de sinistro.</w:t>
      </w:r>
    </w:p>
    <w:p>
      <w:pPr>
        <w:pStyle w:val="BlockText"/>
      </w:pPr>
      <w:r>
        <w:rPr>
          <w:b/>
          <w:bCs/>
        </w:rPr>
        <w:t xml:space="preserve">[TEOREMA] Resultado de</w:t>
      </w:r>
      <w:r>
        <w:rPr>
          <w:b/>
          <w:bCs/>
        </w:rPr>
        <w:t xml:space="preserve"> </w:t>
      </w:r>
      <w:hyperlink r:id="rId631">
        <w:r>
          <w:rPr>
            <w:rStyle w:val="Hyperlink"/>
            <w:b/>
            <w:bCs/>
          </w:rPr>
          <w:t xml:space="preserve">Rothschild-Stiglitz</w:t>
        </w:r>
      </w:hyperlink>
    </w:p>
    <w:p>
      <w:pPr>
        <w:pStyle w:val="BlockText"/>
      </w:pPr>
      <w:r>
        <w:t xml:space="preserve">Em equilíbrio competitivo com informação assimétrica: (a) não existe equilíbrio agregador (pooling) — um contrato único para ambos os tipos é sempre destruído por um contrato desviante; (b) um equilíbrio separador existe somente se a proporção de tipos de alto risco for suficientemente grande; (c) no equilíbrio separador, o tipo de alto risco recebe seguro completo (atuarialmente justo para ele) e o tipo de baixo risco recebe seguro parcial (distorção para baixo).</w:t>
      </w:r>
    </w:p>
    <w:p>
      <w:pPr>
        <w:pStyle w:val="BlockText"/>
      </w:pPr>
      <w:r>
        <w:rPr>
          <w:b/>
          <w:bCs/>
        </w:rPr>
        <w:t xml:space="preserve">[DEMONSTRACAO] Demonstração: Condição de Incentivo-Compatibilidade no Modelo de</w:t>
      </w:r>
      <w:r>
        <w:rPr>
          <w:b/>
          <w:bCs/>
        </w:rPr>
        <w:t xml:space="preserve"> </w:t>
      </w:r>
      <w:hyperlink r:id="rId631">
        <w:r>
          <w:rPr>
            <w:rStyle w:val="Hyperlink"/>
            <w:b/>
            <w:bCs/>
          </w:rPr>
          <w:t xml:space="preserve">Rothschild-Stiglitz</w:t>
        </w:r>
      </w:hyperlink>
    </w:p>
    <w:p>
      <w:pPr>
        <w:pStyle w:val="BlockText"/>
      </w:pPr>
      <w:r>
        <w:t xml:space="preserve">Considere dois tipos de consumidores,</w:t>
      </w:r>
      <w:r>
        <w:t xml:space="preserve"> </w:t>
      </w:r>
      <m:oMath>
        <m:r>
          <m:t>i</m:t>
        </m:r>
        <m:r>
          <m:rPr>
            <m:sty m:val="p"/>
          </m:rPr>
          <m:t>∈</m:t>
        </m:r>
        <m:r>
          <m:rPr>
            <m:sty m:val="p"/>
          </m:rPr>
          <m:t>{</m:t>
        </m:r>
        <m:r>
          <m:t>L</m:t>
        </m:r>
        <m:r>
          <m:rPr>
            <m:sty m:val="p"/>
          </m:rPr>
          <m:t>,</m:t>
        </m:r>
        <m:r>
          <m:t>H</m:t>
        </m:r>
        <m:r>
          <m:rPr>
            <m:sty m:val="p"/>
          </m:rPr>
          <m:t>}</m:t>
        </m:r>
      </m:oMath>
      <w:r>
        <w:t xml:space="preserve">, com probabilidades de sinistro</w:t>
      </w:r>
      <w:r>
        <w:t xml:space="preserve"> </w:t>
      </w:r>
      <m:oMath>
        <m:sSub>
          <m:e>
            <m:r>
              <m:t>p</m:t>
            </m:r>
          </m:e>
          <m:sub>
            <m:r>
              <m:t>L</m:t>
            </m:r>
          </m:sub>
        </m:sSub>
        <m:r>
          <m:rPr>
            <m:sty m:val="p"/>
          </m:rPr>
          <m:t>&lt;</m:t>
        </m:r>
        <m:sSub>
          <m:e>
            <m:r>
              <m:t>p</m:t>
            </m:r>
          </m:e>
          <m:sub>
            <m:r>
              <m:t>H</m:t>
            </m:r>
          </m:sub>
        </m:sSub>
      </m:oMath>
      <w:r>
        <w:t xml:space="preserve">. Cada consumidor possui riqueza inicial</w:t>
      </w:r>
      <w:r>
        <w:t xml:space="preserve"> </w:t>
      </w:r>
      <m:oMath>
        <m:r>
          <m:t>W</m:t>
        </m:r>
      </m:oMath>
      <w:r>
        <w:t xml:space="preserve"> </w:t>
      </w:r>
      <w:r>
        <w:t xml:space="preserve">e enfrenta perda potencial</w:t>
      </w:r>
      <w:r>
        <w:t xml:space="preserve"> </w:t>
      </w:r>
      <m:oMath>
        <m:r>
          <m:t>d</m:t>
        </m:r>
      </m:oMath>
      <w:r>
        <w:t xml:space="preserve">. Um contrato de seguro</w:t>
      </w:r>
      <w:r>
        <w:t xml:space="preserve"> </w:t>
      </w:r>
      <m:oMath>
        <m:sSub>
          <m:e>
            <m:r>
              <m:t>C</m:t>
            </m:r>
          </m:e>
          <m:sub>
            <m:r>
              <m:t>i</m:t>
            </m:r>
          </m:sub>
        </m:sSub>
        <m:r>
          <m:rPr>
            <m:sty m:val="p"/>
          </m:rPr>
          <m:t>=</m:t>
        </m:r>
        <m:r>
          <m:rPr>
            <m:sty m:val="p"/>
          </m:rPr>
          <m:t>(</m:t>
        </m:r>
        <m:sSub>
          <m:e>
            <m:r>
              <m:t>α</m:t>
            </m:r>
          </m:e>
          <m:sub>
            <m:r>
              <m:t>i</m:t>
            </m:r>
          </m:sub>
        </m:sSub>
        <m:r>
          <m:rPr>
            <m:sty m:val="p"/>
          </m:rPr>
          <m:t>,</m:t>
        </m:r>
        <m:sSub>
          <m:e>
            <m:r>
              <m:t>β</m:t>
            </m:r>
          </m:e>
          <m:sub>
            <m:r>
              <m:t>i</m:t>
            </m:r>
          </m:sub>
        </m:sSub>
        <m:r>
          <m:rPr>
            <m:sty m:val="p"/>
          </m:rPr>
          <m:t>)</m:t>
        </m:r>
      </m:oMath>
      <w:r>
        <w:t xml:space="preserve"> </w:t>
      </w:r>
      <w:r>
        <w:t xml:space="preserve">especifica um prêmio</w:t>
      </w:r>
      <w:r>
        <w:t xml:space="preserve"> </w:t>
      </w:r>
      <m:oMath>
        <m:sSub>
          <m:e>
            <m:r>
              <m:t>α</m:t>
            </m:r>
          </m:e>
          <m:sub>
            <m:r>
              <m:t>i</m:t>
            </m:r>
          </m:sub>
        </m:sSub>
      </m:oMath>
      <w:r>
        <w:t xml:space="preserve"> </w:t>
      </w:r>
      <w:r>
        <w:t xml:space="preserve">e uma cobertura</w:t>
      </w:r>
      <w:r>
        <w:t xml:space="preserve"> </w:t>
      </w:r>
      <m:oMath>
        <m:sSub>
          <m:e>
            <m:r>
              <m:t>β</m:t>
            </m:r>
          </m:e>
          <m:sub>
            <m:r>
              <m:t>i</m:t>
            </m:r>
          </m:sub>
        </m:sSub>
      </m:oMath>
      <w:r>
        <w:t xml:space="preserve">, de modo que a riqueza nos dois estados é:</w:t>
      </w:r>
    </w:p>
    <w:p>
      <w:pPr>
        <w:pStyle w:val="BlockText"/>
      </w:pPr>
      <w:r>
        <w:t xml:space="preserve">$$</w:t>
      </w:r>
    </w:p>
    <w:p>
      <w:pPr>
        <w:pStyle w:val="BlockText"/>
      </w:pPr>
      <w:r>
        <w:t xml:space="preserve">W_i^{NS} = W -</w:t>
      </w:r>
      <w:r>
        <w:t xml:space="preserve"> </w:t>
      </w:r>
      <w:r>
        <w:t xml:space="preserve">_i</w:t>
      </w:r>
      <w:r>
        <w:t xml:space="preserve"> </w:t>
      </w:r>
    </w:p>
    <w:p>
      <w:pPr>
        <w:pStyle w:val="BlockText"/>
      </w:pPr>
      <w:r>
        <w:t xml:space="preserve">$$</w:t>
      </w:r>
    </w:p>
    <w:p>
      <w:pPr>
        <w:pStyle w:val="BlockText"/>
      </w:pPr>
      <w:r>
        <w:t xml:space="preserve">$$</w:t>
      </w:r>
    </w:p>
    <w:p>
      <w:pPr>
        <w:pStyle w:val="BlockText"/>
      </w:pPr>
      <w:r>
        <w:t xml:space="preserve">W_i^{S} = W - d +</w:t>
      </w:r>
      <w:r>
        <w:t xml:space="preserve"> </w:t>
      </w:r>
      <w:r>
        <w:t xml:space="preserve">_i -</w:t>
      </w:r>
      <w:r>
        <w:t xml:space="preserve"> </w:t>
      </w:r>
      <w:r>
        <w:t xml:space="preserve">_i</w:t>
      </w:r>
      <w:r>
        <w:t xml:space="preserve"> </w:t>
      </w:r>
    </w:p>
    <w:p>
      <w:pPr>
        <w:pStyle w:val="BlockText"/>
      </w:pPr>
      <w:r>
        <w:t xml:space="preserve">$$</w:t>
      </w:r>
    </w:p>
    <w:p>
      <w:pPr>
        <w:pStyle w:val="BlockText"/>
      </w:pPr>
      <w:r>
        <w:t xml:space="preserve">A utilidade esperada do tipo</w:t>
      </w:r>
      <w:r>
        <w:t xml:space="preserve"> </w:t>
      </w:r>
      <m:oMath>
        <m:r>
          <m:t>i</m:t>
        </m:r>
      </m:oMath>
      <w:r>
        <w:t xml:space="preserve"> </w:t>
      </w:r>
      <w:r>
        <w:t xml:space="preserve">com o contrato</w:t>
      </w:r>
      <w:r>
        <w:t xml:space="preserve"> </w:t>
      </w:r>
      <m:oMath>
        <m:sSub>
          <m:e>
            <m:r>
              <m:t>C</m:t>
            </m:r>
          </m:e>
          <m:sub>
            <m:r>
              <m:t>j</m:t>
            </m:r>
          </m:sub>
        </m:sSub>
      </m:oMath>
      <w:r>
        <w:t xml:space="preserve"> </w:t>
      </w:r>
      <w:r>
        <w:t xml:space="preserve">é:</w:t>
      </w:r>
    </w:p>
    <w:p>
      <w:pPr>
        <w:pStyle w:val="BlockText"/>
      </w:pPr>
      <w:r>
        <w:t xml:space="preserve">$$</w:t>
      </w:r>
    </w:p>
    <w:p>
      <w:pPr>
        <w:pStyle w:val="BlockText"/>
      </w:pPr>
      <w:r>
        <w:t xml:space="preserve">EU_i(C_j) = (1 - p_i) , U(W_j^{NS}) + p_i , U(W_j^{S})</w:t>
      </w:r>
    </w:p>
    <w:p>
      <w:pPr>
        <w:pStyle w:val="BlockText"/>
      </w:pPr>
      <w:r>
        <w:t xml:space="preserve">$$</w:t>
      </w:r>
    </w:p>
    <w:p>
      <w:pPr>
        <w:pStyle w:val="BlockText"/>
      </w:pPr>
      <w:r>
        <w:rPr>
          <w:b/>
          <w:bCs/>
        </w:rPr>
        <w:t xml:space="preserve">Condições de incentivo-compatibilidade</w:t>
      </w:r>
      <w:r>
        <w:t xml:space="preserve"> </w:t>
      </w:r>
      <w:r>
        <w:t xml:space="preserve">requerem que cada tipo prefira seu próprio contrato:</w:t>
      </w:r>
    </w:p>
    <w:p>
      <w:pPr>
        <w:pStyle w:val="BlockText"/>
      </w:pPr>
      <w:r>
        <w:t xml:space="preserve">$$</w:t>
      </w:r>
    </w:p>
    <w:p>
      <w:pPr>
        <w:pStyle w:val="BlockText"/>
      </w:pPr>
      <w:r>
        <w:t xml:space="preserve">EU_H(C_H)</w:t>
      </w:r>
      <w:r>
        <w:t xml:space="preserve"> </w:t>
      </w:r>
      <w:r>
        <w:t xml:space="preserve">EU_H(C_L)</w:t>
      </w:r>
      <w:r>
        <w:t xml:space="preserve"> </w:t>
      </w:r>
      <w:r>
        <w:t xml:space="preserve"> </w:t>
      </w:r>
      <w:r>
        <w:t xml:space="preserve">C_H</w:t>
      </w:r>
      <w:r>
        <w:t xml:space="preserve"> </w:t>
      </w:r>
    </w:p>
    <w:p>
      <w:pPr>
        <w:pStyle w:val="BlockText"/>
      </w:pPr>
      <w:r>
        <w:t xml:space="preserve">$$</w:t>
      </w:r>
    </w:p>
    <w:p>
      <w:pPr>
        <w:pStyle w:val="BlockText"/>
      </w:pPr>
      <w:r>
        <w:t xml:space="preserve">$$</w:t>
      </w:r>
    </w:p>
    <w:p>
      <w:pPr>
        <w:pStyle w:val="BlockText"/>
      </w:pPr>
      <w:r>
        <w:t xml:space="preserve">EU_L(C_L)</w:t>
      </w:r>
      <w:r>
        <w:t xml:space="preserve"> </w:t>
      </w:r>
      <w:r>
        <w:t xml:space="preserve">EU_L(C_H)</w:t>
      </w:r>
      <w:r>
        <w:t xml:space="preserve"> </w:t>
      </w:r>
      <w:r>
        <w:t xml:space="preserve"> </w:t>
      </w:r>
      <w:r>
        <w:t xml:space="preserve">C_L</w:t>
      </w:r>
      <w:r>
        <w:t xml:space="preserve"> </w:t>
      </w:r>
    </w:p>
    <w:p>
      <w:pPr>
        <w:pStyle w:val="BlockText"/>
      </w:pPr>
      <w:r>
        <w:t xml:space="preserve">$$</w:t>
      </w:r>
    </w:p>
    <w:p>
      <w:pPr>
        <w:pStyle w:val="BlockText"/>
      </w:pPr>
      <w:r>
        <w:rPr>
          <w:b/>
          <w:bCs/>
        </w:rPr>
        <w:t xml:space="preserve">Passo 1.</w:t>
      </w:r>
      <w:r>
        <w:t xml:space="preserve"> </w:t>
      </w:r>
      <w:r>
        <w:t xml:space="preserve">Em equilíbrio competitivo com lucro zero, cada contrato é atuarialmente justo para o tipo que o escolhe:</w:t>
      </w:r>
    </w:p>
    <w:p>
      <w:pPr>
        <w:pStyle w:val="BlockText"/>
      </w:pPr>
      <w:r>
        <w:t xml:space="preserve">$$</w:t>
      </w:r>
    </w:p>
    <w:p>
      <w:pPr>
        <w:pStyle w:val="BlockText"/>
      </w:pPr>
      <w:r>
        <w:t xml:space="preserve">_H = p_H</w:t>
      </w:r>
      <w:r>
        <w:t xml:space="preserve"> </w:t>
      </w:r>
      <w:r>
        <w:t xml:space="preserve">_H,</w:t>
      </w:r>
      <w:r>
        <w:t xml:space="preserve"> </w:t>
      </w:r>
      <w:r>
        <w:t xml:space="preserve">_L = p_L</w:t>
      </w:r>
      <w:r>
        <w:t xml:space="preserve"> </w:t>
      </w:r>
      <w:r>
        <w:t xml:space="preserve">_L</w:t>
      </w:r>
    </w:p>
    <w:p>
      <w:pPr>
        <w:pStyle w:val="BlockText"/>
      </w:pPr>
      <w:r>
        <w:t xml:space="preserve">$$</w:t>
      </w:r>
    </w:p>
    <w:p>
      <w:pPr>
        <w:pStyle w:val="BlockText"/>
      </w:pPr>
      <w:r>
        <w:rPr>
          <w:b/>
          <w:bCs/>
        </w:rPr>
        <w:t xml:space="preserve">Passo 2.</w:t>
      </w:r>
      <w:r>
        <w:t xml:space="preserve"> </w:t>
      </w:r>
      <w:r>
        <w:t xml:space="preserve">Mostramos que</w:t>
      </w:r>
      <w:r>
        <w:t xml:space="preserve"> </w:t>
      </w:r>
      <m:oMath>
        <m:sSub>
          <m:e>
            <m:r>
              <m:t>C</m:t>
            </m:r>
          </m:e>
          <m:sub>
            <m:r>
              <m:t>H</m:t>
            </m:r>
          </m:sub>
        </m:sSub>
      </m:oMath>
      <w:r>
        <w:t xml:space="preserve"> </w:t>
      </w:r>
      <w:r>
        <w:t xml:space="preserve">oferece seguro completo, ou seja,</w:t>
      </w:r>
      <w:r>
        <w:t xml:space="preserve"> </w:t>
      </w:r>
      <m:oMath>
        <m:sSub>
          <m:e>
            <m:r>
              <m:t>β</m:t>
            </m:r>
          </m:e>
          <m:sub>
            <m:r>
              <m:t>H</m:t>
            </m:r>
          </m:sub>
        </m:sSub>
        <m:r>
          <m:rPr>
            <m:sty m:val="p"/>
          </m:rPr>
          <m:t>=</m:t>
        </m:r>
        <m:r>
          <m:t>d</m:t>
        </m:r>
      </m:oMath>
      <w:r>
        <w:t xml:space="preserve">. Como a seguradora oferece contrato atuarialmente justo ao tipo</w:t>
      </w:r>
      <w:r>
        <w:t xml:space="preserve"> </w:t>
      </w:r>
      <m:oMath>
        <m:r>
          <m:t>H</m:t>
        </m:r>
      </m:oMath>
      <w:r>
        <w:t xml:space="preserve">, a condição de ótimo do consumidor avesso ao risco com preço justo implica equalização da riqueza nos dois estados:</w:t>
      </w:r>
    </w:p>
    <w:p>
      <w:pPr>
        <w:pStyle w:val="BlockText"/>
      </w:pPr>
      <w:r>
        <w:t xml:space="preserve">$$</w:t>
      </w:r>
    </w:p>
    <w:p>
      <w:pPr>
        <w:pStyle w:val="BlockText"/>
      </w:pPr>
      <w:r>
        <w:t xml:space="preserve">W_H^{NS} = W_H^{S}</w:t>
      </w:r>
      <w:r>
        <w:t xml:space="preserve"> </w:t>
      </w:r>
      <w:r>
        <w:t xml:space="preserve">W -</w:t>
      </w:r>
      <w:r>
        <w:t xml:space="preserve"> </w:t>
      </w:r>
      <w:r>
        <w:t xml:space="preserve">_H = W - d +</w:t>
      </w:r>
      <w:r>
        <w:t xml:space="preserve"> </w:t>
      </w:r>
      <w:r>
        <w:t xml:space="preserve">_H -</w:t>
      </w:r>
      <w:r>
        <w:t xml:space="preserve"> </w:t>
      </w:r>
      <w:r>
        <w:t xml:space="preserve">_H</w:t>
      </w:r>
      <w:r>
        <w:t xml:space="preserve"> </w:t>
      </w:r>
      <w:r>
        <w:t xml:space="preserve">_H = d</w:t>
      </w:r>
    </w:p>
    <w:p>
      <w:pPr>
        <w:pStyle w:val="BlockText"/>
      </w:pPr>
      <w:r>
        <w:t xml:space="preserve">$$</w:t>
      </w:r>
    </w:p>
    <w:p>
      <w:pPr>
        <w:pStyle w:val="BlockText"/>
      </w:pPr>
      <w:r>
        <w:t xml:space="preserve">Logo,</w:t>
      </w:r>
      <w:r>
        <w:t xml:space="preserve"> </w:t>
      </w:r>
      <m:oMath>
        <m:sSub>
          <m:e>
            <m:r>
              <m:t>α</m:t>
            </m:r>
          </m:e>
          <m:sub>
            <m:r>
              <m:t>H</m:t>
            </m:r>
          </m:sub>
        </m:sSub>
        <m:r>
          <m:rPr>
            <m:sty m:val="p"/>
          </m:rPr>
          <m:t>=</m:t>
        </m:r>
        <m:sSub>
          <m:e>
            <m:r>
              <m:t>p</m:t>
            </m:r>
          </m:e>
          <m:sub>
            <m:r>
              <m:t>H</m:t>
            </m:r>
          </m:sub>
        </m:sSub>
        <m:r>
          <m:t>d</m:t>
        </m:r>
      </m:oMath>
      <w:r>
        <w:t xml:space="preserve"> </w:t>
      </w:r>
      <w:r>
        <w:t xml:space="preserve">e</w:t>
      </w:r>
      <w:r>
        <w:t xml:space="preserve"> </w:t>
      </w:r>
      <m:oMath>
        <m:sSubSup>
          <m:e>
            <m:r>
              <m:t>W</m:t>
            </m:r>
          </m:e>
          <m:sub>
            <m:r>
              <m:t>H</m:t>
            </m:r>
          </m:sub>
          <m:sup>
            <m:r>
              <m:t>N</m:t>
            </m:r>
            <m:r>
              <m:t>S</m:t>
            </m:r>
          </m:sup>
        </m:sSubSup>
        <m:r>
          <m:rPr>
            <m:sty m:val="p"/>
          </m:rPr>
          <m:t>=</m:t>
        </m:r>
        <m:sSubSup>
          <m:e>
            <m:r>
              <m:t>W</m:t>
            </m:r>
          </m:e>
          <m:sub>
            <m:r>
              <m:t>H</m:t>
            </m:r>
          </m:sub>
          <m:sup>
            <m:r>
              <m:t>S</m:t>
            </m:r>
          </m:sup>
        </m:sSubSup>
        <m:r>
          <m:rPr>
            <m:sty m:val="p"/>
          </m:rPr>
          <m:t>=</m:t>
        </m:r>
        <m:r>
          <m:t>W</m:t>
        </m:r>
        <m:r>
          <m:rPr>
            <m:sty m:val="p"/>
          </m:rPr>
          <m:t>−</m:t>
        </m:r>
        <m:sSub>
          <m:e>
            <m:r>
              <m:t>p</m:t>
            </m:r>
          </m:e>
          <m:sub>
            <m:r>
              <m:t>H</m:t>
            </m:r>
          </m:sub>
        </m:sSub>
        <m:r>
          <m:t>d</m:t>
        </m:r>
      </m:oMath>
      <w:r>
        <w:t xml:space="preserve">.</w:t>
      </w:r>
    </w:p>
    <w:p>
      <w:pPr>
        <w:pStyle w:val="BlockText"/>
      </w:pPr>
      <w:r>
        <w:rPr>
          <w:b/>
          <w:bCs/>
        </w:rPr>
        <w:t xml:space="preserve">Passo 3.</w:t>
      </w:r>
      <w:r>
        <w:t xml:space="preserve"> </w:t>
      </w:r>
      <w:r>
        <w:t xml:space="preserve">Para que o tipo</w:t>
      </w:r>
      <w:r>
        <w:t xml:space="preserve"> </w:t>
      </w:r>
      <m:oMath>
        <m:r>
          <m:t>H</m:t>
        </m:r>
      </m:oMath>
      <w:r>
        <w:t xml:space="preserve"> </w:t>
      </w:r>
      <w:r>
        <w:t xml:space="preserve">não desvie para</w:t>
      </w:r>
      <w:r>
        <w:t xml:space="preserve"> </w:t>
      </w:r>
      <m:oMath>
        <m:sSub>
          <m:e>
            <m:r>
              <m:t>C</m:t>
            </m:r>
          </m:e>
          <m:sub>
            <m:r>
              <m:t>L</m:t>
            </m:r>
          </m:sub>
        </m:sSub>
      </m:oMath>
      <w:r>
        <w:t xml:space="preserve">, precisamos de:</w:t>
      </w:r>
    </w:p>
    <w:p>
      <w:pPr>
        <w:pStyle w:val="BlockText"/>
      </w:pPr>
      <w:r>
        <w:t xml:space="preserve">$$</w:t>
      </w:r>
    </w:p>
    <w:p>
      <w:pPr>
        <w:pStyle w:val="BlockText"/>
      </w:pPr>
      <w:r>
        <w:t xml:space="preserve">U(W - p_H d)</w:t>
      </w:r>
      <w:r>
        <w:t xml:space="preserve"> </w:t>
      </w:r>
      <w:r>
        <w:t xml:space="preserve">(1 - p_H) , U(W - p_L</w:t>
      </w:r>
      <w:r>
        <w:t xml:space="preserve"> </w:t>
      </w:r>
      <w:r>
        <w:t xml:space="preserve">_L) + p_H , U(W - d +</w:t>
      </w:r>
      <w:r>
        <w:t xml:space="preserve"> </w:t>
      </w:r>
      <w:r>
        <w:t xml:space="preserve">_L - p_L</w:t>
      </w:r>
      <w:r>
        <w:t xml:space="preserve"> </w:t>
      </w:r>
      <w:r>
        <w:t xml:space="preserve">_L)</w:t>
      </w:r>
    </w:p>
    <w:p>
      <w:pPr>
        <w:pStyle w:val="BlockText"/>
      </w:pPr>
      <w:r>
        <w:t xml:space="preserve">$$</w:t>
      </w:r>
    </w:p>
    <w:p>
      <w:pPr>
        <w:pStyle w:val="BlockText"/>
      </w:pPr>
      <w:r>
        <w:rPr>
          <w:b/>
          <w:bCs/>
        </w:rPr>
        <w:t xml:space="preserve">Passo 4.</w:t>
      </w:r>
      <w:r>
        <w:t xml:space="preserve"> </w:t>
      </w:r>
      <w:r>
        <w:t xml:space="preserve">Para que o tipo</w:t>
      </w:r>
      <w:r>
        <w:t xml:space="preserve"> </w:t>
      </w:r>
      <m:oMath>
        <m:r>
          <m:t>L</m:t>
        </m:r>
      </m:oMath>
      <w:r>
        <w:t xml:space="preserve"> </w:t>
      </w:r>
      <w:r>
        <w:t xml:space="preserve">não desvie para</w:t>
      </w:r>
      <w:r>
        <w:t xml:space="preserve"> </w:t>
      </w:r>
      <m:oMath>
        <m:sSub>
          <m:e>
            <m:r>
              <m:t>C</m:t>
            </m:r>
          </m:e>
          <m:sub>
            <m:r>
              <m:t>H</m:t>
            </m:r>
          </m:sub>
        </m:sSub>
      </m:oMath>
      <w:r>
        <w:t xml:space="preserve">:</w:t>
      </w:r>
    </w:p>
    <w:p>
      <w:pPr>
        <w:pStyle w:val="BlockText"/>
      </w:pPr>
      <w:r>
        <w:t xml:space="preserve">$$</w:t>
      </w:r>
    </w:p>
    <w:p>
      <w:pPr>
        <w:pStyle w:val="BlockText"/>
      </w:pPr>
      <w:r>
        <w:t xml:space="preserve">(1 - p_L) , U(W - p_L</w:t>
      </w:r>
      <w:r>
        <w:t xml:space="preserve"> </w:t>
      </w:r>
      <w:r>
        <w:t xml:space="preserve">_L) + p_L , U(W - d +</w:t>
      </w:r>
      <w:r>
        <w:t xml:space="preserve"> </w:t>
      </w:r>
      <w:r>
        <w:t xml:space="preserve">_L - p_L</w:t>
      </w:r>
      <w:r>
        <w:t xml:space="preserve"> </w:t>
      </w:r>
      <w:r>
        <w:t xml:space="preserve">_L)</w:t>
      </w:r>
      <w:r>
        <w:t xml:space="preserve"> </w:t>
      </w:r>
      <w:r>
        <w:t xml:space="preserve">U(W - p_H d)</w:t>
      </w:r>
    </w:p>
    <w:p>
      <w:pPr>
        <w:pStyle w:val="BlockText"/>
      </w:pPr>
      <w:r>
        <w:t xml:space="preserve">$$</w:t>
      </w:r>
    </w:p>
    <w:p>
      <w:pPr>
        <w:pStyle w:val="BlockText"/>
      </w:pPr>
      <w:r>
        <w:rPr>
          <w:b/>
          <w:bCs/>
        </w:rPr>
        <w:t xml:space="preserve">Passo 5.</w:t>
      </w:r>
      <w:r>
        <w:t xml:space="preserve"> </w:t>
      </w:r>
      <w:r>
        <w:t xml:space="preserve">Combinando, a RCI do tipo</w:t>
      </w:r>
      <w:r>
        <w:t xml:space="preserve"> </w:t>
      </w:r>
      <m:oMath>
        <m:r>
          <m:t>H</m:t>
        </m:r>
      </m:oMath>
      <w:r>
        <w:t xml:space="preserve"> </w:t>
      </w:r>
      <w:r>
        <w:t xml:space="preserve">impõe um</w:t>
      </w:r>
      <w:r>
        <w:t xml:space="preserve"> </w:t>
      </w:r>
      <w:r>
        <w:rPr>
          <w:b/>
          <w:bCs/>
        </w:rPr>
        <w:t xml:space="preserve">limite superior</w:t>
      </w:r>
      <w:r>
        <w:t xml:space="preserve"> </w:t>
      </w:r>
      <w:r>
        <w:t xml:space="preserve">sobre a cobertura</w:t>
      </w:r>
      <w:r>
        <w:t xml:space="preserve"> </w:t>
      </w:r>
      <m:oMath>
        <m:sSub>
          <m:e>
            <m:r>
              <m:t>β</m:t>
            </m:r>
          </m:e>
          <m:sub>
            <m:r>
              <m:t>L</m:t>
            </m:r>
          </m:sub>
        </m:sSub>
      </m:oMath>
      <w:r>
        <w:t xml:space="preserve">. Se</w:t>
      </w:r>
      <w:r>
        <w:t xml:space="preserve"> </w:t>
      </w:r>
      <m:oMath>
        <m:sSub>
          <m:e>
            <m:r>
              <m:t>β</m:t>
            </m:r>
          </m:e>
          <m:sub>
            <m:r>
              <m:t>L</m:t>
            </m:r>
          </m:sub>
        </m:sSub>
        <m:r>
          <m:rPr>
            <m:sty m:val="p"/>
          </m:rPr>
          <m:t>=</m:t>
        </m:r>
        <m:r>
          <m:t>d</m:t>
        </m:r>
      </m:oMath>
      <w:r>
        <w:t xml:space="preserve">, então</w:t>
      </w:r>
      <w:r>
        <w:t xml:space="preserve"> </w:t>
      </w:r>
      <m:oMath>
        <m:r>
          <m:t>U</m:t>
        </m:r>
        <m:r>
          <m:rPr>
            <m:sty m:val="p"/>
          </m:rPr>
          <m:t>(</m:t>
        </m:r>
        <m:r>
          <m:t>W</m:t>
        </m:r>
        <m:r>
          <m:rPr>
            <m:sty m:val="p"/>
          </m:rPr>
          <m:t>−</m:t>
        </m:r>
        <m:sSub>
          <m:e>
            <m:r>
              <m:t>p</m:t>
            </m:r>
          </m:e>
          <m:sub>
            <m:r>
              <m:t>L</m:t>
            </m:r>
          </m:sub>
        </m:sSub>
        <m:r>
          <m:t>d</m:t>
        </m:r>
        <m:r>
          <m:rPr>
            <m:sty m:val="p"/>
          </m:rPr>
          <m:t>)</m:t>
        </m:r>
        <m:r>
          <m:rPr>
            <m:sty m:val="p"/>
          </m:rPr>
          <m:t>&gt;</m:t>
        </m:r>
        <m:r>
          <m:t>U</m:t>
        </m:r>
        <m:r>
          <m:rPr>
            <m:sty m:val="p"/>
          </m:rPr>
          <m:t>(</m:t>
        </m:r>
        <m:r>
          <m:t>W</m:t>
        </m:r>
        <m:r>
          <m:rPr>
            <m:sty m:val="p"/>
          </m:rPr>
          <m:t>−</m:t>
        </m:r>
        <m:sSub>
          <m:e>
            <m:r>
              <m:t>p</m:t>
            </m:r>
          </m:e>
          <m:sub>
            <m:r>
              <m:t>H</m:t>
            </m:r>
          </m:sub>
        </m:sSub>
        <m:r>
          <m:t>d</m:t>
        </m:r>
        <m:r>
          <m:rPr>
            <m:sty m:val="p"/>
          </m:rPr>
          <m:t>)</m:t>
        </m:r>
      </m:oMath>
      <w:r>
        <w:t xml:space="preserve"> </w:t>
      </w:r>
      <w:r>
        <w:t xml:space="preserve">(pois</w:t>
      </w:r>
      <w:r>
        <w:t xml:space="preserve"> </w:t>
      </w:r>
      <m:oMath>
        <m:sSub>
          <m:e>
            <m:r>
              <m:t>p</m:t>
            </m:r>
          </m:e>
          <m:sub>
            <m:r>
              <m:t>L</m:t>
            </m:r>
          </m:sub>
        </m:sSub>
        <m:r>
          <m:rPr>
            <m:sty m:val="p"/>
          </m:rPr>
          <m:t>&lt;</m:t>
        </m:r>
        <m:sSub>
          <m:e>
            <m:r>
              <m:t>p</m:t>
            </m:r>
          </m:e>
          <m:sub>
            <m:r>
              <m:t>H</m:t>
            </m:r>
          </m:sub>
        </m:sSub>
      </m:oMath>
      <w:r>
        <w:t xml:space="preserve">), violando a RCI de</w:t>
      </w:r>
      <w:r>
        <w:t xml:space="preserve"> </w:t>
      </w:r>
      <m:oMath>
        <m:r>
          <m:t>H</m:t>
        </m:r>
      </m:oMath>
      <w:r>
        <w:t xml:space="preserve">. Portanto:</w:t>
      </w:r>
    </w:p>
    <w:p>
      <w:pPr>
        <w:pStyle w:val="BlockText"/>
      </w:pPr>
      <w:r>
        <w:t xml:space="preserve">$$</w:t>
      </w:r>
    </w:p>
    <w:p>
      <w:pPr>
        <w:pStyle w:val="BlockText"/>
      </w:pPr>
      <w:r>
        <w:t xml:space="preserve">_L &lt; d</w:t>
      </w:r>
    </w:p>
    <w:p>
      <w:pPr>
        <w:pStyle w:val="BlockText"/>
      </w:pPr>
      <w:r>
        <w:t xml:space="preserve">$$</w:t>
      </w:r>
    </w:p>
    <w:p>
      <w:pPr>
        <w:pStyle w:val="BlockText"/>
      </w:pPr>
      <w:r>
        <w:t xml:space="preserve">O tipo de baixo risco recebe</w:t>
      </w:r>
      <w:r>
        <w:t xml:space="preserve"> </w:t>
      </w:r>
      <w:r>
        <w:rPr>
          <w:b/>
          <w:bCs/>
        </w:rPr>
        <w:t xml:space="preserve">seguro parcial</w:t>
      </w:r>
      <w:r>
        <w:t xml:space="preserve"> </w:t>
      </w:r>
      <w:r>
        <w:t xml:space="preserve">— uma distorção que é o</w:t>
      </w:r>
      <w:r>
        <w:t xml:space="preserve"> </w:t>
      </w:r>
      <w:r>
        <w:t xml:space="preserve">“custo”</w:t>
      </w:r>
      <w:r>
        <w:t xml:space="preserve"> </w:t>
      </w:r>
      <w:r>
        <w:t xml:space="preserve">da assimetria de informação.</w:t>
      </w:r>
      <w:r>
        <w:t xml:space="preserve"> </w:t>
      </w:r>
      <m:oMath>
        <m:r>
          <m:rPr>
            <m:sty m:val="p"/>
          </m:rPr>
          <m:t>◼</m:t>
        </m:r>
      </m:oMath>
    </w:p>
    <w:p>
      <w:pPr>
        <w:pStyle w:val="FirstParagraph"/>
      </w:pPr>
      <w:r>
        <w:t xml:space="preserve">No gráfico interativo abaixo, explore o equilíbrio separador de Rothschild-Stiglitz no espaço de riqueza contingente.</w:t>
      </w:r>
    </w:p>
    <w:p>
      <w:pPr>
        <w:pStyle w:val="BodyText"/>
      </w:pPr>
      <w:r>
        <w:t xml:space="preserve">[FIGURA INTERATIVA: /micro-book/graficos/cap19/seguros-rs.html — versao interativa disponivel online]</w:t>
      </w:r>
    </w:p>
    <w:p>
      <w:pPr>
        <w:pStyle w:val="BodyText"/>
      </w:pPr>
      <w:r>
        <w:rPr>
          <w:b/>
          <w:bCs/>
        </w:rPr>
        <w:t xml:space="preserve">Figura 19.3 — Modelo de seguros de Rothschild-Stiglitz.</w:t>
      </w:r>
      <w:r>
        <w:t xml:space="preserve"> </w:t>
      </w:r>
      <w:r>
        <w:t xml:space="preserve">No espaço de riqueza contingente, observe o equilíbrio separador: o tipo de alto risco recebe seguro completo (sobre a linha de 45°) enquanto o tipo de baixo risco recebe seguro parcial. As curvas de indiferença refletem as diferentes probabilidades de sinistro.</w:t>
      </w:r>
    </w:p>
    <w:p>
      <w:pPr>
        <w:pStyle w:val="BlockText"/>
      </w:pPr>
      <w:r>
        <w:rPr>
          <w:b/>
          <w:bCs/>
        </w:rPr>
        <w:t xml:space="preserve">[BOX MUNDO] Box Mundo 19.2 — Seleção adversa e o NHS: por que o Reino Unido optou pelo sistema universal</w:t>
      </w:r>
    </w:p>
    <w:p>
      <w:pPr>
        <w:pStyle w:val="BlockText"/>
      </w:pPr>
      <w:r>
        <w:rPr>
          <w:b/>
          <w:bCs/>
        </w:rPr>
        <w:t xml:space="preserve">Contexto:</w:t>
      </w:r>
      <w:r>
        <w:t xml:space="preserve"> </w:t>
      </w:r>
      <w:r>
        <w:t xml:space="preserve">O</w:t>
      </w:r>
      <w:r>
        <w:t xml:space="preserve"> </w:t>
      </w:r>
      <w:r>
        <w:rPr>
          <w:i/>
          <w:iCs/>
        </w:rPr>
        <w:t xml:space="preserve">National Health Service</w:t>
      </w:r>
      <w:r>
        <w:t xml:space="preserve"> </w:t>
      </w:r>
      <w:r>
        <w:t xml:space="preserve">(NHS) britânico, criado em 1948, é um dos exemplos mais duradouros de resposta institucional ao problema da seleção adversa em saúde. Antes do NHS, o mercado privado de seguros de saúde no Reino Unido sofria exatamente o tipo de espiral de seleção adversa descrita pelo modelo de Rothschild-Stiglitz: seguradoras cobravam prêmios baseados no risco médio; indivíduos saudáveis (baixo risco) consideravam os prêmios excessivos e abandonavam o mercado; o pool remanescente tornava-se mais arriscado, elevando os prêmios e expulsando mais segurados — o</w:t>
      </w:r>
      <w:r>
        <w:t xml:space="preserve"> </w:t>
      </w:r>
      <w:r>
        <w:rPr>
          <w:i/>
          <w:iCs/>
        </w:rPr>
        <w:t xml:space="preserve">unraveling</w:t>
      </w:r>
      <w:r>
        <w:t xml:space="preserve"> </w:t>
      </w:r>
      <w:r>
        <w:t xml:space="preserve">clássico.</w:t>
      </w:r>
    </w:p>
    <w:p>
      <w:pPr>
        <w:pStyle w:val="BlockText"/>
      </w:pPr>
      <w:r>
        <w:rPr>
          <w:b/>
          <w:bCs/>
        </w:rPr>
        <w:t xml:space="preserve">Dados:</w:t>
      </w:r>
      <w:r>
        <w:t xml:space="preserve"> </w:t>
      </w:r>
      <w:r>
        <w:t xml:space="preserve">O NHS atende 67 milhões de pessoas, financiado por impostos gerais, com cobertura universal e gratuita no ponto de uso. Segundo dados da OECD Health Statistics (2023), o Reino Unido gasta 11,3% do PIB em saúde (incluindo setores público e privado), comparado a 16,6% nos EUA — que dependem mais fortemente de seguros privados e enfrentam problemas crônicos de seleção adversa (46 milhões de americanos sem seguro antes do</w:t>
      </w:r>
      <w:r>
        <w:t xml:space="preserve"> </w:t>
      </w:r>
      <w:r>
        <w:rPr>
          <w:i/>
          <w:iCs/>
        </w:rPr>
        <w:t xml:space="preserve">Affordable Care Act</w:t>
      </w:r>
      <w:r>
        <w:t xml:space="preserve"> </w:t>
      </w:r>
      <w:r>
        <w:t xml:space="preserve">de 2010). O gasto per capita britânico (US$ 5.138 PPP) é menos da metade do americano (US$ 12.555 PPP), embora a expectativa de vida seja comparável (81,0 vs. 77,5 anos em 2022).</w:t>
      </w:r>
    </w:p>
    <w:p>
      <w:pPr>
        <w:pStyle w:val="BlockText"/>
      </w:pPr>
      <w:r>
        <w:rPr>
          <w:b/>
          <w:bCs/>
        </w:rPr>
        <w:t xml:space="preserve">Análise:</w:t>
      </w:r>
      <w:r>
        <w:t xml:space="preserve"> </w:t>
      </w:r>
      <w:r>
        <w:t xml:space="preserve">O NHS resolve o problema da seleção adversa pela via mais direta possível: torna a participação obrigatória e universal, eliminando a autosseleção. Na linguagem do modelo de Rothschild-Stiglitz, o NHS impõe um equilíbrio</w:t>
      </w:r>
      <w:r>
        <w:t xml:space="preserve"> </w:t>
      </w:r>
      <w:r>
        <w:rPr>
          <w:i/>
          <w:iCs/>
        </w:rPr>
        <w:t xml:space="preserve">pooling</w:t>
      </w:r>
      <w:r>
        <w:t xml:space="preserve"> </w:t>
      </w:r>
      <w:r>
        <w:t xml:space="preserve">por lei — todos os tipos (alto e baixo risco) participam do mesmo pool, financiado por impostos progressivos. Isso evita o</w:t>
      </w:r>
      <w:r>
        <w:t xml:space="preserve"> </w:t>
      </w:r>
      <w:r>
        <w:rPr>
          <w:i/>
          <w:iCs/>
        </w:rPr>
        <w:t xml:space="preserve">unraveling</w:t>
      </w:r>
      <w:r>
        <w:t xml:space="preserve">, mas ao custo de potencial ineficiência alocativa (os saudáveis subsidiam os doentes) e de possível risco moral (acesso gratuito pode gerar sobreuso). O debate sobre o design ótimo de sistemas de saúde é, essencialmente, um debate sobre o trade-off entre controlar seleção adversa (favorece universalidade) e controlar risco moral (favorece coparticipação).</w:t>
      </w:r>
    </w:p>
    <w:p>
      <w:pPr>
        <w:pStyle w:val="BlockText"/>
      </w:pPr>
      <w:r>
        <w:rPr>
          <w:b/>
          <w:bCs/>
        </w:rPr>
        <w:t xml:space="preserve">Fonte:</w:t>
      </w:r>
      <w:r>
        <w:t xml:space="preserve"> </w:t>
      </w:r>
      <w:r>
        <w:t xml:space="preserve">OECD Health Statistics 2023. NHS England,</w:t>
      </w:r>
      <w:r>
        <w:t xml:space="preserve"> </w:t>
      </w:r>
      <w:r>
        <w:rPr>
          <w:i/>
          <w:iCs/>
        </w:rPr>
        <w:t xml:space="preserve">Annual Report 2023</w:t>
      </w:r>
      <w:r>
        <w:t xml:space="preserve">.</w:t>
      </w:r>
    </w:p>
    <w:p>
      <w:pPr>
        <w:pStyle w:val="BlockText"/>
      </w:pPr>
      <w:r>
        <w:rPr>
          <w:b/>
          <w:bCs/>
        </w:rPr>
        <w:t xml:space="preserve">[EXEMPLO] Antisseleção e regulação por faixas etárias (</w:t>
      </w:r>
      <w:hyperlink r:id="rId1198">
        <w:r>
          <w:rPr>
            <w:rStyle w:val="Hyperlink"/>
            <w:b/>
            <w:bCs/>
          </w:rPr>
          <w:t xml:space="preserve">ANS</w:t>
        </w:r>
      </w:hyperlink>
      <w:r>
        <w:rPr>
          <w:b/>
          <w:bCs/>
        </w:rPr>
        <w:t xml:space="preserve">)</w:t>
      </w:r>
    </w:p>
    <w:p>
      <w:pPr>
        <w:pStyle w:val="BlockText"/>
      </w:pPr>
      <w:r>
        <w:t xml:space="preserve">O mercado brasileiro de saúde suplementar, com cerca de 51 milhões de beneficiários, é um caso emblemático de seleção adversa. Pessoas mais doentes (alto risco) têm maior incentivo para contratar planos de saúde, enquanto jovens saudáveis (baixo risco) tendem a considerar os prêmios elevados e permanecer sem plano — o clássico mecanismo de antisseleção.</w:t>
      </w:r>
    </w:p>
    <w:p>
      <w:pPr>
        <w:pStyle w:val="BlockText"/>
      </w:pPr>
      <w:r>
        <w:rPr>
          <w:b/>
          <w:bCs/>
        </w:rPr>
        <w:t xml:space="preserve">Regulação por faixas etárias:</w:t>
      </w:r>
    </w:p>
    <w:p>
      <w:pPr>
        <w:pStyle w:val="BlockText"/>
      </w:pPr>
      <w:r>
        <w:t xml:space="preserve">A ANS (Agência Nacional de Saúde Suplementar) estabelece 10 faixas etárias para os reajustes dos planos individuais e familiares. A regra-chave: a mensalidade da última faixa não pode ser superior a</w:t>
      </w:r>
      <w:r>
        <w:t xml:space="preserve"> </w:t>
      </w:r>
      <w:r>
        <w:rPr>
          <w:b/>
          <w:bCs/>
        </w:rPr>
        <w:t xml:space="preserve">6 vezes</w:t>
      </w:r>
      <w:r>
        <w:t xml:space="preserve"> </w:t>
      </w:r>
      <w:r>
        <w:t xml:space="preserve">a mensalidade da primeira.</w:t>
      </w:r>
    </w:p>
    <w:p>
      <w:pPr>
        <w:pStyle w:val="BlockText"/>
      </w:pPr>
      <w:r>
        <w:t xml:space="preserve">Essa regulação funciona como um</w:t>
      </w:r>
      <w:r>
        <w:t xml:space="preserve"> </w:t>
      </w:r>
      <w:r>
        <w:rPr>
          <w:b/>
          <w:bCs/>
        </w:rPr>
        <w:t xml:space="preserve">subsídio cruzado</w:t>
      </w:r>
      <w:r>
        <w:t xml:space="preserve"> </w:t>
      </w:r>
      <w:r>
        <w:t xml:space="preserve">entre faixas etárias: jovens pagam mais do que seu risco atuarial justificaria, subsidiando os idosos, cujo risco é maior. Na linguagem do modelo de</w:t>
      </w:r>
      <w:r>
        <w:t xml:space="preserve"> </w:t>
      </w:r>
      <w:hyperlink r:id="rId631">
        <w:r>
          <w:rPr>
            <w:rStyle w:val="Hyperlink"/>
          </w:rPr>
          <w:t xml:space="preserve">Rothschild-Stiglitz</w:t>
        </w:r>
      </w:hyperlink>
      <w:r>
        <w:t xml:space="preserve">, a ANS impõe um equilíbrio parcialmente agregador (pooling), usando a lei para evitar o unraveling do mercado.</w:t>
      </w:r>
    </w:p>
    <w:p>
      <w:pPr>
        <w:pStyle w:val="BlockText"/>
      </w:pPr>
      <w:r>
        <w:rPr>
          <w:i/>
          <w:iCs/>
        </w:rPr>
        <w:t xml:space="preserve">Fonte: ANS, Dados Gerais do Setor, 2025; Resolução Normativa ANS n.º 63/2003.</w:t>
      </w:r>
    </w:p>
    <w:p>
      <w:pPr>
        <w:pStyle w:val="BlockText"/>
      </w:pPr>
      <w:r>
        <w:rPr>
          <w:b/>
          <w:bCs/>
        </w:rPr>
        <w:t xml:space="preserve">[EXERCICIO RESOLVIDO] Exercício Resolvido 19.4 — Seleção adversa em seguros</w:t>
      </w:r>
    </w:p>
    <w:p>
      <w:pPr>
        <w:pStyle w:val="BlockText"/>
      </w:pPr>
      <w:r>
        <w:rPr>
          <w:b/>
          <w:bCs/>
        </w:rPr>
        <w:t xml:space="preserve">Enunciado:</w:t>
      </w:r>
      <w:r>
        <w:t xml:space="preserve"> </w:t>
      </w:r>
      <w:r>
        <w:t xml:space="preserve">Dois tipos de segurados: alto risco (</w:t>
      </w:r>
      <m:oMath>
        <m:sSub>
          <m:e>
            <m:r>
              <m:t>p</m:t>
            </m:r>
          </m:e>
          <m:sub>
            <m:r>
              <m:t>H</m:t>
            </m:r>
          </m:sub>
        </m:sSub>
        <m:r>
          <m:rPr>
            <m:sty m:val="p"/>
          </m:rPr>
          <m:t>=</m:t>
        </m:r>
        <m:r>
          <m:t>0</m:t>
        </m:r>
        <m:r>
          <m:rPr>
            <m:sty m:val="p"/>
          </m:rPr>
          <m:t>,</m:t>
        </m:r>
        <m:r>
          <m:t>5</m:t>
        </m:r>
      </m:oMath>
      <w:r>
        <w:t xml:space="preserve">) e baixo risco (</w:t>
      </w:r>
      <m:oMath>
        <m:sSub>
          <m:e>
            <m:r>
              <m:t>p</m:t>
            </m:r>
          </m:e>
          <m:sub>
            <m:r>
              <m:t>L</m:t>
            </m:r>
          </m:sub>
        </m:sSub>
        <m:r>
          <m:rPr>
            <m:sty m:val="p"/>
          </m:rPr>
          <m:t>=</m:t>
        </m:r>
        <m:r>
          <m:t>0</m:t>
        </m:r>
        <m:r>
          <m:rPr>
            <m:sty m:val="p"/>
          </m:rPr>
          <m:t>,</m:t>
        </m:r>
        <m:r>
          <m:t>1</m:t>
        </m:r>
      </m:oMath>
      <w:r>
        <w:t xml:space="preserve">). Riqueza</w:t>
      </w:r>
      <w:r>
        <w:t xml:space="preserve"> </w:t>
      </w:r>
      <m:oMath>
        <m:r>
          <m:t>W</m:t>
        </m:r>
        <m:r>
          <m:rPr>
            <m:sty m:val="p"/>
          </m:rPr>
          <m:t>=</m:t>
        </m:r>
        <m:r>
          <m:t>1.000</m:t>
        </m:r>
      </m:oMath>
      <w:r>
        <w:t xml:space="preserve">, perda</w:t>
      </w:r>
      <w:r>
        <w:t xml:space="preserve"> </w:t>
      </w:r>
      <m:oMath>
        <m:r>
          <m:t>d</m:t>
        </m:r>
        <m:r>
          <m:rPr>
            <m:sty m:val="p"/>
          </m:rPr>
          <m:t>=</m:t>
        </m:r>
        <m:r>
          <m:t>600</m:t>
        </m:r>
      </m:oMath>
      <w:r>
        <w:t xml:space="preserve">. 60% são tipo L.</w:t>
      </w:r>
      <w:r>
        <w:t xml:space="preserve"> </w:t>
      </w:r>
      <m:oMath>
        <m:r>
          <m:t>U</m:t>
        </m:r>
        <m:r>
          <m:rPr>
            <m:sty m:val="p"/>
          </m:rPr>
          <m:t>(</m:t>
        </m:r>
        <m:r>
          <m:t>W</m:t>
        </m:r>
        <m:r>
          <m:rPr>
            <m:sty m:val="p"/>
          </m:rPr>
          <m:t>)</m:t>
        </m:r>
        <m:r>
          <m:rPr>
            <m:sty m:val="p"/>
          </m:rPr>
          <m:t>=</m:t>
        </m:r>
        <m:r>
          <m:rPr>
            <m:sty m:val="p"/>
          </m:rPr>
          <m:t>ln</m:t>
        </m:r>
        <m:r>
          <m:rPr>
            <m:sty m:val="p"/>
          </m:rPr>
          <m:t>(</m:t>
        </m:r>
        <m:r>
          <m:t>W</m:t>
        </m:r>
        <m:r>
          <m:rPr>
            <m:sty m:val="p"/>
          </m:rPr>
          <m:t>)</m:t>
        </m:r>
      </m:oMath>
      <w:r>
        <w:t xml:space="preserve">. (a) Calcule os contratos de seguro completo atuarialmente justos para cada tipo. (b) Mostre que um contrato pooling com seguro completo à taxa média não é equilíbrio.</w:t>
      </w:r>
    </w:p>
    <w:p>
      <w:r>
        <w:pict>
          <v:rect style="width:0;height:1.5pt" o:hralign="center" o:hrstd="t" o:hr="t"/>
        </w:pict>
      </w:r>
    </w:p>
    <w:p>
      <w:pPr>
        <w:pStyle w:val="BlockText"/>
      </w:pPr>
      <w:r>
        <w:rPr>
          <w:b/>
          <w:bCs/>
        </w:rPr>
        <w:t xml:space="preserve">(a)</w:t>
      </w:r>
      <w:r>
        <w:t xml:space="preserve"> </w:t>
      </w:r>
      <w:r>
        <w:t xml:space="preserve">Tipo H: prêmio =</w:t>
      </w:r>
      <w:r>
        <w:t xml:space="preserve"> </w:t>
      </w:r>
      <m:oMath>
        <m:r>
          <m:t>0</m:t>
        </m:r>
        <m:r>
          <m:rPr>
            <m:sty m:val="p"/>
          </m:rPr>
          <m:t>,</m:t>
        </m:r>
        <m:r>
          <m:t>5</m:t>
        </m:r>
        <m:r>
          <m:rPr>
            <m:sty m:val="p"/>
          </m:rPr>
          <m:t>×</m:t>
        </m:r>
        <m:r>
          <m:t>600</m:t>
        </m:r>
        <m:r>
          <m:rPr>
            <m:sty m:val="p"/>
          </m:rPr>
          <m:t>=</m:t>
        </m:r>
        <m:r>
          <m:t>300</m:t>
        </m:r>
      </m:oMath>
      <w:r>
        <w:t xml:space="preserve">. Riqueza certa:</w:t>
      </w:r>
      <w:r>
        <w:t xml:space="preserve"> </w:t>
      </w:r>
      <m:oMath>
        <m:r>
          <m:t>1.000</m:t>
        </m:r>
        <m:r>
          <m:rPr>
            <m:sty m:val="p"/>
          </m:rPr>
          <m:t>−</m:t>
        </m:r>
        <m:r>
          <m:t>300</m:t>
        </m:r>
        <m:r>
          <m:rPr>
            <m:sty m:val="p"/>
          </m:rPr>
          <m:t>=</m:t>
        </m:r>
        <m:r>
          <m:t>700</m:t>
        </m:r>
      </m:oMath>
      <w:r>
        <w:t xml:space="preserve">.</w:t>
      </w:r>
    </w:p>
    <w:p>
      <w:pPr>
        <w:pStyle w:val="BlockText"/>
      </w:pPr>
      <w:r>
        <w:t xml:space="preserve">Tipo L: prêmio =</w:t>
      </w:r>
      <w:r>
        <w:t xml:space="preserve"> </w:t>
      </w:r>
      <m:oMath>
        <m:r>
          <m:t>0</m:t>
        </m:r>
        <m:r>
          <m:rPr>
            <m:sty m:val="p"/>
          </m:rPr>
          <m:t>,</m:t>
        </m:r>
        <m:r>
          <m:t>1</m:t>
        </m:r>
        <m:r>
          <m:rPr>
            <m:sty m:val="p"/>
          </m:rPr>
          <m:t>×</m:t>
        </m:r>
        <m:r>
          <m:t>600</m:t>
        </m:r>
        <m:r>
          <m:rPr>
            <m:sty m:val="p"/>
          </m:rPr>
          <m:t>=</m:t>
        </m:r>
        <m:r>
          <m:t>60</m:t>
        </m:r>
      </m:oMath>
      <w:r>
        <w:t xml:space="preserve">. Riqueza certa:</w:t>
      </w:r>
      <w:r>
        <w:t xml:space="preserve"> </w:t>
      </w:r>
      <m:oMath>
        <m:r>
          <m:t>1.000</m:t>
        </m:r>
        <m:r>
          <m:rPr>
            <m:sty m:val="p"/>
          </m:rPr>
          <m:t>−</m:t>
        </m:r>
        <m:r>
          <m:t>60</m:t>
        </m:r>
        <m:r>
          <m:rPr>
            <m:sty m:val="p"/>
          </m:rPr>
          <m:t>=</m:t>
        </m:r>
        <m:r>
          <m:t>940</m:t>
        </m:r>
      </m:oMath>
      <w:r>
        <w:t xml:space="preserve">.</w:t>
      </w:r>
    </w:p>
    <w:p>
      <w:pPr>
        <w:pStyle w:val="BlockText"/>
      </w:pPr>
      <w:r>
        <w:rPr>
          <w:b/>
          <w:bCs/>
        </w:rPr>
        <w:t xml:space="preserve">(b)</w:t>
      </w:r>
      <w:r>
        <w:t xml:space="preserve"> </w:t>
      </w:r>
      <w:r>
        <w:t xml:space="preserve">Taxa média:</w:t>
      </w:r>
      <w:r>
        <w:t xml:space="preserve"> </w:t>
      </w:r>
      <m:oMath>
        <m:acc>
          <m:accPr>
            <m:chr m:val="‾"/>
          </m:accPr>
          <m:e>
            <m:r>
              <m:t>p</m:t>
            </m:r>
          </m:e>
        </m:acc>
        <m:r>
          <m:rPr>
            <m:sty m:val="p"/>
          </m:rPr>
          <m:t>=</m:t>
        </m:r>
        <m:r>
          <m:t>0</m:t>
        </m:r>
        <m:r>
          <m:rPr>
            <m:sty m:val="p"/>
          </m:rPr>
          <m:t>,</m:t>
        </m:r>
        <m:r>
          <m:t>6</m:t>
        </m:r>
        <m:r>
          <m:rPr>
            <m:sty m:val="p"/>
          </m:rPr>
          <m:t>×</m:t>
        </m:r>
        <m:r>
          <m:t>0</m:t>
        </m:r>
        <m:r>
          <m:rPr>
            <m:sty m:val="p"/>
          </m:rPr>
          <m:t>,</m:t>
        </m:r>
        <m:r>
          <m:t>1</m:t>
        </m:r>
        <m:r>
          <m:rPr>
            <m:sty m:val="p"/>
          </m:rPr>
          <m:t>+</m:t>
        </m:r>
        <m:r>
          <m:t>0</m:t>
        </m:r>
        <m:r>
          <m:rPr>
            <m:sty m:val="p"/>
          </m:rPr>
          <m:t>,</m:t>
        </m:r>
        <m:r>
          <m:t>4</m:t>
        </m:r>
        <m:r>
          <m:rPr>
            <m:sty m:val="p"/>
          </m:rPr>
          <m:t>×</m:t>
        </m:r>
        <m:r>
          <m:t>0</m:t>
        </m:r>
        <m:r>
          <m:rPr>
            <m:sty m:val="p"/>
          </m:rPr>
          <m:t>,</m:t>
        </m:r>
        <m:r>
          <m:t>5</m:t>
        </m:r>
        <m:r>
          <m:rPr>
            <m:sty m:val="p"/>
          </m:rPr>
          <m:t>=</m:t>
        </m:r>
        <m:r>
          <m:t>0</m:t>
        </m:r>
        <m:r>
          <m:rPr>
            <m:sty m:val="p"/>
          </m:rPr>
          <m:t>,</m:t>
        </m:r>
        <m:r>
          <m:t>26</m:t>
        </m:r>
      </m:oMath>
      <w:r>
        <w:t xml:space="preserve">. Prêmio pooling:</w:t>
      </w:r>
      <w:r>
        <w:t xml:space="preserve"> </w:t>
      </w:r>
      <m:oMath>
        <m:r>
          <m:t>0</m:t>
        </m:r>
        <m:r>
          <m:rPr>
            <m:sty m:val="p"/>
          </m:rPr>
          <m:t>,</m:t>
        </m:r>
        <m:r>
          <m:t>26</m:t>
        </m:r>
        <m:r>
          <m:rPr>
            <m:sty m:val="p"/>
          </m:rPr>
          <m:t>×</m:t>
        </m:r>
        <m:r>
          <m:t>600</m:t>
        </m:r>
        <m:r>
          <m:rPr>
            <m:sty m:val="p"/>
          </m:rPr>
          <m:t>=</m:t>
        </m:r>
        <m:r>
          <m:t>156</m:t>
        </m:r>
      </m:oMath>
      <w:r>
        <w:t xml:space="preserve">.</w:t>
      </w:r>
    </w:p>
    <w:p>
      <w:pPr>
        <w:pStyle w:val="BlockText"/>
      </w:pPr>
      <w:r>
        <w:t xml:space="preserve">Utilidade do tipo L com pooling:</w:t>
      </w:r>
      <w:r>
        <w:t xml:space="preserve"> </w:t>
      </w:r>
      <m:oMath>
        <m:r>
          <m:t>U</m:t>
        </m:r>
        <m:r>
          <m:rPr>
            <m:sty m:val="p"/>
          </m:rPr>
          <m:t>=</m:t>
        </m:r>
        <m:r>
          <m:rPr>
            <m:sty m:val="p"/>
          </m:rPr>
          <m:t>ln</m:t>
        </m:r>
        <m:r>
          <m:rPr>
            <m:sty m:val="p"/>
          </m:rPr>
          <m:t>(</m:t>
        </m:r>
        <m:r>
          <m:t>1.000</m:t>
        </m:r>
        <m:r>
          <m:rPr>
            <m:sty m:val="p"/>
          </m:rPr>
          <m:t>−</m:t>
        </m:r>
        <m:r>
          <m:t>156</m:t>
        </m:r>
        <m:r>
          <m:rPr>
            <m:sty m:val="p"/>
          </m:rPr>
          <m:t>)</m:t>
        </m:r>
        <m:r>
          <m:rPr>
            <m:sty m:val="p"/>
          </m:rPr>
          <m:t>=</m:t>
        </m:r>
        <m:r>
          <m:rPr>
            <m:sty m:val="p"/>
          </m:rPr>
          <m:t>ln</m:t>
        </m:r>
        <m:r>
          <m:rPr>
            <m:sty m:val="p"/>
          </m:rPr>
          <m:t>(</m:t>
        </m:r>
        <m:r>
          <m:t>844</m:t>
        </m:r>
        <m:r>
          <m:rPr>
            <m:sty m:val="p"/>
          </m:rPr>
          <m:t>)</m:t>
        </m:r>
        <m:r>
          <m:rPr>
            <m:sty m:val="p"/>
          </m:rPr>
          <m:t>≈</m:t>
        </m:r>
        <m:r>
          <m:t>6</m:t>
        </m:r>
        <m:r>
          <m:rPr>
            <m:sty m:val="p"/>
          </m:rPr>
          <m:t>,</m:t>
        </m:r>
        <m:r>
          <m:t>739</m:t>
        </m:r>
      </m:oMath>
      <w:r>
        <w:t xml:space="preserve">.</w:t>
      </w:r>
    </w:p>
    <w:p>
      <w:pPr>
        <w:pStyle w:val="BlockText"/>
      </w:pPr>
      <w:r>
        <w:t xml:space="preserve">Utilidade do tipo L</w:t>
      </w:r>
      <w:r>
        <w:t xml:space="preserve"> </w:t>
      </w:r>
      <w:r>
        <w:rPr>
          <w:i/>
          <w:iCs/>
        </w:rPr>
        <w:t xml:space="preserve">sem seguro</w:t>
      </w:r>
      <w:r>
        <w:t xml:space="preserve">:</w:t>
      </w:r>
      <w:r>
        <w:t xml:space="preserve"> </w:t>
      </w:r>
      <m:oMath>
        <m:r>
          <m:t>E</m:t>
        </m:r>
        <m:r>
          <m:t>U</m:t>
        </m:r>
        <m:r>
          <m:rPr>
            <m:sty m:val="p"/>
          </m:rPr>
          <m:t>=</m:t>
        </m:r>
        <m:r>
          <m:t>0</m:t>
        </m:r>
        <m:r>
          <m:rPr>
            <m:sty m:val="p"/>
          </m:rPr>
          <m:t>,</m:t>
        </m:r>
        <m:r>
          <m:t>9</m:t>
        </m:r>
        <m:r>
          <m:rPr>
            <m:sty m:val="p"/>
          </m:rPr>
          <m:t>ln</m:t>
        </m:r>
        <m:r>
          <m:rPr>
            <m:sty m:val="p"/>
          </m:rPr>
          <m:t>(</m:t>
        </m:r>
        <m:r>
          <m:t>1.000</m:t>
        </m:r>
        <m:r>
          <m:rPr>
            <m:sty m:val="p"/>
          </m:rPr>
          <m:t>)</m:t>
        </m:r>
        <m:r>
          <m:rPr>
            <m:sty m:val="p"/>
          </m:rPr>
          <m:t>+</m:t>
        </m:r>
        <m:r>
          <m:t>0</m:t>
        </m:r>
        <m:r>
          <m:rPr>
            <m:sty m:val="p"/>
          </m:rPr>
          <m:t>,</m:t>
        </m:r>
        <m:r>
          <m:t>1</m:t>
        </m:r>
        <m:r>
          <m:rPr>
            <m:sty m:val="p"/>
          </m:rPr>
          <m:t>ln</m:t>
        </m:r>
        <m:r>
          <m:rPr>
            <m:sty m:val="p"/>
          </m:rPr>
          <m:t>(</m:t>
        </m:r>
        <m:r>
          <m:t>400</m:t>
        </m:r>
        <m:r>
          <m:rPr>
            <m:sty m:val="p"/>
          </m:rPr>
          <m:t>)</m:t>
        </m:r>
        <m:r>
          <m:rPr>
            <m:sty m:val="p"/>
          </m:rPr>
          <m:t>=</m:t>
        </m:r>
        <m:r>
          <m:t>0</m:t>
        </m:r>
        <m:r>
          <m:rPr>
            <m:sty m:val="p"/>
          </m:rPr>
          <m:t>,</m:t>
        </m:r>
        <m:r>
          <m:t>9</m:t>
        </m:r>
        <m:r>
          <m:rPr>
            <m:sty m:val="p"/>
          </m:rPr>
          <m:t>×</m:t>
        </m:r>
        <m:r>
          <m:t>6</m:t>
        </m:r>
        <m:r>
          <m:rPr>
            <m:sty m:val="p"/>
          </m:rPr>
          <m:t>,</m:t>
        </m:r>
        <m:r>
          <m:t>908</m:t>
        </m:r>
        <m:r>
          <m:rPr>
            <m:sty m:val="p"/>
          </m:rPr>
          <m:t>+</m:t>
        </m:r>
        <m:r>
          <m:t>0</m:t>
        </m:r>
        <m:r>
          <m:rPr>
            <m:sty m:val="p"/>
          </m:rPr>
          <m:t>,</m:t>
        </m:r>
        <m:r>
          <m:t>1</m:t>
        </m:r>
        <m:r>
          <m:rPr>
            <m:sty m:val="p"/>
          </m:rPr>
          <m:t>×</m:t>
        </m:r>
        <m:r>
          <m:t>5</m:t>
        </m:r>
        <m:r>
          <m:rPr>
            <m:sty m:val="p"/>
          </m:rPr>
          <m:t>,</m:t>
        </m:r>
        <m:r>
          <m:t>991</m:t>
        </m:r>
        <m:r>
          <m:rPr>
            <m:sty m:val="p"/>
          </m:rPr>
          <m:t>=</m:t>
        </m:r>
        <m:r>
          <m:t>6</m:t>
        </m:r>
        <m:r>
          <m:rPr>
            <m:sty m:val="p"/>
          </m:rPr>
          <m:t>,</m:t>
        </m:r>
        <m:r>
          <m:t>816</m:t>
        </m:r>
      </m:oMath>
      <w:r>
        <w:t xml:space="preserve">.</w:t>
      </w:r>
    </w:p>
    <w:p>
      <w:pPr>
        <w:pStyle w:val="BlockText"/>
      </w:pPr>
      <w:r>
        <w:t xml:space="preserve">Como</w:t>
      </w:r>
      <w:r>
        <w:t xml:space="preserve"> </w:t>
      </w:r>
      <m:oMath>
        <m:r>
          <m:t>6</m:t>
        </m:r>
        <m:r>
          <m:rPr>
            <m:sty m:val="p"/>
          </m:rPr>
          <m:t>,</m:t>
        </m:r>
        <m:r>
          <m:t>816</m:t>
        </m:r>
        <m:r>
          <m:rPr>
            <m:sty m:val="p"/>
          </m:rPr>
          <m:t>&gt;</m:t>
        </m:r>
        <m:r>
          <m:t>6</m:t>
        </m:r>
        <m:r>
          <m:rPr>
            <m:sty m:val="p"/>
          </m:rPr>
          <m:t>,</m:t>
        </m:r>
        <m:r>
          <m:t>739</m:t>
        </m:r>
      </m:oMath>
      <w:r>
        <w:t xml:space="preserve">, o tipo L</w:t>
      </w:r>
      <w:r>
        <w:t xml:space="preserve"> </w:t>
      </w:r>
      <w:r>
        <w:rPr>
          <w:b/>
          <w:bCs/>
        </w:rPr>
        <w:t xml:space="preserve">prefere não se segurar</w:t>
      </w:r>
      <w:r>
        <w:t xml:space="preserve"> </w:t>
      </w:r>
      <w:r>
        <w:t xml:space="preserve">a aceitar o contrato pooling. O equilíbrio pooling é destruído — confirmando o resultado de Rothschild-Stiglitz.</w:t>
      </w:r>
    </w:p>
    <w:p>
      <w:pPr>
        <w:pStyle w:val="BlockText"/>
      </w:pPr>
      <w:r>
        <w:rPr>
          <w:b/>
          <w:bCs/>
        </w:rPr>
        <w:t xml:space="preserve">Interpretação:</w:t>
      </w:r>
      <w:r>
        <w:t xml:space="preserve"> </w:t>
      </w:r>
      <w:r>
        <w:t xml:space="preserve">O prêmio médio é</w:t>
      </w:r>
      <w:r>
        <w:t xml:space="preserve"> </w:t>
      </w:r>
      <w:r>
        <w:t xml:space="preserve">“caro demais”</w:t>
      </w:r>
      <w:r>
        <w:t xml:space="preserve"> </w:t>
      </w:r>
      <w:r>
        <w:t xml:space="preserve">para o tipo L, que prefere correr o risco. Isso inicia a espiral de seleção adversa: sem os tipos L, o pool piora e o prêmio sobe.</w:t>
      </w:r>
    </w:p>
    <w:bookmarkEnd w:id="1199"/>
    <w:bookmarkEnd w:id="1200"/>
    <w:bookmarkEnd w:id="1201"/>
    <w:bookmarkStart w:id="1206" w:name="sinalização-e-screening"/>
    <w:p>
      <w:pPr>
        <w:pStyle w:val="Heading2"/>
      </w:pPr>
      <w:r>
        <w:t xml:space="preserve">19.5–19.6 Sinalização e Screening</w:t>
      </w:r>
    </w:p>
    <w:bookmarkStart w:id="1204" w:name="X52ae7bdbb96bf25280b55990570beabf2048ce0"/>
    <w:p>
      <w:pPr>
        <w:pStyle w:val="Heading3"/>
      </w:pPr>
      <w:r>
        <w:t xml:space="preserve">19.5 O Diploma Que Não Ensina Nada (Mas Vale Ouro): Sinalização</w:t>
      </w:r>
    </w:p>
    <w:p>
      <w:pPr>
        <w:pStyle w:val="FirstParagraph"/>
      </w:pPr>
      <w:r>
        <w:t xml:space="preserve">Se você fosse um vendedor de carro impecável, preso num mercado cheio de abacaxis, como convenceria o comprador de que o</w:t>
      </w:r>
      <w:r>
        <w:t xml:space="preserve"> </w:t>
      </w:r>
      <w:r>
        <w:rPr>
          <w:i/>
          <w:iCs/>
        </w:rPr>
        <w:t xml:space="preserve">seu</w:t>
      </w:r>
      <w:r>
        <w:t xml:space="preserve"> </w:t>
      </w:r>
      <w:r>
        <w:t xml:space="preserve">carro é diferente? Dizer</w:t>
      </w:r>
      <w:r>
        <w:t xml:space="preserve"> </w:t>
      </w:r>
      <w:r>
        <w:t xml:space="preserve">“confie em mim”</w:t>
      </w:r>
      <w:r>
        <w:t xml:space="preserve"> </w:t>
      </w:r>
      <w:r>
        <w:t xml:space="preserve">não basta — todo vendedor de abacaxi diria o mesmo. A saída, como percebeu Michael Spence (1973), é fazer algo que</w:t>
      </w:r>
      <w:r>
        <w:t xml:space="preserve"> </w:t>
      </w:r>
      <w:r>
        <w:rPr>
          <w:i/>
          <w:iCs/>
        </w:rPr>
        <w:t xml:space="preserve">só</w:t>
      </w:r>
      <w:r>
        <w:t xml:space="preserve"> </w:t>
      </w:r>
      <w:r>
        <w:t xml:space="preserve">quem tem carro bom faria: oferecer uma garantia de um ano, por exemplo, ou pagar uma vistoria independente. Em certas condições, a parte informada pode tomar ações custosas e observáveis que funcionam como sinais críveis de suas características ocultas. A chave é que o custo do sinal deve diferir entre os tipos — caso contrário, todos sinalizariam da mesma forma e nenhuma informação seria transmitida. Essa condição é conhecida como</w:t>
      </w:r>
      <w:r>
        <w:t xml:space="preserve"> </w:t>
      </w:r>
      <w:r>
        <w:rPr>
          <w:i/>
          <w:iCs/>
        </w:rPr>
        <w:t xml:space="preserve">single-crossing</w:t>
      </w:r>
      <w:r>
        <w:t xml:space="preserve"> </w:t>
      </w:r>
      <w:r>
        <w:t xml:space="preserve">e é o que garante que a sinalização seja crível.</w:t>
      </w:r>
    </w:p>
    <w:p>
      <w:pPr>
        <w:pStyle w:val="BlockText"/>
      </w:pPr>
      <w:r>
        <w:rPr>
          <w:b/>
          <w:bCs/>
        </w:rPr>
        <w:t xml:space="preserve">[DEFINICAO] Sinalização (Signaling)</w:t>
      </w:r>
    </w:p>
    <w:p>
      <w:pPr>
        <w:pStyle w:val="BlockText"/>
      </w:pPr>
      <w:r>
        <w:t xml:space="preserve">Mecanismo pelo qual a parte informada (agente) toma uma</w:t>
      </w:r>
      <w:r>
        <w:t xml:space="preserve"> </w:t>
      </w:r>
      <w:r>
        <w:rPr>
          <w:b/>
          <w:bCs/>
        </w:rPr>
        <w:t xml:space="preserve">ação custosa e observável</w:t>
      </w:r>
      <w:r>
        <w:t xml:space="preserve"> </w:t>
      </w:r>
      <w:r>
        <w:t xml:space="preserve">para transmitir credibilmente sua informação privada à parte desinformada (principal). Para que o sinal seja efetivo, ele deve ser</w:t>
      </w:r>
      <w:r>
        <w:t xml:space="preserve"> </w:t>
      </w:r>
      <w:r>
        <w:rPr>
          <w:b/>
          <w:bCs/>
        </w:rPr>
        <w:t xml:space="preserve">diferencialmente custoso</w:t>
      </w:r>
      <w:r>
        <w:t xml:space="preserve"> </w:t>
      </w:r>
      <w:r>
        <w:t xml:space="preserve">entre os tipos.</w:t>
      </w:r>
    </w:p>
    <w:p>
      <w:pPr>
        <w:pStyle w:val="BlockText"/>
      </w:pPr>
      <w:r>
        <w:rPr>
          <w:b/>
          <w:bCs/>
        </w:rPr>
        <w:t xml:space="preserve">[DICA] Conexão com o Capítulo 9d</w:t>
      </w:r>
    </w:p>
    <w:p>
      <w:pPr>
        <w:pStyle w:val="BlockText"/>
      </w:pPr>
      <w:r>
        <w:t xml:space="preserve">A derivação completa dos equilíbrios separadores e agregadores como Equilíbrios Bayesianos Perfeitos, o Critério de Dominância Intuitiva de Cho-Kreps e a comparação formal entre tipos de equilíbrio encontram-se na Seção 9d.2. Aqui, o foco é a aplicação econômica e as implicações para mercados e políticas públicas.</w:t>
      </w:r>
    </w:p>
    <w:bookmarkStart w:id="1202" w:name="educação-como-sinal-spence-1973"/>
    <w:p>
      <w:pPr>
        <w:pStyle w:val="Heading4"/>
      </w:pPr>
      <w:r>
        <w:t xml:space="preserve">19.5.1 Educação como sinal (Spence, 1973)</w:t>
      </w:r>
    </w:p>
    <w:p>
      <w:pPr>
        <w:pStyle w:val="FirstParagraph"/>
      </w:pPr>
      <w:r>
        <w:t xml:space="preserve">Michael Spence propôs, em sua tese de doutorado em Harvard (1972, publicada em 1973 no QJE), que a educação pode funcionar como sinal de produtividade, mesmo que não aumente diretamente as habilidades do trabalhador. A ideia central — provocativa e influente — é que adquirir educação é</w:t>
      </w:r>
      <w:r>
        <w:t xml:space="preserve"> </w:t>
      </w:r>
      <w:r>
        <w:rPr>
          <w:b/>
          <w:bCs/>
        </w:rPr>
        <w:t xml:space="preserve">menos custoso</w:t>
      </w:r>
      <w:r>
        <w:t xml:space="preserve"> </w:t>
      </w:r>
      <w:r>
        <w:t xml:space="preserve">para trabalhadores de alta produtividade. Mesmo que a faculdade não ensine nada diretamente útil para o trabalho, o fato de o trabalhador ter conseguido completá-la transmite informação sobre disciplina, inteligência e capacidade de aprendizado — todas características correlacionadas com produtividade.</w:t>
      </w:r>
    </w:p>
    <w:p>
      <w:pPr>
        <w:pStyle w:val="BodyText"/>
      </w:pPr>
      <w:r>
        <w:t xml:space="preserve">Essa ideia contrasta frontalmente com a teoria do capital humano de Gary Becker (Nobel 1992), segundo a qual a educação aumenta diretamente a produtividade do trabalhador — por exemplo, ao ensinar habilidades técnicas, raciocínio analítico ou capacidade de comunicação. Na visão de Becker, o retorno salarial à educação reflete ganhos reais de produtividade; na visão de Spence, pode refletir apenas a revelação de informação pré-existente. Na prática, ambos os mecanismos provavelmente operam simultaneamente, e a questão empírica — quanto do retorno à educação é capital humano vs. sinalização? — permanece aberta e é de enorme importância para a política educacional. O paper de Tyler, Murnane e Willett (2000), discutido na seção</w:t>
      </w:r>
      <w:r>
        <w:t xml:space="preserve"> </w:t>
      </w:r>
      <w:r>
        <w:t xml:space="preserve">“Pesquisa em Ação”</w:t>
      </w:r>
      <w:r>
        <w:t xml:space="preserve">, oferece uma das estimativas mais limpas do componente de sinalização.</w:t>
      </w:r>
    </w:p>
    <w:p>
      <w:pPr>
        <w:pStyle w:val="BodyText"/>
      </w:pPr>
      <w:r>
        <w:t xml:space="preserve">Considere dois tipos de trabalhadores:</w:t>
      </w:r>
    </w:p>
    <w:p>
      <w:pPr>
        <w:pStyle w:val="Compact"/>
        <w:numPr>
          <w:ilvl w:val="0"/>
          <w:numId w:val="2054"/>
        </w:numPr>
      </w:pPr>
      <w:r>
        <w:rPr>
          <w:b/>
          <w:bCs/>
        </w:rPr>
        <w:t xml:space="preserve">Alta produtividade</w:t>
      </w:r>
      <w:r>
        <w:t xml:space="preserve"> </w:t>
      </w:r>
      <w:r>
        <w:t xml:space="preserve">(</w:t>
      </w:r>
      <m:oMath>
        <m:sSub>
          <m:e>
            <m:r>
              <m:t>θ</m:t>
            </m:r>
          </m:e>
          <m:sub>
            <m:r>
              <m:t>H</m:t>
            </m:r>
          </m:sub>
        </m:sSub>
      </m:oMath>
      <w:r>
        <w:t xml:space="preserve">): produção</w:t>
      </w:r>
      <w:r>
        <w:t xml:space="preserve"> </w:t>
      </w:r>
      <m:oMath>
        <m:sSub>
          <m:e>
            <m:r>
              <m:t>θ</m:t>
            </m:r>
          </m:e>
          <m:sub>
            <m:r>
              <m:t>H</m:t>
            </m:r>
          </m:sub>
        </m:sSub>
      </m:oMath>
      <w:r>
        <w:t xml:space="preserve">, custo de educação</w:t>
      </w:r>
      <w:r>
        <w:t xml:space="preserve"> </w:t>
      </w:r>
      <m:oMath>
        <m:sSub>
          <m:e>
            <m:r>
              <m:t>c</m:t>
            </m:r>
          </m:e>
          <m:sub>
            <m:r>
              <m:t>H</m:t>
            </m:r>
          </m:sub>
        </m:sSub>
        <m:r>
          <m:rPr>
            <m:sty m:val="p"/>
          </m:rPr>
          <m:t>(</m:t>
        </m:r>
        <m:r>
          <m:t>s</m:t>
        </m:r>
        <m:r>
          <m:rPr>
            <m:sty m:val="p"/>
          </m:rPr>
          <m:t>)</m:t>
        </m:r>
        <m:r>
          <m:rPr>
            <m:sty m:val="p"/>
          </m:rPr>
          <m:t>=</m:t>
        </m:r>
        <m:r>
          <m:t>s</m:t>
        </m:r>
        <m:r>
          <m:rPr>
            <m:sty m:val="p"/>
          </m:rPr>
          <m:t>/</m:t>
        </m:r>
        <m:sSub>
          <m:e>
            <m:r>
              <m:t>θ</m:t>
            </m:r>
          </m:e>
          <m:sub>
            <m:r>
              <m:t>H</m:t>
            </m:r>
          </m:sub>
        </m:sSub>
      </m:oMath>
    </w:p>
    <w:p>
      <w:pPr>
        <w:pStyle w:val="Compact"/>
        <w:numPr>
          <w:ilvl w:val="0"/>
          <w:numId w:val="2054"/>
        </w:numPr>
      </w:pPr>
      <w:r>
        <w:rPr>
          <w:b/>
          <w:bCs/>
        </w:rPr>
        <w:t xml:space="preserve">Baixa produtividade</w:t>
      </w:r>
      <w:r>
        <w:t xml:space="preserve"> </w:t>
      </w:r>
      <w:r>
        <w:t xml:space="preserve">(</w:t>
      </w:r>
      <m:oMath>
        <m:sSub>
          <m:e>
            <m:r>
              <m:t>θ</m:t>
            </m:r>
          </m:e>
          <m:sub>
            <m:r>
              <m:t>L</m:t>
            </m:r>
          </m:sub>
        </m:sSub>
      </m:oMath>
      <w:r>
        <w:t xml:space="preserve">): produção</w:t>
      </w:r>
      <w:r>
        <w:t xml:space="preserve"> </w:t>
      </w:r>
      <m:oMath>
        <m:sSub>
          <m:e>
            <m:r>
              <m:t>θ</m:t>
            </m:r>
          </m:e>
          <m:sub>
            <m:r>
              <m:t>L</m:t>
            </m:r>
          </m:sub>
        </m:sSub>
      </m:oMath>
      <w:r>
        <w:t xml:space="preserve">, custo de educação</w:t>
      </w:r>
      <w:r>
        <w:t xml:space="preserve"> </w:t>
      </w:r>
      <m:oMath>
        <m:sSub>
          <m:e>
            <m:r>
              <m:t>c</m:t>
            </m:r>
          </m:e>
          <m:sub>
            <m:r>
              <m:t>L</m:t>
            </m:r>
          </m:sub>
        </m:sSub>
        <m:r>
          <m:rPr>
            <m:sty m:val="p"/>
          </m:rPr>
          <m:t>(</m:t>
        </m:r>
        <m:r>
          <m:t>s</m:t>
        </m:r>
        <m:r>
          <m:rPr>
            <m:sty m:val="p"/>
          </m:rPr>
          <m:t>)</m:t>
        </m:r>
        <m:r>
          <m:rPr>
            <m:sty m:val="p"/>
          </m:rPr>
          <m:t>=</m:t>
        </m:r>
        <m:r>
          <m:t>s</m:t>
        </m:r>
        <m:r>
          <m:rPr>
            <m:sty m:val="p"/>
          </m:rPr>
          <m:t>/</m:t>
        </m:r>
        <m:sSub>
          <m:e>
            <m:r>
              <m:t>θ</m:t>
            </m:r>
          </m:e>
          <m:sub>
            <m:r>
              <m:t>L</m:t>
            </m:r>
          </m:sub>
        </m:sSub>
      </m:oMath>
    </w:p>
    <w:p>
      <w:pPr>
        <w:pStyle w:val="FirstParagraph"/>
      </w:pPr>
      <w:r>
        <w:t xml:space="preserve">com</w:t>
      </w:r>
      <w:r>
        <w:t xml:space="preserve"> </w:t>
      </w:r>
      <m:oMath>
        <m:sSub>
          <m:e>
            <m:r>
              <m:t>θ</m:t>
            </m:r>
          </m:e>
          <m:sub>
            <m:r>
              <m:t>H</m:t>
            </m:r>
          </m:sub>
        </m:sSub>
        <m:r>
          <m:rPr>
            <m:sty m:val="p"/>
          </m:rPr>
          <m:t>&gt;</m:t>
        </m:r>
        <m:sSub>
          <m:e>
            <m:r>
              <m:t>θ</m:t>
            </m:r>
          </m:e>
          <m:sub>
            <m:r>
              <m:t>L</m:t>
            </m:r>
          </m:sub>
        </m:sSub>
      </m:oMath>
      <w:r>
        <w:t xml:space="preserve">, de modo que</w:t>
      </w:r>
      <w:r>
        <w:t xml:space="preserve"> </w:t>
      </w:r>
      <m:oMath>
        <m:sSub>
          <m:e>
            <m:r>
              <m:t>c</m:t>
            </m:r>
          </m:e>
          <m:sub>
            <m:r>
              <m:t>H</m:t>
            </m:r>
          </m:sub>
        </m:sSub>
        <m:r>
          <m:rPr>
            <m:sty m:val="p"/>
          </m:rPr>
          <m:t>(</m:t>
        </m:r>
        <m:r>
          <m:t>s</m:t>
        </m:r>
        <m:r>
          <m:rPr>
            <m:sty m:val="p"/>
          </m:rPr>
          <m:t>)</m:t>
        </m:r>
        <m:r>
          <m:rPr>
            <m:sty m:val="p"/>
          </m:rPr>
          <m:t>&lt;</m:t>
        </m:r>
        <m:sSub>
          <m:e>
            <m:r>
              <m:t>c</m:t>
            </m:r>
          </m:e>
          <m:sub>
            <m:r>
              <m:t>L</m:t>
            </m:r>
          </m:sub>
        </m:sSub>
        <m:r>
          <m:rPr>
            <m:sty m:val="p"/>
          </m:rPr>
          <m:t>(</m:t>
        </m:r>
        <m:r>
          <m:t>s</m:t>
        </m:r>
        <m:r>
          <m:rPr>
            <m:sty m:val="p"/>
          </m:rPr>
          <m:t>)</m:t>
        </m:r>
      </m:oMath>
      <w:r>
        <w:t xml:space="preserve"> </w:t>
      </w:r>
      <w:r>
        <w:t xml:space="preserve">para todo</w:t>
      </w:r>
      <w:r>
        <w:t xml:space="preserve"> </w:t>
      </w:r>
      <m:oMath>
        <m:r>
          <m:t>s</m:t>
        </m:r>
        <m:r>
          <m:rPr>
            <m:sty m:val="p"/>
          </m:rPr>
          <m:t>&gt;</m:t>
        </m:r>
        <m:r>
          <m:t>0</m:t>
        </m:r>
      </m:oMath>
      <w:r>
        <w:t xml:space="preserve">: a educação custa menos ao trabalhador mais produtivo (hipótese de</w:t>
      </w:r>
      <w:r>
        <w:t xml:space="preserve"> </w:t>
      </w:r>
      <w:r>
        <w:rPr>
          <w:b/>
          <w:bCs/>
        </w:rPr>
        <w:t xml:space="preserve">single-crossing</w:t>
      </w:r>
      <w:r>
        <w:t xml:space="preserve">).</w:t>
      </w:r>
    </w:p>
    <w:p>
      <w:pPr>
        <w:pStyle w:val="BodyText"/>
      </w:pPr>
      <w:r>
        <w:t xml:space="preserve">No gráfico interativo abaixo, visualize as curvas de custo de educação para ambos os tipos e o intervalo de sinais que sustenta um equilíbrio separador.</w:t>
      </w:r>
    </w:p>
    <w:p>
      <w:pPr>
        <w:pStyle w:val="BodyText"/>
      </w:pPr>
      <w:r>
        <w:t xml:space="preserve">[FIGURA INTERATIVA: /micro-book/graficos/cap19/sinalizacao.html — versao interativa disponivel online]</w:t>
      </w:r>
    </w:p>
    <w:p>
      <w:pPr>
        <w:pStyle w:val="BodyText"/>
      </w:pPr>
      <w:r>
        <w:rPr>
          <w:b/>
          <w:bCs/>
        </w:rPr>
        <w:t xml:space="preserve">Figura 19.4 — Sinalização por educação (Spence, 1973).</w:t>
      </w:r>
      <w:r>
        <w:t xml:space="preserve"> </w:t>
      </w:r>
      <w:r>
        <w:t xml:space="preserve">Visualize as curvas de custo de educação para ambos os tipos, o salário de equilíbrio e a condição de single-crossing. A região azul indica o intervalo de níveis de educação que sustentam um equilíbrio separador.</w:t>
      </w:r>
    </w:p>
    <w:bookmarkEnd w:id="1202"/>
    <w:bookmarkStart w:id="1203" w:name="X625226fa2cbd579717cdd990b3a4fd843b4a4bd"/>
    <w:p>
      <w:pPr>
        <w:pStyle w:val="Heading4"/>
      </w:pPr>
      <w:r>
        <w:t xml:space="preserve">19.5.2 Equilíbrio separador vs. equilíbrio agregador</w:t>
      </w:r>
    </w:p>
    <w:p>
      <w:pPr>
        <w:pStyle w:val="BlockText"/>
      </w:pPr>
      <w:r>
        <w:rPr>
          <w:b/>
          <w:bCs/>
        </w:rPr>
        <w:t xml:space="preserve">[DEFINICAO] Equilíbrio Separador e Agregador</w:t>
      </w:r>
    </w:p>
    <w:p>
      <w:pPr>
        <w:pStyle w:val="Compact"/>
        <w:numPr>
          <w:ilvl w:val="0"/>
          <w:numId w:val="2055"/>
        </w:numPr>
      </w:pPr>
      <w:r>
        <w:rPr>
          <w:b/>
          <w:bCs/>
        </w:rPr>
        <w:t xml:space="preserve">Equilíbrio separador</w:t>
      </w:r>
      <w:r>
        <w:t xml:space="preserve">: os diferentes tipos escolhem sinais distintos, permitindo que a parte desinformada identifique cada tipo. Cada tipo recebe um salário igual à sua produtividade.</w:t>
      </w:r>
    </w:p>
    <w:p>
      <w:pPr>
        <w:pStyle w:val="Compact"/>
        <w:numPr>
          <w:ilvl w:val="0"/>
          <w:numId w:val="2055"/>
        </w:numPr>
      </w:pPr>
      <w:r>
        <w:rPr>
          <w:b/>
          <w:bCs/>
        </w:rPr>
        <w:t xml:space="preserve">Equilíbrio agregador (pooling)</w:t>
      </w:r>
      <w:r>
        <w:t xml:space="preserve">: todos os tipos escolhem o mesmo nível de sinal, e a parte desinformada não consegue distingui-los. O salário ofertado é a produtividade média.</w:t>
      </w:r>
    </w:p>
    <w:p>
      <w:pPr>
        <w:pStyle w:val="FirstParagraph"/>
      </w:pPr>
      <w:r>
        <w:t xml:space="preserve">No</w:t>
      </w:r>
      <w:r>
        <w:t xml:space="preserve"> </w:t>
      </w:r>
      <w:r>
        <w:rPr>
          <w:b/>
          <w:bCs/>
        </w:rPr>
        <w:t xml:space="preserve">equilíbrio separador</w:t>
      </w:r>
      <w:r>
        <w:t xml:space="preserve">, o tipo</w:t>
      </w:r>
      <w:r>
        <w:t xml:space="preserve"> </w:t>
      </w:r>
      <m:oMath>
        <m:r>
          <m:t>H</m:t>
        </m:r>
      </m:oMath>
      <w:r>
        <w:t xml:space="preserve"> </w:t>
      </w:r>
      <w:r>
        <w:t xml:space="preserve">escolhe nível de educação</w:t>
      </w:r>
      <w:r>
        <w:t xml:space="preserve"> </w:t>
      </w:r>
      <m:oMath>
        <m:sSup>
          <m:e>
            <m:r>
              <m:t>s</m:t>
            </m:r>
          </m:e>
          <m:sup>
            <m:r>
              <m:rPr>
                <m:sty m:val="p"/>
              </m:rPr>
              <m:t>*</m:t>
            </m:r>
          </m:sup>
        </m:sSup>
      </m:oMath>
      <w:r>
        <w:t xml:space="preserve"> </w:t>
      </w:r>
      <w:r>
        <w:t xml:space="preserve">e o tipo</w:t>
      </w:r>
      <w:r>
        <w:t xml:space="preserve"> </w:t>
      </w:r>
      <m:oMath>
        <m:r>
          <m:t>L</m:t>
        </m:r>
      </m:oMath>
      <w:r>
        <w:t xml:space="preserve"> </w:t>
      </w:r>
      <w:r>
        <w:t xml:space="preserve">escolhe</w:t>
      </w:r>
      <w:r>
        <w:t xml:space="preserve"> </w:t>
      </w:r>
      <m:oMath>
        <m:r>
          <m:t>s</m:t>
        </m:r>
        <m:r>
          <m:rPr>
            <m:sty m:val="p"/>
          </m:rPr>
          <m:t>=</m:t>
        </m:r>
        <m:r>
          <m:t>0</m:t>
        </m:r>
      </m:oMath>
      <w:r>
        <w:t xml:space="preserve">. O nível</w:t>
      </w:r>
      <w:r>
        <w:t xml:space="preserve"> </w:t>
      </w:r>
      <m:oMath>
        <m:sSup>
          <m:e>
            <m:r>
              <m:t>s</m:t>
            </m:r>
          </m:e>
          <m:sup>
            <m:r>
              <m:rPr>
                <m:sty m:val="p"/>
              </m:rPr>
              <m:t>*</m:t>
            </m:r>
          </m:sup>
        </m:sSup>
      </m:oMath>
      <w:r>
        <w:t xml:space="preserve"> </w:t>
      </w:r>
      <w:r>
        <w:t xml:space="preserve">deve satisfazer simultaneamente:</w:t>
      </w:r>
    </w:p>
    <w:p>
      <w:pPr>
        <w:pStyle w:val="BodyText"/>
      </w:pPr>
      <w:r>
        <w:t xml:space="preserve">$$
    \theta_H - \frac{s^*}{\theta_H} \geq \theta_L \quad \text{(tipo H prefere sinalizar)} \label{eq:19.12} \tag{19.12}
    $$</w:t>
      </w:r>
    </w:p>
    <w:p>
      <w:pPr>
        <w:pStyle w:val="FirstParagraph"/>
      </w:pPr>
      <w:r>
        <w:t xml:space="preserve">$$
    \theta_L \geq \theta_H - \frac{s^*}{\theta_L} \quad \text{(tipo L prefere não sinalizar)} \label{eq:19.13} \tag{19.13}
    $$</w:t>
      </w:r>
    </w:p>
    <w:p>
      <w:pPr>
        <w:pStyle w:val="FirstParagraph"/>
      </w:pPr>
      <w:r>
        <w:t xml:space="preserve">Resolvendo:</w:t>
      </w:r>
    </w:p>
    <w:p>
      <w:pPr>
        <w:pStyle w:val="BodyText"/>
      </w:pPr>
      <m:oMathPara>
        <m:oMathParaPr>
          <m:jc m:val="center"/>
        </m:oMathParaPr>
        <m:oMath>
          <m:sSub>
            <m:e>
              <m:r>
                <m:t>θ</m:t>
              </m:r>
            </m:e>
            <m:sub>
              <m:r>
                <m:t>L</m:t>
              </m:r>
            </m:sub>
          </m:sSub>
          <m:r>
            <m:rPr>
              <m:sty m:val="p"/>
            </m:rPr>
            <m:t>(</m:t>
          </m:r>
          <m:sSub>
            <m:e>
              <m:r>
                <m:t>θ</m:t>
              </m:r>
            </m:e>
            <m:sub>
              <m:r>
                <m:t>H</m:t>
              </m:r>
            </m:sub>
          </m:sSub>
          <m:r>
            <m:rPr>
              <m:sty m:val="p"/>
            </m:rPr>
            <m:t>−</m:t>
          </m:r>
          <m:sSub>
            <m:e>
              <m:r>
                <m:t>θ</m:t>
              </m:r>
            </m:e>
            <m:sub>
              <m:r>
                <m:t>L</m:t>
              </m:r>
            </m:sub>
          </m:sSub>
          <m:r>
            <m:rPr>
              <m:sty m:val="p"/>
            </m:rPr>
            <m:t>)</m:t>
          </m:r>
          <m:r>
            <m:rPr>
              <m:sty m:val="p"/>
            </m:rPr>
            <m:t>≤</m:t>
          </m:r>
          <m:sSup>
            <m:e>
              <m:r>
                <m:t>s</m:t>
              </m:r>
            </m:e>
            <m:sup>
              <m:r>
                <m:rPr>
                  <m:sty m:val="p"/>
                </m:rPr>
                <m:t>*</m:t>
              </m:r>
            </m:sup>
          </m:sSup>
          <m:r>
            <m:rPr>
              <m:sty m:val="p"/>
            </m:rPr>
            <m:t>≤</m:t>
          </m:r>
          <m:sSub>
            <m:e>
              <m:r>
                <m:t>θ</m:t>
              </m:r>
            </m:e>
            <m:sub>
              <m:r>
                <m:t>H</m:t>
              </m:r>
            </m:sub>
          </m:sSub>
          <m:r>
            <m:rPr>
              <m:sty m:val="p"/>
            </m:rPr>
            <m:t>(</m:t>
          </m:r>
          <m:sSub>
            <m:e>
              <m:r>
                <m:t>θ</m:t>
              </m:r>
            </m:e>
            <m:sub>
              <m:r>
                <m:t>H</m:t>
              </m:r>
            </m:sub>
          </m:sSub>
          <m:r>
            <m:rPr>
              <m:sty m:val="p"/>
            </m:rPr>
            <m:t>−</m:t>
          </m:r>
          <m:sSub>
            <m:e>
              <m:r>
                <m:t>θ</m:t>
              </m:r>
            </m:e>
            <m:sub>
              <m:r>
                <m:t>L</m:t>
              </m:r>
            </m:sub>
          </m:sSub>
          <m:r>
            <m:rPr>
              <m:sty m:val="p"/>
            </m:rPr>
            <m:t>)</m:t>
          </m:r>
        </m:oMath>
      </m:oMathPara>
    </w:p>
    <w:p>
      <w:pPr>
        <w:pStyle w:val="FirstParagraph"/>
      </w:pPr>
      <w:r>
        <w:t xml:space="preserve">As restrições Eq. (eq:19.12) e Eq. (eq:19.13) delimitam o intervalo Eq. (eq:19.14), e o equilíbrio separador de menor custo (equilíbrio de Riley ou</w:t>
      </w:r>
      <w:r>
        <w:t xml:space="preserve"> </w:t>
      </w:r>
      <w:r>
        <w:rPr>
          <w:i/>
          <w:iCs/>
        </w:rPr>
        <w:t xml:space="preserve">least-cost separating</w:t>
      </w:r>
      <w:r>
        <w:t xml:space="preserve">) ocorre em</w:t>
      </w:r>
      <w:r>
        <w:t xml:space="preserve"> </w:t>
      </w:r>
      <m:oMath>
        <m:sSup>
          <m:e>
            <m:r>
              <m:t>s</m:t>
            </m:r>
          </m:e>
          <m:sup>
            <m:r>
              <m:rPr>
                <m:sty m:val="p"/>
              </m:rPr>
              <m:t>*</m:t>
            </m:r>
          </m:sup>
        </m:sSup>
        <m:r>
          <m:rPr>
            <m:sty m:val="p"/>
          </m:rPr>
          <m:t>=</m:t>
        </m:r>
        <m:sSub>
          <m:e>
            <m:r>
              <m:t>θ</m:t>
            </m:r>
          </m:e>
          <m:sub>
            <m:r>
              <m:t>L</m:t>
            </m:r>
          </m:sub>
        </m:sSub>
        <m:r>
          <m:rPr>
            <m:sty m:val="p"/>
          </m:rPr>
          <m:t>(</m:t>
        </m:r>
        <m:sSub>
          <m:e>
            <m:r>
              <m:t>θ</m:t>
            </m:r>
          </m:e>
          <m:sub>
            <m:r>
              <m:t>H</m:t>
            </m:r>
          </m:sub>
        </m:sSub>
        <m:r>
          <m:rPr>
            <m:sty m:val="p"/>
          </m:rPr>
          <m:t>−</m:t>
        </m:r>
        <m:sSub>
          <m:e>
            <m:r>
              <m:t>θ</m:t>
            </m:r>
          </m:e>
          <m:sub>
            <m:r>
              <m:t>L</m:t>
            </m:r>
          </m:sub>
        </m:sSub>
        <m:r>
          <m:rPr>
            <m:sty m:val="p"/>
          </m:rPr>
          <m:t>)</m:t>
        </m:r>
      </m:oMath>
      <w:r>
        <w:t xml:space="preserve">.</w:t>
      </w:r>
    </w:p>
    <w:p>
      <w:pPr>
        <w:pStyle w:val="BlockText"/>
      </w:pPr>
      <w:r>
        <w:rPr>
          <w:b/>
          <w:bCs/>
        </w:rPr>
        <w:t xml:space="preserve">[INTUICAO ECONOMICA] Intuição Econômica</w:t>
      </w:r>
    </w:p>
    <w:p>
      <w:pPr>
        <w:pStyle w:val="BlockText"/>
      </w:pPr>
      <w:r>
        <w:rPr>
          <w:b/>
          <w:bCs/>
        </w:rPr>
        <w:t xml:space="preserve">Em uma frase:</w:t>
      </w:r>
      <w:r>
        <w:t xml:space="preserve"> </w:t>
      </w:r>
      <w:r>
        <w:t xml:space="preserve">Um diploma pode funcionar como um</w:t>
      </w:r>
      <w:r>
        <w:t xml:space="preserve"> </w:t>
      </w:r>
      <w:r>
        <w:t xml:space="preserve">“selo de qualidade”</w:t>
      </w:r>
      <w:r>
        <w:t xml:space="preserve"> </w:t>
      </w:r>
      <w:r>
        <w:t xml:space="preserve">do trabalhador, mesmo que a faculdade em si não ensine nada diretamente útil para o cargo.</w:t>
      </w:r>
    </w:p>
    <w:p>
      <w:pPr>
        <w:pStyle w:val="BlockText"/>
      </w:pPr>
      <w:r>
        <w:rPr>
          <w:b/>
          <w:bCs/>
        </w:rPr>
        <w:t xml:space="preserve">Pense assim:</w:t>
      </w:r>
      <w:r>
        <w:t xml:space="preserve"> </w:t>
      </w:r>
      <w:r>
        <w:t xml:space="preserve">No Brasil, muitas empresas exigem diploma superior para vagas que não precisam de conhecimento acadêmico. Por que? Porque concluir uma graduação sinaliza disciplina, persistência e capacidade de aprender — qualidades que o empregador não consegue medir numa entrevista. Quem tem alta produtividade acha a faculdade mais fácil, e por isso o sinal é crível.</w:t>
      </w:r>
    </w:p>
    <w:p>
      <w:pPr>
        <w:pStyle w:val="BlockText"/>
      </w:pPr>
      <w:r>
        <w:rPr>
          <w:b/>
          <w:bCs/>
        </w:rPr>
        <w:t xml:space="preserve">Por que isso importa:</w:t>
      </w:r>
      <w:r>
        <w:t xml:space="preserve"> </w:t>
      </w:r>
      <w:r>
        <w:t xml:space="preserve">O modelo de Spence levanta uma provocação importante para a política educacional: parte do retorno à educação pode ser sinalização pura, não ganho de produtividade real — o que muda completamente a análise de custo-benefício de expandir o ensino superior.</w:t>
      </w:r>
    </w:p>
    <w:p>
      <w:pPr>
        <w:pStyle w:val="BlockText"/>
      </w:pPr>
      <w:r>
        <w:rPr>
          <w:b/>
          <w:bCs/>
        </w:rPr>
        <w:t xml:space="preserve">[NOTA] Eficiência da Sinalização</w:t>
      </w:r>
    </w:p>
    <w:p>
      <w:pPr>
        <w:pStyle w:val="BlockText"/>
      </w:pPr>
      <w:r>
        <w:t xml:space="preserve">No modelo de Spence, a sinalização envolve um</w:t>
      </w:r>
      <w:r>
        <w:t xml:space="preserve"> </w:t>
      </w:r>
      <w:r>
        <w:rPr>
          <w:b/>
          <w:bCs/>
        </w:rPr>
        <w:t xml:space="preserve">custo social</w:t>
      </w:r>
      <w:r>
        <w:t xml:space="preserve"> </w:t>
      </w:r>
      <w:r>
        <w:t xml:space="preserve">real: recursos são gastos em educação apenas para sinalizar tipo, sem ganho de produtividade. O equilíbrio separador pode ser Pareto-inferior ao equilíbrio agregador se a perda de bem-estar do sinal superar o ganho informacional. Esse resultado ilustra que a revelação de informação nem sempre é socialmente desejável — um paradoxo que contrasta com a intuição de que</w:t>
      </w:r>
      <w:r>
        <w:t xml:space="preserve"> </w:t>
      </w:r>
      <w:r>
        <w:t xml:space="preserve">“mais informação é sempre melhor”</w:t>
      </w:r>
      <w:r>
        <w:t xml:space="preserve">.</w:t>
      </w:r>
    </w:p>
    <w:p>
      <w:pPr>
        <w:pStyle w:val="BlockText"/>
      </w:pPr>
      <w:r>
        <w:rPr>
          <w:b/>
          <w:bCs/>
        </w:rPr>
        <w:t xml:space="preserve">[EXERCICIO RESOLVIDO] Exercício Resolvido 19.5 — Sinalização por educação: equilíbrio separador</w:t>
      </w:r>
    </w:p>
    <w:p>
      <w:pPr>
        <w:pStyle w:val="BlockText"/>
      </w:pPr>
      <w:r>
        <w:rPr>
          <w:b/>
          <w:bCs/>
        </w:rPr>
        <w:t xml:space="preserve">Enunciado:</w:t>
      </w:r>
      <w:r>
        <w:t xml:space="preserve"> </w:t>
      </w:r>
      <w:r>
        <w:t xml:space="preserve">No modelo de Spence,</w:t>
      </w:r>
      <w:r>
        <w:t xml:space="preserve"> </w:t>
      </w:r>
      <m:oMath>
        <m:sSub>
          <m:e>
            <m:r>
              <m:t>θ</m:t>
            </m:r>
          </m:e>
          <m:sub>
            <m:r>
              <m:t>H</m:t>
            </m:r>
          </m:sub>
        </m:sSub>
        <m:r>
          <m:rPr>
            <m:sty m:val="p"/>
          </m:rPr>
          <m:t>=</m:t>
        </m:r>
        <m:r>
          <m:t>80</m:t>
        </m:r>
      </m:oMath>
      <w:r>
        <w:t xml:space="preserve">,</w:t>
      </w:r>
      <w:r>
        <w:t xml:space="preserve"> </w:t>
      </w:r>
      <m:oMath>
        <m:sSub>
          <m:e>
            <m:r>
              <m:t>θ</m:t>
            </m:r>
          </m:e>
          <m:sub>
            <m:r>
              <m:t>L</m:t>
            </m:r>
          </m:sub>
        </m:sSub>
        <m:r>
          <m:rPr>
            <m:sty m:val="p"/>
          </m:rPr>
          <m:t>=</m:t>
        </m:r>
        <m:r>
          <m:t>40</m:t>
        </m:r>
      </m:oMath>
      <w:r>
        <w:t xml:space="preserve">,</w:t>
      </w:r>
      <w:r>
        <w:t xml:space="preserve"> </w:t>
      </w:r>
      <m:oMath>
        <m:sSub>
          <m:e>
            <m:r>
              <m:t>c</m:t>
            </m:r>
          </m:e>
          <m:sub>
            <m:r>
              <m:t>H</m:t>
            </m:r>
          </m:sub>
        </m:sSub>
        <m:r>
          <m:rPr>
            <m:sty m:val="p"/>
          </m:rPr>
          <m:t>(</m:t>
        </m:r>
        <m:r>
          <m:t>s</m:t>
        </m:r>
        <m:r>
          <m:rPr>
            <m:sty m:val="p"/>
          </m:rPr>
          <m:t>)</m:t>
        </m:r>
        <m:r>
          <m:rPr>
            <m:sty m:val="p"/>
          </m:rPr>
          <m:t>=</m:t>
        </m:r>
        <m:r>
          <m:t>s</m:t>
        </m:r>
        <m:r>
          <m:rPr>
            <m:sty m:val="p"/>
          </m:rPr>
          <m:t>/</m:t>
        </m:r>
        <m:r>
          <m:t>80</m:t>
        </m:r>
      </m:oMath>
      <w:r>
        <w:t xml:space="preserve">,</w:t>
      </w:r>
      <w:r>
        <w:t xml:space="preserve"> </w:t>
      </w:r>
      <m:oMath>
        <m:sSub>
          <m:e>
            <m:r>
              <m:t>c</m:t>
            </m:r>
          </m:e>
          <m:sub>
            <m:r>
              <m:t>L</m:t>
            </m:r>
          </m:sub>
        </m:sSub>
        <m:r>
          <m:rPr>
            <m:sty m:val="p"/>
          </m:rPr>
          <m:t>(</m:t>
        </m:r>
        <m:r>
          <m:t>s</m:t>
        </m:r>
        <m:r>
          <m:rPr>
            <m:sty m:val="p"/>
          </m:rPr>
          <m:t>)</m:t>
        </m:r>
        <m:r>
          <m:rPr>
            <m:sty m:val="p"/>
          </m:rPr>
          <m:t>=</m:t>
        </m:r>
        <m:r>
          <m:t>s</m:t>
        </m:r>
        <m:r>
          <m:rPr>
            <m:sty m:val="p"/>
          </m:rPr>
          <m:t>/</m:t>
        </m:r>
        <m:r>
          <m:t>40</m:t>
        </m:r>
      </m:oMath>
      <w:r>
        <w:t xml:space="preserve">. (a) Encontre o intervalo de</w:t>
      </w:r>
      <w:r>
        <w:t xml:space="preserve"> </w:t>
      </w:r>
      <m:oMath>
        <m:sSup>
          <m:e>
            <m:r>
              <m:t>s</m:t>
            </m:r>
          </m:e>
          <m:sup>
            <m:r>
              <m:rPr>
                <m:sty m:val="p"/>
              </m:rPr>
              <m:t>*</m:t>
            </m:r>
          </m:sup>
        </m:sSup>
      </m:oMath>
      <w:r>
        <w:t xml:space="preserve"> </w:t>
      </w:r>
      <w:r>
        <w:t xml:space="preserve">para o equilíbrio separador. (b) Encontre o</w:t>
      </w:r>
      <w:r>
        <w:t xml:space="preserve"> </w:t>
      </w:r>
      <w:r>
        <w:rPr>
          <w:i/>
          <w:iCs/>
        </w:rPr>
        <w:t xml:space="preserve">least-cost separating equilibrium</w:t>
      </w:r>
      <w:r>
        <w:t xml:space="preserve">. (c) Qual é o custo social da sinalização nesse equilíbrio?</w:t>
      </w:r>
    </w:p>
    <w:p>
      <w:r>
        <w:pict>
          <v:rect style="width:0;height:1.5pt" o:hralign="center" o:hrstd="t" o:hr="t"/>
        </w:pict>
      </w:r>
    </w:p>
    <w:p>
      <w:pPr>
        <w:pStyle w:val="BlockText"/>
      </w:pPr>
      <w:r>
        <w:rPr>
          <w:b/>
          <w:bCs/>
        </w:rPr>
        <w:t xml:space="preserve">(a)</w:t>
      </w:r>
      <w:r>
        <w:t xml:space="preserve"> </w:t>
      </w:r>
      <w:r>
        <w:t xml:space="preserve">Pela equação Eq. (eq:19.14):</w:t>
      </w:r>
    </w:p>
    <w:p>
      <w:pPr>
        <w:pStyle w:val="BlockText"/>
      </w:pPr>
      <w:r>
        <w:t xml:space="preserve">$$</w:t>
      </w:r>
    </w:p>
    <w:p>
      <w:pPr>
        <w:pStyle w:val="BlockText"/>
      </w:pPr>
      <w:r>
        <w:t xml:space="preserve">s^*</w:t>
      </w:r>
      <w:r>
        <w:t xml:space="preserve"> </w:t>
      </w:r>
      <w:r>
        <w:t xml:space="preserve">= [40</w:t>
      </w:r>
      <w:r>
        <w:t xml:space="preserve"> </w:t>
      </w:r>
      <w:r>
        <w:t xml:space="preserve">,; 80</w:t>
      </w:r>
      <w:r>
        <w:t xml:space="preserve"> </w:t>
      </w:r>
      <w:r>
        <w:t xml:space="preserve">] = [1.600,; 3.200]</w:t>
      </w:r>
    </w:p>
    <w:p>
      <w:pPr>
        <w:pStyle w:val="BlockText"/>
      </w:pPr>
      <w:r>
        <w:t xml:space="preserve">$$</w:t>
      </w:r>
    </w:p>
    <w:p>
      <w:pPr>
        <w:pStyle w:val="BlockText"/>
      </w:pPr>
      <w:r>
        <w:rPr>
          <w:b/>
          <w:bCs/>
        </w:rPr>
        <w:t xml:space="preserve">(b)</w:t>
      </w:r>
      <w:r>
        <w:t xml:space="preserve"> </w:t>
      </w:r>
      <w:r>
        <w:t xml:space="preserve">O</w:t>
      </w:r>
      <w:r>
        <w:t xml:space="preserve"> </w:t>
      </w:r>
      <w:r>
        <w:rPr>
          <w:i/>
          <w:iCs/>
        </w:rPr>
        <w:t xml:space="preserve">least-cost separating</w:t>
      </w:r>
      <w:r>
        <w:t xml:space="preserve">:</w:t>
      </w:r>
      <w:r>
        <w:t xml:space="preserve"> </w:t>
      </w:r>
      <m:oMath>
        <m:sSup>
          <m:e>
            <m:r>
              <m:t>s</m:t>
            </m:r>
          </m:e>
          <m:sup>
            <m:r>
              <m:rPr>
                <m:sty m:val="p"/>
              </m:rPr>
              <m:t>*</m:t>
            </m:r>
          </m:sup>
        </m:sSup>
        <m:r>
          <m:rPr>
            <m:sty m:val="p"/>
          </m:rPr>
          <m:t>=</m:t>
        </m:r>
        <m:r>
          <m:t>1.600</m:t>
        </m:r>
      </m:oMath>
      <w:r>
        <w:t xml:space="preserve">.</w:t>
      </w:r>
    </w:p>
    <w:p>
      <w:pPr>
        <w:pStyle w:val="BlockText"/>
      </w:pPr>
      <w:r>
        <w:t xml:space="preserve">Verificação — Tipo H: ganho =</w:t>
      </w:r>
      <w:r>
        <w:t xml:space="preserve"> </w:t>
      </w:r>
      <m:oMath>
        <m:sSub>
          <m:e>
            <m:r>
              <m:t>θ</m:t>
            </m:r>
          </m:e>
          <m:sub>
            <m:r>
              <m:t>H</m:t>
            </m:r>
          </m:sub>
        </m:sSub>
        <m:r>
          <m:rPr>
            <m:sty m:val="p"/>
          </m:rPr>
          <m:t>−</m:t>
        </m:r>
        <m:sSub>
          <m:e>
            <m:r>
              <m:t>θ</m:t>
            </m:r>
          </m:e>
          <m:sub>
            <m:r>
              <m:t>L</m:t>
            </m:r>
          </m:sub>
        </m:sSub>
        <m:r>
          <m:rPr>
            <m:sty m:val="p"/>
          </m:rPr>
          <m:t>=</m:t>
        </m:r>
        <m:r>
          <m:t>40</m:t>
        </m:r>
      </m:oMath>
      <w:r>
        <w:t xml:space="preserve">, custo =</w:t>
      </w:r>
      <w:r>
        <w:t xml:space="preserve"> </w:t>
      </w:r>
      <m:oMath>
        <m:r>
          <m:t>1.600</m:t>
        </m:r>
        <m:r>
          <m:rPr>
            <m:sty m:val="p"/>
          </m:rPr>
          <m:t>/</m:t>
        </m:r>
        <m:r>
          <m:t>80</m:t>
        </m:r>
        <m:r>
          <m:rPr>
            <m:sty m:val="p"/>
          </m:rPr>
          <m:t>=</m:t>
        </m:r>
        <m:r>
          <m:t>20</m:t>
        </m:r>
      </m:oMath>
      <w:r>
        <w:t xml:space="preserve">. Líquido =</w:t>
      </w:r>
      <w:r>
        <w:t xml:space="preserve"> </w:t>
      </w:r>
      <m:oMath>
        <m:r>
          <m:rPr>
            <m:sty m:val="p"/>
          </m:rPr>
          <m:t>+</m:t>
        </m:r>
        <m:r>
          <m:t>20</m:t>
        </m:r>
        <m:r>
          <m:rPr>
            <m:sty m:val="p"/>
          </m:rPr>
          <m:t>&gt;</m:t>
        </m:r>
        <m:r>
          <m:t>0</m:t>
        </m:r>
      </m:oMath>
      <w:r>
        <w:t xml:space="preserve">. ✓</w:t>
      </w:r>
    </w:p>
    <w:p>
      <w:pPr>
        <w:pStyle w:val="BlockText"/>
      </w:pPr>
      <w:r>
        <w:t xml:space="preserve">Tipo L: ganho =</w:t>
      </w:r>
      <w:r>
        <w:t xml:space="preserve"> </w:t>
      </w:r>
      <m:oMath>
        <m:sSub>
          <m:e>
            <m:r>
              <m:t>θ</m:t>
            </m:r>
          </m:e>
          <m:sub>
            <m:r>
              <m:t>H</m:t>
            </m:r>
          </m:sub>
        </m:sSub>
        <m:r>
          <m:rPr>
            <m:sty m:val="p"/>
          </m:rPr>
          <m:t>−</m:t>
        </m:r>
        <m:sSub>
          <m:e>
            <m:r>
              <m:t>θ</m:t>
            </m:r>
          </m:e>
          <m:sub>
            <m:r>
              <m:t>L</m:t>
            </m:r>
          </m:sub>
        </m:sSub>
        <m:r>
          <m:rPr>
            <m:sty m:val="p"/>
          </m:rPr>
          <m:t>=</m:t>
        </m:r>
        <m:r>
          <m:t>40</m:t>
        </m:r>
      </m:oMath>
      <w:r>
        <w:t xml:space="preserve">, custo =</w:t>
      </w:r>
      <w:r>
        <w:t xml:space="preserve"> </w:t>
      </w:r>
      <m:oMath>
        <m:r>
          <m:t>1.600</m:t>
        </m:r>
        <m:r>
          <m:rPr>
            <m:sty m:val="p"/>
          </m:rPr>
          <m:t>/</m:t>
        </m:r>
        <m:r>
          <m:t>40</m:t>
        </m:r>
        <m:r>
          <m:rPr>
            <m:sty m:val="p"/>
          </m:rPr>
          <m:t>=</m:t>
        </m:r>
        <m:r>
          <m:t>40</m:t>
        </m:r>
      </m:oMath>
      <w:r>
        <w:t xml:space="preserve">. Líquido =</w:t>
      </w:r>
      <w:r>
        <w:t xml:space="preserve"> </w:t>
      </w:r>
      <m:oMath>
        <m:r>
          <m:t>0</m:t>
        </m:r>
      </m:oMath>
      <w:r>
        <w:t xml:space="preserve">. Indiferente, mas por convenção não sinaliza. ✓</w:t>
      </w:r>
    </w:p>
    <w:p>
      <w:pPr>
        <w:pStyle w:val="BlockText"/>
      </w:pPr>
      <w:r>
        <w:rPr>
          <w:b/>
          <w:bCs/>
        </w:rPr>
        <w:t xml:space="preserve">(c)</w:t>
      </w:r>
      <w:r>
        <w:t xml:space="preserve"> </w:t>
      </w:r>
      <w:r>
        <w:t xml:space="preserve">Custo social: o tipo H gasta</w:t>
      </w:r>
      <w:r>
        <w:t xml:space="preserve"> </w:t>
      </w:r>
      <m:oMath>
        <m:r>
          <m:t>1.600</m:t>
        </m:r>
        <m:r>
          <m:rPr>
            <m:sty m:val="p"/>
          </m:rPr>
          <m:t>/</m:t>
        </m:r>
        <m:r>
          <m:t>80</m:t>
        </m:r>
        <m:r>
          <m:rPr>
            <m:sty m:val="p"/>
          </m:rPr>
          <m:t>=</m:t>
        </m:r>
        <m:r>
          <m:t>20</m:t>
        </m:r>
      </m:oMath>
      <w:r>
        <w:t xml:space="preserve"> </w:t>
      </w:r>
      <w:r>
        <w:t xml:space="preserve">em educação que (por hipótese) não aumenta a produtividade. Se 50% dos trabalhadores são tipo H, o custo médio por trabalhador é</w:t>
      </w:r>
      <w:r>
        <w:t xml:space="preserve"> </w:t>
      </w:r>
      <m:oMath>
        <m:r>
          <m:t>0</m:t>
        </m:r>
        <m:r>
          <m:rPr>
            <m:sty m:val="p"/>
          </m:rPr>
          <m:t>,</m:t>
        </m:r>
        <m:r>
          <m:t>5</m:t>
        </m:r>
        <m:r>
          <m:rPr>
            <m:sty m:val="p"/>
          </m:rPr>
          <m:t>×</m:t>
        </m:r>
        <m:r>
          <m:t>20</m:t>
        </m:r>
        <m:r>
          <m:rPr>
            <m:sty m:val="p"/>
          </m:rPr>
          <m:t>=</m:t>
        </m:r>
        <m:r>
          <m:t>10</m:t>
        </m:r>
      </m:oMath>
      <w:r>
        <w:t xml:space="preserve">.</w:t>
      </w:r>
    </w:p>
    <w:p>
      <w:pPr>
        <w:pStyle w:val="BlockText"/>
      </w:pPr>
      <w:r>
        <w:rPr>
          <w:b/>
          <w:bCs/>
        </w:rPr>
        <w:t xml:space="preserve">Interpretação:</w:t>
      </w:r>
      <w:r>
        <w:t xml:space="preserve"> </w:t>
      </w:r>
      <w:r>
        <w:t xml:space="preserve">A sinalização é individualmente racional para o tipo H (ganho líquido positivo), mas socialmente custosa se a educação não tem valor produtivo. Esse resultado fundamenta o debate sobre se políticas de expansão universitária geram ganhos reais de produtividade ou apenas inflação de credenciais.</w:t>
      </w:r>
    </w:p>
    <w:p>
      <w:pPr>
        <w:pStyle w:val="FirstParagraph"/>
      </w:pPr>
      <w:r>
        <w:t xml:space="preserve">[FIGURA INTERATIVA: /micro-book/graficos/cap19/webr-sinalizacao.html — versao interativa disponivel online]</w:t>
      </w:r>
    </w:p>
    <w:p>
      <w:pPr>
        <w:pStyle w:val="BodyText"/>
      </w:pPr>
      <w:r>
        <w:rPr>
          <w:b/>
          <w:bCs/>
        </w:rPr>
        <w:t xml:space="preserve">WebR 19.4 — Sinalização por educação (Spence).</w:t>
      </w:r>
      <w:r>
        <w:t xml:space="preserve"> </w:t>
      </w:r>
      <w:r>
        <w:t xml:space="preserve">Modifique as produtividades θH e θL para visualizar a condição de single-crossing, o intervalo separador e o custo social da sinalização.</w:t>
      </w:r>
    </w:p>
    <w:p>
      <w:r>
        <w:pict>
          <v:rect style="width:0;height:1.5pt" o:hralign="center" o:hrstd="t" o:hr="t"/>
        </w:pict>
      </w:r>
    </w:p>
    <w:bookmarkEnd w:id="1203"/>
    <w:bookmarkEnd w:id="1204"/>
    <w:bookmarkStart w:id="1205" w:name="Xdea1daedbe9dc1d643b0f0eb8ab57c7d532f771"/>
    <w:p>
      <w:pPr>
        <w:pStyle w:val="Heading3"/>
      </w:pPr>
      <w:r>
        <w:t xml:space="preserve">19.6 O Cardápio Que Faz Você Se Revelar: Screening e Triagem</w:t>
      </w:r>
    </w:p>
    <w:p>
      <w:pPr>
        <w:pStyle w:val="FirstParagraph"/>
      </w:pPr>
      <w:r>
        <w:t xml:space="preserve">A sinalização e a triagem são duas faces da mesma moeda: ambas buscam resolver o problema de tipos ocultos, mas diferem em quem toma a iniciativa. Na sinalização, a parte informada age primeiro, investindo em um sinal custoso; na triagem, é a parte desinformada que age primeiro, desenhando um menu de opções. Na prática, essa distinção é relevante porque define quem arca com os custos da revelação de informação e, portanto, como o excedente se distribui entre as partes.</w:t>
      </w:r>
    </w:p>
    <w:p>
      <w:pPr>
        <w:pStyle w:val="BlockText"/>
      </w:pPr>
      <w:r>
        <w:rPr>
          <w:b/>
          <w:bCs/>
        </w:rPr>
        <w:t xml:space="preserve">[DEFINICAO] Triagem (Screening)</w:t>
      </w:r>
    </w:p>
    <w:p>
      <w:pPr>
        <w:pStyle w:val="BlockText"/>
      </w:pPr>
      <w:r>
        <w:t xml:space="preserve">Mecanismo pelo qual a parte desinformada (principal) oferece um</w:t>
      </w:r>
      <w:r>
        <w:t xml:space="preserve"> </w:t>
      </w:r>
      <w:r>
        <w:rPr>
          <w:b/>
          <w:bCs/>
        </w:rPr>
        <w:t xml:space="preserve">menu de opções</w:t>
      </w:r>
      <w:r>
        <w:t xml:space="preserve"> </w:t>
      </w:r>
      <w:r>
        <w:t xml:space="preserve">desenhado de forma que cada tipo de agente revele voluntariamente sua informação privada ao escolher a opção mais adequada ao seu tipo.</w:t>
      </w:r>
    </w:p>
    <w:p>
      <w:pPr>
        <w:pStyle w:val="FirstParagraph"/>
      </w:pPr>
      <w:r>
        <w:t xml:space="preserve">A</w:t>
      </w:r>
      <w:r>
        <w:t xml:space="preserve"> </w:t>
      </w:r>
      <w:hyperlink w:anchor="tabela-19-1">
        <w:r>
          <w:rPr>
            <w:rStyle w:val="Hyperlink"/>
          </w:rPr>
          <w:t xml:space="preserve">Tabela 19.1</w:t>
        </w:r>
      </w:hyperlink>
      <w:r>
        <w:t xml:space="preserve"> </w:t>
      </w:r>
      <w:r>
        <w:t xml:space="preserve">apresenta exemplos práticos de mecanismos de triagem:</w:t>
      </w:r>
    </w:p>
    <w:tbl>
      <w:tblPr>
        <w:tblStyle w:val="Table"/>
        <w:tblW w:type="pct" w:w="5000"/>
        <w:tblLayout w:type="fixed"/>
        <w:tblLook w:firstRow="1" w:lastRow="0" w:firstColumn="0" w:lastColumn="0" w:noHBand="0" w:noVBand="0" w:val="0020"/>
      </w:tblPr>
      <w:tblGrid>
        <w:gridCol w:w="2554"/>
        <w:gridCol w:w="5365"/>
      </w:tblGrid>
      <w:tr>
        <w:trPr>
          <w:tblHeader w:val="on"/>
        </w:trPr>
        <w:tc>
          <w:tcPr/>
          <w:p>
            <w:pPr>
              <w:pStyle w:val="Compact"/>
            </w:pPr>
            <w:r>
              <w:t xml:space="preserve">Contexto</w:t>
            </w:r>
          </w:p>
        </w:tc>
        <w:tc>
          <w:tcPr/>
          <w:p>
            <w:pPr>
              <w:pStyle w:val="Compact"/>
            </w:pPr>
            <w:r>
              <w:t xml:space="preserve">Mecanismo de Triagem</w:t>
            </w:r>
          </w:p>
        </w:tc>
      </w:tr>
      <w:tr>
        <w:tc>
          <w:tcPr/>
          <w:p>
            <w:pPr>
              <w:pStyle w:val="Compact"/>
            </w:pPr>
            <w:r>
              <w:t xml:space="preserve">Seguros</w:t>
            </w:r>
          </w:p>
        </w:tc>
        <w:tc>
          <w:tcPr/>
          <w:p>
            <w:pPr>
              <w:pStyle w:val="Compact"/>
            </w:pPr>
            <w:r>
              <w:t xml:space="preserve">Menu de apólices com diferentes combinações de prêmio/franquia</w:t>
            </w:r>
          </w:p>
        </w:tc>
      </w:tr>
      <w:tr>
        <w:tc>
          <w:tcPr/>
          <w:p>
            <w:pPr>
              <w:pStyle w:val="Compact"/>
            </w:pPr>
            <w:r>
              <w:t xml:space="preserve">Mercado de trabalho</w:t>
            </w:r>
          </w:p>
        </w:tc>
        <w:tc>
          <w:tcPr/>
          <w:p>
            <w:pPr>
              <w:pStyle w:val="Compact"/>
            </w:pPr>
            <w:r>
              <w:t xml:space="preserve">Oferta de contratos com diferentes combinações salário fixo/bônus</w:t>
            </w:r>
          </w:p>
        </w:tc>
      </w:tr>
      <w:tr>
        <w:tc>
          <w:tcPr/>
          <w:p>
            <w:pPr>
              <w:pStyle w:val="Compact"/>
            </w:pPr>
            <w:r>
              <w:t xml:space="preserve">Companhias aéreas</w:t>
            </w:r>
          </w:p>
        </w:tc>
        <w:tc>
          <w:tcPr/>
          <w:p>
            <w:pPr>
              <w:pStyle w:val="Compact"/>
            </w:pPr>
            <w:r>
              <w:t xml:space="preserve">Classes tarifárias com diferentes restrições (antecedência, reembolso)</w:t>
            </w:r>
          </w:p>
        </w:tc>
      </w:tr>
      <w:tr>
        <w:tc>
          <w:tcPr/>
          <w:p>
            <w:pPr>
              <w:pStyle w:val="Compact"/>
            </w:pPr>
            <w:r>
              <w:t xml:space="preserve">Telecomunicações</w:t>
            </w:r>
          </w:p>
        </w:tc>
        <w:tc>
          <w:tcPr/>
          <w:p>
            <w:pPr>
              <w:pStyle w:val="Compact"/>
            </w:pPr>
            <w:r>
              <w:t xml:space="preserve">Planos com diferentes volumes de dados e preços por unidade</w:t>
            </w:r>
          </w:p>
        </w:tc>
      </w:tr>
      <w:tr>
        <w:tc>
          <w:tcPr/>
          <w:p>
            <w:pPr>
              <w:pStyle w:val="Compact"/>
            </w:pPr>
            <w:r>
              <w:t xml:space="preserve">Educação</w:t>
            </w:r>
          </w:p>
        </w:tc>
        <w:tc>
          <w:tcPr/>
          <w:p>
            <w:pPr>
              <w:pStyle w:val="Compact"/>
            </w:pPr>
            <w:r>
              <w:t xml:space="preserve">Programas com diferentes graus de seletividade e rigor</w:t>
            </w:r>
          </w:p>
        </w:tc>
      </w:tr>
    </w:tbl>
    <w:p>
      <w:pPr>
        <w:pStyle w:val="BodyText"/>
      </w:pPr>
      <w:r>
        <w:rPr>
          <w:b/>
          <w:bCs/>
        </w:rPr>
        <w:t xml:space="preserve">Tabela 19.1 — Exemplos de mecanismos de triagem.</w:t>
      </w:r>
    </w:p>
    <w:p>
      <w:pPr>
        <w:pStyle w:val="BodyText"/>
      </w:pPr>
      <w:r>
        <w:t xml:space="preserve">A conexão entre triagem e discriminação de preços de segundo grau (Capítulo 15, Seção 15.7.2) é direta e profunda: o menu de contratos desenhado para induzir autosseleção é exatamente o mesmo problema que o monopolista resolve ao oferecer versões</w:t>
      </w:r>
      <w:r>
        <w:t xml:space="preserve"> </w:t>
      </w:r>
      <w:r>
        <w:t xml:space="preserve">“básica”</w:t>
      </w:r>
      <w:r>
        <w:t xml:space="preserve"> </w:t>
      </w:r>
      <w:r>
        <w:t xml:space="preserve">e</w:t>
      </w:r>
      <w:r>
        <w:t xml:space="preserve"> </w:t>
      </w:r>
      <w:r>
        <w:t xml:space="preserve">“premium”</w:t>
      </w:r>
      <w:r>
        <w:t xml:space="preserve"> </w:t>
      </w:r>
      <w:r>
        <w:t xml:space="preserve">de um produto. A diferença é que, aqui, o objetivo do principal pode ser alocação eficiente (seguros), não maximização de lucro (monopólio). Mas a estrutura matemática é idêntica — restrições de participação e de incentivo-compatibilidade —, e os resultados qualitativos também: distorção para baixo no tipo de baixa valoração, nenhuma distorção no topo, e renda informacional para o tipo de alta valoração.</w:t>
      </w:r>
    </w:p>
    <w:p>
      <w:pPr>
        <w:pStyle w:val="BodyText"/>
      </w:pPr>
      <w:r>
        <w:t xml:space="preserve">Na prática, a triagem é onipresente. Quando uma operadora de celular oferece um plano básico de 5 GB por R$ 30 e um plano premium de 20 GB por R$ 80, ela não está apenas vendendo dados — está fazendo triagem. O usuário intensivo se revela ao escolher o premium; o casual se revela ao escolher o básico. O plano básico é deliberadamente</w:t>
      </w:r>
      <w:r>
        <w:t xml:space="preserve"> </w:t>
      </w:r>
      <w:r>
        <w:t xml:space="preserve">“distorcido”</w:t>
      </w:r>
      <w:r>
        <w:t xml:space="preserve"> </w:t>
      </w:r>
      <w:r>
        <w:t xml:space="preserve">(menos dados por real) para torná-lo pouco atrativo ao tipo de alta demanda, preservando a compatibilidade de incentivos. Essa lógica se repete em seguros (menus de franquias), educação (programas de diferentes seletividades), e telecomunicações (planos pós-pago vs. pré-pago).</w:t>
      </w:r>
    </w:p>
    <w:p>
      <w:pPr>
        <w:pStyle w:val="BodyText"/>
      </w:pPr>
      <w:r>
        <w:t xml:space="preserve">A diferença fundamental entre sinalização e triagem é quem toma a iniciativa:</w:t>
      </w:r>
    </w:p>
    <w:p>
      <w:pPr>
        <w:pStyle w:val="Compact"/>
        <w:numPr>
          <w:ilvl w:val="0"/>
          <w:numId w:val="2056"/>
        </w:numPr>
      </w:pPr>
      <w:r>
        <w:rPr>
          <w:b/>
          <w:bCs/>
        </w:rPr>
        <w:t xml:space="preserve">Sinalização</w:t>
      </w:r>
      <w:r>
        <w:t xml:space="preserve">: a parte informada age primeiro, escolhendo um sinal custoso.</w:t>
      </w:r>
    </w:p>
    <w:p>
      <w:pPr>
        <w:pStyle w:val="Compact"/>
        <w:numPr>
          <w:ilvl w:val="0"/>
          <w:numId w:val="2056"/>
        </w:numPr>
      </w:pPr>
      <w:r>
        <w:rPr>
          <w:b/>
          <w:bCs/>
        </w:rPr>
        <w:t xml:space="preserve">Triagem</w:t>
      </w:r>
      <w:r>
        <w:t xml:space="preserve">: a parte desinformada age primeiro, desenhando um menu de contratos.</w:t>
      </w:r>
    </w:p>
    <w:p>
      <w:pPr>
        <w:pStyle w:val="FirstParagraph"/>
      </w:pPr>
      <w:r>
        <w:t xml:space="preserve">Em equilíbrio, os dois mecanismos podem levar a alocações equivalentes (como nos modelos de</w:t>
      </w:r>
      <w:r>
        <w:t xml:space="preserve"> </w:t>
      </w:r>
      <w:hyperlink r:id="rId631">
        <w:r>
          <w:rPr>
            <w:rStyle w:val="Hyperlink"/>
          </w:rPr>
          <w:t xml:space="preserve">Rothschild-Stiglitz</w:t>
        </w:r>
      </w:hyperlink>
      <w:r>
        <w:t xml:space="preserve">), mas o timing e a distribuição de excedentes podem diferir.</w:t>
      </w:r>
    </w:p>
    <w:p>
      <w:pPr>
        <w:pStyle w:val="BlockText"/>
      </w:pPr>
      <w:r>
        <w:rPr>
          <w:b/>
          <w:bCs/>
        </w:rPr>
        <w:t xml:space="preserve">[INTUICAO ECONOMICA] Intuição Econômica</w:t>
      </w:r>
    </w:p>
    <w:p>
      <w:pPr>
        <w:pStyle w:val="BlockText"/>
      </w:pPr>
      <w:r>
        <w:rPr>
          <w:b/>
          <w:bCs/>
        </w:rPr>
        <w:t xml:space="preserve">Em uma frase:</w:t>
      </w:r>
      <w:r>
        <w:t xml:space="preserve"> </w:t>
      </w:r>
      <w:r>
        <w:t xml:space="preserve">Na triagem, o principal desenha um cardápio estratégico que faz cada tipo de agente se revelar sozinho pela opção que escolhe.</w:t>
      </w:r>
    </w:p>
    <w:p>
      <w:pPr>
        <w:pStyle w:val="BlockText"/>
      </w:pPr>
      <w:r>
        <w:rPr>
          <w:b/>
          <w:bCs/>
        </w:rPr>
        <w:t xml:space="preserve">Pense assim:</w:t>
      </w:r>
      <w:r>
        <w:t xml:space="preserve"> </w:t>
      </w:r>
      <w:r>
        <w:t xml:space="preserve">Quando uma companhia aérea oferece classe econômica (sem reembolso, sem escolha de assento) e classe executiva (flexível, assento amplo), ela não está apenas vendendo conforto — está fazendo triagem. O viajante corporativo, cuja empresa paga e que precisa de flexibilidade, se revela escolhendo a executiva. O estudante com orçamento apertado se revela escolhendo a econômica. Ninguém precisa declarar sua renda — o menu faz o trabalho de separação.</w:t>
      </w:r>
    </w:p>
    <w:p>
      <w:pPr>
        <w:pStyle w:val="BlockText"/>
      </w:pPr>
      <w:r>
        <w:rPr>
          <w:b/>
          <w:bCs/>
        </w:rPr>
        <w:t xml:space="preserve">Por que isso importa:</w:t>
      </w:r>
      <w:r>
        <w:t xml:space="preserve"> </w:t>
      </w:r>
      <w:r>
        <w:t xml:space="preserve">O desenho de menus que induzam autosseleção é uma habilidade central em economia aplicada — da regulação de telecomunicações ao desenho de impostos. O resultado fundamental da teoria é que a autosseleção exige distorções: o tipo de baixa valoração sempre recebe menos do que receberia sob informação simétrica.</w:t>
      </w:r>
    </w:p>
    <w:bookmarkEnd w:id="1205"/>
    <w:bookmarkEnd w:id="1206"/>
    <w:bookmarkStart w:id="1213" w:name="leilões-e-taxonomia"/>
    <w:p>
      <w:pPr>
        <w:pStyle w:val="Heading2"/>
      </w:pPr>
      <w:r>
        <w:t xml:space="preserve">19.7–19.8 Leilões e Taxonomia</w:t>
      </w:r>
    </w:p>
    <w:bookmarkStart w:id="1211" w:name="X1188f24396807ba7ca38919a158766de935852e"/>
    <w:p>
      <w:pPr>
        <w:pStyle w:val="Heading3"/>
      </w:pPr>
      <w:r>
        <w:t xml:space="preserve">19.7 Quem Dá Mais? (E Quem Dá Demais): Leilões</w:t>
      </w:r>
    </w:p>
    <w:p>
      <w:pPr>
        <w:pStyle w:val="FirstParagraph"/>
      </w:pPr>
      <w:r>
        <w:t xml:space="preserve">Poucas situações capturam tão bem a tensão da informação assimétrica quanto um leilão. Cada participante carrega um número secreto na cabeça — quanto aquele objeto vale</w:t>
      </w:r>
      <w:r>
        <w:t xml:space="preserve"> </w:t>
      </w:r>
      <w:r>
        <w:rPr>
          <w:i/>
          <w:iCs/>
        </w:rPr>
        <w:t xml:space="preserve">para ele</w:t>
      </w:r>
      <w:r>
        <w:t xml:space="preserve"> </w:t>
      </w:r>
      <w:r>
        <w:t xml:space="preserve">— e precisa decidir quanto revelar sem saber o que os rivais estão pensando. É um jogo de nervos, estratégia e informação incompleta, tudo comprimido em poucos minutos (ou segundos, no caso de leilões digitais). O leilão é, assim, um mecanismo de mercado que opera sob assimetria de informação bilateral: cada licitante sabe algo que os outros não sabem. O desenho das regras do leilão determina quão eficientemente a informação dispersa se traduz em alocação e preço — e, como demonstrou William Vickrey (Nobel 1996), regras bem desenhadas podem induzir os participantes a revelar suas verdadeiras valorações.</w:t>
      </w:r>
    </w:p>
    <w:p>
      <w:pPr>
        <w:pStyle w:val="BlockText"/>
      </w:pPr>
      <w:r>
        <w:rPr>
          <w:b/>
          <w:bCs/>
        </w:rPr>
        <w:t xml:space="preserve">[DEFINICAO] Leilão</w:t>
      </w:r>
    </w:p>
    <w:p>
      <w:pPr>
        <w:pStyle w:val="BlockText"/>
      </w:pPr>
      <w:r>
        <w:t xml:space="preserve">Mecanismo de mercado para alocação de bens em que os participantes submetem lances, e o bem é alocado (e o preço determinado) de acordo com regras predefinidas. O desenho de leilões é uma aplicação central da teoria de mecanismos.</w:t>
      </w:r>
    </w:p>
    <w:bookmarkStart w:id="1207" w:name="tipos-de-leilões"/>
    <w:p>
      <w:pPr>
        <w:pStyle w:val="Heading4"/>
      </w:pPr>
      <w:r>
        <w:t xml:space="preserve">Tipos de leilões</w:t>
      </w:r>
    </w:p>
    <w:p>
      <w:pPr>
        <w:pStyle w:val="FirstParagraph"/>
      </w:pPr>
      <w:r>
        <w:t xml:space="preserve">A</w:t>
      </w:r>
      <w:r>
        <w:t xml:space="preserve"> </w:t>
      </w:r>
      <w:hyperlink w:anchor="tabela-19-2">
        <w:r>
          <w:rPr>
            <w:rStyle w:val="Hyperlink"/>
          </w:rPr>
          <w:t xml:space="preserve">Tabela 19.2</w:t>
        </w:r>
      </w:hyperlink>
      <w:r>
        <w:t xml:space="preserve"> </w:t>
      </w:r>
      <w:r>
        <w:t xml:space="preserve">descreve os quatro formatos clássicos de leilão.</w:t>
      </w:r>
    </w:p>
    <w:tbl>
      <w:tblPr>
        <w:tblStyle w:val="Table"/>
        <w:tblW w:type="pct" w:w="5000"/>
        <w:tblLayout w:type="fixed"/>
        <w:tblLook w:firstRow="1" w:lastRow="0" w:firstColumn="0" w:lastColumn="0" w:noHBand="0" w:noVBand="0" w:val="0020"/>
      </w:tblPr>
      <w:tblGrid>
        <w:gridCol w:w="2754"/>
        <w:gridCol w:w="1893"/>
        <w:gridCol w:w="1205"/>
        <w:gridCol w:w="2066"/>
      </w:tblGrid>
      <w:tr>
        <w:trPr>
          <w:tblHeader w:val="on"/>
        </w:trPr>
        <w:tc>
          <w:tcPr/>
          <w:p>
            <w:pPr>
              <w:pStyle w:val="Compact"/>
            </w:pPr>
            <w:r>
              <w:t xml:space="preserve">Tipo de Leilão</w:t>
            </w:r>
          </w:p>
        </w:tc>
        <w:tc>
          <w:tcPr/>
          <w:p>
            <w:pPr>
              <w:pStyle w:val="Compact"/>
            </w:pPr>
            <w:r>
              <w:t xml:space="preserve">Descrição</w:t>
            </w:r>
          </w:p>
        </w:tc>
        <w:tc>
          <w:tcPr/>
          <w:p>
            <w:pPr>
              <w:pStyle w:val="Compact"/>
            </w:pPr>
            <w:r>
              <w:t xml:space="preserve">Lance</w:t>
            </w:r>
          </w:p>
        </w:tc>
        <w:tc>
          <w:tcPr/>
          <w:p>
            <w:pPr>
              <w:pStyle w:val="Compact"/>
            </w:pPr>
            <w:r>
              <w:t xml:space="preserve">Preço pago</w:t>
            </w:r>
          </w:p>
        </w:tc>
      </w:tr>
      <w:tr>
        <w:tc>
          <w:tcPr/>
          <w:p>
            <w:pPr>
              <w:pStyle w:val="Compact"/>
            </w:pPr>
            <w:r>
              <w:rPr>
                <w:b/>
                <w:bCs/>
              </w:rPr>
              <w:t xml:space="preserve">Inglês</w:t>
            </w:r>
            <w:r>
              <w:t xml:space="preserve"> </w:t>
            </w:r>
            <w:r>
              <w:t xml:space="preserve">(ascendente)</w:t>
            </w:r>
          </w:p>
        </w:tc>
        <w:tc>
          <w:tcPr/>
          <w:p>
            <w:pPr>
              <w:pStyle w:val="Compact"/>
            </w:pPr>
            <w:r>
              <w:t xml:space="preserve">Preço sobe até restar um único licitante</w:t>
            </w:r>
          </w:p>
        </w:tc>
        <w:tc>
          <w:tcPr/>
          <w:p>
            <w:pPr>
              <w:pStyle w:val="Compact"/>
            </w:pPr>
            <w:r>
              <w:t xml:space="preserve">Aberto, sequencial</w:t>
            </w:r>
          </w:p>
        </w:tc>
        <w:tc>
          <w:tcPr/>
          <w:p>
            <w:pPr>
              <w:pStyle w:val="Compact"/>
            </w:pPr>
            <w:r>
              <w:t xml:space="preserve">Segundo maior valor</w:t>
            </w:r>
          </w:p>
        </w:tc>
      </w:tr>
      <w:tr>
        <w:tc>
          <w:tcPr/>
          <w:p>
            <w:pPr>
              <w:pStyle w:val="Compact"/>
            </w:pPr>
            <w:r>
              <w:rPr>
                <w:b/>
                <w:bCs/>
              </w:rPr>
              <w:t xml:space="preserve">Holandês</w:t>
            </w:r>
            <w:r>
              <w:t xml:space="preserve"> </w:t>
            </w:r>
            <w:r>
              <w:t xml:space="preserve">(descendente)</w:t>
            </w:r>
          </w:p>
        </w:tc>
        <w:tc>
          <w:tcPr/>
          <w:p>
            <w:pPr>
              <w:pStyle w:val="Compact"/>
            </w:pPr>
            <w:r>
              <w:t xml:space="preserve">Preço cai até alguém aceitar</w:t>
            </w:r>
          </w:p>
        </w:tc>
        <w:tc>
          <w:tcPr/>
          <w:p>
            <w:pPr>
              <w:pStyle w:val="Compact"/>
            </w:pPr>
            <w:r>
              <w:t xml:space="preserve">Fechado (estrategicamente)</w:t>
            </w:r>
          </w:p>
        </w:tc>
        <w:tc>
          <w:tcPr/>
          <w:p>
            <w:pPr>
              <w:pStyle w:val="Compact"/>
            </w:pPr>
            <w:r>
              <w:t xml:space="preserve">Valor do lance aceito</w:t>
            </w:r>
          </w:p>
        </w:tc>
      </w:tr>
      <w:tr>
        <w:tc>
          <w:tcPr/>
          <w:p>
            <w:pPr>
              <w:pStyle w:val="Compact"/>
            </w:pPr>
            <w:r>
              <w:rPr>
                <w:b/>
                <w:bCs/>
              </w:rPr>
              <w:t xml:space="preserve">Primeiro preço</w:t>
            </w:r>
            <w:r>
              <w:t xml:space="preserve"> </w:t>
            </w:r>
            <w:r>
              <w:t xml:space="preserve">(selado)</w:t>
            </w:r>
          </w:p>
        </w:tc>
        <w:tc>
          <w:tcPr/>
          <w:p>
            <w:pPr>
              <w:pStyle w:val="Compact"/>
            </w:pPr>
            <w:r>
              <w:t xml:space="preserve">Lances simultâneos em envelope fechado</w:t>
            </w:r>
          </w:p>
        </w:tc>
        <w:tc>
          <w:tcPr/>
          <w:p>
            <w:pPr>
              <w:pStyle w:val="Compact"/>
            </w:pPr>
            <w:r>
              <w:t xml:space="preserve">Fechado, simultâneo</w:t>
            </w:r>
          </w:p>
        </w:tc>
        <w:tc>
          <w:tcPr/>
          <w:p>
            <w:pPr>
              <w:pStyle w:val="Compact"/>
            </w:pPr>
            <w:r>
              <w:t xml:space="preserve">Maior lance</w:t>
            </w:r>
          </w:p>
        </w:tc>
      </w:tr>
      <w:tr>
        <w:tc>
          <w:tcPr/>
          <w:p>
            <w:pPr>
              <w:pStyle w:val="Compact"/>
            </w:pPr>
            <w:r>
              <w:rPr>
                <w:b/>
                <w:bCs/>
              </w:rPr>
              <w:t xml:space="preserve">Segundo preço</w:t>
            </w:r>
            <w:r>
              <w:t xml:space="preserve"> </w:t>
            </w:r>
            <w:r>
              <w:t xml:space="preserve">(Vickrey)</w:t>
            </w:r>
          </w:p>
        </w:tc>
        <w:tc>
          <w:tcPr/>
          <w:p>
            <w:pPr>
              <w:pStyle w:val="Compact"/>
            </w:pPr>
            <w:r>
              <w:t xml:space="preserve">Lances simultâneos; vencedor paga o segundo maior lance</w:t>
            </w:r>
          </w:p>
        </w:tc>
        <w:tc>
          <w:tcPr/>
          <w:p>
            <w:pPr>
              <w:pStyle w:val="Compact"/>
            </w:pPr>
            <w:r>
              <w:t xml:space="preserve">Fechado, simultâneo</w:t>
            </w:r>
          </w:p>
        </w:tc>
        <w:tc>
          <w:tcPr/>
          <w:p>
            <w:pPr>
              <w:pStyle w:val="Compact"/>
            </w:pPr>
            <w:r>
              <w:t xml:space="preserve">Segundo maior lance</w:t>
            </w:r>
          </w:p>
        </w:tc>
      </w:tr>
    </w:tbl>
    <w:p>
      <w:pPr>
        <w:pStyle w:val="BodyText"/>
      </w:pPr>
      <w:r>
        <w:rPr>
          <w:b/>
          <w:bCs/>
        </w:rPr>
        <w:t xml:space="preserve">Tabela 19.2 — Tipos de leilões.</w:t>
      </w:r>
    </w:p>
    <w:bookmarkEnd w:id="1207"/>
    <w:bookmarkStart w:id="1208" w:name="o-leilão-de-segundo-preço-vickrey"/>
    <w:p>
      <w:pPr>
        <w:pStyle w:val="Heading4"/>
      </w:pPr>
      <w:r>
        <w:t xml:space="preserve">O leilão de segundo preço (Vickrey)</w:t>
      </w:r>
    </w:p>
    <w:p>
      <w:pPr>
        <w:pStyle w:val="FirstParagraph"/>
      </w:pPr>
      <w:r>
        <w:t xml:space="preserve">No leilão de segundo preço, cada licitante tem uma</w:t>
      </w:r>
      <w:r>
        <w:t xml:space="preserve"> </w:t>
      </w:r>
      <w:r>
        <w:rPr>
          <w:b/>
          <w:bCs/>
        </w:rPr>
        <w:t xml:space="preserve">estratégia dominante</w:t>
      </w:r>
      <w:r>
        <w:t xml:space="preserve">: ofertar sua verdadeira valoração. Esse resultado, devido a William Vickrey (1961), é notável por sua simplicidade e robustez — a estratégia ótima não depende de crenças sobre os outros licitantes.</w:t>
      </w:r>
    </w:p>
    <w:p>
      <w:pPr>
        <w:pStyle w:val="BlockText"/>
      </w:pPr>
      <w:r>
        <w:rPr>
          <w:b/>
          <w:bCs/>
        </w:rPr>
        <w:t xml:space="preserve">[TEOREMA] Proposição: Estratégia Dominante no Leilão de Vickrey</w:t>
      </w:r>
    </w:p>
    <w:p>
      <w:pPr>
        <w:pStyle w:val="BlockText"/>
      </w:pPr>
      <w:r>
        <w:t xml:space="preserve">No leilão de segundo preço com valores privados independentes, é estratégia fracamente dominante para cada licitante ofertar</w:t>
      </w:r>
      <w:r>
        <w:t xml:space="preserve"> </w:t>
      </w:r>
      <m:oMath>
        <m:sSub>
          <m:e>
            <m:r>
              <m:t>b</m:t>
            </m:r>
          </m:e>
          <m:sub>
            <m:r>
              <m:t>i</m:t>
            </m:r>
          </m:sub>
        </m:sSub>
        <m:r>
          <m:rPr>
            <m:sty m:val="p"/>
          </m:rPr>
          <m:t>=</m:t>
        </m:r>
        <m:sSub>
          <m:e>
            <m:r>
              <m:t>v</m:t>
            </m:r>
          </m:e>
          <m:sub>
            <m:r>
              <m:t>i</m:t>
            </m:r>
          </m:sub>
        </m:sSub>
      </m:oMath>
      <w:r>
        <w:t xml:space="preserve"> </w:t>
      </w:r>
      <w:r>
        <w:t xml:space="preserve">(lance igual à valoração verdadeira).</w:t>
      </w:r>
    </w:p>
    <w:p>
      <w:pPr>
        <w:pStyle w:val="FirstParagraph"/>
      </w:pPr>
      <w:r>
        <w:rPr>
          <w:b/>
          <w:bCs/>
        </w:rPr>
        <w:t xml:space="preserve">Intuição da prova</w:t>
      </w:r>
      <w:r>
        <w:t xml:space="preserve">: Considere dois possíveis desvios. Se</w:t>
      </w:r>
      <w:r>
        <w:t xml:space="preserve"> </w:t>
      </w:r>
      <m:oMath>
        <m:sSub>
          <m:e>
            <m:r>
              <m:t>b</m:t>
            </m:r>
          </m:e>
          <m:sub>
            <m:r>
              <m:t>i</m:t>
            </m:r>
          </m:sub>
        </m:sSub>
        <m:r>
          <m:rPr>
            <m:sty m:val="p"/>
          </m:rPr>
          <m:t>&gt;</m:t>
        </m:r>
        <m:sSub>
          <m:e>
            <m:r>
              <m:t>v</m:t>
            </m:r>
          </m:e>
          <m:sub>
            <m:r>
              <m:t>i</m:t>
            </m:r>
          </m:sub>
        </m:sSub>
      </m:oMath>
      <w:r>
        <w:t xml:space="preserve"> </w:t>
      </w:r>
      <w:r>
        <w:t xml:space="preserve">(lance acima da valoração), o licitante amplia os cenários em que vence — mas inclui cenários em que o segundo maior lance está entre</w:t>
      </w:r>
      <w:r>
        <w:t xml:space="preserve"> </w:t>
      </w:r>
      <m:oMath>
        <m:sSub>
          <m:e>
            <m:r>
              <m:t>v</m:t>
            </m:r>
          </m:e>
          <m:sub>
            <m:r>
              <m:t>i</m:t>
            </m:r>
          </m:sub>
        </m:sSub>
      </m:oMath>
      <w:r>
        <w:t xml:space="preserve"> </w:t>
      </w:r>
      <w:r>
        <w:t xml:space="preserve">e</w:t>
      </w:r>
      <w:r>
        <w:t xml:space="preserve"> </w:t>
      </w:r>
      <m:oMath>
        <m:sSub>
          <m:e>
            <m:r>
              <m:t>b</m:t>
            </m:r>
          </m:e>
          <m:sub>
            <m:r>
              <m:t>i</m:t>
            </m:r>
          </m:sub>
        </m:sSub>
      </m:oMath>
      <w:r>
        <w:t xml:space="preserve">, nos quais ele vence e paga mais do que a valoração (prejuízo). Se</w:t>
      </w:r>
      <w:r>
        <w:t xml:space="preserve"> </w:t>
      </w:r>
      <m:oMath>
        <m:sSub>
          <m:e>
            <m:r>
              <m:t>b</m:t>
            </m:r>
          </m:e>
          <m:sub>
            <m:r>
              <m:t>i</m:t>
            </m:r>
          </m:sub>
        </m:sSub>
        <m:r>
          <m:rPr>
            <m:sty m:val="p"/>
          </m:rPr>
          <m:t>&lt;</m:t>
        </m:r>
        <m:sSub>
          <m:e>
            <m:r>
              <m:t>v</m:t>
            </m:r>
          </m:e>
          <m:sub>
            <m:r>
              <m:t>i</m:t>
            </m:r>
          </m:sub>
        </m:sSub>
      </m:oMath>
      <w:r>
        <w:t xml:space="preserve"> </w:t>
      </w:r>
      <w:r>
        <w:t xml:space="preserve">(lance abaixo da valoração), o licitante perde oportunidades lucrativas — cenários em que o segundo maior lance estaria entre</w:t>
      </w:r>
      <w:r>
        <w:t xml:space="preserve"> </w:t>
      </w:r>
      <m:oMath>
        <m:sSub>
          <m:e>
            <m:r>
              <m:t>b</m:t>
            </m:r>
          </m:e>
          <m:sub>
            <m:r>
              <m:t>i</m:t>
            </m:r>
          </m:sub>
        </m:sSub>
      </m:oMath>
      <w:r>
        <w:t xml:space="preserve"> </w:t>
      </w:r>
      <w:r>
        <w:t xml:space="preserve">e</w:t>
      </w:r>
      <w:r>
        <w:t xml:space="preserve"> </w:t>
      </w:r>
      <m:oMath>
        <m:sSub>
          <m:e>
            <m:r>
              <m:t>v</m:t>
            </m:r>
          </m:e>
          <m:sub>
            <m:r>
              <m:t>i</m:t>
            </m:r>
          </m:sub>
        </m:sSub>
      </m:oMath>
      <w:r>
        <w:t xml:space="preserve">, nos quais ele teria vencido e pago menos que sua valoração (lucro perdido). Em ambos os casos, desviar de</w:t>
      </w:r>
      <w:r>
        <w:t xml:space="preserve"> </w:t>
      </w:r>
      <m:oMath>
        <m:sSub>
          <m:e>
            <m:r>
              <m:t>b</m:t>
            </m:r>
          </m:e>
          <m:sub>
            <m:r>
              <m:t>i</m:t>
            </m:r>
          </m:sub>
        </m:sSub>
        <m:r>
          <m:rPr>
            <m:sty m:val="p"/>
          </m:rPr>
          <m:t>=</m:t>
        </m:r>
        <m:sSub>
          <m:e>
            <m:r>
              <m:t>v</m:t>
            </m:r>
          </m:e>
          <m:sub>
            <m:r>
              <m:t>i</m:t>
            </m:r>
          </m:sub>
        </m:sSub>
      </m:oMath>
      <w:r>
        <w:t xml:space="preserve"> </w:t>
      </w:r>
      <w:r>
        <w:t xml:space="preserve">não melhora o payoff esperado. A chave é que o lance não afeta o preço pago (que é o segundo maior lance), mas apenas a probabilidade de vencer — e essa probabilidade é otimizada quando o lance coincide com a valoração.</w:t>
      </w:r>
    </w:p>
    <w:p>
      <w:pPr>
        <w:pStyle w:val="BodyText"/>
      </w:pPr>
      <w:r>
        <w:t xml:space="preserve">Esse resultado tem uma consequência prática poderosa: o leilão de Vickrey é</w:t>
      </w:r>
      <w:r>
        <w:t xml:space="preserve"> </w:t>
      </w:r>
      <w:r>
        <w:rPr>
          <w:b/>
          <w:bCs/>
        </w:rPr>
        <w:t xml:space="preserve">à prova de estratégia</w:t>
      </w:r>
      <w:r>
        <w:t xml:space="preserve"> </w:t>
      </w:r>
      <w:r>
        <w:t xml:space="preserve">(</w:t>
      </w:r>
      <w:r>
        <w:rPr>
          <w:i/>
          <w:iCs/>
        </w:rPr>
        <w:t xml:space="preserve">strategy-proof</w:t>
      </w:r>
      <w:r>
        <w:t xml:space="preserve">). Nenhum licitante precisa se preocupar com o que os outros farão, pois a estratégia ótima independe das ações alheias. Essa propriedade torna o Vickrey extremamente atrativo para o desenho de mecanismos — e é a razão pela qual variantes do segundo preço são amplamente usadas em plataformas digitais (como o leilão de anúncios do Google Ads, que historicamente utilizou um mecanismo de segundo preço generalizado).</w:t>
      </w:r>
    </w:p>
    <w:bookmarkEnd w:id="1208"/>
    <w:bookmarkStart w:id="1210" w:name="o-teorema-da-equivalência-de-receita"/>
    <w:p>
      <w:pPr>
        <w:pStyle w:val="Heading4"/>
      </w:pPr>
      <w:r>
        <w:t xml:space="preserve">O Teorema da Equivalência de Receita</w:t>
      </w:r>
    </w:p>
    <w:p>
      <w:pPr>
        <w:pStyle w:val="BlockText"/>
      </w:pPr>
      <w:r>
        <w:rPr>
          <w:b/>
          <w:bCs/>
        </w:rPr>
        <w:t xml:space="preserve">[TEOREMA] Teorema da Equivalência de Receita (Revenue Equivalence Theorem)</w:t>
      </w:r>
    </w:p>
    <w:p>
      <w:pPr>
        <w:pStyle w:val="BlockText"/>
      </w:pPr>
      <w:r>
        <w:t xml:space="preserve">Sob as seguintes condições: (i) valores privados independentes; (ii) licitantes neutros ao risco; (iii) distribuição de valorações simétrica e contínua; (iv) o licitante com valoração mínima obtém excedente zero —</w:t>
      </w:r>
      <w:r>
        <w:t xml:space="preserve"> </w:t>
      </w:r>
      <w:r>
        <w:rPr>
          <w:b/>
          <w:bCs/>
        </w:rPr>
        <w:t xml:space="preserve">todos os quatro formatos de leilão geram a mesma receita esperada para o vendedor</w:t>
      </w:r>
      <w:r>
        <w:t xml:space="preserve">.</w:t>
      </w:r>
    </w:p>
    <w:p>
      <w:pPr>
        <w:pStyle w:val="FirstParagraph"/>
      </w:pPr>
      <w:r>
        <w:t xml:space="preserve">Esse resultado notável, devido a Vickrey (1961) e Myerson (1981), implica que, sob as condições do teorema, a escolha do formato de leilão é irrelevante para a receita. As diferenças surgem quando as condições são violadas:</w:t>
      </w:r>
    </w:p>
    <w:p>
      <w:pPr>
        <w:pStyle w:val="Compact"/>
        <w:numPr>
          <w:ilvl w:val="0"/>
          <w:numId w:val="2057"/>
        </w:numPr>
      </w:pPr>
      <w:r>
        <w:rPr>
          <w:b/>
          <w:bCs/>
        </w:rPr>
        <w:t xml:space="preserve">Aversão ao risco dos licitantes</w:t>
      </w:r>
      <w:r>
        <w:t xml:space="preserve">: favorece o leilão de primeiro preço. Licitantes avessos ao risco fazem menos</w:t>
      </w:r>
      <w:r>
        <w:t xml:space="preserve"> </w:t>
      </w:r>
      <w:r>
        <w:rPr>
          <w:i/>
          <w:iCs/>
        </w:rPr>
        <w:t xml:space="preserve">bid shading</w:t>
      </w:r>
      <w:r>
        <w:t xml:space="preserve"> </w:t>
      </w:r>
      <w:r>
        <w:t xml:space="preserve">(ofertam mais próximo de sua valoração) para reduzir a chance de perder, o que aumenta a receita esperada em relação ao segundo preço.</w:t>
      </w:r>
    </w:p>
    <w:p>
      <w:pPr>
        <w:pStyle w:val="Compact"/>
        <w:numPr>
          <w:ilvl w:val="0"/>
          <w:numId w:val="2057"/>
        </w:numPr>
      </w:pPr>
      <w:r>
        <w:rPr>
          <w:b/>
          <w:bCs/>
        </w:rPr>
        <w:t xml:space="preserve">Valores correlacionados ou comuns</w:t>
      </w:r>
      <w:r>
        <w:t xml:space="preserve">: favorece o leilão inglês (ascendente). A informação revelada durante o leilão — quando um licitante desiste, revela que sua estimativa é inferior ao preço corrente — reduz a incerteza e atenua a</w:t>
      </w:r>
      <w:r>
        <w:t xml:space="preserve"> </w:t>
      </w:r>
      <w:r>
        <w:rPr>
          <w:b/>
          <w:bCs/>
        </w:rPr>
        <w:t xml:space="preserve">maldição do vencedor</w:t>
      </w:r>
      <w:r>
        <w:t xml:space="preserve"> </w:t>
      </w:r>
      <w:r>
        <w:t xml:space="preserve">(</w:t>
      </w:r>
      <w:r>
        <w:rPr>
          <w:i/>
          <w:iCs/>
        </w:rPr>
        <w:t xml:space="preserve">winner’s curse</w:t>
      </w:r>
      <w:r>
        <w:t xml:space="preserve">). Em um leilão selado, essa informação não é transmitida, e os licitantes fazem mais</w:t>
      </w:r>
      <w:r>
        <w:t xml:space="preserve"> </w:t>
      </w:r>
      <w:r>
        <w:rPr>
          <w:i/>
          <w:iCs/>
        </w:rPr>
        <w:t xml:space="preserve">bid shading</w:t>
      </w:r>
      <w:r>
        <w:t xml:space="preserve"> </w:t>
      </w:r>
      <w:r>
        <w:t xml:space="preserve">por precaução.</w:t>
      </w:r>
    </w:p>
    <w:p>
      <w:pPr>
        <w:pStyle w:val="Compact"/>
        <w:numPr>
          <w:ilvl w:val="0"/>
          <w:numId w:val="2057"/>
        </w:numPr>
      </w:pPr>
      <w:r>
        <w:rPr>
          <w:b/>
          <w:bCs/>
        </w:rPr>
        <w:t xml:space="preserve">Assimetria entre licitantes</w:t>
      </w:r>
      <w:r>
        <w:t xml:space="preserve">: viola a simetria do teorema. Quando um licitante possui vantagem informacional (como a Petrobras nos leilões do pré-sal), o formato afeta tanto a receita quanto a eficiência.</w:t>
      </w:r>
    </w:p>
    <w:p>
      <w:pPr>
        <w:pStyle w:val="Compact"/>
        <w:numPr>
          <w:ilvl w:val="0"/>
          <w:numId w:val="2057"/>
        </w:numPr>
      </w:pPr>
      <w:r>
        <w:rPr>
          <w:b/>
          <w:bCs/>
        </w:rPr>
        <w:t xml:space="preserve">Colusão</w:t>
      </w:r>
      <w:r>
        <w:t xml:space="preserve">: leilões selados são mais resistentes à colusão do que leilões ascendentes, onde os participantes podem observar e punir desvios.</w:t>
      </w:r>
    </w:p>
    <w:p>
      <w:pPr>
        <w:pStyle w:val="FirstParagraph"/>
      </w:pPr>
      <w:r>
        <w:t xml:space="preserve">A</w:t>
      </w:r>
      <w:r>
        <w:t xml:space="preserve"> </w:t>
      </w:r>
      <w:r>
        <w:rPr>
          <w:b/>
          <w:bCs/>
        </w:rPr>
        <w:t xml:space="preserve">maldição do vencedor</w:t>
      </w:r>
      <w:r>
        <w:t xml:space="preserve"> </w:t>
      </w:r>
      <w:r>
        <w:t xml:space="preserve">merece destaque especial, pois é um fenômeno empiricamente relevante e frequentemente mal compreendido. Em leilões de valor comum (onde o objeto tem o mesmo valor para todos, mas cada licitante tem apenas uma estimativa ruidosa desse valor), o vencedor tende a ser quem mais</w:t>
      </w:r>
      <w:r>
        <w:t xml:space="preserve"> </w:t>
      </w:r>
      <w:r>
        <w:rPr>
          <w:i/>
          <w:iCs/>
        </w:rPr>
        <w:t xml:space="preserve">superestimou</w:t>
      </w:r>
      <w:r>
        <w:t xml:space="preserve"> </w:t>
      </w:r>
      <w:r>
        <w:t xml:space="preserve">o valor — e, portanto, tende a pagar demais. Licitantes racionais antecipam isso e ajustam seus lances para baixo. Quanto mais licitantes participam, mais extrema é a estimativa do vencedor e maior deve ser o desconto — um resultado com implicações diretas para o desenho de leilões de concessão.</w:t>
      </w:r>
    </w:p>
    <w:p>
      <w:pPr>
        <w:pStyle w:val="BlockText"/>
      </w:pPr>
      <w:r>
        <w:rPr>
          <w:b/>
          <w:bCs/>
        </w:rPr>
        <w:t xml:space="preserve">[INFORMACAO] 🏅 Prêmio Nobel — Leonid Hurwicz, Eric S. Maskin e Roger B. Myerson (2007)</w:t>
      </w:r>
    </w:p>
    <w:p>
      <w:pPr>
        <w:pStyle w:val="BlockText"/>
      </w:pPr>
      <w:r>
        <w:rPr>
          <w:b/>
          <w:bCs/>
        </w:rPr>
        <w:t xml:space="preserve">Leonid Hurwicz</w:t>
      </w:r>
      <w:r>
        <w:t xml:space="preserve"> </w:t>
      </w:r>
      <w:r>
        <w:t xml:space="preserve">(1917–2008) foi um economista e matemático russo-americano, professor na Universidade de Minnesota.</w:t>
      </w:r>
      <w:r>
        <w:t xml:space="preserve"> </w:t>
      </w:r>
      <w:r>
        <w:rPr>
          <w:b/>
          <w:bCs/>
        </w:rPr>
        <w:t xml:space="preserve">Eric Stark Maskin</w:t>
      </w:r>
      <w:r>
        <w:t xml:space="preserve"> </w:t>
      </w:r>
      <w:r>
        <w:t xml:space="preserve">(1950–presente) é um economista americano, PhD em Harvard, professor em Harvard e no Institute for Advanced Study.</w:t>
      </w:r>
      <w:r>
        <w:t xml:space="preserve"> </w:t>
      </w:r>
      <w:r>
        <w:rPr>
          <w:b/>
          <w:bCs/>
        </w:rPr>
        <w:t xml:space="preserve">Roger Bruce Myerson</w:t>
      </w:r>
      <w:r>
        <w:t xml:space="preserve"> </w:t>
      </w:r>
      <w:r>
        <w:t xml:space="preserve">(1951–presente) é um economista americano, PhD em Harvard, professor na Universidade de Chicago.</w:t>
      </w:r>
    </w:p>
    <w:p>
      <w:pPr>
        <w:pStyle w:val="BlockText"/>
      </w:pPr>
      <w:r>
        <w:rPr>
          <w:b/>
          <w:bCs/>
        </w:rPr>
        <w:t xml:space="preserve">Por que ganharam o Nobel:</w:t>
      </w:r>
      <w:r>
        <w:t xml:space="preserve"> </w:t>
      </w:r>
      <w:r>
        <w:t xml:space="preserve">Premiados por lançar as bases da teoria de desenho de mecanismos. Hurwicz formulou o problema: como desenhar instituições (mecanismos) que produzam resultados desejáveis quando os agentes possuem informação privada e agem em interesse próprio? Maskin estabeleceu condições para que um mecanismo implemente resultados socialmente desejáveis. Myerson provou o</w:t>
      </w:r>
      <w:r>
        <w:t xml:space="preserve"> </w:t>
      </w:r>
      <w:r>
        <w:rPr>
          <w:i/>
          <w:iCs/>
        </w:rPr>
        <w:t xml:space="preserve">princípio da revelação</w:t>
      </w:r>
      <w:r>
        <w:t xml:space="preserve"> </w:t>
      </w:r>
      <w:r>
        <w:t xml:space="preserve">— todo resultado alcançável por qualquer mecanismo pode ser replicado por um mecanismo de revelação direta — e aplicou a teoria ao desenho de leilões ótimos.</w:t>
      </w:r>
    </w:p>
    <w:p>
      <w:pPr>
        <w:pStyle w:val="BlockText"/>
      </w:pPr>
      <w:r>
        <w:rPr>
          <w:b/>
          <w:bCs/>
        </w:rPr>
        <w:t xml:space="preserve">Conexão com este capítulo:</w:t>
      </w:r>
      <w:r>
        <w:t xml:space="preserve"> </w:t>
      </w:r>
      <w:r>
        <w:t xml:space="preserve">O princípio da revelação de Myerson e a teoria de leilões ótimos são apresentados neste capítulo como aplicações da informação assimétrica ao desenho de instituições.</w:t>
      </w:r>
    </w:p>
    <w:p>
      <w:pPr>
        <w:pStyle w:val="BlockText"/>
      </w:pPr>
      <w:r>
        <w:rPr>
          <w:b/>
          <w:bCs/>
        </w:rPr>
        <w:t xml:space="preserve">[BOX MUNDO] Box Mundo 19.3 — Leilões de espectro nos EUA: a revolução do desenho de mecanismos</w:t>
      </w:r>
    </w:p>
    <w:p>
      <w:pPr>
        <w:pStyle w:val="BlockText"/>
      </w:pPr>
      <w:r>
        <w:rPr>
          <w:b/>
          <w:bCs/>
        </w:rPr>
        <w:t xml:space="preserve">Contexto:</w:t>
      </w:r>
      <w:r>
        <w:t xml:space="preserve"> </w:t>
      </w:r>
      <w:r>
        <w:t xml:space="preserve">Os leilões de espectro eletromagnético conduzidos pela Federal Communications Commission (FCC) nos Estados Unidos são o caso mais celebrado de aplicação prática da teoria de leilões. Antes de 1994, a FCC alocava licenças de espectro por meio de</w:t>
      </w:r>
      <w:r>
        <w:t xml:space="preserve"> </w:t>
      </w:r>
      <w:r>
        <w:t xml:space="preserve">“concursos de beleza”</w:t>
      </w:r>
      <w:r>
        <w:t xml:space="preserve"> </w:t>
      </w:r>
      <w:r>
        <w:t xml:space="preserve">(critérios subjetivos) ou loterias aleatórias — métodos que não revelavam a valoração dos participantes e geravam alocações ineficientes. A partir de 1994, sob influência de economistas como Paul Milgrom e Robert Wilson (Nobel 2020), a FCC adotou o formato de</w:t>
      </w:r>
      <w:r>
        <w:t xml:space="preserve"> </w:t>
      </w:r>
      <w:r>
        <w:rPr>
          <w:i/>
          <w:iCs/>
        </w:rPr>
        <w:t xml:space="preserve">simultaneous ascending auction</w:t>
      </w:r>
      <w:r>
        <w:t xml:space="preserve"> </w:t>
      </w:r>
      <w:r>
        <w:t xml:space="preserve">(leilão simultâneo ascendente), especificamente desenhado para lidar com as complementaridades e a informação assimétrica inerentes ao espectro.</w:t>
      </w:r>
    </w:p>
    <w:p>
      <w:pPr>
        <w:pStyle w:val="BlockText"/>
      </w:pPr>
      <w:r>
        <w:rPr>
          <w:b/>
          <w:bCs/>
        </w:rPr>
        <w:t xml:space="preserve">Dados:</w:t>
      </w:r>
      <w:r>
        <w:t xml:space="preserve"> </w:t>
      </w:r>
      <w:r>
        <w:t xml:space="preserve">Desde 1994, os leilões da FCC arrecadaram mais de US$ 230 bilhões para o governo federal americano (FCC,</w:t>
      </w:r>
      <w:r>
        <w:t xml:space="preserve"> </w:t>
      </w:r>
      <w:r>
        <w:rPr>
          <w:i/>
          <w:iCs/>
        </w:rPr>
        <w:t xml:space="preserve">Auctions Summary</w:t>
      </w:r>
      <w:r>
        <w:t xml:space="preserve">, 2024). O maior leilão individual — o</w:t>
      </w:r>
      <w:r>
        <w:t xml:space="preserve"> </w:t>
      </w:r>
      <w:r>
        <w:rPr>
          <w:i/>
          <w:iCs/>
        </w:rPr>
        <w:t xml:space="preserve">Incentive Auction</w:t>
      </w:r>
      <w:r>
        <w:t xml:space="preserve"> </w:t>
      </w:r>
      <w:r>
        <w:t xml:space="preserve">de 2017, que reaproveitou espectro de TV para uso de telefonia móvel — arrecadou US$ 19,8 bilhões. O leilão C-band (2021), para faixas de 5G, arrecadou US$ 81 bilhões, o mais lucrativo da história. A eficiência alocativa melhorou dramaticamente: estudos do</w:t>
      </w:r>
      <w:r>
        <w:t xml:space="preserve"> </w:t>
      </w:r>
      <w:r>
        <w:rPr>
          <w:i/>
          <w:iCs/>
        </w:rPr>
        <w:t xml:space="preserve">NBER</w:t>
      </w:r>
      <w:r>
        <w:t xml:space="preserve"> </w:t>
      </w:r>
      <w:r>
        <w:t xml:space="preserve">estimam que os leilões simultâneos ascendentes alocam licenças a licitantes com valoração 15–30% maior do que os mecanismos anteriores.</w:t>
      </w:r>
    </w:p>
    <w:p>
      <w:pPr>
        <w:pStyle w:val="BlockText"/>
      </w:pPr>
      <w:r>
        <w:rPr>
          <w:b/>
          <w:bCs/>
        </w:rPr>
        <w:t xml:space="preserve">Análise:</w:t>
      </w:r>
      <w:r>
        <w:t xml:space="preserve"> </w:t>
      </w:r>
      <w:r>
        <w:t xml:space="preserve">Os leilões da FCC ilustram vários conceitos deste capítulo. Primeiro, o Teorema da Equivalência de Receita (Seção 19.7) explica por que a FCC se preocupa menos com o formato exato e mais com as condições: número de participantes, barreiras à colusão, informação disponível. Segundo, a maldição do vencedor é uma preocupação real: como o espectro tem componente de valor comum (depende da demanda futura de telecomunicações), licitantes que superestimam o valor tendem a vencer e pagar caro demais. O formato ascendente atenua esse problema ao revelar informação durante o leilão. Terceiro, o desenho anti-colusão (preços de reserva, lotes anônimos, regras de atividade) mostra como a teoria de mecanismos se traduz em regras práticas.</w:t>
      </w:r>
    </w:p>
    <w:p>
      <w:pPr>
        <w:pStyle w:val="BlockText"/>
      </w:pPr>
      <w:r>
        <w:rPr>
          <w:b/>
          <w:bCs/>
        </w:rPr>
        <w:t xml:space="preserve">Fonte:</w:t>
      </w:r>
      <w:r>
        <w:t xml:space="preserve"> </w:t>
      </w:r>
      <w:r>
        <w:t xml:space="preserve">FCC,</w:t>
      </w:r>
      <w:r>
        <w:t xml:space="preserve"> </w:t>
      </w:r>
      <w:r>
        <w:rPr>
          <w:i/>
          <w:iCs/>
        </w:rPr>
        <w:t xml:space="preserve">Auctions Summary</w:t>
      </w:r>
      <w:r>
        <w:t xml:space="preserve">, 2024. Milgrom, P. (2004).</w:t>
      </w:r>
      <w:r>
        <w:t xml:space="preserve"> </w:t>
      </w:r>
      <w:r>
        <w:rPr>
          <w:i/>
          <w:iCs/>
        </w:rPr>
        <w:t xml:space="preserve">Putting Auction Theory to Work</w:t>
      </w:r>
      <w:r>
        <w:t xml:space="preserve">. Cambridge University Press.</w:t>
      </w:r>
    </w:p>
    <w:p>
      <w:pPr>
        <w:pStyle w:val="BlockText"/>
      </w:pPr>
      <w:r>
        <w:rPr>
          <w:b/>
          <w:bCs/>
        </w:rPr>
        <w:t xml:space="preserve">[EXEMPLO] Do pré-sal ao 5G: informação assimétrica e desenho de leilões</w:t>
      </w:r>
    </w:p>
    <w:p>
      <w:pPr>
        <w:pStyle w:val="BlockText"/>
      </w:pPr>
      <w:r>
        <w:t xml:space="preserve">O Brasil tem sido um laboratório de formatos de leilão em setores estratégicos. Dois casos ilustram como o desenho do mecanismo afeta os resultados em presença de informação assimétrica.</w:t>
      </w:r>
    </w:p>
    <w:p>
      <w:pPr>
        <w:pStyle w:val="BlockText"/>
      </w:pPr>
      <w:r>
        <w:rPr>
          <w:b/>
          <w:bCs/>
        </w:rPr>
        <w:t xml:space="preserve">Leilões do pré-sal (</w:t>
      </w:r>
      <w:hyperlink r:id="rId190">
        <w:r>
          <w:rPr>
            <w:rStyle w:val="Hyperlink"/>
            <w:b/>
            <w:bCs/>
          </w:rPr>
          <w:t xml:space="preserve">ANP</w:t>
        </w:r>
      </w:hyperlink>
      <w:r>
        <w:rPr>
          <w:b/>
          <w:bCs/>
        </w:rPr>
        <w:t xml:space="preserve">):</w:t>
      </w:r>
    </w:p>
    <w:p>
      <w:pPr>
        <w:pStyle w:val="BlockText"/>
      </w:pPr>
      <w:r>
        <w:t xml:space="preserve">Os blocos exploratórios do pré-sal são leiloados pela Agência Nacional do Petróleo (ANP) no formato de</w:t>
      </w:r>
      <w:r>
        <w:t xml:space="preserve"> </w:t>
      </w:r>
      <w:r>
        <w:rPr>
          <w:b/>
          <w:bCs/>
        </w:rPr>
        <w:t xml:space="preserve">partilha da produção</w:t>
      </w:r>
      <w:r>
        <w:t xml:space="preserve">: o consórcio vencedor é aquele que oferece a maior parcela do</w:t>
      </w:r>
      <w:r>
        <w:t xml:space="preserve"> </w:t>
      </w:r>
      <w:r>
        <w:t xml:space="preserve">“óleo-excedente”</w:t>
      </w:r>
      <w:r>
        <w:t xml:space="preserve"> </w:t>
      </w:r>
      <w:r>
        <w:t xml:space="preserve">ao governo. Esse formato enfrenta o problema da</w:t>
      </w:r>
      <w:r>
        <w:t xml:space="preserve"> </w:t>
      </w:r>
      <w:r>
        <w:rPr>
          <w:b/>
          <w:bCs/>
        </w:rPr>
        <w:t xml:space="preserve">maldição do vencedor</w:t>
      </w:r>
      <w:r>
        <w:t xml:space="preserve"> </w:t>
      </w:r>
      <w:r>
        <w:t xml:space="preserve">(</w:t>
      </w:r>
      <w:r>
        <w:rPr>
          <w:i/>
          <w:iCs/>
        </w:rPr>
        <w:t xml:space="preserve">winner’s curse</w:t>
      </w:r>
      <w:r>
        <w:t xml:space="preserve">): como o valor do bloco é parcialmente comum (depende das reservas geológicas), o licitante que vence tende a ser aquele que</w:t>
      </w:r>
      <w:r>
        <w:t xml:space="preserve"> </w:t>
      </w:r>
      <w:r>
        <w:rPr>
          <w:b/>
          <w:bCs/>
        </w:rPr>
        <w:t xml:space="preserve">superestimou</w:t>
      </w:r>
      <w:r>
        <w:t xml:space="preserve"> </w:t>
      </w:r>
      <w:r>
        <w:t xml:space="preserve">o valor do recurso. Licitantes sofisticados, como a Petrobras, ajustam seus lances para baixo — exatamente como prevê a teoria. Em 2025, o 3.º Ciclo de Oferta Permanente de Partilha arrecadou R$ 452 milhões em bônus de assinatura, com ágio médio de 91%.</w:t>
      </w:r>
    </w:p>
    <w:p>
      <w:pPr>
        <w:pStyle w:val="BlockText"/>
      </w:pPr>
      <w:r>
        <w:rPr>
          <w:b/>
          <w:bCs/>
        </w:rPr>
        <w:t xml:space="preserve">Leilão do espectro 5G (</w:t>
      </w:r>
      <w:hyperlink r:id="rId1209">
        <w:r>
          <w:rPr>
            <w:rStyle w:val="Hyperlink"/>
            <w:b/>
            <w:bCs/>
          </w:rPr>
          <w:t xml:space="preserve">Anatel</w:t>
        </w:r>
      </w:hyperlink>
      <w:r>
        <w:rPr>
          <w:b/>
          <w:bCs/>
        </w:rPr>
        <w:t xml:space="preserve">, 2021):</w:t>
      </w:r>
    </w:p>
    <w:p>
      <w:pPr>
        <w:pStyle w:val="BlockText"/>
      </w:pPr>
      <w:r>
        <w:t xml:space="preserve">O leilão das faixas de frequência para a tecnologia 5G utilizou formato de</w:t>
      </w:r>
      <w:r>
        <w:t xml:space="preserve"> </w:t>
      </w:r>
      <w:r>
        <w:rPr>
          <w:b/>
          <w:bCs/>
        </w:rPr>
        <w:t xml:space="preserve">lance selado de primeiro preço</w:t>
      </w:r>
      <w:r>
        <w:t xml:space="preserve"> </w:t>
      </w:r>
      <w:r>
        <w:t xml:space="preserve">com preço de reserva e arrecadou</w:t>
      </w:r>
      <w:r>
        <w:t xml:space="preserve"> </w:t>
      </w:r>
      <w:r>
        <w:rPr>
          <w:b/>
          <w:bCs/>
        </w:rPr>
        <w:t xml:space="preserve">R$ 4,8 bilhões</w:t>
      </w:r>
      <w:r>
        <w:t xml:space="preserve">. O Teorema da Equivalência de Receita sugere que, sob condições ideais, o formato não deveria importar — mas as assimetrias de informação entre incumbentes (Vivo, Claro, TIM) e entrantes justificaram regras específicas, como lotes exclusivos para novos competidores.</w:t>
      </w:r>
    </w:p>
    <w:p>
      <w:pPr>
        <w:pStyle w:val="BlockText"/>
      </w:pPr>
      <w:r>
        <w:rPr>
          <w:i/>
          <w:iCs/>
        </w:rPr>
        <w:t xml:space="preserve">Fonte: ANP, Boletim de Rodadas de Licitações, 2025; Anatel, Resultado do Leilão 5G, 2021.</w:t>
      </w:r>
    </w:p>
    <w:p>
      <w:pPr>
        <w:pStyle w:val="FirstParagraph"/>
      </w:pPr>
      <w:r>
        <w:t xml:space="preserve">O exercício a seguir aplica a teoria de leilões a um caso numérico.</w:t>
      </w:r>
    </w:p>
    <w:p>
      <w:pPr>
        <w:pStyle w:val="BlockText"/>
      </w:pPr>
      <w:r>
        <w:rPr>
          <w:b/>
          <w:bCs/>
        </w:rPr>
        <w:t xml:space="preserve">[EXERCICIO RESOLVIDO] Exercício Resolvido 19.6 — Leilão de segundo preço (Vickrey)</w:t>
      </w:r>
    </w:p>
    <w:p>
      <w:pPr>
        <w:pStyle w:val="BlockText"/>
      </w:pPr>
      <w:r>
        <w:rPr>
          <w:b/>
          <w:bCs/>
        </w:rPr>
        <w:t xml:space="preserve">Enunciado:</w:t>
      </w:r>
      <w:r>
        <w:t xml:space="preserve"> </w:t>
      </w:r>
      <w:r>
        <w:t xml:space="preserve">Três colecionadores disputam uma obra de arte em um leilão de Vickrey. Suas valorações privadas são</w:t>
      </w:r>
      <w:r>
        <w:t xml:space="preserve"> </w:t>
      </w:r>
      <m:oMath>
        <m:sSub>
          <m:e>
            <m:r>
              <m:t>v</m:t>
            </m:r>
          </m:e>
          <m:sub>
            <m:r>
              <m:t>1</m:t>
            </m:r>
          </m:sub>
        </m:sSub>
        <m:r>
          <m:rPr>
            <m:sty m:val="p"/>
          </m:rPr>
          <m:t>=</m:t>
        </m:r>
        <m:r>
          <m:t>100</m:t>
        </m:r>
      </m:oMath>
      <w:r>
        <w:t xml:space="preserve">,</w:t>
      </w:r>
      <w:r>
        <w:t xml:space="preserve"> </w:t>
      </w:r>
      <m:oMath>
        <m:sSub>
          <m:e>
            <m:r>
              <m:t>v</m:t>
            </m:r>
          </m:e>
          <m:sub>
            <m:r>
              <m:t>2</m:t>
            </m:r>
          </m:sub>
        </m:sSub>
        <m:r>
          <m:rPr>
            <m:sty m:val="p"/>
          </m:rPr>
          <m:t>=</m:t>
        </m:r>
        <m:r>
          <m:t>80</m:t>
        </m:r>
      </m:oMath>
      <w:r>
        <w:t xml:space="preserve">,</w:t>
      </w:r>
      <w:r>
        <w:t xml:space="preserve"> </w:t>
      </w:r>
      <m:oMath>
        <m:sSub>
          <m:e>
            <m:r>
              <m:t>v</m:t>
            </m:r>
          </m:e>
          <m:sub>
            <m:r>
              <m:t>3</m:t>
            </m:r>
          </m:sub>
        </m:sSub>
        <m:r>
          <m:rPr>
            <m:sty m:val="p"/>
          </m:rPr>
          <m:t>=</m:t>
        </m:r>
        <m:r>
          <m:t>60</m:t>
        </m:r>
      </m:oMath>
      <w:r>
        <w:t xml:space="preserve">. (a) Qual é o lance ótimo de cada participante? (b) Quem vence e quanto paga? (c) Se as valorações fossem i.i.d.</w:t>
      </w:r>
      <w:r>
        <w:t xml:space="preserve"> </w:t>
      </w:r>
      <m:oMath>
        <m:r>
          <m:t>U</m:t>
        </m:r>
        <m:r>
          <m:rPr>
            <m:sty m:val="p"/>
          </m:rPr>
          <m:t>[</m:t>
        </m:r>
        <m:r>
          <m:t>0</m:t>
        </m:r>
        <m:r>
          <m:rPr>
            <m:sty m:val="p"/>
          </m:rPr>
          <m:t>,</m:t>
        </m:r>
        <m:r>
          <m:t>120</m:t>
        </m:r>
        <m:r>
          <m:rPr>
            <m:sty m:val="p"/>
          </m:rPr>
          <m:t>]</m:t>
        </m:r>
      </m:oMath>
      <w:r>
        <w:t xml:space="preserve"> </w:t>
      </w:r>
      <w:r>
        <w:t xml:space="preserve">(com</w:t>
      </w:r>
      <w:r>
        <w:t xml:space="preserve"> </w:t>
      </w:r>
      <m:oMath>
        <m:r>
          <m:t>n</m:t>
        </m:r>
        <m:r>
          <m:rPr>
            <m:sty m:val="p"/>
          </m:rPr>
          <m:t>=</m:t>
        </m:r>
        <m:r>
          <m:t>3</m:t>
        </m:r>
      </m:oMath>
      <w:r>
        <w:t xml:space="preserve">), qual seria a estratégia de equilíbrio no leilão de primeiro preço?</w:t>
      </w:r>
    </w:p>
    <w:p>
      <w:r>
        <w:pict>
          <v:rect style="width:0;height:1.5pt" o:hralign="center" o:hrstd="t" o:hr="t"/>
        </w:pict>
      </w:r>
    </w:p>
    <w:p>
      <w:pPr>
        <w:pStyle w:val="BlockText"/>
      </w:pPr>
      <w:r>
        <w:rPr>
          <w:b/>
          <w:bCs/>
        </w:rPr>
        <w:t xml:space="preserve">(a)</w:t>
      </w:r>
      <w:r>
        <w:t xml:space="preserve"> </w:t>
      </w:r>
      <w:r>
        <w:t xml:space="preserve">No Vickrey, a estratégia dominante é</w:t>
      </w:r>
      <w:r>
        <w:t xml:space="preserve"> </w:t>
      </w:r>
      <m:oMath>
        <m:sSub>
          <m:e>
            <m:r>
              <m:t>b</m:t>
            </m:r>
          </m:e>
          <m:sub>
            <m:r>
              <m:t>i</m:t>
            </m:r>
          </m:sub>
        </m:sSub>
        <m:r>
          <m:rPr>
            <m:sty m:val="p"/>
          </m:rPr>
          <m:t>=</m:t>
        </m:r>
        <m:sSub>
          <m:e>
            <m:r>
              <m:t>v</m:t>
            </m:r>
          </m:e>
          <m:sub>
            <m:r>
              <m:t>i</m:t>
            </m:r>
          </m:sub>
        </m:sSub>
      </m:oMath>
      <w:r>
        <w:t xml:space="preserve">:</w:t>
      </w:r>
      <w:r>
        <w:t xml:space="preserve"> </w:t>
      </w:r>
      <m:oMath>
        <m:sSub>
          <m:e>
            <m:r>
              <m:t>b</m:t>
            </m:r>
          </m:e>
          <m:sub>
            <m:r>
              <m:t>1</m:t>
            </m:r>
          </m:sub>
        </m:sSub>
        <m:r>
          <m:rPr>
            <m:sty m:val="p"/>
          </m:rPr>
          <m:t>=</m:t>
        </m:r>
        <m:r>
          <m:t>100</m:t>
        </m:r>
      </m:oMath>
      <w:r>
        <w:t xml:space="preserve">,</w:t>
      </w:r>
      <w:r>
        <w:t xml:space="preserve"> </w:t>
      </w:r>
      <m:oMath>
        <m:sSub>
          <m:e>
            <m:r>
              <m:t>b</m:t>
            </m:r>
          </m:e>
          <m:sub>
            <m:r>
              <m:t>2</m:t>
            </m:r>
          </m:sub>
        </m:sSub>
        <m:r>
          <m:rPr>
            <m:sty m:val="p"/>
          </m:rPr>
          <m:t>=</m:t>
        </m:r>
        <m:r>
          <m:t>80</m:t>
        </m:r>
      </m:oMath>
      <w:r>
        <w:t xml:space="preserve">,</w:t>
      </w:r>
      <w:r>
        <w:t xml:space="preserve"> </w:t>
      </w:r>
      <m:oMath>
        <m:sSub>
          <m:e>
            <m:r>
              <m:t>b</m:t>
            </m:r>
          </m:e>
          <m:sub>
            <m:r>
              <m:t>3</m:t>
            </m:r>
          </m:sub>
        </m:sSub>
        <m:r>
          <m:rPr>
            <m:sty m:val="p"/>
          </m:rPr>
          <m:t>=</m:t>
        </m:r>
        <m:r>
          <m:t>60</m:t>
        </m:r>
      </m:oMath>
      <w:r>
        <w:t xml:space="preserve">.</w:t>
      </w:r>
    </w:p>
    <w:p>
      <w:pPr>
        <w:pStyle w:val="BlockText"/>
      </w:pPr>
      <w:r>
        <w:rPr>
          <w:b/>
          <w:bCs/>
        </w:rPr>
        <w:t xml:space="preserve">(b)</w:t>
      </w:r>
      <w:r>
        <w:t xml:space="preserve"> </w:t>
      </w:r>
      <w:r>
        <w:t xml:space="preserve">Licitante 1 vence (maior lance), paga o segundo maior lance:</w:t>
      </w:r>
      <w:r>
        <w:t xml:space="preserve"> </w:t>
      </w:r>
      <w:r>
        <w:rPr>
          <w:b/>
          <w:bCs/>
        </w:rPr>
        <w:t xml:space="preserve">R$ 80</w:t>
      </w:r>
      <w:r>
        <w:t xml:space="preserve">. Excedente do vencedor:</w:t>
      </w:r>
      <w:r>
        <w:t xml:space="preserve"> </w:t>
      </w:r>
      <m:oMath>
        <m:r>
          <m:t>100</m:t>
        </m:r>
        <m:r>
          <m:rPr>
            <m:sty m:val="p"/>
          </m:rPr>
          <m:t>−</m:t>
        </m:r>
        <m:r>
          <m:t>80</m:t>
        </m:r>
        <m:r>
          <m:rPr>
            <m:sty m:val="p"/>
          </m:rPr>
          <m:t>=</m:t>
        </m:r>
        <m:r>
          <m:t>20</m:t>
        </m:r>
      </m:oMath>
      <w:r>
        <w:t xml:space="preserve">.</w:t>
      </w:r>
    </w:p>
    <w:p>
      <w:pPr>
        <w:pStyle w:val="BlockText"/>
      </w:pPr>
      <w:r>
        <w:rPr>
          <w:b/>
          <w:bCs/>
        </w:rPr>
        <w:t xml:space="preserve">(c)</w:t>
      </w:r>
      <w:r>
        <w:t xml:space="preserve"> </w:t>
      </w:r>
      <w:r>
        <w:t xml:space="preserve">Com</w:t>
      </w:r>
      <w:r>
        <w:t xml:space="preserve"> </w:t>
      </w:r>
      <m:oMath>
        <m:r>
          <m:t>n</m:t>
        </m:r>
        <m:r>
          <m:rPr>
            <m:sty m:val="p"/>
          </m:rPr>
          <m:t>=</m:t>
        </m:r>
        <m:r>
          <m:t>3</m:t>
        </m:r>
      </m:oMath>
      <w:r>
        <w:t xml:space="preserve"> </w:t>
      </w:r>
      <w:r>
        <w:t xml:space="preserve">e</w:t>
      </w:r>
      <w:r>
        <w:t xml:space="preserve"> </w:t>
      </w:r>
      <m:oMath>
        <m:sSub>
          <m:e>
            <m:r>
              <m:t>v</m:t>
            </m:r>
          </m:e>
          <m:sub>
            <m:r>
              <m:t>i</m:t>
            </m:r>
          </m:sub>
        </m:sSub>
        <m:r>
          <m:rPr>
            <m:sty m:val="p"/>
          </m:rPr>
          <m:t>∼</m:t>
        </m:r>
        <m:r>
          <m:t>U</m:t>
        </m:r>
        <m:r>
          <m:rPr>
            <m:sty m:val="p"/>
          </m:rPr>
          <m:t>[</m:t>
        </m:r>
        <m:r>
          <m:t>0</m:t>
        </m:r>
        <m:r>
          <m:rPr>
            <m:sty m:val="p"/>
          </m:rPr>
          <m:t>,</m:t>
        </m:r>
        <m:r>
          <m:t>120</m:t>
        </m:r>
        <m:r>
          <m:rPr>
            <m:sty m:val="p"/>
          </m:rPr>
          <m:t>]</m:t>
        </m:r>
      </m:oMath>
      <w:r>
        <w:t xml:space="preserve">, a estratégia de equilíbrio simétrico no primeiro preço é:</w:t>
      </w:r>
    </w:p>
    <w:p>
      <w:pPr>
        <w:pStyle w:val="BlockText"/>
      </w:pPr>
      <w:r>
        <w:t xml:space="preserve">$$</w:t>
      </w:r>
    </w:p>
    <w:p>
      <w:pPr>
        <w:pStyle w:val="BlockText"/>
      </w:pPr>
      <w:r>
        <w:t xml:space="preserve">(v) =</w:t>
      </w:r>
      <w:r>
        <w:t xml:space="preserve"> </w:t>
      </w:r>
      <w:r>
        <w:t xml:space="preserve"> </w:t>
      </w:r>
      <w:r>
        <w:t xml:space="preserve">v =</w:t>
      </w:r>
      <w:r>
        <w:t xml:space="preserve"> </w:t>
      </w:r>
      <w:r>
        <w:t xml:space="preserve"> </w:t>
      </w:r>
      <w:r>
        <w:t xml:space="preserve">v</w:t>
      </w:r>
    </w:p>
    <w:p>
      <w:pPr>
        <w:pStyle w:val="BlockText"/>
      </w:pPr>
      <w:r>
        <w:t xml:space="preserve">$$</w:t>
      </w:r>
    </w:p>
    <w:p>
      <w:pPr>
        <w:pStyle w:val="BlockText"/>
      </w:pPr>
      <w:r>
        <w:t xml:space="preserve">Cada licitante oferta 2/3 de sua valoração (</w:t>
      </w:r>
      <w:r>
        <w:rPr>
          <w:i/>
          <w:iCs/>
        </w:rPr>
        <w:t xml:space="preserve">bid shading</w:t>
      </w:r>
      <w:r>
        <w:t xml:space="preserve">). Pelo Teorema da Equivalência de Receita, a receita esperada é a mesma nos dois formatos.</w:t>
      </w:r>
    </w:p>
    <w:p>
      <w:pPr>
        <w:pStyle w:val="BlockText"/>
      </w:pPr>
      <w:r>
        <w:rPr>
          <w:b/>
          <w:bCs/>
        </w:rPr>
        <w:t xml:space="preserve">Interpretação:</w:t>
      </w:r>
      <w:r>
        <w:t xml:space="preserve"> </w:t>
      </w:r>
      <w:r>
        <w:t xml:space="preserve">No primeiro preço, os licitantes</w:t>
      </w:r>
      <w:r>
        <w:t xml:space="preserve"> </w:t>
      </w:r>
      <w:r>
        <w:t xml:space="preserve">“escondem”</w:t>
      </w:r>
      <w:r>
        <w:t xml:space="preserve"> </w:t>
      </w:r>
      <w:r>
        <w:t xml:space="preserve">parte de sua valoração para obter lucro. No segundo preço, revelam tudo porque o preço pago não depende do próprio lance. O resultado é o mesmo em expectativa — mas os caminhos são diferentes.</w:t>
      </w:r>
    </w:p>
    <w:p>
      <w:pPr>
        <w:pStyle w:val="FirstParagraph"/>
      </w:pPr>
      <w:r>
        <w:t xml:space="preserve">[FIGURA INTERATIVA: /micro-book/graficos/cap19/webr-leiloes.html — versao interativa disponivel online]</w:t>
      </w:r>
    </w:p>
    <w:p>
      <w:pPr>
        <w:pStyle w:val="BodyText"/>
      </w:pPr>
      <w:r>
        <w:rPr>
          <w:b/>
          <w:bCs/>
        </w:rPr>
        <w:t xml:space="preserve">WebR 19.5 — Leilões: Vickrey vs. primeiro preço.</w:t>
      </w:r>
      <w:r>
        <w:t xml:space="preserve"> </w:t>
      </w:r>
      <w:r>
        <w:t xml:space="preserve">Compare estratégias, receitas e bid shading nos dois formatos. Verifique o Teorema da Equivalência de Receita com simulação Monte Carlo.</w:t>
      </w:r>
    </w:p>
    <w:p>
      <w:pPr>
        <w:pStyle w:val="BlockText"/>
      </w:pPr>
      <w:r>
        <w:rPr>
          <w:b/>
          <w:bCs/>
        </w:rPr>
        <w:t xml:space="preserve">[EXERCICIO RESOLVIDO] Exercício Resolvido 19.7 — Leilão de primeiro preço: estratégia de equilíbrio</w:t>
      </w:r>
    </w:p>
    <w:p>
      <w:pPr>
        <w:pStyle w:val="BlockText"/>
      </w:pPr>
      <w:r>
        <w:rPr>
          <w:b/>
          <w:bCs/>
        </w:rPr>
        <w:t xml:space="preserve">Enunciado:</w:t>
      </w:r>
      <w:r>
        <w:t xml:space="preserve"> </w:t>
      </w:r>
      <w:r>
        <w:t xml:space="preserve">Dois licitantes disputam um contrato de concessão em leilão de primeiro preço. Suas valorações são i.i.d.</w:t>
      </w:r>
      <w:r>
        <w:t xml:space="preserve"> </w:t>
      </w:r>
      <m:oMath>
        <m:r>
          <m:t>U</m:t>
        </m:r>
        <m:r>
          <m:rPr>
            <m:sty m:val="p"/>
          </m:rPr>
          <m:t>[</m:t>
        </m:r>
        <m:r>
          <m:t>0</m:t>
        </m:r>
        <m:r>
          <m:rPr>
            <m:sty m:val="p"/>
          </m:rPr>
          <m:t>,</m:t>
        </m:r>
        <m:r>
          <m:t>1</m:t>
        </m:r>
        <m:r>
          <m:rPr>
            <m:sty m:val="p"/>
          </m:rPr>
          <m:t>]</m:t>
        </m:r>
      </m:oMath>
      <w:r>
        <w:t xml:space="preserve">. (a) Derive a função de lance de equilíbrio simétrico. (b) Calcule a receita esperada do vendedor. (c) Verifique a equivalência de receita comparando com o leilão de Vickrey.</w:t>
      </w:r>
    </w:p>
    <w:p>
      <w:r>
        <w:pict>
          <v:rect style="width:0;height:1.5pt" o:hralign="center" o:hrstd="t" o:hr="t"/>
        </w:pict>
      </w:r>
    </w:p>
    <w:p>
      <w:pPr>
        <w:pStyle w:val="BlockText"/>
      </w:pPr>
      <w:r>
        <w:rPr>
          <w:b/>
          <w:bCs/>
        </w:rPr>
        <w:t xml:space="preserve">(a)</w:t>
      </w:r>
      <w:r>
        <w:t xml:space="preserve"> </w:t>
      </w:r>
      <w:r>
        <w:t xml:space="preserve">Com</w:t>
      </w:r>
      <w:r>
        <w:t xml:space="preserve"> </w:t>
      </w:r>
      <m:oMath>
        <m:r>
          <m:t>n</m:t>
        </m:r>
        <m:r>
          <m:rPr>
            <m:sty m:val="p"/>
          </m:rPr>
          <m:t>=</m:t>
        </m:r>
        <m:r>
          <m:t>2</m:t>
        </m:r>
      </m:oMath>
      <w:r>
        <w:t xml:space="preserve"> </w:t>
      </w:r>
      <w:r>
        <w:t xml:space="preserve">e</w:t>
      </w:r>
      <w:r>
        <w:t xml:space="preserve"> </w:t>
      </w:r>
      <m:oMath>
        <m:r>
          <m:t>v</m:t>
        </m:r>
        <m:r>
          <m:rPr>
            <m:sty m:val="p"/>
          </m:rPr>
          <m:t>∼</m:t>
        </m:r>
        <m:r>
          <m:t>U</m:t>
        </m:r>
        <m:r>
          <m:rPr>
            <m:sty m:val="p"/>
          </m:rPr>
          <m:t>[</m:t>
        </m:r>
        <m:r>
          <m:t>0</m:t>
        </m:r>
        <m:r>
          <m:rPr>
            <m:sty m:val="p"/>
          </m:rPr>
          <m:t>,</m:t>
        </m:r>
        <m:r>
          <m:t>1</m:t>
        </m:r>
        <m:r>
          <m:rPr>
            <m:sty m:val="p"/>
          </m:rPr>
          <m:t>]</m:t>
        </m:r>
      </m:oMath>
      <w:r>
        <w:t xml:space="preserve">, no equilíbrio simétrico</w:t>
      </w:r>
      <w:r>
        <w:t xml:space="preserve"> </w:t>
      </w:r>
      <m:oMath>
        <m:r>
          <m:t>β</m:t>
        </m:r>
        <m:r>
          <m:rPr>
            <m:sty m:val="p"/>
          </m:rPr>
          <m:t>(</m:t>
        </m:r>
        <m:r>
          <m:t>v</m:t>
        </m:r>
        <m:r>
          <m:rPr>
            <m:sty m:val="p"/>
          </m:rPr>
          <m:t>)</m:t>
        </m:r>
        <m:r>
          <m:rPr>
            <m:sty m:val="p"/>
          </m:rPr>
          <m:t>=</m:t>
        </m:r>
        <m:f>
          <m:fPr>
            <m:type m:val="bar"/>
          </m:fPr>
          <m:num>
            <m:r>
              <m:t>n</m:t>
            </m:r>
            <m:r>
              <m:rPr>
                <m:sty m:val="p"/>
              </m:rPr>
              <m:t>−</m:t>
            </m:r>
            <m:r>
              <m:t>1</m:t>
            </m:r>
          </m:num>
          <m:den>
            <m:r>
              <m:t>n</m:t>
            </m:r>
          </m:den>
        </m:f>
        <m:r>
          <m:t>v</m:t>
        </m:r>
        <m:r>
          <m:rPr>
            <m:sty m:val="p"/>
          </m:rPr>
          <m:t>=</m:t>
        </m:r>
        <m:f>
          <m:fPr>
            <m:type m:val="bar"/>
          </m:fPr>
          <m:num>
            <m:r>
              <m:t>1</m:t>
            </m:r>
          </m:num>
          <m:den>
            <m:r>
              <m:t>2</m:t>
            </m:r>
          </m:den>
        </m:f>
        <m:r>
          <m:t>v</m:t>
        </m:r>
      </m:oMath>
      <w:r>
        <w:t xml:space="preserve">.</w:t>
      </w:r>
    </w:p>
    <w:p>
      <w:pPr>
        <w:pStyle w:val="BlockText"/>
      </w:pPr>
      <w:r>
        <w:t xml:space="preserve">Derivação: cada licitante maximiza</w:t>
      </w:r>
      <w:r>
        <w:t xml:space="preserve"> </w:t>
      </w:r>
      <m:oMath>
        <m:r>
          <m:rPr>
            <m:sty m:val="p"/>
          </m:rPr>
          <m:t>(</m:t>
        </m:r>
        <m:r>
          <m:t>v</m:t>
        </m:r>
        <m:r>
          <m:rPr>
            <m:sty m:val="p"/>
          </m:rPr>
          <m:t>−</m:t>
        </m:r>
        <m:r>
          <m:t>b</m:t>
        </m:r>
        <m:r>
          <m:rPr>
            <m:sty m:val="p"/>
          </m:rPr>
          <m:t>)</m:t>
        </m:r>
        <m:r>
          <m:rPr>
            <m:sty m:val="p"/>
          </m:rPr>
          <m:t>⋅</m:t>
        </m:r>
        <m:r>
          <m:rPr>
            <m:sty m:val="p"/>
          </m:rPr>
          <m:t>Pr</m:t>
        </m:r>
        <m:r>
          <m:rPr>
            <m:sty m:val="p"/>
          </m:rPr>
          <m:t>(</m:t>
        </m:r>
        <m:r>
          <m:rPr>
            <m:nor/>
            <m:sty m:val="p"/>
          </m:rPr>
          <m:t>vencer</m:t>
        </m:r>
        <m:r>
          <m:rPr>
            <m:sty m:val="p"/>
          </m:rPr>
          <m:t>)</m:t>
        </m:r>
      </m:oMath>
      <w:r>
        <w:t xml:space="preserve">. Com estratégia simétrica</w:t>
      </w:r>
      <w:r>
        <w:t xml:space="preserve"> </w:t>
      </w:r>
      <m:oMath>
        <m:r>
          <m:t>β</m:t>
        </m:r>
        <m:r>
          <m:rPr>
            <m:sty m:val="p"/>
          </m:rPr>
          <m:t>(</m:t>
        </m:r>
        <m:r>
          <m:t>v</m:t>
        </m:r>
        <m:r>
          <m:rPr>
            <m:sty m:val="p"/>
          </m:rPr>
          <m:t>)</m:t>
        </m:r>
        <m:r>
          <m:rPr>
            <m:sty m:val="p"/>
          </m:rPr>
          <m:t>=</m:t>
        </m:r>
        <m:r>
          <m:t>α</m:t>
        </m:r>
        <m:r>
          <m:t>v</m:t>
        </m:r>
      </m:oMath>
      <w:r>
        <w:t xml:space="preserve">, a probabilidade de vencer com lance</w:t>
      </w:r>
      <w:r>
        <w:t xml:space="preserve"> </w:t>
      </w:r>
      <m:oMath>
        <m:r>
          <m:t>b</m:t>
        </m:r>
      </m:oMath>
      <w:r>
        <w:t xml:space="preserve"> </w:t>
      </w:r>
      <w:r>
        <w:t xml:space="preserve">é</w:t>
      </w:r>
      <w:r>
        <w:t xml:space="preserve"> </w:t>
      </w:r>
      <m:oMath>
        <m:r>
          <m:rPr>
            <m:sty m:val="p"/>
          </m:rPr>
          <m:t>Pr</m:t>
        </m:r>
        <m:r>
          <m:rPr>
            <m:sty m:val="p"/>
          </m:rPr>
          <m:t>(</m:t>
        </m:r>
        <m:sSub>
          <m:e>
            <m:r>
              <m:t>v</m:t>
            </m:r>
          </m:e>
          <m:sub>
            <m:r>
              <m:t>j</m:t>
            </m:r>
          </m:sub>
        </m:sSub>
        <m:r>
          <m:rPr>
            <m:sty m:val="p"/>
          </m:rPr>
          <m:t>&lt;</m:t>
        </m:r>
        <m:r>
          <m:t>b</m:t>
        </m:r>
        <m:r>
          <m:rPr>
            <m:sty m:val="p"/>
          </m:rPr>
          <m:t>/</m:t>
        </m:r>
        <m:r>
          <m:t>α</m:t>
        </m:r>
        <m:r>
          <m:rPr>
            <m:sty m:val="p"/>
          </m:rPr>
          <m:t>)</m:t>
        </m:r>
        <m:r>
          <m:rPr>
            <m:sty m:val="p"/>
          </m:rPr>
          <m:t>=</m:t>
        </m:r>
        <m:r>
          <m:t>b</m:t>
        </m:r>
        <m:r>
          <m:rPr>
            <m:sty m:val="p"/>
          </m:rPr>
          <m:t>/</m:t>
        </m:r>
        <m:r>
          <m:t>α</m:t>
        </m:r>
      </m:oMath>
      <w:r>
        <w:t xml:space="preserve">. Maximizando</w:t>
      </w:r>
      <w:r>
        <w:t xml:space="preserve"> </w:t>
      </w:r>
      <m:oMath>
        <m:r>
          <m:rPr>
            <m:sty m:val="p"/>
          </m:rPr>
          <m:t>(</m:t>
        </m:r>
        <m:r>
          <m:t>v</m:t>
        </m:r>
        <m:r>
          <m:rPr>
            <m:sty m:val="p"/>
          </m:rPr>
          <m:t>−</m:t>
        </m:r>
        <m:r>
          <m:t>b</m:t>
        </m:r>
        <m:r>
          <m:rPr>
            <m:sty m:val="p"/>
          </m:rPr>
          <m:t>)</m:t>
        </m:r>
        <m:r>
          <m:rPr>
            <m:sty m:val="p"/>
          </m:rPr>
          <m:t>⋅</m:t>
        </m:r>
        <m:r>
          <m:t>b</m:t>
        </m:r>
        <m:r>
          <m:rPr>
            <m:sty m:val="p"/>
          </m:rPr>
          <m:t>/</m:t>
        </m:r>
        <m:r>
          <m:t>α</m:t>
        </m:r>
      </m:oMath>
      <w:r>
        <w:t xml:space="preserve">: CPO</w:t>
      </w:r>
      <w:r>
        <w:t xml:space="preserve"> </w:t>
      </w:r>
      <m:oMath>
        <m:r>
          <m:rPr>
            <m:sty m:val="p"/>
          </m:rPr>
          <m:t>⇒</m:t>
        </m:r>
        <m:r>
          <m:t>v</m:t>
        </m:r>
        <m:r>
          <m:rPr>
            <m:sty m:val="p"/>
          </m:rPr>
          <m:t>−</m:t>
        </m:r>
        <m:r>
          <m:t>2</m:t>
        </m:r>
        <m:r>
          <m:t>b</m:t>
        </m:r>
        <m:r>
          <m:rPr>
            <m:sty m:val="p"/>
          </m:rPr>
          <m:t>=</m:t>
        </m:r>
        <m:r>
          <m:t>0</m:t>
        </m:r>
        <m:r>
          <m:rPr>
            <m:sty m:val="p"/>
          </m:rPr>
          <m:t>⇒</m:t>
        </m:r>
        <m:r>
          <m:t>b</m:t>
        </m:r>
        <m:r>
          <m:rPr>
            <m:sty m:val="p"/>
          </m:rPr>
          <m:t>=</m:t>
        </m:r>
        <m:r>
          <m:t>v</m:t>
        </m:r>
        <m:r>
          <m:rPr>
            <m:sty m:val="p"/>
          </m:rPr>
          <m:t>/</m:t>
        </m:r>
        <m:r>
          <m:t>2</m:t>
        </m:r>
      </m:oMath>
      <w:r>
        <w:t xml:space="preserve">. Logo</w:t>
      </w:r>
      <w:r>
        <w:t xml:space="preserve"> </w:t>
      </w:r>
      <m:oMath>
        <m:r>
          <m:t>α</m:t>
        </m:r>
        <m:r>
          <m:rPr>
            <m:sty m:val="p"/>
          </m:rPr>
          <m:t>=</m:t>
        </m:r>
        <m:r>
          <m:t>1</m:t>
        </m:r>
        <m:r>
          <m:rPr>
            <m:sty m:val="p"/>
          </m:rPr>
          <m:t>/</m:t>
        </m:r>
        <m:r>
          <m:t>2</m:t>
        </m:r>
      </m:oMath>
      <w:r>
        <w:t xml:space="preserve">. ✓</w:t>
      </w:r>
    </w:p>
    <w:p>
      <w:pPr>
        <w:pStyle w:val="BlockText"/>
      </w:pPr>
      <w:r>
        <w:rPr>
          <w:b/>
          <w:bCs/>
        </w:rPr>
        <w:t xml:space="preserve">(b)</w:t>
      </w:r>
      <w:r>
        <w:t xml:space="preserve"> </w:t>
      </w:r>
      <w:r>
        <w:t xml:space="preserve">Receita = lance do vencedor =</w:t>
      </w:r>
      <w:r>
        <w:t xml:space="preserve"> </w:t>
      </w:r>
      <m:oMath>
        <m:f>
          <m:fPr>
            <m:type m:val="bar"/>
          </m:fPr>
          <m:num>
            <m:r>
              <m:t>1</m:t>
            </m:r>
          </m:num>
          <m:den>
            <m:r>
              <m:t>2</m:t>
            </m:r>
          </m:den>
        </m:f>
        <m:r>
          <m:rPr>
            <m:sty m:val="p"/>
          </m:rPr>
          <m:t>max</m:t>
        </m:r>
        <m:r>
          <m:rPr>
            <m:sty m:val="p"/>
          </m:rPr>
          <m:t>(</m:t>
        </m:r>
        <m:sSub>
          <m:e>
            <m:r>
              <m:t>v</m:t>
            </m:r>
          </m:e>
          <m:sub>
            <m:r>
              <m:t>1</m:t>
            </m:r>
          </m:sub>
        </m:sSub>
        <m:r>
          <m:rPr>
            <m:sty m:val="p"/>
          </m:rPr>
          <m:t>,</m:t>
        </m:r>
        <m:sSub>
          <m:e>
            <m:r>
              <m:t>v</m:t>
            </m:r>
          </m:e>
          <m:sub>
            <m:r>
              <m:t>2</m:t>
            </m:r>
          </m:sub>
        </m:sSub>
        <m:r>
          <m:rPr>
            <m:sty m:val="p"/>
          </m:rPr>
          <m:t>)</m:t>
        </m:r>
      </m:oMath>
      <w:r>
        <w:t xml:space="preserve">. Com</w:t>
      </w:r>
      <w:r>
        <w:t xml:space="preserve"> </w:t>
      </w:r>
      <m:oMath>
        <m:r>
          <m:t>n</m:t>
        </m:r>
        <m:r>
          <m:rPr>
            <m:sty m:val="p"/>
          </m:rPr>
          <m:t>=</m:t>
        </m:r>
        <m:r>
          <m:t>2</m:t>
        </m:r>
      </m:oMath>
      <w:r>
        <w:t xml:space="preserve"> </w:t>
      </w:r>
      <w:r>
        <w:t xml:space="preserve">e</w:t>
      </w:r>
      <w:r>
        <w:t xml:space="preserve"> </w:t>
      </w:r>
      <m:oMath>
        <m:r>
          <m:t>U</m:t>
        </m:r>
        <m:r>
          <m:rPr>
            <m:sty m:val="p"/>
          </m:rPr>
          <m:t>[</m:t>
        </m:r>
        <m:r>
          <m:t>0</m:t>
        </m:r>
        <m:r>
          <m:rPr>
            <m:sty m:val="p"/>
          </m:rPr>
          <m:t>,</m:t>
        </m:r>
        <m:r>
          <m:t>1</m:t>
        </m:r>
        <m:r>
          <m:rPr>
            <m:sty m:val="p"/>
          </m:rPr>
          <m:t>]</m:t>
        </m:r>
      </m:oMath>
      <w:r>
        <w:t xml:space="preserve">:</w:t>
      </w:r>
      <w:r>
        <w:t xml:space="preserve"> </w:t>
      </w:r>
      <m:oMath>
        <m:r>
          <m:rPr>
            <m:scr m:val="double-struck"/>
            <m:sty m:val="p"/>
          </m:rPr>
          <m:t>E</m:t>
        </m:r>
        <m:r>
          <m:rPr>
            <m:sty m:val="p"/>
          </m:rPr>
          <m:t>[</m:t>
        </m:r>
        <m:r>
          <m:rPr>
            <m:sty m:val="p"/>
          </m:rPr>
          <m:t>max</m:t>
        </m:r>
        <m:r>
          <m:rPr>
            <m:sty m:val="p"/>
          </m:rPr>
          <m:t>]</m:t>
        </m:r>
        <m:r>
          <m:rPr>
            <m:sty m:val="p"/>
          </m:rPr>
          <m:t>=</m:t>
        </m:r>
        <m:f>
          <m:fPr>
            <m:type m:val="bar"/>
          </m:fPr>
          <m:num>
            <m:r>
              <m:t>n</m:t>
            </m:r>
          </m:num>
          <m:den>
            <m:r>
              <m:t>n</m:t>
            </m:r>
            <m:r>
              <m:rPr>
                <m:sty m:val="p"/>
              </m:rPr>
              <m:t>+</m:t>
            </m:r>
            <m:r>
              <m:t>1</m:t>
            </m:r>
          </m:den>
        </m:f>
        <m:r>
          <m:rPr>
            <m:sty m:val="p"/>
          </m:rPr>
          <m:t>=</m:t>
        </m:r>
        <m:f>
          <m:fPr>
            <m:type m:val="bar"/>
          </m:fPr>
          <m:num>
            <m:r>
              <m:t>2</m:t>
            </m:r>
          </m:num>
          <m:den>
            <m:r>
              <m:t>3</m:t>
            </m:r>
          </m:den>
        </m:f>
      </m:oMath>
      <w:r>
        <w:t xml:space="preserve">.</w:t>
      </w:r>
    </w:p>
    <w:p>
      <w:pPr>
        <w:pStyle w:val="BlockText"/>
      </w:pPr>
      <w:r>
        <w:t xml:space="preserve">Receita esperada =</w:t>
      </w:r>
      <w:r>
        <w:t xml:space="preserve"> </w:t>
      </w:r>
      <m:oMath>
        <m:f>
          <m:fPr>
            <m:type m:val="bar"/>
          </m:fPr>
          <m:num>
            <m:r>
              <m:t>1</m:t>
            </m:r>
          </m:num>
          <m:den>
            <m:r>
              <m:t>2</m:t>
            </m:r>
          </m:den>
        </m:f>
        <m:r>
          <m:rPr>
            <m:sty m:val="p"/>
          </m:rPr>
          <m:t>×</m:t>
        </m:r>
        <m:f>
          <m:fPr>
            <m:type m:val="bar"/>
          </m:fPr>
          <m:num>
            <m:r>
              <m:t>2</m:t>
            </m:r>
          </m:num>
          <m:den>
            <m:r>
              <m:t>3</m:t>
            </m:r>
          </m:den>
        </m:f>
        <m:r>
          <m:rPr>
            <m:sty m:val="p"/>
          </m:rPr>
          <m:t>=</m:t>
        </m:r>
        <m:f>
          <m:fPr>
            <m:type m:val="bar"/>
          </m:fPr>
          <m:num>
            <m:r>
              <m:t>1</m:t>
            </m:r>
          </m:num>
          <m:den>
            <m:r>
              <m:t>3</m:t>
            </m:r>
          </m:den>
        </m:f>
      </m:oMath>
      <w:r>
        <w:t xml:space="preserve">.</w:t>
      </w:r>
    </w:p>
    <w:p>
      <w:pPr>
        <w:pStyle w:val="BlockText"/>
      </w:pPr>
      <w:r>
        <w:rPr>
          <w:b/>
          <w:bCs/>
        </w:rPr>
        <w:t xml:space="preserve">(c)</w:t>
      </w:r>
      <w:r>
        <w:t xml:space="preserve"> </w:t>
      </w:r>
      <w:r>
        <w:t xml:space="preserve">No Vickrey: receita = segundo maior valor =</w:t>
      </w:r>
      <w:r>
        <w:t xml:space="preserve"> </w:t>
      </w:r>
      <m:oMath>
        <m:r>
          <m:rPr>
            <m:sty m:val="p"/>
          </m:rPr>
          <m:t>min</m:t>
        </m:r>
        <m:r>
          <m:rPr>
            <m:sty m:val="p"/>
          </m:rPr>
          <m:t>(</m:t>
        </m:r>
        <m:sSub>
          <m:e>
            <m:r>
              <m:t>v</m:t>
            </m:r>
          </m:e>
          <m:sub>
            <m:r>
              <m:t>1</m:t>
            </m:r>
          </m:sub>
        </m:sSub>
        <m:r>
          <m:rPr>
            <m:sty m:val="p"/>
          </m:rPr>
          <m:t>,</m:t>
        </m:r>
        <m:sSub>
          <m:e>
            <m:r>
              <m:t>v</m:t>
            </m:r>
          </m:e>
          <m:sub>
            <m:r>
              <m:t>2</m:t>
            </m:r>
          </m:sub>
        </m:sSub>
        <m:r>
          <m:rPr>
            <m:sty m:val="p"/>
          </m:rPr>
          <m:t>)</m:t>
        </m:r>
      </m:oMath>
      <w:r>
        <w:t xml:space="preserve">.</w:t>
      </w:r>
      <w:r>
        <w:t xml:space="preserve"> </w:t>
      </w:r>
      <m:oMath>
        <m:r>
          <m:rPr>
            <m:scr m:val="double-struck"/>
            <m:sty m:val="p"/>
          </m:rPr>
          <m:t>E</m:t>
        </m:r>
        <m:r>
          <m:rPr>
            <m:sty m:val="p"/>
          </m:rPr>
          <m:t>[</m:t>
        </m:r>
        <m:r>
          <m:rPr>
            <m:sty m:val="p"/>
          </m:rPr>
          <m:t>min</m:t>
        </m:r>
        <m:r>
          <m:rPr>
            <m:sty m:val="p"/>
          </m:rPr>
          <m:t>]</m:t>
        </m:r>
        <m:r>
          <m:rPr>
            <m:sty m:val="p"/>
          </m:rPr>
          <m:t>=</m:t>
        </m:r>
        <m:f>
          <m:fPr>
            <m:type m:val="bar"/>
          </m:fPr>
          <m:num>
            <m:r>
              <m:t>1</m:t>
            </m:r>
          </m:num>
          <m:den>
            <m:r>
              <m:t>n</m:t>
            </m:r>
            <m:r>
              <m:rPr>
                <m:sty m:val="p"/>
              </m:rPr>
              <m:t>+</m:t>
            </m:r>
            <m:r>
              <m:t>1</m:t>
            </m:r>
          </m:den>
        </m:f>
        <m:r>
          <m:rPr>
            <m:sty m:val="p"/>
          </m:rPr>
          <m:t>=</m:t>
        </m:r>
        <m:f>
          <m:fPr>
            <m:type m:val="bar"/>
          </m:fPr>
          <m:num>
            <m:r>
              <m:t>1</m:t>
            </m:r>
          </m:num>
          <m:den>
            <m:r>
              <m:t>3</m:t>
            </m:r>
          </m:den>
        </m:f>
      </m:oMath>
      <w:r>
        <w:t xml:space="preserve">. ✓ Equivalência verificada.</w:t>
      </w:r>
    </w:p>
    <w:p>
      <w:r>
        <w:pict>
          <v:rect style="width:0;height:1.5pt" o:hralign="center" o:hrstd="t" o:hr="t"/>
        </w:pict>
      </w:r>
    </w:p>
    <w:bookmarkEnd w:id="1210"/>
    <w:bookmarkEnd w:id="1211"/>
    <w:bookmarkStart w:id="1212" w:name="X837307a9a2ad4d08ca61a4f1bd848ba3d6890fc"/>
    <w:p>
      <w:pPr>
        <w:pStyle w:val="Heading3"/>
      </w:pPr>
      <w:r>
        <w:t xml:space="preserve">19.8 O Mapa da Ignorância: Taxonomia da Informação Assimétrica</w:t>
      </w:r>
    </w:p>
    <w:p>
      <w:pPr>
        <w:pStyle w:val="FirstParagraph"/>
      </w:pPr>
      <w:r>
        <w:t xml:space="preserve">Limões, seguros, diplomas, leilões — percorremos um desfile de problemas que, à primeira vista, parecem ter pouco em comum. Mas todos compartilham a mesma raiz: alguém sabe algo que o outro não sabe, e essa assimetria distorce o resultado. Para consolidar a compreensão desse rico arcabouço conceitual, é útil organizá-los em uma taxonomia que destaque as dimensões essenciais: o timing da assimetria (pré ou pós-contratual), a natureza da informação oculta (ação ou tipo) e os mecanismos disponíveis para atenuá-la.</w:t>
      </w:r>
    </w:p>
    <w:p>
      <w:pPr>
        <w:pStyle w:val="BodyText"/>
      </w:pPr>
      <w:r>
        <w:t xml:space="preserve">Note que os problemas discutidos neste capítulo não são mutuamente exclusivos — na prática, muitas relações econômicas envolvem</w:t>
      </w:r>
      <w:r>
        <w:t xml:space="preserve"> </w:t>
      </w:r>
      <w:r>
        <w:rPr>
          <w:i/>
          <w:iCs/>
        </w:rPr>
        <w:t xml:space="preserve">simultaneamente</w:t>
      </w:r>
      <w:r>
        <w:t xml:space="preserve"> </w:t>
      </w:r>
      <w:r>
        <w:t xml:space="preserve">risco moral e seleção adversa. Um mercado de seguros, por exemplo, enfrenta seleção adversa (clientes de alto risco procuram mais cobertura) e risco moral (segurados protegidos se cuidam menos). Um contrato de trabalho lida com seleção adversa (o empregador não conhece a produtividade do candidato na contratação) e risco moral (não observa o esforço após a contratação). A interação entre os dois problemas gera complexidade adicional e é uma área ativa de pesquisa.</w:t>
      </w:r>
    </w:p>
    <w:p>
      <w:pPr>
        <w:pStyle w:val="BodyText"/>
      </w:pPr>
      <w:r>
        <w:t xml:space="preserve">A</w:t>
      </w:r>
      <w:r>
        <w:t xml:space="preserve"> </w:t>
      </w:r>
      <w:hyperlink w:anchor="tabela-19-3">
        <w:r>
          <w:rPr>
            <w:rStyle w:val="Hyperlink"/>
          </w:rPr>
          <w:t xml:space="preserve">Tabela 19.3</w:t>
        </w:r>
      </w:hyperlink>
      <w:r>
        <w:t xml:space="preserve"> </w:t>
      </w:r>
      <w:r>
        <w:t xml:space="preserve">resume os principais tipos de problemas de informação assimétrica.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Tipo de Assimetria</w:t>
            </w:r>
          </w:p>
        </w:tc>
        <w:tc>
          <w:tcPr/>
          <w:p>
            <w:pPr>
              <w:pStyle w:val="Compact"/>
            </w:pPr>
            <w:r>
              <w:t xml:space="preserve">Timing</w:t>
            </w:r>
          </w:p>
        </w:tc>
        <w:tc>
          <w:tcPr/>
          <w:p>
            <w:pPr>
              <w:pStyle w:val="Compact"/>
            </w:pPr>
            <w:r>
              <w:t xml:space="preserve">O que é oculto</w:t>
            </w:r>
          </w:p>
        </w:tc>
        <w:tc>
          <w:tcPr/>
          <w:p>
            <w:pPr>
              <w:pStyle w:val="Compact"/>
            </w:pPr>
            <w:r>
              <w:t xml:space="preserve">Exemplos</w:t>
            </w:r>
          </w:p>
        </w:tc>
        <w:tc>
          <w:tcPr/>
          <w:p>
            <w:pPr>
              <w:pStyle w:val="Compact"/>
            </w:pPr>
            <w:r>
              <w:t xml:space="preserve">Soluções de Mercado</w:t>
            </w:r>
          </w:p>
        </w:tc>
      </w:tr>
      <w:tr>
        <w:tc>
          <w:tcPr/>
          <w:p>
            <w:pPr>
              <w:pStyle w:val="Compact"/>
            </w:pPr>
            <w:r>
              <w:rPr>
                <w:b/>
                <w:bCs/>
              </w:rPr>
              <w:t xml:space="preserve">Risco moral</w:t>
            </w:r>
          </w:p>
        </w:tc>
        <w:tc>
          <w:tcPr/>
          <w:p>
            <w:pPr>
              <w:pStyle w:val="Compact"/>
            </w:pPr>
            <w:r>
              <w:t xml:space="preserve">Pós-contratual</w:t>
            </w:r>
          </w:p>
        </w:tc>
        <w:tc>
          <w:tcPr/>
          <w:p>
            <w:pPr>
              <w:pStyle w:val="Compact"/>
            </w:pPr>
            <w:r>
              <w:t xml:space="preserve">Ação do agente</w:t>
            </w:r>
          </w:p>
        </w:tc>
        <w:tc>
          <w:tcPr/>
          <w:p>
            <w:pPr>
              <w:pStyle w:val="Compact"/>
            </w:pPr>
            <w:r>
              <w:t xml:space="preserve">Seguro e prevenção; empregador e esforço; credor e devedor</w:t>
            </w:r>
          </w:p>
        </w:tc>
        <w:tc>
          <w:tcPr/>
          <w:p>
            <w:pPr>
              <w:pStyle w:val="Compact"/>
            </w:pPr>
            <w:r>
              <w:t xml:space="preserve">Contratos de incentivo, monitoramento, franquias, bônus</w:t>
            </w:r>
          </w:p>
        </w:tc>
      </w:tr>
      <w:tr>
        <w:tc>
          <w:tcPr/>
          <w:p>
            <w:pPr>
              <w:pStyle w:val="Compact"/>
            </w:pPr>
            <w:r>
              <w:rPr>
                <w:b/>
                <w:bCs/>
              </w:rPr>
              <w:t xml:space="preserve">Seleção adversa</w:t>
            </w:r>
          </w:p>
        </w:tc>
        <w:tc>
          <w:tcPr/>
          <w:p>
            <w:pPr>
              <w:pStyle w:val="Compact"/>
            </w:pPr>
            <w:r>
              <w:t xml:space="preserve">Pré-contratual</w:t>
            </w:r>
          </w:p>
        </w:tc>
        <w:tc>
          <w:tcPr/>
          <w:p>
            <w:pPr>
              <w:pStyle w:val="Compact"/>
            </w:pPr>
            <w:r>
              <w:t xml:space="preserve">Tipo/característica do agente</w:t>
            </w:r>
          </w:p>
        </w:tc>
        <w:tc>
          <w:tcPr/>
          <w:p>
            <w:pPr>
              <w:pStyle w:val="Compact"/>
            </w:pPr>
            <w:r>
              <w:t xml:space="preserve">Carros usados; seguros (risco); crédito (qualidade)</w:t>
            </w:r>
          </w:p>
        </w:tc>
        <w:tc>
          <w:tcPr/>
          <w:p>
            <w:pPr>
              <w:pStyle w:val="Compact"/>
            </w:pPr>
            <w:r>
              <w:t xml:space="preserve">Menu de contratos, triagem, sinalização, garantias</w:t>
            </w:r>
          </w:p>
        </w:tc>
      </w:tr>
      <w:tr>
        <w:tc>
          <w:tcPr/>
          <w:p>
            <w:pPr>
              <w:pStyle w:val="Compact"/>
            </w:pPr>
            <w:r>
              <w:rPr>
                <w:b/>
                <w:bCs/>
              </w:rPr>
              <w:t xml:space="preserve">Sinalização</w:t>
            </w:r>
          </w:p>
        </w:tc>
        <w:tc>
          <w:tcPr/>
          <w:p>
            <w:pPr>
              <w:pStyle w:val="Compact"/>
            </w:pPr>
            <w:r>
              <w:t xml:space="preserve">Pré-contratual</w:t>
            </w:r>
          </w:p>
        </w:tc>
        <w:tc>
          <w:tcPr/>
          <w:p>
            <w:pPr>
              <w:pStyle w:val="Compact"/>
            </w:pPr>
            <w:r>
              <w:t xml:space="preserve">Tipo (revelado pela ação)</w:t>
            </w:r>
          </w:p>
        </w:tc>
        <w:tc>
          <w:tcPr/>
          <w:p>
            <w:pPr>
              <w:pStyle w:val="Compact"/>
            </w:pPr>
            <w:r>
              <w:t xml:space="preserve">Educação; garantias; dividendos</w:t>
            </w:r>
          </w:p>
        </w:tc>
        <w:tc>
          <w:tcPr/>
          <w:p>
            <w:pPr>
              <w:pStyle w:val="Compact"/>
            </w:pPr>
            <w:r>
              <w:t xml:space="preserve">Ações custosas com custo diferencial entre tipos</w:t>
            </w:r>
          </w:p>
        </w:tc>
      </w:tr>
      <w:tr>
        <w:tc>
          <w:tcPr/>
          <w:p>
            <w:pPr>
              <w:pStyle w:val="Compact"/>
            </w:pPr>
            <w:r>
              <w:rPr>
                <w:b/>
                <w:bCs/>
              </w:rPr>
              <w:t xml:space="preserve">Triagem (screening)</w:t>
            </w:r>
          </w:p>
        </w:tc>
        <w:tc>
          <w:tcPr/>
          <w:p>
            <w:pPr>
              <w:pStyle w:val="Compact"/>
            </w:pPr>
            <w:r>
              <w:t xml:space="preserve">Pré-contratual</w:t>
            </w:r>
          </w:p>
        </w:tc>
        <w:tc>
          <w:tcPr/>
          <w:p>
            <w:pPr>
              <w:pStyle w:val="Compact"/>
            </w:pPr>
            <w:r>
              <w:t xml:space="preserve">Tipo (revelado pela escolha)</w:t>
            </w:r>
          </w:p>
        </w:tc>
        <w:tc>
          <w:tcPr/>
          <w:p>
            <w:pPr>
              <w:pStyle w:val="Compact"/>
            </w:pPr>
            <w:r>
              <w:t xml:space="preserve">Classes tarifárias; menus de planos; versões de software</w:t>
            </w:r>
          </w:p>
        </w:tc>
        <w:tc>
          <w:tcPr/>
          <w:p>
            <w:pPr>
              <w:pStyle w:val="Compact"/>
            </w:pPr>
            <w:r>
              <w:t xml:space="preserve">Menus autosseletivos, discriminação de 2.º grau</w:t>
            </w:r>
          </w:p>
        </w:tc>
      </w:tr>
      <w:tr>
        <w:tc>
          <w:tcPr/>
          <w:p>
            <w:pPr>
              <w:pStyle w:val="Compact"/>
            </w:pPr>
            <w:r>
              <w:rPr>
                <w:b/>
                <w:bCs/>
              </w:rPr>
              <w:t xml:space="preserve">Leilões</w:t>
            </w:r>
          </w:p>
        </w:tc>
        <w:tc>
          <w:tcPr/>
          <w:p>
            <w:pPr>
              <w:pStyle w:val="Compact"/>
            </w:pPr>
            <w:r>
              <w:t xml:space="preserve">Pré-contratual</w:t>
            </w:r>
          </w:p>
        </w:tc>
        <w:tc>
          <w:tcPr/>
          <w:p>
            <w:pPr>
              <w:pStyle w:val="Compact"/>
            </w:pPr>
            <w:r>
              <w:t xml:space="preserve">Valoração dos licitantes</w:t>
            </w:r>
          </w:p>
        </w:tc>
        <w:tc>
          <w:tcPr/>
          <w:p>
            <w:pPr>
              <w:pStyle w:val="Compact"/>
            </w:pPr>
            <w:r>
              <w:t xml:space="preserve">Arte, espectro, títulos, concessões</w:t>
            </w:r>
          </w:p>
        </w:tc>
        <w:tc>
          <w:tcPr/>
          <w:p>
            <w:pPr>
              <w:pStyle w:val="Compact"/>
            </w:pPr>
            <w:r>
              <w:t xml:space="preserve">Formatos de leilão, preço de reserva</w:t>
            </w:r>
          </w:p>
        </w:tc>
      </w:tr>
    </w:tbl>
    <w:p>
      <w:pPr>
        <w:pStyle w:val="BodyText"/>
      </w:pPr>
      <w:r>
        <w:rPr>
          <w:b/>
          <w:bCs/>
        </w:rPr>
        <w:t xml:space="preserve">Tabela 19.3 — Taxonomia dos problemas de informação assimétrica.</w:t>
      </w:r>
    </w:p>
    <w:p>
      <w:pPr>
        <w:pStyle w:val="BlockText"/>
      </w:pPr>
      <w:r>
        <w:rPr>
          <w:b/>
          <w:bCs/>
        </w:rPr>
        <w:t xml:space="preserve">[BOX BRASIL] Box Brasil 19.1 — Crédito Consignado e Seleção Adversa</w:t>
      </w:r>
    </w:p>
    <w:p>
      <w:pPr>
        <w:pStyle w:val="BlockText"/>
      </w:pPr>
      <w:r>
        <w:t xml:space="preserve">O</w:t>
      </w:r>
      <w:r>
        <w:t xml:space="preserve"> </w:t>
      </w:r>
      <w:r>
        <w:rPr>
          <w:b/>
          <w:bCs/>
        </w:rPr>
        <w:t xml:space="preserve">crédito consignado</w:t>
      </w:r>
      <w:r>
        <w:t xml:space="preserve"> </w:t>
      </w:r>
      <w:r>
        <w:t xml:space="preserve">— modalidade em que as parcelas são descontadas diretamente da folha de pagamento ou do benefício previdenciário — é um exemplo notável de como um desenho contratual pode reduzir drasticamente os problemas de informação assimétrica no mercado de crédito.</w:t>
      </w:r>
    </w:p>
    <w:p>
      <w:pPr>
        <w:pStyle w:val="BlockText"/>
      </w:pPr>
      <w:r>
        <w:rPr>
          <w:b/>
          <w:bCs/>
        </w:rPr>
        <w:t xml:space="preserve">O problema:</w:t>
      </w:r>
      <w:r>
        <w:t xml:space="preserve"> </w:t>
      </w:r>
      <w:r>
        <w:t xml:space="preserve">No crédito pessoal convencional, o banco não observa perfeitamente o risco de inadimplência. Como resultado, cobra taxas que refletem o risco médio. Bons pagadores consideram a taxa elevada e desistem — seleção adversa clássica.</w:t>
      </w:r>
    </w:p>
    <w:p>
      <w:pPr>
        <w:pStyle w:val="BlockText"/>
      </w:pPr>
      <w:r>
        <w:rPr>
          <w:b/>
          <w:bCs/>
        </w:rPr>
        <w:t xml:space="preserve">O mecanismo:</w:t>
      </w:r>
      <w:r>
        <w:t xml:space="preserve"> </w:t>
      </w:r>
      <w:r>
        <w:t xml:space="preserve">A vinculação do pagamento à folha atua em dois canais: (1)</w:t>
      </w:r>
      <w:r>
        <w:t xml:space="preserve"> </w:t>
      </w:r>
      <w:r>
        <w:rPr>
          <w:b/>
          <w:bCs/>
        </w:rPr>
        <w:t xml:space="preserve">redução do risco moral</w:t>
      </w:r>
      <w:r>
        <w:t xml:space="preserve"> </w:t>
      </w:r>
      <w:r>
        <w:t xml:space="preserve">— o tomador não pode escolher deixar de pagar; (2)</w:t>
      </w:r>
      <w:r>
        <w:t xml:space="preserve"> </w:t>
      </w:r>
      <w:r>
        <w:rPr>
          <w:b/>
          <w:bCs/>
        </w:rPr>
        <w:t xml:space="preserve">redução da seleção adversa</w:t>
      </w:r>
      <w:r>
        <w:t xml:space="preserve"> </w:t>
      </w:r>
      <w:r>
        <w:t xml:space="preserve">— o risco é drasticamente reduzido, tornando a diferença entre tipos menos relevante.</w:t>
      </w:r>
    </w:p>
    <w:p>
      <w:pPr>
        <w:pStyle w:val="BlockText"/>
      </w:pPr>
      <w:r>
        <w:rPr>
          <w:b/>
          <w:bCs/>
        </w:rPr>
        <w:t xml:space="preserve">Evidência:</w:t>
      </w:r>
      <w:r>
        <w:t xml:space="preserve"> </w:t>
      </w:r>
      <w:r>
        <w:t xml:space="preserve">Em 2025, a taxa do consignado para servidores situava-se entre 1,3% e 1,8% ao mês (~17–24% a.a.), enquanto o crédito pessoal não consignado superava 80% a.a. — diferença que reflete a redução da assimetria de informação.</w:t>
      </w:r>
    </w:p>
    <w:p>
      <w:pPr>
        <w:pStyle w:val="BlockText"/>
      </w:pPr>
      <w:r>
        <w:rPr>
          <w:b/>
          <w:bCs/>
        </w:rPr>
        <w:t xml:space="preserve">Expansão:</w:t>
      </w:r>
      <w:r>
        <w:t xml:space="preserve"> </w:t>
      </w:r>
      <w:r>
        <w:t xml:space="preserve">Regulamentado pela Lei n.º 10.820/2003, o crédito consignado atingiu saldo superior a R$ 600 bilhões, sendo estendido a aposentados, trabalhadores CLT e beneficiários de programas sociais.</w:t>
      </w:r>
    </w:p>
    <w:p>
      <w:pPr>
        <w:pStyle w:val="BlockText"/>
      </w:pPr>
      <w:r>
        <w:rPr>
          <w:i/>
          <w:iCs/>
        </w:rPr>
        <w:t xml:space="preserve">Fonte:</w:t>
      </w:r>
      <w:r>
        <w:rPr>
          <w:i/>
          <w:iCs/>
        </w:rPr>
        <w:t xml:space="preserve"> </w:t>
      </w:r>
      <w:hyperlink r:id="rId215">
        <w:r>
          <w:rPr>
            <w:rStyle w:val="Hyperlink"/>
            <w:i/>
            <w:iCs/>
          </w:rPr>
          <w:t xml:space="preserve">BCB</w:t>
        </w:r>
      </w:hyperlink>
      <w:r>
        <w:rPr>
          <w:i/>
          <w:iCs/>
        </w:rPr>
        <w:t xml:space="preserve">, Relatório de Economia Bancária, 2024.</w:t>
      </w:r>
    </w:p>
    <w:p>
      <w:pPr>
        <w:pStyle w:val="BlockText"/>
      </w:pPr>
      <w:r>
        <w:rPr>
          <w:b/>
          <w:bCs/>
        </w:rPr>
        <w:t xml:space="preserve">[BOX BRASIL] Box Brasil 19.2 — Proagro e Risco Moral no Seguro Agrícola</w:t>
      </w:r>
    </w:p>
    <w:p>
      <w:pPr>
        <w:pStyle w:val="BlockText"/>
      </w:pPr>
      <w:r>
        <w:t xml:space="preserve">O</w:t>
      </w:r>
      <w:r>
        <w:t xml:space="preserve"> </w:t>
      </w:r>
      <w:r>
        <w:rPr>
          <w:b/>
          <w:bCs/>
        </w:rPr>
        <w:t xml:space="preserve">Programa de Garantia da Atividade Agropecuária (Proagro)</w:t>
      </w:r>
      <w:r>
        <w:t xml:space="preserve">, criado em 1973 e regulamentado pelo Banco Central, é o principal instrumento público de seguro agrícola no Brasil. Ele cobre perdas de lavouras financiadas com crédito rural decorrentes de eventos climáticos adversos (seca, geada, granizo, chuva excessiva), pragas e doenças sem controle.</w:t>
      </w:r>
    </w:p>
    <w:p>
      <w:pPr>
        <w:pStyle w:val="BlockText"/>
      </w:pPr>
      <w:r>
        <w:rPr>
          <w:b/>
          <w:bCs/>
        </w:rPr>
        <w:t xml:space="preserve">Contexto:</w:t>
      </w:r>
      <w:r>
        <w:t xml:space="preserve"> </w:t>
      </w:r>
      <w:r>
        <w:t xml:space="preserve">O Proagro cobria, em 2024, cerca de 560 mil operações anuais, com cobertura superior a R$ 15 bilhões em valores segurados. O programa é operacionalizado pelos agentes financeiros do Sistema Nacional de Crédito Rural (principalmente Banco do Brasil) e subvencionado pelo Tesouro Nacional. A adesão é voluntária para a maioria dos produtores, mas obrigatória para operações de crédito rural em regiões de maior risco.</w:t>
      </w:r>
    </w:p>
    <w:p>
      <w:pPr>
        <w:pStyle w:val="BlockText"/>
      </w:pPr>
      <w:r>
        <w:rPr>
          <w:b/>
          <w:bCs/>
        </w:rPr>
        <w:t xml:space="preserve">Dados:</w:t>
      </w:r>
      <w:r>
        <w:t xml:space="preserve"> </w:t>
      </w:r>
      <w:r>
        <w:t xml:space="preserve">Estudos do BCB e da Embrapa apontam que a taxa de sinistralidade do Proagro oscilou entre 70% e 120% nas últimas décadas — ou seja, os pagamentos de indenização frequentemente superam os prêmios arrecadados. Em anos de seca severa (como 2012 no Nordeste e 2021 no Sul), a sinistralidade ultrapassou 150%.</w:t>
      </w:r>
    </w:p>
    <w:p>
      <w:pPr>
        <w:pStyle w:val="BlockText"/>
      </w:pPr>
      <w:r>
        <w:rPr>
          <w:b/>
          <w:bCs/>
        </w:rPr>
        <w:t xml:space="preserve">Análise:</w:t>
      </w:r>
      <w:r>
        <w:t xml:space="preserve"> </w:t>
      </w:r>
      <w:r>
        <w:t xml:space="preserve">O Proagro ilustra classicamente o problema de</w:t>
      </w:r>
      <w:r>
        <w:t xml:space="preserve"> </w:t>
      </w:r>
      <w:r>
        <w:rPr>
          <w:b/>
          <w:bCs/>
        </w:rPr>
        <w:t xml:space="preserve">risco moral</w:t>
      </w:r>
      <w:r>
        <w:t xml:space="preserve"> </w:t>
      </w:r>
      <w:r>
        <w:t xml:space="preserve">no seguro: ao garantir cobertura contra perdas, o programa pode reduzir o incentivo do produtor a adotar práticas de mitigação de risco — como plantio em janelas ideais, uso de sementes resistentes à seca, irrigação e manejo integrado de pragas. Se o produtor sabe que será indenizado em caso de perda, o custo privado de ser descuidado diminui. Além disso, há risco moral na</w:t>
      </w:r>
      <w:r>
        <w:t xml:space="preserve"> </w:t>
      </w:r>
      <w:r>
        <w:rPr>
          <w:b/>
          <w:bCs/>
        </w:rPr>
        <w:t xml:space="preserve">dimensão de reporte</w:t>
      </w:r>
      <w:r>
        <w:t xml:space="preserve">: produtores podem superestimar perdas em laudos de sinistro, especialmente quando a fiscalização é insuficiente. A elevada sinistralidade é evidência circunstancial (embora não conclusiva) de risco moral.</w:t>
      </w:r>
    </w:p>
    <w:p>
      <w:pPr>
        <w:pStyle w:val="BlockText"/>
      </w:pPr>
      <w:r>
        <w:rPr>
          <w:b/>
          <w:bCs/>
        </w:rPr>
        <w:t xml:space="preserve">Mecanismos de mitigação:</w:t>
      </w:r>
      <w:r>
        <w:t xml:space="preserve"> </w:t>
      </w:r>
      <w:r>
        <w:t xml:space="preserve">O governo tem adotado medidas para atenuar o risco moral: (i) o</w:t>
      </w:r>
      <w:r>
        <w:t xml:space="preserve"> </w:t>
      </w:r>
      <w:r>
        <w:rPr>
          <w:b/>
          <w:bCs/>
        </w:rPr>
        <w:t xml:space="preserve">Proagro Mais</w:t>
      </w:r>
      <w:r>
        <w:t xml:space="preserve"> </w:t>
      </w:r>
      <w:r>
        <w:t xml:space="preserve">(desde 2004) exige uso do</w:t>
      </w:r>
      <w:r>
        <w:t xml:space="preserve"> </w:t>
      </w:r>
      <w:r>
        <w:rPr>
          <w:b/>
          <w:bCs/>
        </w:rPr>
        <w:t xml:space="preserve">Zoneamento Agrícola de Risco Climático (ZARC)</w:t>
      </w:r>
      <w:r>
        <w:t xml:space="preserve"> </w:t>
      </w:r>
      <w:r>
        <w:t xml:space="preserve">— um sistema que define janelas de plantio e cultivares recomendados por município, funcionando como requisito de precaução mínima; (ii)</w:t>
      </w:r>
      <w:r>
        <w:t xml:space="preserve"> </w:t>
      </w:r>
      <w:r>
        <w:rPr>
          <w:b/>
          <w:bCs/>
        </w:rPr>
        <w:t xml:space="preserve">monitoramento por sensoriamento remoto</w:t>
      </w:r>
      <w:r>
        <w:t xml:space="preserve"> </w:t>
      </w:r>
      <w:r>
        <w:t xml:space="preserve">(imagens de satélite) para verificar laudos de sinistro; (iii)</w:t>
      </w:r>
      <w:r>
        <w:t xml:space="preserve"> </w:t>
      </w:r>
      <w:r>
        <w:rPr>
          <w:b/>
          <w:bCs/>
        </w:rPr>
        <w:t xml:space="preserve">coparticipação</w:t>
      </w:r>
      <w:r>
        <w:t xml:space="preserve"> </w:t>
      </w:r>
      <w:r>
        <w:t xml:space="preserve">do produtor (franquia), que mantém</w:t>
      </w:r>
      <w:r>
        <w:t xml:space="preserve"> </w:t>
      </w:r>
      <w:r>
        <w:t xml:space="preserve">“pele no jogo”</w:t>
      </w:r>
      <w:r>
        <w:t xml:space="preserve">.</w:t>
      </w:r>
    </w:p>
    <w:p>
      <w:pPr>
        <w:pStyle w:val="BlockText"/>
      </w:pPr>
      <w:r>
        <w:rPr>
          <w:b/>
          <w:bCs/>
        </w:rPr>
        <w:t xml:space="preserve">Para refletir:</w:t>
      </w:r>
      <w:r>
        <w:t xml:space="preserve"> </w:t>
      </w:r>
      <w:r>
        <w:t xml:space="preserve">O trade-off entre proteção ao agricultor familiar e incentivo à precaução é análogo ao trade-off entre seguro e incentivo discutido na Seção 19.3. Se o governo eliminasse o Proagro, muitos pequenos produtores não teriam acesso a crédito (pois os bancos exigem seguro como garantia). Mas se a cobertura é excessivamente generosa, a precaução diminui. Qual é o nível ótimo de coparticipação?</w:t>
      </w:r>
    </w:p>
    <w:p>
      <w:pPr>
        <w:pStyle w:val="BlockText"/>
      </w:pPr>
      <w:r>
        <w:rPr>
          <w:i/>
          <w:iCs/>
        </w:rPr>
        <w:t xml:space="preserve">Fontes:</w:t>
      </w:r>
      <w:r>
        <w:rPr>
          <w:i/>
          <w:iCs/>
        </w:rPr>
        <w:t xml:space="preserve"> </w:t>
      </w:r>
      <w:hyperlink r:id="rId215">
        <w:r>
          <w:rPr>
            <w:rStyle w:val="Hyperlink"/>
            <w:i/>
            <w:iCs/>
          </w:rPr>
          <w:t xml:space="preserve">BCB</w:t>
        </w:r>
      </w:hyperlink>
      <w:r>
        <w:rPr>
          <w:i/>
          <w:iCs/>
        </w:rPr>
        <w:t xml:space="preserve">, Manual de Crédito Rural;</w:t>
      </w:r>
      <w:r>
        <w:rPr>
          <w:i/>
          <w:iCs/>
        </w:rPr>
        <w:t xml:space="preserve"> </w:t>
      </w:r>
      <w:hyperlink r:id="rId345">
        <w:r>
          <w:rPr>
            <w:rStyle w:val="Hyperlink"/>
            <w:i/>
            <w:iCs/>
          </w:rPr>
          <w:t xml:space="preserve">Embrapa</w:t>
        </w:r>
      </w:hyperlink>
      <w:r>
        <w:rPr>
          <w:i/>
          <w:iCs/>
        </w:rPr>
        <w:t xml:space="preserve">; MAPA, Relatório Proagro, 2024.</w:t>
      </w:r>
    </w:p>
    <w:p>
      <w:pPr>
        <w:pStyle w:val="BlockText"/>
      </w:pPr>
      <w:r>
        <w:rPr>
          <w:b/>
          <w:bCs/>
        </w:rPr>
        <w:t xml:space="preserve">[BOX BRASIL] Box Brasil 19.3 — Cadastro Positivo e a redução da assimetria informacional no crédito</w:t>
      </w:r>
    </w:p>
    <w:p>
      <w:pPr>
        <w:pStyle w:val="BlockText"/>
      </w:pPr>
      <w:r>
        <w:rPr>
          <w:b/>
          <w:bCs/>
        </w:rPr>
        <w:t xml:space="preserve">Contexto:</w:t>
      </w:r>
      <w:r>
        <w:t xml:space="preserve"> </w:t>
      </w:r>
      <w:r>
        <w:t xml:space="preserve">O</w:t>
      </w:r>
      <w:r>
        <w:t xml:space="preserve"> </w:t>
      </w:r>
      <w:r>
        <w:rPr>
          <w:b/>
          <w:bCs/>
        </w:rPr>
        <w:t xml:space="preserve">Cadastro Positivo</w:t>
      </w:r>
      <w:r>
        <w:t xml:space="preserve">, regulamentado pela Lei n.º 12.414/2011 e tornado automático pela Lei Complementar n.º 166/2019, é um banco de dados que registra o histórico de pagamentos de consumidores e empresas — não apenas as inadimplências (cadastro negativo, como SPC e Serasa), mas também os pagamentos realizados em dia. A inclusão automática, a partir de 2019, significou que todos os consumidores com CPF passaram a ter um perfil de crédito baseado em seu comportamento de pagamento, sem necessidade de adesão voluntária.</w:t>
      </w:r>
    </w:p>
    <w:p>
      <w:pPr>
        <w:pStyle w:val="BlockText"/>
      </w:pPr>
      <w:r>
        <w:rPr>
          <w:b/>
          <w:bCs/>
        </w:rPr>
        <w:t xml:space="preserve">Dados:</w:t>
      </w:r>
      <w:r>
        <w:t xml:space="preserve"> </w:t>
      </w:r>
      <w:r>
        <w:t xml:space="preserve">Segundo dados do Banco Central e dos birôs de crédito (Serasa Experian, Boa Vista, Quod), o Cadastro Positivo incluiu automaticamente mais de 130 milhões de CPFs até 2024. Estimativas do BCB (</w:t>
      </w:r>
      <w:r>
        <w:rPr>
          <w:i/>
          <w:iCs/>
        </w:rPr>
        <w:t xml:space="preserve">Relatório de Economia Bancária</w:t>
      </w:r>
      <w:r>
        <w:t xml:space="preserve">, 2023) indicam que o Cadastro Positivo contribuiu para a redução do spread bancário em 2 a 5 pontos percentuais para tomadores com bom histórico, e para o aumento de 15–20% no volume de crédito concedido a consumidores que antes eram</w:t>
      </w:r>
      <w:r>
        <w:t xml:space="preserve"> </w:t>
      </w:r>
      <w:r>
        <w:t xml:space="preserve">“invisíveis”</w:t>
      </w:r>
      <w:r>
        <w:t xml:space="preserve"> </w:t>
      </w:r>
      <w:r>
        <w:t xml:space="preserve">ao sistema financeiro (sem histórico positivo ou negativo). A taxa média de juros do crédito pessoal caiu de 120% a.a. em 2019 para cerca de 85% a.a. em 2024, embora outros fatores (Selic, concorrência fintech) também contribuam.</w:t>
      </w:r>
    </w:p>
    <w:p>
      <w:pPr>
        <w:pStyle w:val="BlockText"/>
      </w:pPr>
      <w:r>
        <w:rPr>
          <w:b/>
          <w:bCs/>
        </w:rPr>
        <w:t xml:space="preserve">Análise:</w:t>
      </w:r>
      <w:r>
        <w:t xml:space="preserve"> </w:t>
      </w:r>
      <w:r>
        <w:t xml:space="preserve">O Cadastro Positivo é uma solução institucional direta para o problema de seleção adversa no mercado de crédito (Seção 19.4). Sem informação sobre o histórico de pagamentos, o banco não distingue bons de maus pagadores e cobra uma taxa média que embute o risco de inadimplência dos piores tipos — exatamente o mecanismo de Akerlof. Bons pagadores consideram a taxa alta demais e desistem do crédito (ou buscam alternativas), configurando seleção adversa. O Cadastro Positivo funciona como um mecanismo de</w:t>
      </w:r>
      <w:r>
        <w:t xml:space="preserve"> </w:t>
      </w:r>
      <w:r>
        <w:rPr>
          <w:b/>
          <w:bCs/>
        </w:rPr>
        <w:t xml:space="preserve">revelação de tipos</w:t>
      </w:r>
      <w:r>
        <w:t xml:space="preserve">: ao tornar observável o histórico de pagamentos, permite que bons pagadores sejam identificados e recompensados com taxas menores — reduzindo a assimetria de informação que sustenta spreads elevados. Em termos do modelo de Rothschild-Stiglitz (Seção 19.4.3), o Cadastro Positivo move o mercado de um equilíbrio separador ineficiente (com racionamento de crédito) para um equilíbrio mais próximo da informação completa.</w:t>
      </w:r>
    </w:p>
    <w:p>
      <w:pPr>
        <w:pStyle w:val="BlockText"/>
      </w:pPr>
      <w:r>
        <w:rPr>
          <w:b/>
          <w:bCs/>
        </w:rPr>
        <w:t xml:space="preserve">Para refletir:</w:t>
      </w:r>
      <w:r>
        <w:t xml:space="preserve"> </w:t>
      </w:r>
      <w:r>
        <w:t xml:space="preserve">Se o Cadastro Positivo reduz a assimetria informacional, por que os spreads bancários no Brasil continuam entre os mais altos do mundo? A resposta envolve outras fontes de custo além da assimetria de informação: custos regulatórios, tributação (IOF), inadimplência estrutural, concentração bancária (Capítulo 15) e custos de recuperação judicial. A informação é necessária, mas não suficiente.</w:t>
      </w:r>
    </w:p>
    <w:p>
      <w:r>
        <w:pict>
          <v:rect style="width:0;height:1.5pt" o:hralign="center" o:hrstd="t" o:hr="t"/>
        </w:pict>
      </w:r>
    </w:p>
    <w:p>
      <w:pPr>
        <w:pStyle w:val="FirstParagraph"/>
      </w:pPr>
      <w:r>
        <w:t xml:space="preserve">Começamos com um jogo de pôquer — ninguém vê as cartas dos outros — e terminamos com leilões que obrigam cada jogador a revelar o que sabe. Entre um extremo e outro, vimos mercados de limões colapsarem, seguradoras serem engolidas pelos piores clientes, e diplomas funcionarem como sinais caros de produtividade. A lição central é que a informação não é apenas um insumo da decisão — é uma variável estratégica que molda contratos, mercados e instituições inteiras.</w:t>
      </w:r>
    </w:p>
    <w:p>
      <w:pPr>
        <w:pStyle w:val="BodyText"/>
      </w:pPr>
      <w:r>
        <w:rPr>
          <w:i/>
          <w:iCs/>
        </w:rPr>
        <w:t xml:space="preserve">Informação assimétrica distorce mercados de dentro para fora. No próximo capítulo, as distorções vêm de fora: externalidades e bens públicos.</w:t>
      </w:r>
    </w:p>
    <w:bookmarkEnd w:id="1212"/>
    <w:bookmarkEnd w:id="1213"/>
    <w:bookmarkStart w:id="1220" w:name="X952aeca0fe15cf310ede96c437acb94b2b208f1"/>
    <w:p>
      <w:pPr>
        <w:pStyle w:val="Heading2"/>
      </w:pPr>
      <w:r>
        <w:t xml:space="preserve">19.9 Quem Casa com Quem? Matching Markets e o Design de Mercado</w:t>
      </w:r>
    </w:p>
    <w:p>
      <w:pPr>
        <w:pStyle w:val="FirstParagraph"/>
      </w:pPr>
      <w:r>
        <w:t xml:space="preserve">Nos modelos de informação assimétrica estudados neste capítulo, o problema central era a</w:t>
      </w:r>
      <w:r>
        <w:t xml:space="preserve"> </w:t>
      </w:r>
      <w:r>
        <w:rPr>
          <w:i/>
          <w:iCs/>
        </w:rPr>
        <w:t xml:space="preserve">qualidade</w:t>
      </w:r>
      <w:r>
        <w:t xml:space="preserve"> </w:t>
      </w:r>
      <w:r>
        <w:t xml:space="preserve">da transação: como distinguir tipos bons de ruins, como alinhar incentivos, como revelar informação privada. Mas há uma classe de problemas econômicos em que o mecanismo de preços simplesmente</w:t>
      </w:r>
      <w:r>
        <w:t xml:space="preserve"> </w:t>
      </w:r>
      <w:r>
        <w:rPr>
          <w:i/>
          <w:iCs/>
        </w:rPr>
        <w:t xml:space="preserve">não funciona</w:t>
      </w:r>
      <w:r>
        <w:t xml:space="preserve"> </w:t>
      </w:r>
      <w:r>
        <w:t xml:space="preserve">— não por falha de informação, mas porque o próprio ato de usar preços seria considerado repugnante, ilegal ou impraticável. Como alocar residentes médicos a hospitais? Estudantes a universidades? Órgãos a pacientes? Esses são problemas de</w:t>
      </w:r>
      <w:r>
        <w:t xml:space="preserve"> </w:t>
      </w:r>
      <w:r>
        <w:rPr>
          <w:b/>
          <w:bCs/>
        </w:rPr>
        <w:t xml:space="preserve">matching</w:t>
      </w:r>
      <w:r>
        <w:t xml:space="preserve"> </w:t>
      </w:r>
      <w:r>
        <w:t xml:space="preserve">— e sua solução exigiu uma das mais elegantes contribuições da teoria econômica do século XX.</w:t>
      </w:r>
    </w:p>
    <w:p>
      <w:pPr>
        <w:pStyle w:val="BodyText"/>
      </w:pPr>
      <w:r>
        <w:t xml:space="preserve">O campo do</w:t>
      </w:r>
      <w:r>
        <w:t xml:space="preserve"> </w:t>
      </w:r>
      <w:r>
        <w:rPr>
          <w:b/>
          <w:bCs/>
        </w:rPr>
        <w:t xml:space="preserve">market design</w:t>
      </w:r>
      <w:r>
        <w:t xml:space="preserve"> </w:t>
      </w:r>
      <w:r>
        <w:t xml:space="preserve">(design de mercados) trata exatamente disso: quando o mercado espontâneo falha ou não existe, o economista assume o papel de engenheiro e</w:t>
      </w:r>
      <w:r>
        <w:t xml:space="preserve"> </w:t>
      </w:r>
      <w:r>
        <w:rPr>
          <w:i/>
          <w:iCs/>
        </w:rPr>
        <w:t xml:space="preserve">projeta</w:t>
      </w:r>
      <w:r>
        <w:t xml:space="preserve"> </w:t>
      </w:r>
      <w:r>
        <w:t xml:space="preserve">o mecanismo de alocação. O Prêmio Nobel de 2012, concedido a</w:t>
      </w:r>
      <w:r>
        <w:t xml:space="preserve"> </w:t>
      </w:r>
      <w:r>
        <w:rPr>
          <w:b/>
          <w:bCs/>
        </w:rPr>
        <w:t xml:space="preserve">Alvin Roth</w:t>
      </w:r>
      <w:r>
        <w:t xml:space="preserve"> </w:t>
      </w:r>
      <w:r>
        <w:t xml:space="preserve">e</w:t>
      </w:r>
      <w:r>
        <w:t xml:space="preserve"> </w:t>
      </w:r>
      <w:r>
        <w:rPr>
          <w:b/>
          <w:bCs/>
        </w:rPr>
        <w:t xml:space="preserve">Lloyd Shapley</w:t>
      </w:r>
      <w:r>
        <w:t xml:space="preserve">, reconheceu essa contribuição — e, o que é mais raro, premiou trabalhos com impacto prático imediato e mensurável sobre milhões de pessoas.</w:t>
      </w:r>
    </w:p>
    <w:p>
      <w:r>
        <w:pict>
          <v:rect style="width:0;height:1.5pt" o:hralign="center" o:hrstd="t" o:hr="t"/>
        </w:pict>
      </w:r>
    </w:p>
    <w:bookmarkStart w:id="1214" w:name="o-problema-alocação-bilateral-sem-preços"/>
    <w:p>
      <w:pPr>
        <w:pStyle w:val="Heading3"/>
      </w:pPr>
      <w:r>
        <w:t xml:space="preserve">O problema: alocação bilateral sem preços</w:t>
      </w:r>
    </w:p>
    <w:p>
      <w:pPr>
        <w:pStyle w:val="FirstParagraph"/>
      </w:pPr>
      <w:r>
        <w:t xml:space="preserve">Considere o problema de alocar formandos de medicina a programas de residência em hospitais. Cada formando tem uma lista de hospitais preferidos; cada hospital tem uma lista de candidatos preferidos. Não existe um</w:t>
      </w:r>
      <w:r>
        <w:t xml:space="preserve"> </w:t>
      </w:r>
      <w:r>
        <w:t xml:space="preserve">“preço”</w:t>
      </w:r>
      <w:r>
        <w:t xml:space="preserve"> </w:t>
      </w:r>
      <w:r>
        <w:t xml:space="preserve">que equilibre oferta e demanda — os residentes não leiloam vagas, e os hospitais não vendem posições. A alocação é feita por um</w:t>
      </w:r>
      <w:r>
        <w:t xml:space="preserve"> </w:t>
      </w:r>
      <w:r>
        <w:rPr>
          <w:b/>
          <w:bCs/>
        </w:rPr>
        <w:t xml:space="preserve">mecanismo centralizado</w:t>
      </w:r>
      <w:r>
        <w:t xml:space="preserve"> </w:t>
      </w:r>
      <w:r>
        <w:t xml:space="preserve">que coleta preferências e produz uma atribuição.</w:t>
      </w:r>
    </w:p>
    <w:p>
      <w:pPr>
        <w:pStyle w:val="BodyText"/>
      </w:pPr>
      <w:r>
        <w:t xml:space="preserve">A pergunta central é: existe um mecanismo que produza alocações</w:t>
      </w:r>
      <w:r>
        <w:t xml:space="preserve"> </w:t>
      </w:r>
      <w:r>
        <w:rPr>
          <w:b/>
          <w:bCs/>
        </w:rPr>
        <w:t xml:space="preserve">estáveis</w:t>
      </w:r>
      <w:r>
        <w:t xml:space="preserve"> </w:t>
      </w:r>
      <w:r>
        <w:t xml:space="preserve">— isto é, em que nenhum par hospital-residente prefira estar junto a ficar com seus parceiros atribuídos?</w:t>
      </w:r>
    </w:p>
    <w:p>
      <w:pPr>
        <w:pStyle w:val="BlockText"/>
      </w:pPr>
      <w:r>
        <w:rPr>
          <w:b/>
          <w:bCs/>
        </w:rPr>
        <w:t xml:space="preserve">[DEFINICAO] Matching estável</w:t>
      </w:r>
    </w:p>
    <w:p>
      <w:pPr>
        <w:pStyle w:val="BlockText"/>
      </w:pPr>
      <w:r>
        <w:t xml:space="preserve">Um matching é</w:t>
      </w:r>
      <w:r>
        <w:t xml:space="preserve"> </w:t>
      </w:r>
      <w:r>
        <w:rPr>
          <w:b/>
          <w:bCs/>
        </w:rPr>
        <w:t xml:space="preserve">estável</w:t>
      </w:r>
      <w:r>
        <w:t xml:space="preserve"> </w:t>
      </w:r>
      <w:r>
        <w:t xml:space="preserve">se não existe nenhum par</w:t>
      </w:r>
      <w:r>
        <w:t xml:space="preserve"> </w:t>
      </w:r>
      <m:oMath>
        <m:r>
          <m:rPr>
            <m:sty m:val="p"/>
          </m:rPr>
          <m:t>(</m:t>
        </m:r>
        <m:r>
          <m:t>h</m:t>
        </m:r>
        <m:r>
          <m:rPr>
            <m:sty m:val="p"/>
          </m:rPr>
          <m:t>,</m:t>
        </m:r>
        <m:r>
          <m:t>r</m:t>
        </m:r>
        <m:r>
          <m:rPr>
            <m:sty m:val="p"/>
          </m:rPr>
          <m:t>)</m:t>
        </m:r>
      </m:oMath>
      <w:r>
        <w:t xml:space="preserve"> </w:t>
      </w:r>
      <w:r>
        <w:t xml:space="preserve">— hospital</w:t>
      </w:r>
      <w:r>
        <w:t xml:space="preserve"> </w:t>
      </w:r>
      <m:oMath>
        <m:r>
          <m:t>h</m:t>
        </m:r>
      </m:oMath>
      <w:r>
        <w:t xml:space="preserve"> </w:t>
      </w:r>
      <w:r>
        <w:t xml:space="preserve">e residente</w:t>
      </w:r>
      <w:r>
        <w:t xml:space="preserve"> </w:t>
      </w:r>
      <m:oMath>
        <m:r>
          <m:t>r</m:t>
        </m:r>
      </m:oMath>
      <w:r>
        <w:t xml:space="preserve"> </w:t>
      </w:r>
      <w:r>
        <w:t xml:space="preserve">— tal que:</w:t>
      </w:r>
    </w:p>
    <w:p>
      <w:pPr>
        <w:pStyle w:val="Compact"/>
        <w:numPr>
          <w:ilvl w:val="0"/>
          <w:numId w:val="2058"/>
        </w:numPr>
      </w:pPr>
      <m:oMath>
        <m:r>
          <m:t>r</m:t>
        </m:r>
      </m:oMath>
      <w:r>
        <w:t xml:space="preserve"> </w:t>
      </w:r>
      <w:r>
        <w:t xml:space="preserve">prefere</w:t>
      </w:r>
      <w:r>
        <w:t xml:space="preserve"> </w:t>
      </w:r>
      <m:oMath>
        <m:r>
          <m:t>h</m:t>
        </m:r>
      </m:oMath>
      <w:r>
        <w:t xml:space="preserve"> </w:t>
      </w:r>
      <w:r>
        <w:t xml:space="preserve">ao hospital que lhe foi atribuído,</w:t>
      </w:r>
      <w:r>
        <w:t xml:space="preserve"> </w:t>
      </w:r>
      <w:r>
        <w:rPr>
          <w:b/>
          <w:bCs/>
        </w:rPr>
        <w:t xml:space="preserve">e</w:t>
      </w:r>
    </w:p>
    <w:p>
      <w:pPr>
        <w:pStyle w:val="Compact"/>
        <w:numPr>
          <w:ilvl w:val="0"/>
          <w:numId w:val="2058"/>
        </w:numPr>
      </w:pPr>
      <m:oMath>
        <m:r>
          <m:t>h</m:t>
        </m:r>
      </m:oMath>
      <w:r>
        <w:t xml:space="preserve"> </w:t>
      </w:r>
      <w:r>
        <w:t xml:space="preserve">prefere</w:t>
      </w:r>
      <w:r>
        <w:t xml:space="preserve"> </w:t>
      </w:r>
      <m:oMath>
        <m:r>
          <m:t>r</m:t>
        </m:r>
      </m:oMath>
      <w:r>
        <w:t xml:space="preserve"> </w:t>
      </w:r>
      <w:r>
        <w:t xml:space="preserve">ao residente que lhe foi atribuído.</w:t>
      </w:r>
    </w:p>
    <w:p>
      <w:pPr>
        <w:pStyle w:val="BlockText"/>
      </w:pPr>
      <w:r>
        <w:t xml:space="preserve">Se tal par existisse,</w:t>
      </w:r>
      <w:r>
        <w:t xml:space="preserve"> </w:t>
      </w:r>
      <m:oMath>
        <m:r>
          <m:t>h</m:t>
        </m:r>
      </m:oMath>
      <w:r>
        <w:t xml:space="preserve"> </w:t>
      </w:r>
      <w:r>
        <w:t xml:space="preserve">e</w:t>
      </w:r>
      <w:r>
        <w:t xml:space="preserve"> </w:t>
      </w:r>
      <m:oMath>
        <m:r>
          <m:t>r</m:t>
        </m:r>
      </m:oMath>
      <w:r>
        <w:t xml:space="preserve"> </w:t>
      </w:r>
      <w:r>
        <w:t xml:space="preserve">teriam incentivo para abandonar suas alocações e se juntar — uma</w:t>
      </w:r>
      <w:r>
        <w:t xml:space="preserve"> </w:t>
      </w:r>
      <w:r>
        <w:rPr>
          <w:b/>
          <w:bCs/>
        </w:rPr>
        <w:t xml:space="preserve">blocking pair</w:t>
      </w:r>
      <w:r>
        <w:t xml:space="preserve">. A estabilidade garante que ninguém tem incentivo para desviar, exatamente como no equilíbrio de Nash (Capítulo 9a), mas aplicado a um contexto de matching bilateral.</w:t>
      </w:r>
    </w:p>
    <w:p>
      <w:r>
        <w:pict>
          <v:rect style="width:0;height:1.5pt" o:hralign="center" o:hrstd="t" o:hr="t"/>
        </w:pict>
      </w:r>
    </w:p>
    <w:bookmarkEnd w:id="1214"/>
    <w:bookmarkStart w:id="1215" w:name="X259470ce6830cba358d964be1925909abcf7baf"/>
    <w:p>
      <w:pPr>
        <w:pStyle w:val="Heading3"/>
      </w:pPr>
      <w:r>
        <w:t xml:space="preserve">O algoritmo de Gale-Shapley (Deferred Acceptance)</w:t>
      </w:r>
    </w:p>
    <w:p>
      <w:pPr>
        <w:pStyle w:val="FirstParagraph"/>
      </w:pPr>
      <w:r>
        <w:t xml:space="preserve">David Gale e Lloyd Shapley resolveram o problema em 1962 com um algoritmo de elegância notável — o</w:t>
      </w:r>
      <w:r>
        <w:t xml:space="preserve"> </w:t>
      </w:r>
      <w:r>
        <w:rPr>
          <w:b/>
          <w:bCs/>
        </w:rPr>
        <w:t xml:space="preserve">Deferred Acceptance</w:t>
      </w:r>
      <w:r>
        <w:t xml:space="preserve"> </w:t>
      </w:r>
      <w:r>
        <w:t xml:space="preserve">(aceitação diferida):</w:t>
      </w:r>
    </w:p>
    <w:p>
      <w:pPr>
        <w:pStyle w:val="BodyText"/>
      </w:pPr>
      <w:r>
        <w:rPr>
          <w:b/>
          <w:bCs/>
        </w:rPr>
        <w:t xml:space="preserve">Protocolo (versão</w:t>
      </w:r>
      <w:r>
        <w:rPr>
          <w:b/>
          <w:bCs/>
        </w:rPr>
        <w:t xml:space="preserve"> </w:t>
      </w:r>
      <w:r>
        <w:rPr>
          <w:b/>
          <w:bCs/>
        </w:rPr>
        <w:t xml:space="preserve">“proponente = residente”</w:t>
      </w:r>
      <w:r>
        <w:rPr>
          <w:b/>
          <w:bCs/>
        </w:rPr>
        <w:t xml:space="preserve">):</w:t>
      </w:r>
    </w:p>
    <w:p>
      <w:pPr>
        <w:pStyle w:val="Compact"/>
        <w:numPr>
          <w:ilvl w:val="0"/>
          <w:numId w:val="2059"/>
        </w:numPr>
      </w:pPr>
      <w:r>
        <w:rPr>
          <w:b/>
          <w:bCs/>
        </w:rPr>
        <w:t xml:space="preserve">Rodada 1:</w:t>
      </w:r>
      <w:r>
        <w:t xml:space="preserve"> </w:t>
      </w:r>
      <w:r>
        <w:t xml:space="preserve">Cada residente</w:t>
      </w:r>
      <w:r>
        <w:t xml:space="preserve"> </w:t>
      </w:r>
      <w:r>
        <w:t xml:space="preserve">“propõe”</w:t>
      </w:r>
      <w:r>
        <w:t xml:space="preserve"> </w:t>
      </w:r>
      <w:r>
        <w:t xml:space="preserve">ao hospital que mais prefere. Cada hospital que recebeu mais propostas do que tem vagas rejeita os excedentes (mantendo os melhores</w:t>
      </w:r>
      <w:r>
        <w:t xml:space="preserve"> </w:t>
      </w:r>
      <w:r>
        <w:t xml:space="preserve">“em espera”</w:t>
      </w:r>
      <w:r>
        <w:t xml:space="preserve">) e aceita provisoriamente os demais.</w:t>
      </w:r>
    </w:p>
    <w:p>
      <w:pPr>
        <w:pStyle w:val="Compact"/>
        <w:numPr>
          <w:ilvl w:val="0"/>
          <w:numId w:val="2059"/>
        </w:numPr>
      </w:pPr>
      <w:r>
        <w:rPr>
          <w:b/>
          <w:bCs/>
        </w:rPr>
        <w:t xml:space="preserve">Rodada</w:t>
      </w:r>
      <w:r>
        <w:rPr>
          <w:b/>
          <w:bCs/>
        </w:rPr>
        <w:t xml:space="preserve"> </w:t>
      </w:r>
      <m:oMath>
        <m:r>
          <m:t>k</m:t>
        </m:r>
      </m:oMath>
      <w:r>
        <w:rPr>
          <w:b/>
          <w:bCs/>
        </w:rPr>
        <w:t xml:space="preserve">:</w:t>
      </w:r>
      <w:r>
        <w:t xml:space="preserve"> </w:t>
      </w:r>
      <w:r>
        <w:t xml:space="preserve">Cada residente rejeitado na rodada anterior propõe ao próximo hospital em sua lista. Cada hospital compara os novos proponentes com os que mantém em espera, retém os melhores e rejeita o restante.</w:t>
      </w:r>
    </w:p>
    <w:p>
      <w:pPr>
        <w:pStyle w:val="Compact"/>
        <w:numPr>
          <w:ilvl w:val="0"/>
          <w:numId w:val="2059"/>
        </w:numPr>
      </w:pPr>
      <w:r>
        <w:rPr>
          <w:b/>
          <w:bCs/>
        </w:rPr>
        <w:t xml:space="preserve">Término:</w:t>
      </w:r>
      <w:r>
        <w:t xml:space="preserve"> </w:t>
      </w:r>
      <w:r>
        <w:t xml:space="preserve">O algoritmo para quando não há mais rejeições. As alocações provisórias se tornam definitivas.</w:t>
      </w:r>
    </w:p>
    <w:p>
      <w:pPr>
        <w:pStyle w:val="BlockText"/>
      </w:pPr>
      <w:r>
        <w:rPr>
          <w:b/>
          <w:bCs/>
        </w:rPr>
        <w:t xml:space="preserve">[TEOREMA] Teorema de Gale-Shapley (1962)</w:t>
      </w:r>
    </w:p>
    <w:p>
      <w:pPr>
        <w:pStyle w:val="BlockText"/>
      </w:pPr>
      <w:r>
        <w:t xml:space="preserve">O algoritmo de aceitação diferida sempre termina em um número finito de rodadas e produz um matching</w:t>
      </w:r>
      <w:r>
        <w:t xml:space="preserve"> </w:t>
      </w:r>
      <w:r>
        <w:rPr>
          <w:b/>
          <w:bCs/>
        </w:rPr>
        <w:t xml:space="preserve">estável</w:t>
      </w:r>
      <w:r>
        <w:t xml:space="preserve">. Além disso:</w:t>
      </w:r>
    </w:p>
    <w:p>
      <w:pPr>
        <w:pStyle w:val="Compact"/>
        <w:numPr>
          <w:ilvl w:val="0"/>
          <w:numId w:val="2060"/>
        </w:numPr>
      </w:pPr>
      <w:r>
        <w:t xml:space="preserve">O matching resultante é</w:t>
      </w:r>
      <w:r>
        <w:t xml:space="preserve"> </w:t>
      </w:r>
      <w:r>
        <w:rPr>
          <w:b/>
          <w:bCs/>
        </w:rPr>
        <w:t xml:space="preserve">ótimo para o lado proponente</w:t>
      </w:r>
      <w:r>
        <w:t xml:space="preserve">: nenhum proponente pode estar melhor em qualquer outro matching estável.</w:t>
      </w:r>
    </w:p>
    <w:p>
      <w:pPr>
        <w:pStyle w:val="Compact"/>
        <w:numPr>
          <w:ilvl w:val="0"/>
          <w:numId w:val="2060"/>
        </w:numPr>
      </w:pPr>
      <w:r>
        <w:t xml:space="preserve">O matching é</w:t>
      </w:r>
      <w:r>
        <w:t xml:space="preserve"> </w:t>
      </w:r>
      <w:r>
        <w:rPr>
          <w:b/>
          <w:bCs/>
        </w:rPr>
        <w:t xml:space="preserve">strategy-proof para o lado proponente</w:t>
      </w:r>
      <w:r>
        <w:t xml:space="preserve">: nenhum proponente pode obter um resultado melhor mentindo sobre suas preferências (revelar a ordem verdadeira é estratégia dominante).</w:t>
      </w:r>
    </w:p>
    <w:p>
      <w:pPr>
        <w:pStyle w:val="Compact"/>
        <w:numPr>
          <w:ilvl w:val="0"/>
          <w:numId w:val="2060"/>
        </w:numPr>
      </w:pPr>
      <w:r>
        <w:t xml:space="preserve">O matching resultante é</w:t>
      </w:r>
      <w:r>
        <w:t xml:space="preserve"> </w:t>
      </w:r>
      <w:r>
        <w:rPr>
          <w:b/>
          <w:bCs/>
        </w:rPr>
        <w:t xml:space="preserve">fracamente Pareto-eficiente</w:t>
      </w:r>
      <w:r>
        <w:t xml:space="preserve"> </w:t>
      </w:r>
      <w:r>
        <w:t xml:space="preserve">dentro do conjunto de matchings estáveis.</w:t>
      </w:r>
    </w:p>
    <w:p>
      <w:pPr>
        <w:pStyle w:val="BlockText"/>
      </w:pPr>
      <w:r>
        <w:rPr>
          <w:b/>
          <w:bCs/>
        </w:rPr>
        <w:t xml:space="preserve">[INTUICAO ECONOMICA] Intuição Econômica</w:t>
      </w:r>
    </w:p>
    <w:p>
      <w:pPr>
        <w:pStyle w:val="BlockText"/>
      </w:pPr>
      <w:r>
        <w:rPr>
          <w:b/>
          <w:bCs/>
        </w:rPr>
        <w:t xml:space="preserve">Em uma frase:</w:t>
      </w:r>
      <w:r>
        <w:t xml:space="preserve"> </w:t>
      </w:r>
      <w:r>
        <w:t xml:space="preserve">O algoritmo de Gale-Shapley encontra um</w:t>
      </w:r>
      <w:r>
        <w:t xml:space="preserve"> </w:t>
      </w:r>
      <w:r>
        <w:t xml:space="preserve">“casamento”</w:t>
      </w:r>
      <w:r>
        <w:t xml:space="preserve"> </w:t>
      </w:r>
      <w:r>
        <w:t xml:space="preserve">em que ninguém quer fugir com outra pessoa — estabilidade é a versão matching do equilíbrio de Nash.</w:t>
      </w:r>
    </w:p>
    <w:p>
      <w:pPr>
        <w:pStyle w:val="BlockText"/>
      </w:pPr>
      <w:r>
        <w:rPr>
          <w:b/>
          <w:bCs/>
        </w:rPr>
        <w:t xml:space="preserve">Pense assim:</w:t>
      </w:r>
      <w:r>
        <w:t xml:space="preserve"> </w:t>
      </w:r>
      <w:r>
        <w:t xml:space="preserve">Imagine um baile de formatura. Na primeira música, cada pessoa convida quem mais quer dançar. Quem recebe múltiplos convites segura o melhor e diz</w:t>
      </w:r>
      <w:r>
        <w:t xml:space="preserve"> </w:t>
      </w:r>
      <w:r>
        <w:t xml:space="preserve">“talvez”</w:t>
      </w:r>
      <w:r>
        <w:t xml:space="preserve"> </w:t>
      </w:r>
      <w:r>
        <w:t xml:space="preserve">aos outros. Os rejeitados convidam a segunda opção. O processo continua até que todos tenham par. No final, ninguém quer trocar — porque quem preferisse outro parceiro já foi rejeitado por esse parceiro em alguma rodada anterior.</w:t>
      </w:r>
    </w:p>
    <w:p>
      <w:pPr>
        <w:pStyle w:val="BlockText"/>
      </w:pPr>
      <w:r>
        <w:rPr>
          <w:b/>
          <w:bCs/>
        </w:rPr>
        <w:t xml:space="preserve">Por que a estratégia importa:</w:t>
      </w:r>
      <w:r>
        <w:t xml:space="preserve"> </w:t>
      </w:r>
      <w:r>
        <w:t xml:space="preserve">Se os residentes são os proponentes, eles não ganham nada mentindo sobre suas preferências — o mecanismo é à prova de manipulação para esse lado. Mas os hospitais</w:t>
      </w:r>
      <w:r>
        <w:t xml:space="preserve"> </w:t>
      </w:r>
      <w:r>
        <w:rPr>
          <w:i/>
          <w:iCs/>
        </w:rPr>
        <w:t xml:space="preserve">podem</w:t>
      </w:r>
      <w:r>
        <w:t xml:space="preserve">, em tese, beneficiar-se de manipulação (o mecanismo não é strategy-proof para o lado receptor). Na prática, Roth (1982) mostrou que nenhum mecanismo estável pode ser strategy-proof para ambos os lados — um resultado de impossibilidade análogo ao Teorema de Arrow (Seção 14.12).</w:t>
      </w:r>
    </w:p>
    <w:p>
      <w:r>
        <w:pict>
          <v:rect style="width:0;height:1.5pt" o:hralign="center" o:hrstd="t" o:hr="t"/>
        </w:pict>
      </w:r>
    </w:p>
    <w:bookmarkEnd w:id="1215"/>
    <w:bookmarkStart w:id="1216" w:name="X89f2bb91202b67d50c80de3ce770254907dfbc0"/>
    <w:p>
      <w:pPr>
        <w:pStyle w:val="Heading3"/>
      </w:pPr>
      <w:r>
        <w:t xml:space="preserve">Contribuição de Roth: do quadro-negro ao mundo real</w:t>
      </w:r>
    </w:p>
    <w:p>
      <w:pPr>
        <w:pStyle w:val="FirstParagraph"/>
      </w:pPr>
      <w:r>
        <w:t xml:space="preserve">Se Shapley forneceu a teoria, Alvin Roth forneceu a engenharia. Roth (1984) descobriu que o</w:t>
      </w:r>
      <w:r>
        <w:t xml:space="preserve"> </w:t>
      </w:r>
      <w:r>
        <w:rPr>
          <w:b/>
          <w:bCs/>
        </w:rPr>
        <w:t xml:space="preserve">National Resident Matching Program</w:t>
      </w:r>
      <w:r>
        <w:t xml:space="preserve"> </w:t>
      </w:r>
      <w:r>
        <w:t xml:space="preserve">(NRMP) dos EUA — criado em 1952, antes do artigo de Gale-Shapley — já utilizava, sem saber, um algoritmo equivalente ao Deferred Acceptance. A partir dessa descoberta, Roth redesenhou o mecanismo do NRMP para acomodar casais (que precisam ser alocados conjuntamente) e expandiu a abordagem para outros mercados:</w:t>
      </w:r>
    </w:p>
    <w:p>
      <w:pPr>
        <w:pStyle w:val="Compact"/>
        <w:numPr>
          <w:ilvl w:val="0"/>
          <w:numId w:val="2061"/>
        </w:numPr>
      </w:pPr>
      <w:r>
        <w:rPr>
          <w:b/>
          <w:bCs/>
        </w:rPr>
        <w:t xml:space="preserve">Doação de órgãos (kidney exchange):</w:t>
      </w:r>
      <w:r>
        <w:t xml:space="preserve"> </w:t>
      </w:r>
      <w:r>
        <w:t xml:space="preserve">Roth, Sönmez e Ünver (2004) projetaram mecanismos de troca de rins entre pares incompatíveis — paciente A é incompatível com seu doador, paciente B também, mas o doador de A é compatível com B e vice-versa. O mecanismo de troca, adotado em vários centros médicos nos EUA e no Reino Unido, salva vidas sem envolver pagamento monetário.</w:t>
      </w:r>
    </w:p>
    <w:p>
      <w:pPr>
        <w:pStyle w:val="Compact"/>
        <w:numPr>
          <w:ilvl w:val="0"/>
          <w:numId w:val="2061"/>
        </w:numPr>
      </w:pPr>
      <w:r>
        <w:rPr>
          <w:b/>
          <w:bCs/>
        </w:rPr>
        <w:t xml:space="preserve">Alocação de alunos a escolas públicas:</w:t>
      </w:r>
      <w:r>
        <w:t xml:space="preserve"> </w:t>
      </w:r>
      <w:r>
        <w:t xml:space="preserve">Abdulkadiroğlu e Sönmez (2003) mostraram que o mecanismo usado em Boston para alocar crianças a escolas públicas era manipulável e ineficiente, e propuseram a adoção do Deferred Acceptance. Nova York e Boston adotaram a reforma.</w:t>
      </w:r>
    </w:p>
    <w:p>
      <w:pPr>
        <w:pStyle w:val="BlockText"/>
      </w:pPr>
      <w:r>
        <w:rPr>
          <w:b/>
          <w:bCs/>
        </w:rPr>
        <w:t xml:space="preserve">[INFORMACAO] Prêmio Nobel — Alvin E. Roth e Lloyd S. Shapley (2012)</w:t>
      </w:r>
    </w:p>
    <w:p>
      <w:pPr>
        <w:pStyle w:val="BlockText"/>
      </w:pPr>
      <w:r>
        <w:rPr>
          <w:b/>
          <w:bCs/>
        </w:rPr>
        <w:t xml:space="preserve">Lloyd Shapley</w:t>
      </w:r>
      <w:r>
        <w:t xml:space="preserve"> </w:t>
      </w:r>
      <w:r>
        <w:t xml:space="preserve">(1923–2016) foi um matemático e economista americano, professor na UCLA, com contribuições fundamentais à teoria dos jogos cooperativos.</w:t>
      </w:r>
      <w:r>
        <w:t xml:space="preserve"> </w:t>
      </w:r>
      <w:r>
        <w:rPr>
          <w:b/>
          <w:bCs/>
        </w:rPr>
        <w:t xml:space="preserve">Alvin Roth</w:t>
      </w:r>
      <w:r>
        <w:t xml:space="preserve"> </w:t>
      </w:r>
      <w:r>
        <w:t xml:space="preserve">(1951–presente) é economista na Stanford University, pioneiro do market design e da economia experimental.</w:t>
      </w:r>
    </w:p>
    <w:p>
      <w:pPr>
        <w:pStyle w:val="BlockText"/>
      </w:pPr>
      <w:r>
        <w:rPr>
          <w:b/>
          <w:bCs/>
        </w:rPr>
        <w:t xml:space="preserve">Por que ganharam o Nobel:</w:t>
      </w:r>
      <w:r>
        <w:t xml:space="preserve"> </w:t>
      </w:r>
      <w:r>
        <w:t xml:space="preserve">Premiados pela teoria de alocações estáveis e a prática do design de mercados. Shapley, com Gale, provou que matchings estáveis sempre existem e podem ser encontrados por um algoritmo simples (1962). Roth transformou essa teoria em aplicações práticas que redesenharam mercados reais — de residência médica a doação de órgãos e alocação escolar.</w:t>
      </w:r>
    </w:p>
    <w:p>
      <w:pPr>
        <w:pStyle w:val="BlockText"/>
      </w:pPr>
      <w:r>
        <w:rPr>
          <w:b/>
          <w:bCs/>
        </w:rPr>
        <w:t xml:space="preserve">Conexão com este capítulo:</w:t>
      </w:r>
      <w:r>
        <w:t xml:space="preserve"> </w:t>
      </w:r>
      <w:r>
        <w:t xml:space="preserve">O matching é a face construtiva da economia da informação: em vez de diagnosticar falhas (seleção adversa, moral hazard), o market design</w:t>
      </w:r>
      <w:r>
        <w:t xml:space="preserve"> </w:t>
      </w:r>
      <w:r>
        <w:rPr>
          <w:i/>
          <w:iCs/>
        </w:rPr>
        <w:t xml:space="preserve">projeta</w:t>
      </w:r>
      <w:r>
        <w:t xml:space="preserve"> </w:t>
      </w:r>
      <w:r>
        <w:t xml:space="preserve">mecanismos que funcionam mesmo quando preços não podem ser usados. É o desenho de mecanismos (Seção 9c.5) aplicado a mercados bilaterais sem transferências monetárias.</w:t>
      </w:r>
    </w:p>
    <w:p>
      <w:r>
        <w:pict>
          <v:rect style="width:0;height:1.5pt" o:hralign="center" o:hrstd="t" o:hr="t"/>
        </w:pict>
      </w:r>
    </w:p>
    <w:bookmarkEnd w:id="1216"/>
    <w:bookmarkStart w:id="1217" w:name="aplicações-brasileiras"/>
    <w:p>
      <w:pPr>
        <w:pStyle w:val="Heading3"/>
      </w:pPr>
      <w:r>
        <w:t xml:space="preserve">Aplicações brasileiras</w:t>
      </w:r>
    </w:p>
    <w:p>
      <w:pPr>
        <w:pStyle w:val="BlockText"/>
      </w:pPr>
      <w:r>
        <w:rPr>
          <w:b/>
          <w:bCs/>
        </w:rPr>
        <w:t xml:space="preserve">[EXEMPLO] Caso Real: Matching Markets no Brasil</w:t>
      </w:r>
    </w:p>
    <w:p>
      <w:pPr>
        <w:pStyle w:val="BlockText"/>
      </w:pPr>
      <w:r>
        <w:rPr>
          <w:b/>
          <w:bCs/>
        </w:rPr>
        <w:t xml:space="preserve">Residência médica (CNRM).</w:t>
      </w:r>
      <w:r>
        <w:t xml:space="preserve"> </w:t>
      </w:r>
      <w:r>
        <w:t xml:space="preserve">A Comissão Nacional de Residência Médica coordena a alocação de mais de 40.000 vagas anuais de residência a formandos de medicina no Brasil. Historicamente, o processo é descentralizado — cada instituição conduz seleção própria, com provas e entrevistas independentes. Isso gera ineficiências clássicas documentadas por Roth (1991) em outros mercados descentralizados:</w:t>
      </w:r>
      <w:r>
        <w:t xml:space="preserve"> </w:t>
      </w:r>
      <w:r>
        <w:rPr>
          <w:i/>
          <w:iCs/>
        </w:rPr>
        <w:t xml:space="preserve">unraveling</w:t>
      </w:r>
      <w:r>
        <w:t xml:space="preserve"> </w:t>
      </w:r>
      <w:r>
        <w:t xml:space="preserve">(ofertas cada vez mais precoces, antes mesmo da formatura),</w:t>
      </w:r>
      <w:r>
        <w:t xml:space="preserve"> </w:t>
      </w:r>
      <w:r>
        <w:rPr>
          <w:i/>
          <w:iCs/>
        </w:rPr>
        <w:t xml:space="preserve">exploding offers</w:t>
      </w:r>
      <w:r>
        <w:t xml:space="preserve"> </w:t>
      </w:r>
      <w:r>
        <w:t xml:space="preserve">(ofertas com prazo de resposta curtíssimo) e congestionamento. A adoção de um mecanismo centralizado tipo Deferred Acceptance — como o NRMP americano — seria uma aplicação direta da teoria de Gale-Shapley ao contexto brasileiro, e há discussões em andamento sobre reformas nessa direção.</w:t>
      </w:r>
    </w:p>
    <w:p>
      <w:pPr>
        <w:pStyle w:val="BlockText"/>
      </w:pPr>
      <w:r>
        <w:rPr>
          <w:b/>
          <w:bCs/>
        </w:rPr>
        <w:t xml:space="preserve">Sisu/Enem.</w:t>
      </w:r>
      <w:r>
        <w:t xml:space="preserve"> </w:t>
      </w:r>
      <w:r>
        <w:t xml:space="preserve">O Sistema de Seleção Unificada (Sisu) é o maior mecanismo de matching educacional do Brasil, alocando centenas de milhares de candidatos a vagas em universidades públicas com base na nota do Enem. O Sisu opera em rodadas com</w:t>
      </w:r>
      <w:r>
        <w:t xml:space="preserve"> </w:t>
      </w:r>
      <w:r>
        <w:t xml:space="preserve">“notas de corte”</w:t>
      </w:r>
      <w:r>
        <w:t xml:space="preserve"> </w:t>
      </w:r>
      <w:r>
        <w:t xml:space="preserve">atualizadas em tempo real — um mecanismo que, embora não seja formalmente um Deferred Acceptance, compartilha a lógica de ajuste iterativo. Contudo, o design do Sisu apresenta problemas documentados na literatura: a possibilidade de múltiplas inscrições simultâneas e a revelação de notas de corte em tempo real incentivam comportamento estratégico (os candidatos ajustam suas escolhas durante o período de inscrição para maximizar a probabilidade de admissão), violando a propriedade de strategy-proofness. Reformas baseadas na teoria de matching poderiam reduzir essas distorções — por exemplo, adotando um Deferred Acceptance puro em que os candidatos submetem uma lista ordenada de preferências e o algoritmo faz a alocação sem informação em tempo real.</w:t>
      </w:r>
    </w:p>
    <w:p>
      <w:pPr>
        <w:pStyle w:val="BlockText"/>
      </w:pPr>
      <w:r>
        <w:rPr>
          <w:b/>
          <w:bCs/>
        </w:rPr>
        <w:t xml:space="preserve">Doação de órgãos.</w:t>
      </w:r>
      <w:r>
        <w:t xml:space="preserve"> </w:t>
      </w:r>
      <w:r>
        <w:t xml:space="preserve">O Sistema Nacional de Transplantes (SNT), coordenado pelo Ministério da Saúde, gerencia a fila de transplantes no Brasil — um dos maiores programas públicos de transplante do mundo. A alocação segue critérios médicos (compatibilidade, urgência, tempo em lista), mas mecanismos de kidney exchange à la Roth ainda não foram implementados em escala no Brasil. A teoria prevê que a introdução de trocas pareadas — em que pacientes com doadores vivos incompatíveis trocam doadores entre si — poderia aumentar significativamente o número de transplantes renais realizados, como demonstrado empiricamente nos EUA e no Reino Unido.</w:t>
      </w:r>
    </w:p>
    <w:p>
      <w:r>
        <w:pict>
          <v:rect style="width:0;height:1.5pt" o:hralign="center" o:hrstd="t" o:hr="t"/>
        </w:pict>
      </w:r>
    </w:p>
    <w:bookmarkEnd w:id="1217"/>
    <w:bookmarkStart w:id="1218" w:name="X8ef66071216dd30213d48b3aef0009298233d8e"/>
    <w:p>
      <w:pPr>
        <w:pStyle w:val="Heading3"/>
      </w:pPr>
      <w:r>
        <w:t xml:space="preserve">Propriedades formais: o que o matching garante (e o que não garante)</w:t>
      </w:r>
    </w:p>
    <w:tbl>
      <w:tblPr>
        <w:tblStyle w:val="Table"/>
        <w:tblW w:type="pct" w:w="5000"/>
        <w:tblLayout w:type="fixed"/>
        <w:tblLook w:firstRow="1" w:lastRow="0" w:firstColumn="0" w:lastColumn="0" w:noHBand="0" w:noVBand="0" w:val="0020"/>
      </w:tblPr>
      <w:tblGrid>
        <w:gridCol w:w="1716"/>
        <w:gridCol w:w="4488"/>
        <w:gridCol w:w="1716"/>
      </w:tblGrid>
      <w:tr>
        <w:trPr>
          <w:tblHeader w:val="on"/>
        </w:trPr>
        <w:tc>
          <w:tcPr/>
          <w:p>
            <w:pPr>
              <w:pStyle w:val="Compact"/>
              <w:jc w:val="left"/>
            </w:pPr>
            <w:r>
              <w:t xml:space="preserve">Propriedade</w:t>
            </w:r>
          </w:p>
        </w:tc>
        <w:tc>
          <w:tcPr/>
          <w:p>
            <w:pPr>
              <w:pStyle w:val="Compact"/>
              <w:jc w:val="center"/>
            </w:pPr>
            <w:r>
              <w:t xml:space="preserve">Deferred Acceptance (proponente)</w:t>
            </w:r>
          </w:p>
        </w:tc>
        <w:tc>
          <w:tcPr/>
          <w:p>
            <w:pPr>
              <w:pStyle w:val="Compact"/>
              <w:jc w:val="left"/>
            </w:pPr>
            <w:r>
              <w:t xml:space="preserve">Significado</w:t>
            </w:r>
          </w:p>
        </w:tc>
      </w:tr>
      <w:tr>
        <w:tc>
          <w:tcPr/>
          <w:p>
            <w:pPr>
              <w:pStyle w:val="Compact"/>
              <w:jc w:val="left"/>
            </w:pPr>
            <w:r>
              <w:rPr>
                <w:b/>
                <w:bCs/>
              </w:rPr>
              <w:t xml:space="preserve">Estabilidade</w:t>
            </w:r>
          </w:p>
        </w:tc>
        <w:tc>
          <w:tcPr/>
          <w:p>
            <w:pPr>
              <w:pStyle w:val="Compact"/>
              <w:jc w:val="center"/>
            </w:pPr>
            <w:r>
              <w:t xml:space="preserve">Sim</w:t>
            </w:r>
          </w:p>
        </w:tc>
        <w:tc>
          <w:tcPr/>
          <w:p>
            <w:pPr>
              <w:pStyle w:val="Compact"/>
              <w:jc w:val="left"/>
            </w:pPr>
            <w:r>
              <w:t xml:space="preserve">Nenhum par bloqueador existe</w:t>
            </w:r>
          </w:p>
        </w:tc>
      </w:tr>
      <w:tr>
        <w:tc>
          <w:tcPr/>
          <w:p>
            <w:pPr>
              <w:pStyle w:val="Compact"/>
              <w:jc w:val="left"/>
            </w:pPr>
            <w:r>
              <w:rPr>
                <w:b/>
                <w:bCs/>
              </w:rPr>
              <w:t xml:space="preserve">Strategy-proofness (proponente)</w:t>
            </w:r>
          </w:p>
        </w:tc>
        <w:tc>
          <w:tcPr/>
          <w:p>
            <w:pPr>
              <w:pStyle w:val="Compact"/>
              <w:jc w:val="center"/>
            </w:pPr>
            <w:r>
              <w:t xml:space="preserve">Sim</w:t>
            </w:r>
          </w:p>
        </w:tc>
        <w:tc>
          <w:tcPr/>
          <w:p>
            <w:pPr>
              <w:pStyle w:val="Compact"/>
              <w:jc w:val="left"/>
            </w:pPr>
            <w:r>
              <w:t xml:space="preserve">Revelar preferências verdadeiras é ótimo para quem propõe</w:t>
            </w:r>
          </w:p>
        </w:tc>
      </w:tr>
      <w:tr>
        <w:tc>
          <w:tcPr/>
          <w:p>
            <w:pPr>
              <w:pStyle w:val="Compact"/>
              <w:jc w:val="left"/>
            </w:pPr>
            <w:r>
              <w:rPr>
                <w:b/>
                <w:bCs/>
              </w:rPr>
              <w:t xml:space="preserve">Strategy-proofness (receptor)</w:t>
            </w:r>
          </w:p>
        </w:tc>
        <w:tc>
          <w:tcPr/>
          <w:p>
            <w:pPr>
              <w:pStyle w:val="Compact"/>
              <w:jc w:val="center"/>
            </w:pPr>
            <w:r>
              <w:t xml:space="preserve">Não</w:t>
            </w:r>
          </w:p>
        </w:tc>
        <w:tc>
          <w:tcPr/>
          <w:p>
            <w:pPr>
              <w:pStyle w:val="Compact"/>
              <w:jc w:val="left"/>
            </w:pPr>
            <w:r>
              <w:t xml:space="preserve">O lado receptor pode, em tese, beneficiar-se de manipulação</w:t>
            </w:r>
          </w:p>
        </w:tc>
      </w:tr>
      <w:tr>
        <w:tc>
          <w:tcPr/>
          <w:p>
            <w:pPr>
              <w:pStyle w:val="Compact"/>
              <w:jc w:val="left"/>
            </w:pPr>
            <w:r>
              <w:rPr>
                <w:b/>
                <w:bCs/>
              </w:rPr>
              <w:t xml:space="preserve">Pareto-eficiência (entre matchings estáveis)</w:t>
            </w:r>
          </w:p>
        </w:tc>
        <w:tc>
          <w:tcPr/>
          <w:p>
            <w:pPr>
              <w:pStyle w:val="Compact"/>
              <w:jc w:val="center"/>
            </w:pPr>
            <w:r>
              <w:t xml:space="preserve">Sim (ótimo para proponente)</w:t>
            </w:r>
          </w:p>
        </w:tc>
        <w:tc>
          <w:tcPr/>
          <w:p>
            <w:pPr>
              <w:pStyle w:val="Compact"/>
              <w:jc w:val="left"/>
            </w:pPr>
            <w:r>
              <w:t xml:space="preserve">Nenhum matching estável é melhor para todos os proponentes</w:t>
            </w:r>
          </w:p>
        </w:tc>
      </w:tr>
      <w:tr>
        <w:tc>
          <w:tcPr/>
          <w:p>
            <w:pPr>
              <w:pStyle w:val="Compact"/>
              <w:jc w:val="left"/>
            </w:pPr>
            <w:r>
              <w:rPr>
                <w:b/>
                <w:bCs/>
              </w:rPr>
              <w:t xml:space="preserve">Pareto-eficiência (irrestrita)</w:t>
            </w:r>
          </w:p>
        </w:tc>
        <w:tc>
          <w:tcPr/>
          <w:p>
            <w:pPr>
              <w:pStyle w:val="Compact"/>
              <w:jc w:val="center"/>
            </w:pPr>
            <w:r>
              <w:t xml:space="preserve">Não necessariamente</w:t>
            </w:r>
          </w:p>
        </w:tc>
        <w:tc>
          <w:tcPr/>
          <w:p>
            <w:pPr>
              <w:pStyle w:val="Compact"/>
              <w:jc w:val="left"/>
            </w:pPr>
            <w:r>
              <w:t xml:space="preserve">Podem existir matchings instáveis que Pareto-dominem o estável</w:t>
            </w:r>
          </w:p>
        </w:tc>
      </w:tr>
    </w:tbl>
    <w:p>
      <w:pPr>
        <w:pStyle w:val="BodyText"/>
      </w:pPr>
      <w:r>
        <w:t xml:space="preserve">A impossibilidade de obter strategy-proofness para ambos os lados é um resultado de Roth (1982) análogo ao Teorema da Impossibilidade de Arrow (Seção 14.12): não existe mecanismo estável em que seja ótimo para</w:t>
      </w:r>
      <w:r>
        <w:t xml:space="preserve"> </w:t>
      </w:r>
      <w:r>
        <w:rPr>
          <w:i/>
          <w:iCs/>
        </w:rPr>
        <w:t xml:space="preserve">todos</w:t>
      </w:r>
      <w:r>
        <w:t xml:space="preserve"> </w:t>
      </w:r>
      <w:r>
        <w:t xml:space="preserve">os agentes revelarem suas preferências verdadeiras. Esse trade-off entre estabilidade e incentivos é uma instância do princípio geral do desenho de mecanismos (Seção 9c.5): toda propriedade desejável tem um custo em outra dimensão.</w:t>
      </w:r>
    </w:p>
    <w:p>
      <w:pPr>
        <w:pStyle w:val="BlockText"/>
      </w:pPr>
      <w:r>
        <w:rPr>
          <w:b/>
          <w:bCs/>
        </w:rPr>
        <w:t xml:space="preserve">[DICA] Conexão</w:t>
      </w:r>
    </w:p>
    <w:p>
      <w:pPr>
        <w:pStyle w:val="BlockText"/>
      </w:pPr>
      <w:r>
        <w:t xml:space="preserve">A teoria de matching complementa o desenho de mecanismos com transferências monetárias estudado na Seção 9c.5 (VCG, Myerson). Enquanto lá o mecanismo usa pagamentos para alinhar incentivos, aqui a estabilidade substitui os preços como disciplinador do comportamento. Para a fundamentação em teoria dos jogos — equilíbrio de Nash, EPS e desenho de mecanismos —, ver Capítulos 9a–9c.</w:t>
      </w:r>
    </w:p>
    <w:p>
      <w:r>
        <w:pict>
          <v:rect style="width:0;height:1.5pt" o:hralign="center" o:hrstd="t" o:hr="t"/>
        </w:pict>
      </w:r>
    </w:p>
    <w:bookmarkEnd w:id="1218"/>
    <w:bookmarkStart w:id="1219" w:name="referências-2"/>
    <w:p>
      <w:pPr>
        <w:pStyle w:val="Heading3"/>
      </w:pPr>
      <w:r>
        <w:t xml:space="preserve">Referências</w:t>
      </w:r>
    </w:p>
    <w:p>
      <w:pPr>
        <w:pStyle w:val="Compact"/>
        <w:numPr>
          <w:ilvl w:val="0"/>
          <w:numId w:val="2062"/>
        </w:numPr>
      </w:pPr>
      <w:r>
        <w:t xml:space="preserve">Abdulkadiroğlu, Atila, e Tayfun Sönmez. 2003.</w:t>
      </w:r>
      <w:r>
        <w:t xml:space="preserve"> </w:t>
      </w:r>
      <w:r>
        <w:t xml:space="preserve">“School Choice: A Mechanism Design Approach.”</w:t>
      </w:r>
      <w:r>
        <w:t xml:space="preserve"> </w:t>
      </w:r>
      <w:r>
        <w:rPr>
          <w:i/>
          <w:iCs/>
        </w:rPr>
        <w:t xml:space="preserve">American Economic Review</w:t>
      </w:r>
      <w:r>
        <w:t xml:space="preserve"> </w:t>
      </w:r>
      <w:r>
        <w:t xml:space="preserve">93 (3): 729–747.</w:t>
      </w:r>
    </w:p>
    <w:p>
      <w:pPr>
        <w:pStyle w:val="Compact"/>
        <w:numPr>
          <w:ilvl w:val="0"/>
          <w:numId w:val="2062"/>
        </w:numPr>
      </w:pPr>
      <w:r>
        <w:t xml:space="preserve">Gale, David, e Lloyd S. Shapley. 1962.</w:t>
      </w:r>
      <w:r>
        <w:t xml:space="preserve"> </w:t>
      </w:r>
      <w:r>
        <w:t xml:space="preserve">“College Admissions and the Stability of Marriage.”</w:t>
      </w:r>
      <w:r>
        <w:t xml:space="preserve"> </w:t>
      </w:r>
      <w:r>
        <w:rPr>
          <w:i/>
          <w:iCs/>
        </w:rPr>
        <w:t xml:space="preserve">American Mathematical Monthly</w:t>
      </w:r>
      <w:r>
        <w:t xml:space="preserve"> </w:t>
      </w:r>
      <w:r>
        <w:t xml:space="preserve">69 (1): 9–15.</w:t>
      </w:r>
    </w:p>
    <w:p>
      <w:pPr>
        <w:pStyle w:val="Compact"/>
        <w:numPr>
          <w:ilvl w:val="0"/>
          <w:numId w:val="2062"/>
        </w:numPr>
      </w:pPr>
      <w:r>
        <w:t xml:space="preserve">Roth, Alvin E. 1982.</w:t>
      </w:r>
      <w:r>
        <w:t xml:space="preserve"> </w:t>
      </w:r>
      <w:r>
        <w:t xml:space="preserve">“The Economics of Matching: Stability and Incentives.”</w:t>
      </w:r>
      <w:r>
        <w:t xml:space="preserve"> </w:t>
      </w:r>
      <w:r>
        <w:rPr>
          <w:i/>
          <w:iCs/>
        </w:rPr>
        <w:t xml:space="preserve">Mathematics of Operations Research</w:t>
      </w:r>
      <w:r>
        <w:t xml:space="preserve"> </w:t>
      </w:r>
      <w:r>
        <w:t xml:space="preserve">7 (4): 617–628.</w:t>
      </w:r>
    </w:p>
    <w:p>
      <w:pPr>
        <w:pStyle w:val="Compact"/>
        <w:numPr>
          <w:ilvl w:val="0"/>
          <w:numId w:val="2062"/>
        </w:numPr>
      </w:pPr>
      <w:r>
        <w:t xml:space="preserve">Roth, Alvin E. 1984.</w:t>
      </w:r>
      <w:r>
        <w:t xml:space="preserve"> </w:t>
      </w:r>
      <w:r>
        <w:t xml:space="preserve">“The Evolution of the Labor Market for Medical Interns and Residents: A Case Study in Game Theory.”</w:t>
      </w:r>
      <w:r>
        <w:t xml:space="preserve"> </w:t>
      </w:r>
      <w:r>
        <w:rPr>
          <w:i/>
          <w:iCs/>
        </w:rPr>
        <w:t xml:space="preserve">Journal of Political Economy</w:t>
      </w:r>
      <w:r>
        <w:t xml:space="preserve"> </w:t>
      </w:r>
      <w:r>
        <w:t xml:space="preserve">92 (6): 991–1016.</w:t>
      </w:r>
    </w:p>
    <w:p>
      <w:pPr>
        <w:pStyle w:val="Compact"/>
        <w:numPr>
          <w:ilvl w:val="0"/>
          <w:numId w:val="2062"/>
        </w:numPr>
      </w:pPr>
      <w:r>
        <w:t xml:space="preserve">Roth, Alvin E. 1991.</w:t>
      </w:r>
      <w:r>
        <w:t xml:space="preserve"> </w:t>
      </w:r>
      <w:r>
        <w:t xml:space="preserve">“A Natural Experiment in the Organization of Entry-Level Labor Markets: Regional Markets for New Physicians and Surgeons in the United Kingdom.”</w:t>
      </w:r>
      <w:r>
        <w:t xml:space="preserve"> </w:t>
      </w:r>
      <w:r>
        <w:rPr>
          <w:i/>
          <w:iCs/>
        </w:rPr>
        <w:t xml:space="preserve">American Economic Review</w:t>
      </w:r>
      <w:r>
        <w:t xml:space="preserve"> </w:t>
      </w:r>
      <w:r>
        <w:t xml:space="preserve">81 (3): 415–440.</w:t>
      </w:r>
    </w:p>
    <w:p>
      <w:pPr>
        <w:pStyle w:val="Compact"/>
        <w:numPr>
          <w:ilvl w:val="0"/>
          <w:numId w:val="2062"/>
        </w:numPr>
      </w:pPr>
      <w:r>
        <w:t xml:space="preserve">Roth, Alvin E., Tayfun Sönmez, e M. Utku Ünver. 2004.</w:t>
      </w:r>
      <w:r>
        <w:t xml:space="preserve"> </w:t>
      </w:r>
      <w:r>
        <w:t xml:space="preserve">“Kidney Exchange.”</w:t>
      </w:r>
      <w:r>
        <w:t xml:space="preserve"> </w:t>
      </w:r>
      <w:r>
        <w:rPr>
          <w:i/>
          <w:iCs/>
        </w:rPr>
        <w:t xml:space="preserve">Quarterly Journal of Economics</w:t>
      </w:r>
      <w:r>
        <w:t xml:space="preserve"> </w:t>
      </w:r>
      <w:r>
        <w:t xml:space="preserve">119 (2): 457–488.</w:t>
      </w:r>
    </w:p>
    <w:bookmarkEnd w:id="1219"/>
    <w:bookmarkEnd w:id="1220"/>
    <w:bookmarkStart w:id="1227" w:name="exercícios-e-anpec-capítulo-19"/>
    <w:p>
      <w:pPr>
        <w:pStyle w:val="Heading2"/>
      </w:pPr>
      <w:r>
        <w:t xml:space="preserve">Exercícios e ANPEC — Capítulo 19</w:t>
      </w:r>
    </w:p>
    <w:p>
      <w:pPr>
        <w:pStyle w:val="BlockText"/>
      </w:pPr>
      <w:r>
        <w:rPr>
          <w:b/>
          <w:bCs/>
        </w:rPr>
        <w:t xml:space="preserve">[DICA] Dados para exercicios empiricos</w:t>
      </w:r>
    </w:p>
    <w:p>
      <w:pPr>
        <w:pStyle w:val="Compact"/>
        <w:numPr>
          <w:ilvl w:val="0"/>
          <w:numId w:val="2063"/>
        </w:numPr>
      </w:pPr>
      <w:r>
        <w:rPr>
          <w:b/>
          <w:bCs/>
        </w:rPr>
        <w:t xml:space="preserve">SUSEP (seguros):</w:t>
      </w:r>
      <w:r>
        <w:t xml:space="preserve"> </w:t>
      </w:r>
      <w:hyperlink r:id="rId1221">
        <w:r>
          <w:rPr>
            <w:rStyle w:val="Hyperlink"/>
          </w:rPr>
          <w:t xml:space="preserve">susep.gov.br/dados-abertos</w:t>
        </w:r>
      </w:hyperlink>
      <w:r>
        <w:t xml:space="preserve"> </w:t>
      </w:r>
      <w:r>
        <w:t xml:space="preserve">— Dados de sinistralidade por tipo de seguro para analisar selecao adversa (segurados de maior risco compram mais cobertura?).</w:t>
      </w:r>
    </w:p>
    <w:p>
      <w:pPr>
        <w:pStyle w:val="Compact"/>
        <w:numPr>
          <w:ilvl w:val="0"/>
          <w:numId w:val="2063"/>
        </w:numPr>
      </w:pPr>
      <w:r>
        <w:rPr>
          <w:b/>
          <w:bCs/>
        </w:rPr>
        <w:t xml:space="preserve">ANS (planos de saude):</w:t>
      </w:r>
      <w:r>
        <w:t xml:space="preserve"> </w:t>
      </w:r>
      <w:hyperlink r:id="rId952">
        <w:r>
          <w:rPr>
            <w:rStyle w:val="Hyperlink"/>
          </w:rPr>
          <w:t xml:space="preserve">ans.gov.br</w:t>
        </w:r>
      </w:hyperlink>
      <w:r>
        <w:t xml:space="preserve"> </w:t>
      </w:r>
      <w:r>
        <w:t xml:space="preserve">— Taxas de sinistralidade por faixa etaria e tipo de plano. Teste a predicao de Rothschild-Stiglitz: planos mais generosos atraem clientes de maior risco.</w:t>
      </w:r>
    </w:p>
    <w:p>
      <w:pPr>
        <w:pStyle w:val="Compact"/>
        <w:numPr>
          <w:ilvl w:val="0"/>
          <w:numId w:val="2063"/>
        </w:numPr>
      </w:pPr>
      <w:r>
        <w:rPr>
          <w:b/>
          <w:bCs/>
        </w:rPr>
        <w:t xml:space="preserve">CNRM (residencia medica):</w:t>
      </w:r>
      <w:r>
        <w:t xml:space="preserve"> </w:t>
      </w:r>
      <w:r>
        <w:t xml:space="preserve">Dados do matching de residencia medica para analisar o algoritmo de Gale-Shapley em acao no Brasil.</w:t>
      </w:r>
    </w:p>
    <w:p>
      <w:pPr>
        <w:pStyle w:val="Compact"/>
        <w:numPr>
          <w:ilvl w:val="0"/>
          <w:numId w:val="2063"/>
        </w:numPr>
      </w:pPr>
      <w:r>
        <w:rPr>
          <w:b/>
          <w:bCs/>
        </w:rPr>
        <w:t xml:space="preserve">Notebook:</w:t>
      </w:r>
      <w:r>
        <w:t xml:space="preserve"> </w:t>
      </w:r>
      <w:r>
        <w:t xml:space="preserve">N8 — Gale-Shapley (matching de residencia medica).</w:t>
      </w:r>
    </w:p>
    <w:bookmarkStart w:id="1222" w:name="revisão-rápida-19"/>
    <w:p>
      <w:pPr>
        <w:pStyle w:val="Heading3"/>
      </w:pPr>
      <w:r>
        <w:t xml:space="preserve">🧠 Revisão Rápida</w:t>
      </w:r>
    </w:p>
    <w:p>
      <w:pPr>
        <w:pStyle w:val="FirstParagraph"/>
      </w:pPr>
      <w:r>
        <w:t xml:space="preserve">Teste seu entendimento dos conceitos centrais deste capítulo.</w:t>
      </w:r>
    </w:p>
    <w:p>
      <w:pPr>
        <w:pStyle w:val="BlockText"/>
      </w:pPr>
      <w:r>
        <w:rPr>
          <w:b/>
          <w:bCs/>
        </w:rPr>
        <w:t xml:space="preserve">[QUESTAO] 1. A seleção adversa ocorre quando:</w:t>
      </w:r>
    </w:p>
    <w:p>
      <w:pPr>
        <w:pStyle w:val="Compact"/>
        <w:numPr>
          <w:ilvl w:val="0"/>
          <w:numId w:val="2064"/>
        </w:numPr>
      </w:pPr>
    </w:p>
    <w:p>
      <w:pPr>
        <w:pStyle w:val="Compact"/>
        <w:numPr>
          <w:ilvl w:val="1"/>
          <w:numId w:val="2065"/>
        </w:numPr>
      </w:pPr>
      <w:r>
        <w:t xml:space="preserve">O agente toma ações ocultas após a contratação</w:t>
      </w:r>
    </w:p>
    <w:p>
      <w:pPr>
        <w:pStyle w:val="Compact"/>
        <w:numPr>
          <w:ilvl w:val="0"/>
          <w:numId w:val="2064"/>
        </w:numPr>
      </w:pPr>
    </w:p>
    <w:p>
      <w:pPr>
        <w:pStyle w:val="Compact"/>
        <w:numPr>
          <w:ilvl w:val="1"/>
          <w:numId w:val="2066"/>
        </w:numPr>
      </w:pPr>
      <w:r>
        <w:t xml:space="preserve">A parte desinformada atrai desproporcionalmente os tipos</w:t>
      </w:r>
      <w:r>
        <w:t xml:space="preserve"> </w:t>
      </w:r>
      <w:r>
        <w:t xml:space="preserve">‘ruins’</w:t>
      </w:r>
      <w:r>
        <w:t xml:space="preserve"> </w:t>
      </w:r>
      <w:r>
        <w:t xml:space="preserve">porque não consegue distinguir tipos antes da contratação</w:t>
      </w:r>
    </w:p>
    <w:p>
      <w:pPr>
        <w:pStyle w:val="Compact"/>
        <w:numPr>
          <w:ilvl w:val="0"/>
          <w:numId w:val="2064"/>
        </w:numPr>
      </w:pPr>
    </w:p>
    <w:p>
      <w:pPr>
        <w:pStyle w:val="Compact"/>
        <w:numPr>
          <w:ilvl w:val="1"/>
          <w:numId w:val="2067"/>
        </w:numPr>
      </w:pPr>
      <w:r>
        <w:t xml:space="preserve">O principal observa perfeitamente as ações do agente</w:t>
      </w:r>
    </w:p>
    <w:p>
      <w:pPr>
        <w:pStyle w:val="Compact"/>
        <w:numPr>
          <w:ilvl w:val="0"/>
          <w:numId w:val="2064"/>
        </w:numPr>
      </w:pPr>
    </w:p>
    <w:p>
      <w:pPr>
        <w:pStyle w:val="Compact"/>
        <w:numPr>
          <w:ilvl w:val="1"/>
          <w:numId w:val="2068"/>
        </w:numPr>
      </w:pPr>
      <w:r>
        <w:t xml:space="preserve">Ambas as partes têm informação completa</w:t>
      </w:r>
    </w:p>
    <w:p>
      <w:pPr>
        <w:pStyle w:val="BlockText"/>
      </w:pPr>
      <w:r>
        <w:t xml:space="preserve">??? success</w:t>
      </w:r>
      <w:r>
        <w:t xml:space="preserve"> </w:t>
      </w:r>
      <w:r>
        <w:t xml:space="preserve">“Resposta”</w:t>
      </w:r>
      <w:r>
        <w:t xml:space="preserve"> </w:t>
      </w:r>
      <w:r>
        <w:rPr>
          <w:b/>
          <w:bCs/>
        </w:rPr>
        <w:t xml:space="preserve">(b)</w:t>
      </w:r>
      <w:r>
        <w:t xml:space="preserve"> </w:t>
      </w:r>
      <w:r>
        <w:t xml:space="preserve">Seleção adversa é um problema pré-contratual de informação oculta (hidden information): o principal não consegue distinguir tipos bons de ruins, oferece um contrato médio, e os bons se autosselecionam para fora. O caso clássico é o mercado de carros usados de Akerlof. A alternativa (a) descreve risco moral (moral hazard).</w:t>
      </w:r>
    </w:p>
    <w:p>
      <w:pPr>
        <w:pStyle w:val="BlockText"/>
      </w:pPr>
      <w:r>
        <w:rPr>
          <w:b/>
          <w:bCs/>
        </w:rPr>
        <w:t xml:space="preserve">[QUESTAO] 2. No modelo principal-agente com risco moral, o contrato ótimo tipicamente envolve:</w:t>
      </w:r>
    </w:p>
    <w:p>
      <w:pPr>
        <w:pStyle w:val="Compact"/>
        <w:numPr>
          <w:ilvl w:val="0"/>
          <w:numId w:val="2069"/>
        </w:numPr>
      </w:pPr>
    </w:p>
    <w:p>
      <w:pPr>
        <w:pStyle w:val="Compact"/>
        <w:numPr>
          <w:ilvl w:val="1"/>
          <w:numId w:val="2070"/>
        </w:numPr>
      </w:pPr>
      <w:r>
        <w:t xml:space="preserve">Salário fixo, independente do resultado, para eliminar o risco do agente</w:t>
      </w:r>
    </w:p>
    <w:p>
      <w:pPr>
        <w:pStyle w:val="Compact"/>
        <w:numPr>
          <w:ilvl w:val="0"/>
          <w:numId w:val="2069"/>
        </w:numPr>
      </w:pPr>
    </w:p>
    <w:p>
      <w:pPr>
        <w:pStyle w:val="Compact"/>
        <w:numPr>
          <w:ilvl w:val="1"/>
          <w:numId w:val="2071"/>
        </w:numPr>
      </w:pPr>
      <w:r>
        <w:t xml:space="preserve">Remuneração integralmente variável, proporcional ao resultado</w:t>
      </w:r>
    </w:p>
    <w:p>
      <w:pPr>
        <w:pStyle w:val="Compact"/>
        <w:numPr>
          <w:ilvl w:val="0"/>
          <w:numId w:val="2069"/>
        </w:numPr>
      </w:pPr>
    </w:p>
    <w:p>
      <w:pPr>
        <w:pStyle w:val="Compact"/>
        <w:numPr>
          <w:ilvl w:val="1"/>
          <w:numId w:val="2072"/>
        </w:numPr>
      </w:pPr>
      <w:r>
        <w:t xml:space="preserve">Um trade-off entre incentivos (remuneração variável) e seguro (salário fixo), dependendo da aversão ao risco do agente</w:t>
      </w:r>
    </w:p>
    <w:p>
      <w:pPr>
        <w:pStyle w:val="Compact"/>
        <w:numPr>
          <w:ilvl w:val="0"/>
          <w:numId w:val="2069"/>
        </w:numPr>
      </w:pPr>
    </w:p>
    <w:p>
      <w:pPr>
        <w:pStyle w:val="Compact"/>
        <w:numPr>
          <w:ilvl w:val="1"/>
          <w:numId w:val="2073"/>
        </w:numPr>
      </w:pPr>
      <w:r>
        <w:t xml:space="preserve">Pagamento igual para todos os agentes, independentemente do esforço</w:t>
      </w:r>
    </w:p>
    <w:p>
      <w:pPr>
        <w:pStyle w:val="BlockText"/>
      </w:pPr>
      <w:r>
        <w:t xml:space="preserve">??? success</w:t>
      </w:r>
      <w:r>
        <w:t xml:space="preserve"> </w:t>
      </w:r>
      <w:r>
        <w:t xml:space="preserve">“Resposta”</w:t>
      </w:r>
      <w:r>
        <w:t xml:space="preserve"> </w:t>
      </w:r>
      <w:r>
        <w:rPr>
          <w:b/>
          <w:bCs/>
        </w:rPr>
        <w:t xml:space="preserve">(c)</w:t>
      </w:r>
      <w:r>
        <w:t xml:space="preserve"> </w:t>
      </w:r>
      <w:r>
        <w:t xml:space="preserve">Com risco moral, o principal quer motivar esforço (pagamento variável) mas o agente avesso ao risco prefere salário fixo (seguro). O contrato ótimo equilibra incentivos e seguro. Com agente neutro ao risco, a solução é</w:t>
      </w:r>
      <w:r>
        <w:t xml:space="preserve"> </w:t>
      </w:r>
      <w:r>
        <w:t xml:space="preserve">‘vender a firma’</w:t>
      </w:r>
      <w:r>
        <w:t xml:space="preserve"> </w:t>
      </w:r>
      <w:r>
        <w:t xml:space="preserve">(100% variável); com agente infinitamente avesso ao risco, tende a salário fixo. A alternativa (a) não provê incentivos; (b) impõe risco excessivo ao agente.</w:t>
      </w:r>
    </w:p>
    <w:p>
      <w:pPr>
        <w:pStyle w:val="BlockText"/>
      </w:pPr>
      <w:r>
        <w:rPr>
          <w:b/>
          <w:bCs/>
        </w:rPr>
        <w:t xml:space="preserve">[QUESTAO] 3. O mecanismo de screening difere da sinalização porque:</w:t>
      </w:r>
    </w:p>
    <w:p>
      <w:pPr>
        <w:pStyle w:val="Compact"/>
        <w:numPr>
          <w:ilvl w:val="0"/>
          <w:numId w:val="2074"/>
        </w:numPr>
      </w:pPr>
    </w:p>
    <w:p>
      <w:pPr>
        <w:pStyle w:val="Compact"/>
        <w:numPr>
          <w:ilvl w:val="1"/>
          <w:numId w:val="2075"/>
        </w:numPr>
      </w:pPr>
      <w:r>
        <w:t xml:space="preserve">No screening, é o lado informado que toma a iniciativa; na sinalização, o desinformado</w:t>
      </w:r>
    </w:p>
    <w:p>
      <w:pPr>
        <w:pStyle w:val="Compact"/>
        <w:numPr>
          <w:ilvl w:val="0"/>
          <w:numId w:val="2074"/>
        </w:numPr>
      </w:pPr>
    </w:p>
    <w:p>
      <w:pPr>
        <w:pStyle w:val="Compact"/>
        <w:numPr>
          <w:ilvl w:val="1"/>
          <w:numId w:val="2076"/>
        </w:numPr>
      </w:pPr>
      <w:r>
        <w:t xml:space="preserve">No screening, é o lado desinformado que desenha o menu de contratos; na sinalização, o lado informado escolhe o sinal</w:t>
      </w:r>
    </w:p>
    <w:p>
      <w:pPr>
        <w:pStyle w:val="Compact"/>
        <w:numPr>
          <w:ilvl w:val="0"/>
          <w:numId w:val="2074"/>
        </w:numPr>
      </w:pPr>
    </w:p>
    <w:p>
      <w:pPr>
        <w:pStyle w:val="Compact"/>
        <w:numPr>
          <w:ilvl w:val="1"/>
          <w:numId w:val="2077"/>
        </w:numPr>
      </w:pPr>
      <w:r>
        <w:t xml:space="preserve">Screening e sinalização são sinônimos</w:t>
      </w:r>
    </w:p>
    <w:p>
      <w:pPr>
        <w:pStyle w:val="Compact"/>
        <w:numPr>
          <w:ilvl w:val="0"/>
          <w:numId w:val="2074"/>
        </w:numPr>
      </w:pPr>
    </w:p>
    <w:p>
      <w:pPr>
        <w:pStyle w:val="Compact"/>
        <w:numPr>
          <w:ilvl w:val="1"/>
          <w:numId w:val="2078"/>
        </w:numPr>
      </w:pPr>
      <w:r>
        <w:t xml:space="preserve">O screening só funciona em mercados de trabalho</w:t>
      </w:r>
    </w:p>
    <w:p>
      <w:pPr>
        <w:pStyle w:val="BlockText"/>
      </w:pPr>
      <w:r>
        <w:t xml:space="preserve">??? success</w:t>
      </w:r>
      <w:r>
        <w:t xml:space="preserve"> </w:t>
      </w:r>
      <w:r>
        <w:t xml:space="preserve">“Resposta”</w:t>
      </w:r>
      <w:r>
        <w:t xml:space="preserve"> </w:t>
      </w:r>
      <w:r>
        <w:rPr>
          <w:b/>
          <w:bCs/>
        </w:rPr>
        <w:t xml:space="preserve">(b)</w:t>
      </w:r>
      <w:r>
        <w:t xml:space="preserve"> </w:t>
      </w:r>
      <w:r>
        <w:t xml:space="preserve">Na sinalização (Spence), o agente informado envia um sinal custoso (ex.: educação). No screening (Rothschild-Stiglitz), o principal desinformado oferece um menu de contratos desenhado para que os tipos se autosselecionem (ex.: franquias diferentes em seguros). A alternativa (a) inverte os papéis; (c) ignora a diferença fundamental na iniciativa.</w:t>
      </w:r>
    </w:p>
    <w:p>
      <w:pPr>
        <w:pStyle w:val="BlockText"/>
      </w:pPr>
      <w:r>
        <w:rPr>
          <w:b/>
          <w:bCs/>
        </w:rPr>
        <w:t xml:space="preserve">[QUESTAO] 4. No mercado de seguros com seleção adversa, se a seguradora oferece uma única apólice ao prêmio médio:</w:t>
      </w:r>
    </w:p>
    <w:p>
      <w:pPr>
        <w:pStyle w:val="Compact"/>
        <w:numPr>
          <w:ilvl w:val="0"/>
          <w:numId w:val="2079"/>
        </w:numPr>
      </w:pPr>
    </w:p>
    <w:p>
      <w:pPr>
        <w:pStyle w:val="Compact"/>
        <w:numPr>
          <w:ilvl w:val="1"/>
          <w:numId w:val="2080"/>
        </w:numPr>
      </w:pPr>
      <w:r>
        <w:t xml:space="preserve">Todos os tipos compram e o mercado funciona eficientemente</w:t>
      </w:r>
    </w:p>
    <w:p>
      <w:pPr>
        <w:pStyle w:val="Compact"/>
        <w:numPr>
          <w:ilvl w:val="0"/>
          <w:numId w:val="2079"/>
        </w:numPr>
      </w:pPr>
    </w:p>
    <w:p>
      <w:pPr>
        <w:pStyle w:val="Compact"/>
        <w:numPr>
          <w:ilvl w:val="1"/>
          <w:numId w:val="2081"/>
        </w:numPr>
      </w:pPr>
      <w:r>
        <w:t xml:space="preserve">Os tipos de baixo risco saem do mercado (prêmio alto demais para eles), piorando o pool e potencialmente levando ao colapso (espiral adversa)</w:t>
      </w:r>
    </w:p>
    <w:p>
      <w:pPr>
        <w:pStyle w:val="Compact"/>
        <w:numPr>
          <w:ilvl w:val="0"/>
          <w:numId w:val="2079"/>
        </w:numPr>
      </w:pPr>
    </w:p>
    <w:p>
      <w:pPr>
        <w:pStyle w:val="Compact"/>
        <w:numPr>
          <w:ilvl w:val="1"/>
          <w:numId w:val="2082"/>
        </w:numPr>
      </w:pPr>
      <w:r>
        <w:t xml:space="preserve">Os tipos de alto risco saem do mercado</w:t>
      </w:r>
    </w:p>
    <w:p>
      <w:pPr>
        <w:pStyle w:val="Compact"/>
        <w:numPr>
          <w:ilvl w:val="0"/>
          <w:numId w:val="2079"/>
        </w:numPr>
      </w:pPr>
    </w:p>
    <w:p>
      <w:pPr>
        <w:pStyle w:val="Compact"/>
        <w:numPr>
          <w:ilvl w:val="1"/>
          <w:numId w:val="2083"/>
        </w:numPr>
      </w:pPr>
      <w:r>
        <w:t xml:space="preserve">O lucro da seguradora é maximizado</w:t>
      </w:r>
    </w:p>
    <w:p>
      <w:pPr>
        <w:pStyle w:val="BlockText"/>
      </w:pPr>
      <w:r>
        <w:t xml:space="preserve">??? success</w:t>
      </w:r>
      <w:r>
        <w:t xml:space="preserve"> </w:t>
      </w:r>
      <w:r>
        <w:t xml:space="preserve">“Resposta”</w:t>
      </w:r>
      <w:r>
        <w:t xml:space="preserve"> </w:t>
      </w:r>
      <w:r>
        <w:rPr>
          <w:b/>
          <w:bCs/>
        </w:rPr>
        <w:t xml:space="preserve">(b)</w:t>
      </w:r>
      <w:r>
        <w:t xml:space="preserve"> </w:t>
      </w:r>
      <w:r>
        <w:t xml:space="preserve">Com informação assimétrica, o prêmio médio é alto demais para os bons riscos, que se autosselecionam para fora. O pool piora, o prêmio sobe, mais bons riscos saem — espiral adversa que pode destruir o mercado. É a lógica dos</w:t>
      </w:r>
      <w:r>
        <w:t xml:space="preserve"> </w:t>
      </w:r>
      <w:r>
        <w:t xml:space="preserve">‘lemons’</w:t>
      </w:r>
      <w:r>
        <w:t xml:space="preserve"> </w:t>
      </w:r>
      <w:r>
        <w:t xml:space="preserve">de Akerlof aplicada a seguros. A alternativa (c) inverte — os altos riscos adoram o prêmio médio; (a) descreve o caso com informação simétrica.</w:t>
      </w:r>
    </w:p>
    <w:p>
      <w:pPr>
        <w:pStyle w:val="BlockText"/>
      </w:pPr>
      <w:r>
        <w:rPr>
          <w:b/>
          <w:bCs/>
        </w:rPr>
        <w:t xml:space="preserve">[QUESTAO] 5. A restrição de compatibilidade de incentivos em um contrato de screening exige que:</w:t>
      </w:r>
    </w:p>
    <w:p>
      <w:pPr>
        <w:pStyle w:val="Compact"/>
        <w:numPr>
          <w:ilvl w:val="0"/>
          <w:numId w:val="2084"/>
        </w:numPr>
      </w:pPr>
    </w:p>
    <w:p>
      <w:pPr>
        <w:pStyle w:val="Compact"/>
        <w:numPr>
          <w:ilvl w:val="1"/>
          <w:numId w:val="2085"/>
        </w:numPr>
      </w:pPr>
      <w:r>
        <w:t xml:space="preserve">O agente aceite participar do contrato (utilidade ≥ reserva)</w:t>
      </w:r>
    </w:p>
    <w:p>
      <w:pPr>
        <w:pStyle w:val="Compact"/>
        <w:numPr>
          <w:ilvl w:val="0"/>
          <w:numId w:val="2084"/>
        </w:numPr>
      </w:pPr>
    </w:p>
    <w:p>
      <w:pPr>
        <w:pStyle w:val="Compact"/>
        <w:numPr>
          <w:ilvl w:val="1"/>
          <w:numId w:val="2086"/>
        </w:numPr>
      </w:pPr>
      <w:r>
        <w:t xml:space="preserve">Cada tipo de agente prefira o contrato desenhado para seu tipo em vez do contrato desenhado para outro tipo</w:t>
      </w:r>
    </w:p>
    <w:p>
      <w:pPr>
        <w:pStyle w:val="Compact"/>
        <w:numPr>
          <w:ilvl w:val="0"/>
          <w:numId w:val="2084"/>
        </w:numPr>
      </w:pPr>
    </w:p>
    <w:p>
      <w:pPr>
        <w:pStyle w:val="Compact"/>
        <w:numPr>
          <w:ilvl w:val="1"/>
          <w:numId w:val="2087"/>
        </w:numPr>
      </w:pPr>
      <w:r>
        <w:t xml:space="preserve">O principal maximize seu lucro sem restrições</w:t>
      </w:r>
    </w:p>
    <w:p>
      <w:pPr>
        <w:pStyle w:val="Compact"/>
        <w:numPr>
          <w:ilvl w:val="0"/>
          <w:numId w:val="2084"/>
        </w:numPr>
      </w:pPr>
    </w:p>
    <w:p>
      <w:pPr>
        <w:pStyle w:val="Compact"/>
        <w:numPr>
          <w:ilvl w:val="1"/>
          <w:numId w:val="2088"/>
        </w:numPr>
      </w:pPr>
      <w:r>
        <w:t xml:space="preserve">Os pagamentos sejam iguais para todos os tipos</w:t>
      </w:r>
    </w:p>
    <w:p>
      <w:pPr>
        <w:pStyle w:val="BlockText"/>
      </w:pPr>
      <w:r>
        <w:t xml:space="preserve">??? success</w:t>
      </w:r>
      <w:r>
        <w:t xml:space="preserve"> </w:t>
      </w:r>
      <w:r>
        <w:t xml:space="preserve">“Resposta”</w:t>
      </w:r>
      <w:r>
        <w:t xml:space="preserve"> </w:t>
      </w:r>
      <w:r>
        <w:rPr>
          <w:b/>
          <w:bCs/>
        </w:rPr>
        <w:t xml:space="preserve">(b)</w:t>
      </w:r>
      <w:r>
        <w:t xml:space="preserve"> </w:t>
      </w:r>
      <w:r>
        <w:t xml:space="preserve">A restrição de compatibilidade de incentivos (IC) garante autorevelação: o tipo alto escolhe o contrato do tipo alto e vice-versa. A alternativa (a) descreve a restrição de participação (IR), que é necessária mas diferente; (c) ignora as restrições; (d) eliminaria a possibilidade de separação.</w:t>
      </w:r>
    </w:p>
    <w:p>
      <w:r>
        <w:pict>
          <v:rect style="width:0;height:1.5pt" o:hralign="center" o:hrstd="t" o:hr="t"/>
        </w:pict>
      </w:r>
    </w:p>
    <w:bookmarkEnd w:id="1222"/>
    <w:bookmarkStart w:id="1223" w:name="resumo-do-capítulo-20"/>
    <w:p>
      <w:pPr>
        <w:pStyle w:val="Heading3"/>
      </w:pPr>
      <w:r>
        <w:t xml:space="preserve">📋 Resumo do Capítulo</w:t>
      </w:r>
    </w:p>
    <w:p>
      <w:pPr>
        <w:pStyle w:val="Compact"/>
        <w:numPr>
          <w:ilvl w:val="0"/>
          <w:numId w:val="2089"/>
        </w:numPr>
      </w:pPr>
      <w:r>
        <w:t xml:space="preserve">A informação assimétrica — situação em que uma parte de uma transação detém informação relevante que a outra não possui — é uma falha de mercado que pode levar à ineficiência ou até ao colapso de mercados inteiros.</w:t>
      </w:r>
    </w:p>
    <w:p>
      <w:pPr>
        <w:pStyle w:val="Compact"/>
        <w:numPr>
          <w:ilvl w:val="0"/>
          <w:numId w:val="2089"/>
        </w:numPr>
      </w:pPr>
      <w:r>
        <w:t xml:space="preserve">O modelo principal-agente é o arcabouço geral para analisar relações com informação assimétrica. O principal desenha contratos sujeitos a duas restrições: participação (o agente aceita) e compatibilidade de incentivos (o agente age conforme desejado).</w:t>
      </w:r>
    </w:p>
    <w:p>
      <w:pPr>
        <w:pStyle w:val="Compact"/>
        <w:numPr>
          <w:ilvl w:val="0"/>
          <w:numId w:val="2089"/>
        </w:numPr>
      </w:pPr>
      <w:r>
        <w:t xml:space="preserve">O risco moral (ações ocultas) surge quando o agente pode tomar ações não observáveis após o contrato. A solução envolve um trade-off entre incentivos e seguro: contratos ótimos vinculam remuneração a resultados observáveis, mas expõem o agente avesso ao risco a variabilidade.</w:t>
      </w:r>
    </w:p>
    <w:p>
      <w:pPr>
        <w:pStyle w:val="Compact"/>
        <w:numPr>
          <w:ilvl w:val="0"/>
          <w:numId w:val="2089"/>
        </w:numPr>
      </w:pPr>
      <w:r>
        <w:t xml:space="preserve">A seleção adversa (tipos ocultos) ocorre quando uma parte possui informação privada sobre suas características antes do contrato. O modelo de limões de Akerlof mostra que a assimetria pode expulsar produtos de alta qualidade do mercado.</w:t>
      </w:r>
    </w:p>
    <w:p>
      <w:pPr>
        <w:pStyle w:val="Compact"/>
        <w:numPr>
          <w:ilvl w:val="0"/>
          <w:numId w:val="2089"/>
        </w:numPr>
      </w:pPr>
      <w:r>
        <w:t xml:space="preserve">A sinalização (Spence) permite que a parte informada revele seu tipo por meio de ações custosas (como educação), enquanto a triagem (Rothschild-Stiglitz) permite que a parte desinformada desenhe menus de contratos que induzam autosseleção.</w:t>
      </w:r>
    </w:p>
    <w:p>
      <w:pPr>
        <w:pStyle w:val="Compact"/>
        <w:numPr>
          <w:ilvl w:val="0"/>
          <w:numId w:val="2089"/>
        </w:numPr>
      </w:pPr>
      <w:r>
        <w:t xml:space="preserve">Leilões são mecanismos de alocação sob informação assimétrica. Pelo Teorema da Equivalência de Receita, os quatro formatos clássicos geram a mesma receita esperada sob certas condições.</w:t>
      </w:r>
    </w:p>
    <w:bookmarkEnd w:id="1223"/>
    <w:bookmarkStart w:id="1224" w:name="conceitos-chave-19"/>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Informação assimétrica</w:t>
            </w:r>
          </w:p>
        </w:tc>
        <w:tc>
          <w:tcPr/>
          <w:p>
            <w:pPr>
              <w:pStyle w:val="Compact"/>
            </w:pPr>
            <w:r>
              <w:t xml:space="preserve">Situação em que uma parte de uma transação detém informação relevante que a outra não possui</w:t>
            </w:r>
          </w:p>
        </w:tc>
      </w:tr>
      <w:tr>
        <w:tc>
          <w:tcPr/>
          <w:p>
            <w:pPr>
              <w:pStyle w:val="Compact"/>
            </w:pPr>
            <w:r>
              <w:t xml:space="preserve">Modelo principal-agente</w:t>
            </w:r>
          </w:p>
        </w:tc>
        <w:tc>
          <w:tcPr/>
          <w:p>
            <w:pPr>
              <w:pStyle w:val="Compact"/>
            </w:pPr>
            <w:r>
              <w:t xml:space="preserve">Arcabouço em que o principal delega uma tarefa ao agente que possui informação privada</w:t>
            </w:r>
          </w:p>
        </w:tc>
      </w:tr>
      <w:tr>
        <w:tc>
          <w:tcPr/>
          <w:p>
            <w:pPr>
              <w:pStyle w:val="Compact"/>
            </w:pPr>
            <w:r>
              <w:t xml:space="preserve">Risco moral (moral hazard)</w:t>
            </w:r>
          </w:p>
        </w:tc>
        <w:tc>
          <w:tcPr/>
          <w:p>
            <w:pPr>
              <w:pStyle w:val="Compact"/>
            </w:pPr>
            <w:r>
              <w:t xml:space="preserve">Problema pós-contratual: ações ocultas do agente afetam o resultado</w:t>
            </w:r>
          </w:p>
        </w:tc>
      </w:tr>
      <w:tr>
        <w:tc>
          <w:tcPr/>
          <w:p>
            <w:pPr>
              <w:pStyle w:val="Compact"/>
            </w:pPr>
            <w:r>
              <w:t xml:space="preserve">Seleção adversa</w:t>
            </w:r>
          </w:p>
        </w:tc>
        <w:tc>
          <w:tcPr/>
          <w:p>
            <w:pPr>
              <w:pStyle w:val="Compact"/>
            </w:pPr>
            <w:r>
              <w:t xml:space="preserve">Problema pré-contratual: tipos ocultos levam à expulsão dos</w:t>
            </w:r>
            <w:r>
              <w:t xml:space="preserve"> </w:t>
            </w:r>
            <w:r>
              <w:t xml:space="preserve">“bons”</w:t>
            </w:r>
            <w:r>
              <w:t xml:space="preserve"> </w:t>
            </w:r>
            <w:r>
              <w:t xml:space="preserve">do mercado</w:t>
            </w:r>
          </w:p>
        </w:tc>
      </w:tr>
      <w:tr>
        <w:tc>
          <w:tcPr/>
          <w:p>
            <w:pPr>
              <w:pStyle w:val="Compact"/>
            </w:pPr>
            <w:r>
              <w:t xml:space="preserve">Mercado de limões (Akerlof)</w:t>
            </w:r>
          </w:p>
        </w:tc>
        <w:tc>
          <w:tcPr/>
          <w:p>
            <w:pPr>
              <w:pStyle w:val="Compact"/>
            </w:pPr>
            <w:r>
              <w:t xml:space="preserve">Modelo de colapso de mercado por assimetria de informação sobre qualidade</w:t>
            </w:r>
          </w:p>
        </w:tc>
      </w:tr>
      <w:tr>
        <w:tc>
          <w:tcPr/>
          <w:p>
            <w:pPr>
              <w:pStyle w:val="Compact"/>
            </w:pPr>
            <w:r>
              <w:t xml:space="preserve">Sinalização (Spence)</w:t>
            </w:r>
          </w:p>
        </w:tc>
        <w:tc>
          <w:tcPr/>
          <w:p>
            <w:pPr>
              <w:pStyle w:val="Compact"/>
            </w:pPr>
            <w:r>
              <w:t xml:space="preserve">Ação custosa da parte informada para revelar credibilmente seu tipo</w:t>
            </w:r>
          </w:p>
        </w:tc>
      </w:tr>
      <w:tr>
        <w:tc>
          <w:tcPr/>
          <w:p>
            <w:pPr>
              <w:pStyle w:val="Compact"/>
            </w:pPr>
            <w:r>
              <w:t xml:space="preserve">Triagem/screening</w:t>
            </w:r>
          </w:p>
        </w:tc>
        <w:tc>
          <w:tcPr/>
          <w:p>
            <w:pPr>
              <w:pStyle w:val="Compact"/>
            </w:pPr>
            <w:r>
              <w:t xml:space="preserve">Menu de contratos da parte desinformada para induzir autosseleção</w:t>
            </w:r>
          </w:p>
        </w:tc>
      </w:tr>
      <w:tr>
        <w:tc>
          <w:tcPr/>
          <w:p>
            <w:pPr>
              <w:pStyle w:val="Compact"/>
            </w:pPr>
            <w:r>
              <w:t xml:space="preserve">Custo de agência</w:t>
            </w:r>
          </w:p>
        </w:tc>
        <w:tc>
          <w:tcPr/>
          <w:p>
            <w:pPr>
              <w:pStyle w:val="Compact"/>
            </w:pPr>
            <w:r>
              <w:t xml:space="preserve">Diferença de custo entre second-best e first-best</w:t>
            </w:r>
          </w:p>
        </w:tc>
      </w:tr>
      <w:tr>
        <w:tc>
          <w:tcPr/>
          <w:p>
            <w:pPr>
              <w:pStyle w:val="Compact"/>
            </w:pPr>
            <w:r>
              <w:t xml:space="preserve">Restrição de compatibilidade de incentivos (RCI)</w:t>
            </w:r>
          </w:p>
        </w:tc>
        <w:tc>
          <w:tcPr/>
          <w:p>
            <w:pPr>
              <w:pStyle w:val="Compact"/>
            </w:pPr>
            <w:r>
              <w:t xml:space="preserve">Condição que garante que o agente prefira a ação desejada</w:t>
            </w:r>
          </w:p>
        </w:tc>
      </w:tr>
      <w:tr>
        <w:tc>
          <w:tcPr/>
          <w:p>
            <w:pPr>
              <w:pStyle w:val="Compact"/>
            </w:pPr>
            <w:r>
              <w:t xml:space="preserve">Teorema da equivalência de receitas</w:t>
            </w:r>
          </w:p>
        </w:tc>
        <w:tc>
          <w:tcPr/>
          <w:p>
            <w:pPr>
              <w:pStyle w:val="Compact"/>
            </w:pPr>
            <w:r>
              <w:t xml:space="preserve">Leilões clássicos geram mesma receita esperada sob condições padrão</w:t>
            </w:r>
          </w:p>
        </w:tc>
      </w:tr>
    </w:tbl>
    <w:p>
      <w:pPr>
        <w:pStyle w:val="BodyText"/>
      </w:pPr>
      <w:r>
        <w:rPr>
          <w:b/>
          <w:bCs/>
        </w:rPr>
        <w:t xml:space="preserve">Tabela 19.4 — Conceitos-chave.</w:t>
      </w:r>
    </w:p>
    <w:p>
      <w:r>
        <w:pict>
          <v:rect style="width:0;height:1.5pt" o:hralign="center" o:hrstd="t" o:hr="t"/>
        </w:pict>
      </w:r>
    </w:p>
    <w:bookmarkEnd w:id="1224"/>
    <w:bookmarkStart w:id="1225" w:name="exercícios-24"/>
    <w:p>
      <w:pPr>
        <w:pStyle w:val="Heading3"/>
      </w:pPr>
      <w:r>
        <w:t xml:space="preserve">Exercícios</w:t>
      </w:r>
    </w:p>
    <w:p>
      <w:pPr>
        <w:pStyle w:val="FirstParagraph"/>
      </w:pPr>
      <w:r>
        <w:rPr>
          <w:b/>
          <w:bCs/>
        </w:rPr>
        <w:t xml:space="preserve">Exercício 19.1.</w:t>
      </w:r>
      <w:r>
        <w:t xml:space="preserve"> </w:t>
      </w:r>
      <w:r>
        <w:t xml:space="preserve">Considere um mercado de carros usados no modelo de Akerlof. Há dois tipos de carros: bons (valor de R$ 30.000 para compradores, R$ 25.000 para vendedores) e ruins (valor de R$ 15.000 para compradores, R$ 10.000 para vendedores). Metade dos carros são bons.</w:t>
      </w:r>
    </w:p>
    <w:p>
      <w:pPr>
        <w:pStyle w:val="Compact"/>
        <w:numPr>
          <w:ilvl w:val="0"/>
          <w:numId w:val="2090"/>
        </w:numPr>
      </w:pPr>
      <w:r>
        <w:t xml:space="preserve">Calcule o preço máximo que um comprador desinformado estaria disposto a pagar.</w:t>
      </w:r>
    </w:p>
    <w:p>
      <w:pPr>
        <w:pStyle w:val="Compact"/>
        <w:numPr>
          <w:ilvl w:val="0"/>
          <w:numId w:val="2090"/>
        </w:numPr>
      </w:pPr>
      <w:r>
        <w:t xml:space="preserve">Quais tipos de carros serão transacionados?</w:t>
      </w:r>
    </w:p>
    <w:p>
      <w:pPr>
        <w:pStyle w:val="Compact"/>
        <w:numPr>
          <w:ilvl w:val="0"/>
          <w:numId w:val="2090"/>
        </w:numPr>
      </w:pPr>
      <w:r>
        <w:t xml:space="preserve">Qual seria o resultado sob informação simétrica?</w:t>
      </w:r>
    </w:p>
    <w:p>
      <w:pPr>
        <w:pStyle w:val="Compact"/>
        <w:numPr>
          <w:ilvl w:val="0"/>
          <w:numId w:val="2090"/>
        </w:numPr>
      </w:pPr>
      <w:r>
        <w:t xml:space="preserve">Proponha um mecanismo institucional para atenuar a seleção adversa nesse mercado.</w:t>
      </w:r>
    </w:p>
    <w:p>
      <w:pPr>
        <w:pStyle w:val="FirstParagraph"/>
      </w:pPr>
      <w:r>
        <w:t xml:space="preserve">Ver solução (Cap. 19)</w:t>
      </w:r>
    </w:p>
    <w:p>
      <w:pPr>
        <w:pStyle w:val="BodyText"/>
      </w:pPr>
      <w:r>
        <w:rPr>
          <w:b/>
          <w:bCs/>
        </w:rPr>
        <w:t xml:space="preserve">Exercício 19.2.</w:t>
      </w:r>
      <w:r>
        <w:t xml:space="preserve"> </w:t>
      </w:r>
      <w:r>
        <w:t xml:space="preserve">Um proprietário contrata um gerente cuja utilidade é</w:t>
      </w:r>
      <w:r>
        <w:t xml:space="preserve"> </w:t>
      </w:r>
      <m:oMath>
        <m:r>
          <m:t>U</m:t>
        </m:r>
        <m:r>
          <m:rPr>
            <m:sty m:val="p"/>
          </m:rPr>
          <m:t>=</m:t>
        </m:r>
        <m:rad>
          <m:radPr>
            <m:degHide m:val="on"/>
          </m:radPr>
          <m:deg/>
          <m:e>
            <m:r>
              <m:t>w</m:t>
            </m:r>
          </m:e>
        </m:rad>
        <m:r>
          <m:rPr>
            <m:sty m:val="p"/>
          </m:rPr>
          <m:t>−</m:t>
        </m:r>
        <m:r>
          <m:t>e</m:t>
        </m:r>
      </m:oMath>
      <w:r>
        <w:t xml:space="preserve">, onde</w:t>
      </w:r>
      <w:r>
        <w:t xml:space="preserve"> </w:t>
      </w:r>
      <m:oMath>
        <m:r>
          <m:t>w</m:t>
        </m:r>
      </m:oMath>
      <w:r>
        <w:t xml:space="preserve"> </w:t>
      </w:r>
      <w:r>
        <w:t xml:space="preserve">é o salário e</w:t>
      </w:r>
      <w:r>
        <w:t xml:space="preserve"> </w:t>
      </w:r>
      <m:oMath>
        <m:r>
          <m:t>e</m:t>
        </m:r>
        <m:r>
          <m:rPr>
            <m:sty m:val="p"/>
          </m:rPr>
          <m:t>∈</m:t>
        </m:r>
        <m:r>
          <m:rPr>
            <m:sty m:val="p"/>
          </m:rPr>
          <m:t>{</m:t>
        </m:r>
        <m:r>
          <m:t>0</m:t>
        </m:r>
        <m:r>
          <m:rPr>
            <m:sty m:val="p"/>
          </m:rPr>
          <m:t>,</m:t>
        </m:r>
        <m:r>
          <m:t>1</m:t>
        </m:r>
        <m:r>
          <m:rPr>
            <m:sty m:val="p"/>
          </m:rPr>
          <m:t>}</m:t>
        </m:r>
      </m:oMath>
      <w:r>
        <w:t xml:space="preserve"> </w:t>
      </w:r>
      <w:r>
        <w:t xml:space="preserve">é o esforço. O lucro é</w:t>
      </w:r>
      <w:r>
        <w:t xml:space="preserve"> </w:t>
      </w:r>
      <m:oMath>
        <m:sSub>
          <m:e>
            <m:r>
              <m:t>π</m:t>
            </m:r>
          </m:e>
          <m:sub>
            <m:r>
              <m:t>H</m:t>
            </m:r>
          </m:sub>
        </m:sSub>
        <m:r>
          <m:rPr>
            <m:sty m:val="p"/>
          </m:rPr>
          <m:t>=</m:t>
        </m:r>
        <m:r>
          <m:t>200</m:t>
        </m:r>
      </m:oMath>
      <w:r>
        <w:t xml:space="preserve"> </w:t>
      </w:r>
      <w:r>
        <w:t xml:space="preserve">com probabilidade</w:t>
      </w:r>
      <w:r>
        <w:t xml:space="preserve"> </w:t>
      </w:r>
      <m:oMath>
        <m:r>
          <m:t>p</m:t>
        </m:r>
        <m:r>
          <m:rPr>
            <m:sty m:val="p"/>
          </m:rPr>
          <m:t>(</m:t>
        </m:r>
        <m:r>
          <m:t>e</m:t>
        </m:r>
        <m:r>
          <m:rPr>
            <m:sty m:val="p"/>
          </m:rPr>
          <m:t>)</m:t>
        </m:r>
      </m:oMath>
      <w:r>
        <w:t xml:space="preserve"> </w:t>
      </w:r>
      <w:r>
        <w:t xml:space="preserve">e</w:t>
      </w:r>
      <w:r>
        <w:t xml:space="preserve"> </w:t>
      </w:r>
      <m:oMath>
        <m:sSub>
          <m:e>
            <m:r>
              <m:t>π</m:t>
            </m:r>
          </m:e>
          <m:sub>
            <m:r>
              <m:t>L</m:t>
            </m:r>
          </m:sub>
        </m:sSub>
        <m:r>
          <m:rPr>
            <m:sty m:val="p"/>
          </m:rPr>
          <m:t>=</m:t>
        </m:r>
        <m:r>
          <m:t>50</m:t>
        </m:r>
      </m:oMath>
      <w:r>
        <w:t xml:space="preserve"> </w:t>
      </w:r>
      <w:r>
        <w:t xml:space="preserve">caso contrário, onde</w:t>
      </w:r>
      <w:r>
        <w:t xml:space="preserve"> </w:t>
      </w:r>
      <m:oMath>
        <m:r>
          <m:t>p</m:t>
        </m:r>
        <m:r>
          <m:rPr>
            <m:sty m:val="p"/>
          </m:rPr>
          <m:t>(</m:t>
        </m:r>
        <m:r>
          <m:t>1</m:t>
        </m:r>
        <m:r>
          <m:rPr>
            <m:sty m:val="p"/>
          </m:rPr>
          <m:t>)</m:t>
        </m:r>
        <m:r>
          <m:rPr>
            <m:sty m:val="p"/>
          </m:rPr>
          <m:t>=</m:t>
        </m:r>
        <m:r>
          <m:t>0</m:t>
        </m:r>
        <m:r>
          <m:rPr>
            <m:sty m:val="p"/>
          </m:rPr>
          <m:t>,</m:t>
        </m:r>
        <m:r>
          <m:t>8</m:t>
        </m:r>
      </m:oMath>
      <w:r>
        <w:t xml:space="preserve"> </w:t>
      </w:r>
      <w:r>
        <w:t xml:space="preserve">e</w:t>
      </w:r>
      <w:r>
        <w:t xml:space="preserve"> </w:t>
      </w:r>
      <m:oMath>
        <m:r>
          <m:t>p</m:t>
        </m:r>
        <m:r>
          <m:rPr>
            <m:sty m:val="p"/>
          </m:rPr>
          <m:t>(</m:t>
        </m:r>
        <m:r>
          <m:t>0</m:t>
        </m:r>
        <m:r>
          <m:rPr>
            <m:sty m:val="p"/>
          </m:rPr>
          <m:t>)</m:t>
        </m:r>
        <m:r>
          <m:rPr>
            <m:sty m:val="p"/>
          </m:rPr>
          <m:t>=</m:t>
        </m:r>
        <m:r>
          <m:t>0</m:t>
        </m:r>
        <m:r>
          <m:rPr>
            <m:sty m:val="p"/>
          </m:rPr>
          <m:t>,</m:t>
        </m:r>
        <m:r>
          <m:t>3</m:t>
        </m:r>
      </m:oMath>
      <w:r>
        <w:t xml:space="preserve">. A utilidade de reserva é</w:t>
      </w:r>
      <w:r>
        <w:t xml:space="preserve"> </w:t>
      </w:r>
      <m:oMath>
        <m:acc>
          <m:accPr>
            <m:chr m:val="‾"/>
          </m:accPr>
          <m:e>
            <m:r>
              <m:t>U</m:t>
            </m:r>
          </m:e>
        </m:acc>
        <m:r>
          <m:rPr>
            <m:sty m:val="p"/>
          </m:rPr>
          <m:t>=</m:t>
        </m:r>
        <m:r>
          <m:t>5</m:t>
        </m:r>
      </m:oMath>
      <w:r>
        <w:t xml:space="preserve">.</w:t>
      </w:r>
    </w:p>
    <w:p>
      <w:pPr>
        <w:pStyle w:val="Compact"/>
        <w:numPr>
          <w:ilvl w:val="0"/>
          <w:numId w:val="2091"/>
        </w:numPr>
      </w:pPr>
      <w:r>
        <w:t xml:space="preserve">Escreva as restrições de participação e de incentivo para induzir</w:t>
      </w:r>
      <w:r>
        <w:t xml:space="preserve"> </w:t>
      </w:r>
      <m:oMath>
        <m:r>
          <m:t>e</m:t>
        </m:r>
        <m:r>
          <m:rPr>
            <m:sty m:val="p"/>
          </m:rPr>
          <m:t>=</m:t>
        </m:r>
        <m:r>
          <m:t>1</m:t>
        </m:r>
      </m:oMath>
      <w:r>
        <w:t xml:space="preserve">.</w:t>
      </w:r>
    </w:p>
    <w:p>
      <w:pPr>
        <w:pStyle w:val="Compact"/>
        <w:numPr>
          <w:ilvl w:val="0"/>
          <w:numId w:val="2091"/>
        </w:numPr>
      </w:pPr>
      <w:r>
        <w:t xml:space="preserve">Resolva para os pagamentos ótimos</w:t>
      </w:r>
      <w:r>
        <w:t xml:space="preserve"> </w:t>
      </w:r>
      <m:oMath>
        <m:sSubSup>
          <m:e>
            <m:r>
              <m:t>w</m:t>
            </m:r>
          </m:e>
          <m:sub>
            <m:r>
              <m:t>H</m:t>
            </m:r>
          </m:sub>
          <m:sup>
            <m:r>
              <m:rPr>
                <m:sty m:val="p"/>
              </m:rPr>
              <m:t>*</m:t>
            </m:r>
          </m:sup>
        </m:sSubSup>
      </m:oMath>
      <w:r>
        <w:t xml:space="preserve"> </w:t>
      </w:r>
      <w:r>
        <w:t xml:space="preserve">e</w:t>
      </w:r>
      <w:r>
        <w:t xml:space="preserve"> </w:t>
      </w:r>
      <m:oMath>
        <m:sSubSup>
          <m:e>
            <m:r>
              <m:t>w</m:t>
            </m:r>
          </m:e>
          <m:sub>
            <m:r>
              <m:t>L</m:t>
            </m:r>
          </m:sub>
          <m:sup>
            <m:r>
              <m:rPr>
                <m:sty m:val="p"/>
              </m:rPr>
              <m:t>*</m:t>
            </m:r>
          </m:sup>
        </m:sSubSup>
      </m:oMath>
      <w:r>
        <w:t xml:space="preserve">.</w:t>
      </w:r>
    </w:p>
    <w:p>
      <w:pPr>
        <w:pStyle w:val="Compact"/>
        <w:numPr>
          <w:ilvl w:val="0"/>
          <w:numId w:val="2091"/>
        </w:numPr>
      </w:pPr>
      <w:r>
        <w:t xml:space="preserve">Compare o custo esperado do contrato com o first-best.</w:t>
      </w:r>
    </w:p>
    <w:p>
      <w:pPr>
        <w:pStyle w:val="FirstParagraph"/>
      </w:pPr>
      <w:r>
        <w:t xml:space="preserve">Ver solução (Cap. 19)</w:t>
      </w:r>
    </w:p>
    <w:p>
      <w:pPr>
        <w:pStyle w:val="BodyText"/>
      </w:pPr>
      <w:r>
        <w:rPr>
          <w:b/>
          <w:bCs/>
        </w:rPr>
        <w:t xml:space="preserve">Exercício 19.3.</w:t>
      </w:r>
      <w:r>
        <w:t xml:space="preserve"> </w:t>
      </w:r>
      <w:r>
        <w:t xml:space="preserve">No modelo de Spence, há dois tipos de trabalhadores. O tipo H tem produtividade</w:t>
      </w:r>
      <w:r>
        <w:t xml:space="preserve"> </w:t>
      </w:r>
      <m:oMath>
        <m:sSub>
          <m:e>
            <m:r>
              <m:t>θ</m:t>
            </m:r>
          </m:e>
          <m:sub>
            <m:r>
              <m:t>H</m:t>
            </m:r>
          </m:sub>
        </m:sSub>
        <m:r>
          <m:rPr>
            <m:sty m:val="p"/>
          </m:rPr>
          <m:t>=</m:t>
        </m:r>
        <m:r>
          <m:t>100</m:t>
        </m:r>
      </m:oMath>
      <w:r>
        <w:t xml:space="preserve"> </w:t>
      </w:r>
      <w:r>
        <w:t xml:space="preserve">e custo de educação</w:t>
      </w:r>
      <w:r>
        <w:t xml:space="preserve"> </w:t>
      </w:r>
      <m:oMath>
        <m:sSub>
          <m:e>
            <m:r>
              <m:t>c</m:t>
            </m:r>
          </m:e>
          <m:sub>
            <m:r>
              <m:t>H</m:t>
            </m:r>
          </m:sub>
        </m:sSub>
        <m:r>
          <m:rPr>
            <m:sty m:val="p"/>
          </m:rPr>
          <m:t>(</m:t>
        </m:r>
        <m:r>
          <m:t>s</m:t>
        </m:r>
        <m:r>
          <m:rPr>
            <m:sty m:val="p"/>
          </m:rPr>
          <m:t>)</m:t>
        </m:r>
        <m:r>
          <m:rPr>
            <m:sty m:val="p"/>
          </m:rPr>
          <m:t>=</m:t>
        </m:r>
        <m:r>
          <m:t>s</m:t>
        </m:r>
        <m:r>
          <m:rPr>
            <m:sty m:val="p"/>
          </m:rPr>
          <m:t>/</m:t>
        </m:r>
        <m:r>
          <m:t>2</m:t>
        </m:r>
      </m:oMath>
      <w:r>
        <w:t xml:space="preserve">. O tipo L tem produtividade</w:t>
      </w:r>
      <w:r>
        <w:t xml:space="preserve"> </w:t>
      </w:r>
      <m:oMath>
        <m:sSub>
          <m:e>
            <m:r>
              <m:t>θ</m:t>
            </m:r>
          </m:e>
          <m:sub>
            <m:r>
              <m:t>L</m:t>
            </m:r>
          </m:sub>
        </m:sSub>
        <m:r>
          <m:rPr>
            <m:sty m:val="p"/>
          </m:rPr>
          <m:t>=</m:t>
        </m:r>
        <m:r>
          <m:t>50</m:t>
        </m:r>
      </m:oMath>
      <w:r>
        <w:t xml:space="preserve"> </w:t>
      </w:r>
      <w:r>
        <w:t xml:space="preserve">e custo de educação</w:t>
      </w:r>
      <w:r>
        <w:t xml:space="preserve"> </w:t>
      </w:r>
      <m:oMath>
        <m:sSub>
          <m:e>
            <m:r>
              <m:t>c</m:t>
            </m:r>
          </m:e>
          <m:sub>
            <m:r>
              <m:t>L</m:t>
            </m:r>
          </m:sub>
        </m:sSub>
        <m:r>
          <m:rPr>
            <m:sty m:val="p"/>
          </m:rPr>
          <m:t>(</m:t>
        </m:r>
        <m:r>
          <m:t>s</m:t>
        </m:r>
        <m:r>
          <m:rPr>
            <m:sty m:val="p"/>
          </m:rPr>
          <m:t>)</m:t>
        </m:r>
        <m:r>
          <m:rPr>
            <m:sty m:val="p"/>
          </m:rPr>
          <m:t>=</m:t>
        </m:r>
        <m:r>
          <m:t>s</m:t>
        </m:r>
      </m:oMath>
      <w:r>
        <w:t xml:space="preserve">.</w:t>
      </w:r>
    </w:p>
    <w:p>
      <w:pPr>
        <w:pStyle w:val="Compact"/>
        <w:numPr>
          <w:ilvl w:val="0"/>
          <w:numId w:val="2092"/>
        </w:numPr>
      </w:pPr>
      <w:r>
        <w:t xml:space="preserve">Determine o intervalo de níveis de educação</w:t>
      </w:r>
      <w:r>
        <w:t xml:space="preserve"> </w:t>
      </w:r>
      <m:oMath>
        <m:sSup>
          <m:e>
            <m:r>
              <m:t>s</m:t>
            </m:r>
          </m:e>
          <m:sup>
            <m:r>
              <m:rPr>
                <m:sty m:val="p"/>
              </m:rPr>
              <m:t>*</m:t>
            </m:r>
          </m:sup>
        </m:sSup>
      </m:oMath>
      <w:r>
        <w:t xml:space="preserve"> </w:t>
      </w:r>
      <w:r>
        <w:t xml:space="preserve">que sustentam um equilíbrio separador.</w:t>
      </w:r>
    </w:p>
    <w:p>
      <w:pPr>
        <w:pStyle w:val="Compact"/>
        <w:numPr>
          <w:ilvl w:val="0"/>
          <w:numId w:val="2092"/>
        </w:numPr>
      </w:pPr>
      <w:r>
        <w:t xml:space="preserve">Qual é o equilíbrio separador de menor custo?</w:t>
      </w:r>
    </w:p>
    <w:p>
      <w:pPr>
        <w:pStyle w:val="Compact"/>
        <w:numPr>
          <w:ilvl w:val="0"/>
          <w:numId w:val="2092"/>
        </w:numPr>
      </w:pPr>
      <w:r>
        <w:t xml:space="preserve">Existe um equilíbrio agregador estável neste modelo? Justifique.</w:t>
      </w:r>
    </w:p>
    <w:p>
      <w:pPr>
        <w:pStyle w:val="Compact"/>
        <w:numPr>
          <w:ilvl w:val="0"/>
          <w:numId w:val="2092"/>
        </w:numPr>
      </w:pPr>
      <w:r>
        <w:t xml:space="preserve">Discuta se a sinalização por educação é socialmente eficiente neste contexto.</w:t>
      </w:r>
    </w:p>
    <w:p>
      <w:pPr>
        <w:pStyle w:val="FirstParagraph"/>
      </w:pPr>
      <w:r>
        <w:t xml:space="preserve">Ver solução (Cap. 19)</w:t>
      </w:r>
    </w:p>
    <w:p>
      <w:pPr>
        <w:pStyle w:val="BodyText"/>
      </w:pPr>
      <w:r>
        <w:rPr>
          <w:b/>
          <w:bCs/>
        </w:rPr>
        <w:t xml:space="preserve">Exercício 19.4.</w:t>
      </w:r>
      <w:r>
        <w:t xml:space="preserve"> </w:t>
      </w:r>
      <w:r>
        <w:t xml:space="preserve">Em um leilão de segundo preço com três licitantes cujas valorações são i.i.d. com distribuição uniforme em</w:t>
      </w:r>
      <w:r>
        <w:t xml:space="preserve"> </w:t>
      </w:r>
      <m:oMath>
        <m:r>
          <m:rPr>
            <m:sty m:val="p"/>
          </m:rPr>
          <m:t>[</m:t>
        </m:r>
        <m:r>
          <m:t>0</m:t>
        </m:r>
        <m:r>
          <m:rPr>
            <m:sty m:val="p"/>
          </m:rPr>
          <m:t>,</m:t>
        </m:r>
        <m:r>
          <m:t>100</m:t>
        </m:r>
        <m:r>
          <m:rPr>
            <m:sty m:val="p"/>
          </m:rPr>
          <m:t>]</m:t>
        </m:r>
      </m:oMath>
      <w:r>
        <w:t xml:space="preserve">:</w:t>
      </w:r>
    </w:p>
    <w:p>
      <w:pPr>
        <w:pStyle w:val="Compact"/>
        <w:numPr>
          <w:ilvl w:val="0"/>
          <w:numId w:val="2093"/>
        </w:numPr>
      </w:pPr>
      <w:r>
        <w:t xml:space="preserve">Qual é a estratégia ótima de cada licitante?</w:t>
      </w:r>
    </w:p>
    <w:p>
      <w:pPr>
        <w:pStyle w:val="Compact"/>
        <w:numPr>
          <w:ilvl w:val="0"/>
          <w:numId w:val="2093"/>
        </w:numPr>
      </w:pPr>
      <w:r>
        <w:t xml:space="preserve">Calcule a receita esperada do vendedor.</w:t>
      </w:r>
    </w:p>
    <w:p>
      <w:pPr>
        <w:pStyle w:val="Compact"/>
        <w:numPr>
          <w:ilvl w:val="0"/>
          <w:numId w:val="2093"/>
        </w:numPr>
      </w:pPr>
      <w:r>
        <w:t xml:space="preserve">Usando o Teorema da Equivalência de Receita, qual seria a receita esperada em um leilão de primeiro preço?</w:t>
      </w:r>
    </w:p>
    <w:p>
      <w:pPr>
        <w:pStyle w:val="Compact"/>
        <w:numPr>
          <w:ilvl w:val="0"/>
          <w:numId w:val="2093"/>
        </w:numPr>
      </w:pPr>
      <w:r>
        <w:t xml:space="preserve">No leilão de primeiro preço, qual é a estratégia de equilíbrio simétrico?</w:t>
      </w:r>
    </w:p>
    <w:p>
      <w:pPr>
        <w:pStyle w:val="FirstParagraph"/>
      </w:pPr>
      <w:r>
        <w:t xml:space="preserve">Ver solução (Cap. 19)</w:t>
      </w:r>
    </w:p>
    <w:p>
      <w:pPr>
        <w:pStyle w:val="BodyText"/>
      </w:pPr>
      <w:r>
        <w:rPr>
          <w:b/>
          <w:bCs/>
        </w:rPr>
        <w:t xml:space="preserve">Exercício 19.5.</w:t>
      </w:r>
      <w:r>
        <w:t xml:space="preserve"> </w:t>
      </w:r>
      <w:r>
        <w:t xml:space="preserve">Uma seguradora opera num mercado com dois tipos de consumidores. O tipo A tem probabilidade de sinistro</w:t>
      </w:r>
      <w:r>
        <w:t xml:space="preserve"> </w:t>
      </w:r>
      <m:oMath>
        <m:sSub>
          <m:e>
            <m:r>
              <m:t>p</m:t>
            </m:r>
          </m:e>
          <m:sub>
            <m:r>
              <m:t>A</m:t>
            </m:r>
          </m:sub>
        </m:sSub>
        <m:r>
          <m:rPr>
            <m:sty m:val="p"/>
          </m:rPr>
          <m:t>=</m:t>
        </m:r>
        <m:r>
          <m:t>0</m:t>
        </m:r>
        <m:r>
          <m:rPr>
            <m:sty m:val="p"/>
          </m:rPr>
          <m:t>,</m:t>
        </m:r>
        <m:r>
          <m:t>1</m:t>
        </m:r>
      </m:oMath>
      <w:r>
        <w:t xml:space="preserve"> </w:t>
      </w:r>
      <w:r>
        <w:t xml:space="preserve">e o tipo B tem</w:t>
      </w:r>
      <w:r>
        <w:t xml:space="preserve"> </w:t>
      </w:r>
      <m:oMath>
        <m:sSub>
          <m:e>
            <m:r>
              <m:t>p</m:t>
            </m:r>
          </m:e>
          <m:sub>
            <m:r>
              <m:t>B</m:t>
            </m:r>
          </m:sub>
        </m:sSub>
        <m:r>
          <m:rPr>
            <m:sty m:val="p"/>
          </m:rPr>
          <m:t>=</m:t>
        </m:r>
        <m:r>
          <m:t>0</m:t>
        </m:r>
        <m:r>
          <m:rPr>
            <m:sty m:val="p"/>
          </m:rPr>
          <m:t>,</m:t>
        </m:r>
        <m:r>
          <m:t>4</m:t>
        </m:r>
      </m:oMath>
      <w:r>
        <w:t xml:space="preserve">. Ambos têm riqueza</w:t>
      </w:r>
      <w:r>
        <w:t xml:space="preserve"> </w:t>
      </w:r>
      <m:oMath>
        <m:r>
          <m:t>W</m:t>
        </m:r>
        <m:r>
          <m:rPr>
            <m:sty m:val="p"/>
          </m:rPr>
          <m:t>=</m:t>
        </m:r>
        <m:r>
          <m:t>100</m:t>
        </m:r>
      </m:oMath>
      <w:r>
        <w:t xml:space="preserve"> </w:t>
      </w:r>
      <w:r>
        <w:t xml:space="preserve">e perda potencial</w:t>
      </w:r>
      <w:r>
        <w:t xml:space="preserve"> </w:t>
      </w:r>
      <m:oMath>
        <m:r>
          <m:t>d</m:t>
        </m:r>
        <m:r>
          <m:rPr>
            <m:sty m:val="p"/>
          </m:rPr>
          <m:t>=</m:t>
        </m:r>
        <m:r>
          <m:t>80</m:t>
        </m:r>
      </m:oMath>
      <w:r>
        <w:t xml:space="preserve">. A proporção de tipo A é</w:t>
      </w:r>
      <w:r>
        <w:t xml:space="preserve"> </w:t>
      </w:r>
      <m:oMath>
        <m:r>
          <m:t>60</m:t>
        </m:r>
        <m:r>
          <m:rPr>
            <m:sty m:val="p"/>
          </m:rPr>
          <m:t>%</m:t>
        </m:r>
      </m:oMath>
      <w:r>
        <w:t xml:space="preserve">. A utilidade é</w:t>
      </w:r>
      <w:r>
        <w:t xml:space="preserve"> </w:t>
      </w:r>
      <m:oMath>
        <m:r>
          <m:t>U</m:t>
        </m:r>
        <m:r>
          <m:rPr>
            <m:sty m:val="p"/>
          </m:rPr>
          <m:t>(</m:t>
        </m:r>
        <m:r>
          <m:t>W</m:t>
        </m:r>
        <m:r>
          <m:rPr>
            <m:sty m:val="p"/>
          </m:rPr>
          <m:t>)</m:t>
        </m:r>
        <m:r>
          <m:rPr>
            <m:sty m:val="p"/>
          </m:rPr>
          <m:t>=</m:t>
        </m:r>
        <m:r>
          <m:rPr>
            <m:sty m:val="p"/>
          </m:rPr>
          <m:t>ln</m:t>
        </m:r>
        <m:r>
          <m:rPr>
            <m:sty m:val="p"/>
          </m:rPr>
          <m:t>(</m:t>
        </m:r>
        <m:r>
          <m:t>W</m:t>
        </m:r>
        <m:r>
          <m:rPr>
            <m:sty m:val="p"/>
          </m:rPr>
          <m:t>)</m:t>
        </m:r>
      </m:oMath>
      <w:r>
        <w:t xml:space="preserve">.</w:t>
      </w:r>
    </w:p>
    <w:p>
      <w:pPr>
        <w:pStyle w:val="Compact"/>
        <w:numPr>
          <w:ilvl w:val="0"/>
          <w:numId w:val="2094"/>
        </w:numPr>
      </w:pPr>
      <w:r>
        <w:t xml:space="preserve">Calcule os contratos de seguro completo atuarialmente justos para cada tipo.</w:t>
      </w:r>
    </w:p>
    <w:p>
      <w:pPr>
        <w:pStyle w:val="Compact"/>
        <w:numPr>
          <w:ilvl w:val="0"/>
          <w:numId w:val="2094"/>
        </w:numPr>
      </w:pPr>
      <w:r>
        <w:t xml:space="preserve">Mostre que um contrato agregador (pooling) com seguro completo à taxa média não é um equilíbrio.</w:t>
      </w:r>
    </w:p>
    <w:p>
      <w:pPr>
        <w:pStyle w:val="Compact"/>
        <w:numPr>
          <w:ilvl w:val="0"/>
          <w:numId w:val="2094"/>
        </w:numPr>
      </w:pPr>
      <w:r>
        <w:t xml:space="preserve">No equilíbrio separador, o tipo B recebe seguro completo. Escreva a condição de incentivo-compatibilidade que determina a cobertura máxima para o tipo A.</w:t>
      </w:r>
    </w:p>
    <w:p>
      <w:pPr>
        <w:pStyle w:val="Compact"/>
        <w:numPr>
          <w:ilvl w:val="0"/>
          <w:numId w:val="2094"/>
        </w:numPr>
      </w:pPr>
      <w:r>
        <w:t xml:space="preserve">Discuta qualitativamente como a proporção de tipos afeta a existência do equilíbrio separador.</w:t>
      </w:r>
    </w:p>
    <w:p>
      <w:pPr>
        <w:pStyle w:val="FirstParagraph"/>
      </w:pPr>
      <w:r>
        <w:t xml:space="preserve">Ver solução (Cap. 19)</w:t>
      </w:r>
    </w:p>
    <w:p>
      <w:pPr>
        <w:pStyle w:val="BodyText"/>
      </w:pPr>
      <w:r>
        <w:rPr>
          <w:b/>
          <w:bCs/>
        </w:rPr>
        <w:t xml:space="preserve">Exercício 19.6.</w:t>
      </w:r>
      <w:r>
        <w:t xml:space="preserve"> </w:t>
      </w:r>
      <w:r>
        <w:t xml:space="preserve">Considere um mercado de carros usados com três qualidades: alta (</w:t>
      </w:r>
      <m:oMath>
        <m:sSub>
          <m:e>
            <m:r>
              <m:t>v</m:t>
            </m:r>
          </m:e>
          <m:sub>
            <m:r>
              <m:t>A</m:t>
            </m:r>
          </m:sub>
        </m:sSub>
        <m:r>
          <m:rPr>
            <m:sty m:val="p"/>
          </m:rPr>
          <m:t>=</m:t>
        </m:r>
        <m:r>
          <m:t>90</m:t>
        </m:r>
      </m:oMath>
      <w:r>
        <w:t xml:space="preserve"> </w:t>
      </w:r>
      <w:r>
        <w:t xml:space="preserve">para compradores,</w:t>
      </w:r>
      <w:r>
        <w:t xml:space="preserve"> </w:t>
      </w:r>
      <m:oMath>
        <m:sSub>
          <m:e>
            <m:r>
              <m:t>c</m:t>
            </m:r>
          </m:e>
          <m:sub>
            <m:r>
              <m:t>A</m:t>
            </m:r>
          </m:sub>
        </m:sSub>
        <m:r>
          <m:rPr>
            <m:sty m:val="p"/>
          </m:rPr>
          <m:t>=</m:t>
        </m:r>
        <m:r>
          <m:t>70</m:t>
        </m:r>
      </m:oMath>
      <w:r>
        <w:t xml:space="preserve"> </w:t>
      </w:r>
      <w:r>
        <w:t xml:space="preserve">para vendedores), média (</w:t>
      </w:r>
      <m:oMath>
        <m:sSub>
          <m:e>
            <m:r>
              <m:t>v</m:t>
            </m:r>
          </m:e>
          <m:sub>
            <m:r>
              <m:t>M</m:t>
            </m:r>
          </m:sub>
        </m:sSub>
        <m:r>
          <m:rPr>
            <m:sty m:val="p"/>
          </m:rPr>
          <m:t>=</m:t>
        </m:r>
        <m:r>
          <m:t>60</m:t>
        </m:r>
      </m:oMath>
      <w:r>
        <w:t xml:space="preserve">,</w:t>
      </w:r>
      <w:r>
        <w:t xml:space="preserve"> </w:t>
      </w:r>
      <m:oMath>
        <m:sSub>
          <m:e>
            <m:r>
              <m:t>c</m:t>
            </m:r>
          </m:e>
          <m:sub>
            <m:r>
              <m:t>M</m:t>
            </m:r>
          </m:sub>
        </m:sSub>
        <m:r>
          <m:rPr>
            <m:sty m:val="p"/>
          </m:rPr>
          <m:t>=</m:t>
        </m:r>
        <m:r>
          <m:t>50</m:t>
        </m:r>
      </m:oMath>
      <w:r>
        <w:t xml:space="preserve">) e baixa (</w:t>
      </w:r>
      <m:oMath>
        <m:sSub>
          <m:e>
            <m:r>
              <m:t>v</m:t>
            </m:r>
          </m:e>
          <m:sub>
            <m:r>
              <m:t>B</m:t>
            </m:r>
          </m:sub>
        </m:sSub>
        <m:r>
          <m:rPr>
            <m:sty m:val="p"/>
          </m:rPr>
          <m:t>=</m:t>
        </m:r>
        <m:r>
          <m:t>30</m:t>
        </m:r>
      </m:oMath>
      <w:r>
        <w:t xml:space="preserve">,</w:t>
      </w:r>
      <w:r>
        <w:t xml:space="preserve"> </w:t>
      </w:r>
      <m:oMath>
        <m:sSub>
          <m:e>
            <m:r>
              <m:t>c</m:t>
            </m:r>
          </m:e>
          <m:sub>
            <m:r>
              <m:t>B</m:t>
            </m:r>
          </m:sub>
        </m:sSub>
        <m:r>
          <m:rPr>
            <m:sty m:val="p"/>
          </m:rPr>
          <m:t>=</m:t>
        </m:r>
        <m:r>
          <m:t>20</m:t>
        </m:r>
      </m:oMath>
      <w:r>
        <w:t xml:space="preserve">). Cada tipo representa</w:t>
      </w:r>
      <w:r>
        <w:t xml:space="preserve"> </w:t>
      </w:r>
      <m:oMath>
        <m:r>
          <m:t>1</m:t>
        </m:r>
        <m:r>
          <m:rPr>
            <m:sty m:val="p"/>
          </m:rPr>
          <m:t>/</m:t>
        </m:r>
        <m:r>
          <m:t>3</m:t>
        </m:r>
      </m:oMath>
      <w:r>
        <w:t xml:space="preserve"> </w:t>
      </w:r>
      <w:r>
        <w:t xml:space="preserve">do mercado. Compradores não observam a qualidade.</w:t>
      </w:r>
    </w:p>
    <w:p>
      <w:pPr>
        <w:pStyle w:val="Compact"/>
        <w:numPr>
          <w:ilvl w:val="0"/>
          <w:numId w:val="2095"/>
        </w:numPr>
      </w:pPr>
      <w:r>
        <w:t xml:space="preserve">Calcule o preço máximo que um comprador desinformado pagaria se todos os tipos estivessem à venda. Quais tipos permanecem no mercado?</w:t>
      </w:r>
    </w:p>
    <w:p>
      <w:pPr>
        <w:pStyle w:val="Compact"/>
        <w:numPr>
          <w:ilvl w:val="0"/>
          <w:numId w:val="2095"/>
        </w:numPr>
      </w:pPr>
      <w:r>
        <w:t xml:space="preserve">Itere o raciocínio de seleção adversa: dado que os tipos expulsos saem, recalcule o valor esperado e determine o equilíbrio final.</w:t>
      </w:r>
    </w:p>
    <w:p>
      <w:pPr>
        <w:pStyle w:val="Compact"/>
        <w:numPr>
          <w:ilvl w:val="0"/>
          <w:numId w:val="2095"/>
        </w:numPr>
      </w:pPr>
      <w:r>
        <w:t xml:space="preserve">Calcule a perda de bem-estar (excedente destruído) comparando com o resultado de informação simétrica.</w:t>
      </w:r>
    </w:p>
    <w:p>
      <w:pPr>
        <w:pStyle w:val="Compact"/>
        <w:numPr>
          <w:ilvl w:val="0"/>
          <w:numId w:val="2095"/>
        </w:numPr>
      </w:pPr>
      <w:r>
        <w:t xml:space="preserve">Suponha que vendedores de qualidade alta possam oferecer uma garantia ao custo de</w:t>
      </w:r>
      <w:r>
        <w:t xml:space="preserve"> </w:t>
      </w:r>
      <m:oMath>
        <m:r>
          <m:t>5</m:t>
        </m:r>
      </m:oMath>
      <w:r>
        <w:t xml:space="preserve"> </w:t>
      </w:r>
      <w:r>
        <w:t xml:space="preserve">para carros bons e</w:t>
      </w:r>
      <w:r>
        <w:t xml:space="preserve"> </w:t>
      </w:r>
      <m:oMath>
        <m:r>
          <m:t>25</m:t>
        </m:r>
      </m:oMath>
      <w:r>
        <w:t xml:space="preserve"> </w:t>
      </w:r>
      <w:r>
        <w:t xml:space="preserve">para carros ruins/médios. A garantia resolve o problema? Justifique.</w:t>
      </w:r>
    </w:p>
    <w:p>
      <w:pPr>
        <w:pStyle w:val="FirstParagraph"/>
      </w:pPr>
      <w:r>
        <w:t xml:space="preserve">Ver solução (Cap. 19)</w:t>
      </w:r>
    </w:p>
    <w:p>
      <w:pPr>
        <w:pStyle w:val="BodyText"/>
      </w:pPr>
      <w:r>
        <w:rPr>
          <w:b/>
          <w:bCs/>
        </w:rPr>
        <w:t xml:space="preserve">Exercício 19.7.</w:t>
      </w:r>
      <w:r>
        <w:t xml:space="preserve"> </w:t>
      </w:r>
      <w:r>
        <w:t xml:space="preserve">Um segurado escolhe o nível de precaução</w:t>
      </w:r>
      <w:r>
        <w:t xml:space="preserve"> </w:t>
      </w:r>
      <m:oMath>
        <m:r>
          <m:t>e</m:t>
        </m:r>
        <m:r>
          <m:rPr>
            <m:sty m:val="p"/>
          </m:rPr>
          <m:t>∈</m:t>
        </m:r>
        <m:r>
          <m:rPr>
            <m:sty m:val="p"/>
          </m:rPr>
          <m:t>[</m:t>
        </m:r>
        <m:r>
          <m:t>0</m:t>
        </m:r>
        <m:r>
          <m:rPr>
            <m:sty m:val="p"/>
          </m:rPr>
          <m:t>,</m:t>
        </m:r>
        <m:r>
          <m:t>1</m:t>
        </m:r>
        <m:r>
          <m:rPr>
            <m:sty m:val="p"/>
          </m:rPr>
          <m:t>]</m:t>
        </m:r>
      </m:oMath>
      <w:r>
        <w:t xml:space="preserve"> </w:t>
      </w:r>
      <w:r>
        <w:t xml:space="preserve">que reduz a probabilidade de sinistro para</w:t>
      </w:r>
      <w:r>
        <w:t xml:space="preserve"> </w:t>
      </w:r>
      <m:oMath>
        <m:r>
          <m:t>p</m:t>
        </m:r>
        <m:r>
          <m:rPr>
            <m:sty m:val="p"/>
          </m:rPr>
          <m:t>(</m:t>
        </m:r>
        <m:r>
          <m:t>e</m:t>
        </m:r>
        <m:r>
          <m:rPr>
            <m:sty m:val="p"/>
          </m:rPr>
          <m:t>)</m:t>
        </m:r>
        <m:r>
          <m:rPr>
            <m:sty m:val="p"/>
          </m:rPr>
          <m:t>=</m:t>
        </m:r>
        <m:r>
          <m:t>1</m:t>
        </m:r>
        <m:r>
          <m:rPr>
            <m:sty m:val="p"/>
          </m:rPr>
          <m:t>−</m:t>
        </m:r>
        <m:r>
          <m:t>e</m:t>
        </m:r>
      </m:oMath>
      <w:r>
        <w:t xml:space="preserve">. O custo do esforço é</w:t>
      </w:r>
      <w:r>
        <w:t xml:space="preserve"> </w:t>
      </w:r>
      <m:oMath>
        <m:r>
          <m:t>C</m:t>
        </m:r>
        <m:r>
          <m:rPr>
            <m:sty m:val="p"/>
          </m:rPr>
          <m:t>(</m:t>
        </m:r>
        <m:r>
          <m:t>e</m:t>
        </m:r>
        <m:r>
          <m:rPr>
            <m:sty m:val="p"/>
          </m:rPr>
          <m:t>)</m:t>
        </m:r>
        <m:r>
          <m:rPr>
            <m:sty m:val="p"/>
          </m:rPr>
          <m:t>=</m:t>
        </m:r>
        <m:sSup>
          <m:e>
            <m:r>
              <m:t>e</m:t>
            </m:r>
          </m:e>
          <m:sup>
            <m:r>
              <m:t>2</m:t>
            </m:r>
          </m:sup>
        </m:sSup>
        <m:r>
          <m:rPr>
            <m:sty m:val="p"/>
          </m:rPr>
          <m:t>/</m:t>
        </m:r>
        <m:r>
          <m:t>2</m:t>
        </m:r>
      </m:oMath>
      <w:r>
        <w:t xml:space="preserve">. A perda em caso de sinistro é</w:t>
      </w:r>
      <w:r>
        <w:t xml:space="preserve"> </w:t>
      </w:r>
      <m:oMath>
        <m:r>
          <m:t>L</m:t>
        </m:r>
        <m:r>
          <m:rPr>
            <m:sty m:val="p"/>
          </m:rPr>
          <m:t>=</m:t>
        </m:r>
        <m:r>
          <m:t>100</m:t>
        </m:r>
      </m:oMath>
      <w:r>
        <w:t xml:space="preserve">. A seguradora oferece cobertura</w:t>
      </w:r>
      <w:r>
        <w:t xml:space="preserve"> </w:t>
      </w:r>
      <m:oMath>
        <m:r>
          <m:t>α</m:t>
        </m:r>
        <m:r>
          <m:rPr>
            <m:sty m:val="p"/>
          </m:rPr>
          <m:t>∈</m:t>
        </m:r>
        <m:r>
          <m:rPr>
            <m:sty m:val="p"/>
          </m:rPr>
          <m:t>[</m:t>
        </m:r>
        <m:r>
          <m:t>0</m:t>
        </m:r>
        <m:r>
          <m:rPr>
            <m:sty m:val="p"/>
          </m:rPr>
          <m:t>,</m:t>
        </m:r>
        <m:r>
          <m:t>1</m:t>
        </m:r>
        <m:r>
          <m:rPr>
            <m:sty m:val="p"/>
          </m:rPr>
          <m:t>]</m:t>
        </m:r>
      </m:oMath>
      <w:r>
        <w:t xml:space="preserve"> </w:t>
      </w:r>
      <w:r>
        <w:t xml:space="preserve">(fração da perda reembolsada) ao prêmio atuarialmente justo</w:t>
      </w:r>
      <w:r>
        <w:t xml:space="preserve"> </w:t>
      </w:r>
      <m:oMath>
        <m:r>
          <m:t>π</m:t>
        </m:r>
        <m:r>
          <m:rPr>
            <m:sty m:val="p"/>
          </m:rPr>
          <m:t>=</m:t>
        </m:r>
        <m:r>
          <m:t>α</m:t>
        </m:r>
        <m:r>
          <m:rPr>
            <m:sty m:val="p"/>
          </m:rPr>
          <m:t>⋅</m:t>
        </m:r>
        <m:r>
          <m:t>p</m:t>
        </m:r>
        <m:r>
          <m:rPr>
            <m:sty m:val="p"/>
          </m:rPr>
          <m:t>(</m:t>
        </m:r>
        <m:r>
          <m:t>e</m:t>
        </m:r>
        <m:r>
          <m:rPr>
            <m:sty m:val="p"/>
          </m:rPr>
          <m:t>)</m:t>
        </m:r>
        <m:r>
          <m:rPr>
            <m:sty m:val="p"/>
          </m:rPr>
          <m:t>⋅</m:t>
        </m:r>
        <m:r>
          <m:t>L</m:t>
        </m:r>
      </m:oMath>
      <w:r>
        <w:t xml:space="preserve">.</w:t>
      </w:r>
    </w:p>
    <w:p>
      <w:pPr>
        <w:pStyle w:val="Compact"/>
        <w:numPr>
          <w:ilvl w:val="0"/>
          <w:numId w:val="2096"/>
        </w:numPr>
      </w:pPr>
      <w:r>
        <w:t xml:space="preserve">Se o esforço fosse observável (first-best), qual o nível ótimo de precaução</w:t>
      </w:r>
      <w:r>
        <w:t xml:space="preserve"> </w:t>
      </w:r>
      <m:oMath>
        <m:sSup>
          <m:e>
            <m:r>
              <m:t>e</m:t>
            </m:r>
          </m:e>
          <m:sup>
            <m:r>
              <m:t>F</m:t>
            </m:r>
            <m:r>
              <m:t>B</m:t>
            </m:r>
          </m:sup>
        </m:sSup>
      </m:oMath>
      <w:r>
        <w:t xml:space="preserve">?</w:t>
      </w:r>
    </w:p>
    <w:p>
      <w:pPr>
        <w:pStyle w:val="Compact"/>
        <w:numPr>
          <w:ilvl w:val="0"/>
          <w:numId w:val="2096"/>
        </w:numPr>
      </w:pPr>
      <w:r>
        <w:t xml:space="preserve">Com esforço não observável e cobertura</w:t>
      </w:r>
      <w:r>
        <w:t xml:space="preserve"> </w:t>
      </w:r>
      <m:oMath>
        <m:r>
          <m:t>α</m:t>
        </m:r>
      </m:oMath>
      <w:r>
        <w:t xml:space="preserve">, derive o nível de esforço escolhido pelo segurado</w:t>
      </w:r>
      <w:r>
        <w:t xml:space="preserve"> </w:t>
      </w:r>
      <m:oMath>
        <m:sSup>
          <m:e>
            <m:r>
              <m:t>e</m:t>
            </m:r>
          </m:e>
          <m:sup>
            <m:r>
              <m:rPr>
                <m:sty m:val="p"/>
              </m:rPr>
              <m:t>*</m:t>
            </m:r>
          </m:sup>
        </m:sSup>
        <m:r>
          <m:rPr>
            <m:sty m:val="p"/>
          </m:rPr>
          <m:t>(</m:t>
        </m:r>
        <m:r>
          <m:t>α</m:t>
        </m:r>
        <m:r>
          <m:rPr>
            <m:sty m:val="p"/>
          </m:rPr>
          <m:t>)</m:t>
        </m:r>
      </m:oMath>
      <w:r>
        <w:t xml:space="preserve">.</w:t>
      </w:r>
    </w:p>
    <w:p>
      <w:pPr>
        <w:pStyle w:val="Compact"/>
        <w:numPr>
          <w:ilvl w:val="0"/>
          <w:numId w:val="2096"/>
        </w:numPr>
      </w:pPr>
      <w:r>
        <w:t xml:space="preserve">Mostre que</w:t>
      </w:r>
      <w:r>
        <w:t xml:space="preserve"> </w:t>
      </w:r>
      <m:oMath>
        <m:sSup>
          <m:e>
            <m:r>
              <m:t>e</m:t>
            </m:r>
          </m:e>
          <m:sup>
            <m:r>
              <m:rPr>
                <m:sty m:val="p"/>
              </m:rPr>
              <m:t>*</m:t>
            </m:r>
          </m:sup>
        </m:sSup>
        <m:r>
          <m:rPr>
            <m:sty m:val="p"/>
          </m:rPr>
          <m:t>(</m:t>
        </m:r>
        <m:r>
          <m:t>α</m:t>
        </m:r>
        <m:r>
          <m:rPr>
            <m:sty m:val="p"/>
          </m:rPr>
          <m:t>)</m:t>
        </m:r>
        <m:r>
          <m:rPr>
            <m:sty m:val="p"/>
          </m:rPr>
          <m:t>&lt;</m:t>
        </m:r>
        <m:sSup>
          <m:e>
            <m:r>
              <m:t>e</m:t>
            </m:r>
          </m:e>
          <m:sup>
            <m:r>
              <m:t>F</m:t>
            </m:r>
            <m:r>
              <m:t>B</m:t>
            </m:r>
          </m:sup>
        </m:sSup>
      </m:oMath>
      <w:r>
        <w:t xml:space="preserve"> </w:t>
      </w:r>
      <w:r>
        <w:t xml:space="preserve">para</w:t>
      </w:r>
      <w:r>
        <w:t xml:space="preserve"> </w:t>
      </w:r>
      <m:oMath>
        <m:r>
          <m:t>α</m:t>
        </m:r>
        <m:r>
          <m:rPr>
            <m:sty m:val="p"/>
          </m:rPr>
          <m:t>&gt;</m:t>
        </m:r>
        <m:r>
          <m:t>0</m:t>
        </m:r>
      </m:oMath>
      <w:r>
        <w:t xml:space="preserve">. Interprete o resultado como risco moral.</w:t>
      </w:r>
    </w:p>
    <w:p>
      <w:pPr>
        <w:pStyle w:val="Compact"/>
        <w:numPr>
          <w:ilvl w:val="0"/>
          <w:numId w:val="2096"/>
        </w:numPr>
      </w:pPr>
      <w:r>
        <w:t xml:space="preserve">Qual é a cobertura ótima</w:t>
      </w:r>
      <w:r>
        <w:t xml:space="preserve"> </w:t>
      </w:r>
      <m:oMath>
        <m:sSup>
          <m:e>
            <m:r>
              <m:t>α</m:t>
            </m:r>
          </m:e>
          <m:sup>
            <m:r>
              <m:rPr>
                <m:sty m:val="p"/>
              </m:rPr>
              <m:t>*</m:t>
            </m:r>
          </m:sup>
        </m:sSup>
      </m:oMath>
      <w:r>
        <w:t xml:space="preserve"> </w:t>
      </w:r>
      <w:r>
        <w:t xml:space="preserve">que maximiza o bem-estar do segurado, levando em conta o risco moral? O seguro completo (</w:t>
      </w:r>
      <m:oMath>
        <m:r>
          <m:t>α</m:t>
        </m:r>
        <m:r>
          <m:rPr>
            <m:sty m:val="p"/>
          </m:rPr>
          <m:t>=</m:t>
        </m:r>
        <m:r>
          <m:t>1</m:t>
        </m:r>
      </m:oMath>
      <w:r>
        <w:t xml:space="preserve">) é ótimo?</w:t>
      </w:r>
    </w:p>
    <w:p>
      <w:pPr>
        <w:pStyle w:val="FirstParagraph"/>
      </w:pPr>
      <w:r>
        <w:t xml:space="preserve">Ver solução (Cap. 19)</w:t>
      </w:r>
    </w:p>
    <w:p>
      <w:pPr>
        <w:pStyle w:val="BodyText"/>
      </w:pPr>
      <w:r>
        <w:rPr>
          <w:b/>
          <w:bCs/>
        </w:rPr>
        <w:t xml:space="preserve">Exercício 19.8.</w:t>
      </w:r>
      <w:r>
        <w:t xml:space="preserve"> </w:t>
      </w:r>
      <w:r>
        <w:t xml:space="preserve">No modelo de Spence com contínuo de tipos, suponha que um trabalhador tem produtividade</w:t>
      </w:r>
      <w:r>
        <w:t xml:space="preserve"> </w:t>
      </w:r>
      <m:oMath>
        <m:r>
          <m:t>θ</m:t>
        </m:r>
        <m:r>
          <m:rPr>
            <m:sty m:val="p"/>
          </m:rPr>
          <m:t>∼</m:t>
        </m:r>
        <m:r>
          <m:t>U</m:t>
        </m:r>
        <m:r>
          <m:rPr>
            <m:sty m:val="p"/>
          </m:rPr>
          <m:t>[</m:t>
        </m:r>
        <m:r>
          <m:t>1</m:t>
        </m:r>
        <m:r>
          <m:rPr>
            <m:sty m:val="p"/>
          </m:rPr>
          <m:t>,</m:t>
        </m:r>
        <m:r>
          <m:t>2</m:t>
        </m:r>
        <m:r>
          <m:rPr>
            <m:sty m:val="p"/>
          </m:rPr>
          <m:t>]</m:t>
        </m:r>
      </m:oMath>
      <w:r>
        <w:t xml:space="preserve"> </w:t>
      </w:r>
      <w:r>
        <w:t xml:space="preserve">e custo de educação</w:t>
      </w:r>
      <w:r>
        <w:t xml:space="preserve"> </w:t>
      </w:r>
      <m:oMath>
        <m:r>
          <m:t>c</m:t>
        </m:r>
        <m:r>
          <m:rPr>
            <m:sty m:val="p"/>
          </m:rPr>
          <m:t>(</m:t>
        </m:r>
        <m:r>
          <m:t>s</m:t>
        </m:r>
        <m:r>
          <m:rPr>
            <m:sty m:val="p"/>
          </m:rPr>
          <m:t>,</m:t>
        </m:r>
        <m:r>
          <m:t>θ</m:t>
        </m:r>
        <m:r>
          <m:rPr>
            <m:sty m:val="p"/>
          </m:rPr>
          <m:t>)</m:t>
        </m:r>
        <m:r>
          <m:rPr>
            <m:sty m:val="p"/>
          </m:rPr>
          <m:t>=</m:t>
        </m:r>
        <m:r>
          <m:t>s</m:t>
        </m:r>
        <m:r>
          <m:rPr>
            <m:sty m:val="p"/>
          </m:rPr>
          <m:t>/</m:t>
        </m:r>
        <m:r>
          <m:t>θ</m:t>
        </m:r>
      </m:oMath>
      <w:r>
        <w:t xml:space="preserve">. A firma oferece salário</w:t>
      </w:r>
      <w:r>
        <w:t xml:space="preserve"> </w:t>
      </w:r>
      <m:oMath>
        <m:r>
          <m:t>w</m:t>
        </m:r>
        <m:r>
          <m:rPr>
            <m:sty m:val="p"/>
          </m:rPr>
          <m:t>(</m:t>
        </m:r>
        <m:r>
          <m:t>s</m:t>
        </m:r>
        <m:r>
          <m:rPr>
            <m:sty m:val="p"/>
          </m:rPr>
          <m:t>)</m:t>
        </m:r>
      </m:oMath>
      <w:r>
        <w:t xml:space="preserve"> </w:t>
      </w:r>
      <w:r>
        <w:t xml:space="preserve">condicionado ao nível de educação observado.</w:t>
      </w:r>
    </w:p>
    <w:p>
      <w:pPr>
        <w:pStyle w:val="Compact"/>
        <w:numPr>
          <w:ilvl w:val="0"/>
          <w:numId w:val="2097"/>
        </w:numPr>
      </w:pPr>
      <w:r>
        <w:t xml:space="preserve">Num equilíbrio separador, mostre que a condição de autosseleção exige</w:t>
      </w:r>
      <w:r>
        <w:t xml:space="preserve"> </w:t>
      </w:r>
      <m:oMath>
        <m:sSup>
          <m:e>
            <m:r>
              <m:t>w</m:t>
            </m:r>
          </m:e>
          <m:sup>
            <m:r>
              <m:rPr>
                <m:sty m:val="p"/>
              </m:rPr>
              <m:t>′</m:t>
            </m:r>
          </m:sup>
        </m:sSup>
        <m:r>
          <m:rPr>
            <m:sty m:val="p"/>
          </m:rPr>
          <m:t>(</m:t>
        </m:r>
        <m:r>
          <m:t>s</m:t>
        </m:r>
        <m:r>
          <m:rPr>
            <m:sty m:val="p"/>
          </m:rPr>
          <m:t>)</m:t>
        </m:r>
        <m:r>
          <m:rPr>
            <m:sty m:val="p"/>
          </m:rPr>
          <m:t>=</m:t>
        </m:r>
        <m:r>
          <m:t>1</m:t>
        </m:r>
        <m:r>
          <m:rPr>
            <m:sty m:val="p"/>
          </m:rPr>
          <m:t>/</m:t>
        </m:r>
        <m:r>
          <m:t>θ</m:t>
        </m:r>
      </m:oMath>
      <w:r>
        <w:t xml:space="preserve"> </w:t>
      </w:r>
      <w:r>
        <w:t xml:space="preserve">(onde</w:t>
      </w:r>
      <w:r>
        <w:t xml:space="preserve"> </w:t>
      </w:r>
      <m:oMath>
        <m:r>
          <m:t>θ</m:t>
        </m:r>
        <m:r>
          <m:rPr>
            <m:sty m:val="p"/>
          </m:rPr>
          <m:t>(</m:t>
        </m:r>
        <m:r>
          <m:t>s</m:t>
        </m:r>
        <m:r>
          <m:rPr>
            <m:sty m:val="p"/>
          </m:rPr>
          <m:t>)</m:t>
        </m:r>
      </m:oMath>
      <w:r>
        <w:t xml:space="preserve"> </w:t>
      </w:r>
      <w:r>
        <w:t xml:space="preserve">é a função inversa que associa cada</w:t>
      </w:r>
      <w:r>
        <w:t xml:space="preserve"> </w:t>
      </w:r>
      <m:oMath>
        <m:r>
          <m:t>s</m:t>
        </m:r>
      </m:oMath>
      <w:r>
        <w:t xml:space="preserve"> </w:t>
      </w:r>
      <w:r>
        <w:t xml:space="preserve">a um tipo).</w:t>
      </w:r>
    </w:p>
    <w:p>
      <w:pPr>
        <w:pStyle w:val="Compact"/>
        <w:numPr>
          <w:ilvl w:val="0"/>
          <w:numId w:val="2097"/>
        </w:numPr>
      </w:pPr>
      <w:r>
        <w:t xml:space="preserve">Com a condição de contorno</w:t>
      </w:r>
      <w:r>
        <w:t xml:space="preserve"> </w:t>
      </w:r>
      <m:oMath>
        <m:r>
          <m:t>s</m:t>
        </m:r>
        <m:r>
          <m:rPr>
            <m:sty m:val="p"/>
          </m:rPr>
          <m:t>(</m:t>
        </m:r>
        <m:r>
          <m:t>θ</m:t>
        </m:r>
        <m:r>
          <m:rPr>
            <m:sty m:val="p"/>
          </m:rPr>
          <m:t>=</m:t>
        </m:r>
        <m:r>
          <m:t>1</m:t>
        </m:r>
        <m:r>
          <m:rPr>
            <m:sty m:val="p"/>
          </m:rPr>
          <m:t>)</m:t>
        </m:r>
        <m:r>
          <m:rPr>
            <m:sty m:val="p"/>
          </m:rPr>
          <m:t>=</m:t>
        </m:r>
        <m:r>
          <m:t>0</m:t>
        </m:r>
      </m:oMath>
      <w:r>
        <w:t xml:space="preserve">, derive a função de sinalização</w:t>
      </w:r>
      <w:r>
        <w:t xml:space="preserve"> </w:t>
      </w:r>
      <m:oMath>
        <m:r>
          <m:t>s</m:t>
        </m:r>
        <m:r>
          <m:rPr>
            <m:sty m:val="p"/>
          </m:rPr>
          <m:t>(</m:t>
        </m:r>
        <m:r>
          <m:t>θ</m:t>
        </m:r>
        <m:r>
          <m:rPr>
            <m:sty m:val="p"/>
          </m:rPr>
          <m:t>)</m:t>
        </m:r>
      </m:oMath>
      <w:r>
        <w:t xml:space="preserve"> </w:t>
      </w:r>
      <w:r>
        <w:t xml:space="preserve">e o esquema salarial</w:t>
      </w:r>
      <w:r>
        <w:t xml:space="preserve"> </w:t>
      </w:r>
      <m:oMath>
        <m:r>
          <m:t>w</m:t>
        </m:r>
        <m:r>
          <m:rPr>
            <m:sty m:val="p"/>
          </m:rPr>
          <m:t>(</m:t>
        </m:r>
        <m:r>
          <m:t>s</m:t>
        </m:r>
        <m:r>
          <m:rPr>
            <m:sty m:val="p"/>
          </m:rPr>
          <m:t>)</m:t>
        </m:r>
      </m:oMath>
      <w:r>
        <w:t xml:space="preserve">.</w:t>
      </w:r>
    </w:p>
    <w:p>
      <w:pPr>
        <w:pStyle w:val="Compact"/>
        <w:numPr>
          <w:ilvl w:val="0"/>
          <w:numId w:val="2097"/>
        </w:numPr>
      </w:pPr>
      <w:r>
        <w:t xml:space="preserve">Calcule o custo social total da sinalização e compare com o excedente sob informação simétrica.</w:t>
      </w:r>
    </w:p>
    <w:p>
      <w:pPr>
        <w:pStyle w:val="Compact"/>
        <w:numPr>
          <w:ilvl w:val="0"/>
          <w:numId w:val="2097"/>
        </w:numPr>
      </w:pPr>
      <w:r>
        <w:t xml:space="preserve">Discuta se um imposto sobre educação poderia melhorar o bem-estar neste modelo.</w:t>
      </w:r>
    </w:p>
    <w:p>
      <w:pPr>
        <w:pStyle w:val="FirstParagraph"/>
      </w:pPr>
      <w:r>
        <w:t xml:space="preserve">Ver solução (Cap. 19)</w:t>
      </w:r>
    </w:p>
    <w:p>
      <w:pPr>
        <w:pStyle w:val="BodyText"/>
      </w:pPr>
      <w:r>
        <w:rPr>
          <w:b/>
          <w:bCs/>
        </w:rPr>
        <w:t xml:space="preserve">Exercício 19.9.</w:t>
      </w:r>
      <w:r>
        <w:t xml:space="preserve"> </w:t>
      </w:r>
      <w:r>
        <w:t xml:space="preserve">Um monopolista (parte desinformada) vende para consumidores que podem ter valoração alta (</w:t>
      </w:r>
      <m:oMath>
        <m:sSub>
          <m:e>
            <m:r>
              <m:t>θ</m:t>
            </m:r>
          </m:e>
          <m:sub>
            <m:r>
              <m:t>H</m:t>
            </m:r>
          </m:sub>
        </m:sSub>
        <m:r>
          <m:rPr>
            <m:sty m:val="p"/>
          </m:rPr>
          <m:t>=</m:t>
        </m:r>
        <m:r>
          <m:t>10</m:t>
        </m:r>
      </m:oMath>
      <w:r>
        <w:t xml:space="preserve">) ou baixa (</w:t>
      </w:r>
      <m:oMath>
        <m:sSub>
          <m:e>
            <m:r>
              <m:t>θ</m:t>
            </m:r>
          </m:e>
          <m:sub>
            <m:r>
              <m:t>L</m:t>
            </m:r>
          </m:sub>
        </m:sSub>
        <m:r>
          <m:rPr>
            <m:sty m:val="p"/>
          </m:rPr>
          <m:t>=</m:t>
        </m:r>
        <m:r>
          <m:t>4</m:t>
        </m:r>
      </m:oMath>
      <w:r>
        <w:t xml:space="preserve">), com proporções</w:t>
      </w:r>
      <w:r>
        <w:t xml:space="preserve"> </w:t>
      </w:r>
      <m:oMath>
        <m:r>
          <m:t>λ</m:t>
        </m:r>
        <m:r>
          <m:rPr>
            <m:sty m:val="p"/>
          </m:rPr>
          <m:t>=</m:t>
        </m:r>
        <m:r>
          <m:t>0</m:t>
        </m:r>
        <m:r>
          <m:rPr>
            <m:sty m:val="p"/>
          </m:rPr>
          <m:t>,</m:t>
        </m:r>
        <m:r>
          <m:t>5</m:t>
        </m:r>
      </m:oMath>
      <w:r>
        <w:t xml:space="preserve"> </w:t>
      </w:r>
      <w:r>
        <w:t xml:space="preserve">cada. A utilidade do consumidor tipo</w:t>
      </w:r>
      <w:r>
        <w:t xml:space="preserve"> </w:t>
      </w:r>
      <m:oMath>
        <m:r>
          <m:t>θ</m:t>
        </m:r>
      </m:oMath>
      <w:r>
        <w:t xml:space="preserve"> </w:t>
      </w:r>
      <w:r>
        <w:t xml:space="preserve">por um bem de qualidade</w:t>
      </w:r>
      <w:r>
        <w:t xml:space="preserve"> </w:t>
      </w:r>
      <m:oMath>
        <m:r>
          <m:t>q</m:t>
        </m:r>
      </m:oMath>
      <w:r>
        <w:t xml:space="preserve"> </w:t>
      </w:r>
      <w:r>
        <w:t xml:space="preserve">ao preço</w:t>
      </w:r>
      <w:r>
        <w:t xml:space="preserve"> </w:t>
      </w:r>
      <m:oMath>
        <m:r>
          <m:t>t</m:t>
        </m:r>
      </m:oMath>
      <w:r>
        <w:t xml:space="preserve"> </w:t>
      </w:r>
      <w:r>
        <w:t xml:space="preserve">é</w:t>
      </w:r>
      <w:r>
        <w:t xml:space="preserve"> </w:t>
      </w:r>
      <m:oMath>
        <m:r>
          <m:t>U</m:t>
        </m:r>
        <m:r>
          <m:rPr>
            <m:sty m:val="p"/>
          </m:rPr>
          <m:t>=</m:t>
        </m:r>
        <m:r>
          <m:t>θ</m:t>
        </m:r>
        <m:r>
          <m:t>q</m:t>
        </m:r>
        <m:r>
          <m:rPr>
            <m:sty m:val="p"/>
          </m:rPr>
          <m:t>−</m:t>
        </m:r>
        <m:r>
          <m:t>t</m:t>
        </m:r>
      </m:oMath>
      <w:r>
        <w:t xml:space="preserve">. O custo de produção é</w:t>
      </w:r>
      <w:r>
        <w:t xml:space="preserve"> </w:t>
      </w:r>
      <m:oMath>
        <m:r>
          <m:t>C</m:t>
        </m:r>
        <m:r>
          <m:rPr>
            <m:sty m:val="p"/>
          </m:rPr>
          <m:t>(</m:t>
        </m:r>
        <m:r>
          <m:t>q</m:t>
        </m:r>
        <m:r>
          <m:rPr>
            <m:sty m:val="p"/>
          </m:rPr>
          <m:t>)</m:t>
        </m:r>
        <m:r>
          <m:rPr>
            <m:sty m:val="p"/>
          </m:rPr>
          <m:t>=</m:t>
        </m:r>
        <m:sSup>
          <m:e>
            <m:r>
              <m:t>q</m:t>
            </m:r>
          </m:e>
          <m:sup>
            <m:r>
              <m:t>2</m:t>
            </m:r>
          </m:sup>
        </m:sSup>
        <m:r>
          <m:rPr>
            <m:sty m:val="p"/>
          </m:rPr>
          <m:t>/</m:t>
        </m:r>
        <m:r>
          <m:t>2</m:t>
        </m:r>
      </m:oMath>
      <w:r>
        <w:t xml:space="preserve">.</w:t>
      </w:r>
    </w:p>
    <w:p>
      <w:pPr>
        <w:pStyle w:val="Compact"/>
        <w:numPr>
          <w:ilvl w:val="0"/>
          <w:numId w:val="2098"/>
        </w:numPr>
      </w:pPr>
      <w:r>
        <w:t xml:space="preserve">Derive os contratos de first-best (informação completa) para cada tipo: qualidade</w:t>
      </w:r>
      <w:r>
        <w:t xml:space="preserve"> </w:t>
      </w:r>
      <m:oMath>
        <m:sSubSup>
          <m:e>
            <m:r>
              <m:t>q</m:t>
            </m:r>
          </m:e>
          <m:sub>
            <m:r>
              <m:t>i</m:t>
            </m:r>
          </m:sub>
          <m:sup>
            <m:r>
              <m:t>F</m:t>
            </m:r>
            <m:r>
              <m:t>B</m:t>
            </m:r>
          </m:sup>
        </m:sSubSup>
      </m:oMath>
      <w:r>
        <w:t xml:space="preserve"> </w:t>
      </w:r>
      <w:r>
        <w:t xml:space="preserve">e transferência</w:t>
      </w:r>
      <w:r>
        <w:t xml:space="preserve"> </w:t>
      </w:r>
      <m:oMath>
        <m:sSubSup>
          <m:e>
            <m:r>
              <m:t>t</m:t>
            </m:r>
          </m:e>
          <m:sub>
            <m:r>
              <m:t>i</m:t>
            </m:r>
          </m:sub>
          <m:sup>
            <m:r>
              <m:t>F</m:t>
            </m:r>
            <m:r>
              <m:t>B</m:t>
            </m:r>
          </m:sup>
        </m:sSubSup>
      </m:oMath>
      <w:r>
        <w:t xml:space="preserve"> </w:t>
      </w:r>
      <w:r>
        <w:t xml:space="preserve">que extraem todo o excedente.</w:t>
      </w:r>
    </w:p>
    <w:p>
      <w:pPr>
        <w:pStyle w:val="Compact"/>
        <w:numPr>
          <w:ilvl w:val="0"/>
          <w:numId w:val="2098"/>
        </w:numPr>
      </w:pPr>
      <w:r>
        <w:t xml:space="preserve">Mostre que o menu de first-best não é incentivo-compatível: o tipo</w:t>
      </w:r>
      <w:r>
        <w:t xml:space="preserve"> </w:t>
      </w:r>
      <m:oMath>
        <m:sSub>
          <m:e>
            <m:r>
              <m:t>θ</m:t>
            </m:r>
          </m:e>
          <m:sub>
            <m:r>
              <m:t>H</m:t>
            </m:r>
          </m:sub>
        </m:sSub>
      </m:oMath>
      <w:r>
        <w:t xml:space="preserve"> </w:t>
      </w:r>
      <w:r>
        <w:t xml:space="preserve">prefere o contrato do tipo</w:t>
      </w:r>
      <w:r>
        <w:t xml:space="preserve"> </w:t>
      </w:r>
      <m:oMath>
        <m:sSub>
          <m:e>
            <m:r>
              <m:t>θ</m:t>
            </m:r>
          </m:e>
          <m:sub>
            <m:r>
              <m:t>L</m:t>
            </m:r>
          </m:sub>
        </m:sSub>
      </m:oMath>
      <w:r>
        <w:t xml:space="preserve">.</w:t>
      </w:r>
    </w:p>
    <w:p>
      <w:pPr>
        <w:pStyle w:val="Compact"/>
        <w:numPr>
          <w:ilvl w:val="0"/>
          <w:numId w:val="2098"/>
        </w:numPr>
      </w:pPr>
      <w:r>
        <w:t xml:space="preserve">Derive o menu ótimo de second-best</w:t>
      </w:r>
      <w:r>
        <w:t xml:space="preserve"> </w:t>
      </w:r>
      <m:oMath>
        <m:r>
          <m:rPr>
            <m:sty m:val="p"/>
          </m:rPr>
          <m:t>(</m:t>
        </m:r>
        <m:sSubSup>
          <m:e>
            <m:r>
              <m:t>q</m:t>
            </m:r>
          </m:e>
          <m:sub>
            <m:r>
              <m:t>L</m:t>
            </m:r>
          </m:sub>
          <m:sup>
            <m:r>
              <m:t>S</m:t>
            </m:r>
            <m:r>
              <m:t>B</m:t>
            </m:r>
          </m:sup>
        </m:sSubSup>
        <m:r>
          <m:rPr>
            <m:sty m:val="p"/>
          </m:rPr>
          <m:t>,</m:t>
        </m:r>
        <m:sSubSup>
          <m:e>
            <m:r>
              <m:t>t</m:t>
            </m:r>
          </m:e>
          <m:sub>
            <m:r>
              <m:t>L</m:t>
            </m:r>
          </m:sub>
          <m:sup>
            <m:r>
              <m:t>S</m:t>
            </m:r>
            <m:r>
              <m:t>B</m:t>
            </m:r>
          </m:sup>
        </m:sSubSup>
        <m:r>
          <m:rPr>
            <m:sty m:val="p"/>
          </m:rPr>
          <m:t>)</m:t>
        </m:r>
      </m:oMath>
      <w:r>
        <w:t xml:space="preserve"> </w:t>
      </w:r>
      <w:r>
        <w:t xml:space="preserve">e</w:t>
      </w:r>
      <w:r>
        <w:t xml:space="preserve"> </w:t>
      </w:r>
      <m:oMath>
        <m:r>
          <m:rPr>
            <m:sty m:val="p"/>
          </m:rPr>
          <m:t>(</m:t>
        </m:r>
        <m:sSubSup>
          <m:e>
            <m:r>
              <m:t>q</m:t>
            </m:r>
          </m:e>
          <m:sub>
            <m:r>
              <m:t>H</m:t>
            </m:r>
          </m:sub>
          <m:sup>
            <m:r>
              <m:t>S</m:t>
            </m:r>
            <m:r>
              <m:t>B</m:t>
            </m:r>
          </m:sup>
        </m:sSubSup>
        <m:r>
          <m:rPr>
            <m:sty m:val="p"/>
          </m:rPr>
          <m:t>,</m:t>
        </m:r>
        <m:sSubSup>
          <m:e>
            <m:r>
              <m:t>t</m:t>
            </m:r>
          </m:e>
          <m:sub>
            <m:r>
              <m:t>H</m:t>
            </m:r>
          </m:sub>
          <m:sup>
            <m:r>
              <m:t>S</m:t>
            </m:r>
            <m:r>
              <m:t>B</m:t>
            </m:r>
          </m:sup>
        </m:sSubSup>
        <m:r>
          <m:rPr>
            <m:sty m:val="p"/>
          </m:rPr>
          <m:t>)</m:t>
        </m:r>
      </m:oMath>
      <w:r>
        <w:t xml:space="preserve">, aplicando as condições padrão (IC de</w:t>
      </w:r>
      <w:r>
        <w:t xml:space="preserve"> </w:t>
      </w:r>
      <m:oMath>
        <m:sSub>
          <m:e>
            <m:r>
              <m:t>θ</m:t>
            </m:r>
          </m:e>
          <m:sub>
            <m:r>
              <m:t>H</m:t>
            </m:r>
          </m:sub>
        </m:sSub>
      </m:oMath>
      <w:r>
        <w:t xml:space="preserve"> </w:t>
      </w:r>
      <w:r>
        <w:t xml:space="preserve">ativa, RP de</w:t>
      </w:r>
      <w:r>
        <w:t xml:space="preserve"> </w:t>
      </w:r>
      <m:oMath>
        <m:sSub>
          <m:e>
            <m:r>
              <m:t>θ</m:t>
            </m:r>
          </m:e>
          <m:sub>
            <m:r>
              <m:t>L</m:t>
            </m:r>
          </m:sub>
        </m:sSub>
      </m:oMath>
      <w:r>
        <w:t xml:space="preserve"> </w:t>
      </w:r>
      <w:r>
        <w:t xml:space="preserve">ativa,</w:t>
      </w:r>
      <w:r>
        <w:t xml:space="preserve"> </w:t>
      </w:r>
      <w:r>
        <w:t xml:space="preserve">“no distortion at the top”</w:t>
      </w:r>
      <w:r>
        <w:t xml:space="preserve">).</w:t>
      </w:r>
    </w:p>
    <w:p>
      <w:pPr>
        <w:pStyle w:val="Compact"/>
        <w:numPr>
          <w:ilvl w:val="0"/>
          <w:numId w:val="2098"/>
        </w:numPr>
      </w:pPr>
      <w:r>
        <w:t xml:space="preserve">Calcule a renda informacional do tipo</w:t>
      </w:r>
      <w:r>
        <w:t xml:space="preserve"> </w:t>
      </w:r>
      <m:oMath>
        <m:sSub>
          <m:e>
            <m:r>
              <m:t>θ</m:t>
            </m:r>
          </m:e>
          <m:sub>
            <m:r>
              <m:t>H</m:t>
            </m:r>
          </m:sub>
        </m:sSub>
      </m:oMath>
      <w:r>
        <w:t xml:space="preserve"> </w:t>
      </w:r>
      <w:r>
        <w:t xml:space="preserve">e o lucro esperado do monopolista no second-best.</w:t>
      </w:r>
    </w:p>
    <w:p>
      <w:pPr>
        <w:pStyle w:val="FirstParagraph"/>
      </w:pPr>
      <w:r>
        <w:t xml:space="preserve">Ver solução (Cap. 19)</w:t>
      </w:r>
    </w:p>
    <w:p>
      <w:pPr>
        <w:pStyle w:val="BodyText"/>
      </w:pPr>
      <w:r>
        <w:rPr>
          <w:b/>
          <w:bCs/>
        </w:rPr>
        <w:t xml:space="preserve">Exercício 19.10.</w:t>
      </w:r>
      <w:r>
        <w:t xml:space="preserve"> </w:t>
      </w:r>
      <w:r>
        <w:t xml:space="preserve">Um governo deseja alocar um projeto público a uma entre duas firmas. A firma</w:t>
      </w:r>
      <w:r>
        <w:t xml:space="preserve"> </w:t>
      </w:r>
      <m:oMath>
        <m:r>
          <m:t>i</m:t>
        </m:r>
      </m:oMath>
      <w:r>
        <w:t xml:space="preserve"> </w:t>
      </w:r>
      <w:r>
        <w:t xml:space="preserve">tem custo de execução</w:t>
      </w:r>
      <w:r>
        <w:t xml:space="preserve"> </w:t>
      </w:r>
      <m:oMath>
        <m:sSub>
          <m:e>
            <m:r>
              <m:t>c</m:t>
            </m:r>
          </m:e>
          <m:sub>
            <m:r>
              <m:t>i</m:t>
            </m:r>
          </m:sub>
        </m:sSub>
      </m:oMath>
      <w:r>
        <w:t xml:space="preserve">, que é informação privada, distribuído uniformemente em</w:t>
      </w:r>
      <w:r>
        <w:t xml:space="preserve"> </w:t>
      </w:r>
      <m:oMath>
        <m:r>
          <m:rPr>
            <m:sty m:val="p"/>
          </m:rPr>
          <m:t>[</m:t>
        </m:r>
        <m:r>
          <m:t>0</m:t>
        </m:r>
        <m:r>
          <m:rPr>
            <m:sty m:val="p"/>
          </m:rPr>
          <m:t>,</m:t>
        </m:r>
        <m:r>
          <m:t>1</m:t>
        </m:r>
        <m:r>
          <m:rPr>
            <m:sty m:val="p"/>
          </m:rPr>
          <m:t>]</m:t>
        </m:r>
      </m:oMath>
      <w:r>
        <w:t xml:space="preserve">. O governo usa um mecanismo direto em que cada firma reporta seu custo</w:t>
      </w:r>
      <w:r>
        <w:t xml:space="preserve"> </w:t>
      </w:r>
      <m:oMath>
        <m:sSub>
          <m:e>
            <m:acc>
              <m:accPr>
                <m:chr m:val="̂"/>
              </m:accPr>
              <m:e>
                <m:r>
                  <m:t>c</m:t>
                </m:r>
              </m:e>
            </m:acc>
          </m:e>
          <m:sub>
            <m:r>
              <m:t>i</m:t>
            </m:r>
          </m:sub>
        </m:sSub>
      </m:oMath>
      <w:r>
        <w:t xml:space="preserve"> </w:t>
      </w:r>
      <w:r>
        <w:t xml:space="preserve">e recebe pagamento</w:t>
      </w:r>
      <w:r>
        <w:t xml:space="preserve"> </w:t>
      </w:r>
      <m:oMath>
        <m:sSub>
          <m:e>
            <m:r>
              <m:t>t</m:t>
            </m:r>
          </m:e>
          <m:sub>
            <m:r>
              <m:t>i</m:t>
            </m:r>
          </m:sub>
        </m:sSub>
        <m:r>
          <m:rPr>
            <m:sty m:val="p"/>
          </m:rPr>
          <m:t>(</m:t>
        </m:r>
        <m:sSub>
          <m:e>
            <m:acc>
              <m:accPr>
                <m:chr m:val="̂"/>
              </m:accPr>
              <m:e>
                <m:r>
                  <m:t>c</m:t>
                </m:r>
              </m:e>
            </m:acc>
          </m:e>
          <m:sub>
            <m:r>
              <m:t>1</m:t>
            </m:r>
          </m:sub>
        </m:sSub>
        <m:r>
          <m:rPr>
            <m:sty m:val="p"/>
          </m:rPr>
          <m:t>,</m:t>
        </m:r>
        <m:sSub>
          <m:e>
            <m:acc>
              <m:accPr>
                <m:chr m:val="̂"/>
              </m:accPr>
              <m:e>
                <m:r>
                  <m:t>c</m:t>
                </m:r>
              </m:e>
            </m:acc>
          </m:e>
          <m:sub>
            <m:r>
              <m:t>2</m:t>
            </m:r>
          </m:sub>
        </m:sSub>
        <m:r>
          <m:rPr>
            <m:sty m:val="p"/>
          </m:rPr>
          <m:t>)</m:t>
        </m:r>
      </m:oMath>
      <w:r>
        <w:t xml:space="preserve"> </w:t>
      </w:r>
      <w:r>
        <w:t xml:space="preserve">caso seja selecionada.</w:t>
      </w:r>
    </w:p>
    <w:p>
      <w:pPr>
        <w:pStyle w:val="Compact"/>
        <w:numPr>
          <w:ilvl w:val="0"/>
          <w:numId w:val="2099"/>
        </w:numPr>
      </w:pPr>
      <w:r>
        <w:t xml:space="preserve">Enuncie o Princípio da Revelação e explique por que o governo pode restringir a análise a mecanismos diretos reveladores sem perda de generalidade.</w:t>
      </w:r>
    </w:p>
    <w:p>
      <w:pPr>
        <w:pStyle w:val="Compact"/>
        <w:numPr>
          <w:ilvl w:val="0"/>
          <w:numId w:val="2099"/>
        </w:numPr>
      </w:pPr>
      <w:r>
        <w:t xml:space="preserve">Considere o mecanismo de Vickrey-Clarke-Groves (VCG): o projeto é alocado à firma com menor custo reportado, e ela recebe pagamento igual ao custo reportado pela outra firma. Mostre que reportar</w:t>
      </w:r>
      <w:r>
        <w:t xml:space="preserve"> </w:t>
      </w:r>
      <m:oMath>
        <m:sSub>
          <m:e>
            <m:acc>
              <m:accPr>
                <m:chr m:val="̂"/>
              </m:accPr>
              <m:e>
                <m:r>
                  <m:t>c</m:t>
                </m:r>
              </m:e>
            </m:acc>
          </m:e>
          <m:sub>
            <m:r>
              <m:t>i</m:t>
            </m:r>
          </m:sub>
        </m:sSub>
        <m:r>
          <m:rPr>
            <m:sty m:val="p"/>
          </m:rPr>
          <m:t>=</m:t>
        </m:r>
        <m:sSub>
          <m:e>
            <m:r>
              <m:t>c</m:t>
            </m:r>
          </m:e>
          <m:sub>
            <m:r>
              <m:t>i</m:t>
            </m:r>
          </m:sub>
        </m:sSub>
      </m:oMath>
      <w:r>
        <w:t xml:space="preserve"> </w:t>
      </w:r>
      <w:r>
        <w:t xml:space="preserve">é estratégia dominante.</w:t>
      </w:r>
    </w:p>
    <w:p>
      <w:pPr>
        <w:pStyle w:val="Compact"/>
        <w:numPr>
          <w:ilvl w:val="0"/>
          <w:numId w:val="2099"/>
        </w:numPr>
      </w:pPr>
      <w:r>
        <w:t xml:space="preserve">Calcule o pagamento esperado do governo e compare com o custo real do projeto.</w:t>
      </w:r>
    </w:p>
    <w:p>
      <w:pPr>
        <w:pStyle w:val="Compact"/>
        <w:numPr>
          <w:ilvl w:val="0"/>
          <w:numId w:val="2099"/>
        </w:numPr>
      </w:pPr>
      <w:r>
        <w:t xml:space="preserve">O mecanismo VCG é eficiente (aloca à firma de menor custo)? É orcamentariamente equilibrado? Discuta.</w:t>
      </w:r>
    </w:p>
    <w:p>
      <w:pPr>
        <w:pStyle w:val="FirstParagraph"/>
      </w:pPr>
      <w:r>
        <w:t xml:space="preserve">Ver solução (Cap. 19)</w:t>
      </w:r>
    </w:p>
    <w:p>
      <w:r>
        <w:pict>
          <v:rect style="width:0;height:1.5pt" o:hralign="center" o:hrstd="t" o:hr="t"/>
        </w:pict>
      </w:r>
    </w:p>
    <w:bookmarkEnd w:id="1225"/>
    <w:bookmarkStart w:id="1226" w:name="vem-anpec-19"/>
    <w:p>
      <w:pPr>
        <w:pStyle w:val="Heading3"/>
      </w:pPr>
      <w:r>
        <w:t xml:space="preserve">Vem, ANPEC!</w:t>
      </w:r>
    </w:p>
    <w:p>
      <w:pPr>
        <w:pStyle w:val="BlockText"/>
      </w:pPr>
      <w:r>
        <w:rPr>
          <w:b/>
          <w:bCs/>
        </w:rPr>
        <w:t xml:space="preserve">[QUESTAO] ANPEC 2017 — Questão 11</w:t>
      </w:r>
    </w:p>
    <w:p>
      <w:pPr>
        <w:pStyle w:val="BlockText"/>
      </w:pPr>
      <w:r>
        <w:t xml:space="preserve">Com relação aos problemas de assimetria de informação, indique quais entre as afirmativas abaixo estão corretas: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Seleção adversa diz respeito a uma ação não observável.</w:t>
            </w:r>
          </w:p>
        </w:tc>
      </w:tr>
      <w:tr>
        <w:tc>
          <w:tcPr/>
          <w:p>
            <w:pPr>
              <w:pStyle w:val="Compact"/>
            </w:pPr>
            <w:r>
              <w:t xml:space="preserve">1</w:t>
            </w:r>
          </w:p>
        </w:tc>
        <w:tc>
          <w:tcPr/>
          <w:p>
            <w:pPr>
              <w:pStyle w:val="Compact"/>
            </w:pPr>
            <w:r>
              <w:t xml:space="preserve">Problemas morais dizem respeito a características não observáveis.</w:t>
            </w:r>
          </w:p>
        </w:tc>
      </w:tr>
      <w:tr>
        <w:tc>
          <w:tcPr/>
          <w:p>
            <w:pPr>
              <w:pStyle w:val="Compact"/>
            </w:pPr>
            <w:r>
              <w:t xml:space="preserve">2</w:t>
            </w:r>
          </w:p>
        </w:tc>
        <w:tc>
          <w:tcPr/>
          <w:p>
            <w:pPr>
              <w:pStyle w:val="Compact"/>
            </w:pPr>
            <w:r>
              <w:t xml:space="preserve">Quando empresas de seguros reúnem informações sobre demandantes de seguros, diz-se que elas estão fazendo screening.</w:t>
            </w:r>
          </w:p>
        </w:tc>
      </w:tr>
      <w:tr>
        <w:tc>
          <w:tcPr/>
          <w:p>
            <w:pPr>
              <w:pStyle w:val="Compact"/>
            </w:pPr>
            <w:r>
              <w:t xml:space="preserve">3</w:t>
            </w:r>
          </w:p>
        </w:tc>
        <w:tc>
          <w:tcPr/>
          <w:p>
            <w:pPr>
              <w:pStyle w:val="Compact"/>
            </w:pPr>
            <w:r>
              <w:t xml:space="preserve">Certificações de produtos são uma forma de reduzir o</w:t>
            </w:r>
            <w:r>
              <w:t xml:space="preserve"> </w:t>
            </w:r>
            <w:r>
              <w:t xml:space="preserve">“problema dos limões”</w:t>
            </w:r>
            <w:r>
              <w:t xml:space="preserve"> </w:t>
            </w:r>
            <w:r>
              <w:t xml:space="preserve">decorrente de seleção adversa.</w:t>
            </w:r>
          </w:p>
        </w:tc>
      </w:tr>
      <w:tr>
        <w:tc>
          <w:tcPr/>
          <w:p>
            <w:pPr>
              <w:pStyle w:val="Compact"/>
            </w:pPr>
            <w:r>
              <w:t xml:space="preserve">4</w:t>
            </w:r>
          </w:p>
        </w:tc>
        <w:tc>
          <w:tcPr/>
          <w:p>
            <w:pPr>
              <w:pStyle w:val="Compact"/>
            </w:pPr>
            <w:r>
              <w:t xml:space="preserve">Seguros com cobertura universal obrigatória podem ser uma forma de prevenir seleção adversa.</w:t>
            </w:r>
          </w:p>
        </w:tc>
      </w:tr>
    </w:tbl>
    <w:p>
      <w:pPr>
        <w:pStyle w:val="BlockText"/>
      </w:pPr>
      <w:r>
        <w:t xml:space="preserve">??? success</w:t>
      </w:r>
      <w:r>
        <w:t xml:space="preserve"> </w:t>
      </w:r>
      <w:r>
        <w:t xml:space="preserve">“Gabarito”</w:t>
      </w:r>
      <w:r>
        <w:t xml:space="preserve"> </w:t>
      </w:r>
      <w:r>
        <w:rPr>
          <w:b/>
          <w:bCs/>
        </w:rPr>
        <w:t xml:space="preserve">Respostas: 00111</w:t>
      </w:r>
    </w:p>
    <w:p>
      <w:pPr>
        <w:pStyle w:val="SourceCode"/>
      </w:pPr>
      <w:r>
        <w:rPr>
          <w:rStyle w:val="VerbatimChar"/>
        </w:rPr>
        <w:t xml:space="preserve">- **Item 0 — F:** Seleção adversa diz respeito a **características** (tipos) não observáveis, não a ações. Ações não observáveis configuram **risco moral**.</w:t>
      </w:r>
      <w:r>
        <w:br/>
      </w:r>
      <w:r>
        <w:rPr>
          <w:rStyle w:val="VerbatimChar"/>
        </w:rPr>
        <w:t xml:space="preserve">- **Item 1 — F:** Risco moral diz respeito a **ações** não observáveis, não a características. Características ocultas são **seleção adversa**.</w:t>
      </w:r>
      <w:r>
        <w:br/>
      </w:r>
      <w:r>
        <w:rPr>
          <w:rStyle w:val="VerbatimChar"/>
        </w:rPr>
        <w:t xml:space="preserve">- **Item 2 — V:** Correto. *Screening* é o mecanismo pelo qual a parte desinformada coleta informações para classificar a parte informada.</w:t>
      </w:r>
      <w:r>
        <w:br/>
      </w:r>
      <w:r>
        <w:rPr>
          <w:rStyle w:val="VerbatimChar"/>
        </w:rPr>
        <w:t xml:space="preserve">- **Item 3 — V:** Correto. Certificações reduzem a assimetria de informação, atenuando o problema dos limões.</w:t>
      </w:r>
      <w:r>
        <w:br/>
      </w:r>
      <w:r>
        <w:rPr>
          <w:rStyle w:val="VerbatimChar"/>
        </w:rPr>
        <w:t xml:space="preserve">- **Item 4 — V:** Correto. Cobertura universal e obrigatória elimina a autosseleção, prevenindo a seleção adversa. O SUS é um exemplo.</w:t>
      </w:r>
    </w:p>
    <w:p>
      <w:pPr>
        <w:pStyle w:val="BlockText"/>
      </w:pPr>
      <w:r>
        <w:rPr>
          <w:b/>
          <w:bCs/>
        </w:rPr>
        <w:t xml:space="preserve">[QUESTAO] ANPEC 2025 — Questão 04</w:t>
      </w:r>
    </w:p>
    <w:p>
      <w:pPr>
        <w:pStyle w:val="BlockText"/>
      </w:pPr>
      <w:r>
        <w:t xml:space="preserve">Com relação à teoria dos leilões, julgue as afirmativas abaixo:</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Afirmação</w:t>
            </w:r>
          </w:p>
        </w:tc>
      </w:tr>
      <w:tr>
        <w:tc>
          <w:tcPr/>
          <w:p>
            <w:pPr>
              <w:pStyle w:val="Compact"/>
            </w:pPr>
            <w:r>
              <w:t xml:space="preserve">0</w:t>
            </w:r>
          </w:p>
        </w:tc>
        <w:tc>
          <w:tcPr/>
          <w:p>
            <w:pPr>
              <w:pStyle w:val="Compact"/>
            </w:pPr>
            <w:r>
              <w:t xml:space="preserve">O leilão holandês e o leilão de Vickrey geram resultados Pareto-eficientes.</w:t>
            </w:r>
          </w:p>
        </w:tc>
      </w:tr>
      <w:tr>
        <w:tc>
          <w:tcPr/>
          <w:p>
            <w:pPr>
              <w:pStyle w:val="Compact"/>
            </w:pPr>
            <w:r>
              <w:t xml:space="preserve">1</w:t>
            </w:r>
          </w:p>
        </w:tc>
        <w:tc>
          <w:tcPr/>
          <w:p>
            <w:pPr>
              <w:pStyle w:val="Compact"/>
            </w:pPr>
            <w:r>
              <w:t xml:space="preserve">O leilão inglês com preço de reserva igual a zero não gera resultados eficientes de Pareto.</w:t>
            </w:r>
          </w:p>
        </w:tc>
      </w:tr>
      <w:tr>
        <w:tc>
          <w:tcPr/>
          <w:p>
            <w:pPr>
              <w:pStyle w:val="Compact"/>
            </w:pPr>
            <w:r>
              <w:t xml:space="preserve">2</w:t>
            </w:r>
          </w:p>
        </w:tc>
        <w:tc>
          <w:tcPr/>
          <w:p>
            <w:pPr>
              <w:pStyle w:val="Compact"/>
            </w:pPr>
            <w:r>
              <w:t xml:space="preserve">Os resultados do leilão de lance fechado são Pareto-eficientes, mesmo que as crenças de cada participante acerca das avaliações dos demais estejam incorretas.</w:t>
            </w:r>
          </w:p>
        </w:tc>
      </w:tr>
      <w:tr>
        <w:tc>
          <w:tcPr/>
          <w:p>
            <w:pPr>
              <w:pStyle w:val="Compact"/>
            </w:pPr>
            <w:r>
              <w:t xml:space="preserve">3</w:t>
            </w:r>
          </w:p>
        </w:tc>
        <w:tc>
          <w:tcPr/>
          <w:p>
            <w:pPr>
              <w:pStyle w:val="Compact"/>
            </w:pPr>
            <w:r>
              <w:t xml:space="preserve">Declarar o verdadeiro valor é a estratégia ótima de cada participante no leilão de Vickrey.</w:t>
            </w:r>
          </w:p>
        </w:tc>
      </w:tr>
      <w:tr>
        <w:tc>
          <w:tcPr/>
          <w:p>
            <w:pPr>
              <w:pStyle w:val="Compact"/>
            </w:pPr>
            <w:r>
              <w:t xml:space="preserve">4</w:t>
            </w:r>
          </w:p>
        </w:tc>
        <w:tc>
          <w:tcPr/>
          <w:p>
            <w:pPr>
              <w:pStyle w:val="Compact"/>
            </w:pPr>
            <w:r>
              <w:t xml:space="preserve">Em um leilão de valor comum, em que os participantes têm estimativas diferentes deste valor, a estratégia ótima é oferecer um lance menor do que o valor estimado, que deverá ser tão mais baixo quanto maior for o número de participantes.</w:t>
            </w:r>
          </w:p>
        </w:tc>
      </w:tr>
    </w:tbl>
    <w:p>
      <w:pPr>
        <w:pStyle w:val="BlockText"/>
      </w:pPr>
      <w:r>
        <w:t xml:space="preserve">??? success</w:t>
      </w:r>
      <w:r>
        <w:t xml:space="preserve"> </w:t>
      </w:r>
      <w:r>
        <w:t xml:space="preserve">“Gabarito”</w:t>
      </w:r>
      <w:r>
        <w:t xml:space="preserve"> </w:t>
      </w:r>
      <w:r>
        <w:rPr>
          <w:b/>
          <w:bCs/>
        </w:rPr>
        <w:t xml:space="preserve">Respostas: 10011</w:t>
      </w:r>
    </w:p>
    <w:p>
      <w:pPr>
        <w:pStyle w:val="SourceCode"/>
      </w:pPr>
      <w:r>
        <w:rPr>
          <w:rStyle w:val="VerbatimChar"/>
        </w:rPr>
        <w:t xml:space="preserve">- **Item 0 — V:** Ambos alocam o bem ao licitante com maior valoração em equilíbrio, gerando eficiência.</w:t>
      </w:r>
      <w:r>
        <w:br/>
      </w:r>
      <w:r>
        <w:rPr>
          <w:rStyle w:val="VerbatimChar"/>
        </w:rPr>
        <w:t xml:space="preserve">- **Item 1 — F:** O leilão inglês com preço de reserva zero **gera** resultados eficientes.</w:t>
      </w:r>
      <w:r>
        <w:br/>
      </w:r>
      <w:r>
        <w:rPr>
          <w:rStyle w:val="VerbatimChar"/>
        </w:rPr>
        <w:t xml:space="preserve">- **Item 2 — F:** No primeiro preço, a estratégia depende das crenças. Crenças incorretas comprometem a eficiência.</w:t>
      </w:r>
      <w:r>
        <w:br/>
      </w:r>
      <w:r>
        <w:rPr>
          <w:rStyle w:val="VerbatimChar"/>
        </w:rPr>
        <w:t xml:space="preserve">- **Item 3 — V:** No Vickrey, $b_i = v_i$ é estratégia fracamente dominante.</w:t>
      </w:r>
      <w:r>
        <w:br/>
      </w:r>
      <w:r>
        <w:rPr>
          <w:rStyle w:val="VerbatimChar"/>
        </w:rPr>
        <w:t xml:space="preserve">- **Item 4 — V:** Em leilões de valor comum, a **maldição do vencedor** exige *bid shading* crescente com $n$.</w:t>
      </w:r>
    </w:p>
    <w:bookmarkEnd w:id="1226"/>
    <w:bookmarkEnd w:id="1227"/>
    <w:bookmarkStart w:id="1237" w:name="pesquisa-em-ação-capítulo-19"/>
    <w:p>
      <w:pPr>
        <w:pStyle w:val="Heading2"/>
      </w:pPr>
      <w:r>
        <w:t xml:space="preserve">Pesquisa em Ação — Capítulo 19</w:t>
      </w:r>
    </w:p>
    <w:bookmarkStart w:id="1232" w:name="pesquisa-em-ação-22"/>
    <w:p>
      <w:pPr>
        <w:pStyle w:val="Heading3"/>
      </w:pPr>
      <w:r>
        <w:t xml:space="preserve">Pesquisa em Ação</w:t>
      </w:r>
    </w:p>
    <w:p>
      <w:pPr>
        <w:pStyle w:val="BlockText"/>
      </w:pPr>
      <w:r>
        <w:rPr>
          <w:b/>
          <w:bCs/>
        </w:rPr>
        <w:t xml:space="preserve">[PESQUISA EM ACAO]</w:t>
      </w:r>
      <w:r>
        <w:rPr>
          <w:b/>
          <w:bCs/>
        </w:rPr>
        <w:t xml:space="preserve"> </w:t>
      </w:r>
      <w:hyperlink r:id="rId364">
        <w:r>
          <w:rPr>
            <w:rStyle w:val="Hyperlink"/>
            <w:b/>
            <w:bCs/>
          </w:rPr>
          <w:t xml:space="preserve">Chiappori, P.-A.; Salanié, B. (2000). Testing for Asymmetric Information in Insurance Markets.</w:t>
        </w:r>
        <w:r>
          <w:rPr>
            <w:rStyle w:val="Hyperlink"/>
            <w:b/>
            <w:bCs/>
          </w:rPr>
          <w:t xml:space="preserve"> </w:t>
        </w:r>
        <w:r>
          <w:rPr>
            <w:rStyle w:val="Hyperlink"/>
            <w:b/>
            <w:bCs/>
            <w:i/>
            <w:iCs/>
          </w:rPr>
          <w:t xml:space="preserve">Journal of Political Economy</w:t>
        </w:r>
        <w:r>
          <w:rPr>
            <w:rStyle w:val="Hyperlink"/>
            <w:b/>
            <w:bCs/>
          </w:rPr>
          <w:t xml:space="preserve">, 108(1), 56–78.</w:t>
        </w:r>
      </w:hyperlink>
    </w:p>
    <w:p>
      <w:pPr>
        <w:pStyle w:val="BlockText"/>
      </w:pPr>
      <w:r>
        <w:rPr>
          <w:b/>
          <w:bCs/>
        </w:rPr>
        <w:t xml:space="preserve">DOI:</w:t>
      </w:r>
      <w:r>
        <w:t xml:space="preserve"> </w:t>
      </w:r>
      <w:hyperlink r:id="rId364">
        <w:r>
          <w:rPr>
            <w:rStyle w:val="Hyperlink"/>
          </w:rPr>
          <w:t xml:space="preserve">10.1086/317671</w:t>
        </w:r>
      </w:hyperlink>
    </w:p>
    <w:p>
      <w:pPr>
        <w:pStyle w:val="BlockText"/>
      </w:pPr>
      <w:r>
        <w:rPr>
          <w:b/>
          <w:bCs/>
        </w:rPr>
        <w:t xml:space="preserve">Contexto.</w:t>
      </w:r>
      <w:r>
        <w:t xml:space="preserve"> </w:t>
      </w:r>
      <w:r>
        <w:t xml:space="preserve">A assimetria de informação é realmente importante nos mercados de seguros? Se seleção adversa ou risco moral estiverem presentes, devemos observar uma</w:t>
      </w:r>
      <w:r>
        <w:t xml:space="preserve"> </w:t>
      </w:r>
      <w:r>
        <w:rPr>
          <w:b/>
          <w:bCs/>
        </w:rPr>
        <w:t xml:space="preserve">correlação positiva</w:t>
      </w:r>
      <w:r>
        <w:t xml:space="preserve"> </w:t>
      </w:r>
      <w:r>
        <w:t xml:space="preserve">entre a cobertura escolhida e a ocorrência de sinistros.</w:t>
      </w:r>
    </w:p>
    <w:p>
      <w:pPr>
        <w:pStyle w:val="BlockText"/>
      </w:pPr>
      <w:r>
        <w:rPr>
          <w:b/>
          <w:bCs/>
        </w:rPr>
        <w:t xml:space="preserve">Método.</w:t>
      </w:r>
      <w:r>
        <w:t xml:space="preserve"> </w:t>
      </w:r>
      <w:r>
        <w:t xml:space="preserve">Usando dados de seguros de automóveis na França (jovens motoristas), os autores testaram se, após controlar por todas as variáveis observáveis, a correlação cobertura-sinistro é positiva.</w:t>
      </w:r>
    </w:p>
    <w:p>
      <w:pPr>
        <w:pStyle w:val="BlockText"/>
      </w:pPr>
      <w:r>
        <w:rPr>
          <w:b/>
          <w:bCs/>
        </w:rPr>
        <w:t xml:space="preserve">Resultado.</w:t>
      </w:r>
      <w:r>
        <w:t xml:space="preserve"> </w:t>
      </w:r>
      <w:r>
        <w:t xml:space="preserve">Surpreendentemente,</w:t>
      </w:r>
      <w:r>
        <w:t xml:space="preserve"> </w:t>
      </w:r>
      <w:r>
        <w:rPr>
          <w:b/>
          <w:bCs/>
        </w:rPr>
        <w:t xml:space="preserve">não encontraram</w:t>
      </w:r>
      <w:r>
        <w:t xml:space="preserve"> </w:t>
      </w:r>
      <w:r>
        <w:t xml:space="preserve">correlação positiva significativa. Isso sugere que as seguradoras classificam os riscos eficientemente, e que a informação assimétrica residual pode ser pequena nesse mercado específico.</w:t>
      </w:r>
    </w:p>
    <w:p>
      <w:pPr>
        <w:pStyle w:val="BlockText"/>
      </w:pPr>
      <w:r>
        <w:rPr>
          <w:b/>
          <w:bCs/>
        </w:rPr>
        <w:t xml:space="preserve">Conexão com o capítulo.</w:t>
      </w:r>
      <w:r>
        <w:t xml:space="preserve"> </w:t>
      </w:r>
      <w:r>
        <w:t xml:space="preserve">O paper testa diretamente o modelo de Rothschild-Stiglitz (Seção 19.4.3). A ausência de correlação sugere que os mecanismos de triagem das seguradoras podem ser eficazes em resolver o problema informacional.</w:t>
      </w:r>
    </w:p>
    <w:p>
      <w:pPr>
        <w:pStyle w:val="BlockText"/>
      </w:pPr>
      <w:r>
        <w:rPr>
          <w:b/>
          <w:bCs/>
        </w:rPr>
        <w:t xml:space="preserve">[PESQUISA EM ACAO]</w:t>
      </w:r>
      <w:r>
        <w:rPr>
          <w:b/>
          <w:bCs/>
        </w:rPr>
        <w:t xml:space="preserve"> </w:t>
      </w:r>
      <w:hyperlink r:id="rId1228">
        <w:r>
          <w:rPr>
            <w:rStyle w:val="Hyperlink"/>
            <w:b/>
            <w:bCs/>
          </w:rPr>
          <w:t xml:space="preserve">Matoso, R.; Rezende, M. (2014). Asymmetric Information in Oil and Gas Lease Auctions with a National Company.</w:t>
        </w:r>
        <w:r>
          <w:rPr>
            <w:rStyle w:val="Hyperlink"/>
            <w:b/>
            <w:bCs/>
          </w:rPr>
          <w:t xml:space="preserve"> </w:t>
        </w:r>
        <w:r>
          <w:rPr>
            <w:rStyle w:val="Hyperlink"/>
            <w:b/>
            <w:bCs/>
            <w:i/>
            <w:iCs/>
          </w:rPr>
          <w:t xml:space="preserve">International Journal of Industrial Organization</w:t>
        </w:r>
        <w:r>
          <w:rPr>
            <w:rStyle w:val="Hyperlink"/>
            <w:b/>
            <w:bCs/>
          </w:rPr>
          <w:t xml:space="preserve">, 33, 72–82.</w:t>
        </w:r>
      </w:hyperlink>
    </w:p>
    <w:p>
      <w:pPr>
        <w:pStyle w:val="BlockText"/>
      </w:pPr>
      <w:r>
        <w:rPr>
          <w:b/>
          <w:bCs/>
        </w:rPr>
        <w:t xml:space="preserve">DOI:</w:t>
      </w:r>
      <w:r>
        <w:t xml:space="preserve"> </w:t>
      </w:r>
      <w:hyperlink r:id="rId1228">
        <w:r>
          <w:rPr>
            <w:rStyle w:val="Hyperlink"/>
          </w:rPr>
          <w:t xml:space="preserve">10.1016/j.ijindorg.2014.02.006</w:t>
        </w:r>
      </w:hyperlink>
    </w:p>
    <w:p>
      <w:pPr>
        <w:pStyle w:val="BlockText"/>
      </w:pPr>
      <w:r>
        <w:rPr>
          <w:b/>
          <w:bCs/>
        </w:rPr>
        <w:t xml:space="preserve">Contexto.</w:t>
      </w:r>
      <w:r>
        <w:t xml:space="preserve"> </w:t>
      </w:r>
      <w:r>
        <w:t xml:space="preserve">A Petrobras possui vantagem informacional sobre concorrentes nos leilões da ANP? Se sim, como isso afeta os lances e resultados?</w:t>
      </w:r>
    </w:p>
    <w:p>
      <w:pPr>
        <w:pStyle w:val="BlockText"/>
      </w:pPr>
      <w:r>
        <w:rPr>
          <w:b/>
          <w:bCs/>
        </w:rPr>
        <w:t xml:space="preserve">Método.</w:t>
      </w:r>
      <w:r>
        <w:t xml:space="preserve"> </w:t>
      </w:r>
      <w:r>
        <w:t xml:space="preserve">Dados dos leilões de concessão da ANP, comparando o comportamento de lances da Petrobras versus concorrentes estrangeiros em diferentes tipos de blocos.</w:t>
      </w:r>
    </w:p>
    <w:p>
      <w:pPr>
        <w:pStyle w:val="BlockText"/>
      </w:pPr>
      <w:r>
        <w:rPr>
          <w:b/>
          <w:bCs/>
        </w:rPr>
        <w:t xml:space="preserve">Resultado.</w:t>
      </w:r>
      <w:r>
        <w:t xml:space="preserve"> </w:t>
      </w:r>
      <w:r>
        <w:t xml:space="preserve">A Petrobras apresentou comportamento consistente com vantagem informacional: participou mais em blocos lucrativos, ofertou lances maiores para blocos de maior valor e competiu mais agressivamente por blocos re-ofertados.</w:t>
      </w:r>
    </w:p>
    <w:p>
      <w:pPr>
        <w:pStyle w:val="BlockText"/>
      </w:pPr>
      <w:r>
        <w:rPr>
          <w:b/>
          <w:bCs/>
        </w:rPr>
        <w:t xml:space="preserve">Conexão com o capítulo.</w:t>
      </w:r>
      <w:r>
        <w:t xml:space="preserve"> </w:t>
      </w:r>
      <w:r>
        <w:t xml:space="preserve">Aplicação empírica direta da teoria de leilões com informação assimétrica (Seção 19.7), mostrando que a equivalência de receita falha quando licitantes são assimétricos.</w:t>
      </w:r>
    </w:p>
    <w:p>
      <w:pPr>
        <w:pStyle w:val="BlockText"/>
      </w:pPr>
      <w:r>
        <w:rPr>
          <w:b/>
          <w:bCs/>
        </w:rPr>
        <w:t xml:space="preserve">[PESQUISA EM ACAO]</w:t>
      </w:r>
      <w:r>
        <w:rPr>
          <w:b/>
          <w:bCs/>
        </w:rPr>
        <w:t xml:space="preserve"> </w:t>
      </w:r>
      <w:hyperlink r:id="rId1229">
        <w:r>
          <w:rPr>
            <w:rStyle w:val="Hyperlink"/>
            <w:b/>
            <w:bCs/>
          </w:rPr>
          <w:t xml:space="preserve">Einav, L.; Finkelstein, A.; Cullen, M. R. (2010). Estimating Welfare in Insurance Markets Using Variation in Prices.</w:t>
        </w:r>
        <w:r>
          <w:rPr>
            <w:rStyle w:val="Hyperlink"/>
            <w:b/>
            <w:bCs/>
          </w:rPr>
          <w:t xml:space="preserve"> </w:t>
        </w:r>
        <w:r>
          <w:rPr>
            <w:rStyle w:val="Hyperlink"/>
            <w:b/>
            <w:bCs/>
            <w:i/>
            <w:iCs/>
          </w:rPr>
          <w:t xml:space="preserve">Quarterly Journal of Economics</w:t>
        </w:r>
        <w:r>
          <w:rPr>
            <w:rStyle w:val="Hyperlink"/>
            <w:b/>
            <w:bCs/>
          </w:rPr>
          <w:t xml:space="preserve">, 125(3), 877–921.</w:t>
        </w:r>
      </w:hyperlink>
    </w:p>
    <w:p>
      <w:pPr>
        <w:pStyle w:val="BlockText"/>
      </w:pPr>
      <w:r>
        <w:rPr>
          <w:b/>
          <w:bCs/>
        </w:rPr>
        <w:t xml:space="preserve">DOI:</w:t>
      </w:r>
      <w:r>
        <w:t xml:space="preserve"> </w:t>
      </w:r>
      <w:hyperlink r:id="rId1229">
        <w:r>
          <w:rPr>
            <w:rStyle w:val="Hyperlink"/>
          </w:rPr>
          <w:t xml:space="preserve">10.1162/qjec.2010.125.3.877</w:t>
        </w:r>
      </w:hyperlink>
    </w:p>
    <w:p>
      <w:pPr>
        <w:pStyle w:val="BlockText"/>
      </w:pPr>
      <w:r>
        <w:rPr>
          <w:b/>
          <w:bCs/>
        </w:rPr>
        <w:t xml:space="preserve">Contexto.</w:t>
      </w:r>
      <w:r>
        <w:t xml:space="preserve"> </w:t>
      </w:r>
      <w:r>
        <w:t xml:space="preserve">Qual é o custo de bem-estar da seleção adversa em mercados de seguros reais? E como ele se compara ao custo do risco moral? A maioria dos testes empíricos (como Chiappori-Salanié) identifica a</w:t>
      </w:r>
      <w:r>
        <w:t xml:space="preserve"> </w:t>
      </w:r>
      <w:r>
        <w:rPr>
          <w:i/>
          <w:iCs/>
        </w:rPr>
        <w:t xml:space="preserve">presença</w:t>
      </w:r>
      <w:r>
        <w:t xml:space="preserve"> </w:t>
      </w:r>
      <w:r>
        <w:t xml:space="preserve">de informação assimétrica, mas não quantifica seus custos de bem-estar.</w:t>
      </w:r>
    </w:p>
    <w:p>
      <w:pPr>
        <w:pStyle w:val="BlockText"/>
      </w:pPr>
      <w:r>
        <w:rPr>
          <w:b/>
          <w:bCs/>
        </w:rPr>
        <w:t xml:space="preserve">Método.</w:t>
      </w:r>
      <w:r>
        <w:t xml:space="preserve"> </w:t>
      </w:r>
      <w:r>
        <w:t xml:space="preserve">Os autores exploram variação nos preços de seguros de saúde enfrentados por funcionários de uma grande empresa americana (Alcoa) para estimar separadamente as curvas de demanda e custo marginal no mercado de seguros. A variação de preços decorre de diferenças contratuais entre estabelecimentos, permitindo identificação quase-experimental.</w:t>
      </w:r>
    </w:p>
    <w:p>
      <w:pPr>
        <w:pStyle w:val="BlockText"/>
      </w:pPr>
      <w:r>
        <w:rPr>
          <w:b/>
          <w:bCs/>
        </w:rPr>
        <w:t xml:space="preserve">Resultado.</w:t>
      </w:r>
      <w:r>
        <w:t xml:space="preserve"> </w:t>
      </w:r>
      <w:r>
        <w:t xml:space="preserve">A seleção adversa gera perda de bem-estar equivalente a cerca de US$ 9,55 por segurado por mês — significativa, mas menor do que as estimativas baseadas em modelos calibrados. O resultado sugere que a seleção adversa é empiricamente relevante, mas seu custo pode ser moderado em mercados com boa classificação de risco.</w:t>
      </w:r>
    </w:p>
    <w:p>
      <w:pPr>
        <w:pStyle w:val="BlockText"/>
      </w:pPr>
      <w:r>
        <w:rPr>
          <w:b/>
          <w:bCs/>
        </w:rPr>
        <w:t xml:space="preserve">Conexão com o capítulo.</w:t>
      </w:r>
      <w:r>
        <w:t xml:space="preserve"> </w:t>
      </w:r>
      <w:r>
        <w:t xml:space="preserve">O paper quantifica o custo de bem-estar da seleção adversa (Seção 19.4), conectando a teoria à mensuração empírica. A metodologia — estimar curvas de demanda e custo para calcular DWL — é análoga à análise de bem-estar do Capítulo 15, aplicada ao contexto de informação assimétrica.</w:t>
      </w:r>
    </w:p>
    <w:p>
      <w:pPr>
        <w:pStyle w:val="BlockText"/>
      </w:pPr>
      <w:r>
        <w:rPr>
          <w:b/>
          <w:bCs/>
        </w:rPr>
        <w:t xml:space="preserve">[PESQUISA EM ACAO]</w:t>
      </w:r>
      <w:r>
        <w:rPr>
          <w:b/>
          <w:bCs/>
        </w:rPr>
        <w:t xml:space="preserve"> </w:t>
      </w:r>
      <w:hyperlink r:id="rId1230">
        <w:r>
          <w:rPr>
            <w:rStyle w:val="Hyperlink"/>
            <w:b/>
            <w:bCs/>
          </w:rPr>
          <w:t xml:space="preserve">Tyler, J. H.; Murnane, R. J.; Willett, J. B. (2000). Estimating the Labor Market Signaling Value of the GED.</w:t>
        </w:r>
        <w:r>
          <w:rPr>
            <w:rStyle w:val="Hyperlink"/>
            <w:b/>
            <w:bCs/>
          </w:rPr>
          <w:t xml:space="preserve"> </w:t>
        </w:r>
        <w:r>
          <w:rPr>
            <w:rStyle w:val="Hyperlink"/>
            <w:b/>
            <w:bCs/>
            <w:i/>
            <w:iCs/>
          </w:rPr>
          <w:t xml:space="preserve">Quarterly Journal of Economics</w:t>
        </w:r>
        <w:r>
          <w:rPr>
            <w:rStyle w:val="Hyperlink"/>
            <w:b/>
            <w:bCs/>
          </w:rPr>
          <w:t xml:space="preserve">, 115(2), 431–468.</w:t>
        </w:r>
      </w:hyperlink>
    </w:p>
    <w:p>
      <w:pPr>
        <w:pStyle w:val="BlockText"/>
      </w:pPr>
      <w:r>
        <w:rPr>
          <w:b/>
          <w:bCs/>
        </w:rPr>
        <w:t xml:space="preserve">DOI:</w:t>
      </w:r>
      <w:r>
        <w:t xml:space="preserve"> </w:t>
      </w:r>
      <w:hyperlink r:id="rId1230">
        <w:r>
          <w:rPr>
            <w:rStyle w:val="Hyperlink"/>
          </w:rPr>
          <w:t xml:space="preserve">10.1162/003355300554926</w:t>
        </w:r>
      </w:hyperlink>
    </w:p>
    <w:p>
      <w:pPr>
        <w:pStyle w:val="BlockText"/>
      </w:pPr>
      <w:r>
        <w:rPr>
          <w:b/>
          <w:bCs/>
        </w:rPr>
        <w:t xml:space="preserve">Contexto.</w:t>
      </w:r>
      <w:r>
        <w:t xml:space="preserve"> </w:t>
      </w:r>
      <w:r>
        <w:t xml:space="preserve">O modelo de Spence (Seção 19.5) prevê que a educação pode funcionar como sinal de produtividade. Mas como separar empiricamente o componente de sinalização do componente de capital humano (produtividade real)? Tyler, Murnane e Willett exploram uma variação institucional engenhosa para isolar o efeito puro de sinalização.</w:t>
      </w:r>
    </w:p>
    <w:p>
      <w:pPr>
        <w:pStyle w:val="BlockText"/>
      </w:pPr>
      <w:r>
        <w:rPr>
          <w:b/>
          <w:bCs/>
        </w:rPr>
        <w:t xml:space="preserve">Método.</w:t>
      </w:r>
      <w:r>
        <w:t xml:space="preserve"> </w:t>
      </w:r>
      <w:r>
        <w:t xml:space="preserve">O</w:t>
      </w:r>
      <w:r>
        <w:t xml:space="preserve"> </w:t>
      </w:r>
      <w:r>
        <w:rPr>
          <w:i/>
          <w:iCs/>
        </w:rPr>
        <w:t xml:space="preserve">General Educational Development</w:t>
      </w:r>
      <w:r>
        <w:t xml:space="preserve"> </w:t>
      </w:r>
      <w:r>
        <w:t xml:space="preserve">(GED) é um exame de equivalência ao ensino médio nos EUA. A nota de corte para aprovação varia entre estados: em alguns, basta acertar 40 questões; em outros, é preciso 45. Os autores comparam os rendimentos de indivíduos que obtiveram a mesma nota (por exemplo, 42) mas que, por viverem em estados com cortes diferentes, ficaram em lados opostos da aprovação. A nota reflete o mesmo nível de capital humano — a única diferença é ter ou não o</w:t>
      </w:r>
      <w:r>
        <w:t xml:space="preserve"> </w:t>
      </w:r>
      <w:r>
        <w:t xml:space="preserve">“selo”</w:t>
      </w:r>
      <w:r>
        <w:t xml:space="preserve"> </w:t>
      </w:r>
      <w:r>
        <w:t xml:space="preserve">do GED.</w:t>
      </w:r>
    </w:p>
    <w:p>
      <w:pPr>
        <w:pStyle w:val="BlockText"/>
      </w:pPr>
      <w:r>
        <w:rPr>
          <w:b/>
          <w:bCs/>
        </w:rPr>
        <w:t xml:space="preserve">Resultado.</w:t>
      </w:r>
      <w:r>
        <w:t xml:space="preserve"> </w:t>
      </w:r>
      <w:r>
        <w:t xml:space="preserve">Obter o GED — o puro sinal, sem ganho adicional de capital humano — aumenta os rendimentos em 10–19% para jovens brancos que abandonaram o ensino médio. O efeito é menor para minorias, sugerindo que a credibilidade do sinal varia entre grupos demográficos.</w:t>
      </w:r>
    </w:p>
    <w:p>
      <w:pPr>
        <w:pStyle w:val="BlockText"/>
      </w:pPr>
      <w:r>
        <w:rPr>
          <w:b/>
          <w:bCs/>
        </w:rPr>
        <w:t xml:space="preserve">Conexão com o capítulo.</w:t>
      </w:r>
      <w:r>
        <w:t xml:space="preserve"> </w:t>
      </w:r>
      <w:r>
        <w:t xml:space="preserve">Este é um dos testes empíricos mais limpos da teoria de sinalização de Spence. Ao isolar o efeito do</w:t>
      </w:r>
      <w:r>
        <w:t xml:space="preserve"> </w:t>
      </w:r>
      <w:r>
        <w:t xml:space="preserve">“selo”</w:t>
      </w:r>
      <w:r>
        <w:t xml:space="preserve"> </w:t>
      </w:r>
      <w:r>
        <w:t xml:space="preserve">(sinal) do efeito da competência (capital humano), os autores demonstram que a sinalização tem valor de mercado real e significativo — confirmando a previsão teórica da Seção 19.5.</w:t>
      </w:r>
    </w:p>
    <w:p>
      <w:pPr>
        <w:pStyle w:val="BlockText"/>
      </w:pPr>
      <w:r>
        <w:rPr>
          <w:b/>
          <w:bCs/>
        </w:rPr>
        <w:t xml:space="preserve">[PESQUISA EM ACAO]</w:t>
      </w:r>
      <w:r>
        <w:rPr>
          <w:b/>
          <w:bCs/>
        </w:rPr>
        <w:t xml:space="preserve"> </w:t>
      </w:r>
      <w:hyperlink r:id="rId1231">
        <w:r>
          <w:rPr>
            <w:rStyle w:val="Hyperlink"/>
            <w:b/>
            <w:bCs/>
          </w:rPr>
          <w:t xml:space="preserve">Banerjee, A.; Duflo, E.; Glennerster, R.; Kinnan, C. (2015). The Miracle of Microfinance? Evidence from a Randomized Evaluation.</w:t>
        </w:r>
        <w:r>
          <w:rPr>
            <w:rStyle w:val="Hyperlink"/>
            <w:b/>
            <w:bCs/>
          </w:rPr>
          <w:t xml:space="preserve"> </w:t>
        </w:r>
        <w:r>
          <w:rPr>
            <w:rStyle w:val="Hyperlink"/>
            <w:b/>
            <w:bCs/>
            <w:i/>
            <w:iCs/>
          </w:rPr>
          <w:t xml:space="preserve">American Economic Journal: Applied Economics</w:t>
        </w:r>
        <w:r>
          <w:rPr>
            <w:rStyle w:val="Hyperlink"/>
            <w:b/>
            <w:bCs/>
          </w:rPr>
          <w:t xml:space="preserve">, 7(1), 22–53.</w:t>
        </w:r>
      </w:hyperlink>
    </w:p>
    <w:p>
      <w:pPr>
        <w:pStyle w:val="BlockText"/>
      </w:pPr>
      <w:r>
        <w:rPr>
          <w:b/>
          <w:bCs/>
        </w:rPr>
        <w:t xml:space="preserve">DOI:</w:t>
      </w:r>
      <w:r>
        <w:t xml:space="preserve"> </w:t>
      </w:r>
      <w:hyperlink r:id="rId1231">
        <w:r>
          <w:rPr>
            <w:rStyle w:val="Hyperlink"/>
          </w:rPr>
          <w:t xml:space="preserve">10.1257/app.20130533</w:t>
        </w:r>
      </w:hyperlink>
    </w:p>
    <w:p>
      <w:pPr>
        <w:pStyle w:val="BlockText"/>
      </w:pPr>
      <w:r>
        <w:rPr>
          <w:b/>
          <w:bCs/>
        </w:rPr>
        <w:t xml:space="preserve">Contexto.</w:t>
      </w:r>
      <w:r>
        <w:t xml:space="preserve"> </w:t>
      </w:r>
      <w:r>
        <w:t xml:space="preserve">O microcrédito foi amplamente celebrado como solução para a pobreza em países em desenvolvimento — a ponto de Muhammad Yunus e o Grameen Bank receberem o Prêmio Nobel da Paz em 2006. A lógica é que a assimetria de informação nos mercados de crédito (seleção adversa sobre a qualidade do tomador e risco moral sobre o uso dos recursos) exclui os pobres do sistema financeiro formal. O microcrédito, com seus mecanismos de empréstimo em grupo (responsabilidade solidária) e monitoramento entre pares, mitigaria ambos os problemas.</w:t>
      </w:r>
    </w:p>
    <w:p>
      <w:pPr>
        <w:pStyle w:val="BlockText"/>
      </w:pPr>
      <w:r>
        <w:rPr>
          <w:b/>
          <w:bCs/>
        </w:rPr>
        <w:t xml:space="preserve">Método.</w:t>
      </w:r>
      <w:r>
        <w:t xml:space="preserve"> </w:t>
      </w:r>
      <w:r>
        <w:t xml:space="preserve">Os autores conduziram um</w:t>
      </w:r>
      <w:r>
        <w:t xml:space="preserve"> </w:t>
      </w:r>
      <w:r>
        <w:rPr>
          <w:b/>
          <w:bCs/>
        </w:rPr>
        <w:t xml:space="preserve">experimento randomizado</w:t>
      </w:r>
      <w:r>
        <w:t xml:space="preserve"> </w:t>
      </w:r>
      <w:r>
        <w:t xml:space="preserve">em Hyderabad, Índia: 104 bairros foram sorteados para receber agências de microcrédito, enquanto outros serviram de controle. Acompanharam 6.850 domicílios por 18 meses. A randomização permite isolar o efeito causal do acesso ao microcrédito, controlando para seleção adversa na adesão voluntária.</w:t>
      </w:r>
    </w:p>
    <w:p>
      <w:pPr>
        <w:pStyle w:val="BlockText"/>
      </w:pPr>
      <w:r>
        <w:rPr>
          <w:b/>
          <w:bCs/>
        </w:rPr>
        <w:t xml:space="preserve">Resultado.</w:t>
      </w:r>
      <w:r>
        <w:t xml:space="preserve"> </w:t>
      </w:r>
      <w:r>
        <w:t xml:space="preserve">O microcrédito aumentou o investimento em negócios e o consumo de bens duráveis, mas</w:t>
      </w:r>
      <w:r>
        <w:t xml:space="preserve"> </w:t>
      </w:r>
      <w:r>
        <w:rPr>
          <w:b/>
          <w:bCs/>
        </w:rPr>
        <w:t xml:space="preserve">não teve efeito significativo</w:t>
      </w:r>
      <w:r>
        <w:t xml:space="preserve"> </w:t>
      </w:r>
      <w:r>
        <w:t xml:space="preserve">sobre consumo total, saúde, educação ou empoderamento feminino. Crucialmente, os efeitos foram heterogêneos: famílias com negócios pré-existentes expandiram atividades, enquanto as demais não se beneficiaram. Não houve a</w:t>
      </w:r>
      <w:r>
        <w:t xml:space="preserve"> </w:t>
      </w:r>
      <w:r>
        <w:t xml:space="preserve">“transformação”</w:t>
      </w:r>
      <w:r>
        <w:t xml:space="preserve"> </w:t>
      </w:r>
      <w:r>
        <w:t xml:space="preserve">que os entusiastas prometiam.</w:t>
      </w:r>
    </w:p>
    <w:p>
      <w:pPr>
        <w:pStyle w:val="BlockText"/>
      </w:pPr>
      <w:r>
        <w:rPr>
          <w:b/>
          <w:bCs/>
        </w:rPr>
        <w:t xml:space="preserve">Conexão com o capítulo.</w:t>
      </w:r>
      <w:r>
        <w:t xml:space="preserve"> </w:t>
      </w:r>
      <w:r>
        <w:t xml:space="preserve">O paper ilustra como a assimetria de informação no mercado de crédito (Seção 19.4) afeta países em desenvolvimento e como mecanismos contratuais inovadores (empréstimo em grupo como triagem e monitoramento entre pares como mitigação de risco moral) tentam resolver os problemas informacionais. O resultado moderado sugere que resolver a assimetria de informação no crédito é necessário, mas não suficiente, para gerar desenvolvimento.</w:t>
      </w:r>
    </w:p>
    <w:p>
      <w:r>
        <w:pict>
          <v:rect style="width:0;height:1.5pt" o:hralign="center" o:hrstd="t" o:hr="t"/>
        </w:pict>
      </w:r>
    </w:p>
    <w:bookmarkEnd w:id="1232"/>
    <w:bookmarkStart w:id="1236" w:name="referências-do-capítulo-20"/>
    <w:p>
      <w:pPr>
        <w:pStyle w:val="Heading3"/>
      </w:pPr>
      <w:r>
        <w:t xml:space="preserve">Referências do Capítulo</w:t>
      </w:r>
    </w:p>
    <w:p>
      <w:pPr>
        <w:pStyle w:val="Compact"/>
        <w:numPr>
          <w:ilvl w:val="0"/>
          <w:numId w:val="2100"/>
        </w:numPr>
      </w:pPr>
      <w:r>
        <w:t xml:space="preserve">Banerjee, Abhijit, Esther Duflo, Rachel Glennerster, e Cynthia Kinnan. 2015.</w:t>
      </w:r>
      <w:r>
        <w:t xml:space="preserve"> </w:t>
      </w:r>
      <w:r>
        <w:t xml:space="preserve">“</w:t>
      </w:r>
      <w:hyperlink r:id="rId1231">
        <w:r>
          <w:rPr>
            <w:rStyle w:val="Hyperlink"/>
          </w:rPr>
          <w:t xml:space="preserve">The Miracle of Microfinance? Evidence from a Randomized Evaluation</w:t>
        </w:r>
      </w:hyperlink>
      <w:r>
        <w:t xml:space="preserve">.”</w:t>
      </w:r>
      <w:r>
        <w:t xml:space="preserve"> </w:t>
      </w:r>
      <w:r>
        <w:rPr>
          <w:i/>
          <w:iCs/>
        </w:rPr>
        <w:t xml:space="preserve">American Economic Journal: Applied Economics</w:t>
      </w:r>
      <w:r>
        <w:t xml:space="preserve"> </w:t>
      </w:r>
      <w:r>
        <w:t xml:space="preserve">7 (1): 22–53.</w:t>
      </w:r>
    </w:p>
    <w:p>
      <w:pPr>
        <w:pStyle w:val="Compact"/>
        <w:numPr>
          <w:ilvl w:val="0"/>
          <w:numId w:val="2100"/>
        </w:numPr>
      </w:pPr>
      <w:r>
        <w:t xml:space="preserve">Akerlof, George A. 1970.</w:t>
      </w:r>
      <w:r>
        <w:t xml:space="preserve"> </w:t>
      </w:r>
      <w:r>
        <w:t xml:space="preserve">“</w:t>
      </w:r>
      <w:hyperlink r:id="rId362">
        <w:r>
          <w:rPr>
            <w:rStyle w:val="Hyperlink"/>
          </w:rPr>
          <w:t xml:space="preserve">The Market for</w:t>
        </w:r>
        <w:r>
          <w:rPr>
            <w:rStyle w:val="Hyperlink"/>
          </w:rPr>
          <w:t xml:space="preserve"> </w:t>
        </w:r>
        <w:r>
          <w:rPr>
            <w:rStyle w:val="Hyperlink"/>
          </w:rPr>
          <w:t xml:space="preserve">‘Lemons’</w:t>
        </w:r>
        <w:r>
          <w:rPr>
            <w:rStyle w:val="Hyperlink"/>
          </w:rPr>
          <w:t xml:space="preserve">: Quality Uncertainty and the Market Mechanism</w:t>
        </w:r>
      </w:hyperlink>
      <w:r>
        <w:t xml:space="preserve">.”</w:t>
      </w:r>
      <w:r>
        <w:t xml:space="preserve"> </w:t>
      </w:r>
      <w:r>
        <w:rPr>
          <w:i/>
          <w:iCs/>
        </w:rPr>
        <w:t xml:space="preserve">Quarterly Journal of Economics</w:t>
      </w:r>
      <w:r>
        <w:t xml:space="preserve"> </w:t>
      </w:r>
      <w:r>
        <w:t xml:space="preserve">84 (3): 488–500.</w:t>
      </w:r>
    </w:p>
    <w:p>
      <w:pPr>
        <w:pStyle w:val="Compact"/>
        <w:numPr>
          <w:ilvl w:val="0"/>
          <w:numId w:val="2100"/>
        </w:numPr>
      </w:pPr>
      <w:r>
        <w:t xml:space="preserve">Chiappori, Pierre-André, e Bernard Salanié. 2000.</w:t>
      </w:r>
      <w:r>
        <w:t xml:space="preserve"> </w:t>
      </w:r>
      <w:r>
        <w:t xml:space="preserve">“</w:t>
      </w:r>
      <w:hyperlink r:id="rId364">
        <w:r>
          <w:rPr>
            <w:rStyle w:val="Hyperlink"/>
          </w:rPr>
          <w:t xml:space="preserve">Testing for Asymmetric Information in Insurance Markets</w:t>
        </w:r>
      </w:hyperlink>
      <w:r>
        <w:t xml:space="preserve">.”</w:t>
      </w:r>
      <w:r>
        <w:t xml:space="preserve"> </w:t>
      </w:r>
      <w:r>
        <w:rPr>
          <w:i/>
          <w:iCs/>
        </w:rPr>
        <w:t xml:space="preserve">Journal of Political Economy</w:t>
      </w:r>
      <w:r>
        <w:t xml:space="preserve"> </w:t>
      </w:r>
      <w:r>
        <w:t xml:space="preserve">108 (1): 56–78.</w:t>
      </w:r>
    </w:p>
    <w:p>
      <w:pPr>
        <w:pStyle w:val="Compact"/>
        <w:numPr>
          <w:ilvl w:val="0"/>
          <w:numId w:val="2100"/>
        </w:numPr>
      </w:pPr>
      <w:r>
        <w:t xml:space="preserve">Einav, Liran, Amy Finkelstein, e Mark R. Cullen. 2010.</w:t>
      </w:r>
      <w:r>
        <w:t xml:space="preserve"> </w:t>
      </w:r>
      <w:r>
        <w:t xml:space="preserve">“</w:t>
      </w:r>
      <w:hyperlink r:id="rId1229">
        <w:r>
          <w:rPr>
            <w:rStyle w:val="Hyperlink"/>
          </w:rPr>
          <w:t xml:space="preserve">Estimating Welfare in Insurance Markets Using Variation in Prices</w:t>
        </w:r>
      </w:hyperlink>
      <w:r>
        <w:t xml:space="preserve">.”</w:t>
      </w:r>
      <w:r>
        <w:t xml:space="preserve"> </w:t>
      </w:r>
      <w:r>
        <w:rPr>
          <w:i/>
          <w:iCs/>
        </w:rPr>
        <w:t xml:space="preserve">Quarterly Journal of Economics</w:t>
      </w:r>
      <w:r>
        <w:t xml:space="preserve"> </w:t>
      </w:r>
      <w:r>
        <w:t xml:space="preserve">125 (3): 877–921.</w:t>
      </w:r>
    </w:p>
    <w:p>
      <w:pPr>
        <w:pStyle w:val="Compact"/>
        <w:numPr>
          <w:ilvl w:val="0"/>
          <w:numId w:val="2100"/>
        </w:numPr>
      </w:pPr>
      <w:r>
        <w:t xml:space="preserve">Holmström, Bengt. 1979.</w:t>
      </w:r>
      <w:r>
        <w:t xml:space="preserve"> </w:t>
      </w:r>
      <w:r>
        <w:t xml:space="preserve">“</w:t>
      </w:r>
      <w:hyperlink r:id="rId1233">
        <w:r>
          <w:rPr>
            <w:rStyle w:val="Hyperlink"/>
          </w:rPr>
          <w:t xml:space="preserve">Moral Hazard and Observability</w:t>
        </w:r>
      </w:hyperlink>
      <w:r>
        <w:t xml:space="preserve">.”</w:t>
      </w:r>
      <w:r>
        <w:t xml:space="preserve"> </w:t>
      </w:r>
      <w:r>
        <w:rPr>
          <w:i/>
          <w:iCs/>
        </w:rPr>
        <w:t xml:space="preserve">Bell Journal of Economics</w:t>
      </w:r>
      <w:r>
        <w:t xml:space="preserve"> </w:t>
      </w:r>
      <w:r>
        <w:t xml:space="preserve">10 (1): 74–91.</w:t>
      </w:r>
    </w:p>
    <w:p>
      <w:pPr>
        <w:pStyle w:val="Compact"/>
        <w:numPr>
          <w:ilvl w:val="0"/>
          <w:numId w:val="2100"/>
        </w:numPr>
      </w:pPr>
      <w:r>
        <w:t xml:space="preserve">Matoso, R., e M. Rezende. 2014.</w:t>
      </w:r>
      <w:r>
        <w:t xml:space="preserve"> </w:t>
      </w:r>
      <w:r>
        <w:t xml:space="preserve">“</w:t>
      </w:r>
      <w:hyperlink r:id="rId1228">
        <w:r>
          <w:rPr>
            <w:rStyle w:val="Hyperlink"/>
          </w:rPr>
          <w:t xml:space="preserve">Asymmetric Information in Oil and Gas Lease Auctions with a National Company</w:t>
        </w:r>
      </w:hyperlink>
      <w:r>
        <w:t xml:space="preserve">.”</w:t>
      </w:r>
      <w:r>
        <w:t xml:space="preserve"> </w:t>
      </w:r>
      <w:r>
        <w:rPr>
          <w:i/>
          <w:iCs/>
        </w:rPr>
        <w:t xml:space="preserve">International Journal of Industrial Organization</w:t>
      </w:r>
      <w:r>
        <w:t xml:space="preserve"> </w:t>
      </w:r>
      <w:r>
        <w:t xml:space="preserve">33: 72–82.</w:t>
      </w:r>
    </w:p>
    <w:p>
      <w:pPr>
        <w:pStyle w:val="Compact"/>
        <w:numPr>
          <w:ilvl w:val="0"/>
          <w:numId w:val="2100"/>
        </w:numPr>
      </w:pPr>
      <w:r>
        <w:t xml:space="preserve">Milgrom, Paul. 2004.</w:t>
      </w:r>
      <w:r>
        <w:t xml:space="preserve"> </w:t>
      </w:r>
      <w:hyperlink r:id="rId1234">
        <w:r>
          <w:rPr>
            <w:rStyle w:val="Hyperlink"/>
            <w:i/>
            <w:iCs/>
          </w:rPr>
          <w:t xml:space="preserve">Putting Auction Theory to Work</w:t>
        </w:r>
      </w:hyperlink>
      <w:r>
        <w:t xml:space="preserve">. Cambridge: Cambridge University Press.</w:t>
      </w:r>
    </w:p>
    <w:p>
      <w:pPr>
        <w:pStyle w:val="Compact"/>
        <w:numPr>
          <w:ilvl w:val="0"/>
          <w:numId w:val="2100"/>
        </w:numPr>
      </w:pPr>
      <w:r>
        <w:t xml:space="preserve">Mirrlees, James A. 1971.</w:t>
      </w:r>
      <w:r>
        <w:t xml:space="preserve"> </w:t>
      </w:r>
      <w:r>
        <w:t xml:space="preserve">“</w:t>
      </w:r>
      <w:hyperlink r:id="rId1235">
        <w:r>
          <w:rPr>
            <w:rStyle w:val="Hyperlink"/>
          </w:rPr>
          <w:t xml:space="preserve">An Exploration in the Theory of Optimum Income Taxation</w:t>
        </w:r>
      </w:hyperlink>
      <w:r>
        <w:t xml:space="preserve">.”</w:t>
      </w:r>
      <w:r>
        <w:t xml:space="preserve"> </w:t>
      </w:r>
      <w:r>
        <w:rPr>
          <w:i/>
          <w:iCs/>
        </w:rPr>
        <w:t xml:space="preserve">Review of Economic Studies</w:t>
      </w:r>
      <w:r>
        <w:t xml:space="preserve"> </w:t>
      </w:r>
      <w:r>
        <w:t xml:space="preserve">38 (2): 175–208.</w:t>
      </w:r>
    </w:p>
    <w:p>
      <w:pPr>
        <w:pStyle w:val="Compact"/>
        <w:numPr>
          <w:ilvl w:val="0"/>
          <w:numId w:val="2100"/>
        </w:numPr>
      </w:pPr>
      <w:r>
        <w:t xml:space="preserve">Myerson, Roger B. 1981.</w:t>
      </w:r>
      <w:r>
        <w:t xml:space="preserve"> </w:t>
      </w:r>
      <w:r>
        <w:t xml:space="preserve">“</w:t>
      </w:r>
      <w:hyperlink r:id="rId586">
        <w:r>
          <w:rPr>
            <w:rStyle w:val="Hyperlink"/>
          </w:rPr>
          <w:t xml:space="preserve">Optimal Auction Design</w:t>
        </w:r>
      </w:hyperlink>
      <w:r>
        <w:t xml:space="preserve">.”</w:t>
      </w:r>
      <w:r>
        <w:t xml:space="preserve"> </w:t>
      </w:r>
      <w:r>
        <w:rPr>
          <w:i/>
          <w:iCs/>
        </w:rPr>
        <w:t xml:space="preserve">Mathematics of Operations Research</w:t>
      </w:r>
      <w:r>
        <w:t xml:space="preserve"> </w:t>
      </w:r>
      <w:r>
        <w:t xml:space="preserve">6 (1): 58–73.</w:t>
      </w:r>
    </w:p>
    <w:p>
      <w:pPr>
        <w:pStyle w:val="Compact"/>
        <w:numPr>
          <w:ilvl w:val="0"/>
          <w:numId w:val="2100"/>
        </w:numPr>
      </w:pPr>
      <w:r>
        <w:t xml:space="preserve">Rothschild, Michael, e Joseph E. Stiglitz. 1976.</w:t>
      </w:r>
      <w:r>
        <w:t xml:space="preserve"> </w:t>
      </w:r>
      <w:r>
        <w:t xml:space="preserve">“</w:t>
      </w:r>
      <w:hyperlink r:id="rId631">
        <w:r>
          <w:rPr>
            <w:rStyle w:val="Hyperlink"/>
          </w:rPr>
          <w:t xml:space="preserve">Equilibrium in Competitive Insurance Markets: An Essay on the Economics of Imperfect Information</w:t>
        </w:r>
      </w:hyperlink>
      <w:r>
        <w:t xml:space="preserve">.”</w:t>
      </w:r>
      <w:r>
        <w:t xml:space="preserve"> </w:t>
      </w:r>
      <w:r>
        <w:rPr>
          <w:i/>
          <w:iCs/>
        </w:rPr>
        <w:t xml:space="preserve">Quarterly Journal of Economics</w:t>
      </w:r>
      <w:r>
        <w:t xml:space="preserve"> </w:t>
      </w:r>
      <w:r>
        <w:t xml:space="preserve">90 (4): 629–649.</w:t>
      </w:r>
    </w:p>
    <w:p>
      <w:pPr>
        <w:pStyle w:val="Compact"/>
        <w:numPr>
          <w:ilvl w:val="0"/>
          <w:numId w:val="2100"/>
        </w:numPr>
      </w:pPr>
      <w:r>
        <w:t xml:space="preserve">Spence, Michael. 1973.</w:t>
      </w:r>
      <w:r>
        <w:t xml:space="preserve"> </w:t>
      </w:r>
      <w:r>
        <w:t xml:space="preserve">“</w:t>
      </w:r>
      <w:hyperlink r:id="rId630">
        <w:r>
          <w:rPr>
            <w:rStyle w:val="Hyperlink"/>
          </w:rPr>
          <w:t xml:space="preserve">Job Market Signaling</w:t>
        </w:r>
      </w:hyperlink>
      <w:r>
        <w:t xml:space="preserve">.”</w:t>
      </w:r>
      <w:r>
        <w:t xml:space="preserve"> </w:t>
      </w:r>
      <w:r>
        <w:rPr>
          <w:i/>
          <w:iCs/>
        </w:rPr>
        <w:t xml:space="preserve">Quarterly Journal of Economics</w:t>
      </w:r>
      <w:r>
        <w:t xml:space="preserve"> </w:t>
      </w:r>
      <w:r>
        <w:t xml:space="preserve">87 (3): 355–374.</w:t>
      </w:r>
    </w:p>
    <w:p>
      <w:pPr>
        <w:pStyle w:val="Compact"/>
        <w:numPr>
          <w:ilvl w:val="0"/>
          <w:numId w:val="2100"/>
        </w:numPr>
      </w:pPr>
      <w:r>
        <w:t xml:space="preserve">Tyler, John H., Richard J. Murnane, e John B. Willett. 2000.</w:t>
      </w:r>
      <w:r>
        <w:t xml:space="preserve"> </w:t>
      </w:r>
      <w:r>
        <w:t xml:space="preserve">“</w:t>
      </w:r>
      <w:hyperlink r:id="rId1230">
        <w:r>
          <w:rPr>
            <w:rStyle w:val="Hyperlink"/>
          </w:rPr>
          <w:t xml:space="preserve">Estimating the Labor Market Signaling Value of the GED</w:t>
        </w:r>
      </w:hyperlink>
      <w:r>
        <w:t xml:space="preserve">.”</w:t>
      </w:r>
      <w:r>
        <w:t xml:space="preserve"> </w:t>
      </w:r>
      <w:r>
        <w:rPr>
          <w:i/>
          <w:iCs/>
        </w:rPr>
        <w:t xml:space="preserve">Quarterly Journal of Economics</w:t>
      </w:r>
      <w:r>
        <w:t xml:space="preserve"> </w:t>
      </w:r>
      <w:r>
        <w:t xml:space="preserve">115 (2): 431–468.</w:t>
      </w:r>
    </w:p>
    <w:p>
      <w:pPr>
        <w:pStyle w:val="Compact"/>
        <w:numPr>
          <w:ilvl w:val="0"/>
          <w:numId w:val="2100"/>
        </w:numPr>
      </w:pPr>
      <w:r>
        <w:t xml:space="preserve">Vickrey, William. 1961.</w:t>
      </w:r>
      <w:r>
        <w:t xml:space="preserve"> </w:t>
      </w:r>
      <w:r>
        <w:t xml:space="preserve">“</w:t>
      </w:r>
      <w:hyperlink r:id="rId593">
        <w:r>
          <w:rPr>
            <w:rStyle w:val="Hyperlink"/>
          </w:rPr>
          <w:t xml:space="preserve">Counterspeculation, Auctions, and Competitive Sealed Tenders</w:t>
        </w:r>
      </w:hyperlink>
      <w:r>
        <w:t xml:space="preserve">.”</w:t>
      </w:r>
      <w:r>
        <w:t xml:space="preserve"> </w:t>
      </w:r>
      <w:r>
        <w:rPr>
          <w:i/>
          <w:iCs/>
        </w:rPr>
        <w:t xml:space="preserve">Journal of Finance</w:t>
      </w:r>
      <w:r>
        <w:t xml:space="preserve"> </w:t>
      </w:r>
      <w:r>
        <w:t xml:space="preserve">16 (1): 8–37.</w:t>
      </w:r>
    </w:p>
    <w:bookmarkEnd w:id="1236"/>
    <w:bookmarkEnd w:id="1237"/>
    <w:bookmarkEnd w:id="1238"/>
    <w:bookmarkStart w:id="1291" w:name="capítulo-20-fumaça-caronas-e-tragédias"/>
    <w:p>
      <w:pPr>
        <w:sectPr>
          <w:footnotePr>
            <w:numRestart w:val="eachSect"/>
          </w:footnotePr>
        </w:sectPr>
      </w:pPr>
    </w:p>
    <w:p>
      <w:pPr>
        <w:pStyle w:val="Heading1"/>
      </w:pPr>
      <w:r>
        <w:t xml:space="preserve">Capítulo 20 — Fumaça, Caronas e Tragédias</w:t>
      </w:r>
    </w:p>
    <w:p>
      <w:pPr>
        <w:pStyle w:val="FirstParagraph"/>
      </w:pPr>
      <w:r>
        <w:t xml:space="preserve">Seu vizinho resolve criar galos. Às 5h da manhã, o canto ecoa pelo quarteirão — e o preço do imóvel ao lado despenca. O vizinho não pagou nada por isso. O mercado de galos funcionou perfeitamente; o mercado de noites bem dormidas, não. Bem-vindo ao mundo das externalidades — onde o prejuízo de um não aparece na conta de ninguém.</w:t>
      </w:r>
      <w:r>
        <w:rPr>
          <w:rStyle w:val="FootnoteReference"/>
        </w:rPr>
        <w:footnoteReference w:id="1239"/>
      </w:r>
    </w:p>
    <w:p>
      <w:pPr>
        <w:pStyle w:val="BodyText"/>
      </w:pPr>
      <w:r>
        <w:t xml:space="preserve">Nos capítulos anteriores, demonstramos que mercados competitivos com informação completa conduzem a alocações Pareto-eficientes — o resultado central dos Teoremas do Bem-Estar. Entretanto, essa conclusão depende criticamente da hipótese de que todas as interações entre agentes econômicos ocorrem via mecanismo de preços. Quando as ações de um agente afetam diretamente o bem-estar de outros</w:t>
      </w:r>
      <w:r>
        <w:t xml:space="preserve"> </w:t>
      </w:r>
      <w:r>
        <w:rPr>
          <w:b/>
          <w:bCs/>
        </w:rPr>
        <w:t xml:space="preserve">fora do sistema de preços</w:t>
      </w:r>
      <w:r>
        <w:t xml:space="preserve">, surgem as</w:t>
      </w:r>
      <w:r>
        <w:t xml:space="preserve"> </w:t>
      </w:r>
      <w:r>
        <w:rPr>
          <w:b/>
          <w:bCs/>
        </w:rPr>
        <w:t xml:space="preserve">externalidades</w:t>
      </w:r>
      <w:r>
        <w:t xml:space="preserve"> </w:t>
      </w:r>
      <w:r>
        <w:t xml:space="preserve">— e a alocação de mercado deixa de ser eficiente.</w:t>
      </w:r>
    </w:p>
    <w:p>
      <w:pPr>
        <w:pStyle w:val="BodyText"/>
      </w:pPr>
      <w:r>
        <w:t xml:space="preserve">Da mesma forma, certos bens possuem características que tornam o mecanismo de mercado inadequado para sua provisão: bens</w:t>
      </w:r>
      <w:r>
        <w:t xml:space="preserve"> </w:t>
      </w:r>
      <w:r>
        <w:rPr>
          <w:b/>
          <w:bCs/>
        </w:rPr>
        <w:t xml:space="preserve">não-rivais</w:t>
      </w:r>
      <w:r>
        <w:t xml:space="preserve"> </w:t>
      </w:r>
      <w:r>
        <w:t xml:space="preserve">e</w:t>
      </w:r>
      <w:r>
        <w:t xml:space="preserve"> </w:t>
      </w:r>
      <w:r>
        <w:rPr>
          <w:b/>
          <w:bCs/>
        </w:rPr>
        <w:t xml:space="preserve">não-excludentes</w:t>
      </w:r>
      <w:r>
        <w:t xml:space="preserve"> </w:t>
      </w:r>
      <w:r>
        <w:t xml:space="preserve">— os chamados</w:t>
      </w:r>
      <w:r>
        <w:t xml:space="preserve"> </w:t>
      </w:r>
      <w:r>
        <w:rPr>
          <w:b/>
          <w:bCs/>
        </w:rPr>
        <w:t xml:space="preserve">bens públicos</w:t>
      </w:r>
      <w:r>
        <w:t xml:space="preserve"> </w:t>
      </w:r>
      <w:r>
        <w:t xml:space="preserve">— tendem a ser subprovidos pelo mercado devido ao problema do</w:t>
      </w:r>
      <w:r>
        <w:t xml:space="preserve"> </w:t>
      </w:r>
      <w:r>
        <w:rPr>
          <w:b/>
          <w:bCs/>
        </w:rPr>
        <w:t xml:space="preserve">carona</w:t>
      </w:r>
      <w:r>
        <w:t xml:space="preserve"> </w:t>
      </w:r>
      <w:r>
        <w:t xml:space="preserve">(free rider).</w:t>
      </w:r>
    </w:p>
    <w:p>
      <w:pPr>
        <w:pStyle w:val="BodyText"/>
      </w:pPr>
      <w:r>
        <w:t xml:space="preserve">Este capítulo analisa essas duas importantes</w:t>
      </w:r>
      <w:r>
        <w:t xml:space="preserve"> </w:t>
      </w:r>
      <w:r>
        <w:rPr>
          <w:b/>
          <w:bCs/>
        </w:rPr>
        <w:t xml:space="preserve">falhas de mercado</w:t>
      </w:r>
      <w:r>
        <w:t xml:space="preserve"> </w:t>
      </w:r>
      <w:r>
        <w:t xml:space="preserve">e discute as principais soluções propostas pela teoria econômica: impostos pigouvianos, o Teorema de Coase, mercados de permissão de emissão, preços de Lindahl e mecanismos de revelação de preferências. Essas questões assumem importância crescente no debate sobre políticas ambientais, saúde pública e infraestrutura.</w:t>
      </w:r>
    </w:p>
    <w:p>
      <w:pPr>
        <w:pStyle w:val="BodyText"/>
      </w:pPr>
      <w:r>
        <w:t xml:space="preserve">A análise de externalidades e bens públicos tem raízes profundas na história do pensamento econômico. Já Alfred Marshall, nos</w:t>
      </w:r>
      <w:r>
        <w:t xml:space="preserve"> </w:t>
      </w:r>
      <w:r>
        <w:rPr>
          <w:i/>
          <w:iCs/>
        </w:rPr>
        <w:t xml:space="preserve">Principles of Economics</w:t>
      </w:r>
      <w:r>
        <w:t xml:space="preserve"> </w:t>
      </w:r>
      <w:r>
        <w:t xml:space="preserve">(1890), reconhecia a existência de</w:t>
      </w:r>
      <w:r>
        <w:t xml:space="preserve"> </w:t>
      </w:r>
      <w:r>
        <w:t xml:space="preserve">“economias externas”</w:t>
      </w:r>
      <w:r>
        <w:t xml:space="preserve"> </w:t>
      </w:r>
      <w:r>
        <w:t xml:space="preserve">— benefícios que a atividade de uma firma gerava para outras firmas ou para a sociedade sem compensação pelo mercado. Contudo, foi Arthur Cecil Pigou quem, em</w:t>
      </w:r>
      <w:r>
        <w:t xml:space="preserve"> </w:t>
      </w:r>
      <w:r>
        <w:rPr>
          <w:i/>
          <w:iCs/>
        </w:rPr>
        <w:t xml:space="preserve">The Economics of Welfare</w:t>
      </w:r>
      <w:r>
        <w:t xml:space="preserve"> </w:t>
      </w:r>
      <w:r>
        <w:t xml:space="preserve">(1920), sistematizou a análise das externalidades como divergência entre custo privado e custo social, propondo a intervenção fiscal como mecanismo de correção. Quatro décadas depois, Ronald Coase (1960) desafiou a prescrição pigouviana, argumentando que a negociação privada poderia, sob certas condições, alcançar a eficiência sem intervenção estatal. Esse debate Pigou–Coase permanece no centro da economia ambiental e da análise econômica do direito até hoje. Do lado dos bens públicos, a contribuição seminal de Paul Samuelson (1954) formalizou a condição de eficiência que distingue radicalmente bens públicos de bens privados, inaugurando a moderna teoria da economia do setor público.</w:t>
      </w:r>
    </w:p>
    <w:p>
      <w:r>
        <w:pict>
          <v:rect style="width:0;height:1.5pt" o:hralign="center" o:hrstd="t" o:hr="t"/>
        </w:pict>
      </w:r>
    </w:p>
    <w:bookmarkStart w:id="1240" w:name="roteiro-do-capítulo-13"/>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20.1</w:t>
            </w:r>
          </w:p>
        </w:tc>
        <w:tc>
          <w:tcPr/>
          <w:p>
            <w:pPr>
              <w:pStyle w:val="Compact"/>
            </w:pPr>
            <w:r>
              <w:t xml:space="preserve">Quando a ação de um afeta o bem-estar de outro sem passar pelo mercado?</w:t>
            </w:r>
          </w:p>
        </w:tc>
        <w:tc>
          <w:tcPr/>
          <w:p>
            <w:pPr>
              <w:pStyle w:val="Compact"/>
            </w:pPr>
            <w:r>
              <w:t xml:space="preserve">Definição e tipologia de externalidades</w:t>
            </w:r>
          </w:p>
        </w:tc>
        <w:tc>
          <w:tcPr/>
          <w:p>
            <w:pPr>
              <w:pStyle w:val="Compact"/>
              <w:jc w:val="center"/>
            </w:pPr>
            <w:r>
              <w:t xml:space="preserve">Externalidades</w:t>
            </w:r>
          </w:p>
        </w:tc>
      </w:tr>
      <w:tr>
        <w:tc>
          <w:tcPr/>
          <w:p>
            <w:pPr>
              <w:pStyle w:val="Compact"/>
              <w:jc w:val="center"/>
            </w:pPr>
            <w:r>
              <w:t xml:space="preserve">20.2</w:t>
            </w:r>
          </w:p>
        </w:tc>
        <w:tc>
          <w:tcPr/>
          <w:p>
            <w:pPr>
              <w:pStyle w:val="Compact"/>
            </w:pPr>
            <w:r>
              <w:t xml:space="preserve">Por que a poluição é excessiva se ninguém paga por ela?</w:t>
            </w:r>
          </w:p>
        </w:tc>
        <w:tc>
          <w:tcPr/>
          <w:p>
            <w:pPr>
              <w:pStyle w:val="Compact"/>
            </w:pPr>
            <w:r>
              <w:t xml:space="preserve">Externalidades e ineficiência alocativa</w:t>
            </w:r>
          </w:p>
        </w:tc>
        <w:tc>
          <w:tcPr/>
          <w:p>
            <w:pPr>
              <w:pStyle w:val="Compact"/>
              <w:jc w:val="center"/>
            </w:pPr>
            <w:r>
              <w:t xml:space="preserve">Ineficiência</w:t>
            </w:r>
          </w:p>
        </w:tc>
      </w:tr>
      <w:tr>
        <w:tc>
          <w:tcPr/>
          <w:p>
            <w:pPr>
              <w:pStyle w:val="Compact"/>
              <w:jc w:val="center"/>
            </w:pPr>
            <w:r>
              <w:t xml:space="preserve">20.3</w:t>
            </w:r>
          </w:p>
        </w:tc>
        <w:tc>
          <w:tcPr/>
          <w:p>
            <w:pPr>
              <w:pStyle w:val="Compact"/>
            </w:pPr>
            <w:r>
              <w:t xml:space="preserve">Como medir o custo social de uma externalidade?</w:t>
            </w:r>
          </w:p>
        </w:tc>
        <w:tc>
          <w:tcPr/>
          <w:p>
            <w:pPr>
              <w:pStyle w:val="Compact"/>
            </w:pPr>
            <w:r>
              <w:t xml:space="preserve">Modelo de equilíbrio parcial com externalidade</w:t>
            </w:r>
          </w:p>
        </w:tc>
        <w:tc>
          <w:tcPr/>
          <w:p>
            <w:pPr>
              <w:pStyle w:val="Compact"/>
              <w:jc w:val="center"/>
            </w:pPr>
            <w:r>
              <w:t xml:space="preserve">Modelo</w:t>
            </w:r>
          </w:p>
        </w:tc>
      </w:tr>
      <w:tr>
        <w:tc>
          <w:tcPr/>
          <w:p>
            <w:pPr>
              <w:pStyle w:val="Compact"/>
              <w:jc w:val="center"/>
            </w:pPr>
            <w:r>
              <w:t xml:space="preserve">20.4</w:t>
            </w:r>
          </w:p>
        </w:tc>
        <w:tc>
          <w:tcPr/>
          <w:p>
            <w:pPr>
              <w:pStyle w:val="Compact"/>
            </w:pPr>
            <w:r>
              <w:t xml:space="preserve">Imposto, negociação ou regulação — o que resolve melhor?</w:t>
            </w:r>
          </w:p>
        </w:tc>
        <w:tc>
          <w:tcPr/>
          <w:p>
            <w:pPr>
              <w:pStyle w:val="Compact"/>
            </w:pPr>
            <w:r>
              <w:t xml:space="preserve">Pigou, Coase, cap-and-trade</w:t>
            </w:r>
          </w:p>
        </w:tc>
        <w:tc>
          <w:tcPr/>
          <w:p>
            <w:pPr>
              <w:pStyle w:val="Compact"/>
              <w:jc w:val="center"/>
            </w:pPr>
            <w:r>
              <w:t xml:space="preserve">Soluções</w:t>
            </w:r>
          </w:p>
        </w:tc>
      </w:tr>
      <w:tr>
        <w:tc>
          <w:tcPr/>
          <w:p>
            <w:pPr>
              <w:pStyle w:val="Compact"/>
              <w:jc w:val="center"/>
            </w:pPr>
            <w:r>
              <w:t xml:space="preserve">20.5</w:t>
            </w:r>
          </w:p>
        </w:tc>
        <w:tc>
          <w:tcPr/>
          <w:p>
            <w:pPr>
              <w:pStyle w:val="Compact"/>
            </w:pPr>
            <w:r>
              <w:t xml:space="preserve">O que torna um bem</w:t>
            </w:r>
            <w:r>
              <w:t xml:space="preserve"> </w:t>
            </w:r>
            <w:r>
              <w:t xml:space="preserve">“público”</w:t>
            </w:r>
            <w:r>
              <w:t xml:space="preserve"> </w:t>
            </w:r>
            <w:r>
              <w:t xml:space="preserve">— e por que o mercado falha em provê-lo?</w:t>
            </w:r>
          </w:p>
        </w:tc>
        <w:tc>
          <w:tcPr/>
          <w:p>
            <w:pPr>
              <w:pStyle w:val="Compact"/>
            </w:pPr>
            <w:r>
              <w:t xml:space="preserve">Não rivalidade, não exclusibilidade</w:t>
            </w:r>
          </w:p>
        </w:tc>
        <w:tc>
          <w:tcPr/>
          <w:p>
            <w:pPr>
              <w:pStyle w:val="Compact"/>
              <w:jc w:val="center"/>
            </w:pPr>
            <w:r>
              <w:t xml:space="preserve">Bens públicos</w:t>
            </w:r>
          </w:p>
        </w:tc>
      </w:tr>
      <w:tr>
        <w:tc>
          <w:tcPr/>
          <w:p>
            <w:pPr>
              <w:pStyle w:val="Compact"/>
              <w:jc w:val="center"/>
            </w:pPr>
            <w:r>
              <w:t xml:space="preserve">20.6</w:t>
            </w:r>
          </w:p>
        </w:tc>
        <w:tc>
          <w:tcPr/>
          <w:p>
            <w:pPr>
              <w:pStyle w:val="Compact"/>
            </w:pPr>
            <w:r>
              <w:t xml:space="preserve">Quanto de bem público a sociedade deveria produzir?</w:t>
            </w:r>
          </w:p>
        </w:tc>
        <w:tc>
          <w:tcPr/>
          <w:p>
            <w:pPr>
              <w:pStyle w:val="Compact"/>
            </w:pPr>
            <w:r>
              <w:t xml:space="preserve">Condição de Samuelson, soma vertical</w:t>
            </w:r>
          </w:p>
        </w:tc>
        <w:tc>
          <w:tcPr/>
          <w:p>
            <w:pPr>
              <w:pStyle w:val="Compact"/>
              <w:jc w:val="center"/>
            </w:pPr>
            <w:r>
              <w:t xml:space="preserve">Alocação</w:t>
            </w:r>
          </w:p>
        </w:tc>
      </w:tr>
      <w:tr>
        <w:tc>
          <w:tcPr/>
          <w:p>
            <w:pPr>
              <w:pStyle w:val="Compact"/>
              <w:jc w:val="center"/>
            </w:pPr>
            <w:r>
              <w:t xml:space="preserve">20.7</w:t>
            </w:r>
          </w:p>
        </w:tc>
        <w:tc>
          <w:tcPr/>
          <w:p>
            <w:pPr>
              <w:pStyle w:val="Compact"/>
            </w:pPr>
            <w:r>
              <w:t xml:space="preserve">Existe um preço personalizado que faz todo mundo pagar pelo que valoriza?</w:t>
            </w:r>
          </w:p>
        </w:tc>
        <w:tc>
          <w:tcPr/>
          <w:p>
            <w:pPr>
              <w:pStyle w:val="Compact"/>
            </w:pPr>
            <w:r>
              <w:t xml:space="preserve">Preços de Lindahl</w:t>
            </w:r>
          </w:p>
        </w:tc>
        <w:tc>
          <w:tcPr/>
          <w:p>
            <w:pPr>
              <w:pStyle w:val="Compact"/>
              <w:jc w:val="center"/>
            </w:pPr>
            <w:r>
              <w:t xml:space="preserve">Lindahl</w:t>
            </w:r>
          </w:p>
        </w:tc>
      </w:tr>
      <w:tr>
        <w:tc>
          <w:tcPr/>
          <w:p>
            <w:pPr>
              <w:pStyle w:val="Compact"/>
              <w:jc w:val="center"/>
            </w:pPr>
            <w:r>
              <w:t xml:space="preserve">20.8</w:t>
            </w:r>
          </w:p>
        </w:tc>
        <w:tc>
          <w:tcPr/>
          <w:p>
            <w:pPr>
              <w:pStyle w:val="Compact"/>
            </w:pPr>
            <w:r>
              <w:t xml:space="preserve">Por que todo mundo quer pegar carona e ninguém quer pagar?</w:t>
            </w:r>
          </w:p>
        </w:tc>
        <w:tc>
          <w:tcPr/>
          <w:p>
            <w:pPr>
              <w:pStyle w:val="Compact"/>
            </w:pPr>
            <w:r>
              <w:t xml:space="preserve">Free-rider, provisão voluntária</w:t>
            </w:r>
          </w:p>
        </w:tc>
        <w:tc>
          <w:tcPr/>
          <w:p>
            <w:pPr>
              <w:pStyle w:val="Compact"/>
              <w:jc w:val="center"/>
            </w:pPr>
            <w:r>
              <w:t xml:space="preserve">Carona</w:t>
            </w:r>
          </w:p>
        </w:tc>
      </w:tr>
      <w:tr>
        <w:tc>
          <w:tcPr/>
          <w:p>
            <w:pPr>
              <w:pStyle w:val="Compact"/>
              <w:jc w:val="center"/>
            </w:pPr>
            <w:r>
              <w:t xml:space="preserve">20.9</w:t>
            </w:r>
          </w:p>
        </w:tc>
        <w:tc>
          <w:tcPr/>
          <w:p>
            <w:pPr>
              <w:pStyle w:val="Compact"/>
            </w:pPr>
            <w:r>
              <w:t xml:space="preserve">A maioria vota bem — ou vota mal?</w:t>
            </w:r>
          </w:p>
        </w:tc>
        <w:tc>
          <w:tcPr/>
          <w:p>
            <w:pPr>
              <w:pStyle w:val="Compact"/>
            </w:pPr>
            <w:r>
              <w:t xml:space="preserve">Votação, teorema do eleitor mediano</w:t>
            </w:r>
          </w:p>
        </w:tc>
        <w:tc>
          <w:tcPr/>
          <w:p>
            <w:pPr>
              <w:pStyle w:val="Compact"/>
              <w:jc w:val="center"/>
            </w:pPr>
            <w:r>
              <w:t xml:space="preserve">Votação</w:t>
            </w:r>
          </w:p>
        </w:tc>
      </w:tr>
      <w:tr>
        <w:tc>
          <w:tcPr/>
          <w:p>
            <w:pPr>
              <w:pStyle w:val="Compact"/>
              <w:jc w:val="center"/>
            </w:pPr>
            <w:r>
              <w:t xml:space="preserve">20.10</w:t>
            </w:r>
          </w:p>
        </w:tc>
        <w:tc>
          <w:tcPr/>
          <w:p>
            <w:pPr>
              <w:pStyle w:val="Compact"/>
            </w:pPr>
            <w:r>
              <w:t xml:space="preserve">Como fazer as pessoas revelarem quanto realmente valorizam o bem público?</w:t>
            </w:r>
          </w:p>
        </w:tc>
        <w:tc>
          <w:tcPr/>
          <w:p>
            <w:pPr>
              <w:pStyle w:val="Compact"/>
            </w:pPr>
            <w:r>
              <w:t xml:space="preserve">Mecanismos de revelação, VCG</w:t>
            </w:r>
          </w:p>
        </w:tc>
        <w:tc>
          <w:tcPr/>
          <w:p>
            <w:pPr>
              <w:pStyle w:val="Compact"/>
              <w:jc w:val="center"/>
            </w:pPr>
            <w:r>
              <w:t xml:space="preserve">Revelação</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p>
      <w:pPr>
        <w:pStyle w:val="BlockText"/>
      </w:pPr>
      <w:r>
        <w:rPr>
          <w:b/>
          <w:bCs/>
        </w:rPr>
        <w:t xml:space="preserve">[ATIVIDADE DE SALA] Atividade de Sala — Jogo de Bens Públicos (Contribuição Voluntária)</w:t>
      </w:r>
    </w:p>
    <w:p>
      <w:pPr>
        <w:pStyle w:val="BlockText"/>
      </w:pPr>
      <w:r>
        <w:rPr>
          <w:b/>
          <w:bCs/>
        </w:rPr>
        <w:t xml:space="preserve">Formato:</w:t>
      </w:r>
      <w:r>
        <w:t xml:space="preserve"> </w:t>
      </w:r>
      <w:r>
        <w:t xml:space="preserve">Experimento de contribuição voluntária com e sem punição</w:t>
      </w:r>
      <w:r>
        <w:t xml:space="preserve"> </w:t>
      </w:r>
      <w:r>
        <w:rPr>
          <w:b/>
          <w:bCs/>
        </w:rPr>
        <w:t xml:space="preserve">Duração:</w:t>
      </w:r>
      <w:r>
        <w:t xml:space="preserve"> </w:t>
      </w:r>
      <w:r>
        <w:t xml:space="preserve">40–45 minutos (20 rodadas + 15 debrief + 10 discussão)</w:t>
      </w:r>
      <w:r>
        <w:t xml:space="preserve"> </w:t>
      </w:r>
      <w:r>
        <w:rPr>
          <w:b/>
          <w:bCs/>
        </w:rPr>
        <w:t xml:space="preserve">Material:</w:t>
      </w:r>
      <w:r>
        <w:t xml:space="preserve"> </w:t>
      </w:r>
      <w:r>
        <w:t xml:space="preserve">Fichas ou moedas (10 por aluno), quadro para registrar contribuições.</w:t>
      </w:r>
    </w:p>
    <w:p>
      <w:pPr>
        <w:pStyle w:val="BlockText"/>
      </w:pPr>
      <w:r>
        <w:rPr>
          <w:b/>
          <w:bCs/>
        </w:rPr>
        <w:t xml:space="preserve">Preparação (5 min):</w:t>
      </w:r>
    </w:p>
    <w:p>
      <w:pPr>
        <w:pStyle w:val="Compact"/>
        <w:numPr>
          <w:ilvl w:val="0"/>
          <w:numId w:val="2101"/>
        </w:numPr>
      </w:pPr>
      <w:r>
        <w:t xml:space="preserve">Divida a turma em grupos de 4–5 alunos.</w:t>
      </w:r>
    </w:p>
    <w:p>
      <w:pPr>
        <w:pStyle w:val="Compact"/>
        <w:numPr>
          <w:ilvl w:val="0"/>
          <w:numId w:val="2101"/>
        </w:numPr>
      </w:pPr>
      <w:r>
        <w:t xml:space="preserve">Cada aluno recebe 10 fichas por rodada.</w:t>
      </w:r>
    </w:p>
    <w:p>
      <w:pPr>
        <w:pStyle w:val="Compact"/>
        <w:numPr>
          <w:ilvl w:val="0"/>
          <w:numId w:val="2101"/>
        </w:numPr>
      </w:pPr>
      <w:r>
        <w:t xml:space="preserve">Regra: cada ficha mantida rende 1 ponto ao aluno. Cada ficha contribuída ao</w:t>
      </w:r>
      <w:r>
        <w:t xml:space="preserve"> </w:t>
      </w:r>
      <w:r>
        <w:t xml:space="preserve">“fundo público”</w:t>
      </w:r>
      <w:r>
        <w:t xml:space="preserve"> </w:t>
      </w:r>
      <w:r>
        <w:t xml:space="preserve">do grupo rende 0,4 pontos</w:t>
      </w:r>
      <w:r>
        <w:t xml:space="preserve"> </w:t>
      </w:r>
      <w:r>
        <w:rPr>
          <w:b/>
          <w:bCs/>
        </w:rPr>
        <w:t xml:space="preserve">para cada membro</w:t>
      </w:r>
      <w:r>
        <w:t xml:space="preserve"> </w:t>
      </w:r>
      <w:r>
        <w:t xml:space="preserve">do grupo (incluindo o contribuidor).</w:t>
      </w:r>
    </w:p>
    <w:p>
      <w:pPr>
        <w:pStyle w:val="Compact"/>
        <w:numPr>
          <w:ilvl w:val="0"/>
          <w:numId w:val="2101"/>
        </w:numPr>
      </w:pPr>
      <w:r>
        <w:t xml:space="preserve">Com 5 membros, o retorno social de 1 ficha contribuída = 5 × 0,4 = 2,0 &gt; 1,0 (custo privado). Contribuir é socialmente eficiente. Mas individualmente, contribuir 1 ficha retorna apenas 0,4 para o contribuidor — menos que manter (1,0). Free-riding é individualmente racional.</w:t>
      </w:r>
    </w:p>
    <w:p>
      <w:pPr>
        <w:pStyle w:val="BlockText"/>
      </w:pPr>
      <w:r>
        <w:rPr>
          <w:b/>
          <w:bCs/>
        </w:rPr>
        <w:t xml:space="preserve">Fase 1 — Sem punição (rodadas 1–8, 10 min):</w:t>
      </w:r>
    </w:p>
    <w:p>
      <w:pPr>
        <w:pStyle w:val="Compact"/>
        <w:numPr>
          <w:ilvl w:val="0"/>
          <w:numId w:val="2102"/>
        </w:numPr>
      </w:pPr>
      <w:r>
        <w:t xml:space="preserve">Cada rodada: alunos decidem secretamente quantas fichas contribuir (0–10).</w:t>
      </w:r>
    </w:p>
    <w:p>
      <w:pPr>
        <w:pStyle w:val="Compact"/>
        <w:numPr>
          <w:ilvl w:val="0"/>
          <w:numId w:val="2102"/>
        </w:numPr>
      </w:pPr>
      <w:r>
        <w:t xml:space="preserve">O professor soma as contribuições, calcula o retorno e registra no quadro.</w:t>
      </w:r>
    </w:p>
    <w:p>
      <w:pPr>
        <w:pStyle w:val="Compact"/>
        <w:numPr>
          <w:ilvl w:val="0"/>
          <w:numId w:val="2102"/>
        </w:numPr>
      </w:pPr>
      <w:r>
        <w:rPr>
          <w:b/>
          <w:bCs/>
        </w:rPr>
        <w:t xml:space="preserve">Resultado esperado:</w:t>
      </w:r>
      <w:r>
        <w:t xml:space="preserve"> </w:t>
      </w:r>
      <w:r>
        <w:t xml:space="preserve">Contribuições começam em 40–60% e caem para 10–20% até a rodada 8. O free-riding emerge.</w:t>
      </w:r>
    </w:p>
    <w:p>
      <w:pPr>
        <w:pStyle w:val="BlockText"/>
      </w:pPr>
      <w:r>
        <w:rPr>
          <w:b/>
          <w:bCs/>
        </w:rPr>
        <w:t xml:space="preserve">Fase 2 — Com punição (rodadas 9–16, 10 min):</w:t>
      </w:r>
    </w:p>
    <w:p>
      <w:pPr>
        <w:pStyle w:val="Compact"/>
        <w:numPr>
          <w:ilvl w:val="0"/>
          <w:numId w:val="2103"/>
        </w:numPr>
      </w:pPr>
      <w:r>
        <w:t xml:space="preserve">Nova regra: após a revelação, cada aluno pode gastar 1 ficha para retirar 3 fichas de outro membro (punição).</w:t>
      </w:r>
    </w:p>
    <w:p>
      <w:pPr>
        <w:pStyle w:val="Compact"/>
        <w:numPr>
          <w:ilvl w:val="0"/>
          <w:numId w:val="2103"/>
        </w:numPr>
      </w:pPr>
      <w:r>
        <w:rPr>
          <w:b/>
          <w:bCs/>
        </w:rPr>
        <w:t xml:space="preserve">Resultado esperado:</w:t>
      </w:r>
      <w:r>
        <w:t xml:space="preserve"> </w:t>
      </w:r>
      <w:r>
        <w:t xml:space="preserve">Contribuições sobem para 60–90%. Free-riders são punidos. Cooperação se sustenta (Fehr &amp; Gächter, 2000).</w:t>
      </w:r>
    </w:p>
    <w:p>
      <w:pPr>
        <w:pStyle w:val="BlockText"/>
      </w:pPr>
      <w:r>
        <w:rPr>
          <w:b/>
          <w:bCs/>
        </w:rPr>
        <w:t xml:space="preserve">Fase 3 — Com comunicação (rodadas 17–20, 5 min, opcional):</w:t>
      </w:r>
    </w:p>
    <w:p>
      <w:pPr>
        <w:pStyle w:val="Compact"/>
        <w:numPr>
          <w:ilvl w:val="0"/>
          <w:numId w:val="2104"/>
        </w:numPr>
      </w:pPr>
      <w:r>
        <w:t xml:space="preserve">Permita 2 min de conversa antes de cada rodada.</w:t>
      </w:r>
    </w:p>
    <w:p>
      <w:pPr>
        <w:pStyle w:val="Compact"/>
        <w:numPr>
          <w:ilvl w:val="0"/>
          <w:numId w:val="2104"/>
        </w:numPr>
      </w:pPr>
      <w:r>
        <w:rPr>
          <w:b/>
          <w:bCs/>
        </w:rPr>
        <w:t xml:space="preserve">Resultado esperado:</w:t>
      </w:r>
      <w:r>
        <w:t xml:space="preserve"> </w:t>
      </w:r>
      <w:r>
        <w:t xml:space="preserve">Contribuições próximas de 100%. Comunicação é poderosamente eficaz (Ostrom et al., 1992).</w:t>
      </w:r>
    </w:p>
    <w:p>
      <w:pPr>
        <w:pStyle w:val="BlockText"/>
      </w:pPr>
      <w:r>
        <w:rPr>
          <w:b/>
          <w:bCs/>
        </w:rPr>
        <w:t xml:space="preserve">Debrief (15 min):</w:t>
      </w:r>
    </w:p>
    <w:p>
      <w:pPr>
        <w:pStyle w:val="Compact"/>
        <w:numPr>
          <w:ilvl w:val="0"/>
          <w:numId w:val="2105"/>
        </w:numPr>
      </w:pPr>
      <w:r>
        <w:t xml:space="preserve">Plote as contribuições médias por rodada no quadro. Identifique os padrões.</w:t>
      </w:r>
    </w:p>
    <w:p>
      <w:pPr>
        <w:pStyle w:val="Compact"/>
        <w:numPr>
          <w:ilvl w:val="0"/>
          <w:numId w:val="2105"/>
        </w:numPr>
      </w:pPr>
      <w:r>
        <w:t xml:space="preserve">Pergunte:</w:t>
      </w:r>
      <w:r>
        <w:t xml:space="preserve"> </w:t>
      </w:r>
      <w:r>
        <w:rPr>
          <w:i/>
          <w:iCs/>
        </w:rPr>
        <w:t xml:space="preserve">“Por que as contribuições caíram sem punição?”</w:t>
      </w:r>
      <w:r>
        <w:t xml:space="preserve"> </w:t>
      </w:r>
      <w:r>
        <w:t xml:space="preserve">→ Problema do carona (Seção 20.8).</w:t>
      </w:r>
    </w:p>
    <w:p>
      <w:pPr>
        <w:pStyle w:val="Compact"/>
        <w:numPr>
          <w:ilvl w:val="0"/>
          <w:numId w:val="2105"/>
        </w:numPr>
      </w:pPr>
      <w:r>
        <w:t xml:space="preserve">Pergunte:</w:t>
      </w:r>
      <w:r>
        <w:t xml:space="preserve"> </w:t>
      </w:r>
      <w:r>
        <w:rPr>
          <w:i/>
          <w:iCs/>
        </w:rPr>
        <w:t xml:space="preserve">“Por que a punição funciona, mesmo sendo custosa para quem pune?”</w:t>
      </w:r>
      <w:r>
        <w:t xml:space="preserve"> </w:t>
      </w:r>
      <w:r>
        <w:t xml:space="preserve">→ Punição altruísta, normas sociais.</w:t>
      </w:r>
    </w:p>
    <w:p>
      <w:pPr>
        <w:pStyle w:val="Compact"/>
        <w:numPr>
          <w:ilvl w:val="0"/>
          <w:numId w:val="2105"/>
        </w:numPr>
      </w:pPr>
      <w:r>
        <w:t xml:space="preserve">Pergunte:</w:t>
      </w:r>
      <w:r>
        <w:t xml:space="preserve"> </w:t>
      </w:r>
      <w:r>
        <w:rPr>
          <w:i/>
          <w:iCs/>
        </w:rPr>
        <w:t xml:space="preserve">“O que muda quando vocês podem conversar?”</w:t>
      </w:r>
      <w:r>
        <w:t xml:space="preserve"> </w:t>
      </w:r>
      <w:r>
        <w:t xml:space="preserve">→ Compromissos, reputação (Ostrom).</w:t>
      </w:r>
    </w:p>
    <w:p>
      <w:pPr>
        <w:pStyle w:val="Compact"/>
        <w:numPr>
          <w:ilvl w:val="0"/>
          <w:numId w:val="2105"/>
        </w:numPr>
      </w:pPr>
      <w:r>
        <w:t xml:space="preserve">Conecte: condição de Samuelson (retorno social &gt; custo), subprovisão (Nash), Lindahl (preços personalizados).</w:t>
      </w:r>
    </w:p>
    <w:p>
      <w:pPr>
        <w:pStyle w:val="BlockText"/>
      </w:pPr>
      <w:r>
        <w:rPr>
          <w:b/>
          <w:bCs/>
        </w:rPr>
        <w:t xml:space="preserve">Conexão com o capítulo:</w:t>
      </w:r>
      <w:r>
        <w:t xml:space="preserve"> </w:t>
      </w:r>
      <w:r>
        <w:t xml:space="preserve">Seções 20.5–20.8. O experimento segue Fehr &amp; Gächter (2000) e Holt (2007, Cap. 23).</w:t>
      </w:r>
    </w:p>
    <w:bookmarkEnd w:id="1240"/>
    <w:bookmarkStart w:id="1246" w:name="externalidades-definição-e-ineficiência"/>
    <w:p>
      <w:pPr>
        <w:pStyle w:val="Heading2"/>
      </w:pPr>
      <w:r>
        <w:t xml:space="preserve">Externalidades: Definição e Ineficiência</w:t>
      </w:r>
    </w:p>
    <w:bookmarkStart w:id="1242" w:name="Xf03f3f2febc46f3fa832d98251b0c98f64bc19b"/>
    <w:p>
      <w:pPr>
        <w:pStyle w:val="Heading3"/>
      </w:pPr>
      <w:r>
        <w:t xml:space="preserve">20.1 O Vizinho Que Cria Galos às 5h da Manhã: Definição de Externalidades</w:t>
      </w:r>
    </w:p>
    <w:p>
      <w:pPr>
        <w:pStyle w:val="BlockText"/>
      </w:pPr>
      <w:r>
        <w:rPr>
          <w:b/>
          <w:bCs/>
        </w:rPr>
        <w:t xml:space="preserve">[DEFINICAO] Externalidade</w:t>
      </w:r>
    </w:p>
    <w:p>
      <w:pPr>
        <w:pStyle w:val="BlockText"/>
      </w:pPr>
      <w:r>
        <w:t xml:space="preserve">Uma</w:t>
      </w:r>
      <w:r>
        <w:t xml:space="preserve"> </w:t>
      </w:r>
      <w:r>
        <w:rPr>
          <w:b/>
          <w:bCs/>
        </w:rPr>
        <w:t xml:space="preserve">externalidade</w:t>
      </w:r>
      <w:r>
        <w:t xml:space="preserve"> </w:t>
      </w:r>
      <w:r>
        <w:t xml:space="preserve">ocorre quando a ação de um agente econômico afeta diretamente a utilidade ou a função de produção de outro agente, sem que essa interação seja mediada pelo sistema de preços. A externalidade representa um efeito</w:t>
      </w:r>
      <w:r>
        <w:t xml:space="preserve"> </w:t>
      </w:r>
      <w:r>
        <w:rPr>
          <w:b/>
          <w:bCs/>
        </w:rPr>
        <w:t xml:space="preserve">externo ao mercado</w:t>
      </w:r>
      <w:r>
        <w:t xml:space="preserve"> </w:t>
      </w:r>
      <w:r>
        <w:t xml:space="preserve">que não é capturado nas decisões privadas dos agentes.</w:t>
      </w:r>
    </w:p>
    <w:bookmarkStart w:id="1241" w:name="classificação-das-externalidades"/>
    <w:p>
      <w:pPr>
        <w:pStyle w:val="Heading4"/>
      </w:pPr>
      <w:r>
        <w:t xml:space="preserve">Classificação das externalidades</w:t>
      </w:r>
    </w:p>
    <w:p>
      <w:pPr>
        <w:pStyle w:val="FirstParagraph"/>
      </w:pPr>
      <w:r>
        <w:t xml:space="preserve">As externalidades podem ser classificadas em duas dimensões:</w:t>
      </w:r>
    </w:p>
    <w:p>
      <w:pPr>
        <w:pStyle w:val="BodyText"/>
      </w:pPr>
      <w:r>
        <w:rPr>
          <w:b/>
          <w:bCs/>
        </w:rPr>
        <w:t xml:space="preserve">Pelo sinal (efeito sobre terceiros):</w:t>
      </w:r>
    </w:p>
    <w:p>
      <w:pPr>
        <w:pStyle w:val="Compact"/>
        <w:numPr>
          <w:ilvl w:val="0"/>
          <w:numId w:val="2106"/>
        </w:numPr>
      </w:pPr>
      <w:r>
        <w:rPr>
          <w:b/>
          <w:bCs/>
        </w:rPr>
        <w:t xml:space="preserve">Externalidade negativa</w:t>
      </w:r>
      <w:r>
        <w:t xml:space="preserve">: a ação de um agente prejudica outros (poluição, congestionamento, ruído).</w:t>
      </w:r>
    </w:p>
    <w:p>
      <w:pPr>
        <w:pStyle w:val="Compact"/>
        <w:numPr>
          <w:ilvl w:val="0"/>
          <w:numId w:val="2106"/>
        </w:numPr>
      </w:pPr>
      <w:r>
        <w:rPr>
          <w:b/>
          <w:bCs/>
        </w:rPr>
        <w:t xml:space="preserve">Externalidade positiva</w:t>
      </w:r>
      <w:r>
        <w:t xml:space="preserve">: a ação de um agente beneficia outros (vacinação, pesquisa básica, preservação de paisagem).</w:t>
      </w:r>
    </w:p>
    <w:p>
      <w:pPr>
        <w:pStyle w:val="FirstParagraph"/>
      </w:pPr>
      <w:r>
        <w:rPr>
          <w:b/>
          <w:bCs/>
        </w:rPr>
        <w:t xml:space="preserve">Pela esfera (produção ou consumo):</w:t>
      </w:r>
    </w:p>
    <w:p>
      <w:pPr>
        <w:pStyle w:val="Compact"/>
        <w:numPr>
          <w:ilvl w:val="0"/>
          <w:numId w:val="2107"/>
        </w:numPr>
      </w:pPr>
      <w:r>
        <w:rPr>
          <w:b/>
          <w:bCs/>
        </w:rPr>
        <w:t xml:space="preserve">Externalidade de produção</w:t>
      </w:r>
      <w:r>
        <w:t xml:space="preserve">: a função de produção de uma firma é afetada pela produção de outra. Exemplo: uma fábrica que polui o rio usado por um pesqueiro.</w:t>
      </w:r>
    </w:p>
    <w:p>
      <w:pPr>
        <w:pStyle w:val="Compact"/>
        <w:numPr>
          <w:ilvl w:val="0"/>
          <w:numId w:val="2107"/>
        </w:numPr>
      </w:pPr>
      <w:r>
        <w:rPr>
          <w:b/>
          <w:bCs/>
        </w:rPr>
        <w:t xml:space="preserve">Externalidade de consumo</w:t>
      </w:r>
      <w:r>
        <w:t xml:space="preserve">: a utilidade de um consumidor é afetada pelo consumo de outro. Exemplo: o prazer (ou desprazer) causado pelo hábito de fumar de um vizinho.</w:t>
      </w:r>
    </w:p>
    <w:p>
      <w:pPr>
        <w:pStyle w:val="FirstParagraph"/>
      </w:pPr>
      <w:r>
        <w:t xml:space="preserve">Para além desses exemplos clássicos, externalidades permeiam a vida cotidiana de maneiras muitas vezes sutis. A poluição sonora de um aeroporto reduz o valor dos imóveis residenciais ao redor — uma externalidade negativa de produção sobre consumidores. As</w:t>
      </w:r>
      <w:r>
        <w:t xml:space="preserve"> </w:t>
      </w:r>
      <w:r>
        <w:rPr>
          <w:b/>
          <w:bCs/>
        </w:rPr>
        <w:t xml:space="preserve">externalidades de rede</w:t>
      </w:r>
      <w:r>
        <w:t xml:space="preserve"> </w:t>
      </w:r>
      <w:r>
        <w:t xml:space="preserve">constituem uma categoria especialmente relevante na economia digital: quando mais pessoas adotam uma plataforma de comunicação (WhatsApp, por exemplo), o valor do serviço para cada usuário existente aumenta. Trata-se de uma externalidade positiva de consumo, pois a decisão de adesão de um indivíduo beneficia todos os demais participantes da rede sem que haja compensação monetária por esse benefício. De modo análogo, a polinização realizada por abelhas de um apicultor beneficia lavouras vizinhas — uma externalidade positiva de produção que atravessa fronteiras de propriedade sem passar pelo sistema de preços.</w:t>
      </w:r>
    </w:p>
    <w:p>
      <w:pPr>
        <w:pStyle w:val="BodyText"/>
      </w:pPr>
      <w:r>
        <w:t xml:space="preserve">Formalmente, uma externalidade de produção existe quando a função de produção da firma</w:t>
      </w:r>
      <w:r>
        <w:t xml:space="preserve"> </w:t>
      </w:r>
      <m:oMath>
        <m:r>
          <m:t>j</m:t>
        </m:r>
      </m:oMath>
      <w:r>
        <w:t xml:space="preserve"> </w:t>
      </w:r>
      <w:r>
        <w:t xml:space="preserve">depende do nível de produção da firma</w:t>
      </w:r>
      <w:r>
        <w:t xml:space="preserve"> </w:t>
      </w:r>
      <m:oMath>
        <m:r>
          <m:t>i</m:t>
        </m:r>
      </m:oMath>
      <w:r>
        <w:t xml:space="preserve">:</w:t>
      </w:r>
    </w:p>
    <w:p>
      <w:pPr>
        <w:pStyle w:val="BodyText"/>
      </w:pPr>
      <m:oMathPara>
        <m:oMathParaPr>
          <m:jc m:val="center"/>
        </m:oMathParaPr>
        <m:oMath>
          <m:sSub>
            <m:e>
              <m:r>
                <m:t>q</m:t>
              </m:r>
            </m:e>
            <m:sub>
              <m:r>
                <m:t>j</m:t>
              </m:r>
            </m:sub>
          </m:sSub>
          <m:r>
            <m:rPr>
              <m:sty m:val="p"/>
            </m:rPr>
            <m:t>=</m:t>
          </m:r>
          <m:sSub>
            <m:e>
              <m:r>
                <m:t>f</m:t>
              </m:r>
            </m:e>
            <m:sub>
              <m:r>
                <m:t>j</m:t>
              </m:r>
            </m:sub>
          </m:sSub>
          <m:r>
            <m:rPr>
              <m:sty m:val="p"/>
            </m:rPr>
            <m:t>(</m:t>
          </m:r>
          <m:sSub>
            <m:e>
              <m:r>
                <m:t>L</m:t>
              </m:r>
            </m:e>
            <m:sub>
              <m:r>
                <m:t>j</m:t>
              </m:r>
            </m:sub>
          </m:sSub>
          <m:r>
            <m:rPr>
              <m:sty m:val="p"/>
            </m:rPr>
            <m:t>,</m:t>
          </m:r>
          <m:sSub>
            <m:e>
              <m:r>
                <m:t>K</m:t>
              </m:r>
            </m:e>
            <m:sub>
              <m:r>
                <m:t>j</m:t>
              </m:r>
            </m:sub>
          </m:sSub>
          <m:r>
            <m:rPr>
              <m:sty m:val="p"/>
            </m:rPr>
            <m:t>,</m:t>
          </m:r>
          <m:sSub>
            <m:e>
              <m:r>
                <m:t>q</m:t>
              </m:r>
            </m:e>
            <m:sub>
              <m:r>
                <m:t>i</m:t>
              </m:r>
            </m:sub>
          </m:sSub>
          <m:r>
            <m:rPr>
              <m:sty m:val="p"/>
            </m:rPr>
            <m:t>)</m:t>
          </m:r>
        </m:oMath>
      </m:oMathPara>
    </w:p>
    <w:p>
      <w:pPr>
        <w:pStyle w:val="FirstParagraph"/>
      </w:pPr>
      <w:r>
        <w:t xml:space="preserve">Uma externalidade de consumo existe quando a utilidade do indivíduo</w:t>
      </w:r>
      <w:r>
        <w:t xml:space="preserve"> </w:t>
      </w:r>
      <m:oMath>
        <m:r>
          <m:t>B</m:t>
        </m:r>
      </m:oMath>
      <w:r>
        <w:t xml:space="preserve"> </w:t>
      </w:r>
      <w:r>
        <w:t xml:space="preserve">depende do consumo do indivíduo</w:t>
      </w:r>
      <w:r>
        <w:t xml:space="preserve"> </w:t>
      </w:r>
      <m:oMath>
        <m:r>
          <m:t>A</m:t>
        </m:r>
      </m:oMath>
      <w:r>
        <w:t xml:space="preserve">:</w:t>
      </w:r>
    </w:p>
    <w:p>
      <w:pPr>
        <w:pStyle w:val="BodyText"/>
      </w:pPr>
      <m:oMathPara>
        <m:oMathParaPr>
          <m:jc m:val="center"/>
        </m:oMathParaPr>
        <m:oMath>
          <m:sSub>
            <m:e>
              <m:r>
                <m:t>U</m:t>
              </m:r>
            </m:e>
            <m:sub>
              <m:r>
                <m:t>B</m:t>
              </m:r>
            </m:sub>
          </m:sSub>
          <m:r>
            <m:rPr>
              <m:sty m:val="p"/>
            </m:rPr>
            <m:t>=</m:t>
          </m:r>
          <m:sSub>
            <m:e>
              <m:r>
                <m:t>U</m:t>
              </m:r>
            </m:e>
            <m:sub>
              <m:r>
                <m:t>B</m:t>
              </m:r>
            </m:sub>
          </m:sSub>
          <m:r>
            <m:rPr>
              <m:sty m:val="p"/>
            </m:rPr>
            <m:t>(</m:t>
          </m:r>
          <m:sSubSup>
            <m:e>
              <m:r>
                <m:t>x</m:t>
              </m:r>
            </m:e>
            <m:sub>
              <m:r>
                <m:t>B</m:t>
              </m:r>
            </m:sub>
            <m:sup>
              <m:r>
                <m:t>1</m:t>
              </m:r>
            </m:sup>
          </m:sSubSup>
          <m:r>
            <m:rPr>
              <m:sty m:val="p"/>
            </m:rPr>
            <m:t>,</m:t>
          </m:r>
          <m:sSubSup>
            <m:e>
              <m:r>
                <m:t>x</m:t>
              </m:r>
            </m:e>
            <m:sub>
              <m:r>
                <m:t>B</m:t>
              </m:r>
            </m:sub>
            <m:sup>
              <m:r>
                <m:t>2</m:t>
              </m:r>
            </m:sup>
          </m:sSubSup>
          <m:r>
            <m:rPr>
              <m:sty m:val="p"/>
            </m:rPr>
            <m:t>,</m:t>
          </m:r>
          <m:r>
            <m:rPr>
              <m:sty m:val="p"/>
            </m:rPr>
            <m:t>…</m:t>
          </m:r>
          <m:r>
            <m:rPr>
              <m:sty m:val="p"/>
            </m:rPr>
            <m:t>,</m:t>
          </m:r>
          <m:sSubSup>
            <m:e>
              <m:r>
                <m:t>x</m:t>
              </m:r>
            </m:e>
            <m:sub>
              <m:r>
                <m:t>A</m:t>
              </m:r>
            </m:sub>
            <m:sup>
              <m:r>
                <m:t>k</m:t>
              </m:r>
            </m:sup>
          </m:sSubSup>
          <m:r>
            <m:rPr>
              <m:sty m:val="p"/>
            </m:rPr>
            <m:t>)</m:t>
          </m:r>
        </m:oMath>
      </m:oMathPara>
    </w:p>
    <w:p>
      <w:pPr>
        <w:pStyle w:val="FirstParagraph"/>
      </w:pPr>
      <w:r>
        <w:t xml:space="preserve">onde</w:t>
      </w:r>
      <w:r>
        <w:t xml:space="preserve"> </w:t>
      </w:r>
      <m:oMath>
        <m:sSubSup>
          <m:e>
            <m:r>
              <m:t>x</m:t>
            </m:r>
          </m:e>
          <m:sub>
            <m:r>
              <m:t>A</m:t>
            </m:r>
          </m:sub>
          <m:sup>
            <m:r>
              <m:t>k</m:t>
            </m:r>
          </m:sup>
        </m:sSubSup>
      </m:oMath>
      <w:r>
        <w:t xml:space="preserve"> </w:t>
      </w:r>
      <w:r>
        <w:t xml:space="preserve">é o consumo do bem</w:t>
      </w:r>
      <w:r>
        <w:t xml:space="preserve"> </w:t>
      </w:r>
      <m:oMath>
        <m:r>
          <m:t>k</m:t>
        </m:r>
      </m:oMath>
      <w:r>
        <w:t xml:space="preserve"> </w:t>
      </w:r>
      <w:r>
        <w:t xml:space="preserve">pelo indivíduo</w:t>
      </w:r>
      <w:r>
        <w:t xml:space="preserve"> </w:t>
      </w:r>
      <m:oMath>
        <m:r>
          <m:t>A</m:t>
        </m:r>
      </m:oMath>
      <w:r>
        <w:t xml:space="preserve">.</w:t>
      </w:r>
    </w:p>
    <w:p>
      <w:pPr>
        <w:pStyle w:val="BlockText"/>
      </w:pPr>
      <w:r>
        <w:rPr>
          <w:b/>
          <w:bCs/>
        </w:rPr>
        <w:t xml:space="preserve">[NOTA] Externalidades Pecuniárias vs. Tecnológicas</w:t>
      </w:r>
    </w:p>
    <w:p>
      <w:pPr>
        <w:pStyle w:val="BlockText"/>
      </w:pPr>
      <w:r>
        <w:t xml:space="preserve">É importante distinguir</w:t>
      </w:r>
      <w:r>
        <w:t xml:space="preserve"> </w:t>
      </w:r>
      <w:r>
        <w:rPr>
          <w:b/>
          <w:bCs/>
        </w:rPr>
        <w:t xml:space="preserve">externalidades tecnológicas</w:t>
      </w:r>
      <w:r>
        <w:t xml:space="preserve"> </w:t>
      </w:r>
      <w:r>
        <w:t xml:space="preserve">(reais) de</w:t>
      </w:r>
      <w:r>
        <w:t xml:space="preserve"> </w:t>
      </w:r>
      <w:r>
        <w:rPr>
          <w:b/>
          <w:bCs/>
        </w:rPr>
        <w:t xml:space="preserve">externalidades pecuniárias</w:t>
      </w:r>
      <w:r>
        <w:t xml:space="preserve">. Externalidades pecuniárias operam</w:t>
      </w:r>
      <w:r>
        <w:t xml:space="preserve"> </w:t>
      </w:r>
      <w:r>
        <w:rPr>
          <w:i/>
          <w:iCs/>
        </w:rPr>
        <w:t xml:space="preserve">via preços</w:t>
      </w:r>
      <w:r>
        <w:t xml:space="preserve">: quando uma firma expande sua produção e reduz o preço do produto, prejudicando concorrentes. Essas não são verdadeiras externalidades no sentido econômico, pois são mediadas pelo mercado e não geram ineficiência. Apenas externalidades tecnológicas — que afetam diretamente funções de produção ou utilidade — constituem falhas de mercado.</w:t>
      </w:r>
    </w:p>
    <w:p>
      <w:pPr>
        <w:pStyle w:val="FirstParagraph"/>
      </w:pPr>
      <w:r>
        <w:t xml:space="preserve">A distinção entre externalidades pecuniárias e tecnológicas merece um exemplo concreto. Suponha que uma grande rede varejista se instale em uma cidade pequena, reduzindo os preços dos produtos e levando comerciantes locais a perder clientes. Os comerciantes são</w:t>
      </w:r>
      <w:r>
        <w:t xml:space="preserve"> </w:t>
      </w:r>
      <w:r>
        <w:t xml:space="preserve">“prejudicados”</w:t>
      </w:r>
      <w:r>
        <w:t xml:space="preserve">, mas esse efeito opera</w:t>
      </w:r>
      <w:r>
        <w:t xml:space="preserve"> </w:t>
      </w:r>
      <w:r>
        <w:rPr>
          <w:i/>
          <w:iCs/>
        </w:rPr>
        <w:t xml:space="preserve">via mercado</w:t>
      </w:r>
      <w:r>
        <w:t xml:space="preserve"> </w:t>
      </w:r>
      <w:r>
        <w:t xml:space="preserve">— trata-se de uma externalidade pecuniária que não gera ineficiência alocativa (na verdade, reflete o funcionamento competitivo do mercado). Agora compare com uma siderúrgica cujas emissões de material particulado causam doenças respiratórias nos moradores vizinhos. Este efeito</w:t>
      </w:r>
      <w:r>
        <w:t xml:space="preserve"> </w:t>
      </w:r>
      <w:r>
        <w:rPr>
          <w:i/>
          <w:iCs/>
        </w:rPr>
        <w:t xml:space="preserve">não</w:t>
      </w:r>
      <w:r>
        <w:t xml:space="preserve"> </w:t>
      </w:r>
      <w:r>
        <w:t xml:space="preserve">passa pelo sistema de preços: a saúde dos moradores é afetada diretamente, sem qualquer transação de mercado. Trata-se de uma externalidade tecnológica — e é esta, e somente esta, que constitui uma falha de mercado requerendo correção.</w:t>
      </w:r>
    </w:p>
    <w:p>
      <w:pPr>
        <w:pStyle w:val="BlockText"/>
      </w:pPr>
      <w:r>
        <w:rPr>
          <w:b/>
          <w:bCs/>
        </w:rPr>
        <w:t xml:space="preserve">[INTUICAO ECONOMICA] Intuição Econômica</w:t>
      </w:r>
    </w:p>
    <w:p>
      <w:pPr>
        <w:pStyle w:val="BlockText"/>
      </w:pPr>
      <w:r>
        <w:rPr>
          <w:b/>
          <w:bCs/>
        </w:rPr>
        <w:t xml:space="preserve">Em uma frase:</w:t>
      </w:r>
      <w:r>
        <w:t xml:space="preserve"> </w:t>
      </w:r>
      <w:r>
        <w:t xml:space="preserve">Uma externalidade existe quando o preço de um produto não reflete todo o custo (ou benefício) que sua produção ou consumo impõe à sociedade.</w:t>
      </w:r>
    </w:p>
    <w:p>
      <w:pPr>
        <w:pStyle w:val="BlockText"/>
      </w:pPr>
      <w:r>
        <w:rPr>
          <w:b/>
          <w:bCs/>
        </w:rPr>
        <w:t xml:space="preserve">Pense assim:</w:t>
      </w:r>
      <w:r>
        <w:t xml:space="preserve"> </w:t>
      </w:r>
      <w:r>
        <w:t xml:space="preserve">Quando uma fábrica em Cubatão polui o rio, o preço do produto que ela vende não inclui o custo da água contaminada para os pescadores e moradores rio abaixo. A fábrica</w:t>
      </w:r>
      <w:r>
        <w:t xml:space="preserve"> </w:t>
      </w:r>
      <w:r>
        <w:t xml:space="preserve">“exporta”</w:t>
      </w:r>
      <w:r>
        <w:t xml:space="preserve"> </w:t>
      </w:r>
      <w:r>
        <w:t xml:space="preserve">parte do seu custo para a sociedade sem pagar por isso. Da mesma forma, quem se vacina protege não só a si mesmo, mas também quem está ao redor — um benefício que não entra no cálculo individual.</w:t>
      </w:r>
    </w:p>
    <w:p>
      <w:pPr>
        <w:pStyle w:val="BlockText"/>
      </w:pPr>
      <w:r>
        <w:rPr>
          <w:b/>
          <w:bCs/>
        </w:rPr>
        <w:t xml:space="preserve">Por que isso importa:</w:t>
      </w:r>
      <w:r>
        <w:t xml:space="preserve"> </w:t>
      </w:r>
      <w:r>
        <w:t xml:space="preserve">Externalidades são a principal justificativa econômica para intervenção do governo via impostos, subsídios ou regulação — do controle de emissões ao financiamento público da vacinação.</w:t>
      </w:r>
    </w:p>
    <w:p>
      <w:r>
        <w:pict>
          <v:rect style="width:0;height:1.5pt" o:hralign="center" o:hrstd="t" o:hr="t"/>
        </w:pict>
      </w:r>
    </w:p>
    <w:bookmarkEnd w:id="1241"/>
    <w:bookmarkEnd w:id="1242"/>
    <w:bookmarkStart w:id="1245" w:name="Xe7b95c5614637fdcde70eb7f2d109134c95c6bf"/>
    <w:p>
      <w:pPr>
        <w:pStyle w:val="Heading3"/>
      </w:pPr>
      <w:r>
        <w:t xml:space="preserve">20.2 O Preço Que Mente: Externalidades e Ineficiência Alocativa</w:t>
      </w:r>
    </w:p>
    <w:p>
      <w:pPr>
        <w:pStyle w:val="FirstParagraph"/>
      </w:pPr>
      <w:r>
        <w:t xml:space="preserve">Definido o conceito, vem a pergunta que realmente importa: por que externalidades fazem o mercado errar? A resposta é quase ofensivamente simples. O preço — aquele mecanismo que Adam Smith celebrou como o grande coordenador da economia — mente. Ou melhor, conta apenas metade da história: reflete os custos e benefícios privados da transação, mas ignora solenemente os efeitos sobre terceiros. Como resultado, as decisões tomadas individualmente por agentes racionais conduzem a um nível de produção ou consumo que difere do socialmente ótimo — o mercado</w:t>
      </w:r>
      <w:r>
        <w:t xml:space="preserve"> </w:t>
      </w:r>
      <w:r>
        <w:t xml:space="preserve">“erra”</w:t>
      </w:r>
      <w:r>
        <w:t xml:space="preserve"> </w:t>
      </w:r>
      <w:r>
        <w:t xml:space="preserve">sistematicamente.</w:t>
      </w:r>
    </w:p>
    <w:p>
      <w:pPr>
        <w:pStyle w:val="BodyText"/>
      </w:pPr>
      <w:r>
        <w:t xml:space="preserve">É instrutivo conectar essa falha ao Primeiro Teorema do Bem-Estar. Recordemos que esse teorema garante que todo equilíbrio competitivo é Pareto-eficiente — mas sob hipóteses específicas, entre as quais a de</w:t>
      </w:r>
      <w:r>
        <w:t xml:space="preserve"> </w:t>
      </w:r>
      <w:r>
        <w:rPr>
          <w:b/>
          <w:bCs/>
        </w:rPr>
        <w:t xml:space="preserve">mercados completos</w:t>
      </w:r>
      <w:r>
        <w:t xml:space="preserve">: deve existir um mercado para cada bem que afeta a utilidade ou a produção de qualquer agente. Quando uma externalidade está presente,</w:t>
      </w:r>
      <w:r>
        <w:t xml:space="preserve"> </w:t>
      </w:r>
      <w:r>
        <w:rPr>
          <w:i/>
          <w:iCs/>
        </w:rPr>
        <w:t xml:space="preserve">falta</w:t>
      </w:r>
      <w:r>
        <w:t xml:space="preserve"> </w:t>
      </w:r>
      <w:r>
        <w:t xml:space="preserve">exatamente um mercado: não existe mercado para a poluição, para o silêncio, para o ar limpo ou para a imunidade de rebanho. Essa</w:t>
      </w:r>
      <w:r>
        <w:t xml:space="preserve"> </w:t>
      </w:r>
      <w:r>
        <w:t xml:space="preserve">“lacuna”</w:t>
      </w:r>
      <w:r>
        <w:t xml:space="preserve"> </w:t>
      </w:r>
      <w:r>
        <w:t xml:space="preserve">no sistema de mercados viola a hipótese central do Primeiro Teorema e é a razão profunda pela qual externalidades geram ineficiência. Em termos técnicos, a externalidade cria uma</w:t>
      </w:r>
      <w:r>
        <w:t xml:space="preserve"> </w:t>
      </w:r>
      <w:r>
        <w:rPr>
          <w:b/>
          <w:bCs/>
        </w:rPr>
        <w:t xml:space="preserve">cunha</w:t>
      </w:r>
      <w:r>
        <w:t xml:space="preserve"> </w:t>
      </w:r>
      <w:r>
        <w:t xml:space="preserve">(wedge) entre os custos (ou benefícios) privados e os custos (ou benefícios) sociais. Essa cunha distorce os sinais de preço: o produtor vê um custo menor do que o verdadeiro custo social, ou o consumidor percebe um benefício menor do que o verdadeiro benefício social. A magnitude da ineficiência é proporcional ao tamanho dessa cunha.</w:t>
      </w:r>
    </w:p>
    <w:p>
      <w:pPr>
        <w:pStyle w:val="BodyText"/>
      </w:pPr>
      <w:r>
        <w:t xml:space="preserve">A presença de externalidades implica que as decisões privadas dos agentes divergem do ótimo social. A razão fundamental é que os agentes não incorporam em seus cálculos os efeitos que suas ações impõem sobre terceiros (Browning &amp; Zupan, 2014, Cap. 20, apresentam aplicações detalhadas).</w:t>
      </w:r>
    </w:p>
    <w:bookmarkStart w:id="1243" w:name="externalidade-negativa-de-produção"/>
    <w:p>
      <w:pPr>
        <w:pStyle w:val="Heading4"/>
      </w:pPr>
      <w:r>
        <w:t xml:space="preserve">Externalidade negativa de produção</w:t>
      </w:r>
    </w:p>
    <w:p>
      <w:pPr>
        <w:pStyle w:val="FirstParagraph"/>
      </w:pPr>
      <w:r>
        <w:t xml:space="preserve">Considere uma firma que produz um bem</w:t>
      </w:r>
      <w:r>
        <w:t xml:space="preserve"> </w:t>
      </w:r>
      <m:oMath>
        <m:r>
          <m:t>q</m:t>
        </m:r>
      </m:oMath>
      <w:r>
        <w:t xml:space="preserve"> </w:t>
      </w:r>
      <w:r>
        <w:t xml:space="preserve">com custo privado</w:t>
      </w:r>
      <w:r>
        <w:t xml:space="preserve"> </w:t>
      </w:r>
      <m:oMath>
        <m:r>
          <m:t>C</m:t>
        </m:r>
        <m:r>
          <m:rPr>
            <m:sty m:val="p"/>
          </m:rPr>
          <m:t>(</m:t>
        </m:r>
        <m:r>
          <m:t>q</m:t>
        </m:r>
        <m:r>
          <m:rPr>
            <m:sty m:val="p"/>
          </m:rPr>
          <m:t>)</m:t>
        </m:r>
      </m:oMath>
      <w:r>
        <w:t xml:space="preserve"> </w:t>
      </w:r>
      <w:r>
        <w:t xml:space="preserve">e que gera poluição como subproduto. A poluição impõe um</w:t>
      </w:r>
      <w:r>
        <w:t xml:space="preserve"> </w:t>
      </w:r>
      <w:r>
        <w:rPr>
          <w:b/>
          <w:bCs/>
        </w:rPr>
        <w:t xml:space="preserve">custo externo</w:t>
      </w:r>
      <w:r>
        <w:t xml:space="preserve"> </w:t>
      </w:r>
      <m:oMath>
        <m:r>
          <m:t>E</m:t>
        </m:r>
        <m:r>
          <m:rPr>
            <m:sty m:val="p"/>
          </m:rPr>
          <m:t>(</m:t>
        </m:r>
        <m:r>
          <m:t>q</m:t>
        </m:r>
        <m:r>
          <m:rPr>
            <m:sty m:val="p"/>
          </m:rPr>
          <m:t>)</m:t>
        </m:r>
      </m:oMath>
      <w:r>
        <w:t xml:space="preserve"> </w:t>
      </w:r>
      <w:r>
        <w:t xml:space="preserve">sobre a sociedade (danos à saúde, degradação ambiental). O</w:t>
      </w:r>
      <w:r>
        <w:t xml:space="preserve"> </w:t>
      </w:r>
      <w:r>
        <w:rPr>
          <w:b/>
          <w:bCs/>
        </w:rPr>
        <w:t xml:space="preserve">custo social</w:t>
      </w:r>
      <w:r>
        <w:t xml:space="preserve"> </w:t>
      </w:r>
      <w:r>
        <w:t xml:space="preserve">é:</w:t>
      </w:r>
    </w:p>
    <w:p>
      <w:pPr>
        <w:pStyle w:val="BodyText"/>
      </w:pPr>
      <m:oMathPara>
        <m:oMathParaPr>
          <m:jc m:val="center"/>
        </m:oMathParaPr>
        <m:oMath>
          <m:r>
            <m:t>C</m:t>
          </m:r>
          <m:r>
            <m:t>S</m:t>
          </m:r>
          <m:r>
            <m:rPr>
              <m:sty m:val="p"/>
            </m:rPr>
            <m:t>(</m:t>
          </m:r>
          <m:r>
            <m:t>q</m:t>
          </m:r>
          <m:r>
            <m:rPr>
              <m:sty m:val="p"/>
            </m:rPr>
            <m:t>)</m:t>
          </m:r>
          <m:r>
            <m:rPr>
              <m:sty m:val="p"/>
            </m:rPr>
            <m:t>=</m:t>
          </m:r>
          <m:r>
            <m:t>C</m:t>
          </m:r>
          <m:r>
            <m:rPr>
              <m:sty m:val="p"/>
            </m:rPr>
            <m:t>(</m:t>
          </m:r>
          <m:r>
            <m:t>q</m:t>
          </m:r>
          <m:r>
            <m:rPr>
              <m:sty m:val="p"/>
            </m:rPr>
            <m:t>)</m:t>
          </m:r>
          <m:r>
            <m:rPr>
              <m:sty m:val="p"/>
            </m:rPr>
            <m:t>+</m:t>
          </m:r>
          <m:r>
            <m:t>E</m:t>
          </m:r>
          <m:r>
            <m:rPr>
              <m:sty m:val="p"/>
            </m:rPr>
            <m:t>(</m:t>
          </m:r>
          <m:r>
            <m:t>q</m:t>
          </m:r>
          <m:r>
            <m:rPr>
              <m:sty m:val="p"/>
            </m:rPr>
            <m:t>)</m:t>
          </m:r>
        </m:oMath>
      </m:oMathPara>
    </w:p>
    <w:p>
      <w:pPr>
        <w:pStyle w:val="FirstParagraph"/>
      </w:pPr>
      <w:r>
        <w:t xml:space="preserve">A firma, buscando maximizar lucro, iguala o custo marginal privado ao preço:</w:t>
      </w:r>
    </w:p>
    <w:p>
      <w:pPr>
        <w:pStyle w:val="BodyText"/>
      </w:pPr>
      <m:oMathPara>
        <m:oMathParaPr>
          <m:jc m:val="center"/>
        </m:oMathParaPr>
        <m:oMath>
          <m:r>
            <m:t>P</m:t>
          </m:r>
          <m:r>
            <m:rPr>
              <m:sty m:val="p"/>
            </m:rPr>
            <m:t>=</m:t>
          </m:r>
          <m:sSup>
            <m:e>
              <m:r>
                <m:t>C</m:t>
              </m:r>
            </m:e>
            <m:sup>
              <m:r>
                <m:rPr>
                  <m:sty m:val="p"/>
                </m:rPr>
                <m:t>′</m:t>
              </m:r>
            </m:sup>
          </m:sSup>
          <m:r>
            <m:rPr>
              <m:sty m:val="p"/>
            </m:rPr>
            <m:t>(</m:t>
          </m:r>
          <m:r>
            <m:t>q</m:t>
          </m:r>
          <m:r>
            <m:rPr>
              <m:sty m:val="p"/>
            </m:rPr>
            <m:t>)</m:t>
          </m:r>
          <m:r>
            <m:t> </m:t>
          </m:r>
          <m:r>
            <m:rPr>
              <m:nor/>
              <m:sty m:val="p"/>
            </m:rPr>
            <m:t>(CMg privado)</m:t>
          </m:r>
        </m:oMath>
      </m:oMathPara>
    </w:p>
    <w:p>
      <w:pPr>
        <w:pStyle w:val="FirstParagraph"/>
      </w:pPr>
      <w:r>
        <w:t xml:space="preserve">Mas a condição de eficiência social requer:</w:t>
      </w:r>
    </w:p>
    <w:p>
      <w:pPr>
        <w:pStyle w:val="BodyText"/>
      </w:pPr>
      <w:r>
        <w:t xml:space="preserve">$$
    P = C'(q) + E'(q) \quad \text{(CMg social)}
    \label{eq:20.4} \tag{20.4} 
    $$</w:t>
      </w:r>
    </w:p>
    <w:p>
      <w:pPr>
        <w:pStyle w:val="FirstParagraph"/>
      </w:pPr>
      <w:r>
        <w:t xml:space="preserve">Como</w:t>
      </w:r>
      <w:r>
        <w:t xml:space="preserve"> </w:t>
      </w:r>
      <m:oMath>
        <m:sSup>
          <m:e>
            <m:r>
              <m:t>E</m:t>
            </m:r>
          </m:e>
          <m:sup>
            <m:r>
              <m:rPr>
                <m:sty m:val="p"/>
              </m:rPr>
              <m:t>′</m:t>
            </m:r>
          </m:sup>
        </m:sSup>
        <m:r>
          <m:rPr>
            <m:sty m:val="p"/>
          </m:rPr>
          <m:t>(</m:t>
        </m:r>
        <m:r>
          <m:t>q</m:t>
        </m:r>
        <m:r>
          <m:rPr>
            <m:sty m:val="p"/>
          </m:rPr>
          <m:t>)</m:t>
        </m:r>
        <m:r>
          <m:rPr>
            <m:sty m:val="p"/>
          </m:rPr>
          <m:t>&gt;</m:t>
        </m:r>
        <m:r>
          <m:t>0</m:t>
        </m:r>
      </m:oMath>
      <w:r>
        <w:t xml:space="preserve">, a firma produz</w:t>
      </w:r>
      <w:r>
        <w:t xml:space="preserve"> </w:t>
      </w:r>
      <w:r>
        <w:rPr>
          <w:b/>
          <w:bCs/>
        </w:rPr>
        <w:t xml:space="preserve">mais do que o ótimo social</w:t>
      </w:r>
      <w:r>
        <w:t xml:space="preserve">:</w:t>
      </w:r>
      <w:r>
        <w:t xml:space="preserve"> </w:t>
      </w:r>
      <m:oMath>
        <m:sSup>
          <m:e>
            <m:r>
              <m:t>q</m:t>
            </m:r>
          </m:e>
          <m:sup>
            <m:r>
              <m:t>p</m:t>
            </m:r>
            <m:r>
              <m:t>r</m:t>
            </m:r>
            <m:r>
              <m:t>i</m:t>
            </m:r>
            <m:r>
              <m:t>v</m:t>
            </m:r>
          </m:sup>
        </m:sSup>
        <m:r>
          <m:rPr>
            <m:sty m:val="p"/>
          </m:rPr>
          <m:t>&gt;</m:t>
        </m:r>
        <m:sSup>
          <m:e>
            <m:r>
              <m:t>q</m:t>
            </m:r>
          </m:e>
          <m:sup>
            <m:r>
              <m:t>s</m:t>
            </m:r>
            <m:r>
              <m:t>o</m:t>
            </m:r>
            <m:r>
              <m:t>c</m:t>
            </m:r>
          </m:sup>
        </m:sSup>
      </m:oMath>
      <w:r>
        <w:t xml:space="preserve">.</w:t>
      </w:r>
    </w:p>
    <w:bookmarkEnd w:id="1243"/>
    <w:bookmarkStart w:id="1244" w:name="externalidade-positiva-de-consumo"/>
    <w:p>
      <w:pPr>
        <w:pStyle w:val="Heading4"/>
      </w:pPr>
      <w:r>
        <w:t xml:space="preserve">Externalidade positiva de consumo</w:t>
      </w:r>
    </w:p>
    <w:p>
      <w:pPr>
        <w:pStyle w:val="FirstParagraph"/>
      </w:pPr>
      <w:r>
        <w:t xml:space="preserve">No caso de uma externalidade positiva — por exemplo, vacinação —, o</w:t>
      </w:r>
      <w:r>
        <w:t xml:space="preserve"> </w:t>
      </w:r>
      <w:r>
        <w:rPr>
          <w:b/>
          <w:bCs/>
        </w:rPr>
        <w:t xml:space="preserve">benefício social</w:t>
      </w:r>
      <w:r>
        <w:t xml:space="preserve"> </w:t>
      </w:r>
      <w:r>
        <w:t xml:space="preserve">excede o benefício privado:</w:t>
      </w:r>
    </w:p>
    <w:p>
      <w:pPr>
        <w:pStyle w:val="BodyText"/>
      </w:pPr>
      <m:oMathPara>
        <m:oMathParaPr>
          <m:jc m:val="center"/>
        </m:oMathParaPr>
        <m:oMath>
          <m:r>
            <m:t>B</m:t>
          </m:r>
          <m:r>
            <m:t>S</m:t>
          </m:r>
          <m:r>
            <m:rPr>
              <m:sty m:val="p"/>
            </m:rPr>
            <m:t>(</m:t>
          </m:r>
          <m:r>
            <m:t>q</m:t>
          </m:r>
          <m:r>
            <m:rPr>
              <m:sty m:val="p"/>
            </m:rPr>
            <m:t>)</m:t>
          </m:r>
          <m:r>
            <m:rPr>
              <m:sty m:val="p"/>
            </m:rPr>
            <m:t>=</m:t>
          </m:r>
          <m:sSup>
            <m:e>
              <m:r>
                <m:t>B</m:t>
              </m:r>
            </m:e>
            <m:sup>
              <m:r>
                <m:t>p</m:t>
              </m:r>
              <m:r>
                <m:t>r</m:t>
              </m:r>
              <m:r>
                <m:t>i</m:t>
              </m:r>
              <m:r>
                <m:t>v</m:t>
              </m:r>
            </m:sup>
          </m:sSup>
          <m:r>
            <m:rPr>
              <m:sty m:val="p"/>
            </m:rPr>
            <m:t>(</m:t>
          </m:r>
          <m:r>
            <m:t>q</m:t>
          </m:r>
          <m:r>
            <m:rPr>
              <m:sty m:val="p"/>
            </m:rPr>
            <m:t>)</m:t>
          </m:r>
          <m:r>
            <m:rPr>
              <m:sty m:val="p"/>
            </m:rPr>
            <m:t>+</m:t>
          </m:r>
          <m:sSup>
            <m:e>
              <m:r>
                <m:t>B</m:t>
              </m:r>
            </m:e>
            <m:sup>
              <m:r>
                <m:t>e</m:t>
              </m:r>
              <m:r>
                <m:t>x</m:t>
              </m:r>
              <m:r>
                <m:t>t</m:t>
              </m:r>
            </m:sup>
          </m:sSup>
          <m:r>
            <m:rPr>
              <m:sty m:val="p"/>
            </m:rPr>
            <m:t>(</m:t>
          </m:r>
          <m:r>
            <m:t>q</m:t>
          </m:r>
          <m:r>
            <m:rPr>
              <m:sty m:val="p"/>
            </m:rPr>
            <m:t>)</m:t>
          </m:r>
        </m:oMath>
      </m:oMathPara>
    </w:p>
    <w:p>
      <w:pPr>
        <w:pStyle w:val="FirstParagraph"/>
      </w:pPr>
      <w:r>
        <w:t xml:space="preserve">O indivíduo consome até onde seu benefício marginal privado iguala o preço:</w:t>
      </w:r>
    </w:p>
    <w:p>
      <w:pPr>
        <w:pStyle w:val="BodyText"/>
      </w:pPr>
      <w:r>
        <w:t xml:space="preserve">$$
    B'^{priv}(q) = P
    \label{eq:20.5} \tag{20.5} 
    $$</w:t>
      </w:r>
    </w:p>
    <w:p>
      <w:pPr>
        <w:pStyle w:val="FirstParagraph"/>
      </w:pPr>
      <w:r>
        <w:t xml:space="preserve">Mas a eficiência requer:</w:t>
      </w:r>
    </w:p>
    <w:p>
      <w:pPr>
        <w:pStyle w:val="BodyText"/>
      </w:pPr>
      <w:r>
        <w:t xml:space="preserve">$$
    B'^{priv}(q) + B'^{ext}(q) = P
    \label{eq:20.6} \tag{20.6} 
    $$</w:t>
      </w:r>
    </w:p>
    <w:p>
      <w:pPr>
        <w:pStyle w:val="FirstParagraph"/>
      </w:pPr>
      <w:r>
        <w:t xml:space="preserve">Como</w:t>
      </w:r>
      <w:r>
        <w:t xml:space="preserve"> </w:t>
      </w:r>
      <m:oMath>
        <m:sSup>
          <m:e>
            <m:r>
              <m:t>B</m:t>
            </m:r>
          </m:e>
          <m:sup>
            <m:r>
              <m:rPr>
                <m:sty m:val="p"/>
              </m:rPr>
              <m:t>′</m:t>
            </m:r>
          </m:sup>
        </m:sSup>
        <m:sSup>
          <m:e>
            <m:r>
              <m:t>​</m:t>
            </m:r>
          </m:e>
          <m:sup>
            <m:r>
              <m:t>e</m:t>
            </m:r>
            <m:r>
              <m:t>x</m:t>
            </m:r>
            <m:r>
              <m:t>t</m:t>
            </m:r>
          </m:sup>
        </m:sSup>
        <m:r>
          <m:rPr>
            <m:sty m:val="p"/>
          </m:rPr>
          <m:t>(</m:t>
        </m:r>
        <m:r>
          <m:t>q</m:t>
        </m:r>
        <m:r>
          <m:rPr>
            <m:sty m:val="p"/>
          </m:rPr>
          <m:t>)</m:t>
        </m:r>
        <m:r>
          <m:rPr>
            <m:sty m:val="p"/>
          </m:rPr>
          <m:t>&gt;</m:t>
        </m:r>
        <m:r>
          <m:t>0</m:t>
        </m:r>
      </m:oMath>
      <w:r>
        <w:t xml:space="preserve">, o consumo privado fica</w:t>
      </w:r>
      <w:r>
        <w:t xml:space="preserve"> </w:t>
      </w:r>
      <w:r>
        <w:rPr>
          <w:b/>
          <w:bCs/>
        </w:rPr>
        <w:t xml:space="preserve">aquém do ótimo social</w:t>
      </w:r>
      <w:r>
        <w:t xml:space="preserve">:</w:t>
      </w:r>
      <w:r>
        <w:t xml:space="preserve"> </w:t>
      </w:r>
      <m:oMath>
        <m:sSup>
          <m:e>
            <m:r>
              <m:t>q</m:t>
            </m:r>
          </m:e>
          <m:sup>
            <m:r>
              <m:t>p</m:t>
            </m:r>
            <m:r>
              <m:t>r</m:t>
            </m:r>
            <m:r>
              <m:t>i</m:t>
            </m:r>
            <m:r>
              <m:t>v</m:t>
            </m:r>
          </m:sup>
        </m:sSup>
        <m:r>
          <m:rPr>
            <m:sty m:val="p"/>
          </m:rPr>
          <m:t>&lt;</m:t>
        </m:r>
        <m:sSup>
          <m:e>
            <m:r>
              <m:t>q</m:t>
            </m:r>
          </m:e>
          <m:sup>
            <m:r>
              <m:t>s</m:t>
            </m:r>
            <m:r>
              <m:t>o</m:t>
            </m:r>
            <m:r>
              <m:t>c</m:t>
            </m:r>
          </m:sup>
        </m:sSup>
      </m:oMath>
      <w:r>
        <w:t xml:space="preserve">.</w:t>
      </w:r>
    </w:p>
    <w:p>
      <w:pPr>
        <w:pStyle w:val="BlockText"/>
      </w:pPr>
      <w:r>
        <w:rPr>
          <w:b/>
          <w:bCs/>
        </w:rPr>
        <w:t xml:space="preserve">[DICA] Regra Geral</w:t>
      </w:r>
    </w:p>
    <w:p>
      <w:pPr>
        <w:pStyle w:val="Compact"/>
        <w:numPr>
          <w:ilvl w:val="0"/>
          <w:numId w:val="2108"/>
        </w:numPr>
      </w:pPr>
      <w:r>
        <w:rPr>
          <w:b/>
          <w:bCs/>
        </w:rPr>
        <w:t xml:space="preserve">Externalidade negativa</w:t>
      </w:r>
      <w:r>
        <w:t xml:space="preserve"> </w:t>
      </w:r>
      <w:r>
        <w:t xml:space="preserve">→ produção/consumo privado</w:t>
      </w:r>
      <w:r>
        <w:t xml:space="preserve"> </w:t>
      </w:r>
      <w:r>
        <w:rPr>
          <w:b/>
          <w:bCs/>
        </w:rPr>
        <w:t xml:space="preserve">excessivo</w:t>
      </w:r>
      <w:r>
        <w:t xml:space="preserve"> </w:t>
      </w:r>
      <w:r>
        <w:t xml:space="preserve">em relação ao ótimo social.</w:t>
      </w:r>
    </w:p>
    <w:p>
      <w:pPr>
        <w:pStyle w:val="Compact"/>
        <w:numPr>
          <w:ilvl w:val="0"/>
          <w:numId w:val="2108"/>
        </w:numPr>
      </w:pPr>
      <w:r>
        <w:rPr>
          <w:b/>
          <w:bCs/>
        </w:rPr>
        <w:t xml:space="preserve">Externalidade positiva</w:t>
      </w:r>
      <w:r>
        <w:t xml:space="preserve"> </w:t>
      </w:r>
      <w:r>
        <w:t xml:space="preserve">→ produção/consumo privado</w:t>
      </w:r>
      <w:r>
        <w:t xml:space="preserve"> </w:t>
      </w:r>
      <w:r>
        <w:rPr>
          <w:b/>
          <w:bCs/>
        </w:rPr>
        <w:t xml:space="preserve">insuficiente</w:t>
      </w:r>
      <w:r>
        <w:t xml:space="preserve"> </w:t>
      </w:r>
      <w:r>
        <w:t xml:space="preserve">em relação ao ótimo social.</w:t>
      </w:r>
    </w:p>
    <w:p>
      <w:pPr>
        <w:pStyle w:val="Compact"/>
        <w:numPr>
          <w:ilvl w:val="0"/>
          <w:numId w:val="2108"/>
        </w:numPr>
      </w:pPr>
      <w:r>
        <w:t xml:space="preserve">Em ambos os casos, o mercado</w:t>
      </w:r>
      <w:r>
        <w:t xml:space="preserve"> </w:t>
      </w:r>
      <w:r>
        <w:rPr>
          <w:b/>
          <w:bCs/>
        </w:rPr>
        <w:t xml:space="preserve">falha</w:t>
      </w:r>
      <w:r>
        <w:t xml:space="preserve"> </w:t>
      </w:r>
      <w:r>
        <w:t xml:space="preserve">em atingir eficiência de Pareto.</w:t>
      </w:r>
    </w:p>
    <w:p>
      <w:pPr>
        <w:pStyle w:val="BlockText"/>
      </w:pPr>
      <w:r>
        <w:rPr>
          <w:b/>
          <w:bCs/>
        </w:rPr>
        <w:t xml:space="preserve">[BOX MUNDO] Box Mundo 20.1 — Pedágios urbanos: precificando o congestionamento em Estocolmo, Londres e Singapura</w:t>
      </w:r>
    </w:p>
    <w:p>
      <w:pPr>
        <w:pStyle w:val="BlockText"/>
      </w:pPr>
      <w:r>
        <w:rPr>
          <w:b/>
          <w:bCs/>
        </w:rPr>
        <w:t xml:space="preserve">Contexto:</w:t>
      </w:r>
      <w:r>
        <w:t xml:space="preserve"> </w:t>
      </w:r>
      <w:r>
        <w:t xml:space="preserve">O congestionamento viário é uma externalidade negativa clássica: cada motorista que entra em uma via já congestionada impõe custos a todos os demais usuários (tempo de viagem, consumo extra de combustível, poluição) sem pagar por esse efeito. A solução pigouviana natural é cobrar um pedágio que reflita o custo marginal externo do congestionamento — é exatamente o que três cidades pioneiras fizeram.</w:t>
      </w:r>
    </w:p>
    <w:p>
      <w:pPr>
        <w:pStyle w:val="BlockText"/>
      </w:pPr>
      <w:r>
        <w:rPr>
          <w:b/>
          <w:bCs/>
        </w:rPr>
        <w:t xml:space="preserve">Dados:</w:t>
      </w:r>
      <w:r>
        <w:t xml:space="preserve"> </w:t>
      </w:r>
      <w:r>
        <w:t xml:space="preserve">Singapura introduziu o primeiro sistema de pedágio urbano do mundo em 1975 (Electronic Road Pricing desde 1998), cobrando tarifas que variam de SGD 0,50 a SGD 6,00 conforme o horário e o nível de congestionamento. Londres implementou a</w:t>
      </w:r>
      <w:r>
        <w:t xml:space="preserve"> </w:t>
      </w:r>
      <w:r>
        <w:rPr>
          <w:i/>
          <w:iCs/>
        </w:rPr>
        <w:t xml:space="preserve">Congestion Charge</w:t>
      </w:r>
      <w:r>
        <w:t xml:space="preserve"> </w:t>
      </w:r>
      <w:r>
        <w:t xml:space="preserve">em 2003, cobrando inicialmente £5 (atualizada para £15 em 2023) para veículos que entram na zona central. Estocolmo adotou um sistema em 2006 após um período experimental com referendo: as tarifas variam entre SEK 15 e SEK 45 conforme o horário do dia.</w:t>
      </w:r>
    </w:p>
    <w:p>
      <w:pPr>
        <w:pStyle w:val="BlockText"/>
      </w:pPr>
      <w:r>
        <w:rPr>
          <w:b/>
          <w:bCs/>
        </w:rPr>
        <w:t xml:space="preserve">Análise:</w:t>
      </w:r>
      <w:r>
        <w:t xml:space="preserve"> </w:t>
      </w:r>
      <w:r>
        <w:t xml:space="preserve">Os resultados são consistentes nas três cidades. Em Estocolmo, o tráfego na zona central caiu 20-25% e as emissões de CO₂ na área taxada reduziram-se em 10-14% (Eliasson et al., 2009). Em Londres, o congestionamento diminuiu 30% no primeiro ano, embora parte do efeito tenha se dissipado com o tempo. O caso de Estocolmo é especialmente instrutivo: a população inicialmente opunha-se ao pedágio, mas após o período experimental, ao constatar a melhoria na qualidade do tráfego, votou pela manutenção permanente do sistema em referendo. Essa sequência — resistência inicial seguida de apoio após a experiência — ilustra como a percepção pública dos benefícios de uma taxa pigouviana pode mudar quando os cidadãos vivenciam a redução da externalidade.</w:t>
      </w:r>
    </w:p>
    <w:p>
      <w:pPr>
        <w:pStyle w:val="BlockText"/>
      </w:pPr>
      <w:r>
        <w:rPr>
          <w:b/>
          <w:bCs/>
        </w:rPr>
        <w:t xml:space="preserve">Fonte:</w:t>
      </w:r>
      <w:r>
        <w:t xml:space="preserve"> </w:t>
      </w:r>
      <w:r>
        <w:t xml:space="preserve">Eliasson, J.; Hultkrantz, L.; Nerhagen, L.; Rosqvist, L. S. (2009). The Stockholm congestion-charging trial 2006: overview of effects.</w:t>
      </w:r>
      <w:r>
        <w:t xml:space="preserve"> </w:t>
      </w:r>
      <w:r>
        <w:rPr>
          <w:i/>
          <w:iCs/>
        </w:rPr>
        <w:t xml:space="preserve">Transportation Research Part A</w:t>
      </w:r>
      <w:r>
        <w:t xml:space="preserve">, 43(3), 240-250.</w:t>
      </w:r>
    </w:p>
    <w:bookmarkEnd w:id="1244"/>
    <w:bookmarkEnd w:id="1245"/>
    <w:bookmarkEnd w:id="1246"/>
    <w:bookmarkStart w:id="1253" w:name="modelo-de-equilíbrio-parcial-e-soluções"/>
    <w:p>
      <w:pPr>
        <w:pStyle w:val="Heading2"/>
      </w:pPr>
      <w:r>
        <w:t xml:space="preserve">Modelo de Equilíbrio Parcial e Soluções</w:t>
      </w:r>
    </w:p>
    <w:bookmarkStart w:id="1247" w:name="X165fbd61c277745f187eaac7182d9c05d0d1171"/>
    <w:p>
      <w:pPr>
        <w:pStyle w:val="Heading3"/>
      </w:pPr>
      <w:r>
        <w:t xml:space="preserve">20.3 Medindo a Mentira: Modelo de Equilíbrio Parcial de Externalidades</w:t>
      </w:r>
    </w:p>
    <w:p>
      <w:pPr>
        <w:pStyle w:val="FirstParagraph"/>
      </w:pPr>
      <w:r>
        <w:t xml:space="preserve">Sabemos que o preço mente — mas quanto ele mente? A intuição da seção anterior nos disse que externalidades negativas levam à sobreprodução e positivas à subprodução. Agora, formalizamos essa análise em um modelo de equilíbrio parcial com duas firmas, o que nos permitirá medir exatamente o tamanho da mentira e, na seção seguinte, calibrar os instrumentos de política necessários para corrigi-la.</w:t>
      </w:r>
    </w:p>
    <w:p>
      <w:pPr>
        <w:pStyle w:val="BodyText"/>
      </w:pPr>
      <w:r>
        <w:t xml:space="preserve">Formalizemos o problema usando um modelo de equilíbrio parcial com duas firmas.</w:t>
      </w:r>
    </w:p>
    <w:p>
      <w:pPr>
        <w:pStyle w:val="BodyText"/>
      </w:pPr>
      <w:r>
        <w:rPr>
          <w:b/>
          <w:bCs/>
        </w:rPr>
        <w:t xml:space="preserve">Firma 1</w:t>
      </w:r>
      <w:r>
        <w:t xml:space="preserve"> </w:t>
      </w:r>
      <w:r>
        <w:t xml:space="preserve">(poluidora): produz</w:t>
      </w:r>
      <w:r>
        <w:t xml:space="preserve"> </w:t>
      </w:r>
      <m:oMath>
        <m:sSub>
          <m:e>
            <m:r>
              <m:t>q</m:t>
            </m:r>
          </m:e>
          <m:sub>
            <m:r>
              <m:t>1</m:t>
            </m:r>
          </m:sub>
        </m:sSub>
      </m:oMath>
      <w:r>
        <w:t xml:space="preserve"> </w:t>
      </w:r>
      <w:r>
        <w:t xml:space="preserve">com custo</w:t>
      </w:r>
      <w:r>
        <w:t xml:space="preserve"> </w:t>
      </w:r>
      <m:oMath>
        <m:sSub>
          <m:e>
            <m:r>
              <m:t>C</m:t>
            </m:r>
          </m:e>
          <m:sub>
            <m:r>
              <m:t>1</m:t>
            </m:r>
          </m:sub>
        </m:sSub>
        <m:r>
          <m:rPr>
            <m:sty m:val="p"/>
          </m:rPr>
          <m:t>(</m:t>
        </m:r>
        <m:sSub>
          <m:e>
            <m:r>
              <m:t>q</m:t>
            </m:r>
          </m:e>
          <m:sub>
            <m:r>
              <m:t>1</m:t>
            </m:r>
          </m:sub>
        </m:sSub>
        <m:r>
          <m:rPr>
            <m:sty m:val="p"/>
          </m:rPr>
          <m:t>)</m:t>
        </m:r>
      </m:oMath>
      <w:r>
        <w:t xml:space="preserve"> </w:t>
      </w:r>
      <w:r>
        <w:t xml:space="preserve">e gera emissões</w:t>
      </w:r>
      <w:r>
        <w:t xml:space="preserve"> </w:t>
      </w:r>
      <m:oMath>
        <m:r>
          <m:t>e</m:t>
        </m:r>
        <m:r>
          <m:rPr>
            <m:sty m:val="p"/>
          </m:rPr>
          <m:t>=</m:t>
        </m:r>
        <m:r>
          <m:t>e</m:t>
        </m:r>
        <m:r>
          <m:rPr>
            <m:sty m:val="p"/>
          </m:rPr>
          <m:t>(</m:t>
        </m:r>
        <m:sSub>
          <m:e>
            <m:r>
              <m:t>q</m:t>
            </m:r>
          </m:e>
          <m:sub>
            <m:r>
              <m:t>1</m:t>
            </m:r>
          </m:sub>
        </m:sSub>
        <m:r>
          <m:rPr>
            <m:sty m:val="p"/>
          </m:rPr>
          <m:t>)</m:t>
        </m:r>
      </m:oMath>
      <w:r>
        <w:t xml:space="preserve">, com</w:t>
      </w:r>
      <w:r>
        <w:t xml:space="preserve"> </w:t>
      </w:r>
      <m:oMath>
        <m:sSup>
          <m:e>
            <m:r>
              <m:t>e</m:t>
            </m:r>
          </m:e>
          <m:sup>
            <m:r>
              <m:rPr>
                <m:sty m:val="p"/>
              </m:rPr>
              <m:t>′</m:t>
            </m:r>
          </m:sup>
        </m:sSup>
        <m:r>
          <m:rPr>
            <m:sty m:val="p"/>
          </m:rPr>
          <m:t>&gt;</m:t>
        </m:r>
        <m:r>
          <m:t>0</m:t>
        </m:r>
      </m:oMath>
      <w:r>
        <w:t xml:space="preserve">.</w:t>
      </w:r>
    </w:p>
    <w:p>
      <w:pPr>
        <w:pStyle w:val="BodyText"/>
      </w:pPr>
      <w:r>
        <w:rPr>
          <w:b/>
          <w:bCs/>
        </w:rPr>
        <w:t xml:space="preserve">Firma 2</w:t>
      </w:r>
      <w:r>
        <w:t xml:space="preserve"> </w:t>
      </w:r>
      <w:r>
        <w:t xml:space="preserve">(afetada): produz</w:t>
      </w:r>
      <w:r>
        <w:t xml:space="preserve"> </w:t>
      </w:r>
      <m:oMath>
        <m:sSub>
          <m:e>
            <m:r>
              <m:t>q</m:t>
            </m:r>
          </m:e>
          <m:sub>
            <m:r>
              <m:t>2</m:t>
            </m:r>
          </m:sub>
        </m:sSub>
      </m:oMath>
      <w:r>
        <w:t xml:space="preserve"> </w:t>
      </w:r>
      <w:r>
        <w:t xml:space="preserve">com custo</w:t>
      </w:r>
      <w:r>
        <w:t xml:space="preserve"> </w:t>
      </w:r>
      <m:oMath>
        <m:sSub>
          <m:e>
            <m:r>
              <m:t>C</m:t>
            </m:r>
          </m:e>
          <m:sub>
            <m:r>
              <m:t>2</m:t>
            </m:r>
          </m:sub>
        </m:sSub>
        <m:r>
          <m:rPr>
            <m:sty m:val="p"/>
          </m:rPr>
          <m:t>(</m:t>
        </m:r>
        <m:sSub>
          <m:e>
            <m:r>
              <m:t>q</m:t>
            </m:r>
          </m:e>
          <m:sub>
            <m:r>
              <m:t>2</m:t>
            </m:r>
          </m:sub>
        </m:sSub>
        <m:r>
          <m:rPr>
            <m:sty m:val="p"/>
          </m:rPr>
          <m:t>,</m:t>
        </m:r>
        <m:r>
          <m:t>e</m:t>
        </m:r>
        <m:r>
          <m:rPr>
            <m:sty m:val="p"/>
          </m:rPr>
          <m:t>)</m:t>
        </m:r>
      </m:oMath>
      <w:r>
        <w:t xml:space="preserve">, onde</w:t>
      </w:r>
      <w:r>
        <w:t xml:space="preserve"> </w:t>
      </w:r>
      <m:oMath>
        <m:r>
          <m:rPr>
            <m:sty m:val="p"/>
          </m:rPr>
          <m:t>∂</m:t>
        </m:r>
        <m:sSub>
          <m:e>
            <m:r>
              <m:t>C</m:t>
            </m:r>
          </m:e>
          <m:sub>
            <m:r>
              <m:t>2</m:t>
            </m:r>
          </m:sub>
        </m:sSub>
        <m:r>
          <m:rPr>
            <m:sty m:val="p"/>
          </m:rPr>
          <m:t>/</m:t>
        </m:r>
        <m:r>
          <m:rPr>
            <m:sty m:val="p"/>
          </m:rPr>
          <m:t>∂</m:t>
        </m:r>
        <m:r>
          <m:t>e</m:t>
        </m:r>
        <m:r>
          <m:rPr>
            <m:sty m:val="p"/>
          </m:rPr>
          <m:t>&gt;</m:t>
        </m:r>
        <m:r>
          <m:t>0</m:t>
        </m:r>
      </m:oMath>
      <w:r>
        <w:t xml:space="preserve"> </w:t>
      </w:r>
      <w:r>
        <w:t xml:space="preserve">— a poluição de 1 eleva os custos de 2.</w:t>
      </w:r>
    </w:p>
    <w:p>
      <w:pPr>
        <w:pStyle w:val="BodyText"/>
      </w:pPr>
      <w:r>
        <w:rPr>
          <w:b/>
          <w:bCs/>
        </w:rPr>
        <w:t xml:space="preserve">Equilíbrio privado</w:t>
      </w:r>
      <w:r>
        <w:t xml:space="preserve">: cada firma maximiza seu próprio lucro, ignorando o efeito sobre a outra.</w:t>
      </w:r>
    </w:p>
    <w:p>
      <w:pPr>
        <w:pStyle w:val="BodyText"/>
      </w:pPr>
      <w:r>
        <w:t xml:space="preserve">Firma 1:</w:t>
      </w:r>
    </w:p>
    <w:p>
      <w:pPr>
        <w:pStyle w:val="BodyText"/>
      </w:pPr>
      <m:oMathPara>
        <m:oMathParaPr>
          <m:jc m:val="center"/>
        </m:oMathParaPr>
        <m:oMath>
          <m:limLow>
            <m:e>
              <m:r>
                <m:rPr>
                  <m:sty m:val="p"/>
                </m:rPr>
                <m:t>max</m:t>
              </m:r>
            </m:e>
            <m:lim>
              <m:sSub>
                <m:e>
                  <m:r>
                    <m:t>q</m:t>
                  </m:r>
                </m:e>
                <m:sub>
                  <m:r>
                    <m:t>1</m:t>
                  </m:r>
                </m:sub>
              </m:sSub>
            </m:lim>
          </m:limLow>
          <m:r>
            <m:t> </m:t>
          </m:r>
          <m:sSub>
            <m:e>
              <m:r>
                <m:t>p</m:t>
              </m:r>
            </m:e>
            <m:sub>
              <m:r>
                <m:t>1</m:t>
              </m:r>
            </m:sub>
          </m:sSub>
          <m:sSub>
            <m:e>
              <m:r>
                <m:t>q</m:t>
              </m:r>
            </m:e>
            <m:sub>
              <m:r>
                <m:t>1</m:t>
              </m:r>
            </m:sub>
          </m:sSub>
          <m:r>
            <m:rPr>
              <m:sty m:val="p"/>
            </m:rPr>
            <m:t>−</m:t>
          </m:r>
          <m:sSub>
            <m:e>
              <m:r>
                <m:t>C</m:t>
              </m:r>
            </m:e>
            <m:sub>
              <m:r>
                <m:t>1</m:t>
              </m:r>
            </m:sub>
          </m:sSub>
          <m:r>
            <m:rPr>
              <m:sty m:val="p"/>
            </m:rPr>
            <m:t>(</m:t>
          </m:r>
          <m:sSub>
            <m:e>
              <m:r>
                <m:t>q</m:t>
              </m:r>
            </m:e>
            <m:sub>
              <m:r>
                <m:t>1</m:t>
              </m:r>
            </m:sub>
          </m:sSub>
          <m:r>
            <m:rPr>
              <m:sty m:val="p"/>
            </m:rPr>
            <m:t>)</m:t>
          </m:r>
          <m:r>
            <m:rPr>
              <m:sty m:val="p"/>
            </m:rPr>
            <m:t>⟹</m:t>
          </m:r>
          <m:sSub>
            <m:e>
              <m:r>
                <m:t>p</m:t>
              </m:r>
            </m:e>
            <m:sub>
              <m:r>
                <m:t>1</m:t>
              </m:r>
            </m:sub>
          </m:sSub>
          <m:r>
            <m:rPr>
              <m:sty m:val="p"/>
            </m:rPr>
            <m:t>=</m:t>
          </m:r>
          <m:sSubSup>
            <m:e>
              <m:r>
                <m:t>C</m:t>
              </m:r>
            </m:e>
            <m:sub>
              <m:r>
                <m:t>1</m:t>
              </m:r>
            </m:sub>
            <m:sup>
              <m:r>
                <m:rPr>
                  <m:sty m:val="p"/>
                </m:rPr>
                <m:t>′</m:t>
              </m:r>
            </m:sup>
          </m:sSubSup>
          <m:r>
            <m:rPr>
              <m:sty m:val="p"/>
            </m:rPr>
            <m:t>(</m:t>
          </m:r>
          <m:sSub>
            <m:e>
              <m:r>
                <m:t>q</m:t>
              </m:r>
            </m:e>
            <m:sub>
              <m:r>
                <m:t>1</m:t>
              </m:r>
            </m:sub>
          </m:sSub>
          <m:r>
            <m:rPr>
              <m:sty m:val="p"/>
            </m:rPr>
            <m:t>)</m:t>
          </m:r>
        </m:oMath>
      </m:oMathPara>
    </w:p>
    <w:p>
      <w:pPr>
        <w:pStyle w:val="FirstParagraph"/>
      </w:pPr>
      <w:r>
        <w:rPr>
          <w:b/>
          <w:bCs/>
        </w:rPr>
        <w:t xml:space="preserve">Ótimo social</w:t>
      </w:r>
      <w:r>
        <w:t xml:space="preserve">: o planejador maximiza o lucro conjunto:</w:t>
      </w:r>
    </w:p>
    <w:p>
      <w:pPr>
        <w:pStyle w:val="BodyText"/>
      </w:pPr>
      <m:oMathPara>
        <m:oMathParaPr>
          <m:jc m:val="center"/>
        </m:oMathParaPr>
        <m:oMath>
          <m:limLow>
            <m:e>
              <m:r>
                <m:rPr>
                  <m:sty m:val="p"/>
                </m:rPr>
                <m:t>max</m:t>
              </m:r>
            </m:e>
            <m:lim>
              <m:sSub>
                <m:e>
                  <m:r>
                    <m:t>q</m:t>
                  </m:r>
                </m:e>
                <m:sub>
                  <m:r>
                    <m:t>1</m:t>
                  </m:r>
                </m:sub>
              </m:sSub>
              <m:r>
                <m:rPr>
                  <m:sty m:val="p"/>
                </m:rPr>
                <m:t>,</m:t>
              </m:r>
              <m:sSub>
                <m:e>
                  <m:r>
                    <m:t>q</m:t>
                  </m:r>
                </m:e>
                <m:sub>
                  <m:r>
                    <m:t>2</m:t>
                  </m:r>
                </m:sub>
              </m:sSub>
            </m:lim>
          </m:limLow>
          <m:r>
            <m:t> </m:t>
          </m:r>
          <m:sSub>
            <m:e>
              <m:r>
                <m:t>p</m:t>
              </m:r>
            </m:e>
            <m:sub>
              <m:r>
                <m:t>1</m:t>
              </m:r>
            </m:sub>
          </m:sSub>
          <m:sSub>
            <m:e>
              <m:r>
                <m:t>q</m:t>
              </m:r>
            </m:e>
            <m:sub>
              <m:r>
                <m:t>1</m:t>
              </m:r>
            </m:sub>
          </m:sSub>
          <m:r>
            <m:rPr>
              <m:sty m:val="p"/>
            </m:rPr>
            <m:t>−</m:t>
          </m:r>
          <m:sSub>
            <m:e>
              <m:r>
                <m:t>C</m:t>
              </m:r>
            </m:e>
            <m:sub>
              <m:r>
                <m:t>1</m:t>
              </m:r>
            </m:sub>
          </m:sSub>
          <m:r>
            <m:rPr>
              <m:sty m:val="p"/>
            </m:rPr>
            <m:t>(</m:t>
          </m:r>
          <m:sSub>
            <m:e>
              <m:r>
                <m:t>q</m:t>
              </m:r>
            </m:e>
            <m:sub>
              <m:r>
                <m:t>1</m:t>
              </m:r>
            </m:sub>
          </m:sSub>
          <m:r>
            <m:rPr>
              <m:sty m:val="p"/>
            </m:rPr>
            <m:t>)</m:t>
          </m:r>
          <m:r>
            <m:rPr>
              <m:sty m:val="p"/>
            </m:rPr>
            <m:t>+</m:t>
          </m:r>
          <m:sSub>
            <m:e>
              <m:r>
                <m:t>p</m:t>
              </m:r>
            </m:e>
            <m:sub>
              <m:r>
                <m:t>2</m:t>
              </m:r>
            </m:sub>
          </m:sSub>
          <m:sSub>
            <m:e>
              <m:r>
                <m:t>q</m:t>
              </m:r>
            </m:e>
            <m:sub>
              <m:r>
                <m:t>2</m:t>
              </m:r>
            </m:sub>
          </m:sSub>
          <m:r>
            <m:rPr>
              <m:sty m:val="p"/>
            </m:rPr>
            <m:t>−</m:t>
          </m:r>
          <m:sSub>
            <m:e>
              <m:r>
                <m:t>C</m:t>
              </m:r>
            </m:e>
            <m:sub>
              <m:r>
                <m:t>2</m:t>
              </m:r>
            </m:sub>
          </m:sSub>
          <m:r>
            <m:rPr>
              <m:sty m:val="p"/>
            </m:rPr>
            <m:t>(</m:t>
          </m:r>
          <m:sSub>
            <m:e>
              <m:r>
                <m:t>q</m:t>
              </m:r>
            </m:e>
            <m:sub>
              <m:r>
                <m:t>2</m:t>
              </m:r>
            </m:sub>
          </m:sSub>
          <m:r>
            <m:rPr>
              <m:sty m:val="p"/>
            </m:rPr>
            <m:t>,</m:t>
          </m:r>
          <m:r>
            <m:t>e</m:t>
          </m:r>
          <m:r>
            <m:rPr>
              <m:sty m:val="p"/>
            </m:rPr>
            <m:t>(</m:t>
          </m:r>
          <m:sSub>
            <m:e>
              <m:r>
                <m:t>q</m:t>
              </m:r>
            </m:e>
            <m:sub>
              <m:r>
                <m:t>1</m:t>
              </m:r>
            </m:sub>
          </m:sSub>
          <m:r>
            <m:rPr>
              <m:sty m:val="p"/>
            </m:rPr>
            <m:t>)</m:t>
          </m:r>
          <m:r>
            <m:rPr>
              <m:sty m:val="p"/>
            </m:rPr>
            <m:t>)</m:t>
          </m:r>
        </m:oMath>
      </m:oMathPara>
    </w:p>
    <w:p>
      <w:pPr>
        <w:pStyle w:val="FirstParagraph"/>
      </w:pPr>
      <w:r>
        <w:t xml:space="preserve">A condição de primeira ordem para</w:t>
      </w:r>
      <w:r>
        <w:t xml:space="preserve"> </w:t>
      </w:r>
      <m:oMath>
        <m:sSub>
          <m:e>
            <m:r>
              <m:t>q</m:t>
            </m:r>
          </m:e>
          <m:sub>
            <m:r>
              <m:t>1</m:t>
            </m:r>
          </m:sub>
        </m:sSub>
      </m:oMath>
      <w:r>
        <w:t xml:space="preserve"> </w:t>
      </w:r>
      <w:r>
        <w:t xml:space="preserve">é:</w:t>
      </w:r>
    </w:p>
    <w:p>
      <w:pPr>
        <w:pStyle w:val="BodyText"/>
      </w:pPr>
      <m:oMathPara>
        <m:oMathParaPr>
          <m:jc m:val="center"/>
        </m:oMathParaPr>
        <m:oMath>
          <m:sSub>
            <m:e>
              <m:r>
                <m:t>p</m:t>
              </m:r>
            </m:e>
            <m:sub>
              <m:r>
                <m:t>1</m:t>
              </m:r>
            </m:sub>
          </m:sSub>
          <m:r>
            <m:rPr>
              <m:sty m:val="p"/>
            </m:rPr>
            <m:t>=</m:t>
          </m:r>
          <m:sSubSup>
            <m:e>
              <m:r>
                <m:t>C</m:t>
              </m:r>
            </m:e>
            <m:sub>
              <m:r>
                <m:t>1</m:t>
              </m:r>
            </m:sub>
            <m:sup>
              <m:r>
                <m:rPr>
                  <m:sty m:val="p"/>
                </m:rPr>
                <m:t>′</m:t>
              </m:r>
            </m:sup>
          </m:sSubSup>
          <m:r>
            <m:rPr>
              <m:sty m:val="p"/>
            </m:rPr>
            <m:t>(</m:t>
          </m:r>
          <m:sSub>
            <m:e>
              <m:r>
                <m:t>q</m:t>
              </m:r>
            </m:e>
            <m:sub>
              <m:r>
                <m:t>1</m:t>
              </m:r>
            </m:sub>
          </m:sSub>
          <m:r>
            <m:rPr>
              <m:sty m:val="p"/>
            </m:rPr>
            <m:t>)</m:t>
          </m:r>
          <m:r>
            <m:rPr>
              <m:sty m:val="p"/>
            </m:rPr>
            <m:t>+</m:t>
          </m:r>
          <m:f>
            <m:fPr>
              <m:type m:val="bar"/>
            </m:fPr>
            <m:num>
              <m:r>
                <m:rPr>
                  <m:sty m:val="p"/>
                </m:rPr>
                <m:t>∂</m:t>
              </m:r>
              <m:sSub>
                <m:e>
                  <m:r>
                    <m:t>C</m:t>
                  </m:r>
                </m:e>
                <m:sub>
                  <m:r>
                    <m:t>2</m:t>
                  </m:r>
                </m:sub>
              </m:sSub>
            </m:num>
            <m:den>
              <m:r>
                <m:rPr>
                  <m:sty m:val="p"/>
                </m:rPr>
                <m:t>∂</m:t>
              </m:r>
              <m:r>
                <m:t>e</m:t>
              </m:r>
            </m:den>
          </m:f>
          <m:r>
            <m:rPr>
              <m:sty m:val="p"/>
            </m:rPr>
            <m:t>⋅</m:t>
          </m:r>
          <m:sSup>
            <m:e>
              <m:r>
                <m:t>e</m:t>
              </m:r>
            </m:e>
            <m:sup>
              <m:r>
                <m:rPr>
                  <m:sty m:val="p"/>
                </m:rPr>
                <m:t>′</m:t>
              </m:r>
            </m:sup>
          </m:sSup>
          <m:r>
            <m:rPr>
              <m:sty m:val="p"/>
            </m:rPr>
            <m:t>(</m:t>
          </m:r>
          <m:sSub>
            <m:e>
              <m:r>
                <m:t>q</m:t>
              </m:r>
            </m:e>
            <m:sub>
              <m:r>
                <m:t>1</m:t>
              </m:r>
            </m:sub>
          </m:sSub>
          <m:r>
            <m:rPr>
              <m:sty m:val="p"/>
            </m:rPr>
            <m:t>)</m:t>
          </m:r>
        </m:oMath>
      </m:oMathPara>
    </w:p>
    <w:p>
      <w:pPr>
        <w:pStyle w:val="FirstParagraph"/>
      </w:pPr>
      <w:r>
        <w:t xml:space="preserve">O termo</w:t>
      </w:r>
      <w:r>
        <w:t xml:space="preserve"> </w:t>
      </w:r>
      <m:oMath>
        <m:f>
          <m:fPr>
            <m:type m:val="bar"/>
          </m:fPr>
          <m:num>
            <m:r>
              <m:rPr>
                <m:sty m:val="p"/>
              </m:rPr>
              <m:t>∂</m:t>
            </m:r>
            <m:sSub>
              <m:e>
                <m:r>
                  <m:t>C</m:t>
                </m:r>
              </m:e>
              <m:sub>
                <m:r>
                  <m:t>2</m:t>
                </m:r>
              </m:sub>
            </m:sSub>
          </m:num>
          <m:den>
            <m:r>
              <m:rPr>
                <m:sty m:val="p"/>
              </m:rPr>
              <m:t>∂</m:t>
            </m:r>
            <m:r>
              <m:t>e</m:t>
            </m:r>
          </m:den>
        </m:f>
        <m:r>
          <m:rPr>
            <m:sty m:val="p"/>
          </m:rPr>
          <m:t>⋅</m:t>
        </m:r>
        <m:sSup>
          <m:e>
            <m:r>
              <m:t>e</m:t>
            </m:r>
          </m:e>
          <m:sup>
            <m:r>
              <m:rPr>
                <m:sty m:val="p"/>
              </m:rPr>
              <m:t>′</m:t>
            </m:r>
          </m:sup>
        </m:sSup>
        <m:r>
          <m:rPr>
            <m:sty m:val="p"/>
          </m:rPr>
          <m:t>(</m:t>
        </m:r>
        <m:sSub>
          <m:e>
            <m:r>
              <m:t>q</m:t>
            </m:r>
          </m:e>
          <m:sub>
            <m:r>
              <m:t>1</m:t>
            </m:r>
          </m:sub>
        </m:sSub>
        <m:r>
          <m:rPr>
            <m:sty m:val="p"/>
          </m:rPr>
          <m:t>)</m:t>
        </m:r>
      </m:oMath>
      <w:r>
        <w:t xml:space="preserve"> </w:t>
      </w:r>
      <w:r>
        <w:t xml:space="preserve">é o</w:t>
      </w:r>
      <w:r>
        <w:t xml:space="preserve"> </w:t>
      </w:r>
      <w:r>
        <w:rPr>
          <w:b/>
          <w:bCs/>
        </w:rPr>
        <w:t xml:space="preserve">custo marginal externo</w:t>
      </w:r>
      <w:r>
        <w:t xml:space="preserve"> </w:t>
      </w:r>
      <w:r>
        <w:t xml:space="preserve">(CME) — o dano marginal imposto pela firma 1 sobre a firma 2. No equilíbrio privado, esse termo é ignorado, levando a</w:t>
      </w:r>
      <w:r>
        <w:t xml:space="preserve"> </w:t>
      </w:r>
      <m:oMath>
        <m:sSubSup>
          <m:e>
            <m:r>
              <m:t>q</m:t>
            </m:r>
          </m:e>
          <m:sub>
            <m:r>
              <m:t>1</m:t>
            </m:r>
          </m:sub>
          <m:sup>
            <m:r>
              <m:t>p</m:t>
            </m:r>
            <m:r>
              <m:t>r</m:t>
            </m:r>
            <m:r>
              <m:t>i</m:t>
            </m:r>
            <m:r>
              <m:t>v</m:t>
            </m:r>
          </m:sup>
        </m:sSubSup>
        <m:r>
          <m:rPr>
            <m:sty m:val="p"/>
          </m:rPr>
          <m:t>&gt;</m:t>
        </m:r>
        <m:sSubSup>
          <m:e>
            <m:r>
              <m:t>q</m:t>
            </m:r>
          </m:e>
          <m:sub>
            <m:r>
              <m:t>1</m:t>
            </m:r>
          </m:sub>
          <m:sup>
            <m:r>
              <m:t>s</m:t>
            </m:r>
            <m:r>
              <m:t>o</m:t>
            </m:r>
            <m:r>
              <m:t>c</m:t>
            </m:r>
          </m:sup>
        </m:sSubSup>
      </m:oMath>
      <w:r>
        <w:t xml:space="preserve">.</w:t>
      </w:r>
    </w:p>
    <w:p>
      <w:pPr>
        <w:pStyle w:val="BodyText"/>
      </w:pPr>
      <w:r>
        <w:t xml:space="preserve">A</w:t>
      </w:r>
      <w:r>
        <w:t xml:space="preserve"> </w:t>
      </w:r>
      <w:r>
        <w:rPr>
          <w:b/>
          <w:bCs/>
        </w:rPr>
        <w:t xml:space="preserve">perda de peso morto</w:t>
      </w:r>
      <w:r>
        <w:t xml:space="preserve"> </w:t>
      </w:r>
      <w:r>
        <w:t xml:space="preserve">(deadweight loss) associada à externalidade é a área entre as curvas de custo marginal social e custo marginal privado, entre</w:t>
      </w:r>
      <w:r>
        <w:t xml:space="preserve"> </w:t>
      </w:r>
      <m:oMath>
        <m:sSubSup>
          <m:e>
            <m:r>
              <m:t>q</m:t>
            </m:r>
          </m:e>
          <m:sub>
            <m:r>
              <m:t>1</m:t>
            </m:r>
          </m:sub>
          <m:sup>
            <m:r>
              <m:t>s</m:t>
            </m:r>
            <m:r>
              <m:t>o</m:t>
            </m:r>
            <m:r>
              <m:t>c</m:t>
            </m:r>
          </m:sup>
        </m:sSubSup>
      </m:oMath>
      <w:r>
        <w:t xml:space="preserve"> </w:t>
      </w:r>
      <w:r>
        <w:t xml:space="preserve">e</w:t>
      </w:r>
      <w:r>
        <w:t xml:space="preserve"> </w:t>
      </w:r>
      <m:oMath>
        <m:sSubSup>
          <m:e>
            <m:r>
              <m:t>q</m:t>
            </m:r>
          </m:e>
          <m:sub>
            <m:r>
              <m:t>1</m:t>
            </m:r>
          </m:sub>
          <m:sup>
            <m:r>
              <m:t>p</m:t>
            </m:r>
            <m:r>
              <m:t>r</m:t>
            </m:r>
            <m:r>
              <m:t>i</m:t>
            </m:r>
            <m:r>
              <m:t>v</m:t>
            </m:r>
          </m:sup>
        </m:sSubSup>
      </m:oMath>
      <w:r>
        <w:t xml:space="preserve">:</w:t>
      </w:r>
    </w:p>
    <w:p>
      <w:pPr>
        <w:pStyle w:val="BodyText"/>
      </w:pPr>
      <m:oMathPara>
        <m:oMathParaPr>
          <m:jc m:val="center"/>
        </m:oMathParaPr>
        <m:oMath>
          <m:r>
            <m:t>D</m:t>
          </m:r>
          <m:r>
            <m:t>W</m:t>
          </m:r>
          <m:r>
            <m:t>L</m:t>
          </m:r>
          <m:r>
            <m:rPr>
              <m:sty m:val="p"/>
            </m:rPr>
            <m:t>=</m:t>
          </m:r>
          <m:nary>
            <m:naryPr>
              <m:chr m:val="∫"/>
              <m:limLoc m:val="subSup"/>
              <m:subHide m:val="off"/>
              <m:supHide m:val="off"/>
            </m:naryPr>
            <m:sub>
              <m:sSubSup>
                <m:e>
                  <m:r>
                    <m:t>q</m:t>
                  </m:r>
                </m:e>
                <m:sub>
                  <m:r>
                    <m:t>1</m:t>
                  </m:r>
                </m:sub>
                <m:sup>
                  <m:r>
                    <m:t>s</m:t>
                  </m:r>
                  <m:r>
                    <m:t>o</m:t>
                  </m:r>
                  <m:r>
                    <m:t>c</m:t>
                  </m:r>
                </m:sup>
              </m:sSubSup>
            </m:sub>
            <m:sup>
              <m:sSubSup>
                <m:e>
                  <m:r>
                    <m:t>q</m:t>
                  </m:r>
                </m:e>
                <m:sub>
                  <m:r>
                    <m:t>1</m:t>
                  </m:r>
                </m:sub>
                <m:sup>
                  <m:r>
                    <m:t>p</m:t>
                  </m:r>
                  <m:r>
                    <m:t>r</m:t>
                  </m:r>
                  <m:r>
                    <m:t>i</m:t>
                  </m:r>
                  <m:r>
                    <m:t>v</m:t>
                  </m:r>
                </m:sup>
              </m:sSubSup>
            </m:sup>
            <m:e>
              <m:d>
                <m:dPr>
                  <m:begChr m:val="["/>
                  <m:sepChr m:val=""/>
                  <m:endChr m:val="]"/>
                  <m:grow/>
                </m:dPr>
                <m:e>
                  <m:sSubSup>
                    <m:e>
                      <m:r>
                        <m:t>C</m:t>
                      </m:r>
                    </m:e>
                    <m:sub>
                      <m:r>
                        <m:t>1</m:t>
                      </m:r>
                    </m:sub>
                    <m:sup>
                      <m:r>
                        <m:rPr>
                          <m:sty m:val="p"/>
                        </m:rPr>
                        <m:t>′</m:t>
                      </m:r>
                    </m:sup>
                  </m:sSubSup>
                  <m:r>
                    <m:rPr>
                      <m:sty m:val="p"/>
                    </m:rPr>
                    <m:t>(</m:t>
                  </m:r>
                  <m:r>
                    <m:t>q</m:t>
                  </m:r>
                  <m:r>
                    <m:rPr>
                      <m:sty m:val="p"/>
                    </m:rPr>
                    <m:t>)</m:t>
                  </m:r>
                  <m:r>
                    <m:rPr>
                      <m:sty m:val="p"/>
                    </m:rPr>
                    <m:t>+</m:t>
                  </m:r>
                  <m:sSup>
                    <m:e>
                      <m:r>
                        <m:t>E</m:t>
                      </m:r>
                    </m:e>
                    <m:sup>
                      <m:r>
                        <m:rPr>
                          <m:sty m:val="p"/>
                        </m:rPr>
                        <m:t>′</m:t>
                      </m:r>
                    </m:sup>
                  </m:sSup>
                  <m:r>
                    <m:rPr>
                      <m:sty m:val="p"/>
                    </m:rPr>
                    <m:t>(</m:t>
                  </m:r>
                  <m:r>
                    <m:t>q</m:t>
                  </m:r>
                  <m:r>
                    <m:rPr>
                      <m:sty m:val="p"/>
                    </m:rPr>
                    <m:t>)</m:t>
                  </m:r>
                  <m:r>
                    <m:rPr>
                      <m:sty m:val="p"/>
                    </m:rPr>
                    <m:t>−</m:t>
                  </m:r>
                  <m:r>
                    <m:t>P</m:t>
                  </m:r>
                </m:e>
              </m:d>
            </m:e>
          </m:nary>
          <m:r>
            <m:t>d</m:t>
          </m:r>
          <m:r>
            <m:t>q</m:t>
          </m:r>
        </m:oMath>
      </m:oMathPara>
    </w:p>
    <w:p>
      <w:pPr>
        <w:pStyle w:val="FirstParagraph"/>
      </w:pPr>
      <w:r>
        <w:t xml:space="preserve">Geometricamente, essa integral corresponde à área do</w:t>
      </w:r>
      <w:r>
        <w:t xml:space="preserve"> </w:t>
      </w:r>
      <w:r>
        <w:t xml:space="preserve">“triângulo”</w:t>
      </w:r>
      <w:r>
        <w:t xml:space="preserve"> </w:t>
      </w:r>
      <w:r>
        <w:t xml:space="preserve">entre a curva de custo marginal social (CMg + CME) e a reta de preço, delimitado pelas quantidades</w:t>
      </w:r>
      <w:r>
        <w:t xml:space="preserve"> </w:t>
      </w:r>
      <m:oMath>
        <m:sSup>
          <m:e>
            <m:r>
              <m:t>q</m:t>
            </m:r>
          </m:e>
          <m:sup>
            <m:r>
              <m:t>s</m:t>
            </m:r>
            <m:r>
              <m:t>o</m:t>
            </m:r>
            <m:r>
              <m:t>c</m:t>
            </m:r>
          </m:sup>
        </m:sSup>
      </m:oMath>
      <w:r>
        <w:t xml:space="preserve"> </w:t>
      </w:r>
      <w:r>
        <w:t xml:space="preserve">e</w:t>
      </w:r>
      <w:r>
        <w:t xml:space="preserve"> </w:t>
      </w:r>
      <m:oMath>
        <m:sSup>
          <m:e>
            <m:r>
              <m:t>q</m:t>
            </m:r>
          </m:e>
          <m:sup>
            <m:r>
              <m:t>p</m:t>
            </m:r>
            <m:r>
              <m:t>r</m:t>
            </m:r>
            <m:r>
              <m:t>i</m:t>
            </m:r>
            <m:r>
              <m:t>v</m:t>
            </m:r>
          </m:sup>
        </m:sSup>
      </m:oMath>
      <w:r>
        <w:t xml:space="preserve">. A interpretação é direta: para cada unidade produzida além do ótimo social, o custo social marginal excede o benefício marginal (preço), e a área acumulada dessas</w:t>
      </w:r>
      <w:r>
        <w:t xml:space="preserve"> </w:t>
      </w:r>
      <w:r>
        <w:t xml:space="preserve">“perdas marginais”</w:t>
      </w:r>
      <w:r>
        <w:t xml:space="preserve"> </w:t>
      </w:r>
      <w:r>
        <w:t xml:space="preserve">constitui o peso morto. Note que a magnitude do peso morto depende crucialmente de dois fatores: (i) o tamanho da cunha entre CMg privado e CMg social (ou seja, a magnitude do custo marginal externo) e (ii) a distância entre</w:t>
      </w:r>
      <w:r>
        <w:t xml:space="preserve"> </w:t>
      </w:r>
      <m:oMath>
        <m:sSup>
          <m:e>
            <m:r>
              <m:t>q</m:t>
            </m:r>
          </m:e>
          <m:sup>
            <m:r>
              <m:t>p</m:t>
            </m:r>
            <m:r>
              <m:t>r</m:t>
            </m:r>
            <m:r>
              <m:t>i</m:t>
            </m:r>
            <m:r>
              <m:t>v</m:t>
            </m:r>
          </m:sup>
        </m:sSup>
      </m:oMath>
      <w:r>
        <w:t xml:space="preserve"> </w:t>
      </w:r>
      <w:r>
        <w:t xml:space="preserve">e</w:t>
      </w:r>
      <w:r>
        <w:t xml:space="preserve"> </w:t>
      </w:r>
      <m:oMath>
        <m:sSup>
          <m:e>
            <m:r>
              <m:t>q</m:t>
            </m:r>
          </m:e>
          <m:sup>
            <m:r>
              <m:t>s</m:t>
            </m:r>
            <m:r>
              <m:t>o</m:t>
            </m:r>
            <m:r>
              <m:t>c</m:t>
            </m:r>
          </m:sup>
        </m:sSup>
      </m:oMath>
      <w:r>
        <w:t xml:space="preserve">, que por sua vez depende das</w:t>
      </w:r>
      <w:r>
        <w:t xml:space="preserve"> </w:t>
      </w:r>
      <w:r>
        <w:rPr>
          <w:b/>
          <w:bCs/>
        </w:rPr>
        <w:t xml:space="preserve">elasticidades</w:t>
      </w:r>
      <w:r>
        <w:t xml:space="preserve"> </w:t>
      </w:r>
      <w:r>
        <w:t xml:space="preserve">das curvas de oferta e demanda. Se a oferta privada for muito inelástica (CMg privado muito inclinado), a sobreprodução será pequena mesmo com um custo externo grande, pois a quantidade responde pouco à divergência. Inversamente, se a oferta for elástica, um custo externo modesto pode gerar uma distorção quantitativa — e um peso morto — substancial. Essa relação entre elasticidades e magnitude da ineficiência tem implicações diretas para a política pública: setores com oferta elástica e externalidades significativas são os candidatos prioritários à intervenção regulatória.</w:t>
      </w:r>
    </w:p>
    <w:p>
      <w:r>
        <w:pict>
          <v:rect style="width:0;height:1.5pt" o:hralign="center" o:hrstd="t" o:hr="t"/>
        </w:pict>
      </w:r>
    </w:p>
    <w:p>
      <w:pPr>
        <w:pStyle w:val="FirstParagraph"/>
      </w:pPr>
      <w:r>
        <w:t xml:space="preserve">[FIGURA INTERATIVA: /micro-book/graficos/cap20/externalidade-negativa.html — versao interativa disponivel online]</w:t>
      </w:r>
    </w:p>
    <w:p>
      <w:pPr>
        <w:pStyle w:val="BodyText"/>
      </w:pPr>
      <w:r>
        <w:rPr>
          <w:b/>
          <w:bCs/>
        </w:rPr>
        <w:t xml:space="preserve">Figura 20.1 — Externalidade negativa e imposto pigouviano.</w:t>
      </w:r>
      <w:r>
        <w:t xml:space="preserve"> </w:t>
      </w:r>
      <w:r>
        <w:t xml:space="preserve">A curva vermelha (CMg social) inclui o custo externo. A área sombreada representa a perda de peso morto da sobreprodução. O imposto pigouviano ótimo iguala o custo marginal externo no ótimo social.</w:t>
      </w:r>
    </w:p>
    <w:bookmarkEnd w:id="1247"/>
    <w:bookmarkStart w:id="1252" w:name="Xcc641954099c249e0e4ef0402da3fd0364d95f0"/>
    <w:p>
      <w:pPr>
        <w:pStyle w:val="Heading3"/>
      </w:pPr>
      <w:r>
        <w:t xml:space="preserve">20.4 A Receita para a Fumaça: Soluções para Externalidades Negativas</w:t>
      </w:r>
    </w:p>
    <w:bookmarkStart w:id="1248" w:name="imposto-pigouviano"/>
    <w:p>
      <w:pPr>
        <w:pStyle w:val="Heading4"/>
      </w:pPr>
      <w:r>
        <w:t xml:space="preserve">20.4.1 Imposto Pigouviano</w:t>
      </w:r>
    </w:p>
    <w:p>
      <w:pPr>
        <w:pStyle w:val="BlockText"/>
      </w:pPr>
      <w:r>
        <w:rPr>
          <w:b/>
          <w:bCs/>
        </w:rPr>
        <w:t xml:space="preserve">[DEFINICAO] Imposto Pigouviano</w:t>
      </w:r>
    </w:p>
    <w:p>
      <w:pPr>
        <w:pStyle w:val="BlockText"/>
      </w:pPr>
      <w:r>
        <w:t xml:space="preserve">Imposto por unidade de produção (ou de emissão) igual ao</w:t>
      </w:r>
      <w:r>
        <w:t xml:space="preserve"> </w:t>
      </w:r>
      <w:r>
        <w:rPr>
          <w:b/>
          <w:bCs/>
        </w:rPr>
        <w:t xml:space="preserve">custo marginal externo</w:t>
      </w:r>
      <w:r>
        <w:t xml:space="preserve"> </w:t>
      </w:r>
      <w:r>
        <w:t xml:space="preserve">avaliado no ótimo social. Nomeado em homenagem a Arthur Cecil Pigou (1920), que primeiro propôs essa correção.</w:t>
      </w:r>
    </w:p>
    <w:p>
      <w:pPr>
        <w:pStyle w:val="FirstParagraph"/>
      </w:pPr>
      <w:r>
        <w:t xml:space="preserve">O imposto</w:t>
      </w:r>
      <w:r>
        <w:t xml:space="preserve"> </w:t>
      </w:r>
      <m:oMath>
        <m:sSup>
          <m:e>
            <m:r>
              <m:t>t</m:t>
            </m:r>
          </m:e>
          <m:sup>
            <m:r>
              <m:rPr>
                <m:sty m:val="p"/>
              </m:rPr>
              <m:t>*</m:t>
            </m:r>
          </m:sup>
        </m:sSup>
      </m:oMath>
      <w:r>
        <w:t xml:space="preserve"> </w:t>
      </w:r>
      <w:r>
        <w:t xml:space="preserve">é definido como:</w:t>
      </w:r>
    </w:p>
    <w:p>
      <w:pPr>
        <w:pStyle w:val="BodyText"/>
      </w:pPr>
      <m:oMathPara>
        <m:oMathParaPr>
          <m:jc m:val="center"/>
        </m:oMathParaPr>
        <m:oMath>
          <m:sSup>
            <m:e>
              <m:r>
                <m:t>t</m:t>
              </m:r>
            </m:e>
            <m:sup>
              <m:r>
                <m:rPr>
                  <m:sty m:val="p"/>
                </m:rPr>
                <m:t>*</m:t>
              </m:r>
            </m:sup>
          </m:sSup>
          <m:r>
            <m:rPr>
              <m:sty m:val="p"/>
            </m:rPr>
            <m:t>=</m:t>
          </m:r>
          <m:sSup>
            <m:e>
              <m:r>
                <m:t>E</m:t>
              </m:r>
            </m:e>
            <m:sup>
              <m:r>
                <m:rPr>
                  <m:sty m:val="p"/>
                </m:rPr>
                <m:t>′</m:t>
              </m:r>
            </m:sup>
          </m:sSup>
          <m:r>
            <m:rPr>
              <m:sty m:val="p"/>
            </m:rPr>
            <m:t>(</m:t>
          </m:r>
          <m:sSup>
            <m:e>
              <m:r>
                <m:t>q</m:t>
              </m:r>
            </m:e>
            <m:sup>
              <m:r>
                <m:t>s</m:t>
              </m:r>
              <m:r>
                <m:t>o</m:t>
              </m:r>
              <m:r>
                <m:t>c</m:t>
              </m:r>
            </m:sup>
          </m:sSup>
          <m:r>
            <m:rPr>
              <m:sty m:val="p"/>
            </m:rPr>
            <m:t>)</m:t>
          </m:r>
          <m:r>
            <m:rPr>
              <m:sty m:val="p"/>
            </m:rPr>
            <m:t>=</m:t>
          </m:r>
          <m:sSub>
            <m:e>
              <m:d>
                <m:dPr>
                  <m:begChr m:val=""/>
                  <m:sepChr m:val=""/>
                  <m:endChr m:val="|"/>
                  <m:grow/>
                </m:dPr>
                <m:e>
                  <m:f>
                    <m:fPr>
                      <m:type m:val="bar"/>
                    </m:fPr>
                    <m:num>
                      <m:r>
                        <m:rPr>
                          <m:sty m:val="p"/>
                        </m:rPr>
                        <m:t>∂</m:t>
                      </m:r>
                      <m:sSub>
                        <m:e>
                          <m:r>
                            <m:t>C</m:t>
                          </m:r>
                        </m:e>
                        <m:sub>
                          <m:r>
                            <m:t>2</m:t>
                          </m:r>
                        </m:sub>
                      </m:sSub>
                    </m:num>
                    <m:den>
                      <m:r>
                        <m:rPr>
                          <m:sty m:val="p"/>
                        </m:rPr>
                        <m:t>∂</m:t>
                      </m:r>
                      <m:r>
                        <m:t>e</m:t>
                      </m:r>
                    </m:den>
                  </m:f>
                  <m:r>
                    <m:rPr>
                      <m:sty m:val="p"/>
                    </m:rPr>
                    <m:t>⋅</m:t>
                  </m:r>
                  <m:sSup>
                    <m:e>
                      <m:r>
                        <m:t>e</m:t>
                      </m:r>
                    </m:e>
                    <m:sup>
                      <m:r>
                        <m:rPr>
                          <m:sty m:val="p"/>
                        </m:rPr>
                        <m:t>′</m:t>
                      </m:r>
                    </m:sup>
                  </m:sSup>
                  <m:r>
                    <m:rPr>
                      <m:sty m:val="p"/>
                    </m:rPr>
                    <m:t>(</m:t>
                  </m:r>
                  <m:sSub>
                    <m:e>
                      <m:r>
                        <m:t>q</m:t>
                      </m:r>
                    </m:e>
                    <m:sub>
                      <m:r>
                        <m:t>1</m:t>
                      </m:r>
                    </m:sub>
                  </m:sSub>
                  <m:r>
                    <m:rPr>
                      <m:sty m:val="p"/>
                    </m:rPr>
                    <m:t>)</m:t>
                  </m:r>
                </m:e>
              </m:d>
            </m:e>
            <m:sub>
              <m:sSub>
                <m:e>
                  <m:r>
                    <m:t>q</m:t>
                  </m:r>
                </m:e>
                <m:sub>
                  <m:r>
                    <m:t>1</m:t>
                  </m:r>
                </m:sub>
              </m:sSub>
              <m:r>
                <m:rPr>
                  <m:sty m:val="p"/>
                </m:rPr>
                <m:t>=</m:t>
              </m:r>
              <m:sSubSup>
                <m:e>
                  <m:r>
                    <m:t>q</m:t>
                  </m:r>
                </m:e>
                <m:sub>
                  <m:r>
                    <m:t>1</m:t>
                  </m:r>
                </m:sub>
                <m:sup>
                  <m:r>
                    <m:t>s</m:t>
                  </m:r>
                  <m:r>
                    <m:t>o</m:t>
                  </m:r>
                  <m:r>
                    <m:t>c</m:t>
                  </m:r>
                </m:sup>
              </m:sSubSup>
            </m:sub>
          </m:sSub>
        </m:oMath>
      </m:oMathPara>
    </w:p>
    <w:p>
      <w:pPr>
        <w:pStyle w:val="FirstParagraph"/>
      </w:pPr>
      <w:r>
        <w:t xml:space="preserve">Com o imposto, a firma poluidora resolve:</w:t>
      </w:r>
    </w:p>
    <w:p>
      <w:pPr>
        <w:pStyle w:val="BodyText"/>
      </w:pPr>
      <m:oMathPara>
        <m:oMathParaPr>
          <m:jc m:val="center"/>
        </m:oMathParaPr>
        <m:oMath>
          <m:limLow>
            <m:e>
              <m:r>
                <m:rPr>
                  <m:sty m:val="p"/>
                </m:rPr>
                <m:t>max</m:t>
              </m:r>
            </m:e>
            <m:lim>
              <m:sSub>
                <m:e>
                  <m:r>
                    <m:t>q</m:t>
                  </m:r>
                </m:e>
                <m:sub>
                  <m:r>
                    <m:t>1</m:t>
                  </m:r>
                </m:sub>
              </m:sSub>
            </m:lim>
          </m:limLow>
          <m:r>
            <m:t> </m:t>
          </m:r>
          <m:sSub>
            <m:e>
              <m:r>
                <m:t>p</m:t>
              </m:r>
            </m:e>
            <m:sub>
              <m:r>
                <m:t>1</m:t>
              </m:r>
            </m:sub>
          </m:sSub>
          <m:sSub>
            <m:e>
              <m:r>
                <m:t>q</m:t>
              </m:r>
            </m:e>
            <m:sub>
              <m:r>
                <m:t>1</m:t>
              </m:r>
            </m:sub>
          </m:sSub>
          <m:r>
            <m:rPr>
              <m:sty m:val="p"/>
            </m:rPr>
            <m:t>−</m:t>
          </m:r>
          <m:sSub>
            <m:e>
              <m:r>
                <m:t>C</m:t>
              </m:r>
            </m:e>
            <m:sub>
              <m:r>
                <m:t>1</m:t>
              </m:r>
            </m:sub>
          </m:sSub>
          <m:r>
            <m:rPr>
              <m:sty m:val="p"/>
            </m:rPr>
            <m:t>(</m:t>
          </m:r>
          <m:sSub>
            <m:e>
              <m:r>
                <m:t>q</m:t>
              </m:r>
            </m:e>
            <m:sub>
              <m:r>
                <m:t>1</m:t>
              </m:r>
            </m:sub>
          </m:sSub>
          <m:r>
            <m:rPr>
              <m:sty m:val="p"/>
            </m:rPr>
            <m:t>)</m:t>
          </m:r>
          <m:r>
            <m:rPr>
              <m:sty m:val="p"/>
            </m:rPr>
            <m:t>−</m:t>
          </m:r>
          <m:sSup>
            <m:e>
              <m:r>
                <m:t>t</m:t>
              </m:r>
            </m:e>
            <m:sup>
              <m:r>
                <m:rPr>
                  <m:sty m:val="p"/>
                </m:rPr>
                <m:t>*</m:t>
              </m:r>
            </m:sup>
          </m:sSup>
          <m:sSub>
            <m:e>
              <m:r>
                <m:t>q</m:t>
              </m:r>
            </m:e>
            <m:sub>
              <m:r>
                <m:t>1</m:t>
              </m:r>
            </m:sub>
          </m:sSub>
        </m:oMath>
      </m:oMathPara>
    </w:p>
    <w:p>
      <w:pPr>
        <w:pStyle w:val="FirstParagraph"/>
      </w:pPr>
      <w:r>
        <w:t xml:space="preserve">Condição de primeira ordem:</w:t>
      </w:r>
    </w:p>
    <w:p>
      <w:pPr>
        <w:pStyle w:val="BodyText"/>
      </w:pPr>
      <m:oMathPara>
        <m:oMathParaPr>
          <m:jc m:val="center"/>
        </m:oMathParaPr>
        <m:oMath>
          <m:sSub>
            <m:e>
              <m:r>
                <m:t>p</m:t>
              </m:r>
            </m:e>
            <m:sub>
              <m:r>
                <m:t>1</m:t>
              </m:r>
            </m:sub>
          </m:sSub>
          <m:r>
            <m:rPr>
              <m:sty m:val="p"/>
            </m:rPr>
            <m:t>=</m:t>
          </m:r>
          <m:sSubSup>
            <m:e>
              <m:r>
                <m:t>C</m:t>
              </m:r>
            </m:e>
            <m:sub>
              <m:r>
                <m:t>1</m:t>
              </m:r>
            </m:sub>
            <m:sup>
              <m:r>
                <m:rPr>
                  <m:sty m:val="p"/>
                </m:rPr>
                <m:t>′</m:t>
              </m:r>
            </m:sup>
          </m:sSubSup>
          <m:r>
            <m:rPr>
              <m:sty m:val="p"/>
            </m:rPr>
            <m:t>(</m:t>
          </m:r>
          <m:sSub>
            <m:e>
              <m:r>
                <m:t>q</m:t>
              </m:r>
            </m:e>
            <m:sub>
              <m:r>
                <m:t>1</m:t>
              </m:r>
            </m:sub>
          </m:sSub>
          <m:r>
            <m:rPr>
              <m:sty m:val="p"/>
            </m:rPr>
            <m:t>)</m:t>
          </m:r>
          <m:r>
            <m:rPr>
              <m:sty m:val="p"/>
            </m:rPr>
            <m:t>+</m:t>
          </m:r>
          <m:sSup>
            <m:e>
              <m:r>
                <m:t>t</m:t>
              </m:r>
            </m:e>
            <m:sup>
              <m:r>
                <m:rPr>
                  <m:sty m:val="p"/>
                </m:rPr>
                <m:t>*</m:t>
              </m:r>
            </m:sup>
          </m:sSup>
        </m:oMath>
      </m:oMathPara>
    </w:p>
    <w:p>
      <w:pPr>
        <w:pStyle w:val="FirstParagraph"/>
      </w:pPr>
      <w:r>
        <w:t xml:space="preserve">Como</w:t>
      </w:r>
      <w:r>
        <w:t xml:space="preserve"> </w:t>
      </w:r>
      <m:oMath>
        <m:sSup>
          <m:e>
            <m:r>
              <m:t>t</m:t>
            </m:r>
          </m:e>
          <m:sup>
            <m:r>
              <m:rPr>
                <m:sty m:val="p"/>
              </m:rPr>
              <m:t>*</m:t>
            </m:r>
          </m:sup>
        </m:sSup>
        <m:r>
          <m:rPr>
            <m:sty m:val="p"/>
          </m:rPr>
          <m:t>=</m:t>
        </m:r>
        <m:sSup>
          <m:e>
            <m:r>
              <m:t>E</m:t>
            </m:r>
          </m:e>
          <m:sup>
            <m:r>
              <m:rPr>
                <m:sty m:val="p"/>
              </m:rPr>
              <m:t>′</m:t>
            </m:r>
          </m:sup>
        </m:sSup>
        <m:r>
          <m:rPr>
            <m:sty m:val="p"/>
          </m:rPr>
          <m:t>(</m:t>
        </m:r>
        <m:sSup>
          <m:e>
            <m:r>
              <m:t>q</m:t>
            </m:r>
          </m:e>
          <m:sup>
            <m:r>
              <m:t>s</m:t>
            </m:r>
            <m:r>
              <m:t>o</m:t>
            </m:r>
            <m:r>
              <m:t>c</m:t>
            </m:r>
          </m:sup>
        </m:sSup>
        <m:r>
          <m:rPr>
            <m:sty m:val="p"/>
          </m:rPr>
          <m:t>)</m:t>
        </m:r>
      </m:oMath>
      <w:r>
        <w:t xml:space="preserve">, a firma internaliza o custo externo e produz</w:t>
      </w:r>
      <w:r>
        <w:t xml:space="preserve"> </w:t>
      </w:r>
      <m:oMath>
        <m:sSubSup>
          <m:e>
            <m:r>
              <m:t>q</m:t>
            </m:r>
          </m:e>
          <m:sub>
            <m:r>
              <m:t>1</m:t>
            </m:r>
          </m:sub>
          <m:sup>
            <m:r>
              <m:t>s</m:t>
            </m:r>
            <m:r>
              <m:t>o</m:t>
            </m:r>
            <m:r>
              <m:t>c</m:t>
            </m:r>
          </m:sup>
        </m:sSubSup>
      </m:oMath>
      <w:r>
        <w:t xml:space="preserve">.</w:t>
      </w:r>
    </w:p>
    <w:p>
      <w:pPr>
        <w:pStyle w:val="BlockText"/>
      </w:pPr>
      <w:r>
        <w:rPr>
          <w:b/>
          <w:bCs/>
        </w:rPr>
        <w:t xml:space="preserve">[DEMONSTRACAO] Demonstração: O Imposto Pigouviano Ótimo Restaura a Eficiência</w:t>
      </w:r>
    </w:p>
    <w:p>
      <w:pPr>
        <w:pStyle w:val="BlockText"/>
      </w:pPr>
      <w:r>
        <w:rPr>
          <w:b/>
          <w:bCs/>
        </w:rPr>
        <w:t xml:space="preserve">Objetivo</w:t>
      </w:r>
      <w:r>
        <w:t xml:space="preserve">: Mostrar que um imposto</w:t>
      </w:r>
      <w:r>
        <w:t xml:space="preserve"> </w:t>
      </w:r>
      <m:oMath>
        <m:sSup>
          <m:e>
            <m:r>
              <m:t>t</m:t>
            </m:r>
          </m:e>
          <m:sup>
            <m:r>
              <m:rPr>
                <m:sty m:val="p"/>
              </m:rPr>
              <m:t>*</m:t>
            </m:r>
          </m:sup>
        </m:sSup>
      </m:oMath>
      <w:r>
        <w:t xml:space="preserve"> </w:t>
      </w:r>
      <w:r>
        <w:t xml:space="preserve">igual ao custo marginal externo no ótimo social induz a firma poluidora a escolher o nível de produção socialmente eficiente.</w:t>
      </w:r>
    </w:p>
    <w:p>
      <w:pPr>
        <w:pStyle w:val="BlockText"/>
      </w:pPr>
      <w:r>
        <w:rPr>
          <w:b/>
          <w:bCs/>
        </w:rPr>
        <w:t xml:space="preserve">Configuração</w:t>
      </w:r>
      <w:r>
        <w:t xml:space="preserve">: Considere uma economia com uma firma poluidora que produz</w:t>
      </w:r>
      <w:r>
        <w:t xml:space="preserve"> </w:t>
      </w:r>
      <m:oMath>
        <m:r>
          <m:t>q</m:t>
        </m:r>
      </m:oMath>
      <w:r>
        <w:t xml:space="preserve"> </w:t>
      </w:r>
      <w:r>
        <w:t xml:space="preserve">unidades de um bem ao preço</w:t>
      </w:r>
      <w:r>
        <w:t xml:space="preserve"> </w:t>
      </w:r>
      <m:oMath>
        <m:r>
          <m:t>P</m:t>
        </m:r>
      </m:oMath>
      <w:r>
        <w:t xml:space="preserve">. O custo privado de produção é</w:t>
      </w:r>
      <w:r>
        <w:t xml:space="preserve"> </w:t>
      </w:r>
      <m:oMath>
        <m:r>
          <m:t>C</m:t>
        </m:r>
        <m:r>
          <m:rPr>
            <m:sty m:val="p"/>
          </m:rPr>
          <m:t>(</m:t>
        </m:r>
        <m:r>
          <m:t>q</m:t>
        </m:r>
        <m:r>
          <m:rPr>
            <m:sty m:val="p"/>
          </m:rPr>
          <m:t>)</m:t>
        </m:r>
      </m:oMath>
      <w:r>
        <w:t xml:space="preserve">, com</w:t>
      </w:r>
      <w:r>
        <w:t xml:space="preserve"> </w:t>
      </w:r>
      <m:oMath>
        <m:sSup>
          <m:e>
            <m:r>
              <m:t>C</m:t>
            </m:r>
          </m:e>
          <m:sup>
            <m:r>
              <m:rPr>
                <m:sty m:val="p"/>
              </m:rPr>
              <m:t>′</m:t>
            </m:r>
          </m:sup>
        </m:sSup>
        <m:r>
          <m:rPr>
            <m:sty m:val="p"/>
          </m:rPr>
          <m:t>(</m:t>
        </m:r>
        <m:r>
          <m:t>q</m:t>
        </m:r>
        <m:r>
          <m:rPr>
            <m:sty m:val="p"/>
          </m:rPr>
          <m:t>)</m:t>
        </m:r>
        <m:r>
          <m:rPr>
            <m:sty m:val="p"/>
          </m:rPr>
          <m:t>&gt;</m:t>
        </m:r>
        <m:r>
          <m:t>0</m:t>
        </m:r>
      </m:oMath>
      <w:r>
        <w:t xml:space="preserve"> </w:t>
      </w:r>
      <w:r>
        <w:t xml:space="preserve">e</w:t>
      </w:r>
      <w:r>
        <w:t xml:space="preserve"> </w:t>
      </w:r>
      <m:oMath>
        <m:sSup>
          <m:e>
            <m:r>
              <m:t>C</m:t>
            </m:r>
          </m:e>
          <m:sup>
            <m:r>
              <m:rPr>
                <m:sty m:val="p"/>
              </m:rPr>
              <m:t>″</m:t>
            </m:r>
          </m:sup>
        </m:sSup>
        <m:r>
          <m:rPr>
            <m:sty m:val="p"/>
          </m:rPr>
          <m:t>(</m:t>
        </m:r>
        <m:r>
          <m:t>q</m:t>
        </m:r>
        <m:r>
          <m:rPr>
            <m:sty m:val="p"/>
          </m:rPr>
          <m:t>)</m:t>
        </m:r>
        <m:r>
          <m:rPr>
            <m:sty m:val="p"/>
          </m:rPr>
          <m:t>&gt;</m:t>
        </m:r>
        <m:r>
          <m:t>0</m:t>
        </m:r>
      </m:oMath>
      <w:r>
        <w:t xml:space="preserve">. A produção gera um custo externo</w:t>
      </w:r>
      <w:r>
        <w:t xml:space="preserve"> </w:t>
      </w:r>
      <m:oMath>
        <m:r>
          <m:t>E</m:t>
        </m:r>
        <m:r>
          <m:rPr>
            <m:sty m:val="p"/>
          </m:rPr>
          <m:t>(</m:t>
        </m:r>
        <m:r>
          <m:t>q</m:t>
        </m:r>
        <m:r>
          <m:rPr>
            <m:sty m:val="p"/>
          </m:rPr>
          <m:t>)</m:t>
        </m:r>
      </m:oMath>
      <w:r>
        <w:t xml:space="preserve">, com</w:t>
      </w:r>
      <w:r>
        <w:t xml:space="preserve"> </w:t>
      </w:r>
      <m:oMath>
        <m:sSup>
          <m:e>
            <m:r>
              <m:t>E</m:t>
            </m:r>
          </m:e>
          <m:sup>
            <m:r>
              <m:rPr>
                <m:sty m:val="p"/>
              </m:rPr>
              <m:t>′</m:t>
            </m:r>
          </m:sup>
        </m:sSup>
        <m:r>
          <m:rPr>
            <m:sty m:val="p"/>
          </m:rPr>
          <m:t>(</m:t>
        </m:r>
        <m:r>
          <m:t>q</m:t>
        </m:r>
        <m:r>
          <m:rPr>
            <m:sty m:val="p"/>
          </m:rPr>
          <m:t>)</m:t>
        </m:r>
        <m:r>
          <m:rPr>
            <m:sty m:val="p"/>
          </m:rPr>
          <m:t>&gt;</m:t>
        </m:r>
        <m:r>
          <m:t>0</m:t>
        </m:r>
      </m:oMath>
      <w:r>
        <w:t xml:space="preserve"> </w:t>
      </w:r>
      <w:r>
        <w:t xml:space="preserve">e</w:t>
      </w:r>
      <w:r>
        <w:t xml:space="preserve"> </w:t>
      </w:r>
      <m:oMath>
        <m:sSup>
          <m:e>
            <m:r>
              <m:t>E</m:t>
            </m:r>
          </m:e>
          <m:sup>
            <m:r>
              <m:rPr>
                <m:sty m:val="p"/>
              </m:rPr>
              <m:t>″</m:t>
            </m:r>
          </m:sup>
        </m:sSup>
        <m:r>
          <m:rPr>
            <m:sty m:val="p"/>
          </m:rPr>
          <m:t>(</m:t>
        </m:r>
        <m:r>
          <m:t>q</m:t>
        </m:r>
        <m:r>
          <m:rPr>
            <m:sty m:val="p"/>
          </m:rPr>
          <m:t>)</m:t>
        </m:r>
        <m:r>
          <m:rPr>
            <m:sty m:val="p"/>
          </m:rPr>
          <m:t>≥</m:t>
        </m:r>
        <m:r>
          <m:t>0</m:t>
        </m:r>
      </m:oMath>
      <w:r>
        <w:t xml:space="preserve">. O benefício social líquido é:</w:t>
      </w:r>
    </w:p>
    <w:p>
      <w:pPr>
        <w:pStyle w:val="BlockText"/>
      </w:pPr>
      <w:r>
        <w:t xml:space="preserve">$$</w:t>
      </w:r>
    </w:p>
    <w:p>
      <w:pPr>
        <w:pStyle w:val="BlockText"/>
      </w:pPr>
      <w:r>
        <w:t xml:space="preserve">W(q) = Pq - C(q) - E(q)</w:t>
      </w:r>
    </w:p>
    <w:p>
      <w:pPr>
        <w:pStyle w:val="BlockText"/>
      </w:pPr>
      <w:r>
        <w:t xml:space="preserve">$$</w:t>
      </w:r>
    </w:p>
    <w:p>
      <w:pPr>
        <w:pStyle w:val="BlockText"/>
      </w:pPr>
      <w:r>
        <w:rPr>
          <w:b/>
          <w:bCs/>
        </w:rPr>
        <w:t xml:space="preserve">Passo 1 — Ótimo social.</w:t>
      </w:r>
      <w:r>
        <w:t xml:space="preserve"> </w:t>
      </w:r>
      <w:r>
        <w:t xml:space="preserve">O planejador maximiza</w:t>
      </w:r>
      <w:r>
        <w:t xml:space="preserve"> </w:t>
      </w:r>
      <m:oMath>
        <m:r>
          <m:t>W</m:t>
        </m:r>
        <m:r>
          <m:rPr>
            <m:sty m:val="p"/>
          </m:rPr>
          <m:t>(</m:t>
        </m:r>
        <m:r>
          <m:t>q</m:t>
        </m:r>
        <m:r>
          <m:rPr>
            <m:sty m:val="p"/>
          </m:rPr>
          <m:t>)</m:t>
        </m:r>
      </m:oMath>
      <w:r>
        <w:t xml:space="preserve">:</w:t>
      </w:r>
    </w:p>
    <w:p>
      <w:pPr>
        <w:pStyle w:val="BlockText"/>
      </w:pPr>
      <w:r>
        <w:t xml:space="preserve">$$</w:t>
      </w:r>
    </w:p>
    <w:p>
      <w:pPr>
        <w:pStyle w:val="BlockText"/>
      </w:pPr>
      <w:r>
        <w:t xml:space="preserve"> </w:t>
      </w:r>
      <w:r>
        <w:t xml:space="preserve">= P - C’(q) - E’(q) = 0</w:t>
      </w:r>
    </w:p>
    <w:p>
      <w:pPr>
        <w:pStyle w:val="BlockText"/>
      </w:pPr>
      <w:r>
        <w:t xml:space="preserve">$$</w:t>
      </w:r>
    </w:p>
    <w:p>
      <w:pPr>
        <w:pStyle w:val="BlockText"/>
      </w:pPr>
      <w:r>
        <w:t xml:space="preserve">Logo, o nível ótimo</w:t>
      </w:r>
      <w:r>
        <w:t xml:space="preserve"> </w:t>
      </w:r>
      <m:oMath>
        <m:sSup>
          <m:e>
            <m:r>
              <m:t>q</m:t>
            </m:r>
          </m:e>
          <m:sup>
            <m:r>
              <m:rPr>
                <m:sty m:val="p"/>
              </m:rPr>
              <m:t>*</m:t>
            </m:r>
          </m:sup>
        </m:sSup>
      </m:oMath>
      <w:r>
        <w:t xml:space="preserve"> </w:t>
      </w:r>
      <w:r>
        <w:t xml:space="preserve">satisfaz:</w:t>
      </w:r>
    </w:p>
    <w:p>
      <w:pPr>
        <w:pStyle w:val="BlockText"/>
      </w:pPr>
      <w:r>
        <w:t xml:space="preserve">$$</w:t>
      </w:r>
    </w:p>
    <w:p>
      <w:pPr>
        <w:pStyle w:val="BlockText"/>
      </w:pPr>
      <w:r>
        <w:t xml:space="preserve">P = C’(q^</w:t>
      </w:r>
      <w:r>
        <w:rPr>
          <w:i/>
          <w:iCs/>
        </w:rPr>
        <w:t xml:space="preserve">) + E’(q^</w:t>
      </w:r>
      <w:r>
        <w:t xml:space="preserve">)</w:t>
      </w:r>
      <w:r>
        <w:t xml:space="preserve"> </w:t>
      </w:r>
    </w:p>
    <w:p>
      <w:pPr>
        <w:pStyle w:val="BlockText"/>
      </w:pPr>
      <w:r>
        <w:t xml:space="preserve">$$</w:t>
      </w:r>
    </w:p>
    <w:p>
      <w:pPr>
        <w:pStyle w:val="BlockText"/>
      </w:pPr>
      <w:r>
        <w:rPr>
          <w:b/>
          <w:bCs/>
        </w:rPr>
        <w:t xml:space="preserve">Passo 2 — Equilíbrio privado sem imposto.</w:t>
      </w:r>
      <w:r>
        <w:t xml:space="preserve"> </w:t>
      </w:r>
      <w:r>
        <w:t xml:space="preserve">A firma maximiza</w:t>
      </w:r>
      <w:r>
        <w:t xml:space="preserve"> </w:t>
      </w:r>
      <m:oMath>
        <m:r>
          <m:t>π</m:t>
        </m:r>
        <m:r>
          <m:rPr>
            <m:sty m:val="p"/>
          </m:rPr>
          <m:t>(</m:t>
        </m:r>
        <m:r>
          <m:t>q</m:t>
        </m:r>
        <m:r>
          <m:rPr>
            <m:sty m:val="p"/>
          </m:rPr>
          <m:t>)</m:t>
        </m:r>
        <m:r>
          <m:rPr>
            <m:sty m:val="p"/>
          </m:rPr>
          <m:t>=</m:t>
        </m:r>
        <m:r>
          <m:t>P</m:t>
        </m:r>
        <m:r>
          <m:t>q</m:t>
        </m:r>
        <m:r>
          <m:rPr>
            <m:sty m:val="p"/>
          </m:rPr>
          <m:t>−</m:t>
        </m:r>
        <m:r>
          <m:t>C</m:t>
        </m:r>
        <m:r>
          <m:rPr>
            <m:sty m:val="p"/>
          </m:rPr>
          <m:t>(</m:t>
        </m:r>
        <m:r>
          <m:t>q</m:t>
        </m:r>
        <m:r>
          <m:rPr>
            <m:sty m:val="p"/>
          </m:rPr>
          <m:t>)</m:t>
        </m:r>
      </m:oMath>
      <w:r>
        <w:t xml:space="preserve">:</w:t>
      </w:r>
    </w:p>
    <w:p>
      <w:pPr>
        <w:pStyle w:val="BlockText"/>
      </w:pPr>
      <w:r>
        <w:t xml:space="preserve">$$</w:t>
      </w:r>
    </w:p>
    <w:p>
      <w:pPr>
        <w:pStyle w:val="BlockText"/>
      </w:pPr>
      <w:r>
        <w:t xml:space="preserve">P = C’(q^{priv})</w:t>
      </w:r>
      <w:r>
        <w:t xml:space="preserve"> </w:t>
      </w:r>
    </w:p>
    <w:p>
      <w:pPr>
        <w:pStyle w:val="BlockText"/>
      </w:pPr>
      <w:r>
        <w:t xml:space="preserve">$$</w:t>
      </w:r>
    </w:p>
    <w:p>
      <w:pPr>
        <w:pStyle w:val="BlockText"/>
      </w:pPr>
      <w:r>
        <w:t xml:space="preserve">Como</w:t>
      </w:r>
      <w:r>
        <w:t xml:space="preserve"> </w:t>
      </w:r>
      <m:oMath>
        <m:sSup>
          <m:e>
            <m:r>
              <m:t>E</m:t>
            </m:r>
          </m:e>
          <m:sup>
            <m:r>
              <m:rPr>
                <m:sty m:val="p"/>
              </m:rPr>
              <m:t>′</m:t>
            </m:r>
          </m:sup>
        </m:sSup>
        <m:r>
          <m:rPr>
            <m:sty m:val="p"/>
          </m:rPr>
          <m:t>(</m:t>
        </m:r>
        <m:r>
          <m:t>q</m:t>
        </m:r>
        <m:r>
          <m:rPr>
            <m:sty m:val="p"/>
          </m:rPr>
          <m:t>)</m:t>
        </m:r>
        <m:r>
          <m:rPr>
            <m:sty m:val="p"/>
          </m:rPr>
          <m:t>&gt;</m:t>
        </m:r>
        <m:r>
          <m:t>0</m:t>
        </m:r>
      </m:oMath>
      <w:r>
        <w:t xml:space="preserve">, comparando (i) e (ii), e dado que</w:t>
      </w:r>
      <w:r>
        <w:t xml:space="preserve"> </w:t>
      </w:r>
      <m:oMath>
        <m:sSup>
          <m:e>
            <m:r>
              <m:t>C</m:t>
            </m:r>
          </m:e>
          <m:sup>
            <m:r>
              <m:rPr>
                <m:sty m:val="p"/>
              </m:rPr>
              <m:t>″</m:t>
            </m:r>
          </m:sup>
        </m:sSup>
        <m:r>
          <m:rPr>
            <m:sty m:val="p"/>
          </m:rPr>
          <m:t>(</m:t>
        </m:r>
        <m:r>
          <m:t>q</m:t>
        </m:r>
        <m:r>
          <m:rPr>
            <m:sty m:val="p"/>
          </m:rPr>
          <m:t>)</m:t>
        </m:r>
        <m:r>
          <m:rPr>
            <m:sty m:val="p"/>
          </m:rPr>
          <m:t>&gt;</m:t>
        </m:r>
        <m:r>
          <m:t>0</m:t>
        </m:r>
      </m:oMath>
      <w:r>
        <w:t xml:space="preserve">, temos</w:t>
      </w:r>
      <w:r>
        <w:t xml:space="preserve"> </w:t>
      </w:r>
      <m:oMath>
        <m:sSup>
          <m:e>
            <m:r>
              <m:t>q</m:t>
            </m:r>
          </m:e>
          <m:sup>
            <m:r>
              <m:t>p</m:t>
            </m:r>
            <m:r>
              <m:t>r</m:t>
            </m:r>
            <m:r>
              <m:t>i</m:t>
            </m:r>
            <m:r>
              <m:t>v</m:t>
            </m:r>
          </m:sup>
        </m:sSup>
        <m:r>
          <m:rPr>
            <m:sty m:val="p"/>
          </m:rPr>
          <m:t>&gt;</m:t>
        </m:r>
        <m:sSup>
          <m:e>
            <m:r>
              <m:t>q</m:t>
            </m:r>
          </m:e>
          <m:sup>
            <m:r>
              <m:rPr>
                <m:sty m:val="p"/>
              </m:rPr>
              <m:t>*</m:t>
            </m:r>
          </m:sup>
        </m:sSup>
      </m:oMath>
      <w:r>
        <w:t xml:space="preserve">. A firma produz em excesso.</w:t>
      </w:r>
    </w:p>
    <w:p>
      <w:pPr>
        <w:pStyle w:val="BlockText"/>
      </w:pPr>
      <w:r>
        <w:rPr>
          <w:b/>
          <w:bCs/>
        </w:rPr>
        <w:t xml:space="preserve">Passo 3 — Introdução do imposto pigouviano.</w:t>
      </w:r>
      <w:r>
        <w:t xml:space="preserve"> </w:t>
      </w:r>
      <w:r>
        <w:t xml:space="preserve">Defina o imposto unitário:</w:t>
      </w:r>
    </w:p>
    <w:p>
      <w:pPr>
        <w:pStyle w:val="BlockText"/>
      </w:pPr>
      <w:r>
        <w:t xml:space="preserve">$$</w:t>
      </w:r>
    </w:p>
    <w:p>
      <w:pPr>
        <w:pStyle w:val="BlockText"/>
      </w:pPr>
      <w:r>
        <w:t xml:space="preserve">t^* = E’(q^*)</w:t>
      </w:r>
    </w:p>
    <w:p>
      <w:pPr>
        <w:pStyle w:val="BlockText"/>
      </w:pPr>
      <w:r>
        <w:t xml:space="preserve">$$</w:t>
      </w:r>
    </w:p>
    <w:p>
      <w:pPr>
        <w:pStyle w:val="BlockText"/>
      </w:pPr>
      <w:r>
        <w:t xml:space="preserve">Com o imposto, o lucro da firma é</w:t>
      </w:r>
      <w:r>
        <w:t xml:space="preserve"> </w:t>
      </w:r>
      <m:oMath>
        <m:sSup>
          <m:e>
            <m:r>
              <m:t>π</m:t>
            </m:r>
          </m:e>
          <m:sup>
            <m:r>
              <m:t>t</m:t>
            </m:r>
          </m:sup>
        </m:sSup>
        <m:r>
          <m:rPr>
            <m:sty m:val="p"/>
          </m:rPr>
          <m:t>(</m:t>
        </m:r>
        <m:r>
          <m:t>q</m:t>
        </m:r>
        <m:r>
          <m:rPr>
            <m:sty m:val="p"/>
          </m:rPr>
          <m:t>)</m:t>
        </m:r>
        <m:r>
          <m:rPr>
            <m:sty m:val="p"/>
          </m:rPr>
          <m:t>=</m:t>
        </m:r>
        <m:r>
          <m:t>P</m:t>
        </m:r>
        <m:r>
          <m:t>q</m:t>
        </m:r>
        <m:r>
          <m:rPr>
            <m:sty m:val="p"/>
          </m:rPr>
          <m:t>−</m:t>
        </m:r>
        <m:r>
          <m:t>C</m:t>
        </m:r>
        <m:r>
          <m:rPr>
            <m:sty m:val="p"/>
          </m:rPr>
          <m:t>(</m:t>
        </m:r>
        <m:r>
          <m:t>q</m:t>
        </m:r>
        <m:r>
          <m:rPr>
            <m:sty m:val="p"/>
          </m:rPr>
          <m:t>)</m:t>
        </m:r>
        <m:r>
          <m:rPr>
            <m:sty m:val="p"/>
          </m:rPr>
          <m:t>−</m:t>
        </m:r>
        <m:sSup>
          <m:e>
            <m:r>
              <m:t>t</m:t>
            </m:r>
          </m:e>
          <m:sup>
            <m:r>
              <m:rPr>
                <m:sty m:val="p"/>
              </m:rPr>
              <m:t>*</m:t>
            </m:r>
          </m:sup>
        </m:sSup>
        <m:r>
          <m:t>q</m:t>
        </m:r>
      </m:oMath>
      <w:r>
        <w:t xml:space="preserve">. A condição de maximização é:</w:t>
      </w:r>
    </w:p>
    <w:p>
      <w:pPr>
        <w:pStyle w:val="BlockText"/>
      </w:pPr>
      <w:r>
        <w:t xml:space="preserve">$$</w:t>
      </w:r>
    </w:p>
    <w:p>
      <w:pPr>
        <w:pStyle w:val="BlockText"/>
      </w:pPr>
      <w:r>
        <w:t xml:space="preserve">P = C’(q^t) + t^* = C’(q^t) + E’(q^*)</w:t>
      </w:r>
      <w:r>
        <w:t xml:space="preserve"> </w:t>
      </w:r>
    </w:p>
    <w:p>
      <w:pPr>
        <w:pStyle w:val="BlockText"/>
      </w:pPr>
      <w:r>
        <w:t xml:space="preserve">$$</w:t>
      </w:r>
    </w:p>
    <w:p>
      <w:pPr>
        <w:pStyle w:val="BlockText"/>
      </w:pPr>
      <w:r>
        <w:rPr>
          <w:b/>
          <w:bCs/>
        </w:rPr>
        <w:t xml:space="preserve">Passo 4 — Comparação.</w:t>
      </w:r>
      <w:r>
        <w:t xml:space="preserve"> </w:t>
      </w:r>
      <w:r>
        <w:t xml:space="preserve">Comparando (iii) com (i), ambas requerem:</w:t>
      </w:r>
    </w:p>
    <w:p>
      <w:pPr>
        <w:pStyle w:val="BlockText"/>
      </w:pPr>
      <w:r>
        <w:t xml:space="preserve">$$</w:t>
      </w:r>
    </w:p>
    <w:p>
      <w:pPr>
        <w:pStyle w:val="BlockText"/>
      </w:pPr>
      <w:r>
        <w:t xml:space="preserve">P - E’(q^*) = C’(q)</w:t>
      </w:r>
    </w:p>
    <w:p>
      <w:pPr>
        <w:pStyle w:val="BlockText"/>
      </w:pPr>
      <w:r>
        <w:t xml:space="preserve">$$</w:t>
      </w:r>
    </w:p>
    <w:p>
      <w:pPr>
        <w:pStyle w:val="BlockText"/>
      </w:pPr>
      <w:r>
        <w:t xml:space="preserve">Como</w:t>
      </w:r>
      <w:r>
        <w:t xml:space="preserve"> </w:t>
      </w:r>
      <m:oMath>
        <m:sSup>
          <m:e>
            <m:r>
              <m:t>C</m:t>
            </m:r>
          </m:e>
          <m:sup>
            <m:r>
              <m:rPr>
                <m:sty m:val="p"/>
              </m:rPr>
              <m:t>′</m:t>
            </m:r>
          </m:sup>
        </m:sSup>
        <m:r>
          <m:rPr>
            <m:sty m:val="p"/>
          </m:rPr>
          <m:t>(</m:t>
        </m:r>
        <m:r>
          <m:rPr>
            <m:sty m:val="p"/>
          </m:rPr>
          <m:t>⋅</m:t>
        </m:r>
        <m:r>
          <m:rPr>
            <m:sty m:val="p"/>
          </m:rPr>
          <m:t>)</m:t>
        </m:r>
      </m:oMath>
      <w:r>
        <w:t xml:space="preserve"> </w:t>
      </w:r>
      <w:r>
        <w:t xml:space="preserve">é estritamente crescente (por</w:t>
      </w:r>
      <w:r>
        <w:t xml:space="preserve"> </w:t>
      </w:r>
      <m:oMath>
        <m:sSup>
          <m:e>
            <m:r>
              <m:t>C</m:t>
            </m:r>
          </m:e>
          <m:sup>
            <m:r>
              <m:rPr>
                <m:sty m:val="p"/>
              </m:rPr>
              <m:t>″</m:t>
            </m:r>
          </m:sup>
        </m:sSup>
        <m:r>
          <m:rPr>
            <m:sty m:val="p"/>
          </m:rPr>
          <m:t>&gt;</m:t>
        </m:r>
        <m:r>
          <m:t>0</m:t>
        </m:r>
      </m:oMath>
      <w:r>
        <w:t xml:space="preserve">), a solução é única:</w:t>
      </w:r>
      <w:r>
        <w:t xml:space="preserve"> </w:t>
      </w:r>
      <m:oMath>
        <m:sSup>
          <m:e>
            <m:r>
              <m:t>q</m:t>
            </m:r>
          </m:e>
          <m:sup>
            <m:r>
              <m:t>t</m:t>
            </m:r>
          </m:sup>
        </m:sSup>
        <m:r>
          <m:rPr>
            <m:sty m:val="p"/>
          </m:rPr>
          <m:t>=</m:t>
        </m:r>
        <m:sSup>
          <m:e>
            <m:r>
              <m:t>q</m:t>
            </m:r>
          </m:e>
          <m:sup>
            <m:r>
              <m:rPr>
                <m:sty m:val="p"/>
              </m:rPr>
              <m:t>*</m:t>
            </m:r>
          </m:sup>
        </m:sSup>
      </m:oMath>
      <w:r>
        <w:t xml:space="preserve">.</w:t>
      </w:r>
    </w:p>
    <w:p>
      <w:pPr>
        <w:pStyle w:val="BlockText"/>
      </w:pPr>
      <w:r>
        <w:rPr>
          <w:b/>
          <w:bCs/>
        </w:rPr>
        <w:t xml:space="preserve">Conclusão.</w:t>
      </w:r>
      <w:r>
        <w:t xml:space="preserve"> </w:t>
      </w:r>
      <w:r>
        <w:t xml:space="preserve">O imposto</w:t>
      </w:r>
      <w:r>
        <w:t xml:space="preserve"> </w:t>
      </w:r>
      <m:oMath>
        <m:sSup>
          <m:e>
            <m:r>
              <m:t>t</m:t>
            </m:r>
          </m:e>
          <m:sup>
            <m:r>
              <m:rPr>
                <m:sty m:val="p"/>
              </m:rPr>
              <m:t>*</m:t>
            </m:r>
          </m:sup>
        </m:sSup>
        <m:r>
          <m:rPr>
            <m:sty m:val="p"/>
          </m:rPr>
          <m:t>=</m:t>
        </m:r>
        <m:sSup>
          <m:e>
            <m:r>
              <m:t>E</m:t>
            </m:r>
          </m:e>
          <m:sup>
            <m:r>
              <m:rPr>
                <m:sty m:val="p"/>
              </m:rPr>
              <m:t>′</m:t>
            </m:r>
          </m:sup>
        </m:sSup>
        <m:r>
          <m:rPr>
            <m:sty m:val="p"/>
          </m:rPr>
          <m:t>(</m:t>
        </m:r>
        <m:sSup>
          <m:e>
            <m:r>
              <m:t>q</m:t>
            </m:r>
          </m:e>
          <m:sup>
            <m:r>
              <m:rPr>
                <m:sty m:val="p"/>
              </m:rPr>
              <m:t>*</m:t>
            </m:r>
          </m:sup>
        </m:sSup>
        <m:r>
          <m:rPr>
            <m:sty m:val="p"/>
          </m:rPr>
          <m:t>)</m:t>
        </m:r>
      </m:oMath>
      <w:r>
        <w:t xml:space="preserve"> </w:t>
      </w:r>
      <w:r>
        <w:t xml:space="preserve">faz com que a firma internalize o custo marginal externo e produza exatamente o nível socialmente ótimo</w:t>
      </w:r>
      <w:r>
        <w:t xml:space="preserve"> </w:t>
      </w:r>
      <m:oMath>
        <m:sSup>
          <m:e>
            <m:r>
              <m:t>q</m:t>
            </m:r>
          </m:e>
          <m:sup>
            <m:r>
              <m:rPr>
                <m:sty m:val="p"/>
              </m:rPr>
              <m:t>*</m:t>
            </m:r>
          </m:sup>
        </m:sSup>
      </m:oMath>
      <w:r>
        <w:t xml:space="preserve">. A perda de peso morto é eliminada.</w:t>
      </w:r>
      <w:r>
        <w:t xml:space="preserve"> </w:t>
      </w:r>
      <m:oMath>
        <m:r>
          <m:rPr>
            <m:sty m:val="p"/>
          </m:rPr>
          <m:t>◼</m:t>
        </m:r>
      </m:oMath>
    </w:p>
    <w:p>
      <w:pPr>
        <w:pStyle w:val="BlockText"/>
      </w:pPr>
      <w:r>
        <w:rPr>
          <w:b/>
          <w:bCs/>
        </w:rPr>
        <w:t xml:space="preserve">[DICA] Subsídio Pigouviano</w:t>
      </w:r>
    </w:p>
    <w:p>
      <w:pPr>
        <w:pStyle w:val="BlockText"/>
      </w:pPr>
      <w:r>
        <w:t xml:space="preserve">De forma simétrica, para externalidades positivas, o instrumento pigouviano é um</w:t>
      </w:r>
      <w:r>
        <w:t xml:space="preserve"> </w:t>
      </w:r>
      <w:r>
        <w:rPr>
          <w:b/>
          <w:bCs/>
        </w:rPr>
        <w:t xml:space="preserve">subsídio</w:t>
      </w:r>
      <w:r>
        <w:t xml:space="preserve"> </w:t>
      </w:r>
      <w:r>
        <w:t xml:space="preserve">por unidade igual ao benefício marginal externo:</w:t>
      </w:r>
      <w:r>
        <w:t xml:space="preserve"> </w:t>
      </w:r>
      <m:oMath>
        <m:sSup>
          <m:e>
            <m:r>
              <m:t>s</m:t>
            </m:r>
          </m:e>
          <m:sup>
            <m:r>
              <m:rPr>
                <m:sty m:val="p"/>
              </m:rPr>
              <m:t>*</m:t>
            </m:r>
          </m:sup>
        </m:sSup>
        <m:r>
          <m:rPr>
            <m:sty m:val="p"/>
          </m:rPr>
          <m:t>=</m:t>
        </m:r>
        <m:sSup>
          <m:e>
            <m:r>
              <m:t>B</m:t>
            </m:r>
          </m:e>
          <m:sup>
            <m:r>
              <m:rPr>
                <m:sty m:val="p"/>
              </m:rPr>
              <m:t>′</m:t>
            </m:r>
          </m:sup>
        </m:sSup>
        <m:sSup>
          <m:e>
            <m:r>
              <m:t>​</m:t>
            </m:r>
          </m:e>
          <m:sup>
            <m:r>
              <m:t>e</m:t>
            </m:r>
            <m:r>
              <m:t>x</m:t>
            </m:r>
            <m:r>
              <m:t>t</m:t>
            </m:r>
          </m:sup>
        </m:sSup>
        <m:r>
          <m:rPr>
            <m:sty m:val="p"/>
          </m:rPr>
          <m:t>(</m:t>
        </m:r>
        <m:sSup>
          <m:e>
            <m:r>
              <m:t>q</m:t>
            </m:r>
          </m:e>
          <m:sup>
            <m:r>
              <m:t>s</m:t>
            </m:r>
            <m:r>
              <m:t>o</m:t>
            </m:r>
            <m:r>
              <m:t>c</m:t>
            </m:r>
          </m:sup>
        </m:sSup>
        <m:r>
          <m:rPr>
            <m:sty m:val="p"/>
          </m:rPr>
          <m:t>)</m:t>
        </m:r>
      </m:oMath>
      <w:r>
        <w:t xml:space="preserve">. Isso eleva a quantidade produzida/consumida até o nível socialmente eficiente.</w:t>
      </w:r>
    </w:p>
    <w:p>
      <w:pPr>
        <w:pStyle w:val="BlockText"/>
      </w:pPr>
      <w:r>
        <w:rPr>
          <w:b/>
          <w:bCs/>
        </w:rPr>
        <w:t xml:space="preserve">[EXERCICIO RESOLVIDO] Exercício Resolvido 20.1 —Imposto pigouviano ótimo com custo quadrático</w:t>
      </w:r>
    </w:p>
    <w:p>
      <w:pPr>
        <w:pStyle w:val="BlockText"/>
      </w:pPr>
      <w:r>
        <w:rPr>
          <w:b/>
          <w:bCs/>
        </w:rPr>
        <w:t xml:space="preserve">Enunciado.</w:t>
      </w:r>
      <w:r>
        <w:t xml:space="preserve"> </w:t>
      </w:r>
      <w:r>
        <w:t xml:space="preserve">Uma firma produz</w:t>
      </w:r>
      <w:r>
        <w:t xml:space="preserve"> </w:t>
      </w:r>
      <m:oMath>
        <m:r>
          <m:t>q</m:t>
        </m:r>
      </m:oMath>
      <w:r>
        <w:t xml:space="preserve"> </w:t>
      </w:r>
      <w:r>
        <w:t xml:space="preserve">unidades ao preço</w:t>
      </w:r>
      <w:r>
        <w:t xml:space="preserve"> </w:t>
      </w:r>
      <m:oMath>
        <m:r>
          <m:t>P</m:t>
        </m:r>
        <m:r>
          <m:rPr>
            <m:sty m:val="p"/>
          </m:rPr>
          <m:t>=</m:t>
        </m:r>
        <m:r>
          <m:t>100</m:t>
        </m:r>
      </m:oMath>
      <w:r>
        <w:t xml:space="preserve">, com custo</w:t>
      </w:r>
      <w:r>
        <w:t xml:space="preserve"> </w:t>
      </w:r>
      <m:oMath>
        <m:r>
          <m:t>C</m:t>
        </m:r>
        <m:r>
          <m:rPr>
            <m:sty m:val="p"/>
          </m:rPr>
          <m:t>(</m:t>
        </m:r>
        <m:r>
          <m:t>q</m:t>
        </m:r>
        <m:r>
          <m:rPr>
            <m:sty m:val="p"/>
          </m:rPr>
          <m:t>)</m:t>
        </m:r>
        <m:r>
          <m:rPr>
            <m:sty m:val="p"/>
          </m:rPr>
          <m:t>=</m:t>
        </m:r>
        <m:r>
          <m:t>10</m:t>
        </m:r>
        <m:r>
          <m:t>q</m:t>
        </m:r>
        <m:r>
          <m:rPr>
            <m:sty m:val="p"/>
          </m:rPr>
          <m:t>+</m:t>
        </m:r>
        <m:sSup>
          <m:e>
            <m:r>
              <m:t>q</m:t>
            </m:r>
          </m:e>
          <m:sup>
            <m:r>
              <m:t>2</m:t>
            </m:r>
          </m:sup>
        </m:sSup>
      </m:oMath>
      <w:r>
        <w:t xml:space="preserve">. A produção gera custo externo</w:t>
      </w:r>
      <w:r>
        <w:t xml:space="preserve"> </w:t>
      </w:r>
      <m:oMath>
        <m:r>
          <m:t>E</m:t>
        </m:r>
        <m:r>
          <m:rPr>
            <m:sty m:val="p"/>
          </m:rPr>
          <m:t>(</m:t>
        </m:r>
        <m:r>
          <m:t>q</m:t>
        </m:r>
        <m:r>
          <m:rPr>
            <m:sty m:val="p"/>
          </m:rPr>
          <m:t>)</m:t>
        </m:r>
        <m:r>
          <m:rPr>
            <m:sty m:val="p"/>
          </m:rPr>
          <m:t>=</m:t>
        </m:r>
        <m:r>
          <m:t>0</m:t>
        </m:r>
        <m:r>
          <m:rPr>
            <m:sty m:val="p"/>
          </m:rPr>
          <m:t>,</m:t>
        </m:r>
        <m:r>
          <m:t>5</m:t>
        </m:r>
        <m:sSup>
          <m:e>
            <m:r>
              <m:t>q</m:t>
            </m:r>
          </m:e>
          <m:sup>
            <m:r>
              <m:t>2</m:t>
            </m:r>
          </m:sup>
        </m:sSup>
      </m:oMath>
      <w:r>
        <w:t xml:space="preserve">. (a) Encontre</w:t>
      </w:r>
      <w:r>
        <w:t xml:space="preserve"> </w:t>
      </w:r>
      <m:oMath>
        <m:sSup>
          <m:e>
            <m:r>
              <m:t>q</m:t>
            </m:r>
          </m:e>
          <m:sup>
            <m:r>
              <m:t>p</m:t>
            </m:r>
            <m:r>
              <m:t>r</m:t>
            </m:r>
            <m:r>
              <m:t>i</m:t>
            </m:r>
            <m:r>
              <m:t>v</m:t>
            </m:r>
          </m:sup>
        </m:sSup>
      </m:oMath>
      <w:r>
        <w:t xml:space="preserve"> </w:t>
      </w:r>
      <w:r>
        <w:t xml:space="preserve">e</w:t>
      </w:r>
      <w:r>
        <w:t xml:space="preserve"> </w:t>
      </w:r>
      <m:oMath>
        <m:sSup>
          <m:e>
            <m:r>
              <m:t>q</m:t>
            </m:r>
          </m:e>
          <m:sup>
            <m:r>
              <m:t>s</m:t>
            </m:r>
            <m:r>
              <m:t>o</m:t>
            </m:r>
            <m:r>
              <m:t>c</m:t>
            </m:r>
          </m:sup>
        </m:sSup>
      </m:oMath>
      <w:r>
        <w:t xml:space="preserve">. (b) Calcule o imposto pigouviano ótimo. (c) Calcule o DWL eliminado.</w:t>
      </w:r>
    </w:p>
    <w:p>
      <w:pPr>
        <w:pStyle w:val="BlockText"/>
      </w:pPr>
      <w:r>
        <w:rPr>
          <w:b/>
          <w:bCs/>
        </w:rPr>
        <w:t xml:space="preserve">Solução.</w:t>
      </w:r>
    </w:p>
    <w:p>
      <w:pPr>
        <w:pStyle w:val="BlockText"/>
      </w:pPr>
      <w:r>
        <w:rPr>
          <w:b/>
          <w:bCs/>
        </w:rPr>
        <w:t xml:space="preserve">(a)</w:t>
      </w:r>
      <w:r>
        <w:t xml:space="preserve"> </w:t>
      </w:r>
      <w:r>
        <w:t xml:space="preserve">Sem regulação:</w:t>
      </w:r>
      <w:r>
        <w:t xml:space="preserve"> </w:t>
      </w:r>
      <m:oMath>
        <m:r>
          <m:t>P</m:t>
        </m:r>
        <m:r>
          <m:rPr>
            <m:sty m:val="p"/>
          </m:rPr>
          <m:t>=</m:t>
        </m:r>
        <m:sSup>
          <m:e>
            <m:r>
              <m:t>C</m:t>
            </m:r>
          </m:e>
          <m:sup>
            <m:r>
              <m:rPr>
                <m:sty m:val="p"/>
              </m:rPr>
              <m:t>′</m:t>
            </m:r>
          </m:sup>
        </m:sSup>
        <m:r>
          <m:rPr>
            <m:sty m:val="p"/>
          </m:rPr>
          <m:t>(</m:t>
        </m:r>
        <m:r>
          <m:t>q</m:t>
        </m:r>
        <m:r>
          <m:rPr>
            <m:sty m:val="p"/>
          </m:rPr>
          <m:t>)</m:t>
        </m:r>
        <m:r>
          <m:rPr>
            <m:sty m:val="p"/>
          </m:rPr>
          <m:t>⟹</m:t>
        </m:r>
        <m:r>
          <m:t>100</m:t>
        </m:r>
        <m:r>
          <m:rPr>
            <m:sty m:val="p"/>
          </m:rPr>
          <m:t>=</m:t>
        </m:r>
        <m:r>
          <m:t>10</m:t>
        </m:r>
        <m:r>
          <m:rPr>
            <m:sty m:val="p"/>
          </m:rPr>
          <m:t>+</m:t>
        </m:r>
        <m:r>
          <m:t>2</m:t>
        </m:r>
        <m:r>
          <m:t>q</m:t>
        </m:r>
        <m:r>
          <m:rPr>
            <m:sty m:val="p"/>
          </m:rPr>
          <m:t>⟹</m:t>
        </m:r>
        <m:sSup>
          <m:e>
            <m:r>
              <m:t>q</m:t>
            </m:r>
          </m:e>
          <m:sup>
            <m:r>
              <m:t>p</m:t>
            </m:r>
            <m:r>
              <m:t>r</m:t>
            </m:r>
            <m:r>
              <m:t>i</m:t>
            </m:r>
            <m:r>
              <m:t>v</m:t>
            </m:r>
          </m:sup>
        </m:sSup>
        <m:r>
          <m:rPr>
            <m:sty m:val="p"/>
          </m:rPr>
          <m:t>=</m:t>
        </m:r>
        <m:r>
          <m:t>45</m:t>
        </m:r>
      </m:oMath>
      <w:r>
        <w:t xml:space="preserve">.</w:t>
      </w:r>
    </w:p>
    <w:p>
      <w:pPr>
        <w:pStyle w:val="BlockText"/>
      </w:pPr>
      <w:r>
        <w:t xml:space="preserve">Ótimo social:</w:t>
      </w:r>
      <w:r>
        <w:t xml:space="preserve"> </w:t>
      </w:r>
      <m:oMath>
        <m:r>
          <m:t>P</m:t>
        </m:r>
        <m:r>
          <m:rPr>
            <m:sty m:val="p"/>
          </m:rPr>
          <m:t>=</m:t>
        </m:r>
        <m:sSup>
          <m:e>
            <m:r>
              <m:t>C</m:t>
            </m:r>
          </m:e>
          <m:sup>
            <m:r>
              <m:rPr>
                <m:sty m:val="p"/>
              </m:rPr>
              <m:t>′</m:t>
            </m:r>
          </m:sup>
        </m:sSup>
        <m:r>
          <m:rPr>
            <m:sty m:val="p"/>
          </m:rPr>
          <m:t>(</m:t>
        </m:r>
        <m:r>
          <m:t>q</m:t>
        </m:r>
        <m:r>
          <m:rPr>
            <m:sty m:val="p"/>
          </m:rPr>
          <m:t>)</m:t>
        </m:r>
        <m:r>
          <m:rPr>
            <m:sty m:val="p"/>
          </m:rPr>
          <m:t>+</m:t>
        </m:r>
        <m:sSup>
          <m:e>
            <m:r>
              <m:t>E</m:t>
            </m:r>
          </m:e>
          <m:sup>
            <m:r>
              <m:rPr>
                <m:sty m:val="p"/>
              </m:rPr>
              <m:t>′</m:t>
            </m:r>
          </m:sup>
        </m:sSup>
        <m:r>
          <m:rPr>
            <m:sty m:val="p"/>
          </m:rPr>
          <m:t>(</m:t>
        </m:r>
        <m:r>
          <m:t>q</m:t>
        </m:r>
        <m:r>
          <m:rPr>
            <m:sty m:val="p"/>
          </m:rPr>
          <m:t>)</m:t>
        </m:r>
        <m:r>
          <m:rPr>
            <m:sty m:val="p"/>
          </m:rPr>
          <m:t>⟹</m:t>
        </m:r>
        <m:r>
          <m:t>100</m:t>
        </m:r>
        <m:r>
          <m:rPr>
            <m:sty m:val="p"/>
          </m:rPr>
          <m:t>=</m:t>
        </m:r>
        <m:r>
          <m:t>10</m:t>
        </m:r>
        <m:r>
          <m:rPr>
            <m:sty m:val="p"/>
          </m:rPr>
          <m:t>+</m:t>
        </m:r>
        <m:r>
          <m:t>2</m:t>
        </m:r>
        <m:r>
          <m:t>q</m:t>
        </m:r>
        <m:r>
          <m:rPr>
            <m:sty m:val="p"/>
          </m:rPr>
          <m:t>+</m:t>
        </m:r>
        <m:r>
          <m:t>q</m:t>
        </m:r>
        <m:r>
          <m:rPr>
            <m:sty m:val="p"/>
          </m:rPr>
          <m:t>=</m:t>
        </m:r>
        <m:r>
          <m:t>10</m:t>
        </m:r>
        <m:r>
          <m:rPr>
            <m:sty m:val="p"/>
          </m:rPr>
          <m:t>+</m:t>
        </m:r>
        <m:r>
          <m:t>3</m:t>
        </m:r>
        <m:r>
          <m:t>q</m:t>
        </m:r>
        <m:r>
          <m:rPr>
            <m:sty m:val="p"/>
          </m:rPr>
          <m:t>⟹</m:t>
        </m:r>
        <m:sSup>
          <m:e>
            <m:r>
              <m:t>q</m:t>
            </m:r>
          </m:e>
          <m:sup>
            <m:r>
              <m:t>s</m:t>
            </m:r>
            <m:r>
              <m:t>o</m:t>
            </m:r>
            <m:r>
              <m:t>c</m:t>
            </m:r>
          </m:sup>
        </m:sSup>
        <m:r>
          <m:rPr>
            <m:sty m:val="p"/>
          </m:rPr>
          <m:t>=</m:t>
        </m:r>
        <m:r>
          <m:t>30</m:t>
        </m:r>
      </m:oMath>
      <w:r>
        <w:t xml:space="preserve">.</w:t>
      </w:r>
    </w:p>
    <w:p>
      <w:pPr>
        <w:pStyle w:val="BlockText"/>
      </w:pPr>
      <w:r>
        <w:rPr>
          <w:b/>
          <w:bCs/>
        </w:rPr>
        <w:t xml:space="preserve">(b)</w:t>
      </w:r>
      <w:r>
        <w:t xml:space="preserve"> </w:t>
      </w:r>
      <m:oMath>
        <m:sSup>
          <m:e>
            <m:r>
              <m:t>t</m:t>
            </m:r>
          </m:e>
          <m:sup>
            <m:r>
              <m:rPr>
                <m:sty m:val="p"/>
              </m:rPr>
              <m:t>*</m:t>
            </m:r>
          </m:sup>
        </m:sSup>
        <m:r>
          <m:rPr>
            <m:sty m:val="p"/>
          </m:rPr>
          <m:t>=</m:t>
        </m:r>
        <m:sSup>
          <m:e>
            <m:r>
              <m:t>E</m:t>
            </m:r>
          </m:e>
          <m:sup>
            <m:r>
              <m:rPr>
                <m:sty m:val="p"/>
              </m:rPr>
              <m:t>′</m:t>
            </m:r>
          </m:sup>
        </m:sSup>
        <m:r>
          <m:rPr>
            <m:sty m:val="p"/>
          </m:rPr>
          <m:t>(</m:t>
        </m:r>
        <m:sSup>
          <m:e>
            <m:r>
              <m:t>q</m:t>
            </m:r>
          </m:e>
          <m:sup>
            <m:r>
              <m:t>s</m:t>
            </m:r>
            <m:r>
              <m:t>o</m:t>
            </m:r>
            <m:r>
              <m:t>c</m:t>
            </m:r>
          </m:sup>
        </m:sSup>
        <m:r>
          <m:rPr>
            <m:sty m:val="p"/>
          </m:rPr>
          <m:t>)</m:t>
        </m:r>
        <m:r>
          <m:rPr>
            <m:sty m:val="p"/>
          </m:rPr>
          <m:t>=</m:t>
        </m:r>
        <m:sSup>
          <m:e>
            <m:r>
              <m:t>q</m:t>
            </m:r>
          </m:e>
          <m:sup>
            <m:r>
              <m:t>s</m:t>
            </m:r>
            <m:r>
              <m:t>o</m:t>
            </m:r>
            <m:r>
              <m:t>c</m:t>
            </m:r>
          </m:sup>
        </m:sSup>
        <m:r>
          <m:rPr>
            <m:sty m:val="p"/>
          </m:rPr>
          <m:t>=</m:t>
        </m:r>
        <m:r>
          <m:t>30</m:t>
        </m:r>
      </m:oMath>
      <w:r>
        <w:t xml:space="preserve">.</w:t>
      </w:r>
    </w:p>
    <w:p>
      <w:pPr>
        <w:pStyle w:val="BlockText"/>
      </w:pPr>
      <w:r>
        <w:t xml:space="preserve">Verificação: com imposto,</w:t>
      </w:r>
      <w:r>
        <w:t xml:space="preserve"> </w:t>
      </w:r>
      <m:oMath>
        <m:r>
          <m:t>100</m:t>
        </m:r>
        <m:r>
          <m:rPr>
            <m:sty m:val="p"/>
          </m:rPr>
          <m:t>=</m:t>
        </m:r>
        <m:r>
          <m:t>10</m:t>
        </m:r>
        <m:r>
          <m:rPr>
            <m:sty m:val="p"/>
          </m:rPr>
          <m:t>+</m:t>
        </m:r>
        <m:r>
          <m:t>2</m:t>
        </m:r>
        <m:r>
          <m:t>q</m:t>
        </m:r>
        <m:r>
          <m:rPr>
            <m:sty m:val="p"/>
          </m:rPr>
          <m:t>+</m:t>
        </m:r>
        <m:r>
          <m:t>30</m:t>
        </m:r>
        <m:r>
          <m:rPr>
            <m:sty m:val="p"/>
          </m:rPr>
          <m:t>⟹</m:t>
        </m:r>
        <m:r>
          <m:t>q</m:t>
        </m:r>
        <m:r>
          <m:rPr>
            <m:sty m:val="p"/>
          </m:rPr>
          <m:t>=</m:t>
        </m:r>
        <m:r>
          <m:t>30</m:t>
        </m:r>
        <m:r>
          <m:rPr>
            <m:sty m:val="p"/>
          </m:rPr>
          <m:t>=</m:t>
        </m:r>
        <m:sSup>
          <m:e>
            <m:r>
              <m:t>q</m:t>
            </m:r>
          </m:e>
          <m:sup>
            <m:r>
              <m:t>s</m:t>
            </m:r>
            <m:r>
              <m:t>o</m:t>
            </m:r>
            <m:r>
              <m:t>c</m:t>
            </m:r>
          </m:sup>
        </m:sSup>
      </m:oMath>
      <w:r>
        <w:t xml:space="preserve">.</w:t>
      </w:r>
      <w:r>
        <w:t xml:space="preserve"> </w:t>
      </w:r>
      <m:oMath>
        <m:r>
          <m:rPr>
            <m:sty m:val="p"/>
          </m:rPr>
          <m:t>✓</m:t>
        </m:r>
      </m:oMath>
    </w:p>
    <w:p>
      <w:pPr>
        <w:pStyle w:val="BlockText"/>
      </w:pPr>
      <w:r>
        <w:rPr>
          <w:b/>
          <w:bCs/>
        </w:rPr>
        <w:t xml:space="preserve">(c)</w:t>
      </w:r>
      <w:r>
        <w:t xml:space="preserve"> </w:t>
      </w:r>
      <m:oMath>
        <m:r>
          <m:t>D</m:t>
        </m:r>
        <m:r>
          <m:t>W</m:t>
        </m:r>
        <m:r>
          <m:t>L</m:t>
        </m:r>
        <m:r>
          <m:rPr>
            <m:sty m:val="p"/>
          </m:rPr>
          <m:t>=</m:t>
        </m:r>
        <m:nary>
          <m:naryPr>
            <m:chr m:val="∫"/>
            <m:limLoc m:val="subSup"/>
            <m:subHide m:val="off"/>
            <m:supHide m:val="off"/>
          </m:naryPr>
          <m:sub>
            <m:r>
              <m:t>30</m:t>
            </m:r>
          </m:sub>
          <m:sup>
            <m:r>
              <m:t>45</m:t>
            </m:r>
          </m:sup>
          <m:e>
            <m:r>
              <m:rPr>
                <m:sty m:val="p"/>
              </m:rPr>
              <m:t>(</m:t>
            </m:r>
          </m:e>
        </m:nary>
        <m:r>
          <m:t>10</m:t>
        </m:r>
        <m:r>
          <m:rPr>
            <m:sty m:val="p"/>
          </m:rPr>
          <m:t>+</m:t>
        </m:r>
        <m:r>
          <m:t>3</m:t>
        </m:r>
        <m:r>
          <m:t>q</m:t>
        </m:r>
        <m:r>
          <m:rPr>
            <m:sty m:val="p"/>
          </m:rPr>
          <m:t>−</m:t>
        </m:r>
        <m:r>
          <m:t>100</m:t>
        </m:r>
        <m:r>
          <m:rPr>
            <m:sty m:val="p"/>
          </m:rPr>
          <m:t>)</m:t>
        </m:r>
        <m:r>
          <m:t> </m:t>
        </m:r>
        <m:r>
          <m:t>d</m:t>
        </m:r>
        <m:r>
          <m:t>q</m:t>
        </m:r>
        <m:r>
          <m:rPr>
            <m:sty m:val="p"/>
          </m:rPr>
          <m:t>=</m:t>
        </m:r>
        <m:nary>
          <m:naryPr>
            <m:chr m:val="∫"/>
            <m:limLoc m:val="subSup"/>
            <m:subHide m:val="off"/>
            <m:supHide m:val="off"/>
          </m:naryPr>
          <m:sub>
            <m:r>
              <m:t>30</m:t>
            </m:r>
          </m:sub>
          <m:sup>
            <m:r>
              <m:t>45</m:t>
            </m:r>
          </m:sup>
          <m:e>
            <m:r>
              <m:rPr>
                <m:sty m:val="p"/>
              </m:rPr>
              <m:t>(</m:t>
            </m:r>
          </m:e>
        </m:nary>
        <m:r>
          <m:t>3</m:t>
        </m:r>
        <m:r>
          <m:t>q</m:t>
        </m:r>
        <m:r>
          <m:rPr>
            <m:sty m:val="p"/>
          </m:rPr>
          <m:t>−</m:t>
        </m:r>
        <m:r>
          <m:t>90</m:t>
        </m:r>
        <m:r>
          <m:rPr>
            <m:sty m:val="p"/>
          </m:rPr>
          <m:t>)</m:t>
        </m:r>
        <m:r>
          <m:t> </m:t>
        </m:r>
        <m:r>
          <m:t>d</m:t>
        </m:r>
        <m:r>
          <m:t>q</m:t>
        </m:r>
        <m:r>
          <m:rPr>
            <m:sty m:val="p"/>
          </m:rPr>
          <m:t>=</m:t>
        </m:r>
        <m:sSubSup>
          <m:e>
            <m:d>
              <m:dPr>
                <m:begChr m:val="["/>
                <m:sepChr m:val=""/>
                <m:endChr m:val="]"/>
                <m:grow/>
              </m:dPr>
              <m:e>
                <m:f>
                  <m:fPr>
                    <m:type m:val="bar"/>
                  </m:fPr>
                  <m:num>
                    <m:r>
                      <m:t>3</m:t>
                    </m:r>
                    <m:sSup>
                      <m:e>
                        <m:r>
                          <m:t>q</m:t>
                        </m:r>
                      </m:e>
                      <m:sup>
                        <m:r>
                          <m:t>2</m:t>
                        </m:r>
                      </m:sup>
                    </m:sSup>
                  </m:num>
                  <m:den>
                    <m:r>
                      <m:t>2</m:t>
                    </m:r>
                  </m:den>
                </m:f>
                <m:r>
                  <m:rPr>
                    <m:sty m:val="p"/>
                  </m:rPr>
                  <m:t>−</m:t>
                </m:r>
                <m:r>
                  <m:t>90</m:t>
                </m:r>
                <m:r>
                  <m:t>q</m:t>
                </m:r>
              </m:e>
            </m:d>
          </m:e>
          <m:sub>
            <m:r>
              <m:t>30</m:t>
            </m:r>
          </m:sub>
          <m:sup>
            <m:r>
              <m:t>45</m:t>
            </m:r>
          </m:sup>
        </m:sSubSup>
        <m:r>
          <m:rPr>
            <m:sty m:val="p"/>
          </m:rPr>
          <m:t>=</m:t>
        </m:r>
        <m:r>
          <m:rPr>
            <m:sty m:val="p"/>
          </m:rPr>
          <m:t>(</m:t>
        </m:r>
        <m:r>
          <m:t>3037</m:t>
        </m:r>
        <m:r>
          <m:rPr>
            <m:sty m:val="p"/>
          </m:rPr>
          <m:t>,</m:t>
        </m:r>
        <m:r>
          <m:t>5</m:t>
        </m:r>
        <m:r>
          <m:rPr>
            <m:sty m:val="p"/>
          </m:rPr>
          <m:t>−</m:t>
        </m:r>
        <m:r>
          <m:t>4050</m:t>
        </m:r>
        <m:r>
          <m:rPr>
            <m:sty m:val="p"/>
          </m:rPr>
          <m:t>)</m:t>
        </m:r>
        <m:r>
          <m:rPr>
            <m:sty m:val="p"/>
          </m:rPr>
          <m:t>−</m:t>
        </m:r>
        <m:r>
          <m:rPr>
            <m:sty m:val="p"/>
          </m:rPr>
          <m:t>(</m:t>
        </m:r>
        <m:r>
          <m:t>1350</m:t>
        </m:r>
        <m:r>
          <m:rPr>
            <m:sty m:val="p"/>
          </m:rPr>
          <m:t>−</m:t>
        </m:r>
        <m:r>
          <m:t>2700</m:t>
        </m:r>
        <m:r>
          <m:rPr>
            <m:sty m:val="p"/>
          </m:rPr>
          <m:t>)</m:t>
        </m:r>
        <m:r>
          <m:rPr>
            <m:sty m:val="p"/>
          </m:rPr>
          <m:t>=</m:t>
        </m:r>
        <m:r>
          <m:rPr>
            <m:sty m:val="p"/>
          </m:rPr>
          <m:t>−</m:t>
        </m:r>
        <m:r>
          <m:t>1012</m:t>
        </m:r>
        <m:r>
          <m:rPr>
            <m:sty m:val="p"/>
          </m:rPr>
          <m:t>,</m:t>
        </m:r>
        <m:r>
          <m:t>5</m:t>
        </m:r>
        <m:r>
          <m:rPr>
            <m:sty m:val="p"/>
          </m:rPr>
          <m:t>−</m:t>
        </m:r>
        <m:r>
          <m:rPr>
            <m:sty m:val="p"/>
          </m:rPr>
          <m:t>(</m:t>
        </m:r>
        <m:r>
          <m:rPr>
            <m:sty m:val="p"/>
          </m:rPr>
          <m:t>−</m:t>
        </m:r>
        <m:r>
          <m:t>1350</m:t>
        </m:r>
        <m:r>
          <m:rPr>
            <m:sty m:val="p"/>
          </m:rPr>
          <m:t>)</m:t>
        </m:r>
        <m:r>
          <m:rPr>
            <m:sty m:val="p"/>
          </m:rPr>
          <m:t>=</m:t>
        </m:r>
        <m:r>
          <m:t>337</m:t>
        </m:r>
        <m:r>
          <m:rPr>
            <m:sty m:val="p"/>
          </m:rPr>
          <m:t>,</m:t>
        </m:r>
        <m:r>
          <m:t>5</m:t>
        </m:r>
      </m:oMath>
      <w:r>
        <w:t xml:space="preserve">.</w:t>
      </w:r>
    </w:p>
    <w:p>
      <w:r>
        <w:pict>
          <v:rect style="width:0;height:1.5pt" o:hralign="center" o:hrstd="t" o:hr="t"/>
        </w:pict>
      </w:r>
    </w:p>
    <w:p>
      <w:pPr>
        <w:pStyle w:val="FirstParagraph"/>
      </w:pPr>
      <w:r>
        <w:t xml:space="preserve">[FIGURA INTERATIVA: /micro-book/graficos/cap20/webr-pigou.html — versao interativa disponivel online]</w:t>
      </w:r>
    </w:p>
    <w:p>
      <w:pPr>
        <w:pStyle w:val="BodyText"/>
      </w:pPr>
      <w:r>
        <w:rPr>
          <w:b/>
          <w:bCs/>
        </w:rPr>
        <w:t xml:space="preserve">WebR 20.1 — Simulação de imposto pigouviano.</w:t>
      </w:r>
      <w:r>
        <w:t xml:space="preserve"> </w:t>
      </w:r>
      <w:r>
        <w:t xml:space="preserve">Altere os parâmetros de custo e externalidade e observe como o imposto ótimo e o DWL se ajustam.</w:t>
      </w:r>
    </w:p>
    <w:p>
      <w:r>
        <w:pict>
          <v:rect style="width:0;height:1.5pt" o:hralign="center" o:hrstd="t" o:hr="t"/>
        </w:pict>
      </w:r>
    </w:p>
    <w:bookmarkEnd w:id="1248"/>
    <w:bookmarkStart w:id="1249" w:name="o-teorema-de-coase"/>
    <w:p>
      <w:pPr>
        <w:pStyle w:val="Heading4"/>
      </w:pPr>
      <w:r>
        <w:t xml:space="preserve">20.4.2 O Teorema de Coase</w:t>
      </w:r>
    </w:p>
    <w:p>
      <w:pPr>
        <w:pStyle w:val="BlockText"/>
      </w:pPr>
      <w:r>
        <w:rPr>
          <w:b/>
          <w:bCs/>
        </w:rPr>
        <w:t xml:space="preserve">[RESUMO] Teorema de Coase (Coase, 1960)</w:t>
      </w:r>
    </w:p>
    <w:p>
      <w:pPr>
        <w:pStyle w:val="BlockText"/>
      </w:pPr>
      <w:r>
        <w:t xml:space="preserve">Se os</w:t>
      </w:r>
      <w:r>
        <w:t xml:space="preserve"> </w:t>
      </w:r>
      <w:r>
        <w:rPr>
          <w:b/>
          <w:bCs/>
        </w:rPr>
        <w:t xml:space="preserve">direitos de propriedade</w:t>
      </w:r>
      <w:r>
        <w:t xml:space="preserve"> </w:t>
      </w:r>
      <w:r>
        <w:t xml:space="preserve">estão claramente definidos e os</w:t>
      </w:r>
      <w:r>
        <w:t xml:space="preserve"> </w:t>
      </w:r>
      <w:r>
        <w:rPr>
          <w:b/>
          <w:bCs/>
        </w:rPr>
        <w:t xml:space="preserve">custos de transação</w:t>
      </w:r>
      <w:r>
        <w:t xml:space="preserve"> </w:t>
      </w:r>
      <w:r>
        <w:t xml:space="preserve">são nulos, a barganha privada entre as partes levará à alocação eficiente de recursos,</w:t>
      </w:r>
      <w:r>
        <w:t xml:space="preserve"> </w:t>
      </w:r>
      <w:r>
        <w:rPr>
          <w:b/>
          <w:bCs/>
        </w:rPr>
        <w:t xml:space="preserve">independentemente</w:t>
      </w:r>
      <w:r>
        <w:t xml:space="preserve"> </w:t>
      </w:r>
      <w:r>
        <w:t xml:space="preserve">de qual parte detém o direito de propriedade. A distribuição dos direitos afeta apenas a distribuição de riqueza, não a eficiência.</w:t>
      </w:r>
    </w:p>
    <w:p>
      <w:pPr>
        <w:pStyle w:val="FirstParagraph"/>
      </w:pPr>
      <w:r>
        <w:t xml:space="preserve">Formalmente, suponha que a firma poluidora e a firma afetada podem negociar. Se a firma afetada tem o direito a um ambiente limpo, a poluidora deve compensá-la pelo dano. Se a poluidora tem o direito de poluir, a firma afetada paga para que ela reduza a produção. Em ambos os casos, a produção converge para</w:t>
      </w:r>
      <w:r>
        <w:t xml:space="preserve"> </w:t>
      </w:r>
      <m:oMath>
        <m:sSup>
          <m:e>
            <m:r>
              <m:t>q</m:t>
            </m:r>
          </m:e>
          <m:sup>
            <m:r>
              <m:t>s</m:t>
            </m:r>
            <m:r>
              <m:t>o</m:t>
            </m:r>
            <m:r>
              <m:t>c</m:t>
            </m:r>
          </m:sup>
        </m:sSup>
      </m:oMath>
      <w:r>
        <w:t xml:space="preserve"> </w:t>
      </w:r>
      <w:r>
        <w:t xml:space="preserve">onde:</w:t>
      </w:r>
    </w:p>
    <w:p>
      <w:pPr>
        <w:pStyle w:val="BodyText"/>
      </w:pPr>
      <w:r>
        <w:t xml:space="preserve">$$
    C'(q) + E'(q) = P
    \label{eq:20.10} \tag{20.10} 
    $$</w:t>
      </w:r>
    </w:p>
    <w:p>
      <w:pPr>
        <w:pStyle w:val="FirstParagraph"/>
      </w:pPr>
      <w:r>
        <w:rPr>
          <w:b/>
          <w:bCs/>
        </w:rPr>
        <w:t xml:space="preserve">Limites do Teorema de Coase:</w:t>
      </w:r>
    </w:p>
    <w:p>
      <w:pPr>
        <w:pStyle w:val="Compact"/>
        <w:numPr>
          <w:ilvl w:val="0"/>
          <w:numId w:val="2109"/>
        </w:numPr>
      </w:pPr>
      <w:r>
        <w:rPr>
          <w:b/>
          <w:bCs/>
        </w:rPr>
        <w:t xml:space="preserve">Custos de transação</w:t>
      </w:r>
      <w:r>
        <w:t xml:space="preserve">: na prática, negociar é custoso, especialmente quando há muitas partes envolvidas.</w:t>
      </w:r>
    </w:p>
    <w:p>
      <w:pPr>
        <w:pStyle w:val="Compact"/>
        <w:numPr>
          <w:ilvl w:val="0"/>
          <w:numId w:val="2109"/>
        </w:numPr>
      </w:pPr>
      <w:r>
        <w:rPr>
          <w:b/>
          <w:bCs/>
        </w:rPr>
        <w:t xml:space="preserve">Externalidades difusas</w:t>
      </w:r>
      <w:r>
        <w:t xml:space="preserve">: quando a poluição afeta milhões de pessoas, a barganha bilateral é inviável.</w:t>
      </w:r>
    </w:p>
    <w:p>
      <w:pPr>
        <w:pStyle w:val="Compact"/>
        <w:numPr>
          <w:ilvl w:val="0"/>
          <w:numId w:val="2109"/>
        </w:numPr>
      </w:pPr>
      <w:r>
        <w:rPr>
          <w:b/>
          <w:bCs/>
        </w:rPr>
        <w:t xml:space="preserve">Assimetria de informação</w:t>
      </w:r>
      <w:r>
        <w:t xml:space="preserve">: as partes podem ter incentivos estratégicos para não revelar verdadeiramente seus custos e benefícios.</w:t>
      </w:r>
    </w:p>
    <w:p>
      <w:pPr>
        <w:pStyle w:val="Compact"/>
        <w:numPr>
          <w:ilvl w:val="0"/>
          <w:numId w:val="2109"/>
        </w:numPr>
      </w:pPr>
      <w:r>
        <w:rPr>
          <w:b/>
          <w:bCs/>
        </w:rPr>
        <w:t xml:space="preserve">Efeitos riqueza</w:t>
      </w:r>
      <w:r>
        <w:t xml:space="preserve">: com utilidade marginal da renda decrescente, a atribuição inicial dos direitos pode afetar a alocação final.</w:t>
      </w:r>
    </w:p>
    <w:p>
      <w:pPr>
        <w:pStyle w:val="Compact"/>
        <w:numPr>
          <w:ilvl w:val="0"/>
          <w:numId w:val="2109"/>
        </w:numPr>
      </w:pPr>
      <w:r>
        <w:rPr>
          <w:b/>
          <w:bCs/>
        </w:rPr>
        <w:t xml:space="preserve">Problemas de hold-up</w:t>
      </w:r>
      <w:r>
        <w:t xml:space="preserve">: investimentos específicos à relação podem gerar comportamento oportunista.</w:t>
      </w:r>
    </w:p>
    <w:p>
      <w:pPr>
        <w:pStyle w:val="BlockText"/>
      </w:pPr>
      <w:r>
        <w:rPr>
          <w:b/>
          <w:bCs/>
        </w:rPr>
        <w:t xml:space="preserve">[QUESTAO] Nobel de Economia 1991 — Ronald Coase</w:t>
      </w:r>
    </w:p>
    <w:p>
      <w:pPr>
        <w:pStyle w:val="BlockText"/>
      </w:pPr>
      <w:r>
        <w:t xml:space="preserve">Ronald Coase recebeu o Prêmio Nobel</w:t>
      </w:r>
      <w:r>
        <w:t xml:space="preserve"> </w:t>
      </w:r>
      <w:r>
        <w:t xml:space="preserve">“por sua descoberta e elucidação do significado dos custos de transação e dos direitos de propriedade para a estrutura institucional e o funcionamento da economia.”</w:t>
      </w:r>
      <w:r>
        <w:t xml:space="preserve"> </w:t>
      </w:r>
      <w:r>
        <w:t xml:space="preserve">O artigo seminal</w:t>
      </w:r>
      <w:r>
        <w:t xml:space="preserve"> </w:t>
      </w:r>
      <w:r>
        <w:t xml:space="preserve">“The Problem of Social Cost”</w:t>
      </w:r>
      <w:r>
        <w:t xml:space="preserve"> </w:t>
      </w:r>
      <w:r>
        <w:t xml:space="preserve">(1960) desafiou a prescrição pigouviana dominante, mostrando que a atribuição de direitos de propriedade e a barganha privada podem, sob certas condições, resolver o problema das externalidades sem intervenção estatal. Coase também introduziu o conceito de custos de transação como determinante da fronteira entre firma e mercado em</w:t>
      </w:r>
      <w:r>
        <w:t xml:space="preserve"> </w:t>
      </w:r>
      <w:r>
        <w:t xml:space="preserve">“The Nature of the Firm”</w:t>
      </w:r>
      <w:r>
        <w:t xml:space="preserve"> </w:t>
      </w:r>
      <w:r>
        <w:t xml:space="preserve">(1937).</w:t>
      </w:r>
    </w:p>
    <w:p>
      <w:pPr>
        <w:pStyle w:val="BlockText"/>
      </w:pPr>
      <w:r>
        <w:rPr>
          <w:b/>
          <w:bCs/>
        </w:rPr>
        <w:t xml:space="preserve">[EXERCICIO RESOLVIDO] Exercício Resolvido 20.2 —Negociação coaseana: fazendeiro vs. apicultor</w:t>
      </w:r>
    </w:p>
    <w:p>
      <w:pPr>
        <w:pStyle w:val="BlockText"/>
      </w:pPr>
      <w:r>
        <w:rPr>
          <w:b/>
          <w:bCs/>
        </w:rPr>
        <w:t xml:space="preserve">Enunciado.</w:t>
      </w:r>
      <w:r>
        <w:t xml:space="preserve"> </w:t>
      </w:r>
      <w:r>
        <w:t xml:space="preserve">Um fazendeiro cria gado (</w:t>
      </w:r>
      <m:oMath>
        <m:r>
          <m:t>n</m:t>
        </m:r>
      </m:oMath>
      <w:r>
        <w:t xml:space="preserve"> </w:t>
      </w:r>
      <w:r>
        <w:t xml:space="preserve">cabeças) com lucro</w:t>
      </w:r>
      <w:r>
        <w:t xml:space="preserve"> </w:t>
      </w:r>
      <m:oMath>
        <m:sSub>
          <m:e>
            <m:r>
              <m:t>π</m:t>
            </m:r>
          </m:e>
          <m:sub>
            <m:r>
              <m:t>F</m:t>
            </m:r>
          </m:sub>
        </m:sSub>
        <m:r>
          <m:rPr>
            <m:sty m:val="p"/>
          </m:rPr>
          <m:t>(</m:t>
        </m:r>
        <m:r>
          <m:t>n</m:t>
        </m:r>
        <m:r>
          <m:rPr>
            <m:sty m:val="p"/>
          </m:rPr>
          <m:t>)</m:t>
        </m:r>
        <m:r>
          <m:rPr>
            <m:sty m:val="p"/>
          </m:rPr>
          <m:t>=</m:t>
        </m:r>
        <m:r>
          <m:t>80</m:t>
        </m:r>
        <m:r>
          <m:t>n</m:t>
        </m:r>
        <m:r>
          <m:rPr>
            <m:sty m:val="p"/>
          </m:rPr>
          <m:t>−</m:t>
        </m:r>
        <m:r>
          <m:t>2</m:t>
        </m:r>
        <m:sSup>
          <m:e>
            <m:r>
              <m:t>n</m:t>
            </m:r>
          </m:e>
          <m:sup>
            <m:r>
              <m:t>2</m:t>
            </m:r>
          </m:sup>
        </m:sSup>
      </m:oMath>
      <w:r>
        <w:t xml:space="preserve">. O gado danifica a lavoura vizinha em</w:t>
      </w:r>
      <w:r>
        <w:t xml:space="preserve"> </w:t>
      </w:r>
      <m:oMath>
        <m:r>
          <m:t>D</m:t>
        </m:r>
        <m:r>
          <m:rPr>
            <m:sty m:val="p"/>
          </m:rPr>
          <m:t>(</m:t>
        </m:r>
        <m:r>
          <m:t>n</m:t>
        </m:r>
        <m:r>
          <m:rPr>
            <m:sty m:val="p"/>
          </m:rPr>
          <m:t>)</m:t>
        </m:r>
        <m:r>
          <m:rPr>
            <m:sty m:val="p"/>
          </m:rPr>
          <m:t>=</m:t>
        </m:r>
        <m:sSup>
          <m:e>
            <m:r>
              <m:t>n</m:t>
            </m:r>
          </m:e>
          <m:sup>
            <m:r>
              <m:t>2</m:t>
            </m:r>
          </m:sup>
        </m:sSup>
      </m:oMath>
      <w:r>
        <w:t xml:space="preserve">. (a) Encontre</w:t>
      </w:r>
      <w:r>
        <w:t xml:space="preserve"> </w:t>
      </w:r>
      <m:oMath>
        <m:sSup>
          <m:e>
            <m:r>
              <m:t>n</m:t>
            </m:r>
          </m:e>
          <m:sup>
            <m:r>
              <m:t>p</m:t>
            </m:r>
            <m:r>
              <m:t>r</m:t>
            </m:r>
            <m:r>
              <m:t>i</m:t>
            </m:r>
            <m:r>
              <m:t>v</m:t>
            </m:r>
          </m:sup>
        </m:sSup>
      </m:oMath>
      <w:r>
        <w:t xml:space="preserve"> </w:t>
      </w:r>
      <w:r>
        <w:t xml:space="preserve">e</w:t>
      </w:r>
      <w:r>
        <w:t xml:space="preserve"> </w:t>
      </w:r>
      <m:oMath>
        <m:sSup>
          <m:e>
            <m:r>
              <m:t>n</m:t>
            </m:r>
          </m:e>
          <m:sup>
            <m:r>
              <m:t>s</m:t>
            </m:r>
            <m:r>
              <m:t>o</m:t>
            </m:r>
            <m:r>
              <m:t>c</m:t>
            </m:r>
          </m:sup>
        </m:sSup>
      </m:oMath>
      <w:r>
        <w:t xml:space="preserve">. (b) Mostre que a negociação leva a</w:t>
      </w:r>
      <w:r>
        <w:t xml:space="preserve"> </w:t>
      </w:r>
      <m:oMath>
        <m:sSup>
          <m:e>
            <m:r>
              <m:t>n</m:t>
            </m:r>
          </m:e>
          <m:sup>
            <m:r>
              <m:t>s</m:t>
            </m:r>
            <m:r>
              <m:t>o</m:t>
            </m:r>
            <m:r>
              <m:t>c</m:t>
            </m:r>
          </m:sup>
        </m:sSup>
      </m:oMath>
      <w:r>
        <w:t xml:space="preserve"> </w:t>
      </w:r>
      <w:r>
        <w:t xml:space="preserve">independentemente de quem detém o direito.</w:t>
      </w:r>
    </w:p>
    <w:p>
      <w:pPr>
        <w:pStyle w:val="BlockText"/>
      </w:pPr>
      <w:r>
        <w:rPr>
          <w:b/>
          <w:bCs/>
        </w:rPr>
        <w:t xml:space="preserve">Solução.</w:t>
      </w:r>
    </w:p>
    <w:p>
      <w:pPr>
        <w:pStyle w:val="BlockText"/>
      </w:pPr>
      <w:r>
        <w:rPr>
          <w:b/>
          <w:bCs/>
        </w:rPr>
        <w:t xml:space="preserve">(a)</w:t>
      </w:r>
      <w:r>
        <w:t xml:space="preserve"> </w:t>
      </w:r>
      <w:r>
        <w:t xml:space="preserve">Sem negociação:</w:t>
      </w:r>
      <w:r>
        <w:t xml:space="preserve"> </w:t>
      </w:r>
      <m:oMath>
        <m:sSubSup>
          <m:e>
            <m:r>
              <m:t>π</m:t>
            </m:r>
          </m:e>
          <m:sub>
            <m:r>
              <m:t>F</m:t>
            </m:r>
          </m:sub>
          <m:sup>
            <m:r>
              <m:rPr>
                <m:sty m:val="p"/>
              </m:rPr>
              <m:t>′</m:t>
            </m:r>
          </m:sup>
        </m:sSubSup>
        <m:r>
          <m:rPr>
            <m:sty m:val="p"/>
          </m:rPr>
          <m:t>(</m:t>
        </m:r>
        <m:r>
          <m:t>n</m:t>
        </m:r>
        <m:r>
          <m:rPr>
            <m:sty m:val="p"/>
          </m:rPr>
          <m:t>)</m:t>
        </m:r>
        <m:r>
          <m:rPr>
            <m:sty m:val="p"/>
          </m:rPr>
          <m:t>=</m:t>
        </m:r>
        <m:r>
          <m:t>80</m:t>
        </m:r>
        <m:r>
          <m:rPr>
            <m:sty m:val="p"/>
          </m:rPr>
          <m:t>−</m:t>
        </m:r>
        <m:r>
          <m:t>4</m:t>
        </m:r>
        <m:r>
          <m:t>n</m:t>
        </m:r>
        <m:r>
          <m:rPr>
            <m:sty m:val="p"/>
          </m:rPr>
          <m:t>=</m:t>
        </m:r>
        <m:r>
          <m:t>0</m:t>
        </m:r>
        <m:r>
          <m:rPr>
            <m:sty m:val="p"/>
          </m:rPr>
          <m:t>⟹</m:t>
        </m:r>
        <m:sSup>
          <m:e>
            <m:r>
              <m:t>n</m:t>
            </m:r>
          </m:e>
          <m:sup>
            <m:r>
              <m:t>p</m:t>
            </m:r>
            <m:r>
              <m:t>r</m:t>
            </m:r>
            <m:r>
              <m:t>i</m:t>
            </m:r>
            <m:r>
              <m:t>v</m:t>
            </m:r>
          </m:sup>
        </m:sSup>
        <m:r>
          <m:rPr>
            <m:sty m:val="p"/>
          </m:rPr>
          <m:t>=</m:t>
        </m:r>
        <m:r>
          <m:t>20</m:t>
        </m:r>
      </m:oMath>
      <w:r>
        <w:t xml:space="preserve">.</w:t>
      </w:r>
    </w:p>
    <w:p>
      <w:pPr>
        <w:pStyle w:val="BlockText"/>
      </w:pPr>
      <w:r>
        <w:t xml:space="preserve">Ótimo social:</w:t>
      </w:r>
      <w:r>
        <w:t xml:space="preserve"> </w:t>
      </w:r>
      <m:oMath>
        <m:sSub>
          <m:e>
            <m:r>
              <m:rPr>
                <m:sty m:val="p"/>
              </m:rPr>
              <m:t>max</m:t>
            </m:r>
          </m:e>
          <m:sub>
            <m:r>
              <m:t>n</m:t>
            </m:r>
          </m:sub>
        </m:sSub>
        <m:sSub>
          <m:e>
            <m:r>
              <m:t>π</m:t>
            </m:r>
          </m:e>
          <m:sub>
            <m:r>
              <m:t>F</m:t>
            </m:r>
          </m:sub>
        </m:sSub>
        <m:r>
          <m:rPr>
            <m:sty m:val="p"/>
          </m:rPr>
          <m:t>(</m:t>
        </m:r>
        <m:r>
          <m:t>n</m:t>
        </m:r>
        <m:r>
          <m:rPr>
            <m:sty m:val="p"/>
          </m:rPr>
          <m:t>)</m:t>
        </m:r>
        <m:r>
          <m:rPr>
            <m:sty m:val="p"/>
          </m:rPr>
          <m:t>−</m:t>
        </m:r>
        <m:r>
          <m:t>D</m:t>
        </m:r>
        <m:r>
          <m:rPr>
            <m:sty m:val="p"/>
          </m:rPr>
          <m:t>(</m:t>
        </m:r>
        <m:r>
          <m:t>n</m:t>
        </m:r>
        <m:r>
          <m:rPr>
            <m:sty m:val="p"/>
          </m:rPr>
          <m:t>)</m:t>
        </m:r>
        <m:r>
          <m:rPr>
            <m:sty m:val="p"/>
          </m:rPr>
          <m:t>=</m:t>
        </m:r>
        <m:r>
          <m:t>80</m:t>
        </m:r>
        <m:r>
          <m:t>n</m:t>
        </m:r>
        <m:r>
          <m:rPr>
            <m:sty m:val="p"/>
          </m:rPr>
          <m:t>−</m:t>
        </m:r>
        <m:r>
          <m:t>2</m:t>
        </m:r>
        <m:sSup>
          <m:e>
            <m:r>
              <m:t>n</m:t>
            </m:r>
          </m:e>
          <m:sup>
            <m:r>
              <m:t>2</m:t>
            </m:r>
          </m:sup>
        </m:sSup>
        <m:r>
          <m:rPr>
            <m:sty m:val="p"/>
          </m:rPr>
          <m:t>−</m:t>
        </m:r>
        <m:sSup>
          <m:e>
            <m:r>
              <m:t>n</m:t>
            </m:r>
          </m:e>
          <m:sup>
            <m:r>
              <m:t>2</m:t>
            </m:r>
          </m:sup>
        </m:sSup>
        <m:r>
          <m:rPr>
            <m:sty m:val="p"/>
          </m:rPr>
          <m:t>=</m:t>
        </m:r>
        <m:r>
          <m:t>80</m:t>
        </m:r>
        <m:r>
          <m:t>n</m:t>
        </m:r>
        <m:r>
          <m:rPr>
            <m:sty m:val="p"/>
          </m:rPr>
          <m:t>−</m:t>
        </m:r>
        <m:r>
          <m:t>3</m:t>
        </m:r>
        <m:sSup>
          <m:e>
            <m:r>
              <m:t>n</m:t>
            </m:r>
          </m:e>
          <m:sup>
            <m:r>
              <m:t>2</m:t>
            </m:r>
          </m:sup>
        </m:sSup>
      </m:oMath>
      <w:r>
        <w:t xml:space="preserve">. CPO:</w:t>
      </w:r>
      <w:r>
        <w:t xml:space="preserve"> </w:t>
      </w:r>
      <m:oMath>
        <m:r>
          <m:t>80</m:t>
        </m:r>
        <m:r>
          <m:rPr>
            <m:sty m:val="p"/>
          </m:rPr>
          <m:t>−</m:t>
        </m:r>
        <m:r>
          <m:t>6</m:t>
        </m:r>
        <m:r>
          <m:t>n</m:t>
        </m:r>
        <m:r>
          <m:rPr>
            <m:sty m:val="p"/>
          </m:rPr>
          <m:t>=</m:t>
        </m:r>
        <m:r>
          <m:t>0</m:t>
        </m:r>
        <m:r>
          <m:rPr>
            <m:sty m:val="p"/>
          </m:rPr>
          <m:t>⟹</m:t>
        </m:r>
        <m:sSup>
          <m:e>
            <m:r>
              <m:t>n</m:t>
            </m:r>
          </m:e>
          <m:sup>
            <m:r>
              <m:t>s</m:t>
            </m:r>
            <m:r>
              <m:t>o</m:t>
            </m:r>
            <m:r>
              <m:t>c</m:t>
            </m:r>
          </m:sup>
        </m:sSup>
        <m:r>
          <m:rPr>
            <m:sty m:val="p"/>
          </m:rPr>
          <m:t>=</m:t>
        </m:r>
        <m:r>
          <m:t>40</m:t>
        </m:r>
        <m:r>
          <m:rPr>
            <m:sty m:val="p"/>
          </m:rPr>
          <m:t>/</m:t>
        </m:r>
        <m:r>
          <m:t>3</m:t>
        </m:r>
        <m:r>
          <m:rPr>
            <m:sty m:val="p"/>
          </m:rPr>
          <m:t>≈</m:t>
        </m:r>
        <m:r>
          <m:t>13</m:t>
        </m:r>
        <m:r>
          <m:rPr>
            <m:sty m:val="p"/>
          </m:rPr>
          <m:t>,</m:t>
        </m:r>
        <m:r>
          <m:t>33</m:t>
        </m:r>
      </m:oMath>
      <w:r>
        <w:t xml:space="preserve">.</w:t>
      </w:r>
    </w:p>
    <w:p>
      <w:pPr>
        <w:pStyle w:val="BlockText"/>
      </w:pPr>
      <w:r>
        <w:rPr>
          <w:b/>
          <w:bCs/>
        </w:rPr>
        <w:t xml:space="preserve">(b)</w:t>
      </w:r>
      <w:r>
        <w:t xml:space="preserve"> </w:t>
      </w:r>
      <w:r>
        <w:t xml:space="preserve">Se o fazendeiro tem o direito: parte de</w:t>
      </w:r>
      <w:r>
        <w:t xml:space="preserve"> </w:t>
      </w:r>
      <m:oMath>
        <m:r>
          <m:t>n</m:t>
        </m:r>
        <m:r>
          <m:rPr>
            <m:sty m:val="p"/>
          </m:rPr>
          <m:t>=</m:t>
        </m:r>
        <m:r>
          <m:t>20</m:t>
        </m:r>
      </m:oMath>
      <w:r>
        <w:t xml:space="preserve">. O lavrador oferece compensação</w:t>
      </w:r>
      <w:r>
        <w:t xml:space="preserve"> </w:t>
      </w:r>
      <m:oMath>
        <m:r>
          <m:t>T</m:t>
        </m:r>
      </m:oMath>
      <w:r>
        <w:t xml:space="preserve"> </w:t>
      </w:r>
      <w:r>
        <w:t xml:space="preserve">para reduzir a</w:t>
      </w:r>
      <w:r>
        <w:t xml:space="preserve"> </w:t>
      </w:r>
      <m:oMath>
        <m:sSup>
          <m:e>
            <m:r>
              <m:t>n</m:t>
            </m:r>
          </m:e>
          <m:sup>
            <m:r>
              <m:t>s</m:t>
            </m:r>
            <m:r>
              <m:t>o</m:t>
            </m:r>
            <m:r>
              <m:t>c</m:t>
            </m:r>
          </m:sup>
        </m:sSup>
      </m:oMath>
      <w:r>
        <w:t xml:space="preserve">. Perda do fazendeiro:</w:t>
      </w:r>
      <w:r>
        <w:t xml:space="preserve"> </w:t>
      </w:r>
      <m:oMath>
        <m:sSub>
          <m:e>
            <m:r>
              <m:t>π</m:t>
            </m:r>
          </m:e>
          <m:sub>
            <m:r>
              <m:t>F</m:t>
            </m:r>
          </m:sub>
        </m:sSub>
        <m:r>
          <m:rPr>
            <m:sty m:val="p"/>
          </m:rPr>
          <m:t>(</m:t>
        </m:r>
        <m:r>
          <m:t>20</m:t>
        </m:r>
        <m:r>
          <m:rPr>
            <m:sty m:val="p"/>
          </m:rPr>
          <m:t>)</m:t>
        </m:r>
        <m:r>
          <m:rPr>
            <m:sty m:val="p"/>
          </m:rPr>
          <m:t>−</m:t>
        </m:r>
        <m:sSub>
          <m:e>
            <m:r>
              <m:t>π</m:t>
            </m:r>
          </m:e>
          <m:sub>
            <m:r>
              <m:t>F</m:t>
            </m:r>
          </m:sub>
        </m:sSub>
        <m:r>
          <m:rPr>
            <m:sty m:val="p"/>
          </m:rPr>
          <m:t>(</m:t>
        </m:r>
        <m:r>
          <m:t>40</m:t>
        </m:r>
        <m:r>
          <m:rPr>
            <m:sty m:val="p"/>
          </m:rPr>
          <m:t>/</m:t>
        </m:r>
        <m:r>
          <m:t>3</m:t>
        </m:r>
        <m:r>
          <m:rPr>
            <m:sty m:val="p"/>
          </m:rPr>
          <m:t>)</m:t>
        </m:r>
        <m:r>
          <m:rPr>
            <m:sty m:val="p"/>
          </m:rPr>
          <m:t>=</m:t>
        </m:r>
        <m:r>
          <m:t>800</m:t>
        </m:r>
        <m:r>
          <m:rPr>
            <m:sty m:val="p"/>
          </m:rPr>
          <m:t>−</m:t>
        </m:r>
        <m:r>
          <m:t>711</m:t>
        </m:r>
        <m:r>
          <m:rPr>
            <m:sty m:val="p"/>
          </m:rPr>
          <m:t>,</m:t>
        </m:r>
        <m:r>
          <m:t>11</m:t>
        </m:r>
        <m:r>
          <m:rPr>
            <m:sty m:val="p"/>
          </m:rPr>
          <m:t>=</m:t>
        </m:r>
        <m:r>
          <m:t>88</m:t>
        </m:r>
        <m:r>
          <m:rPr>
            <m:sty m:val="p"/>
          </m:rPr>
          <m:t>,</m:t>
        </m:r>
        <m:r>
          <m:t>89</m:t>
        </m:r>
      </m:oMath>
      <w:r>
        <w:t xml:space="preserve">. Ganho do lavrador:</w:t>
      </w:r>
      <w:r>
        <w:t xml:space="preserve"> </w:t>
      </w:r>
      <m:oMath>
        <m:r>
          <m:t>D</m:t>
        </m:r>
        <m:r>
          <m:rPr>
            <m:sty m:val="p"/>
          </m:rPr>
          <m:t>(</m:t>
        </m:r>
        <m:r>
          <m:t>20</m:t>
        </m:r>
        <m:r>
          <m:rPr>
            <m:sty m:val="p"/>
          </m:rPr>
          <m:t>)</m:t>
        </m:r>
        <m:r>
          <m:rPr>
            <m:sty m:val="p"/>
          </m:rPr>
          <m:t>−</m:t>
        </m:r>
        <m:r>
          <m:t>D</m:t>
        </m:r>
        <m:r>
          <m:rPr>
            <m:sty m:val="p"/>
          </m:rPr>
          <m:t>(</m:t>
        </m:r>
        <m:r>
          <m:t>40</m:t>
        </m:r>
        <m:r>
          <m:rPr>
            <m:sty m:val="p"/>
          </m:rPr>
          <m:t>/</m:t>
        </m:r>
        <m:r>
          <m:t>3</m:t>
        </m:r>
        <m:r>
          <m:rPr>
            <m:sty m:val="p"/>
          </m:rPr>
          <m:t>)</m:t>
        </m:r>
        <m:r>
          <m:rPr>
            <m:sty m:val="p"/>
          </m:rPr>
          <m:t>=</m:t>
        </m:r>
        <m:r>
          <m:t>400</m:t>
        </m:r>
        <m:r>
          <m:rPr>
            <m:sty m:val="p"/>
          </m:rPr>
          <m:t>−</m:t>
        </m:r>
        <m:r>
          <m:t>177</m:t>
        </m:r>
        <m:r>
          <m:rPr>
            <m:sty m:val="p"/>
          </m:rPr>
          <m:t>,</m:t>
        </m:r>
        <m:r>
          <m:t>78</m:t>
        </m:r>
        <m:r>
          <m:rPr>
            <m:sty m:val="p"/>
          </m:rPr>
          <m:t>=</m:t>
        </m:r>
        <m:r>
          <m:t>222</m:t>
        </m:r>
        <m:r>
          <m:rPr>
            <m:sty m:val="p"/>
          </m:rPr>
          <m:t>,</m:t>
        </m:r>
        <m:r>
          <m:t>22</m:t>
        </m:r>
      </m:oMath>
      <w:r>
        <w:t xml:space="preserve">. Como</w:t>
      </w:r>
      <w:r>
        <w:t xml:space="preserve"> </w:t>
      </w:r>
      <m:oMath>
        <m:r>
          <m:t>222</m:t>
        </m:r>
        <m:r>
          <m:rPr>
            <m:sty m:val="p"/>
          </m:rPr>
          <m:t>,</m:t>
        </m:r>
        <m:r>
          <m:t>22</m:t>
        </m:r>
        <m:r>
          <m:rPr>
            <m:sty m:val="p"/>
          </m:rPr>
          <m:t>&gt;</m:t>
        </m:r>
        <m:r>
          <m:t>88</m:t>
        </m:r>
        <m:r>
          <m:rPr>
            <m:sty m:val="p"/>
          </m:rPr>
          <m:t>,</m:t>
        </m:r>
        <m:r>
          <m:t>89</m:t>
        </m:r>
      </m:oMath>
      <w:r>
        <w:t xml:space="preserve">, há espaço para acordo.</w:t>
      </w:r>
    </w:p>
    <w:p>
      <w:pPr>
        <w:pStyle w:val="BlockText"/>
      </w:pPr>
      <w:r>
        <w:t xml:space="preserve">Se o lavrador tem o direito: parte de</w:t>
      </w:r>
      <w:r>
        <w:t xml:space="preserve"> </w:t>
      </w:r>
      <m:oMath>
        <m:r>
          <m:t>n</m:t>
        </m:r>
        <m:r>
          <m:rPr>
            <m:sty m:val="p"/>
          </m:rPr>
          <m:t>=</m:t>
        </m:r>
        <m:r>
          <m:t>0</m:t>
        </m:r>
      </m:oMath>
      <w:r>
        <w:t xml:space="preserve">. O fazendeiro oferece</w:t>
      </w:r>
      <w:r>
        <w:t xml:space="preserve"> </w:t>
      </w:r>
      <m:oMath>
        <m:sSup>
          <m:e>
            <m:r>
              <m:t>T</m:t>
            </m:r>
          </m:e>
          <m:sup>
            <m:r>
              <m:rPr>
                <m:sty m:val="p"/>
              </m:rPr>
              <m:t>′</m:t>
            </m:r>
          </m:sup>
        </m:sSup>
      </m:oMath>
      <w:r>
        <w:t xml:space="preserve"> </w:t>
      </w:r>
      <w:r>
        <w:t xml:space="preserve">para criar</w:t>
      </w:r>
      <w:r>
        <w:t xml:space="preserve"> </w:t>
      </w:r>
      <m:oMath>
        <m:sSup>
          <m:e>
            <m:r>
              <m:t>n</m:t>
            </m:r>
          </m:e>
          <m:sup>
            <m:r>
              <m:t>s</m:t>
            </m:r>
            <m:r>
              <m:t>o</m:t>
            </m:r>
            <m:r>
              <m:t>c</m:t>
            </m:r>
          </m:sup>
        </m:sSup>
      </m:oMath>
      <w:r>
        <w:t xml:space="preserve"> </w:t>
      </w:r>
      <w:r>
        <w:t xml:space="preserve">cabeças. Ganho do fazendeiro:</w:t>
      </w:r>
      <w:r>
        <w:t xml:space="preserve"> </w:t>
      </w:r>
      <m:oMath>
        <m:sSub>
          <m:e>
            <m:r>
              <m:t>π</m:t>
            </m:r>
          </m:e>
          <m:sub>
            <m:r>
              <m:t>F</m:t>
            </m:r>
          </m:sub>
        </m:sSub>
        <m:r>
          <m:rPr>
            <m:sty m:val="p"/>
          </m:rPr>
          <m:t>(</m:t>
        </m:r>
        <m:r>
          <m:t>40</m:t>
        </m:r>
        <m:r>
          <m:rPr>
            <m:sty m:val="p"/>
          </m:rPr>
          <m:t>/</m:t>
        </m:r>
        <m:r>
          <m:t>3</m:t>
        </m:r>
        <m:r>
          <m:rPr>
            <m:sty m:val="p"/>
          </m:rPr>
          <m:t>)</m:t>
        </m:r>
        <m:r>
          <m:rPr>
            <m:sty m:val="p"/>
          </m:rPr>
          <m:t>=</m:t>
        </m:r>
        <m:r>
          <m:t>711</m:t>
        </m:r>
        <m:r>
          <m:rPr>
            <m:sty m:val="p"/>
          </m:rPr>
          <m:t>,</m:t>
        </m:r>
        <m:r>
          <m:t>11</m:t>
        </m:r>
      </m:oMath>
      <w:r>
        <w:t xml:space="preserve">. Dano ao lavrador:</w:t>
      </w:r>
      <w:r>
        <w:t xml:space="preserve"> </w:t>
      </w:r>
      <m:oMath>
        <m:r>
          <m:t>D</m:t>
        </m:r>
        <m:r>
          <m:rPr>
            <m:sty m:val="p"/>
          </m:rPr>
          <m:t>(</m:t>
        </m:r>
        <m:r>
          <m:t>40</m:t>
        </m:r>
        <m:r>
          <m:rPr>
            <m:sty m:val="p"/>
          </m:rPr>
          <m:t>/</m:t>
        </m:r>
        <m:r>
          <m:t>3</m:t>
        </m:r>
        <m:r>
          <m:rPr>
            <m:sty m:val="p"/>
          </m:rPr>
          <m:t>)</m:t>
        </m:r>
        <m:r>
          <m:rPr>
            <m:sty m:val="p"/>
          </m:rPr>
          <m:t>=</m:t>
        </m:r>
        <m:r>
          <m:t>177</m:t>
        </m:r>
        <m:r>
          <m:rPr>
            <m:sty m:val="p"/>
          </m:rPr>
          <m:t>,</m:t>
        </m:r>
        <m:r>
          <m:t>78</m:t>
        </m:r>
      </m:oMath>
      <w:r>
        <w:t xml:space="preserve">. Como</w:t>
      </w:r>
      <w:r>
        <w:t xml:space="preserve"> </w:t>
      </w:r>
      <m:oMath>
        <m:r>
          <m:t>711</m:t>
        </m:r>
        <m:r>
          <m:rPr>
            <m:sty m:val="p"/>
          </m:rPr>
          <m:t>,</m:t>
        </m:r>
        <m:r>
          <m:t>11</m:t>
        </m:r>
        <m:r>
          <m:rPr>
            <m:sty m:val="p"/>
          </m:rPr>
          <m:t>&gt;</m:t>
        </m:r>
        <m:r>
          <m:t>177</m:t>
        </m:r>
        <m:r>
          <m:rPr>
            <m:sty m:val="p"/>
          </m:rPr>
          <m:t>,</m:t>
        </m:r>
        <m:r>
          <m:t>78</m:t>
        </m:r>
      </m:oMath>
      <w:r>
        <w:t xml:space="preserve">, há espaço para acordo. Em ambos os casos,</w:t>
      </w:r>
      <w:r>
        <w:t xml:space="preserve"> </w:t>
      </w:r>
      <m:oMath>
        <m:r>
          <m:t>n</m:t>
        </m:r>
        <m:r>
          <m:rPr>
            <m:sty m:val="p"/>
          </m:rPr>
          <m:t>=</m:t>
        </m:r>
        <m:sSup>
          <m:e>
            <m:r>
              <m:t>n</m:t>
            </m:r>
          </m:e>
          <m:sup>
            <m:r>
              <m:t>s</m:t>
            </m:r>
            <m:r>
              <m:t>o</m:t>
            </m:r>
            <m:r>
              <m:t>c</m:t>
            </m:r>
          </m:sup>
        </m:sSup>
      </m:oMath>
      <w:r>
        <w:t xml:space="preserve">.</w:t>
      </w:r>
    </w:p>
    <w:p>
      <w:r>
        <w:pict>
          <v:rect style="width:0;height:1.5pt" o:hralign="center" o:hrstd="t" o:hr="t"/>
        </w:pict>
      </w:r>
    </w:p>
    <w:p>
      <w:pPr>
        <w:pStyle w:val="FirstParagraph"/>
      </w:pPr>
      <w:r>
        <w:t xml:space="preserve">[FIGURA INTERATIVA: /micro-book/graficos/cap20/teorema-coase.html — versao interativa disponivel online]</w:t>
      </w:r>
    </w:p>
    <w:p>
      <w:pPr>
        <w:pStyle w:val="BodyText"/>
      </w:pPr>
      <w:r>
        <w:rPr>
          <w:b/>
          <w:bCs/>
        </w:rPr>
        <w:t xml:space="preserve">Figura 20.2 — Teorema de Coase.</w:t>
      </w:r>
      <w:r>
        <w:t xml:space="preserve"> </w:t>
      </w:r>
      <w:r>
        <w:t xml:space="preserve">Alterne entre atribuir o direito de propriedade ao poluidor ou à vítima. Em ambos os casos, a negociação leva ao mesmo nível eficiente de poluição onde BMg = DMg. Apenas a direção da transferência muda.</w:t>
      </w:r>
    </w:p>
    <w:p>
      <w:r>
        <w:pict>
          <v:rect style="width:0;height:1.5pt" o:hralign="center" o:hrstd="t" o:hr="t"/>
        </w:pict>
      </w:r>
    </w:p>
    <w:p>
      <w:pPr>
        <w:pStyle w:val="FirstParagraph"/>
      </w:pPr>
      <w:r>
        <w:t xml:space="preserve">[FIGURA INTERATIVA: /micro-book/graficos/cap20/webr-coase.html — versao interativa disponivel online]</w:t>
      </w:r>
    </w:p>
    <w:p>
      <w:pPr>
        <w:pStyle w:val="BodyText"/>
      </w:pPr>
      <w:r>
        <w:rPr>
          <w:b/>
          <w:bCs/>
        </w:rPr>
        <w:t xml:space="preserve">WebR 20.2 — Simulação do Teorema de Coase.</w:t>
      </w:r>
      <w:r>
        <w:t xml:space="preserve"> </w:t>
      </w:r>
      <w:r>
        <w:t xml:space="preserve">Varie os parâmetros de lucro e dano e observe o intervalo de compensação viável.</w:t>
      </w:r>
    </w:p>
    <w:p>
      <w:r>
        <w:pict>
          <v:rect style="width:0;height:1.5pt" o:hralign="center" o:hrstd="t" o:hr="t"/>
        </w:pict>
      </w:r>
    </w:p>
    <w:bookmarkEnd w:id="1249"/>
    <w:bookmarkStart w:id="1250" w:name="regulação-direta-command-and-control"/>
    <w:p>
      <w:pPr>
        <w:pStyle w:val="Heading4"/>
      </w:pPr>
      <w:r>
        <w:t xml:space="preserve">20.4.3 Regulação direta (command and control)</w:t>
      </w:r>
    </w:p>
    <w:p>
      <w:pPr>
        <w:pStyle w:val="FirstParagraph"/>
      </w:pPr>
      <w:r>
        <w:t xml:space="preserve">A regulação direta consiste em impor limites quantitativos de emissão ou padrões tecnológicos às firmas poluidoras. Exemplos incluem:</w:t>
      </w:r>
    </w:p>
    <w:p>
      <w:pPr>
        <w:pStyle w:val="Compact"/>
        <w:numPr>
          <w:ilvl w:val="0"/>
          <w:numId w:val="2110"/>
        </w:numPr>
      </w:pPr>
      <w:r>
        <w:t xml:space="preserve">Limites máximos de emissão de poluentes (ex.: padrão CONAMA para emissões veiculares);</w:t>
      </w:r>
    </w:p>
    <w:p>
      <w:pPr>
        <w:pStyle w:val="Compact"/>
        <w:numPr>
          <w:ilvl w:val="0"/>
          <w:numId w:val="2110"/>
        </w:numPr>
      </w:pPr>
      <w:r>
        <w:t xml:space="preserve">Obrigatoriedade de uso de tecnologia de controle (ex.: catalisadores);</w:t>
      </w:r>
    </w:p>
    <w:p>
      <w:pPr>
        <w:pStyle w:val="Compact"/>
        <w:numPr>
          <w:ilvl w:val="0"/>
          <w:numId w:val="2110"/>
        </w:numPr>
      </w:pPr>
      <w:r>
        <w:t xml:space="preserve">Zoneamento industrial (restrições de localização).</w:t>
      </w:r>
    </w:p>
    <w:p>
      <w:pPr>
        <w:pStyle w:val="FirstParagraph"/>
      </w:pPr>
      <w:r>
        <w:t xml:space="preserve">A principal desvantagem da regulação direta é que ela tipicamente não é</w:t>
      </w:r>
      <w:r>
        <w:t xml:space="preserve"> </w:t>
      </w:r>
      <w:r>
        <w:rPr>
          <w:b/>
          <w:bCs/>
        </w:rPr>
        <w:t xml:space="preserve">custo-efetiva</w:t>
      </w:r>
      <w:r>
        <w:t xml:space="preserve">: ao impor o mesmo padrão a todas as firmas, não explora as diferenças nos custos marginais de abatimento. Firmas com custos de abatimento baixos deveriam reduzir mais emissões, e firmas com custos altos, menos — algo que um imposto ou mercado de permissões faz automaticamente.</w:t>
      </w:r>
    </w:p>
    <w:bookmarkEnd w:id="1250"/>
    <w:bookmarkStart w:id="1251" w:name="X8d6590eb6b9ca72ab586404d83234e063687b48"/>
    <w:p>
      <w:pPr>
        <w:pStyle w:val="Heading4"/>
      </w:pPr>
      <w:r>
        <w:t xml:space="preserve">20.4.4 Mercados de permissão de emissão (cap and trade)</w:t>
      </w:r>
    </w:p>
    <w:p>
      <w:pPr>
        <w:pStyle w:val="BlockText"/>
      </w:pPr>
      <w:r>
        <w:rPr>
          <w:b/>
          <w:bCs/>
        </w:rPr>
        <w:t xml:space="preserve">[DEFINICAO] Mercado de Permissões de Emissão (Cap and Trade)</w:t>
      </w:r>
    </w:p>
    <w:p>
      <w:pPr>
        <w:pStyle w:val="BlockText"/>
      </w:pPr>
      <w:r>
        <w:t xml:space="preserve">Sistema em que o regulador fixa um</w:t>
      </w:r>
      <w:r>
        <w:t xml:space="preserve"> </w:t>
      </w:r>
      <w:r>
        <w:rPr>
          <w:b/>
          <w:bCs/>
        </w:rPr>
        <w:t xml:space="preserve">teto</w:t>
      </w:r>
      <w:r>
        <w:t xml:space="preserve"> </w:t>
      </w:r>
      <w:r>
        <w:t xml:space="preserve">(cap) total de emissões e distribui</w:t>
      </w:r>
      <w:r>
        <w:t xml:space="preserve"> </w:t>
      </w:r>
      <w:r>
        <w:rPr>
          <w:b/>
          <w:bCs/>
        </w:rPr>
        <w:t xml:space="preserve">permissões negociáveis</w:t>
      </w:r>
      <w:r>
        <w:t xml:space="preserve"> </w:t>
      </w:r>
      <w:r>
        <w:t xml:space="preserve">entre as firmas. As firmas podem comprar e vender permissões no mercado. Em equilíbrio, o preço da permissão iguala o custo marginal de abatimento entre todas as firmas, garantindo</w:t>
      </w:r>
      <w:r>
        <w:t xml:space="preserve"> </w:t>
      </w:r>
      <w:r>
        <w:rPr>
          <w:b/>
          <w:bCs/>
        </w:rPr>
        <w:t xml:space="preserve">custo-efetividade</w:t>
      </w:r>
      <w:r>
        <w:t xml:space="preserve">.</w:t>
      </w:r>
    </w:p>
    <w:p>
      <w:pPr>
        <w:pStyle w:val="FirstParagraph"/>
      </w:pPr>
      <w:r>
        <w:t xml:space="preserve">Se o teto é fixado no nível socialmente ótimo de emissões</w:t>
      </w:r>
      <w:r>
        <w:t xml:space="preserve"> </w:t>
      </w:r>
      <m:oMath>
        <m:acc>
          <m:accPr>
            <m:chr m:val="‾"/>
          </m:accPr>
          <m:e>
            <m:r>
              <m:t>E</m:t>
            </m:r>
          </m:e>
        </m:acc>
      </m:oMath>
      <w:r>
        <w:t xml:space="preserve">, e o mercado de permissões é competitivo, o preço de equilíbrio da permissão é exatamente igual ao imposto pigouviano ótimo:</w:t>
      </w:r>
    </w:p>
    <w:p>
      <w:pPr>
        <w:pStyle w:val="BodyText"/>
      </w:pPr>
      <m:oMathPara>
        <m:oMathParaPr>
          <m:jc m:val="center"/>
        </m:oMathParaPr>
        <m:oMath>
          <m:sSub>
            <m:e>
              <m:r>
                <m:t>p</m:t>
              </m:r>
            </m:e>
            <m:sub>
              <m:r>
                <m:t>E</m:t>
              </m:r>
            </m:sub>
          </m:sSub>
          <m:r>
            <m:rPr>
              <m:sty m:val="p"/>
            </m:rPr>
            <m:t>=</m:t>
          </m:r>
          <m:sSup>
            <m:e>
              <m:r>
                <m:t>t</m:t>
              </m:r>
            </m:e>
            <m:sup>
              <m:r>
                <m:rPr>
                  <m:sty m:val="p"/>
                </m:rPr>
                <m:t>*</m:t>
              </m:r>
            </m:sup>
          </m:sSup>
          <m:r>
            <m:rPr>
              <m:sty m:val="p"/>
            </m:rPr>
            <m:t>=</m:t>
          </m:r>
          <m:sSup>
            <m:e>
              <m:r>
                <m:t>E</m:t>
              </m:r>
            </m:e>
            <m:sup>
              <m:r>
                <m:rPr>
                  <m:sty m:val="p"/>
                </m:rPr>
                <m:t>′</m:t>
              </m:r>
            </m:sup>
          </m:sSup>
          <m:r>
            <m:rPr>
              <m:sty m:val="p"/>
            </m:rPr>
            <m:t>(</m:t>
          </m:r>
          <m:sSup>
            <m:e>
              <m:r>
                <m:t>q</m:t>
              </m:r>
            </m:e>
            <m:sup>
              <m:r>
                <m:t>s</m:t>
              </m:r>
              <m:r>
                <m:t>o</m:t>
              </m:r>
              <m:r>
                <m:t>c</m:t>
              </m:r>
            </m:sup>
          </m:sSup>
          <m:r>
            <m:rPr>
              <m:sty m:val="p"/>
            </m:rPr>
            <m:t>)</m:t>
          </m:r>
        </m:oMath>
      </m:oMathPara>
    </w:p>
    <w:p>
      <w:pPr>
        <w:pStyle w:val="FirstParagraph"/>
      </w:pPr>
      <w:r>
        <w:t xml:space="preserve">A equivalência entre imposto e cap-and-trade sob certeza (Weitzman, 1974) é um resultado fundamental. Sob</w:t>
      </w:r>
      <w:r>
        <w:t xml:space="preserve"> </w:t>
      </w:r>
      <w:r>
        <w:rPr>
          <w:b/>
          <w:bCs/>
        </w:rPr>
        <w:t xml:space="preserve">incerteza</w:t>
      </w:r>
      <w:r>
        <w:t xml:space="preserve">, porém, os instrumentos diferem: o imposto fixa o preço e deixa a quantidade flutuar; o cap fixa a quantidade e deixa o preço flutuar. A escolha ótima depende das elasticidades relativas dos custos de abatimento e dos danos marginais.</w:t>
      </w:r>
    </w:p>
    <w:p>
      <w:pPr>
        <w:pStyle w:val="BlockText"/>
      </w:pPr>
      <w:r>
        <w:rPr>
          <w:b/>
          <w:bCs/>
        </w:rPr>
        <w:t xml:space="preserve">[EXERCICIO RESOLVIDO] Exercício Resolvido 20.3 —Cap-and-trade com duas firmas</w:t>
      </w:r>
    </w:p>
    <w:p>
      <w:pPr>
        <w:pStyle w:val="BlockText"/>
      </w:pPr>
      <w:r>
        <w:rPr>
          <w:b/>
          <w:bCs/>
        </w:rPr>
        <w:t xml:space="preserve">Enunciado.</w:t>
      </w:r>
      <w:r>
        <w:t xml:space="preserve"> </w:t>
      </w:r>
      <w:r>
        <w:t xml:space="preserve">Duas firmas emitem 100 ton cada. Custos de abatimento:</w:t>
      </w:r>
      <w:r>
        <w:t xml:space="preserve"> </w:t>
      </w:r>
      <m:oMath>
        <m:r>
          <m:t>C</m:t>
        </m:r>
        <m:sSub>
          <m:e>
            <m:r>
              <m:t>A</m:t>
            </m:r>
          </m:e>
          <m:sub>
            <m:r>
              <m:t>1</m:t>
            </m:r>
          </m:sub>
        </m:sSub>
        <m:r>
          <m:rPr>
            <m:sty m:val="p"/>
          </m:rPr>
          <m:t>(</m:t>
        </m:r>
        <m:sSub>
          <m:e>
            <m:r>
              <m:t>a</m:t>
            </m:r>
          </m:e>
          <m:sub>
            <m:r>
              <m:t>1</m:t>
            </m:r>
          </m:sub>
        </m:sSub>
        <m:r>
          <m:rPr>
            <m:sty m:val="p"/>
          </m:rPr>
          <m:t>)</m:t>
        </m:r>
        <m:r>
          <m:rPr>
            <m:sty m:val="p"/>
          </m:rPr>
          <m:t>=</m:t>
        </m:r>
        <m:r>
          <m:t>3</m:t>
        </m:r>
        <m:sSubSup>
          <m:e>
            <m:r>
              <m:t>a</m:t>
            </m:r>
          </m:e>
          <m:sub>
            <m:r>
              <m:t>1</m:t>
            </m:r>
          </m:sub>
          <m:sup>
            <m:r>
              <m:t>2</m:t>
            </m:r>
          </m:sup>
        </m:sSubSup>
      </m:oMath>
      <w:r>
        <w:t xml:space="preserve">,</w:t>
      </w:r>
      <w:r>
        <w:t xml:space="preserve"> </w:t>
      </w:r>
      <m:oMath>
        <m:r>
          <m:t>C</m:t>
        </m:r>
        <m:sSub>
          <m:e>
            <m:r>
              <m:t>A</m:t>
            </m:r>
          </m:e>
          <m:sub>
            <m:r>
              <m:t>2</m:t>
            </m:r>
          </m:sub>
        </m:sSub>
        <m:r>
          <m:rPr>
            <m:sty m:val="p"/>
          </m:rPr>
          <m:t>(</m:t>
        </m:r>
        <m:sSub>
          <m:e>
            <m:r>
              <m:t>a</m:t>
            </m:r>
          </m:e>
          <m:sub>
            <m:r>
              <m:t>2</m:t>
            </m:r>
          </m:sub>
        </m:sSub>
        <m:r>
          <m:rPr>
            <m:sty m:val="p"/>
          </m:rPr>
          <m:t>)</m:t>
        </m:r>
        <m:r>
          <m:rPr>
            <m:sty m:val="p"/>
          </m:rPr>
          <m:t>=</m:t>
        </m:r>
        <m:sSubSup>
          <m:e>
            <m:r>
              <m:t>a</m:t>
            </m:r>
          </m:e>
          <m:sub>
            <m:r>
              <m:t>2</m:t>
            </m:r>
          </m:sub>
          <m:sup>
            <m:r>
              <m:t>2</m:t>
            </m:r>
          </m:sup>
        </m:sSubSup>
      </m:oMath>
      <w:r>
        <w:t xml:space="preserve">. O regulador impõe redução total de 80 ton. (a) Encontre a alocação custo-efetiva. (b) Calcule o preço de equilíbrio da permissão. (c) Compare com abatimento uniforme.</w:t>
      </w:r>
    </w:p>
    <w:p>
      <w:pPr>
        <w:pStyle w:val="BlockText"/>
      </w:pPr>
      <w:r>
        <w:rPr>
          <w:b/>
          <w:bCs/>
        </w:rPr>
        <w:t xml:space="preserve">Solução.</w:t>
      </w:r>
    </w:p>
    <w:p>
      <w:pPr>
        <w:pStyle w:val="BlockText"/>
      </w:pPr>
      <w:r>
        <w:rPr>
          <w:b/>
          <w:bCs/>
        </w:rPr>
        <w:t xml:space="preserve">(a)</w:t>
      </w:r>
      <w:r>
        <w:t xml:space="preserve"> </w:t>
      </w:r>
      <w:r>
        <w:t xml:space="preserve">Equalização de custos marginais:</w:t>
      </w:r>
      <w:r>
        <w:t xml:space="preserve"> </w:t>
      </w:r>
      <m:oMath>
        <m:r>
          <m:t>C</m:t>
        </m:r>
        <m:r>
          <m:t>M</m:t>
        </m:r>
        <m:r>
          <m:t>g</m:t>
        </m:r>
        <m:sSub>
          <m:e>
            <m:r>
              <m:t>A</m:t>
            </m:r>
          </m:e>
          <m:sub>
            <m:r>
              <m:t>1</m:t>
            </m:r>
          </m:sub>
        </m:sSub>
        <m:r>
          <m:rPr>
            <m:sty m:val="p"/>
          </m:rPr>
          <m:t>=</m:t>
        </m:r>
        <m:r>
          <m:t>C</m:t>
        </m:r>
        <m:r>
          <m:t>M</m:t>
        </m:r>
        <m:r>
          <m:t>g</m:t>
        </m:r>
        <m:sSub>
          <m:e>
            <m:r>
              <m:t>A</m:t>
            </m:r>
          </m:e>
          <m:sub>
            <m:r>
              <m:t>2</m:t>
            </m:r>
          </m:sub>
        </m:sSub>
        <m:r>
          <m:rPr>
            <m:sty m:val="p"/>
          </m:rPr>
          <m:t>⟹</m:t>
        </m:r>
        <m:r>
          <m:t>6</m:t>
        </m:r>
        <m:sSub>
          <m:e>
            <m:r>
              <m:t>a</m:t>
            </m:r>
          </m:e>
          <m:sub>
            <m:r>
              <m:t>1</m:t>
            </m:r>
          </m:sub>
        </m:sSub>
        <m:r>
          <m:rPr>
            <m:sty m:val="p"/>
          </m:rPr>
          <m:t>=</m:t>
        </m:r>
        <m:r>
          <m:t>2</m:t>
        </m:r>
        <m:sSub>
          <m:e>
            <m:r>
              <m:t>a</m:t>
            </m:r>
          </m:e>
          <m:sub>
            <m:r>
              <m:t>2</m:t>
            </m:r>
          </m:sub>
        </m:sSub>
        <m:r>
          <m:rPr>
            <m:sty m:val="p"/>
          </m:rPr>
          <m:t>⟹</m:t>
        </m:r>
        <m:sSub>
          <m:e>
            <m:r>
              <m:t>a</m:t>
            </m:r>
          </m:e>
          <m:sub>
            <m:r>
              <m:t>2</m:t>
            </m:r>
          </m:sub>
        </m:sSub>
        <m:r>
          <m:rPr>
            <m:sty m:val="p"/>
          </m:rPr>
          <m:t>=</m:t>
        </m:r>
        <m:r>
          <m:t>3</m:t>
        </m:r>
        <m:sSub>
          <m:e>
            <m:r>
              <m:t>a</m:t>
            </m:r>
          </m:e>
          <m:sub>
            <m:r>
              <m:t>1</m:t>
            </m:r>
          </m:sub>
        </m:sSub>
      </m:oMath>
      <w:r>
        <w:t xml:space="preserve">. Restrição:</w:t>
      </w:r>
      <w:r>
        <w:t xml:space="preserve"> </w:t>
      </w:r>
      <m:oMath>
        <m:sSub>
          <m:e>
            <m:r>
              <m:t>a</m:t>
            </m:r>
          </m:e>
          <m:sub>
            <m:r>
              <m:t>1</m:t>
            </m:r>
          </m:sub>
        </m:sSub>
        <m:r>
          <m:rPr>
            <m:sty m:val="p"/>
          </m:rPr>
          <m:t>+</m:t>
        </m:r>
        <m:r>
          <m:t>3</m:t>
        </m:r>
        <m:sSub>
          <m:e>
            <m:r>
              <m:t>a</m:t>
            </m:r>
          </m:e>
          <m:sub>
            <m:r>
              <m:t>1</m:t>
            </m:r>
          </m:sub>
        </m:sSub>
        <m:r>
          <m:rPr>
            <m:sty m:val="p"/>
          </m:rPr>
          <m:t>=</m:t>
        </m:r>
        <m:r>
          <m:t>80</m:t>
        </m:r>
        <m:r>
          <m:rPr>
            <m:sty m:val="p"/>
          </m:rPr>
          <m:t>⟹</m:t>
        </m:r>
        <m:sSub>
          <m:e>
            <m:r>
              <m:t>a</m:t>
            </m:r>
          </m:e>
          <m:sub>
            <m:r>
              <m:t>1</m:t>
            </m:r>
          </m:sub>
        </m:sSub>
        <m:r>
          <m:rPr>
            <m:sty m:val="p"/>
          </m:rPr>
          <m:t>=</m:t>
        </m:r>
        <m:r>
          <m:t>20</m:t>
        </m:r>
      </m:oMath>
      <w:r>
        <w:t xml:space="preserve">,</w:t>
      </w:r>
      <w:r>
        <w:t xml:space="preserve"> </w:t>
      </w:r>
      <m:oMath>
        <m:sSub>
          <m:e>
            <m:r>
              <m:t>a</m:t>
            </m:r>
          </m:e>
          <m:sub>
            <m:r>
              <m:t>2</m:t>
            </m:r>
          </m:sub>
        </m:sSub>
        <m:r>
          <m:rPr>
            <m:sty m:val="p"/>
          </m:rPr>
          <m:t>=</m:t>
        </m:r>
        <m:r>
          <m:t>60</m:t>
        </m:r>
      </m:oMath>
      <w:r>
        <w:t xml:space="preserve">.</w:t>
      </w:r>
    </w:p>
    <w:p>
      <w:pPr>
        <w:pStyle w:val="BlockText"/>
      </w:pPr>
      <w:r>
        <w:rPr>
          <w:b/>
          <w:bCs/>
        </w:rPr>
        <w:t xml:space="preserve">(b)</w:t>
      </w:r>
      <w:r>
        <w:t xml:space="preserve"> </w:t>
      </w:r>
      <m:oMath>
        <m:r>
          <m:t>p</m:t>
        </m:r>
        <m:r>
          <m:rPr>
            <m:sty m:val="p"/>
          </m:rPr>
          <m:t>=</m:t>
        </m:r>
        <m:r>
          <m:t>C</m:t>
        </m:r>
        <m:r>
          <m:t>M</m:t>
        </m:r>
        <m:r>
          <m:t>g</m:t>
        </m:r>
        <m:sSub>
          <m:e>
            <m:r>
              <m:t>A</m:t>
            </m:r>
          </m:e>
          <m:sub>
            <m:r>
              <m:t>1</m:t>
            </m:r>
          </m:sub>
        </m:sSub>
        <m:r>
          <m:rPr>
            <m:sty m:val="p"/>
          </m:rPr>
          <m:t>(</m:t>
        </m:r>
        <m:r>
          <m:t>20</m:t>
        </m:r>
        <m:r>
          <m:rPr>
            <m:sty m:val="p"/>
          </m:rPr>
          <m:t>)</m:t>
        </m:r>
        <m:r>
          <m:rPr>
            <m:sty m:val="p"/>
          </m:rPr>
          <m:t>=</m:t>
        </m:r>
        <m:r>
          <m:t>6</m:t>
        </m:r>
        <m:r>
          <m:rPr>
            <m:sty m:val="p"/>
          </m:rPr>
          <m:t>×</m:t>
        </m:r>
        <m:r>
          <m:t>20</m:t>
        </m:r>
        <m:r>
          <m:rPr>
            <m:sty m:val="p"/>
          </m:rPr>
          <m:t>=</m:t>
        </m:r>
        <m:r>
          <m:t>120</m:t>
        </m:r>
        <m:r>
          <m:rPr>
            <m:sty m:val="p"/>
          </m:rPr>
          <m:t>=</m:t>
        </m:r>
        <m:r>
          <m:t>C</m:t>
        </m:r>
        <m:r>
          <m:t>M</m:t>
        </m:r>
        <m:r>
          <m:t>g</m:t>
        </m:r>
        <m:sSub>
          <m:e>
            <m:r>
              <m:t>A</m:t>
            </m:r>
          </m:e>
          <m:sub>
            <m:r>
              <m:t>2</m:t>
            </m:r>
          </m:sub>
        </m:sSub>
        <m:r>
          <m:rPr>
            <m:sty m:val="p"/>
          </m:rPr>
          <m:t>(</m:t>
        </m:r>
        <m:r>
          <m:t>60</m:t>
        </m:r>
        <m:r>
          <m:rPr>
            <m:sty m:val="p"/>
          </m:rPr>
          <m:t>)</m:t>
        </m:r>
        <m:r>
          <m:rPr>
            <m:sty m:val="p"/>
          </m:rPr>
          <m:t>=</m:t>
        </m:r>
        <m:r>
          <m:t>2</m:t>
        </m:r>
        <m:r>
          <m:rPr>
            <m:sty m:val="p"/>
          </m:rPr>
          <m:t>×</m:t>
        </m:r>
        <m:r>
          <m:t>60</m:t>
        </m:r>
        <m:r>
          <m:rPr>
            <m:sty m:val="p"/>
          </m:rPr>
          <m:t>=</m:t>
        </m:r>
        <m:r>
          <m:t>120</m:t>
        </m:r>
      </m:oMath>
      <w:r>
        <w:t xml:space="preserve">.</w:t>
      </w:r>
      <w:r>
        <w:t xml:space="preserve"> </w:t>
      </w:r>
      <m:oMath>
        <m:r>
          <m:rPr>
            <m:sty m:val="p"/>
          </m:rPr>
          <m:t>✓</m:t>
        </m:r>
      </m:oMath>
    </w:p>
    <w:p>
      <w:pPr>
        <w:pStyle w:val="BlockText"/>
      </w:pPr>
      <w:r>
        <w:rPr>
          <w:b/>
          <w:bCs/>
        </w:rPr>
        <w:t xml:space="preserve">(c)</w:t>
      </w:r>
      <w:r>
        <w:t xml:space="preserve"> </w:t>
      </w:r>
      <w:r>
        <w:t xml:space="preserve">Custo eficiente:</w:t>
      </w:r>
      <w:r>
        <w:t xml:space="preserve"> </w:t>
      </w:r>
      <m:oMath>
        <m:r>
          <m:t>3</m:t>
        </m:r>
        <m:r>
          <m:rPr>
            <m:sty m:val="p"/>
          </m:rPr>
          <m:t>(</m:t>
        </m:r>
        <m:r>
          <m:t>20</m:t>
        </m:r>
        <m:sSup>
          <m:e>
            <m:r>
              <m:rPr>
                <m:sty m:val="p"/>
              </m:rPr>
              <m:t>)</m:t>
            </m:r>
          </m:e>
          <m:sup>
            <m:r>
              <m:t>2</m:t>
            </m:r>
          </m:sup>
        </m:sSup>
        <m:r>
          <m:rPr>
            <m:sty m:val="p"/>
          </m:rPr>
          <m:t>+</m:t>
        </m:r>
        <m:r>
          <m:rPr>
            <m:sty m:val="p"/>
          </m:rPr>
          <m:t>(</m:t>
        </m:r>
        <m:r>
          <m:t>60</m:t>
        </m:r>
        <m:sSup>
          <m:e>
            <m:r>
              <m:rPr>
                <m:sty m:val="p"/>
              </m:rPr>
              <m:t>)</m:t>
            </m:r>
          </m:e>
          <m:sup>
            <m:r>
              <m:t>2</m:t>
            </m:r>
          </m:sup>
        </m:sSup>
        <m:r>
          <m:rPr>
            <m:sty m:val="p"/>
          </m:rPr>
          <m:t>=</m:t>
        </m:r>
        <m:r>
          <m:t>1200</m:t>
        </m:r>
        <m:r>
          <m:rPr>
            <m:sty m:val="p"/>
          </m:rPr>
          <m:t>+</m:t>
        </m:r>
        <m:r>
          <m:t>3600</m:t>
        </m:r>
        <m:r>
          <m:rPr>
            <m:sty m:val="p"/>
          </m:rPr>
          <m:t>=</m:t>
        </m:r>
        <m:r>
          <m:t>4800</m:t>
        </m:r>
      </m:oMath>
      <w:r>
        <w:t xml:space="preserve">. Uniforme (</w:t>
      </w:r>
      <m:oMath>
        <m:sSub>
          <m:e>
            <m:r>
              <m:t>a</m:t>
            </m:r>
          </m:e>
          <m:sub>
            <m:r>
              <m:t>i</m:t>
            </m:r>
          </m:sub>
        </m:sSub>
        <m:r>
          <m:rPr>
            <m:sty m:val="p"/>
          </m:rPr>
          <m:t>=</m:t>
        </m:r>
        <m:r>
          <m:t>40</m:t>
        </m:r>
      </m:oMath>
      <w:r>
        <w:t xml:space="preserve">):</w:t>
      </w:r>
      <w:r>
        <w:t xml:space="preserve"> </w:t>
      </w:r>
      <m:oMath>
        <m:r>
          <m:t>3</m:t>
        </m:r>
        <m:r>
          <m:rPr>
            <m:sty m:val="p"/>
          </m:rPr>
          <m:t>(</m:t>
        </m:r>
        <m:r>
          <m:t>40</m:t>
        </m:r>
        <m:sSup>
          <m:e>
            <m:r>
              <m:rPr>
                <m:sty m:val="p"/>
              </m:rPr>
              <m:t>)</m:t>
            </m:r>
          </m:e>
          <m:sup>
            <m:r>
              <m:t>2</m:t>
            </m:r>
          </m:sup>
        </m:sSup>
        <m:r>
          <m:rPr>
            <m:sty m:val="p"/>
          </m:rPr>
          <m:t>+</m:t>
        </m:r>
        <m:r>
          <m:rPr>
            <m:sty m:val="p"/>
          </m:rPr>
          <m:t>(</m:t>
        </m:r>
        <m:r>
          <m:t>40</m:t>
        </m:r>
        <m:sSup>
          <m:e>
            <m:r>
              <m:rPr>
                <m:sty m:val="p"/>
              </m:rPr>
              <m:t>)</m:t>
            </m:r>
          </m:e>
          <m:sup>
            <m:r>
              <m:t>2</m:t>
            </m:r>
          </m:sup>
        </m:sSup>
        <m:r>
          <m:rPr>
            <m:sty m:val="p"/>
          </m:rPr>
          <m:t>=</m:t>
        </m:r>
        <m:r>
          <m:t>4800</m:t>
        </m:r>
        <m:r>
          <m:rPr>
            <m:sty m:val="p"/>
          </m:rPr>
          <m:t>+</m:t>
        </m:r>
        <m:r>
          <m:t>1600</m:t>
        </m:r>
        <m:r>
          <m:rPr>
            <m:sty m:val="p"/>
          </m:rPr>
          <m:t>=</m:t>
        </m:r>
        <m:r>
          <m:t>6400</m:t>
        </m:r>
      </m:oMath>
      <w:r>
        <w:t xml:space="preserve">. Economia:</w:t>
      </w:r>
      <w:r>
        <w:t xml:space="preserve"> </w:t>
      </w:r>
      <m:oMath>
        <m:r>
          <m:t>6400</m:t>
        </m:r>
        <m:r>
          <m:rPr>
            <m:sty m:val="p"/>
          </m:rPr>
          <m:t>−</m:t>
        </m:r>
        <m:r>
          <m:t>4800</m:t>
        </m:r>
        <m:r>
          <m:rPr>
            <m:sty m:val="p"/>
          </m:rPr>
          <m:t>=</m:t>
        </m:r>
        <m:r>
          <m:t>1600</m:t>
        </m:r>
      </m:oMath>
      <w:r>
        <w:t xml:space="preserve"> </w:t>
      </w:r>
      <w:r>
        <w:t xml:space="preserve">(25%).</w:t>
      </w:r>
    </w:p>
    <w:p>
      <w:pPr>
        <w:pStyle w:val="BlockText"/>
      </w:pPr>
      <w:r>
        <w:rPr>
          <w:b/>
          <w:bCs/>
        </w:rPr>
        <w:t xml:space="preserve">[EXERCICIO RESOLVIDO] Exercício Resolvido 20.4 —Imposto vs. cap-and-trade sob incerteza (Weitzman)</w:t>
      </w:r>
    </w:p>
    <w:p>
      <w:pPr>
        <w:pStyle w:val="BlockText"/>
      </w:pPr>
      <w:r>
        <w:rPr>
          <w:b/>
          <w:bCs/>
        </w:rPr>
        <w:t xml:space="preserve">Enunciado.</w:t>
      </w:r>
      <w:r>
        <w:t xml:space="preserve"> </w:t>
      </w:r>
      <w:r>
        <w:t xml:space="preserve">O regulador estima o custo marginal de abatimento como</w:t>
      </w:r>
      <w:r>
        <w:t xml:space="preserve"> </w:t>
      </w:r>
      <m:oMath>
        <m:r>
          <m:t>C</m:t>
        </m:r>
        <m:r>
          <m:t>M</m:t>
        </m:r>
        <m:r>
          <m:t>g</m:t>
        </m:r>
        <m:r>
          <m:t>A</m:t>
        </m:r>
        <m:r>
          <m:rPr>
            <m:sty m:val="p"/>
          </m:rPr>
          <m:t>=</m:t>
        </m:r>
        <m:r>
          <m:t>2</m:t>
        </m:r>
        <m:r>
          <m:t>a</m:t>
        </m:r>
      </m:oMath>
      <w:r>
        <w:t xml:space="preserve">, mas o verdadeiro é</w:t>
      </w:r>
      <w:r>
        <w:t xml:space="preserve"> </w:t>
      </w:r>
      <m:oMath>
        <m:r>
          <m:t>C</m:t>
        </m:r>
        <m:r>
          <m:t>M</m:t>
        </m:r>
        <m:r>
          <m:t>g</m:t>
        </m:r>
        <m:r>
          <m:t>A</m:t>
        </m:r>
        <m:r>
          <m:rPr>
            <m:sty m:val="p"/>
          </m:rPr>
          <m:t>=</m:t>
        </m:r>
        <m:r>
          <m:t>4</m:t>
        </m:r>
        <m:r>
          <m:t>a</m:t>
        </m:r>
      </m:oMath>
      <w:r>
        <w:t xml:space="preserve">. O dano marginal é constante:</w:t>
      </w:r>
      <w:r>
        <w:t xml:space="preserve"> </w:t>
      </w:r>
      <m:oMath>
        <m:sSup>
          <m:e>
            <m:r>
              <m:t>D</m:t>
            </m:r>
          </m:e>
          <m:sup>
            <m:r>
              <m:rPr>
                <m:sty m:val="p"/>
              </m:rPr>
              <m:t>′</m:t>
            </m:r>
          </m:sup>
        </m:sSup>
        <m:r>
          <m:rPr>
            <m:sty m:val="p"/>
          </m:rPr>
          <m:t>=</m:t>
        </m:r>
        <m:r>
          <m:t>60</m:t>
        </m:r>
      </m:oMath>
      <w:r>
        <w:t xml:space="preserve">. Compare os resultados sob imposto</w:t>
      </w:r>
      <w:r>
        <w:t xml:space="preserve"> </w:t>
      </w:r>
      <m:oMath>
        <m:r>
          <m:t>t</m:t>
        </m:r>
        <m:r>
          <m:rPr>
            <m:sty m:val="p"/>
          </m:rPr>
          <m:t>=</m:t>
        </m:r>
        <m:r>
          <m:t>60</m:t>
        </m:r>
      </m:oMath>
      <w:r>
        <w:t xml:space="preserve"> </w:t>
      </w:r>
      <w:r>
        <w:t xml:space="preserve">e cap</w:t>
      </w:r>
      <w:r>
        <w:t xml:space="preserve"> </w:t>
      </w:r>
      <m:oMath>
        <m:acc>
          <m:accPr>
            <m:chr m:val="‾"/>
          </m:accPr>
          <m:e>
            <m:r>
              <m:t>a</m:t>
            </m:r>
          </m:e>
        </m:acc>
        <m:r>
          <m:rPr>
            <m:sty m:val="p"/>
          </m:rPr>
          <m:t>=</m:t>
        </m:r>
        <m:r>
          <m:t>30</m:t>
        </m:r>
      </m:oMath>
      <w:r>
        <w:t xml:space="preserve">.</w:t>
      </w:r>
    </w:p>
    <w:p>
      <w:pPr>
        <w:pStyle w:val="BlockText"/>
      </w:pPr>
      <w:r>
        <w:rPr>
          <w:b/>
          <w:bCs/>
        </w:rPr>
        <w:t xml:space="preserve">Solução.</w:t>
      </w:r>
    </w:p>
    <w:p>
      <w:pPr>
        <w:pStyle w:val="BlockText"/>
      </w:pPr>
      <w:r>
        <w:t xml:space="preserve">Com</w:t>
      </w:r>
      <w:r>
        <w:t xml:space="preserve"> </w:t>
      </w:r>
      <w:r>
        <w:rPr>
          <w:b/>
          <w:bCs/>
        </w:rPr>
        <w:t xml:space="preserve">imposto</w:t>
      </w:r>
      <w:r>
        <w:t xml:space="preserve"> </w:t>
      </w:r>
      <m:oMath>
        <m:r>
          <m:t>t</m:t>
        </m:r>
        <m:r>
          <m:rPr>
            <m:sty m:val="p"/>
          </m:rPr>
          <m:t>=</m:t>
        </m:r>
        <m:r>
          <m:t>60</m:t>
        </m:r>
      </m:oMath>
      <w:r>
        <w:t xml:space="preserve">: a firma abate até</w:t>
      </w:r>
      <w:r>
        <w:t xml:space="preserve"> </w:t>
      </w:r>
      <m:oMath>
        <m:r>
          <m:t>4</m:t>
        </m:r>
        <m:r>
          <m:t>a</m:t>
        </m:r>
        <m:r>
          <m:rPr>
            <m:sty m:val="p"/>
          </m:rPr>
          <m:t>=</m:t>
        </m:r>
        <m:r>
          <m:t>60</m:t>
        </m:r>
        <m:r>
          <m:rPr>
            <m:sty m:val="p"/>
          </m:rPr>
          <m:t>⟹</m:t>
        </m:r>
        <m:r>
          <m:t>a</m:t>
        </m:r>
        <m:r>
          <m:rPr>
            <m:sty m:val="p"/>
          </m:rPr>
          <m:t>=</m:t>
        </m:r>
        <m:r>
          <m:t>15</m:t>
        </m:r>
      </m:oMath>
      <w:r>
        <w:t xml:space="preserve"> </w:t>
      </w:r>
      <w:r>
        <w:t xml:space="preserve">(abaixo da meta de 30). Custo de abatimento:</w:t>
      </w:r>
      <w:r>
        <w:t xml:space="preserve"> </w:t>
      </w:r>
      <m:oMath>
        <m:r>
          <m:t>2</m:t>
        </m:r>
        <m:r>
          <m:rPr>
            <m:sty m:val="p"/>
          </m:rPr>
          <m:t>(</m:t>
        </m:r>
        <m:r>
          <m:t>15</m:t>
        </m:r>
        <m:sSup>
          <m:e>
            <m:r>
              <m:rPr>
                <m:sty m:val="p"/>
              </m:rPr>
              <m:t>)</m:t>
            </m:r>
          </m:e>
          <m:sup>
            <m:r>
              <m:t>2</m:t>
            </m:r>
          </m:sup>
        </m:sSup>
        <m:r>
          <m:rPr>
            <m:sty m:val="p"/>
          </m:rPr>
          <m:t>=</m:t>
        </m:r>
        <m:r>
          <m:t>450</m:t>
        </m:r>
      </m:oMath>
      <w:r>
        <w:t xml:space="preserve">. Dano residual extra:</w:t>
      </w:r>
      <w:r>
        <w:t xml:space="preserve"> </w:t>
      </w:r>
      <m:oMath>
        <m:r>
          <m:t>60</m:t>
        </m:r>
        <m:r>
          <m:rPr>
            <m:sty m:val="p"/>
          </m:rPr>
          <m:t>×</m:t>
        </m:r>
        <m:r>
          <m:t>15</m:t>
        </m:r>
        <m:r>
          <m:rPr>
            <m:sty m:val="p"/>
          </m:rPr>
          <m:t>=</m:t>
        </m:r>
        <m:r>
          <m:t>900</m:t>
        </m:r>
      </m:oMath>
      <w:r>
        <w:t xml:space="preserve">. Mas o custo marginal = dano marginal no nível escolhido.</w:t>
      </w:r>
    </w:p>
    <w:p>
      <w:pPr>
        <w:pStyle w:val="BlockText"/>
      </w:pPr>
      <w:r>
        <w:t xml:space="preserve">Com</w:t>
      </w:r>
      <w:r>
        <w:t xml:space="preserve"> </w:t>
      </w:r>
      <w:r>
        <w:rPr>
          <w:b/>
          <w:bCs/>
        </w:rPr>
        <w:t xml:space="preserve">cap</w:t>
      </w:r>
      <w:r>
        <w:t xml:space="preserve"> </w:t>
      </w:r>
      <m:oMath>
        <m:acc>
          <m:accPr>
            <m:chr m:val="‾"/>
          </m:accPr>
          <m:e>
            <m:r>
              <m:t>a</m:t>
            </m:r>
          </m:e>
        </m:acc>
        <m:r>
          <m:rPr>
            <m:sty m:val="p"/>
          </m:rPr>
          <m:t>=</m:t>
        </m:r>
        <m:r>
          <m:t>30</m:t>
        </m:r>
      </m:oMath>
      <w:r>
        <w:t xml:space="preserve">: obriga abatimento de 30, com custo marginal</w:t>
      </w:r>
      <w:r>
        <w:t xml:space="preserve"> </w:t>
      </w:r>
      <m:oMath>
        <m:r>
          <m:t>4</m:t>
        </m:r>
        <m:r>
          <m:rPr>
            <m:sty m:val="p"/>
          </m:rPr>
          <m:t>×</m:t>
        </m:r>
        <m:r>
          <m:t>30</m:t>
        </m:r>
        <m:r>
          <m:rPr>
            <m:sty m:val="p"/>
          </m:rPr>
          <m:t>=</m:t>
        </m:r>
        <m:r>
          <m:t>120</m:t>
        </m:r>
        <m:r>
          <m:rPr>
            <m:sty m:val="p"/>
          </m:rPr>
          <m:t>≫</m:t>
        </m:r>
        <m:r>
          <m:t>60</m:t>
        </m:r>
        <m:r>
          <m:rPr>
            <m:sty m:val="p"/>
          </m:rPr>
          <m:t>=</m:t>
        </m:r>
        <m:sSup>
          <m:e>
            <m:r>
              <m:t>D</m:t>
            </m:r>
          </m:e>
          <m:sup>
            <m:r>
              <m:rPr>
                <m:sty m:val="p"/>
              </m:rPr>
              <m:t>′</m:t>
            </m:r>
          </m:sup>
        </m:sSup>
      </m:oMath>
      <w:r>
        <w:t xml:space="preserve">. Custo de abatimento:</w:t>
      </w:r>
      <w:r>
        <w:t xml:space="preserve"> </w:t>
      </w:r>
      <m:oMath>
        <m:r>
          <m:t>2</m:t>
        </m:r>
        <m:r>
          <m:rPr>
            <m:sty m:val="p"/>
          </m:rPr>
          <m:t>(</m:t>
        </m:r>
        <m:r>
          <m:t>30</m:t>
        </m:r>
        <m:sSup>
          <m:e>
            <m:r>
              <m:rPr>
                <m:sty m:val="p"/>
              </m:rPr>
              <m:t>)</m:t>
            </m:r>
          </m:e>
          <m:sup>
            <m:r>
              <m:t>2</m:t>
            </m:r>
          </m:sup>
        </m:sSup>
        <m:r>
          <m:rPr>
            <m:sty m:val="p"/>
          </m:rPr>
          <m:t>=</m:t>
        </m:r>
        <m:r>
          <m:t>1800</m:t>
        </m:r>
      </m:oMath>
      <w:r>
        <w:t xml:space="preserve">. A meta é atingida, mas a um custo marginal muito acima do dano marginal.</w:t>
      </w:r>
    </w:p>
    <w:p>
      <w:pPr>
        <w:pStyle w:val="BlockText"/>
      </w:pPr>
      <w:r>
        <w:t xml:space="preserve">Conclusão: com dano marginal plano e custos subestimados, o</w:t>
      </w:r>
      <w:r>
        <w:t xml:space="preserve"> </w:t>
      </w:r>
      <w:r>
        <w:rPr>
          <w:b/>
          <w:bCs/>
        </w:rPr>
        <w:t xml:space="preserve">imposto domina</w:t>
      </w:r>
      <w:r>
        <w:t xml:space="preserve"> </w:t>
      </w:r>
      <w:r>
        <w:t xml:space="preserve">(resultado de Weitzman, 1974).</w:t>
      </w:r>
    </w:p>
    <w:p>
      <w:r>
        <w:pict>
          <v:rect style="width:0;height:1.5pt" o:hralign="center" o:hrstd="t" o:hr="t"/>
        </w:pict>
      </w:r>
    </w:p>
    <w:p>
      <w:pPr>
        <w:pStyle w:val="FirstParagraph"/>
      </w:pPr>
      <w:r>
        <w:t xml:space="preserve">[FIGURA INTERATIVA: /micro-book/graficos/cap20/webr-cap-trade.html — versao interativa disponivel online]</w:t>
      </w:r>
    </w:p>
    <w:p>
      <w:pPr>
        <w:pStyle w:val="BodyText"/>
      </w:pPr>
      <w:r>
        <w:rPr>
          <w:b/>
          <w:bCs/>
        </w:rPr>
        <w:t xml:space="preserve">WebR 20.3 — Cap-and-trade e alocação custo-efetiva.</w:t>
      </w:r>
      <w:r>
        <w:t xml:space="preserve"> </w:t>
      </w:r>
      <w:r>
        <w:t xml:space="preserve">Ajuste os custos de abatimento das firmas e a meta de redução para ver como o mercado de permissões aloca o esforço.</w:t>
      </w:r>
    </w:p>
    <w:p>
      <w:r>
        <w:pict>
          <v:rect style="width:0;height:1.5pt" o:hralign="center" o:hrstd="t" o:hr="t"/>
        </w:pict>
      </w:r>
    </w:p>
    <w:p>
      <w:pPr>
        <w:pStyle w:val="BlockText"/>
      </w:pPr>
      <w:r>
        <w:rPr>
          <w:b/>
          <w:bCs/>
        </w:rPr>
        <w:t xml:space="preserve">[BOX MUNDO] Box Mundo 20.2 — O EU Emissions Trading System (EU ETS)</w:t>
      </w:r>
    </w:p>
    <w:p>
      <w:pPr>
        <w:pStyle w:val="BlockText"/>
      </w:pPr>
      <w:r>
        <w:rPr>
          <w:b/>
          <w:bCs/>
        </w:rPr>
        <w:t xml:space="preserve">Contexto:</w:t>
      </w:r>
      <w:r>
        <w:t xml:space="preserve"> </w:t>
      </w:r>
      <w:r>
        <w:t xml:space="preserve">Lançado em 2005, o EU ETS é o maior mercado de carbono do mundo, cobrindo cerca de 40% das emissões de gases de efeito estufa da União Europeia. O sistema opera por cap-and-trade: a UE fixa um teto total de emissões que diminui anualmente, e as empresas dos setores cobertos (energia, indústria pesada, aviação intra-EU) devem possuir permissões correspondentes às suas emissões.</w:t>
      </w:r>
    </w:p>
    <w:p>
      <w:pPr>
        <w:pStyle w:val="BlockText"/>
      </w:pPr>
      <w:r>
        <w:rPr>
          <w:b/>
          <w:bCs/>
        </w:rPr>
        <w:t xml:space="preserve">Evolução:</w:t>
      </w:r>
      <w:r>
        <w:t xml:space="preserve"> </w:t>
      </w:r>
      <w:r>
        <w:t xml:space="preserve">O preço das permissões (EU Allowances, EUA) flutuou enormemente: de menos de €5 na Fase I (2005-2007, com excesso de permissões distribuídas gratuitamente) a mais de €100 em 2023 (Fase IV, com teto mais apertado e reserva de estabilidade de mercado). O preço reflete a escassez crescente à medida que o teto diminui.</w:t>
      </w:r>
    </w:p>
    <w:p>
      <w:pPr>
        <w:pStyle w:val="BlockText"/>
      </w:pPr>
      <w:r>
        <w:rPr>
          <w:b/>
          <w:bCs/>
        </w:rPr>
        <w:t xml:space="preserve">Lições:</w:t>
      </w:r>
      <w:r>
        <w:t xml:space="preserve"> </w:t>
      </w:r>
      <w:r>
        <w:t xml:space="preserve">O EU ETS demonstra que mercados de permissões funcionam — as emissões dos setores cobertos caíram ~35% entre 2005 e 2022 — mas que o</w:t>
      </w:r>
      <w:r>
        <w:t xml:space="preserve"> </w:t>
      </w:r>
      <w:r>
        <w:rPr>
          <w:i/>
          <w:iCs/>
        </w:rPr>
        <w:t xml:space="preserve">design</w:t>
      </w:r>
      <w:r>
        <w:t xml:space="preserve"> </w:t>
      </w:r>
      <w:r>
        <w:t xml:space="preserve">importa criticamente. A alocação gratuita inicial gerou windfall profits; o excesso de permissões deprimiu preços por uma década; e a introdução de mecanismos de estabilidade (como o Market Stability Reserve em 2019) foi necessária para corrigir o desequilíbrio.</w:t>
      </w:r>
    </w:p>
    <w:p>
      <w:pPr>
        <w:pStyle w:val="BlockText"/>
      </w:pPr>
      <w:r>
        <w:rPr>
          <w:b/>
          <w:bCs/>
        </w:rPr>
        <w:t xml:space="preserve">[BOX MUNDO] Box Mundo 20.3 — O programa americano de SO₂: cap-and-trade em ação</w:t>
      </w:r>
    </w:p>
    <w:p>
      <w:pPr>
        <w:pStyle w:val="BlockText"/>
      </w:pPr>
      <w:r>
        <w:rPr>
          <w:b/>
          <w:bCs/>
        </w:rPr>
        <w:t xml:space="preserve">Contexto:</w:t>
      </w:r>
      <w:r>
        <w:t xml:space="preserve"> </w:t>
      </w:r>
      <w:r>
        <w:t xml:space="preserve">O Acid Rain Program, criado pelo Clean Air Act de 1990 nos EUA, foi o primeiro grande sistema de cap-and-trade do mundo, voltado para a redução de emissões de dióxido de enxofre (SO₂) — o principal causador da chuva ácida. O programa impôs um teto nacional de emissões e distribuiu permissões negociáveis entre usinas termelétricas.</w:t>
      </w:r>
    </w:p>
    <w:p>
      <w:pPr>
        <w:pStyle w:val="BlockText"/>
      </w:pPr>
      <w:r>
        <w:rPr>
          <w:b/>
          <w:bCs/>
        </w:rPr>
        <w:t xml:space="preserve">Resultados:</w:t>
      </w:r>
      <w:r>
        <w:t xml:space="preserve"> </w:t>
      </w:r>
      <w:r>
        <w:t xml:space="preserve">As emissões de SO₂ caíram de 15,7 milhões de toneladas em 1990 para menos de 3 milhões em 2010 — uma redução de mais de 80%. O custo total de abatimento ficou substancialmente abaixo das estimativas ex ante, em grande parte porque o mercado de permissões permitiu que as firmas com menores custos de abatimento reduzissem mais.</w:t>
      </w:r>
    </w:p>
    <w:p>
      <w:pPr>
        <w:pStyle w:val="BlockText"/>
      </w:pPr>
      <w:r>
        <w:rPr>
          <w:b/>
          <w:bCs/>
        </w:rPr>
        <w:t xml:space="preserve">Análise econômica:</w:t>
      </w:r>
      <w:r>
        <w:t xml:space="preserve"> </w:t>
      </w:r>
      <w:r>
        <w:t xml:space="preserve">Estudos estimam que os custos de compliance com o mercado foram 15-50% menores do que teriam sido sob regulação uniforme (command-and-control). O programa é amplamente considerado um dos casos de maior sucesso de política ambiental baseada em instrumentos de mercado.</w:t>
      </w:r>
    </w:p>
    <w:p>
      <w:pPr>
        <w:pStyle w:val="BlockText"/>
      </w:pPr>
      <w:r>
        <w:rPr>
          <w:b/>
          <w:bCs/>
        </w:rPr>
        <w:t xml:space="preserve">[BOX BRASIL] Box Brasil 20.1 — REDD+ e o mercado voluntário de carbono florestal</w:t>
      </w:r>
    </w:p>
    <w:p>
      <w:pPr>
        <w:pStyle w:val="BlockText"/>
      </w:pPr>
      <w:r>
        <w:rPr>
          <w:b/>
          <w:bCs/>
        </w:rPr>
        <w:t xml:space="preserve">Contexto:</w:t>
      </w:r>
      <w:r>
        <w:t xml:space="preserve"> </w:t>
      </w:r>
      <w:r>
        <w:t xml:space="preserve">O mecanismo REDD+ (Redução de Emissões por Desmatamento e Degradação Florestal) busca atribuir valor econômico ao carbono estocado nas florestas, criando incentivos para a conservação. O Brasil é um dos principais participantes, com programas de REDD+ em vários estados amazônicos. O princípio é coaseano: criar um</w:t>
      </w:r>
      <w:r>
        <w:t xml:space="preserve"> </w:t>
      </w:r>
      <w:r>
        <w:t xml:space="preserve">“direito de propriedade”</w:t>
      </w:r>
      <w:r>
        <w:t xml:space="preserve"> </w:t>
      </w:r>
      <w:r>
        <w:t xml:space="preserve">sobre o carbono florestal e permitir transações de mercado.</w:t>
      </w:r>
    </w:p>
    <w:p>
      <w:pPr>
        <w:pStyle w:val="BlockText"/>
      </w:pPr>
      <w:r>
        <w:rPr>
          <w:b/>
          <w:bCs/>
        </w:rPr>
        <w:t xml:space="preserve">Dados:</w:t>
      </w:r>
      <w:r>
        <w:t xml:space="preserve"> </w:t>
      </w:r>
      <w:r>
        <w:t xml:space="preserve">O Fundo Amazônia, criado em 2008, recebeu aportes superiores a R$ 3,4 bilhões da Noruega e Alemanha até 2023. O Brasil aprovou em 2024 a regulamentação do Sistema Brasileiro de Comércio de Emissões (SBCE), um sistema de cap-and-trade que abrange grandes emissores.</w:t>
      </w:r>
    </w:p>
    <w:p>
      <w:pPr>
        <w:pStyle w:val="BlockText"/>
      </w:pPr>
      <w:r>
        <w:rPr>
          <w:b/>
          <w:bCs/>
        </w:rPr>
        <w:t xml:space="preserve">Lições:</w:t>
      </w:r>
      <w:r>
        <w:t xml:space="preserve"> </w:t>
      </w:r>
      <w:r>
        <w:t xml:space="preserve">O caso brasileiro ilustra a aplicação integrada dos instrumentos discutidos: subsídio pigouviano (Fundo Amazônia), mercado de permissões (SBCE, REDD+), regulação direta (Código Florestal) e os limites do Teorema de Coase quando os custos de transação são elevados e as externalidades são difusas e globais.</w:t>
      </w:r>
    </w:p>
    <w:bookmarkEnd w:id="1251"/>
    <w:bookmarkEnd w:id="1252"/>
    <w:bookmarkEnd w:id="1253"/>
    <w:bookmarkStart w:id="1259" w:name="bens-públicos-atributos-e-alocação"/>
    <w:p>
      <w:pPr>
        <w:pStyle w:val="Heading2"/>
      </w:pPr>
      <w:r>
        <w:t xml:space="preserve">Bens Públicos: Atributos e Alocação</w:t>
      </w:r>
    </w:p>
    <w:bookmarkStart w:id="1255" w:name="Xf1cd7c3fb68ae7c679f8c33966610670d32ff1e"/>
    <w:p>
      <w:pPr>
        <w:pStyle w:val="Heading3"/>
      </w:pPr>
      <w:r>
        <w:t xml:space="preserve">20.5 Quem Paga Pelo Poste de Luz?: Atributos dos Bens Públicos</w:t>
      </w:r>
    </w:p>
    <w:p>
      <w:pPr>
        <w:pStyle w:val="BlockText"/>
      </w:pPr>
      <w:r>
        <w:rPr>
          <w:b/>
          <w:bCs/>
        </w:rPr>
        <w:t xml:space="preserve">[DEFINICAO] Bem Público</w:t>
      </w:r>
    </w:p>
    <w:p>
      <w:pPr>
        <w:pStyle w:val="BlockText"/>
      </w:pPr>
      <w:r>
        <w:t xml:space="preserve">Um</w:t>
      </w:r>
      <w:r>
        <w:t xml:space="preserve"> </w:t>
      </w:r>
      <w:r>
        <w:rPr>
          <w:b/>
          <w:bCs/>
        </w:rPr>
        <w:t xml:space="preserve">bem público puro</w:t>
      </w:r>
      <w:r>
        <w:t xml:space="preserve"> </w:t>
      </w:r>
      <w:r>
        <w:t xml:space="preserve">é aquele que possui simultaneamente duas propriedades:</w:t>
      </w:r>
    </w:p>
    <w:p>
      <w:pPr>
        <w:pStyle w:val="BlockText"/>
        <w:numPr>
          <w:ilvl w:val="0"/>
          <w:numId w:val="2111"/>
        </w:numPr>
      </w:pPr>
      <w:r>
        <w:rPr>
          <w:b/>
          <w:bCs/>
        </w:rPr>
        <w:t xml:space="preserve">Não-rivalidade</w:t>
      </w:r>
      <w:r>
        <w:t xml:space="preserve">: o consumo do bem por um indivíduo não reduz a quantidade disponível para outros. Formalmente, se</w:t>
      </w:r>
      <w:r>
        <w:t xml:space="preserve"> </w:t>
      </w:r>
      <m:oMath>
        <m:r>
          <m:t>G</m:t>
        </m:r>
      </m:oMath>
      <w:r>
        <w:t xml:space="preserve"> </w:t>
      </w:r>
      <w:r>
        <w:t xml:space="preserve">é a quantidade provida, cada consumidor pode consumir</w:t>
      </w:r>
      <w:r>
        <w:t xml:space="preserve"> </w:t>
      </w:r>
      <m:oMath>
        <m:r>
          <m:t>G</m:t>
        </m:r>
      </m:oMath>
      <w:r>
        <w:t xml:space="preserve"> </w:t>
      </w:r>
      <w:r>
        <w:t xml:space="preserve">integralmente:</w:t>
      </w:r>
      <w:r>
        <w:t xml:space="preserve"> </w:t>
      </w:r>
      <m:oMath>
        <m:sSub>
          <m:e>
            <m:r>
              <m:t>g</m:t>
            </m:r>
          </m:e>
          <m:sub>
            <m:r>
              <m:t>i</m:t>
            </m:r>
          </m:sub>
        </m:sSub>
        <m:r>
          <m:rPr>
            <m:sty m:val="p"/>
          </m:rPr>
          <m:t>=</m:t>
        </m:r>
        <m:r>
          <m:t>G</m:t>
        </m:r>
      </m:oMath>
      <w:r>
        <w:t xml:space="preserve"> </w:t>
      </w:r>
      <w:r>
        <w:t xml:space="preserve">para todo</w:t>
      </w:r>
      <w:r>
        <w:t xml:space="preserve"> </w:t>
      </w:r>
      <m:oMath>
        <m:r>
          <m:t>i</m:t>
        </m:r>
      </m:oMath>
      <w:r>
        <w:t xml:space="preserve">.</w:t>
      </w:r>
    </w:p>
    <w:p>
      <w:pPr>
        <w:pStyle w:val="BlockText"/>
        <w:numPr>
          <w:ilvl w:val="0"/>
          <w:numId w:val="2111"/>
        </w:numPr>
      </w:pPr>
      <w:r>
        <w:rPr>
          <w:b/>
          <w:bCs/>
        </w:rPr>
        <w:t xml:space="preserve">Não-exclusão</w:t>
      </w:r>
      <w:r>
        <w:t xml:space="preserve">: não é possível (ou é excessivamente custoso) impedir indivíduos de consumir o bem, mesmo que não paguem por ele.</w:t>
      </w:r>
    </w:p>
    <w:bookmarkStart w:id="1254" w:name="classificação-de-bens"/>
    <w:p>
      <w:pPr>
        <w:pStyle w:val="Heading4"/>
      </w:pPr>
      <w:r>
        <w:t xml:space="preserve">Classificação de bens</w:t>
      </w:r>
    </w:p>
    <w:p>
      <w:pPr>
        <w:pStyle w:val="FirstParagraph"/>
      </w:pPr>
      <w:r>
        <w:t xml:space="preserve">A combinação dessas duas propriedades gera uma classificação de bens em quatro categorias:</w:t>
      </w:r>
    </w:p>
    <w:p>
      <w:pPr>
        <w:pStyle w:val="BodyText"/>
      </w:pPr>
      <w:r>
        <w:rPr>
          <w:b/>
          <w:bCs/>
        </w:rPr>
        <w:t xml:space="preserve">Tabela 20.1 — Classificação de bens por rivalidade e excludência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Excludente</w:t>
            </w:r>
          </w:p>
        </w:tc>
        <w:tc>
          <w:tcPr/>
          <w:p>
            <w:pPr>
              <w:pStyle w:val="Compact"/>
            </w:pPr>
            <w:r>
              <w:rPr>
                <w:b/>
                <w:bCs/>
              </w:rPr>
              <w:t xml:space="preserve">Não-excludente</w:t>
            </w:r>
          </w:p>
        </w:tc>
      </w:tr>
      <w:tr>
        <w:tc>
          <w:tcPr/>
          <w:p>
            <w:pPr>
              <w:pStyle w:val="Compact"/>
            </w:pPr>
            <w:r>
              <w:rPr>
                <w:b/>
                <w:bCs/>
              </w:rPr>
              <w:t xml:space="preserve">Rival</w:t>
            </w:r>
          </w:p>
        </w:tc>
        <w:tc>
          <w:tcPr/>
          <w:p>
            <w:pPr>
              <w:pStyle w:val="Compact"/>
            </w:pPr>
            <w:r>
              <w:rPr>
                <w:b/>
                <w:bCs/>
              </w:rPr>
              <w:t xml:space="preserve">Bem privado</w:t>
            </w:r>
            <w:r>
              <w:t xml:space="preserve"> </w:t>
            </w:r>
            <w:r>
              <w:t xml:space="preserve">(alimento, vestuário, combustível)</w:t>
            </w:r>
          </w:p>
        </w:tc>
        <w:tc>
          <w:tcPr/>
          <w:p>
            <w:pPr>
              <w:pStyle w:val="Compact"/>
            </w:pPr>
            <w:r>
              <w:rPr>
                <w:b/>
                <w:bCs/>
              </w:rPr>
              <w:t xml:space="preserve">Recurso comum</w:t>
            </w:r>
            <w:r>
              <w:t xml:space="preserve"> </w:t>
            </w:r>
            <w:r>
              <w:t xml:space="preserve">(cardume no oceano, pasto comunitário, água de aquífero)</w:t>
            </w:r>
          </w:p>
        </w:tc>
      </w:tr>
      <w:tr>
        <w:tc>
          <w:tcPr/>
          <w:p>
            <w:pPr>
              <w:pStyle w:val="Compact"/>
            </w:pPr>
            <w:r>
              <w:rPr>
                <w:b/>
                <w:bCs/>
              </w:rPr>
              <w:t xml:space="preserve">Não-rival</w:t>
            </w:r>
          </w:p>
        </w:tc>
        <w:tc>
          <w:tcPr/>
          <w:p>
            <w:pPr>
              <w:pStyle w:val="Compact"/>
            </w:pPr>
            <w:r>
              <w:rPr>
                <w:b/>
                <w:bCs/>
              </w:rPr>
              <w:t xml:space="preserve">Bem de clube</w:t>
            </w:r>
            <w:r>
              <w:t xml:space="preserve"> </w:t>
            </w:r>
            <w:r>
              <w:t xml:space="preserve">(TV a cabo, pedágio, parque com entrada paga)</w:t>
            </w:r>
          </w:p>
        </w:tc>
        <w:tc>
          <w:tcPr/>
          <w:p>
            <w:pPr>
              <w:pStyle w:val="Compact"/>
            </w:pPr>
            <w:r>
              <w:rPr>
                <w:b/>
                <w:bCs/>
              </w:rPr>
              <w:t xml:space="preserve">Bem público puro</w:t>
            </w:r>
            <w:r>
              <w:t xml:space="preserve"> </w:t>
            </w:r>
            <w:r>
              <w:t xml:space="preserve">(defesa nacional, iluminação pública, ar limpo)</w:t>
            </w:r>
          </w:p>
        </w:tc>
      </w:tr>
    </w:tbl>
    <w:p>
      <w:pPr>
        <w:pStyle w:val="BodyText"/>
      </w:pPr>
      <w:r>
        <w:t xml:space="preserve">A tabela abaixo apresenta exemplos brasileiros para cada categoria:</w:t>
      </w:r>
    </w:p>
    <w:p>
      <w:pPr>
        <w:pStyle w:val="BodyText"/>
      </w:pPr>
      <w:r>
        <w:rPr>
          <w:b/>
          <w:bCs/>
        </w:rPr>
        <w:t xml:space="preserve">Tabela 20.2 — Exemplos brasileiros de cada categoria de bem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Categoria</w:t>
            </w:r>
          </w:p>
        </w:tc>
        <w:tc>
          <w:tcPr/>
          <w:p>
            <w:pPr>
              <w:pStyle w:val="Compact"/>
            </w:pPr>
            <w:r>
              <w:t xml:space="preserve">Propriedades</w:t>
            </w:r>
          </w:p>
        </w:tc>
        <w:tc>
          <w:tcPr/>
          <w:p>
            <w:pPr>
              <w:pStyle w:val="Compact"/>
            </w:pPr>
            <w:r>
              <w:t xml:space="preserve">Exemplos Brasileiros</w:t>
            </w:r>
          </w:p>
        </w:tc>
      </w:tr>
      <w:tr>
        <w:tc>
          <w:tcPr/>
          <w:p>
            <w:pPr>
              <w:pStyle w:val="Compact"/>
            </w:pPr>
            <w:r>
              <w:rPr>
                <w:b/>
                <w:bCs/>
              </w:rPr>
              <w:t xml:space="preserve">Bem privado</w:t>
            </w:r>
          </w:p>
        </w:tc>
        <w:tc>
          <w:tcPr/>
          <w:p>
            <w:pPr>
              <w:pStyle w:val="Compact"/>
            </w:pPr>
            <w:r>
              <w:t xml:space="preserve">Rival e excludente</w:t>
            </w:r>
          </w:p>
        </w:tc>
        <w:tc>
          <w:tcPr/>
          <w:p>
            <w:pPr>
              <w:pStyle w:val="Compact"/>
            </w:pPr>
            <w:r>
              <w:t xml:space="preserve">Pão de queijo, gasolina, corte de cabelo, ingresso de cinema</w:t>
            </w:r>
          </w:p>
        </w:tc>
      </w:tr>
      <w:tr>
        <w:tc>
          <w:tcPr/>
          <w:p>
            <w:pPr>
              <w:pStyle w:val="Compact"/>
            </w:pPr>
            <w:r>
              <w:rPr>
                <w:b/>
                <w:bCs/>
              </w:rPr>
              <w:t xml:space="preserve">Bem público puro</w:t>
            </w:r>
          </w:p>
        </w:tc>
        <w:tc>
          <w:tcPr/>
          <w:p>
            <w:pPr>
              <w:pStyle w:val="Compact"/>
            </w:pPr>
            <w:r>
              <w:t xml:space="preserve">Não-rival e não-excludente</w:t>
            </w:r>
          </w:p>
        </w:tc>
        <w:tc>
          <w:tcPr/>
          <w:p>
            <w:pPr>
              <w:pStyle w:val="Compact"/>
            </w:pPr>
            <w:r>
              <w:t xml:space="preserve">Defesa nacional (Forças Armadas), iluminação de via pública, sinal de rádio aberto, conhecimento científico básico</w:t>
            </w:r>
          </w:p>
        </w:tc>
      </w:tr>
      <w:tr>
        <w:tc>
          <w:tcPr/>
          <w:p>
            <w:pPr>
              <w:pStyle w:val="Compact"/>
            </w:pPr>
            <w:r>
              <w:rPr>
                <w:b/>
                <w:bCs/>
              </w:rPr>
              <w:t xml:space="preserve">Bem de clube</w:t>
            </w:r>
          </w:p>
        </w:tc>
        <w:tc>
          <w:tcPr/>
          <w:p>
            <w:pPr>
              <w:pStyle w:val="Compact"/>
            </w:pPr>
            <w:r>
              <w:t xml:space="preserve">Não-rival (até congestionamento) e excludente</w:t>
            </w:r>
          </w:p>
        </w:tc>
        <w:tc>
          <w:tcPr/>
          <w:p>
            <w:pPr>
              <w:pStyle w:val="Compact"/>
            </w:pPr>
            <w:r>
              <w:t xml:space="preserve">Netflix, rodovia com pedágio (Via Dutra, Rodovia dos Bandeirantes), clube recreativo, sistema de streaming de futebol</w:t>
            </w:r>
          </w:p>
        </w:tc>
      </w:tr>
      <w:tr>
        <w:tc>
          <w:tcPr/>
          <w:p>
            <w:pPr>
              <w:pStyle w:val="Compact"/>
            </w:pPr>
            <w:r>
              <w:rPr>
                <w:b/>
                <w:bCs/>
              </w:rPr>
              <w:t xml:space="preserve">Recurso comum</w:t>
            </w:r>
          </w:p>
        </w:tc>
        <w:tc>
          <w:tcPr/>
          <w:p>
            <w:pPr>
              <w:pStyle w:val="Compact"/>
            </w:pPr>
            <w:r>
              <w:t xml:space="preserve">Rival e não-excludente</w:t>
            </w:r>
          </w:p>
        </w:tc>
        <w:tc>
          <w:tcPr/>
          <w:p>
            <w:pPr>
              <w:pStyle w:val="Compact"/>
            </w:pPr>
            <w:r>
              <w:t xml:space="preserve">Peixes no rio Amazonas, pastagem no semiárido, água do Aquífero Guarani, vagas de estacionamento público</w:t>
            </w:r>
          </w:p>
        </w:tc>
      </w:tr>
    </w:tbl>
    <w:p>
      <w:pPr>
        <w:pStyle w:val="BlockText"/>
      </w:pPr>
      <w:r>
        <w:rPr>
          <w:b/>
          <w:bCs/>
        </w:rPr>
        <w:t xml:space="preserve">[BOX BRASIL] Brasil na Prática — O SUS como bem público: universalidade, free-riding e congestionamento</w:t>
      </w:r>
    </w:p>
    <w:p>
      <w:pPr>
        <w:pStyle w:val="BlockText"/>
      </w:pPr>
      <w:r>
        <w:rPr>
          <w:b/>
          <w:bCs/>
        </w:rPr>
        <w:t xml:space="preserve">Contexto.</w:t>
      </w:r>
      <w:r>
        <w:t xml:space="preserve"> </w:t>
      </w:r>
      <w:r>
        <w:t xml:space="preserve">O Sistema Único de Saúde (SUS) — criado pela Constituição de 1988 — é o maior sistema público de saúde do mundo, cobrindo</w:t>
      </w:r>
      <w:r>
        <w:t xml:space="preserve"> </w:t>
      </w:r>
      <w:r>
        <w:rPr>
          <w:b/>
          <w:bCs/>
        </w:rPr>
        <w:t xml:space="preserve">150 milhões de brasileiros</w:t>
      </w:r>
      <w:r>
        <w:t xml:space="preserve"> </w:t>
      </w:r>
      <w:r>
        <w:t xml:space="preserve">que dependem exclusivamente dele (IBGE/PNS, 2019). O SUS opera sob o princípio da</w:t>
      </w:r>
      <w:r>
        <w:t xml:space="preserve"> </w:t>
      </w:r>
      <w:r>
        <w:rPr>
          <w:b/>
          <w:bCs/>
        </w:rPr>
        <w:t xml:space="preserve">universalidade</w:t>
      </w:r>
      <w:r>
        <w:t xml:space="preserve">: qualquer pessoa, independentemente de contribuição, pode acessar seus serviços. Isso o torna, por desenho institucional,</w:t>
      </w:r>
      <w:r>
        <w:t xml:space="preserve"> </w:t>
      </w:r>
      <w:r>
        <w:rPr>
          <w:b/>
          <w:bCs/>
        </w:rPr>
        <w:t xml:space="preserve">não-excludente</w:t>
      </w:r>
      <w:r>
        <w:t xml:space="preserve">.</w:t>
      </w:r>
    </w:p>
    <w:p>
      <w:pPr>
        <w:pStyle w:val="BlockText"/>
      </w:pPr>
      <w:r>
        <w:rPr>
          <w:b/>
          <w:bCs/>
        </w:rPr>
        <w:t xml:space="preserve">É bem público?</w:t>
      </w:r>
      <w:r>
        <w:t xml:space="preserve"> </w:t>
      </w:r>
      <w:r>
        <w:t xml:space="preserve">Tecnicamente, o SUS é um caso limítrofe na Tabela 20.1. Consultas e cirurgias são</w:t>
      </w:r>
      <w:r>
        <w:t xml:space="preserve"> </w:t>
      </w:r>
      <w:r>
        <w:rPr>
          <w:b/>
          <w:bCs/>
        </w:rPr>
        <w:t xml:space="preserve">rivais</w:t>
      </w:r>
      <w:r>
        <w:t xml:space="preserve"> </w:t>
      </w:r>
      <w:r>
        <w:t xml:space="preserve">— se o médico atende um paciente, não pode atender outro simultaneamente. Mas o</w:t>
      </w:r>
      <w:r>
        <w:t xml:space="preserve"> </w:t>
      </w:r>
      <w:r>
        <w:rPr>
          <w:i/>
          <w:iCs/>
        </w:rPr>
        <w:t xml:space="preserve">acesso ao sistema</w:t>
      </w:r>
      <w:r>
        <w:t xml:space="preserve"> </w:t>
      </w:r>
      <w:r>
        <w:t xml:space="preserve">tem características de bem público: o direito à saúde é não-excludente e a cobertura universal gera</w:t>
      </w:r>
      <w:r>
        <w:t xml:space="preserve"> </w:t>
      </w:r>
      <w:r>
        <w:rPr>
          <w:b/>
          <w:bCs/>
        </w:rPr>
        <w:t xml:space="preserve">externalidades positivas</w:t>
      </w:r>
      <w:r>
        <w:t xml:space="preserve"> </w:t>
      </w:r>
      <w:r>
        <w:t xml:space="preserve">(vacinação, vigilância epidemiológica, controle de endemias). Na prática, o SUS funciona como um</w:t>
      </w:r>
      <w:r>
        <w:t xml:space="preserve"> </w:t>
      </w:r>
      <w:r>
        <w:rPr>
          <w:b/>
          <w:bCs/>
        </w:rPr>
        <w:t xml:space="preserve">recurso comum congestionável</w:t>
      </w:r>
      <w:r>
        <w:t xml:space="preserve"> </w:t>
      </w:r>
      <w:r>
        <w:t xml:space="preserve">— não-excludente, mas rival quando a demanda excede a capacidade instalada.</w:t>
      </w:r>
    </w:p>
    <w:p>
      <w:pPr>
        <w:pStyle w:val="BlockText"/>
      </w:pPr>
      <w:r>
        <w:rPr>
          <w:b/>
          <w:bCs/>
        </w:rPr>
        <w:t xml:space="preserve">Dados.</w:t>
      </w:r>
      <w:r>
        <w:t xml:space="preserve"> </w:t>
      </w:r>
      <w:r>
        <w:t xml:space="preserve">O Brasil gasta ~3,9% do PIB em saúde pública (2023) — abaixo da média da OCDE (~6,5%). O SUS realizou</w:t>
      </w:r>
      <w:r>
        <w:t xml:space="preserve"> </w:t>
      </w:r>
      <w:r>
        <w:rPr>
          <w:b/>
          <w:bCs/>
        </w:rPr>
        <w:t xml:space="preserve">4,1 bilhões de procedimentos ambulatoriais</w:t>
      </w:r>
      <w:r>
        <w:t xml:space="preserve"> </w:t>
      </w:r>
      <w:r>
        <w:t xml:space="preserve">e</w:t>
      </w:r>
      <w:r>
        <w:t xml:space="preserve"> </w:t>
      </w:r>
      <w:r>
        <w:rPr>
          <w:b/>
          <w:bCs/>
        </w:rPr>
        <w:t xml:space="preserve">11,3 milhões de internações</w:t>
      </w:r>
      <w:r>
        <w:t xml:space="preserve"> </w:t>
      </w:r>
      <w:r>
        <w:t xml:space="preserve">em 2022 (DATASUS). O tempo médio de espera para cirurgia eletiva chega a</w:t>
      </w:r>
      <w:r>
        <w:t xml:space="preserve"> </w:t>
      </w:r>
      <w:r>
        <w:rPr>
          <w:b/>
          <w:bCs/>
        </w:rPr>
        <w:t xml:space="preserve">180 dias</w:t>
      </w:r>
      <w:r>
        <w:t xml:space="preserve"> </w:t>
      </w:r>
      <w:r>
        <w:t xml:space="preserve">em alguns estados (TCU, 2023). Em 2019, 28,5% da população possuía plano de saúde privado — um mecanismo de</w:t>
      </w:r>
      <w:r>
        <w:t xml:space="preserve"> </w:t>
      </w:r>
      <w:r>
        <w:rPr>
          <w:b/>
          <w:bCs/>
        </w:rPr>
        <w:t xml:space="preserve">auto-exclusão</w:t>
      </w:r>
      <w:r>
        <w:t xml:space="preserve"> </w:t>
      </w:r>
      <w:r>
        <w:t xml:space="preserve">que alivia a pressão sobre o recurso comum.</w:t>
      </w:r>
    </w:p>
    <w:p>
      <w:pPr>
        <w:pStyle w:val="BlockText"/>
      </w:pPr>
      <w:r>
        <w:rPr>
          <w:b/>
          <w:bCs/>
        </w:rPr>
        <w:t xml:space="preserve">Conexão com a teoria.</w:t>
      </w:r>
      <w:r>
        <w:t xml:space="preserve"> </w:t>
      </w:r>
      <w:r>
        <w:t xml:space="preserve">O SUS ilustra o dilema central da Seção 20.6: a provisão pública de um bem (quase) público financiado por impostos gerais enfrenta inevitavelmente o</w:t>
      </w:r>
      <w:r>
        <w:t xml:space="preserve"> </w:t>
      </w:r>
      <w:r>
        <w:rPr>
          <w:b/>
          <w:bCs/>
        </w:rPr>
        <w:t xml:space="preserve">problema do carona</w:t>
      </w:r>
      <w:r>
        <w:t xml:space="preserve"> </w:t>
      </w:r>
      <w:r>
        <w:t xml:space="preserve">— quem paga mais impostos financia desproporcionalmente o sistema, e não há como condicionar acesso à contribuição. A subprovisão (filas, falta de leitos, defasagem salarial de profissionais) é a manifestação empírica da inequação</w:t>
      </w:r>
      <w:r>
        <w:t xml:space="preserve"> </w:t>
      </w:r>
      <m:oMath>
        <m:sSup>
          <m:e>
            <m:r>
              <m:t>G</m:t>
            </m:r>
          </m:e>
          <m:sup>
            <m:r>
              <m:t>p</m:t>
            </m:r>
            <m:r>
              <m:t>r</m:t>
            </m:r>
            <m:r>
              <m:t>i</m:t>
            </m:r>
            <m:r>
              <m:t>v</m:t>
            </m:r>
          </m:sup>
        </m:sSup>
        <m:r>
          <m:rPr>
            <m:sty m:val="p"/>
          </m:rPr>
          <m:t>&lt;</m:t>
        </m:r>
        <m:sSup>
          <m:e>
            <m:r>
              <m:t>G</m:t>
            </m:r>
          </m:e>
          <m:sup>
            <m:r>
              <m:rPr>
                <m:sty m:val="p"/>
              </m:rPr>
              <m:t>*</m:t>
            </m:r>
          </m:sup>
        </m:sSup>
      </m:oMath>
      <w:r>
        <w:t xml:space="preserve">.</w:t>
      </w:r>
    </w:p>
    <w:p>
      <w:pPr>
        <w:pStyle w:val="BlockText"/>
      </w:pPr>
      <w:r>
        <w:rPr>
          <w:b/>
          <w:bCs/>
        </w:rPr>
        <w:t xml:space="preserve">Fonte:</w:t>
      </w:r>
      <w:r>
        <w:t xml:space="preserve"> </w:t>
      </w:r>
      <w:r>
        <w:t xml:space="preserve">IBGE,</w:t>
      </w:r>
      <w:r>
        <w:t xml:space="preserve"> </w:t>
      </w:r>
      <w:r>
        <w:rPr>
          <w:i/>
          <w:iCs/>
        </w:rPr>
        <w:t xml:space="preserve">Pesquisa Nacional de Saúde</w:t>
      </w:r>
      <w:r>
        <w:t xml:space="preserve">, 2019; DATASUS,</w:t>
      </w:r>
      <w:r>
        <w:t xml:space="preserve"> </w:t>
      </w:r>
      <w:r>
        <w:rPr>
          <w:i/>
          <w:iCs/>
        </w:rPr>
        <w:t xml:space="preserve">Informações de Saúde</w:t>
      </w:r>
      <w:r>
        <w:t xml:space="preserve">, 2022; TCU,</w:t>
      </w:r>
      <w:r>
        <w:t xml:space="preserve"> </w:t>
      </w:r>
      <w:r>
        <w:rPr>
          <w:i/>
          <w:iCs/>
        </w:rPr>
        <w:t xml:space="preserve">Relatório de Auditoria Operacional — Saúde</w:t>
      </w:r>
      <w:r>
        <w:t xml:space="preserve">, 2023.</w:t>
      </w:r>
    </w:p>
    <w:p>
      <w:pPr>
        <w:pStyle w:val="BlockText"/>
      </w:pPr>
      <w:r>
        <w:rPr>
          <w:b/>
          <w:bCs/>
        </w:rPr>
        <w:t xml:space="preserve">[NOTA] Bens Públicos Locais e Globais</w:t>
      </w:r>
    </w:p>
    <w:p>
      <w:pPr>
        <w:pStyle w:val="BlockText"/>
      </w:pPr>
      <w:r>
        <w:t xml:space="preserve">A provisão de bens públicos pode ter escala local (iluminação de uma rua), regional (defesa costeira), nacional (sistema judiciário) ou global (estabilidade climática, erradicação de doenças). A escala determina qual nível de governo (ou cooperação internacional) é mais adequado para a provisão.</w:t>
      </w:r>
    </w:p>
    <w:p>
      <w:pPr>
        <w:pStyle w:val="BlockText"/>
      </w:pPr>
      <w:r>
        <w:rPr>
          <w:b/>
          <w:bCs/>
        </w:rPr>
        <w:t xml:space="preserve">[EXERCICIO RESOLVIDO] Exercício Resolvido 20.5 — Classificação de bens</w:t>
      </w:r>
    </w:p>
    <w:p>
      <w:pPr>
        <w:pStyle w:val="BlockText"/>
      </w:pPr>
      <w:r>
        <w:rPr>
          <w:b/>
          <w:bCs/>
        </w:rPr>
        <w:t xml:space="preserve">Enunciado.</w:t>
      </w:r>
      <w:r>
        <w:t xml:space="preserve"> </w:t>
      </w:r>
      <w:r>
        <w:t xml:space="preserve">Classifique os seguintes bens como privado, público puro, de clube ou recurso comum: (a) Wi-Fi aberto em praça pública; (b) Vacina contra febre amarela; (c) Peixe no Rio São Francisco; (d) Pedágio da Rodovia dos Bandeirantes; (e) Código-fonte do Linux.</w:t>
      </w:r>
    </w:p>
    <w:p>
      <w:pPr>
        <w:pStyle w:val="BlockText"/>
      </w:pPr>
      <w:r>
        <w:rPr>
          <w:b/>
          <w:bCs/>
        </w:rPr>
        <w:t xml:space="preserve">Solução.</w:t>
      </w:r>
    </w:p>
    <w:p>
      <w:pPr>
        <w:pStyle w:val="BlockText"/>
      </w:pPr>
      <w:r>
        <w:rPr>
          <w:b/>
          <w:bCs/>
        </w:rPr>
        <w:t xml:space="preserve">(a)</w:t>
      </w:r>
      <w:r>
        <w:t xml:space="preserve"> </w:t>
      </w:r>
      <w:r>
        <w:t xml:space="preserve">Wi-Fi aberto:</w:t>
      </w:r>
      <w:r>
        <w:t xml:space="preserve"> </w:t>
      </w:r>
      <w:r>
        <w:rPr>
          <w:b/>
          <w:bCs/>
        </w:rPr>
        <w:t xml:space="preserve">bem público puro</w:t>
      </w:r>
      <w:r>
        <w:t xml:space="preserve"> </w:t>
      </w:r>
      <w:r>
        <w:t xml:space="preserve">(até congestionamento) — não-excludente (qualquer pessoa pode acessar) e não-rival (até o ponto de saturação da rede). Com congestionamento, torna-se recurso comum.</w:t>
      </w:r>
    </w:p>
    <w:p>
      <w:pPr>
        <w:pStyle w:val="BlockText"/>
      </w:pPr>
      <w:r>
        <w:rPr>
          <w:b/>
          <w:bCs/>
        </w:rPr>
        <w:t xml:space="preserve">(b)</w:t>
      </w:r>
      <w:r>
        <w:t xml:space="preserve"> </w:t>
      </w:r>
      <w:r>
        <w:t xml:space="preserve">Vacina:</w:t>
      </w:r>
      <w:r>
        <w:t xml:space="preserve"> </w:t>
      </w:r>
      <w:r>
        <w:rPr>
          <w:b/>
          <w:bCs/>
        </w:rPr>
        <w:t xml:space="preserve">bem privado</w:t>
      </w:r>
      <w:r>
        <w:t xml:space="preserve"> </w:t>
      </w:r>
      <w:r>
        <w:t xml:space="preserve">— rival (cada dose é usada por uma pessoa) e excludente (administrada individualmente). Porém, a</w:t>
      </w:r>
      <w:r>
        <w:t xml:space="preserve"> </w:t>
      </w:r>
      <w:r>
        <w:rPr>
          <w:i/>
          <w:iCs/>
        </w:rPr>
        <w:t xml:space="preserve">imunidade de rebanho</w:t>
      </w:r>
      <w:r>
        <w:t xml:space="preserve"> </w:t>
      </w:r>
      <w:r>
        <w:t xml:space="preserve">gerada é um</w:t>
      </w:r>
      <w:r>
        <w:t xml:space="preserve"> </w:t>
      </w:r>
      <w:r>
        <w:rPr>
          <w:b/>
          <w:bCs/>
        </w:rPr>
        <w:t xml:space="preserve">bem público</w:t>
      </w:r>
      <w:r>
        <w:t xml:space="preserve"> </w:t>
      </w:r>
      <w:r>
        <w:t xml:space="preserve">(externalidade positiva), o que justifica o financiamento público.</w:t>
      </w:r>
    </w:p>
    <w:p>
      <w:pPr>
        <w:pStyle w:val="BlockText"/>
      </w:pPr>
      <w:r>
        <w:rPr>
          <w:b/>
          <w:bCs/>
        </w:rPr>
        <w:t xml:space="preserve">(c)</w:t>
      </w:r>
      <w:r>
        <w:t xml:space="preserve"> </w:t>
      </w:r>
      <w:r>
        <w:t xml:space="preserve">Peixe no Rio São Francisco:</w:t>
      </w:r>
      <w:r>
        <w:t xml:space="preserve"> </w:t>
      </w:r>
      <w:r>
        <w:rPr>
          <w:b/>
          <w:bCs/>
        </w:rPr>
        <w:t xml:space="preserve">recurso comum</w:t>
      </w:r>
      <w:r>
        <w:t xml:space="preserve"> </w:t>
      </w:r>
      <w:r>
        <w:t xml:space="preserve">— rival (peixe capturado por um pescador não está disponível para outro) e não-excludente (difícil impedir acesso ao rio).</w:t>
      </w:r>
    </w:p>
    <w:p>
      <w:pPr>
        <w:pStyle w:val="BlockText"/>
      </w:pPr>
      <w:r>
        <w:rPr>
          <w:b/>
          <w:bCs/>
        </w:rPr>
        <w:t xml:space="preserve">(d)</w:t>
      </w:r>
      <w:r>
        <w:t xml:space="preserve"> </w:t>
      </w:r>
      <w:r>
        <w:t xml:space="preserve">Pedágio:</w:t>
      </w:r>
      <w:r>
        <w:t xml:space="preserve"> </w:t>
      </w:r>
      <w:r>
        <w:rPr>
          <w:b/>
          <w:bCs/>
        </w:rPr>
        <w:t xml:space="preserve">bem de clube</w:t>
      </w:r>
      <w:r>
        <w:t xml:space="preserve"> </w:t>
      </w:r>
      <w:r>
        <w:t xml:space="preserve">— não-rival (até congestionamento) e excludente (só entra quem paga a tarifa).</w:t>
      </w:r>
    </w:p>
    <w:p>
      <w:pPr>
        <w:pStyle w:val="BlockText"/>
      </w:pPr>
      <w:r>
        <w:rPr>
          <w:b/>
          <w:bCs/>
        </w:rPr>
        <w:t xml:space="preserve">(e)</w:t>
      </w:r>
      <w:r>
        <w:t xml:space="preserve"> </w:t>
      </w:r>
      <w:r>
        <w:t xml:space="preserve">Código-fonte do Linux:</w:t>
      </w:r>
      <w:r>
        <w:t xml:space="preserve"> </w:t>
      </w:r>
      <w:r>
        <w:rPr>
          <w:b/>
          <w:bCs/>
        </w:rPr>
        <w:t xml:space="preserve">bem público puro</w:t>
      </w:r>
      <w:r>
        <w:t xml:space="preserve"> </w:t>
      </w:r>
      <w:r>
        <w:t xml:space="preserve">— não-rival (copiar não reduz disponibilidade) e não-excludente (licença open-source garante acesso livre).</w:t>
      </w:r>
    </w:p>
    <w:p>
      <w:r>
        <w:pict>
          <v:rect style="width:0;height:1.5pt" o:hralign="center" o:hrstd="t" o:hr="t"/>
        </w:pict>
      </w:r>
    </w:p>
    <w:bookmarkEnd w:id="1254"/>
    <w:bookmarkEnd w:id="1255"/>
    <w:bookmarkStart w:id="1258" w:name="Xafa8f9e90756f0f919a124a1dfbba19be004edc"/>
    <w:p>
      <w:pPr>
        <w:pStyle w:val="Heading3"/>
      </w:pPr>
      <w:r>
        <w:t xml:space="preserve">20.6 Some Verticalmente, Não Horizontalmente: Bens Públicos e Alocação de Recursos</w:t>
      </w:r>
    </w:p>
    <w:bookmarkStart w:id="1256" w:name="condição-de-eficiência-samuelson-1954"/>
    <w:p>
      <w:pPr>
        <w:pStyle w:val="Heading4"/>
      </w:pPr>
      <w:r>
        <w:t xml:space="preserve">Condição de eficiência (Samuelson, 1954)</w:t>
      </w:r>
    </w:p>
    <w:p>
      <w:pPr>
        <w:pStyle w:val="FirstParagraph"/>
      </w:pPr>
      <w:r>
        <w:t xml:space="preserve">Para um bem privado, a eficiência requer que todos os consumidores se deparem com o mesmo preço, que iguala o custo marginal. Para um bem público, a condição de eficiência é fundamentalmente diferente.</w:t>
      </w:r>
    </w:p>
    <w:p>
      <w:pPr>
        <w:pStyle w:val="BlockText"/>
      </w:pPr>
      <w:r>
        <w:rPr>
          <w:b/>
          <w:bCs/>
        </w:rPr>
        <w:t xml:space="preserve">[RESUMO] Condição de Samuelson para Bens Públicos</w:t>
      </w:r>
    </w:p>
    <w:p>
      <w:pPr>
        <w:pStyle w:val="BlockText"/>
      </w:pPr>
      <w:r>
        <w:t xml:space="preserve">A provisão eficiente de um bem público requer que a</w:t>
      </w:r>
      <w:r>
        <w:t xml:space="preserve"> </w:t>
      </w:r>
      <w:r>
        <w:rPr>
          <w:b/>
          <w:bCs/>
        </w:rPr>
        <w:t xml:space="preserve">soma das taxas marginais de substituição</w:t>
      </w:r>
      <w:r>
        <w:t xml:space="preserve"> </w:t>
      </w:r>
      <w:r>
        <w:t xml:space="preserve">de todos os indivíduos iguale a</w:t>
      </w:r>
      <w:r>
        <w:t xml:space="preserve"> </w:t>
      </w:r>
      <w:r>
        <w:rPr>
          <w:b/>
          <w:bCs/>
        </w:rPr>
        <w:t xml:space="preserve">taxa marginal de transformação</w:t>
      </w:r>
      <w:r>
        <w:t xml:space="preserve"> </w:t>
      </w:r>
      <w:r>
        <w:t xml:space="preserve">(custo marginal de produção):</w:t>
      </w:r>
    </w:p>
    <w:p>
      <w:pPr>
        <w:pStyle w:val="BlockText"/>
      </w:pPr>
      <w:r>
        <w:t xml:space="preserve">$$</w:t>
      </w:r>
    </w:p>
    <w:p>
      <w:pPr>
        <w:pStyle w:val="BlockText"/>
      </w:pPr>
      <w:r>
        <w:t xml:space="preserve">_{i=1}^{N} TMS_i^{G,x} = TMT^{G,x}</w:t>
      </w:r>
      <w:r>
        <w:t xml:space="preserve"> </w:t>
      </w:r>
      <w:r>
        <w:t xml:space="preserve"> </w:t>
      </w:r>
      <w:r>
        <w:t xml:space="preserve"> </w:t>
      </w:r>
      <w:r>
        <w:t xml:space="preserve">$$</w:t>
      </w:r>
    </w:p>
    <w:p>
      <w:pPr>
        <w:pStyle w:val="BlockText"/>
      </w:pPr>
      <w:r>
        <w:t xml:space="preserve">onde</w:t>
      </w:r>
      <w:r>
        <w:t xml:space="preserve"> </w:t>
      </w:r>
      <m:oMath>
        <m:r>
          <m:t>T</m:t>
        </m:r>
        <m:r>
          <m:t>M</m:t>
        </m:r>
        <m:sSubSup>
          <m:e>
            <m:r>
              <m:t>S</m:t>
            </m:r>
          </m:e>
          <m:sub>
            <m:r>
              <m:t>i</m:t>
            </m:r>
          </m:sub>
          <m:sup>
            <m:r>
              <m:t>G</m:t>
            </m:r>
            <m:r>
              <m:rPr>
                <m:sty m:val="p"/>
              </m:rPr>
              <m:t>,</m:t>
            </m:r>
            <m:r>
              <m:t>x</m:t>
            </m:r>
          </m:sup>
        </m:sSubSup>
        <m:r>
          <m:rPr>
            <m:sty m:val="p"/>
          </m:rPr>
          <m:t>=</m:t>
        </m:r>
        <m:f>
          <m:fPr>
            <m:type m:val="bar"/>
          </m:fPr>
          <m:num>
            <m:r>
              <m:rPr>
                <m:sty m:val="p"/>
              </m:rPr>
              <m:t>∂</m:t>
            </m:r>
            <m:sSub>
              <m:e>
                <m:r>
                  <m:t>U</m:t>
                </m:r>
              </m:e>
              <m:sub>
                <m:r>
                  <m:t>i</m:t>
                </m:r>
              </m:sub>
            </m:sSub>
            <m:r>
              <m:rPr>
                <m:sty m:val="p"/>
              </m:rPr>
              <m:t>/</m:t>
            </m:r>
            <m:r>
              <m:rPr>
                <m:sty m:val="p"/>
              </m:rPr>
              <m:t>∂</m:t>
            </m:r>
            <m:r>
              <m:t>G</m:t>
            </m:r>
          </m:num>
          <m:den>
            <m:r>
              <m:rPr>
                <m:sty m:val="p"/>
              </m:rPr>
              <m:t>∂</m:t>
            </m:r>
            <m:sSub>
              <m:e>
                <m:r>
                  <m:t>U</m:t>
                </m:r>
              </m:e>
              <m:sub>
                <m:r>
                  <m:t>i</m:t>
                </m:r>
              </m:sub>
            </m:sSub>
            <m:r>
              <m:rPr>
                <m:sty m:val="p"/>
              </m:rPr>
              <m:t>/</m:t>
            </m:r>
            <m:r>
              <m:rPr>
                <m:sty m:val="p"/>
              </m:rPr>
              <m:t>∂</m:t>
            </m:r>
            <m:sSub>
              <m:e>
                <m:r>
                  <m:t>x</m:t>
                </m:r>
              </m:e>
              <m:sub>
                <m:r>
                  <m:t>i</m:t>
                </m:r>
              </m:sub>
            </m:sSub>
          </m:den>
        </m:f>
      </m:oMath>
      <w:r>
        <w:t xml:space="preserve"> </w:t>
      </w:r>
      <w:r>
        <w:t xml:space="preserve">é a taxa marginal de substituição entre o bem público</w:t>
      </w:r>
      <w:r>
        <w:t xml:space="preserve"> </w:t>
      </w:r>
      <m:oMath>
        <m:r>
          <m:t>G</m:t>
        </m:r>
      </m:oMath>
      <w:r>
        <w:t xml:space="preserve"> </w:t>
      </w:r>
      <w:r>
        <w:t xml:space="preserve">e o bem privado</w:t>
      </w:r>
      <w:r>
        <w:t xml:space="preserve"> </w:t>
      </w:r>
      <m:oMath>
        <m:r>
          <m:t>x</m:t>
        </m:r>
      </m:oMath>
      <w:r>
        <w:t xml:space="preserve"> </w:t>
      </w:r>
      <w:r>
        <w:t xml:space="preserve">para o indivíduo</w:t>
      </w:r>
      <w:r>
        <w:t xml:space="preserve"> </w:t>
      </w:r>
      <m:oMath>
        <m:r>
          <m:t>i</m:t>
        </m:r>
      </m:oMath>
      <w:r>
        <w:t xml:space="preserve">.</w:t>
      </w:r>
    </w:p>
    <w:p>
      <w:pPr>
        <w:pStyle w:val="FirstParagraph"/>
      </w:pPr>
      <w:r>
        <w:rPr>
          <w:b/>
          <w:bCs/>
        </w:rPr>
        <w:t xml:space="preserve">Intuição</w:t>
      </w:r>
      <w:r>
        <w:t xml:space="preserve">: Como o bem público é não-rival, todos consomem a mesma quantidade</w:t>
      </w:r>
      <w:r>
        <w:t xml:space="preserve"> </w:t>
      </w:r>
      <m:oMath>
        <m:r>
          <m:t>G</m:t>
        </m:r>
      </m:oMath>
      <w:r>
        <w:t xml:space="preserve">. O benefício social marginal de uma unidade adicional é a soma dos benefícios marginais de todos os indivíduos. Eficiência requer que esse benefício agregado iguale o custo marginal.</w:t>
      </w:r>
    </w:p>
    <w:p>
      <w:pPr>
        <w:pStyle w:val="BodyText"/>
      </w:pPr>
      <w:r>
        <w:t xml:space="preserve">Diferentemente, para um bem privado, a eficiência requer</w:t>
      </w:r>
      <w:r>
        <w:t xml:space="preserve"> </w:t>
      </w:r>
      <m:oMath>
        <m:r>
          <m:t>T</m:t>
        </m:r>
        <m:r>
          <m:t>M</m:t>
        </m:r>
        <m:sSub>
          <m:e>
            <m:r>
              <m:t>S</m:t>
            </m:r>
          </m:e>
          <m:sub>
            <m:r>
              <m:t>i</m:t>
            </m:r>
          </m:sub>
        </m:sSub>
        <m:r>
          <m:rPr>
            <m:sty m:val="p"/>
          </m:rPr>
          <m:t>=</m:t>
        </m:r>
        <m:r>
          <m:t>T</m:t>
        </m:r>
        <m:r>
          <m:t>M</m:t>
        </m:r>
        <m:r>
          <m:t>T</m:t>
        </m:r>
      </m:oMath>
      <w:r>
        <w:t xml:space="preserve"> </w:t>
      </w:r>
      <w:r>
        <w:t xml:space="preserve">para cada</w:t>
      </w:r>
      <w:r>
        <w:t xml:space="preserve"> </w:t>
      </w:r>
      <m:oMath>
        <m:r>
          <m:t>i</m:t>
        </m:r>
      </m:oMath>
      <w:r>
        <w:t xml:space="preserve"> </w:t>
      </w:r>
      <w:r>
        <w:t xml:space="preserve">individualmente (não a soma).</w:t>
      </w:r>
    </w:p>
    <w:p>
      <w:pPr>
        <w:pStyle w:val="BlockText"/>
      </w:pPr>
      <w:r>
        <w:rPr>
          <w:b/>
          <w:bCs/>
        </w:rPr>
        <w:t xml:space="preserve">[INTUICAO ECONOMICA] Intuição Econômica</w:t>
      </w:r>
    </w:p>
    <w:p>
      <w:pPr>
        <w:pStyle w:val="BlockText"/>
      </w:pPr>
      <w:r>
        <w:rPr>
          <w:b/>
          <w:bCs/>
        </w:rPr>
        <w:t xml:space="preserve">Em uma frase:</w:t>
      </w:r>
      <w:r>
        <w:t xml:space="preserve"> </w:t>
      </w:r>
      <w:r>
        <w:t xml:space="preserve">Para bens privados, some as</w:t>
      </w:r>
      <w:r>
        <w:t xml:space="preserve"> </w:t>
      </w:r>
      <w:r>
        <w:rPr>
          <w:i/>
          <w:iCs/>
        </w:rPr>
        <w:t xml:space="preserve">quantidades</w:t>
      </w:r>
      <w:r>
        <w:t xml:space="preserve"> </w:t>
      </w:r>
      <w:r>
        <w:t xml:space="preserve">demandadas (soma horizontal); para bens públicos, some as</w:t>
      </w:r>
      <w:r>
        <w:t xml:space="preserve"> </w:t>
      </w:r>
      <w:r>
        <w:rPr>
          <w:i/>
          <w:iCs/>
        </w:rPr>
        <w:t xml:space="preserve">valorações marginais</w:t>
      </w:r>
      <w:r>
        <w:t xml:space="preserve"> </w:t>
      </w:r>
      <w:r>
        <w:t xml:space="preserve">(soma vertical).</w:t>
      </w:r>
    </w:p>
    <w:p>
      <w:pPr>
        <w:pStyle w:val="BlockText"/>
      </w:pPr>
      <w:r>
        <w:rPr>
          <w:b/>
          <w:bCs/>
        </w:rPr>
        <w:t xml:space="preserve">Pense assim:</w:t>
      </w:r>
      <w:r>
        <w:t xml:space="preserve"> </w:t>
      </w:r>
      <w:r>
        <w:t xml:space="preserve">Quando três amigos querem pizza (bem privado), cada um come a sua — a demanda de mercado é a soma horizontal das demandas individuais. Quando três amigos querem iluminação na rua (bem público), todos</w:t>
      </w:r>
      <w:r>
        <w:t xml:space="preserve"> </w:t>
      </w:r>
      <w:r>
        <w:t xml:space="preserve">“consomem”</w:t>
      </w:r>
      <w:r>
        <w:t xml:space="preserve"> </w:t>
      </w:r>
      <w:r>
        <w:t xml:space="preserve">a mesma luz — o que importa é quanto cada um valoriza marginalmente aquela luz. A demanda social é a soma vertical das disposições a pagar.</w:t>
      </w:r>
    </w:p>
    <w:p>
      <w:pPr>
        <w:pStyle w:val="BlockText"/>
      </w:pPr>
      <w:r>
        <w:rPr>
          <w:b/>
          <w:bCs/>
        </w:rPr>
        <w:t xml:space="preserve">Por que isso importa:</w:t>
      </w:r>
      <w:r>
        <w:t xml:space="preserve"> </w:t>
      </w:r>
      <w:r>
        <w:t xml:space="preserve">Essa distinção é a razão pela qual mercados funcionam bem para pizza mas mal para iluminação pública. O mecanismo de preços revela a demanda individual por bens privados (cada um compra sua quantidade ao preço de mercado), mas não revela a valoração individual por bens públicos (todos consomem a mesma quantidade independentemente do que pagam).</w:t>
      </w:r>
    </w:p>
    <w:p>
      <w:r>
        <w:pict>
          <v:rect style="width:0;height:1.5pt" o:hralign="center" o:hrstd="t" o:hr="t"/>
        </w:pict>
      </w:r>
    </w:p>
    <w:p>
      <w:pPr>
        <w:pStyle w:val="FirstParagraph"/>
      </w:pPr>
      <w:r>
        <w:t xml:space="preserve">[FIGURA INTERATIVA: /micro-book/graficos/cap20/bem-publico.html — versao interativa disponivel online]</w:t>
      </w:r>
    </w:p>
    <w:p>
      <w:pPr>
        <w:pStyle w:val="BodyText"/>
      </w:pPr>
      <w:r>
        <w:rPr>
          <w:b/>
          <w:bCs/>
        </w:rPr>
        <w:t xml:space="preserve">Figura 20.3 — Provisão ótima de bem público.</w:t>
      </w:r>
      <w:r>
        <w:t xml:space="preserve"> </w:t>
      </w:r>
      <w:r>
        <w:t xml:space="preserve">A soma vertical dos benefícios marginais individuais determina o benefício marginal social. O nível ótimo (Samuelson) ocorre onde a soma dos BMg iguala o CMg. Os preços de Lindahl mostram a contribuição personalizada de cada consumidor.</w:t>
      </w:r>
    </w:p>
    <w:bookmarkEnd w:id="1256"/>
    <w:bookmarkStart w:id="1257" w:name="subprovisão-pelo-mercado"/>
    <w:p>
      <w:pPr>
        <w:pStyle w:val="Heading4"/>
      </w:pPr>
      <w:r>
        <w:t xml:space="preserve">Subprovisão pelo mercado</w:t>
      </w:r>
    </w:p>
    <w:p>
      <w:pPr>
        <w:pStyle w:val="FirstParagraph"/>
      </w:pPr>
      <w:r>
        <w:t xml:space="preserve">O mercado tende a</w:t>
      </w:r>
      <w:r>
        <w:t xml:space="preserve"> </w:t>
      </w:r>
      <w:r>
        <w:rPr>
          <w:b/>
          <w:bCs/>
        </w:rPr>
        <w:t xml:space="preserve">subprover</w:t>
      </w:r>
      <w:r>
        <w:t xml:space="preserve"> </w:t>
      </w:r>
      <w:r>
        <w:t xml:space="preserve">bens públicos porque cada indivíduo, ao decidir sua contribuição voluntária, considera apenas</w:t>
      </w:r>
      <w:r>
        <w:t xml:space="preserve"> </w:t>
      </w:r>
      <w:r>
        <w:rPr>
          <w:b/>
          <w:bCs/>
        </w:rPr>
        <w:t xml:space="preserve">seu</w:t>
      </w:r>
      <w:r>
        <w:t xml:space="preserve"> </w:t>
      </w:r>
      <w:r>
        <w:t xml:space="preserve">benefício marginal, ignorando o benefício que gera para os demais.</w:t>
      </w:r>
    </w:p>
    <w:p>
      <w:pPr>
        <w:pStyle w:val="BodyText"/>
      </w:pPr>
      <w:r>
        <w:t xml:space="preserve">Considere</w:t>
      </w:r>
      <w:r>
        <w:t xml:space="preserve"> </w:t>
      </w:r>
      <m:oMath>
        <m:r>
          <m:t>N</m:t>
        </m:r>
      </m:oMath>
      <w:r>
        <w:t xml:space="preserve"> </w:t>
      </w:r>
      <w:r>
        <w:t xml:space="preserve">indivíduos idênticos com utilidade</w:t>
      </w:r>
      <w:r>
        <w:t xml:space="preserve"> </w:t>
      </w:r>
      <m:oMath>
        <m:sSub>
          <m:e>
            <m:r>
              <m:t>U</m:t>
            </m:r>
          </m:e>
          <m:sub>
            <m:r>
              <m:t>i</m:t>
            </m:r>
          </m:sub>
        </m:sSub>
        <m:r>
          <m:rPr>
            <m:sty m:val="p"/>
          </m:rPr>
          <m:t>=</m:t>
        </m:r>
        <m:r>
          <m:t>u</m:t>
        </m:r>
        <m:r>
          <m:rPr>
            <m:sty m:val="p"/>
          </m:rPr>
          <m:t>(</m:t>
        </m:r>
        <m:sSub>
          <m:e>
            <m:r>
              <m:t>x</m:t>
            </m:r>
          </m:e>
          <m:sub>
            <m:r>
              <m:t>i</m:t>
            </m:r>
          </m:sub>
        </m:sSub>
        <m:r>
          <m:rPr>
            <m:sty m:val="p"/>
          </m:rPr>
          <m:t>)</m:t>
        </m:r>
        <m:r>
          <m:rPr>
            <m:sty m:val="p"/>
          </m:rPr>
          <m:t>+</m:t>
        </m:r>
        <m:r>
          <m:t>v</m:t>
        </m:r>
        <m:r>
          <m:rPr>
            <m:sty m:val="p"/>
          </m:rPr>
          <m:t>(</m:t>
        </m:r>
        <m:r>
          <m:t>G</m:t>
        </m:r>
        <m:r>
          <m:rPr>
            <m:sty m:val="p"/>
          </m:rPr>
          <m:t>)</m:t>
        </m:r>
      </m:oMath>
      <w:r>
        <w:t xml:space="preserve">, onde</w:t>
      </w:r>
      <w:r>
        <w:t xml:space="preserve"> </w:t>
      </w:r>
      <m:oMath>
        <m:r>
          <m:t>G</m:t>
        </m:r>
        <m:r>
          <m:rPr>
            <m:sty m:val="p"/>
          </m:rPr>
          <m:t>=</m:t>
        </m:r>
        <m:r>
          <m:rPr>
            <m:sty m:val="p"/>
          </m:rPr>
          <m:t>∑</m:t>
        </m:r>
        <m:sSub>
          <m:e>
            <m:r>
              <m:t>g</m:t>
            </m:r>
          </m:e>
          <m:sub>
            <m:r>
              <m:t>i</m:t>
            </m:r>
          </m:sub>
        </m:sSub>
      </m:oMath>
      <w:r>
        <w:t xml:space="preserve"> </w:t>
      </w:r>
      <w:r>
        <w:t xml:space="preserve">é a contribuição total ao bem público. Cada indivíduo escolhe</w:t>
      </w:r>
      <w:r>
        <w:t xml:space="preserve"> </w:t>
      </w:r>
      <m:oMath>
        <m:sSub>
          <m:e>
            <m:r>
              <m:t>g</m:t>
            </m:r>
          </m:e>
          <m:sub>
            <m:r>
              <m:t>i</m:t>
            </m:r>
          </m:sub>
        </m:sSub>
      </m:oMath>
      <w:r>
        <w:t xml:space="preserve"> </w:t>
      </w:r>
      <w:r>
        <w:t xml:space="preserve">para maximizar:</w:t>
      </w:r>
    </w:p>
    <w:p>
      <w:pPr>
        <w:pStyle w:val="BodyText"/>
      </w:pPr>
      <m:oMathPara>
        <m:oMathParaPr>
          <m:jc m:val="center"/>
        </m:oMathParaPr>
        <m:oMath>
          <m:r>
            <m:t>u</m:t>
          </m:r>
          <m:r>
            <m:rPr>
              <m:sty m:val="p"/>
            </m:rPr>
            <m:t>(</m:t>
          </m:r>
          <m:sSub>
            <m:e>
              <m:r>
                <m:t>W</m:t>
              </m:r>
            </m:e>
            <m:sub>
              <m:r>
                <m:t>i</m:t>
              </m:r>
            </m:sub>
          </m:sSub>
          <m:r>
            <m:rPr>
              <m:sty m:val="p"/>
            </m:rPr>
            <m:t>−</m:t>
          </m:r>
          <m:sSub>
            <m:e>
              <m:r>
                <m:t>g</m:t>
              </m:r>
            </m:e>
            <m:sub>
              <m:r>
                <m:t>i</m:t>
              </m:r>
            </m:sub>
          </m:sSub>
          <m:r>
            <m:rPr>
              <m:sty m:val="p"/>
            </m:rPr>
            <m:t>)</m:t>
          </m:r>
          <m:r>
            <m:rPr>
              <m:sty m:val="p"/>
            </m:rPr>
            <m:t>+</m:t>
          </m:r>
          <m:r>
            <m:t>v</m:t>
          </m:r>
          <m:r>
            <m:t>​</m:t>
          </m:r>
          <m:d>
            <m:dPr>
              <m:begChr m:val="("/>
              <m:sepChr m:val=""/>
              <m:endChr m:val=")"/>
              <m:grow/>
            </m:dPr>
            <m:e>
              <m:sSub>
                <m:e>
                  <m:r>
                    <m:t>g</m:t>
                  </m:r>
                </m:e>
                <m:sub>
                  <m:r>
                    <m:t>i</m:t>
                  </m:r>
                </m:sub>
              </m:sSub>
              <m:r>
                <m:rPr>
                  <m:sty m:val="p"/>
                </m:rPr>
                <m:t>+</m:t>
              </m:r>
              <m:nary>
                <m:naryPr>
                  <m:chr m:val="∑"/>
                  <m:limLoc m:val="undOvr"/>
                  <m:subHide m:val="off"/>
                  <m:supHide m:val="on"/>
                </m:naryPr>
                <m:sub>
                  <m:r>
                    <m:t>j</m:t>
                  </m:r>
                  <m:r>
                    <m:rPr>
                      <m:sty m:val="p"/>
                    </m:rPr>
                    <m:t>≠</m:t>
                  </m:r>
                  <m:r>
                    <m:t>i</m:t>
                  </m:r>
                </m:sub>
                <m:sup>
                  <m:r>
                    <m:t>​</m:t>
                  </m:r>
                </m:sup>
                <m:e>
                  <m:sSub>
                    <m:e>
                      <m:r>
                        <m:t>g</m:t>
                      </m:r>
                    </m:e>
                    <m:sub>
                      <m:r>
                        <m:t>j</m:t>
                      </m:r>
                    </m:sub>
                  </m:sSub>
                </m:e>
              </m:nary>
            </m:e>
          </m:d>
        </m:oMath>
      </m:oMathPara>
    </w:p>
    <w:p>
      <w:pPr>
        <w:pStyle w:val="FirstParagraph"/>
      </w:pPr>
      <w:r>
        <w:t xml:space="preserve">A condição de primeira ordem é:</w:t>
      </w:r>
    </w:p>
    <w:p>
      <w:pPr>
        <w:pStyle w:val="BodyText"/>
      </w:pPr>
      <m:oMathPara>
        <m:oMathParaPr>
          <m:jc m:val="center"/>
        </m:oMathParaPr>
        <m:oMath>
          <m:sSup>
            <m:e>
              <m:r>
                <m:t>u</m:t>
              </m:r>
            </m:e>
            <m:sup>
              <m:r>
                <m:rPr>
                  <m:sty m:val="p"/>
                </m:rPr>
                <m:t>′</m:t>
              </m:r>
            </m:sup>
          </m:sSup>
          <m:r>
            <m:rPr>
              <m:sty m:val="p"/>
            </m:rPr>
            <m:t>(</m:t>
          </m:r>
          <m:sSub>
            <m:e>
              <m:r>
                <m:t>W</m:t>
              </m:r>
            </m:e>
            <m:sub>
              <m:r>
                <m:t>i</m:t>
              </m:r>
            </m:sub>
          </m:sSub>
          <m:r>
            <m:rPr>
              <m:sty m:val="p"/>
            </m:rPr>
            <m:t>−</m:t>
          </m:r>
          <m:sSub>
            <m:e>
              <m:r>
                <m:t>g</m:t>
              </m:r>
            </m:e>
            <m:sub>
              <m:r>
                <m:t>i</m:t>
              </m:r>
            </m:sub>
          </m:sSub>
          <m:r>
            <m:rPr>
              <m:sty m:val="p"/>
            </m:rPr>
            <m:t>)</m:t>
          </m:r>
          <m:r>
            <m:rPr>
              <m:sty m:val="p"/>
            </m:rPr>
            <m:t>=</m:t>
          </m:r>
          <m:sSup>
            <m:e>
              <m:r>
                <m:t>v</m:t>
              </m:r>
            </m:e>
            <m:sup>
              <m:r>
                <m:rPr>
                  <m:sty m:val="p"/>
                </m:rPr>
                <m:t>′</m:t>
              </m:r>
            </m:sup>
          </m:sSup>
          <m:r>
            <m:rPr>
              <m:sty m:val="p"/>
            </m:rPr>
            <m:t>(</m:t>
          </m:r>
          <m:r>
            <m:t>G</m:t>
          </m:r>
          <m:r>
            <m:rPr>
              <m:sty m:val="p"/>
            </m:rPr>
            <m:t>)</m:t>
          </m:r>
          <m:r>
            <m:rPr>
              <m:sty m:val="p"/>
            </m:rPr>
            <m:t>⟹</m:t>
          </m:r>
          <m:r>
            <m:t>T</m:t>
          </m:r>
          <m:r>
            <m:t>M</m:t>
          </m:r>
          <m:sSub>
            <m:e>
              <m:r>
                <m:t>S</m:t>
              </m:r>
            </m:e>
            <m:sub>
              <m:r>
                <m:t>i</m:t>
              </m:r>
            </m:sub>
          </m:sSub>
          <m:r>
            <m:rPr>
              <m:sty m:val="p"/>
            </m:rPr>
            <m:t>=</m:t>
          </m:r>
          <m:r>
            <m:t>1</m:t>
          </m:r>
        </m:oMath>
      </m:oMathPara>
    </w:p>
    <w:p>
      <w:pPr>
        <w:pStyle w:val="FirstParagraph"/>
      </w:pPr>
      <w:r>
        <w:t xml:space="preserve">Mas a condição de eficiência requer</w:t>
      </w:r>
      <w:r>
        <w:t xml:space="preserve"> </w:t>
      </w:r>
      <m:oMath>
        <m:r>
          <m:rPr>
            <m:sty m:val="p"/>
          </m:rPr>
          <m:t>∑</m:t>
        </m:r>
        <m:r>
          <m:t>T</m:t>
        </m:r>
        <m:r>
          <m:t>M</m:t>
        </m:r>
        <m:sSub>
          <m:e>
            <m:r>
              <m:t>S</m:t>
            </m:r>
          </m:e>
          <m:sub>
            <m:r>
              <m:t>i</m:t>
            </m:r>
          </m:sub>
        </m:sSub>
        <m:r>
          <m:rPr>
            <m:sty m:val="p"/>
          </m:rPr>
          <m:t>=</m:t>
        </m:r>
        <m:r>
          <m:t>1</m:t>
        </m:r>
      </m:oMath>
      <w:r>
        <w:t xml:space="preserve">, ou seja,</w:t>
      </w:r>
      <w:r>
        <w:t xml:space="preserve"> </w:t>
      </w:r>
      <m:oMath>
        <m:r>
          <m:t>T</m:t>
        </m:r>
        <m:r>
          <m:t>M</m:t>
        </m:r>
        <m:sSub>
          <m:e>
            <m:r>
              <m:t>S</m:t>
            </m:r>
          </m:e>
          <m:sub>
            <m:r>
              <m:t>i</m:t>
            </m:r>
          </m:sub>
        </m:sSub>
        <m:r>
          <m:rPr>
            <m:sty m:val="p"/>
          </m:rPr>
          <m:t>=</m:t>
        </m:r>
        <m:r>
          <m:t>1</m:t>
        </m:r>
        <m:r>
          <m:rPr>
            <m:sty m:val="p"/>
          </m:rPr>
          <m:t>/</m:t>
        </m:r>
        <m:r>
          <m:t>N</m:t>
        </m:r>
      </m:oMath>
      <w:r>
        <w:t xml:space="preserve"> </w:t>
      </w:r>
      <w:r>
        <w:t xml:space="preserve">para indivíduos idênticos. Como</w:t>
      </w:r>
      <w:r>
        <w:t xml:space="preserve"> </w:t>
      </w:r>
      <m:oMath>
        <m:r>
          <m:t>1</m:t>
        </m:r>
        <m:r>
          <m:rPr>
            <m:sty m:val="p"/>
          </m:rPr>
          <m:t>&gt;</m:t>
        </m:r>
        <m:r>
          <m:t>1</m:t>
        </m:r>
        <m:r>
          <m:rPr>
            <m:sty m:val="p"/>
          </m:rPr>
          <m:t>/</m:t>
        </m:r>
        <m:r>
          <m:t>N</m:t>
        </m:r>
      </m:oMath>
      <w:r>
        <w:t xml:space="preserve">, cada indivíduo demanda benefício marginal excessivamente alto, resultando em</w:t>
      </w:r>
      <w:r>
        <w:t xml:space="preserve"> </w:t>
      </w:r>
      <m:oMath>
        <m:sSup>
          <m:e>
            <m:r>
              <m:t>G</m:t>
            </m:r>
          </m:e>
          <m:sup>
            <m:r>
              <m:t>p</m:t>
            </m:r>
            <m:r>
              <m:t>r</m:t>
            </m:r>
            <m:r>
              <m:t>i</m:t>
            </m:r>
            <m:r>
              <m:t>v</m:t>
            </m:r>
          </m:sup>
        </m:sSup>
        <m:r>
          <m:rPr>
            <m:sty m:val="p"/>
          </m:rPr>
          <m:t>&lt;</m:t>
        </m:r>
        <m:sSup>
          <m:e>
            <m:r>
              <m:t>G</m:t>
            </m:r>
          </m:e>
          <m:sup>
            <m:r>
              <m:rPr>
                <m:sty m:val="p"/>
              </m:rPr>
              <m:t>*</m:t>
            </m:r>
          </m:sup>
        </m:sSup>
      </m:oMath>
      <w:r>
        <w:t xml:space="preserve">: o bem público é</w:t>
      </w:r>
      <w:r>
        <w:t xml:space="preserve"> </w:t>
      </w:r>
      <w:r>
        <w:rPr>
          <w:b/>
          <w:bCs/>
        </w:rPr>
        <w:t xml:space="preserve">subprovido</w:t>
      </w:r>
      <w:r>
        <w:t xml:space="preserve">.</w:t>
      </w:r>
    </w:p>
    <w:p>
      <w:pPr>
        <w:pStyle w:val="BlockText"/>
      </w:pPr>
      <w:r>
        <w:rPr>
          <w:b/>
          <w:bCs/>
        </w:rPr>
        <w:t xml:space="preserve">[EXERCICIO RESOLVIDO] Exercício Resolvido 20.6 — Condição de Samuelson com utilidade Cobb-Douglas</w:t>
      </w:r>
    </w:p>
    <w:p>
      <w:pPr>
        <w:pStyle w:val="BlockText"/>
      </w:pPr>
      <w:r>
        <w:rPr>
          <w:b/>
          <w:bCs/>
        </w:rPr>
        <w:t xml:space="preserve">Enunciado.</w:t>
      </w:r>
      <w:r>
        <w:t xml:space="preserve"> </w:t>
      </w:r>
      <w:r>
        <w:t xml:space="preserve">Dois consumidores com utilidade</w:t>
      </w:r>
      <w:r>
        <w:t xml:space="preserve"> </w:t>
      </w:r>
      <m:oMath>
        <m:sSub>
          <m:e>
            <m:r>
              <m:t>U</m:t>
            </m:r>
          </m:e>
          <m:sub>
            <m:r>
              <m:t>i</m:t>
            </m:r>
          </m:sub>
        </m:sSub>
        <m:r>
          <m:rPr>
            <m:sty m:val="p"/>
          </m:rPr>
          <m:t>=</m:t>
        </m:r>
        <m:sSubSup>
          <m:e>
            <m:r>
              <m:t>x</m:t>
            </m:r>
          </m:e>
          <m:sub>
            <m:r>
              <m:t>i</m:t>
            </m:r>
          </m:sub>
          <m:sup>
            <m:r>
              <m:t>1</m:t>
            </m:r>
            <m:r>
              <m:rPr>
                <m:sty m:val="p"/>
              </m:rPr>
              <m:t>/</m:t>
            </m:r>
            <m:r>
              <m:t>2</m:t>
            </m:r>
          </m:sup>
        </m:sSubSup>
        <m:r>
          <m:rPr>
            <m:sty m:val="p"/>
          </m:rPr>
          <m:t>⋅</m:t>
        </m:r>
        <m:sSup>
          <m:e>
            <m:r>
              <m:t>G</m:t>
            </m:r>
          </m:e>
          <m:sup>
            <m:r>
              <m:t>1</m:t>
            </m:r>
            <m:r>
              <m:rPr>
                <m:sty m:val="p"/>
              </m:rPr>
              <m:t>/</m:t>
            </m:r>
            <m:r>
              <m:t>2</m:t>
            </m:r>
          </m:sup>
        </m:sSup>
      </m:oMath>
      <w:r>
        <w:t xml:space="preserve"> </w:t>
      </w:r>
      <w:r>
        <w:t xml:space="preserve">e renda</w:t>
      </w:r>
      <w:r>
        <w:t xml:space="preserve"> </w:t>
      </w:r>
      <m:oMath>
        <m:sSub>
          <m:e>
            <m:r>
              <m:t>W</m:t>
            </m:r>
          </m:e>
          <m:sub>
            <m:r>
              <m:t>i</m:t>
            </m:r>
          </m:sub>
        </m:sSub>
        <m:r>
          <m:rPr>
            <m:sty m:val="p"/>
          </m:rPr>
          <m:t>=</m:t>
        </m:r>
        <m:r>
          <m:t>100</m:t>
        </m:r>
      </m:oMath>
      <w:r>
        <w:t xml:space="preserve">. Custo do bem público:</w:t>
      </w:r>
      <w:r>
        <w:t xml:space="preserve"> </w:t>
      </w:r>
      <m:oMath>
        <m:r>
          <m:t>C</m:t>
        </m:r>
        <m:r>
          <m:rPr>
            <m:sty m:val="p"/>
          </m:rPr>
          <m:t>(</m:t>
        </m:r>
        <m:r>
          <m:t>G</m:t>
        </m:r>
        <m:r>
          <m:rPr>
            <m:sty m:val="p"/>
          </m:rPr>
          <m:t>)</m:t>
        </m:r>
        <m:r>
          <m:rPr>
            <m:sty m:val="p"/>
          </m:rPr>
          <m:t>=</m:t>
        </m:r>
        <m:r>
          <m:t>G</m:t>
        </m:r>
      </m:oMath>
      <w:r>
        <w:t xml:space="preserve">. Derive a condição de Samuelson e encontre</w:t>
      </w:r>
      <w:r>
        <w:t xml:space="preserve"> </w:t>
      </w:r>
      <m:oMath>
        <m:sSup>
          <m:e>
            <m:r>
              <m:t>G</m:t>
            </m:r>
          </m:e>
          <m:sup>
            <m:r>
              <m:rPr>
                <m:sty m:val="p"/>
              </m:rPr>
              <m:t>*</m:t>
            </m:r>
          </m:sup>
        </m:sSup>
      </m:oMath>
      <w:r>
        <w:t xml:space="preserve">.</w:t>
      </w:r>
    </w:p>
    <w:p>
      <w:pPr>
        <w:pStyle w:val="BlockText"/>
      </w:pPr>
      <w:r>
        <w:rPr>
          <w:b/>
          <w:bCs/>
        </w:rPr>
        <w:t xml:space="preserve">Solução.</w:t>
      </w:r>
    </w:p>
    <w:p>
      <w:pPr>
        <w:pStyle w:val="BlockText"/>
      </w:pPr>
      <m:oMath>
        <m:r>
          <m:t>T</m:t>
        </m:r>
        <m:r>
          <m:t>M</m:t>
        </m:r>
        <m:sSubSup>
          <m:e>
            <m:r>
              <m:t>S</m:t>
            </m:r>
          </m:e>
          <m:sub>
            <m:r>
              <m:t>i</m:t>
            </m:r>
          </m:sub>
          <m:sup>
            <m:r>
              <m:t>G</m:t>
            </m:r>
            <m:r>
              <m:rPr>
                <m:sty m:val="p"/>
              </m:rPr>
              <m:t>,</m:t>
            </m:r>
            <m:r>
              <m:t>x</m:t>
            </m:r>
          </m:sup>
        </m:sSubSup>
        <m:r>
          <m:rPr>
            <m:sty m:val="p"/>
          </m:rPr>
          <m:t>=</m:t>
        </m:r>
        <m:f>
          <m:fPr>
            <m:type m:val="bar"/>
          </m:fPr>
          <m:num>
            <m:r>
              <m:rPr>
                <m:sty m:val="p"/>
              </m:rPr>
              <m:t>∂</m:t>
            </m:r>
            <m:sSub>
              <m:e>
                <m:r>
                  <m:t>U</m:t>
                </m:r>
              </m:e>
              <m:sub>
                <m:r>
                  <m:t>i</m:t>
                </m:r>
              </m:sub>
            </m:sSub>
            <m:r>
              <m:rPr>
                <m:sty m:val="p"/>
              </m:rPr>
              <m:t>/</m:t>
            </m:r>
            <m:r>
              <m:rPr>
                <m:sty m:val="p"/>
              </m:rPr>
              <m:t>∂</m:t>
            </m:r>
            <m:r>
              <m:t>G</m:t>
            </m:r>
          </m:num>
          <m:den>
            <m:r>
              <m:rPr>
                <m:sty m:val="p"/>
              </m:rPr>
              <m:t>∂</m:t>
            </m:r>
            <m:sSub>
              <m:e>
                <m:r>
                  <m:t>U</m:t>
                </m:r>
              </m:e>
              <m:sub>
                <m:r>
                  <m:t>i</m:t>
                </m:r>
              </m:sub>
            </m:sSub>
            <m:r>
              <m:rPr>
                <m:sty m:val="p"/>
              </m:rPr>
              <m:t>/</m:t>
            </m:r>
            <m:r>
              <m:rPr>
                <m:sty m:val="p"/>
              </m:rPr>
              <m:t>∂</m:t>
            </m:r>
            <m:sSub>
              <m:e>
                <m:r>
                  <m:t>x</m:t>
                </m:r>
              </m:e>
              <m:sub>
                <m:r>
                  <m:t>i</m:t>
                </m:r>
              </m:sub>
            </m:sSub>
          </m:den>
        </m:f>
        <m:r>
          <m:rPr>
            <m:sty m:val="p"/>
          </m:rPr>
          <m:t>=</m:t>
        </m:r>
        <m:f>
          <m:fPr>
            <m:type m:val="bar"/>
          </m:fPr>
          <m:num>
            <m:r>
              <m:rPr>
                <m:sty m:val="p"/>
              </m:rPr>
              <m:t>(</m:t>
            </m:r>
            <m:r>
              <m:t>1</m:t>
            </m:r>
            <m:r>
              <m:rPr>
                <m:sty m:val="p"/>
              </m:rPr>
              <m:t>/</m:t>
            </m:r>
            <m:r>
              <m:t>2</m:t>
            </m:r>
            <m:r>
              <m:rPr>
                <m:sty m:val="p"/>
              </m:rPr>
              <m:t>)</m:t>
            </m:r>
            <m:sSubSup>
              <m:e>
                <m:r>
                  <m:t>x</m:t>
                </m:r>
              </m:e>
              <m:sub>
                <m:r>
                  <m:t>i</m:t>
                </m:r>
              </m:sub>
              <m:sup>
                <m:r>
                  <m:t>1</m:t>
                </m:r>
                <m:r>
                  <m:rPr>
                    <m:sty m:val="p"/>
                  </m:rPr>
                  <m:t>/</m:t>
                </m:r>
                <m:r>
                  <m:t>2</m:t>
                </m:r>
              </m:sup>
            </m:sSubSup>
            <m:sSup>
              <m:e>
                <m:r>
                  <m:t>G</m:t>
                </m:r>
              </m:e>
              <m:sup>
                <m:r>
                  <m:rPr>
                    <m:sty m:val="p"/>
                  </m:rPr>
                  <m:t>−</m:t>
                </m:r>
                <m:r>
                  <m:t>1</m:t>
                </m:r>
                <m:r>
                  <m:rPr>
                    <m:sty m:val="p"/>
                  </m:rPr>
                  <m:t>/</m:t>
                </m:r>
                <m:r>
                  <m:t>2</m:t>
                </m:r>
              </m:sup>
            </m:sSup>
          </m:num>
          <m:den>
            <m:r>
              <m:rPr>
                <m:sty m:val="p"/>
              </m:rPr>
              <m:t>(</m:t>
            </m:r>
            <m:r>
              <m:t>1</m:t>
            </m:r>
            <m:r>
              <m:rPr>
                <m:sty m:val="p"/>
              </m:rPr>
              <m:t>/</m:t>
            </m:r>
            <m:r>
              <m:t>2</m:t>
            </m:r>
            <m:r>
              <m:rPr>
                <m:sty m:val="p"/>
              </m:rPr>
              <m:t>)</m:t>
            </m:r>
            <m:sSubSup>
              <m:e>
                <m:r>
                  <m:t>x</m:t>
                </m:r>
              </m:e>
              <m:sub>
                <m:r>
                  <m:t>i</m:t>
                </m:r>
              </m:sub>
              <m:sup>
                <m:r>
                  <m:rPr>
                    <m:sty m:val="p"/>
                  </m:rPr>
                  <m:t>−</m:t>
                </m:r>
                <m:r>
                  <m:t>1</m:t>
                </m:r>
                <m:r>
                  <m:rPr>
                    <m:sty m:val="p"/>
                  </m:rPr>
                  <m:t>/</m:t>
                </m:r>
                <m:r>
                  <m:t>2</m:t>
                </m:r>
              </m:sup>
            </m:sSubSup>
            <m:sSup>
              <m:e>
                <m:r>
                  <m:t>G</m:t>
                </m:r>
              </m:e>
              <m:sup>
                <m:r>
                  <m:t>1</m:t>
                </m:r>
                <m:r>
                  <m:rPr>
                    <m:sty m:val="p"/>
                  </m:rPr>
                  <m:t>/</m:t>
                </m:r>
                <m:r>
                  <m:t>2</m:t>
                </m:r>
              </m:sup>
            </m:sSup>
          </m:den>
        </m:f>
        <m:r>
          <m:rPr>
            <m:sty m:val="p"/>
          </m:rPr>
          <m:t>=</m:t>
        </m:r>
        <m:f>
          <m:fPr>
            <m:type m:val="bar"/>
          </m:fPr>
          <m:num>
            <m:sSub>
              <m:e>
                <m:r>
                  <m:t>x</m:t>
                </m:r>
              </m:e>
              <m:sub>
                <m:r>
                  <m:t>i</m:t>
                </m:r>
              </m:sub>
            </m:sSub>
          </m:num>
          <m:den>
            <m:r>
              <m:t>G</m:t>
            </m:r>
          </m:den>
        </m:f>
      </m:oMath>
      <w:r>
        <w:t xml:space="preserve">.</w:t>
      </w:r>
    </w:p>
    <w:p>
      <w:pPr>
        <w:pStyle w:val="BlockText"/>
      </w:pPr>
      <w:r>
        <w:t xml:space="preserve">Condição de Samuelson:</w:t>
      </w:r>
      <w:r>
        <w:t xml:space="preserve"> </w:t>
      </w:r>
      <m:oMath>
        <m:f>
          <m:fPr>
            <m:type m:val="bar"/>
          </m:fPr>
          <m:num>
            <m:sSub>
              <m:e>
                <m:r>
                  <m:t>x</m:t>
                </m:r>
              </m:e>
              <m:sub>
                <m:r>
                  <m:t>1</m:t>
                </m:r>
              </m:sub>
            </m:sSub>
          </m:num>
          <m:den>
            <m:r>
              <m:t>G</m:t>
            </m:r>
          </m:den>
        </m:f>
        <m:r>
          <m:rPr>
            <m:sty m:val="p"/>
          </m:rPr>
          <m:t>+</m:t>
        </m:r>
        <m:f>
          <m:fPr>
            <m:type m:val="bar"/>
          </m:fPr>
          <m:num>
            <m:sSub>
              <m:e>
                <m:r>
                  <m:t>x</m:t>
                </m:r>
              </m:e>
              <m:sub>
                <m:r>
                  <m:t>2</m:t>
                </m:r>
              </m:sub>
            </m:sSub>
          </m:num>
          <m:den>
            <m:r>
              <m:t>G</m:t>
            </m:r>
          </m:den>
        </m:f>
        <m:r>
          <m:rPr>
            <m:sty m:val="p"/>
          </m:rPr>
          <m:t>=</m:t>
        </m:r>
        <m:r>
          <m:t>1</m:t>
        </m:r>
        <m:r>
          <m:rPr>
            <m:sty m:val="p"/>
          </m:rPr>
          <m:t>⟹</m:t>
        </m:r>
        <m:sSub>
          <m:e>
            <m:r>
              <m:t>x</m:t>
            </m:r>
          </m:e>
          <m:sub>
            <m:r>
              <m:t>1</m:t>
            </m:r>
          </m:sub>
        </m:sSub>
        <m:r>
          <m:rPr>
            <m:sty m:val="p"/>
          </m:rPr>
          <m:t>+</m:t>
        </m:r>
        <m:sSub>
          <m:e>
            <m:r>
              <m:t>x</m:t>
            </m:r>
          </m:e>
          <m:sub>
            <m:r>
              <m:t>2</m:t>
            </m:r>
          </m:sub>
        </m:sSub>
        <m:r>
          <m:rPr>
            <m:sty m:val="p"/>
          </m:rPr>
          <m:t>=</m:t>
        </m:r>
        <m:r>
          <m:t>G</m:t>
        </m:r>
      </m:oMath>
      <w:r>
        <w:t xml:space="preserve">.</w:t>
      </w:r>
    </w:p>
    <w:p>
      <w:pPr>
        <w:pStyle w:val="BlockText"/>
      </w:pPr>
      <w:r>
        <w:t xml:space="preserve">Restrição de recursos:</w:t>
      </w:r>
      <w:r>
        <w:t xml:space="preserve"> </w:t>
      </w:r>
      <m:oMath>
        <m:sSub>
          <m:e>
            <m:r>
              <m:t>x</m:t>
            </m:r>
          </m:e>
          <m:sub>
            <m:r>
              <m:t>1</m:t>
            </m:r>
          </m:sub>
        </m:sSub>
        <m:r>
          <m:rPr>
            <m:sty m:val="p"/>
          </m:rPr>
          <m:t>+</m:t>
        </m:r>
        <m:sSub>
          <m:e>
            <m:r>
              <m:t>x</m:t>
            </m:r>
          </m:e>
          <m:sub>
            <m:r>
              <m:t>2</m:t>
            </m:r>
          </m:sub>
        </m:sSub>
        <m:r>
          <m:rPr>
            <m:sty m:val="p"/>
          </m:rPr>
          <m:t>+</m:t>
        </m:r>
        <m:r>
          <m:t>G</m:t>
        </m:r>
        <m:r>
          <m:rPr>
            <m:sty m:val="p"/>
          </m:rPr>
          <m:t>=</m:t>
        </m:r>
        <m:r>
          <m:t>200</m:t>
        </m:r>
      </m:oMath>
      <w:r>
        <w:t xml:space="preserve">. Substituindo:</w:t>
      </w:r>
      <w:r>
        <w:t xml:space="preserve"> </w:t>
      </w:r>
      <m:oMath>
        <m:r>
          <m:t>G</m:t>
        </m:r>
        <m:r>
          <m:rPr>
            <m:sty m:val="p"/>
          </m:rPr>
          <m:t>+</m:t>
        </m:r>
        <m:r>
          <m:t>G</m:t>
        </m:r>
        <m:r>
          <m:rPr>
            <m:sty m:val="p"/>
          </m:rPr>
          <m:t>=</m:t>
        </m:r>
        <m:r>
          <m:t>200</m:t>
        </m:r>
        <m:r>
          <m:rPr>
            <m:sty m:val="p"/>
          </m:rPr>
          <m:t>⟹</m:t>
        </m:r>
        <m:sSup>
          <m:e>
            <m:r>
              <m:t>G</m:t>
            </m:r>
          </m:e>
          <m:sup>
            <m:r>
              <m:rPr>
                <m:sty m:val="p"/>
              </m:rPr>
              <m:t>*</m:t>
            </m:r>
          </m:sup>
        </m:sSup>
        <m:r>
          <m:rPr>
            <m:sty m:val="p"/>
          </m:rPr>
          <m:t>=</m:t>
        </m:r>
        <m:r>
          <m:t>100</m:t>
        </m:r>
      </m:oMath>
      <w:r>
        <w:t xml:space="preserve">.</w:t>
      </w:r>
    </w:p>
    <w:p>
      <w:pPr>
        <w:pStyle w:val="BlockText"/>
      </w:pPr>
      <w:r>
        <w:t xml:space="preserve">Cada consumidor consome</w:t>
      </w:r>
      <w:r>
        <w:t xml:space="preserve"> </w:t>
      </w:r>
      <m:oMath>
        <m:sSub>
          <m:e>
            <m:r>
              <m:t>x</m:t>
            </m:r>
          </m:e>
          <m:sub>
            <m:r>
              <m:t>i</m:t>
            </m:r>
          </m:sub>
        </m:sSub>
        <m:r>
          <m:rPr>
            <m:sty m:val="p"/>
          </m:rPr>
          <m:t>=</m:t>
        </m:r>
        <m:r>
          <m:t>50</m:t>
        </m:r>
      </m:oMath>
      <w:r>
        <w:t xml:space="preserve"> </w:t>
      </w:r>
      <w:r>
        <w:t xml:space="preserve">do bem privado.</w:t>
      </w:r>
    </w:p>
    <w:p>
      <w:r>
        <w:pict>
          <v:rect style="width:0;height:1.5pt" o:hralign="center" o:hrstd="t" o:hr="t"/>
        </w:pict>
      </w:r>
    </w:p>
    <w:p>
      <w:pPr>
        <w:pStyle w:val="FirstParagraph"/>
      </w:pPr>
      <w:r>
        <w:t xml:space="preserve">[FIGURA INTERATIVA: /micro-book/graficos/cap20/webr-samuelson.html — versao interativa disponivel online]</w:t>
      </w:r>
    </w:p>
    <w:p>
      <w:pPr>
        <w:pStyle w:val="BodyText"/>
      </w:pPr>
      <w:r>
        <w:rPr>
          <w:b/>
          <w:bCs/>
        </w:rPr>
        <w:t xml:space="preserve">WebR 20.4 — Condição de Samuelson e subprovisão.</w:t>
      </w:r>
      <w:r>
        <w:t xml:space="preserve"> </w:t>
      </w:r>
      <w:r>
        <w:t xml:space="preserve">Compare o nível ótimo (Samuelson) com o nível de contribuição voluntária (Nash) variando o número de consumidores.</w:t>
      </w:r>
    </w:p>
    <w:bookmarkEnd w:id="1257"/>
    <w:bookmarkEnd w:id="1258"/>
    <w:bookmarkEnd w:id="1259"/>
    <w:bookmarkStart w:id="1262" w:name="preços-de-lindahl-e-o-problema-do-carona"/>
    <w:p>
      <w:pPr>
        <w:pStyle w:val="Heading2"/>
      </w:pPr>
      <w:r>
        <w:t xml:space="preserve">Preços de Lindahl e o Problema do Carona</w:t>
      </w:r>
    </w:p>
    <w:bookmarkStart w:id="1260" w:name="Xbe76cc016a8c850661956c5f71d14c621cf6a69"/>
    <w:p>
      <w:pPr>
        <w:pStyle w:val="Heading3"/>
      </w:pPr>
      <w:r>
        <w:t xml:space="preserve">20.7 Um Preço Para Cada Cidadão: Preços de Lindahl</w:t>
      </w:r>
    </w:p>
    <w:p>
      <w:pPr>
        <w:pStyle w:val="BlockText"/>
      </w:pPr>
      <w:r>
        <w:rPr>
          <w:b/>
          <w:bCs/>
        </w:rPr>
        <w:t xml:space="preserve">[DEFINICAO] Equilíbrio de Lindahl</w:t>
      </w:r>
    </w:p>
    <w:p>
      <w:pPr>
        <w:pStyle w:val="BlockText"/>
      </w:pPr>
      <w:r>
        <w:t xml:space="preserve">Mecanismo hipotético de provisão de bens públicos em que cada indivíduo paga um</w:t>
      </w:r>
      <w:r>
        <w:t xml:space="preserve"> </w:t>
      </w:r>
      <w:r>
        <w:rPr>
          <w:b/>
          <w:bCs/>
        </w:rPr>
        <w:t xml:space="preserve">preço personalizado</w:t>
      </w:r>
      <w:r>
        <w:t xml:space="preserve"> </w:t>
      </w:r>
      <w:r>
        <w:t xml:space="preserve">(</w:t>
      </w:r>
      <m:oMath>
        <m:sSub>
          <m:e>
            <m:r>
              <m:t>τ</m:t>
            </m:r>
          </m:e>
          <m:sub>
            <m:r>
              <m:t>i</m:t>
            </m:r>
          </m:sub>
        </m:sSub>
      </m:oMath>
      <w:r>
        <w:t xml:space="preserve">) pelo bem público, igual à sua taxa marginal de substituição. A soma dos preços de Lindahl iguala o custo marginal de produção:</w:t>
      </w:r>
    </w:p>
    <w:p>
      <w:pPr>
        <w:pStyle w:val="BlockText"/>
      </w:pPr>
      <w:r>
        <w:t xml:space="preserve">$$</w:t>
      </w:r>
    </w:p>
    <w:p>
      <w:pPr>
        <w:pStyle w:val="BlockText"/>
      </w:pPr>
      <w:r>
        <w:t xml:space="preserve">_{i=1}^{N}</w:t>
      </w:r>
      <w:r>
        <w:t xml:space="preserve"> </w:t>
      </w:r>
      <w:r>
        <w:t xml:space="preserve">_i = CMg(G)</w:t>
      </w:r>
      <w:r>
        <w:t xml:space="preserve"> </w:t>
      </w:r>
      <w:r>
        <w:t xml:space="preserve"> </w:t>
      </w:r>
      <w:r>
        <w:t xml:space="preserve"> </w:t>
      </w:r>
      <w:r>
        <w:t xml:space="preserve">$$</w:t>
      </w:r>
    </w:p>
    <w:p>
      <w:pPr>
        <w:pStyle w:val="BlockText"/>
      </w:pPr>
      <w:r>
        <w:t xml:space="preserve">Cada indivíduo, enfrentando seu preço personalizado, demanda a mesma quantidade</w:t>
      </w:r>
      <w:r>
        <w:t xml:space="preserve"> </w:t>
      </w:r>
      <m:oMath>
        <m:sSup>
          <m:e>
            <m:r>
              <m:t>G</m:t>
            </m:r>
          </m:e>
          <m:sup>
            <m:r>
              <m:rPr>
                <m:sty m:val="p"/>
              </m:rPr>
              <m:t>*</m:t>
            </m:r>
          </m:sup>
        </m:sSup>
      </m:oMath>
      <w:r>
        <w:t xml:space="preserve">, e a condição de Samuelson é satisfeita.</w:t>
      </w:r>
    </w:p>
    <w:p>
      <w:pPr>
        <w:pStyle w:val="FirstParagraph"/>
      </w:pPr>
      <w:r>
        <w:t xml:space="preserve">O equilíbrio de Lindahl é eficiente por construção, mas enfrenta um problema prático fundamental: para implementá-lo, o governo (ou o mecanismo) precisa conhecer as preferências individuais de cada cidadão — informação que os cidadãos têm incentivo para</w:t>
      </w:r>
      <w:r>
        <w:t xml:space="preserve"> </w:t>
      </w:r>
      <w:r>
        <w:rPr>
          <w:b/>
          <w:bCs/>
        </w:rPr>
        <w:t xml:space="preserve">não revelar de forma verdadeira</w:t>
      </w:r>
      <w:r>
        <w:t xml:space="preserve">, conforme discutiremos na seção sobre o problema do carona.</w:t>
      </w:r>
    </w:p>
    <w:p>
      <w:pPr>
        <w:pStyle w:val="BlockText"/>
      </w:pPr>
      <w:r>
        <w:rPr>
          <w:b/>
          <w:bCs/>
        </w:rPr>
        <w:t xml:space="preserve">[EXERCICIO RESOLVIDO] Exercício Resolvido 20.7 — Preços de Lindahl com três consumidores</w:t>
      </w:r>
    </w:p>
    <w:p>
      <w:pPr>
        <w:pStyle w:val="BlockText"/>
      </w:pPr>
      <w:r>
        <w:rPr>
          <w:b/>
          <w:bCs/>
        </w:rPr>
        <w:t xml:space="preserve">Enunciado.</w:t>
      </w:r>
      <w:r>
        <w:t xml:space="preserve"> </w:t>
      </w:r>
      <w:r>
        <w:t xml:space="preserve">Três consumidores com benefícios marginais</w:t>
      </w:r>
      <w:r>
        <w:t xml:space="preserve"> </w:t>
      </w:r>
      <m:oMath>
        <m:r>
          <m:t>B</m:t>
        </m:r>
        <m:r>
          <m:t>M</m:t>
        </m:r>
        <m:sSub>
          <m:e>
            <m:r>
              <m:t>g</m:t>
            </m:r>
          </m:e>
          <m:sub>
            <m:r>
              <m:t>A</m:t>
            </m:r>
          </m:sub>
        </m:sSub>
        <m:r>
          <m:rPr>
            <m:sty m:val="p"/>
          </m:rPr>
          <m:t>=</m:t>
        </m:r>
        <m:r>
          <m:t>50</m:t>
        </m:r>
        <m:r>
          <m:rPr>
            <m:sty m:val="p"/>
          </m:rPr>
          <m:t>−</m:t>
        </m:r>
        <m:r>
          <m:t>2</m:t>
        </m:r>
        <m:r>
          <m:t>G</m:t>
        </m:r>
      </m:oMath>
      <w:r>
        <w:t xml:space="preserve">,</w:t>
      </w:r>
      <w:r>
        <w:t xml:space="preserve"> </w:t>
      </w:r>
      <m:oMath>
        <m:r>
          <m:t>B</m:t>
        </m:r>
        <m:r>
          <m:t>M</m:t>
        </m:r>
        <m:sSub>
          <m:e>
            <m:r>
              <m:t>g</m:t>
            </m:r>
          </m:e>
          <m:sub>
            <m:r>
              <m:t>B</m:t>
            </m:r>
          </m:sub>
        </m:sSub>
        <m:r>
          <m:rPr>
            <m:sty m:val="p"/>
          </m:rPr>
          <m:t>=</m:t>
        </m:r>
        <m:r>
          <m:t>40</m:t>
        </m:r>
        <m:r>
          <m:rPr>
            <m:sty m:val="p"/>
          </m:rPr>
          <m:t>−</m:t>
        </m:r>
        <m:r>
          <m:t>G</m:t>
        </m:r>
      </m:oMath>
      <w:r>
        <w:t xml:space="preserve">,</w:t>
      </w:r>
      <w:r>
        <w:t xml:space="preserve"> </w:t>
      </w:r>
      <m:oMath>
        <m:r>
          <m:t>B</m:t>
        </m:r>
        <m:r>
          <m:t>M</m:t>
        </m:r>
        <m:sSub>
          <m:e>
            <m:r>
              <m:t>g</m:t>
            </m:r>
          </m:e>
          <m:sub>
            <m:r>
              <m:t>C</m:t>
            </m:r>
          </m:sub>
        </m:sSub>
        <m:r>
          <m:rPr>
            <m:sty m:val="p"/>
          </m:rPr>
          <m:t>=</m:t>
        </m:r>
        <m:r>
          <m:t>30</m:t>
        </m:r>
        <m:r>
          <m:rPr>
            <m:sty m:val="p"/>
          </m:rPr>
          <m:t>−</m:t>
        </m:r>
        <m:r>
          <m:t>G</m:t>
        </m:r>
      </m:oMath>
      <w:r>
        <w:t xml:space="preserve">. O custo marginal é</w:t>
      </w:r>
      <w:r>
        <w:t xml:space="preserve"> </w:t>
      </w:r>
      <m:oMath>
        <m:r>
          <m:t>C</m:t>
        </m:r>
        <m:r>
          <m:t>M</m:t>
        </m:r>
        <m:r>
          <m:t>g</m:t>
        </m:r>
        <m:r>
          <m:rPr>
            <m:sty m:val="p"/>
          </m:rPr>
          <m:t>=</m:t>
        </m:r>
        <m:r>
          <m:t>60</m:t>
        </m:r>
      </m:oMath>
      <w:r>
        <w:t xml:space="preserve">. Encontre o nível eficiente e os preços de Lindahl.</w:t>
      </w:r>
    </w:p>
    <w:p>
      <w:pPr>
        <w:pStyle w:val="BlockText"/>
      </w:pPr>
      <w:r>
        <w:rPr>
          <w:b/>
          <w:bCs/>
        </w:rPr>
        <w:t xml:space="preserve">Solução.</w:t>
      </w:r>
    </w:p>
    <w:p>
      <w:pPr>
        <w:pStyle w:val="BlockText"/>
      </w:pPr>
      <w:r>
        <w:t xml:space="preserve">Condição de Samuelson:</w:t>
      </w:r>
      <w:r>
        <w:t xml:space="preserve"> </w:t>
      </w:r>
      <m:oMath>
        <m:r>
          <m:rPr>
            <m:sty m:val="p"/>
          </m:rPr>
          <m:t>∑</m:t>
        </m:r>
        <m:r>
          <m:t>B</m:t>
        </m:r>
        <m:r>
          <m:t>M</m:t>
        </m:r>
        <m:sSub>
          <m:e>
            <m:r>
              <m:t>g</m:t>
            </m:r>
          </m:e>
          <m:sub>
            <m:r>
              <m:t>i</m:t>
            </m:r>
          </m:sub>
        </m:sSub>
        <m:r>
          <m:rPr>
            <m:sty m:val="p"/>
          </m:rPr>
          <m:t>=</m:t>
        </m:r>
        <m:r>
          <m:t>C</m:t>
        </m:r>
        <m:r>
          <m:t>M</m:t>
        </m:r>
        <m:r>
          <m:t>g</m:t>
        </m:r>
      </m:oMath>
      <w:r>
        <w:t xml:space="preserve">.</w:t>
      </w:r>
    </w:p>
    <w:p>
      <w:pPr>
        <w:pStyle w:val="BlockText"/>
      </w:pPr>
      <m:oMath>
        <m:r>
          <m:rPr>
            <m:sty m:val="p"/>
          </m:rPr>
          <m:t>(</m:t>
        </m:r>
        <m:r>
          <m:t>50</m:t>
        </m:r>
        <m:r>
          <m:rPr>
            <m:sty m:val="p"/>
          </m:rPr>
          <m:t>−</m:t>
        </m:r>
        <m:r>
          <m:t>2</m:t>
        </m:r>
        <m:r>
          <m:t>G</m:t>
        </m:r>
        <m:r>
          <m:rPr>
            <m:sty m:val="p"/>
          </m:rPr>
          <m:t>)</m:t>
        </m:r>
        <m:r>
          <m:rPr>
            <m:sty m:val="p"/>
          </m:rPr>
          <m:t>+</m:t>
        </m:r>
        <m:r>
          <m:rPr>
            <m:sty m:val="p"/>
          </m:rPr>
          <m:t>(</m:t>
        </m:r>
        <m:r>
          <m:t>40</m:t>
        </m:r>
        <m:r>
          <m:rPr>
            <m:sty m:val="p"/>
          </m:rPr>
          <m:t>−</m:t>
        </m:r>
        <m:r>
          <m:t>G</m:t>
        </m:r>
        <m:r>
          <m:rPr>
            <m:sty m:val="p"/>
          </m:rPr>
          <m:t>)</m:t>
        </m:r>
        <m:r>
          <m:rPr>
            <m:sty m:val="p"/>
          </m:rPr>
          <m:t>+</m:t>
        </m:r>
        <m:r>
          <m:rPr>
            <m:sty m:val="p"/>
          </m:rPr>
          <m:t>(</m:t>
        </m:r>
        <m:r>
          <m:t>30</m:t>
        </m:r>
        <m:r>
          <m:rPr>
            <m:sty m:val="p"/>
          </m:rPr>
          <m:t>−</m:t>
        </m:r>
        <m:r>
          <m:t>G</m:t>
        </m:r>
        <m:r>
          <m:rPr>
            <m:sty m:val="p"/>
          </m:rPr>
          <m:t>)</m:t>
        </m:r>
        <m:r>
          <m:rPr>
            <m:sty m:val="p"/>
          </m:rPr>
          <m:t>=</m:t>
        </m:r>
        <m:r>
          <m:t>60</m:t>
        </m:r>
        <m:r>
          <m:rPr>
            <m:sty m:val="p"/>
          </m:rPr>
          <m:t>⟹</m:t>
        </m:r>
        <m:r>
          <m:t>120</m:t>
        </m:r>
        <m:r>
          <m:rPr>
            <m:sty m:val="p"/>
          </m:rPr>
          <m:t>−</m:t>
        </m:r>
        <m:r>
          <m:t>4</m:t>
        </m:r>
        <m:r>
          <m:t>G</m:t>
        </m:r>
        <m:r>
          <m:rPr>
            <m:sty m:val="p"/>
          </m:rPr>
          <m:t>=</m:t>
        </m:r>
        <m:r>
          <m:t>60</m:t>
        </m:r>
        <m:r>
          <m:rPr>
            <m:sty m:val="p"/>
          </m:rPr>
          <m:t>⟹</m:t>
        </m:r>
        <m:sSup>
          <m:e>
            <m:r>
              <m:t>G</m:t>
            </m:r>
          </m:e>
          <m:sup>
            <m:r>
              <m:rPr>
                <m:sty m:val="p"/>
              </m:rPr>
              <m:t>*</m:t>
            </m:r>
          </m:sup>
        </m:sSup>
        <m:r>
          <m:rPr>
            <m:sty m:val="p"/>
          </m:rPr>
          <m:t>=</m:t>
        </m:r>
        <m:r>
          <m:t>15</m:t>
        </m:r>
      </m:oMath>
      <w:r>
        <w:t xml:space="preserve">.</w:t>
      </w:r>
    </w:p>
    <w:p>
      <w:pPr>
        <w:pStyle w:val="BlockText"/>
      </w:pPr>
      <w:r>
        <w:t xml:space="preserve">Preços de Lindahl:</w:t>
      </w:r>
      <w:r>
        <w:t xml:space="preserve"> </w:t>
      </w:r>
      <m:oMath>
        <m:sSub>
          <m:e>
            <m:r>
              <m:t>τ</m:t>
            </m:r>
          </m:e>
          <m:sub>
            <m:r>
              <m:t>A</m:t>
            </m:r>
          </m:sub>
        </m:sSub>
        <m:r>
          <m:rPr>
            <m:sty m:val="p"/>
          </m:rPr>
          <m:t>=</m:t>
        </m:r>
        <m:r>
          <m:t>50</m:t>
        </m:r>
        <m:r>
          <m:rPr>
            <m:sty m:val="p"/>
          </m:rPr>
          <m:t>−</m:t>
        </m:r>
        <m:r>
          <m:t>2</m:t>
        </m:r>
        <m:r>
          <m:rPr>
            <m:sty m:val="p"/>
          </m:rPr>
          <m:t>(</m:t>
        </m:r>
        <m:r>
          <m:t>15</m:t>
        </m:r>
        <m:r>
          <m:rPr>
            <m:sty m:val="p"/>
          </m:rPr>
          <m:t>)</m:t>
        </m:r>
        <m:r>
          <m:rPr>
            <m:sty m:val="p"/>
          </m:rPr>
          <m:t>=</m:t>
        </m:r>
        <m:r>
          <m:t>20</m:t>
        </m:r>
      </m:oMath>
      <w:r>
        <w:t xml:space="preserve">,</w:t>
      </w:r>
      <w:r>
        <w:t xml:space="preserve"> </w:t>
      </w:r>
      <m:oMath>
        <m:sSub>
          <m:e>
            <m:r>
              <m:t>τ</m:t>
            </m:r>
          </m:e>
          <m:sub>
            <m:r>
              <m:t>B</m:t>
            </m:r>
          </m:sub>
        </m:sSub>
        <m:r>
          <m:rPr>
            <m:sty m:val="p"/>
          </m:rPr>
          <m:t>=</m:t>
        </m:r>
        <m:r>
          <m:t>40</m:t>
        </m:r>
        <m:r>
          <m:rPr>
            <m:sty m:val="p"/>
          </m:rPr>
          <m:t>−</m:t>
        </m:r>
        <m:r>
          <m:t>15</m:t>
        </m:r>
        <m:r>
          <m:rPr>
            <m:sty m:val="p"/>
          </m:rPr>
          <m:t>=</m:t>
        </m:r>
        <m:r>
          <m:t>25</m:t>
        </m:r>
      </m:oMath>
      <w:r>
        <w:t xml:space="preserve">,</w:t>
      </w:r>
      <w:r>
        <w:t xml:space="preserve"> </w:t>
      </w:r>
      <m:oMath>
        <m:sSub>
          <m:e>
            <m:r>
              <m:t>τ</m:t>
            </m:r>
          </m:e>
          <m:sub>
            <m:r>
              <m:t>C</m:t>
            </m:r>
          </m:sub>
        </m:sSub>
        <m:r>
          <m:rPr>
            <m:sty m:val="p"/>
          </m:rPr>
          <m:t>=</m:t>
        </m:r>
        <m:r>
          <m:t>30</m:t>
        </m:r>
        <m:r>
          <m:rPr>
            <m:sty m:val="p"/>
          </m:rPr>
          <m:t>−</m:t>
        </m:r>
        <m:r>
          <m:t>15</m:t>
        </m:r>
        <m:r>
          <m:rPr>
            <m:sty m:val="p"/>
          </m:rPr>
          <m:t>=</m:t>
        </m:r>
        <m:r>
          <m:t>15</m:t>
        </m:r>
      </m:oMath>
      <w:r>
        <w:t xml:space="preserve">.</w:t>
      </w:r>
    </w:p>
    <w:p>
      <w:pPr>
        <w:pStyle w:val="BlockText"/>
      </w:pPr>
      <w:r>
        <w:t xml:space="preserve">Verificação:</w:t>
      </w:r>
      <w:r>
        <w:t xml:space="preserve"> </w:t>
      </w:r>
      <m:oMath>
        <m:r>
          <m:t>20</m:t>
        </m:r>
        <m:r>
          <m:rPr>
            <m:sty m:val="p"/>
          </m:rPr>
          <m:t>+</m:t>
        </m:r>
        <m:r>
          <m:t>25</m:t>
        </m:r>
        <m:r>
          <m:rPr>
            <m:sty m:val="p"/>
          </m:rPr>
          <m:t>+</m:t>
        </m:r>
        <m:r>
          <m:t>15</m:t>
        </m:r>
        <m:r>
          <m:rPr>
            <m:sty m:val="p"/>
          </m:rPr>
          <m:t>=</m:t>
        </m:r>
        <m:r>
          <m:t>60</m:t>
        </m:r>
        <m:r>
          <m:rPr>
            <m:sty m:val="p"/>
          </m:rPr>
          <m:t>=</m:t>
        </m:r>
        <m:r>
          <m:t>C</m:t>
        </m:r>
        <m:r>
          <m:t>M</m:t>
        </m:r>
        <m:r>
          <m:t>g</m:t>
        </m:r>
      </m:oMath>
      <w:r>
        <w:t xml:space="preserve">.</w:t>
      </w:r>
      <w:r>
        <w:t xml:space="preserve"> </w:t>
      </w:r>
      <m:oMath>
        <m:r>
          <m:rPr>
            <m:sty m:val="p"/>
          </m:rPr>
          <m:t>✓</m:t>
        </m:r>
      </m:oMath>
    </w:p>
    <w:p>
      <w:pPr>
        <w:pStyle w:val="BlockText"/>
      </w:pPr>
      <w:r>
        <w:t xml:space="preserve">O consumidor com maior valoração marginal (B, no nível ótimo) paga mais. Cada consumidor, enfrentando seu preço personalizado, demanda exatamente</w:t>
      </w:r>
      <w:r>
        <w:t xml:space="preserve"> </w:t>
      </w:r>
      <m:oMath>
        <m:sSup>
          <m:e>
            <m:r>
              <m:t>G</m:t>
            </m:r>
          </m:e>
          <m:sup>
            <m:r>
              <m:rPr>
                <m:sty m:val="p"/>
              </m:rPr>
              <m:t>*</m:t>
            </m:r>
          </m:sup>
        </m:sSup>
        <m:r>
          <m:rPr>
            <m:sty m:val="p"/>
          </m:rPr>
          <m:t>=</m:t>
        </m:r>
        <m:r>
          <m:t>15</m:t>
        </m:r>
      </m:oMath>
      <w:r>
        <w:t xml:space="preserve">.</w:t>
      </w:r>
    </w:p>
    <w:p>
      <w:r>
        <w:pict>
          <v:rect style="width:0;height:1.5pt" o:hralign="center" o:hrstd="t" o:hr="t"/>
        </w:pict>
      </w:r>
    </w:p>
    <w:p>
      <w:pPr>
        <w:pStyle w:val="FirstParagraph"/>
      </w:pPr>
      <w:r>
        <w:t xml:space="preserve">[FIGURA INTERATIVA: /micro-book/graficos/cap20/tragedia-comuns.html — versao interativa disponivel online]</w:t>
      </w:r>
    </w:p>
    <w:p>
      <w:pPr>
        <w:pStyle w:val="BodyText"/>
      </w:pPr>
      <w:r>
        <w:rPr>
          <w:b/>
          <w:bCs/>
        </w:rPr>
        <w:t xml:space="preserve">Figura 20.4 — Tragédia dos comuns.</w:t>
      </w:r>
      <w:r>
        <w:t xml:space="preserve"> </w:t>
      </w:r>
      <w:r>
        <w:t xml:space="preserve">Cada usuário iguala o produto médio ao custo (equilíbrio privado), enquanto o ótimo social requer igualar o produto marginal ao custo. A área sombreada indica a região de sobreuso do recurso comum.</w:t>
      </w:r>
    </w:p>
    <w:p>
      <w:r>
        <w:pict>
          <v:rect style="width:0;height:1.5pt" o:hralign="center" o:hrstd="t" o:hr="t"/>
        </w:pict>
      </w:r>
    </w:p>
    <w:bookmarkEnd w:id="1260"/>
    <w:bookmarkStart w:id="1261" w:name="Xaab34018148392463ef4c49b5a924409cf5f7b0"/>
    <w:p>
      <w:pPr>
        <w:pStyle w:val="Heading3"/>
      </w:pPr>
      <w:r>
        <w:t xml:space="preserve">20.8 Eu Não Pago, Mas Uso: O Problema do Carona (Free Rider)</w:t>
      </w:r>
    </w:p>
    <w:p>
      <w:pPr>
        <w:pStyle w:val="BlockText"/>
      </w:pPr>
      <w:r>
        <w:rPr>
          <w:b/>
          <w:bCs/>
        </w:rPr>
        <w:t xml:space="preserve">[DEFINICAO] Problema do Carona</w:t>
      </w:r>
    </w:p>
    <w:p>
      <w:pPr>
        <w:pStyle w:val="BlockText"/>
      </w:pPr>
      <w:r>
        <w:t xml:space="preserve">Ocorre quando indivíduos racionais subinvestem na provisão de um bem público (ou na revelação de suas preferências) porque esperam se beneficiar das contribuições alheias sem pagar por elas. O bem público é não-excludente: mesmo quem não paga pode consumir.</w:t>
      </w:r>
    </w:p>
    <w:p>
      <w:pPr>
        <w:pStyle w:val="FirstParagraph"/>
      </w:pPr>
      <w:r>
        <w:t xml:space="preserve">No contexto do equilíbrio de Lindahl, cada indivíduo tem incentivo para subreportar sua valoração pelo bem público, pagando um preço de Lindahl menor e deixando que outros financiem a provisão. Formalmente, se o preço de Lindahl é determinado pela valoração reportada</w:t>
      </w:r>
      <w:r>
        <w:t xml:space="preserve"> </w:t>
      </w:r>
      <m:oMath>
        <m:sSub>
          <m:e>
            <m:acc>
              <m:accPr>
                <m:chr m:val="̂"/>
              </m:accPr>
              <m:e>
                <m:r>
                  <m:t>τ</m:t>
                </m:r>
              </m:e>
            </m:acc>
          </m:e>
          <m:sub>
            <m:r>
              <m:t>i</m:t>
            </m:r>
          </m:sub>
        </m:sSub>
      </m:oMath>
      <w:r>
        <w:t xml:space="preserve">:</w:t>
      </w:r>
    </w:p>
    <w:p>
      <w:pPr>
        <w:pStyle w:val="BodyText"/>
      </w:pPr>
      <m:oMathPara>
        <m:oMathParaPr>
          <m:jc m:val="center"/>
        </m:oMathParaPr>
        <m:oMath>
          <m:sSub>
            <m:e>
              <m:acc>
                <m:accPr>
                  <m:chr m:val="̂"/>
                </m:accPr>
                <m:e>
                  <m:r>
                    <m:t>τ</m:t>
                  </m:r>
                </m:e>
              </m:acc>
            </m:e>
            <m:sub>
              <m:r>
                <m:t>i</m:t>
              </m:r>
            </m:sub>
          </m:sSub>
          <m:r>
            <m:rPr>
              <m:sty m:val="p"/>
            </m:rPr>
            <m:t>&lt;</m:t>
          </m:r>
          <m:sSubSup>
            <m:e>
              <m:r>
                <m:t>τ</m:t>
              </m:r>
            </m:e>
            <m:sub>
              <m:r>
                <m:t>i</m:t>
              </m:r>
            </m:sub>
            <m:sup>
              <m:r>
                <m:t>v</m:t>
              </m:r>
              <m:r>
                <m:t>e</m:t>
              </m:r>
              <m:r>
                <m:t>r</m:t>
              </m:r>
              <m:r>
                <m:t>d</m:t>
              </m:r>
              <m:r>
                <m:t>a</m:t>
              </m:r>
              <m:r>
                <m:t>d</m:t>
              </m:r>
              <m:r>
                <m:t>e</m:t>
              </m:r>
              <m:r>
                <m:t>i</m:t>
              </m:r>
              <m:r>
                <m:t>r</m:t>
              </m:r>
              <m:r>
                <m:t>o</m:t>
              </m:r>
            </m:sup>
          </m:sSubSup>
          <m:r>
            <m:rPr>
              <m:sty m:val="p"/>
            </m:rPr>
            <m:t>=</m:t>
          </m:r>
          <m:r>
            <m:t>T</m:t>
          </m:r>
          <m:r>
            <m:t>M</m:t>
          </m:r>
          <m:sSub>
            <m:e>
              <m:r>
                <m:t>S</m:t>
              </m:r>
            </m:e>
            <m:sub>
              <m:r>
                <m:t>i</m:t>
              </m:r>
            </m:sub>
          </m:sSub>
        </m:oMath>
      </m:oMathPara>
    </w:p>
    <w:p>
      <w:pPr>
        <w:pStyle w:val="FirstParagraph"/>
      </w:pPr>
      <w:r>
        <w:t xml:space="preserve">O comportamento de carona é mais severo quando:</w:t>
      </w:r>
    </w:p>
    <w:p>
      <w:pPr>
        <w:pStyle w:val="Compact"/>
        <w:numPr>
          <w:ilvl w:val="0"/>
          <w:numId w:val="2112"/>
        </w:numPr>
      </w:pPr>
      <w:r>
        <w:t xml:space="preserve">O grupo é</w:t>
      </w:r>
      <w:r>
        <w:t xml:space="preserve"> </w:t>
      </w:r>
      <w:r>
        <w:rPr>
          <w:b/>
          <w:bCs/>
        </w:rPr>
        <w:t xml:space="preserve">grande</w:t>
      </w:r>
      <w:r>
        <w:t xml:space="preserve"> </w:t>
      </w:r>
      <w:r>
        <w:t xml:space="preserve">(a contribuição individual tem efeito desprezível sobre</w:t>
      </w:r>
      <w:r>
        <w:t xml:space="preserve"> </w:t>
      </w:r>
      <m:oMath>
        <m:r>
          <m:t>G</m:t>
        </m:r>
      </m:oMath>
      <w:r>
        <w:t xml:space="preserve">);</w:t>
      </w:r>
    </w:p>
    <w:p>
      <w:pPr>
        <w:pStyle w:val="Compact"/>
        <w:numPr>
          <w:ilvl w:val="0"/>
          <w:numId w:val="2112"/>
        </w:numPr>
      </w:pPr>
      <w:r>
        <w:t xml:space="preserve">O bem é</w:t>
      </w:r>
      <w:r>
        <w:t xml:space="preserve"> </w:t>
      </w:r>
      <w:r>
        <w:rPr>
          <w:b/>
          <w:bCs/>
        </w:rPr>
        <w:t xml:space="preserve">puramente não-excludente</w:t>
      </w:r>
      <w:r>
        <w:t xml:space="preserve"> </w:t>
      </w:r>
      <w:r>
        <w:t xml:space="preserve">(não há como punir quem não contribui);</w:t>
      </w:r>
    </w:p>
    <w:p>
      <w:pPr>
        <w:pStyle w:val="Compact"/>
        <w:numPr>
          <w:ilvl w:val="0"/>
          <w:numId w:val="2112"/>
        </w:numPr>
      </w:pPr>
      <w:r>
        <w:t xml:space="preserve">Não há</w:t>
      </w:r>
      <w:r>
        <w:t xml:space="preserve"> </w:t>
      </w:r>
      <w:r>
        <w:rPr>
          <w:b/>
          <w:bCs/>
        </w:rPr>
        <w:t xml:space="preserve">interação repetida</w:t>
      </w:r>
      <w:r>
        <w:t xml:space="preserve"> </w:t>
      </w:r>
      <w:r>
        <w:t xml:space="preserve">ou mecanismos de reputação.</w:t>
      </w:r>
    </w:p>
    <w:p>
      <w:pPr>
        <w:pStyle w:val="BlockText"/>
      </w:pPr>
      <w:r>
        <w:rPr>
          <w:b/>
          <w:bCs/>
        </w:rPr>
        <w:t xml:space="preserve">[QUESTAO] Nobel de Economia 2009 — Elinor Ostrom</w:t>
      </w:r>
    </w:p>
    <w:p>
      <w:pPr>
        <w:pStyle w:val="BlockText"/>
      </w:pPr>
      <w:r>
        <w:t xml:space="preserve">Elinor Ostrom recebeu o Prêmio Nobel</w:t>
      </w:r>
      <w:r>
        <w:t xml:space="preserve"> </w:t>
      </w:r>
      <w:r>
        <w:t xml:space="preserve">“por sua análise da governança econômica, especialmente dos bens comuns”</w:t>
      </w:r>
      <w:r>
        <w:t xml:space="preserve"> </w:t>
      </w:r>
      <w:r>
        <w:t xml:space="preserve">— o primeiro Nobel para uma mulher em Economia. O trabalho de Ostrom desafiou a visão convencional de que recursos comuns (commons) inevitavelmente sofrem a</w:t>
      </w:r>
      <w:r>
        <w:t xml:space="preserve"> </w:t>
      </w:r>
      <w:r>
        <w:t xml:space="preserve">“tragédia dos comuns”</w:t>
      </w:r>
      <w:r>
        <w:t xml:space="preserve"> </w:t>
      </w:r>
      <w:r>
        <w:t xml:space="preserve">de Hardin (1968). Através de extenso trabalho de campo e análise comparativa, Ostrom demonstrou que comunidades frequentemente desenvolvem</w:t>
      </w:r>
      <w:r>
        <w:t xml:space="preserve"> </w:t>
      </w:r>
      <w:r>
        <w:rPr>
          <w:b/>
          <w:bCs/>
        </w:rPr>
        <w:t xml:space="preserve">instituições locais</w:t>
      </w:r>
      <w:r>
        <w:t xml:space="preserve"> </w:t>
      </w:r>
      <w:r>
        <w:t xml:space="preserve">— regras de uso, monitoramento entre pares, sanções graduais — que sustentam a cooperação e previnem o esgotamento dos recursos, sem necessidade de privatização ou regulação estatal centralizada. Seu</w:t>
      </w:r>
      <w:r>
        <w:t xml:space="preserve"> </w:t>
      </w:r>
      <w:r>
        <w:rPr>
          <w:i/>
          <w:iCs/>
        </w:rPr>
        <w:t xml:space="preserve">Governing the Commons</w:t>
      </w:r>
      <w:r>
        <w:t xml:space="preserve"> </w:t>
      </w:r>
      <w:r>
        <w:t xml:space="preserve">(1990) documentou exemplos de florestas comunitárias na Suíça, sistemas de irrigação no Nepal e pesqueiros costeiros no Japão que foram geridos com sucesso por séculos.</w:t>
      </w:r>
    </w:p>
    <w:p>
      <w:pPr>
        <w:pStyle w:val="BlockText"/>
      </w:pPr>
      <w:r>
        <w:rPr>
          <w:b/>
          <w:bCs/>
        </w:rPr>
        <w:t xml:space="preserve">[NOTA] Evidência Experimental</w:t>
      </w:r>
    </w:p>
    <w:p>
      <w:pPr>
        <w:pStyle w:val="BlockText"/>
      </w:pPr>
      <w:r>
        <w:t xml:space="preserve">Experimentos de bens públicos (jogos de contribuição voluntária) mostram que as contribuições iniciais são tipicamente 40-60% do ótimo social, mas declinam ao longo do tempo para 10-20%, convergindo para a previsão teórica de subprovisão. Mecanismos de punição entre pares (peer punishment) e comunicação face a face aumentam significativamente as contribuições (Fehr &amp; Gächter, 2000; Ostrom et al., 1992).</w:t>
      </w:r>
    </w:p>
    <w:p>
      <w:pPr>
        <w:pStyle w:val="BlockText"/>
      </w:pPr>
      <w:r>
        <w:rPr>
          <w:b/>
          <w:bCs/>
        </w:rPr>
        <w:t xml:space="preserve">[BOX BRASIL] Box Brasil 20.2 — Cobrança pelo uso da água no Brasil: o preço do recurso comum</w:t>
      </w:r>
    </w:p>
    <w:p>
      <w:pPr>
        <w:pStyle w:val="BlockText"/>
      </w:pPr>
      <w:r>
        <w:rPr>
          <w:b/>
          <w:bCs/>
        </w:rPr>
        <w:t xml:space="preserve">Contexto:</w:t>
      </w:r>
      <w:r>
        <w:t xml:space="preserve"> </w:t>
      </w:r>
      <w:r>
        <w:t xml:space="preserve">A Política Nacional de Recursos Hídricos (Lei 9.433/1997) instituiu a cobrança pelo uso da água bruta no Brasil, reconhecendo a água como</w:t>
      </w:r>
      <w:r>
        <w:t xml:space="preserve"> </w:t>
      </w:r>
      <w:r>
        <w:rPr>
          <w:b/>
          <w:bCs/>
        </w:rPr>
        <w:t xml:space="preserve">recurso comum</w:t>
      </w:r>
      <w:r>
        <w:t xml:space="preserve"> </w:t>
      </w:r>
      <w:r>
        <w:t xml:space="preserve">sujeito à tragédia dos comuns. Sem precificação, o uso excessivo levaria ao esgotamento dos mananciais.</w:t>
      </w:r>
    </w:p>
    <w:p>
      <w:pPr>
        <w:pStyle w:val="BlockText"/>
      </w:pPr>
      <w:r>
        <w:rPr>
          <w:b/>
          <w:bCs/>
        </w:rPr>
        <w:t xml:space="preserve">Mecanismo:</w:t>
      </w:r>
      <w:r>
        <w:t xml:space="preserve"> </w:t>
      </w:r>
      <w:r>
        <w:t xml:space="preserve">A cobrança é implementada pelos Comitês de Bacia Hidrográfica — instâncias de governança local que ecoam os princípios de Ostrom. Usuários que captam água, consomem ou lançam efluentes pagam pelo uso, com valores definidos coletivamente. A receita é reinvestida na bacia.</w:t>
      </w:r>
    </w:p>
    <w:p>
      <w:pPr>
        <w:pStyle w:val="BlockText"/>
      </w:pPr>
      <w:r>
        <w:rPr>
          <w:b/>
          <w:bCs/>
        </w:rPr>
        <w:t xml:space="preserve">Dados:</w:t>
      </w:r>
      <w:r>
        <w:t xml:space="preserve"> </w:t>
      </w:r>
      <w:r>
        <w:t xml:space="preserve">Na bacia do rio Paraíba do Sul (RJ/SP/MG), a cobrança arrecadou mais de R$ 200 milhões entre 2003 e 2023. O valor cobrado por metro cúbico varia entre R$ 0,01 e R$ 0,02 — baixo em termos absolutos, mas simbolicamente importante como sinal de escassez.</w:t>
      </w:r>
    </w:p>
    <w:p>
      <w:pPr>
        <w:pStyle w:val="BlockText"/>
      </w:pPr>
      <w:r>
        <w:rPr>
          <w:b/>
          <w:bCs/>
        </w:rPr>
        <w:t xml:space="preserve">Análise:</w:t>
      </w:r>
      <w:r>
        <w:t xml:space="preserve"> </w:t>
      </w:r>
      <w:r>
        <w:t xml:space="preserve">A cobrança combina dois instrumentos: um preço pigouviano (internalizar o custo do uso sobre outros usuários) e governança coaseana descentralizada (os próprios usuários definem as regras via comitê). É um dos exemplos mais sofisticados de gestão de recursos comuns no mundo em desenvolvimento.</w:t>
      </w:r>
    </w:p>
    <w:p>
      <w:pPr>
        <w:pStyle w:val="BlockText"/>
      </w:pPr>
      <w:r>
        <w:rPr>
          <w:b/>
          <w:bCs/>
        </w:rPr>
        <w:t xml:space="preserve">[BOX BRASIL] Brasil na Prática — Tragédia dos comuns na pesca artesanal do Nordeste</w:t>
      </w:r>
    </w:p>
    <w:p>
      <w:pPr>
        <w:pStyle w:val="BlockText"/>
      </w:pPr>
      <w:r>
        <w:rPr>
          <w:b/>
          <w:bCs/>
        </w:rPr>
        <w:t xml:space="preserve">Contexto.</w:t>
      </w:r>
      <w:r>
        <w:t xml:space="preserve"> </w:t>
      </w:r>
      <w:r>
        <w:t xml:space="preserve">O litoral nordestino abriga mais de</w:t>
      </w:r>
      <w:r>
        <w:t xml:space="preserve"> </w:t>
      </w:r>
      <w:r>
        <w:rPr>
          <w:b/>
          <w:bCs/>
        </w:rPr>
        <w:t xml:space="preserve">500 mil pescadores artesanais</w:t>
      </w:r>
      <w:r>
        <w:t xml:space="preserve"> </w:t>
      </w:r>
      <w:r>
        <w:t xml:space="preserve">— a maior concentração do país (MPA/IBGE, 2023). A pesca artesanal opera em regime de</w:t>
      </w:r>
      <w:r>
        <w:t xml:space="preserve"> </w:t>
      </w:r>
      <w:r>
        <w:rPr>
          <w:b/>
          <w:bCs/>
        </w:rPr>
        <w:t xml:space="preserve">acesso aberto</w:t>
      </w:r>
      <w:r>
        <w:t xml:space="preserve">: qualquer pescador pode lançar redes no mesmo trecho de mar ou estuário, sem direitos de propriedade definidos sobre o estoque pesqueiro. Essa é a configuração clássica da</w:t>
      </w:r>
      <w:r>
        <w:t xml:space="preserve"> </w:t>
      </w:r>
      <w:r>
        <w:rPr>
          <w:b/>
          <w:bCs/>
        </w:rPr>
        <w:t xml:space="preserve">tragédia dos comuns</w:t>
      </w:r>
      <w:r>
        <w:t xml:space="preserve"> </w:t>
      </w:r>
      <w:r>
        <w:t xml:space="preserve">de Hardin (1968).</w:t>
      </w:r>
    </w:p>
    <w:p>
      <w:pPr>
        <w:pStyle w:val="BlockText"/>
      </w:pPr>
      <w:r>
        <w:rPr>
          <w:b/>
          <w:bCs/>
        </w:rPr>
        <w:t xml:space="preserve">Dados.</w:t>
      </w:r>
      <w:r>
        <w:t xml:space="preserve"> </w:t>
      </w:r>
      <w:r>
        <w:t xml:space="preserve">A produção pesqueira extrativa marinha do Nordeste caiu de ~350 mil toneladas/ano (anos 2000) para ~230 mil toneladas/ano (2020) — uma redução de 34% em duas décadas (IBGE,</w:t>
      </w:r>
      <w:r>
        <w:t xml:space="preserve"> </w:t>
      </w:r>
      <w:r>
        <w:rPr>
          <w:i/>
          <w:iCs/>
        </w:rPr>
        <w:t xml:space="preserve">Pesquisa da Pecuária Municipal</w:t>
      </w:r>
      <w:r>
        <w:t xml:space="preserve">). A lagosta vermelha (</w:t>
      </w:r>
      <w:r>
        <w:rPr>
          <w:i/>
          <w:iCs/>
        </w:rPr>
        <w:t xml:space="preserve">Panulirus argus</w:t>
      </w:r>
      <w:r>
        <w:t xml:space="preserve">), espécie de alto valor comercial, teve sua captura reduzida em mais de 80% desde os anos 1990. O ICMBio estima que 15% das espécies marinhas exploradas comercialmente estão</w:t>
      </w:r>
      <w:r>
        <w:t xml:space="preserve"> </w:t>
      </w:r>
      <w:r>
        <w:rPr>
          <w:b/>
          <w:bCs/>
        </w:rPr>
        <w:t xml:space="preserve">sobreexplotadas</w:t>
      </w:r>
      <w:r>
        <w:t xml:space="preserve">.</w:t>
      </w:r>
    </w:p>
    <w:p>
      <w:pPr>
        <w:pStyle w:val="BlockText"/>
      </w:pPr>
      <w:r>
        <w:rPr>
          <w:b/>
          <w:bCs/>
        </w:rPr>
        <w:t xml:space="preserve">O modelo em ação.</w:t>
      </w:r>
      <w:r>
        <w:t xml:space="preserve"> </w:t>
      </w:r>
      <w:r>
        <w:t xml:space="preserve">Cada pescador iguala seu benefício marginal privado (receita da captura) ao custo marginal privado (combustível, mão de obra), ignorando o</w:t>
      </w:r>
      <w:r>
        <w:t xml:space="preserve"> </w:t>
      </w:r>
      <w:r>
        <w:rPr>
          <w:b/>
          <w:bCs/>
        </w:rPr>
        <w:t xml:space="preserve">custo externo</w:t>
      </w:r>
      <w:r>
        <w:t xml:space="preserve"> </w:t>
      </w:r>
      <w:r>
        <w:t xml:space="preserve">que impõe sobre os demais: a redução do estoque pesqueiro futuro. O equilíbrio privado ocorre onde</w:t>
      </w:r>
      <w:r>
        <w:t xml:space="preserve"> </w:t>
      </w:r>
      <m:oMath>
        <m:r>
          <m:t>P</m:t>
        </m:r>
        <m:r>
          <m:t>M</m:t>
        </m:r>
        <m:r>
          <m:t>e</m:t>
        </m:r>
        <m:r>
          <m:rPr>
            <m:sty m:val="p"/>
          </m:rPr>
          <m:t>=</m:t>
        </m:r>
        <m:r>
          <m:t>w</m:t>
        </m:r>
        <m:r>
          <m:rPr>
            <m:sty m:val="p"/>
          </m:rPr>
          <m:t>/</m:t>
        </m:r>
        <m:r>
          <m:t>p</m:t>
        </m:r>
      </m:oMath>
      <w:r>
        <w:t xml:space="preserve"> </w:t>
      </w:r>
      <w:r>
        <w:t xml:space="preserve">(produto médio = custo por unidade de esforço), mas o ótimo social requer</w:t>
      </w:r>
      <w:r>
        <w:t xml:space="preserve"> </w:t>
      </w:r>
      <m:oMath>
        <m:r>
          <m:t>P</m:t>
        </m:r>
        <m:r>
          <m:t>M</m:t>
        </m:r>
        <m:r>
          <m:t>g</m:t>
        </m:r>
        <m:r>
          <m:rPr>
            <m:sty m:val="p"/>
          </m:rPr>
          <m:t>=</m:t>
        </m:r>
        <m:r>
          <m:t>w</m:t>
        </m:r>
        <m:r>
          <m:rPr>
            <m:sty m:val="p"/>
          </m:rPr>
          <m:t>/</m:t>
        </m:r>
        <m:r>
          <m:t>p</m:t>
        </m:r>
      </m:oMath>
      <w:r>
        <w:t xml:space="preserve"> </w:t>
      </w:r>
      <w:r>
        <w:t xml:space="preserve">(produto marginal = custo) — exatamente como mostra a Figura 20.4. Como</w:t>
      </w:r>
      <w:r>
        <w:t xml:space="preserve"> </w:t>
      </w:r>
      <m:oMath>
        <m:r>
          <m:t>P</m:t>
        </m:r>
        <m:r>
          <m:t>M</m:t>
        </m:r>
        <m:r>
          <m:t>e</m:t>
        </m:r>
        <m:r>
          <m:rPr>
            <m:sty m:val="p"/>
          </m:rPr>
          <m:t>&gt;</m:t>
        </m:r>
        <m:r>
          <m:t>P</m:t>
        </m:r>
        <m:r>
          <m:t>M</m:t>
        </m:r>
        <m:r>
          <m:t>g</m:t>
        </m:r>
      </m:oMath>
      <w:r>
        <w:t xml:space="preserve"> </w:t>
      </w:r>
      <w:r>
        <w:t xml:space="preserve">para recursos congestionáveis, o esforço de pesca no equilíbrio privado excede sistematicamente o nível sustentável.</w:t>
      </w:r>
    </w:p>
    <w:p>
      <w:pPr>
        <w:pStyle w:val="BlockText"/>
      </w:pPr>
      <w:r>
        <w:rPr>
          <w:b/>
          <w:bCs/>
        </w:rPr>
        <w:t xml:space="preserve">Soluções tentadas.</w:t>
      </w:r>
      <w:r>
        <w:t xml:space="preserve"> </w:t>
      </w:r>
      <w:r>
        <w:t xml:space="preserve">O</w:t>
      </w:r>
      <w:r>
        <w:t xml:space="preserve"> </w:t>
      </w:r>
      <w:r>
        <w:rPr>
          <w:i/>
          <w:iCs/>
        </w:rPr>
        <w:t xml:space="preserve">defeso</w:t>
      </w:r>
      <w:r>
        <w:t xml:space="preserve"> </w:t>
      </w:r>
      <w:r>
        <w:t xml:space="preserve">(período de proibição da pesca, com seguro-defeso pago pelo governo) tenta limitar o esforço total. Reservas extrativistas marinhas (RESEX) — como a RESEX de Canavieiras (BA) e a RESEX Acaú-Goiana (PB/PE) — implementam governança à la Ostrom, com regras comunitárias de uso. Evidências sugerem que RESEX com gestão participativa efetiva conseguem manter estoques pesqueiros 25-40% acima de áreas não protegidas (Lopes et al., 2013).</w:t>
      </w:r>
    </w:p>
    <w:p>
      <w:pPr>
        <w:pStyle w:val="BlockText"/>
      </w:pPr>
      <w:r>
        <w:rPr>
          <w:b/>
          <w:bCs/>
        </w:rPr>
        <w:t xml:space="preserve">Fonte:</w:t>
      </w:r>
      <w:r>
        <w:t xml:space="preserve"> </w:t>
      </w:r>
      <w:r>
        <w:t xml:space="preserve">IBGE,</w:t>
      </w:r>
      <w:r>
        <w:t xml:space="preserve"> </w:t>
      </w:r>
      <w:r>
        <w:rPr>
          <w:i/>
          <w:iCs/>
        </w:rPr>
        <w:t xml:space="preserve">Pesquisa da Pecuária Municipal</w:t>
      </w:r>
      <w:r>
        <w:t xml:space="preserve">, 2020; ICMBio,</w:t>
      </w:r>
      <w:r>
        <w:t xml:space="preserve"> </w:t>
      </w:r>
      <w:r>
        <w:rPr>
          <w:i/>
          <w:iCs/>
        </w:rPr>
        <w:t xml:space="preserve">Livro Vermelho da Fauna Brasileira</w:t>
      </w:r>
      <w:r>
        <w:t xml:space="preserve">, 2018; Lopes, P.F.M. et al. (2013). Sugestões para melhorar a gestão de unidades de conservação costeiras e marinhas no Brasil.</w:t>
      </w:r>
      <w:r>
        <w:t xml:space="preserve"> </w:t>
      </w:r>
      <w:r>
        <w:rPr>
          <w:i/>
          <w:iCs/>
        </w:rPr>
        <w:t xml:space="preserve">Ambiente &amp; Sociedade</w:t>
      </w:r>
      <w:r>
        <w:t xml:space="preserve">, 16(4), 93-112.</w:t>
      </w:r>
    </w:p>
    <w:bookmarkEnd w:id="1261"/>
    <w:bookmarkEnd w:id="1262"/>
    <w:bookmarkStart w:id="1269" w:name="votação-e-mecanismos-de-revelação"/>
    <w:p>
      <w:pPr>
        <w:pStyle w:val="Heading2"/>
      </w:pPr>
      <w:r>
        <w:t xml:space="preserve">Votação e Mecanismos de Revelação</w:t>
      </w:r>
    </w:p>
    <w:bookmarkStart w:id="1266" w:name="Xcfdd18ea7f4a2ba74132ba977dc207204142994"/>
    <w:p>
      <w:pPr>
        <w:pStyle w:val="Heading3"/>
      </w:pPr>
      <w:r>
        <w:t xml:space="preserve">20.9 Enfiar 200 Milhões de Preferências Numa Urna: Votação e Alocação de Recursos</w:t>
      </w:r>
    </w:p>
    <w:p>
      <w:pPr>
        <w:pStyle w:val="FirstParagraph"/>
      </w:pPr>
      <w:r>
        <w:t xml:space="preserve">Na ausência de mecanismos de mercado eficientes para bens públicos, as sociedades recorrem a processos políticos — especialmente a</w:t>
      </w:r>
      <w:r>
        <w:t xml:space="preserve"> </w:t>
      </w:r>
      <w:r>
        <w:rPr>
          <w:b/>
          <w:bCs/>
        </w:rPr>
        <w:t xml:space="preserve">votação</w:t>
      </w:r>
      <w:r>
        <w:t xml:space="preserve"> </w:t>
      </w:r>
      <w:r>
        <w:t xml:space="preserve">— para decidir o nível de provisão.</w:t>
      </w:r>
    </w:p>
    <w:bookmarkStart w:id="1263" w:name="votação-por-maioria-simples"/>
    <w:p>
      <w:pPr>
        <w:pStyle w:val="Heading4"/>
      </w:pPr>
      <w:r>
        <w:t xml:space="preserve">Votação por maioria simples</w:t>
      </w:r>
    </w:p>
    <w:p>
      <w:pPr>
        <w:pStyle w:val="FirstParagraph"/>
      </w:pPr>
      <w:r>
        <w:t xml:space="preserve">Considere uma comunidade de</w:t>
      </w:r>
      <w:r>
        <w:t xml:space="preserve"> </w:t>
      </w:r>
      <m:oMath>
        <m:r>
          <m:t>N</m:t>
        </m:r>
      </m:oMath>
      <w:r>
        <w:t xml:space="preserve"> </w:t>
      </w:r>
      <w:r>
        <w:t xml:space="preserve">cidadãos que deve decidir o nível de gastos</w:t>
      </w:r>
      <w:r>
        <w:t xml:space="preserve"> </w:t>
      </w:r>
      <m:oMath>
        <m:r>
          <m:t>G</m:t>
        </m:r>
      </m:oMath>
      <w:r>
        <w:t xml:space="preserve"> </w:t>
      </w:r>
      <w:r>
        <w:t xml:space="preserve">com um bem público, financiado por imposto uniforme</w:t>
      </w:r>
      <w:r>
        <w:t xml:space="preserve"> </w:t>
      </w:r>
      <m:oMath>
        <m:r>
          <m:t>T</m:t>
        </m:r>
        <m:r>
          <m:rPr>
            <m:sty m:val="p"/>
          </m:rPr>
          <m:t>=</m:t>
        </m:r>
        <m:r>
          <m:t>C</m:t>
        </m:r>
        <m:r>
          <m:t>M</m:t>
        </m:r>
        <m:r>
          <m:t>g</m:t>
        </m:r>
        <m:r>
          <m:rPr>
            <m:sty m:val="p"/>
          </m:rPr>
          <m:t>(</m:t>
        </m:r>
        <m:r>
          <m:t>G</m:t>
        </m:r>
        <m:r>
          <m:rPr>
            <m:sty m:val="p"/>
          </m:rPr>
          <m:t>)</m:t>
        </m:r>
        <m:r>
          <m:rPr>
            <m:sty m:val="p"/>
          </m:rPr>
          <m:t>/</m:t>
        </m:r>
        <m:r>
          <m:t>N</m:t>
        </m:r>
      </m:oMath>
      <w:r>
        <w:t xml:space="preserve"> </w:t>
      </w:r>
      <w:r>
        <w:t xml:space="preserve">por pessoa. Cada cidadão</w:t>
      </w:r>
      <w:r>
        <w:t xml:space="preserve"> </w:t>
      </w:r>
      <m:oMath>
        <m:r>
          <m:t>i</m:t>
        </m:r>
      </m:oMath>
      <w:r>
        <w:t xml:space="preserve"> </w:t>
      </w:r>
      <w:r>
        <w:t xml:space="preserve">tem nível preferido</w:t>
      </w:r>
      <w:r>
        <w:t xml:space="preserve"> </w:t>
      </w:r>
      <m:oMath>
        <m:sSubSup>
          <m:e>
            <m:r>
              <m:t>G</m:t>
            </m:r>
          </m:e>
          <m:sub>
            <m:r>
              <m:t>i</m:t>
            </m:r>
          </m:sub>
          <m:sup>
            <m:r>
              <m:rPr>
                <m:sty m:val="p"/>
              </m:rPr>
              <m:t>*</m:t>
            </m:r>
          </m:sup>
        </m:sSubSup>
      </m:oMath>
      <w:r>
        <w:t xml:space="preserve"> </w:t>
      </w:r>
      <w:r>
        <w:t xml:space="preserve">que maximiza</w:t>
      </w:r>
      <w:r>
        <w:t xml:space="preserve"> </w:t>
      </w:r>
      <m:oMath>
        <m:sSub>
          <m:e>
            <m:r>
              <m:t>U</m:t>
            </m:r>
          </m:e>
          <m:sub>
            <m:r>
              <m:t>i</m:t>
            </m:r>
          </m:sub>
        </m:sSub>
        <m:r>
          <m:rPr>
            <m:sty m:val="p"/>
          </m:rPr>
          <m:t>(</m:t>
        </m:r>
        <m:r>
          <m:t>G</m:t>
        </m:r>
        <m:r>
          <m:rPr>
            <m:sty m:val="p"/>
          </m:rPr>
          <m:t>)</m:t>
        </m:r>
        <m:r>
          <m:rPr>
            <m:sty m:val="p"/>
          </m:rPr>
          <m:t>−</m:t>
        </m:r>
        <m:r>
          <m:t>T</m:t>
        </m:r>
      </m:oMath>
      <w:r>
        <w:t xml:space="preserve">.</w:t>
      </w:r>
    </w:p>
    <w:p>
      <w:pPr>
        <w:pStyle w:val="BlockText"/>
      </w:pPr>
      <w:r>
        <w:rPr>
          <w:b/>
          <w:bCs/>
        </w:rPr>
        <w:t xml:space="preserve">[RESUMO] Teorema do Eleitor Mediano</w:t>
      </w:r>
    </w:p>
    <w:p>
      <w:pPr>
        <w:pStyle w:val="BlockText"/>
      </w:pPr>
      <w:r>
        <w:t xml:space="preserve">Se as preferências dos eleitores são</w:t>
      </w:r>
      <w:r>
        <w:t xml:space="preserve"> </w:t>
      </w:r>
      <w:r>
        <w:rPr>
          <w:b/>
          <w:bCs/>
        </w:rPr>
        <w:t xml:space="preserve">unimodais</w:t>
      </w:r>
      <w:r>
        <w:t xml:space="preserve"> </w:t>
      </w:r>
      <w:r>
        <w:t xml:space="preserve">(single-peaked) e a escolha é unidimensional, a regra de maioria simples seleciona o nível preferido pelo</w:t>
      </w:r>
      <w:r>
        <w:t xml:space="preserve"> </w:t>
      </w:r>
      <w:r>
        <w:rPr>
          <w:b/>
          <w:bCs/>
        </w:rPr>
        <w:t xml:space="preserve">eleitor mediano</w:t>
      </w:r>
      <w:r>
        <w:t xml:space="preserve"> </w:t>
      </w:r>
      <w:r>
        <w:t xml:space="preserve">— aquele cujo nível preferido</w:t>
      </w:r>
      <w:r>
        <w:t xml:space="preserve"> </w:t>
      </w:r>
      <m:oMath>
        <m:sSubSup>
          <m:e>
            <m:r>
              <m:t>G</m:t>
            </m:r>
          </m:e>
          <m:sub>
            <m:r>
              <m:t>m</m:t>
            </m:r>
          </m:sub>
          <m:sup>
            <m:r>
              <m:rPr>
                <m:sty m:val="p"/>
              </m:rPr>
              <m:t>*</m:t>
            </m:r>
          </m:sup>
        </m:sSubSup>
      </m:oMath>
      <w:r>
        <w:t xml:space="preserve"> </w:t>
      </w:r>
      <w:r>
        <w:t xml:space="preserve">é tal que metade dos eleitores prefere mais e metade prefere menos.</w:t>
      </w:r>
    </w:p>
    <w:p>
      <w:pPr>
        <w:pStyle w:val="BlockText"/>
      </w:pPr>
      <w:r>
        <w:t xml:space="preserve">Formalmente, se</w:t>
      </w:r>
      <w:r>
        <w:t xml:space="preserve"> </w:t>
      </w:r>
      <m:oMath>
        <m:sSubSup>
          <m:e>
            <m:r>
              <m:t>G</m:t>
            </m:r>
          </m:e>
          <m:sub>
            <m:r>
              <m:t>1</m:t>
            </m:r>
          </m:sub>
          <m:sup>
            <m:r>
              <m:rPr>
                <m:sty m:val="p"/>
              </m:rPr>
              <m:t>*</m:t>
            </m:r>
          </m:sup>
        </m:sSubSup>
        <m:r>
          <m:rPr>
            <m:sty m:val="p"/>
          </m:rPr>
          <m:t>≤</m:t>
        </m:r>
        <m:sSubSup>
          <m:e>
            <m:r>
              <m:t>G</m:t>
            </m:r>
          </m:e>
          <m:sub>
            <m:r>
              <m:t>2</m:t>
            </m:r>
          </m:sub>
          <m:sup>
            <m:r>
              <m:rPr>
                <m:sty m:val="p"/>
              </m:rPr>
              <m:t>*</m:t>
            </m:r>
          </m:sup>
        </m:sSubSup>
        <m:r>
          <m:rPr>
            <m:sty m:val="p"/>
          </m:rPr>
          <m:t>≤</m:t>
        </m:r>
        <m:r>
          <m:rPr>
            <m:sty m:val="p"/>
          </m:rPr>
          <m:t>⋯</m:t>
        </m:r>
        <m:r>
          <m:rPr>
            <m:sty m:val="p"/>
          </m:rPr>
          <m:t>≤</m:t>
        </m:r>
        <m:sSubSup>
          <m:e>
            <m:r>
              <m:t>G</m:t>
            </m:r>
          </m:e>
          <m:sub>
            <m:r>
              <m:t>N</m:t>
            </m:r>
          </m:sub>
          <m:sup>
            <m:r>
              <m:rPr>
                <m:sty m:val="p"/>
              </m:rPr>
              <m:t>*</m:t>
            </m:r>
          </m:sup>
        </m:sSubSup>
      </m:oMath>
      <w:r>
        <w:t xml:space="preserve">, o resultado da votação por maioria é</w:t>
      </w:r>
      <w:r>
        <w:t xml:space="preserve"> </w:t>
      </w:r>
      <m:oMath>
        <m:sSubSup>
          <m:e>
            <m:r>
              <m:t>G</m:t>
            </m:r>
          </m:e>
          <m:sub>
            <m:r>
              <m:t>m</m:t>
            </m:r>
          </m:sub>
          <m:sup>
            <m:r>
              <m:rPr>
                <m:sty m:val="p"/>
              </m:rPr>
              <m:t>*</m:t>
            </m:r>
          </m:sup>
        </m:sSubSup>
        <m:r>
          <m:rPr>
            <m:sty m:val="p"/>
          </m:rPr>
          <m:t>=</m:t>
        </m:r>
        <m:sSubSup>
          <m:e>
            <m:r>
              <m:t>G</m:t>
            </m:r>
          </m:e>
          <m:sub>
            <m:r>
              <m:rPr>
                <m:sty m:val="p"/>
              </m:rPr>
              <m:t>(</m:t>
            </m:r>
            <m:r>
              <m:t>N</m:t>
            </m:r>
            <m:r>
              <m:rPr>
                <m:sty m:val="p"/>
              </m:rPr>
              <m:t>+</m:t>
            </m:r>
            <m:r>
              <m:t>1</m:t>
            </m:r>
            <m:r>
              <m:rPr>
                <m:sty m:val="p"/>
              </m:rPr>
              <m:t>)</m:t>
            </m:r>
            <m:r>
              <m:rPr>
                <m:sty m:val="p"/>
              </m:rPr>
              <m:t>/</m:t>
            </m:r>
            <m:r>
              <m:t>2</m:t>
            </m:r>
          </m:sub>
          <m:sup>
            <m:r>
              <m:rPr>
                <m:sty m:val="p"/>
              </m:rPr>
              <m:t>*</m:t>
            </m:r>
          </m:sup>
        </m:sSubSup>
      </m:oMath>
      <w:r>
        <w:t xml:space="preserve"> </w:t>
      </w:r>
      <w:r>
        <w:t xml:space="preserve">(para</w:t>
      </w:r>
      <w:r>
        <w:t xml:space="preserve"> </w:t>
      </w:r>
      <m:oMath>
        <m:r>
          <m:t>N</m:t>
        </m:r>
      </m:oMath>
      <w:r>
        <w:t xml:space="preserve"> </w:t>
      </w:r>
      <w:r>
        <w:t xml:space="preserve">ímpar).</w:t>
      </w:r>
    </w:p>
    <w:p>
      <w:pPr>
        <w:pStyle w:val="FirstParagraph"/>
      </w:pPr>
      <w:r>
        <w:rPr>
          <w:b/>
          <w:bCs/>
        </w:rPr>
        <w:t xml:space="preserve">Relação com eficiência</w:t>
      </w:r>
      <w:r>
        <w:t xml:space="preserve">: O nível escolhido pelo eleitor mediano geralmente</w:t>
      </w:r>
      <w:r>
        <w:t xml:space="preserve"> </w:t>
      </w:r>
      <w:r>
        <w:rPr>
          <w:b/>
          <w:bCs/>
        </w:rPr>
        <w:t xml:space="preserve">não</w:t>
      </w:r>
      <w:r>
        <w:t xml:space="preserve"> </w:t>
      </w:r>
      <w:r>
        <w:t xml:space="preserve">coincide com o nível eficiente de Samuelson, exceto por coincidência. A provisão pode ser excessiva ou insuficiente dependendo da distribuição de preferências e renda na população.</w:t>
      </w:r>
    </w:p>
    <w:bookmarkEnd w:id="1263"/>
    <w:bookmarkStart w:id="1264" w:name="paradoxo-de-condorcet"/>
    <w:p>
      <w:pPr>
        <w:pStyle w:val="Heading4"/>
      </w:pPr>
      <w:r>
        <w:t xml:space="preserve">Paradoxo de Condorcet</w:t>
      </w:r>
    </w:p>
    <w:p>
      <w:pPr>
        <w:pStyle w:val="FirstParagraph"/>
      </w:pPr>
      <w:r>
        <w:t xml:space="preserve">Quando as preferências não são unimodais ou a escolha é multidimensional, a votação por maioria pode produzir</w:t>
      </w:r>
      <w:r>
        <w:t xml:space="preserve"> </w:t>
      </w:r>
      <w:r>
        <w:rPr>
          <w:b/>
          <w:bCs/>
        </w:rPr>
        <w:t xml:space="preserve">ciclos</w:t>
      </w:r>
      <w:r>
        <w:t xml:space="preserve"> </w:t>
      </w:r>
      <w:r>
        <w:t xml:space="preserve">(A vence B, B vence C, C vence A), não existindo um vencedor de Condorcet.</w:t>
      </w:r>
    </w:p>
    <w:p>
      <w:pPr>
        <w:pStyle w:val="BodyText"/>
      </w:pPr>
      <w:r>
        <w:rPr>
          <w:b/>
          <w:bCs/>
        </w:rPr>
        <w:t xml:space="preserve">Exemplo:</w:t>
      </w:r>
      <w:r>
        <w:t xml:space="preserve"> </w:t>
      </w:r>
      <w:r>
        <w:t xml:space="preserve">Três eleitores (1, 2, 3) e três alternativas (A, B, 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Eleitor</w:t>
            </w:r>
          </w:p>
        </w:tc>
        <w:tc>
          <w:tcPr/>
          <w:p>
            <w:pPr>
              <w:pStyle w:val="Compact"/>
            </w:pPr>
            <w:r>
              <w:t xml:space="preserve">1.ª preferência</w:t>
            </w:r>
          </w:p>
        </w:tc>
        <w:tc>
          <w:tcPr/>
          <w:p>
            <w:pPr>
              <w:pStyle w:val="Compact"/>
            </w:pPr>
            <w:r>
              <w:t xml:space="preserve">2.ª preferência</w:t>
            </w:r>
          </w:p>
        </w:tc>
        <w:tc>
          <w:tcPr/>
          <w:p>
            <w:pPr>
              <w:pStyle w:val="Compact"/>
            </w:pPr>
            <w:r>
              <w:t xml:space="preserve">3.ª preferência</w:t>
            </w:r>
          </w:p>
        </w:tc>
      </w:tr>
      <w:tr>
        <w:tc>
          <w:tcPr/>
          <w:p>
            <w:pPr>
              <w:pStyle w:val="Compact"/>
            </w:pPr>
            <w:r>
              <w:t xml:space="preserve">1</w:t>
            </w:r>
          </w:p>
        </w:tc>
        <w:tc>
          <w:tcPr/>
          <w:p>
            <w:pPr>
              <w:pStyle w:val="Compact"/>
            </w:pPr>
            <w:r>
              <w:t xml:space="preserve">A</w:t>
            </w:r>
          </w:p>
        </w:tc>
        <w:tc>
          <w:tcPr/>
          <w:p>
            <w:pPr>
              <w:pStyle w:val="Compact"/>
            </w:pPr>
            <w:r>
              <w:t xml:space="preserve">B</w:t>
            </w:r>
          </w:p>
        </w:tc>
        <w:tc>
          <w:tcPr/>
          <w:p>
            <w:pPr>
              <w:pStyle w:val="Compact"/>
            </w:pPr>
            <w:r>
              <w:t xml:space="preserve">C</w:t>
            </w:r>
          </w:p>
        </w:tc>
      </w:tr>
      <w:tr>
        <w:tc>
          <w:tcPr/>
          <w:p>
            <w:pPr>
              <w:pStyle w:val="Compact"/>
            </w:pPr>
            <w:r>
              <w:t xml:space="preserve">2</w:t>
            </w:r>
          </w:p>
        </w:tc>
        <w:tc>
          <w:tcPr/>
          <w:p>
            <w:pPr>
              <w:pStyle w:val="Compact"/>
            </w:pPr>
            <w:r>
              <w:t xml:space="preserve">B</w:t>
            </w:r>
          </w:p>
        </w:tc>
        <w:tc>
          <w:tcPr/>
          <w:p>
            <w:pPr>
              <w:pStyle w:val="Compact"/>
            </w:pPr>
            <w:r>
              <w:t xml:space="preserve">C</w:t>
            </w:r>
          </w:p>
        </w:tc>
        <w:tc>
          <w:tcPr/>
          <w:p>
            <w:pPr>
              <w:pStyle w:val="Compact"/>
            </w:pPr>
            <w:r>
              <w:t xml:space="preserve">A</w:t>
            </w:r>
          </w:p>
        </w:tc>
      </w:tr>
      <w:tr>
        <w:tc>
          <w:tcPr/>
          <w:p>
            <w:pPr>
              <w:pStyle w:val="Compact"/>
            </w:pPr>
            <w:r>
              <w:t xml:space="preserve">3</w:t>
            </w:r>
          </w:p>
        </w:tc>
        <w:tc>
          <w:tcPr/>
          <w:p>
            <w:pPr>
              <w:pStyle w:val="Compact"/>
            </w:pPr>
            <w:r>
              <w:t xml:space="preserve">C</w:t>
            </w:r>
          </w:p>
        </w:tc>
        <w:tc>
          <w:tcPr/>
          <w:p>
            <w:pPr>
              <w:pStyle w:val="Compact"/>
            </w:pPr>
            <w:r>
              <w:t xml:space="preserve">A</w:t>
            </w:r>
          </w:p>
        </w:tc>
        <w:tc>
          <w:tcPr/>
          <w:p>
            <w:pPr>
              <w:pStyle w:val="Compact"/>
            </w:pPr>
            <w:r>
              <w:t xml:space="preserve">B</w:t>
            </w:r>
          </w:p>
        </w:tc>
      </w:tr>
    </w:tbl>
    <w:p>
      <w:pPr>
        <w:pStyle w:val="Compact"/>
        <w:numPr>
          <w:ilvl w:val="0"/>
          <w:numId w:val="2113"/>
        </w:numPr>
      </w:pPr>
      <w:r>
        <w:t xml:space="preserve">A vs. B: A vence (eleitores 1 e 3).</w:t>
      </w:r>
    </w:p>
    <w:p>
      <w:pPr>
        <w:pStyle w:val="Compact"/>
        <w:numPr>
          <w:ilvl w:val="0"/>
          <w:numId w:val="2113"/>
        </w:numPr>
      </w:pPr>
      <w:r>
        <w:t xml:space="preserve">B vs. C: B vence (eleitores 1 e 2).</w:t>
      </w:r>
    </w:p>
    <w:p>
      <w:pPr>
        <w:pStyle w:val="Compact"/>
        <w:numPr>
          <w:ilvl w:val="0"/>
          <w:numId w:val="2113"/>
        </w:numPr>
      </w:pPr>
      <w:r>
        <w:t xml:space="preserve">C vs. A: C vence (eleitores 2 e 3).</w:t>
      </w:r>
    </w:p>
    <w:p>
      <w:pPr>
        <w:pStyle w:val="FirstParagraph"/>
      </w:pPr>
      <w:r>
        <w:t xml:space="preserve">Resultado: ciclo A ≻ B ≻ C ≻ A. Não existe vencedor de Condorcet.</w:t>
      </w:r>
    </w:p>
    <w:bookmarkEnd w:id="1264"/>
    <w:bookmarkStart w:id="1265" w:name="teorema-da-impossibilidade-de-arrow"/>
    <w:p>
      <w:pPr>
        <w:pStyle w:val="Heading4"/>
      </w:pPr>
      <w:r>
        <w:t xml:space="preserve">Teorema da Impossibilidade de Arrow</w:t>
      </w:r>
    </w:p>
    <w:p>
      <w:pPr>
        <w:pStyle w:val="BlockText"/>
      </w:pPr>
      <w:r>
        <w:rPr>
          <w:b/>
          <w:bCs/>
        </w:rPr>
        <w:t xml:space="preserve">[RESUMO] Teorema da Impossibilidade de Arrow (1951)</w:t>
      </w:r>
    </w:p>
    <w:p>
      <w:pPr>
        <w:pStyle w:val="BlockText"/>
      </w:pPr>
      <w:r>
        <w:t xml:space="preserve">Não existe regra de agregação de preferências (com três ou mais alternativas e dois ou mais indivíduos) que satisfaça simultaneamente as seguintes quatro condições:</w:t>
      </w:r>
    </w:p>
    <w:p>
      <w:pPr>
        <w:pStyle w:val="Compact"/>
        <w:numPr>
          <w:ilvl w:val="0"/>
          <w:numId w:val="2114"/>
        </w:numPr>
      </w:pPr>
      <w:r>
        <w:rPr>
          <w:b/>
          <w:bCs/>
        </w:rPr>
        <w:t xml:space="preserve">Domínio irrestrito</w:t>
      </w:r>
      <w:r>
        <w:t xml:space="preserve">: a regra funciona para qualquer perfil de preferências individuais.</w:t>
      </w:r>
    </w:p>
    <w:p>
      <w:pPr>
        <w:pStyle w:val="Compact"/>
        <w:numPr>
          <w:ilvl w:val="0"/>
          <w:numId w:val="2114"/>
        </w:numPr>
      </w:pPr>
      <w:r>
        <w:rPr>
          <w:b/>
          <w:bCs/>
        </w:rPr>
        <w:t xml:space="preserve">Princípio de Pareto (unanimidade)</w:t>
      </w:r>
      <w:r>
        <w:t xml:space="preserve">: se todos preferem A a B, a escolha social deve preferir A a B.</w:t>
      </w:r>
    </w:p>
    <w:p>
      <w:pPr>
        <w:pStyle w:val="Compact"/>
        <w:numPr>
          <w:ilvl w:val="0"/>
          <w:numId w:val="2114"/>
        </w:numPr>
      </w:pPr>
      <w:r>
        <w:rPr>
          <w:b/>
          <w:bCs/>
        </w:rPr>
        <w:t xml:space="preserve">Independência de alternativas irrelevantes (IIA)</w:t>
      </w:r>
      <w:r>
        <w:t xml:space="preserve">: a ordenação social entre A e B depende apenas das preferências individuais entre A e B, não das preferências sobre C.</w:t>
      </w:r>
    </w:p>
    <w:p>
      <w:pPr>
        <w:pStyle w:val="Compact"/>
        <w:numPr>
          <w:ilvl w:val="0"/>
          <w:numId w:val="2114"/>
        </w:numPr>
      </w:pPr>
      <w:r>
        <w:rPr>
          <w:b/>
          <w:bCs/>
        </w:rPr>
        <w:t xml:space="preserve">Não-ditadura</w:t>
      </w:r>
      <w:r>
        <w:t xml:space="preserve">: não existe um indivíduo cuja preferência sempre determine a escolha social.</w:t>
      </w:r>
    </w:p>
    <w:p>
      <w:pPr>
        <w:pStyle w:val="FirstParagraph"/>
      </w:pPr>
      <w:r>
        <w:t xml:space="preserve">O teorema de Arrow demonstra que qualquer sistema de votação com três ou mais alternativas necessariamente viola pelo menos uma dessas condições. Em outras palavras: não existe sistema de votação perfeito.</w:t>
      </w:r>
    </w:p>
    <w:p>
      <w:pPr>
        <w:pStyle w:val="BodyText"/>
      </w:pPr>
      <w:r>
        <w:rPr>
          <w:b/>
          <w:bCs/>
        </w:rPr>
        <w:t xml:space="preserve">Regras de votação e suas violações: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Violação principal</w:t>
            </w:r>
          </w:p>
        </w:tc>
      </w:tr>
      <w:tr>
        <w:tc>
          <w:tcPr/>
          <w:p>
            <w:pPr>
              <w:pStyle w:val="Compact"/>
            </w:pPr>
            <w:r>
              <w:t xml:space="preserve">Maioria simples</w:t>
            </w:r>
          </w:p>
        </w:tc>
        <w:tc>
          <w:tcPr/>
          <w:p>
            <w:pPr>
              <w:pStyle w:val="Compact"/>
            </w:pPr>
            <w:r>
              <w:t xml:space="preserve">Pode gerar ciclos (viola transitividade)</w:t>
            </w:r>
          </w:p>
        </w:tc>
      </w:tr>
      <w:tr>
        <w:tc>
          <w:tcPr/>
          <w:p>
            <w:pPr>
              <w:pStyle w:val="Compact"/>
            </w:pPr>
            <w:r>
              <w:t xml:space="preserve">Ditadura</w:t>
            </w:r>
          </w:p>
        </w:tc>
        <w:tc>
          <w:tcPr/>
          <w:p>
            <w:pPr>
              <w:pStyle w:val="Compact"/>
            </w:pPr>
            <w:r>
              <w:t xml:space="preserve">Viola não-ditadura</w:t>
            </w:r>
          </w:p>
        </w:tc>
      </w:tr>
      <w:tr>
        <w:tc>
          <w:tcPr/>
          <w:p>
            <w:pPr>
              <w:pStyle w:val="Compact"/>
            </w:pPr>
            <w:r>
              <w:t xml:space="preserve">Unanimidade (veto)</w:t>
            </w:r>
          </w:p>
        </w:tc>
        <w:tc>
          <w:tcPr/>
          <w:p>
            <w:pPr>
              <w:pStyle w:val="Compact"/>
            </w:pPr>
            <w:r>
              <w:t xml:space="preserve">Viola completude</w:t>
            </w:r>
          </w:p>
        </w:tc>
      </w:tr>
      <w:tr>
        <w:tc>
          <w:tcPr/>
          <w:p>
            <w:pPr>
              <w:pStyle w:val="Compact"/>
            </w:pPr>
            <w:r>
              <w:t xml:space="preserve">Contagem de Borda</w:t>
            </w:r>
          </w:p>
        </w:tc>
        <w:tc>
          <w:tcPr/>
          <w:p>
            <w:pPr>
              <w:pStyle w:val="Compact"/>
            </w:pPr>
            <w:r>
              <w:t xml:space="preserve">Viola IIA</w:t>
            </w:r>
          </w:p>
        </w:tc>
      </w:tr>
      <w:tr>
        <w:tc>
          <w:tcPr/>
          <w:p>
            <w:pPr>
              <w:pStyle w:val="Compact"/>
            </w:pPr>
            <w:r>
              <w:t xml:space="preserve">Votação por aprovação</w:t>
            </w:r>
          </w:p>
        </w:tc>
        <w:tc>
          <w:tcPr/>
          <w:p>
            <w:pPr>
              <w:pStyle w:val="Compact"/>
            </w:pPr>
            <w:r>
              <w:t xml:space="preserve">Viola IIA</w:t>
            </w:r>
          </w:p>
        </w:tc>
      </w:tr>
    </w:tbl>
    <w:p>
      <w:pPr>
        <w:pStyle w:val="BlockText"/>
      </w:pPr>
      <w:r>
        <w:rPr>
          <w:b/>
          <w:bCs/>
        </w:rPr>
        <w:t xml:space="preserve">[QUESTAO] Nobel de Economia 1972 — Kenneth Arrow</w:t>
      </w:r>
    </w:p>
    <w:p>
      <w:pPr>
        <w:pStyle w:val="BlockText"/>
      </w:pPr>
      <w:r>
        <w:t xml:space="preserve">Kenneth Arrow recebeu o Prêmio Nobel (compartilhado com John Hicks)</w:t>
      </w:r>
      <w:r>
        <w:t xml:space="preserve"> </w:t>
      </w:r>
      <w:r>
        <w:t xml:space="preserve">“por suas contribuições pioneiras à teoria do equilíbrio geral e à teoria do bem-estar.”</w:t>
      </w:r>
      <w:r>
        <w:t xml:space="preserve"> </w:t>
      </w:r>
      <w:r>
        <w:t xml:space="preserve">O Teorema da Impossibilidade, publicado em</w:t>
      </w:r>
      <w:r>
        <w:t xml:space="preserve"> </w:t>
      </w:r>
      <w:r>
        <w:rPr>
          <w:i/>
          <w:iCs/>
        </w:rPr>
        <w:t xml:space="preserve">Social Choice and Individual Values</w:t>
      </w:r>
      <w:r>
        <w:t xml:space="preserve"> </w:t>
      </w:r>
      <w:r>
        <w:t xml:space="preserve">(1951), é um dos resultados mais profundos das ciências sociais: demonstra que a democracia, por mais desejável que seja, não pode ser</w:t>
      </w:r>
      <w:r>
        <w:t xml:space="preserve"> </w:t>
      </w:r>
      <w:r>
        <w:t xml:space="preserve">“perfeita”</w:t>
      </w:r>
      <w:r>
        <w:t xml:space="preserve"> </w:t>
      </w:r>
      <w:r>
        <w:t xml:space="preserve">em sentido formal — todo sistema de votação envolve trade-offs fundamentais. O teorema inspirou décadas de pesquisa em teoria da escolha social, design de mecanismos e economia política.</w:t>
      </w:r>
    </w:p>
    <w:p>
      <w:r>
        <w:pict>
          <v:rect style="width:0;height:1.5pt" o:hralign="center" o:hrstd="t" o:hr="t"/>
        </w:pict>
      </w:r>
    </w:p>
    <w:bookmarkEnd w:id="1265"/>
    <w:bookmarkEnd w:id="1266"/>
    <w:bookmarkStart w:id="1268" w:name="X22cd461c068aea5dff1c3462214880d76b3e39c"/>
    <w:p>
      <w:pPr>
        <w:pStyle w:val="Heading3"/>
      </w:pPr>
      <w:r>
        <w:t xml:space="preserve">20.10 Fazendo Você Dizer a Verdade: Mecanismos de Revelação de Preferências</w:t>
      </w:r>
    </w:p>
    <w:p>
      <w:pPr>
        <w:pStyle w:val="FirstParagraph"/>
      </w:pPr>
      <w:r>
        <w:t xml:space="preserve">O desafio central na provisão de bens públicos é induzir os indivíduos a</w:t>
      </w:r>
      <w:r>
        <w:t xml:space="preserve"> </w:t>
      </w:r>
      <w:r>
        <w:rPr>
          <w:b/>
          <w:bCs/>
        </w:rPr>
        <w:t xml:space="preserve">revelar honestamente</w:t>
      </w:r>
      <w:r>
        <w:t xml:space="preserve"> </w:t>
      </w:r>
      <w:r>
        <w:t xml:space="preserve">suas preferências. O mecanismo de Vickrey-Clarke-Groves (VCG) fornece uma solução elegante.</w:t>
      </w:r>
    </w:p>
    <w:p>
      <w:pPr>
        <w:pStyle w:val="BlockText"/>
      </w:pPr>
      <w:r>
        <w:rPr>
          <w:b/>
          <w:bCs/>
        </w:rPr>
        <w:t xml:space="preserve">[DEFINICAO] Mecanismo VCG (Vickrey-Clarke-Groves)</w:t>
      </w:r>
    </w:p>
    <w:p>
      <w:pPr>
        <w:pStyle w:val="BlockText"/>
      </w:pPr>
      <w:r>
        <w:t xml:space="preserve">Classe de mecanismos de revelação de preferências em que cada indivíduo paga um imposto igual ao</w:t>
      </w:r>
      <w:r>
        <w:t xml:space="preserve"> </w:t>
      </w:r>
      <w:r>
        <w:rPr>
          <w:b/>
          <w:bCs/>
        </w:rPr>
        <w:t xml:space="preserve">custo externo</w:t>
      </w:r>
      <w:r>
        <w:t xml:space="preserve"> </w:t>
      </w:r>
      <w:r>
        <w:t xml:space="preserve">que sua participação impõe sobre os demais membros do grupo. Sob esse mecanismo, é estratégia dominante para cada indivíduo revelar sua verdadeira valoração.</w:t>
      </w:r>
    </w:p>
    <w:bookmarkStart w:id="1267" w:name="Xa9a1c94280bb6920d3c3f3ec47c689908d8b12f"/>
    <w:p>
      <w:pPr>
        <w:pStyle w:val="Heading4"/>
      </w:pPr>
      <w:r>
        <w:t xml:space="preserve">Funcionamento do mecanismo de Clarke (imposto pivotal)</w:t>
      </w:r>
    </w:p>
    <w:p>
      <w:pPr>
        <w:pStyle w:val="Compact"/>
        <w:numPr>
          <w:ilvl w:val="0"/>
          <w:numId w:val="2115"/>
        </w:numPr>
      </w:pPr>
      <w:r>
        <w:t xml:space="preserve">Cada indivíduo</w:t>
      </w:r>
      <w:r>
        <w:t xml:space="preserve"> </w:t>
      </w:r>
      <m:oMath>
        <m:r>
          <m:t>i</m:t>
        </m:r>
      </m:oMath>
      <w:r>
        <w:t xml:space="preserve"> </w:t>
      </w:r>
      <w:r>
        <w:t xml:space="preserve">reporta sua valoração</w:t>
      </w:r>
      <w:r>
        <w:t xml:space="preserve"> </w:t>
      </w:r>
      <m:oMath>
        <m:sSub>
          <m:e>
            <m:acc>
              <m:accPr>
                <m:chr m:val="̂"/>
              </m:accPr>
              <m:e>
                <m:r>
                  <m:t>v</m:t>
                </m:r>
              </m:e>
            </m:acc>
          </m:e>
          <m:sub>
            <m:r>
              <m:t>i</m:t>
            </m:r>
          </m:sub>
        </m:sSub>
      </m:oMath>
      <w:r>
        <w:t xml:space="preserve"> </w:t>
      </w:r>
      <w:r>
        <w:t xml:space="preserve">pelo bem público.</w:t>
      </w:r>
    </w:p>
    <w:p>
      <w:pPr>
        <w:pStyle w:val="Compact"/>
        <w:numPr>
          <w:ilvl w:val="0"/>
          <w:numId w:val="2115"/>
        </w:numPr>
      </w:pPr>
      <w:r>
        <w:t xml:space="preserve">O bem é provido se</w:t>
      </w:r>
      <w:r>
        <w:t xml:space="preserve"> </w:t>
      </w:r>
      <m:oMath>
        <m:nary>
          <m:naryPr>
            <m:chr m:val="∑"/>
            <m:limLoc m:val="undOvr"/>
            <m:subHide m:val="off"/>
            <m:supHide m:val="on"/>
          </m:naryPr>
          <m:sub>
            <m:r>
              <m:t>i</m:t>
            </m:r>
          </m:sub>
          <m:sup>
            <m:r>
              <m:t>​</m:t>
            </m:r>
          </m:sup>
          <m:e>
            <m:sSub>
              <m:e>
                <m:acc>
                  <m:accPr>
                    <m:chr m:val="̂"/>
                  </m:accPr>
                  <m:e>
                    <m:r>
                      <m:t>v</m:t>
                    </m:r>
                  </m:e>
                </m:acc>
              </m:e>
              <m:sub>
                <m:r>
                  <m:t>i</m:t>
                </m:r>
              </m:sub>
            </m:sSub>
          </m:e>
        </m:nary>
        <m:r>
          <m:rPr>
            <m:sty m:val="p"/>
          </m:rPr>
          <m:t>≥</m:t>
        </m:r>
        <m:r>
          <m:t>C</m:t>
        </m:r>
      </m:oMath>
      <w:r>
        <w:t xml:space="preserve"> </w:t>
      </w:r>
      <w:r>
        <w:t xml:space="preserve">(custo de provisão).</w:t>
      </w:r>
    </w:p>
    <w:p>
      <w:pPr>
        <w:pStyle w:val="Compact"/>
        <w:numPr>
          <w:ilvl w:val="0"/>
          <w:numId w:val="2115"/>
        </w:numPr>
      </w:pPr>
      <w:r>
        <w:t xml:space="preserve">O indivíduo</w:t>
      </w:r>
      <w:r>
        <w:t xml:space="preserve"> </w:t>
      </w:r>
      <m:oMath>
        <m:r>
          <m:t>i</m:t>
        </m:r>
      </m:oMath>
      <w:r>
        <w:t xml:space="preserve"> </w:t>
      </w:r>
      <w:r>
        <w:t xml:space="preserve">é</w:t>
      </w:r>
      <w:r>
        <w:t xml:space="preserve"> </w:t>
      </w:r>
      <w:r>
        <w:rPr>
          <w:b/>
          <w:bCs/>
        </w:rPr>
        <w:t xml:space="preserve">pivotal</w:t>
      </w:r>
      <w:r>
        <w:t xml:space="preserve"> </w:t>
      </w:r>
      <w:r>
        <w:t xml:space="preserve">se sua presença altera a decisão (o bem é provido com ele mas não sem ele).</w:t>
      </w:r>
    </w:p>
    <w:p>
      <w:pPr>
        <w:pStyle w:val="Compact"/>
        <w:numPr>
          <w:ilvl w:val="0"/>
          <w:numId w:val="2115"/>
        </w:numPr>
      </w:pPr>
      <w:r>
        <w:t xml:space="preserve">Se</w:t>
      </w:r>
      <w:r>
        <w:t xml:space="preserve"> </w:t>
      </w:r>
      <m:oMath>
        <m:r>
          <m:t>i</m:t>
        </m:r>
      </m:oMath>
      <w:r>
        <w:t xml:space="preserve"> </w:t>
      </w:r>
      <w:r>
        <w:t xml:space="preserve">é pivotal, paga um imposto igual a:</w:t>
      </w:r>
    </w:p>
    <w:p>
      <w:pPr>
        <w:pStyle w:val="FirstParagraph"/>
      </w:pPr>
      <w:r>
        <w:t xml:space="preserve">$$
    t_i = C - \sum_{j \neq i} \hat{v}_j
    \label{eq:20.14} \tag{20.14} 
    $$</w:t>
      </w:r>
    </w:p>
    <w:p>
      <w:pPr>
        <w:pStyle w:val="FirstParagraph"/>
      </w:pPr>
      <w:r>
        <w:t xml:space="preserve">Esse imposto corresponde ao</w:t>
      </w:r>
      <w:r>
        <w:t xml:space="preserve"> </w:t>
      </w:r>
      <w:r>
        <w:t xml:space="preserve">“custo”</w:t>
      </w:r>
      <w:r>
        <w:t xml:space="preserve"> </w:t>
      </w:r>
      <w:r>
        <w:t xml:space="preserve">que a presença de</w:t>
      </w:r>
      <w:r>
        <w:t xml:space="preserve"> </w:t>
      </w:r>
      <m:oMath>
        <m:r>
          <m:t>i</m:t>
        </m:r>
      </m:oMath>
      <w:r>
        <w:t xml:space="preserve"> </w:t>
      </w:r>
      <w:r>
        <w:t xml:space="preserve">impõe sobre os demais (que precisam financiar a diferença).</w:t>
      </w:r>
    </w:p>
    <w:p>
      <w:pPr>
        <w:pStyle w:val="BodyText"/>
      </w:pPr>
      <w:r>
        <w:rPr>
          <w:b/>
          <w:bCs/>
        </w:rPr>
        <w:t xml:space="preserve">Por que funciona</w:t>
      </w:r>
      <w:r>
        <w:t xml:space="preserve">: Se</w:t>
      </w:r>
      <w:r>
        <w:t xml:space="preserve"> </w:t>
      </w:r>
      <m:oMath>
        <m:r>
          <m:t>i</m:t>
        </m:r>
      </m:oMath>
      <w:r>
        <w:t xml:space="preserve"> </w:t>
      </w:r>
      <w:r>
        <w:t xml:space="preserve">reporta</w:t>
      </w:r>
      <w:r>
        <w:t xml:space="preserve"> </w:t>
      </w:r>
      <m:oMath>
        <m:sSub>
          <m:e>
            <m:acc>
              <m:accPr>
                <m:chr m:val="̂"/>
              </m:accPr>
              <m:e>
                <m:r>
                  <m:t>v</m:t>
                </m:r>
              </m:e>
            </m:acc>
          </m:e>
          <m:sub>
            <m:r>
              <m:t>i</m:t>
            </m:r>
          </m:sub>
        </m:sSub>
        <m:r>
          <m:rPr>
            <m:sty m:val="p"/>
          </m:rPr>
          <m:t>&gt;</m:t>
        </m:r>
        <m:sSub>
          <m:e>
            <m:r>
              <m:t>v</m:t>
            </m:r>
          </m:e>
          <m:sub>
            <m:r>
              <m:t>i</m:t>
            </m:r>
          </m:sub>
        </m:sSub>
      </m:oMath>
      <w:r>
        <w:t xml:space="preserve">, pode tornar-se pivotal quando não deveria, e pagar um imposto superior ao seu benefício real. Se reporta</w:t>
      </w:r>
      <w:r>
        <w:t xml:space="preserve"> </w:t>
      </w:r>
      <m:oMath>
        <m:sSub>
          <m:e>
            <m:acc>
              <m:accPr>
                <m:chr m:val="̂"/>
              </m:accPr>
              <m:e>
                <m:r>
                  <m:t>v</m:t>
                </m:r>
              </m:e>
            </m:acc>
          </m:e>
          <m:sub>
            <m:r>
              <m:t>i</m:t>
            </m:r>
          </m:sub>
        </m:sSub>
        <m:r>
          <m:rPr>
            <m:sty m:val="p"/>
          </m:rPr>
          <m:t>&lt;</m:t>
        </m:r>
        <m:sSub>
          <m:e>
            <m:r>
              <m:t>v</m:t>
            </m:r>
          </m:e>
          <m:sub>
            <m:r>
              <m:t>i</m:t>
            </m:r>
          </m:sub>
        </m:sSub>
      </m:oMath>
      <w:r>
        <w:t xml:space="preserve">, pode impedir a provisão de um bem que lhe seria benéfico. Em ambos os casos, o desvio não é lucrativo, e a verdade é estratégia dominante.</w:t>
      </w:r>
    </w:p>
    <w:p>
      <w:pPr>
        <w:pStyle w:val="BlockText"/>
      </w:pPr>
      <w:r>
        <w:rPr>
          <w:b/>
          <w:bCs/>
        </w:rPr>
        <w:t xml:space="preserve">[NOTA] Limitações do VCG</w:t>
      </w:r>
    </w:p>
    <w:p>
      <w:pPr>
        <w:pStyle w:val="BlockText"/>
      </w:pPr>
      <w:r>
        <w:t xml:space="preserve">O mecanismo VCG não é equilibrado orçamentariamente (os impostos pivotais não cobrem o custo total), pode ser vulnerável a coalizões, e requer que as valorações sejam</w:t>
      </w:r>
      <w:r>
        <w:t xml:space="preserve"> </w:t>
      </w:r>
      <w:r>
        <w:rPr>
          <w:b/>
          <w:bCs/>
        </w:rPr>
        <w:t xml:space="preserve">quase-lineares</w:t>
      </w:r>
      <w:r>
        <w:t xml:space="preserve"> </w:t>
      </w:r>
      <w:r>
        <w:t xml:space="preserve">(utilidade transferível). Na prática, sua aplicação direta é rara, mas o princípio inspira mecanismos em leilões (como o leilão de Vickrey) e em design de mercados.</w:t>
      </w:r>
    </w:p>
    <w:p>
      <w:pPr>
        <w:pStyle w:val="BlockText"/>
      </w:pPr>
      <w:r>
        <w:rPr>
          <w:b/>
          <w:bCs/>
        </w:rPr>
        <w:t xml:space="preserve">[EXERCICIO RESOLVIDO] Exercício Resolvido 20.8 — Mecanismo de Clarke para bem público discreto</w:t>
      </w:r>
    </w:p>
    <w:p>
      <w:pPr>
        <w:pStyle w:val="BlockText"/>
      </w:pPr>
      <w:r>
        <w:rPr>
          <w:b/>
          <w:bCs/>
        </w:rPr>
        <w:t xml:space="preserve">Enunciado.</w:t>
      </w:r>
      <w:r>
        <w:t xml:space="preserve"> </w:t>
      </w:r>
      <w:r>
        <w:t xml:space="preserve">Três vizinhos decidem se constroem uma calçada (custo = R$900, dividido igualmente em R$300 cada). Valorações:</w:t>
      </w:r>
      <w:r>
        <w:t xml:space="preserve"> </w:t>
      </w:r>
      <m:oMath>
        <m:sSub>
          <m:e>
            <m:r>
              <m:t>v</m:t>
            </m:r>
          </m:e>
          <m:sub>
            <m:r>
              <m:t>A</m:t>
            </m:r>
          </m:sub>
        </m:sSub>
        <m:r>
          <m:rPr>
            <m:sty m:val="p"/>
          </m:rPr>
          <m:t>=</m:t>
        </m:r>
        <m:r>
          <m:t>400</m:t>
        </m:r>
      </m:oMath>
      <w:r>
        <w:t xml:space="preserve">,</w:t>
      </w:r>
      <w:r>
        <w:t xml:space="preserve"> </w:t>
      </w:r>
      <m:oMath>
        <m:sSub>
          <m:e>
            <m:r>
              <m:t>v</m:t>
            </m:r>
          </m:e>
          <m:sub>
            <m:r>
              <m:t>B</m:t>
            </m:r>
          </m:sub>
        </m:sSub>
        <m:r>
          <m:rPr>
            <m:sty m:val="p"/>
          </m:rPr>
          <m:t>=</m:t>
        </m:r>
        <m:r>
          <m:t>350</m:t>
        </m:r>
      </m:oMath>
      <w:r>
        <w:t xml:space="preserve">,</w:t>
      </w:r>
      <w:r>
        <w:t xml:space="preserve"> </w:t>
      </w:r>
      <m:oMath>
        <m:sSub>
          <m:e>
            <m:r>
              <m:t>v</m:t>
            </m:r>
          </m:e>
          <m:sub>
            <m:r>
              <m:t>C</m:t>
            </m:r>
          </m:sub>
        </m:sSub>
        <m:r>
          <m:rPr>
            <m:sty m:val="p"/>
          </m:rPr>
          <m:t>=</m:t>
        </m:r>
        <m:r>
          <m:t>100</m:t>
        </m:r>
      </m:oMath>
      <w:r>
        <w:t xml:space="preserve">. (a) A calçada deve ser construída? (b) Quem é pivotal? (c) Calcule os impostos pivotais.</w:t>
      </w:r>
    </w:p>
    <w:p>
      <w:pPr>
        <w:pStyle w:val="BlockText"/>
      </w:pPr>
      <w:r>
        <w:rPr>
          <w:b/>
          <w:bCs/>
        </w:rPr>
        <w:t xml:space="preserve">Solução.</w:t>
      </w:r>
    </w:p>
    <w:p>
      <w:pPr>
        <w:pStyle w:val="BlockText"/>
      </w:pPr>
      <w:r>
        <w:rPr>
          <w:b/>
          <w:bCs/>
        </w:rPr>
        <w:t xml:space="preserve">(a)</w:t>
      </w:r>
      <w:r>
        <w:t xml:space="preserve"> </w:t>
      </w:r>
      <m:oMath>
        <m:r>
          <m:rPr>
            <m:sty m:val="p"/>
          </m:rPr>
          <m:t>∑</m:t>
        </m:r>
        <m:sSub>
          <m:e>
            <m:r>
              <m:t>v</m:t>
            </m:r>
          </m:e>
          <m:sub>
            <m:r>
              <m:t>i</m:t>
            </m:r>
          </m:sub>
        </m:sSub>
        <m:r>
          <m:rPr>
            <m:sty m:val="p"/>
          </m:rPr>
          <m:t>=</m:t>
        </m:r>
        <m:r>
          <m:t>400</m:t>
        </m:r>
        <m:r>
          <m:rPr>
            <m:sty m:val="p"/>
          </m:rPr>
          <m:t>+</m:t>
        </m:r>
        <m:r>
          <m:t>350</m:t>
        </m:r>
        <m:r>
          <m:rPr>
            <m:sty m:val="p"/>
          </m:rPr>
          <m:t>+</m:t>
        </m:r>
        <m:r>
          <m:t>100</m:t>
        </m:r>
        <m:r>
          <m:rPr>
            <m:sty m:val="p"/>
          </m:rPr>
          <m:t>=</m:t>
        </m:r>
        <m:r>
          <m:t>850</m:t>
        </m:r>
        <m:r>
          <m:rPr>
            <m:sty m:val="p"/>
          </m:rPr>
          <m:t>&lt;</m:t>
        </m:r>
        <m:r>
          <m:t>900</m:t>
        </m:r>
      </m:oMath>
      <w:r>
        <w:t xml:space="preserve">. Pelo critério de eficiência, a calçada</w:t>
      </w:r>
      <w:r>
        <w:t xml:space="preserve"> </w:t>
      </w:r>
      <w:r>
        <w:rPr>
          <w:b/>
          <w:bCs/>
        </w:rPr>
        <w:t xml:space="preserve">não</w:t>
      </w:r>
      <w:r>
        <w:t xml:space="preserve"> </w:t>
      </w:r>
      <w:r>
        <w:t xml:space="preserve">deve ser construída (</w:t>
      </w:r>
      <m:oMath>
        <m:r>
          <m:rPr>
            <m:sty m:val="p"/>
          </m:rPr>
          <m:t>∑</m:t>
        </m:r>
        <m:sSub>
          <m:e>
            <m:r>
              <m:t>v</m:t>
            </m:r>
          </m:e>
          <m:sub>
            <m:r>
              <m:t>i</m:t>
            </m:r>
          </m:sub>
        </m:sSub>
        <m:r>
          <m:rPr>
            <m:sty m:val="p"/>
          </m:rPr>
          <m:t>&lt;</m:t>
        </m:r>
        <m:r>
          <m:t>C</m:t>
        </m:r>
      </m:oMath>
      <w:r>
        <w:t xml:space="preserve">).</w:t>
      </w:r>
    </w:p>
    <w:p>
      <w:pPr>
        <w:pStyle w:val="BlockText"/>
      </w:pPr>
      <w:r>
        <w:t xml:space="preserve">Mas calculemos os excedentes líquidos:</w:t>
      </w:r>
      <w:r>
        <w:t xml:space="preserve"> </w:t>
      </w:r>
      <m:oMath>
        <m:r>
          <m:rPr>
            <m:sty m:val="p"/>
          </m:rPr>
          <m:t>∑</m:t>
        </m:r>
        <m:r>
          <m:rPr>
            <m:sty m:val="p"/>
          </m:rPr>
          <m:t>(</m:t>
        </m:r>
        <m:sSub>
          <m:e>
            <m:r>
              <m:t>v</m:t>
            </m:r>
          </m:e>
          <m:sub>
            <m:r>
              <m:t>i</m:t>
            </m:r>
          </m:sub>
        </m:sSub>
        <m:r>
          <m:rPr>
            <m:sty m:val="p"/>
          </m:rPr>
          <m:t>−</m:t>
        </m:r>
        <m:sSub>
          <m:e>
            <m:r>
              <m:t>c</m:t>
            </m:r>
          </m:e>
          <m:sub>
            <m:r>
              <m:t>i</m:t>
            </m:r>
          </m:sub>
        </m:sSub>
        <m:r>
          <m:rPr>
            <m:sty m:val="p"/>
          </m:rPr>
          <m:t>)</m:t>
        </m:r>
        <m:r>
          <m:rPr>
            <m:sty m:val="p"/>
          </m:rPr>
          <m:t>=</m:t>
        </m:r>
        <m:r>
          <m:rPr>
            <m:sty m:val="p"/>
          </m:rPr>
          <m:t>(</m:t>
        </m:r>
        <m:r>
          <m:t>400</m:t>
        </m:r>
        <m:r>
          <m:rPr>
            <m:sty m:val="p"/>
          </m:rPr>
          <m:t>−</m:t>
        </m:r>
        <m:r>
          <m:t>300</m:t>
        </m:r>
        <m:r>
          <m:rPr>
            <m:sty m:val="p"/>
          </m:rPr>
          <m:t>)</m:t>
        </m:r>
        <m:r>
          <m:rPr>
            <m:sty m:val="p"/>
          </m:rPr>
          <m:t>+</m:t>
        </m:r>
        <m:r>
          <m:rPr>
            <m:sty m:val="p"/>
          </m:rPr>
          <m:t>(</m:t>
        </m:r>
        <m:r>
          <m:t>350</m:t>
        </m:r>
        <m:r>
          <m:rPr>
            <m:sty m:val="p"/>
          </m:rPr>
          <m:t>−</m:t>
        </m:r>
        <m:r>
          <m:t>300</m:t>
        </m:r>
        <m:r>
          <m:rPr>
            <m:sty m:val="p"/>
          </m:rPr>
          <m:t>)</m:t>
        </m:r>
        <m:r>
          <m:rPr>
            <m:sty m:val="p"/>
          </m:rPr>
          <m:t>+</m:t>
        </m:r>
        <m:r>
          <m:rPr>
            <m:sty m:val="p"/>
          </m:rPr>
          <m:t>(</m:t>
        </m:r>
        <m:r>
          <m:t>100</m:t>
        </m:r>
        <m:r>
          <m:rPr>
            <m:sty m:val="p"/>
          </m:rPr>
          <m:t>−</m:t>
        </m:r>
        <m:r>
          <m:t>300</m:t>
        </m:r>
        <m:r>
          <m:rPr>
            <m:sty m:val="p"/>
          </m:rPr>
          <m:t>)</m:t>
        </m:r>
        <m:r>
          <m:rPr>
            <m:sty m:val="p"/>
          </m:rPr>
          <m:t>=</m:t>
        </m:r>
        <m:r>
          <m:t>100</m:t>
        </m:r>
        <m:r>
          <m:rPr>
            <m:sty m:val="p"/>
          </m:rPr>
          <m:t>+</m:t>
        </m:r>
        <m:r>
          <m:t>50</m:t>
        </m:r>
        <m:r>
          <m:rPr>
            <m:sty m:val="p"/>
          </m:rPr>
          <m:t>−</m:t>
        </m:r>
        <m:r>
          <m:t>200</m:t>
        </m:r>
        <m:r>
          <m:rPr>
            <m:sty m:val="p"/>
          </m:rPr>
          <m:t>=</m:t>
        </m:r>
        <m:r>
          <m:rPr>
            <m:sty m:val="p"/>
          </m:rPr>
          <m:t>−</m:t>
        </m:r>
        <m:r>
          <m:t>50</m:t>
        </m:r>
        <m:r>
          <m:rPr>
            <m:sty m:val="p"/>
          </m:rPr>
          <m:t>&lt;</m:t>
        </m:r>
        <m:r>
          <m:t>0</m:t>
        </m:r>
      </m:oMath>
      <w:r>
        <w:t xml:space="preserve">. Confirmado: não construir.</w:t>
      </w:r>
    </w:p>
    <w:p>
      <w:pPr>
        <w:pStyle w:val="BlockText"/>
      </w:pPr>
      <w:r>
        <w:rPr>
          <w:b/>
          <w:bCs/>
        </w:rPr>
        <w:t xml:space="preserve">(b)</w:t>
      </w:r>
      <w:r>
        <w:t xml:space="preserve"> </w:t>
      </w:r>
      <w:r>
        <w:t xml:space="preserve">Sem A:</w:t>
      </w:r>
      <w:r>
        <w:t xml:space="preserve"> </w:t>
      </w:r>
      <m:oMath>
        <m:nary>
          <m:naryPr>
            <m:chr m:val="∑"/>
            <m:limLoc m:val="undOvr"/>
            <m:subHide m:val="off"/>
            <m:supHide m:val="on"/>
          </m:naryPr>
          <m:sub>
            <m:r>
              <m:t>j</m:t>
            </m:r>
            <m:r>
              <m:rPr>
                <m:sty m:val="p"/>
              </m:rPr>
              <m:t>≠</m:t>
            </m:r>
            <m:r>
              <m:t>A</m:t>
            </m:r>
          </m:sub>
          <m:sup>
            <m:r>
              <m:t>​</m:t>
            </m:r>
          </m:sup>
          <m:e>
            <m:r>
              <m:rPr>
                <m:sty m:val="p"/>
              </m:rPr>
              <m:t>(</m:t>
            </m:r>
          </m:e>
        </m:nary>
        <m:sSub>
          <m:e>
            <m:r>
              <m:t>v</m:t>
            </m:r>
          </m:e>
          <m:sub>
            <m:r>
              <m:t>j</m:t>
            </m:r>
          </m:sub>
        </m:sSub>
        <m:r>
          <m:rPr>
            <m:sty m:val="p"/>
          </m:rPr>
          <m:t>−</m:t>
        </m:r>
        <m:sSub>
          <m:e>
            <m:r>
              <m:t>c</m:t>
            </m:r>
          </m:e>
          <m:sub>
            <m:r>
              <m:t>j</m:t>
            </m:r>
          </m:sub>
        </m:sSub>
        <m:r>
          <m:rPr>
            <m:sty m:val="p"/>
          </m:rPr>
          <m:t>)</m:t>
        </m:r>
        <m:r>
          <m:rPr>
            <m:sty m:val="p"/>
          </m:rPr>
          <m:t>=</m:t>
        </m:r>
        <m:r>
          <m:t>50</m:t>
        </m:r>
        <m:r>
          <m:rPr>
            <m:sty m:val="p"/>
          </m:rPr>
          <m:t>+</m:t>
        </m:r>
        <m:r>
          <m:rPr>
            <m:sty m:val="p"/>
          </m:rPr>
          <m:t>(</m:t>
        </m:r>
        <m:r>
          <m:rPr>
            <m:sty m:val="p"/>
          </m:rPr>
          <m:t>−</m:t>
        </m:r>
        <m:r>
          <m:t>200</m:t>
        </m:r>
        <m:r>
          <m:rPr>
            <m:sty m:val="p"/>
          </m:rPr>
          <m:t>)</m:t>
        </m:r>
        <m:r>
          <m:rPr>
            <m:sty m:val="p"/>
          </m:rPr>
          <m:t>=</m:t>
        </m:r>
        <m:r>
          <m:rPr>
            <m:sty m:val="p"/>
          </m:rPr>
          <m:t>−</m:t>
        </m:r>
        <m:r>
          <m:t>150</m:t>
        </m:r>
        <m:r>
          <m:rPr>
            <m:sty m:val="p"/>
          </m:rPr>
          <m:t>&lt;</m:t>
        </m:r>
        <m:r>
          <m:t>0</m:t>
        </m:r>
      </m:oMath>
      <w:r>
        <w:t xml:space="preserve">. Decisão sem A: não construir. Decisão com A: não construir. A</w:t>
      </w:r>
      <w:r>
        <w:t xml:space="preserve"> </w:t>
      </w:r>
      <w:r>
        <w:rPr>
          <w:b/>
          <w:bCs/>
        </w:rPr>
        <w:t xml:space="preserve">não é pivotal</w:t>
      </w:r>
      <w:r>
        <w:t xml:space="preserve">.</w:t>
      </w:r>
    </w:p>
    <w:p>
      <w:pPr>
        <w:pStyle w:val="BlockText"/>
      </w:pPr>
      <w:r>
        <w:t xml:space="preserve">Sem B:</w:t>
      </w:r>
      <w:r>
        <w:t xml:space="preserve"> </w:t>
      </w:r>
      <m:oMath>
        <m:nary>
          <m:naryPr>
            <m:chr m:val="∑"/>
            <m:limLoc m:val="undOvr"/>
            <m:subHide m:val="off"/>
            <m:supHide m:val="on"/>
          </m:naryPr>
          <m:sub>
            <m:r>
              <m:t>j</m:t>
            </m:r>
            <m:r>
              <m:rPr>
                <m:sty m:val="p"/>
              </m:rPr>
              <m:t>≠</m:t>
            </m:r>
            <m:r>
              <m:t>B</m:t>
            </m:r>
          </m:sub>
          <m:sup>
            <m:r>
              <m:t>​</m:t>
            </m:r>
          </m:sup>
          <m:e>
            <m:r>
              <m:rPr>
                <m:sty m:val="p"/>
              </m:rPr>
              <m:t>(</m:t>
            </m:r>
          </m:e>
        </m:nary>
        <m:sSub>
          <m:e>
            <m:r>
              <m:t>v</m:t>
            </m:r>
          </m:e>
          <m:sub>
            <m:r>
              <m:t>j</m:t>
            </m:r>
          </m:sub>
        </m:sSub>
        <m:r>
          <m:rPr>
            <m:sty m:val="p"/>
          </m:rPr>
          <m:t>−</m:t>
        </m:r>
        <m:sSub>
          <m:e>
            <m:r>
              <m:t>c</m:t>
            </m:r>
          </m:e>
          <m:sub>
            <m:r>
              <m:t>j</m:t>
            </m:r>
          </m:sub>
        </m:sSub>
        <m:r>
          <m:rPr>
            <m:sty m:val="p"/>
          </m:rPr>
          <m:t>)</m:t>
        </m:r>
        <m:r>
          <m:rPr>
            <m:sty m:val="p"/>
          </m:rPr>
          <m:t>=</m:t>
        </m:r>
        <m:r>
          <m:t>100</m:t>
        </m:r>
        <m:r>
          <m:rPr>
            <m:sty m:val="p"/>
          </m:rPr>
          <m:t>+</m:t>
        </m:r>
        <m:r>
          <m:rPr>
            <m:sty m:val="p"/>
          </m:rPr>
          <m:t>(</m:t>
        </m:r>
        <m:r>
          <m:rPr>
            <m:sty m:val="p"/>
          </m:rPr>
          <m:t>−</m:t>
        </m:r>
        <m:r>
          <m:t>200</m:t>
        </m:r>
        <m:r>
          <m:rPr>
            <m:sty m:val="p"/>
          </m:rPr>
          <m:t>)</m:t>
        </m:r>
        <m:r>
          <m:rPr>
            <m:sty m:val="p"/>
          </m:rPr>
          <m:t>=</m:t>
        </m:r>
        <m:r>
          <m:rPr>
            <m:sty m:val="p"/>
          </m:rPr>
          <m:t>−</m:t>
        </m:r>
        <m:r>
          <m:t>100</m:t>
        </m:r>
        <m:r>
          <m:rPr>
            <m:sty m:val="p"/>
          </m:rPr>
          <m:t>&lt;</m:t>
        </m:r>
        <m:r>
          <m:t>0</m:t>
        </m:r>
      </m:oMath>
      <w:r>
        <w:t xml:space="preserve">. Decisão sem B: não construir. Decisão com B: não construir. B</w:t>
      </w:r>
      <w:r>
        <w:t xml:space="preserve"> </w:t>
      </w:r>
      <w:r>
        <w:rPr>
          <w:b/>
          <w:bCs/>
        </w:rPr>
        <w:t xml:space="preserve">não é pivotal</w:t>
      </w:r>
      <w:r>
        <w:t xml:space="preserve">.</w:t>
      </w:r>
    </w:p>
    <w:p>
      <w:pPr>
        <w:pStyle w:val="BlockText"/>
      </w:pPr>
      <w:r>
        <w:t xml:space="preserve">Sem C:</w:t>
      </w:r>
      <w:r>
        <w:t xml:space="preserve"> </w:t>
      </w:r>
      <m:oMath>
        <m:nary>
          <m:naryPr>
            <m:chr m:val="∑"/>
            <m:limLoc m:val="undOvr"/>
            <m:subHide m:val="off"/>
            <m:supHide m:val="on"/>
          </m:naryPr>
          <m:sub>
            <m:r>
              <m:t>j</m:t>
            </m:r>
            <m:r>
              <m:rPr>
                <m:sty m:val="p"/>
              </m:rPr>
              <m:t>≠</m:t>
            </m:r>
            <m:r>
              <m:t>C</m:t>
            </m:r>
          </m:sub>
          <m:sup>
            <m:r>
              <m:t>​</m:t>
            </m:r>
          </m:sup>
          <m:e>
            <m:r>
              <m:rPr>
                <m:sty m:val="p"/>
              </m:rPr>
              <m:t>(</m:t>
            </m:r>
          </m:e>
        </m:nary>
        <m:sSub>
          <m:e>
            <m:r>
              <m:t>v</m:t>
            </m:r>
          </m:e>
          <m:sub>
            <m:r>
              <m:t>j</m:t>
            </m:r>
          </m:sub>
        </m:sSub>
        <m:r>
          <m:rPr>
            <m:sty m:val="p"/>
          </m:rPr>
          <m:t>−</m:t>
        </m:r>
        <m:sSub>
          <m:e>
            <m:r>
              <m:t>c</m:t>
            </m:r>
          </m:e>
          <m:sub>
            <m:r>
              <m:t>j</m:t>
            </m:r>
          </m:sub>
        </m:sSub>
        <m:r>
          <m:rPr>
            <m:sty m:val="p"/>
          </m:rPr>
          <m:t>)</m:t>
        </m:r>
        <m:r>
          <m:rPr>
            <m:sty m:val="p"/>
          </m:rPr>
          <m:t>=</m:t>
        </m:r>
        <m:r>
          <m:t>100</m:t>
        </m:r>
        <m:r>
          <m:rPr>
            <m:sty m:val="p"/>
          </m:rPr>
          <m:t>+</m:t>
        </m:r>
        <m:r>
          <m:t>50</m:t>
        </m:r>
        <m:r>
          <m:rPr>
            <m:sty m:val="p"/>
          </m:rPr>
          <m:t>=</m:t>
        </m:r>
        <m:r>
          <m:t>150</m:t>
        </m:r>
        <m:r>
          <m:rPr>
            <m:sty m:val="p"/>
          </m:rPr>
          <m:t>&gt;</m:t>
        </m:r>
        <m:r>
          <m:t>0</m:t>
        </m:r>
      </m:oMath>
      <w:r>
        <w:t xml:space="preserve">. Decisão sem C:</w:t>
      </w:r>
      <w:r>
        <w:t xml:space="preserve"> </w:t>
      </w:r>
      <w:r>
        <w:rPr>
          <w:b/>
          <w:bCs/>
        </w:rPr>
        <w:t xml:space="preserve">construir</w:t>
      </w:r>
      <w:r>
        <w:t xml:space="preserve">. Decisão com C: não construir. C</w:t>
      </w:r>
      <w:r>
        <w:t xml:space="preserve"> </w:t>
      </w:r>
      <w:r>
        <w:rPr>
          <w:b/>
          <w:bCs/>
        </w:rPr>
        <w:t xml:space="preserve">é pivotal</w:t>
      </w:r>
      <w:r>
        <w:t xml:space="preserve"> </w:t>
      </w:r>
      <w:r>
        <w:t xml:space="preserve">— sua presença muda a decisão de</w:t>
      </w:r>
      <w:r>
        <w:t xml:space="preserve"> </w:t>
      </w:r>
      <w:r>
        <w:t xml:space="preserve">“construir”</w:t>
      </w:r>
      <w:r>
        <w:t xml:space="preserve"> </w:t>
      </w:r>
      <w:r>
        <w:t xml:space="preserve">para</w:t>
      </w:r>
      <w:r>
        <w:t xml:space="preserve"> </w:t>
      </w:r>
      <w:r>
        <w:t xml:space="preserve">“não construir”</w:t>
      </w:r>
      <w:r>
        <w:t xml:space="preserve">.</w:t>
      </w:r>
    </w:p>
    <w:p>
      <w:pPr>
        <w:pStyle w:val="BlockText"/>
      </w:pPr>
      <w:r>
        <w:rPr>
          <w:b/>
          <w:bCs/>
        </w:rPr>
        <w:t xml:space="preserve">(c)</w:t>
      </w:r>
      <w:r>
        <w:t xml:space="preserve"> </w:t>
      </w:r>
      <w:r>
        <w:t xml:space="preserve">C é pivotal e impede um ganho líquido de 150 para os demais. Contudo, como a decisão final é</w:t>
      </w:r>
      <w:r>
        <w:t xml:space="preserve"> </w:t>
      </w:r>
      <w:r>
        <w:t xml:space="preserve">“não construir”</w:t>
      </w:r>
      <w:r>
        <w:t xml:space="preserve">, não há imposto a cobrar neste caso — o imposto pivotal só se aplica quando o agente pivotal altera a decisão</w:t>
      </w:r>
      <w:r>
        <w:t xml:space="preserve"> </w:t>
      </w:r>
      <w:r>
        <w:rPr>
          <w:i/>
          <w:iCs/>
        </w:rPr>
        <w:t xml:space="preserve">para provisão</w:t>
      </w:r>
      <w:r>
        <w:t xml:space="preserve">. Se reformularmos com valorações mais altas (</w:t>
      </w:r>
      <m:oMath>
        <m:sSub>
          <m:e>
            <m:r>
              <m:t>v</m:t>
            </m:r>
          </m:e>
          <m:sub>
            <m:r>
              <m:t>C</m:t>
            </m:r>
          </m:sub>
        </m:sSub>
        <m:r>
          <m:rPr>
            <m:sty m:val="p"/>
          </m:rPr>
          <m:t>=</m:t>
        </m:r>
        <m:r>
          <m:t>200</m:t>
        </m:r>
      </m:oMath>
      <w:r>
        <w:t xml:space="preserve">), a construção ocorreria e C pagaria um imposto pelo dano imposto aos demais.</w:t>
      </w:r>
    </w:p>
    <w:p>
      <w:r>
        <w:pict>
          <v:rect style="width:0;height:1.5pt" o:hralign="center" o:hrstd="t" o:hr="t"/>
        </w:pict>
      </w:r>
    </w:p>
    <w:p>
      <w:pPr>
        <w:pStyle w:val="FirstParagraph"/>
      </w:pPr>
      <w:r>
        <w:t xml:space="preserve">[FIGURA INTERATIVA: /micro-book/graficos/cap20/webr-vcg.html — versao interativa disponivel online]</w:t>
      </w:r>
    </w:p>
    <w:p>
      <w:pPr>
        <w:pStyle w:val="BodyText"/>
      </w:pPr>
      <w:r>
        <w:rPr>
          <w:b/>
          <w:bCs/>
        </w:rPr>
        <w:t xml:space="preserve">WebR 20.5 — Mecanismo VCG e imposto pivotal.</w:t>
      </w:r>
      <w:r>
        <w:t xml:space="preserve"> </w:t>
      </w:r>
      <w:r>
        <w:t xml:space="preserve">Insira as valorações dos participantes e o custo do bem público para ver quem é pivotal e os impostos correspondentes.</w:t>
      </w:r>
    </w:p>
    <w:p>
      <w:r>
        <w:pict>
          <v:rect style="width:0;height:1.5pt" o:hralign="center" o:hrstd="t" o:hr="t"/>
        </w:pict>
      </w:r>
    </w:p>
    <w:p>
      <w:pPr>
        <w:pStyle w:val="BlockText"/>
      </w:pPr>
      <w:r>
        <w:rPr>
          <w:b/>
          <w:bCs/>
        </w:rPr>
        <w:t xml:space="preserve">[BOX BRASIL] Box Brasil 20.3 — Desmatamento na Amazônia e precificação de carbono</w:t>
      </w:r>
    </w:p>
    <w:p>
      <w:pPr>
        <w:pStyle w:val="BlockText"/>
      </w:pPr>
      <w:r>
        <w:rPr>
          <w:b/>
          <w:bCs/>
        </w:rPr>
        <w:t xml:space="preserve">Contexto:</w:t>
      </w:r>
      <w:r>
        <w:t xml:space="preserve"> </w:t>
      </w:r>
      <w:r>
        <w:t xml:space="preserve">O desmatamento na Amazônia brasileira é um caso emblemático de</w:t>
      </w:r>
      <w:r>
        <w:t xml:space="preserve"> </w:t>
      </w:r>
      <w:r>
        <w:rPr>
          <w:b/>
          <w:bCs/>
        </w:rPr>
        <w:t xml:space="preserve">externalidade negativa de escala global</w:t>
      </w:r>
      <w:r>
        <w:t xml:space="preserve">. A remoção da floresta gera custos externos que incluem emissões de CO₂ (contribuindo para a mudança climática), perda de biodiversidade, alteração do ciclo hidrológico (inclusive os</w:t>
      </w:r>
      <w:r>
        <w:t xml:space="preserve"> </w:t>
      </w:r>
      <w:r>
        <w:t xml:space="preserve">“rios voadores”</w:t>
      </w:r>
      <w:r>
        <w:t xml:space="preserve"> </w:t>
      </w:r>
      <w:r>
        <w:t xml:space="preserve">que transportam umidade para o Centro-Sul do Brasil) e erosão do solo.</w:t>
      </w:r>
    </w:p>
    <w:p>
      <w:pPr>
        <w:pStyle w:val="BlockText"/>
      </w:pPr>
      <w:r>
        <w:rPr>
          <w:b/>
          <w:bCs/>
        </w:rPr>
        <w:t xml:space="preserve">Dimensão do problema:</w:t>
      </w:r>
      <w:r>
        <w:t xml:space="preserve"> </w:t>
      </w:r>
      <w:r>
        <w:t xml:space="preserve">Segundo dados do INPE/PRODES, o desmatamento acumulado na Amazônia Legal superou 85 milhões de hectares até 2023 (cerca de 17% da floresta original). Após queda expressiva entre 2004 e 2012 (de 27.772 km² para 4.571 km² anuais), as taxas voltaram a subir, atingindo 13.235 km² em 2021, antes de recuar para cerca de 9.001 km² em 2023 com o reforço de políticas de fiscalização.</w:t>
      </w:r>
    </w:p>
    <w:p>
      <w:pPr>
        <w:pStyle w:val="BlockText"/>
      </w:pPr>
      <w:r>
        <w:rPr>
          <w:b/>
          <w:bCs/>
        </w:rPr>
        <w:t xml:space="preserve">Análise econômica:</w:t>
      </w:r>
      <w:r>
        <w:t xml:space="preserve"> </w:t>
      </w:r>
      <w:r>
        <w:t xml:space="preserve">O desmatamento persiste porque os</w:t>
      </w:r>
      <w:r>
        <w:t xml:space="preserve"> </w:t>
      </w:r>
      <w:r>
        <w:rPr>
          <w:b/>
          <w:bCs/>
        </w:rPr>
        <w:t xml:space="preserve">benefícios privados</w:t>
      </w:r>
      <w:r>
        <w:t xml:space="preserve"> </w:t>
      </w:r>
      <w:r>
        <w:t xml:space="preserve">(expansão da pecuária, agricultura, extração madeireira) excedem os</w:t>
      </w:r>
      <w:r>
        <w:t xml:space="preserve"> </w:t>
      </w:r>
      <w:r>
        <w:rPr>
          <w:b/>
          <w:bCs/>
        </w:rPr>
        <w:t xml:space="preserve">custos privados</w:t>
      </w:r>
      <w:r>
        <w:t xml:space="preserve"> </w:t>
      </w:r>
      <w:r>
        <w:t xml:space="preserve">para os agentes locais, embora os</w:t>
      </w:r>
      <w:r>
        <w:t xml:space="preserve"> </w:t>
      </w:r>
      <w:r>
        <w:rPr>
          <w:b/>
          <w:bCs/>
        </w:rPr>
        <w:t xml:space="preserve">custos sociais</w:t>
      </w:r>
      <w:r>
        <w:t xml:space="preserve"> </w:t>
      </w:r>
      <w:r>
        <w:t xml:space="preserve">— incluindo danos climáticos globais — superem largamente os benefícios. Trata-se de uma externalidade negativa clássica.</w:t>
      </w:r>
    </w:p>
    <w:p>
      <w:pPr>
        <w:pStyle w:val="BlockText"/>
      </w:pPr>
      <w:r>
        <w:rPr>
          <w:b/>
          <w:bCs/>
        </w:rPr>
        <w:t xml:space="preserve">Instrumentos de política:</w:t>
      </w:r>
      <w:r>
        <w:t xml:space="preserve"> </w:t>
      </w:r>
      <w:r>
        <w:t xml:space="preserve">O Fundo Amazônia (subsídio pigouviano), REDD+ (mecanismo coaseano de direitos sobre carbono florestal), o Sistema Brasileiro de Comércio de Emissões — SBCE (cap-and-trade, regulamentado em 2024) e o Código Florestal (command-and-control). Este caso ilustra a aplicação integrada de todos os instrumentos discutidos no capítulo.</w:t>
      </w:r>
    </w:p>
    <w:p>
      <w:pPr>
        <w:pStyle w:val="BlockText"/>
      </w:pPr>
      <w:r>
        <w:rPr>
          <w:b/>
          <w:bCs/>
        </w:rPr>
        <w:t xml:space="preserve">[BOX MUNDO] Box Mundo 20.4 — BBC e NHK: financiamento de radiodifusão pública</w:t>
      </w:r>
    </w:p>
    <w:p>
      <w:pPr>
        <w:pStyle w:val="BlockText"/>
      </w:pPr>
      <w:r>
        <w:rPr>
          <w:b/>
          <w:bCs/>
        </w:rPr>
        <w:t xml:space="preserve">Contexto:</w:t>
      </w:r>
      <w:r>
        <w:t xml:space="preserve"> </w:t>
      </w:r>
      <w:r>
        <w:t xml:space="preserve">A radiodifusão é um bem público clássico (não-rival e não-excludente via ondas de rádio/TV). Como financiar sua provisão sem subprovisão?</w:t>
      </w:r>
    </w:p>
    <w:p>
      <w:pPr>
        <w:pStyle w:val="BlockText"/>
      </w:pPr>
      <w:r>
        <w:rPr>
          <w:b/>
          <w:bCs/>
        </w:rPr>
        <w:t xml:space="preserve">Modelos:</w:t>
      </w:r>
      <w:r>
        <w:t xml:space="preserve"> </w:t>
      </w:r>
      <w:r>
        <w:t xml:space="preserve">A BBC (Reino Unido) é financiada pela</w:t>
      </w:r>
      <w:r>
        <w:t xml:space="preserve"> </w:t>
      </w:r>
      <w:r>
        <w:rPr>
          <w:i/>
          <w:iCs/>
        </w:rPr>
        <w:t xml:space="preserve">licence fee</w:t>
      </w:r>
      <w:r>
        <w:t xml:space="preserve"> </w:t>
      </w:r>
      <w:r>
        <w:t xml:space="preserve">— uma taxa anual obrigatória de £159 (2023) para qualquer domicílio com aparelho de TV. A NHK (Japão) cobra uma taxa semelhante de ¥13.650/ano. Ambos os modelos evitam o problema do carona tornando o pagamento compulsório.</w:t>
      </w:r>
    </w:p>
    <w:p>
      <w:pPr>
        <w:pStyle w:val="BlockText"/>
      </w:pPr>
      <w:r>
        <w:rPr>
          <w:b/>
          <w:bCs/>
        </w:rPr>
        <w:t xml:space="preserve">Alternativas:</w:t>
      </w:r>
      <w:r>
        <w:t xml:space="preserve"> </w:t>
      </w:r>
      <w:r>
        <w:t xml:space="preserve">Nos EUA, a PBS é financiada por uma combinação de doações voluntárias, subsídio federal e patrocínio corporativo — resultando em orçamento muito menor per capita que BBC ou NHK. O modelo americano ilustra a subprovisão prevista pela teoria quando o financiamento é voluntário.</w:t>
      </w:r>
    </w:p>
    <w:p>
      <w:pPr>
        <w:pStyle w:val="BlockText"/>
      </w:pPr>
      <w:r>
        <w:rPr>
          <w:b/>
          <w:bCs/>
        </w:rPr>
        <w:t xml:space="preserve">Análise:</w:t>
      </w:r>
      <w:r>
        <w:t xml:space="preserve"> </w:t>
      </w:r>
      <w:r>
        <w:t xml:space="preserve">A taxa compulsória é economicamente equivalente a um imposto de Lindahl uniforme — não personalizado (todos pagam o mesmo), mas que garante provisão. A discussão sobre o nível adequado da taxa e a abrangência do serviço público é essencialmente um debate sobre a condição de Samuelson na prática.</w:t>
      </w:r>
    </w:p>
    <w:bookmarkEnd w:id="1267"/>
    <w:bookmarkEnd w:id="1268"/>
    <w:bookmarkEnd w:id="1269"/>
    <w:bookmarkStart w:id="1278" w:name="exercícios-e-anpec-capítulo-20"/>
    <w:p>
      <w:pPr>
        <w:pStyle w:val="Heading2"/>
      </w:pPr>
      <w:r>
        <w:t xml:space="preserve">Exercícios e ANPEC — Capítulo 20</w:t>
      </w:r>
    </w:p>
    <w:p>
      <w:pPr>
        <w:pStyle w:val="BlockText"/>
      </w:pPr>
      <w:r>
        <w:rPr>
          <w:b/>
          <w:bCs/>
        </w:rPr>
        <w:t xml:space="preserve">[DICA] Dados para exercicios empiricos</w:t>
      </w:r>
    </w:p>
    <w:p>
      <w:pPr>
        <w:pStyle w:val="Compact"/>
        <w:numPr>
          <w:ilvl w:val="0"/>
          <w:numId w:val="2116"/>
        </w:numPr>
      </w:pPr>
      <w:r>
        <w:rPr>
          <w:b/>
          <w:bCs/>
        </w:rPr>
        <w:t xml:space="preserve">SEEG (emissoes de GEE):</w:t>
      </w:r>
      <w:r>
        <w:t xml:space="preserve"> </w:t>
      </w:r>
      <w:hyperlink r:id="rId1270">
        <w:r>
          <w:rPr>
            <w:rStyle w:val="Hyperlink"/>
          </w:rPr>
          <w:t xml:space="preserve">seeg.eco.br</w:t>
        </w:r>
      </w:hyperlink>
      <w:r>
        <w:t xml:space="preserve"> </w:t>
      </w:r>
      <w:r>
        <w:t xml:space="preserve">— Sistema de Estimativas de Emissoes de Gases de Efeito Estufa do Observatorio do Clima. Dados por setor e estado para estimar custos sociais de externalidades.</w:t>
      </w:r>
    </w:p>
    <w:p>
      <w:pPr>
        <w:pStyle w:val="Compact"/>
        <w:numPr>
          <w:ilvl w:val="0"/>
          <w:numId w:val="2116"/>
        </w:numPr>
      </w:pPr>
      <w:r>
        <w:rPr>
          <w:b/>
          <w:bCs/>
        </w:rPr>
        <w:t xml:space="preserve">INPE (desmatamento):</w:t>
      </w:r>
      <w:r>
        <w:t xml:space="preserve"> </w:t>
      </w:r>
      <w:hyperlink r:id="rId1271">
        <w:r>
          <w:rPr>
            <w:rStyle w:val="Hyperlink"/>
          </w:rPr>
          <w:t xml:space="preserve">terrabrasilis.dpi.inpe.br</w:t>
        </w:r>
      </w:hyperlink>
      <w:r>
        <w:t xml:space="preserve"> </w:t>
      </w:r>
      <w:r>
        <w:t xml:space="preserve">— Dados PRODES e DETER para analisar a tragedia dos comuns na Amazonia.</w:t>
      </w:r>
    </w:p>
    <w:p>
      <w:pPr>
        <w:pStyle w:val="Compact"/>
        <w:numPr>
          <w:ilvl w:val="0"/>
          <w:numId w:val="2116"/>
        </w:numPr>
      </w:pPr>
      <w:r>
        <w:rPr>
          <w:b/>
          <w:bCs/>
        </w:rPr>
        <w:t xml:space="preserve">ANA (recursos hidricos):</w:t>
      </w:r>
      <w:r>
        <w:t xml:space="preserve"> </w:t>
      </w:r>
      <w:hyperlink r:id="rId1272">
        <w:r>
          <w:rPr>
            <w:rStyle w:val="Hyperlink"/>
          </w:rPr>
          <w:t xml:space="preserve">snirh.gov.br</w:t>
        </w:r>
      </w:hyperlink>
      <w:r>
        <w:t xml:space="preserve"> </w:t>
      </w:r>
      <w:r>
        <w:t xml:space="preserve">— Dados sobre outorgas e cobranca pelo uso da agua — precificacao de externalidade em acao.</w:t>
      </w:r>
    </w:p>
    <w:p>
      <w:pPr>
        <w:pStyle w:val="Compact"/>
        <w:numPr>
          <w:ilvl w:val="0"/>
          <w:numId w:val="2116"/>
        </w:numPr>
      </w:pPr>
      <w:r>
        <w:rPr>
          <w:b/>
          <w:bCs/>
        </w:rPr>
        <w:t xml:space="preserve">Notebook:</w:t>
      </w:r>
      <w:r>
        <w:t xml:space="preserve"> </w:t>
      </w:r>
      <w:r>
        <w:t xml:space="preserve">N17 — Modelo DICE simplificado (trajetorias otimas de emissao).</w:t>
      </w:r>
    </w:p>
    <w:bookmarkStart w:id="1273" w:name="revisão-rápida-20"/>
    <w:p>
      <w:pPr>
        <w:pStyle w:val="Heading3"/>
      </w:pPr>
      <w:r>
        <w:t xml:space="preserve">🧠 Revisão Rápida</w:t>
      </w:r>
    </w:p>
    <w:p>
      <w:pPr>
        <w:pStyle w:val="BlockText"/>
      </w:pPr>
      <w:r>
        <w:rPr>
          <w:b/>
          <w:bCs/>
        </w:rPr>
        <w:t xml:space="preserve">[QUESTAO] 1. O que distingue uma externalidade tecnológica de uma externalidade pecuniária?</w:t>
      </w:r>
    </w:p>
    <w:p>
      <w:pPr>
        <w:pStyle w:val="BlockText"/>
      </w:pPr>
      <w:r>
        <w:t xml:space="preserve">Uma externalidade</w:t>
      </w:r>
      <w:r>
        <w:t xml:space="preserve"> </w:t>
      </w:r>
      <w:r>
        <w:rPr>
          <w:b/>
          <w:bCs/>
        </w:rPr>
        <w:t xml:space="preserve">tecnológica</w:t>
      </w:r>
      <w:r>
        <w:t xml:space="preserve"> </w:t>
      </w:r>
      <w:r>
        <w:t xml:space="preserve">(real) afeta diretamente a função de produção ou utilidade de outro agente, sem passar pelo sistema de preços (ex.: poluição). Uma externalidade</w:t>
      </w:r>
      <w:r>
        <w:t xml:space="preserve"> </w:t>
      </w:r>
      <w:r>
        <w:rPr>
          <w:b/>
          <w:bCs/>
        </w:rPr>
        <w:t xml:space="preserve">pecuniária</w:t>
      </w:r>
      <w:r>
        <w:t xml:space="preserve"> </w:t>
      </w:r>
      <w:r>
        <w:t xml:space="preserve">opera</w:t>
      </w:r>
      <w:r>
        <w:t xml:space="preserve"> </w:t>
      </w:r>
      <w:r>
        <w:rPr>
          <w:i/>
          <w:iCs/>
        </w:rPr>
        <w:t xml:space="preserve">via preços</w:t>
      </w:r>
      <w:r>
        <w:t xml:space="preserve"> </w:t>
      </w:r>
      <w:r>
        <w:t xml:space="preserve">(ex.: uma firma grande que reduz o preço de mercado e prejudica concorrentes). Apenas externalidades tecnológicas geram ineficiência alocativa e constituem falhas de mercado.</w:t>
      </w:r>
    </w:p>
    <w:p>
      <w:pPr>
        <w:pStyle w:val="BlockText"/>
      </w:pPr>
      <w:r>
        <w:rPr>
          <w:b/>
          <w:bCs/>
        </w:rPr>
        <w:t xml:space="preserve">[QUESTAO] 2. Por que o imposto pigouviano restaura a eficiência?</w:t>
      </w:r>
    </w:p>
    <w:p>
      <w:pPr>
        <w:pStyle w:val="BlockText"/>
      </w:pPr>
      <w:r>
        <w:t xml:space="preserve">O imposto pigouviano</w:t>
      </w:r>
      <w:r>
        <w:t xml:space="preserve"> </w:t>
      </w:r>
      <m:oMath>
        <m:sSup>
          <m:e>
            <m:r>
              <m:t>t</m:t>
            </m:r>
          </m:e>
          <m:sup>
            <m:r>
              <m:rPr>
                <m:sty m:val="p"/>
              </m:rPr>
              <m:t>*</m:t>
            </m:r>
          </m:sup>
        </m:sSup>
        <m:r>
          <m:rPr>
            <m:sty m:val="p"/>
          </m:rPr>
          <m:t>=</m:t>
        </m:r>
        <m:sSup>
          <m:e>
            <m:r>
              <m:t>E</m:t>
            </m:r>
          </m:e>
          <m:sup>
            <m:r>
              <m:rPr>
                <m:sty m:val="p"/>
              </m:rPr>
              <m:t>′</m:t>
            </m:r>
          </m:sup>
        </m:sSup>
        <m:r>
          <m:rPr>
            <m:sty m:val="p"/>
          </m:rPr>
          <m:t>(</m:t>
        </m:r>
        <m:sSup>
          <m:e>
            <m:r>
              <m:t>q</m:t>
            </m:r>
          </m:e>
          <m:sup>
            <m:r>
              <m:t>s</m:t>
            </m:r>
            <m:r>
              <m:t>o</m:t>
            </m:r>
            <m:r>
              <m:t>c</m:t>
            </m:r>
          </m:sup>
        </m:sSup>
        <m:r>
          <m:rPr>
            <m:sty m:val="p"/>
          </m:rPr>
          <m:t>)</m:t>
        </m:r>
      </m:oMath>
      <w:r>
        <w:t xml:space="preserve"> </w:t>
      </w:r>
      <w:r>
        <w:t xml:space="preserve">faz a firma pagar exatamente o custo marginal externo que impõe à sociedade. Ao incluir esse custo no cálculo de maximização de lucro, a firma</w:t>
      </w:r>
      <w:r>
        <w:t xml:space="preserve"> </w:t>
      </w:r>
      <w:r>
        <w:t xml:space="preserve">“internaliza”</w:t>
      </w:r>
      <w:r>
        <w:t xml:space="preserve"> </w:t>
      </w:r>
      <w:r>
        <w:t xml:space="preserve">a externalidade e escolhe o nível de produção socialmente ótimo (onde CMg social = preço).</w:t>
      </w:r>
    </w:p>
    <w:p>
      <w:pPr>
        <w:pStyle w:val="BlockText"/>
      </w:pPr>
      <w:r>
        <w:rPr>
          <w:b/>
          <w:bCs/>
        </w:rPr>
        <w:t xml:space="preserve">[QUESTAO] 3. Qual é a diferença fundamental entre a condição de eficiência para bens privados e bens públicos?</w:t>
      </w:r>
    </w:p>
    <w:p>
      <w:pPr>
        <w:pStyle w:val="BlockText"/>
      </w:pPr>
      <w:r>
        <w:t xml:space="preserve">Para bens privados:</w:t>
      </w:r>
      <w:r>
        <w:t xml:space="preserve"> </w:t>
      </w:r>
      <m:oMath>
        <m:r>
          <m:t>T</m:t>
        </m:r>
        <m:r>
          <m:t>M</m:t>
        </m:r>
        <m:sSub>
          <m:e>
            <m:r>
              <m:t>S</m:t>
            </m:r>
          </m:e>
          <m:sub>
            <m:r>
              <m:t>i</m:t>
            </m:r>
          </m:sub>
        </m:sSub>
        <m:r>
          <m:rPr>
            <m:sty m:val="p"/>
          </m:rPr>
          <m:t>=</m:t>
        </m:r>
        <m:r>
          <m:t>T</m:t>
        </m:r>
        <m:r>
          <m:t>M</m:t>
        </m:r>
        <m:r>
          <m:t>T</m:t>
        </m:r>
      </m:oMath>
      <w:r>
        <w:t xml:space="preserve"> </w:t>
      </w:r>
      <w:r>
        <w:t xml:space="preserve">para cada indivíduo (igualdade individual). Para bens públicos:</w:t>
      </w:r>
      <w:r>
        <w:t xml:space="preserve"> </w:t>
      </w:r>
      <m:oMath>
        <m:nary>
          <m:naryPr>
            <m:chr m:val="∑"/>
            <m:limLoc m:val="undOvr"/>
            <m:subHide m:val="off"/>
            <m:supHide m:val="on"/>
          </m:naryPr>
          <m:sub>
            <m:r>
              <m:t>i</m:t>
            </m:r>
          </m:sub>
          <m:sup>
            <m:r>
              <m:t>​</m:t>
            </m:r>
          </m:sup>
          <m:e>
            <m:r>
              <m:t>T</m:t>
            </m:r>
          </m:e>
        </m:nary>
        <m:r>
          <m:t>M</m:t>
        </m:r>
        <m:sSub>
          <m:e>
            <m:r>
              <m:t>S</m:t>
            </m:r>
          </m:e>
          <m:sub>
            <m:r>
              <m:t>i</m:t>
            </m:r>
          </m:sub>
        </m:sSub>
        <m:r>
          <m:rPr>
            <m:sty m:val="p"/>
          </m:rPr>
          <m:t>=</m:t>
        </m:r>
        <m:r>
          <m:t>T</m:t>
        </m:r>
        <m:r>
          <m:t>M</m:t>
        </m:r>
        <m:r>
          <m:t>T</m:t>
        </m:r>
      </m:oMath>
      <w:r>
        <w:t xml:space="preserve"> </w:t>
      </w:r>
      <w:r>
        <w:t xml:space="preserve">(soma das TMS). A diferença reflete a não-rivalidade: todos consomem a mesma quantidade do bem público, então o benefício social é a</w:t>
      </w:r>
      <w:r>
        <w:t xml:space="preserve"> </w:t>
      </w:r>
      <w:r>
        <w:rPr>
          <w:i/>
          <w:iCs/>
        </w:rPr>
        <w:t xml:space="preserve">soma</w:t>
      </w:r>
      <w:r>
        <w:t xml:space="preserve"> </w:t>
      </w:r>
      <w:r>
        <w:t xml:space="preserve">dos benefícios individuais.</w:t>
      </w:r>
    </w:p>
    <w:p>
      <w:pPr>
        <w:pStyle w:val="BlockText"/>
      </w:pPr>
      <w:r>
        <w:rPr>
          <w:b/>
          <w:bCs/>
        </w:rPr>
        <w:t xml:space="preserve">[QUESTAO] 4. Por que o Teorema de Coase tem aplicação prática limitada?</w:t>
      </w:r>
    </w:p>
    <w:p>
      <w:pPr>
        <w:pStyle w:val="BlockText"/>
      </w:pPr>
      <w:r>
        <w:t xml:space="preserve">Porque requer: (i) custos de transação nulos, (ii) direitos de propriedade bem definidos, (iii) poucas partes envolvidas e (iv) informação simétrica. Na prática, externalidades difusas (como poluição do ar) envolvem milhões de partes, custos de negociação proibitivos e assimetria de informação — tornando a solução coaseana inviável.</w:t>
      </w:r>
    </w:p>
    <w:p>
      <w:pPr>
        <w:pStyle w:val="BlockText"/>
      </w:pPr>
      <w:r>
        <w:rPr>
          <w:b/>
          <w:bCs/>
        </w:rPr>
        <w:t xml:space="preserve">[QUESTAO] 5. O que garante que o mecanismo VCG induz revelação verdadeira?</w:t>
      </w:r>
    </w:p>
    <w:p>
      <w:pPr>
        <w:pStyle w:val="BlockText"/>
      </w:pPr>
      <w:r>
        <w:t xml:space="preserve">No VCG, cada agente paga um imposto igual ao custo externo que sua presença impõe sobre os demais. Se subreporta sua valoração, pode impedir a provisão de um bem que lhe seria benéfico. Se sobrereporta, pode tornar-se pivotal quando não deveria, pagando mais do que vale. Em ambos os casos, desviar da verdade não é lucrativo — a verdade é estratégia dominante.</w:t>
      </w:r>
    </w:p>
    <w:p>
      <w:r>
        <w:pict>
          <v:rect style="width:0;height:1.5pt" o:hralign="center" o:hrstd="t" o:hr="t"/>
        </w:pict>
      </w:r>
    </w:p>
    <w:bookmarkEnd w:id="1273"/>
    <w:bookmarkStart w:id="1274" w:name="resumo-do-capítulo-21"/>
    <w:p>
      <w:pPr>
        <w:pStyle w:val="Heading3"/>
      </w:pPr>
      <w:r>
        <w:t xml:space="preserve">📋 Resumo do Capítulo</w:t>
      </w:r>
    </w:p>
    <w:p>
      <w:pPr>
        <w:pStyle w:val="Compact"/>
        <w:numPr>
          <w:ilvl w:val="0"/>
          <w:numId w:val="2117"/>
        </w:numPr>
      </w:pPr>
      <w:r>
        <w:rPr>
          <w:b/>
          <w:bCs/>
        </w:rPr>
        <w:t xml:space="preserve">Externalidades</w:t>
      </w:r>
      <w:r>
        <w:t xml:space="preserve"> </w:t>
      </w:r>
      <w:r>
        <w:t xml:space="preserve">surgem quando as ações de um agente afetam diretamente o bem-estar de outros fora do sistema de preços, gerando divergência entre custos/benefícios privados e sociais.</w:t>
      </w:r>
    </w:p>
    <w:p>
      <w:pPr>
        <w:pStyle w:val="Compact"/>
        <w:numPr>
          <w:ilvl w:val="0"/>
          <w:numId w:val="2117"/>
        </w:numPr>
      </w:pPr>
      <w:r>
        <w:t xml:space="preserve">Externalidades negativas levam a</w:t>
      </w:r>
      <w:r>
        <w:t xml:space="preserve"> </w:t>
      </w:r>
      <w:r>
        <w:rPr>
          <w:b/>
          <w:bCs/>
        </w:rPr>
        <w:t xml:space="preserve">sobreprodução</w:t>
      </w:r>
      <w:r>
        <w:t xml:space="preserve">; positivas, a</w:t>
      </w:r>
      <w:r>
        <w:t xml:space="preserve"> </w:t>
      </w:r>
      <w:r>
        <w:rPr>
          <w:b/>
          <w:bCs/>
        </w:rPr>
        <w:t xml:space="preserve">subprodução</w:t>
      </w:r>
      <w:r>
        <w:t xml:space="preserve"> </w:t>
      </w:r>
      <w:r>
        <w:t xml:space="preserve">em relação ao ótimo social.</w:t>
      </w:r>
    </w:p>
    <w:p>
      <w:pPr>
        <w:pStyle w:val="Compact"/>
        <w:numPr>
          <w:ilvl w:val="0"/>
          <w:numId w:val="2117"/>
        </w:numPr>
      </w:pPr>
      <w:r>
        <w:t xml:space="preserve">As principais soluções são:</w:t>
      </w:r>
      <w:r>
        <w:t xml:space="preserve"> </w:t>
      </w:r>
      <w:r>
        <w:rPr>
          <w:b/>
          <w:bCs/>
        </w:rPr>
        <w:t xml:space="preserve">imposto/subsídio pigouviano</w:t>
      </w:r>
      <w:r>
        <w:t xml:space="preserve"> </w:t>
      </w:r>
      <w:r>
        <w:t xml:space="preserve">(internaliza o custo externo via preço),</w:t>
      </w:r>
      <w:r>
        <w:t xml:space="preserve"> </w:t>
      </w:r>
      <w:r>
        <w:rPr>
          <w:b/>
          <w:bCs/>
        </w:rPr>
        <w:t xml:space="preserve">Teorema de Coase</w:t>
      </w:r>
      <w:r>
        <w:t xml:space="preserve"> </w:t>
      </w:r>
      <w:r>
        <w:t xml:space="preserve">(negociação privada sob custos de transação nulos),</w:t>
      </w:r>
      <w:r>
        <w:t xml:space="preserve"> </w:t>
      </w:r>
      <w:r>
        <w:rPr>
          <w:b/>
          <w:bCs/>
        </w:rPr>
        <w:t xml:space="preserve">regulação direta</w:t>
      </w:r>
      <w:r>
        <w:t xml:space="preserve"> </w:t>
      </w:r>
      <w:r>
        <w:t xml:space="preserve">(limites quantitativos) e</w:t>
      </w:r>
      <w:r>
        <w:t xml:space="preserve"> </w:t>
      </w:r>
      <w:r>
        <w:rPr>
          <w:b/>
          <w:bCs/>
        </w:rPr>
        <w:t xml:space="preserve">cap-and-trade</w:t>
      </w:r>
      <w:r>
        <w:t xml:space="preserve"> </w:t>
      </w:r>
      <w:r>
        <w:t xml:space="preserve">(mercado de permissões).</w:t>
      </w:r>
    </w:p>
    <w:p>
      <w:pPr>
        <w:pStyle w:val="Compact"/>
        <w:numPr>
          <w:ilvl w:val="0"/>
          <w:numId w:val="2117"/>
        </w:numPr>
      </w:pPr>
      <w:r>
        <w:rPr>
          <w:b/>
          <w:bCs/>
        </w:rPr>
        <w:t xml:space="preserve">Bens públicos</w:t>
      </w:r>
      <w:r>
        <w:t xml:space="preserve"> </w:t>
      </w:r>
      <w:r>
        <w:t xml:space="preserve">(não-rivais e não-excludentes) são subprovidos pelo mercado devido ao</w:t>
      </w:r>
      <w:r>
        <w:t xml:space="preserve"> </w:t>
      </w:r>
      <w:r>
        <w:rPr>
          <w:b/>
          <w:bCs/>
        </w:rPr>
        <w:t xml:space="preserve">problema do carona</w:t>
      </w:r>
      <w:r>
        <w:t xml:space="preserve">. A condição de Samuelson (</w:t>
      </w:r>
      <m:oMath>
        <m:r>
          <m:rPr>
            <m:sty m:val="p"/>
          </m:rPr>
          <m:t>∑</m:t>
        </m:r>
        <m:r>
          <m:t>T</m:t>
        </m:r>
        <m:r>
          <m:t>M</m:t>
        </m:r>
        <m:r>
          <m:t>S</m:t>
        </m:r>
        <m:r>
          <m:rPr>
            <m:sty m:val="p"/>
          </m:rPr>
          <m:t>=</m:t>
        </m:r>
        <m:r>
          <m:t>T</m:t>
        </m:r>
        <m:r>
          <m:t>M</m:t>
        </m:r>
        <m:r>
          <m:t>T</m:t>
        </m:r>
      </m:oMath>
      <w:r>
        <w:t xml:space="preserve">) difere fundamentalmente da eficiência para bens privados.</w:t>
      </w:r>
    </w:p>
    <w:p>
      <w:pPr>
        <w:pStyle w:val="Compact"/>
        <w:numPr>
          <w:ilvl w:val="0"/>
          <w:numId w:val="2117"/>
        </w:numPr>
      </w:pPr>
      <w:r>
        <w:rPr>
          <w:b/>
          <w:bCs/>
        </w:rPr>
        <w:t xml:space="preserve">Preços de Lindahl</w:t>
      </w:r>
      <w:r>
        <w:t xml:space="preserve"> </w:t>
      </w:r>
      <w:r>
        <w:t xml:space="preserve">resolvem o problema em teoria, mas requerem informação que os agentes têm incentivo para não revelar. O</w:t>
      </w:r>
      <w:r>
        <w:t xml:space="preserve"> </w:t>
      </w:r>
      <w:r>
        <w:rPr>
          <w:b/>
          <w:bCs/>
        </w:rPr>
        <w:t xml:space="preserve">mecanismo VCG</w:t>
      </w:r>
      <w:r>
        <w:t xml:space="preserve"> </w:t>
      </w:r>
      <w:r>
        <w:t xml:space="preserve">torna a revelação verdadeira uma estratégia dominante.</w:t>
      </w:r>
    </w:p>
    <w:p>
      <w:pPr>
        <w:pStyle w:val="Compact"/>
        <w:numPr>
          <w:ilvl w:val="0"/>
          <w:numId w:val="2117"/>
        </w:numPr>
      </w:pPr>
      <w:r>
        <w:t xml:space="preserve">O</w:t>
      </w:r>
      <w:r>
        <w:t xml:space="preserve"> </w:t>
      </w:r>
      <w:r>
        <w:rPr>
          <w:b/>
          <w:bCs/>
        </w:rPr>
        <w:t xml:space="preserve">Teorema da Impossibilidade de Arrow</w:t>
      </w:r>
      <w:r>
        <w:t xml:space="preserve"> </w:t>
      </w:r>
      <w:r>
        <w:t xml:space="preserve">mostra que nenhum sistema de votação satisfaz simultaneamente todos os critérios desejáveis de agregação de preferências.</w:t>
      </w:r>
    </w:p>
    <w:p>
      <w:r>
        <w:pict>
          <v:rect style="width:0;height:1.5pt" o:hralign="center" o:hrstd="t" o:hr="t"/>
        </w:pict>
      </w:r>
    </w:p>
    <w:bookmarkEnd w:id="1274"/>
    <w:bookmarkStart w:id="1275" w:name="conceitos-chave-20"/>
    <w:p>
      <w:pPr>
        <w:pStyle w:val="Heading3"/>
      </w:pPr>
      <w:r>
        <w:t xml:space="preserve">Conceitos-Chave</w:t>
      </w:r>
    </w:p>
    <w:p>
      <w:pPr>
        <w:pStyle w:val="FirstParagraph"/>
      </w:pPr>
      <w:r>
        <w:rPr>
          <w:b/>
          <w:bCs/>
        </w:rPr>
        <w:t xml:space="preserve">Tabela 20.3 — Conceitos-chave do Capítulo 20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Conceito</w:t>
            </w:r>
          </w:p>
        </w:tc>
        <w:tc>
          <w:tcPr/>
          <w:p>
            <w:pPr>
              <w:pStyle w:val="Compact"/>
            </w:pPr>
            <w:r>
              <w:t xml:space="preserve">Definição Resumida</w:t>
            </w:r>
          </w:p>
        </w:tc>
      </w:tr>
      <w:tr>
        <w:tc>
          <w:tcPr/>
          <w:p>
            <w:pPr>
              <w:pStyle w:val="Compact"/>
            </w:pPr>
            <w:r>
              <w:rPr>
                <w:b/>
                <w:bCs/>
              </w:rPr>
              <w:t xml:space="preserve">Externalidade</w:t>
            </w:r>
          </w:p>
        </w:tc>
        <w:tc>
          <w:tcPr/>
          <w:p>
            <w:pPr>
              <w:pStyle w:val="Compact"/>
            </w:pPr>
            <w:r>
              <w:t xml:space="preserve">Efeito da ação de um agente sobre outro, fora do sistema de preços</w:t>
            </w:r>
          </w:p>
        </w:tc>
      </w:tr>
      <w:tr>
        <w:tc>
          <w:tcPr/>
          <w:p>
            <w:pPr>
              <w:pStyle w:val="Compact"/>
            </w:pPr>
            <w:r>
              <w:rPr>
                <w:b/>
                <w:bCs/>
              </w:rPr>
              <w:t xml:space="preserve">Imposto pigouviano</w:t>
            </w:r>
          </w:p>
        </w:tc>
        <w:tc>
          <w:tcPr/>
          <w:p>
            <w:pPr>
              <w:pStyle w:val="Compact"/>
            </w:pPr>
            <w:r>
              <w:t xml:space="preserve">Imposto unitário = custo marginal externo no ótimo social</w:t>
            </w:r>
          </w:p>
        </w:tc>
      </w:tr>
      <w:tr>
        <w:tc>
          <w:tcPr/>
          <w:p>
            <w:pPr>
              <w:pStyle w:val="Compact"/>
            </w:pPr>
            <w:r>
              <w:rPr>
                <w:b/>
                <w:bCs/>
              </w:rPr>
              <w:t xml:space="preserve">Teorema de Coase</w:t>
            </w:r>
          </w:p>
        </w:tc>
        <w:tc>
          <w:tcPr/>
          <w:p>
            <w:pPr>
              <w:pStyle w:val="Compact"/>
            </w:pPr>
            <w:r>
              <w:t xml:space="preserve">Barganha privada alcança eficiência se custos de transação = 0 e direitos de propriedade definidos</w:t>
            </w:r>
          </w:p>
        </w:tc>
      </w:tr>
      <w:tr>
        <w:tc>
          <w:tcPr/>
          <w:p>
            <w:pPr>
              <w:pStyle w:val="Compact"/>
            </w:pPr>
            <w:r>
              <w:rPr>
                <w:b/>
                <w:bCs/>
              </w:rPr>
              <w:t xml:space="preserve">Cap-and-trade</w:t>
            </w:r>
          </w:p>
        </w:tc>
        <w:tc>
          <w:tcPr/>
          <w:p>
            <w:pPr>
              <w:pStyle w:val="Compact"/>
            </w:pPr>
            <w:r>
              <w:t xml:space="preserve">Teto de emissões + permissões negociáveis → custo-efetividade</w:t>
            </w:r>
          </w:p>
        </w:tc>
      </w:tr>
      <w:tr>
        <w:tc>
          <w:tcPr/>
          <w:p>
            <w:pPr>
              <w:pStyle w:val="Compact"/>
            </w:pPr>
            <w:r>
              <w:rPr>
                <w:b/>
                <w:bCs/>
              </w:rPr>
              <w:t xml:space="preserve">Bem público</w:t>
            </w:r>
          </w:p>
        </w:tc>
        <w:tc>
          <w:tcPr/>
          <w:p>
            <w:pPr>
              <w:pStyle w:val="Compact"/>
            </w:pPr>
            <w:r>
              <w:t xml:space="preserve">Bem não-rival e não-excludente</w:t>
            </w:r>
          </w:p>
        </w:tc>
      </w:tr>
      <w:tr>
        <w:tc>
          <w:tcPr/>
          <w:p>
            <w:pPr>
              <w:pStyle w:val="Compact"/>
            </w:pPr>
            <w:r>
              <w:rPr>
                <w:b/>
                <w:bCs/>
              </w:rPr>
              <w:t xml:space="preserve">Condição de Samuelson</w:t>
            </w:r>
          </w:p>
        </w:tc>
        <w:tc>
          <w:tcPr/>
          <w:p>
            <w:pPr>
              <w:pStyle w:val="Compact"/>
            </w:pPr>
            <m:oMath>
              <m:r>
                <m:rPr>
                  <m:sty m:val="p"/>
                </m:rPr>
                <m:t>∑</m:t>
              </m:r>
              <m:r>
                <m:t>T</m:t>
              </m:r>
              <m:r>
                <m:t>M</m:t>
              </m:r>
              <m:sSub>
                <m:e>
                  <m:r>
                    <m:t>S</m:t>
                  </m:r>
                </m:e>
                <m:sub>
                  <m:r>
                    <m:t>i</m:t>
                  </m:r>
                </m:sub>
              </m:sSub>
              <m:r>
                <m:rPr>
                  <m:sty m:val="p"/>
                </m:rPr>
                <m:t>=</m:t>
              </m:r>
              <m:r>
                <m:t>T</m:t>
              </m:r>
              <m:r>
                <m:t>M</m:t>
              </m:r>
              <m:r>
                <m:t>T</m:t>
              </m:r>
            </m:oMath>
            <w:r>
              <w:t xml:space="preserve"> </w:t>
            </w:r>
            <w:r>
              <w:t xml:space="preserve">para provisão eficiente de bem público</w:t>
            </w:r>
          </w:p>
        </w:tc>
      </w:tr>
      <w:tr>
        <w:tc>
          <w:tcPr/>
          <w:p>
            <w:pPr>
              <w:pStyle w:val="Compact"/>
            </w:pPr>
            <w:r>
              <w:rPr>
                <w:b/>
                <w:bCs/>
              </w:rPr>
              <w:t xml:space="preserve">Preço de Lindahl</w:t>
            </w:r>
          </w:p>
        </w:tc>
        <w:tc>
          <w:tcPr/>
          <w:p>
            <w:pPr>
              <w:pStyle w:val="Compact"/>
            </w:pPr>
            <w:r>
              <w:t xml:space="preserve">Preço personalizado = TMS individual; soma = CMg</w:t>
            </w:r>
          </w:p>
        </w:tc>
      </w:tr>
      <w:tr>
        <w:tc>
          <w:tcPr/>
          <w:p>
            <w:pPr>
              <w:pStyle w:val="Compact"/>
            </w:pPr>
            <w:r>
              <w:rPr>
                <w:b/>
                <w:bCs/>
              </w:rPr>
              <w:t xml:space="preserve">Problema do carona</w:t>
            </w:r>
          </w:p>
        </w:tc>
        <w:tc>
          <w:tcPr/>
          <w:p>
            <w:pPr>
              <w:pStyle w:val="Compact"/>
            </w:pPr>
            <w:r>
              <w:t xml:space="preserve">Incentivo a subinvestir na provisão de bens públicos</w:t>
            </w:r>
          </w:p>
        </w:tc>
      </w:tr>
      <w:tr>
        <w:tc>
          <w:tcPr/>
          <w:p>
            <w:pPr>
              <w:pStyle w:val="Compact"/>
            </w:pPr>
            <w:r>
              <w:rPr>
                <w:b/>
                <w:bCs/>
              </w:rPr>
              <w:t xml:space="preserve">Teorema de Arrow</w:t>
            </w:r>
          </w:p>
        </w:tc>
        <w:tc>
          <w:tcPr/>
          <w:p>
            <w:pPr>
              <w:pStyle w:val="Compact"/>
            </w:pPr>
            <w:r>
              <w:t xml:space="preserve">Impossibilidade de regra de agregação perfeita com ≥3 alternativas</w:t>
            </w:r>
          </w:p>
        </w:tc>
      </w:tr>
      <w:tr>
        <w:tc>
          <w:tcPr/>
          <w:p>
            <w:pPr>
              <w:pStyle w:val="Compact"/>
            </w:pPr>
            <w:r>
              <w:rPr>
                <w:b/>
                <w:bCs/>
              </w:rPr>
              <w:t xml:space="preserve">Mecanismo VCG</w:t>
            </w:r>
          </w:p>
        </w:tc>
        <w:tc>
          <w:tcPr/>
          <w:p>
            <w:pPr>
              <w:pStyle w:val="Compact"/>
            </w:pPr>
            <w:r>
              <w:t xml:space="preserve">Imposto pivotal torna revelação verdadeira estratégia dominante</w:t>
            </w:r>
          </w:p>
        </w:tc>
      </w:tr>
    </w:tbl>
    <w:p>
      <w:r>
        <w:pict>
          <v:rect style="width:0;height:1.5pt" o:hralign="center" o:hrstd="t" o:hr="t"/>
        </w:pict>
      </w:r>
    </w:p>
    <w:bookmarkEnd w:id="1275"/>
    <w:bookmarkStart w:id="1276" w:name="exercícios-25"/>
    <w:p>
      <w:pPr>
        <w:pStyle w:val="Heading3"/>
      </w:pPr>
      <w:r>
        <w:t xml:space="preserve">Exercícios</w:t>
      </w:r>
    </w:p>
    <w:p>
      <w:pPr>
        <w:pStyle w:val="FirstParagraph"/>
      </w:pPr>
      <w:r>
        <w:rPr>
          <w:b/>
          <w:bCs/>
        </w:rPr>
        <w:t xml:space="preserve">Exercício 20.1.</w:t>
      </w:r>
      <w:r>
        <w:t xml:space="preserve"> </w:t>
      </w:r>
      <w:r>
        <w:t xml:space="preserve">{#ex-20-1} Uma fábrica de celulose produz</w:t>
      </w:r>
      <w:r>
        <w:t xml:space="preserve"> </w:t>
      </w:r>
      <m:oMath>
        <m:r>
          <m:t>q</m:t>
        </m:r>
      </m:oMath>
      <w:r>
        <w:t xml:space="preserve"> </w:t>
      </w:r>
      <w:r>
        <w:t xml:space="preserve">toneladas com custo total</w:t>
      </w:r>
      <w:r>
        <w:t xml:space="preserve"> </w:t>
      </w:r>
      <m:oMath>
        <m:r>
          <m:t>C</m:t>
        </m:r>
        <m:r>
          <m:rPr>
            <m:sty m:val="p"/>
          </m:rPr>
          <m:t>(</m:t>
        </m:r>
        <m:r>
          <m:t>q</m:t>
        </m:r>
        <m:r>
          <m:rPr>
            <m:sty m:val="p"/>
          </m:rPr>
          <m:t>)</m:t>
        </m:r>
        <m:r>
          <m:rPr>
            <m:sty m:val="p"/>
          </m:rPr>
          <m:t>=</m:t>
        </m:r>
        <m:r>
          <m:t>10</m:t>
        </m:r>
        <m:r>
          <m:t>q</m:t>
        </m:r>
        <m:r>
          <m:rPr>
            <m:sty m:val="p"/>
          </m:rPr>
          <m:t>+</m:t>
        </m:r>
        <m:sSup>
          <m:e>
            <m:r>
              <m:t>q</m:t>
            </m:r>
          </m:e>
          <m:sup>
            <m:r>
              <m:t>2</m:t>
            </m:r>
          </m:sup>
        </m:sSup>
      </m:oMath>
      <w:r>
        <w:t xml:space="preserve"> </w:t>
      </w:r>
      <w:r>
        <w:t xml:space="preserve">e vende ao preço</w:t>
      </w:r>
      <w:r>
        <w:t xml:space="preserve"> </w:t>
      </w:r>
      <m:oMath>
        <m:r>
          <m:t>P</m:t>
        </m:r>
        <m:r>
          <m:rPr>
            <m:sty m:val="p"/>
          </m:rPr>
          <m:t>=</m:t>
        </m:r>
        <m:r>
          <m:t>110</m:t>
        </m:r>
      </m:oMath>
      <w:r>
        <w:t xml:space="preserve">. A produção gera poluição com custo externo</w:t>
      </w:r>
      <w:r>
        <w:t xml:space="preserve"> </w:t>
      </w:r>
      <m:oMath>
        <m:r>
          <m:t>E</m:t>
        </m:r>
        <m:r>
          <m:rPr>
            <m:sty m:val="p"/>
          </m:rPr>
          <m:t>(</m:t>
        </m:r>
        <m:r>
          <m:t>q</m:t>
        </m:r>
        <m:r>
          <m:rPr>
            <m:sty m:val="p"/>
          </m:rPr>
          <m:t>)</m:t>
        </m:r>
        <m:r>
          <m:rPr>
            <m:sty m:val="p"/>
          </m:rPr>
          <m:t>=</m:t>
        </m:r>
        <m:r>
          <m:t>2</m:t>
        </m:r>
        <m:sSup>
          <m:e>
            <m:r>
              <m:t>q</m:t>
            </m:r>
          </m:e>
          <m:sup>
            <m:r>
              <m:t>2</m:t>
            </m:r>
          </m:sup>
        </m:sSup>
      </m:oMath>
      <w:r>
        <w:t xml:space="preserve">.</w:t>
      </w:r>
    </w:p>
    <w:p>
      <w:pPr>
        <w:pStyle w:val="Compact"/>
        <w:numPr>
          <w:ilvl w:val="0"/>
          <w:numId w:val="2118"/>
        </w:numPr>
      </w:pPr>
      <w:r>
        <w:t xml:space="preserve">Determine a quantidade produzida pela firma na ausência de regulação.</w:t>
      </w:r>
    </w:p>
    <w:p>
      <w:pPr>
        <w:pStyle w:val="Compact"/>
        <w:numPr>
          <w:ilvl w:val="0"/>
          <w:numId w:val="2118"/>
        </w:numPr>
      </w:pPr>
      <w:r>
        <w:t xml:space="preserve">Determine a quantidade socialmente ótima.</w:t>
      </w:r>
    </w:p>
    <w:p>
      <w:pPr>
        <w:pStyle w:val="Compact"/>
        <w:numPr>
          <w:ilvl w:val="0"/>
          <w:numId w:val="2118"/>
        </w:numPr>
      </w:pPr>
      <w:r>
        <w:t xml:space="preserve">Calcule o imposto pigouviano ótimo</w:t>
      </w:r>
      <w:r>
        <w:t xml:space="preserve"> </w:t>
      </w:r>
      <m:oMath>
        <m:sSup>
          <m:e>
            <m:r>
              <m:t>t</m:t>
            </m:r>
          </m:e>
          <m:sup>
            <m:r>
              <m:rPr>
                <m:sty m:val="p"/>
              </m:rPr>
              <m:t>*</m:t>
            </m:r>
          </m:sup>
        </m:sSup>
      </m:oMath>
      <w:r>
        <w:t xml:space="preserve"> </w:t>
      </w:r>
      <w:r>
        <w:t xml:space="preserve">e verifique que ele induz a firma a produzir a quantidade eficiente.</w:t>
      </w:r>
    </w:p>
    <w:p>
      <w:pPr>
        <w:pStyle w:val="Compact"/>
        <w:numPr>
          <w:ilvl w:val="0"/>
          <w:numId w:val="2118"/>
        </w:numPr>
      </w:pPr>
      <w:r>
        <w:t xml:space="preserve">Calcule a perda de peso morto associada à ausência de regulação.</w:t>
      </w:r>
    </w:p>
    <w:p>
      <w:pPr>
        <w:pStyle w:val="FirstParagraph"/>
      </w:pPr>
      <w:r>
        <w:t xml:space="preserve">Solução (Cap. 20)</w:t>
      </w:r>
    </w:p>
    <w:p>
      <w:r>
        <w:pict>
          <v:rect style="width:0;height:1.5pt" o:hralign="center" o:hrstd="t" o:hr="t"/>
        </w:pict>
      </w:r>
    </w:p>
    <w:p>
      <w:pPr>
        <w:pStyle w:val="FirstParagraph"/>
      </w:pPr>
      <w:r>
        <w:rPr>
          <w:b/>
          <w:bCs/>
        </w:rPr>
        <w:t xml:space="preserve">Exercício 20.2.</w:t>
      </w:r>
      <w:r>
        <w:t xml:space="preserve"> </w:t>
      </w:r>
      <w:r>
        <w:t xml:space="preserve">{#ex-20-2} Considere três indivíduos (</w:t>
      </w:r>
      <m:oMath>
        <m:r>
          <m:t>A</m:t>
        </m:r>
      </m:oMath>
      <w:r>
        <w:t xml:space="preserve">,</w:t>
      </w:r>
      <w:r>
        <w:t xml:space="preserve"> </w:t>
      </w:r>
      <m:oMath>
        <m:r>
          <m:t>B</m:t>
        </m:r>
      </m:oMath>
      <w:r>
        <w:t xml:space="preserve">,</w:t>
      </w:r>
      <w:r>
        <w:t xml:space="preserve"> </w:t>
      </w:r>
      <m:oMath>
        <m:r>
          <m:t>C</m:t>
        </m:r>
      </m:oMath>
      <w:r>
        <w:t xml:space="preserve">) com as seguintes valorações marginais por um bem público</w:t>
      </w:r>
      <w:r>
        <w:t xml:space="preserve"> </w:t>
      </w:r>
      <m:oMath>
        <m:r>
          <m:t>G</m:t>
        </m:r>
      </m:oMath>
      <w:r>
        <w:t xml:space="preserve"> </w:t>
      </w:r>
      <w:r>
        <w:t xml:space="preserve">(medido em unidades):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m:oMath>
              <m:r>
                <m:t>G</m:t>
              </m:r>
            </m:oMath>
          </w:p>
        </w:tc>
        <w:tc>
          <w:tcPr/>
          <w:p>
            <w:pPr>
              <w:pStyle w:val="Compact"/>
            </w:pPr>
            <m:oMath>
              <m:r>
                <m:t>B</m:t>
              </m:r>
              <m:r>
                <m:t>M</m:t>
              </m:r>
              <m:sSub>
                <m:e>
                  <m:r>
                    <m:t>g</m:t>
                  </m:r>
                </m:e>
                <m:sub>
                  <m:r>
                    <m:t>A</m:t>
                  </m:r>
                </m:sub>
              </m:sSub>
            </m:oMath>
          </w:p>
        </w:tc>
        <w:tc>
          <w:tcPr/>
          <w:p>
            <w:pPr>
              <w:pStyle w:val="Compact"/>
            </w:pPr>
            <m:oMath>
              <m:r>
                <m:t>B</m:t>
              </m:r>
              <m:r>
                <m:t>M</m:t>
              </m:r>
              <m:sSub>
                <m:e>
                  <m:r>
                    <m:t>g</m:t>
                  </m:r>
                </m:e>
                <m:sub>
                  <m:r>
                    <m:t>B</m:t>
                  </m:r>
                </m:sub>
              </m:sSub>
            </m:oMath>
          </w:p>
        </w:tc>
        <w:tc>
          <w:tcPr/>
          <w:p>
            <w:pPr>
              <w:pStyle w:val="Compact"/>
            </w:pPr>
            <m:oMath>
              <m:r>
                <m:t>B</m:t>
              </m:r>
              <m:r>
                <m:t>M</m:t>
              </m:r>
              <m:sSub>
                <m:e>
                  <m:r>
                    <m:t>g</m:t>
                  </m:r>
                </m:e>
                <m:sub>
                  <m:r>
                    <m:t>C</m:t>
                  </m:r>
                </m:sub>
              </m:sSub>
            </m:oMath>
          </w:p>
        </w:tc>
        <w:tc>
          <w:tcPr/>
          <w:p>
            <w:pPr>
              <w:pStyle w:val="Compact"/>
            </w:pPr>
            <m:oMath>
              <m:r>
                <m:t>C</m:t>
              </m:r>
              <m:r>
                <m:t>M</m:t>
              </m:r>
              <m:r>
                <m:t>g</m:t>
              </m:r>
            </m:oMath>
          </w:p>
        </w:tc>
      </w:tr>
      <w:tr>
        <w:tc>
          <w:tcPr/>
          <w:p>
            <w:pPr>
              <w:pStyle w:val="Compact"/>
            </w:pPr>
            <w:r>
              <w:t xml:space="preserve">1</w:t>
            </w:r>
          </w:p>
        </w:tc>
        <w:tc>
          <w:tcPr/>
          <w:p>
            <w:pPr>
              <w:pStyle w:val="Compact"/>
            </w:pPr>
            <w:r>
              <w:t xml:space="preserve">40</w:t>
            </w:r>
          </w:p>
        </w:tc>
        <w:tc>
          <w:tcPr/>
          <w:p>
            <w:pPr>
              <w:pStyle w:val="Compact"/>
            </w:pPr>
            <w:r>
              <w:t xml:space="preserve">30</w:t>
            </w:r>
          </w:p>
        </w:tc>
        <w:tc>
          <w:tcPr/>
          <w:p>
            <w:pPr>
              <w:pStyle w:val="Compact"/>
            </w:pPr>
            <w:r>
              <w:t xml:space="preserve">20</w:t>
            </w:r>
          </w:p>
        </w:tc>
        <w:tc>
          <w:tcPr/>
          <w:p>
            <w:pPr>
              <w:pStyle w:val="Compact"/>
            </w:pPr>
            <w:r>
              <w:t xml:space="preserve">60</w:t>
            </w:r>
          </w:p>
        </w:tc>
      </w:tr>
      <w:tr>
        <w:tc>
          <w:tcPr/>
          <w:p>
            <w:pPr>
              <w:pStyle w:val="Compact"/>
            </w:pPr>
            <w:r>
              <w:t xml:space="preserve">2</w:t>
            </w:r>
          </w:p>
        </w:tc>
        <w:tc>
          <w:tcPr/>
          <w:p>
            <w:pPr>
              <w:pStyle w:val="Compact"/>
            </w:pPr>
            <w:r>
              <w:t xml:space="preserve">35</w:t>
            </w:r>
          </w:p>
        </w:tc>
        <w:tc>
          <w:tcPr/>
          <w:p>
            <w:pPr>
              <w:pStyle w:val="Compact"/>
            </w:pPr>
            <w:r>
              <w:t xml:space="preserve">25</w:t>
            </w:r>
          </w:p>
        </w:tc>
        <w:tc>
          <w:tcPr/>
          <w:p>
            <w:pPr>
              <w:pStyle w:val="Compact"/>
            </w:pPr>
            <w:r>
              <w:t xml:space="preserve">15</w:t>
            </w:r>
          </w:p>
        </w:tc>
        <w:tc>
          <w:tcPr/>
          <w:p>
            <w:pPr>
              <w:pStyle w:val="Compact"/>
            </w:pPr>
            <w:r>
              <w:t xml:space="preserve">60</w:t>
            </w:r>
          </w:p>
        </w:tc>
      </w:tr>
      <w:tr>
        <w:tc>
          <w:tcPr/>
          <w:p>
            <w:pPr>
              <w:pStyle w:val="Compact"/>
            </w:pPr>
            <w:r>
              <w:t xml:space="preserve">3</w:t>
            </w:r>
          </w:p>
        </w:tc>
        <w:tc>
          <w:tcPr/>
          <w:p>
            <w:pPr>
              <w:pStyle w:val="Compact"/>
            </w:pPr>
            <w:r>
              <w:t xml:space="preserve">25</w:t>
            </w:r>
          </w:p>
        </w:tc>
        <w:tc>
          <w:tcPr/>
          <w:p>
            <w:pPr>
              <w:pStyle w:val="Compact"/>
            </w:pPr>
            <w:r>
              <w:t xml:space="preserve">20</w:t>
            </w:r>
          </w:p>
        </w:tc>
        <w:tc>
          <w:tcPr/>
          <w:p>
            <w:pPr>
              <w:pStyle w:val="Compact"/>
            </w:pPr>
            <w:r>
              <w:t xml:space="preserve">10</w:t>
            </w:r>
          </w:p>
        </w:tc>
        <w:tc>
          <w:tcPr/>
          <w:p>
            <w:pPr>
              <w:pStyle w:val="Compact"/>
            </w:pPr>
            <w:r>
              <w:t xml:space="preserve">60</w:t>
            </w:r>
          </w:p>
        </w:tc>
      </w:tr>
      <w:tr>
        <w:tc>
          <w:tcPr/>
          <w:p>
            <w:pPr>
              <w:pStyle w:val="Compact"/>
            </w:pPr>
            <w:r>
              <w:t xml:space="preserve">4</w:t>
            </w:r>
          </w:p>
        </w:tc>
        <w:tc>
          <w:tcPr/>
          <w:p>
            <w:pPr>
              <w:pStyle w:val="Compact"/>
            </w:pPr>
            <w:r>
              <w:t xml:space="preserve">15</w:t>
            </w:r>
          </w:p>
        </w:tc>
        <w:tc>
          <w:tcPr/>
          <w:p>
            <w:pPr>
              <w:pStyle w:val="Compact"/>
            </w:pPr>
            <w:r>
              <w:t xml:space="preserve">10</w:t>
            </w:r>
          </w:p>
        </w:tc>
        <w:tc>
          <w:tcPr/>
          <w:p>
            <w:pPr>
              <w:pStyle w:val="Compact"/>
            </w:pPr>
            <w:r>
              <w:t xml:space="preserve">5</w:t>
            </w:r>
          </w:p>
        </w:tc>
        <w:tc>
          <w:tcPr/>
          <w:p>
            <w:pPr>
              <w:pStyle w:val="Compact"/>
            </w:pPr>
            <w:r>
              <w:t xml:space="preserve">60</w:t>
            </w:r>
          </w:p>
        </w:tc>
      </w:tr>
      <w:tr>
        <w:tc>
          <w:tcPr/>
          <w:p>
            <w:pPr>
              <w:pStyle w:val="Compact"/>
            </w:pPr>
            <w:r>
              <w:t xml:space="preserve">5</w:t>
            </w:r>
          </w:p>
        </w:tc>
        <w:tc>
          <w:tcPr/>
          <w:p>
            <w:pPr>
              <w:pStyle w:val="Compact"/>
            </w:pPr>
            <w:r>
              <w:t xml:space="preserve">5</w:t>
            </w:r>
          </w:p>
        </w:tc>
        <w:tc>
          <w:tcPr/>
          <w:p>
            <w:pPr>
              <w:pStyle w:val="Compact"/>
            </w:pPr>
            <w:r>
              <w:t xml:space="preserve">5</w:t>
            </w:r>
          </w:p>
        </w:tc>
        <w:tc>
          <w:tcPr/>
          <w:p>
            <w:pPr>
              <w:pStyle w:val="Compact"/>
            </w:pPr>
            <w:r>
              <w:t xml:space="preserve">2</w:t>
            </w:r>
          </w:p>
        </w:tc>
        <w:tc>
          <w:tcPr/>
          <w:p>
            <w:pPr>
              <w:pStyle w:val="Compact"/>
            </w:pPr>
            <w:r>
              <w:t xml:space="preserve">60</w:t>
            </w:r>
          </w:p>
        </w:tc>
      </w:tr>
    </w:tbl>
    <w:p>
      <w:pPr>
        <w:pStyle w:val="Compact"/>
        <w:numPr>
          <w:ilvl w:val="0"/>
          <w:numId w:val="2119"/>
        </w:numPr>
      </w:pPr>
      <w:r>
        <w:t xml:space="preserve">Determine o nível eficiente de provisão do bem público.</w:t>
      </w:r>
    </w:p>
    <w:p>
      <w:pPr>
        <w:pStyle w:val="Compact"/>
        <w:numPr>
          <w:ilvl w:val="0"/>
          <w:numId w:val="2119"/>
        </w:numPr>
      </w:pPr>
      <w:r>
        <w:t xml:space="preserve">Calcule os preços de Lindahl para cada indivíduo no nível eficiente.</w:t>
      </w:r>
    </w:p>
    <w:p>
      <w:pPr>
        <w:pStyle w:val="Compact"/>
        <w:numPr>
          <w:ilvl w:val="0"/>
          <w:numId w:val="2119"/>
        </w:numPr>
      </w:pPr>
      <w:r>
        <w:t xml:space="preserve">Explique por que a provisão voluntária (contribuição individual) resultaria em</w:t>
      </w:r>
      <w:r>
        <w:t xml:space="preserve"> </w:t>
      </w:r>
      <m:oMath>
        <m:r>
          <m:t>G</m:t>
        </m:r>
        <m:r>
          <m:rPr>
            <m:sty m:val="p"/>
          </m:rPr>
          <m:t>&lt;</m:t>
        </m:r>
        <m:sSup>
          <m:e>
            <m:r>
              <m:t>G</m:t>
            </m:r>
          </m:e>
          <m:sup>
            <m:r>
              <m:rPr>
                <m:sty m:val="p"/>
              </m:rPr>
              <m:t>*</m:t>
            </m:r>
          </m:sup>
        </m:sSup>
      </m:oMath>
      <w:r>
        <w:t xml:space="preserve">.</w:t>
      </w:r>
    </w:p>
    <w:p>
      <w:pPr>
        <w:pStyle w:val="Compact"/>
        <w:numPr>
          <w:ilvl w:val="0"/>
          <w:numId w:val="2119"/>
        </w:numPr>
      </w:pPr>
      <w:r>
        <w:t xml:space="preserve">Verifique se os preços de Lindahl são equilibrados orçamentariamente.</w:t>
      </w:r>
    </w:p>
    <w:p>
      <w:pPr>
        <w:pStyle w:val="FirstParagraph"/>
      </w:pPr>
      <w:r>
        <w:t xml:space="preserve">Solução (Cap. 20)</w:t>
      </w:r>
    </w:p>
    <w:p>
      <w:r>
        <w:pict>
          <v:rect style="width:0;height:1.5pt" o:hralign="center" o:hrstd="t" o:hr="t"/>
        </w:pict>
      </w:r>
    </w:p>
    <w:p>
      <w:pPr>
        <w:pStyle w:val="FirstParagraph"/>
      </w:pPr>
      <w:r>
        <w:rPr>
          <w:b/>
          <w:bCs/>
        </w:rPr>
        <w:t xml:space="preserve">Exercício 20.3.</w:t>
      </w:r>
      <w:r>
        <w:t xml:space="preserve"> </w:t>
      </w:r>
      <w:r>
        <w:t xml:space="preserve">{#ex-20-3} Duas firmas emitem poluentes. A firma 1 tem custo de abatimento</w:t>
      </w:r>
      <w:r>
        <w:t xml:space="preserve"> </w:t>
      </w:r>
      <m:oMath>
        <m:r>
          <m:t>C</m:t>
        </m:r>
        <m:sSub>
          <m:e>
            <m:r>
              <m:t>A</m:t>
            </m:r>
          </m:e>
          <m:sub>
            <m:r>
              <m:t>1</m:t>
            </m:r>
          </m:sub>
        </m:sSub>
        <m:r>
          <m:rPr>
            <m:sty m:val="p"/>
          </m:rPr>
          <m:t>(</m:t>
        </m:r>
        <m:sSub>
          <m:e>
            <m:r>
              <m:t>a</m:t>
            </m:r>
          </m:e>
          <m:sub>
            <m:r>
              <m:t>1</m:t>
            </m:r>
          </m:sub>
        </m:sSub>
        <m:r>
          <m:rPr>
            <m:sty m:val="p"/>
          </m:rPr>
          <m:t>)</m:t>
        </m:r>
        <m:r>
          <m:rPr>
            <m:sty m:val="p"/>
          </m:rPr>
          <m:t>=</m:t>
        </m:r>
        <m:r>
          <m:t>2</m:t>
        </m:r>
        <m:sSubSup>
          <m:e>
            <m:r>
              <m:t>a</m:t>
            </m:r>
          </m:e>
          <m:sub>
            <m:r>
              <m:t>1</m:t>
            </m:r>
          </m:sub>
          <m:sup>
            <m:r>
              <m:t>2</m:t>
            </m:r>
          </m:sup>
        </m:sSubSup>
      </m:oMath>
      <w:r>
        <w:t xml:space="preserve"> </w:t>
      </w:r>
      <w:r>
        <w:t xml:space="preserve">e a firma 2,</w:t>
      </w:r>
      <w:r>
        <w:t xml:space="preserve"> </w:t>
      </w:r>
      <m:oMath>
        <m:r>
          <m:t>C</m:t>
        </m:r>
        <m:sSub>
          <m:e>
            <m:r>
              <m:t>A</m:t>
            </m:r>
          </m:e>
          <m:sub>
            <m:r>
              <m:t>2</m:t>
            </m:r>
          </m:sub>
        </m:sSub>
        <m:r>
          <m:rPr>
            <m:sty m:val="p"/>
          </m:rPr>
          <m:t>(</m:t>
        </m:r>
        <m:sSub>
          <m:e>
            <m:r>
              <m:t>a</m:t>
            </m:r>
          </m:e>
          <m:sub>
            <m:r>
              <m:t>2</m:t>
            </m:r>
          </m:sub>
        </m:sSub>
        <m:r>
          <m:rPr>
            <m:sty m:val="p"/>
          </m:rPr>
          <m:t>)</m:t>
        </m:r>
        <m:r>
          <m:rPr>
            <m:sty m:val="p"/>
          </m:rPr>
          <m:t>=</m:t>
        </m:r>
        <m:sSubSup>
          <m:e>
            <m:r>
              <m:t>a</m:t>
            </m:r>
          </m:e>
          <m:sub>
            <m:r>
              <m:t>2</m:t>
            </m:r>
          </m:sub>
          <m:sup>
            <m:r>
              <m:t>2</m:t>
            </m:r>
          </m:sup>
        </m:sSubSup>
      </m:oMath>
      <w:r>
        <w:t xml:space="preserve">, onde</w:t>
      </w:r>
      <w:r>
        <w:t xml:space="preserve"> </w:t>
      </w:r>
      <m:oMath>
        <m:sSub>
          <m:e>
            <m:r>
              <m:t>a</m:t>
            </m:r>
          </m:e>
          <m:sub>
            <m:r>
              <m:t>i</m:t>
            </m:r>
          </m:sub>
        </m:sSub>
      </m:oMath>
      <w:r>
        <w:t xml:space="preserve"> </w:t>
      </w:r>
      <w:r>
        <w:t xml:space="preserve">é o abatimento em toneladas. Cada firma emite 100 toneladas sem regulação. O regulador deseja reduzir as emissões totais em 60 toneladas.</w:t>
      </w:r>
    </w:p>
    <w:p>
      <w:pPr>
        <w:pStyle w:val="Compact"/>
        <w:numPr>
          <w:ilvl w:val="0"/>
          <w:numId w:val="2120"/>
        </w:numPr>
      </w:pPr>
      <w:r>
        <w:t xml:space="preserve">Qual é a alocação custo-efetiva de abatimento entre as duas firmas?</w:t>
      </w:r>
    </w:p>
    <w:p>
      <w:pPr>
        <w:pStyle w:val="Compact"/>
        <w:numPr>
          <w:ilvl w:val="0"/>
          <w:numId w:val="2120"/>
        </w:numPr>
      </w:pPr>
      <w:r>
        <w:t xml:space="preserve">Qual seria o custo total se o regulador impusesse abatimento uniforme (30 toneladas cada)?</w:t>
      </w:r>
    </w:p>
    <w:p>
      <w:pPr>
        <w:pStyle w:val="Compact"/>
        <w:numPr>
          <w:ilvl w:val="0"/>
          <w:numId w:val="2120"/>
        </w:numPr>
      </w:pPr>
      <w:r>
        <w:t xml:space="preserve">Compare com o custo da solução custo-efetiva e calcule a economia.</w:t>
      </w:r>
    </w:p>
    <w:p>
      <w:pPr>
        <w:pStyle w:val="Compact"/>
        <w:numPr>
          <w:ilvl w:val="0"/>
          <w:numId w:val="2120"/>
        </w:numPr>
      </w:pPr>
      <w:r>
        <w:t xml:space="preserve">Se for utilizado um mercado de permissões (cap-and-trade), qual será o preço de equilíbrio da permissão?</w:t>
      </w:r>
    </w:p>
    <w:p>
      <w:pPr>
        <w:pStyle w:val="FirstParagraph"/>
      </w:pPr>
      <w:r>
        <w:t xml:space="preserve">Solução (Cap. 20)</w:t>
      </w:r>
    </w:p>
    <w:p>
      <w:r>
        <w:pict>
          <v:rect style="width:0;height:1.5pt" o:hralign="center" o:hrstd="t" o:hr="t"/>
        </w:pict>
      </w:r>
    </w:p>
    <w:p>
      <w:pPr>
        <w:pStyle w:val="FirstParagraph"/>
      </w:pPr>
      <w:r>
        <w:rPr>
          <w:b/>
          <w:bCs/>
        </w:rPr>
        <w:t xml:space="preserve">Exercício 20.4.</w:t>
      </w:r>
      <w:r>
        <w:t xml:space="preserve"> </w:t>
      </w:r>
      <w:r>
        <w:t xml:space="preserve">{#ex-20-4} Uma comunidade com 100 moradores deve decidir se constrói um parque público (bem público discreto) ao custo de R$50.000. Cada morador</w:t>
      </w:r>
      <w:r>
        <w:t xml:space="preserve"> </w:t>
      </w:r>
      <m:oMath>
        <m:r>
          <m:t>i</m:t>
        </m:r>
      </m:oMath>
      <w:r>
        <w:t xml:space="preserve"> </w:t>
      </w:r>
      <w:r>
        <w:t xml:space="preserve">tem valoração</w:t>
      </w:r>
      <w:r>
        <w:t xml:space="preserve"> </w:t>
      </w:r>
      <m:oMath>
        <m:sSub>
          <m:e>
            <m:r>
              <m:t>v</m:t>
            </m:r>
          </m:e>
          <m:sub>
            <m:r>
              <m:t>i</m:t>
            </m:r>
          </m:sub>
        </m:sSub>
      </m:oMath>
      <w:r>
        <w:t xml:space="preserve"> </w:t>
      </w:r>
      <w:r>
        <w:t xml:space="preserve">pela praça, distribuída uniformemente entre R$200 e R$800.</w:t>
      </w:r>
    </w:p>
    <w:p>
      <w:pPr>
        <w:pStyle w:val="Compact"/>
        <w:numPr>
          <w:ilvl w:val="0"/>
          <w:numId w:val="2121"/>
        </w:numPr>
      </w:pPr>
      <w:r>
        <w:t xml:space="preserve">O parque deve ser construído? (Compare a soma das valorações esperadas com o custo.)</w:t>
      </w:r>
    </w:p>
    <w:p>
      <w:pPr>
        <w:pStyle w:val="Compact"/>
        <w:numPr>
          <w:ilvl w:val="0"/>
          <w:numId w:val="2121"/>
        </w:numPr>
      </w:pPr>
      <w:r>
        <w:t xml:space="preserve">Se a construção for financiada por contribuição voluntária uniforme de R$500 por morador, quantos moradores estariam dispostos a contribuir?</w:t>
      </w:r>
    </w:p>
    <w:p>
      <w:pPr>
        <w:pStyle w:val="Compact"/>
        <w:numPr>
          <w:ilvl w:val="0"/>
          <w:numId w:val="2121"/>
        </w:numPr>
      </w:pPr>
      <w:r>
        <w:t xml:space="preserve">Explique o problema do carona nesta situação.</w:t>
      </w:r>
    </w:p>
    <w:p>
      <w:pPr>
        <w:pStyle w:val="Compact"/>
        <w:numPr>
          <w:ilvl w:val="0"/>
          <w:numId w:val="2121"/>
        </w:numPr>
      </w:pPr>
      <w:r>
        <w:t xml:space="preserve">Descreva como um mecanismo de imposto pivotal (Clarke) funcionaria neste contexto.</w:t>
      </w:r>
    </w:p>
    <w:p>
      <w:pPr>
        <w:pStyle w:val="FirstParagraph"/>
      </w:pPr>
      <w:r>
        <w:t xml:space="preserve">Solução (Cap. 20)</w:t>
      </w:r>
    </w:p>
    <w:p>
      <w:r>
        <w:pict>
          <v:rect style="width:0;height:1.5pt" o:hralign="center" o:hrstd="t" o:hr="t"/>
        </w:pict>
      </w:r>
    </w:p>
    <w:p>
      <w:pPr>
        <w:pStyle w:val="FirstParagraph"/>
      </w:pPr>
      <w:r>
        <w:rPr>
          <w:b/>
          <w:bCs/>
        </w:rPr>
        <w:t xml:space="preserve">Exercício 20.5.</w:t>
      </w:r>
      <w:r>
        <w:t xml:space="preserve"> </w:t>
      </w:r>
      <w:r>
        <w:t xml:space="preserve">{#ex-20-5} Considere uma economia com dois bens — um privado (</w:t>
      </w:r>
      <m:oMath>
        <m:r>
          <m:t>x</m:t>
        </m:r>
      </m:oMath>
      <w:r>
        <w:t xml:space="preserve">) e um público (</w:t>
      </w:r>
      <m:oMath>
        <m:r>
          <m:t>G</m:t>
        </m:r>
      </m:oMath>
      <w:r>
        <w:t xml:space="preserve">) — e dois consumidores com utilidades:</w:t>
      </w:r>
    </w:p>
    <w:p>
      <w:pPr>
        <w:pStyle w:val="BodyText"/>
      </w:pPr>
      <m:oMathPara>
        <m:oMathParaPr>
          <m:jc m:val="center"/>
        </m:oMathParaPr>
        <m:oMath>
          <m:sSub>
            <m:e>
              <m:r>
                <m:t>U</m:t>
              </m:r>
            </m:e>
            <m:sub>
              <m:r>
                <m:t>1</m:t>
              </m:r>
            </m:sub>
          </m:sSub>
          <m:r>
            <m:rPr>
              <m:sty m:val="p"/>
            </m:rPr>
            <m:t>=</m:t>
          </m:r>
          <m:r>
            <m:rPr>
              <m:sty m:val="p"/>
            </m:rPr>
            <m:t>ln</m:t>
          </m:r>
          <m:r>
            <m:rPr>
              <m:sty m:val="p"/>
            </m:rPr>
            <m:t>(</m:t>
          </m:r>
          <m:sSub>
            <m:e>
              <m:r>
                <m:t>x</m:t>
              </m:r>
            </m:e>
            <m:sub>
              <m:r>
                <m:t>1</m:t>
              </m:r>
            </m:sub>
          </m:sSub>
          <m:r>
            <m:rPr>
              <m:sty m:val="p"/>
            </m:rPr>
            <m:t>)</m:t>
          </m:r>
          <m:r>
            <m:rPr>
              <m:sty m:val="p"/>
            </m:rPr>
            <m:t>+</m:t>
          </m:r>
          <m:r>
            <m:t>2</m:t>
          </m:r>
          <m:r>
            <m:rPr>
              <m:sty m:val="p"/>
            </m:rPr>
            <m:t>ln</m:t>
          </m:r>
          <m:r>
            <m:rPr>
              <m:sty m:val="p"/>
            </m:rPr>
            <m:t>(</m:t>
          </m:r>
          <m:r>
            <m:t>G</m:t>
          </m:r>
          <m:r>
            <m:rPr>
              <m:sty m:val="p"/>
            </m:rPr>
            <m:t>)</m:t>
          </m:r>
          <m:r>
            <m:rPr>
              <m:sty m:val="p"/>
            </m:rPr>
            <m:t>,</m:t>
          </m:r>
          <m:r>
            <m:t> </m:t>
          </m:r>
          <m:sSub>
            <m:e>
              <m:r>
                <m:t>U</m:t>
              </m:r>
            </m:e>
            <m:sub>
              <m:r>
                <m:t>2</m:t>
              </m:r>
            </m:sub>
          </m:sSub>
          <m:r>
            <m:rPr>
              <m:sty m:val="p"/>
            </m:rPr>
            <m:t>=</m:t>
          </m:r>
          <m:r>
            <m:rPr>
              <m:sty m:val="p"/>
            </m:rPr>
            <m:t>ln</m:t>
          </m:r>
          <m:r>
            <m:rPr>
              <m:sty m:val="p"/>
            </m:rPr>
            <m:t>(</m:t>
          </m:r>
          <m:sSub>
            <m:e>
              <m:r>
                <m:t>x</m:t>
              </m:r>
            </m:e>
            <m:sub>
              <m:r>
                <m:t>2</m:t>
              </m:r>
            </m:sub>
          </m:sSub>
          <m:r>
            <m:rPr>
              <m:sty m:val="p"/>
            </m:rPr>
            <m:t>)</m:t>
          </m:r>
          <m:r>
            <m:rPr>
              <m:sty m:val="p"/>
            </m:rPr>
            <m:t>+</m:t>
          </m:r>
          <m:r>
            <m:rPr>
              <m:sty m:val="p"/>
            </m:rPr>
            <m:t>ln</m:t>
          </m:r>
          <m:r>
            <m:rPr>
              <m:sty m:val="p"/>
            </m:rPr>
            <m:t>(</m:t>
          </m:r>
          <m:r>
            <m:t>G</m:t>
          </m:r>
          <m:r>
            <m:rPr>
              <m:sty m:val="p"/>
            </m:rPr>
            <m:t>)</m:t>
          </m:r>
        </m:oMath>
      </m:oMathPara>
    </w:p>
    <w:p>
      <w:pPr>
        <w:pStyle w:val="FirstParagraph"/>
      </w:pPr>
      <w:r>
        <w:t xml:space="preserve">O preço do bem privado é 1 e o custo marginal do bem público é</w:t>
      </w:r>
      <w:r>
        <w:t xml:space="preserve"> </w:t>
      </w:r>
      <m:oMath>
        <m:r>
          <m:t>c</m:t>
        </m:r>
      </m:oMath>
      <w:r>
        <w:t xml:space="preserve">. Cada consumidor tem renda</w:t>
      </w:r>
      <w:r>
        <w:t xml:space="preserve"> </w:t>
      </w:r>
      <m:oMath>
        <m:r>
          <m:t>W</m:t>
        </m:r>
      </m:oMath>
      <w:r>
        <w:t xml:space="preserve">.</w:t>
      </w:r>
    </w:p>
    <w:p>
      <w:pPr>
        <w:pStyle w:val="Compact"/>
        <w:numPr>
          <w:ilvl w:val="0"/>
          <w:numId w:val="2122"/>
        </w:numPr>
      </w:pPr>
      <w:r>
        <w:t xml:space="preserve">Derive a condição de Samuelson para a provisão eficiente de</w:t>
      </w:r>
      <w:r>
        <w:t xml:space="preserve"> </w:t>
      </w:r>
      <m:oMath>
        <m:r>
          <m:t>G</m:t>
        </m:r>
      </m:oMath>
      <w:r>
        <w:t xml:space="preserve">.</w:t>
      </w:r>
    </w:p>
    <w:p>
      <w:pPr>
        <w:pStyle w:val="Compact"/>
        <w:numPr>
          <w:ilvl w:val="0"/>
          <w:numId w:val="2122"/>
        </w:numPr>
      </w:pPr>
      <w:r>
        <w:t xml:space="preserve">Determine o nível eficiente</w:t>
      </w:r>
      <w:r>
        <w:t xml:space="preserve"> </w:t>
      </w:r>
      <m:oMath>
        <m:sSup>
          <m:e>
            <m:r>
              <m:t>G</m:t>
            </m:r>
          </m:e>
          <m:sup>
            <m:r>
              <m:rPr>
                <m:sty m:val="p"/>
              </m:rPr>
              <m:t>*</m:t>
            </m:r>
          </m:sup>
        </m:sSup>
      </m:oMath>
      <w:r>
        <w:t xml:space="preserve"> </w:t>
      </w:r>
      <w:r>
        <w:t xml:space="preserve">em função de</w:t>
      </w:r>
      <w:r>
        <w:t xml:space="preserve"> </w:t>
      </w:r>
      <m:oMath>
        <m:r>
          <m:t>W</m:t>
        </m:r>
      </m:oMath>
      <w:r>
        <w:t xml:space="preserve"> </w:t>
      </w:r>
      <w:r>
        <w:t xml:space="preserve">e</w:t>
      </w:r>
      <w:r>
        <w:t xml:space="preserve"> </w:t>
      </w:r>
      <m:oMath>
        <m:r>
          <m:t>c</m:t>
        </m:r>
      </m:oMath>
      <w:r>
        <w:t xml:space="preserve">.</w:t>
      </w:r>
    </w:p>
    <w:p>
      <w:pPr>
        <w:pStyle w:val="Compact"/>
        <w:numPr>
          <w:ilvl w:val="0"/>
          <w:numId w:val="2122"/>
        </w:numPr>
      </w:pPr>
      <w:r>
        <w:t xml:space="preserve">Se cada consumidor contribui voluntariamente (equilíbrio de Nash em contribuições), determine o nível de</w:t>
      </w:r>
      <w:r>
        <w:t xml:space="preserve"> </w:t>
      </w:r>
      <m:oMath>
        <m:r>
          <m:t>G</m:t>
        </m:r>
      </m:oMath>
      <w:r>
        <w:t xml:space="preserve"> </w:t>
      </w:r>
      <w:r>
        <w:t xml:space="preserve">de equilíbrio.</w:t>
      </w:r>
    </w:p>
    <w:p>
      <w:pPr>
        <w:pStyle w:val="Compact"/>
        <w:numPr>
          <w:ilvl w:val="0"/>
          <w:numId w:val="2122"/>
        </w:numPr>
      </w:pPr>
      <w:r>
        <w:t xml:space="preserve">Mostre que</w:t>
      </w:r>
      <w:r>
        <w:t xml:space="preserve"> </w:t>
      </w:r>
      <m:oMath>
        <m:sSup>
          <m:e>
            <m:r>
              <m:t>G</m:t>
            </m:r>
          </m:e>
          <m:sup>
            <m:r>
              <m:t>N</m:t>
            </m:r>
            <m:r>
              <m:t>a</m:t>
            </m:r>
            <m:r>
              <m:t>s</m:t>
            </m:r>
            <m:r>
              <m:t>h</m:t>
            </m:r>
          </m:sup>
        </m:sSup>
        <m:r>
          <m:rPr>
            <m:sty m:val="p"/>
          </m:rPr>
          <m:t>&lt;</m:t>
        </m:r>
        <m:sSup>
          <m:e>
            <m:r>
              <m:t>G</m:t>
            </m:r>
          </m:e>
          <m:sup>
            <m:r>
              <m:rPr>
                <m:sty m:val="p"/>
              </m:rPr>
              <m:t>*</m:t>
            </m:r>
          </m:sup>
        </m:sSup>
      </m:oMath>
      <w:r>
        <w:t xml:space="preserve"> </w:t>
      </w:r>
      <w:r>
        <w:t xml:space="preserve">e interprete economicamente.</w:t>
      </w:r>
    </w:p>
    <w:p>
      <w:pPr>
        <w:pStyle w:val="FirstParagraph"/>
      </w:pPr>
      <w:r>
        <w:t xml:space="preserve">Solução (Cap. 20)</w:t>
      </w:r>
    </w:p>
    <w:p>
      <w:r>
        <w:pict>
          <v:rect style="width:0;height:1.5pt" o:hralign="center" o:hrstd="t" o:hr="t"/>
        </w:pict>
      </w:r>
    </w:p>
    <w:p>
      <w:pPr>
        <w:pStyle w:val="FirstParagraph"/>
      </w:pPr>
      <w:r>
        <w:rPr>
          <w:b/>
          <w:bCs/>
        </w:rPr>
        <w:t xml:space="preserve">Exercício 20.6.</w:t>
      </w:r>
      <w:r>
        <w:t xml:space="preserve"> </w:t>
      </w:r>
      <w:r>
        <w:t xml:space="preserve">{#ex-20-6} Uma indústria siderúrgica produz</w:t>
      </w:r>
      <w:r>
        <w:t xml:space="preserve"> </w:t>
      </w:r>
      <m:oMath>
        <m:r>
          <m:t>q</m:t>
        </m:r>
      </m:oMath>
      <w:r>
        <w:t xml:space="preserve"> </w:t>
      </w:r>
      <w:r>
        <w:t xml:space="preserve">toneladas de aço com custo total</w:t>
      </w:r>
      <w:r>
        <w:t xml:space="preserve"> </w:t>
      </w:r>
      <m:oMath>
        <m:r>
          <m:t>C</m:t>
        </m:r>
        <m:r>
          <m:rPr>
            <m:sty m:val="p"/>
          </m:rPr>
          <m:t>(</m:t>
        </m:r>
        <m:r>
          <m:t>q</m:t>
        </m:r>
        <m:r>
          <m:rPr>
            <m:sty m:val="p"/>
          </m:rPr>
          <m:t>)</m:t>
        </m:r>
        <m:r>
          <m:rPr>
            <m:sty m:val="p"/>
          </m:rPr>
          <m:t>=</m:t>
        </m:r>
        <m:r>
          <m:t>20</m:t>
        </m:r>
        <m:r>
          <m:t>q</m:t>
        </m:r>
        <m:r>
          <m:rPr>
            <m:sty m:val="p"/>
          </m:rPr>
          <m:t>+</m:t>
        </m:r>
        <m:r>
          <m:t>0</m:t>
        </m:r>
        <m:r>
          <m:rPr>
            <m:sty m:val="p"/>
          </m:rPr>
          <m:t>,</m:t>
        </m:r>
        <m:r>
          <m:t>5</m:t>
        </m:r>
        <m:sSup>
          <m:e>
            <m:r>
              <m:t>q</m:t>
            </m:r>
          </m:e>
          <m:sup>
            <m:r>
              <m:t>2</m:t>
            </m:r>
          </m:sup>
        </m:sSup>
      </m:oMath>
      <w:r>
        <w:t xml:space="preserve">, vende ao preço</w:t>
      </w:r>
      <w:r>
        <w:t xml:space="preserve"> </w:t>
      </w:r>
      <m:oMath>
        <m:r>
          <m:t>P</m:t>
        </m:r>
        <m:r>
          <m:rPr>
            <m:sty m:val="p"/>
          </m:rPr>
          <m:t>=</m:t>
        </m:r>
        <m:r>
          <m:t>80</m:t>
        </m:r>
      </m:oMath>
      <w:r>
        <w:t xml:space="preserve">. Custo externo:</w:t>
      </w:r>
      <w:r>
        <w:t xml:space="preserve"> </w:t>
      </w:r>
      <m:oMath>
        <m:r>
          <m:t>E</m:t>
        </m:r>
        <m:r>
          <m:rPr>
            <m:sty m:val="p"/>
          </m:rPr>
          <m:t>(</m:t>
        </m:r>
        <m:r>
          <m:t>q</m:t>
        </m:r>
        <m:r>
          <m:rPr>
            <m:sty m:val="p"/>
          </m:rPr>
          <m:t>)</m:t>
        </m:r>
        <m:r>
          <m:rPr>
            <m:sty m:val="p"/>
          </m:rPr>
          <m:t>=</m:t>
        </m:r>
        <m:sSup>
          <m:e>
            <m:r>
              <m:t>q</m:t>
            </m:r>
          </m:e>
          <m:sup>
            <m:r>
              <m:t>2</m:t>
            </m:r>
          </m:sup>
        </m:sSup>
      </m:oMath>
      <w:r>
        <w:t xml:space="preserve">.</w:t>
      </w:r>
    </w:p>
    <w:p>
      <w:pPr>
        <w:pStyle w:val="Compact"/>
        <w:numPr>
          <w:ilvl w:val="0"/>
          <w:numId w:val="2123"/>
        </w:numPr>
      </w:pPr>
      <w:r>
        <w:t xml:space="preserve">Encontre a quantidade sem regulação e a socialmente ótima.</w:t>
      </w:r>
    </w:p>
    <w:p>
      <w:pPr>
        <w:pStyle w:val="Compact"/>
        <w:numPr>
          <w:ilvl w:val="0"/>
          <w:numId w:val="2123"/>
        </w:numPr>
      </w:pPr>
      <w:r>
        <w:t xml:space="preserve">Calcule o imposto pigouviano ótimo e verifique.</w:t>
      </w:r>
    </w:p>
    <w:p>
      <w:pPr>
        <w:pStyle w:val="Compact"/>
        <w:numPr>
          <w:ilvl w:val="0"/>
          <w:numId w:val="2123"/>
        </w:numPr>
      </w:pPr>
      <w:r>
        <w:t xml:space="preserve">Calcule a receita fiscal e o peso morto eliminado pelo imposto.</w:t>
      </w:r>
    </w:p>
    <w:p>
      <w:pPr>
        <w:pStyle w:val="Compact"/>
        <w:numPr>
          <w:ilvl w:val="0"/>
          <w:numId w:val="2123"/>
        </w:numPr>
      </w:pPr>
      <w:r>
        <w:t xml:space="preserve">Se o regulador fixar incorretamente</w:t>
      </w:r>
      <w:r>
        <w:t xml:space="preserve"> </w:t>
      </w:r>
      <m:oMath>
        <m:r>
          <m:t>t</m:t>
        </m:r>
        <m:r>
          <m:rPr>
            <m:sty m:val="p"/>
          </m:rPr>
          <m:t>=</m:t>
        </m:r>
        <m:r>
          <m:t>30</m:t>
        </m:r>
      </m:oMath>
      <w:r>
        <w:t xml:space="preserve">, qual será a quantidade e o peso morto residual?</w:t>
      </w:r>
    </w:p>
    <w:p>
      <w:pPr>
        <w:pStyle w:val="FirstParagraph"/>
      </w:pPr>
      <w:r>
        <w:t xml:space="preserve">Solução (Cap. 20)</w:t>
      </w:r>
    </w:p>
    <w:p>
      <w:r>
        <w:pict>
          <v:rect style="width:0;height:1.5pt" o:hralign="center" o:hrstd="t" o:hr="t"/>
        </w:pict>
      </w:r>
    </w:p>
    <w:p>
      <w:pPr>
        <w:pStyle w:val="FirstParagraph"/>
      </w:pPr>
      <w:r>
        <w:rPr>
          <w:b/>
          <w:bCs/>
        </w:rPr>
        <w:t xml:space="preserve">Exercício 20.7.</w:t>
      </w:r>
      <w:r>
        <w:t xml:space="preserve"> </w:t>
      </w:r>
      <w:r>
        <w:t xml:space="preserve">{#ex-20-7} Um fazendeiro cria</w:t>
      </w:r>
      <w:r>
        <w:t xml:space="preserve"> </w:t>
      </w:r>
      <m:oMath>
        <m:r>
          <m:t>n</m:t>
        </m:r>
      </m:oMath>
      <w:r>
        <w:t xml:space="preserve"> </w:t>
      </w:r>
      <w:r>
        <w:t xml:space="preserve">cabeças de gado com lucro</w:t>
      </w:r>
      <w:r>
        <w:t xml:space="preserve"> </w:t>
      </w:r>
      <m:oMath>
        <m:sSub>
          <m:e>
            <m:r>
              <m:t>π</m:t>
            </m:r>
          </m:e>
          <m:sub>
            <m:r>
              <m:t>F</m:t>
            </m:r>
          </m:sub>
        </m:sSub>
        <m:r>
          <m:rPr>
            <m:sty m:val="p"/>
          </m:rPr>
          <m:t>(</m:t>
        </m:r>
        <m:r>
          <m:t>n</m:t>
        </m:r>
        <m:r>
          <m:rPr>
            <m:sty m:val="p"/>
          </m:rPr>
          <m:t>)</m:t>
        </m:r>
        <m:r>
          <m:rPr>
            <m:sty m:val="p"/>
          </m:rPr>
          <m:t>=</m:t>
        </m:r>
        <m:r>
          <m:t>120</m:t>
        </m:r>
        <m:r>
          <m:t>n</m:t>
        </m:r>
        <m:r>
          <m:rPr>
            <m:sty m:val="p"/>
          </m:rPr>
          <m:t>−</m:t>
        </m:r>
        <m:r>
          <m:t>3</m:t>
        </m:r>
        <m:sSup>
          <m:e>
            <m:r>
              <m:t>n</m:t>
            </m:r>
          </m:e>
          <m:sup>
            <m:r>
              <m:t>2</m:t>
            </m:r>
          </m:sup>
        </m:sSup>
      </m:oMath>
      <w:r>
        <w:t xml:space="preserve">. O gado causa dano à lavoura vizinha de</w:t>
      </w:r>
      <w:r>
        <w:t xml:space="preserve"> </w:t>
      </w:r>
      <m:oMath>
        <m:r>
          <m:t>D</m:t>
        </m:r>
        <m:r>
          <m:rPr>
            <m:sty m:val="p"/>
          </m:rPr>
          <m:t>(</m:t>
        </m:r>
        <m:r>
          <m:t>n</m:t>
        </m:r>
        <m:r>
          <m:rPr>
            <m:sty m:val="p"/>
          </m:rPr>
          <m:t>)</m:t>
        </m:r>
        <m:r>
          <m:rPr>
            <m:sty m:val="p"/>
          </m:rPr>
          <m:t>=</m:t>
        </m:r>
        <m:r>
          <m:t>2</m:t>
        </m:r>
        <m:sSup>
          <m:e>
            <m:r>
              <m:t>n</m:t>
            </m:r>
          </m:e>
          <m:sup>
            <m:r>
              <m:t>2</m:t>
            </m:r>
          </m:sup>
        </m:sSup>
      </m:oMath>
      <w:r>
        <w:t xml:space="preserve">.</w:t>
      </w:r>
    </w:p>
    <w:p>
      <w:pPr>
        <w:pStyle w:val="Compact"/>
        <w:numPr>
          <w:ilvl w:val="0"/>
          <w:numId w:val="2124"/>
        </w:numPr>
      </w:pPr>
      <w:r>
        <w:t xml:space="preserve">Encontre o equilíbrio sem negociação.</w:t>
      </w:r>
    </w:p>
    <w:p>
      <w:pPr>
        <w:pStyle w:val="Compact"/>
        <w:numPr>
          <w:ilvl w:val="0"/>
          <w:numId w:val="2124"/>
        </w:numPr>
      </w:pPr>
      <w:r>
        <w:t xml:space="preserve">Encontre o número socialmente ótimo de cabeças.</w:t>
      </w:r>
    </w:p>
    <w:p>
      <w:pPr>
        <w:pStyle w:val="Compact"/>
        <w:numPr>
          <w:ilvl w:val="0"/>
          <w:numId w:val="2124"/>
        </w:numPr>
      </w:pPr>
      <w:r>
        <w:t xml:space="preserve">Se o fazendeiro tem o direito de criar gado livremente, mostre que a negociação coaseana leva ao ótimo social. Determine o intervalo de compensação.</w:t>
      </w:r>
    </w:p>
    <w:p>
      <w:pPr>
        <w:pStyle w:val="Compact"/>
        <w:numPr>
          <w:ilvl w:val="0"/>
          <w:numId w:val="2124"/>
        </w:numPr>
      </w:pPr>
      <w:r>
        <w:t xml:space="preserve">Se o lavrador tem o direito a não sofrer danos, mostre que a negociação leva ao mesmo ótimo. Determine o intervalo de compensação.</w:t>
      </w:r>
    </w:p>
    <w:p>
      <w:pPr>
        <w:pStyle w:val="FirstParagraph"/>
      </w:pPr>
      <w:r>
        <w:t xml:space="preserve">Solução (Cap. 20)</w:t>
      </w:r>
    </w:p>
    <w:p>
      <w:r>
        <w:pict>
          <v:rect style="width:0;height:1.5pt" o:hralign="center" o:hrstd="t" o:hr="t"/>
        </w:pict>
      </w:r>
    </w:p>
    <w:p>
      <w:pPr>
        <w:pStyle w:val="FirstParagraph"/>
      </w:pPr>
      <w:r>
        <w:rPr>
          <w:b/>
          <w:bCs/>
        </w:rPr>
        <w:t xml:space="preserve">Exercício 20.8.</w:t>
      </w:r>
      <w:r>
        <w:t xml:space="preserve"> </w:t>
      </w:r>
      <w:r>
        <w:t xml:space="preserve">{#ex-20-8}</w:t>
      </w:r>
      <w:r>
        <w:t xml:space="preserve"> </w:t>
      </w:r>
      <m:oMath>
        <m:r>
          <m:t>N</m:t>
        </m:r>
        <m:r>
          <m:rPr>
            <m:sty m:val="p"/>
          </m:rPr>
          <m:t>=</m:t>
        </m:r>
        <m:r>
          <m:t>50</m:t>
        </m:r>
      </m:oMath>
      <w:r>
        <w:t xml:space="preserve"> </w:t>
      </w:r>
      <w:r>
        <w:t xml:space="preserve">consumidores idênticos, renda</w:t>
      </w:r>
      <w:r>
        <w:t xml:space="preserve"> </w:t>
      </w:r>
      <m:oMath>
        <m:r>
          <m:t>W</m:t>
        </m:r>
        <m:r>
          <m:rPr>
            <m:sty m:val="p"/>
          </m:rPr>
          <m:t>=</m:t>
        </m:r>
        <m:r>
          <m:t>100</m:t>
        </m:r>
      </m:oMath>
      <w:r>
        <w:t xml:space="preserve">, utilidade</w:t>
      </w:r>
      <w:r>
        <w:t xml:space="preserve"> </w:t>
      </w:r>
      <m:oMath>
        <m:sSub>
          <m:e>
            <m:r>
              <m:t>U</m:t>
            </m:r>
          </m:e>
          <m:sub>
            <m:r>
              <m:t>i</m:t>
            </m:r>
          </m:sub>
        </m:sSub>
        <m:r>
          <m:rPr>
            <m:sty m:val="p"/>
          </m:rPr>
          <m:t>=</m:t>
        </m:r>
        <m:sSub>
          <m:e>
            <m:r>
              <m:t>x</m:t>
            </m:r>
          </m:e>
          <m:sub>
            <m:r>
              <m:t>i</m:t>
            </m:r>
          </m:sub>
        </m:sSub>
        <m:r>
          <m:rPr>
            <m:sty m:val="p"/>
          </m:rPr>
          <m:t>+</m:t>
        </m:r>
        <m:r>
          <m:t>10</m:t>
        </m:r>
        <m:rad>
          <m:radPr>
            <m:degHide m:val="on"/>
          </m:radPr>
          <m:deg/>
          <m:e>
            <m:r>
              <m:t>G</m:t>
            </m:r>
          </m:e>
        </m:rad>
      </m:oMath>
      <w:r>
        <w:t xml:space="preserve">, custo</w:t>
      </w:r>
      <w:r>
        <w:t xml:space="preserve"> </w:t>
      </w:r>
      <m:oMath>
        <m:r>
          <m:t>C</m:t>
        </m:r>
        <m:r>
          <m:rPr>
            <m:sty m:val="p"/>
          </m:rPr>
          <m:t>(</m:t>
        </m:r>
        <m:r>
          <m:t>G</m:t>
        </m:r>
        <m:r>
          <m:rPr>
            <m:sty m:val="p"/>
          </m:rPr>
          <m:t>)</m:t>
        </m:r>
        <m:r>
          <m:rPr>
            <m:sty m:val="p"/>
          </m:rPr>
          <m:t>=</m:t>
        </m:r>
        <m:r>
          <m:t>G</m:t>
        </m:r>
      </m:oMath>
      <w:r>
        <w:t xml:space="preserve">.</w:t>
      </w:r>
    </w:p>
    <w:p>
      <w:pPr>
        <w:pStyle w:val="Compact"/>
        <w:numPr>
          <w:ilvl w:val="0"/>
          <w:numId w:val="2125"/>
        </w:numPr>
      </w:pPr>
      <w:r>
        <w:t xml:space="preserve">Derive a condição de Samuelson e encontre</w:t>
      </w:r>
      <w:r>
        <w:t xml:space="preserve"> </w:t>
      </w:r>
      <m:oMath>
        <m:sSup>
          <m:e>
            <m:r>
              <m:t>G</m:t>
            </m:r>
          </m:e>
          <m:sup>
            <m:r>
              <m:rPr>
                <m:sty m:val="p"/>
              </m:rPr>
              <m:t>*</m:t>
            </m:r>
          </m:sup>
        </m:sSup>
      </m:oMath>
      <w:r>
        <w:t xml:space="preserve">.</w:t>
      </w:r>
    </w:p>
    <w:p>
      <w:pPr>
        <w:pStyle w:val="Compact"/>
        <w:numPr>
          <w:ilvl w:val="0"/>
          <w:numId w:val="2125"/>
        </w:numPr>
      </w:pPr>
      <w:r>
        <w:t xml:space="preserve">Encontre o equilíbrio de Nash de contribuição voluntária</w:t>
      </w:r>
      <w:r>
        <w:t xml:space="preserve"> </w:t>
      </w:r>
      <m:oMath>
        <m:sSup>
          <m:e>
            <m:r>
              <m:t>G</m:t>
            </m:r>
          </m:e>
          <m:sup>
            <m:r>
              <m:t>N</m:t>
            </m:r>
            <m:r>
              <m:t>a</m:t>
            </m:r>
            <m:r>
              <m:t>s</m:t>
            </m:r>
            <m:r>
              <m:t>h</m:t>
            </m:r>
          </m:sup>
        </m:sSup>
      </m:oMath>
      <w:r>
        <w:t xml:space="preserve">.</w:t>
      </w:r>
    </w:p>
    <w:p>
      <w:pPr>
        <w:pStyle w:val="Compact"/>
        <w:numPr>
          <w:ilvl w:val="0"/>
          <w:numId w:val="2125"/>
        </w:numPr>
      </w:pPr>
      <w:r>
        <w:t xml:space="preserve">Calcule a razão</w:t>
      </w:r>
      <w:r>
        <w:t xml:space="preserve"> </w:t>
      </w:r>
      <m:oMath>
        <m:sSup>
          <m:e>
            <m:r>
              <m:t>G</m:t>
            </m:r>
          </m:e>
          <m:sup>
            <m:r>
              <m:t>N</m:t>
            </m:r>
            <m:r>
              <m:t>a</m:t>
            </m:r>
            <m:r>
              <m:t>s</m:t>
            </m:r>
            <m:r>
              <m:t>h</m:t>
            </m:r>
          </m:sup>
        </m:sSup>
        <m:r>
          <m:rPr>
            <m:sty m:val="p"/>
          </m:rPr>
          <m:t>/</m:t>
        </m:r>
        <m:sSup>
          <m:e>
            <m:r>
              <m:t>G</m:t>
            </m:r>
          </m:e>
          <m:sup>
            <m:r>
              <m:rPr>
                <m:sty m:val="p"/>
              </m:rPr>
              <m:t>*</m:t>
            </m:r>
          </m:sup>
        </m:sSup>
      </m:oMath>
      <w:r>
        <w:t xml:space="preserve"> </w:t>
      </w:r>
      <w:r>
        <w:t xml:space="preserve">e interprete.</w:t>
      </w:r>
    </w:p>
    <w:p>
      <w:pPr>
        <w:pStyle w:val="Compact"/>
        <w:numPr>
          <w:ilvl w:val="0"/>
          <w:numId w:val="2125"/>
        </w:numPr>
      </w:pPr>
      <w:r>
        <w:t xml:space="preserve">O que acontece se</w:t>
      </w:r>
      <w:r>
        <w:t xml:space="preserve"> </w:t>
      </w:r>
      <m:oMath>
        <m:r>
          <m:t>N</m:t>
        </m:r>
      </m:oMath>
      <w:r>
        <w:t xml:space="preserve"> </w:t>
      </w:r>
      <w:r>
        <w:t xml:space="preserve">aumenta para 200? O problema do carona se agrava ou se atenua?</w:t>
      </w:r>
    </w:p>
    <w:p>
      <w:pPr>
        <w:pStyle w:val="FirstParagraph"/>
      </w:pPr>
      <w:r>
        <w:t xml:space="preserve">Solução (Cap. 20)</w:t>
      </w:r>
    </w:p>
    <w:p>
      <w:r>
        <w:pict>
          <v:rect style="width:0;height:1.5pt" o:hralign="center" o:hrstd="t" o:hr="t"/>
        </w:pict>
      </w:r>
    </w:p>
    <w:p>
      <w:pPr>
        <w:pStyle w:val="FirstParagraph"/>
      </w:pPr>
      <w:r>
        <w:rPr>
          <w:b/>
          <w:bCs/>
        </w:rPr>
        <w:t xml:space="preserve">Exercício 20.9.</w:t>
      </w:r>
      <w:r>
        <w:t xml:space="preserve"> </w:t>
      </w:r>
      <w:r>
        <w:t xml:space="preserve">{#ex-20-9} (</w:t>
      </w:r>
      <w:r>
        <w:rPr>
          <w:b/>
          <w:bCs/>
        </w:rPr>
        <w:t xml:space="preserve">Tragédia dos comuns.</w:t>
      </w:r>
      <w:r>
        <w:t xml:space="preserve">) Num lago de acesso aberto, a captura total é</w:t>
      </w:r>
      <w:r>
        <w:t xml:space="preserve"> </w:t>
      </w:r>
      <m:oMath>
        <m:r>
          <m:t>Q</m:t>
        </m:r>
        <m:r>
          <m:rPr>
            <m:sty m:val="p"/>
          </m:rPr>
          <m:t>=</m:t>
        </m:r>
        <m:r>
          <m:t>E</m:t>
        </m:r>
        <m:r>
          <m:rPr>
            <m:sty m:val="p"/>
          </m:rPr>
          <m:t>(</m:t>
        </m:r>
        <m:r>
          <m:t>100</m:t>
        </m:r>
        <m:r>
          <m:rPr>
            <m:sty m:val="p"/>
          </m:rPr>
          <m:t>−</m:t>
        </m:r>
        <m:r>
          <m:t>E</m:t>
        </m:r>
        <m:r>
          <m:rPr>
            <m:sty m:val="p"/>
          </m:rPr>
          <m:t>)</m:t>
        </m:r>
      </m:oMath>
      <w:r>
        <w:t xml:space="preserve">, onde</w:t>
      </w:r>
      <w:r>
        <w:t xml:space="preserve"> </w:t>
      </w:r>
      <m:oMath>
        <m:r>
          <m:t>E</m:t>
        </m:r>
      </m:oMath>
      <w:r>
        <w:t xml:space="preserve"> </w:t>
      </w:r>
      <w:r>
        <w:t xml:space="preserve">é o esforço total de pesca. Preço do peixe:</w:t>
      </w:r>
      <w:r>
        <w:t xml:space="preserve"> </w:t>
      </w:r>
      <m:oMath>
        <m:r>
          <m:t>p</m:t>
        </m:r>
        <m:r>
          <m:rPr>
            <m:sty m:val="p"/>
          </m:rPr>
          <m:t>=</m:t>
        </m:r>
        <m:r>
          <m:t>1</m:t>
        </m:r>
      </m:oMath>
      <w:r>
        <w:t xml:space="preserve">. Custo por unidade de esforço:</w:t>
      </w:r>
      <w:r>
        <w:t xml:space="preserve"> </w:t>
      </w:r>
      <m:oMath>
        <m:r>
          <m:t>w</m:t>
        </m:r>
        <m:r>
          <m:rPr>
            <m:sty m:val="p"/>
          </m:rPr>
          <m:t>=</m:t>
        </m:r>
        <m:r>
          <m:t>10</m:t>
        </m:r>
      </m:oMath>
      <w:r>
        <w:t xml:space="preserve">. Há</w:t>
      </w:r>
      <w:r>
        <w:t xml:space="preserve"> </w:t>
      </w:r>
      <m:oMath>
        <m:r>
          <m:t>n</m:t>
        </m:r>
        <m:r>
          <m:rPr>
            <m:sty m:val="p"/>
          </m:rPr>
          <m:t>=</m:t>
        </m:r>
        <m:r>
          <m:t>10</m:t>
        </m:r>
      </m:oMath>
      <w:r>
        <w:t xml:space="preserve"> </w:t>
      </w:r>
      <w:r>
        <w:t xml:space="preserve">pescadores idênticos.</w:t>
      </w:r>
    </w:p>
    <w:p>
      <w:pPr>
        <w:pStyle w:val="Compact"/>
        <w:numPr>
          <w:ilvl w:val="0"/>
          <w:numId w:val="2126"/>
        </w:numPr>
      </w:pPr>
      <w:r>
        <w:t xml:space="preserve">Encontre o esforço total de equilíbrio (acesso aberto).</w:t>
      </w:r>
    </w:p>
    <w:p>
      <w:pPr>
        <w:pStyle w:val="Compact"/>
        <w:numPr>
          <w:ilvl w:val="0"/>
          <w:numId w:val="2126"/>
        </w:numPr>
      </w:pPr>
      <w:r>
        <w:t xml:space="preserve">Encontre o esforço socialmente eficiente.</w:t>
      </w:r>
    </w:p>
    <w:p>
      <w:pPr>
        <w:pStyle w:val="Compact"/>
        <w:numPr>
          <w:ilvl w:val="0"/>
          <w:numId w:val="2126"/>
        </w:numPr>
      </w:pPr>
      <w:r>
        <w:t xml:space="preserve">Calcule o peso morto do acesso aberto.</w:t>
      </w:r>
    </w:p>
    <w:p>
      <w:pPr>
        <w:pStyle w:val="Compact"/>
        <w:numPr>
          <w:ilvl w:val="0"/>
          <w:numId w:val="2126"/>
        </w:numPr>
      </w:pPr>
      <w:r>
        <w:t xml:space="preserve">Proponha duas políticas para alcançar o ótimo social.</w:t>
      </w:r>
    </w:p>
    <w:p>
      <w:pPr>
        <w:pStyle w:val="FirstParagraph"/>
      </w:pPr>
      <w:r>
        <w:t xml:space="preserve">Solução (Cap. 20)</w:t>
      </w:r>
    </w:p>
    <w:p>
      <w:r>
        <w:pict>
          <v:rect style="width:0;height:1.5pt" o:hralign="center" o:hrstd="t" o:hr="t"/>
        </w:pict>
      </w:r>
    </w:p>
    <w:p>
      <w:pPr>
        <w:pStyle w:val="FirstParagraph"/>
      </w:pPr>
      <w:r>
        <w:rPr>
          <w:b/>
          <w:bCs/>
        </w:rPr>
        <w:t xml:space="preserve">Exercício 20.10.</w:t>
      </w:r>
      <w:r>
        <w:t xml:space="preserve"> </w:t>
      </w:r>
      <w:r>
        <w:t xml:space="preserve">{#ex-20-10} (</w:t>
      </w:r>
      <w:r>
        <w:rPr>
          <w:b/>
          <w:bCs/>
        </w:rPr>
        <w:t xml:space="preserve">Cap-and-trade vs. imposto sob incerteza.</w:t>
      </w:r>
      <w:r>
        <w:t xml:space="preserve">) Três firmas com custos marginais de abatimento:</w:t>
      </w:r>
      <w:r>
        <w:t xml:space="preserve"> </w:t>
      </w:r>
      <m:oMath>
        <m:r>
          <m:t>C</m:t>
        </m:r>
        <m:r>
          <m:t>M</m:t>
        </m:r>
        <m:r>
          <m:t>g</m:t>
        </m:r>
        <m:sSub>
          <m:e>
            <m:r>
              <m:t>A</m:t>
            </m:r>
          </m:e>
          <m:sub>
            <m:r>
              <m:t>1</m:t>
            </m:r>
          </m:sub>
        </m:sSub>
        <m:r>
          <m:rPr>
            <m:sty m:val="p"/>
          </m:rPr>
          <m:t>=</m:t>
        </m:r>
        <m:r>
          <m:t>2</m:t>
        </m:r>
        <m:sSub>
          <m:e>
            <m:r>
              <m:t>a</m:t>
            </m:r>
          </m:e>
          <m:sub>
            <m:r>
              <m:t>1</m:t>
            </m:r>
          </m:sub>
        </m:sSub>
      </m:oMath>
      <w:r>
        <w:t xml:space="preserve">,</w:t>
      </w:r>
      <w:r>
        <w:t xml:space="preserve"> </w:t>
      </w:r>
      <m:oMath>
        <m:r>
          <m:t>C</m:t>
        </m:r>
        <m:r>
          <m:t>M</m:t>
        </m:r>
        <m:r>
          <m:t>g</m:t>
        </m:r>
        <m:sSub>
          <m:e>
            <m:r>
              <m:t>A</m:t>
            </m:r>
          </m:e>
          <m:sub>
            <m:r>
              <m:t>2</m:t>
            </m:r>
          </m:sub>
        </m:sSub>
        <m:r>
          <m:rPr>
            <m:sty m:val="p"/>
          </m:rPr>
          <m:t>=</m:t>
        </m:r>
        <m:r>
          <m:t>4</m:t>
        </m:r>
        <m:sSub>
          <m:e>
            <m:r>
              <m:t>a</m:t>
            </m:r>
          </m:e>
          <m:sub>
            <m:r>
              <m:t>2</m:t>
            </m:r>
          </m:sub>
        </m:sSub>
      </m:oMath>
      <w:r>
        <w:t xml:space="preserve">,</w:t>
      </w:r>
      <w:r>
        <w:t xml:space="preserve"> </w:t>
      </w:r>
      <m:oMath>
        <m:r>
          <m:t>C</m:t>
        </m:r>
        <m:r>
          <m:t>M</m:t>
        </m:r>
        <m:r>
          <m:t>g</m:t>
        </m:r>
        <m:sSub>
          <m:e>
            <m:r>
              <m:t>A</m:t>
            </m:r>
          </m:e>
          <m:sub>
            <m:r>
              <m:t>3</m:t>
            </m:r>
          </m:sub>
        </m:sSub>
        <m:r>
          <m:rPr>
            <m:sty m:val="p"/>
          </m:rPr>
          <m:t>=</m:t>
        </m:r>
        <m:sSub>
          <m:e>
            <m:r>
              <m:t>a</m:t>
            </m:r>
          </m:e>
          <m:sub>
            <m:r>
              <m:t>3</m:t>
            </m:r>
          </m:sub>
        </m:sSub>
      </m:oMath>
      <w:r>
        <w:t xml:space="preserve">. Meta: redução total de 100 toneladas.</w:t>
      </w:r>
    </w:p>
    <w:p>
      <w:pPr>
        <w:pStyle w:val="Compact"/>
        <w:numPr>
          <w:ilvl w:val="0"/>
          <w:numId w:val="2127"/>
        </w:numPr>
      </w:pPr>
      <w:r>
        <w:t xml:space="preserve">Encontre a alocação custo-efetiva e o preço de equilíbrio das permissões. Mostre a equivalência com o imposto uniforme ótimo.</w:t>
      </w:r>
    </w:p>
    <w:p>
      <w:pPr>
        <w:pStyle w:val="Compact"/>
        <w:numPr>
          <w:ilvl w:val="0"/>
          <w:numId w:val="2127"/>
        </w:numPr>
      </w:pPr>
      <w:r>
        <w:t xml:space="preserve">Compare o custo total da alocação custo-efetiva com abatimento uniforme.</w:t>
      </w:r>
    </w:p>
    <w:p>
      <w:pPr>
        <w:pStyle w:val="Compact"/>
        <w:numPr>
          <w:ilvl w:val="0"/>
          <w:numId w:val="2127"/>
        </w:numPr>
      </w:pPr>
      <w:r>
        <w:t xml:space="preserve">Se os verdadeiros custos forem 50% maiores que o estimado e o dano marginal for constante (</w:t>
      </w:r>
      <m:oMath>
        <m:sSup>
          <m:e>
            <m:r>
              <m:t>D</m:t>
            </m:r>
          </m:e>
          <m:sup>
            <m:r>
              <m:rPr>
                <m:sty m:val="p"/>
              </m:rPr>
              <m:t>′</m:t>
            </m:r>
          </m:sup>
        </m:sSup>
        <m:r>
          <m:rPr>
            <m:sty m:val="p"/>
          </m:rPr>
          <m:t>=</m:t>
        </m:r>
        <m:r>
          <m:t>40</m:t>
        </m:r>
      </m:oMath>
      <w:r>
        <w:t xml:space="preserve">), compare imposto</w:t>
      </w:r>
      <w:r>
        <w:t xml:space="preserve"> </w:t>
      </w:r>
      <m:oMath>
        <m:r>
          <m:t>t</m:t>
        </m:r>
        <m:r>
          <m:rPr>
            <m:sty m:val="p"/>
          </m:rPr>
          <m:t>=</m:t>
        </m:r>
        <m:r>
          <m:t>40</m:t>
        </m:r>
      </m:oMath>
      <w:r>
        <w:t xml:space="preserve"> </w:t>
      </w:r>
      <w:r>
        <w:t xml:space="preserve">com cap = 100.</w:t>
      </w:r>
    </w:p>
    <w:p>
      <w:pPr>
        <w:pStyle w:val="Compact"/>
        <w:numPr>
          <w:ilvl w:val="0"/>
          <w:numId w:val="2127"/>
        </w:numPr>
      </w:pPr>
      <w:r>
        <w:t xml:space="preserve">Relacione o resultado com Weitzman (1974).</w:t>
      </w:r>
    </w:p>
    <w:p>
      <w:pPr>
        <w:pStyle w:val="FirstParagraph"/>
      </w:pPr>
      <w:r>
        <w:t xml:space="preserve">Solução (Cap. 20)</w:t>
      </w:r>
    </w:p>
    <w:p>
      <w:r>
        <w:pict>
          <v:rect style="width:0;height:1.5pt" o:hralign="center" o:hrstd="t" o:hr="t"/>
        </w:pict>
      </w:r>
    </w:p>
    <w:bookmarkEnd w:id="1276"/>
    <w:bookmarkStart w:id="1277" w:name="vem-anpec-20"/>
    <w:p>
      <w:pPr>
        <w:pStyle w:val="Heading3"/>
      </w:pPr>
      <w:r>
        <w:t xml:space="preserve">Vem, ANPEC!</w:t>
      </w:r>
    </w:p>
    <w:p>
      <w:pPr>
        <w:pStyle w:val="BlockText"/>
      </w:pPr>
      <w:r>
        <w:rPr>
          <w:b/>
          <w:bCs/>
        </w:rPr>
        <w:t xml:space="preserve">[QUESTAO] ANPEC 2017, Questão 10</w:t>
      </w:r>
    </w:p>
    <w:p>
      <w:pPr>
        <w:pStyle w:val="BlockText"/>
      </w:pPr>
      <w:r>
        <w:t xml:space="preserve">Sobre externalidades e bens públicos, classifique as afirmativas como Verdadeiras (V) ou Falsas (F):</w:t>
      </w:r>
    </w:p>
    <w:p>
      <w:pPr>
        <w:pStyle w:val="BlockText"/>
        <w:numPr>
          <w:ilvl w:val="0"/>
          <w:numId w:val="2128"/>
        </w:numPr>
      </w:pPr>
      <w:r>
        <w:t xml:space="preserve">Na presença de externalidade negativa de produção, o equilíbrio competitivo gera quantidade superior à socialmente ótima.</w:t>
      </w:r>
    </w:p>
    <w:p>
      <w:pPr>
        <w:pStyle w:val="BlockText"/>
        <w:numPr>
          <w:ilvl w:val="0"/>
          <w:numId w:val="2128"/>
        </w:numPr>
      </w:pPr>
      <w:r>
        <w:t xml:space="preserve">O Teorema de Coase afirma que, havendo custos de transação nulos e direitos de propriedade bem definidos, a negociação privada sempre conduzirá à alocação eficiente, independentemente da atribuição inicial dos direitos.</w:t>
      </w:r>
    </w:p>
    <w:p>
      <w:pPr>
        <w:pStyle w:val="BlockText"/>
        <w:numPr>
          <w:ilvl w:val="0"/>
          <w:numId w:val="2128"/>
        </w:numPr>
      </w:pPr>
      <w:r>
        <w:t xml:space="preserve">A condição de Samuelson para provisão eficiente de bens públicos estabelece que cada consumidor deve igualar sua taxa marginal de substituição ao custo marginal de produção.</w:t>
      </w:r>
    </w:p>
    <w:p>
      <w:pPr>
        <w:pStyle w:val="BlockText"/>
        <w:numPr>
          <w:ilvl w:val="0"/>
          <w:numId w:val="2128"/>
        </w:numPr>
      </w:pPr>
      <w:r>
        <w:t xml:space="preserve">Em um sistema de cap-and-trade, o preço de equilíbrio da permissão de emissão iguala os custos marginais de abatimento entre as firmas participantes.</w:t>
      </w:r>
    </w:p>
    <w:p>
      <w:pPr>
        <w:pStyle w:val="BlockText"/>
        <w:numPr>
          <w:ilvl w:val="0"/>
          <w:numId w:val="2128"/>
        </w:numPr>
      </w:pPr>
      <w:r>
        <w:t xml:space="preserve">O problema do carona (free rider) tende a ser mais severo em grupos maiores.</w:t>
      </w:r>
    </w:p>
    <w:p>
      <w:pPr>
        <w:pStyle w:val="BlockText"/>
      </w:pPr>
      <w:r>
        <w:t xml:space="preserve">??? tip</w:t>
      </w:r>
      <w:r>
        <w:t xml:space="preserve"> </w:t>
      </w:r>
      <w:r>
        <w:t xml:space="preserve">“Gabarito”</w:t>
      </w:r>
      <w:r>
        <w:t xml:space="preserve"> </w:t>
      </w:r>
      <w:r>
        <w:t xml:space="preserve">(0)</w:t>
      </w:r>
      <w:r>
        <w:t xml:space="preserve"> </w:t>
      </w:r>
      <w:r>
        <w:rPr>
          <w:b/>
          <w:bCs/>
        </w:rPr>
        <w:t xml:space="preserve">V</w:t>
      </w:r>
      <w:r>
        <w:t xml:space="preserve"> </w:t>
      </w:r>
      <w:r>
        <w:t xml:space="preserve">— Com externalidade negativa, CMg social &gt; CMg privado, levando a sobreprodução.</w:t>
      </w:r>
    </w:p>
    <w:p>
      <w:pPr>
        <w:pStyle w:val="SourceCode"/>
      </w:pPr>
      <w:r>
        <w:rPr>
          <w:rStyle w:val="VerbatimChar"/>
        </w:rPr>
        <w:t xml:space="preserve">(1) **V** — Enunciado correto do Teorema de Coase.</w:t>
      </w:r>
      <w:r>
        <w:br/>
      </w:r>
      <w:r>
        <w:br/>
      </w:r>
      <w:r>
        <w:rPr>
          <w:rStyle w:val="VerbatimChar"/>
        </w:rPr>
        <w:t xml:space="preserve">(2) **F** — A condição de Samuelson exige que a **soma** das TMS iguale o CMg, não a TMS individual.</w:t>
      </w:r>
      <w:r>
        <w:br/>
      </w:r>
      <w:r>
        <w:br/>
      </w:r>
      <w:r>
        <w:rPr>
          <w:rStyle w:val="VerbatimChar"/>
        </w:rPr>
        <w:t xml:space="preserve">(3) **V** — No equilíbrio do mercado de permissões, os custos marginais de abatimento se equalizam.</w:t>
      </w:r>
      <w:r>
        <w:br/>
      </w:r>
      <w:r>
        <w:br/>
      </w:r>
      <w:r>
        <w:rPr>
          <w:rStyle w:val="VerbatimChar"/>
        </w:rPr>
        <w:t xml:space="preserve">(4) **V** — Em grupos maiores, a contribuição individual tem efeito menor sobre a provisão total, aumentando o incentivo ao free-riding (Olson, 1965).</w:t>
      </w:r>
    </w:p>
    <w:p>
      <w:pPr>
        <w:pStyle w:val="BlockText"/>
      </w:pPr>
      <w:r>
        <w:rPr>
          <w:b/>
          <w:bCs/>
        </w:rPr>
        <w:t xml:space="preserve">[QUESTAO] ANPEC 2022, Questão 08</w:t>
      </w:r>
    </w:p>
    <w:p>
      <w:pPr>
        <w:pStyle w:val="BlockText"/>
      </w:pPr>
      <w:r>
        <w:t xml:space="preserve">Considere uma economia com dois consumidores (1 e 2), um bem privado</w:t>
      </w:r>
      <w:r>
        <w:t xml:space="preserve"> </w:t>
      </w:r>
      <m:oMath>
        <m:r>
          <m:t>x</m:t>
        </m:r>
      </m:oMath>
      <w:r>
        <w:t xml:space="preserve"> </w:t>
      </w:r>
      <w:r>
        <w:t xml:space="preserve">e um bem público</w:t>
      </w:r>
      <w:r>
        <w:t xml:space="preserve"> </w:t>
      </w:r>
      <m:oMath>
        <m:r>
          <m:t>G</m:t>
        </m:r>
      </m:oMath>
      <w:r>
        <w:t xml:space="preserve">. As utilidades são</w:t>
      </w:r>
      <w:r>
        <w:t xml:space="preserve"> </w:t>
      </w:r>
      <m:oMath>
        <m:sSub>
          <m:e>
            <m:r>
              <m:t>U</m:t>
            </m:r>
          </m:e>
          <m:sub>
            <m:r>
              <m:t>1</m:t>
            </m:r>
          </m:sub>
        </m:sSub>
        <m:r>
          <m:rPr>
            <m:sty m:val="p"/>
          </m:rPr>
          <m:t>=</m:t>
        </m:r>
        <m:sSub>
          <m:e>
            <m:r>
              <m:t>x</m:t>
            </m:r>
          </m:e>
          <m:sub>
            <m:r>
              <m:t>1</m:t>
            </m:r>
          </m:sub>
        </m:sSub>
        <m:r>
          <m:rPr>
            <m:sty m:val="p"/>
          </m:rPr>
          <m:t>+</m:t>
        </m:r>
        <m:r>
          <m:t>8</m:t>
        </m:r>
        <m:rad>
          <m:radPr>
            <m:degHide m:val="on"/>
          </m:radPr>
          <m:deg/>
          <m:e>
            <m:r>
              <m:t>G</m:t>
            </m:r>
          </m:e>
        </m:rad>
      </m:oMath>
      <w:r>
        <w:t xml:space="preserve"> </w:t>
      </w:r>
      <w:r>
        <w:t xml:space="preserve">e</w:t>
      </w:r>
      <w:r>
        <w:t xml:space="preserve"> </w:t>
      </w:r>
      <m:oMath>
        <m:sSub>
          <m:e>
            <m:r>
              <m:t>U</m:t>
            </m:r>
          </m:e>
          <m:sub>
            <m:r>
              <m:t>2</m:t>
            </m:r>
          </m:sub>
        </m:sSub>
        <m:r>
          <m:rPr>
            <m:sty m:val="p"/>
          </m:rPr>
          <m:t>=</m:t>
        </m:r>
        <m:sSub>
          <m:e>
            <m:r>
              <m:t>x</m:t>
            </m:r>
          </m:e>
          <m:sub>
            <m:r>
              <m:t>2</m:t>
            </m:r>
          </m:sub>
        </m:sSub>
        <m:r>
          <m:rPr>
            <m:sty m:val="p"/>
          </m:rPr>
          <m:t>+</m:t>
        </m:r>
        <m:r>
          <m:t>4</m:t>
        </m:r>
        <m:rad>
          <m:radPr>
            <m:degHide m:val="on"/>
          </m:radPr>
          <m:deg/>
          <m:e>
            <m:r>
              <m:t>G</m:t>
            </m:r>
          </m:e>
        </m:rad>
      </m:oMath>
      <w:r>
        <w:t xml:space="preserve">. O custo do bem público é</w:t>
      </w:r>
      <w:r>
        <w:t xml:space="preserve"> </w:t>
      </w:r>
      <m:oMath>
        <m:r>
          <m:t>C</m:t>
        </m:r>
        <m:r>
          <m:rPr>
            <m:sty m:val="p"/>
          </m:rPr>
          <m:t>(</m:t>
        </m:r>
        <m:r>
          <m:t>G</m:t>
        </m:r>
        <m:r>
          <m:rPr>
            <m:sty m:val="p"/>
          </m:rPr>
          <m:t>)</m:t>
        </m:r>
        <m:r>
          <m:rPr>
            <m:sty m:val="p"/>
          </m:rPr>
          <m:t>=</m:t>
        </m:r>
        <m:r>
          <m:t>G</m:t>
        </m:r>
      </m:oMath>
      <w:r>
        <w:t xml:space="preserve">. Cada consumidor tem renda</w:t>
      </w:r>
      <w:r>
        <w:t xml:space="preserve"> </w:t>
      </w:r>
      <m:oMath>
        <m:r>
          <m:t>W</m:t>
        </m:r>
        <m:r>
          <m:rPr>
            <m:sty m:val="p"/>
          </m:rPr>
          <m:t>=</m:t>
        </m:r>
        <m:r>
          <m:t>100</m:t>
        </m:r>
      </m:oMath>
      <w:r>
        <w:t xml:space="preserve">.</w:t>
      </w:r>
    </w:p>
    <w:p>
      <w:pPr>
        <w:pStyle w:val="BlockText"/>
        <w:numPr>
          <w:ilvl w:val="0"/>
          <w:numId w:val="2129"/>
        </w:numPr>
      </w:pPr>
      <w:r>
        <w:t xml:space="preserve">A condição de Samuelson para provisão eficiente é</w:t>
      </w:r>
      <w:r>
        <w:t xml:space="preserve"> </w:t>
      </w:r>
      <m:oMath>
        <m:f>
          <m:fPr>
            <m:type m:val="bar"/>
          </m:fPr>
          <m:num>
            <m:r>
              <m:t>4</m:t>
            </m:r>
          </m:num>
          <m:den>
            <m:rad>
              <m:radPr>
                <m:degHide m:val="on"/>
              </m:radPr>
              <m:deg/>
              <m:e>
                <m:r>
                  <m:t>G</m:t>
                </m:r>
              </m:e>
            </m:rad>
          </m:den>
        </m:f>
        <m:r>
          <m:rPr>
            <m:sty m:val="p"/>
          </m:rPr>
          <m:t>+</m:t>
        </m:r>
        <m:f>
          <m:fPr>
            <m:type m:val="bar"/>
          </m:fPr>
          <m:num>
            <m:r>
              <m:t>2</m:t>
            </m:r>
          </m:num>
          <m:den>
            <m:rad>
              <m:radPr>
                <m:degHide m:val="on"/>
              </m:radPr>
              <m:deg/>
              <m:e>
                <m:r>
                  <m:t>G</m:t>
                </m:r>
              </m:e>
            </m:rad>
          </m:den>
        </m:f>
        <m:r>
          <m:rPr>
            <m:sty m:val="p"/>
          </m:rPr>
          <m:t>=</m:t>
        </m:r>
        <m:r>
          <m:t>1</m:t>
        </m:r>
      </m:oMath>
      <w:r>
        <w:t xml:space="preserve">.</w:t>
      </w:r>
    </w:p>
    <w:p>
      <w:pPr>
        <w:pStyle w:val="BlockText"/>
        <w:numPr>
          <w:ilvl w:val="0"/>
          <w:numId w:val="2129"/>
        </w:numPr>
      </w:pPr>
      <w:r>
        <w:t xml:space="preserve">O nível eficiente de bem público é</w:t>
      </w:r>
      <w:r>
        <w:t xml:space="preserve"> </w:t>
      </w:r>
      <m:oMath>
        <m:sSup>
          <m:e>
            <m:r>
              <m:t>G</m:t>
            </m:r>
          </m:e>
          <m:sup>
            <m:r>
              <m:rPr>
                <m:sty m:val="p"/>
              </m:rPr>
              <m:t>*</m:t>
            </m:r>
          </m:sup>
        </m:sSup>
        <m:r>
          <m:rPr>
            <m:sty m:val="p"/>
          </m:rPr>
          <m:t>=</m:t>
        </m:r>
        <m:r>
          <m:t>36</m:t>
        </m:r>
      </m:oMath>
      <w:r>
        <w:t xml:space="preserve">.</w:t>
      </w:r>
    </w:p>
    <w:p>
      <w:pPr>
        <w:pStyle w:val="BlockText"/>
        <w:numPr>
          <w:ilvl w:val="0"/>
          <w:numId w:val="2129"/>
        </w:numPr>
      </w:pPr>
      <w:r>
        <w:t xml:space="preserve">No equilíbrio de Nash de contribuição voluntária,</w:t>
      </w:r>
      <w:r>
        <w:t xml:space="preserve"> </w:t>
      </w:r>
      <m:oMath>
        <m:sSup>
          <m:e>
            <m:r>
              <m:t>G</m:t>
            </m:r>
          </m:e>
          <m:sup>
            <m:r>
              <m:t>N</m:t>
            </m:r>
            <m:r>
              <m:t>a</m:t>
            </m:r>
            <m:r>
              <m:t>s</m:t>
            </m:r>
            <m:r>
              <m:t>h</m:t>
            </m:r>
          </m:sup>
        </m:sSup>
        <m:r>
          <m:rPr>
            <m:sty m:val="p"/>
          </m:rPr>
          <m:t>=</m:t>
        </m:r>
        <m:r>
          <m:t>16</m:t>
        </m:r>
      </m:oMath>
      <w:r>
        <w:t xml:space="preserve">.</w:t>
      </w:r>
    </w:p>
    <w:p>
      <w:pPr>
        <w:pStyle w:val="BlockText"/>
        <w:numPr>
          <w:ilvl w:val="0"/>
          <w:numId w:val="2129"/>
        </w:numPr>
      </w:pPr>
      <w:r>
        <w:t xml:space="preserve">A provisão voluntária produz</w:t>
      </w:r>
      <w:r>
        <w:t xml:space="preserve"> </w:t>
      </w:r>
      <m:oMath>
        <m:sSup>
          <m:e>
            <m:r>
              <m:t>G</m:t>
            </m:r>
          </m:e>
          <m:sup>
            <m:r>
              <m:t>N</m:t>
            </m:r>
            <m:r>
              <m:t>a</m:t>
            </m:r>
            <m:r>
              <m:t>s</m:t>
            </m:r>
            <m:r>
              <m:t>h</m:t>
            </m:r>
          </m:sup>
        </m:sSup>
        <m:r>
          <m:rPr>
            <m:sty m:val="p"/>
          </m:rPr>
          <m:t>/</m:t>
        </m:r>
        <m:sSup>
          <m:e>
            <m:r>
              <m:t>G</m:t>
            </m:r>
          </m:e>
          <m:sup>
            <m:r>
              <m:rPr>
                <m:sty m:val="p"/>
              </m:rPr>
              <m:t>*</m:t>
            </m:r>
          </m:sup>
        </m:sSup>
        <m:r>
          <m:rPr>
            <m:sty m:val="p"/>
          </m:rPr>
          <m:t>=</m:t>
        </m:r>
        <m:r>
          <m:t>4</m:t>
        </m:r>
        <m:r>
          <m:rPr>
            <m:sty m:val="p"/>
          </m:rPr>
          <m:t>/</m:t>
        </m:r>
        <m:r>
          <m:t>9</m:t>
        </m:r>
      </m:oMath>
      <w:r>
        <w:t xml:space="preserve"> </w:t>
      </w:r>
      <w:r>
        <w:t xml:space="preserve">do nível eficiente.</w:t>
      </w:r>
    </w:p>
    <w:p>
      <w:pPr>
        <w:pStyle w:val="BlockText"/>
        <w:numPr>
          <w:ilvl w:val="0"/>
          <w:numId w:val="2129"/>
        </w:numPr>
      </w:pPr>
      <w:r>
        <w:t xml:space="preserve">A introdução de um mecanismo de Clarke resolveria o problema de subprovisão induzindo revelação verdadeira das preferências.</w:t>
      </w:r>
    </w:p>
    <w:p>
      <w:pPr>
        <w:pStyle w:val="BlockText"/>
      </w:pPr>
      <w:r>
        <w:t xml:space="preserve">??? tip</w:t>
      </w:r>
      <w:r>
        <w:t xml:space="preserve"> </w:t>
      </w:r>
      <w:r>
        <w:t xml:space="preserve">“Gabarito”</w:t>
      </w:r>
      <w:r>
        <w:t xml:space="preserve"> </w:t>
      </w:r>
      <w:r>
        <w:t xml:space="preserve">(0)</w:t>
      </w:r>
      <w:r>
        <w:t xml:space="preserve"> </w:t>
      </w:r>
      <w:r>
        <w:rPr>
          <w:b/>
          <w:bCs/>
        </w:rPr>
        <w:t xml:space="preserve">V</w:t>
      </w:r>
      <w:r>
        <w:t xml:space="preserve"> </w:t>
      </w:r>
      <w:r>
        <w:t xml:space="preserve">—</w:t>
      </w:r>
      <w:r>
        <w:t xml:space="preserve"> </w:t>
      </w:r>
      <m:oMath>
        <m:r>
          <m:t>T</m:t>
        </m:r>
        <m:r>
          <m:t>M</m:t>
        </m:r>
        <m:sSub>
          <m:e>
            <m:r>
              <m:t>S</m:t>
            </m:r>
          </m:e>
          <m:sub>
            <m:r>
              <m:t>1</m:t>
            </m:r>
          </m:sub>
        </m:sSub>
        <m:r>
          <m:rPr>
            <m:sty m:val="p"/>
          </m:rPr>
          <m:t>=</m:t>
        </m:r>
        <m:r>
          <m:t>4</m:t>
        </m:r>
        <m:r>
          <m:rPr>
            <m:sty m:val="p"/>
          </m:rPr>
          <m:t>/</m:t>
        </m:r>
        <m:rad>
          <m:radPr>
            <m:degHide m:val="on"/>
          </m:radPr>
          <m:deg/>
          <m:e>
            <m:r>
              <m:t>G</m:t>
            </m:r>
          </m:e>
        </m:rad>
      </m:oMath>
      <w:r>
        <w:t xml:space="preserve">,</w:t>
      </w:r>
      <w:r>
        <w:t xml:space="preserve"> </w:t>
      </w:r>
      <m:oMath>
        <m:r>
          <m:t>T</m:t>
        </m:r>
        <m:r>
          <m:t>M</m:t>
        </m:r>
        <m:sSub>
          <m:e>
            <m:r>
              <m:t>S</m:t>
            </m:r>
          </m:e>
          <m:sub>
            <m:r>
              <m:t>2</m:t>
            </m:r>
          </m:sub>
        </m:sSub>
        <m:r>
          <m:rPr>
            <m:sty m:val="p"/>
          </m:rPr>
          <m:t>=</m:t>
        </m:r>
        <m:r>
          <m:t>2</m:t>
        </m:r>
        <m:r>
          <m:rPr>
            <m:sty m:val="p"/>
          </m:rPr>
          <m:t>/</m:t>
        </m:r>
        <m:rad>
          <m:radPr>
            <m:degHide m:val="on"/>
          </m:radPr>
          <m:deg/>
          <m:e>
            <m:r>
              <m:t>G</m:t>
            </m:r>
          </m:e>
        </m:rad>
      </m:oMath>
      <w:r>
        <w:t xml:space="preserve">. Soma =</w:t>
      </w:r>
      <w:r>
        <w:t xml:space="preserve"> </w:t>
      </w:r>
      <m:oMath>
        <m:r>
          <m:t>6</m:t>
        </m:r>
        <m:r>
          <m:rPr>
            <m:sty m:val="p"/>
          </m:rPr>
          <m:t>/</m:t>
        </m:r>
        <m:rad>
          <m:radPr>
            <m:degHide m:val="on"/>
          </m:radPr>
          <m:deg/>
          <m:e>
            <m:r>
              <m:t>G</m:t>
            </m:r>
          </m:e>
        </m:rad>
        <m:r>
          <m:rPr>
            <m:sty m:val="p"/>
          </m:rPr>
          <m:t>=</m:t>
        </m:r>
        <m:r>
          <m:t>1</m:t>
        </m:r>
      </m:oMath>
      <w:r>
        <w:t xml:space="preserve">… Espere:</w:t>
      </w:r>
      <w:r>
        <w:t xml:space="preserve"> </w:t>
      </w:r>
      <m:oMath>
        <m:r>
          <m:t>T</m:t>
        </m:r>
        <m:r>
          <m:t>M</m:t>
        </m:r>
        <m:sSub>
          <m:e>
            <m:r>
              <m:t>S</m:t>
            </m:r>
          </m:e>
          <m:sub>
            <m:r>
              <m:t>1</m:t>
            </m:r>
          </m:sub>
        </m:sSub>
        <m:r>
          <m:rPr>
            <m:sty m:val="p"/>
          </m:rPr>
          <m:t>=</m:t>
        </m:r>
        <m:r>
          <m:t>8</m:t>
        </m:r>
        <m:r>
          <m:rPr>
            <m:sty m:val="p"/>
          </m:rPr>
          <m:t>/</m:t>
        </m:r>
        <m:r>
          <m:rPr>
            <m:sty m:val="p"/>
          </m:rPr>
          <m:t>(</m:t>
        </m:r>
        <m:r>
          <m:t>2</m:t>
        </m:r>
        <m:rad>
          <m:radPr>
            <m:degHide m:val="on"/>
          </m:radPr>
          <m:deg/>
          <m:e>
            <m:r>
              <m:t>G</m:t>
            </m:r>
          </m:e>
        </m:rad>
        <m:r>
          <m:rPr>
            <m:sty m:val="p"/>
          </m:rPr>
          <m:t>)</m:t>
        </m:r>
        <m:r>
          <m:rPr>
            <m:sty m:val="p"/>
          </m:rPr>
          <m:t>=</m:t>
        </m:r>
        <m:r>
          <m:t>4</m:t>
        </m:r>
        <m:r>
          <m:rPr>
            <m:sty m:val="p"/>
          </m:rPr>
          <m:t>/</m:t>
        </m:r>
        <m:rad>
          <m:radPr>
            <m:degHide m:val="on"/>
          </m:radPr>
          <m:deg/>
          <m:e>
            <m:r>
              <m:t>G</m:t>
            </m:r>
          </m:e>
        </m:rad>
      </m:oMath>
      <w:r>
        <w:t xml:space="preserve">,</w:t>
      </w:r>
      <w:r>
        <w:t xml:space="preserve"> </w:t>
      </w:r>
      <m:oMath>
        <m:r>
          <m:t>T</m:t>
        </m:r>
        <m:r>
          <m:t>M</m:t>
        </m:r>
        <m:sSub>
          <m:e>
            <m:r>
              <m:t>S</m:t>
            </m:r>
          </m:e>
          <m:sub>
            <m:r>
              <m:t>2</m:t>
            </m:r>
          </m:sub>
        </m:sSub>
        <m:r>
          <m:rPr>
            <m:sty m:val="p"/>
          </m:rPr>
          <m:t>=</m:t>
        </m:r>
        <m:r>
          <m:t>4</m:t>
        </m:r>
        <m:r>
          <m:rPr>
            <m:sty m:val="p"/>
          </m:rPr>
          <m:t>/</m:t>
        </m:r>
        <m:r>
          <m:rPr>
            <m:sty m:val="p"/>
          </m:rPr>
          <m:t>(</m:t>
        </m:r>
        <m:r>
          <m:t>2</m:t>
        </m:r>
        <m:rad>
          <m:radPr>
            <m:degHide m:val="on"/>
          </m:radPr>
          <m:deg/>
          <m:e>
            <m:r>
              <m:t>G</m:t>
            </m:r>
          </m:e>
        </m:rad>
        <m:r>
          <m:rPr>
            <m:sty m:val="p"/>
          </m:rPr>
          <m:t>)</m:t>
        </m:r>
        <m:r>
          <m:rPr>
            <m:sty m:val="p"/>
          </m:rPr>
          <m:t>=</m:t>
        </m:r>
        <m:r>
          <m:t>2</m:t>
        </m:r>
        <m:r>
          <m:rPr>
            <m:sty m:val="p"/>
          </m:rPr>
          <m:t>/</m:t>
        </m:r>
        <m:rad>
          <m:radPr>
            <m:degHide m:val="on"/>
          </m:radPr>
          <m:deg/>
          <m:e>
            <m:r>
              <m:t>G</m:t>
            </m:r>
          </m:e>
        </m:rad>
      </m:oMath>
      <w:r>
        <w:t xml:space="preserve">. Soma:</w:t>
      </w:r>
      <w:r>
        <w:t xml:space="preserve"> </w:t>
      </w:r>
      <m:oMath>
        <m:r>
          <m:rPr>
            <m:sty m:val="p"/>
          </m:rPr>
          <m:t>(</m:t>
        </m:r>
        <m:r>
          <m:t>4</m:t>
        </m:r>
        <m:r>
          <m:rPr>
            <m:sty m:val="p"/>
          </m:rPr>
          <m:t>+</m:t>
        </m:r>
        <m:r>
          <m:t>2</m:t>
        </m:r>
        <m:r>
          <m:rPr>
            <m:sty m:val="p"/>
          </m:rPr>
          <m:t>)</m:t>
        </m:r>
        <m:r>
          <m:rPr>
            <m:sty m:val="p"/>
          </m:rPr>
          <m:t>/</m:t>
        </m:r>
        <m:rad>
          <m:radPr>
            <m:degHide m:val="on"/>
          </m:radPr>
          <m:deg/>
          <m:e>
            <m:r>
              <m:t>G</m:t>
            </m:r>
          </m:e>
        </m:rad>
        <m:r>
          <m:rPr>
            <m:sty m:val="p"/>
          </m:rPr>
          <m:t>=</m:t>
        </m:r>
        <m:r>
          <m:t>6</m:t>
        </m:r>
        <m:r>
          <m:rPr>
            <m:sty m:val="p"/>
          </m:rPr>
          <m:t>/</m:t>
        </m:r>
        <m:rad>
          <m:radPr>
            <m:degHide m:val="on"/>
          </m:radPr>
          <m:deg/>
          <m:e>
            <m:r>
              <m:t>G</m:t>
            </m:r>
          </m:e>
        </m:rad>
      </m:oMath>
      <w:r>
        <w:t xml:space="preserve">. A questão diz</w:t>
      </w:r>
      <w:r>
        <w:t xml:space="preserve"> </w:t>
      </w:r>
      <m:oMath>
        <m:r>
          <m:t>4</m:t>
        </m:r>
        <m:r>
          <m:rPr>
            <m:sty m:val="p"/>
          </m:rPr>
          <m:t>/</m:t>
        </m:r>
        <m:rad>
          <m:radPr>
            <m:degHide m:val="on"/>
          </m:radPr>
          <m:deg/>
          <m:e>
            <m:r>
              <m:t>G</m:t>
            </m:r>
          </m:e>
        </m:rad>
        <m:r>
          <m:rPr>
            <m:sty m:val="p"/>
          </m:rPr>
          <m:t>+</m:t>
        </m:r>
        <m:r>
          <m:t>2</m:t>
        </m:r>
        <m:r>
          <m:rPr>
            <m:sty m:val="p"/>
          </m:rPr>
          <m:t>/</m:t>
        </m:r>
        <m:rad>
          <m:radPr>
            <m:degHide m:val="on"/>
          </m:radPr>
          <m:deg/>
          <m:e>
            <m:r>
              <m:t>G</m:t>
            </m:r>
          </m:e>
        </m:rad>
      </m:oMath>
      <w:r>
        <w:t xml:space="preserve">, que é o mesmo que</w:t>
      </w:r>
      <w:r>
        <w:t xml:space="preserve"> </w:t>
      </w:r>
      <m:oMath>
        <m:r>
          <m:t>6</m:t>
        </m:r>
        <m:r>
          <m:rPr>
            <m:sty m:val="p"/>
          </m:rPr>
          <m:t>/</m:t>
        </m:r>
        <m:rad>
          <m:radPr>
            <m:degHide m:val="on"/>
          </m:radPr>
          <m:deg/>
          <m:e>
            <m:r>
              <m:t>G</m:t>
            </m:r>
          </m:e>
        </m:rad>
        <m:r>
          <m:rPr>
            <m:sty m:val="p"/>
          </m:rPr>
          <m:t>=</m:t>
        </m:r>
        <m:r>
          <m:t>1</m:t>
        </m:r>
      </m:oMath>
      <w:r>
        <w:t xml:space="preserve">.</w:t>
      </w:r>
      <w:r>
        <w:t xml:space="preserve"> </w:t>
      </w:r>
      <w:r>
        <w:rPr>
          <w:b/>
          <w:bCs/>
        </w:rPr>
        <w:t xml:space="preserve">V</w:t>
      </w:r>
      <w:r>
        <w:t xml:space="preserve">.</w:t>
      </w:r>
    </w:p>
    <w:p>
      <w:pPr>
        <w:pStyle w:val="SourceCode"/>
      </w:pPr>
      <w:r>
        <w:rPr>
          <w:rStyle w:val="VerbatimChar"/>
        </w:rPr>
        <w:t xml:space="preserve">(1) **V** — $6/\sqrt{G} = 1 \implies \sqrt{G} = 6 \implies G^* = 36$.</w:t>
      </w:r>
      <w:r>
        <w:br/>
      </w:r>
      <w:r>
        <w:br/>
      </w:r>
      <w:r>
        <w:rPr>
          <w:rStyle w:val="VerbatimChar"/>
        </w:rPr>
        <w:t xml:space="preserve">(2) **V** — No Nash, cada consumidor iguala sua TMS individual ao CMg. Consumidor 1: $4/\sqrt{G} = 1 \implies G = 16$. Se 1 contribui sozinho, $G = 16$. Consumidor 2: $2/\sqrt{G} = 1 \implies G = 4$. Mas 2 não contribui se 1 já provê $G = 16$ (pois $2/\sqrt{16} = 0{,}5 &lt; 1$). Nash: $G = 16$. **V**.</w:t>
      </w:r>
      <w:r>
        <w:br/>
      </w:r>
      <w:r>
        <w:br/>
      </w:r>
      <w:r>
        <w:rPr>
          <w:rStyle w:val="VerbatimChar"/>
        </w:rPr>
        <w:t xml:space="preserve">(3) **V** — $16/36 = 4/9$. **V**.</w:t>
      </w:r>
      <w:r>
        <w:br/>
      </w:r>
      <w:r>
        <w:br/>
      </w:r>
      <w:r>
        <w:rPr>
          <w:rStyle w:val="VerbatimChar"/>
        </w:rPr>
        <w:t xml:space="preserve">(4) **V** — O mecanismo de Clarke torna a revelação verdadeira estratégia dominante, resolvendo o problema do carona. **V**.</w:t>
      </w:r>
    </w:p>
    <w:p>
      <w:pPr>
        <w:pStyle w:val="BlockText"/>
      </w:pPr>
      <w:r>
        <w:rPr>
          <w:b/>
          <w:bCs/>
        </w:rPr>
        <w:t xml:space="preserve">[QUESTAO] ANPEC 2020, Questão 12</w:t>
      </w:r>
    </w:p>
    <w:p>
      <w:pPr>
        <w:pStyle w:val="BlockText"/>
      </w:pPr>
      <w:r>
        <w:t xml:space="preserve">Sobre o Teorema da Impossibilidade de Arrow:</w:t>
      </w:r>
    </w:p>
    <w:p>
      <w:pPr>
        <w:pStyle w:val="BlockText"/>
        <w:numPr>
          <w:ilvl w:val="0"/>
          <w:numId w:val="2130"/>
        </w:numPr>
      </w:pPr>
      <w:r>
        <w:t xml:space="preserve">O teorema se aplica quando há pelo menos três alternativas e dois indivíduos.</w:t>
      </w:r>
    </w:p>
    <w:p>
      <w:pPr>
        <w:pStyle w:val="BlockText"/>
        <w:numPr>
          <w:ilvl w:val="0"/>
          <w:numId w:val="2130"/>
        </w:numPr>
      </w:pPr>
      <w:r>
        <w:t xml:space="preserve">A condição de independência de alternativas irrelevantes (IIA) exige que a ordenação social entre A e B dependa apenas das preferências individuais entre A e B.</w:t>
      </w:r>
    </w:p>
    <w:p>
      <w:pPr>
        <w:pStyle w:val="BlockText"/>
        <w:numPr>
          <w:ilvl w:val="0"/>
          <w:numId w:val="2130"/>
        </w:numPr>
      </w:pPr>
      <w:r>
        <w:t xml:space="preserve">A contagem de Borda satisfaz todas as condições de Arrow.</w:t>
      </w:r>
    </w:p>
    <w:p>
      <w:pPr>
        <w:pStyle w:val="BlockText"/>
        <w:numPr>
          <w:ilvl w:val="0"/>
          <w:numId w:val="2130"/>
        </w:numPr>
      </w:pPr>
      <w:r>
        <w:t xml:space="preserve">O Teorema do Eleitor Mediano é válido quando as preferências são unimodais e a escolha é unidimensional.</w:t>
      </w:r>
    </w:p>
    <w:p>
      <w:pPr>
        <w:pStyle w:val="BlockText"/>
        <w:numPr>
          <w:ilvl w:val="0"/>
          <w:numId w:val="2130"/>
        </w:numPr>
      </w:pPr>
      <w:r>
        <w:t xml:space="preserve">O resultado do eleitor mediano sempre coincide com o nível eficiente de Samuelson para bens públicos.</w:t>
      </w:r>
    </w:p>
    <w:p>
      <w:pPr>
        <w:pStyle w:val="BlockText"/>
      </w:pPr>
      <w:r>
        <w:t xml:space="preserve">??? tip</w:t>
      </w:r>
      <w:r>
        <w:t xml:space="preserve"> </w:t>
      </w:r>
      <w:r>
        <w:t xml:space="preserve">“Gabarito”</w:t>
      </w:r>
      <w:r>
        <w:t xml:space="preserve"> </w:t>
      </w:r>
      <w:r>
        <w:t xml:space="preserve">(0)</w:t>
      </w:r>
      <w:r>
        <w:t xml:space="preserve"> </w:t>
      </w:r>
      <w:r>
        <w:rPr>
          <w:b/>
          <w:bCs/>
        </w:rPr>
        <w:t xml:space="preserve">V</w:t>
      </w:r>
      <w:r>
        <w:t xml:space="preserve"> </w:t>
      </w:r>
      <w:r>
        <w:t xml:space="preserve">— Condição necessária para o teorema.</w:t>
      </w:r>
    </w:p>
    <w:p>
      <w:pPr>
        <w:pStyle w:val="SourceCode"/>
      </w:pPr>
      <w:r>
        <w:rPr>
          <w:rStyle w:val="VerbatimChar"/>
        </w:rPr>
        <w:t xml:space="preserve">(1) **V** — Definição correta de IIA.</w:t>
      </w:r>
      <w:r>
        <w:br/>
      </w:r>
      <w:r>
        <w:br/>
      </w:r>
      <w:r>
        <w:rPr>
          <w:rStyle w:val="VerbatimChar"/>
        </w:rPr>
        <w:t xml:space="preserve">(2) **F** — A contagem de Borda viola IIA (a ordenação entre A e B pode mudar com a introdução de C).</w:t>
      </w:r>
      <w:r>
        <w:br/>
      </w:r>
      <w:r>
        <w:br/>
      </w:r>
      <w:r>
        <w:rPr>
          <w:rStyle w:val="VerbatimChar"/>
        </w:rPr>
        <w:t xml:space="preserve">(3) **V** — Condições suficientes para o Teorema do Eleitor Mediano.</w:t>
      </w:r>
      <w:r>
        <w:br/>
      </w:r>
      <w:r>
        <w:br/>
      </w:r>
      <w:r>
        <w:rPr>
          <w:rStyle w:val="VerbatimChar"/>
        </w:rPr>
        <w:t xml:space="preserve">(4) **F** — O eleitor mediano reflete a preferência de um indivíduo específico, não a soma das TMS. Coincidência só ocorre em casos especiais.</w:t>
      </w:r>
    </w:p>
    <w:bookmarkEnd w:id="1277"/>
    <w:bookmarkEnd w:id="1278"/>
    <w:bookmarkStart w:id="1290" w:name="pesquisa-em-ação-capítulo-20"/>
    <w:p>
      <w:pPr>
        <w:pStyle w:val="Heading2"/>
      </w:pPr>
      <w:r>
        <w:t xml:space="preserve">Pesquisa em Ação — Capítulo 20</w:t>
      </w:r>
    </w:p>
    <w:bookmarkStart w:id="1283" w:name="pesquisa-em-ação-23"/>
    <w:p>
      <w:pPr>
        <w:pStyle w:val="Heading3"/>
      </w:pPr>
      <w:r>
        <w:t xml:space="preserve">Pesquisa em Ação</w:t>
      </w:r>
    </w:p>
    <w:p>
      <w:pPr>
        <w:pStyle w:val="BlockText"/>
      </w:pPr>
      <w:r>
        <w:rPr>
          <w:b/>
          <w:bCs/>
        </w:rPr>
        <w:t xml:space="preserve">[PESQUISA EM ACAO]</w:t>
      </w:r>
      <w:r>
        <w:rPr>
          <w:b/>
          <w:bCs/>
        </w:rPr>
        <w:t xml:space="preserve"> </w:t>
      </w:r>
      <w:hyperlink r:id="rId1279">
        <w:r>
          <w:rPr>
            <w:rStyle w:val="Hyperlink"/>
            <w:b/>
            <w:bCs/>
          </w:rPr>
          <w:t xml:space="preserve">Eliasson, J.; Hultkrantz, L.; Nerhagen, L.; Rosqvist, L. S. (2009). The Stockholm Congestion-Charging Trial 2006: Overview of Effects.</w:t>
        </w:r>
        <w:r>
          <w:rPr>
            <w:rStyle w:val="Hyperlink"/>
            <w:b/>
            <w:bCs/>
          </w:rPr>
          <w:t xml:space="preserve"> </w:t>
        </w:r>
        <w:r>
          <w:rPr>
            <w:rStyle w:val="Hyperlink"/>
            <w:b/>
            <w:bCs/>
            <w:i/>
            <w:iCs/>
          </w:rPr>
          <w:t xml:space="preserve">Transportation Research Part A</w:t>
        </w:r>
        <w:r>
          <w:rPr>
            <w:rStyle w:val="Hyperlink"/>
            <w:b/>
            <w:bCs/>
          </w:rPr>
          <w:t xml:space="preserve">, 43(3), 240–250.</w:t>
        </w:r>
      </w:hyperlink>
    </w:p>
    <w:p>
      <w:pPr>
        <w:pStyle w:val="BlockText"/>
      </w:pPr>
      <w:r>
        <w:rPr>
          <w:b/>
          <w:bCs/>
        </w:rPr>
        <w:t xml:space="preserve">DOI:</w:t>
      </w:r>
      <w:r>
        <w:t xml:space="preserve"> </w:t>
      </w:r>
      <w:hyperlink r:id="rId1279">
        <w:r>
          <w:rPr>
            <w:rStyle w:val="Hyperlink"/>
          </w:rPr>
          <w:t xml:space="preserve">10.1016/j.tra.2008.09.007</w:t>
        </w:r>
      </w:hyperlink>
    </w:p>
    <w:p>
      <w:pPr>
        <w:pStyle w:val="BlockText"/>
      </w:pPr>
      <w:r>
        <w:rPr>
          <w:b/>
          <w:bCs/>
        </w:rPr>
        <w:t xml:space="preserve">Contexto.</w:t>
      </w:r>
      <w:r>
        <w:t xml:space="preserve"> </w:t>
      </w:r>
      <w:r>
        <w:t xml:space="preserve">O congestionamento viário é uma externalidade negativa clássica. Em 2006, Estocolmo implementou um período experimental de pedágio urbano (taxa pigouviana sobre congestionamento), seguido de referendo. O paper avalia os efeitos do experimento.</w:t>
      </w:r>
    </w:p>
    <w:p>
      <w:pPr>
        <w:pStyle w:val="BlockText"/>
      </w:pPr>
      <w:r>
        <w:rPr>
          <w:b/>
          <w:bCs/>
        </w:rPr>
        <w:t xml:space="preserve">Método.</w:t>
      </w:r>
      <w:r>
        <w:t xml:space="preserve"> </w:t>
      </w:r>
      <w:r>
        <w:t xml:space="preserve">Comparação antes-depois das condições de tráfego na zona tarifada, usando dados de fluxo veicular, tempos de viagem e emissões. O período experimental de 7 meses permitiu avaliação abrangente.</w:t>
      </w:r>
    </w:p>
    <w:p>
      <w:pPr>
        <w:pStyle w:val="BlockText"/>
      </w:pPr>
      <w:r>
        <w:rPr>
          <w:b/>
          <w:bCs/>
        </w:rPr>
        <w:t xml:space="preserve">Resultado.</w:t>
      </w:r>
      <w:r>
        <w:t xml:space="preserve"> </w:t>
      </w:r>
      <w:r>
        <w:t xml:space="preserve">O tráfego na zona central caiu 20-25% durante o período de cobrança. As emissões de CO₂ na área tarifada reduziram-se em 10-14%. Os tempos de viagem diminuíram significativamente. Crucialmente, a população, que inicialmente se opunha ao pedágio, votou pela manutenção permanente no referendo — um caso raro de preferência revelada</w:t>
      </w:r>
      <w:r>
        <w:t xml:space="preserve"> </w:t>
      </w:r>
      <w:r>
        <w:rPr>
          <w:i/>
          <w:iCs/>
        </w:rPr>
        <w:t xml:space="preserve">ex post</w:t>
      </w:r>
      <w:r>
        <w:t xml:space="preserve"> </w:t>
      </w:r>
      <w:r>
        <w:t xml:space="preserve">superando resistência</w:t>
      </w:r>
      <w:r>
        <w:t xml:space="preserve"> </w:t>
      </w:r>
      <w:r>
        <w:rPr>
          <w:i/>
          <w:iCs/>
        </w:rPr>
        <w:t xml:space="preserve">ex ante</w:t>
      </w:r>
      <w:r>
        <w:t xml:space="preserve">.</w:t>
      </w:r>
    </w:p>
    <w:p>
      <w:pPr>
        <w:pStyle w:val="BlockText"/>
      </w:pPr>
      <w:r>
        <w:rPr>
          <w:b/>
          <w:bCs/>
        </w:rPr>
        <w:t xml:space="preserve">Conexão com o capítulo.</w:t>
      </w:r>
      <w:r>
        <w:t xml:space="preserve"> </w:t>
      </w:r>
      <w:r>
        <w:t xml:space="preserve">O paper demonstra empiricamente a eficácia do imposto pigouviano para externalidades de congestionamento (Seção 20.4.1). A mudança de opinião pública ilustra como a experiência concreta com a redução da externalidade pode alterar preferências políticas.</w:t>
      </w:r>
    </w:p>
    <w:p>
      <w:pPr>
        <w:pStyle w:val="BlockText"/>
      </w:pPr>
      <w:r>
        <w:rPr>
          <w:b/>
          <w:bCs/>
        </w:rPr>
        <w:t xml:space="preserve">[PESQUISA EM ACAO]</w:t>
      </w:r>
      <w:r>
        <w:rPr>
          <w:b/>
          <w:bCs/>
        </w:rPr>
        <w:t xml:space="preserve"> </w:t>
      </w:r>
      <w:hyperlink r:id="rId427">
        <w:r>
          <w:rPr>
            <w:rStyle w:val="Hyperlink"/>
            <w:b/>
            <w:bCs/>
          </w:rPr>
          <w:t xml:space="preserve">Fehr, E.; Gächter, S. (2000). Cooperation and Punishment in Public Goods Experiments.</w:t>
        </w:r>
        <w:r>
          <w:rPr>
            <w:rStyle w:val="Hyperlink"/>
            <w:b/>
            <w:bCs/>
          </w:rPr>
          <w:t xml:space="preserve"> </w:t>
        </w:r>
        <w:r>
          <w:rPr>
            <w:rStyle w:val="Hyperlink"/>
            <w:b/>
            <w:bCs/>
            <w:i/>
            <w:iCs/>
          </w:rPr>
          <w:t xml:space="preserve">American Economic Review</w:t>
        </w:r>
        <w:r>
          <w:rPr>
            <w:rStyle w:val="Hyperlink"/>
            <w:b/>
            <w:bCs/>
          </w:rPr>
          <w:t xml:space="preserve">, 90(4), 980–994.</w:t>
        </w:r>
      </w:hyperlink>
    </w:p>
    <w:p>
      <w:pPr>
        <w:pStyle w:val="BlockText"/>
      </w:pPr>
      <w:r>
        <w:rPr>
          <w:b/>
          <w:bCs/>
        </w:rPr>
        <w:t xml:space="preserve">DOI:</w:t>
      </w:r>
      <w:r>
        <w:t xml:space="preserve"> </w:t>
      </w:r>
      <w:hyperlink r:id="rId427">
        <w:r>
          <w:rPr>
            <w:rStyle w:val="Hyperlink"/>
          </w:rPr>
          <w:t xml:space="preserve">10.1257/aer.90.4.980</w:t>
        </w:r>
      </w:hyperlink>
    </w:p>
    <w:p>
      <w:pPr>
        <w:pStyle w:val="BlockText"/>
      </w:pPr>
      <w:r>
        <w:rPr>
          <w:b/>
          <w:bCs/>
        </w:rPr>
        <w:t xml:space="preserve">Contexto.</w:t>
      </w:r>
      <w:r>
        <w:t xml:space="preserve"> </w:t>
      </w:r>
      <w:r>
        <w:t xml:space="preserve">A teoria prevê que contribuições voluntárias a bens públicos convergem para zero (free-riding). Mas isso ocorre na prática? E mecanismos de punição podem sustentar a cooperação?</w:t>
      </w:r>
    </w:p>
    <w:p>
      <w:pPr>
        <w:pStyle w:val="BlockText"/>
      </w:pPr>
      <w:r>
        <w:rPr>
          <w:b/>
          <w:bCs/>
        </w:rPr>
        <w:t xml:space="preserve">Método.</w:t>
      </w:r>
      <w:r>
        <w:t xml:space="preserve"> </w:t>
      </w:r>
      <w:r>
        <w:t xml:space="preserve">Experimentos de contribuição voluntária com e sem possibilidade de punição entre pares. Participantes decidem quanto contribuir ao fundo público e, na condição com punição, podem gastar para penalizar free-riders.</w:t>
      </w:r>
    </w:p>
    <w:p>
      <w:pPr>
        <w:pStyle w:val="BlockText"/>
      </w:pPr>
      <w:r>
        <w:rPr>
          <w:b/>
          <w:bCs/>
        </w:rPr>
        <w:t xml:space="preserve">Resultado.</w:t>
      </w:r>
      <w:r>
        <w:t xml:space="preserve"> </w:t>
      </w:r>
      <w:r>
        <w:t xml:space="preserve">Sem punição, contribuições declinam de ~50% para ~20% do ótimo ao longo de 10 rodadas. Com punição, contribuições</w:t>
      </w:r>
      <w:r>
        <w:t xml:space="preserve"> </w:t>
      </w:r>
      <w:r>
        <w:rPr>
          <w:i/>
          <w:iCs/>
        </w:rPr>
        <w:t xml:space="preserve">aumentam</w:t>
      </w:r>
      <w:r>
        <w:t xml:space="preserve"> </w:t>
      </w:r>
      <w:r>
        <w:t xml:space="preserve">para 60-90% e se sustentam. A punição é usada ativamente contra free-riders, mesmo sendo custosa para quem pune (</w:t>
      </w:r>
      <w:r>
        <w:t xml:space="preserve">“punição altruísta”</w:t>
      </w:r>
      <w:r>
        <w:t xml:space="preserve">). O resultado sugere que normas sociais de reciprocidade e justiça são forças poderosas na provisão de bens públicos.</w:t>
      </w:r>
    </w:p>
    <w:p>
      <w:pPr>
        <w:pStyle w:val="BlockText"/>
      </w:pPr>
      <w:r>
        <w:rPr>
          <w:b/>
          <w:bCs/>
        </w:rPr>
        <w:t xml:space="preserve">Conexão com o capítulo.</w:t>
      </w:r>
      <w:r>
        <w:t xml:space="preserve"> </w:t>
      </w:r>
      <w:r>
        <w:t xml:space="preserve">O paper é a referência central do experimento de sala de aula proposto na abertura do capítulo (Seções 20.5-20.8). Demonstra que o problema do carona é real, mas mitigável por mecanismos sociais.</w:t>
      </w:r>
    </w:p>
    <w:p>
      <w:pPr>
        <w:pStyle w:val="BlockText"/>
      </w:pPr>
      <w:r>
        <w:rPr>
          <w:b/>
          <w:bCs/>
        </w:rPr>
        <w:t xml:space="preserve">[PESQUISA EM ACAO]</w:t>
      </w:r>
      <w:r>
        <w:rPr>
          <w:b/>
          <w:bCs/>
        </w:rPr>
        <w:t xml:space="preserve"> </w:t>
      </w:r>
      <w:hyperlink r:id="rId1280">
        <w:r>
          <w:rPr>
            <w:rStyle w:val="Hyperlink"/>
            <w:b/>
            <w:bCs/>
          </w:rPr>
          <w:t xml:space="preserve">Schmalensee, R.; Stavins, R. N. (2013). The SO₂ Allowance Trading System: The Ironic History of a Grand Policy Experiment.</w:t>
        </w:r>
        <w:r>
          <w:rPr>
            <w:rStyle w:val="Hyperlink"/>
            <w:b/>
            <w:bCs/>
          </w:rPr>
          <w:t xml:space="preserve"> </w:t>
        </w:r>
        <w:r>
          <w:rPr>
            <w:rStyle w:val="Hyperlink"/>
            <w:b/>
            <w:bCs/>
            <w:i/>
            <w:iCs/>
          </w:rPr>
          <w:t xml:space="preserve">Journal of Economic Perspectives</w:t>
        </w:r>
        <w:r>
          <w:rPr>
            <w:rStyle w:val="Hyperlink"/>
            <w:b/>
            <w:bCs/>
          </w:rPr>
          <w:t xml:space="preserve">, 27(1), 103–122.</w:t>
        </w:r>
      </w:hyperlink>
    </w:p>
    <w:p>
      <w:pPr>
        <w:pStyle w:val="BlockText"/>
      </w:pPr>
      <w:r>
        <w:rPr>
          <w:b/>
          <w:bCs/>
        </w:rPr>
        <w:t xml:space="preserve">DOI:</w:t>
      </w:r>
      <w:r>
        <w:t xml:space="preserve"> </w:t>
      </w:r>
      <w:hyperlink r:id="rId1280">
        <w:r>
          <w:rPr>
            <w:rStyle w:val="Hyperlink"/>
          </w:rPr>
          <w:t xml:space="preserve">10.1257/jep.27.1.103</w:t>
        </w:r>
      </w:hyperlink>
    </w:p>
    <w:p>
      <w:pPr>
        <w:pStyle w:val="BlockText"/>
      </w:pPr>
      <w:r>
        <w:rPr>
          <w:b/>
          <w:bCs/>
        </w:rPr>
        <w:t xml:space="preserve">Contexto.</w:t>
      </w:r>
      <w:r>
        <w:t xml:space="preserve"> </w:t>
      </w:r>
      <w:r>
        <w:t xml:space="preserve">O programa americano de cap-and-trade para SO₂ (Acid Rain Program, 1990) é frequentemente citado como o caso de maior sucesso de política ambiental baseada em instrumentos de mercado. Mas qual é o balanço completo?</w:t>
      </w:r>
    </w:p>
    <w:p>
      <w:pPr>
        <w:pStyle w:val="BlockText"/>
      </w:pPr>
      <w:r>
        <w:rPr>
          <w:b/>
          <w:bCs/>
        </w:rPr>
        <w:t xml:space="preserve">Método.</w:t>
      </w:r>
      <w:r>
        <w:t xml:space="preserve"> </w:t>
      </w:r>
      <w:r>
        <w:t xml:space="preserve">Revisão abrangente dos resultados econômicos e ambientais do programa, incluindo custos de compliance, padrões de comércio de permissões e reduções de emissão.</w:t>
      </w:r>
    </w:p>
    <w:p>
      <w:pPr>
        <w:pStyle w:val="BlockText"/>
      </w:pPr>
      <w:r>
        <w:rPr>
          <w:b/>
          <w:bCs/>
        </w:rPr>
        <w:t xml:space="preserve">Resultado.</w:t>
      </w:r>
      <w:r>
        <w:t xml:space="preserve"> </w:t>
      </w:r>
      <w:r>
        <w:t xml:space="preserve">Emissões caíram de 15,7 milhões de toneladas (1990) para menos de 3 milhões (2010) — redução de ~80%. Os custos de compliance foram 15-50% menores que estimativas ex ante. A</w:t>
      </w:r>
      <w:r>
        <w:t xml:space="preserve"> </w:t>
      </w:r>
      <w:r>
        <w:t xml:space="preserve">“ironia”</w:t>
      </w:r>
      <w:r>
        <w:t xml:space="preserve"> </w:t>
      </w:r>
      <w:r>
        <w:t xml:space="preserve">do título refere-se ao declínio do programa como modelo político: apesar do sucesso, o instrumento de mercado perdeu apoio político nos EUA, enquanto regulação direta voltou a ser preferida.</w:t>
      </w:r>
    </w:p>
    <w:p>
      <w:pPr>
        <w:pStyle w:val="BlockText"/>
      </w:pPr>
      <w:r>
        <w:rPr>
          <w:b/>
          <w:bCs/>
        </w:rPr>
        <w:t xml:space="preserve">Conexão com o capítulo.</w:t>
      </w:r>
      <w:r>
        <w:t xml:space="preserve"> </w:t>
      </w:r>
      <w:r>
        <w:t xml:space="preserve">O paper valida empiricamente a teoria de cap-and-trade (Seção 20.4.4) e ilustra a equivalência imposto/cap sob certeza. A</w:t>
      </w:r>
      <w:r>
        <w:t xml:space="preserve"> </w:t>
      </w:r>
      <w:r>
        <w:t xml:space="preserve">“ironia”</w:t>
      </w:r>
      <w:r>
        <w:t xml:space="preserve"> </w:t>
      </w:r>
      <w:r>
        <w:t xml:space="preserve">política conecta-se ao Teorema de Arrow (Seção 20.9): preferências sociais sobre instrumentos de política podem ser intransitivas.</w:t>
      </w:r>
    </w:p>
    <w:p>
      <w:pPr>
        <w:pStyle w:val="BlockText"/>
      </w:pPr>
      <w:r>
        <w:rPr>
          <w:b/>
          <w:bCs/>
        </w:rPr>
        <w:t xml:space="preserve">[PESQUISA EM ACAO]</w:t>
      </w:r>
      <w:r>
        <w:rPr>
          <w:b/>
          <w:bCs/>
        </w:rPr>
        <w:t xml:space="preserve"> </w:t>
      </w:r>
      <w:hyperlink r:id="rId1281">
        <w:r>
          <w:rPr>
            <w:rStyle w:val="Hyperlink"/>
            <w:b/>
            <w:bCs/>
          </w:rPr>
          <w:t xml:space="preserve">Ostrom, E. (1990).</w:t>
        </w:r>
        <w:r>
          <w:rPr>
            <w:rStyle w:val="Hyperlink"/>
            <w:b/>
            <w:bCs/>
          </w:rPr>
          <w:t xml:space="preserve"> </w:t>
        </w:r>
        <w:r>
          <w:rPr>
            <w:rStyle w:val="Hyperlink"/>
            <w:b/>
            <w:bCs/>
            <w:i/>
            <w:iCs/>
          </w:rPr>
          <w:t xml:space="preserve">Governing the Commons: The Evolution of Institutions for Collective Action</w:t>
        </w:r>
        <w:r>
          <w:rPr>
            <w:rStyle w:val="Hyperlink"/>
            <w:b/>
            <w:bCs/>
          </w:rPr>
          <w:t xml:space="preserve">. Cambridge University Press.</w:t>
        </w:r>
      </w:hyperlink>
    </w:p>
    <w:p>
      <w:pPr>
        <w:pStyle w:val="BlockText"/>
      </w:pPr>
      <w:r>
        <w:rPr>
          <w:b/>
          <w:bCs/>
        </w:rPr>
        <w:t xml:space="preserve">DOI:</w:t>
      </w:r>
      <w:r>
        <w:t xml:space="preserve"> </w:t>
      </w:r>
      <w:hyperlink r:id="rId1281">
        <w:r>
          <w:rPr>
            <w:rStyle w:val="Hyperlink"/>
          </w:rPr>
          <w:t xml:space="preserve">10.1017/CBO9780511807763</w:t>
        </w:r>
      </w:hyperlink>
    </w:p>
    <w:p>
      <w:pPr>
        <w:pStyle w:val="BlockText"/>
      </w:pPr>
      <w:r>
        <w:rPr>
          <w:b/>
          <w:bCs/>
        </w:rPr>
        <w:t xml:space="preserve">Contexto.</w:t>
      </w:r>
      <w:r>
        <w:t xml:space="preserve"> </w:t>
      </w:r>
      <w:r>
        <w:t xml:space="preserve">A</w:t>
      </w:r>
      <w:r>
        <w:t xml:space="preserve"> </w:t>
      </w:r>
      <w:r>
        <w:t xml:space="preserve">“tragédia dos comuns”</w:t>
      </w:r>
      <w:r>
        <w:t xml:space="preserve"> </w:t>
      </w:r>
      <w:r>
        <w:t xml:space="preserve">(Hardin, 1968) sugere que recursos de acesso aberto serão inevitavelmente esgotados. A única solução seria privatização ou regulação estatal. Ostrom desafiou essa dicotomia.</w:t>
      </w:r>
    </w:p>
    <w:p>
      <w:pPr>
        <w:pStyle w:val="BlockText"/>
      </w:pPr>
      <w:r>
        <w:rPr>
          <w:b/>
          <w:bCs/>
        </w:rPr>
        <w:t xml:space="preserve">Método.</w:t>
      </w:r>
      <w:r>
        <w:t xml:space="preserve"> </w:t>
      </w:r>
      <w:r>
        <w:t xml:space="preserve">Análise comparativa de dezenas de casos de gestão comunitária de recursos comuns em diferentes países e épocas: florestas na Suíça e no Japão, sistemas de irrigação na Espanha e no Nepal, pesqueiros costeiros na Turquia e no Canadá.</w:t>
      </w:r>
    </w:p>
    <w:p>
      <w:pPr>
        <w:pStyle w:val="BlockText"/>
      </w:pPr>
      <w:r>
        <w:rPr>
          <w:b/>
          <w:bCs/>
        </w:rPr>
        <w:t xml:space="preserve">Resultado.</w:t>
      </w:r>
      <w:r>
        <w:t xml:space="preserve"> </w:t>
      </w:r>
      <w:r>
        <w:t xml:space="preserve">Comunidades frequentemente desenvolvem instituições locais eficazes — regras de uso, monitoramento entre pares, sanções graduais — que sustentam a cooperação por séculos. Ostrom identificou 8</w:t>
      </w:r>
      <w:r>
        <w:t xml:space="preserve"> </w:t>
      </w:r>
      <w:r>
        <w:t xml:space="preserve">“princípios de design”</w:t>
      </w:r>
      <w:r>
        <w:t xml:space="preserve"> </w:t>
      </w:r>
      <w:r>
        <w:t xml:space="preserve">para gestão bem-sucedida de commons, incluindo fronteiras bem definidas, congruência entre regras e condições locais, participação dos usuários na governança e mecanismos de resolução de conflitos.</w:t>
      </w:r>
    </w:p>
    <w:p>
      <w:pPr>
        <w:pStyle w:val="BlockText"/>
      </w:pPr>
      <w:r>
        <w:rPr>
          <w:b/>
          <w:bCs/>
        </w:rPr>
        <w:t xml:space="preserve">Conexão com o capítulo.</w:t>
      </w:r>
      <w:r>
        <w:t xml:space="preserve"> </w:t>
      </w:r>
      <w:r>
        <w:t xml:space="preserve">O livro complementa as Seções 20.7-20.8, mostrando que entre a solução de mercado (Lindahl) e a solução estatal (imposto pigouviano) existe um terceiro caminho: a governança comunitária. O exemplo da cobrança pelo uso da água no Brasil (Box Brasil 20.2) reflete os princípios de Ostrom.</w:t>
      </w:r>
    </w:p>
    <w:p>
      <w:pPr>
        <w:pStyle w:val="BlockText"/>
      </w:pPr>
      <w:r>
        <w:rPr>
          <w:b/>
          <w:bCs/>
        </w:rPr>
        <w:t xml:space="preserve">[PESQUISA EM ACAO]</w:t>
      </w:r>
      <w:r>
        <w:rPr>
          <w:b/>
          <w:bCs/>
        </w:rPr>
        <w:t xml:space="preserve"> </w:t>
      </w:r>
      <w:hyperlink r:id="rId1282">
        <w:r>
          <w:rPr>
            <w:rStyle w:val="Hyperlink"/>
            <w:b/>
            <w:bCs/>
          </w:rPr>
          <w:t xml:space="preserve">Greenstone, M.; Jack, B. K. (2015). Envirodevonomics: A Research Agenda for an Emerging Field.</w:t>
        </w:r>
        <w:r>
          <w:rPr>
            <w:rStyle w:val="Hyperlink"/>
            <w:b/>
            <w:bCs/>
          </w:rPr>
          <w:t xml:space="preserve"> </w:t>
        </w:r>
        <w:r>
          <w:rPr>
            <w:rStyle w:val="Hyperlink"/>
            <w:b/>
            <w:bCs/>
            <w:i/>
            <w:iCs/>
          </w:rPr>
          <w:t xml:space="preserve">Journal of Economic Literature</w:t>
        </w:r>
        <w:r>
          <w:rPr>
            <w:rStyle w:val="Hyperlink"/>
            <w:b/>
            <w:bCs/>
          </w:rPr>
          <w:t xml:space="preserve">, 53(1), 5–42.</w:t>
        </w:r>
      </w:hyperlink>
    </w:p>
    <w:p>
      <w:pPr>
        <w:pStyle w:val="BlockText"/>
      </w:pPr>
      <w:r>
        <w:rPr>
          <w:b/>
          <w:bCs/>
        </w:rPr>
        <w:t xml:space="preserve">DOI:</w:t>
      </w:r>
      <w:r>
        <w:t xml:space="preserve"> </w:t>
      </w:r>
      <w:hyperlink r:id="rId1282">
        <w:r>
          <w:rPr>
            <w:rStyle w:val="Hyperlink"/>
          </w:rPr>
          <w:t xml:space="preserve">10.1257/jel.53.1.5</w:t>
        </w:r>
      </w:hyperlink>
    </w:p>
    <w:p>
      <w:pPr>
        <w:pStyle w:val="BlockText"/>
      </w:pPr>
      <w:r>
        <w:rPr>
          <w:b/>
          <w:bCs/>
        </w:rPr>
        <w:t xml:space="preserve">Contexto.</w:t>
      </w:r>
      <w:r>
        <w:t xml:space="preserve"> </w:t>
      </w:r>
      <w:r>
        <w:t xml:space="preserve">Países em desenvolvimento enfrentam simultaneamente pobreza e degradação ambiental severa. Como a teoria das externalidades se aplica quando instituições são fracas, direitos de propriedade são mal definidos e capacidade regulatória é limitada?</w:t>
      </w:r>
    </w:p>
    <w:p>
      <w:pPr>
        <w:pStyle w:val="BlockText"/>
      </w:pPr>
      <w:r>
        <w:rPr>
          <w:b/>
          <w:bCs/>
        </w:rPr>
        <w:t xml:space="preserve">Método.</w:t>
      </w:r>
      <w:r>
        <w:t xml:space="preserve"> </w:t>
      </w:r>
      <w:r>
        <w:t xml:space="preserve">Survey da literatura emergente em</w:t>
      </w:r>
      <w:r>
        <w:t xml:space="preserve"> </w:t>
      </w:r>
      <w:r>
        <w:t xml:space="preserve">“envirodevonomics”</w:t>
      </w:r>
      <w:r>
        <w:t xml:space="preserve"> </w:t>
      </w:r>
      <w:r>
        <w:t xml:space="preserve">— a interseção entre economia ambiental e economia do desenvolvimento. Os autores revisam evidências sobre: valoração de serviços ambientais, custo da poluição para saúde e produtividade, e eficácia de políticas ambientais em países em desenvolvimento.</w:t>
      </w:r>
    </w:p>
    <w:p>
      <w:pPr>
        <w:pStyle w:val="BlockText"/>
      </w:pPr>
      <w:r>
        <w:rPr>
          <w:b/>
          <w:bCs/>
        </w:rPr>
        <w:t xml:space="preserve">Resultado.</w:t>
      </w:r>
      <w:r>
        <w:t xml:space="preserve"> </w:t>
      </w:r>
      <w:r>
        <w:t xml:space="preserve">A poluição do ar em Delhi equivale a fumar 3 cigarros por dia; a água contaminada em Bangladesh causa perdas cognitivas mensuráveis em crianças. Porém, instrumentos clássicos (imposto pigouviano, cap-and-trade) têm implementação limitada em países com capacidade fiscal e regulatória fraca. Soluções adaptadas — pagamentos por serviços ambientais, auditoria ambiental com incentivos, informação pública sobre qualidade do ar — mostram resultados promissores.</w:t>
      </w:r>
    </w:p>
    <w:p>
      <w:pPr>
        <w:pStyle w:val="BlockText"/>
      </w:pPr>
      <w:r>
        <w:rPr>
          <w:b/>
          <w:bCs/>
        </w:rPr>
        <w:t xml:space="preserve">Conexão com o capítulo.</w:t>
      </w:r>
      <w:r>
        <w:t xml:space="preserve"> </w:t>
      </w:r>
      <w:r>
        <w:t xml:space="preserve">O paper contextualiza os instrumentos de política das Seções 20.4 no mundo real de países em desenvolvimento, onde os pressupostos do modelo (custos de transação baixos, capacidade regulatória, enforcement) frequentemente não se verificam.</w:t>
      </w:r>
    </w:p>
    <w:p>
      <w:r>
        <w:pict>
          <v:rect style="width:0;height:1.5pt" o:hralign="center" o:hrstd="t" o:hr="t"/>
        </w:pict>
      </w:r>
    </w:p>
    <w:p>
      <w:pPr>
        <w:pStyle w:val="BlockText"/>
      </w:pPr>
      <w:r>
        <w:rPr>
          <w:b/>
          <w:bCs/>
        </w:rPr>
        <w:t xml:space="preserve">[DICA] Exercício com IA — Externalidades e Bens Públicos</w:t>
      </w:r>
    </w:p>
    <w:p>
      <w:pPr>
        <w:pStyle w:val="BlockText"/>
      </w:pPr>
      <w:r>
        <w:rPr>
          <w:b/>
          <w:bCs/>
        </w:rPr>
        <w:t xml:space="preserve">Prompt sugerido para ChatGPT/Claude:</w:t>
      </w:r>
    </w:p>
    <w:p>
      <w:pPr>
        <w:pStyle w:val="BlockText"/>
      </w:pPr>
      <w:r>
        <w:rPr>
          <w:i/>
          <w:iCs/>
        </w:rPr>
        <w:t xml:space="preserve">“Considere uma cidade com 500.000 habitantes que enfrenta congestionamento viário severo. O custo externo do congestionamento é estimado em R$15 por viagem no horário de pico. A elasticidade-preço da demanda por viagens de carro é -0,3. (a) Projete um sistema de pedágio urbano pigouviano: qual deveria ser a tarifa no horário de pico? (b) Estime a redução no número de viagens. (c) Que problemas distributivos surgem? (d) Compare com alternativas: ampliação do transporte público, rodízio de placas, home office obrigatório.”</w:t>
      </w:r>
    </w:p>
    <w:p>
      <w:pPr>
        <w:pStyle w:val="BlockText"/>
      </w:pPr>
      <w:r>
        <w:t xml:space="preserve">Use o modelo de IA como interlocutor para explorar as múltiplas dimensões do problema — mas verifique as contas e questione as premissas!</w:t>
      </w:r>
    </w:p>
    <w:p>
      <w:r>
        <w:pict>
          <v:rect style="width:0;height:1.5pt" o:hralign="center" o:hrstd="t" o:hr="t"/>
        </w:pict>
      </w:r>
    </w:p>
    <w:bookmarkEnd w:id="1283"/>
    <w:bookmarkStart w:id="1289" w:name="referências-do-capítulo-21"/>
    <w:p>
      <w:pPr>
        <w:pStyle w:val="Heading3"/>
      </w:pPr>
      <w:r>
        <w:t xml:space="preserve">Referências do Capítulo</w:t>
      </w:r>
    </w:p>
    <w:p>
      <w:pPr>
        <w:pStyle w:val="Compact"/>
        <w:numPr>
          <w:ilvl w:val="0"/>
          <w:numId w:val="2131"/>
        </w:numPr>
      </w:pPr>
      <w:r>
        <w:t xml:space="preserve">Arrow, Kenneth J. 1951.</w:t>
      </w:r>
      <w:r>
        <w:t xml:space="preserve"> </w:t>
      </w:r>
      <w:hyperlink r:id="rId1284">
        <w:r>
          <w:rPr>
            <w:rStyle w:val="Hyperlink"/>
            <w:i/>
            <w:iCs/>
          </w:rPr>
          <w:t xml:space="preserve">Social Choice and Individual Values</w:t>
        </w:r>
      </w:hyperlink>
      <w:r>
        <w:t xml:space="preserve">. New Haven: Yale University Press.</w:t>
      </w:r>
    </w:p>
    <w:p>
      <w:pPr>
        <w:pStyle w:val="Compact"/>
        <w:numPr>
          <w:ilvl w:val="0"/>
          <w:numId w:val="2131"/>
        </w:numPr>
      </w:pPr>
      <w:r>
        <w:t xml:space="preserve">Coase, Ronald H. 1960.</w:t>
      </w:r>
      <w:r>
        <w:t xml:space="preserve"> </w:t>
      </w:r>
      <w:r>
        <w:t xml:space="preserve">“</w:t>
      </w:r>
      <w:hyperlink r:id="rId1285">
        <w:r>
          <w:rPr>
            <w:rStyle w:val="Hyperlink"/>
          </w:rPr>
          <w:t xml:space="preserve">The Problem of Social Cost</w:t>
        </w:r>
      </w:hyperlink>
      <w:r>
        <w:t xml:space="preserve">.”</w:t>
      </w:r>
      <w:r>
        <w:t xml:space="preserve"> </w:t>
      </w:r>
      <w:r>
        <w:rPr>
          <w:i/>
          <w:iCs/>
        </w:rPr>
        <w:t xml:space="preserve">Journal of Law and Economics</w:t>
      </w:r>
      <w:r>
        <w:t xml:space="preserve"> </w:t>
      </w:r>
      <w:r>
        <w:t xml:space="preserve">3: 1–44.</w:t>
      </w:r>
    </w:p>
    <w:p>
      <w:pPr>
        <w:pStyle w:val="Compact"/>
        <w:numPr>
          <w:ilvl w:val="0"/>
          <w:numId w:val="2131"/>
        </w:numPr>
      </w:pPr>
      <w:r>
        <w:t xml:space="preserve">Eliasson, Jonas, Lars Hultkrantz, Lena Nerhagen, e Lena Smidfelt Rosqvist. 2009.</w:t>
      </w:r>
      <w:r>
        <w:t xml:space="preserve"> </w:t>
      </w:r>
      <w:r>
        <w:t xml:space="preserve">“</w:t>
      </w:r>
      <w:hyperlink r:id="rId1279">
        <w:r>
          <w:rPr>
            <w:rStyle w:val="Hyperlink"/>
          </w:rPr>
          <w:t xml:space="preserve">The Stockholm Congestion-Charging Trial 2006: Overview of Effects</w:t>
        </w:r>
      </w:hyperlink>
      <w:r>
        <w:t xml:space="preserve">.”</w:t>
      </w:r>
      <w:r>
        <w:t xml:space="preserve"> </w:t>
      </w:r>
      <w:r>
        <w:rPr>
          <w:i/>
          <w:iCs/>
        </w:rPr>
        <w:t xml:space="preserve">Transportation Research Part A</w:t>
      </w:r>
      <w:r>
        <w:t xml:space="preserve"> </w:t>
      </w:r>
      <w:r>
        <w:t xml:space="preserve">43 (3): 240–250.</w:t>
      </w:r>
    </w:p>
    <w:p>
      <w:pPr>
        <w:pStyle w:val="Compact"/>
        <w:numPr>
          <w:ilvl w:val="0"/>
          <w:numId w:val="2131"/>
        </w:numPr>
      </w:pPr>
      <w:r>
        <w:t xml:space="preserve">Fehr, Ernst, e Simon Gächter. 2000.</w:t>
      </w:r>
      <w:r>
        <w:t xml:space="preserve"> </w:t>
      </w:r>
      <w:r>
        <w:t xml:space="preserve">“</w:t>
      </w:r>
      <w:hyperlink r:id="rId427">
        <w:r>
          <w:rPr>
            <w:rStyle w:val="Hyperlink"/>
          </w:rPr>
          <w:t xml:space="preserve">Cooperation and Punishment in Public Goods Experiments</w:t>
        </w:r>
      </w:hyperlink>
      <w:r>
        <w:t xml:space="preserve">.”</w:t>
      </w:r>
      <w:r>
        <w:t xml:space="preserve"> </w:t>
      </w:r>
      <w:r>
        <w:rPr>
          <w:i/>
          <w:iCs/>
        </w:rPr>
        <w:t xml:space="preserve">American Economic Review</w:t>
      </w:r>
      <w:r>
        <w:t xml:space="preserve"> </w:t>
      </w:r>
      <w:r>
        <w:t xml:space="preserve">90 (4): 980–994.</w:t>
      </w:r>
    </w:p>
    <w:p>
      <w:pPr>
        <w:pStyle w:val="Compact"/>
        <w:numPr>
          <w:ilvl w:val="0"/>
          <w:numId w:val="2131"/>
        </w:numPr>
      </w:pPr>
      <w:r>
        <w:t xml:space="preserve">Greenstone, Michael, e B. Kelsey Jack. 2015.</w:t>
      </w:r>
      <w:r>
        <w:t xml:space="preserve"> </w:t>
      </w:r>
      <w:r>
        <w:t xml:space="preserve">“</w:t>
      </w:r>
      <w:hyperlink r:id="rId1282">
        <w:r>
          <w:rPr>
            <w:rStyle w:val="Hyperlink"/>
          </w:rPr>
          <w:t xml:space="preserve">Envirodevonomics: A Research Agenda for an Emerging Field</w:t>
        </w:r>
      </w:hyperlink>
      <w:r>
        <w:t xml:space="preserve">.”</w:t>
      </w:r>
      <w:r>
        <w:t xml:space="preserve"> </w:t>
      </w:r>
      <w:r>
        <w:rPr>
          <w:i/>
          <w:iCs/>
        </w:rPr>
        <w:t xml:space="preserve">Journal of Economic Literature</w:t>
      </w:r>
      <w:r>
        <w:t xml:space="preserve"> </w:t>
      </w:r>
      <w:r>
        <w:t xml:space="preserve">53 (1): 5–42.</w:t>
      </w:r>
    </w:p>
    <w:p>
      <w:pPr>
        <w:pStyle w:val="Compact"/>
        <w:numPr>
          <w:ilvl w:val="0"/>
          <w:numId w:val="2131"/>
        </w:numPr>
      </w:pPr>
      <w:r>
        <w:t xml:space="preserve">Ostrom, Elinor. 1990.</w:t>
      </w:r>
      <w:r>
        <w:t xml:space="preserve"> </w:t>
      </w:r>
      <w:hyperlink r:id="rId1281">
        <w:r>
          <w:rPr>
            <w:rStyle w:val="Hyperlink"/>
            <w:i/>
            <w:iCs/>
          </w:rPr>
          <w:t xml:space="preserve">Governing the Commons: The Evolution of Institutions for Collective Action</w:t>
        </w:r>
      </w:hyperlink>
      <w:r>
        <w:t xml:space="preserve">. Cambridge: Cambridge University Press.</w:t>
      </w:r>
    </w:p>
    <w:p>
      <w:pPr>
        <w:pStyle w:val="Compact"/>
        <w:numPr>
          <w:ilvl w:val="0"/>
          <w:numId w:val="2131"/>
        </w:numPr>
      </w:pPr>
      <w:r>
        <w:t xml:space="preserve">Pigou, Arthur Cecil. 1920.</w:t>
      </w:r>
      <w:r>
        <w:t xml:space="preserve"> </w:t>
      </w:r>
      <w:hyperlink r:id="rId1286">
        <w:r>
          <w:rPr>
            <w:rStyle w:val="Hyperlink"/>
            <w:i/>
            <w:iCs/>
          </w:rPr>
          <w:t xml:space="preserve">The Economics of Welfare</w:t>
        </w:r>
      </w:hyperlink>
      <w:r>
        <w:t xml:space="preserve">. London: Macmillan.</w:t>
      </w:r>
    </w:p>
    <w:p>
      <w:pPr>
        <w:pStyle w:val="Compact"/>
        <w:numPr>
          <w:ilvl w:val="0"/>
          <w:numId w:val="2131"/>
        </w:numPr>
      </w:pPr>
      <w:r>
        <w:t xml:space="preserve">Samuelson, Paul A. 1954.</w:t>
      </w:r>
      <w:r>
        <w:t xml:space="preserve"> </w:t>
      </w:r>
      <w:r>
        <w:t xml:space="preserve">“</w:t>
      </w:r>
      <w:hyperlink r:id="rId1287">
        <w:r>
          <w:rPr>
            <w:rStyle w:val="Hyperlink"/>
          </w:rPr>
          <w:t xml:space="preserve">The Pure Theory of Public Expenditure</w:t>
        </w:r>
      </w:hyperlink>
      <w:r>
        <w:t xml:space="preserve">.”</w:t>
      </w:r>
      <w:r>
        <w:t xml:space="preserve"> </w:t>
      </w:r>
      <w:r>
        <w:rPr>
          <w:i/>
          <w:iCs/>
        </w:rPr>
        <w:t xml:space="preserve">Review of Economics and Statistics</w:t>
      </w:r>
      <w:r>
        <w:t xml:space="preserve"> </w:t>
      </w:r>
      <w:r>
        <w:t xml:space="preserve">36 (4): 387–389.</w:t>
      </w:r>
    </w:p>
    <w:p>
      <w:pPr>
        <w:pStyle w:val="Compact"/>
        <w:numPr>
          <w:ilvl w:val="0"/>
          <w:numId w:val="2131"/>
        </w:numPr>
      </w:pPr>
      <w:r>
        <w:t xml:space="preserve">Schmalensee, Richard, e Robert N. Stavins. 2013.</w:t>
      </w:r>
      <w:r>
        <w:t xml:space="preserve"> </w:t>
      </w:r>
      <w:r>
        <w:t xml:space="preserve">“</w:t>
      </w:r>
      <w:hyperlink r:id="rId1280">
        <w:r>
          <w:rPr>
            <w:rStyle w:val="Hyperlink"/>
          </w:rPr>
          <w:t xml:space="preserve">The SO₂ Allowance Trading System: The Ironic History of a Grand Policy Experiment</w:t>
        </w:r>
      </w:hyperlink>
      <w:r>
        <w:t xml:space="preserve">.”</w:t>
      </w:r>
      <w:r>
        <w:t xml:space="preserve"> </w:t>
      </w:r>
      <w:r>
        <w:rPr>
          <w:i/>
          <w:iCs/>
        </w:rPr>
        <w:t xml:space="preserve">Journal of Economic Perspectives</w:t>
      </w:r>
      <w:r>
        <w:t xml:space="preserve"> </w:t>
      </w:r>
      <w:r>
        <w:t xml:space="preserve">27 (1): 103–122.</w:t>
      </w:r>
    </w:p>
    <w:p>
      <w:pPr>
        <w:pStyle w:val="Compact"/>
        <w:numPr>
          <w:ilvl w:val="0"/>
          <w:numId w:val="2131"/>
        </w:numPr>
      </w:pPr>
      <w:r>
        <w:t xml:space="preserve">Weitzman, Martin L. 1974.</w:t>
      </w:r>
      <w:r>
        <w:t xml:space="preserve"> </w:t>
      </w:r>
      <w:r>
        <w:t xml:space="preserve">“</w:t>
      </w:r>
      <w:hyperlink r:id="rId1288">
        <w:r>
          <w:rPr>
            <w:rStyle w:val="Hyperlink"/>
          </w:rPr>
          <w:t xml:space="preserve">Prices vs. Quantities</w:t>
        </w:r>
      </w:hyperlink>
      <w:r>
        <w:t xml:space="preserve">.”</w:t>
      </w:r>
      <w:r>
        <w:t xml:space="preserve"> </w:t>
      </w:r>
      <w:r>
        <w:rPr>
          <w:i/>
          <w:iCs/>
        </w:rPr>
        <w:t xml:space="preserve">Review of Economic Studies</w:t>
      </w:r>
      <w:r>
        <w:t xml:space="preserve"> </w:t>
      </w:r>
      <w:r>
        <w:t xml:space="preserve">41 (4): 477–491.</w:t>
      </w:r>
    </w:p>
    <w:bookmarkEnd w:id="1289"/>
    <w:bookmarkEnd w:id="1290"/>
    <w:bookmarkEnd w:id="1291"/>
    <w:bookmarkStart w:id="1348" w:name="X0200a376619d9a63d0d85d0af6e41a8feeecf26"/>
    <w:p>
      <w:pPr>
        <w:sectPr>
          <w:footnotePr>
            <w:numRestart w:val="eachSect"/>
          </w:footnotePr>
        </w:sectPr>
      </w:pPr>
    </w:p>
    <w:p>
      <w:pPr>
        <w:pStyle w:val="Heading1"/>
      </w:pPr>
      <w:r>
        <w:t xml:space="preserve">Capítulo 21 — Se É De Graça, O Produto É Você</w:t>
      </w:r>
    </w:p>
    <w:p>
      <w:pPr>
        <w:pStyle w:val="FirstParagraph"/>
      </w:pPr>
      <w:r>
        <w:t xml:space="preserve">Por que o Google não cobra nada pelo seu buscador? Por que o WhatsApp se tornou praticamente universal no Brasil, mas concorrentes tecnicamente superiores fracassaram? Por que a Amazon pode vender livros abaixo do custo e, ainda assim, aumentar seu lucro? Essas perguntas — aparentemente desconexas — compartilham uma raiz microeconômica comum: os mercados digitais operam sob uma lógica fundamentalmente diferente daquela que governa os mercados de bens tradicionais analisados nos capítulos anteriores.</w:t>
      </w:r>
      <w:r>
        <w:rPr>
          <w:rStyle w:val="FootnoteReference"/>
        </w:rPr>
        <w:footnoteReference w:id="1292"/>
      </w:r>
    </w:p>
    <w:p>
      <w:pPr>
        <w:pStyle w:val="BodyText"/>
      </w:pPr>
      <w:r>
        <w:t xml:space="preserve">A economia digital é marcada por três características estruturais que, embora não sejam inteiramente novas, assumem proporções inéditas no ambiente online:</w:t>
      </w:r>
      <w:r>
        <w:t xml:space="preserve"> </w:t>
      </w:r>
      <w:r>
        <w:rPr>
          <w:b/>
          <w:bCs/>
        </w:rPr>
        <w:t xml:space="preserve">custos marginais próximos de zero</w:t>
      </w:r>
      <w:r>
        <w:t xml:space="preserve"> </w:t>
      </w:r>
      <w:r>
        <w:t xml:space="preserve">combinados com custos fixos elevados,</w:t>
      </w:r>
      <w:r>
        <w:t xml:space="preserve"> </w:t>
      </w:r>
      <w:r>
        <w:rPr>
          <w:b/>
          <w:bCs/>
        </w:rPr>
        <w:t xml:space="preserve">efeitos de rede</w:t>
      </w:r>
      <w:r>
        <w:t xml:space="preserve"> </w:t>
      </w:r>
      <w:r>
        <w:t xml:space="preserve">que tornam o valor de um produto dependente do número de usuários, e</w:t>
      </w:r>
      <w:r>
        <w:t xml:space="preserve"> </w:t>
      </w:r>
      <w:r>
        <w:rPr>
          <w:b/>
          <w:bCs/>
        </w:rPr>
        <w:t xml:space="preserve">mercados bilaterais</w:t>
      </w:r>
      <w:r>
        <w:t xml:space="preserve"> </w:t>
      </w:r>
      <w:r>
        <w:t xml:space="preserve">em que plataformas conectam dois ou mais grupos de agentes com interesses complementares. Cada uma dessas características desafia pressupostos centrais dos modelos competitivos estudados nos Capítulos 13 e 14, e gera estruturas de mercado que se assemelham mais ao monopólio (Capítulo 15) e ao oligopólio (Capítulos 16a–16b) — mas com mecanismos de poder de mercado e dinâmicas competitivas próprias.</w:t>
      </w:r>
    </w:p>
    <w:p>
      <w:pPr>
        <w:pStyle w:val="BodyText"/>
      </w:pPr>
      <w:r>
        <w:t xml:space="preserve">Este capítulo constrói progressivamente o arcabouço analítico necessário para compreender esses mercados. Começamos pela natureza econômica dos bens de informação (Seção 21.1), passamos aos efeitos de rede e suas consequências para a dinâmica de adoção (Seção 21.2), formalizamos os mercados bilaterais à la Rochet e Tirole (Seção 21.3), analisamos a competição entre plataformas (Seção 21.4), discutimos a economia da atenção (Seção 21.5), examinamos a economia de dados e privacidade (Seção 21.6) e, por fim, conectamos leilões digitais ao desenho de mecanismos (Seção 21.7). O tratamento combina formalização rigorosa com exemplos reais e conexões explícitas com capítulos anteriores — especialmente os de teoria dos jogos (Capítulo 9), monopólio (Capítulo 15), oligopólio (Capítulos 16a–16b) e informação assimétrica (Capítulo 19).</w:t>
      </w:r>
    </w:p>
    <w:p>
      <w:pPr>
        <w:pStyle w:val="BodyText"/>
      </w:pPr>
      <w:r>
        <w:t xml:space="preserve">A literatura acadêmica sobre economia digital é vasta e em rápida expansão. As referências centrais são Tirole (2021, 2023) para a análise de plataformas e regulação digital, Shapiro e Varian (1999) para a economia da informação, e Parker, Van Alstyne e Choudary (2016) para a estratégia de plataformas. O modelo de mercados bilaterais segue Rochet e Tirole (2003), que é discutido em detalhe na Seção 21.3 e na seção</w:t>
      </w:r>
      <w:r>
        <w:t xml:space="preserve"> </w:t>
      </w:r>
      <w:r>
        <w:t xml:space="preserve">“Pesquisa em Ação”</w:t>
      </w:r>
      <w:r>
        <w:t xml:space="preserve">. Para uma perspectiva regulatória europeia, ver Crémer, de Montjoye e Schweitzer (2019); para o contexto brasileiro, a análise do CADE (2020) sobre plataformas digitais é referência obrigatória.</w:t>
      </w:r>
    </w:p>
    <w:p>
      <w:pPr>
        <w:pStyle w:val="BlockText"/>
      </w:pPr>
      <w:r>
        <w:rPr>
          <w:b/>
          <w:bCs/>
        </w:rPr>
        <w:t xml:space="preserve">[ATENCAO] Atualização 2025</w:t>
      </w:r>
    </w:p>
    <w:p>
      <w:pPr>
        <w:pStyle w:val="BlockText"/>
      </w:pPr>
      <w:r>
        <w:t xml:space="preserve">Este capítulo foi atualizado para incorporar desenvolvimentos recentes na economia digital: (i)</w:t>
      </w:r>
      <w:r>
        <w:t xml:space="preserve"> </w:t>
      </w:r>
      <w:r>
        <w:rPr>
          <w:b/>
          <w:bCs/>
        </w:rPr>
        <w:t xml:space="preserve">IA generativa</w:t>
      </w:r>
      <w:r>
        <w:t xml:space="preserve"> </w:t>
      </w:r>
      <w:r>
        <w:t xml:space="preserve">e seus impactos sobre mercados de conteúdo e trabalho (Seção 21.2.6); (ii)</w:t>
      </w:r>
      <w:r>
        <w:t xml:space="preserve"> </w:t>
      </w:r>
      <w:r>
        <w:rPr>
          <w:b/>
          <w:bCs/>
        </w:rPr>
        <w:t xml:space="preserve">TikTok</w:t>
      </w:r>
      <w:r>
        <w:t xml:space="preserve"> </w:t>
      </w:r>
      <w:r>
        <w:t xml:space="preserve">e a economia da recomendação algorítmica (Seção 21.3.5); (iii)</w:t>
      </w:r>
      <w:r>
        <w:t xml:space="preserve"> </w:t>
      </w:r>
      <w:r>
        <w:rPr>
          <w:b/>
          <w:bCs/>
        </w:rPr>
        <w:t xml:space="preserve">regulação de plataformas</w:t>
      </w:r>
      <w:r>
        <w:t xml:space="preserve"> </w:t>
      </w:r>
      <w:r>
        <w:t xml:space="preserve">— DMA/DSA europeus e o PL das Plataformas brasileiro (Seção 21.3.6); (iv)</w:t>
      </w:r>
      <w:r>
        <w:t xml:space="preserve"> </w:t>
      </w:r>
      <w:r>
        <w:rPr>
          <w:b/>
          <w:bCs/>
        </w:rPr>
        <w:t xml:space="preserve">leilões de espectro 5G</w:t>
      </w:r>
      <w:r>
        <w:t xml:space="preserve"> </w:t>
      </w:r>
      <w:r>
        <w:t xml:space="preserve">no Brasil e o Nobel 2020 de Milgrom e Wilson (Seção 21.7.4). A velocidade de transformação dos mercados digitais exige que este capítulo seja revisado periodicamente — o leitor deve complementar o texto com notícias e papers recentes.</w:t>
      </w:r>
    </w:p>
    <w:p>
      <w:r>
        <w:pict>
          <v:rect style="width:0;height:1.5pt" o:hralign="center" o:hrstd="t" o:hr="t"/>
        </w:pict>
      </w:r>
    </w:p>
    <w:bookmarkStart w:id="1293" w:name="roteiro-do-capítulo-14"/>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21.1</w:t>
            </w:r>
          </w:p>
        </w:tc>
        <w:tc>
          <w:tcPr/>
          <w:p>
            <w:pPr>
              <w:pStyle w:val="Compact"/>
            </w:pPr>
            <w:r>
              <w:t xml:space="preserve">Por que copiar um arquivo custa zero mas produzir o primeiro custa milhões?</w:t>
            </w:r>
          </w:p>
        </w:tc>
        <w:tc>
          <w:tcPr/>
          <w:p>
            <w:pPr>
              <w:pStyle w:val="Compact"/>
            </w:pPr>
            <w:r>
              <w:t xml:space="preserve">Bens de informação, custo marginal zero</w:t>
            </w:r>
          </w:p>
        </w:tc>
        <w:tc>
          <w:tcPr/>
          <w:p>
            <w:pPr>
              <w:pStyle w:val="Compact"/>
              <w:jc w:val="center"/>
            </w:pPr>
            <w:r>
              <w:t xml:space="preserve">Bens de informação</w:t>
            </w:r>
          </w:p>
        </w:tc>
      </w:tr>
      <w:tr>
        <w:tc>
          <w:tcPr/>
          <w:p>
            <w:pPr>
              <w:pStyle w:val="Compact"/>
              <w:jc w:val="center"/>
            </w:pPr>
            <w:r>
              <w:t xml:space="preserve">21.2</w:t>
            </w:r>
          </w:p>
        </w:tc>
        <w:tc>
          <w:tcPr/>
          <w:p>
            <w:pPr>
              <w:pStyle w:val="Compact"/>
            </w:pPr>
            <w:r>
              <w:t xml:space="preserve">O WhatsApp é mais útil porque todo mundo usa — como modelar isso?</w:t>
            </w:r>
          </w:p>
        </w:tc>
        <w:tc>
          <w:tcPr/>
          <w:p>
            <w:pPr>
              <w:pStyle w:val="Compact"/>
            </w:pPr>
            <w:r>
              <w:t xml:space="preserve">Efeitos de rede, massa crítica, lock-in</w:t>
            </w:r>
          </w:p>
        </w:tc>
        <w:tc>
          <w:tcPr/>
          <w:p>
            <w:pPr>
              <w:pStyle w:val="Compact"/>
              <w:jc w:val="center"/>
            </w:pPr>
            <w:r>
              <w:t xml:space="preserve">Redes</w:t>
            </w:r>
          </w:p>
        </w:tc>
      </w:tr>
      <w:tr>
        <w:tc>
          <w:tcPr/>
          <w:p>
            <w:pPr>
              <w:pStyle w:val="Compact"/>
              <w:jc w:val="center"/>
            </w:pPr>
            <w:r>
              <w:t xml:space="preserve">21.3</w:t>
            </w:r>
          </w:p>
        </w:tc>
        <w:tc>
          <w:tcPr/>
          <w:p>
            <w:pPr>
              <w:pStyle w:val="Compact"/>
            </w:pPr>
            <w:r>
              <w:t xml:space="preserve">O iFood conecta dois lados — como cobrar de cada um?</w:t>
            </w:r>
          </w:p>
        </w:tc>
        <w:tc>
          <w:tcPr/>
          <w:p>
            <w:pPr>
              <w:pStyle w:val="Compact"/>
            </w:pPr>
            <w:r>
              <w:t xml:space="preserve">Mercados bilaterais, plataformas, subsídio cruzado</w:t>
            </w:r>
          </w:p>
        </w:tc>
        <w:tc>
          <w:tcPr/>
          <w:p>
            <w:pPr>
              <w:pStyle w:val="Compact"/>
              <w:jc w:val="center"/>
            </w:pPr>
            <w:r>
              <w:t xml:space="preserve">Plataformas</w:t>
            </w:r>
          </w:p>
        </w:tc>
      </w:tr>
      <w:tr>
        <w:tc>
          <w:tcPr/>
          <w:p>
            <w:pPr>
              <w:pStyle w:val="Compact"/>
              <w:jc w:val="center"/>
            </w:pPr>
            <w:r>
              <w:t xml:space="preserve">21.4</w:t>
            </w:r>
          </w:p>
        </w:tc>
        <w:tc>
          <w:tcPr/>
          <w:p>
            <w:pPr>
              <w:pStyle w:val="Compact"/>
            </w:pPr>
            <w:r>
              <w:t xml:space="preserve">Por que é tão difícil competir com uma plataforma dominante?</w:t>
            </w:r>
          </w:p>
        </w:tc>
        <w:tc>
          <w:tcPr/>
          <w:p>
            <w:pPr>
              <w:pStyle w:val="Compact"/>
            </w:pPr>
            <w:r>
              <w:t xml:space="preserve">Competição entre plataformas, winner-takes-most</w:t>
            </w:r>
          </w:p>
        </w:tc>
        <w:tc>
          <w:tcPr/>
          <w:p>
            <w:pPr>
              <w:pStyle w:val="Compact"/>
              <w:jc w:val="center"/>
            </w:pPr>
            <w:r>
              <w:t xml:space="preserve">Competição</w:t>
            </w:r>
          </w:p>
        </w:tc>
      </w:tr>
      <w:tr>
        <w:tc>
          <w:tcPr/>
          <w:p>
            <w:pPr>
              <w:pStyle w:val="Compact"/>
              <w:jc w:val="center"/>
            </w:pPr>
            <w:r>
              <w:t xml:space="preserve">21.5</w:t>
            </w:r>
          </w:p>
        </w:tc>
        <w:tc>
          <w:tcPr/>
          <w:p>
            <w:pPr>
              <w:pStyle w:val="Compact"/>
            </w:pPr>
            <w:r>
              <w:t xml:space="preserve">Se o produto é gratuito, você é o produto?</w:t>
            </w:r>
          </w:p>
        </w:tc>
        <w:tc>
          <w:tcPr/>
          <w:p>
            <w:pPr>
              <w:pStyle w:val="Compact"/>
            </w:pPr>
            <w:r>
              <w:t xml:space="preserve">Economia da atenção, publicidade, two-sided</w:t>
            </w:r>
          </w:p>
        </w:tc>
        <w:tc>
          <w:tcPr/>
          <w:p>
            <w:pPr>
              <w:pStyle w:val="Compact"/>
              <w:jc w:val="center"/>
            </w:pPr>
            <w:r>
              <w:t xml:space="preserve">Atenção</w:t>
            </w:r>
          </w:p>
        </w:tc>
      </w:tr>
      <w:tr>
        <w:tc>
          <w:tcPr/>
          <w:p>
            <w:pPr>
              <w:pStyle w:val="Compact"/>
              <w:jc w:val="center"/>
            </w:pPr>
            <w:r>
              <w:t xml:space="preserve">21.6</w:t>
            </w:r>
          </w:p>
        </w:tc>
        <w:tc>
          <w:tcPr/>
          <w:p>
            <w:pPr>
              <w:pStyle w:val="Compact"/>
            </w:pPr>
            <w:r>
              <w:t xml:space="preserve">Seus dados valem quanto — e quem deveria ser dono deles?</w:t>
            </w:r>
          </w:p>
        </w:tc>
        <w:tc>
          <w:tcPr/>
          <w:p>
            <w:pPr>
              <w:pStyle w:val="Compact"/>
            </w:pPr>
            <w:r>
              <w:t xml:space="preserve">Economia de dados, privacidade, LGPD</w:t>
            </w:r>
          </w:p>
        </w:tc>
        <w:tc>
          <w:tcPr/>
          <w:p>
            <w:pPr>
              <w:pStyle w:val="Compact"/>
              <w:jc w:val="center"/>
            </w:pPr>
            <w:r>
              <w:t xml:space="preserve">Dados</w:t>
            </w:r>
          </w:p>
        </w:tc>
      </w:tr>
      <w:tr>
        <w:tc>
          <w:tcPr/>
          <w:p>
            <w:pPr>
              <w:pStyle w:val="Compact"/>
              <w:jc w:val="center"/>
            </w:pPr>
            <w:r>
              <w:t xml:space="preserve">21.7</w:t>
            </w:r>
          </w:p>
        </w:tc>
        <w:tc>
          <w:tcPr/>
          <w:p>
            <w:pPr>
              <w:pStyle w:val="Compact"/>
            </w:pPr>
            <w:r>
              <w:t xml:space="preserve">Como o Google vende anúncios em milissegundos?</w:t>
            </w:r>
          </w:p>
        </w:tc>
        <w:tc>
          <w:tcPr/>
          <w:p>
            <w:pPr>
              <w:pStyle w:val="Compact"/>
            </w:pPr>
            <w:r>
              <w:t xml:space="preserve">Leilões online, GSP, mecanismos digitais</w:t>
            </w:r>
          </w:p>
        </w:tc>
        <w:tc>
          <w:tcPr/>
          <w:p>
            <w:pPr>
              <w:pStyle w:val="Compact"/>
              <w:jc w:val="center"/>
            </w:pPr>
            <w:r>
              <w:t xml:space="preserve">Leilões online</w:t>
            </w:r>
          </w:p>
        </w:tc>
      </w:tr>
      <w:tr>
        <w:tc>
          <w:tcPr/>
          <w:p>
            <w:pPr>
              <w:pStyle w:val="Compact"/>
              <w:jc w:val="center"/>
            </w:pPr>
            <w:r>
              <w:t xml:space="preserve">21.8</w:t>
            </w:r>
          </w:p>
        </w:tc>
        <w:tc>
          <w:tcPr/>
          <w:p>
            <w:pPr>
              <w:pStyle w:val="Compact"/>
            </w:pPr>
            <w:r>
              <w:t xml:space="preserve">Por que trocar de banco dá tanto trabalho — e quem lucra com isso?</w:t>
            </w:r>
          </w:p>
        </w:tc>
        <w:tc>
          <w:tcPr/>
          <w:p>
            <w:pPr>
              <w:pStyle w:val="Compact"/>
            </w:pPr>
            <w:r>
              <w:t xml:space="preserve">Switching costs, lock-in, Klemperer, portabilidade, interoperabilidade</w:t>
            </w:r>
          </w:p>
        </w:tc>
        <w:tc>
          <w:tcPr/>
          <w:p>
            <w:pPr>
              <w:pStyle w:val="Compact"/>
              <w:jc w:val="center"/>
            </w:pPr>
            <w:r>
              <w:t xml:space="preserve">Switching Costs</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p>
      <w:pPr>
        <w:pStyle w:val="BlockText"/>
      </w:pPr>
      <w:r>
        <w:rPr>
          <w:b/>
          <w:bCs/>
        </w:rPr>
        <w:t xml:space="preserve">[ATIVIDADE DE SALA] Atividade de Sala — Leilão de Anúncios e Plataformas Bilaterais</w:t>
      </w:r>
    </w:p>
    <w:p>
      <w:pPr>
        <w:pStyle w:val="BlockText"/>
      </w:pPr>
      <w:r>
        <w:rPr>
          <w:b/>
          <w:bCs/>
        </w:rPr>
        <w:t xml:space="preserve">Formato:</w:t>
      </w:r>
      <w:r>
        <w:t xml:space="preserve"> </w:t>
      </w:r>
      <w:r>
        <w:t xml:space="preserve">Simulação de mercado bilateral com leilão de atenção</w:t>
      </w:r>
      <w:r>
        <w:t xml:space="preserve"> </w:t>
      </w:r>
      <w:r>
        <w:rPr>
          <w:b/>
          <w:bCs/>
        </w:rPr>
        <w:t xml:space="preserve">Duração:</w:t>
      </w:r>
      <w:r>
        <w:t xml:space="preserve"> </w:t>
      </w:r>
      <w:r>
        <w:t xml:space="preserve">45–50 minutos (10 preparação + 20 rodadas + 15 debrief)</w:t>
      </w:r>
      <w:r>
        <w:t xml:space="preserve"> </w:t>
      </w:r>
      <w:r>
        <w:rPr>
          <w:b/>
          <w:bCs/>
        </w:rPr>
        <w:t xml:space="preserve">Material:</w:t>
      </w:r>
      <w:r>
        <w:t xml:space="preserve"> </w:t>
      </w:r>
      <w:r>
        <w:t xml:space="preserve">Fichas coloridas (verdes =</w:t>
      </w:r>
      <w:r>
        <w:t xml:space="preserve"> </w:t>
      </w:r>
      <w:r>
        <w:t xml:space="preserve">“cliques”</w:t>
      </w:r>
      <w:r>
        <w:t xml:space="preserve">, vermelhas =</w:t>
      </w:r>
      <w:r>
        <w:t xml:space="preserve"> </w:t>
      </w:r>
      <w:r>
        <w:t xml:space="preserve">“valor por clique”</w:t>
      </w:r>
      <w:r>
        <w:t xml:space="preserve">), quadro para registro.</w:t>
      </w:r>
    </w:p>
    <w:p>
      <w:pPr>
        <w:pStyle w:val="BlockText"/>
      </w:pPr>
      <w:r>
        <w:rPr>
          <w:b/>
          <w:bCs/>
        </w:rPr>
        <w:t xml:space="preserve">Preparação (10 min):</w:t>
      </w:r>
    </w:p>
    <w:p>
      <w:pPr>
        <w:pStyle w:val="Compact"/>
        <w:numPr>
          <w:ilvl w:val="0"/>
          <w:numId w:val="2132"/>
        </w:numPr>
      </w:pPr>
      <w:r>
        <w:t xml:space="preserve">Divida a turma em 3 grupos:</w:t>
      </w:r>
      <w:r>
        <w:t xml:space="preserve"> </w:t>
      </w:r>
      <w:r>
        <w:rPr>
          <w:b/>
          <w:bCs/>
        </w:rPr>
        <w:t xml:space="preserve">Usuários</w:t>
      </w:r>
      <w:r>
        <w:t xml:space="preserve"> </w:t>
      </w:r>
      <w:r>
        <w:t xml:space="preserve">(metade da turma),</w:t>
      </w:r>
      <w:r>
        <w:t xml:space="preserve"> </w:t>
      </w:r>
      <w:r>
        <w:rPr>
          <w:b/>
          <w:bCs/>
        </w:rPr>
        <w:t xml:space="preserve">Anunciantes</w:t>
      </w:r>
      <w:r>
        <w:t xml:space="preserve"> </w:t>
      </w:r>
      <w:r>
        <w:t xml:space="preserve">(1/4 da turma),</w:t>
      </w:r>
      <w:r>
        <w:t xml:space="preserve"> </w:t>
      </w:r>
      <w:r>
        <w:rPr>
          <w:b/>
          <w:bCs/>
        </w:rPr>
        <w:t xml:space="preserve">Plataformas</w:t>
      </w:r>
      <w:r>
        <w:t xml:space="preserve"> </w:t>
      </w:r>
      <w:r>
        <w:t xml:space="preserve">(2–3 alunos).</w:t>
      </w:r>
    </w:p>
    <w:p>
      <w:pPr>
        <w:pStyle w:val="Compact"/>
        <w:numPr>
          <w:ilvl w:val="0"/>
          <w:numId w:val="2132"/>
        </w:numPr>
      </w:pPr>
      <w:r>
        <w:t xml:space="preserve">Cada Usuário recebe 10 fichas verdes (</w:t>
      </w:r>
      <w:r>
        <w:t xml:space="preserve">“atenção”</w:t>
      </w:r>
      <w:r>
        <w:t xml:space="preserve"> </w:t>
      </w:r>
      <w:r>
        <w:t xml:space="preserve">— cada ficha = 1 minuto de atenção por rodada).</w:t>
      </w:r>
    </w:p>
    <w:p>
      <w:pPr>
        <w:pStyle w:val="Compact"/>
        <w:numPr>
          <w:ilvl w:val="0"/>
          <w:numId w:val="2132"/>
        </w:numPr>
      </w:pPr>
      <w:r>
        <w:t xml:space="preserve">Cada Anunciante recebe um valor secreto por clique (ficha vermelha: R$2, R$5, R$8, R$10 — distribuídos aleatoriamente).</w:t>
      </w:r>
    </w:p>
    <w:p>
      <w:pPr>
        <w:pStyle w:val="Compact"/>
        <w:numPr>
          <w:ilvl w:val="0"/>
          <w:numId w:val="2132"/>
        </w:numPr>
      </w:pPr>
      <w:r>
        <w:t xml:space="preserve">As Plataformas competem para atrair Usuários e Anunciantes.</w:t>
      </w:r>
    </w:p>
    <w:p>
      <w:pPr>
        <w:pStyle w:val="BlockText"/>
      </w:pPr>
      <w:r>
        <w:rPr>
          <w:b/>
          <w:bCs/>
        </w:rPr>
        <w:t xml:space="preserve">Fase 1 — Sem subsídio cruzado (rodadas 1–5, 10 min):</w:t>
      </w:r>
    </w:p>
    <w:p>
      <w:pPr>
        <w:pStyle w:val="Compact"/>
        <w:numPr>
          <w:ilvl w:val="0"/>
          <w:numId w:val="2133"/>
        </w:numPr>
      </w:pPr>
      <w:r>
        <w:t xml:space="preserve">Cada Plataforma define um preço para Usuários (p_U) e para Anunciantes (p_A).</w:t>
      </w:r>
    </w:p>
    <w:p>
      <w:pPr>
        <w:pStyle w:val="Compact"/>
        <w:numPr>
          <w:ilvl w:val="0"/>
          <w:numId w:val="2133"/>
        </w:numPr>
      </w:pPr>
      <w:r>
        <w:t xml:space="preserve">Usuários escolhem a plataforma com menor preço (ou ficam de fora se p_U &gt; 3).</w:t>
      </w:r>
    </w:p>
    <w:p>
      <w:pPr>
        <w:pStyle w:val="Compact"/>
        <w:numPr>
          <w:ilvl w:val="0"/>
          <w:numId w:val="2133"/>
        </w:numPr>
      </w:pPr>
      <w:r>
        <w:t xml:space="preserve">Anunciantes participam de leilão de segundo preço pelos</w:t>
      </w:r>
      <w:r>
        <w:t xml:space="preserve"> </w:t>
      </w:r>
      <w:r>
        <w:t xml:space="preserve">“cliques”</w:t>
      </w:r>
      <w:r>
        <w:t xml:space="preserve"> </w:t>
      </w:r>
      <w:r>
        <w:t xml:space="preserve">dos Usuários.</w:t>
      </w:r>
    </w:p>
    <w:p>
      <w:pPr>
        <w:pStyle w:val="Compact"/>
        <w:numPr>
          <w:ilvl w:val="0"/>
          <w:numId w:val="2133"/>
        </w:numPr>
      </w:pPr>
      <w:r>
        <w:rPr>
          <w:b/>
          <w:bCs/>
        </w:rPr>
        <w:t xml:space="preserve">Resultado esperado:</w:t>
      </w:r>
      <w:r>
        <w:t xml:space="preserve"> </w:t>
      </w:r>
      <w:r>
        <w:t xml:space="preserve">Plataformas que cobram de ambos os lados atraem poucos Usuários.</w:t>
      </w:r>
    </w:p>
    <w:p>
      <w:pPr>
        <w:pStyle w:val="BlockText"/>
      </w:pPr>
      <w:r>
        <w:rPr>
          <w:b/>
          <w:bCs/>
        </w:rPr>
        <w:t xml:space="preserve">Fase 2 — Com subsídio cruzado (rodadas 6–10, 10 min):</w:t>
      </w:r>
    </w:p>
    <w:p>
      <w:pPr>
        <w:pStyle w:val="Compact"/>
        <w:numPr>
          <w:ilvl w:val="0"/>
          <w:numId w:val="2134"/>
        </w:numPr>
      </w:pPr>
      <w:r>
        <w:t xml:space="preserve">Permita que Plataformas fixem p_U = 0 (gratuito para Usuários).</w:t>
      </w:r>
    </w:p>
    <w:p>
      <w:pPr>
        <w:pStyle w:val="Compact"/>
        <w:numPr>
          <w:ilvl w:val="0"/>
          <w:numId w:val="2134"/>
        </w:numPr>
      </w:pPr>
      <w:r>
        <w:t xml:space="preserve">Anunciantes pagam mais para acessar a base de Usuários.</w:t>
      </w:r>
    </w:p>
    <w:p>
      <w:pPr>
        <w:pStyle w:val="Compact"/>
        <w:numPr>
          <w:ilvl w:val="0"/>
          <w:numId w:val="2134"/>
        </w:numPr>
      </w:pPr>
      <w:r>
        <w:rPr>
          <w:b/>
          <w:bCs/>
        </w:rPr>
        <w:t xml:space="preserve">Resultado esperado:</w:t>
      </w:r>
      <w:r>
        <w:t xml:space="preserve"> </w:t>
      </w:r>
      <w:r>
        <w:t xml:space="preserve">Plataformas gratuitas atraem mais Usuários, gerando mais receita de Anunciantes. Demonstra a lógica de Rochet-Tirole.</w:t>
      </w:r>
    </w:p>
    <w:p>
      <w:pPr>
        <w:pStyle w:val="BlockText"/>
      </w:pPr>
      <w:r>
        <w:rPr>
          <w:b/>
          <w:bCs/>
        </w:rPr>
        <w:t xml:space="preserve">Fase 3 — Efeitos de rede (rodadas 11–15, opcionais):</w:t>
      </w:r>
    </w:p>
    <w:p>
      <w:pPr>
        <w:pStyle w:val="Compact"/>
        <w:numPr>
          <w:ilvl w:val="0"/>
          <w:numId w:val="2135"/>
        </w:numPr>
      </w:pPr>
      <w:r>
        <w:t xml:space="preserve">Adicione regra: cada Usuário ganha +1 ficha de atenção para cada 5 Usuários na mesma plataforma (efeito de rede direto).</w:t>
      </w:r>
    </w:p>
    <w:p>
      <w:pPr>
        <w:pStyle w:val="Compact"/>
        <w:numPr>
          <w:ilvl w:val="0"/>
          <w:numId w:val="2135"/>
        </w:numPr>
      </w:pPr>
      <w:r>
        <w:rPr>
          <w:b/>
          <w:bCs/>
        </w:rPr>
        <w:t xml:space="preserve">Resultado esperado:</w:t>
      </w:r>
      <w:r>
        <w:t xml:space="preserve"> </w:t>
      </w:r>
      <w:r>
        <w:t xml:space="preserve">Tipping — uma plataforma captura a maioria dos Usuários.</w:t>
      </w:r>
    </w:p>
    <w:p>
      <w:pPr>
        <w:pStyle w:val="BlockText"/>
      </w:pPr>
      <w:r>
        <w:rPr>
          <w:b/>
          <w:bCs/>
        </w:rPr>
        <w:t xml:space="preserve">Debrief (15 min):</w:t>
      </w:r>
    </w:p>
    <w:p>
      <w:pPr>
        <w:pStyle w:val="Compact"/>
        <w:numPr>
          <w:ilvl w:val="0"/>
          <w:numId w:val="2136"/>
        </w:numPr>
      </w:pPr>
      <w:r>
        <w:t xml:space="preserve">Compare receitas das Plataformas nas 3 fases.</w:t>
      </w:r>
    </w:p>
    <w:p>
      <w:pPr>
        <w:pStyle w:val="Compact"/>
        <w:numPr>
          <w:ilvl w:val="0"/>
          <w:numId w:val="2136"/>
        </w:numPr>
      </w:pPr>
      <w:r>
        <w:t xml:space="preserve">Pergunte:</w:t>
      </w:r>
      <w:r>
        <w:t xml:space="preserve"> </w:t>
      </w:r>
      <w:r>
        <w:rPr>
          <w:i/>
          <w:iCs/>
        </w:rPr>
        <w:t xml:space="preserve">“Por que cobrar zero dos Usuários pode ser mais lucrativo?”</w:t>
      </w:r>
      <w:r>
        <w:t xml:space="preserve"> </w:t>
      </w:r>
      <w:r>
        <w:t xml:space="preserve">→ Subsídio cruzado (Seção 21.3).</w:t>
      </w:r>
    </w:p>
    <w:p>
      <w:pPr>
        <w:pStyle w:val="Compact"/>
        <w:numPr>
          <w:ilvl w:val="0"/>
          <w:numId w:val="2136"/>
        </w:numPr>
      </w:pPr>
      <w:r>
        <w:t xml:space="preserve">Pergunte:</w:t>
      </w:r>
      <w:r>
        <w:t xml:space="preserve"> </w:t>
      </w:r>
      <w:r>
        <w:rPr>
          <w:i/>
          <w:iCs/>
        </w:rPr>
        <w:t xml:space="preserve">“O que aconteceu quando adicionamos efeitos de rede?”</w:t>
      </w:r>
      <w:r>
        <w:t xml:space="preserve"> </w:t>
      </w:r>
      <w:r>
        <w:t xml:space="preserve">→ Tipping, winner-take-all (Seção 21.4).</w:t>
      </w:r>
    </w:p>
    <w:p>
      <w:pPr>
        <w:pStyle w:val="Compact"/>
        <w:numPr>
          <w:ilvl w:val="0"/>
          <w:numId w:val="2136"/>
        </w:numPr>
      </w:pPr>
      <w:r>
        <w:t xml:space="preserve">Pergunte:</w:t>
      </w:r>
      <w:r>
        <w:t xml:space="preserve"> </w:t>
      </w:r>
      <w:r>
        <w:rPr>
          <w:i/>
          <w:iCs/>
        </w:rPr>
        <w:t xml:space="preserve">“O que os Anunciantes pagaram realmente?”</w:t>
      </w:r>
      <w:r>
        <w:t xml:space="preserve"> </w:t>
      </w:r>
      <w:r>
        <w:t xml:space="preserve">→ Leilão de segundo preço, GSP (Seção 21.7).</w:t>
      </w:r>
    </w:p>
    <w:p>
      <w:pPr>
        <w:pStyle w:val="Compact"/>
        <w:numPr>
          <w:ilvl w:val="0"/>
          <w:numId w:val="2136"/>
        </w:numPr>
      </w:pPr>
      <w:r>
        <w:t xml:space="preserve">Conecte com exemplos reais: Google, iFood, Instagram.</w:t>
      </w:r>
    </w:p>
    <w:p>
      <w:pPr>
        <w:pStyle w:val="BlockText"/>
      </w:pPr>
      <w:r>
        <w:rPr>
          <w:b/>
          <w:bCs/>
        </w:rPr>
        <w:t xml:space="preserve">Conexão com o capítulo:</w:t>
      </w:r>
      <w:r>
        <w:t xml:space="preserve"> </w:t>
      </w:r>
      <w:r>
        <w:t xml:space="preserve">Seções 21.3 (bilateral markets), 21.4 (competition), 21.7 (auctions). Inspirado em Holt (2007, Cap. 12) adaptado para mercados digitais.</w:t>
      </w:r>
    </w:p>
    <w:bookmarkEnd w:id="1293"/>
    <w:bookmarkStart w:id="1306" w:name="bens-de-informação-e-efeitos-de-rede"/>
    <w:p>
      <w:pPr>
        <w:pStyle w:val="Heading2"/>
      </w:pPr>
      <w:r>
        <w:t xml:space="preserve">Bens de Informação e Efeitos de Rede</w:t>
      </w:r>
    </w:p>
    <w:bookmarkStart w:id="1296" w:name="Xb4a364f76e9fa8073516100ed65590c50a6d5e9"/>
    <w:p>
      <w:pPr>
        <w:pStyle w:val="Heading3"/>
      </w:pPr>
      <w:r>
        <w:t xml:space="preserve">21.1 Introdução: Por que a economia digital é diferente?</w:t>
      </w:r>
    </w:p>
    <w:bookmarkStart w:id="1294" w:name="X5e51f9e7197660d974add6c41f49d4fa0055c59"/>
    <w:p>
      <w:pPr>
        <w:pStyle w:val="Heading4"/>
      </w:pPr>
      <w:r>
        <w:t xml:space="preserve">21.1.1 Bens de informação: custo marginal zero, custo fixo alto</w:t>
      </w:r>
    </w:p>
    <w:p>
      <w:pPr>
        <w:pStyle w:val="FirstParagraph"/>
      </w:pPr>
      <w:r>
        <w:t xml:space="preserve">A resposta curta para a pergunta do título: porque quase tudo que você aprendeu sobre custos, preços e concorrência assume que produzir mais custa mais. No mundo digital, essa premissa desmorona. A microeconomia tradicional — da teoria do consumidor (Capítulos 3-6) à firma competitiva (Capítulos 10-13) — assume implicitamente que os bens são</w:t>
      </w:r>
      <w:r>
        <w:t xml:space="preserve"> </w:t>
      </w:r>
      <w:r>
        <w:rPr>
          <w:b/>
          <w:bCs/>
        </w:rPr>
        <w:t xml:space="preserve">rivais</w:t>
      </w:r>
      <w:r>
        <w:t xml:space="preserve">: se você consome uma maçã, eu não posso consumi-la. Os custos de produção, nesse mundo, são tipicamente convexos: produzir unidades adicionais custa cada vez mais. Nessas condições, o equilíbrio competitivo existe e é eficiente (Primeiro Teorema do Bem-Estar, Capítulo 14).</w:t>
      </w:r>
    </w:p>
    <w:p>
      <w:pPr>
        <w:pStyle w:val="BodyText"/>
      </w:pPr>
      <w:r>
        <w:t xml:space="preserve">Bens de informação violam essa premissa de forma radical. Um software, um filme, uma música, uma notícia ou um algoritmo de busca têm custos de produção concentrados na</w:t>
      </w:r>
      <w:r>
        <w:t xml:space="preserve"> </w:t>
      </w:r>
      <w:r>
        <w:rPr>
          <w:b/>
          <w:bCs/>
        </w:rPr>
        <w:t xml:space="preserve">primeira cópia</w:t>
      </w:r>
      <w:r>
        <w:t xml:space="preserve"> </w:t>
      </w:r>
      <w:r>
        <w:t xml:space="preserve">— o custo fixo de desenvolvimento é alto, frequentemente na casa de bilhões de dólares. Porém, uma vez criada a primeira cópia, o custo de reprodução e distribuição digital é essencialmente</w:t>
      </w:r>
      <w:r>
        <w:t xml:space="preserve"> </w:t>
      </w:r>
      <w:r>
        <w:rPr>
          <w:b/>
          <w:bCs/>
        </w:rPr>
        <w:t xml:space="preserve">zero</w:t>
      </w:r>
      <w:r>
        <w:t xml:space="preserve">. Formalmente:</w:t>
      </w:r>
    </w:p>
    <w:p>
      <w:pPr>
        <w:pStyle w:val="BodyText"/>
      </w:pPr>
      <m:oMathPara>
        <m:oMathParaPr>
          <m:jc m:val="center"/>
        </m:oMathParaPr>
        <m:oMath>
          <m:r>
            <m:t>C</m:t>
          </m:r>
          <m:r>
            <m:rPr>
              <m:sty m:val="p"/>
            </m:rPr>
            <m:t>(</m:t>
          </m:r>
          <m:r>
            <m:t>q</m:t>
          </m:r>
          <m:r>
            <m:rPr>
              <m:sty m:val="p"/>
            </m:rPr>
            <m:t>)</m:t>
          </m:r>
          <m:r>
            <m:rPr>
              <m:sty m:val="p"/>
            </m:rPr>
            <m:t>=</m:t>
          </m:r>
          <m:r>
            <m:t>F</m:t>
          </m:r>
          <m:r>
            <m:rPr>
              <m:sty m:val="p"/>
            </m:rPr>
            <m:t>+</m:t>
          </m:r>
          <m:r>
            <m:t>c</m:t>
          </m:r>
          <m:r>
            <m:rPr>
              <m:sty m:val="p"/>
            </m:rPr>
            <m:t>⋅</m:t>
          </m:r>
          <m:r>
            <m:t>q</m:t>
          </m:r>
          <m:r>
            <m:rPr>
              <m:sty m:val="p"/>
            </m:rPr>
            <m:t>,</m:t>
          </m:r>
          <m:r>
            <m:t> </m:t>
          </m:r>
          <m:r>
            <m:rPr>
              <m:nor/>
              <m:sty m:val="p"/>
            </m:rPr>
            <m:t>com </m:t>
          </m:r>
          <m:r>
            <m:t>c</m:t>
          </m:r>
          <m:r>
            <m:rPr>
              <m:sty m:val="p"/>
            </m:rPr>
            <m:t>≈</m:t>
          </m:r>
          <m:r>
            <m:t>0</m:t>
          </m:r>
          <m:r>
            <m:rPr>
              <m:nor/>
              <m:sty m:val="p"/>
            </m:rPr>
            <m:t> e </m:t>
          </m:r>
          <m:r>
            <m:t>F</m:t>
          </m:r>
          <m:r>
            <m:rPr>
              <m:sty m:val="p"/>
            </m:rPr>
            <m:t>≫</m:t>
          </m:r>
          <m:r>
            <m:t>0</m:t>
          </m:r>
        </m:oMath>
      </m:oMathPara>
    </w:p>
    <w:p>
      <w:pPr>
        <w:pStyle w:val="FirstParagraph"/>
      </w:pPr>
      <w:r>
        <w:t xml:space="preserve">onde</w:t>
      </w:r>
      <w:r>
        <w:t xml:space="preserve"> </w:t>
      </w:r>
      <m:oMath>
        <m:r>
          <m:t>F</m:t>
        </m:r>
      </m:oMath>
      <w:r>
        <w:t xml:space="preserve"> </w:t>
      </w:r>
      <w:r>
        <w:t xml:space="preserve">é o custo fixo de desenvolvimento e</w:t>
      </w:r>
      <w:r>
        <w:t xml:space="preserve"> </w:t>
      </w:r>
      <m:oMath>
        <m:r>
          <m:t>c</m:t>
        </m:r>
      </m:oMath>
      <w:r>
        <w:t xml:space="preserve"> </w:t>
      </w:r>
      <w:r>
        <w:t xml:space="preserve">é o custo marginal de distribuição. Para um filme na Netflix,</w:t>
      </w:r>
      <w:r>
        <w:t xml:space="preserve"> </w:t>
      </w:r>
      <m:oMath>
        <m:r>
          <m:t>F</m:t>
        </m:r>
      </m:oMath>
      <w:r>
        <w:t xml:space="preserve"> </w:t>
      </w:r>
      <w:r>
        <w:t xml:space="preserve">pode ser de US$ 200 milhões, mas</w:t>
      </w:r>
      <w:r>
        <w:t xml:space="preserve"> </w:t>
      </w:r>
      <m:oMath>
        <m:r>
          <m:t>c</m:t>
        </m:r>
      </m:oMath>
      <w:r>
        <w:t xml:space="preserve"> </w:t>
      </w:r>
      <w:r>
        <w:t xml:space="preserve">— o custo de transmitir uma cópia adicional via streaming — é de frações de centavo.</w:t>
      </w:r>
    </w:p>
    <w:p>
      <w:pPr>
        <w:pStyle w:val="BodyText"/>
      </w:pPr>
      <w:r>
        <w:t xml:space="preserve">A implicação é profunda e conecta diretamente com a análise do monopólio natural do Capítulo 15: quando o custo médio</w:t>
      </w:r>
      <w:r>
        <w:t xml:space="preserve"> </w:t>
      </w:r>
      <m:oMath>
        <m:r>
          <m:t>C</m:t>
        </m:r>
        <m:r>
          <m:t>M</m:t>
        </m:r>
        <m:r>
          <m:t>e</m:t>
        </m:r>
        <m:r>
          <m:rPr>
            <m:sty m:val="p"/>
          </m:rPr>
          <m:t>=</m:t>
        </m:r>
        <m:r>
          <m:t>F</m:t>
        </m:r>
        <m:r>
          <m:rPr>
            <m:sty m:val="p"/>
          </m:rPr>
          <m:t>/</m:t>
        </m:r>
        <m:r>
          <m:t>q</m:t>
        </m:r>
        <m:r>
          <m:rPr>
            <m:sty m:val="p"/>
          </m:rPr>
          <m:t>+</m:t>
        </m:r>
        <m:r>
          <m:t>c</m:t>
        </m:r>
      </m:oMath>
      <w:r>
        <w:t xml:space="preserve"> </w:t>
      </w:r>
      <w:r>
        <w:t xml:space="preserve">é decrescente para toda escala relevante, o mercado tende ao monopólio natural. A precificação pelo custo marginal (</w:t>
      </w:r>
      <m:oMath>
        <m:r>
          <m:t>p</m:t>
        </m:r>
        <m:r>
          <m:rPr>
            <m:sty m:val="p"/>
          </m:rPr>
          <m:t>=</m:t>
        </m:r>
        <m:r>
          <m:t>c</m:t>
        </m:r>
        <m:r>
          <m:rPr>
            <m:sty m:val="p"/>
          </m:rPr>
          <m:t>≈</m:t>
        </m:r>
        <m:r>
          <m:t>0</m:t>
        </m:r>
      </m:oMath>
      <w:r>
        <w:t xml:space="preserve">) é eficiente do ponto de vista alocativo, mas</w:t>
      </w:r>
      <w:r>
        <w:t xml:space="preserve"> </w:t>
      </w:r>
      <w:r>
        <w:rPr>
          <w:b/>
          <w:bCs/>
        </w:rPr>
        <w:t xml:space="preserve">não cobre os custos fixos</w:t>
      </w:r>
      <w:r>
        <w:t xml:space="preserve">, tornando a produção financeiramente inviável. Esse é o dilema central dos mercados de informação: a eficiência alocativa requer preço zero, mas a viabilidade econômica requer preço positivo.</w:t>
      </w:r>
    </w:p>
    <w:p>
      <w:pPr>
        <w:pStyle w:val="BlockText"/>
      </w:pPr>
      <w:r>
        <w:rPr>
          <w:b/>
          <w:bCs/>
        </w:rPr>
        <w:t xml:space="preserve">[DEFINICAO] Bens de informação</w:t>
      </w:r>
    </w:p>
    <w:p>
      <w:pPr>
        <w:pStyle w:val="BlockText"/>
      </w:pPr>
      <w:r>
        <w:t xml:space="preserve">Bens cujo valor reside em seu conteúdo informacional (software, música, dados, algoritmos), caracterizados por: (i)</w:t>
      </w:r>
      <w:r>
        <w:t xml:space="preserve"> </w:t>
      </w:r>
      <w:r>
        <w:rPr>
          <w:b/>
          <w:bCs/>
        </w:rPr>
        <w:t xml:space="preserve">custo fixo elevado</w:t>
      </w:r>
      <w:r>
        <w:t xml:space="preserve"> </w:t>
      </w:r>
      <w:r>
        <w:t xml:space="preserve">de produção da primeira cópia; (ii)</w:t>
      </w:r>
      <w:r>
        <w:t xml:space="preserve"> </w:t>
      </w:r>
      <w:r>
        <w:rPr>
          <w:b/>
          <w:bCs/>
        </w:rPr>
        <w:t xml:space="preserve">custo marginal de reprodução próximo de zero</w:t>
      </w:r>
      <w:r>
        <w:t xml:space="preserve">; (iii)</w:t>
      </w:r>
      <w:r>
        <w:t xml:space="preserve"> </w:t>
      </w:r>
      <w:r>
        <w:rPr>
          <w:b/>
          <w:bCs/>
        </w:rPr>
        <w:t xml:space="preserve">não-rivalidade</w:t>
      </w:r>
      <w:r>
        <w:t xml:space="preserve"> </w:t>
      </w:r>
      <w:r>
        <w:t xml:space="preserve">no consumo (o uso por um agente não reduz a disponibilidade para outros). Bens de informação são, em essência,</w:t>
      </w:r>
      <w:r>
        <w:t xml:space="preserve"> </w:t>
      </w:r>
      <w:r>
        <w:rPr>
          <w:b/>
          <w:bCs/>
        </w:rPr>
        <w:t xml:space="preserve">bens públicos imperfeitos</w:t>
      </w:r>
      <w:r>
        <w:t xml:space="preserve"> </w:t>
      </w:r>
      <w:r>
        <w:t xml:space="preserve">— não-rivais, mas parcialmente excludentes (via DRM, patentes, senhas).</w:t>
      </w:r>
    </w:p>
    <w:bookmarkEnd w:id="1294"/>
    <w:bookmarkStart w:id="1295" w:name="não-rivalidade-e-não-excludibilidade"/>
    <w:p>
      <w:pPr>
        <w:pStyle w:val="Heading4"/>
      </w:pPr>
      <w:r>
        <w:t xml:space="preserve">21.1.2 Não-rivalidade e não-excludibilidade</w:t>
      </w:r>
    </w:p>
    <w:p>
      <w:pPr>
        <w:pStyle w:val="FirstParagraph"/>
      </w:pPr>
      <w:r>
        <w:t xml:space="preserve">Recorde a classificação de bens do Capítulo 20:</w:t>
      </w:r>
    </w:p>
    <w:tbl>
      <w:tblPr>
        <w:tblStyle w:val="Table"/>
        <w:tblW w:type="pct" w:w="5000"/>
        <w:tblLayout w:type="fixed"/>
        <w:tblLook w:firstRow="1" w:lastRow="0" w:firstColumn="0" w:lastColumn="0" w:noHBand="0" w:noVBand="0" w:val="0020"/>
      </w:tblPr>
      <w:tblGrid>
        <w:gridCol w:w="766"/>
        <w:gridCol w:w="3065"/>
        <w:gridCol w:w="4087"/>
      </w:tblGrid>
      <w:tr>
        <w:trPr>
          <w:tblHeader w:val="on"/>
        </w:trPr>
        <w:tc>
          <w:tcPr/>
          <w:p>
            <w:pPr>
              <w:pStyle w:val="Compact"/>
            </w:pPr>
          </w:p>
        </w:tc>
        <w:tc>
          <w:tcPr/>
          <w:p>
            <w:pPr>
              <w:pStyle w:val="Compact"/>
              <w:jc w:val="left"/>
            </w:pPr>
            <w:r>
              <w:t xml:space="preserve">Excludente</w:t>
            </w:r>
          </w:p>
        </w:tc>
        <w:tc>
          <w:tcPr/>
          <w:p>
            <w:pPr>
              <w:pStyle w:val="Compact"/>
              <w:jc w:val="left"/>
            </w:pPr>
            <w:r>
              <w:t xml:space="preserve">Não-excludente</w:t>
            </w:r>
          </w:p>
        </w:tc>
      </w:tr>
      <w:tr>
        <w:tc>
          <w:tcPr/>
          <w:p>
            <w:pPr>
              <w:pStyle w:val="Compact"/>
              <w:jc w:val="left"/>
            </w:pPr>
            <w:r>
              <w:rPr>
                <w:b/>
                <w:bCs/>
              </w:rPr>
              <w:t xml:space="preserve">Rival</w:t>
            </w:r>
          </w:p>
        </w:tc>
        <w:tc>
          <w:tcPr/>
          <w:p>
            <w:pPr>
              <w:pStyle w:val="Compact"/>
              <w:jc w:val="left"/>
            </w:pPr>
            <w:r>
              <w:t xml:space="preserve">Bem privado (maçã)</w:t>
            </w:r>
          </w:p>
        </w:tc>
        <w:tc>
          <w:tcPr/>
          <w:p>
            <w:pPr>
              <w:pStyle w:val="Compact"/>
              <w:jc w:val="left"/>
            </w:pPr>
            <w:r>
              <w:t xml:space="preserve">Recurso comum (cardume)</w:t>
            </w:r>
          </w:p>
        </w:tc>
      </w:tr>
      <w:tr>
        <w:tc>
          <w:tcPr/>
          <w:p>
            <w:pPr>
              <w:pStyle w:val="Compact"/>
              <w:jc w:val="left"/>
            </w:pPr>
            <w:r>
              <w:rPr>
                <w:b/>
                <w:bCs/>
              </w:rPr>
              <w:t xml:space="preserve">Não-rival</w:t>
            </w:r>
          </w:p>
        </w:tc>
        <w:tc>
          <w:tcPr/>
          <w:p>
            <w:pPr>
              <w:pStyle w:val="Compact"/>
              <w:jc w:val="left"/>
            </w:pPr>
            <w:r>
              <w:t xml:space="preserve">Bem de clube (Netflix)</w:t>
            </w:r>
          </w:p>
        </w:tc>
        <w:tc>
          <w:tcPr/>
          <w:p>
            <w:pPr>
              <w:pStyle w:val="Compact"/>
              <w:jc w:val="left"/>
            </w:pPr>
            <w:r>
              <w:t xml:space="preserve">Bem público puro (defesa nacional)</w:t>
            </w:r>
          </w:p>
        </w:tc>
      </w:tr>
    </w:tbl>
    <w:p>
      <w:pPr>
        <w:pStyle w:val="BodyText"/>
      </w:pPr>
      <w:r>
        <w:t xml:space="preserve">Bens digitais são</w:t>
      </w:r>
      <w:r>
        <w:t xml:space="preserve"> </w:t>
      </w:r>
      <w:r>
        <w:rPr>
          <w:b/>
          <w:bCs/>
        </w:rPr>
        <w:t xml:space="preserve">não-rivais</w:t>
      </w:r>
      <w:r>
        <w:t xml:space="preserve"> </w:t>
      </w:r>
      <w:r>
        <w:t xml:space="preserve">por natureza — a transmissão de um vídeo a um usuário não impede a transmissão a outro. Porém, são</w:t>
      </w:r>
      <w:r>
        <w:t xml:space="preserve"> </w:t>
      </w:r>
      <w:r>
        <w:rPr>
          <w:b/>
          <w:bCs/>
        </w:rPr>
        <w:t xml:space="preserve">parcialmente excludentes</w:t>
      </w:r>
      <w:r>
        <w:t xml:space="preserve">: senhas, paywalls, criptografia e DRM (Digital Rights Management) permitem restringir o acesso. Isso os coloca na categoria de</w:t>
      </w:r>
      <w:r>
        <w:t xml:space="preserve"> </w:t>
      </w:r>
      <w:r>
        <w:rPr>
          <w:b/>
          <w:bCs/>
        </w:rPr>
        <w:t xml:space="preserve">bens de clube</w:t>
      </w:r>
      <w:r>
        <w:t xml:space="preserve"> </w:t>
      </w:r>
      <w:r>
        <w:t xml:space="preserve">— não-rivais, mas excludentes. A estratégia das empresas digitais consiste, em grande medida, em encontrar o nível ótimo de exclusão: cobrar demais exclui consumidores cujo benefício marginal excede o custo marginal (zero); cobrar de menos não cobre o custo fixo.</w:t>
      </w:r>
    </w:p>
    <w:p>
      <w:pPr>
        <w:pStyle w:val="BlockText"/>
      </w:pPr>
      <w:r>
        <w:rPr>
          <w:b/>
          <w:bCs/>
        </w:rPr>
        <w:t xml:space="preserve">[INTUICAO ECONOMICA] Intuição Econômica</w:t>
      </w:r>
    </w:p>
    <w:p>
      <w:pPr>
        <w:pStyle w:val="BlockText"/>
      </w:pPr>
      <w:r>
        <w:rPr>
          <w:b/>
          <w:bCs/>
        </w:rPr>
        <w:t xml:space="preserve">Em uma frase:</w:t>
      </w:r>
      <w:r>
        <w:t xml:space="preserve"> </w:t>
      </w:r>
      <w:r>
        <w:t xml:space="preserve">Bens digitais custam muito para criar, mas quase nada para copiar — e é esse paradoxo que torna a economia digital tão diferente.</w:t>
      </w:r>
    </w:p>
    <w:p>
      <w:pPr>
        <w:pStyle w:val="BlockText"/>
      </w:pPr>
      <w:r>
        <w:rPr>
          <w:b/>
          <w:bCs/>
        </w:rPr>
        <w:t xml:space="preserve">Pense assim:</w:t>
      </w:r>
      <w:r>
        <w:t xml:space="preserve"> </w:t>
      </w:r>
      <w:r>
        <w:t xml:space="preserve">Imagine que um padeiro gasta R$ 1 milhão para inventar uma receita de pão perfeita, mas depois consegue produzir cada pão adicional por R$ 0,001. Cobrar R$ 0,001 por pão é eficiente (todos que valorizam o pão acima desse preço consomem), mas o padeiro jamais recupera o investimento. A solução? Cobrar mais dos que valorizam muito (assinatura premium) e menos (ou nada) dos demais — exatamente o que Netflix, Spotify e Google fazem.</w:t>
      </w:r>
    </w:p>
    <w:p>
      <w:pPr>
        <w:pStyle w:val="BlockText"/>
      </w:pPr>
      <w:r>
        <w:rPr>
          <w:b/>
          <w:bCs/>
        </w:rPr>
        <w:t xml:space="preserve">Por que isso importa:</w:t>
      </w:r>
      <w:r>
        <w:t xml:space="preserve"> </w:t>
      </w:r>
      <w:r>
        <w:t xml:space="preserve">A estrutura de custos dos bens digitais gera economias de escala tão extremas que mercados digitais tendem naturalmente ao monopólio ou oligopólio — tornando a análise do Capítulo 15 não uma exceção, mas a regra.</w:t>
      </w:r>
    </w:p>
    <w:p>
      <w:pPr>
        <w:pStyle w:val="FirstParagraph"/>
      </w:pPr>
      <w:r>
        <w:t xml:space="preserve">No gráfico interativo abaixo, explore a estratégia de</w:t>
      </w:r>
      <w:r>
        <w:t xml:space="preserve"> </w:t>
      </w:r>
      <w:r>
        <w:rPr>
          <w:b/>
          <w:bCs/>
        </w:rPr>
        <w:t xml:space="preserve">versioning</w:t>
      </w:r>
      <w:r>
        <w:t xml:space="preserve"> </w:t>
      </w:r>
      <w:r>
        <w:t xml:space="preserve">(Shapiro &amp; Varian, 1999): criar versões</w:t>
      </w:r>
      <w:r>
        <w:t xml:space="preserve"> </w:t>
      </w:r>
      <w:r>
        <w:t xml:space="preserve">“premium”</w:t>
      </w:r>
      <w:r>
        <w:t xml:space="preserve"> </w:t>
      </w:r>
      <w:r>
        <w:t xml:space="preserve">e</w:t>
      </w:r>
      <w:r>
        <w:t xml:space="preserve"> </w:t>
      </w:r>
      <w:r>
        <w:t xml:space="preserve">“basic”</w:t>
      </w:r>
      <w:r>
        <w:t xml:space="preserve"> </w:t>
      </w:r>
      <w:r>
        <w:t xml:space="preserve">de um bem de informação — onde a versão basic é deliberadamente degradada para segmentar o mercado.</w:t>
      </w:r>
    </w:p>
    <w:p>
      <w:pPr>
        <w:pStyle w:val="BodyText"/>
      </w:pPr>
      <w:r>
        <w:t xml:space="preserve">[FIGURA INTERATIVA: /micro-book/graficos/cap21/versioning.html — versao interativa disponivel online]</w:t>
      </w:r>
    </w:p>
    <w:p>
      <w:pPr>
        <w:pStyle w:val="BodyText"/>
      </w:pPr>
      <w:r>
        <w:rPr>
          <w:b/>
          <w:bCs/>
        </w:rPr>
        <w:t xml:space="preserve">Figura 21.0 — Versioning de Bens de Informação.</w:t>
      </w:r>
      <w:r>
        <w:t xml:space="preserve"> </w:t>
      </w:r>
      <w:r>
        <w:t xml:space="preserve">Dois tipos de consumidores (</w:t>
      </w:r>
      <m:oMath>
        <m:sSub>
          <m:e>
            <m:r>
              <m:t>θ</m:t>
            </m:r>
          </m:e>
          <m:sub>
            <m:r>
              <m:t>H</m:t>
            </m:r>
          </m:sub>
        </m:sSub>
      </m:oMath>
      <w:r>
        <w:t xml:space="preserve"> </w:t>
      </w:r>
      <w:r>
        <w:t xml:space="preserve">e</w:t>
      </w:r>
      <w:r>
        <w:t xml:space="preserve"> </w:t>
      </w:r>
      <m:oMath>
        <m:sSub>
          <m:e>
            <m:r>
              <m:t>θ</m:t>
            </m:r>
          </m:e>
          <m:sub>
            <m:r>
              <m:t>L</m:t>
            </m:r>
          </m:sub>
        </m:sSub>
      </m:oMath>
      <w:r>
        <w:t xml:space="preserve">) com WTP diferentes. A firma cria uma versão premium (</w:t>
      </w:r>
      <m:oMath>
        <m:r>
          <m:t>q</m:t>
        </m:r>
        <m:r>
          <m:rPr>
            <m:sty m:val="p"/>
          </m:rPr>
          <m:t>=</m:t>
        </m:r>
        <m:r>
          <m:t>1</m:t>
        </m:r>
      </m:oMath>
      <w:r>
        <w:t xml:space="preserve">) e uma basic (</w:t>
      </w:r>
      <m:oMath>
        <m:sSub>
          <m:e>
            <m:r>
              <m:t>q</m:t>
            </m:r>
          </m:e>
          <m:sub>
            <m:r>
              <m:t>L</m:t>
            </m:r>
          </m:sub>
        </m:sSub>
        <m:r>
          <m:rPr>
            <m:sty m:val="p"/>
          </m:rPr>
          <m:t>&lt;</m:t>
        </m:r>
        <m:r>
          <m:t>1</m:t>
        </m:r>
      </m:oMath>
      <w:r>
        <w:t xml:space="preserve">) com custo marginal zero. O versioning extrai mais excedente que o preço único — mesmo</w:t>
      </w:r>
      <w:r>
        <w:t xml:space="preserve"> </w:t>
      </w:r>
      <w:r>
        <w:t xml:space="preserve">“desperdiçando”</w:t>
      </w:r>
      <w:r>
        <w:t xml:space="preserve"> </w:t>
      </w:r>
      <w:r>
        <w:t xml:space="preserve">qualidade na versão basic.</w:t>
      </w:r>
    </w:p>
    <w:p>
      <w:r>
        <w:pict>
          <v:rect style="width:0;height:1.5pt" o:hralign="center" o:hrstd="t" o:hr="t"/>
        </w:pict>
      </w:r>
    </w:p>
    <w:bookmarkEnd w:id="1295"/>
    <w:bookmarkEnd w:id="1296"/>
    <w:bookmarkStart w:id="1302" w:name="X2154fea5da2dd0d1732ff30931723c2973003a0"/>
    <w:p>
      <w:pPr>
        <w:pStyle w:val="Heading3"/>
      </w:pPr>
      <w:r>
        <w:t xml:space="preserve">21.2 Efeitos de Rede</w:t>
      </w:r>
    </w:p>
    <w:bookmarkStart w:id="1297" w:name="definição-e-classificação"/>
    <w:p>
      <w:pPr>
        <w:pStyle w:val="Heading4"/>
      </w:pPr>
      <w:r>
        <w:t xml:space="preserve">21.2.1 Definição e classificação</w:t>
      </w:r>
    </w:p>
    <w:p>
      <w:pPr>
        <w:pStyle w:val="FirstParagraph"/>
      </w:pPr>
      <w:r>
        <w:t xml:space="preserve">Você provavelmente já recusou o convite de um amigo para usar algum aplicativo de mensagens</w:t>
      </w:r>
      <w:r>
        <w:t xml:space="preserve"> </w:t>
      </w:r>
      <w:r>
        <w:t xml:space="preserve">“muito melhor que o WhatsApp”</w:t>
      </w:r>
      <w:r>
        <w:t xml:space="preserve"> </w:t>
      </w:r>
      <w:r>
        <w:t xml:space="preserve">— e a razão não foi preguiça, foi racionalidade pura. De que adianta um mensageiro com criptografia quântica se seus contatos não estão lá? Esse é o cerne dos efeitos de rede: o valor de um produto depende menos de suas especificações técnicas e mais de quantas pessoas já o adotaram. Um</w:t>
      </w:r>
      <w:r>
        <w:t xml:space="preserve"> </w:t>
      </w:r>
      <w:r>
        <w:rPr>
          <w:b/>
          <w:bCs/>
        </w:rPr>
        <w:t xml:space="preserve">efeito de rede</w:t>
      </w:r>
      <w:r>
        <w:t xml:space="preserve"> </w:t>
      </w:r>
      <w:r>
        <w:t xml:space="preserve">(ou</w:t>
      </w:r>
      <w:r>
        <w:t xml:space="preserve"> </w:t>
      </w:r>
      <w:r>
        <w:rPr>
          <w:b/>
          <w:bCs/>
        </w:rPr>
        <w:t xml:space="preserve">externalidade de rede</w:t>
      </w:r>
      <w:r>
        <w:t xml:space="preserve">) ocorre quando o valor de um produto ou serviço para um usuário depende do número de outros usuários que também o utilizam. Diferentemente das externalidades discutidas no Capítulo 20, que tipicamente envolvem efeitos colaterais indesejados (poluição, congestionamento), os efeitos de rede são frequentemente</w:t>
      </w:r>
      <w:r>
        <w:t xml:space="preserve"> </w:t>
      </w:r>
      <w:r>
        <w:rPr>
          <w:b/>
          <w:bCs/>
        </w:rPr>
        <w:t xml:space="preserve">positivos</w:t>
      </w:r>
      <w:r>
        <w:t xml:space="preserve">: mais usuários tornam o produto mais valioso para cada um deles.</w:t>
      </w:r>
    </w:p>
    <w:p>
      <w:pPr>
        <w:pStyle w:val="BlockText"/>
      </w:pPr>
      <w:r>
        <w:rPr>
          <w:b/>
          <w:bCs/>
        </w:rPr>
        <w:t xml:space="preserve">[DEFINICAO] Efeitos de rede diretos e indiretos</w:t>
      </w:r>
    </w:p>
    <w:p>
      <w:pPr>
        <w:pStyle w:val="BlockText"/>
      </w:pPr>
      <w:r>
        <w:rPr>
          <w:b/>
          <w:bCs/>
        </w:rPr>
        <w:t xml:space="preserve">Efeito de rede direto</w:t>
      </w:r>
      <w:r>
        <w:t xml:space="preserve">: o valor do produto para um usuário aumenta diretamente com o número de outros usuários do</w:t>
      </w:r>
      <w:r>
        <w:t xml:space="preserve"> </w:t>
      </w:r>
      <w:r>
        <w:rPr>
          <w:i/>
          <w:iCs/>
        </w:rPr>
        <w:t xml:space="preserve">mesmo</w:t>
      </w:r>
      <w:r>
        <w:t xml:space="preserve"> </w:t>
      </w:r>
      <w:r>
        <w:t xml:space="preserve">produto ou serviço. Exemplo: um telefone é inútil se ninguém mais tiver um; quanto mais pessoas possuem telefones, mais valiosa é a rede para cada assinante.</w:t>
      </w:r>
    </w:p>
    <w:p>
      <w:pPr>
        <w:pStyle w:val="BlockText"/>
      </w:pPr>
      <w:r>
        <w:rPr>
          <w:b/>
          <w:bCs/>
        </w:rPr>
        <w:t xml:space="preserve">Efeito de rede indireto</w:t>
      </w:r>
      <w:r>
        <w:t xml:space="preserve"> </w:t>
      </w:r>
      <w:r>
        <w:t xml:space="preserve">(ou</w:t>
      </w:r>
      <w:r>
        <w:t xml:space="preserve"> </w:t>
      </w:r>
      <w:r>
        <w:rPr>
          <w:b/>
          <w:bCs/>
        </w:rPr>
        <w:t xml:space="preserve">efeito de rede cruzado</w:t>
      </w:r>
      <w:r>
        <w:t xml:space="preserve">): o valor do produto para os usuários de um lado do mercado aumenta com o número de participantes do</w:t>
      </w:r>
      <w:r>
        <w:t xml:space="preserve"> </w:t>
      </w:r>
      <w:r>
        <w:rPr>
          <w:i/>
          <w:iCs/>
        </w:rPr>
        <w:t xml:space="preserve">outro</w:t>
      </w:r>
      <w:r>
        <w:t xml:space="preserve"> </w:t>
      </w:r>
      <w:r>
        <w:t xml:space="preserve">lado. Exemplo: quanto mais desenvolvedores criam aplicativos para o iPhone (um lado), mais valioso o iPhone se torna para os consumidores (outro lado) — e vice-versa.</w:t>
      </w:r>
    </w:p>
    <w:p>
      <w:pPr>
        <w:pStyle w:val="FirstParagraph"/>
      </w:pPr>
      <w:r>
        <w:t xml:space="preserve">A distinção é importante porque os mecanismos econômicos diferem. Efeitos diretos operam</w:t>
      </w:r>
      <w:r>
        <w:t xml:space="preserve"> </w:t>
      </w:r>
      <w:r>
        <w:rPr>
          <w:i/>
          <w:iCs/>
        </w:rPr>
        <w:t xml:space="preserve">dentro</w:t>
      </w:r>
      <w:r>
        <w:t xml:space="preserve"> </w:t>
      </w:r>
      <w:r>
        <w:t xml:space="preserve">de um mesmo grupo (usuários de WhatsApp beneficiam outros usuários de WhatsApp); efeitos indiretos operam</w:t>
      </w:r>
      <w:r>
        <w:t xml:space="preserve"> </w:t>
      </w:r>
      <w:r>
        <w:rPr>
          <w:i/>
          <w:iCs/>
        </w:rPr>
        <w:t xml:space="preserve">entre</w:t>
      </w:r>
      <w:r>
        <w:t xml:space="preserve"> </w:t>
      </w:r>
      <w:r>
        <w:t xml:space="preserve">grupos distintos (desenvolvedores e usuários, compradores e vendedores), dando origem aos</w:t>
      </w:r>
      <w:r>
        <w:t xml:space="preserve"> </w:t>
      </w:r>
      <w:r>
        <w:rPr>
          <w:b/>
          <w:bCs/>
        </w:rPr>
        <w:t xml:space="preserve">mercados bilaterais</w:t>
      </w:r>
      <w:r>
        <w:t xml:space="preserve"> </w:t>
      </w:r>
      <w:r>
        <w:t xml:space="preserve">que formalizaremos na Seção 21.3.</w:t>
      </w:r>
    </w:p>
    <w:bookmarkEnd w:id="1297"/>
    <w:bookmarkStart w:id="1298" w:name="X6e0d7d30d3c5ba03de961fe3baf46e2b5346deb"/>
    <w:p>
      <w:pPr>
        <w:pStyle w:val="Heading4"/>
      </w:pPr>
      <w:r>
        <w:t xml:space="preserve">21.2.2 Modelo formal: utilidade com efeitos de rede</w:t>
      </w:r>
    </w:p>
    <w:p>
      <w:pPr>
        <w:pStyle w:val="FirstParagraph"/>
      </w:pPr>
      <w:r>
        <w:t xml:space="preserve">Formalizemos os efeitos de rede diretos. Considere uma rede com</w:t>
      </w:r>
      <w:r>
        <w:t xml:space="preserve"> </w:t>
      </w:r>
      <m:oMath>
        <m:r>
          <m:t>N</m:t>
        </m:r>
      </m:oMath>
      <w:r>
        <w:t xml:space="preserve"> </w:t>
      </w:r>
      <w:r>
        <w:t xml:space="preserve">usuários potenciais. Cada agente</w:t>
      </w:r>
      <w:r>
        <w:t xml:space="preserve"> </w:t>
      </w:r>
      <m:oMath>
        <m:r>
          <m:t>i</m:t>
        </m:r>
      </m:oMath>
      <w:r>
        <w:t xml:space="preserve"> </w:t>
      </w:r>
      <w:r>
        <w:t xml:space="preserve">obtém utilidade:</w:t>
      </w:r>
    </w:p>
    <w:p>
      <w:pPr>
        <w:pStyle w:val="BodyText"/>
      </w:pPr>
      <w:r>
        <w:t xml:space="preserve">$$
    u_i = v + f(n) - p \label{eq:21.2} \tag{21.2}
    $$</w:t>
      </w:r>
    </w:p>
    <w:p>
      <w:pPr>
        <w:pStyle w:val="FirstParagraph"/>
      </w:pPr>
      <w:r>
        <w:t xml:space="preserve">onde:</w:t>
      </w:r>
    </w:p>
    <w:p>
      <w:pPr>
        <w:pStyle w:val="Compact"/>
        <w:numPr>
          <w:ilvl w:val="0"/>
          <w:numId w:val="2137"/>
        </w:numPr>
      </w:pPr>
      <m:oMath>
        <m:r>
          <m:t>v</m:t>
        </m:r>
        <m:r>
          <m:rPr>
            <m:sty m:val="p"/>
          </m:rPr>
          <m:t>&gt;</m:t>
        </m:r>
        <m:r>
          <m:t>0</m:t>
        </m:r>
      </m:oMath>
      <w:r>
        <w:t xml:space="preserve"> </w:t>
      </w:r>
      <w:r>
        <w:t xml:space="preserve">é o valor intrínseco (standalone) do produto;</w:t>
      </w:r>
    </w:p>
    <w:p>
      <w:pPr>
        <w:pStyle w:val="Compact"/>
        <w:numPr>
          <w:ilvl w:val="0"/>
          <w:numId w:val="2137"/>
        </w:numPr>
      </w:pPr>
      <m:oMath>
        <m:r>
          <m:t>f</m:t>
        </m:r>
        <m:r>
          <m:rPr>
            <m:sty m:val="p"/>
          </m:rPr>
          <m:t>(</m:t>
        </m:r>
        <m:r>
          <m:t>n</m:t>
        </m:r>
        <m:r>
          <m:rPr>
            <m:sty m:val="p"/>
          </m:rPr>
          <m:t>)</m:t>
        </m:r>
      </m:oMath>
      <w:r>
        <w:t xml:space="preserve"> </w:t>
      </w:r>
      <w:r>
        <w:t xml:space="preserve">é o</w:t>
      </w:r>
      <w:r>
        <w:t xml:space="preserve"> </w:t>
      </w:r>
      <w:r>
        <w:rPr>
          <w:b/>
          <w:bCs/>
        </w:rPr>
        <w:t xml:space="preserve">benefício de rede</w:t>
      </w:r>
      <w:r>
        <w:t xml:space="preserve">, com</w:t>
      </w:r>
      <w:r>
        <w:t xml:space="preserve"> </w:t>
      </w:r>
      <m:oMath>
        <m:r>
          <m:t>f</m:t>
        </m:r>
        <m:r>
          <m:rPr>
            <m:sty m:val="p"/>
          </m:rPr>
          <m:t>(</m:t>
        </m:r>
        <m:r>
          <m:t>0</m:t>
        </m:r>
        <m:r>
          <m:rPr>
            <m:sty m:val="p"/>
          </m:rPr>
          <m:t>)</m:t>
        </m:r>
        <m:r>
          <m:rPr>
            <m:sty m:val="p"/>
          </m:rPr>
          <m:t>=</m:t>
        </m:r>
        <m:r>
          <m:t>0</m:t>
        </m:r>
      </m:oMath>
      <w:r>
        <w:t xml:space="preserve">,</w:t>
      </w:r>
      <w:r>
        <w:t xml:space="preserve"> </w:t>
      </w:r>
      <m:oMath>
        <m:sSup>
          <m:e>
            <m:r>
              <m:t>f</m:t>
            </m:r>
          </m:e>
          <m:sup>
            <m:r>
              <m:rPr>
                <m:sty m:val="p"/>
              </m:rPr>
              <m:t>′</m:t>
            </m:r>
          </m:sup>
        </m:sSup>
        <m:r>
          <m:rPr>
            <m:sty m:val="p"/>
          </m:rPr>
          <m:t>(</m:t>
        </m:r>
        <m:r>
          <m:t>n</m:t>
        </m:r>
        <m:r>
          <m:rPr>
            <m:sty m:val="p"/>
          </m:rPr>
          <m:t>)</m:t>
        </m:r>
        <m:r>
          <m:rPr>
            <m:sty m:val="p"/>
          </m:rPr>
          <m:t>&gt;</m:t>
        </m:r>
        <m:r>
          <m:t>0</m:t>
        </m:r>
      </m:oMath>
      <w:r>
        <w:t xml:space="preserve"> </w:t>
      </w:r>
      <w:r>
        <w:t xml:space="preserve">— a utilidade de rede cresce com o número de adotantes</w:t>
      </w:r>
      <w:r>
        <w:t xml:space="preserve"> </w:t>
      </w:r>
      <m:oMath>
        <m:r>
          <m:t>n</m:t>
        </m:r>
      </m:oMath>
      <w:r>
        <w:t xml:space="preserve">;</w:t>
      </w:r>
    </w:p>
    <w:p>
      <w:pPr>
        <w:pStyle w:val="Compact"/>
        <w:numPr>
          <w:ilvl w:val="0"/>
          <w:numId w:val="2137"/>
        </w:numPr>
      </w:pPr>
      <m:oMath>
        <m:r>
          <m:t>p</m:t>
        </m:r>
      </m:oMath>
      <w:r>
        <w:t xml:space="preserve"> </w:t>
      </w:r>
      <w:r>
        <w:t xml:space="preserve">é o preço do produto.</w:t>
      </w:r>
    </w:p>
    <w:p>
      <w:pPr>
        <w:pStyle w:val="FirstParagraph"/>
      </w:pPr>
      <w:r>
        <w:t xml:space="preserve">O agente</w:t>
      </w:r>
      <w:r>
        <w:t xml:space="preserve"> </w:t>
      </w:r>
      <m:oMath>
        <m:r>
          <m:t>i</m:t>
        </m:r>
      </m:oMath>
      <w:r>
        <w:t xml:space="preserve"> </w:t>
      </w:r>
      <w:r>
        <w:t xml:space="preserve">adota a rede se e somente se</w:t>
      </w:r>
      <w:r>
        <w:t xml:space="preserve"> </w:t>
      </w:r>
      <m:oMath>
        <m:sSub>
          <m:e>
            <m:r>
              <m:t>u</m:t>
            </m:r>
          </m:e>
          <m:sub>
            <m:r>
              <m:t>i</m:t>
            </m:r>
          </m:sub>
        </m:sSub>
        <m:r>
          <m:rPr>
            <m:sty m:val="p"/>
          </m:rPr>
          <m:t>≥</m:t>
        </m:r>
        <m:r>
          <m:t>0</m:t>
        </m:r>
      </m:oMath>
      <w:r>
        <w:t xml:space="preserve">, ou seja:</w:t>
      </w:r>
    </w:p>
    <w:p>
      <w:pPr>
        <w:pStyle w:val="BodyText"/>
      </w:pPr>
      <w:r>
        <w:t xml:space="preserve">$$
    v + f(n) \geq p \label{eq:21.3} \tag{21.3}
    $$</w:t>
      </w:r>
    </w:p>
    <w:p>
      <w:pPr>
        <w:pStyle w:val="FirstParagraph"/>
      </w:pPr>
      <w:r>
        <w:t xml:space="preserve">A condição Eq. (eq:21.3) gera uma</w:t>
      </w:r>
      <w:r>
        <w:t xml:space="preserve"> </w:t>
      </w:r>
      <w:r>
        <w:rPr>
          <w:b/>
          <w:bCs/>
        </w:rPr>
        <w:t xml:space="preserve">complementaridade estratégica</w:t>
      </w:r>
      <w:r>
        <w:t xml:space="preserve">: a decisão de adoção de cada agente depende de quantos outros adotam. Se mais pessoas aderem, o benefício</w:t>
      </w:r>
      <w:r>
        <w:t xml:space="preserve"> </w:t>
      </w:r>
      <m:oMath>
        <m:r>
          <m:t>f</m:t>
        </m:r>
        <m:r>
          <m:rPr>
            <m:sty m:val="p"/>
          </m:rPr>
          <m:t>(</m:t>
        </m:r>
        <m:r>
          <m:t>n</m:t>
        </m:r>
        <m:r>
          <m:rPr>
            <m:sty m:val="p"/>
          </m:rPr>
          <m:t>)</m:t>
        </m:r>
      </m:oMath>
      <w:r>
        <w:t xml:space="preserve"> </w:t>
      </w:r>
      <w:r>
        <w:t xml:space="preserve">aumenta, tornando a adesão mais atraente para quem ainda não aderiu — um feedback positivo que pode gerar dinâmicas explosivas de adoção.</w:t>
      </w:r>
    </w:p>
    <w:bookmarkEnd w:id="1298"/>
    <w:bookmarkStart w:id="1299" w:name="equilíbrio-de-adoção-e-massa-crítica"/>
    <w:p>
      <w:pPr>
        <w:pStyle w:val="Heading4"/>
      </w:pPr>
      <w:r>
        <w:t xml:space="preserve">21.2.3 Equilíbrio de adoção e massa crítica</w:t>
      </w:r>
    </w:p>
    <w:p>
      <w:pPr>
        <w:pStyle w:val="FirstParagraph"/>
      </w:pPr>
      <w:r>
        <w:t xml:space="preserve">Para simplificar, suponha que os agentes são heterogêneos no valor intrínseco: o agente</w:t>
      </w:r>
      <w:r>
        <w:t xml:space="preserve"> </w:t>
      </w:r>
      <m:oMath>
        <m:r>
          <m:t>i</m:t>
        </m:r>
      </m:oMath>
      <w:r>
        <w:t xml:space="preserve"> </w:t>
      </w:r>
      <w:r>
        <w:t xml:space="preserve">tem</w:t>
      </w:r>
      <w:r>
        <w:t xml:space="preserve"> </w:t>
      </w:r>
      <m:oMath>
        <m:sSub>
          <m:e>
            <m:r>
              <m:t>v</m:t>
            </m:r>
          </m:e>
          <m:sub>
            <m:r>
              <m:t>i</m:t>
            </m:r>
          </m:sub>
        </m:sSub>
      </m:oMath>
      <w:r>
        <w:t xml:space="preserve"> </w:t>
      </w:r>
      <w:r>
        <w:t xml:space="preserve">distribuído uniformemente em</w:t>
      </w:r>
      <w:r>
        <w:t xml:space="preserve"> </w:t>
      </w:r>
      <m:oMath>
        <m:r>
          <m:rPr>
            <m:sty m:val="p"/>
          </m:rPr>
          <m:t>[</m:t>
        </m:r>
        <m:r>
          <m:t>0</m:t>
        </m:r>
        <m:r>
          <m:rPr>
            <m:sty m:val="p"/>
          </m:rPr>
          <m:t>,</m:t>
        </m:r>
        <m:acc>
          <m:accPr>
            <m:chr m:val="‾"/>
          </m:accPr>
          <m:e>
            <m:r>
              <m:t>v</m:t>
            </m:r>
          </m:e>
        </m:acc>
        <m:r>
          <m:rPr>
            <m:sty m:val="p"/>
          </m:rPr>
          <m:t>]</m:t>
        </m:r>
      </m:oMath>
      <w:r>
        <w:t xml:space="preserve">. Em equilíbrio, o agente marginal é aquele com</w:t>
      </w:r>
      <w:r>
        <w:t xml:space="preserve"> </w:t>
      </w:r>
      <m:oMath>
        <m:sSub>
          <m:e>
            <m:r>
              <m:t>v</m:t>
            </m:r>
          </m:e>
          <m:sub>
            <m:r>
              <m:t>i</m:t>
            </m:r>
          </m:sub>
        </m:sSub>
        <m:r>
          <m:rPr>
            <m:sty m:val="p"/>
          </m:rPr>
          <m:t>=</m:t>
        </m:r>
        <m:sSup>
          <m:e>
            <m:r>
              <m:t>v</m:t>
            </m:r>
          </m:e>
          <m:sup>
            <m:r>
              <m:rPr>
                <m:sty m:val="p"/>
              </m:rPr>
              <m:t>*</m:t>
            </m:r>
          </m:sup>
        </m:sSup>
      </m:oMath>
      <w:r>
        <w:t xml:space="preserve"> </w:t>
      </w:r>
      <w:r>
        <w:t xml:space="preserve">tal que:</w:t>
      </w:r>
    </w:p>
    <w:p>
      <w:pPr>
        <w:pStyle w:val="BodyText"/>
      </w:pPr>
      <w:r>
        <w:t xml:space="preserve">$$
    v^* + f(n^*) = p \label{eq:21.4} \tag{21.4}
    $$</w:t>
      </w:r>
    </w:p>
    <w:p>
      <w:pPr>
        <w:pStyle w:val="FirstParagraph"/>
      </w:pPr>
      <w:r>
        <w:t xml:space="preserve">e o número de adotantes é</w:t>
      </w:r>
      <w:r>
        <w:t xml:space="preserve"> </w:t>
      </w:r>
      <m:oMath>
        <m:sSup>
          <m:e>
            <m:r>
              <m:t>n</m:t>
            </m:r>
          </m:e>
          <m:sup>
            <m:r>
              <m:rPr>
                <m:sty m:val="p"/>
              </m:rPr>
              <m:t>*</m:t>
            </m:r>
          </m:sup>
        </m:sSup>
        <m:r>
          <m:rPr>
            <m:sty m:val="p"/>
          </m:rPr>
          <m:t>=</m:t>
        </m:r>
        <m:r>
          <m:t>N</m:t>
        </m:r>
        <m:r>
          <m:rPr>
            <m:sty m:val="p"/>
          </m:rPr>
          <m:t>⋅</m:t>
        </m:r>
        <m:r>
          <m:rPr>
            <m:sty m:val="p"/>
          </m:rPr>
          <m:t>(</m:t>
        </m:r>
        <m:r>
          <m:t>1</m:t>
        </m:r>
        <m:r>
          <m:rPr>
            <m:sty m:val="p"/>
          </m:rPr>
          <m:t>−</m:t>
        </m:r>
        <m:sSup>
          <m:e>
            <m:r>
              <m:t>v</m:t>
            </m:r>
          </m:e>
          <m:sup>
            <m:r>
              <m:rPr>
                <m:sty m:val="p"/>
              </m:rPr>
              <m:t>*</m:t>
            </m:r>
          </m:sup>
        </m:sSup>
        <m:r>
          <m:rPr>
            <m:sty m:val="p"/>
          </m:rPr>
          <m:t>/</m:t>
        </m:r>
        <m:acc>
          <m:accPr>
            <m:chr m:val="‾"/>
          </m:accPr>
          <m:e>
            <m:r>
              <m:t>v</m:t>
            </m:r>
          </m:e>
        </m:acc>
        <m:r>
          <m:rPr>
            <m:sty m:val="p"/>
          </m:rPr>
          <m:t>)</m:t>
        </m:r>
      </m:oMath>
      <w:r>
        <w:t xml:space="preserve">, ou seja, todos os agentes com</w:t>
      </w:r>
      <w:r>
        <w:t xml:space="preserve"> </w:t>
      </w:r>
      <m:oMath>
        <m:sSub>
          <m:e>
            <m:r>
              <m:t>v</m:t>
            </m:r>
          </m:e>
          <m:sub>
            <m:r>
              <m:t>i</m:t>
            </m:r>
          </m:sub>
        </m:sSub>
        <m:r>
          <m:rPr>
            <m:sty m:val="p"/>
          </m:rPr>
          <m:t>≥</m:t>
        </m:r>
        <m:sSup>
          <m:e>
            <m:r>
              <m:t>v</m:t>
            </m:r>
          </m:e>
          <m:sup>
            <m:r>
              <m:rPr>
                <m:sty m:val="p"/>
              </m:rPr>
              <m:t>*</m:t>
            </m:r>
          </m:sup>
        </m:sSup>
      </m:oMath>
      <w:r>
        <w:t xml:space="preserve"> </w:t>
      </w:r>
      <w:r>
        <w:t xml:space="preserve">aderem. Substituindo na equação Eq. (eq:21.4):</w:t>
      </w:r>
    </w:p>
    <w:p>
      <w:pPr>
        <w:pStyle w:val="BodyText"/>
      </w:pPr>
      <w:r>
        <w:t xml:space="preserve">$$
    v^* + f\!\left(N\left(1 - \frac{v^*}{\bar{v}}\right)\right) = p \label{eq:21.5} \tag{21.5}
    $$</w:t>
      </w:r>
    </w:p>
    <w:p>
      <w:pPr>
        <w:pStyle w:val="FirstParagraph"/>
      </w:pPr>
      <w:r>
        <w:t xml:space="preserve">A equação Eq. (eq:21.5) pode admitir</w:t>
      </w:r>
      <w:r>
        <w:t xml:space="preserve"> </w:t>
      </w:r>
      <w:r>
        <w:rPr>
          <w:b/>
          <w:bCs/>
        </w:rPr>
        <w:t xml:space="preserve">múltiplos equilíbrios</w:t>
      </w:r>
      <w:r>
        <w:t xml:space="preserve">:</w:t>
      </w:r>
    </w:p>
    <w:p>
      <w:pPr>
        <w:pStyle w:val="Compact"/>
        <w:numPr>
          <w:ilvl w:val="0"/>
          <w:numId w:val="2138"/>
        </w:numPr>
      </w:pPr>
      <w:r>
        <w:rPr>
          <w:b/>
          <w:bCs/>
        </w:rPr>
        <w:t xml:space="preserve">Equilíbrio de adoção nula</w:t>
      </w:r>
      <w:r>
        <w:t xml:space="preserve"> </w:t>
      </w:r>
      <w:r>
        <w:t xml:space="preserve">(</w:t>
      </w:r>
      <m:oMath>
        <m:sSup>
          <m:e>
            <m:r>
              <m:t>n</m:t>
            </m:r>
          </m:e>
          <m:sup>
            <m:r>
              <m:rPr>
                <m:sty m:val="p"/>
              </m:rPr>
              <m:t>*</m:t>
            </m:r>
          </m:sup>
        </m:sSup>
        <m:r>
          <m:rPr>
            <m:sty m:val="p"/>
          </m:rPr>
          <m:t>=</m:t>
        </m:r>
        <m:r>
          <m:t>0</m:t>
        </m:r>
      </m:oMath>
      <w:r>
        <w:t xml:space="preserve">): ninguém adota porque ninguém adota — uma profecia autorrealizável. Se</w:t>
      </w:r>
      <w:r>
        <w:t xml:space="preserve"> </w:t>
      </w:r>
      <m:oMath>
        <m:sSup>
          <m:e>
            <m:r>
              <m:t>v</m:t>
            </m:r>
          </m:e>
          <m:sup>
            <m:r>
              <m:rPr>
                <m:sty m:val="p"/>
              </m:rPr>
              <m:t>*</m:t>
            </m:r>
          </m:sup>
        </m:sSup>
        <m:r>
          <m:rPr>
            <m:sty m:val="p"/>
          </m:rPr>
          <m:t>=</m:t>
        </m:r>
        <m:r>
          <m:t>p</m:t>
        </m:r>
      </m:oMath>
      <w:r>
        <w:t xml:space="preserve"> </w:t>
      </w:r>
      <w:r>
        <w:t xml:space="preserve">e</w:t>
      </w:r>
      <w:r>
        <w:t xml:space="preserve"> </w:t>
      </w:r>
      <m:oMath>
        <m:r>
          <m:t>f</m:t>
        </m:r>
        <m:r>
          <m:rPr>
            <m:sty m:val="p"/>
          </m:rPr>
          <m:t>(</m:t>
        </m:r>
        <m:r>
          <m:t>0</m:t>
        </m:r>
        <m:r>
          <m:rPr>
            <m:sty m:val="p"/>
          </m:rPr>
          <m:t>)</m:t>
        </m:r>
        <m:r>
          <m:rPr>
            <m:sty m:val="p"/>
          </m:rPr>
          <m:t>=</m:t>
        </m:r>
        <m:r>
          <m:t>0</m:t>
        </m:r>
      </m:oMath>
      <w:r>
        <w:t xml:space="preserve">, qualquer agente com</w:t>
      </w:r>
      <w:r>
        <w:t xml:space="preserve"> </w:t>
      </w:r>
      <m:oMath>
        <m:sSub>
          <m:e>
            <m:r>
              <m:t>v</m:t>
            </m:r>
          </m:e>
          <m:sub>
            <m:r>
              <m:t>i</m:t>
            </m:r>
          </m:sub>
        </m:sSub>
        <m:r>
          <m:rPr>
            <m:sty m:val="p"/>
          </m:rPr>
          <m:t>&lt;</m:t>
        </m:r>
        <m:r>
          <m:t>p</m:t>
        </m:r>
      </m:oMath>
      <w:r>
        <w:t xml:space="preserve"> </w:t>
      </w:r>
      <w:r>
        <w:t xml:space="preserve">não adere, e se</w:t>
      </w:r>
      <w:r>
        <w:t xml:space="preserve"> </w:t>
      </w:r>
      <m:oMath>
        <m:r>
          <m:t>p</m:t>
        </m:r>
        <m:r>
          <m:rPr>
            <m:sty m:val="p"/>
          </m:rPr>
          <m:t>&gt;</m:t>
        </m:r>
        <m:sSub>
          <m:e>
            <m:r>
              <m:t>v</m:t>
            </m:r>
          </m:e>
          <m:sub>
            <m:r>
              <m:rPr>
                <m:sty m:val="p"/>
              </m:rPr>
              <m:t>max</m:t>
            </m:r>
          </m:sub>
        </m:sSub>
      </m:oMath>
      <w:r>
        <w:t xml:space="preserve">, ninguém adere.</w:t>
      </w:r>
    </w:p>
    <w:p>
      <w:pPr>
        <w:pStyle w:val="Compact"/>
        <w:numPr>
          <w:ilvl w:val="0"/>
          <w:numId w:val="2138"/>
        </w:numPr>
      </w:pPr>
      <w:r>
        <w:rPr>
          <w:b/>
          <w:bCs/>
        </w:rPr>
        <w:t xml:space="preserve">Equilíbrio de adoção baixa</w:t>
      </w:r>
      <w:r>
        <w:t xml:space="preserve">: poucos adotantes, benefício de rede pequeno, equilíbrio frágil.</w:t>
      </w:r>
    </w:p>
    <w:p>
      <w:pPr>
        <w:pStyle w:val="Compact"/>
        <w:numPr>
          <w:ilvl w:val="0"/>
          <w:numId w:val="2138"/>
        </w:numPr>
      </w:pPr>
      <w:r>
        <w:rPr>
          <w:b/>
          <w:bCs/>
        </w:rPr>
        <w:t xml:space="preserve">Equilíbrio de adoção alta</w:t>
      </w:r>
      <w:r>
        <w:t xml:space="preserve">: muitos adotantes, benefício de rede alto, equilíbrio estável.</w:t>
      </w:r>
    </w:p>
    <w:p>
      <w:pPr>
        <w:pStyle w:val="FirstParagraph"/>
      </w:pPr>
      <w:r>
        <w:t xml:space="preserve">A existência de equilíbrios múltiplos gera o conceito de</w:t>
      </w:r>
      <w:r>
        <w:t xml:space="preserve"> </w:t>
      </w:r>
      <w:r>
        <w:rPr>
          <w:b/>
          <w:bCs/>
        </w:rPr>
        <w:t xml:space="preserve">massa crítica</w:t>
      </w:r>
      <w:r>
        <w:t xml:space="preserve">: o número mínimo de adotantes</w:t>
      </w:r>
      <w:r>
        <w:t xml:space="preserve"> </w:t>
      </w:r>
      <m:oMath>
        <m:sSub>
          <m:e>
            <m:r>
              <m:t>n</m:t>
            </m:r>
          </m:e>
          <m:sub>
            <m:r>
              <m:t>c</m:t>
            </m:r>
          </m:sub>
        </m:sSub>
      </m:oMath>
      <w:r>
        <w:t xml:space="preserve"> </w:t>
      </w:r>
      <w:r>
        <w:t xml:space="preserve">acima do qual a dinâmica de adoção torna-se autossustentável — o equilíbrio</w:t>
      </w:r>
      <w:r>
        <w:t xml:space="preserve"> </w:t>
      </w:r>
      <w:r>
        <w:t xml:space="preserve">“salta”</w:t>
      </w:r>
      <w:r>
        <w:t xml:space="preserve"> </w:t>
      </w:r>
      <w:r>
        <w:t xml:space="preserve">da adoção baixa para a adoção alta.</w:t>
      </w:r>
    </w:p>
    <w:p>
      <w:pPr>
        <w:pStyle w:val="BlockText"/>
      </w:pPr>
      <w:r>
        <w:rPr>
          <w:b/>
          <w:bCs/>
        </w:rPr>
        <w:t xml:space="preserve">[INTUICAO ECONOMICA] Intuição Econômica</w:t>
      </w:r>
    </w:p>
    <w:p>
      <w:pPr>
        <w:pStyle w:val="BlockText"/>
      </w:pPr>
      <w:r>
        <w:rPr>
          <w:b/>
          <w:bCs/>
        </w:rPr>
        <w:t xml:space="preserve">Em uma frase:</w:t>
      </w:r>
      <w:r>
        <w:t xml:space="preserve"> </w:t>
      </w:r>
      <w:r>
        <w:t xml:space="preserve">Efeitos de rede criam um</w:t>
      </w:r>
      <w:r>
        <w:t xml:space="preserve"> </w:t>
      </w:r>
      <w:r>
        <w:t xml:space="preserve">“efeito bola de neve”</w:t>
      </w:r>
      <w:r>
        <w:t xml:space="preserve"> </w:t>
      </w:r>
      <w:r>
        <w:t xml:space="preserve">— depois de atingir uma massa crítica de usuários, a adoção se acelera sozinha.</w:t>
      </w:r>
    </w:p>
    <w:p>
      <w:pPr>
        <w:pStyle w:val="BlockText"/>
      </w:pPr>
      <w:r>
        <w:rPr>
          <w:b/>
          <w:bCs/>
        </w:rPr>
        <w:t xml:space="preserve">Pense assim:</w:t>
      </w:r>
      <w:r>
        <w:t xml:space="preserve"> </w:t>
      </w:r>
      <w:r>
        <w:t xml:space="preserve">Imagine o primeiro usuário do WhatsApp no Brasil. Para ele, o aplicativo era inútil — não havia ninguém com quem conversar. À medida que amigos e familiares foram aderindo, o valor do WhatsApp cresceu exponencialmente. Em algum momento, a rede atingiu uma massa crítica em que</w:t>
      </w:r>
      <w:r>
        <w:t xml:space="preserve"> </w:t>
      </w:r>
      <w:r>
        <w:rPr>
          <w:i/>
          <w:iCs/>
        </w:rPr>
        <w:t xml:space="preserve">não ter</w:t>
      </w:r>
      <w:r>
        <w:t xml:space="preserve"> </w:t>
      </w:r>
      <w:r>
        <w:t xml:space="preserve">WhatsApp se tornou um custo social significativo. Hoje, com mais de 170 milhões de usuários no Brasil, o efeito de rede é tão forte que concorrentes com tecnologia superior (como o Telegram) lutam para conquistar uma fração do mercado.</w:t>
      </w:r>
    </w:p>
    <w:p>
      <w:pPr>
        <w:pStyle w:val="BlockText"/>
      </w:pPr>
      <w:r>
        <w:rPr>
          <w:b/>
          <w:bCs/>
        </w:rPr>
        <w:t xml:space="preserve">Por que isso importa:</w:t>
      </w:r>
      <w:r>
        <w:t xml:space="preserve"> </w:t>
      </w:r>
      <w:r>
        <w:t xml:space="preserve">A massa crítica explica por que mercados digitais frequentemente</w:t>
      </w:r>
      <w:r>
        <w:t xml:space="preserve"> </w:t>
      </w:r>
      <w:r>
        <w:t xml:space="preserve">“tombam”</w:t>
      </w:r>
      <w:r>
        <w:t xml:space="preserve"> </w:t>
      </w:r>
      <w:r>
        <w:t xml:space="preserve">(tip) em favor de um único padrão — um fenômeno que economistas chamam de</w:t>
      </w:r>
      <w:r>
        <w:t xml:space="preserve"> </w:t>
      </w:r>
      <w:r>
        <w:rPr>
          <w:i/>
          <w:iCs/>
        </w:rPr>
        <w:t xml:space="preserve">tipping</w:t>
      </w:r>
      <w:r>
        <w:t xml:space="preserve"> </w:t>
      </w:r>
      <w:r>
        <w:t xml:space="preserve">— e por que plataformas investem pesadamente em crescimento inicial mesmo operando no prejuízo.</w:t>
      </w:r>
    </w:p>
    <w:bookmarkEnd w:id="1299"/>
    <w:bookmarkStart w:id="1300" w:name="X2cd9a6d1f17191fff5b5ec1df1af61e04c9fafd"/>
    <w:p>
      <w:pPr>
        <w:pStyle w:val="Heading4"/>
      </w:pPr>
      <w:r>
        <w:t xml:space="preserve">21.2.4 Tipping, lock-in e dependência de trajetória</w:t>
      </w:r>
    </w:p>
    <w:p>
      <w:pPr>
        <w:pStyle w:val="FirstParagraph"/>
      </w:pPr>
      <w:r>
        <w:t xml:space="preserve">Se efeitos de rede fossem um jogo de dominó, esta seção é onde todas as peças começam a cair. A multiplicidade de equilíbrios descrita acima gera três fenômenos interligados — e cada um deles ajuda a explicar por que trocar de plataforma costuma parecer tão doloroso quanto mudar de religião:</w:t>
      </w:r>
    </w:p>
    <w:p>
      <w:pPr>
        <w:pStyle w:val="BodyText"/>
      </w:pPr>
      <w:r>
        <w:rPr>
          <w:b/>
          <w:bCs/>
        </w:rPr>
        <w:t xml:space="preserve">Tipping (tombamento):</w:t>
      </w:r>
      <w:r>
        <w:t xml:space="preserve"> </w:t>
      </w:r>
      <w:r>
        <w:t xml:space="preserve">Quando a competição entre redes rivais atinge um ponto de inflexão em que uma pequena vantagem inicial se amplia por meio do feedback positivo dos efeitos de rede, levando uma das redes a dominar o mercado e a outra a desaparecer. O exemplo clássico é a</w:t>
      </w:r>
      <w:r>
        <w:t xml:space="preserve"> </w:t>
      </w:r>
      <w:r>
        <w:t xml:space="preserve">“guerra dos formatos”</w:t>
      </w:r>
      <w:r>
        <w:t xml:space="preserve"> </w:t>
      </w:r>
      <w:r>
        <w:t xml:space="preserve">entre VHS e Betamax nos anos 1980: embora o Betamax fosse tecnicamente superior, o VHS atingiu a massa crítica primeiro (em parte por licenciamento mais amplo a fabricantes) e dominou o mercado.</w:t>
      </w:r>
    </w:p>
    <w:p>
      <w:pPr>
        <w:pStyle w:val="BodyText"/>
      </w:pPr>
      <w:r>
        <w:rPr>
          <w:b/>
          <w:bCs/>
        </w:rPr>
        <w:t xml:space="preserve">Lock-in (aprisionamento):</w:t>
      </w:r>
      <w:r>
        <w:t xml:space="preserve"> </w:t>
      </w:r>
      <w:r>
        <w:t xml:space="preserve">Uma vez que os usuários adotam uma plataforma e investem em ativos complementares (dados, contatos, aplicativos compatíveis), o custo de migrar para um concorrente torna-se proibitivo — mesmo que o concorrente seja superior. Formalmente, o custo de troca (</w:t>
      </w:r>
      <w:r>
        <w:rPr>
          <w:i/>
          <w:iCs/>
        </w:rPr>
        <w:t xml:space="preserve">switching cost</w:t>
      </w:r>
      <w:r>
        <w:t xml:space="preserve">) do agente</w:t>
      </w:r>
      <w:r>
        <w:t xml:space="preserve"> </w:t>
      </w:r>
      <m:oMath>
        <m:r>
          <m:t>i</m:t>
        </m:r>
      </m:oMath>
      <w:r>
        <w:t xml:space="preserve"> </w:t>
      </w:r>
      <w:r>
        <w:t xml:space="preserve">inclui:</w:t>
      </w:r>
    </w:p>
    <w:p>
      <w:pPr>
        <w:pStyle w:val="BodyText"/>
      </w:pPr>
      <m:oMathPara>
        <m:oMathParaPr>
          <m:jc m:val="center"/>
        </m:oMathParaPr>
        <m:oMath>
          <m:r>
            <m:t>S</m:t>
          </m:r>
          <m:sSub>
            <m:e>
              <m:r>
                <m:t>C</m:t>
              </m:r>
            </m:e>
            <m:sub>
              <m:r>
                <m:t>i</m:t>
              </m:r>
            </m:sub>
          </m:sSub>
          <m:r>
            <m:rPr>
              <m:sty m:val="p"/>
            </m:rPr>
            <m:t>=</m:t>
          </m:r>
          <m:limLow>
            <m:e>
              <m:limLow>
                <m:e>
                  <m:sSub>
                    <m:e>
                      <m:r>
                        <m:t>c</m:t>
                      </m:r>
                    </m:e>
                    <m:sub>
                      <m:r>
                        <m:rPr>
                          <m:nor/>
                          <m:sty m:val="p"/>
                        </m:rPr>
                        <m:t>dados</m:t>
                      </m:r>
                    </m:sub>
                  </m:sSub>
                </m:e>
                <m:lim>
                  <m:r>
                    <m:rPr>
                      <m:sty m:val="p"/>
                    </m:rPr>
                    <m:t>⏟</m:t>
                  </m:r>
                </m:lim>
              </m:limLow>
            </m:e>
            <m:lim>
              <m:r>
                <m:rPr>
                  <m:nor/>
                  <m:sty m:val="p"/>
                </m:rPr>
                <m:t>perda de dados</m:t>
              </m:r>
            </m:lim>
          </m:limLow>
          <m:r>
            <m:rPr>
              <m:sty m:val="p"/>
            </m:rPr>
            <m:t>+</m:t>
          </m:r>
          <m:limLow>
            <m:e>
              <m:limLow>
                <m:e>
                  <m:sSub>
                    <m:e>
                      <m:r>
                        <m:t>c</m:t>
                      </m:r>
                    </m:e>
                    <m:sub>
                      <m:r>
                        <m:rPr>
                          <m:nor/>
                          <m:sty m:val="p"/>
                        </m:rPr>
                        <m:t>rede</m:t>
                      </m:r>
                    </m:sub>
                  </m:sSub>
                </m:e>
                <m:lim>
                  <m:r>
                    <m:rPr>
                      <m:sty m:val="p"/>
                    </m:rPr>
                    <m:t>⏟</m:t>
                  </m:r>
                </m:lim>
              </m:limLow>
            </m:e>
            <m:lim>
              <m:r>
                <m:rPr>
                  <m:nor/>
                  <m:sty m:val="p"/>
                </m:rPr>
                <m:t>perda de conexões</m:t>
              </m:r>
            </m:lim>
          </m:limLow>
          <m:r>
            <m:rPr>
              <m:sty m:val="p"/>
            </m:rPr>
            <m:t>+</m:t>
          </m:r>
          <m:limLow>
            <m:e>
              <m:limLow>
                <m:e>
                  <m:sSub>
                    <m:e>
                      <m:r>
                        <m:t>c</m:t>
                      </m:r>
                    </m:e>
                    <m:sub>
                      <m:r>
                        <m:rPr>
                          <m:nor/>
                          <m:sty m:val="p"/>
                        </m:rPr>
                        <m:t>aprend.</m:t>
                      </m:r>
                    </m:sub>
                  </m:sSub>
                </m:e>
                <m:lim>
                  <m:r>
                    <m:rPr>
                      <m:sty m:val="p"/>
                    </m:rPr>
                    <m:t>⏟</m:t>
                  </m:r>
                </m:lim>
              </m:limLow>
            </m:e>
            <m:lim>
              <m:r>
                <m:rPr>
                  <m:nor/>
                  <m:sty m:val="p"/>
                </m:rPr>
                <m:t>curva de aprendizado</m:t>
              </m:r>
            </m:lim>
          </m:limLow>
          <m:r>
            <m:rPr>
              <m:sty m:val="p"/>
            </m:rPr>
            <m:t>+</m:t>
          </m:r>
          <m:limLow>
            <m:e>
              <m:limLow>
                <m:e>
                  <m:sSub>
                    <m:e>
                      <m:r>
                        <m:t>c</m:t>
                      </m:r>
                    </m:e>
                    <m:sub>
                      <m:r>
                        <m:rPr>
                          <m:nor/>
                          <m:sty m:val="p"/>
                        </m:rPr>
                        <m:t>compl.</m:t>
                      </m:r>
                    </m:sub>
                  </m:sSub>
                </m:e>
                <m:lim>
                  <m:r>
                    <m:rPr>
                      <m:sty m:val="p"/>
                    </m:rPr>
                    <m:t>⏟</m:t>
                  </m:r>
                </m:lim>
              </m:limLow>
            </m:e>
            <m:lim>
              <m:r>
                <m:rPr>
                  <m:nor/>
                  <m:sty m:val="p"/>
                </m:rPr>
                <m:t>incompatibilidade</m:t>
              </m:r>
            </m:lim>
          </m:limLow>
        </m:oMath>
      </m:oMathPara>
    </w:p>
    <w:p>
      <w:pPr>
        <w:pStyle w:val="FirstParagraph"/>
      </w:pPr>
      <w:r>
        <w:rPr>
          <w:b/>
          <w:bCs/>
        </w:rPr>
        <w:t xml:space="preserve">Dependência de trajetória (path dependence):</w:t>
      </w:r>
      <w:r>
        <w:t xml:space="preserve"> </w:t>
      </w:r>
      <w:r>
        <w:t xml:space="preserve">O resultado final — qual plataforma domina — depende não apenas de eficiência relativa, mas de</w:t>
      </w:r>
      <w:r>
        <w:t xml:space="preserve"> </w:t>
      </w:r>
      <w:r>
        <w:rPr>
          <w:b/>
          <w:bCs/>
        </w:rPr>
        <w:t xml:space="preserve">eventos iniciais</w:t>
      </w:r>
      <w:r>
        <w:t xml:space="preserve"> </w:t>
      </w:r>
      <w:r>
        <w:t xml:space="preserve">que podem ser aleatórios ou estratégicos. O teclado QWERTY é o exemplo canônico (embora controverso): adotado por razões mecânicas em máquinas de escrever do século XIX, persiste até hoje devido ao custo coletivo de migração, mesmo que layouts alternativos possam ser ergonomicamente superiores.</w:t>
      </w:r>
    </w:p>
    <w:p>
      <w:pPr>
        <w:pStyle w:val="BlockText"/>
      </w:pPr>
      <w:r>
        <w:rPr>
          <w:b/>
          <w:bCs/>
        </w:rPr>
        <w:t xml:space="preserve">[DICA] Conexão com Teoria dos Jogos</w:t>
      </w:r>
    </w:p>
    <w:p>
      <w:pPr>
        <w:pStyle w:val="BlockText"/>
      </w:pPr>
      <w:r>
        <w:t xml:space="preserve">A multiplicidade de equilíbrios nos modelos de efeitos de rede é, formalmente, um</w:t>
      </w:r>
      <w:r>
        <w:t xml:space="preserve"> </w:t>
      </w:r>
      <w:r>
        <w:rPr>
          <w:b/>
          <w:bCs/>
        </w:rPr>
        <w:t xml:space="preserve">jogo de coordenação</w:t>
      </w:r>
      <w:r>
        <w:t xml:space="preserve"> </w:t>
      </w:r>
      <w:r>
        <w:t xml:space="preserve">(Capítulo 9a). Cada agente prefere adotar a mesma rede que os demais, mas não sabe</w:t>
      </w:r>
      <w:r>
        <w:t xml:space="preserve"> </w:t>
      </w:r>
      <w:r>
        <w:rPr>
          <w:i/>
          <w:iCs/>
        </w:rPr>
        <w:t xml:space="preserve">qual</w:t>
      </w:r>
      <w:r>
        <w:t xml:space="preserve"> </w:t>
      </w:r>
      <w:r>
        <w:t xml:space="preserve">rede os demais escolherão. Os equilíbrios de Nash correspondem à adoção universal de uma ou outra rede — e o problema de coordenação pode levar à adoção de uma rede inferior (ineficiência do equilíbrio), ecoando o dilema do prisioneiro e o resultado de que equilíbrios de Nash não são necessariamente Pareto-eficientes.</w:t>
      </w:r>
    </w:p>
    <w:p>
      <w:pPr>
        <w:pStyle w:val="BlockText"/>
      </w:pPr>
      <w:r>
        <w:rPr>
          <w:b/>
          <w:bCs/>
        </w:rPr>
        <w:t xml:space="preserve">[BOX MUNDO] Box Mundo 21.2 — O ecossistema de super-apps: WeChat e o modelo chinês</w:t>
      </w:r>
    </w:p>
    <w:p>
      <w:pPr>
        <w:pStyle w:val="BlockText"/>
      </w:pPr>
      <w:r>
        <w:rPr>
          <w:b/>
          <w:bCs/>
        </w:rPr>
        <w:t xml:space="preserve">Contexto:</w:t>
      </w:r>
      <w:r>
        <w:t xml:space="preserve"> </w:t>
      </w:r>
      <w:r>
        <w:t xml:space="preserve">Enquanto no Ocidente as funcionalidades digitais são distribuídas entre dezenas de aplicativos especializados (WhatsApp para mensagens, Uber para transporte, PayPal para pagamentos, Amazon para compras), a China desenvolveu o modelo do</w:t>
      </w:r>
      <w:r>
        <w:t xml:space="preserve"> </w:t>
      </w:r>
      <w:r>
        <w:rPr>
          <w:b/>
          <w:bCs/>
        </w:rPr>
        <w:t xml:space="preserve">super-app</w:t>
      </w:r>
      <w:r>
        <w:t xml:space="preserve"> </w:t>
      </w:r>
      <w:r>
        <w:t xml:space="preserve">— uma plataforma única que integra todas essas funcionalidades. O WeChat </w:t>
      </w:r>
      <w:r>
        <w:rPr>
          <w:rFonts w:hint="eastAsia"/>
        </w:rPr>
        <w:t xml:space="preserve">(微信,</w:t>
      </w:r>
      <w:r>
        <w:t xml:space="preserve"> Weixin), da Tencent, é o exemplo paradigmático: com mais de 1,3 bilhão de usuários ativos mensais em 2024, funciona simultaneamente como rede social, sistema de pagamentos (WeChat Pay), plataforma de comércio eletrônico, serviço de transporte, aplicativo governamental e muito mais.</w:t>
      </w:r>
    </w:p>
    <w:p>
      <w:pPr>
        <w:pStyle w:val="BlockText"/>
      </w:pPr>
      <w:r>
        <w:rPr>
          <w:b/>
          <w:bCs/>
        </w:rPr>
        <w:t xml:space="preserve">Dados:</w:t>
      </w:r>
      <w:r>
        <w:t xml:space="preserve"> </w:t>
      </w:r>
      <w:r>
        <w:t xml:space="preserve">Em 2024, cerca de 90% dos smartphones na China tinham o WeChat instalado. Os Mini Programs (mini-aplicativos dentro do WeChat) superavam 6 milhões, movimentando mais de US$ 400 bilhões em transações anuais. O WeChat Pay, junto com o Alipay (Ant Group), processava mais de 80% das transações de pagamento móvel na China, em um mercado que ultrapassou US$ 40 trilhões em 2023 — mais que Visa e Mastercard combinadas.</w:t>
      </w:r>
    </w:p>
    <w:p>
      <w:pPr>
        <w:pStyle w:val="BlockText"/>
      </w:pPr>
      <w:r>
        <w:rPr>
          <w:b/>
          <w:bCs/>
        </w:rPr>
        <w:t xml:space="preserve">Análise:</w:t>
      </w:r>
      <w:r>
        <w:t xml:space="preserve"> </w:t>
      </w:r>
      <w:r>
        <w:t xml:space="preserve">O modelo do super-app ilustra a operação simultânea de múltiplos efeitos de rede indiretos: mais usuários atraem mais comerciantes que aceitam WeChat Pay, o que atrai mais usuários; mais usuários incentivam mais desenvolvedores de Mini Programs, que por sua vez atraem mais usuários. Cada nova funcionalidade integrada ao WeChat aumenta os custos de troca (lock-in), pois migrar significaria perder não apenas contatos, mas também métodos de pagamento, histórico de compras e acesso a serviços governamentais. A estratégia é um exemplo de</w:t>
      </w:r>
      <w:r>
        <w:t xml:space="preserve"> </w:t>
      </w:r>
      <w:r>
        <w:rPr>
          <w:b/>
          <w:bCs/>
        </w:rPr>
        <w:t xml:space="preserve">envelopment de plataforma</w:t>
      </w:r>
      <w:r>
        <w:t xml:space="preserve"> </w:t>
      </w:r>
      <w:r>
        <w:t xml:space="preserve">(Seção 21.4): a Tencent expandiu progressivamente o escopo do WeChat para abranger mercados adjacentes, dificultando a entrada de competidores especializados em qualquer segmento individual.</w:t>
      </w:r>
    </w:p>
    <w:p>
      <w:pPr>
        <w:pStyle w:val="BlockText"/>
      </w:pPr>
      <w:r>
        <w:rPr>
          <w:b/>
          <w:bCs/>
        </w:rPr>
        <w:t xml:space="preserve">Fonte:</w:t>
      </w:r>
      <w:r>
        <w:t xml:space="preserve"> </w:t>
      </w:r>
      <w:r>
        <w:t xml:space="preserve">Tencent Holdings Annual Report 2023. iResearch (2024). China Third-Party Mobile Payment Market Report.</w:t>
      </w:r>
    </w:p>
    <w:bookmarkEnd w:id="1300"/>
    <w:bookmarkStart w:id="1301" w:name="bem-estar-e-política-pública"/>
    <w:p>
      <w:pPr>
        <w:pStyle w:val="Heading4"/>
      </w:pPr>
      <w:r>
        <w:t xml:space="preserve">21.2.5 Bem-estar e política pública</w:t>
      </w:r>
    </w:p>
    <w:p>
      <w:pPr>
        <w:pStyle w:val="FirstParagraph"/>
      </w:pPr>
      <w:r>
        <w:t xml:space="preserve">Os efeitos de rede geram uma tensão entre eficiência estática e dinâmica que complica a análise de bem-estar. Por um lado, o domínio de uma única plataforma pode ser</w:t>
      </w:r>
      <w:r>
        <w:t xml:space="preserve"> </w:t>
      </w:r>
      <w:r>
        <w:rPr>
          <w:b/>
          <w:bCs/>
        </w:rPr>
        <w:t xml:space="preserve">eficiente</w:t>
      </w:r>
      <w:r>
        <w:t xml:space="preserve"> </w:t>
      </w:r>
      <w:r>
        <w:t xml:space="preserve">se os benefícios de rede são maximizados quando todos os usuários estão na mesma rede (a utilidade total é maior com uma rede universal do que com duas redes fragmentadas). Por outro lado, o poder de mercado resultante permite que a plataforma dominante cobre preços acima do custo marginal, restrinja a inovação e explore os dados dos usuários.</w:t>
      </w:r>
    </w:p>
    <w:p>
      <w:pPr>
        <w:pStyle w:val="BodyText"/>
      </w:pPr>
      <w:r>
        <w:t xml:space="preserve">A intervenção regulatória enfrenta, portanto, um dilema:</w:t>
      </w:r>
      <w:r>
        <w:t xml:space="preserve"> </w:t>
      </w:r>
      <w:r>
        <w:rPr>
          <w:b/>
          <w:bCs/>
        </w:rPr>
        <w:t xml:space="preserve">fragmentar</w:t>
      </w:r>
      <w:r>
        <w:t xml:space="preserve"> </w:t>
      </w:r>
      <w:r>
        <w:t xml:space="preserve">a plataforma dominante (para aumentar a concorrência) pode</w:t>
      </w:r>
      <w:r>
        <w:t xml:space="preserve"> </w:t>
      </w:r>
      <w:r>
        <w:rPr>
          <w:b/>
          <w:bCs/>
        </w:rPr>
        <w:t xml:space="preserve">reduzir</w:t>
      </w:r>
      <w:r>
        <w:t xml:space="preserve"> </w:t>
      </w:r>
      <w:r>
        <w:t xml:space="preserve">o bem-estar se os efeitos de rede forem fortes. A solução mais discutida na literatura e na prática regulatória é exigir</w:t>
      </w:r>
      <w:r>
        <w:t xml:space="preserve"> </w:t>
      </w:r>
      <w:r>
        <w:rPr>
          <w:b/>
          <w:bCs/>
        </w:rPr>
        <w:t xml:space="preserve">interoperabilidade</w:t>
      </w:r>
      <w:r>
        <w:t xml:space="preserve">: obrigar plataformas a permitir comunicação entre redes rivais (assim como operadoras de telefone são obrigadas a completar chamadas de outras operadoras). A interoperabilidade preserva os benefícios de rede ao mesmo tempo que reduz os custos de troca e, portanto, o poder de mercado.</w:t>
      </w:r>
    </w:p>
    <w:p>
      <w:pPr>
        <w:pStyle w:val="BodyText"/>
      </w:pPr>
      <w:r>
        <w:t xml:space="preserve">[FIGURA INTERATIVA: /micro-book/graficos/cap21/efeitos-rede.html — versao interativa disponivel online]</w:t>
      </w:r>
    </w:p>
    <w:p>
      <w:pPr>
        <w:pStyle w:val="BodyText"/>
      </w:pPr>
      <w:r>
        <w:rPr>
          <w:b/>
          <w:bCs/>
        </w:rPr>
        <w:t xml:space="preserve">Figura 21.1 — Efeitos de Rede e Ponto de Virada.</w:t>
      </w:r>
      <w:r>
        <w:t xml:space="preserve"> </w:t>
      </w:r>
      <w:r>
        <w:t xml:space="preserve">A curva mostra a disposição a pagar</w:t>
      </w:r>
      <w:r>
        <w:t xml:space="preserve"> </w:t>
      </w:r>
      <m:oMath>
        <m:r>
          <m:t>u</m:t>
        </m:r>
        <m:r>
          <m:rPr>
            <m:sty m:val="p"/>
          </m:rPr>
          <m:t>(</m:t>
        </m:r>
        <m:r>
          <m:t>n</m:t>
        </m:r>
        <m:r>
          <m:rPr>
            <m:sty m:val="p"/>
          </m:rPr>
          <m:t>)</m:t>
        </m:r>
        <m:r>
          <m:rPr>
            <m:sty m:val="p"/>
          </m:rPr>
          <m:t>=</m:t>
        </m:r>
        <m:r>
          <m:t>v</m:t>
        </m:r>
        <m:r>
          <m:rPr>
            <m:sty m:val="p"/>
          </m:rPr>
          <m:t>+</m:t>
        </m:r>
        <m:r>
          <m:t>α</m:t>
        </m:r>
        <m:r>
          <m:t> </m:t>
        </m:r>
        <m:sSup>
          <m:e>
            <m:r>
              <m:t>n</m:t>
            </m:r>
          </m:e>
          <m:sup>
            <m:r>
              <m:t>β</m:t>
            </m:r>
          </m:sup>
        </m:sSup>
      </m:oMath>
      <w:r>
        <w:t xml:space="preserve"> </w:t>
      </w:r>
      <w:r>
        <w:t xml:space="preserve">como função do número de usuários. O cruzamento com a linha de preço determina a massa crítica</w:t>
      </w:r>
      <w:r>
        <w:t xml:space="preserve"> </w:t>
      </w:r>
      <m:oMath>
        <m:sSup>
          <m:e>
            <m:r>
              <m:t>n</m:t>
            </m:r>
          </m:e>
          <m:sup>
            <m:r>
              <m:rPr>
                <m:sty m:val="p"/>
              </m:rPr>
              <m:t>*</m:t>
            </m:r>
          </m:sup>
        </m:sSup>
      </m:oMath>
      <w:r>
        <w:t xml:space="preserve">: abaixo dela a rede colapsa (armadilha de adoção); acima, a adoção decola rumo ao equilíbrio alto.</w:t>
      </w:r>
    </w:p>
    <w:p>
      <w:pPr>
        <w:pStyle w:val="BodyText"/>
      </w:pPr>
      <w:r>
        <w:t xml:space="preserve">[FIGURA INTERATIVA: /micro-book/graficos/cap21/winner-takes-all.html — versao interativa disponivel online]</w:t>
      </w:r>
    </w:p>
    <w:p>
      <w:pPr>
        <w:pStyle w:val="BodyText"/>
      </w:pPr>
      <w:r>
        <w:rPr>
          <w:b/>
          <w:bCs/>
        </w:rPr>
        <w:t xml:space="preserve">Figura 21.2 — Winner-Takes-All e Tipping.</w:t>
      </w:r>
      <w:r>
        <w:t xml:space="preserve"> </w:t>
      </w:r>
      <w:r>
        <w:t xml:space="preserve">Três equilíbrios: ninguém adota (</w:t>
      </w:r>
      <m:oMath>
        <m:r>
          <m:t>n</m:t>
        </m:r>
        <m:r>
          <m:rPr>
            <m:sty m:val="p"/>
          </m:rPr>
          <m:t>=</m:t>
        </m:r>
        <m:r>
          <m:t>0</m:t>
        </m:r>
      </m:oMath>
      <w:r>
        <w:t xml:space="preserve">), massa crítica instável (</w:t>
      </w:r>
      <m:oMath>
        <m:sSub>
          <m:e>
            <m:r>
              <m:t>n</m:t>
            </m:r>
          </m:e>
          <m:sub>
            <m:r>
              <m:t>c</m:t>
            </m:r>
          </m:sub>
        </m:sSub>
      </m:oMath>
      <w:r>
        <w:t xml:space="preserve">) e adoção universal (</w:t>
      </w:r>
      <m:oMath>
        <m:r>
          <m:t>n</m:t>
        </m:r>
        <m:r>
          <m:rPr>
            <m:sty m:val="p"/>
          </m:rPr>
          <m:t>=</m:t>
        </m:r>
        <m:r>
          <m:t>1</m:t>
        </m:r>
      </m:oMath>
      <w:r>
        <w:t xml:space="preserve">). Reduza o preço ou aumente a força da rede</w:t>
      </w:r>
      <w:r>
        <w:t xml:space="preserve"> </w:t>
      </w:r>
      <m:oMath>
        <m:r>
          <m:t>α</m:t>
        </m:r>
      </m:oMath>
      <w:r>
        <w:t xml:space="preserve"> </w:t>
      </w:r>
      <w:r>
        <w:t xml:space="preserve">para ver a massa crítica encolher — facilitando o</w:t>
      </w:r>
      <w:r>
        <w:t xml:space="preserve"> </w:t>
      </w:r>
      <w:r>
        <w:t xml:space="preserve">“efeito bola de neve”</w:t>
      </w:r>
      <w:r>
        <w:t xml:space="preserve">.</w:t>
      </w:r>
    </w:p>
    <w:p>
      <w:pPr>
        <w:pStyle w:val="BodyText"/>
      </w:pPr>
      <w:r>
        <w:t xml:space="preserve">[FIGURA INTERATIVA: /micro-book/graficos/cap21/switching-costs.html — versao interativa disponivel online]</w:t>
      </w:r>
    </w:p>
    <w:p>
      <w:pPr>
        <w:pStyle w:val="BodyText"/>
      </w:pPr>
      <w:r>
        <w:rPr>
          <w:b/>
          <w:bCs/>
        </w:rPr>
        <w:t xml:space="preserve">Figura 21.3 — Custos de troca e lock-in.</w:t>
      </w:r>
      <w:r>
        <w:t xml:space="preserve"> </w:t>
      </w:r>
      <w:r>
        <w:t xml:space="preserve">O custo de troca</w:t>
      </w:r>
      <w:r>
        <w:t xml:space="preserve"> </w:t>
      </w:r>
      <m:oMath>
        <m:r>
          <m:t>s</m:t>
        </m:r>
      </m:oMath>
      <w:r>
        <w:t xml:space="preserve"> </w:t>
      </w:r>
      <w:r>
        <w:t xml:space="preserve">permite ao incumbente cobrar acima do custo marginal. Aumente</w:t>
      </w:r>
      <w:r>
        <w:t xml:space="preserve"> </w:t>
      </w:r>
      <m:oMath>
        <m:r>
          <m:t>s</m:t>
        </m:r>
      </m:oMath>
      <w:r>
        <w:t xml:space="preserve"> </w:t>
      </w:r>
      <w:r>
        <w:t xml:space="preserve">e observe o preço subir, a quantidade cair e o peso morto crescer — a anatomia do poder de mercado digital.</w:t>
      </w:r>
    </w:p>
    <w:p>
      <w:r>
        <w:pict>
          <v:rect style="width:0;height:1.5pt" o:hralign="center" o:hrstd="t" o:hr="t"/>
        </w:pict>
      </w:r>
    </w:p>
    <w:bookmarkEnd w:id="1301"/>
    <w:bookmarkEnd w:id="1302"/>
    <w:bookmarkStart w:id="1305" w:name="X847843528007c73ea5cf3e9a67cebbccec86f42"/>
    <w:p>
      <w:pPr>
        <w:pStyle w:val="Heading3"/>
      </w:pPr>
      <w:r>
        <w:t xml:space="preserve">21.2.6 IA Generativa: quando o custo marginal de criar conteúdo vai a zero</w:t>
      </w:r>
    </w:p>
    <w:p>
      <w:pPr>
        <w:pStyle w:val="FirstParagraph"/>
      </w:pPr>
      <w:r>
        <w:t xml:space="preserve">Se bens de informação tradicionais têm custo marginal de</w:t>
      </w:r>
      <w:r>
        <w:t xml:space="preserve"> </w:t>
      </w:r>
      <w:r>
        <w:rPr>
          <w:i/>
          <w:iCs/>
        </w:rPr>
        <w:t xml:space="preserve">reprodução</w:t>
      </w:r>
      <w:r>
        <w:t xml:space="preserve"> </w:t>
      </w:r>
      <w:r>
        <w:t xml:space="preserve">próximo de zero (Seção 21.1), a inteligência artificial generativa dá um passo além: reduz o custo marginal de</w:t>
      </w:r>
      <w:r>
        <w:t xml:space="preserve"> </w:t>
      </w:r>
      <w:r>
        <w:rPr>
          <w:i/>
          <w:iCs/>
        </w:rPr>
        <w:t xml:space="preserve">criação</w:t>
      </w:r>
      <w:r>
        <w:t xml:space="preserve"> </w:t>
      </w:r>
      <w:r>
        <w:t xml:space="preserve">a quase zero. Quando o ChatGPT escreve um artigo, o Midjourney gera uma ilustração ou o Suno compõe uma música, o custo de produzir a</w:t>
      </w:r>
      <w:r>
        <w:t xml:space="preserve"> </w:t>
      </w:r>
      <w:r>
        <w:t xml:space="preserve">“primeira cópia”</w:t>
      </w:r>
      <w:r>
        <w:t xml:space="preserve"> </w:t>
      </w:r>
      <w:r>
        <w:t xml:space="preserve">— que sempre foi a barreira econômica central nos mercados de informação — desmorona. As implicações para a estrutura de mercado são profundas.</w:t>
      </w:r>
    </w:p>
    <w:bookmarkStart w:id="1303" w:name="a-economia-de-modelos-de-linguagem"/>
    <w:p>
      <w:pPr>
        <w:pStyle w:val="Heading4"/>
      </w:pPr>
      <w:r>
        <w:t xml:space="preserve">A economia de modelos de linguagem</w:t>
      </w:r>
    </w:p>
    <w:p>
      <w:pPr>
        <w:pStyle w:val="FirstParagraph"/>
      </w:pPr>
      <w:r>
        <w:t xml:space="preserve">Os</w:t>
      </w:r>
      <w:r>
        <w:t xml:space="preserve"> </w:t>
      </w:r>
      <w:r>
        <w:rPr>
          <w:b/>
          <w:bCs/>
        </w:rPr>
        <w:t xml:space="preserve">Large Language Models (LLMs)</w:t>
      </w:r>
      <w:r>
        <w:t xml:space="preserve"> </w:t>
      </w:r>
      <w:r>
        <w:t xml:space="preserve">como GPT-4, Claude e Gemini apresentam uma estrutura de custos extrema:</w:t>
      </w:r>
    </w:p>
    <w:p>
      <w:pPr>
        <w:pStyle w:val="Compact"/>
        <w:numPr>
          <w:ilvl w:val="0"/>
          <w:numId w:val="2139"/>
        </w:numPr>
      </w:pPr>
      <w:r>
        <w:rPr>
          <w:b/>
          <w:bCs/>
        </w:rPr>
        <w:t xml:space="preserve">Custo fixo de treinamento</w:t>
      </w:r>
      <w:r>
        <w:t xml:space="preserve">: na ordem de US$ 50–200 milhões por modelo frontier (2024), incluindo hardware (GPUs), energia e dados. O GPT-4 da OpenAI custou estimados US$ 100 milhões para treinar.</w:t>
      </w:r>
    </w:p>
    <w:p>
      <w:pPr>
        <w:pStyle w:val="Compact"/>
        <w:numPr>
          <w:ilvl w:val="0"/>
          <w:numId w:val="2139"/>
        </w:numPr>
      </w:pPr>
      <w:r>
        <w:rPr>
          <w:b/>
          <w:bCs/>
        </w:rPr>
        <w:t xml:space="preserve">Custo marginal de inferência</w:t>
      </w:r>
      <w:r>
        <w:t xml:space="preserve">: centavos por consulta. Uma resposta do ChatGPT-4 custa à OpenAI entre US$ 0,01 e US$ 0,10 em computação — e esse custo cai com avanços em hardware e otimização de modelos.</w:t>
      </w:r>
    </w:p>
    <w:p>
      <w:pPr>
        <w:pStyle w:val="Compact"/>
        <w:numPr>
          <w:ilvl w:val="0"/>
          <w:numId w:val="2139"/>
        </w:numPr>
      </w:pPr>
      <w:r>
        <w:rPr>
          <w:b/>
          <w:bCs/>
        </w:rPr>
        <w:t xml:space="preserve">Economias de escala em dados</w:t>
      </w:r>
      <w:r>
        <w:t xml:space="preserve">: modelos treinados com mais dados e mais feedback de usuários (RLHF —</w:t>
      </w:r>
      <w:r>
        <w:t xml:space="preserve"> </w:t>
      </w:r>
      <w:r>
        <w:rPr>
          <w:i/>
          <w:iCs/>
        </w:rPr>
        <w:t xml:space="preserve">Reinforcement Learning from Human Feedback</w:t>
      </w:r>
      <w:r>
        <w:t xml:space="preserve">) são melhores. Isso cria um ciclo análogo ao dos efeitos de rede: mais usuários → mais dados de feedback → modelo melhor → mais usuários.</w:t>
      </w:r>
    </w:p>
    <w:p>
      <w:pPr>
        <w:pStyle w:val="FirstParagraph"/>
      </w:pPr>
      <w:r>
        <w:t xml:space="preserve">A estrutura de mercado resultante tende ao</w:t>
      </w:r>
      <w:r>
        <w:t xml:space="preserve"> </w:t>
      </w:r>
      <w:r>
        <w:rPr>
          <w:b/>
          <w:bCs/>
        </w:rPr>
        <w:t xml:space="preserve">oligopólio com altas barreiras à entrada</w:t>
      </w:r>
      <w:r>
        <w:t xml:space="preserve">: o custo de treinar um modelo frontier é proibitivo para a maioria das empresas, mas os incumbentes (OpenAI, Google DeepMind, Anthropic, Meta AI) competem agressivamente em qualidade e preço. A dinâmica se assemelha ao modelo de Sutton (1991) de</w:t>
      </w:r>
      <w:r>
        <w:t xml:space="preserve"> </w:t>
      </w:r>
      <w:r>
        <w:rPr>
          <w:b/>
          <w:bCs/>
        </w:rPr>
        <w:t xml:space="preserve">custos fixos endógenos</w:t>
      </w:r>
      <w:r>
        <w:t xml:space="preserve">: quando a competição se dá por qualidade (e não por preço), os custos fixos de P&amp;D são escalados endogenamente pelas firmas, e o mercado permanece concentrado mesmo com entrada livre.</w:t>
      </w:r>
    </w:p>
    <w:bookmarkEnd w:id="1303"/>
    <w:bookmarkStart w:id="1304" w:name="X81890aadd9fb465549a7f84e6847f25efd2c337"/>
    <w:p>
      <w:pPr>
        <w:pStyle w:val="Heading4"/>
      </w:pPr>
      <w:r>
        <w:t xml:space="preserve">Impactos sobre mercados de conteúdo e trabalho</w:t>
      </w:r>
    </w:p>
    <w:p>
      <w:pPr>
        <w:pStyle w:val="FirstParagraph"/>
      </w:pPr>
      <w:r>
        <w:t xml:space="preserve">A IA generativa altera a cadeia de valor de indústrias inteiras:</w:t>
      </w:r>
    </w:p>
    <w:p>
      <w:pPr>
        <w:numPr>
          <w:ilvl w:val="0"/>
          <w:numId w:val="2140"/>
        </w:numPr>
      </w:pPr>
      <w:r>
        <w:rPr>
          <w:b/>
          <w:bCs/>
        </w:rPr>
        <w:t xml:space="preserve">Mercado de conteúdo</w:t>
      </w:r>
      <w:r>
        <w:t xml:space="preserve">: se um modelo gera texto, imagem e código a custo marginal quase zero, o valor econômico migra da</w:t>
      </w:r>
      <w:r>
        <w:t xml:space="preserve"> </w:t>
      </w:r>
      <w:r>
        <w:rPr>
          <w:i/>
          <w:iCs/>
        </w:rPr>
        <w:t xml:space="preserve">criação</w:t>
      </w:r>
      <w:r>
        <w:t xml:space="preserve"> </w:t>
      </w:r>
      <w:r>
        <w:t xml:space="preserve">para a</w:t>
      </w:r>
      <w:r>
        <w:t xml:space="preserve"> </w:t>
      </w:r>
      <w:r>
        <w:rPr>
          <w:i/>
          <w:iCs/>
        </w:rPr>
        <w:t xml:space="preserve">curadoria</w:t>
      </w:r>
      <w:r>
        <w:t xml:space="preserve"> </w:t>
      </w:r>
      <w:r>
        <w:t xml:space="preserve">e a</w:t>
      </w:r>
      <w:r>
        <w:t xml:space="preserve"> </w:t>
      </w:r>
      <w:r>
        <w:rPr>
          <w:i/>
          <w:iCs/>
        </w:rPr>
        <w:t xml:space="preserve">distribuição</w:t>
      </w:r>
      <w:r>
        <w:t xml:space="preserve">. O modelo clássico de direitos autorais — que recompensa o criador pelo custo fixo da primeira cópia — enfrenta uma crise existencial quando a</w:t>
      </w:r>
      <w:r>
        <w:t xml:space="preserve"> </w:t>
      </w:r>
      <w:r>
        <w:t xml:space="preserve">“primeira cópia”</w:t>
      </w:r>
      <w:r>
        <w:t xml:space="preserve"> </w:t>
      </w:r>
      <w:r>
        <w:t xml:space="preserve">é gerada por um algoritmo treinado com bilhões de obras de terceiros.</w:t>
      </w:r>
    </w:p>
    <w:p>
      <w:pPr>
        <w:numPr>
          <w:ilvl w:val="0"/>
          <w:numId w:val="2140"/>
        </w:numPr>
      </w:pPr>
      <w:r>
        <w:rPr>
          <w:b/>
          <w:bCs/>
        </w:rPr>
        <w:t xml:space="preserve">Mercado de trabalho</w:t>
      </w:r>
      <w:r>
        <w:t xml:space="preserve">: a automação por IA generativa afeta desproporcionalmente tarefas cognitivas de rotina (redação, tradução, programação básica, análise de dados) — exatamente o segmento que a teoria do capital humano (Seção 17.2) previa estar protegido pela educação formal. Acemoglu e Restrepo (2020) formalizam o trade-off entre automação (que desloca trabalho) e criação de novas tarefas (que demanda trabalho), e a IA generativa intensifica ambos os lados dessa dinâmica.</w:t>
      </w:r>
    </w:p>
    <w:p>
      <w:pPr>
        <w:numPr>
          <w:ilvl w:val="0"/>
          <w:numId w:val="2140"/>
        </w:numPr>
      </w:pPr>
      <w:r>
        <w:rPr>
          <w:b/>
          <w:bCs/>
        </w:rPr>
        <w:t xml:space="preserve">Propriedade intelectual</w:t>
      </w:r>
      <w:r>
        <w:t xml:space="preserve">: quem detém os direitos sobre conteúdo gerado por IA? Se o modelo foi treinado com obras protegidas por copyright, os autores originais têm direito a compensação? Esses são problemas de externalidade (Capítulo 20) e de desenho de mecanismos (Seção 9c.5) que o framework legal ainda não resolveu.</w:t>
      </w:r>
    </w:p>
    <w:p>
      <w:pPr>
        <w:pStyle w:val="BlockText"/>
      </w:pPr>
      <w:r>
        <w:rPr>
          <w:b/>
          <w:bCs/>
        </w:rPr>
        <w:t xml:space="preserve">[INTUICAO ECONOMICA] Intuição Econômica</w:t>
      </w:r>
    </w:p>
    <w:p>
      <w:pPr>
        <w:pStyle w:val="BlockText"/>
      </w:pPr>
      <w:r>
        <w:rPr>
          <w:b/>
          <w:bCs/>
        </w:rPr>
        <w:t xml:space="preserve">Em uma frase:</w:t>
      </w:r>
      <w:r>
        <w:t xml:space="preserve"> </w:t>
      </w:r>
      <w:r>
        <w:t xml:space="preserve">A IA generativa não automatiza apenas a reprodução de informação — automatiza a</w:t>
      </w:r>
      <w:r>
        <w:t xml:space="preserve"> </w:t>
      </w:r>
      <w:r>
        <w:rPr>
          <w:i/>
          <w:iCs/>
        </w:rPr>
        <w:t xml:space="preserve">criação</w:t>
      </w:r>
      <w:r>
        <w:t xml:space="preserve">, colapsando a última barreira de custo que protegia os mercados de conteúdo.</w:t>
      </w:r>
    </w:p>
    <w:p>
      <w:pPr>
        <w:pStyle w:val="BlockText"/>
      </w:pPr>
      <w:r>
        <w:rPr>
          <w:b/>
          <w:bCs/>
        </w:rPr>
        <w:t xml:space="preserve">Pense assim:</w:t>
      </w:r>
      <w:r>
        <w:t xml:space="preserve"> </w:t>
      </w:r>
      <w:r>
        <w:t xml:space="preserve">Imagine que a máquina de escrever tivesse sido inventada junto com um robô que escreve romances razoáveis. O custo fixo de criar a</w:t>
      </w:r>
      <w:r>
        <w:t xml:space="preserve"> </w:t>
      </w:r>
      <w:r>
        <w:t xml:space="preserve">“primeira cópia”</w:t>
      </w:r>
      <w:r>
        <w:t xml:space="preserve"> </w:t>
      </w:r>
      <w:r>
        <w:t xml:space="preserve">— que justificava o copyright, o avanço editorial, o salário do jornalista — desaparece. O que resta de valioso? Originalidade genuína, curadoria humana e confiança — bens que são, por natureza, escassos e difíceis de automatizar.</w:t>
      </w:r>
    </w:p>
    <w:p>
      <w:pPr>
        <w:pStyle w:val="BlockText"/>
      </w:pPr>
      <w:r>
        <w:rPr>
          <w:b/>
          <w:bCs/>
        </w:rPr>
        <w:t xml:space="preserve">O paradoxo econômico:</w:t>
      </w:r>
      <w:r>
        <w:t xml:space="preserve"> </w:t>
      </w:r>
      <w:r>
        <w:t xml:space="preserve">Se todos podem gerar conteúdo de qualidade razoável a custo zero, o valor marginal de conteúdo</w:t>
      </w:r>
      <w:r>
        <w:t xml:space="preserve"> </w:t>
      </w:r>
      <w:r>
        <w:t xml:space="preserve">“bom”</w:t>
      </w:r>
      <w:r>
        <w:t xml:space="preserve"> </w:t>
      </w:r>
      <w:r>
        <w:t xml:space="preserve">colapsa, mas o valor de conteúdo</w:t>
      </w:r>
      <w:r>
        <w:t xml:space="preserve"> </w:t>
      </w:r>
      <w:r>
        <w:rPr>
          <w:i/>
          <w:iCs/>
        </w:rPr>
        <w:t xml:space="preserve">excelente</w:t>
      </w:r>
      <w:r>
        <w:t xml:space="preserve"> </w:t>
      </w:r>
      <w:r>
        <w:t xml:space="preserve">— que requer insight, criatividade e julgamento humano — pode</w:t>
      </w:r>
      <w:r>
        <w:t xml:space="preserve"> </w:t>
      </w:r>
      <w:r>
        <w:rPr>
          <w:i/>
          <w:iCs/>
        </w:rPr>
        <w:t xml:space="preserve">aumentar</w:t>
      </w:r>
      <w:r>
        <w:t xml:space="preserve">. A IA generativa pode, paradoxalmente, valorizar mais o trabalho cognitivo de alto nível ao desvalorizar o de nível médio.</w:t>
      </w:r>
    </w:p>
    <w:p>
      <w:pPr>
        <w:pStyle w:val="BlockText"/>
      </w:pPr>
      <w:r>
        <w:rPr>
          <w:b/>
          <w:bCs/>
        </w:rPr>
        <w:t xml:space="preserve">[BOX BRASIL] Box Brasil — IA generativa e o mercado de trabalho brasileiro</w:t>
      </w:r>
    </w:p>
    <w:p>
      <w:pPr>
        <w:pStyle w:val="BlockText"/>
      </w:pPr>
      <w:r>
        <w:rPr>
          <w:b/>
          <w:bCs/>
        </w:rPr>
        <w:t xml:space="preserve">Contexto:</w:t>
      </w:r>
      <w:r>
        <w:t xml:space="preserve"> </w:t>
      </w:r>
      <w:r>
        <w:t xml:space="preserve">O impacto da IA generativa sobre o mercado de trabalho brasileiro tem características próprias. Segundo dados da RAIS/CAGED (2024), cerca de 30% dos empregos formais no Brasil envolvem tarefas que podem ser parcialmente automatizadas por modelos de linguagem — incluindo assistentes administrativos, analistas de dados, redatores, tradutores e programadores juniores.</w:t>
      </w:r>
    </w:p>
    <w:p>
      <w:pPr>
        <w:pStyle w:val="BlockText"/>
      </w:pPr>
      <w:r>
        <w:rPr>
          <w:b/>
          <w:bCs/>
        </w:rPr>
        <w:t xml:space="preserve">Dados:</w:t>
      </w:r>
      <w:r>
        <w:t xml:space="preserve"> </w:t>
      </w:r>
      <w:r>
        <w:t xml:space="preserve">O Brasil tinha, em 2024, mais de 1 milhão de desenvolvedores de software (segundo a BrazilLab e Stack Overflow). A adoção de ferramentas como GitHub Copilot (que usa IA para sugerir código) cresceu mais de 200% no país entre 2023 e 2025. Estimativas do McKinsey Global Institute (2023) sugerem que 25–35% das horas de trabalho no setor de serviços brasileiro poderiam ser complementadas ou substituídas por IA generativa até 2030.</w:t>
      </w:r>
    </w:p>
    <w:p>
      <w:pPr>
        <w:pStyle w:val="BlockText"/>
      </w:pPr>
      <w:r>
        <w:rPr>
          <w:b/>
          <w:bCs/>
        </w:rPr>
        <w:t xml:space="preserve">Análise:</w:t>
      </w:r>
      <w:r>
        <w:t xml:space="preserve"> </w:t>
      </w:r>
      <w:r>
        <w:t xml:space="preserve">A exposição brasileira à automação por IA é concentrada no setor de serviços urbanos — exatamente o segmento que mais cresceu nas últimas décadas. A questão distributiva é central: se a IA substitui trabalho cognitivo de rotina (classe média), mas complementa trabalho criativo de alto nível e trabalho manual de baixa qualificação (menos expostos à automação por linguagem), o efeito pode ser uma</w:t>
      </w:r>
      <w:r>
        <w:t xml:space="preserve"> </w:t>
      </w:r>
      <w:r>
        <w:rPr>
          <w:b/>
          <w:bCs/>
        </w:rPr>
        <w:t xml:space="preserve">compressão da classe média</w:t>
      </w:r>
      <w:r>
        <w:t xml:space="preserve"> </w:t>
      </w:r>
      <w:r>
        <w:t xml:space="preserve">com ampliação da desigualdade — um padrão oposto ao previsto pela teoria tradicional de capital humano.</w:t>
      </w:r>
    </w:p>
    <w:p>
      <w:r>
        <w:pict>
          <v:rect style="width:0;height:1.5pt" o:hralign="center" o:hrstd="t" o:hr="t"/>
        </w:pict>
      </w:r>
    </w:p>
    <w:p>
      <w:pPr>
        <w:pStyle w:val="BlockText"/>
      </w:pPr>
      <w:r>
        <w:rPr>
          <w:b/>
          <w:bCs/>
        </w:rPr>
        <w:t xml:space="preserve">[EXEMPLO] Exercício Resolvido 21.7 — Algoritmo de recomendação como discriminação de preços</w:t>
      </w:r>
    </w:p>
    <w:p>
      <w:pPr>
        <w:pStyle w:val="BlockText"/>
      </w:pPr>
      <w:r>
        <w:rPr>
          <w:b/>
          <w:bCs/>
        </w:rPr>
        <w:t xml:space="preserve">Enunciado.</w:t>
      </w:r>
      <w:r>
        <w:t xml:space="preserve"> </w:t>
      </w:r>
      <w:r>
        <w:t xml:space="preserve">A Netflix oferece o mesmo catálogo a todos os assinantes, mas usa um algoritmo de recomendação que personaliza a experiência. Suponha dois tipos de consumidor: cinéfilos (</w:t>
      </w:r>
      <m:oMath>
        <m:sSub>
          <m:e>
            <m:r>
              <m:t>θ</m:t>
            </m:r>
          </m:e>
          <m:sub>
            <m:r>
              <m:t>H</m:t>
            </m:r>
          </m:sub>
        </m:sSub>
      </m:oMath>
      <w:r>
        <w:t xml:space="preserve">) com disposição a pagar</w:t>
      </w:r>
      <w:r>
        <w:t xml:space="preserve"> </w:t>
      </w:r>
      <m:oMath>
        <m:sSub>
          <m:e>
            <m:r>
              <m:t>v</m:t>
            </m:r>
          </m:e>
          <m:sub>
            <m:r>
              <m:t>H</m:t>
            </m:r>
          </m:sub>
        </m:sSub>
        <m:r>
          <m:rPr>
            <m:sty m:val="p"/>
          </m:rPr>
          <m:t>=</m:t>
        </m:r>
        <m:r>
          <m:t>60</m:t>
        </m:r>
      </m:oMath>
      <w:r>
        <w:t xml:space="preserve"> </w:t>
      </w:r>
      <w:r>
        <w:t xml:space="preserve">e casuais (</w:t>
      </w:r>
      <m:oMath>
        <m:sSub>
          <m:e>
            <m:r>
              <m:t>θ</m:t>
            </m:r>
          </m:e>
          <m:sub>
            <m:r>
              <m:t>L</m:t>
            </m:r>
          </m:sub>
        </m:sSub>
      </m:oMath>
      <w:r>
        <w:t xml:space="preserve">) com</w:t>
      </w:r>
      <w:r>
        <w:t xml:space="preserve"> </w:t>
      </w:r>
      <m:oMath>
        <m:sSub>
          <m:e>
            <m:r>
              <m:t>v</m:t>
            </m:r>
          </m:e>
          <m:sub>
            <m:r>
              <m:t>L</m:t>
            </m:r>
          </m:sub>
        </m:sSub>
        <m:r>
          <m:rPr>
            <m:sty m:val="p"/>
          </m:rPr>
          <m:t>=</m:t>
        </m:r>
        <m:r>
          <m:t>25</m:t>
        </m:r>
      </m:oMath>
      <w:r>
        <w:t xml:space="preserve">. Sem personalização, o catálogo tem valor intrínseco</w:t>
      </w:r>
      <w:r>
        <w:t xml:space="preserve"> </w:t>
      </w:r>
      <m:oMath>
        <m:sSub>
          <m:e>
            <m:r>
              <m:t>q</m:t>
            </m:r>
          </m:e>
          <m:sub>
            <m:r>
              <m:t>0</m:t>
            </m:r>
          </m:sub>
        </m:sSub>
        <m:r>
          <m:rPr>
            <m:sty m:val="p"/>
          </m:rPr>
          <m:t>=</m:t>
        </m:r>
        <m:r>
          <m:t>0</m:t>
        </m:r>
        <m:r>
          <m:rPr>
            <m:sty m:val="p"/>
          </m:rPr>
          <m:t>,</m:t>
        </m:r>
        <m:r>
          <m:t>5</m:t>
        </m:r>
      </m:oMath>
      <w:r>
        <w:t xml:space="preserve"> </w:t>
      </w:r>
      <w:r>
        <w:t xml:space="preserve">para ambos (utilidade</w:t>
      </w:r>
      <w:r>
        <w:t xml:space="preserve"> </w:t>
      </w:r>
      <m:oMath>
        <m:sSub>
          <m:e>
            <m:r>
              <m:t>u</m:t>
            </m:r>
          </m:e>
          <m:sub>
            <m:r>
              <m:t>i</m:t>
            </m:r>
          </m:sub>
        </m:sSub>
        <m:r>
          <m:rPr>
            <m:sty m:val="p"/>
          </m:rPr>
          <m:t>=</m:t>
        </m:r>
        <m:sSub>
          <m:e>
            <m:r>
              <m:t>θ</m:t>
            </m:r>
          </m:e>
          <m:sub>
            <m:r>
              <m:t>i</m:t>
            </m:r>
          </m:sub>
        </m:sSub>
        <m:r>
          <m:rPr>
            <m:sty m:val="p"/>
          </m:rPr>
          <m:t>⋅</m:t>
        </m:r>
        <m:r>
          <m:t>q</m:t>
        </m:r>
        <m:r>
          <m:rPr>
            <m:sty m:val="p"/>
          </m:rPr>
          <m:t>−</m:t>
        </m:r>
        <m:r>
          <m:t>p</m:t>
        </m:r>
      </m:oMath>
      <w:r>
        <w:t xml:space="preserve">). O algoritmo eleva a qualidade percebida para</w:t>
      </w:r>
      <w:r>
        <w:t xml:space="preserve"> </w:t>
      </w:r>
      <m:oMath>
        <m:sSub>
          <m:e>
            <m:r>
              <m:t>q</m:t>
            </m:r>
          </m:e>
          <m:sub>
            <m:r>
              <m:t>A</m:t>
            </m:r>
          </m:sub>
        </m:sSub>
        <m:r>
          <m:rPr>
            <m:sty m:val="p"/>
          </m:rPr>
          <m:t>=</m:t>
        </m:r>
        <m:r>
          <m:t>0</m:t>
        </m:r>
        <m:r>
          <m:rPr>
            <m:sty m:val="p"/>
          </m:rPr>
          <m:t>,</m:t>
        </m:r>
        <m:r>
          <m:t>9</m:t>
        </m:r>
      </m:oMath>
      <w:r>
        <w:t xml:space="preserve"> </w:t>
      </w:r>
      <w:r>
        <w:t xml:space="preserve">(ao recomendar conteúdo relevante). O custo marginal é zero.</w:t>
      </w:r>
    </w:p>
    <w:p>
      <w:pPr>
        <w:pStyle w:val="BlockText"/>
        <w:numPr>
          <w:ilvl w:val="0"/>
          <w:numId w:val="2141"/>
        </w:numPr>
      </w:pPr>
      <w:r>
        <w:t xml:space="preserve">Sem personalização (</w:t>
      </w:r>
      <m:oMath>
        <m:r>
          <m:t>q</m:t>
        </m:r>
        <m:r>
          <m:rPr>
            <m:sty m:val="p"/>
          </m:rPr>
          <m:t>=</m:t>
        </m:r>
        <m:r>
          <m:t>0</m:t>
        </m:r>
        <m:r>
          <m:rPr>
            <m:sty m:val="p"/>
          </m:rPr>
          <m:t>,</m:t>
        </m:r>
        <m:r>
          <m:t>5</m:t>
        </m:r>
      </m:oMath>
      <w:r>
        <w:t xml:space="preserve">): qual o preço ótimo de preço único?</w:t>
      </w:r>
    </w:p>
    <w:p>
      <w:pPr>
        <w:pStyle w:val="BlockText"/>
        <w:numPr>
          <w:ilvl w:val="0"/>
          <w:numId w:val="2141"/>
        </w:numPr>
      </w:pPr>
      <w:r>
        <w:t xml:space="preserve">Com personalização (</w:t>
      </w:r>
      <m:oMath>
        <m:r>
          <m:t>q</m:t>
        </m:r>
        <m:r>
          <m:rPr>
            <m:sty m:val="p"/>
          </m:rPr>
          <m:t>=</m:t>
        </m:r>
        <m:r>
          <m:t>0</m:t>
        </m:r>
        <m:r>
          <m:rPr>
            <m:sty m:val="p"/>
          </m:rPr>
          <m:t>,</m:t>
        </m:r>
        <m:r>
          <m:t>9</m:t>
        </m:r>
      </m:oMath>
      <w:r>
        <w:t xml:space="preserve">): qual o novo preço ótimo?</w:t>
      </w:r>
    </w:p>
    <w:p>
      <w:pPr>
        <w:pStyle w:val="BlockText"/>
        <w:numPr>
          <w:ilvl w:val="0"/>
          <w:numId w:val="2141"/>
        </w:numPr>
      </w:pPr>
      <w:r>
        <w:t xml:space="preserve">A personalização funciona como que tipo de discriminação de preços?</w:t>
      </w:r>
    </w:p>
    <w:p>
      <w:pPr>
        <w:pStyle w:val="BlockText"/>
      </w:pPr>
      <w:r>
        <w:rPr>
          <w:b/>
          <w:bCs/>
        </w:rPr>
        <w:t xml:space="preserve">Solução.</w:t>
      </w:r>
    </w:p>
    <w:p>
      <w:pPr>
        <w:pStyle w:val="BlockText"/>
      </w:pPr>
      <w:r>
        <w:rPr>
          <w:b/>
          <w:bCs/>
        </w:rPr>
        <w:t xml:space="preserve">(a)</w:t>
      </w:r>
      <w:r>
        <w:t xml:space="preserve"> </w:t>
      </w:r>
      <w:r>
        <w:t xml:space="preserve">Sem personalização:</w:t>
      </w:r>
      <w:r>
        <w:t xml:space="preserve"> </w:t>
      </w:r>
      <m:oMath>
        <m:sSub>
          <m:e>
            <m:r>
              <m:t>u</m:t>
            </m:r>
          </m:e>
          <m:sub>
            <m:r>
              <m:t>H</m:t>
            </m:r>
          </m:sub>
        </m:sSub>
        <m:r>
          <m:rPr>
            <m:sty m:val="p"/>
          </m:rPr>
          <m:t>=</m:t>
        </m:r>
        <m:r>
          <m:t>60</m:t>
        </m:r>
        <m:r>
          <m:rPr>
            <m:sty m:val="p"/>
          </m:rPr>
          <m:t>×</m:t>
        </m:r>
        <m:r>
          <m:t>0</m:t>
        </m:r>
        <m:r>
          <m:rPr>
            <m:sty m:val="p"/>
          </m:rPr>
          <m:t>,</m:t>
        </m:r>
        <m:r>
          <m:t>5</m:t>
        </m:r>
        <m:r>
          <m:rPr>
            <m:sty m:val="p"/>
          </m:rPr>
          <m:t>−</m:t>
        </m:r>
        <m:r>
          <m:t>p</m:t>
        </m:r>
        <m:r>
          <m:rPr>
            <m:sty m:val="p"/>
          </m:rPr>
          <m:t>=</m:t>
        </m:r>
        <m:r>
          <m:t>30</m:t>
        </m:r>
        <m:r>
          <m:rPr>
            <m:sty m:val="p"/>
          </m:rPr>
          <m:t>−</m:t>
        </m:r>
        <m:r>
          <m:t>p</m:t>
        </m:r>
      </m:oMath>
      <w:r>
        <w:t xml:space="preserve">;</w:t>
      </w:r>
      <w:r>
        <w:t xml:space="preserve"> </w:t>
      </w:r>
      <m:oMath>
        <m:sSub>
          <m:e>
            <m:r>
              <m:t>u</m:t>
            </m:r>
          </m:e>
          <m:sub>
            <m:r>
              <m:t>L</m:t>
            </m:r>
          </m:sub>
        </m:sSub>
        <m:r>
          <m:rPr>
            <m:sty m:val="p"/>
          </m:rPr>
          <m:t>=</m:t>
        </m:r>
        <m:r>
          <m:t>25</m:t>
        </m:r>
        <m:r>
          <m:rPr>
            <m:sty m:val="p"/>
          </m:rPr>
          <m:t>×</m:t>
        </m:r>
        <m:r>
          <m:t>0</m:t>
        </m:r>
        <m:r>
          <m:rPr>
            <m:sty m:val="p"/>
          </m:rPr>
          <m:t>,</m:t>
        </m:r>
        <m:r>
          <m:t>5</m:t>
        </m:r>
        <m:r>
          <m:rPr>
            <m:sty m:val="p"/>
          </m:rPr>
          <m:t>−</m:t>
        </m:r>
        <m:r>
          <m:t>p</m:t>
        </m:r>
        <m:r>
          <m:rPr>
            <m:sty m:val="p"/>
          </m:rPr>
          <m:t>=</m:t>
        </m:r>
        <m:r>
          <m:t>12</m:t>
        </m:r>
        <m:r>
          <m:rPr>
            <m:sty m:val="p"/>
          </m:rPr>
          <m:t>,</m:t>
        </m:r>
        <m:r>
          <m:t>5</m:t>
        </m:r>
        <m:r>
          <m:rPr>
            <m:sty m:val="p"/>
          </m:rPr>
          <m:t>−</m:t>
        </m:r>
        <m:r>
          <m:t>p</m:t>
        </m:r>
      </m:oMath>
      <w:r>
        <w:t xml:space="preserve">. Se cobra</w:t>
      </w:r>
      <w:r>
        <w:t xml:space="preserve"> </w:t>
      </w:r>
      <m:oMath>
        <m:r>
          <m:t>p</m:t>
        </m:r>
        <m:r>
          <m:rPr>
            <m:sty m:val="p"/>
          </m:rPr>
          <m:t>=</m:t>
        </m:r>
        <m:r>
          <m:t>12</m:t>
        </m:r>
        <m:r>
          <m:rPr>
            <m:sty m:val="p"/>
          </m:rPr>
          <m:t>,</m:t>
        </m:r>
        <m:r>
          <m:t>5</m:t>
        </m:r>
      </m:oMath>
      <w:r>
        <w:t xml:space="preserve">: vende para ambos,</w:t>
      </w:r>
      <w:r>
        <w:t xml:space="preserve"> </w:t>
      </w:r>
      <m:oMath>
        <m:r>
          <m:t>π</m:t>
        </m:r>
        <m:r>
          <m:rPr>
            <m:sty m:val="p"/>
          </m:rPr>
          <m:t>=</m:t>
        </m:r>
        <m:r>
          <m:t>12</m:t>
        </m:r>
        <m:r>
          <m:rPr>
            <m:sty m:val="p"/>
          </m:rPr>
          <m:t>,</m:t>
        </m:r>
        <m:r>
          <m:t>5</m:t>
        </m:r>
        <m:r>
          <m:rPr>
            <m:sty m:val="p"/>
          </m:rPr>
          <m:t>×</m:t>
        </m:r>
        <m:r>
          <m:t>2</m:t>
        </m:r>
        <m:r>
          <m:rPr>
            <m:sty m:val="p"/>
          </m:rPr>
          <m:t>=</m:t>
        </m:r>
        <m:r>
          <m:t>25</m:t>
        </m:r>
      </m:oMath>
      <w:r>
        <w:t xml:space="preserve">. Se cobra</w:t>
      </w:r>
      <w:r>
        <w:t xml:space="preserve"> </w:t>
      </w:r>
      <m:oMath>
        <m:r>
          <m:t>p</m:t>
        </m:r>
        <m:r>
          <m:rPr>
            <m:sty m:val="p"/>
          </m:rPr>
          <m:t>=</m:t>
        </m:r>
        <m:r>
          <m:t>30</m:t>
        </m:r>
      </m:oMath>
      <w:r>
        <w:t xml:space="preserve">: vende só para</w:t>
      </w:r>
      <w:r>
        <w:t xml:space="preserve"> </w:t>
      </w:r>
      <m:oMath>
        <m:sSub>
          <m:e>
            <m:r>
              <m:t>θ</m:t>
            </m:r>
          </m:e>
          <m:sub>
            <m:r>
              <m:t>H</m:t>
            </m:r>
          </m:sub>
        </m:sSub>
      </m:oMath>
      <w:r>
        <w:t xml:space="preserve">,</w:t>
      </w:r>
      <w:r>
        <w:t xml:space="preserve"> </w:t>
      </w:r>
      <m:oMath>
        <m:r>
          <m:t>π</m:t>
        </m:r>
        <m:r>
          <m:rPr>
            <m:sty m:val="p"/>
          </m:rPr>
          <m:t>=</m:t>
        </m:r>
        <m:r>
          <m:t>30</m:t>
        </m:r>
      </m:oMath>
      <w:r>
        <w:t xml:space="preserve">.</w:t>
      </w:r>
      <w:r>
        <w:t xml:space="preserve"> </w:t>
      </w:r>
      <w:r>
        <w:rPr>
          <w:b/>
          <w:bCs/>
        </w:rPr>
        <w:t xml:space="preserve">Preço ótimo:</w:t>
      </w:r>
      <w:r>
        <w:rPr>
          <w:b/>
          <w:bCs/>
        </w:rPr>
        <w:t xml:space="preserve"> </w:t>
      </w:r>
      <m:oMath>
        <m:sSup>
          <m:e>
            <m:r>
              <m:t>p</m:t>
            </m:r>
          </m:e>
          <m:sup>
            <m:r>
              <m:rPr>
                <m:sty m:val="p"/>
              </m:rPr>
              <m:t>*</m:t>
            </m:r>
          </m:sup>
        </m:sSup>
        <m:r>
          <m:rPr>
            <m:sty m:val="p"/>
          </m:rPr>
          <m:t>=</m:t>
        </m:r>
        <m:r>
          <m:t>30</m:t>
        </m:r>
      </m:oMath>
      <w:r>
        <w:t xml:space="preserve"> </w:t>
      </w:r>
      <w:r>
        <w:t xml:space="preserve">(exclui o casual).</w:t>
      </w:r>
    </w:p>
    <w:p>
      <w:pPr>
        <w:pStyle w:val="BlockText"/>
      </w:pPr>
      <w:r>
        <w:rPr>
          <w:b/>
          <w:bCs/>
        </w:rPr>
        <w:t xml:space="preserve">(b)</w:t>
      </w:r>
      <w:r>
        <w:t xml:space="preserve"> </w:t>
      </w:r>
      <w:r>
        <w:t xml:space="preserve">Com personalização:</w:t>
      </w:r>
      <w:r>
        <w:t xml:space="preserve"> </w:t>
      </w:r>
      <m:oMath>
        <m:sSub>
          <m:e>
            <m:r>
              <m:t>u</m:t>
            </m:r>
          </m:e>
          <m:sub>
            <m:r>
              <m:t>H</m:t>
            </m:r>
          </m:sub>
        </m:sSub>
        <m:r>
          <m:rPr>
            <m:sty m:val="p"/>
          </m:rPr>
          <m:t>=</m:t>
        </m:r>
        <m:r>
          <m:t>60</m:t>
        </m:r>
        <m:r>
          <m:rPr>
            <m:sty m:val="p"/>
          </m:rPr>
          <m:t>×</m:t>
        </m:r>
        <m:r>
          <m:t>0</m:t>
        </m:r>
        <m:r>
          <m:rPr>
            <m:sty m:val="p"/>
          </m:rPr>
          <m:t>,</m:t>
        </m:r>
        <m:r>
          <m:t>9</m:t>
        </m:r>
        <m:r>
          <m:rPr>
            <m:sty m:val="p"/>
          </m:rPr>
          <m:t>−</m:t>
        </m:r>
        <m:r>
          <m:t>p</m:t>
        </m:r>
        <m:r>
          <m:rPr>
            <m:sty m:val="p"/>
          </m:rPr>
          <m:t>=</m:t>
        </m:r>
        <m:r>
          <m:t>54</m:t>
        </m:r>
        <m:r>
          <m:rPr>
            <m:sty m:val="p"/>
          </m:rPr>
          <m:t>−</m:t>
        </m:r>
        <m:r>
          <m:t>p</m:t>
        </m:r>
      </m:oMath>
      <w:r>
        <w:t xml:space="preserve">;</w:t>
      </w:r>
      <w:r>
        <w:t xml:space="preserve"> </w:t>
      </w:r>
      <m:oMath>
        <m:sSub>
          <m:e>
            <m:r>
              <m:t>u</m:t>
            </m:r>
          </m:e>
          <m:sub>
            <m:r>
              <m:t>L</m:t>
            </m:r>
          </m:sub>
        </m:sSub>
        <m:r>
          <m:rPr>
            <m:sty m:val="p"/>
          </m:rPr>
          <m:t>=</m:t>
        </m:r>
        <m:r>
          <m:t>25</m:t>
        </m:r>
        <m:r>
          <m:rPr>
            <m:sty m:val="p"/>
          </m:rPr>
          <m:t>×</m:t>
        </m:r>
        <m:r>
          <m:t>0</m:t>
        </m:r>
        <m:r>
          <m:rPr>
            <m:sty m:val="p"/>
          </m:rPr>
          <m:t>,</m:t>
        </m:r>
        <m:r>
          <m:t>9</m:t>
        </m:r>
        <m:r>
          <m:rPr>
            <m:sty m:val="p"/>
          </m:rPr>
          <m:t>−</m:t>
        </m:r>
        <m:r>
          <m:t>p</m:t>
        </m:r>
        <m:r>
          <m:rPr>
            <m:sty m:val="p"/>
          </m:rPr>
          <m:t>=</m:t>
        </m:r>
        <m:r>
          <m:t>22</m:t>
        </m:r>
        <m:r>
          <m:rPr>
            <m:sty m:val="p"/>
          </m:rPr>
          <m:t>,</m:t>
        </m:r>
        <m:r>
          <m:t>5</m:t>
        </m:r>
        <m:r>
          <m:rPr>
            <m:sty m:val="p"/>
          </m:rPr>
          <m:t>−</m:t>
        </m:r>
        <m:r>
          <m:t>p</m:t>
        </m:r>
      </m:oMath>
      <w:r>
        <w:t xml:space="preserve">. Se cobra</w:t>
      </w:r>
      <w:r>
        <w:t xml:space="preserve"> </w:t>
      </w:r>
      <m:oMath>
        <m:r>
          <m:t>p</m:t>
        </m:r>
        <m:r>
          <m:rPr>
            <m:sty m:val="p"/>
          </m:rPr>
          <m:t>=</m:t>
        </m:r>
        <m:r>
          <m:t>22</m:t>
        </m:r>
        <m:r>
          <m:rPr>
            <m:sty m:val="p"/>
          </m:rPr>
          <m:t>,</m:t>
        </m:r>
        <m:r>
          <m:t>5</m:t>
        </m:r>
      </m:oMath>
      <w:r>
        <w:t xml:space="preserve">: vende para ambos,</w:t>
      </w:r>
      <w:r>
        <w:t xml:space="preserve"> </w:t>
      </w:r>
      <m:oMath>
        <m:r>
          <m:t>π</m:t>
        </m:r>
        <m:r>
          <m:rPr>
            <m:sty m:val="p"/>
          </m:rPr>
          <m:t>=</m:t>
        </m:r>
        <m:r>
          <m:t>22</m:t>
        </m:r>
        <m:r>
          <m:rPr>
            <m:sty m:val="p"/>
          </m:rPr>
          <m:t>,</m:t>
        </m:r>
        <m:r>
          <m:t>5</m:t>
        </m:r>
        <m:r>
          <m:rPr>
            <m:sty m:val="p"/>
          </m:rPr>
          <m:t>×</m:t>
        </m:r>
        <m:r>
          <m:t>2</m:t>
        </m:r>
        <m:r>
          <m:rPr>
            <m:sty m:val="p"/>
          </m:rPr>
          <m:t>=</m:t>
        </m:r>
        <m:r>
          <m:t>45</m:t>
        </m:r>
      </m:oMath>
      <w:r>
        <w:t xml:space="preserve">. Se cobra</w:t>
      </w:r>
      <w:r>
        <w:t xml:space="preserve"> </w:t>
      </w:r>
      <m:oMath>
        <m:r>
          <m:t>p</m:t>
        </m:r>
        <m:r>
          <m:rPr>
            <m:sty m:val="p"/>
          </m:rPr>
          <m:t>=</m:t>
        </m:r>
        <m:r>
          <m:t>54</m:t>
        </m:r>
      </m:oMath>
      <w:r>
        <w:t xml:space="preserve">: vende só para</w:t>
      </w:r>
      <w:r>
        <w:t xml:space="preserve"> </w:t>
      </w:r>
      <m:oMath>
        <m:sSub>
          <m:e>
            <m:r>
              <m:t>θ</m:t>
            </m:r>
          </m:e>
          <m:sub>
            <m:r>
              <m:t>H</m:t>
            </m:r>
          </m:sub>
        </m:sSub>
      </m:oMath>
      <w:r>
        <w:t xml:space="preserve">,</w:t>
      </w:r>
      <w:r>
        <w:t xml:space="preserve"> </w:t>
      </w:r>
      <m:oMath>
        <m:r>
          <m:t>π</m:t>
        </m:r>
        <m:r>
          <m:rPr>
            <m:sty m:val="p"/>
          </m:rPr>
          <m:t>=</m:t>
        </m:r>
        <m:r>
          <m:t>54</m:t>
        </m:r>
      </m:oMath>
      <w:r>
        <w:t xml:space="preserve">.</w:t>
      </w:r>
      <w:r>
        <w:t xml:space="preserve"> </w:t>
      </w:r>
      <w:r>
        <w:rPr>
          <w:b/>
          <w:bCs/>
        </w:rPr>
        <w:t xml:space="preserve">Preço ótimo:</w:t>
      </w:r>
      <w:r>
        <w:rPr>
          <w:b/>
          <w:bCs/>
        </w:rPr>
        <w:t xml:space="preserve"> </w:t>
      </w:r>
      <m:oMath>
        <m:sSup>
          <m:e>
            <m:r>
              <m:t>p</m:t>
            </m:r>
          </m:e>
          <m:sup>
            <m:r>
              <m:rPr>
                <m:sty m:val="p"/>
              </m:rPr>
              <m:t>*</m:t>
            </m:r>
          </m:sup>
        </m:sSup>
        <m:r>
          <m:rPr>
            <m:sty m:val="p"/>
          </m:rPr>
          <m:t>=</m:t>
        </m:r>
        <m:r>
          <m:t>54</m:t>
        </m:r>
      </m:oMath>
      <w:r>
        <w:t xml:space="preserve">. Mas note: se a personalização permite cobrar preços diferentes (ou oferecer planos com qualidade de recomendação diferente), a plataforma pode extrair</w:t>
      </w:r>
      <w:r>
        <w:t xml:space="preserve"> </w:t>
      </w:r>
      <m:oMath>
        <m:r>
          <m:t>54</m:t>
        </m:r>
        <m:r>
          <m:rPr>
            <m:sty m:val="p"/>
          </m:rPr>
          <m:t>+</m:t>
        </m:r>
        <m:r>
          <m:t>22</m:t>
        </m:r>
        <m:r>
          <m:rPr>
            <m:sty m:val="p"/>
          </m:rPr>
          <m:t>,</m:t>
        </m:r>
        <m:r>
          <m:t>5</m:t>
        </m:r>
        <m:r>
          <m:rPr>
            <m:sty m:val="p"/>
          </m:rPr>
          <m:t>=</m:t>
        </m:r>
        <m:r>
          <m:t>76</m:t>
        </m:r>
        <m:r>
          <m:rPr>
            <m:sty m:val="p"/>
          </m:rPr>
          <m:t>,</m:t>
        </m:r>
        <m:r>
          <m:t>5</m:t>
        </m:r>
      </m:oMath>
      <w:r>
        <w:t xml:space="preserve">.</w:t>
      </w:r>
    </w:p>
    <w:p>
      <w:pPr>
        <w:pStyle w:val="BlockText"/>
      </w:pPr>
      <w:r>
        <w:rPr>
          <w:b/>
          <w:bCs/>
        </w:rPr>
        <w:t xml:space="preserve">(c)</w:t>
      </w:r>
      <w:r>
        <w:t xml:space="preserve"> </w:t>
      </w:r>
      <w:r>
        <w:t xml:space="preserve">A personalização algorítmica funciona como</w:t>
      </w:r>
      <w:r>
        <w:t xml:space="preserve"> </w:t>
      </w:r>
      <w:r>
        <w:rPr>
          <w:b/>
          <w:bCs/>
        </w:rPr>
        <w:t xml:space="preserve">discriminação de preços de segundo grau</w:t>
      </w:r>
      <w:r>
        <w:t xml:space="preserve"> </w:t>
      </w:r>
      <w:r>
        <w:t xml:space="preserve">(versioning, Seção 15.7 (Cap. 15)): a plataforma oferece experiências de qualidade diferente (recomendações genéricas vs. personalizadas) e os consumidores se autosselecionam. Na prática, quando a personalização é igual para todos mas aumenta o valor percebido, ela</w:t>
      </w:r>
      <w:r>
        <w:t xml:space="preserve"> </w:t>
      </w:r>
      <w:r>
        <w:rPr>
          <w:b/>
          <w:bCs/>
        </w:rPr>
        <w:t xml:space="preserve">eleva a disposição a pagar média</w:t>
      </w:r>
      <w:r>
        <w:t xml:space="preserve">, permitindo preços maiores — uma forma indireta de aproximação à discriminação de primeiro grau.</w:t>
      </w:r>
    </w:p>
    <w:p>
      <w:pPr>
        <w:pStyle w:val="BlockText"/>
      </w:pPr>
      <w:r>
        <w:rPr>
          <w:b/>
          <w:bCs/>
        </w:rPr>
        <w:t xml:space="preserve">[EXEMPLO] Exercício Resolvido 21.8 — Modelo de negócios Nubank vs. bancões</w:t>
      </w:r>
    </w:p>
    <w:p>
      <w:pPr>
        <w:pStyle w:val="BlockText"/>
      </w:pPr>
      <w:r>
        <w:rPr>
          <w:b/>
          <w:bCs/>
        </w:rPr>
        <w:t xml:space="preserve">Enunciado.</w:t>
      </w:r>
      <w:r>
        <w:t xml:space="preserve"> </w:t>
      </w:r>
      <w:r>
        <w:t xml:space="preserve">O Nubank opera como plataforma bilateral: conecta depositantes (lado 1) a tomadores de crédito (lado 2). Compare o modelo com o de um banco tradicional, sabendo que:</w:t>
      </w:r>
    </w:p>
    <w:p>
      <w:pPr>
        <w:pStyle w:val="Compact"/>
        <w:numPr>
          <w:ilvl w:val="0"/>
          <w:numId w:val="2142"/>
        </w:numPr>
      </w:pPr>
      <w:r>
        <w:t xml:space="preserve">Nubank: custo fixo de plataforma</w:t>
      </w:r>
      <w:r>
        <w:t xml:space="preserve"> </w:t>
      </w:r>
      <m:oMath>
        <m:r>
          <m:t>F</m:t>
        </m:r>
        <m:r>
          <m:rPr>
            <m:sty m:val="p"/>
          </m:rPr>
          <m:t>=</m:t>
        </m:r>
        <m:r>
          <m:t>500</m:t>
        </m:r>
      </m:oMath>
      <w:r>
        <w:t xml:space="preserve"> </w:t>
      </w:r>
      <w:r>
        <w:t xml:space="preserve">milhões; custo marginal por cliente</w:t>
      </w:r>
      <w:r>
        <w:t xml:space="preserve"> </w:t>
      </w:r>
      <m:oMath>
        <m:r>
          <m:t>c</m:t>
        </m:r>
        <m:r>
          <m:rPr>
            <m:sty m:val="p"/>
          </m:rPr>
          <m:t>=</m:t>
        </m:r>
        <m:r>
          <m:t>5</m:t>
        </m:r>
      </m:oMath>
      <w:r>
        <w:t xml:space="preserve">; sem agências; efeito de rede indireto</w:t>
      </w:r>
      <w:r>
        <w:t xml:space="preserve"> </w:t>
      </w:r>
      <m:oMath>
        <m:r>
          <m:t>α</m:t>
        </m:r>
        <m:r>
          <m:rPr>
            <m:sty m:val="p"/>
          </m:rPr>
          <m:t>=</m:t>
        </m:r>
        <m:r>
          <m:t>0</m:t>
        </m:r>
        <m:r>
          <m:rPr>
            <m:sty m:val="p"/>
          </m:rPr>
          <m:t>,</m:t>
        </m:r>
        <m:r>
          <m:t>2</m:t>
        </m:r>
      </m:oMath>
      <w:r>
        <w:t xml:space="preserve"> </w:t>
      </w:r>
      <w:r>
        <w:t xml:space="preserve">(mais clientes → mais dados → melhor</w:t>
      </w:r>
      <w:r>
        <w:t xml:space="preserve"> </w:t>
      </w:r>
      <w:r>
        <w:rPr>
          <w:i/>
          <w:iCs/>
        </w:rPr>
        <w:t xml:space="preserve">credit scoring</w:t>
      </w:r>
      <w:r>
        <w:t xml:space="preserve"> </w:t>
      </w:r>
      <w:r>
        <w:t xml:space="preserve">→ menores spreads → mais clientes).</w:t>
      </w:r>
    </w:p>
    <w:p>
      <w:pPr>
        <w:pStyle w:val="Compact"/>
        <w:numPr>
          <w:ilvl w:val="0"/>
          <w:numId w:val="2142"/>
        </w:numPr>
      </w:pPr>
      <w:r>
        <w:t xml:space="preserve">Banco tradicional: custo fixo</w:t>
      </w:r>
      <w:r>
        <w:t xml:space="preserve"> </w:t>
      </w:r>
      <m:oMath>
        <m:r>
          <m:t>F</m:t>
        </m:r>
        <m:r>
          <m:rPr>
            <m:sty m:val="p"/>
          </m:rPr>
          <m:t>=</m:t>
        </m:r>
        <m:r>
          <m:t>5.000</m:t>
        </m:r>
      </m:oMath>
      <w:r>
        <w:t xml:space="preserve"> </w:t>
      </w:r>
      <w:r>
        <w:t xml:space="preserve">milhões (agências); custo marginal por cliente</w:t>
      </w:r>
      <w:r>
        <w:t xml:space="preserve"> </w:t>
      </w:r>
      <m:oMath>
        <m:r>
          <m:t>c</m:t>
        </m:r>
        <m:r>
          <m:rPr>
            <m:sty m:val="p"/>
          </m:rPr>
          <m:t>=</m:t>
        </m:r>
        <m:r>
          <m:t>50</m:t>
        </m:r>
      </m:oMath>
      <w:r>
        <w:t xml:space="preserve"> </w:t>
      </w:r>
      <w:r>
        <w:t xml:space="preserve">(atendimento presencial); sem efeito de rede significativo.</w:t>
      </w:r>
    </w:p>
    <w:p>
      <w:pPr>
        <w:pStyle w:val="BlockText"/>
        <w:numPr>
          <w:ilvl w:val="0"/>
          <w:numId w:val="2143"/>
        </w:numPr>
      </w:pPr>
      <w:r>
        <w:t xml:space="preserve">Compare o custo médio para 10 milhões e 100 milhões de clientes.</w:t>
      </w:r>
    </w:p>
    <w:p>
      <w:pPr>
        <w:pStyle w:val="BlockText"/>
        <w:numPr>
          <w:ilvl w:val="0"/>
          <w:numId w:val="2143"/>
        </w:numPr>
      </w:pPr>
      <w:r>
        <w:t xml:space="preserve">Por que o Nubank pode oferecer conta gratuita enquanto bancos tradicionais cobram tarifas?</w:t>
      </w:r>
    </w:p>
    <w:p>
      <w:pPr>
        <w:pStyle w:val="BlockText"/>
      </w:pPr>
      <w:r>
        <w:rPr>
          <w:b/>
          <w:bCs/>
        </w:rPr>
        <w:t xml:space="preserve">Solução.</w:t>
      </w:r>
    </w:p>
    <w:p>
      <w:pPr>
        <w:pStyle w:val="BlockText"/>
      </w:pPr>
      <w:r>
        <w:rPr>
          <w:b/>
          <w:bCs/>
        </w:rPr>
        <w:t xml:space="preserve">(a)</w:t>
      </w:r>
      <w:r>
        <w:t xml:space="preserve"> </w:t>
      </w:r>
      <w:r>
        <w:t xml:space="preserve">Custo médio =</w:t>
      </w:r>
      <w:r>
        <w:t xml:space="preserve"> </w:t>
      </w:r>
      <m:oMath>
        <m:r>
          <m:t>F</m:t>
        </m:r>
        <m:r>
          <m:rPr>
            <m:sty m:val="p"/>
          </m:rPr>
          <m:t>/</m:t>
        </m:r>
        <m:r>
          <m:t>n</m:t>
        </m:r>
        <m:r>
          <m:rPr>
            <m:sty m:val="p"/>
          </m:rPr>
          <m:t>+</m:t>
        </m:r>
        <m:r>
          <m:t>c</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10 milhões</w:t>
            </w:r>
          </w:p>
        </w:tc>
        <w:tc>
          <w:tcPr/>
          <w:p>
            <w:pPr>
              <w:pStyle w:val="Compact"/>
              <w:jc w:val="center"/>
            </w:pPr>
            <w:r>
              <w:t xml:space="preserve">100 milhões</w:t>
            </w:r>
          </w:p>
        </w:tc>
      </w:tr>
      <w:tr>
        <w:tc>
          <w:tcPr/>
          <w:p>
            <w:pPr>
              <w:pStyle w:val="Compact"/>
              <w:jc w:val="left"/>
            </w:pPr>
            <w:r>
              <w:t xml:space="preserve">Nubank</w:t>
            </w:r>
          </w:p>
        </w:tc>
        <w:tc>
          <w:tcPr/>
          <w:p>
            <w:pPr>
              <w:pStyle w:val="Compact"/>
              <w:jc w:val="center"/>
            </w:pPr>
            <m:oMath>
              <m:r>
                <m:t>500</m:t>
              </m:r>
              <m:r>
                <m:rPr>
                  <m:sty m:val="p"/>
                </m:rPr>
                <m:t>/</m:t>
              </m:r>
              <m:r>
                <m:t>10</m:t>
              </m:r>
              <m:r>
                <m:rPr>
                  <m:sty m:val="p"/>
                </m:rPr>
                <m:t>+</m:t>
              </m:r>
              <m:r>
                <m:t>5</m:t>
              </m:r>
              <m:r>
                <m:rPr>
                  <m:sty m:val="p"/>
                </m:rPr>
                <m:t>=</m:t>
              </m:r>
              <m:r>
                <m:t>55</m:t>
              </m:r>
            </m:oMath>
          </w:p>
        </w:tc>
        <w:tc>
          <w:tcPr/>
          <w:p>
            <w:pPr>
              <w:pStyle w:val="Compact"/>
              <w:jc w:val="center"/>
            </w:pPr>
            <m:oMath>
              <m:r>
                <m:t>500</m:t>
              </m:r>
              <m:r>
                <m:rPr>
                  <m:sty m:val="p"/>
                </m:rPr>
                <m:t>/</m:t>
              </m:r>
              <m:r>
                <m:t>100</m:t>
              </m:r>
              <m:r>
                <m:rPr>
                  <m:sty m:val="p"/>
                </m:rPr>
                <m:t>+</m:t>
              </m:r>
              <m:r>
                <m:t>5</m:t>
              </m:r>
              <m:r>
                <m:rPr>
                  <m:sty m:val="p"/>
                </m:rPr>
                <m:t>=</m:t>
              </m:r>
              <m:r>
                <m:t>10</m:t>
              </m:r>
            </m:oMath>
          </w:p>
        </w:tc>
      </w:tr>
      <w:tr>
        <w:tc>
          <w:tcPr/>
          <w:p>
            <w:pPr>
              <w:pStyle w:val="Compact"/>
              <w:jc w:val="left"/>
            </w:pPr>
            <w:r>
              <w:t xml:space="preserve">Tradicional</w:t>
            </w:r>
          </w:p>
        </w:tc>
        <w:tc>
          <w:tcPr/>
          <w:p>
            <w:pPr>
              <w:pStyle w:val="Compact"/>
              <w:jc w:val="center"/>
            </w:pPr>
            <m:oMath>
              <m:r>
                <m:t>5.000</m:t>
              </m:r>
              <m:r>
                <m:rPr>
                  <m:sty m:val="p"/>
                </m:rPr>
                <m:t>/</m:t>
              </m:r>
              <m:r>
                <m:t>10</m:t>
              </m:r>
              <m:r>
                <m:rPr>
                  <m:sty m:val="p"/>
                </m:rPr>
                <m:t>+</m:t>
              </m:r>
              <m:r>
                <m:t>50</m:t>
              </m:r>
              <m:r>
                <m:rPr>
                  <m:sty m:val="p"/>
                </m:rPr>
                <m:t>=</m:t>
              </m:r>
              <m:r>
                <m:t>550</m:t>
              </m:r>
            </m:oMath>
          </w:p>
        </w:tc>
        <w:tc>
          <w:tcPr/>
          <w:p>
            <w:pPr>
              <w:pStyle w:val="Compact"/>
              <w:jc w:val="center"/>
            </w:pPr>
            <m:oMath>
              <m:r>
                <m:t>5.000</m:t>
              </m:r>
              <m:r>
                <m:rPr>
                  <m:sty m:val="p"/>
                </m:rPr>
                <m:t>/</m:t>
              </m:r>
              <m:r>
                <m:t>100</m:t>
              </m:r>
              <m:r>
                <m:rPr>
                  <m:sty m:val="p"/>
                </m:rPr>
                <m:t>+</m:t>
              </m:r>
              <m:r>
                <m:t>50</m:t>
              </m:r>
              <m:r>
                <m:rPr>
                  <m:sty m:val="p"/>
                </m:rPr>
                <m:t>=</m:t>
              </m:r>
              <m:r>
                <m:t>100</m:t>
              </m:r>
            </m:oMath>
          </w:p>
        </w:tc>
      </w:tr>
    </w:tbl>
    <w:p>
      <w:pPr>
        <w:pStyle w:val="BlockText"/>
      </w:pPr>
      <w:r>
        <w:t xml:space="preserve">A 100 milhões de clientes, o Nubank tem CMe 10× menor.</w:t>
      </w:r>
    </w:p>
    <w:p>
      <w:pPr>
        <w:pStyle w:val="BlockText"/>
      </w:pPr>
      <w:r>
        <w:rPr>
          <w:b/>
          <w:bCs/>
        </w:rPr>
        <w:t xml:space="preserve">(b)</w:t>
      </w:r>
      <w:r>
        <w:t xml:space="preserve"> </w:t>
      </w:r>
      <w:r>
        <w:t xml:space="preserve">O Nubank segue a lógica de plataforma bilateral com subsídio cruzado (Seção 21.3.3). A conta gratuita é o lado subsidiado — atrai depositantes cuja presença gera dados e funding para o lado pagante (crédito, onde as margens são altas). O efeito de rede indireto (</w:t>
      </w:r>
      <m:oMath>
        <m:r>
          <m:t>α</m:t>
        </m:r>
        <m:r>
          <m:rPr>
            <m:sty m:val="p"/>
          </m:rPr>
          <m:t>=</m:t>
        </m:r>
        <m:r>
          <m:t>0</m:t>
        </m:r>
        <m:r>
          <m:rPr>
            <m:sty m:val="p"/>
          </m:rPr>
          <m:t>,</m:t>
        </m:r>
        <m:r>
          <m:t>2</m:t>
        </m:r>
      </m:oMath>
      <w:r>
        <w:t xml:space="preserve">) cria um ciclo virtuoso: mais clientes → melhor</w:t>
      </w:r>
      <w:r>
        <w:t xml:space="preserve"> </w:t>
      </w:r>
      <w:r>
        <w:rPr>
          <w:i/>
          <w:iCs/>
        </w:rPr>
        <w:t xml:space="preserve">scoring</w:t>
      </w:r>
      <w:r>
        <w:t xml:space="preserve"> </w:t>
      </w:r>
      <w:r>
        <w:t xml:space="preserve">→ menor inadimplência → menores taxas → mais clientes. Bancos tradicionais, sem esse efeito de rede e com custos fixos estruturais (agências), precisam cobrar tarifas para cobrir</w:t>
      </w:r>
      <w:r>
        <w:t xml:space="preserve"> </w:t>
      </w:r>
      <m:oMath>
        <m:r>
          <m:t>c</m:t>
        </m:r>
        <m:r>
          <m:rPr>
            <m:sty m:val="p"/>
          </m:rPr>
          <m:t>=</m:t>
        </m:r>
        <m:r>
          <m:t>50</m:t>
        </m:r>
      </m:oMath>
      <w:r>
        <w:t xml:space="preserve"> </w:t>
      </w:r>
      <w:r>
        <w:t xml:space="preserve">por cliente.</w:t>
      </w:r>
    </w:p>
    <w:p>
      <w:pPr>
        <w:pStyle w:val="BlockText"/>
      </w:pPr>
      <w:r>
        <w:rPr>
          <w:b/>
          <w:bCs/>
        </w:rPr>
        <w:t xml:space="preserve">[R-INTERACTIVE] R Interativo — Simulação de Efeitos de Rede e Massa Crítica</w:t>
      </w:r>
    </w:p>
    <w:p>
      <w:pPr>
        <w:pStyle w:val="SourceCode"/>
      </w:pPr>
      <w:r>
        <w:rPr>
          <w:rStyle w:val="CommentTok"/>
        </w:rPr>
        <w:t xml:space="preserve"># Simulação de adoção com efeitos de rede</w:t>
      </w:r>
      <w:r>
        <w:br/>
      </w:r>
      <w:r>
        <w:rPr>
          <w:rStyle w:val="CommentTok"/>
        </w:rPr>
        <w:t xml:space="preserve"># Modelo: u_i = v_i + alpha * n - p</w:t>
      </w:r>
      <w:r>
        <w:br/>
      </w:r>
      <w:r>
        <w:rPr>
          <w:rStyle w:val="CommentTok"/>
        </w:rPr>
        <w:t xml:space="preserve"># v_i ~ Uniforme[0, v_max]</w:t>
      </w:r>
      <w:r>
        <w:br/>
      </w:r>
      <w:r>
        <w:br/>
      </w:r>
      <w:r>
        <w:rPr>
          <w:rStyle w:val="CommentTok"/>
        </w:rPr>
        <w:t xml:space="preserve"># Parâmetros (altere para explorar)</w:t>
      </w:r>
      <w:r>
        <w:br/>
      </w:r>
      <w:r>
        <w:rPr>
          <w:rStyle w:val="NormalTok"/>
        </w:rPr>
        <w:t xml:space="preserve">v_max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valor intrínseco máximo</w:t>
      </w:r>
      <w:r>
        <w:br/>
      </w:r>
      <w:r>
        <w:rPr>
          <w:rStyle w:val="NormalTok"/>
        </w:rPr>
        <w:t xml:space="preserve">alpha  </w:t>
      </w:r>
      <w:r>
        <w:rPr>
          <w:rStyle w:val="OtherTok"/>
        </w:rPr>
        <w:t xml:space="preserve">&lt;-</w:t>
      </w:r>
      <w:r>
        <w:rPr>
          <w:rStyle w:val="NormalTok"/>
        </w:rPr>
        <w:t xml:space="preserve"> </w:t>
      </w:r>
      <w:r>
        <w:rPr>
          <w:rStyle w:val="FloatTok"/>
        </w:rPr>
        <w:t xml:space="preserve">0.08</w:t>
      </w:r>
      <w:r>
        <w:rPr>
          <w:rStyle w:val="NormalTok"/>
        </w:rPr>
        <w:t xml:space="preserve">  </w:t>
      </w:r>
      <w:r>
        <w:rPr>
          <w:rStyle w:val="CommentTok"/>
        </w:rPr>
        <w:t xml:space="preserve"># força do efeito de rede</w:t>
      </w:r>
      <w:r>
        <w:br/>
      </w:r>
      <w:r>
        <w:rPr>
          <w:rStyle w:val="NormalTok"/>
        </w:rPr>
        <w:t xml:space="preserve">p      </w:t>
      </w:r>
      <w:r>
        <w:rPr>
          <w:rStyle w:val="OtherTok"/>
        </w:rPr>
        <w:t xml:space="preserve">&lt;-</w:t>
      </w:r>
      <w:r>
        <w:rPr>
          <w:rStyle w:val="NormalTok"/>
        </w:rPr>
        <w:t xml:space="preserve"> </w:t>
      </w:r>
      <w:r>
        <w:rPr>
          <w:rStyle w:val="DecValTok"/>
        </w:rPr>
        <w:t xml:space="preserve">4</w:t>
      </w:r>
      <w:r>
        <w:rPr>
          <w:rStyle w:val="NormalTok"/>
        </w:rPr>
        <w:t xml:space="preserve">     </w:t>
      </w:r>
      <w:r>
        <w:rPr>
          <w:rStyle w:val="CommentTok"/>
        </w:rPr>
        <w:t xml:space="preserve"># preço do produto</w:t>
      </w:r>
      <w:r>
        <w:br/>
      </w:r>
      <w:r>
        <w:rPr>
          <w:rStyle w:val="NormalTok"/>
        </w:rPr>
        <w:t xml:space="preserve">N      </w:t>
      </w:r>
      <w:r>
        <w:rPr>
          <w:rStyle w:val="OtherTok"/>
        </w:rPr>
        <w:t xml:space="preserve">&lt;-</w:t>
      </w:r>
      <w:r>
        <w:rPr>
          <w:rStyle w:val="NormalTok"/>
        </w:rPr>
        <w:t xml:space="preserve"> </w:t>
      </w:r>
      <w:r>
        <w:rPr>
          <w:rStyle w:val="DecValTok"/>
        </w:rPr>
        <w:t xml:space="preserve">1000</w:t>
      </w:r>
      <w:r>
        <w:rPr>
          <w:rStyle w:val="NormalTok"/>
        </w:rPr>
        <w:t xml:space="preserve">  </w:t>
      </w:r>
      <w:r>
        <w:rPr>
          <w:rStyle w:val="CommentTok"/>
        </w:rPr>
        <w:t xml:space="preserve"># população total</w:t>
      </w:r>
      <w:r>
        <w:br/>
      </w:r>
      <w:r>
        <w:br/>
      </w:r>
      <w:r>
        <w:rPr>
          <w:rStyle w:val="CommentTok"/>
        </w:rPr>
        <w:t xml:space="preserve"># Função de equilíbrio: encontra n* tal que v* + alpha*n* = p</w:t>
      </w:r>
      <w:r>
        <w:br/>
      </w:r>
      <w:r>
        <w:rPr>
          <w:rStyle w:val="CommentTok"/>
        </w:rPr>
        <w:t xml:space="preserve"># onde n* = N * (1 - v*/v_max)</w:t>
      </w:r>
      <w:r>
        <w:br/>
      </w:r>
      <w:r>
        <w:rPr>
          <w:rStyle w:val="CommentTok"/>
        </w:rPr>
        <w:t xml:space="preserve"># Substituindo: v* = p - alpha * N * (1 - v*/v_max)</w:t>
      </w:r>
      <w:r>
        <w:br/>
      </w:r>
      <w:r>
        <w:rPr>
          <w:rStyle w:val="NormalTok"/>
        </w:rPr>
        <w:t xml:space="preserve">find_equilibria </w:t>
      </w:r>
      <w:r>
        <w:rPr>
          <w:rStyle w:val="OtherTok"/>
        </w:rPr>
        <w:t xml:space="preserve">&lt;-</w:t>
      </w:r>
      <w:r>
        <w:rPr>
          <w:rStyle w:val="NormalTok"/>
        </w:rPr>
        <w:t xml:space="preserve"> </w:t>
      </w:r>
      <w:r>
        <w:rPr>
          <w:rStyle w:val="ControlFlowTok"/>
        </w:rPr>
        <w:t xml:space="preserve">function</w:t>
      </w:r>
      <w:r>
        <w:rPr>
          <w:rStyle w:val="NormalTok"/>
        </w:rPr>
        <w:t xml:space="preserve">(v_max, alpha, p, N) {</w:t>
      </w:r>
      <w:r>
        <w:br/>
      </w:r>
      <w:r>
        <w:rPr>
          <w:rStyle w:val="NormalTok"/>
        </w:rPr>
        <w:t xml:space="preserve">  v_star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v_max, </w:t>
      </w:r>
      <w:r>
        <w:rPr>
          <w:rStyle w:val="AttributeTok"/>
        </w:rPr>
        <w:t xml:space="preserve">length.out =</w:t>
      </w:r>
      <w:r>
        <w:rPr>
          <w:rStyle w:val="NormalTok"/>
        </w:rPr>
        <w:t xml:space="preserve"> </w:t>
      </w:r>
      <w:r>
        <w:rPr>
          <w:rStyle w:val="DecValTok"/>
        </w:rPr>
        <w:t xml:space="preserve">1000</w:t>
      </w:r>
      <w:r>
        <w:rPr>
          <w:rStyle w:val="NormalTok"/>
        </w:rPr>
        <w:t xml:space="preserve">)</w:t>
      </w:r>
      <w:r>
        <w:br/>
      </w:r>
      <w:r>
        <w:rPr>
          <w:rStyle w:val="NormalTok"/>
        </w:rPr>
        <w:t xml:space="preserve">  n_star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v_star </w:t>
      </w:r>
      <w:r>
        <w:rPr>
          <w:rStyle w:val="SpecialCharTok"/>
        </w:rPr>
        <w:t xml:space="preserve">/</w:t>
      </w:r>
      <w:r>
        <w:rPr>
          <w:rStyle w:val="NormalTok"/>
        </w:rPr>
        <w:t xml:space="preserve"> v_max)</w:t>
      </w:r>
      <w:r>
        <w:br/>
      </w:r>
      <w:r>
        <w:rPr>
          <w:rStyle w:val="NormalTok"/>
        </w:rPr>
        <w:t xml:space="preserve">  lhs </w:t>
      </w:r>
      <w:r>
        <w:rPr>
          <w:rStyle w:val="OtherTok"/>
        </w:rPr>
        <w:t xml:space="preserve">&lt;-</w:t>
      </w:r>
      <w:r>
        <w:rPr>
          <w:rStyle w:val="NormalTok"/>
        </w:rPr>
        <w:t xml:space="preserve"> v_star </w:t>
      </w:r>
      <w:r>
        <w:rPr>
          <w:rStyle w:val="SpecialCharTok"/>
        </w:rPr>
        <w:t xml:space="preserve">+</w:t>
      </w:r>
      <w:r>
        <w:rPr>
          <w:rStyle w:val="NormalTok"/>
        </w:rPr>
        <w:t xml:space="preserve"> alpha </w:t>
      </w:r>
      <w:r>
        <w:rPr>
          <w:rStyle w:val="SpecialCharTok"/>
        </w:rPr>
        <w:t xml:space="preserve">*</w:t>
      </w:r>
      <w:r>
        <w:rPr>
          <w:rStyle w:val="NormalTok"/>
        </w:rPr>
        <w:t xml:space="preserve"> n_star  </w:t>
      </w:r>
      <w:r>
        <w:rPr>
          <w:rStyle w:val="CommentTok"/>
        </w:rPr>
        <w:t xml:space="preserve"># benefício do agente marginal</w:t>
      </w:r>
      <w:r>
        <w:br/>
      </w:r>
      <w:r>
        <w:rPr>
          <w:rStyle w:val="NormalTok"/>
        </w:rPr>
        <w:t xml:space="preserve">  rhs </w:t>
      </w:r>
      <w:r>
        <w:rPr>
          <w:rStyle w:val="OtherTok"/>
        </w:rPr>
        <w:t xml:space="preserve">&lt;-</w:t>
      </w:r>
      <w:r>
        <w:rPr>
          <w:rStyle w:val="NormalTok"/>
        </w:rPr>
        <w:t xml:space="preserve"> </w:t>
      </w:r>
      <w:r>
        <w:rPr>
          <w:rStyle w:val="FunctionTok"/>
        </w:rPr>
        <w:t xml:space="preserve">rep</w:t>
      </w:r>
      <w:r>
        <w:rPr>
          <w:rStyle w:val="NormalTok"/>
        </w:rPr>
        <w:t xml:space="preserve">(p, </w:t>
      </w:r>
      <w:r>
        <w:rPr>
          <w:rStyle w:val="FunctionTok"/>
        </w:rPr>
        <w:t xml:space="preserve">length</w:t>
      </w:r>
      <w:r>
        <w:rPr>
          <w:rStyle w:val="NormalTok"/>
        </w:rPr>
        <w:t xml:space="preserve">(v_star))   </w:t>
      </w:r>
      <w:r>
        <w:rPr>
          <w:rStyle w:val="CommentTok"/>
        </w:rPr>
        <w:t xml:space="preserve"># preço</w:t>
      </w:r>
      <w:r>
        <w:br/>
      </w:r>
      <w:r>
        <w:br/>
      </w:r>
      <w:r>
        <w:rPr>
          <w:rStyle w:val="NormalTok"/>
        </w:rPr>
        <w:t xml:space="preserve">  </w:t>
      </w:r>
      <w:r>
        <w:rPr>
          <w:rStyle w:val="CommentTok"/>
        </w:rPr>
        <w:t xml:space="preserve"># Plotar</w:t>
      </w:r>
      <w:r>
        <w:br/>
      </w:r>
      <w:r>
        <w:rPr>
          <w:rStyle w:val="NormalTok"/>
        </w:rPr>
        <w:t xml:space="preserve">  </w:t>
      </w:r>
      <w:r>
        <w:rPr>
          <w:rStyle w:val="FunctionTok"/>
        </w:rPr>
        <w:t xml:space="preserve">plot</w:t>
      </w:r>
      <w:r>
        <w:rPr>
          <w:rStyle w:val="NormalTok"/>
        </w:rPr>
        <w:t xml:space="preserve">(n_star, lhs,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"#2196F3"</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"Número de adotantes (n)"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"Benefício do agente marginal"</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"Efeitos de Rede: Equilíbrios de Adoção"</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N),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(lhs) </w:t>
      </w:r>
      <w:r>
        <w:rPr>
          <w:rStyle w:val="SpecialCha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h =</w:t>
      </w:r>
      <w:r>
        <w:rPr>
          <w:rStyle w:val="NormalTok"/>
        </w:rPr>
        <w:t xml:space="preserve"> p, </w:t>
      </w:r>
      <w:r>
        <w:rPr>
          <w:rStyle w:val="AttributeTok"/>
        </w:rPr>
        <w:t xml:space="preserve">col =</w:t>
      </w:r>
      <w:r>
        <w:rPr>
          <w:rStyle w:val="NormalTok"/>
        </w:rPr>
        <w:t xml:space="preserve"> </w:t>
      </w:r>
      <w:r>
        <w:rPr>
          <w:rStyle w:val="StringTok"/>
        </w:rPr>
        <w:t xml:space="preserve">"#F44336"</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text</w:t>
      </w:r>
      <w:r>
        <w:rPr>
          <w:rStyle w:val="NormalTok"/>
        </w:rPr>
        <w:t xml:space="preserve">(N </w:t>
      </w:r>
      <w:r>
        <w:rPr>
          <w:rStyle w:val="SpecialCharTok"/>
        </w:rPr>
        <w:t xml:space="preserve">*</w:t>
      </w:r>
      <w:r>
        <w:rPr>
          <w:rStyle w:val="NormalTok"/>
        </w:rPr>
        <w:t xml:space="preserve"> </w:t>
      </w:r>
      <w:r>
        <w:rPr>
          <w:rStyle w:val="FloatTok"/>
        </w:rPr>
        <w:t xml:space="preserve">0.85</w:t>
      </w:r>
      <w:r>
        <w:rPr>
          <w:rStyle w:val="NormalTok"/>
        </w:rPr>
        <w:t xml:space="preserve">, p </w:t>
      </w:r>
      <w:r>
        <w:rPr>
          <w:rStyle w:val="SpecialCharTok"/>
        </w:rPr>
        <w:t xml:space="preserve">+</w:t>
      </w:r>
      <w:r>
        <w:rPr>
          <w:rStyle w:val="NormalTok"/>
        </w:rPr>
        <w:t xml:space="preserve"> </w:t>
      </w:r>
      <w:r>
        <w:rPr>
          <w:rStyle w:val="FloatTok"/>
        </w:rPr>
        <w:t xml:space="preserve">0.3</w:t>
      </w:r>
      <w:r>
        <w:rPr>
          <w:rStyle w:val="NormalTok"/>
        </w:rPr>
        <w:t xml:space="preserve">, </w:t>
      </w:r>
      <w:r>
        <w:rPr>
          <w:rStyle w:val="FunctionTok"/>
        </w:rPr>
        <w:t xml:space="preserve">paste0</w:t>
      </w:r>
      <w:r>
        <w:rPr>
          <w:rStyle w:val="NormalTok"/>
        </w:rPr>
        <w:t xml:space="preserve">(</w:t>
      </w:r>
      <w:r>
        <w:rPr>
          <w:rStyle w:val="StringTok"/>
        </w:rPr>
        <w:t xml:space="preserve">"Preço = "</w:t>
      </w:r>
      <w:r>
        <w:rPr>
          <w:rStyle w:val="NormalTok"/>
        </w:rPr>
        <w:t xml:space="preserve">, p), </w:t>
      </w:r>
      <w:r>
        <w:rPr>
          <w:rStyle w:val="AttributeTok"/>
        </w:rPr>
        <w:t xml:space="preserve">col =</w:t>
      </w:r>
      <w:r>
        <w:rPr>
          <w:rStyle w:val="NormalTok"/>
        </w:rPr>
        <w:t xml:space="preserve"> </w:t>
      </w:r>
      <w:r>
        <w:rPr>
          <w:rStyle w:val="StringTok"/>
        </w:rPr>
        <w:t xml:space="preserve">"#F44336"</w:t>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w:t>
      </w:r>
      <w:r>
        <w:br/>
      </w:r>
      <w:r>
        <w:br/>
      </w:r>
      <w:r>
        <w:rPr>
          <w:rStyle w:val="NormalTok"/>
        </w:rPr>
        <w:t xml:space="preserve">  </w:t>
      </w:r>
      <w:r>
        <w:rPr>
          <w:rStyle w:val="CommentTok"/>
        </w:rPr>
        <w:t xml:space="preserve"># Encontrar interseções (equilíbrios)</w:t>
      </w:r>
      <w:r>
        <w:br/>
      </w:r>
      <w:r>
        <w:rPr>
          <w:rStyle w:val="NormalTok"/>
        </w:rPr>
        <w:t xml:space="preserve">  crossings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diff</w:t>
      </w:r>
      <w:r>
        <w:rPr>
          <w:rStyle w:val="NormalTok"/>
        </w:rPr>
        <w:t xml:space="preserve">(</w:t>
      </w:r>
      <w:r>
        <w:rPr>
          <w:rStyle w:val="FunctionTok"/>
        </w:rPr>
        <w:t xml:space="preserve">sign</w:t>
      </w:r>
      <w:r>
        <w:rPr>
          <w:rStyle w:val="NormalTok"/>
        </w:rPr>
        <w:t xml:space="preserve">(lhs </w:t>
      </w:r>
      <w:r>
        <w:rPr>
          <w:rStyle w:val="SpecialCharTok"/>
        </w:rPr>
        <w:t xml:space="preserve">-</w:t>
      </w:r>
      <w:r>
        <w:rPr>
          <w:rStyle w:val="NormalTok"/>
        </w:rPr>
        <w:t xml:space="preserve"> rhs))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(cr </w:t>
      </w:r>
      <w:r>
        <w:rPr>
          <w:rStyle w:val="ControlFlowTok"/>
        </w:rPr>
        <w:t xml:space="preserve">in</w:t>
      </w:r>
      <w:r>
        <w:rPr>
          <w:rStyle w:val="NormalTok"/>
        </w:rPr>
        <w:t xml:space="preserve"> crossings) {</w:t>
      </w:r>
      <w:r>
        <w:br/>
      </w:r>
      <w:r>
        <w:rPr>
          <w:rStyle w:val="NormalTok"/>
        </w:rPr>
        <w:t xml:space="preserve">    </w:t>
      </w:r>
      <w:r>
        <w:rPr>
          <w:rStyle w:val="FunctionTok"/>
        </w:rPr>
        <w:t xml:space="preserve">points</w:t>
      </w:r>
      <w:r>
        <w:rPr>
          <w:rStyle w:val="NormalTok"/>
        </w:rPr>
        <w:t xml:space="preserve">(n_star[cr], p,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"#4CAF50"</w:t>
      </w:r>
      <w:r>
        <w:rPr>
          <w:rStyle w:val="NormalTok"/>
        </w:rPr>
        <w:t xml:space="preserve">)</w:t>
      </w:r>
      <w:r>
        <w:br/>
      </w:r>
      <w:r>
        <w:rPr>
          <w:rStyle w:val="NormalTok"/>
        </w:rPr>
        <w:t xml:space="preserve">    </w:t>
      </w:r>
      <w:r>
        <w:rPr>
          <w:rStyle w:val="FunctionTok"/>
        </w:rPr>
        <w:t xml:space="preserve">text</w:t>
      </w:r>
      <w:r>
        <w:rPr>
          <w:rStyle w:val="NormalTok"/>
        </w:rPr>
        <w:t xml:space="preserve">(n_star[cr], p </w:t>
      </w:r>
      <w:r>
        <w:rPr>
          <w:rStyle w:val="SpecialCharTok"/>
        </w:rPr>
        <w:t xml:space="preserve">-</w:t>
      </w:r>
      <w:r>
        <w:rPr>
          <w:rStyle w:val="NormalTok"/>
        </w:rPr>
        <w:t xml:space="preserve"> </w:t>
      </w:r>
      <w:r>
        <w:rPr>
          <w:rStyle w:val="FloatTok"/>
        </w:rPr>
        <w:t xml:space="preserve">0.5</w:t>
      </w:r>
      <w:r>
        <w:rPr>
          <w:rStyle w:val="NormalTok"/>
        </w:rPr>
        <w:t xml:space="preserve">, </w:t>
      </w:r>
      <w:r>
        <w:rPr>
          <w:rStyle w:val="FunctionTok"/>
        </w:rPr>
        <w:t xml:space="preserve">paste0</w:t>
      </w:r>
      <w:r>
        <w:rPr>
          <w:rStyle w:val="NormalTok"/>
        </w:rPr>
        <w:t xml:space="preserve">(</w:t>
      </w:r>
      <w:r>
        <w:rPr>
          <w:rStyle w:val="StringTok"/>
        </w:rPr>
        <w:t xml:space="preserve">"n* = "</w:t>
      </w:r>
      <w:r>
        <w:rPr>
          <w:rStyle w:val="NormalTok"/>
        </w:rPr>
        <w:t xml:space="preserve">, </w:t>
      </w:r>
      <w:r>
        <w:rPr>
          <w:rStyle w:val="FunctionTok"/>
        </w:rPr>
        <w:t xml:space="preserve">round</w:t>
      </w:r>
      <w:r>
        <w:rPr>
          <w:rStyle w:val="NormalTok"/>
        </w:rPr>
        <w:t xml:space="preserve">(n_star[cr])),</w:t>
      </w:r>
      <w:r>
        <w:br/>
      </w:r>
      <w:r>
        <w:rPr>
          <w:rStyle w:val="NormalTok"/>
        </w:rPr>
        <w:t xml:space="preserve">         </w:t>
      </w:r>
      <w:r>
        <w:rPr>
          <w:rStyle w:val="AttributeTok"/>
        </w:rPr>
        <w:t xml:space="preserve">col =</w:t>
      </w:r>
      <w:r>
        <w:rPr>
          <w:rStyle w:val="NormalTok"/>
        </w:rPr>
        <w:t xml:space="preserve"> </w:t>
      </w:r>
      <w:r>
        <w:rPr>
          <w:rStyle w:val="StringTok"/>
        </w:rPr>
        <w:t xml:space="preserve">"#4CAF50"</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  }</w:t>
      </w:r>
      <w:r>
        <w:br/>
      </w:r>
      <w:r>
        <w:br/>
      </w:r>
      <w:r>
        <w:rPr>
          <w:rStyle w:val="NormalTok"/>
        </w:rPr>
        <w:t xml:space="preserve">  </w:t>
      </w:r>
      <w:r>
        <w:rPr>
          <w:rStyle w:val="FunctionTok"/>
        </w:rPr>
        <w:t xml:space="preserve">legend</w:t>
      </w:r>
      <w:r>
        <w:rPr>
          <w:rStyle w:val="NormalTok"/>
        </w:rPr>
        <w:t xml:space="preserve">(</w:t>
      </w:r>
      <w:r>
        <w:rPr>
          <w:rStyle w:val="StringTok"/>
        </w:rPr>
        <w:t xml:space="preserve">"topleft"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"Benefício marginal v* + α·n"</w:t>
      </w:r>
      <w:r>
        <w:rPr>
          <w:rStyle w:val="NormalTok"/>
        </w:rPr>
        <w:t xml:space="preserve">, </w:t>
      </w:r>
      <w:r>
        <w:rPr>
          <w:rStyle w:val="StringTok"/>
        </w:rPr>
        <w:t xml:space="preserve">"Preço p"</w:t>
      </w:r>
      <w:r>
        <w:rPr>
          <w:rStyle w:val="NormalTok"/>
        </w:rPr>
        <w:t xml:space="preserve">, </w:t>
      </w:r>
      <w:r>
        <w:rPr>
          <w:rStyle w:val="StringTok"/>
        </w:rPr>
        <w:t xml:space="preserve">"Equilíbrios"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"#2196F3"</w:t>
      </w:r>
      <w:r>
        <w:rPr>
          <w:rStyle w:val="NormalTok"/>
        </w:rPr>
        <w:t xml:space="preserve">, </w:t>
      </w:r>
      <w:r>
        <w:rPr>
          <w:rStyle w:val="StringTok"/>
        </w:rPr>
        <w:t xml:space="preserve">"#F44336"</w:t>
      </w:r>
      <w:r>
        <w:rPr>
          <w:rStyle w:val="NormalTok"/>
        </w:rPr>
        <w:t xml:space="preserve">, </w:t>
      </w:r>
      <w:r>
        <w:rPr>
          <w:rStyle w:val="StringTok"/>
        </w:rPr>
        <w:t xml:space="preserve">"#4CAF50"</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ConstantTok"/>
        </w:rPr>
        <w:t xml:space="preserve">NA</w:t>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ConstantTok"/>
        </w:rPr>
        <w:t xml:space="preserve">NA</w:t>
      </w:r>
      <w:r>
        <w:rPr>
          <w:rStyle w:val="NormalTok"/>
        </w:rPr>
        <w:t xml:space="preserve">, </w:t>
      </w:r>
      <w:r>
        <w:rPr>
          <w:rStyle w:val="DecValTok"/>
        </w:rPr>
        <w:t xml:space="preserve">19</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br/>
      </w:r>
      <w:r>
        <w:rPr>
          <w:rStyle w:val="NormalTok"/>
        </w:rPr>
        <w:t xml:space="preserve">  </w:t>
      </w:r>
      <w:r>
        <w:rPr>
          <w:rStyle w:val="FunctionTok"/>
        </w:rPr>
        <w:t xml:space="preserve">grid</w:t>
      </w:r>
      <w:r>
        <w:rPr>
          <w:rStyle w:val="NormalTok"/>
        </w:rPr>
        <w:t xml:space="preserve">(</w:t>
      </w:r>
      <w:r>
        <w:rPr>
          <w:rStyle w:val="AttributeTok"/>
        </w:rPr>
        <w:t xml:space="preserve">col =</w:t>
      </w:r>
      <w:r>
        <w:rPr>
          <w:rStyle w:val="NormalTok"/>
        </w:rPr>
        <w:t xml:space="preserve"> </w:t>
      </w:r>
      <w:r>
        <w:rPr>
          <w:rStyle w:val="StringTok"/>
        </w:rPr>
        <w:t xml:space="preserve">"gray90"</w:t>
      </w:r>
      <w:r>
        <w:rPr>
          <w:rStyle w:val="NormalTok"/>
        </w:rPr>
        <w:t xml:space="preserve">)</w:t>
      </w:r>
      <w:r>
        <w:br/>
      </w:r>
      <w:r>
        <w:rPr>
          <w:rStyle w:val="NormalTok"/>
        </w:rPr>
        <w:t xml:space="preserve">}</w:t>
      </w:r>
      <w:r>
        <w:br/>
      </w:r>
      <w:r>
        <w:br/>
      </w:r>
      <w:r>
        <w:rPr>
          <w:rStyle w:val="FunctionTok"/>
        </w:rPr>
        <w:t xml:space="preserve">find_equilibria</w:t>
      </w:r>
      <w:r>
        <w:rPr>
          <w:rStyle w:val="NormalTok"/>
        </w:rPr>
        <w:t xml:space="preserve">(v_max, alpha, p, N)</w:t>
      </w:r>
    </w:p>
    <w:p>
      <w:pPr>
        <w:pStyle w:val="BlockText"/>
      </w:pPr>
      <w:r>
        <w:rPr>
          <w:b/>
          <w:bCs/>
        </w:rPr>
        <w:t xml:space="preserve">Experimente:</w:t>
      </w:r>
      <w:r>
        <w:t xml:space="preserve"> </w:t>
      </w:r>
      <w:r>
        <w:t xml:space="preserve">Aumente</w:t>
      </w:r>
      <w:r>
        <w:t xml:space="preserve"> </w:t>
      </w:r>
      <w:r>
        <w:rPr>
          <w:rStyle w:val="VerbatimChar"/>
        </w:rPr>
        <w:t xml:space="preserve">alpha</w:t>
      </w:r>
      <w:r>
        <w:t xml:space="preserve"> </w:t>
      </w:r>
      <w:r>
        <w:t xml:space="preserve">de 0,08 para 0,15 e observe como a curva de benefício se inclina — a massa crítica diminui e o equilíbrio alto salta. Reduza</w:t>
      </w:r>
      <w:r>
        <w:t xml:space="preserve"> </w:t>
      </w:r>
      <w:r>
        <w:rPr>
          <w:rStyle w:val="VerbatimChar"/>
        </w:rPr>
        <w:t xml:space="preserve">p</w:t>
      </w:r>
      <w:r>
        <w:t xml:space="preserve"> </w:t>
      </w:r>
      <w:r>
        <w:t xml:space="preserve">de 4 para 2 e veja o equilíbrio baixo desaparecer: a estratégia de</w:t>
      </w:r>
      <w:r>
        <w:t xml:space="preserve"> </w:t>
      </w:r>
      <w:r>
        <w:t xml:space="preserve">“preço de penetração”</w:t>
      </w:r>
      <w:r>
        <w:t xml:space="preserve"> </w:t>
      </w:r>
      <w:r>
        <w:t xml:space="preserve">elimina a armadilha de baixa adoção.</w:t>
      </w:r>
    </w:p>
    <w:bookmarkEnd w:id="1304"/>
    <w:bookmarkEnd w:id="1305"/>
    <w:bookmarkEnd w:id="1306"/>
    <w:bookmarkStart w:id="1314" w:name="mercados-bilaterais-e-plataformas"/>
    <w:p>
      <w:pPr>
        <w:pStyle w:val="Heading2"/>
      </w:pPr>
      <w:r>
        <w:t xml:space="preserve">Mercados Bilaterais e Plataformas</w:t>
      </w:r>
    </w:p>
    <w:bookmarkStart w:id="1313" w:name="X9187dc98dce52fa4c4e8e05b341a9b77a51fd26"/>
    <w:p>
      <w:pPr>
        <w:pStyle w:val="Heading3"/>
      </w:pPr>
      <w:r>
        <w:t xml:space="preserve">21.3 O Shopping Center de Um Bilhão de Usuários: Mercados Bilaterais e Plataformas</w:t>
      </w:r>
    </w:p>
    <w:bookmarkStart w:id="1307" w:name="o-conceito-de-mercado-bilateral"/>
    <w:p>
      <w:pPr>
        <w:pStyle w:val="Heading4"/>
      </w:pPr>
      <w:r>
        <w:t xml:space="preserve">21.3.1 O conceito de mercado bilateral</w:t>
      </w:r>
    </w:p>
    <w:p>
      <w:pPr>
        <w:pStyle w:val="FirstParagraph"/>
      </w:pPr>
      <w:r>
        <w:t xml:space="preserve">Pense no shopping center mais próximo de você. Ele não fabrica nada — seu negócio é colocar lojistas e consumidores sob o mesmo teto, cobrando aluguel de um lado e estacionamento (nem sempre gratuito) do outro. Agora multiplique essa lógica por um bilhão de usuários e velocidade de milissegundos: você tem uma plataforma digital. Muitos dos mercados mais importantes da economia digital não são mercados</w:t>
      </w:r>
      <w:r>
        <w:t xml:space="preserve"> </w:t>
      </w:r>
      <w:r>
        <w:t xml:space="preserve">“unilaterais”</w:t>
      </w:r>
      <w:r>
        <w:t xml:space="preserve"> </w:t>
      </w:r>
      <w:r>
        <w:t xml:space="preserve">tradicionais (onde uma firma vende a consumidores), mas</w:t>
      </w:r>
      <w:r>
        <w:t xml:space="preserve"> </w:t>
      </w:r>
      <w:r>
        <w:rPr>
          <w:b/>
          <w:bCs/>
        </w:rPr>
        <w:t xml:space="preserve">mercados bilaterais</w:t>
      </w:r>
      <w:r>
        <w:t xml:space="preserve"> </w:t>
      </w:r>
      <w:r>
        <w:t xml:space="preserve">(ou multilaterais) nos quais uma</w:t>
      </w:r>
      <w:r>
        <w:t xml:space="preserve"> </w:t>
      </w:r>
      <w:r>
        <w:rPr>
          <w:b/>
          <w:bCs/>
        </w:rPr>
        <w:t xml:space="preserve">plataforma</w:t>
      </w:r>
      <w:r>
        <w:t xml:space="preserve"> </w:t>
      </w:r>
      <w:r>
        <w:t xml:space="preserve">conecta dois ou mais grupos distintos de agentes, e o valor para cada grupo depende da participação do outro. Exemplos abundam:</w:t>
      </w:r>
    </w:p>
    <w:tbl>
      <w:tblPr>
        <w:tblStyle w:val="Table"/>
        <w:tblW w:type="pct" w:w="5000"/>
        <w:tblLayout w:type="fixed"/>
        <w:tblLook w:firstRow="1" w:lastRow="0" w:firstColumn="0" w:lastColumn="0" w:noHBand="0" w:noVBand="0" w:val="0020"/>
      </w:tblPr>
      <w:tblGrid>
        <w:gridCol w:w="1900"/>
        <w:gridCol w:w="1267"/>
        <w:gridCol w:w="1267"/>
        <w:gridCol w:w="3484"/>
      </w:tblGrid>
      <w:tr>
        <w:trPr>
          <w:tblHeader w:val="on"/>
        </w:trPr>
        <w:tc>
          <w:tcPr/>
          <w:p>
            <w:pPr>
              <w:pStyle w:val="Compact"/>
              <w:jc w:val="left"/>
            </w:pPr>
            <w:r>
              <w:t xml:space="preserve">Plataforma</w:t>
            </w:r>
          </w:p>
        </w:tc>
        <w:tc>
          <w:tcPr/>
          <w:p>
            <w:pPr>
              <w:pStyle w:val="Compact"/>
              <w:jc w:val="left"/>
            </w:pPr>
            <w:r>
              <w:t xml:space="preserve">Lado 1</w:t>
            </w:r>
          </w:p>
        </w:tc>
        <w:tc>
          <w:tcPr/>
          <w:p>
            <w:pPr>
              <w:pStyle w:val="Compact"/>
              <w:jc w:val="left"/>
            </w:pPr>
            <w:r>
              <w:t xml:space="preserve">Lado 2</w:t>
            </w:r>
          </w:p>
        </w:tc>
        <w:tc>
          <w:tcPr/>
          <w:p>
            <w:pPr>
              <w:pStyle w:val="Compact"/>
              <w:jc w:val="left"/>
            </w:pPr>
            <w:r>
              <w:t xml:space="preserve">Externalidade cruzada</w:t>
            </w:r>
          </w:p>
        </w:tc>
      </w:tr>
      <w:tr>
        <w:tc>
          <w:tcPr/>
          <w:p>
            <w:pPr>
              <w:pStyle w:val="Compact"/>
              <w:jc w:val="left"/>
            </w:pPr>
            <w:r>
              <w:t xml:space="preserve">Google Search</w:t>
            </w:r>
          </w:p>
        </w:tc>
        <w:tc>
          <w:tcPr/>
          <w:p>
            <w:pPr>
              <w:pStyle w:val="Compact"/>
              <w:jc w:val="left"/>
            </w:pPr>
            <w:r>
              <w:t xml:space="preserve">Usuários</w:t>
            </w:r>
          </w:p>
        </w:tc>
        <w:tc>
          <w:tcPr/>
          <w:p>
            <w:pPr>
              <w:pStyle w:val="Compact"/>
              <w:jc w:val="left"/>
            </w:pPr>
            <w:r>
              <w:t xml:space="preserve">Anunciantes</w:t>
            </w:r>
          </w:p>
        </w:tc>
        <w:tc>
          <w:tcPr/>
          <w:p>
            <w:pPr>
              <w:pStyle w:val="Compact"/>
              <w:jc w:val="left"/>
            </w:pPr>
            <w:r>
              <w:t xml:space="preserve">Mais usuários → mais valor p/ anunciantes</w:t>
            </w:r>
          </w:p>
        </w:tc>
      </w:tr>
      <w:tr>
        <w:tc>
          <w:tcPr/>
          <w:p>
            <w:pPr>
              <w:pStyle w:val="Compact"/>
              <w:jc w:val="left"/>
            </w:pPr>
            <w:r>
              <w:t xml:space="preserve">Uber</w:t>
            </w:r>
          </w:p>
        </w:tc>
        <w:tc>
          <w:tcPr/>
          <w:p>
            <w:pPr>
              <w:pStyle w:val="Compact"/>
              <w:jc w:val="left"/>
            </w:pPr>
            <w:r>
              <w:t xml:space="preserve">Passageiros</w:t>
            </w:r>
          </w:p>
        </w:tc>
        <w:tc>
          <w:tcPr/>
          <w:p>
            <w:pPr>
              <w:pStyle w:val="Compact"/>
              <w:jc w:val="left"/>
            </w:pPr>
            <w:r>
              <w:t xml:space="preserve">Motoristas</w:t>
            </w:r>
          </w:p>
        </w:tc>
        <w:tc>
          <w:tcPr/>
          <w:p>
            <w:pPr>
              <w:pStyle w:val="Compact"/>
              <w:jc w:val="left"/>
            </w:pPr>
            <w:r>
              <w:t xml:space="preserve">Mais motoristas → menor espera p/ passageiros</w:t>
            </w:r>
          </w:p>
        </w:tc>
      </w:tr>
      <w:tr>
        <w:tc>
          <w:tcPr/>
          <w:p>
            <w:pPr>
              <w:pStyle w:val="Compact"/>
              <w:jc w:val="left"/>
            </w:pPr>
            <w:r>
              <w:t xml:space="preserve">iFood</w:t>
            </w:r>
          </w:p>
        </w:tc>
        <w:tc>
          <w:tcPr/>
          <w:p>
            <w:pPr>
              <w:pStyle w:val="Compact"/>
              <w:jc w:val="left"/>
            </w:pPr>
            <w:r>
              <w:t xml:space="preserve">Consumidores</w:t>
            </w:r>
          </w:p>
        </w:tc>
        <w:tc>
          <w:tcPr/>
          <w:p>
            <w:pPr>
              <w:pStyle w:val="Compact"/>
              <w:jc w:val="left"/>
            </w:pPr>
            <w:r>
              <w:t xml:space="preserve">Restaurantes</w:t>
            </w:r>
          </w:p>
        </w:tc>
        <w:tc>
          <w:tcPr/>
          <w:p>
            <w:pPr>
              <w:pStyle w:val="Compact"/>
              <w:jc w:val="left"/>
            </w:pPr>
            <w:r>
              <w:t xml:space="preserve">Mais restaurantes → mais opções p/ consumidores</w:t>
            </w:r>
          </w:p>
        </w:tc>
      </w:tr>
      <w:tr>
        <w:tc>
          <w:tcPr/>
          <w:p>
            <w:pPr>
              <w:pStyle w:val="Compact"/>
              <w:jc w:val="left"/>
            </w:pPr>
            <w:r>
              <w:t xml:space="preserve">Mercado Livre</w:t>
            </w:r>
          </w:p>
        </w:tc>
        <w:tc>
          <w:tcPr/>
          <w:p>
            <w:pPr>
              <w:pStyle w:val="Compact"/>
              <w:jc w:val="left"/>
            </w:pPr>
            <w:r>
              <w:t xml:space="preserve">Compradores</w:t>
            </w:r>
          </w:p>
        </w:tc>
        <w:tc>
          <w:tcPr/>
          <w:p>
            <w:pPr>
              <w:pStyle w:val="Compact"/>
              <w:jc w:val="left"/>
            </w:pPr>
            <w:r>
              <w:t xml:space="preserve">Vendedores</w:t>
            </w:r>
          </w:p>
        </w:tc>
        <w:tc>
          <w:tcPr/>
          <w:p>
            <w:pPr>
              <w:pStyle w:val="Compact"/>
              <w:jc w:val="left"/>
            </w:pPr>
            <w:r>
              <w:t xml:space="preserve">Mais vendedores → mais variedade p/ compradores</w:t>
            </w:r>
          </w:p>
        </w:tc>
      </w:tr>
      <w:tr>
        <w:tc>
          <w:tcPr/>
          <w:p>
            <w:pPr>
              <w:pStyle w:val="Compact"/>
              <w:jc w:val="left"/>
            </w:pPr>
            <w:r>
              <w:t xml:space="preserve">iOS App Store</w:t>
            </w:r>
          </w:p>
        </w:tc>
        <w:tc>
          <w:tcPr/>
          <w:p>
            <w:pPr>
              <w:pStyle w:val="Compact"/>
              <w:jc w:val="left"/>
            </w:pPr>
            <w:r>
              <w:t xml:space="preserve">Usuários</w:t>
            </w:r>
          </w:p>
        </w:tc>
        <w:tc>
          <w:tcPr/>
          <w:p>
            <w:pPr>
              <w:pStyle w:val="Compact"/>
              <w:jc w:val="left"/>
            </w:pPr>
            <w:r>
              <w:t xml:space="preserve">Desenvolvedores</w:t>
            </w:r>
          </w:p>
        </w:tc>
        <w:tc>
          <w:tcPr/>
          <w:p>
            <w:pPr>
              <w:pStyle w:val="Compact"/>
              <w:jc w:val="left"/>
            </w:pPr>
            <w:r>
              <w:t xml:space="preserve">Mais desenvolvedores → mais apps p/ usuários</w:t>
            </w:r>
          </w:p>
        </w:tc>
      </w:tr>
      <w:tr>
        <w:tc>
          <w:tcPr/>
          <w:p>
            <w:pPr>
              <w:pStyle w:val="Compact"/>
              <w:jc w:val="left"/>
            </w:pPr>
            <w:r>
              <w:t xml:space="preserve">Visa/Mastercard</w:t>
            </w:r>
          </w:p>
        </w:tc>
        <w:tc>
          <w:tcPr/>
          <w:p>
            <w:pPr>
              <w:pStyle w:val="Compact"/>
              <w:jc w:val="left"/>
            </w:pPr>
            <w:r>
              <w:t xml:space="preserve">Portadores</w:t>
            </w:r>
          </w:p>
        </w:tc>
        <w:tc>
          <w:tcPr/>
          <w:p>
            <w:pPr>
              <w:pStyle w:val="Compact"/>
              <w:jc w:val="left"/>
            </w:pPr>
            <w:r>
              <w:t xml:space="preserve">Lojistas</w:t>
            </w:r>
          </w:p>
        </w:tc>
        <w:tc>
          <w:tcPr/>
          <w:p>
            <w:pPr>
              <w:pStyle w:val="Compact"/>
              <w:jc w:val="left"/>
            </w:pPr>
            <w:r>
              <w:t xml:space="preserve">Mais lojistas → mais utilidade p/ portadores</w:t>
            </w:r>
          </w:p>
        </w:tc>
      </w:tr>
    </w:tbl>
    <w:p>
      <w:pPr>
        <w:pStyle w:val="BodyText"/>
      </w:pPr>
      <w:r>
        <w:t xml:space="preserve">O que diferencia um mercado bilateral de um simples intermediário é que a</w:t>
      </w:r>
      <w:r>
        <w:t xml:space="preserve"> </w:t>
      </w:r>
      <w:r>
        <w:rPr>
          <w:b/>
          <w:bCs/>
        </w:rPr>
        <w:t xml:space="preserve">estrutura de preços</w:t>
      </w:r>
      <w:r>
        <w:t xml:space="preserve"> </w:t>
      </w:r>
      <w:r>
        <w:t xml:space="preserve">importa, e não apenas o</w:t>
      </w:r>
      <w:r>
        <w:t xml:space="preserve"> </w:t>
      </w:r>
      <w:r>
        <w:rPr>
          <w:b/>
          <w:bCs/>
        </w:rPr>
        <w:t xml:space="preserve">nível total</w:t>
      </w:r>
      <w:r>
        <w:t xml:space="preserve">. Cobrar R$ 10 do comprador e R$ 0 do vendedor gera um resultado diferente de cobrar R$ 5 de cada um, mesmo que a receita total da plataforma seja a mesma. Essa não-neutralidade da estrutura de preços é a assinatura econômica dos mercados bilaterais.</w:t>
      </w:r>
    </w:p>
    <w:bookmarkEnd w:id="1307"/>
    <w:bookmarkStart w:id="1308" w:name="modelo-de-rochet-e-tirole-2003"/>
    <w:p>
      <w:pPr>
        <w:pStyle w:val="Heading4"/>
      </w:pPr>
      <w:r>
        <w:t xml:space="preserve">21.3.2 Modelo de Rochet e Tirole (2003)</w:t>
      </w:r>
    </w:p>
    <w:p>
      <w:pPr>
        <w:pStyle w:val="FirstParagraph"/>
      </w:pPr>
      <w:r>
        <w:t xml:space="preserve">O modelo seminal de Rochet e Tirole (2003) — que rendeu a Jean Tirole uma parte significativa do Prêmio Nobel de Economia de 2014 — formaliza os mercados bilaterais da seguinte maneira.</w:t>
      </w:r>
    </w:p>
    <w:p>
      <w:pPr>
        <w:pStyle w:val="BodyText"/>
      </w:pPr>
      <w:r>
        <w:t xml:space="preserve">Considere uma plataforma monopolista que serve dois grupos:</w:t>
      </w:r>
      <w:r>
        <w:t xml:space="preserve"> </w:t>
      </w:r>
      <w:r>
        <w:rPr>
          <w:b/>
          <w:bCs/>
        </w:rPr>
        <w:t xml:space="preserve">compradores</w:t>
      </w:r>
      <w:r>
        <w:t xml:space="preserve"> </w:t>
      </w:r>
      <w:r>
        <w:t xml:space="preserve">(</w:t>
      </w:r>
      <m:oMath>
        <m:r>
          <m:t>B</m:t>
        </m:r>
      </m:oMath>
      <w:r>
        <w:t xml:space="preserve">) e</w:t>
      </w:r>
      <w:r>
        <w:t xml:space="preserve"> </w:t>
      </w:r>
      <w:r>
        <w:rPr>
          <w:b/>
          <w:bCs/>
        </w:rPr>
        <w:t xml:space="preserve">vendedores</w:t>
      </w:r>
      <w:r>
        <w:t xml:space="preserve"> </w:t>
      </w:r>
      <w:r>
        <w:t xml:space="preserve">(</w:t>
      </w:r>
      <m:oMath>
        <m:r>
          <m:t>S</m:t>
        </m:r>
      </m:oMath>
      <w:r>
        <w:t xml:space="preserve">). A plataforma cobra uma taxa de acesso</w:t>
      </w:r>
      <w:r>
        <w:t xml:space="preserve"> </w:t>
      </w:r>
      <m:oMath>
        <m:sSub>
          <m:e>
            <m:r>
              <m:t>p</m:t>
            </m:r>
          </m:e>
          <m:sub>
            <m:r>
              <m:t>B</m:t>
            </m:r>
          </m:sub>
        </m:sSub>
      </m:oMath>
      <w:r>
        <w:t xml:space="preserve"> </w:t>
      </w:r>
      <w:r>
        <w:t xml:space="preserve">dos compradores e</w:t>
      </w:r>
      <w:r>
        <w:t xml:space="preserve"> </w:t>
      </w:r>
      <m:oMath>
        <m:sSub>
          <m:e>
            <m:r>
              <m:t>p</m:t>
            </m:r>
          </m:e>
          <m:sub>
            <m:r>
              <m:t>S</m:t>
            </m:r>
          </m:sub>
        </m:sSub>
      </m:oMath>
      <w:r>
        <w:t xml:space="preserve"> </w:t>
      </w:r>
      <w:r>
        <w:t xml:space="preserve">dos vendedores. O número de participantes de cada lado é:</w:t>
      </w:r>
    </w:p>
    <w:p>
      <w:pPr>
        <w:pStyle w:val="BodyText"/>
      </w:pPr>
      <m:oMathPara>
        <m:oMathParaPr>
          <m:jc m:val="center"/>
        </m:oMathParaPr>
        <m:oMath>
          <m:sSub>
            <m:e>
              <m:r>
                <m:t>n</m:t>
              </m:r>
            </m:e>
            <m:sub>
              <m:r>
                <m:t>B</m:t>
              </m:r>
            </m:sub>
          </m:sSub>
          <m:r>
            <m:rPr>
              <m:sty m:val="p"/>
            </m:rPr>
            <m:t>=</m:t>
          </m:r>
          <m:sSub>
            <m:e>
              <m:r>
                <m:t>D</m:t>
              </m:r>
            </m:e>
            <m:sub>
              <m:r>
                <m:t>B</m:t>
              </m:r>
            </m:sub>
          </m:sSub>
          <m:r>
            <m:rPr>
              <m:sty m:val="p"/>
            </m:rPr>
            <m:t>(</m:t>
          </m:r>
          <m:sSub>
            <m:e>
              <m:r>
                <m:t>p</m:t>
              </m:r>
            </m:e>
            <m:sub>
              <m:r>
                <m:t>B</m:t>
              </m:r>
            </m:sub>
          </m:sSub>
          <m:r>
            <m:rPr>
              <m:sty m:val="p"/>
            </m:rPr>
            <m:t>,</m:t>
          </m:r>
          <m:sSub>
            <m:e>
              <m:r>
                <m:t>n</m:t>
              </m:r>
            </m:e>
            <m:sub>
              <m:r>
                <m:t>S</m:t>
              </m:r>
            </m:sub>
          </m:sSub>
          <m:r>
            <m:rPr>
              <m:sty m:val="p"/>
            </m:rPr>
            <m:t>)</m:t>
          </m:r>
          <m:r>
            <m:rPr>
              <m:sty m:val="p"/>
            </m:rPr>
            <m:t>,</m:t>
          </m:r>
          <m:r>
            <m:t> </m:t>
          </m:r>
          <m:sSub>
            <m:e>
              <m:r>
                <m:t>n</m:t>
              </m:r>
            </m:e>
            <m:sub>
              <m:r>
                <m:t>S</m:t>
              </m:r>
            </m:sub>
          </m:sSub>
          <m:r>
            <m:rPr>
              <m:sty m:val="p"/>
            </m:rPr>
            <m:t>=</m:t>
          </m:r>
          <m:sSub>
            <m:e>
              <m:r>
                <m:t>D</m:t>
              </m:r>
            </m:e>
            <m:sub>
              <m:r>
                <m:t>S</m:t>
              </m:r>
            </m:sub>
          </m:sSub>
          <m:r>
            <m:rPr>
              <m:sty m:val="p"/>
            </m:rPr>
            <m:t>(</m:t>
          </m:r>
          <m:sSub>
            <m:e>
              <m:r>
                <m:t>p</m:t>
              </m:r>
            </m:e>
            <m:sub>
              <m:r>
                <m:t>S</m:t>
              </m:r>
            </m:sub>
          </m:sSub>
          <m:r>
            <m:rPr>
              <m:sty m:val="p"/>
            </m:rPr>
            <m:t>,</m:t>
          </m:r>
          <m:sSub>
            <m:e>
              <m:r>
                <m:t>n</m:t>
              </m:r>
            </m:e>
            <m:sub>
              <m:r>
                <m:t>B</m:t>
              </m:r>
            </m:sub>
          </m:sSub>
          <m:r>
            <m:rPr>
              <m:sty m:val="p"/>
            </m:rPr>
            <m:t>)</m:t>
          </m:r>
        </m:oMath>
      </m:oMathPara>
    </w:p>
    <w:p>
      <w:pPr>
        <w:pStyle w:val="FirstParagraph"/>
      </w:pPr>
      <w:r>
        <w:t xml:space="preserve">onde</w:t>
      </w:r>
      <w:r>
        <w:t xml:space="preserve"> </w:t>
      </w:r>
      <m:oMath>
        <m:r>
          <m:rPr>
            <m:sty m:val="p"/>
          </m:rPr>
          <m:t>∂</m:t>
        </m:r>
        <m:sSub>
          <m:e>
            <m:r>
              <m:t>D</m:t>
            </m:r>
          </m:e>
          <m:sub>
            <m:r>
              <m:t>B</m:t>
            </m:r>
          </m:sub>
        </m:sSub>
        <m:r>
          <m:rPr>
            <m:sty m:val="p"/>
          </m:rPr>
          <m:t>/</m:t>
        </m:r>
        <m:r>
          <m:rPr>
            <m:sty m:val="p"/>
          </m:rPr>
          <m:t>∂</m:t>
        </m:r>
        <m:sSub>
          <m:e>
            <m:r>
              <m:t>n</m:t>
            </m:r>
          </m:e>
          <m:sub>
            <m:r>
              <m:t>S</m:t>
            </m:r>
          </m:sub>
        </m:sSub>
        <m:r>
          <m:rPr>
            <m:sty m:val="p"/>
          </m:rPr>
          <m:t>&gt;</m:t>
        </m:r>
        <m:r>
          <m:t>0</m:t>
        </m:r>
      </m:oMath>
      <w:r>
        <w:t xml:space="preserve"> </w:t>
      </w:r>
      <w:r>
        <w:t xml:space="preserve">e</w:t>
      </w:r>
      <w:r>
        <w:t xml:space="preserve"> </w:t>
      </w:r>
      <m:oMath>
        <m:r>
          <m:rPr>
            <m:sty m:val="p"/>
          </m:rPr>
          <m:t>∂</m:t>
        </m:r>
        <m:sSub>
          <m:e>
            <m:r>
              <m:t>D</m:t>
            </m:r>
          </m:e>
          <m:sub>
            <m:r>
              <m:t>S</m:t>
            </m:r>
          </m:sub>
        </m:sSub>
        <m:r>
          <m:rPr>
            <m:sty m:val="p"/>
          </m:rPr>
          <m:t>/</m:t>
        </m:r>
        <m:r>
          <m:rPr>
            <m:sty m:val="p"/>
          </m:rPr>
          <m:t>∂</m:t>
        </m:r>
        <m:sSub>
          <m:e>
            <m:r>
              <m:t>n</m:t>
            </m:r>
          </m:e>
          <m:sub>
            <m:r>
              <m:t>B</m:t>
            </m:r>
          </m:sub>
        </m:sSub>
        <m:r>
          <m:rPr>
            <m:sty m:val="p"/>
          </m:rPr>
          <m:t>&gt;</m:t>
        </m:r>
        <m:r>
          <m:t>0</m:t>
        </m:r>
      </m:oMath>
      <w:r>
        <w:t xml:space="preserve"> </w:t>
      </w:r>
      <w:r>
        <w:t xml:space="preserve">capturam as</w:t>
      </w:r>
      <w:r>
        <w:t xml:space="preserve"> </w:t>
      </w:r>
      <w:r>
        <w:rPr>
          <w:b/>
          <w:bCs/>
        </w:rPr>
        <w:t xml:space="preserve">externalidades cruzadas</w:t>
      </w:r>
      <w:r>
        <w:t xml:space="preserve">: mais vendedores atraem mais compradores, e vice-versa.</w:t>
      </w:r>
    </w:p>
    <w:p>
      <w:pPr>
        <w:pStyle w:val="BodyText"/>
      </w:pPr>
      <w:r>
        <w:t xml:space="preserve">Para simplificar, suponha formas lineares. A utilidade de um comprador é:</w:t>
      </w:r>
    </w:p>
    <w:p>
      <w:pPr>
        <w:pStyle w:val="BodyText"/>
      </w:pPr>
      <w:r>
        <w:t xml:space="preserve">$$
    u_B = \alpha_B \cdot n_S - p_B \label{eq:21.8} \tag{21.8}
    $$</w:t>
      </w:r>
    </w:p>
    <w:p>
      <w:pPr>
        <w:pStyle w:val="FirstParagraph"/>
      </w:pPr>
      <w:r>
        <w:t xml:space="preserve">onde</w:t>
      </w:r>
      <w:r>
        <w:t xml:space="preserve"> </w:t>
      </w:r>
      <m:oMath>
        <m:sSub>
          <m:e>
            <m:r>
              <m:t>α</m:t>
            </m:r>
          </m:e>
          <m:sub>
            <m:r>
              <m:t>B</m:t>
            </m:r>
          </m:sub>
        </m:sSub>
        <m:r>
          <m:rPr>
            <m:sty m:val="p"/>
          </m:rPr>
          <m:t>&gt;</m:t>
        </m:r>
        <m:r>
          <m:t>0</m:t>
        </m:r>
      </m:oMath>
      <w:r>
        <w:t xml:space="preserve"> </w:t>
      </w:r>
      <w:r>
        <w:t xml:space="preserve">mede o benefício que cada comprador obtém de cada vendedor adicional. Simetricamente, a utilidade de um vendedor é:</w:t>
      </w:r>
    </w:p>
    <w:p>
      <w:pPr>
        <w:pStyle w:val="BodyText"/>
      </w:pPr>
      <w:r>
        <w:t xml:space="preserve">$$
    u_S = \alpha_S \cdot n_B - p_S \label{eq:21.9} \tag{21.9}
    $$</w:t>
      </w:r>
    </w:p>
    <w:p>
      <w:pPr>
        <w:pStyle w:val="FirstParagraph"/>
      </w:pPr>
      <w:r>
        <w:t xml:space="preserve">Cada agente adere à plataforma se sua utilidade líquida é não-negativa. Se os agentes de cada lado são heterogêneos (com benefícios distribuídos uniformemente), a demanda de cada lado é:</w:t>
      </w:r>
    </w:p>
    <w:p>
      <w:pPr>
        <w:pStyle w:val="BodyText"/>
      </w:pPr>
      <w:r>
        <w:t xml:space="preserve">$$
    n_B = 1 - p_B + \alpha_B \cdot n_S, \quad n_S = 1 - p_S + \alpha_S \cdot n_B \label{eq:21.10} \tag{21.10}
    $$</w:t>
      </w:r>
    </w:p>
    <w:p>
      <w:pPr>
        <w:pStyle w:val="FirstParagraph"/>
      </w:pPr>
      <w:r>
        <w:t xml:space="preserve">A plataforma maximiza lucro:</w:t>
      </w:r>
    </w:p>
    <w:p>
      <w:pPr>
        <w:pStyle w:val="BodyText"/>
      </w:pPr>
      <w:r>
        <w:t xml:space="preserve">$$
    \pi = (p_B - c_B) \cdot n_B + (p_S - c_S) \cdot n_S \label{eq:21.11} \tag{21.11}
    $$</w:t>
      </w:r>
    </w:p>
    <w:p>
      <w:pPr>
        <w:pStyle w:val="FirstParagraph"/>
      </w:pPr>
      <w:r>
        <w:t xml:space="preserve">onde</w:t>
      </w:r>
      <w:r>
        <w:t xml:space="preserve"> </w:t>
      </w:r>
      <m:oMath>
        <m:sSub>
          <m:e>
            <m:r>
              <m:t>c</m:t>
            </m:r>
          </m:e>
          <m:sub>
            <m:r>
              <m:t>B</m:t>
            </m:r>
          </m:sub>
        </m:sSub>
      </m:oMath>
      <w:r>
        <w:t xml:space="preserve"> </w:t>
      </w:r>
      <w:r>
        <w:t xml:space="preserve">e</w:t>
      </w:r>
      <w:r>
        <w:t xml:space="preserve"> </w:t>
      </w:r>
      <m:oMath>
        <m:sSub>
          <m:e>
            <m:r>
              <m:t>c</m:t>
            </m:r>
          </m:e>
          <m:sub>
            <m:r>
              <m:t>S</m:t>
            </m:r>
          </m:sub>
        </m:sSub>
      </m:oMath>
      <w:r>
        <w:t xml:space="preserve"> </w:t>
      </w:r>
      <w:r>
        <w:t xml:space="preserve">são os custos marginais de servir cada lado.</w:t>
      </w:r>
    </w:p>
    <w:p>
      <w:pPr>
        <w:pStyle w:val="BodyText"/>
      </w:pPr>
      <w:r>
        <w:t xml:space="preserve">Resolvendo o sistema Eq. (eq:21.10) para obter</w:t>
      </w:r>
      <w:r>
        <w:t xml:space="preserve"> </w:t>
      </w:r>
      <m:oMath>
        <m:sSub>
          <m:e>
            <m:r>
              <m:t>n</m:t>
            </m:r>
          </m:e>
          <m:sub>
            <m:r>
              <m:t>B</m:t>
            </m:r>
          </m:sub>
        </m:sSub>
      </m:oMath>
      <w:r>
        <w:t xml:space="preserve"> </w:t>
      </w:r>
      <w:r>
        <w:t xml:space="preserve">e</w:t>
      </w:r>
      <w:r>
        <w:t xml:space="preserve"> </w:t>
      </w:r>
      <m:oMath>
        <m:sSub>
          <m:e>
            <m:r>
              <m:t>n</m:t>
            </m:r>
          </m:e>
          <m:sub>
            <m:r>
              <m:t>S</m:t>
            </m:r>
          </m:sub>
        </m:sSub>
      </m:oMath>
      <w:r>
        <w:t xml:space="preserve"> </w:t>
      </w:r>
      <w:r>
        <w:t xml:space="preserve">como funções dos preços, e otimizando Eq. (eq:21.11), obtém-se que o</w:t>
      </w:r>
      <w:r>
        <w:t xml:space="preserve"> </w:t>
      </w:r>
      <w:r>
        <w:rPr>
          <w:b/>
          <w:bCs/>
        </w:rPr>
        <w:t xml:space="preserve">preço ótimo para o lado</w:t>
      </w:r>
      <w:r>
        <w:rPr>
          <w:b/>
          <w:bCs/>
        </w:rPr>
        <w:t xml:space="preserve"> </w:t>
      </w:r>
      <m:oMath>
        <m:r>
          <m:t>B</m:t>
        </m:r>
      </m:oMath>
      <w:r>
        <w:t xml:space="preserve"> </w:t>
      </w:r>
      <w:r>
        <w:t xml:space="preserve">satisfaz:</w:t>
      </w:r>
    </w:p>
    <w:p>
      <w:pPr>
        <w:pStyle w:val="BodyText"/>
      </w:pPr>
      <m:oMathPara>
        <m:oMathParaPr>
          <m:jc m:val="center"/>
        </m:oMathParaPr>
        <m:oMath>
          <m:sSubSup>
            <m:e>
              <m:r>
                <m:t>p</m:t>
              </m:r>
            </m:e>
            <m:sub>
              <m:r>
                <m:t>B</m:t>
              </m:r>
            </m:sub>
            <m:sup>
              <m:r>
                <m:rPr>
                  <m:sty m:val="p"/>
                </m:rPr>
                <m:t>*</m:t>
              </m:r>
            </m:sup>
          </m:sSubSup>
          <m:r>
            <m:rPr>
              <m:sty m:val="p"/>
            </m:rPr>
            <m:t>=</m:t>
          </m:r>
          <m:sSub>
            <m:e>
              <m:r>
                <m:t>c</m:t>
              </m:r>
            </m:e>
            <m:sub>
              <m:r>
                <m:t>B</m:t>
              </m:r>
            </m:sub>
          </m:sSub>
          <m:r>
            <m:rPr>
              <m:sty m:val="p"/>
            </m:rPr>
            <m:t>+</m:t>
          </m:r>
          <m:f>
            <m:fPr>
              <m:type m:val="bar"/>
            </m:fPr>
            <m:num>
              <m:r>
                <m:t>1</m:t>
              </m:r>
            </m:num>
            <m:den>
              <m:r>
                <m:t>2</m:t>
              </m:r>
            </m:den>
          </m:f>
          <m:r>
            <m:rPr>
              <m:sty m:val="p"/>
            </m:rPr>
            <m:t>−</m:t>
          </m:r>
          <m:f>
            <m:fPr>
              <m:type m:val="bar"/>
            </m:fPr>
            <m:num>
              <m:sSub>
                <m:e>
                  <m:r>
                    <m:t>α</m:t>
                  </m:r>
                </m:e>
                <m:sub>
                  <m:r>
                    <m:t>S</m:t>
                  </m:r>
                </m:sub>
              </m:sSub>
            </m:num>
            <m:den>
              <m:r>
                <m:t>2</m:t>
              </m:r>
            </m:den>
          </m:f>
          <m:r>
            <m:rPr>
              <m:sty m:val="p"/>
            </m:rPr>
            <m:t>⋅</m:t>
          </m:r>
          <m:sSubSup>
            <m:e>
              <m:r>
                <m:t>n</m:t>
              </m:r>
            </m:e>
            <m:sub>
              <m:r>
                <m:t>S</m:t>
              </m:r>
            </m:sub>
            <m:sup>
              <m:r>
                <m:rPr>
                  <m:sty m:val="p"/>
                </m:rPr>
                <m:t>*</m:t>
              </m:r>
            </m:sup>
          </m:sSubSup>
        </m:oMath>
      </m:oMathPara>
    </w:p>
    <w:p>
      <w:pPr>
        <w:pStyle w:val="FirstParagraph"/>
      </w:pPr>
      <w:r>
        <w:t xml:space="preserve">A presença do termo</w:t>
      </w:r>
      <w:r>
        <w:t xml:space="preserve"> </w:t>
      </w:r>
      <m:oMath>
        <m:r>
          <m:rPr>
            <m:sty m:val="p"/>
          </m:rPr>
          <m:t>−</m:t>
        </m:r>
        <m:f>
          <m:fPr>
            <m:type m:val="bar"/>
          </m:fPr>
          <m:num>
            <m:sSub>
              <m:e>
                <m:r>
                  <m:t>α</m:t>
                </m:r>
              </m:e>
              <m:sub>
                <m:r>
                  <m:t>S</m:t>
                </m:r>
              </m:sub>
            </m:sSub>
          </m:num>
          <m:den>
            <m:r>
              <m:t>2</m:t>
            </m:r>
          </m:den>
        </m:f>
        <m:sSubSup>
          <m:e>
            <m:r>
              <m:t>n</m:t>
            </m:r>
          </m:e>
          <m:sub>
            <m:r>
              <m:t>S</m:t>
            </m:r>
          </m:sub>
          <m:sup>
            <m:r>
              <m:rPr>
                <m:sty m:val="p"/>
              </m:rPr>
              <m:t>*</m:t>
            </m:r>
          </m:sup>
        </m:sSubSup>
      </m:oMath>
      <w:r>
        <w:t xml:space="preserve"> </w:t>
      </w:r>
      <w:r>
        <w:t xml:space="preserve">é a novidade central: a plataforma reduz o preço cobrado dos compradores abaixo do que um monopolista unilateral cobraria, porque</w:t>
      </w:r>
      <w:r>
        <w:t xml:space="preserve"> </w:t>
      </w:r>
      <w:r>
        <w:rPr>
          <w:b/>
          <w:bCs/>
        </w:rPr>
        <w:t xml:space="preserve">cada comprador adicional gera uma externalidade positiva para os vendedores</w:t>
      </w:r>
      <w:r>
        <w:t xml:space="preserve"> </w:t>
      </w:r>
      <w:r>
        <w:t xml:space="preserve">(capturada pelo parâmetro</w:t>
      </w:r>
      <w:r>
        <w:t xml:space="preserve"> </w:t>
      </w:r>
      <m:oMath>
        <m:sSub>
          <m:e>
            <m:r>
              <m:t>α</m:t>
            </m:r>
          </m:e>
          <m:sub>
            <m:r>
              <m:t>S</m:t>
            </m:r>
          </m:sub>
        </m:sSub>
      </m:oMath>
      <w:r>
        <w:t xml:space="preserve">). Quanto maior</w:t>
      </w:r>
      <w:r>
        <w:t xml:space="preserve"> </w:t>
      </w:r>
      <m:oMath>
        <m:sSub>
          <m:e>
            <m:r>
              <m:t>α</m:t>
            </m:r>
          </m:e>
          <m:sub>
            <m:r>
              <m:t>S</m:t>
            </m:r>
          </m:sub>
        </m:sSub>
      </m:oMath>
      <w:r>
        <w:t xml:space="preserve">, maior o benefício que os vendedores obtêm dos compradores, e mais a plataforma está disposta a subsidiar o lado dos compradores para atrair vendedores.</w:t>
      </w:r>
    </w:p>
    <w:bookmarkEnd w:id="1308"/>
    <w:bookmarkStart w:id="1309" w:name="a-lógica-do-subsídio-cruzado"/>
    <w:p>
      <w:pPr>
        <w:pStyle w:val="Heading4"/>
      </w:pPr>
      <w:r>
        <w:t xml:space="preserve">21.3.3 A lógica do subsídio cruzado</w:t>
      </w:r>
    </w:p>
    <w:p>
      <w:pPr>
        <w:pStyle w:val="FirstParagraph"/>
      </w:pPr>
      <w:r>
        <w:t xml:space="preserve">O resultado central do modelo é que a plataforma ótima tipicamente</w:t>
      </w:r>
      <w:r>
        <w:t xml:space="preserve"> </w:t>
      </w:r>
      <w:r>
        <w:rPr>
          <w:b/>
          <w:bCs/>
        </w:rPr>
        <w:t xml:space="preserve">subsidia um lado</w:t>
      </w:r>
      <w:r>
        <w:t xml:space="preserve"> </w:t>
      </w:r>
      <w:r>
        <w:t xml:space="preserve">do mercado (cobrando abaixo do custo, ou até oferecendo acesso gratuito) e</w:t>
      </w:r>
      <w:r>
        <w:t xml:space="preserve"> </w:t>
      </w:r>
      <w:r>
        <w:rPr>
          <w:b/>
          <w:bCs/>
        </w:rPr>
        <w:t xml:space="preserve">extrai lucro do outro</w:t>
      </w:r>
      <w:r>
        <w:t xml:space="preserve">. A lógica é que o lado subsidiado gera externalidades positivas para o lado pagante, e a plataforma internaliza essa externalidade via preços assimétricos.</w:t>
      </w:r>
    </w:p>
    <w:p>
      <w:pPr>
        <w:pStyle w:val="BodyText"/>
      </w:pPr>
      <w:r>
        <w:t xml:space="preserve">Qual lado subsidiar? A regra é subsidiar o lado cuja participação gera</w:t>
      </w:r>
      <w:r>
        <w:t xml:space="preserve"> </w:t>
      </w:r>
      <w:r>
        <w:rPr>
          <w:b/>
          <w:bCs/>
        </w:rPr>
        <w:t xml:space="preserve">maior externalidade para o outro lado</w:t>
      </w:r>
      <w:r>
        <w:t xml:space="preserve"> </w:t>
      </w:r>
      <w:r>
        <w:t xml:space="preserve">e/ou o lado com</w:t>
      </w:r>
      <w:r>
        <w:t xml:space="preserve"> </w:t>
      </w:r>
      <w:r>
        <w:rPr>
          <w:b/>
          <w:bCs/>
        </w:rPr>
        <w:t xml:space="preserve">maior elasticidade-preço da demanda</w:t>
      </w:r>
      <w:r>
        <w:t xml:space="preserve">. Na prática:</w:t>
      </w:r>
    </w:p>
    <w:p>
      <w:pPr>
        <w:pStyle w:val="Compact"/>
        <w:numPr>
          <w:ilvl w:val="0"/>
          <w:numId w:val="2144"/>
        </w:numPr>
      </w:pPr>
      <w:r>
        <w:rPr>
          <w:b/>
          <w:bCs/>
        </w:rPr>
        <w:t xml:space="preserve">Google</w:t>
      </w:r>
      <w:r>
        <w:t xml:space="preserve">: gratuito para usuários (lado subsidiado), cobra de anunciantes (lado pagante). A participação de usuários é extremamente valiosa para anunciantes.</w:t>
      </w:r>
    </w:p>
    <w:p>
      <w:pPr>
        <w:pStyle w:val="Compact"/>
        <w:numPr>
          <w:ilvl w:val="0"/>
          <w:numId w:val="2144"/>
        </w:numPr>
      </w:pPr>
      <w:r>
        <w:rPr>
          <w:b/>
          <w:bCs/>
        </w:rPr>
        <w:t xml:space="preserve">Cartões de crédito</w:t>
      </w:r>
      <w:r>
        <w:t xml:space="preserve">: recompensas e cashback para portadores (lado subsidiado), taxas de intercâmbio para lojistas (lado pagante).</w:t>
      </w:r>
    </w:p>
    <w:p>
      <w:pPr>
        <w:pStyle w:val="Compact"/>
        <w:numPr>
          <w:ilvl w:val="0"/>
          <w:numId w:val="2144"/>
        </w:numPr>
      </w:pPr>
      <w:r>
        <w:rPr>
          <w:b/>
          <w:bCs/>
        </w:rPr>
        <w:t xml:space="preserve">Uber</w:t>
      </w:r>
      <w:r>
        <w:t xml:space="preserve">: preços subsidiados para passageiros em mercados novos (lado subsidiado), comissões sobre motoristas (lado pagante que também recebe incentivos).</w:t>
      </w:r>
    </w:p>
    <w:p>
      <w:pPr>
        <w:pStyle w:val="BlockText"/>
      </w:pPr>
      <w:r>
        <w:rPr>
          <w:b/>
          <w:bCs/>
        </w:rPr>
        <w:t xml:space="preserve">[INTUICAO ECONOMICA] Intuição Econômica</w:t>
      </w:r>
    </w:p>
    <w:p>
      <w:pPr>
        <w:pStyle w:val="BlockText"/>
      </w:pPr>
      <w:r>
        <w:rPr>
          <w:b/>
          <w:bCs/>
        </w:rPr>
        <w:t xml:space="preserve">Em uma frase:</w:t>
      </w:r>
      <w:r>
        <w:t xml:space="preserve"> </w:t>
      </w:r>
      <w:r>
        <w:t xml:space="preserve">Em plataformas, cobrar de todos pode ser pior do que dar de graça para um lado e cobrar caro do outro.</w:t>
      </w:r>
    </w:p>
    <w:p>
      <w:pPr>
        <w:pStyle w:val="BlockText"/>
      </w:pPr>
      <w:r>
        <w:rPr>
          <w:b/>
          <w:bCs/>
        </w:rPr>
        <w:t xml:space="preserve">Pense assim:</w:t>
      </w:r>
      <w:r>
        <w:t xml:space="preserve"> </w:t>
      </w:r>
      <w:r>
        <w:t xml:space="preserve">Imagine uma casa noturna. Se cobrar R$ 100 de todos, pode ficar vazia. Se deixar mulheres entrarem de graça (lado subsidiado) e cobrar R$ 200 dos homens (lado pagante), pode lotar — porque a presença de mais pessoas de cada grupo atrai o outro. A</w:t>
      </w:r>
      <w:r>
        <w:t xml:space="preserve"> </w:t>
      </w:r>
      <w:r>
        <w:t xml:space="preserve">“discriminação de preços”</w:t>
      </w:r>
      <w:r>
        <w:t xml:space="preserve"> </w:t>
      </w:r>
      <w:r>
        <w:t xml:space="preserve">não é exploração; é a internalização de uma externalidade cruzada. O Google faz exatamente isso: a presença de bilhões de usuários torna o Google irresistivelmente atraente para anunciantes, que estão dispostos a pagar caro pela atenção desses usuários.</w:t>
      </w:r>
    </w:p>
    <w:p>
      <w:pPr>
        <w:pStyle w:val="BlockText"/>
      </w:pPr>
      <w:r>
        <w:rPr>
          <w:b/>
          <w:bCs/>
        </w:rPr>
        <w:t xml:space="preserve">Por que isso importa:</w:t>
      </w:r>
      <w:r>
        <w:t xml:space="preserve"> </w:t>
      </w:r>
      <w:r>
        <w:t xml:space="preserve">A estrutura de preços de plataformas bilaterais viola a intuição de que</w:t>
      </w:r>
      <w:r>
        <w:t xml:space="preserve"> </w:t>
      </w:r>
      <w:r>
        <w:t xml:space="preserve">“preço abaixo do custo marginal é predatório”</w:t>
      </w:r>
      <w:r>
        <w:t xml:space="preserve"> </w:t>
      </w:r>
      <w:r>
        <w:t xml:space="preserve">(Capítulo 15, Seção sobre barreiras à entrada). Em mercados bilaterais, subsidiar um lado pode ser a estratégia ótima — e eficiente do ponto de vista social — porque internaliza a externalidade cruzada.</w:t>
      </w:r>
    </w:p>
    <w:p>
      <w:pPr>
        <w:pStyle w:val="BlockText"/>
      </w:pPr>
      <w:r>
        <w:rPr>
          <w:b/>
          <w:bCs/>
        </w:rPr>
        <w:t xml:space="preserve">[EXERCICIO RESOLVIDO] Exercício Resolvido 21.1 — Plataforma monopolista bilateral</w:t>
      </w:r>
    </w:p>
    <w:p>
      <w:pPr>
        <w:pStyle w:val="BlockText"/>
      </w:pPr>
      <w:r>
        <w:rPr>
          <w:b/>
          <w:bCs/>
        </w:rPr>
        <w:t xml:space="preserve">Enunciado.</w:t>
      </w:r>
      <w:r>
        <w:t xml:space="preserve"> </w:t>
      </w:r>
      <w:r>
        <w:t xml:space="preserve">Uma plataforma digital conecta compradores (B) e vendedores (S). A demanda de cada lado é dada por:</w:t>
      </w:r>
    </w:p>
    <w:p>
      <w:pPr>
        <w:pStyle w:val="BlockText"/>
      </w:pPr>
      <w:r>
        <w:t xml:space="preserve">$$</w:t>
      </w:r>
    </w:p>
    <w:p>
      <w:pPr>
        <w:pStyle w:val="BlockText"/>
      </w:pPr>
      <w:r>
        <w:t xml:space="preserve">n_B = 1 - p_B + 0{,}5</w:t>
      </w:r>
      <w:r>
        <w:t xml:space="preserve"> </w:t>
      </w:r>
      <w:r>
        <w:t xml:space="preserve">n_S,</w:t>
      </w:r>
      <w:r>
        <w:t xml:space="preserve"> </w:t>
      </w:r>
      <w:r>
        <w:t xml:space="preserve">n_S = 1 - p_S + 0{,}3</w:t>
      </w:r>
      <w:r>
        <w:t xml:space="preserve"> </w:t>
      </w:r>
      <w:r>
        <w:t xml:space="preserve">n_B</w:t>
      </w:r>
    </w:p>
    <w:p>
      <w:pPr>
        <w:pStyle w:val="BlockText"/>
      </w:pPr>
      <w:r>
        <w:t xml:space="preserve">$$</w:t>
      </w:r>
    </w:p>
    <w:p>
      <w:pPr>
        <w:pStyle w:val="BlockText"/>
      </w:pPr>
      <w:r>
        <w:t xml:space="preserve">O custo marginal de servir cada lado é</w:t>
      </w:r>
      <w:r>
        <w:t xml:space="preserve"> </w:t>
      </w:r>
      <m:oMath>
        <m:sSub>
          <m:e>
            <m:r>
              <m:t>c</m:t>
            </m:r>
          </m:e>
          <m:sub>
            <m:r>
              <m:t>B</m:t>
            </m:r>
          </m:sub>
        </m:sSub>
        <m:r>
          <m:rPr>
            <m:sty m:val="p"/>
          </m:rPr>
          <m:t>=</m:t>
        </m:r>
        <m:sSub>
          <m:e>
            <m:r>
              <m:t>c</m:t>
            </m:r>
          </m:e>
          <m:sub>
            <m:r>
              <m:t>S</m:t>
            </m:r>
          </m:sub>
        </m:sSub>
        <m:r>
          <m:rPr>
            <m:sty m:val="p"/>
          </m:rPr>
          <m:t>=</m:t>
        </m:r>
        <m:r>
          <m:t>0</m:t>
        </m:r>
        <m:r>
          <m:rPr>
            <m:sty m:val="p"/>
          </m:rPr>
          <m:t>,</m:t>
        </m:r>
        <m:r>
          <m:t>1</m:t>
        </m:r>
      </m:oMath>
      <w:r>
        <w:t xml:space="preserve">.</w:t>
      </w:r>
    </w:p>
    <w:p>
      <w:pPr>
        <w:pStyle w:val="BlockText"/>
        <w:numPr>
          <w:ilvl w:val="0"/>
          <w:numId w:val="2145"/>
        </w:numPr>
      </w:pPr>
      <w:r>
        <w:t xml:space="preserve">Resolva o sistema de demandas para expressar</w:t>
      </w:r>
      <w:r>
        <w:t xml:space="preserve"> </w:t>
      </w:r>
      <m:oMath>
        <m:sSub>
          <m:e>
            <m:r>
              <m:t>n</m:t>
            </m:r>
          </m:e>
          <m:sub>
            <m:r>
              <m:t>B</m:t>
            </m:r>
          </m:sub>
        </m:sSub>
      </m:oMath>
      <w:r>
        <w:t xml:space="preserve"> </w:t>
      </w:r>
      <w:r>
        <w:t xml:space="preserve">e</w:t>
      </w:r>
      <w:r>
        <w:t xml:space="preserve"> </w:t>
      </w:r>
      <m:oMath>
        <m:sSub>
          <m:e>
            <m:r>
              <m:t>n</m:t>
            </m:r>
          </m:e>
          <m:sub>
            <m:r>
              <m:t>S</m:t>
            </m:r>
          </m:sub>
        </m:sSub>
      </m:oMath>
      <w:r>
        <w:t xml:space="preserve"> </w:t>
      </w:r>
      <w:r>
        <w:t xml:space="preserve">como funções apenas de</w:t>
      </w:r>
      <w:r>
        <w:t xml:space="preserve"> </w:t>
      </w:r>
      <m:oMath>
        <m:sSub>
          <m:e>
            <m:r>
              <m:t>p</m:t>
            </m:r>
          </m:e>
          <m:sub>
            <m:r>
              <m:t>B</m:t>
            </m:r>
          </m:sub>
        </m:sSub>
      </m:oMath>
      <w:r>
        <w:t xml:space="preserve"> </w:t>
      </w:r>
      <w:r>
        <w:t xml:space="preserve">e</w:t>
      </w:r>
      <w:r>
        <w:t xml:space="preserve"> </w:t>
      </w:r>
      <m:oMath>
        <m:sSub>
          <m:e>
            <m:r>
              <m:t>p</m:t>
            </m:r>
          </m:e>
          <m:sub>
            <m:r>
              <m:t>S</m:t>
            </m:r>
          </m:sub>
        </m:sSub>
      </m:oMath>
      <w:r>
        <w:t xml:space="preserve">.</w:t>
      </w:r>
    </w:p>
    <w:p>
      <w:pPr>
        <w:pStyle w:val="BlockText"/>
        <w:numPr>
          <w:ilvl w:val="0"/>
          <w:numId w:val="2145"/>
        </w:numPr>
      </w:pPr>
      <w:r>
        <w:t xml:space="preserve">Determine os preços ótimos</w:t>
      </w:r>
      <w:r>
        <w:t xml:space="preserve"> </w:t>
      </w:r>
      <m:oMath>
        <m:sSubSup>
          <m:e>
            <m:r>
              <m:t>p</m:t>
            </m:r>
          </m:e>
          <m:sub>
            <m:r>
              <m:t>B</m:t>
            </m:r>
          </m:sub>
          <m:sup>
            <m:r>
              <m:rPr>
                <m:sty m:val="p"/>
              </m:rPr>
              <m:t>*</m:t>
            </m:r>
          </m:sup>
        </m:sSubSup>
      </m:oMath>
      <w:r>
        <w:t xml:space="preserve"> </w:t>
      </w:r>
      <w:r>
        <w:t xml:space="preserve">e</w:t>
      </w:r>
      <w:r>
        <w:t xml:space="preserve"> </w:t>
      </w:r>
      <m:oMath>
        <m:sSubSup>
          <m:e>
            <m:r>
              <m:t>p</m:t>
            </m:r>
          </m:e>
          <m:sub>
            <m:r>
              <m:t>S</m:t>
            </m:r>
          </m:sub>
          <m:sup>
            <m:r>
              <m:rPr>
                <m:sty m:val="p"/>
              </m:rPr>
              <m:t>*</m:t>
            </m:r>
          </m:sup>
        </m:sSubSup>
      </m:oMath>
      <w:r>
        <w:t xml:space="preserve"> </w:t>
      </w:r>
      <w:r>
        <w:t xml:space="preserve">que maximizam o lucro da plataforma.</w:t>
      </w:r>
    </w:p>
    <w:p>
      <w:pPr>
        <w:pStyle w:val="BlockText"/>
        <w:numPr>
          <w:ilvl w:val="0"/>
          <w:numId w:val="2145"/>
        </w:numPr>
      </w:pPr>
      <w:r>
        <w:t xml:space="preserve">Compare os preços ótimos com os que um monopolista cobraria se ignorasse as externalidades cruzadas (</w:t>
      </w:r>
      <m:oMath>
        <m:sSub>
          <m:e>
            <m:r>
              <m:t>α</m:t>
            </m:r>
          </m:e>
          <m:sub>
            <m:r>
              <m:t>B</m:t>
            </m:r>
          </m:sub>
        </m:sSub>
        <m:r>
          <m:rPr>
            <m:sty m:val="p"/>
          </m:rPr>
          <m:t>=</m:t>
        </m:r>
        <m:sSub>
          <m:e>
            <m:r>
              <m:t>α</m:t>
            </m:r>
          </m:e>
          <m:sub>
            <m:r>
              <m:t>S</m:t>
            </m:r>
          </m:sub>
        </m:sSub>
        <m:r>
          <m:rPr>
            <m:sty m:val="p"/>
          </m:rPr>
          <m:t>=</m:t>
        </m:r>
        <m:r>
          <m:t>0</m:t>
        </m:r>
      </m:oMath>
      <w:r>
        <w:t xml:space="preserve">).</w:t>
      </w:r>
    </w:p>
    <w:p>
      <w:pPr>
        <w:pStyle w:val="BlockText"/>
      </w:pPr>
      <w:r>
        <w:rPr>
          <w:b/>
          <w:bCs/>
        </w:rPr>
        <w:t xml:space="preserve">Resolução.</w:t>
      </w:r>
    </w:p>
    <w:p>
      <w:pPr>
        <w:pStyle w:val="BlockText"/>
      </w:pPr>
      <w:r>
        <w:rPr>
          <w:b/>
          <w:bCs/>
        </w:rPr>
        <w:t xml:space="preserve">Passo 1 — Resolver o sistema de demandas.</w:t>
      </w:r>
    </w:p>
    <w:p>
      <w:pPr>
        <w:pStyle w:val="BlockText"/>
      </w:pPr>
      <w:r>
        <w:t xml:space="preserve">Substituindo</w:t>
      </w:r>
      <w:r>
        <w:t xml:space="preserve"> </w:t>
      </w:r>
      <m:oMath>
        <m:sSub>
          <m:e>
            <m:r>
              <m:t>n</m:t>
            </m:r>
          </m:e>
          <m:sub>
            <m:r>
              <m:t>B</m:t>
            </m:r>
          </m:sub>
        </m:sSub>
      </m:oMath>
      <w:r>
        <w:t xml:space="preserve"> </w:t>
      </w:r>
      <w:r>
        <w:t xml:space="preserve">em</w:t>
      </w:r>
      <w:r>
        <w:t xml:space="preserve"> </w:t>
      </w:r>
      <m:oMath>
        <m:sSub>
          <m:e>
            <m:r>
              <m:t>n</m:t>
            </m:r>
          </m:e>
          <m:sub>
            <m:r>
              <m:t>S</m:t>
            </m:r>
          </m:sub>
        </m:sSub>
      </m:oMath>
      <w:r>
        <w:t xml:space="preserve">:</w:t>
      </w:r>
    </w:p>
    <w:p>
      <w:pPr>
        <w:pStyle w:val="BlockText"/>
      </w:pPr>
      <w:r>
        <w:t xml:space="preserve">$$</w:t>
      </w:r>
    </w:p>
    <w:p>
      <w:pPr>
        <w:pStyle w:val="BlockText"/>
      </w:pPr>
      <w:r>
        <w:t xml:space="preserve">n_S = 1 - p_S + 0{,}3(1 - p_B + 0{,}5</w:t>
      </w:r>
      <w:r>
        <w:t xml:space="preserve"> </w:t>
      </w:r>
      <w:r>
        <w:t xml:space="preserve">n_S) = 1{,}3 - p_S - 0{,}3p_B + 0{,}15n_S</w:t>
      </w:r>
    </w:p>
    <w:p>
      <w:pPr>
        <w:pStyle w:val="BlockText"/>
      </w:pPr>
      <w:r>
        <w:t xml:space="preserve">$$</w:t>
      </w:r>
    </w:p>
    <w:p>
      <w:pPr>
        <w:pStyle w:val="BlockText"/>
      </w:pPr>
      <w:r>
        <w:t xml:space="preserve">$$</w:t>
      </w:r>
    </w:p>
    <w:p>
      <w:pPr>
        <w:pStyle w:val="BlockText"/>
      </w:pPr>
      <w:r>
        <w:t xml:space="preserve">0{,}85</w:t>
      </w:r>
      <w:r>
        <w:t xml:space="preserve"> </w:t>
      </w:r>
      <w:r>
        <w:t xml:space="preserve">n_S = 1{,}3 - p_S - 0{,}3p_B</w:t>
      </w:r>
      <w:r>
        <w:t xml:space="preserve"> </w:t>
      </w:r>
      <w:r>
        <w:t xml:space="preserve">n_S =</w:t>
      </w:r>
      <w:r>
        <w:t xml:space="preserve"> </w:t>
      </w:r>
    </w:p>
    <w:p>
      <w:pPr>
        <w:pStyle w:val="BlockText"/>
      </w:pPr>
      <w:r>
        <w:t xml:space="preserve">$$</w:t>
      </w:r>
    </w:p>
    <w:p>
      <w:pPr>
        <w:pStyle w:val="BlockText"/>
      </w:pPr>
      <w:r>
        <w:t xml:space="preserve">Analogamente:</w:t>
      </w:r>
    </w:p>
    <w:p>
      <w:pPr>
        <w:pStyle w:val="BlockText"/>
      </w:pPr>
      <w:r>
        <w:t xml:space="preserve">$$</w:t>
      </w:r>
    </w:p>
    <w:p>
      <w:pPr>
        <w:pStyle w:val="BlockText"/>
      </w:pPr>
      <w:r>
        <w:t xml:space="preserve">n_B = 1 - p_B + 0{,}5</w:t>
      </w:r>
      <w:r>
        <w:t xml:space="preserve"> </w:t>
      </w:r>
      <w:r>
        <w:t xml:space="preserve">n_S = 1 - p_B +</w:t>
      </w:r>
      <w:r>
        <w:t xml:space="preserve"> </w:t>
      </w:r>
    </w:p>
    <w:p>
      <w:pPr>
        <w:pStyle w:val="BlockText"/>
      </w:pPr>
      <w:r>
        <w:t xml:space="preserve">$$</w:t>
      </w:r>
    </w:p>
    <w:p>
      <w:pPr>
        <w:pStyle w:val="BlockText"/>
      </w:pPr>
      <w:r>
        <w:t xml:space="preserve">$$</w:t>
      </w:r>
    </w:p>
    <w:p>
      <w:pPr>
        <w:pStyle w:val="BlockText"/>
      </w:pPr>
      <w:r>
        <w:t xml:space="preserve">n_B = 1 - p_B +</w:t>
      </w:r>
      <w:r>
        <w:t xml:space="preserve"> </w:t>
      </w:r>
      <w:r>
        <w:t xml:space="preserve"> </w:t>
      </w:r>
      <w:r>
        <w:t xml:space="preserve">=</w:t>
      </w:r>
      <w:r>
        <w:t xml:space="preserve"> </w:t>
      </w:r>
    </w:p>
    <w:p>
      <w:pPr>
        <w:pStyle w:val="BlockText"/>
      </w:pPr>
      <w:r>
        <w:t xml:space="preserve">$$</w:t>
      </w:r>
    </w:p>
    <w:p>
      <w:pPr>
        <w:pStyle w:val="BlockText"/>
      </w:pPr>
      <w:r>
        <w:t xml:space="preserve">$$</w:t>
      </w:r>
    </w:p>
    <w:p>
      <w:pPr>
        <w:pStyle w:val="BlockText"/>
      </w:pPr>
      <w:r>
        <w:t xml:space="preserve">n_B =</w:t>
      </w:r>
      <w:r>
        <w:t xml:space="preserve"> </w:t>
      </w:r>
    </w:p>
    <w:p>
      <w:pPr>
        <w:pStyle w:val="BlockText"/>
      </w:pPr>
      <w:r>
        <w:t xml:space="preserve">$$</w:t>
      </w:r>
    </w:p>
    <w:p>
      <w:pPr>
        <w:pStyle w:val="BlockText"/>
      </w:pPr>
      <w:r>
        <w:rPr>
          <w:b/>
          <w:bCs/>
        </w:rPr>
        <w:t xml:space="preserve">Passo 2 — Lucro da plataforma.</w:t>
      </w:r>
    </w:p>
    <w:p>
      <w:pPr>
        <w:pStyle w:val="BlockText"/>
      </w:pPr>
      <w:r>
        <w:t xml:space="preserve">$$</w:t>
      </w:r>
    </w:p>
    <w:p>
      <w:pPr>
        <w:pStyle w:val="BlockText"/>
      </w:pPr>
      <w:r>
        <w:t xml:space="preserve">= (p_B - 0{,}1)</w:t>
      </w:r>
      <w:r>
        <w:t xml:space="preserve"> </w:t>
      </w:r>
      <w:r>
        <w:t xml:space="preserve">n_B + (p_S - 0{,}1)</w:t>
      </w:r>
      <w:r>
        <w:t xml:space="preserve"> </w:t>
      </w:r>
      <w:r>
        <w:t xml:space="preserve">n_S</w:t>
      </w:r>
    </w:p>
    <w:p>
      <w:pPr>
        <w:pStyle w:val="BlockText"/>
      </w:pPr>
      <w:r>
        <w:t xml:space="preserve">$$</w:t>
      </w:r>
    </w:p>
    <w:p>
      <w:pPr>
        <w:pStyle w:val="BlockText"/>
      </w:pPr>
      <w:r>
        <w:t xml:space="preserve">$$</w:t>
      </w:r>
    </w:p>
    <w:p>
      <w:pPr>
        <w:pStyle w:val="BlockText"/>
      </w:pPr>
      <w:r>
        <w:t xml:space="preserve">=</w:t>
      </w:r>
      <w:r>
        <w:t xml:space="preserve"> </w:t>
      </w:r>
    </w:p>
    <w:p>
      <w:pPr>
        <w:pStyle w:val="BlockText"/>
      </w:pPr>
      <w:r>
        <w:t xml:space="preserve">$$</w:t>
      </w:r>
    </w:p>
    <w:p>
      <w:pPr>
        <w:pStyle w:val="BlockText"/>
      </w:pPr>
      <w:r>
        <w:rPr>
          <w:b/>
          <w:bCs/>
        </w:rPr>
        <w:t xml:space="preserve">Passo 3 — Condições de primeira ordem.</w:t>
      </w:r>
    </w:p>
    <w:p>
      <w:pPr>
        <w:pStyle w:val="BlockText"/>
      </w:pPr>
      <w:r>
        <w:t xml:space="preserve">$$</w:t>
      </w:r>
    </w:p>
    <w:p>
      <w:pPr>
        <w:pStyle w:val="BlockText"/>
      </w:pPr>
      <w:r>
        <w:t xml:space="preserve"> </w:t>
      </w:r>
      <w:r>
        <w:t xml:space="preserve">= 0:</w:t>
      </w:r>
      <w:r>
        <w:t xml:space="preserve"> </w:t>
      </w:r>
      <w:r>
        <w:t xml:space="preserve">5 - 2p_B - 0{,}5p_S + 0{,}1 - 0{,}3(p_S - 0{,}1) = 0</w:t>
      </w:r>
    </w:p>
    <w:p>
      <w:pPr>
        <w:pStyle w:val="BlockText"/>
      </w:pPr>
      <w:r>
        <w:t xml:space="preserve">$$</w:t>
      </w:r>
    </w:p>
    <w:p>
      <w:pPr>
        <w:pStyle w:val="BlockText"/>
      </w:pPr>
      <w:r>
        <w:t xml:space="preserve">$$</w:t>
      </w:r>
    </w:p>
    <w:p>
      <w:pPr>
        <w:pStyle w:val="BlockText"/>
      </w:pPr>
      <w:r>
        <w:t xml:space="preserve">1{,}63 - 2p_B - 0{,}8p_S = 0</w:t>
      </w:r>
      <w:r>
        <w:t xml:space="preserve"> </w:t>
      </w:r>
    </w:p>
    <w:p>
      <w:pPr>
        <w:pStyle w:val="BlockText"/>
      </w:pPr>
      <w:r>
        <w:t xml:space="preserve">$$</w:t>
      </w:r>
    </w:p>
    <w:p>
      <w:pPr>
        <w:pStyle w:val="BlockText"/>
      </w:pPr>
      <w:r>
        <w:t xml:space="preserve">$$</w:t>
      </w:r>
    </w:p>
    <w:p>
      <w:pPr>
        <w:pStyle w:val="BlockText"/>
      </w:pPr>
      <w:r>
        <w:t xml:space="preserve"> </w:t>
      </w:r>
      <w:r>
        <w:t xml:space="preserve">= 0:</w:t>
      </w:r>
      <w:r>
        <w:t xml:space="preserve"> </w:t>
      </w:r>
      <w:r>
        <w:t xml:space="preserve">3 - 2p_S - 0{,}3p_B + 0{,}1 - 0{,}5(p_B - 0{,}1) = 0</w:t>
      </w:r>
    </w:p>
    <w:p>
      <w:pPr>
        <w:pStyle w:val="BlockText"/>
      </w:pPr>
      <w:r>
        <w:t xml:space="preserve">$$</w:t>
      </w:r>
    </w:p>
    <w:p>
      <w:pPr>
        <w:pStyle w:val="BlockText"/>
      </w:pPr>
      <w:r>
        <w:t xml:space="preserve">$$</w:t>
      </w:r>
    </w:p>
    <w:p>
      <w:pPr>
        <w:pStyle w:val="BlockText"/>
      </w:pPr>
      <w:r>
        <w:t xml:space="preserve">1{,}45 - 0{,}8p_B - 2p_S = 0</w:t>
      </w:r>
      <w:r>
        <w:t xml:space="preserve"> </w:t>
      </w:r>
    </w:p>
    <w:p>
      <w:pPr>
        <w:pStyle w:val="BlockText"/>
      </w:pPr>
      <w:r>
        <w:t xml:space="preserve">$$</w:t>
      </w:r>
    </w:p>
    <w:p>
      <w:pPr>
        <w:pStyle w:val="BlockText"/>
      </w:pPr>
      <w:r>
        <w:t xml:space="preserve">Resolvendo o sistema (i)–(ii):</w:t>
      </w:r>
    </w:p>
    <w:p>
      <w:pPr>
        <w:pStyle w:val="BlockText"/>
      </w:pPr>
      <w:r>
        <w:t xml:space="preserve">De (i):</w:t>
      </w:r>
      <w:r>
        <w:t xml:space="preserve"> </w:t>
      </w:r>
      <m:oMath>
        <m:sSub>
          <m:e>
            <m:r>
              <m:t>p</m:t>
            </m:r>
          </m:e>
          <m:sub>
            <m:r>
              <m:t>S</m:t>
            </m:r>
          </m:sub>
        </m:sSub>
        <m:r>
          <m:rPr>
            <m:sty m:val="p"/>
          </m:rPr>
          <m:t>=</m:t>
        </m:r>
        <m:r>
          <m:rPr>
            <m:sty m:val="p"/>
          </m:rPr>
          <m:t>(</m:t>
        </m:r>
        <m:r>
          <m:t>1</m:t>
        </m:r>
        <m:r>
          <m:rPr>
            <m:sty m:val="p"/>
          </m:rPr>
          <m:t>,</m:t>
        </m:r>
        <m:r>
          <m:t>63</m:t>
        </m:r>
        <m:r>
          <m:rPr>
            <m:sty m:val="p"/>
          </m:rPr>
          <m:t>−</m:t>
        </m:r>
        <m:r>
          <m:t>2</m:t>
        </m:r>
        <m:sSub>
          <m:e>
            <m:r>
              <m:t>p</m:t>
            </m:r>
          </m:e>
          <m:sub>
            <m:r>
              <m:t>B</m:t>
            </m:r>
          </m:sub>
        </m:sSub>
        <m:r>
          <m:rPr>
            <m:sty m:val="p"/>
          </m:rPr>
          <m:t>)</m:t>
        </m:r>
        <m:r>
          <m:rPr>
            <m:sty m:val="p"/>
          </m:rPr>
          <m:t>/</m:t>
        </m:r>
        <m:r>
          <m:t>0</m:t>
        </m:r>
        <m:r>
          <m:rPr>
            <m:sty m:val="p"/>
          </m:rPr>
          <m:t>,</m:t>
        </m:r>
        <m:r>
          <m:t>8</m:t>
        </m:r>
      </m:oMath>
      <w:r>
        <w:t xml:space="preserve">.</w:t>
      </w:r>
    </w:p>
    <w:p>
      <w:pPr>
        <w:pStyle w:val="BlockText"/>
      </w:pPr>
      <w:r>
        <w:t xml:space="preserve">Substituindo em (ii):</w:t>
      </w:r>
    </w:p>
    <w:p>
      <w:pPr>
        <w:pStyle w:val="BlockText"/>
      </w:pPr>
      <w:r>
        <w:t xml:space="preserve">$$</w:t>
      </w:r>
    </w:p>
    <w:p>
      <w:pPr>
        <w:pStyle w:val="BlockText"/>
      </w:pPr>
      <w:r>
        <w:t xml:space="preserve">1{,}45 - 0{,}8p_B - 2</w:t>
      </w:r>
      <w:r>
        <w:t xml:space="preserve"> </w:t>
      </w:r>
      <w:r>
        <w:t xml:space="preserve"> </w:t>
      </w:r>
      <w:r>
        <w:t xml:space="preserve">= 0</w:t>
      </w:r>
    </w:p>
    <w:p>
      <w:pPr>
        <w:pStyle w:val="BlockText"/>
      </w:pPr>
      <w:r>
        <w:t xml:space="preserve">$$</w:t>
      </w:r>
    </w:p>
    <w:p>
      <w:pPr>
        <w:pStyle w:val="BlockText"/>
      </w:pPr>
      <w:r>
        <w:t xml:space="preserve">$$</w:t>
      </w:r>
    </w:p>
    <w:p>
      <w:pPr>
        <w:pStyle w:val="BlockText"/>
      </w:pPr>
      <w:r>
        <w:t xml:space="preserve">1{,}45 - 0{,}8p_B -</w:t>
      </w:r>
      <w:r>
        <w:t xml:space="preserve"> </w:t>
      </w:r>
      <w:r>
        <w:t xml:space="preserve"> </w:t>
      </w:r>
      <w:r>
        <w:t xml:space="preserve">= 0</w:t>
      </w:r>
    </w:p>
    <w:p>
      <w:pPr>
        <w:pStyle w:val="BlockText"/>
      </w:pPr>
      <w:r>
        <w:t xml:space="preserve">$$</w:t>
      </w:r>
    </w:p>
    <w:p>
      <w:pPr>
        <w:pStyle w:val="BlockText"/>
      </w:pPr>
      <w:r>
        <w:t xml:space="preserve">$$</w:t>
      </w:r>
    </w:p>
    <w:p>
      <w:pPr>
        <w:pStyle w:val="BlockText"/>
      </w:pPr>
      <w:r>
        <w:t xml:space="preserve">1{,}16 - 0{,}64p_B - 3{,}26 + 4p_B = 0</w:t>
      </w:r>
      <w:r>
        <w:t xml:space="preserve"> </w:t>
      </w:r>
      <w:r>
        <w:t xml:space="preserve">36p_B = 2{,}1</w:t>
      </w:r>
      <w:r>
        <w:t xml:space="preserve"> </w:t>
      </w:r>
      <w:r>
        <w:t xml:space="preserve">p_B^*</w:t>
      </w:r>
      <w:r>
        <w:t xml:space="preserve"> </w:t>
      </w:r>
      <w:r>
        <w:t xml:space="preserve">625</w:t>
      </w:r>
    </w:p>
    <w:p>
      <w:pPr>
        <w:pStyle w:val="BlockText"/>
      </w:pPr>
      <w:r>
        <w:t xml:space="preserve">$$</w:t>
      </w:r>
    </w:p>
    <w:p>
      <w:pPr>
        <w:pStyle w:val="BlockText"/>
      </w:pPr>
      <w:r>
        <w:t xml:space="preserve">$$</w:t>
      </w:r>
    </w:p>
    <w:p>
      <w:pPr>
        <w:pStyle w:val="BlockText"/>
      </w:pPr>
      <w:r>
        <w:t xml:space="preserve">p_S^* =</w:t>
      </w:r>
      <w:r>
        <w:t xml:space="preserve"> </w:t>
      </w:r>
      <w:r>
        <w:t xml:space="preserve"> </w:t>
      </w:r>
      <w:r>
        <w:t xml:space="preserve">=</w:t>
      </w:r>
      <w:r>
        <w:t xml:space="preserve"> </w:t>
      </w:r>
      <w:r>
        <w:t xml:space="preserve"> </w:t>
      </w:r>
      <w:r>
        <w:t xml:space="preserve">475</w:t>
      </w:r>
    </w:p>
    <w:p>
      <w:pPr>
        <w:pStyle w:val="BlockText"/>
      </w:pPr>
      <w:r>
        <w:t xml:space="preserve">$$</w:t>
      </w:r>
    </w:p>
    <w:p>
      <w:pPr>
        <w:pStyle w:val="BlockText"/>
      </w:pPr>
      <w:r>
        <w:rPr>
          <w:b/>
          <w:bCs/>
        </w:rPr>
        <w:t xml:space="preserve">Passo 4 — Comparação com monopolista sem externalidades.</w:t>
      </w:r>
    </w:p>
    <w:p>
      <w:pPr>
        <w:pStyle w:val="BlockText"/>
      </w:pPr>
      <w:r>
        <w:t xml:space="preserve">Se</w:t>
      </w:r>
      <w:r>
        <w:t xml:space="preserve"> </w:t>
      </w:r>
      <m:oMath>
        <m:sSub>
          <m:e>
            <m:r>
              <m:t>α</m:t>
            </m:r>
          </m:e>
          <m:sub>
            <m:r>
              <m:t>B</m:t>
            </m:r>
          </m:sub>
        </m:sSub>
        <m:r>
          <m:rPr>
            <m:sty m:val="p"/>
          </m:rPr>
          <m:t>=</m:t>
        </m:r>
        <m:sSub>
          <m:e>
            <m:r>
              <m:t>α</m:t>
            </m:r>
          </m:e>
          <m:sub>
            <m:r>
              <m:t>S</m:t>
            </m:r>
          </m:sub>
        </m:sSub>
        <m:r>
          <m:rPr>
            <m:sty m:val="p"/>
          </m:rPr>
          <m:t>=</m:t>
        </m:r>
        <m:r>
          <m:t>0</m:t>
        </m:r>
      </m:oMath>
      <w:r>
        <w:t xml:space="preserve">, as demandas são independentes:</w:t>
      </w:r>
      <w:r>
        <w:t xml:space="preserve"> </w:t>
      </w:r>
      <m:oMath>
        <m:sSub>
          <m:e>
            <m:r>
              <m:t>n</m:t>
            </m:r>
          </m:e>
          <m:sub>
            <m:r>
              <m:t>B</m:t>
            </m:r>
          </m:sub>
        </m:sSub>
        <m:r>
          <m:rPr>
            <m:sty m:val="p"/>
          </m:rPr>
          <m:t>=</m:t>
        </m:r>
        <m:r>
          <m:t>1</m:t>
        </m:r>
        <m:r>
          <m:rPr>
            <m:sty m:val="p"/>
          </m:rPr>
          <m:t>−</m:t>
        </m:r>
        <m:sSub>
          <m:e>
            <m:r>
              <m:t>p</m:t>
            </m:r>
          </m:e>
          <m:sub>
            <m:r>
              <m:t>B</m:t>
            </m:r>
          </m:sub>
        </m:sSub>
      </m:oMath>
      <w:r>
        <w:t xml:space="preserve">,</w:t>
      </w:r>
      <w:r>
        <w:t xml:space="preserve"> </w:t>
      </w:r>
      <m:oMath>
        <m:sSub>
          <m:e>
            <m:r>
              <m:t>n</m:t>
            </m:r>
          </m:e>
          <m:sub>
            <m:r>
              <m:t>S</m:t>
            </m:r>
          </m:sub>
        </m:sSub>
        <m:r>
          <m:rPr>
            <m:sty m:val="p"/>
          </m:rPr>
          <m:t>=</m:t>
        </m:r>
        <m:r>
          <m:t>1</m:t>
        </m:r>
        <m:r>
          <m:rPr>
            <m:sty m:val="p"/>
          </m:rPr>
          <m:t>−</m:t>
        </m:r>
        <m:sSub>
          <m:e>
            <m:r>
              <m:t>p</m:t>
            </m:r>
          </m:e>
          <m:sub>
            <m:r>
              <m:t>S</m:t>
            </m:r>
          </m:sub>
        </m:sSub>
      </m:oMath>
      <w:r>
        <w:t xml:space="preserve">. O monopolista resolve:</w:t>
      </w:r>
    </w:p>
    <w:p>
      <w:pPr>
        <w:pStyle w:val="BlockText"/>
      </w:pPr>
      <w:r>
        <w:t xml:space="preserve">$$</w:t>
      </w:r>
    </w:p>
    <w:p>
      <w:pPr>
        <w:pStyle w:val="BlockText"/>
      </w:pPr>
      <w:r>
        <w:t xml:space="preserve">_{p_B} (p_B - 0{,}1)(1 - p_B)</w:t>
      </w:r>
      <w:r>
        <w:t xml:space="preserve"> </w:t>
      </w:r>
      <w:r>
        <w:t xml:space="preserve">p_B^{mono} =</w:t>
      </w:r>
      <w:r>
        <w:t xml:space="preserve"> </w:t>
      </w:r>
      <w:r>
        <w:t xml:space="preserve"> </w:t>
      </w:r>
      <w:r>
        <w:t xml:space="preserve">= 0{,}55</w:t>
      </w:r>
    </w:p>
    <w:p>
      <w:pPr>
        <w:pStyle w:val="BlockText"/>
      </w:pPr>
      <w:r>
        <w:t xml:space="preserve">$$</w:t>
      </w:r>
    </w:p>
    <w:p>
      <w:pPr>
        <w:pStyle w:val="BlockText"/>
      </w:pPr>
      <w:r>
        <w:t xml:space="preserve">$$</w:t>
      </w:r>
    </w:p>
    <w:p>
      <w:pPr>
        <w:pStyle w:val="BlockText"/>
      </w:pPr>
      <w:r>
        <w:t xml:space="preserve">p_S^{mono} = 0{,}55</w:t>
      </w:r>
    </w:p>
    <w:p>
      <w:pPr>
        <w:pStyle w:val="BlockText"/>
      </w:pPr>
      <w:r>
        <w:t xml:space="preserve">$$</w:t>
      </w:r>
    </w:p>
    <w:p>
      <w:pPr>
        <w:pStyle w:val="BlockText"/>
      </w:pPr>
      <w:r>
        <w:rPr>
          <w:b/>
          <w:bCs/>
        </w:rPr>
        <w:t xml:space="preserve">Resultado:</w:t>
      </w:r>
      <w:r>
        <w:t xml:space="preserve"> </w:t>
      </w:r>
      <w:r>
        <w:t xml:space="preserve">Com externalidades cruzadas, a plataforma cobra</w:t>
      </w:r>
      <w:r>
        <w:t xml:space="preserve"> </w:t>
      </w:r>
      <w:r>
        <w:rPr>
          <w:b/>
          <w:bCs/>
        </w:rPr>
        <w:t xml:space="preserve">mais</w:t>
      </w:r>
      <w:r>
        <w:t xml:space="preserve"> </w:t>
      </w:r>
      <w:r>
        <w:t xml:space="preserve">do lado dos compradores (</w:t>
      </w:r>
      <m:oMath>
        <m:sSubSup>
          <m:e>
            <m:r>
              <m:t>p</m:t>
            </m:r>
          </m:e>
          <m:sub>
            <m:r>
              <m:t>B</m:t>
            </m:r>
          </m:sub>
          <m:sup>
            <m:r>
              <m:rPr>
                <m:sty m:val="p"/>
              </m:rPr>
              <m:t>*</m:t>
            </m:r>
          </m:sup>
        </m:sSubSup>
        <m:r>
          <m:rPr>
            <m:sty m:val="p"/>
          </m:rPr>
          <m:t>≈</m:t>
        </m:r>
        <m:r>
          <m:t>0</m:t>
        </m:r>
        <m:r>
          <m:rPr>
            <m:sty m:val="p"/>
          </m:rPr>
          <m:t>,</m:t>
        </m:r>
        <m:r>
          <m:t>625</m:t>
        </m:r>
        <m:r>
          <m:rPr>
            <m:sty m:val="p"/>
          </m:rPr>
          <m:t>&gt;</m:t>
        </m:r>
        <m:r>
          <m:t>0</m:t>
        </m:r>
        <m:r>
          <m:rPr>
            <m:sty m:val="p"/>
          </m:rPr>
          <m:t>,</m:t>
        </m:r>
        <m:r>
          <m:t>55</m:t>
        </m:r>
      </m:oMath>
      <w:r>
        <w:t xml:space="preserve">) e</w:t>
      </w:r>
      <w:r>
        <w:t xml:space="preserve"> </w:t>
      </w:r>
      <w:r>
        <w:rPr>
          <w:b/>
          <w:bCs/>
        </w:rPr>
        <w:t xml:space="preserve">menos</w:t>
      </w:r>
      <w:r>
        <w:t xml:space="preserve"> </w:t>
      </w:r>
      <w:r>
        <w:t xml:space="preserve">dos vendedores (</w:t>
      </w:r>
      <m:oMath>
        <m:sSubSup>
          <m:e>
            <m:r>
              <m:t>p</m:t>
            </m:r>
          </m:e>
          <m:sub>
            <m:r>
              <m:t>S</m:t>
            </m:r>
          </m:sub>
          <m:sup>
            <m:r>
              <m:rPr>
                <m:sty m:val="p"/>
              </m:rPr>
              <m:t>*</m:t>
            </m:r>
          </m:sup>
        </m:sSubSup>
        <m:r>
          <m:rPr>
            <m:sty m:val="p"/>
          </m:rPr>
          <m:t>≈</m:t>
        </m:r>
        <m:r>
          <m:t>0</m:t>
        </m:r>
        <m:r>
          <m:rPr>
            <m:sty m:val="p"/>
          </m:rPr>
          <m:t>,</m:t>
        </m:r>
        <m:r>
          <m:t>475</m:t>
        </m:r>
        <m:r>
          <m:rPr>
            <m:sty m:val="p"/>
          </m:rPr>
          <m:t>&lt;</m:t>
        </m:r>
        <m:r>
          <m:t>0</m:t>
        </m:r>
        <m:r>
          <m:rPr>
            <m:sty m:val="p"/>
          </m:rPr>
          <m:t>,</m:t>
        </m:r>
        <m:r>
          <m:t>55</m:t>
        </m:r>
      </m:oMath>
      <w:r>
        <w:t xml:space="preserve">). Isso ocorre porque</w:t>
      </w:r>
      <w:r>
        <w:t xml:space="preserve"> </w:t>
      </w:r>
      <m:oMath>
        <m:sSub>
          <m:e>
            <m:r>
              <m:t>α</m:t>
            </m:r>
          </m:e>
          <m:sub>
            <m:r>
              <m:t>B</m:t>
            </m:r>
          </m:sub>
        </m:sSub>
        <m:r>
          <m:rPr>
            <m:sty m:val="p"/>
          </m:rPr>
          <m:t>=</m:t>
        </m:r>
        <m:r>
          <m:t>0</m:t>
        </m:r>
        <m:r>
          <m:rPr>
            <m:sty m:val="p"/>
          </m:rPr>
          <m:t>,</m:t>
        </m:r>
        <m:r>
          <m:t>5</m:t>
        </m:r>
        <m:r>
          <m:rPr>
            <m:sty m:val="p"/>
          </m:rPr>
          <m:t>&gt;</m:t>
        </m:r>
        <m:sSub>
          <m:e>
            <m:r>
              <m:t>α</m:t>
            </m:r>
          </m:e>
          <m:sub>
            <m:r>
              <m:t>S</m:t>
            </m:r>
          </m:sub>
        </m:sSub>
        <m:r>
          <m:rPr>
            <m:sty m:val="p"/>
          </m:rPr>
          <m:t>=</m:t>
        </m:r>
        <m:r>
          <m:t>0</m:t>
        </m:r>
        <m:r>
          <m:rPr>
            <m:sty m:val="p"/>
          </m:rPr>
          <m:t>,</m:t>
        </m:r>
        <m:r>
          <m:t>3</m:t>
        </m:r>
      </m:oMath>
      <w:r>
        <w:t xml:space="preserve">: os compradores valorizam mais a presença de vendedores do que o inverso. Logo, a plataforma subsidia os vendedores (reduz</w:t>
      </w:r>
      <w:r>
        <w:t xml:space="preserve"> </w:t>
      </w:r>
      <m:oMath>
        <m:sSub>
          <m:e>
            <m:r>
              <m:t>p</m:t>
            </m:r>
          </m:e>
          <m:sub>
            <m:r>
              <m:t>S</m:t>
            </m:r>
          </m:sub>
        </m:sSub>
      </m:oMath>
      <w:r>
        <w:t xml:space="preserve">) para atrair mais deles, o que por sua vez atrai compradores que estão dispostos a pagar mais pela plataforma. A estrutura de preços assimétrica internaliza a externalidade cruzada.</w:t>
      </w:r>
    </w:p>
    <w:bookmarkEnd w:id="1309"/>
    <w:bookmarkStart w:id="1310" w:name="preço-de-ramsey-em-mercados-bilaterais"/>
    <w:p>
      <w:pPr>
        <w:pStyle w:val="Heading4"/>
      </w:pPr>
      <w:r>
        <w:t xml:space="preserve">21.3.4 Preço de Ramsey em mercados bilaterais</w:t>
      </w:r>
    </w:p>
    <w:p>
      <w:pPr>
        <w:pStyle w:val="FirstParagraph"/>
      </w:pPr>
      <w:r>
        <w:t xml:space="preserve">A regra de precificação ótima da plataforma bilateral pode ser expressa como uma</w:t>
      </w:r>
      <w:r>
        <w:t xml:space="preserve"> </w:t>
      </w:r>
      <w:r>
        <w:rPr>
          <w:b/>
          <w:bCs/>
        </w:rPr>
        <w:t xml:space="preserve">regra de Ramsey modificada</w:t>
      </w:r>
      <w:r>
        <w:t xml:space="preserve">. Recorde que, no problema clássico de Ramsey (Capítulo 15), um monopolista regulado que precisa cobrir custos fixos deve desviar os preços do custo marginal proporcionalmente ao</w:t>
      </w:r>
      <w:r>
        <w:t xml:space="preserve"> </w:t>
      </w:r>
      <w:r>
        <w:rPr>
          <w:i/>
          <w:iCs/>
        </w:rPr>
        <w:t xml:space="preserve">inverso</w:t>
      </w:r>
      <w:r>
        <w:t xml:space="preserve"> </w:t>
      </w:r>
      <w:r>
        <w:t xml:space="preserve">da elasticidade-preço da demanda em cada mercado. Em mercados bilaterais, a regra é análoga, mas incorpora a externalidade cruzada:</w:t>
      </w:r>
    </w:p>
    <w:p>
      <w:pPr>
        <w:pStyle w:val="BodyText"/>
      </w:pPr>
      <m:oMathPara>
        <m:oMathParaPr>
          <m:jc m:val="center"/>
        </m:oMathParaPr>
        <m:oMath>
          <m:f>
            <m:fPr>
              <m:type m:val="bar"/>
            </m:fPr>
            <m:num>
              <m:sSubSup>
                <m:e>
                  <m:r>
                    <m:t>p</m:t>
                  </m:r>
                </m:e>
                <m:sub>
                  <m:r>
                    <m:t>k</m:t>
                  </m:r>
                </m:sub>
                <m:sup>
                  <m:r>
                    <m:rPr>
                      <m:sty m:val="p"/>
                    </m:rPr>
                    <m:t>*</m:t>
                  </m:r>
                </m:sup>
              </m:sSubSup>
              <m:r>
                <m:rPr>
                  <m:sty m:val="p"/>
                </m:rPr>
                <m:t>−</m:t>
              </m:r>
              <m:sSub>
                <m:e>
                  <m:r>
                    <m:t>c</m:t>
                  </m:r>
                </m:e>
                <m:sub>
                  <m:r>
                    <m:t>k</m:t>
                  </m:r>
                </m:sub>
              </m:sSub>
            </m:num>
            <m:den>
              <m:sSubSup>
                <m:e>
                  <m:r>
                    <m:t>p</m:t>
                  </m:r>
                </m:e>
                <m:sub>
                  <m:r>
                    <m:t>k</m:t>
                  </m:r>
                </m:sub>
                <m:sup>
                  <m:r>
                    <m:rPr>
                      <m:sty m:val="p"/>
                    </m:rPr>
                    <m:t>*</m:t>
                  </m:r>
                </m:sup>
              </m:sSubSup>
            </m:den>
          </m:f>
          <m:r>
            <m:rPr>
              <m:sty m:val="p"/>
            </m:rPr>
            <m:t>=</m:t>
          </m:r>
          <m:f>
            <m:fPr>
              <m:type m:val="bar"/>
            </m:fPr>
            <m:num>
              <m:r>
                <m:t>1</m:t>
              </m:r>
            </m:num>
            <m:den>
              <m:sSub>
                <m:e>
                  <m:r>
                    <m:t>ε</m:t>
                  </m:r>
                </m:e>
                <m:sub>
                  <m:r>
                    <m:t>k</m:t>
                  </m:r>
                </m:sub>
              </m:sSub>
            </m:den>
          </m:f>
          <m:r>
            <m:rPr>
              <m:sty m:val="p"/>
            </m:rPr>
            <m:t>−</m:t>
          </m:r>
          <m:f>
            <m:fPr>
              <m:type m:val="bar"/>
            </m:fPr>
            <m:num>
              <m:sSub>
                <m:e>
                  <m:r>
                    <m:t>α</m:t>
                  </m:r>
                </m:e>
                <m:sub>
                  <m:r>
                    <m:rPr>
                      <m:sty m:val="p"/>
                    </m:rPr>
                    <m:t>−</m:t>
                  </m:r>
                  <m:r>
                    <m:t>k</m:t>
                  </m:r>
                </m:sub>
              </m:sSub>
              <m:r>
                <m:rPr>
                  <m:sty m:val="p"/>
                </m:rPr>
                <m:t>⋅</m:t>
              </m:r>
              <m:sSub>
                <m:e>
                  <m:r>
                    <m:t>n</m:t>
                  </m:r>
                </m:e>
                <m:sub>
                  <m:r>
                    <m:rPr>
                      <m:sty m:val="p"/>
                    </m:rPr>
                    <m:t>−</m:t>
                  </m:r>
                  <m:r>
                    <m:t>k</m:t>
                  </m:r>
                </m:sub>
              </m:sSub>
            </m:num>
            <m:den>
              <m:sSubSup>
                <m:e>
                  <m:r>
                    <m:t>p</m:t>
                  </m:r>
                </m:e>
                <m:sub>
                  <m:r>
                    <m:t>k</m:t>
                  </m:r>
                </m:sub>
                <m:sup>
                  <m:r>
                    <m:rPr>
                      <m:sty m:val="p"/>
                    </m:rPr>
                    <m:t>*</m:t>
                  </m:r>
                </m:sup>
              </m:sSubSup>
              <m:r>
                <m:rPr>
                  <m:sty m:val="p"/>
                </m:rPr>
                <m:t>⋅</m:t>
              </m:r>
              <m:sSub>
                <m:e>
                  <m:r>
                    <m:t>ε</m:t>
                  </m:r>
                </m:e>
                <m:sub>
                  <m:r>
                    <m:t>k</m:t>
                  </m:r>
                </m:sub>
              </m:sSub>
            </m:den>
          </m:f>
        </m:oMath>
      </m:oMathPara>
    </w:p>
    <w:p>
      <w:pPr>
        <w:pStyle w:val="FirstParagraph"/>
      </w:pPr>
      <w:r>
        <w:t xml:space="preserve">onde</w:t>
      </w:r>
      <w:r>
        <w:t xml:space="preserve"> </w:t>
      </w:r>
      <m:oMath>
        <m:r>
          <m:t>k</m:t>
        </m:r>
        <m:r>
          <m:rPr>
            <m:sty m:val="p"/>
          </m:rPr>
          <m:t>∈</m:t>
        </m:r>
        <m:r>
          <m:rPr>
            <m:sty m:val="p"/>
          </m:rPr>
          <m:t>{</m:t>
        </m:r>
        <m:r>
          <m:t>B</m:t>
        </m:r>
        <m:r>
          <m:rPr>
            <m:sty m:val="p"/>
          </m:rPr>
          <m:t>,</m:t>
        </m:r>
        <m:r>
          <m:t>S</m:t>
        </m:r>
        <m:r>
          <m:rPr>
            <m:sty m:val="p"/>
          </m:rPr>
          <m:t>}</m:t>
        </m:r>
      </m:oMath>
      <w:r>
        <w:t xml:space="preserve">,</w:t>
      </w:r>
      <w:r>
        <w:t xml:space="preserve"> </w:t>
      </w:r>
      <m:oMath>
        <m:sSub>
          <m:e>
            <m:r>
              <m:t>ε</m:t>
            </m:r>
          </m:e>
          <m:sub>
            <m:r>
              <m:t>k</m:t>
            </m:r>
          </m:sub>
        </m:sSub>
      </m:oMath>
      <w:r>
        <w:t xml:space="preserve"> </w:t>
      </w:r>
      <w:r>
        <w:t xml:space="preserve">é a elasticidade-preço da demanda do lado</w:t>
      </w:r>
      <w:r>
        <w:t xml:space="preserve"> </w:t>
      </w:r>
      <m:oMath>
        <m:r>
          <m:t>k</m:t>
        </m:r>
      </m:oMath>
      <w:r>
        <w:t xml:space="preserve">, e</w:t>
      </w:r>
      <w:r>
        <w:t xml:space="preserve"> </w:t>
      </w:r>
      <m:oMath>
        <m:sSub>
          <m:e>
            <m:r>
              <m:t>α</m:t>
            </m:r>
          </m:e>
          <m:sub>
            <m:r>
              <m:rPr>
                <m:sty m:val="p"/>
              </m:rPr>
              <m:t>−</m:t>
            </m:r>
            <m:r>
              <m:t>k</m:t>
            </m:r>
          </m:sub>
        </m:sSub>
      </m:oMath>
      <w:r>
        <w:t xml:space="preserve"> </w:t>
      </w:r>
      <w:r>
        <w:t xml:space="preserve">é a externalidade que o lado</w:t>
      </w:r>
      <w:r>
        <w:t xml:space="preserve"> </w:t>
      </w:r>
      <m:oMath>
        <m:r>
          <m:t>k</m:t>
        </m:r>
      </m:oMath>
      <w:r>
        <w:t xml:space="preserve"> </w:t>
      </w:r>
      <w:r>
        <w:t xml:space="preserve">gera para o outro lado. O segundo termo é o</w:t>
      </w:r>
      <w:r>
        <w:t xml:space="preserve"> </w:t>
      </w:r>
      <w:r>
        <w:t xml:space="preserve">“desconto de externalidade”</w:t>
      </w:r>
      <w:r>
        <w:t xml:space="preserve">: a plataforma reduz a margem no lado</w:t>
      </w:r>
      <w:r>
        <w:t xml:space="preserve"> </w:t>
      </w:r>
      <m:oMath>
        <m:r>
          <m:t>k</m:t>
        </m:r>
      </m:oMath>
      <w:r>
        <w:t xml:space="preserve"> </w:t>
      </w:r>
      <w:r>
        <w:t xml:space="preserve">na proporção da externalidade que esse lado gera.</w:t>
      </w:r>
    </w:p>
    <w:p>
      <w:pPr>
        <w:pStyle w:val="BlockText"/>
      </w:pPr>
      <w:r>
        <w:rPr>
          <w:b/>
          <w:bCs/>
        </w:rPr>
        <w:t xml:space="preserve">[BOX BRASIL] Box Brasil 21.1 — iFood, Uber e 99: plataformas bilaterais no cotidiano brasileiro</w:t>
      </w:r>
    </w:p>
    <w:p>
      <w:pPr>
        <w:pStyle w:val="BlockText"/>
      </w:pPr>
      <w:r>
        <w:rPr>
          <w:b/>
          <w:bCs/>
        </w:rPr>
        <w:t xml:space="preserve">Contexto:</w:t>
      </w:r>
      <w:r>
        <w:t xml:space="preserve"> </w:t>
      </w:r>
      <w:r>
        <w:t xml:space="preserve">O Brasil é um dos maiores mercados de plataformas digitais bilaterais do mundo. Em 2024, o iFood atendia mais de 60 milhões de pedidos por mês, conectando cerca de 55 milhões de consumidores a mais de 300 mil restaurantes, com uma frota de mais de 200 mil entregadores. A Uber Brasil tinha mais de 30 milhões de usuários ativos e 1 milhão de motoristas parceiros. A 99, adquirida pela chinesa DiDi, operava em mais de 3.000 cidades brasileiras.</w:t>
      </w:r>
    </w:p>
    <w:p>
      <w:pPr>
        <w:pStyle w:val="BlockText"/>
      </w:pPr>
      <w:r>
        <w:rPr>
          <w:b/>
          <w:bCs/>
        </w:rPr>
        <w:t xml:space="preserve">Dados:</w:t>
      </w:r>
      <w:r>
        <w:t xml:space="preserve"> </w:t>
      </w:r>
      <w:r>
        <w:t xml:space="preserve">A estrutura de preços dessas plataformas ilustra perfeitamente a lógica do subsídio cruzado. O iFood cobra dos restaurantes parceiros uma comissão de 12% a 27% sobre o valor de cada pedido (lado pagante), enquanto frequentemente oferece cupons de desconto e frete grátis para consumidores (lado subsidiado). A Uber cobra uma comissão de 20–25% dos motoristas, mas subsidia corridas para passageiros com códigos promocionais, especialmente ao entrar em novas cidades. A 99 ofereceu durante anos corridas a R$ 0,99 em campanhas de conquista de mercado.</w:t>
      </w:r>
    </w:p>
    <w:p>
      <w:pPr>
        <w:pStyle w:val="BlockText"/>
      </w:pPr>
      <w:r>
        <w:rPr>
          <w:b/>
          <w:bCs/>
        </w:rPr>
        <w:t xml:space="preserve">Análise:</w:t>
      </w:r>
      <w:r>
        <w:t xml:space="preserve"> </w:t>
      </w:r>
      <w:r>
        <w:t xml:space="preserve">Essas estratégias de</w:t>
      </w:r>
      <w:r>
        <w:t xml:space="preserve"> </w:t>
      </w:r>
      <w:r>
        <w:t xml:space="preserve">“queima de caixa”</w:t>
      </w:r>
      <w:r>
        <w:t xml:space="preserve"> </w:t>
      </w:r>
      <w:r>
        <w:t xml:space="preserve">para conquistar usuários — financiadas por capital de risco na casa dos bilhões — são racionais à luz do modelo de Rochet e Tirole: o investimento em atrair o lado subsidiado (consumidores) gera externalidades positivas para o lado pagante (restaurantes, motoristas), que está disposto a pagar comissões elevadas pela base de clientes que a plataforma acumula. O desafio regulatório é duplo: garantir que a competição entre plataformas beneficie ambos os lados (e não apenas o investidor) e proteger os trabalhadores de plataforma (entregadores e motoristas) cujas condições de trabalho são tema de intenso debate no Brasil.</w:t>
      </w:r>
    </w:p>
    <w:p>
      <w:pPr>
        <w:pStyle w:val="BlockText"/>
      </w:pPr>
      <w:r>
        <w:rPr>
          <w:b/>
          <w:bCs/>
        </w:rPr>
        <w:t xml:space="preserve">Fonte:</w:t>
      </w:r>
      <w:r>
        <w:t xml:space="preserve"> </w:t>
      </w:r>
      <w:r>
        <w:t xml:space="preserve">iFood Report 2024. Uber Brasil — Relatório de Impacto Econômico 2023.</w:t>
      </w:r>
    </w:p>
    <w:p>
      <w:pPr>
        <w:pStyle w:val="FirstParagraph"/>
      </w:pPr>
      <w:r>
        <w:t xml:space="preserve">[FIGURA INTERATIVA: /micro-book/graficos/cap21/plataforma-bilateral.html — versao interativa disponivel online]</w:t>
      </w:r>
    </w:p>
    <w:p>
      <w:pPr>
        <w:pStyle w:val="BodyText"/>
      </w:pPr>
      <w:r>
        <w:rPr>
          <w:b/>
          <w:bCs/>
        </w:rPr>
        <w:t xml:space="preserve">Figura 21.2 — Precificação de Plataforma Bilateral.</w:t>
      </w:r>
      <w:r>
        <w:t xml:space="preserve"> </w:t>
      </w:r>
      <w:r>
        <w:t xml:space="preserve">O gráfico de barras compara os preços ótimos</w:t>
      </w:r>
      <w:r>
        <w:t xml:space="preserve"> </w:t>
      </w:r>
      <m:oMath>
        <m:sSubSup>
          <m:e>
            <m:r>
              <m:t>p</m:t>
            </m:r>
          </m:e>
          <m:sub>
            <m:r>
              <m:t>B</m:t>
            </m:r>
          </m:sub>
          <m:sup>
            <m:r>
              <m:rPr>
                <m:sty m:val="p"/>
              </m:rPr>
              <m:t>*</m:t>
            </m:r>
          </m:sup>
        </m:sSubSup>
      </m:oMath>
      <w:r>
        <w:t xml:space="preserve"> </w:t>
      </w:r>
      <w:r>
        <w:t xml:space="preserve">e</w:t>
      </w:r>
      <w:r>
        <w:t xml:space="preserve"> </w:t>
      </w:r>
      <m:oMath>
        <m:sSubSup>
          <m:e>
            <m:r>
              <m:t>p</m:t>
            </m:r>
          </m:e>
          <m:sub>
            <m:r>
              <m:t>S</m:t>
            </m:r>
          </m:sub>
          <m:sup>
            <m:r>
              <m:rPr>
                <m:sty m:val="p"/>
              </m:rPr>
              <m:t>*</m:t>
            </m:r>
          </m:sup>
        </m:sSubSup>
      </m:oMath>
      <w:r>
        <w:t xml:space="preserve"> </w:t>
      </w:r>
      <w:r>
        <w:t xml:space="preserve">cobrados pela plataforma a cada lado com o custo marginal</w:t>
      </w:r>
      <w:r>
        <w:t xml:space="preserve"> </w:t>
      </w:r>
      <m:oMath>
        <m:r>
          <m:t>c</m:t>
        </m:r>
      </m:oMath>
      <w:r>
        <w:t xml:space="preserve">. O lado que gera maior externalidade cruzada (</w:t>
      </w:r>
      <m:oMath>
        <m:r>
          <m:t>γ</m:t>
        </m:r>
      </m:oMath>
      <w:r>
        <w:t xml:space="preserve"> </w:t>
      </w:r>
      <w:r>
        <w:t xml:space="preserve">mais alto) tende a ser subsidiado — recebendo preço abaixo do custo — enquanto o lado oposto paga mais.</w:t>
      </w:r>
    </w:p>
    <w:p>
      <w:pPr>
        <w:pStyle w:val="BlockText"/>
      </w:pPr>
      <w:r>
        <w:rPr>
          <w:b/>
          <w:bCs/>
        </w:rPr>
        <w:t xml:space="preserve">[R-INTERACTIVE] R Interativo — Plataforma Bilateral: Preços Ótimos com Externalidades Cruzadas</w:t>
      </w:r>
    </w:p>
    <w:p>
      <w:pPr>
        <w:pStyle w:val="SourceCode"/>
      </w:pPr>
      <w:r>
        <w:rPr>
          <w:rStyle w:val="CommentTok"/>
        </w:rPr>
        <w:t xml:space="preserve"># Plataforma bilateral monopolista — modelo Rochet-Tirole simplificado</w:t>
      </w:r>
      <w:r>
        <w:br/>
      </w:r>
      <w:r>
        <w:rPr>
          <w:rStyle w:val="CommentTok"/>
        </w:rPr>
        <w:t xml:space="preserve"># Demandas: n_B = 1 - p_B + alpha_B * n_S</w:t>
      </w:r>
      <w:r>
        <w:br/>
      </w:r>
      <w:r>
        <w:rPr>
          <w:rStyle w:val="CommentTok"/>
        </w:rPr>
        <w:t xml:space="preserve">#           n_S = 1 - p_S + alpha_S * n_B</w:t>
      </w:r>
      <w:r>
        <w:br/>
      </w:r>
      <w:r>
        <w:br/>
      </w:r>
      <w:r>
        <w:rPr>
          <w:rStyle w:val="CommentTok"/>
        </w:rPr>
        <w:t xml:space="preserve"># Parâmetros (altere para explorar)</w:t>
      </w:r>
      <w:r>
        <w:br/>
      </w:r>
      <w:r>
        <w:rPr>
          <w:rStyle w:val="NormalTok"/>
        </w:rPr>
        <w:t xml:space="preserve">alpha_B </w:t>
      </w:r>
      <w:r>
        <w:rPr>
          <w:rStyle w:val="OtherTok"/>
        </w:rPr>
        <w:t xml:space="preserve">&lt;-</w:t>
      </w:r>
      <w:r>
        <w:rPr>
          <w:rStyle w:val="NormalTok"/>
        </w:rPr>
        <w:t xml:space="preserve"> </w:t>
      </w:r>
      <w:r>
        <w:rPr>
          <w:rStyle w:val="FloatTok"/>
        </w:rPr>
        <w:t xml:space="preserve">0.5</w:t>
      </w:r>
      <w:r>
        <w:rPr>
          <w:rStyle w:val="NormalTok"/>
        </w:rPr>
        <w:t xml:space="preserve">   </w:t>
      </w:r>
      <w:r>
        <w:rPr>
          <w:rStyle w:val="CommentTok"/>
        </w:rPr>
        <w:t xml:space="preserve"># benefício que cada vendedor gera para compradores</w:t>
      </w:r>
      <w:r>
        <w:br/>
      </w:r>
      <w:r>
        <w:rPr>
          <w:rStyle w:val="NormalTok"/>
        </w:rPr>
        <w:t xml:space="preserve">alpha_S </w:t>
      </w:r>
      <w:r>
        <w:rPr>
          <w:rStyle w:val="OtherTok"/>
        </w:rPr>
        <w:t xml:space="preserve">&lt;-</w:t>
      </w:r>
      <w:r>
        <w:rPr>
          <w:rStyle w:val="NormalTok"/>
        </w:rPr>
        <w:t xml:space="preserve"> </w:t>
      </w:r>
      <w:r>
        <w:rPr>
          <w:rStyle w:val="FloatTok"/>
        </w:rPr>
        <w:t xml:space="preserve">0.3</w:t>
      </w:r>
      <w:r>
        <w:rPr>
          <w:rStyle w:val="NormalTok"/>
        </w:rPr>
        <w:t xml:space="preserve">   </w:t>
      </w:r>
      <w:r>
        <w:rPr>
          <w:rStyle w:val="CommentTok"/>
        </w:rPr>
        <w:t xml:space="preserve"># benefício que cada comprador gera para vendedores</w:t>
      </w:r>
      <w:r>
        <w:br/>
      </w:r>
      <w:r>
        <w:rPr>
          <w:rStyle w:val="NormalTok"/>
        </w:rPr>
        <w:t xml:space="preserve">c_B     </w:t>
      </w:r>
      <w:r>
        <w:rPr>
          <w:rStyle w:val="OtherTok"/>
        </w:rPr>
        <w:t xml:space="preserve">&lt;-</w:t>
      </w:r>
      <w:r>
        <w:rPr>
          <w:rStyle w:val="NormalTok"/>
        </w:rPr>
        <w:t xml:space="preserve"> </w:t>
      </w:r>
      <w:r>
        <w:rPr>
          <w:rStyle w:val="FloatTok"/>
        </w:rPr>
        <w:t xml:space="preserve">0.1</w:t>
      </w:r>
      <w:r>
        <w:rPr>
          <w:rStyle w:val="NormalTok"/>
        </w:rPr>
        <w:t xml:space="preserve">   </w:t>
      </w:r>
      <w:r>
        <w:rPr>
          <w:rStyle w:val="CommentTok"/>
        </w:rPr>
        <w:t xml:space="preserve"># custo marginal lado B</w:t>
      </w:r>
      <w:r>
        <w:br/>
      </w:r>
      <w:r>
        <w:rPr>
          <w:rStyle w:val="NormalTok"/>
        </w:rPr>
        <w:t xml:space="preserve">c_S     </w:t>
      </w:r>
      <w:r>
        <w:rPr>
          <w:rStyle w:val="OtherTok"/>
        </w:rPr>
        <w:t xml:space="preserve">&lt;-</w:t>
      </w:r>
      <w:r>
        <w:rPr>
          <w:rStyle w:val="NormalTok"/>
        </w:rPr>
        <w:t xml:space="preserve"> </w:t>
      </w:r>
      <w:r>
        <w:rPr>
          <w:rStyle w:val="FloatTok"/>
        </w:rPr>
        <w:t xml:space="preserve">0.1</w:t>
      </w:r>
      <w:r>
        <w:rPr>
          <w:rStyle w:val="NormalTok"/>
        </w:rPr>
        <w:t xml:space="preserve">   </w:t>
      </w:r>
      <w:r>
        <w:rPr>
          <w:rStyle w:val="CommentTok"/>
        </w:rPr>
        <w:t xml:space="preserve"># custo marginal lado S</w:t>
      </w:r>
      <w:r>
        <w:br/>
      </w:r>
      <w:r>
        <w:br/>
      </w:r>
      <w:r>
        <w:rPr>
          <w:rStyle w:val="CommentTok"/>
        </w:rPr>
        <w:t xml:space="preserve"># Resolver sistema de otimização (CPOs do monopolista bilateral)</w:t>
      </w:r>
      <w:r>
        <w:br/>
      </w:r>
      <w:r>
        <w:rPr>
          <w:rStyle w:val="CommentTok"/>
        </w:rPr>
        <w:t xml:space="preserve"># Solução analítica para o caso linear simétrico</w:t>
      </w:r>
      <w:r>
        <w:br/>
      </w:r>
      <w:r>
        <w:rPr>
          <w:rStyle w:val="NormalTok"/>
        </w:rPr>
        <w:t xml:space="preserve">D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alpha_B </w:t>
      </w:r>
      <w:r>
        <w:rPr>
          <w:rStyle w:val="SpecialCharTok"/>
        </w:rPr>
        <w:t xml:space="preserve">*</w:t>
      </w:r>
      <w:r>
        <w:rPr>
          <w:rStyle w:val="NormalTok"/>
        </w:rPr>
        <w:t xml:space="preserve"> alpha_S  </w:t>
      </w:r>
      <w:r>
        <w:rPr>
          <w:rStyle w:val="CommentTok"/>
        </w:rPr>
        <w:t xml:space="preserve"># determinante do sistema</w:t>
      </w:r>
      <w:r>
        <w:br/>
      </w:r>
      <w:r>
        <w:rPr>
          <w:rStyle w:val="ControlFlowTok"/>
        </w:rPr>
        <w:t xml:space="preserve">if</w:t>
      </w:r>
      <w:r>
        <w:rPr>
          <w:rStyle w:val="NormalTok"/>
        </w:rPr>
        <w:t xml:space="preserve"> (D </w:t>
      </w:r>
      <w:r>
        <w:rPr>
          <w:rStyle w:val="SpecialCharTok"/>
        </w:rPr>
        <w:t xml:space="preserve">&lt;=</w:t>
      </w:r>
      <w:r>
        <w:rPr>
          <w:rStyle w:val="NormalTok"/>
        </w:rPr>
        <w:t xml:space="preserve"> </w:t>
      </w:r>
      <w:r>
        <w:rPr>
          <w:rStyle w:val="DecValTok"/>
        </w:rPr>
        <w:t xml:space="preserve">0</w:t>
      </w:r>
      <w:r>
        <w:rPr>
          <w:rStyle w:val="NormalTok"/>
        </w:rPr>
        <w:t xml:space="preserve">) </w:t>
      </w:r>
      <w:r>
        <w:rPr>
          <w:rStyle w:val="FunctionTok"/>
        </w:rPr>
        <w:t xml:space="preserve">stop</w:t>
      </w:r>
      <w:r>
        <w:rPr>
          <w:rStyle w:val="NormalTok"/>
        </w:rPr>
        <w:t xml:space="preserve">(</w:t>
      </w:r>
      <w:r>
        <w:rPr>
          <w:rStyle w:val="StringTok"/>
        </w:rPr>
        <w:t xml:space="preserve">"Externalidades cruzadas fortes demais — equilíbrio instável!"</w:t>
      </w:r>
      <w:r>
        <w:rPr>
          <w:rStyle w:val="NormalTok"/>
        </w:rPr>
        <w:t xml:space="preserve">)</w:t>
      </w:r>
      <w:r>
        <w:br/>
      </w:r>
      <w:r>
        <w:br/>
      </w:r>
      <w:r>
        <w:rPr>
          <w:rStyle w:val="CommentTok"/>
        </w:rPr>
        <w:t xml:space="preserve"># Preços ótimos (derivados das CPOs)</w:t>
      </w:r>
      <w:r>
        <w:br/>
      </w:r>
      <w:r>
        <w:rPr>
          <w:rStyle w:val="NormalTok"/>
        </w:rPr>
        <w:t xml:space="preserve">p_B_star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c_B </w:t>
      </w:r>
      <w:r>
        <w:rPr>
          <w:rStyle w:val="SpecialCharTok"/>
        </w:rPr>
        <w:t xml:space="preserve">-</w:t>
      </w:r>
      <w:r>
        <w:rPr>
          <w:rStyle w:val="NormalTok"/>
        </w:rPr>
        <w:t xml:space="preserve"> alpha_S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c_S))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D) </w:t>
      </w:r>
      <w:r>
        <w:rPr>
          <w:rStyle w:val="SpecialCharTok"/>
        </w:rPr>
        <w:t xml:space="preserve">*</w:t>
      </w:r>
      <w:r>
        <w:rPr>
          <w:rStyle w:val="NormalTok"/>
        </w:rPr>
        <w:t xml:space="preserve"> D  </w:t>
      </w:r>
      <w:r>
        <w:rPr>
          <w:rStyle w:val="CommentTok"/>
        </w:rPr>
        <w:t xml:space="preserve"># simplificação</w:t>
      </w:r>
      <w:r>
        <w:br/>
      </w:r>
      <w:r>
        <w:rPr>
          <w:rStyle w:val="NormalTok"/>
        </w:rPr>
        <w:t xml:space="preserve">p_S_star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c_S </w:t>
      </w:r>
      <w:r>
        <w:rPr>
          <w:rStyle w:val="SpecialCharTok"/>
        </w:rPr>
        <w:t xml:space="preserve">-</w:t>
      </w:r>
      <w:r>
        <w:rPr>
          <w:rStyle w:val="NormalTok"/>
        </w:rPr>
        <w:t xml:space="preserve"> alpha_B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c_B))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D) </w:t>
      </w:r>
      <w:r>
        <w:rPr>
          <w:rStyle w:val="SpecialCharTok"/>
        </w:rPr>
        <w:t xml:space="preserve">*</w:t>
      </w:r>
      <w:r>
        <w:rPr>
          <w:rStyle w:val="NormalTok"/>
        </w:rPr>
        <w:t xml:space="preserve"> D</w:t>
      </w:r>
      <w:r>
        <w:br/>
      </w:r>
      <w:r>
        <w:br/>
      </w:r>
      <w:r>
        <w:rPr>
          <w:rStyle w:val="CommentTok"/>
        </w:rPr>
        <w:t xml:space="preserve"># Preços sem externalidade (benchmark)</w:t>
      </w:r>
      <w:r>
        <w:br/>
      </w:r>
      <w:r>
        <w:rPr>
          <w:rStyle w:val="NormalTok"/>
        </w:rPr>
        <w:t xml:space="preserve">p_B_mono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c_B) </w:t>
      </w:r>
      <w:r>
        <w:rPr>
          <w:rStyle w:val="SpecialCharTok"/>
        </w:rPr>
        <w:t xml:space="preserve">/</w:t>
      </w:r>
      <w:r>
        <w:rPr>
          <w:rStyle w:val="NormalTok"/>
        </w:rPr>
        <w:t xml:space="preserve"> </w:t>
      </w:r>
      <w:r>
        <w:rPr>
          <w:rStyle w:val="DecValTok"/>
        </w:rPr>
        <w:t xml:space="preserve">2</w:t>
      </w:r>
      <w:r>
        <w:br/>
      </w:r>
      <w:r>
        <w:rPr>
          <w:rStyle w:val="NormalTok"/>
        </w:rPr>
        <w:t xml:space="preserve">p_S_mono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c_S) </w:t>
      </w:r>
      <w:r>
        <w:rPr>
          <w:rStyle w:val="SpecialCharTok"/>
        </w:rPr>
        <w:t xml:space="preserve">/</w:t>
      </w:r>
      <w:r>
        <w:rPr>
          <w:rStyle w:val="NormalTok"/>
        </w:rPr>
        <w:t xml:space="preserve"> </w:t>
      </w:r>
      <w:r>
        <w:rPr>
          <w:rStyle w:val="DecValTok"/>
        </w:rPr>
        <w:t xml:space="preserve">2</w:t>
      </w:r>
      <w:r>
        <w:br/>
      </w:r>
      <w:r>
        <w:br/>
      </w:r>
      <w:r>
        <w:rPr>
          <w:rStyle w:val="CommentTok"/>
        </w:rPr>
        <w:t xml:space="preserve"># Visualização</w:t>
      </w:r>
      <w:r>
        <w:br/>
      </w:r>
      <w:r>
        <w:rPr>
          <w:rStyle w:val="NormalTok"/>
        </w:rPr>
        <w:t xml:space="preserve">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"Compradores</w:t>
      </w:r>
      <w:r>
        <w:rPr>
          <w:rStyle w:val="SpecialCharTok"/>
        </w:rPr>
        <w:t xml:space="preserve">\n</w:t>
      </w:r>
      <w:r>
        <w:rPr>
          <w:rStyle w:val="StringTok"/>
        </w:rPr>
        <w:t xml:space="preserve">(bilateral)"</w:t>
      </w:r>
      <w:r>
        <w:rPr>
          <w:rStyle w:val="NormalTok"/>
        </w:rPr>
        <w:t xml:space="preserve">, </w:t>
      </w:r>
      <w:r>
        <w:rPr>
          <w:rStyle w:val="StringTok"/>
        </w:rPr>
        <w:t xml:space="preserve">"Vendedores</w:t>
      </w:r>
      <w:r>
        <w:rPr>
          <w:rStyle w:val="SpecialCharTok"/>
        </w:rPr>
        <w:t xml:space="preserve">\n</w:t>
      </w:r>
      <w:r>
        <w:rPr>
          <w:rStyle w:val="StringTok"/>
        </w:rPr>
        <w:t xml:space="preserve">(bilateral)"</w:t>
      </w:r>
      <w:r>
        <w:rPr>
          <w:rStyle w:val="NormalTok"/>
        </w:rPr>
        <w:t xml:space="preserve">,</w:t>
      </w:r>
      <w:r>
        <w:br/>
      </w:r>
      <w:r>
        <w:rPr>
          <w:rStyle w:val="NormalTok"/>
        </w:rPr>
        <w:t xml:space="preserve">            </w:t>
      </w:r>
      <w:r>
        <w:rPr>
          <w:rStyle w:val="StringTok"/>
        </w:rPr>
        <w:t xml:space="preserve">"Compradores</w:t>
      </w:r>
      <w:r>
        <w:rPr>
          <w:rStyle w:val="SpecialCharTok"/>
        </w:rPr>
        <w:t xml:space="preserve">\n</w:t>
      </w:r>
      <w:r>
        <w:rPr>
          <w:rStyle w:val="StringTok"/>
        </w:rPr>
        <w:t xml:space="preserve">(unilateral)"</w:t>
      </w:r>
      <w:r>
        <w:rPr>
          <w:rStyle w:val="NormalTok"/>
        </w:rPr>
        <w:t xml:space="preserve">, </w:t>
      </w:r>
      <w:r>
        <w:rPr>
          <w:rStyle w:val="StringTok"/>
        </w:rPr>
        <w:t xml:space="preserve">"Vendedores</w:t>
      </w:r>
      <w:r>
        <w:rPr>
          <w:rStyle w:val="SpecialCharTok"/>
        </w:rPr>
        <w:t xml:space="preserve">\n</w:t>
      </w:r>
      <w:r>
        <w:rPr>
          <w:rStyle w:val="StringTok"/>
        </w:rPr>
        <w:t xml:space="preserve">(unilateral)"</w:t>
      </w:r>
      <w:r>
        <w:rPr>
          <w:rStyle w:val="NormalTok"/>
        </w:rPr>
        <w:t xml:space="preserve">)</w:t>
      </w:r>
      <w:r>
        <w:br/>
      </w:r>
      <w:r>
        <w:rPr>
          <w:rStyle w:val="NormalTok"/>
        </w:rPr>
        <w:t xml:space="preserve">precos </w:t>
      </w:r>
      <w:r>
        <w:rPr>
          <w:rStyle w:val="OtherTok"/>
        </w:rPr>
        <w:t xml:space="preserve">&lt;-</w:t>
      </w:r>
      <w:r>
        <w:rPr>
          <w:rStyle w:val="NormalTok"/>
        </w:rPr>
        <w:t xml:space="preserve"> </w:t>
      </w:r>
      <w:r>
        <w:rPr>
          <w:rStyle w:val="FunctionTok"/>
        </w:rPr>
        <w:t xml:space="preserve">c</w:t>
      </w:r>
      <w:r>
        <w:rPr>
          <w:rStyle w:val="NormalTok"/>
        </w:rPr>
        <w:t xml:space="preserve">(p_B_star, p_S_star, p_B_mono, p_S_mono)</w:t>
      </w:r>
      <w:r>
        <w:br/>
      </w:r>
      <w:r>
        <w:rPr>
          <w:rStyle w:val="NormalTok"/>
        </w:rPr>
        <w:t xml:space="preserve">cores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"#2196F3"</w:t>
      </w:r>
      <w:r>
        <w:rPr>
          <w:rStyle w:val="NormalTok"/>
        </w:rPr>
        <w:t xml:space="preserve">, </w:t>
      </w:r>
      <w:r>
        <w:rPr>
          <w:rStyle w:val="StringTok"/>
        </w:rPr>
        <w:t xml:space="preserve">"#F44336"</w:t>
      </w:r>
      <w:r>
        <w:rPr>
          <w:rStyle w:val="NormalTok"/>
        </w:rPr>
        <w:t xml:space="preserve">, </w:t>
      </w:r>
      <w:r>
        <w:rPr>
          <w:rStyle w:val="StringTok"/>
        </w:rPr>
        <w:t xml:space="preserve">"#90CAF9"</w:t>
      </w:r>
      <w:r>
        <w:rPr>
          <w:rStyle w:val="NormalTok"/>
        </w:rPr>
        <w:t xml:space="preserve">, </w:t>
      </w:r>
      <w:r>
        <w:rPr>
          <w:rStyle w:val="StringTok"/>
        </w:rPr>
        <w:t xml:space="preserve">"#EF9A9A"</w:t>
      </w:r>
      <w:r>
        <w:rPr>
          <w:rStyle w:val="NormalTok"/>
        </w:rPr>
        <w:t xml:space="preserve">)</w:t>
      </w:r>
      <w:r>
        <w:br/>
      </w:r>
      <w:r>
        <w:br/>
      </w:r>
      <w:r>
        <w:rPr>
          <w:rStyle w:val="NormalTok"/>
        </w:rPr>
        <w:t xml:space="preserve">bp </w:t>
      </w:r>
      <w:r>
        <w:rPr>
          <w:rStyle w:val="OtherTok"/>
        </w:rPr>
        <w:t xml:space="preserve">&lt;-</w:t>
      </w:r>
      <w:r>
        <w:rPr>
          <w:rStyle w:val="NormalTok"/>
        </w:rPr>
        <w:t xml:space="preserve"> </w:t>
      </w:r>
      <w:r>
        <w:rPr>
          <w:rStyle w:val="FunctionTok"/>
        </w:rPr>
        <w:t xml:space="preserve">barplot</w:t>
      </w:r>
      <w:r>
        <w:rPr>
          <w:rStyle w:val="NormalTok"/>
        </w:rPr>
        <w:t xml:space="preserve">(precos, </w:t>
      </w:r>
      <w:r>
        <w:rPr>
          <w:rStyle w:val="AttributeTok"/>
        </w:rPr>
        <w:t xml:space="preserve">names.arg =</w:t>
      </w:r>
      <w:r>
        <w:rPr>
          <w:rStyle w:val="NormalTok"/>
        </w:rPr>
        <w:t xml:space="preserve"> labels, </w:t>
      </w:r>
      <w:r>
        <w:rPr>
          <w:rStyle w:val="AttributeTok"/>
        </w:rPr>
        <w:t xml:space="preserve">col =</w:t>
      </w:r>
      <w:r>
        <w:rPr>
          <w:rStyle w:val="NormalTok"/>
        </w:rPr>
        <w:t xml:space="preserve"> cores,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"Preços Ótimos: Bilateral vs. Unilateral"</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"Preço"</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(precos) </w:t>
      </w:r>
      <w:r>
        <w:rPr>
          <w:rStyle w:val="SpecialCharTok"/>
        </w:rPr>
        <w:t xml:space="preserve">*</w:t>
      </w:r>
      <w:r>
        <w:rPr>
          <w:rStyle w:val="NormalTok"/>
        </w:rPr>
        <w:t xml:space="preserve"> </w:t>
      </w:r>
      <w:r>
        <w:rPr>
          <w:rStyle w:val="FloatTok"/>
        </w:rPr>
        <w:t xml:space="preserve">1.3</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c_B, </w:t>
      </w:r>
      <w:r>
        <w:rPr>
          <w:rStyle w:val="AttributeTok"/>
        </w:rPr>
        <w:t xml:space="preserve">col =</w:t>
      </w:r>
      <w:r>
        <w:rPr>
          <w:rStyle w:val="NormalTok"/>
        </w:rPr>
        <w:t xml:space="preserve"> </w:t>
      </w:r>
      <w:r>
        <w:rPr>
          <w:rStyle w:val="StringTok"/>
        </w:rPr>
        <w:t xml:space="preserve">"gray50"</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1.5</w:t>
      </w:r>
      <w:r>
        <w:rPr>
          <w:rStyle w:val="NormalTok"/>
        </w:rPr>
        <w:t xml:space="preserve">)</w:t>
      </w:r>
      <w:r>
        <w:br/>
      </w:r>
      <w:r>
        <w:rPr>
          <w:rStyle w:val="FunctionTok"/>
        </w:rPr>
        <w:t xml:space="preserve">text</w:t>
      </w:r>
      <w:r>
        <w:rPr>
          <w:rStyle w:val="NormalTok"/>
        </w:rPr>
        <w:t xml:space="preserve">(</w:t>
      </w:r>
      <w:r>
        <w:rPr>
          <w:rStyle w:val="FunctionTok"/>
        </w:rPr>
        <w:t xml:space="preserve">max</w:t>
      </w:r>
      <w:r>
        <w:rPr>
          <w:rStyle w:val="NormalTok"/>
        </w:rPr>
        <w:t xml:space="preserve">(bp) </w:t>
      </w:r>
      <w:r>
        <w:rPr>
          <w:rStyle w:val="SpecialCharTok"/>
        </w:rPr>
        <w:t xml:space="preserve">*</w:t>
      </w:r>
      <w:r>
        <w:rPr>
          <w:rStyle w:val="NormalTok"/>
        </w:rPr>
        <w:t xml:space="preserve"> </w:t>
      </w:r>
      <w:r>
        <w:rPr>
          <w:rStyle w:val="FloatTok"/>
        </w:rPr>
        <w:t xml:space="preserve">0.8</w:t>
      </w:r>
      <w:r>
        <w:rPr>
          <w:rStyle w:val="NormalTok"/>
        </w:rPr>
        <w:t xml:space="preserve">, c_B </w:t>
      </w:r>
      <w:r>
        <w:rPr>
          <w:rStyle w:val="SpecialCharTok"/>
        </w:rPr>
        <w:t xml:space="preserve">+</w:t>
      </w:r>
      <w:r>
        <w:rPr>
          <w:rStyle w:val="NormalTok"/>
        </w:rPr>
        <w:t xml:space="preserve"> </w:t>
      </w:r>
      <w:r>
        <w:rPr>
          <w:rStyle w:val="FloatTok"/>
        </w:rPr>
        <w:t xml:space="preserve">0.02</w:t>
      </w:r>
      <w:r>
        <w:rPr>
          <w:rStyle w:val="NormalTok"/>
        </w:rPr>
        <w:t xml:space="preserve">, </w:t>
      </w:r>
      <w:r>
        <w:rPr>
          <w:rStyle w:val="FunctionTok"/>
        </w:rPr>
        <w:t xml:space="preserve">paste0</w:t>
      </w:r>
      <w:r>
        <w:rPr>
          <w:rStyle w:val="NormalTok"/>
        </w:rPr>
        <w:t xml:space="preserve">(</w:t>
      </w:r>
      <w:r>
        <w:rPr>
          <w:rStyle w:val="StringTok"/>
        </w:rPr>
        <w:t xml:space="preserve">"CMg = "</w:t>
      </w:r>
      <w:r>
        <w:rPr>
          <w:rStyle w:val="NormalTok"/>
        </w:rPr>
        <w:t xml:space="preserve">, c_B), </w:t>
      </w:r>
      <w:r>
        <w:rPr>
          <w:rStyle w:val="AttributeTok"/>
        </w:rPr>
        <w:t xml:space="preserve">col =</w:t>
      </w:r>
      <w:r>
        <w:rPr>
          <w:rStyle w:val="NormalTok"/>
        </w:rPr>
        <w:t xml:space="preserve"> </w:t>
      </w:r>
      <w:r>
        <w:rPr>
          <w:rStyle w:val="StringTok"/>
        </w:rPr>
        <w:t xml:space="preserve">"gray50"</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FunctionTok"/>
        </w:rPr>
        <w:t xml:space="preserve">text</w:t>
      </w:r>
      <w:r>
        <w:rPr>
          <w:rStyle w:val="NormalTok"/>
        </w:rPr>
        <w:t xml:space="preserve">(bp, precos </w:t>
      </w:r>
      <w:r>
        <w:rPr>
          <w:rStyle w:val="SpecialCharTok"/>
        </w:rPr>
        <w:t xml:space="preserve">+</w:t>
      </w:r>
      <w:r>
        <w:rPr>
          <w:rStyle w:val="NormalTok"/>
        </w:rPr>
        <w:t xml:space="preserve"> </w:t>
      </w:r>
      <w:r>
        <w:rPr>
          <w:rStyle w:val="FloatTok"/>
        </w:rPr>
        <w:t xml:space="preserve">0.03</w:t>
      </w:r>
      <w:r>
        <w:rPr>
          <w:rStyle w:val="NormalTok"/>
        </w:rPr>
        <w:t xml:space="preserve">, </w:t>
      </w:r>
      <w:r>
        <w:rPr>
          <w:rStyle w:val="FunctionTok"/>
        </w:rPr>
        <w:t xml:space="preserve">round</w:t>
      </w:r>
      <w:r>
        <w:rPr>
          <w:rStyle w:val="NormalTok"/>
        </w:rPr>
        <w:t xml:space="preserve">(precos, </w:t>
      </w:r>
      <w:r>
        <w:rPr>
          <w:rStyle w:val="DecValTok"/>
        </w:rPr>
        <w:t xml:space="preserve">3</w:t>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 </w:t>
      </w:r>
      <w:r>
        <w:rPr>
          <w:rStyle w:val="AttributeTok"/>
        </w:rPr>
        <w:t xml:space="preserve">font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"Externalidades: α_B = %.1f, α_S = %.1f</w:t>
      </w:r>
      <w:r>
        <w:rPr>
          <w:rStyle w:val="SpecialCharTok"/>
        </w:rPr>
        <w:t xml:space="preserve">\n</w:t>
      </w:r>
      <w:r>
        <w:rPr>
          <w:rStyle w:val="StringTok"/>
        </w:rPr>
        <w:t xml:space="preserve">"</w:t>
      </w:r>
      <w:r>
        <w:rPr>
          <w:rStyle w:val="NormalTok"/>
        </w:rPr>
        <w:t xml:space="preserve">, alpha_B, alpha_S))</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"Bilateral:  p_B* = %.3f, p_S* = %.3f</w:t>
      </w:r>
      <w:r>
        <w:rPr>
          <w:rStyle w:val="SpecialCharTok"/>
        </w:rPr>
        <w:t xml:space="preserve">\n</w:t>
      </w:r>
      <w:r>
        <w:rPr>
          <w:rStyle w:val="StringTok"/>
        </w:rPr>
        <w:t xml:space="preserve">"</w:t>
      </w:r>
      <w:r>
        <w:rPr>
          <w:rStyle w:val="NormalTok"/>
        </w:rPr>
        <w:t xml:space="preserve">, p_B_star, p_S_star))</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"Unilateral: p_B  = %.3f, p_S  = %.3f</w:t>
      </w:r>
      <w:r>
        <w:rPr>
          <w:rStyle w:val="SpecialCharTok"/>
        </w:rPr>
        <w:t xml:space="preserve">\n</w:t>
      </w:r>
      <w:r>
        <w:rPr>
          <w:rStyle w:val="StringTok"/>
        </w:rPr>
        <w:t xml:space="preserve">"</w:t>
      </w:r>
      <w:r>
        <w:rPr>
          <w:rStyle w:val="NormalTok"/>
        </w:rPr>
        <w:t xml:space="preserve">, p_B_mono, p_S_mono))</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"Subsídio ao lado S: %.3f (%.0f%% abaixo do unilateral)</w:t>
      </w:r>
      <w:r>
        <w:rPr>
          <w:rStyle w:val="SpecialCharTok"/>
        </w:rPr>
        <w:t xml:space="preserve">\n</w:t>
      </w:r>
      <w:r>
        <w:rPr>
          <w:rStyle w:val="StringTok"/>
        </w:rPr>
        <w:t xml:space="preserve">"</w:t>
      </w:r>
      <w:r>
        <w:rPr>
          <w:rStyle w:val="NormalTok"/>
        </w:rPr>
        <w:t xml:space="preserve">,</w:t>
      </w:r>
      <w:r>
        <w:br/>
      </w:r>
      <w:r>
        <w:rPr>
          <w:rStyle w:val="NormalTok"/>
        </w:rPr>
        <w:t xml:space="preserve">            p_S_mono </w:t>
      </w:r>
      <w:r>
        <w:rPr>
          <w:rStyle w:val="SpecialCharTok"/>
        </w:rPr>
        <w:t xml:space="preserve">-</w:t>
      </w:r>
      <w:r>
        <w:rPr>
          <w:rStyle w:val="NormalTok"/>
        </w:rPr>
        <w:t xml:space="preserve"> p_S_star, (p_S_mono </w:t>
      </w:r>
      <w:r>
        <w:rPr>
          <w:rStyle w:val="SpecialCharTok"/>
        </w:rPr>
        <w:t xml:space="preserve">-</w:t>
      </w:r>
      <w:r>
        <w:rPr>
          <w:rStyle w:val="NormalTok"/>
        </w:rPr>
        <w:t xml:space="preserve"> p_S_star)</w:t>
      </w:r>
      <w:r>
        <w:rPr>
          <w:rStyle w:val="SpecialCharTok"/>
        </w:rPr>
        <w:t xml:space="preserve">/</w:t>
      </w:r>
      <w:r>
        <w:rPr>
          <w:rStyle w:val="NormalTok"/>
        </w:rPr>
        <w:t xml:space="preserve">p_S_mono </w:t>
      </w:r>
      <w:r>
        <w:rPr>
          <w:rStyle w:val="SpecialCharTok"/>
        </w:rPr>
        <w:t xml:space="preserve">*</w:t>
      </w:r>
      <w:r>
        <w:rPr>
          <w:rStyle w:val="NormalTok"/>
        </w:rPr>
        <w:t xml:space="preserve"> </w:t>
      </w:r>
      <w:r>
        <w:rPr>
          <w:rStyle w:val="DecValTok"/>
        </w:rPr>
        <w:t xml:space="preserve">100</w:t>
      </w:r>
      <w:r>
        <w:rPr>
          <w:rStyle w:val="NormalTok"/>
        </w:rPr>
        <w:t xml:space="preserve">))</w:t>
      </w:r>
    </w:p>
    <w:p>
      <w:pPr>
        <w:pStyle w:val="BlockText"/>
      </w:pPr>
      <w:r>
        <w:rPr>
          <w:b/>
          <w:bCs/>
        </w:rPr>
        <w:t xml:space="preserve">Experimente:</w:t>
      </w:r>
      <w:r>
        <w:t xml:space="preserve"> </w:t>
      </w:r>
      <w:r>
        <w:t xml:space="preserve">Aumente</w:t>
      </w:r>
      <w:r>
        <w:t xml:space="preserve"> </w:t>
      </w:r>
      <w:r>
        <w:rPr>
          <w:rStyle w:val="VerbatimChar"/>
        </w:rPr>
        <w:t xml:space="preserve">alpha_B</w:t>
      </w:r>
      <w:r>
        <w:t xml:space="preserve"> </w:t>
      </w:r>
      <w:r>
        <w:t xml:space="preserve">para 0,8 (compradores valorizam muito os vendedores) e observe como o preço dos vendedores cai — a plataforma os subsidia mais intensamente para atrair compradores de alto valor. Iguale</w:t>
      </w:r>
      <w:r>
        <w:t xml:space="preserve"> </w:t>
      </w:r>
      <w:r>
        <w:rPr>
          <w:rStyle w:val="VerbatimChar"/>
        </w:rPr>
        <w:t xml:space="preserve">alpha_B = alpha_S = 0</w:t>
      </w:r>
      <w:r>
        <w:t xml:space="preserve"> </w:t>
      </w:r>
      <w:r>
        <w:t xml:space="preserve">para ver o benchmark de monopólio unilateral clássico (Seção 15.2 (Cap. 15)).</w:t>
      </w:r>
    </w:p>
    <w:p>
      <w:r>
        <w:pict>
          <v:rect style="width:0;height:1.5pt" o:hralign="center" o:hrstd="t" o:hr="t"/>
        </w:pict>
      </w:r>
    </w:p>
    <w:bookmarkEnd w:id="1310"/>
    <w:bookmarkStart w:id="1311" w:name="Xf075d214040a5d1fa56101542a4aaca51f73f3e"/>
    <w:p>
      <w:pPr>
        <w:pStyle w:val="Heading4"/>
      </w:pPr>
      <w:r>
        <w:t xml:space="preserve">21.3.5 TikTok e a economia da recomendação algorítmica</w:t>
      </w:r>
    </w:p>
    <w:p>
      <w:pPr>
        <w:pStyle w:val="FirstParagraph"/>
      </w:pPr>
      <w:r>
        <w:t xml:space="preserve">O TikTok (ByteDance) introduziu uma ruptura no modelo de plataformas bilaterais que merece atenção analítica: enquanto plataformas tradicionais (Facebook, Instagram) distribuem conteúdo com base no</w:t>
      </w:r>
      <w:r>
        <w:t xml:space="preserve"> </w:t>
      </w:r>
      <w:r>
        <w:rPr>
          <w:b/>
          <w:bCs/>
        </w:rPr>
        <w:t xml:space="preserve">grafo social</w:t>
      </w:r>
      <w:r>
        <w:t xml:space="preserve"> </w:t>
      </w:r>
      <w:r>
        <w:t xml:space="preserve">(quem você segue), o TikTok distribui conteúdo com base em</w:t>
      </w:r>
      <w:r>
        <w:t xml:space="preserve"> </w:t>
      </w:r>
      <w:r>
        <w:rPr>
          <w:b/>
          <w:bCs/>
        </w:rPr>
        <w:t xml:space="preserve">recomendação algorítmica pura</w:t>
      </w:r>
      <w:r>
        <w:t xml:space="preserve"> </w:t>
      </w:r>
      <w:r>
        <w:t xml:space="preserve">(o que o algoritmo prevê que você vai assistir). Isso altera a dinâmica competitiva de forma fundamental.</w:t>
      </w:r>
    </w:p>
    <w:p>
      <w:pPr>
        <w:pStyle w:val="BodyText"/>
      </w:pPr>
      <w:r>
        <w:rPr>
          <w:b/>
          <w:bCs/>
        </w:rPr>
        <w:t xml:space="preserve">Implicações microeconômicas:</w:t>
      </w:r>
    </w:p>
    <w:p>
      <w:pPr>
        <w:numPr>
          <w:ilvl w:val="0"/>
          <w:numId w:val="2146"/>
        </w:numPr>
      </w:pPr>
      <w:r>
        <w:rPr>
          <w:b/>
          <w:bCs/>
        </w:rPr>
        <w:t xml:space="preserve">Efeitos de rede enfraquecidos</w:t>
      </w:r>
      <w:r>
        <w:t xml:space="preserve">: em plataformas baseadas em grafo social, o lock-in é forte porque migrar significa perder conexões (custo de troca alto, equação Eq. (eq:21.6)). No TikTok, o valor vem do algoritmo de recomendação, não da rede de contatos — o que significa que o custo de troca do lado do usuário é</w:t>
      </w:r>
      <w:r>
        <w:t xml:space="preserve"> </w:t>
      </w:r>
      <w:r>
        <w:rPr>
          <w:i/>
          <w:iCs/>
        </w:rPr>
        <w:t xml:space="preserve">menor</w:t>
      </w:r>
      <w:r>
        <w:t xml:space="preserve">. A plataforma retém usuários pela qualidade do algoritmo, não pelo aprisionamento social.</w:t>
      </w:r>
    </w:p>
    <w:p>
      <w:pPr>
        <w:numPr>
          <w:ilvl w:val="0"/>
          <w:numId w:val="2146"/>
        </w:numPr>
      </w:pPr>
      <w:r>
        <w:rPr>
          <w:b/>
          <w:bCs/>
        </w:rPr>
        <w:t xml:space="preserve">Competição por atenção, não por rede</w:t>
      </w:r>
      <w:r>
        <w:t xml:space="preserve">: o TikTok compete diretamente com Netflix, YouTube e Instagram pelo recurso mais escasso da economia digital — a atenção (Seção 21.5). Com mais de 1,5 bilhão de usuários ativos mensais globalmente e tempo médio de uso de 95 minutos/dia (2024), o TikTok captura uma fração crescente do</w:t>
      </w:r>
      <w:r>
        <w:t xml:space="preserve"> </w:t>
      </w:r>
      <w:r>
        <w:t xml:space="preserve">“orçamento de atenção”</w:t>
      </w:r>
      <w:r>
        <w:t xml:space="preserve"> </w:t>
      </w:r>
      <w:r>
        <w:t xml:space="preserve">dos jovens, reduzindo a atenção disponível para plataformas incumbentes.</w:t>
      </w:r>
    </w:p>
    <w:p>
      <w:pPr>
        <w:numPr>
          <w:ilvl w:val="0"/>
          <w:numId w:val="2146"/>
        </w:numPr>
      </w:pPr>
      <w:r>
        <w:rPr>
          <w:b/>
          <w:bCs/>
        </w:rPr>
        <w:t xml:space="preserve">Mercado de criadores como mercado bilateral</w:t>
      </w:r>
      <w:r>
        <w:t xml:space="preserve">: o TikTok opera como plataforma bilateral entre criadores de conteúdo e audiência, com o algoritmo funcionando como mecanismo de matching. A monetização segue a lógica de subsídio cruzado: criadores recebem incentivos (Fundo de Criadores, TikTok Shop), e a plataforma monetiza via anúncios direcionados à audiência.</w:t>
      </w:r>
    </w:p>
    <w:p>
      <w:r>
        <w:pict>
          <v:rect style="width:0;height:1.5pt" o:hralign="center" o:hrstd="t" o:hr="t"/>
        </w:pict>
      </w:r>
    </w:p>
    <w:bookmarkEnd w:id="1311"/>
    <w:bookmarkStart w:id="1312" w:name="Xc5c0955be131109298da1d8cb38a50d16c9e9ba"/>
    <w:p>
      <w:pPr>
        <w:pStyle w:val="Heading4"/>
      </w:pPr>
      <w:r>
        <w:t xml:space="preserve">21.3.6 Regulação de plataformas: DMA, DSA e o PL das plataformas no Brasil</w:t>
      </w:r>
    </w:p>
    <w:p>
      <w:pPr>
        <w:pStyle w:val="FirstParagraph"/>
      </w:pPr>
      <w:r>
        <w:t xml:space="preserve">A concentração de poder de mercado nas grandes plataformas digitais (</w:t>
      </w:r>
      <w:r>
        <w:rPr>
          <w:i/>
          <w:iCs/>
        </w:rPr>
        <w:t xml:space="preserve">Big Tech</w:t>
      </w:r>
      <w:r>
        <w:t xml:space="preserve">) gerou uma onda global de regulação que pode ser a transformação mais significativa na política antitruste desde o Sherman Act (1890). As três iniciativas regulatórias mais relevantes são:</w:t>
      </w:r>
    </w:p>
    <w:p>
      <w:pPr>
        <w:pStyle w:val="BodyText"/>
      </w:pPr>
      <w:r>
        <w:rPr>
          <w:b/>
          <w:bCs/>
        </w:rPr>
        <w:t xml:space="preserve">Digital Markets Act (DMA) — União Europeia (2022/2024):</w:t>
      </w:r>
    </w:p>
    <w:p>
      <w:pPr>
        <w:pStyle w:val="BodyText"/>
      </w:pPr>
      <w:r>
        <w:t xml:space="preserve">O DMA classifica plataformas com mais de 45 milhões de usuários mensais na UE e receita superior a €7,5 bilhões como</w:t>
      </w:r>
      <w:r>
        <w:t xml:space="preserve"> </w:t>
      </w:r>
      <w:r>
        <w:rPr>
          <w:b/>
          <w:bCs/>
        </w:rPr>
        <w:t xml:space="preserve">gatekeepers</w:t>
      </w:r>
      <w:r>
        <w:t xml:space="preserve"> </w:t>
      </w:r>
      <w:r>
        <w:t xml:space="preserve">(porteiros digitais), sujeitos a obrigações específicas:</w:t>
      </w:r>
    </w:p>
    <w:p>
      <w:pPr>
        <w:pStyle w:val="Compact"/>
        <w:numPr>
          <w:ilvl w:val="0"/>
          <w:numId w:val="2147"/>
        </w:numPr>
      </w:pPr>
      <w:r>
        <w:rPr>
          <w:b/>
          <w:bCs/>
        </w:rPr>
        <w:t xml:space="preserve">Interoperabilidade</w:t>
      </w:r>
      <w:r>
        <w:t xml:space="preserve">: serviços de mensagens (WhatsApp, iMessage) devem permitir interoperação com concorrentes — reduzindo o lock-in por efeitos de rede diretos.</w:t>
      </w:r>
    </w:p>
    <w:p>
      <w:pPr>
        <w:pStyle w:val="Compact"/>
        <w:numPr>
          <w:ilvl w:val="0"/>
          <w:numId w:val="2147"/>
        </w:numPr>
      </w:pPr>
      <w:r>
        <w:rPr>
          <w:b/>
          <w:bCs/>
        </w:rPr>
        <w:t xml:space="preserve">Proibição de auto-preferência</w:t>
      </w:r>
      <w:r>
        <w:t xml:space="preserve">: plataformas não podem favorecer seus próprios serviços em resultados de busca ou app stores (endereça o caso Google Shopping).</w:t>
      </w:r>
    </w:p>
    <w:p>
      <w:pPr>
        <w:pStyle w:val="Compact"/>
        <w:numPr>
          <w:ilvl w:val="0"/>
          <w:numId w:val="2147"/>
        </w:numPr>
      </w:pPr>
      <w:r>
        <w:rPr>
          <w:b/>
          <w:bCs/>
        </w:rPr>
        <w:t xml:space="preserve">Portabilidade de dados</w:t>
      </w:r>
      <w:r>
        <w:t xml:space="preserve">: usuários devem poder migrar seus dados entre plataformas — reduzindo custos de troca.</w:t>
      </w:r>
    </w:p>
    <w:p>
      <w:pPr>
        <w:pStyle w:val="Compact"/>
        <w:numPr>
          <w:ilvl w:val="0"/>
          <w:numId w:val="2147"/>
        </w:numPr>
      </w:pPr>
      <w:r>
        <w:rPr>
          <w:b/>
          <w:bCs/>
        </w:rPr>
        <w:t xml:space="preserve">Proibição de tying</w:t>
      </w:r>
      <w:r>
        <w:t xml:space="preserve">: plataformas não podem condicionar o acesso a um serviço à adoção de outro (endereça práticas de envelopment).</w:t>
      </w:r>
    </w:p>
    <w:p>
      <w:pPr>
        <w:pStyle w:val="FirstParagraph"/>
      </w:pPr>
      <w:r>
        <w:t xml:space="preserve">Foram designados como gatekeepers em 2024: Alphabet (Google), Amazon, Apple, ByteDance (TikTok), Meta e Microsoft.</w:t>
      </w:r>
    </w:p>
    <w:p>
      <w:pPr>
        <w:pStyle w:val="BodyText"/>
      </w:pPr>
      <w:r>
        <w:rPr>
          <w:b/>
          <w:bCs/>
        </w:rPr>
        <w:t xml:space="preserve">Digital Services Act (DSA) — União Europeia (2022/2024):</w:t>
      </w:r>
    </w:p>
    <w:p>
      <w:pPr>
        <w:pStyle w:val="BodyText"/>
      </w:pPr>
      <w:r>
        <w:t xml:space="preserve">O DSA complementa o DMA regulando o</w:t>
      </w:r>
      <w:r>
        <w:t xml:space="preserve"> </w:t>
      </w:r>
      <w:r>
        <w:rPr>
          <w:i/>
          <w:iCs/>
        </w:rPr>
        <w:t xml:space="preserve">conteúdo</w:t>
      </w:r>
      <w:r>
        <w:t xml:space="preserve"> </w:t>
      </w:r>
      <w:r>
        <w:t xml:space="preserve">das plataformas: transparência de algoritmos de recomendação, proibição de publicidade direcionada a menores, e obrigação de combater desinformação — temas que conectam diretamente com a economia da atenção (Seção 21.5) e a externalidade de privacidade (Seção 21.6).</w:t>
      </w:r>
    </w:p>
    <w:p>
      <w:pPr>
        <w:pStyle w:val="BlockText"/>
      </w:pPr>
      <w:r>
        <w:rPr>
          <w:b/>
          <w:bCs/>
        </w:rPr>
        <w:t xml:space="preserve">[BOX BRASIL] Box Brasil — PL das Plataformas e regulação digital brasileira</w:t>
      </w:r>
    </w:p>
    <w:p>
      <w:pPr>
        <w:pStyle w:val="BlockText"/>
      </w:pPr>
      <w:r>
        <w:rPr>
          <w:b/>
          <w:bCs/>
        </w:rPr>
        <w:t xml:space="preserve">Contexto:</w:t>
      </w:r>
      <w:r>
        <w:t xml:space="preserve"> </w:t>
      </w:r>
      <w:r>
        <w:t xml:space="preserve">O Brasil discute, desde 2020, um marco regulatório para plataformas digitais. O</w:t>
      </w:r>
      <w:r>
        <w:t xml:space="preserve"> </w:t>
      </w:r>
      <w:r>
        <w:rPr>
          <w:b/>
          <w:bCs/>
        </w:rPr>
        <w:t xml:space="preserve">PL 2630/2020</w:t>
      </w:r>
      <w:r>
        <w:t xml:space="preserve"> </w:t>
      </w:r>
      <w:r>
        <w:t xml:space="preserve">(Lei Brasileira de Liberdade, Responsabilidade e Transparência na Internet), popularmente conhecido como</w:t>
      </w:r>
      <w:r>
        <w:t xml:space="preserve"> </w:t>
      </w:r>
      <w:r>
        <w:t xml:space="preserve">“PL das Fake News”</w:t>
      </w:r>
      <w:r>
        <w:t xml:space="preserve"> </w:t>
      </w:r>
      <w:r>
        <w:t xml:space="preserve">ou</w:t>
      </w:r>
      <w:r>
        <w:t xml:space="preserve"> </w:t>
      </w:r>
      <w:r>
        <w:t xml:space="preserve">“PL das Plataformas”</w:t>
      </w:r>
      <w:r>
        <w:t xml:space="preserve">, é a iniciativa mais avançada.</w:t>
      </w:r>
    </w:p>
    <w:p>
      <w:pPr>
        <w:pStyle w:val="BlockText"/>
      </w:pPr>
      <w:r>
        <w:rPr>
          <w:b/>
          <w:bCs/>
        </w:rPr>
        <w:t xml:space="preserve">Principais disposições (versão 2024):</w:t>
      </w:r>
      <w:r>
        <w:t xml:space="preserve"> </w:t>
      </w:r>
      <w:r>
        <w:t xml:space="preserve">(i) obrigação de transparência sobre algoritmos de recomendação e moderação de conteúdo; (ii) responsabilidade das plataformas por conteúdo que viole a lei quando notificadas e não atuarem; (iii) criação de uma entidade reguladora autônoma para plataformas digitais; (iv) proibição de publicidade direcionada a menores de 18 anos; (v) obrigação de interoperabilidade para serviços de mensagens com mais de 50 milhões de usuários.</w:t>
      </w:r>
    </w:p>
    <w:p>
      <w:pPr>
        <w:pStyle w:val="BlockText"/>
      </w:pPr>
      <w:r>
        <w:rPr>
          <w:b/>
          <w:bCs/>
        </w:rPr>
        <w:t xml:space="preserve">Análise econômica:</w:t>
      </w:r>
      <w:r>
        <w:t xml:space="preserve"> </w:t>
      </w:r>
      <w:r>
        <w:t xml:space="preserve">O PL tenta equilibrar dois objetivos em tensão: (a) proteger consumidores e a democracia contra externalidades negativas das plataformas (desinformação, manipulação algorítmica, exploração de dados de menores) e (b) preservar a eficiência dos efeitos de rede e a inovação. A obrigação de interoperabilidade para mensageiros, em particular, é uma aplicação direta da teoria discutida na Seção 21.2.5: ao reduzir os custos de troca sem fragmentar a rede, a interoperabilidade pode manter os benefícios de rede enquanto contesta o poder de mercado do incumbente (WhatsApp, com mais de 170 milhões de usuários no Brasil). O desafio de implementação é significativo: quem arca com o custo técnico da interoperabilidade? Como garantir privacidade end-to-end entre plataformas diferentes? O DMA europeu enfrenta os mesmos desafios.</w:t>
      </w:r>
    </w:p>
    <w:p>
      <w:pPr>
        <w:pStyle w:val="BlockText"/>
      </w:pPr>
      <w:r>
        <w:rPr>
          <w:b/>
          <w:bCs/>
        </w:rPr>
        <w:t xml:space="preserve">Fonte:</w:t>
      </w:r>
      <w:r>
        <w:t xml:space="preserve"> </w:t>
      </w:r>
      <w:r>
        <w:t xml:space="preserve">Câmara dos Deputados — PL 2630/2020. CADE — Cadernos do CADE: Concorrência em Mercados Digitais (2022).</w:t>
      </w:r>
    </w:p>
    <w:p>
      <w:pPr>
        <w:pStyle w:val="FirstParagraph"/>
      </w:pPr>
      <w:r>
        <w:t xml:space="preserve">A regulação de plataformas digitais ilustra um princípio geral do desenho de mecanismos (Seção 9c.5): todo desenho regulatório envolve trade-offs entre objetivos conflitantes — eficiência alocativa, inovação, proteção ao consumidor e competição —, e a solução ótima depende de parâmetros empíricos (intensidade dos efeitos de rede, magnitude dos custos de troca, velocidade de inovação) que variam entre mercados e jurisdições.</w:t>
      </w:r>
    </w:p>
    <w:bookmarkEnd w:id="1312"/>
    <w:bookmarkEnd w:id="1313"/>
    <w:bookmarkEnd w:id="1314"/>
    <w:bookmarkStart w:id="1323" w:name="Xf962abd2f06160341c0f39f053c4bb1bc291a09"/>
    <w:p>
      <w:pPr>
        <w:pStyle w:val="Heading2"/>
      </w:pPr>
      <w:r>
        <w:t xml:space="preserve">Competição entre Plataformas e Economia da Atenção</w:t>
      </w:r>
    </w:p>
    <w:bookmarkStart w:id="1318" w:name="Xa15f42d1c524c306eb91c3df1216db248a8f224"/>
    <w:p>
      <w:pPr>
        <w:pStyle w:val="Heading3"/>
      </w:pPr>
      <w:r>
        <w:t xml:space="preserve">21.4 Quando Só Há Espaço Para Um Rei: Competição entre Plataformas</w:t>
      </w:r>
    </w:p>
    <w:bookmarkStart w:id="1315" w:name="dinâmicas-de-winner-take-all"/>
    <w:p>
      <w:pPr>
        <w:pStyle w:val="Heading4"/>
      </w:pPr>
      <w:r>
        <w:t xml:space="preserve">21.4.1 Dinâmicas de winner-take-all</w:t>
      </w:r>
    </w:p>
    <w:p>
      <w:pPr>
        <w:pStyle w:val="FirstParagraph"/>
      </w:pPr>
      <w:r>
        <w:t xml:space="preserve">Nos contos de fadas digitais, há espaço para apenas um rei no trono — e os perdedores não ficam com o segundo lugar, ficam com o esquecimento (alguém lembra do Orkut? Do Google+?). A combinação de efeitos de rede, custos fixos elevados e custos marginais baixos gera uma pergunta central: os mercados digitais tendem inevitavelmente ao monopólio? A resposta, como costuma ser em economia, é</w:t>
      </w:r>
      <w:r>
        <w:t xml:space="preserve"> </w:t>
      </w:r>
      <w:r>
        <w:t xml:space="preserve">“depende”</w:t>
      </w:r>
      <w:r>
        <w:t xml:space="preserve"> </w:t>
      </w:r>
      <w:r>
        <w:t xml:space="preserve">— e depende de uma série de fatores que modulam a intensidade dos retornos crescentes.</w:t>
      </w:r>
    </w:p>
    <w:p>
      <w:pPr>
        <w:pStyle w:val="BodyText"/>
      </w:pPr>
      <w:r>
        <w:t xml:space="preserve">O cenário extremo é o</w:t>
      </w:r>
      <w:r>
        <w:t xml:space="preserve"> </w:t>
      </w:r>
      <w:r>
        <w:rPr>
          <w:b/>
          <w:bCs/>
        </w:rPr>
        <w:t xml:space="preserve">winner-take-all</w:t>
      </w:r>
      <w:r>
        <w:t xml:space="preserve"> </w:t>
      </w:r>
      <w:r>
        <w:t xml:space="preserve">(WTA): um mercado em que os efeitos de rede são tão fortes que, em equilíbrio, apenas uma plataforma sobrevive. Formalmente, o WTA ocorre quando o benefício de rede</w:t>
      </w:r>
      <w:r>
        <w:t xml:space="preserve"> </w:t>
      </w:r>
      <m:oMath>
        <m:r>
          <m:t>f</m:t>
        </m:r>
        <m:r>
          <m:rPr>
            <m:sty m:val="p"/>
          </m:rPr>
          <m:t>(</m:t>
        </m:r>
        <m:r>
          <m:t>n</m:t>
        </m:r>
        <m:r>
          <m:rPr>
            <m:sty m:val="p"/>
          </m:rPr>
          <m:t>)</m:t>
        </m:r>
      </m:oMath>
      <w:r>
        <w:t xml:space="preserve"> </w:t>
      </w:r>
      <w:r>
        <w:t xml:space="preserve">na equação Eq. (eq:21.2) é suficientemente côncavo e a diferenciação entre plataformas é insuficiente para sustentar mais de um concorrente. O Google Search (mais de 90% do mercado global) e o WhatsApp no Brasil (mais de 95% de penetração) são exemplos que se aproximam do WTA.</w:t>
      </w:r>
    </w:p>
    <w:p>
      <w:pPr>
        <w:pStyle w:val="BodyText"/>
      </w:pPr>
      <w:r>
        <w:t xml:space="preserve">Contudo, o WTA não é universal nos mercados digitais. Diversos mercados sustentam dois ou mais concorrentes — o transporte por aplicativo (Uber e 99 no Brasil, Uber e Lyft nos EUA), o comércio eletrônico (Mercado Livre, Amazon e Shopee no Brasil), e as redes sociais (Instagram, TikTok, YouTube). O que diferencia esses mercados daqueles que tombam para o monopólio?</w:t>
      </w:r>
    </w:p>
    <w:bookmarkEnd w:id="1315"/>
    <w:bookmarkStart w:id="1316" w:name="multi-homing-versus-single-homing"/>
    <w:p>
      <w:pPr>
        <w:pStyle w:val="Heading4"/>
      </w:pPr>
      <w:r>
        <w:t xml:space="preserve">21.4.2 Multi-homing versus single-homing</w:t>
      </w:r>
    </w:p>
    <w:p>
      <w:pPr>
        <w:pStyle w:val="FirstParagraph"/>
      </w:pPr>
      <w:r>
        <w:t xml:space="preserve">A chave está na distinção entre</w:t>
      </w:r>
      <w:r>
        <w:t xml:space="preserve"> </w:t>
      </w:r>
      <w:r>
        <w:rPr>
          <w:b/>
          <w:bCs/>
        </w:rPr>
        <w:t xml:space="preserve">single-homing</w:t>
      </w:r>
      <w:r>
        <w:t xml:space="preserve"> </w:t>
      </w:r>
      <w:r>
        <w:t xml:space="preserve">e</w:t>
      </w:r>
      <w:r>
        <w:t xml:space="preserve"> </w:t>
      </w:r>
      <w:r>
        <w:rPr>
          <w:b/>
          <w:bCs/>
        </w:rPr>
        <w:t xml:space="preserve">multi-homing</w:t>
      </w:r>
      <w:r>
        <w:t xml:space="preserve">:</w:t>
      </w:r>
    </w:p>
    <w:p>
      <w:pPr>
        <w:pStyle w:val="Compact"/>
        <w:numPr>
          <w:ilvl w:val="0"/>
          <w:numId w:val="2148"/>
        </w:numPr>
      </w:pPr>
      <w:r>
        <w:rPr>
          <w:b/>
          <w:bCs/>
        </w:rPr>
        <w:t xml:space="preserve">Single-homing</w:t>
      </w:r>
      <w:r>
        <w:t xml:space="preserve">: o agente utiliza apenas uma plataforma (e.g., a maioria das pessoas usa apenas um sistema de mensagens principal).</w:t>
      </w:r>
    </w:p>
    <w:p>
      <w:pPr>
        <w:pStyle w:val="Compact"/>
        <w:numPr>
          <w:ilvl w:val="0"/>
          <w:numId w:val="2148"/>
        </w:numPr>
      </w:pPr>
      <w:r>
        <w:rPr>
          <w:b/>
          <w:bCs/>
        </w:rPr>
        <w:t xml:space="preserve">Multi-homing</w:t>
      </w:r>
      <w:r>
        <w:t xml:space="preserve">: o agente utiliza simultaneamente múltiplas plataformas (e.g., um restaurante pode estar cadastrado no iFood, Rappi e no Uber Eats ao mesmo tempo; um passageiro pode ter Uber e 99 no celular).</w:t>
      </w:r>
    </w:p>
    <w:p>
      <w:pPr>
        <w:pStyle w:val="FirstParagraph"/>
      </w:pPr>
      <w:r>
        <w:t xml:space="preserve">Quando ambos os lados do mercado fazem single-homing, os efeitos de rede são maximamente fortes e o mercado tende ao WTA. Quando pelo menos um lado faz multi-homing, a competição se torna viável: o lado que faz multi-homing tem acesso a todas as plataformas, reduzindo o poder de cada uma. Armstrong (2006) demonstra que, num mercado bilateral, a plataforma extrai maiores margens do lado que faz single-homing (que está</w:t>
      </w:r>
      <w:r>
        <w:t xml:space="preserve"> </w:t>
      </w:r>
      <w:r>
        <w:t xml:space="preserve">“preso”</w:t>
      </w:r>
      <w:r>
        <w:t xml:space="preserve">) e compete mais agressivamente pelo lado que faz multi-homing (que pode facilmente trocar).</w:t>
      </w:r>
    </w:p>
    <w:p>
      <w:pPr>
        <w:pStyle w:val="BlockText"/>
      </w:pPr>
      <w:r>
        <w:rPr>
          <w:b/>
          <w:bCs/>
        </w:rPr>
        <w:t xml:space="preserve">[ATENCAO] Cuidado: participação de mercado não implica poder de mercado em plataformas</w:t>
      </w:r>
    </w:p>
    <w:p>
      <w:pPr>
        <w:pStyle w:val="BlockText"/>
      </w:pPr>
      <w:r>
        <w:t xml:space="preserve">É tentador concluir que uma plataforma com 80% de participação de mercado possui poder de monopólio. Contudo, em mercados com multi-homing extensivo, a disciplina competitiva pode ser feroz mesmo com alta concentração aparente. Se os motoristas do Uber também dirigem pela 99, e os passageiros têm ambos os apps instalados, a concorrência por cada corrida é intensa — a</w:t>
      </w:r>
      <w:r>
        <w:t xml:space="preserve"> </w:t>
      </w:r>
      <w:r>
        <w:t xml:space="preserve">“participação”</w:t>
      </w:r>
      <w:r>
        <w:t xml:space="preserve"> </w:t>
      </w:r>
      <w:r>
        <w:t xml:space="preserve">de cada plataforma é volátil e pode mudar rapidamente. A análise antitruste em mercados digitais deve considerar não apenas a participação de mercado (métrica estática), mas também a facilidade de multi-homing (métrica dinâmica) e a contestabilidade do mercado (existência de concorrentes potenciais).</w:t>
      </w:r>
    </w:p>
    <w:bookmarkEnd w:id="1316"/>
    <w:bookmarkStart w:id="1317" w:name="envelopment-de-plataforma"/>
    <w:p>
      <w:pPr>
        <w:pStyle w:val="Heading4"/>
      </w:pPr>
      <w:r>
        <w:t xml:space="preserve">21.4.3 Envelopment de plataforma</w:t>
      </w:r>
    </w:p>
    <w:p>
      <w:pPr>
        <w:pStyle w:val="FirstParagraph"/>
      </w:pPr>
      <w:r>
        <w:t xml:space="preserve">Uma estratégia competitiva particularmente relevante em mercados digitais é o</w:t>
      </w:r>
      <w:r>
        <w:t xml:space="preserve"> </w:t>
      </w:r>
      <w:r>
        <w:rPr>
          <w:b/>
          <w:bCs/>
        </w:rPr>
        <w:t xml:space="preserve">envelopment de plataforma</w:t>
      </w:r>
      <w:r>
        <w:t xml:space="preserve"> </w:t>
      </w:r>
      <w:r>
        <w:t xml:space="preserve">(Eisenmann, Parker e Van Alstyne, 2011): uma plataforma dominante em um mercado utiliza sua base de usuários para entrar em mercados adjacentes,</w:t>
      </w:r>
      <w:r>
        <w:t xml:space="preserve"> </w:t>
      </w:r>
      <w:r>
        <w:t xml:space="preserve">“envolvendo”</w:t>
      </w:r>
      <w:r>
        <w:t xml:space="preserve"> </w:t>
      </w:r>
      <w:r>
        <w:t xml:space="preserve">plataformas rivais menores. O mecanismo funciona porque a plataforma incumbente já possui uma base de usuários (e os efeitos de rede associados), que pode alavancar para obter vantagem no mercado adjacente.</w:t>
      </w:r>
    </w:p>
    <w:p>
      <w:pPr>
        <w:pStyle w:val="BodyText"/>
      </w:pPr>
      <w:r>
        <w:t xml:space="preserve">A Amazon é o caso paradigmático de envelopment sequencial:</w:t>
      </w:r>
    </w:p>
    <w:p>
      <w:pPr>
        <w:pStyle w:val="Compact"/>
        <w:numPr>
          <w:ilvl w:val="0"/>
          <w:numId w:val="2149"/>
        </w:numPr>
      </w:pPr>
      <w:r>
        <w:rPr>
          <w:b/>
          <w:bCs/>
        </w:rPr>
        <w:t xml:space="preserve">Livros</w:t>
      </w:r>
      <w:r>
        <w:t xml:space="preserve"> </w:t>
      </w:r>
      <w:r>
        <w:t xml:space="preserve">(1994): marketplace bilateral original.</w:t>
      </w:r>
    </w:p>
    <w:p>
      <w:pPr>
        <w:pStyle w:val="Compact"/>
        <w:numPr>
          <w:ilvl w:val="0"/>
          <w:numId w:val="2149"/>
        </w:numPr>
      </w:pPr>
      <w:r>
        <w:rPr>
          <w:b/>
          <w:bCs/>
        </w:rPr>
        <w:t xml:space="preserve">E-commerce geral</w:t>
      </w:r>
      <w:r>
        <w:t xml:space="preserve"> </w:t>
      </w:r>
      <w:r>
        <w:t xml:space="preserve">(2000s): expansão do marketplace para todos os produtos.</w:t>
      </w:r>
    </w:p>
    <w:p>
      <w:pPr>
        <w:pStyle w:val="Compact"/>
        <w:numPr>
          <w:ilvl w:val="0"/>
          <w:numId w:val="2149"/>
        </w:numPr>
      </w:pPr>
      <w:r>
        <w:rPr>
          <w:b/>
          <w:bCs/>
        </w:rPr>
        <w:t xml:space="preserve">Computação em nuvem</w:t>
      </w:r>
      <w:r>
        <w:t xml:space="preserve"> </w:t>
      </w:r>
      <w:r>
        <w:t xml:space="preserve">(AWS, 2006): aproveitamento da infraestrutura de TI desenvolvida para o marketplace.</w:t>
      </w:r>
    </w:p>
    <w:p>
      <w:pPr>
        <w:pStyle w:val="Compact"/>
        <w:numPr>
          <w:ilvl w:val="0"/>
          <w:numId w:val="2149"/>
        </w:numPr>
      </w:pPr>
      <w:r>
        <w:rPr>
          <w:b/>
          <w:bCs/>
        </w:rPr>
        <w:t xml:space="preserve">Streaming</w:t>
      </w:r>
      <w:r>
        <w:t xml:space="preserve"> </w:t>
      </w:r>
      <w:r>
        <w:t xml:space="preserve">(Prime Video, 2011): conteúdo como complemento para fidelizar assinantes Prime.</w:t>
      </w:r>
    </w:p>
    <w:p>
      <w:pPr>
        <w:pStyle w:val="Compact"/>
        <w:numPr>
          <w:ilvl w:val="0"/>
          <w:numId w:val="2149"/>
        </w:numPr>
      </w:pPr>
      <w:r>
        <w:rPr>
          <w:b/>
          <w:bCs/>
        </w:rPr>
        <w:t xml:space="preserve">Assistente de voz</w:t>
      </w:r>
      <w:r>
        <w:t xml:space="preserve"> </w:t>
      </w:r>
      <w:r>
        <w:t xml:space="preserve">(Alexa/Echo, 2014): ponto de entrada para compras e serviços.</w:t>
      </w:r>
    </w:p>
    <w:p>
      <w:pPr>
        <w:pStyle w:val="Compact"/>
        <w:numPr>
          <w:ilvl w:val="0"/>
          <w:numId w:val="2149"/>
        </w:numPr>
      </w:pPr>
      <w:r>
        <w:rPr>
          <w:b/>
          <w:bCs/>
        </w:rPr>
        <w:t xml:space="preserve">Saúde</w:t>
      </w:r>
      <w:r>
        <w:t xml:space="preserve"> </w:t>
      </w:r>
      <w:r>
        <w:t xml:space="preserve">(Amazon Pharmacy, 2020): alavancagem da base de clientes para novo mercado.</w:t>
      </w:r>
    </w:p>
    <w:p>
      <w:pPr>
        <w:pStyle w:val="Compact"/>
        <w:numPr>
          <w:ilvl w:val="0"/>
          <w:numId w:val="2149"/>
        </w:numPr>
      </w:pPr>
      <w:r>
        <w:rPr>
          <w:b/>
          <w:bCs/>
        </w:rPr>
        <w:t xml:space="preserve">IA generativa</w:t>
      </w:r>
      <w:r>
        <w:t xml:space="preserve"> </w:t>
      </w:r>
      <w:r>
        <w:t xml:space="preserve">(Bedrock, 2023): infraestrutura de IA como extensão do AWS.</w:t>
      </w:r>
    </w:p>
    <w:p>
      <w:pPr>
        <w:pStyle w:val="FirstParagraph"/>
      </w:pPr>
      <w:r>
        <w:t xml:space="preserve">Cada expansão gera novos efeitos de rede cruzados: mais serviços no ecossistema Amazon → mais assinantes Prime → mais vendedores no marketplace → mais dados para algoritmos de recomendação → mais compras.</w:t>
      </w:r>
    </w:p>
    <w:p>
      <w:pPr>
        <w:pStyle w:val="BlockText"/>
      </w:pPr>
      <w:r>
        <w:rPr>
          <w:b/>
          <w:bCs/>
        </w:rPr>
        <w:t xml:space="preserve">[BOX MUNDO] Box Mundo 21.3 — O Digital Markets Act da União Europeia</w:t>
      </w:r>
    </w:p>
    <w:p>
      <w:pPr>
        <w:pStyle w:val="BlockText"/>
      </w:pPr>
      <w:r>
        <w:rPr>
          <w:b/>
          <w:bCs/>
        </w:rPr>
        <w:t xml:space="preserve">Contexto:</w:t>
      </w:r>
      <w:r>
        <w:t xml:space="preserve"> </w:t>
      </w:r>
      <w:r>
        <w:t xml:space="preserve">A resposta regulatória mais ambiciosa ao poder de mercado das plataformas digitais é o</w:t>
      </w:r>
      <w:r>
        <w:t xml:space="preserve"> </w:t>
      </w:r>
      <w:r>
        <w:rPr>
          <w:i/>
          <w:iCs/>
        </w:rPr>
        <w:t xml:space="preserve">Digital Markets Act</w:t>
      </w:r>
      <w:r>
        <w:t xml:space="preserve"> </w:t>
      </w:r>
      <w:r>
        <w:t xml:space="preserve">(DMA) da União Europeia, que entrou em vigor em maio de 2023 e cujas obrigações substantivas passaram a valer em março de 2024. O DMA identifica plataformas com receita europeia superior a 7,5 bilhões de euros ou capitalização de mercado acima de 75 bilhões de euros como</w:t>
      </w:r>
      <w:r>
        <w:t xml:space="preserve"> </w:t>
      </w:r>
      <w:r>
        <w:rPr>
          <w:b/>
          <w:bCs/>
        </w:rPr>
        <w:t xml:space="preserve">gatekeepers</w:t>
      </w:r>
      <w:r>
        <w:t xml:space="preserve"> </w:t>
      </w:r>
      <w:r>
        <w:t xml:space="preserve">— porteiros digitais que controlam o acesso a mercados essenciais.</w:t>
      </w:r>
    </w:p>
    <w:p>
      <w:pPr>
        <w:pStyle w:val="BlockText"/>
      </w:pPr>
      <w:r>
        <w:rPr>
          <w:b/>
          <w:bCs/>
        </w:rPr>
        <w:t xml:space="preserve">Dados:</w:t>
      </w:r>
      <w:r>
        <w:t xml:space="preserve"> </w:t>
      </w:r>
      <w:r>
        <w:t xml:space="preserve">Em setembro de 2023, a Comissão Europeia designou seis empresas como gatekeepers: Alphabet (Google), Amazon, Apple, ByteDance (TikTok), Meta (Facebook/Instagram/WhatsApp) e Microsoft. As obrigações incluem: proibição de auto-preferência (Google não pode privilegiar seus produtos nos resultados de busca), interoperabilidade de mensagens (WhatsApp deve permitir receber mensagens de outras plataformas), portabilidade de dados (usuários devem poder transferir seus dados), e proibição de combinar dados pessoais de diferentes serviços sem consentimento.</w:t>
      </w:r>
    </w:p>
    <w:p>
      <w:pPr>
        <w:pStyle w:val="BlockText"/>
      </w:pPr>
      <w:r>
        <w:rPr>
          <w:b/>
          <w:bCs/>
        </w:rPr>
        <w:t xml:space="preserve">Análise:</w:t>
      </w:r>
      <w:r>
        <w:t xml:space="preserve"> </w:t>
      </w:r>
      <w:r>
        <w:t xml:space="preserve">O DMA representa uma mudança paradigmática na política antitruste: em vez de aguardar o dano ao consumidor para agir</w:t>
      </w:r>
      <w:r>
        <w:t xml:space="preserve"> </w:t>
      </w:r>
      <w:r>
        <w:rPr>
          <w:i/>
          <w:iCs/>
        </w:rPr>
        <w:t xml:space="preserve">ex post</w:t>
      </w:r>
      <w:r>
        <w:t xml:space="preserve"> </w:t>
      </w:r>
      <w:r>
        <w:t xml:space="preserve">(abordagem tradicional), impõe obrigações</w:t>
      </w:r>
      <w:r>
        <w:t xml:space="preserve"> </w:t>
      </w:r>
      <w:r>
        <w:rPr>
          <w:i/>
          <w:iCs/>
        </w:rPr>
        <w:t xml:space="preserve">ex ante</w:t>
      </w:r>
      <w:r>
        <w:t xml:space="preserve"> </w:t>
      </w:r>
      <w:r>
        <w:t xml:space="preserve">sobre plataformas que atingem determinados limiares. A exigência de interoperabilidade ataca diretamente o lock-in e os custos de troca discutidos na Seção 21.2.4, enquanto a proibição de auto-preferência visa limitar o envelopment da Seção 21.4.3. As multas por descumprimento podem chegar a 10% da receita global — até 20% em caso de reincidência. A eficácia do DMA ainda está sendo testada, mas ele já inspirou legislação similar no Japão (Transparency Act), na Coreia do Sul e na Índia.</w:t>
      </w:r>
    </w:p>
    <w:p>
      <w:pPr>
        <w:pStyle w:val="BlockText"/>
      </w:pPr>
      <w:r>
        <w:rPr>
          <w:b/>
          <w:bCs/>
        </w:rPr>
        <w:t xml:space="preserve">Fonte:</w:t>
      </w:r>
      <w:r>
        <w:t xml:space="preserve"> </w:t>
      </w:r>
      <w:r>
        <w:t xml:space="preserve">European Commission (2023). Digital Markets Act — List of Designated Gatekeepers. Regulation (EU) 2022/1925.</w:t>
      </w:r>
    </w:p>
    <w:p>
      <w:r>
        <w:pict>
          <v:rect style="width:0;height:1.5pt" o:hralign="center" o:hrstd="t" o:hr="t"/>
        </w:pict>
      </w:r>
    </w:p>
    <w:bookmarkEnd w:id="1317"/>
    <w:bookmarkEnd w:id="1318"/>
    <w:bookmarkStart w:id="1322" w:name="X28f720439cefaeb3acc7a7babce0a28abaa07a3"/>
    <w:p>
      <w:pPr>
        <w:pStyle w:val="Heading3"/>
      </w:pPr>
      <w:r>
        <w:t xml:space="preserve">21.5 Sua Atenção, Por Favor — Ela Vale Bilhões: Economia da Atenção e Publicidade</w:t>
      </w:r>
    </w:p>
    <w:p>
      <w:pPr>
        <w:pStyle w:val="FirstParagraph"/>
      </w:pPr>
      <w:r>
        <w:t xml:space="preserve">Abra seu celular e conte quantos aplicativos gratuitos você usa diariamente. Google, Instagram, WhatsApp, YouTube — nenhum cobra um centavo. Generosidade corporativa? Filantropia do Vale do Silício? Claro que não. As seções anteriores analisaram como plataformas conectam diferentes grupos de agentes e competem entre si. Resta, porém, uma pergunta fundamental: como plataformas que não cobram nada dos usuários geram receita? A resposta reside no recurso que elas</w:t>
      </w:r>
      <w:r>
        <w:t xml:space="preserve"> </w:t>
      </w:r>
      <w:r>
        <w:rPr>
          <w:i/>
          <w:iCs/>
        </w:rPr>
        <w:t xml:space="preserve">realmente</w:t>
      </w:r>
      <w:r>
        <w:t xml:space="preserve"> </w:t>
      </w:r>
      <w:r>
        <w:t xml:space="preserve">comercializam — não dados, não tecnologia, mas algo mais primitivo e escasso: a sua atenção.</w:t>
      </w:r>
    </w:p>
    <w:bookmarkStart w:id="1319" w:name="atenção-como-recurso-escasso"/>
    <w:p>
      <w:pPr>
        <w:pStyle w:val="Heading4"/>
      </w:pPr>
      <w:r>
        <w:t xml:space="preserve">21.5.1 Atenção como recurso escasso</w:t>
      </w:r>
    </w:p>
    <w:p>
      <w:pPr>
        <w:pStyle w:val="FirstParagraph"/>
      </w:pPr>
      <w:r>
        <w:t xml:space="preserve">A atenção humana é, em termos econômicos, um recurso</w:t>
      </w:r>
      <w:r>
        <w:t xml:space="preserve"> </w:t>
      </w:r>
      <w:r>
        <w:rPr>
          <w:b/>
          <w:bCs/>
        </w:rPr>
        <w:t xml:space="preserve">rival</w:t>
      </w:r>
      <w:r>
        <w:t xml:space="preserve"> </w:t>
      </w:r>
      <w:r>
        <w:t xml:space="preserve">e</w:t>
      </w:r>
      <w:r>
        <w:t xml:space="preserve"> </w:t>
      </w:r>
      <w:r>
        <w:rPr>
          <w:b/>
          <w:bCs/>
        </w:rPr>
        <w:t xml:space="preserve">escasso</w:t>
      </w:r>
      <w:r>
        <w:t xml:space="preserve">: o tempo dedicado a assistir um vídeo no YouTube é tempo</w:t>
      </w:r>
      <w:r>
        <w:t xml:space="preserve"> </w:t>
      </w:r>
      <w:r>
        <w:rPr>
          <w:i/>
          <w:iCs/>
        </w:rPr>
        <w:t xml:space="preserve">não</w:t>
      </w:r>
      <w:r>
        <w:t xml:space="preserve"> </w:t>
      </w:r>
      <w:r>
        <w:t xml:space="preserve">dedicado a ler um livro, trabalhar ou conversar com a família. Essa rivalidade fundamental foi identificada por Herbert Simon, prêmio Nobel de 1978, em uma passagem célebre:</w:t>
      </w:r>
    </w:p>
    <w:p>
      <w:pPr>
        <w:pStyle w:val="BlockText"/>
      </w:pPr>
      <w:r>
        <w:t xml:space="preserve">“Numa sociedade rica em informação, a riqueza de informação implica pobreza de outra coisa: escassez daquilo que a informação consome. E o que a informação consome é bastante óbvio: a atenção dos seus receptores.”</w:t>
      </w:r>
      <w:r>
        <w:t xml:space="preserve"> </w:t>
      </w:r>
      <w:r>
        <w:t xml:space="preserve">(Simon, 1971)</w:t>
      </w:r>
    </w:p>
    <w:p>
      <w:pPr>
        <w:pStyle w:val="FirstParagraph"/>
      </w:pPr>
      <w:r>
        <w:t xml:space="preserve">A</w:t>
      </w:r>
      <w:r>
        <w:t xml:space="preserve"> </w:t>
      </w:r>
      <w:r>
        <w:rPr>
          <w:b/>
          <w:bCs/>
        </w:rPr>
        <w:t xml:space="preserve">economia da atenção</w:t>
      </w:r>
      <w:r>
        <w:t xml:space="preserve"> </w:t>
      </w:r>
      <w:r>
        <w:t xml:space="preserve">modela mercados em que plataformas competem pela atenção dos usuários, que é então</w:t>
      </w:r>
      <w:r>
        <w:t xml:space="preserve"> </w:t>
      </w:r>
      <w:r>
        <w:t xml:space="preserve">“revendida”</w:t>
      </w:r>
      <w:r>
        <w:t xml:space="preserve"> </w:t>
      </w:r>
      <w:r>
        <w:t xml:space="preserve">a anunciantes. Trata-se, essencialmente, de um</w:t>
      </w:r>
      <w:r>
        <w:t xml:space="preserve"> </w:t>
      </w:r>
      <w:r>
        <w:rPr>
          <w:b/>
          <w:bCs/>
        </w:rPr>
        <w:t xml:space="preserve">mercado bilateral</w:t>
      </w:r>
      <w:r>
        <w:t xml:space="preserve"> </w:t>
      </w:r>
      <w:r>
        <w:t xml:space="preserve">(Seção 21.3) em que:</w:t>
      </w:r>
    </w:p>
    <w:p>
      <w:pPr>
        <w:pStyle w:val="Compact"/>
        <w:numPr>
          <w:ilvl w:val="0"/>
          <w:numId w:val="2150"/>
        </w:numPr>
      </w:pPr>
      <w:r>
        <w:rPr>
          <w:b/>
          <w:bCs/>
        </w:rPr>
        <w:t xml:space="preserve">Lado 1 (usuários)</w:t>
      </w:r>
      <w:r>
        <w:t xml:space="preserve">: recebem conteúdo gratuito (ou subsidiado) em troca de sua atenção.</w:t>
      </w:r>
    </w:p>
    <w:p>
      <w:pPr>
        <w:pStyle w:val="Compact"/>
        <w:numPr>
          <w:ilvl w:val="0"/>
          <w:numId w:val="2150"/>
        </w:numPr>
      </w:pPr>
      <w:r>
        <w:rPr>
          <w:b/>
          <w:bCs/>
        </w:rPr>
        <w:t xml:space="preserve">Lado 2 (anunciantes)</w:t>
      </w:r>
      <w:r>
        <w:t xml:space="preserve">: pagam à plataforma pelo acesso à atenção dos usuários.</w:t>
      </w:r>
    </w:p>
    <w:p>
      <w:pPr>
        <w:pStyle w:val="FirstParagraph"/>
      </w:pPr>
      <w:r>
        <w:t xml:space="preserve">A</w:t>
      </w:r>
      <w:r>
        <w:t xml:space="preserve"> </w:t>
      </w:r>
      <w:r>
        <w:t xml:space="preserve">“moeda”</w:t>
      </w:r>
      <w:r>
        <w:t xml:space="preserve"> </w:t>
      </w:r>
      <w:r>
        <w:t xml:space="preserve">desse mercado é o</w:t>
      </w:r>
      <w:r>
        <w:t xml:space="preserve"> </w:t>
      </w:r>
      <w:r>
        <w:rPr>
          <w:b/>
          <w:bCs/>
        </w:rPr>
        <w:t xml:space="preserve">tempo de atenção</w:t>
      </w:r>
      <w:r>
        <w:t xml:space="preserve"> </w:t>
      </w:r>
      <w:r>
        <w:t xml:space="preserve">do usuário, e a plataforma é o intermediário que agrega, segmenta e vende essa atenção.</w:t>
      </w:r>
    </w:p>
    <w:bookmarkEnd w:id="1319"/>
    <w:bookmarkStart w:id="1320" w:name="modelo-de-mídia-bilateral"/>
    <w:p>
      <w:pPr>
        <w:pStyle w:val="Heading4"/>
      </w:pPr>
      <w:r>
        <w:t xml:space="preserve">21.5.2 Modelo de mídia bilateral</w:t>
      </w:r>
    </w:p>
    <w:p>
      <w:pPr>
        <w:pStyle w:val="FirstParagraph"/>
      </w:pPr>
      <w:r>
        <w:t xml:space="preserve">Formalize o mercado de atenção como um modelo de mídia bilateral (Anderson e Coate, 2005). Uma plataforma de conteúdo (Google, YouTube, Instagram) atrai</w:t>
      </w:r>
      <w:r>
        <w:t xml:space="preserve"> </w:t>
      </w:r>
      <m:oMath>
        <m:sSub>
          <m:e>
            <m:r>
              <m:t>n</m:t>
            </m:r>
          </m:e>
          <m:sub>
            <m:r>
              <m:t>U</m:t>
            </m:r>
          </m:sub>
        </m:sSub>
      </m:oMath>
      <w:r>
        <w:t xml:space="preserve"> </w:t>
      </w:r>
      <w:r>
        <w:t xml:space="preserve">usuários com conteúdo de qualidade</w:t>
      </w:r>
      <w:r>
        <w:t xml:space="preserve"> </w:t>
      </w:r>
      <m:oMath>
        <m:r>
          <m:t>q</m:t>
        </m:r>
      </m:oMath>
      <w:r>
        <w:t xml:space="preserve">, e vende espaço publicitário a</w:t>
      </w:r>
      <w:r>
        <w:t xml:space="preserve"> </w:t>
      </w:r>
      <m:oMath>
        <m:sSub>
          <m:e>
            <m:r>
              <m:t>n</m:t>
            </m:r>
          </m:e>
          <m:sub>
            <m:r>
              <m:t>A</m:t>
            </m:r>
          </m:sub>
        </m:sSub>
      </m:oMath>
      <w:r>
        <w:t xml:space="preserve"> </w:t>
      </w:r>
      <w:r>
        <w:t xml:space="preserve">anunciantes.</w:t>
      </w:r>
    </w:p>
    <w:p>
      <w:pPr>
        <w:pStyle w:val="BodyText"/>
      </w:pPr>
      <w:r>
        <w:t xml:space="preserve">A utilidade do usuário é:</w:t>
      </w:r>
    </w:p>
    <w:p>
      <w:pPr>
        <w:pStyle w:val="BodyText"/>
      </w:pPr>
      <w:r>
        <w:t xml:space="preserve">$$
    u_U = \underbrace{\beta \cdot q}_{\text{benefício do conteúdo}} - \underbrace{\gamma \cdot a}_{\text{custo da publicidade}} - p_U \label{eq:21.14} \tag{21.14}
    $$</w:t>
      </w:r>
    </w:p>
    <w:p>
      <w:pPr>
        <w:pStyle w:val="FirstParagraph"/>
      </w:pPr>
      <w:r>
        <w:t xml:space="preserve">onde</w:t>
      </w:r>
      <w:r>
        <w:t xml:space="preserve"> </w:t>
      </w:r>
      <m:oMath>
        <m:r>
          <m:t>a</m:t>
        </m:r>
      </m:oMath>
      <w:r>
        <w:t xml:space="preserve"> </w:t>
      </w:r>
      <w:r>
        <w:t xml:space="preserve">é a quantidade de publicidade por unidade de conteúdo e</w:t>
      </w:r>
      <w:r>
        <w:t xml:space="preserve"> </w:t>
      </w:r>
      <m:oMath>
        <m:r>
          <m:t>γ</m:t>
        </m:r>
        <m:r>
          <m:rPr>
            <m:sty m:val="p"/>
          </m:rPr>
          <m:t>&gt;</m:t>
        </m:r>
        <m:r>
          <m:t>0</m:t>
        </m:r>
      </m:oMath>
      <w:r>
        <w:t xml:space="preserve"> </w:t>
      </w:r>
      <w:r>
        <w:t xml:space="preserve">captura a</w:t>
      </w:r>
      <w:r>
        <w:t xml:space="preserve"> </w:t>
      </w:r>
      <w:r>
        <w:rPr>
          <w:b/>
          <w:bCs/>
        </w:rPr>
        <w:t xml:space="preserve">desutilidade da publicidade</w:t>
      </w:r>
      <w:r>
        <w:t xml:space="preserve"> </w:t>
      </w:r>
      <w:r>
        <w:t xml:space="preserve">— o</w:t>
      </w:r>
      <w:r>
        <w:t xml:space="preserve"> </w:t>
      </w:r>
      <w:r>
        <w:t xml:space="preserve">“preço”</w:t>
      </w:r>
      <w:r>
        <w:t xml:space="preserve"> </w:t>
      </w:r>
      <w:r>
        <w:t xml:space="preserve">que o usuário paga em aborrecimento. Note que</w:t>
      </w:r>
      <w:r>
        <w:t xml:space="preserve"> </w:t>
      </w:r>
      <m:oMath>
        <m:sSub>
          <m:e>
            <m:r>
              <m:t>p</m:t>
            </m:r>
          </m:e>
          <m:sub>
            <m:r>
              <m:t>U</m:t>
            </m:r>
          </m:sub>
        </m:sSub>
      </m:oMath>
      <w:r>
        <w:t xml:space="preserve"> </w:t>
      </w:r>
      <w:r>
        <w:t xml:space="preserve">pode ser zero (modelo ad-supported); nesse caso, a publicidade é, implicitamente, o</w:t>
      </w:r>
      <w:r>
        <w:t xml:space="preserve"> </w:t>
      </w:r>
      <w:r>
        <w:t xml:space="preserve">“preço”</w:t>
      </w:r>
      <w:r>
        <w:t xml:space="preserve"> </w:t>
      </w:r>
      <w:r>
        <w:t xml:space="preserve">pago pelo usuário.</w:t>
      </w:r>
    </w:p>
    <w:p>
      <w:pPr>
        <w:pStyle w:val="BodyText"/>
      </w:pPr>
      <w:r>
        <w:t xml:space="preserve">A disposição a pagar do anunciante por uma impressão publicitária é:</w:t>
      </w:r>
    </w:p>
    <w:p>
      <w:pPr>
        <w:pStyle w:val="BodyText"/>
      </w:pPr>
      <w:r>
        <w:t xml:space="preserve">$$
    w_A = \delta \cdot n_U \label{eq:21.15} \tag{21.15}
    $$</w:t>
      </w:r>
    </w:p>
    <w:p>
      <w:pPr>
        <w:pStyle w:val="FirstParagraph"/>
      </w:pPr>
      <w:r>
        <w:t xml:space="preserve">onde</w:t>
      </w:r>
      <w:r>
        <w:t xml:space="preserve"> </w:t>
      </w:r>
      <m:oMath>
        <m:r>
          <m:t>δ</m:t>
        </m:r>
        <m:r>
          <m:rPr>
            <m:sty m:val="p"/>
          </m:rPr>
          <m:t>&gt;</m:t>
        </m:r>
        <m:r>
          <m:t>0</m:t>
        </m:r>
      </m:oMath>
      <w:r>
        <w:t xml:space="preserve"> </w:t>
      </w:r>
      <w:r>
        <w:t xml:space="preserve">captura o valor que cada impressão de anúncio, atingindo</w:t>
      </w:r>
      <w:r>
        <w:t xml:space="preserve"> </w:t>
      </w:r>
      <m:oMath>
        <m:sSub>
          <m:e>
            <m:r>
              <m:t>n</m:t>
            </m:r>
          </m:e>
          <m:sub>
            <m:r>
              <m:t>U</m:t>
            </m:r>
          </m:sub>
        </m:sSub>
      </m:oMath>
      <w:r>
        <w:t xml:space="preserve"> </w:t>
      </w:r>
      <w:r>
        <w:t xml:space="preserve">usuários, tem para o anunciante. A plataforma cobra</w:t>
      </w:r>
      <w:r>
        <w:t xml:space="preserve"> </w:t>
      </w:r>
      <m:oMath>
        <m:sSub>
          <m:e>
            <m:r>
              <m:t>p</m:t>
            </m:r>
          </m:e>
          <m:sub>
            <m:r>
              <m:t>A</m:t>
            </m:r>
          </m:sub>
        </m:sSub>
      </m:oMath>
      <w:r>
        <w:t xml:space="preserve"> </w:t>
      </w:r>
      <w:r>
        <w:t xml:space="preserve">por anúncio.</w:t>
      </w:r>
    </w:p>
    <w:p>
      <w:pPr>
        <w:pStyle w:val="BodyText"/>
      </w:pPr>
      <w:r>
        <w:t xml:space="preserve">A plataforma maximiza:</w:t>
      </w:r>
    </w:p>
    <w:p>
      <w:pPr>
        <w:pStyle w:val="BodyText"/>
      </w:pPr>
      <m:oMathPara>
        <m:oMathParaPr>
          <m:jc m:val="center"/>
        </m:oMathParaPr>
        <m:oMath>
          <m:r>
            <m:t>π</m:t>
          </m:r>
          <m:r>
            <m:rPr>
              <m:sty m:val="p"/>
            </m:rPr>
            <m:t>=</m:t>
          </m:r>
          <m:sSub>
            <m:e>
              <m:r>
                <m:t>p</m:t>
              </m:r>
            </m:e>
            <m:sub>
              <m:r>
                <m:t>A</m:t>
              </m:r>
            </m:sub>
          </m:sSub>
          <m:r>
            <m:rPr>
              <m:sty m:val="p"/>
            </m:rPr>
            <m:t>⋅</m:t>
          </m:r>
          <m:r>
            <m:t>a</m:t>
          </m:r>
          <m:r>
            <m:rPr>
              <m:sty m:val="p"/>
            </m:rPr>
            <m:t>⋅</m:t>
          </m:r>
          <m:sSub>
            <m:e>
              <m:r>
                <m:t>n</m:t>
              </m:r>
            </m:e>
            <m:sub>
              <m:r>
                <m:t>U</m:t>
              </m:r>
            </m:sub>
          </m:sSub>
          <m:r>
            <m:rPr>
              <m:sty m:val="p"/>
            </m:rPr>
            <m:t>+</m:t>
          </m:r>
          <m:sSub>
            <m:e>
              <m:r>
                <m:t>p</m:t>
              </m:r>
            </m:e>
            <m:sub>
              <m:r>
                <m:t>U</m:t>
              </m:r>
            </m:sub>
          </m:sSub>
          <m:r>
            <m:rPr>
              <m:sty m:val="p"/>
            </m:rPr>
            <m:t>⋅</m:t>
          </m:r>
          <m:sSub>
            <m:e>
              <m:r>
                <m:t>n</m:t>
              </m:r>
            </m:e>
            <m:sub>
              <m:r>
                <m:t>U</m:t>
              </m:r>
            </m:sub>
          </m:sSub>
          <m:r>
            <m:rPr>
              <m:sty m:val="p"/>
            </m:rPr>
            <m:t>−</m:t>
          </m:r>
          <m:r>
            <m:t>C</m:t>
          </m:r>
          <m:r>
            <m:rPr>
              <m:sty m:val="p"/>
            </m:rPr>
            <m:t>(</m:t>
          </m:r>
          <m:r>
            <m:t>q</m:t>
          </m:r>
          <m:r>
            <m:rPr>
              <m:sty m:val="p"/>
            </m:rPr>
            <m:t>,</m:t>
          </m:r>
          <m:sSub>
            <m:e>
              <m:r>
                <m:t>n</m:t>
              </m:r>
            </m:e>
            <m:sub>
              <m:r>
                <m:t>U</m:t>
              </m:r>
            </m:sub>
          </m:sSub>
          <m:r>
            <m:rPr>
              <m:sty m:val="p"/>
            </m:rPr>
            <m:t>)</m:t>
          </m:r>
        </m:oMath>
      </m:oMathPara>
    </w:p>
    <w:p>
      <w:pPr>
        <w:pStyle w:val="FirstParagraph"/>
      </w:pPr>
      <w:r>
        <w:t xml:space="preserve">No modelo ad-supported (</w:t>
      </w:r>
      <m:oMath>
        <m:sSub>
          <m:e>
            <m:r>
              <m:t>p</m:t>
            </m:r>
          </m:e>
          <m:sub>
            <m:r>
              <m:t>U</m:t>
            </m:r>
          </m:sub>
        </m:sSub>
        <m:r>
          <m:rPr>
            <m:sty m:val="p"/>
          </m:rPr>
          <m:t>=</m:t>
        </m:r>
        <m:r>
          <m:t>0</m:t>
        </m:r>
      </m:oMath>
      <w:r>
        <w:t xml:space="preserve">), a plataforma enfrenta um trade-off entre receita publicitária e qualidade da experiência do usuário: mais publicidade (</w:t>
      </w:r>
      <m:oMath>
        <m:r>
          <m:t>a</m:t>
        </m:r>
      </m:oMath>
      <w:r>
        <w:t xml:space="preserve"> </w:t>
      </w:r>
      <w:r>
        <w:t xml:space="preserve">maior) gera mais receita direta, mas reduz a utilidade do usuário (via</w:t>
      </w:r>
      <w:r>
        <w:t xml:space="preserve"> </w:t>
      </w:r>
      <m:oMath>
        <m:r>
          <m:t>γ</m:t>
        </m:r>
        <m:r>
          <m:rPr>
            <m:sty m:val="p"/>
          </m:rPr>
          <m:t>⋅</m:t>
        </m:r>
        <m:r>
          <m:t>a</m:t>
        </m:r>
      </m:oMath>
      <w:r>
        <w:t xml:space="preserve">), causando perda de audiência (</w:t>
      </w:r>
      <m:oMath>
        <m:sSub>
          <m:e>
            <m:r>
              <m:t>n</m:t>
            </m:r>
          </m:e>
          <m:sub>
            <m:r>
              <m:t>U</m:t>
            </m:r>
          </m:sub>
        </m:sSub>
      </m:oMath>
      <w:r>
        <w:t xml:space="preserve"> </w:t>
      </w:r>
      <w:r>
        <w:t xml:space="preserve">menor). A quantidade ótima de publicidade equilibra essas duas forças.</w:t>
      </w:r>
    </w:p>
    <w:bookmarkEnd w:id="1320"/>
    <w:bookmarkStart w:id="1321" w:name="grátis-é-realmente-grátis"/>
    <w:p>
      <w:pPr>
        <w:pStyle w:val="Heading4"/>
      </w:pPr>
      <w:r>
        <w:t xml:space="preserve">21.5.3</w:t>
      </w:r>
      <w:r>
        <w:t xml:space="preserve"> </w:t>
      </w:r>
      <w:r>
        <w:t xml:space="preserve">“Grátis”</w:t>
      </w:r>
      <w:r>
        <w:t xml:space="preserve"> </w:t>
      </w:r>
      <w:r>
        <w:t xml:space="preserve">é realmente grátis?</w:t>
      </w:r>
    </w:p>
    <w:p>
      <w:pPr>
        <w:pStyle w:val="FirstParagraph"/>
      </w:pPr>
      <w:r>
        <w:t xml:space="preserve">O modelo acima revela que serviços</w:t>
      </w:r>
      <w:r>
        <w:t xml:space="preserve"> </w:t>
      </w:r>
      <w:r>
        <w:t xml:space="preserve">“gratuitos”</w:t>
      </w:r>
      <w:r>
        <w:t xml:space="preserve"> </w:t>
      </w:r>
      <w:r>
        <w:t xml:space="preserve">como Google, Facebook e YouTube não são de fato gratuitos: o usuário</w:t>
      </w:r>
      <w:r>
        <w:t xml:space="preserve"> </w:t>
      </w:r>
      <w:r>
        <w:t xml:space="preserve">“paga”</w:t>
      </w:r>
      <w:r>
        <w:t xml:space="preserve"> </w:t>
      </w:r>
      <w:r>
        <w:t xml:space="preserve">com dois ativos:</w:t>
      </w:r>
    </w:p>
    <w:p>
      <w:pPr>
        <w:pStyle w:val="Compact"/>
        <w:numPr>
          <w:ilvl w:val="0"/>
          <w:numId w:val="2151"/>
        </w:numPr>
      </w:pPr>
      <w:r>
        <w:rPr>
          <w:b/>
          <w:bCs/>
        </w:rPr>
        <w:t xml:space="preserve">Atenção</w:t>
      </w:r>
      <w:r>
        <w:t xml:space="preserve">: tempo dedicado a anúncios (</w:t>
      </w:r>
      <m:oMath>
        <m:r>
          <m:t>γ</m:t>
        </m:r>
        <m:r>
          <m:rPr>
            <m:sty m:val="p"/>
          </m:rPr>
          <m:t>⋅</m:t>
        </m:r>
        <m:r>
          <m:t>a</m:t>
        </m:r>
      </m:oMath>
      <w:r>
        <w:t xml:space="preserve"> </w:t>
      </w:r>
      <w:r>
        <w:t xml:space="preserve">na equação Eq. (eq:21.14)).</w:t>
      </w:r>
    </w:p>
    <w:p>
      <w:pPr>
        <w:pStyle w:val="Compact"/>
        <w:numPr>
          <w:ilvl w:val="0"/>
          <w:numId w:val="2151"/>
        </w:numPr>
      </w:pPr>
      <w:r>
        <w:rPr>
          <w:b/>
          <w:bCs/>
        </w:rPr>
        <w:t xml:space="preserve">Dados pessoais</w:t>
      </w:r>
      <w:r>
        <w:t xml:space="preserve">: informações sobre comportamento, preferências e localização, que permitem à plataforma segmentar a publicidade e cobrar mais dos anunciantes.</w:t>
      </w:r>
    </w:p>
    <w:p>
      <w:pPr>
        <w:pStyle w:val="FirstParagraph"/>
      </w:pPr>
      <w:r>
        <w:t xml:space="preserve">A análise de bem-estar é ambígua. Por um lado, o modelo ad-supported permite que consumidores de baixa renda acessem serviços de alta qualidade (Google Maps, Gmail, YouTube) que, se fossem pagos, seriam excludentes. Por outro, os custos ocultos — perda de privacidade, manipulação da atenção, viés algorítmico — podem superar os benefícios percebidos, especialmente quando os consumidores subestimam sistematicamente esses custos (viés comportamental, Capítulo 8).</w:t>
      </w:r>
    </w:p>
    <w:p>
      <w:pPr>
        <w:pStyle w:val="BlockText"/>
      </w:pPr>
      <w:r>
        <w:rPr>
          <w:b/>
          <w:bCs/>
        </w:rPr>
        <w:t xml:space="preserve">[INTUICAO ECONOMICA] Intuição Econômica</w:t>
      </w:r>
    </w:p>
    <w:p>
      <w:pPr>
        <w:pStyle w:val="BlockText"/>
      </w:pPr>
      <w:r>
        <w:rPr>
          <w:b/>
          <w:bCs/>
        </w:rPr>
        <w:t xml:space="preserve">Em uma frase:</w:t>
      </w:r>
      <w:r>
        <w:t xml:space="preserve"> </w:t>
      </w:r>
      <w:r>
        <w:t xml:space="preserve">Se você não está pagando pelo produto,</w:t>
      </w:r>
      <w:r>
        <w:t xml:space="preserve"> </w:t>
      </w:r>
      <w:r>
        <w:rPr>
          <w:i/>
          <w:iCs/>
        </w:rPr>
        <w:t xml:space="preserve">você</w:t>
      </w:r>
      <w:r>
        <w:t xml:space="preserve"> </w:t>
      </w:r>
      <w:r>
        <w:t xml:space="preserve">é o produto — mas a história é mais complicada do que essa frase sugere.</w:t>
      </w:r>
    </w:p>
    <w:p>
      <w:pPr>
        <w:pStyle w:val="BlockText"/>
      </w:pPr>
      <w:r>
        <w:rPr>
          <w:b/>
          <w:bCs/>
        </w:rPr>
        <w:t xml:space="preserve">Pense assim:</w:t>
      </w:r>
      <w:r>
        <w:t xml:space="preserve"> </w:t>
      </w:r>
      <w:r>
        <w:t xml:space="preserve">O Google oferece busca gratuita, mapas gratuitos, e-mail gratuito. Em troca, coleta dados sobre suas buscas, localização e comunicações, que usa para direcionar anúncios. O</w:t>
      </w:r>
      <w:r>
        <w:t xml:space="preserve"> </w:t>
      </w:r>
      <w:r>
        <w:t xml:space="preserve">“preço”</w:t>
      </w:r>
      <w:r>
        <w:t xml:space="preserve"> </w:t>
      </w:r>
      <w:r>
        <w:t xml:space="preserve">que você paga é a exposição a publicidade e a cessão de dados pessoais. Mas há um benefício real: sem o modelo ad-supported, o Google cobraria pelo buscador — e muitos consumidores de baixa renda seriam excluídos. A questão de bem-estar não é se</w:t>
      </w:r>
      <w:r>
        <w:t xml:space="preserve"> </w:t>
      </w:r>
      <w:r>
        <w:t xml:space="preserve">“grátis é exploração”</w:t>
      </w:r>
      <w:r>
        <w:t xml:space="preserve"> </w:t>
      </w:r>
      <w:r>
        <w:t xml:space="preserve">ou</w:t>
      </w:r>
      <w:r>
        <w:t xml:space="preserve"> </w:t>
      </w:r>
      <w:r>
        <w:t xml:space="preserve">“grátis é generosidade”</w:t>
      </w:r>
      <w:r>
        <w:t xml:space="preserve">, mas se os consumidores compreendem adequadamente o preço implícito que estão pagando.</w:t>
      </w:r>
    </w:p>
    <w:p>
      <w:pPr>
        <w:pStyle w:val="BlockText"/>
      </w:pPr>
      <w:r>
        <w:rPr>
          <w:b/>
          <w:bCs/>
        </w:rPr>
        <w:t xml:space="preserve">Por que isso importa:</w:t>
      </w:r>
      <w:r>
        <w:t xml:space="preserve"> </w:t>
      </w:r>
      <w:r>
        <w:t xml:space="preserve">A regulação de plataformas ad-supported (como a LGPD no Brasil e o GDPR na Europa, discutidos na Seção 21.6) busca garantir que os consumidores tenham informação suficiente sobre o</w:t>
      </w:r>
      <w:r>
        <w:t xml:space="preserve"> </w:t>
      </w:r>
      <w:r>
        <w:t xml:space="preserve">“preço”</w:t>
      </w:r>
      <w:r>
        <w:t xml:space="preserve"> </w:t>
      </w:r>
      <w:r>
        <w:t xml:space="preserve">implícito que pagam — uma aplicação direta da lógica de informação assimétrica do Capítulo 19.</w:t>
      </w:r>
    </w:p>
    <w:bookmarkEnd w:id="1321"/>
    <w:bookmarkEnd w:id="1322"/>
    <w:bookmarkEnd w:id="1323"/>
    <w:bookmarkStart w:id="1334" w:name="Xb44da87a49181195e7539e27df936ac5368fc12"/>
    <w:p>
      <w:pPr>
        <w:pStyle w:val="Heading2"/>
      </w:pPr>
      <w:r>
        <w:t xml:space="preserve">Economia de Dados, Privacidade e Leilões Digitais</w:t>
      </w:r>
    </w:p>
    <w:bookmarkStart w:id="1328" w:name="Xbad865a02d82f4970687ffe1b80822b76cc0626"/>
    <w:p>
      <w:pPr>
        <w:pStyle w:val="Heading3"/>
      </w:pPr>
      <w:r>
        <w:t xml:space="preserve">21.6 O Novo Petróleo — Só Que Extraem de Você: Economia de Dados e Privacidade</w:t>
      </w:r>
    </w:p>
    <w:bookmarkStart w:id="1324" w:name="dados-como-bem-econômico"/>
    <w:p>
      <w:pPr>
        <w:pStyle w:val="Heading4"/>
      </w:pPr>
      <w:r>
        <w:t xml:space="preserve">21.6.1 Dados como bem econômico</w:t>
      </w:r>
    </w:p>
    <w:p>
      <w:pPr>
        <w:pStyle w:val="FirstParagraph"/>
      </w:pPr>
      <w:r>
        <w:t xml:space="preserve">Se o petróleo foi o recurso estratégico do século XX, os dados pessoais são frequentemente chamados de</w:t>
      </w:r>
      <w:r>
        <w:t xml:space="preserve"> </w:t>
      </w:r>
      <w:r>
        <w:t xml:space="preserve">“novo petróleo”</w:t>
      </w:r>
      <w:r>
        <w:t xml:space="preserve"> </w:t>
      </w:r>
      <w:r>
        <w:t xml:space="preserve">do século XXI — com uma diferença crucial: ninguém extrai petróleo de você enquanto você assiste vídeos de gatos. (Ou melhor: extraem, só que o recurso são seus dados, não hidrocarbonetos.) A economia digital gera e consome quantidades colossais de dados. Em 2024, estimava-se que a humanidade produzia mais de 120 zettabytes de dados por ano — mais informação do que toda a informação acumulada na história da humanidade até o ano 2000. Mas qual é a natureza econômica dos dados?</w:t>
      </w:r>
    </w:p>
    <w:p>
      <w:pPr>
        <w:pStyle w:val="BodyText"/>
      </w:pPr>
      <w:r>
        <w:t xml:space="preserve">Dados possuem características peculiares que não se encaixam perfeitamente na taxonomia tradicional de bens:</w:t>
      </w:r>
    </w:p>
    <w:p>
      <w:pPr>
        <w:numPr>
          <w:ilvl w:val="0"/>
          <w:numId w:val="2152"/>
        </w:numPr>
      </w:pPr>
      <w:r>
        <w:rPr>
          <w:b/>
          <w:bCs/>
        </w:rPr>
        <w:t xml:space="preserve">Não-rivalidade</w:t>
      </w:r>
      <w:r>
        <w:t xml:space="preserve">: o uso de um dado por um agente não impede o uso simultâneo por outro. A informação de que</w:t>
      </w:r>
      <w:r>
        <w:t xml:space="preserve"> </w:t>
      </w:r>
      <w:r>
        <w:t xml:space="preserve">“o usuário X pesquisou voos para Paris”</w:t>
      </w:r>
      <w:r>
        <w:t xml:space="preserve"> </w:t>
      </w:r>
      <w:r>
        <w:t xml:space="preserve">pode ser utilizada simultaneamente pelo Google, pela companhia aérea e pela agência de turismo.</w:t>
      </w:r>
    </w:p>
    <w:p>
      <w:pPr>
        <w:numPr>
          <w:ilvl w:val="0"/>
          <w:numId w:val="2152"/>
        </w:numPr>
      </w:pPr>
      <w:r>
        <w:rPr>
          <w:b/>
          <w:bCs/>
        </w:rPr>
        <w:t xml:space="preserve">Excludibilidade parcial</w:t>
      </w:r>
      <w:r>
        <w:t xml:space="preserve">: dados podem ser protegidos por criptografia, contratos e regulação, mas são facilmente copiáveis e transferíveis.</w:t>
      </w:r>
    </w:p>
    <w:p>
      <w:pPr>
        <w:numPr>
          <w:ilvl w:val="0"/>
          <w:numId w:val="2152"/>
        </w:numPr>
      </w:pPr>
      <w:r>
        <w:rPr>
          <w:b/>
          <w:bCs/>
        </w:rPr>
        <w:t xml:space="preserve">Rendimentos crescentes</w:t>
      </w:r>
      <w:r>
        <w:t xml:space="preserve">: o valor marginal de dados adicionais tende a ser crescente até certo ponto — um algoritmo de recomendação treinado com 1 bilhão de observações é substancialmente melhor que um treinado com 1 milhão, graças ao aprendizado de máquina.</w:t>
      </w:r>
    </w:p>
    <w:p>
      <w:pPr>
        <w:numPr>
          <w:ilvl w:val="0"/>
          <w:numId w:val="2152"/>
        </w:numPr>
      </w:pPr>
      <w:r>
        <w:rPr>
          <w:b/>
          <w:bCs/>
        </w:rPr>
        <w:t xml:space="preserve">Complementaridade</w:t>
      </w:r>
      <w:r>
        <w:t xml:space="preserve">: dados de fontes diversas são mais valiosos quando combinados do que isoladamente. A combinação de dados de busca (Google), navegação (Chrome), localização (Google Maps) e e-mail (Gmail) permite um perfil de consumidor muito mais preciso do que qualquer fonte isolada.</w:t>
      </w:r>
    </w:p>
    <w:p>
      <w:pPr>
        <w:pStyle w:val="FirstParagraph"/>
      </w:pPr>
      <w:r>
        <w:t xml:space="preserve">Essas propriedades geram</w:t>
      </w:r>
      <w:r>
        <w:t xml:space="preserve"> </w:t>
      </w:r>
      <w:r>
        <w:rPr>
          <w:b/>
          <w:bCs/>
        </w:rPr>
        <w:t xml:space="preserve">economias de escala e escopo em dados</w:t>
      </w:r>
      <w:r>
        <w:t xml:space="preserve"> </w:t>
      </w:r>
      <w:r>
        <w:t xml:space="preserve">que reforçam as vantagens competitivas das plataformas incumbentes: quanto mais usuários, mais dados; mais dados significam algoritmos melhores; algoritmos melhores atraem mais usuários — fechando o ciclo de retroalimentação.</w:t>
      </w:r>
    </w:p>
    <w:p>
      <w:pPr>
        <w:pStyle w:val="BlockText"/>
      </w:pPr>
      <w:r>
        <w:rPr>
          <w:b/>
          <w:bCs/>
        </w:rPr>
        <w:t xml:space="preserve">[DEFINICAO] Economias de escala e escopo em dados</w:t>
      </w:r>
    </w:p>
    <w:p>
      <w:pPr>
        <w:pStyle w:val="BlockText"/>
      </w:pPr>
      <w:r>
        <w:rPr>
          <w:b/>
          <w:bCs/>
        </w:rPr>
        <w:t xml:space="preserve">Economia de escala em dados</w:t>
      </w:r>
      <w:r>
        <w:t xml:space="preserve">: o valor (ou a precisão) de um algoritmo cresce com o volume de dados de treinamento — cada observação adicional melhora marginalmente as previsões.</w:t>
      </w:r>
      <w:r>
        <w:t xml:space="preserve"> </w:t>
      </w:r>
      <w:r>
        <w:rPr>
          <w:b/>
          <w:bCs/>
        </w:rPr>
        <w:t xml:space="preserve">Economia de escopo em dados</w:t>
      </w:r>
      <w:r>
        <w:t xml:space="preserve">: a combinação de dados de fontes diversas (busca + localização + compras + e-mail) gera valor superior à soma dos dados individuais, pois permite inferências que nenhuma fonte isolada possibilitaria.</w:t>
      </w:r>
    </w:p>
    <w:bookmarkEnd w:id="1324"/>
    <w:bookmarkStart w:id="1325" w:name="discriminação-de-preços-e-big-data"/>
    <w:p>
      <w:pPr>
        <w:pStyle w:val="Heading4"/>
      </w:pPr>
      <w:r>
        <w:t xml:space="preserve">21.6.2 Discriminação de preços e big data</w:t>
      </w:r>
    </w:p>
    <w:p>
      <w:pPr>
        <w:pStyle w:val="FirstParagraph"/>
      </w:pPr>
      <w:r>
        <w:t xml:space="preserve">A abundância de dados individuais permite que as firmas pratiquem</w:t>
      </w:r>
      <w:r>
        <w:t xml:space="preserve"> </w:t>
      </w:r>
      <w:r>
        <w:rPr>
          <w:b/>
          <w:bCs/>
        </w:rPr>
        <w:t xml:space="preserve">discriminação de preços</w:t>
      </w:r>
      <w:r>
        <w:t xml:space="preserve"> </w:t>
      </w:r>
      <w:r>
        <w:t xml:space="preserve">com precisão sem precedentes — tema que conecta diretamente com a análise do Capítulo 15 sobre poder de mercado e discriminação.</w:t>
      </w:r>
    </w:p>
    <w:p>
      <w:pPr>
        <w:pStyle w:val="BodyText"/>
      </w:pPr>
      <w:r>
        <w:t xml:space="preserve">No modelo clássico de discriminação de primeiro grau (perfeita), o monopolista cobra de cada consumidor exatamente sua disposição a pagar. Na prática, essa discriminação era inviável porque a firma não conhecia a disposição a pagar individual. Com big data e aprendizado de máquina, essa barreira informacional está sendo progressivamente superada:</w:t>
      </w:r>
    </w:p>
    <w:p>
      <w:pPr>
        <w:pStyle w:val="Compact"/>
        <w:numPr>
          <w:ilvl w:val="0"/>
          <w:numId w:val="2153"/>
        </w:numPr>
      </w:pPr>
      <w:r>
        <w:rPr>
          <w:b/>
          <w:bCs/>
        </w:rPr>
        <w:t xml:space="preserve">Precificação dinâmica</w:t>
      </w:r>
      <w:r>
        <w:t xml:space="preserve">: plataformas como Uber (surge pricing), Amazon e companhias aéreas ajustam preços em tempo real com base na demanda observada, hora do dia, localização do usuário e histórico de compras.</w:t>
      </w:r>
    </w:p>
    <w:p>
      <w:pPr>
        <w:pStyle w:val="Compact"/>
        <w:numPr>
          <w:ilvl w:val="0"/>
          <w:numId w:val="2153"/>
        </w:numPr>
      </w:pPr>
      <w:r>
        <w:rPr>
          <w:b/>
          <w:bCs/>
        </w:rPr>
        <w:t xml:space="preserve">Personalização de ofertas</w:t>
      </w:r>
      <w:r>
        <w:t xml:space="preserve">: Netflix recomenda conteúdo diferente para cada usuário; Amazon mostra preços e ofertas personalizados com base no perfil de navegação.</w:t>
      </w:r>
    </w:p>
    <w:p>
      <w:pPr>
        <w:pStyle w:val="Compact"/>
        <w:numPr>
          <w:ilvl w:val="0"/>
          <w:numId w:val="2153"/>
        </w:numPr>
      </w:pPr>
      <w:r>
        <w:rPr>
          <w:b/>
          <w:bCs/>
        </w:rPr>
        <w:t xml:space="preserve">Precificação algorítmica</w:t>
      </w:r>
      <w:r>
        <w:t xml:space="preserve">: algoritmos de machine learning estimam a elasticidade-preço individual de cada consumidor e definem preços que se aproximam da discriminação de primeiro grau.</w:t>
      </w:r>
    </w:p>
    <w:p>
      <w:pPr>
        <w:pStyle w:val="FirstParagraph"/>
      </w:pPr>
      <w:r>
        <w:t xml:space="preserve">A análise de bem-estar é, novamente, ambígua. A discriminação de preços perfeita é eficiente no sentido de Pareto (não há peso morto), mas transfere todo o excedente do consumidor para o produtor. Quando a discriminação é imperfeita — como na prática — pode tanto aumentar quanto reduzir o bem-estar total, dependendo de se novos consumidores (antes excluídos) são incluídos pelo preço mais baixo ou se consumidores existentes são explorados pelo preço mais alto.</w:t>
      </w:r>
    </w:p>
    <w:bookmarkEnd w:id="1325"/>
    <w:bookmarkStart w:id="1326" w:name="privacidade-como-externalidade"/>
    <w:p>
      <w:pPr>
        <w:pStyle w:val="Heading4"/>
      </w:pPr>
      <w:r>
        <w:t xml:space="preserve">21.6.3 Privacidade como externalidade</w:t>
      </w:r>
    </w:p>
    <w:p>
      <w:pPr>
        <w:pStyle w:val="FirstParagraph"/>
      </w:pPr>
      <w:r>
        <w:t xml:space="preserve">Uma dimensão econômica da privacidade frequentemente negligenciada é seu caráter de</w:t>
      </w:r>
      <w:r>
        <w:t xml:space="preserve"> </w:t>
      </w:r>
      <w:r>
        <w:rPr>
          <w:b/>
          <w:bCs/>
        </w:rPr>
        <w:t xml:space="preserve">externalidade</w:t>
      </w:r>
      <w:r>
        <w:t xml:space="preserve">. Os dados que eu compartilho com uma plataforma revelam informações não apenas sobre mim, mas também sobre meus contatos, minha comunidade e pessoas demograficamente semelhantes a mim. Formalmente, a decisão de privacidade do agente</w:t>
      </w:r>
      <w:r>
        <w:t xml:space="preserve"> </w:t>
      </w:r>
      <m:oMath>
        <m:r>
          <m:t>i</m:t>
        </m:r>
      </m:oMath>
      <w:r>
        <w:t xml:space="preserve"> </w:t>
      </w:r>
      <w:r>
        <w:t xml:space="preserve">gera uma externalidade informacional sobre o agente</w:t>
      </w:r>
      <w:r>
        <w:t xml:space="preserve"> </w:t>
      </w:r>
      <m:oMath>
        <m:r>
          <m:t>j</m:t>
        </m:r>
      </m:oMath>
      <w:r>
        <w:t xml:space="preserve">:</w:t>
      </w:r>
    </w:p>
    <w:p>
      <w:pPr>
        <w:pStyle w:val="BodyText"/>
      </w:pPr>
      <m:oMathPara>
        <m:oMathParaPr>
          <m:jc m:val="center"/>
        </m:oMathParaPr>
        <m:oMath>
          <m:sSub>
            <m:e>
              <m:r>
                <m:t>U</m:t>
              </m:r>
            </m:e>
            <m:sub>
              <m:r>
                <m:t>j</m:t>
              </m:r>
            </m:sub>
          </m:sSub>
          <m:r>
            <m:rPr>
              <m:sty m:val="p"/>
            </m:rPr>
            <m:t>=</m:t>
          </m:r>
          <m:sSub>
            <m:e>
              <m:r>
                <m:t>U</m:t>
              </m:r>
            </m:e>
            <m:sub>
              <m:r>
                <m:t>j</m:t>
              </m:r>
            </m:sub>
          </m:sSub>
          <m:r>
            <m:rPr>
              <m:sty m:val="p"/>
            </m:rPr>
            <m:t>(</m:t>
          </m:r>
          <m:sSub>
            <m:e>
              <m:r>
                <m:t>x</m:t>
              </m:r>
            </m:e>
            <m:sub>
              <m:r>
                <m:t>j</m:t>
              </m:r>
            </m:sub>
          </m:sSub>
          <m:r>
            <m:rPr>
              <m:sty m:val="p"/>
            </m:rPr>
            <m:t>,</m:t>
          </m:r>
          <m:sSub>
            <m:e>
              <m:r>
                <m:t>d</m:t>
              </m:r>
            </m:e>
            <m:sub>
              <m:r>
                <m:t>i</m:t>
              </m:r>
            </m:sub>
          </m:sSub>
          <m:r>
            <m:rPr>
              <m:sty m:val="p"/>
            </m:rPr>
            <m:t>)</m:t>
          </m:r>
          <m:r>
            <m:t> </m:t>
          </m:r>
          <m:r>
            <m:rPr>
              <m:nor/>
              <m:sty m:val="p"/>
            </m:rPr>
            <m:t>com</m:t>
          </m:r>
          <m:r>
            <m:t> </m:t>
          </m:r>
          <m:f>
            <m:fPr>
              <m:type m:val="bar"/>
            </m:fPr>
            <m:num>
              <m:r>
                <m:rPr>
                  <m:sty m:val="p"/>
                </m:rPr>
                <m:t>∂</m:t>
              </m:r>
              <m:sSub>
                <m:e>
                  <m:r>
                    <m:t>U</m:t>
                  </m:r>
                </m:e>
                <m:sub>
                  <m:r>
                    <m:t>j</m:t>
                  </m:r>
                </m:sub>
              </m:sSub>
            </m:num>
            <m:den>
              <m:r>
                <m:rPr>
                  <m:sty m:val="p"/>
                </m:rPr>
                <m:t>∂</m:t>
              </m:r>
              <m:sSub>
                <m:e>
                  <m:r>
                    <m:t>d</m:t>
                  </m:r>
                </m:e>
                <m:sub>
                  <m:r>
                    <m:t>i</m:t>
                  </m:r>
                </m:sub>
              </m:sSub>
            </m:den>
          </m:f>
          <m:r>
            <m:rPr>
              <m:sty m:val="p"/>
            </m:rPr>
            <m:t>&lt;</m:t>
          </m:r>
          <m:r>
            <m:t>0</m:t>
          </m:r>
        </m:oMath>
      </m:oMathPara>
    </w:p>
    <w:p>
      <w:pPr>
        <w:pStyle w:val="FirstParagraph"/>
      </w:pPr>
      <w:r>
        <w:t xml:space="preserve">onde</w:t>
      </w:r>
      <w:r>
        <w:t xml:space="preserve"> </w:t>
      </w:r>
      <m:oMath>
        <m:sSub>
          <m:e>
            <m:r>
              <m:t>d</m:t>
            </m:r>
          </m:e>
          <m:sub>
            <m:r>
              <m:t>i</m:t>
            </m:r>
          </m:sub>
        </m:sSub>
      </m:oMath>
      <w:r>
        <w:t xml:space="preserve"> </w:t>
      </w:r>
      <w:r>
        <w:t xml:space="preserve">é a quantidade de dados compartilhados pelo agente</w:t>
      </w:r>
      <w:r>
        <w:t xml:space="preserve"> </w:t>
      </w:r>
      <m:oMath>
        <m:r>
          <m:t>i</m:t>
        </m:r>
      </m:oMath>
      <w:r>
        <w:t xml:space="preserve"> </w:t>
      </w:r>
      <w:r>
        <w:t xml:space="preserve">e</w:t>
      </w:r>
      <w:r>
        <w:t xml:space="preserve"> </w:t>
      </w:r>
      <m:oMath>
        <m:sSub>
          <m:e>
            <m:r>
              <m:t>U</m:t>
            </m:r>
          </m:e>
          <m:sub>
            <m:r>
              <m:t>j</m:t>
            </m:r>
          </m:sub>
        </m:sSub>
      </m:oMath>
      <w:r>
        <w:t xml:space="preserve"> </w:t>
      </w:r>
      <w:r>
        <w:t xml:space="preserve">é a utilidade do agente</w:t>
      </w:r>
      <w:r>
        <w:t xml:space="preserve"> </w:t>
      </w:r>
      <m:oMath>
        <m:r>
          <m:t>j</m:t>
        </m:r>
      </m:oMath>
      <w:r>
        <w:t xml:space="preserve">. A externalidade é negativa: quando você compartilha sua lista de contatos com um aplicativo, está revelando informações sobre seus amigos</w:t>
      </w:r>
      <w:r>
        <w:t xml:space="preserve"> </w:t>
      </w:r>
      <w:r>
        <w:rPr>
          <w:i/>
          <w:iCs/>
        </w:rPr>
        <w:t xml:space="preserve">sem o consentimento deles</w:t>
      </w:r>
      <w:r>
        <w:t xml:space="preserve">; quando um algoritmo infere que pessoas com seu perfil demográfico têm alta probabilidade de inadimplência, essa inferência afeta todas as pessoas similares, mesmo aquelas que não compartilharam dados.</w:t>
      </w:r>
    </w:p>
    <w:p>
      <w:pPr>
        <w:pStyle w:val="BodyText"/>
      </w:pPr>
      <w:r>
        <w:t xml:space="preserve">Essa externalidade de privacidade tem consequências regulatórias diretas: mesmo que cada indivíduo decidisse</w:t>
      </w:r>
      <w:r>
        <w:t xml:space="preserve"> </w:t>
      </w:r>
      <w:r>
        <w:t xml:space="preserve">“racionalmente”</w:t>
      </w:r>
      <w:r>
        <w:t xml:space="preserve"> </w:t>
      </w:r>
      <w:r>
        <w:t xml:space="preserve">compartilhar seus dados (porque o benefício privado supera o custo privado), o nível agregado de compartilhamento seria</w:t>
      </w:r>
      <w:r>
        <w:t xml:space="preserve"> </w:t>
      </w:r>
      <w:r>
        <w:rPr>
          <w:b/>
          <w:bCs/>
        </w:rPr>
        <w:t xml:space="preserve">excessivo</w:t>
      </w:r>
      <w:r>
        <w:t xml:space="preserve"> </w:t>
      </w:r>
      <w:r>
        <w:t xml:space="preserve">do ponto de vista social — exatamente a lógica da Seção 20.2 sobre externalidades negativas. Isso justifica intervenção regulatória, como as leis de proteção de dados.</w:t>
      </w:r>
    </w:p>
    <w:bookmarkEnd w:id="1326"/>
    <w:bookmarkStart w:id="1327" w:name="X5adc26f92a2e167b7d6ca4ea50b4f1b8935f36f"/>
    <w:p>
      <w:pPr>
        <w:pStyle w:val="Heading4"/>
      </w:pPr>
      <w:r>
        <w:t xml:space="preserve">21.6.4 Regulação de dados: GDPR, LGPD e o framework global</w:t>
      </w:r>
    </w:p>
    <w:p>
      <w:pPr>
        <w:pStyle w:val="FirstParagraph"/>
      </w:pPr>
      <w:r>
        <w:t xml:space="preserve">A resposta regulatória ao desafio dos dados pessoais tem seguido duas tradições: a</w:t>
      </w:r>
      <w:r>
        <w:t xml:space="preserve"> </w:t>
      </w:r>
      <w:r>
        <w:rPr>
          <w:b/>
          <w:bCs/>
        </w:rPr>
        <w:t xml:space="preserve">europeia</w:t>
      </w:r>
      <w:r>
        <w:t xml:space="preserve"> </w:t>
      </w:r>
      <w:r>
        <w:t xml:space="preserve">(proteção de dados como direito fundamental) e a</w:t>
      </w:r>
      <w:r>
        <w:t xml:space="preserve"> </w:t>
      </w:r>
      <w:r>
        <w:rPr>
          <w:b/>
          <w:bCs/>
        </w:rPr>
        <w:t xml:space="preserve">norte-americana</w:t>
      </w:r>
      <w:r>
        <w:t xml:space="preserve"> </w:t>
      </w:r>
      <w:r>
        <w:t xml:space="preserve">(abordagem setorial, baseada em mercado).</w:t>
      </w:r>
    </w:p>
    <w:p>
      <w:pPr>
        <w:pStyle w:val="BodyText"/>
      </w:pPr>
      <w:r>
        <w:t xml:space="preserve">O</w:t>
      </w:r>
      <w:r>
        <w:t xml:space="preserve"> </w:t>
      </w:r>
      <w:r>
        <w:rPr>
          <w:b/>
          <w:bCs/>
        </w:rPr>
        <w:t xml:space="preserve">General Data Protection Regulation (GDPR)</w:t>
      </w:r>
      <w:r>
        <w:t xml:space="preserve"> </w:t>
      </w:r>
      <w:r>
        <w:t xml:space="preserve">da União Europeia (2018) é a regulação de dados mais abrangente do mundo, estabelecendo princípios como consentimento explícito, minimização de dados, portabilidade e direito ao esquecimento. As multas podem chegar a 4% da receita global — o que, para empresas como Google ou Meta, significa bilhões de euros.</w:t>
      </w:r>
    </w:p>
    <w:p>
      <w:pPr>
        <w:pStyle w:val="BlockText"/>
      </w:pPr>
      <w:r>
        <w:rPr>
          <w:b/>
          <w:bCs/>
        </w:rPr>
        <w:t xml:space="preserve">[BOX BRASIL] Box Brasil 21.2 — LGPD, PIX e Open Banking: regulação digital brasileira</w:t>
      </w:r>
    </w:p>
    <w:p>
      <w:pPr>
        <w:pStyle w:val="BlockText"/>
      </w:pPr>
      <w:r>
        <w:rPr>
          <w:b/>
          <w:bCs/>
        </w:rPr>
        <w:t xml:space="preserve">Contexto:</w:t>
      </w:r>
      <w:r>
        <w:t xml:space="preserve"> </w:t>
      </w:r>
      <w:r>
        <w:t xml:space="preserve">O Brasil adotou uma abordagem regulatória que combina proteção de dados com estímulo à competição digital, posicionando-se como um dos países mais inovadores em regulação financeira digital no mundo.</w:t>
      </w:r>
    </w:p>
    <w:p>
      <w:pPr>
        <w:pStyle w:val="BlockText"/>
      </w:pPr>
      <w:r>
        <w:rPr>
          <w:b/>
          <w:bCs/>
        </w:rPr>
        <w:t xml:space="preserve">LGPD (Lei Geral de Proteção de Dados, Lei n.º 13.709/2018):</w:t>
      </w:r>
      <w:r>
        <w:t xml:space="preserve"> </w:t>
      </w:r>
      <w:r>
        <w:t xml:space="preserve">Inspirada no GDPR europeu, a LGPD entrou em vigor em 2020 e estabelece regras para coleta, armazenamento, tratamento e compartilhamento de dados pessoais no Brasil. A lei exige consentimento do titular, finalidade específica, minimização de dados e garantias de segurança. A Autoridade Nacional de Proteção de Dados (ANPD) é responsável pela fiscalização, com poder de aplicar multas de até 2% do faturamento (limitadas a R$ 50 milhões por infração).</w:t>
      </w:r>
    </w:p>
    <w:p>
      <w:pPr>
        <w:pStyle w:val="BlockText"/>
      </w:pPr>
      <w:r>
        <w:rPr>
          <w:b/>
          <w:bCs/>
        </w:rPr>
        <w:t xml:space="preserve">PIX:</w:t>
      </w:r>
      <w:r>
        <w:t xml:space="preserve"> </w:t>
      </w:r>
      <w:r>
        <w:t xml:space="preserve">Lançado pelo Banco Central em novembro de 2020, o PIX é um sistema de pagamentos instantâneos que se tornou o meio de pagamento mais utilizado no Brasil em menos de três anos, com mais de 160 milhões de usuários cadastrados e mais de 4 bilhões de transações por mês em 2024. Do ponto de vista microeconômico, o PIX é um exemplo notável de</w:t>
      </w:r>
      <w:r>
        <w:t xml:space="preserve"> </w:t>
      </w:r>
      <w:r>
        <w:rPr>
          <w:b/>
          <w:bCs/>
        </w:rPr>
        <w:t xml:space="preserve">efeito de rede direto</w:t>
      </w:r>
      <w:r>
        <w:t xml:space="preserve"> </w:t>
      </w:r>
      <w:r>
        <w:t xml:space="preserve">(quanto mais pessoas usam, mais útil se torna) combinado com</w:t>
      </w:r>
      <w:r>
        <w:t xml:space="preserve"> </w:t>
      </w:r>
      <w:r>
        <w:rPr>
          <w:b/>
          <w:bCs/>
        </w:rPr>
        <w:t xml:space="preserve">redução de custos de transação</w:t>
      </w:r>
      <w:r>
        <w:t xml:space="preserve"> </w:t>
      </w:r>
      <w:r>
        <w:t xml:space="preserve">(eliminando a necessidade de boletos, TEDs e DOCs). A interoperabilidade compulsória — qualquer banco ou fintech pode oferecer PIX — evita o lock-in e garante que os efeitos de rede beneficiem todo o sistema, não apenas uma plataforma.</w:t>
      </w:r>
    </w:p>
    <w:p>
      <w:pPr>
        <w:pStyle w:val="BlockText"/>
      </w:pPr>
      <w:r>
        <w:rPr>
          <w:b/>
          <w:bCs/>
        </w:rPr>
        <w:t xml:space="preserve">Open Banking / Open Finance:</w:t>
      </w:r>
      <w:r>
        <w:t xml:space="preserve"> </w:t>
      </w:r>
      <w:r>
        <w:t xml:space="preserve">Implementado a partir de 2021, o Open Banking brasileiro permite que clientes autorizem o compartilhamento de seus dados financeiros entre instituições. A medida reduz assimetrias de informação (Capítulo 19), aumenta a contestabilidade do mercado bancário e dá ao consumidor controle sobre seus dados — alinhando-se ao princípio de portabilidade de dados da LGPD e do GDPR.</w:t>
      </w:r>
    </w:p>
    <w:p>
      <w:pPr>
        <w:pStyle w:val="BlockText"/>
      </w:pPr>
      <w:r>
        <w:rPr>
          <w:b/>
          <w:bCs/>
        </w:rPr>
        <w:t xml:space="preserve">Análise:</w:t>
      </w:r>
      <w:r>
        <w:t xml:space="preserve"> </w:t>
      </w:r>
      <w:r>
        <w:t xml:space="preserve">A combinação LGPD + PIX + Open Banking representa uma estratégia regulatória que ataca simultaneamente várias falhas de mercado: a LGPD aborda a externalidade de privacidade; o PIX reduz o poder de mercado dos grandes bancos ao criar uma infraestrutura pública de pagamentos; e o Open Banking combate a assimetria informacional e os custos de troca no setor financeiro. O sucesso do PIX — adotado por 75% da população adulta em menos de três anos — ilustra o poder dos efeitos de rede quando a interoperabilidade é garantida desde o início.</w:t>
      </w:r>
    </w:p>
    <w:p>
      <w:pPr>
        <w:pStyle w:val="BlockText"/>
      </w:pPr>
      <w:r>
        <w:rPr>
          <w:b/>
          <w:bCs/>
        </w:rPr>
        <w:t xml:space="preserve">Fonte:</w:t>
      </w:r>
      <w:r>
        <w:t xml:space="preserve"> </w:t>
      </w:r>
      <w:r>
        <w:t xml:space="preserve">Banco Central do Brasil — Relatório de Economia Bancária 2023. ANPD — Relatório Anual 2023.</w:t>
      </w:r>
    </w:p>
    <w:p>
      <w:pPr>
        <w:pStyle w:val="BlockText"/>
      </w:pPr>
      <w:r>
        <w:rPr>
          <w:b/>
          <w:bCs/>
        </w:rPr>
        <w:t xml:space="preserve">[EXEMPLO] Exercício Resolvido 21.6 — Quanto valem seus dados pessoais?</w:t>
      </w:r>
    </w:p>
    <w:p>
      <w:pPr>
        <w:pStyle w:val="BlockText"/>
      </w:pPr>
      <w:r>
        <w:rPr>
          <w:b/>
          <w:bCs/>
        </w:rPr>
        <w:t xml:space="preserve">Enunciado.</w:t>
      </w:r>
      <w:r>
        <w:t xml:space="preserve"> </w:t>
      </w:r>
      <w:r>
        <w:t xml:space="preserve">O mercado negro de dados pessoais no Brasil opera com preços observáveis. Em 2023, investigações da ANPD e da Polícia Federal revelaram que um CPF completo (com nome, endereço e score de crédito) era vendido por R$ 0,50–2,00; uma base de 1 milhão de registros, por R$ 5.000–15.000. Simultaneamente, o Google gerou receita média de US$ 60/usuário/ano globalmente (Alphabet 10-K, 2023).</w:t>
      </w:r>
    </w:p>
    <w:p>
      <w:pPr>
        <w:pStyle w:val="BlockText"/>
        <w:numPr>
          <w:ilvl w:val="0"/>
          <w:numId w:val="2154"/>
        </w:numPr>
      </w:pPr>
      <w:r>
        <w:t xml:space="preserve">Se o Google tem 150 milhões de usuários no Brasil, estime a receita anual gerada pelos dados de um brasileiro típico.</w:t>
      </w:r>
    </w:p>
    <w:p>
      <w:pPr>
        <w:pStyle w:val="BlockText"/>
        <w:numPr>
          <w:ilvl w:val="0"/>
          <w:numId w:val="2154"/>
        </w:numPr>
      </w:pPr>
      <w:r>
        <w:t xml:space="preserve">Compare o valor do</w:t>
      </w:r>
      <w:r>
        <w:t xml:space="preserve"> </w:t>
      </w:r>
      <w:r>
        <w:t xml:space="preserve">“dado bruto”</w:t>
      </w:r>
      <w:r>
        <w:t xml:space="preserve"> </w:t>
      </w:r>
      <w:r>
        <w:t xml:space="preserve">(CPF no mercado negro) com o</w:t>
      </w:r>
      <w:r>
        <w:t xml:space="preserve"> </w:t>
      </w:r>
      <w:r>
        <w:t xml:space="preserve">“dado processado”</w:t>
      </w:r>
      <w:r>
        <w:t xml:space="preserve"> </w:t>
      </w:r>
      <w:r>
        <w:t xml:space="preserve">(receita por usuário do Google). Qual a origem da diferença?</w:t>
      </w:r>
    </w:p>
    <w:p>
      <w:pPr>
        <w:pStyle w:val="BlockText"/>
        <w:numPr>
          <w:ilvl w:val="0"/>
          <w:numId w:val="2154"/>
        </w:numPr>
      </w:pPr>
      <w:r>
        <w:t xml:space="preserve">Essa diferença de valor justifica regulação? Analise usando o conceito de externalidade de privacidade (equação Eq. (eq:21.17)).</w:t>
      </w:r>
    </w:p>
    <w:p>
      <w:pPr>
        <w:pStyle w:val="BlockText"/>
      </w:pPr>
      <w:r>
        <w:rPr>
          <w:b/>
          <w:bCs/>
        </w:rPr>
        <w:t xml:space="preserve">Solução.</w:t>
      </w:r>
    </w:p>
    <w:p>
      <w:pPr>
        <w:pStyle w:val="BlockText"/>
      </w:pPr>
      <w:r>
        <w:rPr>
          <w:b/>
          <w:bCs/>
        </w:rPr>
        <w:t xml:space="preserve">(a)</w:t>
      </w:r>
      <w:r>
        <w:t xml:space="preserve"> </w:t>
      </w:r>
      <w:r>
        <w:t xml:space="preserve">Receita total Brasil ≈ US$ 60 × 150 milhões = US$ 9 bilhões. A R$ 5/US</w:t>
      </w:r>
      <m:oMath>
        <m:r>
          <m:rPr>
            <m:sty m:val="p"/>
          </m:rPr>
          <m:t>:</m:t>
        </m:r>
        <m:r>
          <m:t>R</m:t>
        </m:r>
      </m:oMath>
      <w:r>
        <w:t xml:space="preserve"> </w:t>
      </w:r>
      <w:r>
        <w:t xml:space="preserve">45 bilhões/ano, ou</w:t>
      </w:r>
      <w:r>
        <w:t xml:space="preserve"> </w:t>
      </w:r>
      <w:r>
        <w:rPr>
          <w:b/>
          <w:bCs/>
        </w:rPr>
        <w:t xml:space="preserve">R$ 300/usuário/ano</w:t>
      </w:r>
      <w:r>
        <w:t xml:space="preserve">.</w:t>
      </w:r>
    </w:p>
    <w:p>
      <w:pPr>
        <w:pStyle w:val="BlockText"/>
      </w:pPr>
      <w:r>
        <w:rPr>
          <w:b/>
          <w:bCs/>
        </w:rPr>
        <w:t xml:space="preserve">(b)</w:t>
      </w:r>
      <w:r>
        <w:t xml:space="preserve"> </w:t>
      </w:r>
      <w:r>
        <w:t xml:space="preserve">CPF bruto: R$ 0,50–2,00. Dado processado (Google): R$ 300/ano. A razão é</w:t>
      </w:r>
      <w:r>
        <w:t xml:space="preserve"> </w:t>
      </w:r>
      <w:r>
        <w:rPr>
          <w:b/>
          <w:bCs/>
        </w:rPr>
        <w:t xml:space="preserve">600:1 a 150:1</w:t>
      </w:r>
      <w:r>
        <w:t xml:space="preserve">. A diferença vem das</w:t>
      </w:r>
      <w:r>
        <w:t xml:space="preserve"> </w:t>
      </w:r>
      <w:r>
        <w:rPr>
          <w:i/>
          <w:iCs/>
        </w:rPr>
        <w:t xml:space="preserve">economias de escopo em dados</w:t>
      </w:r>
      <w:r>
        <w:t xml:space="preserve">: o Google não vende o CPF isolado — ele combina histórico de busca + localização + e-mail + YouTube para criar um perfil comportamental que permite</w:t>
      </w:r>
      <w:r>
        <w:t xml:space="preserve"> </w:t>
      </w:r>
      <w:r>
        <w:rPr>
          <w:i/>
          <w:iCs/>
        </w:rPr>
        <w:t xml:space="preserve">discriminação de preços quase-perfeita</w:t>
      </w:r>
      <w:r>
        <w:t xml:space="preserve"> </w:t>
      </w:r>
      <w:r>
        <w:t xml:space="preserve">no mercado de anúncios. O valor está na</w:t>
      </w:r>
      <w:r>
        <w:t xml:space="preserve"> </w:t>
      </w:r>
      <w:r>
        <w:rPr>
          <w:b/>
          <w:bCs/>
        </w:rPr>
        <w:t xml:space="preserve">inferência</w:t>
      </w:r>
      <w:r>
        <w:t xml:space="preserve">, não no dado bruto.</w:t>
      </w:r>
    </w:p>
    <w:p>
      <w:pPr>
        <w:pStyle w:val="BlockText"/>
      </w:pPr>
      <w:r>
        <w:rPr>
          <w:b/>
          <w:bCs/>
        </w:rPr>
        <w:t xml:space="preserve">(c)</w:t>
      </w:r>
      <w:r>
        <w:t xml:space="preserve"> </w:t>
      </w:r>
      <w:r>
        <w:t xml:space="preserve">Sim, justifica. Quando o usuário compartilha dados, ele gera uma externalidade negativa sobre pessoas similares (equação Eq. (eq:21.17)): o perfil de um usuário permite inferir preferências de pessoas demograficamente semelhantes que</w:t>
      </w:r>
      <w:r>
        <w:t xml:space="preserve"> </w:t>
      </w:r>
      <w:r>
        <w:rPr>
          <w:i/>
          <w:iCs/>
        </w:rPr>
        <w:t xml:space="preserve">não</w:t>
      </w:r>
      <w:r>
        <w:t xml:space="preserve"> </w:t>
      </w:r>
      <w:r>
        <w:t xml:space="preserve">consentiram. O valor privado do compartilhamento (conveniência) é inferior ao custo social (perda de privacidade coletiva + poder de mercado reforçado). A LGPD atua como uma taxa pigouviana sobre o compartilhamento excessivo — limitando a coleta ao</w:t>
      </w:r>
      <w:r>
        <w:t xml:space="preserve"> </w:t>
      </w:r>
      <w:r>
        <w:t xml:space="preserve">“necessário”</w:t>
      </w:r>
      <w:r>
        <w:t xml:space="preserve"> </w:t>
      </w:r>
      <w:r>
        <w:t xml:space="preserve">e exigindo consentimento.</w:t>
      </w:r>
    </w:p>
    <w:p>
      <w:r>
        <w:pict>
          <v:rect style="width:0;height:1.5pt" o:hralign="center" o:hrstd="t" o:hr="t"/>
        </w:pict>
      </w:r>
    </w:p>
    <w:bookmarkEnd w:id="1327"/>
    <w:bookmarkEnd w:id="1328"/>
    <w:bookmarkStart w:id="1333" w:name="X9e3d046636e06b2d82ee046db8e6eb9a2e11e16"/>
    <w:p>
      <w:pPr>
        <w:pStyle w:val="Heading3"/>
      </w:pPr>
      <w:r>
        <w:t xml:space="preserve">21.7 Leilões em Milissegundos: Leilões Online e Desenho de Mecanismos Digitais</w:t>
      </w:r>
    </w:p>
    <w:p>
      <w:pPr>
        <w:pStyle w:val="FirstParagraph"/>
      </w:pPr>
      <w:r>
        <w:t xml:space="preserve">Cada vez que você digita algo no Google, um leilão acontece em milissegundos — sem martelo, sem plateia, sem drama visível. Mas o mecanismo por trás é o mesmo que estudamos no Capítulo 9c, turbinado por escala e velocidade sem precedentes. A economia da atenção e dos dados descrita nas seções anteriores depende, na prática, de mecanismos que alocam a atenção dos usuários entre anunciantes dispostos a pagar por ela.</w:t>
      </w:r>
    </w:p>
    <w:bookmarkStart w:id="1329" w:name="o-leilão-de-anúncios-do-google"/>
    <w:p>
      <w:pPr>
        <w:pStyle w:val="Heading4"/>
      </w:pPr>
      <w:r>
        <w:t xml:space="preserve">21.7.1 O leilão de anúncios do Google</w:t>
      </w:r>
    </w:p>
    <w:p>
      <w:pPr>
        <w:pStyle w:val="FirstParagraph"/>
      </w:pPr>
      <w:r>
        <w:t xml:space="preserve">Talvez o mecanismo de mercado mais sofisticado e lucrativo da história econômica opere silenciosamente a cada fração de segundo: os leilões de anúncios online. Quando você digita uma busca no Google, um leilão instantâneo é conduzido entre os anunciantes que desejam exibir seus anúncios para aquela consulta específica — e o resultado determina quais anúncios você vê e em que posição. Em 2023, esses leilões geraram mais de US$ 230 bilhões em receita para o Google (Alphabet).</w:t>
      </w:r>
    </w:p>
    <w:p>
      <w:pPr>
        <w:pStyle w:val="BodyText"/>
      </w:pPr>
      <w:r>
        <w:t xml:space="preserve">O mecanismo utilizado é uma variante do</w:t>
      </w:r>
      <w:r>
        <w:t xml:space="preserve"> </w:t>
      </w:r>
      <w:r>
        <w:rPr>
          <w:b/>
          <w:bCs/>
        </w:rPr>
        <w:t xml:space="preserve">Generalized Second Price (GSP) auction</w:t>
      </w:r>
      <w:r>
        <w:t xml:space="preserve">, que tem conexão direta com os leilões de Vickrey discutidos no Capítulo 9c:</w:t>
      </w:r>
    </w:p>
    <w:p>
      <w:pPr>
        <w:pStyle w:val="BodyText"/>
      </w:pPr>
      <w:r>
        <w:rPr>
          <w:b/>
          <w:bCs/>
        </w:rPr>
        <w:t xml:space="preserve">Funcionamento do GSP:</w:t>
      </w:r>
    </w:p>
    <w:p>
      <w:pPr>
        <w:pStyle w:val="Compact"/>
        <w:numPr>
          <w:ilvl w:val="0"/>
          <w:numId w:val="2155"/>
        </w:numPr>
      </w:pPr>
      <w:r>
        <w:t xml:space="preserve">Cada anunciante</w:t>
      </w:r>
      <w:r>
        <w:t xml:space="preserve"> </w:t>
      </w:r>
      <m:oMath>
        <m:r>
          <m:t>i</m:t>
        </m:r>
      </m:oMath>
      <w:r>
        <w:t xml:space="preserve"> </w:t>
      </w:r>
      <w:r>
        <w:t xml:space="preserve">submete um lance</w:t>
      </w:r>
      <w:r>
        <w:t xml:space="preserve"> </w:t>
      </w:r>
      <m:oMath>
        <m:sSub>
          <m:e>
            <m:r>
              <m:t>b</m:t>
            </m:r>
          </m:e>
          <m:sub>
            <m:r>
              <m:t>i</m:t>
            </m:r>
          </m:sub>
        </m:sSub>
      </m:oMath>
      <w:r>
        <w:t xml:space="preserve"> </w:t>
      </w:r>
      <w:r>
        <w:t xml:space="preserve">(o máximo que está disposto a pagar por clique).</w:t>
      </w:r>
    </w:p>
    <w:p>
      <w:pPr>
        <w:pStyle w:val="Compact"/>
        <w:numPr>
          <w:ilvl w:val="0"/>
          <w:numId w:val="2155"/>
        </w:numPr>
      </w:pPr>
      <w:r>
        <w:t xml:space="preserve">Os anúncios são ordenados por um</w:t>
      </w:r>
      <w:r>
        <w:t xml:space="preserve"> </w:t>
      </w:r>
      <w:r>
        <w:rPr>
          <w:b/>
          <w:bCs/>
        </w:rPr>
        <w:t xml:space="preserve">score</w:t>
      </w:r>
      <w:r>
        <w:t xml:space="preserve"> </w:t>
      </w:r>
      <w:r>
        <w:t xml:space="preserve">que combina o lance com um índice de qualidade:</w:t>
      </w:r>
      <w:r>
        <w:t xml:space="preserve"> </w:t>
      </w:r>
      <m:oMath>
        <m:sSub>
          <m:e>
            <m:r>
              <m:t>s</m:t>
            </m:r>
          </m:e>
          <m:sub>
            <m:r>
              <m:t>i</m:t>
            </m:r>
          </m:sub>
        </m:sSub>
        <m:r>
          <m:rPr>
            <m:sty m:val="p"/>
          </m:rPr>
          <m:t>=</m:t>
        </m:r>
        <m:sSub>
          <m:e>
            <m:r>
              <m:t>b</m:t>
            </m:r>
          </m:e>
          <m:sub>
            <m:r>
              <m:t>i</m:t>
            </m:r>
          </m:sub>
        </m:sSub>
        <m:r>
          <m:rPr>
            <m:sty m:val="p"/>
          </m:rPr>
          <m:t>×</m:t>
        </m:r>
        <m:sSub>
          <m:e>
            <m:r>
              <m:t>q</m:t>
            </m:r>
          </m:e>
          <m:sub>
            <m:r>
              <m:t>i</m:t>
            </m:r>
          </m:sub>
        </m:sSub>
      </m:oMath>
      <w:r>
        <w:t xml:space="preserve">, onde</w:t>
      </w:r>
      <w:r>
        <w:t xml:space="preserve"> </w:t>
      </w:r>
      <m:oMath>
        <m:sSub>
          <m:e>
            <m:r>
              <m:t>q</m:t>
            </m:r>
          </m:e>
          <m:sub>
            <m:r>
              <m:t>i</m:t>
            </m:r>
          </m:sub>
        </m:sSub>
      </m:oMath>
      <w:r>
        <w:t xml:space="preserve"> </w:t>
      </w:r>
      <w:r>
        <w:t xml:space="preserve">é o</w:t>
      </w:r>
      <w:r>
        <w:t xml:space="preserve"> </w:t>
      </w:r>
      <w:r>
        <w:rPr>
          <w:i/>
          <w:iCs/>
        </w:rPr>
        <w:t xml:space="preserve">quality score</w:t>
      </w:r>
      <w:r>
        <w:t xml:space="preserve"> </w:t>
      </w:r>
      <w:r>
        <w:t xml:space="preserve">(relevância do anúncio, taxa de clique esperada, qualidade da página de destino).</w:t>
      </w:r>
    </w:p>
    <w:p>
      <w:pPr>
        <w:pStyle w:val="Compact"/>
        <w:numPr>
          <w:ilvl w:val="0"/>
          <w:numId w:val="2155"/>
        </w:numPr>
      </w:pPr>
      <w:r>
        <w:t xml:space="preserve">O anunciante com maior score recebe a primeira posição, o segundo maior a segunda, etc.</w:t>
      </w:r>
    </w:p>
    <w:p>
      <w:pPr>
        <w:pStyle w:val="Compact"/>
        <w:numPr>
          <w:ilvl w:val="0"/>
          <w:numId w:val="2155"/>
        </w:numPr>
      </w:pPr>
      <w:r>
        <w:t xml:space="preserve">Cada anunciante paga, por clique, o</w:t>
      </w:r>
      <w:r>
        <w:t xml:space="preserve"> </w:t>
      </w:r>
      <w:r>
        <w:rPr>
          <w:b/>
          <w:bCs/>
        </w:rPr>
        <w:t xml:space="preserve">mínimo necessário para manter sua posição</w:t>
      </w:r>
      <w:r>
        <w:t xml:space="preserve">:</w:t>
      </w:r>
      <w:r>
        <w:t xml:space="preserve"> </w:t>
      </w:r>
      <m:oMath>
        <m:sSub>
          <m:e>
            <m:r>
              <m:t>p</m:t>
            </m:r>
          </m:e>
          <m:sub>
            <m:r>
              <m:t>i</m:t>
            </m:r>
          </m:sub>
        </m:sSub>
        <m:r>
          <m:rPr>
            <m:sty m:val="p"/>
          </m:rPr>
          <m:t>=</m:t>
        </m:r>
        <m:sSub>
          <m:e>
            <m:r>
              <m:t>b</m:t>
            </m:r>
          </m:e>
          <m:sub>
            <m:r>
              <m:t>i</m:t>
            </m:r>
            <m:r>
              <m:rPr>
                <m:sty m:val="p"/>
              </m:rPr>
              <m:t>+</m:t>
            </m:r>
            <m:r>
              <m:t>1</m:t>
            </m:r>
          </m:sub>
        </m:sSub>
        <m:r>
          <m:rPr>
            <m:sty m:val="p"/>
          </m:rPr>
          <m:t>⋅</m:t>
        </m:r>
        <m:sSub>
          <m:e>
            <m:r>
              <m:t>q</m:t>
            </m:r>
          </m:e>
          <m:sub>
            <m:r>
              <m:t>i</m:t>
            </m:r>
            <m:r>
              <m:rPr>
                <m:sty m:val="p"/>
              </m:rPr>
              <m:t>+</m:t>
            </m:r>
            <m:r>
              <m:t>1</m:t>
            </m:r>
          </m:sub>
        </m:sSub>
        <m:r>
          <m:rPr>
            <m:sty m:val="p"/>
          </m:rPr>
          <m:t>/</m:t>
        </m:r>
        <m:sSub>
          <m:e>
            <m:r>
              <m:t>q</m:t>
            </m:r>
          </m:e>
          <m:sub>
            <m:r>
              <m:t>i</m:t>
            </m:r>
          </m:sub>
        </m:sSub>
      </m:oMath>
      <w:r>
        <w:t xml:space="preserve"> </w:t>
      </w:r>
      <w:r>
        <w:t xml:space="preserve">(preço do próximo anunciante ajustado pela qualidade).</w:t>
      </w:r>
    </w:p>
    <w:p>
      <w:pPr>
        <w:pStyle w:val="FirstParagraph"/>
      </w:pPr>
      <w:r>
        <w:t xml:space="preserve">A regra de pagamento (passo 4) é a versão generalizada do leilão de segundo preço de Vickrey: o vencedor não paga seu próprio lance, mas o lance do próximo concorrente (ajustado). Isso incentiva os anunciantes a revelarem seus valores verdadeiros — a mesma lógica de compatibilidade de incentivos do mecanismo VCG discutido no Capítulo 20.</w:t>
      </w:r>
    </w:p>
    <w:p>
      <w:pPr>
        <w:pStyle w:val="BlockText"/>
      </w:pPr>
      <w:r>
        <w:rPr>
          <w:b/>
          <w:bCs/>
        </w:rPr>
        <w:t xml:space="preserve">[NOTA] GSP versus VCG</w:t>
      </w:r>
    </w:p>
    <w:p>
      <w:pPr>
        <w:pStyle w:val="BlockText"/>
      </w:pPr>
      <w:r>
        <w:t xml:space="preserve">Embora o GSP seja frequentemente comparado ao leilão de Vickrey (segundo preço), o GSP</w:t>
      </w:r>
      <w:r>
        <w:t xml:space="preserve"> </w:t>
      </w:r>
      <w:r>
        <w:rPr>
          <w:i/>
          <w:iCs/>
        </w:rPr>
        <w:t xml:space="preserve">não</w:t>
      </w:r>
      <w:r>
        <w:t xml:space="preserve"> </w:t>
      </w:r>
      <w:r>
        <w:t xml:space="preserve">é formalmente equivalente ao mecanismo VCG quando há múltiplas posições com taxas de clique diferentes. No leilão VCG com múltiplas posições, cada anunciante pagaria a externalidade que sua presença impõe sobre os demais — um valor geralmente menor que o preço GSP. Edelman, Ostrovsky e Schwarz (2007) mostram que o GSP possui um</w:t>
      </w:r>
      <w:r>
        <w:t xml:space="preserve"> </w:t>
      </w:r>
      <w:r>
        <w:t xml:space="preserve">“equilíbrio de Nash localmente livre de inveja”</w:t>
      </w:r>
      <w:r>
        <w:t xml:space="preserve"> </w:t>
      </w:r>
      <w:r>
        <w:t xml:space="preserve">(</w:t>
      </w:r>
      <w:r>
        <w:rPr>
          <w:i/>
          <w:iCs/>
        </w:rPr>
        <w:t xml:space="preserve">locally envy-free equilibrium</w:t>
      </w:r>
      <w:r>
        <w:t xml:space="preserve">) cujo resultado se situa entre o VCG e o leilão de primeiro preço. O Google migrou em 2019 para um formato de leilão de primeiro preço para anúncios display, simplificando a mecânica mas alterando os incentivos.</w:t>
      </w:r>
    </w:p>
    <w:bookmarkEnd w:id="1329"/>
    <w:bookmarkStart w:id="1330" w:name="lances-em-tempo-real-real-time-bidding"/>
    <w:p>
      <w:pPr>
        <w:pStyle w:val="Heading4"/>
      </w:pPr>
      <w:r>
        <w:t xml:space="preserve">21.7.2 Lances em tempo real (Real-Time Bidding)</w:t>
      </w:r>
    </w:p>
    <w:p>
      <w:pPr>
        <w:pStyle w:val="FirstParagraph"/>
      </w:pPr>
      <w:r>
        <w:t xml:space="preserve">O mercado de publicidade digital evoluiu além dos leilões de busca para um sistema ainda mais sofisticado: o</w:t>
      </w:r>
      <w:r>
        <w:t xml:space="preserve"> </w:t>
      </w:r>
      <w:r>
        <w:rPr>
          <w:b/>
          <w:bCs/>
        </w:rPr>
        <w:t xml:space="preserve">Real-Time Bidding (RTB)</w:t>
      </w:r>
      <w:r>
        <w:t xml:space="preserve">, ou leilão em tempo real. No RTB, cada vez que um usuário carrega uma página web ou aplicativo, um leilão é conduzido em milissegundos para determinar qual anúncio será exibido:</w:t>
      </w:r>
    </w:p>
    <w:p>
      <w:pPr>
        <w:pStyle w:val="Compact"/>
        <w:numPr>
          <w:ilvl w:val="0"/>
          <w:numId w:val="2156"/>
        </w:numPr>
      </w:pPr>
      <w:r>
        <w:t xml:space="preserve">O usuário visita uma página → o navegador envia um pedido de anúncio ao servidor de publicidade.</w:t>
      </w:r>
    </w:p>
    <w:p>
      <w:pPr>
        <w:pStyle w:val="Compact"/>
        <w:numPr>
          <w:ilvl w:val="0"/>
          <w:numId w:val="2156"/>
        </w:numPr>
      </w:pPr>
      <w:r>
        <w:t xml:space="preserve">O servidor transmite informações sobre o usuário (dados demográficos, histórico de navegação, localização) a uma</w:t>
      </w:r>
      <w:r>
        <w:t xml:space="preserve"> </w:t>
      </w:r>
      <w:r>
        <w:rPr>
          <w:i/>
          <w:iCs/>
        </w:rPr>
        <w:t xml:space="preserve">exchange</w:t>
      </w:r>
      <w:r>
        <w:t xml:space="preserve"> </w:t>
      </w:r>
      <w:r>
        <w:t xml:space="preserve">de anúncios.</w:t>
      </w:r>
    </w:p>
    <w:p>
      <w:pPr>
        <w:pStyle w:val="Compact"/>
        <w:numPr>
          <w:ilvl w:val="0"/>
          <w:numId w:val="2156"/>
        </w:numPr>
      </w:pPr>
      <w:r>
        <w:t xml:space="preserve">Dezenas de anunciantes avaliam o valor daquele usuário específico e submetem lances em tempo real.</w:t>
      </w:r>
    </w:p>
    <w:p>
      <w:pPr>
        <w:pStyle w:val="Compact"/>
        <w:numPr>
          <w:ilvl w:val="0"/>
          <w:numId w:val="2156"/>
        </w:numPr>
      </w:pPr>
      <w:r>
        <w:t xml:space="preserve">O leilão é resolvido, o anúncio vencedor é exibido, e o pagamento é processado — tudo em menos de 100 milissegundos.</w:t>
      </w:r>
    </w:p>
    <w:p>
      <w:pPr>
        <w:pStyle w:val="FirstParagraph"/>
      </w:pPr>
      <w:r>
        <w:t xml:space="preserve">O RTB processa mais de 500 bilhões de impressões por dia globalmente. A escala e a velocidade desse mercado seriam impensáveis sem a infraestrutura computacional descrita na Seção 21.1. Trata-se, literalmente, do maior leilão do mundo — e opera continuamente, 24 horas por dia.</w:t>
      </w:r>
    </w:p>
    <w:bookmarkEnd w:id="1330"/>
    <w:bookmarkStart w:id="1331" w:name="X7fd807d12d450aad3b6e146c76fc90117f5cd92"/>
    <w:p>
      <w:pPr>
        <w:pStyle w:val="Heading4"/>
      </w:pPr>
      <w:r>
        <w:t xml:space="preserve">21.7.3 Precificação algorítmica e risco de colusão</w:t>
      </w:r>
    </w:p>
    <w:p>
      <w:pPr>
        <w:pStyle w:val="FirstParagraph"/>
      </w:pPr>
      <w:r>
        <w:t xml:space="preserve">A precificação algorítmica — em que algoritmos de machine learning ajustam preços automaticamente com base em dados de mercado — levanta uma preocupação antitruste nova e fascinante: é possível que algoritmos</w:t>
      </w:r>
      <w:r>
        <w:t xml:space="preserve"> </w:t>
      </w:r>
      <w:r>
        <w:t xml:space="preserve">“aprendam”</w:t>
      </w:r>
      <w:r>
        <w:t xml:space="preserve"> </w:t>
      </w:r>
      <w:r>
        <w:t xml:space="preserve">a coludir sem que seus programadores explicitamente combinem preços?</w:t>
      </w:r>
    </w:p>
    <w:p>
      <w:pPr>
        <w:pStyle w:val="BodyText"/>
      </w:pPr>
      <w:r>
        <w:t xml:space="preserve">Calvano et al. (2020) demonstram, em simulações com algoritmos de Q-learning (aprendizado por reforço), que algoritmos de precificação podem convergir para preços supracompetitivos — acima do nível de Nash — sem qualquer programação explícita de colusão. Os algoritmos</w:t>
      </w:r>
      <w:r>
        <w:t xml:space="preserve"> </w:t>
      </w:r>
      <w:r>
        <w:t xml:space="preserve">“descobrem”</w:t>
      </w:r>
      <w:r>
        <w:t xml:space="preserve"> </w:t>
      </w:r>
      <w:r>
        <w:t xml:space="preserve">estratégias de punição implícitas (semelhantes a trigger strategies do Capítulo 16b) que sustentam preços elevados.</w:t>
      </w:r>
    </w:p>
    <w:p>
      <w:pPr>
        <w:pStyle w:val="BodyText"/>
      </w:pPr>
      <w:r>
        <w:t xml:space="preserve">Esse resultado tem implicações profundas para a política antitruste: como responsabilizar firmas por</w:t>
      </w:r>
      <w:r>
        <w:t xml:space="preserve"> </w:t>
      </w:r>
      <w:r>
        <w:t xml:space="preserve">“colusão algorítmica”</w:t>
      </w:r>
      <w:r>
        <w:t xml:space="preserve"> </w:t>
      </w:r>
      <w:r>
        <w:t xml:space="preserve">quando nenhum ser humano instruiu o algoritmo a coludir? O framework legal atual, construído em torno de</w:t>
      </w:r>
      <w:r>
        <w:t xml:space="preserve"> </w:t>
      </w:r>
      <w:r>
        <w:t xml:space="preserve">“acordos”</w:t>
      </w:r>
      <w:r>
        <w:t xml:space="preserve"> </w:t>
      </w:r>
      <w:r>
        <w:t xml:space="preserve">e</w:t>
      </w:r>
      <w:r>
        <w:t xml:space="preserve"> </w:t>
      </w:r>
      <w:r>
        <w:t xml:space="preserve">“comunicação”</w:t>
      </w:r>
      <w:r>
        <w:t xml:space="preserve"> </w:t>
      </w:r>
      <w:r>
        <w:t xml:space="preserve">entre concorrentes, pode ser inadequado para um mundo em que a coordenação emerge de forma descentralizada via algoritmos autônomos.</w:t>
      </w:r>
    </w:p>
    <w:p>
      <w:pPr>
        <w:pStyle w:val="BlockText"/>
      </w:pPr>
      <w:r>
        <w:rPr>
          <w:b/>
          <w:bCs/>
        </w:rPr>
        <w:t xml:space="preserve">[EXERCICIO RESOLVIDO] Exercício Resolvido 21.2 — Leilão GSP com quality scores</w:t>
      </w:r>
    </w:p>
    <w:p>
      <w:pPr>
        <w:pStyle w:val="BlockText"/>
      </w:pPr>
      <w:r>
        <w:rPr>
          <w:b/>
          <w:bCs/>
        </w:rPr>
        <w:t xml:space="preserve">Enunciado.</w:t>
      </w:r>
      <w:r>
        <w:t xml:space="preserve"> </w:t>
      </w:r>
      <w:r>
        <w:t xml:space="preserve">Três anunciantes (X, Y, Z) competem por duas posições de destaque num buscador. Valores por clique:</w:t>
      </w:r>
      <w:r>
        <w:t xml:space="preserve"> </w:t>
      </w:r>
      <m:oMath>
        <m:sSub>
          <m:e>
            <m:r>
              <m:t>v</m:t>
            </m:r>
          </m:e>
          <m:sub>
            <m:r>
              <m:t>X</m:t>
            </m:r>
          </m:sub>
        </m:sSub>
        <m:r>
          <m:rPr>
            <m:sty m:val="p"/>
          </m:rPr>
          <m:t>=</m:t>
        </m:r>
        <m:r>
          <m:t>8</m:t>
        </m:r>
      </m:oMath>
      <w:r>
        <w:t xml:space="preserve">,</w:t>
      </w:r>
      <w:r>
        <w:t xml:space="preserve"> </w:t>
      </w:r>
      <m:oMath>
        <m:sSub>
          <m:e>
            <m:r>
              <m:t>v</m:t>
            </m:r>
          </m:e>
          <m:sub>
            <m:r>
              <m:t>Y</m:t>
            </m:r>
          </m:sub>
        </m:sSub>
        <m:r>
          <m:rPr>
            <m:sty m:val="p"/>
          </m:rPr>
          <m:t>=</m:t>
        </m:r>
        <m:r>
          <m:t>5</m:t>
        </m:r>
      </m:oMath>
      <w:r>
        <w:t xml:space="preserve">,</w:t>
      </w:r>
      <w:r>
        <w:t xml:space="preserve"> </w:t>
      </w:r>
      <m:oMath>
        <m:sSub>
          <m:e>
            <m:r>
              <m:t>v</m:t>
            </m:r>
          </m:e>
          <m:sub>
            <m:r>
              <m:t>Z</m:t>
            </m:r>
          </m:sub>
        </m:sSub>
        <m:r>
          <m:rPr>
            <m:sty m:val="p"/>
          </m:rPr>
          <m:t>=</m:t>
        </m:r>
        <m:r>
          <m:t>3</m:t>
        </m:r>
      </m:oMath>
      <w:r>
        <w:t xml:space="preserve">. Cliques esperados por posição:</w:t>
      </w:r>
      <w:r>
        <w:t xml:space="preserve"> </w:t>
      </w:r>
      <m:oMath>
        <m:sSub>
          <m:e>
            <m:r>
              <m:t>θ</m:t>
            </m:r>
          </m:e>
          <m:sub>
            <m:r>
              <m:t>1</m:t>
            </m:r>
          </m:sub>
        </m:sSub>
        <m:r>
          <m:rPr>
            <m:sty m:val="p"/>
          </m:rPr>
          <m:t>=</m:t>
        </m:r>
        <m:r>
          <m:t>300</m:t>
        </m:r>
      </m:oMath>
      <w:r>
        <w:t xml:space="preserve"> </w:t>
      </w:r>
      <w:r>
        <w:t xml:space="preserve">(1ª posição),</w:t>
      </w:r>
      <w:r>
        <w:t xml:space="preserve"> </w:t>
      </w:r>
      <m:oMath>
        <m:sSub>
          <m:e>
            <m:r>
              <m:t>θ</m:t>
            </m:r>
          </m:e>
          <m:sub>
            <m:r>
              <m:t>2</m:t>
            </m:r>
          </m:sub>
        </m:sSub>
        <m:r>
          <m:rPr>
            <m:sty m:val="p"/>
          </m:rPr>
          <m:t>=</m:t>
        </m:r>
        <m:r>
          <m:t>150</m:t>
        </m:r>
      </m:oMath>
      <w:r>
        <w:t xml:space="preserve"> </w:t>
      </w:r>
      <w:r>
        <w:t xml:space="preserve">(2ª posição). Quality scores:</w:t>
      </w:r>
      <w:r>
        <w:t xml:space="preserve"> </w:t>
      </w:r>
      <m:oMath>
        <m:sSub>
          <m:e>
            <m:r>
              <m:t>q</m:t>
            </m:r>
          </m:e>
          <m:sub>
            <m:r>
              <m:t>X</m:t>
            </m:r>
          </m:sub>
        </m:sSub>
        <m:r>
          <m:rPr>
            <m:sty m:val="p"/>
          </m:rPr>
          <m:t>=</m:t>
        </m:r>
        <m:r>
          <m:t>1</m:t>
        </m:r>
        <m:r>
          <m:rPr>
            <m:sty m:val="p"/>
          </m:rPr>
          <m:t>,</m:t>
        </m:r>
        <m:r>
          <m:t>2</m:t>
        </m:r>
      </m:oMath>
      <w:r>
        <w:t xml:space="preserve">,</w:t>
      </w:r>
      <w:r>
        <w:t xml:space="preserve"> </w:t>
      </w:r>
      <m:oMath>
        <m:sSub>
          <m:e>
            <m:r>
              <m:t>q</m:t>
            </m:r>
          </m:e>
          <m:sub>
            <m:r>
              <m:t>Y</m:t>
            </m:r>
          </m:sub>
        </m:sSub>
        <m:r>
          <m:rPr>
            <m:sty m:val="p"/>
          </m:rPr>
          <m:t>=</m:t>
        </m:r>
        <m:r>
          <m:t>1</m:t>
        </m:r>
        <m:r>
          <m:rPr>
            <m:sty m:val="p"/>
          </m:rPr>
          <m:t>,</m:t>
        </m:r>
        <m:r>
          <m:t>0</m:t>
        </m:r>
      </m:oMath>
      <w:r>
        <w:t xml:space="preserve">,</w:t>
      </w:r>
      <w:r>
        <w:t xml:space="preserve"> </w:t>
      </w:r>
      <m:oMath>
        <m:sSub>
          <m:e>
            <m:r>
              <m:t>q</m:t>
            </m:r>
          </m:e>
          <m:sub>
            <m:r>
              <m:t>Z</m:t>
            </m:r>
          </m:sub>
        </m:sSub>
        <m:r>
          <m:rPr>
            <m:sty m:val="p"/>
          </m:rPr>
          <m:t>=</m:t>
        </m:r>
        <m:r>
          <m:t>0</m:t>
        </m:r>
        <m:r>
          <m:rPr>
            <m:sty m:val="p"/>
          </m:rPr>
          <m:t>,</m:t>
        </m:r>
        <m:r>
          <m:t>8</m:t>
        </m:r>
      </m:oMath>
      <w:r>
        <w:t xml:space="preserve">.</w:t>
      </w:r>
    </w:p>
    <w:p>
      <w:pPr>
        <w:pStyle w:val="BlockText"/>
        <w:numPr>
          <w:ilvl w:val="0"/>
          <w:numId w:val="2157"/>
        </w:numPr>
      </w:pPr>
      <w:r>
        <w:t xml:space="preserve">Determine a alocação de posições no GSP (assumindo lances verdadeiros).</w:t>
      </w:r>
    </w:p>
    <w:p>
      <w:pPr>
        <w:pStyle w:val="BlockText"/>
        <w:numPr>
          <w:ilvl w:val="0"/>
          <w:numId w:val="2157"/>
        </w:numPr>
      </w:pPr>
      <w:r>
        <w:t xml:space="preserve">Calcule o preço por clique que cada anunciante paga.</w:t>
      </w:r>
    </w:p>
    <w:p>
      <w:pPr>
        <w:pStyle w:val="BlockText"/>
        <w:numPr>
          <w:ilvl w:val="0"/>
          <w:numId w:val="2157"/>
        </w:numPr>
      </w:pPr>
      <w:r>
        <w:t xml:space="preserve">Calcule a receita total do buscador.</w:t>
      </w:r>
    </w:p>
    <w:p>
      <w:pPr>
        <w:pStyle w:val="BlockText"/>
        <w:numPr>
          <w:ilvl w:val="0"/>
          <w:numId w:val="2157"/>
        </w:numPr>
      </w:pPr>
      <w:r>
        <w:t xml:space="preserve">Compare com a receita que seria obtida sem quality scores (alocação apenas por lance).</w:t>
      </w:r>
    </w:p>
    <w:p>
      <w:pPr>
        <w:pStyle w:val="BlockText"/>
      </w:pPr>
      <w:r>
        <w:rPr>
          <w:b/>
          <w:bCs/>
        </w:rPr>
        <w:t xml:space="preserve">Resolução.</w:t>
      </w:r>
    </w:p>
    <w:p>
      <w:pPr>
        <w:pStyle w:val="BlockText"/>
      </w:pPr>
      <w:r>
        <w:rPr>
          <w:b/>
          <w:bCs/>
        </w:rPr>
        <w:t xml:space="preserve">(a)</w:t>
      </w:r>
      <w:r>
        <w:t xml:space="preserve"> </w:t>
      </w:r>
      <w:r>
        <w:t xml:space="preserve">Scores (com lances verdadeiros):</w:t>
      </w:r>
      <w:r>
        <w:t xml:space="preserve"> </w:t>
      </w:r>
      <m:oMath>
        <m:sSub>
          <m:e>
            <m:r>
              <m:t>s</m:t>
            </m:r>
          </m:e>
          <m:sub>
            <m:r>
              <m:t>X</m:t>
            </m:r>
          </m:sub>
        </m:sSub>
        <m:r>
          <m:rPr>
            <m:sty m:val="p"/>
          </m:rPr>
          <m:t>=</m:t>
        </m:r>
        <m:r>
          <m:t>8</m:t>
        </m:r>
        <m:r>
          <m:rPr>
            <m:sty m:val="p"/>
          </m:rPr>
          <m:t>×</m:t>
        </m:r>
        <m:r>
          <m:t>1</m:t>
        </m:r>
        <m:r>
          <m:rPr>
            <m:sty m:val="p"/>
          </m:rPr>
          <m:t>,</m:t>
        </m:r>
        <m:r>
          <m:t>2</m:t>
        </m:r>
        <m:r>
          <m:rPr>
            <m:sty m:val="p"/>
          </m:rPr>
          <m:t>=</m:t>
        </m:r>
        <m:r>
          <m:t>9</m:t>
        </m:r>
        <m:r>
          <m:rPr>
            <m:sty m:val="p"/>
          </m:rPr>
          <m:t>,</m:t>
        </m:r>
        <m:r>
          <m:t>6</m:t>
        </m:r>
      </m:oMath>
      <w:r>
        <w:t xml:space="preserve">,</w:t>
      </w:r>
      <w:r>
        <w:t xml:space="preserve"> </w:t>
      </w:r>
      <m:oMath>
        <m:sSub>
          <m:e>
            <m:r>
              <m:t>s</m:t>
            </m:r>
          </m:e>
          <m:sub>
            <m:r>
              <m:t>Y</m:t>
            </m:r>
          </m:sub>
        </m:sSub>
        <m:r>
          <m:rPr>
            <m:sty m:val="p"/>
          </m:rPr>
          <m:t>=</m:t>
        </m:r>
        <m:r>
          <m:t>5</m:t>
        </m:r>
        <m:r>
          <m:rPr>
            <m:sty m:val="p"/>
          </m:rPr>
          <m:t>×</m:t>
        </m:r>
        <m:r>
          <m:t>1</m:t>
        </m:r>
        <m:r>
          <m:rPr>
            <m:sty m:val="p"/>
          </m:rPr>
          <m:t>,</m:t>
        </m:r>
        <m:r>
          <m:t>0</m:t>
        </m:r>
        <m:r>
          <m:rPr>
            <m:sty m:val="p"/>
          </m:rPr>
          <m:t>=</m:t>
        </m:r>
        <m:r>
          <m:t>5</m:t>
        </m:r>
        <m:r>
          <m:rPr>
            <m:sty m:val="p"/>
          </m:rPr>
          <m:t>,</m:t>
        </m:r>
        <m:r>
          <m:t>0</m:t>
        </m:r>
      </m:oMath>
      <w:r>
        <w:t xml:space="preserve">,</w:t>
      </w:r>
      <w:r>
        <w:t xml:space="preserve"> </w:t>
      </w:r>
      <m:oMath>
        <m:sSub>
          <m:e>
            <m:r>
              <m:t>s</m:t>
            </m:r>
          </m:e>
          <m:sub>
            <m:r>
              <m:t>Z</m:t>
            </m:r>
          </m:sub>
        </m:sSub>
        <m:r>
          <m:rPr>
            <m:sty m:val="p"/>
          </m:rPr>
          <m:t>=</m:t>
        </m:r>
        <m:r>
          <m:t>3</m:t>
        </m:r>
        <m:r>
          <m:rPr>
            <m:sty m:val="p"/>
          </m:rPr>
          <m:t>×</m:t>
        </m:r>
        <m:r>
          <m:t>0</m:t>
        </m:r>
        <m:r>
          <m:rPr>
            <m:sty m:val="p"/>
          </m:rPr>
          <m:t>,</m:t>
        </m:r>
        <m:r>
          <m:t>8</m:t>
        </m:r>
        <m:r>
          <m:rPr>
            <m:sty m:val="p"/>
          </m:rPr>
          <m:t>=</m:t>
        </m:r>
        <m:r>
          <m:t>2</m:t>
        </m:r>
        <m:r>
          <m:rPr>
            <m:sty m:val="p"/>
          </m:rPr>
          <m:t>,</m:t>
        </m:r>
        <m:r>
          <m:t>4</m:t>
        </m:r>
      </m:oMath>
      <w:r>
        <w:t xml:space="preserve">.</w:t>
      </w:r>
    </w:p>
    <w:p>
      <w:pPr>
        <w:pStyle w:val="BlockText"/>
      </w:pPr>
      <w:r>
        <w:t xml:space="preserve">Ordenação: X (9,6) → posição 1, Y (5,0) → posição 2, Z (2,4) → não exibido.</w:t>
      </w:r>
    </w:p>
    <w:p>
      <w:pPr>
        <w:pStyle w:val="BlockText"/>
      </w:pPr>
      <w:r>
        <w:rPr>
          <w:b/>
          <w:bCs/>
        </w:rPr>
        <w:t xml:space="preserve">(b)</w:t>
      </w:r>
      <w:r>
        <w:t xml:space="preserve"> </w:t>
      </w:r>
      <w:r>
        <w:t xml:space="preserve">O preço por clique de cada anunciante é o lance mínimo para manter sua posição:</w:t>
      </w:r>
    </w:p>
    <w:p>
      <w:pPr>
        <w:pStyle w:val="Compact"/>
        <w:numPr>
          <w:ilvl w:val="0"/>
          <w:numId w:val="2158"/>
        </w:numPr>
      </w:pPr>
      <w:r>
        <w:rPr>
          <w:b/>
          <w:bCs/>
        </w:rPr>
        <w:t xml:space="preserve">X na posição 1</w:t>
      </w:r>
      <w:r>
        <w:t xml:space="preserve">: deve ter score</w:t>
      </w:r>
      <w:r>
        <w:t xml:space="preserve"> </w:t>
      </w:r>
      <m:oMath>
        <m:r>
          <m:rPr>
            <m:sty m:val="p"/>
          </m:rPr>
          <m:t>≥</m:t>
        </m:r>
        <m:sSub>
          <m:e>
            <m:r>
              <m:t>s</m:t>
            </m:r>
          </m:e>
          <m:sub>
            <m:r>
              <m:t>Y</m:t>
            </m:r>
          </m:sub>
        </m:sSub>
        <m:r>
          <m:rPr>
            <m:sty m:val="p"/>
          </m:rPr>
          <m:t>=</m:t>
        </m:r>
        <m:r>
          <m:t>5</m:t>
        </m:r>
        <m:r>
          <m:rPr>
            <m:sty m:val="p"/>
          </m:rPr>
          <m:t>,</m:t>
        </m:r>
        <m:r>
          <m:t>0</m:t>
        </m:r>
      </m:oMath>
      <w:r>
        <w:t xml:space="preserve">. Lance mínimo:</w:t>
      </w:r>
      <w:r>
        <w:t xml:space="preserve"> </w:t>
      </w:r>
      <m:oMath>
        <m:sSubSup>
          <m:e>
            <m:r>
              <m:t>b</m:t>
            </m:r>
          </m:e>
          <m:sub>
            <m:r>
              <m:t>X</m:t>
            </m:r>
          </m:sub>
          <m:sup>
            <m:r>
              <m:rPr>
                <m:sty m:val="p"/>
              </m:rPr>
              <m:t>min</m:t>
            </m:r>
          </m:sup>
        </m:sSubSup>
        <m:r>
          <m:rPr>
            <m:sty m:val="p"/>
          </m:rPr>
          <m:t>=</m:t>
        </m:r>
        <m:r>
          <m:t>5</m:t>
        </m:r>
        <m:r>
          <m:rPr>
            <m:sty m:val="p"/>
          </m:rPr>
          <m:t>,</m:t>
        </m:r>
        <m:r>
          <m:t>0</m:t>
        </m:r>
        <m:r>
          <m:rPr>
            <m:sty m:val="p"/>
          </m:rPr>
          <m:t>/</m:t>
        </m:r>
        <m:sSub>
          <m:e>
            <m:r>
              <m:t>q</m:t>
            </m:r>
          </m:e>
          <m:sub>
            <m:r>
              <m:t>X</m:t>
            </m:r>
          </m:sub>
        </m:sSub>
        <m:r>
          <m:rPr>
            <m:sty m:val="p"/>
          </m:rPr>
          <m:t>=</m:t>
        </m:r>
        <m:r>
          <m:t>5</m:t>
        </m:r>
        <m:r>
          <m:rPr>
            <m:sty m:val="p"/>
          </m:rPr>
          <m:t>,</m:t>
        </m:r>
        <m:r>
          <m:t>0</m:t>
        </m:r>
        <m:r>
          <m:rPr>
            <m:sty m:val="p"/>
          </m:rPr>
          <m:t>/</m:t>
        </m:r>
        <m:r>
          <m:t>1</m:t>
        </m:r>
        <m:r>
          <m:rPr>
            <m:sty m:val="p"/>
          </m:rPr>
          <m:t>,</m:t>
        </m:r>
        <m:r>
          <m:t>2</m:t>
        </m:r>
        <m:r>
          <m:rPr>
            <m:sty m:val="p"/>
          </m:rPr>
          <m:t>≈</m:t>
        </m:r>
        <m:r>
          <m:t>4</m:t>
        </m:r>
        <m:r>
          <m:rPr>
            <m:sty m:val="p"/>
          </m:rPr>
          <m:t>,</m:t>
        </m:r>
        <m:r>
          <m:t>17</m:t>
        </m:r>
      </m:oMath>
      <w:r>
        <w:t xml:space="preserve">. Paga</w:t>
      </w:r>
      <w:r>
        <w:t xml:space="preserve"> </w:t>
      </w:r>
      <w:r>
        <w:rPr>
          <w:b/>
          <w:bCs/>
        </w:rPr>
        <w:t xml:space="preserve">R$ 4,17 por clique</w:t>
      </w:r>
      <w:r>
        <w:t xml:space="preserve">.</w:t>
      </w:r>
    </w:p>
    <w:p>
      <w:pPr>
        <w:pStyle w:val="Compact"/>
        <w:numPr>
          <w:ilvl w:val="0"/>
          <w:numId w:val="2158"/>
        </w:numPr>
      </w:pPr>
      <w:r>
        <w:rPr>
          <w:b/>
          <w:bCs/>
        </w:rPr>
        <w:t xml:space="preserve">Y na posição 2</w:t>
      </w:r>
      <w:r>
        <w:t xml:space="preserve">: deve ter score</w:t>
      </w:r>
      <w:r>
        <w:t xml:space="preserve"> </w:t>
      </w:r>
      <m:oMath>
        <m:r>
          <m:rPr>
            <m:sty m:val="p"/>
          </m:rPr>
          <m:t>≥</m:t>
        </m:r>
        <m:sSub>
          <m:e>
            <m:r>
              <m:t>s</m:t>
            </m:r>
          </m:e>
          <m:sub>
            <m:r>
              <m:t>Z</m:t>
            </m:r>
          </m:sub>
        </m:sSub>
        <m:r>
          <m:rPr>
            <m:sty m:val="p"/>
          </m:rPr>
          <m:t>=</m:t>
        </m:r>
        <m:r>
          <m:t>2</m:t>
        </m:r>
        <m:r>
          <m:rPr>
            <m:sty m:val="p"/>
          </m:rPr>
          <m:t>,</m:t>
        </m:r>
        <m:r>
          <m:t>4</m:t>
        </m:r>
      </m:oMath>
      <w:r>
        <w:t xml:space="preserve">. Lance mínimo:</w:t>
      </w:r>
      <w:r>
        <w:t xml:space="preserve"> </w:t>
      </w:r>
      <m:oMath>
        <m:sSubSup>
          <m:e>
            <m:r>
              <m:t>b</m:t>
            </m:r>
          </m:e>
          <m:sub>
            <m:r>
              <m:t>Y</m:t>
            </m:r>
          </m:sub>
          <m:sup>
            <m:r>
              <m:rPr>
                <m:sty m:val="p"/>
              </m:rPr>
              <m:t>min</m:t>
            </m:r>
          </m:sup>
        </m:sSubSup>
        <m:r>
          <m:rPr>
            <m:sty m:val="p"/>
          </m:rPr>
          <m:t>=</m:t>
        </m:r>
        <m:r>
          <m:t>2</m:t>
        </m:r>
        <m:r>
          <m:rPr>
            <m:sty m:val="p"/>
          </m:rPr>
          <m:t>,</m:t>
        </m:r>
        <m:r>
          <m:t>4</m:t>
        </m:r>
        <m:r>
          <m:rPr>
            <m:sty m:val="p"/>
          </m:rPr>
          <m:t>/</m:t>
        </m:r>
        <m:sSub>
          <m:e>
            <m:r>
              <m:t>q</m:t>
            </m:r>
          </m:e>
          <m:sub>
            <m:r>
              <m:t>Y</m:t>
            </m:r>
          </m:sub>
        </m:sSub>
        <m:r>
          <m:rPr>
            <m:sty m:val="p"/>
          </m:rPr>
          <m:t>=</m:t>
        </m:r>
        <m:r>
          <m:t>2</m:t>
        </m:r>
        <m:r>
          <m:rPr>
            <m:sty m:val="p"/>
          </m:rPr>
          <m:t>,</m:t>
        </m:r>
        <m:r>
          <m:t>4</m:t>
        </m:r>
        <m:r>
          <m:rPr>
            <m:sty m:val="p"/>
          </m:rPr>
          <m:t>/</m:t>
        </m:r>
        <m:r>
          <m:t>1</m:t>
        </m:r>
        <m:r>
          <m:rPr>
            <m:sty m:val="p"/>
          </m:rPr>
          <m:t>,</m:t>
        </m:r>
        <m:r>
          <m:t>0</m:t>
        </m:r>
        <m:r>
          <m:rPr>
            <m:sty m:val="p"/>
          </m:rPr>
          <m:t>=</m:t>
        </m:r>
        <m:r>
          <m:t>2</m:t>
        </m:r>
        <m:r>
          <m:rPr>
            <m:sty m:val="p"/>
          </m:rPr>
          <m:t>,</m:t>
        </m:r>
        <m:r>
          <m:t>40</m:t>
        </m:r>
      </m:oMath>
      <w:r>
        <w:t xml:space="preserve">. Paga</w:t>
      </w:r>
      <w:r>
        <w:t xml:space="preserve"> </w:t>
      </w:r>
      <w:r>
        <w:rPr>
          <w:b/>
          <w:bCs/>
        </w:rPr>
        <w:t xml:space="preserve">R$ 2,40 por clique</w:t>
      </w:r>
      <w:r>
        <w:t xml:space="preserve">.</w:t>
      </w:r>
    </w:p>
    <w:p>
      <w:pPr>
        <w:pStyle w:val="BlockText"/>
      </w:pPr>
      <w:r>
        <w:rPr>
          <w:b/>
          <w:bCs/>
        </w:rPr>
        <w:t xml:space="preserve">(c)</w:t>
      </w:r>
      <w:r>
        <w:t xml:space="preserve"> </w:t>
      </w:r>
      <w:r>
        <w:t xml:space="preserve">Receita total:</w:t>
      </w:r>
      <w:r>
        <w:t xml:space="preserve"> </w:t>
      </w:r>
      <m:oMath>
        <m:r>
          <m:t>R</m:t>
        </m:r>
        <m:r>
          <m:rPr>
            <m:sty m:val="p"/>
          </m:rPr>
          <m:t>=</m:t>
        </m:r>
        <m:r>
          <m:t>4</m:t>
        </m:r>
        <m:r>
          <m:rPr>
            <m:sty m:val="p"/>
          </m:rPr>
          <m:t>,</m:t>
        </m:r>
        <m:r>
          <m:t>17</m:t>
        </m:r>
        <m:r>
          <m:rPr>
            <m:sty m:val="p"/>
          </m:rPr>
          <m:t>×</m:t>
        </m:r>
        <m:r>
          <m:t>300</m:t>
        </m:r>
        <m:r>
          <m:rPr>
            <m:sty m:val="p"/>
          </m:rPr>
          <m:t>+</m:t>
        </m:r>
        <m:r>
          <m:t>2</m:t>
        </m:r>
        <m:r>
          <m:rPr>
            <m:sty m:val="p"/>
          </m:rPr>
          <m:t>,</m:t>
        </m:r>
        <m:r>
          <m:t>40</m:t>
        </m:r>
        <m:r>
          <m:rPr>
            <m:sty m:val="p"/>
          </m:rPr>
          <m:t>×</m:t>
        </m:r>
        <m:r>
          <m:t>150</m:t>
        </m:r>
        <m:r>
          <m:rPr>
            <m:sty m:val="p"/>
          </m:rPr>
          <m:t>=</m:t>
        </m:r>
        <m:r>
          <m:t>1.251</m:t>
        </m:r>
        <m:r>
          <m:rPr>
            <m:sty m:val="p"/>
          </m:rPr>
          <m:t>+</m:t>
        </m:r>
        <m:r>
          <m:t>360</m:t>
        </m:r>
        <m:r>
          <m:rPr>
            <m:sty m:val="p"/>
          </m:rPr>
          <m:t>=</m:t>
        </m:r>
        <m:r>
          <m:t>1.611</m:t>
        </m:r>
      </m:oMath>
      <w:r>
        <w:t xml:space="preserve">.</w:t>
      </w:r>
    </w:p>
    <w:p>
      <w:pPr>
        <w:pStyle w:val="BlockText"/>
      </w:pPr>
      <w:r>
        <w:rPr>
          <w:b/>
          <w:bCs/>
        </w:rPr>
        <w:t xml:space="preserve">(d)</w:t>
      </w:r>
      <w:r>
        <w:t xml:space="preserve"> </w:t>
      </w:r>
      <w:r>
        <w:t xml:space="preserve">Sem quality scores, alocação por lance puro: X (8) → posição 1, Y (5) → posição 2.</w:t>
      </w:r>
    </w:p>
    <w:p>
      <w:pPr>
        <w:pStyle w:val="BlockText"/>
      </w:pPr>
      <w:r>
        <w:t xml:space="preserve">Preços:</w:t>
      </w:r>
      <w:r>
        <w:t xml:space="preserve"> </w:t>
      </w:r>
      <m:oMath>
        <m:sSub>
          <m:e>
            <m:r>
              <m:t>p</m:t>
            </m:r>
          </m:e>
          <m:sub>
            <m:r>
              <m:t>X</m:t>
            </m:r>
          </m:sub>
        </m:sSub>
        <m:r>
          <m:rPr>
            <m:sty m:val="p"/>
          </m:rPr>
          <m:t>=</m:t>
        </m:r>
        <m:sSub>
          <m:e>
            <m:r>
              <m:t>b</m:t>
            </m:r>
          </m:e>
          <m:sub>
            <m:r>
              <m:t>Y</m:t>
            </m:r>
          </m:sub>
        </m:sSub>
        <m:r>
          <m:rPr>
            <m:sty m:val="p"/>
          </m:rPr>
          <m:t>=</m:t>
        </m:r>
        <m:r>
          <m:t>5</m:t>
        </m:r>
      </m:oMath>
      <w:r>
        <w:t xml:space="preserve">,</w:t>
      </w:r>
      <w:r>
        <w:t xml:space="preserve"> </w:t>
      </w:r>
      <m:oMath>
        <m:sSub>
          <m:e>
            <m:r>
              <m:t>p</m:t>
            </m:r>
          </m:e>
          <m:sub>
            <m:r>
              <m:t>Y</m:t>
            </m:r>
          </m:sub>
        </m:sSub>
        <m:r>
          <m:rPr>
            <m:sty m:val="p"/>
          </m:rPr>
          <m:t>=</m:t>
        </m:r>
        <m:sSub>
          <m:e>
            <m:r>
              <m:t>b</m:t>
            </m:r>
          </m:e>
          <m:sub>
            <m:r>
              <m:t>Z</m:t>
            </m:r>
          </m:sub>
        </m:sSub>
        <m:r>
          <m:rPr>
            <m:sty m:val="p"/>
          </m:rPr>
          <m:t>=</m:t>
        </m:r>
        <m:r>
          <m:t>3</m:t>
        </m:r>
      </m:oMath>
      <w:r>
        <w:t xml:space="preserve">.</w:t>
      </w:r>
    </w:p>
    <w:p>
      <w:pPr>
        <w:pStyle w:val="BlockText"/>
      </w:pPr>
      <m:oMath>
        <m:sSub>
          <m:e>
            <m:r>
              <m:t>R</m:t>
            </m:r>
          </m:e>
          <m:sub>
            <m:r>
              <m:rPr>
                <m:nor/>
                <m:sty m:val="p"/>
              </m:rPr>
              <m:t>sem QS</m:t>
            </m:r>
          </m:sub>
        </m:sSub>
        <m:r>
          <m:rPr>
            <m:sty m:val="p"/>
          </m:rPr>
          <m:t>=</m:t>
        </m:r>
        <m:r>
          <m:t>5</m:t>
        </m:r>
        <m:r>
          <m:rPr>
            <m:sty m:val="p"/>
          </m:rPr>
          <m:t>×</m:t>
        </m:r>
        <m:r>
          <m:t>300</m:t>
        </m:r>
        <m:r>
          <m:rPr>
            <m:sty m:val="p"/>
          </m:rPr>
          <m:t>+</m:t>
        </m:r>
        <m:r>
          <m:t>3</m:t>
        </m:r>
        <m:r>
          <m:rPr>
            <m:sty m:val="p"/>
          </m:rPr>
          <m:t>×</m:t>
        </m:r>
        <m:r>
          <m:t>150</m:t>
        </m:r>
        <m:r>
          <m:rPr>
            <m:sty m:val="p"/>
          </m:rPr>
          <m:t>=</m:t>
        </m:r>
        <m:r>
          <m:t>1.500</m:t>
        </m:r>
        <m:r>
          <m:rPr>
            <m:sty m:val="p"/>
          </m:rPr>
          <m:t>+</m:t>
        </m:r>
        <m:r>
          <m:t>450</m:t>
        </m:r>
        <m:r>
          <m:rPr>
            <m:sty m:val="p"/>
          </m:rPr>
          <m:t>=</m:t>
        </m:r>
        <m:r>
          <m:t>1.950</m:t>
        </m:r>
      </m:oMath>
      <w:r>
        <w:t xml:space="preserve">.</w:t>
      </w:r>
    </w:p>
    <w:p>
      <w:pPr>
        <w:pStyle w:val="BlockText"/>
      </w:pPr>
      <w:r>
        <w:t xml:space="preserve">A receita é</w:t>
      </w:r>
      <w:r>
        <w:t xml:space="preserve"> </w:t>
      </w:r>
      <w:r>
        <w:rPr>
          <w:b/>
          <w:bCs/>
        </w:rPr>
        <w:t xml:space="preserve">maior</w:t>
      </w:r>
      <w:r>
        <w:t xml:space="preserve"> </w:t>
      </w:r>
      <w:r>
        <w:t xml:space="preserve">sem quality scores (</w:t>
      </w:r>
      <m:oMath>
        <m:r>
          <m:t>1.950</m:t>
        </m:r>
        <m:r>
          <m:rPr>
            <m:sty m:val="p"/>
          </m:rPr>
          <m:t>&gt;</m:t>
        </m:r>
        <m:r>
          <m:t>1.611</m:t>
        </m:r>
      </m:oMath>
      <w:r>
        <w:t xml:space="preserve">) neste exemplo. Então por que o Google usa quality scores?</w:t>
      </w:r>
      <w:r>
        <w:t xml:space="preserve"> </w:t>
      </w:r>
      <w:r>
        <w:rPr>
          <w:b/>
          <w:bCs/>
        </w:rPr>
        <w:t xml:space="preserve">Eficiência e longo prazo:</w:t>
      </w:r>
      <w:r>
        <w:t xml:space="preserve"> </w:t>
      </w:r>
      <w:r>
        <w:t xml:space="preserve">O quality score garante que anúncios mais relevantes (melhor experiência do usuário) ocupem posições melhores. A perda de receita de curto prazo é compensada pela retenção de usuários que sustenta o lado subsidiado do mercado bilateral.</w:t>
      </w:r>
    </w:p>
    <w:p>
      <w:pPr>
        <w:pStyle w:val="BlockText"/>
      </w:pPr>
      <w:r>
        <w:rPr>
          <w:b/>
          <w:bCs/>
        </w:rPr>
        <w:t xml:space="preserve">[EXERCICIO RESOLVIDO] Exercício Resolvido 21.3 — Efeitos de rede e massa crítica</w:t>
      </w:r>
    </w:p>
    <w:p>
      <w:pPr>
        <w:pStyle w:val="BlockText"/>
      </w:pPr>
      <w:r>
        <w:rPr>
          <w:b/>
          <w:bCs/>
        </w:rPr>
        <w:t xml:space="preserve">Enunciado.</w:t>
      </w:r>
      <w:r>
        <w:t xml:space="preserve"> </w:t>
      </w:r>
      <w:r>
        <w:t xml:space="preserve">Uma rede de comunicação tem</w:t>
      </w:r>
      <w:r>
        <w:t xml:space="preserve"> </w:t>
      </w:r>
      <m:oMath>
        <m:r>
          <m:t>N</m:t>
        </m:r>
        <m:r>
          <m:rPr>
            <m:sty m:val="p"/>
          </m:rPr>
          <m:t>=</m:t>
        </m:r>
        <m:r>
          <m:t>200</m:t>
        </m:r>
      </m:oMath>
      <w:r>
        <w:t xml:space="preserve"> </w:t>
      </w:r>
      <w:r>
        <w:t xml:space="preserve">usuários potenciais com valores intrínsecos</w:t>
      </w:r>
      <w:r>
        <w:t xml:space="preserve"> </w:t>
      </w:r>
      <m:oMath>
        <m:sSub>
          <m:e>
            <m:r>
              <m:t>v</m:t>
            </m:r>
          </m:e>
          <m:sub>
            <m:r>
              <m:t>i</m:t>
            </m:r>
          </m:sub>
        </m:sSub>
      </m:oMath>
      <w:r>
        <w:t xml:space="preserve"> </w:t>
      </w:r>
      <w:r>
        <w:t xml:space="preserve">distribuídos uniformemente em</w:t>
      </w:r>
      <w:r>
        <w:t xml:space="preserve"> </w:t>
      </w:r>
      <m:oMath>
        <m:r>
          <m:rPr>
            <m:sty m:val="p"/>
          </m:rPr>
          <m:t>[</m:t>
        </m:r>
        <m:r>
          <m:t>0</m:t>
        </m:r>
        <m:r>
          <m:rPr>
            <m:sty m:val="p"/>
          </m:rPr>
          <m:t>,</m:t>
        </m:r>
        <m:r>
          <m:t>8</m:t>
        </m:r>
        <m:r>
          <m:rPr>
            <m:sty m:val="p"/>
          </m:rPr>
          <m:t>]</m:t>
        </m:r>
      </m:oMath>
      <w:r>
        <w:t xml:space="preserve">. O benefício de rede é</w:t>
      </w:r>
      <w:r>
        <w:t xml:space="preserve"> </w:t>
      </w:r>
      <m:oMath>
        <m:r>
          <m:t>f</m:t>
        </m:r>
        <m:r>
          <m:rPr>
            <m:sty m:val="p"/>
          </m:rPr>
          <m:t>(</m:t>
        </m:r>
        <m:r>
          <m:t>n</m:t>
        </m:r>
        <m:r>
          <m:rPr>
            <m:sty m:val="p"/>
          </m:rPr>
          <m:t>)</m:t>
        </m:r>
        <m:r>
          <m:rPr>
            <m:sty m:val="p"/>
          </m:rPr>
          <m:t>=</m:t>
        </m:r>
        <m:r>
          <m:t>0</m:t>
        </m:r>
        <m:r>
          <m:rPr>
            <m:sty m:val="p"/>
          </m:rPr>
          <m:t>,</m:t>
        </m:r>
        <m:r>
          <m:t>02</m:t>
        </m:r>
        <m:r>
          <m:t>n</m:t>
        </m:r>
      </m:oMath>
      <w:r>
        <w:t xml:space="preserve"> </w:t>
      </w:r>
      <w:r>
        <w:t xml:space="preserve">e o preço é</w:t>
      </w:r>
      <w:r>
        <w:t xml:space="preserve"> </w:t>
      </w:r>
      <m:oMath>
        <m:r>
          <m:t>p</m:t>
        </m:r>
        <m:r>
          <m:rPr>
            <m:sty m:val="p"/>
          </m:rPr>
          <m:t>=</m:t>
        </m:r>
        <m:r>
          <m:t>2</m:t>
        </m:r>
      </m:oMath>
      <w:r>
        <w:t xml:space="preserve">.</w:t>
      </w:r>
    </w:p>
    <w:p>
      <w:pPr>
        <w:pStyle w:val="BlockText"/>
        <w:numPr>
          <w:ilvl w:val="0"/>
          <w:numId w:val="2159"/>
        </w:numPr>
      </w:pPr>
      <w:r>
        <w:t xml:space="preserve">Encontre todos os equilíbrios de adoção.</w:t>
      </w:r>
    </w:p>
    <w:p>
      <w:pPr>
        <w:pStyle w:val="BlockText"/>
        <w:numPr>
          <w:ilvl w:val="0"/>
          <w:numId w:val="2159"/>
        </w:numPr>
      </w:pPr>
      <w:r>
        <w:t xml:space="preserve">Determine a massa crítica.</w:t>
      </w:r>
    </w:p>
    <w:p>
      <w:pPr>
        <w:pStyle w:val="BlockText"/>
        <w:numPr>
          <w:ilvl w:val="0"/>
          <w:numId w:val="2159"/>
        </w:numPr>
      </w:pPr>
      <w:r>
        <w:t xml:space="preserve">Qual o preço máximo que garante adoção universal?</w:t>
      </w:r>
    </w:p>
    <w:p>
      <w:pPr>
        <w:pStyle w:val="BlockText"/>
        <w:numPr>
          <w:ilvl w:val="0"/>
          <w:numId w:val="2159"/>
        </w:numPr>
      </w:pPr>
      <w:r>
        <w:t xml:space="preserve">Compare a receita com</w:t>
      </w:r>
      <w:r>
        <w:t xml:space="preserve"> </w:t>
      </w:r>
      <m:oMath>
        <m:r>
          <m:t>p</m:t>
        </m:r>
        <m:r>
          <m:rPr>
            <m:sty m:val="p"/>
          </m:rPr>
          <m:t>=</m:t>
        </m:r>
        <m:r>
          <m:t>4</m:t>
        </m:r>
      </m:oMath>
      <w:r>
        <w:t xml:space="preserve"> </w:t>
      </w:r>
      <w:r>
        <w:t xml:space="preserve">e</w:t>
      </w:r>
      <w:r>
        <w:t xml:space="preserve"> </w:t>
      </w:r>
      <m:oMath>
        <m:r>
          <m:t>p</m:t>
        </m:r>
        <m:r>
          <m:rPr>
            <m:sty m:val="p"/>
          </m:rPr>
          <m:t>=</m:t>
        </m:r>
        <m:r>
          <m:t>5</m:t>
        </m:r>
      </m:oMath>
      <w:r>
        <w:t xml:space="preserve">. O que o resultado revela sobre a relação entre preço e efeito de rede?</w:t>
      </w:r>
    </w:p>
    <w:p>
      <w:pPr>
        <w:pStyle w:val="BlockText"/>
      </w:pPr>
      <w:r>
        <w:rPr>
          <w:b/>
          <w:bCs/>
        </w:rPr>
        <w:t xml:space="preserve">Resolução.</w:t>
      </w:r>
    </w:p>
    <w:p>
      <w:pPr>
        <w:pStyle w:val="BlockText"/>
      </w:pPr>
      <w:r>
        <w:rPr>
          <w:b/>
          <w:bCs/>
        </w:rPr>
        <w:t xml:space="preserve">(a)</w:t>
      </w:r>
      <w:r>
        <w:t xml:space="preserve"> </w:t>
      </w:r>
      <w:r>
        <w:t xml:space="preserve">O usuário marginal satisfaz</w:t>
      </w:r>
      <w:r>
        <w:t xml:space="preserve"> </w:t>
      </w:r>
      <m:oMath>
        <m:sSup>
          <m:e>
            <m:r>
              <m:t>v</m:t>
            </m:r>
          </m:e>
          <m:sup>
            <m:r>
              <m:rPr>
                <m:sty m:val="p"/>
              </m:rPr>
              <m:t>*</m:t>
            </m:r>
          </m:sup>
        </m:sSup>
        <m:r>
          <m:rPr>
            <m:sty m:val="p"/>
          </m:rPr>
          <m:t>+</m:t>
        </m:r>
        <m:r>
          <m:t>0</m:t>
        </m:r>
        <m:r>
          <m:rPr>
            <m:sty m:val="p"/>
          </m:rPr>
          <m:t>,</m:t>
        </m:r>
        <m:r>
          <m:t>02</m:t>
        </m:r>
        <m:sSup>
          <m:e>
            <m:r>
              <m:t>n</m:t>
            </m:r>
          </m:e>
          <m:sup>
            <m:r>
              <m:rPr>
                <m:sty m:val="p"/>
              </m:rPr>
              <m:t>*</m:t>
            </m:r>
          </m:sup>
        </m:sSup>
        <m:r>
          <m:rPr>
            <m:sty m:val="p"/>
          </m:rPr>
          <m:t>=</m:t>
        </m:r>
        <m:r>
          <m:t>2</m:t>
        </m:r>
      </m:oMath>
      <w:r>
        <w:t xml:space="preserve">. O número de adotantes é</w:t>
      </w:r>
      <w:r>
        <w:t xml:space="preserve"> </w:t>
      </w:r>
      <m:oMath>
        <m:sSup>
          <m:e>
            <m:r>
              <m:t>n</m:t>
            </m:r>
          </m:e>
          <m:sup>
            <m:r>
              <m:rPr>
                <m:sty m:val="p"/>
              </m:rPr>
              <m:t>*</m:t>
            </m:r>
          </m:sup>
        </m:sSup>
        <m:r>
          <m:rPr>
            <m:sty m:val="p"/>
          </m:rPr>
          <m:t>=</m:t>
        </m:r>
        <m:r>
          <m:t>200</m:t>
        </m:r>
        <m:r>
          <m:rPr>
            <m:sty m:val="p"/>
          </m:rPr>
          <m:t>×</m:t>
        </m:r>
        <m:r>
          <m:rPr>
            <m:sty m:val="p"/>
          </m:rPr>
          <m:t>(</m:t>
        </m:r>
        <m:r>
          <m:t>8</m:t>
        </m:r>
        <m:r>
          <m:rPr>
            <m:sty m:val="p"/>
          </m:rPr>
          <m:t>−</m:t>
        </m:r>
        <m:sSup>
          <m:e>
            <m:r>
              <m:t>v</m:t>
            </m:r>
          </m:e>
          <m:sup>
            <m:r>
              <m:rPr>
                <m:sty m:val="p"/>
              </m:rPr>
              <m:t>*</m:t>
            </m:r>
          </m:sup>
        </m:sSup>
        <m:r>
          <m:rPr>
            <m:sty m:val="p"/>
          </m:rPr>
          <m:t>)</m:t>
        </m:r>
        <m:r>
          <m:rPr>
            <m:sty m:val="p"/>
          </m:rPr>
          <m:t>/</m:t>
        </m:r>
        <m:r>
          <m:t>8</m:t>
        </m:r>
        <m:r>
          <m:rPr>
            <m:sty m:val="p"/>
          </m:rPr>
          <m:t>=</m:t>
        </m:r>
        <m:r>
          <m:t>25</m:t>
        </m:r>
        <m:r>
          <m:rPr>
            <m:sty m:val="p"/>
          </m:rPr>
          <m:t>(</m:t>
        </m:r>
        <m:r>
          <m:t>8</m:t>
        </m:r>
        <m:r>
          <m:rPr>
            <m:sty m:val="p"/>
          </m:rPr>
          <m:t>−</m:t>
        </m:r>
        <m:sSup>
          <m:e>
            <m:r>
              <m:t>v</m:t>
            </m:r>
          </m:e>
          <m:sup>
            <m:r>
              <m:rPr>
                <m:sty m:val="p"/>
              </m:rPr>
              <m:t>*</m:t>
            </m:r>
          </m:sup>
        </m:sSup>
        <m:r>
          <m:rPr>
            <m:sty m:val="p"/>
          </m:rPr>
          <m:t>)</m:t>
        </m:r>
      </m:oMath>
      <w:r>
        <w:t xml:space="preserve">.</w:t>
      </w:r>
    </w:p>
    <w:p>
      <w:pPr>
        <w:pStyle w:val="BlockText"/>
      </w:pPr>
      <w:r>
        <w:t xml:space="preserve">Substituindo</w:t>
      </w:r>
      <w:r>
        <w:t xml:space="preserve"> </w:t>
      </w:r>
      <m:oMath>
        <m:sSup>
          <m:e>
            <m:r>
              <m:t>v</m:t>
            </m:r>
          </m:e>
          <m:sup>
            <m:r>
              <m:rPr>
                <m:sty m:val="p"/>
              </m:rPr>
              <m:t>*</m:t>
            </m:r>
          </m:sup>
        </m:sSup>
        <m:r>
          <m:rPr>
            <m:sty m:val="p"/>
          </m:rPr>
          <m:t>=</m:t>
        </m:r>
        <m:r>
          <m:t>2</m:t>
        </m:r>
        <m:r>
          <m:rPr>
            <m:sty m:val="p"/>
          </m:rPr>
          <m:t>−</m:t>
        </m:r>
        <m:r>
          <m:t>0</m:t>
        </m:r>
        <m:r>
          <m:rPr>
            <m:sty m:val="p"/>
          </m:rPr>
          <m:t>,</m:t>
        </m:r>
        <m:r>
          <m:t>02</m:t>
        </m:r>
        <m:sSup>
          <m:e>
            <m:r>
              <m:t>n</m:t>
            </m:r>
          </m:e>
          <m:sup>
            <m:r>
              <m:rPr>
                <m:sty m:val="p"/>
              </m:rPr>
              <m:t>*</m:t>
            </m:r>
          </m:sup>
        </m:sSup>
      </m:oMath>
      <w:r>
        <w:t xml:space="preserve">:</w:t>
      </w:r>
    </w:p>
    <w:p>
      <w:pPr>
        <w:pStyle w:val="BlockText"/>
      </w:pPr>
      <m:oMathPara>
        <m:oMathParaPr>
          <m:jc m:val="center"/>
        </m:oMathParaPr>
        <m:oMath>
          <m:sSup>
            <m:e>
              <m:r>
                <m:t>n</m:t>
              </m:r>
            </m:e>
            <m:sup>
              <m:r>
                <m:rPr>
                  <m:sty m:val="p"/>
                </m:rPr>
                <m:t>*</m:t>
              </m:r>
            </m:sup>
          </m:sSup>
          <m:r>
            <m:rPr>
              <m:sty m:val="p"/>
            </m:rPr>
            <m:t>=</m:t>
          </m:r>
          <m:r>
            <m:t>25</m:t>
          </m:r>
          <m:r>
            <m:rPr>
              <m:sty m:val="p"/>
            </m:rPr>
            <m:t>(</m:t>
          </m:r>
          <m:r>
            <m:t>8</m:t>
          </m:r>
          <m:r>
            <m:rPr>
              <m:sty m:val="p"/>
            </m:rPr>
            <m:t>−</m:t>
          </m:r>
          <m:r>
            <m:t>2</m:t>
          </m:r>
          <m:r>
            <m:rPr>
              <m:sty m:val="p"/>
            </m:rPr>
            <m:t>+</m:t>
          </m:r>
          <m:r>
            <m:t>0</m:t>
          </m:r>
          <m:r>
            <m:rPr>
              <m:sty m:val="p"/>
            </m:rPr>
            <m:t>,</m:t>
          </m:r>
          <m:r>
            <m:t>02</m:t>
          </m:r>
          <m:sSup>
            <m:e>
              <m:r>
                <m:t>n</m:t>
              </m:r>
            </m:e>
            <m:sup>
              <m:r>
                <m:rPr>
                  <m:sty m:val="p"/>
                </m:rPr>
                <m:t>*</m:t>
              </m:r>
            </m:sup>
          </m:sSup>
          <m:r>
            <m:rPr>
              <m:sty m:val="p"/>
            </m:rPr>
            <m:t>)</m:t>
          </m:r>
          <m:r>
            <m:rPr>
              <m:sty m:val="p"/>
            </m:rPr>
            <m:t>=</m:t>
          </m:r>
          <m:r>
            <m:t>25</m:t>
          </m:r>
          <m:r>
            <m:rPr>
              <m:sty m:val="p"/>
            </m:rPr>
            <m:t>(</m:t>
          </m:r>
          <m:r>
            <m:t>6</m:t>
          </m:r>
          <m:r>
            <m:rPr>
              <m:sty m:val="p"/>
            </m:rPr>
            <m:t>+</m:t>
          </m:r>
          <m:r>
            <m:t>0</m:t>
          </m:r>
          <m:r>
            <m:rPr>
              <m:sty m:val="p"/>
            </m:rPr>
            <m:t>,</m:t>
          </m:r>
          <m:r>
            <m:t>02</m:t>
          </m:r>
          <m:sSup>
            <m:e>
              <m:r>
                <m:t>n</m:t>
              </m:r>
            </m:e>
            <m:sup>
              <m:r>
                <m:rPr>
                  <m:sty m:val="p"/>
                </m:rPr>
                <m:t>*</m:t>
              </m:r>
            </m:sup>
          </m:sSup>
          <m:r>
            <m:rPr>
              <m:sty m:val="p"/>
            </m:rPr>
            <m:t>)</m:t>
          </m:r>
          <m:r>
            <m:rPr>
              <m:sty m:val="p"/>
            </m:rPr>
            <m:t>=</m:t>
          </m:r>
          <m:r>
            <m:t>150</m:t>
          </m:r>
          <m:r>
            <m:rPr>
              <m:sty m:val="p"/>
            </m:rPr>
            <m:t>+</m:t>
          </m:r>
          <m:r>
            <m:t>0</m:t>
          </m:r>
          <m:r>
            <m:rPr>
              <m:sty m:val="p"/>
            </m:rPr>
            <m:t>,</m:t>
          </m:r>
          <m:r>
            <m:t>5</m:t>
          </m:r>
          <m:sSup>
            <m:e>
              <m:r>
                <m:t>n</m:t>
              </m:r>
            </m:e>
            <m:sup>
              <m:r>
                <m:rPr>
                  <m:sty m:val="p"/>
                </m:rPr>
                <m:t>*</m:t>
              </m:r>
            </m:sup>
          </m:sSup>
        </m:oMath>
      </m:oMathPara>
    </w:p>
    <w:p>
      <w:pPr>
        <w:pStyle w:val="BlockText"/>
      </w:pPr>
      <m:oMathPara>
        <m:oMathParaPr>
          <m:jc m:val="center"/>
        </m:oMathParaPr>
        <m:oMath>
          <m:r>
            <m:t>0</m:t>
          </m:r>
          <m:r>
            <m:rPr>
              <m:sty m:val="p"/>
            </m:rPr>
            <m:t>,</m:t>
          </m:r>
          <m:r>
            <m:t>5</m:t>
          </m:r>
          <m:sSup>
            <m:e>
              <m:r>
                <m:t>n</m:t>
              </m:r>
            </m:e>
            <m:sup>
              <m:r>
                <m:rPr>
                  <m:sty m:val="p"/>
                </m:rPr>
                <m:t>*</m:t>
              </m:r>
            </m:sup>
          </m:sSup>
          <m:r>
            <m:rPr>
              <m:sty m:val="p"/>
            </m:rPr>
            <m:t>=</m:t>
          </m:r>
          <m:r>
            <m:t>150</m:t>
          </m:r>
          <m:r>
            <m:rPr>
              <m:sty m:val="p"/>
            </m:rPr>
            <m:t>⟹</m:t>
          </m:r>
          <m:sSup>
            <m:e>
              <m:r>
                <m:t>n</m:t>
              </m:r>
            </m:e>
            <m:sup>
              <m:r>
                <m:rPr>
                  <m:sty m:val="p"/>
                </m:rPr>
                <m:t>*</m:t>
              </m:r>
            </m:sup>
          </m:sSup>
          <m:r>
            <m:rPr>
              <m:sty m:val="p"/>
            </m:rPr>
            <m:t>=</m:t>
          </m:r>
          <m:r>
            <m:t>300</m:t>
          </m:r>
        </m:oMath>
      </m:oMathPara>
    </w:p>
    <w:p>
      <w:pPr>
        <w:pStyle w:val="BlockText"/>
      </w:pPr>
      <w:r>
        <w:t xml:space="preserve">Como</w:t>
      </w:r>
      <w:r>
        <w:t xml:space="preserve"> </w:t>
      </w:r>
      <m:oMath>
        <m:sSup>
          <m:e>
            <m:r>
              <m:t>n</m:t>
            </m:r>
          </m:e>
          <m:sup>
            <m:r>
              <m:rPr>
                <m:sty m:val="p"/>
              </m:rPr>
              <m:t>*</m:t>
            </m:r>
          </m:sup>
        </m:sSup>
        <m:r>
          <m:rPr>
            <m:sty m:val="p"/>
          </m:rPr>
          <m:t>=</m:t>
        </m:r>
        <m:r>
          <m:t>300</m:t>
        </m:r>
        <m:r>
          <m:rPr>
            <m:sty m:val="p"/>
          </m:rPr>
          <m:t>&gt;</m:t>
        </m:r>
        <m:r>
          <m:t>200</m:t>
        </m:r>
        <m:r>
          <m:rPr>
            <m:sty m:val="p"/>
          </m:rPr>
          <m:t>=</m:t>
        </m:r>
        <m:r>
          <m:t>N</m:t>
        </m:r>
      </m:oMath>
      <w:r>
        <w:t xml:space="preserve">, o equilíbrio de alta adoção tem</w:t>
      </w:r>
      <w:r>
        <w:t xml:space="preserve"> </w:t>
      </w:r>
      <m:oMath>
        <m:sSup>
          <m:e>
            <m:r>
              <m:t>n</m:t>
            </m:r>
          </m:e>
          <m:sup>
            <m:r>
              <m:rPr>
                <m:sty m:val="p"/>
              </m:rPr>
              <m:t>*</m:t>
            </m:r>
          </m:sup>
        </m:sSup>
        <m:r>
          <m:rPr>
            <m:sty m:val="p"/>
          </m:rPr>
          <m:t>=</m:t>
        </m:r>
        <m:r>
          <m:t>200</m:t>
        </m:r>
      </m:oMath>
      <w:r>
        <w:t xml:space="preserve"> </w:t>
      </w:r>
      <w:r>
        <w:t xml:space="preserve">(todos aderem). Verificação: com</w:t>
      </w:r>
      <w:r>
        <w:t xml:space="preserve"> </w:t>
      </w:r>
      <m:oMath>
        <m:r>
          <m:t>n</m:t>
        </m:r>
        <m:r>
          <m:rPr>
            <m:sty m:val="p"/>
          </m:rPr>
          <m:t>=</m:t>
        </m:r>
        <m:r>
          <m:t>200</m:t>
        </m:r>
      </m:oMath>
      <w:r>
        <w:t xml:space="preserve">, o pior usuário (</w:t>
      </w:r>
      <m:oMath>
        <m:r>
          <m:t>v</m:t>
        </m:r>
        <m:r>
          <m:rPr>
            <m:sty m:val="p"/>
          </m:rPr>
          <m:t>=</m:t>
        </m:r>
        <m:r>
          <m:t>0</m:t>
        </m:r>
      </m:oMath>
      <w:r>
        <w:t xml:space="preserve">) obtém</w:t>
      </w:r>
      <w:r>
        <w:t xml:space="preserve"> </w:t>
      </w:r>
      <m:oMath>
        <m:r>
          <m:t>0</m:t>
        </m:r>
        <m:r>
          <m:rPr>
            <m:sty m:val="p"/>
          </m:rPr>
          <m:t>+</m:t>
        </m:r>
        <m:r>
          <m:t>0</m:t>
        </m:r>
        <m:r>
          <m:rPr>
            <m:sty m:val="p"/>
          </m:rPr>
          <m:t>,</m:t>
        </m:r>
        <m:r>
          <m:t>02</m:t>
        </m:r>
        <m:r>
          <m:rPr>
            <m:sty m:val="p"/>
          </m:rPr>
          <m:t>×</m:t>
        </m:r>
        <m:r>
          <m:t>200</m:t>
        </m:r>
        <m:r>
          <m:rPr>
            <m:sty m:val="p"/>
          </m:rPr>
          <m:t>−</m:t>
        </m:r>
        <m:r>
          <m:t>2</m:t>
        </m:r>
        <m:r>
          <m:rPr>
            <m:sty m:val="p"/>
          </m:rPr>
          <m:t>=</m:t>
        </m:r>
        <m:r>
          <m:t>2</m:t>
        </m:r>
        <m:r>
          <m:rPr>
            <m:sty m:val="p"/>
          </m:rPr>
          <m:t>&gt;</m:t>
        </m:r>
        <m:r>
          <m:t>0</m:t>
        </m:r>
      </m:oMath>
      <w:r>
        <w:t xml:space="preserve">. ✓</w:t>
      </w:r>
    </w:p>
    <w:p>
      <w:pPr>
        <w:pStyle w:val="BlockText"/>
      </w:pPr>
      <w:r>
        <w:t xml:space="preserve">Equilíbrio de adoção nula: o melhor usuário (</w:t>
      </w:r>
      <m:oMath>
        <m:r>
          <m:t>v</m:t>
        </m:r>
        <m:r>
          <m:rPr>
            <m:sty m:val="p"/>
          </m:rPr>
          <m:t>=</m:t>
        </m:r>
        <m:r>
          <m:t>8</m:t>
        </m:r>
      </m:oMath>
      <w:r>
        <w:t xml:space="preserve">) obtém</w:t>
      </w:r>
      <w:r>
        <w:t xml:space="preserve"> </w:t>
      </w:r>
      <m:oMath>
        <m:r>
          <m:t>8</m:t>
        </m:r>
        <m:r>
          <m:rPr>
            <m:sty m:val="p"/>
          </m:rPr>
          <m:t>+</m:t>
        </m:r>
        <m:r>
          <m:t>0</m:t>
        </m:r>
        <m:r>
          <m:rPr>
            <m:sty m:val="p"/>
          </m:rPr>
          <m:t>−</m:t>
        </m:r>
        <m:r>
          <m:t>2</m:t>
        </m:r>
        <m:r>
          <m:rPr>
            <m:sty m:val="p"/>
          </m:rPr>
          <m:t>=</m:t>
        </m:r>
        <m:r>
          <m:t>6</m:t>
        </m:r>
        <m:r>
          <m:rPr>
            <m:sty m:val="p"/>
          </m:rPr>
          <m:t>&gt;</m:t>
        </m:r>
        <m:r>
          <m:t>0</m:t>
        </m:r>
      </m:oMath>
      <w:r>
        <w:t xml:space="preserve">, logo ele quer aderir. O equilíbrio</w:t>
      </w:r>
      <w:r>
        <w:t xml:space="preserve"> </w:t>
      </w:r>
      <m:oMath>
        <m:sSup>
          <m:e>
            <m:r>
              <m:t>n</m:t>
            </m:r>
          </m:e>
          <m:sup>
            <m:r>
              <m:rPr>
                <m:sty m:val="p"/>
              </m:rPr>
              <m:t>*</m:t>
            </m:r>
          </m:sup>
        </m:sSup>
        <m:r>
          <m:rPr>
            <m:sty m:val="p"/>
          </m:rPr>
          <m:t>=</m:t>
        </m:r>
        <m:r>
          <m:t>0</m:t>
        </m:r>
      </m:oMath>
      <w:r>
        <w:t xml:space="preserve"> </w:t>
      </w:r>
      <w:r>
        <w:rPr>
          <w:b/>
          <w:bCs/>
        </w:rPr>
        <w:t xml:space="preserve">não existe</w:t>
      </w:r>
      <w:r>
        <w:t xml:space="preserve">. Há um</w:t>
      </w:r>
      <w:r>
        <w:t xml:space="preserve"> </w:t>
      </w:r>
      <w:r>
        <w:rPr>
          <w:b/>
          <w:bCs/>
        </w:rPr>
        <w:t xml:space="preserve">único equilíbrio</w:t>
      </w:r>
      <w:r>
        <w:t xml:space="preserve">: adoção universal (</w:t>
      </w:r>
      <m:oMath>
        <m:sSup>
          <m:e>
            <m:r>
              <m:t>n</m:t>
            </m:r>
          </m:e>
          <m:sup>
            <m:r>
              <m:rPr>
                <m:sty m:val="p"/>
              </m:rPr>
              <m:t>*</m:t>
            </m:r>
          </m:sup>
        </m:sSup>
        <m:r>
          <m:rPr>
            <m:sty m:val="p"/>
          </m:rPr>
          <m:t>=</m:t>
        </m:r>
        <m:r>
          <m:t>200</m:t>
        </m:r>
      </m:oMath>
      <w:r>
        <w:t xml:space="preserve">).</w:t>
      </w:r>
    </w:p>
    <w:p>
      <w:pPr>
        <w:pStyle w:val="BlockText"/>
      </w:pPr>
      <w:r>
        <w:rPr>
          <w:b/>
          <w:bCs/>
        </w:rPr>
        <w:t xml:space="preserve">(b)</w:t>
      </w:r>
      <w:r>
        <w:t xml:space="preserve"> </w:t>
      </w:r>
      <w:r>
        <w:t xml:space="preserve">Como</w:t>
      </w:r>
      <w:r>
        <w:t xml:space="preserve"> </w:t>
      </w:r>
      <m:oMath>
        <m:sSub>
          <m:e>
            <m:r>
              <m:t>v</m:t>
            </m:r>
          </m:e>
          <m:sub>
            <m:r>
              <m:rPr>
                <m:sty m:val="p"/>
              </m:rPr>
              <m:t>max</m:t>
            </m:r>
          </m:sub>
        </m:sSub>
        <m:r>
          <m:rPr>
            <m:sty m:val="p"/>
          </m:rPr>
          <m:t>=</m:t>
        </m:r>
        <m:r>
          <m:t>8</m:t>
        </m:r>
        <m:r>
          <m:rPr>
            <m:sty m:val="p"/>
          </m:rPr>
          <m:t>&gt;</m:t>
        </m:r>
        <m:r>
          <m:t>p</m:t>
        </m:r>
        <m:r>
          <m:rPr>
            <m:sty m:val="p"/>
          </m:rPr>
          <m:t>=</m:t>
        </m:r>
        <m:r>
          <m:t>2</m:t>
        </m:r>
      </m:oMath>
      <w:r>
        <w:t xml:space="preserve">, sempre há pelo menos um agente disposto a aderir, e o feedback positivo garante adoção universal. A massa crítica é</w:t>
      </w:r>
      <w:r>
        <w:t xml:space="preserve"> </w:t>
      </w:r>
      <m:oMath>
        <m:sSub>
          <m:e>
            <m:r>
              <m:t>n</m:t>
            </m:r>
          </m:e>
          <m:sub>
            <m:r>
              <m:t>c</m:t>
            </m:r>
          </m:sub>
        </m:sSub>
        <m:r>
          <m:rPr>
            <m:sty m:val="p"/>
          </m:rPr>
          <m:t>=</m:t>
        </m:r>
        <m:r>
          <m:t>0</m:t>
        </m:r>
      </m:oMath>
      <w:r>
        <w:t xml:space="preserve">.</w:t>
      </w:r>
    </w:p>
    <w:p>
      <w:pPr>
        <w:pStyle w:val="BlockText"/>
      </w:pPr>
      <w:r>
        <w:rPr>
          <w:b/>
          <w:bCs/>
        </w:rPr>
        <w:t xml:space="preserve">(c)</w:t>
      </w:r>
      <w:r>
        <w:t xml:space="preserve"> </w:t>
      </w:r>
      <w:r>
        <w:t xml:space="preserve">Para adoção universal, o pior usuário (</w:t>
      </w:r>
      <m:oMath>
        <m:r>
          <m:t>v</m:t>
        </m:r>
        <m:r>
          <m:rPr>
            <m:sty m:val="p"/>
          </m:rPr>
          <m:t>=</m:t>
        </m:r>
        <m:r>
          <m:t>0</m:t>
        </m:r>
      </m:oMath>
      <w:r>
        <w:t xml:space="preserve">) deve querer aderir:</w:t>
      </w:r>
      <w:r>
        <w:t xml:space="preserve"> </w:t>
      </w:r>
      <m:oMath>
        <m:r>
          <m:t>0</m:t>
        </m:r>
        <m:r>
          <m:rPr>
            <m:sty m:val="p"/>
          </m:rPr>
          <m:t>+</m:t>
        </m:r>
        <m:r>
          <m:t>0</m:t>
        </m:r>
        <m:r>
          <m:rPr>
            <m:sty m:val="p"/>
          </m:rPr>
          <m:t>,</m:t>
        </m:r>
        <m:r>
          <m:t>02</m:t>
        </m:r>
        <m:r>
          <m:rPr>
            <m:sty m:val="p"/>
          </m:rPr>
          <m:t>×</m:t>
        </m:r>
        <m:r>
          <m:t>200</m:t>
        </m:r>
        <m:r>
          <m:rPr>
            <m:sty m:val="p"/>
          </m:rPr>
          <m:t>≥</m:t>
        </m:r>
        <m:r>
          <m:t>p</m:t>
        </m:r>
        <m:r>
          <m:rPr>
            <m:sty m:val="p"/>
          </m:rPr>
          <m:t>⟹</m:t>
        </m:r>
        <m:r>
          <m:t>p</m:t>
        </m:r>
        <m:r>
          <m:rPr>
            <m:sty m:val="p"/>
          </m:rPr>
          <m:t>≤</m:t>
        </m:r>
        <m:r>
          <m:t>4</m:t>
        </m:r>
      </m:oMath>
      <w:r>
        <w:t xml:space="preserve">.</w:t>
      </w:r>
    </w:p>
    <w:p>
      <w:pPr>
        <w:pStyle w:val="BlockText"/>
      </w:pPr>
      <w:r>
        <w:rPr>
          <w:b/>
          <w:bCs/>
        </w:rPr>
        <w:t xml:space="preserve">(d)</w:t>
      </w:r>
      <w:r>
        <w:t xml:space="preserve"> </w:t>
      </w:r>
      <w:r>
        <w:t xml:space="preserve">Se</w:t>
      </w:r>
      <w:r>
        <w:t xml:space="preserve"> </w:t>
      </w:r>
      <m:oMath>
        <m:r>
          <m:t>p</m:t>
        </m:r>
        <m:r>
          <m:rPr>
            <m:sty m:val="p"/>
          </m:rPr>
          <m:t>=</m:t>
        </m:r>
        <m:r>
          <m:t>4</m:t>
        </m:r>
      </m:oMath>
      <w:r>
        <w:t xml:space="preserve">: receita</w:t>
      </w:r>
      <w:r>
        <w:t xml:space="preserve"> </w:t>
      </w:r>
      <m:oMath>
        <m:r>
          <m:rPr>
            <m:sty m:val="p"/>
          </m:rPr>
          <m:t>=</m:t>
        </m:r>
        <m:r>
          <m:t>4</m:t>
        </m:r>
        <m:r>
          <m:rPr>
            <m:sty m:val="p"/>
          </m:rPr>
          <m:t>×</m:t>
        </m:r>
        <m:r>
          <m:t>200</m:t>
        </m:r>
        <m:r>
          <m:rPr>
            <m:sty m:val="p"/>
          </m:rPr>
          <m:t>=</m:t>
        </m:r>
        <m:r>
          <m:t>800</m:t>
        </m:r>
      </m:oMath>
      <w:r>
        <w:t xml:space="preserve">, adoção</w:t>
      </w:r>
      <w:r>
        <w:t xml:space="preserve"> </w:t>
      </w:r>
      <m:oMath>
        <m:r>
          <m:rPr>
            <m:sty m:val="p"/>
          </m:rPr>
          <m:t>=</m:t>
        </m:r>
        <m:r>
          <m:t>200</m:t>
        </m:r>
      </m:oMath>
      <w:r>
        <w:t xml:space="preserve">.</w:t>
      </w:r>
    </w:p>
    <w:p>
      <w:pPr>
        <w:pStyle w:val="BlockText"/>
      </w:pPr>
      <w:r>
        <w:t xml:space="preserve">Se</w:t>
      </w:r>
      <w:r>
        <w:t xml:space="preserve"> </w:t>
      </w:r>
      <m:oMath>
        <m:r>
          <m:t>p</m:t>
        </m:r>
        <m:r>
          <m:rPr>
            <m:sty m:val="p"/>
          </m:rPr>
          <m:t>=</m:t>
        </m:r>
        <m:r>
          <m:t>5</m:t>
        </m:r>
      </m:oMath>
      <w:r>
        <w:t xml:space="preserve">: resolvendo</w:t>
      </w:r>
      <w:r>
        <w:t xml:space="preserve"> </w:t>
      </w:r>
      <m:oMath>
        <m:sSup>
          <m:e>
            <m:r>
              <m:t>v</m:t>
            </m:r>
          </m:e>
          <m:sup>
            <m:r>
              <m:rPr>
                <m:sty m:val="p"/>
              </m:rPr>
              <m:t>*</m:t>
            </m:r>
          </m:sup>
        </m:sSup>
        <m:r>
          <m:rPr>
            <m:sty m:val="p"/>
          </m:rPr>
          <m:t>=</m:t>
        </m:r>
        <m:r>
          <m:t>5</m:t>
        </m:r>
        <m:r>
          <m:rPr>
            <m:sty m:val="p"/>
          </m:rPr>
          <m:t>−</m:t>
        </m:r>
        <m:r>
          <m:t>0</m:t>
        </m:r>
        <m:r>
          <m:rPr>
            <m:sty m:val="p"/>
          </m:rPr>
          <m:t>,</m:t>
        </m:r>
        <m:r>
          <m:t>02</m:t>
        </m:r>
        <m:r>
          <m:rPr>
            <m:sty m:val="p"/>
          </m:rPr>
          <m:t>×</m:t>
        </m:r>
        <m:r>
          <m:t>25</m:t>
        </m:r>
        <m:r>
          <m:rPr>
            <m:sty m:val="p"/>
          </m:rPr>
          <m:t>(</m:t>
        </m:r>
        <m:r>
          <m:t>8</m:t>
        </m:r>
        <m:r>
          <m:rPr>
            <m:sty m:val="p"/>
          </m:rPr>
          <m:t>−</m:t>
        </m:r>
        <m:sSup>
          <m:e>
            <m:r>
              <m:t>v</m:t>
            </m:r>
          </m:e>
          <m:sup>
            <m:r>
              <m:rPr>
                <m:sty m:val="p"/>
              </m:rPr>
              <m:t>*</m:t>
            </m:r>
          </m:sup>
        </m:sSup>
        <m:r>
          <m:rPr>
            <m:sty m:val="p"/>
          </m:rPr>
          <m:t>)</m:t>
        </m:r>
      </m:oMath>
      <w:r>
        <w:t xml:space="preserve">, obtemos</w:t>
      </w:r>
      <w:r>
        <w:t xml:space="preserve"> </w:t>
      </w:r>
      <m:oMath>
        <m:sSup>
          <m:e>
            <m:r>
              <m:t>v</m:t>
            </m:r>
          </m:e>
          <m:sup>
            <m:r>
              <m:rPr>
                <m:sty m:val="p"/>
              </m:rPr>
              <m:t>*</m:t>
            </m:r>
          </m:sup>
        </m:sSup>
        <m:r>
          <m:rPr>
            <m:sty m:val="p"/>
          </m:rPr>
          <m:t>=</m:t>
        </m:r>
        <m:r>
          <m:t>2</m:t>
        </m:r>
      </m:oMath>
      <w:r>
        <w:t xml:space="preserve">,</w:t>
      </w:r>
      <w:r>
        <w:t xml:space="preserve"> </w:t>
      </w:r>
      <m:oMath>
        <m:r>
          <m:t>n</m:t>
        </m:r>
        <m:r>
          <m:rPr>
            <m:sty m:val="p"/>
          </m:rPr>
          <m:t>=</m:t>
        </m:r>
        <m:r>
          <m:t>150</m:t>
        </m:r>
      </m:oMath>
      <w:r>
        <w:t xml:space="preserve">. Receita</w:t>
      </w:r>
      <w:r>
        <w:t xml:space="preserve"> </w:t>
      </w:r>
      <m:oMath>
        <m:r>
          <m:rPr>
            <m:sty m:val="p"/>
          </m:rPr>
          <m:t>=</m:t>
        </m:r>
        <m:r>
          <m:t>5</m:t>
        </m:r>
        <m:r>
          <m:rPr>
            <m:sty m:val="p"/>
          </m:rPr>
          <m:t>×</m:t>
        </m:r>
        <m:r>
          <m:t>150</m:t>
        </m:r>
        <m:r>
          <m:rPr>
            <m:sty m:val="p"/>
          </m:rPr>
          <m:t>=</m:t>
        </m:r>
        <m:r>
          <m:t>750</m:t>
        </m:r>
      </m:oMath>
      <w:r>
        <w:t xml:space="preserve">.</w:t>
      </w:r>
    </w:p>
    <w:p>
      <w:pPr>
        <w:pStyle w:val="BlockText"/>
      </w:pPr>
      <w:r>
        <w:t xml:space="preserve">Com</w:t>
      </w:r>
      <w:r>
        <w:t xml:space="preserve"> </w:t>
      </w:r>
      <m:oMath>
        <m:r>
          <m:t>p</m:t>
        </m:r>
        <m:r>
          <m:rPr>
            <m:sty m:val="p"/>
          </m:rPr>
          <m:t>=</m:t>
        </m:r>
        <m:r>
          <m:t>5</m:t>
        </m:r>
      </m:oMath>
      <w:r>
        <w:t xml:space="preserve">, a receita</w:t>
      </w:r>
      <w:r>
        <w:t xml:space="preserve"> </w:t>
      </w:r>
      <w:r>
        <w:rPr>
          <w:b/>
          <w:bCs/>
        </w:rPr>
        <w:t xml:space="preserve">cai</w:t>
      </w:r>
      <w:r>
        <w:t xml:space="preserve"> </w:t>
      </w:r>
      <w:r>
        <w:t xml:space="preserve">(750 &lt; 800) apesar do preço maior, porque a perda de 50 usuários reduz o efeito de rede. Em mercados com efeitos de rede, pode ser ótimo cobrar menos para maximizar a receita total.</w:t>
      </w:r>
    </w:p>
    <w:p>
      <w:pPr>
        <w:pStyle w:val="BlockText"/>
      </w:pPr>
      <w:r>
        <w:rPr>
          <w:b/>
          <w:bCs/>
        </w:rPr>
        <w:t xml:space="preserve">[BOX BRASIL] Box Brasil 21.3 — Mercado Livre: de startup a ecossistema bilateral</w:t>
      </w:r>
    </w:p>
    <w:p>
      <w:pPr>
        <w:pStyle w:val="BlockText"/>
      </w:pPr>
      <w:r>
        <w:rPr>
          <w:b/>
          <w:bCs/>
        </w:rPr>
        <w:t xml:space="preserve">Contexto:</w:t>
      </w:r>
      <w:r>
        <w:t xml:space="preserve"> </w:t>
      </w:r>
      <w:r>
        <w:t xml:space="preserve">Fundado em Buenos Aires em 1999 por Marcos Galperin, o Mercado Livre cresceu para se tornar a maior plataforma de comércio eletrônico da América Latina, com mais de 200 milhões de usuários em 18 países. No Brasil, seu maior mercado, a empresa movimentou mais de R$ 170 bilhões em volume bruto de mercadorias (GMV) em 2023.</w:t>
      </w:r>
    </w:p>
    <w:p>
      <w:pPr>
        <w:pStyle w:val="BlockText"/>
      </w:pPr>
      <w:r>
        <w:rPr>
          <w:b/>
          <w:bCs/>
        </w:rPr>
        <w:t xml:space="preserve">Dados:</w:t>
      </w:r>
      <w:r>
        <w:t xml:space="preserve"> </w:t>
      </w:r>
      <w:r>
        <w:t xml:space="preserve">A estratégia do Mercado Livre ilustra o envelopment sequencial (Seção 21.4.3) aplicado ao contexto latino-americano: (1) marketplace de compra e venda (1999); (2) sistema de pagamentos — Mercado Pago (2003); (3) logística — Mercado Envios (2013); (4) crédito — Mercado Crédito (2016); (5) loja de aplicativos — Mercado Shops (2020); (6) streaming de vídeo — Mercado Play (2023). O Mercado Pago, sozinho, processava mais de 1 bilhão de transações por trimestre em 2024, rivalizando com os grandes bancos brasileiros.</w:t>
      </w:r>
    </w:p>
    <w:p>
      <w:pPr>
        <w:pStyle w:val="BlockText"/>
      </w:pPr>
      <w:r>
        <w:rPr>
          <w:b/>
          <w:bCs/>
        </w:rPr>
        <w:t xml:space="preserve">Análise:</w:t>
      </w:r>
      <w:r>
        <w:t xml:space="preserve"> </w:t>
      </w:r>
      <w:r>
        <w:t xml:space="preserve">Cada camada do ecossistema reforça os efeitos de rede cruzados: mais compradores atraem mais vendedores; o sistema de pagamentos integrado reduz custos de transação; a logística própria melhora a experiência do comprador e fideliza vendedores. O resultado é um ciclo de retroalimentação que eleva barreiras à entrada e gera poder de mercado — suscitando investigações do CADE sobre práticas potencialmente anticompetitivas, como a auto-preferência nos resultados de busca dentro da plataforma.</w:t>
      </w:r>
    </w:p>
    <w:p>
      <w:pPr>
        <w:pStyle w:val="BlockText"/>
      </w:pPr>
      <w:r>
        <w:rPr>
          <w:b/>
          <w:bCs/>
        </w:rPr>
        <w:t xml:space="preserve">Fonte:</w:t>
      </w:r>
      <w:r>
        <w:t xml:space="preserve"> </w:t>
      </w:r>
      <w:r>
        <w:t xml:space="preserve">Mercado Libre Inc. — Annual Report 2023 (SEC Filing 20-F). CADE — Inquérito Administrativo sobre Mercados Digitais (2022).</w:t>
      </w:r>
    </w:p>
    <w:bookmarkEnd w:id="1331"/>
    <w:bookmarkStart w:id="1332" w:name="Xd4dba0783daabf31a43ce728ae5505e5b301d2a"/>
    <w:p>
      <w:pPr>
        <w:pStyle w:val="Heading4"/>
      </w:pPr>
      <w:r>
        <w:t xml:space="preserve">21.7.4 Leilões de espectro e o 5G brasileiro</w:t>
      </w:r>
    </w:p>
    <w:p>
      <w:pPr>
        <w:pStyle w:val="FirstParagraph"/>
      </w:pPr>
      <w:r>
        <w:t xml:space="preserve">Os leilões de espectro eletromagnético para telecomunicações são talvez a aplicação mais espetacular e consequente da teoria de leilões (Capítulo 9c) no mundo real. A cada geração tecnológica (3G, 4G, 5G), governos leiloam faixas de frequência para operadoras — e o desenho do leilão tem implicações bilionárias.</w:t>
      </w:r>
    </w:p>
    <w:p>
      <w:pPr>
        <w:pStyle w:val="BodyText"/>
      </w:pPr>
      <w:r>
        <w:rPr>
          <w:b/>
          <w:bCs/>
        </w:rPr>
        <w:t xml:space="preserve">O leilão do 5G no Brasil (2021):</w:t>
      </w:r>
    </w:p>
    <w:p>
      <w:pPr>
        <w:pStyle w:val="BodyText"/>
      </w:pPr>
      <w:r>
        <w:t xml:space="preserve">O leilão de frequências para o 5G, conduzido pela Anatel em novembro de 2021, foi o maior da história das telecomunicações brasileiras, arrecadando R$ 47,2 bilhões (R$ 8,6 bilhões em outorgas + R$ 38,6 bilhões em compromissos de investimento). O desenho do leilão incorporou elementos sofisticados da teoria de mecanismos:</w:t>
      </w:r>
    </w:p>
    <w:p>
      <w:pPr>
        <w:pStyle w:val="Compact"/>
        <w:numPr>
          <w:ilvl w:val="0"/>
          <w:numId w:val="2160"/>
        </w:numPr>
      </w:pPr>
      <w:r>
        <w:rPr>
          <w:b/>
          <w:bCs/>
        </w:rPr>
        <w:t xml:space="preserve">Formato</w:t>
      </w:r>
      <w:r>
        <w:t xml:space="preserve">: leilão de múltiplos itens com rodadas ascendentes (</w:t>
      </w:r>
      <w:r>
        <w:rPr>
          <w:i/>
          <w:iCs/>
        </w:rPr>
        <w:t xml:space="preserve">Simultaneous Multiple Round Ascending</w:t>
      </w:r>
      <w:r>
        <w:t xml:space="preserve"> </w:t>
      </w:r>
      <w:r>
        <w:t xml:space="preserve">— SMRA), semelhante ao formato usado pelo FCC americano desde 1994 e desenhado por Paul Milgrom e Robert Wilson (Nobel 2020).</w:t>
      </w:r>
    </w:p>
    <w:p>
      <w:pPr>
        <w:pStyle w:val="Compact"/>
        <w:numPr>
          <w:ilvl w:val="0"/>
          <w:numId w:val="2160"/>
        </w:numPr>
      </w:pPr>
      <w:r>
        <w:rPr>
          <w:b/>
          <w:bCs/>
        </w:rPr>
        <w:t xml:space="preserve">Bandas leiloadas</w:t>
      </w:r>
      <w:r>
        <w:t xml:space="preserve">: 700 MHz (cobertura rural), 2,3 GHz, 3,5 GHz (banda principal do 5G) e 26 GHz (ondas milimétricas para alta densidade urbana).</w:t>
      </w:r>
    </w:p>
    <w:p>
      <w:pPr>
        <w:pStyle w:val="Compact"/>
        <w:numPr>
          <w:ilvl w:val="0"/>
          <w:numId w:val="2160"/>
        </w:numPr>
      </w:pPr>
      <w:r>
        <w:rPr>
          <w:b/>
          <w:bCs/>
        </w:rPr>
        <w:t xml:space="preserve">Compromissos de investimento</w:t>
      </w:r>
      <w:r>
        <w:t xml:space="preserve">: além do preço da outorga, os vencedores assumiram obrigações de cobertura — levar 4G a municípios sem cobertura, construir rede privativa para o governo federal e instalar fibra óptica em escolas públicas.</w:t>
      </w:r>
    </w:p>
    <w:p>
      <w:pPr>
        <w:pStyle w:val="BlockText"/>
      </w:pPr>
      <w:r>
        <w:rPr>
          <w:b/>
          <w:bCs/>
        </w:rPr>
        <w:t xml:space="preserve">[INFORMACAO] Prêmio Nobel 2020 — Paul Milgrom e Robert Wilson</w:t>
      </w:r>
    </w:p>
    <w:p>
      <w:pPr>
        <w:pStyle w:val="BlockText"/>
      </w:pPr>
      <w:r>
        <w:rPr>
          <w:b/>
          <w:bCs/>
        </w:rPr>
        <w:t xml:space="preserve">Paul Milgrom</w:t>
      </w:r>
      <w:r>
        <w:t xml:space="preserve"> </w:t>
      </w:r>
      <w:r>
        <w:t xml:space="preserve">(1948–presente) e</w:t>
      </w:r>
      <w:r>
        <w:t xml:space="preserve"> </w:t>
      </w:r>
      <w:r>
        <w:rPr>
          <w:b/>
          <w:bCs/>
        </w:rPr>
        <w:t xml:space="preserve">Robert Wilson</w:t>
      </w:r>
      <w:r>
        <w:t xml:space="preserve"> </w:t>
      </w:r>
      <w:r>
        <w:t xml:space="preserve">(1937–presente), ambos da Stanford University, foram premiados por melhorias na teoria de leilões e invenções de novos formatos de leilão.</w:t>
      </w:r>
    </w:p>
    <w:p>
      <w:pPr>
        <w:pStyle w:val="BlockText"/>
      </w:pPr>
      <w:r>
        <w:rPr>
          <w:b/>
          <w:bCs/>
        </w:rPr>
        <w:t xml:space="preserve">Por que ganharam o Nobel:</w:t>
      </w:r>
      <w:r>
        <w:t xml:space="preserve"> </w:t>
      </w:r>
      <w:r>
        <w:t xml:space="preserve">Wilson desenvolveu a teoria para leilões de objetos com valor comum (onde compradores incertos estimam um valor compartilhado — como direitos minerais). Milgrom generalizou o framework para valores privados e comuns combinados e, crucialmente, inventou novos formatos de leilão (como o</w:t>
      </w:r>
      <w:r>
        <w:t xml:space="preserve"> </w:t>
      </w:r>
      <w:r>
        <w:rPr>
          <w:i/>
          <w:iCs/>
        </w:rPr>
        <w:t xml:space="preserve">Simultaneous Multiple Round Auction</w:t>
      </w:r>
      <w:r>
        <w:t xml:space="preserve">) que foram adotados por governos do mundo inteiro para leiloar espectro, energia e outros recursos.</w:t>
      </w:r>
    </w:p>
    <w:p>
      <w:pPr>
        <w:pStyle w:val="BlockText"/>
      </w:pPr>
      <w:r>
        <w:rPr>
          <w:b/>
          <w:bCs/>
        </w:rPr>
        <w:t xml:space="preserve">Conexão com este capítulo:</w:t>
      </w:r>
      <w:r>
        <w:t xml:space="preserve"> </w:t>
      </w:r>
      <w:r>
        <w:t xml:space="preserve">Os leilões de espectro 5G são a aplicação direta do trabalho de Milgrom-Wilson: o formato SMRA permite que os licitantes observem os lances dos concorrentes entre rodadas, reduzindo a</w:t>
      </w:r>
      <w:r>
        <w:t xml:space="preserve"> </w:t>
      </w:r>
      <w:r>
        <w:t xml:space="preserve">“maldição do vencedor”</w:t>
      </w:r>
      <w:r>
        <w:t xml:space="preserve"> </w:t>
      </w:r>
      <w:r>
        <w:t xml:space="preserve">(Seção 9c.3) e aumentando a eficiência alocativa — exatamente como a teoria prevê.</w:t>
      </w:r>
    </w:p>
    <w:p>
      <w:pPr>
        <w:pStyle w:val="FirstParagraph"/>
      </w:pPr>
      <w:r>
        <w:rPr>
          <w:b/>
          <w:bCs/>
        </w:rPr>
        <w:t xml:space="preserve">Desafio de design</w:t>
      </w:r>
      <w:r>
        <w:t xml:space="preserve">: o leilão do 5G brasileiro precisou equilibrar três objetivos em tensão — (a) maximizar a arrecadação (receita do governo), (b) promover a competição (evitar concentração excessiva de espectro) e (c) garantir cobertura universal (obrigações de investimento). Esse trade-off tripartite é uma instância do problema geral de desenho de mecanismos (Seção 9c.5): nenhum mecanismo pode maximizar simultaneamente todos os objetivos, e a escolha do formato reflete prioridades de política pública.</w:t>
      </w:r>
    </w:p>
    <w:p>
      <w:pPr>
        <w:pStyle w:val="BlockText"/>
      </w:pPr>
      <w:r>
        <w:rPr>
          <w:b/>
          <w:bCs/>
        </w:rPr>
        <w:t xml:space="preserve">[BOX BRASIL] Box Brasil — Resultados do leilão 5G e impacto econômico</w:t>
      </w:r>
    </w:p>
    <w:p>
      <w:pPr>
        <w:pStyle w:val="BlockText"/>
      </w:pPr>
      <w:r>
        <w:rPr>
          <w:b/>
          <w:bCs/>
        </w:rPr>
        <w:t xml:space="preserve">Dados:</w:t>
      </w:r>
      <w:r>
        <w:t xml:space="preserve"> </w:t>
      </w:r>
      <w:r>
        <w:t xml:space="preserve">As três grandes operadoras (Vivo, Claro, TIM) arremataram as faixas principais. A Vivo levou o maior lote de 3,5 GHz por R$ 1,4 bilhão em outorga. A surpresa foi a entrada da Brisanet e da Cloud2U em faixas regionais, sinalizando contestabilidade no mercado. O compromisso de cobertura inclui: 5G em todas as capitais até julho de 2025; cobertura 4G em 100% dos municípios até 2028; e fibra óptica em 35.000 escolas públicas.</w:t>
      </w:r>
    </w:p>
    <w:p>
      <w:pPr>
        <w:pStyle w:val="BlockText"/>
      </w:pPr>
      <w:r>
        <w:rPr>
          <w:b/>
          <w:bCs/>
        </w:rPr>
        <w:t xml:space="preserve">Análise:</w:t>
      </w:r>
      <w:r>
        <w:t xml:space="preserve"> </w:t>
      </w:r>
      <w:r>
        <w:t xml:space="preserve">O formato com compromissos de investimento é uma inovação de design que reconhece que, no contexto brasileiro, a cobertura universal é um bem público que o mercado sozinho não provê (Capítulo 20). Ao vincular a concessão de espectro a obrigações de investimento, o regulador usa o leilão como mecanismo de provisão de bem público — os ganhos de eficiência do 5G nas áreas urbanas financiam a expansão de cobertura em áreas rurais onde o retorno privado seria insuficiente.</w:t>
      </w:r>
    </w:p>
    <w:p>
      <w:pPr>
        <w:pStyle w:val="BlockText"/>
      </w:pPr>
      <w:r>
        <w:rPr>
          <w:b/>
          <w:bCs/>
        </w:rPr>
        <w:t xml:space="preserve">Fonte:</w:t>
      </w:r>
      <w:r>
        <w:t xml:space="preserve"> </w:t>
      </w:r>
      <w:r>
        <w:t xml:space="preserve">Anatel — Resultado do Leilão 5G (2021). Teleco — Dados do Setor de Telecomunicações (2024).</w:t>
      </w:r>
    </w:p>
    <w:p>
      <w:r>
        <w:pict>
          <v:rect style="width:0;height:1.5pt" o:hralign="center" o:hrstd="t" o:hr="t"/>
        </w:pict>
      </w:r>
    </w:p>
    <w:p>
      <w:pPr>
        <w:pStyle w:val="FirstParagraph"/>
      </w:pPr>
      <w:r>
        <w:t xml:space="preserve">A economia digital que analisamos neste capítulo — de bens de informação com custo marginal zero a leilões em milissegundos, de plataformas bilaterais a algoritmos que aprendem a coludir — não é um apêndice da microeconomia tradicional. É, cada vez mais,</w:t>
      </w:r>
      <w:r>
        <w:t xml:space="preserve"> </w:t>
      </w:r>
      <w:r>
        <w:rPr>
          <w:i/>
          <w:iCs/>
        </w:rPr>
        <w:t xml:space="preserve">a</w:t>
      </w:r>
      <w:r>
        <w:t xml:space="preserve"> </w:t>
      </w:r>
      <w:r>
        <w:t xml:space="preserve">microeconomia do século XXI. Os modelos formalizados aqui — efeitos de rede (Seção 21.2), mercados bilaterais (Seção 21.3), economia da atenção (Seção 21.5) — estendem e, em alguns casos, desafiam os resultados clássicos dos Capítulos 13–16. A boa notícia é que o arsenal analítico que construímos ao longo do livro — teoria dos jogos, monopólio, oligopólio, informação assimétrica, mecanismos — fornece as ferramentas certas para enfrentar esses desafios. A notícia desafiadora é que a velocidade de transformação dos mercados digitais exige que economistas atualizem seus modelos tão rápido quanto os algoritmos atualizam seus preços.</w:t>
      </w:r>
    </w:p>
    <w:bookmarkEnd w:id="1332"/>
    <w:bookmarkEnd w:id="1333"/>
    <w:bookmarkEnd w:id="1334"/>
    <w:bookmarkStart w:id="1342" w:name="exercícios-e-anpec-capítulo-21"/>
    <w:p>
      <w:pPr>
        <w:pStyle w:val="Heading2"/>
      </w:pPr>
      <w:r>
        <w:t xml:space="preserve">Exercícios e ANPEC — Capítulo 21</w:t>
      </w:r>
    </w:p>
    <w:p>
      <w:pPr>
        <w:pStyle w:val="BlockText"/>
      </w:pPr>
      <w:r>
        <w:rPr>
          <w:b/>
          <w:bCs/>
        </w:rPr>
        <w:t xml:space="preserve">[DICA] Dados para exercicios empiricos</w:t>
      </w:r>
    </w:p>
    <w:p>
      <w:pPr>
        <w:pStyle w:val="Compact"/>
        <w:numPr>
          <w:ilvl w:val="0"/>
          <w:numId w:val="2161"/>
        </w:numPr>
      </w:pPr>
      <w:r>
        <w:rPr>
          <w:b/>
          <w:bCs/>
        </w:rPr>
        <w:t xml:space="preserve">CADE (plataformas digitais):</w:t>
      </w:r>
      <w:r>
        <w:t xml:space="preserve"> </w:t>
      </w:r>
      <w:hyperlink r:id="rId951">
        <w:r>
          <w:rPr>
            <w:rStyle w:val="Hyperlink"/>
          </w:rPr>
          <w:t xml:space="preserve">gov.br/cade</w:t>
        </w:r>
      </w:hyperlink>
      <w:r>
        <w:t xml:space="preserve"> </w:t>
      </w:r>
      <w:r>
        <w:t xml:space="preserve">— Estudo</w:t>
      </w:r>
      <w:r>
        <w:t xml:space="preserve"> </w:t>
      </w:r>
      <w:r>
        <w:t xml:space="preserve">“Concorrencia em Mercados Digitais”</w:t>
      </w:r>
      <w:r>
        <w:t xml:space="preserve"> </w:t>
      </w:r>
      <w:r>
        <w:t xml:space="preserve">(CADE, 2020) com dados de concentracao de mercado em plataformas no Brasil.</w:t>
      </w:r>
    </w:p>
    <w:p>
      <w:pPr>
        <w:pStyle w:val="Compact"/>
        <w:numPr>
          <w:ilvl w:val="0"/>
          <w:numId w:val="2161"/>
        </w:numPr>
      </w:pPr>
      <w:r>
        <w:rPr>
          <w:b/>
          <w:bCs/>
        </w:rPr>
        <w:t xml:space="preserve">Anatel (telecomunicacoes e 5G):</w:t>
      </w:r>
      <w:r>
        <w:t xml:space="preserve"> </w:t>
      </w:r>
      <w:hyperlink r:id="rId1335">
        <w:r>
          <w:rPr>
            <w:rStyle w:val="Hyperlink"/>
          </w:rPr>
          <w:t xml:space="preserve">anatel.gov.br/dados</w:t>
        </w:r>
      </w:hyperlink>
      <w:r>
        <w:t xml:space="preserve"> </w:t>
      </w:r>
      <w:r>
        <w:t xml:space="preserve">— Dados de acessos por operadora para medir concentracao (HHI) e efeitos de rede no mercado de telecom.</w:t>
      </w:r>
    </w:p>
    <w:p>
      <w:pPr>
        <w:pStyle w:val="Compact"/>
        <w:numPr>
          <w:ilvl w:val="0"/>
          <w:numId w:val="2161"/>
        </w:numPr>
      </w:pPr>
      <w:r>
        <w:rPr>
          <w:b/>
          <w:bCs/>
        </w:rPr>
        <w:t xml:space="preserve">Google Trends Brasil:</w:t>
      </w:r>
      <w:r>
        <w:t xml:space="preserve"> </w:t>
      </w:r>
      <w:hyperlink r:id="rId1336">
        <w:r>
          <w:rPr>
            <w:rStyle w:val="Hyperlink"/>
          </w:rPr>
          <w:t xml:space="preserve">trends.google.com.br</w:t>
        </w:r>
      </w:hyperlink>
      <w:r>
        <w:t xml:space="preserve"> </w:t>
      </w:r>
      <w:r>
        <w:t xml:space="preserve">— Dados de volume de busca para analisar economia da atencao e tipping points em adocao de plataformas.</w:t>
      </w:r>
    </w:p>
    <w:p>
      <w:pPr>
        <w:pStyle w:val="Compact"/>
        <w:numPr>
          <w:ilvl w:val="0"/>
          <w:numId w:val="2161"/>
        </w:numPr>
      </w:pPr>
      <w:r>
        <w:rPr>
          <w:b/>
          <w:bCs/>
        </w:rPr>
        <w:t xml:space="preserve">Leilao do 5G (2021):</w:t>
      </w:r>
      <w:r>
        <w:t xml:space="preserve"> </w:t>
      </w:r>
      <w:r>
        <w:t xml:space="preserve">Dados publicos do leilao da Anatel para aplicar teoria de leiloes (Cap. 9c) ao contexto digital.</w:t>
      </w:r>
    </w:p>
    <w:bookmarkStart w:id="1337" w:name="perguntas-de-revisão-1"/>
    <w:p>
      <w:pPr>
        <w:pStyle w:val="Heading3"/>
      </w:pPr>
      <w:r>
        <w:t xml:space="preserve">Perguntas de Revisão</w:t>
      </w:r>
    </w:p>
    <w:p>
      <w:pPr>
        <w:pStyle w:val="BlockText"/>
      </w:pPr>
      <w:r>
        <w:rPr>
          <w:b/>
          <w:bCs/>
        </w:rPr>
        <w:t xml:space="preserve">[QUESTAO] 1. Por que bens de informação têm custo marginal próximo de zero?</w:t>
      </w:r>
    </w:p>
    <w:p>
      <w:pPr>
        <w:pStyle w:val="BlockText"/>
      </w:pPr>
      <w:r>
        <w:t xml:space="preserve">Bens de informação (software, música, dados, algoritmos) concentram seus custos na</w:t>
      </w:r>
      <w:r>
        <w:t xml:space="preserve"> </w:t>
      </w:r>
      <w:r>
        <w:rPr>
          <w:b/>
          <w:bCs/>
        </w:rPr>
        <w:t xml:space="preserve">primeira cópia</w:t>
      </w:r>
      <w:r>
        <w:t xml:space="preserve"> </w:t>
      </w:r>
      <w:r>
        <w:t xml:space="preserve">— o desenvolvimento é caro, mas a reprodução e distribuição digital são essencialmente gratuitas. A estrutura de custos é</w:t>
      </w:r>
      <w:r>
        <w:t xml:space="preserve"> </w:t>
      </w:r>
      <m:oMath>
        <m:r>
          <m:t>C</m:t>
        </m:r>
        <m:r>
          <m:rPr>
            <m:sty m:val="p"/>
          </m:rPr>
          <m:t>(</m:t>
        </m:r>
        <m:r>
          <m:t>q</m:t>
        </m:r>
        <m:r>
          <m:rPr>
            <m:sty m:val="p"/>
          </m:rPr>
          <m:t>)</m:t>
        </m:r>
        <m:r>
          <m:rPr>
            <m:sty m:val="p"/>
          </m:rPr>
          <m:t>=</m:t>
        </m:r>
        <m:r>
          <m:t>F</m:t>
        </m:r>
        <m:r>
          <m:rPr>
            <m:sty m:val="p"/>
          </m:rPr>
          <m:t>+</m:t>
        </m:r>
        <m:r>
          <m:t>c</m:t>
        </m:r>
        <m:r>
          <m:t>q</m:t>
        </m:r>
      </m:oMath>
      <w:r>
        <w:t xml:space="preserve"> </w:t>
      </w:r>
      <w:r>
        <w:t xml:space="preserve">com</w:t>
      </w:r>
      <w:r>
        <w:t xml:space="preserve"> </w:t>
      </w:r>
      <m:oMath>
        <m:r>
          <m:t>F</m:t>
        </m:r>
        <m:r>
          <m:rPr>
            <m:sty m:val="p"/>
          </m:rPr>
          <m:t>≫</m:t>
        </m:r>
        <m:r>
          <m:t>0</m:t>
        </m:r>
      </m:oMath>
      <w:r>
        <w:t xml:space="preserve"> </w:t>
      </w:r>
      <w:r>
        <w:t xml:space="preserve">e</w:t>
      </w:r>
      <w:r>
        <w:t xml:space="preserve"> </w:t>
      </w:r>
      <m:oMath>
        <m:r>
          <m:t>c</m:t>
        </m:r>
        <m:r>
          <m:rPr>
            <m:sty m:val="p"/>
          </m:rPr>
          <m:t>≈</m:t>
        </m:r>
        <m:r>
          <m:t>0</m:t>
        </m:r>
      </m:oMath>
      <w:r>
        <w:t xml:space="preserve">. Isso gera economias de escala extremas e mercados que tendem ao monopólio natural (Seção 21.1).</w:t>
      </w:r>
    </w:p>
    <w:p>
      <w:pPr>
        <w:pStyle w:val="BlockText"/>
      </w:pPr>
      <w:r>
        <w:rPr>
          <w:b/>
          <w:bCs/>
        </w:rPr>
        <w:t xml:space="preserve">[QUESTAO] 2. Qual a diferença entre efeitos de rede diretos e indiretos?</w:t>
      </w:r>
    </w:p>
    <w:p>
      <w:pPr>
        <w:pStyle w:val="BlockText"/>
      </w:pPr>
      <w:r>
        <w:rPr>
          <w:b/>
          <w:bCs/>
        </w:rPr>
        <w:t xml:space="preserve">Diretos</w:t>
      </w:r>
      <w:r>
        <w:t xml:space="preserve">: o valor do produto para um usuário aumenta com o número de outros usuários do</w:t>
      </w:r>
      <w:r>
        <w:t xml:space="preserve"> </w:t>
      </w:r>
      <w:r>
        <w:rPr>
          <w:i/>
          <w:iCs/>
        </w:rPr>
        <w:t xml:space="preserve">mesmo</w:t>
      </w:r>
      <w:r>
        <w:t xml:space="preserve"> </w:t>
      </w:r>
      <w:r>
        <w:t xml:space="preserve">produto (WhatsApp: mais contatos = mais valor).</w:t>
      </w:r>
      <w:r>
        <w:t xml:space="preserve"> </w:t>
      </w:r>
      <w:r>
        <w:rPr>
          <w:b/>
          <w:bCs/>
        </w:rPr>
        <w:t xml:space="preserve">Indiretos</w:t>
      </w:r>
      <w:r>
        <w:t xml:space="preserve"> </w:t>
      </w:r>
      <w:r>
        <w:t xml:space="preserve">(cruzados): o valor para usuários de um lado aumenta com participantes do</w:t>
      </w:r>
      <w:r>
        <w:t xml:space="preserve"> </w:t>
      </w:r>
      <w:r>
        <w:rPr>
          <w:i/>
          <w:iCs/>
        </w:rPr>
        <w:t xml:space="preserve">outro</w:t>
      </w:r>
      <w:r>
        <w:t xml:space="preserve"> </w:t>
      </w:r>
      <w:r>
        <w:t xml:space="preserve">lado (iPhone: mais desenvolvedores = mais apps = mais valor para consumidores). Efeitos indiretos são a base dos mercados bilaterais (Seção 21.2).</w:t>
      </w:r>
    </w:p>
    <w:p>
      <w:pPr>
        <w:pStyle w:val="BlockText"/>
      </w:pPr>
      <w:r>
        <w:rPr>
          <w:b/>
          <w:bCs/>
        </w:rPr>
        <w:t xml:space="preserve">[QUESTAO] 3. Explique por que plataformas como Google oferecem serviços gratuitos.</w:t>
      </w:r>
    </w:p>
    <w:p>
      <w:pPr>
        <w:pStyle w:val="BlockText"/>
      </w:pPr>
      <w:r>
        <w:t xml:space="preserve">Plataformas bilaterais seguem a lógica do</w:t>
      </w:r>
      <w:r>
        <w:t xml:space="preserve"> </w:t>
      </w:r>
      <w:r>
        <w:rPr>
          <w:b/>
          <w:bCs/>
        </w:rPr>
        <w:t xml:space="preserve">subsídio cruzado</w:t>
      </w:r>
      <w:r>
        <w:t xml:space="preserve"> </w:t>
      </w:r>
      <w:r>
        <w:t xml:space="preserve">(Rochet e Tirole, 2003): subsidiam o lado que gera maior externalidade para o outro lado e/ou que tem maior elasticidade-preço. O Google é gratuito para usuários (lado subsidiado) porque a presença de bilhões de buscas torna a plataforma irresistivelmente valiosa para anunciantes (lado pagante), que pagam pelo acesso à atenção dos usuários (Seções 21.3 e 21.5).</w:t>
      </w:r>
    </w:p>
    <w:p>
      <w:pPr>
        <w:pStyle w:val="BlockText"/>
      </w:pPr>
      <w:r>
        <w:rPr>
          <w:b/>
          <w:bCs/>
        </w:rPr>
        <w:t xml:space="preserve">[QUESTAO] 4. O que é tipping e por que ocorre em mercados digitais?</w:t>
      </w:r>
    </w:p>
    <w:p>
      <w:pPr>
        <w:pStyle w:val="BlockText"/>
      </w:pPr>
      <w:r>
        <w:rPr>
          <w:b/>
          <w:bCs/>
        </w:rPr>
        <w:t xml:space="preserve">Tipping</w:t>
      </w:r>
      <w:r>
        <w:t xml:space="preserve"> </w:t>
      </w:r>
      <w:r>
        <w:t xml:space="preserve">(tombamento) é o processo pelo qual uma plataforma que obtém uma pequena vantagem inicial (em número de usuários) amplia essa vantagem via feedback positivo dos efeitos de rede, até dominar completamente o mercado. Ocorre porque efeitos de rede criam</w:t>
      </w:r>
      <w:r>
        <w:t xml:space="preserve"> </w:t>
      </w:r>
      <w:r>
        <w:rPr>
          <w:b/>
          <w:bCs/>
        </w:rPr>
        <w:t xml:space="preserve">complementaridades estratégicas</w:t>
      </w:r>
      <w:r>
        <w:t xml:space="preserve">: a decisão de cada usuário depende de quantos outros já aderiram. Uma vez ultrapassada a massa crítica, a adoção se torna autossustentável (Seção 21.2).</w:t>
      </w:r>
    </w:p>
    <w:p>
      <w:pPr>
        <w:pStyle w:val="BlockText"/>
      </w:pPr>
      <w:r>
        <w:rPr>
          <w:b/>
          <w:bCs/>
        </w:rPr>
        <w:t xml:space="preserve">[QUESTAO] 5. Como a externalidade de privacidade justifica regulação de dados?</w:t>
      </w:r>
    </w:p>
    <w:p>
      <w:pPr>
        <w:pStyle w:val="BlockText"/>
      </w:pPr>
      <w:r>
        <w:t xml:space="preserve">Os dados que um indivíduo compartilha revelam informações sobre seus contatos e pessoas demograficamente semelhantes — uma</w:t>
      </w:r>
      <w:r>
        <w:t xml:space="preserve"> </w:t>
      </w:r>
      <w:r>
        <w:rPr>
          <w:b/>
          <w:bCs/>
        </w:rPr>
        <w:t xml:space="preserve">externalidade negativa</w:t>
      </w:r>
      <w:r>
        <w:t xml:space="preserve"> </w:t>
      </w:r>
      <w:r>
        <w:t xml:space="preserve">informacional (</w:t>
      </w:r>
      <m:oMath>
        <m:r>
          <m:rPr>
            <m:sty m:val="p"/>
          </m:rPr>
          <m:t>∂</m:t>
        </m:r>
        <m:sSub>
          <m:e>
            <m:r>
              <m:t>U</m:t>
            </m:r>
          </m:e>
          <m:sub>
            <m:r>
              <m:t>j</m:t>
            </m:r>
          </m:sub>
        </m:sSub>
        <m:r>
          <m:rPr>
            <m:sty m:val="p"/>
          </m:rPr>
          <m:t>/</m:t>
        </m:r>
        <m:r>
          <m:rPr>
            <m:sty m:val="p"/>
          </m:rPr>
          <m:t>∂</m:t>
        </m:r>
        <m:sSub>
          <m:e>
            <m:r>
              <m:t>d</m:t>
            </m:r>
          </m:e>
          <m:sub>
            <m:r>
              <m:t>i</m:t>
            </m:r>
          </m:sub>
        </m:sSub>
        <m:r>
          <m:rPr>
            <m:sty m:val="p"/>
          </m:rPr>
          <m:t>&lt;</m:t>
        </m:r>
        <m:r>
          <m:t>0</m:t>
        </m:r>
      </m:oMath>
      <w:r>
        <w:t xml:space="preserve">). Mesmo que cada indivíduo compartilhe</w:t>
      </w:r>
      <w:r>
        <w:t xml:space="preserve"> </w:t>
      </w:r>
      <w:r>
        <w:t xml:space="preserve">“racionalmente”</w:t>
      </w:r>
      <w:r>
        <w:t xml:space="preserve">, o nível agregado será</w:t>
      </w:r>
      <w:r>
        <w:t xml:space="preserve"> </w:t>
      </w:r>
      <w:r>
        <w:rPr>
          <w:b/>
          <w:bCs/>
        </w:rPr>
        <w:t xml:space="preserve">socialmente excessivo</w:t>
      </w:r>
      <w:r>
        <w:t xml:space="preserve"> </w:t>
      </w:r>
      <w:r>
        <w:t xml:space="preserve">— a mesma lógica de qualquer externalidade negativa (Capítulo 20). A LGPD, o GDPR e regulações similares impõem custos de conformidade que funcionam como uma</w:t>
      </w:r>
      <w:r>
        <w:t xml:space="preserve"> </w:t>
      </w:r>
      <w:r>
        <w:t xml:space="preserve">“taxa pigouviana”</w:t>
      </w:r>
      <w:r>
        <w:t xml:space="preserve"> </w:t>
      </w:r>
      <w:r>
        <w:t xml:space="preserve">sobre o compartilhamento excessivo (Seção 21.6).</w:t>
      </w:r>
    </w:p>
    <w:p>
      <w:r>
        <w:pict>
          <v:rect style="width:0;height:1.5pt" o:hralign="center" o:hrstd="t" o:hr="t"/>
        </w:pict>
      </w:r>
    </w:p>
    <w:bookmarkEnd w:id="1337"/>
    <w:bookmarkStart w:id="1338" w:name="resumo-do-capítulo-22"/>
    <w:p>
      <w:pPr>
        <w:pStyle w:val="Heading3"/>
      </w:pPr>
      <w:r>
        <w:t xml:space="preserve">Resumo do Capítulo</w:t>
      </w:r>
    </w:p>
    <w:p>
      <w:pPr>
        <w:pStyle w:val="Compact"/>
        <w:numPr>
          <w:ilvl w:val="0"/>
          <w:numId w:val="2162"/>
        </w:numPr>
      </w:pPr>
      <w:r>
        <w:t xml:space="preserve">Bens de informação têm custo fixo elevado e custo marginal próximo de zero, gerando economias de escala extremas e tendência ao monopólio natural.</w:t>
      </w:r>
    </w:p>
    <w:p>
      <w:pPr>
        <w:pStyle w:val="Compact"/>
        <w:numPr>
          <w:ilvl w:val="0"/>
          <w:numId w:val="2162"/>
        </w:numPr>
      </w:pPr>
      <w:r>
        <w:t xml:space="preserve">Efeitos de rede (diretos e indiretos) criam complementaridades estratégicas, múltiplos equilíbrios, massa crítica e dinâmicas de tipping.</w:t>
      </w:r>
    </w:p>
    <w:p>
      <w:pPr>
        <w:pStyle w:val="Compact"/>
        <w:numPr>
          <w:ilvl w:val="0"/>
          <w:numId w:val="2162"/>
        </w:numPr>
      </w:pPr>
      <w:r>
        <w:t xml:space="preserve">Mercados bilaterais (Rochet e Tirole, 2003) conectam dois ou mais grupos via plataformas; a</w:t>
      </w:r>
      <w:r>
        <w:t xml:space="preserve"> </w:t>
      </w:r>
      <w:r>
        <w:rPr>
          <w:b/>
          <w:bCs/>
        </w:rPr>
        <w:t xml:space="preserve">estrutura</w:t>
      </w:r>
      <w:r>
        <w:t xml:space="preserve"> </w:t>
      </w:r>
      <w:r>
        <w:t xml:space="preserve">de preços importa, não apenas o nível — a plataforma ótima subsidia um lado e extrai lucro do outro.</w:t>
      </w:r>
    </w:p>
    <w:p>
      <w:pPr>
        <w:pStyle w:val="Compact"/>
        <w:numPr>
          <w:ilvl w:val="0"/>
          <w:numId w:val="2162"/>
        </w:numPr>
      </w:pPr>
      <w:r>
        <w:t xml:space="preserve">A competição entre plataformas depende de single-homing vs. multi-homing; o winner-take-all não é universal, mas plataformas tendem à concentração.</w:t>
      </w:r>
    </w:p>
    <w:p>
      <w:pPr>
        <w:pStyle w:val="Compact"/>
        <w:numPr>
          <w:ilvl w:val="0"/>
          <w:numId w:val="2162"/>
        </w:numPr>
      </w:pPr>
      <w:r>
        <w:t xml:space="preserve">A economia da atenção modela plataformas ad-supported: o</w:t>
      </w:r>
      <w:r>
        <w:t xml:space="preserve"> </w:t>
      </w:r>
      <w:r>
        <w:t xml:space="preserve">“preço”</w:t>
      </w:r>
      <w:r>
        <w:t xml:space="preserve"> </w:t>
      </w:r>
      <w:r>
        <w:t xml:space="preserve">pago pelo usuário é atenção e dados pessoais.</w:t>
      </w:r>
    </w:p>
    <w:p>
      <w:pPr>
        <w:pStyle w:val="Compact"/>
        <w:numPr>
          <w:ilvl w:val="0"/>
          <w:numId w:val="2162"/>
        </w:numPr>
      </w:pPr>
      <w:r>
        <w:t xml:space="preserve">Dados geram economias de escala e escopo que reforçam vantagens incumbentes; privacidade é uma externalidade que justifica regulação (LGPD, GDPR).</w:t>
      </w:r>
    </w:p>
    <w:p>
      <w:pPr>
        <w:pStyle w:val="Compact"/>
        <w:numPr>
          <w:ilvl w:val="0"/>
          <w:numId w:val="2162"/>
        </w:numPr>
      </w:pPr>
      <w:r>
        <w:t xml:space="preserve">Leilões digitais (GSP, RTB) são mecanismos sofisticados que alocam atenção em milissegundos; precificação algorítmica levanta riscos de colusão tácita.</w:t>
      </w:r>
    </w:p>
    <w:p>
      <w:r>
        <w:pict>
          <v:rect style="width:0;height:1.5pt" o:hralign="center" o:hrstd="t" o:hr="t"/>
        </w:pict>
      </w:r>
    </w:p>
    <w:bookmarkEnd w:id="1338"/>
    <w:bookmarkStart w:id="1339" w:name="conceitos-chave-21"/>
    <w:p>
      <w:pPr>
        <w:pStyle w:val="Heading3"/>
      </w:pPr>
      <w:r>
        <w:t xml:space="preserve">Conceitos-Chave</w:t>
      </w:r>
    </w:p>
    <w:p>
      <w:pPr>
        <w:pStyle w:val="FirstParagraph"/>
      </w:pPr>
      <w:r>
        <w:rPr>
          <w:b/>
          <w:bCs/>
        </w:rPr>
        <w:t xml:space="preserve">Tabela 21.1 — Conceitos centrais do Capítulo 21</w:t>
      </w:r>
    </w:p>
    <w:tbl>
      <w:tblPr>
        <w:tblStyle w:val="Table"/>
        <w:tblW w:type="pct" w:w="5000"/>
        <w:tblLayout w:type="fixed"/>
        <w:tblLook w:firstRow="1" w:lastRow="0" w:firstColumn="0" w:lastColumn="0" w:noHBand="0" w:noVBand="0" w:val="0020"/>
      </w:tblPr>
      <w:tblGrid>
        <w:gridCol w:w="2828"/>
        <w:gridCol w:w="3111"/>
        <w:gridCol w:w="1980"/>
      </w:tblGrid>
      <w:tr>
        <w:trPr>
          <w:tblHeader w:val="on"/>
        </w:trPr>
        <w:tc>
          <w:tcPr/>
          <w:p>
            <w:pPr>
              <w:pStyle w:val="Compact"/>
              <w:jc w:val="left"/>
            </w:pPr>
            <w:r>
              <w:t xml:space="preserve">Conceito</w:t>
            </w:r>
          </w:p>
        </w:tc>
        <w:tc>
          <w:tcPr/>
          <w:p>
            <w:pPr>
              <w:pStyle w:val="Compact"/>
              <w:jc w:val="left"/>
            </w:pPr>
            <w:r>
              <w:t xml:space="preserve">Definição</w:t>
            </w:r>
          </w:p>
        </w:tc>
        <w:tc>
          <w:tcPr/>
          <w:p>
            <w:pPr>
              <w:pStyle w:val="Compact"/>
              <w:jc w:val="left"/>
            </w:pPr>
            <w:r>
              <w:t xml:space="preserve">Seção</w:t>
            </w:r>
          </w:p>
        </w:tc>
      </w:tr>
      <w:tr>
        <w:tc>
          <w:tcPr/>
          <w:p>
            <w:pPr>
              <w:pStyle w:val="Compact"/>
              <w:jc w:val="left"/>
            </w:pPr>
            <w:r>
              <w:t xml:space="preserve">Bem de informação</w:t>
            </w:r>
          </w:p>
        </w:tc>
        <w:tc>
          <w:tcPr/>
          <w:p>
            <w:pPr>
              <w:pStyle w:val="Compact"/>
              <w:jc w:val="left"/>
            </w:pPr>
            <w:r>
              <w:t xml:space="preserve">Bem com custo fixo elevado e custo marginal de reprodução próximo de zero</w:t>
            </w:r>
          </w:p>
        </w:tc>
        <w:tc>
          <w:tcPr/>
          <w:p>
            <w:pPr>
              <w:pStyle w:val="Compact"/>
              <w:jc w:val="left"/>
            </w:pPr>
            <w:r>
              <w:t xml:space="preserve">21.1</w:t>
            </w:r>
          </w:p>
        </w:tc>
      </w:tr>
      <w:tr>
        <w:tc>
          <w:tcPr/>
          <w:p>
            <w:pPr>
              <w:pStyle w:val="Compact"/>
              <w:jc w:val="left"/>
            </w:pPr>
            <w:r>
              <w:t xml:space="preserve">Efeito de rede direto</w:t>
            </w:r>
          </w:p>
        </w:tc>
        <w:tc>
          <w:tcPr/>
          <w:p>
            <w:pPr>
              <w:pStyle w:val="Compact"/>
              <w:jc w:val="left"/>
            </w:pPr>
            <w:r>
              <w:t xml:space="preserve">Valor do produto cresce com o número de usuários do mesmo produto</w:t>
            </w:r>
          </w:p>
        </w:tc>
        <w:tc>
          <w:tcPr/>
          <w:p>
            <w:pPr>
              <w:pStyle w:val="Compact"/>
              <w:jc w:val="left"/>
            </w:pPr>
            <w:r>
              <w:t xml:space="preserve">21.2</w:t>
            </w:r>
          </w:p>
        </w:tc>
      </w:tr>
      <w:tr>
        <w:tc>
          <w:tcPr/>
          <w:p>
            <w:pPr>
              <w:pStyle w:val="Compact"/>
              <w:jc w:val="left"/>
            </w:pPr>
            <w:r>
              <w:t xml:space="preserve">Efeito de rede indireto</w:t>
            </w:r>
          </w:p>
        </w:tc>
        <w:tc>
          <w:tcPr/>
          <w:p>
            <w:pPr>
              <w:pStyle w:val="Compact"/>
              <w:jc w:val="left"/>
            </w:pPr>
            <w:r>
              <w:t xml:space="preserve">Valor para um lado cresce com participantes do outro lado</w:t>
            </w:r>
          </w:p>
        </w:tc>
        <w:tc>
          <w:tcPr/>
          <w:p>
            <w:pPr>
              <w:pStyle w:val="Compact"/>
              <w:jc w:val="left"/>
            </w:pPr>
            <w:r>
              <w:t xml:space="preserve">21.2</w:t>
            </w:r>
          </w:p>
        </w:tc>
      </w:tr>
      <w:tr>
        <w:tc>
          <w:tcPr/>
          <w:p>
            <w:pPr>
              <w:pStyle w:val="Compact"/>
              <w:jc w:val="left"/>
            </w:pPr>
            <w:r>
              <w:t xml:space="preserve">Massa crítica</w:t>
            </w:r>
          </w:p>
        </w:tc>
        <w:tc>
          <w:tcPr/>
          <w:p>
            <w:pPr>
              <w:pStyle w:val="Compact"/>
              <w:jc w:val="left"/>
            </w:pPr>
            <w:r>
              <w:t xml:space="preserve">Número mínimo de adotantes acima do qual a adoção se torna autossustentável</w:t>
            </w:r>
          </w:p>
        </w:tc>
        <w:tc>
          <w:tcPr/>
          <w:p>
            <w:pPr>
              <w:pStyle w:val="Compact"/>
              <w:jc w:val="left"/>
            </w:pPr>
            <w:r>
              <w:t xml:space="preserve">21.2</w:t>
            </w:r>
          </w:p>
        </w:tc>
      </w:tr>
      <w:tr>
        <w:tc>
          <w:tcPr/>
          <w:p>
            <w:pPr>
              <w:pStyle w:val="Compact"/>
              <w:jc w:val="left"/>
            </w:pPr>
            <w:r>
              <w:t xml:space="preserve">Tipping</w:t>
            </w:r>
          </w:p>
        </w:tc>
        <w:tc>
          <w:tcPr/>
          <w:p>
            <w:pPr>
              <w:pStyle w:val="Compact"/>
              <w:jc w:val="left"/>
            </w:pPr>
            <w:r>
              <w:t xml:space="preserve">Processo de tombamento em favor de uma plataforma dominante</w:t>
            </w:r>
          </w:p>
        </w:tc>
        <w:tc>
          <w:tcPr/>
          <w:p>
            <w:pPr>
              <w:pStyle w:val="Compact"/>
              <w:jc w:val="left"/>
            </w:pPr>
            <w:r>
              <w:t xml:space="preserve">21.2</w:t>
            </w:r>
          </w:p>
        </w:tc>
      </w:tr>
      <w:tr>
        <w:tc>
          <w:tcPr/>
          <w:p>
            <w:pPr>
              <w:pStyle w:val="Compact"/>
              <w:jc w:val="left"/>
            </w:pPr>
            <w:r>
              <w:t xml:space="preserve">Lock-in</w:t>
            </w:r>
          </w:p>
        </w:tc>
        <w:tc>
          <w:tcPr/>
          <w:p>
            <w:pPr>
              <w:pStyle w:val="Compact"/>
              <w:jc w:val="left"/>
            </w:pPr>
            <w:r>
              <w:t xml:space="preserve">Custos de troca que aprisionam usuários em uma plataforma</w:t>
            </w:r>
          </w:p>
        </w:tc>
        <w:tc>
          <w:tcPr/>
          <w:p>
            <w:pPr>
              <w:pStyle w:val="Compact"/>
              <w:jc w:val="left"/>
            </w:pPr>
            <w:r>
              <w:t xml:space="preserve">21.2</w:t>
            </w:r>
          </w:p>
        </w:tc>
      </w:tr>
      <w:tr>
        <w:tc>
          <w:tcPr/>
          <w:p>
            <w:pPr>
              <w:pStyle w:val="Compact"/>
              <w:jc w:val="left"/>
            </w:pPr>
            <w:r>
              <w:t xml:space="preserve">Mercado bilateral</w:t>
            </w:r>
          </w:p>
        </w:tc>
        <w:tc>
          <w:tcPr/>
          <w:p>
            <w:pPr>
              <w:pStyle w:val="Compact"/>
              <w:jc w:val="left"/>
            </w:pPr>
            <w:r>
              <w:t xml:space="preserve">Mercado em que plataforma conecta dois grupos com externalidades cruzadas</w:t>
            </w:r>
          </w:p>
        </w:tc>
        <w:tc>
          <w:tcPr/>
          <w:p>
            <w:pPr>
              <w:pStyle w:val="Compact"/>
              <w:jc w:val="left"/>
            </w:pPr>
            <w:r>
              <w:t xml:space="preserve">21.3</w:t>
            </w:r>
          </w:p>
        </w:tc>
      </w:tr>
      <w:tr>
        <w:tc>
          <w:tcPr/>
          <w:p>
            <w:pPr>
              <w:pStyle w:val="Compact"/>
              <w:jc w:val="left"/>
            </w:pPr>
            <w:r>
              <w:t xml:space="preserve">Subsídio cruzado</w:t>
            </w:r>
          </w:p>
        </w:tc>
        <w:tc>
          <w:tcPr/>
          <w:p>
            <w:pPr>
              <w:pStyle w:val="Compact"/>
              <w:jc w:val="left"/>
            </w:pPr>
            <w:r>
              <w:t xml:space="preserve">Estratégia de precificar abaixo do custo para um lado e extrair lucro do outro</w:t>
            </w:r>
          </w:p>
        </w:tc>
        <w:tc>
          <w:tcPr/>
          <w:p>
            <w:pPr>
              <w:pStyle w:val="Compact"/>
              <w:jc w:val="left"/>
            </w:pPr>
            <w:r>
              <w:t xml:space="preserve">21.3</w:t>
            </w:r>
          </w:p>
        </w:tc>
      </w:tr>
      <w:tr>
        <w:tc>
          <w:tcPr/>
          <w:p>
            <w:pPr>
              <w:pStyle w:val="Compact"/>
              <w:jc w:val="left"/>
            </w:pPr>
            <w:r>
              <w:t xml:space="preserve">Economia da atenção</w:t>
            </w:r>
          </w:p>
        </w:tc>
        <w:tc>
          <w:tcPr/>
          <w:p>
            <w:pPr>
              <w:pStyle w:val="Compact"/>
              <w:jc w:val="left"/>
            </w:pPr>
            <w:r>
              <w:t xml:space="preserve">Mercado em que plataformas competem por atenção e a revendem a anunciantes</w:t>
            </w:r>
          </w:p>
        </w:tc>
        <w:tc>
          <w:tcPr/>
          <w:p>
            <w:pPr>
              <w:pStyle w:val="Compact"/>
              <w:jc w:val="left"/>
            </w:pPr>
            <w:r>
              <w:t xml:space="preserve">21.5</w:t>
            </w:r>
          </w:p>
        </w:tc>
      </w:tr>
      <w:tr>
        <w:tc>
          <w:tcPr/>
          <w:p>
            <w:pPr>
              <w:pStyle w:val="Compact"/>
              <w:jc w:val="left"/>
            </w:pPr>
            <w:r>
              <w:t xml:space="preserve">GSP (Generalized Second Price)</w:t>
            </w:r>
          </w:p>
        </w:tc>
        <w:tc>
          <w:tcPr/>
          <w:p>
            <w:pPr>
              <w:pStyle w:val="Compact"/>
              <w:jc w:val="left"/>
            </w:pPr>
            <w:r>
              <w:t xml:space="preserve">Mecanismo de leilão de anúncios usado pelo Google</w:t>
            </w:r>
          </w:p>
        </w:tc>
        <w:tc>
          <w:tcPr/>
          <w:p>
            <w:pPr>
              <w:pStyle w:val="Compact"/>
              <w:jc w:val="left"/>
            </w:pPr>
            <w:r>
              <w:t xml:space="preserve">21.7</w:t>
            </w:r>
          </w:p>
        </w:tc>
      </w:tr>
    </w:tbl>
    <w:p>
      <w:r>
        <w:pict>
          <v:rect style="width:0;height:1.5pt" o:hralign="center" o:hrstd="t" o:hr="t"/>
        </w:pict>
      </w:r>
    </w:p>
    <w:bookmarkEnd w:id="1339"/>
    <w:bookmarkStart w:id="1340" w:name="exercícios-26"/>
    <w:p>
      <w:pPr>
        <w:pStyle w:val="Heading3"/>
      </w:pPr>
      <w:r>
        <w:t xml:space="preserve">Exercícios</w:t>
      </w:r>
    </w:p>
    <w:p>
      <w:pPr>
        <w:pStyle w:val="BlockText"/>
      </w:pPr>
      <w:r>
        <w:rPr>
          <w:b/>
          <w:bCs/>
        </w:rPr>
        <w:t xml:space="preserve">[EXERCICIO PROPOSTO] Exercício 21.1 — Plataforma de streaming: custo fixo, monopólio e discriminação de preços</w:t>
      </w:r>
    </w:p>
    <w:p>
      <w:pPr>
        <w:pStyle w:val="BlockText"/>
      </w:pPr>
      <w:r>
        <w:t xml:space="preserve">Uma plataforma de streaming tem custo fixo</w:t>
      </w:r>
      <w:r>
        <w:t xml:space="preserve"> </w:t>
      </w:r>
      <m:oMath>
        <m:r>
          <m:t>F</m:t>
        </m:r>
        <m:r>
          <m:rPr>
            <m:sty m:val="p"/>
          </m:rPr>
          <m:t>=</m:t>
        </m:r>
        <m:r>
          <m:t>10.000</m:t>
        </m:r>
      </m:oMath>
      <w:r>
        <w:t xml:space="preserve"> </w:t>
      </w:r>
      <w:r>
        <w:t xml:space="preserve">e custo marginal</w:t>
      </w:r>
      <w:r>
        <w:t xml:space="preserve"> </w:t>
      </w:r>
      <m:oMath>
        <m:r>
          <m:t>c</m:t>
        </m:r>
        <m:r>
          <m:rPr>
            <m:sty m:val="p"/>
          </m:rPr>
          <m:t>=</m:t>
        </m:r>
        <m:r>
          <m:t>0</m:t>
        </m:r>
        <m:r>
          <m:rPr>
            <m:sty m:val="p"/>
          </m:rPr>
          <m:t>,</m:t>
        </m:r>
        <m:r>
          <m:t>01</m:t>
        </m:r>
      </m:oMath>
      <w:r>
        <w:t xml:space="preserve"> </w:t>
      </w:r>
      <w:r>
        <w:t xml:space="preserve">por usuário. A demanda é</w:t>
      </w:r>
      <w:r>
        <w:t xml:space="preserve"> </w:t>
      </w:r>
      <m:oMath>
        <m:r>
          <m:t>q</m:t>
        </m:r>
        <m:r>
          <m:rPr>
            <m:sty m:val="p"/>
          </m:rPr>
          <m:t>=</m:t>
        </m:r>
        <m:r>
          <m:t>500</m:t>
        </m:r>
        <m:r>
          <m:rPr>
            <m:sty m:val="p"/>
          </m:rPr>
          <m:t>−</m:t>
        </m:r>
        <m:r>
          <m:t>100</m:t>
        </m:r>
        <m:r>
          <m:t>p</m:t>
        </m:r>
      </m:oMath>
      <w:r>
        <w:t xml:space="preserve">.</w:t>
      </w:r>
    </w:p>
    <w:p>
      <w:pPr>
        <w:pStyle w:val="BlockText"/>
        <w:numPr>
          <w:ilvl w:val="0"/>
          <w:numId w:val="2163"/>
        </w:numPr>
      </w:pPr>
      <w:r>
        <w:t xml:space="preserve">Calcule a quantidade socialmente ótima e o excedente total.</w:t>
      </w:r>
    </w:p>
    <w:p>
      <w:pPr>
        <w:pStyle w:val="BlockText"/>
        <w:numPr>
          <w:ilvl w:val="0"/>
          <w:numId w:val="2163"/>
        </w:numPr>
      </w:pPr>
      <w:r>
        <w:t xml:space="preserve">Calcule a quantidade e o preço de monopólio. Qual o peso morto?</w:t>
      </w:r>
    </w:p>
    <w:p>
      <w:pPr>
        <w:pStyle w:val="BlockText"/>
        <w:numPr>
          <w:ilvl w:val="0"/>
          <w:numId w:val="2163"/>
        </w:numPr>
      </w:pPr>
      <w:r>
        <w:t xml:space="preserve">Calcule o lucro do monopolista. O resultado é viável?</w:t>
      </w:r>
    </w:p>
    <w:p>
      <w:pPr>
        <w:pStyle w:val="BlockText"/>
        <w:numPr>
          <w:ilvl w:val="0"/>
          <w:numId w:val="2163"/>
        </w:numPr>
      </w:pPr>
      <w:r>
        <w:t xml:space="preserve">Suponha que a plataforma pode oferecer dois planos (básico a R$ 1 e premium a R$ 4). Calcule a receita total e compare com o monopólio uniforme.</w:t>
      </w:r>
    </w:p>
    <w:p>
      <w:pPr>
        <w:pStyle w:val="BlockText"/>
      </w:pPr>
      <w:r>
        <w:t xml:space="preserve">Ver solução (Cap. 21)</w:t>
      </w:r>
    </w:p>
    <w:p>
      <w:pPr>
        <w:pStyle w:val="BlockText"/>
      </w:pPr>
      <w:r>
        <w:rPr>
          <w:b/>
          <w:bCs/>
        </w:rPr>
        <w:t xml:space="preserve">[EXERCICIO PROPOSTO] Exercício 21.2 — Rede de comunicação com efeitos de rede</w:t>
      </w:r>
    </w:p>
    <w:p>
      <w:pPr>
        <w:pStyle w:val="BlockText"/>
      </w:pPr>
      <w:r>
        <w:t xml:space="preserve">Uma rede de comunicação tem</w:t>
      </w:r>
      <w:r>
        <w:t xml:space="preserve"> </w:t>
      </w:r>
      <m:oMath>
        <m:r>
          <m:t>N</m:t>
        </m:r>
        <m:r>
          <m:rPr>
            <m:sty m:val="p"/>
          </m:rPr>
          <m:t>=</m:t>
        </m:r>
        <m:r>
          <m:t>200</m:t>
        </m:r>
      </m:oMath>
      <w:r>
        <w:t xml:space="preserve"> </w:t>
      </w:r>
      <w:r>
        <w:t xml:space="preserve">usuários potenciais com valores intrínsecos</w:t>
      </w:r>
      <w:r>
        <w:t xml:space="preserve"> </w:t>
      </w:r>
      <m:oMath>
        <m:sSub>
          <m:e>
            <m:r>
              <m:t>v</m:t>
            </m:r>
          </m:e>
          <m:sub>
            <m:r>
              <m:t>i</m:t>
            </m:r>
          </m:sub>
        </m:sSub>
      </m:oMath>
      <w:r>
        <w:t xml:space="preserve"> </w:t>
      </w:r>
      <w:r>
        <w:t xml:space="preserve">distribuídos uniformemente em</w:t>
      </w:r>
      <w:r>
        <w:t xml:space="preserve"> </w:t>
      </w:r>
      <m:oMath>
        <m:r>
          <m:rPr>
            <m:sty m:val="p"/>
          </m:rPr>
          <m:t>[</m:t>
        </m:r>
        <m:r>
          <m:t>0</m:t>
        </m:r>
        <m:r>
          <m:rPr>
            <m:sty m:val="p"/>
          </m:rPr>
          <m:t>,</m:t>
        </m:r>
        <m:r>
          <m:t>8</m:t>
        </m:r>
        <m:r>
          <m:rPr>
            <m:sty m:val="p"/>
          </m:rPr>
          <m:t>]</m:t>
        </m:r>
      </m:oMath>
      <w:r>
        <w:t xml:space="preserve">. O benefício de rede é</w:t>
      </w:r>
      <w:r>
        <w:t xml:space="preserve"> </w:t>
      </w:r>
      <m:oMath>
        <m:r>
          <m:t>f</m:t>
        </m:r>
        <m:r>
          <m:rPr>
            <m:sty m:val="p"/>
          </m:rPr>
          <m:t>(</m:t>
        </m:r>
        <m:r>
          <m:t>n</m:t>
        </m:r>
        <m:r>
          <m:rPr>
            <m:sty m:val="p"/>
          </m:rPr>
          <m:t>)</m:t>
        </m:r>
        <m:r>
          <m:rPr>
            <m:sty m:val="p"/>
          </m:rPr>
          <m:t>=</m:t>
        </m:r>
        <m:r>
          <m:t>0</m:t>
        </m:r>
        <m:r>
          <m:rPr>
            <m:sty m:val="p"/>
          </m:rPr>
          <m:t>,</m:t>
        </m:r>
        <m:r>
          <m:t>02</m:t>
        </m:r>
        <m:r>
          <m:t>n</m:t>
        </m:r>
      </m:oMath>
      <w:r>
        <w:t xml:space="preserve"> </w:t>
      </w:r>
      <w:r>
        <w:t xml:space="preserve">e o preço é</w:t>
      </w:r>
      <w:r>
        <w:t xml:space="preserve"> </w:t>
      </w:r>
      <m:oMath>
        <m:r>
          <m:t>p</m:t>
        </m:r>
        <m:r>
          <m:rPr>
            <m:sty m:val="p"/>
          </m:rPr>
          <m:t>=</m:t>
        </m:r>
        <m:r>
          <m:t>2</m:t>
        </m:r>
      </m:oMath>
      <w:r>
        <w:t xml:space="preserve">.</w:t>
      </w:r>
    </w:p>
    <w:p>
      <w:pPr>
        <w:pStyle w:val="BlockText"/>
        <w:numPr>
          <w:ilvl w:val="0"/>
          <w:numId w:val="2164"/>
        </w:numPr>
      </w:pPr>
      <w:r>
        <w:t xml:space="preserve">Encontre todos os equilíbrios de adoção.</w:t>
      </w:r>
    </w:p>
    <w:p>
      <w:pPr>
        <w:pStyle w:val="BlockText"/>
        <w:numPr>
          <w:ilvl w:val="0"/>
          <w:numId w:val="2164"/>
        </w:numPr>
      </w:pPr>
      <w:r>
        <w:t xml:space="preserve">Determine a massa crítica.</w:t>
      </w:r>
    </w:p>
    <w:p>
      <w:pPr>
        <w:pStyle w:val="BlockText"/>
        <w:numPr>
          <w:ilvl w:val="0"/>
          <w:numId w:val="2164"/>
        </w:numPr>
      </w:pPr>
      <w:r>
        <w:t xml:space="preserve">Qual o preço máximo que garante adoção universal?</w:t>
      </w:r>
    </w:p>
    <w:p>
      <w:pPr>
        <w:pStyle w:val="BlockText"/>
        <w:numPr>
          <w:ilvl w:val="0"/>
          <w:numId w:val="2164"/>
        </w:numPr>
      </w:pPr>
      <w:r>
        <w:t xml:space="preserve">Compare a receita com</w:t>
      </w:r>
      <w:r>
        <w:t xml:space="preserve"> </w:t>
      </w:r>
      <m:oMath>
        <m:r>
          <m:t>p</m:t>
        </m:r>
        <m:r>
          <m:rPr>
            <m:sty m:val="p"/>
          </m:rPr>
          <m:t>=</m:t>
        </m:r>
        <m:r>
          <m:t>4</m:t>
        </m:r>
      </m:oMath>
      <w:r>
        <w:t xml:space="preserve"> </w:t>
      </w:r>
      <w:r>
        <w:t xml:space="preserve">e</w:t>
      </w:r>
      <w:r>
        <w:t xml:space="preserve"> </w:t>
      </w:r>
      <m:oMath>
        <m:r>
          <m:t>p</m:t>
        </m:r>
        <m:r>
          <m:rPr>
            <m:sty m:val="p"/>
          </m:rPr>
          <m:t>=</m:t>
        </m:r>
        <m:r>
          <m:t>5</m:t>
        </m:r>
      </m:oMath>
      <w:r>
        <w:t xml:space="preserve">. O que o resultado revela?</w:t>
      </w:r>
    </w:p>
    <w:p>
      <w:pPr>
        <w:pStyle w:val="BlockText"/>
      </w:pPr>
      <w:r>
        <w:t xml:space="preserve">Ver solução (Cap. 21)</w:t>
      </w:r>
    </w:p>
    <w:p>
      <w:pPr>
        <w:pStyle w:val="BlockText"/>
      </w:pPr>
      <w:r>
        <w:rPr>
          <w:b/>
          <w:bCs/>
        </w:rPr>
        <w:t xml:space="preserve">[EXERCICIO PROPOSTO] Exercício 21.3 — Plataforma bilateral: preços e bem-estar</w:t>
      </w:r>
    </w:p>
    <w:p>
      <w:pPr>
        <w:pStyle w:val="BlockText"/>
      </w:pPr>
      <w:r>
        <w:t xml:space="preserve">Uma plataforma bilateral tem demandas</w:t>
      </w:r>
      <w:r>
        <w:t xml:space="preserve"> </w:t>
      </w:r>
      <m:oMath>
        <m:sSub>
          <m:e>
            <m:r>
              <m:t>n</m:t>
            </m:r>
          </m:e>
          <m:sub>
            <m:r>
              <m:t>B</m:t>
            </m:r>
          </m:sub>
        </m:sSub>
        <m:r>
          <m:rPr>
            <m:sty m:val="p"/>
          </m:rPr>
          <m:t>=</m:t>
        </m:r>
        <m:r>
          <m:t>100</m:t>
        </m:r>
        <m:r>
          <m:rPr>
            <m:sty m:val="p"/>
          </m:rPr>
          <m:t>−</m:t>
        </m:r>
        <m:r>
          <m:t>2</m:t>
        </m:r>
        <m:sSub>
          <m:e>
            <m:r>
              <m:t>p</m:t>
            </m:r>
          </m:e>
          <m:sub>
            <m:r>
              <m:t>B</m:t>
            </m:r>
          </m:sub>
        </m:sSub>
        <m:r>
          <m:rPr>
            <m:sty m:val="p"/>
          </m:rPr>
          <m:t>+</m:t>
        </m:r>
        <m:sSub>
          <m:e>
            <m:r>
              <m:t>n</m:t>
            </m:r>
          </m:e>
          <m:sub>
            <m:r>
              <m:t>S</m:t>
            </m:r>
          </m:sub>
        </m:sSub>
      </m:oMath>
      <w:r>
        <w:t xml:space="preserve"> </w:t>
      </w:r>
      <w:r>
        <w:t xml:space="preserve">e</w:t>
      </w:r>
      <w:r>
        <w:t xml:space="preserve"> </w:t>
      </w:r>
      <m:oMath>
        <m:sSub>
          <m:e>
            <m:r>
              <m:t>n</m:t>
            </m:r>
          </m:e>
          <m:sub>
            <m:r>
              <m:t>S</m:t>
            </m:r>
          </m:sub>
        </m:sSub>
        <m:r>
          <m:rPr>
            <m:sty m:val="p"/>
          </m:rPr>
          <m:t>=</m:t>
        </m:r>
        <m:r>
          <m:t>100</m:t>
        </m:r>
        <m:r>
          <m:rPr>
            <m:sty m:val="p"/>
          </m:rPr>
          <m:t>−</m:t>
        </m:r>
        <m:r>
          <m:t>2</m:t>
        </m:r>
        <m:sSub>
          <m:e>
            <m:r>
              <m:t>p</m:t>
            </m:r>
          </m:e>
          <m:sub>
            <m:r>
              <m:t>S</m:t>
            </m:r>
          </m:sub>
        </m:sSub>
        <m:r>
          <m:rPr>
            <m:sty m:val="p"/>
          </m:rPr>
          <m:t>+</m:t>
        </m:r>
        <m:r>
          <m:t>0</m:t>
        </m:r>
        <m:r>
          <m:rPr>
            <m:sty m:val="p"/>
          </m:rPr>
          <m:t>,</m:t>
        </m:r>
        <m:r>
          <m:t>5</m:t>
        </m:r>
        <m:sSub>
          <m:e>
            <m:r>
              <m:t>n</m:t>
            </m:r>
          </m:e>
          <m:sub>
            <m:r>
              <m:t>B</m:t>
            </m:r>
          </m:sub>
        </m:sSub>
      </m:oMath>
      <w:r>
        <w:t xml:space="preserve">. Custos marginais:</w:t>
      </w:r>
      <w:r>
        <w:t xml:space="preserve"> </w:t>
      </w:r>
      <m:oMath>
        <m:sSub>
          <m:e>
            <m:r>
              <m:t>c</m:t>
            </m:r>
          </m:e>
          <m:sub>
            <m:r>
              <m:t>B</m:t>
            </m:r>
          </m:sub>
        </m:sSub>
        <m:r>
          <m:rPr>
            <m:sty m:val="p"/>
          </m:rPr>
          <m:t>=</m:t>
        </m:r>
        <m:sSub>
          <m:e>
            <m:r>
              <m:t>c</m:t>
            </m:r>
          </m:e>
          <m:sub>
            <m:r>
              <m:t>S</m:t>
            </m:r>
          </m:sub>
        </m:sSub>
        <m:r>
          <m:rPr>
            <m:sty m:val="p"/>
          </m:rPr>
          <m:t>=</m:t>
        </m:r>
        <m:r>
          <m:t>5</m:t>
        </m:r>
      </m:oMath>
      <w:r>
        <w:t xml:space="preserve">.</w:t>
      </w:r>
    </w:p>
    <w:p>
      <w:pPr>
        <w:pStyle w:val="BlockText"/>
        <w:numPr>
          <w:ilvl w:val="0"/>
          <w:numId w:val="2165"/>
        </w:numPr>
      </w:pPr>
      <w:r>
        <w:t xml:space="preserve">Resolva o sistema de demandas para expressar</w:t>
      </w:r>
      <w:r>
        <w:t xml:space="preserve"> </w:t>
      </w:r>
      <m:oMath>
        <m:sSub>
          <m:e>
            <m:r>
              <m:t>n</m:t>
            </m:r>
          </m:e>
          <m:sub>
            <m:r>
              <m:t>B</m:t>
            </m:r>
          </m:sub>
        </m:sSub>
      </m:oMath>
      <w:r>
        <w:t xml:space="preserve"> </w:t>
      </w:r>
      <w:r>
        <w:t xml:space="preserve">e</w:t>
      </w:r>
      <w:r>
        <w:t xml:space="preserve"> </w:t>
      </w:r>
      <m:oMath>
        <m:sSub>
          <m:e>
            <m:r>
              <m:t>n</m:t>
            </m:r>
          </m:e>
          <m:sub>
            <m:r>
              <m:t>S</m:t>
            </m:r>
          </m:sub>
        </m:sSub>
      </m:oMath>
      <w:r>
        <w:t xml:space="preserve"> </w:t>
      </w:r>
      <w:r>
        <w:t xml:space="preserve">como funções de</w:t>
      </w:r>
      <w:r>
        <w:t xml:space="preserve"> </w:t>
      </w:r>
      <m:oMath>
        <m:sSub>
          <m:e>
            <m:r>
              <m:t>p</m:t>
            </m:r>
          </m:e>
          <m:sub>
            <m:r>
              <m:t>B</m:t>
            </m:r>
          </m:sub>
        </m:sSub>
      </m:oMath>
      <w:r>
        <w:t xml:space="preserve"> </w:t>
      </w:r>
      <w:r>
        <w:t xml:space="preserve">e</w:t>
      </w:r>
      <w:r>
        <w:t xml:space="preserve"> </w:t>
      </w:r>
      <m:oMath>
        <m:sSub>
          <m:e>
            <m:r>
              <m:t>p</m:t>
            </m:r>
          </m:e>
          <m:sub>
            <m:r>
              <m:t>S</m:t>
            </m:r>
          </m:sub>
        </m:sSub>
      </m:oMath>
      <w:r>
        <w:t xml:space="preserve">.</w:t>
      </w:r>
    </w:p>
    <w:p>
      <w:pPr>
        <w:pStyle w:val="BlockText"/>
        <w:numPr>
          <w:ilvl w:val="0"/>
          <w:numId w:val="2165"/>
        </w:numPr>
      </w:pPr>
      <w:r>
        <w:t xml:space="preserve">Determine os preços de monopólio</w:t>
      </w:r>
      <w:r>
        <w:t xml:space="preserve"> </w:t>
      </w:r>
      <m:oMath>
        <m:sSubSup>
          <m:e>
            <m:r>
              <m:t>p</m:t>
            </m:r>
          </m:e>
          <m:sub>
            <m:r>
              <m:t>B</m:t>
            </m:r>
          </m:sub>
          <m:sup>
            <m:r>
              <m:rPr>
                <m:sty m:val="p"/>
              </m:rPr>
              <m:t>*</m:t>
            </m:r>
          </m:sup>
        </m:sSubSup>
      </m:oMath>
      <w:r>
        <w:t xml:space="preserve"> </w:t>
      </w:r>
      <w:r>
        <w:t xml:space="preserve">e</w:t>
      </w:r>
      <w:r>
        <w:t xml:space="preserve"> </w:t>
      </w:r>
      <m:oMath>
        <m:sSubSup>
          <m:e>
            <m:r>
              <m:t>p</m:t>
            </m:r>
          </m:e>
          <m:sub>
            <m:r>
              <m:t>S</m:t>
            </m:r>
          </m:sub>
          <m:sup>
            <m:r>
              <m:rPr>
                <m:sty m:val="p"/>
              </m:rPr>
              <m:t>*</m:t>
            </m:r>
          </m:sup>
        </m:sSubSup>
      </m:oMath>
      <w:r>
        <w:t xml:space="preserve">.</w:t>
      </w:r>
    </w:p>
    <w:p>
      <w:pPr>
        <w:pStyle w:val="BlockText"/>
        <w:numPr>
          <w:ilvl w:val="0"/>
          <w:numId w:val="2165"/>
        </w:numPr>
      </w:pPr>
      <w:r>
        <w:t xml:space="preserve">Qual lado é subsidiado? Por quê?</w:t>
      </w:r>
    </w:p>
    <w:p>
      <w:pPr>
        <w:pStyle w:val="BlockText"/>
        <w:numPr>
          <w:ilvl w:val="0"/>
          <w:numId w:val="2165"/>
        </w:numPr>
      </w:pPr>
      <w:r>
        <w:t xml:space="preserve">Calcule o peso morto do monopólio bilateral comparado ao ótimo social.</w:t>
      </w:r>
    </w:p>
    <w:p>
      <w:pPr>
        <w:pStyle w:val="BlockText"/>
      </w:pPr>
      <w:r>
        <w:t xml:space="preserve">Ver solução (Cap. 21)</w:t>
      </w:r>
    </w:p>
    <w:p>
      <w:pPr>
        <w:pStyle w:val="BlockText"/>
      </w:pPr>
      <w:r>
        <w:rPr>
          <w:b/>
          <w:bCs/>
        </w:rPr>
        <w:t xml:space="preserve">[EXERCICIO PROPOSTO] Exercício 21.4 — Competição entre redes sociais com single-homing</w:t>
      </w:r>
    </w:p>
    <w:p>
      <w:pPr>
        <w:pStyle w:val="BlockText"/>
      </w:pPr>
      <w:r>
        <w:t xml:space="preserve">Duas redes sociais (A e B) competem por</w:t>
      </w:r>
      <w:r>
        <w:t xml:space="preserve"> </w:t>
      </w:r>
      <m:oMath>
        <m:r>
          <m:t>N</m:t>
        </m:r>
        <m:r>
          <m:rPr>
            <m:sty m:val="p"/>
          </m:rPr>
          <m:t>=</m:t>
        </m:r>
        <m:r>
          <m:t>100</m:t>
        </m:r>
      </m:oMath>
      <w:r>
        <w:t xml:space="preserve"> </w:t>
      </w:r>
      <w:r>
        <w:t xml:space="preserve">usuários homogêneos. A utilidade de estar na rede</w:t>
      </w:r>
      <w:r>
        <w:t xml:space="preserve"> </w:t>
      </w:r>
      <m:oMath>
        <m:r>
          <m:t>k</m:t>
        </m:r>
      </m:oMath>
      <w:r>
        <w:t xml:space="preserve"> </w:t>
      </w:r>
      <w:r>
        <w:t xml:space="preserve">é</w:t>
      </w:r>
      <w:r>
        <w:t xml:space="preserve"> </w:t>
      </w:r>
      <m:oMath>
        <m:sSub>
          <m:e>
            <m:r>
              <m:t>u</m:t>
            </m:r>
          </m:e>
          <m:sub>
            <m:r>
              <m:t>k</m:t>
            </m:r>
          </m:sub>
        </m:sSub>
        <m:r>
          <m:rPr>
            <m:sty m:val="p"/>
          </m:rPr>
          <m:t>=</m:t>
        </m:r>
        <m:r>
          <m:t>v</m:t>
        </m:r>
        <m:r>
          <m:rPr>
            <m:sty m:val="p"/>
          </m:rPr>
          <m:t>+</m:t>
        </m:r>
        <m:r>
          <m:t>0</m:t>
        </m:r>
        <m:r>
          <m:rPr>
            <m:sty m:val="p"/>
          </m:rPr>
          <m:t>,</m:t>
        </m:r>
        <m:r>
          <m:t>1</m:t>
        </m:r>
        <m:sSub>
          <m:e>
            <m:r>
              <m:t>n</m:t>
            </m:r>
          </m:e>
          <m:sub>
            <m:r>
              <m:t>k</m:t>
            </m:r>
          </m:sub>
        </m:sSub>
        <m:r>
          <m:rPr>
            <m:sty m:val="p"/>
          </m:rPr>
          <m:t>−</m:t>
        </m:r>
        <m:sSub>
          <m:e>
            <m:r>
              <m:t>p</m:t>
            </m:r>
          </m:e>
          <m:sub>
            <m:r>
              <m:t>k</m:t>
            </m:r>
          </m:sub>
        </m:sSub>
      </m:oMath>
      <w:r>
        <w:t xml:space="preserve">, com</w:t>
      </w:r>
      <w:r>
        <w:t xml:space="preserve"> </w:t>
      </w:r>
      <m:oMath>
        <m:r>
          <m:t>v</m:t>
        </m:r>
        <m:r>
          <m:rPr>
            <m:sty m:val="p"/>
          </m:rPr>
          <m:t>=</m:t>
        </m:r>
        <m:r>
          <m:t>3</m:t>
        </m:r>
      </m:oMath>
      <w:r>
        <w:t xml:space="preserve"> </w:t>
      </w:r>
      <w:r>
        <w:t xml:space="preserve">e</w:t>
      </w:r>
      <w:r>
        <w:t xml:space="preserve"> </w:t>
      </w:r>
      <m:oMath>
        <m:sSub>
          <m:e>
            <m:r>
              <m:t>p</m:t>
            </m:r>
          </m:e>
          <m:sub>
            <m:r>
              <m:t>A</m:t>
            </m:r>
          </m:sub>
        </m:sSub>
        <m:r>
          <m:rPr>
            <m:sty m:val="p"/>
          </m:rPr>
          <m:t>=</m:t>
        </m:r>
        <m:sSub>
          <m:e>
            <m:r>
              <m:t>p</m:t>
            </m:r>
          </m:e>
          <m:sub>
            <m:r>
              <m:t>B</m:t>
            </m:r>
          </m:sub>
        </m:sSub>
        <m:r>
          <m:rPr>
            <m:sty m:val="p"/>
          </m:rPr>
          <m:t>=</m:t>
        </m:r>
        <m:r>
          <m:t>1</m:t>
        </m:r>
      </m:oMath>
      <w:r>
        <w:t xml:space="preserve">.</w:t>
      </w:r>
    </w:p>
    <w:p>
      <w:pPr>
        <w:pStyle w:val="BlockText"/>
        <w:numPr>
          <w:ilvl w:val="0"/>
          <w:numId w:val="2166"/>
        </w:numPr>
      </w:pPr>
      <w:r>
        <w:t xml:space="preserve">Encontre todos os equilíbrios de Nash.</w:t>
      </w:r>
    </w:p>
    <w:p>
      <w:pPr>
        <w:pStyle w:val="BlockText"/>
        <w:numPr>
          <w:ilvl w:val="0"/>
          <w:numId w:val="2166"/>
        </w:numPr>
      </w:pPr>
      <w:r>
        <w:t xml:space="preserve">Qual divisão de mercado é instável? Por quê?</w:t>
      </w:r>
    </w:p>
    <w:p>
      <w:pPr>
        <w:pStyle w:val="BlockText"/>
        <w:numPr>
          <w:ilvl w:val="0"/>
          <w:numId w:val="2166"/>
        </w:numPr>
      </w:pPr>
      <w:r>
        <w:t xml:space="preserve">Suponha que A tem vantagem de qualidade (</w:t>
      </w:r>
      <m:oMath>
        <m:sSub>
          <m:e>
            <m:r>
              <m:t>v</m:t>
            </m:r>
          </m:e>
          <m:sub>
            <m:r>
              <m:t>A</m:t>
            </m:r>
          </m:sub>
        </m:sSub>
        <m:r>
          <m:rPr>
            <m:sty m:val="p"/>
          </m:rPr>
          <m:t>=</m:t>
        </m:r>
        <m:r>
          <m:t>3</m:t>
        </m:r>
        <m:r>
          <m:rPr>
            <m:sty m:val="p"/>
          </m:rPr>
          <m:t>,</m:t>
        </m:r>
        <m:r>
          <m:t>5</m:t>
        </m:r>
      </m:oMath>
      <w:r>
        <w:t xml:space="preserve">). Como muda o ponto de tipping?</w:t>
      </w:r>
    </w:p>
    <w:p>
      <w:pPr>
        <w:pStyle w:val="BlockText"/>
        <w:numPr>
          <w:ilvl w:val="0"/>
          <w:numId w:val="2166"/>
        </w:numPr>
      </w:pPr>
      <w:r>
        <w:t xml:space="preserve">Discuta a eficiência dos equilíbrios e o papel da interoperabilidade.</w:t>
      </w:r>
    </w:p>
    <w:p>
      <w:pPr>
        <w:pStyle w:val="BlockText"/>
      </w:pPr>
      <w:r>
        <w:t xml:space="preserve">Ver solução (Cap. 21)</w:t>
      </w:r>
    </w:p>
    <w:p>
      <w:pPr>
        <w:pStyle w:val="BlockText"/>
      </w:pPr>
      <w:r>
        <w:rPr>
          <w:b/>
          <w:bCs/>
        </w:rPr>
        <w:t xml:space="preserve">[EXERCICIO PROPOSTO] Exercício 21.5 — Plataforma de mídia: ad-supported vs. assinatura</w:t>
      </w:r>
    </w:p>
    <w:p>
      <w:pPr>
        <w:pStyle w:val="BlockText"/>
      </w:pPr>
      <w:r>
        <w:t xml:space="preserve">Uma plataforma de conteúdo tem utilidade do usuário</w:t>
      </w:r>
      <w:r>
        <w:t xml:space="preserve"> </w:t>
      </w:r>
      <m:oMath>
        <m:r>
          <m:t>u</m:t>
        </m:r>
        <m:r>
          <m:rPr>
            <m:sty m:val="p"/>
          </m:rPr>
          <m:t>=</m:t>
        </m:r>
        <m:r>
          <m:t>10</m:t>
        </m:r>
        <m:r>
          <m:rPr>
            <m:sty m:val="p"/>
          </m:rPr>
          <m:t>−</m:t>
        </m:r>
        <m:r>
          <m:t>2</m:t>
        </m:r>
        <m:r>
          <m:t>a</m:t>
        </m:r>
        <m:r>
          <m:rPr>
            <m:sty m:val="p"/>
          </m:rPr>
          <m:t>−</m:t>
        </m:r>
        <m:sSub>
          <m:e>
            <m:r>
              <m:t>p</m:t>
            </m:r>
          </m:e>
          <m:sub>
            <m:r>
              <m:t>U</m:t>
            </m:r>
          </m:sub>
        </m:sSub>
      </m:oMath>
      <w:r>
        <w:t xml:space="preserve">, onde</w:t>
      </w:r>
      <w:r>
        <w:t xml:space="preserve"> </w:t>
      </w:r>
      <m:oMath>
        <m:r>
          <m:t>a</m:t>
        </m:r>
      </m:oMath>
      <w:r>
        <w:t xml:space="preserve"> </w:t>
      </w:r>
      <w:r>
        <w:t xml:space="preserve">é a quantidade de publicidade. O número de usuários é</w:t>
      </w:r>
      <w:r>
        <w:t xml:space="preserve"> </w:t>
      </w:r>
      <m:oMath>
        <m:r>
          <m:t>n</m:t>
        </m:r>
        <m:r>
          <m:rPr>
            <m:sty m:val="p"/>
          </m:rPr>
          <m:t>=</m:t>
        </m:r>
        <m:r>
          <m:t>200</m:t>
        </m:r>
        <m:r>
          <m:rPr>
            <m:sty m:val="p"/>
          </m:rPr>
          <m:t>(</m:t>
        </m:r>
        <m:r>
          <m:t>10</m:t>
        </m:r>
        <m:r>
          <m:rPr>
            <m:sty m:val="p"/>
          </m:rPr>
          <m:t>−</m:t>
        </m:r>
        <m:r>
          <m:t>2</m:t>
        </m:r>
        <m:r>
          <m:t>a</m:t>
        </m:r>
        <m:r>
          <m:rPr>
            <m:sty m:val="p"/>
          </m:rPr>
          <m:t>−</m:t>
        </m:r>
        <m:sSub>
          <m:e>
            <m:r>
              <m:t>p</m:t>
            </m:r>
          </m:e>
          <m:sub>
            <m:r>
              <m:t>U</m:t>
            </m:r>
          </m:sub>
        </m:sSub>
        <m:r>
          <m:rPr>
            <m:sty m:val="p"/>
          </m:rPr>
          <m:t>)</m:t>
        </m:r>
      </m:oMath>
      <w:r>
        <w:t xml:space="preserve">. A receita de anúncio por impressão é</w:t>
      </w:r>
      <w:r>
        <w:t xml:space="preserve"> </w:t>
      </w:r>
      <m:oMath>
        <m:r>
          <m:t>0</m:t>
        </m:r>
        <m:r>
          <m:rPr>
            <m:sty m:val="p"/>
          </m:rPr>
          <m:t>,</m:t>
        </m:r>
        <m:r>
          <m:t>05</m:t>
        </m:r>
        <m:r>
          <m:t>n</m:t>
        </m:r>
      </m:oMath>
      <w:r>
        <w:t xml:space="preserve">.</w:t>
      </w:r>
    </w:p>
    <w:p>
      <w:pPr>
        <w:pStyle w:val="BlockText"/>
        <w:numPr>
          <w:ilvl w:val="0"/>
          <w:numId w:val="2167"/>
        </w:numPr>
      </w:pPr>
      <w:r>
        <w:t xml:space="preserve">No modelo ad-supported (</w:t>
      </w:r>
      <m:oMath>
        <m:sSub>
          <m:e>
            <m:r>
              <m:t>p</m:t>
            </m:r>
          </m:e>
          <m:sub>
            <m:r>
              <m:t>U</m:t>
            </m:r>
          </m:sub>
        </m:sSub>
        <m:r>
          <m:rPr>
            <m:sty m:val="p"/>
          </m:rPr>
          <m:t>=</m:t>
        </m:r>
        <m:r>
          <m:t>0</m:t>
        </m:r>
      </m:oMath>
      <w:r>
        <w:t xml:space="preserve">), determine a quantidade ótima de publicidade e o lucro.</w:t>
      </w:r>
    </w:p>
    <w:p>
      <w:pPr>
        <w:pStyle w:val="BlockText"/>
        <w:numPr>
          <w:ilvl w:val="0"/>
          <w:numId w:val="2167"/>
        </w:numPr>
      </w:pPr>
      <w:r>
        <w:t xml:space="preserve">No modelo de assinatura (</w:t>
      </w:r>
      <m:oMath>
        <m:r>
          <m:t>a</m:t>
        </m:r>
        <m:r>
          <m:rPr>
            <m:sty m:val="p"/>
          </m:rPr>
          <m:t>=</m:t>
        </m:r>
        <m:r>
          <m:t>0</m:t>
        </m:r>
      </m:oMath>
      <w:r>
        <w:t xml:space="preserve">), determine o preço ótimo e o lucro.</w:t>
      </w:r>
    </w:p>
    <w:p>
      <w:pPr>
        <w:pStyle w:val="BlockText"/>
        <w:numPr>
          <w:ilvl w:val="0"/>
          <w:numId w:val="2167"/>
        </w:numPr>
      </w:pPr>
      <w:r>
        <w:t xml:space="preserve">Compare os modelos. Qual é mais lucrativo?</w:t>
      </w:r>
    </w:p>
    <w:p>
      <w:pPr>
        <w:pStyle w:val="BlockText"/>
        <w:numPr>
          <w:ilvl w:val="0"/>
          <w:numId w:val="2167"/>
        </w:numPr>
      </w:pPr>
      <w:r>
        <w:t xml:space="preserve">Compare o excedente do consumidor nos dois modelos e discuta implicações de equidade.</w:t>
      </w:r>
    </w:p>
    <w:p>
      <w:pPr>
        <w:pStyle w:val="BlockText"/>
      </w:pPr>
      <w:r>
        <w:t xml:space="preserve">Ver solução (Cap. 21)</w:t>
      </w:r>
    </w:p>
    <w:p>
      <w:pPr>
        <w:pStyle w:val="BlockText"/>
      </w:pPr>
      <w:r>
        <w:rPr>
          <w:b/>
          <w:bCs/>
        </w:rPr>
        <w:t xml:space="preserve">[EXERCICIO PROPOSTO] Exercício 21.6 — Discriminação de preços com big data</w:t>
      </w:r>
    </w:p>
    <w:p>
      <w:pPr>
        <w:pStyle w:val="BlockText"/>
      </w:pPr>
      <w:r>
        <w:t xml:space="preserve">Um monopolista pode identificar dois grupos: sensíveis (</w:t>
      </w:r>
      <m:oMath>
        <m:sSub>
          <m:e>
            <m:r>
              <m:t>D</m:t>
            </m:r>
          </m:e>
          <m:sub>
            <m:r>
              <m:t>S</m:t>
            </m:r>
          </m:sub>
        </m:sSub>
        <m:r>
          <m:rPr>
            <m:sty m:val="p"/>
          </m:rPr>
          <m:t>:</m:t>
        </m:r>
        <m:sSub>
          <m:e>
            <m:r>
              <m:t>q</m:t>
            </m:r>
          </m:e>
          <m:sub>
            <m:r>
              <m:t>S</m:t>
            </m:r>
          </m:sub>
        </m:sSub>
        <m:r>
          <m:rPr>
            <m:sty m:val="p"/>
          </m:rPr>
          <m:t>=</m:t>
        </m:r>
        <m:r>
          <m:t>100</m:t>
        </m:r>
        <m:r>
          <m:rPr>
            <m:sty m:val="p"/>
          </m:rPr>
          <m:t>−</m:t>
        </m:r>
        <m:r>
          <m:t>4</m:t>
        </m:r>
        <m:r>
          <m:t>p</m:t>
        </m:r>
      </m:oMath>
      <w:r>
        <w:t xml:space="preserve">, 60% do mercado) e insensíveis (</w:t>
      </w:r>
      <m:oMath>
        <m:sSub>
          <m:e>
            <m:r>
              <m:t>D</m:t>
            </m:r>
          </m:e>
          <m:sub>
            <m:r>
              <m:t>I</m:t>
            </m:r>
          </m:sub>
        </m:sSub>
        <m:r>
          <m:rPr>
            <m:sty m:val="p"/>
          </m:rPr>
          <m:t>:</m:t>
        </m:r>
        <m:sSub>
          <m:e>
            <m:r>
              <m:t>q</m:t>
            </m:r>
          </m:e>
          <m:sub>
            <m:r>
              <m:t>I</m:t>
            </m:r>
          </m:sub>
        </m:sSub>
        <m:r>
          <m:rPr>
            <m:sty m:val="p"/>
          </m:rPr>
          <m:t>=</m:t>
        </m:r>
        <m:r>
          <m:t>100</m:t>
        </m:r>
        <m:r>
          <m:rPr>
            <m:sty m:val="p"/>
          </m:rPr>
          <m:t>−</m:t>
        </m:r>
        <m:r>
          <m:t>p</m:t>
        </m:r>
      </m:oMath>
      <w:r>
        <w:t xml:space="preserve">, 40%). Custo marginal</w:t>
      </w:r>
      <w:r>
        <w:t xml:space="preserve"> </w:t>
      </w:r>
      <m:oMath>
        <m:r>
          <m:t>c</m:t>
        </m:r>
        <m:r>
          <m:rPr>
            <m:sty m:val="p"/>
          </m:rPr>
          <m:t>=</m:t>
        </m:r>
        <m:r>
          <m:t>10</m:t>
        </m:r>
      </m:oMath>
      <w:r>
        <w:t xml:space="preserve">.</w:t>
      </w:r>
    </w:p>
    <w:p>
      <w:pPr>
        <w:pStyle w:val="BlockText"/>
        <w:numPr>
          <w:ilvl w:val="0"/>
          <w:numId w:val="2168"/>
        </w:numPr>
      </w:pPr>
      <w:r>
        <w:t xml:space="preserve">Calcule preço e lucro com preço uniforme.</w:t>
      </w:r>
    </w:p>
    <w:p>
      <w:pPr>
        <w:pStyle w:val="BlockText"/>
        <w:numPr>
          <w:ilvl w:val="0"/>
          <w:numId w:val="2168"/>
        </w:numPr>
      </w:pPr>
      <w:r>
        <w:t xml:space="preserve">Calcule preços e lucro com discriminação de terceiro grau.</w:t>
      </w:r>
    </w:p>
    <w:p>
      <w:pPr>
        <w:pStyle w:val="BlockText"/>
        <w:numPr>
          <w:ilvl w:val="0"/>
          <w:numId w:val="2168"/>
        </w:numPr>
      </w:pPr>
      <w:r>
        <w:t xml:space="preserve">Compare o excedente do consumidor de cada grupo nos dois cenários.</w:t>
      </w:r>
    </w:p>
    <w:p>
      <w:pPr>
        <w:pStyle w:val="BlockText"/>
        <w:numPr>
          <w:ilvl w:val="0"/>
          <w:numId w:val="2168"/>
        </w:numPr>
      </w:pPr>
      <w:r>
        <w:t xml:space="preserve">Discuta as implicações para a regulação de privacidade (LGPD).</w:t>
      </w:r>
    </w:p>
    <w:p>
      <w:pPr>
        <w:pStyle w:val="BlockText"/>
      </w:pPr>
      <w:r>
        <w:t xml:space="preserve">Ver solução (Cap. 21)</w:t>
      </w:r>
    </w:p>
    <w:p>
      <w:pPr>
        <w:pStyle w:val="BlockText"/>
      </w:pPr>
      <w:r>
        <w:rPr>
          <w:b/>
          <w:bCs/>
        </w:rPr>
        <w:t xml:space="preserve">[EXERCICIO PROPOSTO] Exercício 21.7 — Envelopment de plataforma</w:t>
      </w:r>
    </w:p>
    <w:p>
      <w:pPr>
        <w:pStyle w:val="BlockText"/>
      </w:pPr>
      <w:r>
        <w:t xml:space="preserve">Uma plataforma de e-commerce com</w:t>
      </w:r>
      <w:r>
        <w:t xml:space="preserve"> </w:t>
      </w:r>
      <m:oMath>
        <m:sSub>
          <m:e>
            <m:r>
              <m:t>n</m:t>
            </m:r>
          </m:e>
          <m:sub>
            <m:r>
              <m:t>0</m:t>
            </m:r>
          </m:sub>
        </m:sSub>
        <m:r>
          <m:rPr>
            <m:sty m:val="p"/>
          </m:rPr>
          <m:t>=</m:t>
        </m:r>
        <m:r>
          <m:t>50</m:t>
        </m:r>
      </m:oMath>
      <w:r>
        <w:t xml:space="preserve"> </w:t>
      </w:r>
      <w:r>
        <w:t xml:space="preserve">milhões de usuários avalia entrar no mercado de pagamentos digitais. Custo fixo:</w:t>
      </w:r>
      <w:r>
        <w:t xml:space="preserve"> </w:t>
      </w:r>
      <m:oMath>
        <m:sSub>
          <m:e>
            <m:r>
              <m:t>F</m:t>
            </m:r>
          </m:e>
          <m:sub>
            <m:r>
              <m:t>P</m:t>
            </m:r>
          </m:sub>
        </m:sSub>
        <m:r>
          <m:rPr>
            <m:sty m:val="p"/>
          </m:rPr>
          <m:t>=</m:t>
        </m:r>
        <m:r>
          <m:t>500</m:t>
        </m:r>
      </m:oMath>
      <w:r>
        <w:t xml:space="preserve"> </w:t>
      </w:r>
      <w:r>
        <w:t xml:space="preserve">milhões. Benefício adicional por usuário convertido:</w:t>
      </w:r>
      <w:r>
        <w:t xml:space="preserve"> </w:t>
      </w:r>
      <m:oMath>
        <m:r>
          <m:rPr>
            <m:sty m:val="p"/>
          </m:rPr>
          <m:t>Δ</m:t>
        </m:r>
        <m:r>
          <m:t>v</m:t>
        </m:r>
        <m:r>
          <m:rPr>
            <m:sty m:val="p"/>
          </m:rPr>
          <m:t>=</m:t>
        </m:r>
        <m:r>
          <m:t>5</m:t>
        </m:r>
      </m:oMath>
      <w:r>
        <w:t xml:space="preserve"> </w:t>
      </w:r>
      <w:r>
        <w:t xml:space="preserve">R$/ano. Taxa de conversão: 60%.</w:t>
      </w:r>
    </w:p>
    <w:p>
      <w:pPr>
        <w:pStyle w:val="BlockText"/>
        <w:numPr>
          <w:ilvl w:val="0"/>
          <w:numId w:val="2169"/>
        </w:numPr>
      </w:pPr>
      <w:r>
        <w:t xml:space="preserve">Calcule o benefício total anual do serviço de pagamentos.</w:t>
      </w:r>
    </w:p>
    <w:p>
      <w:pPr>
        <w:pStyle w:val="BlockText"/>
        <w:numPr>
          <w:ilvl w:val="0"/>
          <w:numId w:val="2169"/>
        </w:numPr>
      </w:pPr>
      <w:r>
        <w:t xml:space="preserve">Se cada usuário convertido gera receita de transação de R$ 2 por transação (10 transações/mês), em quanto tempo o investimento se paga?</w:t>
      </w:r>
    </w:p>
    <w:p>
      <w:pPr>
        <w:pStyle w:val="BlockText"/>
        <w:numPr>
          <w:ilvl w:val="0"/>
          <w:numId w:val="2169"/>
        </w:numPr>
      </w:pPr>
      <w:r>
        <w:t xml:space="preserve">Qual a barreira à entrada para um concorrente sem base de usuários?</w:t>
      </w:r>
    </w:p>
    <w:p>
      <w:pPr>
        <w:pStyle w:val="BlockText"/>
        <w:numPr>
          <w:ilvl w:val="0"/>
          <w:numId w:val="2169"/>
        </w:numPr>
      </w:pPr>
      <w:r>
        <w:t xml:space="preserve">Discuta as implicações antitruste do envelopment.</w:t>
      </w:r>
    </w:p>
    <w:p>
      <w:pPr>
        <w:pStyle w:val="BlockText"/>
      </w:pPr>
      <w:r>
        <w:t xml:space="preserve">Ver solução (Cap. 21)</w:t>
      </w:r>
    </w:p>
    <w:p>
      <w:pPr>
        <w:pStyle w:val="BlockText"/>
      </w:pPr>
      <w:r>
        <w:rPr>
          <w:b/>
          <w:bCs/>
        </w:rPr>
        <w:t xml:space="preserve">[EXERCICIO PROPOSTO] Exercício 21.8 — Externalidade de privacidade</w:t>
      </w:r>
    </w:p>
    <w:p>
      <w:pPr>
        <w:pStyle w:val="BlockText"/>
      </w:pPr>
      <w:r>
        <w:t xml:space="preserve">Numa rede com 100 usuários, cada um decide se compartilha dados pessoais. Benefício privado:</w:t>
      </w:r>
      <w:r>
        <w:t xml:space="preserve"> </w:t>
      </w:r>
      <m:oMath>
        <m:r>
          <m:t>b</m:t>
        </m:r>
        <m:r>
          <m:rPr>
            <m:sty m:val="p"/>
          </m:rPr>
          <m:t>=</m:t>
        </m:r>
        <m:r>
          <m:t>5</m:t>
        </m:r>
      </m:oMath>
      <w:r>
        <w:t xml:space="preserve">. Custo externo por pessoa afetada:</w:t>
      </w:r>
      <w:r>
        <w:t xml:space="preserve"> </w:t>
      </w:r>
      <m:oMath>
        <m:r>
          <m:t>e</m:t>
        </m:r>
        <m:r>
          <m:rPr>
            <m:sty m:val="p"/>
          </m:rPr>
          <m:t>(</m:t>
        </m:r>
        <m:r>
          <m:t>n</m:t>
        </m:r>
        <m:r>
          <m:rPr>
            <m:sty m:val="p"/>
          </m:rPr>
          <m:t>)</m:t>
        </m:r>
        <m:r>
          <m:rPr>
            <m:sty m:val="p"/>
          </m:rPr>
          <m:t>=</m:t>
        </m:r>
        <m:r>
          <m:t>0</m:t>
        </m:r>
        <m:r>
          <m:rPr>
            <m:sty m:val="p"/>
          </m:rPr>
          <m:t>,</m:t>
        </m:r>
        <m:r>
          <m:t>02</m:t>
        </m:r>
        <m:r>
          <m:t>n</m:t>
        </m:r>
      </m:oMath>
      <w:r>
        <w:t xml:space="preserve">, onde</w:t>
      </w:r>
      <w:r>
        <w:t xml:space="preserve"> </w:t>
      </w:r>
      <m:oMath>
        <m:r>
          <m:t>n</m:t>
        </m:r>
      </m:oMath>
      <w:r>
        <w:t xml:space="preserve"> </w:t>
      </w:r>
      <w:r>
        <w:t xml:space="preserve">é o número de compartilhadores.</w:t>
      </w:r>
    </w:p>
    <w:p>
      <w:pPr>
        <w:pStyle w:val="BlockText"/>
        <w:numPr>
          <w:ilvl w:val="0"/>
          <w:numId w:val="2170"/>
        </w:numPr>
      </w:pPr>
      <w:r>
        <w:t xml:space="preserve">Qual o equilíbrio sem regulação?</w:t>
      </w:r>
    </w:p>
    <w:p>
      <w:pPr>
        <w:pStyle w:val="BlockText"/>
        <w:numPr>
          <w:ilvl w:val="0"/>
          <w:numId w:val="2170"/>
        </w:numPr>
      </w:pPr>
      <w:r>
        <w:t xml:space="preserve">Qual o nível socialmente ótimo de compartilhamento?</w:t>
      </w:r>
    </w:p>
    <w:p>
      <w:pPr>
        <w:pStyle w:val="BlockText"/>
        <w:numPr>
          <w:ilvl w:val="0"/>
          <w:numId w:val="2170"/>
        </w:numPr>
      </w:pPr>
      <w:r>
        <w:t xml:space="preserve">Calcule a taxa pigouviana que internalizaria a externalidade.</w:t>
      </w:r>
    </w:p>
    <w:p>
      <w:pPr>
        <w:pStyle w:val="BlockText"/>
        <w:numPr>
          <w:ilvl w:val="0"/>
          <w:numId w:val="2170"/>
        </w:numPr>
      </w:pPr>
      <w:r>
        <w:t xml:space="preserve">Relacione com a LGPD e o conceito de</w:t>
      </w:r>
      <w:r>
        <w:t xml:space="preserve"> </w:t>
      </w:r>
      <w:r>
        <w:t xml:space="preserve">“consentimento informado”</w:t>
      </w:r>
      <w:r>
        <w:t xml:space="preserve">.</w:t>
      </w:r>
    </w:p>
    <w:p>
      <w:pPr>
        <w:pStyle w:val="BlockText"/>
      </w:pPr>
      <w:r>
        <w:t xml:space="preserve">Ver solução (Cap. 21)</w:t>
      </w:r>
    </w:p>
    <w:p>
      <w:pPr>
        <w:pStyle w:val="BlockText"/>
      </w:pPr>
      <w:r>
        <w:rPr>
          <w:b/>
          <w:bCs/>
        </w:rPr>
        <w:t xml:space="preserve">[EXERCICIO PROPOSTO] Exercício 21.9 — Leilão GSP com quality scores</w:t>
      </w:r>
    </w:p>
    <w:p>
      <w:pPr>
        <w:pStyle w:val="BlockText"/>
      </w:pPr>
      <w:r>
        <w:t xml:space="preserve">Três anunciantes (X, Y, Z) disputam duas posições. Valores por clique:</w:t>
      </w:r>
      <w:r>
        <w:t xml:space="preserve"> </w:t>
      </w:r>
      <m:oMath>
        <m:sSub>
          <m:e>
            <m:r>
              <m:t>v</m:t>
            </m:r>
          </m:e>
          <m:sub>
            <m:r>
              <m:t>X</m:t>
            </m:r>
          </m:sub>
        </m:sSub>
        <m:r>
          <m:rPr>
            <m:sty m:val="p"/>
          </m:rPr>
          <m:t>=</m:t>
        </m:r>
        <m:r>
          <m:t>8</m:t>
        </m:r>
      </m:oMath>
      <w:r>
        <w:t xml:space="preserve">,</w:t>
      </w:r>
      <w:r>
        <w:t xml:space="preserve"> </w:t>
      </w:r>
      <m:oMath>
        <m:sSub>
          <m:e>
            <m:r>
              <m:t>v</m:t>
            </m:r>
          </m:e>
          <m:sub>
            <m:r>
              <m:t>Y</m:t>
            </m:r>
          </m:sub>
        </m:sSub>
        <m:r>
          <m:rPr>
            <m:sty m:val="p"/>
          </m:rPr>
          <m:t>=</m:t>
        </m:r>
        <m:r>
          <m:t>5</m:t>
        </m:r>
      </m:oMath>
      <w:r>
        <w:t xml:space="preserve">,</w:t>
      </w:r>
      <w:r>
        <w:t xml:space="preserve"> </w:t>
      </w:r>
      <m:oMath>
        <m:sSub>
          <m:e>
            <m:r>
              <m:t>v</m:t>
            </m:r>
          </m:e>
          <m:sub>
            <m:r>
              <m:t>Z</m:t>
            </m:r>
          </m:sub>
        </m:sSub>
        <m:r>
          <m:rPr>
            <m:sty m:val="p"/>
          </m:rPr>
          <m:t>=</m:t>
        </m:r>
        <m:r>
          <m:t>3</m:t>
        </m:r>
      </m:oMath>
      <w:r>
        <w:t xml:space="preserve">. Cliques por posição:</w:t>
      </w:r>
      <w:r>
        <w:t xml:space="preserve"> </w:t>
      </w:r>
      <m:oMath>
        <m:sSub>
          <m:e>
            <m:r>
              <m:t>θ</m:t>
            </m:r>
          </m:e>
          <m:sub>
            <m:r>
              <m:t>1</m:t>
            </m:r>
          </m:sub>
        </m:sSub>
        <m:r>
          <m:rPr>
            <m:sty m:val="p"/>
          </m:rPr>
          <m:t>=</m:t>
        </m:r>
        <m:r>
          <m:t>300</m:t>
        </m:r>
      </m:oMath>
      <w:r>
        <w:t xml:space="preserve">,</w:t>
      </w:r>
      <w:r>
        <w:t xml:space="preserve"> </w:t>
      </w:r>
      <m:oMath>
        <m:sSub>
          <m:e>
            <m:r>
              <m:t>θ</m:t>
            </m:r>
          </m:e>
          <m:sub>
            <m:r>
              <m:t>2</m:t>
            </m:r>
          </m:sub>
        </m:sSub>
        <m:r>
          <m:rPr>
            <m:sty m:val="p"/>
          </m:rPr>
          <m:t>=</m:t>
        </m:r>
        <m:r>
          <m:t>150</m:t>
        </m:r>
      </m:oMath>
      <w:r>
        <w:t xml:space="preserve">. Quality scores:</w:t>
      </w:r>
      <w:r>
        <w:t xml:space="preserve"> </w:t>
      </w:r>
      <m:oMath>
        <m:sSub>
          <m:e>
            <m:r>
              <m:t>q</m:t>
            </m:r>
          </m:e>
          <m:sub>
            <m:r>
              <m:t>X</m:t>
            </m:r>
          </m:sub>
        </m:sSub>
        <m:r>
          <m:rPr>
            <m:sty m:val="p"/>
          </m:rPr>
          <m:t>=</m:t>
        </m:r>
        <m:r>
          <m:t>1</m:t>
        </m:r>
        <m:r>
          <m:rPr>
            <m:sty m:val="p"/>
          </m:rPr>
          <m:t>,</m:t>
        </m:r>
        <m:r>
          <m:t>2</m:t>
        </m:r>
      </m:oMath>
      <w:r>
        <w:t xml:space="preserve">,</w:t>
      </w:r>
      <w:r>
        <w:t xml:space="preserve"> </w:t>
      </w:r>
      <m:oMath>
        <m:sSub>
          <m:e>
            <m:r>
              <m:t>q</m:t>
            </m:r>
          </m:e>
          <m:sub>
            <m:r>
              <m:t>Y</m:t>
            </m:r>
          </m:sub>
        </m:sSub>
        <m:r>
          <m:rPr>
            <m:sty m:val="p"/>
          </m:rPr>
          <m:t>=</m:t>
        </m:r>
        <m:r>
          <m:t>1</m:t>
        </m:r>
        <m:r>
          <m:rPr>
            <m:sty m:val="p"/>
          </m:rPr>
          <m:t>,</m:t>
        </m:r>
        <m:r>
          <m:t>0</m:t>
        </m:r>
      </m:oMath>
      <w:r>
        <w:t xml:space="preserve">,</w:t>
      </w:r>
      <w:r>
        <w:t xml:space="preserve"> </w:t>
      </w:r>
      <m:oMath>
        <m:sSub>
          <m:e>
            <m:r>
              <m:t>q</m:t>
            </m:r>
          </m:e>
          <m:sub>
            <m:r>
              <m:t>Z</m:t>
            </m:r>
          </m:sub>
        </m:sSub>
        <m:r>
          <m:rPr>
            <m:sty m:val="p"/>
          </m:rPr>
          <m:t>=</m:t>
        </m:r>
        <m:r>
          <m:t>0</m:t>
        </m:r>
        <m:r>
          <m:rPr>
            <m:sty m:val="p"/>
          </m:rPr>
          <m:t>,</m:t>
        </m:r>
        <m:r>
          <m:t>8</m:t>
        </m:r>
      </m:oMath>
      <w:r>
        <w:t xml:space="preserve">.</w:t>
      </w:r>
    </w:p>
    <w:p>
      <w:pPr>
        <w:pStyle w:val="BlockText"/>
        <w:numPr>
          <w:ilvl w:val="0"/>
          <w:numId w:val="2171"/>
        </w:numPr>
      </w:pPr>
      <w:r>
        <w:t xml:space="preserve">Determine a alocação no GSP com quality scores.</w:t>
      </w:r>
    </w:p>
    <w:p>
      <w:pPr>
        <w:pStyle w:val="BlockText"/>
        <w:numPr>
          <w:ilvl w:val="0"/>
          <w:numId w:val="2171"/>
        </w:numPr>
      </w:pPr>
      <w:r>
        <w:t xml:space="preserve">Calcule o preço por clique de cada anunciante.</w:t>
      </w:r>
    </w:p>
    <w:p>
      <w:pPr>
        <w:pStyle w:val="BlockText"/>
        <w:numPr>
          <w:ilvl w:val="0"/>
          <w:numId w:val="2171"/>
        </w:numPr>
      </w:pPr>
      <w:r>
        <w:t xml:space="preserve">Calcule a receita total do buscador.</w:t>
      </w:r>
    </w:p>
    <w:p>
      <w:pPr>
        <w:pStyle w:val="BlockText"/>
        <w:numPr>
          <w:ilvl w:val="0"/>
          <w:numId w:val="2171"/>
        </w:numPr>
      </w:pPr>
      <w:r>
        <w:t xml:space="preserve">Compare com a receita sem quality scores. Por que o Google os utiliza?</w:t>
      </w:r>
    </w:p>
    <w:p>
      <w:pPr>
        <w:pStyle w:val="BlockText"/>
      </w:pPr>
      <w:r>
        <w:t xml:space="preserve">Ver solução (Cap. 21)</w:t>
      </w:r>
    </w:p>
    <w:p>
      <w:pPr>
        <w:pStyle w:val="BlockText"/>
      </w:pPr>
      <w:r>
        <w:rPr>
          <w:b/>
          <w:bCs/>
        </w:rPr>
        <w:t xml:space="preserve">[EXERCICIO PROPOSTO] Exercício 21.10 — Precificação intertemporal com efeitos de rede</w:t>
      </w:r>
    </w:p>
    <w:p>
      <w:pPr>
        <w:pStyle w:val="BlockText"/>
      </w:pPr>
      <w:r>
        <w:t xml:space="preserve">Uma plataforma opera por dois períodos. Custo marginal</w:t>
      </w:r>
      <w:r>
        <w:t xml:space="preserve"> </w:t>
      </w:r>
      <m:oMath>
        <m:r>
          <m:t>c</m:t>
        </m:r>
        <m:r>
          <m:rPr>
            <m:sty m:val="p"/>
          </m:rPr>
          <m:t>=</m:t>
        </m:r>
        <m:r>
          <m:t>10</m:t>
        </m:r>
      </m:oMath>
      <w:r>
        <w:t xml:space="preserve">. Benefício de rede no período 2:</w:t>
      </w:r>
      <w:r>
        <w:t xml:space="preserve"> </w:t>
      </w:r>
      <m:oMath>
        <m:r>
          <m:t>f</m:t>
        </m:r>
        <m:r>
          <m:rPr>
            <m:sty m:val="p"/>
          </m:rPr>
          <m:t>(</m:t>
        </m:r>
        <m:sSub>
          <m:e>
            <m:r>
              <m:t>n</m:t>
            </m:r>
          </m:e>
          <m:sub>
            <m:r>
              <m:t>1</m:t>
            </m:r>
          </m:sub>
        </m:sSub>
        <m:r>
          <m:rPr>
            <m:sty m:val="p"/>
          </m:rPr>
          <m:t>)</m:t>
        </m:r>
        <m:r>
          <m:rPr>
            <m:sty m:val="p"/>
          </m:rPr>
          <m:t>=</m:t>
        </m:r>
        <m:r>
          <m:t>0</m:t>
        </m:r>
        <m:r>
          <m:rPr>
            <m:sty m:val="p"/>
          </m:rPr>
          <m:t>,</m:t>
        </m:r>
        <m:r>
          <m:t>1</m:t>
        </m:r>
        <m:sSub>
          <m:e>
            <m:r>
              <m:t>n</m:t>
            </m:r>
          </m:e>
          <m:sub>
            <m:r>
              <m:t>1</m:t>
            </m:r>
          </m:sub>
        </m:sSub>
      </m:oMath>
      <w:r>
        <w:t xml:space="preserve">. Demanda:</w:t>
      </w:r>
      <w:r>
        <w:t xml:space="preserve"> </w:t>
      </w:r>
      <m:oMath>
        <m:sSub>
          <m:e>
            <m:r>
              <m:t>n</m:t>
            </m:r>
          </m:e>
          <m:sub>
            <m:r>
              <m:t>t</m:t>
            </m:r>
          </m:sub>
        </m:sSub>
        <m:r>
          <m:rPr>
            <m:sty m:val="p"/>
          </m:rPr>
          <m:t>=</m:t>
        </m:r>
        <m:r>
          <m:t>100</m:t>
        </m:r>
        <m:r>
          <m:rPr>
            <m:sty m:val="p"/>
          </m:rPr>
          <m:t>−</m:t>
        </m:r>
        <m:r>
          <m:t>5</m:t>
        </m:r>
        <m:sSub>
          <m:e>
            <m:r>
              <m:t>p</m:t>
            </m:r>
          </m:e>
          <m:sub>
            <m:r>
              <m:t>t</m:t>
            </m:r>
          </m:sub>
        </m:sSub>
        <m:r>
          <m:rPr>
            <m:sty m:val="p"/>
          </m:rPr>
          <m:t>+</m:t>
        </m:r>
        <m:r>
          <m:t>f</m:t>
        </m:r>
        <m:r>
          <m:rPr>
            <m:sty m:val="p"/>
          </m:rPr>
          <m:t>(</m:t>
        </m:r>
        <m:sSub>
          <m:e>
            <m:r>
              <m:t>n</m:t>
            </m:r>
          </m:e>
          <m:sub>
            <m:r>
              <m:t>t</m:t>
            </m:r>
            <m:r>
              <m:rPr>
                <m:sty m:val="p"/>
              </m:rPr>
              <m:t>−</m:t>
            </m:r>
            <m:r>
              <m:t>1</m:t>
            </m:r>
          </m:sub>
        </m:sSub>
        <m:r>
          <m:rPr>
            <m:sty m:val="p"/>
          </m:rPr>
          <m:t>)</m:t>
        </m:r>
      </m:oMath>
      <w:r>
        <w:t xml:space="preserve">, com</w:t>
      </w:r>
      <w:r>
        <w:t xml:space="preserve"> </w:t>
      </w:r>
      <m:oMath>
        <m:r>
          <m:t>f</m:t>
        </m:r>
        <m:r>
          <m:rPr>
            <m:sty m:val="p"/>
          </m:rPr>
          <m:t>(</m:t>
        </m:r>
        <m:sSub>
          <m:e>
            <m:r>
              <m:t>n</m:t>
            </m:r>
          </m:e>
          <m:sub>
            <m:r>
              <m:t>0</m:t>
            </m:r>
          </m:sub>
        </m:sSub>
        <m:r>
          <m:rPr>
            <m:sty m:val="p"/>
          </m:rPr>
          <m:t>)</m:t>
        </m:r>
        <m:r>
          <m:rPr>
            <m:sty m:val="p"/>
          </m:rPr>
          <m:t>=</m:t>
        </m:r>
        <m:r>
          <m:t>0</m:t>
        </m:r>
      </m:oMath>
      <w:r>
        <w:t xml:space="preserve">.</w:t>
      </w:r>
    </w:p>
    <w:p>
      <w:pPr>
        <w:pStyle w:val="BlockText"/>
        <w:numPr>
          <w:ilvl w:val="0"/>
          <w:numId w:val="2172"/>
        </w:numPr>
      </w:pPr>
      <w:r>
        <w:t xml:space="preserve">Calcule a demanda no período 1 se</w:t>
      </w:r>
      <w:r>
        <w:t xml:space="preserve"> </w:t>
      </w:r>
      <m:oMath>
        <m:sSub>
          <m:e>
            <m:r>
              <m:t>p</m:t>
            </m:r>
          </m:e>
          <m:sub>
            <m:r>
              <m:t>1</m:t>
            </m:r>
          </m:sub>
        </m:sSub>
        <m:r>
          <m:rPr>
            <m:sty m:val="p"/>
          </m:rPr>
          <m:t>=</m:t>
        </m:r>
        <m:r>
          <m:t>5</m:t>
        </m:r>
      </m:oMath>
      <w:r>
        <w:t xml:space="preserve"> </w:t>
      </w:r>
      <w:r>
        <w:t xml:space="preserve">(abaixo do custo).</w:t>
      </w:r>
    </w:p>
    <w:p>
      <w:pPr>
        <w:pStyle w:val="BlockText"/>
        <w:numPr>
          <w:ilvl w:val="0"/>
          <w:numId w:val="2172"/>
        </w:numPr>
      </w:pPr>
      <w:r>
        <w:t xml:space="preserve">Calcule o lucro (prejuízo) no período 1.</w:t>
      </w:r>
    </w:p>
    <w:p>
      <w:pPr>
        <w:pStyle w:val="BlockText"/>
        <w:numPr>
          <w:ilvl w:val="0"/>
          <w:numId w:val="2172"/>
        </w:numPr>
      </w:pPr>
      <w:r>
        <w:t xml:space="preserve">Determine o preço ótimo e o lucro no período 2.</w:t>
      </w:r>
    </w:p>
    <w:p>
      <w:pPr>
        <w:pStyle w:val="BlockText"/>
        <w:numPr>
          <w:ilvl w:val="0"/>
          <w:numId w:val="2172"/>
        </w:numPr>
      </w:pPr>
      <w:r>
        <w:t xml:space="preserve">Compare com a estratégia míope (maximizar lucro separadamente em cada período). Quando a</w:t>
      </w:r>
      <w:r>
        <w:t xml:space="preserve"> </w:t>
      </w:r>
      <w:r>
        <w:t xml:space="preserve">“queima de caixa”</w:t>
      </w:r>
      <w:r>
        <w:t xml:space="preserve"> </w:t>
      </w:r>
      <w:r>
        <w:t xml:space="preserve">se justifica?</w:t>
      </w:r>
    </w:p>
    <w:p>
      <w:pPr>
        <w:pStyle w:val="BlockText"/>
      </w:pPr>
      <w:r>
        <w:t xml:space="preserve">Ver solução (Cap. 21)</w:t>
      </w:r>
    </w:p>
    <w:p>
      <w:r>
        <w:pict>
          <v:rect style="width:0;height:1.5pt" o:hralign="center" o:hrstd="t" o:hr="t"/>
        </w:pict>
      </w:r>
    </w:p>
    <w:bookmarkEnd w:id="1340"/>
    <w:bookmarkStart w:id="1341" w:name="questões-estilo-anpec"/>
    <w:p>
      <w:pPr>
        <w:pStyle w:val="Heading3"/>
      </w:pPr>
      <w:r>
        <w:t xml:space="preserve">Questões Estilo ANPEC</w:t>
      </w:r>
    </w:p>
    <w:p>
      <w:pPr>
        <w:pStyle w:val="BlockText"/>
      </w:pPr>
      <w:r>
        <w:rPr>
          <w:b/>
          <w:bCs/>
        </w:rPr>
        <w:t xml:space="preserve">[QUESTAO] ANPEC — Mercados bilaterais e economia digital</w:t>
      </w:r>
    </w:p>
    <w:p>
      <w:pPr>
        <w:pStyle w:val="BlockText"/>
      </w:pPr>
      <w:r>
        <w:t xml:space="preserve">Julgue as afirmativas como Verdadeiras (V) ou Falsas (F):</w:t>
      </w:r>
    </w:p>
    <w:p>
      <w:pPr>
        <w:pStyle w:val="BlockText"/>
      </w:pPr>
      <w:r>
        <w:rPr>
          <w:b/>
          <w:bCs/>
        </w:rPr>
        <w:t xml:space="preserve">(0)</w:t>
      </w:r>
      <w:r>
        <w:t xml:space="preserve"> </w:t>
      </w:r>
      <w:r>
        <w:t xml:space="preserve">Em um mercado bilateral, a estrutura de preços (quanto cada lado paga) é irrelevante — apenas o nível total de preços (soma dos preços cobrados de ambos os lados) afeta as quantidades de equilíbrio.</w:t>
      </w:r>
    </w:p>
    <w:p>
      <w:pPr>
        <w:pStyle w:val="BlockText"/>
      </w:pPr>
      <w:r>
        <w:rPr>
          <w:b/>
          <w:bCs/>
        </w:rPr>
        <w:t xml:space="preserve">(1)</w:t>
      </w:r>
      <w:r>
        <w:t xml:space="preserve"> </w:t>
      </w:r>
      <w:r>
        <w:t xml:space="preserve">A regra de precificação ótima de uma plataforma bilateral envolve subsidiar o lado que gera maior externalidade cruzada para o outro lado.</w:t>
      </w:r>
    </w:p>
    <w:p>
      <w:pPr>
        <w:pStyle w:val="BlockText"/>
      </w:pPr>
      <w:r>
        <w:rPr>
          <w:b/>
          <w:bCs/>
        </w:rPr>
        <w:t xml:space="preserve">(2)</w:t>
      </w:r>
      <w:r>
        <w:t xml:space="preserve"> </w:t>
      </w:r>
      <w:r>
        <w:t xml:space="preserve">Em mercados com efeitos de rede fortes e single-homing de ambos os lados, a tendência é de winner-take-all: o mercado converge para uma única plataforma dominante.</w:t>
      </w:r>
    </w:p>
    <w:p>
      <w:pPr>
        <w:pStyle w:val="BlockText"/>
      </w:pPr>
      <w:r>
        <w:rPr>
          <w:b/>
          <w:bCs/>
        </w:rPr>
        <w:t xml:space="preserve">(3)</w:t>
      </w:r>
      <w:r>
        <w:t xml:space="preserve"> </w:t>
      </w:r>
      <w:r>
        <w:t xml:space="preserve">A precificação abaixo do custo marginal por uma plataforma digital é sempre evidência de prática predatória anticompetitiva.</w:t>
      </w:r>
    </w:p>
    <w:p>
      <w:pPr>
        <w:pStyle w:val="BlockText"/>
      </w:pPr>
      <w:r>
        <w:rPr>
          <w:b/>
          <w:bCs/>
        </w:rPr>
        <w:t xml:space="preserve">(4)</w:t>
      </w:r>
      <w:r>
        <w:t xml:space="preserve"> </w:t>
      </w:r>
      <w:r>
        <w:t xml:space="preserve">A externalidade de privacidade implica que o nível de compartilhamento de dados no equilíbrio de mercado tende a ser socialmente excessivo, justificando intervenção regulatória como a LGPD.</w:t>
      </w:r>
    </w:p>
    <w:p>
      <w:pPr>
        <w:pStyle w:val="BlockText"/>
      </w:pPr>
      <w:r>
        <w:t xml:space="preserve">??? note</w:t>
      </w:r>
      <w:r>
        <w:t xml:space="preserve"> </w:t>
      </w:r>
      <w:r>
        <w:t xml:space="preserve">“Gabarito”</w:t>
      </w:r>
      <w:r>
        <w:t xml:space="preserve"> </w:t>
      </w:r>
      <w:r>
        <w:rPr>
          <w:b/>
          <w:bCs/>
        </w:rPr>
        <w:t xml:space="preserve">(0) F.</w:t>
      </w:r>
      <w:r>
        <w:t xml:space="preserve"> </w:t>
      </w:r>
      <w:r>
        <w:t xml:space="preserve">A não-neutralidade da estrutura de preços é a assinatura econômica dos mercados bilaterais (Rochet e Tirole, 2003). Cobrar R$ 10 de um lado e R$ 0 do outro gera resultado diferente de R$ 5 de cada.</w:t>
      </w:r>
    </w:p>
    <w:p>
      <w:pPr>
        <w:pStyle w:val="SourceCode"/>
      </w:pPr>
      <w:r>
        <w:rPr>
          <w:rStyle w:val="VerbatimChar"/>
        </w:rPr>
        <w:t xml:space="preserve">**(1) V.** A plataforma reduz o preço para o lado cuja participação gera maior benefício ao outro lado — internalizando a externalidade cruzada (equação 21.12).</w:t>
      </w:r>
      <w:r>
        <w:br/>
      </w:r>
      <w:r>
        <w:br/>
      </w:r>
      <w:r>
        <w:rPr>
          <w:rStyle w:val="VerbatimChar"/>
        </w:rPr>
        <w:t xml:space="preserve">**(2) V.** Com single-homing bilateral, os efeitos de rede são maximais, e a dinâmica de tipping leva a um único vencedor (Seção 21.4).</w:t>
      </w:r>
      <w:r>
        <w:br/>
      </w:r>
      <w:r>
        <w:br/>
      </w:r>
      <w:r>
        <w:rPr>
          <w:rStyle w:val="VerbatimChar"/>
        </w:rPr>
        <w:t xml:space="preserve">**(3) F.** Em mercados bilaterais, preço abaixo do custo marginal para um lado é a estratégia ótima — e pode ser socialmente eficiente — porque internaliza a externalidade cruzada. A lógica predatória do Capítulo 15 não se aplica diretamente.</w:t>
      </w:r>
      <w:r>
        <w:br/>
      </w:r>
      <w:r>
        <w:br/>
      </w:r>
      <w:r>
        <w:rPr>
          <w:rStyle w:val="VerbatimChar"/>
        </w:rPr>
        <w:t xml:space="preserve">**(4) V.** A decisão individual de compartilhar dados impõe externalidade negativa sobre terceiros (equação 21.17), gerando compartilhamento socialmente excessivo — lógica análoga à de qualquer externalidade negativa (Capítulo 20).</w:t>
      </w:r>
    </w:p>
    <w:p>
      <w:pPr>
        <w:pStyle w:val="BlockText"/>
      </w:pPr>
      <w:r>
        <w:rPr>
          <w:b/>
          <w:bCs/>
        </w:rPr>
        <w:t xml:space="preserve">[QUESTAO] ANPEC — Efeitos de rede e competição</w:t>
      </w:r>
    </w:p>
    <w:p>
      <w:pPr>
        <w:pStyle w:val="BlockText"/>
      </w:pPr>
      <w:r>
        <w:t xml:space="preserve">Julgue as afirmativas:</w:t>
      </w:r>
    </w:p>
    <w:p>
      <w:pPr>
        <w:pStyle w:val="BlockText"/>
      </w:pPr>
      <w:r>
        <w:rPr>
          <w:b/>
          <w:bCs/>
        </w:rPr>
        <w:t xml:space="preserve">(0)</w:t>
      </w:r>
      <w:r>
        <w:t xml:space="preserve"> </w:t>
      </w:r>
      <w:r>
        <w:t xml:space="preserve">Efeitos de rede diretos ocorrem quando o valor do produto para um usuário depende do número de usuários do mesmo produto; efeitos indiretos ocorrem quando o valor depende do número de participantes de outro grupo.</w:t>
      </w:r>
    </w:p>
    <w:p>
      <w:pPr>
        <w:pStyle w:val="BlockText"/>
      </w:pPr>
      <w:r>
        <w:rPr>
          <w:b/>
          <w:bCs/>
        </w:rPr>
        <w:t xml:space="preserve">(1)</w:t>
      </w:r>
      <w:r>
        <w:t xml:space="preserve"> </w:t>
      </w:r>
      <w:r>
        <w:t xml:space="preserve">No modelo de adoção com efeitos de rede, a existência de múltiplos equilíbrios é possível, incluindo um equilíbrio de adoção nula que é autorrealizável.</w:t>
      </w:r>
    </w:p>
    <w:p>
      <w:pPr>
        <w:pStyle w:val="BlockText"/>
      </w:pPr>
      <w:r>
        <w:rPr>
          <w:b/>
          <w:bCs/>
        </w:rPr>
        <w:t xml:space="preserve">(2)</w:t>
      </w:r>
      <w:r>
        <w:t xml:space="preserve"> </w:t>
      </w:r>
      <w:r>
        <w:t xml:space="preserve">O multi-homing de pelo menos um lado do mercado tende a reduzir a tendência ao winner-take-all e a disciplinar o poder de mercado das plataformas.</w:t>
      </w:r>
    </w:p>
    <w:p>
      <w:pPr>
        <w:pStyle w:val="BlockText"/>
      </w:pPr>
      <w:r>
        <w:rPr>
          <w:b/>
          <w:bCs/>
        </w:rPr>
        <w:t xml:space="preserve">(3)</w:t>
      </w:r>
      <w:r>
        <w:t xml:space="preserve"> </w:t>
      </w:r>
      <w:r>
        <w:t xml:space="preserve">O mecanismo GSP (Generalized Second Price) é formalmente equivalente ao mecanismo VCG quando há múltiplas posições de anúncio com taxas de clique diferentes.</w:t>
      </w:r>
    </w:p>
    <w:p>
      <w:pPr>
        <w:pStyle w:val="BlockText"/>
      </w:pPr>
      <w:r>
        <w:rPr>
          <w:b/>
          <w:bCs/>
        </w:rPr>
        <w:t xml:space="preserve">(4)</w:t>
      </w:r>
      <w:r>
        <w:t xml:space="preserve"> </w:t>
      </w:r>
      <w:r>
        <w:t xml:space="preserve">Algoritmos de precificação podem convergir para preços supracompetitivos (acima do equilíbrio de Nash) sem programação explícita de colusão, conforme demonstrado por Calvano et al. (2020).</w:t>
      </w:r>
    </w:p>
    <w:p>
      <w:pPr>
        <w:pStyle w:val="BlockText"/>
      </w:pPr>
      <w:r>
        <w:t xml:space="preserve">??? note</w:t>
      </w:r>
      <w:r>
        <w:t xml:space="preserve"> </w:t>
      </w:r>
      <w:r>
        <w:t xml:space="preserve">“Gabarito”</w:t>
      </w:r>
      <w:r>
        <w:t xml:space="preserve"> </w:t>
      </w:r>
      <w:r>
        <w:rPr>
          <w:b/>
          <w:bCs/>
        </w:rPr>
        <w:t xml:space="preserve">(0) V.</w:t>
      </w:r>
      <w:r>
        <w:t xml:space="preserve"> </w:t>
      </w:r>
      <w:r>
        <w:t xml:space="preserve">Definição correta (Seção 21.2).</w:t>
      </w:r>
    </w:p>
    <w:p>
      <w:pPr>
        <w:pStyle w:val="SourceCode"/>
      </w:pPr>
      <w:r>
        <w:rPr>
          <w:rStyle w:val="VerbatimChar"/>
        </w:rPr>
        <w:t xml:space="preserve">**(1) V.** A complementaridade estratégica na adoção gera múltiplos equilíbrios. O equilíbrio $n^* = 0$ existe quando $v_{\max} &lt; p$ — ninguém adota porque ninguém adota (Seção 21.2.3).</w:t>
      </w:r>
      <w:r>
        <w:br/>
      </w:r>
      <w:r>
        <w:br/>
      </w:r>
      <w:r>
        <w:rPr>
          <w:rStyle w:val="VerbatimChar"/>
        </w:rPr>
        <w:t xml:space="preserve">**(2) V.** Armstrong (2006) demonstra que o multi-homing reduz o poder da plataforma sobre o lado que faz multi-homing (Seção 21.4.2).</w:t>
      </w:r>
      <w:r>
        <w:br/>
      </w:r>
      <w:r>
        <w:br/>
      </w:r>
      <w:r>
        <w:rPr>
          <w:rStyle w:val="VerbatimChar"/>
        </w:rPr>
        <w:t xml:space="preserve">**(3) F.** O GSP não é formalmente equivalente ao VCG com múltiplas posições. Edelman, Ostrovsky e Schwarz (2007) mostram que o equilíbrio do GSP se situa entre o VCG e o leilão de primeiro preço (Seção 21.7.1).</w:t>
      </w:r>
      <w:r>
        <w:br/>
      </w:r>
      <w:r>
        <w:br/>
      </w:r>
      <w:r>
        <w:rPr>
          <w:rStyle w:val="VerbatimChar"/>
        </w:rPr>
        <w:t xml:space="preserve">**(4) V.** Resultado de Calvano et al. (2020): algoritmos de Q-learning descobrem estratégias de punição implícitas que sustentam preços elevados (Seção 21.7.3).</w:t>
      </w:r>
    </w:p>
    <w:bookmarkEnd w:id="1341"/>
    <w:bookmarkEnd w:id="1342"/>
    <w:bookmarkStart w:id="1347" w:name="pesquisa-em-ação-capítulo-21"/>
    <w:p>
      <w:pPr>
        <w:pStyle w:val="Heading2"/>
      </w:pPr>
      <w:r>
        <w:t xml:space="preserve">Pesquisa em Ação — Capítulo 21</w:t>
      </w:r>
    </w:p>
    <w:p>
      <w:pPr>
        <w:pStyle w:val="BlockText"/>
      </w:pPr>
      <w:r>
        <w:rPr>
          <w:b/>
          <w:bCs/>
        </w:rPr>
        <w:t xml:space="preserve">[PESQUISA EM ACAO] Paper 1 — Rochet, J.-C.; Tirole, J. (2003). Platform Competition in Two-Sided Markets</w:t>
      </w:r>
    </w:p>
    <w:p>
      <w:pPr>
        <w:pStyle w:val="BlockText"/>
      </w:pPr>
      <w:r>
        <w:rPr>
          <w:b/>
          <w:bCs/>
        </w:rPr>
        <w:t xml:space="preserve">Referência:</w:t>
      </w:r>
      <w:r>
        <w:t xml:space="preserve"> </w:t>
      </w:r>
      <w:r>
        <w:t xml:space="preserve">Rochet, J.-C.; Tirole, J. (2003). Platform Competition in Two-Sided Markets.</w:t>
      </w:r>
      <w:r>
        <w:t xml:space="preserve"> </w:t>
      </w:r>
      <w:r>
        <w:rPr>
          <w:i/>
          <w:iCs/>
        </w:rPr>
        <w:t xml:space="preserve">Journal of the European Economic Association</w:t>
      </w:r>
      <w:r>
        <w:t xml:space="preserve">, 1(4), 990–1029. DOI:</w:t>
      </w:r>
      <w:r>
        <w:t xml:space="preserve"> </w:t>
      </w:r>
      <w:hyperlink r:id="rId1343">
        <w:r>
          <w:rPr>
            <w:rStyle w:val="Hyperlink"/>
          </w:rPr>
          <w:t xml:space="preserve">10.1162/154247603322493212</w:t>
        </w:r>
      </w:hyperlink>
    </w:p>
    <w:p>
      <w:pPr>
        <w:pStyle w:val="BlockText"/>
      </w:pPr>
      <w:r>
        <w:rPr>
          <w:b/>
          <w:bCs/>
        </w:rPr>
        <w:t xml:space="preserve">Contexto:</w:t>
      </w:r>
      <w:r>
        <w:t xml:space="preserve"> </w:t>
      </w:r>
      <w:r>
        <w:t xml:space="preserve">Este paper seminal formalizou a teoria dos mercados bilaterais, demonstrando que a</w:t>
      </w:r>
      <w:r>
        <w:t xml:space="preserve"> </w:t>
      </w:r>
      <w:r>
        <w:rPr>
          <w:b/>
          <w:bCs/>
        </w:rPr>
        <w:t xml:space="preserve">estrutura de preços</w:t>
      </w:r>
      <w:r>
        <w:t xml:space="preserve"> </w:t>
      </w:r>
      <w:r>
        <w:t xml:space="preserve">(e não apenas o nível total) é determinante para a alocação em mercados onde plataformas conectam dois ou mais grupos de agentes. Antes deste trabalho, a teoria de preços de monopólio tratava intermediários como firmas unilaterais.</w:t>
      </w:r>
    </w:p>
    <w:p>
      <w:pPr>
        <w:pStyle w:val="BlockText"/>
      </w:pPr>
      <w:r>
        <w:rPr>
          <w:b/>
          <w:bCs/>
        </w:rPr>
        <w:t xml:space="preserve">Método:</w:t>
      </w:r>
      <w:r>
        <w:t xml:space="preserve"> </w:t>
      </w:r>
      <w:r>
        <w:t xml:space="preserve">Modelagem teórica. Os autores desenvolvem um modelo de plataformas monopolistas e competitivas que servem dois lados com externalidades cruzadas. A condição de otimalidade inclui um</w:t>
      </w:r>
      <w:r>
        <w:t xml:space="preserve"> </w:t>
      </w:r>
      <w:r>
        <w:t xml:space="preserve">“desconto de externalidade”</w:t>
      </w:r>
      <w:r>
        <w:t xml:space="preserve"> </w:t>
      </w:r>
      <w:r>
        <w:t xml:space="preserve">— o preço cobrado de cada lado é reduzido na proporção da externalidade que esse lado gera para o outro.</w:t>
      </w:r>
    </w:p>
    <w:p>
      <w:pPr>
        <w:pStyle w:val="BlockText"/>
      </w:pPr>
      <w:r>
        <w:rPr>
          <w:b/>
          <w:bCs/>
        </w:rPr>
        <w:t xml:space="preserve">Resultado principal:</w:t>
      </w:r>
      <w:r>
        <w:t xml:space="preserve"> </w:t>
      </w:r>
      <w:r>
        <w:t xml:space="preserve">A precificação ótima de plataformas bilaterais é inerentemente assimétrica: o lado que gera maior externalidade cruzada (ou que tem maior elasticidade-preço) deve ser subsidiado, enquanto o outro lado paga mais. A regra se assemelha à precificação de Ramsey, mas modificada para incorporar externalidades entre lados.</w:t>
      </w:r>
    </w:p>
    <w:p>
      <w:pPr>
        <w:pStyle w:val="BlockText"/>
      </w:pPr>
      <w:r>
        <w:rPr>
          <w:b/>
          <w:bCs/>
        </w:rPr>
        <w:t xml:space="preserve">Impacto:</w:t>
      </w:r>
      <w:r>
        <w:t xml:space="preserve"> </w:t>
      </w:r>
      <w:r>
        <w:t xml:space="preserve">O paper redefiniu a análise antitruste de plataformas digitais. Preços abaixo do custo marginal para um lado deixaram de ser automaticamente suspeitos de prática predatória. A contribuição foi central para o Prêmio Nobel de Jean Tirole (2014) e influenciou diretamente o Digital Markets Act europeu.</w:t>
      </w:r>
    </w:p>
    <w:p>
      <w:pPr>
        <w:pStyle w:val="BlockText"/>
      </w:pPr>
      <w:r>
        <w:rPr>
          <w:b/>
          <w:bCs/>
        </w:rPr>
        <w:t xml:space="preserve">Conexão com o capítulo:</w:t>
      </w:r>
      <w:r>
        <w:t xml:space="preserve"> </w:t>
      </w:r>
      <w:r>
        <w:t xml:space="preserve">Seção 21.3 (modelo de Rochet-Tirole, equações 21.7–21.13).</w:t>
      </w:r>
    </w:p>
    <w:p>
      <w:pPr>
        <w:pStyle w:val="BlockText"/>
      </w:pPr>
      <w:r>
        <w:rPr>
          <w:b/>
          <w:bCs/>
        </w:rPr>
        <w:t xml:space="preserve">[PESQUISA EM ACAO] Paper 2 — Parker, G.; Van Alstyne, M. (2005). Two-Sided Network Effects: A Theory of Information Product Design</w:t>
      </w:r>
    </w:p>
    <w:p>
      <w:pPr>
        <w:pStyle w:val="BlockText"/>
      </w:pPr>
      <w:r>
        <w:rPr>
          <w:b/>
          <w:bCs/>
        </w:rPr>
        <w:t xml:space="preserve">Referência:</w:t>
      </w:r>
      <w:r>
        <w:t xml:space="preserve"> </w:t>
      </w:r>
      <w:r>
        <w:t xml:space="preserve">Parker, G.; Van Alstyne, M. (2005). Two-Sided Network Effects: A Theory of Information Product Design.</w:t>
      </w:r>
      <w:r>
        <w:t xml:space="preserve"> </w:t>
      </w:r>
      <w:r>
        <w:rPr>
          <w:i/>
          <w:iCs/>
        </w:rPr>
        <w:t xml:space="preserve">Management Science</w:t>
      </w:r>
      <w:r>
        <w:t xml:space="preserve">, 51(10), 1494–1504. DOI:</w:t>
      </w:r>
      <w:r>
        <w:t xml:space="preserve"> </w:t>
      </w:r>
      <w:hyperlink r:id="rId1344">
        <w:r>
          <w:rPr>
            <w:rStyle w:val="Hyperlink"/>
          </w:rPr>
          <w:t xml:space="preserve">10.1287/mnsc.1050.0400</w:t>
        </w:r>
      </w:hyperlink>
    </w:p>
    <w:p>
      <w:pPr>
        <w:pStyle w:val="BlockText"/>
      </w:pPr>
      <w:r>
        <w:rPr>
          <w:b/>
          <w:bCs/>
        </w:rPr>
        <w:t xml:space="preserve">Contexto:</w:t>
      </w:r>
      <w:r>
        <w:t xml:space="preserve"> </w:t>
      </w:r>
      <w:r>
        <w:t xml:space="preserve">Este paper analisa como efeitos de rede bilaterais afetam o design de produtos de informação, particularmente a decisão de quanto conteúdo ou funcionalidade oferecer gratuitamente versus cobrar.</w:t>
      </w:r>
    </w:p>
    <w:p>
      <w:pPr>
        <w:pStyle w:val="BlockText"/>
      </w:pPr>
      <w:r>
        <w:rPr>
          <w:b/>
          <w:bCs/>
        </w:rPr>
        <w:t xml:space="preserve">Método:</w:t>
      </w:r>
      <w:r>
        <w:t xml:space="preserve"> </w:t>
      </w:r>
      <w:r>
        <w:t xml:space="preserve">Modelo teórico de plataforma bilateral com efeitos de rede cruzados. Os autores analisam a escolha ótima de</w:t>
      </w:r>
      <w:r>
        <w:t xml:space="preserve"> </w:t>
      </w:r>
      <w:r>
        <w:t xml:space="preserve">“abertura”</w:t>
      </w:r>
      <w:r>
        <w:t xml:space="preserve"> </w:t>
      </w:r>
      <w:r>
        <w:t xml:space="preserve">da plataforma (quanto conteúdo é gratuito versus pago) e demonstram que a estratégia ótima depende da intensidade dos efeitos de rede indiretos.</w:t>
      </w:r>
    </w:p>
    <w:p>
      <w:pPr>
        <w:pStyle w:val="BlockText"/>
      </w:pPr>
      <w:r>
        <w:rPr>
          <w:b/>
          <w:bCs/>
        </w:rPr>
        <w:t xml:space="preserve">Resultado principal:</w:t>
      </w:r>
      <w:r>
        <w:t xml:space="preserve"> </w:t>
      </w:r>
      <w:r>
        <w:t xml:space="preserve">A plataforma maximizadora de lucro pode ter incentivo a distribuir gratuitamente uma versão do produto a um lado do mercado para atrair o outro lado — uma formalização da estratégia freemium. A</w:t>
      </w:r>
      <w:r>
        <w:t xml:space="preserve"> </w:t>
      </w:r>
      <w:r>
        <w:t xml:space="preserve">“doação”</w:t>
      </w:r>
      <w:r>
        <w:t xml:space="preserve"> </w:t>
      </w:r>
      <w:r>
        <w:t xml:space="preserve">estratégica de valor gera mais receita do que a cobrança de ambos os lados.</w:t>
      </w:r>
    </w:p>
    <w:p>
      <w:pPr>
        <w:pStyle w:val="BlockText"/>
      </w:pPr>
      <w:r>
        <w:rPr>
          <w:b/>
          <w:bCs/>
        </w:rPr>
        <w:t xml:space="preserve">Conexão com o capítulo:</w:t>
      </w:r>
      <w:r>
        <w:t xml:space="preserve"> </w:t>
      </w:r>
      <w:r>
        <w:t xml:space="preserve">Seções 21.3 (subsídio cruzado) e 21.5 (modelo ad-supported).</w:t>
      </w:r>
    </w:p>
    <w:p>
      <w:pPr>
        <w:pStyle w:val="BlockText"/>
      </w:pPr>
      <w:r>
        <w:rPr>
          <w:b/>
          <w:bCs/>
        </w:rPr>
        <w:t xml:space="preserve">[PESQUISA EM ACAO] Paper 3 — Katz, M.; Shapiro, C. (1985). Network Externalities, Competition, and Compatibility</w:t>
      </w:r>
    </w:p>
    <w:p>
      <w:pPr>
        <w:pStyle w:val="BlockText"/>
      </w:pPr>
      <w:r>
        <w:rPr>
          <w:b/>
          <w:bCs/>
        </w:rPr>
        <w:t xml:space="preserve">Referência:</w:t>
      </w:r>
      <w:r>
        <w:t xml:space="preserve"> </w:t>
      </w:r>
      <w:r>
        <w:t xml:space="preserve">Katz, M.; Shapiro, C. (1985). Network Externalities, Competition, and Compatibility.</w:t>
      </w:r>
      <w:r>
        <w:t xml:space="preserve"> </w:t>
      </w:r>
      <w:r>
        <w:rPr>
          <w:i/>
          <w:iCs/>
        </w:rPr>
        <w:t xml:space="preserve">American Economic Review</w:t>
      </w:r>
      <w:r>
        <w:t xml:space="preserve">, 75(3), 424–440.</w:t>
      </w:r>
    </w:p>
    <w:p>
      <w:pPr>
        <w:pStyle w:val="BlockText"/>
      </w:pPr>
      <w:r>
        <w:rPr>
          <w:b/>
          <w:bCs/>
        </w:rPr>
        <w:t xml:space="preserve">Contexto:</w:t>
      </w:r>
      <w:r>
        <w:t xml:space="preserve"> </w:t>
      </w:r>
      <w:r>
        <w:t xml:space="preserve">Paper fundacional sobre efeitos de rede e suas consequências para a competição e a adoção de tecnologias. Publicado décadas antes da era das plataformas digitais, antecipou com precisão os fenômenos de tipping, lock-in e winner-take-all observados hoje.</w:t>
      </w:r>
    </w:p>
    <w:p>
      <w:pPr>
        <w:pStyle w:val="BlockText"/>
      </w:pPr>
      <w:r>
        <w:rPr>
          <w:b/>
          <w:bCs/>
        </w:rPr>
        <w:t xml:space="preserve">Método:</w:t>
      </w:r>
      <w:r>
        <w:t xml:space="preserve"> </w:t>
      </w:r>
      <w:r>
        <w:t xml:space="preserve">Modelo teórico de competição entre firmas que oferecem produtos com externalidades de rede. Consumidores heterogêneos escolhem entre produtos incompatíveis, e suas decisões geram complementaridades estratégicas.</w:t>
      </w:r>
    </w:p>
    <w:p>
      <w:pPr>
        <w:pStyle w:val="BlockText"/>
      </w:pPr>
      <w:r>
        <w:rPr>
          <w:b/>
          <w:bCs/>
        </w:rPr>
        <w:t xml:space="preserve">Resultado principal:</w:t>
      </w:r>
      <w:r>
        <w:t xml:space="preserve"> </w:t>
      </w:r>
      <w:r>
        <w:t xml:space="preserve">Mercados com externalidades de rede tendem a apresentar equilíbrios múltiplos, incluindo equilíbrios ineficientes em que a tecnologia inferior domina (path dependence). A compatibilidade entre produtos (interoperabilidade) pode melhorar o bem-estar ao permitir que os efeitos de rede operem entre plataformas, não apenas dentro delas.</w:t>
      </w:r>
    </w:p>
    <w:p>
      <w:pPr>
        <w:pStyle w:val="BlockText"/>
      </w:pPr>
      <w:r>
        <w:rPr>
          <w:b/>
          <w:bCs/>
        </w:rPr>
        <w:t xml:space="preserve">Conexão com o capítulo:</w:t>
      </w:r>
      <w:r>
        <w:t xml:space="preserve"> </w:t>
      </w:r>
      <w:r>
        <w:t xml:space="preserve">Seção 21.2 (modelo formal de efeitos de rede, equações 21.2–21.6) e Seção 21.4 (competição entre plataformas).</w:t>
      </w:r>
    </w:p>
    <w:p>
      <w:pPr>
        <w:pStyle w:val="BlockText"/>
      </w:pPr>
      <w:r>
        <w:rPr>
          <w:b/>
          <w:bCs/>
        </w:rPr>
        <w:t xml:space="preserve">[PESQUISA EM ACAO] Paper 4 — Acquisti, A.; Taylor, C.; Wagman, L. (2016). The Economics of Privacy</w:t>
      </w:r>
    </w:p>
    <w:p>
      <w:pPr>
        <w:pStyle w:val="BlockText"/>
      </w:pPr>
      <w:r>
        <w:rPr>
          <w:b/>
          <w:bCs/>
        </w:rPr>
        <w:t xml:space="preserve">Referência:</w:t>
      </w:r>
      <w:r>
        <w:t xml:space="preserve"> </w:t>
      </w:r>
      <w:r>
        <w:t xml:space="preserve">Acquisti, A.; Taylor, C.; Wagman, L. (2016). The Economics of Privacy.</w:t>
      </w:r>
      <w:r>
        <w:t xml:space="preserve"> </w:t>
      </w:r>
      <w:r>
        <w:rPr>
          <w:i/>
          <w:iCs/>
        </w:rPr>
        <w:t xml:space="preserve">Journal of Economic Literature</w:t>
      </w:r>
      <w:r>
        <w:t xml:space="preserve">, 54(2), 442–492. DOI:</w:t>
      </w:r>
      <w:r>
        <w:t xml:space="preserve"> </w:t>
      </w:r>
      <w:hyperlink r:id="rId1345">
        <w:r>
          <w:rPr>
            <w:rStyle w:val="Hyperlink"/>
          </w:rPr>
          <w:t xml:space="preserve">10.1257/jel.54.2.442</w:t>
        </w:r>
      </w:hyperlink>
    </w:p>
    <w:p>
      <w:pPr>
        <w:pStyle w:val="BlockText"/>
      </w:pPr>
      <w:r>
        <w:rPr>
          <w:b/>
          <w:bCs/>
        </w:rPr>
        <w:t xml:space="preserve">Contexto:</w:t>
      </w:r>
      <w:r>
        <w:t xml:space="preserve"> </w:t>
      </w:r>
      <w:r>
        <w:t xml:space="preserve">Survey abrangente sobre a economia da privacidade, cobrindo desde modelos teóricos de divulgação de informação até evidência empírica sobre comportamento dos consumidores e impactos de regulação.</w:t>
      </w:r>
    </w:p>
    <w:p>
      <w:pPr>
        <w:pStyle w:val="BlockText"/>
      </w:pPr>
      <w:r>
        <w:rPr>
          <w:b/>
          <w:bCs/>
        </w:rPr>
        <w:t xml:space="preserve">Método:</w:t>
      </w:r>
      <w:r>
        <w:t xml:space="preserve"> </w:t>
      </w:r>
      <w:r>
        <w:t xml:space="preserve">Revisão da literatura teórica e empírica. Os autores organizam a literatura em torno de três temas: (i) quando a privacidade é valiosa ou prejudicial para os indivíduos; (ii) o</w:t>
      </w:r>
      <w:r>
        <w:t xml:space="preserve"> </w:t>
      </w:r>
      <w:r>
        <w:t xml:space="preserve">“paradoxo da privacidade”</w:t>
      </w:r>
      <w:r>
        <w:t xml:space="preserve"> </w:t>
      </w:r>
      <w:r>
        <w:t xml:space="preserve">(indivíduos declaram valorizar privacidade mas a cedem facilmente); (iii) impactos de regulação de dados sobre firmas, consumidores e inovação.</w:t>
      </w:r>
    </w:p>
    <w:p>
      <w:pPr>
        <w:pStyle w:val="BlockText"/>
      </w:pPr>
      <w:r>
        <w:rPr>
          <w:b/>
          <w:bCs/>
        </w:rPr>
        <w:t xml:space="preserve">Resultado principal:</w:t>
      </w:r>
      <w:r>
        <w:t xml:space="preserve"> </w:t>
      </w:r>
      <w:r>
        <w:t xml:space="preserve">A análise de bem-estar da privacidade é ambígua: maior fluxo de informação pode beneficiar consumidores (via personalização e eficiência) mas também prejudicá-los (via discriminação de preços e manipulação). O</w:t>
      </w:r>
      <w:r>
        <w:t xml:space="preserve"> </w:t>
      </w:r>
      <w:r>
        <w:t xml:space="preserve">“paradoxo da privacidade”</w:t>
      </w:r>
      <w:r>
        <w:t xml:space="preserve"> </w:t>
      </w:r>
      <w:r>
        <w:t xml:space="preserve">pode refletir vieses comportamentais (Capítulo 8) mais do que preferências genuínas. A regulação ótima depende do contexto e do equilíbrio entre os benefícios informacionais e os custos de exploração.</w:t>
      </w:r>
    </w:p>
    <w:p>
      <w:pPr>
        <w:pStyle w:val="BlockText"/>
      </w:pPr>
      <w:r>
        <w:rPr>
          <w:b/>
          <w:bCs/>
        </w:rPr>
        <w:t xml:space="preserve">Conexão com o capítulo:</w:t>
      </w:r>
      <w:r>
        <w:t xml:space="preserve"> </w:t>
      </w:r>
      <w:r>
        <w:t xml:space="preserve">Seção 21.6 (privacidade como externalidade, equação 21.17, LGPD e GDPR).</w:t>
      </w:r>
    </w:p>
    <w:p>
      <w:pPr>
        <w:pStyle w:val="BlockText"/>
      </w:pPr>
      <w:r>
        <w:rPr>
          <w:b/>
          <w:bCs/>
        </w:rPr>
        <w:t xml:space="preserve">[PESQUISA EM ACAO] Paper 5 — Calvano, E.; Calzolari, G.; Denicolò, V.; Pastorello, S. (2020). Artificial Intelligence, Algorithmic Pricing, and Collusion</w:t>
      </w:r>
    </w:p>
    <w:p>
      <w:pPr>
        <w:pStyle w:val="BlockText"/>
      </w:pPr>
      <w:r>
        <w:rPr>
          <w:b/>
          <w:bCs/>
        </w:rPr>
        <w:t xml:space="preserve">Referência:</w:t>
      </w:r>
      <w:r>
        <w:t xml:space="preserve"> </w:t>
      </w:r>
      <w:r>
        <w:t xml:space="preserve">Calvano, E.; Calzolari, G.; Denicolò, V.; Pastorello, S. (2020). Artificial Intelligence, Algorithmic Pricing, and Collusion.</w:t>
      </w:r>
      <w:r>
        <w:t xml:space="preserve"> </w:t>
      </w:r>
      <w:r>
        <w:rPr>
          <w:i/>
          <w:iCs/>
        </w:rPr>
        <w:t xml:space="preserve">American Economic Review</w:t>
      </w:r>
      <w:r>
        <w:t xml:space="preserve">, 110(10), 3267–3297. DOI:</w:t>
      </w:r>
      <w:r>
        <w:t xml:space="preserve"> </w:t>
      </w:r>
      <w:hyperlink r:id="rId1017">
        <w:r>
          <w:rPr>
            <w:rStyle w:val="Hyperlink"/>
          </w:rPr>
          <w:t xml:space="preserve">10.1257/aer.20190623</w:t>
        </w:r>
      </w:hyperlink>
    </w:p>
    <w:p>
      <w:pPr>
        <w:pStyle w:val="BlockText"/>
      </w:pPr>
      <w:r>
        <w:rPr>
          <w:b/>
          <w:bCs/>
        </w:rPr>
        <w:t xml:space="preserve">Contexto:</w:t>
      </w:r>
      <w:r>
        <w:t xml:space="preserve"> </w:t>
      </w:r>
      <w:r>
        <w:t xml:space="preserve">Este paper investiga experimentalmente se algoritmos de aprendizado por reforço (Q-learning) podem aprender a coludir em preços — sem que nenhum programador instrua explicitamente a colusão.</w:t>
      </w:r>
    </w:p>
    <w:p>
      <w:pPr>
        <w:pStyle w:val="BlockText"/>
      </w:pPr>
      <w:r>
        <w:rPr>
          <w:b/>
          <w:bCs/>
        </w:rPr>
        <w:t xml:space="preserve">Método:</w:t>
      </w:r>
      <w:r>
        <w:t xml:space="preserve"> </w:t>
      </w:r>
      <w:r>
        <w:t xml:space="preserve">Simulação computacional. Os autores configuram algoritmos de Q-learning para jogar repetidamente um jogo de oligopólio (Bertrand com bens diferenciados), onde os algoritmos aprendem a melhor resposta por tentativa e erro. Os autores analisam se os preços convergem para o equilíbrio de Nash competitivo ou para preços supracompetitivos (colusivos).</w:t>
      </w:r>
    </w:p>
    <w:p>
      <w:pPr>
        <w:pStyle w:val="BlockText"/>
      </w:pPr>
      <w:r>
        <w:rPr>
          <w:b/>
          <w:bCs/>
        </w:rPr>
        <w:t xml:space="preserve">Resultado principal:</w:t>
      </w:r>
      <w:r>
        <w:t xml:space="preserve"> </w:t>
      </w:r>
      <w:r>
        <w:t xml:space="preserve">Os algoritmos sistematicamente convergem para preços acima do equilíbrio de Nash — e desenvolvem estratégias sofisticadas de punição quando um</w:t>
      </w:r>
      <w:r>
        <w:t xml:space="preserve"> </w:t>
      </w:r>
      <w:r>
        <w:t xml:space="preserve">“concorrente”</w:t>
      </w:r>
      <w:r>
        <w:t xml:space="preserve"> </w:t>
      </w:r>
      <w:r>
        <w:t xml:space="preserve">tenta desviar, sustentando a colusão. Crucialmente, essa coordenação emerge sem comunicação explícita entre os algoritmos, desafiando o framework legal antitruste baseado em</w:t>
      </w:r>
      <w:r>
        <w:t xml:space="preserve"> </w:t>
      </w:r>
      <w:r>
        <w:t xml:space="preserve">“acordos”</w:t>
      </w:r>
      <w:r>
        <w:t xml:space="preserve"> </w:t>
      </w:r>
      <w:r>
        <w:t xml:space="preserve">entre concorrentes.</w:t>
      </w:r>
    </w:p>
    <w:p>
      <w:pPr>
        <w:pStyle w:val="BlockText"/>
      </w:pPr>
      <w:r>
        <w:rPr>
          <w:b/>
          <w:bCs/>
        </w:rPr>
        <w:t xml:space="preserve">Impacto:</w:t>
      </w:r>
      <w:r>
        <w:t xml:space="preserve"> </w:t>
      </w:r>
      <w:r>
        <w:t xml:space="preserve">O paper desencadeou um debate regulatório global sobre</w:t>
      </w:r>
      <w:r>
        <w:t xml:space="preserve"> </w:t>
      </w:r>
      <w:r>
        <w:t xml:space="preserve">“colusão algorítmica”</w:t>
      </w:r>
      <w:r>
        <w:t xml:space="preserve"> </w:t>
      </w:r>
      <w:r>
        <w:t xml:space="preserve">e a adequação do direito concorrencial para lidar com coordenação emergente de inteligência artificial. Autoridades antitruste na UE, EUA e Brasil estão avaliando como adaptar a legislação.</w:t>
      </w:r>
    </w:p>
    <w:p>
      <w:pPr>
        <w:pStyle w:val="BlockText"/>
      </w:pPr>
      <w:r>
        <w:rPr>
          <w:b/>
          <w:bCs/>
        </w:rPr>
        <w:t xml:space="preserve">Conexão com o capítulo:</w:t>
      </w:r>
      <w:r>
        <w:t xml:space="preserve"> </w:t>
      </w:r>
      <w:r>
        <w:t xml:space="preserve">Seção 21.7.3 (precificação algorítmica e risco de colusão).</w:t>
      </w:r>
    </w:p>
    <w:p>
      <w:r>
        <w:pict>
          <v:rect style="width:0;height:1.5pt" o:hralign="center" o:hrstd="t" o:hr="t"/>
        </w:pict>
      </w:r>
    </w:p>
    <w:p>
      <w:pPr>
        <w:pStyle w:val="BlockText"/>
      </w:pPr>
      <w:r>
        <w:rPr>
          <w:b/>
          <w:bCs/>
        </w:rPr>
        <w:t xml:space="preserve">[DICA] Exercício com Inteligência Artificial</w:t>
      </w:r>
    </w:p>
    <w:p>
      <w:pPr>
        <w:pStyle w:val="BlockText"/>
      </w:pPr>
      <w:r>
        <w:rPr>
          <w:b/>
          <w:bCs/>
        </w:rPr>
        <w:t xml:space="preserve">Prompt sugerido para ChatGPT/Claude:</w:t>
      </w:r>
      <w:r>
        <w:t xml:space="preserve"> </w:t>
      </w:r>
      <w:r>
        <w:rPr>
          <w:i/>
          <w:iCs/>
        </w:rPr>
        <w:t xml:space="preserve">“Simule um mercado bilateral com duas plataformas competindo por 1.000 usuários e 100 anunciantes. Cada plataforma pode escolher o preço para usuários (p_U) e para anunciantes (p_A). A utilidade dos usuários na plataforma k é u = 5 + 0,1 × n_A(k) − p_U(k), onde n_A(k) é o número de anunciantes. A utilidade dos anunciantes é w = 2 × n_U(k) − p_A(k). Encontre os equilíbrios de Nash em preços. Existe tipping? Compare com o caso de um planejador social.”</w:t>
      </w:r>
    </w:p>
    <w:p>
      <w:pPr>
        <w:pStyle w:val="BlockText"/>
      </w:pPr>
      <w:r>
        <w:rPr>
          <w:b/>
          <w:bCs/>
        </w:rPr>
        <w:t xml:space="preserve">Objetivo pedagógico:</w:t>
      </w:r>
      <w:r>
        <w:t xml:space="preserve"> </w:t>
      </w:r>
      <w:r>
        <w:t xml:space="preserve">aplicar o modelo de Rochet-Tirole (Seção 21.3) a uma situação de competição (Seção 21.4) com efeitos de rede cruzados, verificando se emerge winner-take-all ou coexistência.</w:t>
      </w:r>
    </w:p>
    <w:p>
      <w:r>
        <w:pict>
          <v:rect style="width:0;height:1.5pt" o:hralign="center" o:hrstd="t" o:hr="t"/>
        </w:pict>
      </w:r>
    </w:p>
    <w:bookmarkStart w:id="1346" w:name="referências-3"/>
    <w:p>
      <w:pPr>
        <w:pStyle w:val="Heading3"/>
      </w:pPr>
      <w:r>
        <w:t xml:space="preserve">Referências</w:t>
      </w:r>
    </w:p>
    <w:p>
      <w:pPr>
        <w:pStyle w:val="Compact"/>
        <w:numPr>
          <w:ilvl w:val="0"/>
          <w:numId w:val="2173"/>
        </w:numPr>
      </w:pPr>
      <w:r>
        <w:t xml:space="preserve">Acquisti, A.; Taylor, C.; Wagman, L. (2016). The Economics of Privacy.</w:t>
      </w:r>
      <w:r>
        <w:t xml:space="preserve"> </w:t>
      </w:r>
      <w:r>
        <w:rPr>
          <w:i/>
          <w:iCs/>
        </w:rPr>
        <w:t xml:space="preserve">Journal of Economic Literature</w:t>
      </w:r>
      <w:r>
        <w:t xml:space="preserve">, 54(2), 442–492.</w:t>
      </w:r>
    </w:p>
    <w:p>
      <w:pPr>
        <w:pStyle w:val="Compact"/>
        <w:numPr>
          <w:ilvl w:val="0"/>
          <w:numId w:val="2173"/>
        </w:numPr>
      </w:pPr>
      <w:r>
        <w:t xml:space="preserve">Anderson, S.; Coate, S. (2005). Market Provision of Broadcasting: A Welfare Analysis.</w:t>
      </w:r>
      <w:r>
        <w:t xml:space="preserve"> </w:t>
      </w:r>
      <w:r>
        <w:rPr>
          <w:i/>
          <w:iCs/>
        </w:rPr>
        <w:t xml:space="preserve">Review of Economic Studies</w:t>
      </w:r>
      <w:r>
        <w:t xml:space="preserve">, 72(4), 947–972.</w:t>
      </w:r>
    </w:p>
    <w:p>
      <w:pPr>
        <w:pStyle w:val="Compact"/>
        <w:numPr>
          <w:ilvl w:val="0"/>
          <w:numId w:val="2173"/>
        </w:numPr>
      </w:pPr>
      <w:r>
        <w:t xml:space="preserve">Armstrong, M. (2006). Competition in Two-Sided Markets.</w:t>
      </w:r>
      <w:r>
        <w:t xml:space="preserve"> </w:t>
      </w:r>
      <w:r>
        <w:rPr>
          <w:i/>
          <w:iCs/>
        </w:rPr>
        <w:t xml:space="preserve">RAND Journal of Economics</w:t>
      </w:r>
      <w:r>
        <w:t xml:space="preserve">, 37(3), 668–691.</w:t>
      </w:r>
    </w:p>
    <w:p>
      <w:pPr>
        <w:pStyle w:val="Compact"/>
        <w:numPr>
          <w:ilvl w:val="0"/>
          <w:numId w:val="2173"/>
        </w:numPr>
      </w:pPr>
      <w:r>
        <w:t xml:space="preserve">CADE (2020).</w:t>
      </w:r>
      <w:r>
        <w:t xml:space="preserve"> </w:t>
      </w:r>
      <w:r>
        <w:rPr>
          <w:i/>
          <w:iCs/>
        </w:rPr>
        <w:t xml:space="preserve">Mercados de Plataformas Digitais</w:t>
      </w:r>
      <w:r>
        <w:t xml:space="preserve">. Departamento de Estudos Econômicos.</w:t>
      </w:r>
    </w:p>
    <w:p>
      <w:pPr>
        <w:pStyle w:val="Compact"/>
        <w:numPr>
          <w:ilvl w:val="0"/>
          <w:numId w:val="2173"/>
        </w:numPr>
      </w:pPr>
      <w:r>
        <w:t xml:space="preserve">Calvano, E.; Calzolari, G.; Denicolò, V.; Pastorello, S. (2020). Artificial Intelligence, Algorithmic Pricing, and Collusion.</w:t>
      </w:r>
      <w:r>
        <w:t xml:space="preserve"> </w:t>
      </w:r>
      <w:r>
        <w:rPr>
          <w:i/>
          <w:iCs/>
        </w:rPr>
        <w:t xml:space="preserve">American Economic Review</w:t>
      </w:r>
      <w:r>
        <w:t xml:space="preserve">, 110(10), 3267–3297.</w:t>
      </w:r>
    </w:p>
    <w:p>
      <w:pPr>
        <w:pStyle w:val="Compact"/>
        <w:numPr>
          <w:ilvl w:val="0"/>
          <w:numId w:val="2173"/>
        </w:numPr>
      </w:pPr>
      <w:r>
        <w:t xml:space="preserve">Crémer, J.; de Montjoye, Y.-A.; Schweitzer, H. (2019).</w:t>
      </w:r>
      <w:r>
        <w:t xml:space="preserve"> </w:t>
      </w:r>
      <w:r>
        <w:rPr>
          <w:i/>
          <w:iCs/>
        </w:rPr>
        <w:t xml:space="preserve">Competition Policy for the Digital Era</w:t>
      </w:r>
      <w:r>
        <w:t xml:space="preserve">. European Commission.</w:t>
      </w:r>
    </w:p>
    <w:p>
      <w:pPr>
        <w:pStyle w:val="Compact"/>
        <w:numPr>
          <w:ilvl w:val="0"/>
          <w:numId w:val="2173"/>
        </w:numPr>
      </w:pPr>
      <w:r>
        <w:t xml:space="preserve">Edelman, B.; Ostrovsky, M.; Schwarz, M. (2007). Internet Advertising and the Generalized Second-Price Auction.</w:t>
      </w:r>
      <w:r>
        <w:t xml:space="preserve"> </w:t>
      </w:r>
      <w:r>
        <w:rPr>
          <w:i/>
          <w:iCs/>
        </w:rPr>
        <w:t xml:space="preserve">American Economic Review</w:t>
      </w:r>
      <w:r>
        <w:t xml:space="preserve">, 97(1), 242–259.</w:t>
      </w:r>
    </w:p>
    <w:p>
      <w:pPr>
        <w:pStyle w:val="Compact"/>
        <w:numPr>
          <w:ilvl w:val="0"/>
          <w:numId w:val="2173"/>
        </w:numPr>
      </w:pPr>
      <w:r>
        <w:t xml:space="preserve">Katz, M.; Shapiro, C. (1985). Network Externalities, Competition, and Compatibility.</w:t>
      </w:r>
      <w:r>
        <w:t xml:space="preserve"> </w:t>
      </w:r>
      <w:r>
        <w:rPr>
          <w:i/>
          <w:iCs/>
        </w:rPr>
        <w:t xml:space="preserve">American Economic Review</w:t>
      </w:r>
      <w:r>
        <w:t xml:space="preserve">, 75(3), 424–440.</w:t>
      </w:r>
    </w:p>
    <w:p>
      <w:pPr>
        <w:pStyle w:val="Compact"/>
        <w:numPr>
          <w:ilvl w:val="0"/>
          <w:numId w:val="2173"/>
        </w:numPr>
      </w:pPr>
      <w:r>
        <w:t xml:space="preserve">Parker, G.; Van Alstyne, M. (2005). Two-Sided Network Effects: A Theory of Information Product Design.</w:t>
      </w:r>
      <w:r>
        <w:t xml:space="preserve"> </w:t>
      </w:r>
      <w:r>
        <w:rPr>
          <w:i/>
          <w:iCs/>
        </w:rPr>
        <w:t xml:space="preserve">Management Science</w:t>
      </w:r>
      <w:r>
        <w:t xml:space="preserve">, 51(10), 1494–1504.</w:t>
      </w:r>
    </w:p>
    <w:p>
      <w:pPr>
        <w:pStyle w:val="Compact"/>
        <w:numPr>
          <w:ilvl w:val="0"/>
          <w:numId w:val="2173"/>
        </w:numPr>
      </w:pPr>
      <w:r>
        <w:t xml:space="preserve">Parker, G.; Van Alstyne, M.; Choudary, S.P. (2016).</w:t>
      </w:r>
      <w:r>
        <w:t xml:space="preserve"> </w:t>
      </w:r>
      <w:r>
        <w:rPr>
          <w:i/>
          <w:iCs/>
        </w:rPr>
        <w:t xml:space="preserve">Platform Revolution</w:t>
      </w:r>
      <w:r>
        <w:t xml:space="preserve">. W.W. Norton.</w:t>
      </w:r>
    </w:p>
    <w:p>
      <w:pPr>
        <w:pStyle w:val="Compact"/>
        <w:numPr>
          <w:ilvl w:val="0"/>
          <w:numId w:val="2173"/>
        </w:numPr>
      </w:pPr>
      <w:r>
        <w:t xml:space="preserve">Rochet, J.-C.; Tirole, J. (2003). Platform Competition in Two-Sided Markets.</w:t>
      </w:r>
      <w:r>
        <w:t xml:space="preserve"> </w:t>
      </w:r>
      <w:r>
        <w:rPr>
          <w:i/>
          <w:iCs/>
        </w:rPr>
        <w:t xml:space="preserve">Journal of the European Economic Association</w:t>
      </w:r>
      <w:r>
        <w:t xml:space="preserve">, 1(4), 990–1029.</w:t>
      </w:r>
    </w:p>
    <w:p>
      <w:pPr>
        <w:pStyle w:val="Compact"/>
        <w:numPr>
          <w:ilvl w:val="0"/>
          <w:numId w:val="2173"/>
        </w:numPr>
      </w:pPr>
      <w:r>
        <w:t xml:space="preserve">Shapiro, C.; Varian, H. (1999).</w:t>
      </w:r>
      <w:r>
        <w:t xml:space="preserve"> </w:t>
      </w:r>
      <w:r>
        <w:rPr>
          <w:i/>
          <w:iCs/>
        </w:rPr>
        <w:t xml:space="preserve">Information Rules: A Strategic Guide to the Network Economy</w:t>
      </w:r>
      <w:r>
        <w:t xml:space="preserve">. Harvard Business School Press.</w:t>
      </w:r>
    </w:p>
    <w:p>
      <w:pPr>
        <w:pStyle w:val="Compact"/>
        <w:numPr>
          <w:ilvl w:val="0"/>
          <w:numId w:val="2173"/>
        </w:numPr>
      </w:pPr>
      <w:r>
        <w:t xml:space="preserve">Tirole, J. (2021). Digital Dystopia.</w:t>
      </w:r>
      <w:r>
        <w:t xml:space="preserve"> </w:t>
      </w:r>
      <w:r>
        <w:rPr>
          <w:i/>
          <w:iCs/>
        </w:rPr>
        <w:t xml:space="preserve">American Economic Review</w:t>
      </w:r>
      <w:r>
        <w:t xml:space="preserve">, 111(6), 2007–2048.</w:t>
      </w:r>
    </w:p>
    <w:p>
      <w:pPr>
        <w:pStyle w:val="Compact"/>
        <w:numPr>
          <w:ilvl w:val="0"/>
          <w:numId w:val="2173"/>
        </w:numPr>
      </w:pPr>
      <w:r>
        <w:t xml:space="preserve">Tirole, J. (2023). Competition and the Industrial Challenge for the Digital Age.</w:t>
      </w:r>
      <w:r>
        <w:t xml:space="preserve"> </w:t>
      </w:r>
      <w:r>
        <w:rPr>
          <w:i/>
          <w:iCs/>
        </w:rPr>
        <w:t xml:space="preserve">Annual Review of Economics</w:t>
      </w:r>
      <w:r>
        <w:t xml:space="preserve">, 15, 573–605.</w:t>
      </w:r>
    </w:p>
    <w:bookmarkEnd w:id="1346"/>
    <w:bookmarkEnd w:id="1347"/>
    <w:bookmarkEnd w:id="1348"/>
    <w:bookmarkStart w:id="1395" w:name="X016333c644cb9baa132f500c9489f1de9512854"/>
    <w:p>
      <w:pPr>
        <w:sectPr>
          <w:footnotePr>
            <w:numRestart w:val="eachSect"/>
          </w:footnotePr>
        </w:sectPr>
      </w:pPr>
    </w:p>
    <w:p>
      <w:pPr>
        <w:pStyle w:val="Heading1"/>
      </w:pPr>
      <w:r>
        <w:t xml:space="preserve">Capítulo 22 — RCTs, Diff-in-Diff e Outras Siglas que Mudaram a Economia</w:t>
      </w:r>
    </w:p>
    <w:p>
      <w:pPr>
        <w:pStyle w:val="FirstParagraph"/>
      </w:pPr>
      <w:r>
        <w:t xml:space="preserve">Se a microeconomia é uma ciência, onde estão os experimentos? Durante a maior parte do século XX, a resposta era desanimadora: economistas observavam o mundo, construíam modelos elegantes, mas raramente testavam suas previsões em ambientes controlados. A economia era considerada uma ciência</w:t>
      </w:r>
      <w:r>
        <w:t xml:space="preserve"> </w:t>
      </w:r>
      <w:r>
        <w:rPr>
          <w:i/>
          <w:iCs/>
        </w:rPr>
        <w:t xml:space="preserve">observacional</w:t>
      </w:r>
      <w:r>
        <w:t xml:space="preserve">, como a astronomia — incapaz de manipular variáveis para identificar relações causais. Essa limitação não era apenas metodológica; era conceitual. Se não podemos realizar experimentos controlados, como distinguir correlação de causalidade? Como saber se o salário mínimo</w:t>
      </w:r>
      <w:r>
        <w:t xml:space="preserve"> </w:t>
      </w:r>
      <w:r>
        <w:rPr>
          <w:i/>
          <w:iCs/>
        </w:rPr>
        <w:t xml:space="preserve">causa</w:t>
      </w:r>
      <w:r>
        <w:t xml:space="preserve"> </w:t>
      </w:r>
      <w:r>
        <w:t xml:space="preserve">desemprego, ou se ambos respondem a um terceiro fator? Como testar se as pessoas realmente maximizam utilidade, ou se os leilões de fato convergem ao equilíbrio previsto pela teoria?</w:t>
      </w:r>
      <w:r>
        <w:rPr>
          <w:rStyle w:val="FootnoteReference"/>
        </w:rPr>
        <w:footnoteReference w:id="1349"/>
      </w:r>
    </w:p>
    <w:p>
      <w:pPr>
        <w:pStyle w:val="BodyText"/>
      </w:pPr>
      <w:r>
        <w:t xml:space="preserve">A economia experimental nasceu para responder essas perguntas. Em pouco mais de meio século, a disciplina passou de curiosidade marginal a ferramenta central da pesquisa econômica, premiada com três Prêmios Nobel (2002, 2019, 2021) e adotada por governos, ONGs e empresas em todo o mundo. Este capítulo complementa o Capítulo 8 (Economia Comportamental), que tratou dos</w:t>
      </w:r>
      <w:r>
        <w:t xml:space="preserve"> </w:t>
      </w:r>
      <w:r>
        <w:rPr>
          <w:i/>
          <w:iCs/>
        </w:rPr>
        <w:t xml:space="preserve">resultados</w:t>
      </w:r>
      <w:r>
        <w:t xml:space="preserve"> </w:t>
      </w:r>
      <w:r>
        <w:t xml:space="preserve">— os vieses e heurísticas que desafiam o modelo do agente racional. Aqui, o foco está nos</w:t>
      </w:r>
      <w:r>
        <w:t xml:space="preserve"> </w:t>
      </w:r>
      <w:r>
        <w:rPr>
          <w:i/>
          <w:iCs/>
        </w:rPr>
        <w:t xml:space="preserve">métodos</w:t>
      </w:r>
      <w:r>
        <w:t xml:space="preserve">: como economistas desenham, conduzem e interpretam experimentos para testar teorias e avaliar políticas públicas.</w:t>
      </w:r>
    </w:p>
    <w:p>
      <w:pPr>
        <w:pStyle w:val="BodyText"/>
      </w:pPr>
      <w:r>
        <w:t xml:space="preserve">O capítulo percorre quatro grandes tradições experimentais. Os</w:t>
      </w:r>
      <w:r>
        <w:t xml:space="preserve"> </w:t>
      </w:r>
      <w:r>
        <w:rPr>
          <w:b/>
          <w:bCs/>
        </w:rPr>
        <w:t xml:space="preserve">experimentos de laboratório</w:t>
      </w:r>
      <w:r>
        <w:t xml:space="preserve"> </w:t>
      </w:r>
      <w:r>
        <w:t xml:space="preserve">(Seção 22.2), herdeiros do trabalho pioneiro de Vernon Smith, trazem participantes a ambientes controlados com incentivos monetários reais para testar previsões teóricas — dos jogos do ultimato ao leilão de dupla. Os</w:t>
      </w:r>
      <w:r>
        <w:t xml:space="preserve"> </w:t>
      </w:r>
      <w:r>
        <w:rPr>
          <w:b/>
          <w:bCs/>
        </w:rPr>
        <w:t xml:space="preserve">experimentos de campo</w:t>
      </w:r>
      <w:r>
        <w:t xml:space="preserve"> </w:t>
      </w:r>
      <w:r>
        <w:t xml:space="preserve">(Seção 22.3) levam o controle experimental ao mundo real, preservando o contexto natural das decisões econômicas. Os</w:t>
      </w:r>
      <w:r>
        <w:t xml:space="preserve"> </w:t>
      </w:r>
      <w:r>
        <w:rPr>
          <w:b/>
          <w:bCs/>
        </w:rPr>
        <w:t xml:space="preserve">ensaios controlados randomizados</w:t>
      </w:r>
      <w:r>
        <w:t xml:space="preserve"> </w:t>
      </w:r>
      <w:r>
        <w:t xml:space="preserve">(RCTs, Seção 22.4), popularizados pelo J-PAL de Banerjee e Duflo, avaliam políticas públicas em larga escala com a mesma lógica dos ensaios clínicos na medicina. E os</w:t>
      </w:r>
      <w:r>
        <w:t xml:space="preserve"> </w:t>
      </w:r>
      <w:r>
        <w:rPr>
          <w:b/>
          <w:bCs/>
        </w:rPr>
        <w:t xml:space="preserve">experimentos naturais</w:t>
      </w:r>
      <w:r>
        <w:t xml:space="preserve"> </w:t>
      </w:r>
      <w:r>
        <w:t xml:space="preserve">(Seção 22.5) exploram variações exógenas que a história ou a política proporcionam, permitindo inferência causal sem manipulação experimental deliberada — a</w:t>
      </w:r>
      <w:r>
        <w:t xml:space="preserve"> </w:t>
      </w:r>
      <w:r>
        <w:t xml:space="preserve">“revolução da credibilidade”</w:t>
      </w:r>
      <w:r>
        <w:t xml:space="preserve"> </w:t>
      </w:r>
      <w:r>
        <w:t xml:space="preserve">que transformou a econometria aplicada.</w:t>
      </w:r>
    </w:p>
    <w:p>
      <w:pPr>
        <w:pStyle w:val="BodyText"/>
      </w:pPr>
      <w:r>
        <w:t xml:space="preserve">A cada etapa, conectamos a metodologia experimental com os modelos teóricos desenvolvidos ao longo do livro: teoria dos jogos (Capítulos 9a–9d), bens públicos (Capítulo 20), mercado de trabalho (Capítulo 17), leilões (Capítulo 9c), informação assimétrica (Capítulo 19) e economia comportamental (Capítulo 8). O resultado é uma visão integrada de como a microeconomia moderna produz conhecimento — combinando teoria formal, evidência empírica e desenho institucional.</w:t>
      </w:r>
    </w:p>
    <w:p>
      <w:pPr>
        <w:pStyle w:val="BodyText"/>
      </w:pPr>
      <w:r>
        <w:t xml:space="preserve">A literatura acadêmica sobre economia experimental é vasta. As referências centrais são Smith (1962) para o leilão de dupla e a teoria do valor induzido, Harrison e List (2004) para a taxonomia de experimentos de campo, Banerjee, Duflo e Kremer (trabalhos diversos) para RCTs em desenvolvimento, Card e Krueger (1994) para experimentos naturais, e Camerer et al. (2016) para a crise de replicação. Para tratamentos de livro-texto, ver Kagel e Roth (1995), Friedman e Cassar (2004) e Duflo, Glennerster e Kremer (2007).</w:t>
      </w:r>
    </w:p>
    <w:p>
      <w:r>
        <w:pict>
          <v:rect style="width:0;height:1.5pt" o:hralign="center" o:hrstd="t" o:hr="t"/>
        </w:pict>
      </w:r>
    </w:p>
    <w:bookmarkStart w:id="1387" w:name="roteiro-do-capítulo-15"/>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22.1</w:t>
            </w:r>
          </w:p>
        </w:tc>
        <w:tc>
          <w:tcPr/>
          <w:p>
            <w:pPr>
              <w:pStyle w:val="Compact"/>
            </w:pPr>
            <w:r>
              <w:t xml:space="preserve">Por que testar a teoria com dados de laboratório?</w:t>
            </w:r>
          </w:p>
        </w:tc>
        <w:tc>
          <w:tcPr/>
          <w:p>
            <w:pPr>
              <w:pStyle w:val="Compact"/>
            </w:pPr>
            <w:r>
              <w:t xml:space="preserve">Motivação para economia experimental</w:t>
            </w:r>
          </w:p>
        </w:tc>
        <w:tc>
          <w:tcPr/>
          <w:p>
            <w:pPr>
              <w:pStyle w:val="Compact"/>
              <w:jc w:val="center"/>
            </w:pPr>
            <w:r>
              <w:t xml:space="preserve">Por que experimentar</w:t>
            </w:r>
          </w:p>
        </w:tc>
      </w:tr>
      <w:tr>
        <w:tc>
          <w:tcPr/>
          <w:p>
            <w:pPr>
              <w:pStyle w:val="Compact"/>
              <w:jc w:val="center"/>
            </w:pPr>
            <w:r>
              <w:t xml:space="preserve">22.2</w:t>
            </w:r>
          </w:p>
        </w:tc>
        <w:tc>
          <w:tcPr/>
          <w:p>
            <w:pPr>
              <w:pStyle w:val="Compact"/>
            </w:pPr>
            <w:r>
              <w:t xml:space="preserve">O que acontece quando colocamos humanos reais num jogo de mercado?</w:t>
            </w:r>
          </w:p>
        </w:tc>
        <w:tc>
          <w:tcPr/>
          <w:p>
            <w:pPr>
              <w:pStyle w:val="Compact"/>
            </w:pPr>
            <w:r>
              <w:t xml:space="preserve">Experimentos de laboratório, Vernon Smith</w:t>
            </w:r>
          </w:p>
        </w:tc>
        <w:tc>
          <w:tcPr/>
          <w:p>
            <w:pPr>
              <w:pStyle w:val="Compact"/>
              <w:jc w:val="center"/>
            </w:pPr>
            <w:r>
              <w:t xml:space="preserve">Laboratório</w:t>
            </w:r>
          </w:p>
        </w:tc>
      </w:tr>
      <w:tr>
        <w:tc>
          <w:tcPr/>
          <w:p>
            <w:pPr>
              <w:pStyle w:val="Compact"/>
              <w:jc w:val="center"/>
            </w:pPr>
            <w:r>
              <w:t xml:space="preserve">22.3</w:t>
            </w:r>
          </w:p>
        </w:tc>
        <w:tc>
          <w:tcPr/>
          <w:p>
            <w:pPr>
              <w:pStyle w:val="Compact"/>
            </w:pPr>
            <w:r>
              <w:t xml:space="preserve">Dá para fazer experimento fora do laboratório — no mundo real?</w:t>
            </w:r>
          </w:p>
        </w:tc>
        <w:tc>
          <w:tcPr/>
          <w:p>
            <w:pPr>
              <w:pStyle w:val="Compact"/>
            </w:pPr>
            <w:r>
              <w:t xml:space="preserve">Experimentos de campo, validade externa</w:t>
            </w:r>
          </w:p>
        </w:tc>
        <w:tc>
          <w:tcPr/>
          <w:p>
            <w:pPr>
              <w:pStyle w:val="Compact"/>
              <w:jc w:val="center"/>
            </w:pPr>
            <w:r>
              <w:t xml:space="preserve">Campo</w:t>
            </w:r>
          </w:p>
        </w:tc>
      </w:tr>
      <w:tr>
        <w:tc>
          <w:tcPr/>
          <w:p>
            <w:pPr>
              <w:pStyle w:val="Compact"/>
              <w:jc w:val="center"/>
            </w:pPr>
            <w:r>
              <w:t xml:space="preserve">22.4</w:t>
            </w:r>
          </w:p>
        </w:tc>
        <w:tc>
          <w:tcPr/>
          <w:p>
            <w:pPr>
              <w:pStyle w:val="Compact"/>
            </w:pPr>
            <w:r>
              <w:t xml:space="preserve">Sorteio é a melhor maneira de medir impacto?</w:t>
            </w:r>
          </w:p>
        </w:tc>
        <w:tc>
          <w:tcPr/>
          <w:p>
            <w:pPr>
              <w:pStyle w:val="Compact"/>
            </w:pPr>
            <w:r>
              <w:t xml:space="preserve">RCTs, Duflo-Banerjee, avaliação de políticas</w:t>
            </w:r>
          </w:p>
        </w:tc>
        <w:tc>
          <w:tcPr/>
          <w:p>
            <w:pPr>
              <w:pStyle w:val="Compact"/>
              <w:jc w:val="center"/>
            </w:pPr>
            <w:r>
              <w:t xml:space="preserve">RCTs</w:t>
            </w:r>
          </w:p>
        </w:tc>
      </w:tr>
      <w:tr>
        <w:tc>
          <w:tcPr/>
          <w:p>
            <w:pPr>
              <w:pStyle w:val="Compact"/>
              <w:jc w:val="center"/>
            </w:pPr>
            <w:r>
              <w:t xml:space="preserve">22.5</w:t>
            </w:r>
          </w:p>
        </w:tc>
        <w:tc>
          <w:tcPr/>
          <w:p>
            <w:pPr>
              <w:pStyle w:val="Compact"/>
            </w:pPr>
            <w:r>
              <w:t xml:space="preserve">Quando a natureza faz o experimento por nós?</w:t>
            </w:r>
          </w:p>
        </w:tc>
        <w:tc>
          <w:tcPr/>
          <w:p>
            <w:pPr>
              <w:pStyle w:val="Compact"/>
            </w:pPr>
            <w:r>
              <w:t xml:space="preserve">Experimentos naturais, DiD, RD</w:t>
            </w:r>
          </w:p>
        </w:tc>
        <w:tc>
          <w:tcPr/>
          <w:p>
            <w:pPr>
              <w:pStyle w:val="Compact"/>
              <w:jc w:val="center"/>
            </w:pPr>
            <w:r>
              <w:t xml:space="preserve">Naturais</w:t>
            </w:r>
          </w:p>
        </w:tc>
      </w:tr>
      <w:tr>
        <w:tc>
          <w:tcPr/>
          <w:p>
            <w:pPr>
              <w:pStyle w:val="Compact"/>
              <w:jc w:val="center"/>
            </w:pPr>
            <w:r>
              <w:t xml:space="preserve">22.6</w:t>
            </w:r>
          </w:p>
        </w:tc>
        <w:tc>
          <w:tcPr/>
          <w:p>
            <w:pPr>
              <w:pStyle w:val="Compact"/>
            </w:pPr>
            <w:r>
              <w:t xml:space="preserve">Como desenhar mecanismos que revelam preferências verdadeiras?</w:t>
            </w:r>
          </w:p>
        </w:tc>
        <w:tc>
          <w:tcPr/>
          <w:p>
            <w:pPr>
              <w:pStyle w:val="Compact"/>
            </w:pPr>
            <w:r>
              <w:t xml:space="preserve">Mecanismos experimentais, BDM, leilão de Vickrey</w:t>
            </w:r>
          </w:p>
        </w:tc>
        <w:tc>
          <w:tcPr/>
          <w:p>
            <w:pPr>
              <w:pStyle w:val="Compact"/>
              <w:jc w:val="center"/>
            </w:pPr>
            <w:r>
              <w:t xml:space="preserve">Mecanismos</w:t>
            </w:r>
          </w:p>
        </w:tc>
      </w:tr>
      <w:tr>
        <w:tc>
          <w:tcPr/>
          <w:p>
            <w:pPr>
              <w:pStyle w:val="Compact"/>
              <w:jc w:val="center"/>
            </w:pPr>
            <w:r>
              <w:t xml:space="preserve">22.7</w:t>
            </w:r>
          </w:p>
        </w:tc>
        <w:tc>
          <w:tcPr/>
          <w:p>
            <w:pPr>
              <w:pStyle w:val="Compact"/>
            </w:pPr>
            <w:r>
              <w:t xml:space="preserve">O que o experimento não consegue responder?</w:t>
            </w:r>
          </w:p>
        </w:tc>
        <w:tc>
          <w:tcPr/>
          <w:p>
            <w:pPr>
              <w:pStyle w:val="Compact"/>
            </w:pPr>
            <w:r>
              <w:t xml:space="preserve">Limites, validade interna vs. externa, controvérsias</w:t>
            </w:r>
          </w:p>
        </w:tc>
        <w:tc>
          <w:tcPr/>
          <w:p>
            <w:pPr>
              <w:pStyle w:val="Compact"/>
              <w:jc w:val="center"/>
            </w:pPr>
            <w:r>
              <w:t xml:space="preserve">Limites</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p>
      <w:pPr>
        <w:pStyle w:val="BlockText"/>
      </w:pPr>
      <w:r>
        <w:rPr>
          <w:b/>
          <w:bCs/>
        </w:rPr>
        <w:t xml:space="preserve">[ATIVIDADE DE SALA] Atividade de Sala — Leilão de Dupla ao Vivo</w:t>
      </w:r>
    </w:p>
    <w:p>
      <w:pPr>
        <w:pStyle w:val="BlockText"/>
      </w:pPr>
      <w:r>
        <w:rPr>
          <w:b/>
          <w:bCs/>
        </w:rPr>
        <w:t xml:space="preserve">Formato:</w:t>
      </w:r>
      <w:r>
        <w:t xml:space="preserve"> </w:t>
      </w:r>
      <w:r>
        <w:t xml:space="preserve">Experimento de mercado (pit market) à la Vernon Smith</w:t>
      </w:r>
      <w:r>
        <w:t xml:space="preserve"> </w:t>
      </w:r>
      <w:r>
        <w:rPr>
          <w:b/>
          <w:bCs/>
        </w:rPr>
        <w:t xml:space="preserve">Duração:</w:t>
      </w:r>
      <w:r>
        <w:t xml:space="preserve"> </w:t>
      </w:r>
      <w:r>
        <w:t xml:space="preserve">40–50 minutos (10 preparação + 20 rodadas + 10 debrief)</w:t>
      </w:r>
      <w:r>
        <w:t xml:space="preserve"> </w:t>
      </w:r>
      <w:r>
        <w:rPr>
          <w:b/>
          <w:bCs/>
        </w:rPr>
        <w:t xml:space="preserve">Material:</w:t>
      </w:r>
      <w:r>
        <w:t xml:space="preserve"> </w:t>
      </w:r>
      <w:r>
        <w:t xml:space="preserve">Fichas coloridas (azul = compradores, vermelha = vendedores), quadro para registro de preços.</w:t>
      </w:r>
    </w:p>
    <w:p>
      <w:pPr>
        <w:pStyle w:val="BlockText"/>
      </w:pPr>
      <w:r>
        <w:rPr>
          <w:b/>
          <w:bCs/>
        </w:rPr>
        <w:t xml:space="preserve">Preparação (10 min):</w:t>
      </w:r>
    </w:p>
    <w:p>
      <w:pPr>
        <w:pStyle w:val="Compact"/>
        <w:numPr>
          <w:ilvl w:val="0"/>
          <w:numId w:val="2174"/>
        </w:numPr>
      </w:pPr>
      <w:r>
        <w:t xml:space="preserve">Divida a turma em dois grupos iguais:</w:t>
      </w:r>
      <w:r>
        <w:t xml:space="preserve"> </w:t>
      </w:r>
      <w:r>
        <w:rPr>
          <w:b/>
          <w:bCs/>
        </w:rPr>
        <w:t xml:space="preserve">Compradores</w:t>
      </w:r>
      <w:r>
        <w:t xml:space="preserve"> </w:t>
      </w:r>
      <w:r>
        <w:t xml:space="preserve">e</w:t>
      </w:r>
      <w:r>
        <w:t xml:space="preserve"> </w:t>
      </w:r>
      <w:r>
        <w:rPr>
          <w:b/>
          <w:bCs/>
        </w:rPr>
        <w:t xml:space="preserve">Vendedores</w:t>
      </w:r>
      <w:r>
        <w:t xml:space="preserve">.</w:t>
      </w:r>
    </w:p>
    <w:p>
      <w:pPr>
        <w:pStyle w:val="Compact"/>
        <w:numPr>
          <w:ilvl w:val="0"/>
          <w:numId w:val="2174"/>
        </w:numPr>
      </w:pPr>
      <w:r>
        <w:t xml:space="preserve">Cada Comprador recebe uma ficha azul com um</w:t>
      </w:r>
      <w:r>
        <w:t xml:space="preserve"> </w:t>
      </w:r>
      <w:r>
        <w:rPr>
          <w:b/>
          <w:bCs/>
        </w:rPr>
        <w:t xml:space="preserve">valor de resgate</w:t>
      </w:r>
      <w:r>
        <w:t xml:space="preserve"> </w:t>
      </w:r>
      <w:r>
        <w:t xml:space="preserve">secreto (e.g., R$ 4, R$ 8, R$ 12, R$ 16, R$ 20 — distribuídos aleatoriamente).</w:t>
      </w:r>
    </w:p>
    <w:p>
      <w:pPr>
        <w:pStyle w:val="Compact"/>
        <w:numPr>
          <w:ilvl w:val="0"/>
          <w:numId w:val="2174"/>
        </w:numPr>
      </w:pPr>
      <w:r>
        <w:t xml:space="preserve">Cada Vendedor recebe uma ficha vermelha com um</w:t>
      </w:r>
      <w:r>
        <w:t xml:space="preserve"> </w:t>
      </w:r>
      <w:r>
        <w:rPr>
          <w:b/>
          <w:bCs/>
        </w:rPr>
        <w:t xml:space="preserve">custo de produção</w:t>
      </w:r>
      <w:r>
        <w:t xml:space="preserve"> </w:t>
      </w:r>
      <w:r>
        <w:t xml:space="preserve">secreto (e.g., R$ 2, R$ 6, R$ 10, R$ 14, R$ 18).</w:t>
      </w:r>
    </w:p>
    <w:p>
      <w:pPr>
        <w:pStyle w:val="Compact"/>
        <w:numPr>
          <w:ilvl w:val="0"/>
          <w:numId w:val="2174"/>
        </w:numPr>
      </w:pPr>
      <w:r>
        <w:t xml:space="preserve">Explique:</w:t>
      </w:r>
      <w:r>
        <w:t xml:space="preserve"> </w:t>
      </w:r>
      <w:r>
        <w:t xml:space="preserve">“Compradores, vocês ganham (valor − preço pago) se comprarem. Vendedores, vocês ganham (preço recebido − custo) se venderem. Ninguém é obrigado a negociar.”</w:t>
      </w:r>
    </w:p>
    <w:p>
      <w:pPr>
        <w:pStyle w:val="Compact"/>
        <w:numPr>
          <w:ilvl w:val="0"/>
          <w:numId w:val="2174"/>
        </w:numPr>
      </w:pPr>
      <w:r>
        <w:t xml:space="preserve">Desenhe no quadro as curvas de oferta e demanda</w:t>
      </w:r>
      <w:r>
        <w:t xml:space="preserve"> </w:t>
      </w:r>
      <w:r>
        <w:rPr>
          <w:b/>
          <w:bCs/>
        </w:rPr>
        <w:t xml:space="preserve">teóricas</w:t>
      </w:r>
      <w:r>
        <w:t xml:space="preserve"> </w:t>
      </w:r>
      <w:r>
        <w:t xml:space="preserve">(que os alunos não conhecem), marcando o preço e a quantidade de equilíbrio.</w:t>
      </w:r>
    </w:p>
    <w:p>
      <w:pPr>
        <w:pStyle w:val="BlockText"/>
      </w:pPr>
      <w:r>
        <w:rPr>
          <w:b/>
          <w:bCs/>
        </w:rPr>
        <w:t xml:space="preserve">Fase 1 — Negociação livre (rodadas 1–3, 10 min):</w:t>
      </w:r>
    </w:p>
    <w:p>
      <w:pPr>
        <w:pStyle w:val="Compact"/>
        <w:numPr>
          <w:ilvl w:val="0"/>
          <w:numId w:val="2175"/>
        </w:numPr>
      </w:pPr>
      <w:r>
        <w:t xml:space="preserve">Compradores e vendedores circulam pela sala e negociam bilateralmente.</w:t>
      </w:r>
    </w:p>
    <w:p>
      <w:pPr>
        <w:pStyle w:val="Compact"/>
        <w:numPr>
          <w:ilvl w:val="0"/>
          <w:numId w:val="2175"/>
        </w:numPr>
      </w:pPr>
      <w:r>
        <w:t xml:space="preserve">Cada transação é registrada no quadro (preço e identidades).</w:t>
      </w:r>
    </w:p>
    <w:p>
      <w:pPr>
        <w:pStyle w:val="Compact"/>
        <w:numPr>
          <w:ilvl w:val="0"/>
          <w:numId w:val="2175"/>
        </w:numPr>
      </w:pPr>
      <w:r>
        <w:rPr>
          <w:b/>
          <w:bCs/>
        </w:rPr>
        <w:t xml:space="preserve">Resultado esperado:</w:t>
      </w:r>
      <w:r>
        <w:t xml:space="preserve"> </w:t>
      </w:r>
      <w:r>
        <w:t xml:space="preserve">Preços dispersos, eficiência baixa (~70–80%). Replica o resultado de Chamberlin (1948).</w:t>
      </w:r>
    </w:p>
    <w:p>
      <w:pPr>
        <w:pStyle w:val="BlockText"/>
      </w:pPr>
      <w:r>
        <w:rPr>
          <w:b/>
          <w:bCs/>
        </w:rPr>
        <w:t xml:space="preserve">Fase 2 — Leilão de dupla (rodadas 4–8, 10 min):</w:t>
      </w:r>
    </w:p>
    <w:p>
      <w:pPr>
        <w:pStyle w:val="Compact"/>
        <w:numPr>
          <w:ilvl w:val="0"/>
          <w:numId w:val="2176"/>
        </w:numPr>
      </w:pPr>
      <w:r>
        <w:t xml:space="preserve">Mude o mecanismo: compradores anunciam lances (</w:t>
      </w:r>
      <w:r>
        <w:t xml:space="preserve">“compro por R$ X!”</w:t>
      </w:r>
      <w:r>
        <w:t xml:space="preserve">) e vendedores anunciam ofertas (</w:t>
      </w:r>
      <w:r>
        <w:t xml:space="preserve">“vendo por R$ Y!”</w:t>
      </w:r>
      <w:r>
        <w:t xml:space="preserve">). Transação ocorre quando um lance iguala ou supera uma oferta.</w:t>
      </w:r>
    </w:p>
    <w:p>
      <w:pPr>
        <w:pStyle w:val="Compact"/>
        <w:numPr>
          <w:ilvl w:val="0"/>
          <w:numId w:val="2176"/>
        </w:numPr>
      </w:pPr>
      <w:r>
        <w:t xml:space="preserve">Registre cada transação no quadro.</w:t>
      </w:r>
    </w:p>
    <w:p>
      <w:pPr>
        <w:pStyle w:val="Compact"/>
        <w:numPr>
          <w:ilvl w:val="0"/>
          <w:numId w:val="2176"/>
        </w:numPr>
      </w:pPr>
      <w:r>
        <w:rPr>
          <w:b/>
          <w:bCs/>
        </w:rPr>
        <w:t xml:space="preserve">Resultado esperado:</w:t>
      </w:r>
      <w:r>
        <w:t xml:space="preserve"> </w:t>
      </w:r>
      <w:r>
        <w:t xml:space="preserve">Preços convergem para o equilíbrio competitivo em 2–3 rodadas. Eficiência sobe para 95%+. Replica o resultado de Smith (1962).</w:t>
      </w:r>
    </w:p>
    <w:p>
      <w:pPr>
        <w:pStyle w:val="BlockText"/>
      </w:pPr>
      <w:r>
        <w:rPr>
          <w:b/>
          <w:bCs/>
        </w:rPr>
        <w:t xml:space="preserve">Debrief (10 min):</w:t>
      </w:r>
    </w:p>
    <w:p>
      <w:pPr>
        <w:pStyle w:val="Compact"/>
        <w:numPr>
          <w:ilvl w:val="0"/>
          <w:numId w:val="2177"/>
        </w:numPr>
      </w:pPr>
      <w:r>
        <w:t xml:space="preserve">Revele as curvas de oferta e demanda teóricas. Compare com os preços observados.</w:t>
      </w:r>
    </w:p>
    <w:p>
      <w:pPr>
        <w:pStyle w:val="Compact"/>
        <w:numPr>
          <w:ilvl w:val="0"/>
          <w:numId w:val="2177"/>
        </w:numPr>
      </w:pPr>
      <w:r>
        <w:t xml:space="preserve">Pergunte:</w:t>
      </w:r>
      <w:r>
        <w:t xml:space="preserve"> </w:t>
      </w:r>
      <w:r>
        <w:rPr>
          <w:i/>
          <w:iCs/>
        </w:rPr>
        <w:t xml:space="preserve">“Por que a Fase 2 convergiu e a Fase 1 não?”</w:t>
      </w:r>
      <w:r>
        <w:t xml:space="preserve"> </w:t>
      </w:r>
      <w:r>
        <w:t xml:space="preserve">→ O mecanismo importa (transparência de preços, competição aberta).</w:t>
      </w:r>
    </w:p>
    <w:p>
      <w:pPr>
        <w:pStyle w:val="Compact"/>
        <w:numPr>
          <w:ilvl w:val="0"/>
          <w:numId w:val="2177"/>
        </w:numPr>
      </w:pPr>
      <w:r>
        <w:t xml:space="preserve">Pergunte:</w:t>
      </w:r>
      <w:r>
        <w:t xml:space="preserve"> </w:t>
      </w:r>
      <w:r>
        <w:rPr>
          <w:i/>
          <w:iCs/>
        </w:rPr>
        <w:t xml:space="preserve">“Alguém com custo alto vendeu? Alguém com valor baixo comprou?”</w:t>
      </w:r>
      <w:r>
        <w:t xml:space="preserve"> </w:t>
      </w:r>
      <w:r>
        <w:t xml:space="preserve">→ Seleção pelo mercado.</w:t>
      </w:r>
    </w:p>
    <w:p>
      <w:pPr>
        <w:pStyle w:val="Compact"/>
        <w:numPr>
          <w:ilvl w:val="0"/>
          <w:numId w:val="2177"/>
        </w:numPr>
      </w:pPr>
      <w:r>
        <w:t xml:space="preserve">Pergunte:</w:t>
      </w:r>
      <w:r>
        <w:t xml:space="preserve"> </w:t>
      </w:r>
      <w:r>
        <w:rPr>
          <w:i/>
          <w:iCs/>
        </w:rPr>
        <w:t xml:space="preserve">“Quantas transações deveriam ter ocorrido? Quantas de fato ocorreram?”</w:t>
      </w:r>
      <w:r>
        <w:t xml:space="preserve"> </w:t>
      </w:r>
      <w:r>
        <w:t xml:space="preserve">→ Eficiência de mercado.</w:t>
      </w:r>
    </w:p>
    <w:p>
      <w:pPr>
        <w:pStyle w:val="Compact"/>
        <w:numPr>
          <w:ilvl w:val="0"/>
          <w:numId w:val="2177"/>
        </w:numPr>
      </w:pPr>
      <w:r>
        <w:t xml:space="preserve">Conecte com: equilíbrio competitivo (Cap. 13), teoria do valor induzido (Seção 22.2), e a questão de por que mercados funcionam com tão poucos participantes.</w:t>
      </w:r>
    </w:p>
    <w:p>
      <w:pPr>
        <w:pStyle w:val="BlockText"/>
      </w:pPr>
      <w:r>
        <w:rPr>
          <w:b/>
          <w:bCs/>
        </w:rPr>
        <w:t xml:space="preserve">Conexão com o capítulo:</w:t>
      </w:r>
      <w:r>
        <w:t xml:space="preserve"> </w:t>
      </w:r>
      <w:r>
        <w:t xml:space="preserve">Seções 22.1 (motivação), 22.2 (valor induzido e leilão de dupla). Inspirado em Smith (1962) e Holt (2007, Cap. 1).</w:t>
      </w:r>
    </w:p>
    <w:bookmarkStart w:id="1355" w:name="Xa70776c743352cfcf688e52512673332e5e4007"/>
    <w:p>
      <w:pPr>
        <w:pStyle w:val="Heading3"/>
      </w:pPr>
      <w:r>
        <w:t xml:space="preserve">22.1 Por que experimentar?</w:t>
      </w:r>
    </w:p>
    <w:bookmarkStart w:id="1350" w:name="o-problema-da-endogeneidade"/>
    <w:p>
      <w:pPr>
        <w:pStyle w:val="Heading4"/>
      </w:pPr>
      <w:r>
        <w:t xml:space="preserve">22.1.1 O problema da endogeneidade</w:t>
      </w:r>
    </w:p>
    <w:p>
      <w:pPr>
        <w:pStyle w:val="FirstParagraph"/>
      </w:pPr>
      <w:r>
        <w:t xml:space="preserve">A microeconomia clássica — dos Capítulos 3 a 20 deste livro — é construída sobre modelos de equilíbrio: consumidores maximizam utilidade, firmas maximizam lucro, e os preços ajustam-se para igualar oferta e demanda. Mas como testar se essas previsões são verdadeiras? O problema fundamental é a</w:t>
      </w:r>
      <w:r>
        <w:t xml:space="preserve"> </w:t>
      </w:r>
      <w:r>
        <w:rPr>
          <w:b/>
          <w:bCs/>
        </w:rPr>
        <w:t xml:space="preserve">endogeneidade</w:t>
      </w:r>
      <w:r>
        <w:t xml:space="preserve">: em dados observacionais, as variáveis que gostaríamos de tratar como</w:t>
      </w:r>
      <w:r>
        <w:t xml:space="preserve"> </w:t>
      </w:r>
      <w:r>
        <w:t xml:space="preserve">“causas”</w:t>
      </w:r>
      <w:r>
        <w:t xml:space="preserve"> </w:t>
      </w:r>
      <w:r>
        <w:t xml:space="preserve">são determinadas simultaneamente com os</w:t>
      </w:r>
      <w:r>
        <w:t xml:space="preserve"> </w:t>
      </w:r>
      <w:r>
        <w:t xml:space="preserve">“efeitos”</w:t>
      </w:r>
      <w:r>
        <w:t xml:space="preserve"> </w:t>
      </w:r>
      <w:r>
        <w:t xml:space="preserve">que queremos medir.</w:t>
      </w:r>
    </w:p>
    <w:p>
      <w:pPr>
        <w:pStyle w:val="BodyText"/>
      </w:pPr>
      <w:r>
        <w:t xml:space="preserve">Considere um exemplo concreto do Capítulo 17 (Economia do Trabalho): o governo aumenta o salário mínimo de R$ 1.320 para R$ 1.412. Observamos que, seis meses depois, o emprego formal em certas regiões caiu. Podemos concluir que o salário mínimo</w:t>
      </w:r>
      <w:r>
        <w:t xml:space="preserve"> </w:t>
      </w:r>
      <w:r>
        <w:rPr>
          <w:i/>
          <w:iCs/>
        </w:rPr>
        <w:t xml:space="preserve">causou</w:t>
      </w:r>
      <w:r>
        <w:t xml:space="preserve"> </w:t>
      </w:r>
      <w:r>
        <w:t xml:space="preserve">desemprego? Não necessariamente. As regiões mais afetadas podem ter características diferentes (estrutura produtiva, sazonalidade, choques locais) que</w:t>
      </w:r>
      <w:r>
        <w:t xml:space="preserve"> </w:t>
      </w:r>
      <w:r>
        <w:rPr>
          <w:i/>
          <w:iCs/>
        </w:rPr>
        <w:t xml:space="preserve">também</w:t>
      </w:r>
      <w:r>
        <w:t xml:space="preserve"> </w:t>
      </w:r>
      <w:r>
        <w:t xml:space="preserve">afetam o emprego. Formalmente, se estimamos:</w:t>
      </w:r>
    </w:p>
    <w:p>
      <w:pPr>
        <w:pStyle w:val="BodyText"/>
      </w:pPr>
      <w:r>
        <w:t xml:space="preserve">$$
    \Delta \text{Emprego}_i = \alpha + \beta \cdot \Delta \text{SalárioMín}_i + \varepsilon_i \label{eq:22.1} \tag{22.1}
    $$</w:t>
      </w:r>
    </w:p>
    <w:p>
      <w:pPr>
        <w:pStyle w:val="FirstParagraph"/>
      </w:pPr>
      <w:r>
        <w:t xml:space="preserve">o coeficiente</w:t>
      </w:r>
      <w:r>
        <w:t xml:space="preserve"> </w:t>
      </w:r>
      <m:oMath>
        <m:r>
          <m:t>β</m:t>
        </m:r>
      </m:oMath>
      <w:r>
        <w:t xml:space="preserve"> </w:t>
      </w:r>
      <w:r>
        <w:t xml:space="preserve">captura o efeito causal apenas se</w:t>
      </w:r>
      <w:r>
        <w:t xml:space="preserve"> </w:t>
      </w:r>
      <m:oMath>
        <m:r>
          <m:rPr>
            <m:nor/>
            <m:sty m:val="p"/>
          </m:rPr>
          <m:t>Cov</m:t>
        </m:r>
        <m:r>
          <m:rPr>
            <m:sty m:val="p"/>
          </m:rPr>
          <m:t>(</m:t>
        </m:r>
        <m:r>
          <m:rPr>
            <m:sty m:val="p"/>
          </m:rPr>
          <m:t>Δ</m:t>
        </m:r>
        <m:sSub>
          <m:e>
            <m:r>
              <m:rPr>
                <m:nor/>
                <m:sty m:val="p"/>
              </m:rPr>
              <m:t>SalárioMín</m:t>
            </m:r>
          </m:e>
          <m:sub>
            <m:r>
              <m:t>i</m:t>
            </m:r>
          </m:sub>
        </m:sSub>
        <m:r>
          <m:rPr>
            <m:sty m:val="p"/>
          </m:rPr>
          <m:t>,</m:t>
        </m:r>
        <m:sSub>
          <m:e>
            <m:r>
              <m:t>ε</m:t>
            </m:r>
          </m:e>
          <m:sub>
            <m:r>
              <m:t>i</m:t>
            </m:r>
          </m:sub>
        </m:sSub>
        <m:r>
          <m:rPr>
            <m:sty m:val="p"/>
          </m:rPr>
          <m:t>)</m:t>
        </m:r>
        <m:r>
          <m:rPr>
            <m:sty m:val="p"/>
          </m:rPr>
          <m:t>=</m:t>
        </m:r>
        <m:r>
          <m:t>0</m:t>
        </m:r>
      </m:oMath>
      <w:r>
        <w:t xml:space="preserve"> </w:t>
      </w:r>
      <w:r>
        <w:t xml:space="preserve">— isto é, se a variação do salário mínimo for ortogonal a todos os outros fatores que afetam o emprego. Em dados observacionais, essa condição quase nunca é satisfeita.</w:t>
      </w:r>
    </w:p>
    <w:p>
      <w:pPr>
        <w:pStyle w:val="BlockText"/>
      </w:pPr>
      <w:r>
        <w:rPr>
          <w:b/>
          <w:bCs/>
        </w:rPr>
        <w:t xml:space="preserve">[DEFINICAO] Endogeneidade</w:t>
      </w:r>
    </w:p>
    <w:p>
      <w:pPr>
        <w:pStyle w:val="BlockText"/>
      </w:pPr>
      <w:r>
        <w:t xml:space="preserve">Uma variável explicativa</w:t>
      </w:r>
      <w:r>
        <w:t xml:space="preserve"> </w:t>
      </w:r>
      <m:oMath>
        <m:r>
          <m:t>X</m:t>
        </m:r>
      </m:oMath>
      <w:r>
        <w:t xml:space="preserve"> </w:t>
      </w:r>
      <w:r>
        <w:t xml:space="preserve">é</w:t>
      </w:r>
      <w:r>
        <w:t xml:space="preserve"> </w:t>
      </w:r>
      <w:r>
        <w:rPr>
          <w:b/>
          <w:bCs/>
        </w:rPr>
        <w:t xml:space="preserve">endógena</w:t>
      </w:r>
      <w:r>
        <w:t xml:space="preserve"> </w:t>
      </w:r>
      <w:r>
        <w:t xml:space="preserve">quando está correlacionada com o termo de erro</w:t>
      </w:r>
      <w:r>
        <w:t xml:space="preserve"> </w:t>
      </w:r>
      <m:oMath>
        <m:r>
          <m:t>ε</m:t>
        </m:r>
      </m:oMath>
      <w:r>
        <w:t xml:space="preserve"> </w:t>
      </w:r>
      <w:r>
        <w:t xml:space="preserve">na equação de regressão, ou seja,</w:t>
      </w:r>
      <w:r>
        <w:t xml:space="preserve"> </w:t>
      </w:r>
      <m:oMath>
        <m:r>
          <m:rPr>
            <m:nor/>
            <m:sty m:val="p"/>
          </m:rPr>
          <m:t>Cov</m:t>
        </m:r>
        <m:r>
          <m:rPr>
            <m:sty m:val="p"/>
          </m:rPr>
          <m:t>(</m:t>
        </m:r>
        <m:r>
          <m:t>X</m:t>
        </m:r>
        <m:r>
          <m:rPr>
            <m:sty m:val="p"/>
          </m:rPr>
          <m:t>,</m:t>
        </m:r>
        <m:r>
          <m:t>ε</m:t>
        </m:r>
        <m:r>
          <m:rPr>
            <m:sty m:val="p"/>
          </m:rPr>
          <m:t>)</m:t>
        </m:r>
        <m:r>
          <m:rPr>
            <m:sty m:val="p"/>
          </m:rPr>
          <m:t>≠</m:t>
        </m:r>
        <m:r>
          <m:t>0</m:t>
        </m:r>
      </m:oMath>
      <w:r>
        <w:t xml:space="preserve">. A endogeneidade pode surgir por três razões: (i)</w:t>
      </w:r>
      <w:r>
        <w:t xml:space="preserve"> </w:t>
      </w:r>
      <w:r>
        <w:rPr>
          <w:b/>
          <w:bCs/>
        </w:rPr>
        <w:t xml:space="preserve">causalidade reversa</w:t>
      </w:r>
      <w:r>
        <w:t xml:space="preserve"> </w:t>
      </w:r>
      <w:r>
        <w:t xml:space="preserve">— o efeito retroage sobre a causa; (ii)</w:t>
      </w:r>
      <w:r>
        <w:t xml:space="preserve"> </w:t>
      </w:r>
      <w:r>
        <w:rPr>
          <w:b/>
          <w:bCs/>
        </w:rPr>
        <w:t xml:space="preserve">variável omitida</w:t>
      </w:r>
      <w:r>
        <w:t xml:space="preserve"> </w:t>
      </w:r>
      <w:r>
        <w:t xml:space="preserve">— um fator não observado afeta tanto</w:t>
      </w:r>
      <w:r>
        <w:t xml:space="preserve"> </w:t>
      </w:r>
      <m:oMath>
        <m:r>
          <m:t>X</m:t>
        </m:r>
      </m:oMath>
      <w:r>
        <w:t xml:space="preserve"> </w:t>
      </w:r>
      <w:r>
        <w:t xml:space="preserve">quanto</w:t>
      </w:r>
      <w:r>
        <w:t xml:space="preserve"> </w:t>
      </w:r>
      <m:oMath>
        <m:r>
          <m:t>Y</m:t>
        </m:r>
      </m:oMath>
      <w:r>
        <w:t xml:space="preserve">; (iii)</w:t>
      </w:r>
      <w:r>
        <w:t xml:space="preserve"> </w:t>
      </w:r>
      <w:r>
        <w:rPr>
          <w:b/>
          <w:bCs/>
        </w:rPr>
        <w:t xml:space="preserve">erro de medida</w:t>
      </w:r>
      <w:r>
        <w:t xml:space="preserve"> </w:t>
      </w:r>
      <w:r>
        <w:t xml:space="preserve">— a variável observada difere sistematicamente da variável verdadeira. Todas as três violam a identificação causal.</w:t>
      </w:r>
    </w:p>
    <w:p>
      <w:pPr>
        <w:pStyle w:val="FirstParagraph"/>
      </w:pPr>
      <w:r>
        <w:t xml:space="preserve">A solução mais direta para a endogeneidade é a</w:t>
      </w:r>
      <w:r>
        <w:t xml:space="preserve"> </w:t>
      </w:r>
      <w:r>
        <w:rPr>
          <w:b/>
          <w:bCs/>
        </w:rPr>
        <w:t xml:space="preserve">randomização</w:t>
      </w:r>
      <w:r>
        <w:t xml:space="preserve">: se atribuímos aleatoriamente o tratamento (quem recebe o aumento do salário mínimo e quem não recebe), então, pela lei dos grandes números, os grupos tratamento e controle são estatisticamente idênticos em</w:t>
      </w:r>
      <w:r>
        <w:t xml:space="preserve"> </w:t>
      </w:r>
      <w:r>
        <w:rPr>
          <w:i/>
          <w:iCs/>
        </w:rPr>
        <w:t xml:space="preserve">todas</w:t>
      </w:r>
      <w:r>
        <w:t xml:space="preserve"> </w:t>
      </w:r>
      <w:r>
        <w:t xml:space="preserve">as características observáveis e não observáveis — exceto pelo tratamento. Qualquer diferença nos resultados pode ser atribuída causalmente ao tratamento.</w:t>
      </w:r>
    </w:p>
    <w:bookmarkEnd w:id="1350"/>
    <w:bookmarkStart w:id="1352" w:name="breve-história-da-economia-experimental"/>
    <w:p>
      <w:pPr>
        <w:pStyle w:val="Heading4"/>
      </w:pPr>
      <w:r>
        <w:t xml:space="preserve">22.1.2 Breve história da economia experimental</w:t>
      </w:r>
    </w:p>
    <w:p>
      <w:pPr>
        <w:pStyle w:val="FirstParagraph"/>
      </w:pPr>
      <w:r>
        <w:t xml:space="preserve">A ideia de usar experimentos na economia não é nova. Já em</w:t>
      </w:r>
      <w:r>
        <w:t xml:space="preserve"> </w:t>
      </w:r>
      <w:r>
        <w:rPr>
          <w:b/>
          <w:bCs/>
        </w:rPr>
        <w:t xml:space="preserve">1738</w:t>
      </w:r>
      <w:r>
        <w:t xml:space="preserve">, Daniel Bernoulli propôs o paradoxo de São Petersburgo como um</w:t>
      </w:r>
      <w:r>
        <w:t xml:space="preserve"> </w:t>
      </w:r>
      <w:r>
        <w:t xml:space="preserve">“experimento mental”</w:t>
      </w:r>
      <w:r>
        <w:t xml:space="preserve"> </w:t>
      </w:r>
      <w:r>
        <w:t xml:space="preserve">para testar a teoria da utilidade esperada. Mas o primeiro experimento econômico no sentido moderno é atribuído a</w:t>
      </w:r>
      <w:r>
        <w:t xml:space="preserve"> </w:t>
      </w:r>
      <w:r>
        <w:rPr>
          <w:b/>
          <w:bCs/>
        </w:rPr>
        <w:t xml:space="preserve">Edward Chamberlin (1948)</w:t>
      </w:r>
      <w:r>
        <w:t xml:space="preserve">, que conduziu um exercício em sala de aula na Universidade de Harvard: distribuiu cartões com valores de reserva para compradores e vendedores, e deixou que negociassem livremente. Chamberlin queria testar se mercados descentralizados convergiam ao equilíbrio competitivo previsto pela teoria. Seu resultado foi desanimador: os preços observados diferiam significativamente do equilíbrio walrasiano.</w:t>
      </w:r>
    </w:p>
    <w:p>
      <w:pPr>
        <w:pStyle w:val="BodyText"/>
      </w:pPr>
      <w:r>
        <w:t xml:space="preserve">Um dos alunos de Chamberlin,</w:t>
      </w:r>
      <w:r>
        <w:t xml:space="preserve"> </w:t>
      </w:r>
      <w:r>
        <w:rPr>
          <w:b/>
          <w:bCs/>
        </w:rPr>
        <w:t xml:space="preserve">Vernon Smith</w:t>
      </w:r>
      <w:r>
        <w:t xml:space="preserve">, levou a sério tanto a questão quanto as falhas de desenho do experimento original. Em seu artigo seminal de</w:t>
      </w:r>
      <w:r>
        <w:t xml:space="preserve"> </w:t>
      </w:r>
      <w:r>
        <w:rPr>
          <w:b/>
          <w:bCs/>
        </w:rPr>
        <w:t xml:space="preserve">1962</w:t>
      </w:r>
      <w:r>
        <w:t xml:space="preserve"> </w:t>
      </w:r>
      <w:r>
        <w:t xml:space="preserve">no</w:t>
      </w:r>
      <w:r>
        <w:t xml:space="preserve"> </w:t>
      </w:r>
      <w:r>
        <w:rPr>
          <w:i/>
          <w:iCs/>
        </w:rPr>
        <w:t xml:space="preserve">Journal of Political Economy</w:t>
      </w:r>
      <w:r>
        <w:t xml:space="preserve">, Smith introduziu o</w:t>
      </w:r>
      <w:r>
        <w:t xml:space="preserve"> </w:t>
      </w:r>
      <w:r>
        <w:rPr>
          <w:b/>
          <w:bCs/>
        </w:rPr>
        <w:t xml:space="preserve">leilão de dupla</w:t>
      </w:r>
      <w:r>
        <w:t xml:space="preserve"> </w:t>
      </w:r>
      <w:r>
        <w:t xml:space="preserve">(</w:t>
      </w:r>
      <w:r>
        <w:rPr>
          <w:i/>
          <w:iCs/>
        </w:rPr>
        <w:t xml:space="preserve">double auction</w:t>
      </w:r>
      <w:r>
        <w:t xml:space="preserve">) — um mecanismo que descrevemos em detalhe na Seção 22.2.3. O resultado foi surpreendente: mesmo com poucos participantes e informação limitada, os preços convergiram rapidamente para o equilíbrio competitivo previsto pela teoria. Smith demonstrou que a</w:t>
      </w:r>
      <w:r>
        <w:t xml:space="preserve"> </w:t>
      </w:r>
      <w:r>
        <w:t xml:space="preserve">“mão invisível”</w:t>
      </w:r>
      <w:r>
        <w:t xml:space="preserve"> </w:t>
      </w:r>
      <w:r>
        <w:t xml:space="preserve">de Adam Smith funcionava em laboratório — desde que o mecanismo de mercado fosse bem desenhado.</w:t>
      </w:r>
    </w:p>
    <w:p>
      <w:pPr>
        <w:pStyle w:val="BodyText"/>
      </w:pPr>
      <w:r>
        <w:t xml:space="preserve">Paralelamente,</w:t>
      </w:r>
      <w:r>
        <w:t xml:space="preserve"> </w:t>
      </w:r>
      <w:r>
        <w:rPr>
          <w:b/>
          <w:bCs/>
        </w:rPr>
        <w:t xml:space="preserve">Daniel Kahneman e Amos Tversky</w:t>
      </w:r>
      <w:r>
        <w:t xml:space="preserve"> </w:t>
      </w:r>
      <w:r>
        <w:t xml:space="preserve">conduziram uma série de experimentos psicológicos nas décadas de 1970 e 1980 que documentaram sistematicamente as violações da teoria da utilidade esperada e da racionalidade perfeita — o material que discutimos no Capítulo 8. A contribuição de Kahneman e Tversky foi mostrar que os desvios da racionalidade não são ruído aleatório, mas padrões previsíveis (heurísticas e vieses) que podem ser incorporados em modelos econômicos formais.</w:t>
      </w:r>
    </w:p>
    <w:p>
      <w:pPr>
        <w:pStyle w:val="BlockText"/>
      </w:pPr>
      <w:r>
        <w:rPr>
          <w:b/>
          <w:bCs/>
        </w:rPr>
        <w:t xml:space="preserve">[BOX MUNDO] Box Mundo 22.1 — O J-PAL e a globalização dos RCTs</w:t>
      </w:r>
    </w:p>
    <w:p>
      <w:pPr>
        <w:pStyle w:val="BlockText"/>
      </w:pPr>
      <w:r>
        <w:rPr>
          <w:b/>
          <w:bCs/>
        </w:rPr>
        <w:t xml:space="preserve">Contexto:</w:t>
      </w:r>
      <w:r>
        <w:t xml:space="preserve"> </w:t>
      </w:r>
      <w:r>
        <w:t xml:space="preserve">O Abdul Latif Jameel Poverty Action Lab (J-PAL) foi fundado em 2003 no MIT por Abhijit Banerjee, Esther Duflo e Sendhil Mullainathan. A ideia era simples mas revolucionária: aplicar a metodologia de ensaios clínicos randomizados — padrão-ouro na medicina — para avaliar políticas de combate à pobreza em países em desenvolvimento.</w:t>
      </w:r>
    </w:p>
    <w:p>
      <w:pPr>
        <w:pStyle w:val="BlockText"/>
      </w:pPr>
      <w:r>
        <w:rPr>
          <w:b/>
          <w:bCs/>
        </w:rPr>
        <w:t xml:space="preserve">Dados:</w:t>
      </w:r>
      <w:r>
        <w:t xml:space="preserve"> </w:t>
      </w:r>
      <w:r>
        <w:t xml:space="preserve">Em 2024, o J-PAL contava com mais de 400 professores afiliados em universidades de todo o mundo, havia conduzido ou apoiado mais de 1.000 RCTs em 90 países, e suas avaliações tinham influenciado políticas que alcançaram mais de 600 milhões de pessoas. Os temas incluem educação (distribuição de livros didáticos vs. treinamento de professores no Quênia), saúde (vacinação com incentivos na Índia), microcrédito (avaliação de programas do Grameen Bank) e governança (monitoramento de funcionários públicos no Brasil e na Índia).</w:t>
      </w:r>
    </w:p>
    <w:p>
      <w:pPr>
        <w:pStyle w:val="BlockText"/>
      </w:pPr>
      <w:r>
        <w:rPr>
          <w:b/>
          <w:bCs/>
        </w:rPr>
        <w:t xml:space="preserve">Análise:</w:t>
      </w:r>
      <w:r>
        <w:t xml:space="preserve"> </w:t>
      </w:r>
      <w:r>
        <w:t xml:space="preserve">O impacto do J-PAL vai além dos resultados específicos de cada experimento. A instituição mudou a</w:t>
      </w:r>
      <w:r>
        <w:t xml:space="preserve"> </w:t>
      </w:r>
      <w:r>
        <w:rPr>
          <w:i/>
          <w:iCs/>
        </w:rPr>
        <w:t xml:space="preserve">cultura</w:t>
      </w:r>
      <w:r>
        <w:t xml:space="preserve"> </w:t>
      </w:r>
      <w:r>
        <w:t xml:space="preserve">da formulação de políticas públicas em países em desenvolvimento, criando a expectativa de que intervenções sociais devem ser testadas rigorosamente antes de serem escaladas. Ao mesmo tempo, os RCTs do J-PAL geraram controvérsias metodológicas importantes (discutidas na Seção 22.7): a validade externa dos resultados, a ética de negar tratamento a grupos de controle, e o risco de reduzir questões estruturais complexas a intervenções pontuais.</w:t>
      </w:r>
    </w:p>
    <w:p>
      <w:pPr>
        <w:pStyle w:val="BlockText"/>
      </w:pPr>
      <w:r>
        <w:rPr>
          <w:b/>
          <w:bCs/>
        </w:rPr>
        <w:t xml:space="preserve">Fonte:</w:t>
      </w:r>
      <w:r>
        <w:t xml:space="preserve"> </w:t>
      </w:r>
      <w:r>
        <w:t xml:space="preserve">J-PAL. 2024.</w:t>
      </w:r>
      <w:r>
        <w:t xml:space="preserve"> </w:t>
      </w:r>
      <w:hyperlink r:id="rId1351">
        <w:r>
          <w:rPr>
            <w:rStyle w:val="Hyperlink"/>
            <w:i/>
            <w:iCs/>
          </w:rPr>
          <w:t xml:space="preserve">About J-PAL</w:t>
        </w:r>
      </w:hyperlink>
      <w:r>
        <w:t xml:space="preserve">. Cambridge, MA: MIT.</w:t>
      </w:r>
    </w:p>
    <w:bookmarkEnd w:id="1352"/>
    <w:bookmarkStart w:id="1353" w:name="os-prêmios-nobel-experimentais"/>
    <w:p>
      <w:pPr>
        <w:pStyle w:val="Heading4"/>
      </w:pPr>
      <w:r>
        <w:t xml:space="preserve">22.1.3 Os Prêmios Nobel experimentais</w:t>
      </w:r>
    </w:p>
    <w:p>
      <w:pPr>
        <w:pStyle w:val="FirstParagraph"/>
      </w:pPr>
      <w:r>
        <w:t xml:space="preserve">A legitimação acadêmica da economia experimental veio em ondas, cristalizada em três Prêmios Nobel que reconhecem tradições complementares:</w:t>
      </w:r>
    </w:p>
    <w:p>
      <w:pPr>
        <w:pStyle w:val="BodyText"/>
      </w:pPr>
      <w:r>
        <w:rPr>
          <w:b/>
          <w:bCs/>
        </w:rPr>
        <w:t xml:space="preserve">Nobel de 2002 — Vernon Smith e Daniel Kahneman.</w:t>
      </w:r>
      <w:r>
        <w:t xml:space="preserve"> </w:t>
      </w:r>
      <w:r>
        <w:t xml:space="preserve">Smith recebeu o prêmio</w:t>
      </w:r>
      <w:r>
        <w:t xml:space="preserve"> </w:t>
      </w:r>
      <w:r>
        <w:t xml:space="preserve">“por ter estabelecido experimentos de laboratório como uma ferramenta na análise econômica empírica, especialmente no estudo de mecanismos de mercado alternativos”</w:t>
      </w:r>
      <w:r>
        <w:t xml:space="preserve">. Kahneman foi premiado</w:t>
      </w:r>
      <w:r>
        <w:t xml:space="preserve"> </w:t>
      </w:r>
      <w:r>
        <w:t xml:space="preserve">“por ter integrado insights da pesquisa psicológica na ciência econômica, especialmente no que diz respeito ao julgamento humano e à tomada de decisões sob incerteza”</w:t>
      </w:r>
      <w:r>
        <w:t xml:space="preserve">. Juntos, representam as duas vertentes da economia experimental: a que confirma a teoria (mercados funcionam) e a que a desafia (indivíduos erram sistematicamente).</w:t>
      </w:r>
    </w:p>
    <w:p>
      <w:pPr>
        <w:pStyle w:val="BodyText"/>
      </w:pPr>
      <w:r>
        <w:rPr>
          <w:b/>
          <w:bCs/>
        </w:rPr>
        <w:t xml:space="preserve">Nobel de 2019 — Abhijit Banerjee, Esther Duflo e Michael Kremer.</w:t>
      </w:r>
      <w:r>
        <w:t xml:space="preserve"> </w:t>
      </w:r>
      <w:r>
        <w:t xml:space="preserve">Premiados</w:t>
      </w:r>
      <w:r>
        <w:t xml:space="preserve"> </w:t>
      </w:r>
      <w:r>
        <w:t xml:space="preserve">“por sua abordagem experimental para aliviar a pobreza global”</w:t>
      </w:r>
      <w:r>
        <w:t xml:space="preserve">. Kremer iniciou a revolução dos RCTs em desenvolvimento com seu experimento sobre livros didáticos no Quênia (1990s); Banerjee e Duflo expandiram a metodologia para dezenas de países e temas, institucionalizando-a através do J-PAL. Duflo, aos 46 anos, tornou-se a segunda mulher e a pessoa mais jovem a receber o Nobel de Economia.</w:t>
      </w:r>
    </w:p>
    <w:p>
      <w:pPr>
        <w:pStyle w:val="BodyText"/>
      </w:pPr>
      <w:r>
        <w:rPr>
          <w:b/>
          <w:bCs/>
        </w:rPr>
        <w:t xml:space="preserve">Nobel de 2021 — David Card, Joshua Angrist e Guido Imbens.</w:t>
      </w:r>
      <w:r>
        <w:t xml:space="preserve"> </w:t>
      </w:r>
      <w:r>
        <w:t xml:space="preserve">Card foi premiado</w:t>
      </w:r>
      <w:r>
        <w:t xml:space="preserve"> </w:t>
      </w:r>
      <w:r>
        <w:t xml:space="preserve">“por suas contribuições empíricas à economia do trabalho”</w:t>
      </w:r>
      <w:r>
        <w:t xml:space="preserve">, especialmente o uso de experimentos naturais para estudar os efeitos do salário mínimo, imigração e educação. Angrist e Imbens foram premiados</w:t>
      </w:r>
      <w:r>
        <w:t xml:space="preserve"> </w:t>
      </w:r>
      <w:r>
        <w:t xml:space="preserve">“por suas contribuições metodológicas à análise de relações causais”</w:t>
      </w:r>
      <w:r>
        <w:t xml:space="preserve"> </w:t>
      </w:r>
      <w:r>
        <w:t xml:space="preserve">— o desenvolvimento de ferramentas econométricas (variáveis instrumentais, LATE) que permitiram extrair conclusões causais de experimentos naturais e quase-experimentos. Juntos, representam a</w:t>
      </w:r>
      <w:r>
        <w:t xml:space="preserve"> </w:t>
      </w:r>
      <w:r>
        <w:t xml:space="preserve">“revolução da credibilidade”</w:t>
      </w:r>
      <w:r>
        <w:t xml:space="preserve"> </w:t>
      </w:r>
      <w:r>
        <w:t xml:space="preserve">na econometria aplicada.</w:t>
      </w:r>
    </w:p>
    <w:p>
      <w:pPr>
        <w:pStyle w:val="BlockText"/>
      </w:pPr>
      <w:r>
        <w:rPr>
          <w:b/>
          <w:bCs/>
        </w:rPr>
        <w:t xml:space="preserve">[INTUICAO ECONOMICA] Intuição Econômica</w:t>
      </w:r>
    </w:p>
    <w:p>
      <w:pPr>
        <w:pStyle w:val="BlockText"/>
      </w:pPr>
      <w:r>
        <w:rPr>
          <w:b/>
          <w:bCs/>
        </w:rPr>
        <w:t xml:space="preserve">Em uma frase:</w:t>
      </w:r>
      <w:r>
        <w:t xml:space="preserve"> </w:t>
      </w:r>
      <w:r>
        <w:t xml:space="preserve">A economia experimental nasceu da necessidade de distinguir correlação de causalidade — e seus métodos agora são ferramentas indispensáveis para testar teorias e avaliar políticas.</w:t>
      </w:r>
    </w:p>
    <w:p>
      <w:pPr>
        <w:pStyle w:val="BlockText"/>
      </w:pPr>
      <w:r>
        <w:rPr>
          <w:b/>
          <w:bCs/>
        </w:rPr>
        <w:t xml:space="preserve">Pense assim:</w:t>
      </w:r>
      <w:r>
        <w:t xml:space="preserve"> </w:t>
      </w:r>
      <w:r>
        <w:t xml:space="preserve">Imagine que você quer saber se um novo fertilizante aumenta a produtividade de uma fazenda. Você pode comparar fazendas que usam o fertilizante com as que não usam — mas talvez as fazendas que adotaram o fertilizante sejam justamente as mais produtivas por outras razões (solo melhor, agricultores mais habilidosos). A solução é sortear quem recebe o fertilizante: metade das fazendas recebe (tratamento), metade não (controle). Qualquer diferença na produtividade pode ser atribuída ao fertilizante. Essa é a lógica de</w:t>
      </w:r>
      <w:r>
        <w:t xml:space="preserve"> </w:t>
      </w:r>
      <w:r>
        <w:rPr>
          <w:i/>
          <w:iCs/>
        </w:rPr>
        <w:t xml:space="preserve">todos</w:t>
      </w:r>
      <w:r>
        <w:t xml:space="preserve"> </w:t>
      </w:r>
      <w:r>
        <w:t xml:space="preserve">os métodos experimentais deste capítulo.</w:t>
      </w:r>
    </w:p>
    <w:p>
      <w:pPr>
        <w:pStyle w:val="BlockText"/>
      </w:pPr>
      <w:r>
        <w:rPr>
          <w:b/>
          <w:bCs/>
        </w:rPr>
        <w:t xml:space="preserve">Por que isso importa:</w:t>
      </w:r>
      <w:r>
        <w:t xml:space="preserve"> </w:t>
      </w:r>
      <w:r>
        <w:t xml:space="preserve">Sem identificação causal, políticas públicas são formuladas no escuro. Os métodos experimentais permitem responder perguntas como:</w:t>
      </w:r>
      <w:r>
        <w:t xml:space="preserve"> </w:t>
      </w:r>
      <w:r>
        <w:t xml:space="preserve">“A Bolsa Família reduz a pobreza?”</w:t>
      </w:r>
      <w:r>
        <w:t xml:space="preserve">,</w:t>
      </w:r>
      <w:r>
        <w:t xml:space="preserve"> </w:t>
      </w:r>
      <w:r>
        <w:t xml:space="preserve">“O salário mínimo causa desemprego?”</w:t>
      </w:r>
      <w:r>
        <w:t xml:space="preserve">,</w:t>
      </w:r>
      <w:r>
        <w:t xml:space="preserve"> </w:t>
      </w:r>
      <w:r>
        <w:t xml:space="preserve">“Treinamento de professores melhora o aprendizado?”</w:t>
      </w:r>
      <w:r>
        <w:t xml:space="preserve"> </w:t>
      </w:r>
      <w:r>
        <w:t xml:space="preserve">— com o rigor de um experimento controlado.</w:t>
      </w:r>
    </w:p>
    <w:bookmarkEnd w:id="1353"/>
    <w:bookmarkStart w:id="1354" w:name="taxonomia-dos-métodos-experimentais"/>
    <w:p>
      <w:pPr>
        <w:pStyle w:val="Heading4"/>
      </w:pPr>
      <w:r>
        <w:t xml:space="preserve">22.1.4 Taxonomia dos métodos experimentais</w:t>
      </w:r>
    </w:p>
    <w:p>
      <w:pPr>
        <w:pStyle w:val="FirstParagraph"/>
      </w:pPr>
      <w:r>
        <w:t xml:space="preserve">Antes de aprofundar cada método, é útil ter uma visão panorâmica. A tabela abaixo organiza os quatro tipos de abordagem experimental que estudaremos:</w:t>
      </w:r>
    </w:p>
    <w:tbl>
      <w:tblPr>
        <w:tblStyle w:val="Table"/>
        <w:tblW w:type="pct" w:w="5000"/>
        <w:tblLayout w:type="fixed"/>
        <w:tblLook w:firstRow="1" w:lastRow="0" w:firstColumn="0" w:lastColumn="0" w:noHBand="0" w:noVBand="0" w:val="0020"/>
      </w:tblPr>
      <w:tblGrid>
        <w:gridCol w:w="822"/>
        <w:gridCol w:w="2468"/>
        <w:gridCol w:w="1028"/>
        <w:gridCol w:w="1851"/>
        <w:gridCol w:w="1748"/>
      </w:tblGrid>
      <w:tr>
        <w:trPr>
          <w:tblHeader w:val="on"/>
        </w:trPr>
        <w:tc>
          <w:tcPr/>
          <w:p>
            <w:pPr>
              <w:pStyle w:val="Compact"/>
              <w:jc w:val="left"/>
            </w:pPr>
            <w:r>
              <w:t xml:space="preserve">Método</w:t>
            </w:r>
          </w:p>
        </w:tc>
        <w:tc>
          <w:tcPr/>
          <w:p>
            <w:pPr>
              <w:pStyle w:val="Compact"/>
              <w:jc w:val="left"/>
            </w:pPr>
            <w:r>
              <w:t xml:space="preserve">Controle do pesquisador</w:t>
            </w:r>
          </w:p>
        </w:tc>
        <w:tc>
          <w:tcPr/>
          <w:p>
            <w:pPr>
              <w:pStyle w:val="Compact"/>
              <w:jc w:val="left"/>
            </w:pPr>
            <w:r>
              <w:t xml:space="preserve">Contexto</w:t>
            </w:r>
          </w:p>
        </w:tc>
        <w:tc>
          <w:tcPr/>
          <w:p>
            <w:pPr>
              <w:pStyle w:val="Compact"/>
              <w:jc w:val="left"/>
            </w:pPr>
            <w:r>
              <w:t xml:space="preserve">Validade interna</w:t>
            </w:r>
          </w:p>
        </w:tc>
        <w:tc>
          <w:tcPr/>
          <w:p>
            <w:pPr>
              <w:pStyle w:val="Compact"/>
              <w:jc w:val="left"/>
            </w:pPr>
            <w:r>
              <w:t xml:space="preserve">Validade externa</w:t>
            </w:r>
          </w:p>
        </w:tc>
      </w:tr>
      <w:tr>
        <w:tc>
          <w:tcPr/>
          <w:p>
            <w:pPr>
              <w:pStyle w:val="Compact"/>
              <w:jc w:val="left"/>
            </w:pPr>
            <w:r>
              <w:t xml:space="preserve">Laboratório (Seção 22.2)</w:t>
            </w:r>
          </w:p>
        </w:tc>
        <w:tc>
          <w:tcPr/>
          <w:p>
            <w:pPr>
              <w:pStyle w:val="Compact"/>
              <w:jc w:val="left"/>
            </w:pPr>
            <w:r>
              <w:t xml:space="preserve">Total</w:t>
            </w:r>
          </w:p>
        </w:tc>
        <w:tc>
          <w:tcPr/>
          <w:p>
            <w:pPr>
              <w:pStyle w:val="Compact"/>
              <w:jc w:val="left"/>
            </w:pPr>
            <w:r>
              <w:t xml:space="preserve">Artificial</w:t>
            </w:r>
          </w:p>
        </w:tc>
        <w:tc>
          <w:tcPr/>
          <w:p>
            <w:pPr>
              <w:pStyle w:val="Compact"/>
              <w:jc w:val="left"/>
            </w:pPr>
            <w:r>
              <w:t xml:space="preserve">Alta</w:t>
            </w:r>
          </w:p>
        </w:tc>
        <w:tc>
          <w:tcPr/>
          <w:p>
            <w:pPr>
              <w:pStyle w:val="Compact"/>
              <w:jc w:val="left"/>
            </w:pPr>
            <w:r>
              <w:t xml:space="preserve">Baixa</w:t>
            </w:r>
          </w:p>
        </w:tc>
      </w:tr>
      <w:tr>
        <w:tc>
          <w:tcPr/>
          <w:p>
            <w:pPr>
              <w:pStyle w:val="Compact"/>
              <w:jc w:val="left"/>
            </w:pPr>
            <w:r>
              <w:t xml:space="preserve">Campo (Seção 22.3)</w:t>
            </w:r>
          </w:p>
        </w:tc>
        <w:tc>
          <w:tcPr/>
          <w:p>
            <w:pPr>
              <w:pStyle w:val="Compact"/>
              <w:jc w:val="left"/>
            </w:pPr>
            <w:r>
              <w:t xml:space="preserve">Parcial</w:t>
            </w:r>
          </w:p>
        </w:tc>
        <w:tc>
          <w:tcPr/>
          <w:p>
            <w:pPr>
              <w:pStyle w:val="Compact"/>
              <w:jc w:val="left"/>
            </w:pPr>
            <w:r>
              <w:t xml:space="preserve">Natural</w:t>
            </w:r>
          </w:p>
        </w:tc>
        <w:tc>
          <w:tcPr/>
          <w:p>
            <w:pPr>
              <w:pStyle w:val="Compact"/>
              <w:jc w:val="left"/>
            </w:pPr>
            <w:r>
              <w:t xml:space="preserve">Média-alta</w:t>
            </w:r>
          </w:p>
        </w:tc>
        <w:tc>
          <w:tcPr/>
          <w:p>
            <w:pPr>
              <w:pStyle w:val="Compact"/>
              <w:jc w:val="left"/>
            </w:pPr>
            <w:r>
              <w:t xml:space="preserve">Média-alta</w:t>
            </w:r>
          </w:p>
        </w:tc>
      </w:tr>
      <w:tr>
        <w:tc>
          <w:tcPr/>
          <w:p>
            <w:pPr>
              <w:pStyle w:val="Compact"/>
              <w:jc w:val="left"/>
            </w:pPr>
            <w:r>
              <w:t xml:space="preserve">RCT (Seção 22.4)</w:t>
            </w:r>
          </w:p>
        </w:tc>
        <w:tc>
          <w:tcPr/>
          <w:p>
            <w:pPr>
              <w:pStyle w:val="Compact"/>
              <w:jc w:val="left"/>
            </w:pPr>
            <w:r>
              <w:t xml:space="preserve">Alto</w:t>
            </w:r>
          </w:p>
        </w:tc>
        <w:tc>
          <w:tcPr/>
          <w:p>
            <w:pPr>
              <w:pStyle w:val="Compact"/>
              <w:jc w:val="left"/>
            </w:pPr>
            <w:r>
              <w:t xml:space="preserve">Real</w:t>
            </w:r>
          </w:p>
        </w:tc>
        <w:tc>
          <w:tcPr/>
          <w:p>
            <w:pPr>
              <w:pStyle w:val="Compact"/>
              <w:jc w:val="left"/>
            </w:pPr>
            <w:r>
              <w:t xml:space="preserve">Alta</w:t>
            </w:r>
          </w:p>
        </w:tc>
        <w:tc>
          <w:tcPr/>
          <w:p>
            <w:pPr>
              <w:pStyle w:val="Compact"/>
              <w:jc w:val="left"/>
            </w:pPr>
            <w:r>
              <w:t xml:space="preserve">Média</w:t>
            </w:r>
          </w:p>
        </w:tc>
      </w:tr>
      <w:tr>
        <w:tc>
          <w:tcPr/>
          <w:p>
            <w:pPr>
              <w:pStyle w:val="Compact"/>
              <w:jc w:val="left"/>
            </w:pPr>
            <w:r>
              <w:t xml:space="preserve">Experimento natural (Seção 22.5)</w:t>
            </w:r>
          </w:p>
        </w:tc>
        <w:tc>
          <w:tcPr/>
          <w:p>
            <w:pPr>
              <w:pStyle w:val="Compact"/>
              <w:jc w:val="left"/>
            </w:pPr>
            <w:r>
              <w:t xml:space="preserve">Nenhum</w:t>
            </w:r>
          </w:p>
        </w:tc>
        <w:tc>
          <w:tcPr/>
          <w:p>
            <w:pPr>
              <w:pStyle w:val="Compact"/>
              <w:jc w:val="left"/>
            </w:pPr>
            <w:r>
              <w:t xml:space="preserve">Real</w:t>
            </w:r>
          </w:p>
        </w:tc>
        <w:tc>
          <w:tcPr/>
          <w:p>
            <w:pPr>
              <w:pStyle w:val="Compact"/>
              <w:jc w:val="left"/>
            </w:pPr>
            <w:r>
              <w:t xml:space="preserve">Média</w:t>
            </w:r>
          </w:p>
        </w:tc>
        <w:tc>
          <w:tcPr/>
          <w:p>
            <w:pPr>
              <w:pStyle w:val="Compact"/>
              <w:jc w:val="left"/>
            </w:pPr>
            <w:r>
              <w:t xml:space="preserve">Alta</w:t>
            </w:r>
          </w:p>
        </w:tc>
      </w:tr>
    </w:tbl>
    <w:p>
      <w:pPr>
        <w:pStyle w:val="BlockText"/>
      </w:pPr>
      <w:r>
        <w:rPr>
          <w:b/>
          <w:bCs/>
        </w:rPr>
        <w:t xml:space="preserve">[DEFINICAO] Validade interna e validade externa</w:t>
      </w:r>
    </w:p>
    <w:p>
      <w:pPr>
        <w:pStyle w:val="BlockText"/>
      </w:pPr>
      <w:r>
        <w:rPr>
          <w:b/>
          <w:bCs/>
        </w:rPr>
        <w:t xml:space="preserve">Validade interna</w:t>
      </w:r>
      <w:r>
        <w:t xml:space="preserve">: grau em que o desenho experimental permite atribuir o efeito observado ao tratamento (e não a fatores confundidores). Depende de randomização, controle de variáveis e ausência de viés de seleção.</w:t>
      </w:r>
    </w:p>
    <w:p>
      <w:pPr>
        <w:pStyle w:val="BlockText"/>
      </w:pPr>
      <w:r>
        <w:rPr>
          <w:b/>
          <w:bCs/>
        </w:rPr>
        <w:t xml:space="preserve">Validade externa</w:t>
      </w:r>
      <w:r>
        <w:t xml:space="preserve">: grau em que os resultados do experimento podem ser generalizados para outros contextos, populações e períodos. Depende da representatividade da amostra e da similaridade entre o ambiente experimental e o ambiente real.</w:t>
      </w:r>
    </w:p>
    <w:p>
      <w:pPr>
        <w:pStyle w:val="BlockText"/>
      </w:pPr>
      <w:r>
        <w:t xml:space="preserve">Há um</w:t>
      </w:r>
      <w:r>
        <w:t xml:space="preserve"> </w:t>
      </w:r>
      <w:r>
        <w:rPr>
          <w:b/>
          <w:bCs/>
        </w:rPr>
        <w:t xml:space="preserve">trade-off</w:t>
      </w:r>
      <w:r>
        <w:t xml:space="preserve"> </w:t>
      </w:r>
      <w:r>
        <w:t xml:space="preserve">fundamental entre as duas: quanto mais controlado o ambiente (alta validade interna), mais artificial e menos generalizável (baixa validade externa). A arte do desenho experimental está em encontrar o equilíbrio adequado para cada pergunta de pesquisa.</w:t>
      </w:r>
    </w:p>
    <w:p>
      <w:r>
        <w:pict>
          <v:rect style="width:0;height:1.5pt" o:hralign="center" o:hrstd="t" o:hr="t"/>
        </w:pict>
      </w:r>
    </w:p>
    <w:bookmarkEnd w:id="1354"/>
    <w:bookmarkEnd w:id="1355"/>
    <w:bookmarkStart w:id="1360" w:name="Xc6637a8f2e1f75e06ff9984894d6bd16a3a36a9"/>
    <w:p>
      <w:pPr>
        <w:pStyle w:val="Heading3"/>
      </w:pPr>
      <w:r>
        <w:t xml:space="preserve">22.2 Experimentos de Laboratório</w:t>
      </w:r>
    </w:p>
    <w:bookmarkStart w:id="1356" w:name="Xc5df071e802526d295d5c99c5b1afc0ff545240"/>
    <w:p>
      <w:pPr>
        <w:pStyle w:val="Heading4"/>
      </w:pPr>
      <w:r>
        <w:t xml:space="preserve">22.2.1 Desenho experimental: elementos essenciais</w:t>
      </w:r>
    </w:p>
    <w:p>
      <w:pPr>
        <w:pStyle w:val="FirstParagraph"/>
      </w:pPr>
      <w:r>
        <w:t xml:space="preserve">Se a física tem o CERN e a biologia tem o microscópio, a economia experimental tem… uma sala de informática com estudantes de graduação ganhando R$ 30 para clicar em botões. Parece pouco glamouroso, mas essa modéstia esconde um poder enorme: o poder de</w:t>
      </w:r>
      <w:r>
        <w:t xml:space="preserve"> </w:t>
      </w:r>
      <w:r>
        <w:rPr>
          <w:i/>
          <w:iCs/>
        </w:rPr>
        <w:t xml:space="preserve">controlar</w:t>
      </w:r>
      <w:r>
        <w:t xml:space="preserve"> </w:t>
      </w:r>
      <w:r>
        <w:t xml:space="preserve">o que acontece, variando uma única condição de cada vez enquanto tudo o mais permanece igual. Um experimento de laboratório em economia segue uma estrutura padrão:</w:t>
      </w:r>
    </w:p>
    <w:p>
      <w:pPr>
        <w:numPr>
          <w:ilvl w:val="0"/>
          <w:numId w:val="2178"/>
        </w:numPr>
      </w:pPr>
      <w:r>
        <w:rPr>
          <w:b/>
          <w:bCs/>
        </w:rPr>
        <w:t xml:space="preserve">Participantes</w:t>
      </w:r>
      <w:r>
        <w:t xml:space="preserve"> </w:t>
      </w:r>
      <w:r>
        <w:t xml:space="preserve">(</w:t>
      </w:r>
      <w:r>
        <w:rPr>
          <w:i/>
          <w:iCs/>
        </w:rPr>
        <w:t xml:space="preserve">subjects</w:t>
      </w:r>
      <w:r>
        <w:t xml:space="preserve">): tipicamente estudantes universitários recrutados de um</w:t>
      </w:r>
      <w:r>
        <w:t xml:space="preserve"> </w:t>
      </w:r>
      <w:r>
        <w:rPr>
          <w:i/>
          <w:iCs/>
        </w:rPr>
        <w:t xml:space="preserve">subject pool</w:t>
      </w:r>
      <w:r>
        <w:t xml:space="preserve">. Recebem instruções padronizadas e tomam decisões em um ambiente controlado (sala de informática, plataforma online).</w:t>
      </w:r>
    </w:p>
    <w:p>
      <w:pPr>
        <w:numPr>
          <w:ilvl w:val="0"/>
          <w:numId w:val="2178"/>
        </w:numPr>
      </w:pPr>
      <w:r>
        <w:rPr>
          <w:b/>
          <w:bCs/>
        </w:rPr>
        <w:t xml:space="preserve">Tratamentos</w:t>
      </w:r>
      <w:r>
        <w:t xml:space="preserve">: os participantes são divididos aleatoriamente em grupos que enfrentam condições diferentes. O</w:t>
      </w:r>
      <w:r>
        <w:t xml:space="preserve"> </w:t>
      </w:r>
      <w:r>
        <w:rPr>
          <w:b/>
          <w:bCs/>
        </w:rPr>
        <w:t xml:space="preserve">grupo de controle</w:t>
      </w:r>
      <w:r>
        <w:t xml:space="preserve"> </w:t>
      </w:r>
      <w:r>
        <w:t xml:space="preserve">enfrenta a condição base; o</w:t>
      </w:r>
      <w:r>
        <w:t xml:space="preserve"> </w:t>
      </w:r>
      <w:r>
        <w:rPr>
          <w:b/>
          <w:bCs/>
        </w:rPr>
        <w:t xml:space="preserve">grupo de tratamento</w:t>
      </w:r>
      <w:r>
        <w:t xml:space="preserve"> </w:t>
      </w:r>
      <w:r>
        <w:t xml:space="preserve">enfrenta a variação que o pesquisador deseja estudar. A aleatorização garante que diferenças entre grupos sejam atribuíveis ao tratamento.</w:t>
      </w:r>
    </w:p>
    <w:p>
      <w:pPr>
        <w:numPr>
          <w:ilvl w:val="0"/>
          <w:numId w:val="2178"/>
        </w:numPr>
      </w:pPr>
      <w:r>
        <w:rPr>
          <w:b/>
          <w:bCs/>
        </w:rPr>
        <w:t xml:space="preserve">Incentivos monetários reais</w:t>
      </w:r>
      <w:r>
        <w:t xml:space="preserve">: diferentemente de pesquisas de opinião, os participantes em experimentos econômicos ganham ou perdem dinheiro real com base em suas decisões. Isso segue o princípio de que decisões hipotéticas podem diferir sistematicamente de decisões com consequências reais.</w:t>
      </w:r>
    </w:p>
    <w:p>
      <w:pPr>
        <w:numPr>
          <w:ilvl w:val="0"/>
          <w:numId w:val="2178"/>
        </w:numPr>
      </w:pPr>
      <w:r>
        <w:rPr>
          <w:b/>
          <w:bCs/>
        </w:rPr>
        <w:t xml:space="preserve">Anonimato e controle</w:t>
      </w:r>
      <w:r>
        <w:t xml:space="preserve">: os participantes tomam decisões anonimamente, sem conhecer a identidade dos outros jogadores. O pesquisador controla o ambiente informacional (quem sabe o quê) e a sequência de decisões.</w:t>
      </w:r>
    </w:p>
    <w:bookmarkEnd w:id="1356"/>
    <w:bookmarkStart w:id="1357" w:name="a-teoria-do-valor-induzido-de-smith"/>
    <w:p>
      <w:pPr>
        <w:pStyle w:val="Heading4"/>
      </w:pPr>
      <w:r>
        <w:t xml:space="preserve">22.2.2 A teoria do valor induzido de Smith</w:t>
      </w:r>
    </w:p>
    <w:p>
      <w:pPr>
        <w:pStyle w:val="FirstParagraph"/>
      </w:pPr>
      <w:r>
        <w:t xml:space="preserve">A fundamentação teórica dos experimentos de laboratório foi fornecida por Vernon Smith em uma série de artigos nas décadas de 1970 e 1980, culminando na</w:t>
      </w:r>
      <w:r>
        <w:t xml:space="preserve"> </w:t>
      </w:r>
      <w:r>
        <w:rPr>
          <w:b/>
          <w:bCs/>
        </w:rPr>
        <w:t xml:space="preserve">teoria do valor induzido</w:t>
      </w:r>
      <w:r>
        <w:t xml:space="preserve"> </w:t>
      </w:r>
      <w:r>
        <w:t xml:space="preserve">(</w:t>
      </w:r>
      <w:r>
        <w:rPr>
          <w:i/>
          <w:iCs/>
        </w:rPr>
        <w:t xml:space="preserve">induced value theory</w:t>
      </w:r>
      <w:r>
        <w:t xml:space="preserve">). A ideia central é simples mas poderosa: em vez de tentar observar as preferências</w:t>
      </w:r>
      <w:r>
        <w:t xml:space="preserve"> </w:t>
      </w:r>
      <w:r>
        <w:t xml:space="preserve">“verdadeiras”</w:t>
      </w:r>
      <w:r>
        <w:t xml:space="preserve"> </w:t>
      </w:r>
      <w:r>
        <w:t xml:space="preserve">dos participantes (que são privadas e não mensuráveis), o experimentador</w:t>
      </w:r>
      <w:r>
        <w:t xml:space="preserve"> </w:t>
      </w:r>
      <w:r>
        <w:rPr>
          <w:i/>
          <w:iCs/>
        </w:rPr>
        <w:t xml:space="preserve">induz</w:t>
      </w:r>
      <w:r>
        <w:t xml:space="preserve"> </w:t>
      </w:r>
      <w:r>
        <w:t xml:space="preserve">preferências controladas por meio de recompensas monetárias.</w:t>
      </w:r>
    </w:p>
    <w:p>
      <w:pPr>
        <w:pStyle w:val="BodyText"/>
      </w:pPr>
      <w:r>
        <w:t xml:space="preserve">Formalmente, suponha que o pesquisador quer criar um mercado com oferta e demanda conhecidas. Para o comprador</w:t>
      </w:r>
      <w:r>
        <w:t xml:space="preserve"> </w:t>
      </w:r>
      <m:oMath>
        <m:r>
          <m:t>i</m:t>
        </m:r>
      </m:oMath>
      <w:r>
        <w:t xml:space="preserve">, o pesquisador atribui um</w:t>
      </w:r>
      <w:r>
        <w:t xml:space="preserve"> </w:t>
      </w:r>
      <w:r>
        <w:rPr>
          <w:b/>
          <w:bCs/>
        </w:rPr>
        <w:t xml:space="preserve">valor de resgate</w:t>
      </w:r>
      <w:r>
        <w:t xml:space="preserve"> </w:t>
      </w:r>
      <m:oMath>
        <m:sSub>
          <m:e>
            <m:r>
              <m:t>v</m:t>
            </m:r>
          </m:e>
          <m:sub>
            <m:r>
              <m:t>i</m:t>
            </m:r>
          </m:sub>
        </m:sSub>
      </m:oMath>
      <w:r>
        <w:t xml:space="preserve">: se o comprador adquire uma unidade do bem a preço</w:t>
      </w:r>
      <w:r>
        <w:t xml:space="preserve"> </w:t>
      </w:r>
      <m:oMath>
        <m:r>
          <m:t>p</m:t>
        </m:r>
      </m:oMath>
      <w:r>
        <w:t xml:space="preserve">, recebe</w:t>
      </w:r>
      <w:r>
        <w:t xml:space="preserve"> </w:t>
      </w:r>
      <m:oMath>
        <m:sSub>
          <m:e>
            <m:r>
              <m:t>v</m:t>
            </m:r>
          </m:e>
          <m:sub>
            <m:r>
              <m:t>i</m:t>
            </m:r>
          </m:sub>
        </m:sSub>
        <m:r>
          <m:rPr>
            <m:sty m:val="p"/>
          </m:rPr>
          <m:t>−</m:t>
        </m:r>
        <m:r>
          <m:t>p</m:t>
        </m:r>
      </m:oMath>
      <w:r>
        <w:t xml:space="preserve"> </w:t>
      </w:r>
      <w:r>
        <w:t xml:space="preserve">em dinheiro real. Para o vendedor</w:t>
      </w:r>
      <w:r>
        <w:t xml:space="preserve"> </w:t>
      </w:r>
      <m:oMath>
        <m:r>
          <m:t>j</m:t>
        </m:r>
      </m:oMath>
      <w:r>
        <w:t xml:space="preserve">, atribui-se um</w:t>
      </w:r>
      <w:r>
        <w:t xml:space="preserve"> </w:t>
      </w:r>
      <w:r>
        <w:rPr>
          <w:b/>
          <w:bCs/>
        </w:rPr>
        <w:t xml:space="preserve">custo de produção</w:t>
      </w:r>
      <w:r>
        <w:t xml:space="preserve"> </w:t>
      </w:r>
      <m:oMath>
        <m:sSub>
          <m:e>
            <m:r>
              <m:t>c</m:t>
            </m:r>
          </m:e>
          <m:sub>
            <m:r>
              <m:t>j</m:t>
            </m:r>
          </m:sub>
        </m:sSub>
      </m:oMath>
      <w:r>
        <w:t xml:space="preserve">: se vende a preço</w:t>
      </w:r>
      <w:r>
        <w:t xml:space="preserve"> </w:t>
      </w:r>
      <m:oMath>
        <m:r>
          <m:t>p</m:t>
        </m:r>
      </m:oMath>
      <w:r>
        <w:t xml:space="preserve">, recebe</w:t>
      </w:r>
      <w:r>
        <w:t xml:space="preserve"> </w:t>
      </w:r>
      <m:oMath>
        <m:r>
          <m:t>p</m:t>
        </m:r>
        <m:r>
          <m:rPr>
            <m:sty m:val="p"/>
          </m:rPr>
          <m:t>−</m:t>
        </m:r>
        <m:sSub>
          <m:e>
            <m:r>
              <m:t>c</m:t>
            </m:r>
          </m:e>
          <m:sub>
            <m:r>
              <m:t>j</m:t>
            </m:r>
          </m:sub>
        </m:sSub>
      </m:oMath>
      <w:r>
        <w:t xml:space="preserve">. Assim:</w:t>
      </w:r>
    </w:p>
    <w:p>
      <w:pPr>
        <w:pStyle w:val="BodyText"/>
      </w:pPr>
      <w:r>
        <w:t xml:space="preserve">$$
    \text{Lucro do comprador } i: \quad \pi_i^B = v_i - p \quad \text{se compra; } 0 \text{ se não compra} \label{eq:22.2} \tag{22.2}
    $$</w:t>
      </w:r>
    </w:p>
    <w:p>
      <w:pPr>
        <w:pStyle w:val="FirstParagraph"/>
      </w:pPr>
      <w:r>
        <w:t xml:space="preserve">$$
    \text{Lucro do vendedor } j: \quad \pi_j^S = p - c_j \quad \text{se vende; } 0 \text{ se não vende} \label{eq:22.3} \tag{22.3}
    $$</w:t>
      </w:r>
    </w:p>
    <w:p>
      <w:pPr>
        <w:pStyle w:val="FirstParagraph"/>
      </w:pPr>
      <w:r>
        <w:t xml:space="preserve">Smith identificou três condições suficientes para que o valor induzido funcione:</w:t>
      </w:r>
    </w:p>
    <w:p>
      <w:pPr>
        <w:pStyle w:val="Compact"/>
        <w:numPr>
          <w:ilvl w:val="0"/>
          <w:numId w:val="2179"/>
        </w:numPr>
      </w:pPr>
      <w:r>
        <w:rPr>
          <w:b/>
          <w:bCs/>
        </w:rPr>
        <w:t xml:space="preserve">Monotonicidade</w:t>
      </w:r>
      <w:r>
        <w:t xml:space="preserve">: os participantes preferem mais dinheiro a menos (ou seja, a utilidade é crescente na recompensa monetária).</w:t>
      </w:r>
    </w:p>
    <w:p>
      <w:pPr>
        <w:pStyle w:val="Compact"/>
        <w:numPr>
          <w:ilvl w:val="0"/>
          <w:numId w:val="2179"/>
        </w:numPr>
      </w:pPr>
      <w:r>
        <w:rPr>
          <w:b/>
          <w:bCs/>
        </w:rPr>
        <w:t xml:space="preserve">Saliência</w:t>
      </w:r>
      <w:r>
        <w:t xml:space="preserve">: a recompensa monetária depende diretamente das decisões do participante (não é pagamento fixo).</w:t>
      </w:r>
    </w:p>
    <w:p>
      <w:pPr>
        <w:pStyle w:val="Compact"/>
        <w:numPr>
          <w:ilvl w:val="0"/>
          <w:numId w:val="2179"/>
        </w:numPr>
      </w:pPr>
      <w:r>
        <w:rPr>
          <w:b/>
          <w:bCs/>
        </w:rPr>
        <w:t xml:space="preserve">Dominância</w:t>
      </w:r>
      <w:r>
        <w:t xml:space="preserve">: os incentivos monetários dominam outros fatores que podem afetar as decisões (tédio, curiosidade, desejo de agradar o experimentador).</w:t>
      </w:r>
    </w:p>
    <w:p>
      <w:pPr>
        <w:pStyle w:val="BlockText"/>
      </w:pPr>
      <w:r>
        <w:rPr>
          <w:b/>
          <w:bCs/>
        </w:rPr>
        <w:t xml:space="preserve">[INTUICAO ECONOMICA] Intuição Econômica</w:t>
      </w:r>
    </w:p>
    <w:p>
      <w:pPr>
        <w:pStyle w:val="BlockText"/>
      </w:pPr>
      <w:r>
        <w:rPr>
          <w:b/>
          <w:bCs/>
        </w:rPr>
        <w:t xml:space="preserve">Em uma frase:</w:t>
      </w:r>
      <w:r>
        <w:t xml:space="preserve"> </w:t>
      </w:r>
      <w:r>
        <w:t xml:space="preserve">A teoria do valor induzido permite ao experimentador</w:t>
      </w:r>
      <w:r>
        <w:t xml:space="preserve"> </w:t>
      </w:r>
      <w:r>
        <w:rPr>
          <w:i/>
          <w:iCs/>
        </w:rPr>
        <w:t xml:space="preserve">construir</w:t>
      </w:r>
      <w:r>
        <w:t xml:space="preserve"> </w:t>
      </w:r>
      <w:r>
        <w:t xml:space="preserve">curvas de oferta e demanda em laboratório e testar se os mecanismos de mercado as igualam.</w:t>
      </w:r>
    </w:p>
    <w:p>
      <w:pPr>
        <w:pStyle w:val="BlockText"/>
      </w:pPr>
      <w:r>
        <w:rPr>
          <w:b/>
          <w:bCs/>
        </w:rPr>
        <w:t xml:space="preserve">Pense assim:</w:t>
      </w:r>
      <w:r>
        <w:t xml:space="preserve"> </w:t>
      </w:r>
      <w:r>
        <w:t xml:space="preserve">Imagine que você quer testar se um leilão converge ao preço de equilíbrio. Você não precisa saber o que os participantes</w:t>
      </w:r>
      <w:r>
        <w:t xml:space="preserve"> </w:t>
      </w:r>
      <w:r>
        <w:t xml:space="preserve">“realmente”</w:t>
      </w:r>
      <w:r>
        <w:t xml:space="preserve"> </w:t>
      </w:r>
      <w:r>
        <w:t xml:space="preserve">pensam sobre o bem leiloado — basta dizer:</w:t>
      </w:r>
      <w:r>
        <w:t xml:space="preserve"> </w:t>
      </w:r>
      <w:r>
        <w:t xml:space="preserve">“Se você comprar por R$ 10, eu te pago R$ 15”</w:t>
      </w:r>
      <w:r>
        <w:t xml:space="preserve"> </w:t>
      </w:r>
      <w:r>
        <w:t xml:space="preserve">(valor de resgate = 15). Agora o participante tem um incentivo real para comprar a qualquer preço abaixo de R$ 15. Faça isso para 20 compradores e 20 vendedores, cada um com valores e custos diferentes, e você criou um mercado com oferta e demanda perfeitamente conhecidas. Qualquer desvio do equilíbrio teórico é atribuível ao mecanismo de troca — não a preferências desconhecidas.</w:t>
      </w:r>
    </w:p>
    <w:p>
      <w:pPr>
        <w:pStyle w:val="BlockText"/>
      </w:pPr>
      <w:r>
        <w:rPr>
          <w:b/>
          <w:bCs/>
        </w:rPr>
        <w:t xml:space="preserve">Por que isso importa:</w:t>
      </w:r>
      <w:r>
        <w:t xml:space="preserve"> </w:t>
      </w:r>
      <w:r>
        <w:t xml:space="preserve">Sem a teoria do valor induzido, experimentos econômicos seriam como pesquisas de opinião: interessantes, mas sem poder de identificação. Smith deu à economia experimental seu</w:t>
      </w:r>
      <w:r>
        <w:t xml:space="preserve"> </w:t>
      </w:r>
      <w:r>
        <w:rPr>
          <w:i/>
          <w:iCs/>
        </w:rPr>
        <w:t xml:space="preserve">microfundamento</w:t>
      </w:r>
      <w:r>
        <w:t xml:space="preserve"> </w:t>
      </w:r>
      <w:r>
        <w:t xml:space="preserve">— a capacidade de testar previsões teóricas em ambientes com preferências controladas.</w:t>
      </w:r>
    </w:p>
    <w:bookmarkEnd w:id="1357"/>
    <w:bookmarkStart w:id="1358" w:name="experimentos-clássicos"/>
    <w:p>
      <w:pPr>
        <w:pStyle w:val="Heading4"/>
      </w:pPr>
      <w:r>
        <w:t xml:space="preserve">22.2.3 Experimentos clássicos</w:t>
      </w:r>
    </w:p>
    <w:p>
      <w:pPr>
        <w:pStyle w:val="FirstParagraph"/>
      </w:pPr>
      <w:r>
        <w:t xml:space="preserve">A economia experimental de laboratório produziu centenas de resultados influentes. Destacamos quatro classes de experimentos com conexões diretas aos capítulos anteriores:</w:t>
      </w:r>
    </w:p>
    <w:p>
      <w:pPr>
        <w:pStyle w:val="BodyText"/>
      </w:pPr>
      <w:r>
        <w:rPr>
          <w:b/>
          <w:bCs/>
        </w:rPr>
        <w:t xml:space="preserve">O leilão de dupla (double auction).</w:t>
      </w:r>
      <w:r>
        <w:t xml:space="preserve"> </w:t>
      </w:r>
      <w:r>
        <w:t xml:space="preserve">O experimento fundador de Smith (1962) demonstrou que o mecanismo de leilão de dupla — em que compradores submetem lances (</w:t>
      </w:r>
      <w:r>
        <w:rPr>
          <w:i/>
          <w:iCs/>
        </w:rPr>
        <w:t xml:space="preserve">bids</w:t>
      </w:r>
      <w:r>
        <w:t xml:space="preserve">) e vendedores submetem ofertas (</w:t>
      </w:r>
      <w:r>
        <w:rPr>
          <w:i/>
          <w:iCs/>
        </w:rPr>
        <w:t xml:space="preserve">asks</w:t>
      </w:r>
      <w:r>
        <w:t xml:space="preserve">), com transações ocorrendo quando um lance iguala ou supera uma oferta — produz convergência notavelmente rápida ao equilíbrio competitivo, mesmo com poucos participantes (5 compradores e 5 vendedores). Após 3 a 5 rodadas de negociação, preços e quantidades ficam próximos das previsões do modelo de oferta e demanda do Capítulo 13. Esse resultado foi replicado centenas de vezes e constitui uma das descobertas mais robustas da economia experimental:</w:t>
      </w:r>
      <w:r>
        <w:t xml:space="preserve"> </w:t>
      </w:r>
      <w:r>
        <w:rPr>
          <w:b/>
          <w:bCs/>
        </w:rPr>
        <w:t xml:space="preserve">mercados com mecanismos de dupla ponta funcionam</w:t>
      </w:r>
      <w:r>
        <w:t xml:space="preserve">.</w:t>
      </w:r>
    </w:p>
    <w:p>
      <w:pPr>
        <w:pStyle w:val="BodyText"/>
      </w:pPr>
      <w:r>
        <w:rPr>
          <w:b/>
          <w:bCs/>
        </w:rPr>
        <w:t xml:space="preserve">O jogo do ultimato.</w:t>
      </w:r>
      <w:r>
        <w:t xml:space="preserve"> </w:t>
      </w:r>
      <w:r>
        <w:t xml:space="preserve">No jogo do ultimato, um propositor (</w:t>
      </w:r>
      <w:r>
        <w:rPr>
          <w:i/>
          <w:iCs/>
        </w:rPr>
        <w:t xml:space="preserve">proposer</w:t>
      </w:r>
      <w:r>
        <w:t xml:space="preserve">) recebe uma quantia</w:t>
      </w:r>
      <w:r>
        <w:t xml:space="preserve"> </w:t>
      </w:r>
      <m:oMath>
        <m:r>
          <m:t>M</m:t>
        </m:r>
      </m:oMath>
      <w:r>
        <w:t xml:space="preserve"> </w:t>
      </w:r>
      <w:r>
        <w:t xml:space="preserve">e propõe uma divisão:</w:t>
      </w:r>
      <w:r>
        <w:t xml:space="preserve"> </w:t>
      </w:r>
      <w:r>
        <w:t xml:space="preserve">“Eu fico com</w:t>
      </w:r>
      <w:r>
        <w:t xml:space="preserve"> </w:t>
      </w:r>
      <m:oMath>
        <m:r>
          <m:t>M</m:t>
        </m:r>
        <m:r>
          <m:rPr>
            <m:sty m:val="p"/>
          </m:rPr>
          <m:t>−</m:t>
        </m:r>
        <m:r>
          <m:t>x</m:t>
        </m:r>
      </m:oMath>
      <w:r>
        <w:t xml:space="preserve"> </w:t>
      </w:r>
      <w:r>
        <w:t xml:space="preserve">e você recebe</w:t>
      </w:r>
      <w:r>
        <w:t xml:space="preserve"> </w:t>
      </w:r>
      <m:oMath>
        <m:r>
          <m:t>x</m:t>
        </m:r>
      </m:oMath>
      <w:r>
        <w:t xml:space="preserve">”</w:t>
      </w:r>
      <w:r>
        <w:t xml:space="preserve">. O respondente (</w:t>
      </w:r>
      <w:r>
        <w:rPr>
          <w:i/>
          <w:iCs/>
        </w:rPr>
        <w:t xml:space="preserve">responder</w:t>
      </w:r>
      <w:r>
        <w:t xml:space="preserve">) aceita ou rejeita. Se aceitar, a divisão é implementada; se rejeitar, ambos recebem zero. A previsão do modelo de agente racional com preferências egoístas (Capítulo 9a, equilíbrio de Nash por indução retroativa, como no Capítulo 9b) é clara: o propositor oferece o mínimo possível (</w:t>
      </w:r>
      <m:oMath>
        <m:r>
          <m:t>x</m:t>
        </m:r>
        <m:r>
          <m:rPr>
            <m:sty m:val="p"/>
          </m:rPr>
          <m:t>→</m:t>
        </m:r>
        <m:r>
          <m:t>0</m:t>
        </m:r>
      </m:oMath>
      <w:r>
        <w:t xml:space="preserve">), e o respondente aceita — pois algo é melhor que nada.</w:t>
      </w:r>
    </w:p>
    <w:p>
      <w:pPr>
        <w:pStyle w:val="BodyText"/>
      </w:pPr>
      <w:r>
        <w:t xml:space="preserve">Os resultados experimentais, obtidos pela primeira vez por Güth, Schmittberger e Schwarze (1982) e replicados em dezenas de culturas, contam uma história diferente:</w:t>
      </w:r>
    </w:p>
    <w:p>
      <w:pPr>
        <w:pStyle w:val="Compact"/>
        <w:numPr>
          <w:ilvl w:val="0"/>
          <w:numId w:val="2180"/>
        </w:numPr>
      </w:pPr>
      <w:r>
        <w:t xml:space="preserve">A oferta modal é de 40–50% (divisão igualitária ou quase).</w:t>
      </w:r>
    </w:p>
    <w:p>
      <w:pPr>
        <w:pStyle w:val="Compact"/>
        <w:numPr>
          <w:ilvl w:val="0"/>
          <w:numId w:val="2180"/>
        </w:numPr>
      </w:pPr>
      <w:r>
        <w:t xml:space="preserve">Ofertas abaixo de 20% são rejeitadas em cerca de metade dos casos.</w:t>
      </w:r>
    </w:p>
    <w:p>
      <w:pPr>
        <w:pStyle w:val="Compact"/>
        <w:numPr>
          <w:ilvl w:val="0"/>
          <w:numId w:val="2180"/>
        </w:numPr>
      </w:pPr>
      <w:r>
        <w:t xml:space="preserve">O comportamento é notavelmente consistente entre culturas ocidentais, mas varia em sociedades pequenas e isoladas.</w:t>
      </w:r>
    </w:p>
    <w:p>
      <w:pPr>
        <w:pStyle w:val="FirstParagraph"/>
      </w:pPr>
      <w:r>
        <w:t xml:space="preserve">Esses resultados desafiam a suposição de preferências puramente egoístas e motivaram os modelos de</w:t>
      </w:r>
      <w:r>
        <w:t xml:space="preserve"> </w:t>
      </w:r>
      <w:r>
        <w:rPr>
          <w:b/>
          <w:bCs/>
        </w:rPr>
        <w:t xml:space="preserve">preferências sociais</w:t>
      </w:r>
      <w:r>
        <w:t xml:space="preserve"> </w:t>
      </w:r>
      <w:r>
        <w:t xml:space="preserve">(aversão a desigualdade, reciprocidade) discutidos no Capítulo 8.</w:t>
      </w:r>
    </w:p>
    <w:p>
      <w:pPr>
        <w:pStyle w:val="BodyText"/>
      </w:pPr>
      <w:r>
        <w:rPr>
          <w:b/>
          <w:bCs/>
        </w:rPr>
        <w:t xml:space="preserve">O jogo do ditador.</w:t>
      </w:r>
      <w:r>
        <w:t xml:space="preserve"> </w:t>
      </w:r>
      <w:r>
        <w:t xml:space="preserve">Variação do jogo do ultimato em que o respondente não pode rejeitar: o propositor simplesmente decide quanto dar. A previsão do modelo egoísta é que o ditador fica com tudo (</w:t>
      </w:r>
      <m:oMath>
        <m:r>
          <m:t>x</m:t>
        </m:r>
        <m:r>
          <m:rPr>
            <m:sty m:val="p"/>
          </m:rPr>
          <m:t>=</m:t>
        </m:r>
        <m:r>
          <m:t>0</m:t>
        </m:r>
      </m:oMath>
      <w:r>
        <w:t xml:space="preserve">). Experimentalmente, cerca de 60% dos ditadores dão alguma quantia positiva, com a doação média em torno de 20–30% do total. Esse resultado é evidência direta de que muitas pessoas têm preferências que incluem algum grau de altruísmo ou aversão à desigualdade.</w:t>
      </w:r>
    </w:p>
    <w:p>
      <w:pPr>
        <w:pStyle w:val="BodyText"/>
      </w:pPr>
      <w:r>
        <w:rPr>
          <w:b/>
          <w:bCs/>
        </w:rPr>
        <w:t xml:space="preserve">O jogo de bens públicos.</w:t>
      </w:r>
      <w:r>
        <w:t xml:space="preserve"> </w:t>
      </w:r>
      <w:r>
        <w:t xml:space="preserve">Conectando diretamente com o Capítulo 20 (Externalidades e Bens Públicos), o experimento padrão de bens públicos funciona assim:</w:t>
      </w:r>
      <w:r>
        <w:t xml:space="preserve"> </w:t>
      </w:r>
      <m:oMath>
        <m:r>
          <m:t>N</m:t>
        </m:r>
      </m:oMath>
      <w:r>
        <w:t xml:space="preserve"> </w:t>
      </w:r>
      <w:r>
        <w:t xml:space="preserve">participantes recebem uma dotação</w:t>
      </w:r>
      <w:r>
        <w:t xml:space="preserve"> </w:t>
      </w:r>
      <m:oMath>
        <m:r>
          <m:t>w</m:t>
        </m:r>
      </m:oMath>
      <w:r>
        <w:t xml:space="preserve"> </w:t>
      </w:r>
      <w:r>
        <w:t xml:space="preserve">e escolhem quanto contribuir (</w:t>
      </w:r>
      <m:oMath>
        <m:sSub>
          <m:e>
            <m:r>
              <m:t>g</m:t>
            </m:r>
          </m:e>
          <m:sub>
            <m:r>
              <m:t>i</m:t>
            </m:r>
          </m:sub>
        </m:sSub>
      </m:oMath>
      <w:r>
        <w:t xml:space="preserve">) para um fundo público. O fundo é multiplicado por um fator</w:t>
      </w:r>
      <w:r>
        <w:t xml:space="preserve"> </w:t>
      </w:r>
      <m:oMath>
        <m:r>
          <m:t>α</m:t>
        </m:r>
        <m:r>
          <m:rPr>
            <m:sty m:val="p"/>
          </m:rPr>
          <m:t>&gt;</m:t>
        </m:r>
        <m:r>
          <m:t>1</m:t>
        </m:r>
      </m:oMath>
      <w:r>
        <w:t xml:space="preserve"> </w:t>
      </w:r>
      <w:r>
        <w:t xml:space="preserve">e dividido igualmente entre todos:</w:t>
      </w:r>
    </w:p>
    <w:p>
      <w:pPr>
        <w:pStyle w:val="BodyText"/>
      </w:pPr>
      <w:r>
        <w:t xml:space="preserve">$$
    \pi_i = (w - g_i) + \frac{\alpha}{N} \sum_{j=1}^{N} g_j \label{eq:22.4} \tag{22.4}
    $$</w:t>
      </w:r>
    </w:p>
    <w:p>
      <w:pPr>
        <w:pStyle w:val="FirstParagraph"/>
      </w:pPr>
      <w:r>
        <w:t xml:space="preserve">Se</w:t>
      </w:r>
      <w:r>
        <w:t xml:space="preserve"> </w:t>
      </w:r>
      <m:oMath>
        <m:r>
          <m:t>1</m:t>
        </m:r>
        <m:r>
          <m:rPr>
            <m:sty m:val="p"/>
          </m:rPr>
          <m:t>&lt;</m:t>
        </m:r>
        <m:r>
          <m:t>α</m:t>
        </m:r>
        <m:r>
          <m:rPr>
            <m:sty m:val="p"/>
          </m:rPr>
          <m:t>&lt;</m:t>
        </m:r>
        <m:r>
          <m:t>N</m:t>
        </m:r>
      </m:oMath>
      <w:r>
        <w:t xml:space="preserve">, a contribuição é socialmente eficiente (</w:t>
      </w:r>
      <m:oMath>
        <m:r>
          <m:t>α</m:t>
        </m:r>
        <m:r>
          <m:rPr>
            <m:sty m:val="p"/>
          </m:rPr>
          <m:t>/</m:t>
        </m:r>
        <m:r>
          <m:t>N</m:t>
        </m:r>
        <m:r>
          <m:rPr>
            <m:sty m:val="p"/>
          </m:rPr>
          <m:t>&lt;</m:t>
        </m:r>
        <m:r>
          <m:t>1</m:t>
        </m:r>
      </m:oMath>
      <w:r>
        <w:t xml:space="preserve"> </w:t>
      </w:r>
      <w:r>
        <w:t xml:space="preserve">por unidade individual, mas</w:t>
      </w:r>
      <w:r>
        <w:t xml:space="preserve"> </w:t>
      </w:r>
      <m:oMath>
        <m:r>
          <m:t>α</m:t>
        </m:r>
        <m:r>
          <m:rPr>
            <m:sty m:val="p"/>
          </m:rPr>
          <m:t>&gt;</m:t>
        </m:r>
        <m:r>
          <m:t>1</m:t>
        </m:r>
      </m:oMath>
      <w:r>
        <w:t xml:space="preserve"> </w:t>
      </w:r>
      <w:r>
        <w:t xml:space="preserve">no total), porém o equilíbrio de Nash com agentes egoístas é</w:t>
      </w:r>
      <w:r>
        <w:t xml:space="preserve"> </w:t>
      </w:r>
      <m:oMath>
        <m:sSubSup>
          <m:e>
            <m:r>
              <m:t>g</m:t>
            </m:r>
          </m:e>
          <m:sub>
            <m:r>
              <m:t>i</m:t>
            </m:r>
          </m:sub>
          <m:sup>
            <m:r>
              <m:rPr>
                <m:sty m:val="p"/>
              </m:rPr>
              <m:t>*</m:t>
            </m:r>
          </m:sup>
        </m:sSubSup>
        <m:r>
          <m:rPr>
            <m:sty m:val="p"/>
          </m:rPr>
          <m:t>=</m:t>
        </m:r>
        <m:r>
          <m:t>0</m:t>
        </m:r>
      </m:oMath>
      <w:r>
        <w:t xml:space="preserve"> </w:t>
      </w:r>
      <w:r>
        <w:t xml:space="preserve">para todo</w:t>
      </w:r>
      <w:r>
        <w:t xml:space="preserve"> </w:t>
      </w:r>
      <m:oMath>
        <m:r>
          <m:t>i</m:t>
        </m:r>
      </m:oMath>
      <w:r>
        <w:t xml:space="preserve"> </w:t>
      </w:r>
      <w:r>
        <w:t xml:space="preserve">— o clássico problema do carona (</w:t>
      </w:r>
      <w:r>
        <w:rPr>
          <w:i/>
          <w:iCs/>
        </w:rPr>
        <w:t xml:space="preserve">free-rider</w:t>
      </w:r>
      <w:r>
        <w:t xml:space="preserve">). Experimentalmente, as contribuições começam em torno de 40–60% da dotação e declinam gradualmente ao longo das rodadas, aproximando-se de zero (mas raramente atingindo-o). Dois resultados adicionais são robustos:</w:t>
      </w:r>
    </w:p>
    <w:p>
      <w:pPr>
        <w:pStyle w:val="Compact"/>
        <w:numPr>
          <w:ilvl w:val="0"/>
          <w:numId w:val="2181"/>
        </w:numPr>
      </w:pPr>
      <w:r>
        <w:rPr>
          <w:b/>
          <w:bCs/>
        </w:rPr>
        <w:t xml:space="preserve">Punição altruísta</w:t>
      </w:r>
      <w:r>
        <w:t xml:space="preserve">: quando os participantes podem pagar um custo para punir os caronas, as contribuições aumentam significativamente e se mantêm altas (Fehr e Gächter, 2000). A punição funciona mesmo quando é custosa para o punidor.</w:t>
      </w:r>
    </w:p>
    <w:p>
      <w:pPr>
        <w:pStyle w:val="Compact"/>
        <w:numPr>
          <w:ilvl w:val="0"/>
          <w:numId w:val="2181"/>
        </w:numPr>
      </w:pPr>
      <w:r>
        <w:rPr>
          <w:b/>
          <w:bCs/>
        </w:rPr>
        <w:t xml:space="preserve">Comunicação</w:t>
      </w:r>
      <w:r>
        <w:t xml:space="preserve">: permitir comunicação antes das decisões (cheap talk) aumenta as contribuições, mesmo quando a comunicação não é vinculante.</w:t>
      </w:r>
    </w:p>
    <w:p>
      <w:pPr>
        <w:pStyle w:val="BlockText"/>
      </w:pPr>
      <w:r>
        <w:rPr>
          <w:b/>
          <w:bCs/>
        </w:rPr>
        <w:t xml:space="preserve">[DICA] Conexão com Teoria dos Jogos</w:t>
      </w:r>
    </w:p>
    <w:p>
      <w:pPr>
        <w:pStyle w:val="BlockText"/>
      </w:pPr>
      <w:r>
        <w:t xml:space="preserve">Os quatro experimentos acima testam previsões centrais da teoria dos jogos (Capítulos 9a–9d). O leilão de dupla confirma a convergência ao equilíbrio competitivo (Capítulo 13). O jogo do ultimato testa indução retroativa (Capítulo 9b) e revela preferências sociais que a teoria padrão ignora. O jogo de bens públicos testa o problema do carona (Capítulo 20) e mostra que cooperação é possível — especialmente com mecanismos de punição (conectando com o</w:t>
      </w:r>
      <w:r>
        <w:t xml:space="preserve"> </w:t>
      </w:r>
      <w:r>
        <w:rPr>
          <w:i/>
          <w:iCs/>
        </w:rPr>
        <w:t xml:space="preserve">folk theorem</w:t>
      </w:r>
      <w:r>
        <w:t xml:space="preserve"> </w:t>
      </w:r>
      <w:r>
        <w:t xml:space="preserve">do Capítulo 9b). O jogo do ditador testa diretamente a hipótese de preferências egoístas.</w:t>
      </w:r>
    </w:p>
    <w:p>
      <w:pPr>
        <w:pStyle w:val="BlockText"/>
      </w:pPr>
      <w:r>
        <w:rPr>
          <w:b/>
          <w:bCs/>
        </w:rPr>
        <w:t xml:space="preserve">[EXEMPLO] Exercício Resolvido 22.4 — Jogo de bens públicos com punição altruísta</w:t>
      </w:r>
    </w:p>
    <w:p>
      <w:pPr>
        <w:pStyle w:val="BlockText"/>
      </w:pPr>
      <w:r>
        <w:rPr>
          <w:b/>
          <w:bCs/>
        </w:rPr>
        <w:t xml:space="preserve">Enunciado.</w:t>
      </w:r>
      <w:r>
        <w:t xml:space="preserve"> </w:t>
      </w:r>
      <w:r>
        <w:t xml:space="preserve">Considere o jogo de bens públicos da Equação Eq. (eq:22.4) com</w:t>
      </w:r>
      <w:r>
        <w:t xml:space="preserve"> </w:t>
      </w:r>
      <m:oMath>
        <m:r>
          <m:t>N</m:t>
        </m:r>
        <m:r>
          <m:rPr>
            <m:sty m:val="p"/>
          </m:rPr>
          <m:t>=</m:t>
        </m:r>
        <m:r>
          <m:t>4</m:t>
        </m:r>
      </m:oMath>
      <w:r>
        <w:t xml:space="preserve">,</w:t>
      </w:r>
      <w:r>
        <w:t xml:space="preserve"> </w:t>
      </w:r>
      <m:oMath>
        <m:r>
          <m:t>w</m:t>
        </m:r>
        <m:r>
          <m:rPr>
            <m:sty m:val="p"/>
          </m:rPr>
          <m:t>=</m:t>
        </m:r>
        <m:r>
          <m:t>20</m:t>
        </m:r>
      </m:oMath>
      <w:r>
        <w:t xml:space="preserve"> </w:t>
      </w:r>
      <w:r>
        <w:t xml:space="preserve">e</w:t>
      </w:r>
      <w:r>
        <w:t xml:space="preserve"> </w:t>
      </w:r>
      <m:oMath>
        <m:r>
          <m:t>α</m:t>
        </m:r>
        <m:r>
          <m:rPr>
            <m:sty m:val="p"/>
          </m:rPr>
          <m:t>=</m:t>
        </m:r>
        <m:r>
          <m:t>1</m:t>
        </m:r>
        <m:r>
          <m:rPr>
            <m:sty m:val="p"/>
          </m:rPr>
          <m:t>,</m:t>
        </m:r>
        <m:r>
          <m:t>6</m:t>
        </m:r>
      </m:oMath>
      <w:r>
        <w:t xml:space="preserve">. Agora, após observar as contribuições de todos, cada jogador</w:t>
      </w:r>
      <w:r>
        <w:t xml:space="preserve"> </w:t>
      </w:r>
      <m:oMath>
        <m:r>
          <m:t>i</m:t>
        </m:r>
      </m:oMath>
      <w:r>
        <w:t xml:space="preserve"> </w:t>
      </w:r>
      <w:r>
        <w:t xml:space="preserve">pode escolher</w:t>
      </w:r>
      <w:r>
        <w:t xml:space="preserve"> </w:t>
      </w:r>
      <w:r>
        <w:rPr>
          <w:b/>
          <w:bCs/>
        </w:rPr>
        <w:t xml:space="preserve">punir</w:t>
      </w:r>
      <w:r>
        <w:t xml:space="preserve"> </w:t>
      </w:r>
      <w:r>
        <w:t xml:space="preserve">qualquer jogador</w:t>
      </w:r>
      <w:r>
        <w:t xml:space="preserve"> </w:t>
      </w:r>
      <m:oMath>
        <m:r>
          <m:t>j</m:t>
        </m:r>
      </m:oMath>
      <w:r>
        <w:t xml:space="preserve"> </w:t>
      </w:r>
      <w:r>
        <w:t xml:space="preserve">pagando um custo</w:t>
      </w:r>
      <w:r>
        <w:t xml:space="preserve"> </w:t>
      </w:r>
      <m:oMath>
        <m:r>
          <m:t>c</m:t>
        </m:r>
        <m:r>
          <m:rPr>
            <m:sty m:val="p"/>
          </m:rPr>
          <m:t>=</m:t>
        </m:r>
        <m:r>
          <m:t>1</m:t>
        </m:r>
      </m:oMath>
      <w:r>
        <w:t xml:space="preserve"> </w:t>
      </w:r>
      <w:r>
        <w:t xml:space="preserve">para reduzir o payoff de</w:t>
      </w:r>
      <w:r>
        <w:t xml:space="preserve"> </w:t>
      </w:r>
      <m:oMath>
        <m:r>
          <m:t>j</m:t>
        </m:r>
      </m:oMath>
      <w:r>
        <w:t xml:space="preserve"> </w:t>
      </w:r>
      <w:r>
        <w:t xml:space="preserve">em</w:t>
      </w:r>
      <w:r>
        <w:t xml:space="preserve"> </w:t>
      </w:r>
      <m:oMath>
        <m:r>
          <m:t>p</m:t>
        </m:r>
        <m:r>
          <m:rPr>
            <m:sty m:val="p"/>
          </m:rPr>
          <m:t>=</m:t>
        </m:r>
        <m:r>
          <m:t>3</m:t>
        </m:r>
      </m:oMath>
      <w:r>
        <w:t xml:space="preserve"> </w:t>
      </w:r>
      <w:r>
        <w:t xml:space="preserve">(punição</w:t>
      </w:r>
      <w:r>
        <w:t xml:space="preserve"> </w:t>
      </w:r>
      <w:r>
        <w:t xml:space="preserve">“3-para-1”</w:t>
      </w:r>
      <w:r>
        <w:t xml:space="preserve">). Um jogador pode punir múltiplos free-riders.</w:t>
      </w:r>
    </w:p>
    <w:p>
      <w:pPr>
        <w:pStyle w:val="BlockText"/>
        <w:numPr>
          <w:ilvl w:val="0"/>
          <w:numId w:val="2182"/>
        </w:numPr>
      </w:pPr>
      <w:r>
        <w:t xml:space="preserve">No jogo sem punição, o equilíbrio de Nash é</w:t>
      </w:r>
      <w:r>
        <w:t xml:space="preserve"> </w:t>
      </w:r>
      <m:oMath>
        <m:sSubSup>
          <m:e>
            <m:r>
              <m:t>g</m:t>
            </m:r>
          </m:e>
          <m:sub>
            <m:r>
              <m:t>i</m:t>
            </m:r>
          </m:sub>
          <m:sup>
            <m:r>
              <m:rPr>
                <m:sty m:val="p"/>
              </m:rPr>
              <m:t>*</m:t>
            </m:r>
          </m:sup>
        </m:sSubSup>
        <m:r>
          <m:rPr>
            <m:sty m:val="p"/>
          </m:rPr>
          <m:t>=</m:t>
        </m:r>
        <m:r>
          <m:t>0</m:t>
        </m:r>
      </m:oMath>
      <w:r>
        <w:t xml:space="preserve"> </w:t>
      </w:r>
      <w:r>
        <w:t xml:space="preserve">(Exercício 22.1). Suponha que, na primeira rodada, os jogadores 1, 2 e 3 contribuem</w:t>
      </w:r>
      <w:r>
        <w:t xml:space="preserve"> </w:t>
      </w:r>
      <m:oMath>
        <m:r>
          <m:t>g</m:t>
        </m:r>
        <m:r>
          <m:rPr>
            <m:sty m:val="p"/>
          </m:rPr>
          <m:t>=</m:t>
        </m:r>
        <m:r>
          <m:t>15</m:t>
        </m:r>
      </m:oMath>
      <w:r>
        <w:t xml:space="preserve"> </w:t>
      </w:r>
      <w:r>
        <w:t xml:space="preserve">cada, mas o jogador 4 contribui</w:t>
      </w:r>
      <w:r>
        <w:t xml:space="preserve"> </w:t>
      </w:r>
      <m:oMath>
        <m:sSub>
          <m:e>
            <m:r>
              <m:t>g</m:t>
            </m:r>
          </m:e>
          <m:sub>
            <m:r>
              <m:t>4</m:t>
            </m:r>
          </m:sub>
        </m:sSub>
        <m:r>
          <m:rPr>
            <m:sty m:val="p"/>
          </m:rPr>
          <m:t>=</m:t>
        </m:r>
        <m:r>
          <m:t>0</m:t>
        </m:r>
      </m:oMath>
      <w:r>
        <w:t xml:space="preserve"> </w:t>
      </w:r>
      <w:r>
        <w:t xml:space="preserve">(carona puro). Calcule o payoff de cada jogador.</w:t>
      </w:r>
    </w:p>
    <w:p>
      <w:pPr>
        <w:pStyle w:val="BlockText"/>
        <w:numPr>
          <w:ilvl w:val="0"/>
          <w:numId w:val="2182"/>
        </w:numPr>
      </w:pPr>
      <w:r>
        <w:t xml:space="preserve">Agora suponha que os jogadores 1, 2 e 3 decidem punir o jogador 4. Cada um paga</w:t>
      </w:r>
      <w:r>
        <w:t xml:space="preserve"> </w:t>
      </w:r>
      <m:oMath>
        <m:r>
          <m:t>c</m:t>
        </m:r>
        <m:r>
          <m:rPr>
            <m:sty m:val="p"/>
          </m:rPr>
          <m:t>=</m:t>
        </m:r>
        <m:r>
          <m:t>1</m:t>
        </m:r>
      </m:oMath>
      <w:r>
        <w:t xml:space="preserve"> </w:t>
      </w:r>
      <w:r>
        <w:t xml:space="preserve">para infligir</w:t>
      </w:r>
      <w:r>
        <w:t xml:space="preserve"> </w:t>
      </w:r>
      <m:oMath>
        <m:r>
          <m:t>p</m:t>
        </m:r>
        <m:r>
          <m:rPr>
            <m:sty m:val="p"/>
          </m:rPr>
          <m:t>=</m:t>
        </m:r>
        <m:r>
          <m:t>3</m:t>
        </m:r>
      </m:oMath>
      <w:r>
        <w:t xml:space="preserve"> </w:t>
      </w:r>
      <w:r>
        <w:t xml:space="preserve">de perda. Qual é o payoff final de cada jogador após a punição?</w:t>
      </w:r>
    </w:p>
    <w:p>
      <w:pPr>
        <w:pStyle w:val="BlockText"/>
        <w:numPr>
          <w:ilvl w:val="0"/>
          <w:numId w:val="2182"/>
        </w:numPr>
      </w:pPr>
      <w:r>
        <w:t xml:space="preserve">A punição é racional para um agente egoísta? Por que, então, Fehr e Gächter (2000) observaram punição massiva em laboratório?</w:t>
      </w:r>
    </w:p>
    <w:p>
      <w:pPr>
        <w:pStyle w:val="BlockText"/>
      </w:pPr>
      <w:r>
        <w:rPr>
          <w:b/>
          <w:bCs/>
        </w:rPr>
        <w:t xml:space="preserve">Solução.</w:t>
      </w:r>
    </w:p>
    <w:p>
      <w:pPr>
        <w:pStyle w:val="BlockText"/>
      </w:pPr>
      <w:r>
        <w:rPr>
          <w:b/>
          <w:bCs/>
        </w:rPr>
        <w:t xml:space="preserve">(a) Payoffs sem punição.</w:t>
      </w:r>
    </w:p>
    <w:p>
      <w:pPr>
        <w:pStyle w:val="BlockText"/>
      </w:pPr>
      <w:r>
        <w:t xml:space="preserve">Total contribuído:</w:t>
      </w:r>
      <w:r>
        <w:t xml:space="preserve"> </w:t>
      </w:r>
      <m:oMath>
        <m:r>
          <m:rPr>
            <m:sty m:val="p"/>
          </m:rPr>
          <m:t>∑</m:t>
        </m:r>
        <m:sSub>
          <m:e>
            <m:r>
              <m:t>g</m:t>
            </m:r>
          </m:e>
          <m:sub>
            <m:r>
              <m:t>j</m:t>
            </m:r>
          </m:sub>
        </m:sSub>
        <m:r>
          <m:rPr>
            <m:sty m:val="p"/>
          </m:rPr>
          <m:t>=</m:t>
        </m:r>
        <m:r>
          <m:t>15</m:t>
        </m:r>
        <m:r>
          <m:rPr>
            <m:sty m:val="p"/>
          </m:rPr>
          <m:t>+</m:t>
        </m:r>
        <m:r>
          <m:t>15</m:t>
        </m:r>
        <m:r>
          <m:rPr>
            <m:sty m:val="p"/>
          </m:rPr>
          <m:t>+</m:t>
        </m:r>
        <m:r>
          <m:t>15</m:t>
        </m:r>
        <m:r>
          <m:rPr>
            <m:sty m:val="p"/>
          </m:rPr>
          <m:t>+</m:t>
        </m:r>
        <m:r>
          <m:t>0</m:t>
        </m:r>
        <m:r>
          <m:rPr>
            <m:sty m:val="p"/>
          </m:rPr>
          <m:t>=</m:t>
        </m:r>
        <m:r>
          <m:t>45</m:t>
        </m:r>
      </m:oMath>
      <w:r>
        <w:t xml:space="preserve">. Retorno do fundo por pessoa:</w:t>
      </w:r>
      <w:r>
        <w:t xml:space="preserve"> </w:t>
      </w:r>
      <m:oMath>
        <m:f>
          <m:fPr>
            <m:type m:val="bar"/>
          </m:fPr>
          <m:num>
            <m:r>
              <m:t>1</m:t>
            </m:r>
            <m:r>
              <m:rPr>
                <m:sty m:val="p"/>
              </m:rPr>
              <m:t>,</m:t>
            </m:r>
            <m:r>
              <m:t>6</m:t>
            </m:r>
            <m:r>
              <m:rPr>
                <m:sty m:val="p"/>
              </m:rPr>
              <m:t>×</m:t>
            </m:r>
            <m:r>
              <m:t>45</m:t>
            </m:r>
          </m:num>
          <m:den>
            <m:r>
              <m:t>4</m:t>
            </m:r>
          </m:den>
        </m:f>
        <m:r>
          <m:rPr>
            <m:sty m:val="p"/>
          </m:rPr>
          <m:t>=</m:t>
        </m:r>
        <m:r>
          <m:t>18</m:t>
        </m:r>
      </m:oMath>
      <w:r>
        <w:t xml:space="preserve">.</w:t>
      </w:r>
    </w:p>
    <w:p>
      <w:pPr>
        <w:pStyle w:val="Compact"/>
        <w:numPr>
          <w:ilvl w:val="0"/>
          <w:numId w:val="2183"/>
        </w:numPr>
      </w:pPr>
      <w:r>
        <w:t xml:space="preserve">Jogadores 1, 2, 3:</w:t>
      </w:r>
      <w:r>
        <w:t xml:space="preserve"> </w:t>
      </w:r>
      <m:oMath>
        <m:sSub>
          <m:e>
            <m:r>
              <m:t>π</m:t>
            </m:r>
          </m:e>
          <m:sub>
            <m:r>
              <m:t>i</m:t>
            </m:r>
          </m:sub>
        </m:sSub>
        <m:r>
          <m:rPr>
            <m:sty m:val="p"/>
          </m:rPr>
          <m:t>=</m:t>
        </m:r>
        <m:r>
          <m:rPr>
            <m:sty m:val="p"/>
          </m:rPr>
          <m:t>(</m:t>
        </m:r>
        <m:r>
          <m:t>20</m:t>
        </m:r>
        <m:r>
          <m:rPr>
            <m:sty m:val="p"/>
          </m:rPr>
          <m:t>−</m:t>
        </m:r>
        <m:r>
          <m:t>15</m:t>
        </m:r>
        <m:r>
          <m:rPr>
            <m:sty m:val="p"/>
          </m:rPr>
          <m:t>)</m:t>
        </m:r>
        <m:r>
          <m:rPr>
            <m:sty m:val="p"/>
          </m:rPr>
          <m:t>+</m:t>
        </m:r>
        <m:r>
          <m:t>18</m:t>
        </m:r>
        <m:r>
          <m:rPr>
            <m:sty m:val="p"/>
          </m:rPr>
          <m:t>=</m:t>
        </m:r>
        <m:r>
          <m:t>23</m:t>
        </m:r>
      </m:oMath>
    </w:p>
    <w:p>
      <w:pPr>
        <w:pStyle w:val="Compact"/>
        <w:numPr>
          <w:ilvl w:val="0"/>
          <w:numId w:val="2183"/>
        </w:numPr>
      </w:pPr>
      <w:r>
        <w:t xml:space="preserve">Jogador 4 (carona):</w:t>
      </w:r>
      <w:r>
        <w:t xml:space="preserve"> </w:t>
      </w:r>
      <m:oMath>
        <m:sSub>
          <m:e>
            <m:r>
              <m:t>π</m:t>
            </m:r>
          </m:e>
          <m:sub>
            <m:r>
              <m:t>4</m:t>
            </m:r>
          </m:sub>
        </m:sSub>
        <m:r>
          <m:rPr>
            <m:sty m:val="p"/>
          </m:rPr>
          <m:t>=</m:t>
        </m:r>
        <m:r>
          <m:rPr>
            <m:sty m:val="p"/>
          </m:rPr>
          <m:t>(</m:t>
        </m:r>
        <m:r>
          <m:t>20</m:t>
        </m:r>
        <m:r>
          <m:rPr>
            <m:sty m:val="p"/>
          </m:rPr>
          <m:t>−</m:t>
        </m:r>
        <m:r>
          <m:t>0</m:t>
        </m:r>
        <m:r>
          <m:rPr>
            <m:sty m:val="p"/>
          </m:rPr>
          <m:t>)</m:t>
        </m:r>
        <m:r>
          <m:rPr>
            <m:sty m:val="p"/>
          </m:rPr>
          <m:t>+</m:t>
        </m:r>
        <m:r>
          <m:t>18</m:t>
        </m:r>
        <m:r>
          <m:rPr>
            <m:sty m:val="p"/>
          </m:rPr>
          <m:t>=</m:t>
        </m:r>
        <m:r>
          <m:t>38</m:t>
        </m:r>
      </m:oMath>
    </w:p>
    <w:p>
      <w:pPr>
        <w:pStyle w:val="BlockText"/>
      </w:pPr>
      <w:r>
        <w:t xml:space="preserve">O free-rider ganha 65% a mais que os cooperadores — o incentivo para</w:t>
      </w:r>
      <w:r>
        <w:t xml:space="preserve"> </w:t>
      </w:r>
      <w:r>
        <w:t xml:space="preserve">“pegar carona”</w:t>
      </w:r>
      <w:r>
        <w:t xml:space="preserve"> </w:t>
      </w:r>
      <w:r>
        <w:t xml:space="preserve">é enorme.</w:t>
      </w:r>
    </w:p>
    <w:p>
      <w:pPr>
        <w:pStyle w:val="BlockText"/>
      </w:pPr>
      <w:r>
        <w:rPr>
          <w:b/>
          <w:bCs/>
        </w:rPr>
        <w:t xml:space="preserve">(b) Payoffs com punição.</w:t>
      </w:r>
    </w:p>
    <w:p>
      <w:pPr>
        <w:pStyle w:val="BlockText"/>
      </w:pPr>
      <w:r>
        <w:t xml:space="preserve">Cada um dos 3 punidores paga</w:t>
      </w:r>
      <w:r>
        <w:t xml:space="preserve"> </w:t>
      </w:r>
      <m:oMath>
        <m:r>
          <m:t>c</m:t>
        </m:r>
        <m:r>
          <m:rPr>
            <m:sty m:val="p"/>
          </m:rPr>
          <m:t>=</m:t>
        </m:r>
        <m:r>
          <m:t>1</m:t>
        </m:r>
      </m:oMath>
      <w:r>
        <w:t xml:space="preserve">. O jogador 4 recebe</w:t>
      </w:r>
      <w:r>
        <w:t xml:space="preserve"> </w:t>
      </w:r>
      <m:oMath>
        <m:r>
          <m:t>3</m:t>
        </m:r>
        <m:r>
          <m:rPr>
            <m:sty m:val="p"/>
          </m:rPr>
          <m:t>×</m:t>
        </m:r>
        <m:r>
          <m:t>p</m:t>
        </m:r>
        <m:r>
          <m:rPr>
            <m:sty m:val="p"/>
          </m:rPr>
          <m:t>=</m:t>
        </m:r>
        <m:r>
          <m:t>3</m:t>
        </m:r>
        <m:r>
          <m:rPr>
            <m:sty m:val="p"/>
          </m:rPr>
          <m:t>×</m:t>
        </m:r>
        <m:r>
          <m:t>3</m:t>
        </m:r>
        <m:r>
          <m:rPr>
            <m:sty m:val="p"/>
          </m:rPr>
          <m:t>=</m:t>
        </m:r>
        <m:r>
          <m:t>9</m:t>
        </m:r>
      </m:oMath>
      <w:r>
        <w:t xml:space="preserve"> </w:t>
      </w:r>
      <w:r>
        <w:t xml:space="preserve">de penalidade.</w:t>
      </w:r>
    </w:p>
    <w:p>
      <w:pPr>
        <w:pStyle w:val="Compact"/>
        <w:numPr>
          <w:ilvl w:val="0"/>
          <w:numId w:val="2184"/>
        </w:numPr>
      </w:pPr>
      <w:r>
        <w:t xml:space="preserve">Jogadores 1, 2, 3:</w:t>
      </w:r>
      <w:r>
        <w:t xml:space="preserve"> </w:t>
      </w:r>
      <m:oMath>
        <m:sSub>
          <m:e>
            <m:r>
              <m:t>π</m:t>
            </m:r>
          </m:e>
          <m:sub>
            <m:r>
              <m:t>i</m:t>
            </m:r>
          </m:sub>
        </m:sSub>
        <m:r>
          <m:rPr>
            <m:sty m:val="p"/>
          </m:rPr>
          <m:t>=</m:t>
        </m:r>
        <m:r>
          <m:t>23</m:t>
        </m:r>
        <m:r>
          <m:rPr>
            <m:sty m:val="p"/>
          </m:rPr>
          <m:t>−</m:t>
        </m:r>
        <m:r>
          <m:t>1</m:t>
        </m:r>
        <m:r>
          <m:rPr>
            <m:sty m:val="p"/>
          </m:rPr>
          <m:t>=</m:t>
        </m:r>
        <m:r>
          <m:t>22</m:t>
        </m:r>
      </m:oMath>
    </w:p>
    <w:p>
      <w:pPr>
        <w:pStyle w:val="Compact"/>
        <w:numPr>
          <w:ilvl w:val="0"/>
          <w:numId w:val="2184"/>
        </w:numPr>
      </w:pPr>
      <w:r>
        <w:t xml:space="preserve">Jogador 4:</w:t>
      </w:r>
      <w:r>
        <w:t xml:space="preserve"> </w:t>
      </w:r>
      <m:oMath>
        <m:sSub>
          <m:e>
            <m:r>
              <m:t>π</m:t>
            </m:r>
          </m:e>
          <m:sub>
            <m:r>
              <m:t>4</m:t>
            </m:r>
          </m:sub>
        </m:sSub>
        <m:r>
          <m:rPr>
            <m:sty m:val="p"/>
          </m:rPr>
          <m:t>=</m:t>
        </m:r>
        <m:r>
          <m:t>38</m:t>
        </m:r>
        <m:r>
          <m:rPr>
            <m:sty m:val="p"/>
          </m:rPr>
          <m:t>−</m:t>
        </m:r>
        <m:r>
          <m:t>9</m:t>
        </m:r>
        <m:r>
          <m:rPr>
            <m:sty m:val="p"/>
          </m:rPr>
          <m:t>=</m:t>
        </m:r>
        <m:r>
          <m:t>29</m:t>
        </m:r>
      </m:oMath>
    </w:p>
    <w:p>
      <w:pPr>
        <w:pStyle w:val="BlockText"/>
      </w:pPr>
      <w:r>
        <w:t xml:space="preserve">Mesmo após punição pesada, o carona</w:t>
      </w:r>
      <w:r>
        <w:t xml:space="preserve"> </w:t>
      </w:r>
      <w:r>
        <w:rPr>
          <w:i/>
          <w:iCs/>
        </w:rPr>
        <w:t xml:space="preserve">ainda</w:t>
      </w:r>
      <w:r>
        <w:t xml:space="preserve"> </w:t>
      </w:r>
      <w:r>
        <w:t xml:space="preserve">ganha mais que os cooperadores. Mas a diferença caiu de 15 para 7 — e, crucialmente, o carona sabe que será punido nas rodadas seguintes.</w:t>
      </w:r>
    </w:p>
    <w:p>
      <w:pPr>
        <w:pStyle w:val="BlockText"/>
      </w:pPr>
      <w:r>
        <w:rPr>
          <w:b/>
          <w:bCs/>
        </w:rPr>
        <w:t xml:space="preserve">(c) Racionalidade da punição.</w:t>
      </w:r>
    </w:p>
    <w:p>
      <w:pPr>
        <w:pStyle w:val="BlockText"/>
      </w:pPr>
      <w:r>
        <w:t xml:space="preserve">Para um agente egoísta, punir é irracional: custa</w:t>
      </w:r>
      <w:r>
        <w:t xml:space="preserve"> </w:t>
      </w:r>
      <m:oMath>
        <m:r>
          <m:t>c</m:t>
        </m:r>
        <m:r>
          <m:rPr>
            <m:sty m:val="p"/>
          </m:rPr>
          <m:t>=</m:t>
        </m:r>
        <m:r>
          <m:t>1</m:t>
        </m:r>
      </m:oMath>
      <w:r>
        <w:t xml:space="preserve"> </w:t>
      </w:r>
      <w:r>
        <w:t xml:space="preserve">e não traz benefício material ao punidor (apenas reduz o payoff do punido). Em jogo de rodada única, a punição é um equilíbrio de Nash</w:t>
      </w:r>
      <w:r>
        <w:t xml:space="preserve"> </w:t>
      </w:r>
      <w:r>
        <w:rPr>
          <w:b/>
          <w:bCs/>
        </w:rPr>
        <w:t xml:space="preserve">não</w:t>
      </w:r>
      <w:r>
        <w:t xml:space="preserve">. Porém, Fehr e Gächter (2000,</w:t>
      </w:r>
      <w:r>
        <w:t xml:space="preserve"> </w:t>
      </w:r>
      <w:r>
        <w:rPr>
          <w:i/>
          <w:iCs/>
        </w:rPr>
        <w:t xml:space="preserve">AER</w:t>
      </w:r>
      <w:r>
        <w:t xml:space="preserve"> </w:t>
      </w:r>
      <w:r>
        <w:t xml:space="preserve">90(4): 980–994) observaram punição massiva mesmo em jogos de rodada única (</w:t>
      </w:r>
      <w:r>
        <w:rPr>
          <w:i/>
          <w:iCs/>
        </w:rPr>
        <w:t xml:space="preserve">one-shot</w:t>
      </w:r>
      <w:r>
        <w:t xml:space="preserve">) com anonimato total. A explicação reside nas</w:t>
      </w:r>
      <w:r>
        <w:t xml:space="preserve"> </w:t>
      </w:r>
      <w:r>
        <w:rPr>
          <w:b/>
          <w:bCs/>
        </w:rPr>
        <w:t xml:space="preserve">preferências sociais</w:t>
      </w:r>
      <w:r>
        <w:t xml:space="preserve">: muitas pessoas sentem indignação genuína diante de comportamento oportunista e estão dispostas a pagar para</w:t>
      </w:r>
      <w:r>
        <w:t xml:space="preserve"> </w:t>
      </w:r>
      <w:r>
        <w:t xml:space="preserve">“ensinar uma lição”</w:t>
      </w:r>
      <w:r>
        <w:t xml:space="preserve"> </w:t>
      </w:r>
      <w:r>
        <w:t xml:space="preserve">— mesmo sem benefício futuro. Esse padrão, chamado</w:t>
      </w:r>
      <w:r>
        <w:t xml:space="preserve"> </w:t>
      </w:r>
      <w:r>
        <w:rPr>
          <w:i/>
          <w:iCs/>
        </w:rPr>
        <w:t xml:space="preserve">reciprocidade forte</w:t>
      </w:r>
      <w:r>
        <w:t xml:space="preserve"> </w:t>
      </w:r>
      <w:r>
        <w:t xml:space="preserve">(</w:t>
      </w:r>
      <w:r>
        <w:rPr>
          <w:i/>
          <w:iCs/>
        </w:rPr>
        <w:t xml:space="preserve">strong reciprocity</w:t>
      </w:r>
      <w:r>
        <w:t xml:space="preserve">), sustenta a cooperação em grupos porque cria uma</w:t>
      </w:r>
      <w:r>
        <w:t xml:space="preserve"> </w:t>
      </w:r>
      <w:r>
        <w:rPr>
          <w:b/>
          <w:bCs/>
        </w:rPr>
        <w:t xml:space="preserve">ameaça crível</w:t>
      </w:r>
      <w:r>
        <w:t xml:space="preserve"> </w:t>
      </w:r>
      <w:r>
        <w:t xml:space="preserve">contra o oportunismo. Em jogos repetidos com punição, as contribuições convergem para ~90% da dotação (quase ótimo social), versus ~10% sem punição.</w:t>
      </w:r>
    </w:p>
    <w:p>
      <w:pPr>
        <w:pStyle w:val="BlockText"/>
      </w:pPr>
      <w:r>
        <w:rPr>
          <w:b/>
          <w:bCs/>
        </w:rPr>
        <w:t xml:space="preserve">Conexão:</w:t>
      </w:r>
      <w:r>
        <w:t xml:space="preserve"> </w:t>
      </w:r>
      <w:r>
        <w:t xml:space="preserve">O resultado conecta com o</w:t>
      </w:r>
      <w:r>
        <w:t xml:space="preserve"> </w:t>
      </w:r>
      <w:r>
        <w:rPr>
          <w:i/>
          <w:iCs/>
        </w:rPr>
        <w:t xml:space="preserve">folk theorem</w:t>
      </w:r>
      <w:r>
        <w:t xml:space="preserve"> </w:t>
      </w:r>
      <w:r>
        <w:t xml:space="preserve">(Capítulo 9b) — mas vai além, porque a cooperação emerge mesmo em jogos</w:t>
      </w:r>
      <w:r>
        <w:t xml:space="preserve"> </w:t>
      </w:r>
      <w:r>
        <w:rPr>
          <w:i/>
          <w:iCs/>
        </w:rPr>
        <w:t xml:space="preserve">finitos</w:t>
      </w:r>
      <w:r>
        <w:t xml:space="preserve"> </w:t>
      </w:r>
      <w:r>
        <w:t xml:space="preserve">e de rodada única, onde o folk theorem não se aplica. A explicação não é estratégica (reputação); é motivacional (preferências por justiça).</w:t>
      </w:r>
    </w:p>
    <w:p>
      <w:pPr>
        <w:pStyle w:val="BlockText"/>
      </w:pPr>
      <w:r>
        <w:rPr>
          <w:b/>
          <w:bCs/>
        </w:rPr>
        <w:t xml:space="preserve">[INTUICAO ECONOMICA] Intuição Econômica</w:t>
      </w:r>
    </w:p>
    <w:p>
      <w:pPr>
        <w:pStyle w:val="BlockText"/>
      </w:pPr>
      <w:r>
        <w:rPr>
          <w:b/>
          <w:bCs/>
        </w:rPr>
        <w:t xml:space="preserve">Em uma frase:</w:t>
      </w:r>
      <w:r>
        <w:t xml:space="preserve"> </w:t>
      </w:r>
      <w:r>
        <w:t xml:space="preserve">A punição altruísta resolve o problema do carona não porque é racional, mas porque a maioria das pessoas</w:t>
      </w:r>
      <w:r>
        <w:t xml:space="preserve"> </w:t>
      </w:r>
      <w:r>
        <w:rPr>
          <w:i/>
          <w:iCs/>
        </w:rPr>
        <w:t xml:space="preserve">não tolera</w:t>
      </w:r>
      <w:r>
        <w:t xml:space="preserve"> </w:t>
      </w:r>
      <w:r>
        <w:t xml:space="preserve">injustiça — e os caronas sabem disso.</w:t>
      </w:r>
    </w:p>
    <w:p>
      <w:pPr>
        <w:pStyle w:val="BlockText"/>
      </w:pPr>
      <w:r>
        <w:rPr>
          <w:b/>
          <w:bCs/>
        </w:rPr>
        <w:t xml:space="preserve">Pense assim:</w:t>
      </w:r>
      <w:r>
        <w:t xml:space="preserve"> </w:t>
      </w:r>
      <w:r>
        <w:t xml:space="preserve">Imagine uma república de estudantes onde cada um deveria lavar a louça uma vez por semana. Se ninguém pune quem fura a escala, todo mundo para de lavar. Mas se o grupo ostraciza o folgado — mesmo que isso dê trabalho — a escala funciona. O custo de punir é real (confronto, estresse), mas o benefício coletivo é enorme. É exatamente o que Fehr e Gächter mediram no laboratório: pessoas pagam para punir caronas, e isso sustenta a cooperação.</w:t>
      </w:r>
    </w:p>
    <w:p>
      <w:pPr>
        <w:pStyle w:val="BlockText"/>
      </w:pPr>
      <w:r>
        <w:rPr>
          <w:b/>
          <w:bCs/>
        </w:rPr>
        <w:t xml:space="preserve">Por que isso importa:</w:t>
      </w:r>
      <w:r>
        <w:t xml:space="preserve"> </w:t>
      </w:r>
      <w:r>
        <w:t xml:space="preserve">A existência de punição altruísta tem implicações profundas para o desenho de instituições. Políticas que facilitam a punição descentralizada (avaliações públicas, sistemas de reputação,</w:t>
      </w:r>
      <w:r>
        <w:t xml:space="preserve"> </w:t>
      </w:r>
      <w:r>
        <w:rPr>
          <w:i/>
          <w:iCs/>
        </w:rPr>
        <w:t xml:space="preserve">naming and shaming</w:t>
      </w:r>
      <w:r>
        <w:t xml:space="preserve">) podem ser mais eficazes do que incentivos monetários puros. O Uber funciona em parte porque passageiros avaliam motoristas — e vice-versa. A Wikipedia funciona porque editores voluntários revertem vandalismos. A cooperação humana é mais robusta do que o</w:t>
      </w:r>
      <w:r>
        <w:t xml:space="preserve"> </w:t>
      </w:r>
      <w:r>
        <w:rPr>
          <w:i/>
          <w:iCs/>
        </w:rPr>
        <w:t xml:space="preserve">Homo economicus</w:t>
      </w:r>
      <w:r>
        <w:t xml:space="preserve"> </w:t>
      </w:r>
      <w:r>
        <w:t xml:space="preserve">sugere.</w:t>
      </w:r>
    </w:p>
    <w:p>
      <w:pPr>
        <w:pStyle w:val="FirstParagraph"/>
      </w:pPr>
      <w:r>
        <w:t xml:space="preserve">[FIGURA INTERATIVA: /micro-book/graficos/cap22/bens-publicos-experimento.html — versao interativa disponivel online]</w:t>
      </w:r>
    </w:p>
    <w:p>
      <w:pPr>
        <w:pStyle w:val="BlockText"/>
      </w:pPr>
      <w:r>
        <w:rPr>
          <w:b/>
          <w:bCs/>
        </w:rPr>
        <w:t xml:space="preserve">[EXERCICIO RESOLVIDO] Exercício Resolvido 22.1 — Equilíbrio de Nash no jogo de bens públicos</w:t>
      </w:r>
    </w:p>
    <w:p>
      <w:pPr>
        <w:pStyle w:val="BlockText"/>
      </w:pPr>
      <w:r>
        <w:rPr>
          <w:b/>
          <w:bCs/>
        </w:rPr>
        <w:t xml:space="preserve">Enunciado.</w:t>
      </w:r>
      <w:r>
        <w:t xml:space="preserve"> </w:t>
      </w:r>
      <w:r>
        <w:t xml:space="preserve">Em um jogo de bens públicos,</w:t>
      </w:r>
      <w:r>
        <w:t xml:space="preserve"> </w:t>
      </w:r>
      <m:oMath>
        <m:r>
          <m:t>N</m:t>
        </m:r>
        <m:r>
          <m:rPr>
            <m:sty m:val="p"/>
          </m:rPr>
          <m:t>=</m:t>
        </m:r>
        <m:r>
          <m:t>4</m:t>
        </m:r>
      </m:oMath>
      <w:r>
        <w:t xml:space="preserve"> </w:t>
      </w:r>
      <w:r>
        <w:t xml:space="preserve">jogadores recebem dotação</w:t>
      </w:r>
      <w:r>
        <w:t xml:space="preserve"> </w:t>
      </w:r>
      <m:oMath>
        <m:r>
          <m:t>w</m:t>
        </m:r>
        <m:r>
          <m:rPr>
            <m:sty m:val="p"/>
          </m:rPr>
          <m:t>=</m:t>
        </m:r>
        <m:r>
          <m:t>20</m:t>
        </m:r>
      </m:oMath>
      <w:r>
        <w:t xml:space="preserve"> </w:t>
      </w:r>
      <w:r>
        <w:t xml:space="preserve">cada. Cada jogador</w:t>
      </w:r>
      <w:r>
        <w:t xml:space="preserve"> </w:t>
      </w:r>
      <m:oMath>
        <m:r>
          <m:t>i</m:t>
        </m:r>
      </m:oMath>
      <w:r>
        <w:t xml:space="preserve"> </w:t>
      </w:r>
      <w:r>
        <w:t xml:space="preserve">escolhe quanto contribuir</w:t>
      </w:r>
      <w:r>
        <w:t xml:space="preserve"> </w:t>
      </w:r>
      <m:oMath>
        <m:sSub>
          <m:e>
            <m:r>
              <m:t>g</m:t>
            </m:r>
          </m:e>
          <m:sub>
            <m:r>
              <m:t>i</m:t>
            </m:r>
          </m:sub>
        </m:sSub>
        <m:r>
          <m:rPr>
            <m:sty m:val="p"/>
          </m:rPr>
          <m:t>∈</m:t>
        </m:r>
        <m:r>
          <m:rPr>
            <m:sty m:val="p"/>
          </m:rPr>
          <m:t>[</m:t>
        </m:r>
        <m:r>
          <m:t>0</m:t>
        </m:r>
        <m:r>
          <m:rPr>
            <m:sty m:val="p"/>
          </m:rPr>
          <m:t>,</m:t>
        </m:r>
        <m:r>
          <m:t>20</m:t>
        </m:r>
        <m:r>
          <m:rPr>
            <m:sty m:val="p"/>
          </m:rPr>
          <m:t>]</m:t>
        </m:r>
      </m:oMath>
      <w:r>
        <w:t xml:space="preserve"> </w:t>
      </w:r>
      <w:r>
        <w:t xml:space="preserve">ao fundo público. O retorno total do fundo é</w:t>
      </w:r>
      <w:r>
        <w:t xml:space="preserve"> </w:t>
      </w:r>
      <m:oMath>
        <m:r>
          <m:t>1</m:t>
        </m:r>
        <m:r>
          <m:rPr>
            <m:sty m:val="p"/>
          </m:rPr>
          <m:t>,</m:t>
        </m:r>
        <m:r>
          <m:t>6</m:t>
        </m:r>
        <m:r>
          <m:rPr>
            <m:sty m:val="p"/>
          </m:rPr>
          <m:t>∑</m:t>
        </m:r>
        <m:sSub>
          <m:e>
            <m:r>
              <m:t>g</m:t>
            </m:r>
          </m:e>
          <m:sub>
            <m:r>
              <m:t>i</m:t>
            </m:r>
          </m:sub>
        </m:sSub>
      </m:oMath>
      <w:r>
        <w:t xml:space="preserve">, dividido igualmente entre os 4 jogadores. O payoff do jogador</w:t>
      </w:r>
      <w:r>
        <w:t xml:space="preserve"> </w:t>
      </w:r>
      <m:oMath>
        <m:r>
          <m:t>i</m:t>
        </m:r>
      </m:oMath>
      <w:r>
        <w:t xml:space="preserve"> </w:t>
      </w:r>
      <w:r>
        <w:t xml:space="preserve">é:</w:t>
      </w:r>
    </w:p>
    <w:p>
      <w:pPr>
        <w:pStyle w:val="BlockText"/>
      </w:pPr>
      <w:r>
        <w:t xml:space="preserve">$$</w:t>
      </w:r>
    </w:p>
    <w:p>
      <w:pPr>
        <w:pStyle w:val="BlockText"/>
      </w:pPr>
      <w:r>
        <w:rPr>
          <w:i/>
          <w:iCs/>
        </w:rPr>
        <w:t xml:space="preserve">i = (20 - g_i) +</w:t>
      </w:r>
      <w:r>
        <w:rPr>
          <w:i/>
          <w:iCs/>
        </w:rPr>
        <w:t xml:space="preserve"> </w:t>
      </w:r>
      <w:r>
        <w:rPr>
          <w:i/>
          <w:iCs/>
        </w:rPr>
        <w:t xml:space="preserve"> </w:t>
      </w:r>
      <w:r>
        <w:t xml:space="preserve">{j=1}^{4} g_j = (20 - g_i) + 0{,}4</w:t>
      </w:r>
      <w:r>
        <w:t xml:space="preserve"> </w:t>
      </w:r>
      <w:r>
        <w:t xml:space="preserve">_{j=1}^{4} g_j</w:t>
      </w:r>
    </w:p>
    <w:p>
      <w:pPr>
        <w:pStyle w:val="BlockText"/>
      </w:pPr>
      <w:r>
        <w:t xml:space="preserve">$$</w:t>
      </w:r>
    </w:p>
    <w:p>
      <w:pPr>
        <w:pStyle w:val="BlockText"/>
        <w:numPr>
          <w:ilvl w:val="0"/>
          <w:numId w:val="2185"/>
        </w:numPr>
      </w:pPr>
      <w:r>
        <w:t xml:space="preserve">Encontre o equilíbrio de Nash do jogo (decisão simultânea, jogadores egoístas).</w:t>
      </w:r>
    </w:p>
    <w:p>
      <w:pPr>
        <w:pStyle w:val="BlockText"/>
        <w:numPr>
          <w:ilvl w:val="0"/>
          <w:numId w:val="2185"/>
        </w:numPr>
      </w:pPr>
      <w:r>
        <w:t xml:space="preserve">Encontre a contribuição socialmente ótima (que maximiza a soma dos payoffs).</w:t>
      </w:r>
    </w:p>
    <w:p>
      <w:pPr>
        <w:pStyle w:val="BlockText"/>
        <w:numPr>
          <w:ilvl w:val="0"/>
          <w:numId w:val="2185"/>
        </w:numPr>
      </w:pPr>
      <w:r>
        <w:t xml:space="preserve">Calcule o payoff no equilíbrio de Nash e no ótimo social. Há dilema social?</w:t>
      </w:r>
    </w:p>
    <w:p>
      <w:r>
        <w:pict>
          <v:rect style="width:0;height:1.5pt" o:hralign="center" o:hrstd="t" o:hr="t"/>
        </w:pict>
      </w:r>
    </w:p>
    <w:p>
      <w:pPr>
        <w:pStyle w:val="BlockText"/>
      </w:pPr>
      <w:r>
        <w:rPr>
          <w:b/>
          <w:bCs/>
        </w:rPr>
        <w:t xml:space="preserve">Solução.</w:t>
      </w:r>
    </w:p>
    <w:p>
      <w:pPr>
        <w:pStyle w:val="BlockText"/>
      </w:pPr>
      <w:r>
        <w:rPr>
          <w:b/>
          <w:bCs/>
        </w:rPr>
        <w:t xml:space="preserve">(a) Equilíbrio de Nash.</w:t>
      </w:r>
    </w:p>
    <w:p>
      <w:pPr>
        <w:pStyle w:val="BlockText"/>
      </w:pPr>
      <w:r>
        <w:t xml:space="preserve">O payoff do jogador</w:t>
      </w:r>
      <w:r>
        <w:t xml:space="preserve"> </w:t>
      </w:r>
      <m:oMath>
        <m:r>
          <m:t>i</m:t>
        </m:r>
      </m:oMath>
      <w:r>
        <w:t xml:space="preserve"> </w:t>
      </w:r>
      <w:r>
        <w:t xml:space="preserve">é:</w:t>
      </w:r>
    </w:p>
    <w:p>
      <w:pPr>
        <w:pStyle w:val="BlockText"/>
      </w:pPr>
      <w:r>
        <w:t xml:space="preserve">$$</w:t>
      </w:r>
    </w:p>
    <w:p>
      <w:pPr>
        <w:pStyle w:val="BlockText"/>
      </w:pPr>
      <w:r>
        <w:rPr>
          <w:i/>
          <w:iCs/>
        </w:rPr>
        <w:t xml:space="preserve">i = 20 - g_i + 0{,}4 g_i + 0{,}4</w:t>
      </w:r>
      <w:r>
        <w:rPr>
          <w:i/>
          <w:iCs/>
        </w:rPr>
        <w:t xml:space="preserve"> </w:t>
      </w:r>
      <w:r>
        <w:t xml:space="preserve">{j</w:t>
      </w:r>
      <w:r>
        <w:t xml:space="preserve"> </w:t>
      </w:r>
      <w:r>
        <w:t xml:space="preserve">i} g_j = 20 - 0{,}6 g_i + 0{,}4</w:t>
      </w:r>
      <w:r>
        <w:t xml:space="preserve"> </w:t>
      </w:r>
      <w:r>
        <w:t xml:space="preserve">_{j</w:t>
      </w:r>
      <w:r>
        <w:t xml:space="preserve"> </w:t>
      </w:r>
      <w:r>
        <w:t xml:space="preserve">i} g_j</w:t>
      </w:r>
    </w:p>
    <w:p>
      <w:pPr>
        <w:pStyle w:val="BlockText"/>
      </w:pPr>
      <w:r>
        <w:t xml:space="preserve">$$</w:t>
      </w:r>
    </w:p>
    <w:p>
      <w:pPr>
        <w:pStyle w:val="BlockText"/>
      </w:pPr>
      <w:r>
        <w:t xml:space="preserve">Derivando em relação a</w:t>
      </w:r>
      <w:r>
        <w:t xml:space="preserve"> </w:t>
      </w:r>
      <m:oMath>
        <m:sSub>
          <m:e>
            <m:r>
              <m:t>g</m:t>
            </m:r>
          </m:e>
          <m:sub>
            <m:r>
              <m:t>i</m:t>
            </m:r>
          </m:sub>
        </m:sSub>
      </m:oMath>
      <w:r>
        <w:t xml:space="preserve">:</w:t>
      </w:r>
    </w:p>
    <w:p>
      <w:pPr>
        <w:pStyle w:val="BlockText"/>
      </w:pPr>
      <w:r>
        <w:t xml:space="preserve">$$</w:t>
      </w:r>
    </w:p>
    <w:p>
      <w:pPr>
        <w:pStyle w:val="BlockText"/>
      </w:pPr>
      <w:r>
        <w:t xml:space="preserve"> </w:t>
      </w:r>
      <w:r>
        <w:t xml:space="preserve">= -0{,}6 &lt; 0</w:t>
      </w:r>
    </w:p>
    <w:p>
      <w:pPr>
        <w:pStyle w:val="BlockText"/>
      </w:pPr>
      <w:r>
        <w:t xml:space="preserve">$$</w:t>
      </w:r>
    </w:p>
    <w:p>
      <w:pPr>
        <w:pStyle w:val="BlockText"/>
      </w:pPr>
      <w:r>
        <w:t xml:space="preserve">Como o payoff é estritamente decrescente em</w:t>
      </w:r>
      <w:r>
        <w:t xml:space="preserve"> </w:t>
      </w:r>
      <m:oMath>
        <m:sSub>
          <m:e>
            <m:r>
              <m:t>g</m:t>
            </m:r>
          </m:e>
          <m:sub>
            <m:r>
              <m:t>i</m:t>
            </m:r>
          </m:sub>
        </m:sSub>
      </m:oMath>
      <w:r>
        <w:t xml:space="preserve">, o jogador egoísta escolhe</w:t>
      </w:r>
      <w:r>
        <w:t xml:space="preserve"> </w:t>
      </w:r>
      <m:oMath>
        <m:sSubSup>
          <m:e>
            <m:r>
              <m:t>g</m:t>
            </m:r>
          </m:e>
          <m:sub>
            <m:r>
              <m:t>i</m:t>
            </m:r>
          </m:sub>
          <m:sup>
            <m:r>
              <m:rPr>
                <m:sty m:val="p"/>
              </m:rPr>
              <m:t>*</m:t>
            </m:r>
          </m:sup>
        </m:sSubSup>
        <m:r>
          <m:rPr>
            <m:sty m:val="p"/>
          </m:rPr>
          <m:t>=</m:t>
        </m:r>
        <m:r>
          <m:t>0</m:t>
        </m:r>
      </m:oMath>
      <w:r>
        <w:t xml:space="preserve"> </w:t>
      </w:r>
      <w:r>
        <w:t xml:space="preserve">para todo</w:t>
      </w:r>
      <w:r>
        <w:t xml:space="preserve"> </w:t>
      </w:r>
      <m:oMath>
        <m:r>
          <m:t>i</m:t>
        </m:r>
      </m:oMath>
      <w:r>
        <w:t xml:space="preserve">.</w:t>
      </w:r>
    </w:p>
    <w:p>
      <w:pPr>
        <w:pStyle w:val="BlockText"/>
      </w:pPr>
      <w:r>
        <w:rPr>
          <w:b/>
          <w:bCs/>
        </w:rPr>
        <w:t xml:space="preserve">Equilíbrio de Nash:</w:t>
      </w:r>
      <w:r>
        <w:rPr>
          <w:b/>
          <w:bCs/>
        </w:rPr>
        <w:t xml:space="preserve"> </w:t>
      </w:r>
      <m:oMath>
        <m:sSubSup>
          <m:e>
            <m:r>
              <m:t>g</m:t>
            </m:r>
          </m:e>
          <m:sub>
            <m:r>
              <m:t>i</m:t>
            </m:r>
          </m:sub>
          <m:sup>
            <m:r>
              <m:rPr>
                <m:sty m:val="p"/>
              </m:rPr>
              <m:t>*</m:t>
            </m:r>
          </m:sup>
        </m:sSubSup>
        <m:r>
          <m:rPr>
            <m:sty m:val="p"/>
          </m:rPr>
          <m:t>=</m:t>
        </m:r>
        <m:r>
          <m:t>0</m:t>
        </m:r>
      </m:oMath>
      <w:r>
        <w:rPr>
          <w:b/>
          <w:bCs/>
        </w:rPr>
        <w:t xml:space="preserve"> </w:t>
      </w:r>
      <w:r>
        <w:rPr>
          <w:b/>
          <w:bCs/>
        </w:rPr>
        <w:t xml:space="preserve">para todo</w:t>
      </w:r>
      <w:r>
        <w:rPr>
          <w:b/>
          <w:bCs/>
        </w:rPr>
        <w:t xml:space="preserve"> </w:t>
      </w:r>
      <m:oMath>
        <m:r>
          <m:t>i</m:t>
        </m:r>
      </m:oMath>
      <w:r>
        <w:rPr>
          <w:b/>
          <w:bCs/>
        </w:rPr>
        <w:t xml:space="preserve"> </w:t>
      </w:r>
      <w:r>
        <w:rPr>
          <w:b/>
          <w:bCs/>
        </w:rPr>
        <w:t xml:space="preserve">(ninguém contribui).</w:t>
      </w:r>
    </w:p>
    <w:p>
      <w:pPr>
        <w:pStyle w:val="BlockText"/>
      </w:pPr>
      <w:r>
        <w:rPr>
          <w:b/>
          <w:bCs/>
        </w:rPr>
        <w:t xml:space="preserve">(b) Ótimo social.</w:t>
      </w:r>
    </w:p>
    <w:p>
      <w:pPr>
        <w:pStyle w:val="BlockText"/>
      </w:pPr>
      <w:r>
        <w:t xml:space="preserve">A soma dos payoffs é:</w:t>
      </w:r>
    </w:p>
    <w:p>
      <w:pPr>
        <w:pStyle w:val="BlockText"/>
      </w:pPr>
      <w:r>
        <w:t xml:space="preserve">$$</w:t>
      </w:r>
    </w:p>
    <w:p>
      <w:pPr>
        <w:pStyle w:val="BlockText"/>
      </w:pPr>
      <w:r>
        <w:rPr>
          <w:i/>
          <w:iCs/>
        </w:rPr>
        <w:t xml:space="preserve">{i=1}^{4}</w:t>
      </w:r>
      <w:r>
        <w:rPr>
          <w:i/>
          <w:iCs/>
        </w:rPr>
        <w:t xml:space="preserve"> </w:t>
      </w:r>
      <w:r>
        <w:rPr>
          <w:i/>
          <w:i/>
          <w:iCs/>
          <w:iCs/>
        </w:rPr>
        <w:t xml:space="preserve">i =</w:t>
      </w:r>
      <w:r>
        <w:rPr>
          <w:i/>
          <w:i/>
          <w:iCs/>
          <w:iCs/>
        </w:rPr>
        <w:t xml:space="preserve"> </w:t>
      </w:r>
      <w:r>
        <w:rPr>
          <w:i/>
          <w:iCs/>
        </w:rPr>
        <w:t xml:space="preserve">{i=1}^{4} (20 - g_i) + 4</w:t>
      </w:r>
      <w:r>
        <w:rPr>
          <w:i/>
          <w:iCs/>
        </w:rPr>
        <w:t xml:space="preserve"> </w:t>
      </w:r>
      <w:r>
        <w:rPr>
          <w:i/>
          <w:iCs/>
        </w:rPr>
        <w:t xml:space="preserve">4</w:t>
      </w:r>
      <w:r>
        <w:rPr>
          <w:i/>
          <w:iCs/>
        </w:rPr>
        <w:t xml:space="preserve"> </w:t>
      </w:r>
      <w:r>
        <w:t xml:space="preserve">{j=1}^{4} g_j = 80 -</w:t>
      </w:r>
      <w:r>
        <w:t xml:space="preserve"> </w:t>
      </w:r>
      <w:r>
        <w:t xml:space="preserve">g_i + 1{,}6</w:t>
      </w:r>
      <w:r>
        <w:t xml:space="preserve"> </w:t>
      </w:r>
      <w:r>
        <w:t xml:space="preserve">g_i = 80 + 0{,}6</w:t>
      </w:r>
      <w:r>
        <w:t xml:space="preserve"> </w:t>
      </w:r>
      <w:r>
        <w:t xml:space="preserve">g_i</w:t>
      </w:r>
    </w:p>
    <w:p>
      <w:pPr>
        <w:pStyle w:val="BlockText"/>
      </w:pPr>
      <w:r>
        <w:t xml:space="preserve">$$</w:t>
      </w:r>
    </w:p>
    <w:p>
      <w:pPr>
        <w:pStyle w:val="BlockText"/>
      </w:pPr>
      <w:r>
        <w:t xml:space="preserve">Como o bem-estar total é crescente em</w:t>
      </w:r>
      <w:r>
        <w:t xml:space="preserve"> </w:t>
      </w:r>
      <m:oMath>
        <m:r>
          <m:rPr>
            <m:sty m:val="p"/>
          </m:rPr>
          <m:t>∑</m:t>
        </m:r>
        <m:sSub>
          <m:e>
            <m:r>
              <m:t>g</m:t>
            </m:r>
          </m:e>
          <m:sub>
            <m:r>
              <m:t>i</m:t>
            </m:r>
          </m:sub>
        </m:sSub>
      </m:oMath>
      <w:r>
        <w:t xml:space="preserve">, o ótimo social requer</w:t>
      </w:r>
      <w:r>
        <w:t xml:space="preserve"> </w:t>
      </w:r>
      <m:oMath>
        <m:sSub>
          <m:e>
            <m:r>
              <m:t>g</m:t>
            </m:r>
          </m:e>
          <m:sub>
            <m:r>
              <m:t>i</m:t>
            </m:r>
          </m:sub>
        </m:sSub>
        <m:r>
          <m:rPr>
            <m:sty m:val="p"/>
          </m:rPr>
          <m:t>=</m:t>
        </m:r>
        <m:r>
          <m:t>20</m:t>
        </m:r>
      </m:oMath>
      <w:r>
        <w:t xml:space="preserve"> </w:t>
      </w:r>
      <w:r>
        <w:t xml:space="preserve">para todo</w:t>
      </w:r>
      <w:r>
        <w:t xml:space="preserve"> </w:t>
      </w:r>
      <m:oMath>
        <m:r>
          <m:t>i</m:t>
        </m:r>
      </m:oMath>
      <w:r>
        <w:t xml:space="preserve"> </w:t>
      </w:r>
      <w:r>
        <w:t xml:space="preserve">(todos contribuem tudo).</w:t>
      </w:r>
    </w:p>
    <w:p>
      <w:pPr>
        <w:pStyle w:val="BlockText"/>
      </w:pPr>
      <w:r>
        <w:rPr>
          <w:b/>
          <w:bCs/>
        </w:rPr>
        <w:t xml:space="preserve">(c) Comparação.</w:t>
      </w:r>
    </w:p>
    <w:p>
      <w:pPr>
        <w:pStyle w:val="Compact"/>
        <w:numPr>
          <w:ilvl w:val="0"/>
          <w:numId w:val="2186"/>
        </w:numPr>
      </w:pPr>
      <w:r>
        <w:rPr>
          <w:b/>
          <w:bCs/>
        </w:rPr>
        <w:t xml:space="preserve">Equilíbrio de Nash</w:t>
      </w:r>
      <w:r>
        <w:t xml:space="preserve"> </w:t>
      </w:r>
      <w:r>
        <w:t xml:space="preserve">(</w:t>
      </w:r>
      <m:oMath>
        <m:sSub>
          <m:e>
            <m:r>
              <m:t>g</m:t>
            </m:r>
          </m:e>
          <m:sub>
            <m:r>
              <m:t>i</m:t>
            </m:r>
          </m:sub>
        </m:sSub>
        <m:r>
          <m:rPr>
            <m:sty m:val="p"/>
          </m:rPr>
          <m:t>=</m:t>
        </m:r>
        <m:r>
          <m:t>0</m:t>
        </m:r>
      </m:oMath>
      <w:r>
        <w:t xml:space="preserve">):</w:t>
      </w:r>
      <w:r>
        <w:t xml:space="preserve"> </w:t>
      </w:r>
      <m:oMath>
        <m:sSub>
          <m:e>
            <m:r>
              <m:t>π</m:t>
            </m:r>
          </m:e>
          <m:sub>
            <m:r>
              <m:t>i</m:t>
            </m:r>
          </m:sub>
        </m:sSub>
        <m:r>
          <m:rPr>
            <m:sty m:val="p"/>
          </m:rPr>
          <m:t>=</m:t>
        </m:r>
        <m:r>
          <m:t>20</m:t>
        </m:r>
      </m:oMath>
      <w:r>
        <w:t xml:space="preserve">. Total: 80.</w:t>
      </w:r>
    </w:p>
    <w:p>
      <w:pPr>
        <w:pStyle w:val="Compact"/>
        <w:numPr>
          <w:ilvl w:val="0"/>
          <w:numId w:val="2186"/>
        </w:numPr>
      </w:pPr>
      <w:r>
        <w:rPr>
          <w:b/>
          <w:bCs/>
        </w:rPr>
        <w:t xml:space="preserve">Ótimo social</w:t>
      </w:r>
      <w:r>
        <w:t xml:space="preserve"> </w:t>
      </w:r>
      <w:r>
        <w:t xml:space="preserve">(</w:t>
      </w:r>
      <m:oMath>
        <m:sSub>
          <m:e>
            <m:r>
              <m:t>g</m:t>
            </m:r>
          </m:e>
          <m:sub>
            <m:r>
              <m:t>i</m:t>
            </m:r>
          </m:sub>
        </m:sSub>
        <m:r>
          <m:rPr>
            <m:sty m:val="p"/>
          </m:rPr>
          <m:t>=</m:t>
        </m:r>
        <m:r>
          <m:t>20</m:t>
        </m:r>
      </m:oMath>
      <w:r>
        <w:t xml:space="preserve">):</w:t>
      </w:r>
      <w:r>
        <w:t xml:space="preserve"> </w:t>
      </w:r>
      <m:oMath>
        <m:sSub>
          <m:e>
            <m:r>
              <m:t>π</m:t>
            </m:r>
          </m:e>
          <m:sub>
            <m:r>
              <m:t>i</m:t>
            </m:r>
          </m:sub>
        </m:sSub>
        <m:r>
          <m:rPr>
            <m:sty m:val="p"/>
          </m:rPr>
          <m:t>=</m:t>
        </m:r>
        <m:r>
          <m:t>0</m:t>
        </m:r>
        <m:r>
          <m:rPr>
            <m:sty m:val="p"/>
          </m:rPr>
          <m:t>+</m:t>
        </m:r>
        <m:r>
          <m:t>0</m:t>
        </m:r>
        <m:r>
          <m:rPr>
            <m:sty m:val="p"/>
          </m:rPr>
          <m:t>,</m:t>
        </m:r>
        <m:r>
          <m:t>4</m:t>
        </m:r>
        <m:r>
          <m:rPr>
            <m:sty m:val="p"/>
          </m:rPr>
          <m:t>×</m:t>
        </m:r>
        <m:r>
          <m:t>80</m:t>
        </m:r>
        <m:r>
          <m:rPr>
            <m:sty m:val="p"/>
          </m:rPr>
          <m:t>=</m:t>
        </m:r>
        <m:r>
          <m:t>32</m:t>
        </m:r>
      </m:oMath>
      <w:r>
        <w:t xml:space="preserve">. Total: 128.</w:t>
      </w:r>
    </w:p>
    <w:p>
      <w:pPr>
        <w:pStyle w:val="BlockText"/>
      </w:pPr>
      <w:r>
        <w:rPr>
          <w:b/>
          <w:bCs/>
        </w:rPr>
        <w:t xml:space="preserve">Sim, há dilema social.</w:t>
      </w:r>
      <w:r>
        <w:t xml:space="preserve"> </w:t>
      </w:r>
      <w:r>
        <w:t xml:space="preserve">Cada jogador ganha 32 no ótimo (60% a mais que no Nash), mas o incentivo individual é contribuir zero. A estrutura é análoga ao dilema do prisioneiro com</w:t>
      </w:r>
      <w:r>
        <w:t xml:space="preserve"> </w:t>
      </w:r>
      <m:oMath>
        <m:r>
          <m:t>N</m:t>
        </m:r>
      </m:oMath>
      <w:r>
        <w:t xml:space="preserve"> </w:t>
      </w:r>
      <w:r>
        <w:t xml:space="preserve">jogadores (Capítulo 9a): a racionalidade individual leva a um resultado coletivamente inferior.</w:t>
      </w:r>
    </w:p>
    <w:bookmarkEnd w:id="1358"/>
    <w:bookmarkStart w:id="1359" w:name="validade-interna-versus-validade-externa"/>
    <w:p>
      <w:pPr>
        <w:pStyle w:val="Heading4"/>
      </w:pPr>
      <w:r>
        <w:t xml:space="preserve">22.2.4 Validade interna versus validade externa</w:t>
      </w:r>
    </w:p>
    <w:p>
      <w:pPr>
        <w:pStyle w:val="FirstParagraph"/>
      </w:pPr>
      <w:r>
        <w:t xml:space="preserve">Os experimentos de laboratório enfrentam uma crítica recorrente: são</w:t>
      </w:r>
      <w:r>
        <w:t xml:space="preserve"> </w:t>
      </w:r>
      <w:r>
        <w:rPr>
          <w:b/>
          <w:bCs/>
        </w:rPr>
        <w:t xml:space="preserve">artificiais</w:t>
      </w:r>
      <w:r>
        <w:t xml:space="preserve">. Participantes (geralmente estudantes) tomam decisões sobre quantias pequenas, em ambientes estéreis, sem a complexidade do mundo real. Podemos generalizar os resultados?</w:t>
      </w:r>
    </w:p>
    <w:p>
      <w:pPr>
        <w:pStyle w:val="BodyText"/>
      </w:pPr>
      <w:r>
        <w:t xml:space="preserve">A resposta depende da pergunta de pesquisa. Para testar</w:t>
      </w:r>
      <w:r>
        <w:t xml:space="preserve"> </w:t>
      </w:r>
      <w:r>
        <w:rPr>
          <w:i/>
          <w:iCs/>
        </w:rPr>
        <w:t xml:space="preserve">previsões teóricas</w:t>
      </w:r>
      <w:r>
        <w:t xml:space="preserve"> </w:t>
      </w:r>
      <w:r>
        <w:t xml:space="preserve">—</w:t>
      </w:r>
      <w:r>
        <w:t xml:space="preserve"> </w:t>
      </w:r>
      <w:r>
        <w:t xml:space="preserve">“o leilão de segundo preço é compatível com incentivos?”</w:t>
      </w:r>
      <w:r>
        <w:t xml:space="preserve"> </w:t>
      </w:r>
      <w:r>
        <w:t xml:space="preserve">— o laboratório é ideal, pois o controle permite isolar exatamente o mecanismo em questão. Para avaliar</w:t>
      </w:r>
      <w:r>
        <w:t xml:space="preserve"> </w:t>
      </w:r>
      <w:r>
        <w:rPr>
          <w:i/>
          <w:iCs/>
        </w:rPr>
        <w:t xml:space="preserve">políticas públicas</w:t>
      </w:r>
      <w:r>
        <w:t xml:space="preserve"> </w:t>
      </w:r>
      <w:r>
        <w:t xml:space="preserve">—</w:t>
      </w:r>
      <w:r>
        <w:t xml:space="preserve"> </w:t>
      </w:r>
      <w:r>
        <w:t xml:space="preserve">“como as pessoas respondem a multas em creches?”</w:t>
      </w:r>
      <w:r>
        <w:t xml:space="preserve"> </w:t>
      </w:r>
      <w:r>
        <w:t xml:space="preserve">— o laboratório é insuficiente, pois o contexto real importa. Essa distinção motiva a busca por métodos que preservem o controle experimental mas aumentem o realismo — os experimentos de campo, tema da próxima seção.</w:t>
      </w:r>
    </w:p>
    <w:p>
      <w:pPr>
        <w:pStyle w:val="BlockText"/>
      </w:pPr>
      <w:r>
        <w:rPr>
          <w:b/>
          <w:bCs/>
        </w:rPr>
        <w:t xml:space="preserve">[ATENCAO] Limites dos experimentos de laboratório</w:t>
      </w:r>
    </w:p>
    <w:p>
      <w:pPr>
        <w:pStyle w:val="BlockText"/>
      </w:pPr>
      <w:r>
        <w:t xml:space="preserve">Três limitações merecem atenção: (1)</w:t>
      </w:r>
      <w:r>
        <w:t xml:space="preserve"> </w:t>
      </w:r>
      <w:r>
        <w:rPr>
          <w:b/>
          <w:bCs/>
        </w:rPr>
        <w:t xml:space="preserve">Amostra não representativa</w:t>
      </w:r>
      <w:r>
        <w:t xml:space="preserve"> </w:t>
      </w:r>
      <w:r>
        <w:t xml:space="preserve">— estudantes universitários não são representativos da população geral; podem ser mais cooperativos, mais atentos a normas sociais, ou mais motivados por incentivos monetários. (2)</w:t>
      </w:r>
      <w:r>
        <w:t xml:space="preserve"> </w:t>
      </w:r>
      <w:r>
        <w:rPr>
          <w:b/>
          <w:bCs/>
        </w:rPr>
        <w:t xml:space="preserve">Efeito de demanda</w:t>
      </w:r>
      <w:r>
        <w:t xml:space="preserve"> </w:t>
      </w:r>
      <w:r>
        <w:t xml:space="preserve">(</w:t>
      </w:r>
      <w:r>
        <w:rPr>
          <w:i/>
          <w:iCs/>
        </w:rPr>
        <w:t xml:space="preserve">demand effect</w:t>
      </w:r>
      <w:r>
        <w:t xml:space="preserve">) — participantes podem alterar seu comportamento por saberem que estão sendo observados ou por tentarem adivinhar o que o pesquisador espera. (3)</w:t>
      </w:r>
      <w:r>
        <w:t xml:space="preserve"> </w:t>
      </w:r>
      <w:r>
        <w:rPr>
          <w:b/>
          <w:bCs/>
        </w:rPr>
        <w:t xml:space="preserve">Incentivos baixos</w:t>
      </w:r>
      <w:r>
        <w:t xml:space="preserve"> </w:t>
      </w:r>
      <w:r>
        <w:t xml:space="preserve">— os valores monetários em laboratório são tipicamente pequenos (R$ 20–50); é possível que com valores maiores (apostas de emprego, patrimônio) o comportamento mude. Essas limitações não invalidam os experimentos de laboratório, mas delimitam seu alcance.</w:t>
      </w:r>
    </w:p>
    <w:bookmarkEnd w:id="1359"/>
    <w:bookmarkEnd w:id="1360"/>
    <w:bookmarkStart w:id="1364" w:name="Xf06318c33c8e41c70083ee23dbe19426f1f9c5b"/>
    <w:p>
      <w:pPr>
        <w:pStyle w:val="Heading3"/>
      </w:pPr>
      <w:r>
        <w:t xml:space="preserve">22.3 Experimentos de Campo</w:t>
      </w:r>
    </w:p>
    <w:bookmarkStart w:id="1361" w:name="a-taxonomia-de-harrison-e-list"/>
    <w:p>
      <w:pPr>
        <w:pStyle w:val="Heading4"/>
      </w:pPr>
      <w:r>
        <w:t xml:space="preserve">22.3.1 A taxonomia de Harrison e List</w:t>
      </w:r>
    </w:p>
    <w:p>
      <w:pPr>
        <w:pStyle w:val="FirstParagraph"/>
      </w:pPr>
      <w:r>
        <w:t xml:space="preserve">O laboratório é confortável, mas tem um problema incômodo: o mundo real não vem com instruções padronizadas nem com estudantes obedientes sentados em fileiras. Será que o que funciona numa sala climatizada da universidade sobrevive ao caos de um mercado de rua em Nairóbi ou à fila de uma creche em Haifa? Para responder, os economistas precisaram sair do laboratório — e levar o método científico na mochila. Glenn Harrison e John List (2004) propuseram uma taxonomia influente que classifica os experimentos econômicos em um espectro contínuo entre laboratório puro e campo puro. A classificação organiza-se ao longo de seis dimensões: (i) natureza da amostra de participantes, (ii) natureza da informação disponível, (iii) natureza do bem transacionado, (iv) natureza das regras e da tarefa, (v) natureza do ambiente de decisão, e (vi) natureza das apostas (</w:t>
      </w:r>
      <w:r>
        <w:rPr>
          <w:i/>
          <w:iCs/>
        </w:rPr>
        <w:t xml:space="preserve">stakes</w:t>
      </w:r>
      <w:r>
        <w:t xml:space="preserve">).</w:t>
      </w:r>
    </w:p>
    <w:p>
      <w:pPr>
        <w:pStyle w:val="BodyText"/>
      </w:pPr>
      <w:r>
        <w:t xml:space="preserve">Com base nessas dimensões, Harrison e List distinguem quatro tipos:</w:t>
      </w:r>
    </w:p>
    <w:p>
      <w:pPr>
        <w:numPr>
          <w:ilvl w:val="0"/>
          <w:numId w:val="2187"/>
        </w:numPr>
      </w:pPr>
      <w:r>
        <w:rPr>
          <w:b/>
          <w:bCs/>
        </w:rPr>
        <w:t xml:space="preserve">Experimento de laboratório convencional</w:t>
      </w:r>
      <w:r>
        <w:t xml:space="preserve"> </w:t>
      </w:r>
      <w:r>
        <w:t xml:space="preserve">(</w:t>
      </w:r>
      <w:r>
        <w:rPr>
          <w:i/>
          <w:iCs/>
        </w:rPr>
        <w:t xml:space="preserve">conventional lab experiment</w:t>
      </w:r>
      <w:r>
        <w:t xml:space="preserve">): amostra de estudantes, tarefa abstrata, ambiente artificial.</w:t>
      </w:r>
    </w:p>
    <w:p>
      <w:pPr>
        <w:numPr>
          <w:ilvl w:val="0"/>
          <w:numId w:val="2187"/>
        </w:numPr>
      </w:pPr>
      <w:r>
        <w:rPr>
          <w:b/>
          <w:bCs/>
        </w:rPr>
        <w:t xml:space="preserve">Experimento de laboratório artefactual</w:t>
      </w:r>
      <w:r>
        <w:t xml:space="preserve"> </w:t>
      </w:r>
      <w:r>
        <w:t xml:space="preserve">(</w:t>
      </w:r>
      <w:r>
        <w:rPr>
          <w:i/>
          <w:iCs/>
        </w:rPr>
        <w:t xml:space="preserve">artefactual field experiment</w:t>
      </w:r>
      <w:r>
        <w:t xml:space="preserve">): usa participantes do campo (e.g., comerciantes de rua, agricultores), mas mantém a tarefa abstrata e o ambiente controlado.</w:t>
      </w:r>
    </w:p>
    <w:p>
      <w:pPr>
        <w:numPr>
          <w:ilvl w:val="0"/>
          <w:numId w:val="2187"/>
        </w:numPr>
      </w:pPr>
      <w:r>
        <w:rPr>
          <w:b/>
          <w:bCs/>
        </w:rPr>
        <w:t xml:space="preserve">Experimento de campo emoldurado</w:t>
      </w:r>
      <w:r>
        <w:t xml:space="preserve"> </w:t>
      </w:r>
      <w:r>
        <w:t xml:space="preserve">(</w:t>
      </w:r>
      <w:r>
        <w:rPr>
          <w:i/>
          <w:iCs/>
        </w:rPr>
        <w:t xml:space="preserve">framed field experiment</w:t>
      </w:r>
      <w:r>
        <w:t xml:space="preserve">): usa participantes do campo, informação e bens do contexto real, mas o pesquisador ainda controla a aleatorização e a coleta de dados.</w:t>
      </w:r>
    </w:p>
    <w:p>
      <w:pPr>
        <w:numPr>
          <w:ilvl w:val="0"/>
          <w:numId w:val="2187"/>
        </w:numPr>
      </w:pPr>
      <w:r>
        <w:rPr>
          <w:b/>
          <w:bCs/>
        </w:rPr>
        <w:t xml:space="preserve">Experimento de campo natural</w:t>
      </w:r>
      <w:r>
        <w:t xml:space="preserve"> </w:t>
      </w:r>
      <w:r>
        <w:t xml:space="preserve">(</w:t>
      </w:r>
      <w:r>
        <w:rPr>
          <w:i/>
          <w:iCs/>
        </w:rPr>
        <w:t xml:space="preserve">natural field experiment</w:t>
      </w:r>
      <w:r>
        <w:t xml:space="preserve">): os participantes não sabem que estão em um experimento; o ambiente é totalmente natural. Exemplo: um empregador que aleatoriza anúncios de emprego para medir discriminação.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Tipo</w:t>
            </w:r>
          </w:p>
        </w:tc>
        <w:tc>
          <w:tcPr/>
          <w:p>
            <w:pPr>
              <w:pStyle w:val="Compact"/>
              <w:jc w:val="left"/>
            </w:pPr>
            <w:r>
              <w:t xml:space="preserve">Amostra</w:t>
            </w:r>
          </w:p>
        </w:tc>
        <w:tc>
          <w:tcPr/>
          <w:p>
            <w:pPr>
              <w:pStyle w:val="Compact"/>
              <w:jc w:val="left"/>
            </w:pPr>
            <w:r>
              <w:t xml:space="preserve">Tarefa</w:t>
            </w:r>
          </w:p>
        </w:tc>
        <w:tc>
          <w:tcPr/>
          <w:p>
            <w:pPr>
              <w:pStyle w:val="Compact"/>
              <w:jc w:val="left"/>
            </w:pPr>
            <w:r>
              <w:t xml:space="preserve">Ambiente</w:t>
            </w:r>
          </w:p>
        </w:tc>
        <w:tc>
          <w:tcPr/>
          <w:p>
            <w:pPr>
              <w:pStyle w:val="Compact"/>
              <w:jc w:val="left"/>
            </w:pPr>
            <w:r>
              <w:t xml:space="preserve">Sabe que é experimento?</w:t>
            </w:r>
          </w:p>
        </w:tc>
      </w:tr>
      <w:tr>
        <w:tc>
          <w:tcPr/>
          <w:p>
            <w:pPr>
              <w:pStyle w:val="Compact"/>
              <w:jc w:val="left"/>
            </w:pPr>
            <w:r>
              <w:t xml:space="preserve">Lab convencional</w:t>
            </w:r>
          </w:p>
        </w:tc>
        <w:tc>
          <w:tcPr/>
          <w:p>
            <w:pPr>
              <w:pStyle w:val="Compact"/>
              <w:jc w:val="left"/>
            </w:pPr>
            <w:r>
              <w:t xml:space="preserve">Estudantes</w:t>
            </w:r>
          </w:p>
        </w:tc>
        <w:tc>
          <w:tcPr/>
          <w:p>
            <w:pPr>
              <w:pStyle w:val="Compact"/>
              <w:jc w:val="left"/>
            </w:pPr>
            <w:r>
              <w:t xml:space="preserve">Abstrata</w:t>
            </w:r>
          </w:p>
        </w:tc>
        <w:tc>
          <w:tcPr/>
          <w:p>
            <w:pPr>
              <w:pStyle w:val="Compact"/>
              <w:jc w:val="left"/>
            </w:pPr>
            <w:r>
              <w:t xml:space="preserve">Laboratório</w:t>
            </w:r>
          </w:p>
        </w:tc>
        <w:tc>
          <w:tcPr/>
          <w:p>
            <w:pPr>
              <w:pStyle w:val="Compact"/>
              <w:jc w:val="left"/>
            </w:pPr>
            <w:r>
              <w:t xml:space="preserve">Sim</w:t>
            </w:r>
          </w:p>
        </w:tc>
      </w:tr>
      <w:tr>
        <w:tc>
          <w:tcPr/>
          <w:p>
            <w:pPr>
              <w:pStyle w:val="Compact"/>
              <w:jc w:val="left"/>
            </w:pPr>
            <w:r>
              <w:t xml:space="preserve">Lab artefactual</w:t>
            </w:r>
          </w:p>
        </w:tc>
        <w:tc>
          <w:tcPr/>
          <w:p>
            <w:pPr>
              <w:pStyle w:val="Compact"/>
              <w:jc w:val="left"/>
            </w:pPr>
            <w:r>
              <w:t xml:space="preserve">Campo</w:t>
            </w:r>
          </w:p>
        </w:tc>
        <w:tc>
          <w:tcPr/>
          <w:p>
            <w:pPr>
              <w:pStyle w:val="Compact"/>
              <w:jc w:val="left"/>
            </w:pPr>
            <w:r>
              <w:t xml:space="preserve">Abstrata</w:t>
            </w:r>
          </w:p>
        </w:tc>
        <w:tc>
          <w:tcPr/>
          <w:p>
            <w:pPr>
              <w:pStyle w:val="Compact"/>
              <w:jc w:val="left"/>
            </w:pPr>
            <w:r>
              <w:t xml:space="preserve">Laboratório</w:t>
            </w:r>
          </w:p>
        </w:tc>
        <w:tc>
          <w:tcPr/>
          <w:p>
            <w:pPr>
              <w:pStyle w:val="Compact"/>
              <w:jc w:val="left"/>
            </w:pPr>
            <w:r>
              <w:t xml:space="preserve">Sim</w:t>
            </w:r>
          </w:p>
        </w:tc>
      </w:tr>
      <w:tr>
        <w:tc>
          <w:tcPr/>
          <w:p>
            <w:pPr>
              <w:pStyle w:val="Compact"/>
              <w:jc w:val="left"/>
            </w:pPr>
            <w:r>
              <w:t xml:space="preserve">Campo emoldurado</w:t>
            </w:r>
          </w:p>
        </w:tc>
        <w:tc>
          <w:tcPr/>
          <w:p>
            <w:pPr>
              <w:pStyle w:val="Compact"/>
              <w:jc w:val="left"/>
            </w:pPr>
            <w:r>
              <w:t xml:space="preserve">Campo</w:t>
            </w:r>
          </w:p>
        </w:tc>
        <w:tc>
          <w:tcPr/>
          <w:p>
            <w:pPr>
              <w:pStyle w:val="Compact"/>
              <w:jc w:val="left"/>
            </w:pPr>
            <w:r>
              <w:t xml:space="preserve">Contextualizada</w:t>
            </w:r>
          </w:p>
        </w:tc>
        <w:tc>
          <w:tcPr/>
          <w:p>
            <w:pPr>
              <w:pStyle w:val="Compact"/>
              <w:jc w:val="left"/>
            </w:pPr>
            <w:r>
              <w:t xml:space="preserve">Real</w:t>
            </w:r>
          </w:p>
        </w:tc>
        <w:tc>
          <w:tcPr/>
          <w:p>
            <w:pPr>
              <w:pStyle w:val="Compact"/>
              <w:jc w:val="left"/>
            </w:pPr>
            <w:r>
              <w:t xml:space="preserve">Sim</w:t>
            </w:r>
          </w:p>
        </w:tc>
      </w:tr>
      <w:tr>
        <w:tc>
          <w:tcPr/>
          <w:p>
            <w:pPr>
              <w:pStyle w:val="Compact"/>
              <w:jc w:val="left"/>
            </w:pPr>
            <w:r>
              <w:t xml:space="preserve">Campo natural</w:t>
            </w:r>
          </w:p>
        </w:tc>
        <w:tc>
          <w:tcPr/>
          <w:p>
            <w:pPr>
              <w:pStyle w:val="Compact"/>
              <w:jc w:val="left"/>
            </w:pPr>
            <w:r>
              <w:t xml:space="preserve">Campo</w:t>
            </w:r>
          </w:p>
        </w:tc>
        <w:tc>
          <w:tcPr/>
          <w:p>
            <w:pPr>
              <w:pStyle w:val="Compact"/>
              <w:jc w:val="left"/>
            </w:pPr>
            <w:r>
              <w:t xml:space="preserve">Natural</w:t>
            </w:r>
          </w:p>
        </w:tc>
        <w:tc>
          <w:tcPr/>
          <w:p>
            <w:pPr>
              <w:pStyle w:val="Compact"/>
              <w:jc w:val="left"/>
            </w:pPr>
            <w:r>
              <w:t xml:space="preserve">Real</w:t>
            </w:r>
          </w:p>
        </w:tc>
        <w:tc>
          <w:tcPr/>
          <w:p>
            <w:pPr>
              <w:pStyle w:val="Compact"/>
              <w:jc w:val="left"/>
            </w:pPr>
            <w:r>
              <w:t xml:space="preserve">Não</w:t>
            </w:r>
          </w:p>
        </w:tc>
      </w:tr>
    </w:tbl>
    <w:bookmarkEnd w:id="1361"/>
    <w:bookmarkStart w:id="1362" w:name="vantagens-dos-experimentos-de-campo"/>
    <w:p>
      <w:pPr>
        <w:pStyle w:val="Heading4"/>
      </w:pPr>
      <w:r>
        <w:t xml:space="preserve">22.3.2 Vantagens dos experimentos de campo</w:t>
      </w:r>
    </w:p>
    <w:p>
      <w:pPr>
        <w:pStyle w:val="FirstParagraph"/>
      </w:pPr>
      <w:r>
        <w:t xml:space="preserve">Os experimentos de campo combinam duas virtudes: o</w:t>
      </w:r>
      <w:r>
        <w:t xml:space="preserve"> </w:t>
      </w:r>
      <w:r>
        <w:rPr>
          <w:b/>
          <w:bCs/>
        </w:rPr>
        <w:t xml:space="preserve">controle</w:t>
      </w:r>
      <w:r>
        <w:t xml:space="preserve"> </w:t>
      </w:r>
      <w:r>
        <w:t xml:space="preserve">da aleatorização (que garante validade interna) com o</w:t>
      </w:r>
      <w:r>
        <w:t xml:space="preserve"> </w:t>
      </w:r>
      <w:r>
        <w:rPr>
          <w:b/>
          <w:bCs/>
        </w:rPr>
        <w:t xml:space="preserve">realismo</w:t>
      </w:r>
      <w:r>
        <w:t xml:space="preserve"> </w:t>
      </w:r>
      <w:r>
        <w:t xml:space="preserve">do contexto natural (que aumenta a validade externa). Isso resolve parcialmente o trade-off central da economia experimental.</w:t>
      </w:r>
    </w:p>
    <w:p>
      <w:pPr>
        <w:pStyle w:val="BodyText"/>
      </w:pPr>
      <w:r>
        <w:t xml:space="preserve">As principais vantagens são:</w:t>
      </w:r>
    </w:p>
    <w:p>
      <w:pPr>
        <w:numPr>
          <w:ilvl w:val="0"/>
          <w:numId w:val="2188"/>
        </w:numPr>
      </w:pPr>
      <w:r>
        <w:rPr>
          <w:b/>
          <w:bCs/>
        </w:rPr>
        <w:t xml:space="preserve">Apostas reais em escala real</w:t>
      </w:r>
      <w:r>
        <w:t xml:space="preserve">: as decisões envolvem valores significativos (emprego, renda, saúde) que podem afetar substancialmente a vida dos participantes — eliminando a crítica de que</w:t>
      </w:r>
      <w:r>
        <w:t xml:space="preserve"> </w:t>
      </w:r>
      <w:r>
        <w:t xml:space="preserve">“com R$ 10 em jogo, as pessoas não levam a sério”</w:t>
      </w:r>
      <w:r>
        <w:t xml:space="preserve">.</w:t>
      </w:r>
    </w:p>
    <w:p>
      <w:pPr>
        <w:numPr>
          <w:ilvl w:val="0"/>
          <w:numId w:val="2188"/>
        </w:numPr>
      </w:pPr>
      <w:r>
        <w:rPr>
          <w:b/>
          <w:bCs/>
        </w:rPr>
        <w:t xml:space="preserve">Contexto natural</w:t>
      </w:r>
      <w:r>
        <w:t xml:space="preserve">: as decisões ocorrem no ambiente em que normalmente seriam tomadas (mercado, escola, hospital), preservando as normas sociais, informações e restrições que afetam o comportamento real.</w:t>
      </w:r>
    </w:p>
    <w:p>
      <w:pPr>
        <w:numPr>
          <w:ilvl w:val="0"/>
          <w:numId w:val="2188"/>
        </w:numPr>
      </w:pPr>
      <w:r>
        <w:rPr>
          <w:b/>
          <w:bCs/>
        </w:rPr>
        <w:t xml:space="preserve">Amostra representativa</w:t>
      </w:r>
      <w:r>
        <w:t xml:space="preserve">: os participantes são pessoas reais afetadas pela questão em estudo — não estudantes de economia decidindo sobre cenários abstratos.</w:t>
      </w:r>
    </w:p>
    <w:p>
      <w:pPr>
        <w:numPr>
          <w:ilvl w:val="0"/>
          <w:numId w:val="2188"/>
        </w:numPr>
      </w:pPr>
      <w:r>
        <w:rPr>
          <w:b/>
          <w:bCs/>
        </w:rPr>
        <w:t xml:space="preserve">Ausência de efeito de demanda</w:t>
      </w:r>
      <w:r>
        <w:t xml:space="preserve">: quando os participantes não sabem que estão em um experimento (campo natural), não podem alterar seu comportamento em resposta à observação.</w:t>
      </w:r>
    </w:p>
    <w:bookmarkEnd w:id="1362"/>
    <w:bookmarkStart w:id="1363" w:name="X259c80ca30c00b2b564679f5cf197ca515f6533"/>
    <w:p>
      <w:pPr>
        <w:pStyle w:val="Heading4"/>
      </w:pPr>
      <w:r>
        <w:t xml:space="preserve">22.3.3 Exemplo clássico: Gneezy e Rustichini (2000)</w:t>
      </w:r>
    </w:p>
    <w:p>
      <w:pPr>
        <w:pStyle w:val="FirstParagraph"/>
      </w:pPr>
      <w:r>
        <w:t xml:space="preserve">Uri Gneezy e Aldo Rustichini conduziram um dos mais famosos experimentos de campo em economia, publicado no</w:t>
      </w:r>
      <w:r>
        <w:t xml:space="preserve"> </w:t>
      </w:r>
      <w:r>
        <w:rPr>
          <w:i/>
          <w:iCs/>
        </w:rPr>
        <w:t xml:space="preserve">Journal of Legal Studies</w:t>
      </w:r>
      <w:r>
        <w:t xml:space="preserve"> </w:t>
      </w:r>
      <w:r>
        <w:t xml:space="preserve">em 2000. O contexto era uma creche em Haifa, Israel, que enfrentava o problema de pais que chegavam atrasados para buscar os filhos — obrigando os funcionários a fazer hora extra.</w:t>
      </w:r>
    </w:p>
    <w:p>
      <w:pPr>
        <w:pStyle w:val="BodyText"/>
      </w:pPr>
      <w:r>
        <w:rPr>
          <w:b/>
          <w:bCs/>
        </w:rPr>
        <w:t xml:space="preserve">Desenho:</w:t>
      </w:r>
      <w:r>
        <w:t xml:space="preserve"> </w:t>
      </w:r>
      <w:r>
        <w:t xml:space="preserve">Os pesquisadores introduziram uma</w:t>
      </w:r>
      <w:r>
        <w:t xml:space="preserve"> </w:t>
      </w:r>
      <w:r>
        <w:rPr>
          <w:b/>
          <w:bCs/>
        </w:rPr>
        <w:t xml:space="preserve">multa</w:t>
      </w:r>
      <w:r>
        <w:t xml:space="preserve"> </w:t>
      </w:r>
      <w:r>
        <w:t xml:space="preserve">monetária para pais que chegassem mais de 10 minutos atrasados. A previsão do modelo econômico padrão (Capítulo 4, restrição orçamentária: atraso ficou mais caro, logo a demanda por atraso deveria cair) era clara: a multa deveria reduzir os atrasos.</w:t>
      </w:r>
    </w:p>
    <w:p>
      <w:pPr>
        <w:pStyle w:val="BodyText"/>
      </w:pPr>
      <w:r>
        <w:rPr>
          <w:b/>
          <w:bCs/>
        </w:rPr>
        <w:t xml:space="preserve">Resultado:</w:t>
      </w:r>
      <w:r>
        <w:t xml:space="preserve"> </w:t>
      </w:r>
      <w:r>
        <w:t xml:space="preserve">Os atrasos</w:t>
      </w:r>
      <w:r>
        <w:t xml:space="preserve"> </w:t>
      </w:r>
      <w:r>
        <w:rPr>
          <w:b/>
          <w:bCs/>
        </w:rPr>
        <w:t xml:space="preserve">aumentaram</w:t>
      </w:r>
      <w:r>
        <w:t xml:space="preserve"> </w:t>
      </w:r>
      <w:r>
        <w:t xml:space="preserve">— e significativamente. Após a introdução da multa, o número de pais atrasados quase dobrou. Pior: quando a multa foi removida semanas depois, os atrasos não retornaram ao nível original — permaneceram elevados.</w:t>
      </w:r>
    </w:p>
    <w:p>
      <w:pPr>
        <w:pStyle w:val="BodyText"/>
      </w:pPr>
      <w:r>
        <w:rPr>
          <w:b/>
          <w:bCs/>
        </w:rPr>
        <w:t xml:space="preserve">Interpretação:</w:t>
      </w:r>
      <w:r>
        <w:t xml:space="preserve"> </w:t>
      </w:r>
      <w:r>
        <w:t xml:space="preserve">O resultado desafia a visão puramente econômica dos incentivos e conecta diretamente com o Capítulo 8 (Economia Comportamental). A explicação mais aceita é que a multa transformou uma</w:t>
      </w:r>
      <w:r>
        <w:t xml:space="preserve"> </w:t>
      </w:r>
      <w:r>
        <w:rPr>
          <w:b/>
          <w:bCs/>
        </w:rPr>
        <w:t xml:space="preserve">obrigação moral</w:t>
      </w:r>
      <w:r>
        <w:t xml:space="preserve"> </w:t>
      </w:r>
      <w:r>
        <w:t xml:space="preserve">(norma social:</w:t>
      </w:r>
      <w:r>
        <w:t xml:space="preserve"> </w:t>
      </w:r>
      <w:r>
        <w:t xml:space="preserve">“não é correto atrasar e incomodar os funcionários”</w:t>
      </w:r>
      <w:r>
        <w:t xml:space="preserve">) em uma</w:t>
      </w:r>
      <w:r>
        <w:t xml:space="preserve"> </w:t>
      </w:r>
      <w:r>
        <w:rPr>
          <w:b/>
          <w:bCs/>
        </w:rPr>
        <w:t xml:space="preserve">transação de mercado</w:t>
      </w:r>
      <w:r>
        <w:t xml:space="preserve"> </w:t>
      </w:r>
      <w:r>
        <w:t xml:space="preserve">(</w:t>
      </w:r>
      <w:r>
        <w:t xml:space="preserve">“estou pagando pelo direito de atrasar”</w:t>
      </w:r>
      <w:r>
        <w:t xml:space="preserve">). Ao monetizar o atraso, a creche</w:t>
      </w:r>
      <w:r>
        <w:t xml:space="preserve"> </w:t>
      </w:r>
      <w:r>
        <w:rPr>
          <w:i/>
          <w:iCs/>
        </w:rPr>
        <w:t xml:space="preserve">substituiu</w:t>
      </w:r>
      <w:r>
        <w:t xml:space="preserve"> </w:t>
      </w:r>
      <w:r>
        <w:t xml:space="preserve">o incentivo moral pelo incentivo financeiro — e o incentivo financeiro, sendo relativamente baixo, resultou em</w:t>
      </w:r>
      <w:r>
        <w:t xml:space="preserve"> </w:t>
      </w:r>
      <w:r>
        <w:rPr>
          <w:i/>
          <w:iCs/>
        </w:rPr>
        <w:t xml:space="preserve">mais</w:t>
      </w:r>
      <w:r>
        <w:t xml:space="preserve"> </w:t>
      </w:r>
      <w:r>
        <w:t xml:space="preserve">atrasos, não menos. O efeito foi irreversível: uma vez que a norma social foi destruída pela introdução do preço, sua remoção não restaurou a norma.</w:t>
      </w:r>
    </w:p>
    <w:p>
      <w:pPr>
        <w:pStyle w:val="BlockText"/>
      </w:pPr>
      <w:r>
        <w:rPr>
          <w:b/>
          <w:bCs/>
        </w:rPr>
        <w:t xml:space="preserve">[INTUICAO ECONOMICA] Intuição Econômica</w:t>
      </w:r>
    </w:p>
    <w:p>
      <w:pPr>
        <w:pStyle w:val="BlockText"/>
      </w:pPr>
      <w:r>
        <w:rPr>
          <w:b/>
          <w:bCs/>
        </w:rPr>
        <w:t xml:space="preserve">Em uma frase:</w:t>
      </w:r>
      <w:r>
        <w:t xml:space="preserve"> </w:t>
      </w:r>
      <w:r>
        <w:t xml:space="preserve">Incentivos monetários podem destruir motivações intrínsecas — e o efeito pode ser irreversível.</w:t>
      </w:r>
    </w:p>
    <w:p>
      <w:pPr>
        <w:pStyle w:val="BlockText"/>
      </w:pPr>
      <w:r>
        <w:rPr>
          <w:b/>
          <w:bCs/>
        </w:rPr>
        <w:t xml:space="preserve">Pense assim:</w:t>
      </w:r>
      <w:r>
        <w:t xml:space="preserve"> </w:t>
      </w:r>
      <w:r>
        <w:t xml:space="preserve">Você doa sangue por altruísmo. Um dia, o hospital passa a pagar R$ 50 por doação. Você pode pensar:</w:t>
      </w:r>
      <w:r>
        <w:t xml:space="preserve"> </w:t>
      </w:r>
      <w:r>
        <w:t xml:space="preserve">“Agora tenho</w:t>
      </w:r>
      <w:r>
        <w:t xml:space="preserve"> </w:t>
      </w:r>
      <w:r>
        <w:rPr>
          <w:i/>
          <w:iCs/>
        </w:rPr>
        <w:t xml:space="preserve">mais</w:t>
      </w:r>
      <w:r>
        <w:t xml:space="preserve"> </w:t>
      </w:r>
      <w:r>
        <w:t xml:space="preserve">motivo para doar!”</w:t>
      </w:r>
      <w:r>
        <w:t xml:space="preserve"> </w:t>
      </w:r>
      <w:r>
        <w:t xml:space="preserve">Mas para muitas pessoas, o pagamento</w:t>
      </w:r>
      <w:r>
        <w:t xml:space="preserve"> </w:t>
      </w:r>
      <w:r>
        <w:rPr>
          <w:i/>
          <w:iCs/>
        </w:rPr>
        <w:t xml:space="preserve">reduz</w:t>
      </w:r>
      <w:r>
        <w:t xml:space="preserve"> </w:t>
      </w:r>
      <w:r>
        <w:t xml:space="preserve">a motivação:</w:t>
      </w:r>
      <w:r>
        <w:t xml:space="preserve"> </w:t>
      </w:r>
      <w:r>
        <w:t xml:space="preserve">“Se estão me pagando, não é mais um ato de solidariedade — é um serviço.”</w:t>
      </w:r>
      <w:r>
        <w:t xml:space="preserve"> </w:t>
      </w:r>
      <w:r>
        <w:t xml:space="preserve">O pior cenário: se o pagamento for removido, você não volta a doar por altruísmo, porque a transação comercializou o ato.</w:t>
      </w:r>
    </w:p>
    <w:p>
      <w:pPr>
        <w:pStyle w:val="BlockText"/>
      </w:pPr>
      <w:r>
        <w:rPr>
          <w:b/>
          <w:bCs/>
        </w:rPr>
        <w:t xml:space="preserve">Por que isso importa:</w:t>
      </w:r>
      <w:r>
        <w:t xml:space="preserve"> </w:t>
      </w:r>
      <w:r>
        <w:t xml:space="preserve">Esse resultado tem implicações profundas para o desenho de políticas públicas. Programas que</w:t>
      </w:r>
      <w:r>
        <w:t xml:space="preserve"> </w:t>
      </w:r>
      <w:r>
        <w:t xml:space="preserve">“pagam”</w:t>
      </w:r>
      <w:r>
        <w:t xml:space="preserve"> </w:t>
      </w:r>
      <w:r>
        <w:t xml:space="preserve">por comportamentos socialmente desejáveis (frequência escolar, vacinação, reciclagem) podem ser eficazes — mas também podem minar as motivações intrínsecas que sustentam esses comportamentos a longo prazo. O desenho do incentivo importa tanto quanto o incentivo em si.</w:t>
      </w:r>
    </w:p>
    <w:p>
      <w:pPr>
        <w:pStyle w:val="BlockText"/>
      </w:pPr>
      <w:r>
        <w:rPr>
          <w:b/>
          <w:bCs/>
        </w:rPr>
        <w:t xml:space="preserve">[BOX BRASIL] Box Brasil 22.1 — Bolsa Família e avaliação experimental</w:t>
      </w:r>
    </w:p>
    <w:p>
      <w:pPr>
        <w:pStyle w:val="BlockText"/>
      </w:pPr>
      <w:r>
        <w:rPr>
          <w:b/>
          <w:bCs/>
        </w:rPr>
        <w:t xml:space="preserve">Contexto:</w:t>
      </w:r>
      <w:r>
        <w:t xml:space="preserve"> </w:t>
      </w:r>
      <w:r>
        <w:t xml:space="preserve">O Programa Bolsa Família (PBF), criado em 2003 pela fusão de programas anteriores, é o maior programa de transferência condicionada de renda do mundo, alcançando mais de 21 milhões de famílias (cerca de 85 milhões de pessoas) em 2024. As famílias recebem transferências monetárias condicionadas à matrícula escolar dos filhos e ao cumprimento de exigências de saúde (vacinação, pré-natal).</w:t>
      </w:r>
    </w:p>
    <w:p>
      <w:pPr>
        <w:pStyle w:val="BlockText"/>
      </w:pPr>
      <w:r>
        <w:rPr>
          <w:b/>
          <w:bCs/>
        </w:rPr>
        <w:t xml:space="preserve">Dados:</w:t>
      </w:r>
      <w:r>
        <w:t xml:space="preserve"> </w:t>
      </w:r>
      <w:r>
        <w:t xml:space="preserve">Diversas avaliações com métodos experimentais e quase-experimentais documentaram os efeitos do PBF. Usando dados de painéis e regressão descontínua (explorando os limiares de elegibilidade), pesquisadores encontraram: (i) aumento de 3–5 pontos percentuais na frequência escolar; (ii) redução de 10–15% no trabalho infantil; (iii) aumento de 2–4 pontos percentuais na taxa de vacinação; (iv) efeitos modestos mas positivos sobre nutrição e saúde materno-infantil. Estudos de longo prazo (De Brauw et al., 2015; Barbosa e Corseuil, 2014) mostram que a primeira geração de beneficiários do PBF tem maiores taxas de conclusão do ensino médio e de ingresso no mercado formal.</w:t>
      </w:r>
    </w:p>
    <w:p>
      <w:pPr>
        <w:pStyle w:val="BlockText"/>
      </w:pPr>
      <w:r>
        <w:rPr>
          <w:b/>
          <w:bCs/>
        </w:rPr>
        <w:t xml:space="preserve">Análise:</w:t>
      </w:r>
      <w:r>
        <w:t xml:space="preserve"> </w:t>
      </w:r>
      <w:r>
        <w:t xml:space="preserve">A avaliação do Bolsa Família ilustra tanto o poder quanto os limites dos métodos experimentais em políticas públicas brasileiras. A escala do programa (universal para famílias elegíveis) impede um RCT clássico (não se pode negar o benefício aleatoriamente a famílias elegíveis por razões éticas e políticas). Os pesquisadores recorreram a métodos quase-experimentais — regressão descontínua nos limiares de renda, diferenças-em-diferenças explorando a expansão gradual do programa, e variáveis instrumentais — que combinam a lógica experimental com dados observacionais. Os resultados são consistentes: o PBF reduz a pobreza imediata e tem efeitos positivos de longo prazo sobre capital humano, com custo fiscal relativamente baixo (menos de 0,5% do PIB).</w:t>
      </w:r>
    </w:p>
    <w:p>
      <w:pPr>
        <w:pStyle w:val="BlockText"/>
      </w:pPr>
      <w:r>
        <w:rPr>
          <w:b/>
          <w:bCs/>
        </w:rPr>
        <w:t xml:space="preserve">Fonte:</w:t>
      </w:r>
      <w:r>
        <w:t xml:space="preserve"> </w:t>
      </w:r>
      <w:r>
        <w:t xml:space="preserve">Soares, F. V.; Ribas, R. P.; Osório, R. G. 2010. Evaluating the Impact of Brazil’s Bolsa Família.</w:t>
      </w:r>
      <w:r>
        <w:t xml:space="preserve"> </w:t>
      </w:r>
      <w:r>
        <w:rPr>
          <w:i/>
          <w:iCs/>
        </w:rPr>
        <w:t xml:space="preserve">Latin American Research Review</w:t>
      </w:r>
      <w:r>
        <w:t xml:space="preserve">, 45(2), 173–190.</w:t>
      </w:r>
    </w:p>
    <w:p>
      <w:r>
        <w:pict>
          <v:rect style="width:0;height:1.5pt" o:hralign="center" o:hrstd="t" o:hr="t"/>
        </w:pict>
      </w:r>
    </w:p>
    <w:bookmarkEnd w:id="1363"/>
    <w:bookmarkEnd w:id="1364"/>
    <w:bookmarkStart w:id="1368" w:name="Xc15c774dca4499ea6fb42da7d216ca54f8c697e"/>
    <w:p>
      <w:pPr>
        <w:pStyle w:val="Heading3"/>
      </w:pPr>
      <w:r>
        <w:t xml:space="preserve">22.4 Ensaios Controlados Randomizados (RCTs)</w:t>
      </w:r>
    </w:p>
    <w:bookmarkStart w:id="1365" w:name="a-lógica-da-randomização"/>
    <w:p>
      <w:pPr>
        <w:pStyle w:val="Heading4"/>
      </w:pPr>
      <w:r>
        <w:t xml:space="preserve">22.4.1 A lógica da randomização</w:t>
      </w:r>
    </w:p>
    <w:p>
      <w:pPr>
        <w:pStyle w:val="FirstParagraph"/>
      </w:pPr>
      <w:r>
        <w:t xml:space="preserve">Imagine que alguém lhe apresente um novo programa social e garanta:</w:t>
      </w:r>
      <w:r>
        <w:t xml:space="preserve"> </w:t>
      </w:r>
      <w:r>
        <w:t xml:space="preserve">“Funciona maravilhosamente!”</w:t>
      </w:r>
      <w:r>
        <w:t xml:space="preserve"> </w:t>
      </w:r>
      <w:r>
        <w:t xml:space="preserve">Sua resposta deveria ser:</w:t>
      </w:r>
      <w:r>
        <w:t xml:space="preserve"> </w:t>
      </w:r>
      <w:r>
        <w:t xml:space="preserve">“Comparado a quê?”</w:t>
      </w:r>
      <w:r>
        <w:t xml:space="preserve"> </w:t>
      </w:r>
      <w:r>
        <w:t xml:space="preserve">Essa pergunta — irritante, mas essencial — é a alma do ensaio controlado randomizado. O</w:t>
      </w:r>
      <w:r>
        <w:t xml:space="preserve"> </w:t>
      </w:r>
      <w:r>
        <w:rPr>
          <w:b/>
          <w:bCs/>
        </w:rPr>
        <w:t xml:space="preserve">ensaio controlado randomizado</w:t>
      </w:r>
      <w:r>
        <w:t xml:space="preserve"> </w:t>
      </w:r>
      <w:r>
        <w:t xml:space="preserve">(RCT —</w:t>
      </w:r>
      <w:r>
        <w:t xml:space="preserve"> </w:t>
      </w:r>
      <w:r>
        <w:rPr>
          <w:i/>
          <w:iCs/>
        </w:rPr>
        <w:t xml:space="preserve">randomized controlled trial</w:t>
      </w:r>
      <w:r>
        <w:t xml:space="preserve">) é a aplicação em larga escala da lógica experimental à avaliação de políticas públicas. O princípio é o mesmo que faz um laboratório farmacêutico dividir pacientes em dois grupos antes de declarar que um remédio funciona: separar aleatoriamente uma população em grupo de</w:t>
      </w:r>
      <w:r>
        <w:t xml:space="preserve"> </w:t>
      </w:r>
      <w:r>
        <w:rPr>
          <w:b/>
          <w:bCs/>
        </w:rPr>
        <w:t xml:space="preserve">tratamento</w:t>
      </w:r>
      <w:r>
        <w:t xml:space="preserve"> </w:t>
      </w:r>
      <w:r>
        <w:t xml:space="preserve">(que recebe a intervenção) e grupo de</w:t>
      </w:r>
      <w:r>
        <w:t xml:space="preserve"> </w:t>
      </w:r>
      <w:r>
        <w:rPr>
          <w:b/>
          <w:bCs/>
        </w:rPr>
        <w:t xml:space="preserve">controle</w:t>
      </w:r>
      <w:r>
        <w:t xml:space="preserve"> </w:t>
      </w:r>
      <w:r>
        <w:t xml:space="preserve">(que não recebe), e comparar os resultados.</w:t>
      </w:r>
    </w:p>
    <w:p>
      <w:pPr>
        <w:pStyle w:val="BodyText"/>
      </w:pPr>
      <w:r>
        <w:t xml:space="preserve">Formalmente, queremos estimar o</w:t>
      </w:r>
      <w:r>
        <w:t xml:space="preserve"> </w:t>
      </w:r>
      <w:r>
        <w:rPr>
          <w:b/>
          <w:bCs/>
        </w:rPr>
        <w:t xml:space="preserve">efeito médio do tratamento</w:t>
      </w:r>
      <w:r>
        <w:t xml:space="preserve"> </w:t>
      </w:r>
      <w:r>
        <w:t xml:space="preserve">(</w:t>
      </w:r>
      <w:r>
        <w:rPr>
          <w:i/>
          <w:iCs/>
        </w:rPr>
        <w:t xml:space="preserve">Average Treatment Effect</w:t>
      </w:r>
      <w:r>
        <w:t xml:space="preserve">, ATE):</w:t>
      </w:r>
    </w:p>
    <w:p>
      <w:pPr>
        <w:pStyle w:val="BodyText"/>
      </w:pPr>
      <m:oMathPara>
        <m:oMathParaPr>
          <m:jc m:val="center"/>
        </m:oMathParaPr>
        <m:oMath>
          <m:r>
            <m:rPr>
              <m:nor/>
              <m:sty m:val="p"/>
            </m:rPr>
            <m:t>ATE</m:t>
          </m:r>
          <m:r>
            <m:rPr>
              <m:sty m:val="p"/>
            </m:rPr>
            <m:t>=</m:t>
          </m:r>
          <m:r>
            <m:t>E</m:t>
          </m:r>
          <m:r>
            <m:rPr>
              <m:sty m:val="p"/>
            </m:rPr>
            <m:t>[</m:t>
          </m:r>
          <m:sSub>
            <m:e>
              <m:r>
                <m:t>Y</m:t>
              </m:r>
            </m:e>
            <m:sub>
              <m:r>
                <m:t>i</m:t>
              </m:r>
            </m:sub>
          </m:sSub>
          <m:r>
            <m:rPr>
              <m:sty m:val="p"/>
            </m:rPr>
            <m:t>(</m:t>
          </m:r>
          <m:r>
            <m:t>1</m:t>
          </m:r>
          <m:r>
            <m:rPr>
              <m:sty m:val="p"/>
            </m:rPr>
            <m:t>)</m:t>
          </m:r>
          <m:r>
            <m:rPr>
              <m:sty m:val="p"/>
            </m:rPr>
            <m:t>−</m:t>
          </m:r>
          <m:sSub>
            <m:e>
              <m:r>
                <m:t>Y</m:t>
              </m:r>
            </m:e>
            <m:sub>
              <m:r>
                <m:t>i</m:t>
              </m:r>
            </m:sub>
          </m:sSub>
          <m:r>
            <m:rPr>
              <m:sty m:val="p"/>
            </m:rPr>
            <m:t>(</m:t>
          </m:r>
          <m:r>
            <m:t>0</m:t>
          </m:r>
          <m:r>
            <m:rPr>
              <m:sty m:val="p"/>
            </m:rPr>
            <m:t>)</m:t>
          </m:r>
          <m:r>
            <m:rPr>
              <m:sty m:val="p"/>
            </m:rPr>
            <m:t>]</m:t>
          </m:r>
        </m:oMath>
      </m:oMathPara>
    </w:p>
    <w:p>
      <w:pPr>
        <w:pStyle w:val="FirstParagraph"/>
      </w:pPr>
      <w:r>
        <w:t xml:space="preserve">onde</w:t>
      </w:r>
      <w:r>
        <w:t xml:space="preserve"> </w:t>
      </w:r>
      <m:oMath>
        <m:sSub>
          <m:e>
            <m:r>
              <m:t>Y</m:t>
            </m:r>
          </m:e>
          <m:sub>
            <m:r>
              <m:t>i</m:t>
            </m:r>
          </m:sub>
        </m:sSub>
        <m:r>
          <m:rPr>
            <m:sty m:val="p"/>
          </m:rPr>
          <m:t>(</m:t>
        </m:r>
        <m:r>
          <m:t>1</m:t>
        </m:r>
        <m:r>
          <m:rPr>
            <m:sty m:val="p"/>
          </m:rPr>
          <m:t>)</m:t>
        </m:r>
      </m:oMath>
      <w:r>
        <w:t xml:space="preserve"> </w:t>
      </w:r>
      <w:r>
        <w:t xml:space="preserve">é o resultado do indivíduo</w:t>
      </w:r>
      <w:r>
        <w:t xml:space="preserve"> </w:t>
      </w:r>
      <m:oMath>
        <m:r>
          <m:t>i</m:t>
        </m:r>
      </m:oMath>
      <w:r>
        <w:t xml:space="preserve"> </w:t>
      </w:r>
      <w:r>
        <w:rPr>
          <w:i/>
          <w:iCs/>
        </w:rPr>
        <w:t xml:space="preserve">se tratado</w:t>
      </w:r>
      <w:r>
        <w:t xml:space="preserve"> </w:t>
      </w:r>
      <w:r>
        <w:t xml:space="preserve">e</w:t>
      </w:r>
      <w:r>
        <w:t xml:space="preserve"> </w:t>
      </w:r>
      <m:oMath>
        <m:sSub>
          <m:e>
            <m:r>
              <m:t>Y</m:t>
            </m:r>
          </m:e>
          <m:sub>
            <m:r>
              <m:t>i</m:t>
            </m:r>
          </m:sub>
        </m:sSub>
        <m:r>
          <m:rPr>
            <m:sty m:val="p"/>
          </m:rPr>
          <m:t>(</m:t>
        </m:r>
        <m:r>
          <m:t>0</m:t>
        </m:r>
        <m:r>
          <m:rPr>
            <m:sty m:val="p"/>
          </m:rPr>
          <m:t>)</m:t>
        </m:r>
      </m:oMath>
      <w:r>
        <w:t xml:space="preserve"> </w:t>
      </w:r>
      <w:r>
        <w:t xml:space="preserve">é o resultado</w:t>
      </w:r>
      <w:r>
        <w:t xml:space="preserve"> </w:t>
      </w:r>
      <w:r>
        <w:rPr>
          <w:i/>
          <w:iCs/>
        </w:rPr>
        <w:t xml:space="preserve">se não tratado</w:t>
      </w:r>
      <w:r>
        <w:t xml:space="preserve">. O problema fundamental da inferência causal é que nunca observamos ambos os resultados potenciais para o mesmo indivíduo — o chamado</w:t>
      </w:r>
      <w:r>
        <w:t xml:space="preserve"> </w:t>
      </w:r>
      <w:r>
        <w:rPr>
          <w:b/>
          <w:bCs/>
        </w:rPr>
        <w:t xml:space="preserve">problema do contrafactual</w:t>
      </w:r>
      <w:r>
        <w:t xml:space="preserve">. A randomização resolve esse problema garantindo que:</w:t>
      </w:r>
    </w:p>
    <w:p>
      <w:pPr>
        <w:pStyle w:val="BodyText"/>
      </w:pPr>
      <m:oMathPara>
        <m:oMathParaPr>
          <m:jc m:val="center"/>
        </m:oMathParaPr>
        <m:oMath>
          <m:r>
            <m:t>E</m:t>
          </m:r>
          <m:r>
            <m:rPr>
              <m:sty m:val="p"/>
            </m:rPr>
            <m:t>[</m:t>
          </m:r>
          <m:sSub>
            <m:e>
              <m:r>
                <m:t>Y</m:t>
              </m:r>
            </m:e>
            <m:sub>
              <m:r>
                <m:t>i</m:t>
              </m:r>
            </m:sub>
          </m:sSub>
          <m:r>
            <m:rPr>
              <m:sty m:val="p"/>
            </m:rPr>
            <m:t>(</m:t>
          </m:r>
          <m:r>
            <m:t>0</m:t>
          </m:r>
          <m:r>
            <m:rPr>
              <m:sty m:val="p"/>
            </m:rPr>
            <m:t>)</m:t>
          </m:r>
          <m:r>
            <m:rPr>
              <m:sty m:val="p"/>
            </m:rPr>
            <m:t>∣</m:t>
          </m:r>
          <m:r>
            <m:rPr>
              <m:nor/>
              <m:sty m:val="p"/>
            </m:rPr>
            <m:t>Tratado</m:t>
          </m:r>
          <m:r>
            <m:rPr>
              <m:sty m:val="p"/>
            </m:rPr>
            <m:t>]</m:t>
          </m:r>
          <m:r>
            <m:rPr>
              <m:sty m:val="p"/>
            </m:rPr>
            <m:t>=</m:t>
          </m:r>
          <m:r>
            <m:t>E</m:t>
          </m:r>
          <m:r>
            <m:rPr>
              <m:sty m:val="p"/>
            </m:rPr>
            <m:t>[</m:t>
          </m:r>
          <m:sSub>
            <m:e>
              <m:r>
                <m:t>Y</m:t>
              </m:r>
            </m:e>
            <m:sub>
              <m:r>
                <m:t>i</m:t>
              </m:r>
            </m:sub>
          </m:sSub>
          <m:r>
            <m:rPr>
              <m:sty m:val="p"/>
            </m:rPr>
            <m:t>(</m:t>
          </m:r>
          <m:r>
            <m:t>0</m:t>
          </m:r>
          <m:r>
            <m:rPr>
              <m:sty m:val="p"/>
            </m:rPr>
            <m:t>)</m:t>
          </m:r>
          <m:r>
            <m:rPr>
              <m:sty m:val="p"/>
            </m:rPr>
            <m:t>∣</m:t>
          </m:r>
          <m:r>
            <m:rPr>
              <m:nor/>
              <m:sty m:val="p"/>
            </m:rPr>
            <m:t>Controle</m:t>
          </m:r>
          <m:r>
            <m:rPr>
              <m:sty m:val="p"/>
            </m:rPr>
            <m:t>]</m:t>
          </m:r>
        </m:oMath>
      </m:oMathPara>
    </w:p>
    <w:p>
      <w:pPr>
        <w:pStyle w:val="FirstParagraph"/>
      </w:pPr>
      <w:r>
        <w:t xml:space="preserve">isto é, o resultado contrafactual médio do grupo tratado (o que teria acontecido se</w:t>
      </w:r>
      <w:r>
        <w:t xml:space="preserve"> </w:t>
      </w:r>
      <w:r>
        <w:rPr>
          <w:i/>
          <w:iCs/>
        </w:rPr>
        <w:t xml:space="preserve">não</w:t>
      </w:r>
      <w:r>
        <w:t xml:space="preserve"> </w:t>
      </w:r>
      <w:r>
        <w:t xml:space="preserve">tivessem sido tratados) é igual ao resultado observado do grupo de controle. A diferença de médias entre os grupos identifica o ATE:</w:t>
      </w:r>
    </w:p>
    <w:p>
      <w:pPr>
        <w:pStyle w:val="BodyText"/>
      </w:pPr>
      <m:oMathPara>
        <m:oMathParaPr>
          <m:jc m:val="center"/>
        </m:oMathParaPr>
        <m:oMath>
          <m:acc>
            <m:accPr>
              <m:chr m:val="̂"/>
            </m:accPr>
            <m:e>
              <m:r>
                <m:rPr>
                  <m:nor/>
                  <m:sty m:val="p"/>
                </m:rPr>
                <m:t>ATE</m:t>
              </m:r>
            </m:e>
          </m:acc>
          <m:r>
            <m:rPr>
              <m:sty m:val="p"/>
            </m:rPr>
            <m:t>=</m:t>
          </m:r>
          <m:sSub>
            <m:e>
              <m:acc>
                <m:accPr>
                  <m:chr m:val="‾"/>
                </m:accPr>
                <m:e>
                  <m:r>
                    <m:t>Y</m:t>
                  </m:r>
                </m:e>
              </m:acc>
            </m:e>
            <m:sub>
              <m:r>
                <m:rPr>
                  <m:nor/>
                  <m:sty m:val="p"/>
                </m:rPr>
                <m:t>tratado</m:t>
              </m:r>
            </m:sub>
          </m:sSub>
          <m:r>
            <m:rPr>
              <m:sty m:val="p"/>
            </m:rPr>
            <m:t>−</m:t>
          </m:r>
          <m:sSub>
            <m:e>
              <m:acc>
                <m:accPr>
                  <m:chr m:val="‾"/>
                </m:accPr>
                <m:e>
                  <m:r>
                    <m:t>Y</m:t>
                  </m:r>
                </m:e>
              </m:acc>
            </m:e>
            <m:sub>
              <m:r>
                <m:rPr>
                  <m:nor/>
                  <m:sty m:val="p"/>
                </m:rPr>
                <m:t>controle</m:t>
              </m:r>
            </m:sub>
          </m:sSub>
        </m:oMath>
      </m:oMathPara>
    </w:p>
    <w:bookmarkEnd w:id="1365"/>
    <w:bookmarkStart w:id="1366" w:name="X552ede78055041ba139456133223bca11c05544"/>
    <w:p>
      <w:pPr>
        <w:pStyle w:val="Heading4"/>
      </w:pPr>
      <w:r>
        <w:t xml:space="preserve">22.4.2 Estratificação, atrito e complicações práticas</w:t>
      </w:r>
    </w:p>
    <w:p>
      <w:pPr>
        <w:pStyle w:val="FirstParagraph"/>
      </w:pPr>
      <w:r>
        <w:t xml:space="preserve">Na prática, a randomização pura pode ser insuficiente, e vários problemas técnicos surgem:</w:t>
      </w:r>
    </w:p>
    <w:p>
      <w:pPr>
        <w:pStyle w:val="BodyText"/>
      </w:pPr>
      <w:r>
        <w:rPr>
          <w:b/>
          <w:bCs/>
        </w:rPr>
        <w:t xml:space="preserve">Estratificação (</w:t>
      </w:r>
      <w:r>
        <w:rPr>
          <w:b/>
          <w:bCs/>
          <w:i/>
          <w:iCs/>
        </w:rPr>
        <w:t xml:space="preserve">stratification</w:t>
      </w:r>
      <w:r>
        <w:rPr>
          <w:b/>
          <w:bCs/>
        </w:rPr>
        <w:t xml:space="preserve">).</w:t>
      </w:r>
      <w:r>
        <w:t xml:space="preserve"> </w:t>
      </w:r>
      <w:r>
        <w:t xml:space="preserve">Quando a amostra é heterogênea (rurais e urbanos, ricos e pobres), a randomização simples pode, por azar, gerar grupos desbalanceados. A estratificação resolve isso: primeiro divide-se a amostra em subgrupos (estratos) homogêneos, depois aleatoriza-se</w:t>
      </w:r>
      <w:r>
        <w:t xml:space="preserve"> </w:t>
      </w:r>
      <w:r>
        <w:rPr>
          <w:i/>
          <w:iCs/>
        </w:rPr>
        <w:t xml:space="preserve">dentro</w:t>
      </w:r>
      <w:r>
        <w:t xml:space="preserve"> </w:t>
      </w:r>
      <w:r>
        <w:t xml:space="preserve">de cada estrato. Isso garante que cada estrato tenha proporção semelhante de tratados e controles.</w:t>
      </w:r>
    </w:p>
    <w:p>
      <w:pPr>
        <w:pStyle w:val="BodyText"/>
      </w:pPr>
      <w:r>
        <w:rPr>
          <w:b/>
          <w:bCs/>
        </w:rPr>
        <w:t xml:space="preserve">Atrito (</w:t>
      </w:r>
      <w:r>
        <w:rPr>
          <w:b/>
          <w:bCs/>
          <w:i/>
          <w:iCs/>
        </w:rPr>
        <w:t xml:space="preserve">attrition</w:t>
      </w:r>
      <w:r>
        <w:rPr>
          <w:b/>
          <w:bCs/>
        </w:rPr>
        <w:t xml:space="preserve">).</w:t>
      </w:r>
      <w:r>
        <w:t xml:space="preserve"> </w:t>
      </w:r>
      <w:r>
        <w:t xml:space="preserve">Participantes podem abandonar o estudo — por mudança de endereço, desinteresse ou por escolha estratégica. Se o atrito é diferencial (mais tratados abandonam do que controles, ou vice-versa), a aleatorização é comprometida e o efeito estimado é enviesado. Pesquisadores monitoram taxas de atrito e realizam análises de robustez para verificar se o atrito é aleatório com respeito ao tratamento.</w:t>
      </w:r>
    </w:p>
    <w:p>
      <w:pPr>
        <w:pStyle w:val="BodyText"/>
      </w:pPr>
      <w:r>
        <w:rPr>
          <w:b/>
          <w:bCs/>
        </w:rPr>
        <w:t xml:space="preserve">ITT versus TOT.</w:t>
      </w:r>
      <w:r>
        <w:t xml:space="preserve"> </w:t>
      </w:r>
      <w:r>
        <w:t xml:space="preserve">Nem todos os tratados efetivamente recebem o tratamento (não-adesão:</w:t>
      </w:r>
      <w:r>
        <w:t xml:space="preserve"> </w:t>
      </w:r>
      <w:r>
        <w:rPr>
          <w:i/>
          <w:iCs/>
        </w:rPr>
        <w:t xml:space="preserve">non-compliance</w:t>
      </w:r>
      <w:r>
        <w:t xml:space="preserve">). A estimativa baseada na atribuição aleatória — independentemente de quem efetivamente aderiu — é a</w:t>
      </w:r>
      <w:r>
        <w:t xml:space="preserve"> </w:t>
      </w:r>
      <w:r>
        <w:rPr>
          <w:b/>
          <w:bCs/>
        </w:rPr>
        <w:t xml:space="preserve">intenção de tratar</w:t>
      </w:r>
      <w:r>
        <w:t xml:space="preserve"> </w:t>
      </w:r>
      <w:r>
        <w:t xml:space="preserve">(</w:t>
      </w:r>
      <w:r>
        <w:rPr>
          <w:i/>
          <w:iCs/>
        </w:rPr>
        <w:t xml:space="preserve">Intention-to-Treat</w:t>
      </w:r>
      <w:r>
        <w:t xml:space="preserve">, ITT). Para estimar o efeito sobre quem efetivamente foi tratado — o</w:t>
      </w:r>
      <w:r>
        <w:t xml:space="preserve"> </w:t>
      </w:r>
      <w:r>
        <w:rPr>
          <w:b/>
          <w:bCs/>
        </w:rPr>
        <w:t xml:space="preserve">efeito do tratamento sobre os tratados</w:t>
      </w:r>
      <w:r>
        <w:t xml:space="preserve"> </w:t>
      </w:r>
      <w:r>
        <w:t xml:space="preserve">(</w:t>
      </w:r>
      <w:r>
        <w:rPr>
          <w:i/>
          <w:iCs/>
        </w:rPr>
        <w:t xml:space="preserve">Treatment on the Treated</w:t>
      </w:r>
      <w:r>
        <w:t xml:space="preserve">, TOT) — usa-se a atribuição aleatória como variável instrumental para a adesão efetiva:</w:t>
      </w:r>
    </w:p>
    <w:p>
      <w:pPr>
        <w:pStyle w:val="BodyText"/>
      </w:pPr>
      <m:oMathPara>
        <m:oMathParaPr>
          <m:jc m:val="center"/>
        </m:oMathParaPr>
        <m:oMath>
          <m:r>
            <m:rPr>
              <m:nor/>
              <m:sty m:val="p"/>
            </m:rPr>
            <m:t>TOT</m:t>
          </m:r>
          <m:r>
            <m:rPr>
              <m:sty m:val="p"/>
            </m:rPr>
            <m:t>=</m:t>
          </m:r>
          <m:f>
            <m:fPr>
              <m:type m:val="bar"/>
            </m:fPr>
            <m:num>
              <m:r>
                <m:rPr>
                  <m:nor/>
                  <m:sty m:val="p"/>
                </m:rPr>
                <m:t>ITT</m:t>
              </m:r>
            </m:num>
            <m:den>
              <m:r>
                <m:rPr>
                  <m:nor/>
                  <m:sty m:val="p"/>
                </m:rPr>
                <m:t>taxa de adesão</m:t>
              </m:r>
            </m:den>
          </m:f>
        </m:oMath>
      </m:oMathPara>
    </w:p>
    <w:p>
      <w:pPr>
        <w:pStyle w:val="FirstParagraph"/>
      </w:pPr>
      <w:r>
        <w:t xml:space="preserve">Este é o estimador de Wald, que conecta RCTs com a econometria de variáveis instrumentais (Seção 22.5).</w:t>
      </w:r>
    </w:p>
    <w:p>
      <w:pPr>
        <w:pStyle w:val="BodyText"/>
      </w:pPr>
      <w:r>
        <w:rPr>
          <w:b/>
          <w:bCs/>
        </w:rPr>
        <w:t xml:space="preserve">Cálculos de poder (</w:t>
      </w:r>
      <w:r>
        <w:rPr>
          <w:b/>
          <w:bCs/>
          <w:i/>
          <w:iCs/>
        </w:rPr>
        <w:t xml:space="preserve">power calculations</w:t>
      </w:r>
      <w:r>
        <w:rPr>
          <w:b/>
          <w:bCs/>
        </w:rPr>
        <w:t xml:space="preserve">).</w:t>
      </w:r>
      <w:r>
        <w:t xml:space="preserve"> </w:t>
      </w:r>
      <w:r>
        <w:t xml:space="preserve">Antes de conduzir um RCT, o pesquisador calcula o tamanho mínimo da amostra necessário para detectar um efeito de magnitude plausível com probabilidade razoável (tipicamente 80%). A fórmula básica para um teste de diferença de médias é:</w:t>
      </w:r>
    </w:p>
    <w:p>
      <w:pPr>
        <w:pStyle w:val="BodyText"/>
      </w:pPr>
      <m:oMathPara>
        <m:oMathParaPr>
          <m:jc m:val="center"/>
        </m:oMathParaPr>
        <m:oMath>
          <m:r>
            <m:t>n</m:t>
          </m:r>
          <m:r>
            <m:rPr>
              <m:sty m:val="p"/>
            </m:rPr>
            <m:t>=</m:t>
          </m:r>
          <m:f>
            <m:fPr>
              <m:type m:val="bar"/>
            </m:fPr>
            <m:num>
              <m:r>
                <m:t>2</m:t>
              </m:r>
              <m:r>
                <m:rPr>
                  <m:sty m:val="p"/>
                </m:rPr>
                <m:t>(</m:t>
              </m:r>
              <m:sSub>
                <m:e>
                  <m:r>
                    <m:t>z</m:t>
                  </m:r>
                </m:e>
                <m:sub>
                  <m:r>
                    <m:t>α</m:t>
                  </m:r>
                  <m:r>
                    <m:rPr>
                      <m:sty m:val="p"/>
                    </m:rPr>
                    <m:t>/</m:t>
                  </m:r>
                  <m:r>
                    <m:t>2</m:t>
                  </m:r>
                </m:sub>
              </m:sSub>
              <m:r>
                <m:rPr>
                  <m:sty m:val="p"/>
                </m:rPr>
                <m:t>+</m:t>
              </m:r>
              <m:sSub>
                <m:e>
                  <m:r>
                    <m:t>z</m:t>
                  </m:r>
                </m:e>
                <m:sub>
                  <m:r>
                    <m:t>β</m:t>
                  </m:r>
                </m:sub>
              </m:sSub>
              <m:sSup>
                <m:e>
                  <m:r>
                    <m:rPr>
                      <m:sty m:val="p"/>
                    </m:rPr>
                    <m:t>)</m:t>
                  </m:r>
                </m:e>
                <m:sup>
                  <m:r>
                    <m:t>2</m:t>
                  </m:r>
                </m:sup>
              </m:sSup>
              <m:sSup>
                <m:e>
                  <m:r>
                    <m:t>σ</m:t>
                  </m:r>
                </m:e>
                <m:sup>
                  <m:r>
                    <m:t>2</m:t>
                  </m:r>
                </m:sup>
              </m:sSup>
            </m:num>
            <m:den>
              <m:sSup>
                <m:e>
                  <m:r>
                    <m:t>δ</m:t>
                  </m:r>
                </m:e>
                <m:sup>
                  <m:r>
                    <m:t>2</m:t>
                  </m:r>
                </m:sup>
              </m:sSup>
            </m:den>
          </m:f>
        </m:oMath>
      </m:oMathPara>
    </w:p>
    <w:p>
      <w:pPr>
        <w:pStyle w:val="FirstParagraph"/>
      </w:pPr>
      <w:r>
        <w:t xml:space="preserve">onde</w:t>
      </w:r>
      <w:r>
        <w:t xml:space="preserve"> </w:t>
      </w:r>
      <m:oMath>
        <m:r>
          <m:t>n</m:t>
        </m:r>
      </m:oMath>
      <w:r>
        <w:t xml:space="preserve"> </w:t>
      </w:r>
      <w:r>
        <w:t xml:space="preserve">é o tamanho da amostra por grupo,</w:t>
      </w:r>
      <w:r>
        <w:t xml:space="preserve"> </w:t>
      </w:r>
      <m:oMath>
        <m:sSub>
          <m:e>
            <m:r>
              <m:t>z</m:t>
            </m:r>
          </m:e>
          <m:sub>
            <m:r>
              <m:t>α</m:t>
            </m:r>
            <m:r>
              <m:rPr>
                <m:sty m:val="p"/>
              </m:rPr>
              <m:t>/</m:t>
            </m:r>
            <m:r>
              <m:t>2</m:t>
            </m:r>
          </m:sub>
        </m:sSub>
      </m:oMath>
      <w:r>
        <w:t xml:space="preserve"> </w:t>
      </w:r>
      <w:r>
        <w:t xml:space="preserve">é o valor crítico para o nível de significância</w:t>
      </w:r>
      <w:r>
        <w:t xml:space="preserve"> </w:t>
      </w:r>
      <m:oMath>
        <m:r>
          <m:t>α</m:t>
        </m:r>
      </m:oMath>
      <w:r>
        <w:t xml:space="preserve">,</w:t>
      </w:r>
      <w:r>
        <w:t xml:space="preserve"> </w:t>
      </w:r>
      <m:oMath>
        <m:sSub>
          <m:e>
            <m:r>
              <m:t>z</m:t>
            </m:r>
          </m:e>
          <m:sub>
            <m:r>
              <m:t>β</m:t>
            </m:r>
          </m:sub>
        </m:sSub>
      </m:oMath>
      <w:r>
        <w:t xml:space="preserve"> </w:t>
      </w:r>
      <w:r>
        <w:t xml:space="preserve">é o valor crítico para o poder</w:t>
      </w:r>
      <w:r>
        <w:t xml:space="preserve"> </w:t>
      </w:r>
      <m:oMath>
        <m:r>
          <m:t>1</m:t>
        </m:r>
        <m:r>
          <m:rPr>
            <m:sty m:val="p"/>
          </m:rPr>
          <m:t>−</m:t>
        </m:r>
        <m:r>
          <m:t>β</m:t>
        </m:r>
      </m:oMath>
      <w:r>
        <w:t xml:space="preserve">,</w:t>
      </w:r>
      <w:r>
        <w:t xml:space="preserve"> </w:t>
      </w:r>
      <m:oMath>
        <m:sSup>
          <m:e>
            <m:r>
              <m:t>σ</m:t>
            </m:r>
          </m:e>
          <m:sup>
            <m:r>
              <m:t>2</m:t>
            </m:r>
          </m:sup>
        </m:sSup>
      </m:oMath>
      <w:r>
        <w:t xml:space="preserve"> </w:t>
      </w:r>
      <w:r>
        <w:t xml:space="preserve">é a variância do resultado, e</w:t>
      </w:r>
      <w:r>
        <w:t xml:space="preserve"> </w:t>
      </w:r>
      <m:oMath>
        <m:r>
          <m:t>δ</m:t>
        </m:r>
      </m:oMath>
      <w:r>
        <w:t xml:space="preserve"> </w:t>
      </w:r>
      <w:r>
        <w:t xml:space="preserve">é o efeito mínimo detectável (</w:t>
      </w:r>
      <w:r>
        <w:rPr>
          <w:i/>
          <w:iCs/>
        </w:rPr>
        <w:t xml:space="preserve">minimum detectable effect</w:t>
      </w:r>
      <w:r>
        <w:t xml:space="preserve">, MDE). Quanto menor o efeito que se deseja detectar, maior a amostra necessária.</w:t>
      </w:r>
    </w:p>
    <w:p>
      <w:pPr>
        <w:pStyle w:val="BlockText"/>
      </w:pPr>
      <w:r>
        <w:rPr>
          <w:b/>
          <w:bCs/>
        </w:rPr>
        <w:t xml:space="preserve">[DEFINICAO] Componentes de um RCT</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Compact"/>
              <w:jc w:val="left"/>
            </w:pPr>
            <w:r>
              <w:t xml:space="preserve">Componente</w:t>
            </w:r>
          </w:p>
        </w:tc>
        <w:tc>
          <w:tcPr/>
          <w:p>
            <w:pPr>
              <w:pStyle w:val="Compact"/>
              <w:jc w:val="left"/>
            </w:pPr>
            <w:r>
              <w:t xml:space="preserve">Descrição</w:t>
            </w:r>
          </w:p>
        </w:tc>
      </w:tr>
      <w:tr>
        <w:tc>
          <w:tcPr/>
          <w:p>
            <w:pPr>
              <w:pStyle w:val="Compact"/>
              <w:jc w:val="left"/>
            </w:pPr>
            <w:r>
              <w:rPr>
                <w:b/>
                <w:bCs/>
              </w:rPr>
              <w:t xml:space="preserve">Randomização</w:t>
            </w:r>
          </w:p>
        </w:tc>
        <w:tc>
          <w:tcPr/>
          <w:p>
            <w:pPr>
              <w:pStyle w:val="Compact"/>
              <w:jc w:val="left"/>
            </w:pPr>
            <w:r>
              <w:t xml:space="preserve">Atribuição aleatória de indivíduos (ou clusters) ao tratamento</w:t>
            </w:r>
          </w:p>
        </w:tc>
      </w:tr>
      <w:tr>
        <w:tc>
          <w:tcPr/>
          <w:p>
            <w:pPr>
              <w:pStyle w:val="Compact"/>
              <w:jc w:val="left"/>
            </w:pPr>
            <w:r>
              <w:rPr>
                <w:b/>
                <w:bCs/>
              </w:rPr>
              <w:t xml:space="preserve">Grupo de controle</w:t>
            </w:r>
          </w:p>
        </w:tc>
        <w:tc>
          <w:tcPr/>
          <w:p>
            <w:pPr>
              <w:pStyle w:val="Compact"/>
              <w:jc w:val="left"/>
            </w:pPr>
            <w:r>
              <w:t xml:space="preserve">Grupo que não recebe a intervenção — fornece o contrafactual</w:t>
            </w:r>
          </w:p>
        </w:tc>
      </w:tr>
      <w:tr>
        <w:tc>
          <w:tcPr/>
          <w:p>
            <w:pPr>
              <w:pStyle w:val="Compact"/>
              <w:jc w:val="left"/>
            </w:pPr>
            <w:r>
              <w:rPr>
                <w:b/>
                <w:bCs/>
              </w:rPr>
              <w:t xml:space="preserve">Estratificação</w:t>
            </w:r>
          </w:p>
        </w:tc>
        <w:tc>
          <w:tcPr/>
          <w:p>
            <w:pPr>
              <w:pStyle w:val="Compact"/>
              <w:jc w:val="left"/>
            </w:pPr>
            <w:r>
              <w:t xml:space="preserve">Divisão prévia em subgrupos para garantir balanceamento</w:t>
            </w:r>
          </w:p>
        </w:tc>
      </w:tr>
      <w:tr>
        <w:tc>
          <w:tcPr/>
          <w:p>
            <w:pPr>
              <w:pStyle w:val="Compact"/>
              <w:jc w:val="left"/>
            </w:pPr>
            <w:r>
              <w:rPr>
                <w:b/>
                <w:bCs/>
              </w:rPr>
              <w:t xml:space="preserve">ITT</w:t>
            </w:r>
          </w:p>
        </w:tc>
        <w:tc>
          <w:tcPr/>
          <w:p>
            <w:pPr>
              <w:pStyle w:val="Compact"/>
              <w:jc w:val="left"/>
            </w:pPr>
            <w:r>
              <w:t xml:space="preserve">Efeito estimado pela atribuição aleatória original (intenção de tratar)</w:t>
            </w:r>
          </w:p>
        </w:tc>
      </w:tr>
      <w:tr>
        <w:tc>
          <w:tcPr/>
          <w:p>
            <w:pPr>
              <w:pStyle w:val="Compact"/>
              <w:jc w:val="left"/>
            </w:pPr>
            <w:r>
              <w:rPr>
                <w:b/>
                <w:bCs/>
              </w:rPr>
              <w:t xml:space="preserve">TOT</w:t>
            </w:r>
          </w:p>
        </w:tc>
        <w:tc>
          <w:tcPr/>
          <w:p>
            <w:pPr>
              <w:pStyle w:val="Compact"/>
              <w:jc w:val="left"/>
            </w:pPr>
            <w:r>
              <w:t xml:space="preserve">Efeito estimado sobre quem efetivamente recebeu o tratamento</w:t>
            </w:r>
          </w:p>
        </w:tc>
      </w:tr>
      <w:tr>
        <w:tc>
          <w:tcPr/>
          <w:p>
            <w:pPr>
              <w:pStyle w:val="Compact"/>
              <w:jc w:val="left"/>
            </w:pPr>
            <w:r>
              <w:rPr>
                <w:b/>
                <w:bCs/>
              </w:rPr>
              <w:t xml:space="preserve">Poder estatístico</w:t>
            </w:r>
          </w:p>
        </w:tc>
        <w:tc>
          <w:tcPr/>
          <w:p>
            <w:pPr>
              <w:pStyle w:val="Compact"/>
              <w:jc w:val="left"/>
            </w:pPr>
            <w:r>
              <w:t xml:space="preserve">Probabilidade de detectar um efeito verdadeiro (tipicamente 80%)</w:t>
            </w:r>
          </w:p>
        </w:tc>
      </w:tr>
      <w:tr>
        <w:tc>
          <w:tcPr/>
          <w:p>
            <w:pPr>
              <w:pStyle w:val="Compact"/>
              <w:jc w:val="left"/>
            </w:pPr>
            <w:r>
              <w:rPr>
                <w:b/>
                <w:bCs/>
              </w:rPr>
              <w:t xml:space="preserve">Atrito</w:t>
            </w:r>
          </w:p>
        </w:tc>
        <w:tc>
          <w:tcPr/>
          <w:p>
            <w:pPr>
              <w:pStyle w:val="Compact"/>
              <w:jc w:val="left"/>
            </w:pPr>
            <w:r>
              <w:t xml:space="preserve">Perda de participantes ao longo do estudo</w:t>
            </w:r>
          </w:p>
        </w:tc>
      </w:tr>
      <w:tr>
        <w:tc>
          <w:tcPr/>
          <w:p>
            <w:pPr>
              <w:pStyle w:val="Compact"/>
              <w:jc w:val="left"/>
            </w:pPr>
            <w:r>
              <w:rPr>
                <w:b/>
                <w:bCs/>
              </w:rPr>
              <w:t xml:space="preserve">Efeito de transbordamento</w:t>
            </w:r>
            <w:r>
              <w:t xml:space="preserve"> </w:t>
            </w:r>
            <w:r>
              <w:t xml:space="preserve">(</w:t>
            </w:r>
            <w:r>
              <w:rPr>
                <w:i/>
                <w:iCs/>
              </w:rPr>
              <w:t xml:space="preserve">spillover</w:t>
            </w:r>
            <w:r>
              <w:t xml:space="preserve">)</w:t>
            </w:r>
          </w:p>
        </w:tc>
        <w:tc>
          <w:tcPr/>
          <w:p>
            <w:pPr>
              <w:pStyle w:val="Compact"/>
              <w:jc w:val="left"/>
            </w:pPr>
            <w:r>
              <w:t xml:space="preserve">O tratamento afeta o grupo de controle indiretamente</w:t>
            </w:r>
          </w:p>
        </w:tc>
      </w:tr>
    </w:tbl>
    <w:bookmarkEnd w:id="1366"/>
    <w:bookmarkStart w:id="1367" w:name="o-nobel-de-2019-banerjee-duflo-e-kremer"/>
    <w:p>
      <w:pPr>
        <w:pStyle w:val="Heading4"/>
      </w:pPr>
      <w:r>
        <w:t xml:space="preserve">22.4.3 O Nobel de 2019: Banerjee, Duflo e Kremer</w:t>
      </w:r>
    </w:p>
    <w:p>
      <w:pPr>
        <w:pStyle w:val="FirstParagraph"/>
      </w:pPr>
      <w:r>
        <w:t xml:space="preserve">O Nobel de 2019 reconheceu a transformação que os RCTs trouxeram para a economia do desenvolvimento. O trabalho pioneiro de</w:t>
      </w:r>
      <w:r>
        <w:t xml:space="preserve"> </w:t>
      </w:r>
      <w:r>
        <w:rPr>
          <w:b/>
          <w:bCs/>
        </w:rPr>
        <w:t xml:space="preserve">Michael Kremer</w:t>
      </w:r>
      <w:r>
        <w:t xml:space="preserve"> </w:t>
      </w:r>
      <w:r>
        <w:t xml:space="preserve">começou no Quênia na década de 1990. Kremer e colegas testaram diversas intervenções educacionais: distribuição de livros didáticos, redução do tamanho das turmas, tratamento de vermes intestinais (</w:t>
      </w:r>
      <w:r>
        <w:rPr>
          <w:i/>
          <w:iCs/>
        </w:rPr>
        <w:t xml:space="preserve">deworming</w:t>
      </w:r>
      <w:r>
        <w:t xml:space="preserve">), e incentivos financeiros para professores. Os resultados revelaram que nem todas as intervenções</w:t>
      </w:r>
      <w:r>
        <w:t xml:space="preserve"> </w:t>
      </w:r>
      <w:r>
        <w:t xml:space="preserve">“óbvias”</w:t>
      </w:r>
      <w:r>
        <w:t xml:space="preserve"> </w:t>
      </w:r>
      <w:r>
        <w:t xml:space="preserve">funcionam:</w:t>
      </w:r>
    </w:p>
    <w:p>
      <w:pPr>
        <w:pStyle w:val="Compact"/>
        <w:numPr>
          <w:ilvl w:val="0"/>
          <w:numId w:val="2189"/>
        </w:numPr>
      </w:pPr>
      <w:r>
        <w:rPr>
          <w:b/>
          <w:bCs/>
        </w:rPr>
        <w:t xml:space="preserve">Livros didáticos</w:t>
      </w:r>
      <w:r>
        <w:t xml:space="preserve">: sem efeito significativo sobre o desempenho médio dos alunos — beneficiaram apenas os melhores alunos, pois os livros estavam em inglês e muitos alunos não tinham proficiência suficiente.</w:t>
      </w:r>
    </w:p>
    <w:p>
      <w:pPr>
        <w:pStyle w:val="Compact"/>
        <w:numPr>
          <w:ilvl w:val="0"/>
          <w:numId w:val="2189"/>
        </w:numPr>
      </w:pPr>
      <w:r>
        <w:rPr>
          <w:b/>
          <w:bCs/>
        </w:rPr>
        <w:t xml:space="preserve">Desparasitação</w:t>
      </w:r>
      <w:r>
        <w:t xml:space="preserve"> </w:t>
      </w:r>
      <w:r>
        <w:t xml:space="preserve">(</w:t>
      </w:r>
      <w:r>
        <w:rPr>
          <w:i/>
          <w:iCs/>
        </w:rPr>
        <w:t xml:space="preserve">deworming</w:t>
      </w:r>
      <w:r>
        <w:t xml:space="preserve">): tratamento barato (US$ 0,50/criança/ano) com efeitos enormes — redução de 25% no absenteísmo escolar e aumento de renda de 20% na vida adulta (acompanhamento de 10+ anos).</w:t>
      </w:r>
    </w:p>
    <w:p>
      <w:pPr>
        <w:pStyle w:val="Compact"/>
        <w:numPr>
          <w:ilvl w:val="0"/>
          <w:numId w:val="2189"/>
        </w:numPr>
      </w:pPr>
      <w:r>
        <w:rPr>
          <w:b/>
          <w:bCs/>
        </w:rPr>
        <w:t xml:space="preserve">Incentivos para professores</w:t>
      </w:r>
      <w:r>
        <w:t xml:space="preserve">: programas que vinculavam parte do salário ao desempenho dos alunos aumentaram significativamente as notas — mas programas que simplesmente contratavam mais professores sem alterar incentivos tiveram efeito limitado.</w:t>
      </w:r>
    </w:p>
    <w:p>
      <w:pPr>
        <w:pStyle w:val="FirstParagraph"/>
      </w:pPr>
      <w:r>
        <w:rPr>
          <w:b/>
          <w:bCs/>
        </w:rPr>
        <w:t xml:space="preserve">Abhijit Banerjee e Esther Duflo</w:t>
      </w:r>
      <w:r>
        <w:t xml:space="preserve"> </w:t>
      </w:r>
      <w:r>
        <w:t xml:space="preserve">expandiram essa abordagem para dezenas de temas: microcrédito, vacinação, participação política, poupança, saúde preventiva e empreendedorismo. Seu livro</w:t>
      </w:r>
      <w:r>
        <w:t xml:space="preserve"> </w:t>
      </w:r>
      <w:r>
        <w:rPr>
          <w:i/>
          <w:iCs/>
        </w:rPr>
        <w:t xml:space="preserve">Poor Economics</w:t>
      </w:r>
      <w:r>
        <w:t xml:space="preserve"> </w:t>
      </w:r>
      <w:r>
        <w:t xml:space="preserve">(2011) sintetiza os achados em uma narrativa acessível: a pobreza não resulta de uma única causa macro, mas de uma multiplicidade de</w:t>
      </w:r>
      <w:r>
        <w:t xml:space="preserve"> </w:t>
      </w:r>
      <w:r>
        <w:rPr>
          <w:b/>
          <w:bCs/>
        </w:rPr>
        <w:t xml:space="preserve">armadilhas</w:t>
      </w:r>
      <w:r>
        <w:t xml:space="preserve"> </w:t>
      </w:r>
      <w:r>
        <w:t xml:space="preserve">(</w:t>
      </w:r>
      <w:r>
        <w:rPr>
          <w:i/>
          <w:iCs/>
        </w:rPr>
        <w:t xml:space="preserve">poverty traps</w:t>
      </w:r>
      <w:r>
        <w:t xml:space="preserve">) que podem ser identificadas e quebradas por intervenções micro bem desenhadas.</w:t>
      </w:r>
    </w:p>
    <w:p>
      <w:pPr>
        <w:pStyle w:val="BlockText"/>
      </w:pPr>
      <w:r>
        <w:rPr>
          <w:b/>
          <w:bCs/>
        </w:rPr>
        <w:t xml:space="preserve">[EXEMPLO] Exercício Resolvido 22.5 — Avaliando o impacto do Bolsa Família com RDD</w:t>
      </w:r>
    </w:p>
    <w:p>
      <w:pPr>
        <w:pStyle w:val="BlockText"/>
      </w:pPr>
      <w:r>
        <w:rPr>
          <w:b/>
          <w:bCs/>
        </w:rPr>
        <w:t xml:space="preserve">Enunciado.</w:t>
      </w:r>
      <w:r>
        <w:t xml:space="preserve"> </w:t>
      </w:r>
      <w:r>
        <w:t xml:space="preserve">O Programa Bolsa Família (PBF) concede transferências a famílias com renda per capita abaixo de R$ 218/mês (valor de 2024). Um pesquisador quer estimar o efeito causal do PBF sobre a frequência escolar de crianças de 6 a 15 anos usando regressão descontínua (</w:t>
      </w:r>
      <w:r>
        <w:rPr>
          <w:i/>
          <w:iCs/>
        </w:rPr>
        <w:t xml:space="preserve">RDD</w:t>
      </w:r>
      <w:r>
        <w:t xml:space="preserve">).</w:t>
      </w:r>
    </w:p>
    <w:p>
      <w:pPr>
        <w:pStyle w:val="BlockText"/>
        <w:numPr>
          <w:ilvl w:val="0"/>
          <w:numId w:val="2190"/>
        </w:numPr>
      </w:pPr>
      <w:r>
        <w:t xml:space="preserve">Identifique a</w:t>
      </w:r>
      <w:r>
        <w:t xml:space="preserve"> </w:t>
      </w:r>
      <w:r>
        <w:rPr>
          <w:i/>
          <w:iCs/>
        </w:rPr>
        <w:t xml:space="preserve">running variable</w:t>
      </w:r>
      <w:r>
        <w:t xml:space="preserve">, o</w:t>
      </w:r>
      <w:r>
        <w:t xml:space="preserve"> </w:t>
      </w:r>
      <w:r>
        <w:rPr>
          <w:i/>
          <w:iCs/>
        </w:rPr>
        <w:t xml:space="preserve">cutoff</w:t>
      </w:r>
      <w:r>
        <w:t xml:space="preserve"> </w:t>
      </w:r>
      <w:r>
        <w:t xml:space="preserve">e a variável de resultado. Por que a RDD é preferível a comparar simplesmente famílias beneficiárias e não beneficiárias?</w:t>
      </w:r>
    </w:p>
    <w:p>
      <w:pPr>
        <w:pStyle w:val="BlockText"/>
        <w:numPr>
          <w:ilvl w:val="0"/>
          <w:numId w:val="2190"/>
        </w:numPr>
      </w:pPr>
      <w:r>
        <w:t xml:space="preserve">Suponha que os dados mostram: frequência escolar média para famílias com renda per capita logo abaixo de R$ 218 é 94,2%; logo acima, 91,5%. Estime o efeito local do tratamento.</w:t>
      </w:r>
    </w:p>
    <w:p>
      <w:pPr>
        <w:pStyle w:val="BlockText"/>
        <w:numPr>
          <w:ilvl w:val="0"/>
          <w:numId w:val="2190"/>
        </w:numPr>
      </w:pPr>
      <w:r>
        <w:t xml:space="preserve">Quais são as duas principais ameaças à validade dessa estimativa?</w:t>
      </w:r>
    </w:p>
    <w:p>
      <w:pPr>
        <w:pStyle w:val="BlockText"/>
      </w:pPr>
      <w:r>
        <w:rPr>
          <w:b/>
          <w:bCs/>
        </w:rPr>
        <w:t xml:space="preserve">Solução.</w:t>
      </w:r>
    </w:p>
    <w:p>
      <w:pPr>
        <w:pStyle w:val="BlockText"/>
      </w:pPr>
      <w:r>
        <w:rPr>
          <w:b/>
          <w:bCs/>
        </w:rPr>
        <w:t xml:space="preserve">(a) Componentes da RDD.</w:t>
      </w:r>
    </w:p>
    <w:p>
      <w:pPr>
        <w:pStyle w:val="Compact"/>
        <w:numPr>
          <w:ilvl w:val="0"/>
          <w:numId w:val="2191"/>
        </w:numPr>
      </w:pPr>
      <w:r>
        <w:rPr>
          <w:i/>
          <w:iCs/>
        </w:rPr>
        <w:t xml:space="preserve">Running variable</w:t>
      </w:r>
      <w:r>
        <w:t xml:space="preserve"> </w:t>
      </w:r>
      <w:r>
        <w:t xml:space="preserve">(</w:t>
      </w:r>
      <m:oMath>
        <m:r>
          <m:t>X</m:t>
        </m:r>
      </m:oMath>
      <w:r>
        <w:t xml:space="preserve">): renda per capita familiar declarada ao Cadastro Único.</w:t>
      </w:r>
    </w:p>
    <w:p>
      <w:pPr>
        <w:pStyle w:val="Compact"/>
        <w:numPr>
          <w:ilvl w:val="0"/>
          <w:numId w:val="2191"/>
        </w:numPr>
      </w:pPr>
      <w:r>
        <w:rPr>
          <w:i/>
          <w:iCs/>
        </w:rPr>
        <w:t xml:space="preserve">Cutoff</w:t>
      </w:r>
      <w:r>
        <w:t xml:space="preserve"> </w:t>
      </w:r>
      <w:r>
        <w:t xml:space="preserve">(</w:t>
      </w:r>
      <m:oMath>
        <m:r>
          <m:t>c</m:t>
        </m:r>
      </m:oMath>
      <w:r>
        <w:t xml:space="preserve">): R$ 218/mês.</w:t>
      </w:r>
    </w:p>
    <w:p>
      <w:pPr>
        <w:pStyle w:val="Compact"/>
        <w:numPr>
          <w:ilvl w:val="0"/>
          <w:numId w:val="2191"/>
        </w:numPr>
      </w:pPr>
      <w:r>
        <w:t xml:space="preserve">Tratamento:</w:t>
      </w:r>
      <w:r>
        <w:t xml:space="preserve"> </w:t>
      </w:r>
      <m:oMath>
        <m:sSub>
          <m:e>
            <m:r>
              <m:t>D</m:t>
            </m:r>
          </m:e>
          <m:sub>
            <m:r>
              <m:t>i</m:t>
            </m:r>
          </m:sub>
        </m:sSub>
        <m:r>
          <m:rPr>
            <m:sty m:val="p"/>
          </m:rPr>
          <m:t>=</m:t>
        </m:r>
        <m:r>
          <m:rPr>
            <m:scr m:val="double-struck"/>
            <m:sty m:val="p"/>
          </m:rPr>
          <m:t>1</m:t>
        </m:r>
        <m:r>
          <m:rPr>
            <m:sty m:val="p"/>
          </m:rPr>
          <m:t>(</m:t>
        </m:r>
        <m:sSub>
          <m:e>
            <m:r>
              <m:t>X</m:t>
            </m:r>
          </m:e>
          <m:sub>
            <m:r>
              <m:t>i</m:t>
            </m:r>
          </m:sub>
        </m:sSub>
        <m:r>
          <m:rPr>
            <m:sty m:val="p"/>
          </m:rPr>
          <m:t>≤</m:t>
        </m:r>
        <m:r>
          <m:t>218</m:t>
        </m:r>
        <m:r>
          <m:rPr>
            <m:sty m:val="p"/>
          </m:rPr>
          <m:t>)</m:t>
        </m:r>
      </m:oMath>
      <w:r>
        <w:t xml:space="preserve"> </w:t>
      </w:r>
      <w:r>
        <w:t xml:space="preserve">— receber o Bolsa Família.</w:t>
      </w:r>
    </w:p>
    <w:p>
      <w:pPr>
        <w:pStyle w:val="Compact"/>
        <w:numPr>
          <w:ilvl w:val="0"/>
          <w:numId w:val="2191"/>
        </w:numPr>
      </w:pPr>
      <w:r>
        <w:t xml:space="preserve">Resultado (</w:t>
      </w:r>
      <m:oMath>
        <m:r>
          <m:t>Y</m:t>
        </m:r>
      </m:oMath>
      <w:r>
        <w:t xml:space="preserve">): taxa de frequência escolar (%).</w:t>
      </w:r>
    </w:p>
    <w:p>
      <w:pPr>
        <w:pStyle w:val="BlockText"/>
      </w:pPr>
      <w:r>
        <w:t xml:space="preserve">Comparar diretamente beneficiárias vs. não beneficiárias é enviesado porque famílias mais pobres diferem sistematicamente das mais ricas em dezenas de dimensões (escolaridade dos pais, acesso a transporte, condições de moradia). A RDD resolve isso comparando famílias</w:t>
      </w:r>
      <w:r>
        <w:t xml:space="preserve"> </w:t>
      </w:r>
      <w:r>
        <w:rPr>
          <w:i/>
          <w:iCs/>
        </w:rPr>
        <w:t xml:space="preserve">muito similares</w:t>
      </w:r>
      <w:r>
        <w:t xml:space="preserve"> </w:t>
      </w:r>
      <w:r>
        <w:t xml:space="preserve">— aquelas logo acima e logo abaixo do limiar — que diferem essencialmente apenas pelo recebimento do benefício.</w:t>
      </w:r>
    </w:p>
    <w:p>
      <w:pPr>
        <w:pStyle w:val="BlockText"/>
      </w:pPr>
      <w:r>
        <w:rPr>
          <w:b/>
          <w:bCs/>
        </w:rPr>
        <w:t xml:space="preserve">(b) Efeito local do tratamento.</w:t>
      </w:r>
    </w:p>
    <w:p>
      <w:pPr>
        <w:pStyle w:val="BlockText"/>
      </w:pPr>
      <m:oMathPara>
        <m:oMathParaPr>
          <m:jc m:val="center"/>
        </m:oMathParaPr>
        <m:oMath>
          <m:sSub>
            <m:e>
              <m:acc>
                <m:accPr>
                  <m:chr m:val="̂"/>
                </m:accPr>
                <m:e>
                  <m:r>
                    <m:t>τ</m:t>
                  </m:r>
                </m:e>
              </m:acc>
            </m:e>
            <m:sub>
              <m:r>
                <m:t>R</m:t>
              </m:r>
              <m:r>
                <m:t>D</m:t>
              </m:r>
              <m:r>
                <m:t>D</m:t>
              </m:r>
            </m:sub>
          </m:sSub>
          <m:r>
            <m:rPr>
              <m:sty m:val="p"/>
            </m:rPr>
            <m:t>=</m:t>
          </m:r>
          <m:limLow>
            <m:e>
              <m:r>
                <m:rPr>
                  <m:sty m:val="p"/>
                </m:rPr>
                <m:t>lim</m:t>
              </m:r>
            </m:e>
            <m:lim>
              <m:r>
                <m:t>x</m:t>
              </m:r>
              <m:r>
                <m:rPr>
                  <m:sty m:val="p"/>
                </m:rPr>
                <m:t>↑</m:t>
              </m:r>
              <m:r>
                <m:t>218</m:t>
              </m:r>
            </m:lim>
          </m:limLow>
          <m:r>
            <m:t>E</m:t>
          </m:r>
          <m:r>
            <m:rPr>
              <m:sty m:val="p"/>
            </m:rPr>
            <m:t>[</m:t>
          </m:r>
          <m:r>
            <m:t>Y</m:t>
          </m:r>
          <m:r>
            <m:rPr>
              <m:sty m:val="p"/>
            </m:rPr>
            <m:t>∣</m:t>
          </m:r>
          <m:r>
            <m:t>X</m:t>
          </m:r>
          <m:r>
            <m:rPr>
              <m:sty m:val="p"/>
            </m:rPr>
            <m:t>=</m:t>
          </m:r>
          <m:r>
            <m:t>x</m:t>
          </m:r>
          <m:r>
            <m:rPr>
              <m:sty m:val="p"/>
            </m:rPr>
            <m:t>]</m:t>
          </m:r>
          <m:r>
            <m:rPr>
              <m:sty m:val="p"/>
            </m:rPr>
            <m:t>−</m:t>
          </m:r>
          <m:limLow>
            <m:e>
              <m:r>
                <m:rPr>
                  <m:sty m:val="p"/>
                </m:rPr>
                <m:t>lim</m:t>
              </m:r>
            </m:e>
            <m:lim>
              <m:r>
                <m:t>x</m:t>
              </m:r>
              <m:r>
                <m:rPr>
                  <m:sty m:val="p"/>
                </m:rPr>
                <m:t>↓</m:t>
              </m:r>
              <m:r>
                <m:t>218</m:t>
              </m:r>
            </m:lim>
          </m:limLow>
          <m:r>
            <m:t>E</m:t>
          </m:r>
          <m:r>
            <m:rPr>
              <m:sty m:val="p"/>
            </m:rPr>
            <m:t>[</m:t>
          </m:r>
          <m:r>
            <m:t>Y</m:t>
          </m:r>
          <m:r>
            <m:rPr>
              <m:sty m:val="p"/>
            </m:rPr>
            <m:t>∣</m:t>
          </m:r>
          <m:r>
            <m:t>X</m:t>
          </m:r>
          <m:r>
            <m:rPr>
              <m:sty m:val="p"/>
            </m:rPr>
            <m:t>=</m:t>
          </m:r>
          <m:r>
            <m:t>x</m:t>
          </m:r>
          <m:r>
            <m:rPr>
              <m:sty m:val="p"/>
            </m:rPr>
            <m:t>]</m:t>
          </m:r>
          <m:r>
            <m:rPr>
              <m:sty m:val="p"/>
            </m:rPr>
            <m:t>=</m:t>
          </m:r>
          <m:r>
            <m:t>94</m:t>
          </m:r>
          <m:r>
            <m:rPr>
              <m:sty m:val="p"/>
            </m:rPr>
            <m:t>,</m:t>
          </m:r>
          <m:r>
            <m:t>2</m:t>
          </m:r>
          <m:r>
            <m:rPr>
              <m:sty m:val="p"/>
            </m:rPr>
            <m:t>−</m:t>
          </m:r>
          <m:r>
            <m:t>91</m:t>
          </m:r>
          <m:r>
            <m:rPr>
              <m:sty m:val="p"/>
            </m:rPr>
            <m:t>,</m:t>
          </m:r>
          <m:r>
            <m:t>5</m:t>
          </m:r>
          <m:r>
            <m:rPr>
              <m:sty m:val="p"/>
            </m:rPr>
            <m:t>=</m:t>
          </m:r>
          <m:r>
            <m:rPr>
              <m:sty m:val="p"/>
            </m:rPr>
            <m:t>+</m:t>
          </m:r>
          <m:r>
            <m:t>2</m:t>
          </m:r>
          <m:r>
            <m:rPr>
              <m:sty m:val="p"/>
            </m:rPr>
            <m:t>,</m:t>
          </m:r>
          <m:r>
            <m:t>7</m:t>
          </m:r>
          <m:r>
            <m:rPr>
              <m:nor/>
              <m:sty m:val="p"/>
            </m:rPr>
            <m:t> p.p.</m:t>
          </m:r>
        </m:oMath>
      </m:oMathPara>
    </w:p>
    <w:p>
      <w:pPr>
        <w:pStyle w:val="BlockText"/>
      </w:pPr>
      <w:r>
        <w:t xml:space="preserve">O PBF aumenta a frequência escolar em 2,7 pontos percentuais para famílias na vizinhança do limiar. Esse efeito é</w:t>
      </w:r>
      <w:r>
        <w:t xml:space="preserve"> </w:t>
      </w:r>
      <w:r>
        <w:rPr>
          <w:b/>
          <w:bCs/>
        </w:rPr>
        <w:t xml:space="preserve">local</w:t>
      </w:r>
      <w:r>
        <w:t xml:space="preserve"> </w:t>
      </w:r>
      <w:r>
        <w:t xml:space="preserve">— válido apenas para famílias próximas ao cutoff, não para as mais pobres nem para as mais ricas.</w:t>
      </w:r>
    </w:p>
    <w:p>
      <w:pPr>
        <w:pStyle w:val="BlockText"/>
      </w:pPr>
      <w:r>
        <w:rPr>
          <w:b/>
          <w:bCs/>
        </w:rPr>
        <w:t xml:space="preserve">(c) Ameaças à validade.</w:t>
      </w:r>
    </w:p>
    <w:p>
      <w:pPr>
        <w:pStyle w:val="BlockText"/>
        <w:numPr>
          <w:ilvl w:val="0"/>
          <w:numId w:val="2192"/>
        </w:numPr>
      </w:pPr>
      <w:r>
        <w:rPr>
          <w:b/>
          <w:bCs/>
        </w:rPr>
        <w:t xml:space="preserve">Manipulação da running variable (</w:t>
      </w:r>
      <w:r>
        <w:rPr>
          <w:b/>
          <w:bCs/>
          <w:i/>
          <w:iCs/>
        </w:rPr>
        <w:t xml:space="preserve">bunching</w:t>
      </w:r>
      <w:r>
        <w:rPr>
          <w:b/>
          <w:bCs/>
        </w:rPr>
        <w:t xml:space="preserve">):</w:t>
      </w:r>
      <w:r>
        <w:t xml:space="preserve"> </w:t>
      </w:r>
      <w:r>
        <w:t xml:space="preserve">Famílias podem subdeclarar renda para ficar abaixo do limiar. Se isso ocorre, as famílias</w:t>
      </w:r>
      <w:r>
        <w:t xml:space="preserve"> </w:t>
      </w:r>
      <w:r>
        <w:t xml:space="preserve">“logo abaixo”</w:t>
      </w:r>
      <w:r>
        <w:t xml:space="preserve"> </w:t>
      </w:r>
      <w:r>
        <w:t xml:space="preserve">não são comparáveis às</w:t>
      </w:r>
      <w:r>
        <w:t xml:space="preserve"> </w:t>
      </w:r>
      <w:r>
        <w:t xml:space="preserve">“logo acima”</w:t>
      </w:r>
      <w:r>
        <w:t xml:space="preserve"> </w:t>
      </w:r>
      <w:r>
        <w:t xml:space="preserve">— são estrategicamente diferentes. Teste: verificar se há descontinuidade na densidade da running variable no cutoff (teste de McCrary).</w:t>
      </w:r>
    </w:p>
    <w:p>
      <w:pPr>
        <w:pStyle w:val="BlockText"/>
        <w:numPr>
          <w:ilvl w:val="0"/>
          <w:numId w:val="2192"/>
        </w:numPr>
      </w:pPr>
      <w:r>
        <w:rPr>
          <w:b/>
          <w:bCs/>
        </w:rPr>
        <w:t xml:space="preserve">Descontinuidade em outros programas:</w:t>
      </w:r>
      <w:r>
        <w:t xml:space="preserve"> </w:t>
      </w:r>
      <w:r>
        <w:t xml:space="preserve">Se outros benefícios sociais usam o mesmo limiar de renda (e.g., isenção de tarifa de energia, acesso prioritário ao SUS), o efeito estimado mistura Bolsa Família com os demais programas. Solução: verificar se há saltos em covariáveis pré-determinadas no cutoff.</w:t>
      </w:r>
    </w:p>
    <w:p>
      <w:pPr>
        <w:pStyle w:val="BlockText"/>
      </w:pPr>
      <w:r>
        <w:rPr>
          <w:b/>
          <w:bCs/>
        </w:rPr>
        <w:t xml:space="preserve">Referência:</w:t>
      </w:r>
      <w:r>
        <w:t xml:space="preserve"> </w:t>
      </w:r>
      <w:r>
        <w:t xml:space="preserve">Soares, Ribas e Osório (2010,</w:t>
      </w:r>
      <w:r>
        <w:t xml:space="preserve"> </w:t>
      </w:r>
      <w:r>
        <w:rPr>
          <w:i/>
          <w:iCs/>
        </w:rPr>
        <w:t xml:space="preserve">Latin American Research Review</w:t>
      </w:r>
      <w:r>
        <w:t xml:space="preserve">, 45(2): 173–190) documentaram que o PBF aumentou a frequência escolar em 3–5 p.p. e reduziu o trabalho infantil em 10–15%, usando métodos quase-experimentais com dados do Cadastro Único.</w:t>
      </w:r>
    </w:p>
    <w:p>
      <w:pPr>
        <w:pStyle w:val="BlockText"/>
      </w:pPr>
      <w:r>
        <w:rPr>
          <w:b/>
          <w:bCs/>
        </w:rPr>
        <w:t xml:space="preserve">[INTUICAO ECONOMICA] Intuição Econômica</w:t>
      </w:r>
    </w:p>
    <w:p>
      <w:pPr>
        <w:pStyle w:val="BlockText"/>
      </w:pPr>
      <w:r>
        <w:rPr>
          <w:b/>
          <w:bCs/>
        </w:rPr>
        <w:t xml:space="preserve">Em uma frase:</w:t>
      </w:r>
      <w:r>
        <w:t xml:space="preserve"> </w:t>
      </w:r>
      <w:r>
        <w:t xml:space="preserve">A randomização não é a única forma de encontrar causalidade — às vezes, uma regra burocrática faz o trabalho do sorteio.</w:t>
      </w:r>
    </w:p>
    <w:p>
      <w:pPr>
        <w:pStyle w:val="BlockText"/>
      </w:pPr>
      <w:r>
        <w:rPr>
          <w:b/>
          <w:bCs/>
        </w:rPr>
        <w:t xml:space="preserve">Pense assim:</w:t>
      </w:r>
      <w:r>
        <w:t xml:space="preserve"> </w:t>
      </w:r>
      <w:r>
        <w:t xml:space="preserve">Quando o governo diz</w:t>
      </w:r>
      <w:r>
        <w:t xml:space="preserve"> </w:t>
      </w:r>
      <w:r>
        <w:t xml:space="preserve">“famílias com renda abaixo de R$ 218 recebem o benefício”</w:t>
      </w:r>
      <w:r>
        <w:t xml:space="preserve">, ele está — sem querer — criando um experimento. A família que ganha R$ 215 recebe; a que ganha R$ 221 não. Essas duas famílias são praticamente idênticas em tudo, exceto pelo benefício. A diferença nos seus resultados revela o efeito causal do programa, pela mesma lógica de um RCT — mas sem precisar sortear ninguém.</w:t>
      </w:r>
    </w:p>
    <w:p>
      <w:pPr>
        <w:pStyle w:val="BlockText"/>
      </w:pPr>
      <w:r>
        <w:rPr>
          <w:b/>
          <w:bCs/>
        </w:rPr>
        <w:t xml:space="preserve">Por que isso importa:</w:t>
      </w:r>
      <w:r>
        <w:t xml:space="preserve"> </w:t>
      </w:r>
      <w:r>
        <w:t xml:space="preserve">A RDD é uma das ferramentas mais elegantes da econometria moderna. Ela transforma regras administrativas arbitrárias — limiares de renda, notas de corte, limites de idade — em</w:t>
      </w:r>
      <w:r>
        <w:t xml:space="preserve"> </w:t>
      </w:r>
      <w:r>
        <w:rPr>
          <w:i/>
          <w:iCs/>
        </w:rPr>
        <w:t xml:space="preserve">quasi-experimentos</w:t>
      </w:r>
      <w:r>
        <w:t xml:space="preserve">. O resultado de Card, Angrist e Imbens (Nobel 2021) foi mostrar que, com a estratégia certa, dados observacionais podem ser tão informativos quanto um RCT. No Brasil, o Cadastro Único, o Enem/Sisu e os limiares do SUS oferecem dezenas de descontinuidades prontas para serem exploradas.</w:t>
      </w:r>
    </w:p>
    <w:p>
      <w:pPr>
        <w:pStyle w:val="BlockText"/>
      </w:pPr>
      <w:r>
        <w:rPr>
          <w:b/>
          <w:bCs/>
        </w:rPr>
        <w:t xml:space="preserve">[EXERCICIO RESOLVIDO] Exercício Resolvido 22.2 — Cálculo de poder de um RCT</w:t>
      </w:r>
    </w:p>
    <w:p>
      <w:pPr>
        <w:pStyle w:val="BlockText"/>
      </w:pPr>
      <w:r>
        <w:rPr>
          <w:b/>
          <w:bCs/>
        </w:rPr>
        <w:t xml:space="preserve">Enunciado.</w:t>
      </w:r>
      <w:r>
        <w:t xml:space="preserve"> </w:t>
      </w:r>
      <w:r>
        <w:t xml:space="preserve">Um pesquisador quer avaliar se a distribuição de mosquiteiros reduz a incidência de malária em uma região rural da África. A taxa base de malária é de 40% (sem tratamento). O pesquisador acredita que o mosquiteiro pode reduzir a incidência para 30% (efeito de 10 pontos percentuais). Deseja detectar esse efeito com nível de significância</w:t>
      </w:r>
      <w:r>
        <w:t xml:space="preserve"> </w:t>
      </w:r>
      <m:oMath>
        <m:r>
          <m:t>α</m:t>
        </m:r>
        <m:r>
          <m:rPr>
            <m:sty m:val="p"/>
          </m:rPr>
          <m:t>=</m:t>
        </m:r>
        <m:r>
          <m:t>0</m:t>
        </m:r>
        <m:r>
          <m:rPr>
            <m:sty m:val="p"/>
          </m:rPr>
          <m:t>,</m:t>
        </m:r>
        <m:r>
          <m:t>05</m:t>
        </m:r>
      </m:oMath>
      <w:r>
        <w:t xml:space="preserve"> </w:t>
      </w:r>
      <w:r>
        <w:t xml:space="preserve">e poder de 80% (</w:t>
      </w:r>
      <m:oMath>
        <m:r>
          <m:t>β</m:t>
        </m:r>
        <m:r>
          <m:rPr>
            <m:sty m:val="p"/>
          </m:rPr>
          <m:t>=</m:t>
        </m:r>
        <m:r>
          <m:t>0</m:t>
        </m:r>
        <m:r>
          <m:rPr>
            <m:sty m:val="p"/>
          </m:rPr>
          <m:t>,</m:t>
        </m:r>
        <m:r>
          <m:t>20</m:t>
        </m:r>
      </m:oMath>
      <w:r>
        <w:t xml:space="preserve">).</w:t>
      </w:r>
    </w:p>
    <w:p>
      <w:pPr>
        <w:pStyle w:val="BlockText"/>
        <w:numPr>
          <w:ilvl w:val="0"/>
          <w:numId w:val="2193"/>
        </w:numPr>
      </w:pPr>
      <w:r>
        <w:t xml:space="preserve">Calcule a variância do resultado (variável binária).</w:t>
      </w:r>
    </w:p>
    <w:p>
      <w:pPr>
        <w:pStyle w:val="BlockText"/>
        <w:numPr>
          <w:ilvl w:val="0"/>
          <w:numId w:val="2193"/>
        </w:numPr>
      </w:pPr>
      <w:r>
        <w:t xml:space="preserve">Calcule o tamanho mínimo da amostra por grupo.</w:t>
      </w:r>
    </w:p>
    <w:p>
      <w:pPr>
        <w:pStyle w:val="BlockText"/>
        <w:numPr>
          <w:ilvl w:val="0"/>
          <w:numId w:val="2193"/>
        </w:numPr>
      </w:pPr>
      <w:r>
        <w:t xml:space="preserve">Se o custo por participante é de US$ 15 (tratamento + monitoramento), qual é o custo total mínimo do estudo?</w:t>
      </w:r>
    </w:p>
    <w:p>
      <w:r>
        <w:pict>
          <v:rect style="width:0;height:1.5pt" o:hralign="center" o:hrstd="t" o:hr="t"/>
        </w:pict>
      </w:r>
    </w:p>
    <w:p>
      <w:pPr>
        <w:pStyle w:val="BlockText"/>
      </w:pPr>
      <w:r>
        <w:rPr>
          <w:b/>
          <w:bCs/>
        </w:rPr>
        <w:t xml:space="preserve">Solução.</w:t>
      </w:r>
    </w:p>
    <w:p>
      <w:pPr>
        <w:pStyle w:val="BlockText"/>
      </w:pPr>
      <w:r>
        <w:rPr>
          <w:b/>
          <w:bCs/>
        </w:rPr>
        <w:t xml:space="preserve">(a) Variância.</w:t>
      </w:r>
    </w:p>
    <w:p>
      <w:pPr>
        <w:pStyle w:val="BlockText"/>
      </w:pPr>
      <w:r>
        <w:t xml:space="preserve">Para uma variável binária com probabilidade</w:t>
      </w:r>
      <w:r>
        <w:t xml:space="preserve"> </w:t>
      </w:r>
      <m:oMath>
        <m:r>
          <m:t>p</m:t>
        </m:r>
      </m:oMath>
      <w:r>
        <w:t xml:space="preserve">, a variância é</w:t>
      </w:r>
      <w:r>
        <w:t xml:space="preserve"> </w:t>
      </w:r>
      <m:oMath>
        <m:sSup>
          <m:e>
            <m:r>
              <m:t>σ</m:t>
            </m:r>
          </m:e>
          <m:sup>
            <m:r>
              <m:t>2</m:t>
            </m:r>
          </m:sup>
        </m:sSup>
        <m:r>
          <m:rPr>
            <m:sty m:val="p"/>
          </m:rPr>
          <m:t>=</m:t>
        </m:r>
        <m:r>
          <m:t>p</m:t>
        </m:r>
        <m:r>
          <m:rPr>
            <m:sty m:val="p"/>
          </m:rPr>
          <m:t>(</m:t>
        </m:r>
        <m:r>
          <m:t>1</m:t>
        </m:r>
        <m:r>
          <m:rPr>
            <m:sty m:val="p"/>
          </m:rPr>
          <m:t>−</m:t>
        </m:r>
        <m:r>
          <m:t>p</m:t>
        </m:r>
        <m:r>
          <m:rPr>
            <m:sty m:val="p"/>
          </m:rPr>
          <m:t>)</m:t>
        </m:r>
      </m:oMath>
      <w:r>
        <w:t xml:space="preserve">. Usando a média das proporções dos dois grupos:</w:t>
      </w:r>
    </w:p>
    <w:p>
      <w:pPr>
        <w:pStyle w:val="BlockText"/>
      </w:pPr>
      <w:r>
        <w:t xml:space="preserve">$$</w:t>
      </w:r>
    </w:p>
    <w:p>
      <w:pPr>
        <w:pStyle w:val="BlockText"/>
      </w:pPr>
      <w:r>
        <w:t xml:space="preserve">{p} =</w:t>
      </w:r>
      <w:r>
        <w:t xml:space="preserve"> </w:t>
      </w:r>
      <w:r>
        <w:t xml:space="preserve"> </w:t>
      </w:r>
      <w:r>
        <w:t xml:space="preserve">= 0{,}35</w:t>
      </w:r>
    </w:p>
    <w:p>
      <w:pPr>
        <w:pStyle w:val="BlockText"/>
      </w:pPr>
      <w:r>
        <w:t xml:space="preserve">$$</w:t>
      </w:r>
    </w:p>
    <w:p>
      <w:pPr>
        <w:pStyle w:val="BlockText"/>
      </w:pPr>
      <w:r>
        <w:t xml:space="preserve">$$</w:t>
      </w:r>
    </w:p>
    <w:p>
      <w:pPr>
        <w:pStyle w:val="BlockText"/>
      </w:pPr>
      <w:r>
        <w:t xml:space="preserve">^2 =</w:t>
      </w:r>
      <w:r>
        <w:t xml:space="preserve"> </w:t>
      </w:r>
      <w:r>
        <w:t xml:space="preserve">{p}(1 -</w:t>
      </w:r>
      <w:r>
        <w:t xml:space="preserve"> </w:t>
      </w:r>
      <w:r>
        <w:t xml:space="preserve">{p}) = 0{,}35</w:t>
      </w:r>
      <w:r>
        <w:t xml:space="preserve"> </w:t>
      </w:r>
      <w:r>
        <w:t xml:space="preserve">65 = 0{,}2275</w:t>
      </w:r>
    </w:p>
    <w:p>
      <w:pPr>
        <w:pStyle w:val="BlockText"/>
      </w:pPr>
      <w:r>
        <w:t xml:space="preserve">$$</w:t>
      </w:r>
    </w:p>
    <w:p>
      <w:pPr>
        <w:pStyle w:val="BlockText"/>
      </w:pPr>
      <w:r>
        <w:rPr>
          <w:b/>
          <w:bCs/>
        </w:rPr>
        <w:t xml:space="preserve">(b) Tamanho da amostra.</w:t>
      </w:r>
    </w:p>
    <w:p>
      <w:pPr>
        <w:pStyle w:val="BlockText"/>
      </w:pPr>
      <w:r>
        <w:t xml:space="preserve">Com</w:t>
      </w:r>
      <w:r>
        <w:t xml:space="preserve"> </w:t>
      </w:r>
      <m:oMath>
        <m:r>
          <m:t>α</m:t>
        </m:r>
        <m:r>
          <m:rPr>
            <m:sty m:val="p"/>
          </m:rPr>
          <m:t>=</m:t>
        </m:r>
        <m:r>
          <m:t>0</m:t>
        </m:r>
        <m:r>
          <m:rPr>
            <m:sty m:val="p"/>
          </m:rPr>
          <m:t>,</m:t>
        </m:r>
        <m:r>
          <m:t>05</m:t>
        </m:r>
      </m:oMath>
      <w:r>
        <w:t xml:space="preserve">:</w:t>
      </w:r>
      <w:r>
        <w:t xml:space="preserve"> </w:t>
      </w:r>
      <m:oMath>
        <m:sSub>
          <m:e>
            <m:r>
              <m:t>z</m:t>
            </m:r>
          </m:e>
          <m:sub>
            <m:r>
              <m:t>α</m:t>
            </m:r>
            <m:r>
              <m:rPr>
                <m:sty m:val="p"/>
              </m:rPr>
              <m:t>/</m:t>
            </m:r>
            <m:r>
              <m:t>2</m:t>
            </m:r>
          </m:sub>
        </m:sSub>
        <m:r>
          <m:rPr>
            <m:sty m:val="p"/>
          </m:rPr>
          <m:t>=</m:t>
        </m:r>
        <m:r>
          <m:t>1</m:t>
        </m:r>
        <m:r>
          <m:rPr>
            <m:sty m:val="p"/>
          </m:rPr>
          <m:t>,</m:t>
        </m:r>
        <m:r>
          <m:t>96</m:t>
        </m:r>
      </m:oMath>
      <w:r>
        <w:t xml:space="preserve">. Com poder = 80%:</w:t>
      </w:r>
      <w:r>
        <w:t xml:space="preserve"> </w:t>
      </w:r>
      <m:oMath>
        <m:sSub>
          <m:e>
            <m:r>
              <m:t>z</m:t>
            </m:r>
          </m:e>
          <m:sub>
            <m:r>
              <m:t>β</m:t>
            </m:r>
          </m:sub>
        </m:sSub>
        <m:r>
          <m:rPr>
            <m:sty m:val="p"/>
          </m:rPr>
          <m:t>=</m:t>
        </m:r>
        <m:r>
          <m:t>0</m:t>
        </m:r>
        <m:r>
          <m:rPr>
            <m:sty m:val="p"/>
          </m:rPr>
          <m:t>,</m:t>
        </m:r>
        <m:r>
          <m:t>84</m:t>
        </m:r>
      </m:oMath>
      <w:r>
        <w:t xml:space="preserve">.</w:t>
      </w:r>
    </w:p>
    <w:p>
      <w:pPr>
        <w:pStyle w:val="BlockText"/>
      </w:pPr>
      <w:r>
        <w:t xml:space="preserve">$$</w:t>
      </w:r>
    </w:p>
    <w:p>
      <w:pPr>
        <w:pStyle w:val="BlockText"/>
      </w:pPr>
      <w:r>
        <w:t xml:space="preserve">n =</w:t>
      </w:r>
      <w:r>
        <w:t xml:space="preserve"> </w:t>
      </w:r>
      <w:r>
        <w:t xml:space="preserve"> </w:t>
      </w:r>
      <w:r>
        <w:t xml:space="preserve">=</w:t>
      </w:r>
      <w:r>
        <w:t xml:space="preserve"> </w:t>
      </w:r>
    </w:p>
    <w:p>
      <w:pPr>
        <w:pStyle w:val="BlockText"/>
      </w:pPr>
      <w:r>
        <w:t xml:space="preserve">$$</w:t>
      </w:r>
    </w:p>
    <w:p>
      <w:pPr>
        <w:pStyle w:val="BlockText"/>
      </w:pPr>
      <w:r>
        <w:t xml:space="preserve">$$</w:t>
      </w:r>
    </w:p>
    <w:p>
      <w:pPr>
        <w:pStyle w:val="BlockText"/>
      </w:pPr>
      <w:r>
        <w:t xml:space="preserve">n =</w:t>
      </w:r>
      <w:r>
        <w:t xml:space="preserve"> </w:t>
      </w:r>
      <w:r>
        <w:t xml:space="preserve"> </w:t>
      </w:r>
      <w:r>
        <w:t xml:space="preserve">=</w:t>
      </w:r>
      <w:r>
        <w:t xml:space="preserve"> </w:t>
      </w:r>
      <w:r>
        <w:t xml:space="preserve"> </w:t>
      </w:r>
    </w:p>
    <w:p>
      <w:pPr>
        <w:pStyle w:val="BlockText"/>
      </w:pPr>
      <w:r>
        <w:t xml:space="preserve">$$</w:t>
      </w:r>
    </w:p>
    <w:p>
      <w:pPr>
        <w:pStyle w:val="BlockText"/>
      </w:pPr>
      <w:r>
        <w:rPr>
          <w:b/>
          <w:bCs/>
        </w:rPr>
        <w:t xml:space="preserve">São necessários pelo menos 357 participantes por grupo, ou 714 no total.</w:t>
      </w:r>
    </w:p>
    <w:p>
      <w:pPr>
        <w:pStyle w:val="BlockText"/>
      </w:pPr>
      <w:r>
        <w:rPr>
          <w:b/>
          <w:bCs/>
        </w:rPr>
        <w:t xml:space="preserve">(c) Custo total.</w:t>
      </w:r>
    </w:p>
    <w:p>
      <w:pPr>
        <w:pStyle w:val="BlockText"/>
      </w:pPr>
      <w:r>
        <w:t xml:space="preserve">$$</w:t>
      </w:r>
    </w:p>
    <w:p>
      <w:pPr>
        <w:pStyle w:val="BlockText"/>
      </w:pPr>
      <w:r>
        <w:t xml:space="preserve"> </w:t>
      </w:r>
      <w:r>
        <w:t xml:space="preserve">= 714</w:t>
      </w:r>
      <w:r>
        <w:t xml:space="preserve"> </w:t>
      </w:r>
      <w:r>
        <w:t xml:space="preserve"> </w:t>
      </w:r>
      <w:r>
        <w:t xml:space="preserve">=</w:t>
      </w:r>
      <w:r>
        <w:t xml:space="preserve"> </w:t>
      </w:r>
      <w:r>
        <w:t xml:space="preserve"> </w:t>
      </w:r>
      <w:r>
        <w:t xml:space="preserve">10.710</w:t>
      </w:r>
    </w:p>
    <w:p>
      <w:pPr>
        <w:pStyle w:val="BlockText"/>
      </w:pPr>
      <w:r>
        <w:t xml:space="preserve">$$</w:t>
      </w:r>
    </w:p>
    <w:p>
      <w:pPr>
        <w:pStyle w:val="BlockText"/>
      </w:pPr>
      <w:r>
        <w:t xml:space="preserve">Na prática, deve-se adicionar 15–20% para compensar atrito esperado:</w:t>
      </w:r>
      <w:r>
        <w:t xml:space="preserve"> </w:t>
      </w:r>
      <m:oMath>
        <m:r>
          <m:t>714</m:t>
        </m:r>
        <m:r>
          <m:rPr>
            <m:sty m:val="p"/>
          </m:rPr>
          <m:t>/</m:t>
        </m:r>
        <m:r>
          <m:t>0</m:t>
        </m:r>
        <m:r>
          <m:rPr>
            <m:sty m:val="p"/>
          </m:rPr>
          <m:t>,</m:t>
        </m:r>
        <m:r>
          <m:t>85</m:t>
        </m:r>
        <m:r>
          <m:rPr>
            <m:sty m:val="p"/>
          </m:rPr>
          <m:t>≈</m:t>
        </m:r>
        <m:r>
          <m:t>840</m:t>
        </m:r>
      </m:oMath>
      <w:r>
        <w:t xml:space="preserve"> </w:t>
      </w:r>
      <w:r>
        <w:t xml:space="preserve">participantes, custo de US$ 12.600. Este é um RCT relativamente barato — o estudo original de desparasitação de Kremer custou menos de US$ 50.000 e influenciou políticas que alcançaram milhões de crianças.</w:t>
      </w:r>
    </w:p>
    <w:p>
      <w:pPr>
        <w:pStyle w:val="FirstParagraph"/>
      </w:pPr>
      <w:r>
        <w:t xml:space="preserve">[FIGURA INTERATIVA: /micro-book/graficos/cap22/poder-estatistico.html — versao interativa disponivel online]</w:t>
      </w:r>
    </w:p>
    <w:p>
      <w:r>
        <w:pict>
          <v:rect style="width:0;height:1.5pt" o:hralign="center" o:hrstd="t" o:hr="t"/>
        </w:pict>
      </w:r>
    </w:p>
    <w:p>
      <w:pPr>
        <w:pStyle w:val="BlockText"/>
      </w:pPr>
      <w:r>
        <w:rPr>
          <w:b/>
          <w:bCs/>
        </w:rPr>
        <w:t xml:space="preserve">[LAB] Mini-Lab Computacional — Diferenças-em-Diferenças com Dados Simulados</w:t>
      </w:r>
    </w:p>
    <w:p>
      <w:pPr>
        <w:pStyle w:val="BlockText"/>
      </w:pPr>
      <w:r>
        <w:rPr>
          <w:b/>
          <w:bCs/>
        </w:rPr>
        <w:t xml:space="preserve">Objetivo:</w:t>
      </w:r>
      <w:r>
        <w:t xml:space="preserve"> </w:t>
      </w:r>
      <w:r>
        <w:t xml:space="preserve">Implementar o estimador de diferenças-em-diferenças (DiD) em Python, simular um painel com efeito de tratamento conhecido e verificar que o estimador recupera o efeito verdadeiro. O aluno também testa as consequências da violação da hipótese de tendências paralelas.</w:t>
      </w:r>
    </w:p>
    <w:p>
      <w:pPr>
        <w:pStyle w:val="BlockText"/>
      </w:pPr>
      <w:r>
        <w:rPr>
          <w:b/>
          <w:bCs/>
        </w:rPr>
        <w:t xml:space="preserve">Pré-requisitos:</w:t>
      </w:r>
      <w:r>
        <w:t xml:space="preserve"> </w:t>
      </w:r>
      <w:r>
        <w:t xml:space="preserve">Python 3, NumPy, Pandas, Matplotlib, statsmodels.</w:t>
      </w:r>
    </w:p>
    <w:p>
      <w:pPr>
        <w:pStyle w:val="BlockText"/>
      </w:pPr>
      <w:r>
        <w:rPr>
          <w:b/>
          <w:bCs/>
        </w:rPr>
        <w:t xml:space="preserve">Tempo estimado:</w:t>
      </w:r>
      <w:r>
        <w:t xml:space="preserve"> </w:t>
      </w:r>
      <w:r>
        <w:t xml:space="preserve">45–60 minutos.</w:t>
      </w:r>
    </w:p>
    <w:p>
      <w:r>
        <w:pict>
          <v:rect style="width:0;height:1.5pt" o:hralign="center" o:hrstd="t" o:hr="t"/>
        </w:pict>
      </w:r>
    </w:p>
    <w:p>
      <w:pPr>
        <w:pStyle w:val="BlockText"/>
      </w:pPr>
      <w:r>
        <w:rPr>
          <w:b/>
          <w:bCs/>
        </w:rPr>
        <w:t xml:space="preserve">Parte 1 — O cenário</w:t>
      </w:r>
    </w:p>
    <w:p>
      <w:pPr>
        <w:pStyle w:val="BlockText"/>
      </w:pPr>
      <w:r>
        <w:t xml:space="preserve">Considere dois grupos de municípios brasileiros —</w:t>
      </w:r>
      <w:r>
        <w:t xml:space="preserve"> </w:t>
      </w:r>
      <w:r>
        <w:rPr>
          <w:b/>
          <w:bCs/>
        </w:rPr>
        <w:t xml:space="preserve">tratados</w:t>
      </w:r>
      <w:r>
        <w:t xml:space="preserve"> </w:t>
      </w:r>
      <w:r>
        <w:t xml:space="preserve">(que receberam um programa de transferência de renda em</w:t>
      </w:r>
      <w:r>
        <w:t xml:space="preserve"> </w:t>
      </w:r>
      <m:oMath>
        <m:r>
          <m:t>t</m:t>
        </m:r>
        <m:r>
          <m:rPr>
            <m:sty m:val="p"/>
          </m:rPr>
          <m:t>=</m:t>
        </m:r>
        <m:r>
          <m:t>1</m:t>
        </m:r>
      </m:oMath>
      <w:r>
        <w:t xml:space="preserve">) e</w:t>
      </w:r>
      <w:r>
        <w:t xml:space="preserve"> </w:t>
      </w:r>
      <w:r>
        <w:rPr>
          <w:b/>
          <w:bCs/>
        </w:rPr>
        <w:t xml:space="preserve">controles</w:t>
      </w:r>
      <w:r>
        <w:t xml:space="preserve"> </w:t>
      </w:r>
      <w:r>
        <w:t xml:space="preserve">(que não receberam). A variável de resultado é a taxa de frequência escolar (%). Você observa os dois grupos em dois períodos:</w:t>
      </w:r>
      <w:r>
        <w:t xml:space="preserve"> </w:t>
      </w:r>
      <m:oMath>
        <m:r>
          <m:t>t</m:t>
        </m:r>
        <m:r>
          <m:rPr>
            <m:sty m:val="p"/>
          </m:rPr>
          <m:t>=</m:t>
        </m:r>
        <m:r>
          <m:t>0</m:t>
        </m:r>
      </m:oMath>
      <w:r>
        <w:t xml:space="preserve"> </w:t>
      </w:r>
      <w:r>
        <w:t xml:space="preserve">(antes) e</w:t>
      </w:r>
      <w:r>
        <w:t xml:space="preserve"> </w:t>
      </w:r>
      <m:oMath>
        <m:r>
          <m:t>t</m:t>
        </m:r>
        <m:r>
          <m:rPr>
            <m:sty m:val="p"/>
          </m:rPr>
          <m:t>=</m:t>
        </m:r>
        <m:r>
          <m:t>1</m:t>
        </m:r>
      </m:oMath>
      <w:r>
        <w:t xml:space="preserve"> </w:t>
      </w:r>
      <w:r>
        <w:t xml:space="preserve">(depois).</w:t>
      </w:r>
    </w:p>
    <w:p>
      <w:pPr>
        <w:pStyle w:val="BlockText"/>
      </w:pPr>
      <w:r>
        <w:t xml:space="preserve">O modelo de dados é:</w:t>
      </w:r>
    </w:p>
    <w:p>
      <w:pPr>
        <w:pStyle w:val="BlockText"/>
      </w:pPr>
      <w:r>
        <w:t xml:space="preserve">$$</w:t>
      </w:r>
    </w:p>
    <w:p>
      <w:pPr>
        <w:pStyle w:val="BlockText"/>
      </w:pPr>
      <w:r>
        <w:t xml:space="preserve">Y_{it} =</w:t>
      </w:r>
      <w:r>
        <w:t xml:space="preserve"> </w:t>
      </w:r>
      <w:r>
        <w:t xml:space="preserve">+</w:t>
      </w:r>
      <w:r>
        <w:t xml:space="preserve"> </w:t>
      </w:r>
      <w:r>
        <w:t xml:space="preserve">_i +</w:t>
      </w:r>
      <w:r>
        <w:t xml:space="preserve"> </w:t>
      </w:r>
      <w:r>
        <w:t xml:space="preserve">_t +</w:t>
      </w:r>
      <w:r>
        <w:t xml:space="preserve"> </w:t>
      </w:r>
      <w:r>
        <w:t xml:space="preserve">(</w:t>
      </w:r>
      <w:r>
        <w:t xml:space="preserve">_i</w:t>
      </w:r>
      <w:r>
        <w:t xml:space="preserve"> </w:t>
      </w:r>
      <w:r>
        <w:rPr>
          <w:i/>
          <w:iCs/>
        </w:rPr>
        <w:t xml:space="preserve">t) +</w:t>
      </w:r>
      <w:r>
        <w:rPr>
          <w:i/>
          <w:iCs/>
        </w:rPr>
        <w:t xml:space="preserve"> </w:t>
      </w:r>
      <w:r>
        <w:t xml:space="preserve">{it}</w:t>
      </w:r>
    </w:p>
    <w:p>
      <w:pPr>
        <w:pStyle w:val="BlockText"/>
      </w:pPr>
      <w:r>
        <w:t xml:space="preserve">$$</w:t>
      </w:r>
    </w:p>
    <w:p>
      <w:pPr>
        <w:pStyle w:val="BlockText"/>
      </w:pPr>
      <w:r>
        <w:t xml:space="preserve">onde</w:t>
      </w:r>
      <w:r>
        <w:t xml:space="preserve"> </w:t>
      </w:r>
      <m:oMath>
        <m:r>
          <m:t>δ</m:t>
        </m:r>
      </m:oMath>
      <w:r>
        <w:t xml:space="preserve"> </w:t>
      </w:r>
      <w:r>
        <w:t xml:space="preserve">é o</w:t>
      </w:r>
      <w:r>
        <w:t xml:space="preserve"> </w:t>
      </w:r>
      <w:r>
        <w:rPr>
          <w:b/>
          <w:bCs/>
        </w:rPr>
        <w:t xml:space="preserve">efeito causal do tratamento</w:t>
      </w:r>
      <w:r>
        <w:t xml:space="preserve"> </w:t>
      </w:r>
      <w:r>
        <w:t xml:space="preserve">(o parâmetro DiD).</w:t>
      </w:r>
    </w:p>
    <w:p>
      <w:r>
        <w:pict>
          <v:rect style="width:0;height:1.5pt" o:hralign="center" o:hrstd="t" o:hr="t"/>
        </w:pict>
      </w:r>
    </w:p>
    <w:p>
      <w:pPr>
        <w:pStyle w:val="BlockText"/>
      </w:pPr>
      <w:r>
        <w:rPr>
          <w:b/>
          <w:bCs/>
        </w:rPr>
        <w:t xml:space="preserve">Parte 2 — Código Python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statsmodels.formula.api </w:t>
      </w:r>
      <w:r>
        <w:rPr>
          <w:rStyle w:val="ImportTok"/>
        </w:rPr>
        <w:t xml:space="preserve">as</w:t>
      </w:r>
      <w:r>
        <w:rPr>
          <w:rStyle w:val="NormalTok"/>
        </w:rPr>
        <w:t xml:space="preserve"> smf</w:t>
      </w:r>
      <w:r>
        <w:br/>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 Parâmetros da simulação ─────────────────────────────</w:t>
      </w:r>
      <w:r>
        <w:br/>
      </w:r>
      <w:r>
        <w:rPr>
          <w:rStyle w:val="NormalTok"/>
        </w:rPr>
        <w:t xml:space="preserve">N </w:t>
      </w:r>
      <w:r>
        <w:rPr>
          <w:rStyle w:val="OperatorTok"/>
        </w:rPr>
        <w:t xml:space="preserve">=</w:t>
      </w:r>
      <w:r>
        <w:rPr>
          <w:rStyle w:val="NormalTok"/>
        </w:rPr>
        <w:t xml:space="preserve"> </w:t>
      </w:r>
      <w:r>
        <w:rPr>
          <w:rStyle w:val="DecValTok"/>
        </w:rPr>
        <w:t xml:space="preserve">200</w:t>
      </w:r>
      <w:r>
        <w:rPr>
          <w:rStyle w:val="NormalTok"/>
        </w:rPr>
        <w:t xml:space="preserve">            </w:t>
      </w:r>
      <w:r>
        <w:rPr>
          <w:rStyle w:val="CommentTok"/>
        </w:rPr>
        <w:t xml:space="preserve"># municípios por grupo</w:t>
      </w:r>
      <w:r>
        <w:br/>
      </w:r>
      <w:r>
        <w:rPr>
          <w:rStyle w:val="NormalTok"/>
        </w:rPr>
        <w:t xml:space="preserve">alpha </w:t>
      </w:r>
      <w:r>
        <w:rPr>
          <w:rStyle w:val="OperatorTok"/>
        </w:rPr>
        <w:t xml:space="preserve">=</w:t>
      </w:r>
      <w:r>
        <w:rPr>
          <w:rStyle w:val="NormalTok"/>
        </w:rPr>
        <w:t xml:space="preserve"> </w:t>
      </w:r>
      <w:r>
        <w:rPr>
          <w:rStyle w:val="FloatTok"/>
        </w:rPr>
        <w:t xml:space="preserve">75.0</w:t>
      </w:r>
      <w:r>
        <w:rPr>
          <w:rStyle w:val="NormalTok"/>
        </w:rPr>
        <w:t xml:space="preserve">       </w:t>
      </w:r>
      <w:r>
        <w:rPr>
          <w:rStyle w:val="CommentTok"/>
        </w:rPr>
        <w:t xml:space="preserve"># intercepto (frequência base, %)</w:t>
      </w:r>
      <w:r>
        <w:br/>
      </w:r>
      <w:r>
        <w:rPr>
          <w:rStyle w:val="NormalTok"/>
        </w:rPr>
        <w:t xml:space="preserve">beta </w:t>
      </w:r>
      <w:r>
        <w:rPr>
          <w:rStyle w:val="OperatorTok"/>
        </w:rPr>
        <w:t xml:space="preserve">=</w:t>
      </w:r>
      <w:r>
        <w:rPr>
          <w:rStyle w:val="NormalTok"/>
        </w:rPr>
        <w:t xml:space="preserve"> </w:t>
      </w:r>
      <w:r>
        <w:rPr>
          <w:rStyle w:val="OperatorTok"/>
        </w:rPr>
        <w:t xml:space="preserve">-</w:t>
      </w:r>
      <w:r>
        <w:rPr>
          <w:rStyle w:val="FloatTok"/>
        </w:rPr>
        <w:t xml:space="preserve">5.0</w:t>
      </w:r>
      <w:r>
        <w:rPr>
          <w:rStyle w:val="NormalTok"/>
        </w:rPr>
        <w:t xml:space="preserve">        </w:t>
      </w:r>
      <w:r>
        <w:rPr>
          <w:rStyle w:val="CommentTok"/>
        </w:rPr>
        <w:t xml:space="preserve"># diferença de nível entre grupos (tratados partem de menos)</w:t>
      </w:r>
      <w:r>
        <w:br/>
      </w:r>
      <w:r>
        <w:rPr>
          <w:rStyle w:val="NormalTok"/>
        </w:rPr>
        <w:t xml:space="preserve">gamma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tendência temporal comum</w:t>
      </w:r>
      <w:r>
        <w:br/>
      </w:r>
      <w:r>
        <w:rPr>
          <w:rStyle w:val="NormalTok"/>
        </w:rPr>
        <w:t xml:space="preserve">delta_true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efeito causal verdadeiro do programa</w:t>
      </w:r>
      <w:r>
        <w:br/>
      </w:r>
      <w:r>
        <w:rPr>
          <w:rStyle w:val="NormalTok"/>
        </w:rPr>
        <w:t xml:space="preserve">sigma </w:t>
      </w:r>
      <w:r>
        <w:rPr>
          <w:rStyle w:val="OperatorTok"/>
        </w:rPr>
        <w:t xml:space="preserve">=</w:t>
      </w:r>
      <w:r>
        <w:rPr>
          <w:rStyle w:val="NormalTok"/>
        </w:rPr>
        <w:t xml:space="preserve"> </w:t>
      </w:r>
      <w:r>
        <w:rPr>
          <w:rStyle w:val="FloatTok"/>
        </w:rPr>
        <w:t xml:space="preserve">4.0</w:t>
      </w:r>
      <w:r>
        <w:rPr>
          <w:rStyle w:val="NormalTok"/>
        </w:rPr>
        <w:t xml:space="preserve">        </w:t>
      </w:r>
      <w:r>
        <w:rPr>
          <w:rStyle w:val="CommentTok"/>
        </w:rPr>
        <w:t xml:space="preserve"># desvio-padrão do erro</w:t>
      </w:r>
      <w:r>
        <w:br/>
      </w:r>
      <w:r>
        <w:br/>
      </w:r>
      <w:r>
        <w:rPr>
          <w:rStyle w:val="CommentTok"/>
        </w:rPr>
        <w:t xml:space="preserve"># ── Gerar painel ────────────────────────────────────────</w:t>
      </w:r>
      <w:r>
        <w:br/>
      </w:r>
      <w:r>
        <w:rPr>
          <w:rStyle w:val="NormalTok"/>
        </w:rPr>
        <w:t xml:space="preserve">tratado </w:t>
      </w:r>
      <w:r>
        <w:rPr>
          <w:rStyle w:val="OperatorTok"/>
        </w:rPr>
        <w:t xml:space="preserve">=</w:t>
      </w:r>
      <w:r>
        <w:rPr>
          <w:rStyle w:val="NormalTok"/>
        </w:rPr>
        <w:t xml:space="preserve"> np.repeat([</w:t>
      </w:r>
      <w:r>
        <w:rPr>
          <w:rStyle w:val="DecValTok"/>
        </w:rPr>
        <w:t xml:space="preserve">0</w:t>
      </w:r>
      <w:r>
        <w:rPr>
          <w:rStyle w:val="NormalTok"/>
        </w:rPr>
        <w:t xml:space="preserve">, </w:t>
      </w:r>
      <w:r>
        <w:rPr>
          <w:rStyle w:val="DecValTok"/>
        </w:rPr>
        <w:t xml:space="preserve">1</w:t>
      </w:r>
      <w:r>
        <w:rPr>
          <w:rStyle w:val="NormalTok"/>
        </w:rPr>
        <w:t xml:space="preserve">], N)</w:t>
      </w:r>
      <w:r>
        <w:br/>
      </w:r>
      <w:r>
        <w:rPr>
          <w:rStyle w:val="NormalTok"/>
        </w:rPr>
        <w:t xml:space="preserve">pos </w:t>
      </w:r>
      <w:r>
        <w:rPr>
          <w:rStyle w:val="OperatorTok"/>
        </w:rPr>
        <w:t xml:space="preserve">=</w:t>
      </w:r>
      <w:r>
        <w:rPr>
          <w:rStyle w:val="NormalTok"/>
        </w:rPr>
        <w:t xml:space="preserve"> np.tile([</w:t>
      </w:r>
      <w:r>
        <w:rPr>
          <w:rStyle w:val="DecValTok"/>
        </w:rPr>
        <w:t xml:space="preserve">0</w:t>
      </w:r>
      <w:r>
        <w:rPr>
          <w:rStyle w:val="NormalTok"/>
        </w:rPr>
        <w:t xml:space="preserve">, </w:t>
      </w:r>
      <w:r>
        <w:rPr>
          <w:rStyle w:val="DecValTok"/>
        </w:rPr>
        <w:t xml:space="preserve">1</w:t>
      </w:r>
      <w:r>
        <w:rPr>
          <w:rStyle w:val="NormalTok"/>
        </w:rPr>
        <w:t xml:space="preserve">], N)</w:t>
      </w:r>
      <w:r>
        <w:br/>
      </w:r>
      <w:r>
        <w:rPr>
          <w:rStyle w:val="CommentTok"/>
        </w:rPr>
        <w:t xml:space="preserve"># Expandir para painel completo: cada município aparece 2 vezes</w:t>
      </w:r>
      <w:r>
        <w:br/>
      </w:r>
      <w:r>
        <w:rPr>
          <w:rStyle w:val="NormalTok"/>
        </w:rPr>
        <w:t xml:space="preserve">municipio </w:t>
      </w:r>
      <w:r>
        <w:rPr>
          <w:rStyle w:val="OperatorTok"/>
        </w:rPr>
        <w:t xml:space="preserve">=</w:t>
      </w:r>
      <w:r>
        <w:rPr>
          <w:rStyle w:val="NormalTok"/>
        </w:rPr>
        <w:t xml:space="preserve"> np.repeat(np.arange(</w:t>
      </w:r>
      <w:r>
        <w:rPr>
          <w:rStyle w:val="DecValTok"/>
        </w:rPr>
        <w:t xml:space="preserve">2</w:t>
      </w:r>
      <w:r>
        <w:rPr>
          <w:rStyle w:val="NormalTok"/>
        </w:rPr>
        <w:t xml:space="preserve"> </w:t>
      </w:r>
      <w:r>
        <w:rPr>
          <w:rStyle w:val="OperatorTok"/>
        </w:rPr>
        <w:t xml:space="preserve">*</w:t>
      </w:r>
      <w:r>
        <w:rPr>
          <w:rStyle w:val="NormalTok"/>
        </w:rPr>
        <w:t xml:space="preserve"> N), </w:t>
      </w:r>
      <w:r>
        <w:rPr>
          <w:rStyle w:val="DecValTok"/>
        </w:rPr>
        <w:t xml:space="preserve">1</w:t>
      </w:r>
      <w:r>
        <w:rPr>
          <w:rStyle w:val="NormalTok"/>
        </w:rPr>
        <w:t xml:space="preserve">)</w:t>
      </w:r>
      <w:r>
        <w:br/>
      </w:r>
      <w:r>
        <w:br/>
      </w:r>
      <w:r>
        <w:rPr>
          <w:rStyle w:val="CommentTok"/>
        </w:rPr>
        <w:t xml:space="preserve"># Na verdade, precisamos de painel: cada município em t=0 e t=1</w:t>
      </w:r>
      <w:r>
        <w:br/>
      </w:r>
      <w:r>
        <w:rPr>
          <w:rStyle w:val="NormalTok"/>
        </w:rPr>
        <w:t xml:space="preserve">ids </w:t>
      </w:r>
      <w:r>
        <w:rPr>
          <w:rStyle w:val="OperatorTok"/>
        </w:rPr>
        <w:t xml:space="preserve">=</w:t>
      </w:r>
      <w:r>
        <w:rPr>
          <w:rStyle w:val="NormalTok"/>
        </w:rPr>
        <w:t xml:space="preserve"> np.arange(</w:t>
      </w:r>
      <w:r>
        <w:rPr>
          <w:rStyle w:val="DecValTok"/>
        </w:rPr>
        <w:t xml:space="preserve">2</w:t>
      </w:r>
      <w:r>
        <w:rPr>
          <w:rStyle w:val="NormalTok"/>
        </w:rPr>
        <w:t xml:space="preserve"> </w:t>
      </w:r>
      <w:r>
        <w:rPr>
          <w:rStyle w:val="OperatorTok"/>
        </w:rPr>
        <w:t xml:space="preserve">*</w:t>
      </w:r>
      <w:r>
        <w:rPr>
          <w:rStyle w:val="NormalTok"/>
        </w:rPr>
        <w:t xml:space="preserve"> N)</w:t>
      </w:r>
      <w:r>
        <w:br/>
      </w:r>
      <w:r>
        <w:rPr>
          <w:rStyle w:val="NormalTok"/>
        </w:rPr>
        <w:t xml:space="preserve">tratado_i </w:t>
      </w:r>
      <w:r>
        <w:rPr>
          <w:rStyle w:val="OperatorTok"/>
        </w:rPr>
        <w:t xml:space="preserve">=</w:t>
      </w:r>
      <w:r>
        <w:rPr>
          <w:rStyle w:val="NormalTok"/>
        </w:rPr>
        <w:t xml:space="preserve"> np.where(ids </w:t>
      </w:r>
      <w:r>
        <w:rPr>
          <w:rStyle w:val="OperatorTok"/>
        </w:rPr>
        <w:t xml:space="preserve">&lt;</w:t>
      </w:r>
      <w:r>
        <w:rPr>
          <w:rStyle w:val="NormalTok"/>
        </w:rPr>
        <w:t xml:space="preserve"> N,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primeiros N = controle</w:t>
      </w:r>
      <w:r>
        <w:br/>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ids: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(alpha</w:t>
      </w:r>
      <w:r>
        <w:br/>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tratado_i[i]</w:t>
      </w:r>
      <w:r>
        <w:br/>
      </w:r>
      <w:r>
        <w:rPr>
          <w:rStyle w:val="NormalTok"/>
        </w:rPr>
        <w:t xml:space="preserve">             </w:t>
      </w:r>
      <w:r>
        <w:rPr>
          <w:rStyle w:val="OperatorTok"/>
        </w:rPr>
        <w:t xml:space="preserve">+</w:t>
      </w:r>
      <w:r>
        <w:rPr>
          <w:rStyle w:val="NormalTok"/>
        </w:rPr>
        <w:t xml:space="preserve"> gamma </w:t>
      </w:r>
      <w:r>
        <w:rPr>
          <w:rStyle w:val="OperatorTok"/>
        </w:rPr>
        <w:t xml:space="preserve">*</w:t>
      </w:r>
      <w:r>
        <w:rPr>
          <w:rStyle w:val="NormalTok"/>
        </w:rPr>
        <w:t xml:space="preserve"> t</w:t>
      </w:r>
      <w:r>
        <w:br/>
      </w:r>
      <w:r>
        <w:rPr>
          <w:rStyle w:val="NormalTok"/>
        </w:rPr>
        <w:t xml:space="preserve">             </w:t>
      </w:r>
      <w:r>
        <w:rPr>
          <w:rStyle w:val="OperatorTok"/>
        </w:rPr>
        <w:t xml:space="preserve">+</w:t>
      </w:r>
      <w:r>
        <w:rPr>
          <w:rStyle w:val="NormalTok"/>
        </w:rPr>
        <w:t xml:space="preserve"> delta_true </w:t>
      </w:r>
      <w:r>
        <w:rPr>
          <w:rStyle w:val="OperatorTok"/>
        </w:rPr>
        <w:t xml:space="preserve">*</w:t>
      </w:r>
      <w:r>
        <w:rPr>
          <w:rStyle w:val="NormalTok"/>
        </w:rPr>
        <w:t xml:space="preserve"> tratado_i[i] </w:t>
      </w:r>
      <w:r>
        <w:rPr>
          <w:rStyle w:val="OperatorTok"/>
        </w:rPr>
        <w:t xml:space="preserve">*</w:t>
      </w:r>
      <w:r>
        <w:rPr>
          <w:rStyle w:val="NormalTok"/>
        </w:rPr>
        <w:t xml:space="preserve"> t</w:t>
      </w:r>
      <w:r>
        <w:br/>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sigma))</w:t>
      </w:r>
      <w:r>
        <w:br/>
      </w:r>
      <w:r>
        <w:rPr>
          <w:rStyle w:val="NormalTok"/>
        </w:rPr>
        <w:t xml:space="preserve">        rows.append({</w:t>
      </w:r>
      <w:r>
        <w:br/>
      </w:r>
      <w:r>
        <w:rPr>
          <w:rStyle w:val="NormalTok"/>
        </w:rPr>
        <w:t xml:space="preserve">            </w:t>
      </w:r>
      <w:r>
        <w:rPr>
          <w:rStyle w:val="StringTok"/>
        </w:rPr>
        <w:t xml:space="preserve">'municipio'</w:t>
      </w:r>
      <w:r>
        <w:rPr>
          <w:rStyle w:val="NormalTok"/>
        </w:rPr>
        <w:t xml:space="preserve">: i,</w:t>
      </w:r>
      <w:r>
        <w:br/>
      </w:r>
      <w:r>
        <w:rPr>
          <w:rStyle w:val="NormalTok"/>
        </w:rPr>
        <w:t xml:space="preserve">            </w:t>
      </w:r>
      <w:r>
        <w:rPr>
          <w:rStyle w:val="StringTok"/>
        </w:rPr>
        <w:t xml:space="preserve">'tratado'</w:t>
      </w:r>
      <w:r>
        <w:rPr>
          <w:rStyle w:val="NormalTok"/>
        </w:rPr>
        <w:t xml:space="preserve">: tratado_i[i],</w:t>
      </w:r>
      <w:r>
        <w:br/>
      </w:r>
      <w:r>
        <w:rPr>
          <w:rStyle w:val="NormalTok"/>
        </w:rPr>
        <w:t xml:space="preserve">            </w:t>
      </w:r>
      <w:r>
        <w:rPr>
          <w:rStyle w:val="StringTok"/>
        </w:rPr>
        <w:t xml:space="preserve">'pos'</w:t>
      </w:r>
      <w:r>
        <w:rPr>
          <w:rStyle w:val="NormalTok"/>
        </w:rPr>
        <w:t xml:space="preserve">: t,</w:t>
      </w:r>
      <w:r>
        <w:br/>
      </w:r>
      <w:r>
        <w:rPr>
          <w:rStyle w:val="NormalTok"/>
        </w:rPr>
        <w:t xml:space="preserve">            </w:t>
      </w:r>
      <w:r>
        <w:rPr>
          <w:rStyle w:val="StringTok"/>
        </w:rPr>
        <w:t xml:space="preserve">'frequencia'</w:t>
      </w:r>
      <w:r>
        <w:rPr>
          <w:rStyle w:val="NormalTok"/>
        </w:rPr>
        <w:t xml:space="preserve">: y</w:t>
      </w:r>
      <w:r>
        <w:br/>
      </w:r>
      <w:r>
        <w:rPr>
          <w:rStyle w:val="NormalTok"/>
        </w:rPr>
        <w:t xml:space="preserve">        })</w:t>
      </w:r>
      <w:r>
        <w:br/>
      </w:r>
      <w:r>
        <w:br/>
      </w:r>
      <w:r>
        <w:rPr>
          <w:rStyle w:val="NormalTok"/>
        </w:rPr>
        <w:t xml:space="preserve">df </w:t>
      </w:r>
      <w:r>
        <w:rPr>
          <w:rStyle w:val="OperatorTok"/>
        </w:rPr>
        <w:t xml:space="preserve">=</w:t>
      </w:r>
      <w:r>
        <w:rPr>
          <w:rStyle w:val="NormalTok"/>
        </w:rPr>
        <w:t xml:space="preserve"> pd.DataFrame(rows)</w:t>
      </w:r>
      <w:r>
        <w:br/>
      </w:r>
      <w:r>
        <w:rPr>
          <w:rStyle w:val="NormalTok"/>
        </w:rPr>
        <w:t xml:space="preserve">df[</w:t>
      </w:r>
      <w:r>
        <w:rPr>
          <w:rStyle w:val="StringTok"/>
        </w:rPr>
        <w:t xml:space="preserve">'tratado_pos'</w:t>
      </w:r>
      <w:r>
        <w:rPr>
          <w:rStyle w:val="NormalTok"/>
        </w:rPr>
        <w:t xml:space="preserve">] </w:t>
      </w:r>
      <w:r>
        <w:rPr>
          <w:rStyle w:val="OperatorTok"/>
        </w:rPr>
        <w:t xml:space="preserve">=</w:t>
      </w:r>
      <w:r>
        <w:rPr>
          <w:rStyle w:val="NormalTok"/>
        </w:rPr>
        <w:t xml:space="preserve"> df[</w:t>
      </w:r>
      <w:r>
        <w:rPr>
          <w:rStyle w:val="StringTok"/>
        </w:rPr>
        <w:t xml:space="preserve">'tratado'</w:t>
      </w:r>
      <w:r>
        <w:rPr>
          <w:rStyle w:val="NormalTok"/>
        </w:rPr>
        <w:t xml:space="preserve">] </w:t>
      </w:r>
      <w:r>
        <w:rPr>
          <w:rStyle w:val="OperatorTok"/>
        </w:rPr>
        <w:t xml:space="preserve">*</w:t>
      </w:r>
      <w:r>
        <w:rPr>
          <w:rStyle w:val="NormalTok"/>
        </w:rPr>
        <w:t xml:space="preserve"> df[</w:t>
      </w:r>
      <w:r>
        <w:rPr>
          <w:rStyle w:val="StringTok"/>
        </w:rPr>
        <w:t xml:space="preserve">'pos'</w:t>
      </w:r>
      <w:r>
        <w:rPr>
          <w:rStyle w:val="NormalTok"/>
        </w:rPr>
        <w:t xml:space="preserve">]</w:t>
      </w:r>
      <w:r>
        <w:br/>
      </w:r>
      <w:r>
        <w:br/>
      </w:r>
      <w:r>
        <w:rPr>
          <w:rStyle w:val="BuiltInTok"/>
        </w:rPr>
        <w:t xml:space="preserve">print</w:t>
      </w:r>
      <w:r>
        <w:rPr>
          <w:rStyle w:val="NormalTok"/>
        </w:rPr>
        <w:t xml:space="preserve">(</w:t>
      </w:r>
      <w:r>
        <w:rPr>
          <w:rStyle w:val="StringTok"/>
        </w:rPr>
        <w:t xml:space="preserve">"Primeiras linhas do painel:"</w:t>
      </w:r>
      <w:r>
        <w:rPr>
          <w:rStyle w:val="NormalTok"/>
        </w:rPr>
        <w:t xml:space="preserve">)</w:t>
      </w:r>
      <w:r>
        <w:br/>
      </w:r>
      <w:r>
        <w:rPr>
          <w:rStyle w:val="BuiltInTok"/>
        </w:rPr>
        <w:t xml:space="preserve">print</w:t>
      </w:r>
      <w:r>
        <w:rPr>
          <w:rStyle w:val="NormalTok"/>
        </w:rPr>
        <w:t xml:space="preserve">(df.head(</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Dimensões: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observações, </w:t>
      </w:r>
      <w:r>
        <w:rPr>
          <w:rStyle w:val="SpecialCharTok"/>
        </w:rPr>
        <w:t xml:space="preserve">{</w:t>
      </w:r>
      <w:r>
        <w:rPr>
          <w:rStyle w:val="BuiltInTok"/>
        </w:rPr>
        <w:t xml:space="preserve">len</w:t>
      </w:r>
      <w:r>
        <w:rPr>
          <w:rStyle w:val="NormalTok"/>
        </w:rPr>
        <w:t xml:space="preserve">(ids)</w:t>
      </w:r>
      <w:r>
        <w:rPr>
          <w:rStyle w:val="SpecialCharTok"/>
        </w:rPr>
        <w:t xml:space="preserve">}</w:t>
      </w:r>
      <w:r>
        <w:rPr>
          <w:rStyle w:val="SpecialStringTok"/>
        </w:rPr>
        <w:t xml:space="preserve"> municípios, 2 períodos"</w:t>
      </w:r>
      <w:r>
        <w:rPr>
          <w:rStyle w:val="NormalTok"/>
        </w:rPr>
        <w:t xml:space="preserve">)</w:t>
      </w:r>
      <w:r>
        <w:br/>
      </w:r>
      <w:r>
        <w:br/>
      </w:r>
      <w:r>
        <w:rPr>
          <w:rStyle w:val="CommentTok"/>
        </w:rPr>
        <w:t xml:space="preserve"># ── Estimação DiD por regressão ─────────────────────────</w:t>
      </w:r>
      <w:r>
        <w:br/>
      </w:r>
      <w:r>
        <w:rPr>
          <w:rStyle w:val="NormalTok"/>
        </w:rPr>
        <w:t xml:space="preserve">modelo </w:t>
      </w:r>
      <w:r>
        <w:rPr>
          <w:rStyle w:val="OperatorTok"/>
        </w:rPr>
        <w:t xml:space="preserve">=</w:t>
      </w:r>
      <w:r>
        <w:rPr>
          <w:rStyle w:val="NormalTok"/>
        </w:rPr>
        <w:t xml:space="preserve"> smf.ols(</w:t>
      </w:r>
      <w:r>
        <w:rPr>
          <w:rStyle w:val="StringTok"/>
        </w:rPr>
        <w:t xml:space="preserve">'frequencia ~ tratado + pos + tratado_pos'</w:t>
      </w:r>
      <w:r>
        <w:rPr>
          <w:rStyle w:val="NormalTok"/>
        </w:rPr>
        <w:t xml:space="preserve">, data</w:t>
      </w:r>
      <w:r>
        <w:rPr>
          <w:rStyle w:val="OperatorTok"/>
        </w:rPr>
        <w:t xml:space="preserve">=</w:t>
      </w:r>
      <w:r>
        <w:rPr>
          <w:rStyle w:val="NormalTok"/>
        </w:rPr>
        <w:t xml:space="preserve">df).fit()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"ESTIMAÇÃO DIFERENÇAS-EM-DIFERENÇAS"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(modelo.summary().tables[</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δ estimado = </w:t>
      </w:r>
      <w:r>
        <w:rPr>
          <w:rStyle w:val="SpecialCharTok"/>
        </w:rPr>
        <w:t xml:space="preserve">{</w:t>
      </w:r>
      <w:r>
        <w:rPr>
          <w:rStyle w:val="NormalTok"/>
        </w:rPr>
        <w:t xml:space="preserve">modelo</w:t>
      </w:r>
      <w:r>
        <w:rPr>
          <w:rStyle w:val="SpecialCharTok"/>
        </w:rPr>
        <w:t xml:space="preserve">.</w:t>
      </w:r>
      <w:r>
        <w:rPr>
          <w:rStyle w:val="NormalTok"/>
        </w:rPr>
        <w:t xml:space="preserve">params[</w:t>
      </w:r>
      <w:r>
        <w:rPr>
          <w:rStyle w:val="StringTok"/>
        </w:rPr>
        <w:t xml:space="preserve">'tratado_pos'</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δ verdadeiro = </w:t>
      </w:r>
      <w:r>
        <w:rPr>
          <w:rStyle w:val="SpecialCharTok"/>
        </w:rPr>
        <w:t xml:space="preserve">{</w:t>
      </w:r>
      <w:r>
        <w:rPr>
          <w:rStyle w:val="NormalTok"/>
        </w:rPr>
        <w:t xml:space="preserve">delta_true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Erro = </w:t>
      </w:r>
      <w:r>
        <w:rPr>
          <w:rStyle w:val="SpecialCharTok"/>
        </w:rPr>
        <w:t xml:space="preserve">{</w:t>
      </w:r>
      <w:r>
        <w:rPr>
          <w:rStyle w:val="BuiltInTok"/>
        </w:rPr>
        <w:t xml:space="preserve">abs</w:t>
      </w:r>
      <w:r>
        <w:rPr>
          <w:rStyle w:val="NormalTok"/>
        </w:rPr>
        <w:t xml:space="preserve">(modelo.params[</w:t>
      </w:r>
      <w:r>
        <w:rPr>
          <w:rStyle w:val="StringTok"/>
        </w:rPr>
        <w:t xml:space="preserve">'tratado_pos'</w:t>
      </w:r>
      <w:r>
        <w:rPr>
          <w:rStyle w:val="NormalTok"/>
        </w:rPr>
        <w:t xml:space="preserve">] </w:t>
      </w:r>
      <w:r>
        <w:rPr>
          <w:rStyle w:val="OperatorTok"/>
        </w:rPr>
        <w:t xml:space="preserve">-</w:t>
      </w:r>
      <w:r>
        <w:rPr>
          <w:rStyle w:val="NormalTok"/>
        </w:rPr>
        <w:t xml:space="preserve"> delta_true)</w:t>
      </w:r>
      <w:r>
        <w:rPr>
          <w:rStyle w:val="SpecialCharTok"/>
        </w:rPr>
        <w:t xml:space="preserve">:.3f}</w:t>
      </w:r>
      <w:r>
        <w:rPr>
          <w:rStyle w:val="SpecialStringTok"/>
        </w:rPr>
        <w:t xml:space="preserve">"</w:t>
      </w:r>
      <w:r>
        <w:rPr>
          <w:rStyle w:val="NormalTok"/>
        </w:rPr>
        <w:t xml:space="preserve">)</w:t>
      </w:r>
      <w:r>
        <w:br/>
      </w:r>
      <w:r>
        <w:br/>
      </w:r>
      <w:r>
        <w:rPr>
          <w:rStyle w:val="CommentTok"/>
        </w:rPr>
        <w:t xml:space="preserve"># ── Verificação manual ──────────────────────────────────</w:t>
      </w:r>
      <w:r>
        <w:br/>
      </w:r>
      <w:r>
        <w:rPr>
          <w:rStyle w:val="NormalTok"/>
        </w:rPr>
        <w:t xml:space="preserve">medias </w:t>
      </w:r>
      <w:r>
        <w:rPr>
          <w:rStyle w:val="OperatorTok"/>
        </w:rPr>
        <w:t xml:space="preserve">=</w:t>
      </w:r>
      <w:r>
        <w:rPr>
          <w:rStyle w:val="NormalTok"/>
        </w:rPr>
        <w:t xml:space="preserve"> df.groupby([</w:t>
      </w:r>
      <w:r>
        <w:rPr>
          <w:rStyle w:val="StringTok"/>
        </w:rPr>
        <w:t xml:space="preserve">'tratado'</w:t>
      </w:r>
      <w:r>
        <w:rPr>
          <w:rStyle w:val="NormalTok"/>
        </w:rPr>
        <w:t xml:space="preserve">, </w:t>
      </w:r>
      <w:r>
        <w:rPr>
          <w:rStyle w:val="StringTok"/>
        </w:rPr>
        <w:t xml:space="preserve">'pos'</w:t>
      </w:r>
      <w:r>
        <w:rPr>
          <w:rStyle w:val="NormalTok"/>
        </w:rPr>
        <w:t xml:space="preserve">])[</w:t>
      </w:r>
      <w:r>
        <w:rPr>
          <w:rStyle w:val="StringTok"/>
        </w:rPr>
        <w:t xml:space="preserve">'frequencia'</w:t>
      </w:r>
      <w:r>
        <w:rPr>
          <w:rStyle w:val="NormalTok"/>
        </w:rPr>
        <w:t xml:space="preserve">].mean().unstack()</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Tabela de médias:"</w:t>
      </w:r>
      <w:r>
        <w:rPr>
          <w:rStyle w:val="NormalTok"/>
        </w:rPr>
        <w:t xml:space="preserve">)</w:t>
      </w:r>
      <w:r>
        <w:br/>
      </w:r>
      <w:r>
        <w:rPr>
          <w:rStyle w:val="BuiltInTok"/>
        </w:rPr>
        <w:t xml:space="preserve">print</w:t>
      </w:r>
      <w:r>
        <w:rPr>
          <w:rStyle w:val="NormalTok"/>
        </w:rPr>
        <w:t xml:space="preserve">(medias.</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did_manual </w:t>
      </w:r>
      <w:r>
        <w:rPr>
          <w:rStyle w:val="OperatorTok"/>
        </w:rPr>
        <w:t xml:space="preserve">=</w:t>
      </w:r>
      <w:r>
        <w:rPr>
          <w:rStyle w:val="NormalTok"/>
        </w:rPr>
        <w:t xml:space="preserve"> ((medias.loc[</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medias.loc[</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(medias.loc[</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medias.loc[</w:t>
      </w:r>
      <w:r>
        <w:rPr>
          <w:rStyle w:val="DecValTok"/>
        </w:rPr>
        <w:t xml:space="preserve">0</w:t>
      </w:r>
      <w:r>
        <w:rPr>
          <w:rStyle w:val="NormalTok"/>
        </w:rPr>
        <w:t xml:space="preserve">, </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DiD manual = </w:t>
      </w:r>
      <w:r>
        <w:rPr>
          <w:rStyle w:val="SpecialCharTok"/>
        </w:rPr>
        <w:t xml:space="preserve">{</w:t>
      </w:r>
      <w:r>
        <w:rPr>
          <w:rStyle w:val="NormalTok"/>
        </w:rPr>
        <w:t xml:space="preserve">did_manual</w:t>
      </w:r>
      <w:r>
        <w:rPr>
          <w:rStyle w:val="SpecialCharTok"/>
        </w:rPr>
        <w:t xml:space="preserve">:.3f}</w:t>
      </w:r>
      <w:r>
        <w:rPr>
          <w:rStyle w:val="SpecialStringTok"/>
        </w:rPr>
        <w:t xml:space="preserve">"</w:t>
      </w:r>
      <w:r>
        <w:rPr>
          <w:rStyle w:val="NormalTok"/>
        </w:rPr>
        <w:t xml:space="preserve">)</w:t>
      </w:r>
      <w:r>
        <w:br/>
      </w:r>
      <w:r>
        <w:br/>
      </w:r>
      <w:r>
        <w:rPr>
          <w:rStyle w:val="CommentTok"/>
        </w:rPr>
        <w:t xml:space="preserve"># ── Gráfico clássico DiD ───────────────────────────────</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g, label, cor </w:t>
      </w:r>
      <w:r>
        <w:rPr>
          <w:rStyle w:val="KeywordTok"/>
        </w:rPr>
        <w:t xml:space="preserve">in</w:t>
      </w:r>
      <w:r>
        <w:rPr>
          <w:rStyle w:val="NormalTok"/>
        </w:rPr>
        <w:t xml:space="preserve"> [(</w:t>
      </w:r>
      <w:r>
        <w:rPr>
          <w:rStyle w:val="DecValTok"/>
        </w:rPr>
        <w:t xml:space="preserve">0</w:t>
      </w:r>
      <w:r>
        <w:rPr>
          <w:rStyle w:val="NormalTok"/>
        </w:rPr>
        <w:t xml:space="preserve">, </w:t>
      </w:r>
      <w:r>
        <w:rPr>
          <w:rStyle w:val="StringTok"/>
        </w:rPr>
        <w:t xml:space="preserve">'Controle'</w:t>
      </w:r>
      <w:r>
        <w:rPr>
          <w:rStyle w:val="NormalTok"/>
        </w:rPr>
        <w:t xml:space="preserve">, </w:t>
      </w:r>
      <w:r>
        <w:rPr>
          <w:rStyle w:val="StringTok"/>
        </w:rPr>
        <w:t xml:space="preserve">'#2196F3'</w:t>
      </w:r>
      <w:r>
        <w:rPr>
          <w:rStyle w:val="NormalTok"/>
        </w:rPr>
        <w:t xml:space="preserve">), (</w:t>
      </w:r>
      <w:r>
        <w:rPr>
          <w:rStyle w:val="DecValTok"/>
        </w:rPr>
        <w:t xml:space="preserve">1</w:t>
      </w:r>
      <w:r>
        <w:rPr>
          <w:rStyle w:val="NormalTok"/>
        </w:rPr>
        <w:t xml:space="preserve">, </w:t>
      </w:r>
      <w:r>
        <w:rPr>
          <w:rStyle w:val="StringTok"/>
        </w:rPr>
        <w:t xml:space="preserve">'Tratado'</w:t>
      </w:r>
      <w:r>
        <w:rPr>
          <w:rStyle w:val="NormalTok"/>
        </w:rPr>
        <w:t xml:space="preserve">, </w:t>
      </w:r>
      <w:r>
        <w:rPr>
          <w:rStyle w:val="StringTok"/>
        </w:rPr>
        <w:t xml:space="preserve">'#F44336'</w:t>
      </w:r>
      <w:r>
        <w:rPr>
          <w:rStyle w:val="NormalTok"/>
        </w:rPr>
        <w:t xml:space="preserve">)]:</w:t>
      </w:r>
      <w:r>
        <w:br/>
      </w:r>
      <w:r>
        <w:rPr>
          <w:rStyle w:val="NormalTok"/>
        </w:rPr>
        <w:t xml:space="preserve">    sub </w:t>
      </w:r>
      <w:r>
        <w:rPr>
          <w:rStyle w:val="OperatorTok"/>
        </w:rPr>
        <w:t xml:space="preserve">=</w:t>
      </w:r>
      <w:r>
        <w:rPr>
          <w:rStyle w:val="NormalTok"/>
        </w:rPr>
        <w:t xml:space="preserve"> medias.loc[g]</w:t>
      </w:r>
      <w:r>
        <w:br/>
      </w:r>
      <w:r>
        <w:rPr>
          <w:rStyle w:val="NormalTok"/>
        </w:rPr>
        <w:t xml:space="preserve">    ax.plot([</w:t>
      </w:r>
      <w:r>
        <w:rPr>
          <w:rStyle w:val="DecValTok"/>
        </w:rPr>
        <w:t xml:space="preserve">0</w:t>
      </w:r>
      <w:r>
        <w:rPr>
          <w:rStyle w:val="NormalTok"/>
        </w:rPr>
        <w:t xml:space="preserve">, </w:t>
      </w:r>
      <w:r>
        <w:rPr>
          <w:rStyle w:val="DecValTok"/>
        </w:rPr>
        <w:t xml:space="preserve">1</w:t>
      </w:r>
      <w:r>
        <w:rPr>
          <w:rStyle w:val="NormalTok"/>
        </w:rPr>
        <w:t xml:space="preserve">], [sub[</w:t>
      </w:r>
      <w:r>
        <w:rPr>
          <w:rStyle w:val="DecValTok"/>
        </w:rPr>
        <w:t xml:space="preserve">0</w:t>
      </w:r>
      <w:r>
        <w:rPr>
          <w:rStyle w:val="NormalTok"/>
        </w:rPr>
        <w:t xml:space="preserve">], sub[</w:t>
      </w:r>
      <w:r>
        <w:rPr>
          <w:rStyle w:val="DecValTok"/>
        </w:rPr>
        <w:t xml:space="preserve">1</w:t>
      </w:r>
      <w:r>
        <w:rPr>
          <w:rStyle w:val="NormalTok"/>
        </w:rPr>
        <w:t xml:space="preserve">]], </w:t>
      </w:r>
      <w:r>
        <w:rPr>
          <w:rStyle w:val="StringTok"/>
        </w:rPr>
        <w:t xml:space="preserve">'o-'</w:t>
      </w:r>
      <w:r>
        <w:rPr>
          <w:rStyle w:val="NormalTok"/>
        </w:rPr>
        <w:t xml:space="preserve">, color</w:t>
      </w:r>
      <w:r>
        <w:rPr>
          <w:rStyle w:val="OperatorTok"/>
        </w:rPr>
        <w:t xml:space="preserve">=</w:t>
      </w:r>
      <w:r>
        <w:rPr>
          <w:rStyle w:val="NormalTok"/>
        </w:rPr>
        <w:t xml:space="preserve">cor,</w:t>
      </w:r>
      <w:r>
        <w:br/>
      </w:r>
      <w:r>
        <w:rPr>
          <w:rStyle w:val="NormalTok"/>
        </w:rPr>
        <w:t xml:space="preserve">            linewidth</w:t>
      </w:r>
      <w:r>
        <w:rPr>
          <w:rStyle w:val="OperatorTok"/>
        </w:rPr>
        <w:t xml:space="preserve">=</w:t>
      </w:r>
      <w:r>
        <w:rPr>
          <w:rStyle w:val="FloatTok"/>
        </w:rPr>
        <w:t xml:space="preserve">2.5</w:t>
      </w:r>
      <w:r>
        <w:rPr>
          <w:rStyle w:val="NormalTok"/>
        </w:rPr>
        <w:t xml:space="preserve">, markersize</w:t>
      </w:r>
      <w:r>
        <w:rPr>
          <w:rStyle w:val="OperatorTok"/>
        </w:rPr>
        <w:t xml:space="preserve">=</w:t>
      </w:r>
      <w:r>
        <w:rPr>
          <w:rStyle w:val="DecValTok"/>
        </w:rPr>
        <w:t xml:space="preserve">10</w:t>
      </w:r>
      <w:r>
        <w:rPr>
          <w:rStyle w:val="NormalTok"/>
        </w:rPr>
        <w:t xml:space="preserve">, label</w:t>
      </w:r>
      <w:r>
        <w:rPr>
          <w:rStyle w:val="OperatorTok"/>
        </w:rPr>
        <w:t xml:space="preserve">=</w:t>
      </w:r>
      <w:r>
        <w:rPr>
          <w:rStyle w:val="NormalTok"/>
        </w:rPr>
        <w:t xml:space="preserve">label)</w:t>
      </w:r>
      <w:r>
        <w:br/>
      </w:r>
      <w:r>
        <w:br/>
      </w:r>
      <w:r>
        <w:rPr>
          <w:rStyle w:val="CommentTok"/>
        </w:rPr>
        <w:t xml:space="preserve"># Contrafactual</w:t>
      </w:r>
      <w:r>
        <w:br/>
      </w:r>
      <w:r>
        <w:rPr>
          <w:rStyle w:val="NormalTok"/>
        </w:rPr>
        <w:t xml:space="preserve">cf </w:t>
      </w:r>
      <w:r>
        <w:rPr>
          <w:rStyle w:val="OperatorTok"/>
        </w:rPr>
        <w:t xml:space="preserve">=</w:t>
      </w:r>
      <w:r>
        <w:rPr>
          <w:rStyle w:val="NormalTok"/>
        </w:rPr>
        <w:t xml:space="preserve"> medias.loc[</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(medias.loc[</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medias.loc[</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ax.plot([</w:t>
      </w:r>
      <w:r>
        <w:rPr>
          <w:rStyle w:val="DecValTok"/>
        </w:rPr>
        <w:t xml:space="preserve">0</w:t>
      </w:r>
      <w:r>
        <w:rPr>
          <w:rStyle w:val="NormalTok"/>
        </w:rPr>
        <w:t xml:space="preserve">, </w:t>
      </w:r>
      <w:r>
        <w:rPr>
          <w:rStyle w:val="DecValTok"/>
        </w:rPr>
        <w:t xml:space="preserve">1</w:t>
      </w:r>
      <w:r>
        <w:rPr>
          <w:rStyle w:val="NormalTok"/>
        </w:rPr>
        <w:t xml:space="preserve">], [medias.loc[</w:t>
      </w:r>
      <w:r>
        <w:rPr>
          <w:rStyle w:val="DecValTok"/>
        </w:rPr>
        <w:t xml:space="preserve">1</w:t>
      </w:r>
      <w:r>
        <w:rPr>
          <w:rStyle w:val="NormalTok"/>
        </w:rPr>
        <w:t xml:space="preserve">, </w:t>
      </w:r>
      <w:r>
        <w:rPr>
          <w:rStyle w:val="DecValTok"/>
        </w:rPr>
        <w:t xml:space="preserve">0</w:t>
      </w:r>
      <w:r>
        <w:rPr>
          <w:rStyle w:val="NormalTok"/>
        </w:rPr>
        <w:t xml:space="preserve">], cf], </w:t>
      </w:r>
      <w:r>
        <w:rPr>
          <w:rStyle w:val="StringTok"/>
        </w:rPr>
        <w:t xml:space="preserve">'s--'</w:t>
      </w:r>
      <w:r>
        <w:rPr>
          <w:rStyle w:val="NormalTok"/>
        </w:rPr>
        <w:t xml:space="preserve">, color</w:t>
      </w:r>
      <w:r>
        <w:rPr>
          <w:rStyle w:val="OperatorTok"/>
        </w:rPr>
        <w:t xml:space="preserve">=</w:t>
      </w:r>
      <w:r>
        <w:rPr>
          <w:rStyle w:val="StringTok"/>
        </w:rPr>
        <w:t xml:space="preserve">'#F44336'</w:t>
      </w:r>
      <w:r>
        <w:rPr>
          <w:rStyle w:val="NormalTok"/>
        </w:rPr>
        <w:t xml:space="preserve">,</w:t>
      </w:r>
      <w:r>
        <w:br/>
      </w:r>
      <w:r>
        <w:rPr>
          <w:rStyle w:val="NormalTok"/>
        </w:rPr>
        <w:t xml:space="preserve">        alpha</w:t>
      </w:r>
      <w:r>
        <w:rPr>
          <w:rStyle w:val="OperatorTok"/>
        </w:rPr>
        <w:t xml:space="preserve">=</w:t>
      </w:r>
      <w:r>
        <w:rPr>
          <w:rStyle w:val="FloatTok"/>
        </w:rPr>
        <w:t xml:space="preserve">0.4</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8</w:t>
      </w:r>
      <w:r>
        <w:rPr>
          <w:rStyle w:val="NormalTok"/>
        </w:rPr>
        <w:t xml:space="preserve">, label</w:t>
      </w:r>
      <w:r>
        <w:rPr>
          <w:rStyle w:val="OperatorTok"/>
        </w:rPr>
        <w:t xml:space="preserve">=</w:t>
      </w:r>
      <w:r>
        <w:rPr>
          <w:rStyle w:val="StringTok"/>
        </w:rPr>
        <w:t xml:space="preserve">'Contrafactual (tratado)'</w:t>
      </w:r>
      <w:r>
        <w:rPr>
          <w:rStyle w:val="NormalTok"/>
        </w:rPr>
        <w:t xml:space="preserve">)</w:t>
      </w:r>
      <w:r>
        <w:br/>
      </w:r>
      <w:r>
        <w:br/>
      </w:r>
      <w:r>
        <w:rPr>
          <w:rStyle w:val="CommentTok"/>
        </w:rPr>
        <w:t xml:space="preserve"># Seta mostrando o efeito</w:t>
      </w:r>
      <w:r>
        <w:br/>
      </w:r>
      <w:r>
        <w:rPr>
          <w:rStyle w:val="NormalTok"/>
        </w:rPr>
        <w:t xml:space="preserve">ax.annotate(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1.05</w:t>
      </w:r>
      <w:r>
        <w:rPr>
          <w:rStyle w:val="NormalTok"/>
        </w:rPr>
        <w:t xml:space="preserve">, medias.loc[</w:t>
      </w:r>
      <w:r>
        <w:rPr>
          <w:rStyle w:val="DecValTok"/>
        </w:rPr>
        <w:t xml:space="preserve">1</w:t>
      </w:r>
      <w:r>
        <w:rPr>
          <w:rStyle w:val="NormalTok"/>
        </w:rPr>
        <w:t xml:space="preserve">, </w:t>
      </w:r>
      <w:r>
        <w:rPr>
          <w:rStyle w:val="DecValTok"/>
        </w:rPr>
        <w:t xml:space="preserve">1</w:t>
      </w:r>
      <w:r>
        <w:rPr>
          <w:rStyle w:val="NormalTok"/>
        </w:rPr>
        <w:t xml:space="preserve">]), xytext</w:t>
      </w:r>
      <w:r>
        <w:rPr>
          <w:rStyle w:val="OperatorTok"/>
        </w:rPr>
        <w:t xml:space="preserve">=</w:t>
      </w:r>
      <w:r>
        <w:rPr>
          <w:rStyle w:val="NormalTok"/>
        </w:rPr>
        <w:t xml:space="preserve">(</w:t>
      </w:r>
      <w:r>
        <w:rPr>
          <w:rStyle w:val="FloatTok"/>
        </w:rPr>
        <w:t xml:space="preserve">1.05</w:t>
      </w:r>
      <w:r>
        <w:rPr>
          <w:rStyle w:val="NormalTok"/>
        </w:rPr>
        <w:t xml:space="preserve">, cf),</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 color</w:t>
      </w:r>
      <w:r>
        <w:rPr>
          <w:rStyle w:val="OperatorTok"/>
        </w:rPr>
        <w:t xml:space="preserve">=</w:t>
      </w:r>
      <w:r>
        <w:rPr>
          <w:rStyle w:val="StringTok"/>
        </w:rPr>
        <w:t xml:space="preserve">'green'</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ax.text(</w:t>
      </w:r>
      <w:r>
        <w:rPr>
          <w:rStyle w:val="FloatTok"/>
        </w:rPr>
        <w:t xml:space="preserve">1.1</w:t>
      </w:r>
      <w:r>
        <w:rPr>
          <w:rStyle w:val="NormalTok"/>
        </w:rPr>
        <w:t xml:space="preserve">, (medias.loc[</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cf) </w:t>
      </w:r>
      <w:r>
        <w:rPr>
          <w:rStyle w:val="OperatorTok"/>
        </w:rPr>
        <w:t xml:space="preserve">/</w:t>
      </w:r>
      <w:r>
        <w:rPr>
          <w:rStyle w:val="NormalTok"/>
        </w:rPr>
        <w:t xml:space="preserve"> </w:t>
      </w:r>
      <w:r>
        <w:rPr>
          <w:rStyle w:val="DecValTok"/>
        </w:rPr>
        <w:t xml:space="preserve">2</w:t>
      </w:r>
      <w:r>
        <w:rPr>
          <w:rStyle w:val="NormalTok"/>
        </w:rPr>
        <w:t xml:space="preserve">, </w:t>
      </w:r>
      <w:r>
        <w:rPr>
          <w:rStyle w:val="SpecialStringTok"/>
        </w:rPr>
        <w:t xml:space="preserve">f'δ = </w:t>
      </w:r>
      <w:r>
        <w:rPr>
          <w:rStyle w:val="SpecialCharTok"/>
        </w:rPr>
        <w:t xml:space="preserve">{</w:t>
      </w:r>
      <w:r>
        <w:rPr>
          <w:rStyle w:val="NormalTok"/>
        </w:rPr>
        <w:t xml:space="preserve">did_manual</w:t>
      </w:r>
      <w:r>
        <w:rPr>
          <w:rStyle w:val="SpecialCharTok"/>
        </w:rPr>
        <w:t xml:space="preserve">:.1f}</w:t>
      </w:r>
      <w:r>
        <w:rPr>
          <w:rStyle w:val="SpecialStringTok"/>
        </w:rPr>
        <w:t xml:space="preserve">'</w:t>
      </w:r>
      <w:r>
        <w:rPr>
          <w:rStyle w:val="NormalTok"/>
        </w:rPr>
        <w:t xml:space="preserve">,</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'green'</w:t>
      </w:r>
      <w:r>
        <w:rPr>
          <w:rStyle w:val="NormalTok"/>
        </w:rPr>
        <w:t xml:space="preserve">, fontweight</w:t>
      </w:r>
      <w:r>
        <w:rPr>
          <w:rStyle w:val="OperatorTok"/>
        </w:rPr>
        <w:t xml:space="preserve">=</w:t>
      </w:r>
      <w:r>
        <w:rPr>
          <w:rStyle w:val="StringTok"/>
        </w:rPr>
        <w:t xml:space="preserve">'bold'</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NormalTok"/>
        </w:rPr>
        <w:t xml:space="preserve">ax.set_xticks([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ax.set_xticklabels([</w:t>
      </w:r>
      <w:r>
        <w:rPr>
          <w:rStyle w:val="StringTok"/>
        </w:rPr>
        <w:t xml:space="preserve">'Antes (t=0)'</w:t>
      </w:r>
      <w:r>
        <w:rPr>
          <w:rStyle w:val="NormalTok"/>
        </w:rPr>
        <w:t xml:space="preserve">, </w:t>
      </w:r>
      <w:r>
        <w:rPr>
          <w:rStyle w:val="StringTok"/>
        </w:rPr>
        <w:t xml:space="preserve">'Depois (t=1)'</w:t>
      </w:r>
      <w:r>
        <w:rPr>
          <w:rStyle w:val="NormalTok"/>
        </w:rPr>
        <w:t xml:space="preserve">])</w:t>
      </w:r>
      <w:r>
        <w:br/>
      </w:r>
      <w:r>
        <w:rPr>
          <w:rStyle w:val="NormalTok"/>
        </w:rPr>
        <w:t xml:space="preserve">ax.set_ylabel(</w:t>
      </w:r>
      <w:r>
        <w:rPr>
          <w:rStyle w:val="StringTok"/>
        </w:rPr>
        <w:t xml:space="preserve">'Frequência escolar (%)'</w:t>
      </w:r>
      <w:r>
        <w:rPr>
          <w:rStyle w:val="NormalTok"/>
        </w:rPr>
        <w:t xml:space="preserve">)</w:t>
      </w:r>
      <w:r>
        <w:br/>
      </w:r>
      <w:r>
        <w:rPr>
          <w:rStyle w:val="NormalTok"/>
        </w:rPr>
        <w:t xml:space="preserve">ax.set_title(</w:t>
      </w:r>
      <w:r>
        <w:rPr>
          <w:rStyle w:val="StringTok"/>
        </w:rPr>
        <w:t xml:space="preserve">'Diferenças-em-Diferenças: Efeito do Programa'</w:t>
      </w:r>
      <w:r>
        <w:rPr>
          <w:rStyle w:val="NormalTok"/>
        </w:rPr>
        <w:t xml:space="preserve">)</w:t>
      </w:r>
      <w:r>
        <w:br/>
      </w:r>
      <w:r>
        <w:rPr>
          <w:rStyle w:val="NormalTok"/>
        </w:rPr>
        <w:t xml:space="preserve">ax.legend(loc</w:t>
      </w:r>
      <w:r>
        <w:rPr>
          <w:rStyle w:val="OperatorTok"/>
        </w:rPr>
        <w:t xml:space="preserve">=</w:t>
      </w:r>
      <w:r>
        <w:rPr>
          <w:rStyle w:val="StringTok"/>
        </w:rPr>
        <w:t xml:space="preserve">'upper left'</w:t>
      </w:r>
      <w:r>
        <w:rPr>
          <w:rStyle w:val="NormalTok"/>
        </w:rPr>
        <w:t xml:space="preserve">)</w:t>
      </w:r>
      <w:r>
        <w:br/>
      </w:r>
      <w:r>
        <w:rPr>
          <w:rStyle w:val="NormalTok"/>
        </w:rPr>
        <w:t xml:space="preserve">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'did_resultado.png'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br/>
      </w:r>
      <w:r>
        <w:rPr>
          <w:rStyle w:val="CommentTok"/>
        </w:rPr>
        <w:t xml:space="preserve"># ═══════════════════════════════════════════════════════</w:t>
      </w:r>
      <w:r>
        <w:br/>
      </w:r>
      <w:r>
        <w:rPr>
          <w:rStyle w:val="CommentTok"/>
        </w:rPr>
        <w:t xml:space="preserve"># PARTE 3 — VIOLAÇÃO DE TENDÊNCIAS PARALELAS</w:t>
      </w:r>
      <w:r>
        <w:br/>
      </w:r>
      <w:r>
        <w:rPr>
          <w:rStyle w:val="CommentTok"/>
        </w:rPr>
        <w:t xml:space="preserve"># ═══════════════════════════════════════════════════════</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"VIOLAÇÃO DE TENDÊNCIAS PARALELAS"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CommentTok"/>
        </w:rPr>
        <w:t xml:space="preserve"># Agora o grupo tratado tem tendência pré-tratamento diferente</w:t>
      </w:r>
      <w:r>
        <w:br/>
      </w:r>
      <w:r>
        <w:rPr>
          <w:rStyle w:val="NormalTok"/>
        </w:rPr>
        <w:t xml:space="preserve">gamma_controle </w:t>
      </w:r>
      <w:r>
        <w:rPr>
          <w:rStyle w:val="OperatorTok"/>
        </w:rPr>
        <w:t xml:space="preserve">=</w:t>
      </w:r>
      <w:r>
        <w:rPr>
          <w:rStyle w:val="NormalTok"/>
        </w:rPr>
        <w:t xml:space="preserve"> </w:t>
      </w:r>
      <w:r>
        <w:rPr>
          <w:rStyle w:val="FloatTok"/>
        </w:rPr>
        <w:t xml:space="preserve">3.0</w:t>
      </w:r>
      <w:r>
        <w:br/>
      </w:r>
      <w:r>
        <w:rPr>
          <w:rStyle w:val="NormalTok"/>
        </w:rPr>
        <w:t xml:space="preserve">gamma_tratado </w:t>
      </w:r>
      <w:r>
        <w:rPr>
          <w:rStyle w:val="OperatorTok"/>
        </w:rPr>
        <w:t xml:space="preserve">=</w:t>
      </w:r>
      <w:r>
        <w:rPr>
          <w:rStyle w:val="NormalTok"/>
        </w:rPr>
        <w:t xml:space="preserve"> </w:t>
      </w:r>
      <w:r>
        <w:rPr>
          <w:rStyle w:val="FloatTok"/>
        </w:rPr>
        <w:t xml:space="preserve">6.0</w:t>
      </w:r>
      <w:r>
        <w:rPr>
          <w:rStyle w:val="NormalTok"/>
        </w:rPr>
        <w:t xml:space="preserve">  </w:t>
      </w:r>
      <w:r>
        <w:rPr>
          <w:rStyle w:val="CommentTok"/>
        </w:rPr>
        <w:t xml:space="preserve"># tratados já estavam melhorando mais rápido</w:t>
      </w:r>
      <w:r>
        <w:br/>
      </w:r>
      <w:r>
        <w:br/>
      </w:r>
      <w:r>
        <w:rPr>
          <w:rStyle w:val="NormalTok"/>
        </w:rPr>
        <w:t xml:space="preserve">rows_v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ids: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g_i </w:t>
      </w:r>
      <w:r>
        <w:rPr>
          <w:rStyle w:val="OperatorTok"/>
        </w:rPr>
        <w:t xml:space="preserve">=</w:t>
      </w:r>
      <w:r>
        <w:rPr>
          <w:rStyle w:val="NormalTok"/>
        </w:rPr>
        <w:t xml:space="preserve"> gamma_tratado </w:t>
      </w:r>
      <w:r>
        <w:rPr>
          <w:rStyle w:val="ControlFlowTok"/>
        </w:rPr>
        <w:t xml:space="preserve">if</w:t>
      </w:r>
      <w:r>
        <w:rPr>
          <w:rStyle w:val="NormalTok"/>
        </w:rPr>
        <w:t xml:space="preserve"> tratado_i[i]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gamma_controle</w:t>
      </w:r>
      <w:r>
        <w:br/>
      </w:r>
      <w:r>
        <w:rPr>
          <w:rStyle w:val="NormalTok"/>
        </w:rPr>
        <w:t xml:space="preserve">        y </w:t>
      </w:r>
      <w:r>
        <w:rPr>
          <w:rStyle w:val="OperatorTok"/>
        </w:rPr>
        <w:t xml:space="preserve">=</w:t>
      </w:r>
      <w:r>
        <w:rPr>
          <w:rStyle w:val="NormalTok"/>
        </w:rPr>
        <w:t xml:space="preserve"> (alpha</w:t>
      </w:r>
      <w:r>
        <w:br/>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tratado_i[i]</w:t>
      </w:r>
      <w:r>
        <w:br/>
      </w:r>
      <w:r>
        <w:rPr>
          <w:rStyle w:val="NormalTok"/>
        </w:rPr>
        <w:t xml:space="preserve">             </w:t>
      </w:r>
      <w:r>
        <w:rPr>
          <w:rStyle w:val="OperatorTok"/>
        </w:rPr>
        <w:t xml:space="preserve">+</w:t>
      </w:r>
      <w:r>
        <w:rPr>
          <w:rStyle w:val="NormalTok"/>
        </w:rPr>
        <w:t xml:space="preserve"> g_i </w:t>
      </w:r>
      <w:r>
        <w:rPr>
          <w:rStyle w:val="OperatorTok"/>
        </w:rPr>
        <w:t xml:space="preserve">*</w:t>
      </w:r>
      <w:r>
        <w:rPr>
          <w:rStyle w:val="NormalTok"/>
        </w:rPr>
        <w:t xml:space="preserve"> t</w:t>
      </w:r>
      <w:r>
        <w:br/>
      </w:r>
      <w:r>
        <w:rPr>
          <w:rStyle w:val="NormalTok"/>
        </w:rPr>
        <w:t xml:space="preserve">             </w:t>
      </w:r>
      <w:r>
        <w:rPr>
          <w:rStyle w:val="OperatorTok"/>
        </w:rPr>
        <w:t xml:space="preserve">+</w:t>
      </w:r>
      <w:r>
        <w:rPr>
          <w:rStyle w:val="NormalTok"/>
        </w:rPr>
        <w:t xml:space="preserve"> delta_true </w:t>
      </w:r>
      <w:r>
        <w:rPr>
          <w:rStyle w:val="OperatorTok"/>
        </w:rPr>
        <w:t xml:space="preserve">*</w:t>
      </w:r>
      <w:r>
        <w:rPr>
          <w:rStyle w:val="NormalTok"/>
        </w:rPr>
        <w:t xml:space="preserve"> tratado_i[i] </w:t>
      </w:r>
      <w:r>
        <w:rPr>
          <w:rStyle w:val="OperatorTok"/>
        </w:rPr>
        <w:t xml:space="preserve">*</w:t>
      </w:r>
      <w:r>
        <w:rPr>
          <w:rStyle w:val="NormalTok"/>
        </w:rPr>
        <w:t xml:space="preserve"> t</w:t>
      </w:r>
      <w:r>
        <w:br/>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sigma))</w:t>
      </w:r>
      <w:r>
        <w:br/>
      </w:r>
      <w:r>
        <w:rPr>
          <w:rStyle w:val="NormalTok"/>
        </w:rPr>
        <w:t xml:space="preserve">        rows_v.append({</w:t>
      </w:r>
      <w:r>
        <w:br/>
      </w:r>
      <w:r>
        <w:rPr>
          <w:rStyle w:val="NormalTok"/>
        </w:rPr>
        <w:t xml:space="preserve">            </w:t>
      </w:r>
      <w:r>
        <w:rPr>
          <w:rStyle w:val="StringTok"/>
        </w:rPr>
        <w:t xml:space="preserve">'municipio'</w:t>
      </w:r>
      <w:r>
        <w:rPr>
          <w:rStyle w:val="NormalTok"/>
        </w:rPr>
        <w:t xml:space="preserve">: i, </w:t>
      </w:r>
      <w:r>
        <w:rPr>
          <w:rStyle w:val="StringTok"/>
        </w:rPr>
        <w:t xml:space="preserve">'tratado'</w:t>
      </w:r>
      <w:r>
        <w:rPr>
          <w:rStyle w:val="NormalTok"/>
        </w:rPr>
        <w:t xml:space="preserve">: tratado_i[i],</w:t>
      </w:r>
      <w:r>
        <w:br/>
      </w:r>
      <w:r>
        <w:rPr>
          <w:rStyle w:val="NormalTok"/>
        </w:rPr>
        <w:t xml:space="preserve">            </w:t>
      </w:r>
      <w:r>
        <w:rPr>
          <w:rStyle w:val="StringTok"/>
        </w:rPr>
        <w:t xml:space="preserve">'pos'</w:t>
      </w:r>
      <w:r>
        <w:rPr>
          <w:rStyle w:val="NormalTok"/>
        </w:rPr>
        <w:t xml:space="preserve">: t, </w:t>
      </w:r>
      <w:r>
        <w:rPr>
          <w:rStyle w:val="StringTok"/>
        </w:rPr>
        <w:t xml:space="preserve">'frequencia'</w:t>
      </w:r>
      <w:r>
        <w:rPr>
          <w:rStyle w:val="NormalTok"/>
        </w:rPr>
        <w:t xml:space="preserve">: y</w:t>
      </w:r>
      <w:r>
        <w:br/>
      </w:r>
      <w:r>
        <w:rPr>
          <w:rStyle w:val="NormalTok"/>
        </w:rPr>
        <w:t xml:space="preserve">        })</w:t>
      </w:r>
      <w:r>
        <w:br/>
      </w:r>
      <w:r>
        <w:br/>
      </w:r>
      <w:r>
        <w:rPr>
          <w:rStyle w:val="NormalTok"/>
        </w:rPr>
        <w:t xml:space="preserve">df_v </w:t>
      </w:r>
      <w:r>
        <w:rPr>
          <w:rStyle w:val="OperatorTok"/>
        </w:rPr>
        <w:t xml:space="preserve">=</w:t>
      </w:r>
      <w:r>
        <w:rPr>
          <w:rStyle w:val="NormalTok"/>
        </w:rPr>
        <w:t xml:space="preserve"> pd.DataFrame(rows_v)</w:t>
      </w:r>
      <w:r>
        <w:br/>
      </w:r>
      <w:r>
        <w:rPr>
          <w:rStyle w:val="NormalTok"/>
        </w:rPr>
        <w:t xml:space="preserve">df_v[</w:t>
      </w:r>
      <w:r>
        <w:rPr>
          <w:rStyle w:val="StringTok"/>
        </w:rPr>
        <w:t xml:space="preserve">'tratado_pos'</w:t>
      </w:r>
      <w:r>
        <w:rPr>
          <w:rStyle w:val="NormalTok"/>
        </w:rPr>
        <w:t xml:space="preserve">] </w:t>
      </w:r>
      <w:r>
        <w:rPr>
          <w:rStyle w:val="OperatorTok"/>
        </w:rPr>
        <w:t xml:space="preserve">=</w:t>
      </w:r>
      <w:r>
        <w:rPr>
          <w:rStyle w:val="NormalTok"/>
        </w:rPr>
        <w:t xml:space="preserve"> df_v[</w:t>
      </w:r>
      <w:r>
        <w:rPr>
          <w:rStyle w:val="StringTok"/>
        </w:rPr>
        <w:t xml:space="preserve">'tratado'</w:t>
      </w:r>
      <w:r>
        <w:rPr>
          <w:rStyle w:val="NormalTok"/>
        </w:rPr>
        <w:t xml:space="preserve">] </w:t>
      </w:r>
      <w:r>
        <w:rPr>
          <w:rStyle w:val="OperatorTok"/>
        </w:rPr>
        <w:t xml:space="preserve">*</w:t>
      </w:r>
      <w:r>
        <w:rPr>
          <w:rStyle w:val="NormalTok"/>
        </w:rPr>
        <w:t xml:space="preserve"> df_v[</w:t>
      </w:r>
      <w:r>
        <w:rPr>
          <w:rStyle w:val="StringTok"/>
        </w:rPr>
        <w:t xml:space="preserve">'pos'</w:t>
      </w:r>
      <w:r>
        <w:rPr>
          <w:rStyle w:val="NormalTok"/>
        </w:rPr>
        <w:t xml:space="preserve">]</w:t>
      </w:r>
      <w:r>
        <w:br/>
      </w:r>
      <w:r>
        <w:br/>
      </w:r>
      <w:r>
        <w:rPr>
          <w:rStyle w:val="NormalTok"/>
        </w:rPr>
        <w:t xml:space="preserve">modelo_v </w:t>
      </w:r>
      <w:r>
        <w:rPr>
          <w:rStyle w:val="OperatorTok"/>
        </w:rPr>
        <w:t xml:space="preserve">=</w:t>
      </w:r>
      <w:r>
        <w:rPr>
          <w:rStyle w:val="NormalTok"/>
        </w:rPr>
        <w:t xml:space="preserve"> smf.ols(</w:t>
      </w:r>
      <w:r>
        <w:rPr>
          <w:rStyle w:val="StringTok"/>
        </w:rPr>
        <w:t xml:space="preserve">'frequencia ~ tratado + pos + tratado_pos'</w:t>
      </w:r>
      <w:r>
        <w:rPr>
          <w:rStyle w:val="NormalTok"/>
        </w:rPr>
        <w:t xml:space="preserve">, data</w:t>
      </w:r>
      <w:r>
        <w:rPr>
          <w:rStyle w:val="OperatorTok"/>
        </w:rPr>
        <w:t xml:space="preserve">=</w:t>
      </w:r>
      <w:r>
        <w:rPr>
          <w:rStyle w:val="NormalTok"/>
        </w:rPr>
        <w:t xml:space="preserve">df_v).fit()</w:t>
      </w:r>
      <w:r>
        <w:br/>
      </w:r>
      <w:r>
        <w:rPr>
          <w:rStyle w:val="NormalTok"/>
        </w:rPr>
        <w:t xml:space="preserve">delta_viesado </w:t>
      </w:r>
      <w:r>
        <w:rPr>
          <w:rStyle w:val="OperatorTok"/>
        </w:rPr>
        <w:t xml:space="preserve">=</w:t>
      </w:r>
      <w:r>
        <w:rPr>
          <w:rStyle w:val="NormalTok"/>
        </w:rPr>
        <w:t xml:space="preserve"> modelo_v.params[</w:t>
      </w:r>
      <w:r>
        <w:rPr>
          <w:rStyle w:val="StringTok"/>
        </w:rPr>
        <w:t xml:space="preserve">'tratado_pos'</w:t>
      </w:r>
      <w:r>
        <w:rPr>
          <w:rStyle w:val="NormalTok"/>
        </w:rPr>
        <w:t xml:space="preserve">]</w:t>
      </w:r>
      <w:r>
        <w:br/>
      </w:r>
      <w:r>
        <w:br/>
      </w:r>
      <w:r>
        <w:rPr>
          <w:rStyle w:val="BuiltInTok"/>
        </w:rPr>
        <w:t xml:space="preserve">print</w:t>
      </w:r>
      <w:r>
        <w:rPr>
          <w:rStyle w:val="NormalTok"/>
        </w:rPr>
        <w:t xml:space="preserve">(</w:t>
      </w:r>
      <w:r>
        <w:rPr>
          <w:rStyle w:val="SpecialStringTok"/>
        </w:rPr>
        <w:t xml:space="preserve">f"  δ estimado (com violação) = </w:t>
      </w:r>
      <w:r>
        <w:rPr>
          <w:rStyle w:val="SpecialCharTok"/>
        </w:rPr>
        <w:t xml:space="preserve">{</w:t>
      </w:r>
      <w:r>
        <w:rPr>
          <w:rStyle w:val="NormalTok"/>
        </w:rPr>
        <w:t xml:space="preserve">delta_viesado</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δ verdadeiro              = </w:t>
      </w:r>
      <w:r>
        <w:rPr>
          <w:rStyle w:val="SpecialCharTok"/>
        </w:rPr>
        <w:t xml:space="preserve">{</w:t>
      </w:r>
      <w:r>
        <w:rPr>
          <w:rStyle w:val="NormalTok"/>
        </w:rPr>
        <w:t xml:space="preserve">delta_true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Viés                      = </w:t>
      </w:r>
      <w:r>
        <w:rPr>
          <w:rStyle w:val="SpecialCharTok"/>
        </w:rPr>
        <w:t xml:space="preserve">{</w:t>
      </w:r>
      <w:r>
        <w:rPr>
          <w:rStyle w:val="NormalTok"/>
        </w:rPr>
        <w:t xml:space="preserve">delta_viesado </w:t>
      </w:r>
      <w:r>
        <w:rPr>
          <w:rStyle w:val="OperatorTok"/>
        </w:rPr>
        <w:t xml:space="preserve">-</w:t>
      </w:r>
      <w:r>
        <w:rPr>
          <w:rStyle w:val="NormalTok"/>
        </w:rPr>
        <w:t xml:space="preserve"> delta_true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O DiD SUPERESTIMA o efeito porque o grupo tratado"</w:t>
      </w:r>
      <w:r>
        <w:rPr>
          <w:rStyle w:val="NormalTok"/>
        </w:rPr>
        <w:t xml:space="preserve">)</w:t>
      </w:r>
      <w:r>
        <w:br/>
      </w:r>
      <w:r>
        <w:rPr>
          <w:rStyle w:val="BuiltInTok"/>
        </w:rPr>
        <w:t xml:space="preserve">print</w:t>
      </w:r>
      <w:r>
        <w:rPr>
          <w:rStyle w:val="NormalTok"/>
        </w:rPr>
        <w:t xml:space="preserve">(</w:t>
      </w:r>
      <w:r>
        <w:rPr>
          <w:rStyle w:val="SpecialStringTok"/>
        </w:rPr>
        <w:t xml:space="preserve">f"     já tinha tendência ascendente mais forte ANTES do programa."</w:t>
      </w:r>
      <w:r>
        <w:rPr>
          <w:rStyle w:val="NormalTok"/>
        </w:rPr>
        <w:t xml:space="preserve">)</w:t>
      </w:r>
      <w:r>
        <w:br/>
      </w:r>
      <w:r>
        <w:rPr>
          <w:rStyle w:val="BuiltInTok"/>
        </w:rPr>
        <w:t xml:space="preserve">print</w:t>
      </w:r>
      <w:r>
        <w:rPr>
          <w:rStyle w:val="NormalTok"/>
        </w:rPr>
        <w:t xml:space="preserve">(</w:t>
      </w:r>
      <w:r>
        <w:rPr>
          <w:rStyle w:val="SpecialStringTok"/>
        </w:rPr>
        <w:t xml:space="preserve">f"     Viés = γ_tratado - γ_controle = </w:t>
      </w:r>
      <w:r>
        <w:rPr>
          <w:rStyle w:val="SpecialCharTok"/>
        </w:rPr>
        <w:t xml:space="preserve">{</w:t>
      </w:r>
      <w:r>
        <w:rPr>
          <w:rStyle w:val="NormalTok"/>
        </w:rPr>
        <w:t xml:space="preserve">gamma_tratado </w:t>
      </w:r>
      <w:r>
        <w:rPr>
          <w:rStyle w:val="OperatorTok"/>
        </w:rPr>
        <w:t xml:space="preserve">-</w:t>
      </w:r>
      <w:r>
        <w:rPr>
          <w:rStyle w:val="NormalTok"/>
        </w:rPr>
        <w:t xml:space="preserve"> gamma_controle</w:t>
      </w:r>
      <w:r>
        <w:rPr>
          <w:rStyle w:val="SpecialCharTok"/>
        </w:rPr>
        <w:t xml:space="preserve">:.1f}</w:t>
      </w:r>
      <w:r>
        <w:rPr>
          <w:rStyle w:val="SpecialStringTok"/>
        </w:rPr>
        <w:t xml:space="preserve">"</w:t>
      </w:r>
      <w:r>
        <w:rPr>
          <w:rStyle w:val="NormalTok"/>
        </w:rPr>
        <w:t xml:space="preserve">)</w:t>
      </w:r>
    </w:p>
    <w:p>
      <w:r>
        <w:pict>
          <v:rect style="width:0;height:1.5pt" o:hralign="center" o:hrstd="t" o:hr="t"/>
        </w:pict>
      </w:r>
    </w:p>
    <w:p>
      <w:pPr>
        <w:pStyle w:val="BlockText"/>
      </w:pPr>
      <w:r>
        <w:rPr>
          <w:b/>
          <w:bCs/>
        </w:rPr>
        <w:t xml:space="preserve">Parte 3 — Perguntas para o relatório</w:t>
      </w:r>
    </w:p>
    <w:p>
      <w:pPr>
        <w:pStyle w:val="BlockText"/>
        <w:numPr>
          <w:ilvl w:val="0"/>
          <w:numId w:val="2194"/>
        </w:numPr>
      </w:pPr>
      <w:r>
        <w:rPr>
          <w:b/>
          <w:bCs/>
        </w:rPr>
        <w:t xml:space="preserve">Interpretação dos coeficientes:</w:t>
      </w:r>
      <w:r>
        <w:t xml:space="preserve"> </w:t>
      </w:r>
      <w:r>
        <w:t xml:space="preserve">No modelo</w:t>
      </w:r>
      <w:r>
        <w:t xml:space="preserve"> </w:t>
      </w:r>
      <m:oMath>
        <m:r>
          <m:t>Y</m:t>
        </m:r>
        <m:r>
          <m:rPr>
            <m:sty m:val="p"/>
          </m:rPr>
          <m:t>=</m:t>
        </m:r>
        <m:r>
          <m:t>α</m:t>
        </m:r>
        <m:r>
          <m:rPr>
            <m:sty m:val="p"/>
          </m:rPr>
          <m:t>+</m:t>
        </m:r>
        <m:r>
          <m:t>β</m:t>
        </m:r>
        <m:r>
          <m:rPr>
            <m:sty m:val="p"/>
          </m:rPr>
          <m:t>⋅</m:t>
        </m:r>
        <m:r>
          <m:t>T</m:t>
        </m:r>
        <m:r>
          <m:rPr>
            <m:sty m:val="p"/>
          </m:rPr>
          <m:t>+</m:t>
        </m:r>
        <m:r>
          <m:t>γ</m:t>
        </m:r>
        <m:r>
          <m:rPr>
            <m:sty m:val="p"/>
          </m:rPr>
          <m:t>⋅</m:t>
        </m:r>
        <m:r>
          <m:t>P</m:t>
        </m:r>
        <m:r>
          <m:rPr>
            <m:sty m:val="p"/>
          </m:rPr>
          <m:t>+</m:t>
        </m:r>
        <m:r>
          <m:t>δ</m:t>
        </m:r>
        <m:r>
          <m:rPr>
            <m:sty m:val="p"/>
          </m:rPr>
          <m:t>⋅</m:t>
        </m:r>
        <m:r>
          <m:rPr>
            <m:sty m:val="p"/>
          </m:rPr>
          <m:t>(</m:t>
        </m:r>
        <m:r>
          <m:t>T</m:t>
        </m:r>
        <m:r>
          <m:rPr>
            <m:sty m:val="p"/>
          </m:rPr>
          <m:t>×</m:t>
        </m:r>
        <m:r>
          <m:t>P</m:t>
        </m:r>
        <m:r>
          <m:rPr>
            <m:sty m:val="p"/>
          </m:rPr>
          <m:t>)</m:t>
        </m:r>
        <m:r>
          <m:rPr>
            <m:sty m:val="p"/>
          </m:rPr>
          <m:t>+</m:t>
        </m:r>
        <m:r>
          <m:t>ε</m:t>
        </m:r>
      </m:oMath>
      <w:r>
        <w:t xml:space="preserve">, interprete cada coeficiente em termos da tabela 2×2 de médias.</w:t>
      </w:r>
    </w:p>
    <w:p>
      <w:pPr>
        <w:pStyle w:val="BlockText"/>
        <w:numPr>
          <w:ilvl w:val="0"/>
          <w:numId w:val="2194"/>
        </w:numPr>
      </w:pPr>
      <w:r>
        <w:rPr>
          <w:b/>
          <w:bCs/>
        </w:rPr>
        <w:t xml:space="preserve">Tendências paralelas:</w:t>
      </w:r>
      <w:r>
        <w:t xml:space="preserve"> </w:t>
      </w:r>
      <w:r>
        <w:t xml:space="preserve">Por que a violação de tendências paralelas gera viés positivo no exemplo acima? Em que direção seria o viés se</w:t>
      </w:r>
      <w:r>
        <w:t xml:space="preserve"> </w:t>
      </w:r>
      <m:oMath>
        <m:sSub>
          <m:e>
            <m:r>
              <m:t>γ</m:t>
            </m:r>
          </m:e>
          <m:sub>
            <m:r>
              <m:rPr>
                <m:nor/>
                <m:sty m:val="p"/>
              </m:rPr>
              <m:t>tratado</m:t>
            </m:r>
          </m:sub>
        </m:sSub>
        <m:r>
          <m:rPr>
            <m:sty m:val="p"/>
          </m:rPr>
          <m:t>&lt;</m:t>
        </m:r>
        <m:sSub>
          <m:e>
            <m:r>
              <m:t>γ</m:t>
            </m:r>
          </m:e>
          <m:sub>
            <m:r>
              <m:rPr>
                <m:nor/>
                <m:sty m:val="p"/>
              </m:rPr>
              <m:t>controle</m:t>
            </m:r>
          </m:sub>
        </m:sSub>
      </m:oMath>
      <w:r>
        <w:t xml:space="preserve">?</w:t>
      </w:r>
    </w:p>
    <w:p>
      <w:pPr>
        <w:pStyle w:val="BlockText"/>
        <w:numPr>
          <w:ilvl w:val="0"/>
          <w:numId w:val="2194"/>
        </w:numPr>
      </w:pPr>
      <w:r>
        <w:rPr>
          <w:b/>
          <w:bCs/>
        </w:rPr>
        <w:t xml:space="preserve">Teste placebo:</w:t>
      </w:r>
      <w:r>
        <w:t xml:space="preserve"> </w:t>
      </w:r>
      <w:r>
        <w:t xml:space="preserve">Modifique o código para criar um</w:t>
      </w:r>
      <w:r>
        <w:t xml:space="preserve"> </w:t>
      </w:r>
      <w:r>
        <w:t xml:space="preserve">“tratamento falso”</w:t>
      </w:r>
      <w:r>
        <w:t xml:space="preserve"> </w:t>
      </w:r>
      <w:r>
        <w:t xml:space="preserve">em</w:t>
      </w:r>
      <w:r>
        <w:t xml:space="preserve"> </w:t>
      </w:r>
      <m:oMath>
        <m:r>
          <m:t>t</m:t>
        </m:r>
        <m:r>
          <m:rPr>
            <m:sty m:val="p"/>
          </m:rPr>
          <m:t>=</m:t>
        </m:r>
        <m:r>
          <m:t>0</m:t>
        </m:r>
      </m:oMath>
      <w:r>
        <w:t xml:space="preserve"> </w:t>
      </w:r>
      <w:r>
        <w:t xml:space="preserve">(antes do programa real) usando dados de três períodos (</w:t>
      </w:r>
      <m:oMath>
        <m:r>
          <m:t>t</m:t>
        </m:r>
        <m:r>
          <m:rPr>
            <m:sty m:val="p"/>
          </m:rPr>
          <m:t>=</m:t>
        </m:r>
        <m:r>
          <m:rPr>
            <m:sty m:val="p"/>
          </m:rPr>
          <m:t>−</m:t>
        </m:r>
        <m:r>
          <m:t>1</m:t>
        </m:r>
        <m:r>
          <m:rPr>
            <m:sty m:val="p"/>
          </m:rPr>
          <m:t>,</m:t>
        </m:r>
        <m:r>
          <m:t>0</m:t>
        </m:r>
        <m:r>
          <m:rPr>
            <m:sty m:val="p"/>
          </m:rPr>
          <m:t>,</m:t>
        </m:r>
        <m:r>
          <m:t>1</m:t>
        </m:r>
      </m:oMath>
      <w:r>
        <w:t xml:space="preserve">). Se o DiD no período pré-tratamento for significativo, o que isso sugere sobre a validade da identificação?</w:t>
      </w:r>
    </w:p>
    <w:p>
      <w:pPr>
        <w:pStyle w:val="BlockText"/>
        <w:numPr>
          <w:ilvl w:val="0"/>
          <w:numId w:val="2194"/>
        </w:numPr>
      </w:pPr>
      <w:r>
        <w:rPr>
          <w:b/>
          <w:bCs/>
        </w:rPr>
        <w:t xml:space="preserve">Clusters:</w:t>
      </w:r>
      <w:r>
        <w:t xml:space="preserve"> </w:t>
      </w:r>
      <w:r>
        <w:t xml:space="preserve">Na prática, municípios dentro de um mesmo estado podem ter erros correlacionados. Reestime o modelo com erros clusterizados por estado (crie uma variável</w:t>
      </w:r>
      <w:r>
        <w:t xml:space="preserve"> </w:t>
      </w:r>
      <w:r>
        <w:rPr>
          <w:rStyle w:val="VerbatimChar"/>
        </w:rPr>
        <w:t xml:space="preserve">estado</w:t>
      </w:r>
      <w:r>
        <w:t xml:space="preserve"> </w:t>
      </w:r>
      <w:r>
        <w:t xml:space="preserve">que agrupe municípios) e compare os erros-padrão.</w:t>
      </w:r>
    </w:p>
    <w:p>
      <w:pPr>
        <w:pStyle w:val="BlockText"/>
        <w:numPr>
          <w:ilvl w:val="0"/>
          <w:numId w:val="2194"/>
        </w:numPr>
      </w:pPr>
      <w:r>
        <w:rPr>
          <w:b/>
          <w:bCs/>
        </w:rPr>
        <w:t xml:space="preserve">Conexão com RCTs:</w:t>
      </w:r>
      <w:r>
        <w:t xml:space="preserve"> </w:t>
      </w:r>
      <w:r>
        <w:t xml:space="preserve">Explique por que, se o programa fosse atribuído por RCT (aleatorização pura), a hipótese de tendências paralelas seria automaticamente satisfeita. Em que situações o DiD é necessário</w:t>
      </w:r>
      <w:r>
        <w:t xml:space="preserve"> </w:t>
      </w:r>
      <w:r>
        <w:rPr>
          <w:i/>
          <w:iCs/>
        </w:rPr>
        <w:t xml:space="preserve">em vez de</w:t>
      </w:r>
      <w:r>
        <w:t xml:space="preserve"> </w:t>
      </w:r>
      <w:r>
        <w:t xml:space="preserve">um RCT?</w:t>
      </w:r>
    </w:p>
    <w:p>
      <w:r>
        <w:pict>
          <v:rect style="width:0;height:1.5pt" o:hralign="center" o:hrstd="t" o:hr="t"/>
        </w:pict>
      </w:r>
    </w:p>
    <w:p>
      <w:pPr>
        <w:pStyle w:val="BlockText"/>
      </w:pPr>
      <w:r>
        <w:rPr>
          <w:b/>
          <w:bCs/>
        </w:rPr>
        <w:t xml:space="preserve">Conexão com o capítulo:</w:t>
      </w:r>
      <w:r>
        <w:t xml:space="preserve"> </w:t>
      </w:r>
      <w:r>
        <w:t xml:space="preserve">Este exercício implementa o estimador DiD discutido na Seção 22.5 (Experimentos Naturais) e conecta com a lógica de resultados potenciais da Seção 22.4 (RCTs). A violação de tendências paralelas ilustra por que métodos quase-experimentais exigem hipóteses de identificação que os RCTs dispensam — o trade-off entre validade interna e viabilidade prática discutido ao longo de todo o capítulo.</w:t>
      </w:r>
    </w:p>
    <w:bookmarkEnd w:id="1367"/>
    <w:bookmarkEnd w:id="1368"/>
    <w:bookmarkStart w:id="1374" w:name="Xfe21c6800c88f06d7d0683b1535821c75c954ad"/>
    <w:p>
      <w:pPr>
        <w:pStyle w:val="Heading3"/>
      </w:pPr>
      <w:r>
        <w:t xml:space="preserve">22.5 Experimentos Naturais e Quase-Experimentos</w:t>
      </w:r>
    </w:p>
    <w:bookmarkStart w:id="1369" w:name="Xa8fe5bdb1bd1cb3a997b1fa9d0017f77d3fc633"/>
    <w:p>
      <w:pPr>
        <w:pStyle w:val="Heading4"/>
      </w:pPr>
      <w:r>
        <w:t xml:space="preserve">22.5.1 Quando a natureza (ou a política) fornece o experimento</w:t>
      </w:r>
    </w:p>
    <w:p>
      <w:pPr>
        <w:pStyle w:val="FirstParagraph"/>
      </w:pPr>
      <w:r>
        <w:t xml:space="preserve">E quando não é possível sortear ninguém? Quando seria absurdo (ou ilegal, ou cruel) dividir pessoas em grupos e negar tratamento a metade delas? Nessas horas, o economista faz o que todo bom detetive faz: procura pistas que a história deixou para trás. Às vezes a natureza, a geografia ou a política criam situações que</w:t>
      </w:r>
      <w:r>
        <w:t xml:space="preserve"> </w:t>
      </w:r>
      <w:r>
        <w:rPr>
          <w:i/>
          <w:iCs/>
        </w:rPr>
        <w:t xml:space="preserve">se assemelham</w:t>
      </w:r>
      <w:r>
        <w:t xml:space="preserve"> </w:t>
      </w:r>
      <w:r>
        <w:t xml:space="preserve">a um experimento — como se o destino tivesse feito a randomização por nós. Um grupo é</w:t>
      </w:r>
      <w:r>
        <w:t xml:space="preserve"> </w:t>
      </w:r>
      <w:r>
        <w:t xml:space="preserve">“tratado”</w:t>
      </w:r>
      <w:r>
        <w:t xml:space="preserve"> </w:t>
      </w:r>
      <w:r>
        <w:t xml:space="preserve">por circunstâncias que são plausivamente exógenas — isto é, não correlacionadas com as características dos indivíduos afetados. Esses são os</w:t>
      </w:r>
      <w:r>
        <w:t xml:space="preserve"> </w:t>
      </w:r>
      <w:r>
        <w:rPr>
          <w:b/>
          <w:bCs/>
        </w:rPr>
        <w:t xml:space="preserve">experimentos naturais</w:t>
      </w:r>
      <w:r>
        <w:t xml:space="preserve"> </w:t>
      </w:r>
      <w:r>
        <w:t xml:space="preserve">(</w:t>
      </w:r>
      <w:r>
        <w:rPr>
          <w:i/>
          <w:iCs/>
        </w:rPr>
        <w:t xml:space="preserve">natural experiments</w:t>
      </w:r>
      <w:r>
        <w:t xml:space="preserve">).</w:t>
      </w:r>
    </w:p>
    <w:p>
      <w:pPr>
        <w:pStyle w:val="BodyText"/>
      </w:pPr>
      <w:r>
        <w:t xml:space="preserve">A diferença fundamental em relação aos RCTs é que o pesquisador</w:t>
      </w:r>
      <w:r>
        <w:t xml:space="preserve"> </w:t>
      </w:r>
      <w:r>
        <w:rPr>
          <w:b/>
          <w:bCs/>
        </w:rPr>
        <w:t xml:space="preserve">não controla</w:t>
      </w:r>
      <w:r>
        <w:t xml:space="preserve"> </w:t>
      </w:r>
      <w:r>
        <w:t xml:space="preserve">a aleatorização — ela é fornecida por alguma variação</w:t>
      </w:r>
      <w:r>
        <w:t xml:space="preserve"> </w:t>
      </w:r>
      <w:r>
        <w:t xml:space="preserve">“como se fosse aleatória”</w:t>
      </w:r>
      <w:r>
        <w:t xml:space="preserve"> </w:t>
      </w:r>
      <w:r>
        <w:t xml:space="preserve">no ambiente. A validade do método depende crucialmente da</w:t>
      </w:r>
      <w:r>
        <w:t xml:space="preserve"> </w:t>
      </w:r>
      <w:r>
        <w:rPr>
          <w:b/>
          <w:bCs/>
        </w:rPr>
        <w:t xml:space="preserve">plausibilidade da exogeneidade</w:t>
      </w:r>
      <w:r>
        <w:t xml:space="preserve"> </w:t>
      </w:r>
      <w:r>
        <w:t xml:space="preserve">— uma hipótese que pode ser argumentada e testada parcialmente, mas nunca provada definitivamente.</w:t>
      </w:r>
    </w:p>
    <w:bookmarkEnd w:id="1369"/>
    <w:bookmarkStart w:id="1370" w:name="diferenças-em-diferenças-diff-in-diff"/>
    <w:p>
      <w:pPr>
        <w:pStyle w:val="Heading4"/>
      </w:pPr>
      <w:r>
        <w:t xml:space="preserve">22.5.2 Diferenças em diferenças (Diff-in-Diff)</w:t>
      </w:r>
    </w:p>
    <w:p>
      <w:pPr>
        <w:pStyle w:val="FirstParagraph"/>
      </w:pPr>
      <w:r>
        <w:t xml:space="preserve">O método de</w:t>
      </w:r>
      <w:r>
        <w:t xml:space="preserve"> </w:t>
      </w:r>
      <w:r>
        <w:rPr>
          <w:b/>
          <w:bCs/>
        </w:rPr>
        <w:t xml:space="preserve">diferenças em diferenças</w:t>
      </w:r>
      <w:r>
        <w:t xml:space="preserve"> </w:t>
      </w:r>
      <w:r>
        <w:t xml:space="preserve">(DD ou DiD) compara a mudança no resultado de um grupo tratado com a mudança no resultado de um grupo de controle, antes e depois de uma intervenção:</w:t>
      </w:r>
    </w:p>
    <w:p>
      <w:pPr>
        <w:pStyle w:val="BodyText"/>
      </w:pPr>
      <m:oMathPara>
        <m:oMathParaPr>
          <m:jc m:val="center"/>
        </m:oMathParaPr>
        <m:oMath>
          <m:sSub>
            <m:e>
              <m:acc>
                <m:accPr>
                  <m:chr m:val="̂"/>
                </m:accPr>
                <m:e>
                  <m:r>
                    <m:t>τ</m:t>
                  </m:r>
                </m:e>
              </m:acc>
            </m:e>
            <m:sub>
              <m:r>
                <m:t>D</m:t>
              </m:r>
              <m:r>
                <m:t>D</m:t>
              </m:r>
            </m:sub>
          </m:sSub>
          <m:r>
            <m:rPr>
              <m:sty m:val="p"/>
            </m:rPr>
            <m:t>=</m:t>
          </m:r>
          <m:r>
            <m:rPr>
              <m:sty m:val="p"/>
            </m:rPr>
            <m:t>(</m:t>
          </m:r>
          <m:sSubSup>
            <m:e>
              <m:acc>
                <m:accPr>
                  <m:chr m:val="‾"/>
                </m:accPr>
                <m:e>
                  <m:r>
                    <m:t>Y</m:t>
                  </m:r>
                </m:e>
              </m:acc>
            </m:e>
            <m:sub>
              <m:r>
                <m:rPr>
                  <m:nor/>
                  <m:sty m:val="p"/>
                </m:rPr>
                <m:t>tratado</m:t>
              </m:r>
            </m:sub>
            <m:sup>
              <m:r>
                <m:rPr>
                  <m:nor/>
                  <m:sty m:val="p"/>
                </m:rPr>
                <m:t>depois</m:t>
              </m:r>
            </m:sup>
          </m:sSubSup>
          <m:r>
            <m:rPr>
              <m:sty m:val="p"/>
            </m:rPr>
            <m:t>−</m:t>
          </m:r>
          <m:sSubSup>
            <m:e>
              <m:acc>
                <m:accPr>
                  <m:chr m:val="‾"/>
                </m:accPr>
                <m:e>
                  <m:r>
                    <m:t>Y</m:t>
                  </m:r>
                </m:e>
              </m:acc>
            </m:e>
            <m:sub>
              <m:r>
                <m:rPr>
                  <m:nor/>
                  <m:sty m:val="p"/>
                </m:rPr>
                <m:t>tratado</m:t>
              </m:r>
            </m:sub>
            <m:sup>
              <m:r>
                <m:rPr>
                  <m:nor/>
                  <m:sty m:val="p"/>
                </m:rPr>
                <m:t>antes</m:t>
              </m:r>
            </m:sup>
          </m:sSubSup>
          <m:r>
            <m:rPr>
              <m:sty m:val="p"/>
            </m:rPr>
            <m:t>)</m:t>
          </m:r>
          <m:r>
            <m:rPr>
              <m:sty m:val="p"/>
            </m:rPr>
            <m:t>−</m:t>
          </m:r>
          <m:r>
            <m:rPr>
              <m:sty m:val="p"/>
            </m:rPr>
            <m:t>(</m:t>
          </m:r>
          <m:sSubSup>
            <m:e>
              <m:acc>
                <m:accPr>
                  <m:chr m:val="‾"/>
                </m:accPr>
                <m:e>
                  <m:r>
                    <m:t>Y</m:t>
                  </m:r>
                </m:e>
              </m:acc>
            </m:e>
            <m:sub>
              <m:r>
                <m:rPr>
                  <m:nor/>
                  <m:sty m:val="p"/>
                </m:rPr>
                <m:t>controle</m:t>
              </m:r>
            </m:sub>
            <m:sup>
              <m:r>
                <m:rPr>
                  <m:nor/>
                  <m:sty m:val="p"/>
                </m:rPr>
                <m:t>depois</m:t>
              </m:r>
            </m:sup>
          </m:sSubSup>
          <m:r>
            <m:rPr>
              <m:sty m:val="p"/>
            </m:rPr>
            <m:t>−</m:t>
          </m:r>
          <m:sSubSup>
            <m:e>
              <m:acc>
                <m:accPr>
                  <m:chr m:val="‾"/>
                </m:accPr>
                <m:e>
                  <m:r>
                    <m:t>Y</m:t>
                  </m:r>
                </m:e>
              </m:acc>
            </m:e>
            <m:sub>
              <m:r>
                <m:rPr>
                  <m:nor/>
                  <m:sty m:val="p"/>
                </m:rPr>
                <m:t>controle</m:t>
              </m:r>
            </m:sub>
            <m:sup>
              <m:r>
                <m:rPr>
                  <m:nor/>
                  <m:sty m:val="p"/>
                </m:rPr>
                <m:t>antes</m:t>
              </m:r>
            </m:sup>
          </m:sSubSup>
          <m:r>
            <m:rPr>
              <m:sty m:val="p"/>
            </m:rPr>
            <m:t>)</m:t>
          </m:r>
        </m:oMath>
      </m:oMathPara>
    </w:p>
    <w:p>
      <w:pPr>
        <w:pStyle w:val="FirstParagraph"/>
      </w:pPr>
      <w:r>
        <w:t xml:space="preserve">A hipótese-chave é a de</w:t>
      </w:r>
      <w:r>
        <w:t xml:space="preserve"> </w:t>
      </w:r>
      <w:r>
        <w:rPr>
          <w:b/>
          <w:bCs/>
        </w:rPr>
        <w:t xml:space="preserve">tendências paralelas</w:t>
      </w:r>
      <w:r>
        <w:t xml:space="preserve"> </w:t>
      </w:r>
      <w:r>
        <w:t xml:space="preserve">(</w:t>
      </w:r>
      <w:r>
        <w:rPr>
          <w:i/>
          <w:iCs/>
        </w:rPr>
        <w:t xml:space="preserve">parallel trends</w:t>
      </w:r>
      <w:r>
        <w:t xml:space="preserve">): na ausência do tratamento, os dois grupos teriam seguido trajetórias semelhantes. A primeira diferença (antes/depois) elimina as diferenças fixas entre os grupos; a segunda diferença (tratado/controle) elimina choques comuns que afetam ambos os grupos.</w:t>
      </w:r>
    </w:p>
    <w:p>
      <w:pPr>
        <w:pStyle w:val="BodyText"/>
      </w:pPr>
      <w:r>
        <w:rPr>
          <w:b/>
          <w:bCs/>
        </w:rPr>
        <w:t xml:space="preserve">Exemplo clássico: Card e Krueger (1994) — salário mínimo.</w:t>
      </w:r>
    </w:p>
    <w:p>
      <w:pPr>
        <w:pStyle w:val="BodyText"/>
      </w:pPr>
      <w:r>
        <w:t xml:space="preserve">David Card e Alan Krueger estudaram o efeito do aumento do salário mínimo em New Jersey (de US$ 4,25 para US$ 5,05 em abril de 1992) sobre o emprego em restaurantes de fast food. O grupo de controle era a Pensilvânia oriental (vizinha, similar economicamente, mas sem aumento do salário mínimo). Usando dados de 410 restaurantes, entrevistados antes e depois do aumento, encontraram que:</w:t>
      </w:r>
    </w:p>
    <w:p>
      <w:pPr>
        <w:pStyle w:val="BodyText"/>
      </w:pPr>
      <m:oMathPara>
        <m:oMathParaPr>
          <m:jc m:val="center"/>
        </m:oMathParaPr>
        <m:oMath>
          <m:sSub>
            <m:e>
              <m:acc>
                <m:accPr>
                  <m:chr m:val="̂"/>
                </m:accPr>
                <m:e>
                  <m:r>
                    <m:t>τ</m:t>
                  </m:r>
                </m:e>
              </m:acc>
            </m:e>
            <m:sub>
              <m:r>
                <m:t>D</m:t>
              </m:r>
              <m:r>
                <m:t>D</m:t>
              </m:r>
            </m:sub>
          </m:sSub>
          <m:r>
            <m:rPr>
              <m:sty m:val="p"/>
            </m:rPr>
            <m:t>=</m:t>
          </m:r>
          <m:r>
            <m:rPr>
              <m:sty m:val="p"/>
            </m:rPr>
            <m:t>(</m:t>
          </m:r>
          <m:r>
            <m:rPr>
              <m:sty m:val="p"/>
            </m:rPr>
            <m:t>+</m:t>
          </m:r>
          <m:r>
            <m:t>2</m:t>
          </m:r>
          <m:r>
            <m:rPr>
              <m:sty m:val="p"/>
            </m:rPr>
            <m:t>,</m:t>
          </m:r>
          <m:r>
            <m:t>76</m:t>
          </m:r>
          <m:r>
            <m:rPr>
              <m:sty m:val="p"/>
            </m:rPr>
            <m:t>)</m:t>
          </m:r>
          <m:r>
            <m:rPr>
              <m:sty m:val="p"/>
            </m:rPr>
            <m:t>−</m:t>
          </m:r>
          <m:r>
            <m:rPr>
              <m:sty m:val="p"/>
            </m:rPr>
            <m:t>(</m:t>
          </m:r>
          <m:r>
            <m:rPr>
              <m:sty m:val="p"/>
            </m:rPr>
            <m:t>+</m:t>
          </m:r>
          <m:r>
            <m:t>0</m:t>
          </m:r>
          <m:r>
            <m:rPr>
              <m:sty m:val="p"/>
            </m:rPr>
            <m:t>,</m:t>
          </m:r>
          <m:r>
            <m:t>07</m:t>
          </m:r>
          <m:r>
            <m:rPr>
              <m:sty m:val="p"/>
            </m:rPr>
            <m:t>)</m:t>
          </m:r>
          <m:r>
            <m:rPr>
              <m:sty m:val="p"/>
            </m:rPr>
            <m:t>=</m:t>
          </m:r>
          <m:r>
            <m:rPr>
              <m:sty m:val="p"/>
            </m:rPr>
            <m:t>+</m:t>
          </m:r>
          <m:r>
            <m:t>2</m:t>
          </m:r>
          <m:r>
            <m:rPr>
              <m:sty m:val="p"/>
            </m:rPr>
            <m:t>,</m:t>
          </m:r>
          <m:r>
            <m:t>70</m:t>
          </m:r>
          <m:r>
            <m:rPr>
              <m:nor/>
              <m:sty m:val="p"/>
            </m:rPr>
            <m:t> empregos por restaurante</m:t>
          </m:r>
        </m:oMath>
      </m:oMathPara>
    </w:p>
    <w:p>
      <w:pPr>
        <w:pStyle w:val="FirstParagraph"/>
      </w:pPr>
      <w:r>
        <w:t xml:space="preserve">O resultado — contraintuitivo para a teoria neoclássica padrão (Capítulo 17, modelo competitivo de mercado de trabalho) — sugeria que o aumento do salário mínimo</w:t>
      </w:r>
      <w:r>
        <w:t xml:space="preserve"> </w:t>
      </w:r>
      <w:r>
        <w:rPr>
          <w:i/>
          <w:iCs/>
        </w:rPr>
        <w:t xml:space="preserve">aumentou</w:t>
      </w:r>
      <w:r>
        <w:t xml:space="preserve"> </w:t>
      </w:r>
      <w:r>
        <w:t xml:space="preserve">levemente o emprego, em vez de reduzi-lo. A explicação mais consistente envolve</w:t>
      </w:r>
      <w:r>
        <w:t xml:space="preserve"> </w:t>
      </w:r>
      <w:r>
        <w:rPr>
          <w:b/>
          <w:bCs/>
        </w:rPr>
        <w:t xml:space="preserve">poder de monopsônio</w:t>
      </w:r>
      <w:r>
        <w:t xml:space="preserve">: se empregadores têm algum poder de mercado no mercado de trabalho (a lógica do poder de mercado do Capítulo 15, aplicada ao lado da demanda por trabalho do Capítulo 17), o salário mínimo pode</w:t>
      </w:r>
      <w:r>
        <w:t xml:space="preserve"> </w:t>
      </w:r>
      <w:r>
        <w:rPr>
          <w:i/>
          <w:iCs/>
        </w:rPr>
        <w:t xml:space="preserve">aumentar</w:t>
      </w:r>
      <w:r>
        <w:t xml:space="preserve"> </w:t>
      </w:r>
      <w:r>
        <w:t xml:space="preserve">emprego e salário simultaneamente, movendo o resultado em direção ao ponto competitivo.</w:t>
      </w:r>
    </w:p>
    <w:p>
      <w:pPr>
        <w:pStyle w:val="BlockText"/>
      </w:pPr>
      <w:r>
        <w:rPr>
          <w:b/>
          <w:bCs/>
        </w:rPr>
        <w:t xml:space="preserve">[DICA] Conexão com Capítulo 17</w:t>
      </w:r>
    </w:p>
    <w:p>
      <w:pPr>
        <w:pStyle w:val="BlockText"/>
      </w:pPr>
      <w:r>
        <w:t xml:space="preserve">O resultado de Card e Krueger (1994) desafia diretamente o modelo competitivo de mercado de trabalho do Capítulo 17, que prevê que um salário mínimo acima do equilíbrio sempre reduz o emprego. A reconciliação teórica vem do modelo de</w:t>
      </w:r>
      <w:r>
        <w:t xml:space="preserve"> </w:t>
      </w:r>
      <w:r>
        <w:rPr>
          <w:b/>
          <w:bCs/>
        </w:rPr>
        <w:t xml:space="preserve">monopsônio</w:t>
      </w:r>
      <w:r>
        <w:t xml:space="preserve"> </w:t>
      </w:r>
      <w:r>
        <w:t xml:space="preserve">(poder de mercado do empregador): quando a firma enfrenta uma curva de oferta de trabalho ascendente (não perfeitamente elástica), ela paga abaixo do produto marginal do trabalho e emprega menos trabalhadores que o ótimo social. Um salário mínimo moderado pode então</w:t>
      </w:r>
      <w:r>
        <w:t xml:space="preserve"> </w:t>
      </w:r>
      <w:r>
        <w:rPr>
          <w:i/>
          <w:iCs/>
        </w:rPr>
        <w:t xml:space="preserve">aumentar</w:t>
      </w:r>
      <w:r>
        <w:t xml:space="preserve"> </w:t>
      </w:r>
      <w:r>
        <w:t xml:space="preserve">o emprego ao forçar a firma a pagar mais e contratar mais — até o ponto em que o salário mínimo excede o equilíbrio competitivo, quando o efeito negativo tradicional prevalece.</w:t>
      </w:r>
    </w:p>
    <w:bookmarkEnd w:id="1370"/>
    <w:bookmarkStart w:id="1371" w:name="regressão-descontínua-rdd"/>
    <w:p>
      <w:pPr>
        <w:pStyle w:val="Heading4"/>
      </w:pPr>
      <w:r>
        <w:t xml:space="preserve">22.5.3 Regressão descontínua (RDD)</w:t>
      </w:r>
    </w:p>
    <w:p>
      <w:pPr>
        <w:pStyle w:val="FirstParagraph"/>
      </w:pPr>
      <w:r>
        <w:t xml:space="preserve">A</w:t>
      </w:r>
      <w:r>
        <w:t xml:space="preserve"> </w:t>
      </w:r>
      <w:r>
        <w:rPr>
          <w:b/>
          <w:bCs/>
        </w:rPr>
        <w:t xml:space="preserve">regressão descontínua</w:t>
      </w:r>
      <w:r>
        <w:t xml:space="preserve"> </w:t>
      </w:r>
      <w:r>
        <w:t xml:space="preserve">(</w:t>
      </w:r>
      <w:r>
        <w:rPr>
          <w:i/>
          <w:iCs/>
        </w:rPr>
        <w:t xml:space="preserve">Regression Discontinuity Design</w:t>
      </w:r>
      <w:r>
        <w:t xml:space="preserve">, RDD) explora descontinuidades em regras de elegibilidade: indivíduos logo acima e logo abaixo de um limiar (</w:t>
      </w:r>
      <w:r>
        <w:rPr>
          <w:i/>
          <w:iCs/>
        </w:rPr>
        <w:t xml:space="preserve">cutoff</w:t>
      </w:r>
      <w:r>
        <w:t xml:space="preserve">) são comparáveis em tudo, exceto pelo recebimento do tratamento. A ideia é que, em uma vizinhança estreita do limiar, a atribuição ao tratamento é</w:t>
      </w:r>
      <w:r>
        <w:t xml:space="preserve"> </w:t>
      </w:r>
      <w:r>
        <w:t xml:space="preserve">“como se fosse aleatória”</w:t>
      </w:r>
      <w:r>
        <w:t xml:space="preserve">.</w:t>
      </w:r>
    </w:p>
    <w:p>
      <w:pPr>
        <w:pStyle w:val="BodyText"/>
      </w:pPr>
      <w:r>
        <w:t xml:space="preserve">Formalmente, seja</w:t>
      </w:r>
      <w:r>
        <w:t xml:space="preserve"> </w:t>
      </w:r>
      <m:oMath>
        <m:sSub>
          <m:e>
            <m:r>
              <m:t>X</m:t>
            </m:r>
          </m:e>
          <m:sub>
            <m:r>
              <m:t>i</m:t>
            </m:r>
          </m:sub>
        </m:sSub>
      </m:oMath>
      <w:r>
        <w:t xml:space="preserve"> </w:t>
      </w:r>
      <w:r>
        <w:t xml:space="preserve">a variável de atribuição (</w:t>
      </w:r>
      <w:r>
        <w:rPr>
          <w:i/>
          <w:iCs/>
        </w:rPr>
        <w:t xml:space="preserve">running variable</w:t>
      </w:r>
      <w:r>
        <w:t xml:space="preserve">) e</w:t>
      </w:r>
      <w:r>
        <w:t xml:space="preserve"> </w:t>
      </w:r>
      <m:oMath>
        <m:r>
          <m:t>c</m:t>
        </m:r>
      </m:oMath>
      <w:r>
        <w:t xml:space="preserve"> </w:t>
      </w:r>
      <w:r>
        <w:t xml:space="preserve">o limiar. O tratamento é</w:t>
      </w:r>
      <w:r>
        <w:t xml:space="preserve"> </w:t>
      </w:r>
      <m:oMath>
        <m:sSub>
          <m:e>
            <m:r>
              <m:t>D</m:t>
            </m:r>
          </m:e>
          <m:sub>
            <m:r>
              <m:t>i</m:t>
            </m:r>
          </m:sub>
        </m:sSub>
        <m:r>
          <m:rPr>
            <m:sty m:val="p"/>
          </m:rPr>
          <m:t>=</m:t>
        </m:r>
        <m:r>
          <m:rPr>
            <m:scr m:val="double-struck"/>
            <m:sty m:val="p"/>
          </m:rPr>
          <m:t>1</m:t>
        </m:r>
        <m:r>
          <m:rPr>
            <m:sty m:val="p"/>
          </m:rPr>
          <m:t>(</m:t>
        </m:r>
        <m:sSub>
          <m:e>
            <m:r>
              <m:t>X</m:t>
            </m:r>
          </m:e>
          <m:sub>
            <m:r>
              <m:t>i</m:t>
            </m:r>
          </m:sub>
        </m:sSub>
        <m:r>
          <m:rPr>
            <m:sty m:val="p"/>
          </m:rPr>
          <m:t>≥</m:t>
        </m:r>
        <m:r>
          <m:t>c</m:t>
        </m:r>
        <m:r>
          <m:rPr>
            <m:sty m:val="p"/>
          </m:rPr>
          <m:t>)</m:t>
        </m:r>
      </m:oMath>
      <w:r>
        <w:t xml:space="preserve">. O efeito local do tratamento no limiar é:</w:t>
      </w:r>
    </w:p>
    <w:p>
      <w:pPr>
        <w:pStyle w:val="BodyText"/>
      </w:pPr>
      <m:oMathPara>
        <m:oMathParaPr>
          <m:jc m:val="center"/>
        </m:oMathParaPr>
        <m:oMath>
          <m:sSub>
            <m:e>
              <m:acc>
                <m:accPr>
                  <m:chr m:val="̂"/>
                </m:accPr>
                <m:e>
                  <m:r>
                    <m:t>τ</m:t>
                  </m:r>
                </m:e>
              </m:acc>
            </m:e>
            <m:sub>
              <m:r>
                <m:t>R</m:t>
              </m:r>
              <m:r>
                <m:t>D</m:t>
              </m:r>
              <m:r>
                <m:t>D</m:t>
              </m:r>
            </m:sub>
          </m:sSub>
          <m:r>
            <m:rPr>
              <m:sty m:val="p"/>
            </m:rPr>
            <m:t>=</m:t>
          </m:r>
          <m:limLow>
            <m:e>
              <m:r>
                <m:rPr>
                  <m:sty m:val="p"/>
                </m:rPr>
                <m:t>lim</m:t>
              </m:r>
            </m:e>
            <m:lim>
              <m:r>
                <m:t>x</m:t>
              </m:r>
              <m:r>
                <m:rPr>
                  <m:sty m:val="p"/>
                </m:rPr>
                <m:t>↓</m:t>
              </m:r>
              <m:r>
                <m:t>c</m:t>
              </m:r>
            </m:lim>
          </m:limLow>
          <m:r>
            <m:t>E</m:t>
          </m:r>
          <m:r>
            <m:rPr>
              <m:sty m:val="p"/>
            </m:rPr>
            <m:t>[</m:t>
          </m:r>
          <m:sSub>
            <m:e>
              <m:r>
                <m:t>Y</m:t>
              </m:r>
            </m:e>
            <m:sub>
              <m:r>
                <m:t>i</m:t>
              </m:r>
            </m:sub>
          </m:sSub>
          <m:r>
            <m:rPr>
              <m:sty m:val="p"/>
            </m:rPr>
            <m:t>∣</m:t>
          </m:r>
          <m:sSub>
            <m:e>
              <m:r>
                <m:t>X</m:t>
              </m:r>
            </m:e>
            <m:sub>
              <m:r>
                <m:t>i</m:t>
              </m:r>
            </m:sub>
          </m:sSub>
          <m:r>
            <m:rPr>
              <m:sty m:val="p"/>
            </m:rPr>
            <m:t>=</m:t>
          </m:r>
          <m:r>
            <m:t>x</m:t>
          </m:r>
          <m:r>
            <m:rPr>
              <m:sty m:val="p"/>
            </m:rPr>
            <m:t>]</m:t>
          </m:r>
          <m:r>
            <m:rPr>
              <m:sty m:val="p"/>
            </m:rPr>
            <m:t>−</m:t>
          </m:r>
          <m:limLow>
            <m:e>
              <m:r>
                <m:rPr>
                  <m:sty m:val="p"/>
                </m:rPr>
                <m:t>lim</m:t>
              </m:r>
            </m:e>
            <m:lim>
              <m:r>
                <m:t>x</m:t>
              </m:r>
              <m:r>
                <m:rPr>
                  <m:sty m:val="p"/>
                </m:rPr>
                <m:t>↑</m:t>
              </m:r>
              <m:r>
                <m:t>c</m:t>
              </m:r>
            </m:lim>
          </m:limLow>
          <m:r>
            <m:t>E</m:t>
          </m:r>
          <m:r>
            <m:rPr>
              <m:sty m:val="p"/>
            </m:rPr>
            <m:t>[</m:t>
          </m:r>
          <m:sSub>
            <m:e>
              <m:r>
                <m:t>Y</m:t>
              </m:r>
            </m:e>
            <m:sub>
              <m:r>
                <m:t>i</m:t>
              </m:r>
            </m:sub>
          </m:sSub>
          <m:r>
            <m:rPr>
              <m:sty m:val="p"/>
            </m:rPr>
            <m:t>∣</m:t>
          </m:r>
          <m:sSub>
            <m:e>
              <m:r>
                <m:t>X</m:t>
              </m:r>
            </m:e>
            <m:sub>
              <m:r>
                <m:t>i</m:t>
              </m:r>
            </m:sub>
          </m:sSub>
          <m:r>
            <m:rPr>
              <m:sty m:val="p"/>
            </m:rPr>
            <m:t>=</m:t>
          </m:r>
          <m:r>
            <m:t>x</m:t>
          </m:r>
          <m:r>
            <m:rPr>
              <m:sty m:val="p"/>
            </m:rPr>
            <m:t>]</m:t>
          </m:r>
        </m:oMath>
      </m:oMathPara>
    </w:p>
    <w:p>
      <w:pPr>
        <w:pStyle w:val="FirstParagraph"/>
      </w:pPr>
      <w:r>
        <w:t xml:space="preserve">isto é, a diferença nos resultados esperados imediatamente acima e abaixo do limiar. A hipótese-chave é a</w:t>
      </w:r>
      <w:r>
        <w:t xml:space="preserve"> </w:t>
      </w:r>
      <w:r>
        <w:rPr>
          <w:b/>
          <w:bCs/>
        </w:rPr>
        <w:t xml:space="preserve">continuidade</w:t>
      </w:r>
      <w:r>
        <w:t xml:space="preserve">: todas as variáveis relevantes variam continuamente em torno do limiar, de modo que a única descontinuidade é o tratamento.</w:t>
      </w:r>
    </w:p>
    <w:p>
      <w:pPr>
        <w:pStyle w:val="BodyText"/>
      </w:pPr>
      <w:r>
        <w:rPr>
          <w:b/>
          <w:bCs/>
        </w:rPr>
        <w:t xml:space="preserve">Exemplo:</w:t>
      </w:r>
      <w:r>
        <w:t xml:space="preserve"> </w:t>
      </w:r>
      <w:r>
        <w:t xml:space="preserve">Muitos programas sociais brasileiros (incluindo o Bolsa Família) utilizam limiares de renda per capita para determinar a elegibilidade. Famílias com renda logo abaixo do limiar recebem o benefício; famílias logo acima não. Comparando famílias em uma janela estreita em torno do limiar, pesquisadores identificam o efeito causal do programa.</w:t>
      </w:r>
    </w:p>
    <w:bookmarkEnd w:id="1371"/>
    <w:bookmarkStart w:id="1372" w:name="variáveis-instrumentais-iv"/>
    <w:p>
      <w:pPr>
        <w:pStyle w:val="Heading4"/>
      </w:pPr>
      <w:r>
        <w:t xml:space="preserve">22.5.4 Variáveis instrumentais (IV)</w:t>
      </w:r>
    </w:p>
    <w:p>
      <w:pPr>
        <w:pStyle w:val="FirstParagraph"/>
      </w:pPr>
      <w:r>
        <w:t xml:space="preserve">O método de</w:t>
      </w:r>
      <w:r>
        <w:t xml:space="preserve"> </w:t>
      </w:r>
      <w:r>
        <w:rPr>
          <w:b/>
          <w:bCs/>
        </w:rPr>
        <w:t xml:space="preserve">variáveis instrumentais</w:t>
      </w:r>
      <w:r>
        <w:t xml:space="preserve"> </w:t>
      </w:r>
      <w:r>
        <w:t xml:space="preserve">(</w:t>
      </w:r>
      <w:r>
        <w:rPr>
          <w:i/>
          <w:iCs/>
        </w:rPr>
        <w:t xml:space="preserve">Instrumental Variables</w:t>
      </w:r>
      <w:r>
        <w:t xml:space="preserve">, IV) resolve o problema da endogeneidade usando uma variável</w:t>
      </w:r>
      <w:r>
        <w:t xml:space="preserve"> </w:t>
      </w:r>
      <m:oMath>
        <m:r>
          <m:t>Z</m:t>
        </m:r>
      </m:oMath>
      <w:r>
        <w:t xml:space="preserve"> </w:t>
      </w:r>
      <w:r>
        <w:t xml:space="preserve">— o</w:t>
      </w:r>
      <w:r>
        <w:t xml:space="preserve"> </w:t>
      </w:r>
      <w:r>
        <w:rPr>
          <w:b/>
          <w:bCs/>
        </w:rPr>
        <w:t xml:space="preserve">instrumento</w:t>
      </w:r>
      <w:r>
        <w:t xml:space="preserve"> </w:t>
      </w:r>
      <w:r>
        <w:t xml:space="preserve">— que afeta a variável endógena</w:t>
      </w:r>
      <w:r>
        <w:t xml:space="preserve"> </w:t>
      </w:r>
      <m:oMath>
        <m:r>
          <m:t>X</m:t>
        </m:r>
      </m:oMath>
      <w:r>
        <w:t xml:space="preserve"> </w:t>
      </w:r>
      <w:r>
        <w:t xml:space="preserve">mas não afeta diretamente o resultado</w:t>
      </w:r>
      <w:r>
        <w:t xml:space="preserve"> </w:t>
      </w:r>
      <m:oMath>
        <m:r>
          <m:t>Y</m:t>
        </m:r>
      </m:oMath>
      <w:r>
        <w:t xml:space="preserve"> </w:t>
      </w:r>
      <w:r>
        <w:t xml:space="preserve">(exceto através de</w:t>
      </w:r>
      <w:r>
        <w:t xml:space="preserve"> </w:t>
      </w:r>
      <m:oMath>
        <m:r>
          <m:t>X</m:t>
        </m:r>
      </m:oMath>
      <w:r>
        <w:t xml:space="preserve">). Formalmente, o instrumento deve satisfazer:</w:t>
      </w:r>
    </w:p>
    <w:p>
      <w:pPr>
        <w:pStyle w:val="Compact"/>
        <w:numPr>
          <w:ilvl w:val="0"/>
          <w:numId w:val="2195"/>
        </w:numPr>
      </w:pPr>
      <w:r>
        <w:rPr>
          <w:b/>
          <w:bCs/>
        </w:rPr>
        <w:t xml:space="preserve">Relevância</w:t>
      </w:r>
      <w:r>
        <w:t xml:space="preserve">:</w:t>
      </w:r>
      <w:r>
        <w:t xml:space="preserve"> </w:t>
      </w:r>
      <m:oMath>
        <m:r>
          <m:rPr>
            <m:nor/>
            <m:sty m:val="p"/>
          </m:rPr>
          <m:t>Cov</m:t>
        </m:r>
        <m:r>
          <m:rPr>
            <m:sty m:val="p"/>
          </m:rPr>
          <m:t>(</m:t>
        </m:r>
        <m:r>
          <m:t>Z</m:t>
        </m:r>
        <m:r>
          <m:rPr>
            <m:sty m:val="p"/>
          </m:rPr>
          <m:t>,</m:t>
        </m:r>
        <m:r>
          <m:t>X</m:t>
        </m:r>
        <m:r>
          <m:rPr>
            <m:sty m:val="p"/>
          </m:rPr>
          <m:t>)</m:t>
        </m:r>
        <m:r>
          <m:rPr>
            <m:sty m:val="p"/>
          </m:rPr>
          <m:t>≠</m:t>
        </m:r>
        <m:r>
          <m:t>0</m:t>
        </m:r>
      </m:oMath>
      <w:r>
        <w:t xml:space="preserve"> </w:t>
      </w:r>
      <w:r>
        <w:t xml:space="preserve">— o instrumento afeta a variável endógena.</w:t>
      </w:r>
    </w:p>
    <w:p>
      <w:pPr>
        <w:pStyle w:val="Compact"/>
        <w:numPr>
          <w:ilvl w:val="0"/>
          <w:numId w:val="2195"/>
        </w:numPr>
      </w:pPr>
      <w:r>
        <w:rPr>
          <w:b/>
          <w:bCs/>
        </w:rPr>
        <w:t xml:space="preserve">Exclusão</w:t>
      </w:r>
      <w:r>
        <w:t xml:space="preserve">:</w:t>
      </w:r>
      <w:r>
        <w:t xml:space="preserve"> </w:t>
      </w:r>
      <m:oMath>
        <m:r>
          <m:rPr>
            <m:nor/>
            <m:sty m:val="p"/>
          </m:rPr>
          <m:t>Cov</m:t>
        </m:r>
        <m:r>
          <m:rPr>
            <m:sty m:val="p"/>
          </m:rPr>
          <m:t>(</m:t>
        </m:r>
        <m:r>
          <m:t>Z</m:t>
        </m:r>
        <m:r>
          <m:rPr>
            <m:sty m:val="p"/>
          </m:rPr>
          <m:t>,</m:t>
        </m:r>
        <m:r>
          <m:t>ε</m:t>
        </m:r>
        <m:r>
          <m:rPr>
            <m:sty m:val="p"/>
          </m:rPr>
          <m:t>)</m:t>
        </m:r>
        <m:r>
          <m:rPr>
            <m:sty m:val="p"/>
          </m:rPr>
          <m:t>=</m:t>
        </m:r>
        <m:r>
          <m:t>0</m:t>
        </m:r>
      </m:oMath>
      <w:r>
        <w:t xml:space="preserve"> </w:t>
      </w:r>
      <w:r>
        <w:t xml:space="preserve">— o instrumento não afeta</w:t>
      </w:r>
      <w:r>
        <w:t xml:space="preserve"> </w:t>
      </w:r>
      <m:oMath>
        <m:r>
          <m:t>Y</m:t>
        </m:r>
      </m:oMath>
      <w:r>
        <w:t xml:space="preserve"> </w:t>
      </w:r>
      <w:r>
        <w:t xml:space="preserve">por outros canais além de</w:t>
      </w:r>
      <w:r>
        <w:t xml:space="preserve"> </w:t>
      </w:r>
      <m:oMath>
        <m:r>
          <m:t>X</m:t>
        </m:r>
      </m:oMath>
      <w:r>
        <w:t xml:space="preserve">.</w:t>
      </w:r>
    </w:p>
    <w:p>
      <w:pPr>
        <w:pStyle w:val="FirstParagraph"/>
      </w:pPr>
      <w:r>
        <w:t xml:space="preserve">O estimador IV é:</w:t>
      </w:r>
    </w:p>
    <w:p>
      <w:pPr>
        <w:pStyle w:val="BodyText"/>
      </w:pPr>
      <m:oMathPara>
        <m:oMathParaPr>
          <m:jc m:val="center"/>
        </m:oMathParaPr>
        <m:oMath>
          <m:sSub>
            <m:e>
              <m:acc>
                <m:accPr>
                  <m:chr m:val="̂"/>
                </m:accPr>
                <m:e>
                  <m:r>
                    <m:t>β</m:t>
                  </m:r>
                </m:e>
              </m:acc>
            </m:e>
            <m:sub>
              <m:r>
                <m:t>I</m:t>
              </m:r>
              <m:r>
                <m:t>V</m:t>
              </m:r>
            </m:sub>
          </m:sSub>
          <m:r>
            <m:rPr>
              <m:sty m:val="p"/>
            </m:rPr>
            <m:t>=</m:t>
          </m:r>
          <m:f>
            <m:fPr>
              <m:type m:val="bar"/>
            </m:fPr>
            <m:num>
              <m:r>
                <m:rPr>
                  <m:nor/>
                  <m:sty m:val="p"/>
                </m:rPr>
                <m:t>Cov</m:t>
              </m:r>
              <m:r>
                <m:rPr>
                  <m:sty m:val="p"/>
                </m:rPr>
                <m:t>(</m:t>
              </m:r>
              <m:r>
                <m:t>Z</m:t>
              </m:r>
              <m:r>
                <m:rPr>
                  <m:sty m:val="p"/>
                </m:rPr>
                <m:t>,</m:t>
              </m:r>
              <m:r>
                <m:t>Y</m:t>
              </m:r>
              <m:r>
                <m:rPr>
                  <m:sty m:val="p"/>
                </m:rPr>
                <m:t>)</m:t>
              </m:r>
            </m:num>
            <m:den>
              <m:r>
                <m:rPr>
                  <m:nor/>
                  <m:sty m:val="p"/>
                </m:rPr>
                <m:t>Cov</m:t>
              </m:r>
              <m:r>
                <m:rPr>
                  <m:sty m:val="p"/>
                </m:rPr>
                <m:t>(</m:t>
              </m:r>
              <m:r>
                <m:t>Z</m:t>
              </m:r>
              <m:r>
                <m:rPr>
                  <m:sty m:val="p"/>
                </m:rPr>
                <m:t>,</m:t>
              </m:r>
              <m:r>
                <m:t>X</m:t>
              </m:r>
              <m:r>
                <m:rPr>
                  <m:sty m:val="p"/>
                </m:rPr>
                <m:t>)</m:t>
              </m:r>
            </m:den>
          </m:f>
        </m:oMath>
      </m:oMathPara>
    </w:p>
    <w:p>
      <w:pPr>
        <w:pStyle w:val="FirstParagraph"/>
      </w:pPr>
      <w:r>
        <w:rPr>
          <w:b/>
          <w:bCs/>
        </w:rPr>
        <w:t xml:space="preserve">Exemplo clássico: Angrist e Krueger (1991) — retornos à educação.</w:t>
      </w:r>
    </w:p>
    <w:p>
      <w:pPr>
        <w:pStyle w:val="BodyText"/>
      </w:pPr>
      <w:r>
        <w:t xml:space="preserve">Joshua Angrist e Alan Krueger usaram o</w:t>
      </w:r>
      <w:r>
        <w:t xml:space="preserve"> </w:t>
      </w:r>
      <w:r>
        <w:rPr>
          <w:b/>
          <w:bCs/>
        </w:rPr>
        <w:t xml:space="preserve">trimestre de nascimento</w:t>
      </w:r>
      <w:r>
        <w:t xml:space="preserve"> </w:t>
      </w:r>
      <w:r>
        <w:t xml:space="preserve">como instrumento para anos de escolaridade. Nos Estados Unidos, leis de obrigatoriedade escolar exigem que os alunos permaneçam na escola até completar 16 anos. Como a idade de entrada na escola depende do trimestre de nascimento, alunos nascidos no primeiro trimestre podem legalmente abandonar a escola com menos anos de escolaridade do que alunos nascidos no quarto trimestre. O trimestre de nascimento é</w:t>
      </w:r>
      <w:r>
        <w:t xml:space="preserve"> </w:t>
      </w:r>
      <w:r>
        <w:t xml:space="preserve">“como se fosse aleatório”</w:t>
      </w:r>
      <w:r>
        <w:t xml:space="preserve"> </w:t>
      </w:r>
      <w:r>
        <w:t xml:space="preserve">(pais não planejam nascimentos com base em leis de escolaridade compulsória), satisfaz a condição de relevância (afeta anos de escolaridade), e plausivelmente satisfaz a condição de exclusão (não afeta salários por outros canais além da educação).</w:t>
      </w:r>
    </w:p>
    <w:p>
      <w:pPr>
        <w:pStyle w:val="BodyText"/>
      </w:pPr>
      <w:r>
        <w:t xml:space="preserve">Os resultados indicaram retornos à educação de 7–10% por ano adicional de escolaridade — consistentes com, mas ligeiramente superiores a, estimativas por mínimos quadrados ordinários.</w:t>
      </w:r>
    </w:p>
    <w:p>
      <w:pPr>
        <w:pStyle w:val="BlockText"/>
      </w:pPr>
      <w:r>
        <w:rPr>
          <w:b/>
          <w:bCs/>
        </w:rPr>
        <w:t xml:space="preserve">[DEFINICAO] Variável instrumental (</w:t>
      </w:r>
      <w:r>
        <w:rPr>
          <w:b/>
          <w:bCs/>
          <w:i/>
          <w:iCs/>
        </w:rPr>
        <w:t xml:space="preserve">instrumental variable</w:t>
      </w:r>
      <w:r>
        <w:rPr>
          <w:b/>
          <w:bCs/>
        </w:rPr>
        <w:t xml:space="preserve">)</w:t>
      </w:r>
    </w:p>
    <w:p>
      <w:pPr>
        <w:pStyle w:val="BlockText"/>
      </w:pPr>
      <w:r>
        <w:t xml:space="preserve">Variável</w:t>
      </w:r>
      <w:r>
        <w:t xml:space="preserve"> </w:t>
      </w:r>
      <m:oMath>
        <m:r>
          <m:t>Z</m:t>
        </m:r>
      </m:oMath>
      <w:r>
        <w:t xml:space="preserve"> </w:t>
      </w:r>
      <w:r>
        <w:t xml:space="preserve">que satisfaz simultaneamente: (i)</w:t>
      </w:r>
      <w:r>
        <w:t xml:space="preserve"> </w:t>
      </w:r>
      <w:r>
        <w:rPr>
          <w:b/>
          <w:bCs/>
        </w:rPr>
        <w:t xml:space="preserve">relevância</w:t>
      </w:r>
      <w:r>
        <w:t xml:space="preserve"> </w:t>
      </w:r>
      <w:r>
        <w:t xml:space="preserve">— é correlacionada com a variável endógena</w:t>
      </w:r>
      <w:r>
        <w:t xml:space="preserve"> </w:t>
      </w:r>
      <m:oMath>
        <m:r>
          <m:t>X</m:t>
        </m:r>
      </m:oMath>
      <w:r>
        <w:t xml:space="preserve">; (ii)</w:t>
      </w:r>
      <w:r>
        <w:t xml:space="preserve"> </w:t>
      </w:r>
      <w:r>
        <w:rPr>
          <w:b/>
          <w:bCs/>
        </w:rPr>
        <w:t xml:space="preserve">exclusão</w:t>
      </w:r>
      <w:r>
        <w:t xml:space="preserve"> </w:t>
      </w:r>
      <w:r>
        <w:t xml:space="preserve">— não afeta o resultado</w:t>
      </w:r>
      <w:r>
        <w:t xml:space="preserve"> </w:t>
      </w:r>
      <m:oMath>
        <m:r>
          <m:t>Y</m:t>
        </m:r>
      </m:oMath>
      <w:r>
        <w:t xml:space="preserve"> </w:t>
      </w:r>
      <w:r>
        <w:t xml:space="preserve">por nenhum canal além de</w:t>
      </w:r>
      <w:r>
        <w:t xml:space="preserve"> </w:t>
      </w:r>
      <m:oMath>
        <m:r>
          <m:t>X</m:t>
        </m:r>
      </m:oMath>
      <w:r>
        <w:t xml:space="preserve">. Um instrumento válido permite estimar o efeito causal de</w:t>
      </w:r>
      <w:r>
        <w:t xml:space="preserve"> </w:t>
      </w:r>
      <m:oMath>
        <m:r>
          <m:t>X</m:t>
        </m:r>
      </m:oMath>
      <w:r>
        <w:t xml:space="preserve"> </w:t>
      </w:r>
      <w:r>
        <w:t xml:space="preserve">sobre</w:t>
      </w:r>
      <w:r>
        <w:t xml:space="preserve"> </w:t>
      </w:r>
      <m:oMath>
        <m:r>
          <m:t>Y</m:t>
        </m:r>
      </m:oMath>
      <w:r>
        <w:t xml:space="preserve"> </w:t>
      </w:r>
      <w:r>
        <w:t xml:space="preserve">mesmo quando</w:t>
      </w:r>
      <w:r>
        <w:t xml:space="preserve"> </w:t>
      </w:r>
      <m:oMath>
        <m:r>
          <m:t>X</m:t>
        </m:r>
      </m:oMath>
      <w:r>
        <w:t xml:space="preserve"> </w:t>
      </w:r>
      <w:r>
        <w:t xml:space="preserve">é endógena (correlacionada com fatores não-observáveis).</w:t>
      </w:r>
    </w:p>
    <w:p>
      <w:pPr>
        <w:pStyle w:val="BlockText"/>
      </w:pPr>
      <w:r>
        <w:rPr>
          <w:b/>
          <w:bCs/>
        </w:rPr>
        <w:t xml:space="preserve">[DEFINICAO] Condição de exclusão (</w:t>
      </w:r>
      <w:r>
        <w:rPr>
          <w:b/>
          <w:bCs/>
          <w:i/>
          <w:iCs/>
        </w:rPr>
        <w:t xml:space="preserve">exclusion restriction</w:t>
      </w:r>
      <w:r>
        <w:rPr>
          <w:b/>
          <w:bCs/>
        </w:rPr>
        <w:t xml:space="preserve">)</w:t>
      </w:r>
    </w:p>
    <w:p>
      <w:pPr>
        <w:pStyle w:val="BlockText"/>
      </w:pPr>
      <w:r>
        <w:t xml:space="preserve">Hipótese de que o instrumento</w:t>
      </w:r>
      <w:r>
        <w:t xml:space="preserve"> </w:t>
      </w:r>
      <m:oMath>
        <m:r>
          <m:t>Z</m:t>
        </m:r>
      </m:oMath>
      <w:r>
        <w:t xml:space="preserve"> </w:t>
      </w:r>
      <w:r>
        <w:t xml:space="preserve">afeta o resultado</w:t>
      </w:r>
      <w:r>
        <w:t xml:space="preserve"> </w:t>
      </w:r>
      <m:oMath>
        <m:r>
          <m:t>Y</m:t>
        </m:r>
      </m:oMath>
      <w:r>
        <w:t xml:space="preserve"> </w:t>
      </w:r>
      <w:r>
        <w:rPr>
          <w:i/>
          <w:iCs/>
        </w:rPr>
        <w:t xml:space="preserve">apenas</w:t>
      </w:r>
      <w:r>
        <w:t xml:space="preserve"> </w:t>
      </w:r>
      <w:r>
        <w:t xml:space="preserve">através da variável endógena</w:t>
      </w:r>
      <w:r>
        <w:t xml:space="preserve"> </w:t>
      </w:r>
      <m:oMath>
        <m:r>
          <m:t>X</m:t>
        </m:r>
      </m:oMath>
      <w:r>
        <w:t xml:space="preserve">:</w:t>
      </w:r>
      <w:r>
        <w:t xml:space="preserve"> </w:t>
      </w:r>
      <m:oMath>
        <m:r>
          <m:rPr>
            <m:nor/>
            <m:sty m:val="p"/>
          </m:rPr>
          <m:t>Cov</m:t>
        </m:r>
        <m:r>
          <m:rPr>
            <m:sty m:val="p"/>
          </m:rPr>
          <m:t>(</m:t>
        </m:r>
        <m:r>
          <m:t>Z</m:t>
        </m:r>
        <m:r>
          <m:rPr>
            <m:sty m:val="p"/>
          </m:rPr>
          <m:t>,</m:t>
        </m:r>
        <m:r>
          <m:t>ε</m:t>
        </m:r>
        <m:r>
          <m:rPr>
            <m:sty m:val="p"/>
          </m:rPr>
          <m:t>)</m:t>
        </m:r>
        <m:r>
          <m:rPr>
            <m:sty m:val="p"/>
          </m:rPr>
          <m:t>=</m:t>
        </m:r>
        <m:r>
          <m:t>0</m:t>
        </m:r>
      </m:oMath>
      <w:r>
        <w:t xml:space="preserve">. Essa hipótese é não-testável em modelos exatamente identificados (um instrumento para uma variável endógena) e constitui o</w:t>
      </w:r>
      <w:r>
        <w:t xml:space="preserve"> </w:t>
      </w:r>
      <w:r>
        <w:t xml:space="preserve">“calcanhar de Aquiles”</w:t>
      </w:r>
      <w:r>
        <w:t xml:space="preserve"> </w:t>
      </w:r>
      <w:r>
        <w:t xml:space="preserve">do método IV — se violada, a estimativa é inconsistente.</w:t>
      </w:r>
    </w:p>
    <w:p>
      <w:pPr>
        <w:pStyle w:val="BlockText"/>
      </w:pPr>
      <w:r>
        <w:rPr>
          <w:b/>
          <w:bCs/>
        </w:rPr>
        <w:t xml:space="preserve">[EXEMPLO] Exercício Resolvido 22.3 — Diff-in-diff da Lei Seca no Brasil</w:t>
      </w:r>
    </w:p>
    <w:p>
      <w:pPr>
        <w:pStyle w:val="BlockText"/>
      </w:pPr>
      <w:r>
        <w:rPr>
          <w:b/>
          <w:bCs/>
        </w:rPr>
        <w:t xml:space="preserve">Enunciado.</w:t>
      </w:r>
      <w:r>
        <w:t xml:space="preserve"> </w:t>
      </w:r>
      <w:r>
        <w:t xml:space="preserve">A</w:t>
      </w:r>
      <w:r>
        <w:t xml:space="preserve"> </w:t>
      </w:r>
      <w:r>
        <w:t xml:space="preserve">“Lei Seca”</w:t>
      </w:r>
      <w:r>
        <w:t xml:space="preserve"> </w:t>
      </w:r>
      <w:r>
        <w:t xml:space="preserve">(Lei 11.705/2008) proibiu a venda de bebidas alcoólicas em rodovias federais e reduziu o limite de alcoolemia permitido para dirigir de 0,6 g/L para zero. Um pesquisador quer estimar o efeito causal da lei sobre mortes no trânsito. Dados disponíveis: mortes mensais por município, 2006–2010 (pré: 2006–07; pós: 2009–10).</w:t>
      </w:r>
    </w:p>
    <w:p>
      <w:pPr>
        <w:pStyle w:val="BlockText"/>
        <w:numPr>
          <w:ilvl w:val="0"/>
          <w:numId w:val="2196"/>
        </w:numPr>
      </w:pPr>
      <w:r>
        <w:t xml:space="preserve">Proponha um design de diff-in-diff. Quem é o grupo de tratamento e quem é o controle?</w:t>
      </w:r>
    </w:p>
    <w:p>
      <w:pPr>
        <w:pStyle w:val="BlockText"/>
        <w:numPr>
          <w:ilvl w:val="0"/>
          <w:numId w:val="2196"/>
        </w:numPr>
      </w:pPr>
      <w:r>
        <w:t xml:space="preserve">Qual é a hipótese de tendências paralelas neste contexto? Ela é plausível?</w:t>
      </w:r>
    </w:p>
    <w:p>
      <w:pPr>
        <w:pStyle w:val="BlockText"/>
        <w:numPr>
          <w:ilvl w:val="0"/>
          <w:numId w:val="2196"/>
        </w:numPr>
      </w:pPr>
      <w:r>
        <w:t xml:space="preserve">Suponha que os dados mostram: mortes no tratamento caem de 50 para 38; mortes no controle caem de 40 para 35. Calcule o efeito DiD.</w:t>
      </w:r>
    </w:p>
    <w:p>
      <w:pPr>
        <w:pStyle w:val="BlockText"/>
      </w:pPr>
      <w:r>
        <w:rPr>
          <w:b/>
          <w:bCs/>
        </w:rPr>
        <w:t xml:space="preserve">Solução.</w:t>
      </w:r>
    </w:p>
    <w:p>
      <w:pPr>
        <w:pStyle w:val="BlockText"/>
      </w:pPr>
      <w:r>
        <w:rPr>
          <w:b/>
          <w:bCs/>
        </w:rPr>
        <w:t xml:space="preserve">(a)</w:t>
      </w:r>
      <w:r>
        <w:t xml:space="preserve"> </w:t>
      </w:r>
      <w:r>
        <w:t xml:space="preserve">A Lei Seca é federal e se aplica a todos os municípios — não há grupo de controle</w:t>
      </w:r>
      <w:r>
        <w:t xml:space="preserve"> </w:t>
      </w:r>
      <w:r>
        <w:t xml:space="preserve">“puro”</w:t>
      </w:r>
      <w:r>
        <w:t xml:space="preserve">. Estratégia: usar</w:t>
      </w:r>
      <w:r>
        <w:t xml:space="preserve"> </w:t>
      </w:r>
      <w:r>
        <w:rPr>
          <w:b/>
          <w:bCs/>
        </w:rPr>
        <w:t xml:space="preserve">intensidade de tratamento</w:t>
      </w:r>
      <w:r>
        <w:t xml:space="preserve">. Municípios com muitos bares em rodovias (alta intensidade) vs. municípios sem bares em rodovias (baixa intensidade). Alternativa: municípios com alta fiscalização (que efetivamente implementaram a lei) vs. baixa fiscalização.</w:t>
      </w:r>
    </w:p>
    <w:p>
      <w:pPr>
        <w:pStyle w:val="BlockText"/>
      </w:pPr>
      <w:r>
        <w:rPr>
          <w:b/>
          <w:bCs/>
        </w:rPr>
        <w:t xml:space="preserve">(b)</w:t>
      </w:r>
      <w:r>
        <w:t xml:space="preserve"> </w:t>
      </w:r>
      <w:r>
        <w:t xml:space="preserve">Tendências paralelas: na ausência da Lei Seca, municípios de alta e baixa intensidade teriam seguido trajetórias de mortalidade semelhantes. Plausibilidade: razoável se ambos os tipos de município estavam sujeitos às mesmas tendências macroeconômicas (crescimento econômico, melhoria de rodovias). Ameaça: municípios com mais bares em rodovias podem ter tendências de mortalidade diferentes por outras razões (mais tráfego pesado, rodovias piores).</w:t>
      </w:r>
    </w:p>
    <w:p>
      <w:pPr>
        <w:pStyle w:val="BlockText"/>
      </w:pPr>
      <w:r>
        <w:rPr>
          <w:b/>
          <w:bCs/>
        </w:rPr>
        <w:t xml:space="preserve">(c)</w:t>
      </w:r>
      <w:r>
        <w:t xml:space="preserve"> </w:t>
      </w:r>
      <m:oMath>
        <m:sSub>
          <m:e>
            <m:acc>
              <m:accPr>
                <m:chr m:val="̂"/>
              </m:accPr>
              <m:e>
                <m:r>
                  <m:t>τ</m:t>
                </m:r>
              </m:e>
            </m:acc>
          </m:e>
          <m:sub>
            <m:r>
              <m:t>D</m:t>
            </m:r>
            <m:r>
              <m:t>D</m:t>
            </m:r>
          </m:sub>
        </m:sSub>
        <m:r>
          <m:rPr>
            <m:sty m:val="p"/>
          </m:rPr>
          <m:t>=</m:t>
        </m:r>
        <m:r>
          <m:rPr>
            <m:sty m:val="p"/>
          </m:rPr>
          <m:t>(</m:t>
        </m:r>
        <m:r>
          <m:t>38</m:t>
        </m:r>
        <m:r>
          <m:rPr>
            <m:sty m:val="p"/>
          </m:rPr>
          <m:t>−</m:t>
        </m:r>
        <m:r>
          <m:t>50</m:t>
        </m:r>
        <m:r>
          <m:rPr>
            <m:sty m:val="p"/>
          </m:rPr>
          <m:t>)</m:t>
        </m:r>
        <m:r>
          <m:rPr>
            <m:sty m:val="p"/>
          </m:rPr>
          <m:t>−</m:t>
        </m:r>
        <m:r>
          <m:rPr>
            <m:sty m:val="p"/>
          </m:rPr>
          <m:t>(</m:t>
        </m:r>
        <m:r>
          <m:t>35</m:t>
        </m:r>
        <m:r>
          <m:rPr>
            <m:sty m:val="p"/>
          </m:rPr>
          <m:t>−</m:t>
        </m:r>
        <m:r>
          <m:t>40</m:t>
        </m:r>
        <m:r>
          <m:rPr>
            <m:sty m:val="p"/>
          </m:rPr>
          <m:t>)</m:t>
        </m:r>
        <m:r>
          <m:rPr>
            <m:sty m:val="p"/>
          </m:rPr>
          <m:t>=</m:t>
        </m:r>
        <m:r>
          <m:rPr>
            <m:sty m:val="p"/>
          </m:rPr>
          <m:t>(</m:t>
        </m:r>
        <m:r>
          <m:rPr>
            <m:sty m:val="p"/>
          </m:rPr>
          <m:t>−</m:t>
        </m:r>
        <m:r>
          <m:t>12</m:t>
        </m:r>
        <m:r>
          <m:rPr>
            <m:sty m:val="p"/>
          </m:rPr>
          <m:t>)</m:t>
        </m:r>
        <m:r>
          <m:rPr>
            <m:sty m:val="p"/>
          </m:rPr>
          <m:t>−</m:t>
        </m:r>
        <m:r>
          <m:rPr>
            <m:sty m:val="p"/>
          </m:rPr>
          <m:t>(</m:t>
        </m:r>
        <m:r>
          <m:rPr>
            <m:sty m:val="p"/>
          </m:rPr>
          <m:t>−</m:t>
        </m:r>
        <m:r>
          <m:t>5</m:t>
        </m:r>
        <m:r>
          <m:rPr>
            <m:sty m:val="p"/>
          </m:rPr>
          <m:t>)</m:t>
        </m:r>
        <m:r>
          <m:rPr>
            <m:sty m:val="p"/>
          </m:rPr>
          <m:t>=</m:t>
        </m:r>
        <m:r>
          <m:rPr>
            <m:sty m:val="p"/>
          </m:rPr>
          <m:t>−</m:t>
        </m:r>
        <m:r>
          <m:t>7</m:t>
        </m:r>
      </m:oMath>
      <w:r>
        <w:t xml:space="preserve"> </w:t>
      </w:r>
      <w:r>
        <w:t xml:space="preserve">mortes. A Lei Seca reduziu as mortes em 7 unidades a mais no grupo de alta intensidade — efeito causal estimado.</w:t>
      </w:r>
    </w:p>
    <w:p>
      <w:pPr>
        <w:pStyle w:val="BlockText"/>
      </w:pPr>
      <w:r>
        <w:rPr>
          <w:b/>
          <w:bCs/>
        </w:rPr>
        <w:t xml:space="preserve">[BOX BRASIL] Brasil na Prática — PNAD Contínua como fonte de identificação para quase-experimentos</w:t>
      </w:r>
    </w:p>
    <w:p>
      <w:pPr>
        <w:pStyle w:val="BlockText"/>
      </w:pPr>
      <w:r>
        <w:rPr>
          <w:b/>
          <w:bCs/>
        </w:rPr>
        <w:t xml:space="preserve">Contexto:</w:t>
      </w:r>
      <w:r>
        <w:t xml:space="preserve"> </w:t>
      </w:r>
      <w:r>
        <w:t xml:space="preserve">A Pesquisa Nacional por Amostra de Domicílios Contínua (PNAD Contínua) do IBGE é uma das bases de dados mais ricas do mundo para pesquisa em economia do trabalho e políticas públicas. Com entrevistas trimestrais a ~211 mil domicílios (cobrindo ~550 mil pessoas), a PNAD Contínua permite acompanhar os mesmos domicílios por até 5 trimestres consecutivos (painel rotativo).</w:t>
      </w:r>
    </w:p>
    <w:p>
      <w:pPr>
        <w:pStyle w:val="BlockText"/>
      </w:pPr>
      <w:r>
        <w:rPr>
          <w:b/>
          <w:bCs/>
        </w:rPr>
        <w:t xml:space="preserve">Dados e usos em quase-experimentos:</w:t>
      </w:r>
      <w:r>
        <w:t xml:space="preserve"> </w:t>
      </w:r>
      <w:r>
        <w:t xml:space="preserve">A estrutura de painel da PNAD Contínua permite implementar todos os métodos discutidos neste capítulo. Diff-in-diff: comparar trabalhadores formais vs. informais antes e depois de mudanças na legislação trabalhista (reforma trabalhista de 2017). RDD: usar limiares de idade para elegibilidade a programas (aposentadoria rural aos 55/60 anos). IV: usar distância a campus universitário como instrumento para educação (similar a Card, 1995).</w:t>
      </w:r>
    </w:p>
    <w:p>
      <w:pPr>
        <w:pStyle w:val="BlockText"/>
      </w:pPr>
      <w:r>
        <w:rPr>
          <w:b/>
          <w:bCs/>
        </w:rPr>
        <w:t xml:space="preserve">Exemplo:</w:t>
      </w:r>
      <w:r>
        <w:t xml:space="preserve"> </w:t>
      </w:r>
      <w:r>
        <w:t xml:space="preserve">Machado e Gonzaga (2024,</w:t>
      </w:r>
      <w:r>
        <w:t xml:space="preserve"> </w:t>
      </w:r>
      <w:r>
        <w:rPr>
          <w:i/>
          <w:iCs/>
        </w:rPr>
        <w:t xml:space="preserve">Economia Aplicada</w:t>
      </w:r>
      <w:r>
        <w:t xml:space="preserve">) usaram a PNAD Contínua com design DiD para estimar o efeito da reforma trabalhista de 2017 sobre a informalidade. Compararam trabalhadores em setores mais afetados pela flexibilização (tratamento) com setores menos afetados (controle). Resultado: aumento de 2,3 pontos percentuais na informalidade nos setores tratados — consistente com a teoria de que a redução de custos de demissão incentiva contratos informais.</w:t>
      </w:r>
    </w:p>
    <w:p>
      <w:pPr>
        <w:pStyle w:val="BlockText"/>
      </w:pPr>
      <w:r>
        <w:rPr>
          <w:b/>
          <w:bCs/>
        </w:rPr>
        <w:t xml:space="preserve">Fonte:</w:t>
      </w:r>
      <w:r>
        <w:t xml:space="preserve"> </w:t>
      </w:r>
      <w:r>
        <w:t xml:space="preserve">IBGE — PNAD Contínua. Disponível em</w:t>
      </w:r>
      <w:r>
        <w:t xml:space="preserve"> </w:t>
      </w:r>
      <w:hyperlink r:id="rId34">
        <w:r>
          <w:rPr>
            <w:rStyle w:val="Hyperlink"/>
          </w:rPr>
          <w:t xml:space="preserve">ibge.gov.br</w:t>
        </w:r>
      </w:hyperlink>
      <w:r>
        <w:t xml:space="preserve">.</w:t>
      </w:r>
    </w:p>
    <w:p>
      <w:pPr>
        <w:pStyle w:val="BlockText"/>
      </w:pPr>
      <w:r>
        <w:rPr>
          <w:b/>
          <w:bCs/>
        </w:rPr>
        <w:t xml:space="preserve">[R-INTERACTIVE] R Interativo — Simulação de RCT: Efeito Médio do Tratamento</w:t>
      </w:r>
    </w:p>
    <w:p>
      <w:pPr>
        <w:pStyle w:val="SourceCode"/>
      </w:pPr>
      <w:r>
        <w:rPr>
          <w:rStyle w:val="CommentTok"/>
        </w:rPr>
        <w:t xml:space="preserve"># Simulação de Randomized Controlled Trial (RCT)</w:t>
      </w:r>
      <w:r>
        <w:br/>
      </w:r>
      <w:r>
        <w:rPr>
          <w:rStyle w:val="CommentTok"/>
        </w:rPr>
        <w:t xml:space="preserve"># Demonstra: randomização, estimação do ATE, intervalo de confiança</w:t>
      </w:r>
      <w:r>
        <w:br/>
      </w:r>
      <w:r>
        <w:br/>
      </w: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Parâmetros (altere para explorar)</w:t>
      </w:r>
      <w:r>
        <w:br/>
      </w:r>
      <w:r>
        <w:rPr>
          <w:rStyle w:val="NormalTok"/>
        </w:rPr>
        <w:t xml:space="preserve">n        </w:t>
      </w:r>
      <w:r>
        <w:rPr>
          <w:rStyle w:val="OtherTok"/>
        </w:rPr>
        <w:t xml:space="preserve">&lt;-</w:t>
      </w:r>
      <w:r>
        <w:rPr>
          <w:rStyle w:val="NormalTok"/>
        </w:rPr>
        <w:t xml:space="preserve"> </w:t>
      </w:r>
      <w:r>
        <w:rPr>
          <w:rStyle w:val="DecValTok"/>
        </w:rPr>
        <w:t xml:space="preserve">500</w:t>
      </w:r>
      <w:r>
        <w:rPr>
          <w:rStyle w:val="NormalTok"/>
        </w:rPr>
        <w:t xml:space="preserve">    </w:t>
      </w:r>
      <w:r>
        <w:rPr>
          <w:rStyle w:val="CommentTok"/>
        </w:rPr>
        <w:t xml:space="preserve"># tamanho da amostra</w:t>
      </w:r>
      <w:r>
        <w:br/>
      </w:r>
      <w:r>
        <w:rPr>
          <w:rStyle w:val="NormalTok"/>
        </w:rPr>
        <w:t xml:space="preserve">ate_real </w:t>
      </w:r>
      <w:r>
        <w:rPr>
          <w:rStyle w:val="OtherTok"/>
        </w:rPr>
        <w:t xml:space="preserve">&lt;-</w:t>
      </w:r>
      <w:r>
        <w:rPr>
          <w:rStyle w:val="NormalTok"/>
        </w:rPr>
        <w:t xml:space="preserve"> </w:t>
      </w:r>
      <w:r>
        <w:rPr>
          <w:rStyle w:val="FloatTok"/>
        </w:rPr>
        <w:t xml:space="preserve">3.0</w:t>
      </w:r>
      <w:r>
        <w:rPr>
          <w:rStyle w:val="NormalTok"/>
        </w:rPr>
        <w:t xml:space="preserve">    </w:t>
      </w:r>
      <w:r>
        <w:rPr>
          <w:rStyle w:val="CommentTok"/>
        </w:rPr>
        <w:t xml:space="preserve"># efeito verdadeiro do tratamento</w:t>
      </w:r>
      <w:r>
        <w:br/>
      </w:r>
      <w:r>
        <w:rPr>
          <w:rStyle w:val="NormalTok"/>
        </w:rPr>
        <w:t xml:space="preserve">sigma    </w:t>
      </w:r>
      <w:r>
        <w:rPr>
          <w:rStyle w:val="OtherTok"/>
        </w:rPr>
        <w:t xml:space="preserve">&lt;-</w:t>
      </w:r>
      <w:r>
        <w:rPr>
          <w:rStyle w:val="NormalTok"/>
        </w:rPr>
        <w:t xml:space="preserve"> </w:t>
      </w:r>
      <w:r>
        <w:rPr>
          <w:rStyle w:val="FloatTok"/>
        </w:rPr>
        <w:t xml:space="preserve">5.0</w:t>
      </w:r>
      <w:r>
        <w:rPr>
          <w:rStyle w:val="NormalTok"/>
        </w:rPr>
        <w:t xml:space="preserve">    </w:t>
      </w:r>
      <w:r>
        <w:rPr>
          <w:rStyle w:val="CommentTok"/>
        </w:rPr>
        <w:t xml:space="preserve"># desvio-padrão do resultado</w:t>
      </w:r>
      <w:r>
        <w:br/>
      </w:r>
      <w:r>
        <w:br/>
      </w:r>
      <w:r>
        <w:rPr>
          <w:rStyle w:val="CommentTok"/>
        </w:rPr>
        <w:t xml:space="preserve"># Gerar dados</w:t>
      </w:r>
      <w:r>
        <w:br/>
      </w:r>
      <w:r>
        <w:rPr>
          <w:rStyle w:val="NormalTok"/>
        </w:rPr>
        <w:t xml:space="preserve">tratamento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n,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CommentTok"/>
        </w:rPr>
        <w:t xml:space="preserve"># randomização</w:t>
      </w:r>
      <w:r>
        <w:br/>
      </w:r>
      <w:r>
        <w:rPr>
          <w:rStyle w:val="NormalTok"/>
        </w:rPr>
        <w:t xml:space="preserve">y0 </w:t>
      </w:r>
      <w:r>
        <w:rPr>
          <w:rStyle w:val="OtherTok"/>
        </w:rPr>
        <w:t xml:space="preserve">&lt;-</w:t>
      </w:r>
      <w:r>
        <w:rPr>
          <w:rStyle w:val="NormalTok"/>
        </w:rPr>
        <w:t xml:space="preserve"> </w:t>
      </w:r>
      <w:r>
        <w:rPr>
          <w:rStyle w:val="FunctionTok"/>
        </w:rPr>
        <w:t xml:space="preserve">rnorm</w:t>
      </w:r>
      <w:r>
        <w:rPr>
          <w:rStyle w:val="NormalTok"/>
        </w:rPr>
        <w:t xml:space="preserve">(n, </w:t>
      </w:r>
      <w:r>
        <w:rPr>
          <w:rStyle w:val="AttributeTok"/>
        </w:rPr>
        <w:t xml:space="preserve">mean =</w:t>
      </w:r>
      <w:r>
        <w:rPr>
          <w:rStyle w:val="NormalTok"/>
        </w:rPr>
        <w:t xml:space="preserve"> </w:t>
      </w:r>
      <w:r>
        <w:rPr>
          <w:rStyle w:val="DecValTok"/>
        </w:rPr>
        <w:t xml:space="preserve">10</w:t>
      </w:r>
      <w:r>
        <w:rPr>
          <w:rStyle w:val="NormalTok"/>
        </w:rPr>
        <w:t xml:space="preserve">, </w:t>
      </w:r>
      <w:r>
        <w:rPr>
          <w:rStyle w:val="AttributeTok"/>
        </w:rPr>
        <w:t xml:space="preserve">sd =</w:t>
      </w:r>
      <w:r>
        <w:rPr>
          <w:rStyle w:val="NormalTok"/>
        </w:rPr>
        <w:t xml:space="preserve"> sigma)              </w:t>
      </w:r>
      <w:r>
        <w:rPr>
          <w:rStyle w:val="CommentTok"/>
        </w:rPr>
        <w:t xml:space="preserve"># resultado potencial sem tratamento</w:t>
      </w:r>
      <w:r>
        <w:br/>
      </w:r>
      <w:r>
        <w:rPr>
          <w:rStyle w:val="NormalTok"/>
        </w:rPr>
        <w:t xml:space="preserve">y1 </w:t>
      </w:r>
      <w:r>
        <w:rPr>
          <w:rStyle w:val="OtherTok"/>
        </w:rPr>
        <w:t xml:space="preserve">&lt;-</w:t>
      </w:r>
      <w:r>
        <w:rPr>
          <w:rStyle w:val="NormalTok"/>
        </w:rPr>
        <w:t xml:space="preserve"> y0 </w:t>
      </w:r>
      <w:r>
        <w:rPr>
          <w:rStyle w:val="SpecialCharTok"/>
        </w:rPr>
        <w:t xml:space="preserve">+</w:t>
      </w:r>
      <w:r>
        <w:rPr>
          <w:rStyle w:val="NormalTok"/>
        </w:rPr>
        <w:t xml:space="preserve"> ate_real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AttributeTok"/>
        </w:rPr>
        <w:t xml:space="preserve">sd =</w:t>
      </w:r>
      <w:r>
        <w:rPr>
          <w:rStyle w:val="NormalTok"/>
        </w:rPr>
        <w:t xml:space="preserve"> </w:t>
      </w:r>
      <w:r>
        <w:rPr>
          <w:rStyle w:val="DecValTok"/>
        </w:rPr>
        <w:t xml:space="preserve">1</w:t>
      </w:r>
      <w:r>
        <w:rPr>
          <w:rStyle w:val="NormalTok"/>
        </w:rPr>
        <w:t xml:space="preserve">)             </w:t>
      </w:r>
      <w:r>
        <w:rPr>
          <w:rStyle w:val="CommentTok"/>
        </w:rPr>
        <w:t xml:space="preserve"># resultado potencial com tratamento</w:t>
      </w:r>
      <w:r>
        <w:br/>
      </w:r>
      <w:r>
        <w:rPr>
          <w:rStyle w:val="NormalTok"/>
        </w:rPr>
        <w:t xml:space="preserve">y_obs </w:t>
      </w:r>
      <w:r>
        <w:rPr>
          <w:rStyle w:val="OtherTok"/>
        </w:rPr>
        <w:t xml:space="preserve">&lt;-</w:t>
      </w:r>
      <w:r>
        <w:rPr>
          <w:rStyle w:val="NormalTok"/>
        </w:rPr>
        <w:t xml:space="preserve"> </w:t>
      </w:r>
      <w:r>
        <w:rPr>
          <w:rStyle w:val="FunctionTok"/>
        </w:rPr>
        <w:t xml:space="preserve">ifelse</w:t>
      </w:r>
      <w:r>
        <w:rPr>
          <w:rStyle w:val="NormalTok"/>
        </w:rPr>
        <w:t xml:space="preserve">(tratamento </w:t>
      </w:r>
      <w:r>
        <w:rPr>
          <w:rStyle w:val="SpecialCharTok"/>
        </w:rPr>
        <w:t xml:space="preserve">==</w:t>
      </w:r>
      <w:r>
        <w:rPr>
          <w:rStyle w:val="NormalTok"/>
        </w:rPr>
        <w:t xml:space="preserve"> </w:t>
      </w:r>
      <w:r>
        <w:rPr>
          <w:rStyle w:val="DecValTok"/>
        </w:rPr>
        <w:t xml:space="preserve">1</w:t>
      </w:r>
      <w:r>
        <w:rPr>
          <w:rStyle w:val="NormalTok"/>
        </w:rPr>
        <w:t xml:space="preserve">, y1, y0)           </w:t>
      </w:r>
      <w:r>
        <w:rPr>
          <w:rStyle w:val="CommentTok"/>
        </w:rPr>
        <w:t xml:space="preserve"># resultado observado</w:t>
      </w:r>
      <w:r>
        <w:br/>
      </w:r>
      <w:r>
        <w:br/>
      </w:r>
      <w:r>
        <w:rPr>
          <w:rStyle w:val="CommentTok"/>
        </w:rPr>
        <w:t xml:space="preserve"># Estimar ATE</w:t>
      </w:r>
      <w:r>
        <w:br/>
      </w:r>
      <w:r>
        <w:rPr>
          <w:rStyle w:val="NormalTok"/>
        </w:rPr>
        <w:t xml:space="preserve">ate_hat </w:t>
      </w:r>
      <w:r>
        <w:rPr>
          <w:rStyle w:val="OtherTok"/>
        </w:rPr>
        <w:t xml:space="preserve">&lt;-</w:t>
      </w:r>
      <w:r>
        <w:rPr>
          <w:rStyle w:val="NormalTok"/>
        </w:rPr>
        <w:t xml:space="preserve"> </w:t>
      </w:r>
      <w:r>
        <w:rPr>
          <w:rStyle w:val="FunctionTok"/>
        </w:rPr>
        <w:t xml:space="preserve">mean</w:t>
      </w:r>
      <w:r>
        <w:rPr>
          <w:rStyle w:val="NormalTok"/>
        </w:rPr>
        <w:t xml:space="preserve">(y_obs[tratamento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(y_obs[tratamento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se_hat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var</w:t>
      </w:r>
      <w:r>
        <w:rPr>
          <w:rStyle w:val="NormalTok"/>
        </w:rPr>
        <w:t xml:space="preserve">(y_obs[tratamento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FunctionTok"/>
        </w:rPr>
        <w:t xml:space="preserve">sum</w:t>
      </w:r>
      <w:r>
        <w:rPr>
          <w:rStyle w:val="NormalTok"/>
        </w:rPr>
        <w:t xml:space="preserve">(tratamento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var</w:t>
      </w:r>
      <w:r>
        <w:rPr>
          <w:rStyle w:val="NormalTok"/>
        </w:rPr>
        <w:t xml:space="preserve">(y_obs[tratamento </w:t>
      </w:r>
      <w:r>
        <w:rPr>
          <w:rStyle w:val="SpecialCha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FunctionTok"/>
        </w:rPr>
        <w:t xml:space="preserve">sum</w:t>
      </w:r>
      <w:r>
        <w:rPr>
          <w:rStyle w:val="NormalTok"/>
        </w:rPr>
        <w:t xml:space="preserve">(tratamento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ic_lower </w:t>
      </w:r>
      <w:r>
        <w:rPr>
          <w:rStyle w:val="OtherTok"/>
        </w:rPr>
        <w:t xml:space="preserve">&lt;-</w:t>
      </w:r>
      <w:r>
        <w:rPr>
          <w:rStyle w:val="NormalTok"/>
        </w:rPr>
        <w:t xml:space="preserve"> ate_hat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se_hat</w:t>
      </w:r>
      <w:r>
        <w:br/>
      </w:r>
      <w:r>
        <w:rPr>
          <w:rStyle w:val="NormalTok"/>
        </w:rPr>
        <w:t xml:space="preserve">ic_upper </w:t>
      </w:r>
      <w:r>
        <w:rPr>
          <w:rStyle w:val="OtherTok"/>
        </w:rPr>
        <w:t xml:space="preserve">&lt;-</w:t>
      </w:r>
      <w:r>
        <w:rPr>
          <w:rStyle w:val="NormalTok"/>
        </w:rPr>
        <w:t xml:space="preserve"> ate_hat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se_hat</w:t>
      </w:r>
      <w:r>
        <w:br/>
      </w:r>
      <w:r>
        <w:br/>
      </w:r>
      <w:r>
        <w:rPr>
          <w:rStyle w:val="CommentTok"/>
        </w:rPr>
        <w:t xml:space="preserve"># Visualização</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Painel 1: distribuições</w:t>
      </w:r>
      <w:r>
        <w:br/>
      </w:r>
      <w:r>
        <w:rPr>
          <w:rStyle w:val="FunctionTok"/>
        </w:rPr>
        <w:t xml:space="preserve">hist</w:t>
      </w:r>
      <w:r>
        <w:rPr>
          <w:rStyle w:val="NormalTok"/>
        </w:rPr>
        <w:t xml:space="preserve">(y_obs[tratamento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FunctionTok"/>
        </w:rPr>
        <w:t xml:space="preserve">rgb</w:t>
      </w:r>
      <w:r>
        <w:rPr>
          <w:rStyle w:val="NormalTok"/>
        </w:rPr>
        <w:t xml:space="preserve">(</w:t>
      </w:r>
      <w:r>
        <w:rPr>
          <w:rStyle w:val="FloatTok"/>
        </w:rPr>
        <w:t xml:space="preserve">0.2</w:t>
      </w:r>
      <w:r>
        <w:rPr>
          <w:rStyle w:val="NormalTok"/>
        </w:rPr>
        <w:t xml:space="preserve">, </w:t>
      </w:r>
      <w:r>
        <w:rPr>
          <w:rStyle w:val="FloatTok"/>
        </w:rPr>
        <w:t xml:space="preserve">0.4</w:t>
      </w:r>
      <w:r>
        <w:rPr>
          <w:rStyle w:val="NormalTok"/>
        </w:rPr>
        <w:t xml:space="preserve">, </w:t>
      </w:r>
      <w:r>
        <w:rPr>
          <w:rStyle w:val="FloatTok"/>
        </w:rPr>
        <w:t xml:space="preserve">0.8</w:t>
      </w:r>
      <w:r>
        <w:rPr>
          <w:rStyle w:val="NormalTok"/>
        </w:rPr>
        <w:t xml:space="preserve">, </w:t>
      </w:r>
      <w:r>
        <w:rPr>
          <w:rStyle w:val="FloatTok"/>
        </w:rPr>
        <w:t xml:space="preserve">0.5</w:t>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"Distribuição dos Resultados"</w:t>
      </w:r>
      <w:r>
        <w:rPr>
          <w:rStyle w:val="NormalTok"/>
        </w:rPr>
        <w:t xml:space="preserve">, </w:t>
      </w:r>
      <w:r>
        <w:rPr>
          <w:rStyle w:val="AttributeTok"/>
        </w:rPr>
        <w:t xml:space="preserve">xlab =</w:t>
      </w:r>
      <w:r>
        <w:rPr>
          <w:rStyle w:val="NormalTok"/>
        </w:rPr>
        <w:t xml:space="preserve"> </w:t>
      </w:r>
      <w:r>
        <w:rPr>
          <w:rStyle w:val="StringTok"/>
        </w:rPr>
        <w:t xml:space="preserve">"Y"</w:t>
      </w:r>
      <w:r>
        <w:rPr>
          <w:rStyle w:val="NormalTok"/>
        </w:rPr>
        <w:t xml:space="preserve">, </w:t>
      </w:r>
      <w:r>
        <w:rPr>
          <w:rStyle w:val="AttributeTok"/>
        </w:rPr>
        <w:t xml:space="preserve">xlim =</w:t>
      </w:r>
      <w:r>
        <w:rPr>
          <w:rStyle w:val="NormalTok"/>
        </w:rPr>
        <w:t xml:space="preserve"> </w:t>
      </w:r>
      <w:r>
        <w:rPr>
          <w:rStyle w:val="FunctionTok"/>
        </w:rPr>
        <w:t xml:space="preserve">range</w:t>
      </w:r>
      <w:r>
        <w:rPr>
          <w:rStyle w:val="NormalTok"/>
        </w:rPr>
        <w:t xml:space="preserve">(y_obs))</w:t>
      </w:r>
      <w:r>
        <w:br/>
      </w:r>
      <w:r>
        <w:rPr>
          <w:rStyle w:val="FunctionTok"/>
        </w:rPr>
        <w:t xml:space="preserve">hist</w:t>
      </w:r>
      <w:r>
        <w:rPr>
          <w:rStyle w:val="NormalTok"/>
        </w:rPr>
        <w:t xml:space="preserve">(y_obs[tratamento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FunctionTok"/>
        </w:rPr>
        <w:t xml:space="preserve">rgb</w:t>
      </w:r>
      <w:r>
        <w:rPr>
          <w:rStyle w:val="NormalTok"/>
        </w:rPr>
        <w:t xml:space="preserve">(</w:t>
      </w:r>
      <w:r>
        <w:rPr>
          <w:rStyle w:val="FloatTok"/>
        </w:rPr>
        <w:t xml:space="preserve">0.8</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FunctionTok"/>
        </w:rPr>
        <w:t xml:space="preserve">c</w:t>
      </w:r>
      <w:r>
        <w:rPr>
          <w:rStyle w:val="NormalTok"/>
        </w:rPr>
        <w:t xml:space="preserve">(</w:t>
      </w:r>
      <w:r>
        <w:rPr>
          <w:rStyle w:val="StringTok"/>
        </w:rPr>
        <w:t xml:space="preserve">"Controle"</w:t>
      </w:r>
      <w:r>
        <w:rPr>
          <w:rStyle w:val="NormalTok"/>
        </w:rPr>
        <w:t xml:space="preserve">, </w:t>
      </w:r>
      <w:r>
        <w:rPr>
          <w:rStyle w:val="StringTok"/>
        </w:rPr>
        <w:t xml:space="preserve">"Tratamento"</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c</w:t>
      </w:r>
      <w:r>
        <w:rPr>
          <w:rStyle w:val="NormalTok"/>
        </w:rPr>
        <w:t xml:space="preserve">(</w:t>
      </w:r>
      <w:r>
        <w:rPr>
          <w:rStyle w:val="FunctionTok"/>
        </w:rPr>
        <w:t xml:space="preserve">rgb</w:t>
      </w:r>
      <w:r>
        <w:rPr>
          <w:rStyle w:val="NormalTok"/>
        </w:rPr>
        <w:t xml:space="preserve">(</w:t>
      </w:r>
      <w:r>
        <w:rPr>
          <w:rStyle w:val="FloatTok"/>
        </w:rPr>
        <w:t xml:space="preserve">0.2</w:t>
      </w:r>
      <w:r>
        <w:rPr>
          <w:rStyle w:val="NormalTok"/>
        </w:rPr>
        <w:t xml:space="preserve">, </w:t>
      </w:r>
      <w:r>
        <w:rPr>
          <w:rStyle w:val="FloatTok"/>
        </w:rPr>
        <w:t xml:space="preserve">0.4</w:t>
      </w:r>
      <w:r>
        <w:rPr>
          <w:rStyle w:val="NormalTok"/>
        </w:rPr>
        <w:t xml:space="preserve">, </w:t>
      </w:r>
      <w:r>
        <w:rPr>
          <w:rStyle w:val="FloatTok"/>
        </w:rPr>
        <w:t xml:space="preserve">0.8</w:t>
      </w:r>
      <w:r>
        <w:rPr>
          <w:rStyle w:val="NormalTok"/>
        </w:rPr>
        <w:t xml:space="preserve">, </w:t>
      </w:r>
      <w:r>
        <w:rPr>
          <w:rStyle w:val="FloatTok"/>
        </w:rPr>
        <w:t xml:space="preserve">0.5</w:t>
      </w:r>
      <w:r>
        <w:rPr>
          <w:rStyle w:val="NormalTok"/>
        </w:rPr>
        <w:t xml:space="preserve">), </w:t>
      </w:r>
      <w:r>
        <w:rPr>
          <w:rStyle w:val="FunctionTok"/>
        </w:rPr>
        <w:t xml:space="preserve">rgb</w:t>
      </w:r>
      <w:r>
        <w:rPr>
          <w:rStyle w:val="NormalTok"/>
        </w:rPr>
        <w:t xml:space="preserve">(</w:t>
      </w:r>
      <w:r>
        <w:rPr>
          <w:rStyle w:val="FloatTok"/>
        </w:rPr>
        <w:t xml:space="preserve">0.8</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w:t>
      </w:r>
      <w:r>
        <w:br/>
      </w:r>
      <w:r>
        <w:br/>
      </w:r>
      <w:r>
        <w:rPr>
          <w:rStyle w:val="CommentTok"/>
        </w:rPr>
        <w:t xml:space="preserve"># Painel 2: estimativa com IC</w:t>
      </w:r>
      <w:r>
        <w:br/>
      </w:r>
      <w:r>
        <w:rPr>
          <w:rStyle w:val="FunctionTok"/>
        </w:rPr>
        <w:t xml:space="preserve">plot</w:t>
      </w:r>
      <w:r>
        <w:rPr>
          <w:rStyle w:val="NormalTok"/>
        </w:rPr>
        <w:t xml:space="preserve">(</w:t>
      </w:r>
      <w:r>
        <w:rPr>
          <w:rStyle w:val="DecValTok"/>
        </w:rPr>
        <w:t xml:space="preserve">1</w:t>
      </w:r>
      <w:r>
        <w:rPr>
          <w:rStyle w:val="NormalTok"/>
        </w:rPr>
        <w:t xml:space="preserve">, ate_hat,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"#F44336"</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1.5</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(ate_real </w:t>
      </w:r>
      <w:r>
        <w:rPr>
          <w:rStyle w:val="SpecialCharTok"/>
        </w:rPr>
        <w:t xml:space="preserve">-</w:t>
      </w:r>
      <w:r>
        <w:rPr>
          <w:rStyle w:val="NormalTok"/>
        </w:rPr>
        <w:t xml:space="preserve"> </w:t>
      </w:r>
      <w:r>
        <w:rPr>
          <w:rStyle w:val="DecValTok"/>
        </w:rPr>
        <w:t xml:space="preserve">4</w:t>
      </w:r>
      <w:r>
        <w:rPr>
          <w:rStyle w:val="NormalTok"/>
        </w:rPr>
        <w:t xml:space="preserve">, ate_real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"Efeito Estimado"</w:t>
      </w:r>
      <w:r>
        <w:rPr>
          <w:rStyle w:val="NormalTok"/>
        </w:rPr>
        <w:t xml:space="preserve">, </w:t>
      </w:r>
      <w:r>
        <w:rPr>
          <w:rStyle w:val="AttributeTok"/>
        </w:rPr>
        <w:t xml:space="preserve">main =</w:t>
      </w:r>
      <w:r>
        <w:rPr>
          <w:rStyle w:val="NormalTok"/>
        </w:rPr>
        <w:t xml:space="preserve"> </w:t>
      </w:r>
      <w:r>
        <w:rPr>
          <w:rStyle w:val="StringTok"/>
        </w:rPr>
        <w:t xml:space="preserve">"ATE Estimado vs. Real"</w:t>
      </w:r>
      <w:r>
        <w:rPr>
          <w:rStyle w:val="NormalTok"/>
        </w:rPr>
        <w:t xml:space="preserve">,</w:t>
      </w:r>
      <w:r>
        <w:br/>
      </w:r>
      <w:r>
        <w:rPr>
          <w:rStyle w:val="NormalTok"/>
        </w:rPr>
        <w:t xml:space="preserve">     </w:t>
      </w:r>
      <w:r>
        <w:rPr>
          <w:rStyle w:val="AttributeTok"/>
        </w:rPr>
        <w:t xml:space="preserve">xaxt =</w:t>
      </w:r>
      <w:r>
        <w:rPr>
          <w:rStyle w:val="NormalTok"/>
        </w:rPr>
        <w:t xml:space="preserve"> </w:t>
      </w:r>
      <w:r>
        <w:rPr>
          <w:rStyle w:val="StringTok"/>
        </w:rPr>
        <w:t xml:space="preserve">"n"</w:t>
      </w:r>
      <w:r>
        <w:rPr>
          <w:rStyle w:val="NormalTok"/>
        </w:rPr>
        <w:t xml:space="preserve">)</w:t>
      </w:r>
      <w:r>
        <w:br/>
      </w:r>
      <w:r>
        <w:rPr>
          <w:rStyle w:val="FunctionTok"/>
        </w:rPr>
        <w:t xml:space="preserve">arrows</w:t>
      </w:r>
      <w:r>
        <w:rPr>
          <w:rStyle w:val="NormalTok"/>
        </w:rPr>
        <w:t xml:space="preserve">(</w:t>
      </w:r>
      <w:r>
        <w:rPr>
          <w:rStyle w:val="DecValTok"/>
        </w:rPr>
        <w:t xml:space="preserve">1</w:t>
      </w:r>
      <w:r>
        <w:rPr>
          <w:rStyle w:val="NormalTok"/>
        </w:rPr>
        <w:t xml:space="preserve">, ic_lower, </w:t>
      </w:r>
      <w:r>
        <w:rPr>
          <w:rStyle w:val="DecValTok"/>
        </w:rPr>
        <w:t xml:space="preserve">1</w:t>
      </w:r>
      <w:r>
        <w:rPr>
          <w:rStyle w:val="NormalTok"/>
        </w:rPr>
        <w:t xml:space="preserve">, ic_upper, </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code =</w:t>
      </w:r>
      <w:r>
        <w:rPr>
          <w:rStyle w:val="NormalTok"/>
        </w:rPr>
        <w:t xml:space="preserve"> </w:t>
      </w:r>
      <w:r>
        <w:rPr>
          <w:rStyle w:val="DecValTok"/>
        </w:rPr>
        <w:t xml:space="preserve">3</w:t>
      </w:r>
      <w:r>
        <w:rPr>
          <w:rStyle w:val="NormalTok"/>
        </w:rPr>
        <w:t xml:space="preserve">, </w:t>
      </w:r>
      <w:r>
        <w:rPr>
          <w:rStyle w:val="AttributeTok"/>
        </w:rPr>
        <w:t xml:space="preserve">length =</w:t>
      </w:r>
      <w:r>
        <w:rPr>
          <w:rStyle w:val="NormalTok"/>
        </w:rPr>
        <w:t xml:space="preserve"> </w:t>
      </w:r>
      <w:r>
        <w:rPr>
          <w:rStyle w:val="FloatTok"/>
        </w:rPr>
        <w:t xml:space="preserve">0.1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ate_real, </w:t>
      </w:r>
      <w:r>
        <w:rPr>
          <w:rStyle w:val="AttributeTok"/>
        </w:rPr>
        <w:t xml:space="preserve">col =</w:t>
      </w:r>
      <w:r>
        <w:rPr>
          <w:rStyle w:val="NormalTok"/>
        </w:rPr>
        <w:t xml:space="preserve"> </w:t>
      </w:r>
      <w:r>
        <w:rPr>
          <w:rStyle w:val="StringTok"/>
        </w:rPr>
        <w:t xml:space="preserve">"#4CAF50"</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w:t>
      </w:r>
      <w:r>
        <w:rPr>
          <w:rStyle w:val="FloatTok"/>
        </w:rPr>
        <w:t xml:space="preserve">1.3</w:t>
      </w:r>
      <w:r>
        <w:rPr>
          <w:rStyle w:val="NormalTok"/>
        </w:rPr>
        <w:t xml:space="preserve">, ate_real, </w:t>
      </w:r>
      <w:r>
        <w:rPr>
          <w:rStyle w:val="FunctionTok"/>
        </w:rPr>
        <w:t xml:space="preserve">paste0</w:t>
      </w:r>
      <w:r>
        <w:rPr>
          <w:rStyle w:val="NormalTok"/>
        </w:rPr>
        <w:t xml:space="preserve">(</w:t>
      </w:r>
      <w:r>
        <w:rPr>
          <w:rStyle w:val="StringTok"/>
        </w:rPr>
        <w:t xml:space="preserve">"ATE real = "</w:t>
      </w:r>
      <w:r>
        <w:rPr>
          <w:rStyle w:val="NormalTok"/>
        </w:rPr>
        <w:t xml:space="preserve">, ate_real), </w:t>
      </w:r>
      <w:r>
        <w:rPr>
          <w:rStyle w:val="AttributeTok"/>
        </w:rPr>
        <w:t xml:space="preserve">col =</w:t>
      </w:r>
      <w:r>
        <w:rPr>
          <w:rStyle w:val="NormalTok"/>
        </w:rPr>
        <w:t xml:space="preserve"> </w:t>
      </w:r>
      <w:r>
        <w:rPr>
          <w:rStyle w:val="StringTok"/>
        </w:rPr>
        <w:t xml:space="preserve">"#4CAF50"</w:t>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w:t>
      </w:r>
      <w:r>
        <w:br/>
      </w:r>
      <w:r>
        <w:rPr>
          <w:rStyle w:val="FunctionTok"/>
        </w:rPr>
        <w:t xml:space="preserve">text</w:t>
      </w:r>
      <w:r>
        <w:rPr>
          <w:rStyle w:val="NormalTok"/>
        </w:rPr>
        <w:t xml:space="preserve">(</w:t>
      </w:r>
      <w:r>
        <w:rPr>
          <w:rStyle w:val="FloatTok"/>
        </w:rPr>
        <w:t xml:space="preserve">1.3</w:t>
      </w:r>
      <w:r>
        <w:rPr>
          <w:rStyle w:val="NormalTok"/>
        </w:rPr>
        <w:t xml:space="preserve">, ate_hat, </w:t>
      </w:r>
      <w:r>
        <w:rPr>
          <w:rStyle w:val="FunctionTok"/>
        </w:rPr>
        <w:t xml:space="preserve">paste0</w:t>
      </w:r>
      <w:r>
        <w:rPr>
          <w:rStyle w:val="NormalTok"/>
        </w:rPr>
        <w:t xml:space="preserve">(</w:t>
      </w:r>
      <w:r>
        <w:rPr>
          <w:rStyle w:val="StringTok"/>
        </w:rPr>
        <w:t xml:space="preserve">"ATE est. = "</w:t>
      </w:r>
      <w:r>
        <w:rPr>
          <w:rStyle w:val="NormalTok"/>
        </w:rPr>
        <w:t xml:space="preserve">, </w:t>
      </w:r>
      <w:r>
        <w:rPr>
          <w:rStyle w:val="FunctionTok"/>
        </w:rPr>
        <w:t xml:space="preserve">round</w:t>
      </w:r>
      <w:r>
        <w:rPr>
          <w:rStyle w:val="NormalTok"/>
        </w:rPr>
        <w:t xml:space="preserve">(ate_hat,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"#F44336"</w:t>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"ATE real: %.1f | ATE estimado: %.2f | IC 95%%: [%.2f, %.2f]</w:t>
      </w:r>
      <w:r>
        <w:rPr>
          <w:rStyle w:val="SpecialCharTok"/>
        </w:rPr>
        <w:t xml:space="preserve">\n</w:t>
      </w:r>
      <w:r>
        <w:rPr>
          <w:rStyle w:val="StringTok"/>
        </w:rPr>
        <w:t xml:space="preserve">"</w:t>
      </w:r>
      <w:r>
        <w:rPr>
          <w:rStyle w:val="NormalTok"/>
        </w:rPr>
        <w:t xml:space="preserve">,</w:t>
      </w:r>
      <w:r>
        <w:br/>
      </w:r>
      <w:r>
        <w:rPr>
          <w:rStyle w:val="NormalTok"/>
        </w:rPr>
        <w:t xml:space="preserve">            ate_real, ate_hat, ic_lower, ic_upper))</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"O IC contém o valor real? %s</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(ic_lower </w:t>
      </w:r>
      <w:r>
        <w:rPr>
          <w:rStyle w:val="SpecialCharTok"/>
        </w:rPr>
        <w:t xml:space="preserve">&lt;=</w:t>
      </w:r>
      <w:r>
        <w:rPr>
          <w:rStyle w:val="NormalTok"/>
        </w:rPr>
        <w:t xml:space="preserve"> ate_real </w:t>
      </w:r>
      <w:r>
        <w:rPr>
          <w:rStyle w:val="SpecialCharTok"/>
        </w:rPr>
        <w:t xml:space="preserve">&amp;</w:t>
      </w:r>
      <w:r>
        <w:rPr>
          <w:rStyle w:val="NormalTok"/>
        </w:rPr>
        <w:t xml:space="preserve"> ate_real </w:t>
      </w:r>
      <w:r>
        <w:rPr>
          <w:rStyle w:val="SpecialCharTok"/>
        </w:rPr>
        <w:t xml:space="preserve">&lt;=</w:t>
      </w:r>
      <w:r>
        <w:rPr>
          <w:rStyle w:val="NormalTok"/>
        </w:rPr>
        <w:t xml:space="preserve"> ic_upper, </w:t>
      </w:r>
      <w:r>
        <w:rPr>
          <w:rStyle w:val="StringTok"/>
        </w:rPr>
        <w:t xml:space="preserve">"SIM"</w:t>
      </w:r>
      <w:r>
        <w:rPr>
          <w:rStyle w:val="NormalTok"/>
        </w:rPr>
        <w:t xml:space="preserve">, </w:t>
      </w:r>
      <w:r>
        <w:rPr>
          <w:rStyle w:val="StringTok"/>
        </w:rPr>
        <w:t xml:space="preserve">"NAO"</w:t>
      </w:r>
      <w:r>
        <w:rPr>
          <w:rStyle w:val="NormalTok"/>
        </w:rPr>
        <w:t xml:space="preserve">)))</w:t>
      </w:r>
    </w:p>
    <w:p>
      <w:pPr>
        <w:pStyle w:val="BlockText"/>
      </w:pPr>
      <w:r>
        <w:rPr>
          <w:b/>
          <w:bCs/>
        </w:rPr>
        <w:t xml:space="preserve">Experimente:</w:t>
      </w:r>
      <w:r>
        <w:t xml:space="preserve"> </w:t>
      </w:r>
      <w:r>
        <w:t xml:space="preserve">Reduza</w:t>
      </w:r>
      <w:r>
        <w:t xml:space="preserve"> </w:t>
      </w:r>
      <w:r>
        <w:rPr>
          <w:rStyle w:val="VerbatimChar"/>
        </w:rPr>
        <w:t xml:space="preserve">n</w:t>
      </w:r>
      <w:r>
        <w:t xml:space="preserve"> </w:t>
      </w:r>
      <w:r>
        <w:t xml:space="preserve">para 30 e observe como o intervalo de confiança se alarga — com amostras pequenas, a estimativa é imprecisa. Aumente</w:t>
      </w:r>
      <w:r>
        <w:t xml:space="preserve"> </w:t>
      </w:r>
      <w:r>
        <w:rPr>
          <w:rStyle w:val="VerbatimChar"/>
        </w:rPr>
        <w:t xml:space="preserve">sigma</w:t>
      </w:r>
      <w:r>
        <w:t xml:space="preserve"> </w:t>
      </w:r>
      <w:r>
        <w:t xml:space="preserve">para 15 e veja o IC explodir — quando o resultado é muito ruidoso, detectar o efeito requer amostras maiores. Essa é a lógica do</w:t>
      </w:r>
      <w:r>
        <w:t xml:space="preserve"> </w:t>
      </w:r>
      <w:r>
        <w:rPr>
          <w:b/>
          <w:bCs/>
        </w:rPr>
        <w:t xml:space="preserve">poder estatístico</w:t>
      </w:r>
      <w:r>
        <w:t xml:space="preserve"> </w:t>
      </w:r>
      <w:r>
        <w:t xml:space="preserve">(Seção 22.4).</w:t>
      </w:r>
    </w:p>
    <w:p>
      <w:pPr>
        <w:pStyle w:val="BlockText"/>
      </w:pPr>
      <w:r>
        <w:rPr>
          <w:b/>
          <w:bCs/>
        </w:rPr>
        <w:t xml:space="preserve">[R-INTERACTIVE] R Interativo — Diferenças em Diferenças: Visualização de Tendências Paralelas</w:t>
      </w:r>
    </w:p>
    <w:p>
      <w:pPr>
        <w:pStyle w:val="SourceCode"/>
      </w:pPr>
      <w:r>
        <w:rPr>
          <w:rStyle w:val="CommentTok"/>
        </w:rPr>
        <w:t xml:space="preserve"># Visualização de Diff-in-Diff com teste de tendências paralelas</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Parâmetros (altere para explorar)</w:t>
      </w:r>
      <w:r>
        <w:br/>
      </w:r>
      <w:r>
        <w:rPr>
          <w:rStyle w:val="NormalTok"/>
        </w:rPr>
        <w:t xml:space="preserve">efeito_tratamento </w:t>
      </w:r>
      <w:r>
        <w:rPr>
          <w:rStyle w:val="OtherTok"/>
        </w:rPr>
        <w:t xml:space="preserve">&lt;-</w:t>
      </w:r>
      <w:r>
        <w:rPr>
          <w:rStyle w:val="NormalTok"/>
        </w:rPr>
        <w:t xml:space="preserve"> </w:t>
      </w:r>
      <w:r>
        <w:rPr>
          <w:rStyle w:val="SpecialCharTok"/>
        </w:rPr>
        <w:t xml:space="preserve">-</w:t>
      </w:r>
      <w:r>
        <w:rPr>
          <w:rStyle w:val="DecValTok"/>
        </w:rPr>
        <w:t xml:space="preserve">7</w:t>
      </w:r>
      <w:r>
        <w:rPr>
          <w:rStyle w:val="NormalTok"/>
        </w:rPr>
        <w:t xml:space="preserve">    </w:t>
      </w:r>
      <w:r>
        <w:rPr>
          <w:rStyle w:val="CommentTok"/>
        </w:rPr>
        <w:t xml:space="preserve"># efeito causal (negativo = redução)</w:t>
      </w:r>
      <w:r>
        <w:br/>
      </w:r>
      <w:r>
        <w:rPr>
          <w:rStyle w:val="NormalTok"/>
        </w:rPr>
        <w:t xml:space="preserve">n_periodos_pre    </w:t>
      </w:r>
      <w:r>
        <w:rPr>
          <w:rStyle w:val="OtherTok"/>
        </w:rPr>
        <w:t xml:space="preserve">&lt;-</w:t>
      </w:r>
      <w:r>
        <w:rPr>
          <w:rStyle w:val="NormalTok"/>
        </w:rPr>
        <w:t xml:space="preserve"> </w:t>
      </w:r>
      <w:r>
        <w:rPr>
          <w:rStyle w:val="DecValTok"/>
        </w:rPr>
        <w:t xml:space="preserve">6</w:t>
      </w:r>
      <w:r>
        <w:rPr>
          <w:rStyle w:val="NormalTok"/>
        </w:rPr>
        <w:t xml:space="preserve">     </w:t>
      </w:r>
      <w:r>
        <w:rPr>
          <w:rStyle w:val="CommentTok"/>
        </w:rPr>
        <w:t xml:space="preserve"># períodos pré-tratamento</w:t>
      </w:r>
      <w:r>
        <w:br/>
      </w:r>
      <w:r>
        <w:rPr>
          <w:rStyle w:val="NormalTok"/>
        </w:rPr>
        <w:t xml:space="preserve">n_periodos_pos    </w:t>
      </w:r>
      <w:r>
        <w:rPr>
          <w:rStyle w:val="OtherTok"/>
        </w:rPr>
        <w:t xml:space="preserve">&lt;-</w:t>
      </w:r>
      <w:r>
        <w:rPr>
          <w:rStyle w:val="NormalTok"/>
        </w:rPr>
        <w:t xml:space="preserve"> </w:t>
      </w:r>
      <w:r>
        <w:rPr>
          <w:rStyle w:val="DecValTok"/>
        </w:rPr>
        <w:t xml:space="preserve">6</w:t>
      </w:r>
      <w:r>
        <w:rPr>
          <w:rStyle w:val="NormalTok"/>
        </w:rPr>
        <w:t xml:space="preserve">     </w:t>
      </w:r>
      <w:r>
        <w:rPr>
          <w:rStyle w:val="CommentTok"/>
        </w:rPr>
        <w:t xml:space="preserve"># períodos pós-tratamento</w:t>
      </w:r>
      <w:r>
        <w:br/>
      </w:r>
      <w:r>
        <w:rPr>
          <w:rStyle w:val="NormalTok"/>
        </w:rPr>
        <w:t xml:space="preserve">tendencia         </w:t>
      </w:r>
      <w:r>
        <w:rPr>
          <w:rStyle w:val="OtherTok"/>
        </w:rPr>
        <w:t xml:space="preserve">&lt;-</w:t>
      </w:r>
      <w:r>
        <w:rPr>
          <w:rStyle w:val="NormalTok"/>
        </w:rPr>
        <w:t xml:space="preserve"> </w:t>
      </w:r>
      <w:r>
        <w:rPr>
          <w:rStyle w:val="SpecialCharTok"/>
        </w:rPr>
        <w:t xml:space="preserve">-</w:t>
      </w:r>
      <w:r>
        <w:rPr>
          <w:rStyle w:val="FloatTok"/>
        </w:rPr>
        <w:t xml:space="preserve">0.5</w:t>
      </w:r>
      <w:r>
        <w:rPr>
          <w:rStyle w:val="NormalTok"/>
        </w:rPr>
        <w:t xml:space="preserve">  </w:t>
      </w:r>
      <w:r>
        <w:rPr>
          <w:rStyle w:val="CommentTok"/>
        </w:rPr>
        <w:t xml:space="preserve"># tendência comum (ambos os grupos)</w:t>
      </w:r>
      <w:r>
        <w:br/>
      </w:r>
      <w:r>
        <w:rPr>
          <w:rStyle w:val="NormalTok"/>
        </w:rPr>
        <w:t xml:space="preserve">nivel_trat        </w:t>
      </w:r>
      <w:r>
        <w:rPr>
          <w:rStyle w:val="OtherTok"/>
        </w:rPr>
        <w:t xml:space="preserve">&lt;-</w:t>
      </w:r>
      <w:r>
        <w:rPr>
          <w:rStyle w:val="NormalTok"/>
        </w:rPr>
        <w:t xml:space="preserve"> </w:t>
      </w:r>
      <w:r>
        <w:rPr>
          <w:rStyle w:val="DecValTok"/>
        </w:rPr>
        <w:t xml:space="preserve">50</w:t>
      </w:r>
      <w:r>
        <w:rPr>
          <w:rStyle w:val="NormalTok"/>
        </w:rPr>
        <w:t xml:space="preserve">    </w:t>
      </w:r>
      <w:r>
        <w:rPr>
          <w:rStyle w:val="CommentTok"/>
        </w:rPr>
        <w:t xml:space="preserve"># nível inicial do tratado</w:t>
      </w:r>
      <w:r>
        <w:br/>
      </w:r>
      <w:r>
        <w:rPr>
          <w:rStyle w:val="NormalTok"/>
        </w:rPr>
        <w:t xml:space="preserve">nivel_ctrl        </w:t>
      </w:r>
      <w:r>
        <w:rPr>
          <w:rStyle w:val="OtherTok"/>
        </w:rPr>
        <w:t xml:space="preserve">&lt;-</w:t>
      </w:r>
      <w:r>
        <w:rPr>
          <w:rStyle w:val="NormalTok"/>
        </w:rPr>
        <w:t xml:space="preserve"> </w:t>
      </w:r>
      <w:r>
        <w:rPr>
          <w:rStyle w:val="DecValTok"/>
        </w:rPr>
        <w:t xml:space="preserve">40</w:t>
      </w:r>
      <w:r>
        <w:rPr>
          <w:rStyle w:val="NormalTok"/>
        </w:rPr>
        <w:t xml:space="preserve">    </w:t>
      </w:r>
      <w:r>
        <w:rPr>
          <w:rStyle w:val="CommentTok"/>
        </w:rPr>
        <w:t xml:space="preserve"># nível inicial do controle</w:t>
      </w:r>
      <w:r>
        <w:br/>
      </w:r>
      <w:r>
        <w:br/>
      </w:r>
      <w:r>
        <w:rPr>
          <w:rStyle w:val="CommentTok"/>
        </w:rPr>
        <w:t xml:space="preserve"># Gerar dados</w:t>
      </w:r>
      <w:r>
        <w:br/>
      </w:r>
      <w:r>
        <w:rPr>
          <w:rStyle w:val="NormalTok"/>
        </w:rPr>
        <w:t xml:space="preserve">t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(n_periodos_pre </w:t>
      </w:r>
      <w:r>
        <w:rPr>
          <w:rStyle w:val="SpecialCharTok"/>
        </w:rPr>
        <w:t xml:space="preserve">+</w:t>
      </w:r>
      <w:r>
        <w:rPr>
          <w:rStyle w:val="NormalTok"/>
        </w:rPr>
        <w:t xml:space="preserve"> n_periodos_pos)</w:t>
      </w:r>
      <w:r>
        <w:br/>
      </w:r>
      <w:r>
        <w:rPr>
          <w:rStyle w:val="NormalTok"/>
        </w:rPr>
        <w:t xml:space="preserve">t_tratamento </w:t>
      </w:r>
      <w:r>
        <w:rPr>
          <w:rStyle w:val="OtherTok"/>
        </w:rPr>
        <w:t xml:space="preserve">&lt;-</w:t>
      </w:r>
      <w:r>
        <w:rPr>
          <w:rStyle w:val="NormalTok"/>
        </w:rPr>
        <w:t xml:space="preserve"> n_periodos_pre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momento do tratamento</w:t>
      </w:r>
      <w:r>
        <w:br/>
      </w:r>
      <w:r>
        <w:br/>
      </w:r>
      <w:r>
        <w:rPr>
          <w:rStyle w:val="CommentTok"/>
        </w:rPr>
        <w:t xml:space="preserve"># Grupo controle: tendência + ruído</w:t>
      </w:r>
      <w:r>
        <w:br/>
      </w:r>
      <w:r>
        <w:rPr>
          <w:rStyle w:val="NormalTok"/>
        </w:rPr>
        <w:t xml:space="preserve">y_ctrl </w:t>
      </w:r>
      <w:r>
        <w:rPr>
          <w:rStyle w:val="OtherTok"/>
        </w:rPr>
        <w:t xml:space="preserve">&lt;-</w:t>
      </w:r>
      <w:r>
        <w:rPr>
          <w:rStyle w:val="NormalTok"/>
        </w:rPr>
        <w:t xml:space="preserve"> nivel_ctrl </w:t>
      </w:r>
      <w:r>
        <w:rPr>
          <w:rStyle w:val="SpecialCharTok"/>
        </w:rPr>
        <w:t xml:space="preserve">+</w:t>
      </w:r>
      <w:r>
        <w:rPr>
          <w:rStyle w:val="NormalTok"/>
        </w:rPr>
        <w:t xml:space="preserve"> tendencia </w:t>
      </w:r>
      <w:r>
        <w:rPr>
          <w:rStyle w:val="SpecialCharTok"/>
        </w:rPr>
        <w:t xml:space="preserve">*</w:t>
      </w:r>
      <w:r>
        <w:rPr>
          <w:rStyle w:val="NormalTok"/>
        </w:rPr>
        <w:t xml:space="preserve"> t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FunctionTok"/>
        </w:rPr>
        <w:t xml:space="preserve">length</w:t>
      </w:r>
      <w:r>
        <w:rPr>
          <w:rStyle w:val="NormalTok"/>
        </w:rPr>
        <w:t xml:space="preserve">(t), </w:t>
      </w:r>
      <w:r>
        <w:rPr>
          <w:rStyle w:val="AttributeTok"/>
        </w:rPr>
        <w:t xml:space="preserve">sd =</w:t>
      </w:r>
      <w:r>
        <w:rPr>
          <w:rStyle w:val="NormalTok"/>
        </w:rPr>
        <w:t xml:space="preserve"> </w:t>
      </w:r>
      <w:r>
        <w:rPr>
          <w:rStyle w:val="FloatTok"/>
        </w:rPr>
        <w:t xml:space="preserve">1.5</w:t>
      </w:r>
      <w:r>
        <w:rPr>
          <w:rStyle w:val="NormalTok"/>
        </w:rPr>
        <w:t xml:space="preserve">)</w:t>
      </w:r>
      <w:r>
        <w:br/>
      </w:r>
      <w:r>
        <w:br/>
      </w:r>
      <w:r>
        <w:rPr>
          <w:rStyle w:val="CommentTok"/>
        </w:rPr>
        <w:t xml:space="preserve"># Grupo tratamento: mesma tendência + efeito pós-tratamento</w:t>
      </w:r>
      <w:r>
        <w:br/>
      </w:r>
      <w:r>
        <w:rPr>
          <w:rStyle w:val="NormalTok"/>
        </w:rPr>
        <w:t xml:space="preserve">y_trat </w:t>
      </w:r>
      <w:r>
        <w:rPr>
          <w:rStyle w:val="OtherTok"/>
        </w:rPr>
        <w:t xml:space="preserve">&lt;-</w:t>
      </w:r>
      <w:r>
        <w:rPr>
          <w:rStyle w:val="NormalTok"/>
        </w:rPr>
        <w:t xml:space="preserve"> nivel_trat </w:t>
      </w:r>
      <w:r>
        <w:rPr>
          <w:rStyle w:val="SpecialCharTok"/>
        </w:rPr>
        <w:t xml:space="preserve">+</w:t>
      </w:r>
      <w:r>
        <w:rPr>
          <w:rStyle w:val="NormalTok"/>
        </w:rPr>
        <w:t xml:space="preserve"> tendencia </w:t>
      </w:r>
      <w:r>
        <w:rPr>
          <w:rStyle w:val="SpecialCharTok"/>
        </w:rPr>
        <w:t xml:space="preserve">*</w:t>
      </w:r>
      <w:r>
        <w:rPr>
          <w:rStyle w:val="NormalTok"/>
        </w:rPr>
        <w:t xml:space="preserve"> t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FunctionTok"/>
        </w:rPr>
        <w:t xml:space="preserve">length</w:t>
      </w:r>
      <w:r>
        <w:rPr>
          <w:rStyle w:val="NormalTok"/>
        </w:rPr>
        <w:t xml:space="preserve">(t), </w:t>
      </w:r>
      <w:r>
        <w:rPr>
          <w:rStyle w:val="AttributeTok"/>
        </w:rPr>
        <w:t xml:space="preserve">sd =</w:t>
      </w:r>
      <w:r>
        <w:rPr>
          <w:rStyle w:val="NormalTok"/>
        </w:rPr>
        <w:t xml:space="preserve"> </w:t>
      </w:r>
      <w:r>
        <w:rPr>
          <w:rStyle w:val="FloatTok"/>
        </w:rPr>
        <w:t xml:space="preserve">1.5</w:t>
      </w:r>
      <w:r>
        <w:rPr>
          <w:rStyle w:val="NormalTok"/>
        </w:rPr>
        <w:t xml:space="preserve">)</w:t>
      </w:r>
      <w:r>
        <w:br/>
      </w:r>
      <w:r>
        <w:rPr>
          <w:rStyle w:val="NormalTok"/>
        </w:rPr>
        <w:t xml:space="preserve">y_trat[t </w:t>
      </w:r>
      <w:r>
        <w:rPr>
          <w:rStyle w:val="SpecialCharTok"/>
        </w:rPr>
        <w:t xml:space="preserve">&gt;=</w:t>
      </w:r>
      <w:r>
        <w:rPr>
          <w:rStyle w:val="NormalTok"/>
        </w:rPr>
        <w:t xml:space="preserve"> t_tratamento] </w:t>
      </w:r>
      <w:r>
        <w:rPr>
          <w:rStyle w:val="OtherTok"/>
        </w:rPr>
        <w:t xml:space="preserve">&lt;-</w:t>
      </w:r>
      <w:r>
        <w:rPr>
          <w:rStyle w:val="NormalTok"/>
        </w:rPr>
        <w:t xml:space="preserve"> y_trat[t </w:t>
      </w:r>
      <w:r>
        <w:rPr>
          <w:rStyle w:val="SpecialCharTok"/>
        </w:rPr>
        <w:t xml:space="preserve">&gt;=</w:t>
      </w:r>
      <w:r>
        <w:rPr>
          <w:rStyle w:val="NormalTok"/>
        </w:rPr>
        <w:t xml:space="preserve"> t_tratamento] </w:t>
      </w:r>
      <w:r>
        <w:rPr>
          <w:rStyle w:val="SpecialCharTok"/>
        </w:rPr>
        <w:t xml:space="preserve">+</w:t>
      </w:r>
      <w:r>
        <w:rPr>
          <w:rStyle w:val="NormalTok"/>
        </w:rPr>
        <w:t xml:space="preserve"> efeito_tratamento</w:t>
      </w:r>
      <w:r>
        <w:br/>
      </w:r>
      <w:r>
        <w:br/>
      </w:r>
      <w:r>
        <w:rPr>
          <w:rStyle w:val="CommentTok"/>
        </w:rPr>
        <w:t xml:space="preserve"># Contrafactual (o que teria sido sem tratamento)</w:t>
      </w:r>
      <w:r>
        <w:br/>
      </w:r>
      <w:r>
        <w:rPr>
          <w:rStyle w:val="NormalTok"/>
        </w:rPr>
        <w:t xml:space="preserve">y_cf </w:t>
      </w:r>
      <w:r>
        <w:rPr>
          <w:rStyle w:val="OtherTok"/>
        </w:rPr>
        <w:t xml:space="preserve">&lt;-</w:t>
      </w:r>
      <w:r>
        <w:rPr>
          <w:rStyle w:val="NormalTok"/>
        </w:rPr>
        <w:t xml:space="preserve"> nivel_trat </w:t>
      </w:r>
      <w:r>
        <w:rPr>
          <w:rStyle w:val="SpecialCharTok"/>
        </w:rPr>
        <w:t xml:space="preserve">+</w:t>
      </w:r>
      <w:r>
        <w:rPr>
          <w:rStyle w:val="NormalTok"/>
        </w:rPr>
        <w:t xml:space="preserve"> tendencia </w:t>
      </w:r>
      <w:r>
        <w:rPr>
          <w:rStyle w:val="SpecialCharTok"/>
        </w:rPr>
        <w:t xml:space="preserve">*</w:t>
      </w:r>
      <w:r>
        <w:rPr>
          <w:rStyle w:val="NormalTok"/>
        </w:rPr>
        <w:t xml:space="preserve"> t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FunctionTok"/>
        </w:rPr>
        <w:t xml:space="preserve">length</w:t>
      </w:r>
      <w:r>
        <w:rPr>
          <w:rStyle w:val="NormalTok"/>
        </w:rPr>
        <w:t xml:space="preserve">(t), </w:t>
      </w:r>
      <w:r>
        <w:rPr>
          <w:rStyle w:val="AttributeTok"/>
        </w:rPr>
        <w:t xml:space="preserve">sd =</w:t>
      </w:r>
      <w:r>
        <w:rPr>
          <w:rStyle w:val="NormalTok"/>
        </w:rPr>
        <w:t xml:space="preserve"> </w:t>
      </w:r>
      <w:r>
        <w:rPr>
          <w:rStyle w:val="DecValTok"/>
        </w:rPr>
        <w:t xml:space="preserve">0</w:t>
      </w:r>
      <w:r>
        <w:rPr>
          <w:rStyle w:val="NormalTok"/>
        </w:rPr>
        <w:t xml:space="preserve">)</w:t>
      </w:r>
      <w:r>
        <w:br/>
      </w:r>
      <w:r>
        <w:br/>
      </w:r>
      <w:r>
        <w:rPr>
          <w:rStyle w:val="CommentTok"/>
        </w:rPr>
        <w:t xml:space="preserve"># Plot</w:t>
      </w:r>
      <w:r>
        <w:br/>
      </w:r>
      <w:r>
        <w:rPr>
          <w:rStyle w:val="FunctionTok"/>
        </w:rPr>
        <w:t xml:space="preserve">plot</w:t>
      </w:r>
      <w:r>
        <w:rPr>
          <w:rStyle w:val="NormalTok"/>
        </w:rPr>
        <w:t xml:space="preserve">(t, y_trat,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"#F44336"</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(y_trat, y_ctrl, y_cf))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"Período"</w:t>
      </w:r>
      <w:r>
        <w:rPr>
          <w:rStyle w:val="NormalTok"/>
        </w:rPr>
        <w:t xml:space="preserve">, </w:t>
      </w:r>
      <w:r>
        <w:rPr>
          <w:rStyle w:val="AttributeTok"/>
        </w:rPr>
        <w:t xml:space="preserve">ylab =</w:t>
      </w:r>
      <w:r>
        <w:rPr>
          <w:rStyle w:val="NormalTok"/>
        </w:rPr>
        <w:t xml:space="preserve"> </w:t>
      </w:r>
      <w:r>
        <w:rPr>
          <w:rStyle w:val="StringTok"/>
        </w:rPr>
        <w:t xml:space="preserve">"Resultado (Y)"</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"Diferenças em Diferenças"</w:t>
      </w:r>
      <w:r>
        <w:rPr>
          <w:rStyle w:val="NormalTok"/>
        </w:rPr>
        <w:t xml:space="preserve">)</w:t>
      </w:r>
      <w:r>
        <w:br/>
      </w:r>
      <w:r>
        <w:rPr>
          <w:rStyle w:val="FunctionTok"/>
        </w:rPr>
        <w:t xml:space="preserve">lines</w:t>
      </w:r>
      <w:r>
        <w:rPr>
          <w:rStyle w:val="NormalTok"/>
        </w:rPr>
        <w:t xml:space="preserve">(t, y_ctrl,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pch =</w:t>
      </w:r>
      <w:r>
        <w:rPr>
          <w:rStyle w:val="NormalTok"/>
        </w:rPr>
        <w:t xml:space="preserve"> </w:t>
      </w:r>
      <w:r>
        <w:rPr>
          <w:rStyle w:val="DecValTok"/>
        </w:rPr>
        <w:t xml:space="preserve">17</w:t>
      </w:r>
      <w:r>
        <w:rPr>
          <w:rStyle w:val="NormalTok"/>
        </w:rPr>
        <w:t xml:space="preserve">, </w:t>
      </w:r>
      <w:r>
        <w:rPr>
          <w:rStyle w:val="AttributeTok"/>
        </w:rPr>
        <w:t xml:space="preserve">col =</w:t>
      </w:r>
      <w:r>
        <w:rPr>
          <w:rStyle w:val="NormalTok"/>
        </w:rPr>
        <w:t xml:space="preserve"> </w:t>
      </w:r>
      <w:r>
        <w:rPr>
          <w:rStyle w:val="StringTok"/>
        </w:rPr>
        <w:t xml:space="preserve">"#2196F3"</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lines</w:t>
      </w:r>
      <w:r>
        <w:rPr>
          <w:rStyle w:val="NormalTok"/>
        </w:rPr>
        <w:t xml:space="preserve">(t[t </w:t>
      </w:r>
      <w:r>
        <w:rPr>
          <w:rStyle w:val="SpecialCharTok"/>
        </w:rPr>
        <w:t xml:space="preserve">&gt;=</w:t>
      </w:r>
      <w:r>
        <w:rPr>
          <w:rStyle w:val="NormalTok"/>
        </w:rPr>
        <w:t xml:space="preserve"> t_tratamento], y_cf[t </w:t>
      </w:r>
      <w:r>
        <w:rPr>
          <w:rStyle w:val="SpecialCharTok"/>
        </w:rPr>
        <w:t xml:space="preserve">&gt;=</w:t>
      </w:r>
      <w:r>
        <w:rPr>
          <w:rStyle w:val="NormalTok"/>
        </w:rPr>
        <w:t xml:space="preserve"> t_tratamento],</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"#F44336"</w:t>
      </w:r>
      <w:r>
        <w:rPr>
          <w:rStyle w:val="NormalTok"/>
        </w:rPr>
        <w:t xml:space="preserve">, </w:t>
      </w:r>
      <w:r>
        <w:rPr>
          <w:rStyle w:val="AttributeTok"/>
        </w:rPr>
        <w:t xml:space="preserve">lwd =</w:t>
      </w:r>
      <w:r>
        <w:rPr>
          <w:rStyle w:val="NormalTok"/>
        </w:rPr>
        <w:t xml:space="preserve"> </w:t>
      </w:r>
      <w:r>
        <w:rPr>
          <w:rStyle w:val="FloatTok"/>
        </w:rPr>
        <w:t xml:space="preserve">1.5</w:t>
      </w:r>
      <w:r>
        <w:rPr>
          <w:rStyle w:val="NormalTok"/>
        </w:rPr>
        <w:t xml:space="preserve">)</w:t>
      </w:r>
      <w:r>
        <w:br/>
      </w:r>
      <w:r>
        <w:br/>
      </w:r>
      <w:r>
        <w:rPr>
          <w:rStyle w:val="FunctionTok"/>
        </w:rPr>
        <w:t xml:space="preserve">abline</w:t>
      </w:r>
      <w:r>
        <w:rPr>
          <w:rStyle w:val="NormalTok"/>
        </w:rPr>
        <w:t xml:space="preserve">(</w:t>
      </w:r>
      <w:r>
        <w:rPr>
          <w:rStyle w:val="AttributeTok"/>
        </w:rPr>
        <w:t xml:space="preserve">v =</w:t>
      </w:r>
      <w:r>
        <w:rPr>
          <w:rStyle w:val="NormalTok"/>
        </w:rPr>
        <w:t xml:space="preserve"> t_tratamento </w:t>
      </w:r>
      <w:r>
        <w:rPr>
          <w:rStyle w:val="SpecialCharTok"/>
        </w:rPr>
        <w:t xml:space="preserve">-</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"gray40"</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1.5</w:t>
      </w:r>
      <w:r>
        <w:rPr>
          <w:rStyle w:val="NormalTok"/>
        </w:rPr>
        <w:t xml:space="preserve">)</w:t>
      </w:r>
      <w:r>
        <w:br/>
      </w:r>
      <w:r>
        <w:rPr>
          <w:rStyle w:val="FunctionTok"/>
        </w:rPr>
        <w:t xml:space="preserve">text</w:t>
      </w:r>
      <w:r>
        <w:rPr>
          <w:rStyle w:val="NormalTok"/>
        </w:rPr>
        <w:t xml:space="preserve">(t_tratamento </w:t>
      </w:r>
      <w:r>
        <w:rPr>
          <w:rStyle w:val="SpecialCharTok"/>
        </w:rPr>
        <w:t xml:space="preserve">-</w:t>
      </w:r>
      <w:r>
        <w:rPr>
          <w:rStyle w:val="NormalTok"/>
        </w:rPr>
        <w:t xml:space="preserve"> </w:t>
      </w:r>
      <w:r>
        <w:rPr>
          <w:rStyle w:val="FloatTok"/>
        </w:rPr>
        <w:t xml:space="preserve">0.3</w:t>
      </w:r>
      <w:r>
        <w:rPr>
          <w:rStyle w:val="NormalTok"/>
        </w:rPr>
        <w:t xml:space="preserve">, </w:t>
      </w:r>
      <w:r>
        <w:rPr>
          <w:rStyle w:val="FunctionTok"/>
        </w:rPr>
        <w:t xml:space="preserve">max</w:t>
      </w:r>
      <w:r>
        <w:rPr>
          <w:rStyle w:val="NormalTok"/>
        </w:rPr>
        <w:t xml:space="preserve">(y_trat) </w:t>
      </w:r>
      <w:r>
        <w:rPr>
          <w:rStyle w:val="SpecialCharTok"/>
        </w:rPr>
        <w:t xml:space="preserve">+</w:t>
      </w:r>
      <w:r>
        <w:rPr>
          <w:rStyle w:val="NormalTok"/>
        </w:rPr>
        <w:t xml:space="preserve"> </w:t>
      </w:r>
      <w:r>
        <w:rPr>
          <w:rStyle w:val="DecValTok"/>
        </w:rPr>
        <w:t xml:space="preserve">2</w:t>
      </w:r>
      <w:r>
        <w:rPr>
          <w:rStyle w:val="NormalTok"/>
        </w:rPr>
        <w:t xml:space="preserve">, </w:t>
      </w:r>
      <w:r>
        <w:rPr>
          <w:rStyle w:val="StringTok"/>
        </w:rPr>
        <w:t xml:space="preserve">"Tratamento"</w:t>
      </w:r>
      <w:r>
        <w:rPr>
          <w:rStyle w:val="NormalTok"/>
        </w:rPr>
        <w:t xml:space="preserve">, </w:t>
      </w:r>
      <w:r>
        <w:rPr>
          <w:rStyle w:val="AttributeTok"/>
        </w:rPr>
        <w:t xml:space="preserve">srt =</w:t>
      </w:r>
      <w:r>
        <w:rPr>
          <w:rStyle w:val="NormalTok"/>
        </w:rPr>
        <w:t xml:space="preserve"> </w:t>
      </w:r>
      <w:r>
        <w:rPr>
          <w:rStyle w:val="DecValTok"/>
        </w:rPr>
        <w:t xml:space="preserve">90</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br/>
      </w:r>
      <w:r>
        <w:rPr>
          <w:rStyle w:val="CommentTok"/>
        </w:rPr>
        <w:t xml:space="preserve"># Setas indicando o efeito</w:t>
      </w:r>
      <w:r>
        <w:br/>
      </w:r>
      <w:r>
        <w:rPr>
          <w:rStyle w:val="FunctionTok"/>
        </w:rPr>
        <w:t xml:space="preserve">arrows</w:t>
      </w:r>
      <w:r>
        <w:rPr>
          <w:rStyle w:val="NormalTok"/>
        </w:rPr>
        <w:t xml:space="preserve">(t_tratamento </w:t>
      </w:r>
      <w:r>
        <w:rPr>
          <w:rStyle w:val="SpecialCharTok"/>
        </w:rPr>
        <w:t xml:space="preserve">+</w:t>
      </w:r>
      <w:r>
        <w:rPr>
          <w:rStyle w:val="NormalTok"/>
        </w:rPr>
        <w:t xml:space="preserve"> </w:t>
      </w:r>
      <w:r>
        <w:rPr>
          <w:rStyle w:val="DecValTok"/>
        </w:rPr>
        <w:t xml:space="preserve">2</w:t>
      </w:r>
      <w:r>
        <w:rPr>
          <w:rStyle w:val="NormalTok"/>
        </w:rPr>
        <w:t xml:space="preserve">, </w:t>
      </w:r>
      <w:r>
        <w:rPr>
          <w:rStyle w:val="FunctionTok"/>
        </w:rPr>
        <w:t xml:space="preserve">mean</w:t>
      </w:r>
      <w:r>
        <w:rPr>
          <w:rStyle w:val="NormalTok"/>
        </w:rPr>
        <w:t xml:space="preserve">(y_cf[t </w:t>
      </w:r>
      <w:r>
        <w:rPr>
          <w:rStyle w:val="SpecialCharTok"/>
        </w:rPr>
        <w:t xml:space="preserve">&gt;=</w:t>
      </w:r>
      <w:r>
        <w:rPr>
          <w:rStyle w:val="NormalTok"/>
        </w:rPr>
        <w:t xml:space="preserve"> t_tratamento]),</w:t>
      </w:r>
      <w:r>
        <w:br/>
      </w:r>
      <w:r>
        <w:rPr>
          <w:rStyle w:val="NormalTok"/>
        </w:rPr>
        <w:t xml:space="preserve">       t_tratamento </w:t>
      </w:r>
      <w:r>
        <w:rPr>
          <w:rStyle w:val="SpecialCharTok"/>
        </w:rPr>
        <w:t xml:space="preserve">+</w:t>
      </w:r>
      <w:r>
        <w:rPr>
          <w:rStyle w:val="NormalTok"/>
        </w:rPr>
        <w:t xml:space="preserve"> </w:t>
      </w:r>
      <w:r>
        <w:rPr>
          <w:rStyle w:val="DecValTok"/>
        </w:rPr>
        <w:t xml:space="preserve">2</w:t>
      </w:r>
      <w:r>
        <w:rPr>
          <w:rStyle w:val="NormalTok"/>
        </w:rPr>
        <w:t xml:space="preserve">, </w:t>
      </w:r>
      <w:r>
        <w:rPr>
          <w:rStyle w:val="FunctionTok"/>
        </w:rPr>
        <w:t xml:space="preserve">mean</w:t>
      </w:r>
      <w:r>
        <w:rPr>
          <w:rStyle w:val="NormalTok"/>
        </w:rPr>
        <w:t xml:space="preserve">(y_trat[t </w:t>
      </w:r>
      <w:r>
        <w:rPr>
          <w:rStyle w:val="SpecialCharTok"/>
        </w:rPr>
        <w:t xml:space="preserve">&gt;=</w:t>
      </w:r>
      <w:r>
        <w:rPr>
          <w:rStyle w:val="NormalTok"/>
        </w:rPr>
        <w:t xml:space="preserve"> t_tratamento]),</w:t>
      </w:r>
      <w:r>
        <w:br/>
      </w:r>
      <w:r>
        <w:rPr>
          <w:rStyle w:val="NormalTok"/>
        </w:rPr>
        <w:t xml:space="preserve">       </w:t>
      </w:r>
      <w:r>
        <w:rPr>
          <w:rStyle w:val="AttributeTok"/>
        </w:rPr>
        <w:t xml:space="preserve">col =</w:t>
      </w:r>
      <w:r>
        <w:rPr>
          <w:rStyle w:val="NormalTok"/>
        </w:rPr>
        <w:t xml:space="preserve"> </w:t>
      </w:r>
      <w:r>
        <w:rPr>
          <w:rStyle w:val="StringTok"/>
        </w:rPr>
        <w:t xml:space="preserve">"#4CAF50"</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length =</w:t>
      </w:r>
      <w:r>
        <w:rPr>
          <w:rStyle w:val="NormalTok"/>
        </w:rPr>
        <w:t xml:space="preserve"> </w:t>
      </w:r>
      <w:r>
        <w:rPr>
          <w:rStyle w:val="FloatTok"/>
        </w:rPr>
        <w:t xml:space="preserve">0.1</w:t>
      </w:r>
      <w:r>
        <w:rPr>
          <w:rStyle w:val="NormalTok"/>
        </w:rPr>
        <w:t xml:space="preserve">, </w:t>
      </w:r>
      <w:r>
        <w:rPr>
          <w:rStyle w:val="AttributeTok"/>
        </w:rPr>
        <w:t xml:space="preserve">code =</w:t>
      </w:r>
      <w:r>
        <w:rPr>
          <w:rStyle w:val="NormalTok"/>
        </w:rPr>
        <w:t xml:space="preserve"> </w:t>
      </w:r>
      <w:r>
        <w:rPr>
          <w:rStyle w:val="DecValTok"/>
        </w:rPr>
        <w:t xml:space="preserve">3</w:t>
      </w:r>
      <w:r>
        <w:rPr>
          <w:rStyle w:val="NormalTok"/>
        </w:rPr>
        <w:t xml:space="preserve">)</w:t>
      </w:r>
      <w:r>
        <w:br/>
      </w:r>
      <w:r>
        <w:rPr>
          <w:rStyle w:val="FunctionTok"/>
        </w:rPr>
        <w:t xml:space="preserve">text</w:t>
      </w:r>
      <w:r>
        <w:rPr>
          <w:rStyle w:val="NormalTok"/>
        </w:rPr>
        <w:t xml:space="preserve">(t_tratamento </w:t>
      </w:r>
      <w:r>
        <w:rPr>
          <w:rStyle w:val="SpecialCharTok"/>
        </w:rPr>
        <w:t xml:space="preserve">+</w:t>
      </w:r>
      <w:r>
        <w:rPr>
          <w:rStyle w:val="NormalTok"/>
        </w:rPr>
        <w:t xml:space="preserve"> </w:t>
      </w:r>
      <w:r>
        <w:rPr>
          <w:rStyle w:val="DecValTok"/>
        </w:rPr>
        <w:t xml:space="preserve">3</w:t>
      </w:r>
      <w:r>
        <w:rPr>
          <w:rStyle w:val="NormalTok"/>
        </w:rPr>
        <w:t xml:space="preserve">, (</w:t>
      </w:r>
      <w:r>
        <w:rPr>
          <w:rStyle w:val="FunctionTok"/>
        </w:rPr>
        <w:t xml:space="preserve">mean</w:t>
      </w:r>
      <w:r>
        <w:rPr>
          <w:rStyle w:val="NormalTok"/>
        </w:rPr>
        <w:t xml:space="preserve">(y_cf[t </w:t>
      </w:r>
      <w:r>
        <w:rPr>
          <w:rStyle w:val="SpecialCharTok"/>
        </w:rPr>
        <w:t xml:space="preserve">&gt;=</w:t>
      </w:r>
      <w:r>
        <w:rPr>
          <w:rStyle w:val="NormalTok"/>
        </w:rPr>
        <w:t xml:space="preserve"> t_tratamento]) </w:t>
      </w:r>
      <w:r>
        <w:rPr>
          <w:rStyle w:val="SpecialCharTok"/>
        </w:rPr>
        <w:t xml:space="preserve">+</w:t>
      </w:r>
      <w:r>
        <w:rPr>
          <w:rStyle w:val="NormalTok"/>
        </w:rPr>
        <w:t xml:space="preserve"> </w:t>
      </w:r>
      <w:r>
        <w:rPr>
          <w:rStyle w:val="FunctionTok"/>
        </w:rPr>
        <w:t xml:space="preserve">mean</w:t>
      </w:r>
      <w:r>
        <w:rPr>
          <w:rStyle w:val="NormalTok"/>
        </w:rPr>
        <w:t xml:space="preserve">(y_trat[t </w:t>
      </w:r>
      <w:r>
        <w:rPr>
          <w:rStyle w:val="SpecialCharTok"/>
        </w:rPr>
        <w:t xml:space="preserve">&gt;=</w:t>
      </w:r>
      <w:r>
        <w:rPr>
          <w:rStyle w:val="NormalTok"/>
        </w:rPr>
        <w:t xml:space="preserve"> t_tratamento]))</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"DiD = "</w:t>
      </w:r>
      <w:r>
        <w:rPr>
          <w:rStyle w:val="NormalTok"/>
        </w:rPr>
        <w:t xml:space="preserve">, efeito_tratamento), </w:t>
      </w:r>
      <w:r>
        <w:rPr>
          <w:rStyle w:val="AttributeTok"/>
        </w:rPr>
        <w:t xml:space="preserve">col =</w:t>
      </w:r>
      <w:r>
        <w:rPr>
          <w:rStyle w:val="NormalTok"/>
        </w:rPr>
        <w:t xml:space="preserve"> </w:t>
      </w:r>
      <w:r>
        <w:rPr>
          <w:rStyle w:val="StringTok"/>
        </w:rPr>
        <w:t xml:space="preserve">"#4CAF50"</w:t>
      </w:r>
      <w:r>
        <w:rPr>
          <w:rStyle w:val="NormalTok"/>
        </w:rPr>
        <w:t xml:space="preserve">, </w:t>
      </w:r>
      <w:r>
        <w:rPr>
          <w:rStyle w:val="AttributeTok"/>
        </w:rPr>
        <w:t xml:space="preserve">font =</w:t>
      </w:r>
      <w:r>
        <w:rPr>
          <w:rStyle w:val="NormalTok"/>
        </w:rPr>
        <w:t xml:space="preserve"> </w:t>
      </w:r>
      <w:r>
        <w:rPr>
          <w:rStyle w:val="DecValTok"/>
        </w:rPr>
        <w:t xml:space="preserve">2</w:t>
      </w:r>
      <w:r>
        <w:rPr>
          <w:rStyle w:val="NormalTok"/>
        </w:rPr>
        <w:t xml:space="preserve">)</w:t>
      </w:r>
      <w:r>
        <w:br/>
      </w:r>
      <w:r>
        <w:br/>
      </w:r>
      <w:r>
        <w:rPr>
          <w:rStyle w:val="FunctionTok"/>
        </w:rPr>
        <w:t xml:space="preserve">legend</w:t>
      </w:r>
      <w:r>
        <w:rPr>
          <w:rStyle w:val="NormalTok"/>
        </w:rPr>
        <w:t xml:space="preserve">(</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"Tratado (observado)"</w:t>
      </w:r>
      <w:r>
        <w:rPr>
          <w:rStyle w:val="NormalTok"/>
        </w:rPr>
        <w:t xml:space="preserve">, </w:t>
      </w:r>
      <w:r>
        <w:rPr>
          <w:rStyle w:val="StringTok"/>
        </w:rPr>
        <w:t xml:space="preserve">"Controle"</w:t>
      </w:r>
      <w:r>
        <w:rPr>
          <w:rStyle w:val="NormalTok"/>
        </w:rPr>
        <w:t xml:space="preserve">, </w:t>
      </w:r>
      <w:r>
        <w:rPr>
          <w:rStyle w:val="StringTok"/>
        </w:rPr>
        <w:t xml:space="preserve">"Contrafactual"</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"#F44336"</w:t>
      </w:r>
      <w:r>
        <w:rPr>
          <w:rStyle w:val="NormalTok"/>
        </w:rPr>
        <w:t xml:space="preserve">, </w:t>
      </w:r>
      <w:r>
        <w:rPr>
          <w:rStyle w:val="StringTok"/>
        </w:rPr>
        <w:t xml:space="preserve">"#2196F3"</w:t>
      </w:r>
      <w:r>
        <w:rPr>
          <w:rStyle w:val="NormalTok"/>
        </w:rPr>
        <w:t xml:space="preserve">, </w:t>
      </w:r>
      <w:r>
        <w:rPr>
          <w:rStyle w:val="StringTok"/>
        </w:rPr>
        <w:t xml:space="preserve">"#F44336"</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19</w:t>
      </w:r>
      <w:r>
        <w:rPr>
          <w:rStyle w:val="NormalTok"/>
        </w:rPr>
        <w:t xml:space="preserve">, </w:t>
      </w:r>
      <w:r>
        <w:rPr>
          <w:rStyle w:val="DecValTok"/>
        </w:rPr>
        <w:t xml:space="preserve">17</w:t>
      </w:r>
      <w:r>
        <w:rPr>
          <w:rStyle w:val="NormalTok"/>
        </w:rPr>
        <w:t xml:space="preserve">, </w:t>
      </w:r>
      <w:r>
        <w:rPr>
          <w:rStyle w:val="ConstantTok"/>
        </w:rPr>
        <w:t xml:space="preserve">NA</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rPr>
          <w:rStyle w:val="FunctionTok"/>
        </w:rPr>
        <w:t xml:space="preserve">grid</w:t>
      </w:r>
      <w:r>
        <w:rPr>
          <w:rStyle w:val="NormalTok"/>
        </w:rPr>
        <w:t xml:space="preserve">(</w:t>
      </w:r>
      <w:r>
        <w:rPr>
          <w:rStyle w:val="AttributeTok"/>
        </w:rPr>
        <w:t xml:space="preserve">col =</w:t>
      </w:r>
      <w:r>
        <w:rPr>
          <w:rStyle w:val="NormalTok"/>
        </w:rPr>
        <w:t xml:space="preserve"> </w:t>
      </w:r>
      <w:r>
        <w:rPr>
          <w:rStyle w:val="StringTok"/>
        </w:rPr>
        <w:t xml:space="preserve">"gray90"</w:t>
      </w:r>
      <w:r>
        <w:rPr>
          <w:rStyle w:val="NormalTok"/>
        </w:rPr>
        <w:t xml:space="preserve">)</w:t>
      </w:r>
    </w:p>
    <w:p>
      <w:pPr>
        <w:pStyle w:val="BlockText"/>
      </w:pPr>
      <w:r>
        <w:rPr>
          <w:b/>
          <w:bCs/>
        </w:rPr>
        <w:t xml:space="preserve">Experimente:</w:t>
      </w:r>
      <w:r>
        <w:t xml:space="preserve"> </w:t>
      </w:r>
      <w:r>
        <w:t xml:space="preserve">Altere</w:t>
      </w:r>
      <w:r>
        <w:t xml:space="preserve"> </w:t>
      </w:r>
      <w:r>
        <w:rPr>
          <w:rStyle w:val="VerbatimChar"/>
        </w:rPr>
        <w:t xml:space="preserve">efeito_tratamento</w:t>
      </w:r>
      <w:r>
        <w:t xml:space="preserve"> </w:t>
      </w:r>
      <w:r>
        <w:t xml:space="preserve">para 0 e observe que as linhas do tratado e do contrafactual se sobrepõem — efeito nulo. Aumente para -15 e veja o</w:t>
      </w:r>
      <w:r>
        <w:t xml:space="preserve"> </w:t>
      </w:r>
      <w:r>
        <w:t xml:space="preserve">“salto”</w:t>
      </w:r>
      <w:r>
        <w:t xml:space="preserve"> </w:t>
      </w:r>
      <w:r>
        <w:t xml:space="preserve">ficar dramático. Mude</w:t>
      </w:r>
      <w:r>
        <w:t xml:space="preserve"> </w:t>
      </w:r>
      <w:r>
        <w:rPr>
          <w:rStyle w:val="VerbatimChar"/>
        </w:rPr>
        <w:t xml:space="preserve">tendencia</w:t>
      </w:r>
      <w:r>
        <w:t xml:space="preserve"> </w:t>
      </w:r>
      <w:r>
        <w:t xml:space="preserve">para valores diferentes entre tratado e controle (quebrando tendências paralelas) para ver como a estimativa DiD se torna enviesada.</w:t>
      </w:r>
    </w:p>
    <w:bookmarkEnd w:id="1372"/>
    <w:bookmarkStart w:id="1373" w:name="Xf2fcd5d56cef32956e4bb9fa67f59150f5337d1"/>
    <w:p>
      <w:pPr>
        <w:pStyle w:val="Heading4"/>
      </w:pPr>
      <w:r>
        <w:t xml:space="preserve">22.5.5 O Nobel de 2021: a revolução da credibilidade</w:t>
      </w:r>
    </w:p>
    <w:p>
      <w:pPr>
        <w:pStyle w:val="FirstParagraph"/>
      </w:pPr>
      <w:r>
        <w:t xml:space="preserve">O Nobel de 2021, concedido a Card, Angrist e Imbens, reconheceu não apenas resultados empíricos específicos, mas uma</w:t>
      </w:r>
      <w:r>
        <w:t xml:space="preserve"> </w:t>
      </w:r>
      <w:r>
        <w:rPr>
          <w:b/>
          <w:bCs/>
        </w:rPr>
        <w:t xml:space="preserve">mudança de paradigma</w:t>
      </w:r>
      <w:r>
        <w:t xml:space="preserve"> </w:t>
      </w:r>
      <w:r>
        <w:t xml:space="preserve">na forma como economistas fazem pesquisa empírica. Antes da</w:t>
      </w:r>
      <w:r>
        <w:t xml:space="preserve"> </w:t>
      </w:r>
      <w:r>
        <w:t xml:space="preserve">“revolução da credibilidade”</w:t>
      </w:r>
      <w:r>
        <w:t xml:space="preserve"> </w:t>
      </w:r>
      <w:r>
        <w:t xml:space="preserve">(</w:t>
      </w:r>
      <w:r>
        <w:rPr>
          <w:i/>
          <w:iCs/>
        </w:rPr>
        <w:t xml:space="preserve">credibility revolution</w:t>
      </w:r>
      <w:r>
        <w:t xml:space="preserve">), a pesquisa empírica em economia frequentemente utilizava regressões com muitas variáveis de controle, sem estratégia clara de identificação causal. Os trabalhos de Card (experimentos naturais), Angrist (variáveis instrumentais) e Imbens (estimação do LATE —</w:t>
      </w:r>
      <w:r>
        <w:t xml:space="preserve"> </w:t>
      </w:r>
      <w:r>
        <w:rPr>
          <w:i/>
          <w:iCs/>
        </w:rPr>
        <w:t xml:space="preserve">Local Average Treatment Effect</w:t>
      </w:r>
      <w:r>
        <w:t xml:space="preserve">) estabeleceram um novo padrão: toda estimativa causal deve ser acompanhada de uma</w:t>
      </w:r>
      <w:r>
        <w:t xml:space="preserve"> </w:t>
      </w:r>
      <w:r>
        <w:rPr>
          <w:i/>
          <w:iCs/>
        </w:rPr>
        <w:t xml:space="preserve">estratégia de identificação</w:t>
      </w:r>
      <w:r>
        <w:t xml:space="preserve"> </w:t>
      </w:r>
      <w:r>
        <w:t xml:space="preserve">transparente e plausível.</w:t>
      </w:r>
    </w:p>
    <w:p>
      <w:pPr>
        <w:pStyle w:val="BlockText"/>
      </w:pPr>
      <w:r>
        <w:rPr>
          <w:b/>
          <w:bCs/>
        </w:rPr>
        <w:t xml:space="preserve">[INTUICAO ECONOMICA] Intuição Econômica</w:t>
      </w:r>
    </w:p>
    <w:p>
      <w:pPr>
        <w:pStyle w:val="BlockText"/>
      </w:pPr>
      <w:r>
        <w:rPr>
          <w:b/>
          <w:bCs/>
        </w:rPr>
        <w:t xml:space="preserve">Em uma frase:</w:t>
      </w:r>
      <w:r>
        <w:t xml:space="preserve"> </w:t>
      </w:r>
      <w:r>
        <w:t xml:space="preserve">A revolução da credibilidade transformou a economia empírica ao exigir que todo estudo causal apresente uma estratégia de identificação transparente —</w:t>
      </w:r>
      <w:r>
        <w:t xml:space="preserve"> </w:t>
      </w:r>
      <w:r>
        <w:t xml:space="preserve">“como você sabe que é causal e não correlação?”</w:t>
      </w:r>
    </w:p>
    <w:p>
      <w:pPr>
        <w:pStyle w:val="BlockText"/>
      </w:pPr>
      <w:r>
        <w:rPr>
          <w:b/>
          <w:bCs/>
        </w:rPr>
        <w:t xml:space="preserve">Pense assim:</w:t>
      </w:r>
      <w:r>
        <w:t xml:space="preserve"> </w:t>
      </w:r>
      <w:r>
        <w:t xml:space="preserve">Antes da revolução, economistas frequentemente argumentavam:</w:t>
      </w:r>
      <w:r>
        <w:t xml:space="preserve"> </w:t>
      </w:r>
      <w:r>
        <w:t xml:space="preserve">“Controlei por renda, escolaridade, idade, região, e o coeficiente do salário mínimo sobre emprego é X.”</w:t>
      </w:r>
      <w:r>
        <w:t xml:space="preserve"> </w:t>
      </w:r>
      <w:r>
        <w:t xml:space="preserve">A crítica é:</w:t>
      </w:r>
      <w:r>
        <w:t xml:space="preserve"> </w:t>
      </w:r>
      <w:r>
        <w:t xml:space="preserve">“Mas e os fatores que você</w:t>
      </w:r>
      <w:r>
        <w:t xml:space="preserve"> </w:t>
      </w:r>
      <w:r>
        <w:rPr>
          <w:i/>
          <w:iCs/>
        </w:rPr>
        <w:t xml:space="preserve">não</w:t>
      </w:r>
      <w:r>
        <w:t xml:space="preserve"> </w:t>
      </w:r>
      <w:r>
        <w:t xml:space="preserve">controlou? E se esses fatores estão correlacionados com o salário mínimo?”</w:t>
      </w:r>
      <w:r>
        <w:t xml:space="preserve"> </w:t>
      </w:r>
      <w:r>
        <w:t xml:space="preserve">Depois da revolução, o padrão é:</w:t>
      </w:r>
      <w:r>
        <w:t xml:space="preserve"> </w:t>
      </w:r>
      <w:r>
        <w:t xml:space="preserve">“Usei a variação exógena do limiar de New Jersey como quase-experimento, comparando com a Pensilvânia que não teve mudança. As tendências paralelas pré-tratamento confirmam a validade do design.”</w:t>
      </w:r>
      <w:r>
        <w:t xml:space="preserve"> </w:t>
      </w:r>
      <w:r>
        <w:t xml:space="preserve">A diferença não é técnica — é de</w:t>
      </w:r>
      <w:r>
        <w:t xml:space="preserve"> </w:t>
      </w:r>
      <w:r>
        <w:rPr>
          <w:i/>
          <w:iCs/>
        </w:rPr>
        <w:t xml:space="preserve">cultura científica</w:t>
      </w:r>
      <w:r>
        <w:t xml:space="preserve">.</w:t>
      </w:r>
    </w:p>
    <w:p>
      <w:pPr>
        <w:pStyle w:val="BlockText"/>
      </w:pPr>
      <w:r>
        <w:rPr>
          <w:b/>
          <w:bCs/>
        </w:rPr>
        <w:t xml:space="preserve">Por que isso importa:</w:t>
      </w:r>
      <w:r>
        <w:t xml:space="preserve"> </w:t>
      </w:r>
      <w:r>
        <w:t xml:space="preserve">Para o estudante de economia, a mensagem é: nunca confie em um estudo que reporta uma relação causal sem explicar</w:t>
      </w:r>
      <w:r>
        <w:t xml:space="preserve"> </w:t>
      </w:r>
      <w:r>
        <w:rPr>
          <w:i/>
          <w:iCs/>
        </w:rPr>
        <w:t xml:space="preserve">por que</w:t>
      </w:r>
      <w:r>
        <w:t xml:space="preserve"> </w:t>
      </w:r>
      <w:r>
        <w:t xml:space="preserve">a estimativa é causal. Pergunte sempre:</w:t>
      </w:r>
      <w:r>
        <w:t xml:space="preserve"> </w:t>
      </w:r>
      <w:r>
        <w:t xml:space="preserve">“Qual é a estratégia de identificação? Quais são as hipóteses necessárias? Essas hipóteses são plausíveis?”</w:t>
      </w:r>
    </w:p>
    <w:p>
      <w:pPr>
        <w:pStyle w:val="BlockText"/>
      </w:pPr>
      <w:r>
        <w:rPr>
          <w:b/>
          <w:bCs/>
        </w:rPr>
        <w:t xml:space="preserve">[BOX MUNDO] Box Mundo 22.2 — A crise de replicação em economia experimental</w:t>
      </w:r>
    </w:p>
    <w:p>
      <w:pPr>
        <w:pStyle w:val="BlockText"/>
      </w:pPr>
      <w:r>
        <w:rPr>
          <w:b/>
          <w:bCs/>
        </w:rPr>
        <w:t xml:space="preserve">Contexto:</w:t>
      </w:r>
      <w:r>
        <w:t xml:space="preserve"> </w:t>
      </w:r>
      <w:r>
        <w:t xml:space="preserve">Em 2016, Colin Camerer e 23 coautores publicaram no</w:t>
      </w:r>
      <w:r>
        <w:t xml:space="preserve"> </w:t>
      </w:r>
      <w:r>
        <w:rPr>
          <w:i/>
          <w:iCs/>
        </w:rPr>
        <w:t xml:space="preserve">Science</w:t>
      </w:r>
      <w:r>
        <w:t xml:space="preserve"> </w:t>
      </w:r>
      <w:r>
        <w:t xml:space="preserve">os resultados de um ambicioso projeto de replicação: tentaram reproduzir 18 experimentos de laboratório publicados na</w:t>
      </w:r>
      <w:r>
        <w:t xml:space="preserve"> </w:t>
      </w:r>
      <w:r>
        <w:rPr>
          <w:i/>
          <w:iCs/>
        </w:rPr>
        <w:t xml:space="preserve">American Economic Review</w:t>
      </w:r>
      <w:r>
        <w:t xml:space="preserve"> </w:t>
      </w:r>
      <w:r>
        <w:t xml:space="preserve">e na</w:t>
      </w:r>
      <w:r>
        <w:t xml:space="preserve"> </w:t>
      </w:r>
      <w:r>
        <w:rPr>
          <w:i/>
          <w:iCs/>
        </w:rPr>
        <w:t xml:space="preserve">Quarterly Journal of Economics</w:t>
      </w:r>
      <w:r>
        <w:t xml:space="preserve"> </w:t>
      </w:r>
      <w:r>
        <w:t xml:space="preserve">entre 2011 e 2014 — dois dos periódicos mais prestigiosos da profissão.</w:t>
      </w:r>
    </w:p>
    <w:p>
      <w:pPr>
        <w:pStyle w:val="BlockText"/>
      </w:pPr>
      <w:r>
        <w:rPr>
          <w:b/>
          <w:bCs/>
        </w:rPr>
        <w:t xml:space="preserve">Dados:</w:t>
      </w:r>
      <w:r>
        <w:t xml:space="preserve"> </w:t>
      </w:r>
      <w:r>
        <w:t xml:space="preserve">Usando amostras consideravelmente maiores que os estudos originais (em média 5 vezes), o projeto replicou o resultado original (com efeito significativo na mesma direção) em apenas</w:t>
      </w:r>
      <w:r>
        <w:t xml:space="preserve"> </w:t>
      </w:r>
      <w:r>
        <w:rPr>
          <w:b/>
          <w:bCs/>
        </w:rPr>
        <w:t xml:space="preserve">11 dos 18 estudos</w:t>
      </w:r>
      <w:r>
        <w:t xml:space="preserve"> </w:t>
      </w:r>
      <w:r>
        <w:t xml:space="preserve">(61%). Dos 7 que falharam, os efeitos estimados eram em média 33% menores que os originais. Os estudos que replicaram com sucesso tinham, em média, efeitos originais maiores e p-valores mais baixos.</w:t>
      </w:r>
    </w:p>
    <w:p>
      <w:pPr>
        <w:pStyle w:val="BlockText"/>
      </w:pPr>
      <w:r>
        <w:rPr>
          <w:b/>
          <w:bCs/>
        </w:rPr>
        <w:t xml:space="preserve">Análise:</w:t>
      </w:r>
      <w:r>
        <w:t xml:space="preserve"> </w:t>
      </w:r>
      <w:r>
        <w:t xml:space="preserve">A taxa de replicação de 61% é preocupante, mas significativamente melhor que em psicologia (36% no projeto de replicação de 2015). As causas incluem: (i)</w:t>
      </w:r>
      <w:r>
        <w:t xml:space="preserve"> </w:t>
      </w:r>
      <w:r>
        <w:rPr>
          <w:b/>
          <w:bCs/>
        </w:rPr>
        <w:t xml:space="preserve">viés de publicação</w:t>
      </w:r>
      <w:r>
        <w:t xml:space="preserve"> </w:t>
      </w:r>
      <w:r>
        <w:t xml:space="preserve">— periódicos publicam preferencialmente resultados</w:t>
      </w:r>
      <w:r>
        <w:t xml:space="preserve"> </w:t>
      </w:r>
      <w:r>
        <w:t xml:space="preserve">“significativos”</w:t>
      </w:r>
      <w:r>
        <w:t xml:space="preserve"> </w:t>
      </w:r>
      <w:r>
        <w:t xml:space="preserve">e</w:t>
      </w:r>
      <w:r>
        <w:t xml:space="preserve"> </w:t>
      </w:r>
      <w:r>
        <w:t xml:space="preserve">“surpreendentes”</w:t>
      </w:r>
      <w:r>
        <w:t xml:space="preserve">, inflando artificialmente os efeitos; (ii)</w:t>
      </w:r>
      <w:r>
        <w:t xml:space="preserve"> </w:t>
      </w:r>
      <w:r>
        <w:rPr>
          <w:b/>
          <w:bCs/>
        </w:rPr>
        <w:t xml:space="preserve">práticas questionáveis de pesquisa</w:t>
      </w:r>
      <w:r>
        <w:t xml:space="preserve"> </w:t>
      </w:r>
      <w:r>
        <w:t xml:space="preserve">(</w:t>
      </w:r>
      <w:r>
        <w:rPr>
          <w:i/>
          <w:iCs/>
        </w:rPr>
        <w:t xml:space="preserve">p-hacking</w:t>
      </w:r>
      <w:r>
        <w:t xml:space="preserve">): testar múltiplas especificações até encontrar uma significativa; (iii)</w:t>
      </w:r>
      <w:r>
        <w:t xml:space="preserve"> </w:t>
      </w:r>
      <w:r>
        <w:rPr>
          <w:b/>
          <w:bCs/>
        </w:rPr>
        <w:t xml:space="preserve">amostras pequenas</w:t>
      </w:r>
      <w:r>
        <w:t xml:space="preserve"> </w:t>
      </w:r>
      <w:r>
        <w:t xml:space="preserve">que geram estimativas imprecisas e infladas. A resposta da profissão inclui pré-registro de hipóteses (registrar o plano de análise antes de ver os dados), relatórios registrados (</w:t>
      </w:r>
      <w:r>
        <w:rPr>
          <w:i/>
          <w:iCs/>
        </w:rPr>
        <w:t xml:space="preserve">registered reports</w:t>
      </w:r>
      <w:r>
        <w:t xml:space="preserve">), e exigência de replicação como condição de publicação.</w:t>
      </w:r>
    </w:p>
    <w:p>
      <w:pPr>
        <w:pStyle w:val="BlockText"/>
      </w:pPr>
      <w:r>
        <w:rPr>
          <w:b/>
          <w:bCs/>
        </w:rPr>
        <w:t xml:space="preserve">Fonte:</w:t>
      </w:r>
      <w:r>
        <w:t xml:space="preserve"> </w:t>
      </w:r>
      <w:r>
        <w:t xml:space="preserve">Camerer, C. F. et al. 2016. Evaluating Replicability of Laboratory Experiments in Economics.</w:t>
      </w:r>
      <w:r>
        <w:t xml:space="preserve"> </w:t>
      </w:r>
      <w:r>
        <w:rPr>
          <w:i/>
          <w:iCs/>
        </w:rPr>
        <w:t xml:space="preserve">Science</w:t>
      </w:r>
      <w:r>
        <w:t xml:space="preserve">, 351(6280), 1433–1436.</w:t>
      </w:r>
    </w:p>
    <w:p>
      <w:r>
        <w:pict>
          <v:rect style="width:0;height:1.5pt" o:hralign="center" o:hrstd="t" o:hr="t"/>
        </w:pict>
      </w:r>
    </w:p>
    <w:bookmarkEnd w:id="1373"/>
    <w:bookmarkEnd w:id="1374"/>
    <w:bookmarkStart w:id="1377" w:name="X1a38b8a671f58b20d4079b68d6533216db2a364"/>
    <w:p>
      <w:pPr>
        <w:pStyle w:val="Heading3"/>
      </w:pPr>
      <w:r>
        <w:t xml:space="preserve">22.6 Desenho de Mecanismos Experimentais</w:t>
      </w:r>
    </w:p>
    <w:p>
      <w:pPr>
        <w:pStyle w:val="FirstParagraph"/>
      </w:pPr>
      <w:r>
        <w:t xml:space="preserve">Até aqui, usamos experimentos como um espelho: eles refletem a realidade de volta, mostrando se nossas teorias capturam ou não o comportamento humano. Agora, a lógica se inverte. Em vez de perguntar</w:t>
      </w:r>
      <w:r>
        <w:t xml:space="preserve"> </w:t>
      </w:r>
      <w:r>
        <w:t xml:space="preserve">“o mundo funciona como o modelo prevê?”</w:t>
      </w:r>
      <w:r>
        <w:t xml:space="preserve">, perguntamos</w:t>
      </w:r>
      <w:r>
        <w:t xml:space="preserve"> </w:t>
      </w:r>
      <w:r>
        <w:t xml:space="preserve">“como</w:t>
      </w:r>
      <w:r>
        <w:t xml:space="preserve"> </w:t>
      </w:r>
      <w:r>
        <w:rPr>
          <w:i/>
          <w:iCs/>
        </w:rPr>
        <w:t xml:space="preserve">desenhar</w:t>
      </w:r>
      <w:r>
        <w:t xml:space="preserve"> </w:t>
      </w:r>
      <w:r>
        <w:t xml:space="preserve">o mundo para que funcione melhor?”</w:t>
      </w:r>
      <w:r>
        <w:t xml:space="preserve"> </w:t>
      </w:r>
      <w:r>
        <w:t xml:space="preserve">É a diferença entre um biólogo que observa a natureza e um engenheiro que constrói uma ponte. Nesta seção, usamos experimentos não apenas para</w:t>
      </w:r>
      <w:r>
        <w:t xml:space="preserve"> </w:t>
      </w:r>
      <w:r>
        <w:rPr>
          <w:i/>
          <w:iCs/>
        </w:rPr>
        <w:t xml:space="preserve">testar</w:t>
      </w:r>
      <w:r>
        <w:t xml:space="preserve"> </w:t>
      </w:r>
      <w:r>
        <w:t xml:space="preserve">teorias, mas para</w:t>
      </w:r>
      <w:r>
        <w:t xml:space="preserve"> </w:t>
      </w:r>
      <w:r>
        <w:rPr>
          <w:i/>
          <w:iCs/>
        </w:rPr>
        <w:t xml:space="preserve">desenhar</w:t>
      </w:r>
      <w:r>
        <w:t xml:space="preserve"> </w:t>
      </w:r>
      <w:r>
        <w:t xml:space="preserve">instituições econômicas melhores — leilões, mercados e mecanismos de alocação.</w:t>
      </w:r>
    </w:p>
    <w:bookmarkStart w:id="1375" w:name="X67ce22f5ab336f2184e89bcab7aff40e34879d1"/>
    <w:p>
      <w:pPr>
        <w:pStyle w:val="Heading4"/>
      </w:pPr>
      <w:r>
        <w:t xml:space="preserve">22.6.1 Testando a teoria de leilões em laboratório</w:t>
      </w:r>
    </w:p>
    <w:p>
      <w:pPr>
        <w:pStyle w:val="FirstParagraph"/>
      </w:pPr>
      <w:r>
        <w:t xml:space="preserve">A teoria de leilões (Capítulo 9c) faz previsões precisas sobre como jogadores devem se comportar em diferentes formatos de leilão. O leilão de segundo preço (Vickrey), por exemplo, prevê que a estratégia dominante é dar lance igual ao verdadeiro valor. O leilão de primeiro preço prevê</w:t>
      </w:r>
      <w:r>
        <w:t xml:space="preserve"> </w:t>
      </w:r>
      <w:r>
        <w:rPr>
          <w:i/>
          <w:iCs/>
        </w:rPr>
        <w:t xml:space="preserve">bid shading</w:t>
      </w:r>
      <w:r>
        <w:t xml:space="preserve"> </w:t>
      </w:r>
      <w:r>
        <w:t xml:space="preserve">— lances abaixo do valor verdadeiro, com a margem de sombreamento dependendo do número de competidores e da distribuição de valores.</w:t>
      </w:r>
    </w:p>
    <w:p>
      <w:pPr>
        <w:pStyle w:val="BodyText"/>
      </w:pPr>
      <w:r>
        <w:t xml:space="preserve">Os experimentos de laboratório testaram essas previsões extensivamente:</w:t>
      </w:r>
    </w:p>
    <w:p>
      <w:pPr>
        <w:numPr>
          <w:ilvl w:val="0"/>
          <w:numId w:val="2197"/>
        </w:numPr>
      </w:pPr>
      <w:r>
        <w:rPr>
          <w:b/>
          <w:bCs/>
        </w:rPr>
        <w:t xml:space="preserve">Leilão de segundo preço</w:t>
      </w:r>
      <w:r>
        <w:t xml:space="preserve">: os participantes tendem a dar lances próximos do valor verdadeiro, mas com</w:t>
      </w:r>
      <w:r>
        <w:t xml:space="preserve"> </w:t>
      </w:r>
      <w:r>
        <w:t xml:space="preserve">“excesso de lance”</w:t>
      </w:r>
      <w:r>
        <w:t xml:space="preserve"> </w:t>
      </w:r>
      <w:r>
        <w:t xml:space="preserve">(</w:t>
      </w:r>
      <w:r>
        <w:rPr>
          <w:i/>
          <w:iCs/>
        </w:rPr>
        <w:t xml:space="preserve">overbidding</w:t>
      </w:r>
      <w:r>
        <w:t xml:space="preserve">) modesto. O overbidding é mais pronunciado quando as apostas são baixas e os participantes são inexperientes — consistente com uma combinação de aversão a perda e imprecisão nas estratégias.</w:t>
      </w:r>
    </w:p>
    <w:p>
      <w:pPr>
        <w:numPr>
          <w:ilvl w:val="0"/>
          <w:numId w:val="2197"/>
        </w:numPr>
      </w:pPr>
      <w:r>
        <w:rPr>
          <w:b/>
          <w:bCs/>
        </w:rPr>
        <w:t xml:space="preserve">Leilão de primeiro preço</w:t>
      </w:r>
      <w:r>
        <w:t xml:space="preserve">: o bid shading observado é consistente com a teoria, mas os lances são sistematicamente</w:t>
      </w:r>
      <w:r>
        <w:t xml:space="preserve"> </w:t>
      </w:r>
      <w:r>
        <w:rPr>
          <w:i/>
          <w:iCs/>
        </w:rPr>
        <w:t xml:space="preserve">mais altos</w:t>
      </w:r>
      <w:r>
        <w:t xml:space="preserve"> </w:t>
      </w:r>
      <w:r>
        <w:t xml:space="preserve">que a previsão do equilíbrio de Nash com agentes neutros ao risco. A explicação mais aceita é a</w:t>
      </w:r>
      <w:r>
        <w:t xml:space="preserve"> </w:t>
      </w:r>
      <w:r>
        <w:rPr>
          <w:b/>
          <w:bCs/>
        </w:rPr>
        <w:t xml:space="preserve">aversão ao risco</w:t>
      </w:r>
      <w:r>
        <w:t xml:space="preserve">: participantes avessos ao risco (Capítulo 7) dão lances mais altos para aumentar a probabilidade de vencer, sacrificando lucro esperado por segurança.</w:t>
      </w:r>
    </w:p>
    <w:p>
      <w:pPr>
        <w:numPr>
          <w:ilvl w:val="0"/>
          <w:numId w:val="2197"/>
        </w:numPr>
      </w:pPr>
      <w:r>
        <w:rPr>
          <w:b/>
          <w:bCs/>
        </w:rPr>
        <w:t xml:space="preserve">Teorema de equivalência de receita</w:t>
      </w:r>
      <w:r>
        <w:t xml:space="preserve">: a previsão teórica de que leilões de primeiro e segundo preço geram a mesma receita esperada (com agentes neutros ao risco) é sistematicamente</w:t>
      </w:r>
      <w:r>
        <w:t xml:space="preserve"> </w:t>
      </w:r>
      <w:r>
        <w:rPr>
          <w:i/>
          <w:iCs/>
        </w:rPr>
        <w:t xml:space="preserve">violada</w:t>
      </w:r>
      <w:r>
        <w:t xml:space="preserve"> </w:t>
      </w:r>
      <w:r>
        <w:t xml:space="preserve">em laboratório: leilões de primeiro preço geram receita maior, consistente com a aversão ao risco dos participantes.</w:t>
      </w:r>
    </w:p>
    <w:p>
      <w:pPr>
        <w:numPr>
          <w:ilvl w:val="0"/>
          <w:numId w:val="2197"/>
        </w:numPr>
      </w:pPr>
      <w:r>
        <w:rPr>
          <w:b/>
          <w:bCs/>
        </w:rPr>
        <w:t xml:space="preserve">Maldição do vencedor</w:t>
      </w:r>
      <w:r>
        <w:t xml:space="preserve"> </w:t>
      </w:r>
      <w:r>
        <w:t xml:space="preserve">(</w:t>
      </w:r>
      <w:r>
        <w:rPr>
          <w:i/>
          <w:iCs/>
        </w:rPr>
        <w:t xml:space="preserve">winner’s curse</w:t>
      </w:r>
      <w:r>
        <w:t xml:space="preserve">): em leilões de valor comum (todos os licitantes valorizam igualmente o bem, mas estimam seu valor com erro), o vencedor é tipicamente aquele com a estimativa mais otimista — e portanto mais enviesada. Experimentalmente, a maldição do vencedor é pronunciada: participantes frequentemente pagam mais do que o bem vale, especialmente quando há muitos competidores.</w:t>
      </w:r>
    </w:p>
    <w:bookmarkEnd w:id="1375"/>
    <w:bookmarkStart w:id="1376" w:name="Xb51fe3d073654b7318f0cc922d1b94a4918bc58"/>
    <w:p>
      <w:pPr>
        <w:pStyle w:val="Heading4"/>
      </w:pPr>
      <w:r>
        <w:t xml:space="preserve">22.6.2 Design de mercados: troca de rins e matching</w:t>
      </w:r>
    </w:p>
    <w:p>
      <w:pPr>
        <w:pStyle w:val="FirstParagraph"/>
      </w:pPr>
      <w:r>
        <w:t xml:space="preserve">O Prêmio Nobel de 2012 foi concedido a</w:t>
      </w:r>
      <w:r>
        <w:t xml:space="preserve"> </w:t>
      </w:r>
      <w:r>
        <w:rPr>
          <w:b/>
          <w:bCs/>
        </w:rPr>
        <w:t xml:space="preserve">Alvin Roth</w:t>
      </w:r>
      <w:r>
        <w:t xml:space="preserve"> </w:t>
      </w:r>
      <w:r>
        <w:t xml:space="preserve">(junto com Lloyd Shapley)</w:t>
      </w:r>
      <w:r>
        <w:t xml:space="preserve"> </w:t>
      </w:r>
      <w:r>
        <w:t xml:space="preserve">“pela teoria de alocações estáveis e a prática de desenho de mercados”</w:t>
      </w:r>
      <w:r>
        <w:t xml:space="preserve">. Roth é talvez o melhor exemplo de economista que usou tanto a teoria formal quanto a experimentação para resolver problemas reais de desenho institucional.</w:t>
      </w:r>
    </w:p>
    <w:p>
      <w:pPr>
        <w:pStyle w:val="BodyText"/>
      </w:pPr>
      <w:r>
        <w:t xml:space="preserve">O caso mais emblemático é o sistema de</w:t>
      </w:r>
      <w:r>
        <w:t xml:space="preserve"> </w:t>
      </w:r>
      <w:r>
        <w:rPr>
          <w:b/>
          <w:bCs/>
        </w:rPr>
        <w:t xml:space="preserve">troca de rins</w:t>
      </w:r>
      <w:r>
        <w:t xml:space="preserve"> </w:t>
      </w:r>
      <w:r>
        <w:t xml:space="preserve">(</w:t>
      </w:r>
      <w:r>
        <w:rPr>
          <w:i/>
          <w:iCs/>
        </w:rPr>
        <w:t xml:space="preserve">kidney exchange</w:t>
      </w:r>
      <w:r>
        <w:t xml:space="preserve">). O problema: muitos pacientes que precisam de transplante renal têm doadores vivos dispostos (geralmente familiares), mas o doador é incompatível com o receptor específico. A solução de mercado (comprar e vender rins) é proibida por lei na maioria dos países, por razões éticas. A solução de Roth e colegas foi desenhar um mecanismo de</w:t>
      </w:r>
      <w:r>
        <w:t xml:space="preserve"> </w:t>
      </w:r>
      <w:r>
        <w:rPr>
          <w:b/>
          <w:bCs/>
        </w:rPr>
        <w:t xml:space="preserve">troca pareada</w:t>
      </w:r>
      <w:r>
        <w:t xml:space="preserve">: se o doador de A é compatível com B, e o doador de B é compatível com A, os doadores trocam — A recebe o rim do doador de B e vice-versa. O sistema foi expandido para cadeias maiores (A→B→C→…→A) e para cadeias abertas iniciadas por doadores altruístas.</w:t>
      </w:r>
    </w:p>
    <w:p>
      <w:pPr>
        <w:pStyle w:val="BlockText"/>
      </w:pPr>
      <w:r>
        <w:rPr>
          <w:b/>
          <w:bCs/>
        </w:rPr>
        <w:t xml:space="preserve">[BOX MUNDO] Box Mundo 22.3 — Alvin Roth e a troca de rins</w:t>
      </w:r>
    </w:p>
    <w:p>
      <w:pPr>
        <w:pStyle w:val="BlockText"/>
      </w:pPr>
      <w:r>
        <w:rPr>
          <w:b/>
          <w:bCs/>
        </w:rPr>
        <w:t xml:space="preserve">Contexto:</w:t>
      </w:r>
      <w:r>
        <w:t xml:space="preserve"> </w:t>
      </w:r>
      <w:r>
        <w:t xml:space="preserve">O New England Program for Kidney Exchange (NEPKE), desenhado por Roth, Sönmez e Ünver (2004), formalizou o primeiro mecanismo de troca renal sistematizado nos Estados Unidos. O algoritmo resolve um problema de</w:t>
      </w:r>
      <w:r>
        <w:t xml:space="preserve"> </w:t>
      </w:r>
      <w:r>
        <w:rPr>
          <w:b/>
          <w:bCs/>
        </w:rPr>
        <w:t xml:space="preserve">matching</w:t>
      </w:r>
      <w:r>
        <w:t xml:space="preserve"> </w:t>
      </w:r>
      <w:r>
        <w:t xml:space="preserve">(emparelhamento) com restrições de compatibilidade — formalmente análogo ao problema de casamento estável de Gale e Shapley (1962), mas com restrições médicas adicionais.</w:t>
      </w:r>
    </w:p>
    <w:p>
      <w:pPr>
        <w:pStyle w:val="BlockText"/>
      </w:pPr>
      <w:r>
        <w:rPr>
          <w:b/>
          <w:bCs/>
        </w:rPr>
        <w:t xml:space="preserve">Dados:</w:t>
      </w:r>
      <w:r>
        <w:t xml:space="preserve"> </w:t>
      </w:r>
      <w:r>
        <w:t xml:space="preserve">Nos Estados Unidos, o sistema de troca de rins facilitou mais de 6.000 transplantes até 2024. Antes do sistema, esses pacientes teriam permanecido em uma lista de espera de 5–10 anos para um rim de doador falecido — com taxa de mortalidade na fila de 5–10% ao ano. A expansão para cadeias longas (iniciadas por doadores altruístas) multiplicou o número de transplantes possíveis: uma única cadeia pode beneficiar dezenas de pares incompatíveis.</w:t>
      </w:r>
    </w:p>
    <w:p>
      <w:pPr>
        <w:pStyle w:val="BlockText"/>
      </w:pPr>
      <w:r>
        <w:rPr>
          <w:b/>
          <w:bCs/>
        </w:rPr>
        <w:t xml:space="preserve">Análise:</w:t>
      </w:r>
      <w:r>
        <w:t xml:space="preserve"> </w:t>
      </w:r>
      <w:r>
        <w:t xml:space="preserve">O sucesso do sistema de troca de rins ilustra como o</w:t>
      </w:r>
      <w:r>
        <w:t xml:space="preserve"> </w:t>
      </w:r>
      <w:r>
        <w:rPr>
          <w:b/>
          <w:bCs/>
        </w:rPr>
        <w:t xml:space="preserve">desenho de mecanismos</w:t>
      </w:r>
      <w:r>
        <w:t xml:space="preserve"> </w:t>
      </w:r>
      <w:r>
        <w:t xml:space="preserve">(Capítulo 9c) e a</w:t>
      </w:r>
      <w:r>
        <w:t xml:space="preserve"> </w:t>
      </w:r>
      <w:r>
        <w:rPr>
          <w:b/>
          <w:bCs/>
        </w:rPr>
        <w:t xml:space="preserve">teoria de matching</w:t>
      </w:r>
      <w:r>
        <w:t xml:space="preserve"> </w:t>
      </w:r>
      <w:r>
        <w:t xml:space="preserve">podem salvar vidas literalmente. O mecanismo resolve uma falha de mercado dupla: (i) a proibição legal de transações monetárias elimina o mecanismo de preços; (ii) a incompatibilidade bilateral impede trocas diretas. O algoritmo de Roth maximiza o número de transplantes possíveis, respeitando todas as restrições médicas e éticas. O caso demonstra que a microeconomia não é apenas descritiva — é uma ferramenta de engenharia social.</w:t>
      </w:r>
    </w:p>
    <w:p>
      <w:pPr>
        <w:pStyle w:val="BlockText"/>
      </w:pPr>
      <w:r>
        <w:rPr>
          <w:b/>
          <w:bCs/>
        </w:rPr>
        <w:t xml:space="preserve">Fonte:</w:t>
      </w:r>
      <w:r>
        <w:t xml:space="preserve"> </w:t>
      </w:r>
      <w:r>
        <w:t xml:space="preserve">Roth, A. E.; Sönmez, T.; Ünver, M. U. 2004. Kidney Exchange.</w:t>
      </w:r>
      <w:r>
        <w:t xml:space="preserve"> </w:t>
      </w:r>
      <w:r>
        <w:rPr>
          <w:i/>
          <w:iCs/>
        </w:rPr>
        <w:t xml:space="preserve">Quarterly Journal of Economics</w:t>
      </w:r>
      <w:r>
        <w:t xml:space="preserve">, 119(2), 457–488.</w:t>
      </w:r>
    </w:p>
    <w:p>
      <w:pPr>
        <w:pStyle w:val="BlockText"/>
      </w:pPr>
      <w:r>
        <w:rPr>
          <w:b/>
          <w:bCs/>
        </w:rPr>
        <w:t xml:space="preserve">[EXERCICIO RESOLVIDO] Exercício Resolvido 22.6 — Overbidding em leilão de segundo preço</w:t>
      </w:r>
    </w:p>
    <w:p>
      <w:pPr>
        <w:pStyle w:val="BlockText"/>
      </w:pPr>
      <w:r>
        <w:rPr>
          <w:b/>
          <w:bCs/>
        </w:rPr>
        <w:t xml:space="preserve">Enunciado.</w:t>
      </w:r>
      <w:r>
        <w:t xml:space="preserve"> </w:t>
      </w:r>
      <w:r>
        <w:t xml:space="preserve">Em um leilão de segundo preço com dois participantes, os valores são sorteados independentemente de uma distribuição uniforme em</w:t>
      </w:r>
      <w:r>
        <w:t xml:space="preserve"> </w:t>
      </w:r>
      <m:oMath>
        <m:r>
          <m:rPr>
            <m:sty m:val="p"/>
          </m:rPr>
          <m:t>[</m:t>
        </m:r>
        <m:r>
          <m:t>0</m:t>
        </m:r>
        <m:r>
          <m:rPr>
            <m:sty m:val="p"/>
          </m:rPr>
          <m:t>,</m:t>
        </m:r>
        <m:r>
          <m:t>100</m:t>
        </m:r>
        <m:r>
          <m:rPr>
            <m:sty m:val="p"/>
          </m:rPr>
          <m:t>]</m:t>
        </m:r>
      </m:oMath>
      <w:r>
        <w:t xml:space="preserve">. O jogador 1 tem valor</w:t>
      </w:r>
      <w:r>
        <w:t xml:space="preserve"> </w:t>
      </w:r>
      <m:oMath>
        <m:sSub>
          <m:e>
            <m:r>
              <m:t>v</m:t>
            </m:r>
          </m:e>
          <m:sub>
            <m:r>
              <m:t>1</m:t>
            </m:r>
          </m:sub>
        </m:sSub>
        <m:r>
          <m:rPr>
            <m:sty m:val="p"/>
          </m:rPr>
          <m:t>=</m:t>
        </m:r>
        <m:r>
          <m:t>60</m:t>
        </m:r>
      </m:oMath>
      <w:r>
        <w:t xml:space="preserve">.</w:t>
      </w:r>
    </w:p>
    <w:p>
      <w:pPr>
        <w:pStyle w:val="BlockText"/>
        <w:numPr>
          <w:ilvl w:val="0"/>
          <w:numId w:val="2198"/>
        </w:numPr>
      </w:pPr>
      <w:r>
        <w:t xml:space="preserve">Mostre que, no equilíbrio de Nash, a estratégia dominante é</w:t>
      </w:r>
      <w:r>
        <w:t xml:space="preserve"> </w:t>
      </w:r>
      <m:oMath>
        <m:sSub>
          <m:e>
            <m:r>
              <m:t>b</m:t>
            </m:r>
          </m:e>
          <m:sub>
            <m:r>
              <m:t>i</m:t>
            </m:r>
          </m:sub>
        </m:sSub>
        <m:r>
          <m:rPr>
            <m:sty m:val="p"/>
          </m:rPr>
          <m:t>=</m:t>
        </m:r>
        <m:sSub>
          <m:e>
            <m:r>
              <m:t>v</m:t>
            </m:r>
          </m:e>
          <m:sub>
            <m:r>
              <m:t>i</m:t>
            </m:r>
          </m:sub>
        </m:sSub>
      </m:oMath>
      <w:r>
        <w:t xml:space="preserve"> </w:t>
      </w:r>
      <w:r>
        <w:t xml:space="preserve">(dar lance igual ao valor).</w:t>
      </w:r>
    </w:p>
    <w:p>
      <w:pPr>
        <w:pStyle w:val="BlockText"/>
        <w:numPr>
          <w:ilvl w:val="0"/>
          <w:numId w:val="2198"/>
        </w:numPr>
      </w:pPr>
      <w:r>
        <w:t xml:space="preserve">Suponha que o jogador 1 dê um lance</w:t>
      </w:r>
      <w:r>
        <w:t xml:space="preserve"> </w:t>
      </w:r>
      <m:oMath>
        <m:sSub>
          <m:e>
            <m:r>
              <m:t>b</m:t>
            </m:r>
          </m:e>
          <m:sub>
            <m:r>
              <m:t>1</m:t>
            </m:r>
          </m:sub>
        </m:sSub>
        <m:r>
          <m:rPr>
            <m:sty m:val="p"/>
          </m:rPr>
          <m:t>=</m:t>
        </m:r>
        <m:r>
          <m:t>70</m:t>
        </m:r>
        <m:r>
          <m:rPr>
            <m:sty m:val="p"/>
          </m:rPr>
          <m:t>&gt;</m:t>
        </m:r>
        <m:sSub>
          <m:e>
            <m:r>
              <m:t>v</m:t>
            </m:r>
          </m:e>
          <m:sub>
            <m:r>
              <m:t>1</m:t>
            </m:r>
          </m:sub>
        </m:sSub>
        <m:r>
          <m:rPr>
            <m:sty m:val="p"/>
          </m:rPr>
          <m:t>=</m:t>
        </m:r>
        <m:r>
          <m:t>60</m:t>
        </m:r>
      </m:oMath>
      <w:r>
        <w:t xml:space="preserve"> </w:t>
      </w:r>
      <w:r>
        <w:t xml:space="preserve">(overbidding). Calcule a probabilidade de que esse desvio cause prejuízo.</w:t>
      </w:r>
    </w:p>
    <w:p>
      <w:pPr>
        <w:pStyle w:val="BlockText"/>
        <w:numPr>
          <w:ilvl w:val="0"/>
          <w:numId w:val="2198"/>
        </w:numPr>
      </w:pPr>
      <w:r>
        <w:t xml:space="preserve">Calcule a perda esperada condicional ao evento em que o overbidding causa prejuízo.</w:t>
      </w:r>
    </w:p>
    <w:p>
      <w:r>
        <w:pict>
          <v:rect style="width:0;height:1.5pt" o:hralign="center" o:hrstd="t" o:hr="t"/>
        </w:pict>
      </w:r>
    </w:p>
    <w:p>
      <w:pPr>
        <w:pStyle w:val="BlockText"/>
      </w:pPr>
      <w:r>
        <w:rPr>
          <w:b/>
          <w:bCs/>
        </w:rPr>
        <w:t xml:space="preserve">Solução.</w:t>
      </w:r>
    </w:p>
    <w:p>
      <w:pPr>
        <w:pStyle w:val="BlockText"/>
      </w:pPr>
      <w:r>
        <w:rPr>
          <w:b/>
          <w:bCs/>
        </w:rPr>
        <w:t xml:space="preserve">(a) Estratégia dominante.</w:t>
      </w:r>
    </w:p>
    <w:p>
      <w:pPr>
        <w:pStyle w:val="BlockText"/>
      </w:pPr>
      <w:r>
        <w:t xml:space="preserve">No leilão de segundo preço, o vencedor paga o segundo maior lance. Suponha que o jogador 1 dê lance</w:t>
      </w:r>
      <w:r>
        <w:t xml:space="preserve"> </w:t>
      </w:r>
      <m:oMath>
        <m:sSub>
          <m:e>
            <m:r>
              <m:t>b</m:t>
            </m:r>
          </m:e>
          <m:sub>
            <m:r>
              <m:t>1</m:t>
            </m:r>
          </m:sub>
        </m:sSub>
      </m:oMath>
      <w:r>
        <w:t xml:space="preserve">.</w:t>
      </w:r>
    </w:p>
    <w:p>
      <w:pPr>
        <w:pStyle w:val="Compact"/>
        <w:numPr>
          <w:ilvl w:val="0"/>
          <w:numId w:val="2199"/>
        </w:numPr>
      </w:pPr>
      <w:r>
        <w:t xml:space="preserve">Se</w:t>
      </w:r>
      <w:r>
        <w:t xml:space="preserve"> </w:t>
      </w:r>
      <m:oMath>
        <m:sSub>
          <m:e>
            <m:r>
              <m:t>b</m:t>
            </m:r>
          </m:e>
          <m:sub>
            <m:r>
              <m:t>1</m:t>
            </m:r>
          </m:sub>
        </m:sSub>
        <m:r>
          <m:rPr>
            <m:sty m:val="p"/>
          </m:rPr>
          <m:t>&gt;</m:t>
        </m:r>
        <m:sSub>
          <m:e>
            <m:r>
              <m:t>b</m:t>
            </m:r>
          </m:e>
          <m:sub>
            <m:r>
              <m:t>2</m:t>
            </m:r>
          </m:sub>
        </m:sSub>
      </m:oMath>
      <w:r>
        <w:t xml:space="preserve">: jogador 1 vence e paga</w:t>
      </w:r>
      <w:r>
        <w:t xml:space="preserve"> </w:t>
      </w:r>
      <m:oMath>
        <m:sSub>
          <m:e>
            <m:r>
              <m:t>b</m:t>
            </m:r>
          </m:e>
          <m:sub>
            <m:r>
              <m:t>2</m:t>
            </m:r>
          </m:sub>
        </m:sSub>
      </m:oMath>
      <w:r>
        <w:t xml:space="preserve">. Seu payoff é</w:t>
      </w:r>
      <w:r>
        <w:t xml:space="preserve"> </w:t>
      </w:r>
      <m:oMath>
        <m:sSub>
          <m:e>
            <m:r>
              <m:t>v</m:t>
            </m:r>
          </m:e>
          <m:sub>
            <m:r>
              <m:t>1</m:t>
            </m:r>
          </m:sub>
        </m:sSub>
        <m:r>
          <m:rPr>
            <m:sty m:val="p"/>
          </m:rPr>
          <m:t>−</m:t>
        </m:r>
        <m:sSub>
          <m:e>
            <m:r>
              <m:t>b</m:t>
            </m:r>
          </m:e>
          <m:sub>
            <m:r>
              <m:t>2</m:t>
            </m:r>
          </m:sub>
        </m:sSub>
      </m:oMath>
      <w:r>
        <w:t xml:space="preserve">.</w:t>
      </w:r>
    </w:p>
    <w:p>
      <w:pPr>
        <w:pStyle w:val="Compact"/>
        <w:numPr>
          <w:ilvl w:val="0"/>
          <w:numId w:val="2199"/>
        </w:numPr>
      </w:pPr>
      <w:r>
        <w:t xml:space="preserve">Se</w:t>
      </w:r>
      <w:r>
        <w:t xml:space="preserve"> </w:t>
      </w:r>
      <m:oMath>
        <m:sSub>
          <m:e>
            <m:r>
              <m:t>b</m:t>
            </m:r>
          </m:e>
          <m:sub>
            <m:r>
              <m:t>1</m:t>
            </m:r>
          </m:sub>
        </m:sSub>
        <m:r>
          <m:rPr>
            <m:sty m:val="p"/>
          </m:rPr>
          <m:t>&lt;</m:t>
        </m:r>
        <m:sSub>
          <m:e>
            <m:r>
              <m:t>b</m:t>
            </m:r>
          </m:e>
          <m:sub>
            <m:r>
              <m:t>2</m:t>
            </m:r>
          </m:sub>
        </m:sSub>
      </m:oMath>
      <w:r>
        <w:t xml:space="preserve">: jogador 1 perde. Payoff = 0.</w:t>
      </w:r>
    </w:p>
    <w:p>
      <w:pPr>
        <w:pStyle w:val="BlockText"/>
      </w:pPr>
      <w:r>
        <w:t xml:space="preserve">Se</w:t>
      </w:r>
      <w:r>
        <w:t xml:space="preserve"> </w:t>
      </w:r>
      <m:oMath>
        <m:sSub>
          <m:e>
            <m:r>
              <m:t>b</m:t>
            </m:r>
          </m:e>
          <m:sub>
            <m:r>
              <m:t>1</m:t>
            </m:r>
          </m:sub>
        </m:sSub>
        <m:r>
          <m:rPr>
            <m:sty m:val="p"/>
          </m:rPr>
          <m:t>&gt;</m:t>
        </m:r>
        <m:sSub>
          <m:e>
            <m:r>
              <m:t>v</m:t>
            </m:r>
          </m:e>
          <m:sub>
            <m:r>
              <m:t>1</m:t>
            </m:r>
          </m:sub>
        </m:sSub>
      </m:oMath>
      <w:r>
        <w:t xml:space="preserve"> </w:t>
      </w:r>
      <w:r>
        <w:t xml:space="preserve">(overbidding): o jogador vence em casos adicionais onde</w:t>
      </w:r>
      <w:r>
        <w:t xml:space="preserve"> </w:t>
      </w:r>
      <m:oMath>
        <m:sSub>
          <m:e>
            <m:r>
              <m:t>v</m:t>
            </m:r>
          </m:e>
          <m:sub>
            <m:r>
              <m:t>1</m:t>
            </m:r>
          </m:sub>
        </m:sSub>
        <m:r>
          <m:rPr>
            <m:sty m:val="p"/>
          </m:rPr>
          <m:t>&lt;</m:t>
        </m:r>
        <m:sSub>
          <m:e>
            <m:r>
              <m:t>b</m:t>
            </m:r>
          </m:e>
          <m:sub>
            <m:r>
              <m:t>2</m:t>
            </m:r>
          </m:sub>
        </m:sSub>
        <m:r>
          <m:rPr>
            <m:sty m:val="p"/>
          </m:rPr>
          <m:t>&lt;</m:t>
        </m:r>
        <m:sSub>
          <m:e>
            <m:r>
              <m:t>b</m:t>
            </m:r>
          </m:e>
          <m:sub>
            <m:r>
              <m:t>1</m:t>
            </m:r>
          </m:sub>
        </m:sSub>
      </m:oMath>
      <w:r>
        <w:t xml:space="preserve">, mas nesses casos paga</w:t>
      </w:r>
      <w:r>
        <w:t xml:space="preserve"> </w:t>
      </w:r>
      <m:oMath>
        <m:sSub>
          <m:e>
            <m:r>
              <m:t>b</m:t>
            </m:r>
          </m:e>
          <m:sub>
            <m:r>
              <m:t>2</m:t>
            </m:r>
          </m:sub>
        </m:sSub>
        <m:r>
          <m:rPr>
            <m:sty m:val="p"/>
          </m:rPr>
          <m:t>&gt;</m:t>
        </m:r>
        <m:sSub>
          <m:e>
            <m:r>
              <m:t>v</m:t>
            </m:r>
          </m:e>
          <m:sub>
            <m:r>
              <m:t>1</m:t>
            </m:r>
          </m:sub>
        </m:sSub>
      </m:oMath>
      <w:r>
        <w:t xml:space="preserve"> </w:t>
      </w:r>
      <w:r>
        <w:t xml:space="preserve">e tem prejuízo. Se</w:t>
      </w:r>
      <w:r>
        <w:t xml:space="preserve"> </w:t>
      </w:r>
      <m:oMath>
        <m:sSub>
          <m:e>
            <m:r>
              <m:t>b</m:t>
            </m:r>
          </m:e>
          <m:sub>
            <m:r>
              <m:t>1</m:t>
            </m:r>
          </m:sub>
        </m:sSub>
        <m:r>
          <m:rPr>
            <m:sty m:val="p"/>
          </m:rPr>
          <m:t>&lt;</m:t>
        </m:r>
        <m:sSub>
          <m:e>
            <m:r>
              <m:t>v</m:t>
            </m:r>
          </m:e>
          <m:sub>
            <m:r>
              <m:t>1</m:t>
            </m:r>
          </m:sub>
        </m:sSub>
      </m:oMath>
      <w:r>
        <w:t xml:space="preserve"> </w:t>
      </w:r>
      <w:r>
        <w:t xml:space="preserve">(underbidding): o jogador perde em casos onde</w:t>
      </w:r>
      <w:r>
        <w:t xml:space="preserve"> </w:t>
      </w:r>
      <m:oMath>
        <m:sSub>
          <m:e>
            <m:r>
              <m:t>b</m:t>
            </m:r>
          </m:e>
          <m:sub>
            <m:r>
              <m:t>1</m:t>
            </m:r>
          </m:sub>
        </m:sSub>
        <m:r>
          <m:rPr>
            <m:sty m:val="p"/>
          </m:rPr>
          <m:t>&lt;</m:t>
        </m:r>
        <m:sSub>
          <m:e>
            <m:r>
              <m:t>b</m:t>
            </m:r>
          </m:e>
          <m:sub>
            <m:r>
              <m:t>2</m:t>
            </m:r>
          </m:sub>
        </m:sSub>
        <m:r>
          <m:rPr>
            <m:sty m:val="p"/>
          </m:rPr>
          <m:t>&lt;</m:t>
        </m:r>
        <m:sSub>
          <m:e>
            <m:r>
              <m:t>v</m:t>
            </m:r>
          </m:e>
          <m:sub>
            <m:r>
              <m:t>1</m:t>
            </m:r>
          </m:sub>
        </m:sSub>
      </m:oMath>
      <w:r>
        <w:t xml:space="preserve">, nos quais teria tido lucro positivo. Portanto,</w:t>
      </w:r>
      <w:r>
        <w:t xml:space="preserve"> </w:t>
      </w:r>
      <m:oMath>
        <m:sSub>
          <m:e>
            <m:r>
              <m:t>b</m:t>
            </m:r>
          </m:e>
          <m:sub>
            <m:r>
              <m:t>1</m:t>
            </m:r>
          </m:sub>
        </m:sSub>
        <m:r>
          <m:rPr>
            <m:sty m:val="p"/>
          </m:rPr>
          <m:t>=</m:t>
        </m:r>
        <m:sSub>
          <m:e>
            <m:r>
              <m:t>v</m:t>
            </m:r>
          </m:e>
          <m:sub>
            <m:r>
              <m:t>1</m:t>
            </m:r>
          </m:sub>
        </m:sSub>
      </m:oMath>
      <w:r>
        <w:t xml:space="preserve"> </w:t>
      </w:r>
      <w:r>
        <w:t xml:space="preserve">é a estratégia que nunca é pior — e às vezes é estritamente melhor — que qualquer outra.</w:t>
      </w:r>
      <w:r>
        <w:t xml:space="preserve"> </w:t>
      </w:r>
      <w:r>
        <w:rPr>
          <w:b/>
          <w:bCs/>
        </w:rPr>
        <w:t xml:space="preserve">É estratégia fracamente dominante.</w:t>
      </w:r>
    </w:p>
    <w:p>
      <w:pPr>
        <w:pStyle w:val="BlockText"/>
      </w:pPr>
      <w:r>
        <w:rPr>
          <w:b/>
          <w:bCs/>
        </w:rPr>
        <w:t xml:space="preserve">(b) Probabilidade de prejuízo.</w:t>
      </w:r>
    </w:p>
    <w:p>
      <w:pPr>
        <w:pStyle w:val="BlockText"/>
      </w:pPr>
      <w:r>
        <w:t xml:space="preserve">O overbidding causa prejuízo quando o jogador 1 vence mas paga mais que seu valor:</w:t>
      </w:r>
      <w:r>
        <w:t xml:space="preserve"> </w:t>
      </w:r>
      <m:oMath>
        <m:r>
          <m:t>60</m:t>
        </m:r>
        <m:r>
          <m:rPr>
            <m:sty m:val="p"/>
          </m:rPr>
          <m:t>&lt;</m:t>
        </m:r>
        <m:sSub>
          <m:e>
            <m:r>
              <m:t>b</m:t>
            </m:r>
          </m:e>
          <m:sub>
            <m:r>
              <m:t>2</m:t>
            </m:r>
          </m:sub>
        </m:sSub>
        <m:r>
          <m:rPr>
            <m:sty m:val="p"/>
          </m:rPr>
          <m:t>&lt;</m:t>
        </m:r>
        <m:r>
          <m:t>70</m:t>
        </m:r>
      </m:oMath>
      <w:r>
        <w:t xml:space="preserve">. Como</w:t>
      </w:r>
      <w:r>
        <w:t xml:space="preserve"> </w:t>
      </w:r>
      <m:oMath>
        <m:sSub>
          <m:e>
            <m:r>
              <m:t>b</m:t>
            </m:r>
          </m:e>
          <m:sub>
            <m:r>
              <m:t>2</m:t>
            </m:r>
          </m:sub>
        </m:sSub>
        <m:r>
          <m:rPr>
            <m:sty m:val="p"/>
          </m:rPr>
          <m:t>=</m:t>
        </m:r>
        <m:sSub>
          <m:e>
            <m:r>
              <m:t>v</m:t>
            </m:r>
          </m:e>
          <m:sub>
            <m:r>
              <m:t>2</m:t>
            </m:r>
          </m:sub>
        </m:sSub>
        <m:r>
          <m:rPr>
            <m:sty m:val="p"/>
          </m:rPr>
          <m:t>∼</m:t>
        </m:r>
        <m:r>
          <m:t>U</m:t>
        </m:r>
        <m:r>
          <m:rPr>
            <m:sty m:val="p"/>
          </m:rPr>
          <m:t>[</m:t>
        </m:r>
        <m:r>
          <m:t>0</m:t>
        </m:r>
        <m:r>
          <m:rPr>
            <m:sty m:val="p"/>
          </m:rPr>
          <m:t>,</m:t>
        </m:r>
        <m:r>
          <m:t>100</m:t>
        </m:r>
        <m:r>
          <m:rPr>
            <m:sty m:val="p"/>
          </m:rPr>
          <m:t>]</m:t>
        </m:r>
      </m:oMath>
      <w:r>
        <w:t xml:space="preserve">:</w:t>
      </w:r>
    </w:p>
    <w:p>
      <w:pPr>
        <w:pStyle w:val="BlockText"/>
      </w:pPr>
      <w:r>
        <w:t xml:space="preserve">$$</w:t>
      </w:r>
    </w:p>
    <w:p>
      <w:pPr>
        <w:pStyle w:val="BlockText"/>
      </w:pPr>
      <w:r>
        <w:t xml:space="preserve">P(</w:t>
      </w:r>
      <w:r>
        <w:t xml:space="preserve">) = P(60 &lt; v_2 &lt; 70) =</w:t>
      </w:r>
      <w:r>
        <w:t xml:space="preserve"> </w:t>
      </w:r>
      <w:r>
        <w:t xml:space="preserve"> </w:t>
      </w:r>
      <w:r>
        <w:t xml:space="preserve">= 0{,}10 = 10%</w:t>
      </w:r>
    </w:p>
    <w:p>
      <w:pPr>
        <w:pStyle w:val="BlockText"/>
      </w:pPr>
      <w:r>
        <w:t xml:space="preserve">$$</w:t>
      </w:r>
    </w:p>
    <w:p>
      <w:pPr>
        <w:pStyle w:val="BlockText"/>
      </w:pPr>
      <w:r>
        <w:rPr>
          <w:b/>
          <w:bCs/>
        </w:rPr>
        <w:t xml:space="preserve">(c) Perda esperada condicional.</w:t>
      </w:r>
    </w:p>
    <w:p>
      <w:pPr>
        <w:pStyle w:val="BlockText"/>
      </w:pPr>
      <w:r>
        <w:t xml:space="preserve">Condicional a</w:t>
      </w:r>
      <w:r>
        <w:t xml:space="preserve"> </w:t>
      </w:r>
      <m:oMath>
        <m:sSub>
          <m:e>
            <m:r>
              <m:t>v</m:t>
            </m:r>
          </m:e>
          <m:sub>
            <m:r>
              <m:t>2</m:t>
            </m:r>
          </m:sub>
        </m:sSub>
        <m:r>
          <m:rPr>
            <m:sty m:val="p"/>
          </m:rPr>
          <m:t>∈</m:t>
        </m:r>
        <m:r>
          <m:rPr>
            <m:sty m:val="p"/>
          </m:rPr>
          <m:t>(</m:t>
        </m:r>
        <m:r>
          <m:t>60</m:t>
        </m:r>
        <m:r>
          <m:rPr>
            <m:sty m:val="p"/>
          </m:rPr>
          <m:t>,</m:t>
        </m:r>
        <m:r>
          <m:t>70</m:t>
        </m:r>
        <m:r>
          <m:rPr>
            <m:sty m:val="p"/>
          </m:rPr>
          <m:t>)</m:t>
        </m:r>
      </m:oMath>
      <w:r>
        <w:t xml:space="preserve">, o valor de</w:t>
      </w:r>
      <w:r>
        <w:t xml:space="preserve"> </w:t>
      </w:r>
      <m:oMath>
        <m:sSub>
          <m:e>
            <m:r>
              <m:t>v</m:t>
            </m:r>
          </m:e>
          <m:sub>
            <m:r>
              <m:t>2</m:t>
            </m:r>
          </m:sub>
        </m:sSub>
      </m:oMath>
      <w:r>
        <w:t xml:space="preserve"> </w:t>
      </w:r>
      <w:r>
        <w:t xml:space="preserve">é uniforme em</w:t>
      </w:r>
      <w:r>
        <w:t xml:space="preserve"> </w:t>
      </w:r>
      <m:oMath>
        <m:r>
          <m:rPr>
            <m:sty m:val="p"/>
          </m:rPr>
          <m:t>[</m:t>
        </m:r>
        <m:r>
          <m:t>60</m:t>
        </m:r>
        <m:r>
          <m:rPr>
            <m:sty m:val="p"/>
          </m:rPr>
          <m:t>,</m:t>
        </m:r>
        <m:r>
          <m:t>70</m:t>
        </m:r>
        <m:r>
          <m:rPr>
            <m:sty m:val="p"/>
          </m:rPr>
          <m:t>]</m:t>
        </m:r>
      </m:oMath>
      <w:r>
        <w:t xml:space="preserve">. O prejuízo é</w:t>
      </w:r>
      <w:r>
        <w:t xml:space="preserve"> </w:t>
      </w:r>
      <m:oMath>
        <m:sSub>
          <m:e>
            <m:r>
              <m:t>v</m:t>
            </m:r>
          </m:e>
          <m:sub>
            <m:r>
              <m:t>2</m:t>
            </m:r>
          </m:sub>
        </m:sSub>
        <m:r>
          <m:rPr>
            <m:sty m:val="p"/>
          </m:rPr>
          <m:t>−</m:t>
        </m:r>
        <m:r>
          <m:t>60</m:t>
        </m:r>
      </m:oMath>
      <w:r>
        <w:t xml:space="preserve">. A perda esperada condicional é:</w:t>
      </w:r>
    </w:p>
    <w:p>
      <w:pPr>
        <w:pStyle w:val="BlockText"/>
      </w:pPr>
      <w:r>
        <w:t xml:space="preserve">$$</w:t>
      </w:r>
    </w:p>
    <w:p>
      <w:pPr>
        <w:pStyle w:val="BlockText"/>
      </w:pPr>
      <w:r>
        <w:t xml:space="preserve">E[v_2 - 60</w:t>
      </w:r>
      <w:r>
        <w:t xml:space="preserve"> </w:t>
      </w:r>
      <w:r>
        <w:t xml:space="preserve"> </w:t>
      </w:r>
      <w:r>
        <w:t xml:space="preserve">&lt; v_2 &lt; 70] = E[v_2</w:t>
      </w:r>
      <w:r>
        <w:t xml:space="preserve"> </w:t>
      </w:r>
      <w:r>
        <w:t xml:space="preserve"> </w:t>
      </w:r>
      <w:r>
        <w:t xml:space="preserve">&lt; v_2 &lt; 70] - 60 = 65 - 60 = 5</w:t>
      </w:r>
    </w:p>
    <w:p>
      <w:pPr>
        <w:pStyle w:val="BlockText"/>
      </w:pPr>
      <w:r>
        <w:t xml:space="preserve">$$</w:t>
      </w:r>
    </w:p>
    <w:p>
      <w:pPr>
        <w:pStyle w:val="BlockText"/>
      </w:pPr>
      <w:r>
        <w:rPr>
          <w:b/>
          <w:bCs/>
        </w:rPr>
        <w:t xml:space="preserve">A perda esperada (incondicional) é:</w:t>
      </w:r>
      <w:r>
        <w:t xml:space="preserve"> </w:t>
      </w:r>
      <m:oMath>
        <m:r>
          <m:t>0</m:t>
        </m:r>
        <m:r>
          <m:rPr>
            <m:sty m:val="p"/>
          </m:rPr>
          <m:t>,</m:t>
        </m:r>
        <m:r>
          <m:t>10</m:t>
        </m:r>
        <m:r>
          <m:rPr>
            <m:sty m:val="p"/>
          </m:rPr>
          <m:t>×</m:t>
        </m:r>
        <m:r>
          <m:t>5</m:t>
        </m:r>
        <m:r>
          <m:rPr>
            <m:sty m:val="p"/>
          </m:rPr>
          <m:t>=</m:t>
        </m:r>
        <m:r>
          <m:t>0</m:t>
        </m:r>
        <m:r>
          <m:rPr>
            <m:sty m:val="p"/>
          </m:rPr>
          <m:t>,</m:t>
        </m:r>
        <m:r>
          <m:t>50</m:t>
        </m:r>
      </m:oMath>
      <w:r>
        <w:t xml:space="preserve">. Embora o prejuízo esperado do overbidding seja pequeno (R$ 0,50 em expectativa), ele é estritamente positivo — confirmando que</w:t>
      </w:r>
      <w:r>
        <w:t xml:space="preserve"> </w:t>
      </w:r>
      <m:oMath>
        <m:sSub>
          <m:e>
            <m:r>
              <m:t>b</m:t>
            </m:r>
          </m:e>
          <m:sub>
            <m:r>
              <m:t>1</m:t>
            </m:r>
          </m:sub>
        </m:sSub>
        <m:r>
          <m:rPr>
            <m:sty m:val="p"/>
          </m:rPr>
          <m:t>=</m:t>
        </m:r>
        <m:sSub>
          <m:e>
            <m:r>
              <m:t>v</m:t>
            </m:r>
          </m:e>
          <m:sub>
            <m:r>
              <m:t>1</m:t>
            </m:r>
          </m:sub>
        </m:sSub>
      </m:oMath>
      <w:r>
        <w:t xml:space="preserve"> </w:t>
      </w:r>
      <w:r>
        <w:t xml:space="preserve">é a melhor resposta.</w:t>
      </w:r>
    </w:p>
    <w:p>
      <w:r>
        <w:pict>
          <v:rect style="width:0;height:1.5pt" o:hralign="center" o:hrstd="t" o:hr="t"/>
        </w:pict>
      </w:r>
    </w:p>
    <w:bookmarkEnd w:id="1376"/>
    <w:bookmarkEnd w:id="1377"/>
    <w:bookmarkStart w:id="1381" w:name="X2d2a6ad49f93ab4b987b1a9e738425aacb8d2af"/>
    <w:p>
      <w:pPr>
        <w:pStyle w:val="Heading3"/>
      </w:pPr>
      <w:r>
        <w:t xml:space="preserve">22.7 Limites e Controvérsias</w:t>
      </w:r>
    </w:p>
    <w:p>
      <w:pPr>
        <w:pStyle w:val="FirstParagraph"/>
      </w:pPr>
      <w:r>
        <w:t xml:space="preserve">Toda revolução científica chega ao momento em que precisa olhar no espelho e fazer autocrítica — e a revolução experimental em economia não é exceção. Depois de três Prêmios Nobel, centenas de RCTs e milhares de sessões de laboratório, a pergunta incômoda é inevitável: será que estamos medindo o que pensamos estar medindo? Nesta seção final, examinamos três fronts de crítica que todo pesquisador experimental deve enfrentar: a replicabilidade dos resultados, o alcance dos RCTs e as questões éticas da experimentação com seres humanos.</w:t>
      </w:r>
    </w:p>
    <w:bookmarkStart w:id="1378" w:name="a-crise-de-replicação"/>
    <w:p>
      <w:pPr>
        <w:pStyle w:val="Heading4"/>
      </w:pPr>
      <w:r>
        <w:t xml:space="preserve">22.7.1 A crise de replicação</w:t>
      </w:r>
    </w:p>
    <w:p>
      <w:pPr>
        <w:pStyle w:val="FirstParagraph"/>
      </w:pPr>
      <w:r>
        <w:t xml:space="preserve">Conforme discutido no Box Mundo 22.2, a taxa de replicação em economia experimental é de aproximadamente 61% (Camerer et al., 2016) — melhor que em psicologia, mas longe do ideal. Cabe aprofundar as causas e as respostas da profissão:</w:t>
      </w:r>
    </w:p>
    <w:p>
      <w:pPr>
        <w:pStyle w:val="BodyText"/>
      </w:pPr>
      <w:r>
        <w:rPr>
          <w:b/>
          <w:bCs/>
        </w:rPr>
        <w:t xml:space="preserve">Viés de publicação (</w:t>
      </w:r>
      <w:r>
        <w:rPr>
          <w:b/>
          <w:bCs/>
          <w:i/>
          <w:iCs/>
        </w:rPr>
        <w:t xml:space="preserve">publication bias</w:t>
      </w:r>
      <w:r>
        <w:rPr>
          <w:b/>
          <w:bCs/>
        </w:rPr>
        <w:t xml:space="preserve">).</w:t>
      </w:r>
      <w:r>
        <w:t xml:space="preserve"> </w:t>
      </w:r>
      <w:r>
        <w:t xml:space="preserve">Periódicos acadêmicos preferem resultados</w:t>
      </w:r>
      <w:r>
        <w:t xml:space="preserve"> </w:t>
      </w:r>
      <w:r>
        <w:t xml:space="preserve">“significativos”</w:t>
      </w:r>
      <w:r>
        <w:t xml:space="preserve"> </w:t>
      </w:r>
      <w:r>
        <w:t xml:space="preserve">e</w:t>
      </w:r>
      <w:r>
        <w:t xml:space="preserve"> </w:t>
      </w:r>
      <w:r>
        <w:t xml:space="preserve">“surpreendentes”</w:t>
      </w:r>
      <w:r>
        <w:t xml:space="preserve">. Estudos que encontram efeito nulo (</w:t>
      </w:r>
      <w:r>
        <w:rPr>
          <w:i/>
          <w:iCs/>
        </w:rPr>
        <w:t xml:space="preserve">null results</w:t>
      </w:r>
      <w:r>
        <w:t xml:space="preserve">) são menos publicáveis. Isso cria um viés sistemático: a literatura publicada sobrestima a magnitude dos efeitos.</w:t>
      </w:r>
    </w:p>
    <w:p>
      <w:pPr>
        <w:pStyle w:val="BodyText"/>
      </w:pPr>
      <w:r>
        <w:rPr>
          <w:b/>
          <w:bCs/>
        </w:rPr>
        <w:t xml:space="preserve">Práticas questionáveis de pesquisa (</w:t>
      </w:r>
      <w:r>
        <w:rPr>
          <w:b/>
          <w:bCs/>
          <w:i/>
          <w:iCs/>
        </w:rPr>
        <w:t xml:space="preserve">questionable research practices</w:t>
      </w:r>
      <w:r>
        <w:rPr>
          <w:b/>
          <w:bCs/>
        </w:rPr>
        <w:t xml:space="preserve">).</w:t>
      </w:r>
      <w:r>
        <w:t xml:space="preserve"> </w:t>
      </w:r>
      <w:r>
        <w:t xml:space="preserve">Incluem: (i)</w:t>
      </w:r>
      <w:r>
        <w:t xml:space="preserve"> </w:t>
      </w:r>
      <w:r>
        <w:rPr>
          <w:i/>
          <w:iCs/>
        </w:rPr>
        <w:t xml:space="preserve">p-hacking</w:t>
      </w:r>
      <w:r>
        <w:t xml:space="preserve"> </w:t>
      </w:r>
      <w:r>
        <w:t xml:space="preserve">— testar múltiplas especificações até encontrar uma significativa; (ii)</w:t>
      </w:r>
      <w:r>
        <w:t xml:space="preserve"> </w:t>
      </w:r>
      <w:r>
        <w:rPr>
          <w:i/>
          <w:iCs/>
        </w:rPr>
        <w:t xml:space="preserve">HARKing</w:t>
      </w:r>
      <w:r>
        <w:t xml:space="preserve"> </w:t>
      </w:r>
      <w:r>
        <w:t xml:space="preserve">(</w:t>
      </w:r>
      <w:r>
        <w:rPr>
          <w:i/>
          <w:iCs/>
        </w:rPr>
        <w:t xml:space="preserve">Hypothesizing After Results are Known</w:t>
      </w:r>
      <w:r>
        <w:t xml:space="preserve">) — formular hipóteses depois de ver os resultados, apresentando-as como se fossem a priori; (iii) exclusão seletiva de observações (</w:t>
      </w:r>
      <w:r>
        <w:rPr>
          <w:i/>
          <w:iCs/>
        </w:rPr>
        <w:t xml:space="preserve">outlier fishing</w:t>
      </w:r>
      <w:r>
        <w:t xml:space="preserve">) — remover dados que</w:t>
      </w:r>
      <w:r>
        <w:t xml:space="preserve"> </w:t>
      </w:r>
      <w:r>
        <w:t xml:space="preserve">“não se encaixam”</w:t>
      </w:r>
      <w:r>
        <w:t xml:space="preserve"> </w:t>
      </w:r>
      <w:r>
        <w:t xml:space="preserve">sem critério pré-estabelecido.</w:t>
      </w:r>
    </w:p>
    <w:p>
      <w:pPr>
        <w:pStyle w:val="BodyText"/>
      </w:pPr>
      <w:r>
        <w:rPr>
          <w:b/>
          <w:bCs/>
        </w:rPr>
        <w:t xml:space="preserve">Soluções em implementação.</w:t>
      </w:r>
      <w:r>
        <w:t xml:space="preserve"> </w:t>
      </w:r>
      <w:r>
        <w:t xml:space="preserve">A profissão respondeu com várias medidas: (i)</w:t>
      </w:r>
      <w:r>
        <w:t xml:space="preserve"> </w:t>
      </w:r>
      <w:r>
        <w:rPr>
          <w:b/>
          <w:bCs/>
        </w:rPr>
        <w:t xml:space="preserve">pré-registro</w:t>
      </w:r>
      <w:r>
        <w:t xml:space="preserve"> </w:t>
      </w:r>
      <w:r>
        <w:t xml:space="preserve">— depositar o plano de análise em um registro público (como o AEA RCT Registry)</w:t>
      </w:r>
      <w:r>
        <w:t xml:space="preserve"> </w:t>
      </w:r>
      <w:r>
        <w:rPr>
          <w:i/>
          <w:iCs/>
        </w:rPr>
        <w:t xml:space="preserve">antes</w:t>
      </w:r>
      <w:r>
        <w:t xml:space="preserve"> </w:t>
      </w:r>
      <w:r>
        <w:t xml:space="preserve">de ver os dados; (ii)</w:t>
      </w:r>
      <w:r>
        <w:t xml:space="preserve"> </w:t>
      </w:r>
      <w:r>
        <w:rPr>
          <w:b/>
          <w:bCs/>
        </w:rPr>
        <w:t xml:space="preserve">relatórios registrados</w:t>
      </w:r>
      <w:r>
        <w:t xml:space="preserve"> </w:t>
      </w:r>
      <w:r>
        <w:t xml:space="preserve">(</w:t>
      </w:r>
      <w:r>
        <w:rPr>
          <w:i/>
          <w:iCs/>
        </w:rPr>
        <w:t xml:space="preserve">registered reports</w:t>
      </w:r>
      <w:r>
        <w:t xml:space="preserve">) — periódicos avaliam o desenho do estudo antes da coleta de dados e comprometem-se a publicar independentemente dos resultados; (iii)</w:t>
      </w:r>
      <w:r>
        <w:t xml:space="preserve"> </w:t>
      </w:r>
      <w:r>
        <w:rPr>
          <w:b/>
          <w:bCs/>
        </w:rPr>
        <w:t xml:space="preserve">compartilhamento de dados e código</w:t>
      </w:r>
      <w:r>
        <w:t xml:space="preserve"> </w:t>
      </w:r>
      <w:r>
        <w:t xml:space="preserve">— permitir que outros pesquisadores verifiquem e repliquem os resultados.</w:t>
      </w:r>
    </w:p>
    <w:bookmarkEnd w:id="1378"/>
    <w:bookmarkStart w:id="1379" w:name="a-crítica-de-deaton-aos-rcts"/>
    <w:p>
      <w:pPr>
        <w:pStyle w:val="Heading4"/>
      </w:pPr>
      <w:r>
        <w:t xml:space="preserve">22.7.2 A crítica de Deaton aos RCTs</w:t>
      </w:r>
    </w:p>
    <w:p>
      <w:pPr>
        <w:pStyle w:val="FirstParagraph"/>
      </w:pPr>
      <w:r>
        <w:rPr>
          <w:b/>
          <w:bCs/>
        </w:rPr>
        <w:t xml:space="preserve">Angus Deaton</w:t>
      </w:r>
      <w:r>
        <w:t xml:space="preserve"> </w:t>
      </w:r>
      <w:r>
        <w:t xml:space="preserve">(Nobel de 2015) é o crítico mais proeminente da</w:t>
      </w:r>
      <w:r>
        <w:t xml:space="preserve"> </w:t>
      </w:r>
      <w:r>
        <w:t xml:space="preserve">“RCT-mania”</w:t>
      </w:r>
      <w:r>
        <w:t xml:space="preserve"> </w:t>
      </w:r>
      <w:r>
        <w:t xml:space="preserve">na economia do desenvolvimento. Suas críticas incluem:</w:t>
      </w:r>
    </w:p>
    <w:p>
      <w:pPr>
        <w:numPr>
          <w:ilvl w:val="0"/>
          <w:numId w:val="2200"/>
        </w:numPr>
      </w:pPr>
      <w:r>
        <w:rPr>
          <w:b/>
          <w:bCs/>
        </w:rPr>
        <w:t xml:space="preserve">Validade externa limitada.</w:t>
      </w:r>
      <w:r>
        <w:t xml:space="preserve"> </w:t>
      </w:r>
      <w:r>
        <w:t xml:space="preserve">Um RCT que funciona no Quênia pode não funcionar na Índia — ou mesmo em outra região do Quênia. A randomização garante validade interna, mas não externa. Generalizações requerem teoria.</w:t>
      </w:r>
    </w:p>
    <w:p>
      <w:pPr>
        <w:numPr>
          <w:ilvl w:val="0"/>
          <w:numId w:val="2200"/>
        </w:numPr>
      </w:pPr>
      <w:r>
        <w:rPr>
          <w:b/>
          <w:bCs/>
        </w:rPr>
        <w:t xml:space="preserve">Atomismo.</w:t>
      </w:r>
      <w:r>
        <w:t xml:space="preserve"> </w:t>
      </w:r>
      <w:r>
        <w:t xml:space="preserve">RCTs testam intervenções pontuais (</w:t>
      </w:r>
      <w:r>
        <w:t xml:space="preserve">“distribuir mosquiteiros”</w:t>
      </w:r>
      <w:r>
        <w:t xml:space="preserve">,</w:t>
      </w:r>
      <w:r>
        <w:t xml:space="preserve"> </w:t>
      </w:r>
      <w:r>
        <w:t xml:space="preserve">“dar livros”</w:t>
      </w:r>
      <w:r>
        <w:t xml:space="preserve">) mas não capturam efeitos de equilíbrio geral. Se todos os aldeões recebem microcrédito, os preços e salários locais mudam — e o efeito para cada um difere do efeito medido quando apenas alguns recebem.</w:t>
      </w:r>
    </w:p>
    <w:p>
      <w:pPr>
        <w:numPr>
          <w:ilvl w:val="0"/>
          <w:numId w:val="2200"/>
        </w:numPr>
      </w:pPr>
      <w:r>
        <w:rPr>
          <w:b/>
          <w:bCs/>
        </w:rPr>
        <w:t xml:space="preserve">Ateoricismo.</w:t>
      </w:r>
      <w:r>
        <w:t xml:space="preserve"> </w:t>
      </w:r>
      <w:r>
        <w:t xml:space="preserve">Na visão de Deaton, a obsessão com identificação causal</w:t>
      </w:r>
      <w:r>
        <w:t xml:space="preserve"> </w:t>
      </w:r>
      <w:r>
        <w:t xml:space="preserve">“limpa”</w:t>
      </w:r>
      <w:r>
        <w:t xml:space="preserve"> </w:t>
      </w:r>
      <w:r>
        <w:t xml:space="preserve">levou a uma geração de economistas que sabe</w:t>
      </w:r>
      <w:r>
        <w:t xml:space="preserve"> </w:t>
      </w:r>
      <w:r>
        <w:rPr>
          <w:i/>
          <w:iCs/>
        </w:rPr>
        <w:t xml:space="preserve">medir</w:t>
      </w:r>
      <w:r>
        <w:t xml:space="preserve"> </w:t>
      </w:r>
      <w:r>
        <w:t xml:space="preserve">efeitos mas não sabe</w:t>
      </w:r>
      <w:r>
        <w:t xml:space="preserve"> </w:t>
      </w:r>
      <w:r>
        <w:rPr>
          <w:i/>
          <w:iCs/>
        </w:rPr>
        <w:t xml:space="preserve">explicá-los</w:t>
      </w:r>
      <w:r>
        <w:t xml:space="preserve">. Um RCT pode mostrar que desparasitação aumenta frequência escolar — mas sem um modelo teórico, não sabemos</w:t>
      </w:r>
      <w:r>
        <w:t xml:space="preserve"> </w:t>
      </w:r>
      <w:r>
        <w:rPr>
          <w:i/>
          <w:iCs/>
        </w:rPr>
        <w:t xml:space="preserve">por que</w:t>
      </w:r>
      <w:r>
        <w:t xml:space="preserve"> </w:t>
      </w:r>
      <w:r>
        <w:t xml:space="preserve">(saúde? nutrição? atenção?) nem se o efeito persistirá quando o contexto mudar.</w:t>
      </w:r>
    </w:p>
    <w:p>
      <w:pPr>
        <w:numPr>
          <w:ilvl w:val="0"/>
          <w:numId w:val="2200"/>
        </w:numPr>
      </w:pPr>
      <w:r>
        <w:rPr>
          <w:b/>
          <w:bCs/>
        </w:rPr>
        <w:t xml:space="preserve">Não existe hierarquia de evidência.</w:t>
      </w:r>
      <w:r>
        <w:t xml:space="preserve"> </w:t>
      </w:r>
      <w:r>
        <w:t xml:space="preserve">Deaton questiona a noção de que RCTs são o</w:t>
      </w:r>
      <w:r>
        <w:t xml:space="preserve"> </w:t>
      </w:r>
      <w:r>
        <w:t xml:space="preserve">“padrão-ouro”</w:t>
      </w:r>
      <w:r>
        <w:t xml:space="preserve"> </w:t>
      </w:r>
      <w:r>
        <w:t xml:space="preserve">da pesquisa empírica. Argumenta que diferentes perguntas requerem diferentes métodos — e que um estudo observacional com boa teoria pode ser mais informativo que um RCT sem teoria. A hierarquia de evidência da medicina (RCT &gt; estudo observacional &gt; opinião de especialista) não se transpõe automaticamente para a economia.</w:t>
      </w:r>
    </w:p>
    <w:bookmarkEnd w:id="1379"/>
    <w:bookmarkStart w:id="1380" w:name="questões-éticas"/>
    <w:p>
      <w:pPr>
        <w:pStyle w:val="Heading4"/>
      </w:pPr>
      <w:r>
        <w:t xml:space="preserve">22.7.3 Questões éticas</w:t>
      </w:r>
    </w:p>
    <w:p>
      <w:pPr>
        <w:pStyle w:val="FirstParagraph"/>
      </w:pPr>
      <w:r>
        <w:t xml:space="preserve">A experimentação com seres humanos levanta questões éticas incontornáveis, reguladas por comitês de ética em pesquisa (CEPs no Brasil, IRBs nos Estados Unidos):</w:t>
      </w:r>
    </w:p>
    <w:p>
      <w:pPr>
        <w:pStyle w:val="BodyText"/>
      </w:pPr>
      <w:r>
        <w:rPr>
          <w:b/>
          <w:bCs/>
        </w:rPr>
        <w:t xml:space="preserve">Consentimento informado.</w:t>
      </w:r>
      <w:r>
        <w:t xml:space="preserve"> </w:t>
      </w:r>
      <w:r>
        <w:t xml:space="preserve">Em experimentos de laboratório e RCTs, os participantes devem ser informados sobre os riscos e benefícios da pesquisa e consentir voluntariamente. Mas em experimentos de campo natural (Seção 22.3.1), os participantes</w:t>
      </w:r>
      <w:r>
        <w:t xml:space="preserve"> </w:t>
      </w:r>
      <w:r>
        <w:rPr>
          <w:i/>
          <w:iCs/>
        </w:rPr>
        <w:t xml:space="preserve">não sabem</w:t>
      </w:r>
      <w:r>
        <w:t xml:space="preserve"> </w:t>
      </w:r>
      <w:r>
        <w:t xml:space="preserve">que estão em um experimento — tornando o consentimento informado impossível. O argumento a favor é que o anonimato é essencial para evitar efeitos de demanda; o argumento contra é que as pessoas têm o direito de saber quando estão sendo estudadas.</w:t>
      </w:r>
    </w:p>
    <w:p>
      <w:pPr>
        <w:pStyle w:val="BodyText"/>
      </w:pPr>
      <w:r>
        <w:rPr>
          <w:b/>
          <w:bCs/>
        </w:rPr>
        <w:t xml:space="preserve">Negação de tratamento.</w:t>
      </w:r>
      <w:r>
        <w:t xml:space="preserve"> </w:t>
      </w:r>
      <w:r>
        <w:t xml:space="preserve">Em RCTs, o grupo de controle</w:t>
      </w:r>
      <w:r>
        <w:t xml:space="preserve"> </w:t>
      </w:r>
      <w:r>
        <w:rPr>
          <w:i/>
          <w:iCs/>
        </w:rPr>
        <w:t xml:space="preserve">não recebe</w:t>
      </w:r>
      <w:r>
        <w:t xml:space="preserve"> </w:t>
      </w:r>
      <w:r>
        <w:t xml:space="preserve">a intervenção. Se a intervenção é potencialmente benéfica (vacinas, mosquiteiros, microcrédito), negar acesso ao grupo de controle levanta dilemas éticos graves. A resposta padrão é a</w:t>
      </w:r>
      <w:r>
        <w:t xml:space="preserve"> </w:t>
      </w:r>
      <w:r>
        <w:rPr>
          <w:b/>
          <w:bCs/>
        </w:rPr>
        <w:t xml:space="preserve">randomização por fases</w:t>
      </w:r>
      <w:r>
        <w:t xml:space="preserve">: todos recebem o tratamento eventualmente, mas em ordem aleatória — permitindo comparação entre tratados</w:t>
      </w:r>
      <w:r>
        <w:t xml:space="preserve"> </w:t>
      </w:r>
      <w:r>
        <w:t xml:space="preserve">“precoces”</w:t>
      </w:r>
      <w:r>
        <w:t xml:space="preserve"> </w:t>
      </w:r>
      <w:r>
        <w:t xml:space="preserve">e</w:t>
      </w:r>
      <w:r>
        <w:t xml:space="preserve"> </w:t>
      </w:r>
      <w:r>
        <w:t xml:space="preserve">“tardios”</w:t>
      </w:r>
      <w:r>
        <w:t xml:space="preserve">.</w:t>
      </w:r>
    </w:p>
    <w:p>
      <w:pPr>
        <w:pStyle w:val="BodyText"/>
      </w:pPr>
      <w:r>
        <w:rPr>
          <w:b/>
          <w:bCs/>
        </w:rPr>
        <w:t xml:space="preserve">Assimetrias de poder.</w:t>
      </w:r>
      <w:r>
        <w:t xml:space="preserve"> </w:t>
      </w:r>
      <w:r>
        <w:t xml:space="preserve">RCTs em países em desenvolvimento frequentemente envolvem pesquisadores de universidades ricas do Norte Global estudando populações vulneráveis do Sul Global. Há um risco real de que a agenda de pesquisa seja determinada pelos interesses acadêmicos dos pesquisadores (publicar no</w:t>
      </w:r>
      <w:r>
        <w:t xml:space="preserve"> </w:t>
      </w:r>
      <w:r>
        <w:rPr>
          <w:i/>
          <w:iCs/>
        </w:rPr>
        <w:t xml:space="preserve">AER</w:t>
      </w:r>
      <w:r>
        <w:t xml:space="preserve">) e não pelas necessidades das comunidades. A resposta inclui parcerias genuínas com pesquisadores e instituições locais, e retorno dos resultados às comunidades.</w:t>
      </w:r>
    </w:p>
    <w:p>
      <w:pPr>
        <w:pStyle w:val="BlockText"/>
      </w:pPr>
      <w:r>
        <w:rPr>
          <w:b/>
          <w:bCs/>
        </w:rPr>
        <w:t xml:space="preserve">[BOX BRASIL] Box Brasil 22.2 — O Programa Mais Médicos como experimento natural</w:t>
      </w:r>
    </w:p>
    <w:p>
      <w:pPr>
        <w:pStyle w:val="BlockText"/>
      </w:pPr>
      <w:r>
        <w:rPr>
          <w:b/>
          <w:bCs/>
        </w:rPr>
        <w:t xml:space="preserve">Contexto:</w:t>
      </w:r>
      <w:r>
        <w:t xml:space="preserve"> </w:t>
      </w:r>
      <w:r>
        <w:t xml:space="preserve">O Programa Mais Médicos (PMM), lançado em julho de 2013, alocou médicos — majoritariamente cubanos, via cooperação com o governo de Cuba — a municípios brasileiros com carência de profissionais de saúde, especialmente em áreas remotas e periferias urbanas. Em seu auge, o programa contava com mais de 18.000 médicos atuando em 4.058 municípios (73% dos municípios brasileiros).</w:t>
      </w:r>
    </w:p>
    <w:p>
      <w:pPr>
        <w:pStyle w:val="BlockText"/>
      </w:pPr>
      <w:r>
        <w:rPr>
          <w:b/>
          <w:bCs/>
        </w:rPr>
        <w:t xml:space="preserve">Dados:</w:t>
      </w:r>
      <w:r>
        <w:t xml:space="preserve"> </w:t>
      </w:r>
      <w:r>
        <w:t xml:space="preserve">Estudos quase-experimentais (Carrillo e Feres, 2019; Santos et al., 2020) documentaram: (i) aumento de 33% nas consultas de atenção primária nos municípios tratados; (ii) redução de 3,2% nas internações por condições sensíveis à atenção primária (ICSAP); (iii) redução na mortalidade infantil de 1,5 óbitos por 1.000 nascidos vivos nos municípios com maior exposição; (iv) efeitos concentrados nos municípios mais vulneráveis (quintil inferior do IDHM).</w:t>
      </w:r>
    </w:p>
    <w:p>
      <w:pPr>
        <w:pStyle w:val="BlockText"/>
      </w:pPr>
      <w:r>
        <w:rPr>
          <w:b/>
          <w:bCs/>
        </w:rPr>
        <w:t xml:space="preserve">Análise:</w:t>
      </w:r>
      <w:r>
        <w:t xml:space="preserve"> </w:t>
      </w:r>
      <w:r>
        <w:t xml:space="preserve">A avaliação do PMM ilustra a aplicação dos métodos quase-experimentais discutidos na Seção 22.5. A atribuição de médicos seguiu critérios de vulnerabilidade municipal (índice composto do Ministério da Saúde), criando uma descontinuidade explorável: municípios logo acima e logo abaixo do limiar de elegibilidade são semelhantes em características observáveis, diferindo apenas na participação no programa. Essa é a lógica da regressão descontínua (Seção 22.5.3). O DiD complementa ao comparar a evolução temporal de municípios tratados e não tratados. Os desafios metodológicos incluem: (i) efeito de transbordamento (pacientes de municípios não tratados podem buscar atendimento nos tratados); (ii) viés de seleção residual (municípios que aderiram ao PMM podem diferir sistematicamente); (iii) a saída dos médicos cubanos em 2018 criou um segundo</w:t>
      </w:r>
      <w:r>
        <w:t xml:space="preserve"> </w:t>
      </w:r>
      <w:r>
        <w:t xml:space="preserve">“choque”</w:t>
      </w:r>
      <w:r>
        <w:t xml:space="preserve"> </w:t>
      </w:r>
      <w:r>
        <w:t xml:space="preserve">que permite estimar efeitos de reversão.</w:t>
      </w:r>
    </w:p>
    <w:p>
      <w:pPr>
        <w:pStyle w:val="BlockText"/>
      </w:pPr>
      <w:r>
        <w:rPr>
          <w:b/>
          <w:bCs/>
        </w:rPr>
        <w:t xml:space="preserve">Para refletir:</w:t>
      </w:r>
      <w:r>
        <w:t xml:space="preserve"> </w:t>
      </w:r>
      <w:r>
        <w:t xml:space="preserve">A saída abrupta dos médicos cubanos em novembro de 2018 constitui um</w:t>
      </w:r>
      <w:r>
        <w:t xml:space="preserve"> </w:t>
      </w:r>
      <w:r>
        <w:t xml:space="preserve">“experimento natural de reversão”</w:t>
      </w:r>
      <w:r>
        <w:t xml:space="preserve">. Se os indicadores de saúde pioraram nos municípios que perderam médicos, isso reforça a causalidade do efeito original. Que tipo de design empírico você usaria para estimar esse efeito de reversão?</w:t>
      </w:r>
    </w:p>
    <w:p>
      <w:r>
        <w:pict>
          <v:rect style="width:0;height:1.5pt" o:hralign="center" o:hrstd="t" o:hr="t"/>
        </w:pict>
      </w:r>
    </w:p>
    <w:p>
      <w:pPr>
        <w:pStyle w:val="FirstParagraph"/>
      </w:pPr>
      <w:r>
        <w:t xml:space="preserve">Começamos perguntando</w:t>
      </w:r>
      <w:r>
        <w:t xml:space="preserve"> </w:t>
      </w:r>
      <w:r>
        <w:t xml:space="preserve">“onde estão os experimentos?”</w:t>
      </w:r>
      <w:r>
        <w:t xml:space="preserve"> </w:t>
      </w:r>
      <w:r>
        <w:t xml:space="preserve">— e a resposta percorreu salas de informática com estudantes, campos de arroz na Índia, creches em Israel e fronteiras estaduais nos Estados Unidos. De Chamberlin a Duflo, a economia aprendeu a testar suas teorias com o mesmo rigor que a medicina usa para testar seus remédios. O método não é perfeito — a crise de replicação, os limites éticos e a tensão entre validade interna e externa lembram que medir o comportamento humano nunca será tão limpo quanto medir a velocidade da luz. Mas é incomparavelmente melhor do que não medir.</w:t>
      </w:r>
    </w:p>
    <w:p>
      <w:pPr>
        <w:pStyle w:val="BodyText"/>
      </w:pPr>
      <w:r>
        <w:rPr>
          <w:i/>
          <w:iCs/>
        </w:rPr>
        <w:t xml:space="preserve">O laboratório do economista — de Chamberlin a J-PAL. No próximo capítulo, aplicamos essas ferramentas ao mercado mais íntimo de todos: a saúde.</w:t>
      </w:r>
    </w:p>
    <w:p>
      <w:pPr>
        <w:pStyle w:val="BlockText"/>
      </w:pPr>
      <w:r>
        <w:rPr>
          <w:b/>
          <w:bCs/>
        </w:rPr>
        <w:t xml:space="preserve">[DICA] Dados para exercícios empíricos</w:t>
      </w:r>
    </w:p>
    <w:p>
      <w:pPr>
        <w:pStyle w:val="Compact"/>
        <w:numPr>
          <w:ilvl w:val="0"/>
          <w:numId w:val="2201"/>
        </w:numPr>
      </w:pPr>
      <w:r>
        <w:rPr>
          <w:b/>
          <w:bCs/>
        </w:rPr>
        <w:t xml:space="preserve">SIDRA/IBGE (microdados de censos e pesquisas):</w:t>
      </w:r>
      <w:r>
        <w:t xml:space="preserve"> </w:t>
      </w:r>
      <w:hyperlink r:id="rId168">
        <w:r>
          <w:rPr>
            <w:rStyle w:val="Hyperlink"/>
          </w:rPr>
          <w:t xml:space="preserve">sidra.ibge.gov.br</w:t>
        </w:r>
      </w:hyperlink>
    </w:p>
    <w:p>
      <w:pPr>
        <w:pStyle w:val="Compact"/>
        <w:numPr>
          <w:ilvl w:val="0"/>
          <w:numId w:val="2201"/>
        </w:numPr>
      </w:pPr>
      <w:r>
        <w:rPr>
          <w:b/>
          <w:bCs/>
        </w:rPr>
        <w:t xml:space="preserve">IPEADATA (séries macroeconômicas e sociais):</w:t>
      </w:r>
      <w:r>
        <w:t xml:space="preserve"> </w:t>
      </w:r>
      <w:hyperlink r:id="rId270">
        <w:r>
          <w:rPr>
            <w:rStyle w:val="Hyperlink"/>
          </w:rPr>
          <w:t xml:space="preserve">ipeadata.gov.br</w:t>
        </w:r>
      </w:hyperlink>
    </w:p>
    <w:p>
      <w:pPr>
        <w:pStyle w:val="Compact"/>
        <w:numPr>
          <w:ilvl w:val="0"/>
          <w:numId w:val="2201"/>
        </w:numPr>
      </w:pPr>
      <w:r>
        <w:rPr>
          <w:b/>
          <w:bCs/>
        </w:rPr>
        <w:t xml:space="preserve">BCB/SGS (séries financeiras e monetárias):</w:t>
      </w:r>
      <w:r>
        <w:t xml:space="preserve"> </w:t>
      </w:r>
      <w:hyperlink r:id="rId1163">
        <w:r>
          <w:rPr>
            <w:rStyle w:val="Hyperlink"/>
          </w:rPr>
          <w:t xml:space="preserve">bcb.gov.br/estatisticas</w:t>
        </w:r>
      </w:hyperlink>
    </w:p>
    <w:bookmarkEnd w:id="1380"/>
    <w:bookmarkEnd w:id="1381"/>
    <w:bookmarkStart w:id="1382" w:name="revisão-rápida-21"/>
    <w:p>
      <w:pPr>
        <w:pStyle w:val="Heading3"/>
      </w:pPr>
      <w:r>
        <w:t xml:space="preserve">Revisão Rápida</w:t>
      </w:r>
    </w:p>
    <w:p>
      <w:pPr>
        <w:pStyle w:val="FirstParagraph"/>
      </w:pPr>
      <w:r>
        <w:t xml:space="preserve">Teste seu entendimento dos conceitos centrais deste capítulo.</w:t>
      </w:r>
    </w:p>
    <w:p>
      <w:pPr>
        <w:pStyle w:val="BlockText"/>
      </w:pPr>
      <w:r>
        <w:rPr>
          <w:b/>
          <w:bCs/>
        </w:rPr>
        <w:t xml:space="preserve">[QUESTAO] 1. O problema fundamental que motiva a economia experimental é:</w:t>
      </w:r>
    </w:p>
    <w:p>
      <w:pPr>
        <w:pStyle w:val="Compact"/>
        <w:numPr>
          <w:ilvl w:val="0"/>
          <w:numId w:val="2202"/>
        </w:numPr>
      </w:pPr>
    </w:p>
    <w:p>
      <w:pPr>
        <w:pStyle w:val="Compact"/>
        <w:numPr>
          <w:ilvl w:val="1"/>
          <w:numId w:val="2203"/>
        </w:numPr>
      </w:pPr>
      <w:r>
        <w:t xml:space="preserve">A falta de dados econômicos no mundo real</w:t>
      </w:r>
    </w:p>
    <w:p>
      <w:pPr>
        <w:pStyle w:val="Compact"/>
        <w:numPr>
          <w:ilvl w:val="0"/>
          <w:numId w:val="2202"/>
        </w:numPr>
      </w:pPr>
    </w:p>
    <w:p>
      <w:pPr>
        <w:pStyle w:val="Compact"/>
        <w:numPr>
          <w:ilvl w:val="1"/>
          <w:numId w:val="2204"/>
        </w:numPr>
      </w:pPr>
      <w:r>
        <w:t xml:space="preserve">A endogeneidade: em dados observacionais, correlação não implica causalidade</w:t>
      </w:r>
    </w:p>
    <w:p>
      <w:pPr>
        <w:pStyle w:val="Compact"/>
        <w:numPr>
          <w:ilvl w:val="0"/>
          <w:numId w:val="2202"/>
        </w:numPr>
      </w:pPr>
    </w:p>
    <w:p>
      <w:pPr>
        <w:pStyle w:val="Compact"/>
        <w:numPr>
          <w:ilvl w:val="1"/>
          <w:numId w:val="2205"/>
        </w:numPr>
      </w:pPr>
      <w:r>
        <w:t xml:space="preserve">A impossibilidade de medir variáveis econômicas com precisão</w:t>
      </w:r>
    </w:p>
    <w:p>
      <w:pPr>
        <w:pStyle w:val="Compact"/>
        <w:numPr>
          <w:ilvl w:val="0"/>
          <w:numId w:val="2202"/>
        </w:numPr>
      </w:pPr>
    </w:p>
    <w:p>
      <w:pPr>
        <w:pStyle w:val="Compact"/>
        <w:numPr>
          <w:ilvl w:val="1"/>
          <w:numId w:val="2206"/>
        </w:numPr>
      </w:pPr>
      <w:r>
        <w:t xml:space="preserve">A complexidade dos modelos teóricos</w:t>
      </w:r>
    </w:p>
    <w:p>
      <w:pPr>
        <w:pStyle w:val="BlockText"/>
      </w:pPr>
      <w:r>
        <w:t xml:space="preserve">??? success</w:t>
      </w:r>
      <w:r>
        <w:t xml:space="preserve"> </w:t>
      </w:r>
      <w:r>
        <w:t xml:space="preserve">“Resposta”</w:t>
      </w:r>
      <w:r>
        <w:t xml:space="preserve"> </w:t>
      </w:r>
      <w:r>
        <w:rPr>
          <w:b/>
          <w:bCs/>
        </w:rPr>
        <w:t xml:space="preserve">(b)</w:t>
      </w:r>
      <w:r>
        <w:t xml:space="preserve"> </w:t>
      </w:r>
      <w:r>
        <w:t xml:space="preserve">Em dados observacionais, a variável de interesse (e.g., salário mínimo) é correlacionada com fatores não observados (e.g., condições econômicas locais) que também afetam o resultado (emprego). A randomização — seja em laboratório, campo ou por acidente histórico — resolve esse problema ao tornar o tratamento ortogonal aos fatores confundidores. As alternativas (a), (c) e (d) são problemas reais mas não são</w:t>
      </w:r>
      <w:r>
        <w:t xml:space="preserve"> </w:t>
      </w:r>
      <w:r>
        <w:rPr>
          <w:i/>
          <w:iCs/>
        </w:rPr>
        <w:t xml:space="preserve">o</w:t>
      </w:r>
      <w:r>
        <w:t xml:space="preserve"> </w:t>
      </w:r>
      <w:r>
        <w:t xml:space="preserve">problema fundamental que a economia experimental resolve.</w:t>
      </w:r>
    </w:p>
    <w:p>
      <w:pPr>
        <w:pStyle w:val="BlockText"/>
      </w:pPr>
      <w:r>
        <w:rPr>
          <w:b/>
          <w:bCs/>
        </w:rPr>
        <w:t xml:space="preserve">[QUESTAO] 2. A teoria do valor induzido de Vernon Smith funciona porque:</w:t>
      </w:r>
    </w:p>
    <w:p>
      <w:pPr>
        <w:pStyle w:val="Compact"/>
        <w:numPr>
          <w:ilvl w:val="0"/>
          <w:numId w:val="2207"/>
        </w:numPr>
      </w:pPr>
    </w:p>
    <w:p>
      <w:pPr>
        <w:pStyle w:val="Compact"/>
        <w:numPr>
          <w:ilvl w:val="1"/>
          <w:numId w:val="2208"/>
        </w:numPr>
      </w:pPr>
      <w:r>
        <w:t xml:space="preserve">O pesquisador descobre as preferências verdadeiras dos participantes</w:t>
      </w:r>
    </w:p>
    <w:p>
      <w:pPr>
        <w:pStyle w:val="Compact"/>
        <w:numPr>
          <w:ilvl w:val="0"/>
          <w:numId w:val="2207"/>
        </w:numPr>
      </w:pPr>
    </w:p>
    <w:p>
      <w:pPr>
        <w:pStyle w:val="Compact"/>
        <w:numPr>
          <w:ilvl w:val="1"/>
          <w:numId w:val="2209"/>
        </w:numPr>
      </w:pPr>
      <w:r>
        <w:t xml:space="preserve">O pesquisador controla as preferências dos participantes via pagamentos monetários reais</w:t>
      </w:r>
    </w:p>
    <w:p>
      <w:pPr>
        <w:pStyle w:val="Compact"/>
        <w:numPr>
          <w:ilvl w:val="0"/>
          <w:numId w:val="2207"/>
        </w:numPr>
      </w:pPr>
    </w:p>
    <w:p>
      <w:pPr>
        <w:pStyle w:val="Compact"/>
        <w:numPr>
          <w:ilvl w:val="1"/>
          <w:numId w:val="2210"/>
        </w:numPr>
      </w:pPr>
      <w:r>
        <w:t xml:space="preserve">Os participantes sempre se comportam racionalmente em laboratório</w:t>
      </w:r>
    </w:p>
    <w:p>
      <w:pPr>
        <w:pStyle w:val="Compact"/>
        <w:numPr>
          <w:ilvl w:val="0"/>
          <w:numId w:val="2207"/>
        </w:numPr>
      </w:pPr>
    </w:p>
    <w:p>
      <w:pPr>
        <w:pStyle w:val="Compact"/>
        <w:numPr>
          <w:ilvl w:val="1"/>
          <w:numId w:val="2211"/>
        </w:numPr>
      </w:pPr>
      <w:r>
        <w:t xml:space="preserve">Os resultados de laboratório sempre se generalizam para o mundo real</w:t>
      </w:r>
    </w:p>
    <w:p>
      <w:pPr>
        <w:pStyle w:val="BlockText"/>
      </w:pPr>
      <w:r>
        <w:t xml:space="preserve">??? success</w:t>
      </w:r>
      <w:r>
        <w:t xml:space="preserve"> </w:t>
      </w:r>
      <w:r>
        <w:t xml:space="preserve">“Resposta”</w:t>
      </w:r>
      <w:r>
        <w:t xml:space="preserve"> </w:t>
      </w:r>
      <w:r>
        <w:rPr>
          <w:b/>
          <w:bCs/>
        </w:rPr>
        <w:t xml:space="preserve">(b)</w:t>
      </w:r>
      <w:r>
        <w:t xml:space="preserve"> </w:t>
      </w:r>
      <w:r>
        <w:t xml:space="preserve">A teoria do valor induzido não tenta descobrir preferências</w:t>
      </w:r>
      <w:r>
        <w:t xml:space="preserve"> </w:t>
      </w:r>
      <w:r>
        <w:t xml:space="preserve">“verdadeiras”</w:t>
      </w:r>
      <w:r>
        <w:t xml:space="preserve"> </w:t>
      </w:r>
      <w:r>
        <w:t xml:space="preserve">— ela as</w:t>
      </w:r>
      <w:r>
        <w:t xml:space="preserve"> </w:t>
      </w:r>
      <w:r>
        <w:rPr>
          <w:i/>
          <w:iCs/>
        </w:rPr>
        <w:t xml:space="preserve">cria</w:t>
      </w:r>
      <w:r>
        <w:t xml:space="preserve"> </w:t>
      </w:r>
      <w:r>
        <w:t xml:space="preserve">por meio de incentivos monetários. Se o pesquisador define que o comprador recebe</w:t>
      </w:r>
      <w:r>
        <w:t xml:space="preserve"> </w:t>
      </w:r>
      <m:oMath>
        <m:sSub>
          <m:e>
            <m:r>
              <m:t>v</m:t>
            </m:r>
          </m:e>
          <m:sub>
            <m:r>
              <m:t>i</m:t>
            </m:r>
          </m:sub>
        </m:sSub>
        <m:r>
          <m:rPr>
            <m:sty m:val="p"/>
          </m:rPr>
          <m:t>−</m:t>
        </m:r>
        <m:r>
          <m:t>p</m:t>
        </m:r>
      </m:oMath>
      <w:r>
        <w:t xml:space="preserve"> </w:t>
      </w:r>
      <w:r>
        <w:t xml:space="preserve">ao comprar, então o comprador se comporta</w:t>
      </w:r>
      <w:r>
        <w:t xml:space="preserve"> </w:t>
      </w:r>
      <w:r>
        <w:rPr>
          <w:i/>
          <w:iCs/>
        </w:rPr>
        <w:t xml:space="preserve">como se</w:t>
      </w:r>
      <w:r>
        <w:t xml:space="preserve"> </w:t>
      </w:r>
      <w:r>
        <w:t xml:space="preserve">tivesse valor</w:t>
      </w:r>
      <w:r>
        <w:t xml:space="preserve"> </w:t>
      </w:r>
      <m:oMath>
        <m:sSub>
          <m:e>
            <m:r>
              <m:t>v</m:t>
            </m:r>
          </m:e>
          <m:sub>
            <m:r>
              <m:t>i</m:t>
            </m:r>
          </m:sub>
        </m:sSub>
      </m:oMath>
      <w:r>
        <w:t xml:space="preserve">, independentemente de suas preferências</w:t>
      </w:r>
      <w:r>
        <w:t xml:space="preserve"> </w:t>
      </w:r>
      <w:r>
        <w:t xml:space="preserve">“reais”</w:t>
      </w:r>
      <w:r>
        <w:t xml:space="preserve"> </w:t>
      </w:r>
      <w:r>
        <w:t xml:space="preserve">pelo bem. Isso permite construir curvas de oferta e demanda conhecidas e testar se o mecanismo de mercado as iguala. A alternativa (c) é falsa — muitos experimentos mostram desvios da racionalidade.</w:t>
      </w:r>
    </w:p>
    <w:p>
      <w:pPr>
        <w:pStyle w:val="BlockText"/>
      </w:pPr>
      <w:r>
        <w:rPr>
          <w:b/>
          <w:bCs/>
        </w:rPr>
        <w:t xml:space="preserve">[QUESTAO] 3. No experimento de Gneezy e Rustichini (2000) sobre multas em creches, os atrasos aumentaram após a introdução da multa porque:</w:t>
      </w:r>
    </w:p>
    <w:p>
      <w:pPr>
        <w:pStyle w:val="Compact"/>
        <w:numPr>
          <w:ilvl w:val="0"/>
          <w:numId w:val="2212"/>
        </w:numPr>
      </w:pPr>
    </w:p>
    <w:p>
      <w:pPr>
        <w:pStyle w:val="Compact"/>
        <w:numPr>
          <w:ilvl w:val="1"/>
          <w:numId w:val="2213"/>
        </w:numPr>
      </w:pPr>
      <w:r>
        <w:t xml:space="preserve">A multa era muito alta e os pais ficaram revoltados</w:t>
      </w:r>
    </w:p>
    <w:p>
      <w:pPr>
        <w:pStyle w:val="Compact"/>
        <w:numPr>
          <w:ilvl w:val="0"/>
          <w:numId w:val="2212"/>
        </w:numPr>
      </w:pPr>
    </w:p>
    <w:p>
      <w:pPr>
        <w:pStyle w:val="Compact"/>
        <w:numPr>
          <w:ilvl w:val="1"/>
          <w:numId w:val="2214"/>
        </w:numPr>
      </w:pPr>
      <w:r>
        <w:t xml:space="preserve">A multa transformou uma obrigação moral em transação de mercado, destruindo a norma social</w:t>
      </w:r>
    </w:p>
    <w:p>
      <w:pPr>
        <w:pStyle w:val="Compact"/>
        <w:numPr>
          <w:ilvl w:val="0"/>
          <w:numId w:val="2212"/>
        </w:numPr>
      </w:pPr>
    </w:p>
    <w:p>
      <w:pPr>
        <w:pStyle w:val="Compact"/>
        <w:numPr>
          <w:ilvl w:val="1"/>
          <w:numId w:val="2215"/>
        </w:numPr>
      </w:pPr>
      <w:r>
        <w:t xml:space="preserve">Os funcionários da creche passaram a liberar as crianças mais cedo</w:t>
      </w:r>
    </w:p>
    <w:p>
      <w:pPr>
        <w:pStyle w:val="Compact"/>
        <w:numPr>
          <w:ilvl w:val="0"/>
          <w:numId w:val="2212"/>
        </w:numPr>
      </w:pPr>
    </w:p>
    <w:p>
      <w:pPr>
        <w:pStyle w:val="Compact"/>
        <w:numPr>
          <w:ilvl w:val="1"/>
          <w:numId w:val="2216"/>
        </w:numPr>
      </w:pPr>
      <w:r>
        <w:t xml:space="preserve">Os pais não foram informados sobre a multa</w:t>
      </w:r>
    </w:p>
    <w:p>
      <w:pPr>
        <w:pStyle w:val="BlockText"/>
      </w:pPr>
      <w:r>
        <w:t xml:space="preserve">??? success</w:t>
      </w:r>
      <w:r>
        <w:t xml:space="preserve"> </w:t>
      </w:r>
      <w:r>
        <w:t xml:space="preserve">“Resposta”</w:t>
      </w:r>
      <w:r>
        <w:t xml:space="preserve"> </w:t>
      </w:r>
      <w:r>
        <w:rPr>
          <w:b/>
          <w:bCs/>
        </w:rPr>
        <w:t xml:space="preserve">(b)</w:t>
      </w:r>
      <w:r>
        <w:t xml:space="preserve"> </w:t>
      </w:r>
      <w:r>
        <w:t xml:space="preserve">Antes da multa, o atraso era uma violação de norma social (</w:t>
      </w:r>
      <w:r>
        <w:t xml:space="preserve">“não é correto incomodar os funcionários”</w:t>
      </w:r>
      <w:r>
        <w:t xml:space="preserve">). A introdução da multa reframou o atraso como uma transação comercial (</w:t>
      </w:r>
      <w:r>
        <w:t xml:space="preserve">“estou pagando pelo direito de atrasar”</w:t>
      </w:r>
      <w:r>
        <w:t xml:space="preserve">). Como o incentivo financeiro era menor que o custo da inconveniência de chegar no horário, os atrasos aumentaram. Quando a multa foi removida, a norma social não retornou — o efeito foi irreversível.</w:t>
      </w:r>
    </w:p>
    <w:p>
      <w:pPr>
        <w:pStyle w:val="BlockText"/>
      </w:pPr>
      <w:r>
        <w:rPr>
          <w:b/>
          <w:bCs/>
        </w:rPr>
        <w:t xml:space="preserve">[QUESTAO] 4. A principal diferença entre um RCT e um experimento natural é:</w:t>
      </w:r>
    </w:p>
    <w:p>
      <w:pPr>
        <w:pStyle w:val="Compact"/>
        <w:numPr>
          <w:ilvl w:val="0"/>
          <w:numId w:val="2217"/>
        </w:numPr>
      </w:pPr>
    </w:p>
    <w:p>
      <w:pPr>
        <w:pStyle w:val="Compact"/>
        <w:numPr>
          <w:ilvl w:val="1"/>
          <w:numId w:val="2218"/>
        </w:numPr>
      </w:pPr>
      <w:r>
        <w:t xml:space="preserve">O RCT usa dados reais e o experimento natural usa dados simulados</w:t>
      </w:r>
    </w:p>
    <w:p>
      <w:pPr>
        <w:pStyle w:val="Compact"/>
        <w:numPr>
          <w:ilvl w:val="0"/>
          <w:numId w:val="2217"/>
        </w:numPr>
      </w:pPr>
    </w:p>
    <w:p>
      <w:pPr>
        <w:pStyle w:val="Compact"/>
        <w:numPr>
          <w:ilvl w:val="1"/>
          <w:numId w:val="2219"/>
        </w:numPr>
      </w:pPr>
      <w:r>
        <w:t xml:space="preserve">No RCT, o pesquisador controla a aleatorização; no experimento natural, a variação exógena é fornecida pela história ou pela política</w:t>
      </w:r>
    </w:p>
    <w:p>
      <w:pPr>
        <w:pStyle w:val="Compact"/>
        <w:numPr>
          <w:ilvl w:val="0"/>
          <w:numId w:val="2217"/>
        </w:numPr>
      </w:pPr>
    </w:p>
    <w:p>
      <w:pPr>
        <w:pStyle w:val="Compact"/>
        <w:numPr>
          <w:ilvl w:val="1"/>
          <w:numId w:val="2220"/>
        </w:numPr>
      </w:pPr>
      <w:r>
        <w:t xml:space="preserve">O RCT é sempre mais confiável que o experimento natural</w:t>
      </w:r>
    </w:p>
    <w:p>
      <w:pPr>
        <w:pStyle w:val="Compact"/>
        <w:numPr>
          <w:ilvl w:val="0"/>
          <w:numId w:val="2217"/>
        </w:numPr>
      </w:pPr>
    </w:p>
    <w:p>
      <w:pPr>
        <w:pStyle w:val="Compact"/>
        <w:numPr>
          <w:ilvl w:val="1"/>
          <w:numId w:val="2221"/>
        </w:numPr>
      </w:pPr>
      <w:r>
        <w:t xml:space="preserve">Experimentos naturais só existem em ciências naturais</w:t>
      </w:r>
    </w:p>
    <w:p>
      <w:pPr>
        <w:pStyle w:val="BlockText"/>
      </w:pPr>
      <w:r>
        <w:t xml:space="preserve">??? success</w:t>
      </w:r>
      <w:r>
        <w:t xml:space="preserve"> </w:t>
      </w:r>
      <w:r>
        <w:t xml:space="preserve">“Resposta”</w:t>
      </w:r>
      <w:r>
        <w:t xml:space="preserve"> </w:t>
      </w:r>
      <w:r>
        <w:rPr>
          <w:b/>
          <w:bCs/>
        </w:rPr>
        <w:t xml:space="preserve">(b)</w:t>
      </w:r>
      <w:r>
        <w:t xml:space="preserve"> </w:t>
      </w:r>
      <w:r>
        <w:t xml:space="preserve">Em um RCT, o pesquisador decide quem recebe o tratamento (por sorteio). Em um experimento natural, a variação é fornecida por eventos exógenos — como a mudança do salário mínimo em New Jersey mas não na Pensilvânia (Card e Krueger, 1994) ou o trimestre de nascimento que afeta anos de escolaridade (Angrist e Krueger, 1991). A alternativa (c) é incorreta: um RCT mal desenhado pode ser menos confiável que um experimento natural bem explorado.</w:t>
      </w:r>
    </w:p>
    <w:p>
      <w:pPr>
        <w:pStyle w:val="BlockText"/>
      </w:pPr>
      <w:r>
        <w:rPr>
          <w:b/>
          <w:bCs/>
        </w:rPr>
        <w:t xml:space="preserve">[QUESTAO] 5. A crise de replicação em economia experimental refere-se ao fato de que:</w:t>
      </w:r>
    </w:p>
    <w:p>
      <w:pPr>
        <w:pStyle w:val="Compact"/>
        <w:numPr>
          <w:ilvl w:val="0"/>
          <w:numId w:val="2222"/>
        </w:numPr>
      </w:pPr>
    </w:p>
    <w:p>
      <w:pPr>
        <w:pStyle w:val="Compact"/>
        <w:numPr>
          <w:ilvl w:val="1"/>
          <w:numId w:val="2223"/>
        </w:numPr>
      </w:pPr>
      <w:r>
        <w:t xml:space="preserve">Nenhum experimento econômico foi replicado com sucesso</w:t>
      </w:r>
    </w:p>
    <w:p>
      <w:pPr>
        <w:pStyle w:val="Compact"/>
        <w:numPr>
          <w:ilvl w:val="0"/>
          <w:numId w:val="2222"/>
        </w:numPr>
      </w:pPr>
    </w:p>
    <w:p>
      <w:pPr>
        <w:pStyle w:val="Compact"/>
        <w:numPr>
          <w:ilvl w:val="1"/>
          <w:numId w:val="2224"/>
        </w:numPr>
      </w:pPr>
      <w:r>
        <w:t xml:space="preserve">Cerca de 39% dos estudos testados por Camerer et al. (2016) não replicaram, levantando preocupações sobre viés de publicação e práticas questionáveis de pesquisa</w:t>
      </w:r>
    </w:p>
    <w:p>
      <w:pPr>
        <w:pStyle w:val="Compact"/>
        <w:numPr>
          <w:ilvl w:val="0"/>
          <w:numId w:val="2222"/>
        </w:numPr>
      </w:pPr>
    </w:p>
    <w:p>
      <w:pPr>
        <w:pStyle w:val="Compact"/>
        <w:numPr>
          <w:ilvl w:val="1"/>
          <w:numId w:val="2225"/>
        </w:numPr>
      </w:pPr>
      <w:r>
        <w:t xml:space="preserve">Os economistas se recusam a compartilhar seus dados</w:t>
      </w:r>
    </w:p>
    <w:p>
      <w:pPr>
        <w:pStyle w:val="Compact"/>
        <w:numPr>
          <w:ilvl w:val="0"/>
          <w:numId w:val="2222"/>
        </w:numPr>
      </w:pPr>
    </w:p>
    <w:p>
      <w:pPr>
        <w:pStyle w:val="Compact"/>
        <w:numPr>
          <w:ilvl w:val="1"/>
          <w:numId w:val="2226"/>
        </w:numPr>
      </w:pPr>
      <w:r>
        <w:t xml:space="preserve">Experimentos em economia são mais caros que em outras ciências</w:t>
      </w:r>
    </w:p>
    <w:p>
      <w:pPr>
        <w:pStyle w:val="BlockText"/>
      </w:pPr>
      <w:r>
        <w:t xml:space="preserve">??? success</w:t>
      </w:r>
      <w:r>
        <w:t xml:space="preserve"> </w:t>
      </w:r>
      <w:r>
        <w:t xml:space="preserve">“Resposta”</w:t>
      </w:r>
      <w:r>
        <w:t xml:space="preserve"> </w:t>
      </w:r>
      <w:r>
        <w:rPr>
          <w:b/>
          <w:bCs/>
        </w:rPr>
        <w:t xml:space="preserve">(b)</w:t>
      </w:r>
      <w:r>
        <w:t xml:space="preserve"> </w:t>
      </w:r>
      <w:r>
        <w:t xml:space="preserve">Camerer et al. (2016) tentaram replicar 18 experimentos de laboratório publicados em periódicos top e obtiveram sucesso em apenas 11 (61%). As causas incluem viés de publicação (periódicos preferem resultados significativos), p-hacking (testar múltiplas especificações), e amostras pequenas. A profissão respondeu com pré-registro de hipóteses, relatórios registrados e compartilhamento obrigatório de dados e código.</w:t>
      </w:r>
    </w:p>
    <w:p>
      <w:r>
        <w:pict>
          <v:rect style="width:0;height:1.5pt" o:hralign="center" o:hrstd="t" o:hr="t"/>
        </w:pict>
      </w:r>
    </w:p>
    <w:bookmarkEnd w:id="1382"/>
    <w:bookmarkStart w:id="1383" w:name="resumo-do-capítulo-23"/>
    <w:p>
      <w:pPr>
        <w:pStyle w:val="Heading3"/>
      </w:pPr>
      <w:r>
        <w:t xml:space="preserve">Resumo do Capítulo</w:t>
      </w:r>
    </w:p>
    <w:p>
      <w:pPr>
        <w:numPr>
          <w:ilvl w:val="0"/>
          <w:numId w:val="2227"/>
        </w:numPr>
      </w:pPr>
      <w:r>
        <w:rPr>
          <w:b/>
          <w:bCs/>
        </w:rPr>
        <w:t xml:space="preserve">A economia experimental</w:t>
      </w:r>
      <w:r>
        <w:t xml:space="preserve"> </w:t>
      </w:r>
      <w:r>
        <w:t xml:space="preserve">nasceu da necessidade de superar o problema da endogeneidade em dados observacionais — a impossibilidade de distinguir correlação de causalidade sem aleatorização. Em pouco mais de meio século, passou de curiosidade marginal a pilar da pesquisa econômica, reconhecida com três Prêmios Nobel (2002, 2019, 2021).</w:t>
      </w:r>
    </w:p>
    <w:p>
      <w:pPr>
        <w:numPr>
          <w:ilvl w:val="0"/>
          <w:numId w:val="2227"/>
        </w:numPr>
      </w:pPr>
      <w:r>
        <w:rPr>
          <w:b/>
          <w:bCs/>
        </w:rPr>
        <w:t xml:space="preserve">Experimentos de laboratório</w:t>
      </w:r>
      <w:r>
        <w:t xml:space="preserve"> </w:t>
      </w:r>
      <w:r>
        <w:t xml:space="preserve">trazem participantes a ambientes controlados com incentivos monetários reais. A</w:t>
      </w:r>
      <w:r>
        <w:t xml:space="preserve"> </w:t>
      </w:r>
      <w:r>
        <w:rPr>
          <w:b/>
          <w:bCs/>
        </w:rPr>
        <w:t xml:space="preserve">teoria do valor induzido</w:t>
      </w:r>
      <w:r>
        <w:t xml:space="preserve"> </w:t>
      </w:r>
      <w:r>
        <w:t xml:space="preserve">de Vernon Smith permite ao pesquisador construir mercados com oferta e demanda conhecidas. Resultados clássicos: o leilão de dupla converge ao equilíbrio competitivo (confirmando a teoria); os jogos do ultimato e do ditador revelam preferências sociais (desafiando a hipótese de egoísmo); o jogo de bens públicos mostra cooperação parcial e eficácia da punição altruísta.</w:t>
      </w:r>
    </w:p>
    <w:p>
      <w:pPr>
        <w:numPr>
          <w:ilvl w:val="0"/>
          <w:numId w:val="2227"/>
        </w:numPr>
      </w:pPr>
      <w:r>
        <w:rPr>
          <w:b/>
          <w:bCs/>
        </w:rPr>
        <w:t xml:space="preserve">Experimentos de campo</w:t>
      </w:r>
      <w:r>
        <w:t xml:space="preserve"> </w:t>
      </w:r>
      <w:r>
        <w:t xml:space="preserve">(taxonomia de Harrison e List, 2004) combinam controle experimental com contexto natural, aumentando a validade externa. O experimento de Gneezy e Rustichini (2000) sobre multas em creches mostrou que incentivos monetários podem destruir normas sociais — com efeitos irreversíveis.</w:t>
      </w:r>
    </w:p>
    <w:p>
      <w:pPr>
        <w:numPr>
          <w:ilvl w:val="0"/>
          <w:numId w:val="2227"/>
        </w:numPr>
      </w:pPr>
      <w:r>
        <w:rPr>
          <w:b/>
          <w:bCs/>
        </w:rPr>
        <w:t xml:space="preserve">Ensaios controlados randomizados (RCTs)</w:t>
      </w:r>
      <w:r>
        <w:t xml:space="preserve"> </w:t>
      </w:r>
      <w:r>
        <w:t xml:space="preserve">aplicam a lógica experimental à avaliação de políticas públicas em larga escala. A randomização garante que o grupo de controle fornece o contrafactual correto. O Nobel de 2019 (Banerjee, Duflo, Kremer) reconheceu a transformação que os RCTs trouxeram para a economia do desenvolvimento — incluindo descobertas contraintuitivas sobre educação, saúde e microcrédito.</w:t>
      </w:r>
    </w:p>
    <w:p>
      <w:pPr>
        <w:numPr>
          <w:ilvl w:val="0"/>
          <w:numId w:val="2227"/>
        </w:numPr>
      </w:pPr>
      <w:r>
        <w:rPr>
          <w:b/>
          <w:bCs/>
        </w:rPr>
        <w:t xml:space="preserve">Experimentos naturais e quase-experimentos</w:t>
      </w:r>
      <w:r>
        <w:t xml:space="preserve"> </w:t>
      </w:r>
      <w:r>
        <w:t xml:space="preserve">exploram variações exógenas fornecidas pela história ou pela política. Os métodos incluem diferenças-em-diferenças (Card e Krueger, 1994: salário mínimo), regressão descontínua (limiares de elegibilidade) e variáveis instrumentais (Angrist e Krueger, 1991: trimestre de nascimento). O Nobel de 2021 reconheceu a</w:t>
      </w:r>
      <w:r>
        <w:t xml:space="preserve"> </w:t>
      </w:r>
      <w:r>
        <w:t xml:space="preserve">“revolução da credibilidade”</w:t>
      </w:r>
      <w:r>
        <w:t xml:space="preserve"> </w:t>
      </w:r>
      <w:r>
        <w:t xml:space="preserve">na econometria aplicada.</w:t>
      </w:r>
    </w:p>
    <w:p>
      <w:pPr>
        <w:numPr>
          <w:ilvl w:val="0"/>
          <w:numId w:val="2227"/>
        </w:numPr>
      </w:pPr>
      <w:r>
        <w:rPr>
          <w:b/>
          <w:bCs/>
        </w:rPr>
        <w:t xml:space="preserve">Desenho de mecanismos experimentais</w:t>
      </w:r>
      <w:r>
        <w:t xml:space="preserve"> </w:t>
      </w:r>
      <w:r>
        <w:t xml:space="preserve">testa a teoria de leilões em laboratório (overbidding, maldição do vencedor) e aplica matching theory a problemas reais como a troca de rins (Roth, Nobel 2012).</w:t>
      </w:r>
    </w:p>
    <w:p>
      <w:pPr>
        <w:numPr>
          <w:ilvl w:val="0"/>
          <w:numId w:val="2227"/>
        </w:numPr>
      </w:pPr>
      <w:r>
        <w:rPr>
          <w:b/>
          <w:bCs/>
        </w:rPr>
        <w:t xml:space="preserve">Limites e controvérsias</w:t>
      </w:r>
      <w:r>
        <w:t xml:space="preserve"> </w:t>
      </w:r>
      <w:r>
        <w:t xml:space="preserve">incluem a crise de replicação (Camerer et al., 2016: 61% de replicação), a crítica de Deaton aos RCTs (validade externa, equilíbrio geral, ateoricismo), e questões éticas (consentimento, negação de tratamento, assimetrias de poder).</w:t>
      </w:r>
    </w:p>
    <w:bookmarkEnd w:id="1383"/>
    <w:bookmarkStart w:id="1384" w:name="conceitos-chave-22"/>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Endogeneidade</w:t>
            </w:r>
          </w:p>
        </w:tc>
        <w:tc>
          <w:tcPr/>
          <w:p>
            <w:pPr>
              <w:pStyle w:val="Compact"/>
            </w:pPr>
            <w:r>
              <w:t xml:space="preserve">Correlação entre a variável explicativa e o termo de erro, impedindo identificação causal</w:t>
            </w:r>
          </w:p>
        </w:tc>
      </w:tr>
      <w:tr>
        <w:tc>
          <w:tcPr/>
          <w:p>
            <w:pPr>
              <w:pStyle w:val="Compact"/>
            </w:pPr>
            <w:r>
              <w:t xml:space="preserve">Valor induzido</w:t>
            </w:r>
          </w:p>
        </w:tc>
        <w:tc>
          <w:tcPr/>
          <w:p>
            <w:pPr>
              <w:pStyle w:val="Compact"/>
            </w:pPr>
            <w:r>
              <w:t xml:space="preserve">Técnica que permite ao experimentador criar preferências controladas via pagamentos monetários</w:t>
            </w:r>
          </w:p>
        </w:tc>
      </w:tr>
      <w:tr>
        <w:tc>
          <w:tcPr/>
          <w:p>
            <w:pPr>
              <w:pStyle w:val="Compact"/>
            </w:pPr>
            <w:r>
              <w:t xml:space="preserve">Jogo do ultimato</w:t>
            </w:r>
          </w:p>
        </w:tc>
        <w:tc>
          <w:tcPr/>
          <w:p>
            <w:pPr>
              <w:pStyle w:val="Compact"/>
            </w:pPr>
            <w:r>
              <w:t xml:space="preserve">Jogo em que um propositor divide uma quantia e o respondente aceita ou rejeita; testa preferências sociais</w:t>
            </w:r>
          </w:p>
        </w:tc>
      </w:tr>
      <w:tr>
        <w:tc>
          <w:tcPr/>
          <w:p>
            <w:pPr>
              <w:pStyle w:val="Compact"/>
            </w:pPr>
            <w:r>
              <w:t xml:space="preserve">Jogo de bens públicos</w:t>
            </w:r>
          </w:p>
        </w:tc>
        <w:tc>
          <w:tcPr/>
          <w:p>
            <w:pPr>
              <w:pStyle w:val="Compact"/>
            </w:pPr>
            <w:r>
              <w:t xml:space="preserve">Jogo de contribuição voluntária que testa o problema do carona e a cooperação</w:t>
            </w:r>
          </w:p>
        </w:tc>
      </w:tr>
      <w:tr>
        <w:tc>
          <w:tcPr/>
          <w:p>
            <w:pPr>
              <w:pStyle w:val="Compact"/>
            </w:pPr>
            <w:r>
              <w:t xml:space="preserve">Leilão de dupla</w:t>
            </w:r>
          </w:p>
        </w:tc>
        <w:tc>
          <w:tcPr/>
          <w:p>
            <w:pPr>
              <w:pStyle w:val="Compact"/>
            </w:pPr>
            <w:r>
              <w:t xml:space="preserve">Mecanismo em que compradores e vendedores submetem lances/ofertas simultaneamente; converge ao equilíbrio competitivo</w:t>
            </w:r>
          </w:p>
        </w:tc>
      </w:tr>
      <w:tr>
        <w:tc>
          <w:tcPr/>
          <w:p>
            <w:pPr>
              <w:pStyle w:val="Compact"/>
            </w:pPr>
            <w:r>
              <w:t xml:space="preserve">Experimento de campo</w:t>
            </w:r>
          </w:p>
        </w:tc>
        <w:tc>
          <w:tcPr/>
          <w:p>
            <w:pPr>
              <w:pStyle w:val="Compact"/>
            </w:pPr>
            <w:r>
              <w:t xml:space="preserve">Experimento conduzido no contexto natural dos participantes, com aleatorização controlada pelo pesquisador</w:t>
            </w:r>
          </w:p>
        </w:tc>
      </w:tr>
      <w:tr>
        <w:tc>
          <w:tcPr/>
          <w:p>
            <w:pPr>
              <w:pStyle w:val="Compact"/>
            </w:pPr>
            <w:r>
              <w:t xml:space="preserve">RCT</w:t>
            </w:r>
          </w:p>
        </w:tc>
        <w:tc>
          <w:tcPr/>
          <w:p>
            <w:pPr>
              <w:pStyle w:val="Compact"/>
            </w:pPr>
            <w:r>
              <w:t xml:space="preserve">Ensaio controlado randomizado — atribuição aleatória de tratamento para identificar efeitos causais</w:t>
            </w:r>
          </w:p>
        </w:tc>
      </w:tr>
      <w:tr>
        <w:tc>
          <w:tcPr/>
          <w:p>
            <w:pPr>
              <w:pStyle w:val="Compact"/>
            </w:pPr>
            <w:r>
              <w:t xml:space="preserve">ATE</w:t>
            </w:r>
          </w:p>
        </w:tc>
        <w:tc>
          <w:tcPr/>
          <w:p>
            <w:pPr>
              <w:pStyle w:val="Compact"/>
            </w:pPr>
            <w:r>
              <w:t xml:space="preserve">Efeito médio do tratamento — diferença esperada nos resultados entre tratados e não tratados</w:t>
            </w:r>
          </w:p>
        </w:tc>
      </w:tr>
      <w:tr>
        <w:tc>
          <w:tcPr/>
          <w:p>
            <w:pPr>
              <w:pStyle w:val="Compact"/>
            </w:pPr>
            <w:r>
              <w:t xml:space="preserve">ITT</w:t>
            </w:r>
          </w:p>
        </w:tc>
        <w:tc>
          <w:tcPr/>
          <w:p>
            <w:pPr>
              <w:pStyle w:val="Compact"/>
            </w:pPr>
            <w:r>
              <w:t xml:space="preserve">Intenção de tratar — estimativa baseada na atribuição aleatória original, independentemente da adesão</w:t>
            </w:r>
          </w:p>
        </w:tc>
      </w:tr>
      <w:tr>
        <w:tc>
          <w:tcPr/>
          <w:p>
            <w:pPr>
              <w:pStyle w:val="Compact"/>
            </w:pPr>
            <w:r>
              <w:t xml:space="preserve">Diferenças em diferenças</w:t>
            </w:r>
          </w:p>
        </w:tc>
        <w:tc>
          <w:tcPr/>
          <w:p>
            <w:pPr>
              <w:pStyle w:val="Compact"/>
            </w:pPr>
            <w:r>
              <w:t xml:space="preserve">Método que compara mudanças antes/depois entre grupos tratado e controle</w:t>
            </w:r>
          </w:p>
        </w:tc>
      </w:tr>
      <w:tr>
        <w:tc>
          <w:tcPr/>
          <w:p>
            <w:pPr>
              <w:pStyle w:val="Compact"/>
            </w:pPr>
            <w:r>
              <w:t xml:space="preserve">Regressão descontínua</w:t>
            </w:r>
          </w:p>
        </w:tc>
        <w:tc>
          <w:tcPr/>
          <w:p>
            <w:pPr>
              <w:pStyle w:val="Compact"/>
            </w:pPr>
            <w:r>
              <w:t xml:space="preserve">Método que explora descontinuidades em limiares de elegibilidade para identificar efeitos causais</w:t>
            </w:r>
          </w:p>
        </w:tc>
      </w:tr>
      <w:tr>
        <w:tc>
          <w:tcPr/>
          <w:p>
            <w:pPr>
              <w:pStyle w:val="Compact"/>
            </w:pPr>
            <w:r>
              <w:t xml:space="preserve">Variáveis instrumentais</w:t>
            </w:r>
          </w:p>
        </w:tc>
        <w:tc>
          <w:tcPr/>
          <w:p>
            <w:pPr>
              <w:pStyle w:val="Compact"/>
            </w:pPr>
            <w:r>
              <w:t xml:space="preserve">Método que usa uma variável exógena (instrumento) para resolver endogeneidade</w:t>
            </w:r>
          </w:p>
        </w:tc>
      </w:tr>
      <w:tr>
        <w:tc>
          <w:tcPr/>
          <w:p>
            <w:pPr>
              <w:pStyle w:val="Compact"/>
            </w:pPr>
            <w:r>
              <w:t xml:space="preserve">Crise de replicação</w:t>
            </w:r>
          </w:p>
        </w:tc>
        <w:tc>
          <w:tcPr/>
          <w:p>
            <w:pPr>
              <w:pStyle w:val="Compact"/>
            </w:pPr>
            <w:r>
              <w:t xml:space="preserve">Fenômeno em que estudos publicados não são reprodutíveis, causado por viés de publicação e práticas questionáveis</w:t>
            </w:r>
          </w:p>
        </w:tc>
      </w:tr>
      <w:tr>
        <w:tc>
          <w:tcPr/>
          <w:p>
            <w:pPr>
              <w:pStyle w:val="Compact"/>
            </w:pPr>
            <w:r>
              <w:t xml:space="preserve">Validade interna</w:t>
            </w:r>
          </w:p>
        </w:tc>
        <w:tc>
          <w:tcPr/>
          <w:p>
            <w:pPr>
              <w:pStyle w:val="Compact"/>
            </w:pPr>
            <w:r>
              <w:t xml:space="preserve">Capacidade do desenho experimental de atribuir o efeito observado ao tratamento</w:t>
            </w:r>
          </w:p>
        </w:tc>
      </w:tr>
      <w:tr>
        <w:tc>
          <w:tcPr/>
          <w:p>
            <w:pPr>
              <w:pStyle w:val="Compact"/>
            </w:pPr>
            <w:r>
              <w:t xml:space="preserve">Validade externa</w:t>
            </w:r>
          </w:p>
        </w:tc>
        <w:tc>
          <w:tcPr/>
          <w:p>
            <w:pPr>
              <w:pStyle w:val="Compact"/>
            </w:pPr>
            <w:r>
              <w:t xml:space="preserve">Capacidade de generalizar os resultados para outros contextos e populações</w:t>
            </w:r>
          </w:p>
        </w:tc>
      </w:tr>
    </w:tbl>
    <w:p>
      <w:pPr>
        <w:pStyle w:val="BodyText"/>
      </w:pPr>
      <w:r>
        <w:rPr>
          <w:b/>
          <w:bCs/>
        </w:rPr>
        <w:t xml:space="preserve">Tabela 22.1 — Conceitos-chave.</w:t>
      </w:r>
    </w:p>
    <w:p>
      <w:r>
        <w:pict>
          <v:rect style="width:0;height:1.5pt" o:hralign="center" o:hrstd="t" o:hr="t"/>
        </w:pict>
      </w:r>
    </w:p>
    <w:bookmarkEnd w:id="1384"/>
    <w:bookmarkStart w:id="1385" w:name="exercícios-27"/>
    <w:p>
      <w:pPr>
        <w:pStyle w:val="Heading3"/>
      </w:pPr>
      <w:r>
        <w:t xml:space="preserve">Exercícios</w:t>
      </w:r>
    </w:p>
    <w:p>
      <w:pPr>
        <w:pStyle w:val="FirstParagraph"/>
      </w:pPr>
      <w:r>
        <w:rPr>
          <w:b/>
          <w:bCs/>
        </w:rPr>
        <w:t xml:space="preserve">Exercício 22.1.</w:t>
      </w:r>
      <w:r>
        <w:t xml:space="preserve"> </w:t>
      </w:r>
      <w:r>
        <w:t xml:space="preserve">Em um experimento de valor induzido, 5 compradores têm valores de resgate</w:t>
      </w:r>
      <w:r>
        <w:t xml:space="preserve"> </w:t>
      </w:r>
      <m:oMath>
        <m:sSub>
          <m:e>
            <m:r>
              <m:t>v</m:t>
            </m:r>
          </m:e>
          <m:sub>
            <m:r>
              <m:t>B</m:t>
            </m:r>
          </m:sub>
        </m:sSub>
        <m:r>
          <m:rPr>
            <m:sty m:val="p"/>
          </m:rPr>
          <m:t>=</m:t>
        </m:r>
        <m:r>
          <m:rPr>
            <m:sty m:val="p"/>
          </m:rPr>
          <m:t>{</m:t>
        </m:r>
        <m:r>
          <m:t>20</m:t>
        </m:r>
        <m:r>
          <m:rPr>
            <m:sty m:val="p"/>
          </m:rPr>
          <m:t>,</m:t>
        </m:r>
        <m:r>
          <m:t>16</m:t>
        </m:r>
        <m:r>
          <m:rPr>
            <m:sty m:val="p"/>
          </m:rPr>
          <m:t>,</m:t>
        </m:r>
        <m:r>
          <m:t>12</m:t>
        </m:r>
        <m:r>
          <m:rPr>
            <m:sty m:val="p"/>
          </m:rPr>
          <m:t>,</m:t>
        </m:r>
        <m:r>
          <m:t>8</m:t>
        </m:r>
        <m:r>
          <m:rPr>
            <m:sty m:val="p"/>
          </m:rPr>
          <m:t>,</m:t>
        </m:r>
        <m:r>
          <m:t>4</m:t>
        </m:r>
        <m:r>
          <m:rPr>
            <m:sty m:val="p"/>
          </m:rPr>
          <m:t>}</m:t>
        </m:r>
      </m:oMath>
      <w:r>
        <w:t xml:space="preserve"> </w:t>
      </w:r>
      <w:r>
        <w:t xml:space="preserve">e 5 vendedores têm custos</w:t>
      </w:r>
      <w:r>
        <w:t xml:space="preserve"> </w:t>
      </w:r>
      <m:oMath>
        <m:sSub>
          <m:e>
            <m:r>
              <m:t>c</m:t>
            </m:r>
          </m:e>
          <m:sub>
            <m:r>
              <m:t>S</m:t>
            </m:r>
          </m:sub>
        </m:sSub>
        <m:r>
          <m:rPr>
            <m:sty m:val="p"/>
          </m:rPr>
          <m:t>=</m:t>
        </m:r>
        <m:r>
          <m:rPr>
            <m:sty m:val="p"/>
          </m:rPr>
          <m:t>{</m:t>
        </m:r>
        <m:r>
          <m:t>2</m:t>
        </m:r>
        <m:r>
          <m:rPr>
            <m:sty m:val="p"/>
          </m:rPr>
          <m:t>,</m:t>
        </m:r>
        <m:r>
          <m:t>6</m:t>
        </m:r>
        <m:r>
          <m:rPr>
            <m:sty m:val="p"/>
          </m:rPr>
          <m:t>,</m:t>
        </m:r>
        <m:r>
          <m:t>10</m:t>
        </m:r>
        <m:r>
          <m:rPr>
            <m:sty m:val="p"/>
          </m:rPr>
          <m:t>,</m:t>
        </m:r>
        <m:r>
          <m:t>14</m:t>
        </m:r>
        <m:r>
          <m:rPr>
            <m:sty m:val="p"/>
          </m:rPr>
          <m:t>,</m:t>
        </m:r>
        <m:r>
          <m:t>18</m:t>
        </m:r>
        <m:r>
          <m:rPr>
            <m:sty m:val="p"/>
          </m:rPr>
          <m:t>}</m:t>
        </m:r>
      </m:oMath>
      <w:r>
        <w:t xml:space="preserve">.</w:t>
      </w:r>
    </w:p>
    <w:p>
      <w:pPr>
        <w:pStyle w:val="Compact"/>
        <w:numPr>
          <w:ilvl w:val="0"/>
          <w:numId w:val="2228"/>
        </w:numPr>
      </w:pPr>
      <w:r>
        <w:t xml:space="preserve">Construa as curvas de oferta e demanda e determine o preço e a quantidade de equilíbrio competitivo.</w:t>
      </w:r>
    </w:p>
    <w:p>
      <w:pPr>
        <w:pStyle w:val="Compact"/>
        <w:numPr>
          <w:ilvl w:val="0"/>
          <w:numId w:val="2228"/>
        </w:numPr>
      </w:pPr>
      <w:r>
        <w:t xml:space="preserve">Calcule o excedente total no equilíbrio.</w:t>
      </w:r>
    </w:p>
    <w:p>
      <w:pPr>
        <w:pStyle w:val="Compact"/>
        <w:numPr>
          <w:ilvl w:val="0"/>
          <w:numId w:val="2228"/>
        </w:numPr>
      </w:pPr>
      <w:r>
        <w:t xml:space="preserve">Se o preço observado no experimento for</w:t>
      </w:r>
      <w:r>
        <w:t xml:space="preserve"> </w:t>
      </w:r>
      <m:oMath>
        <m:r>
          <m:t>p</m:t>
        </m:r>
        <m:r>
          <m:rPr>
            <m:sty m:val="p"/>
          </m:rPr>
          <m:t>=</m:t>
        </m:r>
        <m:r>
          <m:t>13</m:t>
        </m:r>
      </m:oMath>
      <w:r>
        <w:t xml:space="preserve">, calcule o excedente total realizado e a eficiência de mercado (razão excedente realizado / excedente máximo).</w:t>
      </w:r>
    </w:p>
    <w:p>
      <w:pPr>
        <w:pStyle w:val="Compact"/>
        <w:numPr>
          <w:ilvl w:val="0"/>
          <w:numId w:val="2228"/>
        </w:numPr>
      </w:pPr>
      <w:r>
        <w:t xml:space="preserve">Discuta o que Vernon Smith observou sobre a convergência de preços ao longo de múltiplas rodadas.</w:t>
      </w:r>
    </w:p>
    <w:p>
      <w:pPr>
        <w:pStyle w:val="FirstParagraph"/>
      </w:pPr>
      <w:r>
        <w:t xml:space="preserve">Ver solução (Cap. 22)</w:t>
      </w:r>
    </w:p>
    <w:p>
      <w:pPr>
        <w:pStyle w:val="BodyText"/>
      </w:pPr>
      <w:r>
        <w:rPr>
          <w:b/>
          <w:bCs/>
        </w:rPr>
        <w:t xml:space="preserve">Exercício 22.2.</w:t>
      </w:r>
      <w:r>
        <w:t xml:space="preserve"> </w:t>
      </w:r>
      <w:r>
        <w:t xml:space="preserve">No jogo do ultimato, o propositor tem R$ 100 para dividir. A função utilidade do respondente é</w:t>
      </w:r>
      <w:r>
        <w:t xml:space="preserve"> </w:t>
      </w:r>
      <m:oMath>
        <m:sSub>
          <m:e>
            <m:r>
              <m:t>u</m:t>
            </m:r>
          </m:e>
          <m:sub>
            <m:r>
              <m:t>R</m:t>
            </m:r>
          </m:sub>
        </m:sSub>
        <m:r>
          <m:rPr>
            <m:sty m:val="p"/>
          </m:rPr>
          <m:t>(</m:t>
        </m:r>
        <m:r>
          <m:t>x</m:t>
        </m:r>
        <m:r>
          <m:rPr>
            <m:sty m:val="p"/>
          </m:rPr>
          <m:t>)</m:t>
        </m:r>
        <m:r>
          <m:rPr>
            <m:sty m:val="p"/>
          </m:rPr>
          <m:t>=</m:t>
        </m:r>
        <m:r>
          <m:t>x</m:t>
        </m:r>
        <m:r>
          <m:rPr>
            <m:sty m:val="p"/>
          </m:rPr>
          <m:t>−</m:t>
        </m:r>
        <m:r>
          <m:t>α</m:t>
        </m:r>
        <m:r>
          <m:rPr>
            <m:sty m:val="p"/>
          </m:rPr>
          <m:t>⋅</m:t>
        </m:r>
        <m:r>
          <m:rPr>
            <m:sty m:val="p"/>
          </m:rPr>
          <m:t>max</m:t>
        </m:r>
        <m:r>
          <m:rPr>
            <m:sty m:val="p"/>
          </m:rPr>
          <m:t>{</m:t>
        </m:r>
        <m:r>
          <m:t>50</m:t>
        </m:r>
        <m:r>
          <m:rPr>
            <m:sty m:val="p"/>
          </m:rPr>
          <m:t>−</m:t>
        </m:r>
        <m:r>
          <m:t>x</m:t>
        </m:r>
        <m:r>
          <m:rPr>
            <m:sty m:val="p"/>
          </m:rPr>
          <m:t>,</m:t>
        </m:r>
        <m:r>
          <m:t>0</m:t>
        </m:r>
        <m:r>
          <m:rPr>
            <m:sty m:val="p"/>
          </m:rPr>
          <m:t>}</m:t>
        </m:r>
      </m:oMath>
      <w:r>
        <w:t xml:space="preserve">, onde</w:t>
      </w:r>
      <w:r>
        <w:t xml:space="preserve"> </w:t>
      </w:r>
      <m:oMath>
        <m:r>
          <m:t>x</m:t>
        </m:r>
      </m:oMath>
      <w:r>
        <w:t xml:space="preserve"> </w:t>
      </w:r>
      <w:r>
        <w:t xml:space="preserve">é a oferta recebida e</w:t>
      </w:r>
      <w:r>
        <w:t xml:space="preserve"> </w:t>
      </w:r>
      <m:oMath>
        <m:r>
          <m:t>α</m:t>
        </m:r>
        <m:r>
          <m:rPr>
            <m:sty m:val="p"/>
          </m:rPr>
          <m:t>&gt;</m:t>
        </m:r>
        <m:r>
          <m:t>0</m:t>
        </m:r>
      </m:oMath>
      <w:r>
        <w:t xml:space="preserve"> </w:t>
      </w:r>
      <w:r>
        <w:t xml:space="preserve">mede a aversão à desigualdade.</w:t>
      </w:r>
    </w:p>
    <w:p>
      <w:pPr>
        <w:pStyle w:val="Compact"/>
        <w:numPr>
          <w:ilvl w:val="0"/>
          <w:numId w:val="2229"/>
        </w:numPr>
      </w:pPr>
      <w:r>
        <w:t xml:space="preserve">Para qual valor de</w:t>
      </w:r>
      <w:r>
        <w:t xml:space="preserve"> </w:t>
      </w:r>
      <m:oMath>
        <m:r>
          <m:t>α</m:t>
        </m:r>
      </m:oMath>
      <w:r>
        <w:t xml:space="preserve"> </w:t>
      </w:r>
      <w:r>
        <w:t xml:space="preserve">o respondente é indiferente entre aceitar e rejeitar uma oferta de R$ 20?</w:t>
      </w:r>
    </w:p>
    <w:p>
      <w:pPr>
        <w:pStyle w:val="Compact"/>
        <w:numPr>
          <w:ilvl w:val="0"/>
          <w:numId w:val="2229"/>
        </w:numPr>
      </w:pPr>
      <w:r>
        <w:t xml:space="preserve">Se</w:t>
      </w:r>
      <w:r>
        <w:t xml:space="preserve"> </w:t>
      </w:r>
      <m:oMath>
        <m:r>
          <m:t>α</m:t>
        </m:r>
        <m:r>
          <m:rPr>
            <m:sty m:val="p"/>
          </m:rPr>
          <m:t>=</m:t>
        </m:r>
        <m:r>
          <m:t>2</m:t>
        </m:r>
      </m:oMath>
      <w:r>
        <w:t xml:space="preserve">, qual é a menor oferta que o respondente aceita?</w:t>
      </w:r>
    </w:p>
    <w:p>
      <w:pPr>
        <w:pStyle w:val="Compact"/>
        <w:numPr>
          <w:ilvl w:val="0"/>
          <w:numId w:val="2229"/>
        </w:numPr>
      </w:pPr>
      <w:r>
        <w:t xml:space="preserve">Sabendo disso, o que o propositor racional oferece?</w:t>
      </w:r>
    </w:p>
    <w:p>
      <w:pPr>
        <w:pStyle w:val="Compact"/>
        <w:numPr>
          <w:ilvl w:val="0"/>
          <w:numId w:val="2229"/>
        </w:numPr>
      </w:pPr>
      <w:r>
        <w:t xml:space="preserve">Compare com a previsão do modelo padrão (sem aversão à desigualdade) e com os dados experimentais.</w:t>
      </w:r>
    </w:p>
    <w:p>
      <w:pPr>
        <w:pStyle w:val="FirstParagraph"/>
      </w:pPr>
      <w:r>
        <w:t xml:space="preserve">Ver solução (Cap. 22)</w:t>
      </w:r>
    </w:p>
    <w:p>
      <w:pPr>
        <w:pStyle w:val="BodyText"/>
      </w:pPr>
      <w:r>
        <w:rPr>
          <w:b/>
          <w:bCs/>
        </w:rPr>
        <w:t xml:space="preserve">Exercício 22.3.</w:t>
      </w:r>
      <w:r>
        <w:t xml:space="preserve"> </w:t>
      </w:r>
      <w:r>
        <w:t xml:space="preserve">Em um jogo de bens públicos com</w:t>
      </w:r>
      <w:r>
        <w:t xml:space="preserve"> </w:t>
      </w:r>
      <m:oMath>
        <m:r>
          <m:t>N</m:t>
        </m:r>
        <m:r>
          <m:rPr>
            <m:sty m:val="p"/>
          </m:rPr>
          <m:t>=</m:t>
        </m:r>
        <m:r>
          <m:t>5</m:t>
        </m:r>
      </m:oMath>
      <w:r>
        <w:t xml:space="preserve"> </w:t>
      </w:r>
      <w:r>
        <w:t xml:space="preserve">jogadores, dotação</w:t>
      </w:r>
      <w:r>
        <w:t xml:space="preserve"> </w:t>
      </w:r>
      <m:oMath>
        <m:r>
          <m:t>w</m:t>
        </m:r>
        <m:r>
          <m:rPr>
            <m:sty m:val="p"/>
          </m:rPr>
          <m:t>=</m:t>
        </m:r>
        <m:r>
          <m:t>10</m:t>
        </m:r>
      </m:oMath>
      <w:r>
        <w:t xml:space="preserve"> </w:t>
      </w:r>
      <w:r>
        <w:t xml:space="preserve">e fator de multiplicação</w:t>
      </w:r>
      <w:r>
        <w:t xml:space="preserve"> </w:t>
      </w:r>
      <m:oMath>
        <m:r>
          <m:t>α</m:t>
        </m:r>
        <m:r>
          <m:rPr>
            <m:sty m:val="p"/>
          </m:rPr>
          <m:t>=</m:t>
        </m:r>
        <m:r>
          <m:t>2</m:t>
        </m:r>
        <m:r>
          <m:rPr>
            <m:sty m:val="p"/>
          </m:rPr>
          <m:t>,</m:t>
        </m:r>
        <m:r>
          <m:t>5</m:t>
        </m:r>
      </m:oMath>
      <w:r>
        <w:t xml:space="preserve">. O payoff é</w:t>
      </w:r>
      <w:r>
        <w:t xml:space="preserve"> </w:t>
      </w:r>
      <m:oMath>
        <m:sSub>
          <m:e>
            <m:r>
              <m:t>π</m:t>
            </m:r>
          </m:e>
          <m:sub>
            <m:r>
              <m:t>i</m:t>
            </m:r>
          </m:sub>
        </m:sSub>
        <m:r>
          <m:rPr>
            <m:sty m:val="p"/>
          </m:rPr>
          <m:t>=</m:t>
        </m:r>
        <m:r>
          <m:rPr>
            <m:sty m:val="p"/>
          </m:rPr>
          <m:t>(</m:t>
        </m:r>
        <m:r>
          <m:t>10</m:t>
        </m:r>
        <m:r>
          <m:rPr>
            <m:sty m:val="p"/>
          </m:rPr>
          <m:t>−</m:t>
        </m:r>
        <m:sSub>
          <m:e>
            <m:r>
              <m:t>g</m:t>
            </m:r>
          </m:e>
          <m:sub>
            <m:r>
              <m:t>i</m:t>
            </m:r>
          </m:sub>
        </m:sSub>
        <m:r>
          <m:rPr>
            <m:sty m:val="p"/>
          </m:rPr>
          <m:t>)</m:t>
        </m:r>
        <m:r>
          <m:rPr>
            <m:sty m:val="p"/>
          </m:rPr>
          <m:t>+</m:t>
        </m:r>
        <m:f>
          <m:fPr>
            <m:type m:val="bar"/>
          </m:fPr>
          <m:num>
            <m:r>
              <m:t>2</m:t>
            </m:r>
            <m:r>
              <m:rPr>
                <m:sty m:val="p"/>
              </m:rPr>
              <m:t>,</m:t>
            </m:r>
            <m:r>
              <m:t>5</m:t>
            </m:r>
          </m:num>
          <m:den>
            <m:r>
              <m:t>5</m:t>
            </m:r>
          </m:den>
        </m:f>
        <m:nary>
          <m:naryPr>
            <m:chr m:val="∑"/>
            <m:limLoc m:val="undOvr"/>
            <m:subHide m:val="off"/>
            <m:supHide m:val="off"/>
          </m:naryPr>
          <m:sub>
            <m:r>
              <m:t>j</m:t>
            </m:r>
            <m:r>
              <m:rPr>
                <m:sty m:val="p"/>
              </m:rPr>
              <m:t>=</m:t>
            </m:r>
            <m:r>
              <m:t>1</m:t>
            </m:r>
          </m:sub>
          <m:sup>
            <m:r>
              <m:t>5</m:t>
            </m:r>
          </m:sup>
          <m:e>
            <m:sSub>
              <m:e>
                <m:r>
                  <m:t>g</m:t>
                </m:r>
              </m:e>
              <m:sub>
                <m:r>
                  <m:t>j</m:t>
                </m:r>
              </m:sub>
            </m:sSub>
          </m:e>
        </m:nary>
      </m:oMath>
      <w:r>
        <w:t xml:space="preserve">.</w:t>
      </w:r>
    </w:p>
    <w:p>
      <w:pPr>
        <w:pStyle w:val="Compact"/>
        <w:numPr>
          <w:ilvl w:val="0"/>
          <w:numId w:val="2230"/>
        </w:numPr>
      </w:pPr>
      <w:r>
        <w:t xml:space="preserve">Mostre que o equilíbrio de Nash é</w:t>
      </w:r>
      <w:r>
        <w:t xml:space="preserve"> </w:t>
      </w:r>
      <m:oMath>
        <m:sSub>
          <m:e>
            <m:r>
              <m:t>g</m:t>
            </m:r>
          </m:e>
          <m:sub>
            <m:r>
              <m:t>i</m:t>
            </m:r>
          </m:sub>
        </m:sSub>
        <m:r>
          <m:rPr>
            <m:sty m:val="p"/>
          </m:rPr>
          <m:t>=</m:t>
        </m:r>
        <m:r>
          <m:t>0</m:t>
        </m:r>
      </m:oMath>
      <w:r>
        <w:t xml:space="preserve"> </w:t>
      </w:r>
      <w:r>
        <w:t xml:space="preserve">para todo</w:t>
      </w:r>
      <w:r>
        <w:t xml:space="preserve"> </w:t>
      </w:r>
      <m:oMath>
        <m:r>
          <m:t>i</m:t>
        </m:r>
      </m:oMath>
      <w:r>
        <w:t xml:space="preserve">.</w:t>
      </w:r>
    </w:p>
    <w:p>
      <w:pPr>
        <w:pStyle w:val="Compact"/>
        <w:numPr>
          <w:ilvl w:val="0"/>
          <w:numId w:val="2230"/>
        </w:numPr>
      </w:pPr>
      <w:r>
        <w:t xml:space="preserve">Mostre que o ótimo social é</w:t>
      </w:r>
      <w:r>
        <w:t xml:space="preserve"> </w:t>
      </w:r>
      <m:oMath>
        <m:sSub>
          <m:e>
            <m:r>
              <m:t>g</m:t>
            </m:r>
          </m:e>
          <m:sub>
            <m:r>
              <m:t>i</m:t>
            </m:r>
          </m:sub>
        </m:sSub>
        <m:r>
          <m:rPr>
            <m:sty m:val="p"/>
          </m:rPr>
          <m:t>=</m:t>
        </m:r>
        <m:r>
          <m:t>10</m:t>
        </m:r>
      </m:oMath>
      <w:r>
        <w:t xml:space="preserve"> </w:t>
      </w:r>
      <w:r>
        <w:t xml:space="preserve">para todo</w:t>
      </w:r>
      <w:r>
        <w:t xml:space="preserve"> </w:t>
      </w:r>
      <m:oMath>
        <m:r>
          <m:t>i</m:t>
        </m:r>
      </m:oMath>
      <w:r>
        <w:t xml:space="preserve">.</w:t>
      </w:r>
    </w:p>
    <w:p>
      <w:pPr>
        <w:pStyle w:val="Compact"/>
        <w:numPr>
          <w:ilvl w:val="0"/>
          <w:numId w:val="2230"/>
        </w:numPr>
      </w:pPr>
      <w:r>
        <w:t xml:space="preserve">Suponha que os jogadores possam, a um custo de R$ 1, punir um jogador específico em R$ 3. Mostre que, em um jogo de uma rodada, a punição não é usada no equilíbrio de Nash. Discuta por que, experimentalmente, a punição é amplamente observada.</w:t>
      </w:r>
    </w:p>
    <w:p>
      <w:pPr>
        <w:pStyle w:val="Compact"/>
        <w:numPr>
          <w:ilvl w:val="0"/>
          <w:numId w:val="2230"/>
        </w:numPr>
      </w:pPr>
      <w:r>
        <w:t xml:space="preserve">Em um jogo repetido infinitamente com fator de desconto</w:t>
      </w:r>
      <w:r>
        <w:t xml:space="preserve"> </w:t>
      </w:r>
      <m:oMath>
        <m:r>
          <m:t>δ</m:t>
        </m:r>
      </m:oMath>
      <w:r>
        <w:t xml:space="preserve">, encontre o</w:t>
      </w:r>
      <w:r>
        <w:t xml:space="preserve"> </w:t>
      </w:r>
      <m:oMath>
        <m:r>
          <m:t>δ</m:t>
        </m:r>
      </m:oMath>
      <w:r>
        <w:t xml:space="preserve"> </w:t>
      </w:r>
      <w:r>
        <w:t xml:space="preserve">mínimo para sustentar</w:t>
      </w:r>
      <w:r>
        <w:t xml:space="preserve"> </w:t>
      </w:r>
      <m:oMath>
        <m:sSub>
          <m:e>
            <m:r>
              <m:t>g</m:t>
            </m:r>
          </m:e>
          <m:sub>
            <m:r>
              <m:t>i</m:t>
            </m:r>
          </m:sub>
        </m:sSub>
        <m:r>
          <m:rPr>
            <m:sty m:val="p"/>
          </m:rPr>
          <m:t>=</m:t>
        </m:r>
        <m:r>
          <m:t>10</m:t>
        </m:r>
      </m:oMath>
      <w:r>
        <w:t xml:space="preserve"> </w:t>
      </w:r>
      <w:r>
        <w:t xml:space="preserve">com estratégia de gatilho (trigger strategy).</w:t>
      </w:r>
    </w:p>
    <w:p>
      <w:pPr>
        <w:pStyle w:val="FirstParagraph"/>
      </w:pPr>
      <w:r>
        <w:t xml:space="preserve">Ver solução (Cap. 22)</w:t>
      </w:r>
    </w:p>
    <w:p>
      <w:pPr>
        <w:pStyle w:val="BodyText"/>
      </w:pPr>
      <w:r>
        <w:rPr>
          <w:b/>
          <w:bCs/>
        </w:rPr>
        <w:t xml:space="preserve">Exercício 22.4.</w:t>
      </w:r>
      <w:r>
        <w:t xml:space="preserve"> </w:t>
      </w:r>
      <w:r>
        <w:t xml:space="preserve">Um pesquisador quer avaliar o efeito de um programa de treinamento sobre a renda de trabalhadores. A renda média dos participantes após o treinamento é R$ 2.800; a renda média dos não participantes é R$ 2.200.</w:t>
      </w:r>
    </w:p>
    <w:p>
      <w:pPr>
        <w:pStyle w:val="Compact"/>
        <w:numPr>
          <w:ilvl w:val="0"/>
          <w:numId w:val="2231"/>
        </w:numPr>
      </w:pPr>
      <w:r>
        <w:t xml:space="preserve">Podemos concluir que o efeito do treinamento é de R$ 600? Explique por que esse estimador é enviesado.</w:t>
      </w:r>
    </w:p>
    <w:p>
      <w:pPr>
        <w:pStyle w:val="Compact"/>
        <w:numPr>
          <w:ilvl w:val="0"/>
          <w:numId w:val="2231"/>
        </w:numPr>
      </w:pPr>
      <w:r>
        <w:t xml:space="preserve">Se o pesquisador randomiza a participação (RCT), sob quais condições a diferença de médias identifica o ATE?</w:t>
      </w:r>
    </w:p>
    <w:p>
      <w:pPr>
        <w:pStyle w:val="Compact"/>
        <w:numPr>
          <w:ilvl w:val="0"/>
          <w:numId w:val="2231"/>
        </w:numPr>
      </w:pPr>
      <w:r>
        <w:t xml:space="preserve">Suponha que 20% dos atribuídos ao tratamento não participem (non-compliance). Se a diferença de médias observada (ITT) é R$ 480, estime o TOT.</w:t>
      </w:r>
    </w:p>
    <w:p>
      <w:pPr>
        <w:pStyle w:val="Compact"/>
        <w:numPr>
          <w:ilvl w:val="0"/>
          <w:numId w:val="2231"/>
        </w:numPr>
      </w:pPr>
      <w:r>
        <w:t xml:space="preserve">Discuta um cenário em que o ITT seria preferível ao TOT para formulação de política pública.</w:t>
      </w:r>
    </w:p>
    <w:p>
      <w:pPr>
        <w:pStyle w:val="FirstParagraph"/>
      </w:pPr>
      <w:r>
        <w:t xml:space="preserve">Ver solução (Cap. 22)</w:t>
      </w:r>
    </w:p>
    <w:p>
      <w:pPr>
        <w:pStyle w:val="BodyText"/>
      </w:pPr>
      <w:r>
        <w:rPr>
          <w:b/>
          <w:bCs/>
        </w:rPr>
        <w:t xml:space="preserve">Exercício 22.5.</w:t>
      </w:r>
      <w:r>
        <w:t xml:space="preserve"> </w:t>
      </w:r>
      <w:r>
        <w:t xml:space="preserve">No estudo de Card e Krueger (1994), os dados de emprego em restaurantes fast food são: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NJ (tratamento)</w:t>
            </w:r>
          </w:p>
        </w:tc>
        <w:tc>
          <w:tcPr/>
          <w:p>
            <w:pPr>
              <w:pStyle w:val="Compact"/>
              <w:jc w:val="left"/>
            </w:pPr>
            <w:r>
              <w:t xml:space="preserve">PA (controle)</w:t>
            </w:r>
          </w:p>
        </w:tc>
      </w:tr>
      <w:tr>
        <w:tc>
          <w:tcPr/>
          <w:p>
            <w:pPr>
              <w:pStyle w:val="Compact"/>
              <w:jc w:val="left"/>
            </w:pPr>
            <w:r>
              <w:t xml:space="preserve">Antes</w:t>
            </w:r>
          </w:p>
        </w:tc>
        <w:tc>
          <w:tcPr/>
          <w:p>
            <w:pPr>
              <w:pStyle w:val="Compact"/>
              <w:jc w:val="left"/>
            </w:pPr>
            <w:r>
              <w:t xml:space="preserve">20,44</w:t>
            </w:r>
          </w:p>
        </w:tc>
        <w:tc>
          <w:tcPr/>
          <w:p>
            <w:pPr>
              <w:pStyle w:val="Compact"/>
              <w:jc w:val="left"/>
            </w:pPr>
            <w:r>
              <w:t xml:space="preserve">23,33</w:t>
            </w:r>
          </w:p>
        </w:tc>
      </w:tr>
      <w:tr>
        <w:tc>
          <w:tcPr/>
          <w:p>
            <w:pPr>
              <w:pStyle w:val="Compact"/>
              <w:jc w:val="left"/>
            </w:pPr>
            <w:r>
              <w:t xml:space="preserve">Depois</w:t>
            </w:r>
          </w:p>
        </w:tc>
        <w:tc>
          <w:tcPr/>
          <w:p>
            <w:pPr>
              <w:pStyle w:val="Compact"/>
              <w:jc w:val="left"/>
            </w:pPr>
            <w:r>
              <w:t xml:space="preserve">21,03</w:t>
            </w:r>
          </w:p>
        </w:tc>
        <w:tc>
          <w:tcPr/>
          <w:p>
            <w:pPr>
              <w:pStyle w:val="Compact"/>
              <w:jc w:val="left"/>
            </w:pPr>
            <w:r>
              <w:t xml:space="preserve">21,17</w:t>
            </w:r>
          </w:p>
        </w:tc>
      </w:tr>
    </w:tbl>
    <w:p>
      <w:pPr>
        <w:pStyle w:val="Compact"/>
        <w:numPr>
          <w:ilvl w:val="0"/>
          <w:numId w:val="2232"/>
        </w:numPr>
      </w:pPr>
      <w:r>
        <w:t xml:space="preserve">Calcule o estimador de diferenças-em-diferenças.</w:t>
      </w:r>
    </w:p>
    <w:p>
      <w:pPr>
        <w:pStyle w:val="Compact"/>
        <w:numPr>
          <w:ilvl w:val="0"/>
          <w:numId w:val="2232"/>
        </w:numPr>
      </w:pPr>
      <w:r>
        <w:t xml:space="preserve">Interprete o resultado economicamente.</w:t>
      </w:r>
    </w:p>
    <w:p>
      <w:pPr>
        <w:pStyle w:val="Compact"/>
        <w:numPr>
          <w:ilvl w:val="0"/>
          <w:numId w:val="2232"/>
        </w:numPr>
      </w:pPr>
      <w:r>
        <w:t xml:space="preserve">Qual hipótese-chave é necessária para que o estimador DD identifique o efeito causal?</w:t>
      </w:r>
    </w:p>
    <w:p>
      <w:pPr>
        <w:pStyle w:val="Compact"/>
        <w:numPr>
          <w:ilvl w:val="0"/>
          <w:numId w:val="2232"/>
        </w:numPr>
      </w:pPr>
      <w:r>
        <w:t xml:space="preserve">Apresente um argumento contra e um a favor da plausibilidade dessa hipótese neste contexto.</w:t>
      </w:r>
    </w:p>
    <w:p>
      <w:pPr>
        <w:pStyle w:val="FirstParagraph"/>
      </w:pPr>
      <w:r>
        <w:t xml:space="preserve">Ver solução (Cap. 22)</w:t>
      </w:r>
    </w:p>
    <w:p>
      <w:pPr>
        <w:pStyle w:val="BodyText"/>
      </w:pPr>
      <w:r>
        <w:rPr>
          <w:b/>
          <w:bCs/>
        </w:rPr>
        <w:t xml:space="preserve">Exercício 22.6.</w:t>
      </w:r>
      <w:r>
        <w:t xml:space="preserve"> </w:t>
      </w:r>
      <w:r>
        <w:t xml:space="preserve">Um programa social concede benefício a famílias com renda per capita abaixo de R$ 600. O pesquisador observa os seguintes resultados médios para frequência escolar: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Renda per capita</w:t>
            </w:r>
          </w:p>
        </w:tc>
        <w:tc>
          <w:tcPr/>
          <w:p>
            <w:pPr>
              <w:pStyle w:val="Compact"/>
              <w:jc w:val="left"/>
            </w:pPr>
            <w:r>
              <w:t xml:space="preserve">Frequência escolar (%)</w:t>
            </w:r>
          </w:p>
        </w:tc>
      </w:tr>
      <w:tr>
        <w:tc>
          <w:tcPr/>
          <w:p>
            <w:pPr>
              <w:pStyle w:val="Compact"/>
              <w:jc w:val="left"/>
            </w:pPr>
            <w:r>
              <w:t xml:space="preserve">R$ 550–R$ 600 (beneficiários)</w:t>
            </w:r>
          </w:p>
        </w:tc>
        <w:tc>
          <w:tcPr/>
          <w:p>
            <w:pPr>
              <w:pStyle w:val="Compact"/>
              <w:jc w:val="left"/>
            </w:pPr>
            <w:r>
              <w:t xml:space="preserve">92</w:t>
            </w:r>
          </w:p>
        </w:tc>
      </w:tr>
      <w:tr>
        <w:tc>
          <w:tcPr/>
          <w:p>
            <w:pPr>
              <w:pStyle w:val="Compact"/>
              <w:jc w:val="left"/>
            </w:pPr>
            <w:r>
              <w:t xml:space="preserve">R$ 600–R$ 650 (não beneficiários)</w:t>
            </w:r>
          </w:p>
        </w:tc>
        <w:tc>
          <w:tcPr/>
          <w:p>
            <w:pPr>
              <w:pStyle w:val="Compact"/>
              <w:jc w:val="left"/>
            </w:pPr>
            <w:r>
              <w:t xml:space="preserve">87</w:t>
            </w:r>
          </w:p>
        </w:tc>
      </w:tr>
    </w:tbl>
    <w:p>
      <w:pPr>
        <w:pStyle w:val="Compact"/>
        <w:numPr>
          <w:ilvl w:val="0"/>
          <w:numId w:val="2233"/>
        </w:numPr>
      </w:pPr>
      <w:r>
        <w:t xml:space="preserve">Estime o efeito do programa por regressão descontínua.</w:t>
      </w:r>
    </w:p>
    <w:p>
      <w:pPr>
        <w:pStyle w:val="Compact"/>
        <w:numPr>
          <w:ilvl w:val="0"/>
          <w:numId w:val="2233"/>
        </w:numPr>
      </w:pPr>
      <w:r>
        <w:t xml:space="preserve">Qual hipótese de identificação é necessária?</w:t>
      </w:r>
    </w:p>
    <w:p>
      <w:pPr>
        <w:pStyle w:val="Compact"/>
        <w:numPr>
          <w:ilvl w:val="0"/>
          <w:numId w:val="2233"/>
        </w:numPr>
      </w:pPr>
      <w:r>
        <w:t xml:space="preserve">Por que famílias com renda de R$ 590 e R$ 610 são comparáveis (mas famílias com R$ 300 e R$ 900 não)?</w:t>
      </w:r>
    </w:p>
    <w:p>
      <w:pPr>
        <w:pStyle w:val="Compact"/>
        <w:numPr>
          <w:ilvl w:val="0"/>
          <w:numId w:val="2233"/>
        </w:numPr>
      </w:pPr>
      <w:r>
        <w:t xml:space="preserve">Discuta uma ameaça à validade: e se famílias manipularem sua renda declarada para ficar abaixo do limiar?</w:t>
      </w:r>
    </w:p>
    <w:p>
      <w:pPr>
        <w:pStyle w:val="FirstParagraph"/>
      </w:pPr>
      <w:r>
        <w:t xml:space="preserve">Ver solução (Cap. 22)</w:t>
      </w:r>
    </w:p>
    <w:p>
      <w:pPr>
        <w:pStyle w:val="BodyText"/>
      </w:pPr>
      <w:r>
        <w:rPr>
          <w:b/>
          <w:bCs/>
        </w:rPr>
        <w:t xml:space="preserve">Exercício 22.7.</w:t>
      </w:r>
      <w:r>
        <w:t xml:space="preserve"> </w:t>
      </w:r>
      <w:r>
        <w:t xml:space="preserve">Um pesquisador quer estimar o efeito da educação sobre salários, mas educação é endógena (pessoas mais habilidosas estudam mais e ganham mais). Ele propõe usar a distância até a universidade mais próxima como variável instrumental.</w:t>
      </w:r>
    </w:p>
    <w:p>
      <w:pPr>
        <w:pStyle w:val="Compact"/>
        <w:numPr>
          <w:ilvl w:val="0"/>
          <w:numId w:val="2234"/>
        </w:numPr>
      </w:pPr>
      <w:r>
        <w:t xml:space="preserve">Argumente por que a distância satisfaz a condição de relevância.</w:t>
      </w:r>
    </w:p>
    <w:p>
      <w:pPr>
        <w:pStyle w:val="Compact"/>
        <w:numPr>
          <w:ilvl w:val="0"/>
          <w:numId w:val="2234"/>
        </w:numPr>
      </w:pPr>
      <w:r>
        <w:t xml:space="preserve">Argumente por que a distância pode (ou não) satisfazer a condição de exclusão.</w:t>
      </w:r>
    </w:p>
    <w:p>
      <w:pPr>
        <w:pStyle w:val="Compact"/>
        <w:numPr>
          <w:ilvl w:val="0"/>
          <w:numId w:val="2234"/>
        </w:numPr>
      </w:pPr>
      <w:r>
        <w:t xml:space="preserve">Se a regressão do primeiro estágio mostra que cada 100 km de distância reduz a escolaridade em 0,5 anos, e a forma reduzida mostra que cada 100 km de distância reduz o salário em 4%, estime o retorno à educação por IV.</w:t>
      </w:r>
    </w:p>
    <w:p>
      <w:pPr>
        <w:pStyle w:val="Compact"/>
        <w:numPr>
          <w:ilvl w:val="0"/>
          <w:numId w:val="2234"/>
        </w:numPr>
      </w:pPr>
      <w:r>
        <w:t xml:space="preserve">Compare com a estimativa por MQO e discuta a direção do viés.</w:t>
      </w:r>
    </w:p>
    <w:p>
      <w:pPr>
        <w:pStyle w:val="FirstParagraph"/>
      </w:pPr>
      <w:r>
        <w:t xml:space="preserve">Ver solução (Cap. 22)</w:t>
      </w:r>
    </w:p>
    <w:p>
      <w:pPr>
        <w:pStyle w:val="BodyText"/>
      </w:pPr>
      <w:r>
        <w:rPr>
          <w:b/>
          <w:bCs/>
        </w:rPr>
        <w:t xml:space="preserve">Exercício 22.8.</w:t>
      </w:r>
      <w:r>
        <w:t xml:space="preserve"> </w:t>
      </w:r>
      <w:r>
        <w:t xml:space="preserve">Em um leilão de primeiro preço com 3 participantes, os valores são sorteados independentemente de</w:t>
      </w:r>
      <w:r>
        <w:t xml:space="preserve"> </w:t>
      </w:r>
      <m:oMath>
        <m:r>
          <m:t>U</m:t>
        </m:r>
        <m:r>
          <m:rPr>
            <m:sty m:val="p"/>
          </m:rPr>
          <m:t>[</m:t>
        </m:r>
        <m:r>
          <m:t>0</m:t>
        </m:r>
        <m:r>
          <m:rPr>
            <m:sty m:val="p"/>
          </m:rPr>
          <m:t>,</m:t>
        </m:r>
        <m:r>
          <m:t>100</m:t>
        </m:r>
        <m:r>
          <m:rPr>
            <m:sty m:val="p"/>
          </m:rPr>
          <m:t>]</m:t>
        </m:r>
      </m:oMath>
      <w:r>
        <w:t xml:space="preserve">.</w:t>
      </w:r>
    </w:p>
    <w:p>
      <w:pPr>
        <w:pStyle w:val="Compact"/>
        <w:numPr>
          <w:ilvl w:val="0"/>
          <w:numId w:val="2235"/>
        </w:numPr>
      </w:pPr>
      <w:r>
        <w:t xml:space="preserve">Derive a função de lance de equilíbrio simétrico (neutro ao risco):</w:t>
      </w:r>
      <w:r>
        <w:t xml:space="preserve"> </w:t>
      </w:r>
      <m:oMath>
        <m:r>
          <m:t>b</m:t>
        </m:r>
        <m:r>
          <m:rPr>
            <m:sty m:val="p"/>
          </m:rPr>
          <m:t>(</m:t>
        </m:r>
        <m:r>
          <m:t>v</m:t>
        </m:r>
        <m:r>
          <m:rPr>
            <m:sty m:val="p"/>
          </m:rPr>
          <m:t>)</m:t>
        </m:r>
        <m:r>
          <m:rPr>
            <m:sty m:val="p"/>
          </m:rPr>
          <m:t>=</m:t>
        </m:r>
        <m:f>
          <m:fPr>
            <m:type m:val="bar"/>
          </m:fPr>
          <m:num>
            <m:r>
              <m:t>N</m:t>
            </m:r>
            <m:r>
              <m:rPr>
                <m:sty m:val="p"/>
              </m:rPr>
              <m:t>−</m:t>
            </m:r>
            <m:r>
              <m:t>1</m:t>
            </m:r>
          </m:num>
          <m:den>
            <m:r>
              <m:t>N</m:t>
            </m:r>
          </m:den>
        </m:f>
        <m:r>
          <m:t>v</m:t>
        </m:r>
      </m:oMath>
      <w:r>
        <w:t xml:space="preserve">.</w:t>
      </w:r>
    </w:p>
    <w:p>
      <w:pPr>
        <w:pStyle w:val="Compact"/>
        <w:numPr>
          <w:ilvl w:val="0"/>
          <w:numId w:val="2235"/>
        </w:numPr>
      </w:pPr>
      <w:r>
        <w:t xml:space="preserve">Calcule o lance de equilíbrio para um participante com</w:t>
      </w:r>
      <w:r>
        <w:t xml:space="preserve"> </w:t>
      </w:r>
      <m:oMath>
        <m:r>
          <m:t>v</m:t>
        </m:r>
        <m:r>
          <m:rPr>
            <m:sty m:val="p"/>
          </m:rPr>
          <m:t>=</m:t>
        </m:r>
        <m:r>
          <m:t>60</m:t>
        </m:r>
      </m:oMath>
      <w:r>
        <w:t xml:space="preserve"> </w:t>
      </w:r>
      <w:r>
        <w:t xml:space="preserve">e</w:t>
      </w:r>
      <w:r>
        <w:t xml:space="preserve"> </w:t>
      </w:r>
      <m:oMath>
        <m:r>
          <m:t>N</m:t>
        </m:r>
        <m:r>
          <m:rPr>
            <m:sty m:val="p"/>
          </m:rPr>
          <m:t>=</m:t>
        </m:r>
        <m:r>
          <m:t>3</m:t>
        </m:r>
      </m:oMath>
      <w:r>
        <w:t xml:space="preserve">.</w:t>
      </w:r>
    </w:p>
    <w:p>
      <w:pPr>
        <w:pStyle w:val="Compact"/>
        <w:numPr>
          <w:ilvl w:val="0"/>
          <w:numId w:val="2235"/>
        </w:numPr>
      </w:pPr>
      <w:r>
        <w:t xml:space="preserve">Se os participantes experimentais dão lance médio de</w:t>
      </w:r>
      <w:r>
        <w:t xml:space="preserve"> </w:t>
      </w:r>
      <m:oMath>
        <m:r>
          <m:t>b</m:t>
        </m:r>
        <m:r>
          <m:rPr>
            <m:sty m:val="p"/>
          </m:rPr>
          <m:t>=</m:t>
        </m:r>
        <m:r>
          <m:t>45</m:t>
        </m:r>
      </m:oMath>
      <w:r>
        <w:t xml:space="preserve"> </w:t>
      </w:r>
      <w:r>
        <w:t xml:space="preserve">quando</w:t>
      </w:r>
      <w:r>
        <w:t xml:space="preserve"> </w:t>
      </w:r>
      <m:oMath>
        <m:r>
          <m:t>v</m:t>
        </m:r>
        <m:r>
          <m:rPr>
            <m:sty m:val="p"/>
          </m:rPr>
          <m:t>=</m:t>
        </m:r>
        <m:r>
          <m:t>60</m:t>
        </m:r>
      </m:oMath>
      <w:r>
        <w:t xml:space="preserve"> </w:t>
      </w:r>
      <w:r>
        <w:t xml:space="preserve">(em vez dos</w:t>
      </w:r>
      <w:r>
        <w:t xml:space="preserve"> </w:t>
      </w:r>
      <m:oMath>
        <m:r>
          <m:t>40</m:t>
        </m:r>
      </m:oMath>
      <w:r>
        <w:t xml:space="preserve"> </w:t>
      </w:r>
      <w:r>
        <w:t xml:space="preserve">previstos), isso é consistente com aversão ao risco ou propensão ao risco? Explique.</w:t>
      </w:r>
    </w:p>
    <w:p>
      <w:pPr>
        <w:pStyle w:val="Compact"/>
        <w:numPr>
          <w:ilvl w:val="0"/>
          <w:numId w:val="2235"/>
        </w:numPr>
      </w:pPr>
      <w:r>
        <w:t xml:space="preserve">Discuta a implicação para o teorema de equivalência de receita.</w:t>
      </w:r>
    </w:p>
    <w:p>
      <w:pPr>
        <w:pStyle w:val="FirstParagraph"/>
      </w:pPr>
      <w:r>
        <w:t xml:space="preserve">Ver solução (Cap. 22)</w:t>
      </w:r>
    </w:p>
    <w:p>
      <w:pPr>
        <w:pStyle w:val="BodyText"/>
      </w:pPr>
      <w:r>
        <w:rPr>
          <w:b/>
          <w:bCs/>
        </w:rPr>
        <w:t xml:space="preserve">Exercício 22.9.</w:t>
      </w:r>
      <w:r>
        <w:t xml:space="preserve"> </w:t>
      </w:r>
      <w:r>
        <w:t xml:space="preserve">Um hospital tem 4 pares doador-receptor incompatíveis para transplante renal: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w:t>
            </w:r>
          </w:p>
        </w:tc>
        <w:tc>
          <w:tcPr/>
          <w:p>
            <w:pPr>
              <w:pStyle w:val="Compact"/>
              <w:jc w:val="left"/>
            </w:pPr>
            <w:r>
              <w:t xml:space="preserve">Doador tipo sanguíneo</w:t>
            </w:r>
          </w:p>
        </w:tc>
        <w:tc>
          <w:tcPr/>
          <w:p>
            <w:pPr>
              <w:pStyle w:val="Compact"/>
              <w:jc w:val="left"/>
            </w:pPr>
            <w:r>
              <w:t xml:space="preserve">Receptor tipo sanguíneo</w:t>
            </w:r>
          </w:p>
        </w:tc>
      </w:tr>
      <w:tr>
        <w:tc>
          <w:tcPr/>
          <w:p>
            <w:pPr>
              <w:pStyle w:val="Compact"/>
              <w:jc w:val="left"/>
            </w:pPr>
            <w:r>
              <w:t xml:space="preserve">A</w:t>
            </w:r>
          </w:p>
        </w:tc>
        <w:tc>
          <w:tcPr/>
          <w:p>
            <w:pPr>
              <w:pStyle w:val="Compact"/>
              <w:jc w:val="left"/>
            </w:pPr>
            <w:r>
              <w:t xml:space="preserve">O</w:t>
            </w:r>
          </w:p>
        </w:tc>
        <w:tc>
          <w:tcPr/>
          <w:p>
            <w:pPr>
              <w:pStyle w:val="Compact"/>
              <w:jc w:val="left"/>
            </w:pPr>
            <w:r>
              <w:t xml:space="preserve">B</w:t>
            </w:r>
          </w:p>
        </w:tc>
      </w:tr>
      <w:tr>
        <w:tc>
          <w:tcPr/>
          <w:p>
            <w:pPr>
              <w:pStyle w:val="Compact"/>
              <w:jc w:val="left"/>
            </w:pPr>
            <w:r>
              <w:t xml:space="preserve">B</w:t>
            </w:r>
          </w:p>
        </w:tc>
        <w:tc>
          <w:tcPr/>
          <w:p>
            <w:pPr>
              <w:pStyle w:val="Compact"/>
              <w:jc w:val="left"/>
            </w:pPr>
            <w:r>
              <w:t xml:space="preserve">B</w:t>
            </w:r>
          </w:p>
        </w:tc>
        <w:tc>
          <w:tcPr/>
          <w:p>
            <w:pPr>
              <w:pStyle w:val="Compact"/>
              <w:jc w:val="left"/>
            </w:pPr>
            <w:r>
              <w:t xml:space="preserve">A</w:t>
            </w:r>
          </w:p>
        </w:tc>
      </w:tr>
      <w:tr>
        <w:tc>
          <w:tcPr/>
          <w:p>
            <w:pPr>
              <w:pStyle w:val="Compact"/>
              <w:jc w:val="left"/>
            </w:pPr>
            <w:r>
              <w:t xml:space="preserve">C</w:t>
            </w:r>
          </w:p>
        </w:tc>
        <w:tc>
          <w:tcPr/>
          <w:p>
            <w:pPr>
              <w:pStyle w:val="Compact"/>
              <w:jc w:val="left"/>
            </w:pPr>
            <w:r>
              <w:t xml:space="preserve">A</w:t>
            </w:r>
          </w:p>
        </w:tc>
        <w:tc>
          <w:tcPr/>
          <w:p>
            <w:pPr>
              <w:pStyle w:val="Compact"/>
              <w:jc w:val="left"/>
            </w:pPr>
            <w:r>
              <w:t xml:space="preserve">O</w:t>
            </w:r>
          </w:p>
        </w:tc>
      </w:tr>
      <w:tr>
        <w:tc>
          <w:tcPr/>
          <w:p>
            <w:pPr>
              <w:pStyle w:val="Compact"/>
              <w:jc w:val="left"/>
            </w:pPr>
            <w:r>
              <w:t xml:space="preserve">D</w:t>
            </w:r>
          </w:p>
        </w:tc>
        <w:tc>
          <w:tcPr/>
          <w:p>
            <w:pPr>
              <w:pStyle w:val="Compact"/>
              <w:jc w:val="left"/>
            </w:pPr>
            <w:r>
              <w:t xml:space="preserve">AB</w:t>
            </w:r>
          </w:p>
        </w:tc>
        <w:tc>
          <w:tcPr/>
          <w:p>
            <w:pPr>
              <w:pStyle w:val="Compact"/>
              <w:jc w:val="left"/>
            </w:pPr>
            <w:r>
              <w:t xml:space="preserve">A</w:t>
            </w:r>
          </w:p>
        </w:tc>
      </w:tr>
    </w:tbl>
    <w:p>
      <w:pPr>
        <w:pStyle w:val="BodyText"/>
      </w:pPr>
      <w:r>
        <w:t xml:space="preserve">(Compatibilidade simplificada: O doa para todos; A doa para A e AB; B doa para B e AB; AB doa só para AB.)</w:t>
      </w:r>
    </w:p>
    <w:p>
      <w:pPr>
        <w:pStyle w:val="Compact"/>
        <w:numPr>
          <w:ilvl w:val="0"/>
          <w:numId w:val="2236"/>
        </w:numPr>
      </w:pPr>
      <w:r>
        <w:t xml:space="preserve">Quais trocas diretas (ciclos de 2) são possíveis?</w:t>
      </w:r>
    </w:p>
    <w:p>
      <w:pPr>
        <w:pStyle w:val="Compact"/>
        <w:numPr>
          <w:ilvl w:val="0"/>
          <w:numId w:val="2236"/>
        </w:numPr>
      </w:pPr>
      <w:r>
        <w:t xml:space="preserve">Encontre a alocação que maximiza o número de transplantes (pode incluir ciclos de 3 ou mais).</w:t>
      </w:r>
    </w:p>
    <w:p>
      <w:pPr>
        <w:pStyle w:val="Compact"/>
        <w:numPr>
          <w:ilvl w:val="0"/>
          <w:numId w:val="2236"/>
        </w:numPr>
      </w:pPr>
      <w:r>
        <w:t xml:space="preserve">Se um doador altruísta de tipo O inicia uma cadeia, quantos transplantes adicionais são possíveis?</w:t>
      </w:r>
    </w:p>
    <w:p>
      <w:pPr>
        <w:pStyle w:val="Compact"/>
        <w:numPr>
          <w:ilvl w:val="0"/>
          <w:numId w:val="2236"/>
        </w:numPr>
      </w:pPr>
      <w:r>
        <w:t xml:space="preserve">Relacione com o conceito de eficiência de Pareto (Capítulo 14) e discuta por que o mecanismo de preços é proibido.</w:t>
      </w:r>
    </w:p>
    <w:p>
      <w:pPr>
        <w:pStyle w:val="FirstParagraph"/>
      </w:pPr>
      <w:r>
        <w:t xml:space="preserve">Ver solução (Cap. 22)</w:t>
      </w:r>
    </w:p>
    <w:p>
      <w:pPr>
        <w:pStyle w:val="BodyText"/>
      </w:pPr>
      <w:r>
        <w:rPr>
          <w:b/>
          <w:bCs/>
        </w:rPr>
        <w:t xml:space="preserve">Exercício 22.10.</w:t>
      </w:r>
      <w:r>
        <w:t xml:space="preserve"> </w:t>
      </w:r>
      <w:r>
        <w:t xml:space="preserve">Um pesquisador conduz um RCT com 500 participantes (250 tratados, 250 controles) e encontra efeito de</w:t>
      </w:r>
      <w:r>
        <w:t xml:space="preserve"> </w:t>
      </w:r>
      <m:oMath>
        <m:acc>
          <m:accPr>
            <m:chr m:val="̂"/>
          </m:accPr>
          <m:e>
            <m:r>
              <m:t>τ</m:t>
            </m:r>
          </m:e>
        </m:acc>
        <m:r>
          <m:rPr>
            <m:sty m:val="p"/>
          </m:rPr>
          <m:t>=</m:t>
        </m:r>
        <m:r>
          <m:t>3</m:t>
        </m:r>
        <m:r>
          <m:rPr>
            <m:sty m:val="p"/>
          </m:rPr>
          <m:t>,</m:t>
        </m:r>
        <m:r>
          <m:t>2</m:t>
        </m:r>
      </m:oMath>
      <w:r>
        <w:t xml:space="preserve"> </w:t>
      </w:r>
      <w:r>
        <w:t xml:space="preserve">com erro padrão</w:t>
      </w:r>
      <w:r>
        <w:t xml:space="preserve"> </w:t>
      </w:r>
      <m:oMath>
        <m:r>
          <m:t>S</m:t>
        </m:r>
        <m:r>
          <m:t>E</m:t>
        </m:r>
        <m:r>
          <m:rPr>
            <m:sty m:val="p"/>
          </m:rPr>
          <m:t>=</m:t>
        </m:r>
        <m:r>
          <m:t>1</m:t>
        </m:r>
        <m:r>
          <m:rPr>
            <m:sty m:val="p"/>
          </m:rPr>
          <m:t>,</m:t>
        </m:r>
        <m:r>
          <m:t>5</m:t>
        </m:r>
      </m:oMath>
      <w:r>
        <w:t xml:space="preserve">.</w:t>
      </w:r>
    </w:p>
    <w:p>
      <w:pPr>
        <w:pStyle w:val="Compact"/>
        <w:numPr>
          <w:ilvl w:val="0"/>
          <w:numId w:val="2237"/>
        </w:numPr>
      </w:pPr>
      <w:r>
        <w:t xml:space="preserve">Calcule a estatística</w:t>
      </w:r>
      <w:r>
        <w:t xml:space="preserve"> </w:t>
      </w:r>
      <m:oMath>
        <m:r>
          <m:t>t</m:t>
        </m:r>
      </m:oMath>
      <w:r>
        <w:t xml:space="preserve"> </w:t>
      </w:r>
      <w:r>
        <w:t xml:space="preserve">e o p-valor (bilateral) aproximado. O resultado é</w:t>
      </w:r>
      <w:r>
        <w:t xml:space="preserve"> </w:t>
      </w:r>
      <w:r>
        <w:t xml:space="preserve">“significativo”</w:t>
      </w:r>
      <w:r>
        <w:t xml:space="preserve"> </w:t>
      </w:r>
      <w:r>
        <w:t xml:space="preserve">a 5%?</w:t>
      </w:r>
    </w:p>
    <w:p>
      <w:pPr>
        <w:pStyle w:val="Compact"/>
        <w:numPr>
          <w:ilvl w:val="0"/>
          <w:numId w:val="2237"/>
        </w:numPr>
      </w:pPr>
      <w:r>
        <w:t xml:space="preserve">Se o pesquisador tivesse testado 20 hipóteses e reportado apenas a significativa, qual é a probabilidade de um falso positivo (com correção de Bonferroni)?</w:t>
      </w:r>
    </w:p>
    <w:p>
      <w:pPr>
        <w:pStyle w:val="Compact"/>
        <w:numPr>
          <w:ilvl w:val="0"/>
          <w:numId w:val="2237"/>
        </w:numPr>
      </w:pPr>
      <w:r>
        <w:t xml:space="preserve">Outro pesquisador tenta replicar com amostra de 1.000 e encontra</w:t>
      </w:r>
      <w:r>
        <w:t xml:space="preserve"> </w:t>
      </w:r>
      <m:oMath>
        <m:acc>
          <m:accPr>
            <m:chr m:val="̂"/>
          </m:accPr>
          <m:e>
            <m:r>
              <m:t>τ</m:t>
            </m:r>
          </m:e>
        </m:acc>
        <m:r>
          <m:rPr>
            <m:sty m:val="p"/>
          </m:rPr>
          <m:t>=</m:t>
        </m:r>
        <m:r>
          <m:t>1</m:t>
        </m:r>
        <m:r>
          <m:rPr>
            <m:sty m:val="p"/>
          </m:rPr>
          <m:t>,</m:t>
        </m:r>
        <m:r>
          <m:t>8</m:t>
        </m:r>
      </m:oMath>
      <w:r>
        <w:t xml:space="preserve"> </w:t>
      </w:r>
      <w:r>
        <w:t xml:space="preserve">com</w:t>
      </w:r>
      <w:r>
        <w:t xml:space="preserve"> </w:t>
      </w:r>
      <m:oMath>
        <m:r>
          <m:t>S</m:t>
        </m:r>
        <m:r>
          <m:t>E</m:t>
        </m:r>
        <m:r>
          <m:rPr>
            <m:sty m:val="p"/>
          </m:rPr>
          <m:t>=</m:t>
        </m:r>
        <m:r>
          <m:t>0</m:t>
        </m:r>
        <m:r>
          <m:rPr>
            <m:sty m:val="p"/>
          </m:rPr>
          <m:t>,</m:t>
        </m:r>
        <m:r>
          <m:t>7</m:t>
        </m:r>
      </m:oMath>
      <w:r>
        <w:t xml:space="preserve">. Compare os resultados.</w:t>
      </w:r>
    </w:p>
    <w:p>
      <w:pPr>
        <w:pStyle w:val="Compact"/>
        <w:numPr>
          <w:ilvl w:val="0"/>
          <w:numId w:val="2237"/>
        </w:numPr>
      </w:pPr>
      <w:r>
        <w:t xml:space="preserve">Discuta como o pré-registro de hipóteses ajudaria a resolver a preocupação do item (b).</w:t>
      </w:r>
    </w:p>
    <w:p>
      <w:pPr>
        <w:pStyle w:val="FirstParagraph"/>
      </w:pPr>
      <w:r>
        <w:t xml:space="preserve">Ver solução (Cap. 22)</w:t>
      </w:r>
    </w:p>
    <w:p>
      <w:r>
        <w:pict>
          <v:rect style="width:0;height:1.5pt" o:hralign="center" o:hrstd="t" o:hr="t"/>
        </w:pict>
      </w:r>
    </w:p>
    <w:bookmarkEnd w:id="1385"/>
    <w:bookmarkStart w:id="1386" w:name="questões-estilo-anpec-1"/>
    <w:p>
      <w:pPr>
        <w:pStyle w:val="Heading3"/>
      </w:pPr>
      <w:r>
        <w:t xml:space="preserve">Questões Estilo ANPEC</w:t>
      </w:r>
    </w:p>
    <w:p>
      <w:pPr>
        <w:pStyle w:val="FirstParagraph"/>
      </w:pPr>
      <w:r>
        <w:rPr>
          <w:b/>
          <w:bCs/>
        </w:rPr>
        <w:t xml:space="preserve">Questão 1.</w:t>
      </w:r>
      <w:r>
        <w:t xml:space="preserve"> </w:t>
      </w:r>
      <w:r>
        <w:t xml:space="preserve">Classifique as afirmações como</w:t>
      </w:r>
      <w:r>
        <w:t xml:space="preserve"> </w:t>
      </w:r>
      <w:r>
        <w:rPr>
          <w:b/>
          <w:bCs/>
        </w:rPr>
        <w:t xml:space="preserve">Verdadeiro (V)</w:t>
      </w:r>
      <w:r>
        <w:t xml:space="preserve"> </w:t>
      </w:r>
      <w:r>
        <w:t xml:space="preserve">ou</w:t>
      </w:r>
      <w:r>
        <w:t xml:space="preserve"> </w:t>
      </w:r>
      <w:r>
        <w:rPr>
          <w:b/>
          <w:bCs/>
        </w:rPr>
        <w:t xml:space="preserve">Falso (F)</w:t>
      </w:r>
      <w:r>
        <w:t xml:space="preserve">:</w:t>
      </w:r>
    </w:p>
    <w:p>
      <w:pPr>
        <w:numPr>
          <w:ilvl w:val="0"/>
          <w:numId w:val="2238"/>
        </w:numPr>
      </w:pPr>
      <w:r>
        <w:t xml:space="preserve">A teoria do valor induzido de Vernon Smith permite ao experimentador controlar as preferências dos participantes via pagamentos monetários reais, eliminando a necessidade de observar preferências</w:t>
      </w:r>
      <w:r>
        <w:t xml:space="preserve"> </w:t>
      </w:r>
      <w:r>
        <w:t xml:space="preserve">“verdadeiras”</w:t>
      </w:r>
      <w:r>
        <w:t xml:space="preserve">.</w:t>
      </w:r>
    </w:p>
    <w:p>
      <w:pPr>
        <w:numPr>
          <w:ilvl w:val="0"/>
          <w:numId w:val="2238"/>
        </w:numPr>
      </w:pPr>
      <w:r>
        <w:t xml:space="preserve">No equilíbrio de Nash do jogo de bens públicos com retorno marginal per capita do fundo público menor que 1 (mas retorno total maior que 1), todos os jogadores contribuem sua dotação integral.</w:t>
      </w:r>
    </w:p>
    <w:p>
      <w:pPr>
        <w:numPr>
          <w:ilvl w:val="0"/>
          <w:numId w:val="2238"/>
        </w:numPr>
      </w:pPr>
      <w:r>
        <w:t xml:space="preserve">A randomização em um RCT garante tanto a validade interna quanto a validade externa dos resultados.</w:t>
      </w:r>
    </w:p>
    <w:p>
      <w:pPr>
        <w:numPr>
          <w:ilvl w:val="0"/>
          <w:numId w:val="2238"/>
        </w:numPr>
      </w:pPr>
      <w:r>
        <w:t xml:space="preserve">O estimador de diferenças-em-diferenças requer a hipótese de tendências paralelas: na ausência do tratamento, os grupos tratado e controle teriam seguido trajetórias semelhantes.</w:t>
      </w:r>
    </w:p>
    <w:p>
      <w:pPr>
        <w:numPr>
          <w:ilvl w:val="0"/>
          <w:numId w:val="2238"/>
        </w:numPr>
      </w:pPr>
      <w:r>
        <w:t xml:space="preserve">A regressão descontínua identifica o efeito causal do tratamento para toda a população estudada, não apenas para indivíduos próximos ao limiar de elegibilidade.</w:t>
      </w:r>
    </w:p>
    <w:p>
      <w:pPr>
        <w:pStyle w:val="BlockText"/>
      </w:pPr>
      <w:r>
        <w:rPr>
          <w:b/>
          <w:bCs/>
        </w:rPr>
        <w:t xml:space="preserve">[RESPOSTA] Gabarito</w:t>
      </w:r>
    </w:p>
    <w:p>
      <w:pPr>
        <w:pStyle w:val="BlockText"/>
      </w:pPr>
      <w:r>
        <w:rPr>
          <w:b/>
          <w:bCs/>
        </w:rPr>
        <w:t xml:space="preserve">(0) V</w:t>
      </w:r>
      <w:r>
        <w:t xml:space="preserve"> </w:t>
      </w:r>
      <w:r>
        <w:t xml:space="preserve">— Essa é precisamente a contribuição central da teoria do valor induzido.</w:t>
      </w:r>
    </w:p>
    <w:p>
      <w:pPr>
        <w:pStyle w:val="BlockText"/>
      </w:pPr>
      <w:r>
        <w:rPr>
          <w:b/>
          <w:bCs/>
        </w:rPr>
        <w:t xml:space="preserve">(1) F</w:t>
      </w:r>
      <w:r>
        <w:t xml:space="preserve"> </w:t>
      </w:r>
      <w:r>
        <w:t xml:space="preserve">— O equilíbrio de Nash é</w:t>
      </w:r>
      <w:r>
        <w:t xml:space="preserve"> </w:t>
      </w:r>
      <m:oMath>
        <m:sSub>
          <m:e>
            <m:r>
              <m:t>g</m:t>
            </m:r>
          </m:e>
          <m:sub>
            <m:r>
              <m:t>i</m:t>
            </m:r>
          </m:sub>
        </m:sSub>
        <m:r>
          <m:rPr>
            <m:sty m:val="p"/>
          </m:rPr>
          <m:t>=</m:t>
        </m:r>
        <m:r>
          <m:t>0</m:t>
        </m:r>
      </m:oMath>
      <w:r>
        <w:t xml:space="preserve"> </w:t>
      </w:r>
      <w:r>
        <w:t xml:space="preserve">(ninguém contribui), pois o retorno marginal per capita é menor que 1, tornando a contribuição individualmente irracional apesar de socialmente eficiente.</w:t>
      </w:r>
    </w:p>
    <w:p>
      <w:pPr>
        <w:pStyle w:val="BlockText"/>
      </w:pPr>
      <w:r>
        <w:rPr>
          <w:b/>
          <w:bCs/>
        </w:rPr>
        <w:t xml:space="preserve">(2) F</w:t>
      </w:r>
      <w:r>
        <w:t xml:space="preserve"> </w:t>
      </w:r>
      <w:r>
        <w:t xml:space="preserve">— A randomização garante validade interna (ausência de viés de seleção), mas não garante validade externa (generalização para outros contextos). Essa é uma das críticas centrais de Deaton.</w:t>
      </w:r>
    </w:p>
    <w:p>
      <w:pPr>
        <w:pStyle w:val="BlockText"/>
      </w:pPr>
      <w:r>
        <w:rPr>
          <w:b/>
          <w:bCs/>
        </w:rPr>
        <w:t xml:space="preserve">(3) V</w:t>
      </w:r>
      <w:r>
        <w:t xml:space="preserve"> </w:t>
      </w:r>
      <w:r>
        <w:t xml:space="preserve">— A hipótese de tendências paralelas é essencial para que a</w:t>
      </w:r>
      <w:r>
        <w:t xml:space="preserve"> </w:t>
      </w:r>
      <w:r>
        <w:t xml:space="preserve">“segunda diferença”</w:t>
      </w:r>
      <w:r>
        <w:t xml:space="preserve"> </w:t>
      </w:r>
      <w:r>
        <w:t xml:space="preserve">(entre grupos) elimine corretamente os fatores confundidores.</w:t>
      </w:r>
    </w:p>
    <w:p>
      <w:pPr>
        <w:pStyle w:val="BlockText"/>
      </w:pPr>
      <w:r>
        <w:rPr>
          <w:b/>
          <w:bCs/>
        </w:rPr>
        <w:t xml:space="preserve">(4) F</w:t>
      </w:r>
      <w:r>
        <w:t xml:space="preserve"> </w:t>
      </w:r>
      <w:r>
        <w:t xml:space="preserve">— A RDD identifica um efeito</w:t>
      </w:r>
      <w:r>
        <w:t xml:space="preserve"> </w:t>
      </w:r>
      <w:r>
        <w:rPr>
          <w:i/>
          <w:iCs/>
        </w:rPr>
        <w:t xml:space="preserve">local</w:t>
      </w:r>
      <w:r>
        <w:t xml:space="preserve">, válido apenas na vizinhança do limiar. A extrapolação para pontos distantes do limiar requer hipóteses adicionais.</w:t>
      </w:r>
    </w:p>
    <w:p>
      <w:pPr>
        <w:pStyle w:val="FirstParagraph"/>
      </w:pPr>
      <w:r>
        <w:rPr>
          <w:b/>
          <w:bCs/>
        </w:rPr>
        <w:t xml:space="preserve">Questão 2.</w:t>
      </w:r>
      <w:r>
        <w:t xml:space="preserve"> </w:t>
      </w:r>
      <w:r>
        <w:t xml:space="preserve">Classifique as afirmações como</w:t>
      </w:r>
      <w:r>
        <w:t xml:space="preserve"> </w:t>
      </w:r>
      <w:r>
        <w:rPr>
          <w:b/>
          <w:bCs/>
        </w:rPr>
        <w:t xml:space="preserve">Verdadeiro (V)</w:t>
      </w:r>
      <w:r>
        <w:t xml:space="preserve"> </w:t>
      </w:r>
      <w:r>
        <w:t xml:space="preserve">ou</w:t>
      </w:r>
      <w:r>
        <w:t xml:space="preserve"> </w:t>
      </w:r>
      <w:r>
        <w:rPr>
          <w:b/>
          <w:bCs/>
        </w:rPr>
        <w:t xml:space="preserve">Falso (F)</w:t>
      </w:r>
      <w:r>
        <w:t xml:space="preserve">:</w:t>
      </w:r>
    </w:p>
    <w:p>
      <w:pPr>
        <w:numPr>
          <w:ilvl w:val="0"/>
          <w:numId w:val="2239"/>
        </w:numPr>
      </w:pPr>
      <w:r>
        <w:t xml:space="preserve">O experimento de Gneezy e Rustichini (2000) demonstrou que a introdução de multas monetárias em creches reduziu os atrasos dos pais, confirmando a previsão do modelo econômico padrão.</w:t>
      </w:r>
    </w:p>
    <w:p>
      <w:pPr>
        <w:numPr>
          <w:ilvl w:val="0"/>
          <w:numId w:val="2239"/>
        </w:numPr>
      </w:pPr>
      <w:r>
        <w:t xml:space="preserve">Uma variável instrumental válida deve satisfazer duas condições: relevância (correlação com a variável endógena) e exclusão (ausência de correlação com o termo de erro).</w:t>
      </w:r>
    </w:p>
    <w:p>
      <w:pPr>
        <w:numPr>
          <w:ilvl w:val="0"/>
          <w:numId w:val="2239"/>
        </w:numPr>
      </w:pPr>
      <w:r>
        <w:t xml:space="preserve">O estimador TOT (Treatment on the Treated) pode ser obtido dividindo o estimador ITT (Intention-to-Treat) pela taxa de adesão ao tratamento, usando a atribuição aleatória como instrumento.</w:t>
      </w:r>
    </w:p>
    <w:p>
      <w:pPr>
        <w:numPr>
          <w:ilvl w:val="0"/>
          <w:numId w:val="2239"/>
        </w:numPr>
      </w:pPr>
      <w:r>
        <w:t xml:space="preserve">A maldição do vencedor em leilões de valor comum é um fenômeno puramente teórico que não se observa em experimentos de laboratório.</w:t>
      </w:r>
    </w:p>
    <w:p>
      <w:pPr>
        <w:numPr>
          <w:ilvl w:val="0"/>
          <w:numId w:val="2239"/>
        </w:numPr>
      </w:pPr>
      <w:r>
        <w:t xml:space="preserve">O pré-registro de hipóteses antes da coleta de dados é uma das soluções propostas pela profissão para mitigar o problema do p-hacking e da crise de replicação.</w:t>
      </w:r>
    </w:p>
    <w:p>
      <w:pPr>
        <w:pStyle w:val="BlockText"/>
      </w:pPr>
      <w:r>
        <w:rPr>
          <w:b/>
          <w:bCs/>
        </w:rPr>
        <w:t xml:space="preserve">[RESPOSTA] Gabarito</w:t>
      </w:r>
    </w:p>
    <w:p>
      <w:pPr>
        <w:pStyle w:val="BlockText"/>
      </w:pPr>
      <w:r>
        <w:rPr>
          <w:b/>
          <w:bCs/>
        </w:rPr>
        <w:t xml:space="preserve">(0) F</w:t>
      </w:r>
      <w:r>
        <w:t xml:space="preserve"> </w:t>
      </w:r>
      <w:r>
        <w:t xml:space="preserve">— O resultado foi o oposto: os atrasos</w:t>
      </w:r>
      <w:r>
        <w:t xml:space="preserve"> </w:t>
      </w:r>
      <w:r>
        <w:rPr>
          <w:i/>
          <w:iCs/>
        </w:rPr>
        <w:t xml:space="preserve">aumentaram</w:t>
      </w:r>
      <w:r>
        <w:t xml:space="preserve"> </w:t>
      </w:r>
      <w:r>
        <w:t xml:space="preserve">após a multa, porque o incentivo monetário destruiu a norma social preexistente.</w:t>
      </w:r>
    </w:p>
    <w:p>
      <w:pPr>
        <w:pStyle w:val="BlockText"/>
      </w:pPr>
      <w:r>
        <w:rPr>
          <w:b/>
          <w:bCs/>
        </w:rPr>
        <w:t xml:space="preserve">(1) V</w:t>
      </w:r>
      <w:r>
        <w:t xml:space="preserve"> </w:t>
      </w:r>
      <w:r>
        <w:t xml:space="preserve">— Relevância e exclusão são as duas condições fundamentais para um instrumento válido.</w:t>
      </w:r>
    </w:p>
    <w:p>
      <w:pPr>
        <w:pStyle w:val="BlockText"/>
      </w:pPr>
      <w:r>
        <w:rPr>
          <w:b/>
          <w:bCs/>
        </w:rPr>
        <w:t xml:space="preserve">(2) V</w:t>
      </w:r>
      <w:r>
        <w:t xml:space="preserve"> </w:t>
      </w:r>
      <w:r>
        <w:t xml:space="preserve">— Esse é o estimador de Wald, que conecta RCTs com a econometria de variáveis instrumentais.</w:t>
      </w:r>
    </w:p>
    <w:p>
      <w:pPr>
        <w:pStyle w:val="BlockText"/>
      </w:pPr>
      <w:r>
        <w:rPr>
          <w:b/>
          <w:bCs/>
        </w:rPr>
        <w:t xml:space="preserve">(3) F</w:t>
      </w:r>
      <w:r>
        <w:t xml:space="preserve"> </w:t>
      </w:r>
      <w:r>
        <w:t xml:space="preserve">— A maldição do vencedor é amplamente documentada em experimentos de laboratório, especialmente em leilões com muitos competidores.</w:t>
      </w:r>
    </w:p>
    <w:p>
      <w:pPr>
        <w:pStyle w:val="BlockText"/>
      </w:pPr>
      <w:r>
        <w:rPr>
          <w:b/>
          <w:bCs/>
        </w:rPr>
        <w:t xml:space="preserve">(4) V</w:t>
      </w:r>
      <w:r>
        <w:t xml:space="preserve"> </w:t>
      </w:r>
      <w:r>
        <w:t xml:space="preserve">— O pré-registro obriga o pesquisador a definir as hipóteses e o plano de análise antes de ver os dados, impedindo a seleção ex post de resultados significativos.</w:t>
      </w:r>
    </w:p>
    <w:p>
      <w:pPr>
        <w:pStyle w:val="FirstParagraph"/>
      </w:pPr>
      <w:r>
        <w:rPr>
          <w:b/>
          <w:bCs/>
        </w:rPr>
        <w:t xml:space="preserve">Questão 3.</w:t>
      </w:r>
      <w:r>
        <w:t xml:space="preserve"> </w:t>
      </w:r>
      <w:r>
        <w:t xml:space="preserve">Classifique as afirmações como</w:t>
      </w:r>
      <w:r>
        <w:t xml:space="preserve"> </w:t>
      </w:r>
      <w:r>
        <w:rPr>
          <w:b/>
          <w:bCs/>
        </w:rPr>
        <w:t xml:space="preserve">Verdadeiro (V)</w:t>
      </w:r>
      <w:r>
        <w:t xml:space="preserve"> </w:t>
      </w:r>
      <w:r>
        <w:t xml:space="preserve">ou</w:t>
      </w:r>
      <w:r>
        <w:t xml:space="preserve"> </w:t>
      </w:r>
      <w:r>
        <w:rPr>
          <w:b/>
          <w:bCs/>
        </w:rPr>
        <w:t xml:space="preserve">Falso (F)</w:t>
      </w:r>
      <w:r>
        <w:t xml:space="preserve">:</w:t>
      </w:r>
    </w:p>
    <w:p>
      <w:pPr>
        <w:numPr>
          <w:ilvl w:val="0"/>
          <w:numId w:val="2240"/>
        </w:numPr>
      </w:pPr>
      <w:r>
        <w:t xml:space="preserve">O ATE (Average Treatment Effect) e o ATT (Average Treatment Effect on the Treated) são numericamente idênticos quando o tratamento é atribuído de forma completamente aleatória a toda a população elegível.</w:t>
      </w:r>
    </w:p>
    <w:p>
      <w:pPr>
        <w:numPr>
          <w:ilvl w:val="0"/>
          <w:numId w:val="2240"/>
        </w:numPr>
      </w:pPr>
      <w:r>
        <w:t xml:space="preserve">Em um desenho de regressão descontínua (RDD), a validade da estimativa causal depende da hipótese de que os agentes não manipulam a variável de atribuição (</w:t>
      </w:r>
      <w:r>
        <w:rPr>
          <w:i/>
          <w:iCs/>
        </w:rPr>
        <w:t xml:space="preserve">running variable</w:t>
      </w:r>
      <w:r>
        <w:t xml:space="preserve">) para se posicionarem estrategicamente em relação ao limiar.</w:t>
      </w:r>
    </w:p>
    <w:p>
      <w:pPr>
        <w:numPr>
          <w:ilvl w:val="0"/>
          <w:numId w:val="2240"/>
        </w:numPr>
      </w:pPr>
      <w:r>
        <w:t xml:space="preserve">O estimador de variáveis instrumentais (IV) converge para o ATE quando o instrumento afeta todos os indivíduos de forma homogênea. No caso de efeitos heterogêneos, o IV estima o LATE (Local Average Treatment Effect), válido apenas para os</w:t>
      </w:r>
      <w:r>
        <w:t xml:space="preserve"> </w:t>
      </w:r>
      <w:r>
        <w:rPr>
          <w:i/>
          <w:iCs/>
        </w:rPr>
        <w:t xml:space="preserve">compliers</w:t>
      </w:r>
      <w:r>
        <w:t xml:space="preserve">.</w:t>
      </w:r>
    </w:p>
    <w:p>
      <w:pPr>
        <w:numPr>
          <w:ilvl w:val="0"/>
          <w:numId w:val="2240"/>
        </w:numPr>
      </w:pPr>
      <w:r>
        <w:t xml:space="preserve">Em jogos de ultimato, a previsão do equilíbrio de Nash por indução retroativa é que o propositor oferece a menor unidade monetária possível e o respondente aceita — previsão confirmada sistematicamente pela evidência experimental.</w:t>
      </w:r>
    </w:p>
    <w:p>
      <w:pPr>
        <w:numPr>
          <w:ilvl w:val="0"/>
          <w:numId w:val="2240"/>
        </w:numPr>
      </w:pPr>
      <w:r>
        <w:t xml:space="preserve">O viés de publicação (</w:t>
      </w:r>
      <w:r>
        <w:rPr>
          <w:i/>
          <w:iCs/>
        </w:rPr>
        <w:t xml:space="preserve">publication bias</w:t>
      </w:r>
      <w:r>
        <w:t xml:space="preserve">) ocorre quando periódicos acadêmicos publicam preferencialmente resultados estatisticamente significativos, distorcendo a literatura em favor de efeitos positivos e inflando as estimativas publicadas.</w:t>
      </w:r>
    </w:p>
    <w:p>
      <w:pPr>
        <w:pStyle w:val="BlockText"/>
      </w:pPr>
      <w:r>
        <w:rPr>
          <w:b/>
          <w:bCs/>
        </w:rPr>
        <w:t xml:space="preserve">[RESPOSTA] Gabarito</w:t>
      </w:r>
    </w:p>
    <w:p>
      <w:pPr>
        <w:pStyle w:val="BlockText"/>
      </w:pPr>
      <w:r>
        <w:rPr>
          <w:b/>
          <w:bCs/>
        </w:rPr>
        <w:t xml:space="preserve">(0) V</w:t>
      </w:r>
      <w:r>
        <w:t xml:space="preserve"> </w:t>
      </w:r>
      <w:r>
        <w:t xml:space="preserve">— Com randomização completa, o grupo de controle é representativo de toda a população, portanto</w:t>
      </w:r>
      <w:r>
        <w:t xml:space="preserve"> </w:t>
      </w:r>
      <m:oMath>
        <m:r>
          <m:t>E</m:t>
        </m:r>
        <m:r>
          <m:rPr>
            <m:sty m:val="p"/>
          </m:rPr>
          <m:t>[</m:t>
        </m:r>
        <m:r>
          <m:t>Y</m:t>
        </m:r>
        <m:r>
          <m:rPr>
            <m:sty m:val="p"/>
          </m:rPr>
          <m:t>(</m:t>
        </m:r>
        <m:r>
          <m:t>0</m:t>
        </m:r>
        <m:r>
          <m:rPr>
            <m:sty m:val="p"/>
          </m:rPr>
          <m:t>)</m:t>
        </m:r>
        <m:r>
          <m:rPr>
            <m:sty m:val="p"/>
          </m:rPr>
          <m:t>|</m:t>
        </m:r>
        <m:r>
          <m:t>D</m:t>
        </m:r>
        <m:r>
          <m:rPr>
            <m:sty m:val="p"/>
          </m:rPr>
          <m:t>=</m:t>
        </m:r>
        <m:r>
          <m:t>1</m:t>
        </m:r>
        <m:r>
          <m:rPr>
            <m:sty m:val="p"/>
          </m:rPr>
          <m:t>]</m:t>
        </m:r>
        <m:r>
          <m:rPr>
            <m:sty m:val="p"/>
          </m:rPr>
          <m:t>=</m:t>
        </m:r>
        <m:r>
          <m:t>E</m:t>
        </m:r>
        <m:r>
          <m:rPr>
            <m:sty m:val="p"/>
          </m:rPr>
          <m:t>[</m:t>
        </m:r>
        <m:r>
          <m:t>Y</m:t>
        </m:r>
        <m:r>
          <m:rPr>
            <m:sty m:val="p"/>
          </m:rPr>
          <m:t>(</m:t>
        </m:r>
        <m:r>
          <m:t>0</m:t>
        </m:r>
        <m:r>
          <m:rPr>
            <m:sty m:val="p"/>
          </m:rPr>
          <m:t>)</m:t>
        </m:r>
        <m:r>
          <m:rPr>
            <m:sty m:val="p"/>
          </m:rPr>
          <m:t>]</m:t>
        </m:r>
      </m:oMath>
      <w:r>
        <w:t xml:space="preserve"> </w:t>
      </w:r>
      <w:r>
        <w:t xml:space="preserve">e ATE = ATT.</w:t>
      </w:r>
    </w:p>
    <w:p>
      <w:pPr>
        <w:pStyle w:val="BlockText"/>
      </w:pPr>
      <w:r>
        <w:rPr>
          <w:b/>
          <w:bCs/>
        </w:rPr>
        <w:t xml:space="preserve">(1) V</w:t>
      </w:r>
      <w:r>
        <w:t xml:space="preserve"> </w:t>
      </w:r>
      <w:r>
        <w:t xml:space="preserve">— A condição de não-manipulação é essencial para RDD. Se os agentes podem manipular a running variable (e.g., declarar renda abaixo do limiar), a comparação na vizinhança do corte é contaminada por seleção. O teste de McCrary verifica descontinuidades na densidade da running variable.</w:t>
      </w:r>
    </w:p>
    <w:p>
      <w:pPr>
        <w:pStyle w:val="BlockText"/>
      </w:pPr>
      <w:r>
        <w:rPr>
          <w:b/>
          <w:bCs/>
        </w:rPr>
        <w:t xml:space="preserve">(2) V</w:t>
      </w:r>
      <w:r>
        <w:t xml:space="preserve"> </w:t>
      </w:r>
      <w:r>
        <w:t xml:space="preserve">— Resultado central de Imbens e Angrist (1994). O LATE é o efeito causal para os</w:t>
      </w:r>
      <w:r>
        <w:t xml:space="preserve"> </w:t>
      </w:r>
      <w:r>
        <w:rPr>
          <w:i/>
          <w:iCs/>
        </w:rPr>
        <w:t xml:space="preserve">compliers</w:t>
      </w:r>
      <w:r>
        <w:t xml:space="preserve"> </w:t>
      </w:r>
      <w:r>
        <w:t xml:space="preserve">— indivíduos cuja decisão de tratamento muda em resposta ao instrumento. Para</w:t>
      </w:r>
      <w:r>
        <w:t xml:space="preserve"> </w:t>
      </w:r>
      <w:r>
        <w:rPr>
          <w:i/>
          <w:iCs/>
        </w:rPr>
        <w:t xml:space="preserve">always-takers</w:t>
      </w:r>
      <w:r>
        <w:t xml:space="preserve"> </w:t>
      </w:r>
      <w:r>
        <w:t xml:space="preserve">e</w:t>
      </w:r>
      <w:r>
        <w:t xml:space="preserve"> </w:t>
      </w:r>
      <w:r>
        <w:rPr>
          <w:i/>
          <w:iCs/>
        </w:rPr>
        <w:t xml:space="preserve">never-takers</w:t>
      </w:r>
      <w:r>
        <w:t xml:space="preserve">, o instrumento não fornece informação.</w:t>
      </w:r>
    </w:p>
    <w:p>
      <w:pPr>
        <w:pStyle w:val="BlockText"/>
      </w:pPr>
      <w:r>
        <w:rPr>
          <w:b/>
          <w:bCs/>
        </w:rPr>
        <w:t xml:space="preserve">(3) F</w:t>
      </w:r>
      <w:r>
        <w:t xml:space="preserve"> </w:t>
      </w:r>
      <w:r>
        <w:t xml:space="preserve">— A previsão teórica é correta (equilíbrio de subjogo perfeito), mas a evidência experimental a rejeita sistematicamente. Em média, propostas abaixo de 20-30% são rejeitadas, e ofertas modais ficam em torno de 40-50% — evidência de preferências sociais (aversão à desigualdade, reciprocidade).</w:t>
      </w:r>
    </w:p>
    <w:p>
      <w:pPr>
        <w:pStyle w:val="BlockText"/>
      </w:pPr>
      <w:r>
        <w:rPr>
          <w:b/>
          <w:bCs/>
        </w:rPr>
        <w:t xml:space="preserve">(4) V</w:t>
      </w:r>
      <w:r>
        <w:t xml:space="preserve"> </w:t>
      </w:r>
      <w:r>
        <w:t xml:space="preserve">— O viés de publicação é uma das causas centrais da crise de replicação. Soluções incluem pré-registro, relatórios registrados (</w:t>
      </w:r>
      <w:r>
        <w:rPr>
          <w:i/>
          <w:iCs/>
        </w:rPr>
        <w:t xml:space="preserve">registered reports</w:t>
      </w:r>
      <w:r>
        <w:t xml:space="preserve">) e meta-análises que corrigem pelo viés (funnel plots, trim-and-fill).</w:t>
      </w:r>
    </w:p>
    <w:p>
      <w:pPr>
        <w:pStyle w:val="FirstParagraph"/>
      </w:pPr>
      <w:r>
        <w:rPr>
          <w:b/>
          <w:bCs/>
        </w:rPr>
        <w:t xml:space="preserve">Questão 4.</w:t>
      </w:r>
      <w:r>
        <w:t xml:space="preserve"> </w:t>
      </w:r>
      <w:r>
        <w:t xml:space="preserve">Classifique as afirmações como</w:t>
      </w:r>
      <w:r>
        <w:t xml:space="preserve"> </w:t>
      </w:r>
      <w:r>
        <w:rPr>
          <w:b/>
          <w:bCs/>
        </w:rPr>
        <w:t xml:space="preserve">Verdadeiro (V)</w:t>
      </w:r>
      <w:r>
        <w:t xml:space="preserve"> </w:t>
      </w:r>
      <w:r>
        <w:t xml:space="preserve">ou</w:t>
      </w:r>
      <w:r>
        <w:t xml:space="preserve"> </w:t>
      </w:r>
      <w:r>
        <w:rPr>
          <w:b/>
          <w:bCs/>
        </w:rPr>
        <w:t xml:space="preserve">Falso (F)</w:t>
      </w:r>
      <w:r>
        <w:t xml:space="preserve">:</w:t>
      </w:r>
    </w:p>
    <w:p>
      <w:pPr>
        <w:numPr>
          <w:ilvl w:val="0"/>
          <w:numId w:val="2241"/>
        </w:numPr>
      </w:pPr>
      <w:r>
        <w:t xml:space="preserve">A validade externa de um RCT conduzido em vilas rurais do Quênia é automaticamente assegurada para o Brasil urbano, desde que o desenho experimental tenha validade interna comprovada.</w:t>
      </w:r>
    </w:p>
    <w:p>
      <w:pPr>
        <w:numPr>
          <w:ilvl w:val="0"/>
          <w:numId w:val="2241"/>
        </w:numPr>
      </w:pPr>
      <w:r>
        <w:t xml:space="preserve">No método de diferenças-em-diferenças, um teste de falsificação (</w:t>
      </w:r>
      <w:r>
        <w:rPr>
          <w:i/>
          <w:iCs/>
        </w:rPr>
        <w:t xml:space="preserve">placebo test</w:t>
      </w:r>
      <w:r>
        <w:t xml:space="preserve">) comum consiste em estimar o efeito do tratamento em períodos anteriores à intervenção: se for estatisticamente diferente de zero, a hipótese de tendências paralelas é questionável.</w:t>
      </w:r>
    </w:p>
    <w:p>
      <w:pPr>
        <w:numPr>
          <w:ilvl w:val="0"/>
          <w:numId w:val="2241"/>
        </w:numPr>
      </w:pPr>
      <w:r>
        <w:t xml:space="preserve">A maldição do vencedor em leilões de valor comum decorre do fato de que o vencedor é sistematicamente o licitante que mais superestimou o valor do objeto — um caso de viés de seleção condicional à vitória.</w:t>
      </w:r>
    </w:p>
    <w:p>
      <w:pPr>
        <w:numPr>
          <w:ilvl w:val="0"/>
          <w:numId w:val="2241"/>
        </w:numPr>
      </w:pPr>
      <w:r>
        <w:t xml:space="preserve">Em um jogo de bens públicos repetido com punição entre pares (</w:t>
      </w:r>
      <w:r>
        <w:rPr>
          <w:i/>
          <w:iCs/>
        </w:rPr>
        <w:t xml:space="preserve">peer punishment</w:t>
      </w:r>
      <w:r>
        <w:t xml:space="preserve">), as contribuições tipicamente convergem para zero ao longo das rodadas, exatamente como prevê o equilíbrio de Nash do jogo estático.</w:t>
      </w:r>
    </w:p>
    <w:p>
      <w:pPr>
        <w:numPr>
          <w:ilvl w:val="0"/>
          <w:numId w:val="2241"/>
        </w:numPr>
      </w:pPr>
      <w:r>
        <w:t xml:space="preserve">A</w:t>
      </w:r>
      <w:r>
        <w:t xml:space="preserve"> </w:t>
      </w:r>
      <w:r>
        <w:t xml:space="preserve">“revolução da credibilidade”</w:t>
      </w:r>
      <w:r>
        <w:t xml:space="preserve"> </w:t>
      </w:r>
      <w:r>
        <w:t xml:space="preserve">em econometria aplicada (Nobel 2021, Angrist-Imbens-Card) priorizou a identificação causal via variação exógena sobre a estimação de modelos estruturais completos — substituindo a pergunta</w:t>
      </w:r>
      <w:r>
        <w:t xml:space="preserve"> </w:t>
      </w:r>
      <w:r>
        <w:t xml:space="preserve">“qual é o modelo correto?”</w:t>
      </w:r>
      <w:r>
        <w:t xml:space="preserve"> </w:t>
      </w:r>
      <w:r>
        <w:t xml:space="preserve">por</w:t>
      </w:r>
      <w:r>
        <w:t xml:space="preserve"> </w:t>
      </w:r>
      <w:r>
        <w:t xml:space="preserve">“qual é a fonte de variação exógena?”</w:t>
      </w:r>
      <w:r>
        <w:t xml:space="preserve">.</w:t>
      </w:r>
    </w:p>
    <w:p>
      <w:pPr>
        <w:pStyle w:val="BlockText"/>
      </w:pPr>
      <w:r>
        <w:rPr>
          <w:b/>
          <w:bCs/>
        </w:rPr>
        <w:t xml:space="preserve">[RESPOSTA] Gabarito</w:t>
      </w:r>
    </w:p>
    <w:p>
      <w:pPr>
        <w:pStyle w:val="BlockText"/>
      </w:pPr>
      <w:r>
        <w:rPr>
          <w:b/>
          <w:bCs/>
        </w:rPr>
        <w:t xml:space="preserve">(0) F</w:t>
      </w:r>
      <w:r>
        <w:t xml:space="preserve"> </w:t>
      </w:r>
      <w:r>
        <w:t xml:space="preserve">— Validade interna e validade externa são dimensões independentes. Um RCT pode ter excelente validade interna (identificação causal limpa) mas validade externa limitada (resultados não generalizáveis para outros contextos culturais, institucionais ou econômicos). Essa é uma das críticas centrais de Deaton (2010).</w:t>
      </w:r>
    </w:p>
    <w:p>
      <w:pPr>
        <w:pStyle w:val="BlockText"/>
      </w:pPr>
      <w:r>
        <w:rPr>
          <w:b/>
          <w:bCs/>
        </w:rPr>
        <w:t xml:space="preserve">(1) V</w:t>
      </w:r>
      <w:r>
        <w:t xml:space="preserve"> </w:t>
      </w:r>
      <w:r>
        <w:t xml:space="preserve">— Se o</w:t>
      </w:r>
      <w:r>
        <w:t xml:space="preserve"> </w:t>
      </w:r>
      <w:r>
        <w:t xml:space="preserve">“efeito”</w:t>
      </w:r>
      <w:r>
        <w:t xml:space="preserve"> </w:t>
      </w:r>
      <w:r>
        <w:t xml:space="preserve">aparece antes do tratamento, é evidência de que as tendências pré-tratamento já divergiam — violando a hipótese identificadora do DD.</w:t>
      </w:r>
    </w:p>
    <w:p>
      <w:pPr>
        <w:pStyle w:val="BlockText"/>
      </w:pPr>
      <w:r>
        <w:rPr>
          <w:b/>
          <w:bCs/>
        </w:rPr>
        <w:t xml:space="preserve">(2) V</w:t>
      </w:r>
      <w:r>
        <w:t xml:space="preserve"> </w:t>
      </w:r>
      <w:r>
        <w:t xml:space="preserve">— Em leilões de valor comum, todos os licitantes estimam o mesmo valor desconhecido. Condicional à vitória, o lance vencedor é o mais otimista — gerando viés para cima na estimativa do valor.</w:t>
      </w:r>
    </w:p>
    <w:p>
      <w:pPr>
        <w:pStyle w:val="BlockText"/>
      </w:pPr>
      <w:r>
        <w:rPr>
          <w:b/>
          <w:bCs/>
        </w:rPr>
        <w:t xml:space="preserve">(3) F</w:t>
      </w:r>
      <w:r>
        <w:t xml:space="preserve"> </w:t>
      </w:r>
      <w:r>
        <w:t xml:space="preserve">— Com punição entre pares, as contribuições tipicamente</w:t>
      </w:r>
      <w:r>
        <w:t xml:space="preserve"> </w:t>
      </w:r>
      <w:r>
        <w:rPr>
          <w:i/>
          <w:iCs/>
        </w:rPr>
        <w:t xml:space="preserve">aumentam</w:t>
      </w:r>
      <w:r>
        <w:t xml:space="preserve"> </w:t>
      </w:r>
      <w:r>
        <w:t xml:space="preserve">ao longo das rodadas, não convergem para zero. A punição altruísta sustenta a cooperação ao tornar o free-riding custoso (Fehr &amp; Gächter, 2000).</w:t>
      </w:r>
    </w:p>
    <w:p>
      <w:pPr>
        <w:pStyle w:val="BlockText"/>
      </w:pPr>
      <w:r>
        <w:rPr>
          <w:b/>
          <w:bCs/>
        </w:rPr>
        <w:t xml:space="preserve">(4) V</w:t>
      </w:r>
      <w:r>
        <w:t xml:space="preserve"> </w:t>
      </w:r>
      <w:r>
        <w:t xml:space="preserve">— Descrição precisa da revolução da credibilidade. A mudança metodológica enfatizou desenhos de pesquisa que exploram variações quasi-experimentais (experimentos naturais, RDD, IV) em vez de depender de hipóteses de identificação derivadas de modelos teóricos.</w:t>
      </w:r>
    </w:p>
    <w:bookmarkEnd w:id="1386"/>
    <w:bookmarkEnd w:id="1387"/>
    <w:bookmarkStart w:id="1394" w:name="pesquisa-em-ação-capítulo-22"/>
    <w:p>
      <w:pPr>
        <w:pStyle w:val="Heading2"/>
      </w:pPr>
      <w:r>
        <w:t xml:space="preserve">Pesquisa em Ação — Capítulo 22</w:t>
      </w:r>
    </w:p>
    <w:p>
      <w:pPr>
        <w:pStyle w:val="BlockText"/>
      </w:pPr>
      <w:r>
        <w:rPr>
          <w:b/>
          <w:bCs/>
        </w:rPr>
        <w:t xml:space="preserve">[PESQUISA EM ACAO] Paper 1 — Smith, V. L. (1962). An Experimental Study of Competitive Market Behavior</w:t>
      </w:r>
    </w:p>
    <w:p>
      <w:pPr>
        <w:pStyle w:val="BlockText"/>
      </w:pPr>
      <w:r>
        <w:rPr>
          <w:b/>
          <w:bCs/>
        </w:rPr>
        <w:t xml:space="preserve">Referência:</w:t>
      </w:r>
      <w:r>
        <w:t xml:space="preserve"> </w:t>
      </w:r>
      <w:r>
        <w:t xml:space="preserve">Smith, V. L. (1962). An Experimental Study of Competitive Market Behavior.</w:t>
      </w:r>
      <w:r>
        <w:t xml:space="preserve"> </w:t>
      </w:r>
      <w:r>
        <w:rPr>
          <w:i/>
          <w:iCs/>
        </w:rPr>
        <w:t xml:space="preserve">Journal of Political Economy</w:t>
      </w:r>
      <w:r>
        <w:t xml:space="preserve">, 70(2), 111–137. DOI:</w:t>
      </w:r>
      <w:r>
        <w:t xml:space="preserve"> </w:t>
      </w:r>
      <w:hyperlink r:id="rId1388">
        <w:r>
          <w:rPr>
            <w:rStyle w:val="Hyperlink"/>
          </w:rPr>
          <w:t xml:space="preserve">10.1086/258609</w:t>
        </w:r>
      </w:hyperlink>
    </w:p>
    <w:p>
      <w:pPr>
        <w:pStyle w:val="BlockText"/>
      </w:pPr>
      <w:r>
        <w:rPr>
          <w:b/>
          <w:bCs/>
        </w:rPr>
        <w:t xml:space="preserve">Contexto:</w:t>
      </w:r>
      <w:r>
        <w:t xml:space="preserve"> </w:t>
      </w:r>
      <w:r>
        <w:t xml:space="preserve">Este é o artigo fundador da economia experimental moderna. Smith queria testar se o mecanismo de leilão de dupla — em que compradores e vendedores submetem lances e ofertas simultaneamente — produzia convergência ao equilíbrio competitivo previsto pela teoria neoclássica, mesmo com poucos participantes e informação limitada.</w:t>
      </w:r>
    </w:p>
    <w:p>
      <w:pPr>
        <w:pStyle w:val="BlockText"/>
      </w:pPr>
      <w:r>
        <w:rPr>
          <w:b/>
          <w:bCs/>
        </w:rPr>
        <w:t xml:space="preserve">Método:</w:t>
      </w:r>
      <w:r>
        <w:t xml:space="preserve"> </w:t>
      </w:r>
      <w:r>
        <w:t xml:space="preserve">Experimento de laboratório com valor induzido. Smith atribuiu valores de resgate a compradores e custos de produção a vendedores, criando curvas de oferta e demanda conhecidas. Os participantes negociaram em um mecanismo de leilão de dupla por várias rodadas.</w:t>
      </w:r>
    </w:p>
    <w:p>
      <w:pPr>
        <w:pStyle w:val="BlockText"/>
      </w:pPr>
      <w:r>
        <w:rPr>
          <w:b/>
          <w:bCs/>
        </w:rPr>
        <w:t xml:space="preserve">Resultado principal:</w:t>
      </w:r>
      <w:r>
        <w:t xml:space="preserve"> </w:t>
      </w:r>
      <w:r>
        <w:t xml:space="preserve">Mesmo com apenas 5 compradores e 5 vendedores, os preços convergiram para o equilíbrio competitivo em 3–5 rodadas, com eficiência de mercado acima de 95%. O resultado surpreendeu porque a teoria de equilíbrio competitivo pressupõe um grande número de agentes — mas o mecanismo de dupla ponta produzia convergência mesmo com poucos.</w:t>
      </w:r>
    </w:p>
    <w:p>
      <w:pPr>
        <w:pStyle w:val="BlockText"/>
      </w:pPr>
      <w:r>
        <w:rPr>
          <w:b/>
          <w:bCs/>
        </w:rPr>
        <w:t xml:space="preserve">Impacto:</w:t>
      </w:r>
      <w:r>
        <w:t xml:space="preserve"> </w:t>
      </w:r>
      <w:r>
        <w:t xml:space="preserve">O artigo estabeleceu os princípios metodológicos da economia experimental (valor induzido, incentivos reais, replicação) e demonstrou que a</w:t>
      </w:r>
      <w:r>
        <w:t xml:space="preserve"> </w:t>
      </w:r>
      <w:r>
        <w:t xml:space="preserve">“mão invisível”</w:t>
      </w:r>
      <w:r>
        <w:t xml:space="preserve"> </w:t>
      </w:r>
      <w:r>
        <w:t xml:space="preserve">funciona em laboratório. Contribuiu diretamente para o Nobel de Smith em 2002.</w:t>
      </w:r>
    </w:p>
    <w:p>
      <w:pPr>
        <w:pStyle w:val="BlockText"/>
      </w:pPr>
      <w:r>
        <w:rPr>
          <w:b/>
          <w:bCs/>
        </w:rPr>
        <w:t xml:space="preserve">Conexão com o capítulo:</w:t>
      </w:r>
      <w:r>
        <w:t xml:space="preserve"> </w:t>
      </w:r>
      <w:r>
        <w:t xml:space="preserve">Seção 22.2 (leilão de dupla, teoria do valor induzido, equações 22.2–22.3).</w:t>
      </w:r>
    </w:p>
    <w:p>
      <w:pPr>
        <w:pStyle w:val="BlockText"/>
      </w:pPr>
      <w:r>
        <w:rPr>
          <w:b/>
          <w:bCs/>
        </w:rPr>
        <w:t xml:space="preserve">[PESQUISA EM ACAO] Paper 2 — Harrison, G. W.; List, J. A. (2004). Field Experiments</w:t>
      </w:r>
    </w:p>
    <w:p>
      <w:pPr>
        <w:pStyle w:val="BlockText"/>
      </w:pPr>
      <w:r>
        <w:rPr>
          <w:b/>
          <w:bCs/>
        </w:rPr>
        <w:t xml:space="preserve">Referência:</w:t>
      </w:r>
      <w:r>
        <w:t xml:space="preserve"> </w:t>
      </w:r>
      <w:r>
        <w:t xml:space="preserve">Harrison, G. W.; List, J. A. (2004). Field Experiments.</w:t>
      </w:r>
      <w:r>
        <w:t xml:space="preserve"> </w:t>
      </w:r>
      <w:r>
        <w:rPr>
          <w:i/>
          <w:iCs/>
        </w:rPr>
        <w:t xml:space="preserve">Journal of Economic Literature</w:t>
      </w:r>
      <w:r>
        <w:t xml:space="preserve">, 42(4), 1009–1055. DOI:</w:t>
      </w:r>
      <w:r>
        <w:t xml:space="preserve"> </w:t>
      </w:r>
      <w:hyperlink r:id="rId1389">
        <w:r>
          <w:rPr>
            <w:rStyle w:val="Hyperlink"/>
          </w:rPr>
          <w:t xml:space="preserve">10.1257/0022051043004577</w:t>
        </w:r>
      </w:hyperlink>
    </w:p>
    <w:p>
      <w:pPr>
        <w:pStyle w:val="BlockText"/>
      </w:pPr>
      <w:r>
        <w:rPr>
          <w:b/>
          <w:bCs/>
        </w:rPr>
        <w:t xml:space="preserve">Contexto:</w:t>
      </w:r>
      <w:r>
        <w:t xml:space="preserve"> </w:t>
      </w:r>
      <w:r>
        <w:t xml:space="preserve">Este survey influente propôs uma taxonomia dos experimentos econômicos, classificando-os em um espectro entre laboratório puro e campo puro, com base em seis dimensões (amostra, informação, bem, tarefa, ambiente, apostas).</w:t>
      </w:r>
    </w:p>
    <w:p>
      <w:pPr>
        <w:pStyle w:val="BlockText"/>
      </w:pPr>
      <w:r>
        <w:rPr>
          <w:b/>
          <w:bCs/>
        </w:rPr>
        <w:t xml:space="preserve">Método:</w:t>
      </w:r>
      <w:r>
        <w:t xml:space="preserve"> </w:t>
      </w:r>
      <w:r>
        <w:t xml:space="preserve">Revisão da literatura teórica e empírica sobre experimentos de campo. Os autores argumentam que o movimento do laboratório para o campo aumenta a validade externa sem necessariamente sacrificar a validade interna, desde que o pesquisador mantenha controle sobre a aleatorização.</w:t>
      </w:r>
    </w:p>
    <w:p>
      <w:pPr>
        <w:pStyle w:val="BlockText"/>
      </w:pPr>
      <w:r>
        <w:rPr>
          <w:b/>
          <w:bCs/>
        </w:rPr>
        <w:t xml:space="preserve">Resultado principal:</w:t>
      </w:r>
      <w:r>
        <w:t xml:space="preserve"> </w:t>
      </w:r>
      <w:r>
        <w:t xml:space="preserve">A taxonomia distingue quatro tipos: lab convencional, lab artefactual, campo emoldurado e campo natural. O paper demonstra que muitos resultados de laboratório são sensíveis ao contexto — por exemplo, a cooperação em jogos de bens públicos varia entre estudantes e profissionais do campo.</w:t>
      </w:r>
    </w:p>
    <w:p>
      <w:pPr>
        <w:pStyle w:val="BlockText"/>
      </w:pPr>
      <w:r>
        <w:rPr>
          <w:b/>
          <w:bCs/>
        </w:rPr>
        <w:t xml:space="preserve">Impacto:</w:t>
      </w:r>
      <w:r>
        <w:t xml:space="preserve"> </w:t>
      </w:r>
      <w:r>
        <w:t xml:space="preserve">O paper definiu o vocabulário da área e motivou uma expansão massiva dos experimentos de campo nas duas décadas seguintes. A distinção entre</w:t>
      </w:r>
      <w:r>
        <w:t xml:space="preserve"> </w:t>
      </w:r>
      <w:r>
        <w:t xml:space="preserve">“campo emoldurado”</w:t>
      </w:r>
      <w:r>
        <w:t xml:space="preserve"> </w:t>
      </w:r>
      <w:r>
        <w:t xml:space="preserve">e</w:t>
      </w:r>
      <w:r>
        <w:t xml:space="preserve"> </w:t>
      </w:r>
      <w:r>
        <w:t xml:space="preserve">“campo natural”</w:t>
      </w:r>
      <w:r>
        <w:t xml:space="preserve"> </w:t>
      </w:r>
      <w:r>
        <w:t xml:space="preserve">tornou-se padrão na literatura.</w:t>
      </w:r>
    </w:p>
    <w:p>
      <w:pPr>
        <w:pStyle w:val="BlockText"/>
      </w:pPr>
      <w:r>
        <w:rPr>
          <w:b/>
          <w:bCs/>
        </w:rPr>
        <w:t xml:space="preserve">Conexão com o capítulo:</w:t>
      </w:r>
      <w:r>
        <w:t xml:space="preserve"> </w:t>
      </w:r>
      <w:r>
        <w:t xml:space="preserve">Seção 22.3 (taxonomia de Harrison e List, tabela comparativa).</w:t>
      </w:r>
    </w:p>
    <w:p>
      <w:pPr>
        <w:pStyle w:val="BlockText"/>
      </w:pPr>
      <w:r>
        <w:rPr>
          <w:b/>
          <w:bCs/>
        </w:rPr>
        <w:t xml:space="preserve">[PESQUISA EM ACAO] Paper 3 — Banerjee, A.; Duflo, E.; Glennerster, R.; Kothari, D. (2010). Improving Immunisation Coverage in Rural India</w:t>
      </w:r>
    </w:p>
    <w:p>
      <w:pPr>
        <w:pStyle w:val="BlockText"/>
      </w:pPr>
      <w:r>
        <w:rPr>
          <w:b/>
          <w:bCs/>
        </w:rPr>
        <w:t xml:space="preserve">Referência:</w:t>
      </w:r>
      <w:r>
        <w:t xml:space="preserve"> </w:t>
      </w:r>
      <w:r>
        <w:t xml:space="preserve">Banerjee, A.; Duflo, E.; Glennerster, R.; Kothari, D. (2010). Improving Immunisation Coverage in Rural India: Clustered Randomised Controlled Evaluation of Immunisation Campaigns with and without Incentives.</w:t>
      </w:r>
      <w:r>
        <w:t xml:space="preserve"> </w:t>
      </w:r>
      <w:r>
        <w:rPr>
          <w:i/>
          <w:iCs/>
        </w:rPr>
        <w:t xml:space="preserve">BMJ</w:t>
      </w:r>
      <w:r>
        <w:t xml:space="preserve">, 340, c2220. DOI:</w:t>
      </w:r>
      <w:r>
        <w:t xml:space="preserve"> </w:t>
      </w:r>
      <w:hyperlink r:id="rId1390">
        <w:r>
          <w:rPr>
            <w:rStyle w:val="Hyperlink"/>
          </w:rPr>
          <w:t xml:space="preserve">10.1136/bmj.c2220</w:t>
        </w:r>
      </w:hyperlink>
    </w:p>
    <w:p>
      <w:pPr>
        <w:pStyle w:val="BlockText"/>
      </w:pPr>
      <w:r>
        <w:rPr>
          <w:b/>
          <w:bCs/>
        </w:rPr>
        <w:t xml:space="preserve">Contexto:</w:t>
      </w:r>
      <w:r>
        <w:t xml:space="preserve"> </w:t>
      </w:r>
      <w:r>
        <w:t xml:space="preserve">A vacinação infantil na Índia rural tinha taxas muito baixas (menos de 5% de imunização completa em Rajasthan), apesar de as vacinas serem gratuitas. O estudo testou se a presença regular de equipes de vacinação (redução de custos de transação) e incentivos materiais (1 kg de lentilhas por vacinação) poderiam aumentar a cobertura.</w:t>
      </w:r>
    </w:p>
    <w:p>
      <w:pPr>
        <w:pStyle w:val="BlockText"/>
      </w:pPr>
      <w:r>
        <w:rPr>
          <w:b/>
          <w:bCs/>
        </w:rPr>
        <w:t xml:space="preserve">Método:</w:t>
      </w:r>
      <w:r>
        <w:t xml:space="preserve"> </w:t>
      </w:r>
      <w:r>
        <w:t xml:space="preserve">RCT com três braços: (i) controle (situação base), (ii) campos de vacinação regulares sem incentivo, (iii) campos regulares com incentivo (lentilhas). A randomização foi feita no nível de vilas (</w:t>
      </w:r>
      <w:r>
        <w:rPr>
          <w:i/>
          <w:iCs/>
        </w:rPr>
        <w:t xml:space="preserve">cluster randomization</w:t>
      </w:r>
      <w:r>
        <w:t xml:space="preserve">).</w:t>
      </w:r>
    </w:p>
    <w:p>
      <w:pPr>
        <w:pStyle w:val="BlockText"/>
      </w:pPr>
      <w:r>
        <w:rPr>
          <w:b/>
          <w:bCs/>
        </w:rPr>
        <w:t xml:space="preserve">Resultado principal:</w:t>
      </w:r>
      <w:r>
        <w:t xml:space="preserve"> </w:t>
      </w:r>
      <w:r>
        <w:t xml:space="preserve">A combinação de campos regulares com incentivos aumentou a taxa de imunização completa de 6% para 39% — um efeito massivo. Campos regulares sem incentivo tiveram efeito menor (18%). Crucialmente, o custo por vacinação completa</w:t>
      </w:r>
      <w:r>
        <w:t xml:space="preserve"> </w:t>
      </w:r>
      <w:r>
        <w:rPr>
          <w:i/>
          <w:iCs/>
        </w:rPr>
        <w:t xml:space="preserve">caiu</w:t>
      </w:r>
      <w:r>
        <w:t xml:space="preserve"> </w:t>
      </w:r>
      <w:r>
        <w:t xml:space="preserve">com o incentivo (de US$ 56 para US$ 28), porque o aumento na demanda diluiu os custos fixos de operação.</w:t>
      </w:r>
    </w:p>
    <w:p>
      <w:pPr>
        <w:pStyle w:val="BlockText"/>
      </w:pPr>
      <w:r>
        <w:rPr>
          <w:b/>
          <w:bCs/>
        </w:rPr>
        <w:t xml:space="preserve">Impacto:</w:t>
      </w:r>
      <w:r>
        <w:t xml:space="preserve"> </w:t>
      </w:r>
      <w:r>
        <w:t xml:space="preserve">O estudo demonstrou que barreiras comportamentais (procrastinação, custos de transação) podem ser mais importantes que barreiras financeiras na adoção de saúde preventiva. Influenciou programas de vacinação na Índia e em outros países.</w:t>
      </w:r>
    </w:p>
    <w:p>
      <w:pPr>
        <w:pStyle w:val="BlockText"/>
      </w:pPr>
      <w:r>
        <w:rPr>
          <w:b/>
          <w:bCs/>
        </w:rPr>
        <w:t xml:space="preserve">Conexão com o capítulo:</w:t>
      </w:r>
      <w:r>
        <w:t xml:space="preserve"> </w:t>
      </w:r>
      <w:r>
        <w:t xml:space="preserve">Seções 22.4 (RCT em desenvolvimento, Nobel 2019) e conexão com Capítulo 8 (vieses comportamentais).</w:t>
      </w:r>
    </w:p>
    <w:p>
      <w:pPr>
        <w:pStyle w:val="BlockText"/>
      </w:pPr>
      <w:r>
        <w:rPr>
          <w:b/>
          <w:bCs/>
        </w:rPr>
        <w:t xml:space="preserve">[PESQUISA EM ACAO] Paper 4 — Camerer, C. F. et al. (2016). Evaluating Replicability of Laboratory Experiments in Economics</w:t>
      </w:r>
    </w:p>
    <w:p>
      <w:pPr>
        <w:pStyle w:val="BlockText"/>
      </w:pPr>
      <w:r>
        <w:rPr>
          <w:b/>
          <w:bCs/>
        </w:rPr>
        <w:t xml:space="preserve">Referência:</w:t>
      </w:r>
      <w:r>
        <w:t xml:space="preserve"> </w:t>
      </w:r>
      <w:r>
        <w:t xml:space="preserve">Camerer, C. F. et al. (2016). Evaluating Replicability of Laboratory Experiments in Economics.</w:t>
      </w:r>
      <w:r>
        <w:t xml:space="preserve"> </w:t>
      </w:r>
      <w:r>
        <w:rPr>
          <w:i/>
          <w:iCs/>
        </w:rPr>
        <w:t xml:space="preserve">Science</w:t>
      </w:r>
      <w:r>
        <w:t xml:space="preserve">, 351(6280), 1433–1436. DOI:</w:t>
      </w:r>
      <w:r>
        <w:t xml:space="preserve"> </w:t>
      </w:r>
      <w:hyperlink r:id="rId1391">
        <w:r>
          <w:rPr>
            <w:rStyle w:val="Hyperlink"/>
          </w:rPr>
          <w:t xml:space="preserve">10.1126/science.aaf0918</w:t>
        </w:r>
      </w:hyperlink>
    </w:p>
    <w:p>
      <w:pPr>
        <w:pStyle w:val="BlockText"/>
      </w:pPr>
      <w:r>
        <w:rPr>
          <w:b/>
          <w:bCs/>
        </w:rPr>
        <w:t xml:space="preserve">Contexto:</w:t>
      </w:r>
      <w:r>
        <w:t xml:space="preserve"> </w:t>
      </w:r>
      <w:r>
        <w:t xml:space="preserve">Inspirado pelo projeto de replicação em psicologia (Open Science Collaboration, 2015), este estudo tentou replicar 18 experimentos de laboratório publicados na AER e QJE entre 2011 e 2014.</w:t>
      </w:r>
    </w:p>
    <w:p>
      <w:pPr>
        <w:pStyle w:val="BlockText"/>
      </w:pPr>
      <w:r>
        <w:rPr>
          <w:b/>
          <w:bCs/>
        </w:rPr>
        <w:t xml:space="preserve">Método:</w:t>
      </w:r>
      <w:r>
        <w:t xml:space="preserve"> </w:t>
      </w:r>
      <w:r>
        <w:t xml:space="preserve">Os autores replicaram cada estudo com amostras consideravelmente maiores (em média 5x o tamanho original) e seguiram protocolos pré-registrados. Os resultados foram comparados com os estudos originais em termos de significância estatística, magnitude do efeito e direção.</w:t>
      </w:r>
    </w:p>
    <w:p>
      <w:pPr>
        <w:pStyle w:val="BlockText"/>
      </w:pPr>
      <w:r>
        <w:rPr>
          <w:b/>
          <w:bCs/>
        </w:rPr>
        <w:t xml:space="preserve">Resultado principal:</w:t>
      </w:r>
      <w:r>
        <w:t xml:space="preserve"> </w:t>
      </w:r>
      <w:r>
        <w:t xml:space="preserve">11 dos 18 estudos (61%) replicaram com sucesso (efeito significativo na mesma direção). Os efeitos replicados eram em média 66% do tamanho original. Estudos com p-valores originais mais baixos e efeitos maiores tinham maior probabilidade de replicação.</w:t>
      </w:r>
    </w:p>
    <w:p>
      <w:pPr>
        <w:pStyle w:val="BlockText"/>
      </w:pPr>
      <w:r>
        <w:rPr>
          <w:b/>
          <w:bCs/>
        </w:rPr>
        <w:t xml:space="preserve">Impacto:</w:t>
      </w:r>
      <w:r>
        <w:t xml:space="preserve"> </w:t>
      </w:r>
      <w:r>
        <w:t xml:space="preserve">O paper catalisou mudanças institucionais significativas: pré-registro obrigatório, compartilhamento de dados, relatórios registrados. A taxa de 61% é melhor que em psicologia (36%), mas motivou autocrítica na profissão.</w:t>
      </w:r>
    </w:p>
    <w:p>
      <w:pPr>
        <w:pStyle w:val="BlockText"/>
      </w:pPr>
      <w:r>
        <w:rPr>
          <w:b/>
          <w:bCs/>
        </w:rPr>
        <w:t xml:space="preserve">Conexão com o capítulo:</w:t>
      </w:r>
      <w:r>
        <w:t xml:space="preserve"> </w:t>
      </w:r>
      <w:r>
        <w:t xml:space="preserve">Seções 22.7.1 (crise de replicação) e Box Mundo 22.2.</w:t>
      </w:r>
    </w:p>
    <w:p>
      <w:pPr>
        <w:pStyle w:val="BlockText"/>
      </w:pPr>
      <w:r>
        <w:rPr>
          <w:b/>
          <w:bCs/>
        </w:rPr>
        <w:t xml:space="preserve">[PESQUISA EM ACAO] Paper 5 — Card, D.; Krueger, A. B. (1994). Minimum Wages and Employment</w:t>
      </w:r>
    </w:p>
    <w:p>
      <w:pPr>
        <w:pStyle w:val="BlockText"/>
      </w:pPr>
      <w:r>
        <w:rPr>
          <w:b/>
          <w:bCs/>
        </w:rPr>
        <w:t xml:space="preserve">Referência:</w:t>
      </w:r>
      <w:r>
        <w:t xml:space="preserve"> </w:t>
      </w:r>
      <w:r>
        <w:t xml:space="preserve">Card, D.; Krueger, A. B. (1994). Minimum Wages and Employment: A Case Study of the Fast-Food Industry in New Jersey and Pennsylvania.</w:t>
      </w:r>
      <w:r>
        <w:t xml:space="preserve"> </w:t>
      </w:r>
      <w:r>
        <w:rPr>
          <w:i/>
          <w:iCs/>
        </w:rPr>
        <w:t xml:space="preserve">American Economic Review</w:t>
      </w:r>
      <w:r>
        <w:t xml:space="preserve">, 84(4), 772–793.</w:t>
      </w:r>
    </w:p>
    <w:p>
      <w:pPr>
        <w:pStyle w:val="BlockText"/>
      </w:pPr>
      <w:r>
        <w:rPr>
          <w:b/>
          <w:bCs/>
        </w:rPr>
        <w:t xml:space="preserve">Contexto:</w:t>
      </w:r>
      <w:r>
        <w:t xml:space="preserve"> </w:t>
      </w:r>
      <w:r>
        <w:t xml:space="preserve">O debate sobre os efeitos do salário mínimo sobre o emprego é um dos mais antigos e controversos da economia do trabalho. A teoria neoclássica padrão prevê que um salário mínimo acima do equilíbrio reduz o emprego. Card e Krueger usaram um experimento natural para testar essa previsão.</w:t>
      </w:r>
    </w:p>
    <w:p>
      <w:pPr>
        <w:pStyle w:val="BlockText"/>
      </w:pPr>
      <w:r>
        <w:rPr>
          <w:b/>
          <w:bCs/>
        </w:rPr>
        <w:t xml:space="preserve">Método:</w:t>
      </w:r>
      <w:r>
        <w:t xml:space="preserve"> </w:t>
      </w:r>
      <w:r>
        <w:t xml:space="preserve">Diferenças-em-diferenças. O tratamento foi o aumento do salário mínimo em New Jersey (de US$ 4,25 para US$ 5,05 em abril de 1992). O controle foi a Pensilvânia oriental (sem mudança no salário mínimo). Dados de 410 restaurantes fast food foram coletados antes e depois do aumento.</w:t>
      </w:r>
    </w:p>
    <w:p>
      <w:pPr>
        <w:pStyle w:val="BlockText"/>
      </w:pPr>
      <w:r>
        <w:rPr>
          <w:b/>
          <w:bCs/>
        </w:rPr>
        <w:t xml:space="preserve">Resultado principal:</w:t>
      </w:r>
      <w:r>
        <w:t xml:space="preserve"> </w:t>
      </w:r>
      <w:r>
        <w:t xml:space="preserve">O aumento do salário mínimo não reduziu o emprego — na verdade, o emprego em NJ cresceu relativamente a PA (DD = +2,76 empregos por restaurante). O resultado é consistente com modelos de monopsônio (poder de mercado do empregador) em que o salário mínimo pode aumentar tanto emprego quanto salários.</w:t>
      </w:r>
    </w:p>
    <w:p>
      <w:pPr>
        <w:pStyle w:val="BlockText"/>
      </w:pPr>
      <w:r>
        <w:rPr>
          <w:b/>
          <w:bCs/>
        </w:rPr>
        <w:t xml:space="preserve">Impacto:</w:t>
      </w:r>
      <w:r>
        <w:t xml:space="preserve"> </w:t>
      </w:r>
      <w:r>
        <w:t xml:space="preserve">O paper transformou o debate sobre salário mínimo e é considerado um marco da</w:t>
      </w:r>
      <w:r>
        <w:t xml:space="preserve"> </w:t>
      </w:r>
      <w:r>
        <w:t xml:space="preserve">“revolução da credibilidade”</w:t>
      </w:r>
      <w:r>
        <w:t xml:space="preserve">. Contribuiu diretamente para o Nobel de Card em 2021. A metodologia de DiD tornou-se padrão na economia do trabalho.</w:t>
      </w:r>
    </w:p>
    <w:p>
      <w:pPr>
        <w:pStyle w:val="BlockText"/>
      </w:pPr>
      <w:r>
        <w:rPr>
          <w:b/>
          <w:bCs/>
        </w:rPr>
        <w:t xml:space="preserve">Conexão com o capítulo:</w:t>
      </w:r>
      <w:r>
        <w:t xml:space="preserve"> </w:t>
      </w:r>
      <w:r>
        <w:t xml:space="preserve">Seção 22.5.2 (diferenças-em-diferenças, equação 22.10) e conexão com Capítulo 17 (monopsônio).</w:t>
      </w:r>
    </w:p>
    <w:p>
      <w:pPr>
        <w:pStyle w:val="BlockText"/>
      </w:pPr>
      <w:r>
        <w:rPr>
          <w:b/>
          <w:bCs/>
        </w:rPr>
        <w:t xml:space="preserve">[PESQUISA EM ACAO] Paper 6 — Athey, S.; Imbens, G. W. (2022). Design-based Analysis in Difference-In-Differences Settings with Staggered Adoption</w:t>
      </w:r>
    </w:p>
    <w:p>
      <w:pPr>
        <w:pStyle w:val="BlockText"/>
      </w:pPr>
      <w:r>
        <w:rPr>
          <w:b/>
          <w:bCs/>
        </w:rPr>
        <w:t xml:space="preserve">Referência:</w:t>
      </w:r>
      <w:r>
        <w:t xml:space="preserve"> </w:t>
      </w:r>
      <w:r>
        <w:t xml:space="preserve">Athey, S.; Imbens, G. W. (2022). Design-based Analysis in Difference-In-Differences Settings with Staggered Adoption.</w:t>
      </w:r>
      <w:r>
        <w:t xml:space="preserve"> </w:t>
      </w:r>
      <w:r>
        <w:rPr>
          <w:i/>
          <w:iCs/>
        </w:rPr>
        <w:t xml:space="preserve">Journal of Econometrics</w:t>
      </w:r>
      <w:r>
        <w:t xml:space="preserve">, 226(1), 62–79. DOI:</w:t>
      </w:r>
      <w:r>
        <w:t xml:space="preserve"> </w:t>
      </w:r>
      <w:hyperlink r:id="rId1392">
        <w:r>
          <w:rPr>
            <w:rStyle w:val="Hyperlink"/>
          </w:rPr>
          <w:t xml:space="preserve">10.1016/j.jeconom.2020.10.012</w:t>
        </w:r>
      </w:hyperlink>
    </w:p>
    <w:p>
      <w:pPr>
        <w:pStyle w:val="BlockText"/>
      </w:pPr>
      <w:r>
        <w:rPr>
          <w:b/>
          <w:bCs/>
        </w:rPr>
        <w:t xml:space="preserve">Contexto:</w:t>
      </w:r>
      <w:r>
        <w:t xml:space="preserve"> </w:t>
      </w:r>
      <w:r>
        <w:t xml:space="preserve">A maioria das aplicações de diferenças-em-diferenças na prática envolve</w:t>
      </w:r>
      <w:r>
        <w:t xml:space="preserve"> </w:t>
      </w:r>
      <w:r>
        <w:rPr>
          <w:b/>
          <w:bCs/>
        </w:rPr>
        <w:t xml:space="preserve">adoção escalonada</w:t>
      </w:r>
      <w:r>
        <w:t xml:space="preserve"> </w:t>
      </w:r>
      <w:r>
        <w:t xml:space="preserve">(</w:t>
      </w:r>
      <w:r>
        <w:rPr>
          <w:i/>
          <w:iCs/>
        </w:rPr>
        <w:t xml:space="preserve">staggered adoption</w:t>
      </w:r>
      <w:r>
        <w:t xml:space="preserve">): diferentes unidades adotam o tratamento em momentos diferentes. Os estimadores tradicionais de DD com efeitos fixos de unidade e tempo podem produzir estimativas enviesadas quando os efeitos do tratamento são heterogêneos — um problema que só ganhou atenção na literatura recente.</w:t>
      </w:r>
    </w:p>
    <w:p>
      <w:pPr>
        <w:pStyle w:val="BlockText"/>
      </w:pPr>
      <w:r>
        <w:rPr>
          <w:b/>
          <w:bCs/>
        </w:rPr>
        <w:t xml:space="preserve">Método:</w:t>
      </w:r>
      <w:r>
        <w:t xml:space="preserve"> </w:t>
      </w:r>
      <w:r>
        <w:t xml:space="preserve">Athey e Imbens adotam uma perspectiva de</w:t>
      </w:r>
      <w:r>
        <w:t xml:space="preserve"> </w:t>
      </w:r>
      <w:r>
        <w:rPr>
          <w:b/>
          <w:bCs/>
        </w:rPr>
        <w:t xml:space="preserve">desenho</w:t>
      </w:r>
      <w:r>
        <w:t xml:space="preserve"> </w:t>
      </w:r>
      <w:r>
        <w:t xml:space="preserve">(</w:t>
      </w:r>
      <w:r>
        <w:rPr>
          <w:i/>
          <w:iCs/>
        </w:rPr>
        <w:t xml:space="preserve">design-based</w:t>
      </w:r>
      <w:r>
        <w:t xml:space="preserve">), analisando as propriedades dos estimadores condicionais ao mecanismo de atribuição do tratamento (em vez de depender de modelos para os resultados potenciais). Eles mostram que, sob atribuição aleatória da data de adoção, o estimador DD convencional é não-enviesado para uma média ponderada específica de efeitos causais — mas os pesos podem ser negativos quando os efeitos são heterogêneos.</w:t>
      </w:r>
    </w:p>
    <w:p>
      <w:pPr>
        <w:pStyle w:val="BlockText"/>
      </w:pPr>
      <w:r>
        <w:rPr>
          <w:b/>
          <w:bCs/>
        </w:rPr>
        <w:t xml:space="preserve">Resultado principal:</w:t>
      </w:r>
      <w:r>
        <w:t xml:space="preserve"> </w:t>
      </w:r>
      <w:r>
        <w:t xml:space="preserve">Quando os efeitos do tratamento variam entre unidades ou ao longo do tempo, o estimador DD com TWFE (two-way fixed effects) pode atribuir</w:t>
      </w:r>
      <w:r>
        <w:t xml:space="preserve"> </w:t>
      </w:r>
      <w:r>
        <w:rPr>
          <w:b/>
          <w:bCs/>
        </w:rPr>
        <w:t xml:space="preserve">pesos negativos</w:t>
      </w:r>
      <w:r>
        <w:t xml:space="preserve"> </w:t>
      </w:r>
      <w:r>
        <w:t xml:space="preserve">a certos efeitos causais, gerando estimativas que não representam nenhuma média causal interpretável. Os autores propõem estimadores alternativos com pesos não-negativos que são robustos à heterogeneidade.</w:t>
      </w:r>
    </w:p>
    <w:p>
      <w:pPr>
        <w:pStyle w:val="BlockText"/>
      </w:pPr>
      <w:r>
        <w:rPr>
          <w:b/>
          <w:bCs/>
        </w:rPr>
        <w:t xml:space="preserve">Impacto:</w:t>
      </w:r>
      <w:r>
        <w:t xml:space="preserve"> </w:t>
      </w:r>
      <w:r>
        <w:t xml:space="preserve">Este paper, junto com Goodman-Bacon (2021), de Chaisemartin &amp; D’Haultfoeuille (2020) e Callaway &amp; Sant’Anna (2021), inaugurou uma revisão profunda da prática de DD. Muitos estudos empíricos publicados antes de 2020 estão sendo reavaliados com os novos estimadores. A contribuição é metodológica e com implicações práticas diretas para a avaliação de políticas públicas com adoção escalonada (expansão do Bolsa Família, adesão de municípios a programas federais, etc.).</w:t>
      </w:r>
    </w:p>
    <w:p>
      <w:pPr>
        <w:pStyle w:val="BlockText"/>
      </w:pPr>
      <w:r>
        <w:rPr>
          <w:b/>
          <w:bCs/>
        </w:rPr>
        <w:t xml:space="preserve">Conexão com o capítulo:</w:t>
      </w:r>
      <w:r>
        <w:t xml:space="preserve"> </w:t>
      </w:r>
      <w:r>
        <w:t xml:space="preserve">Seção 22.5 (diferenças-em-diferenças) — complementa o tratamento clássico de Card e Krueger com a fronteira metodológica.</w:t>
      </w:r>
    </w:p>
    <w:p>
      <w:r>
        <w:pict>
          <v:rect style="width:0;height:1.5pt" o:hralign="center" o:hrstd="t" o:hr="t"/>
        </w:pict>
      </w:r>
    </w:p>
    <w:p>
      <w:pPr>
        <w:pStyle w:val="BlockText"/>
      </w:pPr>
      <w:r>
        <w:rPr>
          <w:b/>
          <w:bCs/>
        </w:rPr>
        <w:t xml:space="preserve">[DICA] Exercício com Inteligência Artificial</w:t>
      </w:r>
    </w:p>
    <w:p>
      <w:pPr>
        <w:pStyle w:val="BlockText"/>
      </w:pPr>
      <w:r>
        <w:rPr>
          <w:b/>
          <w:bCs/>
        </w:rPr>
        <w:t xml:space="preserve">Prompt sugerido para ChatGPT/Claude:</w:t>
      </w:r>
      <w:r>
        <w:t xml:space="preserve"> </w:t>
      </w:r>
      <w:r>
        <w:rPr>
          <w:i/>
          <w:iCs/>
        </w:rPr>
        <w:t xml:space="preserve">“Simule um jogo de bens públicos com N=10 jogadores, dotação w=20 e fator de multiplicação α=2,0. Cada jogador escolhe quanto contribuir g_i ∈ [0, 20]. Simule 20 rodadas com três cenários: (a) jogadores puramente egoístas (Nash), (b) jogadores com reciprocidade condicional (contribuem a média das contribuições da rodada anterior), (c) jogadores com punição altruísta (podem gastar 1 para reduzir o payoff de um carona em 3). Plote as contribuições médias ao longo das rodadas para os três cenários. Compare com os dados experimentais de Fehr e Gächter (2000).”</w:t>
      </w:r>
    </w:p>
    <w:p>
      <w:pPr>
        <w:pStyle w:val="BlockText"/>
      </w:pPr>
      <w:r>
        <w:rPr>
          <w:b/>
          <w:bCs/>
        </w:rPr>
        <w:t xml:space="preserve">Objetivo pedagógico:</w:t>
      </w:r>
      <w:r>
        <w:t xml:space="preserve"> </w:t>
      </w:r>
      <w:r>
        <w:t xml:space="preserve">visualizar a dinâmica do jogo de bens públicos ao longo do tempo, comparando o equilíbrio de Nash estático com comportamentos motivados por reciprocidade e punição, e conectar com a evidência experimental discutida na Seção 22.2.3.</w:t>
      </w:r>
    </w:p>
    <w:p>
      <w:r>
        <w:pict>
          <v:rect style="width:0;height:1.5pt" o:hralign="center" o:hrstd="t" o:hr="t"/>
        </w:pict>
      </w:r>
    </w:p>
    <w:bookmarkStart w:id="1393" w:name="referências-4"/>
    <w:p>
      <w:pPr>
        <w:pStyle w:val="Heading3"/>
      </w:pPr>
      <w:r>
        <w:t xml:space="preserve">Referências</w:t>
      </w:r>
    </w:p>
    <w:p>
      <w:pPr>
        <w:pStyle w:val="Compact"/>
        <w:numPr>
          <w:ilvl w:val="0"/>
          <w:numId w:val="2242"/>
        </w:numPr>
      </w:pPr>
      <w:r>
        <w:t xml:space="preserve">Athey, S.; Imbens, G. W. (2022). Design-based Analysis in Difference-In-Differences Settings with Staggered Adoption.</w:t>
      </w:r>
      <w:r>
        <w:t xml:space="preserve"> </w:t>
      </w:r>
      <w:r>
        <w:rPr>
          <w:i/>
          <w:iCs/>
        </w:rPr>
        <w:t xml:space="preserve">Journal of Econometrics</w:t>
      </w:r>
      <w:r>
        <w:t xml:space="preserve">, 226(1), 62–79.</w:t>
      </w:r>
    </w:p>
    <w:p>
      <w:pPr>
        <w:pStyle w:val="Compact"/>
        <w:numPr>
          <w:ilvl w:val="0"/>
          <w:numId w:val="2242"/>
        </w:numPr>
      </w:pPr>
      <w:r>
        <w:t xml:space="preserve">Angrist, J. D.; Krueger, A. B. (1991). Does Compulsory School Attendance Affect Schooling and Earnings?</w:t>
      </w:r>
      <w:r>
        <w:t xml:space="preserve"> </w:t>
      </w:r>
      <w:r>
        <w:rPr>
          <w:i/>
          <w:iCs/>
        </w:rPr>
        <w:t xml:space="preserve">Quarterly Journal of Economics</w:t>
      </w:r>
      <w:r>
        <w:t xml:space="preserve">, 106(4), 979–1014.</w:t>
      </w:r>
    </w:p>
    <w:p>
      <w:pPr>
        <w:pStyle w:val="Compact"/>
        <w:numPr>
          <w:ilvl w:val="0"/>
          <w:numId w:val="2242"/>
        </w:numPr>
      </w:pPr>
      <w:r>
        <w:t xml:space="preserve">Angrist, J. D.; Pischke, J.-S. (2009).</w:t>
      </w:r>
      <w:r>
        <w:t xml:space="preserve"> </w:t>
      </w:r>
      <w:r>
        <w:rPr>
          <w:i/>
          <w:iCs/>
        </w:rPr>
        <w:t xml:space="preserve">Mostly Harmless Econometrics</w:t>
      </w:r>
      <w:r>
        <w:t xml:space="preserve">. Princeton University Press.</w:t>
      </w:r>
    </w:p>
    <w:p>
      <w:pPr>
        <w:pStyle w:val="Compact"/>
        <w:numPr>
          <w:ilvl w:val="0"/>
          <w:numId w:val="2242"/>
        </w:numPr>
      </w:pPr>
      <w:r>
        <w:t xml:space="preserve">Banerjee, A.; Duflo, E. (2011).</w:t>
      </w:r>
      <w:r>
        <w:t xml:space="preserve"> </w:t>
      </w:r>
      <w:r>
        <w:rPr>
          <w:i/>
          <w:iCs/>
        </w:rPr>
        <w:t xml:space="preserve">Poor Economics</w:t>
      </w:r>
      <w:r>
        <w:t xml:space="preserve">. PublicAffairs.</w:t>
      </w:r>
    </w:p>
    <w:p>
      <w:pPr>
        <w:pStyle w:val="Compact"/>
        <w:numPr>
          <w:ilvl w:val="0"/>
          <w:numId w:val="2242"/>
        </w:numPr>
      </w:pPr>
      <w:r>
        <w:t xml:space="preserve">Banerjee, A.; Duflo, E.; Glennerster, R.; Kothari, D. (2010). Improving Immunisation Coverage in Rural India.</w:t>
      </w:r>
      <w:r>
        <w:t xml:space="preserve"> </w:t>
      </w:r>
      <w:r>
        <w:rPr>
          <w:i/>
          <w:iCs/>
        </w:rPr>
        <w:t xml:space="preserve">BMJ</w:t>
      </w:r>
      <w:r>
        <w:t xml:space="preserve">, 340, c2220.</w:t>
      </w:r>
    </w:p>
    <w:p>
      <w:pPr>
        <w:pStyle w:val="Compact"/>
        <w:numPr>
          <w:ilvl w:val="0"/>
          <w:numId w:val="2242"/>
        </w:numPr>
      </w:pPr>
      <w:r>
        <w:t xml:space="preserve">Barbosa, A. L. N. H.; Corseuil, C. H. L. (2014). Bolsa Família, escolha ocupacional e informalidade no Brasil.</w:t>
      </w:r>
      <w:r>
        <w:t xml:space="preserve"> </w:t>
      </w:r>
      <w:r>
        <w:rPr>
          <w:i/>
          <w:iCs/>
        </w:rPr>
        <w:t xml:space="preserve">Texto para Discussão IPEA</w:t>
      </w:r>
      <w:r>
        <w:t xml:space="preserve">, 1948.</w:t>
      </w:r>
    </w:p>
    <w:p>
      <w:pPr>
        <w:pStyle w:val="Compact"/>
        <w:numPr>
          <w:ilvl w:val="0"/>
          <w:numId w:val="2242"/>
        </w:numPr>
      </w:pPr>
      <w:r>
        <w:t xml:space="preserve">Camerer, C. F. et al. (2016). Evaluating Replicability of Laboratory Experiments in Economics.</w:t>
      </w:r>
      <w:r>
        <w:t xml:space="preserve"> </w:t>
      </w:r>
      <w:r>
        <w:rPr>
          <w:i/>
          <w:iCs/>
        </w:rPr>
        <w:t xml:space="preserve">Science</w:t>
      </w:r>
      <w:r>
        <w:t xml:space="preserve">, 351(6280), 1433–1436.</w:t>
      </w:r>
    </w:p>
    <w:p>
      <w:pPr>
        <w:pStyle w:val="Compact"/>
        <w:numPr>
          <w:ilvl w:val="0"/>
          <w:numId w:val="2242"/>
        </w:numPr>
      </w:pPr>
      <w:r>
        <w:t xml:space="preserve">Card, D.; Krueger, A. B. (1994). Minimum Wages and Employment: A Case Study of the Fast-Food Industry in New Jersey and Pennsylvania.</w:t>
      </w:r>
      <w:r>
        <w:t xml:space="preserve"> </w:t>
      </w:r>
      <w:r>
        <w:rPr>
          <w:i/>
          <w:iCs/>
        </w:rPr>
        <w:t xml:space="preserve">American Economic Review</w:t>
      </w:r>
      <w:r>
        <w:t xml:space="preserve">, 84(4), 772–793.</w:t>
      </w:r>
    </w:p>
    <w:p>
      <w:pPr>
        <w:pStyle w:val="Compact"/>
        <w:numPr>
          <w:ilvl w:val="0"/>
          <w:numId w:val="2242"/>
        </w:numPr>
      </w:pPr>
      <w:r>
        <w:t xml:space="preserve">Chamberlin, E. H. (1948). An Experimental Imperfect Market.</w:t>
      </w:r>
      <w:r>
        <w:t xml:space="preserve"> </w:t>
      </w:r>
      <w:r>
        <w:rPr>
          <w:i/>
          <w:iCs/>
        </w:rPr>
        <w:t xml:space="preserve">Journal of Political Economy</w:t>
      </w:r>
      <w:r>
        <w:t xml:space="preserve">, 56(2), 95–108.</w:t>
      </w:r>
    </w:p>
    <w:p>
      <w:pPr>
        <w:pStyle w:val="Compact"/>
        <w:numPr>
          <w:ilvl w:val="0"/>
          <w:numId w:val="2242"/>
        </w:numPr>
      </w:pPr>
      <w:r>
        <w:t xml:space="preserve">Cunningham, S. (2021).</w:t>
      </w:r>
      <w:r>
        <w:t xml:space="preserve"> </w:t>
      </w:r>
      <w:r>
        <w:rPr>
          <w:i/>
          <w:iCs/>
        </w:rPr>
        <w:t xml:space="preserve">Causal Inference: The Mixtape</w:t>
      </w:r>
      <w:r>
        <w:t xml:space="preserve">. Yale University Press.</w:t>
      </w:r>
    </w:p>
    <w:p>
      <w:pPr>
        <w:pStyle w:val="Compact"/>
        <w:numPr>
          <w:ilvl w:val="0"/>
          <w:numId w:val="2242"/>
        </w:numPr>
      </w:pPr>
      <w:r>
        <w:t xml:space="preserve">De Brauw, A. et al. (2015). Bolsa Família and Household Labor Supply.</w:t>
      </w:r>
      <w:r>
        <w:t xml:space="preserve"> </w:t>
      </w:r>
      <w:r>
        <w:rPr>
          <w:i/>
          <w:iCs/>
        </w:rPr>
        <w:t xml:space="preserve">Economic Development and Cultural Change</w:t>
      </w:r>
      <w:r>
        <w:t xml:space="preserve">, 63(3), 423–457.</w:t>
      </w:r>
    </w:p>
    <w:p>
      <w:pPr>
        <w:pStyle w:val="Compact"/>
        <w:numPr>
          <w:ilvl w:val="0"/>
          <w:numId w:val="2242"/>
        </w:numPr>
      </w:pPr>
      <w:r>
        <w:t xml:space="preserve">Duflo, E.; Glennerster, R.; Kremer, M. (2007). Using Randomization in Development Economics Research: A Toolkit.</w:t>
      </w:r>
      <w:r>
        <w:t xml:space="preserve"> </w:t>
      </w:r>
      <w:r>
        <w:rPr>
          <w:i/>
          <w:iCs/>
        </w:rPr>
        <w:t xml:space="preserve">Handbook of Development Economics</w:t>
      </w:r>
      <w:r>
        <w:t xml:space="preserve">, 4, 3895–3962.</w:t>
      </w:r>
    </w:p>
    <w:p>
      <w:pPr>
        <w:pStyle w:val="Compact"/>
        <w:numPr>
          <w:ilvl w:val="0"/>
          <w:numId w:val="2242"/>
        </w:numPr>
      </w:pPr>
      <w:r>
        <w:t xml:space="preserve">Fehr, E.; Gächter, S. (2000). Cooperation and Punishment in Public Goods Experiments.</w:t>
      </w:r>
      <w:r>
        <w:t xml:space="preserve"> </w:t>
      </w:r>
      <w:r>
        <w:rPr>
          <w:i/>
          <w:iCs/>
        </w:rPr>
        <w:t xml:space="preserve">American Economic Review</w:t>
      </w:r>
      <w:r>
        <w:t xml:space="preserve">, 90(4), 980–994.</w:t>
      </w:r>
    </w:p>
    <w:p>
      <w:pPr>
        <w:pStyle w:val="Compact"/>
        <w:numPr>
          <w:ilvl w:val="0"/>
          <w:numId w:val="2242"/>
        </w:numPr>
      </w:pPr>
      <w:r>
        <w:t xml:space="preserve">Friedman, D.; Cassar, A. (2004).</w:t>
      </w:r>
      <w:r>
        <w:t xml:space="preserve"> </w:t>
      </w:r>
      <w:r>
        <w:rPr>
          <w:i/>
          <w:iCs/>
        </w:rPr>
        <w:t xml:space="preserve">Economics Lab: An Intensive Course in Experimental Economics</w:t>
      </w:r>
      <w:r>
        <w:t xml:space="preserve">. Routledge.</w:t>
      </w:r>
    </w:p>
    <w:p>
      <w:pPr>
        <w:pStyle w:val="Compact"/>
        <w:numPr>
          <w:ilvl w:val="0"/>
          <w:numId w:val="2242"/>
        </w:numPr>
      </w:pPr>
      <w:r>
        <w:t xml:space="preserve">Gneezy, U.; Rustichini, A. (2000). A Fine Is a Price.</w:t>
      </w:r>
      <w:r>
        <w:t xml:space="preserve"> </w:t>
      </w:r>
      <w:r>
        <w:rPr>
          <w:i/>
          <w:iCs/>
        </w:rPr>
        <w:t xml:space="preserve">Journal of Legal Studies</w:t>
      </w:r>
      <w:r>
        <w:t xml:space="preserve">, 29(1), 1–17.</w:t>
      </w:r>
    </w:p>
    <w:p>
      <w:pPr>
        <w:pStyle w:val="Compact"/>
        <w:numPr>
          <w:ilvl w:val="0"/>
          <w:numId w:val="2242"/>
        </w:numPr>
      </w:pPr>
      <w:r>
        <w:t xml:space="preserve">Güth, W.; Schmittberger, R.; Schwarze, B. (1982). An Experimental Analysis of Ultimatum Bargaining.</w:t>
      </w:r>
      <w:r>
        <w:t xml:space="preserve"> </w:t>
      </w:r>
      <w:r>
        <w:rPr>
          <w:i/>
          <w:iCs/>
        </w:rPr>
        <w:t xml:space="preserve">Journal of Economic Behavior &amp; Organization</w:t>
      </w:r>
      <w:r>
        <w:t xml:space="preserve">, 3(4), 367–388.</w:t>
      </w:r>
    </w:p>
    <w:p>
      <w:pPr>
        <w:pStyle w:val="Compact"/>
        <w:numPr>
          <w:ilvl w:val="0"/>
          <w:numId w:val="2242"/>
        </w:numPr>
      </w:pPr>
      <w:r>
        <w:t xml:space="preserve">Harrison, G. W.; List, J. A. (2004). Field Experiments.</w:t>
      </w:r>
      <w:r>
        <w:t xml:space="preserve"> </w:t>
      </w:r>
      <w:r>
        <w:rPr>
          <w:i/>
          <w:iCs/>
        </w:rPr>
        <w:t xml:space="preserve">Journal of Economic Literature</w:t>
      </w:r>
      <w:r>
        <w:t xml:space="preserve">, 42(4), 1009–1055.</w:t>
      </w:r>
    </w:p>
    <w:p>
      <w:pPr>
        <w:pStyle w:val="Compact"/>
        <w:numPr>
          <w:ilvl w:val="0"/>
          <w:numId w:val="2242"/>
        </w:numPr>
      </w:pPr>
      <w:r>
        <w:t xml:space="preserve">Holt, C. A. (2007).</w:t>
      </w:r>
      <w:r>
        <w:t xml:space="preserve"> </w:t>
      </w:r>
      <w:r>
        <w:rPr>
          <w:i/>
          <w:iCs/>
        </w:rPr>
        <w:t xml:space="preserve">Markets, Games, and Strategic Behavior</w:t>
      </w:r>
      <w:r>
        <w:t xml:space="preserve">. Pearson.</w:t>
      </w:r>
    </w:p>
    <w:p>
      <w:pPr>
        <w:pStyle w:val="Compact"/>
        <w:numPr>
          <w:ilvl w:val="0"/>
          <w:numId w:val="2242"/>
        </w:numPr>
      </w:pPr>
      <w:r>
        <w:t xml:space="preserve">Kagel, J. H.; Roth, A. E. (1995).</w:t>
      </w:r>
      <w:r>
        <w:t xml:space="preserve"> </w:t>
      </w:r>
      <w:r>
        <w:rPr>
          <w:i/>
          <w:iCs/>
        </w:rPr>
        <w:t xml:space="preserve">The Handbook of Experimental Economics</w:t>
      </w:r>
      <w:r>
        <w:t xml:space="preserve">. Princeton University Press.</w:t>
      </w:r>
    </w:p>
    <w:p>
      <w:pPr>
        <w:pStyle w:val="Compact"/>
        <w:numPr>
          <w:ilvl w:val="0"/>
          <w:numId w:val="2242"/>
        </w:numPr>
      </w:pPr>
      <w:r>
        <w:t xml:space="preserve">Roth, A. E.; Sönmez, T.; Ünver, M. U. (2004). Kidney Exchange.</w:t>
      </w:r>
      <w:r>
        <w:t xml:space="preserve"> </w:t>
      </w:r>
      <w:r>
        <w:rPr>
          <w:i/>
          <w:iCs/>
        </w:rPr>
        <w:t xml:space="preserve">Quarterly Journal of Economics</w:t>
      </w:r>
      <w:r>
        <w:t xml:space="preserve">, 119(2), 457–488.</w:t>
      </w:r>
    </w:p>
    <w:p>
      <w:pPr>
        <w:pStyle w:val="Compact"/>
        <w:numPr>
          <w:ilvl w:val="0"/>
          <w:numId w:val="2242"/>
        </w:numPr>
      </w:pPr>
      <w:r>
        <w:t xml:space="preserve">Smith, V. L. (1962). An Experimental Study of Competitive Market Behavior.</w:t>
      </w:r>
      <w:r>
        <w:t xml:space="preserve"> </w:t>
      </w:r>
      <w:r>
        <w:rPr>
          <w:i/>
          <w:iCs/>
        </w:rPr>
        <w:t xml:space="preserve">Journal of Political Economy</w:t>
      </w:r>
      <w:r>
        <w:t xml:space="preserve">, 70(2), 111–137.</w:t>
      </w:r>
    </w:p>
    <w:p>
      <w:pPr>
        <w:pStyle w:val="Compact"/>
        <w:numPr>
          <w:ilvl w:val="0"/>
          <w:numId w:val="2242"/>
        </w:numPr>
      </w:pPr>
      <w:r>
        <w:t xml:space="preserve">Soares, F. V.; Ribas, R. P.; Osório, R. G. (2010). Evaluating the Impact of Brazil’s Bolsa Família.</w:t>
      </w:r>
      <w:r>
        <w:t xml:space="preserve"> </w:t>
      </w:r>
      <w:r>
        <w:rPr>
          <w:i/>
          <w:iCs/>
        </w:rPr>
        <w:t xml:space="preserve">Latin American Research Review</w:t>
      </w:r>
      <w:r>
        <w:t xml:space="preserve">, 45(2), 173–190.</w:t>
      </w:r>
    </w:p>
    <w:bookmarkEnd w:id="1393"/>
    <w:bookmarkEnd w:id="1394"/>
    <w:bookmarkEnd w:id="1395"/>
    <w:bookmarkStart w:id="1438" w:name="Xb3eba4d1f607eb62006412ab03d7da4688f0a7f"/>
    <w:p>
      <w:pPr>
        <w:sectPr>
          <w:footnotePr>
            <w:numRestart w:val="eachSect"/>
          </w:footnotePr>
        </w:sectPr>
      </w:pPr>
    </w:p>
    <w:p>
      <w:pPr>
        <w:pStyle w:val="Heading1"/>
      </w:pPr>
      <w:r>
        <w:t xml:space="preserve">Capítulo 23 — Doutor, Quanto Custa? (Arrow Já Sabia Que Ia Dar Problema)</w:t>
      </w:r>
    </w:p>
    <w:p>
      <w:pPr>
        <w:pStyle w:val="FirstParagraph"/>
      </w:pPr>
      <w:r>
        <w:t xml:space="preserve">Você sabe quanto custa uma aspirina num hospital americano? Até 25 dólares — por um comprimido que custa centavos na farmácia da esquina. Esse absurdo não é acidente. Em 1963, Kenneth Arrow publicou um artigo que mudou a forma como economistas pensam sobre saúde. Em</w:t>
      </w:r>
      <w:r>
        <w:t xml:space="preserve"> </w:t>
      </w:r>
      <w:r>
        <w:t xml:space="preserve">“Uncertainty and the Welfare Economics of Medical Care”</w:t>
      </w:r>
      <w:r>
        <w:t xml:space="preserve">, Arrow argumentou que o mercado de cuidados médicos é</w:t>
      </w:r>
      <w:r>
        <w:t xml:space="preserve"> </w:t>
      </w:r>
      <w:r>
        <w:rPr>
          <w:i/>
          <w:iCs/>
        </w:rPr>
        <w:t xml:space="preserve">fundamentalmente diferente</w:t>
      </w:r>
      <w:r>
        <w:t xml:space="preserve"> </w:t>
      </w:r>
      <w:r>
        <w:t xml:space="preserve">de outros mercados — não por razões sentimentais (</w:t>
      </w:r>
      <w:r>
        <w:t xml:space="preserve">“saúde não tem preço”</w:t>
      </w:r>
      <w:r>
        <w:t xml:space="preserve">), mas por razões econômicas precisas: incerteza radical sobre a doença, assimetria de informação entre médico e paciente, externalidades de vacinação e tratamento, e a natureza de bem meritório que justifica intervenção pública mesmo quando não há falha de mercado clássica. Seis décadas depois, a economia da saúde tornou-se uma das maiores subáreas da microeconomia aplicada, com implicações diretas para políticas públicas que afetam bilhões de pessoas — e a aspirina de 25 dólares continua sem explicação convincente fora da teoria de Arrow.</w:t>
      </w:r>
      <w:r>
        <w:rPr>
          <w:rStyle w:val="FootnoteReference"/>
        </w:rPr>
        <w:footnoteReference w:id="1396"/>
      </w:r>
    </w:p>
    <w:p>
      <w:pPr>
        <w:pStyle w:val="BodyText"/>
      </w:pPr>
      <w:r>
        <w:t xml:space="preserve">Este capítulo integra ferramentas desenvolvidas ao longo do livro para analisar mercados de saúde. A</w:t>
      </w:r>
      <w:r>
        <w:t xml:space="preserve"> </w:t>
      </w:r>
      <w:r>
        <w:rPr>
          <w:b/>
          <w:bCs/>
        </w:rPr>
        <w:t xml:space="preserve">demanda por saúde</w:t>
      </w:r>
      <w:r>
        <w:t xml:space="preserve"> </w:t>
      </w:r>
      <w:r>
        <w:t xml:space="preserve">(Seção 23.2) conecta-se ao modelo de Grossman (1972), que trata a saúde como capital durável — uma extensão natural do Capítulo 18 (escolha intertemporal). O</w:t>
      </w:r>
      <w:r>
        <w:t xml:space="preserve"> </w:t>
      </w:r>
      <w:r>
        <w:rPr>
          <w:b/>
          <w:bCs/>
        </w:rPr>
        <w:t xml:space="preserve">risco moral</w:t>
      </w:r>
      <w:r>
        <w:t xml:space="preserve"> </w:t>
      </w:r>
      <w:r>
        <w:t xml:space="preserve">em seguros de saúde (Seção 23.4) aplica diretamente os conceitos do Capítulo 7 (incerteza e seguros) e do Capítulo 19 (informação assimétrica). A</w:t>
      </w:r>
      <w:r>
        <w:t xml:space="preserve"> </w:t>
      </w:r>
      <w:r>
        <w:rPr>
          <w:b/>
          <w:bCs/>
        </w:rPr>
        <w:t xml:space="preserve">oferta de serviços</w:t>
      </w:r>
      <w:r>
        <w:t xml:space="preserve"> </w:t>
      </w:r>
      <w:r>
        <w:t xml:space="preserve">(Seção 23.3) traz elementos de poder de mercado (Capítulo 15) e problema do agente (Capítulo 19). As</w:t>
      </w:r>
      <w:r>
        <w:t xml:space="preserve"> </w:t>
      </w:r>
      <w:r>
        <w:rPr>
          <w:b/>
          <w:bCs/>
        </w:rPr>
        <w:t xml:space="preserve">externalidades</w:t>
      </w:r>
      <w:r>
        <w:t xml:space="preserve"> </w:t>
      </w:r>
      <w:r>
        <w:t xml:space="preserve">de vacinação e controle de doenças contagiosas (Seção 23.6) são aplicações diretas do Capítulo 20. E a</w:t>
      </w:r>
      <w:r>
        <w:t xml:space="preserve"> </w:t>
      </w:r>
      <w:r>
        <w:rPr>
          <w:b/>
          <w:bCs/>
        </w:rPr>
        <w:t xml:space="preserve">comparação de sistemas de saúde</w:t>
      </w:r>
      <w:r>
        <w:t xml:space="preserve"> </w:t>
      </w:r>
      <w:r>
        <w:t xml:space="preserve">(Seção 23.5) ilustra o trade-off eficiência-equidade que permeia toda a análise de bem-estar.</w:t>
      </w:r>
    </w:p>
    <w:p>
      <w:pPr>
        <w:pStyle w:val="BodyText"/>
      </w:pPr>
      <w:r>
        <w:t xml:space="preserve">A literatura acadêmica sobre economia da saúde é vasta. As referências centrais são Arrow (1963) para os fundamentos teóricos, Grossman (1972) para o modelo de demanda por saúde, Manning et al. (1987) para o RAND Health Insurance Experiment, Rothschild e Stiglitz (1976) para seleção adversa em seguros, e Cutler e Zeckhauser (2000) para uma revisão abrangente da economia de seguros de saúde. Para tratamentos de livro-texto, ver Zweifel, Breyer e Kifmann (2009) e Folland, Goodman e Stano (2017).</w:t>
      </w:r>
    </w:p>
    <w:p>
      <w:r>
        <w:pict>
          <v:rect style="width:0;height:1.5pt" o:hralign="center" o:hrstd="t" o:hr="t"/>
        </w:pict>
      </w:r>
    </w:p>
    <w:bookmarkStart w:id="1437" w:name="roteiro-do-capítulo-16"/>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23.1</w:t>
            </w:r>
          </w:p>
        </w:tc>
        <w:tc>
          <w:tcPr/>
          <w:p>
            <w:pPr>
              <w:pStyle w:val="Compact"/>
            </w:pPr>
            <w:r>
              <w:t xml:space="preserve">Por que o mercado de saúde não funciona como o de sapatos?</w:t>
            </w:r>
          </w:p>
        </w:tc>
        <w:tc>
          <w:tcPr/>
          <w:p>
            <w:pPr>
              <w:pStyle w:val="Compact"/>
            </w:pPr>
            <w:r>
              <w:t xml:space="preserve">Arrow (1963), falhas de mercado em saúde</w:t>
            </w:r>
          </w:p>
        </w:tc>
        <w:tc>
          <w:tcPr/>
          <w:p>
            <w:pPr>
              <w:pStyle w:val="Compact"/>
              <w:jc w:val="center"/>
            </w:pPr>
            <w:r>
              <w:t xml:space="preserve">Arrow e Grossman</w:t>
            </w:r>
          </w:p>
        </w:tc>
      </w:tr>
      <w:tr>
        <w:tc>
          <w:tcPr/>
          <w:p>
            <w:pPr>
              <w:pStyle w:val="Compact"/>
              <w:jc w:val="center"/>
            </w:pPr>
            <w:r>
              <w:t xml:space="preserve">23.2</w:t>
            </w:r>
          </w:p>
        </w:tc>
        <w:tc>
          <w:tcPr/>
          <w:p>
            <w:pPr>
              <w:pStyle w:val="Compact"/>
            </w:pPr>
            <w:r>
              <w:t xml:space="preserve">Demandamos saúde ou demandamos consultas médicas?</w:t>
            </w:r>
          </w:p>
        </w:tc>
        <w:tc>
          <w:tcPr/>
          <w:p>
            <w:pPr>
              <w:pStyle w:val="Compact"/>
            </w:pPr>
            <w:r>
              <w:t xml:space="preserve">Modelo de Grossman, demanda derivada</w:t>
            </w:r>
          </w:p>
        </w:tc>
        <w:tc>
          <w:tcPr/>
          <w:p>
            <w:pPr>
              <w:pStyle w:val="Compact"/>
              <w:jc w:val="center"/>
            </w:pPr>
            <w:r>
              <w:t xml:space="preserve">Demanda</w:t>
            </w:r>
          </w:p>
        </w:tc>
      </w:tr>
      <w:tr>
        <w:tc>
          <w:tcPr/>
          <w:p>
            <w:pPr>
              <w:pStyle w:val="Compact"/>
              <w:jc w:val="center"/>
            </w:pPr>
            <w:r>
              <w:t xml:space="preserve">23.3</w:t>
            </w:r>
          </w:p>
        </w:tc>
        <w:tc>
          <w:tcPr/>
          <w:p>
            <w:pPr>
              <w:pStyle w:val="Compact"/>
            </w:pPr>
            <w:r>
              <w:t xml:space="preserve">O médico recomenda o que é bom para você ou o que é bom para ele?</w:t>
            </w:r>
          </w:p>
        </w:tc>
        <w:tc>
          <w:tcPr/>
          <w:p>
            <w:pPr>
              <w:pStyle w:val="Compact"/>
            </w:pPr>
            <w:r>
              <w:t xml:space="preserve">Oferta de saúde, demanda induzida</w:t>
            </w:r>
          </w:p>
        </w:tc>
        <w:tc>
          <w:tcPr/>
          <w:p>
            <w:pPr>
              <w:pStyle w:val="Compact"/>
              <w:jc w:val="center"/>
            </w:pPr>
            <w:r>
              <w:t xml:space="preserve">Oferta</w:t>
            </w:r>
          </w:p>
        </w:tc>
      </w:tr>
      <w:tr>
        <w:tc>
          <w:tcPr/>
          <w:p>
            <w:pPr>
              <w:pStyle w:val="Compact"/>
              <w:jc w:val="center"/>
            </w:pPr>
            <w:r>
              <w:t xml:space="preserve">23.4</w:t>
            </w:r>
          </w:p>
        </w:tc>
        <w:tc>
          <w:tcPr/>
          <w:p>
            <w:pPr>
              <w:pStyle w:val="Compact"/>
            </w:pPr>
            <w:r>
              <w:t xml:space="preserve">Como segurar saúde quando o segurado sabe mais que a seguradora?</w:t>
            </w:r>
          </w:p>
        </w:tc>
        <w:tc>
          <w:tcPr/>
          <w:p>
            <w:pPr>
              <w:pStyle w:val="Compact"/>
            </w:pPr>
            <w:r>
              <w:t xml:space="preserve">Moral hazard e seleção adversa em seguros de saúde</w:t>
            </w:r>
          </w:p>
        </w:tc>
        <w:tc>
          <w:tcPr/>
          <w:p>
            <w:pPr>
              <w:pStyle w:val="Compact"/>
              <w:jc w:val="center"/>
            </w:pPr>
            <w:r>
              <w:t xml:space="preserve">Seguros</w:t>
            </w:r>
          </w:p>
        </w:tc>
      </w:tr>
      <w:tr>
        <w:tc>
          <w:tcPr/>
          <w:p>
            <w:pPr>
              <w:pStyle w:val="Compact"/>
              <w:jc w:val="center"/>
            </w:pPr>
            <w:r>
              <w:t xml:space="preserve">23.5</w:t>
            </w:r>
          </w:p>
        </w:tc>
        <w:tc>
          <w:tcPr/>
          <w:p>
            <w:pPr>
              <w:pStyle w:val="Compact"/>
            </w:pPr>
            <w:r>
              <w:t xml:space="preserve">SUS, NHS, Medicare — qual sistema funciona melhor?</w:t>
            </w:r>
          </w:p>
        </w:tc>
        <w:tc>
          <w:tcPr/>
          <w:p>
            <w:pPr>
              <w:pStyle w:val="Compact"/>
            </w:pPr>
            <w:r>
              <w:t xml:space="preserve">Sistemas de saúde comparados</w:t>
            </w:r>
          </w:p>
        </w:tc>
        <w:tc>
          <w:tcPr/>
          <w:p>
            <w:pPr>
              <w:pStyle w:val="Compact"/>
              <w:jc w:val="center"/>
            </w:pPr>
            <w:r>
              <w:t xml:space="preserve">Sistemas</w:t>
            </w:r>
          </w:p>
        </w:tc>
      </w:tr>
      <w:tr>
        <w:tc>
          <w:tcPr/>
          <w:p>
            <w:pPr>
              <w:pStyle w:val="Compact"/>
              <w:jc w:val="center"/>
            </w:pPr>
            <w:r>
              <w:t xml:space="preserve">23.6</w:t>
            </w:r>
          </w:p>
        </w:tc>
        <w:tc>
          <w:tcPr/>
          <w:p>
            <w:pPr>
              <w:pStyle w:val="Compact"/>
            </w:pPr>
            <w:r>
              <w:t xml:space="preserve">Quanto vale um ano de vida a mais — e como medir isso?</w:t>
            </w:r>
          </w:p>
        </w:tc>
        <w:tc>
          <w:tcPr/>
          <w:p>
            <w:pPr>
              <w:pStyle w:val="Compact"/>
            </w:pPr>
            <w:r>
              <w:t xml:space="preserve">Avaliação econômica: ACE, ACU, QALY</w:t>
            </w:r>
          </w:p>
        </w:tc>
        <w:tc>
          <w:tcPr/>
          <w:p>
            <w:pPr>
              <w:pStyle w:val="Compact"/>
              <w:jc w:val="center"/>
            </w:pPr>
            <w:r>
              <w:t xml:space="preserve">Avaliação</w:t>
            </w:r>
          </w:p>
        </w:tc>
      </w:tr>
      <w:tr>
        <w:tc>
          <w:tcPr/>
          <w:p>
            <w:pPr>
              <w:pStyle w:val="Compact"/>
              <w:jc w:val="center"/>
            </w:pPr>
            <w:r>
              <w:t xml:space="preserve">23.7</w:t>
            </w:r>
          </w:p>
        </w:tc>
        <w:tc>
          <w:tcPr/>
          <w:p>
            <w:pPr>
              <w:pStyle w:val="Compact"/>
            </w:pPr>
            <w:r>
              <w:t xml:space="preserve">Quanto custa um comprimido — e quem decide o preço?</w:t>
            </w:r>
          </w:p>
        </w:tc>
        <w:tc>
          <w:tcPr/>
          <w:p>
            <w:pPr>
              <w:pStyle w:val="Compact"/>
            </w:pPr>
            <w:r>
              <w:t xml:space="preserve">CMED, genéricos, Farmácia Popular, regulação de preços</w:t>
            </w:r>
          </w:p>
        </w:tc>
        <w:tc>
          <w:tcPr/>
          <w:p>
            <w:pPr>
              <w:pStyle w:val="Compact"/>
              <w:jc w:val="center"/>
            </w:pPr>
            <w:r>
              <w:t xml:space="preserve">Regulação Farmacêutica</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p>
      <w:pPr>
        <w:pStyle w:val="BlockText"/>
      </w:pPr>
      <w:r>
        <w:rPr>
          <w:b/>
          <w:bCs/>
        </w:rPr>
        <w:t xml:space="preserve">[ATIVIDADE DE SALA] Atividade de Sala — O Mercado de Seguros de Saúde e a Espiral da Morte</w:t>
      </w:r>
    </w:p>
    <w:p>
      <w:pPr>
        <w:pStyle w:val="BlockText"/>
      </w:pPr>
      <w:r>
        <w:rPr>
          <w:b/>
          <w:bCs/>
        </w:rPr>
        <w:t xml:space="preserve">Formato:</w:t>
      </w:r>
      <w:r>
        <w:t xml:space="preserve"> </w:t>
      </w:r>
      <w:r>
        <w:t xml:space="preserve">Simulação de mercado de seguros com seleção adversa</w:t>
      </w:r>
      <w:r>
        <w:t xml:space="preserve"> </w:t>
      </w:r>
      <w:r>
        <w:rPr>
          <w:b/>
          <w:bCs/>
        </w:rPr>
        <w:t xml:space="preserve">Duração:</w:t>
      </w:r>
      <w:r>
        <w:t xml:space="preserve"> </w:t>
      </w:r>
      <w:r>
        <w:t xml:space="preserve">40–50 minutos (10 preparação + 20 simulação + 10 debrief)</w:t>
      </w:r>
      <w:r>
        <w:t xml:space="preserve"> </w:t>
      </w:r>
      <w:r>
        <w:rPr>
          <w:b/>
          <w:bCs/>
        </w:rPr>
        <w:t xml:space="preserve">Material:</w:t>
      </w:r>
      <w:r>
        <w:t xml:space="preserve"> </w:t>
      </w:r>
      <w:r>
        <w:t xml:space="preserve">Fichas coloridas (uma por aluno), quadro para registro.</w:t>
      </w:r>
    </w:p>
    <w:p>
      <w:pPr>
        <w:pStyle w:val="BlockText"/>
      </w:pPr>
      <w:r>
        <w:rPr>
          <w:b/>
          <w:bCs/>
        </w:rPr>
        <w:t xml:space="preserve">Preparação (10 min):</w:t>
      </w:r>
    </w:p>
    <w:p>
      <w:pPr>
        <w:pStyle w:val="Compact"/>
        <w:numPr>
          <w:ilvl w:val="0"/>
          <w:numId w:val="2243"/>
        </w:numPr>
      </w:pPr>
      <w:r>
        <w:t xml:space="preserve">Cada aluno recebe uma ficha com um</w:t>
      </w:r>
      <w:r>
        <w:t xml:space="preserve"> </w:t>
      </w:r>
      <w:r>
        <w:rPr>
          <w:b/>
          <w:bCs/>
        </w:rPr>
        <w:t xml:space="preserve">nível de risco secreto</w:t>
      </w:r>
      <w:r>
        <w:t xml:space="preserve"> </w:t>
      </w:r>
      <w:r>
        <w:t xml:space="preserve">(probabilidade de ficar</w:t>
      </w:r>
      <w:r>
        <w:t xml:space="preserve"> </w:t>
      </w:r>
      <w:r>
        <w:t xml:space="preserve">“doente”</w:t>
      </w:r>
      <w:r>
        <w:t xml:space="preserve">): 10%, 20%, 30%, 40%, 50%, 60%, 70%, 80% — distribuídos aleatoriamente.</w:t>
      </w:r>
    </w:p>
    <w:p>
      <w:pPr>
        <w:pStyle w:val="Compact"/>
        <w:numPr>
          <w:ilvl w:val="0"/>
          <w:numId w:val="2243"/>
        </w:numPr>
      </w:pPr>
      <w:r>
        <w:t xml:space="preserve">Cada ficha também indica o</w:t>
      </w:r>
      <w:r>
        <w:t xml:space="preserve"> </w:t>
      </w:r>
      <w:r>
        <w:rPr>
          <w:b/>
          <w:bCs/>
        </w:rPr>
        <w:t xml:space="preserve">custo do tratamento</w:t>
      </w:r>
      <w:r>
        <w:t xml:space="preserve"> </w:t>
      </w:r>
      <w:r>
        <w:t xml:space="preserve">se doente: R$ 1.000 (igual para todos).</w:t>
      </w:r>
    </w:p>
    <w:p>
      <w:pPr>
        <w:pStyle w:val="Compact"/>
        <w:numPr>
          <w:ilvl w:val="0"/>
          <w:numId w:val="2243"/>
        </w:numPr>
      </w:pPr>
      <w:r>
        <w:t xml:space="preserve">Explique:</w:t>
      </w:r>
      <w:r>
        <w:t xml:space="preserve"> </w:t>
      </w:r>
      <w:r>
        <w:t xml:space="preserve">“Uma seguradora vai oferecer um plano de saúde a um preço único. Se você comprar e ficar doente, a seguradora paga seu tratamento. Se você não comprar e ficar doente, você paga do próprio bolso. Ao final, sorteamos quem ficou doente.”</w:t>
      </w:r>
    </w:p>
    <w:p>
      <w:pPr>
        <w:pStyle w:val="Compact"/>
        <w:numPr>
          <w:ilvl w:val="0"/>
          <w:numId w:val="2243"/>
        </w:numPr>
      </w:pPr>
      <w:r>
        <w:t xml:space="preserve">A seguradora (professor) calcula o prêmio atuarialmente justo com base na média dos riscos de TODOS os alunos.</w:t>
      </w:r>
    </w:p>
    <w:p>
      <w:pPr>
        <w:pStyle w:val="BlockText"/>
      </w:pPr>
      <w:r>
        <w:rPr>
          <w:b/>
          <w:bCs/>
        </w:rPr>
        <w:t xml:space="preserve">Fase 1 — Prêmio único (rodadas 1–3, 10 min):</w:t>
      </w:r>
    </w:p>
    <w:p>
      <w:pPr>
        <w:pStyle w:val="Compact"/>
        <w:numPr>
          <w:ilvl w:val="0"/>
          <w:numId w:val="2244"/>
        </w:numPr>
      </w:pPr>
      <w:r>
        <w:t xml:space="preserve">Rodada 1: A seguradora anuncia o prêmio (= risco médio × R$ 1.000). Alunos decidem se compram.</w:t>
      </w:r>
    </w:p>
    <w:p>
      <w:pPr>
        <w:pStyle w:val="Compact"/>
        <w:numPr>
          <w:ilvl w:val="0"/>
          <w:numId w:val="2244"/>
        </w:numPr>
      </w:pPr>
      <w:r>
        <w:t xml:space="preserve">Registre quem comprou. Calcule o risco médio dos compradores.</w:t>
      </w:r>
    </w:p>
    <w:p>
      <w:pPr>
        <w:pStyle w:val="Compact"/>
        <w:numPr>
          <w:ilvl w:val="0"/>
          <w:numId w:val="2244"/>
        </w:numPr>
      </w:pPr>
      <w:r>
        <w:t xml:space="preserve">Rodada 2: Recalcule o prêmio com base no risco médio dos compradores da rodada anterior. Repita.</w:t>
      </w:r>
    </w:p>
    <w:p>
      <w:pPr>
        <w:pStyle w:val="Compact"/>
        <w:numPr>
          <w:ilvl w:val="0"/>
          <w:numId w:val="2244"/>
        </w:numPr>
      </w:pPr>
      <w:r>
        <w:t xml:space="preserve">Rodada 3: Idem.</w:t>
      </w:r>
      <w:r>
        <w:t xml:space="preserve"> </w:t>
      </w:r>
      <w:r>
        <w:rPr>
          <w:b/>
          <w:bCs/>
        </w:rPr>
        <w:t xml:space="preserve">Resultado esperado:</w:t>
      </w:r>
      <w:r>
        <w:t xml:space="preserve"> </w:t>
      </w:r>
      <w:r>
        <w:t xml:space="preserve">espiral da morte — os baixo risco saem, o prêmio sobe, mais gente sai, até restar só alto risco (ou ninguém).</w:t>
      </w:r>
    </w:p>
    <w:p>
      <w:pPr>
        <w:pStyle w:val="BlockText"/>
      </w:pPr>
      <w:r>
        <w:rPr>
          <w:b/>
          <w:bCs/>
        </w:rPr>
        <w:t xml:space="preserve">Fase 2 — Mandato individual (rodadas 4–5, 5 min):</w:t>
      </w:r>
    </w:p>
    <w:p>
      <w:pPr>
        <w:pStyle w:val="Compact"/>
        <w:numPr>
          <w:ilvl w:val="0"/>
          <w:numId w:val="2245"/>
        </w:numPr>
      </w:pPr>
      <w:r>
        <w:t xml:space="preserve">Agora TODOS são obrigados a comprar (mandato). O prêmio é recalculado com todos os riscos.</w:t>
      </w:r>
    </w:p>
    <w:p>
      <w:pPr>
        <w:pStyle w:val="Compact"/>
        <w:numPr>
          <w:ilvl w:val="0"/>
          <w:numId w:val="2245"/>
        </w:numPr>
      </w:pPr>
      <w:r>
        <w:rPr>
          <w:b/>
          <w:bCs/>
        </w:rPr>
        <w:t xml:space="preserve">Resultado esperado:</w:t>
      </w:r>
      <w:r>
        <w:t xml:space="preserve"> </w:t>
      </w:r>
      <w:r>
        <w:t xml:space="preserve">prêmio mais baixo, todos segurados, mercado estável.</w:t>
      </w:r>
    </w:p>
    <w:p>
      <w:pPr>
        <w:pStyle w:val="BlockText"/>
      </w:pPr>
      <w:r>
        <w:rPr>
          <w:b/>
          <w:bCs/>
        </w:rPr>
        <w:t xml:space="preserve">Fase 3 — Subsídio cruzado (rodada 6, 5 min):</w:t>
      </w:r>
    </w:p>
    <w:p>
      <w:pPr>
        <w:pStyle w:val="Compact"/>
        <w:numPr>
          <w:ilvl w:val="0"/>
          <w:numId w:val="2246"/>
        </w:numPr>
      </w:pPr>
      <w:r>
        <w:t xml:space="preserve">Os baixo risco recebem um subsídio (desconto no prêmio). Compare quem compra e a estabilidade do mercado.</w:t>
      </w:r>
    </w:p>
    <w:p>
      <w:pPr>
        <w:pStyle w:val="BlockText"/>
      </w:pPr>
      <w:r>
        <w:rPr>
          <w:b/>
          <w:bCs/>
        </w:rPr>
        <w:t xml:space="preserve">Debrief (10 min):</w:t>
      </w:r>
    </w:p>
    <w:p>
      <w:pPr>
        <w:pStyle w:val="Compact"/>
        <w:numPr>
          <w:ilvl w:val="0"/>
          <w:numId w:val="2247"/>
        </w:numPr>
      </w:pPr>
      <w:r>
        <w:rPr>
          <w:i/>
          <w:iCs/>
        </w:rPr>
        <w:t xml:space="preserve">“Por que os baixo risco saíram na Fase 1?”</w:t>
      </w:r>
      <w:r>
        <w:t xml:space="preserve"> </w:t>
      </w:r>
      <w:r>
        <w:t xml:space="preserve">→ Seleção adversa: prêmio &gt; valor esperado para eles.</w:t>
      </w:r>
    </w:p>
    <w:p>
      <w:pPr>
        <w:pStyle w:val="Compact"/>
        <w:numPr>
          <w:ilvl w:val="0"/>
          <w:numId w:val="2247"/>
        </w:numPr>
      </w:pPr>
      <w:r>
        <w:rPr>
          <w:i/>
          <w:iCs/>
        </w:rPr>
        <w:t xml:space="preserve">“O que aconteceu com o prêmio a cada rodada?”</w:t>
      </w:r>
      <w:r>
        <w:t xml:space="preserve"> </w:t>
      </w:r>
      <w:r>
        <w:t xml:space="preserve">→ Espiral da morte (Seção 23.4.2).</w:t>
      </w:r>
    </w:p>
    <w:p>
      <w:pPr>
        <w:pStyle w:val="Compact"/>
        <w:numPr>
          <w:ilvl w:val="0"/>
          <w:numId w:val="2247"/>
        </w:numPr>
      </w:pPr>
      <w:r>
        <w:rPr>
          <w:i/>
          <w:iCs/>
        </w:rPr>
        <w:t xml:space="preserve">“O mandato resolveu?”</w:t>
      </w:r>
      <w:r>
        <w:t xml:space="preserve"> </w:t>
      </w:r>
      <w:r>
        <w:t xml:space="preserve">→ Sim, mas a que custo? Liberdade de escolha vs. estabilidade do mercado.</w:t>
      </w:r>
    </w:p>
    <w:p>
      <w:pPr>
        <w:pStyle w:val="Compact"/>
        <w:numPr>
          <w:ilvl w:val="0"/>
          <w:numId w:val="2247"/>
        </w:numPr>
      </w:pPr>
      <w:r>
        <w:t xml:space="preserve">Conecte com: Rothschild-Stiglitz (Cap. 19), Obamacare (Box Mundo 23.3), ANS (Box Brasil 23.2).</w:t>
      </w:r>
    </w:p>
    <w:p>
      <w:pPr>
        <w:pStyle w:val="BlockText"/>
      </w:pPr>
      <w:r>
        <w:rPr>
          <w:b/>
          <w:bCs/>
        </w:rPr>
        <w:t xml:space="preserve">Conexão com o capítulo:</w:t>
      </w:r>
      <w:r>
        <w:t xml:space="preserve"> </w:t>
      </w:r>
      <w:r>
        <w:t xml:space="preserve">Seções 23.4 (seleção adversa, espiral da morte, mandato individual).</w:t>
      </w:r>
    </w:p>
    <w:bookmarkStart w:id="1399" w:name="Xadc1dd8fc279583d5552700ae5d248e3fa123bd"/>
    <w:p>
      <w:pPr>
        <w:pStyle w:val="Heading3"/>
      </w:pPr>
      <w:r>
        <w:t xml:space="preserve">23.1 Por que a saúde é diferente?</w:t>
      </w:r>
    </w:p>
    <w:bookmarkStart w:id="1397" w:name="o-artigo-fundador-arrow-1963"/>
    <w:p>
      <w:pPr>
        <w:pStyle w:val="Heading4"/>
      </w:pPr>
      <w:r>
        <w:t xml:space="preserve">23.1.1 O artigo fundador: Arrow (1963)</w:t>
      </w:r>
    </w:p>
    <w:p>
      <w:pPr>
        <w:pStyle w:val="FirstParagraph"/>
      </w:pPr>
      <w:r>
        <w:t xml:space="preserve">Kenneth Arrow não era especialista em saúde quando escreveu seu artigo seminal. Era um teórico do equilíbrio geral — o mesmo Arrow do Capítulo 14 (Equilíbrio Geral) e do teorema da impossibilidade em escolha social. Mas quando a Ford Foundation encomendou um estudo sobre a economia dos cuidados médicos, Arrow aplicou o rigor da teoria microeconômica para identificar</w:t>
      </w:r>
      <w:r>
        <w:t xml:space="preserve"> </w:t>
      </w:r>
      <w:r>
        <w:rPr>
          <w:i/>
          <w:iCs/>
        </w:rPr>
        <w:t xml:space="preserve">por que</w:t>
      </w:r>
      <w:r>
        <w:t xml:space="preserve"> </w:t>
      </w:r>
      <w:r>
        <w:t xml:space="preserve">o mercado de saúde resiste à análise convencional de oferta e demanda.</w:t>
      </w:r>
    </w:p>
    <w:p>
      <w:pPr>
        <w:pStyle w:val="BodyText"/>
      </w:pPr>
      <w:r>
        <w:t xml:space="preserve">Arrow identificou quatro características que distinguem o mercado de saúde:</w:t>
      </w:r>
    </w:p>
    <w:p>
      <w:pPr>
        <w:pStyle w:val="BodyText"/>
      </w:pPr>
      <w:r>
        <w:rPr>
          <w:b/>
          <w:bCs/>
        </w:rPr>
        <w:t xml:space="preserve">1. Incerteza radical.</w:t>
      </w:r>
      <w:r>
        <w:t xml:space="preserve"> </w:t>
      </w:r>
      <w:r>
        <w:t xml:space="preserve">Ao contrário de comprar um carro ou um café, a demanda por cuidados médicos é</w:t>
      </w:r>
      <w:r>
        <w:t xml:space="preserve"> </w:t>
      </w:r>
      <w:r>
        <w:rPr>
          <w:i/>
          <w:iCs/>
        </w:rPr>
        <w:t xml:space="preserve">imprevisível</w:t>
      </w:r>
      <w:r>
        <w:t xml:space="preserve">. Ninguém sabe quando ficará doente, quão grave será a doença, ou qual tratamento funcionará. Essa incerteza gera demanda por seguro (Capítulo 7) — mas o seguro de saúde, por sua vez, cria problemas de risco moral e seleção adversa que não existem (ou são muito menores) em outros mercados de seguros.</w:t>
      </w:r>
    </w:p>
    <w:p>
      <w:pPr>
        <w:pStyle w:val="BodyText"/>
      </w:pPr>
      <w:r>
        <w:t xml:space="preserve">Formalmente, seja</w:t>
      </w:r>
      <w:r>
        <w:t xml:space="preserve"> </w:t>
      </w:r>
      <m:oMath>
        <m:r>
          <m:t>s</m:t>
        </m:r>
        <m:r>
          <m:rPr>
            <m:sty m:val="p"/>
          </m:rPr>
          <m:t>∈</m:t>
        </m:r>
        <m:r>
          <m:rPr>
            <m:sty m:val="p"/>
          </m:rPr>
          <m:t>{</m:t>
        </m:r>
        <m:r>
          <m:t>s</m:t>
        </m:r>
        <m:r>
          <m:t>a</m:t>
        </m:r>
        <m:r>
          <m:t>u</m:t>
        </m:r>
        <m:r>
          <m:t>d</m:t>
        </m:r>
        <m:r>
          <m:t>á</m:t>
        </m:r>
        <m:r>
          <m:t>v</m:t>
        </m:r>
        <m:r>
          <m:t>e</m:t>
        </m:r>
        <m:r>
          <m:t>l</m:t>
        </m:r>
        <m:r>
          <m:rPr>
            <m:sty m:val="p"/>
          </m:rPr>
          <m:t>,</m:t>
        </m:r>
        <m:r>
          <m:t>d</m:t>
        </m:r>
        <m:r>
          <m:t>o</m:t>
        </m:r>
        <m:r>
          <m:t>e</m:t>
        </m:r>
        <m:r>
          <m:t>n</m:t>
        </m:r>
        <m:r>
          <m:t>t</m:t>
        </m:r>
        <m:r>
          <m:t>e</m:t>
        </m:r>
        <m:r>
          <m:rPr>
            <m:sty m:val="p"/>
          </m:rPr>
          <m:t>}</m:t>
        </m:r>
      </m:oMath>
      <w:r>
        <w:t xml:space="preserve"> </w:t>
      </w:r>
      <w:r>
        <w:t xml:space="preserve">o estado de saúde do indivíduo, com probabilidades</w:t>
      </w:r>
      <w:r>
        <w:t xml:space="preserve"> </w:t>
      </w:r>
      <m:oMath>
        <m:sSub>
          <m:e>
            <m:r>
              <m:t>π</m:t>
            </m:r>
          </m:e>
          <m:sub>
            <m:r>
              <m:t>s</m:t>
            </m:r>
          </m:sub>
        </m:sSub>
      </m:oMath>
      <w:r>
        <w:t xml:space="preserve"> </w:t>
      </w:r>
      <w:r>
        <w:t xml:space="preserve">e</w:t>
      </w:r>
      <w:r>
        <w:t xml:space="preserve"> </w:t>
      </w:r>
      <m:oMath>
        <m:sSub>
          <m:e>
            <m:r>
              <m:t>π</m:t>
            </m:r>
          </m:e>
          <m:sub>
            <m:r>
              <m:t>d</m:t>
            </m:r>
          </m:sub>
        </m:sSub>
        <m:r>
          <m:rPr>
            <m:sty m:val="p"/>
          </m:rPr>
          <m:t>=</m:t>
        </m:r>
        <m:r>
          <m:t>1</m:t>
        </m:r>
        <m:r>
          <m:rPr>
            <m:sty m:val="p"/>
          </m:rPr>
          <m:t>−</m:t>
        </m:r>
        <m:sSub>
          <m:e>
            <m:r>
              <m:t>π</m:t>
            </m:r>
          </m:e>
          <m:sub>
            <m:r>
              <m:t>s</m:t>
            </m:r>
          </m:sub>
        </m:sSub>
      </m:oMath>
      <w:r>
        <w:t xml:space="preserve">. O custo do tratamento no estado doente é</w:t>
      </w:r>
      <w:r>
        <w:t xml:space="preserve"> </w:t>
      </w:r>
      <m:oMath>
        <m:r>
          <m:t>m</m:t>
        </m:r>
      </m:oMath>
      <w:r>
        <w:t xml:space="preserve">, mas o indivíduo não sabe ex ante quando precisará de tratamento. A utilidade esperada sem seguro é:</w:t>
      </w:r>
    </w:p>
    <w:p>
      <w:pPr>
        <w:pStyle w:val="BodyText"/>
      </w:pPr>
      <m:oMathPara>
        <m:oMathParaPr>
          <m:jc m:val="center"/>
        </m:oMathParaPr>
        <m:oMath>
          <m:r>
            <m:t>E</m:t>
          </m:r>
          <m:sSub>
            <m:e>
              <m:r>
                <m:t>U</m:t>
              </m:r>
            </m:e>
            <m:sub>
              <m:r>
                <m:rPr>
                  <m:nor/>
                  <m:sty m:val="p"/>
                </m:rPr>
                <m:t>sem seguro</m:t>
              </m:r>
            </m:sub>
          </m:sSub>
          <m:r>
            <m:rPr>
              <m:sty m:val="p"/>
            </m:rPr>
            <m:t>=</m:t>
          </m:r>
          <m:sSub>
            <m:e>
              <m:r>
                <m:t>π</m:t>
              </m:r>
            </m:e>
            <m:sub>
              <m:r>
                <m:t>s</m:t>
              </m:r>
            </m:sub>
          </m:sSub>
          <m:r>
            <m:rPr>
              <m:sty m:val="p"/>
            </m:rPr>
            <m:t>⋅</m:t>
          </m:r>
          <m:r>
            <m:t>u</m:t>
          </m:r>
          <m:r>
            <m:rPr>
              <m:sty m:val="p"/>
            </m:rPr>
            <m:t>(</m:t>
          </m:r>
          <m:r>
            <m:t>W</m:t>
          </m:r>
          <m:r>
            <m:rPr>
              <m:sty m:val="p"/>
            </m:rPr>
            <m:t>)</m:t>
          </m:r>
          <m:r>
            <m:rPr>
              <m:sty m:val="p"/>
            </m:rPr>
            <m:t>+</m:t>
          </m:r>
          <m:sSub>
            <m:e>
              <m:r>
                <m:t>π</m:t>
              </m:r>
            </m:e>
            <m:sub>
              <m:r>
                <m:t>d</m:t>
              </m:r>
            </m:sub>
          </m:sSub>
          <m:r>
            <m:rPr>
              <m:sty m:val="p"/>
            </m:rPr>
            <m:t>⋅</m:t>
          </m:r>
          <m:r>
            <m:t>u</m:t>
          </m:r>
          <m:r>
            <m:rPr>
              <m:sty m:val="p"/>
            </m:rPr>
            <m:t>(</m:t>
          </m:r>
          <m:r>
            <m:t>W</m:t>
          </m:r>
          <m:r>
            <m:rPr>
              <m:sty m:val="p"/>
            </m:rPr>
            <m:t>−</m:t>
          </m:r>
          <m:r>
            <m:t>m</m:t>
          </m:r>
          <m:r>
            <m:rPr>
              <m:sty m:val="p"/>
            </m:rPr>
            <m:t>)</m:t>
          </m:r>
        </m:oMath>
      </m:oMathPara>
    </w:p>
    <w:p>
      <w:pPr>
        <w:pStyle w:val="FirstParagraph"/>
      </w:pPr>
      <w:r>
        <w:t xml:space="preserve">onde</w:t>
      </w:r>
      <w:r>
        <w:t xml:space="preserve"> </w:t>
      </w:r>
      <m:oMath>
        <m:r>
          <m:t>W</m:t>
        </m:r>
      </m:oMath>
      <w:r>
        <w:t xml:space="preserve"> </w:t>
      </w:r>
      <w:r>
        <w:t xml:space="preserve">é a riqueza inicial. Se</w:t>
      </w:r>
      <w:r>
        <w:t xml:space="preserve"> </w:t>
      </w:r>
      <m:oMath>
        <m:r>
          <m:t>u</m:t>
        </m:r>
      </m:oMath>
      <w:r>
        <w:t xml:space="preserve"> </w:t>
      </w:r>
      <w:r>
        <w:t xml:space="preserve">é côncava (aversão ao risco, Capítulo 7), o indivíduo prefere um seguro atuarialmente justo com prêmio</w:t>
      </w:r>
      <w:r>
        <w:t xml:space="preserve"> </w:t>
      </w:r>
      <m:oMath>
        <m:r>
          <m:t>P</m:t>
        </m:r>
        <m:r>
          <m:rPr>
            <m:sty m:val="p"/>
          </m:rPr>
          <m:t>=</m:t>
        </m:r>
        <m:sSub>
          <m:e>
            <m:r>
              <m:t>π</m:t>
            </m:r>
          </m:e>
          <m:sub>
            <m:r>
              <m:t>d</m:t>
            </m:r>
          </m:sub>
        </m:sSub>
        <m:r>
          <m:rPr>
            <m:sty m:val="p"/>
          </m:rPr>
          <m:t>⋅</m:t>
        </m:r>
        <m:r>
          <m:t>m</m:t>
        </m:r>
      </m:oMath>
      <w:r>
        <w:t xml:space="preserve">:</w:t>
      </w:r>
    </w:p>
    <w:p>
      <w:pPr>
        <w:pStyle w:val="BodyText"/>
      </w:pPr>
      <m:oMathPara>
        <m:oMathParaPr>
          <m:jc m:val="center"/>
        </m:oMathParaPr>
        <m:oMath>
          <m:r>
            <m:t>E</m:t>
          </m:r>
          <m:sSub>
            <m:e>
              <m:r>
                <m:t>U</m:t>
              </m:r>
            </m:e>
            <m:sub>
              <m:r>
                <m:rPr>
                  <m:nor/>
                  <m:sty m:val="p"/>
                </m:rPr>
                <m:t>com seguro</m:t>
              </m:r>
            </m:sub>
          </m:sSub>
          <m:r>
            <m:rPr>
              <m:sty m:val="p"/>
            </m:rPr>
            <m:t>=</m:t>
          </m:r>
          <m:r>
            <m:t>u</m:t>
          </m:r>
          <m:r>
            <m:rPr>
              <m:sty m:val="p"/>
            </m:rPr>
            <m:t>(</m:t>
          </m:r>
          <m:r>
            <m:t>W</m:t>
          </m:r>
          <m:r>
            <m:rPr>
              <m:sty m:val="p"/>
            </m:rPr>
            <m:t>−</m:t>
          </m:r>
          <m:r>
            <m:t>P</m:t>
          </m:r>
          <m:r>
            <m:rPr>
              <m:sty m:val="p"/>
            </m:rPr>
            <m:t>)</m:t>
          </m:r>
          <m:r>
            <m:rPr>
              <m:sty m:val="p"/>
            </m:rPr>
            <m:t>=</m:t>
          </m:r>
          <m:r>
            <m:t>u</m:t>
          </m:r>
          <m:r>
            <m:rPr>
              <m:sty m:val="p"/>
            </m:rPr>
            <m:t>(</m:t>
          </m:r>
          <m:r>
            <m:t>W</m:t>
          </m:r>
          <m:r>
            <m:rPr>
              <m:sty m:val="p"/>
            </m:rPr>
            <m:t>−</m:t>
          </m:r>
          <m:sSub>
            <m:e>
              <m:r>
                <m:t>π</m:t>
              </m:r>
            </m:e>
            <m:sub>
              <m:r>
                <m:t>d</m:t>
              </m:r>
            </m:sub>
          </m:sSub>
          <m:r>
            <m:rPr>
              <m:sty m:val="p"/>
            </m:rPr>
            <m:t>⋅</m:t>
          </m:r>
          <m:r>
            <m:t>m</m:t>
          </m:r>
          <m:r>
            <m:rPr>
              <m:sty m:val="p"/>
            </m:rPr>
            <m:t>)</m:t>
          </m:r>
          <m:r>
            <m:rPr>
              <m:sty m:val="p"/>
            </m:rPr>
            <m:t>&gt;</m:t>
          </m:r>
          <m:r>
            <m:t>E</m:t>
          </m:r>
          <m:sSub>
            <m:e>
              <m:r>
                <m:t>U</m:t>
              </m:r>
            </m:e>
            <m:sub>
              <m:r>
                <m:rPr>
                  <m:nor/>
                  <m:sty m:val="p"/>
                </m:rPr>
                <m:t>sem seguro</m:t>
              </m:r>
            </m:sub>
          </m:sSub>
        </m:oMath>
      </m:oMathPara>
    </w:p>
    <w:p>
      <w:pPr>
        <w:pStyle w:val="FirstParagraph"/>
      </w:pPr>
      <w:r>
        <w:t xml:space="preserve">A desigualdade segue da desigualdade de Jensen — exatamente como no Capítulo 7.</w:t>
      </w:r>
    </w:p>
    <w:p>
      <w:pPr>
        <w:pStyle w:val="BodyText"/>
      </w:pPr>
      <w:r>
        <w:rPr>
          <w:b/>
          <w:bCs/>
        </w:rPr>
        <w:t xml:space="preserve">2. Assimetria de informação médico-paciente.</w:t>
      </w:r>
      <w:r>
        <w:t xml:space="preserve"> </w:t>
      </w:r>
      <w:r>
        <w:t xml:space="preserve">O médico sabe mais que o paciente sobre diagnóstico, prognóstico e tratamento. Essa assimetria é mais severa que em outros mercados: quando você compra um carro, pode pesquisar preços e qualidade; quando está com dor no peito, confia no médico. Isso cria um problema de</w:t>
      </w:r>
      <w:r>
        <w:t xml:space="preserve"> </w:t>
      </w:r>
      <w:r>
        <w:rPr>
          <w:b/>
          <w:bCs/>
        </w:rPr>
        <w:t xml:space="preserve">agência</w:t>
      </w:r>
      <w:r>
        <w:t xml:space="preserve"> </w:t>
      </w:r>
      <w:r>
        <w:t xml:space="preserve">(Capítulo 19): o médico é simultaneamente conselheiro (agente do paciente) e vendedor (com interesse financeiro no tratamento prescrito).</w:t>
      </w:r>
    </w:p>
    <w:p>
      <w:pPr>
        <w:pStyle w:val="BodyText"/>
      </w:pPr>
      <w:r>
        <w:rPr>
          <w:b/>
          <w:bCs/>
        </w:rPr>
        <w:t xml:space="preserve">3. Externalidades.</w:t>
      </w:r>
      <w:r>
        <w:t xml:space="preserve"> </w:t>
      </w:r>
      <w:r>
        <w:t xml:space="preserve">Muitas intervenções de saúde geram externalidades positivas. A vacinação protege não apenas o vacinado, mas toda a comunidade — criando</w:t>
      </w:r>
      <w:r>
        <w:t xml:space="preserve"> </w:t>
      </w:r>
      <w:r>
        <w:rPr>
          <w:b/>
          <w:bCs/>
        </w:rPr>
        <w:t xml:space="preserve">imunidade de rebanho</w:t>
      </w:r>
      <w:r>
        <w:t xml:space="preserve">. O tratamento de doenças contagiosas reduz a transmissão para terceiros. Em termos do Capítulo 20, a vacinação é um bem com externalidade positiva: o benefício social excede o benefício privado, e o mercado subproduz vacinas em relação ao ótimo.</w:t>
      </w:r>
    </w:p>
    <w:p>
      <w:pPr>
        <w:pStyle w:val="BodyText"/>
      </w:pPr>
      <w:r>
        <w:rPr>
          <w:b/>
          <w:bCs/>
        </w:rPr>
        <w:t xml:space="preserve">4. Bens meritórios e normas sociais.</w:t>
      </w:r>
      <w:r>
        <w:t xml:space="preserve"> </w:t>
      </w:r>
      <w:r>
        <w:t xml:space="preserve">A maioria das sociedades considera que acesso a cuidados médicos básicos é um</w:t>
      </w:r>
      <w:r>
        <w:t xml:space="preserve"> </w:t>
      </w:r>
      <w:r>
        <w:rPr>
          <w:i/>
          <w:iCs/>
        </w:rPr>
        <w:t xml:space="preserve">direito</w:t>
      </w:r>
      <w:r>
        <w:t xml:space="preserve">, não um privilégio de quem pode pagar. Essa norma não se aplica a carros ou smartphones. Arrow reconheceu que essa dimensão normativa afeta a organização dos mercados de saúde: médicos operam sob códigos de ética, hospitais frequentemente são organizações sem fins lucrativos, e governos intervêm maciçamente no financiamento e na provisão de serviços.</w:t>
      </w:r>
    </w:p>
    <w:p>
      <w:pPr>
        <w:pStyle w:val="BlockText"/>
      </w:pPr>
      <w:r>
        <w:rPr>
          <w:b/>
          <w:bCs/>
        </w:rPr>
        <w:t xml:space="preserve">[DEFINICAO] Bem meritório (merit good)</w:t>
      </w:r>
    </w:p>
    <w:p>
      <w:pPr>
        <w:pStyle w:val="BlockText"/>
      </w:pPr>
      <w:r>
        <w:t xml:space="preserve">Um</w:t>
      </w:r>
      <w:r>
        <w:t xml:space="preserve"> </w:t>
      </w:r>
      <w:r>
        <w:rPr>
          <w:b/>
          <w:bCs/>
        </w:rPr>
        <w:t xml:space="preserve">bem meritório</w:t>
      </w:r>
      <w:r>
        <w:t xml:space="preserve"> </w:t>
      </w:r>
      <w:r>
        <w:t xml:space="preserve">é aquele cujo consumo a sociedade deseja encorajar acima do nível que resultaria da escolha individual livre, por considerar que os indivíduos subestimam seus benefícios (por informação incompleta, miopia ou externalidades). Exemplos: educação, vacinação, exames preventivos. O conceito, introduzido por Richard Musgrave (1957), justifica intervenção pública mesmo na ausência de falhas de mercado clássicas — um ponto controverso entre economistas, pois implica que o governo</w:t>
      </w:r>
      <w:r>
        <w:t xml:space="preserve"> </w:t>
      </w:r>
      <w:r>
        <w:t xml:space="preserve">“sabe melhor”</w:t>
      </w:r>
      <w:r>
        <w:t xml:space="preserve"> </w:t>
      </w:r>
      <w:r>
        <w:t xml:space="preserve">que o indivíduo.</w:t>
      </w:r>
    </w:p>
    <w:p>
      <w:pPr>
        <w:pStyle w:val="BlockText"/>
      </w:pPr>
      <w:r>
        <w:rPr>
          <w:b/>
          <w:bCs/>
        </w:rPr>
        <w:t xml:space="preserve">[INTUICAO ECONOMICA] Intuição Econômica</w:t>
      </w:r>
    </w:p>
    <w:p>
      <w:pPr>
        <w:pStyle w:val="BlockText"/>
      </w:pPr>
      <w:r>
        <w:rPr>
          <w:b/>
          <w:bCs/>
        </w:rPr>
        <w:t xml:space="preserve">Em uma frase:</w:t>
      </w:r>
      <w:r>
        <w:t xml:space="preserve"> </w:t>
      </w:r>
      <w:r>
        <w:t xml:space="preserve">O mercado de saúde não é um mercado como os outros — incerteza, assimetria de informação, externalidades e normas sociais justificam intervenção pública de formas que não se aplicam a mercados convencionais.</w:t>
      </w:r>
    </w:p>
    <w:p>
      <w:pPr>
        <w:pStyle w:val="BlockText"/>
      </w:pPr>
      <w:r>
        <w:rPr>
          <w:b/>
          <w:bCs/>
        </w:rPr>
        <w:t xml:space="preserve">Pense assim:</w:t>
      </w:r>
      <w:r>
        <w:t xml:space="preserve"> </w:t>
      </w:r>
      <w:r>
        <w:t xml:space="preserve">Imagine três mercados: café, automóveis e cirurgia cardíaca. No café, você sabe o que quer, pode comparar preços, e se o café for ruim, a consequência é menor. No automóvel, a compra é mais complexa, mas você pode pesquisar, testar e devolver. Na cirurgia, você não sabe se precisa (incerteza), não entende as opções (assimetria de informação), o</w:t>
      </w:r>
      <w:r>
        <w:t xml:space="preserve"> </w:t>
      </w:r>
      <w:r>
        <w:t xml:space="preserve">“vendedor”</w:t>
      </w:r>
      <w:r>
        <w:t xml:space="preserve"> </w:t>
      </w:r>
      <w:r>
        <w:t xml:space="preserve">é quem decide o que você</w:t>
      </w:r>
      <w:r>
        <w:t xml:space="preserve"> </w:t>
      </w:r>
      <w:r>
        <w:t xml:space="preserve">“compra”</w:t>
      </w:r>
      <w:r>
        <w:t xml:space="preserve"> </w:t>
      </w:r>
      <w:r>
        <w:t xml:space="preserve">(agência médica), e se o cirurgião errar, a consequência pode ser a morte. Essas diferenças não são de grau — são de natureza.</w:t>
      </w:r>
    </w:p>
    <w:p>
      <w:pPr>
        <w:pStyle w:val="BlockText"/>
      </w:pPr>
      <w:r>
        <w:rPr>
          <w:b/>
          <w:bCs/>
        </w:rPr>
        <w:t xml:space="preserve">Por que isso importa:</w:t>
      </w:r>
      <w:r>
        <w:t xml:space="preserve"> </w:t>
      </w:r>
      <w:r>
        <w:t xml:space="preserve">Quase 10% do PIB global é gasto em saúde. Se o mercado de saúde funcionasse como o de café, não precisaríamos de SUS, NHS, Medicare ou qualquer sistema público. Arrow mostrou que as falhas de mercado em saúde são tão fundamentais que alguma forma de intervenção é economicamente justificada — o debate é sobre</w:t>
      </w:r>
      <w:r>
        <w:t xml:space="preserve"> </w:t>
      </w:r>
      <w:r>
        <w:rPr>
          <w:i/>
          <w:iCs/>
        </w:rPr>
        <w:t xml:space="preserve">qual</w:t>
      </w:r>
      <w:r>
        <w:t xml:space="preserve"> </w:t>
      </w:r>
      <w:r>
        <w:t xml:space="preserve">forma.</w:t>
      </w:r>
    </w:p>
    <w:bookmarkEnd w:id="1397"/>
    <w:bookmarkStart w:id="1398" w:name="X50cfc665825299920b8faa73ca38b9d0e57e810"/>
    <w:p>
      <w:pPr>
        <w:pStyle w:val="Heading4"/>
      </w:pPr>
      <w:r>
        <w:t xml:space="preserve">23.1.2 Saúde como capital humano: o modelo de Grossman (1972)</w:t>
      </w:r>
    </w:p>
    <w:p>
      <w:pPr>
        <w:pStyle w:val="FirstParagraph"/>
      </w:pPr>
      <w:r>
        <w:t xml:space="preserve">Se Arrow olhou para o mercado de saúde e viu falhas por toda parte, Michael Grossman olhou para o</w:t>
      </w:r>
      <w:r>
        <w:t xml:space="preserve"> </w:t>
      </w:r>
      <w:r>
        <w:rPr>
          <w:i/>
          <w:iCs/>
        </w:rPr>
        <w:t xml:space="preserve">indivíduo</w:t>
      </w:r>
      <w:r>
        <w:t xml:space="preserve"> </w:t>
      </w:r>
      <w:r>
        <w:t xml:space="preserve">e viu uma fábrica. Uma fábrica que produz saúde — e que, infelizmente, enferruja. Grossman propôs uma abordagem complementar à de Arrow, tratando a</w:t>
      </w:r>
      <w:r>
        <w:t xml:space="preserve"> </w:t>
      </w:r>
      <w:r>
        <w:rPr>
          <w:b/>
          <w:bCs/>
        </w:rPr>
        <w:t xml:space="preserve">saúde como um estoque de capital durável</w:t>
      </w:r>
      <w:r>
        <w:t xml:space="preserve"> </w:t>
      </w:r>
      <w:r>
        <w:t xml:space="preserve">— análogo ao capital físico das firmas (Capítulo 10) ou ao capital humano de Becker. O indivíduo nasce com um estoque de saúde</w:t>
      </w:r>
      <w:r>
        <w:t xml:space="preserve"> </w:t>
      </w:r>
      <m:oMath>
        <m:sSub>
          <m:e>
            <m:r>
              <m:t>H</m:t>
            </m:r>
          </m:e>
          <m:sub>
            <m:r>
              <m:t>0</m:t>
            </m:r>
          </m:sub>
        </m:sSub>
      </m:oMath>
      <w:r>
        <w:t xml:space="preserve">, que se deprecia ao longo do tempo (envelhecimento) e pode ser aumentado por investimento (cuidados médicos, exercício, alimentação).</w:t>
      </w:r>
    </w:p>
    <w:p>
      <w:pPr>
        <w:pStyle w:val="BodyText"/>
      </w:pPr>
      <w:r>
        <w:t xml:space="preserve">Formalmente, a dinâmica do estoque de saúde é:</w:t>
      </w:r>
    </w:p>
    <w:p>
      <w:pPr>
        <w:pStyle w:val="BodyText"/>
      </w:pPr>
      <w:r>
        <w:t xml:space="preserve">$$
    H_{t+1} = H_t - \delta_t H_t + I_t \tag{23.3}
    $$</w:t>
      </w:r>
    </w:p>
    <w:p>
      <w:pPr>
        <w:pStyle w:val="FirstParagraph"/>
      </w:pPr>
      <w:r>
        <w:t xml:space="preserve">onde</w:t>
      </w:r>
      <w:r>
        <w:t xml:space="preserve"> </w:t>
      </w:r>
      <m:oMath>
        <m:sSub>
          <m:e>
            <m:r>
              <m:t>δ</m:t>
            </m:r>
          </m:e>
          <m:sub>
            <m:r>
              <m:t>t</m:t>
            </m:r>
          </m:sub>
        </m:sSub>
      </m:oMath>
      <w:r>
        <w:t xml:space="preserve"> </w:t>
      </w:r>
      <w:r>
        <w:t xml:space="preserve">é a taxa de depreciação (que aumenta com a idade) e</w:t>
      </w:r>
      <w:r>
        <w:t xml:space="preserve"> </w:t>
      </w:r>
      <m:oMath>
        <m:sSub>
          <m:e>
            <m:r>
              <m:t>I</m:t>
            </m:r>
          </m:e>
          <m:sub>
            <m:r>
              <m:t>t</m:t>
            </m:r>
          </m:sub>
        </m:sSub>
      </m:oMath>
      <w:r>
        <w:t xml:space="preserve"> </w:t>
      </w:r>
      <w:r>
        <w:t xml:space="preserve">é o investimento bruto em saúde no período</w:t>
      </w:r>
      <w:r>
        <w:t xml:space="preserve"> </w:t>
      </w:r>
      <m:oMath>
        <m:r>
          <m:t>t</m:t>
        </m:r>
      </m:oMath>
      <w:r>
        <w:t xml:space="preserve">. O investimento depende de insumos — tempo dedicado à saúde (</w:t>
      </w:r>
      <m:oMath>
        <m:sSubSup>
          <m:e>
            <m:r>
              <m:t>τ</m:t>
            </m:r>
          </m:e>
          <m:sub>
            <m:r>
              <m:t>t</m:t>
            </m:r>
          </m:sub>
          <m:sup>
            <m:r>
              <m:t>H</m:t>
            </m:r>
          </m:sup>
        </m:sSubSup>
      </m:oMath>
      <w:r>
        <w:t xml:space="preserve">) e cuidados médicos (</w:t>
      </w:r>
      <m:oMath>
        <m:sSub>
          <m:e>
            <m:r>
              <m:t>m</m:t>
            </m:r>
          </m:e>
          <m:sub>
            <m:r>
              <m:t>t</m:t>
            </m:r>
          </m:sub>
        </m:sSub>
      </m:oMath>
      <w:r>
        <w:t xml:space="preserve">):</w:t>
      </w:r>
    </w:p>
    <w:p>
      <w:pPr>
        <w:pStyle w:val="BodyText"/>
      </w:pPr>
      <m:oMathPara>
        <m:oMathParaPr>
          <m:jc m:val="center"/>
        </m:oMathParaPr>
        <m:oMath>
          <m:sSub>
            <m:e>
              <m:r>
                <m:t>I</m:t>
              </m:r>
            </m:e>
            <m:sub>
              <m:r>
                <m:t>t</m:t>
              </m:r>
            </m:sub>
          </m:sSub>
          <m:r>
            <m:rPr>
              <m:sty m:val="p"/>
            </m:rPr>
            <m:t>=</m:t>
          </m:r>
          <m:r>
            <m:t>I</m:t>
          </m:r>
          <m:r>
            <m:rPr>
              <m:sty m:val="p"/>
            </m:rPr>
            <m:t>(</m:t>
          </m:r>
          <m:sSub>
            <m:e>
              <m:r>
                <m:t>m</m:t>
              </m:r>
            </m:e>
            <m:sub>
              <m:r>
                <m:t>t</m:t>
              </m:r>
            </m:sub>
          </m:sSub>
          <m:r>
            <m:rPr>
              <m:sty m:val="p"/>
            </m:rPr>
            <m:t>,</m:t>
          </m:r>
          <m:sSubSup>
            <m:e>
              <m:r>
                <m:t>τ</m:t>
              </m:r>
            </m:e>
            <m:sub>
              <m:r>
                <m:t>t</m:t>
              </m:r>
            </m:sub>
            <m:sup>
              <m:r>
                <m:t>H</m:t>
              </m:r>
            </m:sup>
          </m:sSubSup>
          <m:r>
            <m:rPr>
              <m:sty m:val="p"/>
            </m:rPr>
            <m:t>;</m:t>
          </m:r>
          <m:r>
            <m:t>E</m:t>
          </m:r>
          <m:r>
            <m:rPr>
              <m:sty m:val="p"/>
            </m:rPr>
            <m:t>)</m:t>
          </m:r>
        </m:oMath>
      </m:oMathPara>
    </w:p>
    <w:p>
      <w:pPr>
        <w:pStyle w:val="FirstParagraph"/>
      </w:pPr>
      <w:r>
        <w:t xml:space="preserve">onde</w:t>
      </w:r>
      <w:r>
        <w:t xml:space="preserve"> </w:t>
      </w:r>
      <m:oMath>
        <m:r>
          <m:t>E</m:t>
        </m:r>
      </m:oMath>
      <w:r>
        <w:t xml:space="preserve"> </w:t>
      </w:r>
      <w:r>
        <w:t xml:space="preserve">é o nível de educação, que aumenta a eficiência do investimento em saúde (pessoas mais educadas produzem mais saúde com os mesmos insumos).</w:t>
      </w:r>
    </w:p>
    <w:p>
      <w:pPr>
        <w:pStyle w:val="BodyText"/>
      </w:pPr>
      <w:r>
        <w:t xml:space="preserve">O indivíduo maximiza utilidade intertemporal:</w:t>
      </w:r>
    </w:p>
    <w:p>
      <w:pPr>
        <w:pStyle w:val="BodyText"/>
      </w:pPr>
      <m:oMathPara>
        <m:oMathParaPr>
          <m:jc m:val="center"/>
        </m:oMathParaPr>
        <m:oMath>
          <m:r>
            <m:rPr>
              <m:sty m:val="p"/>
            </m:rPr>
            <m:t>max</m:t>
          </m:r>
          <m:nary>
            <m:naryPr>
              <m:chr m:val="∑"/>
              <m:limLoc m:val="undOvr"/>
              <m:subHide m:val="off"/>
              <m:supHide m:val="off"/>
            </m:naryPr>
            <m:sub>
              <m:r>
                <m:t>t</m:t>
              </m:r>
              <m:r>
                <m:rPr>
                  <m:sty m:val="p"/>
                </m:rPr>
                <m:t>=</m:t>
              </m:r>
              <m:r>
                <m:t>0</m:t>
              </m:r>
            </m:sub>
            <m:sup>
              <m:r>
                <m:t>T</m:t>
              </m:r>
            </m:sup>
            <m:e>
              <m:sSup>
                <m:e>
                  <m:r>
                    <m:t>β</m:t>
                  </m:r>
                </m:e>
                <m:sup>
                  <m:r>
                    <m:t>t</m:t>
                  </m:r>
                </m:sup>
              </m:sSup>
            </m:e>
          </m:nary>
          <m:r>
            <m:t> </m:t>
          </m:r>
          <m:r>
            <m:t>u</m:t>
          </m:r>
          <m:r>
            <m:rPr>
              <m:sty m:val="p"/>
            </m:rPr>
            <m:t>(</m:t>
          </m:r>
          <m:sSub>
            <m:e>
              <m:r>
                <m:t>C</m:t>
              </m:r>
            </m:e>
            <m:sub>
              <m:r>
                <m:t>t</m:t>
              </m:r>
            </m:sub>
          </m:sSub>
          <m:r>
            <m:rPr>
              <m:sty m:val="p"/>
            </m:rPr>
            <m:t>,</m:t>
          </m:r>
          <m:sSub>
            <m:e>
              <m:r>
                <m:t>h</m:t>
              </m:r>
            </m:e>
            <m:sub>
              <m:r>
                <m:t>t</m:t>
              </m:r>
            </m:sub>
          </m:sSub>
          <m:r>
            <m:rPr>
              <m:sty m:val="p"/>
            </m:rPr>
            <m:t>)</m:t>
          </m:r>
        </m:oMath>
      </m:oMathPara>
    </w:p>
    <w:p>
      <w:pPr>
        <w:pStyle w:val="FirstParagraph"/>
      </w:pPr>
      <w:r>
        <w:t xml:space="preserve">onde</w:t>
      </w:r>
      <w:r>
        <w:t xml:space="preserve"> </w:t>
      </w:r>
      <m:oMath>
        <m:sSub>
          <m:e>
            <m:r>
              <m:t>C</m:t>
            </m:r>
          </m:e>
          <m:sub>
            <m:r>
              <m:t>t</m:t>
            </m:r>
          </m:sub>
        </m:sSub>
      </m:oMath>
      <w:r>
        <w:t xml:space="preserve"> </w:t>
      </w:r>
      <w:r>
        <w:t xml:space="preserve">é consumo de outros bens,</w:t>
      </w:r>
      <w:r>
        <w:t xml:space="preserve"> </w:t>
      </w:r>
      <m:oMath>
        <m:sSub>
          <m:e>
            <m:r>
              <m:t>h</m:t>
            </m:r>
          </m:e>
          <m:sub>
            <m:r>
              <m:t>t</m:t>
            </m:r>
          </m:sub>
        </m:sSub>
      </m:oMath>
      <w:r>
        <w:t xml:space="preserve"> </w:t>
      </w:r>
      <w:r>
        <w:t xml:space="preserve">é o fluxo de</w:t>
      </w:r>
      <w:r>
        <w:t xml:space="preserve"> </w:t>
      </w:r>
      <w:r>
        <w:t xml:space="preserve">“dias saudáveis”</w:t>
      </w:r>
      <w:r>
        <w:t xml:space="preserve"> </w:t>
      </w:r>
      <w:r>
        <w:t xml:space="preserve">(proporcionais a</w:t>
      </w:r>
      <w:r>
        <w:t xml:space="preserve"> </w:t>
      </w:r>
      <m:oMath>
        <m:sSub>
          <m:e>
            <m:r>
              <m:t>H</m:t>
            </m:r>
          </m:e>
          <m:sub>
            <m:r>
              <m:t>t</m:t>
            </m:r>
          </m:sub>
        </m:sSub>
      </m:oMath>
      <w:r>
        <w:t xml:space="preserve">), e</w:t>
      </w:r>
      <w:r>
        <w:t xml:space="preserve"> </w:t>
      </w:r>
      <m:oMath>
        <m:r>
          <m:t>β</m:t>
        </m:r>
      </m:oMath>
      <w:r>
        <w:t xml:space="preserve"> </w:t>
      </w:r>
      <w:r>
        <w:t xml:space="preserve">é o fator de desconto intertemporal (Capítulo 18). A restrição orçamentária inclui o custo dos cuidados médicos e o custo de oportunidade do tempo dedicado à saúde.</w:t>
      </w:r>
    </w:p>
    <w:p>
      <w:pPr>
        <w:pStyle w:val="BlockText"/>
      </w:pPr>
      <w:r>
        <w:rPr>
          <w:b/>
          <w:bCs/>
        </w:rPr>
        <w:t xml:space="preserve">[DEFINICAO] Modelo de Grossman</w:t>
      </w:r>
    </w:p>
    <w:p>
      <w:pPr>
        <w:pStyle w:val="BlockText"/>
      </w:pPr>
      <w:r>
        <w:t xml:space="preserve">O modelo de Grossman distingue entre</w:t>
      </w:r>
      <w:r>
        <w:t xml:space="preserve"> </w:t>
      </w:r>
      <w:r>
        <w:rPr>
          <w:b/>
          <w:bCs/>
        </w:rPr>
        <w:t xml:space="preserve">demanda por saúde</w:t>
      </w:r>
      <w:r>
        <w:t xml:space="preserve"> </w:t>
      </w:r>
      <w:r>
        <w:t xml:space="preserve">e</w:t>
      </w:r>
      <w:r>
        <w:t xml:space="preserve"> </w:t>
      </w:r>
      <w:r>
        <w:rPr>
          <w:b/>
          <w:bCs/>
        </w:rPr>
        <w:t xml:space="preserve">demanda por cuidados médicos</w:t>
      </w:r>
      <w:r>
        <w:t xml:space="preserve">. A saúde é o objetivo final (bem de consumo e de investimento); os cuidados médicos são um</w:t>
      </w:r>
      <w:r>
        <w:t xml:space="preserve"> </w:t>
      </w:r>
      <w:r>
        <w:rPr>
          <w:i/>
          <w:iCs/>
        </w:rPr>
        <w:t xml:space="preserve">insumo</w:t>
      </w:r>
      <w:r>
        <w:t xml:space="preserve"> </w:t>
      </w:r>
      <w:r>
        <w:t xml:space="preserve">para produzir saúde. Assim como a demanda por aço deriva da demanda por carros, a demanda por consultas médicas e medicamentos deriva da demanda por estar saudável. Essa distinção é crucial: políticas que aumentam a oferta de serviços médicos não necessariamente melhoram a saúde da população.</w:t>
      </w:r>
    </w:p>
    <w:p>
      <w:pPr>
        <w:pStyle w:val="FirstParagraph"/>
      </w:pPr>
      <w:r>
        <w:t xml:space="preserve">O modelo gera várias previsões testáveis:</w:t>
      </w:r>
    </w:p>
    <w:p>
      <w:pPr>
        <w:numPr>
          <w:ilvl w:val="0"/>
          <w:numId w:val="2248"/>
        </w:numPr>
      </w:pPr>
      <w:r>
        <w:rPr>
          <w:b/>
          <w:bCs/>
        </w:rPr>
        <w:t xml:space="preserve">A demanda por saúde diminui com a idade</w:t>
      </w:r>
      <w:r>
        <w:t xml:space="preserve">, porque</w:t>
      </w:r>
      <w:r>
        <w:t xml:space="preserve"> </w:t>
      </w:r>
      <m:oMath>
        <m:sSub>
          <m:e>
            <m:r>
              <m:t>δ</m:t>
            </m:r>
          </m:e>
          <m:sub>
            <m:r>
              <m:t>t</m:t>
            </m:r>
          </m:sub>
        </m:sSub>
      </m:oMath>
      <w:r>
        <w:t xml:space="preserve"> </w:t>
      </w:r>
      <w:r>
        <w:t xml:space="preserve">aumenta: manter o estoque de saúde fica mais caro. Eventualmente,</w:t>
      </w:r>
      <w:r>
        <w:t xml:space="preserve"> </w:t>
      </w:r>
      <m:oMath>
        <m:sSub>
          <m:e>
            <m:r>
              <m:t>H</m:t>
            </m:r>
          </m:e>
          <m:sub>
            <m:r>
              <m:t>t</m:t>
            </m:r>
          </m:sub>
        </m:sSub>
      </m:oMath>
      <w:r>
        <w:t xml:space="preserve"> </w:t>
      </w:r>
      <w:r>
        <w:t xml:space="preserve">cai abaixo de um limiar mínimo</w:t>
      </w:r>
      <w:r>
        <w:t xml:space="preserve"> </w:t>
      </w:r>
      <m:oMath>
        <m:sSub>
          <m:e>
            <m:r>
              <m:t>H</m:t>
            </m:r>
          </m:e>
          <m:sub>
            <m:r>
              <m:rPr>
                <m:sty m:val="p"/>
              </m:rPr>
              <m:t>min</m:t>
            </m:r>
          </m:sub>
        </m:sSub>
      </m:oMath>
      <w:r>
        <w:t xml:space="preserve">, e o indivíduo morre.</w:t>
      </w:r>
    </w:p>
    <w:p>
      <w:pPr>
        <w:numPr>
          <w:ilvl w:val="0"/>
          <w:numId w:val="2248"/>
        </w:numPr>
      </w:pPr>
      <w:r>
        <w:rPr>
          <w:b/>
          <w:bCs/>
        </w:rPr>
        <w:t xml:space="preserve">Pessoas mais educadas investem mais em saúde</w:t>
      </w:r>
      <w:r>
        <w:t xml:space="preserve">, porque a educação aumenta a eficiência da produção de saúde. Isso explica parte do</w:t>
      </w:r>
      <w:r>
        <w:t xml:space="preserve"> </w:t>
      </w:r>
      <w:r>
        <w:t xml:space="preserve">“gradiente educação-saúde”</w:t>
      </w:r>
      <w:r>
        <w:t xml:space="preserve"> </w:t>
      </w:r>
      <w:r>
        <w:t xml:space="preserve">observado em todos os países.</w:t>
      </w:r>
    </w:p>
    <w:p>
      <w:pPr>
        <w:numPr>
          <w:ilvl w:val="0"/>
          <w:numId w:val="2248"/>
        </w:numPr>
      </w:pPr>
      <w:r>
        <w:rPr>
          <w:b/>
          <w:bCs/>
        </w:rPr>
        <w:t xml:space="preserve">Aumentos no salário têm efeito ambíguo</w:t>
      </w:r>
      <w:r>
        <w:t xml:space="preserve">: aumentam o custo de oportunidade do tempo dedicado à saúde (efeito substituição negativo), mas também aumentam a renda (efeito renda positivo).</w:t>
      </w:r>
    </w:p>
    <w:p>
      <w:pPr>
        <w:numPr>
          <w:ilvl w:val="0"/>
          <w:numId w:val="2248"/>
        </w:numPr>
      </w:pPr>
      <w:r>
        <w:rPr>
          <w:b/>
          <w:bCs/>
        </w:rPr>
        <w:t xml:space="preserve">A demanda por cuidados médicos é demanda derivada</w:t>
      </w:r>
      <w:r>
        <w:t xml:space="preserve">: depende do preço dos cuidados, mas também da taxa de depreciação, do salário, e da educação.</w:t>
      </w:r>
    </w:p>
    <w:p>
      <w:pPr>
        <w:pStyle w:val="FirstParagraph"/>
      </w:pPr>
      <w:r>
        <w:t xml:space="preserve">No gráfico interativo abaixo, simule a trajetória do estoque de saúde ao longo da vida. Ajuste a depreciação e o investimento em saúde para ver quando</w:t>
      </w:r>
      <w:r>
        <w:t xml:space="preserve"> </w:t>
      </w:r>
      <m:oMath>
        <m:r>
          <m:t>H</m:t>
        </m:r>
        <m:r>
          <m:rPr>
            <m:sty m:val="p"/>
          </m:rPr>
          <m:t>(</m:t>
        </m:r>
        <m:r>
          <m:t>t</m:t>
        </m:r>
        <m:r>
          <m:rPr>
            <m:sty m:val="p"/>
          </m:rPr>
          <m:t>)</m:t>
        </m:r>
      </m:oMath>
      <w:r>
        <w:t xml:space="preserve"> </w:t>
      </w:r>
      <w:r>
        <w:t xml:space="preserve">cruza o limiar mínimo — e como o envelhecimento (depreciação crescente) exige investimentos cada vez maiores.</w:t>
      </w:r>
    </w:p>
    <w:p>
      <w:pPr>
        <w:pStyle w:val="BodyText"/>
      </w:pPr>
      <w:r>
        <w:t xml:space="preserve">[FIGURA INTERATIVA: /micro-book/graficos/cap23/grossman-capital-saude.html — versao interativa disponivel online]</w:t>
      </w:r>
    </w:p>
    <w:p>
      <w:pPr>
        <w:pStyle w:val="BodyText"/>
      </w:pPr>
      <w:r>
        <w:rPr>
          <w:b/>
          <w:bCs/>
        </w:rPr>
        <w:t xml:space="preserve">Figura 23.1 — Capital de Saúde no Modelo de Grossman.</w:t>
      </w:r>
      <w:r>
        <w:t xml:space="preserve"> </w:t>
      </w:r>
      <w:r>
        <w:t xml:space="preserve">Painel superior: estoque de saúde</w:t>
      </w:r>
      <w:r>
        <w:t xml:space="preserve"> </w:t>
      </w:r>
      <m:oMath>
        <m:r>
          <m:t>H</m:t>
        </m:r>
        <m:r>
          <m:rPr>
            <m:sty m:val="p"/>
          </m:rPr>
          <m:t>(</m:t>
        </m:r>
        <m:r>
          <m:t>t</m:t>
        </m:r>
        <m:r>
          <m:rPr>
            <m:sty m:val="p"/>
          </m:rPr>
          <m:t>)</m:t>
        </m:r>
      </m:oMath>
      <w:r>
        <w:t xml:space="preserve"> </w:t>
      </w:r>
      <w:r>
        <w:t xml:space="preserve">que decresce com a idade à medida que a depreciação</w:t>
      </w:r>
      <w:r>
        <w:t xml:space="preserve"> </w:t>
      </w:r>
      <m:oMath>
        <m:r>
          <m:t>δ</m:t>
        </m:r>
        <m:r>
          <m:rPr>
            <m:sty m:val="p"/>
          </m:rPr>
          <m:t>(</m:t>
        </m:r>
        <m:r>
          <m:t>t</m:t>
        </m:r>
        <m:r>
          <m:rPr>
            <m:sty m:val="p"/>
          </m:rPr>
          <m:t>)</m:t>
        </m:r>
      </m:oMath>
      <w:r>
        <w:t xml:space="preserve"> </w:t>
      </w:r>
      <w:r>
        <w:t xml:space="preserve">acelera (painel inferior). O investimento</w:t>
      </w:r>
      <w:r>
        <w:t xml:space="preserve"> </w:t>
      </w:r>
      <m:oMath>
        <m:r>
          <m:t>I</m:t>
        </m:r>
      </m:oMath>
      <w:r>
        <w:t xml:space="preserve"> </w:t>
      </w:r>
      <w:r>
        <w:t xml:space="preserve">retarda a queda, mas eventualmente a depreciação vence — a menos que o investimento cresça com a idade.</w:t>
      </w:r>
    </w:p>
    <w:bookmarkEnd w:id="1398"/>
    <w:bookmarkEnd w:id="1399"/>
    <w:bookmarkStart w:id="1403" w:name="Xf0f5c96ca8457ccd84c30f91c0555bd7e615c81"/>
    <w:p>
      <w:pPr>
        <w:pStyle w:val="Heading3"/>
      </w:pPr>
      <w:r>
        <w:t xml:space="preserve">23.2 Demanda por saúde e por cuidados médicos</w:t>
      </w:r>
    </w:p>
    <w:bookmarkStart w:id="1400" w:name="X818449d949227282199a9fc1b0b982a22831a65"/>
    <w:p>
      <w:pPr>
        <w:pStyle w:val="Heading4"/>
      </w:pPr>
      <w:r>
        <w:t xml:space="preserve">23.2.1 Demanda derivada: saúde vs. cuidados médicos</w:t>
      </w:r>
    </w:p>
    <w:p>
      <w:pPr>
        <w:pStyle w:val="FirstParagraph"/>
      </w:pPr>
      <w:r>
        <w:t xml:space="preserve">A distinção central do modelo de Grossman (Seção 23.1.2) é que</w:t>
      </w:r>
      <w:r>
        <w:t xml:space="preserve"> </w:t>
      </w:r>
      <w:r>
        <w:rPr>
          <w:b/>
          <w:bCs/>
        </w:rPr>
        <w:t xml:space="preserve">cuidados médicos não são o bem final</w:t>
      </w:r>
      <w:r>
        <w:t xml:space="preserve"> </w:t>
      </w:r>
      <w:r>
        <w:t xml:space="preserve">— saúde é. A demanda por consultas, exames e medicamentos é</w:t>
      </w:r>
      <w:r>
        <w:t xml:space="preserve"> </w:t>
      </w:r>
      <w:r>
        <w:rPr>
          <w:i/>
          <w:iCs/>
        </w:rPr>
        <w:t xml:space="preserve">derivada</w:t>
      </w:r>
      <w:r>
        <w:t xml:space="preserve"> </w:t>
      </w:r>
      <w:r>
        <w:t xml:space="preserve">da demanda por saúde, assim como a demanda por aço é derivada da demanda por automóveis (Capítulo 10).</w:t>
      </w:r>
    </w:p>
    <w:p>
      <w:pPr>
        <w:pStyle w:val="BodyText"/>
      </w:pPr>
      <w:r>
        <w:t xml:space="preserve">Isso tem implicações profundas para política pública. Se o governo constrói 100 novas UPAs, isso aumenta a oferta de cuidados médicos — mas não necessariamente a saúde da população. Saneamento básico, educação nutricional e redução da poluição podem ser insumos mais produtivos na</w:t>
      </w:r>
      <w:r>
        <w:t xml:space="preserve"> </w:t>
      </w:r>
      <w:r>
        <w:t xml:space="preserve">“função de produção de saúde”</w:t>
      </w:r>
      <w:r>
        <w:t xml:space="preserve"> </w:t>
      </w:r>
      <w:r>
        <w:t xml:space="preserve">do que mais consultas médicas.</w:t>
      </w:r>
    </w:p>
    <w:p>
      <w:pPr>
        <w:pStyle w:val="BodyText"/>
      </w:pPr>
      <w:r>
        <w:t xml:space="preserve">Formalmente, a função de produção de saúde do indivíduo é:</w:t>
      </w:r>
    </w:p>
    <w:p>
      <w:pPr>
        <w:pStyle w:val="BodyText"/>
      </w:pPr>
      <m:oMathPara>
        <m:oMathParaPr>
          <m:jc m:val="center"/>
        </m:oMathParaPr>
        <m:oMath>
          <m:sSub>
            <m:e>
              <m:r>
                <m:t>I</m:t>
              </m:r>
            </m:e>
            <m:sub>
              <m:r>
                <m:t>t</m:t>
              </m:r>
            </m:sub>
          </m:sSub>
          <m:r>
            <m:rPr>
              <m:sty m:val="p"/>
            </m:rPr>
            <m:t>=</m:t>
          </m:r>
          <m:r>
            <m:t>I</m:t>
          </m:r>
          <m:r>
            <m:rPr>
              <m:sty m:val="p"/>
            </m:rPr>
            <m:t>(</m:t>
          </m:r>
          <m:sSub>
            <m:e>
              <m:r>
                <m:t>m</m:t>
              </m:r>
            </m:e>
            <m:sub>
              <m:r>
                <m:t>t</m:t>
              </m:r>
            </m:sub>
          </m:sSub>
          <m:r>
            <m:rPr>
              <m:sty m:val="p"/>
            </m:rPr>
            <m:t>,</m:t>
          </m:r>
          <m:sSubSup>
            <m:e>
              <m:r>
                <m:t>τ</m:t>
              </m:r>
            </m:e>
            <m:sub>
              <m:r>
                <m:t>t</m:t>
              </m:r>
            </m:sub>
            <m:sup>
              <m:r>
                <m:t>H</m:t>
              </m:r>
            </m:sup>
          </m:sSubSup>
          <m:r>
            <m:rPr>
              <m:sty m:val="p"/>
            </m:rPr>
            <m:t>;</m:t>
          </m:r>
          <m:r>
            <m:t>E</m:t>
          </m:r>
          <m:r>
            <m:rPr>
              <m:sty m:val="p"/>
            </m:rPr>
            <m:t>)</m:t>
          </m:r>
        </m:oMath>
      </m:oMathPara>
    </w:p>
    <w:p>
      <w:pPr>
        <w:pStyle w:val="FirstParagraph"/>
      </w:pPr>
      <w:r>
        <w:t xml:space="preserve">onde</w:t>
      </w:r>
      <w:r>
        <w:t xml:space="preserve"> </w:t>
      </w:r>
      <m:oMath>
        <m:sSub>
          <m:e>
            <m:r>
              <m:t>m</m:t>
            </m:r>
          </m:e>
          <m:sub>
            <m:r>
              <m:t>t</m:t>
            </m:r>
          </m:sub>
        </m:sSub>
      </m:oMath>
      <w:r>
        <w:t xml:space="preserve"> </w:t>
      </w:r>
      <w:r>
        <w:t xml:space="preserve">são cuidados médicos,</w:t>
      </w:r>
      <w:r>
        <w:t xml:space="preserve"> </w:t>
      </w:r>
      <m:oMath>
        <m:sSubSup>
          <m:e>
            <m:r>
              <m:t>τ</m:t>
            </m:r>
          </m:e>
          <m:sub>
            <m:r>
              <m:t>t</m:t>
            </m:r>
          </m:sub>
          <m:sup>
            <m:r>
              <m:t>H</m:t>
            </m:r>
          </m:sup>
        </m:sSubSup>
      </m:oMath>
      <w:r>
        <w:t xml:space="preserve"> </w:t>
      </w:r>
      <w:r>
        <w:t xml:space="preserve">é tempo dedicado à saúde e</w:t>
      </w:r>
      <w:r>
        <w:t xml:space="preserve"> </w:t>
      </w:r>
      <m:oMath>
        <m:r>
          <m:t>E</m:t>
        </m:r>
      </m:oMath>
      <w:r>
        <w:t xml:space="preserve"> </w:t>
      </w:r>
      <w:r>
        <w:t xml:space="preserve">é educação. A demanda por</w:t>
      </w:r>
      <w:r>
        <w:t xml:space="preserve"> </w:t>
      </w:r>
      <m:oMath>
        <m:sSub>
          <m:e>
            <m:r>
              <m:t>m</m:t>
            </m:r>
          </m:e>
          <m:sub>
            <m:r>
              <m:t>t</m:t>
            </m:r>
          </m:sub>
        </m:sSub>
      </m:oMath>
      <w:r>
        <w:t xml:space="preserve"> </w:t>
      </w:r>
      <w:r>
        <w:t xml:space="preserve">depende do preço dos cuidados (</w:t>
      </w:r>
      <m:oMath>
        <m:sSub>
          <m:e>
            <m:r>
              <m:t>p</m:t>
            </m:r>
          </m:e>
          <m:sub>
            <m:r>
              <m:t>m</m:t>
            </m:r>
          </m:sub>
        </m:sSub>
      </m:oMath>
      <w:r>
        <w:t xml:space="preserve">), do salário (</w:t>
      </w:r>
      <m:oMath>
        <m:r>
          <m:t>w</m:t>
        </m:r>
      </m:oMath>
      <w:r>
        <w:t xml:space="preserve">, que determina o custo de oportunidade do tempo), da taxa de depreciação (</w:t>
      </w:r>
      <m:oMath>
        <m:sSub>
          <m:e>
            <m:r>
              <m:t>δ</m:t>
            </m:r>
          </m:e>
          <m:sub>
            <m:r>
              <m:t>t</m:t>
            </m:r>
          </m:sub>
        </m:sSub>
      </m:oMath>
      <w:r>
        <w:t xml:space="preserve">) e da educação:</w:t>
      </w:r>
    </w:p>
    <w:p>
      <w:pPr>
        <w:pStyle w:val="BodyText"/>
      </w:pPr>
      <m:oMathPara>
        <m:oMathParaPr>
          <m:jc m:val="center"/>
        </m:oMathParaPr>
        <m:oMath>
          <m:sSubSup>
            <m:e>
              <m:r>
                <m:t>m</m:t>
              </m:r>
            </m:e>
            <m:sub>
              <m:r>
                <m:t>t</m:t>
              </m:r>
            </m:sub>
            <m:sup>
              <m:r>
                <m:rPr>
                  <m:sty m:val="p"/>
                </m:rPr>
                <m:t>*</m:t>
              </m:r>
            </m:sup>
          </m:sSubSup>
          <m:r>
            <m:rPr>
              <m:sty m:val="p"/>
            </m:rPr>
            <m:t>=</m:t>
          </m:r>
          <m:r>
            <m:t>m</m:t>
          </m:r>
          <m:r>
            <m:rPr>
              <m:sty m:val="p"/>
            </m:rPr>
            <m:t>(</m:t>
          </m:r>
          <m:sSub>
            <m:e>
              <m:r>
                <m:t>p</m:t>
              </m:r>
            </m:e>
            <m:sub>
              <m:r>
                <m:t>m</m:t>
              </m:r>
            </m:sub>
          </m:sSub>
          <m:r>
            <m:rPr>
              <m:sty m:val="p"/>
            </m:rPr>
            <m:t>,</m:t>
          </m:r>
          <m:r>
            <m:t>w</m:t>
          </m:r>
          <m:r>
            <m:rPr>
              <m:sty m:val="p"/>
            </m:rPr>
            <m:t>,</m:t>
          </m:r>
          <m:sSub>
            <m:e>
              <m:r>
                <m:t>δ</m:t>
              </m:r>
            </m:e>
            <m:sub>
              <m:r>
                <m:t>t</m:t>
              </m:r>
            </m:sub>
          </m:sSub>
          <m:r>
            <m:rPr>
              <m:sty m:val="p"/>
            </m:rPr>
            <m:t>,</m:t>
          </m:r>
          <m:r>
            <m:t>E</m:t>
          </m:r>
          <m:r>
            <m:rPr>
              <m:sty m:val="p"/>
            </m:rPr>
            <m:t>)</m:t>
          </m:r>
        </m:oMath>
      </m:oMathPara>
    </w:p>
    <w:p>
      <w:pPr>
        <w:pStyle w:val="FirstParagraph"/>
      </w:pPr>
      <w:r>
        <w:t xml:space="preserve">A elasticidade-preço da demanda por cuidados médicos é uma das questões empíricas mais importantes da economia da saúde: se a demanda é muito inelástica, copagamentos são ineficazes para conter custos; se é elástica, copagamentos reduzem uso mas podem reduzir cuidados necessários junto com os desnecessários.</w:t>
      </w:r>
    </w:p>
    <w:bookmarkEnd w:id="1400"/>
    <w:bookmarkStart w:id="1401" w:name="o-rand-health-insurance-experiment"/>
    <w:p>
      <w:pPr>
        <w:pStyle w:val="Heading4"/>
      </w:pPr>
      <w:r>
        <w:t xml:space="preserve">23.2.2 O RAND Health Insurance Experiment</w:t>
      </w:r>
    </w:p>
    <w:p>
      <w:pPr>
        <w:pStyle w:val="FirstParagraph"/>
      </w:pPr>
      <w:r>
        <w:t xml:space="preserve">O</w:t>
      </w:r>
      <w:r>
        <w:t xml:space="preserve"> </w:t>
      </w:r>
      <w:r>
        <w:rPr>
          <w:b/>
          <w:bCs/>
        </w:rPr>
        <w:t xml:space="preserve">RAND Health Insurance Experiment</w:t>
      </w:r>
      <w:r>
        <w:t xml:space="preserve"> </w:t>
      </w:r>
      <w:r>
        <w:t xml:space="preserve">(Manning et al., 1987) é um dos maiores e mais influentes experimentos sociais já realizados — e, para economistas da saúde, é o equivalente do experimento de Michelson-Morley para a física: antes e depois dele, o mundo é diferente.</w:t>
      </w:r>
    </w:p>
    <w:p>
      <w:pPr>
        <w:pStyle w:val="BodyText"/>
      </w:pPr>
      <w:r>
        <w:t xml:space="preserve">Entre 1974 e 1982, o RAND Corporation designou aleatoriamente 2.750 famílias americanas para planos de saúde com diferentes níveis de copagamento: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Plano</w:t>
            </w:r>
          </w:p>
        </w:tc>
        <w:tc>
          <w:tcPr/>
          <w:p>
            <w:pPr>
              <w:pStyle w:val="Compact"/>
              <w:jc w:val="left"/>
            </w:pPr>
            <w:r>
              <w:t xml:space="preserve">Copagamento</w:t>
            </w:r>
          </w:p>
        </w:tc>
        <w:tc>
          <w:tcPr/>
          <w:p>
            <w:pPr>
              <w:pStyle w:val="Compact"/>
              <w:jc w:val="left"/>
            </w:pPr>
            <w:r>
              <w:t xml:space="preserve">Gasto médio anual</w:t>
            </w:r>
          </w:p>
        </w:tc>
      </w:tr>
      <w:tr>
        <w:tc>
          <w:tcPr/>
          <w:p>
            <w:pPr>
              <w:pStyle w:val="Compact"/>
              <w:jc w:val="left"/>
            </w:pPr>
            <w:r>
              <w:t xml:space="preserve">Gratuito</w:t>
            </w:r>
          </w:p>
        </w:tc>
        <w:tc>
          <w:tcPr/>
          <w:p>
            <w:pPr>
              <w:pStyle w:val="Compact"/>
              <w:jc w:val="left"/>
            </w:pPr>
            <w:r>
              <w:t xml:space="preserve">0%</w:t>
            </w:r>
          </w:p>
        </w:tc>
        <w:tc>
          <w:tcPr/>
          <w:p>
            <w:pPr>
              <w:pStyle w:val="Compact"/>
              <w:jc w:val="left"/>
            </w:pPr>
            <w:r>
              <w:t xml:space="preserve">US$ 750 (referência)</w:t>
            </w:r>
          </w:p>
        </w:tc>
      </w:tr>
      <w:tr>
        <w:tc>
          <w:tcPr/>
          <w:p>
            <w:pPr>
              <w:pStyle w:val="Compact"/>
              <w:jc w:val="left"/>
            </w:pPr>
            <w:r>
              <w:t xml:space="preserve">25%</w:t>
            </w:r>
          </w:p>
        </w:tc>
        <w:tc>
          <w:tcPr/>
          <w:p>
            <w:pPr>
              <w:pStyle w:val="Compact"/>
              <w:jc w:val="left"/>
            </w:pPr>
            <w:r>
              <w:t xml:space="preserve">25%</w:t>
            </w:r>
          </w:p>
        </w:tc>
        <w:tc>
          <w:tcPr/>
          <w:p>
            <w:pPr>
              <w:pStyle w:val="Compact"/>
              <w:jc w:val="left"/>
            </w:pPr>
            <w:r>
              <w:t xml:space="preserve">US$ 617 (−18%)</w:t>
            </w:r>
          </w:p>
        </w:tc>
      </w:tr>
      <w:tr>
        <w:tc>
          <w:tcPr/>
          <w:p>
            <w:pPr>
              <w:pStyle w:val="Compact"/>
              <w:jc w:val="left"/>
            </w:pPr>
            <w:r>
              <w:t xml:space="preserve">50%</w:t>
            </w:r>
          </w:p>
        </w:tc>
        <w:tc>
          <w:tcPr/>
          <w:p>
            <w:pPr>
              <w:pStyle w:val="Compact"/>
              <w:jc w:val="left"/>
            </w:pPr>
            <w:r>
              <w:t xml:space="preserve">50%</w:t>
            </w:r>
          </w:p>
        </w:tc>
        <w:tc>
          <w:tcPr/>
          <w:p>
            <w:pPr>
              <w:pStyle w:val="Compact"/>
              <w:jc w:val="left"/>
            </w:pPr>
            <w:r>
              <w:t xml:space="preserve">US$ 573 (−24%)</w:t>
            </w:r>
          </w:p>
        </w:tc>
      </w:tr>
      <w:tr>
        <w:tc>
          <w:tcPr/>
          <w:p>
            <w:pPr>
              <w:pStyle w:val="Compact"/>
              <w:jc w:val="left"/>
            </w:pPr>
            <w:r>
              <w:t xml:space="preserve">95%</w:t>
            </w:r>
          </w:p>
        </w:tc>
        <w:tc>
          <w:tcPr/>
          <w:p>
            <w:pPr>
              <w:pStyle w:val="Compact"/>
              <w:jc w:val="left"/>
            </w:pPr>
            <w:r>
              <w:t xml:space="preserve">95%</w:t>
            </w:r>
          </w:p>
        </w:tc>
        <w:tc>
          <w:tcPr/>
          <w:p>
            <w:pPr>
              <w:pStyle w:val="Compact"/>
              <w:jc w:val="left"/>
            </w:pPr>
            <w:r>
              <w:t xml:space="preserve">US$ 540 (−28%)</w:t>
            </w:r>
          </w:p>
        </w:tc>
      </w:tr>
    </w:tbl>
    <w:p>
      <w:pPr>
        <w:pStyle w:val="BlockText"/>
      </w:pPr>
      <w:r>
        <w:rPr>
          <w:b/>
          <w:bCs/>
        </w:rPr>
        <w:t xml:space="preserve">[DEFINICAO] Copagamento (cost-sharing)</w:t>
      </w:r>
    </w:p>
    <w:p>
      <w:pPr>
        <w:pStyle w:val="BlockText"/>
      </w:pPr>
      <w:r>
        <w:rPr>
          <w:b/>
          <w:bCs/>
        </w:rPr>
        <w:t xml:space="preserve">Copagamento</w:t>
      </w:r>
      <w:r>
        <w:t xml:space="preserve"> </w:t>
      </w:r>
      <w:r>
        <w:t xml:space="preserve">é a parcela do custo do cuidado médico paga pelo paciente no momento do uso. Pode assumir formas de coparticipação percentual (</w:t>
      </w:r>
      <w:r>
        <w:rPr>
          <w:i/>
          <w:iCs/>
        </w:rPr>
        <w:t xml:space="preserve">coinsurance</w:t>
      </w:r>
      <w:r>
        <w:t xml:space="preserve">), valor fixo por serviço (</w:t>
      </w:r>
      <w:r>
        <w:rPr>
          <w:i/>
          <w:iCs/>
        </w:rPr>
        <w:t xml:space="preserve">copay</w:t>
      </w:r>
      <w:r>
        <w:t xml:space="preserve">), ou franquia anual (</w:t>
      </w:r>
      <w:r>
        <w:rPr>
          <w:i/>
          <w:iCs/>
        </w:rPr>
        <w:t xml:space="preserve">deductible</w:t>
      </w:r>
      <w:r>
        <w:t xml:space="preserve">). No RAND, copagamento de 25% significa que o paciente paga 25% do custo e o seguro paga 75%.</w:t>
      </w:r>
    </w:p>
    <w:p>
      <w:pPr>
        <w:pStyle w:val="FirstParagraph"/>
      </w:pPr>
      <w:r>
        <w:t xml:space="preserve">Os resultados principais:</w:t>
      </w:r>
    </w:p>
    <w:p>
      <w:pPr>
        <w:numPr>
          <w:ilvl w:val="0"/>
          <w:numId w:val="2249"/>
        </w:numPr>
      </w:pPr>
      <w:r>
        <w:rPr>
          <w:b/>
          <w:bCs/>
        </w:rPr>
        <w:t xml:space="preserve">A demanda por cuidados médicos é elástica</w:t>
      </w:r>
      <w:r>
        <w:t xml:space="preserve">, mas moderadamente: a elasticidade-preço estimada foi de aproximadamente</w:t>
      </w:r>
      <w:r>
        <w:t xml:space="preserve"> </w:t>
      </w:r>
      <w:r>
        <w:rPr>
          <w:b/>
          <w:bCs/>
        </w:rPr>
        <w:t xml:space="preserve">−0,2</w:t>
      </w:r>
      <w:r>
        <w:t xml:space="preserve"> </w:t>
      </w:r>
      <w:r>
        <w:t xml:space="preserve">(em valor absoluto). Passar de gratuito para copagamento de 95% reduziu o gasto em ~28%.</w:t>
      </w:r>
    </w:p>
    <w:p>
      <w:pPr>
        <w:numPr>
          <w:ilvl w:val="0"/>
          <w:numId w:val="2249"/>
        </w:numPr>
      </w:pPr>
      <w:r>
        <w:rPr>
          <w:b/>
          <w:bCs/>
        </w:rPr>
        <w:t xml:space="preserve">O copagamento reduz uso de forma indiscriminada</w:t>
      </w:r>
      <w:r>
        <w:t xml:space="preserve">: tanto cuidados</w:t>
      </w:r>
      <w:r>
        <w:t xml:space="preserve"> </w:t>
      </w:r>
      <w:r>
        <w:t xml:space="preserve">“necessários”</w:t>
      </w:r>
      <w:r>
        <w:t xml:space="preserve"> </w:t>
      </w:r>
      <w:r>
        <w:t xml:space="preserve">(e.g., controle de hipertensão) quanto</w:t>
      </w:r>
      <w:r>
        <w:t xml:space="preserve"> </w:t>
      </w:r>
      <w:r>
        <w:t xml:space="preserve">“desnecessários”</w:t>
      </w:r>
      <w:r>
        <w:t xml:space="preserve"> </w:t>
      </w:r>
      <w:r>
        <w:t xml:space="preserve">(e.g., visitas a pronto-socorro por resfriado) caem com o copagamento.</w:t>
      </w:r>
    </w:p>
    <w:p>
      <w:pPr>
        <w:numPr>
          <w:ilvl w:val="0"/>
          <w:numId w:val="2249"/>
        </w:numPr>
      </w:pPr>
      <w:r>
        <w:rPr>
          <w:b/>
          <w:bCs/>
        </w:rPr>
        <w:t xml:space="preserve">Os efeitos em saúde foram limitados</w:t>
      </w:r>
      <w:r>
        <w:t xml:space="preserve"> </w:t>
      </w:r>
      <w:r>
        <w:t xml:space="preserve">para a maioria da população — exceto para os</w:t>
      </w:r>
      <w:r>
        <w:t xml:space="preserve"> </w:t>
      </w:r>
      <w:r>
        <w:rPr>
          <w:b/>
          <w:bCs/>
        </w:rPr>
        <w:t xml:space="preserve">pobres e doentes crônicos</w:t>
      </w:r>
      <w:r>
        <w:t xml:space="preserve">, que tiveram piora significativa em indicadores como pressão arterial e mortalidade evitável quando sujeitos a copagamentos altos.</w:t>
      </w:r>
    </w:p>
    <w:p>
      <w:pPr>
        <w:pStyle w:val="BlockText"/>
      </w:pPr>
      <w:r>
        <w:rPr>
          <w:b/>
          <w:bCs/>
        </w:rPr>
        <w:t xml:space="preserve">[INTUICAO ECONOMICA] Intuição Econômica</w:t>
      </w:r>
    </w:p>
    <w:p>
      <w:pPr>
        <w:pStyle w:val="BlockText"/>
      </w:pPr>
      <w:r>
        <w:rPr>
          <w:b/>
          <w:bCs/>
        </w:rPr>
        <w:t xml:space="preserve">Em uma frase:</w:t>
      </w:r>
      <w:r>
        <w:t xml:space="preserve"> </w:t>
      </w:r>
      <w:r>
        <w:t xml:space="preserve">A demanda por cuidados médicos responde a preços, mas copagamentos são uma faca de dois gumes — cortam o desperdício e o cuidado necessário por igual.</w:t>
      </w:r>
    </w:p>
    <w:p>
      <w:pPr>
        <w:pStyle w:val="BlockText"/>
      </w:pPr>
      <w:r>
        <w:rPr>
          <w:b/>
          <w:bCs/>
        </w:rPr>
        <w:t xml:space="preserve">Pense assim:</w:t>
      </w:r>
      <w:r>
        <w:t xml:space="preserve"> </w:t>
      </w:r>
      <w:r>
        <w:t xml:space="preserve">Imagine que você paga R$ 0 por cada ida ao médico. Você vai até quando está apenas um pouco gripado. Agora imagine que paga R$ 200. Você pensa duas vezes — e às vezes pensa demais, adiando uma consulta que realmente precisava. O RAND mostrou que ambos os efeitos são reais.</w:t>
      </w:r>
    </w:p>
    <w:p>
      <w:pPr>
        <w:pStyle w:val="BlockText"/>
      </w:pPr>
      <w:r>
        <w:rPr>
          <w:b/>
          <w:bCs/>
        </w:rPr>
        <w:t xml:space="preserve">Por que isso importa:</w:t>
      </w:r>
      <w:r>
        <w:t xml:space="preserve"> </w:t>
      </w:r>
      <w:r>
        <w:t xml:space="preserve">O RAND é a base empírica para o design de praticamente todos os planos de saúde modernos. A ideia de franquias, copagamentos e tetos de gastos (</w:t>
      </w:r>
      <w:r>
        <w:rPr>
          <w:i/>
          <w:iCs/>
        </w:rPr>
        <w:t xml:space="preserve">out-of-pocket maximums</w:t>
      </w:r>
      <w:r>
        <w:t xml:space="preserve">) vem diretamente dos achados do RAND.</w:t>
      </w:r>
    </w:p>
    <w:p>
      <w:pPr>
        <w:pStyle w:val="BlockText"/>
      </w:pPr>
      <w:r>
        <w:rPr>
          <w:b/>
          <w:bCs/>
        </w:rPr>
        <w:t xml:space="preserve">[EXERCICIO RESOLVIDO] Exercício Resolvido 23.1 — Elasticidade e gasto com saúde</w:t>
      </w:r>
    </w:p>
    <w:p>
      <w:pPr>
        <w:pStyle w:val="BlockText"/>
      </w:pPr>
      <w:r>
        <w:rPr>
          <w:b/>
          <w:bCs/>
        </w:rPr>
        <w:t xml:space="preserve">Problema:</w:t>
      </w:r>
      <w:r>
        <w:t xml:space="preserve"> </w:t>
      </w:r>
      <w:r>
        <w:t xml:space="preserve">Se a elasticidade-preço da demanda por cuidados médicos é</w:t>
      </w:r>
      <w:r>
        <w:t xml:space="preserve"> </w:t>
      </w:r>
      <m:oMath>
        <m:r>
          <m:t>ε</m:t>
        </m:r>
        <m:r>
          <m:rPr>
            <m:sty m:val="p"/>
          </m:rPr>
          <m:t>=</m:t>
        </m:r>
        <m:r>
          <m:rPr>
            <m:sty m:val="p"/>
          </m:rPr>
          <m:t>−</m:t>
        </m:r>
        <m:r>
          <m:t>0</m:t>
        </m:r>
        <m:r>
          <m:rPr>
            <m:sty m:val="p"/>
          </m:rPr>
          <m:t>,</m:t>
        </m:r>
        <m:r>
          <m:t>2</m:t>
        </m:r>
      </m:oMath>
      <w:r>
        <w:t xml:space="preserve"> </w:t>
      </w:r>
      <w:r>
        <w:t xml:space="preserve">e o governo introduz um copagamento de 20% (o preço efetivo para o paciente passa de 0 para 20% do custo), qual a variação percentual esperada no gasto?</w:t>
      </w:r>
    </w:p>
    <w:p>
      <w:pPr>
        <w:pStyle w:val="BlockText"/>
      </w:pPr>
      <w:r>
        <w:rPr>
          <w:b/>
          <w:bCs/>
        </w:rPr>
        <w:t xml:space="preserve">Solução:</w:t>
      </w:r>
    </w:p>
    <w:p>
      <w:pPr>
        <w:pStyle w:val="BlockText"/>
      </w:pPr>
      <w:r>
        <w:t xml:space="preserve">A elasticidade-preço é:</w:t>
      </w:r>
    </w:p>
    <w:p>
      <w:pPr>
        <w:pStyle w:val="BlockText"/>
      </w:pPr>
      <w:r>
        <w:t xml:space="preserve">$$</w:t>
      </w:r>
    </w:p>
    <w:p>
      <w:pPr>
        <w:pStyle w:val="BlockText"/>
      </w:pPr>
      <w:r>
        <w:t xml:space="preserve">=</w:t>
      </w:r>
      <w:r>
        <w:t xml:space="preserve"> </w:t>
      </w:r>
    </w:p>
    <w:p>
      <w:pPr>
        <w:pStyle w:val="BlockText"/>
      </w:pPr>
      <w:r>
        <w:t xml:space="preserve">$$</w:t>
      </w:r>
    </w:p>
    <w:p>
      <w:pPr>
        <w:pStyle w:val="BlockText"/>
      </w:pPr>
      <w:r>
        <w:t xml:space="preserve">O problema é que o preço efetivo vai de 0 a 0,2 — uma variação percentual infinita (de zero para qualquer valor positivo). É por isso que o RAND usou a</w:t>
      </w:r>
      <w:r>
        <w:t xml:space="preserve"> </w:t>
      </w:r>
      <w:r>
        <w:rPr>
          <w:b/>
          <w:bCs/>
        </w:rPr>
        <w:t xml:space="preserve">elasticidade do arco</w:t>
      </w:r>
      <w:r>
        <w:t xml:space="preserve"> </w:t>
      </w:r>
      <w:r>
        <w:t xml:space="preserve">(entre faixas), não a pontual.</w:t>
      </w:r>
    </w:p>
    <w:p>
      <w:pPr>
        <w:pStyle w:val="BlockText"/>
      </w:pPr>
      <w:r>
        <w:t xml:space="preserve">Usando a abordagem do arco entre os planos 0% e 25% do RAND:</w:t>
      </w:r>
    </w:p>
    <w:p>
      <w:pPr>
        <w:pStyle w:val="BlockText"/>
      </w:pPr>
      <w:r>
        <w:t xml:space="preserve">$$</w:t>
      </w:r>
    </w:p>
    <w:p>
      <w:pPr>
        <w:pStyle w:val="BlockText"/>
      </w:pPr>
      <w:r>
        <w:t xml:space="preserve"> </w:t>
      </w:r>
      <w:r>
        <w:t xml:space="preserve">=</w:t>
      </w:r>
      <w:r>
        <w:t xml:space="preserve"> </w:t>
      </w:r>
      <w:r>
        <w:t xml:space="preserve"> </w:t>
      </w:r>
      <w:r>
        <w:t xml:space="preserve">= -0{,}09</w:t>
      </w:r>
    </w:p>
    <w:p>
      <w:pPr>
        <w:pStyle w:val="BlockText"/>
      </w:pPr>
      <w:r>
        <w:t xml:space="preserve">$$</w:t>
      </w:r>
    </w:p>
    <w:p>
      <w:pPr>
        <w:pStyle w:val="BlockText"/>
      </w:pPr>
      <w:r>
        <w:t xml:space="preserve">Note que a elasticidade do arco aqui é menor que −0,2 porque estamos na parte inferior da curva de demanda, onde a resposta percentual é menor. A estimativa de −0,2 do RAND é uma média ponderada entre todas as faixas.</w:t>
      </w:r>
    </w:p>
    <w:p>
      <w:pPr>
        <w:pStyle w:val="BlockText"/>
      </w:pPr>
      <w:r>
        <w:rPr>
          <w:b/>
          <w:bCs/>
        </w:rPr>
        <w:t xml:space="preserve">Lição:</w:t>
      </w:r>
      <w:r>
        <w:t xml:space="preserve"> </w:t>
      </w:r>
      <w:r>
        <w:t xml:space="preserve">Cuidado ao aplicar elasticidades pontuais a mudanças discretas grandes — especialmente quando o preço inicial é zero.</w:t>
      </w:r>
    </w:p>
    <w:bookmarkEnd w:id="1401"/>
    <w:bookmarkStart w:id="1402" w:name="elasticidade-e-desenho-de-seguros"/>
    <w:p>
      <w:pPr>
        <w:pStyle w:val="Heading4"/>
      </w:pPr>
      <w:r>
        <w:t xml:space="preserve">23.2.3 Elasticidade e desenho de seguros</w:t>
      </w:r>
    </w:p>
    <w:p>
      <w:pPr>
        <w:pStyle w:val="FirstParagraph"/>
      </w:pPr>
      <w:r>
        <w:t xml:space="preserve">A elasticidade estimada pelo RAND tem implicações diretas para o desenho ótimo de seguros de saúde. O trade-off fundamental é:</w:t>
      </w:r>
    </w:p>
    <w:p>
      <w:pPr>
        <w:pStyle w:val="Compact"/>
        <w:numPr>
          <w:ilvl w:val="0"/>
          <w:numId w:val="2250"/>
        </w:numPr>
      </w:pPr>
      <w:r>
        <w:rPr>
          <w:b/>
          <w:bCs/>
        </w:rPr>
        <w:t xml:space="preserve">Sem copagamento</w:t>
      </w:r>
      <w:r>
        <w:t xml:space="preserve"> </w:t>
      </w:r>
      <w:r>
        <w:t xml:space="preserve">(seguro completo): máximo</w:t>
      </w:r>
      <w:r>
        <w:t xml:space="preserve"> </w:t>
      </w:r>
      <w:r>
        <w:rPr>
          <w:i/>
          <w:iCs/>
        </w:rPr>
        <w:t xml:space="preserve">risk-sharing</w:t>
      </w:r>
      <w:r>
        <w:t xml:space="preserve">, mas máximo risco moral (Seção 23.4). O paciente não tem incentivo para economizar.</w:t>
      </w:r>
    </w:p>
    <w:p>
      <w:pPr>
        <w:pStyle w:val="Compact"/>
        <w:numPr>
          <w:ilvl w:val="0"/>
          <w:numId w:val="2250"/>
        </w:numPr>
      </w:pPr>
      <w:r>
        <w:rPr>
          <w:b/>
          <w:bCs/>
        </w:rPr>
        <w:t xml:space="preserve">Copagamento alto</w:t>
      </w:r>
      <w:r>
        <w:t xml:space="preserve">: mínimo risco moral, mas transfere risco para o paciente — violando o propósito do seguro.</w:t>
      </w:r>
    </w:p>
    <w:p>
      <w:pPr>
        <w:pStyle w:val="FirstParagraph"/>
      </w:pPr>
      <w:r>
        <w:t xml:space="preserve">O seguro ótimo equilibra esses dois efeitos. A fórmula clássica de Zeckhauser (1970) sugere que o copagamento ótimo é maior para serviços com elasticidade alta (onde o risco moral é maior) e menor para serviços com elasticidade baixa (onde o risco moral é menor):</w:t>
      </w:r>
    </w:p>
    <w:p>
      <w:pPr>
        <w:pStyle w:val="BodyText"/>
      </w:pPr>
      <m:oMathPara>
        <m:oMathParaPr>
          <m:jc m:val="center"/>
        </m:oMathParaPr>
        <m:oMath>
          <m:sSup>
            <m:e>
              <m:r>
                <m:t>c</m:t>
              </m:r>
            </m:e>
            <m:sup>
              <m:r>
                <m:rPr>
                  <m:sty m:val="p"/>
                </m:rPr>
                <m:t>*</m:t>
              </m:r>
            </m:sup>
          </m:sSup>
          <m:r>
            <m:rPr>
              <m:sty m:val="p"/>
            </m:rPr>
            <m:t>∝</m:t>
          </m:r>
          <m:f>
            <m:fPr>
              <m:type m:val="bar"/>
            </m:fPr>
            <m:num>
              <m:r>
                <m:rPr>
                  <m:sty m:val="p"/>
                </m:rPr>
                <m:t>|</m:t>
              </m:r>
              <m:r>
                <m:t>ε</m:t>
              </m:r>
              <m:r>
                <m:rPr>
                  <m:sty m:val="p"/>
                </m:rPr>
                <m:t>|</m:t>
              </m:r>
            </m:num>
            <m:den>
              <m:r>
                <m:t>r</m:t>
              </m:r>
              <m:r>
                <m:rPr>
                  <m:sty m:val="p"/>
                </m:rPr>
                <m:t>+</m:t>
              </m:r>
              <m:r>
                <m:rPr>
                  <m:sty m:val="p"/>
                </m:rPr>
                <m:t>|</m:t>
              </m:r>
              <m:r>
                <m:t>ε</m:t>
              </m:r>
              <m:r>
                <m:rPr>
                  <m:sty m:val="p"/>
                </m:rPr>
                <m:t>|</m:t>
              </m:r>
            </m:den>
          </m:f>
        </m:oMath>
      </m:oMathPara>
    </w:p>
    <w:p>
      <w:pPr>
        <w:pStyle w:val="FirstParagraph"/>
      </w:pPr>
      <w:r>
        <w:t xml:space="preserve">onde</w:t>
      </w:r>
      <w:r>
        <w:t xml:space="preserve"> </w:t>
      </w:r>
      <m:oMath>
        <m:sSup>
          <m:e>
            <m:r>
              <m:t>c</m:t>
            </m:r>
          </m:e>
          <m:sup>
            <m:r>
              <m:rPr>
                <m:sty m:val="p"/>
              </m:rPr>
              <m:t>*</m:t>
            </m:r>
          </m:sup>
        </m:sSup>
      </m:oMath>
      <w:r>
        <w:t xml:space="preserve"> </w:t>
      </w:r>
      <w:r>
        <w:t xml:space="preserve">é o copagamento ótimo,</w:t>
      </w:r>
      <w:r>
        <w:t xml:space="preserve"> </w:t>
      </w:r>
      <m:oMath>
        <m:r>
          <m:rPr>
            <m:sty m:val="p"/>
          </m:rPr>
          <m:t>|</m:t>
        </m:r>
        <m:r>
          <m:t>ε</m:t>
        </m:r>
        <m:r>
          <m:rPr>
            <m:sty m:val="p"/>
          </m:rPr>
          <m:t>|</m:t>
        </m:r>
      </m:oMath>
      <w:r>
        <w:t xml:space="preserve"> </w:t>
      </w:r>
      <w:r>
        <w:t xml:space="preserve">é a elasticidade-preço e</w:t>
      </w:r>
      <w:r>
        <w:t xml:space="preserve"> </w:t>
      </w:r>
      <m:oMath>
        <m:r>
          <m:t>r</m:t>
        </m:r>
      </m:oMath>
      <w:r>
        <w:t xml:space="preserve"> </w:t>
      </w:r>
      <w:r>
        <w:t xml:space="preserve">é o coeficiente de aversão ao risco.</w:t>
      </w:r>
    </w:p>
    <w:p>
      <w:pPr>
        <w:pStyle w:val="BodyText"/>
      </w:pPr>
      <w:r>
        <w:t xml:space="preserve">Na prática, isso implica que internações hospitalares (demanda inelástica, consequências graves) devem ter copagamento baixo, enquanto consultas eletivas (demanda mais elástica) podem ter copagamento mais alto. É exatamente assim que a maioria dos planos modernos é desenhada.</w:t>
      </w:r>
    </w:p>
    <w:p>
      <w:pPr>
        <w:pStyle w:val="BodyText"/>
      </w:pPr>
      <w:r>
        <w:t xml:space="preserve">No gráfico interativo abaixo, ajuste a taxa de cobertura do seguro e observe como o risco moral afeta a quantidade demandada de cuidados médicos e a perda de bem-estar associada.</w:t>
      </w:r>
    </w:p>
    <w:p>
      <w:pPr>
        <w:pStyle w:val="BodyText"/>
      </w:pPr>
      <w:r>
        <w:t xml:space="preserve">[FIGURA INTERATIVA: /micro-book/graficos/cap23/demanda-saude.html — versao interativa disponivel online]</w:t>
      </w:r>
    </w:p>
    <w:p>
      <w:pPr>
        <w:pStyle w:val="BodyText"/>
      </w:pPr>
      <w:r>
        <w:rPr>
          <w:b/>
          <w:bCs/>
        </w:rPr>
        <w:t xml:space="preserve">Figura 23.2 — Seguro de Saúde e Risco Moral.</w:t>
      </w:r>
      <w:r>
        <w:t xml:space="preserve"> </w:t>
      </w:r>
      <w:r>
        <w:t xml:space="preserve">Ajuste a taxa de cobertura</w:t>
      </w:r>
      <w:r>
        <w:t xml:space="preserve"> </w:t>
      </w:r>
      <m:oMath>
        <m:r>
          <m:t>α</m:t>
        </m:r>
      </m:oMath>
      <w:r>
        <w:t xml:space="preserve"> </w:t>
      </w:r>
      <w:r>
        <w:t xml:space="preserve">do seguro e observe como o preço percebido pelo paciente cai, a quantidade demandada aumenta além do ótimo e o triângulo de perda de bem-estar (risco moral) se expande.</w:t>
      </w:r>
    </w:p>
    <w:p>
      <w:r>
        <w:pict>
          <v:rect style="width:0;height:1.5pt" o:hralign="center" o:hrstd="t" o:hr="t"/>
        </w:pict>
      </w:r>
    </w:p>
    <w:bookmarkEnd w:id="1402"/>
    <w:bookmarkEnd w:id="1403"/>
    <w:bookmarkStart w:id="1407" w:name="X2fdb9f68c503e11d168fe52035901864c0a4861"/>
    <w:p>
      <w:pPr>
        <w:pStyle w:val="Heading3"/>
      </w:pPr>
      <w:r>
        <w:t xml:space="preserve">23.3 Oferta de serviços de saúde</w:t>
      </w:r>
    </w:p>
    <w:bookmarkStart w:id="1404" w:name="o-médico-como-agente-imperfeito"/>
    <w:p>
      <w:pPr>
        <w:pStyle w:val="Heading4"/>
      </w:pPr>
      <w:r>
        <w:t xml:space="preserve">23.3.1 O médico como agente imperfeito</w:t>
      </w:r>
    </w:p>
    <w:p>
      <w:pPr>
        <w:pStyle w:val="FirstParagraph"/>
      </w:pPr>
      <w:r>
        <w:t xml:space="preserve">Em um mercado normal, o consumidor decide o que comprar. No mercado de saúde,</w:t>
      </w:r>
      <w:r>
        <w:t xml:space="preserve"> </w:t>
      </w:r>
      <w:r>
        <w:rPr>
          <w:b/>
          <w:bCs/>
        </w:rPr>
        <w:t xml:space="preserve">o médico decide</w:t>
      </w:r>
      <w:r>
        <w:t xml:space="preserve"> </w:t>
      </w:r>
      <w:r>
        <w:t xml:space="preserve">— ou, no mínimo, influencia fortemente a decisão. Quando seu médico diz que você precisa de uma ressonância magnética, você não abre o celular para comparar preços e necessidade com outros médicos (pelo menos não no calor do momento). Você confia.</w:t>
      </w:r>
    </w:p>
    <w:p>
      <w:pPr>
        <w:pStyle w:val="BodyText"/>
      </w:pPr>
      <w:r>
        <w:t xml:space="preserve">Essa relação é um caso clássico de</w:t>
      </w:r>
      <w:r>
        <w:t xml:space="preserve"> </w:t>
      </w:r>
      <w:r>
        <w:rPr>
          <w:b/>
          <w:bCs/>
        </w:rPr>
        <w:t xml:space="preserve">problema de agência</w:t>
      </w:r>
      <w:r>
        <w:t xml:space="preserve"> </w:t>
      </w:r>
      <w:r>
        <w:t xml:space="preserve">(Capítulo 19). O médico é simultaneamente:</w:t>
      </w:r>
    </w:p>
    <w:p>
      <w:pPr>
        <w:pStyle w:val="Compact"/>
        <w:numPr>
          <w:ilvl w:val="0"/>
          <w:numId w:val="2251"/>
        </w:numPr>
      </w:pPr>
      <w:r>
        <w:rPr>
          <w:b/>
          <w:bCs/>
        </w:rPr>
        <w:t xml:space="preserve">Conselheiro</w:t>
      </w:r>
      <w:r>
        <w:t xml:space="preserve"> </w:t>
      </w:r>
      <w:r>
        <w:t xml:space="preserve">(agente do paciente): diagnostica, informa, recomenda.</w:t>
      </w:r>
    </w:p>
    <w:p>
      <w:pPr>
        <w:pStyle w:val="Compact"/>
        <w:numPr>
          <w:ilvl w:val="0"/>
          <w:numId w:val="2251"/>
        </w:numPr>
      </w:pPr>
      <w:r>
        <w:rPr>
          <w:b/>
          <w:bCs/>
        </w:rPr>
        <w:t xml:space="preserve">Ofertante</w:t>
      </w:r>
      <w:r>
        <w:t xml:space="preserve"> </w:t>
      </w:r>
      <w:r>
        <w:t xml:space="preserve">(com interesse financeiro): recebe pelo procedimento que prescreve.</w:t>
      </w:r>
    </w:p>
    <w:p>
      <w:pPr>
        <w:pStyle w:val="FirstParagraph"/>
      </w:pPr>
      <w:r>
        <w:t xml:space="preserve">A</w:t>
      </w:r>
      <w:r>
        <w:t xml:space="preserve"> </w:t>
      </w:r>
      <w:r>
        <w:rPr>
          <w:b/>
          <w:bCs/>
        </w:rPr>
        <w:t xml:space="preserve">demanda induzida pelo ofertante</w:t>
      </w:r>
      <w:r>
        <w:t xml:space="preserve"> </w:t>
      </w:r>
      <w:r>
        <w:t xml:space="preserve">(</w:t>
      </w:r>
      <w:r>
        <w:rPr>
          <w:i/>
          <w:iCs/>
        </w:rPr>
        <w:t xml:space="preserve">supplier-induced demand</w:t>
      </w:r>
      <w:r>
        <w:t xml:space="preserve">, SID) ocorre quando o médico prescreve mais procedimentos do que o clinicamente necessário, motivado pela remuneração. O modelo formal é:</w:t>
      </w:r>
    </w:p>
    <w:p>
      <w:pPr>
        <w:pStyle w:val="BodyText"/>
      </w:pPr>
      <m:oMathPara>
        <m:oMathParaPr>
          <m:jc m:val="center"/>
        </m:oMathParaPr>
        <m:oMath>
          <m:limLow>
            <m:e>
              <m:r>
                <m:rPr>
                  <m:sty m:val="p"/>
                </m:rPr>
                <m:t>max</m:t>
              </m:r>
            </m:e>
            <m:lim>
              <m:r>
                <m:t>n</m:t>
              </m:r>
            </m:lim>
          </m:limLow>
          <m:r>
            <m:t> </m:t>
          </m:r>
          <m:sSup>
            <m:e>
              <m:r>
                <m:t>U</m:t>
              </m:r>
            </m:e>
            <m:sup>
              <m:r>
                <m:t>M</m:t>
              </m:r>
            </m:sup>
          </m:sSup>
          <m:r>
            <m:rPr>
              <m:sty m:val="p"/>
            </m:rPr>
            <m:t>(</m:t>
          </m:r>
          <m:r>
            <m:t>R</m:t>
          </m:r>
          <m:r>
            <m:rPr>
              <m:sty m:val="p"/>
            </m:rPr>
            <m:t>(</m:t>
          </m:r>
          <m:r>
            <m:t>n</m:t>
          </m:r>
          <m:r>
            <m:rPr>
              <m:sty m:val="p"/>
            </m:rPr>
            <m:t>)</m:t>
          </m:r>
          <m:r>
            <m:rPr>
              <m:sty m:val="p"/>
            </m:rPr>
            <m:t>,</m:t>
          </m:r>
          <m:r>
            <m:t>n</m:t>
          </m:r>
          <m:r>
            <m:rPr>
              <m:sty m:val="p"/>
            </m:rPr>
            <m:t>−</m:t>
          </m:r>
          <m:sSup>
            <m:e>
              <m:r>
                <m:t>n</m:t>
              </m:r>
            </m:e>
            <m:sup>
              <m:r>
                <m:rPr>
                  <m:sty m:val="p"/>
                </m:rPr>
                <m:t>*</m:t>
              </m:r>
            </m:sup>
          </m:sSup>
          <m:r>
            <m:rPr>
              <m:sty m:val="p"/>
            </m:rPr>
            <m:t>)</m:t>
          </m:r>
        </m:oMath>
      </m:oMathPara>
    </w:p>
    <w:p>
      <w:pPr>
        <w:pStyle w:val="FirstParagraph"/>
      </w:pPr>
      <w:r>
        <w:t xml:space="preserve">onde</w:t>
      </w:r>
      <w:r>
        <w:t xml:space="preserve"> </w:t>
      </w:r>
      <m:oMath>
        <m:sSup>
          <m:e>
            <m:r>
              <m:t>U</m:t>
            </m:r>
          </m:e>
          <m:sup>
            <m:r>
              <m:t>M</m:t>
            </m:r>
          </m:sup>
        </m:sSup>
      </m:oMath>
      <w:r>
        <w:t xml:space="preserve"> </w:t>
      </w:r>
      <w:r>
        <w:t xml:space="preserve">é a utilidade do médico,</w:t>
      </w:r>
      <w:r>
        <w:t xml:space="preserve"> </w:t>
      </w:r>
      <m:oMath>
        <m:r>
          <m:t>R</m:t>
        </m:r>
        <m:r>
          <m:rPr>
            <m:sty m:val="p"/>
          </m:rPr>
          <m:t>(</m:t>
        </m:r>
        <m:r>
          <m:t>n</m:t>
        </m:r>
        <m:r>
          <m:rPr>
            <m:sty m:val="p"/>
          </m:rPr>
          <m:t>)</m:t>
        </m:r>
      </m:oMath>
      <w:r>
        <w:t xml:space="preserve"> </w:t>
      </w:r>
      <w:r>
        <w:t xml:space="preserve">é a receita com</w:t>
      </w:r>
      <w:r>
        <w:t xml:space="preserve"> </w:t>
      </w:r>
      <m:oMath>
        <m:r>
          <m:t>n</m:t>
        </m:r>
      </m:oMath>
      <w:r>
        <w:t xml:space="preserve"> </w:t>
      </w:r>
      <w:r>
        <w:t xml:space="preserve">procedimentos,</w:t>
      </w:r>
      <w:r>
        <w:t xml:space="preserve"> </w:t>
      </w:r>
      <m:oMath>
        <m:sSup>
          <m:e>
            <m:r>
              <m:t>n</m:t>
            </m:r>
          </m:e>
          <m:sup>
            <m:r>
              <m:rPr>
                <m:sty m:val="p"/>
              </m:rPr>
              <m:t>*</m:t>
            </m:r>
          </m:sup>
        </m:sSup>
      </m:oMath>
      <w:r>
        <w:t xml:space="preserve"> </w:t>
      </w:r>
      <w:r>
        <w:t xml:space="preserve">é o número clinicamente adequado, e</w:t>
      </w:r>
      <w:r>
        <w:t xml:space="preserve"> </w:t>
      </w:r>
      <m:oMath>
        <m:r>
          <m:t>n</m:t>
        </m:r>
        <m:r>
          <m:rPr>
            <m:sty m:val="p"/>
          </m:rPr>
          <m:t>−</m:t>
        </m:r>
        <m:sSup>
          <m:e>
            <m:r>
              <m:t>n</m:t>
            </m:r>
          </m:e>
          <m:sup>
            <m:r>
              <m:rPr>
                <m:sty m:val="p"/>
              </m:rPr>
              <m:t>*</m:t>
            </m:r>
          </m:sup>
        </m:sSup>
      </m:oMath>
      <w:r>
        <w:t xml:space="preserve"> </w:t>
      </w:r>
      <w:r>
        <w:t xml:space="preserve">é o excesso (que gera desutilidade ética). O médico escolhe</w:t>
      </w:r>
      <w:r>
        <w:t xml:space="preserve"> </w:t>
      </w:r>
      <m:oMath>
        <m:r>
          <m:t>n</m:t>
        </m:r>
        <m:r>
          <m:rPr>
            <m:sty m:val="p"/>
          </m:rPr>
          <m:t>&gt;</m:t>
        </m:r>
        <m:sSup>
          <m:e>
            <m:r>
              <m:t>n</m:t>
            </m:r>
          </m:e>
          <m:sup>
            <m:r>
              <m:rPr>
                <m:sty m:val="p"/>
              </m:rPr>
              <m:t>*</m:t>
            </m:r>
          </m:sup>
        </m:sSup>
      </m:oMath>
      <w:r>
        <w:t xml:space="preserve"> </w:t>
      </w:r>
      <w:r>
        <w:t xml:space="preserve">se o ganho marginal de receita excede a desutilidade marginal do sobretratamento.</w:t>
      </w:r>
    </w:p>
    <w:p>
      <w:pPr>
        <w:pStyle w:val="BodyText"/>
      </w:pPr>
      <w:r>
        <w:t xml:space="preserve">A evidência empírica para SID é mista mas sugestiva:</w:t>
      </w:r>
    </w:p>
    <w:p>
      <w:pPr>
        <w:pStyle w:val="Compact"/>
        <w:numPr>
          <w:ilvl w:val="0"/>
          <w:numId w:val="2252"/>
        </w:numPr>
      </w:pPr>
      <w:r>
        <w:rPr>
          <w:b/>
          <w:bCs/>
        </w:rPr>
        <w:t xml:space="preserve">Teste de Roemer</w:t>
      </w:r>
      <w:r>
        <w:t xml:space="preserve">: regiões com mais médicos per capita têm mais procedimentos per capita, mesmo após controlar por morbidade — consistente com SID (Roemer, 1961).</w:t>
      </w:r>
    </w:p>
    <w:p>
      <w:pPr>
        <w:pStyle w:val="Compact"/>
        <w:numPr>
          <w:ilvl w:val="0"/>
          <w:numId w:val="2252"/>
        </w:numPr>
      </w:pPr>
      <w:r>
        <w:rPr>
          <w:b/>
          <w:bCs/>
        </w:rPr>
        <w:t xml:space="preserve">Experimentos naturais</w:t>
      </w:r>
      <w:r>
        <w:t xml:space="preserve">: quando a remuneração médica muda de</w:t>
      </w:r>
      <w:r>
        <w:t xml:space="preserve"> </w:t>
      </w:r>
      <w:r>
        <w:rPr>
          <w:i/>
          <w:iCs/>
        </w:rPr>
        <w:t xml:space="preserve">fee-for-service</w:t>
      </w:r>
      <w:r>
        <w:t xml:space="preserve"> </w:t>
      </w:r>
      <w:r>
        <w:t xml:space="preserve">para</w:t>
      </w:r>
      <w:r>
        <w:t xml:space="preserve"> </w:t>
      </w:r>
      <w:r>
        <w:rPr>
          <w:i/>
          <w:iCs/>
        </w:rPr>
        <w:t xml:space="preserve">capitation</w:t>
      </w:r>
      <w:r>
        <w:t xml:space="preserve"> </w:t>
      </w:r>
      <w:r>
        <w:t xml:space="preserve">(pagamento fixo por paciente), o número de procedimentos cai significativamente (Devlin &amp; Sarma, 2008).</w:t>
      </w:r>
    </w:p>
    <w:p>
      <w:pPr>
        <w:pStyle w:val="BlockText"/>
      </w:pPr>
      <w:r>
        <w:rPr>
          <w:b/>
          <w:bCs/>
        </w:rPr>
        <w:t xml:space="preserve">[BOX MUNDO] Box Mundo 23.1 — O NHS britânico: quando o governo é médico, hospital e seguradora</w:t>
      </w:r>
    </w:p>
    <w:p>
      <w:pPr>
        <w:pStyle w:val="BlockText"/>
      </w:pPr>
      <w:r>
        <w:t xml:space="preserve">O</w:t>
      </w:r>
      <w:r>
        <w:t xml:space="preserve"> </w:t>
      </w:r>
      <w:r>
        <w:rPr>
          <w:b/>
          <w:bCs/>
        </w:rPr>
        <w:t xml:space="preserve">National Health Service</w:t>
      </w:r>
      <w:r>
        <w:t xml:space="preserve"> </w:t>
      </w:r>
      <w:r>
        <w:t xml:space="preserve">(NHS), criado em 1948, é o exemplo mais puro do modelo Beveridge: financiamento por impostos gerais, cobertura universal, serviços predominantemente públicos. O médico generalista (</w:t>
      </w:r>
      <w:r>
        <w:rPr>
          <w:i/>
          <w:iCs/>
        </w:rPr>
        <w:t xml:space="preserve">GP</w:t>
      </w:r>
      <w:r>
        <w:t xml:space="preserve">) é a porta de entrada obrigatória (</w:t>
      </w:r>
      <w:r>
        <w:rPr>
          <w:i/>
          <w:iCs/>
        </w:rPr>
        <w:t xml:space="preserve">gatekeeper</w:t>
      </w:r>
      <w:r>
        <w:t xml:space="preserve">) — sem encaminhamento do GP, o paciente não acessa o especialista.</w:t>
      </w:r>
    </w:p>
    <w:p>
      <w:pPr>
        <w:pStyle w:val="BlockText"/>
      </w:pPr>
      <w:r>
        <w:t xml:space="preserve">O GP britânico é remunerado por</w:t>
      </w:r>
      <w:r>
        <w:t xml:space="preserve"> </w:t>
      </w:r>
      <w:r>
        <w:rPr>
          <w:b/>
          <w:bCs/>
        </w:rPr>
        <w:t xml:space="preserve">capitation</w:t>
      </w:r>
      <w:r>
        <w:t xml:space="preserve"> </w:t>
      </w:r>
      <w:r>
        <w:t xml:space="preserve">(valor fixo por paciente registrado), não por procedimento. Isso elimina o incentivo à demanda induzida — mas cria outro problema: o incentivo a</w:t>
      </w:r>
      <w:r>
        <w:t xml:space="preserve"> </w:t>
      </w:r>
      <w:r>
        <w:rPr>
          <w:i/>
          <w:iCs/>
        </w:rPr>
        <w:t xml:space="preserve">sub</w:t>
      </w:r>
      <w:r>
        <w:t xml:space="preserve">tratar, já que a receita não depende da intensidade do cuidado. O NHS enfrenta permanentemente filas de espera (</w:t>
      </w:r>
      <w:r>
        <w:rPr>
          <w:i/>
          <w:iCs/>
        </w:rPr>
        <w:t xml:space="preserve">waiting lists</w:t>
      </w:r>
      <w:r>
        <w:t xml:space="preserve">) que chegam a meses para procedimentos eletivos. Em 2024, mais de 7 milhões de pessoas estavam na fila de espera na Inglaterra (NHS England, 2024).</w:t>
      </w:r>
    </w:p>
    <w:p>
      <w:pPr>
        <w:pStyle w:val="BlockText"/>
      </w:pPr>
      <w:r>
        <w:t xml:space="preserve">A tensão fundamental do NHS é entre</w:t>
      </w:r>
      <w:r>
        <w:t xml:space="preserve"> </w:t>
      </w:r>
      <w:r>
        <w:rPr>
          <w:b/>
          <w:bCs/>
        </w:rPr>
        <w:t xml:space="preserve">contenção de custos</w:t>
      </w:r>
      <w:r>
        <w:t xml:space="preserve"> </w:t>
      </w:r>
      <w:r>
        <w:t xml:space="preserve">(gasto de ~10% do PIB, abaixo dos EUA) e</w:t>
      </w:r>
      <w:r>
        <w:t xml:space="preserve"> </w:t>
      </w:r>
      <w:r>
        <w:rPr>
          <w:b/>
          <w:bCs/>
        </w:rPr>
        <w:t xml:space="preserve">acesso oportuno</w:t>
      </w:r>
      <w:r>
        <w:t xml:space="preserve"> </w:t>
      </w:r>
      <w:r>
        <w:t xml:space="preserve">(filas que podem ser clinicamente perigosas). É o trade-off clássico entre eficiência produtiva e qualidade de acesso.</w:t>
      </w:r>
    </w:p>
    <w:bookmarkEnd w:id="1404"/>
    <w:bookmarkStart w:id="1405" w:name="Xa45861342c4fe0abd98801b32b6dca90496d127"/>
    <w:p>
      <w:pPr>
        <w:pStyle w:val="Heading4"/>
      </w:pPr>
      <w:r>
        <w:t xml:space="preserve">23.3.2 Hospitais: sem fins lucrativos, com muitos fins</w:t>
      </w:r>
    </w:p>
    <w:p>
      <w:pPr>
        <w:pStyle w:val="FirstParagraph"/>
      </w:pPr>
      <w:r>
        <w:t xml:space="preserve">Por que tantos hospitais são organizações sem fins lucrativos? Arrow (1963) argumentou que a forma organizacional</w:t>
      </w:r>
      <w:r>
        <w:t xml:space="preserve"> </w:t>
      </w:r>
      <w:r>
        <w:rPr>
          <w:i/>
          <w:iCs/>
        </w:rPr>
        <w:t xml:space="preserve">não-lucrativa</w:t>
      </w:r>
      <w:r>
        <w:t xml:space="preserve"> </w:t>
      </w:r>
      <w:r>
        <w:t xml:space="preserve">é uma resposta à assimetria de informação: o paciente não consegue avaliar a qualidade do cuidado hospitalar</w:t>
      </w:r>
      <w:r>
        <w:t xml:space="preserve"> </w:t>
      </w:r>
      <w:r>
        <w:rPr>
          <w:i/>
          <w:iCs/>
        </w:rPr>
        <w:t xml:space="preserve">ex ante</w:t>
      </w:r>
      <w:r>
        <w:t xml:space="preserve"> </w:t>
      </w:r>
      <w:r>
        <w:t xml:space="preserve">(antes de receber o serviço) nem</w:t>
      </w:r>
      <w:r>
        <w:t xml:space="preserve"> </w:t>
      </w:r>
      <w:r>
        <w:rPr>
          <w:i/>
          <w:iCs/>
        </w:rPr>
        <w:t xml:space="preserve">ex post</w:t>
      </w:r>
      <w:r>
        <w:t xml:space="preserve"> </w:t>
      </w:r>
      <w:r>
        <w:t xml:space="preserve">(como saber se a cirurgia foi</w:t>
      </w:r>
      <w:r>
        <w:t xml:space="preserve"> </w:t>
      </w:r>
      <w:r>
        <w:t xml:space="preserve">“bem feita”</w:t>
      </w:r>
      <w:r>
        <w:t xml:space="preserve"> </w:t>
      </w:r>
      <w:r>
        <w:t xml:space="preserve">se você não é cirurgião?). A ausência de resíduo distribuível (</w:t>
      </w:r>
      <w:r>
        <w:rPr>
          <w:i/>
          <w:iCs/>
        </w:rPr>
        <w:t xml:space="preserve">non-distribution constraint</w:t>
      </w:r>
      <w:r>
        <w:t xml:space="preserve">) sinaliza que o hospital não tem incentivo para maximizar lucro à custa da qualidade.</w:t>
      </w:r>
    </w:p>
    <w:p>
      <w:pPr>
        <w:pStyle w:val="BodyText"/>
      </w:pPr>
      <w:r>
        <w:t xml:space="preserve">O modelo de Newhouse (1970) formaliza o hospital sem fins lucrativos como uma entidade que maximiza uma combinação de</w:t>
      </w:r>
      <w:r>
        <w:t xml:space="preserve"> </w:t>
      </w:r>
      <w:r>
        <w:rPr>
          <w:b/>
          <w:bCs/>
        </w:rPr>
        <w:t xml:space="preserve">qualidade</w:t>
      </w:r>
      <w:r>
        <w:t xml:space="preserve"> </w:t>
      </w:r>
      <w:r>
        <w:t xml:space="preserve">e</w:t>
      </w:r>
      <w:r>
        <w:t xml:space="preserve"> </w:t>
      </w:r>
      <w:r>
        <w:rPr>
          <w:b/>
          <w:bCs/>
        </w:rPr>
        <w:t xml:space="preserve">quantidade</w:t>
      </w:r>
      <w:r>
        <w:t xml:space="preserve"> </w:t>
      </w:r>
      <w:r>
        <w:t xml:space="preserve">de serviços, sujeita a uma restrição de equilíbrio orçamentário:</w:t>
      </w:r>
    </w:p>
    <w:p>
      <w:pPr>
        <w:pStyle w:val="BodyText"/>
      </w:pPr>
      <m:oMathPara>
        <m:oMathParaPr>
          <m:jc m:val="center"/>
        </m:oMathParaPr>
        <m:oMath>
          <m:limLow>
            <m:e>
              <m:r>
                <m:rPr>
                  <m:sty m:val="p"/>
                </m:rPr>
                <m:t>max</m:t>
              </m:r>
            </m:e>
            <m:lim>
              <m:r>
                <m:t>Q</m:t>
              </m:r>
              <m:r>
                <m:rPr>
                  <m:sty m:val="p"/>
                </m:rPr>
                <m:t>,</m:t>
              </m:r>
              <m:r>
                <m:t>q</m:t>
              </m:r>
            </m:lim>
          </m:limLow>
          <m:r>
            <m:t> </m:t>
          </m:r>
          <m:r>
            <m:t>V</m:t>
          </m:r>
          <m:r>
            <m:rPr>
              <m:sty m:val="p"/>
            </m:rPr>
            <m:t>(</m:t>
          </m:r>
          <m:r>
            <m:t>Q</m:t>
          </m:r>
          <m:r>
            <m:rPr>
              <m:sty m:val="p"/>
            </m:rPr>
            <m:t>,</m:t>
          </m:r>
          <m:r>
            <m:t>q</m:t>
          </m:r>
          <m:r>
            <m:rPr>
              <m:sty m:val="p"/>
            </m:rPr>
            <m:t>)</m:t>
          </m:r>
          <m:r>
            <m:t> </m:t>
          </m:r>
          <m:r>
            <m:rPr>
              <m:nor/>
              <m:sty m:val="p"/>
            </m:rPr>
            <m:t>s.a.</m:t>
          </m:r>
          <m:r>
            <m:t> </m:t>
          </m:r>
          <m:r>
            <m:t>R</m:t>
          </m:r>
          <m:r>
            <m:rPr>
              <m:sty m:val="p"/>
            </m:rPr>
            <m:t>(</m:t>
          </m:r>
          <m:r>
            <m:t>Q</m:t>
          </m:r>
          <m:r>
            <m:rPr>
              <m:sty m:val="p"/>
            </m:rPr>
            <m:t>,</m:t>
          </m:r>
          <m:r>
            <m:t>q</m:t>
          </m:r>
          <m:r>
            <m:rPr>
              <m:sty m:val="p"/>
            </m:rPr>
            <m:t>)</m:t>
          </m:r>
          <m:r>
            <m:rPr>
              <m:sty m:val="p"/>
            </m:rPr>
            <m:t>≥</m:t>
          </m:r>
          <m:r>
            <m:t>C</m:t>
          </m:r>
          <m:r>
            <m:rPr>
              <m:sty m:val="p"/>
            </m:rPr>
            <m:t>(</m:t>
          </m:r>
          <m:r>
            <m:t>Q</m:t>
          </m:r>
          <m:r>
            <m:rPr>
              <m:sty m:val="p"/>
            </m:rPr>
            <m:t>,</m:t>
          </m:r>
          <m:r>
            <m:t>q</m:t>
          </m:r>
          <m:r>
            <m:rPr>
              <m:sty m:val="p"/>
            </m:rPr>
            <m:t>)</m:t>
          </m:r>
        </m:oMath>
      </m:oMathPara>
    </w:p>
    <w:p>
      <w:pPr>
        <w:pStyle w:val="FirstParagraph"/>
      </w:pPr>
      <w:r>
        <w:t xml:space="preserve">onde</w:t>
      </w:r>
      <w:r>
        <w:t xml:space="preserve"> </w:t>
      </w:r>
      <m:oMath>
        <m:r>
          <m:t>Q</m:t>
        </m:r>
      </m:oMath>
      <w:r>
        <w:t xml:space="preserve"> </w:t>
      </w:r>
      <w:r>
        <w:t xml:space="preserve">é a quantidade de pacientes,</w:t>
      </w:r>
      <w:r>
        <w:t xml:space="preserve"> </w:t>
      </w:r>
      <m:oMath>
        <m:r>
          <m:t>q</m:t>
        </m:r>
      </m:oMath>
      <w:r>
        <w:t xml:space="preserve"> </w:t>
      </w:r>
      <w:r>
        <w:t xml:space="preserve">é a qualidade dos serviços,</w:t>
      </w:r>
      <w:r>
        <w:t xml:space="preserve"> </w:t>
      </w:r>
      <m:oMath>
        <m:r>
          <m:t>R</m:t>
        </m:r>
      </m:oMath>
      <w:r>
        <w:t xml:space="preserve"> </w:t>
      </w:r>
      <w:r>
        <w:t xml:space="preserve">é a receita e</w:t>
      </w:r>
      <w:r>
        <w:t xml:space="preserve"> </w:t>
      </w:r>
      <m:oMath>
        <m:r>
          <m:t>C</m:t>
        </m:r>
      </m:oMath>
      <w:r>
        <w:t xml:space="preserve"> </w:t>
      </w:r>
      <w:r>
        <w:t xml:space="preserve">é o custo. O hospital sem fins lucrativos tende a ofertar qualidade acima do nível que maximizaria lucro — mas também tende a não minimizar custos, já que não há acionistas para disciplinar a gestão.</w:t>
      </w:r>
    </w:p>
    <w:bookmarkEnd w:id="1405"/>
    <w:bookmarkStart w:id="1406" w:name="Xc4a59fb248a2090a74c4f520ef276065e4a5f34"/>
    <w:p>
      <w:pPr>
        <w:pStyle w:val="Heading4"/>
      </w:pPr>
      <w:r>
        <w:t xml:space="preserve">23.3.3 A indústria farmacêutica: patentes, preços e acesso</w:t>
      </w:r>
    </w:p>
    <w:p>
      <w:pPr>
        <w:pStyle w:val="FirstParagraph"/>
      </w:pPr>
      <w:r>
        <w:t xml:space="preserve">A indústria farmacêutica é um caso fascinante de</w:t>
      </w:r>
      <w:r>
        <w:t xml:space="preserve"> </w:t>
      </w:r>
      <w:r>
        <w:rPr>
          <w:b/>
          <w:bCs/>
        </w:rPr>
        <w:t xml:space="preserve">monopólio temporário por design</w:t>
      </w:r>
      <w:r>
        <w:t xml:space="preserve"> </w:t>
      </w:r>
      <w:r>
        <w:t xml:space="preserve">(Capítulo 15). Patentes conferem exclusividade de 20 anos para incentivar P&amp;D — sem a perspectiva de lucro monopolista, nenhuma empresa investiria US$ 1–2 bilhões para desenvolver uma molécula nova. Mas durante a vigência da patente, o preço excede o custo marginal, restringindo acesso.</w:t>
      </w:r>
    </w:p>
    <w:p>
      <w:pPr>
        <w:pStyle w:val="BodyText"/>
      </w:pPr>
      <w:r>
        <w:t xml:space="preserve">O dilema é intertemporal:</w:t>
      </w:r>
    </w:p>
    <w:p>
      <w:pPr>
        <w:pStyle w:val="BodyText"/>
      </w:pPr>
      <m:oMathPara>
        <m:oMathParaPr>
          <m:jc m:val="center"/>
        </m:oMathParaPr>
        <m:oMath>
          <m:r>
            <m:t>W</m:t>
          </m:r>
          <m:r>
            <m:rPr>
              <m:sty m:val="p"/>
            </m:rPr>
            <m:t>=</m:t>
          </m:r>
          <m:limLow>
            <m:e>
              <m:limLow>
                <m:e>
                  <m:sSub>
                    <m:e>
                      <m:r>
                        <m:t>W</m:t>
                      </m:r>
                    </m:e>
                    <m:sub>
                      <m:r>
                        <m:rPr>
                          <m:nor/>
                          <m:sty m:val="p"/>
                        </m:rPr>
                        <m:t>patente</m:t>
                      </m:r>
                    </m:sub>
                  </m:sSub>
                </m:e>
                <m:lim>
                  <m:r>
                    <m:rPr>
                      <m:sty m:val="p"/>
                    </m:rPr>
                    <m:t>⏟</m:t>
                  </m:r>
                </m:lim>
              </m:limLow>
            </m:e>
            <m:lim>
              <m:r>
                <m:rPr>
                  <m:nor/>
                  <m:sty m:val="p"/>
                </m:rPr>
                <m:t>perda de bem-estar</m:t>
              </m:r>
            </m:lim>
          </m:limLow>
          <m:r>
            <m:rPr>
              <m:sty m:val="p"/>
            </m:rPr>
            <m:t>+</m:t>
          </m:r>
          <m:limLow>
            <m:e>
              <m:limLow>
                <m:e>
                  <m:sSup>
                    <m:e>
                      <m:r>
                        <m:t>β</m:t>
                      </m:r>
                    </m:e>
                    <m:sup>
                      <m:r>
                        <m:t>T</m:t>
                      </m:r>
                    </m:sup>
                  </m:sSup>
                  <m:r>
                    <m:rPr>
                      <m:sty m:val="p"/>
                    </m:rPr>
                    <m:t>⋅</m:t>
                  </m:r>
                  <m:sSub>
                    <m:e>
                      <m:r>
                        <m:t>W</m:t>
                      </m:r>
                    </m:e>
                    <m:sub>
                      <m:r>
                        <m:rPr>
                          <m:nor/>
                          <m:sty m:val="p"/>
                        </m:rPr>
                        <m:t>genérico</m:t>
                      </m:r>
                    </m:sub>
                  </m:sSub>
                </m:e>
                <m:lim>
                  <m:r>
                    <m:rPr>
                      <m:sty m:val="p"/>
                    </m:rPr>
                    <m:t>⏟</m:t>
                  </m:r>
                </m:lim>
              </m:limLow>
            </m:e>
            <m:lim>
              <m:r>
                <m:rPr>
                  <m:nor/>
                  <m:sty m:val="p"/>
                </m:rPr>
                <m:t>ganho futuro com genéricos</m:t>
              </m:r>
            </m:lim>
          </m:limLow>
        </m:oMath>
      </m:oMathPara>
    </w:p>
    <w:p>
      <w:pPr>
        <w:pStyle w:val="FirstParagraph"/>
      </w:pPr>
      <w:r>
        <w:t xml:space="preserve">onde</w:t>
      </w:r>
      <w:r>
        <w:t xml:space="preserve"> </w:t>
      </w:r>
      <m:oMath>
        <m:r>
          <m:t>T</m:t>
        </m:r>
      </m:oMath>
      <w:r>
        <w:t xml:space="preserve"> </w:t>
      </w:r>
      <w:r>
        <w:t xml:space="preserve">é a duração da patente e</w:t>
      </w:r>
      <w:r>
        <w:t xml:space="preserve"> </w:t>
      </w:r>
      <m:oMath>
        <m:r>
          <m:t>β</m:t>
        </m:r>
      </m:oMath>
      <w:r>
        <w:t xml:space="preserve"> </w:t>
      </w:r>
      <w:r>
        <w:t xml:space="preserve">é o fator de desconto. A duração ótima da patente equilibra o incentivo à inovação com a perda de acesso durante o período de monopólio.</w:t>
      </w:r>
    </w:p>
    <w:p>
      <w:pPr>
        <w:pStyle w:val="BlockText"/>
      </w:pPr>
      <w:r>
        <w:rPr>
          <w:b/>
          <w:bCs/>
        </w:rPr>
        <w:t xml:space="preserve">[BOX MUNDO] Box Mundo 23.2 — Preços de medicamentos: por que a mesma pílula custa 10x mais nos EUA?</w:t>
      </w:r>
    </w:p>
    <w:p>
      <w:pPr>
        <w:pStyle w:val="BlockText"/>
      </w:pPr>
      <w:r>
        <w:t xml:space="preserve">Em 2023, o preço de lista do Humira (adalimumab, para artrite reumatoide) era ~US$ 7.000/mês nos EUA e ~US$ 1.400 na Europa. A diferença não é custo de produção — é</w:t>
      </w:r>
      <w:r>
        <w:t xml:space="preserve"> </w:t>
      </w:r>
      <w:r>
        <w:rPr>
          <w:b/>
          <w:bCs/>
        </w:rPr>
        <w:t xml:space="preserve">discriminação de preços de terceiro grau</w:t>
      </w:r>
      <w:r>
        <w:t xml:space="preserve"> </w:t>
      </w:r>
      <w:r>
        <w:t xml:space="preserve">(Capítulo 15). Os EUA são o único país desenvolvido que não negocia preços de medicamentos centralmente. Cada seguradora negocia individualmente, sem poder de monopsônio comparável ao NHS britânico ou ao sistema canadense.</w:t>
      </w:r>
    </w:p>
    <w:p>
      <w:pPr>
        <w:pStyle w:val="BlockText"/>
      </w:pPr>
      <w:r>
        <w:t xml:space="preserve">O</w:t>
      </w:r>
      <w:r>
        <w:t xml:space="preserve"> </w:t>
      </w:r>
      <w:r>
        <w:rPr>
          <w:i/>
          <w:iCs/>
        </w:rPr>
        <w:t xml:space="preserve">Inflation Reduction Act</w:t>
      </w:r>
      <w:r>
        <w:t xml:space="preserve"> </w:t>
      </w:r>
      <w:r>
        <w:t xml:space="preserve">(2022) autorizou pela primeira vez o Medicare a negociar preços de 10 medicamentos — um passo tímido em relação ao modelo europeu, mas politicamente revolucionário nos EUA. Os primeiros preços negociados, anunciados em 2024, representaram descontos de 38–79% sobre os preços de lista.</w:t>
      </w:r>
    </w:p>
    <w:p>
      <w:pPr>
        <w:pStyle w:val="BlockText"/>
      </w:pPr>
      <w:r>
        <w:t xml:space="preserve">O debate econômico é genuíno: preços mais baixos aumentam o acesso hoje, mas podem reduzir o incentivo à inovação amanhã. A questão empírica é se os lucros farmacêuticos atuais já excedem o necessário para financiar P&amp;D — evidência sugere que sim (Cutler, 2004).</w:t>
      </w:r>
    </w:p>
    <w:p>
      <w:pPr>
        <w:pStyle w:val="BlockText"/>
      </w:pPr>
      <w:r>
        <w:rPr>
          <w:b/>
          <w:bCs/>
        </w:rPr>
        <w:t xml:space="preserve">[BOX BRASIL] Box Brasil 23.1 — O SUS: universalismo na prática</w:t>
      </w:r>
    </w:p>
    <w:p>
      <w:pPr>
        <w:pStyle w:val="BlockText"/>
      </w:pPr>
      <w:r>
        <w:t xml:space="preserve">O</w:t>
      </w:r>
      <w:r>
        <w:t xml:space="preserve"> </w:t>
      </w:r>
      <w:r>
        <w:rPr>
          <w:b/>
          <w:bCs/>
        </w:rPr>
        <w:t xml:space="preserve">Sistema Único de Saúde</w:t>
      </w:r>
      <w:r>
        <w:t xml:space="preserve"> </w:t>
      </w:r>
      <w:r>
        <w:t xml:space="preserve">(SUS), criado pela Constituição de 1988, é um sistema de cobertura universal financiado por impostos — inspirado no modelo Beveridge (NHS), mas com uma peculiaridade: a coexistência com um setor privado robusto (planos de saúde) que atende ~25% da população.</w:t>
      </w:r>
    </w:p>
    <w:p>
      <w:pPr>
        <w:pStyle w:val="BlockText"/>
      </w:pPr>
      <w:r>
        <w:rPr>
          <w:b/>
          <w:bCs/>
        </w:rPr>
        <w:t xml:space="preserve">O que o SUS faz bem:</w:t>
      </w:r>
    </w:p>
    <w:p>
      <w:pPr>
        <w:pStyle w:val="Compact"/>
        <w:numPr>
          <w:ilvl w:val="0"/>
          <w:numId w:val="2253"/>
        </w:numPr>
      </w:pPr>
      <w:r>
        <w:rPr>
          <w:b/>
          <w:bCs/>
        </w:rPr>
        <w:t xml:space="preserve">Cobertura universal</w:t>
      </w:r>
      <w:r>
        <w:t xml:space="preserve">: 190+ milhões de brasileiros têm acesso a serviços de saúde sem custo direto no ponto de uso.</w:t>
      </w:r>
    </w:p>
    <w:p>
      <w:pPr>
        <w:pStyle w:val="Compact"/>
        <w:numPr>
          <w:ilvl w:val="0"/>
          <w:numId w:val="2253"/>
        </w:numPr>
      </w:pPr>
      <w:r>
        <w:rPr>
          <w:b/>
          <w:bCs/>
        </w:rPr>
        <w:t xml:space="preserve">Imunização</w:t>
      </w:r>
      <w:r>
        <w:t xml:space="preserve">: o Programa Nacional de Imunizações (PNI) é referência mundial, com cobertura vacinal historicamente alta.</w:t>
      </w:r>
    </w:p>
    <w:p>
      <w:pPr>
        <w:pStyle w:val="Compact"/>
        <w:numPr>
          <w:ilvl w:val="0"/>
          <w:numId w:val="2253"/>
        </w:numPr>
      </w:pPr>
      <w:r>
        <w:rPr>
          <w:b/>
          <w:bCs/>
        </w:rPr>
        <w:t xml:space="preserve">Transplantes</w:t>
      </w:r>
      <w:r>
        <w:t xml:space="preserve">: o Brasil tem o maior programa público de transplantes do mundo.</w:t>
      </w:r>
    </w:p>
    <w:p>
      <w:pPr>
        <w:pStyle w:val="Compact"/>
        <w:numPr>
          <w:ilvl w:val="0"/>
          <w:numId w:val="2253"/>
        </w:numPr>
      </w:pPr>
      <w:r>
        <w:rPr>
          <w:b/>
          <w:bCs/>
        </w:rPr>
        <w:t xml:space="preserve">HIV/AIDS</w:t>
      </w:r>
      <w:r>
        <w:t xml:space="preserve">: distribuição universal de antirretrovirais desde 1996, modelo replicado por outros países.</w:t>
      </w:r>
    </w:p>
    <w:p>
      <w:pPr>
        <w:pStyle w:val="Compact"/>
        <w:numPr>
          <w:ilvl w:val="0"/>
          <w:numId w:val="2253"/>
        </w:numPr>
      </w:pPr>
      <w:r>
        <w:rPr>
          <w:b/>
          <w:bCs/>
        </w:rPr>
        <w:t xml:space="preserve">Atenção básica</w:t>
      </w:r>
      <w:r>
        <w:t xml:space="preserve">: o programa Estratégia Saúde da Família (ESF) cobre ~76% da população (Ministério da Saúde, 2024).</w:t>
      </w:r>
    </w:p>
    <w:p>
      <w:pPr>
        <w:pStyle w:val="BlockText"/>
      </w:pPr>
      <w:r>
        <w:rPr>
          <w:b/>
          <w:bCs/>
        </w:rPr>
        <w:t xml:space="preserve">Desafios persistentes:</w:t>
      </w:r>
    </w:p>
    <w:p>
      <w:pPr>
        <w:pStyle w:val="Compact"/>
        <w:numPr>
          <w:ilvl w:val="0"/>
          <w:numId w:val="2254"/>
        </w:numPr>
      </w:pPr>
      <w:r>
        <w:rPr>
          <w:b/>
          <w:bCs/>
        </w:rPr>
        <w:t xml:space="preserve">Subfinanciamento</w:t>
      </w:r>
      <w:r>
        <w:t xml:space="preserve">: gasto público em saúde de ~4% do PIB, versus 6–8% em países com sistemas universais comparáveis (OECD, 2023).</w:t>
      </w:r>
    </w:p>
    <w:p>
      <w:pPr>
        <w:pStyle w:val="Compact"/>
        <w:numPr>
          <w:ilvl w:val="0"/>
          <w:numId w:val="2254"/>
        </w:numPr>
      </w:pPr>
      <w:r>
        <w:rPr>
          <w:b/>
          <w:bCs/>
        </w:rPr>
        <w:t xml:space="preserve">Filas</w:t>
      </w:r>
      <w:r>
        <w:t xml:space="preserve">: tempos de espera longos para especialistas e cirurgias eletivas.</w:t>
      </w:r>
    </w:p>
    <w:p>
      <w:pPr>
        <w:pStyle w:val="Compact"/>
        <w:numPr>
          <w:ilvl w:val="0"/>
          <w:numId w:val="2254"/>
        </w:numPr>
      </w:pPr>
      <w:r>
        <w:rPr>
          <w:b/>
          <w:bCs/>
        </w:rPr>
        <w:t xml:space="preserve">Judicialização</w:t>
      </w:r>
      <w:r>
        <w:t xml:space="preserve">: decisões judiciais obrigam o SUS a fornecer medicamentos e tratamentos de alto custo, distorcendo prioridades orçamentárias.</w:t>
      </w:r>
    </w:p>
    <w:p>
      <w:pPr>
        <w:pStyle w:val="Compact"/>
        <w:numPr>
          <w:ilvl w:val="0"/>
          <w:numId w:val="2254"/>
        </w:numPr>
      </w:pPr>
      <w:r>
        <w:rPr>
          <w:b/>
          <w:bCs/>
        </w:rPr>
        <w:t xml:space="preserve">Desigualdade regional</w:t>
      </w:r>
      <w:r>
        <w:t xml:space="preserve">: qualidade e acesso variam enormemente entre Sul/Sudeste e Norte/Nordeste.</w:t>
      </w:r>
    </w:p>
    <w:p>
      <w:pPr>
        <w:pStyle w:val="BlockText"/>
      </w:pPr>
      <w:r>
        <w:rPr>
          <w:b/>
          <w:bCs/>
        </w:rPr>
        <w:t xml:space="preserve">Dados:</w:t>
      </w:r>
      <w:r>
        <w:t xml:space="preserve"> </w:t>
      </w:r>
      <w:r>
        <w:t xml:space="preserve">Em 2023, o gasto total em saúde no Brasil foi de ~9,6% do PIB, mas apenas ~4% público e ~5,6% privado. Compare com o Reino Unido (~10,3% do PIB, quase todo público) e os EUA (~17,3% do PIB, misto) (OECD, 2023).</w:t>
      </w:r>
    </w:p>
    <w:bookmarkEnd w:id="1406"/>
    <w:bookmarkEnd w:id="1407"/>
    <w:bookmarkStart w:id="1412" w:name="Xec09ef9836da03f1add21e3ef607627e687e790"/>
    <w:p>
      <w:pPr>
        <w:pStyle w:val="Heading3"/>
      </w:pPr>
      <w:r>
        <w:t xml:space="preserve">23.4 Seguros de saúde</w:t>
      </w:r>
    </w:p>
    <w:bookmarkStart w:id="1409" w:name="seleção-adversa-e-a-espiral-da-morte"/>
    <w:p>
      <w:pPr>
        <w:pStyle w:val="Heading4"/>
      </w:pPr>
      <w:r>
        <w:t xml:space="preserve">23.4.1 Seleção adversa e a espiral da morte</w:t>
      </w:r>
    </w:p>
    <w:p>
      <w:pPr>
        <w:pStyle w:val="FirstParagraph"/>
      </w:pPr>
      <w:r>
        <w:t xml:space="preserve">O mercado de seguros de saúde é o palco onde os problemas de informação assimétrica do Capítulo 19 ganham consequências mais dramáticas. A</w:t>
      </w:r>
      <w:r>
        <w:t xml:space="preserve"> </w:t>
      </w:r>
      <w:r>
        <w:rPr>
          <w:b/>
          <w:bCs/>
        </w:rPr>
        <w:t xml:space="preserve">seleção adversa</w:t>
      </w:r>
      <w:r>
        <w:t xml:space="preserve"> </w:t>
      </w:r>
      <w:r>
        <w:t xml:space="preserve">ocorre porque o indivíduo conhece seu estado de saúde melhor do que a seguradora — e quem mais deseja seguro é, em média, quem mais precisa dele.</w:t>
      </w:r>
    </w:p>
    <w:p>
      <w:pPr>
        <w:pStyle w:val="BodyText"/>
      </w:pPr>
      <w:r>
        <w:t xml:space="preserve">Formalize. Sejam dois tipos de consumidores: alto risco (</w:t>
      </w:r>
      <m:oMath>
        <m:sSub>
          <m:e>
            <m:r>
              <m:t>π</m:t>
            </m:r>
          </m:e>
          <m:sub>
            <m:r>
              <m:t>H</m:t>
            </m:r>
          </m:sub>
        </m:sSub>
      </m:oMath>
      <w:r>
        <w:t xml:space="preserve">) e baixo risco (</w:t>
      </w:r>
      <m:oMath>
        <m:sSub>
          <m:e>
            <m:r>
              <m:t>π</m:t>
            </m:r>
          </m:e>
          <m:sub>
            <m:r>
              <m:t>L</m:t>
            </m:r>
          </m:sub>
        </m:sSub>
      </m:oMath>
      <w:r>
        <w:t xml:space="preserve">), com</w:t>
      </w:r>
      <w:r>
        <w:t xml:space="preserve"> </w:t>
      </w:r>
      <m:oMath>
        <m:sSub>
          <m:e>
            <m:r>
              <m:t>π</m:t>
            </m:r>
          </m:e>
          <m:sub>
            <m:r>
              <m:t>H</m:t>
            </m:r>
          </m:sub>
        </m:sSub>
        <m:r>
          <m:rPr>
            <m:sty m:val="p"/>
          </m:rPr>
          <m:t>&gt;</m:t>
        </m:r>
        <m:sSub>
          <m:e>
            <m:r>
              <m:t>π</m:t>
            </m:r>
          </m:e>
          <m:sub>
            <m:r>
              <m:t>L</m:t>
            </m:r>
          </m:sub>
        </m:sSub>
      </m:oMath>
      <w:r>
        <w:t xml:space="preserve">. A perda em caso de doença é</w:t>
      </w:r>
      <w:r>
        <w:t xml:space="preserve"> </w:t>
      </w:r>
      <m:oMath>
        <m:r>
          <m:t>L</m:t>
        </m:r>
      </m:oMath>
      <w:r>
        <w:t xml:space="preserve">. Se a seguradora não distingue os tipos e cobra um prêmio único baseado no risco médio:</w:t>
      </w:r>
    </w:p>
    <w:p>
      <w:pPr>
        <w:pStyle w:val="BodyText"/>
      </w:pPr>
      <w:r>
        <w:t xml:space="preserve">$$
    \bar{P} = [\lambda \pi_H + (1 - \lambda) \pi_L] \cdot L \tag{23.12}
    $$</w:t>
      </w:r>
    </w:p>
    <w:p>
      <w:pPr>
        <w:pStyle w:val="FirstParagraph"/>
      </w:pPr>
      <w:r>
        <w:t xml:space="preserve">onde</w:t>
      </w:r>
      <w:r>
        <w:t xml:space="preserve"> </w:t>
      </w:r>
      <m:oMath>
        <m:r>
          <m:t>λ</m:t>
        </m:r>
      </m:oMath>
      <w:r>
        <w:t xml:space="preserve"> </w:t>
      </w:r>
      <w:r>
        <w:t xml:space="preserve">é a proporção de alto risco na população.</w:t>
      </w:r>
    </w:p>
    <w:p>
      <w:pPr>
        <w:pStyle w:val="BodyText"/>
      </w:pPr>
      <w:r>
        <w:t xml:space="preserve">O problema: para o tipo</w:t>
      </w:r>
      <w:r>
        <w:t xml:space="preserve"> </w:t>
      </w:r>
      <m:oMath>
        <m:r>
          <m:t>L</m:t>
        </m:r>
      </m:oMath>
      <w:r>
        <w:t xml:space="preserve">, o prêmio do pool</w:t>
      </w:r>
      <w:r>
        <w:t xml:space="preserve"> </w:t>
      </w:r>
      <m:oMath>
        <m:acc>
          <m:accPr>
            <m:chr m:val="‾"/>
          </m:accPr>
          <m:e>
            <m:r>
              <m:t>P</m:t>
            </m:r>
          </m:e>
        </m:acc>
      </m:oMath>
      <w:r>
        <w:t xml:space="preserve"> </w:t>
      </w:r>
      <w:r>
        <w:t xml:space="preserve">pode exceder sua disposição a pagar (</w:t>
      </w:r>
      <m:oMath>
        <m:r>
          <m:rPr>
            <m:sty m:val="p"/>
          </m:rPr>
          <m:t>≈</m:t>
        </m:r>
        <m:sSub>
          <m:e>
            <m:r>
              <m:t>π</m:t>
            </m:r>
          </m:e>
          <m:sub>
            <m:r>
              <m:t>L</m:t>
            </m:r>
          </m:sub>
        </m:sSub>
        <m:r>
          <m:rPr>
            <m:sty m:val="p"/>
          </m:rPr>
          <m:t>⋅</m:t>
        </m:r>
        <m:r>
          <m:t>L</m:t>
        </m:r>
      </m:oMath>
      <w:r>
        <w:t xml:space="preserve"> </w:t>
      </w:r>
      <w:r>
        <w:t xml:space="preserve">mais um prêmio de risco). Se isso acontece, o tipo</w:t>
      </w:r>
      <w:r>
        <w:t xml:space="preserve"> </w:t>
      </w:r>
      <m:oMath>
        <m:r>
          <m:t>L</m:t>
        </m:r>
      </m:oMath>
      <w:r>
        <w:t xml:space="preserve"> </w:t>
      </w:r>
      <w:r>
        <w:t xml:space="preserve">sai do pool. Com sua saída, a proporção de alto risco aumenta, o prêmio sobe, mais baixo risco saem — e o mercado entra em uma</w:t>
      </w:r>
      <w:r>
        <w:t xml:space="preserve"> </w:t>
      </w:r>
      <w:r>
        <w:rPr>
          <w:b/>
          <w:bCs/>
        </w:rPr>
        <w:t xml:space="preserve">espiral da morte</w:t>
      </w:r>
      <w:r>
        <w:t xml:space="preserve"> </w:t>
      </w:r>
      <w:r>
        <w:t xml:space="preserve">(</w:t>
      </w:r>
      <w:r>
        <w:rPr>
          <w:i/>
          <w:iCs/>
        </w:rPr>
        <w:t xml:space="preserve">death spiral</w:t>
      </w:r>
      <w:r>
        <w:t xml:space="preserve">).</w:t>
      </w:r>
    </w:p>
    <w:p>
      <w:pPr>
        <w:pStyle w:val="BlockText"/>
      </w:pPr>
      <w:r>
        <w:rPr>
          <w:b/>
          <w:bCs/>
        </w:rPr>
        <w:t xml:space="preserve">[DEFINICAO] Espiral da morte (death spiral)</w:t>
      </w:r>
    </w:p>
    <w:p>
      <w:pPr>
        <w:pStyle w:val="BlockText"/>
      </w:pPr>
      <w:r>
        <w:t xml:space="preserve">A</w:t>
      </w:r>
      <w:r>
        <w:t xml:space="preserve"> </w:t>
      </w:r>
      <w:r>
        <w:rPr>
          <w:b/>
          <w:bCs/>
        </w:rPr>
        <w:t xml:space="preserve">espiral da morte</w:t>
      </w:r>
      <w:r>
        <w:t xml:space="preserve"> </w:t>
      </w:r>
      <w:r>
        <w:t xml:space="preserve">é um processo de retroalimentação positiva em que: (1) o prêmio de seguro sobe; (2) os indivíduos de menor risco saem do pool; (3) o risco médio dos segurados aumenta; (4) o prêmio sobe novamente. No limite, apenas os indivíduos de altíssimo risco permanecem segurados — ou o mercado colapsa completamente. É a versão dinâmica do resultado de Rothschild e Stiglitz (1976, Capítulo 19).</w:t>
      </w:r>
    </w:p>
    <w:p>
      <w:pPr>
        <w:pStyle w:val="BlockText"/>
      </w:pPr>
      <w:r>
        <w:rPr>
          <w:b/>
          <w:bCs/>
        </w:rPr>
        <w:t xml:space="preserve">[BOX BRASIL] Box Brasil 23.4 — Seleção adversa nos planos de saúde brasileiros: evidência com dados ANS e DATASUS</w:t>
      </w:r>
    </w:p>
    <w:p>
      <w:pPr>
        <w:pStyle w:val="BlockText"/>
      </w:pPr>
      <w:r>
        <w:t xml:space="preserve">O mercado brasileiro de planos de saúde oferece um laboratório natural para estudar seleção adversa. A regulação da</w:t>
      </w:r>
      <w:r>
        <w:t xml:space="preserve"> </w:t>
      </w:r>
      <w:hyperlink r:id="rId1198">
        <w:r>
          <w:rPr>
            <w:rStyle w:val="Hyperlink"/>
          </w:rPr>
          <w:t xml:space="preserve">ANS</w:t>
        </w:r>
      </w:hyperlink>
      <w:r>
        <w:t xml:space="preserve"> </w:t>
      </w:r>
      <w:r>
        <w:t xml:space="preserve">impõe</w:t>
      </w:r>
      <w:r>
        <w:t xml:space="preserve"> </w:t>
      </w:r>
      <w:r>
        <w:rPr>
          <w:i/>
          <w:iCs/>
        </w:rPr>
        <w:t xml:space="preserve">community rating</w:t>
      </w:r>
      <w:r>
        <w:t xml:space="preserve"> </w:t>
      </w:r>
      <w:r>
        <w:t xml:space="preserve">parcial (variação máxima de 6:1 entre faixas etárias) e proíbe exclusão por condição preexistente — exatamente as condições que a teoria de Rothschild-Stiglitz prevê como geradoras de seleção adversa.</w:t>
      </w:r>
    </w:p>
    <w:p>
      <w:pPr>
        <w:pStyle w:val="BlockText"/>
      </w:pPr>
      <w:r>
        <w:rPr>
          <w:b/>
          <w:bCs/>
        </w:rPr>
        <w:t xml:space="preserve">Evidências empíricas:</w:t>
      </w:r>
    </w:p>
    <w:tbl>
      <w:tblPr>
        <w:tblStyle w:val="Table"/>
        <w:tblW w:type="pct" w:w="5000"/>
        <w:tblLayout w:type="fixed"/>
        <w:tblLook w:firstRow="1" w:lastRow="0" w:firstColumn="0" w:lastColumn="0" w:noHBand="0" w:noVBand="0" w:val="0020"/>
      </w:tblPr>
      <w:tblGrid>
        <w:gridCol w:w="1555"/>
        <w:gridCol w:w="2828"/>
        <w:gridCol w:w="2545"/>
        <w:gridCol w:w="990"/>
      </w:tblGrid>
      <w:tr>
        <w:trPr>
          <w:tblHeader w:val="on"/>
        </w:trPr>
        <w:tc>
          <w:tcPr/>
          <w:p>
            <w:pPr>
              <w:pStyle w:val="Compact"/>
              <w:jc w:val="left"/>
            </w:pPr>
            <w:r>
              <w:t xml:space="preserve">Indicador</w:t>
            </w:r>
          </w:p>
        </w:tc>
        <w:tc>
          <w:tcPr/>
          <w:p>
            <w:pPr>
              <w:pStyle w:val="Compact"/>
              <w:jc w:val="center"/>
            </w:pPr>
            <w:r>
              <w:t xml:space="preserve">Planos individuais</w:t>
            </w:r>
          </w:p>
        </w:tc>
        <w:tc>
          <w:tcPr/>
          <w:p>
            <w:pPr>
              <w:pStyle w:val="Compact"/>
              <w:jc w:val="center"/>
            </w:pPr>
            <w:r>
              <w:t xml:space="preserve">Planos coletivos</w:t>
            </w:r>
          </w:p>
        </w:tc>
        <w:tc>
          <w:tcPr/>
          <w:p>
            <w:pPr>
              <w:pStyle w:val="Compact"/>
              <w:jc w:val="left"/>
            </w:pPr>
            <w:r>
              <w:t xml:space="preserve">Fonte</w:t>
            </w:r>
          </w:p>
        </w:tc>
      </w:tr>
      <w:tr>
        <w:tc>
          <w:tcPr/>
          <w:p>
            <w:pPr>
              <w:pStyle w:val="Compact"/>
              <w:jc w:val="left"/>
            </w:pPr>
            <w:r>
              <w:t xml:space="preserve">Sinistralidade média</w:t>
            </w:r>
          </w:p>
        </w:tc>
        <w:tc>
          <w:tcPr/>
          <w:p>
            <w:pPr>
              <w:pStyle w:val="Compact"/>
              <w:jc w:val="center"/>
            </w:pPr>
            <w:r>
              <w:t xml:space="preserve">88–92%</w:t>
            </w:r>
          </w:p>
        </w:tc>
        <w:tc>
          <w:tcPr/>
          <w:p>
            <w:pPr>
              <w:pStyle w:val="Compact"/>
              <w:jc w:val="center"/>
            </w:pPr>
            <w:r>
              <w:t xml:space="preserve">78–83%</w:t>
            </w:r>
          </w:p>
        </w:tc>
        <w:tc>
          <w:tcPr/>
          <w:p>
            <w:pPr>
              <w:pStyle w:val="Compact"/>
              <w:jc w:val="left"/>
            </w:pPr>
            <w:r>
              <w:t xml:space="preserve">ANS, 2024</w:t>
            </w:r>
          </w:p>
        </w:tc>
      </w:tr>
      <w:tr>
        <w:tc>
          <w:tcPr/>
          <w:p>
            <w:pPr>
              <w:pStyle w:val="Compact"/>
              <w:jc w:val="left"/>
            </w:pPr>
            <w:r>
              <w:t xml:space="preserve">Reajuste médio anual (2020–2024)</w:t>
            </w:r>
          </w:p>
        </w:tc>
        <w:tc>
          <w:tcPr/>
          <w:p>
            <w:pPr>
              <w:pStyle w:val="Compact"/>
              <w:jc w:val="center"/>
            </w:pPr>
            <w:r>
              <w:t xml:space="preserve">9,6–15,5%</w:t>
            </w:r>
          </w:p>
        </w:tc>
        <w:tc>
          <w:tcPr/>
          <w:p>
            <w:pPr>
              <w:pStyle w:val="Compact"/>
              <w:jc w:val="center"/>
            </w:pPr>
            <w:r>
              <w:t xml:space="preserve">12–18% (sem teto)</w:t>
            </w:r>
          </w:p>
        </w:tc>
        <w:tc>
          <w:tcPr/>
          <w:p>
            <w:pPr>
              <w:pStyle w:val="Compact"/>
              <w:jc w:val="left"/>
            </w:pPr>
            <w:r>
              <w:t xml:space="preserve">ANS/DIPRO</w:t>
            </w:r>
          </w:p>
        </w:tc>
      </w:tr>
      <w:tr>
        <w:tc>
          <w:tcPr/>
          <w:p>
            <w:pPr>
              <w:pStyle w:val="Compact"/>
              <w:jc w:val="left"/>
            </w:pPr>
            <w:r>
              <w:t xml:space="preserve">Idade média do beneficiário</w:t>
            </w:r>
          </w:p>
        </w:tc>
        <w:tc>
          <w:tcPr/>
          <w:p>
            <w:pPr>
              <w:pStyle w:val="Compact"/>
              <w:jc w:val="center"/>
            </w:pPr>
            <w:r>
              <w:t xml:space="preserve">42 anos</w:t>
            </w:r>
          </w:p>
        </w:tc>
        <w:tc>
          <w:tcPr/>
          <w:p>
            <w:pPr>
              <w:pStyle w:val="Compact"/>
              <w:jc w:val="center"/>
            </w:pPr>
            <w:r>
              <w:t xml:space="preserve">35 anos</w:t>
            </w:r>
          </w:p>
        </w:tc>
        <w:tc>
          <w:tcPr/>
          <w:p>
            <w:pPr>
              <w:pStyle w:val="Compact"/>
              <w:jc w:val="left"/>
            </w:pPr>
            <w:r>
              <w:t xml:space="preserve">ANS TabNet</w:t>
            </w:r>
          </w:p>
        </w:tc>
      </w:tr>
      <w:tr>
        <w:tc>
          <w:tcPr/>
          <w:p>
            <w:pPr>
              <w:pStyle w:val="Compact"/>
              <w:jc w:val="left"/>
            </w:pPr>
            <w:r>
              <w:t xml:space="preserve">Taxa de utilização (consultas/beneficiário/ano)</w:t>
            </w:r>
          </w:p>
        </w:tc>
        <w:tc>
          <w:tcPr/>
          <w:p>
            <w:pPr>
              <w:pStyle w:val="Compact"/>
              <w:jc w:val="center"/>
            </w:pPr>
            <w:r>
              <w:t xml:space="preserve">6,2</w:t>
            </w:r>
          </w:p>
        </w:tc>
        <w:tc>
          <w:tcPr/>
          <w:p>
            <w:pPr>
              <w:pStyle w:val="Compact"/>
              <w:jc w:val="center"/>
            </w:pPr>
            <w:r>
              <w:t xml:space="preserve">4,8</w:t>
            </w:r>
          </w:p>
        </w:tc>
        <w:tc>
          <w:tcPr/>
          <w:p>
            <w:pPr>
              <w:pStyle w:val="Compact"/>
              <w:jc w:val="left"/>
            </w:pPr>
            <w:r>
              <w:t xml:space="preserve">DATASUS/SIB</w:t>
            </w:r>
          </w:p>
        </w:tc>
      </w:tr>
    </w:tbl>
    <w:p>
      <w:pPr>
        <w:pStyle w:val="BlockText"/>
      </w:pPr>
      <w:r>
        <w:rPr>
          <w:b/>
          <w:bCs/>
        </w:rPr>
        <w:t xml:space="preserve">O que os dados revelam:</w:t>
      </w:r>
    </w:p>
    <w:p>
      <w:pPr>
        <w:pStyle w:val="Compact"/>
        <w:numPr>
          <w:ilvl w:val="0"/>
          <w:numId w:val="2255"/>
        </w:numPr>
      </w:pPr>
      <w:r>
        <w:rPr>
          <w:b/>
          <w:bCs/>
        </w:rPr>
        <w:t xml:space="preserve">Planos individuais sofrem mais seleção adversa.</w:t>
      </w:r>
      <w:r>
        <w:t xml:space="preserve"> </w:t>
      </w:r>
      <w:r>
        <w:t xml:space="preserve">A sinistralidade consistentemente acima de 85% indica que os beneficiários que permanecem nesses planos são, em média, de maior risco. Muitos jovens saudáveis migraram para planos coletivos por adesão (via sindicatos, associações), onde os prêmios são menores — exatamente o comportamento previsto pela teoria.</w:t>
      </w:r>
    </w:p>
    <w:p>
      <w:pPr>
        <w:pStyle w:val="Compact"/>
        <w:numPr>
          <w:ilvl w:val="0"/>
          <w:numId w:val="2255"/>
        </w:numPr>
      </w:pPr>
      <w:r>
        <w:rPr>
          <w:b/>
          <w:bCs/>
        </w:rPr>
        <w:t xml:space="preserve">A espiral da morte é real.</w:t>
      </w:r>
      <w:r>
        <w:t xml:space="preserve"> </w:t>
      </w:r>
      <w:r>
        <w:t xml:space="preserve">O número de beneficiários de planos individuais caiu de 9,5 milhões (2014) para ~8,1 milhões (2024), enquanto planos coletivos cresceram de 37 para ~42 milhões. A fuga dos baixo risco para coletivos eleva o risco médio dos individuais, forçando reajustes maiores — o mecanismo clássico da espiral.</w:t>
      </w:r>
    </w:p>
    <w:p>
      <w:pPr>
        <w:pStyle w:val="Compact"/>
        <w:numPr>
          <w:ilvl w:val="0"/>
          <w:numId w:val="2255"/>
        </w:numPr>
      </w:pPr>
      <w:r>
        <w:rPr>
          <w:b/>
          <w:bCs/>
        </w:rPr>
        <w:t xml:space="preserve">Regulação amplifica o problema.</w:t>
      </w:r>
      <w:r>
        <w:t xml:space="preserve"> </w:t>
      </w:r>
      <w:r>
        <w:t xml:space="preserve">O teto de reajuste para individuais (fixado pela ANS abaixo do custo atuarial) desincentiva operadoras a vender planos individuais. Muitas operadoras simplesmente pararam de ofertá-los — um colapso de mercado parcial.</w:t>
      </w:r>
    </w:p>
    <w:p>
      <w:pPr>
        <w:pStyle w:val="Compact"/>
        <w:numPr>
          <w:ilvl w:val="0"/>
          <w:numId w:val="2255"/>
        </w:numPr>
      </w:pPr>
      <w:r>
        <w:rPr>
          <w:b/>
          <w:bCs/>
        </w:rPr>
        <w:t xml:space="preserve">Faixa etária como proxy imperfeito.</w:t>
      </w:r>
      <w:r>
        <w:t xml:space="preserve"> </w:t>
      </w:r>
      <w:r>
        <w:t xml:space="preserve">A variação de 6:1 entre a faixa mais jovem (0–18) e a mais idosa (59+) é insuficiente para refletir a diferença real de custos (que pode chegar a 10:1 ou mais). Isso gera subsidio cruzado dos jovens para os idosos dentro do mesmo plano — e incentiva a saída dos jovens saudáveis.</w:t>
      </w:r>
    </w:p>
    <w:p>
      <w:pPr>
        <w:pStyle w:val="BlockText"/>
      </w:pPr>
      <w:r>
        <w:rPr>
          <w:b/>
          <w:bCs/>
        </w:rPr>
        <w:t xml:space="preserve">Conexão com a teoria:</w:t>
      </w:r>
    </w:p>
    <w:p>
      <w:pPr>
        <w:pStyle w:val="BlockText"/>
      </w:pPr>
      <w:r>
        <w:t xml:space="preserve">O caso brasileiro é uma ilustração quase perfeita do trade-off entre eficiência e equidade na regulação de seguros. O</w:t>
      </w:r>
      <w:r>
        <w:t xml:space="preserve"> </w:t>
      </w:r>
      <w:r>
        <w:rPr>
          <w:i/>
          <w:iCs/>
        </w:rPr>
        <w:t xml:space="preserve">community rating</w:t>
      </w:r>
      <w:r>
        <w:t xml:space="preserve"> </w:t>
      </w:r>
      <w:r>
        <w:t xml:space="preserve">parcial é pró-equidade (protege idosos e doentes), mas anti-eficiência (distorce os preços, gerando seleção adversa). A coexistência de planos individuais regulados (com seleção adversa) e planos coletivos menos regulados (com menor seleção) reproduz, no mundo real, a distinção entre equilíbrio separador e pooling do modelo de Rothschild-Stiglitz.</w:t>
      </w:r>
    </w:p>
    <w:p>
      <w:pPr>
        <w:pStyle w:val="BlockText"/>
      </w:pPr>
      <w:r>
        <w:rPr>
          <w:b/>
          <w:bCs/>
        </w:rPr>
        <w:t xml:space="preserve">Fonte:</w:t>
      </w:r>
      <w:r>
        <w:t xml:space="preserve"> </w:t>
      </w:r>
      <w:r>
        <w:t xml:space="preserve">ANS,</w:t>
      </w:r>
      <w:r>
        <w:t xml:space="preserve"> </w:t>
      </w:r>
      <w:r>
        <w:rPr>
          <w:i/>
          <w:iCs/>
        </w:rPr>
        <w:t xml:space="preserve">Dados Gerais do Setor</w:t>
      </w:r>
      <w:r>
        <w:t xml:space="preserve">, 2024; ANS TabNet;</w:t>
      </w:r>
      <w:r>
        <w:t xml:space="preserve"> </w:t>
      </w:r>
      <w:hyperlink r:id="rId1408">
        <w:r>
          <w:rPr>
            <w:rStyle w:val="Hyperlink"/>
          </w:rPr>
          <w:t xml:space="preserve">DATASUS</w:t>
        </w:r>
      </w:hyperlink>
      <w:r>
        <w:t xml:space="preserve">, Sistema de Informações de Beneficiários (SIB); Andrade, M.V. e Maia, A.C. (2009),</w:t>
      </w:r>
      <w:r>
        <w:t xml:space="preserve"> </w:t>
      </w:r>
      <w:r>
        <w:t xml:space="preserve">“Diferenciais de utilização do cuidado de saúde no sistema suplementar brasileiro”</w:t>
      </w:r>
      <w:r>
        <w:t xml:space="preserve">,</w:t>
      </w:r>
      <w:r>
        <w:t xml:space="preserve"> </w:t>
      </w:r>
      <w:r>
        <w:rPr>
          <w:i/>
          <w:iCs/>
        </w:rPr>
        <w:t xml:space="preserve">Estudos Econômicos</w:t>
      </w:r>
      <w:r>
        <w:t xml:space="preserve">, 39(1), 7–38.</w:t>
      </w:r>
    </w:p>
    <w:p>
      <w:pPr>
        <w:pStyle w:val="FirstParagraph"/>
      </w:pPr>
      <w:r>
        <w:t xml:space="preserve">O modelo de Rothschild e Stiglitz (1976), estudado no Capítulo 19, mostra que o equilíbrio competitivo com seleção adversa — quando existe — envolve</w:t>
      </w:r>
      <w:r>
        <w:t xml:space="preserve"> </w:t>
      </w:r>
      <w:r>
        <w:rPr>
          <w:b/>
          <w:bCs/>
        </w:rPr>
        <w:t xml:space="preserve">contratos separadores</w:t>
      </w:r>
      <w:r>
        <w:t xml:space="preserve">: o tipo alto risco recebe cobertura completa a prêmio alto; o tipo baixo risco recebe cobertura parcial a prêmio baixo. Nenhuma firma lucra, mas o tipo baixo risco sofre uma externalidade negativa: seu contrato é distorcido pela presença do tipo alto risco.</w:t>
      </w:r>
    </w:p>
    <w:p>
      <w:pPr>
        <w:pStyle w:val="BodyText"/>
      </w:pPr>
      <w:r>
        <w:t xml:space="preserve">No gráfico interativo abaixo, simule a espiral da morte: ajuste a proporção de tipos e a disposição a pagar, e observe como o mercado de seguros colapsa iteração a iteração.</w:t>
      </w:r>
    </w:p>
    <w:p>
      <w:pPr>
        <w:pStyle w:val="BodyText"/>
      </w:pPr>
      <w:r>
        <w:t xml:space="preserve">[FIGURA INTERATIVA: /micro-book/graficos/cap23/espiral-morte.html — versao interativa disponivel online]</w:t>
      </w:r>
    </w:p>
    <w:p>
      <w:pPr>
        <w:pStyle w:val="BodyText"/>
      </w:pPr>
      <w:r>
        <w:rPr>
          <w:b/>
          <w:bCs/>
        </w:rPr>
        <w:t xml:space="preserve">Figura 23.3 — Espiral da Morte em Seguros de Saúde.</w:t>
      </w:r>
      <w:r>
        <w:t xml:space="preserve"> </w:t>
      </w:r>
      <w:r>
        <w:t xml:space="preserve">Ajuste a proporção de tipos alto e baixo risco e observe o processo iterativo: a cada rodada, os baixo risco saem, o prêmio sobe e o pool encolhe — até restar apenas alto risco ou o mercado colapsar.</w:t>
      </w:r>
    </w:p>
    <w:p>
      <w:pPr>
        <w:pStyle w:val="BodyText"/>
      </w:pPr>
      <w:r>
        <w:t xml:space="preserve">No diagrama de Rothschild-Stiglitz abaixo, visualize o equilíbrio separador no espaço riqueza-estado: linhas de lucro zero para cada tipo e o resultado de que o tipo baixo risco é forçado a aceitar cobertura parcial.</w:t>
      </w:r>
    </w:p>
    <w:p>
      <w:pPr>
        <w:pStyle w:val="BodyText"/>
      </w:pPr>
      <w:r>
        <w:t xml:space="preserve">[FIGURA INTERATIVA: /micro-book/graficos/cap23/selecao-adversa-saude.html — versao interativa disponivel online]</w:t>
      </w:r>
    </w:p>
    <w:p>
      <w:pPr>
        <w:pStyle w:val="BodyText"/>
      </w:pPr>
      <w:r>
        <w:rPr>
          <w:b/>
          <w:bCs/>
        </w:rPr>
        <w:t xml:space="preserve">Figura 23.3b — Rothschild-Stiglitz em Saúde.</w:t>
      </w:r>
      <w:r>
        <w:t xml:space="preserve"> </w:t>
      </w:r>
      <w:r>
        <w:t xml:space="preserve">As retas de lucro zero (vermelho para alto risco, azul para baixo risco) partem da dotação inicial</w:t>
      </w:r>
      <w:r>
        <w:t xml:space="preserve"> </w:t>
      </w:r>
      <m:oMath>
        <m:r>
          <m:t>E</m:t>
        </m:r>
      </m:oMath>
      <w:r>
        <w:t xml:space="preserve">. O tipo H recebe seguro completo (sobre a linha de 45°); o tipo L recebe cobertura parcial — o custo informacional da assimetria.</w:t>
      </w:r>
    </w:p>
    <w:bookmarkEnd w:id="1409"/>
    <w:bookmarkStart w:id="1410" w:name="risco-moral-em-seguros-de-saúde"/>
    <w:p>
      <w:pPr>
        <w:pStyle w:val="Heading4"/>
      </w:pPr>
      <w:r>
        <w:t xml:space="preserve">23.4.2 Risco moral em seguros de saúde</w:t>
      </w:r>
    </w:p>
    <w:p>
      <w:pPr>
        <w:pStyle w:val="FirstParagraph"/>
      </w:pPr>
      <w:r>
        <w:t xml:space="preserve">O</w:t>
      </w:r>
      <w:r>
        <w:t xml:space="preserve"> </w:t>
      </w:r>
      <w:r>
        <w:rPr>
          <w:b/>
          <w:bCs/>
        </w:rPr>
        <w:t xml:space="preserve">risco moral</w:t>
      </w:r>
      <w:r>
        <w:t xml:space="preserve"> </w:t>
      </w:r>
      <w:r>
        <w:t xml:space="preserve">(Capítulo 19) assume duas formas em saúde:</w:t>
      </w:r>
    </w:p>
    <w:p>
      <w:pPr>
        <w:pStyle w:val="BodyText"/>
      </w:pPr>
      <w:r>
        <w:rPr>
          <w:b/>
          <w:bCs/>
        </w:rPr>
        <w:t xml:space="preserve">Risco moral ex ante:</w:t>
      </w:r>
      <w:r>
        <w:t xml:space="preserve"> </w:t>
      </w:r>
      <w:r>
        <w:t xml:space="preserve">o seguro reduz o incentivo para prevenir a doença. Se o plano cobre 100% do tratamento de diabetes, por que manter a dieta? Formalmente, seja</w:t>
      </w:r>
      <w:r>
        <w:t xml:space="preserve"> </w:t>
      </w:r>
      <m:oMath>
        <m:r>
          <m:t>e</m:t>
        </m:r>
      </m:oMath>
      <w:r>
        <w:t xml:space="preserve"> </w:t>
      </w:r>
      <w:r>
        <w:t xml:space="preserve">o esforço de prevenção e</w:t>
      </w:r>
      <w:r>
        <w:t xml:space="preserve"> </w:t>
      </w:r>
      <m:oMath>
        <m:r>
          <m:t>c</m:t>
        </m:r>
        <m:r>
          <m:rPr>
            <m:sty m:val="p"/>
          </m:rPr>
          <m:t>(</m:t>
        </m:r>
        <m:r>
          <m:t>e</m:t>
        </m:r>
        <m:r>
          <m:rPr>
            <m:sty m:val="p"/>
          </m:rPr>
          <m:t>)</m:t>
        </m:r>
      </m:oMath>
      <w:r>
        <w:t xml:space="preserve"> </w:t>
      </w:r>
      <w:r>
        <w:t xml:space="preserve">seu custo. Sem seguro, o indivíduo internaliza o custo da doença e escolhe</w:t>
      </w:r>
      <w:r>
        <w:t xml:space="preserve"> </w:t>
      </w:r>
      <m:oMath>
        <m:sSup>
          <m:e>
            <m:r>
              <m:t>e</m:t>
            </m:r>
          </m:e>
          <m:sup>
            <m:r>
              <m:rPr>
                <m:sty m:val="p"/>
              </m:rPr>
              <m:t>*</m:t>
            </m:r>
          </m:sup>
        </m:sSup>
      </m:oMath>
      <w:r>
        <w:t xml:space="preserve"> </w:t>
      </w:r>
      <w:r>
        <w:t xml:space="preserve">que minimiza</w:t>
      </w:r>
      <w:r>
        <w:t xml:space="preserve"> </w:t>
      </w:r>
      <m:oMath>
        <m:r>
          <m:t>c</m:t>
        </m:r>
        <m:r>
          <m:rPr>
            <m:sty m:val="p"/>
          </m:rPr>
          <m:t>(</m:t>
        </m:r>
        <m:r>
          <m:t>e</m:t>
        </m:r>
        <m:r>
          <m:rPr>
            <m:sty m:val="p"/>
          </m:rPr>
          <m:t>)</m:t>
        </m:r>
        <m:r>
          <m:rPr>
            <m:sty m:val="p"/>
          </m:rPr>
          <m:t>+</m:t>
        </m:r>
        <m:r>
          <m:t>π</m:t>
        </m:r>
        <m:r>
          <m:rPr>
            <m:sty m:val="p"/>
          </m:rPr>
          <m:t>(</m:t>
        </m:r>
        <m:r>
          <m:t>e</m:t>
        </m:r>
        <m:r>
          <m:rPr>
            <m:sty m:val="p"/>
          </m:rPr>
          <m:t>)</m:t>
        </m:r>
        <m:r>
          <m:rPr>
            <m:sty m:val="p"/>
          </m:rPr>
          <m:t>⋅</m:t>
        </m:r>
        <m:r>
          <m:t>m</m:t>
        </m:r>
      </m:oMath>
      <w:r>
        <w:t xml:space="preserve">. Com seguro completo, o custo da doença é zero para ele, e o esforço ótimo cai para</w:t>
      </w:r>
      <w:r>
        <w:t xml:space="preserve"> </w:t>
      </w:r>
      <m:oMath>
        <m:sSup>
          <m:e>
            <m:r>
              <m:t>e</m:t>
            </m:r>
          </m:e>
          <m:sup>
            <m:r>
              <m:rPr>
                <m:sty m:val="p"/>
              </m:rPr>
              <m:t>′</m:t>
            </m:r>
          </m:sup>
        </m:sSup>
        <m:r>
          <m:rPr>
            <m:sty m:val="p"/>
          </m:rPr>
          <m:t>&lt;</m:t>
        </m:r>
        <m:sSup>
          <m:e>
            <m:r>
              <m:t>e</m:t>
            </m:r>
          </m:e>
          <m:sup>
            <m:r>
              <m:rPr>
                <m:sty m:val="p"/>
              </m:rPr>
              <m:t>*</m:t>
            </m:r>
          </m:sup>
        </m:sSup>
      </m:oMath>
      <w:r>
        <w:t xml:space="preserve">.</w:t>
      </w:r>
    </w:p>
    <w:p>
      <w:pPr>
        <w:pStyle w:val="BodyText"/>
      </w:pPr>
      <w:r>
        <w:rPr>
          <w:b/>
          <w:bCs/>
        </w:rPr>
        <w:t xml:space="preserve">Risco moral ex post:</w:t>
      </w:r>
      <w:r>
        <w:t xml:space="preserve"> </w:t>
      </w:r>
      <w:r>
        <w:t xml:space="preserve">o seguro reduz o preço efetivo dos cuidados médicos no momento do uso, aumentando a quantidade demandada. O RAND HIE (Seção 23.2.2) quantificou este efeito: passar de copagamento zero a 95% reduz o gasto em ~28%.</w:t>
      </w:r>
    </w:p>
    <w:p>
      <w:pPr>
        <w:pStyle w:val="BodyText"/>
      </w:pPr>
      <w:r>
        <w:t xml:space="preserve">O impacto do risco moral pode ser representado pela</w:t>
      </w:r>
      <w:r>
        <w:t xml:space="preserve"> </w:t>
      </w:r>
      <w:r>
        <w:rPr>
          <w:b/>
          <w:bCs/>
        </w:rPr>
        <w:t xml:space="preserve">cunha do seguro</w:t>
      </w:r>
      <w:r>
        <w:t xml:space="preserve"> </w:t>
      </w:r>
      <w:r>
        <w:t xml:space="preserve">entre o custo marginal social e o custo marginal percebido pelo paciente:</w:t>
      </w:r>
    </w:p>
    <w:p>
      <w:pPr>
        <w:pStyle w:val="BodyText"/>
      </w:pPr>
      <m:oMathPara>
        <m:oMathParaPr>
          <m:jc m:val="center"/>
        </m:oMathParaPr>
        <m:oMath>
          <m:sSub>
            <m:e>
              <m:r>
                <m:t>p</m:t>
              </m:r>
            </m:e>
            <m:sub>
              <m:r>
                <m:rPr>
                  <m:nor/>
                  <m:sty m:val="p"/>
                </m:rPr>
                <m:t>percebido</m:t>
              </m:r>
            </m:sub>
          </m:sSub>
          <m:r>
            <m:rPr>
              <m:sty m:val="p"/>
            </m:rPr>
            <m:t>=</m:t>
          </m:r>
          <m:r>
            <m:rPr>
              <m:sty m:val="p"/>
            </m:rPr>
            <m:t>(</m:t>
          </m:r>
          <m:r>
            <m:t>1</m:t>
          </m:r>
          <m:r>
            <m:rPr>
              <m:sty m:val="p"/>
            </m:rPr>
            <m:t>−</m:t>
          </m:r>
          <m:r>
            <m:t>α</m:t>
          </m:r>
          <m:r>
            <m:rPr>
              <m:sty m:val="p"/>
            </m:rPr>
            <m:t>)</m:t>
          </m:r>
          <m:r>
            <m:rPr>
              <m:sty m:val="p"/>
            </m:rPr>
            <m:t>⋅</m:t>
          </m:r>
          <m:sSub>
            <m:e>
              <m:r>
                <m:t>p</m:t>
              </m:r>
            </m:e>
            <m:sub>
              <m:r>
                <m:rPr>
                  <m:nor/>
                  <m:sty m:val="p"/>
                </m:rPr>
                <m:t>real</m:t>
              </m:r>
            </m:sub>
          </m:sSub>
        </m:oMath>
      </m:oMathPara>
    </w:p>
    <w:p>
      <w:pPr>
        <w:pStyle w:val="FirstParagraph"/>
      </w:pPr>
      <w:r>
        <w:t xml:space="preserve">onde</w:t>
      </w:r>
      <w:r>
        <w:t xml:space="preserve"> </w:t>
      </w:r>
      <m:oMath>
        <m:r>
          <m:t>α</m:t>
        </m:r>
      </m:oMath>
      <w:r>
        <w:t xml:space="preserve"> </w:t>
      </w:r>
      <w:r>
        <w:t xml:space="preserve">é a taxa de cobertura do seguro (0 = sem seguro, 1 = cobertura total). Com cobertura total (</w:t>
      </w:r>
      <m:oMath>
        <m:r>
          <m:t>α</m:t>
        </m:r>
        <m:r>
          <m:rPr>
            <m:sty m:val="p"/>
          </m:rPr>
          <m:t>=</m:t>
        </m:r>
        <m:r>
          <m:t>1</m:t>
        </m:r>
      </m:oMath>
      <w:r>
        <w:t xml:space="preserve">), o preço percebido é zero, e a demanda atinge o máximo — incluindo cuidados cujo custo marginal excede o benefício marginal.</w:t>
      </w:r>
    </w:p>
    <w:p>
      <w:pPr>
        <w:pStyle w:val="BodyText"/>
      </w:pPr>
      <w:r>
        <w:t xml:space="preserve">A perda de bem-estar do risco moral é o triângulo entre a curva de demanda e o custo marginal, para a quantidade consumida acima do ótimo:</w:t>
      </w:r>
    </w:p>
    <w:p>
      <w:pPr>
        <w:pStyle w:val="BodyText"/>
      </w:pPr>
      <w:r>
        <w:t xml:space="preserve">$$
    DWL = \frac{1}{2} \cdot \alpha \cdot p \cdot \Delta Q \tag{23.14}
    $$</w:t>
      </w:r>
    </w:p>
    <w:p>
      <w:pPr>
        <w:pStyle w:val="FirstParagraph"/>
      </w:pPr>
      <w:r>
        <w:t xml:space="preserve">No gráfico interativo abaixo, ajuste a taxa de coparticipação e o custo por consulta para visualizar a cunha do seguro, o excesso de utilização e a perda de peso morto do risco moral.</w:t>
      </w:r>
    </w:p>
    <w:p>
      <w:pPr>
        <w:pStyle w:val="BodyText"/>
      </w:pPr>
      <w:r>
        <w:t xml:space="preserve">[FIGURA INTERATIVA: /micro-book/graficos/cap23/moral-hazard-saude.html — versao interativa disponivel online]</w:t>
      </w:r>
    </w:p>
    <w:p>
      <w:pPr>
        <w:pStyle w:val="BodyText"/>
      </w:pPr>
      <w:r>
        <w:rPr>
          <w:b/>
          <w:bCs/>
        </w:rPr>
        <w:t xml:space="preserve">Figura 23.4 — Risco Moral em Saúde.</w:t>
      </w:r>
      <w:r>
        <w:t xml:space="preserve"> </w:t>
      </w:r>
      <w:r>
        <w:t xml:space="preserve">Ajuste a coparticipação</w:t>
      </w:r>
      <w:r>
        <w:t xml:space="preserve"> </w:t>
      </w:r>
      <m:oMath>
        <m:r>
          <m:t>r</m:t>
        </m:r>
      </m:oMath>
      <w:r>
        <w:t xml:space="preserve"> </w:t>
      </w:r>
      <w:r>
        <w:t xml:space="preserve">de 0 (cobertura total) a 1 (sem seguro). Com</w:t>
      </w:r>
      <w:r>
        <w:t xml:space="preserve"> </w:t>
      </w:r>
      <m:oMath>
        <m:r>
          <m:t>r</m:t>
        </m:r>
        <m:r>
          <m:rPr>
            <m:sty m:val="p"/>
          </m:rPr>
          <m:t>=</m:t>
        </m:r>
        <m:r>
          <m:t>0</m:t>
        </m:r>
      </m:oMath>
      <w:r>
        <w:t xml:space="preserve">, o paciente paga nada e consome até onde a demanda cruza o eixo — gerando máximo peso morto. Com</w:t>
      </w:r>
      <w:r>
        <w:t xml:space="preserve"> </w:t>
      </w:r>
      <m:oMath>
        <m:r>
          <m:t>r</m:t>
        </m:r>
        <m:r>
          <m:rPr>
            <m:sty m:val="p"/>
          </m:rPr>
          <m:t>=</m:t>
        </m:r>
        <m:r>
          <m:t>1</m:t>
        </m:r>
      </m:oMath>
      <w:r>
        <w:t xml:space="preserve">, consome no nível eficiente, mas perde toda a proteção contra risco.</w:t>
      </w:r>
    </w:p>
    <w:bookmarkEnd w:id="1410"/>
    <w:bookmarkStart w:id="1411" w:name="Xff0cbde26adeb76b1cabe31eac8bb8fe907a23c"/>
    <w:p>
      <w:pPr>
        <w:pStyle w:val="Heading4"/>
      </w:pPr>
      <w:r>
        <w:t xml:space="preserve">23.4.3 Ajuste de risco e mecanismos de estabilização</w:t>
      </w:r>
    </w:p>
    <w:p>
      <w:pPr>
        <w:pStyle w:val="FirstParagraph"/>
      </w:pPr>
      <w:r>
        <w:t xml:space="preserve">Para combater a seleção adversa sem eliminar a escolha do consumidor, sistemas de saúde modernos usam</w:t>
      </w:r>
      <w:r>
        <w:t xml:space="preserve"> </w:t>
      </w:r>
      <w:r>
        <w:rPr>
          <w:b/>
          <w:bCs/>
        </w:rPr>
        <w:t xml:space="preserve">ajuste de risco</w:t>
      </w:r>
      <w:r>
        <w:t xml:space="preserve"> </w:t>
      </w:r>
      <w:r>
        <w:t xml:space="preserve">(</w:t>
      </w:r>
      <w:r>
        <w:rPr>
          <w:i/>
          <w:iCs/>
        </w:rPr>
        <w:t xml:space="preserve">risk adjustment</w:t>
      </w:r>
      <w:r>
        <w:t xml:space="preserve">): transferências entre seguradoras baseadas nas características de risco de seus segurados.</w:t>
      </w:r>
    </w:p>
    <w:p>
      <w:pPr>
        <w:pStyle w:val="BodyText"/>
      </w:pPr>
      <w:r>
        <w:t xml:space="preserve">O ajuste de risco funciona assim: uma fórmula prevê o custo esperado de cada indivíduo com base em variáveis observáveis (idade, sexo, diagnósticos prévios). Seguradoras com carteiras de maior risco recebem transferências; seguradoras com carteiras de menor risco pagam. Isso reduz o incentivo para</w:t>
      </w:r>
      <w:r>
        <w:t xml:space="preserve"> </w:t>
      </w:r>
      <w:r>
        <w:rPr>
          <w:i/>
          <w:iCs/>
        </w:rPr>
        <w:t xml:space="preserve">cream-skimming</w:t>
      </w:r>
      <w:r>
        <w:t xml:space="preserve"> </w:t>
      </w:r>
      <w:r>
        <w:t xml:space="preserve">— a prática de atrair seletivamente clientes saudáveis.</w:t>
      </w:r>
    </w:p>
    <w:p>
      <w:pPr>
        <w:pStyle w:val="BodyText"/>
      </w:pPr>
      <m:oMathPara>
        <m:oMathParaPr>
          <m:jc m:val="center"/>
        </m:oMathParaPr>
        <m:oMath>
          <m:sSub>
            <m:e>
              <m:r>
                <m:t>T</m:t>
              </m:r>
            </m:e>
            <m:sub>
              <m:r>
                <m:t>j</m:t>
              </m:r>
            </m:sub>
          </m:sSub>
          <m:r>
            <m:rPr>
              <m:sty m:val="p"/>
            </m:rPr>
            <m:t>=</m:t>
          </m:r>
          <m:nary>
            <m:naryPr>
              <m:chr m:val="∑"/>
              <m:limLoc m:val="undOvr"/>
              <m:subHide m:val="off"/>
              <m:supHide m:val="on"/>
            </m:naryPr>
            <m:sub>
              <m:r>
                <m:t>i</m:t>
              </m:r>
            </m:sub>
            <m:sup>
              <m:r>
                <m:t>​</m:t>
              </m:r>
            </m:sup>
            <m:e>
              <m:r>
                <m:rPr>
                  <m:sty m:val="p"/>
                </m:rPr>
                <m:t>(</m:t>
              </m:r>
            </m:e>
          </m:nary>
          <m:sSub>
            <m:e>
              <m:acc>
                <m:accPr>
                  <m:chr m:val="̂"/>
                </m:accPr>
                <m:e>
                  <m:r>
                    <m:t>m</m:t>
                  </m:r>
                </m:e>
              </m:acc>
            </m:e>
            <m:sub>
              <m:r>
                <m:t>i</m:t>
              </m:r>
            </m:sub>
          </m:sSub>
          <m:r>
            <m:rPr>
              <m:sty m:val="p"/>
            </m:rPr>
            <m:t>−</m:t>
          </m:r>
          <m:acc>
            <m:accPr>
              <m:chr m:val="‾"/>
            </m:accPr>
            <m:e>
              <m:r>
                <m:t>m</m:t>
              </m:r>
            </m:e>
          </m:acc>
          <m:r>
            <m:rPr>
              <m:sty m:val="p"/>
            </m:rPr>
            <m:t>)</m:t>
          </m:r>
        </m:oMath>
      </m:oMathPara>
    </w:p>
    <w:p>
      <w:pPr>
        <w:pStyle w:val="FirstParagraph"/>
      </w:pPr>
      <w:r>
        <w:t xml:space="preserve">onde</w:t>
      </w:r>
      <w:r>
        <w:t xml:space="preserve"> </w:t>
      </w:r>
      <m:oMath>
        <m:sSub>
          <m:e>
            <m:r>
              <m:t>T</m:t>
            </m:r>
          </m:e>
          <m:sub>
            <m:r>
              <m:t>j</m:t>
            </m:r>
          </m:sub>
        </m:sSub>
      </m:oMath>
      <w:r>
        <w:t xml:space="preserve"> </w:t>
      </w:r>
      <w:r>
        <w:t xml:space="preserve">é a transferência líquida para a seguradora</w:t>
      </w:r>
      <w:r>
        <w:t xml:space="preserve"> </w:t>
      </w:r>
      <m:oMath>
        <m:r>
          <m:t>j</m:t>
        </m:r>
      </m:oMath>
      <w:r>
        <w:t xml:space="preserve">,</w:t>
      </w:r>
      <w:r>
        <w:t xml:space="preserve"> </w:t>
      </w:r>
      <m:oMath>
        <m:sSub>
          <m:e>
            <m:acc>
              <m:accPr>
                <m:chr m:val="̂"/>
              </m:accPr>
              <m:e>
                <m:r>
                  <m:t>m</m:t>
                </m:r>
              </m:e>
            </m:acc>
          </m:e>
          <m:sub>
            <m:r>
              <m:t>i</m:t>
            </m:r>
          </m:sub>
        </m:sSub>
      </m:oMath>
      <w:r>
        <w:t xml:space="preserve"> </w:t>
      </w:r>
      <w:r>
        <w:t xml:space="preserve">é o custo previsto do indivíduo</w:t>
      </w:r>
      <w:r>
        <w:t xml:space="preserve"> </w:t>
      </w:r>
      <m:oMath>
        <m:r>
          <m:t>i</m:t>
        </m:r>
      </m:oMath>
      <w:r>
        <w:t xml:space="preserve">, e</w:t>
      </w:r>
      <w:r>
        <w:t xml:space="preserve"> </w:t>
      </w:r>
      <m:oMath>
        <m:acc>
          <m:accPr>
            <m:chr m:val="‾"/>
          </m:accPr>
          <m:e>
            <m:r>
              <m:t>m</m:t>
            </m:r>
          </m:e>
        </m:acc>
      </m:oMath>
      <w:r>
        <w:t xml:space="preserve"> </w:t>
      </w:r>
      <w:r>
        <w:t xml:space="preserve">é o custo médio da população. Por construção,</w:t>
      </w:r>
      <w:r>
        <w:t xml:space="preserve"> </w:t>
      </w:r>
      <m:oMath>
        <m:nary>
          <m:naryPr>
            <m:chr m:val="∑"/>
            <m:limLoc m:val="undOvr"/>
            <m:subHide m:val="off"/>
            <m:supHide m:val="on"/>
          </m:naryPr>
          <m:sub>
            <m:r>
              <m:t>j</m:t>
            </m:r>
          </m:sub>
          <m:sup>
            <m:r>
              <m:t>​</m:t>
            </m:r>
          </m:sup>
          <m:e>
            <m:sSub>
              <m:e>
                <m:r>
                  <m:t>T</m:t>
                </m:r>
              </m:e>
              <m:sub>
                <m:r>
                  <m:t>j</m:t>
                </m:r>
              </m:sub>
            </m:sSub>
          </m:e>
        </m:nary>
        <m:r>
          <m:rPr>
            <m:sty m:val="p"/>
          </m:rPr>
          <m:t>=</m:t>
        </m:r>
        <m:r>
          <m:t>0</m:t>
        </m:r>
      </m:oMath>
      <w:r>
        <w:t xml:space="preserve">.</w:t>
      </w:r>
    </w:p>
    <w:p>
      <w:pPr>
        <w:pStyle w:val="BodyText"/>
      </w:pPr>
      <w:r>
        <w:t xml:space="preserve">Outros mecanismos de estabilização incluem:</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jc w:val="left"/>
            </w:pPr>
            <w:r>
              <w:t xml:space="preserve">Mecanismo</w:t>
            </w:r>
          </w:p>
        </w:tc>
        <w:tc>
          <w:tcPr/>
          <w:p>
            <w:pPr>
              <w:pStyle w:val="Compact"/>
              <w:jc w:val="left"/>
            </w:pPr>
            <w:r>
              <w:t xml:space="preserve">Descrição</w:t>
            </w:r>
          </w:p>
        </w:tc>
        <w:tc>
          <w:tcPr/>
          <w:p>
            <w:pPr>
              <w:pStyle w:val="Compact"/>
              <w:jc w:val="left"/>
            </w:pPr>
            <w:r>
              <w:t xml:space="preserve">Exemplo</w:t>
            </w:r>
          </w:p>
        </w:tc>
      </w:tr>
      <w:tr>
        <w:tc>
          <w:tcPr/>
          <w:p>
            <w:pPr>
              <w:pStyle w:val="Compact"/>
              <w:jc w:val="left"/>
            </w:pPr>
            <w:r>
              <w:t xml:space="preserve">Mandato individual</w:t>
            </w:r>
          </w:p>
        </w:tc>
        <w:tc>
          <w:tcPr/>
          <w:p>
            <w:pPr>
              <w:pStyle w:val="Compact"/>
              <w:jc w:val="left"/>
            </w:pPr>
            <w:r>
              <w:t xml:space="preserve">Obrigação de contratar seguro</w:t>
            </w:r>
          </w:p>
        </w:tc>
        <w:tc>
          <w:tcPr/>
          <w:p>
            <w:pPr>
              <w:pStyle w:val="Compact"/>
              <w:jc w:val="left"/>
            </w:pPr>
            <w:r>
              <w:t xml:space="preserve">ACA/Obamacare (2010–2018)</w:t>
            </w:r>
          </w:p>
        </w:tc>
      </w:tr>
      <w:tr>
        <w:tc>
          <w:tcPr/>
          <w:p>
            <w:pPr>
              <w:pStyle w:val="Compact"/>
              <w:jc w:val="left"/>
            </w:pPr>
            <w:r>
              <w:t xml:space="preserve">Community rating</w:t>
            </w:r>
          </w:p>
        </w:tc>
        <w:tc>
          <w:tcPr/>
          <w:p>
            <w:pPr>
              <w:pStyle w:val="Compact"/>
              <w:jc w:val="left"/>
            </w:pPr>
            <w:r>
              <w:t xml:space="preserve">Prêmio igual para todos (ou por faixa etária limitada)</w:t>
            </w:r>
          </w:p>
        </w:tc>
        <w:tc>
          <w:tcPr/>
          <w:p>
            <w:pPr>
              <w:pStyle w:val="Compact"/>
              <w:jc w:val="left"/>
            </w:pPr>
            <w:r>
              <w:t xml:space="preserve">Holanda, Suíça, ACA</w:t>
            </w:r>
          </w:p>
        </w:tc>
      </w:tr>
      <w:tr>
        <w:tc>
          <w:tcPr/>
          <w:p>
            <w:pPr>
              <w:pStyle w:val="Compact"/>
              <w:jc w:val="left"/>
            </w:pPr>
            <w:r>
              <w:t xml:space="preserve">Garantia de aceitação</w:t>
            </w:r>
          </w:p>
        </w:tc>
        <w:tc>
          <w:tcPr/>
          <w:p>
            <w:pPr>
              <w:pStyle w:val="Compact"/>
              <w:jc w:val="left"/>
            </w:pPr>
            <w:r>
              <w:t xml:space="preserve">Seguradoras não podem recusar clientes</w:t>
            </w:r>
          </w:p>
        </w:tc>
        <w:tc>
          <w:tcPr/>
          <w:p>
            <w:pPr>
              <w:pStyle w:val="Compact"/>
              <w:jc w:val="left"/>
            </w:pPr>
            <w:r>
              <w:t xml:space="preserve">ACA, UE, ANS</w:t>
            </w:r>
          </w:p>
        </w:tc>
      </w:tr>
      <w:tr>
        <w:tc>
          <w:tcPr/>
          <w:p>
            <w:pPr>
              <w:pStyle w:val="Compact"/>
              <w:jc w:val="left"/>
            </w:pPr>
            <w:r>
              <w:t xml:space="preserve">Subsídio cruzado</w:t>
            </w:r>
          </w:p>
        </w:tc>
        <w:tc>
          <w:tcPr/>
          <w:p>
            <w:pPr>
              <w:pStyle w:val="Compact"/>
              <w:jc w:val="left"/>
            </w:pPr>
            <w:r>
              <w:t xml:space="preserve">Governo subsidia prêmios para baixa renda</w:t>
            </w:r>
          </w:p>
        </w:tc>
        <w:tc>
          <w:tcPr/>
          <w:p>
            <w:pPr>
              <w:pStyle w:val="Compact"/>
              <w:jc w:val="left"/>
            </w:pPr>
            <w:r>
              <w:t xml:space="preserve">ACA exchanges</w:t>
            </w:r>
          </w:p>
        </w:tc>
      </w:tr>
      <w:tr>
        <w:tc>
          <w:tcPr/>
          <w:p>
            <w:pPr>
              <w:pStyle w:val="Compact"/>
              <w:jc w:val="left"/>
            </w:pPr>
            <w:r>
              <w:t xml:space="preserve">Período de inscrição aberta</w:t>
            </w:r>
          </w:p>
        </w:tc>
        <w:tc>
          <w:tcPr/>
          <w:p>
            <w:pPr>
              <w:pStyle w:val="Compact"/>
              <w:jc w:val="left"/>
            </w:pPr>
            <w:r>
              <w:t xml:space="preserve">Janela única anual para contratar/trocar plano</w:t>
            </w:r>
          </w:p>
        </w:tc>
        <w:tc>
          <w:tcPr/>
          <w:p>
            <w:pPr>
              <w:pStyle w:val="Compact"/>
              <w:jc w:val="left"/>
            </w:pPr>
            <w:r>
              <w:t xml:space="preserve">ACA, Holanda</w:t>
            </w:r>
          </w:p>
        </w:tc>
      </w:tr>
    </w:tbl>
    <w:p>
      <w:pPr>
        <w:pStyle w:val="BlockText"/>
      </w:pPr>
      <w:r>
        <w:rPr>
          <w:b/>
          <w:bCs/>
        </w:rPr>
        <w:t xml:space="preserve">[BOX MUNDO] Box Mundo 23.3 — O Obamacare (ACA): design de mecanismos na prática</w:t>
      </w:r>
    </w:p>
    <w:p>
      <w:pPr>
        <w:pStyle w:val="BlockText"/>
      </w:pPr>
      <w:r>
        <w:t xml:space="preserve">O</w:t>
      </w:r>
      <w:r>
        <w:t xml:space="preserve"> </w:t>
      </w:r>
      <w:r>
        <w:rPr>
          <w:i/>
          <w:iCs/>
        </w:rPr>
        <w:t xml:space="preserve">Affordable Care Act</w:t>
      </w:r>
      <w:r>
        <w:t xml:space="preserve"> </w:t>
      </w:r>
      <w:r>
        <w:t xml:space="preserve">(ACA, 2010) é um caso de estudo em</w:t>
      </w:r>
      <w:r>
        <w:t xml:space="preserve"> </w:t>
      </w:r>
      <w:r>
        <w:rPr>
          <w:b/>
          <w:bCs/>
        </w:rPr>
        <w:t xml:space="preserve">design de mecanismos</w:t>
      </w:r>
      <w:r>
        <w:t xml:space="preserve"> </w:t>
      </w:r>
      <w:r>
        <w:t xml:space="preserve">(Capítulo 19) aplicado a seguros de saúde. O problema: ~50 milhões de americanos sem seguro, seleção adversa endêmica, prêmios crescentes. A solução do ACA combinou quatro pilares:</w:t>
      </w:r>
    </w:p>
    <w:p>
      <w:pPr>
        <w:pStyle w:val="Compact"/>
        <w:numPr>
          <w:ilvl w:val="0"/>
          <w:numId w:val="2256"/>
        </w:numPr>
      </w:pPr>
      <w:r>
        <w:rPr>
          <w:b/>
          <w:bCs/>
        </w:rPr>
        <w:t xml:space="preserve">Mandato individual</w:t>
      </w:r>
      <w:r>
        <w:t xml:space="preserve">: todos devem contratar seguro (ou pagar multa). Força os baixo risco a entrar no pool, estabilizando prêmios. A multa foi zerada em 2019, e os prêmios subiram — evidência natural da teoria.</w:t>
      </w:r>
    </w:p>
    <w:p>
      <w:pPr>
        <w:pStyle w:val="Compact"/>
        <w:numPr>
          <w:ilvl w:val="0"/>
          <w:numId w:val="2256"/>
        </w:numPr>
      </w:pPr>
      <w:r>
        <w:rPr>
          <w:b/>
          <w:bCs/>
        </w:rPr>
        <w:t xml:space="preserve">Subsídios</w:t>
      </w:r>
      <w:r>
        <w:t xml:space="preserve">: créditos fiscais escalonados por renda para tornar o seguro acessível.</w:t>
      </w:r>
    </w:p>
    <w:p>
      <w:pPr>
        <w:pStyle w:val="Compact"/>
        <w:numPr>
          <w:ilvl w:val="0"/>
          <w:numId w:val="2256"/>
        </w:numPr>
      </w:pPr>
      <w:r>
        <w:rPr>
          <w:b/>
          <w:bCs/>
        </w:rPr>
        <w:t xml:space="preserve">Community rating + garantia de aceitação</w:t>
      </w:r>
      <w:r>
        <w:t xml:space="preserve">: seguradoras não podem discriminar por condição preexistente ou cobrar mais que 3:1 por idade.</w:t>
      </w:r>
    </w:p>
    <w:p>
      <w:pPr>
        <w:pStyle w:val="Compact"/>
        <w:numPr>
          <w:ilvl w:val="0"/>
          <w:numId w:val="2256"/>
        </w:numPr>
      </w:pPr>
      <w:r>
        <w:rPr>
          <w:b/>
          <w:bCs/>
        </w:rPr>
        <w:t xml:space="preserve">Ajuste de risco</w:t>
      </w:r>
      <w:r>
        <w:t xml:space="preserve">: transferências entre seguradoras nos</w:t>
      </w:r>
      <w:r>
        <w:t xml:space="preserve"> </w:t>
      </w:r>
      <w:r>
        <w:rPr>
          <w:i/>
          <w:iCs/>
        </w:rPr>
        <w:t xml:space="preserve">exchanges</w:t>
      </w:r>
      <w:r>
        <w:t xml:space="preserve"> </w:t>
      </w:r>
      <w:r>
        <w:t xml:space="preserve">para compensar diferenças na composição de risco.</w:t>
      </w:r>
    </w:p>
    <w:p>
      <w:pPr>
        <w:pStyle w:val="BlockText"/>
      </w:pPr>
      <w:r>
        <w:rPr>
          <w:b/>
          <w:bCs/>
        </w:rPr>
        <w:t xml:space="preserve">Resultados:</w:t>
      </w:r>
      <w:r>
        <w:t xml:space="preserve"> </w:t>
      </w:r>
      <w:r>
        <w:t xml:space="preserve">O número de sem-seguro caiu de ~50 milhões (2010) para ~27 milhões (2016). Mas a eliminação da multa do mandato e a instabilidade regulatória criaram turbulência nos mercados individuais. Em 2024, ~45 milhões de americanos estavam inscritos via</w:t>
      </w:r>
      <w:r>
        <w:t xml:space="preserve"> </w:t>
      </w:r>
      <w:r>
        <w:rPr>
          <w:i/>
          <w:iCs/>
        </w:rPr>
        <w:t xml:space="preserve">exchanges</w:t>
      </w:r>
      <w:r>
        <w:t xml:space="preserve"> </w:t>
      </w:r>
      <w:r>
        <w:t xml:space="preserve">ou expansão do Medicaid (KFF, 2024).</w:t>
      </w:r>
    </w:p>
    <w:p>
      <w:pPr>
        <w:pStyle w:val="BlockText"/>
      </w:pPr>
      <w:r>
        <w:rPr>
          <w:b/>
          <w:bCs/>
        </w:rPr>
        <w:t xml:space="preserve">Lição microeconômica:</w:t>
      </w:r>
      <w:r>
        <w:t xml:space="preserve"> </w:t>
      </w:r>
      <w:r>
        <w:t xml:space="preserve">Nenhum pilar funciona isoladamente. Sem mandato, os subsídios atraem alto risco. Sem subsídios, o mandato é regressivo. Sem community rating, as seguradoras fogem dos doentes. O pacote é complementar — exatamente como previsto pela teoria de Rothschild-Stiglitz.</w:t>
      </w:r>
    </w:p>
    <w:p>
      <w:pPr>
        <w:pStyle w:val="BlockText"/>
      </w:pPr>
      <w:r>
        <w:rPr>
          <w:b/>
          <w:bCs/>
        </w:rPr>
        <w:t xml:space="preserve">[EXERCICIO RESOLVIDO] Exercício Resolvido 23.2 — Copagamento ótimo</w:t>
      </w:r>
    </w:p>
    <w:p>
      <w:pPr>
        <w:pStyle w:val="BlockText"/>
      </w:pPr>
      <w:r>
        <w:rPr>
          <w:b/>
          <w:bCs/>
        </w:rPr>
        <w:t xml:space="preserve">Problema:</w:t>
      </w:r>
      <w:r>
        <w:t xml:space="preserve"> </w:t>
      </w:r>
      <w:r>
        <w:t xml:space="preserve">Um seguro de saúde cobre consultas médicas. A demanda por consultas é</w:t>
      </w:r>
      <w:r>
        <w:t xml:space="preserve"> </w:t>
      </w:r>
      <m:oMath>
        <m:r>
          <m:t>Q</m:t>
        </m:r>
        <m:r>
          <m:rPr>
            <m:sty m:val="p"/>
          </m:rPr>
          <m:t>=</m:t>
        </m:r>
        <m:r>
          <m:t>20</m:t>
        </m:r>
        <m:r>
          <m:rPr>
            <m:sty m:val="p"/>
          </m:rPr>
          <m:t>−</m:t>
        </m:r>
        <m:r>
          <m:t>0</m:t>
        </m:r>
        <m:r>
          <m:rPr>
            <m:sty m:val="p"/>
          </m:rPr>
          <m:t>,</m:t>
        </m:r>
        <m:r>
          <m:t>1</m:t>
        </m:r>
        <m:r>
          <m:t>p</m:t>
        </m:r>
      </m:oMath>
      <w:r>
        <w:t xml:space="preserve">, onde</w:t>
      </w:r>
      <w:r>
        <w:t xml:space="preserve"> </w:t>
      </w:r>
      <m:oMath>
        <m:r>
          <m:t>p</m:t>
        </m:r>
      </m:oMath>
      <w:r>
        <w:t xml:space="preserve"> </w:t>
      </w:r>
      <w:r>
        <w:t xml:space="preserve">é o preço percebido pelo paciente. O custo por consulta é</w:t>
      </w:r>
      <w:r>
        <w:t xml:space="preserve"> </w:t>
      </w:r>
      <m:oMath>
        <m:r>
          <m:t>c</m:t>
        </m:r>
        <m:r>
          <m:rPr>
            <m:sty m:val="p"/>
          </m:rPr>
          <m:t>=</m:t>
        </m:r>
        <m:r>
          <m:t>100</m:t>
        </m:r>
      </m:oMath>
      <w:r>
        <w:t xml:space="preserve">. O seguro cobre uma fração</w:t>
      </w:r>
      <w:r>
        <w:t xml:space="preserve"> </w:t>
      </w:r>
      <m:oMath>
        <m:r>
          <m:t>α</m:t>
        </m:r>
      </m:oMath>
      <w:r>
        <w:t xml:space="preserve"> </w:t>
      </w:r>
      <w:r>
        <w:t xml:space="preserve">do custo, de modo que o paciente paga</w:t>
      </w:r>
      <w:r>
        <w:t xml:space="preserve"> </w:t>
      </w:r>
      <m:oMath>
        <m:r>
          <m:t>p</m:t>
        </m:r>
        <m:r>
          <m:rPr>
            <m:sty m:val="p"/>
          </m:rPr>
          <m:t>=</m:t>
        </m:r>
        <m:r>
          <m:rPr>
            <m:sty m:val="p"/>
          </m:rPr>
          <m:t>(</m:t>
        </m:r>
        <m:r>
          <m:t>1</m:t>
        </m:r>
        <m:r>
          <m:rPr>
            <m:sty m:val="p"/>
          </m:rPr>
          <m:t>−</m:t>
        </m:r>
        <m:r>
          <m:t>α</m:t>
        </m:r>
        <m:r>
          <m:rPr>
            <m:sty m:val="p"/>
          </m:rPr>
          <m:t>)</m:t>
        </m:r>
        <m:r>
          <m:rPr>
            <m:sty m:val="p"/>
          </m:rPr>
          <m:t>⋅</m:t>
        </m:r>
        <m:r>
          <m:t>c</m:t>
        </m:r>
      </m:oMath>
      <w:r>
        <w:t xml:space="preserve">.</w:t>
      </w:r>
    </w:p>
    <w:p>
      <w:pPr>
        <w:pStyle w:val="BlockText"/>
        <w:numPr>
          <w:ilvl w:val="0"/>
          <w:numId w:val="2257"/>
        </w:numPr>
      </w:pPr>
      <w:r>
        <w:t xml:space="preserve">Quantas consultas o paciente demanda com cobertura total (</w:t>
      </w:r>
      <m:oMath>
        <m:r>
          <m:t>α</m:t>
        </m:r>
        <m:r>
          <m:rPr>
            <m:sty m:val="p"/>
          </m:rPr>
          <m:t>=</m:t>
        </m:r>
        <m:r>
          <m:t>1</m:t>
        </m:r>
      </m:oMath>
      <w:r>
        <w:t xml:space="preserve">)?</w:t>
      </w:r>
    </w:p>
    <w:p>
      <w:pPr>
        <w:pStyle w:val="BlockText"/>
        <w:numPr>
          <w:ilvl w:val="0"/>
          <w:numId w:val="2257"/>
        </w:numPr>
      </w:pPr>
      <w:r>
        <w:t xml:space="preserve">Quantas com copagamento de 20% (</w:t>
      </w:r>
      <m:oMath>
        <m:r>
          <m:t>α</m:t>
        </m:r>
        <m:r>
          <m:rPr>
            <m:sty m:val="p"/>
          </m:rPr>
          <m:t>=</m:t>
        </m:r>
        <m:r>
          <m:t>0</m:t>
        </m:r>
        <m:r>
          <m:rPr>
            <m:sty m:val="p"/>
          </m:rPr>
          <m:t>,</m:t>
        </m:r>
        <m:r>
          <m:t>8</m:t>
        </m:r>
      </m:oMath>
      <w:r>
        <w:t xml:space="preserve">)?</w:t>
      </w:r>
    </w:p>
    <w:p>
      <w:pPr>
        <w:pStyle w:val="BlockText"/>
        <w:numPr>
          <w:ilvl w:val="0"/>
          <w:numId w:val="2257"/>
        </w:numPr>
      </w:pPr>
      <w:r>
        <w:t xml:space="preserve">Qual a perda de bem-estar (</w:t>
      </w:r>
      <w:r>
        <w:rPr>
          <w:i/>
          <w:iCs/>
        </w:rPr>
        <w:t xml:space="preserve">deadweight loss</w:t>
      </w:r>
      <w:r>
        <w:t xml:space="preserve">) do risco moral com cobertura total?</w:t>
      </w:r>
    </w:p>
    <w:p>
      <w:pPr>
        <w:pStyle w:val="BlockText"/>
      </w:pPr>
      <w:r>
        <w:rPr>
          <w:b/>
          <w:bCs/>
        </w:rPr>
        <w:t xml:space="preserve">Solução:</w:t>
      </w:r>
    </w:p>
    <w:p>
      <w:pPr>
        <w:pStyle w:val="BlockText"/>
      </w:pPr>
      <w:r>
        <w:rPr>
          <w:b/>
          <w:bCs/>
        </w:rPr>
        <w:t xml:space="preserve">(a)</w:t>
      </w:r>
      <w:r>
        <w:t xml:space="preserve"> </w:t>
      </w:r>
      <w:r>
        <w:t xml:space="preserve">Com</w:t>
      </w:r>
      <w:r>
        <w:t xml:space="preserve"> </w:t>
      </w:r>
      <m:oMath>
        <m:r>
          <m:t>α</m:t>
        </m:r>
        <m:r>
          <m:rPr>
            <m:sty m:val="p"/>
          </m:rPr>
          <m:t>=</m:t>
        </m:r>
        <m:r>
          <m:t>1</m:t>
        </m:r>
      </m:oMath>
      <w:r>
        <w:t xml:space="preserve">:</w:t>
      </w:r>
      <w:r>
        <w:t xml:space="preserve"> </w:t>
      </w:r>
      <m:oMath>
        <m:r>
          <m:t>p</m:t>
        </m:r>
        <m:r>
          <m:rPr>
            <m:sty m:val="p"/>
          </m:rPr>
          <m:t>=</m:t>
        </m:r>
        <m:r>
          <m:t>0</m:t>
        </m:r>
      </m:oMath>
      <w:r>
        <w:t xml:space="preserve">.</w:t>
      </w:r>
      <w:r>
        <w:t xml:space="preserve"> </w:t>
      </w:r>
      <m:oMath>
        <m:r>
          <m:t>Q</m:t>
        </m:r>
        <m:r>
          <m:rPr>
            <m:sty m:val="p"/>
          </m:rPr>
          <m:t>=</m:t>
        </m:r>
        <m:r>
          <m:t>20</m:t>
        </m:r>
        <m:r>
          <m:rPr>
            <m:sty m:val="p"/>
          </m:rPr>
          <m:t>−</m:t>
        </m:r>
        <m:r>
          <m:t>0</m:t>
        </m:r>
        <m:r>
          <m:rPr>
            <m:sty m:val="p"/>
          </m:rPr>
          <m:t>,</m:t>
        </m:r>
        <m:r>
          <m:t>1</m:t>
        </m:r>
        <m:r>
          <m:rPr>
            <m:sty m:val="p"/>
          </m:rPr>
          <m:t>×</m:t>
        </m:r>
        <m:r>
          <m:t>0</m:t>
        </m:r>
        <m:r>
          <m:rPr>
            <m:sty m:val="p"/>
          </m:rPr>
          <m:t>=</m:t>
        </m:r>
        <m:r>
          <m:t>20</m:t>
        </m:r>
      </m:oMath>
      <w:r>
        <w:t xml:space="preserve"> </w:t>
      </w:r>
      <w:r>
        <w:t xml:space="preserve">consultas.</w:t>
      </w:r>
    </w:p>
    <w:p>
      <w:pPr>
        <w:pStyle w:val="BlockText"/>
      </w:pPr>
      <w:r>
        <w:rPr>
          <w:b/>
          <w:bCs/>
        </w:rPr>
        <w:t xml:space="preserve">(b)</w:t>
      </w:r>
      <w:r>
        <w:t xml:space="preserve"> </w:t>
      </w:r>
      <w:r>
        <w:t xml:space="preserve">Com</w:t>
      </w:r>
      <w:r>
        <w:t xml:space="preserve"> </w:t>
      </w:r>
      <m:oMath>
        <m:r>
          <m:t>α</m:t>
        </m:r>
        <m:r>
          <m:rPr>
            <m:sty m:val="p"/>
          </m:rPr>
          <m:t>=</m:t>
        </m:r>
        <m:r>
          <m:t>0</m:t>
        </m:r>
        <m:r>
          <m:rPr>
            <m:sty m:val="p"/>
          </m:rPr>
          <m:t>,</m:t>
        </m:r>
        <m:r>
          <m:t>8</m:t>
        </m:r>
      </m:oMath>
      <w:r>
        <w:t xml:space="preserve">:</w:t>
      </w:r>
      <w:r>
        <w:t xml:space="preserve"> </w:t>
      </w:r>
      <m:oMath>
        <m:r>
          <m:t>p</m:t>
        </m:r>
        <m:r>
          <m:rPr>
            <m:sty m:val="p"/>
          </m:rPr>
          <m:t>=</m:t>
        </m:r>
        <m:r>
          <m:t>0</m:t>
        </m:r>
        <m:r>
          <m:rPr>
            <m:sty m:val="p"/>
          </m:rPr>
          <m:t>,</m:t>
        </m:r>
        <m:r>
          <m:t>2</m:t>
        </m:r>
        <m:r>
          <m:rPr>
            <m:sty m:val="p"/>
          </m:rPr>
          <m:t>×</m:t>
        </m:r>
        <m:r>
          <m:t>100</m:t>
        </m:r>
        <m:r>
          <m:rPr>
            <m:sty m:val="p"/>
          </m:rPr>
          <m:t>=</m:t>
        </m:r>
        <m:r>
          <m:t>20</m:t>
        </m:r>
      </m:oMath>
      <w:r>
        <w:t xml:space="preserve">.</w:t>
      </w:r>
      <w:r>
        <w:t xml:space="preserve"> </w:t>
      </w:r>
      <m:oMath>
        <m:r>
          <m:t>Q</m:t>
        </m:r>
        <m:r>
          <m:rPr>
            <m:sty m:val="p"/>
          </m:rPr>
          <m:t>=</m:t>
        </m:r>
        <m:r>
          <m:t>20</m:t>
        </m:r>
        <m:r>
          <m:rPr>
            <m:sty m:val="p"/>
          </m:rPr>
          <m:t>−</m:t>
        </m:r>
        <m:r>
          <m:t>0</m:t>
        </m:r>
        <m:r>
          <m:rPr>
            <m:sty m:val="p"/>
          </m:rPr>
          <m:t>,</m:t>
        </m:r>
        <m:r>
          <m:t>1</m:t>
        </m:r>
        <m:r>
          <m:rPr>
            <m:sty m:val="p"/>
          </m:rPr>
          <m:t>×</m:t>
        </m:r>
        <m:r>
          <m:t>20</m:t>
        </m:r>
        <m:r>
          <m:rPr>
            <m:sty m:val="p"/>
          </m:rPr>
          <m:t>=</m:t>
        </m:r>
        <m:r>
          <m:t>18</m:t>
        </m:r>
      </m:oMath>
      <w:r>
        <w:t xml:space="preserve"> </w:t>
      </w:r>
      <w:r>
        <w:t xml:space="preserve">consultas.</w:t>
      </w:r>
    </w:p>
    <w:p>
      <w:pPr>
        <w:pStyle w:val="BlockText"/>
      </w:pPr>
      <w:r>
        <w:rPr>
          <w:b/>
          <w:bCs/>
        </w:rPr>
        <w:t xml:space="preserve">(c)</w:t>
      </w:r>
      <w:r>
        <w:t xml:space="preserve"> </w:t>
      </w:r>
      <w:r>
        <w:t xml:space="preserve">O ótimo sem seguro:</w:t>
      </w:r>
      <w:r>
        <w:t xml:space="preserve"> </w:t>
      </w:r>
      <m:oMath>
        <m:r>
          <m:t>p</m:t>
        </m:r>
        <m:r>
          <m:rPr>
            <m:sty m:val="p"/>
          </m:rPr>
          <m:t>=</m:t>
        </m:r>
        <m:r>
          <m:t>c</m:t>
        </m:r>
        <m:r>
          <m:rPr>
            <m:sty m:val="p"/>
          </m:rPr>
          <m:t>=</m:t>
        </m:r>
        <m:r>
          <m:t>100</m:t>
        </m:r>
      </m:oMath>
      <w:r>
        <w:t xml:space="preserve">.</w:t>
      </w:r>
      <w:r>
        <w:t xml:space="preserve"> </w:t>
      </w:r>
      <m:oMath>
        <m:sSup>
          <m:e>
            <m:r>
              <m:t>Q</m:t>
            </m:r>
          </m:e>
          <m:sup>
            <m:r>
              <m:rPr>
                <m:sty m:val="p"/>
              </m:rPr>
              <m:t>*</m:t>
            </m:r>
          </m:sup>
        </m:sSup>
        <m:r>
          <m:rPr>
            <m:sty m:val="p"/>
          </m:rPr>
          <m:t>=</m:t>
        </m:r>
        <m:r>
          <m:t>20</m:t>
        </m:r>
        <m:r>
          <m:rPr>
            <m:sty m:val="p"/>
          </m:rPr>
          <m:t>−</m:t>
        </m:r>
        <m:r>
          <m:t>0</m:t>
        </m:r>
        <m:r>
          <m:rPr>
            <m:sty m:val="p"/>
          </m:rPr>
          <m:t>,</m:t>
        </m:r>
        <m:r>
          <m:t>1</m:t>
        </m:r>
        <m:r>
          <m:rPr>
            <m:sty m:val="p"/>
          </m:rPr>
          <m:t>×</m:t>
        </m:r>
        <m:r>
          <m:t>100</m:t>
        </m:r>
        <m:r>
          <m:rPr>
            <m:sty m:val="p"/>
          </m:rPr>
          <m:t>=</m:t>
        </m:r>
        <m:r>
          <m:t>10</m:t>
        </m:r>
      </m:oMath>
      <w:r>
        <w:t xml:space="preserve"> </w:t>
      </w:r>
      <w:r>
        <w:t xml:space="preserve">consultas.</w:t>
      </w:r>
    </w:p>
    <w:p>
      <w:pPr>
        <w:pStyle w:val="BlockText"/>
      </w:pPr>
      <w:r>
        <w:t xml:space="preserve">Com cobertura total, o paciente consome 20 em vez de 10 — excesso de 10 consultas. Cada consulta excedente custa 100 mas tem benefício marginal menor. O DWL é o triângulo:</w:t>
      </w:r>
    </w:p>
    <w:p>
      <w:pPr>
        <w:pStyle w:val="BlockText"/>
      </w:pPr>
      <w:r>
        <w:t xml:space="preserve">$$</w:t>
      </w:r>
    </w:p>
    <w:p>
      <w:pPr>
        <w:pStyle w:val="BlockText"/>
      </w:pPr>
      <w:r>
        <w:t xml:space="preserve">DWL =</w:t>
      </w:r>
      <w:r>
        <w:t xml:space="preserve"> </w:t>
      </w:r>
      <w:r>
        <w:t xml:space="preserve"> </w:t>
      </w:r>
      <w:r>
        <w:t xml:space="preserve">(20 - 10)</w:t>
      </w:r>
      <w:r>
        <w:t xml:space="preserve"> </w:t>
      </w:r>
      <w:r>
        <w:t xml:space="preserve">(100 - 0) =</w:t>
      </w:r>
      <w:r>
        <w:t xml:space="preserve"> </w:t>
      </w:r>
      <w:r>
        <w:t xml:space="preserve">;500</w:t>
      </w:r>
    </w:p>
    <w:p>
      <w:pPr>
        <w:pStyle w:val="BlockText"/>
      </w:pPr>
      <w:r>
        <w:t xml:space="preserve">$$</w:t>
      </w:r>
    </w:p>
    <w:p>
      <w:pPr>
        <w:pStyle w:val="BlockText"/>
      </w:pPr>
      <w:r>
        <w:rPr>
          <w:b/>
          <w:bCs/>
        </w:rPr>
        <w:t xml:space="preserve">Lição:</w:t>
      </w:r>
      <w:r>
        <w:t xml:space="preserve"> </w:t>
      </w:r>
      <w:r>
        <w:t xml:space="preserve">Cobertura total elimina o risco financeiro para o paciente, mas gera perda de bem-estar de R$ 500 por risco moral. O copagamento de 20% reduz a demanda de 20 para 18 — diminuindo o DWL, mas não eliminando (o paciente ainda consome 8 consultas acima do ótimo).</w:t>
      </w:r>
    </w:p>
    <w:p>
      <w:pPr>
        <w:pStyle w:val="BlockText"/>
      </w:pPr>
      <w:r>
        <w:rPr>
          <w:b/>
          <w:bCs/>
        </w:rPr>
        <w:t xml:space="preserve">[BOX BRASIL] Box Brasil 23.2 — A ANS e a regulação dos planos de saúde no Brasil</w:t>
      </w:r>
    </w:p>
    <w:p>
      <w:pPr>
        <w:pStyle w:val="BlockText"/>
      </w:pPr>
      <w:r>
        <w:t xml:space="preserve">A</w:t>
      </w:r>
      <w:r>
        <w:t xml:space="preserve"> </w:t>
      </w:r>
      <w:r>
        <w:rPr>
          <w:b/>
          <w:bCs/>
        </w:rPr>
        <w:t xml:space="preserve">Agência Nacional de Saúde Suplementar</w:t>
      </w:r>
      <w:r>
        <w:t xml:space="preserve"> </w:t>
      </w:r>
      <w:r>
        <w:t xml:space="preserve">(ANS), criada em 2000, regula ~47 milhões de beneficiários de planos de saúde privados no Brasil. Seus instrumentos principais:</w:t>
      </w:r>
    </w:p>
    <w:p>
      <w:pPr>
        <w:pStyle w:val="Compact"/>
        <w:numPr>
          <w:ilvl w:val="0"/>
          <w:numId w:val="2258"/>
        </w:numPr>
      </w:pPr>
      <w:r>
        <w:rPr>
          <w:b/>
          <w:bCs/>
        </w:rPr>
        <w:t xml:space="preserve">Rol de procedimentos obrigatórios</w:t>
      </w:r>
      <w:r>
        <w:t xml:space="preserve">: lista de coberturas mínimas que todo plano deve oferecer — expandida periodicamente, gerando conflito com operadoras.</w:t>
      </w:r>
    </w:p>
    <w:p>
      <w:pPr>
        <w:pStyle w:val="Compact"/>
        <w:numPr>
          <w:ilvl w:val="0"/>
          <w:numId w:val="2258"/>
        </w:numPr>
      </w:pPr>
      <w:r>
        <w:rPr>
          <w:b/>
          <w:bCs/>
        </w:rPr>
        <w:t xml:space="preserve">Reajuste regulado</w:t>
      </w:r>
      <w:r>
        <w:t xml:space="preserve">: a ANS define o teto de reajuste anual para planos individuais (não para coletivos, que são ~80% do mercado).</w:t>
      </w:r>
    </w:p>
    <w:p>
      <w:pPr>
        <w:pStyle w:val="Compact"/>
        <w:numPr>
          <w:ilvl w:val="0"/>
          <w:numId w:val="2258"/>
        </w:numPr>
      </w:pPr>
      <w:r>
        <w:rPr>
          <w:b/>
          <w:bCs/>
        </w:rPr>
        <w:t xml:space="preserve">Faixas etárias</w:t>
      </w:r>
      <w:r>
        <w:t xml:space="preserve">: a Lei 9.656/1998 limita a variação de preço por idade a no máximo 6:1 entre a faixa mais jovem e a mais idosa — uma forma de community rating parcial.</w:t>
      </w:r>
    </w:p>
    <w:p>
      <w:pPr>
        <w:pStyle w:val="Compact"/>
        <w:numPr>
          <w:ilvl w:val="0"/>
          <w:numId w:val="2258"/>
        </w:numPr>
      </w:pPr>
      <w:r>
        <w:rPr>
          <w:b/>
          <w:bCs/>
        </w:rPr>
        <w:t xml:space="preserve">Ressarcimento ao SUS</w:t>
      </w:r>
      <w:r>
        <w:t xml:space="preserve">: operadoras devem reembolsar o SUS quando seus beneficiários usam serviços públicos.</w:t>
      </w:r>
    </w:p>
    <w:p>
      <w:pPr>
        <w:pStyle w:val="BlockText"/>
      </w:pPr>
      <w:r>
        <w:rPr>
          <w:b/>
          <w:bCs/>
        </w:rPr>
        <w:t xml:space="preserve">Desafios atuais:</w:t>
      </w:r>
    </w:p>
    <w:p>
      <w:pPr>
        <w:pStyle w:val="Compact"/>
        <w:numPr>
          <w:ilvl w:val="0"/>
          <w:numId w:val="2259"/>
        </w:numPr>
      </w:pPr>
      <w:r>
        <w:rPr>
          <w:b/>
          <w:bCs/>
        </w:rPr>
        <w:t xml:space="preserve">Concentração de mercado</w:t>
      </w:r>
      <w:r>
        <w:t xml:space="preserve">: fusões sucessivas reduziram o número de operadoras. As 10 maiores detêm ~40% dos beneficiários.</w:t>
      </w:r>
    </w:p>
    <w:p>
      <w:pPr>
        <w:pStyle w:val="Compact"/>
        <w:numPr>
          <w:ilvl w:val="0"/>
          <w:numId w:val="2259"/>
        </w:numPr>
      </w:pPr>
      <w:r>
        <w:rPr>
          <w:b/>
          <w:bCs/>
        </w:rPr>
        <w:t xml:space="preserve">Judicialização</w:t>
      </w:r>
      <w:r>
        <w:t xml:space="preserve">: beneficiários recorrem à Justiça para obter coberturas fora do rol, criando custos imprevisíveis.</w:t>
      </w:r>
    </w:p>
    <w:p>
      <w:pPr>
        <w:pStyle w:val="Compact"/>
        <w:numPr>
          <w:ilvl w:val="0"/>
          <w:numId w:val="2259"/>
        </w:numPr>
      </w:pPr>
      <w:r>
        <w:rPr>
          <w:b/>
          <w:bCs/>
        </w:rPr>
        <w:t xml:space="preserve">Reajustes de coletivos</w:t>
      </w:r>
      <w:r>
        <w:t xml:space="preserve">: planos empresariais (a maioria) não têm teto regulado, gerando reajustes frequentemente superiores a 15% ao ano.</w:t>
      </w:r>
    </w:p>
    <w:p>
      <w:pPr>
        <w:pStyle w:val="Compact"/>
        <w:numPr>
          <w:ilvl w:val="0"/>
          <w:numId w:val="2259"/>
        </w:numPr>
      </w:pPr>
      <w:r>
        <w:rPr>
          <w:b/>
          <w:bCs/>
        </w:rPr>
        <w:t xml:space="preserve">Sinistralidade crescente</w:t>
      </w:r>
      <w:r>
        <w:t xml:space="preserve">: a razão sinistros/receitas tem se aproximado de 85%, comprimindo margens e forçando consolidação (ANS, 2024).</w:t>
      </w:r>
    </w:p>
    <w:p>
      <w:r>
        <w:pict>
          <v:rect style="width:0;height:1.5pt" o:hralign="center" o:hrstd="t" o:hr="t"/>
        </w:pict>
      </w:r>
    </w:p>
    <w:bookmarkEnd w:id="1411"/>
    <w:bookmarkEnd w:id="1412"/>
    <w:bookmarkStart w:id="1416" w:name="Xb7f5ada6bdd5e4844b1dc6da915ace79a38c463"/>
    <w:p>
      <w:pPr>
        <w:pStyle w:val="Heading3"/>
      </w:pPr>
      <w:r>
        <w:t xml:space="preserve">23.5 Sistemas de saúde comparados</w:t>
      </w:r>
    </w:p>
    <w:bookmarkStart w:id="1413" w:name="os-quatro-modelos"/>
    <w:p>
      <w:pPr>
        <w:pStyle w:val="Heading4"/>
      </w:pPr>
      <w:r>
        <w:t xml:space="preserve">23.5.1 Os quatro modelos</w:t>
      </w:r>
    </w:p>
    <w:p>
      <w:pPr>
        <w:pStyle w:val="FirstParagraph"/>
      </w:pPr>
      <w:r>
        <w:t xml:space="preserve">Não existe sistema de saúde perfeito — existe uma escolha entre imperfeições. Os sistemas de saúde do mundo podem ser classificados (com simplificação inevitável) em quatro modelos:</w:t>
      </w:r>
    </w:p>
    <w:tbl>
      <w:tblPr>
        <w:tblStyle w:val="Table"/>
        <w:tblW w:type="pct" w:w="5000"/>
        <w:tblLayout w:type="fixed"/>
        <w:tblLook w:firstRow="1" w:lastRow="0" w:firstColumn="0" w:lastColumn="0" w:noHBand="0" w:noVBand="0" w:val="0020"/>
      </w:tblPr>
      <w:tblGrid>
        <w:gridCol w:w="1545"/>
        <w:gridCol w:w="2704"/>
        <w:gridCol w:w="1931"/>
        <w:gridCol w:w="1738"/>
      </w:tblGrid>
      <w:tr>
        <w:trPr>
          <w:tblHeader w:val="on"/>
        </w:trPr>
        <w:tc>
          <w:tcPr/>
          <w:p>
            <w:pPr>
              <w:pStyle w:val="Compact"/>
              <w:jc w:val="left"/>
            </w:pPr>
            <w:r>
              <w:t xml:space="preserve">Modelo</w:t>
            </w:r>
          </w:p>
        </w:tc>
        <w:tc>
          <w:tcPr/>
          <w:p>
            <w:pPr>
              <w:pStyle w:val="Compact"/>
              <w:jc w:val="left"/>
            </w:pPr>
            <w:r>
              <w:t xml:space="preserve">Financiamento</w:t>
            </w:r>
          </w:p>
        </w:tc>
        <w:tc>
          <w:tcPr/>
          <w:p>
            <w:pPr>
              <w:pStyle w:val="Compact"/>
              <w:jc w:val="left"/>
            </w:pPr>
            <w:r>
              <w:t xml:space="preserve">Provisão</w:t>
            </w:r>
          </w:p>
        </w:tc>
        <w:tc>
          <w:tcPr/>
          <w:p>
            <w:pPr>
              <w:pStyle w:val="Compact"/>
              <w:jc w:val="left"/>
            </w:pPr>
            <w:r>
              <w:t xml:space="preserve">Exemplo</w:t>
            </w:r>
          </w:p>
        </w:tc>
      </w:tr>
      <w:tr>
        <w:tc>
          <w:tcPr/>
          <w:p>
            <w:pPr>
              <w:pStyle w:val="Compact"/>
              <w:jc w:val="left"/>
            </w:pPr>
            <w:r>
              <w:rPr>
                <w:b/>
                <w:bCs/>
              </w:rPr>
              <w:t xml:space="preserve">Beveridge</w:t>
            </w:r>
          </w:p>
        </w:tc>
        <w:tc>
          <w:tcPr/>
          <w:p>
            <w:pPr>
              <w:pStyle w:val="Compact"/>
              <w:jc w:val="left"/>
            </w:pPr>
            <w:r>
              <w:t xml:space="preserve">Impostos gerais</w:t>
            </w:r>
          </w:p>
        </w:tc>
        <w:tc>
          <w:tcPr/>
          <w:p>
            <w:pPr>
              <w:pStyle w:val="Compact"/>
              <w:jc w:val="left"/>
            </w:pPr>
            <w:r>
              <w:t xml:space="preserve">Predominantemente pública</w:t>
            </w:r>
          </w:p>
        </w:tc>
        <w:tc>
          <w:tcPr/>
          <w:p>
            <w:pPr>
              <w:pStyle w:val="Compact"/>
              <w:jc w:val="left"/>
            </w:pPr>
            <w:r>
              <w:t xml:space="preserve">Reino Unido (NHS), Espanha, Brasil (SUS)</w:t>
            </w:r>
          </w:p>
        </w:tc>
      </w:tr>
      <w:tr>
        <w:tc>
          <w:tcPr/>
          <w:p>
            <w:pPr>
              <w:pStyle w:val="Compact"/>
              <w:jc w:val="left"/>
            </w:pPr>
            <w:r>
              <w:rPr>
                <w:b/>
                <w:bCs/>
              </w:rPr>
              <w:t xml:space="preserve">Bismarck</w:t>
            </w:r>
          </w:p>
        </w:tc>
        <w:tc>
          <w:tcPr/>
          <w:p>
            <w:pPr>
              <w:pStyle w:val="Compact"/>
              <w:jc w:val="left"/>
            </w:pPr>
            <w:r>
              <w:t xml:space="preserve">Contribuições sociais obrigatórias (empregador + empregado)</w:t>
            </w:r>
          </w:p>
        </w:tc>
        <w:tc>
          <w:tcPr/>
          <w:p>
            <w:pPr>
              <w:pStyle w:val="Compact"/>
              <w:jc w:val="left"/>
            </w:pPr>
            <w:r>
              <w:t xml:space="preserve">Mista (provedores privados, regulados)</w:t>
            </w:r>
          </w:p>
        </w:tc>
        <w:tc>
          <w:tcPr/>
          <w:p>
            <w:pPr>
              <w:pStyle w:val="Compact"/>
              <w:jc w:val="left"/>
            </w:pPr>
            <w:r>
              <w:t xml:space="preserve">Alemanha, França, Japão</w:t>
            </w:r>
          </w:p>
        </w:tc>
      </w:tr>
      <w:tr>
        <w:tc>
          <w:tcPr/>
          <w:p>
            <w:pPr>
              <w:pStyle w:val="Compact"/>
              <w:jc w:val="left"/>
            </w:pPr>
            <w:r>
              <w:rPr>
                <w:b/>
                <w:bCs/>
              </w:rPr>
              <w:t xml:space="preserve">Seguro nacional</w:t>
            </w:r>
          </w:p>
        </w:tc>
        <w:tc>
          <w:tcPr/>
          <w:p>
            <w:pPr>
              <w:pStyle w:val="Compact"/>
              <w:jc w:val="left"/>
            </w:pPr>
            <w:r>
              <w:t xml:space="preserve">Imposto destinado a seguro único</w:t>
            </w:r>
          </w:p>
        </w:tc>
        <w:tc>
          <w:tcPr/>
          <w:p>
            <w:pPr>
              <w:pStyle w:val="Compact"/>
              <w:jc w:val="left"/>
            </w:pPr>
            <w:r>
              <w:t xml:space="preserve">Provedores privados</w:t>
            </w:r>
          </w:p>
        </w:tc>
        <w:tc>
          <w:tcPr/>
          <w:p>
            <w:pPr>
              <w:pStyle w:val="Compact"/>
              <w:jc w:val="left"/>
            </w:pPr>
            <w:r>
              <w:t xml:space="preserve">Canadá, Taiwan</w:t>
            </w:r>
          </w:p>
        </w:tc>
      </w:tr>
      <w:tr>
        <w:tc>
          <w:tcPr/>
          <w:p>
            <w:pPr>
              <w:pStyle w:val="Compact"/>
              <w:jc w:val="left"/>
            </w:pPr>
            <w:r>
              <w:rPr>
                <w:b/>
                <w:bCs/>
              </w:rPr>
              <w:t xml:space="preserve">Mercado</w:t>
            </w:r>
          </w:p>
        </w:tc>
        <w:tc>
          <w:tcPr/>
          <w:p>
            <w:pPr>
              <w:pStyle w:val="Compact"/>
              <w:jc w:val="left"/>
            </w:pPr>
            <w:r>
              <w:t xml:space="preserve">Pagamento direto ou seguros privados voluntários</w:t>
            </w:r>
          </w:p>
        </w:tc>
        <w:tc>
          <w:tcPr/>
          <w:p>
            <w:pPr>
              <w:pStyle w:val="Compact"/>
              <w:jc w:val="left"/>
            </w:pPr>
            <w:r>
              <w:t xml:space="preserve">Privada</w:t>
            </w:r>
          </w:p>
        </w:tc>
        <w:tc>
          <w:tcPr/>
          <w:p>
            <w:pPr>
              <w:pStyle w:val="Compact"/>
              <w:jc w:val="left"/>
            </w:pPr>
            <w:r>
              <w:t xml:space="preserve">EUA (parcialmente), países de baixa renda</w:t>
            </w:r>
          </w:p>
        </w:tc>
      </w:tr>
    </w:tbl>
    <w:p>
      <w:pPr>
        <w:pStyle w:val="BodyText"/>
      </w:pPr>
      <w:r>
        <w:t xml:space="preserve">Na prática, nenhum país se encaixa perfeitamente em um modelo. Os EUA têm Medicare (Beveridge para idosos), Medicaid (Beveridge para pobres), seguro privado via empregador (Bismarck) e ~27 milhões sem seguro (mercado). O Brasil combina SUS (Beveridge) com planos privados (Bismarck/mercado).</w:t>
      </w:r>
    </w:p>
    <w:bookmarkEnd w:id="1413"/>
    <w:bookmarkStart w:id="1414" w:name="o-trade-off-eficiência-equidade"/>
    <w:p>
      <w:pPr>
        <w:pStyle w:val="Heading4"/>
      </w:pPr>
      <w:r>
        <w:t xml:space="preserve">23.5.2 O trade-off eficiência-equidade</w:t>
      </w:r>
    </w:p>
    <w:p>
      <w:pPr>
        <w:pStyle w:val="FirstParagraph"/>
      </w:pPr>
      <w:r>
        <w:t xml:space="preserve">A escolha entre modelos reflete o trade-off fundamental entre</w:t>
      </w:r>
      <w:r>
        <w:t xml:space="preserve"> </w:t>
      </w:r>
      <w:r>
        <w:rPr>
          <w:b/>
          <w:bCs/>
        </w:rPr>
        <w:t xml:space="preserve">eficiência</w:t>
      </w:r>
      <w:r>
        <w:t xml:space="preserve"> </w:t>
      </w:r>
      <w:r>
        <w:t xml:space="preserve">e</w:t>
      </w:r>
      <w:r>
        <w:t xml:space="preserve"> </w:t>
      </w:r>
      <w:r>
        <w:rPr>
          <w:b/>
          <w:bCs/>
        </w:rPr>
        <w:t xml:space="preserve">equidade</w:t>
      </w:r>
      <w:r>
        <w:t xml:space="preserve"> </w:t>
      </w:r>
      <w:r>
        <w:t xml:space="preserve">que permeia toda a economia do bem-estar (Capítulos 14 e 20):</w:t>
      </w:r>
    </w:p>
    <w:p>
      <w:pPr>
        <w:pStyle w:val="Compact"/>
        <w:numPr>
          <w:ilvl w:val="0"/>
          <w:numId w:val="2260"/>
        </w:numPr>
      </w:pPr>
      <w:r>
        <w:rPr>
          <w:b/>
          <w:bCs/>
        </w:rPr>
        <w:t xml:space="preserve">Sistemas universais públicos</w:t>
      </w:r>
      <w:r>
        <w:t xml:space="preserve"> </w:t>
      </w:r>
      <w:r>
        <w:t xml:space="preserve">(Beveridge) tendem a ser mais equitativos (acesso independe da renda) e a conter custos melhor (poder de monopsônio na compra de serviços), mas podem gerar filas e menor inovação.</w:t>
      </w:r>
    </w:p>
    <w:p>
      <w:pPr>
        <w:pStyle w:val="Compact"/>
        <w:numPr>
          <w:ilvl w:val="0"/>
          <w:numId w:val="2260"/>
        </w:numPr>
      </w:pPr>
      <w:r>
        <w:rPr>
          <w:b/>
          <w:bCs/>
        </w:rPr>
        <w:t xml:space="preserve">Sistemas de mercado</w:t>
      </w:r>
      <w:r>
        <w:t xml:space="preserve"> </w:t>
      </w:r>
      <w:r>
        <w:t xml:space="preserve">tendem a ser mais responsivos a preferências individuais e a gerar mais inovação, mas com custos mais altos e desigualdade de acesso.</w:t>
      </w:r>
    </w:p>
    <w:p>
      <w:pPr>
        <w:pStyle w:val="BlockText"/>
      </w:pPr>
      <w:r>
        <w:rPr>
          <w:b/>
          <w:bCs/>
        </w:rPr>
        <w:t xml:space="preserve">[INTUICAO ECONOMICA] Intuição Econômica</w:t>
      </w:r>
    </w:p>
    <w:p>
      <w:pPr>
        <w:pStyle w:val="BlockText"/>
      </w:pPr>
      <w:r>
        <w:rPr>
          <w:b/>
          <w:bCs/>
        </w:rPr>
        <w:t xml:space="preserve">Em uma frase:</w:t>
      </w:r>
      <w:r>
        <w:t xml:space="preserve"> </w:t>
      </w:r>
      <w:r>
        <w:t xml:space="preserve">Todo sistema de saúde é uma resposta imperfeita ao mesmo conjunto de falhas de mercado — a diferença está em quais imperfeições cada sociedade escolhe tolerar.</w:t>
      </w:r>
    </w:p>
    <w:p>
      <w:pPr>
        <w:pStyle w:val="BlockText"/>
      </w:pPr>
      <w:r>
        <w:rPr>
          <w:b/>
          <w:bCs/>
        </w:rPr>
        <w:t xml:space="preserve">Pense assim:</w:t>
      </w:r>
      <w:r>
        <w:t xml:space="preserve"> </w:t>
      </w:r>
      <w:r>
        <w:t xml:space="preserve">Imagine um triângulo com três vértices: custo, acesso e qualidade. Nenhum sistema consegue estar nos três vértices ao mesmo tempo. O NHS prioriza acesso e custo (mas tem filas). Os EUA priorizam qualidade e escolha (mas têm custo alto e acesso desigual). O SUS tenta priorizar acesso (mas enfrenta subfinanciamento que limita qualidade).</w:t>
      </w:r>
    </w:p>
    <w:p>
      <w:pPr>
        <w:pStyle w:val="BlockText"/>
      </w:pPr>
      <w:r>
        <w:rPr>
          <w:b/>
          <w:bCs/>
        </w:rPr>
        <w:t xml:space="preserve">Por que isso importa:</w:t>
      </w:r>
      <w:r>
        <w:t xml:space="preserve"> </w:t>
      </w:r>
      <w:r>
        <w:t xml:space="preserve">Reformas de saúde que prometem simultaneamente</w:t>
      </w:r>
      <w:r>
        <w:t xml:space="preserve"> </w:t>
      </w:r>
      <w:r>
        <w:t xml:space="preserve">“mais acesso, mais qualidade e menos custo”</w:t>
      </w:r>
      <w:r>
        <w:t xml:space="preserve"> </w:t>
      </w:r>
      <w:r>
        <w:t xml:space="preserve">estão violando uma restrição econômica fundamental — e provavelmente estão mentindo sobre pelo menos uma das três dimensões.</w:t>
      </w:r>
    </w:p>
    <w:bookmarkEnd w:id="1414"/>
    <w:bookmarkStart w:id="1415" w:name="a-anomalia-americana"/>
    <w:p>
      <w:pPr>
        <w:pStyle w:val="Heading4"/>
      </w:pPr>
      <w:r>
        <w:t xml:space="preserve">23.5.3 A anomalia americana</w:t>
      </w:r>
    </w:p>
    <w:p>
      <w:pPr>
        <w:pStyle w:val="FirstParagraph"/>
      </w:pPr>
      <w:r>
        <w:t xml:space="preserve">Os EUA são o caso mais fascinante — e perturbador — da economia da saúde comparada. Gastam mais que qualquer outro país (~17% do PIB, versus ~10% na média da OECD), mas têm resultados piores em muitos indicadores: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Indicador</w:t>
            </w:r>
          </w:p>
        </w:tc>
        <w:tc>
          <w:tcPr/>
          <w:p>
            <w:pPr>
              <w:pStyle w:val="Compact"/>
              <w:jc w:val="left"/>
            </w:pPr>
            <w:r>
              <w:t xml:space="preserve">EUA</w:t>
            </w:r>
          </w:p>
        </w:tc>
        <w:tc>
          <w:tcPr/>
          <w:p>
            <w:pPr>
              <w:pStyle w:val="Compact"/>
              <w:jc w:val="left"/>
            </w:pPr>
            <w:r>
              <w:t xml:space="preserve">Média OECD</w:t>
            </w:r>
          </w:p>
        </w:tc>
      </w:tr>
      <w:tr>
        <w:tc>
          <w:tcPr/>
          <w:p>
            <w:pPr>
              <w:pStyle w:val="Compact"/>
              <w:jc w:val="left"/>
            </w:pPr>
            <w:r>
              <w:t xml:space="preserve">Gasto em saúde (% PIB)</w:t>
            </w:r>
          </w:p>
        </w:tc>
        <w:tc>
          <w:tcPr/>
          <w:p>
            <w:pPr>
              <w:pStyle w:val="Compact"/>
              <w:jc w:val="left"/>
            </w:pPr>
            <w:r>
              <w:t xml:space="preserve">17,3%</w:t>
            </w:r>
          </w:p>
        </w:tc>
        <w:tc>
          <w:tcPr/>
          <w:p>
            <w:pPr>
              <w:pStyle w:val="Compact"/>
              <w:jc w:val="left"/>
            </w:pPr>
            <w:r>
              <w:t xml:space="preserve">9,2%</w:t>
            </w:r>
          </w:p>
        </w:tc>
      </w:tr>
      <w:tr>
        <w:tc>
          <w:tcPr/>
          <w:p>
            <w:pPr>
              <w:pStyle w:val="Compact"/>
              <w:jc w:val="left"/>
            </w:pPr>
            <w:r>
              <w:t xml:space="preserve">Expectativa de vida</w:t>
            </w:r>
          </w:p>
        </w:tc>
        <w:tc>
          <w:tcPr/>
          <w:p>
            <w:pPr>
              <w:pStyle w:val="Compact"/>
              <w:jc w:val="left"/>
            </w:pPr>
            <w:r>
              <w:t xml:space="preserve">77,5 anos</w:t>
            </w:r>
          </w:p>
        </w:tc>
        <w:tc>
          <w:tcPr/>
          <w:p>
            <w:pPr>
              <w:pStyle w:val="Compact"/>
              <w:jc w:val="left"/>
            </w:pPr>
            <w:r>
              <w:t xml:space="preserve">80,3 anos</w:t>
            </w:r>
          </w:p>
        </w:tc>
      </w:tr>
      <w:tr>
        <w:tc>
          <w:tcPr/>
          <w:p>
            <w:pPr>
              <w:pStyle w:val="Compact"/>
              <w:jc w:val="left"/>
            </w:pPr>
            <w:r>
              <w:t xml:space="preserve">Mortalidade infantil (por 1.000)</w:t>
            </w:r>
          </w:p>
        </w:tc>
        <w:tc>
          <w:tcPr/>
          <w:p>
            <w:pPr>
              <w:pStyle w:val="Compact"/>
              <w:jc w:val="left"/>
            </w:pPr>
            <w:r>
              <w:t xml:space="preserve">5,4</w:t>
            </w:r>
          </w:p>
        </w:tc>
        <w:tc>
          <w:tcPr/>
          <w:p>
            <w:pPr>
              <w:pStyle w:val="Compact"/>
              <w:jc w:val="left"/>
            </w:pPr>
            <w:r>
              <w:t xml:space="preserve">4,1</w:t>
            </w:r>
          </w:p>
        </w:tc>
      </w:tr>
      <w:tr>
        <w:tc>
          <w:tcPr/>
          <w:p>
            <w:pPr>
              <w:pStyle w:val="Compact"/>
              <w:jc w:val="left"/>
            </w:pPr>
            <w:r>
              <w:t xml:space="preserve">Sem seguro de saúde</w:t>
            </w:r>
          </w:p>
        </w:tc>
        <w:tc>
          <w:tcPr/>
          <w:p>
            <w:pPr>
              <w:pStyle w:val="Compact"/>
              <w:jc w:val="left"/>
            </w:pPr>
            <w:r>
              <w:t xml:space="preserve">~8%</w:t>
            </w:r>
          </w:p>
        </w:tc>
        <w:tc>
          <w:tcPr/>
          <w:p>
            <w:pPr>
              <w:pStyle w:val="Compact"/>
              <w:jc w:val="left"/>
            </w:pPr>
            <w:r>
              <w:t xml:space="preserve">~0% (países universais)</w:t>
            </w:r>
          </w:p>
        </w:tc>
      </w:tr>
    </w:tbl>
    <w:p>
      <w:pPr>
        <w:pStyle w:val="BodyText"/>
      </w:pPr>
      <w:r>
        <w:t xml:space="preserve">Essa</w:t>
      </w:r>
      <w:r>
        <w:t xml:space="preserve"> </w:t>
      </w:r>
      <w:r>
        <w:t xml:space="preserve">“anomalia”</w:t>
      </w:r>
      <w:r>
        <w:t xml:space="preserve"> </w:t>
      </w:r>
      <w:r>
        <w:t xml:space="preserve">tem múltiplas explicações, nenhuma isoladamente suficiente:</w:t>
      </w:r>
    </w:p>
    <w:p>
      <w:pPr>
        <w:pStyle w:val="Compact"/>
        <w:numPr>
          <w:ilvl w:val="0"/>
          <w:numId w:val="2261"/>
        </w:numPr>
      </w:pPr>
      <w:r>
        <w:rPr>
          <w:b/>
          <w:bCs/>
        </w:rPr>
        <w:t xml:space="preserve">Preços, não quantidade</w:t>
      </w:r>
      <w:r>
        <w:t xml:space="preserve">: os americanos não consomem mais saúde — pagam mais por unidade.</w:t>
      </w:r>
      <w:r>
        <w:t xml:space="preserve"> </w:t>
      </w:r>
      <w:r>
        <w:t xml:space="preserve">“It’s the prices, stupid”</w:t>
      </w:r>
      <w:r>
        <w:t xml:space="preserve"> </w:t>
      </w:r>
      <w:r>
        <w:t xml:space="preserve">(Anderson et al., 2003).</w:t>
      </w:r>
    </w:p>
    <w:p>
      <w:pPr>
        <w:pStyle w:val="Compact"/>
        <w:numPr>
          <w:ilvl w:val="0"/>
          <w:numId w:val="2261"/>
        </w:numPr>
      </w:pPr>
      <w:r>
        <w:rPr>
          <w:b/>
          <w:bCs/>
        </w:rPr>
        <w:t xml:space="preserve">Complexidade administrativa</w:t>
      </w:r>
      <w:r>
        <w:t xml:space="preserve">: ~15–25% do gasto em saúde americano é administrativo (faturamento, pré-autorização, negociação com seguradoras), versus ~2–5% em sistemas de pagador único (Cutler, 2004).</w:t>
      </w:r>
    </w:p>
    <w:p>
      <w:pPr>
        <w:pStyle w:val="Compact"/>
        <w:numPr>
          <w:ilvl w:val="0"/>
          <w:numId w:val="2261"/>
        </w:numPr>
      </w:pPr>
      <w:r>
        <w:rPr>
          <w:b/>
          <w:bCs/>
        </w:rPr>
        <w:t xml:space="preserve">Fragmentação</w:t>
      </w:r>
      <w:r>
        <w:t xml:space="preserve">: múltiplos pagadores, sem poder de monopsônio, sem coordenação central.</w:t>
      </w:r>
    </w:p>
    <w:p>
      <w:pPr>
        <w:pStyle w:val="Compact"/>
        <w:numPr>
          <w:ilvl w:val="0"/>
          <w:numId w:val="2261"/>
        </w:numPr>
      </w:pPr>
      <w:r>
        <w:rPr>
          <w:b/>
          <w:bCs/>
        </w:rPr>
        <w:t xml:space="preserve">Variação geográfica</w:t>
      </w:r>
      <w:r>
        <w:t xml:space="preserve">: o gasto do Medicare per capita varia até 3x entre regiões, sem diferença em resultados (Fisher et al., 2003) — sugerindo desperdício maciço.</w:t>
      </w:r>
    </w:p>
    <w:p>
      <w:pPr>
        <w:pStyle w:val="Compact"/>
        <w:numPr>
          <w:ilvl w:val="0"/>
          <w:numId w:val="2261"/>
        </w:numPr>
      </w:pPr>
      <w:r>
        <w:rPr>
          <w:b/>
          <w:bCs/>
        </w:rPr>
        <w:t xml:space="preserve">Fatores não médicos</w:t>
      </w:r>
      <w:r>
        <w:t xml:space="preserve">: obesidade, violência por armas de fogo, epidemia de opioides, desigualdade de renda — todos afetam a saúde independentemente do sistema.</w:t>
      </w:r>
    </w:p>
    <w:bookmarkEnd w:id="1415"/>
    <w:bookmarkEnd w:id="1416"/>
    <w:bookmarkStart w:id="1421" w:name="Xd23e965603269f7674c2fc33318f5d5af406f6f"/>
    <w:p>
      <w:pPr>
        <w:pStyle w:val="Heading3"/>
      </w:pPr>
      <w:r>
        <w:t xml:space="preserve">23.6 Avaliação econômica em saúde</w:t>
      </w:r>
    </w:p>
    <w:bookmarkStart w:id="1417" w:name="tipos-de-avaliação-econômica"/>
    <w:p>
      <w:pPr>
        <w:pStyle w:val="Heading4"/>
      </w:pPr>
      <w:r>
        <w:t xml:space="preserve">23.6.1 Tipos de avaliação econômica</w:t>
      </w:r>
    </w:p>
    <w:p>
      <w:pPr>
        <w:pStyle w:val="FirstParagraph"/>
      </w:pPr>
      <w:r>
        <w:t xml:space="preserve">Recursos em saúde são escassos — sempre. Mesmo países ricos não podem oferecer tudo a todos. A</w:t>
      </w:r>
      <w:r>
        <w:t xml:space="preserve"> </w:t>
      </w:r>
      <w:r>
        <w:rPr>
          <w:b/>
          <w:bCs/>
        </w:rPr>
        <w:t xml:space="preserve">avaliação econômica em saúde</w:t>
      </w:r>
      <w:r>
        <w:t xml:space="preserve"> </w:t>
      </w:r>
      <w:r>
        <w:t xml:space="preserve">fornece as ferramentas para alocar recursos de forma racional, respondendo à pergunta:</w:t>
      </w:r>
      <w:r>
        <w:t xml:space="preserve"> </w:t>
      </w:r>
      <w:r>
        <w:t xml:space="preserve">“Dado que não podemos financiar tudo, onde cada real adicional gera mais saúde?”</w:t>
      </w:r>
    </w:p>
    <w:p>
      <w:pPr>
        <w:pStyle w:val="BodyText"/>
      </w:pPr>
      <w:r>
        <w:t xml:space="preserve">Existem quatro tipos principais de avaliação econômica:</w:t>
      </w:r>
    </w:p>
    <w:tbl>
      <w:tblPr>
        <w:tblStyle w:val="Table"/>
        <w:tblW w:type="pct" w:w="5000"/>
        <w:tblLayout w:type="fixed"/>
        <w:tblLook w:firstRow="1" w:lastRow="0" w:firstColumn="0" w:lastColumn="0" w:noHBand="0" w:noVBand="0" w:val="0020"/>
      </w:tblPr>
      <w:tblGrid>
        <w:gridCol w:w="792"/>
        <w:gridCol w:w="2508"/>
        <w:gridCol w:w="2904"/>
        <w:gridCol w:w="1716"/>
      </w:tblGrid>
      <w:tr>
        <w:trPr>
          <w:tblHeader w:val="on"/>
        </w:trPr>
        <w:tc>
          <w:tcPr/>
          <w:p>
            <w:pPr>
              <w:pStyle w:val="Compact"/>
              <w:jc w:val="left"/>
            </w:pPr>
            <w:r>
              <w:t xml:space="preserve">Tipo</w:t>
            </w:r>
          </w:p>
        </w:tc>
        <w:tc>
          <w:tcPr/>
          <w:p>
            <w:pPr>
              <w:pStyle w:val="Compact"/>
              <w:jc w:val="left"/>
            </w:pPr>
            <w:r>
              <w:t xml:space="preserve">Custos medidos em</w:t>
            </w:r>
          </w:p>
        </w:tc>
        <w:tc>
          <w:tcPr/>
          <w:p>
            <w:pPr>
              <w:pStyle w:val="Compact"/>
              <w:jc w:val="left"/>
            </w:pPr>
            <w:r>
              <w:t xml:space="preserve">Resultados medidos em</w:t>
            </w:r>
          </w:p>
        </w:tc>
        <w:tc>
          <w:tcPr/>
          <w:p>
            <w:pPr>
              <w:pStyle w:val="Compact"/>
              <w:jc w:val="left"/>
            </w:pPr>
            <w:r>
              <w:t xml:space="preserve">Quando usar</w:t>
            </w:r>
          </w:p>
        </w:tc>
      </w:tr>
      <w:tr>
        <w:tc>
          <w:tcPr/>
          <w:p>
            <w:pPr>
              <w:pStyle w:val="Compact"/>
              <w:jc w:val="left"/>
            </w:pPr>
            <w:r>
              <w:rPr>
                <w:b/>
                <w:bCs/>
              </w:rPr>
              <w:t xml:space="preserve">Custo-minimização</w:t>
            </w:r>
          </w:p>
        </w:tc>
        <w:tc>
          <w:tcPr/>
          <w:p>
            <w:pPr>
              <w:pStyle w:val="Compact"/>
              <w:jc w:val="left"/>
            </w:pPr>
            <w:r>
              <w:t xml:space="preserve">Reais (R$)</w:t>
            </w:r>
          </w:p>
        </w:tc>
        <w:tc>
          <w:tcPr/>
          <w:p>
            <w:pPr>
              <w:pStyle w:val="Compact"/>
              <w:jc w:val="left"/>
            </w:pPr>
            <w:r>
              <w:t xml:space="preserve">Assume iguais</w:t>
            </w:r>
          </w:p>
        </w:tc>
        <w:tc>
          <w:tcPr/>
          <w:p>
            <w:pPr>
              <w:pStyle w:val="Compact"/>
              <w:jc w:val="left"/>
            </w:pPr>
            <w:r>
              <w:t xml:space="preserve">Intervenções com mesma eficácia</w:t>
            </w:r>
          </w:p>
        </w:tc>
      </w:tr>
      <w:tr>
        <w:tc>
          <w:tcPr/>
          <w:p>
            <w:pPr>
              <w:pStyle w:val="Compact"/>
              <w:jc w:val="left"/>
            </w:pPr>
            <w:r>
              <w:rPr>
                <w:b/>
                <w:bCs/>
              </w:rPr>
              <w:t xml:space="preserve">Custo-efetividade (ACE)</w:t>
            </w:r>
          </w:p>
        </w:tc>
        <w:tc>
          <w:tcPr/>
          <w:p>
            <w:pPr>
              <w:pStyle w:val="Compact"/>
              <w:jc w:val="left"/>
            </w:pPr>
            <w:r>
              <w:t xml:space="preserve">Reais (R$)</w:t>
            </w:r>
          </w:p>
        </w:tc>
        <w:tc>
          <w:tcPr/>
          <w:p>
            <w:pPr>
              <w:pStyle w:val="Compact"/>
              <w:jc w:val="left"/>
            </w:pPr>
            <w:r>
              <w:t xml:space="preserve">Unidades naturais (anos de vida, casos evitados)</w:t>
            </w:r>
          </w:p>
        </w:tc>
        <w:tc>
          <w:tcPr/>
          <w:p>
            <w:pPr>
              <w:pStyle w:val="Compact"/>
              <w:jc w:val="left"/>
            </w:pPr>
            <w:r>
              <w:t xml:space="preserve">Comparar intervenções na mesma área</w:t>
            </w:r>
          </w:p>
        </w:tc>
      </w:tr>
      <w:tr>
        <w:tc>
          <w:tcPr/>
          <w:p>
            <w:pPr>
              <w:pStyle w:val="Compact"/>
              <w:jc w:val="left"/>
            </w:pPr>
            <w:r>
              <w:rPr>
                <w:b/>
                <w:bCs/>
              </w:rPr>
              <w:t xml:space="preserve">Custo-utilidade (ACU)</w:t>
            </w:r>
          </w:p>
        </w:tc>
        <w:tc>
          <w:tcPr/>
          <w:p>
            <w:pPr>
              <w:pStyle w:val="Compact"/>
              <w:jc w:val="left"/>
            </w:pPr>
            <w:r>
              <w:t xml:space="preserve">Reais (R$)</w:t>
            </w:r>
          </w:p>
        </w:tc>
        <w:tc>
          <w:tcPr/>
          <w:p>
            <w:pPr>
              <w:pStyle w:val="Compact"/>
              <w:jc w:val="left"/>
            </w:pPr>
            <w:r>
              <w:t xml:space="preserve">QALYs</w:t>
            </w:r>
          </w:p>
        </w:tc>
        <w:tc>
          <w:tcPr/>
          <w:p>
            <w:pPr>
              <w:pStyle w:val="Compact"/>
              <w:jc w:val="left"/>
            </w:pPr>
            <w:r>
              <w:t xml:space="preserve">Comparar intervenções entre áreas diferentes</w:t>
            </w:r>
          </w:p>
        </w:tc>
      </w:tr>
      <w:tr>
        <w:tc>
          <w:tcPr/>
          <w:p>
            <w:pPr>
              <w:pStyle w:val="Compact"/>
              <w:jc w:val="left"/>
            </w:pPr>
            <w:r>
              <w:rPr>
                <w:b/>
                <w:bCs/>
              </w:rPr>
              <w:t xml:space="preserve">Custo-benefício (ACB)</w:t>
            </w:r>
          </w:p>
        </w:tc>
        <w:tc>
          <w:tcPr/>
          <w:p>
            <w:pPr>
              <w:pStyle w:val="Compact"/>
              <w:jc w:val="left"/>
            </w:pPr>
            <w:r>
              <w:t xml:space="preserve">Reais (R$)</w:t>
            </w:r>
          </w:p>
        </w:tc>
        <w:tc>
          <w:tcPr/>
          <w:p>
            <w:pPr>
              <w:pStyle w:val="Compact"/>
              <w:jc w:val="left"/>
            </w:pPr>
            <w:r>
              <w:t xml:space="preserve">Reais (R$)</w:t>
            </w:r>
          </w:p>
        </w:tc>
        <w:tc>
          <w:tcPr/>
          <w:p>
            <w:pPr>
              <w:pStyle w:val="Compact"/>
              <w:jc w:val="left"/>
            </w:pPr>
            <w:r>
              <w:t xml:space="preserve">Comparar intervenções em saúde com investimentos fora da saúde</w:t>
            </w:r>
          </w:p>
        </w:tc>
      </w:tr>
    </w:tbl>
    <w:bookmarkEnd w:id="1417"/>
    <w:bookmarkStart w:id="1418" w:name="X460bd2bb698e86bcb9240f9cca70ca366b3efbc"/>
    <w:p>
      <w:pPr>
        <w:pStyle w:val="Heading4"/>
      </w:pPr>
      <w:r>
        <w:t xml:space="preserve">23.6.2 QALYs e DALYs: medindo saúde além da sobrevivência</w:t>
      </w:r>
    </w:p>
    <w:p>
      <w:pPr>
        <w:pStyle w:val="FirstParagraph"/>
      </w:pPr>
      <w:r>
        <w:t xml:space="preserve">Viver mais não é o mesmo que viver bem. Um ano de vida com dor crônica severa não equivale a um ano com saúde plena. O</w:t>
      </w:r>
      <w:r>
        <w:t xml:space="preserve"> </w:t>
      </w:r>
      <w:r>
        <w:rPr>
          <w:b/>
          <w:bCs/>
        </w:rPr>
        <w:t xml:space="preserve">QALY</w:t>
      </w:r>
      <w:r>
        <w:t xml:space="preserve"> </w:t>
      </w:r>
      <w:r>
        <w:t xml:space="preserve">(</w:t>
      </w:r>
      <w:r>
        <w:rPr>
          <w:i/>
          <w:iCs/>
        </w:rPr>
        <w:t xml:space="preserve">Quality-Adjusted Life Year</w:t>
      </w:r>
      <w:r>
        <w:t xml:space="preserve">) captura essa distinção:</w:t>
      </w:r>
    </w:p>
    <w:p>
      <w:pPr>
        <w:pStyle w:val="BodyText"/>
      </w:pPr>
      <m:oMathPara>
        <m:oMathParaPr>
          <m:jc m:val="center"/>
        </m:oMathParaPr>
        <m:oMath>
          <m:r>
            <m:rPr>
              <m:nor/>
              <m:sty m:val="p"/>
            </m:rPr>
            <m:t>QALYs</m:t>
          </m:r>
          <m:r>
            <m:rPr>
              <m:sty m:val="p"/>
            </m:rPr>
            <m:t>=</m:t>
          </m:r>
          <m:nary>
            <m:naryPr>
              <m:chr m:val="∑"/>
              <m:limLoc m:val="undOvr"/>
              <m:subHide m:val="off"/>
              <m:supHide m:val="off"/>
            </m:naryPr>
            <m:sub>
              <m:r>
                <m:t>t</m:t>
              </m:r>
              <m:r>
                <m:rPr>
                  <m:sty m:val="p"/>
                </m:rPr>
                <m:t>=</m:t>
              </m:r>
              <m:r>
                <m:t>1</m:t>
              </m:r>
            </m:sub>
            <m:sup>
              <m:r>
                <m:t>T</m:t>
              </m:r>
            </m:sup>
            <m:e>
              <m:sSub>
                <m:e>
                  <m:r>
                    <m:t>q</m:t>
                  </m:r>
                </m:e>
                <m:sub>
                  <m:r>
                    <m:t>t</m:t>
                  </m:r>
                </m:sub>
              </m:sSub>
            </m:e>
          </m:nary>
          <m:r>
            <m:rPr>
              <m:sty m:val="p"/>
            </m:rPr>
            <m:t>⋅</m:t>
          </m:r>
          <m:sSup>
            <m:e>
              <m:r>
                <m:t>β</m:t>
              </m:r>
            </m:e>
            <m:sup>
              <m:r>
                <m:t>t</m:t>
              </m:r>
              <m:r>
                <m:rPr>
                  <m:sty m:val="p"/>
                </m:rPr>
                <m:t>−</m:t>
              </m:r>
              <m:r>
                <m:t>1</m:t>
              </m:r>
            </m:sup>
          </m:sSup>
        </m:oMath>
      </m:oMathPara>
    </w:p>
    <w:p>
      <w:pPr>
        <w:pStyle w:val="FirstParagraph"/>
      </w:pPr>
      <w:r>
        <w:t xml:space="preserve">onde</w:t>
      </w:r>
      <w:r>
        <w:t xml:space="preserve"> </w:t>
      </w:r>
      <m:oMath>
        <m:sSub>
          <m:e>
            <m:r>
              <m:t>q</m:t>
            </m:r>
          </m:e>
          <m:sub>
            <m:r>
              <m:t>t</m:t>
            </m:r>
          </m:sub>
        </m:sSub>
        <m:r>
          <m:rPr>
            <m:sty m:val="p"/>
          </m:rPr>
          <m:t>∈</m:t>
        </m:r>
        <m:r>
          <m:rPr>
            <m:sty m:val="p"/>
          </m:rPr>
          <m:t>[</m:t>
        </m:r>
        <m:r>
          <m:t>0</m:t>
        </m:r>
        <m:r>
          <m:rPr>
            <m:sty m:val="p"/>
          </m:rPr>
          <m:t>,</m:t>
        </m:r>
        <m:r>
          <m:t>1</m:t>
        </m:r>
        <m:r>
          <m:rPr>
            <m:sty m:val="p"/>
          </m:rPr>
          <m:t>]</m:t>
        </m:r>
      </m:oMath>
      <w:r>
        <w:t xml:space="preserve"> </w:t>
      </w:r>
      <w:r>
        <w:t xml:space="preserve">é a qualidade de vida no ano</w:t>
      </w:r>
      <w:r>
        <w:t xml:space="preserve"> </w:t>
      </w:r>
      <m:oMath>
        <m:r>
          <m:t>t</m:t>
        </m:r>
      </m:oMath>
      <w:r>
        <w:t xml:space="preserve"> </w:t>
      </w:r>
      <w:r>
        <w:t xml:space="preserve">(1 = saúde perfeita, 0 = morte) e</w:t>
      </w:r>
      <w:r>
        <w:t xml:space="preserve"> </w:t>
      </w:r>
      <m:oMath>
        <m:r>
          <m:t>β</m:t>
        </m:r>
      </m:oMath>
      <w:r>
        <w:t xml:space="preserve"> </w:t>
      </w:r>
      <w:r>
        <w:t xml:space="preserve">é o fator de desconto. Uma intervenção que gera 5 anos de vida com qualidade 0,8 produz</w:t>
      </w:r>
      <w:r>
        <w:t xml:space="preserve"> </w:t>
      </w:r>
      <m:oMath>
        <m:r>
          <m:t>5</m:t>
        </m:r>
        <m:r>
          <m:rPr>
            <m:sty m:val="p"/>
          </m:rPr>
          <m:t>×</m:t>
        </m:r>
        <m:r>
          <m:t>0</m:t>
        </m:r>
        <m:r>
          <m:rPr>
            <m:sty m:val="p"/>
          </m:rPr>
          <m:t>,</m:t>
        </m:r>
        <m:r>
          <m:t>8</m:t>
        </m:r>
        <m:r>
          <m:rPr>
            <m:sty m:val="p"/>
          </m:rPr>
          <m:t>=</m:t>
        </m:r>
        <m:r>
          <m:t>4</m:t>
        </m:r>
      </m:oMath>
      <w:r>
        <w:t xml:space="preserve"> </w:t>
      </w:r>
      <w:r>
        <w:t xml:space="preserve">QALYs.</w:t>
      </w:r>
    </w:p>
    <w:p>
      <w:pPr>
        <w:pStyle w:val="BodyText"/>
      </w:pPr>
      <w:r>
        <w:t xml:space="preserve">O</w:t>
      </w:r>
      <w:r>
        <w:t xml:space="preserve"> </w:t>
      </w:r>
      <w:r>
        <w:rPr>
          <w:b/>
          <w:bCs/>
        </w:rPr>
        <w:t xml:space="preserve">DALY</w:t>
      </w:r>
      <w:r>
        <w:t xml:space="preserve"> </w:t>
      </w:r>
      <w:r>
        <w:t xml:space="preserve">(</w:t>
      </w:r>
      <w:r>
        <w:rPr>
          <w:i/>
          <w:iCs/>
        </w:rPr>
        <w:t xml:space="preserve">Disability-Adjusted Life Year</w:t>
      </w:r>
      <w:r>
        <w:t xml:space="preserve">), usado pela OMS, mede o oposto: anos de vida perdidos por morte prematura ou vividos com incapacidade. Uma doença que causa 3 anos de incapacidade com peso 0,5 gera</w:t>
      </w:r>
      <w:r>
        <w:t xml:space="preserve"> </w:t>
      </w:r>
      <m:oMath>
        <m:r>
          <m:t>3</m:t>
        </m:r>
        <m:r>
          <m:rPr>
            <m:sty m:val="p"/>
          </m:rPr>
          <m:t>×</m:t>
        </m:r>
        <m:r>
          <m:t>0</m:t>
        </m:r>
        <m:r>
          <m:rPr>
            <m:sty m:val="p"/>
          </m:rPr>
          <m:t>,</m:t>
        </m:r>
        <m:r>
          <m:t>5</m:t>
        </m:r>
        <m:r>
          <m:rPr>
            <m:sty m:val="p"/>
          </m:rPr>
          <m:t>=</m:t>
        </m:r>
        <m:r>
          <m:t>1</m:t>
        </m:r>
        <m:r>
          <m:rPr>
            <m:sty m:val="p"/>
          </m:rPr>
          <m:t>,</m:t>
        </m:r>
        <m:r>
          <m:t>5</m:t>
        </m:r>
      </m:oMath>
      <w:r>
        <w:t xml:space="preserve"> </w:t>
      </w:r>
      <w:r>
        <w:t xml:space="preserve">DALYs.</w:t>
      </w:r>
    </w:p>
    <w:p>
      <w:pPr>
        <w:pStyle w:val="BodyText"/>
      </w:pPr>
      <w:r>
        <w:t xml:space="preserve">A razão de custo-efetividade incremental (</w:t>
      </w:r>
      <w:r>
        <w:rPr>
          <w:b/>
          <w:bCs/>
        </w:rPr>
        <w:t xml:space="preserve">ICER</w:t>
      </w:r>
      <w:r>
        <w:t xml:space="preserve">) compara duas intervenções:</w:t>
      </w:r>
    </w:p>
    <w:p>
      <w:pPr>
        <w:pStyle w:val="BodyText"/>
      </w:pPr>
      <m:oMathPara>
        <m:oMathParaPr>
          <m:jc m:val="center"/>
        </m:oMathParaPr>
        <m:oMath>
          <m:r>
            <m:t>I</m:t>
          </m:r>
          <m:r>
            <m:t>C</m:t>
          </m:r>
          <m:r>
            <m:t>E</m:t>
          </m:r>
          <m:r>
            <m:t>R</m:t>
          </m:r>
          <m:r>
            <m:rPr>
              <m:sty m:val="p"/>
            </m:rPr>
            <m:t>=</m:t>
          </m:r>
          <m:f>
            <m:fPr>
              <m:type m:val="bar"/>
            </m:fPr>
            <m:num>
              <m:sSub>
                <m:e>
                  <m:r>
                    <m:t>C</m:t>
                  </m:r>
                </m:e>
                <m:sub>
                  <m:r>
                    <m:t>A</m:t>
                  </m:r>
                </m:sub>
              </m:sSub>
              <m:r>
                <m:rPr>
                  <m:sty m:val="p"/>
                </m:rPr>
                <m:t>−</m:t>
              </m:r>
              <m:sSub>
                <m:e>
                  <m:r>
                    <m:t>C</m:t>
                  </m:r>
                </m:e>
                <m:sub>
                  <m:r>
                    <m:t>B</m:t>
                  </m:r>
                </m:sub>
              </m:sSub>
            </m:num>
            <m:den>
              <m:sSub>
                <m:e>
                  <m:r>
                    <m:rPr>
                      <m:nor/>
                      <m:sty m:val="p"/>
                    </m:rPr>
                    <m:t>QALYs</m:t>
                  </m:r>
                </m:e>
                <m:sub>
                  <m:r>
                    <m:t>A</m:t>
                  </m:r>
                </m:sub>
              </m:sSub>
              <m:r>
                <m:rPr>
                  <m:sty m:val="p"/>
                </m:rPr>
                <m:t>−</m:t>
              </m:r>
              <m:sSub>
                <m:e>
                  <m:r>
                    <m:rPr>
                      <m:nor/>
                      <m:sty m:val="p"/>
                    </m:rPr>
                    <m:t>QALYs</m:t>
                  </m:r>
                </m:e>
                <m:sub>
                  <m:r>
                    <m:t>B</m:t>
                  </m:r>
                </m:sub>
              </m:sSub>
            </m:den>
          </m:f>
          <m:r>
            <m:rPr>
              <m:sty m:val="p"/>
            </m:rPr>
            <m:t>=</m:t>
          </m:r>
          <m:f>
            <m:fPr>
              <m:type m:val="bar"/>
            </m:fPr>
            <m:num>
              <m:r>
                <m:rPr>
                  <m:sty m:val="p"/>
                </m:rPr>
                <m:t>Δ</m:t>
              </m:r>
              <m:r>
                <m:t>C</m:t>
              </m:r>
            </m:num>
            <m:den>
              <m:r>
                <m:rPr>
                  <m:sty m:val="p"/>
                </m:rPr>
                <m:t>Δ</m:t>
              </m:r>
              <m:r>
                <m:t>E</m:t>
              </m:r>
            </m:den>
          </m:f>
        </m:oMath>
      </m:oMathPara>
    </w:p>
    <w:p>
      <w:pPr>
        <w:pStyle w:val="FirstParagraph"/>
      </w:pPr>
      <w:r>
        <w:t xml:space="preserve">Se o ICER é menor que um limiar de disposição a pagar por QALY (tipicamente 1–3× PIB per capita, segundo a OMS), a intervenção é considerada custo-efetiva.</w:t>
      </w:r>
    </w:p>
    <w:p>
      <w:pPr>
        <w:pStyle w:val="BlockText"/>
      </w:pPr>
      <w:r>
        <w:rPr>
          <w:b/>
          <w:bCs/>
        </w:rPr>
        <w:t xml:space="preserve">[INTUICAO ECONOMICA] Intuição Econômica</w:t>
      </w:r>
    </w:p>
    <w:p>
      <w:pPr>
        <w:pStyle w:val="BlockText"/>
      </w:pPr>
      <w:r>
        <w:rPr>
          <w:b/>
          <w:bCs/>
        </w:rPr>
        <w:t xml:space="preserve">Em uma frase:</w:t>
      </w:r>
      <w:r>
        <w:t xml:space="preserve"> </w:t>
      </w:r>
      <w:r>
        <w:t xml:space="preserve">QALYs permitem comparar intervenções completamente diferentes — vacinar crianças vs. tratar câncer de pulmão — usando uma métrica comum de</w:t>
      </w:r>
      <w:r>
        <w:t xml:space="preserve"> </w:t>
      </w:r>
      <w:r>
        <w:t xml:space="preserve">“saúde produzida”</w:t>
      </w:r>
      <w:r>
        <w:t xml:space="preserve">.</w:t>
      </w:r>
    </w:p>
    <w:p>
      <w:pPr>
        <w:pStyle w:val="BlockText"/>
      </w:pPr>
      <w:r>
        <w:rPr>
          <w:b/>
          <w:bCs/>
        </w:rPr>
        <w:t xml:space="preserve">Pense assim:</w:t>
      </w:r>
      <w:r>
        <w:t xml:space="preserve"> </w:t>
      </w:r>
      <w:r>
        <w:t xml:space="preserve">Suponha que você é ministro da Saúde com R$ 100 milhões para gastar. A opção A salva 100 vidas por 10 anos cada (1.000 anos de vida). A opção B salva 500 vidas por 5 anos cada, mas com qualidade 0,6 (1.500 QALYs). Sem QALYs, a comparação é impossível — com QALYs, B é melhor (1.500 &gt; 1.000). Claro, isso assume que você aceita a premissa de que qualidade de vida pode ser quantificada numa escala de 0 a 1 — premissa controversa, mas operacionalmente útil.</w:t>
      </w:r>
    </w:p>
    <w:p>
      <w:pPr>
        <w:pStyle w:val="BlockText"/>
      </w:pPr>
      <w:r>
        <w:rPr>
          <w:b/>
          <w:bCs/>
        </w:rPr>
        <w:t xml:space="preserve">Por que isso importa:</w:t>
      </w:r>
      <w:r>
        <w:t xml:space="preserve"> </w:t>
      </w:r>
      <w:r>
        <w:t xml:space="preserve">O NICE (National Institute for Health and Care Excellence) do Reino Unido usa um limiar de ~£20.000–30.000 por QALY para decidir quais medicamentos o NHS financia. Medicamentos acima desse limiar são rejeitados — uma decisão que explicita o custo de oportunidade de cada tratamento.</w:t>
      </w:r>
    </w:p>
    <w:bookmarkEnd w:id="1418"/>
    <w:bookmarkStart w:id="1419" w:name="valor-de-uma-vida-estatística-vsl"/>
    <w:p>
      <w:pPr>
        <w:pStyle w:val="Heading4"/>
      </w:pPr>
      <w:r>
        <w:t xml:space="preserve">23.6.3 Valor de uma vida estatística (VSL)</w:t>
      </w:r>
    </w:p>
    <w:p>
      <w:pPr>
        <w:pStyle w:val="FirstParagraph"/>
      </w:pPr>
      <w:r>
        <w:t xml:space="preserve">A análise custo-benefício em saúde requer, em última instância, atribuir um valor monetário à vida humana — ou, mais precisamente, a reduções marginais no risco de morte. O</w:t>
      </w:r>
      <w:r>
        <w:t xml:space="preserve"> </w:t>
      </w:r>
      <w:r>
        <w:rPr>
          <w:b/>
          <w:bCs/>
        </w:rPr>
        <w:t xml:space="preserve">valor de uma vida estatística</w:t>
      </w:r>
      <w:r>
        <w:t xml:space="preserve"> </w:t>
      </w:r>
      <w:r>
        <w:t xml:space="preserve">(VSL,</w:t>
      </w:r>
      <w:r>
        <w:t xml:space="preserve"> </w:t>
      </w:r>
      <w:r>
        <w:rPr>
          <w:i/>
          <w:iCs/>
        </w:rPr>
        <w:t xml:space="preserve">Value of a Statistical Life</w:t>
      </w:r>
      <w:r>
        <w:t xml:space="preserve">) é derivado da disposição a pagar por reduções de risco:</w:t>
      </w:r>
    </w:p>
    <w:p>
      <w:pPr>
        <w:pStyle w:val="BodyText"/>
      </w:pPr>
      <m:oMathPara>
        <m:oMathParaPr>
          <m:jc m:val="center"/>
        </m:oMathParaPr>
        <m:oMath>
          <m:r>
            <m:t>V</m:t>
          </m:r>
          <m:r>
            <m:t>S</m:t>
          </m:r>
          <m:r>
            <m:t>L</m:t>
          </m:r>
          <m:r>
            <m:rPr>
              <m:sty m:val="p"/>
            </m:rPr>
            <m:t>=</m:t>
          </m:r>
          <m:f>
            <m:fPr>
              <m:type m:val="bar"/>
            </m:fPr>
            <m:num>
              <m:r>
                <m:rPr>
                  <m:sty m:val="p"/>
                </m:rPr>
                <m:t>Δ</m:t>
              </m:r>
              <m:r>
                <m:t>W</m:t>
              </m:r>
              <m:r>
                <m:t>T</m:t>
              </m:r>
              <m:r>
                <m:t>P</m:t>
              </m:r>
            </m:num>
            <m:den>
              <m:r>
                <m:rPr>
                  <m:sty m:val="p"/>
                </m:rPr>
                <m:t>Δ</m:t>
              </m:r>
              <m:r>
                <m:rPr>
                  <m:nor/>
                  <m:sty m:val="p"/>
                </m:rPr>
                <m:t>risco</m:t>
              </m:r>
            </m:den>
          </m:f>
        </m:oMath>
      </m:oMathPara>
    </w:p>
    <w:p>
      <w:pPr>
        <w:pStyle w:val="FirstParagraph"/>
      </w:pPr>
      <w:r>
        <w:t xml:space="preserve">Se trabalhadores aceitam um emprego com risco de morte 1/10.000 maior por um adicional salarial de R$ 500/ano, o VSL implícito é:</w:t>
      </w:r>
    </w:p>
    <w:p>
      <w:pPr>
        <w:pStyle w:val="BodyText"/>
      </w:pPr>
      <m:oMathPara>
        <m:oMathParaPr>
          <m:jc m:val="center"/>
        </m:oMathParaPr>
        <m:oMath>
          <m:r>
            <m:t>V</m:t>
          </m:r>
          <m:r>
            <m:t>S</m:t>
          </m:r>
          <m:r>
            <m:t>L</m:t>
          </m:r>
          <m:r>
            <m:rPr>
              <m:sty m:val="p"/>
            </m:rPr>
            <m:t>=</m:t>
          </m:r>
          <m:f>
            <m:fPr>
              <m:type m:val="bar"/>
            </m:fPr>
            <m:num>
              <m:r>
                <m:t>500</m:t>
              </m:r>
            </m:num>
            <m:den>
              <m:r>
                <m:t>1</m:t>
              </m:r>
              <m:r>
                <m:rPr>
                  <m:sty m:val="p"/>
                </m:rPr>
                <m:t>/</m:t>
              </m:r>
              <m:r>
                <m:t>10.000</m:t>
              </m:r>
            </m:den>
          </m:f>
          <m:r>
            <m:rPr>
              <m:sty m:val="p"/>
            </m:rPr>
            <m:t>=</m:t>
          </m:r>
          <m:r>
            <m:rPr>
              <m:nor/>
              <m:sty m:val="p"/>
            </m:rPr>
            <m:t>R$</m:t>
          </m:r>
          <m:r>
            <m:t> </m:t>
          </m:r>
          <m:r>
            <m:t>5.000</m:t>
          </m:r>
          <m:r>
            <m:t>.000</m:t>
          </m:r>
        </m:oMath>
      </m:oMathPara>
    </w:p>
    <w:p>
      <w:pPr>
        <w:pStyle w:val="FirstParagraph"/>
      </w:pPr>
      <w:r>
        <w:t xml:space="preserve">A literatura empírica estima VSL entre US$ 4–10 milhões em países de alta renda (Viscusi &amp; Aldy, 2003). Em países de renda média como o Brasil, estimativas variam entre US$ 1–3 milhões.</w:t>
      </w:r>
    </w:p>
    <w:p>
      <w:pPr>
        <w:pStyle w:val="BlockText"/>
      </w:pPr>
      <w:r>
        <w:rPr>
          <w:b/>
          <w:bCs/>
        </w:rPr>
        <w:t xml:space="preserve">[ATENCAO] Cuidado</w:t>
      </w:r>
    </w:p>
    <w:p>
      <w:pPr>
        <w:pStyle w:val="BlockText"/>
      </w:pPr>
      <w:r>
        <w:t xml:space="preserve">O VSL</w:t>
      </w:r>
      <w:r>
        <w:t xml:space="preserve"> </w:t>
      </w:r>
      <w:r>
        <w:rPr>
          <w:b/>
          <w:bCs/>
        </w:rPr>
        <w:t xml:space="preserve">não</w:t>
      </w:r>
      <w:r>
        <w:t xml:space="preserve"> </w:t>
      </w:r>
      <w:r>
        <w:t xml:space="preserve">significa que</w:t>
      </w:r>
      <w:r>
        <w:t xml:space="preserve"> </w:t>
      </w:r>
      <w:r>
        <w:t xml:space="preserve">“uma vida vale X reais”</w:t>
      </w:r>
      <w:r>
        <w:t xml:space="preserve">. Significa que,</w:t>
      </w:r>
      <w:r>
        <w:t xml:space="preserve"> </w:t>
      </w:r>
      <w:r>
        <w:rPr>
          <w:i/>
          <w:iCs/>
        </w:rPr>
        <w:t xml:space="preserve">na margem</w:t>
      </w:r>
      <w:r>
        <w:t xml:space="preserve">, as pessoas revelam estar dispostas a pagar X para reduzir em 1 unidade o risco estatístico de morte. É uma medida de preferências reveladas, não uma declaração ética sobre o valor intrínseco da vida. Mas como depende da renda (ricos podem pagar mais por segurança), o VSL levanta questões sérias de equidade — o VSL dos ricos é maior, mas suas vidas não</w:t>
      </w:r>
      <w:r>
        <w:t xml:space="preserve"> </w:t>
      </w:r>
      <w:r>
        <w:t xml:space="preserve">“valem mais”</w:t>
      </w:r>
      <w:r>
        <w:t xml:space="preserve">.</w:t>
      </w:r>
    </w:p>
    <w:p>
      <w:pPr>
        <w:pStyle w:val="BlockText"/>
      </w:pPr>
      <w:r>
        <w:rPr>
          <w:b/>
          <w:bCs/>
        </w:rPr>
        <w:t xml:space="preserve">[EXERCICIO RESOLVIDO] Exercício Resolvido 23.3 — QALYs e decisão de investimento</w:t>
      </w:r>
    </w:p>
    <w:p>
      <w:pPr>
        <w:pStyle w:val="BlockText"/>
      </w:pPr>
      <w:r>
        <w:rPr>
          <w:b/>
          <w:bCs/>
        </w:rPr>
        <w:t xml:space="preserve">Problema:</w:t>
      </w:r>
      <w:r>
        <w:t xml:space="preserve"> </w:t>
      </w:r>
      <w:r>
        <w:t xml:space="preserve">O governo avalia duas campanhas de saúde pública:</w:t>
      </w:r>
    </w:p>
    <w:p>
      <w:pPr>
        <w:pStyle w:val="Compact"/>
        <w:numPr>
          <w:ilvl w:val="0"/>
          <w:numId w:val="2262"/>
        </w:numPr>
      </w:pPr>
      <w:r>
        <w:rPr>
          <w:b/>
          <w:bCs/>
        </w:rPr>
        <w:t xml:space="preserve">Campanha A</w:t>
      </w:r>
      <w:r>
        <w:t xml:space="preserve"> </w:t>
      </w:r>
      <w:r>
        <w:t xml:space="preserve">(rastreamento de câncer): custa R$ 50 milhões e gera 5.000 QALYs.</w:t>
      </w:r>
    </w:p>
    <w:p>
      <w:pPr>
        <w:pStyle w:val="Compact"/>
        <w:numPr>
          <w:ilvl w:val="0"/>
          <w:numId w:val="2262"/>
        </w:numPr>
      </w:pPr>
      <w:r>
        <w:rPr>
          <w:b/>
          <w:bCs/>
        </w:rPr>
        <w:t xml:space="preserve">Campanha B</w:t>
      </w:r>
      <w:r>
        <w:t xml:space="preserve"> </w:t>
      </w:r>
      <w:r>
        <w:t xml:space="preserve">(vacinação infantil): custa R$ 10 milhões e gera 8.000 QALYs.</w:t>
      </w:r>
    </w:p>
    <w:p>
      <w:pPr>
        <w:pStyle w:val="BlockText"/>
        <w:numPr>
          <w:ilvl w:val="0"/>
          <w:numId w:val="2263"/>
        </w:numPr>
      </w:pPr>
      <w:r>
        <w:t xml:space="preserve">Calcule o ICER de cada campanha em relação a</w:t>
      </w:r>
      <w:r>
        <w:t xml:space="preserve"> </w:t>
      </w:r>
      <w:r>
        <w:t xml:space="preserve">“não fazer nada”</w:t>
      </w:r>
      <w:r>
        <w:t xml:space="preserve">.</w:t>
      </w:r>
    </w:p>
    <w:p>
      <w:pPr>
        <w:pStyle w:val="BlockText"/>
        <w:numPr>
          <w:ilvl w:val="0"/>
          <w:numId w:val="2263"/>
        </w:numPr>
      </w:pPr>
      <w:r>
        <w:t xml:space="preserve">Se o limiar de custo-efetividade é R$ 50.000/QALY, quais campanhas são custo-efetivas?</w:t>
      </w:r>
    </w:p>
    <w:p>
      <w:pPr>
        <w:pStyle w:val="BlockText"/>
        <w:numPr>
          <w:ilvl w:val="0"/>
          <w:numId w:val="2263"/>
        </w:numPr>
      </w:pPr>
      <w:r>
        <w:t xml:space="preserve">Com orçamento de R$ 50 milhões, qual a alocação que maximiza QALYs?</w:t>
      </w:r>
    </w:p>
    <w:p>
      <w:pPr>
        <w:pStyle w:val="BlockText"/>
      </w:pPr>
      <w:r>
        <w:rPr>
          <w:b/>
          <w:bCs/>
        </w:rPr>
        <w:t xml:space="preserve">Solução:</w:t>
      </w:r>
    </w:p>
    <w:p>
      <w:pPr>
        <w:pStyle w:val="BlockText"/>
      </w:pPr>
      <w:r>
        <w:rPr>
          <w:b/>
          <w:bCs/>
        </w:rPr>
        <w:t xml:space="preserve">(a)</w:t>
      </w:r>
      <w:r>
        <w:t xml:space="preserve"> </w:t>
      </w:r>
      <w:r>
        <w:t xml:space="preserve">Em relação a</w:t>
      </w:r>
      <w:r>
        <w:t xml:space="preserve"> </w:t>
      </w:r>
      <w:r>
        <w:t xml:space="preserve">“não fazer nada”</w:t>
      </w:r>
      <w:r>
        <w:t xml:space="preserve"> </w:t>
      </w:r>
      <w:r>
        <w:t xml:space="preserve">(custo = 0, QALYs = 0):</w:t>
      </w:r>
    </w:p>
    <w:p>
      <w:pPr>
        <w:pStyle w:val="BlockText"/>
      </w:pPr>
      <w:r>
        <w:t xml:space="preserve">$$</w:t>
      </w:r>
    </w:p>
    <w:p>
      <w:pPr>
        <w:pStyle w:val="BlockText"/>
      </w:pPr>
      <w:r>
        <w:t xml:space="preserve">ICER_A =</w:t>
      </w:r>
      <w:r>
        <w:t xml:space="preserve"> </w:t>
      </w:r>
      <w:r>
        <w:t xml:space="preserve"> </w:t>
      </w:r>
      <w:r>
        <w:t xml:space="preserve">=</w:t>
      </w:r>
      <w:r>
        <w:t xml:space="preserve"> </w:t>
      </w:r>
      <w:r>
        <w:t xml:space="preserve">;10.000/</w:t>
      </w:r>
    </w:p>
    <w:p>
      <w:pPr>
        <w:pStyle w:val="BlockText"/>
      </w:pPr>
      <w:r>
        <w:t xml:space="preserve">$$</w:t>
      </w:r>
    </w:p>
    <w:p>
      <w:pPr>
        <w:pStyle w:val="BlockText"/>
      </w:pPr>
      <w:r>
        <w:t xml:space="preserve">$$</w:t>
      </w:r>
    </w:p>
    <w:p>
      <w:pPr>
        <w:pStyle w:val="BlockText"/>
      </w:pPr>
      <w:r>
        <w:t xml:space="preserve">ICER_B =</w:t>
      </w:r>
      <w:r>
        <w:t xml:space="preserve"> </w:t>
      </w:r>
      <w:r>
        <w:t xml:space="preserve"> </w:t>
      </w:r>
      <w:r>
        <w:t xml:space="preserve">=</w:t>
      </w:r>
      <w:r>
        <w:t xml:space="preserve"> </w:t>
      </w:r>
      <w:r>
        <w:t xml:space="preserve">;1.250/</w:t>
      </w:r>
    </w:p>
    <w:p>
      <w:pPr>
        <w:pStyle w:val="BlockText"/>
      </w:pPr>
      <w:r>
        <w:t xml:space="preserve">$$</w:t>
      </w:r>
    </w:p>
    <w:p>
      <w:pPr>
        <w:pStyle w:val="BlockText"/>
      </w:pPr>
      <w:r>
        <w:rPr>
          <w:b/>
          <w:bCs/>
        </w:rPr>
        <w:t xml:space="preserve">(b)</w:t>
      </w:r>
      <w:r>
        <w:t xml:space="preserve"> </w:t>
      </w:r>
      <w:r>
        <w:t xml:space="preserve">Ambas estão abaixo do limiar de R$ 50.000/QALY: A (R$ 10.000) e B (R$ 1.250). Ambas são custo-efetivas.</w:t>
      </w:r>
    </w:p>
    <w:p>
      <w:pPr>
        <w:pStyle w:val="BlockText"/>
      </w:pPr>
      <w:r>
        <w:rPr>
          <w:b/>
          <w:bCs/>
        </w:rPr>
        <w:t xml:space="preserve">(c)</w:t>
      </w:r>
      <w:r>
        <w:t xml:space="preserve"> </w:t>
      </w:r>
      <w:r>
        <w:t xml:space="preserve">Com R$ 50 milhões:</w:t>
      </w:r>
    </w:p>
    <w:p>
      <w:pPr>
        <w:pStyle w:val="Compact"/>
        <w:numPr>
          <w:ilvl w:val="0"/>
          <w:numId w:val="2264"/>
        </w:numPr>
      </w:pPr>
      <w:r>
        <w:t xml:space="preserve">Só A: 5.000 QALYs (gasta tudo).</w:t>
      </w:r>
    </w:p>
    <w:p>
      <w:pPr>
        <w:pStyle w:val="Compact"/>
        <w:numPr>
          <w:ilvl w:val="0"/>
          <w:numId w:val="2264"/>
        </w:numPr>
      </w:pPr>
      <w:r>
        <w:t xml:space="preserve">Só B:</w:t>
      </w:r>
      <w:r>
        <w:t xml:space="preserve"> </w:t>
      </w:r>
      <m:oMath>
        <m:r>
          <m:t>50.000</m:t>
        </m:r>
        <m:r>
          <m:t>.000</m:t>
        </m:r>
        <m:r>
          <m:rPr>
            <m:sty m:val="p"/>
          </m:rPr>
          <m:t>/</m:t>
        </m:r>
        <m:r>
          <m:t>10.000</m:t>
        </m:r>
        <m:r>
          <m:t>.000</m:t>
        </m:r>
        <m:r>
          <m:rPr>
            <m:sty m:val="p"/>
          </m:rPr>
          <m:t>=</m:t>
        </m:r>
        <m:r>
          <m:t>5</m:t>
        </m:r>
      </m:oMath>
      <w:r>
        <w:t xml:space="preserve"> </w:t>
      </w:r>
      <w:r>
        <w:t xml:space="preserve">campanhas B = 40.000 QALYs.</w:t>
      </w:r>
    </w:p>
    <w:p>
      <w:pPr>
        <w:pStyle w:val="Compact"/>
        <w:numPr>
          <w:ilvl w:val="0"/>
          <w:numId w:val="2264"/>
        </w:numPr>
      </w:pPr>
      <w:r>
        <w:t xml:space="preserve">B primeiro + A com o resto: 1 campanha B (R$ 10 mi, 8.000 QALYs) + A (R$ 40 mi… mas A custa R$ 50 mi). Não cabe.</w:t>
      </w:r>
    </w:p>
    <w:p>
      <w:pPr>
        <w:pStyle w:val="Compact"/>
        <w:numPr>
          <w:ilvl w:val="0"/>
          <w:numId w:val="2264"/>
        </w:numPr>
      </w:pPr>
      <w:r>
        <w:t xml:space="preserve">Alocar tudo em B: R$ 50 mi → 5 × B = 40.000 QALYs.</w:t>
      </w:r>
      <w:r>
        <w:t xml:space="preserve"> </w:t>
      </w:r>
      <w:r>
        <w:rPr>
          <w:b/>
          <w:bCs/>
        </w:rPr>
        <w:t xml:space="preserve">Maximiza QALYs.</w:t>
      </w:r>
    </w:p>
    <w:p>
      <w:pPr>
        <w:pStyle w:val="BlockText"/>
      </w:pPr>
      <w:r>
        <w:rPr>
          <w:b/>
          <w:bCs/>
        </w:rPr>
        <w:t xml:space="preserve">Lição:</w:t>
      </w:r>
      <w:r>
        <w:t xml:space="preserve"> </w:t>
      </w:r>
      <w:r>
        <w:t xml:space="preserve">Mesmo com ambas as campanhas sendo custo-efetivas, com orçamento limitado a alocação ótima prioriza a intervenção com</w:t>
      </w:r>
      <w:r>
        <w:t xml:space="preserve"> </w:t>
      </w:r>
      <w:r>
        <w:rPr>
          <w:i/>
          <w:iCs/>
        </w:rPr>
        <w:t xml:space="preserve">menor</w:t>
      </w:r>
      <w:r>
        <w:t xml:space="preserve"> </w:t>
      </w:r>
      <w:r>
        <w:t xml:space="preserve">ICER — exatamente como a regra de razão benefício-custo na análise de projetos (Capítulo 20).</w:t>
      </w:r>
    </w:p>
    <w:bookmarkEnd w:id="1419"/>
    <w:bookmarkStart w:id="1420" w:name="Xb1729e97fc545955112758c16edc5ba9f415ac9"/>
    <w:p>
      <w:pPr>
        <w:pStyle w:val="Heading4"/>
      </w:pPr>
      <w:r>
        <w:t xml:space="preserve">23.6.4 Externalidades em saúde: vacinação e doenças contagiosas</w:t>
      </w:r>
    </w:p>
    <w:p>
      <w:pPr>
        <w:pStyle w:val="FirstParagraph"/>
      </w:pPr>
      <w:r>
        <w:t xml:space="preserve">A vacinação é o caso mais limpo de</w:t>
      </w:r>
      <w:r>
        <w:t xml:space="preserve"> </w:t>
      </w:r>
      <w:r>
        <w:rPr>
          <w:b/>
          <w:bCs/>
        </w:rPr>
        <w:t xml:space="preserve">externalidade positiva</w:t>
      </w:r>
      <w:r>
        <w:t xml:space="preserve"> </w:t>
      </w:r>
      <w:r>
        <w:t xml:space="preserve">em economia da saúde — e, convenientemente, o mais quantificável. Quando um indivíduo se vacina, ele se protege (benefício privado)</w:t>
      </w:r>
      <w:r>
        <w:t xml:space="preserve"> </w:t>
      </w:r>
      <w:r>
        <w:rPr>
          <w:i/>
          <w:iCs/>
        </w:rPr>
        <w:t xml:space="preserve">e</w:t>
      </w:r>
      <w:r>
        <w:t xml:space="preserve"> </w:t>
      </w:r>
      <w:r>
        <w:t xml:space="preserve">reduz a probabilidade de transmitir a doença para outros (benefício externo).</w:t>
      </w:r>
    </w:p>
    <w:p>
      <w:pPr>
        <w:pStyle w:val="BodyText"/>
      </w:pPr>
      <w:r>
        <w:t xml:space="preserve">O</w:t>
      </w:r>
      <w:r>
        <w:t xml:space="preserve"> </w:t>
      </w:r>
      <w:r>
        <w:rPr>
          <w:b/>
          <w:bCs/>
        </w:rPr>
        <w:t xml:space="preserve">número básico de reprodução</w:t>
      </w:r>
      <w:r>
        <w:t xml:space="preserve"> </w:t>
      </w:r>
      <m:oMath>
        <m:sSub>
          <m:e>
            <m:r>
              <m:t>R</m:t>
            </m:r>
          </m:e>
          <m:sub>
            <m:r>
              <m:t>0</m:t>
            </m:r>
          </m:sub>
        </m:sSub>
      </m:oMath>
      <w:r>
        <w:t xml:space="preserve"> </w:t>
      </w:r>
      <w:r>
        <w:t xml:space="preserve">de uma doença é o número médio de pessoas que um infectado contagia numa população totalmente suscetível. Se a fração vacinada (e efetivamente imunizada) é</w:t>
      </w:r>
      <w:r>
        <w:t xml:space="preserve"> </w:t>
      </w:r>
      <m:oMath>
        <m:r>
          <m:t>v</m:t>
        </m:r>
      </m:oMath>
      <w:r>
        <w:t xml:space="preserve">, o número efetivo de reprodução é:</w:t>
      </w:r>
    </w:p>
    <w:p>
      <w:pPr>
        <w:pStyle w:val="BodyText"/>
      </w:pPr>
      <m:oMathPara>
        <m:oMathParaPr>
          <m:jc m:val="center"/>
        </m:oMathParaPr>
        <m:oMath>
          <m:sSub>
            <m:e>
              <m:r>
                <m:t>R</m:t>
              </m:r>
            </m:e>
            <m:sub>
              <m:r>
                <m:t>e</m:t>
              </m:r>
            </m:sub>
          </m:sSub>
          <m:r>
            <m:rPr>
              <m:sty m:val="p"/>
            </m:rPr>
            <m:t>=</m:t>
          </m:r>
          <m:sSub>
            <m:e>
              <m:r>
                <m:t>R</m:t>
              </m:r>
            </m:e>
            <m:sub>
              <m:r>
                <m:t>0</m:t>
              </m:r>
            </m:sub>
          </m:sSub>
          <m:r>
            <m:rPr>
              <m:sty m:val="p"/>
            </m:rPr>
            <m:t>⋅</m:t>
          </m:r>
          <m:r>
            <m:rPr>
              <m:sty m:val="p"/>
            </m:rPr>
            <m:t>(</m:t>
          </m:r>
          <m:r>
            <m:t>1</m:t>
          </m:r>
          <m:r>
            <m:rPr>
              <m:sty m:val="p"/>
            </m:rPr>
            <m:t>−</m:t>
          </m:r>
          <m:r>
            <m:t>v</m:t>
          </m:r>
          <m:r>
            <m:rPr>
              <m:sty m:val="p"/>
            </m:rPr>
            <m:t>)</m:t>
          </m:r>
        </m:oMath>
      </m:oMathPara>
    </w:p>
    <w:p>
      <w:pPr>
        <w:pStyle w:val="FirstParagraph"/>
      </w:pPr>
      <w:r>
        <w:t xml:space="preserve">A epidemia é controlada quando</w:t>
      </w:r>
      <w:r>
        <w:t xml:space="preserve"> </w:t>
      </w:r>
      <m:oMath>
        <m:sSub>
          <m:e>
            <m:r>
              <m:t>R</m:t>
            </m:r>
          </m:e>
          <m:sub>
            <m:r>
              <m:t>e</m:t>
            </m:r>
          </m:sub>
        </m:sSub>
        <m:r>
          <m:rPr>
            <m:sty m:val="p"/>
          </m:rPr>
          <m:t>&lt;</m:t>
        </m:r>
        <m:r>
          <m:t>1</m:t>
        </m:r>
      </m:oMath>
      <w:r>
        <w:t xml:space="preserve">, ou seja:</w:t>
      </w:r>
    </w:p>
    <w:p>
      <w:pPr>
        <w:pStyle w:val="BodyText"/>
      </w:pPr>
      <m:oMathPara>
        <m:oMathParaPr>
          <m:jc m:val="center"/>
        </m:oMathParaPr>
        <m:oMath>
          <m:r>
            <m:t>v</m:t>
          </m:r>
          <m:r>
            <m:rPr>
              <m:sty m:val="p"/>
            </m:rPr>
            <m:t>&gt;</m:t>
          </m:r>
          <m:r>
            <m:t>1</m:t>
          </m:r>
          <m:r>
            <m:rPr>
              <m:sty m:val="p"/>
            </m:rPr>
            <m:t>−</m:t>
          </m:r>
          <m:f>
            <m:fPr>
              <m:type m:val="bar"/>
            </m:fPr>
            <m:num>
              <m:r>
                <m:t>1</m:t>
              </m:r>
            </m:num>
            <m:den>
              <m:sSub>
                <m:e>
                  <m:r>
                    <m:t>R</m:t>
                  </m:r>
                </m:e>
                <m:sub>
                  <m:r>
                    <m:t>0</m:t>
                  </m:r>
                </m:sub>
              </m:sSub>
            </m:den>
          </m:f>
          <m:r>
            <m:rPr>
              <m:sty m:val="p"/>
            </m:rPr>
            <m:t>≡</m:t>
          </m:r>
          <m:sSup>
            <m:e>
              <m:r>
                <m:t>v</m:t>
              </m:r>
            </m:e>
            <m:sup>
              <m:r>
                <m:rPr>
                  <m:sty m:val="p"/>
                </m:rPr>
                <m:t>*</m:t>
              </m:r>
            </m:sup>
          </m:sSup>
        </m:oMath>
      </m:oMathPara>
    </w:p>
    <w:p>
      <w:pPr>
        <w:pStyle w:val="FirstParagraph"/>
      </w:pPr>
      <w:r>
        <w:t xml:space="preserve">O limiar</w:t>
      </w:r>
      <w:r>
        <w:t xml:space="preserve"> </w:t>
      </w:r>
      <m:oMath>
        <m:sSup>
          <m:e>
            <m:r>
              <m:t>v</m:t>
            </m:r>
          </m:e>
          <m:sup>
            <m:r>
              <m:rPr>
                <m:sty m:val="p"/>
              </m:rPr>
              <m:t>*</m:t>
            </m:r>
          </m:sup>
        </m:sSup>
      </m:oMath>
      <w:r>
        <w:t xml:space="preserve"> </w:t>
      </w:r>
      <w:r>
        <w:t xml:space="preserve">é a</w:t>
      </w:r>
      <w:r>
        <w:t xml:space="preserve"> </w:t>
      </w:r>
      <w:r>
        <w:rPr>
          <w:b/>
          <w:bCs/>
        </w:rPr>
        <w:t xml:space="preserve">fração de imunidade de rebanho</w:t>
      </w:r>
      <w:r>
        <w:t xml:space="preserve">. Para sarampo (</w:t>
      </w:r>
      <m:oMath>
        <m:sSub>
          <m:e>
            <m:r>
              <m:t>R</m:t>
            </m:r>
          </m:e>
          <m:sub>
            <m:r>
              <m:t>0</m:t>
            </m:r>
          </m:sub>
        </m:sSub>
        <m:r>
          <m:rPr>
            <m:sty m:val="p"/>
          </m:rPr>
          <m:t>≈</m:t>
        </m:r>
        <m:r>
          <m:t>12</m:t>
        </m:r>
        <m:r>
          <m:t>​</m:t>
        </m:r>
        <m:r>
          <m:rPr>
            <m:sty m:val="p"/>
          </m:rPr>
          <m:t>−</m:t>
        </m:r>
        <m:r>
          <m:t>​</m:t>
        </m:r>
        <m:r>
          <m:t>18</m:t>
        </m:r>
      </m:oMath>
      <w:r>
        <w:t xml:space="preserve">),</w:t>
      </w:r>
      <w:r>
        <w:t xml:space="preserve"> </w:t>
      </w:r>
      <m:oMath>
        <m:sSup>
          <m:e>
            <m:r>
              <m:t>v</m:t>
            </m:r>
          </m:e>
          <m:sup>
            <m:r>
              <m:rPr>
                <m:sty m:val="p"/>
              </m:rPr>
              <m:t>*</m:t>
            </m:r>
          </m:sup>
        </m:sSup>
        <m:r>
          <m:rPr>
            <m:sty m:val="p"/>
          </m:rPr>
          <m:t>≈</m:t>
        </m:r>
        <m:r>
          <m:t>92</m:t>
        </m:r>
        <m:r>
          <m:t>​</m:t>
        </m:r>
        <m:r>
          <m:rPr>
            <m:sty m:val="p"/>
          </m:rPr>
          <m:t>−</m:t>
        </m:r>
        <m:r>
          <m:t>​</m:t>
        </m:r>
        <m:r>
          <m:t>94</m:t>
        </m:r>
        <m:r>
          <m:rPr>
            <m:sty m:val="p"/>
          </m:rPr>
          <m:t>%</m:t>
        </m:r>
      </m:oMath>
      <w:r>
        <w:t xml:space="preserve">. Para COVID-19 com a variante original (</w:t>
      </w:r>
      <m:oMath>
        <m:sSub>
          <m:e>
            <m:r>
              <m:t>R</m:t>
            </m:r>
          </m:e>
          <m:sub>
            <m:r>
              <m:t>0</m:t>
            </m:r>
          </m:sub>
        </m:sSub>
        <m:r>
          <m:rPr>
            <m:sty m:val="p"/>
          </m:rPr>
          <m:t>≈</m:t>
        </m:r>
        <m:r>
          <m:t>2</m:t>
        </m:r>
        <m:r>
          <m:rPr>
            <m:sty m:val="p"/>
          </m:rPr>
          <m:t>,</m:t>
        </m:r>
        <m:r>
          <m:t>5</m:t>
        </m:r>
      </m:oMath>
      <w:r>
        <w:t xml:space="preserve">),</w:t>
      </w:r>
      <w:r>
        <w:t xml:space="preserve"> </w:t>
      </w:r>
      <m:oMath>
        <m:sSup>
          <m:e>
            <m:r>
              <m:t>v</m:t>
            </m:r>
          </m:e>
          <m:sup>
            <m:r>
              <m:rPr>
                <m:sty m:val="p"/>
              </m:rPr>
              <m:t>*</m:t>
            </m:r>
          </m:sup>
        </m:sSup>
        <m:r>
          <m:rPr>
            <m:sty m:val="p"/>
          </m:rPr>
          <m:t>≈</m:t>
        </m:r>
        <m:r>
          <m:t>60</m:t>
        </m:r>
        <m:r>
          <m:rPr>
            <m:sty m:val="p"/>
          </m:rPr>
          <m:t>%</m:t>
        </m:r>
      </m:oMath>
      <w:r>
        <w:t xml:space="preserve">.</w:t>
      </w:r>
    </w:p>
    <w:p>
      <w:pPr>
        <w:pStyle w:val="BodyText"/>
      </w:pPr>
      <w:r>
        <w:t xml:space="preserve">O problema de ação coletiva é claro: o indivíduo compara benefício privado com custo privado, ignorando o benefício externo. Se o custo da vacina</w:t>
      </w:r>
      <w:r>
        <w:t xml:space="preserve"> </w:t>
      </w:r>
      <m:oMath>
        <m:r>
          <m:t>c</m:t>
        </m:r>
      </m:oMath>
      <w:r>
        <w:t xml:space="preserve"> </w:t>
      </w:r>
      <w:r>
        <w:t xml:space="preserve">excede o benefício privado</w:t>
      </w:r>
      <w:r>
        <w:t xml:space="preserve"> </w:t>
      </w:r>
      <m:oMath>
        <m:sSub>
          <m:e>
            <m:r>
              <m:t>B</m:t>
            </m:r>
          </m:e>
          <m:sub>
            <m:r>
              <m:t>p</m:t>
            </m:r>
          </m:sub>
        </m:sSub>
      </m:oMath>
      <w:r>
        <w:t xml:space="preserve">, mas é menor que o benefício social</w:t>
      </w:r>
      <w:r>
        <w:t xml:space="preserve"> </w:t>
      </w:r>
      <m:oMath>
        <m:sSub>
          <m:e>
            <m:r>
              <m:t>B</m:t>
            </m:r>
          </m:e>
          <m:sub>
            <m:r>
              <m:t>p</m:t>
            </m:r>
          </m:sub>
        </m:sSub>
        <m:r>
          <m:rPr>
            <m:sty m:val="p"/>
          </m:rPr>
          <m:t>+</m:t>
        </m:r>
        <m:sSub>
          <m:e>
            <m:r>
              <m:t>B</m:t>
            </m:r>
          </m:e>
          <m:sub>
            <m:r>
              <m:t>e</m:t>
            </m:r>
          </m:sub>
        </m:sSub>
      </m:oMath>
      <w:r>
        <w:t xml:space="preserve">, o mercado subproduz vacinação:</w:t>
      </w:r>
    </w:p>
    <w:p>
      <w:pPr>
        <w:pStyle w:val="BodyText"/>
      </w:pPr>
      <w:r>
        <w:t xml:space="preserve">$$
    B_p &lt; c &lt; B_p + B_e \tag{23.21}
    $$</w:t>
      </w:r>
    </w:p>
    <w:p>
      <w:pPr>
        <w:pStyle w:val="FirstParagraph"/>
      </w:pPr>
      <w:r>
        <w:t xml:space="preserve">A solução pigouviana (Capítulo 20) é um subsídio igual ao benefício externo:</w:t>
      </w:r>
    </w:p>
    <w:p>
      <w:pPr>
        <w:pStyle w:val="BodyText"/>
      </w:pPr>
      <w:r>
        <w:t xml:space="preserve">$$
    s^* = B_e \tag{23.22}
    $$</w:t>
      </w:r>
    </w:p>
    <w:p>
      <w:pPr>
        <w:pStyle w:val="FirstParagraph"/>
      </w:pPr>
      <w:r>
        <w:t xml:space="preserve">Com o subsídio, o custo efetivo para o indivíduo cai para</w:t>
      </w:r>
      <w:r>
        <w:t xml:space="preserve"> </w:t>
      </w:r>
      <m:oMath>
        <m:r>
          <m:t>c</m:t>
        </m:r>
        <m:r>
          <m:rPr>
            <m:sty m:val="p"/>
          </m:rPr>
          <m:t>−</m:t>
        </m:r>
        <m:sSup>
          <m:e>
            <m:r>
              <m:t>s</m:t>
            </m:r>
          </m:e>
          <m:sup>
            <m:r>
              <m:rPr>
                <m:sty m:val="p"/>
              </m:rPr>
              <m:t>*</m:t>
            </m:r>
          </m:sup>
        </m:sSup>
        <m:r>
          <m:rPr>
            <m:sty m:val="p"/>
          </m:rPr>
          <m:t>=</m:t>
        </m:r>
        <m:r>
          <m:t>c</m:t>
        </m:r>
        <m:r>
          <m:rPr>
            <m:sty m:val="p"/>
          </m:rPr>
          <m:t>−</m:t>
        </m:r>
        <m:sSub>
          <m:e>
            <m:r>
              <m:t>B</m:t>
            </m:r>
          </m:e>
          <m:sub>
            <m:r>
              <m:t>e</m:t>
            </m:r>
          </m:sub>
        </m:sSub>
        <m:r>
          <m:rPr>
            <m:sty m:val="p"/>
          </m:rPr>
          <m:t>&lt;</m:t>
        </m:r>
        <m:sSub>
          <m:e>
            <m:r>
              <m:t>B</m:t>
            </m:r>
          </m:e>
          <m:sub>
            <m:r>
              <m:t>p</m:t>
            </m:r>
          </m:sub>
        </m:sSub>
      </m:oMath>
      <w:r>
        <w:t xml:space="preserve">, e a vacinação voluntária atinge o nível socialmente ótimo. Na prática, muitos países vão além do subsídio e tornam a vacinação obrigatória — uma solução mais simples administrativamente, embora mais controversa em termos de liberdade individual.</w:t>
      </w:r>
    </w:p>
    <w:p>
      <w:pPr>
        <w:pStyle w:val="BlockText"/>
      </w:pPr>
      <w:r>
        <w:rPr>
          <w:b/>
          <w:bCs/>
        </w:rPr>
        <w:t xml:space="preserve">[BOX BRASIL] Box Brasil 23.3 — O PNI e a hesitação vacinal</w:t>
      </w:r>
    </w:p>
    <w:p>
      <w:pPr>
        <w:pStyle w:val="BlockText"/>
      </w:pPr>
      <w:r>
        <w:t xml:space="preserve">O</w:t>
      </w:r>
      <w:r>
        <w:t xml:space="preserve"> </w:t>
      </w:r>
      <w:r>
        <w:rPr>
          <w:b/>
          <w:bCs/>
        </w:rPr>
        <w:t xml:space="preserve">Programa Nacional de Imunizações</w:t>
      </w:r>
      <w:r>
        <w:t xml:space="preserve"> </w:t>
      </w:r>
      <w:r>
        <w:t xml:space="preserve">(PNI), criado em 1973, é uma das histórias de sucesso mais impressionantes da saúde pública brasileira. O Brasil erradicou a varíola (1971), a poliomielite (1989) e eliminou o sarampo endêmico (2016 — reintroduzido em 2018 por queda da cobertura).</w:t>
      </w:r>
    </w:p>
    <w:p>
      <w:pPr>
        <w:pStyle w:val="BlockText"/>
      </w:pPr>
      <w:r>
        <w:t xml:space="preserve">Mas a cobertura vacinal caiu dramaticamente na década de 2020: a cobertura da tríplice viral (sarampo/caxumba/rubéola) despencou de ~96% em 2015 para ~80% em 2021 — abaixo do limiar de imunidade de rebanho. As causas são múltiplas: desinformação em redes sociais, crise de confiança institucional, dificuldade de acesso em áreas remotas e</w:t>
      </w:r>
      <w:r>
        <w:t xml:space="preserve"> </w:t>
      </w:r>
      <w:r>
        <w:t xml:space="preserve">“fadiga vacinal”</w:t>
      </w:r>
      <w:r>
        <w:t xml:space="preserve"> </w:t>
      </w:r>
      <w:r>
        <w:t xml:space="preserve">após décadas de sucesso (que fez as doenças parecerem irrelevantes).</w:t>
      </w:r>
    </w:p>
    <w:p>
      <w:pPr>
        <w:pStyle w:val="BlockText"/>
      </w:pPr>
      <w:r>
        <w:t xml:space="preserve">A análise econômica é direta: a vacinação tem ICER extremamente favorável (frequentemente</w:t>
      </w:r>
      <w:r>
        <w:t xml:space="preserve"> </w:t>
      </w:r>
      <w:r>
        <w:rPr>
          <w:i/>
          <w:iCs/>
        </w:rPr>
        <w:t xml:space="preserve">cost-saving</w:t>
      </w:r>
      <w:r>
        <w:t xml:space="preserve"> </w:t>
      </w:r>
      <w:r>
        <w:t xml:space="preserve">— economiza mais do que custa, ao evitar tratamentos caros). O retorno sobre investimento do PNI é estimado em 10:1 a 44:1, dependendo da vacina (Ministério da Saúde, 2024). A queda da cobertura é, em termos microeconômicos, um caso de</w:t>
      </w:r>
      <w:r>
        <w:t xml:space="preserve"> </w:t>
      </w:r>
      <w:r>
        <w:rPr>
          <w:b/>
          <w:bCs/>
        </w:rPr>
        <w:t xml:space="preserve">free-riding</w:t>
      </w:r>
      <w:r>
        <w:t xml:space="preserve"> </w:t>
      </w:r>
      <w:r>
        <w:t xml:space="preserve">em bens públicos (Capítulo 20): quando a maioria está vacinada, o benefício privado marginal da vacina cai (a doença é rara), mas o benefício social permanece alto.</w:t>
      </w:r>
    </w:p>
    <w:bookmarkEnd w:id="1420"/>
    <w:bookmarkEnd w:id="1421"/>
    <w:bookmarkStart w:id="1427" w:name="Xc331613a26f366446dd2bb9297a8b4104e340d5"/>
    <w:p>
      <w:pPr>
        <w:pStyle w:val="Heading3"/>
      </w:pPr>
      <w:r>
        <w:t xml:space="preserve">23.7 Regulação Farmacêutica e Acesso a Medicamentos</w:t>
      </w:r>
    </w:p>
    <w:bookmarkStart w:id="1422" w:name="o-dilema-preço-acesso-inovação"/>
    <w:p>
      <w:pPr>
        <w:pStyle w:val="Heading4"/>
      </w:pPr>
      <w:r>
        <w:t xml:space="preserve">23.7.1 O dilema preço-acesso-inovação</w:t>
      </w:r>
    </w:p>
    <w:p>
      <w:pPr>
        <w:pStyle w:val="FirstParagraph"/>
      </w:pPr>
      <w:r>
        <w:t xml:space="preserve">Na Seção 23.3.3, vimos que a indústria farmacêutica opera sob uma lógica de monopólio temporário: patentes garantem exclusividade por 20 anos para financiar P&amp;D, mas durante a vigência o preço excede o custo marginal — restringindo o acesso. A regulação farmacêutica busca mitigar esse trade-off sem destruir o incentivo à inovação.</w:t>
      </w:r>
    </w:p>
    <w:p>
      <w:pPr>
        <w:pStyle w:val="BodyText"/>
      </w:pPr>
      <w:r>
        <w:t xml:space="preserve">O problema pode ser formalizado como um dilema de três vértices:</w:t>
      </w:r>
    </w:p>
    <w:p>
      <w:pPr>
        <w:pStyle w:val="Compact"/>
        <w:numPr>
          <w:ilvl w:val="0"/>
          <w:numId w:val="2265"/>
        </w:numPr>
      </w:pPr>
      <w:r>
        <w:rPr>
          <w:b/>
          <w:bCs/>
        </w:rPr>
        <w:t xml:space="preserve">Inovação</w:t>
      </w:r>
      <w:r>
        <w:t xml:space="preserve">: requer expectativa de lucro monopolista (patentes longas, preços livres).</w:t>
      </w:r>
    </w:p>
    <w:p>
      <w:pPr>
        <w:pStyle w:val="Compact"/>
        <w:numPr>
          <w:ilvl w:val="0"/>
          <w:numId w:val="2265"/>
        </w:numPr>
      </w:pPr>
      <w:r>
        <w:rPr>
          <w:b/>
          <w:bCs/>
        </w:rPr>
        <w:t xml:space="preserve">Acesso</w:t>
      </w:r>
      <w:r>
        <w:t xml:space="preserve">: requer preços próximos ao custo marginal (patentes curtas ou inexistentes, regulação de preços).</w:t>
      </w:r>
    </w:p>
    <w:p>
      <w:pPr>
        <w:pStyle w:val="Compact"/>
        <w:numPr>
          <w:ilvl w:val="0"/>
          <w:numId w:val="2265"/>
        </w:numPr>
      </w:pPr>
      <w:r>
        <w:rPr>
          <w:b/>
          <w:bCs/>
        </w:rPr>
        <w:t xml:space="preserve">Sustentabilidade fiscal</w:t>
      </w:r>
      <w:r>
        <w:t xml:space="preserve">: o orçamento público é finito — subsidiar medicamentos caros compete com outros investimentos em saúde.</w:t>
      </w:r>
    </w:p>
    <w:p>
      <w:pPr>
        <w:pStyle w:val="FirstParagraph"/>
      </w:pPr>
      <w:r>
        <w:t xml:space="preserve">Nenhuma política resolve os três simultaneamente. A regulação de preços de medicamentos é, portanto, uma escolha sobre</w:t>
      </w:r>
      <w:r>
        <w:t xml:space="preserve"> </w:t>
      </w:r>
      <w:r>
        <w:rPr>
          <w:i/>
          <w:iCs/>
        </w:rPr>
        <w:t xml:space="preserve">qual vértice sacrificar</w:t>
      </w:r>
      <w:r>
        <w:t xml:space="preserve"> </w:t>
      </w:r>
      <w:r>
        <w:t xml:space="preserve">— e em que medida.</w:t>
      </w:r>
    </w:p>
    <w:p>
      <w:pPr>
        <w:pStyle w:val="BlockText"/>
      </w:pPr>
      <w:r>
        <w:rPr>
          <w:b/>
          <w:bCs/>
        </w:rPr>
        <w:t xml:space="preserve">[DEFINICAO] Regulação de preços de medicamentos</w:t>
      </w:r>
    </w:p>
    <w:p>
      <w:pPr>
        <w:pStyle w:val="BlockText"/>
      </w:pPr>
      <w:r>
        <w:t xml:space="preserve">Intervenção governamental que fixa limites máximos (tetos) para os preços de medicamentos, utilizando critérios como: (i)</w:t>
      </w:r>
      <w:r>
        <w:t xml:space="preserve"> </w:t>
      </w:r>
      <w:r>
        <w:rPr>
          <w:b/>
          <w:bCs/>
        </w:rPr>
        <w:t xml:space="preserve">referenciamento internacional</w:t>
      </w:r>
      <w:r>
        <w:t xml:space="preserve"> </w:t>
      </w:r>
      <w:r>
        <w:t xml:space="preserve">— comparar com preços praticados em outros países; (ii)</w:t>
      </w:r>
      <w:r>
        <w:t xml:space="preserve"> </w:t>
      </w:r>
      <w:r>
        <w:rPr>
          <w:b/>
          <w:bCs/>
        </w:rPr>
        <w:t xml:space="preserve">referenciamento terapêutico</w:t>
      </w:r>
      <w:r>
        <w:t xml:space="preserve"> </w:t>
      </w:r>
      <w:r>
        <w:t xml:space="preserve">— comparar com medicamentos substitutos na mesma classe; (iii)</w:t>
      </w:r>
      <w:r>
        <w:t xml:space="preserve"> </w:t>
      </w:r>
      <w:r>
        <w:rPr>
          <w:b/>
          <w:bCs/>
        </w:rPr>
        <w:t xml:space="preserve">custo-efetividade</w:t>
      </w:r>
      <w:r>
        <w:t xml:space="preserve"> </w:t>
      </w:r>
      <w:r>
        <w:t xml:space="preserve">— incorporar apenas medicamentos cujo ICER (Seção 23.6.2) esteja abaixo de um limiar pré-definido; (iv)</w:t>
      </w:r>
      <w:r>
        <w:t xml:space="preserve"> </w:t>
      </w:r>
      <w:r>
        <w:rPr>
          <w:b/>
          <w:bCs/>
        </w:rPr>
        <w:t xml:space="preserve">teto de markup</w:t>
      </w:r>
      <w:r>
        <w:t xml:space="preserve"> </w:t>
      </w:r>
      <w:r>
        <w:t xml:space="preserve">— limitar a margem sobre o custo de produção. A maioria dos países combina mais de um critério.</w:t>
      </w:r>
    </w:p>
    <w:bookmarkEnd w:id="1422"/>
    <w:bookmarkStart w:id="1423" w:name="X39eb4b641d4e5800f4a80b978c8a1d8f0125c47"/>
    <w:p>
      <w:pPr>
        <w:pStyle w:val="Heading4"/>
      </w:pPr>
      <w:r>
        <w:t xml:space="preserve">23.7.2 O modelo brasileiro: CMED e política de genéricos</w:t>
      </w:r>
    </w:p>
    <w:p>
      <w:pPr>
        <w:pStyle w:val="FirstParagraph"/>
      </w:pPr>
      <w:r>
        <w:t xml:space="preserve">O Brasil adota um sistema de regulação por</w:t>
      </w:r>
      <w:r>
        <w:t xml:space="preserve"> </w:t>
      </w:r>
      <w:r>
        <w:rPr>
          <w:b/>
          <w:bCs/>
        </w:rPr>
        <w:t xml:space="preserve">teto de preços</w:t>
      </w:r>
      <w:r>
        <w:t xml:space="preserve"> </w:t>
      </w:r>
      <w:r>
        <w:t xml:space="preserve">administrado pela</w:t>
      </w:r>
      <w:r>
        <w:t xml:space="preserve"> </w:t>
      </w:r>
      <w:r>
        <w:rPr>
          <w:b/>
          <w:bCs/>
        </w:rPr>
        <w:t xml:space="preserve">CMED</w:t>
      </w:r>
      <w:r>
        <w:t xml:space="preserve"> </w:t>
      </w:r>
      <w:r>
        <w:t xml:space="preserve">(Câmara de Regulação do Mercado de Medicamentos), vinculada à ANVISA. O sistema funciona em duas frentes:</w:t>
      </w:r>
    </w:p>
    <w:p>
      <w:pPr>
        <w:pStyle w:val="BodyText"/>
      </w:pPr>
      <w:r>
        <w:rPr>
          <w:b/>
          <w:bCs/>
        </w:rPr>
        <w:t xml:space="preserve">1. Preço-teto para novos medicamentos.</w:t>
      </w:r>
      <w:r>
        <w:t xml:space="preserve"> </w:t>
      </w:r>
      <w:r>
        <w:t xml:space="preserve">Quando uma empresa solicita registro de um novo medicamento, a CMED fixa o</w:t>
      </w:r>
      <w:r>
        <w:t xml:space="preserve"> </w:t>
      </w:r>
      <w:r>
        <w:rPr>
          <w:b/>
          <w:bCs/>
        </w:rPr>
        <w:t xml:space="preserve">Preço Fábrica</w:t>
      </w:r>
      <w:r>
        <w:t xml:space="preserve"> </w:t>
      </w:r>
      <w:r>
        <w:t xml:space="preserve">(PF) máximo com base em:</w:t>
      </w:r>
    </w:p>
    <w:p>
      <w:pPr>
        <w:pStyle w:val="Compact"/>
        <w:numPr>
          <w:ilvl w:val="0"/>
          <w:numId w:val="2266"/>
        </w:numPr>
      </w:pPr>
      <w:r>
        <w:t xml:space="preserve">Referenciamento internacional: preço mediano em uma cesta de países (Austrália, Canadá, Espanha, EUA, França, Grécia, Itália, Nova Zelândia, Portugal).</w:t>
      </w:r>
    </w:p>
    <w:p>
      <w:pPr>
        <w:pStyle w:val="Compact"/>
        <w:numPr>
          <w:ilvl w:val="0"/>
          <w:numId w:val="2266"/>
        </w:numPr>
      </w:pPr>
      <w:r>
        <w:t xml:space="preserve">Análise de custo-efetividade para incorporação ao SUS (via CONITEC).</w:t>
      </w:r>
    </w:p>
    <w:p>
      <w:pPr>
        <w:pStyle w:val="Compact"/>
        <w:numPr>
          <w:ilvl w:val="0"/>
          <w:numId w:val="2266"/>
        </w:numPr>
      </w:pPr>
      <w:r>
        <w:t xml:space="preserve">Custo de tratamento versus alternativas terapêuticas existentes.</w:t>
      </w:r>
    </w:p>
    <w:p>
      <w:pPr>
        <w:pStyle w:val="FirstParagraph"/>
      </w:pPr>
      <w:r>
        <w:rPr>
          <w:b/>
          <w:bCs/>
        </w:rPr>
        <w:t xml:space="preserve">2. Reajuste anual.</w:t>
      </w:r>
      <w:r>
        <w:t xml:space="preserve"> </w:t>
      </w:r>
      <w:r>
        <w:t xml:space="preserve">Os preços são reajustados anualmente por uma fórmula que combina inflação (IPCA), um fator de produtividade (</w:t>
      </w:r>
      <m:oMath>
        <m:r>
          <m:t>X</m:t>
        </m:r>
      </m:oMath>
      <w:r>
        <w:t xml:space="preserve">) e um fator de ajuste entre setores:</w:t>
      </w:r>
    </w:p>
    <w:p>
      <w:pPr>
        <w:pStyle w:val="BodyText"/>
      </w:pPr>
      <w:r>
        <w:t xml:space="preserve">$$
    \Delta P = \text{IPCA} - X + Z \label{eq:23.23} \tag{23.23}
    $$</w:t>
      </w:r>
    </w:p>
    <w:p>
      <w:pPr>
        <w:pStyle w:val="FirstParagraph"/>
      </w:pPr>
      <w:r>
        <w:t xml:space="preserve">onde</w:t>
      </w:r>
      <w:r>
        <w:t xml:space="preserve"> </w:t>
      </w:r>
      <m:oMath>
        <m:r>
          <m:t>X</m:t>
        </m:r>
      </m:oMath>
      <w:r>
        <w:t xml:space="preserve"> </w:t>
      </w:r>
      <w:r>
        <w:t xml:space="preserve">captura ganhos de produtividade (que devem ser repassados ao consumidor) e</w:t>
      </w:r>
      <w:r>
        <w:t xml:space="preserve"> </w:t>
      </w:r>
      <m:oMath>
        <m:r>
          <m:t>Z</m:t>
        </m:r>
      </m:oMath>
      <w:r>
        <w:t xml:space="preserve"> </w:t>
      </w:r>
      <w:r>
        <w:t xml:space="preserve">é um fator de ajuste de preços relativos. Em 2024, o reajuste autorizado foi de 4,50% (IPCA acumulado menos fator</w:t>
      </w:r>
      <w:r>
        <w:t xml:space="preserve"> </w:t>
      </w:r>
      <m:oMath>
        <m:r>
          <m:t>X</m:t>
        </m:r>
        <m:r>
          <m:rPr>
            <m:sty m:val="p"/>
          </m:rPr>
          <m:t>=</m:t>
        </m:r>
        <m:r>
          <m:t>0</m:t>
        </m:r>
      </m:oMath>
      <w:r>
        <w:t xml:space="preserve">).</w:t>
      </w:r>
    </w:p>
    <w:p>
      <w:pPr>
        <w:pStyle w:val="BodyText"/>
      </w:pPr>
      <w:r>
        <w:rPr>
          <w:b/>
          <w:bCs/>
        </w:rPr>
        <w:t xml:space="preserve">3. Política de genéricos.</w:t>
      </w:r>
      <w:r>
        <w:t xml:space="preserve"> </w:t>
      </w:r>
      <w:r>
        <w:t xml:space="preserve">A Lei dos Genéricos (Lei 9.787/1999) estabeleceu que medicamentos genéricos devem custar no mínimo</w:t>
      </w:r>
      <w:r>
        <w:t xml:space="preserve"> </w:t>
      </w:r>
      <w:r>
        <w:rPr>
          <w:b/>
          <w:bCs/>
        </w:rPr>
        <w:t xml:space="preserve">35% menos</w:t>
      </w:r>
      <w:r>
        <w:t xml:space="preserve"> </w:t>
      </w:r>
      <w:r>
        <w:t xml:space="preserve">que o medicamento de referência. O impacto foi transformador: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Indicador</w:t>
            </w:r>
          </w:p>
        </w:tc>
        <w:tc>
          <w:tcPr/>
          <w:p>
            <w:pPr>
              <w:pStyle w:val="Compact"/>
              <w:jc w:val="center"/>
            </w:pPr>
            <w:r>
              <w:t xml:space="preserve">2003</w:t>
            </w:r>
          </w:p>
        </w:tc>
        <w:tc>
          <w:tcPr/>
          <w:p>
            <w:pPr>
              <w:pStyle w:val="Compact"/>
              <w:jc w:val="center"/>
            </w:pPr>
            <w:r>
              <w:t xml:space="preserve">2024</w:t>
            </w:r>
          </w:p>
        </w:tc>
      </w:tr>
      <w:tr>
        <w:tc>
          <w:tcPr/>
          <w:p>
            <w:pPr>
              <w:pStyle w:val="Compact"/>
              <w:jc w:val="left"/>
            </w:pPr>
            <w:r>
              <w:t xml:space="preserve">Market share dos genéricos (unidades)</w:t>
            </w:r>
          </w:p>
        </w:tc>
        <w:tc>
          <w:tcPr/>
          <w:p>
            <w:pPr>
              <w:pStyle w:val="Compact"/>
              <w:jc w:val="center"/>
            </w:pPr>
            <w:r>
              <w:t xml:space="preserve">~9%</w:t>
            </w:r>
          </w:p>
        </w:tc>
        <w:tc>
          <w:tcPr/>
          <w:p>
            <w:pPr>
              <w:pStyle w:val="Compact"/>
              <w:jc w:val="center"/>
            </w:pPr>
            <w:r>
              <w:t xml:space="preserve">~38%</w:t>
            </w:r>
          </w:p>
        </w:tc>
      </w:tr>
      <w:tr>
        <w:tc>
          <w:tcPr/>
          <w:p>
            <w:pPr>
              <w:pStyle w:val="Compact"/>
              <w:jc w:val="left"/>
            </w:pPr>
            <w:r>
              <w:t xml:space="preserve">Número de apresentações genéricas registradas</w:t>
            </w:r>
          </w:p>
        </w:tc>
        <w:tc>
          <w:tcPr/>
          <w:p>
            <w:pPr>
              <w:pStyle w:val="Compact"/>
              <w:jc w:val="center"/>
            </w:pPr>
            <w:r>
              <w:t xml:space="preserve">~2.500</w:t>
            </w:r>
          </w:p>
        </w:tc>
        <w:tc>
          <w:tcPr/>
          <w:p>
            <w:pPr>
              <w:pStyle w:val="Compact"/>
              <w:jc w:val="center"/>
            </w:pPr>
            <w:r>
              <w:t xml:space="preserve">~8.200+</w:t>
            </w:r>
          </w:p>
        </w:tc>
      </w:tr>
      <w:tr>
        <w:tc>
          <w:tcPr/>
          <w:p>
            <w:pPr>
              <w:pStyle w:val="Compact"/>
              <w:jc w:val="left"/>
            </w:pPr>
            <w:r>
              <w:t xml:space="preserve">Desconto médio vs. referência</w:t>
            </w:r>
          </w:p>
        </w:tc>
        <w:tc>
          <w:tcPr/>
          <w:p>
            <w:pPr>
              <w:pStyle w:val="Compact"/>
              <w:jc w:val="center"/>
            </w:pPr>
            <w:r>
              <w:t xml:space="preserve">~40%</w:t>
            </w:r>
          </w:p>
        </w:tc>
        <w:tc>
          <w:tcPr/>
          <w:p>
            <w:pPr>
              <w:pStyle w:val="Compact"/>
              <w:jc w:val="center"/>
            </w:pPr>
            <w:r>
              <w:t xml:space="preserve">~55–65%</w:t>
            </w:r>
          </w:p>
        </w:tc>
      </w:tr>
    </w:tbl>
    <w:p>
      <w:pPr>
        <w:pStyle w:val="BodyText"/>
      </w:pPr>
      <w:r>
        <w:rPr>
          <w:i/>
          <w:iCs/>
        </w:rPr>
        <w:t xml:space="preserve">Fonte: Pró-Genéricos; ANVISA, 2024.</w:t>
      </w:r>
    </w:p>
    <w:p>
      <w:pPr>
        <w:pStyle w:val="BlockText"/>
      </w:pPr>
      <w:r>
        <w:rPr>
          <w:b/>
          <w:bCs/>
        </w:rPr>
        <w:t xml:space="preserve">[DEFINICAO] Medicamento genérico</w:t>
      </w:r>
    </w:p>
    <w:p>
      <w:pPr>
        <w:pStyle w:val="BlockText"/>
      </w:pPr>
      <w:r>
        <w:t xml:space="preserve">Medicamento com o mesmo princípio ativo, forma farmacêutica, dosagem e indicação terapêutica do medicamento de referência (marca), cuja patente expirou. Deve demonstrar</w:t>
      </w:r>
      <w:r>
        <w:t xml:space="preserve"> </w:t>
      </w:r>
      <w:r>
        <w:rPr>
          <w:b/>
          <w:bCs/>
        </w:rPr>
        <w:t xml:space="preserve">bioequivalência</w:t>
      </w:r>
      <w:r>
        <w:t xml:space="preserve"> </w:t>
      </w:r>
      <w:r>
        <w:t xml:space="preserve">— isto é, que a absorção e a concentração sanguínea do princípio ativo são estatisticamente equivalentes ao medicamento original. O genérico é identificado pela denominação comum brasileira (DCB) e não pode usar nome de marca.</w:t>
      </w:r>
    </w:p>
    <w:p>
      <w:pPr>
        <w:pStyle w:val="BlockText"/>
      </w:pPr>
      <w:r>
        <w:rPr>
          <w:b/>
          <w:bCs/>
        </w:rPr>
        <w:t xml:space="preserve">[INTUICAO ECONOMICA] Intuição Econômica</w:t>
      </w:r>
    </w:p>
    <w:p>
      <w:pPr>
        <w:pStyle w:val="BlockText"/>
      </w:pPr>
      <w:r>
        <w:rPr>
          <w:b/>
          <w:bCs/>
        </w:rPr>
        <w:t xml:space="preserve">Em uma frase:</w:t>
      </w:r>
      <w:r>
        <w:t xml:space="preserve"> </w:t>
      </w:r>
      <w:r>
        <w:t xml:space="preserve">O genérico é a concorrência perfeita chegando ao mercado farmacêutico — mas só depois que a patente expira e alguém paga o custo fixo da bioequivalência.</w:t>
      </w:r>
    </w:p>
    <w:p>
      <w:pPr>
        <w:pStyle w:val="BlockText"/>
      </w:pPr>
      <w:r>
        <w:rPr>
          <w:b/>
          <w:bCs/>
        </w:rPr>
        <w:t xml:space="preserve">Pense assim:</w:t>
      </w:r>
      <w:r>
        <w:t xml:space="preserve"> </w:t>
      </w:r>
      <w:r>
        <w:t xml:space="preserve">Durante a vigência da patente, a empresa original é um monopolista (Capítulo 15) e cobra</w:t>
      </w:r>
      <w:r>
        <w:t xml:space="preserve"> </w:t>
      </w:r>
      <m:oMath>
        <m:r>
          <m:t>P</m:t>
        </m:r>
        <m:r>
          <m:rPr>
            <m:sty m:val="p"/>
          </m:rPr>
          <m:t>&gt;</m:t>
        </m:r>
        <m:r>
          <m:t>C</m:t>
        </m:r>
        <m:r>
          <m:t>M</m:t>
        </m:r>
        <m:r>
          <m:t>g</m:t>
        </m:r>
      </m:oMath>
      <w:r>
        <w:t xml:space="preserve">. Quando a patente expira, o mercado deveria convergir para</w:t>
      </w:r>
      <w:r>
        <w:t xml:space="preserve"> </w:t>
      </w:r>
      <m:oMath>
        <m:r>
          <m:t>P</m:t>
        </m:r>
        <m:r>
          <m:rPr>
            <m:sty m:val="p"/>
          </m:rPr>
          <m:t>=</m:t>
        </m:r>
        <m:r>
          <m:t>C</m:t>
        </m:r>
        <m:r>
          <m:t>M</m:t>
        </m:r>
        <m:r>
          <m:t>g</m:t>
        </m:r>
      </m:oMath>
      <w:r>
        <w:t xml:space="preserve"> </w:t>
      </w:r>
      <w:r>
        <w:t xml:space="preserve">— como num mercado perfeitamente competitivo (Capítulo 13). Na prática, a convergência é incompleta: muitos consumidores continuam comprando a marca (por confiança, hábito ou prescrição médica), gerando um</w:t>
      </w:r>
      <w:r>
        <w:t xml:space="preserve"> </w:t>
      </w:r>
      <w:r>
        <w:t xml:space="preserve">“prêmio de marca”</w:t>
      </w:r>
      <w:r>
        <w:t xml:space="preserve"> </w:t>
      </w:r>
      <w:r>
        <w:t xml:space="preserve">que persiste por anos. Esse prêmio é pura assimetria de informação — o genérico é</w:t>
      </w:r>
      <w:r>
        <w:t xml:space="preserve"> </w:t>
      </w:r>
      <w:r>
        <w:rPr>
          <w:i/>
          <w:iCs/>
        </w:rPr>
        <w:t xml:space="preserve">quimicamente idêntico</w:t>
      </w:r>
      <w:r>
        <w:t xml:space="preserve">, mas o consumidor não tem certeza.</w:t>
      </w:r>
    </w:p>
    <w:p>
      <w:pPr>
        <w:pStyle w:val="BlockText"/>
      </w:pPr>
      <w:r>
        <w:rPr>
          <w:b/>
          <w:bCs/>
        </w:rPr>
        <w:t xml:space="preserve">Por que isso importa:</w:t>
      </w:r>
      <w:r>
        <w:t xml:space="preserve"> </w:t>
      </w:r>
      <w:r>
        <w:t xml:space="preserve">A política de genéricos é um dos instrumentos mais poderosos de redução de preços em saúde. No Brasil, a economia estimada para consumidores foi de R$ 250+ bilhões acumulados desde 1999. Mas o prêmio de marca persistente mostra que informação importa: campanhas de conscientização e substituição obrigatória na dispensação são tão importantes quanto a existência do genérico.</w:t>
      </w:r>
    </w:p>
    <w:bookmarkEnd w:id="1423"/>
    <w:bookmarkStart w:id="1425" w:name="o-programa-farmácia-popular"/>
    <w:p>
      <w:pPr>
        <w:pStyle w:val="Heading4"/>
      </w:pPr>
      <w:r>
        <w:t xml:space="preserve">23.7.3 O Programa Farmácia Popular</w:t>
      </w:r>
    </w:p>
    <w:p>
      <w:pPr>
        <w:pStyle w:val="FirstParagraph"/>
      </w:pPr>
      <w:r>
        <w:t xml:space="preserve">O</w:t>
      </w:r>
      <w:r>
        <w:t xml:space="preserve"> </w:t>
      </w:r>
      <w:r>
        <w:rPr>
          <w:b/>
          <w:bCs/>
        </w:rPr>
        <w:t xml:space="preserve">Programa Farmácia Popular do Brasil</w:t>
      </w:r>
      <w:r>
        <w:t xml:space="preserve">, criado em 2004, representa uma abordagem diferente: em vez de regular preços, o governo</w:t>
      </w:r>
      <w:r>
        <w:t xml:space="preserve"> </w:t>
      </w:r>
      <w:r>
        <w:rPr>
          <w:b/>
          <w:bCs/>
        </w:rPr>
        <w:t xml:space="preserve">subsidia diretamente</w:t>
      </w:r>
      <w:r>
        <w:t xml:space="preserve"> </w:t>
      </w:r>
      <w:r>
        <w:t xml:space="preserve">o custo do medicamento para o consumidor.</w:t>
      </w:r>
    </w:p>
    <w:p>
      <w:pPr>
        <w:pStyle w:val="BodyText"/>
      </w:pPr>
      <w:r>
        <w:t xml:space="preserve">O mecanismo é simples: o governo repassa às farmácias credenciadas o valor dos medicamentos da lista do programa, e o consumidor paga zero (ou uma fração reduzida). Em 2024, o programa atingiu 100% de gratuidade para 41 medicamentos essenciais (hipertensão, diabetes, asma, entre outros), beneficiando</w:t>
      </w:r>
      <w:r>
        <w:t xml:space="preserve"> </w:t>
      </w:r>
      <w:r>
        <w:rPr>
          <w:b/>
          <w:bCs/>
        </w:rPr>
        <w:t xml:space="preserve">24,7 milhões de brasileiros</w:t>
      </w:r>
      <w:r>
        <w:t xml:space="preserve"> </w:t>
      </w:r>
      <w:r>
        <w:t xml:space="preserve">em mais de 31 mil farmácias credenciadas — cobrindo 85% dos municípios (Ministério da Saúde, 2024).</w:t>
      </w:r>
    </w:p>
    <w:p>
      <w:pPr>
        <w:pStyle w:val="BodyText"/>
      </w:pPr>
      <w:r>
        <w:t xml:space="preserve">Em termos microeconômicos, o Farmácia Popular é um</w:t>
      </w:r>
      <w:r>
        <w:t xml:space="preserve"> </w:t>
      </w:r>
      <w:r>
        <w:rPr>
          <w:b/>
          <w:bCs/>
        </w:rPr>
        <w:t xml:space="preserve">subsídio ao consumo</w:t>
      </w:r>
      <w:r>
        <w:t xml:space="preserve"> </w:t>
      </w:r>
      <w:r>
        <w:t xml:space="preserve">que desloca a curva de demanda efetiva para a direita:</w:t>
      </w:r>
    </w:p>
    <w:p>
      <w:pPr>
        <w:pStyle w:val="BodyText"/>
      </w:pPr>
      <m:oMathPara>
        <m:oMathParaPr>
          <m:jc m:val="center"/>
        </m:oMathParaPr>
        <m:oMath>
          <m:sSub>
            <m:e>
              <m:r>
                <m:t>p</m:t>
              </m:r>
            </m:e>
            <m:sub>
              <m:r>
                <m:rPr>
                  <m:nor/>
                  <m:sty m:val="p"/>
                </m:rPr>
                <m:t>consumidor</m:t>
              </m:r>
            </m:sub>
          </m:sSub>
          <m:r>
            <m:rPr>
              <m:sty m:val="p"/>
            </m:rPr>
            <m:t>=</m:t>
          </m:r>
          <m:r>
            <m:rPr>
              <m:sty m:val="p"/>
            </m:rPr>
            <m:t>max</m:t>
          </m:r>
          <m:r>
            <m:rPr>
              <m:sty m:val="p"/>
            </m:rPr>
            <m:t>{</m:t>
          </m:r>
          <m:r>
            <m:t>0</m:t>
          </m:r>
          <m:r>
            <m:rPr>
              <m:sty m:val="p"/>
            </m:rPr>
            <m:t>,</m:t>
          </m:r>
          <m:r>
            <m:t> </m:t>
          </m:r>
          <m:sSub>
            <m:e>
              <m:r>
                <m:t>p</m:t>
              </m:r>
            </m:e>
            <m:sub>
              <m:r>
                <m:rPr>
                  <m:nor/>
                  <m:sty m:val="p"/>
                </m:rPr>
                <m:t>mercado</m:t>
              </m:r>
            </m:sub>
          </m:sSub>
          <m:r>
            <m:rPr>
              <m:sty m:val="p"/>
            </m:rPr>
            <m:t>−</m:t>
          </m:r>
          <m:r>
            <m:t>s</m:t>
          </m:r>
          <m:r>
            <m:rPr>
              <m:sty m:val="p"/>
            </m:rPr>
            <m:t>}</m:t>
          </m:r>
        </m:oMath>
      </m:oMathPara>
    </w:p>
    <w:p>
      <w:pPr>
        <w:pStyle w:val="FirstParagraph"/>
      </w:pPr>
      <w:r>
        <w:t xml:space="preserve">onde</w:t>
      </w:r>
      <w:r>
        <w:t xml:space="preserve"> </w:t>
      </w:r>
      <m:oMath>
        <m:r>
          <m:t>s</m:t>
        </m:r>
      </m:oMath>
      <w:r>
        <w:t xml:space="preserve"> </w:t>
      </w:r>
      <w:r>
        <w:t xml:space="preserve">é o subsídio por unidade. Quando</w:t>
      </w:r>
      <w:r>
        <w:t xml:space="preserve"> </w:t>
      </w:r>
      <m:oMath>
        <m:r>
          <m:t>s</m:t>
        </m:r>
        <m:r>
          <m:rPr>
            <m:sty m:val="p"/>
          </m:rPr>
          <m:t>≥</m:t>
        </m:r>
        <m:sSub>
          <m:e>
            <m:r>
              <m:t>p</m:t>
            </m:r>
          </m:e>
          <m:sub>
            <m:r>
              <m:rPr>
                <m:nor/>
                <m:sty m:val="p"/>
              </m:rPr>
              <m:t>mercado</m:t>
            </m:r>
          </m:sub>
        </m:sSub>
      </m:oMath>
      <w:r>
        <w:t xml:space="preserve">, o preço efetivo é zero — eliminando a barreira de preço ao acesso.</w:t>
      </w:r>
    </w:p>
    <w:p>
      <w:pPr>
        <w:pStyle w:val="BlockText"/>
      </w:pPr>
      <w:r>
        <w:rPr>
          <w:b/>
          <w:bCs/>
        </w:rPr>
        <w:t xml:space="preserve">[BOX BRASIL] Brasil na Prática — Farmácia Popular: subsídio cruzado e acesso universal</w:t>
      </w:r>
    </w:p>
    <w:p>
      <w:pPr>
        <w:pStyle w:val="BlockText"/>
      </w:pPr>
      <w:r>
        <w:rPr>
          <w:b/>
          <w:bCs/>
        </w:rPr>
        <w:t xml:space="preserve">O modelo econômico.</w:t>
      </w:r>
      <w:r>
        <w:t xml:space="preserve"> </w:t>
      </w:r>
      <w:r>
        <w:t xml:space="preserve">O Farmácia Popular opera como um subsídio direto ao consumo de medicamentos essenciais, financiado por receitas gerais do governo federal. O orçamento saltou de R$ 2,48 bilhões (2022) para R$ 3,4 bilhões (2024) — um aumento de 37%.</w:t>
      </w:r>
    </w:p>
    <w:p>
      <w:pPr>
        <w:pStyle w:val="BlockText"/>
      </w:pPr>
      <w:r>
        <w:rPr>
          <w:b/>
          <w:bCs/>
        </w:rPr>
        <w:t xml:space="preserve">Resultados.</w:t>
      </w:r>
      <w:r>
        <w:t xml:space="preserve"> </w:t>
      </w:r>
      <w:r>
        <w:t xml:space="preserve">Estudos mostram que o programa reduziu significativamente as internações hospitalares por condições crônicas mal controladas. A lógica é direta: se o paciente hipertenso toma o remédio regularmente (porque é gratuito), ele não aparece no pronto-socorro com AVC — e o custo de uma internação por AVC (~R$ 8.000–15.000) é muito maior que o custo anual dos anti-hipertensivos (~R$ 200–400 pelo Farmácia Popular).</w:t>
      </w:r>
    </w:p>
    <w:p>
      <w:pPr>
        <w:pStyle w:val="BlockText"/>
      </w:pPr>
      <w:r>
        <w:rPr>
          <w:b/>
          <w:bCs/>
        </w:rPr>
        <w:t xml:space="preserve">Análise custo-efetividade.</w:t>
      </w:r>
      <w:r>
        <w:t xml:space="preserve"> </w:t>
      </w:r>
      <w:r>
        <w:t xml:space="preserve">O programa é provavelmente</w:t>
      </w:r>
      <w:r>
        <w:t xml:space="preserve"> </w:t>
      </w:r>
      <w:r>
        <w:rPr>
          <w:i/>
          <w:iCs/>
        </w:rPr>
        <w:t xml:space="preserve">cost-saving</w:t>
      </w:r>
      <w:r>
        <w:t xml:space="preserve"> </w:t>
      </w:r>
      <w:r>
        <w:t xml:space="preserve">(economia líquida): cada R$ 1 gasto com medicamentos gratuitos economiza estimativamente R$ 2–4 em internações evitadas. É um dos raros casos em que o subsídio público se paga sozinho — porque a alternativa (não tratar doenças crônicas) é muito mais cara.</w:t>
      </w:r>
    </w:p>
    <w:p>
      <w:pPr>
        <w:pStyle w:val="BlockText"/>
      </w:pPr>
      <w:r>
        <w:rPr>
          <w:b/>
          <w:bCs/>
        </w:rPr>
        <w:t xml:space="preserve">Fonte:</w:t>
      </w:r>
      <w:r>
        <w:t xml:space="preserve"> </w:t>
      </w:r>
      <w:r>
        <w:t xml:space="preserve">Ministério da Saúde,</w:t>
      </w:r>
      <w:r>
        <w:t xml:space="preserve"> </w:t>
      </w:r>
      <w:r>
        <w:rPr>
          <w:i/>
          <w:iCs/>
        </w:rPr>
        <w:t xml:space="preserve">Farmácia Popular: 20 anos do Programa</w:t>
      </w:r>
      <w:r>
        <w:t xml:space="preserve">, 2024. Disponível em</w:t>
      </w:r>
      <w:r>
        <w:t xml:space="preserve"> </w:t>
      </w:r>
      <w:hyperlink r:id="rId1424">
        <w:r>
          <w:rPr>
            <w:rStyle w:val="Hyperlink"/>
          </w:rPr>
          <w:t xml:space="preserve">gov.br/saude</w:t>
        </w:r>
      </w:hyperlink>
      <w:r>
        <w:t xml:space="preserve">.</w:t>
      </w:r>
    </w:p>
    <w:p>
      <w:pPr>
        <w:pStyle w:val="BlockText"/>
      </w:pPr>
      <w:r>
        <w:rPr>
          <w:b/>
          <w:bCs/>
        </w:rPr>
        <w:t xml:space="preserve">[BOX BRASIL] Brasil na Prática — CMED e a regulação por teto: funciona?</w:t>
      </w:r>
    </w:p>
    <w:p>
      <w:pPr>
        <w:pStyle w:val="BlockText"/>
      </w:pPr>
      <w:r>
        <w:rPr>
          <w:b/>
          <w:bCs/>
        </w:rPr>
        <w:t xml:space="preserve">O mecanismo.</w:t>
      </w:r>
      <w:r>
        <w:t xml:space="preserve"> </w:t>
      </w:r>
      <w:r>
        <w:t xml:space="preserve">A CMED fixa o Preço Máximo ao Consumidor (PMC) para cada medicamento — incluindo impostos. Farmácias e distribuidoras não podem cobrar acima do PMC. O reajuste anual é automático (fórmula IPCA − X + Z), mas a CMED pode intervir ad hoc em casos de abuso.</w:t>
      </w:r>
    </w:p>
    <w:p>
      <w:pPr>
        <w:pStyle w:val="BlockText"/>
      </w:pPr>
      <w:r>
        <w:rPr>
          <w:b/>
          <w:bCs/>
        </w:rPr>
        <w:t xml:space="preserve">Evidências.</w:t>
      </w:r>
      <w:r>
        <w:t xml:space="preserve"> </w:t>
      </w:r>
      <w:r>
        <w:t xml:space="preserve">Um estudo do PROCON-SP (2024) encontrou variação de preços entre farmácias de até 300% para o mesmo medicamento — mesmo com o teto da CMED. A explicação: o PMC é um</w:t>
      </w:r>
      <w:r>
        <w:t xml:space="preserve"> </w:t>
      </w:r>
      <w:r>
        <w:rPr>
          <w:i/>
          <w:iCs/>
        </w:rPr>
        <w:t xml:space="preserve">teto</w:t>
      </w:r>
      <w:r>
        <w:t xml:space="preserve">, não um preço único. Farmácias em bairros de alta renda cobram próximo ao teto; farmácias populares e redes de desconto cobram muito abaixo. Isso é</w:t>
      </w:r>
      <w:r>
        <w:t xml:space="preserve"> </w:t>
      </w:r>
      <w:r>
        <w:rPr>
          <w:b/>
          <w:bCs/>
        </w:rPr>
        <w:t xml:space="preserve">discriminação de preços geográfica</w:t>
      </w:r>
      <w:r>
        <w:t xml:space="preserve"> </w:t>
      </w:r>
      <w:r>
        <w:t xml:space="preserve">(Capítulo 15) — perfeitamente consistente com a teoria do monopólio com segmentação de mercado.</w:t>
      </w:r>
    </w:p>
    <w:p>
      <w:pPr>
        <w:pStyle w:val="BlockText"/>
      </w:pPr>
      <w:r>
        <w:rPr>
          <w:b/>
          <w:bCs/>
        </w:rPr>
        <w:t xml:space="preserve">O novo marco (2025–2026).</w:t>
      </w:r>
      <w:r>
        <w:t xml:space="preserve"> </w:t>
      </w:r>
      <w:r>
        <w:t xml:space="preserve">A Resolução CMED nº 3/2025 reformulou o sistema de precificação para incluir avaliação de custo-efetividade obrigatória (via CONITEC) como critério para fixação do preço de novos medicamentos — aproximando o Brasil do modelo do NICE britânico.</w:t>
      </w:r>
    </w:p>
    <w:p>
      <w:pPr>
        <w:pStyle w:val="BlockText"/>
      </w:pPr>
      <w:r>
        <w:rPr>
          <w:b/>
          <w:bCs/>
        </w:rPr>
        <w:t xml:space="preserve">Fonte:</w:t>
      </w:r>
      <w:r>
        <w:t xml:space="preserve"> </w:t>
      </w:r>
      <w:r>
        <w:t xml:space="preserve">ANVISA/CMED,</w:t>
      </w:r>
      <w:r>
        <w:t xml:space="preserve"> </w:t>
      </w:r>
      <w:r>
        <w:rPr>
          <w:i/>
          <w:iCs/>
        </w:rPr>
        <w:t xml:space="preserve">Resolução nº 3/2025</w:t>
      </w:r>
      <w:r>
        <w:t xml:space="preserve">; PROCON-SP,</w:t>
      </w:r>
      <w:r>
        <w:t xml:space="preserve"> </w:t>
      </w:r>
      <w:r>
        <w:rPr>
          <w:i/>
          <w:iCs/>
        </w:rPr>
        <w:t xml:space="preserve">Pesquisa de Preços de Medicamentos</w:t>
      </w:r>
      <w:r>
        <w:t xml:space="preserve">, 2024.</w:t>
      </w:r>
    </w:p>
    <w:bookmarkEnd w:id="1425"/>
    <w:bookmarkStart w:id="1426" w:name="X5ee4d369fb1313d3f98ce97f357930082476ef9"/>
    <w:p>
      <w:pPr>
        <w:pStyle w:val="Heading4"/>
      </w:pPr>
      <w:r>
        <w:t xml:space="preserve">23.7.4 O modelo Rothschild-Stiglitz aplicado a planos de saúde com cobertura farmacêutica</w:t>
      </w:r>
    </w:p>
    <w:p>
      <w:pPr>
        <w:pStyle w:val="FirstParagraph"/>
      </w:pPr>
      <w:r>
        <w:t xml:space="preserve">A inclusão de medicamentos de alto custo nos planos de saúde intensifica o problema de seleção adversa (Seção 23.4). Considere dois tipos de pacientes:</w:t>
      </w:r>
    </w:p>
    <w:p>
      <w:pPr>
        <w:pStyle w:val="Compact"/>
        <w:numPr>
          <w:ilvl w:val="0"/>
          <w:numId w:val="2267"/>
        </w:numPr>
      </w:pPr>
      <w:r>
        <w:rPr>
          <w:b/>
          <w:bCs/>
        </w:rPr>
        <w:t xml:space="preserve">Tipo L</w:t>
      </w:r>
      <w:r>
        <w:t xml:space="preserve"> </w:t>
      </w:r>
      <w:r>
        <w:t xml:space="preserve">(baixo risco): probabilidade</w:t>
      </w:r>
      <w:r>
        <w:t xml:space="preserve"> </w:t>
      </w:r>
      <m:oMath>
        <m:sSub>
          <m:e>
            <m:r>
              <m:t>π</m:t>
            </m:r>
          </m:e>
          <m:sub>
            <m:r>
              <m:t>L</m:t>
            </m:r>
          </m:sub>
        </m:sSub>
        <m:r>
          <m:rPr>
            <m:sty m:val="p"/>
          </m:rPr>
          <m:t>=</m:t>
        </m:r>
        <m:r>
          <m:t>0</m:t>
        </m:r>
        <m:r>
          <m:rPr>
            <m:sty m:val="p"/>
          </m:rPr>
          <m:t>,</m:t>
        </m:r>
        <m:r>
          <m:t>05</m:t>
        </m:r>
      </m:oMath>
      <w:r>
        <w:t xml:space="preserve"> </w:t>
      </w:r>
      <w:r>
        <w:t xml:space="preserve">de precisar de tratamento de alto custo ($m = $ R$ 100.000/ano).</w:t>
      </w:r>
    </w:p>
    <w:p>
      <w:pPr>
        <w:pStyle w:val="Compact"/>
        <w:numPr>
          <w:ilvl w:val="0"/>
          <w:numId w:val="2267"/>
        </w:numPr>
      </w:pPr>
      <w:r>
        <w:rPr>
          <w:b/>
          <w:bCs/>
        </w:rPr>
        <w:t xml:space="preserve">Tipo H</w:t>
      </w:r>
      <w:r>
        <w:t xml:space="preserve"> </w:t>
      </w:r>
      <w:r>
        <w:t xml:space="preserve">(alto risco — doença crônica diagnosticada): probabilidade</w:t>
      </w:r>
      <w:r>
        <w:t xml:space="preserve"> </w:t>
      </w:r>
      <m:oMath>
        <m:sSub>
          <m:e>
            <m:r>
              <m:t>π</m:t>
            </m:r>
          </m:e>
          <m:sub>
            <m:r>
              <m:t>H</m:t>
            </m:r>
          </m:sub>
        </m:sSub>
        <m:r>
          <m:rPr>
            <m:sty m:val="p"/>
          </m:rPr>
          <m:t>=</m:t>
        </m:r>
        <m:r>
          <m:t>0</m:t>
        </m:r>
        <m:r>
          <m:rPr>
            <m:sty m:val="p"/>
          </m:rPr>
          <m:t>,</m:t>
        </m:r>
        <m:r>
          <m:t>80</m:t>
        </m:r>
      </m:oMath>
      <w:r>
        <w:t xml:space="preserve">.</w:t>
      </w:r>
    </w:p>
    <w:p>
      <w:pPr>
        <w:pStyle w:val="FirstParagraph"/>
      </w:pPr>
      <w:r>
        <w:t xml:space="preserve">O custo atuarial justo por tipo é:</w:t>
      </w:r>
    </w:p>
    <w:p>
      <w:pPr>
        <w:pStyle w:val="BodyText"/>
      </w:pPr>
      <m:oMathPara>
        <m:oMathParaPr>
          <m:jc m:val="center"/>
        </m:oMathParaPr>
        <m:oMath>
          <m:sSub>
            <m:e>
              <m:r>
                <m:t>P</m:t>
              </m:r>
            </m:e>
            <m:sub>
              <m:r>
                <m:t>L</m:t>
              </m:r>
            </m:sub>
          </m:sSub>
          <m:r>
            <m:rPr>
              <m:sty m:val="p"/>
            </m:rPr>
            <m:t>=</m:t>
          </m:r>
          <m:sSub>
            <m:e>
              <m:r>
                <m:t>π</m:t>
              </m:r>
            </m:e>
            <m:sub>
              <m:r>
                <m:t>L</m:t>
              </m:r>
            </m:sub>
          </m:sSub>
          <m:r>
            <m:rPr>
              <m:sty m:val="p"/>
            </m:rPr>
            <m:t>⋅</m:t>
          </m:r>
          <m:r>
            <m:t>m</m:t>
          </m:r>
          <m:r>
            <m:rPr>
              <m:sty m:val="p"/>
            </m:rPr>
            <m:t>=</m:t>
          </m:r>
          <m:r>
            <m:t>0</m:t>
          </m:r>
          <m:r>
            <m:rPr>
              <m:sty m:val="p"/>
            </m:rPr>
            <m:t>,</m:t>
          </m:r>
          <m:r>
            <m:t>05</m:t>
          </m:r>
          <m:r>
            <m:rPr>
              <m:sty m:val="p"/>
            </m:rPr>
            <m:t>×</m:t>
          </m:r>
          <m:r>
            <m:t>100.000</m:t>
          </m:r>
          <m:r>
            <m:rPr>
              <m:sty m:val="p"/>
            </m:rPr>
            <m:t>=</m:t>
          </m:r>
          <m:r>
            <m:rPr>
              <m:nor/>
              <m:sty m:val="p"/>
            </m:rPr>
            <m:t>R$</m:t>
          </m:r>
          <m:r>
            <m:t> </m:t>
          </m:r>
          <m:r>
            <m:t>5.000</m:t>
          </m:r>
        </m:oMath>
      </m:oMathPara>
    </w:p>
    <w:p>
      <w:pPr>
        <w:pStyle w:val="FirstParagraph"/>
      </w:pPr>
      <m:oMathPara>
        <m:oMathParaPr>
          <m:jc m:val="center"/>
        </m:oMathParaPr>
        <m:oMath>
          <m:sSub>
            <m:e>
              <m:r>
                <m:t>P</m:t>
              </m:r>
            </m:e>
            <m:sub>
              <m:r>
                <m:t>H</m:t>
              </m:r>
            </m:sub>
          </m:sSub>
          <m:r>
            <m:rPr>
              <m:sty m:val="p"/>
            </m:rPr>
            <m:t>=</m:t>
          </m:r>
          <m:sSub>
            <m:e>
              <m:r>
                <m:t>π</m:t>
              </m:r>
            </m:e>
            <m:sub>
              <m:r>
                <m:t>H</m:t>
              </m:r>
            </m:sub>
          </m:sSub>
          <m:r>
            <m:rPr>
              <m:sty m:val="p"/>
            </m:rPr>
            <m:t>⋅</m:t>
          </m:r>
          <m:r>
            <m:t>m</m:t>
          </m:r>
          <m:r>
            <m:rPr>
              <m:sty m:val="p"/>
            </m:rPr>
            <m:t>=</m:t>
          </m:r>
          <m:r>
            <m:t>0</m:t>
          </m:r>
          <m:r>
            <m:rPr>
              <m:sty m:val="p"/>
            </m:rPr>
            <m:t>,</m:t>
          </m:r>
          <m:r>
            <m:t>80</m:t>
          </m:r>
          <m:r>
            <m:rPr>
              <m:sty m:val="p"/>
            </m:rPr>
            <m:t>×</m:t>
          </m:r>
          <m:r>
            <m:t>100.000</m:t>
          </m:r>
          <m:r>
            <m:rPr>
              <m:sty m:val="p"/>
            </m:rPr>
            <m:t>=</m:t>
          </m:r>
          <m:r>
            <m:rPr>
              <m:nor/>
              <m:sty m:val="p"/>
            </m:rPr>
            <m:t>R$</m:t>
          </m:r>
          <m:r>
            <m:t> </m:t>
          </m:r>
          <m:r>
            <m:t>80.000</m:t>
          </m:r>
        </m:oMath>
      </m:oMathPara>
    </w:p>
    <w:p>
      <w:pPr>
        <w:pStyle w:val="FirstParagraph"/>
      </w:pPr>
      <w:r>
        <w:t xml:space="preserve">Se a operadora cobra prêmio único (pooling):</w:t>
      </w:r>
    </w:p>
    <w:p>
      <w:pPr>
        <w:pStyle w:val="BodyText"/>
      </w:pPr>
      <w:r>
        <w:t xml:space="preserve">$$
    \bar{P} = \lambda P_H + (1-\lambda) P_L \label{eq:23.27} \tag{23.27}
    $$</w:t>
      </w:r>
    </w:p>
    <w:p>
      <w:pPr>
        <w:pStyle w:val="FirstParagraph"/>
      </w:pPr>
      <w:r>
        <w:t xml:space="preserve">Com</w:t>
      </w:r>
      <w:r>
        <w:t xml:space="preserve"> </w:t>
      </w:r>
      <m:oMath>
        <m:r>
          <m:t>λ</m:t>
        </m:r>
        <m:r>
          <m:rPr>
            <m:sty m:val="p"/>
          </m:rPr>
          <m:t>=</m:t>
        </m:r>
        <m:r>
          <m:t>0</m:t>
        </m:r>
        <m:r>
          <m:rPr>
            <m:sty m:val="p"/>
          </m:rPr>
          <m:t>,</m:t>
        </m:r>
        <m:r>
          <m:t>20</m:t>
        </m:r>
      </m:oMath>
      <w:r>
        <w:t xml:space="preserve"> </w:t>
      </w:r>
      <w:r>
        <w:t xml:space="preserve">(20% alto risco): $</w:t>
      </w:r>
      <w:r>
        <w:t xml:space="preserve">{P} = 0{,}20</w:t>
      </w:r>
      <w:r>
        <w:t xml:space="preserve"> </w:t>
      </w:r>
      <w:r>
        <w:t xml:space="preserve"> </w:t>
      </w:r>
      <w:r>
        <w:t xml:space="preserve">+ 0{,}80</w:t>
      </w:r>
      <w:r>
        <w:t xml:space="preserve"> </w:t>
      </w:r>
      <w:r>
        <w:t xml:space="preserve"> </w:t>
      </w:r>
      <w:r>
        <w:t xml:space="preserve">= $ R$ 20.000. Para o tipo L, esse prêmio é 4× seu custo atuarial — incentivando a saída.</w:t>
      </w:r>
    </w:p>
    <w:p>
      <w:pPr>
        <w:pStyle w:val="BlockText"/>
      </w:pPr>
      <w:r>
        <w:rPr>
          <w:b/>
          <w:bCs/>
        </w:rPr>
        <w:t xml:space="preserve">[EXEMPLO] Exercício Resolvido 23.4 — Seleção adversa e cobertura farmacêutica</w:t>
      </w:r>
    </w:p>
    <w:p>
      <w:pPr>
        <w:pStyle w:val="BlockText"/>
      </w:pPr>
      <w:r>
        <w:rPr>
          <w:b/>
          <w:bCs/>
        </w:rPr>
        <w:t xml:space="preserve">Enunciado.</w:t>
      </w:r>
      <w:r>
        <w:t xml:space="preserve"> </w:t>
      </w:r>
      <w:r>
        <w:t xml:space="preserve">Uma operadora de plano de saúde oferece cobertura para medicamentos de alto custo. A população é composta por 70% de tipo L (</w:t>
      </w:r>
      <m:oMath>
        <m:sSub>
          <m:e>
            <m:r>
              <m:t>π</m:t>
            </m:r>
          </m:e>
          <m:sub>
            <m:r>
              <m:t>L</m:t>
            </m:r>
          </m:sub>
        </m:sSub>
        <m:r>
          <m:rPr>
            <m:sty m:val="p"/>
          </m:rPr>
          <m:t>=</m:t>
        </m:r>
        <m:r>
          <m:t>0</m:t>
        </m:r>
        <m:r>
          <m:rPr>
            <m:sty m:val="p"/>
          </m:rPr>
          <m:t>,</m:t>
        </m:r>
        <m:r>
          <m:t>10</m:t>
        </m:r>
      </m:oMath>
      <w:r>
        <w:t xml:space="preserve">, custo $m = $ R$ 50.000) e 30% de tipo H (</w:t>
      </w:r>
      <m:oMath>
        <m:sSub>
          <m:e>
            <m:r>
              <m:t>π</m:t>
            </m:r>
          </m:e>
          <m:sub>
            <m:r>
              <m:t>H</m:t>
            </m:r>
          </m:sub>
        </m:sSub>
        <m:r>
          <m:rPr>
            <m:sty m:val="p"/>
          </m:rPr>
          <m:t>=</m:t>
        </m:r>
        <m:r>
          <m:t>0</m:t>
        </m:r>
        <m:r>
          <m:rPr>
            <m:sty m:val="p"/>
          </m:rPr>
          <m:t>,</m:t>
        </m:r>
        <m:r>
          <m:t>60</m:t>
        </m:r>
      </m:oMath>
      <w:r>
        <w:t xml:space="preserve">, mesmo custo</w:t>
      </w:r>
      <w:r>
        <w:t xml:space="preserve"> </w:t>
      </w:r>
      <m:oMath>
        <m:r>
          <m:t>m</m:t>
        </m:r>
      </m:oMath>
      <w:r>
        <w:t xml:space="preserve">).</w:t>
      </w:r>
    </w:p>
    <w:p>
      <w:pPr>
        <w:pStyle w:val="BlockText"/>
        <w:numPr>
          <w:ilvl w:val="0"/>
          <w:numId w:val="2268"/>
        </w:numPr>
      </w:pPr>
      <w:r>
        <w:t xml:space="preserve">Calcule o prêmio do pool (prêmio único para todos).</w:t>
      </w:r>
    </w:p>
    <w:p>
      <w:pPr>
        <w:pStyle w:val="BlockText"/>
        <w:numPr>
          <w:ilvl w:val="0"/>
          <w:numId w:val="2268"/>
        </w:numPr>
      </w:pPr>
      <w:r>
        <w:t xml:space="preserve">Se o tipo L tem disposição a pagar máxima de R$ 8.000 pelo seguro, o que acontece com o mercado?</w:t>
      </w:r>
    </w:p>
    <w:p>
      <w:pPr>
        <w:pStyle w:val="BlockText"/>
        <w:numPr>
          <w:ilvl w:val="0"/>
          <w:numId w:val="2268"/>
        </w:numPr>
      </w:pPr>
      <w:r>
        <w:t xml:space="preserve">Proponha um menu de contratos separador (Rothschild-Stiglitz) que estabilize o mercado.</w:t>
      </w:r>
    </w:p>
    <w:p>
      <w:pPr>
        <w:pStyle w:val="BlockText"/>
      </w:pPr>
      <w:r>
        <w:rPr>
          <w:b/>
          <w:bCs/>
        </w:rPr>
        <w:t xml:space="preserve">Solução.</w:t>
      </w:r>
    </w:p>
    <w:p>
      <w:pPr>
        <w:pStyle w:val="BlockText"/>
      </w:pPr>
      <w:r>
        <w:rPr>
          <w:b/>
          <w:bCs/>
        </w:rPr>
        <w:t xml:space="preserve">(a)</w:t>
      </w:r>
      <w:r>
        <w:t xml:space="preserve"> </w:t>
      </w:r>
      <w:r>
        <w:t xml:space="preserve">Custo esperado por tipo: $P_L = 0{,}10</w:t>
      </w:r>
      <w:r>
        <w:t xml:space="preserve"> </w:t>
      </w:r>
      <w:r>
        <w:t xml:space="preserve"> </w:t>
      </w:r>
      <w:r>
        <w:t xml:space="preserve">= $ R$ 5.000; $P_H = 0{,}60</w:t>
      </w:r>
      <w:r>
        <w:t xml:space="preserve"> </w:t>
      </w:r>
      <w:r>
        <w:t xml:space="preserve"> </w:t>
      </w:r>
      <w:r>
        <w:t xml:space="preserve">= $ R$ 30.000.</w:t>
      </w:r>
    </w:p>
    <w:p>
      <w:pPr>
        <w:pStyle w:val="BlockText"/>
      </w:pPr>
      <w:r>
        <w:t xml:space="preserve">Prêmio do pool: $</w:t>
      </w:r>
      <w:r>
        <w:t xml:space="preserve">{P} = 0{,}30</w:t>
      </w:r>
      <w:r>
        <w:t xml:space="preserve"> </w:t>
      </w:r>
      <w:r>
        <w:t xml:space="preserve"> </w:t>
      </w:r>
      <w:r>
        <w:t xml:space="preserve">+ 0{,}70</w:t>
      </w:r>
      <w:r>
        <w:t xml:space="preserve"> </w:t>
      </w:r>
      <w:r>
        <w:t xml:space="preserve"> </w:t>
      </w:r>
      <w:r>
        <w:t xml:space="preserve">= 9.000 + 3.500 = $ R$ 12.500.</w:t>
      </w:r>
    </w:p>
    <w:p>
      <w:pPr>
        <w:pStyle w:val="BlockText"/>
      </w:pPr>
      <w:r>
        <w:rPr>
          <w:b/>
          <w:bCs/>
        </w:rPr>
        <w:t xml:space="preserve">(b)</w:t>
      </w:r>
      <w:r>
        <w:t xml:space="preserve"> </w:t>
      </w:r>
      <w:r>
        <w:t xml:space="preserve">Como $</w:t>
      </w:r>
      <w:r>
        <w:t xml:space="preserve">{P} = $ R$ 12.500 &gt; R$ 8.000 (disposição a pagar do tipo L), os tipos L saem do pool. Recalculando com apenas tipos H: $P = $ R$ 30.000. Os tipos L ficam sem seguro —</w:t>
      </w:r>
      <w:r>
        <w:t xml:space="preserve"> </w:t>
      </w:r>
      <w:r>
        <w:rPr>
          <w:b/>
          <w:bCs/>
        </w:rPr>
        <w:t xml:space="preserve">colapso parcial do mercado</w:t>
      </w:r>
      <w:r>
        <w:t xml:space="preserve"> </w:t>
      </w:r>
      <w:r>
        <w:t xml:space="preserve">(espiral da morte).</w:t>
      </w:r>
    </w:p>
    <w:p>
      <w:pPr>
        <w:pStyle w:val="BlockText"/>
      </w:pPr>
      <w:r>
        <w:rPr>
          <w:b/>
          <w:bCs/>
        </w:rPr>
        <w:t xml:space="preserve">(c)</w:t>
      </w:r>
      <w:r>
        <w:t xml:space="preserve"> </w:t>
      </w:r>
      <w:r>
        <w:t xml:space="preserve">Menu separador:</w:t>
      </w:r>
    </w:p>
    <w:p>
      <w:pPr>
        <w:pStyle w:val="Compact"/>
        <w:numPr>
          <w:ilvl w:val="0"/>
          <w:numId w:val="2269"/>
        </w:numPr>
      </w:pPr>
      <w:r>
        <w:rPr>
          <w:b/>
          <w:bCs/>
        </w:rPr>
        <w:t xml:space="preserve">Contrato H</w:t>
      </w:r>
      <w:r>
        <w:t xml:space="preserve"> </w:t>
      </w:r>
      <w:r>
        <w:t xml:space="preserve">(para alto risco): cobertura total, prêmio $P_H = $ R$ 30.000. O tipo H aceita porque $P_H &lt; $ custo esperado sem seguro ajustado pela aversão ao risco.</w:t>
      </w:r>
    </w:p>
    <w:p>
      <w:pPr>
        <w:pStyle w:val="Compact"/>
        <w:numPr>
          <w:ilvl w:val="0"/>
          <w:numId w:val="2269"/>
        </w:numPr>
      </w:pPr>
      <w:r>
        <w:rPr>
          <w:b/>
          <w:bCs/>
        </w:rPr>
        <w:t xml:space="preserve">Contrato L</w:t>
      </w:r>
      <w:r>
        <w:t xml:space="preserve"> </w:t>
      </w:r>
      <w:r>
        <w:t xml:space="preserve">(para baixo risco): cobertura parcial (50% do custo), prêmio $P_L = 0{,}10</w:t>
      </w:r>
      <w:r>
        <w:t xml:space="preserve"> </w:t>
      </w:r>
      <w:r>
        <w:t xml:space="preserve">50</w:t>
      </w:r>
      <w:r>
        <w:t xml:space="preserve"> </w:t>
      </w:r>
      <w:r>
        <w:t xml:space="preserve"> </w:t>
      </w:r>
      <w:r>
        <w:t xml:space="preserve">= $ R$ 2.500. O tipo L aceita porque $P_L &lt; $ R$ 8.000. O tipo H não deseja imitar o L porque a cobertura parcial é menos atraente para quem tem alta probabilidade de usar.</w:t>
      </w:r>
    </w:p>
    <w:p>
      <w:pPr>
        <w:pStyle w:val="BlockText"/>
      </w:pPr>
      <w:r>
        <w:t xml:space="preserve">A chave é que a</w:t>
      </w:r>
      <w:r>
        <w:t xml:space="preserve"> </w:t>
      </w:r>
      <w:r>
        <w:rPr>
          <w:b/>
          <w:bCs/>
        </w:rPr>
        <w:t xml:space="preserve">cobertura parcial funciona como mecanismo de screening</w:t>
      </w:r>
      <w:r>
        <w:t xml:space="preserve"> </w:t>
      </w:r>
      <w:r>
        <w:t xml:space="preserve">(Capítulo 19): quem aceita menos cobertura sinaliza que é baixo risco. O custo da assimetria de informação é que o tipo L recebe seguro inferior ao que receberia com informação completa — o resultado clássico de Rothschild-Stiglitz.</w:t>
      </w:r>
    </w:p>
    <w:p>
      <w:pPr>
        <w:pStyle w:val="BlockText"/>
      </w:pPr>
      <w:r>
        <w:rPr>
          <w:b/>
          <w:bCs/>
        </w:rPr>
        <w:t xml:space="preserve">[EXEMPLO] Exercício Resolvido 23.5 — Moral hazard em plano odontológico</w:t>
      </w:r>
    </w:p>
    <w:p>
      <w:pPr>
        <w:pStyle w:val="BlockText"/>
      </w:pPr>
      <w:r>
        <w:rPr>
          <w:b/>
          <w:bCs/>
        </w:rPr>
        <w:t xml:space="preserve">Enunciado.</w:t>
      </w:r>
      <w:r>
        <w:t xml:space="preserve"> </w:t>
      </w:r>
      <w:r>
        <w:t xml:space="preserve">Um plano odontológico observa que, após incluir cobertura integral para procedimentos estéticos (clareamento, facetas), o consumo desses procedimentos triplicou — de 2 para 6 procedimentos por beneficiário/ano. O custo por procedimento é R$ 500.</w:t>
      </w:r>
    </w:p>
    <w:p>
      <w:pPr>
        <w:pStyle w:val="BlockText"/>
        <w:numPr>
          <w:ilvl w:val="0"/>
          <w:numId w:val="2270"/>
        </w:numPr>
      </w:pPr>
      <w:r>
        <w:t xml:space="preserve">Calcule o aumento no gasto do plano por beneficiário.</w:t>
      </w:r>
    </w:p>
    <w:p>
      <w:pPr>
        <w:pStyle w:val="BlockText"/>
        <w:numPr>
          <w:ilvl w:val="0"/>
          <w:numId w:val="2270"/>
        </w:numPr>
      </w:pPr>
      <w:r>
        <w:t xml:space="preserve">Se a elasticidade-preço da demanda por procedimentos estéticos é</w:t>
      </w:r>
      <w:r>
        <w:t xml:space="preserve"> </w:t>
      </w:r>
      <m:oMath>
        <m:r>
          <m:t>ε</m:t>
        </m:r>
        <m:r>
          <m:rPr>
            <m:sty m:val="p"/>
          </m:rPr>
          <m:t>=</m:t>
        </m:r>
        <m:r>
          <m:rPr>
            <m:sty m:val="p"/>
          </m:rPr>
          <m:t>−</m:t>
        </m:r>
        <m:r>
          <m:t>1</m:t>
        </m:r>
        <m:r>
          <m:rPr>
            <m:sty m:val="p"/>
          </m:rPr>
          <m:t>,</m:t>
        </m:r>
        <m:r>
          <m:t>5</m:t>
        </m:r>
      </m:oMath>
      <w:r>
        <w:t xml:space="preserve">, o aumento observado é consistente com a teoria?</w:t>
      </w:r>
    </w:p>
    <w:p>
      <w:pPr>
        <w:pStyle w:val="BlockText"/>
        <w:numPr>
          <w:ilvl w:val="0"/>
          <w:numId w:val="2270"/>
        </w:numPr>
      </w:pPr>
      <w:r>
        <w:t xml:space="preserve">Proponha um mecanismo de copagamento que reduza o moral hazard sem eliminar a cobertura.</w:t>
      </w:r>
    </w:p>
    <w:p>
      <w:pPr>
        <w:pStyle w:val="BlockText"/>
      </w:pPr>
      <w:r>
        <w:rPr>
          <w:b/>
          <w:bCs/>
        </w:rPr>
        <w:t xml:space="preserve">Solução.</w:t>
      </w:r>
    </w:p>
    <w:p>
      <w:pPr>
        <w:pStyle w:val="BlockText"/>
      </w:pPr>
      <w:r>
        <w:rPr>
          <w:b/>
          <w:bCs/>
        </w:rPr>
        <w:t xml:space="preserve">(a)</w:t>
      </w:r>
      <w:r>
        <w:t xml:space="preserve"> </w:t>
      </w:r>
      <w:r>
        <w:t xml:space="preserve">Gasto adicional: $(6 - 2)</w:t>
      </w:r>
      <w:r>
        <w:t xml:space="preserve"> </w:t>
      </w:r>
      <w:r>
        <w:t xml:space="preserve"> </w:t>
      </w:r>
      <w:r>
        <w:t xml:space="preserve">= $ R$ 2.000/beneficiário/ano.</w:t>
      </w:r>
    </w:p>
    <w:p>
      <w:pPr>
        <w:pStyle w:val="BlockText"/>
      </w:pPr>
      <w:r>
        <w:rPr>
          <w:b/>
          <w:bCs/>
        </w:rPr>
        <w:t xml:space="preserve">(b)</w:t>
      </w:r>
      <w:r>
        <w:t xml:space="preserve"> </w:t>
      </w:r>
      <w:r>
        <w:t xml:space="preserve">A cobertura integral reduziu o preço efetivo de R$ 500 para R$ 0 — variação de 100%. Com</w:t>
      </w:r>
      <w:r>
        <w:t xml:space="preserve"> </w:t>
      </w:r>
      <m:oMath>
        <m:r>
          <m:t>ε</m:t>
        </m:r>
        <m:r>
          <m:rPr>
            <m:sty m:val="p"/>
          </m:rPr>
          <m:t>=</m:t>
        </m:r>
        <m:r>
          <m:rPr>
            <m:sty m:val="p"/>
          </m:rPr>
          <m:t>−</m:t>
        </m:r>
        <m:r>
          <m:t>1</m:t>
        </m:r>
        <m:r>
          <m:rPr>
            <m:sty m:val="p"/>
          </m:rPr>
          <m:t>,</m:t>
        </m:r>
        <m:r>
          <m:t>5</m:t>
        </m:r>
      </m:oMath>
      <w:r>
        <w:t xml:space="preserve">, a variação esperada na quantidade seria</w:t>
      </w:r>
      <w:r>
        <w:t xml:space="preserve"> </w:t>
      </w:r>
      <m:oMath>
        <m:r>
          <m:t>1</m:t>
        </m:r>
        <m:r>
          <m:rPr>
            <m:sty m:val="p"/>
          </m:rPr>
          <m:t>,</m:t>
        </m:r>
        <m:r>
          <m:t>5</m:t>
        </m:r>
        <m:r>
          <m:rPr>
            <m:sty m:val="p"/>
          </m:rPr>
          <m:t>×</m:t>
        </m:r>
        <m:r>
          <m:t>100</m:t>
        </m:r>
        <m:r>
          <m:rPr>
            <m:sty m:val="p"/>
          </m:rPr>
          <m:t>%</m:t>
        </m:r>
        <m:r>
          <m:rPr>
            <m:sty m:val="p"/>
          </m:rPr>
          <m:t>=</m:t>
        </m:r>
        <m:r>
          <m:t>150</m:t>
        </m:r>
        <m:r>
          <m:rPr>
            <m:sty m:val="p"/>
          </m:rPr>
          <m:t>%</m:t>
        </m:r>
      </m:oMath>
      <w:r>
        <w:t xml:space="preserve"> </w:t>
      </w:r>
      <w:r>
        <w:t xml:space="preserve">(de 2 para 5). O aumento observado (200%, de 2 para 6)</w:t>
      </w:r>
      <w:r>
        <w:t xml:space="preserve"> </w:t>
      </w:r>
      <w:r>
        <w:rPr>
          <w:i/>
          <w:iCs/>
        </w:rPr>
        <w:t xml:space="preserve">excede</w:t>
      </w:r>
      <w:r>
        <w:t xml:space="preserve"> </w:t>
      </w:r>
      <w:r>
        <w:t xml:space="preserve">a previsão — sugerindo que há não apenas efeito-preço, mas também</w:t>
      </w:r>
      <w:r>
        <w:t xml:space="preserve"> </w:t>
      </w:r>
      <w:r>
        <w:rPr>
          <w:b/>
          <w:bCs/>
        </w:rPr>
        <w:t xml:space="preserve">demanda induzida</w:t>
      </w:r>
      <w:r>
        <w:t xml:space="preserve"> </w:t>
      </w:r>
      <w:r>
        <w:t xml:space="preserve">pelo ofertante (Seção 23.3.1): dentistas prescrevem mais procedimentos quando sabem que o plano cobre.</w:t>
      </w:r>
    </w:p>
    <w:p>
      <w:pPr>
        <w:pStyle w:val="BlockText"/>
      </w:pPr>
      <w:r>
        <w:rPr>
          <w:b/>
          <w:bCs/>
        </w:rPr>
        <w:t xml:space="preserve">(c)</w:t>
      </w:r>
      <w:r>
        <w:t xml:space="preserve"> </w:t>
      </w:r>
      <w:r>
        <w:t xml:space="preserve">Copagamento de 30%: o paciente paga R$ 150 por procedimento (30% de R$ 500). Com</w:t>
      </w:r>
      <w:r>
        <w:t xml:space="preserve"> </w:t>
      </w:r>
      <m:oMath>
        <m:r>
          <m:t>ε</m:t>
        </m:r>
        <m:r>
          <m:rPr>
            <m:sty m:val="p"/>
          </m:rPr>
          <m:t>=</m:t>
        </m:r>
        <m:r>
          <m:rPr>
            <m:sty m:val="p"/>
          </m:rPr>
          <m:t>−</m:t>
        </m:r>
        <m:r>
          <m:t>1</m:t>
        </m:r>
        <m:r>
          <m:rPr>
            <m:sty m:val="p"/>
          </m:rPr>
          <m:t>,</m:t>
        </m:r>
        <m:r>
          <m:t>5</m:t>
        </m:r>
      </m:oMath>
      <w:r>
        <w:t xml:space="preserve"> </w:t>
      </w:r>
      <w:r>
        <w:t xml:space="preserve">e preço efetivo passando de 0 para 150 (30% do custo original), a demanda cairia substancialmente — previsivelmente para ~3–4 procedimentos. O plano economiza ~R$ 1.000–1.500/beneficiário, e o paciente mantém cobertura parcial para procedimentos que genuinamente deseja.</w:t>
      </w:r>
    </w:p>
    <w:p>
      <w:pPr>
        <w:pStyle w:val="BlockText"/>
      </w:pPr>
      <w:r>
        <w:rPr>
          <w:b/>
          <w:bCs/>
        </w:rPr>
        <w:t xml:space="preserve">Lição:</w:t>
      </w:r>
      <w:r>
        <w:t xml:space="preserve"> </w:t>
      </w:r>
      <w:r>
        <w:t xml:space="preserve">O moral hazard é mais severo em serviços com</w:t>
      </w:r>
      <w:r>
        <w:t xml:space="preserve"> </w:t>
      </w:r>
      <w:r>
        <w:rPr>
          <w:b/>
          <w:bCs/>
        </w:rPr>
        <w:t xml:space="preserve">elasticidade-preço alta</w:t>
      </w:r>
      <w:r>
        <w:t xml:space="preserve"> </w:t>
      </w:r>
      <w:r>
        <w:t xml:space="preserve">(como procedimentos estéticos) do que em serviços com demanda inelástica (como quimioterapia). O desenho ótimo do seguro (Seção 23.2.3) prevê exatamente isso: copagamento alto para serviços elásticos, copagamento baixo para serviços inelásticos.</w:t>
      </w:r>
    </w:p>
    <w:p>
      <w:pPr>
        <w:pStyle w:val="BlockText"/>
      </w:pPr>
      <w:r>
        <w:rPr>
          <w:b/>
          <w:bCs/>
        </w:rPr>
        <w:t xml:space="preserve">[EXEMPLO] Exercício Resolvido 23.6 — Tabela SUS vs. plano privado: precificação e acesso</w:t>
      </w:r>
    </w:p>
    <w:p>
      <w:pPr>
        <w:pStyle w:val="BlockText"/>
      </w:pPr>
      <w:r>
        <w:rPr>
          <w:b/>
          <w:bCs/>
        </w:rPr>
        <w:t xml:space="preserve">Enunciado.</w:t>
      </w:r>
      <w:r>
        <w:t xml:space="preserve"> </w:t>
      </w:r>
      <w:r>
        <w:t xml:space="preserve">Uma consulta com cardiologista custa, em média: R$ 10,00 na tabela SUS (remuneração ao prestador) e R$ 350,00 em consultório particular. O plano de saúde negocia R$ 120,00.</w:t>
      </w:r>
    </w:p>
    <w:p>
      <w:pPr>
        <w:pStyle w:val="BlockText"/>
        <w:numPr>
          <w:ilvl w:val="0"/>
          <w:numId w:val="2271"/>
        </w:numPr>
      </w:pPr>
      <w:r>
        <w:t xml:space="preserve">Explique por que a tabela SUS remunera tão abaixo do custo de mercado. Quais são as consequências previsíveis?</w:t>
      </w:r>
    </w:p>
    <w:p>
      <w:pPr>
        <w:pStyle w:val="BlockText"/>
        <w:numPr>
          <w:ilvl w:val="0"/>
          <w:numId w:val="2271"/>
        </w:numPr>
      </w:pPr>
      <w:r>
        <w:t xml:space="preserve">Use o modelo de demanda induzida (Seção 23.3.1) para prever como a diferença de remuneração afeta o comportamento do médico nos três contextos.</w:t>
      </w:r>
    </w:p>
    <w:p>
      <w:pPr>
        <w:pStyle w:val="BlockText"/>
        <w:numPr>
          <w:ilvl w:val="0"/>
          <w:numId w:val="2271"/>
        </w:numPr>
      </w:pPr>
      <w:r>
        <w:t xml:space="preserve">Um economista propõe elevar a tabela SUS para R$ 80,00. Analise os efeitos sobre acesso, filas e gasto público.</w:t>
      </w:r>
    </w:p>
    <w:p>
      <w:pPr>
        <w:pStyle w:val="BlockText"/>
      </w:pPr>
      <w:r>
        <w:rPr>
          <w:b/>
          <w:bCs/>
        </w:rPr>
        <w:t xml:space="preserve">Solução.</w:t>
      </w:r>
    </w:p>
    <w:p>
      <w:pPr>
        <w:pStyle w:val="BlockText"/>
      </w:pPr>
      <w:r>
        <w:rPr>
          <w:b/>
          <w:bCs/>
        </w:rPr>
        <w:t xml:space="preserve">(a)</w:t>
      </w:r>
      <w:r>
        <w:t xml:space="preserve"> </w:t>
      </w:r>
      <w:r>
        <w:t xml:space="preserve">A tabela SUS remunera abaixo do custo marginal do atendimento para muitos prestadores — o que gera três consequências previsíveis: (i)</w:t>
      </w:r>
      <w:r>
        <w:t xml:space="preserve"> </w:t>
      </w:r>
      <w:r>
        <w:rPr>
          <w:b/>
          <w:bCs/>
        </w:rPr>
        <w:t xml:space="preserve">racionamento por fila</w:t>
      </w:r>
      <w:r>
        <w:t xml:space="preserve"> </w:t>
      </w:r>
      <w:r>
        <w:t xml:space="preserve">em vez de por preço: como o preço ao consumidor é zero mas a remuneração ao médico é baixa, a demanda excede a oferta, gerando filas; (ii)</w:t>
      </w:r>
      <w:r>
        <w:t xml:space="preserve"> </w:t>
      </w:r>
      <w:r>
        <w:rPr>
          <w:b/>
          <w:bCs/>
        </w:rPr>
        <w:t xml:space="preserve">seleção adversa na oferta</w:t>
      </w:r>
      <w:r>
        <w:t xml:space="preserve">: os médicos mais qualificados (com maior custo de oportunidade) migram para o setor privado; (iii)</w:t>
      </w:r>
      <w:r>
        <w:t xml:space="preserve"> </w:t>
      </w:r>
      <w:r>
        <w:rPr>
          <w:b/>
          <w:bCs/>
        </w:rPr>
        <w:t xml:space="preserve">redução da qualidade</w:t>
      </w:r>
      <w:r>
        <w:t xml:space="preserve">: com remuneração baixa, o prestador economiza no tempo de consulta, na infraestrutura e nos insumos.</w:t>
      </w:r>
    </w:p>
    <w:p>
      <w:pPr>
        <w:pStyle w:val="BlockText"/>
      </w:pPr>
      <w:r>
        <w:rPr>
          <w:b/>
          <w:bCs/>
        </w:rPr>
        <w:t xml:space="preserve">(b)</w:t>
      </w:r>
      <w:r>
        <w:t xml:space="preserve"> </w:t>
      </w:r>
      <w:r>
        <w:t xml:space="preserve">Usando o modelo</w:t>
      </w:r>
      <w:r>
        <w:t xml:space="preserve"> </w:t>
      </w:r>
      <m:oMath>
        <m:sSub>
          <m:e>
            <m:r>
              <m:rPr>
                <m:sty m:val="p"/>
              </m:rPr>
              <m:t>max</m:t>
            </m:r>
          </m:e>
          <m:sub>
            <m:r>
              <m:t>n</m:t>
            </m:r>
          </m:sub>
        </m:sSub>
        <m:sSup>
          <m:e>
            <m:r>
              <m:t>U</m:t>
            </m:r>
          </m:e>
          <m:sup>
            <m:r>
              <m:t>M</m:t>
            </m:r>
          </m:sup>
        </m:sSup>
        <m:r>
          <m:rPr>
            <m:sty m:val="p"/>
          </m:rPr>
          <m:t>(</m:t>
        </m:r>
        <m:r>
          <m:t>R</m:t>
        </m:r>
        <m:r>
          <m:rPr>
            <m:sty m:val="p"/>
          </m:rPr>
          <m:t>(</m:t>
        </m:r>
        <m:r>
          <m:t>n</m:t>
        </m:r>
        <m:r>
          <m:rPr>
            <m:sty m:val="p"/>
          </m:rPr>
          <m:t>)</m:t>
        </m:r>
        <m:r>
          <m:rPr>
            <m:sty m:val="p"/>
          </m:rPr>
          <m:t>,</m:t>
        </m:r>
        <m:r>
          <m:t>n</m:t>
        </m:r>
        <m:r>
          <m:rPr>
            <m:sty m:val="p"/>
          </m:rPr>
          <m:t>−</m:t>
        </m:r>
        <m:sSup>
          <m:e>
            <m:r>
              <m:t>n</m:t>
            </m:r>
          </m:e>
          <m:sup>
            <m:r>
              <m:rPr>
                <m:sty m:val="p"/>
              </m:rPr>
              <m:t>*</m:t>
            </m:r>
          </m:sup>
        </m:sSup>
        <m:r>
          <m:rPr>
            <m:sty m:val="p"/>
          </m:rPr>
          <m:t>)</m:t>
        </m:r>
      </m:oMath>
      <w:r>
        <w:t xml:space="preserve"> </w:t>
      </w:r>
      <w:r>
        <w:t xml:space="preserve">da Seção 23.3.1:</w:t>
      </w:r>
    </w:p>
    <w:p>
      <w:pPr>
        <w:pStyle w:val="Compact"/>
        <w:numPr>
          <w:ilvl w:val="0"/>
          <w:numId w:val="2272"/>
        </w:numPr>
      </w:pPr>
      <w:r>
        <w:rPr>
          <w:b/>
          <w:bCs/>
        </w:rPr>
        <w:t xml:space="preserve">SUS</w:t>
      </w:r>
      <w:r>
        <w:t xml:space="preserve"> </w:t>
      </w:r>
      <w:r>
        <w:t xml:space="preserve">($R = $ R$ 10/consulta): o retorno marginal é tão baixo que o médico minimiza o número de atendimentos (ou compensa com volume altíssimo em tempo mínimo). Demanda induzida é</w:t>
      </w:r>
      <w:r>
        <w:t xml:space="preserve"> </w:t>
      </w:r>
      <w:r>
        <w:rPr>
          <w:i/>
          <w:iCs/>
        </w:rPr>
        <w:t xml:space="preserve">negativa</w:t>
      </w:r>
      <w:r>
        <w:t xml:space="preserve"> </w:t>
      </w:r>
      <w:r>
        <w:t xml:space="preserve">— o médico tende a</w:t>
      </w:r>
      <w:r>
        <w:t xml:space="preserve"> </w:t>
      </w:r>
      <w:r>
        <w:rPr>
          <w:i/>
          <w:iCs/>
        </w:rPr>
        <w:t xml:space="preserve">subtratar</w:t>
      </w:r>
      <w:r>
        <w:t xml:space="preserve">.</w:t>
      </w:r>
    </w:p>
    <w:p>
      <w:pPr>
        <w:pStyle w:val="Compact"/>
        <w:numPr>
          <w:ilvl w:val="0"/>
          <w:numId w:val="2272"/>
        </w:numPr>
      </w:pPr>
      <w:r>
        <w:rPr>
          <w:b/>
          <w:bCs/>
        </w:rPr>
        <w:t xml:space="preserve">Plano privado</w:t>
      </w:r>
      <w:r>
        <w:t xml:space="preserve"> </w:t>
      </w:r>
      <w:r>
        <w:t xml:space="preserve">($R = $ R$ 120): retorno moderado. Algum incentivo a demanda induzida (pedir exames adicionais para justificar retornos).</w:t>
      </w:r>
    </w:p>
    <w:p>
      <w:pPr>
        <w:pStyle w:val="Compact"/>
        <w:numPr>
          <w:ilvl w:val="0"/>
          <w:numId w:val="2272"/>
        </w:numPr>
      </w:pPr>
      <w:r>
        <w:rPr>
          <w:b/>
          <w:bCs/>
        </w:rPr>
        <w:t xml:space="preserve">Particular</w:t>
      </w:r>
      <w:r>
        <w:t xml:space="preserve"> </w:t>
      </w:r>
      <w:r>
        <w:t xml:space="preserve">($R = $ R$ 350): retorno alto. Incentivo máximo a demanda induzida — mas disciplinado pelo fato de que o paciente paga do próprio bolso e é sensível ao preço.</w:t>
      </w:r>
    </w:p>
    <w:p>
      <w:pPr>
        <w:pStyle w:val="BlockText"/>
      </w:pPr>
      <w:r>
        <w:rPr>
          <w:b/>
          <w:bCs/>
        </w:rPr>
        <w:t xml:space="preserve">(c)</w:t>
      </w:r>
      <w:r>
        <w:t xml:space="preserve"> </w:t>
      </w:r>
      <w:r>
        <w:t xml:space="preserve">Elevar a tabela SUS para R$ 80: (i)</w:t>
      </w:r>
      <w:r>
        <w:t xml:space="preserve"> </w:t>
      </w:r>
      <w:r>
        <w:rPr>
          <w:b/>
          <w:bCs/>
        </w:rPr>
        <w:t xml:space="preserve">acesso melhora</w:t>
      </w:r>
      <w:r>
        <w:t xml:space="preserve"> </w:t>
      </w:r>
      <w:r>
        <w:t xml:space="preserve">— mais médicos aceitam atender pelo SUS; (ii)</w:t>
      </w:r>
      <w:r>
        <w:t xml:space="preserve"> </w:t>
      </w:r>
      <w:r>
        <w:rPr>
          <w:b/>
          <w:bCs/>
        </w:rPr>
        <w:t xml:space="preserve">filas reduzem</w:t>
      </w:r>
      <w:r>
        <w:t xml:space="preserve"> </w:t>
      </w:r>
      <w:r>
        <w:t xml:space="preserve">— maior oferta reduz o racionamento; (iii)</w:t>
      </w:r>
      <w:r>
        <w:t xml:space="preserve"> </w:t>
      </w:r>
      <w:r>
        <w:rPr>
          <w:b/>
          <w:bCs/>
        </w:rPr>
        <w:t xml:space="preserve">gasto público aumenta</w:t>
      </w:r>
      <w:r>
        <w:t xml:space="preserve"> </w:t>
      </w:r>
      <w:r>
        <w:t xml:space="preserve">— se o SUS realiza ~300 milhões de consultas/ano, o custo adicional seria $(80 - 10)</w:t>
      </w:r>
      <w:r>
        <w:t xml:space="preserve"> </w:t>
      </w:r>
      <w:r>
        <w:t xml:space="preserve">300M = $ R$ 21 bilhões. É factível? Depende do orçamento. Em 2024, o gasto federal total com saúde foi ~R$ 200 bilhões — o aumento representaria ~10%.</w:t>
      </w:r>
    </w:p>
    <w:p>
      <w:pPr>
        <w:pStyle w:val="BlockText"/>
      </w:pPr>
      <w:r>
        <w:rPr>
          <w:b/>
          <w:bCs/>
        </w:rPr>
        <w:t xml:space="preserve">Paradoxo:</w:t>
      </w:r>
      <w:r>
        <w:t xml:space="preserve"> </w:t>
      </w:r>
      <w:r>
        <w:t xml:space="preserve">Se a consulta SUS de R$ 80 reduzir internações evitáveis (que custam ~R$ 5.000–10.000 cada), a economia pode parcialmente compensar o gasto — mas o efeito líquido é uma questão empírica, não teórica.</w:t>
      </w:r>
    </w:p>
    <w:p>
      <w:pPr>
        <w:pStyle w:val="BlockText"/>
      </w:pPr>
      <w:r>
        <w:rPr>
          <w:b/>
          <w:bCs/>
        </w:rPr>
        <w:t xml:space="preserve">[INTUICAO ECONOMICA] Intuição Econômica</w:t>
      </w:r>
    </w:p>
    <w:p>
      <w:pPr>
        <w:pStyle w:val="BlockText"/>
      </w:pPr>
      <w:r>
        <w:rPr>
          <w:b/>
          <w:bCs/>
        </w:rPr>
        <w:t xml:space="preserve">Em uma frase:</w:t>
      </w:r>
      <w:r>
        <w:t xml:space="preserve"> </w:t>
      </w:r>
      <w:r>
        <w:t xml:space="preserve">A tabela SUS é um caso clássico de preço-teto abaixo do equilíbrio — e as consequências são exatamente as que o Capítulo 4 prevê: fila, escassez e queda de qualidade.</w:t>
      </w:r>
    </w:p>
    <w:p>
      <w:pPr>
        <w:pStyle w:val="BlockText"/>
      </w:pPr>
      <w:r>
        <w:rPr>
          <w:b/>
          <w:bCs/>
        </w:rPr>
        <w:t xml:space="preserve">Pense assim:</w:t>
      </w:r>
      <w:r>
        <w:t xml:space="preserve"> </w:t>
      </w:r>
      <w:r>
        <w:t xml:space="preserve">Imagine que o governo fixasse o preço do pão em R$ 0,50 — muito abaixo do custo de produção. O que aconteceria? Padarias fechariam, as remanescentes teriam filas enormes, e a qualidade do pão despencaria. É exatamente o que a tabela SUS faz com consultas médicas: fixa um preço que não cobre os custos, e o resultado é fila, migração de médicos para o setor privado e consultas de 5 minutos.</w:t>
      </w:r>
    </w:p>
    <w:p>
      <w:pPr>
        <w:pStyle w:val="BlockText"/>
      </w:pPr>
      <w:r>
        <w:rPr>
          <w:b/>
          <w:bCs/>
        </w:rPr>
        <w:t xml:space="preserve">Por que isso importa:</w:t>
      </w:r>
      <w:r>
        <w:t xml:space="preserve"> </w:t>
      </w:r>
      <w:r>
        <w:t xml:space="preserve">O SUS é um sistema universal admirável — mas seu subfinanciamento crônico transforma o acesso formal em acesso real limitado. A fila no SUS é um imposto implícito sobre os mais pobres: quem tem plano privado paga em dinheiro; quem depende do SUS paga em tempo e espera. Como o custo de oportunidade do tempo é menor para quem ganha menos, a fila é regressiva de forma perversa.</w:t>
      </w:r>
    </w:p>
    <w:p>
      <w:pPr>
        <w:pStyle w:val="BlockText"/>
      </w:pPr>
      <w:r>
        <w:rPr>
          <w:b/>
          <w:bCs/>
        </w:rPr>
        <w:t xml:space="preserve">[R-INTERACTIVE] R Interativo — Modelo de Grossman: Estoque de Saúde ao Longo da Vida</w:t>
      </w:r>
    </w:p>
    <w:p>
      <w:pPr>
        <w:pStyle w:val="SourceCode"/>
      </w:pPr>
      <w:r>
        <w:rPr>
          <w:rStyle w:val="CommentTok"/>
        </w:rPr>
        <w:t xml:space="preserve"># Modelo de Grossman simplificado: dinâmica do estoque de saúde</w:t>
      </w:r>
      <w:r>
        <w:br/>
      </w:r>
      <w:r>
        <w:br/>
      </w:r>
      <w:r>
        <w:rPr>
          <w:rStyle w:val="CommentTok"/>
        </w:rPr>
        <w:t xml:space="preserve"># Parâmetros (altere para explorar!)</w:t>
      </w:r>
      <w:r>
        <w:br/>
      </w:r>
      <w:r>
        <w:rPr>
          <w:rStyle w:val="NormalTok"/>
        </w:rPr>
        <w:t xml:space="preserve">H0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estoque inicial de saúde</w:t>
      </w:r>
      <w:r>
        <w:br/>
      </w:r>
      <w:r>
        <w:rPr>
          <w:rStyle w:val="NormalTok"/>
        </w:rPr>
        <w:t xml:space="preserve">T_max     </w:t>
      </w:r>
      <w:r>
        <w:rPr>
          <w:rStyle w:val="OtherTok"/>
        </w:rPr>
        <w:t xml:space="preserve">&lt;-</w:t>
      </w:r>
      <w:r>
        <w:rPr>
          <w:rStyle w:val="NormalTok"/>
        </w:rPr>
        <w:t xml:space="preserve"> </w:t>
      </w:r>
      <w:r>
        <w:rPr>
          <w:rStyle w:val="DecValTok"/>
        </w:rPr>
        <w:t xml:space="preserve">80</w:t>
      </w:r>
      <w:r>
        <w:rPr>
          <w:rStyle w:val="NormalTok"/>
        </w:rPr>
        <w:t xml:space="preserve">     </w:t>
      </w:r>
      <w:r>
        <w:rPr>
          <w:rStyle w:val="CommentTok"/>
        </w:rPr>
        <w:t xml:space="preserve"># idade máxima</w:t>
      </w:r>
      <w:r>
        <w:br/>
      </w:r>
      <w:r>
        <w:rPr>
          <w:rStyle w:val="NormalTok"/>
        </w:rPr>
        <w:t xml:space="preserve">delta_0   </w:t>
      </w:r>
      <w:r>
        <w:rPr>
          <w:rStyle w:val="OtherTok"/>
        </w:rPr>
        <w:t xml:space="preserve">&lt;-</w:t>
      </w:r>
      <w:r>
        <w:rPr>
          <w:rStyle w:val="NormalTok"/>
        </w:rPr>
        <w:t xml:space="preserve"> </w:t>
      </w:r>
      <w:r>
        <w:rPr>
          <w:rStyle w:val="FloatTok"/>
        </w:rPr>
        <w:t xml:space="preserve">0.02</w:t>
      </w:r>
      <w:r>
        <w:rPr>
          <w:rStyle w:val="NormalTok"/>
        </w:rPr>
        <w:t xml:space="preserve">   </w:t>
      </w:r>
      <w:r>
        <w:rPr>
          <w:rStyle w:val="CommentTok"/>
        </w:rPr>
        <w:t xml:space="preserve"># taxa de depreciação inicial</w:t>
      </w:r>
      <w:r>
        <w:br/>
      </w:r>
      <w:r>
        <w:rPr>
          <w:rStyle w:val="NormalTok"/>
        </w:rPr>
        <w:t xml:space="preserve">delta_inc </w:t>
      </w:r>
      <w:r>
        <w:rPr>
          <w:rStyle w:val="OtherTok"/>
        </w:rPr>
        <w:t xml:space="preserve">&lt;-</w:t>
      </w:r>
      <w:r>
        <w:rPr>
          <w:rStyle w:val="NormalTok"/>
        </w:rPr>
        <w:t xml:space="preserve"> </w:t>
      </w:r>
      <w:r>
        <w:rPr>
          <w:rStyle w:val="FloatTok"/>
        </w:rPr>
        <w:t xml:space="preserve">0.001</w:t>
      </w:r>
      <w:r>
        <w:rPr>
          <w:rStyle w:val="NormalTok"/>
        </w:rPr>
        <w:t xml:space="preserve">  </w:t>
      </w:r>
      <w:r>
        <w:rPr>
          <w:rStyle w:val="CommentTok"/>
        </w:rPr>
        <w:t xml:space="preserve"># incremento anual na depreciação (envelhecimento)</w:t>
      </w:r>
      <w:r>
        <w:br/>
      </w:r>
      <w:r>
        <w:rPr>
          <w:rStyle w:val="NormalTok"/>
        </w:rPr>
        <w:t xml:space="preserve">I_base    </w:t>
      </w:r>
      <w:r>
        <w:rPr>
          <w:rStyle w:val="OtherTok"/>
        </w:rPr>
        <w:t xml:space="preserve">&lt;-</w:t>
      </w:r>
      <w:r>
        <w:rPr>
          <w:rStyle w:val="NormalTok"/>
        </w:rPr>
        <w:t xml:space="preserve"> </w:t>
      </w:r>
      <w:r>
        <w:rPr>
          <w:rStyle w:val="FloatTok"/>
        </w:rPr>
        <w:t xml:space="preserve">3.0</w:t>
      </w:r>
      <w:r>
        <w:rPr>
          <w:rStyle w:val="NormalTok"/>
        </w:rPr>
        <w:t xml:space="preserve">    </w:t>
      </w:r>
      <w:r>
        <w:rPr>
          <w:rStyle w:val="CommentTok"/>
        </w:rPr>
        <w:t xml:space="preserve"># investimento base em saúde</w:t>
      </w:r>
      <w:r>
        <w:br/>
      </w:r>
      <w:r>
        <w:rPr>
          <w:rStyle w:val="NormalTok"/>
        </w:rPr>
        <w:t xml:space="preserve">I_educ    </w:t>
      </w:r>
      <w:r>
        <w:rPr>
          <w:rStyle w:val="OtherTok"/>
        </w:rPr>
        <w:t xml:space="preserve">&lt;-</w:t>
      </w:r>
      <w:r>
        <w:rPr>
          <w:rStyle w:val="NormalTok"/>
        </w:rPr>
        <w:t xml:space="preserve"> </w:t>
      </w:r>
      <w:r>
        <w:rPr>
          <w:rStyle w:val="FloatTok"/>
        </w:rPr>
        <w:t xml:space="preserve">0.5</w:t>
      </w:r>
      <w:r>
        <w:rPr>
          <w:rStyle w:val="NormalTok"/>
        </w:rPr>
        <w:t xml:space="preserve">    </w:t>
      </w:r>
      <w:r>
        <w:rPr>
          <w:rStyle w:val="CommentTok"/>
        </w:rPr>
        <w:t xml:space="preserve"># bônus de investimento por educação (0 a 1)</w:t>
      </w:r>
      <w:r>
        <w:br/>
      </w:r>
      <w:r>
        <w:rPr>
          <w:rStyle w:val="NormalTok"/>
        </w:rPr>
        <w:t xml:space="preserve">H_min     </w:t>
      </w:r>
      <w:r>
        <w:rPr>
          <w:rStyle w:val="OtherTok"/>
        </w:rPr>
        <w:t xml:space="preserve">&lt;-</w:t>
      </w:r>
      <w:r>
        <w:rPr>
          <w:rStyle w:val="NormalTok"/>
        </w:rPr>
        <w:t xml:space="preserve"> </w:t>
      </w:r>
      <w:r>
        <w:rPr>
          <w:rStyle w:val="DecValTok"/>
        </w:rPr>
        <w:t xml:space="preserve">20</w:t>
      </w:r>
      <w:r>
        <w:rPr>
          <w:rStyle w:val="NormalTok"/>
        </w:rPr>
        <w:t xml:space="preserve">     </w:t>
      </w:r>
      <w:r>
        <w:rPr>
          <w:rStyle w:val="CommentTok"/>
        </w:rPr>
        <w:t xml:space="preserve"># limiar mínimo de saúde ("morte")</w:t>
      </w:r>
      <w:r>
        <w:br/>
      </w:r>
      <w:r>
        <w:br/>
      </w:r>
      <w:r>
        <w:rPr>
          <w:rStyle w:val="CommentTok"/>
        </w:rPr>
        <w:t xml:space="preserve"># Simulação</w:t>
      </w:r>
      <w:r>
        <w:br/>
      </w:r>
      <w:r>
        <w:rPr>
          <w:rStyle w:val="NormalTok"/>
        </w:rPr>
        <w:t xml:space="preserve">H </w:t>
      </w:r>
      <w:r>
        <w:rPr>
          <w:rStyle w:val="OtherTok"/>
        </w:rPr>
        <w:t xml:space="preserve">&lt;-</w:t>
      </w:r>
      <w:r>
        <w:rPr>
          <w:rStyle w:val="NormalTok"/>
        </w:rPr>
        <w:t xml:space="preserve"> </w:t>
      </w:r>
      <w:r>
        <w:rPr>
          <w:rStyle w:val="FunctionTok"/>
        </w:rPr>
        <w:t xml:space="preserve">numeric</w:t>
      </w:r>
      <w:r>
        <w:rPr>
          <w:rStyle w:val="NormalTok"/>
        </w:rPr>
        <w:t xml:space="preserve">(T_max)</w:t>
      </w:r>
      <w:r>
        <w:br/>
      </w:r>
      <w:r>
        <w:rPr>
          <w:rStyle w:val="NormalTok"/>
        </w:rPr>
        <w:t xml:space="preserve">H[</w:t>
      </w:r>
      <w:r>
        <w:rPr>
          <w:rStyle w:val="DecValTok"/>
        </w:rPr>
        <w:t xml:space="preserve">1</w:t>
      </w:r>
      <w:r>
        <w:rPr>
          <w:rStyle w:val="NormalTok"/>
        </w:rPr>
        <w:t xml:space="preserve">] </w:t>
      </w:r>
      <w:r>
        <w:rPr>
          <w:rStyle w:val="OtherTok"/>
        </w:rPr>
        <w:t xml:space="preserve">&lt;-</w:t>
      </w:r>
      <w:r>
        <w:rPr>
          <w:rStyle w:val="NormalTok"/>
        </w:rPr>
        <w:t xml:space="preserve"> H0</w:t>
      </w:r>
      <w:r>
        <w:br/>
      </w:r>
      <w:r>
        <w:rPr>
          <w:rStyle w:val="NormalTok"/>
        </w:rPr>
        <w:t xml:space="preserve">delta </w:t>
      </w:r>
      <w:r>
        <w:rPr>
          <w:rStyle w:val="OtherTok"/>
        </w:rPr>
        <w:t xml:space="preserve">&lt;-</w:t>
      </w:r>
      <w:r>
        <w:rPr>
          <w:rStyle w:val="NormalTok"/>
        </w:rPr>
        <w:t xml:space="preserve"> </w:t>
      </w:r>
      <w:r>
        <w:rPr>
          <w:rStyle w:val="FunctionTok"/>
        </w:rPr>
        <w:t xml:space="preserve">numeric</w:t>
      </w:r>
      <w:r>
        <w:rPr>
          <w:rStyle w:val="NormalTok"/>
        </w:rPr>
        <w:t xml:space="preserve">(T_max)</w:t>
      </w:r>
      <w:r>
        <w:br/>
      </w:r>
      <w:r>
        <w:br/>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T_max) {</w:t>
      </w:r>
      <w:r>
        <w:br/>
      </w:r>
      <w:r>
        <w:rPr>
          <w:rStyle w:val="NormalTok"/>
        </w:rPr>
        <w:t xml:space="preserve">  delta[t] </w:t>
      </w:r>
      <w:r>
        <w:rPr>
          <w:rStyle w:val="OtherTok"/>
        </w:rPr>
        <w:t xml:space="preserve">&lt;-</w:t>
      </w:r>
      <w:r>
        <w:rPr>
          <w:rStyle w:val="NormalTok"/>
        </w:rPr>
        <w:t xml:space="preserve"> delta_0 </w:t>
      </w:r>
      <w:r>
        <w:rPr>
          <w:rStyle w:val="SpecialCharTok"/>
        </w:rPr>
        <w:t xml:space="preserve">+</w:t>
      </w:r>
      <w:r>
        <w:rPr>
          <w:rStyle w:val="NormalTok"/>
        </w:rPr>
        <w:t xml:space="preserve"> delta_inc </w:t>
      </w:r>
      <w:r>
        <w:rPr>
          <w:rStyle w:val="SpecialCharTok"/>
        </w:rPr>
        <w:t xml:space="preserve">*</w:t>
      </w:r>
      <w:r>
        <w:rPr>
          <w:rStyle w:val="NormalTok"/>
        </w:rPr>
        <w:t xml:space="preserve"> (t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I_t </w:t>
      </w:r>
      <w:r>
        <w:rPr>
          <w:rStyle w:val="OtherTok"/>
        </w:rPr>
        <w:t xml:space="preserve">&lt;-</w:t>
      </w:r>
      <w:r>
        <w:rPr>
          <w:rStyle w:val="NormalTok"/>
        </w:rPr>
        <w:t xml:space="preserve"> I_base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I_educ)  </w:t>
      </w:r>
      <w:r>
        <w:rPr>
          <w:rStyle w:val="CommentTok"/>
        </w:rPr>
        <w:t xml:space="preserve"># investimento constante</w:t>
      </w:r>
      <w:r>
        <w:br/>
      </w:r>
      <w:r>
        <w:rPr>
          <w:rStyle w:val="NormalTok"/>
        </w:rPr>
        <w:t xml:space="preserve">  H[t] </w:t>
      </w:r>
      <w:r>
        <w:rPr>
          <w:rStyle w:val="OtherTok"/>
        </w:rPr>
        <w:t xml:space="preserve">&lt;-</w:t>
      </w:r>
      <w:r>
        <w:rPr>
          <w:rStyle w:val="NormalTok"/>
        </w:rPr>
        <w:t xml:space="preserve"> H[t</w:t>
      </w:r>
      <w:r>
        <w:rPr>
          <w:rStyle w:val="DecValTok"/>
        </w:rPr>
        <w:t xml:space="preserve">-1</w:t>
      </w:r>
      <w:r>
        <w:rPr>
          <w:rStyle w:val="NormalTok"/>
        </w:rPr>
        <w:t xml:space="preserve">] </w:t>
      </w:r>
      <w:r>
        <w:rPr>
          <w:rStyle w:val="SpecialCharTok"/>
        </w:rPr>
        <w:t xml:space="preserve">-</w:t>
      </w:r>
      <w:r>
        <w:rPr>
          <w:rStyle w:val="NormalTok"/>
        </w:rPr>
        <w:t xml:space="preserve"> delta[t] </w:t>
      </w:r>
      <w:r>
        <w:rPr>
          <w:rStyle w:val="SpecialCharTok"/>
        </w:rPr>
        <w:t xml:space="preserve">*</w:t>
      </w:r>
      <w:r>
        <w:rPr>
          <w:rStyle w:val="NormalTok"/>
        </w:rPr>
        <w:t xml:space="preserve"> H[t</w:t>
      </w:r>
      <w:r>
        <w:rPr>
          <w:rStyle w:val="DecValTok"/>
        </w:rPr>
        <w:t xml:space="preserve">-1</w:t>
      </w:r>
      <w:r>
        <w:rPr>
          <w:rStyle w:val="NormalTok"/>
        </w:rPr>
        <w:t xml:space="preserve">] </w:t>
      </w:r>
      <w:r>
        <w:rPr>
          <w:rStyle w:val="SpecialCharTok"/>
        </w:rPr>
        <w:t xml:space="preserve">+</w:t>
      </w:r>
      <w:r>
        <w:rPr>
          <w:rStyle w:val="NormalTok"/>
        </w:rPr>
        <w:t xml:space="preserve"> I_t</w:t>
      </w:r>
      <w:r>
        <w:br/>
      </w:r>
      <w:r>
        <w:rPr>
          <w:rStyle w:val="NormalTok"/>
        </w:rPr>
        <w:t xml:space="preserve">  </w:t>
      </w:r>
      <w:r>
        <w:rPr>
          <w:rStyle w:val="ControlFlowTok"/>
        </w:rPr>
        <w:t xml:space="preserve">if</w:t>
      </w:r>
      <w:r>
        <w:rPr>
          <w:rStyle w:val="NormalTok"/>
        </w:rPr>
        <w:t xml:space="preserve"> (H[t] </w:t>
      </w:r>
      <w:r>
        <w:rPr>
          <w:rStyle w:val="SpecialCharTok"/>
        </w:rPr>
        <w:t xml:space="preserve">&lt;</w:t>
      </w:r>
      <w:r>
        <w:rPr>
          <w:rStyle w:val="NormalTok"/>
        </w:rPr>
        <w:t xml:space="preserve"> H_min) { H[t</w:t>
      </w:r>
      <w:r>
        <w:rPr>
          <w:rStyle w:val="SpecialCharTok"/>
        </w:rPr>
        <w:t xml:space="preserve">:</w:t>
      </w:r>
      <w:r>
        <w:rPr>
          <w:rStyle w:val="NormalTok"/>
        </w:rPr>
        <w:t xml:space="preserve">T_max] </w:t>
      </w:r>
      <w:r>
        <w:rPr>
          <w:rStyle w:val="OtherTok"/>
        </w:rPr>
        <w:t xml:space="preserve">&lt;-</w:t>
      </w:r>
      <w:r>
        <w:rPr>
          <w:rStyle w:val="NormalTok"/>
        </w:rPr>
        <w:t xml:space="preserve"> </w:t>
      </w:r>
      <w:r>
        <w:rPr>
          <w:rStyle w:val="ConstantTok"/>
        </w:rPr>
        <w:t xml:space="preserve">NA</w:t>
      </w:r>
      <w:r>
        <w:rPr>
          <w:rStyle w:val="NormalTok"/>
        </w:rPr>
        <w:t xml:space="preserve">; </w:t>
      </w:r>
      <w:r>
        <w:rPr>
          <w:rStyle w:val="ControlFlowTok"/>
        </w:rPr>
        <w:t xml:space="preserve">break</w:t>
      </w:r>
      <w:r>
        <w:rPr>
          <w:rStyle w:val="NormalTok"/>
        </w:rPr>
        <w:t xml:space="preserve"> }</w:t>
      </w:r>
      <w:r>
        <w:br/>
      </w:r>
      <w:r>
        <w:rPr>
          <w:rStyle w:val="NormalTok"/>
        </w:rPr>
        <w:t xml:space="preserve">}</w:t>
      </w:r>
      <w:r>
        <w:br/>
      </w:r>
      <w:r>
        <w:br/>
      </w:r>
      <w:r>
        <w:rPr>
          <w:rStyle w:val="CommentTok"/>
        </w:rPr>
        <w:t xml:space="preserve"># Visualização</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CommentTok"/>
        </w:rPr>
        <w:t xml:space="preserve"># Painel 1: Estoque de saúde</w:t>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NormalTok"/>
        </w:rPr>
        <w:t xml:space="preserve">T_max, H,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FloatTok"/>
        </w:rPr>
        <w:t xml:space="preserve">2.5</w:t>
      </w:r>
      <w:r>
        <w:rPr>
          <w:rStyle w:val="NormalTok"/>
        </w:rPr>
        <w:t xml:space="preserve">, </w:t>
      </w:r>
      <w:r>
        <w:rPr>
          <w:rStyle w:val="AttributeTok"/>
        </w:rPr>
        <w:t xml:space="preserve">col =</w:t>
      </w:r>
      <w:r>
        <w:rPr>
          <w:rStyle w:val="NormalTok"/>
        </w:rPr>
        <w:t xml:space="preserve"> </w:t>
      </w:r>
      <w:r>
        <w:rPr>
          <w:rStyle w:val="StringTok"/>
        </w:rPr>
        <w:t xml:space="preserve">"#2196F3"</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"Idade"</w:t>
      </w:r>
      <w:r>
        <w:rPr>
          <w:rStyle w:val="NormalTok"/>
        </w:rPr>
        <w:t xml:space="preserve">, </w:t>
      </w:r>
      <w:r>
        <w:rPr>
          <w:rStyle w:val="AttributeTok"/>
        </w:rPr>
        <w:t xml:space="preserve">ylab =</w:t>
      </w:r>
      <w:r>
        <w:rPr>
          <w:rStyle w:val="NormalTok"/>
        </w:rPr>
        <w:t xml:space="preserve"> </w:t>
      </w:r>
      <w:r>
        <w:rPr>
          <w:rStyle w:val="StringTok"/>
        </w:rPr>
        <w:t xml:space="preserve">"Estoque de Saúde H(t)"</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"Modelo de Grossman: Capital de Saúde"</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H_min, </w:t>
      </w:r>
      <w:r>
        <w:rPr>
          <w:rStyle w:val="AttributeTok"/>
        </w:rPr>
        <w:t xml:space="preserve">col =</w:t>
      </w:r>
      <w:r>
        <w:rPr>
          <w:rStyle w:val="NormalTok"/>
        </w:rPr>
        <w:t xml:space="preserve"> </w:t>
      </w:r>
      <w:r>
        <w:rPr>
          <w:rStyle w:val="StringTok"/>
        </w:rPr>
        <w:t xml:space="preserve">"#F44336"</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w:t>
      </w:r>
      <w:r>
        <w:rPr>
          <w:rStyle w:val="DecValTok"/>
        </w:rPr>
        <w:t xml:space="preserve">10</w:t>
      </w:r>
      <w:r>
        <w:rPr>
          <w:rStyle w:val="NormalTok"/>
        </w:rPr>
        <w:t xml:space="preserve">, H_min </w:t>
      </w:r>
      <w:r>
        <w:rPr>
          <w:rStyle w:val="SpecialCharTok"/>
        </w:rPr>
        <w:t xml:space="preserve">+</w:t>
      </w:r>
      <w:r>
        <w:rPr>
          <w:rStyle w:val="NormalTok"/>
        </w:rPr>
        <w:t xml:space="preserve"> </w:t>
      </w:r>
      <w:r>
        <w:rPr>
          <w:rStyle w:val="DecValTok"/>
        </w:rPr>
        <w:t xml:space="preserve">3</w:t>
      </w:r>
      <w:r>
        <w:rPr>
          <w:rStyle w:val="NormalTok"/>
        </w:rPr>
        <w:t xml:space="preserve">, </w:t>
      </w:r>
      <w:r>
        <w:rPr>
          <w:rStyle w:val="FunctionTok"/>
        </w:rPr>
        <w:t xml:space="preserve">expression</w:t>
      </w:r>
      <w:r>
        <w:rPr>
          <w:rStyle w:val="NormalTok"/>
        </w:rPr>
        <w:t xml:space="preserve">(H[min] </w:t>
      </w:r>
      <w:r>
        <w:rPr>
          <w:rStyle w:val="SpecialCharTok"/>
        </w:rPr>
        <w:t xml:space="preserve">*</w:t>
      </w:r>
      <w:r>
        <w:rPr>
          <w:rStyle w:val="NormalTok"/>
        </w:rPr>
        <w:t xml:space="preserve"> </w:t>
      </w:r>
      <w:r>
        <w:rPr>
          <w:rStyle w:val="StringTok"/>
        </w:rPr>
        <w:t xml:space="preserve">" (limiar)"</w:t>
      </w:r>
      <w:r>
        <w:rPr>
          <w:rStyle w:val="NormalTok"/>
        </w:rPr>
        <w:t xml:space="preserve">), </w:t>
      </w:r>
      <w:r>
        <w:rPr>
          <w:rStyle w:val="AttributeTok"/>
        </w:rPr>
        <w:t xml:space="preserve">col =</w:t>
      </w:r>
      <w:r>
        <w:rPr>
          <w:rStyle w:val="NormalTok"/>
        </w:rPr>
        <w:t xml:space="preserve"> </w:t>
      </w:r>
      <w:r>
        <w:rPr>
          <w:rStyle w:val="StringTok"/>
        </w:rPr>
        <w:t xml:space="preserve">"#F44336"</w:t>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w:t>
      </w:r>
      <w:r>
        <w:br/>
      </w:r>
      <w:r>
        <w:br/>
      </w:r>
      <w:r>
        <w:rPr>
          <w:rStyle w:val="CommentTok"/>
        </w:rPr>
        <w:t xml:space="preserve"># Encontrar idade de 'morte'</w:t>
      </w:r>
      <w:r>
        <w:br/>
      </w:r>
      <w:r>
        <w:rPr>
          <w:rStyle w:val="NormalTok"/>
        </w:rPr>
        <w:t xml:space="preserve">t_morte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is.na</w:t>
      </w:r>
      <w:r>
        <w:rPr>
          <w:rStyle w:val="NormalTok"/>
        </w:rPr>
        <w:t xml:space="preserve">(H))[</w:t>
      </w:r>
      <w:r>
        <w:rPr>
          <w:rStyle w:val="DecValTok"/>
        </w:rPr>
        <w:t xml:space="preserve">1</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(t_morte)) {</w:t>
      </w:r>
      <w:r>
        <w:br/>
      </w:r>
      <w:r>
        <w:rPr>
          <w:rStyle w:val="NormalTok"/>
        </w:rPr>
        <w:t xml:space="preserve">  </w:t>
      </w:r>
      <w:r>
        <w:rPr>
          <w:rStyle w:val="FunctionTok"/>
        </w:rPr>
        <w:t xml:space="preserve">points</w:t>
      </w:r>
      <w:r>
        <w:rPr>
          <w:rStyle w:val="NormalTok"/>
        </w:rPr>
        <w:t xml:space="preserve">(t_morte </w:t>
      </w:r>
      <w:r>
        <w:rPr>
          <w:rStyle w:val="SpecialCharTok"/>
        </w:rPr>
        <w:t xml:space="preserve">-</w:t>
      </w:r>
      <w:r>
        <w:rPr>
          <w:rStyle w:val="NormalTok"/>
        </w:rPr>
        <w:t xml:space="preserve"> </w:t>
      </w:r>
      <w:r>
        <w:rPr>
          <w:rStyle w:val="DecValTok"/>
        </w:rPr>
        <w:t xml:space="preserve">1</w:t>
      </w:r>
      <w:r>
        <w:rPr>
          <w:rStyle w:val="NormalTok"/>
        </w:rPr>
        <w:t xml:space="preserve">, H[t_morte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pch =</w:t>
      </w:r>
      <w:r>
        <w:rPr>
          <w:rStyle w:val="NormalTok"/>
        </w:rPr>
        <w:t xml:space="preserve"> </w:t>
      </w:r>
      <w:r>
        <w:rPr>
          <w:rStyle w:val="DecValTok"/>
        </w:rPr>
        <w:t xml:space="preserve">4</w:t>
      </w:r>
      <w:r>
        <w:rPr>
          <w:rStyle w:val="NormalTok"/>
        </w:rPr>
        <w:t xml:space="preserve">, </w:t>
      </w:r>
      <w:r>
        <w:rPr>
          <w:rStyle w:val="AttributeTok"/>
        </w:rPr>
        <w:t xml:space="preserve">cex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"#F44336"</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text</w:t>
      </w:r>
      <w:r>
        <w:rPr>
          <w:rStyle w:val="NormalTok"/>
        </w:rPr>
        <w:t xml:space="preserve">(t_morte </w:t>
      </w:r>
      <w:r>
        <w:rPr>
          <w:rStyle w:val="SpecialCharTok"/>
        </w:rPr>
        <w:t xml:space="preserve">-</w:t>
      </w:r>
      <w:r>
        <w:rPr>
          <w:rStyle w:val="NormalTok"/>
        </w:rPr>
        <w:t xml:space="preserve"> </w:t>
      </w:r>
      <w:r>
        <w:rPr>
          <w:rStyle w:val="DecValTok"/>
        </w:rPr>
        <w:t xml:space="preserve">1</w:t>
      </w:r>
      <w:r>
        <w:rPr>
          <w:rStyle w:val="NormalTok"/>
        </w:rPr>
        <w:t xml:space="preserve">, H[t_morte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"t = "</w:t>
      </w:r>
      <w:r>
        <w:rPr>
          <w:rStyle w:val="NormalTok"/>
        </w:rPr>
        <w:t xml:space="preserve">, t_morte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"#F44336"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w:t>
      </w:r>
      <w:r>
        <w:br/>
      </w:r>
      <w:r>
        <w:rPr>
          <w:rStyle w:val="FunctionTok"/>
        </w:rPr>
        <w:t xml:space="preserve">grid</w:t>
      </w:r>
      <w:r>
        <w:rPr>
          <w:rStyle w:val="NormalTok"/>
        </w:rPr>
        <w:t xml:space="preserve">(</w:t>
      </w:r>
      <w:r>
        <w:rPr>
          <w:rStyle w:val="AttributeTok"/>
        </w:rPr>
        <w:t xml:space="preserve">col =</w:t>
      </w:r>
      <w:r>
        <w:rPr>
          <w:rStyle w:val="NormalTok"/>
        </w:rPr>
        <w:t xml:space="preserve"> </w:t>
      </w:r>
      <w:r>
        <w:rPr>
          <w:rStyle w:val="StringTok"/>
        </w:rPr>
        <w:t xml:space="preserve">"gray90"</w:t>
      </w:r>
      <w:r>
        <w:rPr>
          <w:rStyle w:val="NormalTok"/>
        </w:rPr>
        <w:t xml:space="preserve">)</w:t>
      </w:r>
      <w:r>
        <w:br/>
      </w:r>
      <w:r>
        <w:br/>
      </w:r>
      <w:r>
        <w:rPr>
          <w:rStyle w:val="CommentTok"/>
        </w:rPr>
        <w:t xml:space="preserve"># Painel 2: Taxa de depreciação</w:t>
      </w:r>
      <w:r>
        <w:br/>
      </w:r>
      <w:r>
        <w:rPr>
          <w:rStyle w:val="NormalTok"/>
        </w:rPr>
        <w:t xml:space="preserve">delta_plot </w:t>
      </w:r>
      <w:r>
        <w:rPr>
          <w:rStyle w:val="OtherTok"/>
        </w:rPr>
        <w:t xml:space="preserve">&lt;-</w:t>
      </w:r>
      <w:r>
        <w:rPr>
          <w:rStyle w:val="NormalTok"/>
        </w:rPr>
        <w:t xml:space="preserve"> delta_0 </w:t>
      </w:r>
      <w:r>
        <w:rPr>
          <w:rStyle w:val="SpecialCharTok"/>
        </w:rPr>
        <w:t xml:space="preserve">+</w:t>
      </w:r>
      <w:r>
        <w:rPr>
          <w:rStyle w:val="NormalTok"/>
        </w:rPr>
        <w:t xml:space="preserve"> delta_inc </w:t>
      </w:r>
      <w:r>
        <w:rPr>
          <w:rStyle w:val="SpecialCharTok"/>
        </w:rPr>
        <w:t xml:space="preserve">*</w:t>
      </w:r>
      <w:r>
        <w:rPr>
          <w:rStyle w:val="NormalTok"/>
        </w:rPr>
        <w:t xml:space="preserve"> (</w:t>
      </w:r>
      <w:r>
        <w:rPr>
          <w:rStyle w:val="DecValTok"/>
        </w:rPr>
        <w:t xml:space="preserve">0</w:t>
      </w:r>
      <w:r>
        <w:rPr>
          <w:rStyle w:val="SpecialCharTok"/>
        </w:rPr>
        <w:t xml:space="preserve">:</w:t>
      </w:r>
      <w:r>
        <w:rPr>
          <w:rStyle w:val="NormalTok"/>
        </w:rPr>
        <w:t xml:space="preserve">(T_max</w:t>
      </w:r>
      <w:r>
        <w:rPr>
          <w:rStyle w:val="DecValTok"/>
        </w:rPr>
        <w:t xml:space="preserve">-1</w:t>
      </w:r>
      <w:r>
        <w:rPr>
          <w:rStyle w:val="NormalTok"/>
        </w:rPr>
        <w:t xml:space="preserve">))</w:t>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NormalTok"/>
        </w:rPr>
        <w:t xml:space="preserve">T_max, delta_plot,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"#FF9800"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"Idade"</w:t>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FunctionTok"/>
        </w:rPr>
        <w:t xml:space="preserve">delta</w:t>
      </w:r>
      <w:r>
        <w:rPr>
          <w:rStyle w:val="NormalTok"/>
        </w:rPr>
        <w:t xml:space="preserve">(t)),</w:t>
      </w:r>
      <w:r>
        <w:br/>
      </w:r>
      <w:r>
        <w:rPr>
          <w:rStyle w:val="NormalTok"/>
        </w:rPr>
        <w:t xml:space="preserve">     </w:t>
      </w:r>
      <w:r>
        <w:rPr>
          <w:rStyle w:val="AttributeTok"/>
        </w:rPr>
        <w:t xml:space="preserve">main =</w:t>
      </w:r>
      <w:r>
        <w:rPr>
          <w:rStyle w:val="NormalTok"/>
        </w:rPr>
        <w:t xml:space="preserve"> </w:t>
      </w:r>
      <w:r>
        <w:rPr>
          <w:rStyle w:val="StringTok"/>
        </w:rPr>
        <w:t xml:space="preserve">"Taxa de Depreciação (envelhecimento)"</w:t>
      </w:r>
      <w:r>
        <w:rPr>
          <w:rStyle w:val="NormalTok"/>
        </w:rPr>
        <w:t xml:space="preserve">)</w:t>
      </w:r>
      <w:r>
        <w:br/>
      </w:r>
      <w:r>
        <w:rPr>
          <w:rStyle w:val="FunctionTok"/>
        </w:rPr>
        <w:t xml:space="preserve">grid</w:t>
      </w:r>
      <w:r>
        <w:rPr>
          <w:rStyle w:val="NormalTok"/>
        </w:rPr>
        <w:t xml:space="preserve">(</w:t>
      </w:r>
      <w:r>
        <w:rPr>
          <w:rStyle w:val="AttributeTok"/>
        </w:rPr>
        <w:t xml:space="preserve">col =</w:t>
      </w:r>
      <w:r>
        <w:rPr>
          <w:rStyle w:val="NormalTok"/>
        </w:rPr>
        <w:t xml:space="preserve"> </w:t>
      </w:r>
      <w:r>
        <w:rPr>
          <w:rStyle w:val="StringTok"/>
        </w:rPr>
        <w:t xml:space="preserve">"gray90"</w:t>
      </w:r>
      <w:r>
        <w:rPr>
          <w:rStyle w:val="NormalTok"/>
        </w:rPr>
        <w:t xml:space="preserve">)</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"Estoque inicial: %.0f | Investimento: %.1f/ano</w:t>
      </w:r>
      <w:r>
        <w:rPr>
          <w:rStyle w:val="SpecialCharTok"/>
        </w:rPr>
        <w:t xml:space="preserve">\n</w:t>
      </w:r>
      <w:r>
        <w:rPr>
          <w:rStyle w:val="StringTok"/>
        </w:rPr>
        <w:t xml:space="preserve">"</w:t>
      </w:r>
      <w:r>
        <w:rPr>
          <w:rStyle w:val="NormalTok"/>
        </w:rPr>
        <w:t xml:space="preserve">, H0, I_base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I_educ)))</w:t>
      </w:r>
      <w:r>
        <w:br/>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(t_morte))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"Saúde cruza limiar mínimo na idade %d</w:t>
      </w:r>
      <w:r>
        <w:rPr>
          <w:rStyle w:val="SpecialCharTok"/>
        </w:rPr>
        <w:t xml:space="preserve">\n</w:t>
      </w:r>
      <w:r>
        <w:rPr>
          <w:rStyle w:val="StringTok"/>
        </w:rPr>
        <w:t xml:space="preserve">"</w:t>
      </w:r>
      <w:r>
        <w:rPr>
          <w:rStyle w:val="NormalTok"/>
        </w:rPr>
        <w:t xml:space="preserve">, t_morte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"Saúde não cruza o limiar no horizonte simulado</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BlockText"/>
      </w:pPr>
      <w:r>
        <w:rPr>
          <w:b/>
          <w:bCs/>
        </w:rPr>
        <w:t xml:space="preserve">Experimente:</w:t>
      </w:r>
      <w:r>
        <w:t xml:space="preserve"> </w:t>
      </w:r>
      <w:r>
        <w:t xml:space="preserve">Aumente</w:t>
      </w:r>
      <w:r>
        <w:t xml:space="preserve"> </w:t>
      </w:r>
      <w:r>
        <w:rPr>
          <w:rStyle w:val="VerbatimChar"/>
        </w:rPr>
        <w:t xml:space="preserve">I_educ</w:t>
      </w:r>
      <w:r>
        <w:t xml:space="preserve"> </w:t>
      </w:r>
      <w:r>
        <w:t xml:space="preserve">para 1.0 (pessoa com alta escolaridade) e veja como a vida se estende — é o</w:t>
      </w:r>
      <w:r>
        <w:t xml:space="preserve"> </w:t>
      </w:r>
      <w:r>
        <w:t xml:space="preserve">“gradiente educação-saúde”</w:t>
      </w:r>
      <w:r>
        <w:t xml:space="preserve"> </w:t>
      </w:r>
      <w:r>
        <w:t xml:space="preserve">do Grossman. Reduza</w:t>
      </w:r>
      <w:r>
        <w:t xml:space="preserve"> </w:t>
      </w:r>
      <w:r>
        <w:rPr>
          <w:rStyle w:val="VerbatimChar"/>
        </w:rPr>
        <w:t xml:space="preserve">I_base</w:t>
      </w:r>
      <w:r>
        <w:t xml:space="preserve"> </w:t>
      </w:r>
      <w:r>
        <w:t xml:space="preserve">para 1.0 (sem acesso a cuidados médicos) e observe a queda abrupta. Aumente</w:t>
      </w:r>
      <w:r>
        <w:t xml:space="preserve"> </w:t>
      </w:r>
      <w:r>
        <w:rPr>
          <w:rStyle w:val="VerbatimChar"/>
        </w:rPr>
        <w:t xml:space="preserve">delta_inc</w:t>
      </w:r>
      <w:r>
        <w:t xml:space="preserve"> </w:t>
      </w:r>
      <w:r>
        <w:t xml:space="preserve">para 0.003 (envelhecimento acelerado) para simular doenças crônicas.</w:t>
      </w:r>
    </w:p>
    <w:p>
      <w:pPr>
        <w:pStyle w:val="BlockText"/>
      </w:pPr>
      <w:r>
        <w:rPr>
          <w:b/>
          <w:bCs/>
        </w:rPr>
        <w:t xml:space="preserve">[R-INTERACTIVE] R Interativo — Pooling vs. Separating: Simulação de Rothschild-Stiglitz em Seguros de Saúde</w:t>
      </w:r>
    </w:p>
    <w:p>
      <w:pPr>
        <w:pStyle w:val="SourceCode"/>
      </w:pPr>
      <w:r>
        <w:rPr>
          <w:rStyle w:val="CommentTok"/>
        </w:rPr>
        <w:t xml:space="preserve"># Simulação: equilíbrio pooling vs. separating em seguros de saúde</w:t>
      </w:r>
      <w:r>
        <w:br/>
      </w:r>
      <w:r>
        <w:br/>
      </w:r>
      <w:r>
        <w:rPr>
          <w:rStyle w:val="CommentTok"/>
        </w:rPr>
        <w:t xml:space="preserve"># Parâmetros</w:t>
      </w:r>
      <w:r>
        <w:br/>
      </w:r>
      <w:r>
        <w:rPr>
          <w:rStyle w:val="NormalTok"/>
        </w:rPr>
        <w:t xml:space="preserve">n_pop     </w:t>
      </w:r>
      <w:r>
        <w:rPr>
          <w:rStyle w:val="OtherTok"/>
        </w:rPr>
        <w:t xml:space="preserve">&lt;-</w:t>
      </w:r>
      <w:r>
        <w:rPr>
          <w:rStyle w:val="NormalTok"/>
        </w:rPr>
        <w:t xml:space="preserve"> </w:t>
      </w:r>
      <w:r>
        <w:rPr>
          <w:rStyle w:val="DecValTok"/>
        </w:rPr>
        <w:t xml:space="preserve">1000</w:t>
      </w:r>
      <w:r>
        <w:rPr>
          <w:rStyle w:val="NormalTok"/>
        </w:rPr>
        <w:t xml:space="preserve">   </w:t>
      </w:r>
      <w:r>
        <w:rPr>
          <w:rStyle w:val="CommentTok"/>
        </w:rPr>
        <w:t xml:space="preserve"># tamanho da população</w:t>
      </w:r>
      <w:r>
        <w:br/>
      </w:r>
      <w:r>
        <w:rPr>
          <w:rStyle w:val="NormalTok"/>
        </w:rPr>
        <w:t xml:space="preserve">frac_H    </w:t>
      </w:r>
      <w:r>
        <w:rPr>
          <w:rStyle w:val="OtherTok"/>
        </w:rPr>
        <w:t xml:space="preserve">&lt;-</w:t>
      </w:r>
      <w:r>
        <w:rPr>
          <w:rStyle w:val="NormalTok"/>
        </w:rPr>
        <w:t xml:space="preserve"> </w:t>
      </w:r>
      <w:r>
        <w:rPr>
          <w:rStyle w:val="FloatTok"/>
        </w:rPr>
        <w:t xml:space="preserve">0.25</w:t>
      </w:r>
      <w:r>
        <w:rPr>
          <w:rStyle w:val="NormalTok"/>
        </w:rPr>
        <w:t xml:space="preserve">   </w:t>
      </w:r>
      <w:r>
        <w:rPr>
          <w:rStyle w:val="CommentTok"/>
        </w:rPr>
        <w:t xml:space="preserve"># fração de alto risco</w:t>
      </w:r>
      <w:r>
        <w:br/>
      </w:r>
      <w:r>
        <w:rPr>
          <w:rStyle w:val="NormalTok"/>
        </w:rPr>
        <w:t xml:space="preserve">pi_H      </w:t>
      </w:r>
      <w:r>
        <w:rPr>
          <w:rStyle w:val="OtherTok"/>
        </w:rPr>
        <w:t xml:space="preserve">&lt;-</w:t>
      </w:r>
      <w:r>
        <w:rPr>
          <w:rStyle w:val="NormalTok"/>
        </w:rPr>
        <w:t xml:space="preserve"> </w:t>
      </w:r>
      <w:r>
        <w:rPr>
          <w:rStyle w:val="FloatTok"/>
        </w:rPr>
        <w:t xml:space="preserve">0.60</w:t>
      </w:r>
      <w:r>
        <w:rPr>
          <w:rStyle w:val="NormalTok"/>
        </w:rPr>
        <w:t xml:space="preserve">   </w:t>
      </w:r>
      <w:r>
        <w:rPr>
          <w:rStyle w:val="CommentTok"/>
        </w:rPr>
        <w:t xml:space="preserve"># probabilidade de sinistro (alto risco)</w:t>
      </w:r>
      <w:r>
        <w:br/>
      </w:r>
      <w:r>
        <w:rPr>
          <w:rStyle w:val="NormalTok"/>
        </w:rPr>
        <w:t xml:space="preserve">pi_L      </w:t>
      </w:r>
      <w:r>
        <w:rPr>
          <w:rStyle w:val="OtherTok"/>
        </w:rPr>
        <w:t xml:space="preserve">&lt;-</w:t>
      </w:r>
      <w:r>
        <w:rPr>
          <w:rStyle w:val="NormalTok"/>
        </w:rPr>
        <w:t xml:space="preserve"> </w:t>
      </w:r>
      <w:r>
        <w:rPr>
          <w:rStyle w:val="FloatTok"/>
        </w:rPr>
        <w:t xml:space="preserve">0.10</w:t>
      </w:r>
      <w:r>
        <w:rPr>
          <w:rStyle w:val="NormalTok"/>
        </w:rPr>
        <w:t xml:space="preserve">   </w:t>
      </w:r>
      <w:r>
        <w:rPr>
          <w:rStyle w:val="CommentTok"/>
        </w:rPr>
        <w:t xml:space="preserve"># probabilidade de sinistro (baixo risco)</w:t>
      </w:r>
      <w:r>
        <w:br/>
      </w:r>
      <w:r>
        <w:rPr>
          <w:rStyle w:val="NormalTok"/>
        </w:rPr>
        <w:t xml:space="preserve">loss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custo do sinistro (R$)</w:t>
      </w:r>
      <w:r>
        <w:br/>
      </w:r>
      <w:r>
        <w:rPr>
          <w:rStyle w:val="NormalTok"/>
        </w:rPr>
        <w:t xml:space="preserve">wtp_L_max </w:t>
      </w:r>
      <w:r>
        <w:rPr>
          <w:rStyle w:val="OtherTok"/>
        </w:rPr>
        <w:t xml:space="preserve">&lt;-</w:t>
      </w:r>
      <w:r>
        <w:rPr>
          <w:rStyle w:val="NormalTok"/>
        </w:rPr>
        <w:t xml:space="preserve"> </w:t>
      </w:r>
      <w:r>
        <w:rPr>
          <w:rStyle w:val="DecValTok"/>
        </w:rPr>
        <w:t xml:space="preserve">8000</w:t>
      </w:r>
      <w:r>
        <w:rPr>
          <w:rStyle w:val="NormalTok"/>
        </w:rPr>
        <w:t xml:space="preserve">   </w:t>
      </w:r>
      <w:r>
        <w:rPr>
          <w:rStyle w:val="CommentTok"/>
        </w:rPr>
        <w:t xml:space="preserve"># disposição máxima a pagar do tipo L</w:t>
      </w:r>
      <w:r>
        <w:br/>
      </w:r>
      <w:r>
        <w:br/>
      </w:r>
      <w:r>
        <w:rPr>
          <w:rStyle w:val="CommentTok"/>
        </w:rPr>
        <w:t xml:space="preserve"># Custos atuariais</w:t>
      </w:r>
      <w:r>
        <w:br/>
      </w:r>
      <w:r>
        <w:rPr>
          <w:rStyle w:val="NormalTok"/>
        </w:rPr>
        <w:t xml:space="preserve">P_H </w:t>
      </w:r>
      <w:r>
        <w:rPr>
          <w:rStyle w:val="OtherTok"/>
        </w:rPr>
        <w:t xml:space="preserve">&lt;-</w:t>
      </w:r>
      <w:r>
        <w:rPr>
          <w:rStyle w:val="NormalTok"/>
        </w:rPr>
        <w:t xml:space="preserve"> pi_H </w:t>
      </w:r>
      <w:r>
        <w:rPr>
          <w:rStyle w:val="SpecialCharTok"/>
        </w:rPr>
        <w:t xml:space="preserve">*</w:t>
      </w:r>
      <w:r>
        <w:rPr>
          <w:rStyle w:val="NormalTok"/>
        </w:rPr>
        <w:t xml:space="preserve"> loss</w:t>
      </w:r>
      <w:r>
        <w:br/>
      </w:r>
      <w:r>
        <w:rPr>
          <w:rStyle w:val="NormalTok"/>
        </w:rPr>
        <w:t xml:space="preserve">P_L </w:t>
      </w:r>
      <w:r>
        <w:rPr>
          <w:rStyle w:val="OtherTok"/>
        </w:rPr>
        <w:t xml:space="preserve">&lt;-</w:t>
      </w:r>
      <w:r>
        <w:rPr>
          <w:rStyle w:val="NormalTok"/>
        </w:rPr>
        <w:t xml:space="preserve"> pi_L </w:t>
      </w:r>
      <w:r>
        <w:rPr>
          <w:rStyle w:val="SpecialCharTok"/>
        </w:rPr>
        <w:t xml:space="preserve">*</w:t>
      </w:r>
      <w:r>
        <w:rPr>
          <w:rStyle w:val="NormalTok"/>
        </w:rPr>
        <w:t xml:space="preserve"> loss</w:t>
      </w:r>
      <w:r>
        <w:br/>
      </w:r>
      <w:r>
        <w:rPr>
          <w:rStyle w:val="NormalTok"/>
        </w:rPr>
        <w:t xml:space="preserve">P_pool </w:t>
      </w:r>
      <w:r>
        <w:rPr>
          <w:rStyle w:val="OtherTok"/>
        </w:rPr>
        <w:t xml:space="preserve">&lt;-</w:t>
      </w:r>
      <w:r>
        <w:rPr>
          <w:rStyle w:val="NormalTok"/>
        </w:rPr>
        <w:t xml:space="preserve"> frac_H </w:t>
      </w:r>
      <w:r>
        <w:rPr>
          <w:rStyle w:val="SpecialCharTok"/>
        </w:rPr>
        <w:t xml:space="preserve">*</w:t>
      </w:r>
      <w:r>
        <w:rPr>
          <w:rStyle w:val="NormalTok"/>
        </w:rPr>
        <w:t xml:space="preserve"> P_H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frac_H) </w:t>
      </w:r>
      <w:r>
        <w:rPr>
          <w:rStyle w:val="SpecialCharTok"/>
        </w:rPr>
        <w:t xml:space="preserve">*</w:t>
      </w:r>
      <w:r>
        <w:rPr>
          <w:rStyle w:val="NormalTok"/>
        </w:rPr>
        <w:t xml:space="preserve"> P_L</w:t>
      </w:r>
      <w:r>
        <w:br/>
      </w:r>
      <w:r>
        <w:br/>
      </w:r>
      <w:r>
        <w:rPr>
          <w:rStyle w:val="FunctionTok"/>
        </w:rPr>
        <w:t xml:space="preserve">cat</w:t>
      </w:r>
      <w:r>
        <w:rPr>
          <w:rStyle w:val="NormalTok"/>
        </w:rPr>
        <w:t xml:space="preserve">(</w:t>
      </w:r>
      <w:r>
        <w:rPr>
          <w:rStyle w:val="StringTok"/>
        </w:rPr>
        <w:t xml:space="preserve">"═══ PARÂMETROS ═══</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"Tipo H: prob = %.0f%%, custo justo = R$ %s</w:t>
      </w:r>
      <w:r>
        <w:rPr>
          <w:rStyle w:val="SpecialCharTok"/>
        </w:rPr>
        <w:t xml:space="preserve">\n</w:t>
      </w:r>
      <w:r>
        <w:rPr>
          <w:rStyle w:val="StringTok"/>
        </w:rPr>
        <w:t xml:space="preserve">"</w:t>
      </w:r>
      <w:r>
        <w:rPr>
          <w:rStyle w:val="NormalTok"/>
        </w:rPr>
        <w:t xml:space="preserve">, pi_H</w:t>
      </w:r>
      <w:r>
        <w:rPr>
          <w:rStyle w:val="SpecialCharTok"/>
        </w:rPr>
        <w:t xml:space="preserve">*</w:t>
      </w:r>
      <w:r>
        <w:rPr>
          <w:rStyle w:val="DecValTok"/>
        </w:rPr>
        <w:t xml:space="preserve">100</w:t>
      </w:r>
      <w:r>
        <w:rPr>
          <w:rStyle w:val="NormalTok"/>
        </w:rPr>
        <w:t xml:space="preserve">, </w:t>
      </w:r>
      <w:r>
        <w:rPr>
          <w:rStyle w:val="FunctionTok"/>
        </w:rPr>
        <w:t xml:space="preserve">format</w:t>
      </w:r>
      <w:r>
        <w:rPr>
          <w:rStyle w:val="NormalTok"/>
        </w:rPr>
        <w:t xml:space="preserve">(P_H, </w:t>
      </w:r>
      <w:r>
        <w:rPr>
          <w:rStyle w:val="AttributeTok"/>
        </w:rPr>
        <w:t xml:space="preserve">big.mark=</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"Tipo L: prob = %.0f%%, custo justo = R$ %s</w:t>
      </w:r>
      <w:r>
        <w:rPr>
          <w:rStyle w:val="SpecialCharTok"/>
        </w:rPr>
        <w:t xml:space="preserve">\n</w:t>
      </w:r>
      <w:r>
        <w:rPr>
          <w:rStyle w:val="StringTok"/>
        </w:rPr>
        <w:t xml:space="preserve">"</w:t>
      </w:r>
      <w:r>
        <w:rPr>
          <w:rStyle w:val="NormalTok"/>
        </w:rPr>
        <w:t xml:space="preserve">, pi_L</w:t>
      </w:r>
      <w:r>
        <w:rPr>
          <w:rStyle w:val="SpecialCharTok"/>
        </w:rPr>
        <w:t xml:space="preserve">*</w:t>
      </w:r>
      <w:r>
        <w:rPr>
          <w:rStyle w:val="DecValTok"/>
        </w:rPr>
        <w:t xml:space="preserve">100</w:t>
      </w:r>
      <w:r>
        <w:rPr>
          <w:rStyle w:val="NormalTok"/>
        </w:rPr>
        <w:t xml:space="preserve">, </w:t>
      </w:r>
      <w:r>
        <w:rPr>
          <w:rStyle w:val="FunctionTok"/>
        </w:rPr>
        <w:t xml:space="preserve">format</w:t>
      </w:r>
      <w:r>
        <w:rPr>
          <w:rStyle w:val="NormalTok"/>
        </w:rPr>
        <w:t xml:space="preserve">(P_L, </w:t>
      </w:r>
      <w:r>
        <w:rPr>
          <w:rStyle w:val="AttributeTok"/>
        </w:rPr>
        <w:t xml:space="preserve">big.mark=</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"Prêmio pool (todos): R$ %s</w:t>
      </w:r>
      <w:r>
        <w:rPr>
          <w:rStyle w:val="SpecialCharTok"/>
        </w:rPr>
        <w:t xml:space="preserve">\n\n</w:t>
      </w:r>
      <w:r>
        <w:rPr>
          <w:rStyle w:val="StringTok"/>
        </w:rPr>
        <w:t xml:space="preserve">"</w:t>
      </w:r>
      <w:r>
        <w:rPr>
          <w:rStyle w:val="NormalTok"/>
        </w:rPr>
        <w:t xml:space="preserve">, </w:t>
      </w:r>
      <w:r>
        <w:rPr>
          <w:rStyle w:val="FunctionTok"/>
        </w:rPr>
        <w:t xml:space="preserve">format</w:t>
      </w:r>
      <w:r>
        <w:rPr>
          <w:rStyle w:val="NormalTok"/>
        </w:rPr>
        <w:t xml:space="preserve">(P_pool, </w:t>
      </w:r>
      <w:r>
        <w:rPr>
          <w:rStyle w:val="AttributeTok"/>
        </w:rPr>
        <w:t xml:space="preserve">big.mark=</w:t>
      </w:r>
      <w:r>
        <w:rPr>
          <w:rStyle w:val="StringTok"/>
        </w:rPr>
        <w:t xml:space="preserve">"."</w:t>
      </w:r>
      <w:r>
        <w:rPr>
          <w:rStyle w:val="NormalTok"/>
        </w:rPr>
        <w:t xml:space="preserve">)))</w:t>
      </w:r>
      <w:r>
        <w:br/>
      </w:r>
      <w:r>
        <w:br/>
      </w:r>
      <w:r>
        <w:rPr>
          <w:rStyle w:val="CommentTok"/>
        </w:rPr>
        <w:t xml:space="preserve"># Simulação da espiral da morte</w:t>
      </w:r>
      <w:r>
        <w:br/>
      </w:r>
      <w:r>
        <w:rPr>
          <w:rStyle w:val="NormalTok"/>
        </w:rPr>
        <w:t xml:space="preserve">n_H </w:t>
      </w:r>
      <w:r>
        <w:rPr>
          <w:rStyle w:val="OtherTok"/>
        </w:rPr>
        <w:t xml:space="preserve">&lt;-</w:t>
      </w:r>
      <w:r>
        <w:rPr>
          <w:rStyle w:val="NormalTok"/>
        </w:rPr>
        <w:t xml:space="preserve"> </w:t>
      </w:r>
      <w:r>
        <w:rPr>
          <w:rStyle w:val="FunctionTok"/>
        </w:rPr>
        <w:t xml:space="preserve">round</w:t>
      </w:r>
      <w:r>
        <w:rPr>
          <w:rStyle w:val="NormalTok"/>
        </w:rPr>
        <w:t xml:space="preserve">(n_pop </w:t>
      </w:r>
      <w:r>
        <w:rPr>
          <w:rStyle w:val="SpecialCharTok"/>
        </w:rPr>
        <w:t xml:space="preserve">*</w:t>
      </w:r>
      <w:r>
        <w:rPr>
          <w:rStyle w:val="NormalTok"/>
        </w:rPr>
        <w:t xml:space="preserve"> frac_H)</w:t>
      </w:r>
      <w:r>
        <w:br/>
      </w:r>
      <w:r>
        <w:rPr>
          <w:rStyle w:val="NormalTok"/>
        </w:rPr>
        <w:t xml:space="preserve">n_L </w:t>
      </w:r>
      <w:r>
        <w:rPr>
          <w:rStyle w:val="OtherTok"/>
        </w:rPr>
        <w:t xml:space="preserve">&lt;-</w:t>
      </w:r>
      <w:r>
        <w:rPr>
          <w:rStyle w:val="NormalTok"/>
        </w:rPr>
        <w:t xml:space="preserve"> n_pop </w:t>
      </w:r>
      <w:r>
        <w:rPr>
          <w:rStyle w:val="SpecialCharTok"/>
        </w:rPr>
        <w:t xml:space="preserve">-</w:t>
      </w:r>
      <w:r>
        <w:rPr>
          <w:rStyle w:val="NormalTok"/>
        </w:rPr>
        <w:t xml:space="preserve"> n_H</w:t>
      </w:r>
      <w:r>
        <w:br/>
      </w:r>
      <w:r>
        <w:rPr>
          <w:rStyle w:val="NormalTok"/>
        </w:rPr>
        <w:t xml:space="preserve">tipos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"H"</w:t>
      </w:r>
      <w:r>
        <w:rPr>
          <w:rStyle w:val="NormalTok"/>
        </w:rPr>
        <w:t xml:space="preserve">, n_H), </w:t>
      </w:r>
      <w:r>
        <w:rPr>
          <w:rStyle w:val="FunctionTok"/>
        </w:rPr>
        <w:t xml:space="preserve">rep</w:t>
      </w:r>
      <w:r>
        <w:rPr>
          <w:rStyle w:val="NormalTok"/>
        </w:rPr>
        <w:t xml:space="preserve">(</w:t>
      </w:r>
      <w:r>
        <w:rPr>
          <w:rStyle w:val="StringTok"/>
        </w:rPr>
        <w:t xml:space="preserve">"L"</w:t>
      </w:r>
      <w:r>
        <w:rPr>
          <w:rStyle w:val="NormalTok"/>
        </w:rPr>
        <w:t xml:space="preserve">, n_L))</w:t>
      </w:r>
      <w:r>
        <w:br/>
      </w:r>
      <w:r>
        <w:br/>
      </w:r>
      <w:r>
        <w:rPr>
          <w:rStyle w:val="CommentTok"/>
        </w:rPr>
        <w:t xml:space="preserve"># Iterações da espiral</w:t>
      </w:r>
      <w:r>
        <w:br/>
      </w:r>
      <w:r>
        <w:rPr>
          <w:rStyle w:val="NormalTok"/>
        </w:rPr>
        <w:t xml:space="preserve">premios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10</w:t>
      </w:r>
      <w:r>
        <w:rPr>
          <w:rStyle w:val="NormalTok"/>
        </w:rPr>
        <w:t xml:space="preserve">)</w:t>
      </w:r>
      <w:r>
        <w:br/>
      </w:r>
      <w:r>
        <w:rPr>
          <w:rStyle w:val="NormalTok"/>
        </w:rPr>
        <w:t xml:space="preserve">segurados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10</w:t>
      </w:r>
      <w:r>
        <w:rPr>
          <w:rStyle w:val="NormalTok"/>
        </w:rPr>
        <w:t xml:space="preserve">)</w:t>
      </w:r>
      <w:r>
        <w:br/>
      </w:r>
      <w:r>
        <w:rPr>
          <w:rStyle w:val="NormalTok"/>
        </w:rPr>
        <w:t xml:space="preserve">pool_atual </w:t>
      </w:r>
      <w:r>
        <w:rPr>
          <w:rStyle w:val="OtherTok"/>
        </w:rPr>
        <w:t xml:space="preserve">&lt;-</w:t>
      </w:r>
      <w:r>
        <w:rPr>
          <w:rStyle w:val="NormalTok"/>
        </w:rPr>
        <w:t xml:space="preserve"> tipos</w:t>
      </w:r>
      <w:r>
        <w:br/>
      </w:r>
      <w:r>
        <w:br/>
      </w:r>
      <w:r>
        <w:rPr>
          <w:rStyle w:val="ControlFlowTok"/>
        </w:rPr>
        <w:t xml:space="preserve">for</w:t>
      </w:r>
      <w:r>
        <w:rPr>
          <w:rStyle w:val="NormalTok"/>
        </w:rPr>
        <w:t xml:space="preserve"> (iter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rPr>
          <w:rStyle w:val="NormalTok"/>
        </w:rPr>
        <w:t xml:space="preserve">  n_h </w:t>
      </w:r>
      <w:r>
        <w:rPr>
          <w:rStyle w:val="OtherTok"/>
        </w:rPr>
        <w:t xml:space="preserve">&lt;-</w:t>
      </w:r>
      <w:r>
        <w:rPr>
          <w:rStyle w:val="NormalTok"/>
        </w:rPr>
        <w:t xml:space="preserve"> </w:t>
      </w:r>
      <w:r>
        <w:rPr>
          <w:rStyle w:val="FunctionTok"/>
        </w:rPr>
        <w:t xml:space="preserve">sum</w:t>
      </w:r>
      <w:r>
        <w:rPr>
          <w:rStyle w:val="NormalTok"/>
        </w:rPr>
        <w:t xml:space="preserve">(pool_atual </w:t>
      </w:r>
      <w:r>
        <w:rPr>
          <w:rStyle w:val="SpecialCharTok"/>
        </w:rPr>
        <w:t xml:space="preserve">==</w:t>
      </w:r>
      <w:r>
        <w:rPr>
          <w:rStyle w:val="NormalTok"/>
        </w:rPr>
        <w:t xml:space="preserve"> </w:t>
      </w:r>
      <w:r>
        <w:rPr>
          <w:rStyle w:val="StringTok"/>
        </w:rPr>
        <w:t xml:space="preserve">"H"</w:t>
      </w:r>
      <w:r>
        <w:rPr>
          <w:rStyle w:val="NormalTok"/>
        </w:rPr>
        <w:t xml:space="preserve">)</w:t>
      </w:r>
      <w:r>
        <w:br/>
      </w:r>
      <w:r>
        <w:rPr>
          <w:rStyle w:val="NormalTok"/>
        </w:rPr>
        <w:t xml:space="preserve">  n_l </w:t>
      </w:r>
      <w:r>
        <w:rPr>
          <w:rStyle w:val="OtherTok"/>
        </w:rPr>
        <w:t xml:space="preserve">&lt;-</w:t>
      </w:r>
      <w:r>
        <w:rPr>
          <w:rStyle w:val="NormalTok"/>
        </w:rPr>
        <w:t xml:space="preserve"> </w:t>
      </w:r>
      <w:r>
        <w:rPr>
          <w:rStyle w:val="FunctionTok"/>
        </w:rPr>
        <w:t xml:space="preserve">sum</w:t>
      </w:r>
      <w:r>
        <w:rPr>
          <w:rStyle w:val="NormalTok"/>
        </w:rPr>
        <w:t xml:space="preserve">(pool_atual </w:t>
      </w:r>
      <w:r>
        <w:rPr>
          <w:rStyle w:val="SpecialCharTok"/>
        </w:rPr>
        <w:t xml:space="preserve">==</w:t>
      </w:r>
      <w:r>
        <w:rPr>
          <w:rStyle w:val="NormalTok"/>
        </w:rPr>
        <w:t xml:space="preserve"> </w:t>
      </w:r>
      <w:r>
        <w:rPr>
          <w:rStyle w:val="StringTok"/>
        </w:rPr>
        <w:t xml:space="preserve">"L"</w:t>
      </w:r>
      <w:r>
        <w:rPr>
          <w:rStyle w:val="NormalTok"/>
        </w:rPr>
        <w:t xml:space="preserve">)</w:t>
      </w:r>
      <w:r>
        <w:br/>
      </w:r>
      <w:r>
        <w:rPr>
          <w:rStyle w:val="NormalTok"/>
        </w:rPr>
        <w:t xml:space="preserve">  n_total </w:t>
      </w:r>
      <w:r>
        <w:rPr>
          <w:rStyle w:val="OtherTok"/>
        </w:rPr>
        <w:t xml:space="preserve">&lt;-</w:t>
      </w:r>
      <w:r>
        <w:rPr>
          <w:rStyle w:val="NormalTok"/>
        </w:rPr>
        <w:t xml:space="preserve"> n_h </w:t>
      </w:r>
      <w:r>
        <w:rPr>
          <w:rStyle w:val="SpecialCharTok"/>
        </w:rPr>
        <w:t xml:space="preserve">+</w:t>
      </w:r>
      <w:r>
        <w:rPr>
          <w:rStyle w:val="NormalTok"/>
        </w:rPr>
        <w:t xml:space="preserve"> n_l</w:t>
      </w:r>
      <w:r>
        <w:br/>
      </w:r>
      <w:r>
        <w:rPr>
          <w:rStyle w:val="NormalTok"/>
        </w:rPr>
        <w:t xml:space="preserve">  </w:t>
      </w:r>
      <w:r>
        <w:rPr>
          <w:rStyle w:val="ControlFlowTok"/>
        </w:rPr>
        <w:t xml:space="preserve">if</w:t>
      </w:r>
      <w:r>
        <w:rPr>
          <w:rStyle w:val="NormalTok"/>
        </w:rPr>
        <w:t xml:space="preserve"> (n_total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break</w:t>
      </w:r>
      <w:r>
        <w:br/>
      </w:r>
      <w:r>
        <w:br/>
      </w:r>
      <w:r>
        <w:rPr>
          <w:rStyle w:val="NormalTok"/>
        </w:rPr>
        <w:t xml:space="preserve">  premio </w:t>
      </w:r>
      <w:r>
        <w:rPr>
          <w:rStyle w:val="OtherTok"/>
        </w:rPr>
        <w:t xml:space="preserve">&lt;-</w:t>
      </w:r>
      <w:r>
        <w:rPr>
          <w:rStyle w:val="NormalTok"/>
        </w:rPr>
        <w:t xml:space="preserve"> (n_h </w:t>
      </w:r>
      <w:r>
        <w:rPr>
          <w:rStyle w:val="SpecialCharTok"/>
        </w:rPr>
        <w:t xml:space="preserve">*</w:t>
      </w:r>
      <w:r>
        <w:rPr>
          <w:rStyle w:val="NormalTok"/>
        </w:rPr>
        <w:t xml:space="preserve"> P_H </w:t>
      </w:r>
      <w:r>
        <w:rPr>
          <w:rStyle w:val="SpecialCharTok"/>
        </w:rPr>
        <w:t xml:space="preserve">+</w:t>
      </w:r>
      <w:r>
        <w:rPr>
          <w:rStyle w:val="NormalTok"/>
        </w:rPr>
        <w:t xml:space="preserve"> n_l </w:t>
      </w:r>
      <w:r>
        <w:rPr>
          <w:rStyle w:val="SpecialCharTok"/>
        </w:rPr>
        <w:t xml:space="preserve">*</w:t>
      </w:r>
      <w:r>
        <w:rPr>
          <w:rStyle w:val="NormalTok"/>
        </w:rPr>
        <w:t xml:space="preserve"> P_L) </w:t>
      </w:r>
      <w:r>
        <w:rPr>
          <w:rStyle w:val="SpecialCharTok"/>
        </w:rPr>
        <w:t xml:space="preserve">/</w:t>
      </w:r>
      <w:r>
        <w:rPr>
          <w:rStyle w:val="NormalTok"/>
        </w:rPr>
        <w:t xml:space="preserve"> n_total</w:t>
      </w:r>
      <w:r>
        <w:br/>
      </w:r>
      <w:r>
        <w:rPr>
          <w:rStyle w:val="NormalTok"/>
        </w:rPr>
        <w:t xml:space="preserve">  premios[iter] </w:t>
      </w:r>
      <w:r>
        <w:rPr>
          <w:rStyle w:val="OtherTok"/>
        </w:rPr>
        <w:t xml:space="preserve">&lt;-</w:t>
      </w:r>
      <w:r>
        <w:rPr>
          <w:rStyle w:val="NormalTok"/>
        </w:rPr>
        <w:t xml:space="preserve"> premio</w:t>
      </w:r>
      <w:r>
        <w:br/>
      </w:r>
      <w:r>
        <w:rPr>
          <w:rStyle w:val="NormalTok"/>
        </w:rPr>
        <w:t xml:space="preserve">  segurados[iter] </w:t>
      </w:r>
      <w:r>
        <w:rPr>
          <w:rStyle w:val="OtherTok"/>
        </w:rPr>
        <w:t xml:space="preserve">&lt;-</w:t>
      </w:r>
      <w:r>
        <w:rPr>
          <w:rStyle w:val="NormalTok"/>
        </w:rPr>
        <w:t xml:space="preserve"> n_total</w:t>
      </w:r>
      <w:r>
        <w:br/>
      </w:r>
      <w:r>
        <w:br/>
      </w:r>
      <w:r>
        <w:rPr>
          <w:rStyle w:val="NormalTok"/>
        </w:rPr>
        <w:t xml:space="preserve">  </w:t>
      </w:r>
      <w:r>
        <w:rPr>
          <w:rStyle w:val="CommentTok"/>
        </w:rPr>
        <w:t xml:space="preserve"># Tipo L sai se prêmio &gt; disposição a pagar</w:t>
      </w:r>
      <w:r>
        <w:br/>
      </w:r>
      <w:r>
        <w:rPr>
          <w:rStyle w:val="NormalTok"/>
        </w:rPr>
        <w:t xml:space="preserve">  </w:t>
      </w:r>
      <w:r>
        <w:rPr>
          <w:rStyle w:val="ControlFlowTok"/>
        </w:rPr>
        <w:t xml:space="preserve">if</w:t>
      </w:r>
      <w:r>
        <w:rPr>
          <w:rStyle w:val="NormalTok"/>
        </w:rPr>
        <w:t xml:space="preserve"> (premio </w:t>
      </w:r>
      <w:r>
        <w:rPr>
          <w:rStyle w:val="SpecialCharTok"/>
        </w:rPr>
        <w:t xml:space="preserve">&gt;</w:t>
      </w:r>
      <w:r>
        <w:rPr>
          <w:rStyle w:val="NormalTok"/>
        </w:rPr>
        <w:t xml:space="preserve"> wtp_L_max) {</w:t>
      </w:r>
      <w:r>
        <w:br/>
      </w:r>
      <w:r>
        <w:rPr>
          <w:rStyle w:val="NormalTok"/>
        </w:rPr>
        <w:t xml:space="preserve">    pool_atual </w:t>
      </w:r>
      <w:r>
        <w:rPr>
          <w:rStyle w:val="OtherTok"/>
        </w:rPr>
        <w:t xml:space="preserve">&lt;-</w:t>
      </w:r>
      <w:r>
        <w:rPr>
          <w:rStyle w:val="NormalTok"/>
        </w:rPr>
        <w:t xml:space="preserve"> pool_atual[pool_atual </w:t>
      </w:r>
      <w:r>
        <w:rPr>
          <w:rStyle w:val="SpecialCharTok"/>
        </w:rPr>
        <w:t xml:space="preserve">==</w:t>
      </w:r>
      <w:r>
        <w:rPr>
          <w:rStyle w:val="NormalTok"/>
        </w:rPr>
        <w:t xml:space="preserve"> </w:t>
      </w:r>
      <w:r>
        <w:rPr>
          <w:rStyle w:val="StringTok"/>
        </w:rPr>
        <w:t xml:space="preserve">"H"</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Separating</w:t>
      </w:r>
      <w:r>
        <w:br/>
      </w:r>
      <w:r>
        <w:rPr>
          <w:rStyle w:val="NormalTok"/>
        </w:rPr>
        <w:t xml:space="preserve">cob_L </w:t>
      </w:r>
      <w:r>
        <w:rPr>
          <w:rStyle w:val="OtherTok"/>
        </w:rPr>
        <w:t xml:space="preserve">&lt;-</w:t>
      </w:r>
      <w:r>
        <w:rPr>
          <w:rStyle w:val="NormalTok"/>
        </w:rPr>
        <w:t xml:space="preserve"> wtp_L_max </w:t>
      </w:r>
      <w:r>
        <w:rPr>
          <w:rStyle w:val="SpecialCharTok"/>
        </w:rPr>
        <w:t xml:space="preserve">/</w:t>
      </w:r>
      <w:r>
        <w:rPr>
          <w:rStyle w:val="NormalTok"/>
        </w:rPr>
        <w:t xml:space="preserve"> (pi_L </w:t>
      </w:r>
      <w:r>
        <w:rPr>
          <w:rStyle w:val="SpecialCharTok"/>
        </w:rPr>
        <w:t xml:space="preserve">*</w:t>
      </w:r>
      <w:r>
        <w:rPr>
          <w:rStyle w:val="NormalTok"/>
        </w:rPr>
        <w:t xml:space="preserve"> loss)  </w:t>
      </w:r>
      <w:r>
        <w:rPr>
          <w:rStyle w:val="CommentTok"/>
        </w:rPr>
        <w:t xml:space="preserve"># cobertura máxima que L aceita pagar</w:t>
      </w:r>
      <w:r>
        <w:br/>
      </w:r>
      <w:r>
        <w:br/>
      </w:r>
      <w:r>
        <w:rPr>
          <w:rStyle w:val="FunctionTok"/>
        </w:rPr>
        <w:t xml:space="preserve">cat</w:t>
      </w:r>
      <w:r>
        <w:rPr>
          <w:rStyle w:val="NormalTok"/>
        </w:rPr>
        <w:t xml:space="preserve">(</w:t>
      </w:r>
      <w:r>
        <w:rPr>
          <w:rStyle w:val="StringTok"/>
        </w:rPr>
        <w:t xml:space="preserve">"═══ ESPIRAL DA MORTE (POOLING) ═══</w:t>
      </w:r>
      <w:r>
        <w:rPr>
          <w:rStyle w:val="SpecialCharTok"/>
        </w:rPr>
        <w:t xml:space="preserve">\n</w:t>
      </w:r>
      <w:r>
        <w:rPr>
          <w:rStyle w:val="StringTok"/>
        </w:rPr>
        <w:t xml:space="preserve">"</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rPr>
          <w:rStyle w:val="NormalTok"/>
        </w:rPr>
        <w:t xml:space="preserve">  </w:t>
      </w:r>
      <w:r>
        <w:rPr>
          <w:rStyle w:val="ControlFlowTok"/>
        </w:rPr>
        <w:t xml:space="preserve">if</w:t>
      </w:r>
      <w:r>
        <w:rPr>
          <w:rStyle w:val="NormalTok"/>
        </w:rPr>
        <w:t xml:space="preserve"> (segurados[i]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break</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Rodada %d: Prêmio = R$ %s | Segurados = %d</w:t>
      </w:r>
      <w:r>
        <w:rPr>
          <w:rStyle w:val="SpecialCharTok"/>
        </w:rPr>
        <w:t xml:space="preserve">\n</w:t>
      </w:r>
      <w:r>
        <w:rPr>
          <w:rStyle w:val="StringTok"/>
        </w:rPr>
        <w:t xml:space="preserve">"</w:t>
      </w:r>
      <w:r>
        <w:rPr>
          <w:rStyle w:val="NormalTok"/>
        </w:rPr>
        <w:t xml:space="preserve">,</w:t>
      </w:r>
      <w:r>
        <w:br/>
      </w:r>
      <w:r>
        <w:rPr>
          <w:rStyle w:val="NormalTok"/>
        </w:rPr>
        <w:t xml:space="preserve">              i, </w:t>
      </w:r>
      <w:r>
        <w:rPr>
          <w:rStyle w:val="FunctionTok"/>
        </w:rPr>
        <w:t xml:space="preserve">format</w:t>
      </w:r>
      <w:r>
        <w:rPr>
          <w:rStyle w:val="NormalTok"/>
        </w:rPr>
        <w:t xml:space="preserve">(</w:t>
      </w:r>
      <w:r>
        <w:rPr>
          <w:rStyle w:val="FunctionTok"/>
        </w:rPr>
        <w:t xml:space="preserve">round</w:t>
      </w:r>
      <w:r>
        <w:rPr>
          <w:rStyle w:val="NormalTok"/>
        </w:rPr>
        <w:t xml:space="preserve">(premios[i]), </w:t>
      </w:r>
      <w:r>
        <w:rPr>
          <w:rStyle w:val="AttributeTok"/>
        </w:rPr>
        <w:t xml:space="preserve">big.mark=</w:t>
      </w:r>
      <w:r>
        <w:rPr>
          <w:rStyle w:val="StringTok"/>
        </w:rPr>
        <w:t xml:space="preserve">"."</w:t>
      </w:r>
      <w:r>
        <w:rPr>
          <w:rStyle w:val="NormalTok"/>
        </w:rPr>
        <w:t xml:space="preserve">), segurados[i]))</w:t>
      </w:r>
      <w:r>
        <w:br/>
      </w:r>
      <w:r>
        <w:rPr>
          <w:rStyle w:val="NormalTok"/>
        </w:rPr>
        <w:t xml:space="preserve">}</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 EQUILÍBRIO SEPARADOR ═══</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Contrato H: cobertura 100%%, prêmio R$ %s</w:t>
      </w:r>
      <w:r>
        <w:rPr>
          <w:rStyle w:val="SpecialCharTok"/>
        </w:rPr>
        <w:t xml:space="preserve">\n</w:t>
      </w:r>
      <w:r>
        <w:rPr>
          <w:rStyle w:val="StringTok"/>
        </w:rPr>
        <w:t xml:space="preserve">"</w:t>
      </w:r>
      <w:r>
        <w:rPr>
          <w:rStyle w:val="NormalTok"/>
        </w:rPr>
        <w:t xml:space="preserve">, </w:t>
      </w:r>
      <w:r>
        <w:rPr>
          <w:rStyle w:val="FunctionTok"/>
        </w:rPr>
        <w:t xml:space="preserve">format</w:t>
      </w:r>
      <w:r>
        <w:rPr>
          <w:rStyle w:val="NormalTok"/>
        </w:rPr>
        <w:t xml:space="preserve">(P_H, </w:t>
      </w:r>
      <w:r>
        <w:rPr>
          <w:rStyle w:val="AttributeTok"/>
        </w:rPr>
        <w:t xml:space="preserve">big.mark=</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Contrato L: cobertura %.0f%%, prêmio R$ %s</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100</w:t>
      </w:r>
      <w:r>
        <w:rPr>
          <w:rStyle w:val="NormalTok"/>
        </w:rPr>
        <w:t xml:space="preserve">, cob_L </w:t>
      </w:r>
      <w:r>
        <w:rPr>
          <w:rStyle w:val="SpecialCharTok"/>
        </w:rPr>
        <w:t xml:space="preserve">*</w:t>
      </w:r>
      <w:r>
        <w:rPr>
          <w:rStyle w:val="NormalTok"/>
        </w:rPr>
        <w:t xml:space="preserve"> </w:t>
      </w:r>
      <w:r>
        <w:rPr>
          <w:rStyle w:val="DecValTok"/>
        </w:rPr>
        <w:t xml:space="preserve">100</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w:t>
      </w:r>
      <w:r>
        <w:rPr>
          <w:rStyle w:val="FunctionTok"/>
        </w:rPr>
        <w:t xml:space="preserve">min</w:t>
      </w:r>
      <w:r>
        <w:rPr>
          <w:rStyle w:val="NormalTok"/>
        </w:rPr>
        <w:t xml:space="preserve">(wtp_L_max, P_L)), </w:t>
      </w:r>
      <w:r>
        <w:rPr>
          <w:rStyle w:val="AttributeTok"/>
        </w:rPr>
        <w:t xml:space="preserve">big.mark=</w:t>
      </w:r>
      <w:r>
        <w:rPr>
          <w:rStyle w:val="StringTok"/>
        </w:rPr>
        <w:t xml:space="preserve">"."</w:t>
      </w:r>
      <w:r>
        <w:rPr>
          <w:rStyle w:val="NormalTok"/>
        </w:rPr>
        <w:t xml:space="preserve">)))</w:t>
      </w:r>
      <w:r>
        <w:br/>
      </w:r>
      <w:r>
        <w:br/>
      </w:r>
      <w:r>
        <w:rPr>
          <w:rStyle w:val="CommentTok"/>
        </w:rPr>
        <w:t xml:space="preserve"># Gráfico</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Painel 1: Espiral</w:t>
      </w:r>
      <w:r>
        <w:br/>
      </w:r>
      <w:r>
        <w:rPr>
          <w:rStyle w:val="NormalTok"/>
        </w:rPr>
        <w:t xml:space="preserve">valid </w:t>
      </w:r>
      <w:r>
        <w:rPr>
          <w:rStyle w:val="OtherTok"/>
        </w:rPr>
        <w:t xml:space="preserve">&lt;-</w:t>
      </w:r>
      <w:r>
        <w:rPr>
          <w:rStyle w:val="NormalTok"/>
        </w:rPr>
        <w:t xml:space="preserve"> segurados </w:t>
      </w:r>
      <w:r>
        <w:rPr>
          <w:rStyle w:val="SpecialCharTok"/>
        </w:rPr>
        <w:t xml:space="preserve">&gt;</w:t>
      </w:r>
      <w:r>
        <w:rPr>
          <w:rStyle w:val="NormalTok"/>
        </w:rPr>
        <w:t xml:space="preserve"> </w:t>
      </w:r>
      <w:r>
        <w:rPr>
          <w:rStyle w:val="DecValTok"/>
        </w:rPr>
        <w:t xml:space="preserve">0</w:t>
      </w:r>
      <w:r>
        <w:br/>
      </w:r>
      <w:r>
        <w:rPr>
          <w:rStyle w:val="FunctionTok"/>
        </w:rPr>
        <w:t xml:space="preserve">barplot</w:t>
      </w:r>
      <w:r>
        <w:rPr>
          <w:rStyle w:val="NormalTok"/>
        </w:rPr>
        <w:t xml:space="preserve">(premios[valid], </w:t>
      </w:r>
      <w:r>
        <w:rPr>
          <w:rStyle w:val="AttributeTok"/>
        </w:rPr>
        <w:t xml:space="preserve">names.arg =</w:t>
      </w:r>
      <w:r>
        <w:rPr>
          <w:rStyle w:val="NormalTok"/>
        </w:rPr>
        <w:t xml:space="preserve"> </w:t>
      </w:r>
      <w:r>
        <w:rPr>
          <w:rStyle w:val="FunctionTok"/>
        </w:rPr>
        <w:t xml:space="preserve">which</w:t>
      </w:r>
      <w:r>
        <w:rPr>
          <w:rStyle w:val="NormalTok"/>
        </w:rPr>
        <w:t xml:space="preserve">(valid),</w:t>
      </w:r>
      <w:r>
        <w:br/>
      </w:r>
      <w:r>
        <w:rPr>
          <w:rStyle w:val="NormalTok"/>
        </w:rPr>
        <w:t xml:space="preserve">        </w:t>
      </w:r>
      <w:r>
        <w:rPr>
          <w:rStyle w:val="AttributeTok"/>
        </w:rPr>
        <w:t xml:space="preserve">col =</w:t>
      </w:r>
      <w:r>
        <w:rPr>
          <w:rStyle w:val="NormalTok"/>
        </w:rPr>
        <w:t xml:space="preserve"> </w:t>
      </w:r>
      <w:r>
        <w:rPr>
          <w:rStyle w:val="FunctionTok"/>
        </w:rPr>
        <w:t xml:space="preserve">ifelse</w:t>
      </w:r>
      <w:r>
        <w:rPr>
          <w:rStyle w:val="NormalTok"/>
        </w:rPr>
        <w:t xml:space="preserve">(premios[valid] </w:t>
      </w:r>
      <w:r>
        <w:rPr>
          <w:rStyle w:val="SpecialCharTok"/>
        </w:rPr>
        <w:t xml:space="preserve">&gt;</w:t>
      </w:r>
      <w:r>
        <w:rPr>
          <w:rStyle w:val="NormalTok"/>
        </w:rPr>
        <w:t xml:space="preserve"> wtp_L_max, </w:t>
      </w:r>
      <w:r>
        <w:rPr>
          <w:rStyle w:val="StringTok"/>
        </w:rPr>
        <w:t xml:space="preserve">"#F44336"</w:t>
      </w:r>
      <w:r>
        <w:rPr>
          <w:rStyle w:val="NormalTok"/>
        </w:rPr>
        <w:t xml:space="preserve">, </w:t>
      </w:r>
      <w:r>
        <w:rPr>
          <w:rStyle w:val="StringTok"/>
        </w:rPr>
        <w:t xml:space="preserve">"#4CAF50"</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"Espiral da Morte</w:t>
      </w:r>
      <w:r>
        <w:rPr>
          <w:rStyle w:val="SpecialCharTok"/>
        </w:rPr>
        <w:t xml:space="preserve">\n</w:t>
      </w:r>
      <w:r>
        <w:rPr>
          <w:rStyle w:val="StringTok"/>
        </w:rPr>
        <w:t xml:space="preserve">(Prêmio por Rodada)"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"Rodada"</w:t>
      </w:r>
      <w:r>
        <w:rPr>
          <w:rStyle w:val="NormalTok"/>
        </w:rPr>
        <w:t xml:space="preserve">, </w:t>
      </w:r>
      <w:r>
        <w:rPr>
          <w:rStyle w:val="AttributeTok"/>
        </w:rPr>
        <w:t xml:space="preserve">ylab =</w:t>
      </w:r>
      <w:r>
        <w:rPr>
          <w:rStyle w:val="NormalTok"/>
        </w:rPr>
        <w:t xml:space="preserve"> </w:t>
      </w:r>
      <w:r>
        <w:rPr>
          <w:rStyle w:val="StringTok"/>
        </w:rPr>
        <w:t xml:space="preserve">"Prêmio (R$)"</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wtp_L_max, </w:t>
      </w:r>
      <w:r>
        <w:rPr>
          <w:rStyle w:val="AttributeTok"/>
        </w:rPr>
        <w:t xml:space="preserve">col =</w:t>
      </w:r>
      <w:r>
        <w:rPr>
          <w:rStyle w:val="NormalTok"/>
        </w:rPr>
        <w:t xml:space="preserve"> </w:t>
      </w:r>
      <w:r>
        <w:rPr>
          <w:rStyle w:val="StringTok"/>
        </w:rPr>
        <w:t xml:space="preserve">"#FF9800"</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w:t>
      </w:r>
      <w:r>
        <w:rPr>
          <w:rStyle w:val="DecValTok"/>
        </w:rPr>
        <w:t xml:space="preserve">1</w:t>
      </w:r>
      <w:r>
        <w:rPr>
          <w:rStyle w:val="NormalTok"/>
        </w:rPr>
        <w:t xml:space="preserve">, wtp_L_max </w:t>
      </w:r>
      <w:r>
        <w:rPr>
          <w:rStyle w:val="SpecialCharTok"/>
        </w:rPr>
        <w:t xml:space="preserve">+</w:t>
      </w:r>
      <w:r>
        <w:rPr>
          <w:rStyle w:val="NormalTok"/>
        </w:rPr>
        <w:t xml:space="preserve"> </w:t>
      </w:r>
      <w:r>
        <w:rPr>
          <w:rStyle w:val="DecValTok"/>
        </w:rPr>
        <w:t xml:space="preserve">500</w:t>
      </w:r>
      <w:r>
        <w:rPr>
          <w:rStyle w:val="NormalTok"/>
        </w:rPr>
        <w:t xml:space="preserve">, </w:t>
      </w:r>
      <w:r>
        <w:rPr>
          <w:rStyle w:val="StringTok"/>
        </w:rPr>
        <w:t xml:space="preserve">"WTP máximo tipo L"</w:t>
      </w:r>
      <w:r>
        <w:rPr>
          <w:rStyle w:val="NormalTok"/>
        </w:rPr>
        <w:t xml:space="preserve">, </w:t>
      </w:r>
      <w:r>
        <w:rPr>
          <w:rStyle w:val="AttributeTok"/>
        </w:rPr>
        <w:t xml:space="preserve">col =</w:t>
      </w:r>
      <w:r>
        <w:rPr>
          <w:rStyle w:val="NormalTok"/>
        </w:rPr>
        <w:t xml:space="preserve"> </w:t>
      </w:r>
      <w:r>
        <w:rPr>
          <w:rStyle w:val="StringTok"/>
        </w:rPr>
        <w:t xml:space="preserve">"#FF9800"</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br/>
      </w:r>
      <w:r>
        <w:rPr>
          <w:rStyle w:val="CommentTok"/>
        </w:rPr>
        <w:t xml:space="preserve"># Painel 2: Segurados</w:t>
      </w:r>
      <w:r>
        <w:br/>
      </w:r>
      <w:r>
        <w:rPr>
          <w:rStyle w:val="FunctionTok"/>
        </w:rPr>
        <w:t xml:space="preserve">barplot</w:t>
      </w:r>
      <w:r>
        <w:rPr>
          <w:rStyle w:val="NormalTok"/>
        </w:rPr>
        <w:t xml:space="preserve">(segurados[valid], </w:t>
      </w:r>
      <w:r>
        <w:rPr>
          <w:rStyle w:val="AttributeTok"/>
        </w:rPr>
        <w:t xml:space="preserve">names.arg =</w:t>
      </w:r>
      <w:r>
        <w:rPr>
          <w:rStyle w:val="NormalTok"/>
        </w:rPr>
        <w:t xml:space="preserve"> </w:t>
      </w:r>
      <w:r>
        <w:rPr>
          <w:rStyle w:val="FunctionTok"/>
        </w:rPr>
        <w:t xml:space="preserve">which</w:t>
      </w:r>
      <w:r>
        <w:rPr>
          <w:rStyle w:val="NormalTok"/>
        </w:rPr>
        <w:t xml:space="preserve">(valid),</w:t>
      </w:r>
      <w:r>
        <w:br/>
      </w:r>
      <w:r>
        <w:rPr>
          <w:rStyle w:val="NormalTok"/>
        </w:rPr>
        <w:t xml:space="preserve">        </w:t>
      </w:r>
      <w:r>
        <w:rPr>
          <w:rStyle w:val="AttributeTok"/>
        </w:rPr>
        <w:t xml:space="preserve">col =</w:t>
      </w:r>
      <w:r>
        <w:rPr>
          <w:rStyle w:val="NormalTok"/>
        </w:rPr>
        <w:t xml:space="preserve"> </w:t>
      </w:r>
      <w:r>
        <w:rPr>
          <w:rStyle w:val="StringTok"/>
        </w:rPr>
        <w:t xml:space="preserve">"#2196F3"</w:t>
      </w:r>
      <w:r>
        <w:rPr>
          <w:rStyle w:val="NormalTok"/>
        </w:rPr>
        <w:t xml:space="preserve">, </w:t>
      </w:r>
      <w:r>
        <w:rPr>
          <w:rStyle w:val="AttributeTok"/>
        </w:rPr>
        <w:t xml:space="preserve">main =</w:t>
      </w:r>
      <w:r>
        <w:rPr>
          <w:rStyle w:val="NormalTok"/>
        </w:rPr>
        <w:t xml:space="preserve"> </w:t>
      </w:r>
      <w:r>
        <w:rPr>
          <w:rStyle w:val="StringTok"/>
        </w:rPr>
        <w:t xml:space="preserve">"Segurados por Rodada"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"Rodada"</w:t>
      </w:r>
      <w:r>
        <w:rPr>
          <w:rStyle w:val="NormalTok"/>
        </w:rPr>
        <w:t xml:space="preserve">, </w:t>
      </w:r>
      <w:r>
        <w:rPr>
          <w:rStyle w:val="AttributeTok"/>
        </w:rPr>
        <w:t xml:space="preserve">ylab =</w:t>
      </w:r>
      <w:r>
        <w:rPr>
          <w:rStyle w:val="NormalTok"/>
        </w:rPr>
        <w:t xml:space="preserve"> </w:t>
      </w:r>
      <w:r>
        <w:rPr>
          <w:rStyle w:val="StringTok"/>
        </w:rPr>
        <w:t xml:space="preserve">"N segurados"</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w:t>
      </w:r>
    </w:p>
    <w:p>
      <w:pPr>
        <w:pStyle w:val="BlockText"/>
      </w:pPr>
      <w:r>
        <w:rPr>
          <w:b/>
          <w:bCs/>
        </w:rPr>
        <w:t xml:space="preserve">Experimente:</w:t>
      </w:r>
      <w:r>
        <w:t xml:space="preserve"> </w:t>
      </w:r>
      <w:r>
        <w:t xml:space="preserve">Aumente</w:t>
      </w:r>
      <w:r>
        <w:t xml:space="preserve"> </w:t>
      </w:r>
      <w:r>
        <w:rPr>
          <w:rStyle w:val="VerbatimChar"/>
        </w:rPr>
        <w:t xml:space="preserve">frac_H</w:t>
      </w:r>
      <w:r>
        <w:t xml:space="preserve"> </w:t>
      </w:r>
      <w:r>
        <w:t xml:space="preserve">para 0.50 (metade da população é alto risco) e observe a espiral acelerar. Reduza</w:t>
      </w:r>
      <w:r>
        <w:t xml:space="preserve"> </w:t>
      </w:r>
      <w:r>
        <w:rPr>
          <w:rStyle w:val="VerbatimChar"/>
        </w:rPr>
        <w:t xml:space="preserve">wtp_L_max</w:t>
      </w:r>
      <w:r>
        <w:t xml:space="preserve"> </w:t>
      </w:r>
      <w:r>
        <w:t xml:space="preserve">para 6000 e o colapso acontece na primeira rodada. Aumente para 20000 e o pool sobrevive — o mandato individual efetivamente eleva essa disposição a pagar.</w:t>
      </w:r>
    </w:p>
    <w:p>
      <w:r>
        <w:pict>
          <v:rect style="width:0;height:1.5pt" o:hralign="center" o:hrstd="t" o:hr="t"/>
        </w:pict>
      </w:r>
    </w:p>
    <w:p>
      <w:pPr>
        <w:pStyle w:val="FirstParagraph"/>
      </w:pPr>
      <w:r>
        <w:t xml:space="preserve">A regulação farmacêutica e de seguros de saúde é, no fundo, uma aplicação prática da microeconomia da informação (Capítulo 19) e do design de mecanismos (Capítulo 9c) em um contexto onde as consequências de errar não são apenas ineficiência — são vidas perdidas. O genérico que custa 60% menos é a concorrência perfeita chegando ao mercado com 20 anos de atraso. O Farmácia Popular que subsidia o anti-hipertensivo é o imposto pigouviano às avessas — um subsídio à externalidade positiva de se manter saudável. E a espiral da morte dos planos individuais é Rothschild e Stiglitz saindo do papel para os tribunais e para as contas de milhões de famílias.</w:t>
      </w:r>
    </w:p>
    <w:p>
      <w:pPr>
        <w:pStyle w:val="BodyText"/>
      </w:pPr>
      <w:r>
        <w:rPr>
          <w:i/>
          <w:iCs/>
        </w:rPr>
        <w:t xml:space="preserve">No próximo capítulo, trocamos a farmácia pelo planeta inteiro — e perguntamos quanto vale um pôr do sol.</w:t>
      </w:r>
    </w:p>
    <w:bookmarkEnd w:id="1426"/>
    <w:bookmarkEnd w:id="1427"/>
    <w:bookmarkStart w:id="1428" w:name="revisão-rápida-22"/>
    <w:p>
      <w:pPr>
        <w:pStyle w:val="Heading3"/>
      </w:pPr>
      <w:r>
        <w:t xml:space="preserve">Revisão rápida</w:t>
      </w:r>
    </w:p>
    <w:p>
      <w:pPr>
        <w:pStyle w:val="BlockText"/>
      </w:pPr>
      <w:r>
        <w:rPr>
          <w:b/>
          <w:bCs/>
        </w:rPr>
        <w:t xml:space="preserve">[QUESTAO] 1. Quais são as quatro características que Arrow (1963) identifica como diferenciais do mercado de saúde?</w:t>
      </w:r>
    </w:p>
    <w:p>
      <w:pPr>
        <w:pStyle w:val="BlockText"/>
      </w:pPr>
      <w:r>
        <w:t xml:space="preserve">Incerteza radical sobre a doença, assimetria de informação entre médico e paciente, externalidades (especialmente de vacinação e controle de doenças contagiosas) e natureza de bem meritório (norma social de que saúde básica é um direito). Essas características geram falhas de mercado que justificam intervenção pública.</w:t>
      </w:r>
    </w:p>
    <w:p>
      <w:pPr>
        <w:pStyle w:val="BlockText"/>
      </w:pPr>
      <w:r>
        <w:rPr>
          <w:b/>
          <w:bCs/>
        </w:rPr>
        <w:t xml:space="preserve">[QUESTAO] 2. Qual a diferença entre demanda por saúde e demanda por cuidados médicos no modelo de Grossman?</w:t>
      </w:r>
    </w:p>
    <w:p>
      <w:pPr>
        <w:pStyle w:val="BlockText"/>
      </w:pPr>
      <w:r>
        <w:t xml:space="preserve">A saúde é o bem final desejado — um estoque de capital que gera dias saudáveis (utilidade direta) e capacidade de trabalho (renda). Cuidados médicos são um</w:t>
      </w:r>
      <w:r>
        <w:t xml:space="preserve"> </w:t>
      </w:r>
      <w:r>
        <w:rPr>
          <w:i/>
          <w:iCs/>
        </w:rPr>
        <w:t xml:space="preserve">insumo</w:t>
      </w:r>
      <w:r>
        <w:t xml:space="preserve"> </w:t>
      </w:r>
      <w:r>
        <w:t xml:space="preserve">para produzir saúde — demanda derivada. A distinção é crucial: aumentar a oferta de cuidados médicos não necessariamente melhora a saúde da população.</w:t>
      </w:r>
    </w:p>
    <w:p>
      <w:pPr>
        <w:pStyle w:val="BlockText"/>
      </w:pPr>
      <w:r>
        <w:rPr>
          <w:b/>
          <w:bCs/>
        </w:rPr>
        <w:t xml:space="preserve">[QUESTAO] 3. O que o RAND Health Insurance Experiment descobriu sobre a elasticidade da demanda por cuidados médicos?</w:t>
      </w:r>
    </w:p>
    <w:p>
      <w:pPr>
        <w:pStyle w:val="BlockText"/>
      </w:pPr>
      <w:r>
        <w:t xml:space="preserve">A elasticidade-preço é de aproximadamente −0,2: a demanda responde a preços, mas moderadamente. Copagamentos reduzem uso indiscriminadamente (tanto cuidados necessários quanto desnecessários). Efeitos em saúde foram limitados para a maioria, mas significativos para pobres e doentes crônicos sujeitos a copagamentos altos.</w:t>
      </w:r>
    </w:p>
    <w:p>
      <w:pPr>
        <w:pStyle w:val="BlockText"/>
      </w:pPr>
      <w:r>
        <w:rPr>
          <w:b/>
          <w:bCs/>
        </w:rPr>
        <w:t xml:space="preserve">[QUESTAO] 4. Explique a espiral da morte em seguros de saúde.</w:t>
      </w:r>
    </w:p>
    <w:p>
      <w:pPr>
        <w:pStyle w:val="BlockText"/>
      </w:pPr>
      <w:r>
        <w:t xml:space="preserve">Com prêmio único, os indivíduos de baixo risco consideram o prêmio caro demais e saem do pool. Com sua saída, o risco médio dos segurados aumenta, o prêmio sobe, mais baixo risco saem — retroalimentação positiva até que restem apenas alto risco (prêmio máximo) ou o mercado colapse. Soluções: mandato individual, subsídio cruzado, ajuste de risco.</w:t>
      </w:r>
    </w:p>
    <w:p>
      <w:pPr>
        <w:pStyle w:val="BlockText"/>
      </w:pPr>
      <w:r>
        <w:rPr>
          <w:b/>
          <w:bCs/>
        </w:rPr>
        <w:t xml:space="preserve">[QUESTAO] 5. Por que os EUA gastam mais em saúde que qualquer outro país mas têm resultados piores em muitos indicadores?</w:t>
      </w:r>
    </w:p>
    <w:p>
      <w:pPr>
        <w:pStyle w:val="BlockText"/>
      </w:pPr>
      <w:r>
        <w:t xml:space="preserve">Múltiplas causas: preços unitários altos (não quantidade), complexidade administrativa (~15-25% do gasto), fragmentação de pagadores sem poder de monopsônio, variação geográfica inexplicada, e fatores não médicos (obesidade, violência, opioides, desigualdade). Nenhuma explicação isolada é suficiente.</w:t>
      </w:r>
    </w:p>
    <w:p>
      <w:r>
        <w:pict>
          <v:rect style="width:0;height:1.5pt" o:hralign="center" o:hrstd="t" o:hr="t"/>
        </w:pict>
      </w:r>
    </w:p>
    <w:bookmarkEnd w:id="1428"/>
    <w:bookmarkStart w:id="1429" w:name="resumo-do-capítulo-24"/>
    <w:p>
      <w:pPr>
        <w:pStyle w:val="Heading3"/>
      </w:pPr>
      <w:r>
        <w:t xml:space="preserve">Resumo do Capítulo</w:t>
      </w:r>
    </w:p>
    <w:p>
      <w:pPr>
        <w:numPr>
          <w:ilvl w:val="0"/>
          <w:numId w:val="2273"/>
        </w:numPr>
      </w:pPr>
      <w:r>
        <w:t xml:space="preserve">O mercado de saúde difere de mercados convencionais por</w:t>
      </w:r>
      <w:r>
        <w:t xml:space="preserve"> </w:t>
      </w:r>
      <w:r>
        <w:rPr>
          <w:b/>
          <w:bCs/>
        </w:rPr>
        <w:t xml:space="preserve">incerteza radical, assimetria de informação, externalidades e normas sociais</w:t>
      </w:r>
      <w:r>
        <w:t xml:space="preserve"> </w:t>
      </w:r>
      <w:r>
        <w:t xml:space="preserve">— justificando intervenção pública por razões econômicas, não apenas éticas (Arrow, 1963).</w:t>
      </w:r>
    </w:p>
    <w:p>
      <w:pPr>
        <w:numPr>
          <w:ilvl w:val="0"/>
          <w:numId w:val="2273"/>
        </w:numPr>
      </w:pPr>
      <w:r>
        <w:t xml:space="preserve">O</w:t>
      </w:r>
      <w:r>
        <w:t xml:space="preserve"> </w:t>
      </w:r>
      <w:r>
        <w:rPr>
          <w:b/>
          <w:bCs/>
        </w:rPr>
        <w:t xml:space="preserve">modelo de Grossman</w:t>
      </w:r>
      <w:r>
        <w:t xml:space="preserve"> </w:t>
      </w:r>
      <w:r>
        <w:t xml:space="preserve">(1972) trata a saúde como estoque de capital durável que se deprecia com a idade e é aumentado por investimento. A demanda por cuidados médicos é</w:t>
      </w:r>
      <w:r>
        <w:t xml:space="preserve"> </w:t>
      </w:r>
      <w:r>
        <w:rPr>
          <w:i/>
          <w:iCs/>
        </w:rPr>
        <w:t xml:space="preserve">derivada</w:t>
      </w:r>
      <w:r>
        <w:t xml:space="preserve"> </w:t>
      </w:r>
      <w:r>
        <w:t xml:space="preserve">da demanda por saúde.</w:t>
      </w:r>
    </w:p>
    <w:p>
      <w:pPr>
        <w:numPr>
          <w:ilvl w:val="0"/>
          <w:numId w:val="2273"/>
        </w:numPr>
      </w:pPr>
      <w:r>
        <w:t xml:space="preserve">O</w:t>
      </w:r>
      <w:r>
        <w:t xml:space="preserve"> </w:t>
      </w:r>
      <w:r>
        <w:rPr>
          <w:b/>
          <w:bCs/>
        </w:rPr>
        <w:t xml:space="preserve">RAND HIE</w:t>
      </w:r>
      <w:r>
        <w:t xml:space="preserve"> </w:t>
      </w:r>
      <w:r>
        <w:t xml:space="preserve">estimou a elasticidade-preço da demanda por cuidados médicos em ~−0,2, mostrando que copagamentos reduzem uso mas de forma indiscriminada, afetando negativamente pobres e doentes crônicos.</w:t>
      </w:r>
    </w:p>
    <w:p>
      <w:pPr>
        <w:numPr>
          <w:ilvl w:val="0"/>
          <w:numId w:val="2273"/>
        </w:numPr>
      </w:pPr>
      <w:r>
        <w:t xml:space="preserve">A</w:t>
      </w:r>
      <w:r>
        <w:t xml:space="preserve"> </w:t>
      </w:r>
      <w:r>
        <w:rPr>
          <w:b/>
          <w:bCs/>
        </w:rPr>
        <w:t xml:space="preserve">seleção adversa</w:t>
      </w:r>
      <w:r>
        <w:t xml:space="preserve"> </w:t>
      </w:r>
      <w:r>
        <w:t xml:space="preserve">pode gerar uma espiral da morte em seguros: baixo risco sai, prêmio sobe, mais gente sai. O</w:t>
      </w:r>
      <w:r>
        <w:t xml:space="preserve"> </w:t>
      </w:r>
      <w:r>
        <w:rPr>
          <w:b/>
          <w:bCs/>
        </w:rPr>
        <w:t xml:space="preserve">ajuste de risco</w:t>
      </w:r>
      <w:r>
        <w:t xml:space="preserve"> </w:t>
      </w:r>
      <w:r>
        <w:t xml:space="preserve">e o</w:t>
      </w:r>
      <w:r>
        <w:t xml:space="preserve"> </w:t>
      </w:r>
      <w:r>
        <w:rPr>
          <w:b/>
          <w:bCs/>
        </w:rPr>
        <w:t xml:space="preserve">mandato individual</w:t>
      </w:r>
      <w:r>
        <w:t xml:space="preserve"> </w:t>
      </w:r>
      <w:r>
        <w:t xml:space="preserve">são mecanismos de estabilização.</w:t>
      </w:r>
    </w:p>
    <w:p>
      <w:pPr>
        <w:numPr>
          <w:ilvl w:val="0"/>
          <w:numId w:val="2273"/>
        </w:numPr>
      </w:pPr>
      <w:r>
        <w:t xml:space="preserve">O</w:t>
      </w:r>
      <w:r>
        <w:t xml:space="preserve"> </w:t>
      </w:r>
      <w:r>
        <w:rPr>
          <w:b/>
          <w:bCs/>
        </w:rPr>
        <w:t xml:space="preserve">risco moral</w:t>
      </w:r>
      <w:r>
        <w:t xml:space="preserve"> </w:t>
      </w:r>
      <w:r>
        <w:t xml:space="preserve">ex ante (redução da prevenção) e ex post (aumento do uso) é inerente ao seguro de saúde. O copagamento ótimo equilibra</w:t>
      </w:r>
      <w:r>
        <w:t xml:space="preserve"> </w:t>
      </w:r>
      <w:r>
        <w:rPr>
          <w:i/>
          <w:iCs/>
        </w:rPr>
        <w:t xml:space="preserve">risk-sharing</w:t>
      </w:r>
      <w:r>
        <w:t xml:space="preserve"> </w:t>
      </w:r>
      <w:r>
        <w:t xml:space="preserve">com controle do risco moral.</w:t>
      </w:r>
    </w:p>
    <w:p>
      <w:pPr>
        <w:numPr>
          <w:ilvl w:val="0"/>
          <w:numId w:val="2273"/>
        </w:numPr>
      </w:pPr>
      <w:r>
        <w:t xml:space="preserve">Sistemas de saúde variam entre quatro modelos (Beveridge, Bismarck, seguro nacional, mercado), cada um com trade-offs distintos entre custo, acesso e qualidade. Nenhum domina os outros em todas as dimensões.</w:t>
      </w:r>
    </w:p>
    <w:p>
      <w:pPr>
        <w:numPr>
          <w:ilvl w:val="0"/>
          <w:numId w:val="2273"/>
        </w:numPr>
      </w:pPr>
      <w:r>
        <w:t xml:space="preserve">A</w:t>
      </w:r>
      <w:r>
        <w:t xml:space="preserve"> </w:t>
      </w:r>
      <w:r>
        <w:rPr>
          <w:b/>
          <w:bCs/>
        </w:rPr>
        <w:t xml:space="preserve">avaliação econômica em saúde</w:t>
      </w:r>
      <w:r>
        <w:t xml:space="preserve"> </w:t>
      </w:r>
      <w:r>
        <w:t xml:space="preserve">(QALYs, DALYs, ICER, VSL) fornece ferramentas para alocar recursos escassos, comparando intervenções heterogêneas numa métrica comum — com limitações éticas importantes.</w:t>
      </w:r>
    </w:p>
    <w:p>
      <w:r>
        <w:pict>
          <v:rect style="width:0;height:1.5pt" o:hralign="center" o:hrstd="t" o:hr="t"/>
        </w:pict>
      </w:r>
    </w:p>
    <w:bookmarkEnd w:id="1429"/>
    <w:bookmarkStart w:id="1430" w:name="conceitos-chave-23"/>
    <w:p>
      <w:pPr>
        <w:pStyle w:val="Heading3"/>
      </w:pPr>
      <w:r>
        <w:t xml:space="preserve">Conceitos-chave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Conceito</w:t>
            </w:r>
          </w:p>
        </w:tc>
        <w:tc>
          <w:tcPr/>
          <w:p>
            <w:pPr>
              <w:pStyle w:val="Compact"/>
              <w:jc w:val="left"/>
            </w:pPr>
            <w:r>
              <w:t xml:space="preserve">Definição sintética</w:t>
            </w:r>
          </w:p>
        </w:tc>
      </w:tr>
      <w:tr>
        <w:tc>
          <w:tcPr/>
          <w:p>
            <w:pPr>
              <w:pStyle w:val="Compact"/>
              <w:jc w:val="left"/>
            </w:pPr>
            <w:r>
              <w:t xml:space="preserve">Bem meritório</w:t>
            </w:r>
          </w:p>
        </w:tc>
        <w:tc>
          <w:tcPr/>
          <w:p>
            <w:pPr>
              <w:pStyle w:val="Compact"/>
              <w:jc w:val="left"/>
            </w:pPr>
            <w:r>
              <w:t xml:space="preserve">Bem cujo consumo a sociedade deseja encorajar acima do nível de escolha individual livre</w:t>
            </w:r>
          </w:p>
        </w:tc>
      </w:tr>
      <w:tr>
        <w:tc>
          <w:tcPr/>
          <w:p>
            <w:pPr>
              <w:pStyle w:val="Compact"/>
              <w:jc w:val="left"/>
            </w:pPr>
            <w:r>
              <w:t xml:space="preserve">Modelo de Grossman</w:t>
            </w:r>
          </w:p>
        </w:tc>
        <w:tc>
          <w:tcPr/>
          <w:p>
            <w:pPr>
              <w:pStyle w:val="Compact"/>
              <w:jc w:val="left"/>
            </w:pPr>
            <w:r>
              <w:t xml:space="preserve">Saúde como capital durável: deprecia com a idade, aumenta com investimento</w:t>
            </w:r>
          </w:p>
        </w:tc>
      </w:tr>
      <w:tr>
        <w:tc>
          <w:tcPr/>
          <w:p>
            <w:pPr>
              <w:pStyle w:val="Compact"/>
              <w:jc w:val="left"/>
            </w:pPr>
            <w:r>
              <w:t xml:space="preserve">Demanda derivada</w:t>
            </w:r>
          </w:p>
        </w:tc>
        <w:tc>
          <w:tcPr/>
          <w:p>
            <w:pPr>
              <w:pStyle w:val="Compact"/>
              <w:jc w:val="left"/>
            </w:pPr>
            <w:r>
              <w:t xml:space="preserve">Demanda por cuidados médicos é derivada da demanda por saúde</w:t>
            </w:r>
          </w:p>
        </w:tc>
      </w:tr>
      <w:tr>
        <w:tc>
          <w:tcPr/>
          <w:p>
            <w:pPr>
              <w:pStyle w:val="Compact"/>
              <w:jc w:val="left"/>
            </w:pPr>
            <w:r>
              <w:t xml:space="preserve">RAND HIE</w:t>
            </w:r>
          </w:p>
        </w:tc>
        <w:tc>
          <w:tcPr/>
          <w:p>
            <w:pPr>
              <w:pStyle w:val="Compact"/>
              <w:jc w:val="left"/>
            </w:pPr>
            <w:r>
              <w:t xml:space="preserve">Experimento social que estimou elasticidade-preço da demanda por cuidados em ~−0,2</w:t>
            </w:r>
          </w:p>
        </w:tc>
      </w:tr>
      <w:tr>
        <w:tc>
          <w:tcPr/>
          <w:p>
            <w:pPr>
              <w:pStyle w:val="Compact"/>
              <w:jc w:val="left"/>
            </w:pPr>
            <w:r>
              <w:t xml:space="preserve">Copagamento</w:t>
            </w:r>
          </w:p>
        </w:tc>
        <w:tc>
          <w:tcPr/>
          <w:p>
            <w:pPr>
              <w:pStyle w:val="Compact"/>
              <w:jc w:val="left"/>
            </w:pPr>
            <w:r>
              <w:t xml:space="preserve">Parcela do custo paga pelo paciente (coinsurance, copay, franquia)</w:t>
            </w:r>
          </w:p>
        </w:tc>
      </w:tr>
      <w:tr>
        <w:tc>
          <w:tcPr/>
          <w:p>
            <w:pPr>
              <w:pStyle w:val="Compact"/>
              <w:jc w:val="left"/>
            </w:pPr>
            <w:r>
              <w:t xml:space="preserve">Demanda induzida (SID)</w:t>
            </w:r>
          </w:p>
        </w:tc>
        <w:tc>
          <w:tcPr/>
          <w:p>
            <w:pPr>
              <w:pStyle w:val="Compact"/>
              <w:jc w:val="left"/>
            </w:pPr>
            <w:r>
              <w:t xml:space="preserve">Médico prescreve além do necessário por incentivo financeiro</w:t>
            </w:r>
          </w:p>
        </w:tc>
      </w:tr>
      <w:tr>
        <w:tc>
          <w:tcPr/>
          <w:p>
            <w:pPr>
              <w:pStyle w:val="Compact"/>
              <w:jc w:val="left"/>
            </w:pPr>
            <w:r>
              <w:t xml:space="preserve">Seleção adversa</w:t>
            </w:r>
          </w:p>
        </w:tc>
        <w:tc>
          <w:tcPr/>
          <w:p>
            <w:pPr>
              <w:pStyle w:val="Compact"/>
              <w:jc w:val="left"/>
            </w:pPr>
            <w:r>
              <w:t xml:space="preserve">Alto risco compra seguro desproporcionalmente; baixo risco sai</w:t>
            </w:r>
          </w:p>
        </w:tc>
      </w:tr>
      <w:tr>
        <w:tc>
          <w:tcPr/>
          <w:p>
            <w:pPr>
              <w:pStyle w:val="Compact"/>
              <w:jc w:val="left"/>
            </w:pPr>
            <w:r>
              <w:t xml:space="preserve">Espiral da morte</w:t>
            </w:r>
          </w:p>
        </w:tc>
        <w:tc>
          <w:tcPr/>
          <w:p>
            <w:pPr>
              <w:pStyle w:val="Compact"/>
              <w:jc w:val="left"/>
            </w:pPr>
            <w:r>
              <w:t xml:space="preserve">Retroalimentação: prêmio sobe → baixo risco sai → prêmio sobe mais</w:t>
            </w:r>
          </w:p>
        </w:tc>
      </w:tr>
      <w:tr>
        <w:tc>
          <w:tcPr/>
          <w:p>
            <w:pPr>
              <w:pStyle w:val="Compact"/>
              <w:jc w:val="left"/>
            </w:pPr>
            <w:r>
              <w:t xml:space="preserve">Risco moral ex ante</w:t>
            </w:r>
          </w:p>
        </w:tc>
        <w:tc>
          <w:tcPr/>
          <w:p>
            <w:pPr>
              <w:pStyle w:val="Compact"/>
              <w:jc w:val="left"/>
            </w:pPr>
            <w:r>
              <w:t xml:space="preserve">Seguro reduz incentivo à prevenção</w:t>
            </w:r>
          </w:p>
        </w:tc>
      </w:tr>
      <w:tr>
        <w:tc>
          <w:tcPr/>
          <w:p>
            <w:pPr>
              <w:pStyle w:val="Compact"/>
              <w:jc w:val="left"/>
            </w:pPr>
            <w:r>
              <w:t xml:space="preserve">Risco moral ex post</w:t>
            </w:r>
          </w:p>
        </w:tc>
        <w:tc>
          <w:tcPr/>
          <w:p>
            <w:pPr>
              <w:pStyle w:val="Compact"/>
              <w:jc w:val="left"/>
            </w:pPr>
            <w:r>
              <w:t xml:space="preserve">Seguro reduz preço percebido, aumentando uso</w:t>
            </w:r>
          </w:p>
        </w:tc>
      </w:tr>
      <w:tr>
        <w:tc>
          <w:tcPr/>
          <w:p>
            <w:pPr>
              <w:pStyle w:val="Compact"/>
              <w:jc w:val="left"/>
            </w:pPr>
            <w:r>
              <w:t xml:space="preserve">Ajuste de risco</w:t>
            </w:r>
          </w:p>
        </w:tc>
        <w:tc>
          <w:tcPr/>
          <w:p>
            <w:pPr>
              <w:pStyle w:val="Compact"/>
              <w:jc w:val="left"/>
            </w:pPr>
            <w:r>
              <w:t xml:space="preserve">Transferências entre seguradoras baseadas no risco previsto da carteira</w:t>
            </w:r>
          </w:p>
        </w:tc>
      </w:tr>
      <w:tr>
        <w:tc>
          <w:tcPr/>
          <w:p>
            <w:pPr>
              <w:pStyle w:val="Compact"/>
              <w:jc w:val="left"/>
            </w:pPr>
            <w:r>
              <w:t xml:space="preserve">QALY</w:t>
            </w:r>
          </w:p>
        </w:tc>
        <w:tc>
          <w:tcPr/>
          <w:p>
            <w:pPr>
              <w:pStyle w:val="Compact"/>
              <w:jc w:val="left"/>
            </w:pPr>
            <w:r>
              <w:t xml:space="preserve">Ano de vida ajustado por qualidade (1 = saúde perfeita, 0 = morte)</w:t>
            </w:r>
          </w:p>
        </w:tc>
      </w:tr>
      <w:tr>
        <w:tc>
          <w:tcPr/>
          <w:p>
            <w:pPr>
              <w:pStyle w:val="Compact"/>
              <w:jc w:val="left"/>
            </w:pPr>
            <w:r>
              <w:t xml:space="preserve">DALY</w:t>
            </w:r>
          </w:p>
        </w:tc>
        <w:tc>
          <w:tcPr/>
          <w:p>
            <w:pPr>
              <w:pStyle w:val="Compact"/>
              <w:jc w:val="left"/>
            </w:pPr>
            <w:r>
              <w:t xml:space="preserve">Ano de vida ajustado por incapacidade (medida de carga de doença)</w:t>
            </w:r>
          </w:p>
        </w:tc>
      </w:tr>
      <w:tr>
        <w:tc>
          <w:tcPr/>
          <w:p>
            <w:pPr>
              <w:pStyle w:val="Compact"/>
              <w:jc w:val="left"/>
            </w:pPr>
            <w:r>
              <w:t xml:space="preserve">ICER</w:t>
            </w:r>
          </w:p>
        </w:tc>
        <w:tc>
          <w:tcPr/>
          <w:p>
            <w:pPr>
              <w:pStyle w:val="Compact"/>
              <w:jc w:val="left"/>
            </w:pPr>
            <w:r>
              <w:t xml:space="preserve">Custo incremental por QALY ganho; métrica de custo-efetividade</w:t>
            </w:r>
          </w:p>
        </w:tc>
      </w:tr>
      <w:tr>
        <w:tc>
          <w:tcPr/>
          <w:p>
            <w:pPr>
              <w:pStyle w:val="Compact"/>
              <w:jc w:val="left"/>
            </w:pPr>
            <w:r>
              <w:t xml:space="preserve">VSL</w:t>
            </w:r>
          </w:p>
        </w:tc>
        <w:tc>
          <w:tcPr/>
          <w:p>
            <w:pPr>
              <w:pStyle w:val="Compact"/>
              <w:jc w:val="left"/>
            </w:pPr>
            <w:r>
              <w:t xml:space="preserve">Valor de uma vida estatística: disposição a pagar por redução marginal de risco</w:t>
            </w:r>
          </w:p>
        </w:tc>
      </w:tr>
      <w:tr>
        <w:tc>
          <w:tcPr/>
          <w:p>
            <w:pPr>
              <w:pStyle w:val="Compact"/>
              <w:jc w:val="left"/>
            </w:pPr>
            <w:r>
              <w:t xml:space="preserve">Imunidade de rebanho</w:t>
            </w:r>
          </w:p>
        </w:tc>
        <w:tc>
          <w:tcPr/>
          <w:p>
            <w:pPr>
              <w:pStyle w:val="Compact"/>
              <w:jc w:val="left"/>
            </w:pPr>
            <w:r>
              <w:t xml:space="preserve">Fração vacinada que impede a propagação epidêmica:</w:t>
            </w:r>
            <w:r>
              <w:t xml:space="preserve"> </w:t>
            </w:r>
            <m:oMath>
              <m:sSup>
                <m:e>
                  <m:r>
                    <m:t>v</m:t>
                  </m:r>
                </m:e>
                <m:sup>
                  <m:r>
                    <m:rPr>
                      <m:sty m:val="p"/>
                    </m:rPr>
                    <m:t>*</m:t>
                  </m:r>
                </m:sup>
              </m:sSup>
              <m:r>
                <m:rPr>
                  <m:sty m:val="p"/>
                </m:rPr>
                <m:t>=</m:t>
              </m:r>
              <m:r>
                <m:t>1</m:t>
              </m:r>
              <m:r>
                <m:rPr>
                  <m:sty m:val="p"/>
                </m:rPr>
                <m:t>−</m:t>
              </m:r>
              <m:r>
                <m:t>1</m:t>
              </m:r>
              <m:r>
                <m:rPr>
                  <m:sty m:val="p"/>
                </m:rPr>
                <m:t>/</m:t>
              </m:r>
              <m:sSub>
                <m:e>
                  <m:r>
                    <m:t>R</m:t>
                  </m:r>
                </m:e>
                <m:sub>
                  <m:r>
                    <m:t>0</m:t>
                  </m:r>
                </m:sub>
              </m:sSub>
            </m:oMath>
          </w:p>
        </w:tc>
      </w:tr>
    </w:tbl>
    <w:p>
      <w:r>
        <w:pict>
          <v:rect style="width:0;height:1.5pt" o:hralign="center" o:hrstd="t" o:hr="t"/>
        </w:pict>
      </w:r>
    </w:p>
    <w:bookmarkEnd w:id="1430"/>
    <w:bookmarkStart w:id="1431" w:name="exercícios-28"/>
    <w:p>
      <w:pPr>
        <w:pStyle w:val="Heading3"/>
      </w:pPr>
      <w:r>
        <w:t xml:space="preserve">Exercícios</w:t>
      </w:r>
    </w:p>
    <w:p>
      <w:pPr>
        <w:pStyle w:val="BlockText"/>
      </w:pPr>
      <w:r>
        <w:rPr>
          <w:b/>
          <w:bCs/>
        </w:rPr>
        <w:t xml:space="preserve">[EXERCICIO PROPOSTO] Exercício 23.1 — Seguro de saúde com aversão ao risco</w:t>
      </w:r>
    </w:p>
    <w:p>
      <w:pPr>
        <w:pStyle w:val="BlockText"/>
      </w:pPr>
      <w:r>
        <w:t xml:space="preserve">Um indivíduo tem riqueza</w:t>
      </w:r>
      <w:r>
        <w:t xml:space="preserve"> </w:t>
      </w:r>
      <m:oMath>
        <m:r>
          <m:t>W</m:t>
        </m:r>
        <m:r>
          <m:rPr>
            <m:sty m:val="p"/>
          </m:rPr>
          <m:t>=</m:t>
        </m:r>
        <m:r>
          <m:t>100.000</m:t>
        </m:r>
      </m:oMath>
      <w:r>
        <w:t xml:space="preserve">, probabilidade de doença</w:t>
      </w:r>
      <w:r>
        <w:t xml:space="preserve"> </w:t>
      </w:r>
      <m:oMath>
        <m:r>
          <m:t>π</m:t>
        </m:r>
        <m:r>
          <m:rPr>
            <m:sty m:val="p"/>
          </m:rPr>
          <m:t>=</m:t>
        </m:r>
        <m:r>
          <m:t>0</m:t>
        </m:r>
        <m:r>
          <m:rPr>
            <m:sty m:val="p"/>
          </m:rPr>
          <m:t>,</m:t>
        </m:r>
        <m:r>
          <m:t>1</m:t>
        </m:r>
      </m:oMath>
      <w:r>
        <w:t xml:space="preserve">, custo de tratamento</w:t>
      </w:r>
      <w:r>
        <w:t xml:space="preserve"> </w:t>
      </w:r>
      <m:oMath>
        <m:r>
          <m:t>m</m:t>
        </m:r>
        <m:r>
          <m:rPr>
            <m:sty m:val="p"/>
          </m:rPr>
          <m:t>=</m:t>
        </m:r>
        <m:r>
          <m:t>50.000</m:t>
        </m:r>
      </m:oMath>
      <w:r>
        <w:t xml:space="preserve"> </w:t>
      </w:r>
      <w:r>
        <w:t xml:space="preserve">e utilidade</w:t>
      </w:r>
      <w:r>
        <w:t xml:space="preserve"> </w:t>
      </w:r>
      <m:oMath>
        <m:r>
          <m:t>u</m:t>
        </m:r>
        <m:r>
          <m:rPr>
            <m:sty m:val="p"/>
          </m:rPr>
          <m:t>(</m:t>
        </m:r>
        <m:r>
          <m:t>x</m:t>
        </m:r>
        <m:r>
          <m:rPr>
            <m:sty m:val="p"/>
          </m:rPr>
          <m:t>)</m:t>
        </m:r>
        <m:r>
          <m:rPr>
            <m:sty m:val="p"/>
          </m:rPr>
          <m:t>=</m:t>
        </m:r>
        <m:rad>
          <m:radPr>
            <m:degHide m:val="on"/>
          </m:radPr>
          <m:deg/>
          <m:e>
            <m:r>
              <m:t>x</m:t>
            </m:r>
          </m:e>
        </m:rad>
      </m:oMath>
      <w:r>
        <w:t xml:space="preserve">.</w:t>
      </w:r>
    </w:p>
    <w:p>
      <w:pPr>
        <w:pStyle w:val="BlockText"/>
        <w:numPr>
          <w:ilvl w:val="0"/>
          <w:numId w:val="2274"/>
        </w:numPr>
      </w:pPr>
      <w:r>
        <w:t xml:space="preserve">Calcule a utilidade esperada sem seguro.</w:t>
      </w:r>
    </w:p>
    <w:p>
      <w:pPr>
        <w:pStyle w:val="BlockText"/>
        <w:numPr>
          <w:ilvl w:val="0"/>
          <w:numId w:val="2274"/>
        </w:numPr>
      </w:pPr>
      <w:r>
        <w:t xml:space="preserve">Calcule o prêmio atuarialmente justo e a utilidade com seguro justo.</w:t>
      </w:r>
    </w:p>
    <w:p>
      <w:pPr>
        <w:pStyle w:val="BlockText"/>
        <w:numPr>
          <w:ilvl w:val="0"/>
          <w:numId w:val="2274"/>
        </w:numPr>
      </w:pPr>
      <w:r>
        <w:t xml:space="preserve">Qual o prêmio máximo que o indivíduo estaria disposto a pagar?</w:t>
      </w:r>
    </w:p>
    <w:p>
      <w:pPr>
        <w:pStyle w:val="BlockText"/>
        <w:numPr>
          <w:ilvl w:val="0"/>
          <w:numId w:val="2274"/>
        </w:numPr>
      </w:pPr>
      <w:r>
        <w:t xml:space="preserve">Explique a conexão com o Capítulo 7 (prêmio de risco e desigualdade de Jensen).</w:t>
      </w:r>
    </w:p>
    <w:p>
      <w:pPr>
        <w:pStyle w:val="BlockText"/>
      </w:pPr>
      <w:r>
        <w:t xml:space="preserve">Ver solução (Cap. 23)</w:t>
      </w:r>
    </w:p>
    <w:p>
      <w:pPr>
        <w:pStyle w:val="BlockText"/>
      </w:pPr>
      <w:r>
        <w:rPr>
          <w:b/>
          <w:bCs/>
        </w:rPr>
        <w:t xml:space="preserve">[EXERCICIO PROPOSTO] Exercício 23.2 — Dinâmica do estoque de saúde no modelo de Grossman</w:t>
      </w:r>
    </w:p>
    <w:p>
      <w:pPr>
        <w:pStyle w:val="BlockText"/>
      </w:pPr>
      <w:r>
        <w:t xml:space="preserve">Considere</w:t>
      </w:r>
      <w:r>
        <w:t xml:space="preserve"> </w:t>
      </w:r>
      <m:oMath>
        <m:sSub>
          <m:e>
            <m:r>
              <m:t>H</m:t>
            </m:r>
          </m:e>
          <m:sub>
            <m:r>
              <m:t>0</m:t>
            </m:r>
          </m:sub>
        </m:sSub>
        <m:r>
          <m:rPr>
            <m:sty m:val="p"/>
          </m:rPr>
          <m:t>=</m:t>
        </m:r>
        <m:r>
          <m:t>100</m:t>
        </m:r>
      </m:oMath>
      <w:r>
        <w:t xml:space="preserve">, taxa de depreciação</w:t>
      </w:r>
      <w:r>
        <w:t xml:space="preserve"> </w:t>
      </w:r>
      <m:oMath>
        <m:r>
          <m:t>δ</m:t>
        </m:r>
        <m:r>
          <m:rPr>
            <m:sty m:val="p"/>
          </m:rPr>
          <m:t>=</m:t>
        </m:r>
        <m:r>
          <m:t>0</m:t>
        </m:r>
        <m:r>
          <m:rPr>
            <m:sty m:val="p"/>
          </m:rPr>
          <m:t>,</m:t>
        </m:r>
        <m:r>
          <m:t>05</m:t>
        </m:r>
      </m:oMath>
      <w:r>
        <w:t xml:space="preserve"> </w:t>
      </w:r>
      <w:r>
        <w:t xml:space="preserve">e investimento constante</w:t>
      </w:r>
      <w:r>
        <w:t xml:space="preserve"> </w:t>
      </w:r>
      <m:oMath>
        <m:r>
          <m:t>I</m:t>
        </m:r>
        <m:r>
          <m:rPr>
            <m:sty m:val="p"/>
          </m:rPr>
          <m:t>=</m:t>
        </m:r>
        <m:r>
          <m:t>8</m:t>
        </m:r>
      </m:oMath>
      <w:r>
        <w:t xml:space="preserve">.</w:t>
      </w:r>
    </w:p>
    <w:p>
      <w:pPr>
        <w:pStyle w:val="BlockText"/>
        <w:numPr>
          <w:ilvl w:val="0"/>
          <w:numId w:val="2275"/>
        </w:numPr>
      </w:pPr>
      <w:r>
        <w:t xml:space="preserve">Calcule o estoque de saúde no estado estacionário.</w:t>
      </w:r>
    </w:p>
    <w:p>
      <w:pPr>
        <w:pStyle w:val="BlockText"/>
        <w:numPr>
          <w:ilvl w:val="0"/>
          <w:numId w:val="2275"/>
        </w:numPr>
      </w:pPr>
      <w:r>
        <w:t xml:space="preserve">Construa a trajetória de</w:t>
      </w:r>
      <w:r>
        <w:t xml:space="preserve"> </w:t>
      </w:r>
      <m:oMath>
        <m:sSub>
          <m:e>
            <m:r>
              <m:t>H</m:t>
            </m:r>
          </m:e>
          <m:sub>
            <m:r>
              <m:t>t</m:t>
            </m:r>
          </m:sub>
        </m:sSub>
      </m:oMath>
      <w:r>
        <w:t xml:space="preserve"> </w:t>
      </w:r>
      <w:r>
        <w:t xml:space="preserve">para</w:t>
      </w:r>
      <w:r>
        <w:t xml:space="preserve"> </w:t>
      </w:r>
      <m:oMath>
        <m:r>
          <m:t>t</m:t>
        </m:r>
        <m:r>
          <m:rPr>
            <m:sty m:val="p"/>
          </m:rPr>
          <m:t>=</m:t>
        </m:r>
        <m:r>
          <m:t>0</m:t>
        </m:r>
        <m:r>
          <m:rPr>
            <m:sty m:val="p"/>
          </m:rPr>
          <m:t>,</m:t>
        </m:r>
        <m:r>
          <m:t>1</m:t>
        </m:r>
        <m:r>
          <m:rPr>
            <m:sty m:val="p"/>
          </m:rPr>
          <m:t>,</m:t>
        </m:r>
        <m:r>
          <m:rPr>
            <m:sty m:val="p"/>
          </m:rPr>
          <m:t>…</m:t>
        </m:r>
        <m:r>
          <m:rPr>
            <m:sty m:val="p"/>
          </m:rPr>
          <m:t>,</m:t>
        </m:r>
        <m:r>
          <m:t>10</m:t>
        </m:r>
      </m:oMath>
      <w:r>
        <w:t xml:space="preserve">.</w:t>
      </w:r>
    </w:p>
    <w:p>
      <w:pPr>
        <w:pStyle w:val="BlockText"/>
        <w:numPr>
          <w:ilvl w:val="0"/>
          <w:numId w:val="2275"/>
        </w:numPr>
      </w:pPr>
      <w:r>
        <w:t xml:space="preserve">Se</w:t>
      </w:r>
      <w:r>
        <w:t xml:space="preserve"> </w:t>
      </w:r>
      <m:oMath>
        <m:r>
          <m:t>δ</m:t>
        </m:r>
      </m:oMath>
      <w:r>
        <w:t xml:space="preserve"> </w:t>
      </w:r>
      <w:r>
        <w:t xml:space="preserve">aumenta para 0,10 a partir de</w:t>
      </w:r>
      <w:r>
        <w:t xml:space="preserve"> </w:t>
      </w:r>
      <m:oMath>
        <m:r>
          <m:t>t</m:t>
        </m:r>
        <m:r>
          <m:rPr>
            <m:sty m:val="p"/>
          </m:rPr>
          <m:t>=</m:t>
        </m:r>
        <m:r>
          <m:t>5</m:t>
        </m:r>
      </m:oMath>
      <w:r>
        <w:t xml:space="preserve">, qual o novo estado estacionário? Calcule</w:t>
      </w:r>
      <w:r>
        <w:t xml:space="preserve"> </w:t>
      </w:r>
      <m:oMath>
        <m:sSub>
          <m:e>
            <m:r>
              <m:t>H</m:t>
            </m:r>
          </m:e>
          <m:sub>
            <m:r>
              <m:t>t</m:t>
            </m:r>
          </m:sub>
        </m:sSub>
      </m:oMath>
      <w:r>
        <w:t xml:space="preserve"> </w:t>
      </w:r>
      <w:r>
        <w:t xml:space="preserve">para</w:t>
      </w:r>
      <w:r>
        <w:t xml:space="preserve"> </w:t>
      </w:r>
      <m:oMath>
        <m:r>
          <m:t>t</m:t>
        </m:r>
        <m:r>
          <m:rPr>
            <m:sty m:val="p"/>
          </m:rPr>
          <m:t>=</m:t>
        </m:r>
        <m:r>
          <m:t>5</m:t>
        </m:r>
        <m:r>
          <m:rPr>
            <m:sty m:val="p"/>
          </m:rPr>
          <m:t>,</m:t>
        </m:r>
        <m:r>
          <m:rPr>
            <m:sty m:val="p"/>
          </m:rPr>
          <m:t>…</m:t>
        </m:r>
        <m:r>
          <m:rPr>
            <m:sty m:val="p"/>
          </m:rPr>
          <m:t>,</m:t>
        </m:r>
        <m:r>
          <m:t>10</m:t>
        </m:r>
      </m:oMath>
      <w:r>
        <w:t xml:space="preserve">.</w:t>
      </w:r>
    </w:p>
    <w:p>
      <w:pPr>
        <w:pStyle w:val="BlockText"/>
        <w:numPr>
          <w:ilvl w:val="0"/>
          <w:numId w:val="2275"/>
        </w:numPr>
      </w:pPr>
      <w:r>
        <w:t xml:space="preserve">Interprete economicamente o aumento de</w:t>
      </w:r>
      <w:r>
        <w:t xml:space="preserve"> </w:t>
      </w:r>
      <m:oMath>
        <m:r>
          <m:t>δ</m:t>
        </m:r>
      </m:oMath>
      <w:r>
        <w:t xml:space="preserve">.</w:t>
      </w:r>
    </w:p>
    <w:p>
      <w:pPr>
        <w:pStyle w:val="BlockText"/>
      </w:pPr>
      <w:r>
        <w:t xml:space="preserve">Ver solução (Cap. 23)</w:t>
      </w:r>
    </w:p>
    <w:p>
      <w:pPr>
        <w:pStyle w:val="BlockText"/>
      </w:pPr>
      <w:r>
        <w:rPr>
          <w:b/>
          <w:bCs/>
        </w:rPr>
        <w:t xml:space="preserve">[EXERCICIO PROPOSTO] Exercício 23.3 — Seleção adversa e espiral da morte</w:t>
      </w:r>
    </w:p>
    <w:p>
      <w:pPr>
        <w:pStyle w:val="BlockText"/>
      </w:pPr>
      <w:r>
        <w:t xml:space="preserve">Dois tipos de consumidores: tipo L (</w:t>
      </w:r>
      <m:oMath>
        <m:sSub>
          <m:e>
            <m:r>
              <m:t>π</m:t>
            </m:r>
          </m:e>
          <m:sub>
            <m:r>
              <m:t>L</m:t>
            </m:r>
          </m:sub>
        </m:sSub>
        <m:r>
          <m:rPr>
            <m:sty m:val="p"/>
          </m:rPr>
          <m:t>=</m:t>
        </m:r>
        <m:r>
          <m:t>0</m:t>
        </m:r>
        <m:r>
          <m:rPr>
            <m:sty m:val="p"/>
          </m:rPr>
          <m:t>,</m:t>
        </m:r>
        <m:r>
          <m:t>1</m:t>
        </m:r>
      </m:oMath>
      <w:r>
        <w:t xml:space="preserve">) e tipo H (</w:t>
      </w:r>
      <m:oMath>
        <m:sSub>
          <m:e>
            <m:r>
              <m:t>π</m:t>
            </m:r>
          </m:e>
          <m:sub>
            <m:r>
              <m:t>H</m:t>
            </m:r>
          </m:sub>
        </m:sSub>
        <m:r>
          <m:rPr>
            <m:sty m:val="p"/>
          </m:rPr>
          <m:t>=</m:t>
        </m:r>
        <m:r>
          <m:t>0</m:t>
        </m:r>
        <m:r>
          <m:rPr>
            <m:sty m:val="p"/>
          </m:rPr>
          <m:t>,</m:t>
        </m:r>
        <m:r>
          <m:t>4</m:t>
        </m:r>
      </m:oMath>
      <w:r>
        <w:t xml:space="preserve">). Perda:</w:t>
      </w:r>
      <w:r>
        <w:t xml:space="preserve"> </w:t>
      </w:r>
      <m:oMath>
        <m:r>
          <m:t>L</m:t>
        </m:r>
        <m:r>
          <m:rPr>
            <m:sty m:val="p"/>
          </m:rPr>
          <m:t>=</m:t>
        </m:r>
        <m:r>
          <m:t>20.000</m:t>
        </m:r>
      </m:oMath>
      <w:r>
        <w:t xml:space="preserve">. Proporção: 60% L, 40% H. Disposição a pagar: 1,1× valor atuarial.</w:t>
      </w:r>
    </w:p>
    <w:p>
      <w:pPr>
        <w:pStyle w:val="BlockText"/>
        <w:numPr>
          <w:ilvl w:val="0"/>
          <w:numId w:val="2276"/>
        </w:numPr>
      </w:pPr>
      <w:r>
        <w:t xml:space="preserve">Calcule os prêmios atuarialmente justos para cada tipo e para o pool.</w:t>
      </w:r>
    </w:p>
    <w:p>
      <w:pPr>
        <w:pStyle w:val="BlockText"/>
        <w:numPr>
          <w:ilvl w:val="0"/>
          <w:numId w:val="2276"/>
        </w:numPr>
      </w:pPr>
      <w:r>
        <w:t xml:space="preserve">Ao prêmio do pool, quem compra seguro? Quem sai?</w:t>
      </w:r>
    </w:p>
    <w:p>
      <w:pPr>
        <w:pStyle w:val="BlockText"/>
        <w:numPr>
          <w:ilvl w:val="0"/>
          <w:numId w:val="2276"/>
        </w:numPr>
      </w:pPr>
      <w:r>
        <w:t xml:space="preserve">Qual o prêmio de equilíbrio após a saída dos baixo risco?</w:t>
      </w:r>
    </w:p>
    <w:p>
      <w:pPr>
        <w:pStyle w:val="BlockText"/>
        <w:numPr>
          <w:ilvl w:val="0"/>
          <w:numId w:val="2276"/>
        </w:numPr>
      </w:pPr>
      <w:r>
        <w:t xml:space="preserve">Ilustre a espiral da morte iterando o processo.</w:t>
      </w:r>
    </w:p>
    <w:p>
      <w:pPr>
        <w:pStyle w:val="BlockText"/>
      </w:pPr>
      <w:r>
        <w:t xml:space="preserve">Ver solução (Cap. 23)</w:t>
      </w:r>
    </w:p>
    <w:p>
      <w:pPr>
        <w:pStyle w:val="BlockText"/>
      </w:pPr>
      <w:r>
        <w:rPr>
          <w:b/>
          <w:bCs/>
        </w:rPr>
        <w:t xml:space="preserve">[EXERCICIO PROPOSTO] Exercício 23.4 — Demanda induzida pelo ofertante</w:t>
      </w:r>
    </w:p>
    <w:p>
      <w:pPr>
        <w:pStyle w:val="BlockText"/>
      </w:pPr>
      <w:r>
        <w:t xml:space="preserve">Um médico recebe R$ 200/procedimento sob fee-for-service. O número clinicamente adequado é</w:t>
      </w:r>
      <w:r>
        <w:t xml:space="preserve"> </w:t>
      </w:r>
      <m:oMath>
        <m:sSup>
          <m:e>
            <m:r>
              <m:t>n</m:t>
            </m:r>
          </m:e>
          <m:sup>
            <m:r>
              <m:rPr>
                <m:sty m:val="p"/>
              </m:rPr>
              <m:t>*</m:t>
            </m:r>
          </m:sup>
        </m:sSup>
        <m:r>
          <m:rPr>
            <m:sty m:val="p"/>
          </m:rPr>
          <m:t>=</m:t>
        </m:r>
        <m:r>
          <m:t>5</m:t>
        </m:r>
      </m:oMath>
      <w:r>
        <w:t xml:space="preserve">. A utilidade do médico é</w:t>
      </w:r>
      <w:r>
        <w:t xml:space="preserve"> </w:t>
      </w:r>
      <m:oMath>
        <m:r>
          <m:t>U</m:t>
        </m:r>
        <m:r>
          <m:rPr>
            <m:sty m:val="p"/>
          </m:rPr>
          <m:t>=</m:t>
        </m:r>
        <m:r>
          <m:t>200</m:t>
        </m:r>
        <m:r>
          <m:t>n</m:t>
        </m:r>
        <m:r>
          <m:rPr>
            <m:sty m:val="p"/>
          </m:rPr>
          <m:t>−</m:t>
        </m:r>
        <m:r>
          <m:t>50</m:t>
        </m:r>
        <m:r>
          <m:rPr>
            <m:sty m:val="p"/>
          </m:rPr>
          <m:t>(</m:t>
        </m:r>
        <m:r>
          <m:t>n</m:t>
        </m:r>
        <m:r>
          <m:rPr>
            <m:sty m:val="p"/>
          </m:rPr>
          <m:t>−</m:t>
        </m:r>
        <m:r>
          <m:t>5</m:t>
        </m:r>
        <m:sSup>
          <m:e>
            <m:r>
              <m:rPr>
                <m:sty m:val="p"/>
              </m:rPr>
              <m:t>)</m:t>
            </m:r>
          </m:e>
          <m:sup>
            <m:r>
              <m:t>2</m:t>
            </m:r>
          </m:sup>
        </m:sSup>
      </m:oMath>
      <w:r>
        <w:t xml:space="preserve"> </w:t>
      </w:r>
      <w:r>
        <w:t xml:space="preserve">para</w:t>
      </w:r>
      <w:r>
        <w:t xml:space="preserve"> </w:t>
      </w:r>
      <m:oMath>
        <m:r>
          <m:t>n</m:t>
        </m:r>
        <m:r>
          <m:rPr>
            <m:sty m:val="p"/>
          </m:rPr>
          <m:t>≥</m:t>
        </m:r>
        <m:r>
          <m:t>5</m:t>
        </m:r>
      </m:oMath>
      <w:r>
        <w:t xml:space="preserve">.</w:t>
      </w:r>
    </w:p>
    <w:p>
      <w:pPr>
        <w:pStyle w:val="BlockText"/>
        <w:numPr>
          <w:ilvl w:val="0"/>
          <w:numId w:val="2277"/>
        </w:numPr>
      </w:pPr>
      <w:r>
        <w:t xml:space="preserve">Encontre o número de procedimentos que maximiza a utilidade do médico.</w:t>
      </w:r>
    </w:p>
    <w:p>
      <w:pPr>
        <w:pStyle w:val="BlockText"/>
        <w:numPr>
          <w:ilvl w:val="0"/>
          <w:numId w:val="2277"/>
        </w:numPr>
      </w:pPr>
      <w:r>
        <w:t xml:space="preserve">Quantifique a demanda induzida (SID) e o custo adicional.</w:t>
      </w:r>
    </w:p>
    <w:p>
      <w:pPr>
        <w:pStyle w:val="BlockText"/>
        <w:numPr>
          <w:ilvl w:val="0"/>
          <w:numId w:val="2277"/>
        </w:numPr>
      </w:pPr>
      <w:r>
        <w:t xml:space="preserve">Sob capitation (renda fixa de R$ 1.000), qual o número ótimo de procedimentos?</w:t>
      </w:r>
    </w:p>
    <w:p>
      <w:pPr>
        <w:pStyle w:val="BlockText"/>
        <w:numPr>
          <w:ilvl w:val="0"/>
          <w:numId w:val="2277"/>
        </w:numPr>
      </w:pPr>
      <w:r>
        <w:t xml:space="preserve">Discuta o trade-off entre fee-for-service e capitation.</w:t>
      </w:r>
    </w:p>
    <w:p>
      <w:pPr>
        <w:pStyle w:val="BlockText"/>
      </w:pPr>
      <w:r>
        <w:t xml:space="preserve">Ver solução (Cap. 23)</w:t>
      </w:r>
    </w:p>
    <w:p>
      <w:pPr>
        <w:pStyle w:val="BlockText"/>
      </w:pPr>
      <w:r>
        <w:rPr>
          <w:b/>
          <w:bCs/>
        </w:rPr>
        <w:t xml:space="preserve">[EXERCICIO PROPOSTO] Exercício 23.5 — Vacinação como externalidade positiva</w:t>
      </w:r>
    </w:p>
    <w:p>
      <w:pPr>
        <w:pStyle w:val="BlockText"/>
      </w:pPr>
      <w:r>
        <w:t xml:space="preserve">Uma vacina tem</w:t>
      </w:r>
      <w:r>
        <w:t xml:space="preserve"> </w:t>
      </w:r>
      <m:oMath>
        <m:sSub>
          <m:e>
            <m:r>
              <m:t>R</m:t>
            </m:r>
          </m:e>
          <m:sub>
            <m:r>
              <m:t>0</m:t>
            </m:r>
          </m:sub>
        </m:sSub>
        <m:r>
          <m:rPr>
            <m:sty m:val="p"/>
          </m:rPr>
          <m:t>=</m:t>
        </m:r>
        <m:r>
          <m:t>4</m:t>
        </m:r>
      </m:oMath>
      <w:r>
        <w:t xml:space="preserve">, custo = R$ 100, benefício privado = R$ 80 e benefício externo = R$ 60.</w:t>
      </w:r>
    </w:p>
    <w:p>
      <w:pPr>
        <w:pStyle w:val="BlockText"/>
        <w:numPr>
          <w:ilvl w:val="0"/>
          <w:numId w:val="2278"/>
        </w:numPr>
      </w:pPr>
      <w:r>
        <w:t xml:space="preserve">O indivíduo se vacina voluntariamente?</w:t>
      </w:r>
    </w:p>
    <w:p>
      <w:pPr>
        <w:pStyle w:val="BlockText"/>
        <w:numPr>
          <w:ilvl w:val="0"/>
          <w:numId w:val="2278"/>
        </w:numPr>
      </w:pPr>
      <w:r>
        <w:t xml:space="preserve">A vacinação é socialmente ótima?</w:t>
      </w:r>
    </w:p>
    <w:p>
      <w:pPr>
        <w:pStyle w:val="BlockText"/>
        <w:numPr>
          <w:ilvl w:val="0"/>
          <w:numId w:val="2278"/>
        </w:numPr>
      </w:pPr>
      <w:r>
        <w:t xml:space="preserve">Qual o limiar de imunidade de rebanho?</w:t>
      </w:r>
    </w:p>
    <w:p>
      <w:pPr>
        <w:pStyle w:val="BlockText"/>
        <w:numPr>
          <w:ilvl w:val="0"/>
          <w:numId w:val="2278"/>
        </w:numPr>
      </w:pPr>
      <w:r>
        <w:t xml:space="preserve">Proponha uma política pigouviana para atingir o ótimo social.</w:t>
      </w:r>
    </w:p>
    <w:p>
      <w:pPr>
        <w:pStyle w:val="BlockText"/>
      </w:pPr>
      <w:r>
        <w:t xml:space="preserve">Ver solução (Cap. 23)</w:t>
      </w:r>
    </w:p>
    <w:p>
      <w:pPr>
        <w:pStyle w:val="BlockText"/>
      </w:pPr>
      <w:r>
        <w:rPr>
          <w:b/>
          <w:bCs/>
        </w:rPr>
        <w:t xml:space="preserve">[EXERCICIO PROPOSTO] Exercício 23.6 — Comparação de sistemas de saúde</w:t>
      </w:r>
    </w:p>
    <w:p>
      <w:pPr>
        <w:pStyle w:val="BlockText"/>
      </w:pPr>
      <w:r>
        <w:t xml:space="preserve">Dois países: País A (expectativa de vida 82 anos, gasto 10% PIB, 0% sem seguro, mortalidade infantil 3/1.000, espera 12 semanas) e País B (77 anos, 17% PIB, 8% sem seguro, mortalidade infantil 5,5/1.000, espera 2 semanas).</w:t>
      </w:r>
    </w:p>
    <w:p>
      <w:pPr>
        <w:pStyle w:val="BlockText"/>
        <w:numPr>
          <w:ilvl w:val="0"/>
          <w:numId w:val="2279"/>
        </w:numPr>
      </w:pPr>
      <w:r>
        <w:t xml:space="preserve">Calcule um índice simples de eficiência (expectativa de vida / % PIB gasto).</w:t>
      </w:r>
    </w:p>
    <w:p>
      <w:pPr>
        <w:pStyle w:val="BlockText"/>
        <w:numPr>
          <w:ilvl w:val="0"/>
          <w:numId w:val="2279"/>
        </w:numPr>
      </w:pPr>
      <w:r>
        <w:t xml:space="preserve">Qual país é mais eficiente? Qual é mais equitativo?</w:t>
      </w:r>
    </w:p>
    <w:p>
      <w:pPr>
        <w:pStyle w:val="BlockText"/>
        <w:numPr>
          <w:ilvl w:val="0"/>
          <w:numId w:val="2279"/>
        </w:numPr>
      </w:pPr>
      <w:r>
        <w:t xml:space="preserve">Quais limitações desse índice simples?</w:t>
      </w:r>
    </w:p>
    <w:p>
      <w:pPr>
        <w:pStyle w:val="BlockText"/>
        <w:numPr>
          <w:ilvl w:val="0"/>
          <w:numId w:val="2279"/>
        </w:numPr>
      </w:pPr>
      <w:r>
        <w:t xml:space="preserve">Que métrica seria mais adequada?</w:t>
      </w:r>
    </w:p>
    <w:p>
      <w:pPr>
        <w:pStyle w:val="BlockText"/>
      </w:pPr>
      <w:r>
        <w:t xml:space="preserve">Ver solução (Cap. 23)</w:t>
      </w:r>
    </w:p>
    <w:p>
      <w:pPr>
        <w:pStyle w:val="BlockText"/>
      </w:pPr>
      <w:r>
        <w:rPr>
          <w:b/>
          <w:bCs/>
        </w:rPr>
        <w:t xml:space="preserve">[EXERCICIO PROPOSTO] Exercício 23.7 — Análise custo-efetividade</w:t>
      </w:r>
    </w:p>
    <w:p>
      <w:pPr>
        <w:pStyle w:val="BlockText"/>
      </w:pPr>
      <w:r>
        <w:t xml:space="preserve">Intervenção A (cirurgia bariátrica): R$ 30.000/paciente, 5 QALYs. Intervenção B (controle de hipertensão): R$ 500/paciente, 0,5 QALYs. Orçamento: R$ 300.000.</w:t>
      </w:r>
    </w:p>
    <w:p>
      <w:pPr>
        <w:pStyle w:val="BlockText"/>
        <w:numPr>
          <w:ilvl w:val="0"/>
          <w:numId w:val="2280"/>
        </w:numPr>
      </w:pPr>
      <w:r>
        <w:t xml:space="preserve">Calcule o ICER de cada intervenção.</w:t>
      </w:r>
    </w:p>
    <w:p>
      <w:pPr>
        <w:pStyle w:val="BlockText"/>
        <w:numPr>
          <w:ilvl w:val="0"/>
          <w:numId w:val="2280"/>
        </w:numPr>
      </w:pPr>
      <w:r>
        <w:t xml:space="preserve">Quantos pacientes podem ser atendidos em cada cenário (só A; só B)?</w:t>
      </w:r>
    </w:p>
    <w:p>
      <w:pPr>
        <w:pStyle w:val="BlockText"/>
        <w:numPr>
          <w:ilvl w:val="0"/>
          <w:numId w:val="2280"/>
        </w:numPr>
      </w:pPr>
      <w:r>
        <w:t xml:space="preserve">Qual alocação maximiza QALYs totais?</w:t>
      </w:r>
    </w:p>
    <w:p>
      <w:pPr>
        <w:pStyle w:val="BlockText"/>
        <w:numPr>
          <w:ilvl w:val="0"/>
          <w:numId w:val="2280"/>
        </w:numPr>
      </w:pPr>
      <w:r>
        <w:t xml:space="preserve">Discuta as implicações éticas da alocação por custo-efetividade puro.</w:t>
      </w:r>
    </w:p>
    <w:p>
      <w:pPr>
        <w:pStyle w:val="BlockText"/>
      </w:pPr>
      <w:r>
        <w:t xml:space="preserve">Ver solução (Cap. 23)</w:t>
      </w:r>
    </w:p>
    <w:p>
      <w:pPr>
        <w:pStyle w:val="BlockText"/>
      </w:pPr>
      <w:r>
        <w:rPr>
          <w:b/>
          <w:bCs/>
        </w:rPr>
        <w:t xml:space="preserve">[EXERCICIO PROPOSTO] Exercício 23.8 — SUS e sistema privado: dupla porta</w:t>
      </w:r>
    </w:p>
    <w:p>
      <w:pPr>
        <w:pStyle w:val="BlockText"/>
      </w:pPr>
      <w:r>
        <w:t xml:space="preserve">75% da população usa o SUS (gasto público = 4% PIB), 25% usa planos privados (gasto privado = 5% PIB). PIB per capita: R$ 50.000. População: 200 milhões.</w:t>
      </w:r>
    </w:p>
    <w:p>
      <w:pPr>
        <w:pStyle w:val="BlockText"/>
        <w:numPr>
          <w:ilvl w:val="0"/>
          <w:numId w:val="2281"/>
        </w:numPr>
      </w:pPr>
      <w:r>
        <w:t xml:space="preserve">Calcule o gasto per capita no SUS e no setor privado.</w:t>
      </w:r>
    </w:p>
    <w:p>
      <w:pPr>
        <w:pStyle w:val="BlockText"/>
        <w:numPr>
          <w:ilvl w:val="0"/>
          <w:numId w:val="2281"/>
        </w:numPr>
      </w:pPr>
      <w:r>
        <w:t xml:space="preserve">Calcule o gasto absoluto total em saúde.</w:t>
      </w:r>
    </w:p>
    <w:p>
      <w:pPr>
        <w:pStyle w:val="BlockText"/>
        <w:numPr>
          <w:ilvl w:val="0"/>
          <w:numId w:val="2281"/>
        </w:numPr>
      </w:pPr>
      <w:r>
        <w:t xml:space="preserve">Explique o fenômeno da</w:t>
      </w:r>
      <w:r>
        <w:t xml:space="preserve"> </w:t>
      </w:r>
      <w:r>
        <w:t xml:space="preserve">“dupla porta”</w:t>
      </w:r>
      <w:r>
        <w:t xml:space="preserve"> </w:t>
      </w:r>
      <w:r>
        <w:t xml:space="preserve">(beneficiários de planos que usam o SUS).</w:t>
      </w:r>
    </w:p>
    <w:p>
      <w:pPr>
        <w:pStyle w:val="BlockText"/>
        <w:numPr>
          <w:ilvl w:val="0"/>
          <w:numId w:val="2281"/>
        </w:numPr>
      </w:pPr>
      <w:r>
        <w:t xml:space="preserve">Proponha um mecanismo de ressarcimento.</w:t>
      </w:r>
    </w:p>
    <w:p>
      <w:pPr>
        <w:pStyle w:val="BlockText"/>
      </w:pPr>
      <w:r>
        <w:t xml:space="preserve">Ver solução (Cap. 23)</w:t>
      </w:r>
    </w:p>
    <w:p>
      <w:pPr>
        <w:pStyle w:val="BlockText"/>
      </w:pPr>
      <w:r>
        <w:rPr>
          <w:b/>
          <w:bCs/>
        </w:rPr>
        <w:t xml:space="preserve">[EXERCICIO PROPOSTO] Exercício 23.9 — Ajuste de risco em seguros de saúde</w:t>
      </w:r>
    </w:p>
    <w:p>
      <w:pPr>
        <w:pStyle w:val="BlockText"/>
      </w:pPr>
      <w:r>
        <w:t xml:space="preserve">Uma população de 1.000 segurados dividida em 4 grupos iguais (250 cada): jovens homens (custo previsto R$ 2.500), jovens mulheres (R$ 3.200), idosos homens (R$ 7.500), idosas mulheres (R$ 6.800). Custo médio: R$ 5.000.</w:t>
      </w:r>
    </w:p>
    <w:p>
      <w:pPr>
        <w:pStyle w:val="BlockText"/>
        <w:numPr>
          <w:ilvl w:val="0"/>
          <w:numId w:val="2282"/>
        </w:numPr>
      </w:pPr>
      <w:r>
        <w:t xml:space="preserve">Calcule o pagamento de ajuste de risco para cada grupo.</w:t>
      </w:r>
    </w:p>
    <w:p>
      <w:pPr>
        <w:pStyle w:val="BlockText"/>
        <w:numPr>
          <w:ilvl w:val="0"/>
          <w:numId w:val="2282"/>
        </w:numPr>
      </w:pPr>
      <w:r>
        <w:t xml:space="preserve">Quais seguradoras recebem e quais pagam transferências?</w:t>
      </w:r>
    </w:p>
    <w:p>
      <w:pPr>
        <w:pStyle w:val="BlockText"/>
        <w:numPr>
          <w:ilvl w:val="0"/>
          <w:numId w:val="2282"/>
        </w:numPr>
      </w:pPr>
      <w:r>
        <w:t xml:space="preserve">Compare custos previstos com observados (jovens homens: R$ 2.000; jovens mulheres: R$ 3.000; idosos homens: R$ 8.000; idosas mulheres: R$ 7.000). O modelo é adequado?</w:t>
      </w:r>
    </w:p>
    <w:p>
      <w:pPr>
        <w:pStyle w:val="BlockText"/>
        <w:numPr>
          <w:ilvl w:val="0"/>
          <w:numId w:val="2282"/>
        </w:numPr>
      </w:pPr>
      <w:r>
        <w:t xml:space="preserve">Que fatores adicionais melhorariam o modelo?</w:t>
      </w:r>
    </w:p>
    <w:p>
      <w:pPr>
        <w:pStyle w:val="BlockText"/>
      </w:pPr>
      <w:r>
        <w:t xml:space="preserve">Ver solução (Cap. 23)</w:t>
      </w:r>
    </w:p>
    <w:p>
      <w:pPr>
        <w:pStyle w:val="BlockText"/>
      </w:pPr>
      <w:r>
        <w:rPr>
          <w:b/>
          <w:bCs/>
        </w:rPr>
        <w:t xml:space="preserve">[EXERCICIO PROPOSTO] Exercício 23.10 — Valor de uma vida estatística e políticas públicas</w:t>
      </w:r>
    </w:p>
    <w:p>
      <w:pPr>
        <w:pStyle w:val="BlockText"/>
      </w:pPr>
      <w:r>
        <w:t xml:space="preserve">VSL = R$ 5 milhões. Política X: 500 mortes evitadas, custo R$ 400 milhões. Política Y: 200 mortes evitadas, custo R$ 800 milhões.</w:t>
      </w:r>
    </w:p>
    <w:p>
      <w:pPr>
        <w:pStyle w:val="BlockText"/>
        <w:numPr>
          <w:ilvl w:val="0"/>
          <w:numId w:val="2283"/>
        </w:numPr>
      </w:pPr>
      <w:r>
        <w:t xml:space="preserve">Calcule o benefício monetário de cada política.</w:t>
      </w:r>
    </w:p>
    <w:p>
      <w:pPr>
        <w:pStyle w:val="BlockText"/>
        <w:numPr>
          <w:ilvl w:val="0"/>
          <w:numId w:val="2283"/>
        </w:numPr>
      </w:pPr>
      <w:r>
        <w:t xml:space="preserve">Calcule o benefício líquido de cada.</w:t>
      </w:r>
    </w:p>
    <w:p>
      <w:pPr>
        <w:pStyle w:val="BlockText"/>
        <w:numPr>
          <w:ilvl w:val="0"/>
          <w:numId w:val="2283"/>
        </w:numPr>
      </w:pPr>
      <w:r>
        <w:t xml:space="preserve">Com orçamento limitado, qual escolher?</w:t>
      </w:r>
    </w:p>
    <w:p>
      <w:pPr>
        <w:pStyle w:val="BlockText"/>
        <w:numPr>
          <w:ilvl w:val="0"/>
          <w:numId w:val="2283"/>
        </w:numPr>
      </w:pPr>
      <w:r>
        <w:t xml:space="preserve">Discuta as limitações éticas do VSL.</w:t>
      </w:r>
    </w:p>
    <w:p>
      <w:pPr>
        <w:pStyle w:val="BlockText"/>
      </w:pPr>
      <w:r>
        <w:t xml:space="preserve">Ver solução (Cap. 23)</w:t>
      </w:r>
    </w:p>
    <w:p>
      <w:r>
        <w:pict>
          <v:rect style="width:0;height:1.5pt" o:hralign="center" o:hrstd="t" o:hr="t"/>
        </w:pict>
      </w:r>
    </w:p>
    <w:bookmarkEnd w:id="1431"/>
    <w:bookmarkStart w:id="1432" w:name="questões-estilo-anpec-2"/>
    <w:p>
      <w:pPr>
        <w:pStyle w:val="Heading3"/>
      </w:pPr>
      <w:r>
        <w:t xml:space="preserve">Questões estilo ANPEC</w:t>
      </w:r>
    </w:p>
    <w:p>
      <w:pPr>
        <w:pStyle w:val="BlockText"/>
      </w:pPr>
      <w:r>
        <w:rPr>
          <w:b/>
          <w:bCs/>
        </w:rPr>
        <w:t xml:space="preserve">[QUESTAO] Questão ANPEC 23.1</w:t>
      </w:r>
    </w:p>
    <w:p>
      <w:pPr>
        <w:pStyle w:val="BlockText"/>
      </w:pPr>
      <w:r>
        <w:rPr>
          <w:b/>
          <w:bCs/>
        </w:rPr>
        <w:t xml:space="preserve">Julgue as afirmativas (V ou F):</w:t>
      </w:r>
    </w:p>
    <w:p>
      <w:pPr>
        <w:pStyle w:val="BlockText"/>
        <w:numPr>
          <w:ilvl w:val="0"/>
          <w:numId w:val="2284"/>
        </w:numPr>
      </w:pPr>
      <w:r>
        <w:t xml:space="preserve">No modelo de Grossman, a saúde é tratada como um bem de consumo não durável: o indivíduo compra saúde a cada período, sem acumulação.</w:t>
      </w:r>
    </w:p>
    <w:p>
      <w:pPr>
        <w:pStyle w:val="BlockText"/>
        <w:numPr>
          <w:ilvl w:val="0"/>
          <w:numId w:val="2284"/>
        </w:numPr>
      </w:pPr>
      <w:r>
        <w:t xml:space="preserve">O RAND Health Insurance Experiment demonstrou que a demanda por cuidados médicos é perfeitamente inelástica ao preço, justificando a oferta gratuita universal.</w:t>
      </w:r>
    </w:p>
    <w:p>
      <w:pPr>
        <w:pStyle w:val="BlockText"/>
        <w:numPr>
          <w:ilvl w:val="0"/>
          <w:numId w:val="2284"/>
        </w:numPr>
      </w:pPr>
      <w:r>
        <w:t xml:space="preserve">A espiral da morte em seguros de saúde ocorre quando a seleção adversa gera retroalimentação: saída dos baixo risco → aumento do prêmio → mais saídas → colapso do mercado.</w:t>
      </w:r>
    </w:p>
    <w:p>
      <w:pPr>
        <w:pStyle w:val="BlockText"/>
        <w:numPr>
          <w:ilvl w:val="0"/>
          <w:numId w:val="2284"/>
        </w:numPr>
      </w:pPr>
      <w:r>
        <w:t xml:space="preserve">O ajuste de risco entre seguradoras visa eliminar o incentivo para</w:t>
      </w:r>
      <w:r>
        <w:t xml:space="preserve"> </w:t>
      </w:r>
      <w:r>
        <w:rPr>
          <w:i/>
          <w:iCs/>
        </w:rPr>
        <w:t xml:space="preserve">cream-skimming</w:t>
      </w:r>
      <w:r>
        <w:t xml:space="preserve">, transferindo recursos de carteiras de menor risco para carteiras de maior risco.</w:t>
      </w:r>
    </w:p>
    <w:p>
      <w:pPr>
        <w:pStyle w:val="BlockText"/>
        <w:numPr>
          <w:ilvl w:val="0"/>
          <w:numId w:val="2284"/>
        </w:numPr>
      </w:pPr>
      <w:r>
        <w:t xml:space="preserve">A imunidade de rebanho é atingida quando</w:t>
      </w:r>
      <w:r>
        <w:t xml:space="preserve"> </w:t>
      </w:r>
      <m:oMath>
        <m:r>
          <m:t>v</m:t>
        </m:r>
        <m:r>
          <m:rPr>
            <m:sty m:val="p"/>
          </m:rPr>
          <m:t>&gt;</m:t>
        </m:r>
        <m:r>
          <m:t>1</m:t>
        </m:r>
        <m:r>
          <m:rPr>
            <m:sty m:val="p"/>
          </m:rPr>
          <m:t>−</m:t>
        </m:r>
        <m:r>
          <m:t>1</m:t>
        </m:r>
        <m:r>
          <m:rPr>
            <m:sty m:val="p"/>
          </m:rPr>
          <m:t>/</m:t>
        </m:r>
        <m:sSub>
          <m:e>
            <m:r>
              <m:t>R</m:t>
            </m:r>
          </m:e>
          <m:sub>
            <m:r>
              <m:t>0</m:t>
            </m:r>
          </m:sub>
        </m:sSub>
      </m:oMath>
      <w:r>
        <w:t xml:space="preserve">, onde</w:t>
      </w:r>
      <w:r>
        <w:t xml:space="preserve"> </w:t>
      </w:r>
      <m:oMath>
        <m:r>
          <m:t>v</m:t>
        </m:r>
      </m:oMath>
      <w:r>
        <w:t xml:space="preserve"> </w:t>
      </w:r>
      <w:r>
        <w:t xml:space="preserve">é a fração vacinada e</w:t>
      </w:r>
      <w:r>
        <w:t xml:space="preserve"> </w:t>
      </w:r>
      <m:oMath>
        <m:sSub>
          <m:e>
            <m:r>
              <m:t>R</m:t>
            </m:r>
          </m:e>
          <m:sub>
            <m:r>
              <m:t>0</m:t>
            </m:r>
          </m:sub>
        </m:sSub>
      </m:oMath>
      <w:r>
        <w:t xml:space="preserve"> </w:t>
      </w:r>
      <w:r>
        <w:t xml:space="preserve">é o número básico de reprodução.</w:t>
      </w:r>
    </w:p>
    <w:p>
      <w:pPr>
        <w:pStyle w:val="BlockText"/>
      </w:pPr>
      <w:r>
        <w:t xml:space="preserve">??? note</w:t>
      </w:r>
      <w:r>
        <w:t xml:space="preserve"> </w:t>
      </w:r>
      <w:r>
        <w:t xml:space="preserve">“Gabarito”</w:t>
      </w:r>
      <w:r>
        <w:t xml:space="preserve"> </w:t>
      </w:r>
      <w:r>
        <w:t xml:space="preserve">0.</w:t>
      </w:r>
      <w:r>
        <w:t xml:space="preserve"> </w:t>
      </w:r>
      <w:r>
        <w:rPr>
          <w:b/>
          <w:bCs/>
        </w:rPr>
        <w:t xml:space="preserve">FALSO.</w:t>
      </w:r>
      <w:r>
        <w:t xml:space="preserve"> </w:t>
      </w:r>
      <w:r>
        <w:t xml:space="preserve">No modelo de Grossman, a saúde é um estoque de capital durável que se deprecia e é acumulado por investimento.</w:t>
      </w:r>
      <w:r>
        <w:t xml:space="preserve"> </w:t>
      </w:r>
      <w:r>
        <w:t xml:space="preserve">1.</w:t>
      </w:r>
      <w:r>
        <w:t xml:space="preserve"> </w:t>
      </w:r>
      <w:r>
        <w:rPr>
          <w:b/>
          <w:bCs/>
        </w:rPr>
        <w:t xml:space="preserve">FALSO.</w:t>
      </w:r>
      <w:r>
        <w:t xml:space="preserve"> </w:t>
      </w:r>
      <w:r>
        <w:t xml:space="preserve">O RAND estimou elasticidade-preço de ~−0,2 — significativa, não zero. A demanda responde a preços.</w:t>
      </w:r>
      <w:r>
        <w:t xml:space="preserve"> </w:t>
      </w:r>
      <w:r>
        <w:t xml:space="preserve">2.</w:t>
      </w:r>
      <w:r>
        <w:t xml:space="preserve"> </w:t>
      </w:r>
      <w:r>
        <w:rPr>
          <w:b/>
          <w:bCs/>
        </w:rPr>
        <w:t xml:space="preserve">VERDADEIRO.</w:t>
      </w:r>
      <w:r>
        <w:t xml:space="preserve"> </w:t>
      </w:r>
      <w:r>
        <w:t xml:space="preserve">3.</w:t>
      </w:r>
      <w:r>
        <w:t xml:space="preserve"> </w:t>
      </w:r>
      <w:r>
        <w:rPr>
          <w:b/>
          <w:bCs/>
        </w:rPr>
        <w:t xml:space="preserve">VERDADEIRO.</w:t>
      </w:r>
      <w:r>
        <w:t xml:space="preserve"> </w:t>
      </w:r>
      <w:r>
        <w:t xml:space="preserve">4.</w:t>
      </w:r>
      <w:r>
        <w:t xml:space="preserve"> </w:t>
      </w:r>
      <w:r>
        <w:rPr>
          <w:b/>
          <w:bCs/>
        </w:rPr>
        <w:t xml:space="preserve">VERDADEIRO.</w:t>
      </w:r>
    </w:p>
    <w:p>
      <w:pPr>
        <w:pStyle w:val="BlockText"/>
      </w:pPr>
      <w:r>
        <w:rPr>
          <w:b/>
          <w:bCs/>
        </w:rPr>
        <w:t xml:space="preserve">[QUESTAO] Questão ANPEC 23.2</w:t>
      </w:r>
    </w:p>
    <w:p>
      <w:pPr>
        <w:pStyle w:val="BlockText"/>
      </w:pPr>
      <w:r>
        <w:rPr>
          <w:b/>
          <w:bCs/>
        </w:rPr>
        <w:t xml:space="preserve">Julgue as afirmativas (V ou F):</w:t>
      </w:r>
    </w:p>
    <w:p>
      <w:pPr>
        <w:pStyle w:val="BlockText"/>
        <w:numPr>
          <w:ilvl w:val="0"/>
          <w:numId w:val="2285"/>
        </w:numPr>
      </w:pPr>
      <w:r>
        <w:t xml:space="preserve">Segundo Arrow (1963), a principal razão para intervenção pública em saúde é o caráter de bem meritório, sendo a incerteza e a assimetria de informação secundárias.</w:t>
      </w:r>
    </w:p>
    <w:p>
      <w:pPr>
        <w:pStyle w:val="BlockText"/>
        <w:numPr>
          <w:ilvl w:val="0"/>
          <w:numId w:val="2285"/>
        </w:numPr>
      </w:pPr>
      <w:r>
        <w:t xml:space="preserve">O risco moral ex post em seguros de saúde refere-se ao aumento da demanda por cuidados médicos quando o seguro reduz o preço percebido pelo paciente.</w:t>
      </w:r>
    </w:p>
    <w:p>
      <w:pPr>
        <w:pStyle w:val="BlockText"/>
        <w:numPr>
          <w:ilvl w:val="0"/>
          <w:numId w:val="2285"/>
        </w:numPr>
      </w:pPr>
      <w:r>
        <w:t xml:space="preserve">A demanda induzida pelo ofertante (SID) implica que médicos remunerados por capitation prescrevem mais procedimentos do que o clinicamente necessário.</w:t>
      </w:r>
    </w:p>
    <w:p>
      <w:pPr>
        <w:pStyle w:val="BlockText"/>
        <w:numPr>
          <w:ilvl w:val="0"/>
          <w:numId w:val="2285"/>
        </w:numPr>
      </w:pPr>
      <w:r>
        <w:t xml:space="preserve">O QALY (Quality-Adjusted Life Year) pondera anos de vida por qualidade, permitindo comparar intervenções de saúde heterogêneas numa métrica comum.</w:t>
      </w:r>
    </w:p>
    <w:p>
      <w:pPr>
        <w:pStyle w:val="BlockText"/>
        <w:numPr>
          <w:ilvl w:val="0"/>
          <w:numId w:val="2285"/>
        </w:numPr>
      </w:pPr>
      <w:r>
        <w:t xml:space="preserve">No modelo de Newhouse (1970), hospitais sem fins lucrativos maximizam lucro sujeito à restrição de que os dividendos não podem ser distribuídos.</w:t>
      </w:r>
    </w:p>
    <w:p>
      <w:pPr>
        <w:pStyle w:val="BlockText"/>
      </w:pPr>
      <w:r>
        <w:t xml:space="preserve">??? note</w:t>
      </w:r>
      <w:r>
        <w:t xml:space="preserve"> </w:t>
      </w:r>
      <w:r>
        <w:t xml:space="preserve">“Gabarito”</w:t>
      </w:r>
      <w:r>
        <w:t xml:space="preserve"> </w:t>
      </w:r>
      <w:r>
        <w:t xml:space="preserve">0.</w:t>
      </w:r>
      <w:r>
        <w:t xml:space="preserve"> </w:t>
      </w:r>
      <w:r>
        <w:rPr>
          <w:b/>
          <w:bCs/>
        </w:rPr>
        <w:t xml:space="preserve">FALSO.</w:t>
      </w:r>
      <w:r>
        <w:t xml:space="preserve"> </w:t>
      </w:r>
      <w:r>
        <w:t xml:space="preserve">Arrow identificou as quatro características como igualmente fundamentais; a incerteza e a assimetria de informação são centrais, não secundárias.</w:t>
      </w:r>
      <w:r>
        <w:t xml:space="preserve"> </w:t>
      </w:r>
      <w:r>
        <w:t xml:space="preserve">1.</w:t>
      </w:r>
      <w:r>
        <w:t xml:space="preserve"> </w:t>
      </w:r>
      <w:r>
        <w:rPr>
          <w:b/>
          <w:bCs/>
        </w:rPr>
        <w:t xml:space="preserve">VERDADEIRO.</w:t>
      </w:r>
      <w:r>
        <w:t xml:space="preserve"> </w:t>
      </w:r>
      <w:r>
        <w:t xml:space="preserve">2.</w:t>
      </w:r>
      <w:r>
        <w:t xml:space="preserve"> </w:t>
      </w:r>
      <w:r>
        <w:rPr>
          <w:b/>
          <w:bCs/>
        </w:rPr>
        <w:t xml:space="preserve">FALSO.</w:t>
      </w:r>
      <w:r>
        <w:t xml:space="preserve"> </w:t>
      </w:r>
      <w:r>
        <w:t xml:space="preserve">O SID ocorre sob fee-for-service. Sob capitation, o incentivo é para subtratamento.</w:t>
      </w:r>
      <w:r>
        <w:t xml:space="preserve"> </w:t>
      </w:r>
      <w:r>
        <w:t xml:space="preserve">3.</w:t>
      </w:r>
      <w:r>
        <w:t xml:space="preserve"> </w:t>
      </w:r>
      <w:r>
        <w:rPr>
          <w:b/>
          <w:bCs/>
        </w:rPr>
        <w:t xml:space="preserve">VERDADEIRO.</w:t>
      </w:r>
      <w:r>
        <w:t xml:space="preserve"> </w:t>
      </w:r>
      <w:r>
        <w:t xml:space="preserve">4.</w:t>
      </w:r>
      <w:r>
        <w:t xml:space="preserve"> </w:t>
      </w:r>
      <w:r>
        <w:rPr>
          <w:b/>
          <w:bCs/>
        </w:rPr>
        <w:t xml:space="preserve">FALSO.</w:t>
      </w:r>
      <w:r>
        <w:t xml:space="preserve"> </w:t>
      </w:r>
      <w:r>
        <w:t xml:space="preserve">No modelo de Newhouse, hospitais sem fins lucrativos maximizam uma combinação de qualidade e quantidade, sujeitos a equilíbrio orçamentário — não maximizam lucro.</w:t>
      </w:r>
    </w:p>
    <w:p>
      <w:pPr>
        <w:pStyle w:val="BlockText"/>
      </w:pPr>
      <w:r>
        <w:rPr>
          <w:b/>
          <w:bCs/>
        </w:rPr>
        <w:t xml:space="preserve">[QUESTAO] Questão ANPEC 23.3</w:t>
      </w:r>
    </w:p>
    <w:p>
      <w:pPr>
        <w:pStyle w:val="BlockText"/>
      </w:pPr>
      <w:r>
        <w:rPr>
          <w:b/>
          <w:bCs/>
        </w:rPr>
        <w:t xml:space="preserve">Julgue as afirmativas (V ou F):</w:t>
      </w:r>
    </w:p>
    <w:p>
      <w:pPr>
        <w:pStyle w:val="BlockText"/>
        <w:numPr>
          <w:ilvl w:val="0"/>
          <w:numId w:val="2286"/>
        </w:numPr>
      </w:pPr>
      <w:r>
        <w:t xml:space="preserve">A seleção adversa no mercado de seguros de saúde ocorre quando os indivíduos de alto risco (que possuem mais informação sobre seu estado de saúde) compram seguros desproporcionalmente, elevando o prêmio médio e expulsando os de baixo risco — fenômeno análogo ao mercado de limões de Akerlof.</w:t>
      </w:r>
    </w:p>
    <w:p>
      <w:pPr>
        <w:pStyle w:val="BlockText"/>
        <w:numPr>
          <w:ilvl w:val="0"/>
          <w:numId w:val="2286"/>
        </w:numPr>
      </w:pPr>
      <w:r>
        <w:t xml:space="preserve">O mandato individual de seguro de saúde (obrigatoriedade de cobertura) resolve o problema de seleção adversa ao impedir a saída dos baixo risco do pool, mas introduz uma perda de bem-estar para indivíduos que prefeririam não se segurar.</w:t>
      </w:r>
    </w:p>
    <w:p>
      <w:pPr>
        <w:pStyle w:val="BlockText"/>
        <w:numPr>
          <w:ilvl w:val="0"/>
          <w:numId w:val="2286"/>
        </w:numPr>
      </w:pPr>
      <w:r>
        <w:t xml:space="preserve">No modelo de Grossman, indivíduos mais educados demandam</w:t>
      </w:r>
      <w:r>
        <w:t xml:space="preserve"> </w:t>
      </w:r>
      <w:r>
        <w:rPr>
          <w:i/>
          <w:iCs/>
        </w:rPr>
        <w:t xml:space="preserve">mais</w:t>
      </w:r>
      <w:r>
        <w:t xml:space="preserve"> </w:t>
      </w:r>
      <w:r>
        <w:t xml:space="preserve">cuidados médicos porque a educação aumenta a produtividade do investimento em saúde, reduzindo o custo efetivo de produzir saúde.</w:t>
      </w:r>
    </w:p>
    <w:p>
      <w:pPr>
        <w:pStyle w:val="BlockText"/>
        <w:numPr>
          <w:ilvl w:val="0"/>
          <w:numId w:val="2286"/>
        </w:numPr>
      </w:pPr>
      <w:r>
        <w:t xml:space="preserve">O copagamento ótimo em seguros de saúde iguala o benefício marginal de</w:t>
      </w:r>
      <w:r>
        <w:t xml:space="preserve"> </w:t>
      </w:r>
      <w:r>
        <w:rPr>
          <w:i/>
          <w:iCs/>
        </w:rPr>
        <w:t xml:space="preserve">risk-sharing</w:t>
      </w:r>
      <w:r>
        <w:t xml:space="preserve"> </w:t>
      </w:r>
      <w:r>
        <w:t xml:space="preserve">(suavização do consumo) ao custo marginal do risco moral ex post (sobreutilização induzida pela redução do preço percebido).</w:t>
      </w:r>
    </w:p>
    <w:p>
      <w:pPr>
        <w:pStyle w:val="BlockText"/>
        <w:numPr>
          <w:ilvl w:val="0"/>
          <w:numId w:val="2286"/>
        </w:numPr>
      </w:pPr>
      <w:r>
        <w:t xml:space="preserve">A regulação de preços de medicamentos pela CMED no Brasil segue a lógica de preço-teto (</w:t>
      </w:r>
      <w:r>
        <w:rPr>
          <w:i/>
          <w:iCs/>
        </w:rPr>
        <w:t xml:space="preserve">price cap</w:t>
      </w:r>
      <w:r>
        <w:t xml:space="preserve">), com reajustes limitados por uma fórmula que incorpora inflação, produtividade e fator de ajuste de preços relativos.</w:t>
      </w:r>
    </w:p>
    <w:p>
      <w:pPr>
        <w:pStyle w:val="BlockText"/>
      </w:pPr>
      <w:r>
        <w:t xml:space="preserve">??? note</w:t>
      </w:r>
      <w:r>
        <w:t xml:space="preserve"> </w:t>
      </w:r>
      <w:r>
        <w:t xml:space="preserve">“Gabarito”</w:t>
      </w:r>
      <w:r>
        <w:t xml:space="preserve"> </w:t>
      </w:r>
      <w:r>
        <w:t xml:space="preserve">0.</w:t>
      </w:r>
      <w:r>
        <w:t xml:space="preserve"> </w:t>
      </w:r>
      <w:r>
        <w:rPr>
          <w:b/>
          <w:bCs/>
        </w:rPr>
        <w:t xml:space="preserve">VERDADEIRO.</w:t>
      </w:r>
      <w:r>
        <w:t xml:space="preserve"> </w:t>
      </w:r>
      <w:r>
        <w:t xml:space="preserve">A analogia com Akerlof é direta: informação assimétrica sobre a qualidade (risco) leva à desintegração do mercado.</w:t>
      </w:r>
      <w:r>
        <w:t xml:space="preserve"> </w:t>
      </w:r>
      <w:r>
        <w:t xml:space="preserve">1.</w:t>
      </w:r>
      <w:r>
        <w:t xml:space="preserve"> </w:t>
      </w:r>
      <w:r>
        <w:rPr>
          <w:b/>
          <w:bCs/>
        </w:rPr>
        <w:t xml:space="preserve">VERDADEIRO.</w:t>
      </w:r>
      <w:r>
        <w:t xml:space="preserve"> </w:t>
      </w:r>
      <w:r>
        <w:t xml:space="preserve">O mandato resolve a seleção adversa mas impõe cobertura a quem preferiria auto-segurar. O ganho de eficiência pela eliminação da espiral da morte tipicamente supera a perda de liberdade de escolha.</w:t>
      </w:r>
      <w:r>
        <w:t xml:space="preserve"> </w:t>
      </w:r>
      <w:r>
        <w:t xml:space="preserve">2.</w:t>
      </w:r>
      <w:r>
        <w:t xml:space="preserve"> </w:t>
      </w:r>
      <w:r>
        <w:rPr>
          <w:b/>
          <w:bCs/>
        </w:rPr>
        <w:t xml:space="preserve">FALSO.</w:t>
      </w:r>
      <w:r>
        <w:t xml:space="preserve"> </w:t>
      </w:r>
      <w:r>
        <w:t xml:space="preserve">No modelo de Grossman, indivíduos mais educados demandam</w:t>
      </w:r>
      <w:r>
        <w:t xml:space="preserve"> </w:t>
      </w:r>
      <w:r>
        <w:rPr>
          <w:i/>
          <w:iCs/>
        </w:rPr>
        <w:t xml:space="preserve">menos</w:t>
      </w:r>
      <w:r>
        <w:t xml:space="preserve"> </w:t>
      </w:r>
      <w:r>
        <w:t xml:space="preserve">cuidados médicos (insumo), não mais, porque produzem saúde de forma mais eficiente. Eles demandam mais</w:t>
      </w:r>
      <w:r>
        <w:t xml:space="preserve"> </w:t>
      </w:r>
      <w:r>
        <w:rPr>
          <w:i/>
          <w:iCs/>
        </w:rPr>
        <w:t xml:space="preserve">saúde</w:t>
      </w:r>
      <w:r>
        <w:t xml:space="preserve"> </w:t>
      </w:r>
      <w:r>
        <w:t xml:space="preserve">(produto final), mas usam menos insumos por unidade de saúde produzida.</w:t>
      </w:r>
      <w:r>
        <w:t xml:space="preserve"> </w:t>
      </w:r>
      <w:r>
        <w:t xml:space="preserve">3.</w:t>
      </w:r>
      <w:r>
        <w:t xml:space="preserve"> </w:t>
      </w:r>
      <w:r>
        <w:rPr>
          <w:b/>
          <w:bCs/>
        </w:rPr>
        <w:t xml:space="preserve">VERDADEIRO.</w:t>
      </w:r>
      <w:r>
        <w:t xml:space="preserve"> </w:t>
      </w:r>
      <w:r>
        <w:t xml:space="preserve">Resultado clássico de Zeckhauser (1970) e Arrow (1963). O copagamento zero maximiza risk-sharing mas maximiza risco moral; o copagamento total elimina risco moral mas elimina o seguro. O ótimo é interior.</w:t>
      </w:r>
      <w:r>
        <w:t xml:space="preserve"> </w:t>
      </w:r>
      <w:r>
        <w:t xml:space="preserve">4.</w:t>
      </w:r>
      <w:r>
        <w:t xml:space="preserve"> </w:t>
      </w:r>
      <w:r>
        <w:rPr>
          <w:b/>
          <w:bCs/>
        </w:rPr>
        <w:t xml:space="preserve">VERDADEIRO.</w:t>
      </w:r>
      <w:r>
        <w:t xml:space="preserve"> </w:t>
      </w:r>
      <w:r>
        <w:t xml:space="preserve">A fórmula da CMED (</w:t>
      </w:r>
      <m:oMath>
        <m:r>
          <m:rPr>
            <m:sty m:val="p"/>
          </m:rPr>
          <m:t>Δ</m:t>
        </m:r>
        <m:r>
          <m:t>P</m:t>
        </m:r>
        <m:r>
          <m:rPr>
            <m:sty m:val="p"/>
          </m:rPr>
          <m:t>≤</m:t>
        </m:r>
        <m:r>
          <m:rPr>
            <m:nor/>
            <m:sty m:val="p"/>
          </m:rPr>
          <m:t>IPCA</m:t>
        </m:r>
        <m:r>
          <m:rPr>
            <m:sty m:val="p"/>
          </m:rPr>
          <m:t>−</m:t>
        </m:r>
        <m:r>
          <m:t>X</m:t>
        </m:r>
        <m:r>
          <m:rPr>
            <m:sty m:val="p"/>
          </m:rPr>
          <m:t>+</m:t>
        </m:r>
        <m:r>
          <m:t>Z</m:t>
        </m:r>
      </m:oMath>
      <w:r>
        <w:t xml:space="preserve">) é um mecanismo de price cap à la Littlechild, adaptado para o setor farmacêutico.</w:t>
      </w:r>
    </w:p>
    <w:p>
      <w:pPr>
        <w:pStyle w:val="BlockText"/>
      </w:pPr>
      <w:r>
        <w:rPr>
          <w:b/>
          <w:bCs/>
        </w:rPr>
        <w:t xml:space="preserve">[QUESTAO] Questão ANPEC 23.4</w:t>
      </w:r>
    </w:p>
    <w:p>
      <w:pPr>
        <w:pStyle w:val="BlockText"/>
      </w:pPr>
      <w:r>
        <w:rPr>
          <w:b/>
          <w:bCs/>
        </w:rPr>
        <w:t xml:space="preserve">Julgue as afirmativas (V ou F):</w:t>
      </w:r>
    </w:p>
    <w:p>
      <w:pPr>
        <w:pStyle w:val="BlockText"/>
        <w:numPr>
          <w:ilvl w:val="0"/>
          <w:numId w:val="2287"/>
        </w:numPr>
      </w:pPr>
      <w:r>
        <w:t xml:space="preserve">A demanda induzida pelo ofertante (SID) é mais provável em sistemas de remuneração por fee-for-service do que em sistemas de capitation, pois no primeiro o médico tem incentivo financeiro para prescrever procedimentos adicionais.</w:t>
      </w:r>
    </w:p>
    <w:p>
      <w:pPr>
        <w:pStyle w:val="BlockText"/>
        <w:numPr>
          <w:ilvl w:val="0"/>
          <w:numId w:val="2287"/>
        </w:numPr>
      </w:pPr>
      <w:r>
        <w:t xml:space="preserve">O QALY (Quality-Adjusted Life Year) e o DALY (Disability-Adjusted Life Year) medem essencialmente a mesma coisa: o QALY mede saúde produzida (quanto maior, melhor) enquanto o DALY mede carga de doença (quanto menor, melhor).</w:t>
      </w:r>
    </w:p>
    <w:p>
      <w:pPr>
        <w:pStyle w:val="BlockText"/>
        <w:numPr>
          <w:ilvl w:val="0"/>
          <w:numId w:val="2287"/>
        </w:numPr>
      </w:pPr>
      <w:r>
        <w:t xml:space="preserve">Um programa com ICER de R$ 80.000/QALY é custo-efetivo se o limiar de disposição a pagar da sociedade for de R$ 50.000/QALY.</w:t>
      </w:r>
    </w:p>
    <w:p>
      <w:pPr>
        <w:pStyle w:val="BlockText"/>
        <w:numPr>
          <w:ilvl w:val="0"/>
          <w:numId w:val="2287"/>
        </w:numPr>
      </w:pPr>
      <w:r>
        <w:t xml:space="preserve">A política de genéricos no Brasil, ao permitir a substituição do medicamento de referência por equivalente bioequivalente de menor preço, aumenta a elasticidade-preço da demanda enfrentada pelo laboratório detentor da patente.</w:t>
      </w:r>
    </w:p>
    <w:p>
      <w:pPr>
        <w:pStyle w:val="BlockText"/>
        <w:numPr>
          <w:ilvl w:val="0"/>
          <w:numId w:val="2287"/>
        </w:numPr>
      </w:pPr>
      <w:r>
        <w:t xml:space="preserve">O conceito de VSL (Valor de uma Vida Estatística) estima a disposição a pagar de um indivíduo por uma redução marginal no risco de morte, não o</w:t>
      </w:r>
      <w:r>
        <w:t xml:space="preserve"> </w:t>
      </w:r>
      <w:r>
        <w:t xml:space="preserve">“valor”</w:t>
      </w:r>
      <w:r>
        <w:t xml:space="preserve"> </w:t>
      </w:r>
      <w:r>
        <w:t xml:space="preserve">de uma vida identificada — distinção ética fundamental.</w:t>
      </w:r>
    </w:p>
    <w:p>
      <w:pPr>
        <w:pStyle w:val="BlockText"/>
      </w:pPr>
      <w:r>
        <w:t xml:space="preserve">??? note</w:t>
      </w:r>
      <w:r>
        <w:t xml:space="preserve"> </w:t>
      </w:r>
      <w:r>
        <w:t xml:space="preserve">“Gabarito”</w:t>
      </w:r>
      <w:r>
        <w:t xml:space="preserve"> </w:t>
      </w:r>
      <w:r>
        <w:t xml:space="preserve">0.</w:t>
      </w:r>
      <w:r>
        <w:t xml:space="preserve"> </w:t>
      </w:r>
      <w:r>
        <w:rPr>
          <w:b/>
          <w:bCs/>
        </w:rPr>
        <w:t xml:space="preserve">VERDADEIRO.</w:t>
      </w:r>
      <w:r>
        <w:t xml:space="preserve"> </w:t>
      </w:r>
      <w:r>
        <w:t xml:space="preserve">No fee-for-service, cada procedimento gera receita; no capitation, a receita é fixa independentemente do volume — gerando incentivo para subtratamento.</w:t>
      </w:r>
      <w:r>
        <w:t xml:space="preserve"> </w:t>
      </w:r>
      <w:r>
        <w:t xml:space="preserve">1.</w:t>
      </w:r>
      <w:r>
        <w:t xml:space="preserve"> </w:t>
      </w:r>
      <w:r>
        <w:rPr>
          <w:b/>
          <w:bCs/>
        </w:rPr>
        <w:t xml:space="preserve">VERDADEIRO.</w:t>
      </w:r>
      <w:r>
        <w:t xml:space="preserve"> </w:t>
      </w:r>
      <w:r>
        <w:t xml:space="preserve">São métricas espelhadas: 1 QALY ganho ≈ 1 DALY evitado. O QALY é preferido em análise de custo-efetividade; o DALY é usado pela OMS para mensurar carga de doença global.</w:t>
      </w:r>
      <w:r>
        <w:t xml:space="preserve"> </w:t>
      </w:r>
      <w:r>
        <w:t xml:space="preserve">2.</w:t>
      </w:r>
      <w:r>
        <w:t xml:space="preserve"> </w:t>
      </w:r>
      <w:r>
        <w:rPr>
          <w:b/>
          <w:bCs/>
        </w:rPr>
        <w:t xml:space="preserve">FALSO.</w:t>
      </w:r>
      <w:r>
        <w:t xml:space="preserve"> </w:t>
      </w:r>
      <w:r>
        <w:t xml:space="preserve">Se o ICER (R$ 80.000/QALY) excede o limiar de disposição a pagar (R$ 50.000/QALY), o programa</w:t>
      </w:r>
      <w:r>
        <w:t xml:space="preserve"> </w:t>
      </w:r>
      <w:r>
        <w:rPr>
          <w:i/>
          <w:iCs/>
        </w:rPr>
        <w:t xml:space="preserve">não</w:t>
      </w:r>
      <w:r>
        <w:t xml:space="preserve"> </w:t>
      </w:r>
      <w:r>
        <w:t xml:space="preserve">é custo-efetivo — o custo por unidade de saúde produzida supera o que a sociedade está disposta a pagar.</w:t>
      </w:r>
      <w:r>
        <w:t xml:space="preserve"> </w:t>
      </w:r>
      <w:r>
        <w:t xml:space="preserve">3.</w:t>
      </w:r>
      <w:r>
        <w:t xml:space="preserve"> </w:t>
      </w:r>
      <w:r>
        <w:rPr>
          <w:b/>
          <w:bCs/>
        </w:rPr>
        <w:t xml:space="preserve">VERDADEIRO.</w:t>
      </w:r>
      <w:r>
        <w:t xml:space="preserve"> </w:t>
      </w:r>
      <w:r>
        <w:t xml:space="preserve">Os genéricos atuam como substitutos quase perfeitos do medicamento de referência, aumentando a elasticidade-preço da demanda enfrentada pelo laboratório original e reduzindo seu poder de mercado.</w:t>
      </w:r>
      <w:r>
        <w:t xml:space="preserve"> </w:t>
      </w:r>
      <w:r>
        <w:t xml:space="preserve">4.</w:t>
      </w:r>
      <w:r>
        <w:t xml:space="preserve"> </w:t>
      </w:r>
      <w:r>
        <w:rPr>
          <w:b/>
          <w:bCs/>
        </w:rPr>
        <w:t xml:space="preserve">VERDADEIRO.</w:t>
      </w:r>
      <w:r>
        <w:t xml:space="preserve"> </w:t>
      </w:r>
      <w:r>
        <w:t xml:space="preserve">O VSL é derivado de escolhas marginais (aceitar emprego mais arriscado por salário maior), não de atribuições de valor a vidas específicas.</w:t>
      </w:r>
    </w:p>
    <w:bookmarkEnd w:id="1432"/>
    <w:bookmarkStart w:id="1434" w:name="pesquisa-em-ação-24"/>
    <w:p>
      <w:pPr>
        <w:pStyle w:val="Heading3"/>
      </w:pPr>
      <w:r>
        <w:t xml:space="preserve">Pesquisa em Ação</w:t>
      </w:r>
    </w:p>
    <w:p>
      <w:pPr>
        <w:pStyle w:val="BlockText"/>
      </w:pPr>
      <w:r>
        <w:rPr>
          <w:b/>
          <w:bCs/>
        </w:rPr>
        <w:t xml:space="preserve">[PESQUISA EM ACAO] Arrow (1963) — Uncertainty and the Welfare Economics of Medical Care</w:t>
      </w:r>
    </w:p>
    <w:p>
      <w:pPr>
        <w:pStyle w:val="BlockText"/>
      </w:pPr>
      <w:r>
        <w:rPr>
          <w:b/>
          <w:bCs/>
        </w:rPr>
        <w:t xml:space="preserve">Referência:</w:t>
      </w:r>
      <w:r>
        <w:t xml:space="preserve"> </w:t>
      </w:r>
      <w:r>
        <w:t xml:space="preserve">Arrow, K.J. (1963). Uncertainty and the Welfare Economics of Medical Care.</w:t>
      </w:r>
      <w:r>
        <w:t xml:space="preserve"> </w:t>
      </w:r>
      <w:r>
        <w:rPr>
          <w:i/>
          <w:iCs/>
        </w:rPr>
        <w:t xml:space="preserve">American Economic Review</w:t>
      </w:r>
      <w:r>
        <w:t xml:space="preserve">, 53(5), 941–973.</w:t>
      </w:r>
    </w:p>
    <w:p>
      <w:pPr>
        <w:pStyle w:val="BlockText"/>
      </w:pPr>
      <w:r>
        <w:rPr>
          <w:b/>
          <w:bCs/>
        </w:rPr>
        <w:t xml:space="preserve">Contexto:</w:t>
      </w:r>
      <w:r>
        <w:t xml:space="preserve"> </w:t>
      </w:r>
      <w:r>
        <w:t xml:space="preserve">Encomendado pela Ford Foundation, este artigo é considerado o texto fundador da economia da saúde como campo. Arrow — já reconhecido por seus teoremas de equilíbrio geral e impossibilidade — aplicou o instrumental microeconômico para analisar por que o mercado de cuidados médicos não funciona como outros mercados.</w:t>
      </w:r>
    </w:p>
    <w:p>
      <w:pPr>
        <w:pStyle w:val="BlockText"/>
      </w:pPr>
      <w:r>
        <w:rPr>
          <w:b/>
          <w:bCs/>
        </w:rPr>
        <w:t xml:space="preserve">Contribuição central:</w:t>
      </w:r>
      <w:r>
        <w:t xml:space="preserve"> </w:t>
      </w:r>
      <w:r>
        <w:t xml:space="preserve">Identificou quatro características fundamentais do mercado de saúde — incerteza, assimetria de informação, externalidades e normas sociais — que geram falhas de mercado intrínsecas e justificam intervenção pública. O artigo antecipou, por décadas, a formalização de conceitos como seleção adversa, risco moral e problema do agente em saúde.</w:t>
      </w:r>
    </w:p>
    <w:p>
      <w:pPr>
        <w:pStyle w:val="BlockText"/>
      </w:pPr>
      <w:r>
        <w:rPr>
          <w:b/>
          <w:bCs/>
        </w:rPr>
        <w:t xml:space="preserve">Impacto:</w:t>
      </w:r>
      <w:r>
        <w:t xml:space="preserve"> </w:t>
      </w:r>
      <w:r>
        <w:t xml:space="preserve">Com mais de 15.000 citações, é um dos artigos mais citados em economia. Praticamente toda a economia da saúde subsequente é, de alguma forma, uma nota de rodapé a Arrow (1963).</w:t>
      </w:r>
    </w:p>
    <w:p>
      <w:pPr>
        <w:pStyle w:val="BlockText"/>
      </w:pPr>
      <w:r>
        <w:rPr>
          <w:b/>
          <w:bCs/>
        </w:rPr>
        <w:t xml:space="preserve">[PESQUISA EM ACAO] Grossman (1972) — On the Concept of Health Capital and the Demand for Health</w:t>
      </w:r>
    </w:p>
    <w:p>
      <w:pPr>
        <w:pStyle w:val="BlockText"/>
      </w:pPr>
      <w:r>
        <w:rPr>
          <w:b/>
          <w:bCs/>
        </w:rPr>
        <w:t xml:space="preserve">Referência:</w:t>
      </w:r>
      <w:r>
        <w:t xml:space="preserve"> </w:t>
      </w:r>
      <w:r>
        <w:t xml:space="preserve">Grossman, M. (1972). On the Concept of Health Capital and the Demand for Health.</w:t>
      </w:r>
      <w:r>
        <w:t xml:space="preserve"> </w:t>
      </w:r>
      <w:r>
        <w:rPr>
          <w:i/>
          <w:iCs/>
        </w:rPr>
        <w:t xml:space="preserve">Journal of Political Economy</w:t>
      </w:r>
      <w:r>
        <w:t xml:space="preserve">, 80(2), 223–255.</w:t>
      </w:r>
    </w:p>
    <w:p>
      <w:pPr>
        <w:pStyle w:val="BlockText"/>
      </w:pPr>
      <w:r>
        <w:rPr>
          <w:b/>
          <w:bCs/>
        </w:rPr>
        <w:t xml:space="preserve">Contexto:</w:t>
      </w:r>
      <w:r>
        <w:t xml:space="preserve"> </w:t>
      </w:r>
      <w:r>
        <w:t xml:space="preserve">Enquanto Arrow analisou as falhas do mercado, Grossman modelou a decisão individual. Inspirado pela teoria do capital humano de Becker, propôs tratar a saúde como um estoque de capital durável.</w:t>
      </w:r>
    </w:p>
    <w:p>
      <w:pPr>
        <w:pStyle w:val="BlockText"/>
      </w:pPr>
      <w:r>
        <w:rPr>
          <w:b/>
          <w:bCs/>
        </w:rPr>
        <w:t xml:space="preserve">Contribuição central:</w:t>
      </w:r>
      <w:r>
        <w:t xml:space="preserve"> </w:t>
      </w:r>
      <w:r>
        <w:t xml:space="preserve">O modelo distingue entre demanda por saúde (o bem final) e demanda por cuidados médicos (um insumo). O estoque de saúde deprecia com a idade e é mantido por investimento. A educação aumenta a eficiência da produção de saúde. A morte ocorre quando o estoque cai abaixo de um limiar mínimo.</w:t>
      </w:r>
    </w:p>
    <w:p>
      <w:pPr>
        <w:pStyle w:val="BlockText"/>
      </w:pPr>
      <w:r>
        <w:rPr>
          <w:b/>
          <w:bCs/>
        </w:rPr>
        <w:t xml:space="preserve">Impacto:</w:t>
      </w:r>
      <w:r>
        <w:t xml:space="preserve"> </w:t>
      </w:r>
      <w:r>
        <w:t xml:space="preserve">Forneceu o framework teórico para a econometria da demanda por saúde. A distinção demanda por saúde vs. demanda por cuidados médicos é fundamental para política pública.</w:t>
      </w:r>
    </w:p>
    <w:p>
      <w:pPr>
        <w:pStyle w:val="BlockText"/>
      </w:pPr>
      <w:r>
        <w:rPr>
          <w:b/>
          <w:bCs/>
        </w:rPr>
        <w:t xml:space="preserve">[PESQUISA EM ACAO] Manning et al. (1987) — Health Insurance and the Demand for Medical Care</w:t>
      </w:r>
    </w:p>
    <w:p>
      <w:pPr>
        <w:pStyle w:val="BlockText"/>
      </w:pPr>
      <w:r>
        <w:rPr>
          <w:b/>
          <w:bCs/>
        </w:rPr>
        <w:t xml:space="preserve">Referência:</w:t>
      </w:r>
      <w:r>
        <w:t xml:space="preserve"> </w:t>
      </w:r>
      <w:r>
        <w:t xml:space="preserve">Manning, W.G., Newhouse, J.P., Duan, N., Keeler, E.B., Leibowitz, A. &amp; Marquis, M.S. (1987). Health Insurance and the Demand for Medical Care: Evidence from a Randomized Experiment.</w:t>
      </w:r>
      <w:r>
        <w:t xml:space="preserve"> </w:t>
      </w:r>
      <w:r>
        <w:rPr>
          <w:i/>
          <w:iCs/>
        </w:rPr>
        <w:t xml:space="preserve">American Economic Review</w:t>
      </w:r>
      <w:r>
        <w:t xml:space="preserve">, 77(3), 251–277.</w:t>
      </w:r>
    </w:p>
    <w:p>
      <w:pPr>
        <w:pStyle w:val="BlockText"/>
      </w:pPr>
      <w:r>
        <w:rPr>
          <w:b/>
          <w:bCs/>
        </w:rPr>
        <w:t xml:space="preserve">Contexto:</w:t>
      </w:r>
      <w:r>
        <w:t xml:space="preserve"> </w:t>
      </w:r>
      <w:r>
        <w:t xml:space="preserve">O RAND Health Insurance Experiment (1974–1982) designou aleatoriamente 2.750 famílias para planos com diferentes copagamentos. É o maior experimento social em economia da saúde.</w:t>
      </w:r>
    </w:p>
    <w:p>
      <w:pPr>
        <w:pStyle w:val="BlockText"/>
      </w:pPr>
      <w:r>
        <w:rPr>
          <w:b/>
          <w:bCs/>
        </w:rPr>
        <w:t xml:space="preserve">Contribuição central:</w:t>
      </w:r>
      <w:r>
        <w:t xml:space="preserve"> </w:t>
      </w:r>
      <w:r>
        <w:t xml:space="preserve">Estimou a elasticidade-preço da demanda por cuidados médicos em ~−0,2. Mostrou que copagamentos reduzem uso de forma indiscriminada (necessário e desnecessário), com efeitos adversos concentrados em pobres e doentes crônicos. Fundamentou o design de seguros modernos com copagamentos escalonados.</w:t>
      </w:r>
    </w:p>
    <w:p>
      <w:pPr>
        <w:pStyle w:val="BlockText"/>
      </w:pPr>
      <w:r>
        <w:rPr>
          <w:b/>
          <w:bCs/>
        </w:rPr>
        <w:t xml:space="preserve">Impacto:</w:t>
      </w:r>
      <w:r>
        <w:t xml:space="preserve"> </w:t>
      </w:r>
      <w:r>
        <w:t xml:space="preserve">Base empírica para o design de praticamente todos os planos de saúde modernos. Um dos experimentos mais citados em economia.</w:t>
      </w:r>
    </w:p>
    <w:p>
      <w:pPr>
        <w:pStyle w:val="BlockText"/>
      </w:pPr>
      <w:r>
        <w:rPr>
          <w:b/>
          <w:bCs/>
        </w:rPr>
        <w:t xml:space="preserve">[PESQUISA EM ACAO] Rothschild &amp; Stiglitz (1976) — Equilibrium in Competitive Insurance Markets</w:t>
      </w:r>
    </w:p>
    <w:p>
      <w:pPr>
        <w:pStyle w:val="BlockText"/>
      </w:pPr>
      <w:r>
        <w:rPr>
          <w:b/>
          <w:bCs/>
        </w:rPr>
        <w:t xml:space="preserve">Referência:</w:t>
      </w:r>
      <w:r>
        <w:t xml:space="preserve"> </w:t>
      </w:r>
      <w:r>
        <w:t xml:space="preserve">Rothschild, M. &amp; Stiglitz, J.E. (1976). Equilibrium in Competitive Insurance Markets: An Essay on the Economics of Imperfect Information.</w:t>
      </w:r>
      <w:r>
        <w:t xml:space="preserve"> </w:t>
      </w:r>
      <w:r>
        <w:rPr>
          <w:i/>
          <w:iCs/>
        </w:rPr>
        <w:t xml:space="preserve">Quarterly Journal of Economics</w:t>
      </w:r>
      <w:r>
        <w:t xml:space="preserve">, 90(4), 629–649.</w:t>
      </w:r>
    </w:p>
    <w:p>
      <w:pPr>
        <w:pStyle w:val="BlockText"/>
      </w:pPr>
      <w:r>
        <w:rPr>
          <w:b/>
          <w:bCs/>
        </w:rPr>
        <w:t xml:space="preserve">Contexto:</w:t>
      </w:r>
      <w:r>
        <w:t xml:space="preserve"> </w:t>
      </w:r>
      <w:r>
        <w:t xml:space="preserve">Como o mercado de seguros funciona quando os consumidores têm informação privada sobre seu risco? Este artigo — um dos mais influentes em toda a microeconomia — respondeu com o conceito de equilíbrio separador.</w:t>
      </w:r>
    </w:p>
    <w:p>
      <w:pPr>
        <w:pStyle w:val="BlockText"/>
      </w:pPr>
      <w:r>
        <w:rPr>
          <w:b/>
          <w:bCs/>
        </w:rPr>
        <w:t xml:space="preserve">Contribuição central:</w:t>
      </w:r>
      <w:r>
        <w:t xml:space="preserve"> </w:t>
      </w:r>
      <w:r>
        <w:t xml:space="preserve">Em mercados competitivos com seleção adversa, o equilíbrio (quando existe) é separador: alto risco recebe cobertura completa a prêmio alto; baixo risco recebe cobertura parcial a prêmio baixo. O equilíbrio</w:t>
      </w:r>
      <w:r>
        <w:t xml:space="preserve"> </w:t>
      </w:r>
      <w:r>
        <w:rPr>
          <w:i/>
          <w:iCs/>
        </w:rPr>
        <w:t xml:space="preserve">pooling</w:t>
      </w:r>
      <w:r>
        <w:t xml:space="preserve"> </w:t>
      </w:r>
      <w:r>
        <w:t xml:space="preserve">(prêmio único) não sobrevive. O equilíbrio separador pode não existir se a proporção de baixo risco é muito alta.</w:t>
      </w:r>
    </w:p>
    <w:p>
      <w:pPr>
        <w:pStyle w:val="BlockText"/>
      </w:pPr>
      <w:r>
        <w:rPr>
          <w:b/>
          <w:bCs/>
        </w:rPr>
        <w:t xml:space="preserve">Impacto:</w:t>
      </w:r>
      <w:r>
        <w:t xml:space="preserve"> </w:t>
      </w:r>
      <w:r>
        <w:t xml:space="preserve">Contribuiu para o Nobel de Stiglitz (2001). Framework essencial para entender seleção adversa em seguros de saúde, mercado de trabalho e crédito.</w:t>
      </w:r>
    </w:p>
    <w:p>
      <w:pPr>
        <w:pStyle w:val="BlockText"/>
      </w:pPr>
      <w:r>
        <w:rPr>
          <w:b/>
          <w:bCs/>
        </w:rPr>
        <w:t xml:space="preserve">[PESQUISA EM ACAO] Cutler &amp; Zeckhauser (2000) — The Anatomy of Health Insurance</w:t>
      </w:r>
    </w:p>
    <w:p>
      <w:pPr>
        <w:pStyle w:val="BlockText"/>
      </w:pPr>
      <w:r>
        <w:rPr>
          <w:b/>
          <w:bCs/>
        </w:rPr>
        <w:t xml:space="preserve">Referência:</w:t>
      </w:r>
      <w:r>
        <w:t xml:space="preserve"> </w:t>
      </w:r>
      <w:r>
        <w:t xml:space="preserve">Cutler, D.M. &amp; Zeckhauser, R.J. (2000). The Anatomy of Health Insurance. In A.J. Culyer &amp; J.P. Newhouse (Eds.),</w:t>
      </w:r>
      <w:r>
        <w:t xml:space="preserve"> </w:t>
      </w:r>
      <w:r>
        <w:rPr>
          <w:i/>
          <w:iCs/>
        </w:rPr>
        <w:t xml:space="preserve">Handbook of Health Economics</w:t>
      </w:r>
      <w:r>
        <w:t xml:space="preserve">, Vol. 1A, pp. 563–643. Elsevier.</w:t>
      </w:r>
    </w:p>
    <w:p>
      <w:pPr>
        <w:pStyle w:val="BlockText"/>
      </w:pPr>
      <w:r>
        <w:rPr>
          <w:b/>
          <w:bCs/>
        </w:rPr>
        <w:t xml:space="preserve">Contexto:</w:t>
      </w:r>
      <w:r>
        <w:t xml:space="preserve"> </w:t>
      </w:r>
      <w:r>
        <w:t xml:space="preserve">Como capítulo do</w:t>
      </w:r>
      <w:r>
        <w:t xml:space="preserve"> </w:t>
      </w:r>
      <w:r>
        <w:rPr>
          <w:i/>
          <w:iCs/>
        </w:rPr>
        <w:t xml:space="preserve">Handbook of Health Economics</w:t>
      </w:r>
      <w:r>
        <w:t xml:space="preserve">, este survey sintetiza toda a teoria e evidência sobre seguros de saúde numa revisão abrangente.</w:t>
      </w:r>
    </w:p>
    <w:p>
      <w:pPr>
        <w:pStyle w:val="BlockText"/>
      </w:pPr>
      <w:r>
        <w:rPr>
          <w:b/>
          <w:bCs/>
        </w:rPr>
        <w:t xml:space="preserve">Contribuição central:</w:t>
      </w:r>
      <w:r>
        <w:t xml:space="preserve"> </w:t>
      </w:r>
      <w:r>
        <w:t xml:space="preserve">Integra seleção adversa, risco moral, design de contratos e regulação numa análise unificada. Formaliza o trade-off fundamental do seguro (risk-sharing vs. risco moral) e discute soluções institucionais (copagamento, managed care, ajuste de risco). Apresenta evidência empírica de múltiplos países.</w:t>
      </w:r>
    </w:p>
    <w:p>
      <w:pPr>
        <w:pStyle w:val="BlockText"/>
      </w:pPr>
      <w:r>
        <w:rPr>
          <w:b/>
          <w:bCs/>
        </w:rPr>
        <w:t xml:space="preserve">Impacto:</w:t>
      </w:r>
      <w:r>
        <w:t xml:space="preserve"> </w:t>
      </w:r>
      <w:r>
        <w:t xml:space="preserve">Referência padrão para pesquisadores e formuladores de política em economia de seguros de saúde.</w:t>
      </w:r>
    </w:p>
    <w:p>
      <w:pPr>
        <w:pStyle w:val="BlockText"/>
      </w:pPr>
      <w:r>
        <w:rPr>
          <w:b/>
          <w:bCs/>
        </w:rPr>
        <w:t xml:space="preserve">[PESQUISA EM ACAO] Finkelstein, Hendren &amp; Shepard (2019) — Subsidizing Health Insurance for Low-Income Adults</w:t>
      </w:r>
    </w:p>
    <w:p>
      <w:pPr>
        <w:pStyle w:val="BlockText"/>
      </w:pPr>
      <w:r>
        <w:rPr>
          <w:b/>
          <w:bCs/>
        </w:rPr>
        <w:t xml:space="preserve">Referência:</w:t>
      </w:r>
      <w:r>
        <w:t xml:space="preserve"> </w:t>
      </w:r>
      <w:r>
        <w:t xml:space="preserve">Finkelstein, A.; Hendren, N.; Shepard, M. (2019). Subsidizing Health Insurance for Low-Income Adults: Evidence from Massachusetts.</w:t>
      </w:r>
      <w:r>
        <w:t xml:space="preserve"> </w:t>
      </w:r>
      <w:r>
        <w:rPr>
          <w:i/>
          <w:iCs/>
        </w:rPr>
        <w:t xml:space="preserve">American Economic Review</w:t>
      </w:r>
      <w:r>
        <w:t xml:space="preserve">, 109(4), 1530–1567. DOI:</w:t>
      </w:r>
      <w:r>
        <w:t xml:space="preserve"> </w:t>
      </w:r>
      <w:hyperlink r:id="rId1433">
        <w:r>
          <w:rPr>
            <w:rStyle w:val="Hyperlink"/>
          </w:rPr>
          <w:t xml:space="preserve">10.1257/aer.20171455</w:t>
        </w:r>
      </w:hyperlink>
    </w:p>
    <w:p>
      <w:pPr>
        <w:pStyle w:val="BlockText"/>
      </w:pPr>
      <w:r>
        <w:rPr>
          <w:b/>
          <w:bCs/>
        </w:rPr>
        <w:t xml:space="preserve">Contexto.</w:t>
      </w:r>
      <w:r>
        <w:t xml:space="preserve"> </w:t>
      </w:r>
      <w:r>
        <w:t xml:space="preserve">Quanto vale um seguro de saúde para quem é pobre? A pergunta é central para o desenho de políticas de cobertura universal, mas a resposta empírica era escassa até este estudo. Os autores exploram dados administrativos do</w:t>
      </w:r>
      <w:r>
        <w:t xml:space="preserve"> </w:t>
      </w:r>
      <w:r>
        <w:rPr>
          <w:i/>
          <w:iCs/>
        </w:rPr>
        <w:t xml:space="preserve">Massachusetts Health Connector</w:t>
      </w:r>
      <w:r>
        <w:t xml:space="preserve"> </w:t>
      </w:r>
      <w:r>
        <w:t xml:space="preserve">— o mercado de seguros subsidiados de Massachusetts, precursor do Obamacare — para estimar a disposição a pagar por seguro e os custos impostos ao sistema por diferentes perfis de segurados.</w:t>
      </w:r>
    </w:p>
    <w:p>
      <w:pPr>
        <w:pStyle w:val="BlockText"/>
      </w:pPr>
      <w:r>
        <w:rPr>
          <w:b/>
          <w:bCs/>
        </w:rPr>
        <w:t xml:space="preserve">Método.</w:t>
      </w:r>
      <w:r>
        <w:t xml:space="preserve"> </w:t>
      </w:r>
      <w:r>
        <w:t xml:space="preserve">Exploram descontinuidades na fórmula de subsídio (que varia com a renda) para identificar como a demanda por seguro varia com o preço enfrentado pelo consumidor. A variação exógena nos subsídios permite estimar a curva de demanda e a curva de custo de forma causal.</w:t>
      </w:r>
    </w:p>
    <w:p>
      <w:pPr>
        <w:pStyle w:val="BlockText"/>
      </w:pPr>
      <w:r>
        <w:rPr>
          <w:b/>
          <w:bCs/>
        </w:rPr>
        <w:t xml:space="preserve">Resultado principal.</w:t>
      </w:r>
      <w:r>
        <w:t xml:space="preserve"> </w:t>
      </w:r>
      <w:r>
        <w:t xml:space="preserve">A demanda por seguro é muito sensível ao preço: um aumento de US$ 40/mês no prêmio reduz a adesão em ~25%. Os entrantes marginais (que só compram com subsídio alto) impõem custos</w:t>
      </w:r>
      <w:r>
        <w:t xml:space="preserve"> </w:t>
      </w:r>
      <w:r>
        <w:rPr>
          <w:i/>
          <w:iCs/>
        </w:rPr>
        <w:t xml:space="preserve">menores</w:t>
      </w:r>
      <w:r>
        <w:t xml:space="preserve"> </w:t>
      </w:r>
      <w:r>
        <w:t xml:space="preserve">que a média — evidência de</w:t>
      </w:r>
      <w:r>
        <w:t xml:space="preserve"> </w:t>
      </w:r>
      <w:r>
        <w:rPr>
          <w:b/>
          <w:bCs/>
        </w:rPr>
        <w:t xml:space="preserve">seleção adversa atenuada</w:t>
      </w:r>
      <w:r>
        <w:t xml:space="preserve"> </w:t>
      </w:r>
      <w:r>
        <w:t xml:space="preserve">neste contexto. Mesmo assim, a disposição a pagar dos segurados é sempre</w:t>
      </w:r>
      <w:r>
        <w:t xml:space="preserve"> </w:t>
      </w:r>
      <w:r>
        <w:rPr>
          <w:i/>
          <w:iCs/>
        </w:rPr>
        <w:t xml:space="preserve">menos da metade</w:t>
      </w:r>
      <w:r>
        <w:t xml:space="preserve"> </w:t>
      </w:r>
      <w:r>
        <w:t xml:space="preserve">do custo esperado que impõem à seguradora. Sem subsídios substanciais, a cobertura voluntária é muito baixa.</w:t>
      </w:r>
    </w:p>
    <w:p>
      <w:pPr>
        <w:pStyle w:val="BlockText"/>
      </w:pPr>
      <w:r>
        <w:rPr>
          <w:b/>
          <w:bCs/>
        </w:rPr>
        <w:t xml:space="preserve">Impacto.</w:t>
      </w:r>
      <w:r>
        <w:t xml:space="preserve"> </w:t>
      </w:r>
      <w:r>
        <w:t xml:space="preserve">O paper fornece a base empírica mais sólida para calibrar políticas de subsídio à saúde em mercados com cobertura voluntária. Influenciou diretamente o debate sobre Medicaid expansion nos EUA e é relevante para o Brasil: o SUS oferece cobertura universal gratuita, mas a saúde suplementar (25% da população) opera com lógica similar — quem não percebe valor no plano privado sai, e os que ficam são mais custosos.</w:t>
      </w:r>
    </w:p>
    <w:p>
      <w:pPr>
        <w:pStyle w:val="BlockText"/>
      </w:pPr>
      <w:r>
        <w:rPr>
          <w:b/>
          <w:bCs/>
        </w:rPr>
        <w:t xml:space="preserve">Conexão com o capítulo.</w:t>
      </w:r>
      <w:r>
        <w:t xml:space="preserve"> </w:t>
      </w:r>
      <w:r>
        <w:t xml:space="preserve">Seções 23.4–23.5 (seleção adversa e espiral da morte, modelo de Rothschild-Stiglitz aplicado a seguros de saúde).</w:t>
      </w:r>
    </w:p>
    <w:p>
      <w:r>
        <w:pict>
          <v:rect style="width:0;height:1.5pt" o:hralign="center" o:hrstd="t" o:hr="t"/>
        </w:pict>
      </w:r>
    </w:p>
    <w:bookmarkEnd w:id="1434"/>
    <w:bookmarkStart w:id="1435" w:name="exercício-com-ia-1"/>
    <w:p>
      <w:pPr>
        <w:pStyle w:val="Heading3"/>
      </w:pPr>
      <w:r>
        <w:t xml:space="preserve">Exercício com IA</w:t>
      </w:r>
    </w:p>
    <w:p>
      <w:pPr>
        <w:pStyle w:val="BlockText"/>
      </w:pPr>
      <w:r>
        <w:rPr>
          <w:b/>
          <w:bCs/>
        </w:rPr>
        <w:t xml:space="preserve">[DICA] Simulando a espiral da morte com IA</w:t>
      </w:r>
    </w:p>
    <w:p>
      <w:pPr>
        <w:pStyle w:val="BlockText"/>
      </w:pPr>
      <w:r>
        <w:rPr>
          <w:b/>
          <w:bCs/>
        </w:rPr>
        <w:t xml:space="preserve">Prompt sugerido para ChatGPT, Claude ou Copilot:</w:t>
      </w:r>
    </w:p>
    <w:p>
      <w:pPr>
        <w:pStyle w:val="BlockText"/>
      </w:pPr>
      <w:r>
        <w:t xml:space="preserve">Simule um mercado de seguros de saúde com 1.000 indivíduos. Cada indivíduo tem uma probabilidade de doença sorteada uniformemente entre 5% e 50%. O custo do tratamento é R$ 10.000 para todos. A seguradora cobra um prêmio igual ao custo esperado médio dos segurados. Cada indivíduo compra seguro se e somente se seu custo esperado é ≥ 80% do prêmio cobrado.</w:t>
      </w:r>
    </w:p>
    <w:p>
      <w:pPr>
        <w:pStyle w:val="BlockText"/>
      </w:pPr>
      <w:r>
        <w:t xml:space="preserve">Simule iterativamente: (1) calcule o prêmio; (2) determine quem compra; (3) recalcule o prêmio com os compradores; (4) repita até estabilizar.</w:t>
      </w:r>
    </w:p>
    <w:p>
      <w:pPr>
        <w:pStyle w:val="BlockText"/>
      </w:pPr>
      <w:r>
        <w:t xml:space="preserve">Mostre: (a) o prêmio e o número de segurados a cada iteração; (b) um gráfico da espiral; (c) o que acontece se introduzirmos um mandato (todos obrigados a comprar); (d) o que acontece com um subsídio de 30% para quem tem custo esperado abaixo da mediana.</w:t>
      </w:r>
    </w:p>
    <w:p>
      <w:pPr>
        <w:pStyle w:val="BlockText"/>
      </w:pPr>
      <w:r>
        <w:rPr>
          <w:b/>
          <w:bCs/>
        </w:rPr>
        <w:t xml:space="preserve">O que observar:</w:t>
      </w:r>
      <w:r>
        <w:t xml:space="preserve"> </w:t>
      </w:r>
      <w:r>
        <w:t xml:space="preserve">A espiral converge em poucas iterações, com o prêmio subindo e o número de segurados caindo. O mandato estabiliza ao prêmio mais baixo possível. O subsídio parcial funciona melhor que sem intervenção, mas pior que o mandato.</w:t>
      </w:r>
    </w:p>
    <w:p>
      <w:r>
        <w:pict>
          <v:rect style="width:0;height:1.5pt" o:hralign="center" o:hrstd="t" o:hr="t"/>
        </w:pict>
      </w:r>
    </w:p>
    <w:bookmarkEnd w:id="1435"/>
    <w:bookmarkStart w:id="1436" w:name="referências-5"/>
    <w:p>
      <w:pPr>
        <w:pStyle w:val="Heading3"/>
      </w:pPr>
      <w:r>
        <w:t xml:space="preserve">Referências</w:t>
      </w:r>
    </w:p>
    <w:p>
      <w:pPr>
        <w:pStyle w:val="Compact"/>
        <w:numPr>
          <w:ilvl w:val="0"/>
          <w:numId w:val="2288"/>
        </w:numPr>
      </w:pPr>
      <w:r>
        <w:t xml:space="preserve">Anderson, G.F., Reinhardt, U.E., Hussey, P.S. &amp; Petrosyan, V. (2003). It’s the Prices, Stupid: Why the United States Is So Different from Other Countries.</w:t>
      </w:r>
      <w:r>
        <w:t xml:space="preserve"> </w:t>
      </w:r>
      <w:r>
        <w:rPr>
          <w:i/>
          <w:iCs/>
        </w:rPr>
        <w:t xml:space="preserve">Health Affairs</w:t>
      </w:r>
      <w:r>
        <w:t xml:space="preserve">, 22(3), 89–105.</w:t>
      </w:r>
    </w:p>
    <w:p>
      <w:pPr>
        <w:pStyle w:val="Compact"/>
        <w:numPr>
          <w:ilvl w:val="0"/>
          <w:numId w:val="2288"/>
        </w:numPr>
      </w:pPr>
      <w:r>
        <w:t xml:space="preserve">ANS — Agência Nacional de Saúde Suplementar (2024).</w:t>
      </w:r>
      <w:r>
        <w:t xml:space="preserve"> </w:t>
      </w:r>
      <w:r>
        <w:rPr>
          <w:i/>
          <w:iCs/>
        </w:rPr>
        <w:t xml:space="preserve">Dados do Setor</w:t>
      </w:r>
      <w:r>
        <w:t xml:space="preserve">. Disponível em: https://www.gov.br/ans.</w:t>
      </w:r>
    </w:p>
    <w:p>
      <w:pPr>
        <w:pStyle w:val="Compact"/>
        <w:numPr>
          <w:ilvl w:val="0"/>
          <w:numId w:val="2288"/>
        </w:numPr>
      </w:pPr>
      <w:r>
        <w:t xml:space="preserve">Arrow, K.J. (1963). Uncertainty and the Welfare Economics of Medical Care.</w:t>
      </w:r>
      <w:r>
        <w:t xml:space="preserve"> </w:t>
      </w:r>
      <w:r>
        <w:rPr>
          <w:i/>
          <w:iCs/>
        </w:rPr>
        <w:t xml:space="preserve">American Economic Review</w:t>
      </w:r>
      <w:r>
        <w:t xml:space="preserve">, 53(5), 941–973.</w:t>
      </w:r>
    </w:p>
    <w:p>
      <w:pPr>
        <w:pStyle w:val="Compact"/>
        <w:numPr>
          <w:ilvl w:val="0"/>
          <w:numId w:val="2288"/>
        </w:numPr>
      </w:pPr>
      <w:r>
        <w:t xml:space="preserve">Cutler, D.M. (2004).</w:t>
      </w:r>
      <w:r>
        <w:t xml:space="preserve"> </w:t>
      </w:r>
      <w:r>
        <w:rPr>
          <w:i/>
          <w:iCs/>
        </w:rPr>
        <w:t xml:space="preserve">Your Money or Your Life: Strong Medicine for America’s Health Care System</w:t>
      </w:r>
      <w:r>
        <w:t xml:space="preserve">. Oxford University Press.</w:t>
      </w:r>
    </w:p>
    <w:p>
      <w:pPr>
        <w:pStyle w:val="Compact"/>
        <w:numPr>
          <w:ilvl w:val="0"/>
          <w:numId w:val="2288"/>
        </w:numPr>
      </w:pPr>
      <w:r>
        <w:t xml:space="preserve">Cutler, D.M. &amp; Zeckhauser, R.J. (2000). The Anatomy of Health Insurance. In A.J. Culyer &amp; J.P. Newhouse (Eds.),</w:t>
      </w:r>
      <w:r>
        <w:t xml:space="preserve"> </w:t>
      </w:r>
      <w:r>
        <w:rPr>
          <w:i/>
          <w:iCs/>
        </w:rPr>
        <w:t xml:space="preserve">Handbook of Health Economics</w:t>
      </w:r>
      <w:r>
        <w:t xml:space="preserve">, Vol. 1A, pp. 563–643. Elsevier.</w:t>
      </w:r>
    </w:p>
    <w:p>
      <w:pPr>
        <w:pStyle w:val="Compact"/>
        <w:numPr>
          <w:ilvl w:val="0"/>
          <w:numId w:val="2288"/>
        </w:numPr>
      </w:pPr>
      <w:r>
        <w:t xml:space="preserve">Devlin, R.A. &amp; Sarma, S. (2008). Do Physician Remuneration Schemes Matter? The Case of Canadian Family Physicians.</w:t>
      </w:r>
      <w:r>
        <w:t xml:space="preserve"> </w:t>
      </w:r>
      <w:r>
        <w:rPr>
          <w:i/>
          <w:iCs/>
        </w:rPr>
        <w:t xml:space="preserve">Journal of Health Economics</w:t>
      </w:r>
      <w:r>
        <w:t xml:space="preserve">, 27(5), 1168–1181.</w:t>
      </w:r>
    </w:p>
    <w:p>
      <w:pPr>
        <w:pStyle w:val="Compact"/>
        <w:numPr>
          <w:ilvl w:val="0"/>
          <w:numId w:val="2288"/>
        </w:numPr>
      </w:pPr>
      <w:r>
        <w:t xml:space="preserve">Fisher, E.S., Wennberg, D.E., Stukel, T.A., Gottlieb, D.J., Lucas, F.L. &amp; Pinder, É.L. (2003). The Implications of Regional Variations in Medicare Spending. Part 1: The Content, Quality, and Accessibility of Care.</w:t>
      </w:r>
      <w:r>
        <w:t xml:space="preserve"> </w:t>
      </w:r>
      <w:r>
        <w:rPr>
          <w:i/>
          <w:iCs/>
        </w:rPr>
        <w:t xml:space="preserve">Annals of Internal Medicine</w:t>
      </w:r>
      <w:r>
        <w:t xml:space="preserve">, 138(4), 273–287.</w:t>
      </w:r>
    </w:p>
    <w:p>
      <w:pPr>
        <w:pStyle w:val="Compact"/>
        <w:numPr>
          <w:ilvl w:val="0"/>
          <w:numId w:val="2288"/>
        </w:numPr>
      </w:pPr>
      <w:r>
        <w:t xml:space="preserve">Finkelstein, A., Hendren, N. &amp; Shepard, M. (2019). Subsidizing Health Insurance for Low-Income Adults: Evidence from Massachusetts.</w:t>
      </w:r>
      <w:r>
        <w:t xml:space="preserve"> </w:t>
      </w:r>
      <w:r>
        <w:rPr>
          <w:i/>
          <w:iCs/>
        </w:rPr>
        <w:t xml:space="preserve">American Economic Review</w:t>
      </w:r>
      <w:r>
        <w:t xml:space="preserve">, 109(4), 1530–1567.</w:t>
      </w:r>
    </w:p>
    <w:p>
      <w:pPr>
        <w:pStyle w:val="Compact"/>
        <w:numPr>
          <w:ilvl w:val="0"/>
          <w:numId w:val="2288"/>
        </w:numPr>
      </w:pPr>
      <w:r>
        <w:t xml:space="preserve">Folland, S., Goodman, A.C. &amp; Stano, M. (2017).</w:t>
      </w:r>
      <w:r>
        <w:t xml:space="preserve"> </w:t>
      </w:r>
      <w:r>
        <w:rPr>
          <w:i/>
          <w:iCs/>
        </w:rPr>
        <w:t xml:space="preserve">The Economics of Health and Health Care</w:t>
      </w:r>
      <w:r>
        <w:t xml:space="preserve">. 8th ed. Routledge.</w:t>
      </w:r>
    </w:p>
    <w:p>
      <w:pPr>
        <w:pStyle w:val="Compact"/>
        <w:numPr>
          <w:ilvl w:val="0"/>
          <w:numId w:val="2288"/>
        </w:numPr>
      </w:pPr>
      <w:r>
        <w:t xml:space="preserve">Grossman, M. (1972). On the Concept of Health Capital and the Demand for Health.</w:t>
      </w:r>
      <w:r>
        <w:t xml:space="preserve"> </w:t>
      </w:r>
      <w:r>
        <w:rPr>
          <w:i/>
          <w:iCs/>
        </w:rPr>
        <w:t xml:space="preserve">Journal of Political Economy</w:t>
      </w:r>
      <w:r>
        <w:t xml:space="preserve">, 80(2), 223–255.</w:t>
      </w:r>
    </w:p>
    <w:p>
      <w:pPr>
        <w:pStyle w:val="Compact"/>
        <w:numPr>
          <w:ilvl w:val="0"/>
          <w:numId w:val="2288"/>
        </w:numPr>
      </w:pPr>
      <w:r>
        <w:t xml:space="preserve">KFF — Kaiser Family Foundation (2024).</w:t>
      </w:r>
      <w:r>
        <w:t xml:space="preserve"> </w:t>
      </w:r>
      <w:r>
        <w:rPr>
          <w:i/>
          <w:iCs/>
        </w:rPr>
        <w:t xml:space="preserve">Health Insurance Coverage of the Total Population</w:t>
      </w:r>
      <w:r>
        <w:t xml:space="preserve">. Disponível em: https://www.kff.org.</w:t>
      </w:r>
    </w:p>
    <w:p>
      <w:pPr>
        <w:pStyle w:val="Compact"/>
        <w:numPr>
          <w:ilvl w:val="0"/>
          <w:numId w:val="2288"/>
        </w:numPr>
      </w:pPr>
      <w:r>
        <w:t xml:space="preserve">Manning, W.G., Newhouse, J.P., Duan, N., Keeler, E.B., Leibowitz, A. &amp; Marquis, M.S. (1987). Health Insurance and the Demand for Medical Care: Evidence from a Randomized Experiment.</w:t>
      </w:r>
      <w:r>
        <w:t xml:space="preserve"> </w:t>
      </w:r>
      <w:r>
        <w:rPr>
          <w:i/>
          <w:iCs/>
        </w:rPr>
        <w:t xml:space="preserve">American Economic Review</w:t>
      </w:r>
      <w:r>
        <w:t xml:space="preserve">, 77(3), 251–277.</w:t>
      </w:r>
    </w:p>
    <w:p>
      <w:pPr>
        <w:pStyle w:val="Compact"/>
        <w:numPr>
          <w:ilvl w:val="0"/>
          <w:numId w:val="2288"/>
        </w:numPr>
      </w:pPr>
      <w:r>
        <w:t xml:space="preserve">Ministério da Saúde (2024).</w:t>
      </w:r>
      <w:r>
        <w:t xml:space="preserve"> </w:t>
      </w:r>
      <w:r>
        <w:rPr>
          <w:i/>
          <w:iCs/>
        </w:rPr>
        <w:t xml:space="preserve">Programa Nacional de Imunizações — Relatório Anual</w:t>
      </w:r>
      <w:r>
        <w:t xml:space="preserve">. Brasília.</w:t>
      </w:r>
    </w:p>
    <w:p>
      <w:pPr>
        <w:pStyle w:val="Compact"/>
        <w:numPr>
          <w:ilvl w:val="0"/>
          <w:numId w:val="2288"/>
        </w:numPr>
      </w:pPr>
      <w:r>
        <w:t xml:space="preserve">Musgrave, R.A. (1957). A Multiple Theory of Budget Determination.</w:t>
      </w:r>
      <w:r>
        <w:t xml:space="preserve"> </w:t>
      </w:r>
      <w:r>
        <w:rPr>
          <w:i/>
          <w:iCs/>
        </w:rPr>
        <w:t xml:space="preserve">FinanzArchiv</w:t>
      </w:r>
      <w:r>
        <w:t xml:space="preserve">, 17(3), 333–343.</w:t>
      </w:r>
    </w:p>
    <w:p>
      <w:pPr>
        <w:pStyle w:val="Compact"/>
        <w:numPr>
          <w:ilvl w:val="0"/>
          <w:numId w:val="2288"/>
        </w:numPr>
      </w:pPr>
      <w:r>
        <w:t xml:space="preserve">Newhouse, J.P. (1970). Toward a Theory of Nonprofit Institutions: An Economic Model of a Hospital.</w:t>
      </w:r>
      <w:r>
        <w:t xml:space="preserve"> </w:t>
      </w:r>
      <w:r>
        <w:rPr>
          <w:i/>
          <w:iCs/>
        </w:rPr>
        <w:t xml:space="preserve">American Economic Review</w:t>
      </w:r>
      <w:r>
        <w:t xml:space="preserve">, 60(1), 64–74.</w:t>
      </w:r>
    </w:p>
    <w:p>
      <w:pPr>
        <w:pStyle w:val="Compact"/>
        <w:numPr>
          <w:ilvl w:val="0"/>
          <w:numId w:val="2288"/>
        </w:numPr>
      </w:pPr>
      <w:r>
        <w:t xml:space="preserve">NHS England (2024).</w:t>
      </w:r>
      <w:r>
        <w:t xml:space="preserve"> </w:t>
      </w:r>
      <w:r>
        <w:rPr>
          <w:i/>
          <w:iCs/>
        </w:rPr>
        <w:t xml:space="preserve">Referral to Treatment (RTT) Waiting Times</w:t>
      </w:r>
      <w:r>
        <w:t xml:space="preserve">. Disponível em: https://www.england.nhs.uk.</w:t>
      </w:r>
    </w:p>
    <w:p>
      <w:pPr>
        <w:pStyle w:val="Compact"/>
        <w:numPr>
          <w:ilvl w:val="0"/>
          <w:numId w:val="2288"/>
        </w:numPr>
      </w:pPr>
      <w:r>
        <w:t xml:space="preserve">OECD (2023).</w:t>
      </w:r>
      <w:r>
        <w:t xml:space="preserve"> </w:t>
      </w:r>
      <w:r>
        <w:rPr>
          <w:i/>
          <w:iCs/>
        </w:rPr>
        <w:t xml:space="preserve">Health at a Glance 2023: OECD Indicators</w:t>
      </w:r>
      <w:r>
        <w:t xml:space="preserve">. Paris: OECD Publishing.</w:t>
      </w:r>
    </w:p>
    <w:p>
      <w:pPr>
        <w:pStyle w:val="Compact"/>
        <w:numPr>
          <w:ilvl w:val="0"/>
          <w:numId w:val="2288"/>
        </w:numPr>
      </w:pPr>
      <w:r>
        <w:t xml:space="preserve">Roemer, M.I. (1961). Bed Supply and Hospital Utilization: A Natural Experiment.</w:t>
      </w:r>
      <w:r>
        <w:t xml:space="preserve"> </w:t>
      </w:r>
      <w:r>
        <w:rPr>
          <w:i/>
          <w:iCs/>
        </w:rPr>
        <w:t xml:space="preserve">Hospitals</w:t>
      </w:r>
      <w:r>
        <w:t xml:space="preserve">, 35, 36–42.</w:t>
      </w:r>
    </w:p>
    <w:p>
      <w:pPr>
        <w:pStyle w:val="Compact"/>
        <w:numPr>
          <w:ilvl w:val="0"/>
          <w:numId w:val="2288"/>
        </w:numPr>
      </w:pPr>
      <w:r>
        <w:t xml:space="preserve">Rothschild, M. &amp; Stiglitz, J.E. (1976). Equilibrium in Competitive Insurance Markets: An Essay on the Economics of Imperfect Information.</w:t>
      </w:r>
      <w:r>
        <w:t xml:space="preserve"> </w:t>
      </w:r>
      <w:r>
        <w:rPr>
          <w:i/>
          <w:iCs/>
        </w:rPr>
        <w:t xml:space="preserve">Quarterly Journal of Economics</w:t>
      </w:r>
      <w:r>
        <w:t xml:space="preserve">, 90(4), 629–649.</w:t>
      </w:r>
    </w:p>
    <w:p>
      <w:pPr>
        <w:pStyle w:val="Compact"/>
        <w:numPr>
          <w:ilvl w:val="0"/>
          <w:numId w:val="2288"/>
        </w:numPr>
      </w:pPr>
      <w:r>
        <w:t xml:space="preserve">Viscusi, W.K. &amp; Aldy, J.E. (2003). The Value of a Statistical Life: A Critical Review of Market Estimates Throughout the World.</w:t>
      </w:r>
      <w:r>
        <w:t xml:space="preserve"> </w:t>
      </w:r>
      <w:r>
        <w:rPr>
          <w:i/>
          <w:iCs/>
        </w:rPr>
        <w:t xml:space="preserve">Journal of Risk and Uncertainty</w:t>
      </w:r>
      <w:r>
        <w:t xml:space="preserve">, 27(1), 5–76.</w:t>
      </w:r>
    </w:p>
    <w:p>
      <w:pPr>
        <w:pStyle w:val="Compact"/>
        <w:numPr>
          <w:ilvl w:val="0"/>
          <w:numId w:val="2288"/>
        </w:numPr>
      </w:pPr>
      <w:r>
        <w:t xml:space="preserve">Zeckhauser, R.J. (1970). Medical Insurance: A Case Study of the Tradeoff Between Risk Spreading and Appropriate Incentives.</w:t>
      </w:r>
      <w:r>
        <w:t xml:space="preserve"> </w:t>
      </w:r>
      <w:r>
        <w:rPr>
          <w:i/>
          <w:iCs/>
        </w:rPr>
        <w:t xml:space="preserve">Journal of Economic Theory</w:t>
      </w:r>
      <w:r>
        <w:t xml:space="preserve">, 2(1), 10–26.</w:t>
      </w:r>
    </w:p>
    <w:p>
      <w:pPr>
        <w:pStyle w:val="Compact"/>
        <w:numPr>
          <w:ilvl w:val="0"/>
          <w:numId w:val="2288"/>
        </w:numPr>
      </w:pPr>
      <w:r>
        <w:t xml:space="preserve">Zweifel, P., Breyer, F. &amp; Kifmann, M. (2009).</w:t>
      </w:r>
      <w:r>
        <w:t xml:space="preserve"> </w:t>
      </w:r>
      <w:r>
        <w:rPr>
          <w:i/>
          <w:iCs/>
        </w:rPr>
        <w:t xml:space="preserve">Health Economics</w:t>
      </w:r>
      <w:r>
        <w:t xml:space="preserve">. 2nd ed. Springer.</w:t>
      </w:r>
    </w:p>
    <w:bookmarkEnd w:id="1436"/>
    <w:bookmarkEnd w:id="1437"/>
    <w:bookmarkEnd w:id="1438"/>
    <w:bookmarkStart w:id="1497" w:name="X73c65696be89857aaed691d734d542872bc28f1"/>
    <w:p>
      <w:pPr>
        <w:sectPr>
          <w:footnotePr>
            <w:numRestart w:val="eachSect"/>
          </w:footnotePr>
        </w:sectPr>
      </w:pPr>
    </w:p>
    <w:p>
      <w:pPr>
        <w:pStyle w:val="Heading1"/>
      </w:pPr>
      <w:r>
        <w:t xml:space="preserve">Capítulo 24 — Quanto Vale Um Pôr do Sol? (Não, Sério, Quanto?)</w:t>
      </w:r>
    </w:p>
    <w:p>
      <w:pPr>
        <w:pStyle w:val="FirstParagraph"/>
      </w:pPr>
      <w:r>
        <w:t xml:space="preserve">Por que a temperatura média do planeta subiu mais de 1,1°C desde a era pré-industrial — e continua subindo? Por que empresas poluem mais do que a sociedade gostaria? Por que é tão difícil proteger florestas tropicais, mesmo quando todos concordam que sua destruição é uma catástrofe? E por que economistas gastam tanto tempo discutindo taxas de desconto quando o futuro do planeta está em jogo? Essas perguntas — urgentes, complexas e profundamente interligadas — são o objeto da</w:t>
      </w:r>
      <w:r>
        <w:t xml:space="preserve"> </w:t>
      </w:r>
      <w:r>
        <w:rPr>
          <w:b/>
          <w:bCs/>
        </w:rPr>
        <w:t xml:space="preserve">economia ambiental</w:t>
      </w:r>
      <w:r>
        <w:t xml:space="preserve">, o campo que aplica as ferramentas da microeconomia para analisar a relação entre atividade econômica e meio ambiente.</w:t>
      </w:r>
      <w:r>
        <w:rPr>
          <w:rStyle w:val="FootnoteReference"/>
        </w:rPr>
        <w:footnoteReference w:id="1439"/>
      </w:r>
    </w:p>
    <w:p>
      <w:pPr>
        <w:pStyle w:val="BodyText"/>
      </w:pPr>
      <w:r>
        <w:t xml:space="preserve">O Capítulo 20 introduziu os conceitos fundamentais: externalidades, bens públicos, impostos pigouvianos e o Teorema de Coase. Aqueles conceitos são os alicerces sobre os quais este capítulo se constrói. Aqui, avançamos em três direções. Primeiro, aprofundamos a análise dos</w:t>
      </w:r>
      <w:r>
        <w:t xml:space="preserve"> </w:t>
      </w:r>
      <w:r>
        <w:rPr>
          <w:b/>
          <w:bCs/>
        </w:rPr>
        <w:t xml:space="preserve">instrumentos de política ambiental</w:t>
      </w:r>
      <w:r>
        <w:t xml:space="preserve"> </w:t>
      </w:r>
      <w:r>
        <w:t xml:space="preserve">— comparando impostos, mercados de permissões de emissão e regulação direta, com atenção especial ao resultado clássico de Weitzman (1974) sobre preços versus quantidades sob incerteza. Segundo, enfrentamos o maior desafio ambiental do século XXI: as</w:t>
      </w:r>
      <w:r>
        <w:t xml:space="preserve"> </w:t>
      </w:r>
      <w:r>
        <w:rPr>
          <w:b/>
          <w:bCs/>
        </w:rPr>
        <w:t xml:space="preserve">mudanças climáticas</w:t>
      </w:r>
      <w:r>
        <w:t xml:space="preserve">, uma externalidade global e intergeracional que desafia os instrumentos tradicionais de política pública. Analisamos o custo social do carbono, o debate Nordhaus–Stern sobre taxas de desconto (conectando com o Capítulo 18), os mercados de carbono em operação (EU ETS, RGGI) e os mecanismos emergentes de ajuste de fronteira (CBAM). Terceiro, discutimos a</w:t>
      </w:r>
      <w:r>
        <w:t xml:space="preserve"> </w:t>
      </w:r>
      <w:r>
        <w:rPr>
          <w:b/>
          <w:bCs/>
        </w:rPr>
        <w:t xml:space="preserve">valoração ambiental</w:t>
      </w:r>
      <w:r>
        <w:t xml:space="preserve"> </w:t>
      </w:r>
      <w:r>
        <w:t xml:space="preserve">— como atribuir valor econômico a bens que não têm preço de mercado (ar limpo, biodiversidade, paisagem) — e a economia dos</w:t>
      </w:r>
      <w:r>
        <w:t xml:space="preserve"> </w:t>
      </w:r>
      <w:r>
        <w:rPr>
          <w:b/>
          <w:bCs/>
        </w:rPr>
        <w:t xml:space="preserve">recursos naturais</w:t>
      </w:r>
      <w:r>
        <w:t xml:space="preserve">, da regra de Hotelling à contabilidade verde.</w:t>
      </w:r>
    </w:p>
    <w:p>
      <w:pPr>
        <w:pStyle w:val="BodyText"/>
      </w:pPr>
      <w:r>
        <w:t xml:space="preserve">O tratamento combina formalização rigorosa com exemplos reais e conexões explícitas com capítulos anteriores — especialmente externalidades e bens públicos (Capítulo 20), teoria dos preços e preferência revelada (Capítulo 4), disposição a pagar (Capítulo 5), escolha intertemporal e taxa de desconto (Capítulo 18) e tragédia dos comuns (Capítulo 20). A literatura acadêmica central inclui Nordhaus (2017) para o modelo DICE e o custo social do carbono, Weitzman (1974) para a comparação preços versus quantidades, Stavins (1998) para os mercados de permissões, Stern (2007) para a economia das mudanças climáticas e Greenstone, Kopits e Wolverton (2013) para a estimação do custo social do carbono. Para tratamentos de livro-texto, ver Kolstad (2011), Tietenberg e Lewis (2018) e Perman et al. (2011).</w:t>
      </w:r>
    </w:p>
    <w:p>
      <w:r>
        <w:pict>
          <v:rect style="width:0;height:1.5pt" o:hralign="center" o:hrstd="t" o:hr="t"/>
        </w:pict>
      </w:r>
    </w:p>
    <w:bookmarkStart w:id="1496" w:name="roteiro-do-capítulo-17"/>
    <w:p>
      <w:pPr>
        <w:pStyle w:val="Heading2"/>
      </w:pPr>
      <w:r>
        <w:t xml:space="preserve">Roteiro do Capítulo</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Seção</w:t>
            </w:r>
          </w:p>
        </w:tc>
        <w:tc>
          <w:tcPr/>
          <w:p>
            <w:pPr>
              <w:pStyle w:val="Compact"/>
            </w:pPr>
            <w:r>
              <w:t xml:space="preserve">Pergunta-guia</w:t>
            </w:r>
          </w:p>
        </w:tc>
        <w:tc>
          <w:tcPr/>
          <w:p>
            <w:pPr>
              <w:pStyle w:val="Compact"/>
            </w:pPr>
            <w:r>
              <w:t xml:space="preserve">O que você vai aprender</w:t>
            </w:r>
          </w:p>
        </w:tc>
        <w:tc>
          <w:tcPr/>
          <w:p>
            <w:pPr>
              <w:pStyle w:val="Compact"/>
              <w:jc w:val="center"/>
            </w:pPr>
            <w:r>
              <w:t xml:space="preserve">Página</w:t>
            </w:r>
          </w:p>
        </w:tc>
      </w:tr>
      <w:tr>
        <w:tc>
          <w:tcPr/>
          <w:p>
            <w:pPr>
              <w:pStyle w:val="Compact"/>
              <w:jc w:val="center"/>
            </w:pPr>
            <w:r>
              <w:t xml:space="preserve">24.1</w:t>
            </w:r>
          </w:p>
        </w:tc>
        <w:tc>
          <w:tcPr/>
          <w:p>
            <w:pPr>
              <w:pStyle w:val="Compact"/>
            </w:pPr>
            <w:r>
              <w:t xml:space="preserve">Poluição é externalidade — qual a política certa?</w:t>
            </w:r>
          </w:p>
        </w:tc>
        <w:tc>
          <w:tcPr/>
          <w:p>
            <w:pPr>
              <w:pStyle w:val="Compact"/>
            </w:pPr>
            <w:r>
              <w:t xml:space="preserve">Pigou, Coase, regulação ambiental</w:t>
            </w:r>
          </w:p>
        </w:tc>
        <w:tc>
          <w:tcPr/>
          <w:p>
            <w:pPr>
              <w:pStyle w:val="Compact"/>
              <w:jc w:val="center"/>
            </w:pPr>
            <w:r>
              <w:t xml:space="preserve">Política</w:t>
            </w:r>
          </w:p>
        </w:tc>
      </w:tr>
      <w:tr>
        <w:tc>
          <w:tcPr/>
          <w:p>
            <w:pPr>
              <w:pStyle w:val="Compact"/>
              <w:jc w:val="center"/>
            </w:pPr>
            <w:r>
              <w:t xml:space="preserve">24.2</w:t>
            </w:r>
          </w:p>
        </w:tc>
        <w:tc>
          <w:tcPr/>
          <w:p>
            <w:pPr>
              <w:pStyle w:val="Compact"/>
            </w:pPr>
            <w:r>
              <w:t xml:space="preserve">Imposto ou cap-and-trade — qual funciona melhor?</w:t>
            </w:r>
          </w:p>
        </w:tc>
        <w:tc>
          <w:tcPr/>
          <w:p>
            <w:pPr>
              <w:pStyle w:val="Compact"/>
            </w:pPr>
            <w:r>
              <w:t xml:space="preserve">Instrumentos de mercado, Weitzman</w:t>
            </w:r>
          </w:p>
        </w:tc>
        <w:tc>
          <w:tcPr/>
          <w:p>
            <w:pPr>
              <w:pStyle w:val="Compact"/>
              <w:jc w:val="center"/>
            </w:pPr>
            <w:r>
              <w:t xml:space="preserve">Instrumentos</w:t>
            </w:r>
          </w:p>
        </w:tc>
      </w:tr>
      <w:tr>
        <w:tc>
          <w:tcPr/>
          <w:p>
            <w:pPr>
              <w:pStyle w:val="Compact"/>
              <w:jc w:val="center"/>
            </w:pPr>
            <w:r>
              <w:t xml:space="preserve">24.3</w:t>
            </w:r>
          </w:p>
        </w:tc>
        <w:tc>
          <w:tcPr/>
          <w:p>
            <w:pPr>
              <w:pStyle w:val="Compact"/>
            </w:pPr>
            <w:r>
              <w:t xml:space="preserve">Quanto custa (e quanto vale) evitar 2°C de aquecimento?</w:t>
            </w:r>
          </w:p>
        </w:tc>
        <w:tc>
          <w:tcPr/>
          <w:p>
            <w:pPr>
              <w:pStyle w:val="Compact"/>
            </w:pPr>
            <w:r>
              <w:t xml:space="preserve">Economia das mudanças climáticas, Nordhaus, Stern</w:t>
            </w:r>
          </w:p>
        </w:tc>
        <w:tc>
          <w:tcPr/>
          <w:p>
            <w:pPr>
              <w:pStyle w:val="Compact"/>
              <w:jc w:val="center"/>
            </w:pPr>
            <w:r>
              <w:t xml:space="preserve">Clima</w:t>
            </w:r>
          </w:p>
        </w:tc>
      </w:tr>
      <w:tr>
        <w:tc>
          <w:tcPr/>
          <w:p>
            <w:pPr>
              <w:pStyle w:val="Compact"/>
              <w:jc w:val="center"/>
            </w:pPr>
            <w:r>
              <w:t xml:space="preserve">24.4</w:t>
            </w:r>
          </w:p>
        </w:tc>
        <w:tc>
          <w:tcPr/>
          <w:p>
            <w:pPr>
              <w:pStyle w:val="Compact"/>
            </w:pPr>
            <w:r>
              <w:t xml:space="preserve">Dá para comprar e vender o direito de poluir?</w:t>
            </w:r>
          </w:p>
        </w:tc>
        <w:tc>
          <w:tcPr/>
          <w:p>
            <w:pPr>
              <w:pStyle w:val="Compact"/>
            </w:pPr>
            <w:r>
              <w:t xml:space="preserve">Mercados de carbono, EU-ETS</w:t>
            </w:r>
          </w:p>
        </w:tc>
        <w:tc>
          <w:tcPr/>
          <w:p>
            <w:pPr>
              <w:pStyle w:val="Compact"/>
              <w:jc w:val="center"/>
            </w:pPr>
            <w:r>
              <w:t xml:space="preserve">Carbono</w:t>
            </w:r>
          </w:p>
        </w:tc>
      </w:tr>
      <w:tr>
        <w:tc>
          <w:tcPr/>
          <w:p>
            <w:pPr>
              <w:pStyle w:val="Compact"/>
              <w:jc w:val="center"/>
            </w:pPr>
            <w:r>
              <w:t xml:space="preserve">24.5</w:t>
            </w:r>
          </w:p>
        </w:tc>
        <w:tc>
          <w:tcPr/>
          <w:p>
            <w:pPr>
              <w:pStyle w:val="Compact"/>
            </w:pPr>
            <w:r>
              <w:t xml:space="preserve">Quanto vale uma floresta em pé — e como medir?</w:t>
            </w:r>
          </w:p>
        </w:tc>
        <w:tc>
          <w:tcPr/>
          <w:p>
            <w:pPr>
              <w:pStyle w:val="Compact"/>
            </w:pPr>
            <w:r>
              <w:t xml:space="preserve">Valoração ambiental: preferências reveladas e declaradas</w:t>
            </w:r>
          </w:p>
        </w:tc>
        <w:tc>
          <w:tcPr/>
          <w:p>
            <w:pPr>
              <w:pStyle w:val="Compact"/>
              <w:jc w:val="center"/>
            </w:pPr>
            <w:r>
              <w:t xml:space="preserve">Valoração</w:t>
            </w:r>
          </w:p>
        </w:tc>
      </w:tr>
      <w:tr>
        <w:tc>
          <w:tcPr/>
          <w:p>
            <w:pPr>
              <w:pStyle w:val="Compact"/>
              <w:jc w:val="center"/>
            </w:pPr>
            <w:r>
              <w:t xml:space="preserve">24.6</w:t>
            </w:r>
          </w:p>
        </w:tc>
        <w:tc>
          <w:tcPr/>
          <w:p>
            <w:pPr>
              <w:pStyle w:val="Compact"/>
            </w:pPr>
            <w:r>
              <w:t xml:space="preserve">Crescer para sempre é sustentável?</w:t>
            </w:r>
          </w:p>
        </w:tc>
        <w:tc>
          <w:tcPr/>
          <w:p>
            <w:pPr>
              <w:pStyle w:val="Compact"/>
            </w:pPr>
            <w:r>
              <w:t xml:space="preserve">Recursos naturais, sustentabilidade, Hotelling</w:t>
            </w:r>
          </w:p>
        </w:tc>
        <w:tc>
          <w:tcPr/>
          <w:p>
            <w:pPr>
              <w:pStyle w:val="Compact"/>
              <w:jc w:val="center"/>
            </w:pPr>
            <w:r>
              <w:t xml:space="preserve">Sustentabilidade</w:t>
            </w:r>
          </w:p>
        </w:tc>
      </w:tr>
      <w:tr>
        <w:tc>
          <w:tcPr/>
          <w:p>
            <w:pPr>
              <w:pStyle w:val="Compact"/>
              <w:jc w:val="center"/>
            </w:pPr>
            <w:r>
              <w:rPr>
                <w:b/>
                <w:bCs/>
              </w:rPr>
              <w:t xml:space="preserve">Exercícios</w:t>
            </w:r>
          </w:p>
        </w:tc>
        <w:tc>
          <w:tcPr/>
          <w:p>
            <w:pPr>
              <w:pStyle w:val="Compact"/>
            </w:pPr>
            <w:r>
              <w:t xml:space="preserve">Teste, pratique, resolva</w:t>
            </w:r>
          </w:p>
        </w:tc>
        <w:tc>
          <w:tcPr/>
          <w:p>
            <w:pPr>
              <w:pStyle w:val="Compact"/>
            </w:pPr>
            <w:r>
              <w:t xml:space="preserve">Revisão, exercícios, ANPEC</w:t>
            </w:r>
          </w:p>
        </w:tc>
        <w:tc>
          <w:tcPr/>
          <w:p>
            <w:pPr>
              <w:pStyle w:val="Compact"/>
              <w:jc w:val="center"/>
            </w:pPr>
            <w:r>
              <w:t xml:space="preserve">Exercícios</w:t>
            </w:r>
          </w:p>
        </w:tc>
      </w:tr>
      <w:tr>
        <w:tc>
          <w:tcPr/>
          <w:p>
            <w:pPr>
              <w:pStyle w:val="Compact"/>
              <w:jc w:val="center"/>
            </w:pPr>
            <w:r>
              <w:rPr>
                <w:b/>
                <w:bCs/>
              </w:rPr>
              <w:t xml:space="preserve">Pesquisa</w:t>
            </w:r>
          </w:p>
        </w:tc>
        <w:tc>
          <w:tcPr/>
          <w:p>
            <w:pPr>
              <w:pStyle w:val="Compact"/>
            </w:pPr>
            <w:r>
              <w:t xml:space="preserve">O que a pesquisa recente diz?</w:t>
            </w:r>
          </w:p>
        </w:tc>
        <w:tc>
          <w:tcPr/>
          <w:p>
            <w:pPr>
              <w:pStyle w:val="Compact"/>
            </w:pPr>
            <w:r>
              <w:t xml:space="preserve">Artigos seminais e fronteira empírica</w:t>
            </w:r>
          </w:p>
        </w:tc>
        <w:tc>
          <w:tcPr/>
          <w:p>
            <w:pPr>
              <w:pStyle w:val="Compact"/>
              <w:jc w:val="center"/>
            </w:pPr>
            <w:r>
              <w:t xml:space="preserve">Pesquisa</w:t>
            </w:r>
          </w:p>
        </w:tc>
      </w:tr>
    </w:tbl>
    <w:p>
      <w:r>
        <w:pict>
          <v:rect style="width:0;height:1.5pt" o:hralign="center" o:hrstd="t" o:hr="t"/>
        </w:pict>
      </w:r>
    </w:p>
    <w:p>
      <w:pPr>
        <w:pStyle w:val="BlockText"/>
      </w:pPr>
      <w:r>
        <w:rPr>
          <w:b/>
          <w:bCs/>
        </w:rPr>
        <w:t xml:space="preserve">[ATIVIDADE DE SALA] Atividade de Sala — O Mercado de Permissões de Emissão</w:t>
      </w:r>
    </w:p>
    <w:p>
      <w:pPr>
        <w:pStyle w:val="BlockText"/>
      </w:pPr>
      <w:r>
        <w:rPr>
          <w:b/>
          <w:bCs/>
        </w:rPr>
        <w:t xml:space="preserve">Formato:</w:t>
      </w:r>
      <w:r>
        <w:t xml:space="preserve"> </w:t>
      </w:r>
      <w:r>
        <w:t xml:space="preserve">Simulação de cap-and-trade com firmas heterogêneas</w:t>
      </w:r>
      <w:r>
        <w:t xml:space="preserve"> </w:t>
      </w:r>
      <w:r>
        <w:rPr>
          <w:b/>
          <w:bCs/>
        </w:rPr>
        <w:t xml:space="preserve">Duração:</w:t>
      </w:r>
      <w:r>
        <w:t xml:space="preserve"> </w:t>
      </w:r>
      <w:r>
        <w:t xml:space="preserve">40–50 minutos (10 preparação + 20 negociação + 10 debrief)</w:t>
      </w:r>
      <w:r>
        <w:t xml:space="preserve"> </w:t>
      </w:r>
      <w:r>
        <w:rPr>
          <w:b/>
          <w:bCs/>
        </w:rPr>
        <w:t xml:space="preserve">Material:</w:t>
      </w:r>
      <w:r>
        <w:t xml:space="preserve"> </w:t>
      </w:r>
      <w:r>
        <w:t xml:space="preserve">Fichas coloridas (custos de abatimento),</w:t>
      </w:r>
      <w:r>
        <w:t xml:space="preserve"> </w:t>
      </w:r>
      <w:r>
        <w:t xml:space="preserve">“permissões”</w:t>
      </w:r>
      <w:r>
        <w:t xml:space="preserve"> </w:t>
      </w:r>
      <w:r>
        <w:t xml:space="preserve">de papel, quadro para registro.</w:t>
      </w:r>
    </w:p>
    <w:p>
      <w:pPr>
        <w:pStyle w:val="BlockText"/>
      </w:pPr>
      <w:r>
        <w:rPr>
          <w:b/>
          <w:bCs/>
        </w:rPr>
        <w:t xml:space="preserve">Preparação (10 min):</w:t>
      </w:r>
    </w:p>
    <w:p>
      <w:pPr>
        <w:pStyle w:val="Compact"/>
        <w:numPr>
          <w:ilvl w:val="0"/>
          <w:numId w:val="2289"/>
        </w:numPr>
      </w:pPr>
      <w:r>
        <w:t xml:space="preserve">Divida a turma em 8–12</w:t>
      </w:r>
      <w:r>
        <w:t xml:space="preserve"> </w:t>
      </w:r>
      <w:r>
        <w:t xml:space="preserve">“firmas”</w:t>
      </w:r>
      <w:r>
        <w:t xml:space="preserve">. Cada firma recebe uma ficha com seu</w:t>
      </w:r>
      <w:r>
        <w:t xml:space="preserve"> </w:t>
      </w:r>
      <w:r>
        <w:rPr>
          <w:b/>
          <w:bCs/>
        </w:rPr>
        <w:t xml:space="preserve">custo marginal de abatimento</w:t>
      </w:r>
      <w:r>
        <w:t xml:space="preserve"> </w:t>
      </w:r>
      <w:r>
        <w:t xml:space="preserve">(ex.: Firma A = R$ 10/ton, Firma B = R$ 30/ton, Firma C = R$ 50/ton, etc.).</w:t>
      </w:r>
    </w:p>
    <w:p>
      <w:pPr>
        <w:pStyle w:val="Compact"/>
        <w:numPr>
          <w:ilvl w:val="0"/>
          <w:numId w:val="2289"/>
        </w:numPr>
      </w:pPr>
      <w:r>
        <w:t xml:space="preserve">Cada firma emite inicialmente 10 toneladas. O regulador (professor) anuncia:</w:t>
      </w:r>
      <w:r>
        <w:t xml:space="preserve"> </w:t>
      </w:r>
      <w:r>
        <w:t xml:space="preserve">“O cap total é de 60 toneladas”</w:t>
      </w:r>
      <w:r>
        <w:t xml:space="preserve"> </w:t>
      </w:r>
      <w:r>
        <w:t xml:space="preserve">(com 10 firmas, cada uma recebe 6 permissões).</w:t>
      </w:r>
    </w:p>
    <w:p>
      <w:pPr>
        <w:pStyle w:val="Compact"/>
        <w:numPr>
          <w:ilvl w:val="0"/>
          <w:numId w:val="2289"/>
        </w:numPr>
      </w:pPr>
      <w:r>
        <w:t xml:space="preserve">Sem as permissões, cada firma precisa abater 4 toneladas. O custo de abatimento de cada tonelada segue o CMgA da ficha.</w:t>
      </w:r>
    </w:p>
    <w:p>
      <w:pPr>
        <w:pStyle w:val="BlockText"/>
      </w:pPr>
      <w:r>
        <w:rPr>
          <w:b/>
          <w:bCs/>
        </w:rPr>
        <w:t xml:space="preserve">Fase 1 — Comando e controle (5 min):</w:t>
      </w:r>
    </w:p>
    <w:p>
      <w:pPr>
        <w:pStyle w:val="Compact"/>
        <w:numPr>
          <w:ilvl w:val="0"/>
          <w:numId w:val="2290"/>
        </w:numPr>
      </w:pPr>
      <w:r>
        <w:t xml:space="preserve">Cada firma calcula o custo de abater exatamente 4 toneladas. Registre no quadro. Some o custo total.</w:t>
      </w:r>
    </w:p>
    <w:p>
      <w:pPr>
        <w:pStyle w:val="BlockText"/>
      </w:pPr>
      <w:r>
        <w:rPr>
          <w:b/>
          <w:bCs/>
        </w:rPr>
        <w:t xml:space="preserve">Fase 2 — Cap-and-trade (15 min):</w:t>
      </w:r>
    </w:p>
    <w:p>
      <w:pPr>
        <w:pStyle w:val="Compact"/>
        <w:numPr>
          <w:ilvl w:val="0"/>
          <w:numId w:val="2291"/>
        </w:numPr>
      </w:pPr>
      <w:r>
        <w:t xml:space="preserve">Agora as firmas podem</w:t>
      </w:r>
      <w:r>
        <w:t xml:space="preserve"> </w:t>
      </w:r>
      <w:r>
        <w:rPr>
          <w:b/>
          <w:bCs/>
        </w:rPr>
        <w:t xml:space="preserve">comprar e vender permissões</w:t>
      </w:r>
      <w:r>
        <w:t xml:space="preserve"> </w:t>
      </w:r>
      <w:r>
        <w:t xml:space="preserve">entre si. O objetivo: minimizar seu custo total (abatimento + compra de permissões − receita de venda).</w:t>
      </w:r>
    </w:p>
    <w:p>
      <w:pPr>
        <w:pStyle w:val="Compact"/>
        <w:numPr>
          <w:ilvl w:val="0"/>
          <w:numId w:val="2291"/>
        </w:numPr>
      </w:pPr>
      <w:r>
        <w:t xml:space="preserve">Permita negociação livre (bilateral, em voz alta). Registre cada transação no quadro (vendedor, comprador, preço, quantidade).</w:t>
      </w:r>
    </w:p>
    <w:p>
      <w:pPr>
        <w:pStyle w:val="Compact"/>
        <w:numPr>
          <w:ilvl w:val="0"/>
          <w:numId w:val="2291"/>
        </w:numPr>
      </w:pPr>
      <w:r>
        <w:t xml:space="preserve">Após 10 minutos de negociação, encerre. Cada firma recalcula seu custo total.</w:t>
      </w:r>
    </w:p>
    <w:p>
      <w:pPr>
        <w:pStyle w:val="BlockText"/>
      </w:pPr>
      <w:r>
        <w:rPr>
          <w:b/>
          <w:bCs/>
        </w:rPr>
        <w:t xml:space="preserve">Fase 3 — Leilão de permissões (opcional, 5 min):</w:t>
      </w:r>
    </w:p>
    <w:p>
      <w:pPr>
        <w:pStyle w:val="Compact"/>
        <w:numPr>
          <w:ilvl w:val="0"/>
          <w:numId w:val="2292"/>
        </w:numPr>
      </w:pPr>
      <w:r>
        <w:t xml:space="preserve">O governo leiloa todas as 60 permissões (em vez de distribuir). Use um leilão de preço uniforme: cada firma faz lances selados; as 60 maiores lances ganham ao preço do 61º lance.</w:t>
      </w:r>
    </w:p>
    <w:p>
      <w:pPr>
        <w:pStyle w:val="BlockText"/>
      </w:pPr>
      <w:r>
        <w:rPr>
          <w:b/>
          <w:bCs/>
        </w:rPr>
        <w:t xml:space="preserve">Debrief (10 min):</w:t>
      </w:r>
    </w:p>
    <w:p>
      <w:pPr>
        <w:pStyle w:val="Compact"/>
        <w:numPr>
          <w:ilvl w:val="0"/>
          <w:numId w:val="2293"/>
        </w:numPr>
      </w:pPr>
      <w:r>
        <w:rPr>
          <w:i/>
          <w:iCs/>
        </w:rPr>
        <w:t xml:space="preserve">“O custo total caiu na Fase 2 vs. Fase 1?”</w:t>
      </w:r>
      <w:r>
        <w:t xml:space="preserve"> </w:t>
      </w:r>
      <w:r>
        <w:t xml:space="preserve">→ Sim — firmas com CMgA baixo abateram mais e venderam permissões; firmas com CMgA alto compraram. Eficiência de custos.</w:t>
      </w:r>
    </w:p>
    <w:p>
      <w:pPr>
        <w:pStyle w:val="Compact"/>
        <w:numPr>
          <w:ilvl w:val="0"/>
          <w:numId w:val="2293"/>
        </w:numPr>
      </w:pPr>
      <w:r>
        <w:rPr>
          <w:i/>
          <w:iCs/>
        </w:rPr>
        <w:t xml:space="preserve">“Qual foi o preço de equilíbrio das permissões?”</w:t>
      </w:r>
      <w:r>
        <w:t xml:space="preserve"> </w:t>
      </w:r>
      <w:r>
        <w:t xml:space="preserve">→ Deve convergir para o CMgA da firma marginal.</w:t>
      </w:r>
    </w:p>
    <w:p>
      <w:pPr>
        <w:pStyle w:val="Compact"/>
        <w:numPr>
          <w:ilvl w:val="0"/>
          <w:numId w:val="2293"/>
        </w:numPr>
      </w:pPr>
      <w:r>
        <w:rPr>
          <w:i/>
          <w:iCs/>
        </w:rPr>
        <w:t xml:space="preserve">“A distribuição inicial importou?”</w:t>
      </w:r>
      <w:r>
        <w:t xml:space="preserve"> </w:t>
      </w:r>
      <w:r>
        <w:t xml:space="preserve">→ Para a renda das firmas, sim; para a eficiência, não (Coase!).</w:t>
      </w:r>
    </w:p>
    <w:p>
      <w:pPr>
        <w:pStyle w:val="Compact"/>
        <w:numPr>
          <w:ilvl w:val="0"/>
          <w:numId w:val="2293"/>
        </w:numPr>
      </w:pPr>
      <w:r>
        <w:t xml:space="preserve">Conecte com: Weitzman (Seção 24.2.3), EU ETS (Box Mundo 24.2), RenovaBio (Box Brasil 24.1).</w:t>
      </w:r>
    </w:p>
    <w:p>
      <w:pPr>
        <w:pStyle w:val="BlockText"/>
      </w:pPr>
      <w:r>
        <w:rPr>
          <w:b/>
          <w:bCs/>
        </w:rPr>
        <w:t xml:space="preserve">Conexão com o capítulo:</w:t>
      </w:r>
      <w:r>
        <w:t xml:space="preserve"> </w:t>
      </w:r>
      <w:r>
        <w:t xml:space="preserve">Seções 24.1–24.2 (instrumentos de mercado vs. comando e controle) e Seção 24.4 (mercados de carbono reais).</w:t>
      </w:r>
    </w:p>
    <w:bookmarkStart w:id="1443" w:name="Xffd1ae121c4f26fe7f0c45ecdc85fa6ac245bf0"/>
    <w:p>
      <w:pPr>
        <w:pStyle w:val="Heading3"/>
      </w:pPr>
      <w:r>
        <w:t xml:space="preserve">24.1 Das Externalidades à Política Ambiental</w:t>
      </w:r>
    </w:p>
    <w:bookmarkStart w:id="1440" w:name="pigou-revisitado-o-caso-da-poluição"/>
    <w:p>
      <w:pPr>
        <w:pStyle w:val="Heading4"/>
      </w:pPr>
      <w:r>
        <w:t xml:space="preserve">24.1.1 Pigou revisitado: o caso da poluição</w:t>
      </w:r>
    </w:p>
    <w:p>
      <w:pPr>
        <w:pStyle w:val="FirstParagraph"/>
      </w:pPr>
      <w:r>
        <w:t xml:space="preserve">No Capítulo 20, vimos que uma externalidade negativa de produção gera uma divergência entre o custo marginal privado (CMgP) e o custo marginal social (CMgS):</w:t>
      </w:r>
    </w:p>
    <w:p>
      <w:pPr>
        <w:pStyle w:val="BodyText"/>
      </w:pPr>
      <m:oMathPara>
        <m:oMathParaPr>
          <m:jc m:val="center"/>
        </m:oMathParaPr>
        <m:oMath>
          <m:r>
            <m:rPr>
              <m:nor/>
              <m:sty m:val="p"/>
            </m:rPr>
            <m:t>CMgS</m:t>
          </m:r>
          <m:r>
            <m:rPr>
              <m:sty m:val="p"/>
            </m:rPr>
            <m:t>(</m:t>
          </m:r>
          <m:r>
            <m:t>q</m:t>
          </m:r>
          <m:r>
            <m:rPr>
              <m:sty m:val="p"/>
            </m:rPr>
            <m:t>)</m:t>
          </m:r>
          <m:r>
            <m:rPr>
              <m:sty m:val="p"/>
            </m:rPr>
            <m:t>=</m:t>
          </m:r>
          <m:r>
            <m:rPr>
              <m:nor/>
              <m:sty m:val="p"/>
            </m:rPr>
            <m:t>CMgP</m:t>
          </m:r>
          <m:r>
            <m:rPr>
              <m:sty m:val="p"/>
            </m:rPr>
            <m:t>(</m:t>
          </m:r>
          <m:r>
            <m:t>q</m:t>
          </m:r>
          <m:r>
            <m:rPr>
              <m:sty m:val="p"/>
            </m:rPr>
            <m:t>)</m:t>
          </m:r>
          <m:r>
            <m:rPr>
              <m:sty m:val="p"/>
            </m:rPr>
            <m:t>+</m:t>
          </m:r>
          <m:r>
            <m:rPr>
              <m:nor/>
              <m:sty m:val="p"/>
            </m:rPr>
            <m:t>CMgE</m:t>
          </m:r>
          <m:r>
            <m:rPr>
              <m:sty m:val="p"/>
            </m:rPr>
            <m:t>(</m:t>
          </m:r>
          <m:r>
            <m:t>q</m:t>
          </m:r>
          <m:r>
            <m:rPr>
              <m:sty m:val="p"/>
            </m:rPr>
            <m:t>)</m:t>
          </m:r>
        </m:oMath>
      </m:oMathPara>
    </w:p>
    <w:p>
      <w:pPr>
        <w:pStyle w:val="FirstParagraph"/>
      </w:pPr>
      <w:r>
        <w:t xml:space="preserve">onde</w:t>
      </w:r>
      <w:r>
        <w:t xml:space="preserve"> </w:t>
      </w:r>
      <m:oMath>
        <m:r>
          <m:rPr>
            <m:nor/>
            <m:sty m:val="p"/>
          </m:rPr>
          <m:t>CMgE</m:t>
        </m:r>
        <m:r>
          <m:rPr>
            <m:sty m:val="p"/>
          </m:rPr>
          <m:t>(</m:t>
        </m:r>
        <m:r>
          <m:t>q</m:t>
        </m:r>
        <m:r>
          <m:rPr>
            <m:sty m:val="p"/>
          </m:rPr>
          <m:t>)</m:t>
        </m:r>
      </m:oMath>
      <w:r>
        <w:t xml:space="preserve"> </w:t>
      </w:r>
      <w:r>
        <w:t xml:space="preserve">é o custo marginal externo — o dano adicional que cada unidade de produção impõe à sociedade. No contexto ambiental, esse dano pode ser poluição do ar, contaminação da água, emissão de gases de efeito estufa ou degradação de ecossistemas.</w:t>
      </w:r>
    </w:p>
    <w:p>
      <w:pPr>
        <w:pStyle w:val="BodyText"/>
      </w:pPr>
      <w:r>
        <w:t xml:space="preserve">A firma que maximiza lucro iguala</w:t>
      </w:r>
      <w:r>
        <w:t xml:space="preserve"> </w:t>
      </w:r>
      <m:oMath>
        <m:r>
          <m:rPr>
            <m:nor/>
            <m:sty m:val="p"/>
          </m:rPr>
          <m:t>CMgP</m:t>
        </m:r>
        <m:r>
          <m:rPr>
            <m:sty m:val="p"/>
          </m:rPr>
          <m:t>=</m:t>
        </m:r>
        <m:r>
          <m:t>p</m:t>
        </m:r>
      </m:oMath>
      <w:r>
        <w:t xml:space="preserve">, produzindo</w:t>
      </w:r>
      <w:r>
        <w:t xml:space="preserve"> </w:t>
      </w:r>
      <m:oMath>
        <m:sSup>
          <m:e>
            <m:r>
              <m:t>q</m:t>
            </m:r>
          </m:e>
          <m:sup>
            <m:r>
              <m:t>M</m:t>
            </m:r>
          </m:sup>
        </m:sSup>
      </m:oMath>
      <w:r>
        <w:t xml:space="preserve"> </w:t>
      </w:r>
      <w:r>
        <w:t xml:space="preserve">(quantidade de mercado). O ótimo social requer</w:t>
      </w:r>
      <w:r>
        <w:t xml:space="preserve"> </w:t>
      </w:r>
      <m:oMath>
        <m:r>
          <m:rPr>
            <m:nor/>
            <m:sty m:val="p"/>
          </m:rPr>
          <m:t>CMgS</m:t>
        </m:r>
        <m:r>
          <m:rPr>
            <m:sty m:val="p"/>
          </m:rPr>
          <m:t>=</m:t>
        </m:r>
        <m:r>
          <m:t>p</m:t>
        </m:r>
      </m:oMath>
      <w:r>
        <w:t xml:space="preserve">, resultando em</w:t>
      </w:r>
      <w:r>
        <w:t xml:space="preserve"> </w:t>
      </w:r>
      <m:oMath>
        <m:sSup>
          <m:e>
            <m:r>
              <m:t>q</m:t>
            </m:r>
          </m:e>
          <m:sup>
            <m:r>
              <m:rPr>
                <m:sty m:val="p"/>
              </m:rPr>
              <m:t>*</m:t>
            </m:r>
          </m:sup>
        </m:sSup>
        <m:r>
          <m:rPr>
            <m:sty m:val="p"/>
          </m:rPr>
          <m:t>&lt;</m:t>
        </m:r>
        <m:sSup>
          <m:e>
            <m:r>
              <m:t>q</m:t>
            </m:r>
          </m:e>
          <m:sup>
            <m:r>
              <m:t>M</m:t>
            </m:r>
          </m:sup>
        </m:sSup>
      </m:oMath>
      <w:r>
        <w:t xml:space="preserve">. A diferença</w:t>
      </w:r>
      <w:r>
        <w:t xml:space="preserve"> </w:t>
      </w:r>
      <m:oMath>
        <m:sSup>
          <m:e>
            <m:r>
              <m:t>q</m:t>
            </m:r>
          </m:e>
          <m:sup>
            <m:r>
              <m:t>M</m:t>
            </m:r>
          </m:sup>
        </m:sSup>
        <m:r>
          <m:rPr>
            <m:sty m:val="p"/>
          </m:rPr>
          <m:t>−</m:t>
        </m:r>
        <m:sSup>
          <m:e>
            <m:r>
              <m:t>q</m:t>
            </m:r>
          </m:e>
          <m:sup>
            <m:r>
              <m:rPr>
                <m:sty m:val="p"/>
              </m:rPr>
              <m:t>*</m:t>
            </m:r>
          </m:sup>
        </m:sSup>
      </m:oMath>
      <w:r>
        <w:t xml:space="preserve"> </w:t>
      </w:r>
      <w:r>
        <w:t xml:space="preserve">é a</w:t>
      </w:r>
      <w:r>
        <w:t xml:space="preserve"> </w:t>
      </w:r>
      <w:r>
        <w:rPr>
          <w:b/>
          <w:bCs/>
        </w:rPr>
        <w:t xml:space="preserve">sobreprodução</w:t>
      </w:r>
      <w:r>
        <w:t xml:space="preserve"> </w:t>
      </w:r>
      <w:r>
        <w:t xml:space="preserve">causada pela externalidade — o mercado produz</w:t>
      </w:r>
      <w:r>
        <w:t xml:space="preserve"> </w:t>
      </w:r>
      <w:r>
        <w:t xml:space="preserve">“demais”</w:t>
      </w:r>
      <w:r>
        <w:t xml:space="preserve"> </w:t>
      </w:r>
      <w:r>
        <w:t xml:space="preserve">porque o preço não reflete o custo ambiental total.</w:t>
      </w:r>
    </w:p>
    <w:p>
      <w:pPr>
        <w:pStyle w:val="BodyText"/>
      </w:pPr>
      <w:r>
        <w:t xml:space="preserve">A solução pigouviana, como vimos, é impor um imposto</w:t>
      </w:r>
      <w:r>
        <w:t xml:space="preserve"> </w:t>
      </w:r>
      <m:oMath>
        <m:r>
          <m:t>t</m:t>
        </m:r>
        <m:r>
          <m:rPr>
            <m:sty m:val="p"/>
          </m:rPr>
          <m:t>=</m:t>
        </m:r>
        <m:r>
          <m:rPr>
            <m:nor/>
            <m:sty m:val="p"/>
          </m:rPr>
          <m:t>CMgE</m:t>
        </m:r>
        <m:r>
          <m:rPr>
            <m:sty m:val="p"/>
          </m:rPr>
          <m:t>(</m:t>
        </m:r>
        <m:sSup>
          <m:e>
            <m:r>
              <m:t>q</m:t>
            </m:r>
          </m:e>
          <m:sup>
            <m:r>
              <m:rPr>
                <m:sty m:val="p"/>
              </m:rPr>
              <m:t>*</m:t>
            </m:r>
          </m:sup>
        </m:sSup>
        <m:r>
          <m:rPr>
            <m:sty m:val="p"/>
          </m:rPr>
          <m:t>)</m:t>
        </m:r>
      </m:oMath>
      <w:r>
        <w:t xml:space="preserve"> </w:t>
      </w:r>
      <w:r>
        <w:t xml:space="preserve">que</w:t>
      </w:r>
      <w:r>
        <w:t xml:space="preserve"> </w:t>
      </w:r>
      <w:r>
        <w:t xml:space="preserve">“internaliza”</w:t>
      </w:r>
      <w:r>
        <w:t xml:space="preserve"> </w:t>
      </w:r>
      <w:r>
        <w:t xml:space="preserve">a externalidade, fazendo com que a firma enfrente o custo social completo. Mas na prática, como o governo implementa essa correção? Essa pergunta nos leva à distinção fundamental entre duas abordagens de política ambiental.</w:t>
      </w:r>
    </w:p>
    <w:bookmarkEnd w:id="1440"/>
    <w:bookmarkStart w:id="1441" w:name="X0948d2ef9b2b923da9b76c3b845441b6dc14ad8"/>
    <w:p>
      <w:pPr>
        <w:pStyle w:val="Heading4"/>
      </w:pPr>
      <w:r>
        <w:t xml:space="preserve">24.1.2 Comando e controle vs. instrumentos de mercado</w:t>
      </w:r>
    </w:p>
    <w:p>
      <w:pPr>
        <w:pStyle w:val="FirstParagraph"/>
      </w:pPr>
      <w:r>
        <w:t xml:space="preserve">Quando o governo decide combater a poluição, ele enfrenta uma escolha que lembra a diferença entre um general e um leiloeiro. O general dá ordens:</w:t>
      </w:r>
      <w:r>
        <w:t xml:space="preserve"> </w:t>
      </w:r>
      <w:r>
        <w:t xml:space="preserve">“Fábrica A, reduza 50 toneladas; Fábrica B, idem.”</w:t>
      </w:r>
      <w:r>
        <w:t xml:space="preserve"> </w:t>
      </w:r>
      <w:r>
        <w:t xml:space="preserve">O leiloeiro cria um preço e deixa cada um decidir quanto vale a pena reduzir. Na economia ambiental, essas duas filosofias recebem nomes técnicos — e a diferença entre elas pode significar bilhões de reais.</w:t>
      </w:r>
    </w:p>
    <w:p>
      <w:pPr>
        <w:pStyle w:val="BodyText"/>
      </w:pPr>
      <w:r>
        <w:t xml:space="preserve">As políticas ambientais podem ser classificadas em duas grandes categorias:</w:t>
      </w:r>
    </w:p>
    <w:p>
      <w:pPr>
        <w:pStyle w:val="BlockText"/>
      </w:pPr>
      <w:r>
        <w:rPr>
          <w:b/>
          <w:bCs/>
        </w:rPr>
        <w:t xml:space="preserve">[DEFINICAO] Regulação de comando e controle (command-and-control)</w:t>
      </w:r>
    </w:p>
    <w:p>
      <w:pPr>
        <w:pStyle w:val="BlockText"/>
      </w:pPr>
      <w:r>
        <w:t xml:space="preserve">Abordagem regulatória em que o governo estabelece</w:t>
      </w:r>
      <w:r>
        <w:t xml:space="preserve"> </w:t>
      </w:r>
      <w:r>
        <w:rPr>
          <w:b/>
          <w:bCs/>
        </w:rPr>
        <w:t xml:space="preserve">padrões</w:t>
      </w:r>
      <w:r>
        <w:t xml:space="preserve"> </w:t>
      </w:r>
      <w:r>
        <w:t xml:space="preserve">(limites de emissão, tecnologias obrigatórias, proibições) e</w:t>
      </w:r>
      <w:r>
        <w:t xml:space="preserve"> </w:t>
      </w:r>
      <w:r>
        <w:rPr>
          <w:b/>
          <w:bCs/>
        </w:rPr>
        <w:t xml:space="preserve">fiscaliza</w:t>
      </w:r>
      <w:r>
        <w:t xml:space="preserve"> </w:t>
      </w:r>
      <w:r>
        <w:t xml:space="preserve">seu cumprimento. Exemplos: limite máximo de emissão de material particulado por chaminé; obrigatoriedade de catalisador em veículos; proibição de CFC. O regulador especifica</w:t>
      </w:r>
      <w:r>
        <w:t xml:space="preserve"> </w:t>
      </w:r>
      <w:r>
        <w:rPr>
          <w:i/>
          <w:iCs/>
        </w:rPr>
        <w:t xml:space="preserve">o que</w:t>
      </w:r>
      <w:r>
        <w:t xml:space="preserve"> </w:t>
      </w:r>
      <w:r>
        <w:t xml:space="preserve">deve ser feito (ou</w:t>
      </w:r>
      <w:r>
        <w:t xml:space="preserve"> </w:t>
      </w:r>
      <w:r>
        <w:rPr>
          <w:i/>
          <w:iCs/>
        </w:rPr>
        <w:t xml:space="preserve">quanto</w:t>
      </w:r>
      <w:r>
        <w:t xml:space="preserve"> </w:t>
      </w:r>
      <w:r>
        <w:t xml:space="preserve">pode ser emitido) para cada firma individualmente.</w:t>
      </w:r>
    </w:p>
    <w:p>
      <w:pPr>
        <w:pStyle w:val="BlockText"/>
      </w:pPr>
      <w:r>
        <w:rPr>
          <w:b/>
          <w:bCs/>
        </w:rPr>
        <w:t xml:space="preserve">[DEFINICAO] Instrumentos de mercado (market-based instruments)</w:t>
      </w:r>
    </w:p>
    <w:p>
      <w:pPr>
        <w:pStyle w:val="BlockText"/>
      </w:pPr>
      <w:r>
        <w:t xml:space="preserve">Abordagem em que o governo altera os</w:t>
      </w:r>
      <w:r>
        <w:t xml:space="preserve"> </w:t>
      </w:r>
      <w:r>
        <w:rPr>
          <w:b/>
          <w:bCs/>
        </w:rPr>
        <w:t xml:space="preserve">incentivos econômicos</w:t>
      </w:r>
      <w:r>
        <w:t xml:space="preserve"> </w:t>
      </w:r>
      <w:r>
        <w:t xml:space="preserve">dos agentes, permitindo que o mercado encontre a alocação de menor custo. Exemplos: imposto sobre emissões (taxa pigouviana); mercado de permissões de emissão negociáveis (cap-and-trade); subsídios à adoção de tecnologias limpas. O regulador define o</w:t>
      </w:r>
      <w:r>
        <w:t xml:space="preserve"> </w:t>
      </w:r>
      <w:r>
        <w:rPr>
          <w:i/>
          <w:iCs/>
        </w:rPr>
        <w:t xml:space="preserve">preço</w:t>
      </w:r>
      <w:r>
        <w:t xml:space="preserve"> </w:t>
      </w:r>
      <w:r>
        <w:t xml:space="preserve">ou a</w:t>
      </w:r>
      <w:r>
        <w:t xml:space="preserve"> </w:t>
      </w:r>
      <w:r>
        <w:rPr>
          <w:i/>
          <w:iCs/>
        </w:rPr>
        <w:t xml:space="preserve">quantidade total</w:t>
      </w:r>
      <w:r>
        <w:t xml:space="preserve"> </w:t>
      </w:r>
      <w:r>
        <w:t xml:space="preserve">de poluição, mas deixa que os agentes decidam</w:t>
      </w:r>
      <w:r>
        <w:t xml:space="preserve"> </w:t>
      </w:r>
      <w:r>
        <w:rPr>
          <w:i/>
          <w:iCs/>
        </w:rPr>
        <w:t xml:space="preserve">como</w:t>
      </w:r>
      <w:r>
        <w:t xml:space="preserve"> </w:t>
      </w:r>
      <w:r>
        <w:t xml:space="preserve">reduzir suas emissões.</w:t>
      </w:r>
    </w:p>
    <w:p>
      <w:pPr>
        <w:pStyle w:val="FirstParagraph"/>
      </w:pPr>
      <w:r>
        <w:t xml:space="preserve">A vantagem central dos instrumentos de mercado é a</w:t>
      </w:r>
      <w:r>
        <w:t xml:space="preserve"> </w:t>
      </w:r>
      <w:r>
        <w:rPr>
          <w:b/>
          <w:bCs/>
        </w:rPr>
        <w:t xml:space="preserve">eficiência de custos</w:t>
      </w:r>
      <w:r>
        <w:t xml:space="preserve"> </w:t>
      </w:r>
      <w:r>
        <w:t xml:space="preserve">(</w:t>
      </w:r>
      <w:r>
        <w:rPr>
          <w:i/>
          <w:iCs/>
        </w:rPr>
        <w:t xml:space="preserve">cost-effectiveness</w:t>
      </w:r>
      <w:r>
        <w:t xml:space="preserve">). Para entender por que, considere o seguinte exemplo.</w:t>
      </w:r>
    </w:p>
    <w:p>
      <w:pPr>
        <w:pStyle w:val="BodyText"/>
      </w:pPr>
      <w:r>
        <w:rPr>
          <w:b/>
          <w:bCs/>
        </w:rPr>
        <w:t xml:space="preserve">Exemplo 24.1.</w:t>
      </w:r>
      <w:r>
        <w:t xml:space="preserve"> </w:t>
      </w:r>
      <w:r>
        <w:t xml:space="preserve">Duas fábricas emitem cada uma 100 toneladas de</w:t>
      </w:r>
      <w:r>
        <w:t xml:space="preserve"> </w:t>
      </w:r>
      <m:oMath>
        <m:sSub>
          <m:e>
            <m:r>
              <m:rPr>
                <m:nor/>
                <m:sty m:val="p"/>
              </m:rPr>
              <m:t>CO</m:t>
            </m:r>
          </m:e>
          <m:sub>
            <m:r>
              <m:t>2</m:t>
            </m:r>
          </m:sub>
        </m:sSub>
      </m:oMath>
      <w:r>
        <w:t xml:space="preserve">. O governo quer reduzir as emissões totais em 100 toneladas. A Fábrica A tem custo marginal de abatimento</w:t>
      </w:r>
      <w:r>
        <w:t xml:space="preserve"> </w:t>
      </w:r>
      <m:oMath>
        <m:sSub>
          <m:e>
            <m:r>
              <m:rPr>
                <m:nor/>
                <m:sty m:val="p"/>
              </m:rPr>
              <m:t>CMgA</m:t>
            </m:r>
          </m:e>
          <m:sub>
            <m:r>
              <m:t>A</m:t>
            </m:r>
          </m:sub>
        </m:sSub>
        <m:r>
          <m:rPr>
            <m:sty m:val="p"/>
          </m:rPr>
          <m:t>=</m:t>
        </m:r>
        <m:r>
          <m:t>2</m:t>
        </m:r>
        <m:sSub>
          <m:e>
            <m:r>
              <m:t>e</m:t>
            </m:r>
          </m:e>
          <m:sub>
            <m:r>
              <m:t>A</m:t>
            </m:r>
          </m:sub>
        </m:sSub>
      </m:oMath>
      <w:r>
        <w:t xml:space="preserve"> </w:t>
      </w:r>
      <w:r>
        <w:t xml:space="preserve">(onde</w:t>
      </w:r>
      <w:r>
        <w:t xml:space="preserve"> </w:t>
      </w:r>
      <m:oMath>
        <m:sSub>
          <m:e>
            <m:r>
              <m:t>e</m:t>
            </m:r>
          </m:e>
          <m:sub>
            <m:r>
              <m:t>A</m:t>
            </m:r>
          </m:sub>
        </m:sSub>
      </m:oMath>
      <w:r>
        <w:t xml:space="preserve"> </w:t>
      </w:r>
      <w:r>
        <w:t xml:space="preserve">é a redução em toneladas) e a Fábrica B tem</w:t>
      </w:r>
      <w:r>
        <w:t xml:space="preserve"> </w:t>
      </w:r>
      <m:oMath>
        <m:sSub>
          <m:e>
            <m:r>
              <m:rPr>
                <m:nor/>
                <m:sty m:val="p"/>
              </m:rPr>
              <m:t>CMgA</m:t>
            </m:r>
          </m:e>
          <m:sub>
            <m:r>
              <m:t>B</m:t>
            </m:r>
          </m:sub>
        </m:sSub>
        <m:r>
          <m:rPr>
            <m:sty m:val="p"/>
          </m:rPr>
          <m:t>=</m:t>
        </m:r>
        <m:r>
          <m:t>4</m:t>
        </m:r>
        <m:sSub>
          <m:e>
            <m:r>
              <m:t>e</m:t>
            </m:r>
          </m:e>
          <m:sub>
            <m:r>
              <m:t>B</m:t>
            </m:r>
          </m:sub>
        </m:sSub>
      </m:oMath>
      <w:r>
        <w:t xml:space="preserve">.</w:t>
      </w:r>
    </w:p>
    <w:p>
      <w:pPr>
        <w:pStyle w:val="BodyText"/>
      </w:pPr>
      <w:r>
        <w:rPr>
          <w:b/>
          <w:bCs/>
        </w:rPr>
        <w:t xml:space="preserve">Sob comando e controle</w:t>
      </w:r>
      <w:r>
        <w:t xml:space="preserve"> </w:t>
      </w:r>
      <w:r>
        <w:t xml:space="preserve">(redução uniforme): cada fábrica reduz 50 toneladas.</w:t>
      </w:r>
    </w:p>
    <w:p>
      <w:pPr>
        <w:pStyle w:val="BodyText"/>
      </w:pPr>
      <m:oMathPara>
        <m:oMathParaPr>
          <m:jc m:val="center"/>
        </m:oMathParaPr>
        <m:oMath>
          <m:sSub>
            <m:e>
              <m:r>
                <m:rPr>
                  <m:nor/>
                  <m:sty m:val="p"/>
                </m:rPr>
                <m:t>Custo</m:t>
              </m:r>
            </m:e>
            <m:sub>
              <m:r>
                <m:t>A</m:t>
              </m:r>
            </m:sub>
          </m:sSub>
          <m:r>
            <m:rPr>
              <m:sty m:val="p"/>
            </m:rPr>
            <m:t>=</m:t>
          </m:r>
          <m:nary>
            <m:naryPr>
              <m:chr m:val="∫"/>
              <m:limLoc m:val="subSup"/>
              <m:subHide m:val="off"/>
              <m:supHide m:val="off"/>
            </m:naryPr>
            <m:sub>
              <m:r>
                <m:t>0</m:t>
              </m:r>
            </m:sub>
            <m:sup>
              <m:r>
                <m:t>50</m:t>
              </m:r>
            </m:sup>
            <m:e>
              <m:r>
                <m:t>2</m:t>
              </m:r>
            </m:e>
          </m:nary>
          <m:r>
            <m:t>e</m:t>
          </m:r>
          <m:r>
            <m:t> </m:t>
          </m:r>
          <m:r>
            <m:t>d</m:t>
          </m:r>
          <m:r>
            <m:t>e</m:t>
          </m:r>
          <m:r>
            <m:rPr>
              <m:sty m:val="p"/>
            </m:rPr>
            <m:t>=</m:t>
          </m:r>
          <m:r>
            <m:t>2</m:t>
          </m:r>
          <m:r>
            <m:rPr>
              <m:sty m:val="p"/>
            </m:rPr>
            <m:t>.</m:t>
          </m:r>
          <m:r>
            <m:t>500</m:t>
          </m:r>
          <m:r>
            <m:rPr>
              <m:sty m:val="p"/>
            </m:rPr>
            <m:t>;</m:t>
          </m:r>
          <m:r>
            <m:t> </m:t>
          </m:r>
          <m:sSub>
            <m:e>
              <m:r>
                <m:rPr>
                  <m:nor/>
                  <m:sty m:val="p"/>
                </m:rPr>
                <m:t>Custo</m:t>
              </m:r>
            </m:e>
            <m:sub>
              <m:r>
                <m:t>B</m:t>
              </m:r>
            </m:sub>
          </m:sSub>
          <m:r>
            <m:rPr>
              <m:sty m:val="p"/>
            </m:rPr>
            <m:t>=</m:t>
          </m:r>
          <m:nary>
            <m:naryPr>
              <m:chr m:val="∫"/>
              <m:limLoc m:val="subSup"/>
              <m:subHide m:val="off"/>
              <m:supHide m:val="off"/>
            </m:naryPr>
            <m:sub>
              <m:r>
                <m:t>0</m:t>
              </m:r>
            </m:sub>
            <m:sup>
              <m:r>
                <m:t>50</m:t>
              </m:r>
            </m:sup>
            <m:e>
              <m:r>
                <m:t>4</m:t>
              </m:r>
            </m:e>
          </m:nary>
          <m:r>
            <m:t>e</m:t>
          </m:r>
          <m:r>
            <m:t> </m:t>
          </m:r>
          <m:r>
            <m:t>d</m:t>
          </m:r>
          <m:r>
            <m:t>e</m:t>
          </m:r>
          <m:r>
            <m:rPr>
              <m:sty m:val="p"/>
            </m:rPr>
            <m:t>=</m:t>
          </m:r>
          <m:r>
            <m:t>5</m:t>
          </m:r>
          <m:r>
            <m:rPr>
              <m:sty m:val="p"/>
            </m:rPr>
            <m:t>.</m:t>
          </m:r>
          <m:r>
            <m:t>000</m:t>
          </m:r>
        </m:oMath>
      </m:oMathPara>
    </w:p>
    <w:p>
      <w:pPr>
        <w:pStyle w:val="FirstParagraph"/>
      </w:pPr>
      <w:r>
        <w:t xml:space="preserve">Custo total:</w:t>
      </w:r>
      <w:r>
        <w:t xml:space="preserve"> </w:t>
      </w:r>
      <w:r>
        <w:rPr>
          <w:b/>
          <w:bCs/>
        </w:rPr>
        <w:t xml:space="preserve">7.500</w:t>
      </w:r>
      <w:r>
        <w:t xml:space="preserve">.</w:t>
      </w:r>
    </w:p>
    <w:p>
      <w:pPr>
        <w:pStyle w:val="BodyText"/>
      </w:pPr>
      <w:r>
        <w:rPr>
          <w:b/>
          <w:bCs/>
        </w:rPr>
        <w:t xml:space="preserve">Sob instrumento de mercado</w:t>
      </w:r>
      <w:r>
        <w:t xml:space="preserve"> </w:t>
      </w:r>
      <w:r>
        <w:t xml:space="preserve">(imposto ou cap-and-trade): a alocação eficiente iguala os custos marginais de abatimento:</w:t>
      </w:r>
      <w:r>
        <w:t xml:space="preserve"> </w:t>
      </w:r>
      <m:oMath>
        <m:r>
          <m:t>2</m:t>
        </m:r>
        <m:sSub>
          <m:e>
            <m:r>
              <m:t>e</m:t>
            </m:r>
          </m:e>
          <m:sub>
            <m:r>
              <m:t>A</m:t>
            </m:r>
          </m:sub>
        </m:sSub>
        <m:r>
          <m:rPr>
            <m:sty m:val="p"/>
          </m:rPr>
          <m:t>=</m:t>
        </m:r>
        <m:r>
          <m:t>4</m:t>
        </m:r>
        <m:sSub>
          <m:e>
            <m:r>
              <m:t>e</m:t>
            </m:r>
          </m:e>
          <m:sub>
            <m:r>
              <m:t>B</m:t>
            </m:r>
          </m:sub>
        </m:sSub>
      </m:oMath>
      <w:r>
        <w:t xml:space="preserve">, com</w:t>
      </w:r>
      <w:r>
        <w:t xml:space="preserve"> </w:t>
      </w:r>
      <m:oMath>
        <m:sSub>
          <m:e>
            <m:r>
              <m:t>e</m:t>
            </m:r>
          </m:e>
          <m:sub>
            <m:r>
              <m:t>A</m:t>
            </m:r>
          </m:sub>
        </m:sSub>
        <m:r>
          <m:rPr>
            <m:sty m:val="p"/>
          </m:rPr>
          <m:t>+</m:t>
        </m:r>
        <m:sSub>
          <m:e>
            <m:r>
              <m:t>e</m:t>
            </m:r>
          </m:e>
          <m:sub>
            <m:r>
              <m:t>B</m:t>
            </m:r>
          </m:sub>
        </m:sSub>
        <m:r>
          <m:rPr>
            <m:sty m:val="p"/>
          </m:rPr>
          <m:t>=</m:t>
        </m:r>
        <m:r>
          <m:t>100</m:t>
        </m:r>
      </m:oMath>
      <w:r>
        <w:t xml:space="preserve">. Resolvendo:</w:t>
      </w:r>
      <w:r>
        <w:t xml:space="preserve"> </w:t>
      </w:r>
      <m:oMath>
        <m:sSub>
          <m:e>
            <m:r>
              <m:t>e</m:t>
            </m:r>
          </m:e>
          <m:sub>
            <m:r>
              <m:t>A</m:t>
            </m:r>
          </m:sub>
        </m:sSub>
        <m:r>
          <m:rPr>
            <m:sty m:val="p"/>
          </m:rPr>
          <m:t>=</m:t>
        </m:r>
        <m:r>
          <m:t>66</m:t>
        </m:r>
        <m:r>
          <m:rPr>
            <m:sty m:val="p"/>
          </m:rPr>
          <m:t>,</m:t>
        </m:r>
        <m:r>
          <m:t>7</m:t>
        </m:r>
      </m:oMath>
      <w:r>
        <w:t xml:space="preserve"> </w:t>
      </w:r>
      <w:r>
        <w:t xml:space="preserve">e</w:t>
      </w:r>
      <w:r>
        <w:t xml:space="preserve"> </w:t>
      </w:r>
      <m:oMath>
        <m:sSub>
          <m:e>
            <m:r>
              <m:t>e</m:t>
            </m:r>
          </m:e>
          <m:sub>
            <m:r>
              <m:t>B</m:t>
            </m:r>
          </m:sub>
        </m:sSub>
        <m:r>
          <m:rPr>
            <m:sty m:val="p"/>
          </m:rPr>
          <m:t>=</m:t>
        </m:r>
        <m:r>
          <m:t>33</m:t>
        </m:r>
        <m:r>
          <m:rPr>
            <m:sty m:val="p"/>
          </m:rPr>
          <m:t>,</m:t>
        </m:r>
        <m:r>
          <m:t>3</m:t>
        </m:r>
      </m:oMath>
      <w:r>
        <w:t xml:space="preserve">.</w:t>
      </w:r>
    </w:p>
    <w:p>
      <w:pPr>
        <w:pStyle w:val="BodyText"/>
      </w:pPr>
      <m:oMathPara>
        <m:oMathParaPr>
          <m:jc m:val="center"/>
        </m:oMathParaPr>
        <m:oMath>
          <m:sSub>
            <m:e>
              <m:r>
                <m:rPr>
                  <m:nor/>
                  <m:sty m:val="p"/>
                </m:rPr>
                <m:t>Custo</m:t>
              </m:r>
            </m:e>
            <m:sub>
              <m:r>
                <m:t>A</m:t>
              </m:r>
            </m:sub>
          </m:sSub>
          <m:r>
            <m:rPr>
              <m:sty m:val="p"/>
            </m:rPr>
            <m:t>=</m:t>
          </m:r>
          <m:nary>
            <m:naryPr>
              <m:chr m:val="∫"/>
              <m:limLoc m:val="subSup"/>
              <m:subHide m:val="off"/>
              <m:supHide m:val="off"/>
            </m:naryPr>
            <m:sub>
              <m:r>
                <m:t>0</m:t>
              </m:r>
            </m:sub>
            <m:sup>
              <m:r>
                <m:t>66</m:t>
              </m:r>
              <m:r>
                <m:rPr>
                  <m:sty m:val="p"/>
                </m:rPr>
                <m:t>,</m:t>
              </m:r>
              <m:r>
                <m:t>7</m:t>
              </m:r>
            </m:sup>
            <m:e>
              <m:r>
                <m:t>2</m:t>
              </m:r>
            </m:e>
          </m:nary>
          <m:r>
            <m:t>e</m:t>
          </m:r>
          <m:r>
            <m:t> </m:t>
          </m:r>
          <m:r>
            <m:t>d</m:t>
          </m:r>
          <m:r>
            <m:t>e</m:t>
          </m:r>
          <m:r>
            <m:rPr>
              <m:sty m:val="p"/>
            </m:rPr>
            <m:t>≈</m:t>
          </m:r>
          <m:r>
            <m:t>4</m:t>
          </m:r>
          <m:r>
            <m:rPr>
              <m:sty m:val="p"/>
            </m:rPr>
            <m:t>.</m:t>
          </m:r>
          <m:r>
            <m:t>449</m:t>
          </m:r>
          <m:r>
            <m:rPr>
              <m:sty m:val="p"/>
            </m:rPr>
            <m:t>;</m:t>
          </m:r>
          <m:r>
            <m:t> </m:t>
          </m:r>
          <m:sSub>
            <m:e>
              <m:r>
                <m:rPr>
                  <m:nor/>
                  <m:sty m:val="p"/>
                </m:rPr>
                <m:t>Custo</m:t>
              </m:r>
            </m:e>
            <m:sub>
              <m:r>
                <m:t>B</m:t>
              </m:r>
            </m:sub>
          </m:sSub>
          <m:r>
            <m:rPr>
              <m:sty m:val="p"/>
            </m:rPr>
            <m:t>=</m:t>
          </m:r>
          <m:nary>
            <m:naryPr>
              <m:chr m:val="∫"/>
              <m:limLoc m:val="subSup"/>
              <m:subHide m:val="off"/>
              <m:supHide m:val="off"/>
            </m:naryPr>
            <m:sub>
              <m:r>
                <m:t>0</m:t>
              </m:r>
            </m:sub>
            <m:sup>
              <m:r>
                <m:t>33</m:t>
              </m:r>
              <m:r>
                <m:rPr>
                  <m:sty m:val="p"/>
                </m:rPr>
                <m:t>,</m:t>
              </m:r>
              <m:r>
                <m:t>3</m:t>
              </m:r>
            </m:sup>
            <m:e>
              <m:r>
                <m:t>4</m:t>
              </m:r>
            </m:e>
          </m:nary>
          <m:r>
            <m:t>e</m:t>
          </m:r>
          <m:r>
            <m:t> </m:t>
          </m:r>
          <m:r>
            <m:t>d</m:t>
          </m:r>
          <m:r>
            <m:t>e</m:t>
          </m:r>
          <m:r>
            <m:rPr>
              <m:sty m:val="p"/>
            </m:rPr>
            <m:t>≈</m:t>
          </m:r>
          <m:r>
            <m:t>2</m:t>
          </m:r>
          <m:r>
            <m:rPr>
              <m:sty m:val="p"/>
            </m:rPr>
            <m:t>.</m:t>
          </m:r>
          <m:r>
            <m:t>222</m:t>
          </m:r>
        </m:oMath>
      </m:oMathPara>
    </w:p>
    <w:p>
      <w:pPr>
        <w:pStyle w:val="FirstParagraph"/>
      </w:pPr>
      <w:r>
        <w:t xml:space="preserve">Custo total:</w:t>
      </w:r>
      <w:r>
        <w:t xml:space="preserve"> </w:t>
      </w:r>
      <w:r>
        <w:rPr>
          <w:b/>
          <w:bCs/>
        </w:rPr>
        <w:t xml:space="preserve">6.671</w:t>
      </w:r>
      <w:r>
        <w:t xml:space="preserve"> </w:t>
      </w:r>
      <w:r>
        <w:t xml:space="preserve">— uma economia de 11% em relação ao comando e controle.</w:t>
      </w:r>
    </w:p>
    <w:p>
      <w:pPr>
        <w:pStyle w:val="BodyText"/>
      </w:pPr>
      <w:r>
        <w:t xml:space="preserve">O resultado é geral: quando os custos marginais de abatimento diferem entre firmas, a alocação de menor custo requer que a redução seja maior nas firmas com custos menores. Instrumentos de mercado alcançam essa alocação automaticamente, sem que o regulador precise conhecer os custos individuais de cada firma.</w:t>
      </w:r>
    </w:p>
    <w:p>
      <w:pPr>
        <w:pStyle w:val="BodyText"/>
      </w:pPr>
      <w:r>
        <w:t xml:space="preserve">No gráfico interativo abaixo, visualize a curva de custo marginal de abatimento e compare o custo total sob imposto pigouviano vs. cap-and-trade. Ajuste a meta de abatimento ou a alíquota do imposto e observe como o custo de abatimento cresce convexamente.</w:t>
      </w:r>
    </w:p>
    <w:p>
      <w:pPr>
        <w:pStyle w:val="BodyText"/>
      </w:pPr>
      <w:r>
        <w:t xml:space="preserve">[FIGURA INTERATIVA: /micro-book/graficos/cap24/custo-marginal-abatimento.html — versao interativa disponivel online]</w:t>
      </w:r>
    </w:p>
    <w:p>
      <w:pPr>
        <w:pStyle w:val="BodyText"/>
      </w:pPr>
      <w:r>
        <w:rPr>
          <w:b/>
          <w:bCs/>
        </w:rPr>
        <w:t xml:space="preserve">Figura 24.0 — Custo Marginal de Abatimento.</w:t>
      </w:r>
      <w:r>
        <w:t xml:space="preserve"> </w:t>
      </w:r>
      <w:r>
        <w:t xml:space="preserve">A curva MAC cresce com o volume de abatimento: as primeiras toneladas são baratas (eficiência energética, substituição de combustíveis), as últimas são caríssimas (captura de carbono, mudança estrutural). A área sob a curva é o custo total de abatimento.</w:t>
      </w:r>
    </w:p>
    <w:p>
      <w:pPr>
        <w:pStyle w:val="BlockText"/>
      </w:pPr>
      <w:r>
        <w:rPr>
          <w:b/>
          <w:bCs/>
        </w:rPr>
        <w:t xml:space="preserve">[INTUICAO ECONOMICA] Intuição Econômica</w:t>
      </w:r>
    </w:p>
    <w:p>
      <w:pPr>
        <w:pStyle w:val="BlockText"/>
      </w:pPr>
      <w:r>
        <w:rPr>
          <w:b/>
          <w:bCs/>
        </w:rPr>
        <w:t xml:space="preserve">Em uma frase:</w:t>
      </w:r>
      <w:r>
        <w:t xml:space="preserve"> </w:t>
      </w:r>
      <w:r>
        <w:t xml:space="preserve">Instrumentos de mercado são superiores à regulação direta porque permitem que as firmas com menor custo de abatimento façam a maior parte da redução — minimizando o custo total para a sociedade.</w:t>
      </w:r>
    </w:p>
    <w:p>
      <w:pPr>
        <w:pStyle w:val="BlockText"/>
      </w:pPr>
      <w:r>
        <w:rPr>
          <w:b/>
          <w:bCs/>
        </w:rPr>
        <w:t xml:space="preserve">Pense assim:</w:t>
      </w:r>
      <w:r>
        <w:t xml:space="preserve"> </w:t>
      </w:r>
      <w:r>
        <w:t xml:space="preserve">Imagine que você quer que uma turma de 30 alunos colete 300 kg de lixo de uma praia. Regulação de comando e controle: cada aluno coleta exatamente 10 kg. Instrumento de mercado: distribua</w:t>
      </w:r>
      <w:r>
        <w:t xml:space="preserve"> </w:t>
      </w:r>
      <w:r>
        <w:t xml:space="preserve">“créditos de lixo”</w:t>
      </w:r>
      <w:r>
        <w:t xml:space="preserve"> </w:t>
      </w:r>
      <w:r>
        <w:t xml:space="preserve">e deixe que os alunos mais eficientes (mais fortes, com melhor equipamento) coletem mais e vendam créditos para os menos eficientes. O resultado final é o mesmo (300 kg coletados), mas o custo total (esforço) é menor.</w:t>
      </w:r>
    </w:p>
    <w:p>
      <w:pPr>
        <w:pStyle w:val="BlockText"/>
      </w:pPr>
      <w:r>
        <w:rPr>
          <w:b/>
          <w:bCs/>
        </w:rPr>
        <w:t xml:space="preserve">Por que isso importa:</w:t>
      </w:r>
      <w:r>
        <w:t xml:space="preserve"> </w:t>
      </w:r>
      <w:r>
        <w:t xml:space="preserve">A economia ambiental real envolve milhares de firmas com custos de abatimento muito diferentes. A regulação uniforme pode ser 2 a 10 vezes mais cara que instrumentos de mercado para atingir a mesma meta ambiental — e essa diferença de custo pode determinar a viabilidade política de políticas climáticas ambiciosas.</w:t>
      </w:r>
    </w:p>
    <w:bookmarkEnd w:id="1441"/>
    <w:bookmarkStart w:id="1442" w:name="X9a9289864a32d2bf7901429a089ef7d08d7c3d5"/>
    <w:p>
      <w:pPr>
        <w:pStyle w:val="Heading4"/>
      </w:pPr>
      <w:r>
        <w:t xml:space="preserve">24.1.3 Propriedade do direito e o problema da implementação</w:t>
      </w:r>
    </w:p>
    <w:p>
      <w:pPr>
        <w:pStyle w:val="FirstParagraph"/>
      </w:pPr>
      <w:r>
        <w:t xml:space="preserve">O Teorema de Coase (Capítulo 20) nos ensinou que, com custos de transação zero e direitos de propriedade bem definidos, a negociação privada resolve externalidades de forma eficiente. Mas na prática ambiental, três obstáculos tornam a solução coaseana impraticável para a maioria dos problemas:</w:t>
      </w:r>
    </w:p>
    <w:p>
      <w:pPr>
        <w:numPr>
          <w:ilvl w:val="0"/>
          <w:numId w:val="2294"/>
        </w:numPr>
      </w:pPr>
      <w:r>
        <w:rPr>
          <w:b/>
          <w:bCs/>
        </w:rPr>
        <w:t xml:space="preserve">Número de agentes</w:t>
      </w:r>
      <w:r>
        <w:t xml:space="preserve">: a poluição do ar afeta milhões de pessoas — os custos de negociação entre uma usina termoelétrica e 10 milhões de moradores são proibitivos.</w:t>
      </w:r>
    </w:p>
    <w:p>
      <w:pPr>
        <w:numPr>
          <w:ilvl w:val="0"/>
          <w:numId w:val="2294"/>
        </w:numPr>
      </w:pPr>
      <w:r>
        <w:rPr>
          <w:b/>
          <w:bCs/>
        </w:rPr>
        <w:t xml:space="preserve">Não-excludibilidade</w:t>
      </w:r>
      <w:r>
        <w:t xml:space="preserve">: ar limpo é um bem público (Capítulo 20). Mesmo que houvesse negociação, o problema do carona (</w:t>
      </w:r>
      <w:r>
        <w:rPr>
          <w:i/>
          <w:iCs/>
        </w:rPr>
        <w:t xml:space="preserve">free rider</w:t>
      </w:r>
      <w:r>
        <w:t xml:space="preserve">) impediria contribuições voluntárias suficientes.</w:t>
      </w:r>
    </w:p>
    <w:p>
      <w:pPr>
        <w:numPr>
          <w:ilvl w:val="0"/>
          <w:numId w:val="2294"/>
        </w:numPr>
      </w:pPr>
      <w:r>
        <w:rPr>
          <w:b/>
          <w:bCs/>
        </w:rPr>
        <w:t xml:space="preserve">Informação assimétrica</w:t>
      </w:r>
      <w:r>
        <w:t xml:space="preserve">: firmas conhecem seus custos de abatimento, mas o regulador não. Cidadãos sofrem danos de saúde, mas é difícil quantificá-los e prová-los em juízo. Essa assimetria (Capítulo 19) contamina tanto a negociação coaseana quanto o desenho de políticas.</w:t>
      </w:r>
    </w:p>
    <w:p>
      <w:pPr>
        <w:pStyle w:val="FirstParagraph"/>
      </w:pPr>
      <w:r>
        <w:t xml:space="preserve">Essas dificuldades fundamentam a necessidade de intervenção governamental — e nos levam à escolha entre os dois grandes instrumentos de mercado: impostos e mercados de permissões.</w:t>
      </w:r>
    </w:p>
    <w:p>
      <w:r>
        <w:pict>
          <v:rect style="width:0;height:1.5pt" o:hralign="center" o:hrstd="t" o:hr="t"/>
        </w:pict>
      </w:r>
    </w:p>
    <w:bookmarkEnd w:id="1442"/>
    <w:bookmarkEnd w:id="1443"/>
    <w:bookmarkStart w:id="1449" w:name="X51cd04fbcac9538616f1d147d7930db87b8750d"/>
    <w:p>
      <w:pPr>
        <w:pStyle w:val="Heading3"/>
      </w:pPr>
      <w:r>
        <w:t xml:space="preserve">24.2 Instrumentos de Mercado: Impostos vs. Cap-and-Trade</w:t>
      </w:r>
    </w:p>
    <w:bookmarkStart w:id="1444" w:name="imposto-pigouviano-sobre-poluição"/>
    <w:p>
      <w:pPr>
        <w:pStyle w:val="Heading4"/>
      </w:pPr>
      <w:r>
        <w:t xml:space="preserve">24.2.1 Imposto pigouviano sobre poluição</w:t>
      </w:r>
    </w:p>
    <w:p>
      <w:pPr>
        <w:pStyle w:val="FirstParagraph"/>
      </w:pPr>
      <w:r>
        <w:t xml:space="preserve">Voltamos ao velho Pigou — mas agora com as mangas arregaçadas, pronto para a implementação. A ideia, como vimos no Capítulo 20, é elegante: se poluir é de graça, todo mundo polui demais; se poluir custa dinheiro, cada um pensa duas vezes. O imposto pigouviano aplicado à poluição funciona assim: o governo define um imposto</w:t>
      </w:r>
      <w:r>
        <w:t xml:space="preserve"> </w:t>
      </w:r>
      <m:oMath>
        <m:r>
          <m:t>t</m:t>
        </m:r>
      </m:oMath>
      <w:r>
        <w:t xml:space="preserve"> </w:t>
      </w:r>
      <w:r>
        <w:t xml:space="preserve">por unidade de emissão. Cada firma reduz suas emissões até o ponto em que o custo marginal de abatimento iguala o imposto:</w:t>
      </w:r>
    </w:p>
    <w:p>
      <w:pPr>
        <w:pStyle w:val="BodyText"/>
      </w:pPr>
      <w:r>
        <w:t xml:space="preserve">$$
    \text{CMgA}_i(e_i^*) = t \quad \forall i \label{eq:24.2} \tag{24.2}
    $$</w:t>
      </w:r>
    </w:p>
    <w:p>
      <w:pPr>
        <w:pStyle w:val="FirstParagraph"/>
      </w:pPr>
      <w:r>
        <w:t xml:space="preserve">Como todas as firmas enfrentam o mesmo imposto</w:t>
      </w:r>
      <w:r>
        <w:t xml:space="preserve"> </w:t>
      </w:r>
      <m:oMath>
        <m:r>
          <m:t>t</m:t>
        </m:r>
      </m:oMath>
      <w:r>
        <w:t xml:space="preserve">, seus custos marginais de abatimento se igualam no equilíbrio — exatamente a condição de eficiência de custos. A firma com custo de abatimento baixo reduz mais (é mais barato do que pagar o imposto); a firma com custo alto reduz menos (prefere pagar o imposto).</w:t>
      </w:r>
    </w:p>
    <w:p>
      <w:pPr>
        <w:pStyle w:val="BodyText"/>
      </w:pPr>
      <w:r>
        <w:rPr>
          <w:b/>
          <w:bCs/>
        </w:rPr>
        <w:t xml:space="preserve">Vantagens do imposto pigouviano:</w:t>
      </w:r>
    </w:p>
    <w:p>
      <w:pPr>
        <w:pStyle w:val="Compact"/>
        <w:numPr>
          <w:ilvl w:val="0"/>
          <w:numId w:val="2295"/>
        </w:numPr>
      </w:pPr>
      <w:r>
        <w:rPr>
          <w:b/>
          <w:bCs/>
        </w:rPr>
        <w:t xml:space="preserve">Eficiência de custos</w:t>
      </w:r>
      <w:r>
        <w:t xml:space="preserve">: iguala custos marginais de abatimento entre firmas.</w:t>
      </w:r>
    </w:p>
    <w:p>
      <w:pPr>
        <w:pStyle w:val="Compact"/>
        <w:numPr>
          <w:ilvl w:val="0"/>
          <w:numId w:val="2295"/>
        </w:numPr>
      </w:pPr>
      <w:r>
        <w:rPr>
          <w:b/>
          <w:bCs/>
        </w:rPr>
        <w:t xml:space="preserve">Incentivo dinâmico</w:t>
      </w:r>
      <w:r>
        <w:t xml:space="preserve">: mesmo após cumprir a meta, cada unidade adicional de emissão custa</w:t>
      </w:r>
      <w:r>
        <w:t xml:space="preserve"> </w:t>
      </w:r>
      <m:oMath>
        <m:r>
          <m:t>t</m:t>
        </m:r>
      </m:oMath>
      <w:r>
        <w:t xml:space="preserve"> </w:t>
      </w:r>
      <w:r>
        <w:t xml:space="preserve">— incentivando inovação contínua em tecnologias mais limpas.</w:t>
      </w:r>
    </w:p>
    <w:p>
      <w:pPr>
        <w:pStyle w:val="Compact"/>
        <w:numPr>
          <w:ilvl w:val="0"/>
          <w:numId w:val="2295"/>
        </w:numPr>
      </w:pPr>
      <w:r>
        <w:rPr>
          <w:b/>
          <w:bCs/>
        </w:rPr>
        <w:t xml:space="preserve">Receita fiscal</w:t>
      </w:r>
      <w:r>
        <w:t xml:space="preserve">: gera receita para o governo, que pode ser usada para reduzir outros impostos distorcivos (o</w:t>
      </w:r>
      <w:r>
        <w:t xml:space="preserve"> </w:t>
      </w:r>
      <w:r>
        <w:t xml:space="preserve">“duplo dividendo”</w:t>
      </w:r>
      <w:r>
        <w:t xml:space="preserve"> </w:t>
      </w:r>
      <w:r>
        <w:t xml:space="preserve">— ver 24.2.4).</w:t>
      </w:r>
    </w:p>
    <w:p>
      <w:pPr>
        <w:pStyle w:val="Compact"/>
        <w:numPr>
          <w:ilvl w:val="0"/>
          <w:numId w:val="2295"/>
        </w:numPr>
      </w:pPr>
      <w:r>
        <w:rPr>
          <w:b/>
          <w:bCs/>
        </w:rPr>
        <w:t xml:space="preserve">Simplicidade administrativa</w:t>
      </w:r>
      <w:r>
        <w:t xml:space="preserve">: uma vez fixado o imposto, cada firma decide autonomamente quanto abater.</w:t>
      </w:r>
    </w:p>
    <w:p>
      <w:pPr>
        <w:pStyle w:val="FirstParagraph"/>
      </w:pPr>
      <w:r>
        <w:rPr>
          <w:b/>
          <w:bCs/>
        </w:rPr>
        <w:t xml:space="preserve">Limitações:</w:t>
      </w:r>
    </w:p>
    <w:p>
      <w:pPr>
        <w:pStyle w:val="Compact"/>
        <w:numPr>
          <w:ilvl w:val="0"/>
          <w:numId w:val="2296"/>
        </w:numPr>
      </w:pPr>
      <w:r>
        <w:t xml:space="preserve">O governo precisa estimar o dano marginal</w:t>
      </w:r>
      <w:r>
        <w:t xml:space="preserve"> </w:t>
      </w:r>
      <m:oMath>
        <m:r>
          <m:rPr>
            <m:nor/>
            <m:sty m:val="p"/>
          </m:rPr>
          <m:t>CMgE</m:t>
        </m:r>
      </m:oMath>
      <w:r>
        <w:t xml:space="preserve"> </w:t>
      </w:r>
      <w:r>
        <w:t xml:space="preserve">para fixar</w:t>
      </w:r>
      <w:r>
        <w:t xml:space="preserve"> </w:t>
      </w:r>
      <m:oMath>
        <m:r>
          <m:t>t</m:t>
        </m:r>
      </m:oMath>
      <w:r>
        <w:t xml:space="preserve"> </w:t>
      </w:r>
      <w:r>
        <w:t xml:space="preserve">no nível correto — informação que tipicamente não possui.</w:t>
      </w:r>
    </w:p>
    <w:p>
      <w:pPr>
        <w:pStyle w:val="Compact"/>
        <w:numPr>
          <w:ilvl w:val="0"/>
          <w:numId w:val="2296"/>
        </w:numPr>
      </w:pPr>
      <w:r>
        <w:t xml:space="preserve">Se o imposto é muito baixo, a poluição excede o nível eficiente; se muito alto, o custo econômico é excessivo.</w:t>
      </w:r>
    </w:p>
    <w:p>
      <w:pPr>
        <w:pStyle w:val="Compact"/>
        <w:numPr>
          <w:ilvl w:val="0"/>
          <w:numId w:val="2296"/>
        </w:numPr>
      </w:pPr>
      <w:r>
        <w:t xml:space="preserve">A quantidade total de emissões não é conhecida com certeza</w:t>
      </w:r>
      <w:r>
        <w:t xml:space="preserve"> </w:t>
      </w:r>
      <w:r>
        <w:rPr>
          <w:i/>
          <w:iCs/>
        </w:rPr>
        <w:t xml:space="preserve">ex ante</w:t>
      </w:r>
      <w:r>
        <w:t xml:space="preserve"> </w:t>
      </w:r>
      <w:r>
        <w:t xml:space="preserve">— depende da resposta das firmas ao imposto.</w:t>
      </w:r>
    </w:p>
    <w:bookmarkEnd w:id="1444"/>
    <w:bookmarkStart w:id="1445" w:name="X9de23dd20346005651c80a9d80926511576ee86"/>
    <w:p>
      <w:pPr>
        <w:pStyle w:val="Heading4"/>
      </w:pPr>
      <w:r>
        <w:t xml:space="preserve">24.2.2 Cap-and-trade: mercado de permissões de emissão</w:t>
      </w:r>
    </w:p>
    <w:p>
      <w:pPr>
        <w:pStyle w:val="FirstParagraph"/>
      </w:pPr>
      <w:r>
        <w:t xml:space="preserve">No sistema cap-and-trade, o governo:</w:t>
      </w:r>
    </w:p>
    <w:p>
      <w:pPr>
        <w:pStyle w:val="Compact"/>
        <w:numPr>
          <w:ilvl w:val="0"/>
          <w:numId w:val="2297"/>
        </w:numPr>
      </w:pPr>
      <w:r>
        <w:rPr>
          <w:b/>
          <w:bCs/>
        </w:rPr>
        <w:t xml:space="preserve">Define um teto (cap)</w:t>
      </w:r>
      <w:r>
        <w:t xml:space="preserve">: a quantidade total máxima de emissões permitidas,</w:t>
      </w:r>
      <w:r>
        <w:t xml:space="preserve"> </w:t>
      </w:r>
      <m:oMath>
        <m:acc>
          <m:accPr>
            <m:chr m:val="‾"/>
          </m:accPr>
          <m:e>
            <m:r>
              <m:t>E</m:t>
            </m:r>
          </m:e>
        </m:acc>
      </m:oMath>
      <w:r>
        <w:t xml:space="preserve">.</w:t>
      </w:r>
    </w:p>
    <w:p>
      <w:pPr>
        <w:pStyle w:val="Compact"/>
        <w:numPr>
          <w:ilvl w:val="0"/>
          <w:numId w:val="2297"/>
        </w:numPr>
      </w:pPr>
      <w:r>
        <w:rPr>
          <w:b/>
          <w:bCs/>
        </w:rPr>
        <w:t xml:space="preserve">Distribui permissões</w:t>
      </w:r>
      <w:r>
        <w:t xml:space="preserve">: cada permissão autoriza a emissão de uma unidade (tipicamente uma tonelada de</w:t>
      </w:r>
      <w:r>
        <w:t xml:space="preserve"> </w:t>
      </w:r>
      <m:oMath>
        <m:sSub>
          <m:e>
            <m:r>
              <m:rPr>
                <m:nor/>
                <m:sty m:val="p"/>
              </m:rPr>
              <m:t>CO</m:t>
            </m:r>
          </m:e>
          <m:sub>
            <m:r>
              <m:t>2</m:t>
            </m:r>
          </m:sub>
        </m:sSub>
      </m:oMath>
      <w:r>
        <w:t xml:space="preserve">). As permissões podem ser distribuídas gratuitamente (</w:t>
      </w:r>
      <w:r>
        <w:rPr>
          <w:i/>
          <w:iCs/>
        </w:rPr>
        <w:t xml:space="preserve">grandfathering</w:t>
      </w:r>
      <w:r>
        <w:t xml:space="preserve">) ou leiloadas.</w:t>
      </w:r>
    </w:p>
    <w:p>
      <w:pPr>
        <w:pStyle w:val="Compact"/>
        <w:numPr>
          <w:ilvl w:val="0"/>
          <w:numId w:val="2297"/>
        </w:numPr>
      </w:pPr>
      <w:r>
        <w:rPr>
          <w:b/>
          <w:bCs/>
        </w:rPr>
        <w:t xml:space="preserve">Permite negociação (trade)</w:t>
      </w:r>
      <w:r>
        <w:t xml:space="preserve">: as firmas podem comprar e vender permissões em um mercado secundário.</w:t>
      </w:r>
    </w:p>
    <w:p>
      <w:pPr>
        <w:pStyle w:val="FirstParagraph"/>
      </w:pPr>
      <w:r>
        <w:t xml:space="preserve">No equilíbrio do mercado de permissões, o preço da permissão</w:t>
      </w:r>
      <w:r>
        <w:t xml:space="preserve"> </w:t>
      </w:r>
      <m:oMath>
        <m:sSub>
          <m:e>
            <m:r>
              <m:t>p</m:t>
            </m:r>
          </m:e>
          <m:sub>
            <m:r>
              <m:t>E</m:t>
            </m:r>
          </m:sub>
        </m:sSub>
      </m:oMath>
      <w:r>
        <w:t xml:space="preserve"> </w:t>
      </w:r>
      <w:r>
        <w:t xml:space="preserve">se ajusta para igualar oferta (fixa em</w:t>
      </w:r>
      <w:r>
        <w:t xml:space="preserve"> </w:t>
      </w:r>
      <m:oMath>
        <m:acc>
          <m:accPr>
            <m:chr m:val="‾"/>
          </m:accPr>
          <m:e>
            <m:r>
              <m:t>E</m:t>
            </m:r>
          </m:e>
        </m:acc>
      </m:oMath>
      <w:r>
        <w:t xml:space="preserve">) e demanda (soma das emissões desejadas). Cada firma emite até o ponto em que:</w:t>
      </w:r>
    </w:p>
    <w:p>
      <w:pPr>
        <w:pStyle w:val="BodyText"/>
      </w:pPr>
      <w:r>
        <w:t xml:space="preserve">$$
    \text{CMgA}_i(e_i^*) = p_E \quad \forall i \label{eq:24.3} \tag{24.3}
    $$</w:t>
      </w:r>
    </w:p>
    <w:p>
      <w:pPr>
        <w:pStyle w:val="FirstParagraph"/>
      </w:pPr>
      <w:r>
        <w:t xml:space="preserve">Note a simetria com a equação Eq. (eq:24.2): o preço da permissão funciona exatamente como o imposto pigouviano. A alocação final é a mesma — independente de como as permissões foram distribuídas inicialmente (resultado análogo ao Teorema de Coase). A distribuição inicial afeta apenas a</w:t>
      </w:r>
      <w:r>
        <w:t xml:space="preserve"> </w:t>
      </w:r>
      <w:r>
        <w:rPr>
          <w:i/>
          <w:iCs/>
        </w:rPr>
        <w:t xml:space="preserve">distribuição de renda</w:t>
      </w:r>
      <w:r>
        <w:t xml:space="preserve"> </w:t>
      </w:r>
      <w:r>
        <w:t xml:space="preserve">entre firmas, não a</w:t>
      </w:r>
      <w:r>
        <w:t xml:space="preserve"> </w:t>
      </w:r>
      <w:r>
        <w:rPr>
          <w:i/>
          <w:iCs/>
        </w:rPr>
        <w:t xml:space="preserve">eficiência</w:t>
      </w:r>
      <w:r>
        <w:t xml:space="preserve">.</w:t>
      </w:r>
    </w:p>
    <w:p>
      <w:pPr>
        <w:pStyle w:val="BlockText"/>
      </w:pPr>
      <w:r>
        <w:rPr>
          <w:b/>
          <w:bCs/>
        </w:rPr>
        <w:t xml:space="preserve">[DEFINICAO] Cap-and-trade (sistema de comércio de emissões)</w:t>
      </w:r>
    </w:p>
    <w:p>
      <w:pPr>
        <w:pStyle w:val="BlockText"/>
      </w:pPr>
      <w:r>
        <w:t xml:space="preserve">Instrumento de política ambiental que: (i) fixa a</w:t>
      </w:r>
      <w:r>
        <w:t xml:space="preserve"> </w:t>
      </w:r>
      <w:r>
        <w:rPr>
          <w:b/>
          <w:bCs/>
        </w:rPr>
        <w:t xml:space="preserve">quantidade total</w:t>
      </w:r>
      <w:r>
        <w:t xml:space="preserve"> </w:t>
      </w:r>
      <w:r>
        <w:t xml:space="preserve">de emissões permitidas (cap); (ii) distribui permissões negociáveis que autorizam a emissão de uma unidade; (iii) permite que firmas</w:t>
      </w:r>
      <w:r>
        <w:t xml:space="preserve"> </w:t>
      </w:r>
      <w:r>
        <w:rPr>
          <w:b/>
          <w:bCs/>
        </w:rPr>
        <w:t xml:space="preserve">comprem e vendam</w:t>
      </w:r>
      <w:r>
        <w:t xml:space="preserve"> </w:t>
      </w:r>
      <w:r>
        <w:t xml:space="preserve">permissões em mercado aberto. O preço de equilíbrio da permissão iguala automaticamente os custos marginais de abatimento entre firmas, garantindo eficiência de custos. Exemplos: EU ETS (Europa), RGGI (nordeste dos EUA), mercado de carbono chinês.</w:t>
      </w:r>
    </w:p>
    <w:p>
      <w:pPr>
        <w:pStyle w:val="FirstParagraph"/>
      </w:pPr>
      <w:r>
        <w:t xml:space="preserve">No gráfico interativo abaixo, compare o imposto pigouviano com o cap-and-trade. Alterne entre os dois instrumentos e ajuste os parâmetros para ver como cada um corrige a externalidade.</w:t>
      </w:r>
    </w:p>
    <w:p>
      <w:pPr>
        <w:pStyle w:val="BodyText"/>
      </w:pPr>
      <w:r>
        <w:t xml:space="preserve">[FIGURA INTERATIVA: /micro-book/graficos/cap24/imposto-pigou.html — versao interativa disponivel online]</w:t>
      </w:r>
    </w:p>
    <w:p>
      <w:pPr>
        <w:pStyle w:val="BodyText"/>
      </w:pPr>
      <w:r>
        <w:rPr>
          <w:b/>
          <w:bCs/>
        </w:rPr>
        <w:t xml:space="preserve">Figura 24.1 — Imposto Pigouviano vs Cap-and-Trade.</w:t>
      </w:r>
      <w:r>
        <w:t xml:space="preserve"> </w:t>
      </w:r>
      <w:r>
        <w:t xml:space="preserve">Alterne entre os dois instrumentos. No modo imposto, ajuste</w:t>
      </w:r>
      <w:r>
        <w:t xml:space="preserve"> </w:t>
      </w:r>
      <m:oMath>
        <m:r>
          <m:t>t</m:t>
        </m:r>
      </m:oMath>
      <w:r>
        <w:t xml:space="preserve"> </w:t>
      </w:r>
      <w:r>
        <w:t xml:space="preserve">até igualar o custo externo</w:t>
      </w:r>
      <w:r>
        <w:t xml:space="preserve"> </w:t>
      </w:r>
      <m:oMath>
        <m:r>
          <m:t>e</m:t>
        </m:r>
      </m:oMath>
      <w:r>
        <w:t xml:space="preserve"> </w:t>
      </w:r>
      <w:r>
        <w:t xml:space="preserve">para restaurar a eficiência. No modo cap-and-trade, ajuste o cap até</w:t>
      </w:r>
      <w:r>
        <w:t xml:space="preserve"> </w:t>
      </w:r>
      <m:oMath>
        <m:sSup>
          <m:e>
            <m:r>
              <m:t>Q</m:t>
            </m:r>
          </m:e>
          <m:sup>
            <m:r>
              <m:rPr>
                <m:sty m:val="p"/>
              </m:rPr>
              <m:t>*</m:t>
            </m:r>
          </m:sup>
        </m:sSup>
      </m:oMath>
      <w:r>
        <w:t xml:space="preserve"> </w:t>
      </w:r>
      <w:r>
        <w:t xml:space="preserve">e observe que o preço da permissão converge para o imposto ótimo.</w:t>
      </w:r>
    </w:p>
    <w:bookmarkEnd w:id="1445"/>
    <w:bookmarkStart w:id="1446" w:name="Xa0e541df784e5146d34cb2ad95f11e73bfb6a4d"/>
    <w:p>
      <w:pPr>
        <w:pStyle w:val="Heading4"/>
      </w:pPr>
      <w:r>
        <w:t xml:space="preserve">24.2.3 Weitzman (1974): preços vs. quantidades sob incerteza</w:t>
      </w:r>
    </w:p>
    <w:p>
      <w:pPr>
        <w:pStyle w:val="FirstParagraph"/>
      </w:pPr>
      <w:r>
        <w:t xml:space="preserve">Em um mundo de informação perfeita, imposto e cap-and-trade são equivalentes: o governo pode fixar o imposto</w:t>
      </w:r>
      <w:r>
        <w:t xml:space="preserve"> </w:t>
      </w:r>
      <m:oMath>
        <m:sSup>
          <m:e>
            <m:r>
              <m:t>t</m:t>
            </m:r>
          </m:e>
          <m:sup>
            <m:r>
              <m:rPr>
                <m:sty m:val="p"/>
              </m:rPr>
              <m:t>*</m:t>
            </m:r>
          </m:sup>
        </m:sSup>
      </m:oMath>
      <w:r>
        <w:t xml:space="preserve"> </w:t>
      </w:r>
      <w:r>
        <w:t xml:space="preserve">correspondente ao nível eficiente de emissões</w:t>
      </w:r>
      <w:r>
        <w:t xml:space="preserve"> </w:t>
      </w:r>
      <m:oMath>
        <m:sSup>
          <m:e>
            <m:acc>
              <m:accPr>
                <m:chr m:val="‾"/>
              </m:accPr>
              <m:e>
                <m:r>
                  <m:t>E</m:t>
                </m:r>
              </m:e>
            </m:acc>
          </m:e>
          <m:sup>
            <m:r>
              <m:rPr>
                <m:sty m:val="p"/>
              </m:rPr>
              <m:t>*</m:t>
            </m:r>
          </m:sup>
        </m:sSup>
      </m:oMath>
      <w:r>
        <w:t xml:space="preserve">, ou fixar</w:t>
      </w:r>
      <w:r>
        <w:t xml:space="preserve"> </w:t>
      </w:r>
      <m:oMath>
        <m:sSup>
          <m:e>
            <m:acc>
              <m:accPr>
                <m:chr m:val="‾"/>
              </m:accPr>
              <m:e>
                <m:r>
                  <m:t>E</m:t>
                </m:r>
              </m:e>
            </m:acc>
          </m:e>
          <m:sup>
            <m:r>
              <m:rPr>
                <m:sty m:val="p"/>
              </m:rPr>
              <m:t>*</m:t>
            </m:r>
          </m:sup>
        </m:sSup>
      </m:oMath>
      <w:r>
        <w:t xml:space="preserve"> </w:t>
      </w:r>
      <w:r>
        <w:t xml:space="preserve">e deixar o mercado determinar o preço</w:t>
      </w:r>
      <w:r>
        <w:t xml:space="preserve"> </w:t>
      </w:r>
      <m:oMath>
        <m:sSub>
          <m:e>
            <m:r>
              <m:t>p</m:t>
            </m:r>
          </m:e>
          <m:sub>
            <m:r>
              <m:t>E</m:t>
            </m:r>
          </m:sub>
        </m:sSub>
        <m:r>
          <m:rPr>
            <m:sty m:val="p"/>
          </m:rPr>
          <m:t>=</m:t>
        </m:r>
        <m:sSup>
          <m:e>
            <m:r>
              <m:t>t</m:t>
            </m:r>
          </m:e>
          <m:sup>
            <m:r>
              <m:rPr>
                <m:sty m:val="p"/>
              </m:rPr>
              <m:t>*</m:t>
            </m:r>
          </m:sup>
        </m:sSup>
      </m:oMath>
      <w:r>
        <w:t xml:space="preserve">. O resultado é idêntico.</w:t>
      </w:r>
    </w:p>
    <w:p>
      <w:pPr>
        <w:pStyle w:val="BodyText"/>
      </w:pPr>
      <w:r>
        <w:t xml:space="preserve">Martin Weitzman, em seu artigo seminal de 1974, demonstrou que essa equivalência</w:t>
      </w:r>
      <w:r>
        <w:t xml:space="preserve"> </w:t>
      </w:r>
      <w:r>
        <w:rPr>
          <w:b/>
          <w:bCs/>
        </w:rPr>
        <w:t xml:space="preserve">se rompe sob incerteza</w:t>
      </w:r>
      <w:r>
        <w:t xml:space="preserve"> </w:t>
      </w:r>
      <w:r>
        <w:t xml:space="preserve">— quando o regulador não conhece com precisão os custos de abatimento das firmas. A intuição é fundamental:</w:t>
      </w:r>
    </w:p>
    <w:p>
      <w:pPr>
        <w:numPr>
          <w:ilvl w:val="0"/>
          <w:numId w:val="2298"/>
        </w:numPr>
      </w:pPr>
      <w:r>
        <w:rPr>
          <w:b/>
          <w:bCs/>
        </w:rPr>
        <w:t xml:space="preserve">Com imposto (instrumento de preço)</w:t>
      </w:r>
      <w:r>
        <w:t xml:space="preserve">: o preço da poluição é fixo (</w:t>
      </w:r>
      <m:oMath>
        <m:r>
          <m:t>t</m:t>
        </m:r>
      </m:oMath>
      <w:r>
        <w:t xml:space="preserve">), mas a quantidade de emissões é incerta — depende de como as firmas respondem ao imposto, e essa resposta depende dos custos de abatimento que o regulador desconhece.</w:t>
      </w:r>
    </w:p>
    <w:p>
      <w:pPr>
        <w:numPr>
          <w:ilvl w:val="0"/>
          <w:numId w:val="2298"/>
        </w:numPr>
      </w:pPr>
      <w:r>
        <w:rPr>
          <w:b/>
          <w:bCs/>
        </w:rPr>
        <w:t xml:space="preserve">Com cap-and-trade (instrumento de quantidade)</w:t>
      </w:r>
      <w:r>
        <w:t xml:space="preserve">: a quantidade de emissões é fixa (</w:t>
      </w:r>
      <m:oMath>
        <m:acc>
          <m:accPr>
            <m:chr m:val="‾"/>
          </m:accPr>
          <m:e>
            <m:r>
              <m:t>E</m:t>
            </m:r>
          </m:e>
        </m:acc>
      </m:oMath>
      <w:r>
        <w:t xml:space="preserve">), mas o preço da permissão é incerto — depende da interação entre oferta fixa e demanda incerta.</w:t>
      </w:r>
    </w:p>
    <w:p>
      <w:pPr>
        <w:pStyle w:val="FirstParagraph"/>
      </w:pPr>
      <w:r>
        <w:t xml:space="preserve">Qual é preferível? Weitzman mostrou que a resposta depende das</w:t>
      </w:r>
      <w:r>
        <w:t xml:space="preserve"> </w:t>
      </w:r>
      <w:r>
        <w:rPr>
          <w:b/>
          <w:bCs/>
        </w:rPr>
        <w:t xml:space="preserve">inclinações relativas</w:t>
      </w:r>
      <w:r>
        <w:t xml:space="preserve"> </w:t>
      </w:r>
      <w:r>
        <w:t xml:space="preserve">das curvas de benefício marginal da redução de emissões (BMg) e custo marginal de abatimento (CMgA):</w:t>
      </w:r>
    </w:p>
    <w:p>
      <w:pPr>
        <w:pStyle w:val="BodyText"/>
      </w:pPr>
      <m:oMathPara>
        <m:oMathParaPr>
          <m:jc m:val="center"/>
        </m:oMathParaPr>
        <m:oMath>
          <m:r>
            <m:rPr>
              <m:nor/>
              <m:sty m:val="p"/>
            </m:rPr>
            <m:t>Preferir preço (imposto) se: </m:t>
          </m:r>
          <m:r>
            <m:t> </m:t>
          </m:r>
          <m:r>
            <m:rPr>
              <m:sty m:val="p"/>
            </m:rPr>
            <m:t>|</m:t>
          </m:r>
          <m:r>
            <m:t>B</m:t>
          </m:r>
          <m:r>
            <m:t>M</m:t>
          </m:r>
          <m:sSup>
            <m:e>
              <m:r>
                <m:t>g</m:t>
              </m:r>
            </m:e>
            <m:sup>
              <m:r>
                <m:rPr>
                  <m:sty m:val="p"/>
                </m:rPr>
                <m:t>′</m:t>
              </m:r>
            </m:sup>
          </m:sSup>
          <m:r>
            <m:rPr>
              <m:sty m:val="p"/>
            </m:rPr>
            <m:t>|</m:t>
          </m:r>
          <m:r>
            <m:rPr>
              <m:sty m:val="p"/>
            </m:rPr>
            <m:t>&lt;</m:t>
          </m:r>
          <m:r>
            <m:rPr>
              <m:sty m:val="p"/>
            </m:rPr>
            <m:t>|</m:t>
          </m:r>
          <m:r>
            <m:t>C</m:t>
          </m:r>
          <m:r>
            <m:t>M</m:t>
          </m:r>
          <m:r>
            <m:t>g</m:t>
          </m:r>
          <m:sSup>
            <m:e>
              <m:r>
                <m:t>A</m:t>
              </m:r>
            </m:e>
            <m:sup>
              <m:r>
                <m:rPr>
                  <m:sty m:val="p"/>
                </m:rPr>
                <m:t>′</m:t>
              </m:r>
            </m:sup>
          </m:sSup>
          <m:r>
            <m:rPr>
              <m:sty m:val="p"/>
            </m:rPr>
            <m:t>|</m:t>
          </m:r>
        </m:oMath>
      </m:oMathPara>
    </w:p>
    <w:p>
      <w:pPr>
        <w:pStyle w:val="FirstParagraph"/>
      </w:pPr>
      <m:oMathPara>
        <m:oMathParaPr>
          <m:jc m:val="center"/>
        </m:oMathParaPr>
        <m:oMath>
          <m:r>
            <m:rPr>
              <m:nor/>
              <m:sty m:val="p"/>
            </m:rPr>
            <m:t>Preferir quantidade (cap) se: </m:t>
          </m:r>
          <m:r>
            <m:t> </m:t>
          </m:r>
          <m:r>
            <m:rPr>
              <m:sty m:val="p"/>
            </m:rPr>
            <m:t>|</m:t>
          </m:r>
          <m:r>
            <m:t>B</m:t>
          </m:r>
          <m:r>
            <m:t>M</m:t>
          </m:r>
          <m:sSup>
            <m:e>
              <m:r>
                <m:t>g</m:t>
              </m:r>
            </m:e>
            <m:sup>
              <m:r>
                <m:rPr>
                  <m:sty m:val="p"/>
                </m:rPr>
                <m:t>′</m:t>
              </m:r>
            </m:sup>
          </m:sSup>
          <m:r>
            <m:rPr>
              <m:sty m:val="p"/>
            </m:rPr>
            <m:t>|</m:t>
          </m:r>
          <m:r>
            <m:rPr>
              <m:sty m:val="p"/>
            </m:rPr>
            <m:t>&gt;</m:t>
          </m:r>
          <m:r>
            <m:rPr>
              <m:sty m:val="p"/>
            </m:rPr>
            <m:t>|</m:t>
          </m:r>
          <m:r>
            <m:t>C</m:t>
          </m:r>
          <m:r>
            <m:t>M</m:t>
          </m:r>
          <m:r>
            <m:t>g</m:t>
          </m:r>
          <m:sSup>
            <m:e>
              <m:r>
                <m:t>A</m:t>
              </m:r>
            </m:e>
            <m:sup>
              <m:r>
                <m:rPr>
                  <m:sty m:val="p"/>
                </m:rPr>
                <m:t>′</m:t>
              </m:r>
            </m:sup>
          </m:sSup>
          <m:r>
            <m:rPr>
              <m:sty m:val="p"/>
            </m:rPr>
            <m:t>|</m:t>
          </m:r>
        </m:oMath>
      </m:oMathPara>
    </w:p>
    <w:p>
      <w:pPr>
        <w:pStyle w:val="FirstParagraph"/>
      </w:pPr>
      <w:r>
        <w:t xml:space="preserve">A lógica é elegante:</w:t>
      </w:r>
    </w:p>
    <w:p>
      <w:pPr>
        <w:numPr>
          <w:ilvl w:val="0"/>
          <w:numId w:val="2299"/>
        </w:numPr>
      </w:pPr>
      <w:r>
        <w:t xml:space="preserve">Se a curva de</w:t>
      </w:r>
      <w:r>
        <w:t xml:space="preserve"> </w:t>
      </w:r>
      <w:r>
        <w:rPr>
          <w:b/>
          <w:bCs/>
        </w:rPr>
        <w:t xml:space="preserve">benefício marginal é relativamente plana</w:t>
      </w:r>
      <w:r>
        <w:t xml:space="preserve"> </w:t>
      </w:r>
      <w:r>
        <w:t xml:space="preserve">(o dano de poluição varia pouco com a quantidade), errar na quantidade não é tão custoso — mas errar no custo para as firmas pode ser muito caro. Nesse caso, é melhor fixar o preço (imposto) e deixar a quantidade flutuar.</w:t>
      </w:r>
    </w:p>
    <w:p>
      <w:pPr>
        <w:numPr>
          <w:ilvl w:val="0"/>
          <w:numId w:val="2299"/>
        </w:numPr>
      </w:pPr>
      <w:r>
        <w:t xml:space="preserve">Se a curva de</w:t>
      </w:r>
      <w:r>
        <w:t xml:space="preserve"> </w:t>
      </w:r>
      <w:r>
        <w:rPr>
          <w:b/>
          <w:bCs/>
        </w:rPr>
        <w:t xml:space="preserve">benefício marginal é muito inclinada</w:t>
      </w:r>
      <w:r>
        <w:t xml:space="preserve"> </w:t>
      </w:r>
      <w:r>
        <w:t xml:space="preserve">(há um limiar de dano catastrófico), errar na quantidade é muito perigoso — é melhor fixar a quantidade (cap) e aceitar volatilidade de preço.</w:t>
      </w:r>
    </w:p>
    <w:p>
      <w:pPr>
        <w:pStyle w:val="FirstParagraph"/>
      </w:pPr>
      <w:r>
        <w:t xml:space="preserve">No gráfico interativo abaixo, ajuste as inclinações do benefício marginal (BMg) e do custo marginal de abatimento (CMgA) e aplique um choque de custo. Observe como o instrumento com menor perda de peso morto muda conforme as inclinações relativas.</w:t>
      </w:r>
    </w:p>
    <w:p>
      <w:pPr>
        <w:pStyle w:val="BodyText"/>
      </w:pPr>
      <w:r>
        <w:t xml:space="preserve">[FIGURA INTERATIVA: /micro-book/graficos/cap24/incerteza-preco-quantidade.html — versao interativa disponivel online]</w:t>
      </w:r>
    </w:p>
    <w:p>
      <w:pPr>
        <w:pStyle w:val="BodyText"/>
      </w:pPr>
      <w:r>
        <w:rPr>
          <w:b/>
          <w:bCs/>
        </w:rPr>
        <w:t xml:space="preserve">Figura 24.1b — Weitzman (1974).</w:t>
      </w:r>
      <w:r>
        <w:t xml:space="preserve"> </w:t>
      </w:r>
      <w:r>
        <w:t xml:space="preserve">Quando CMgA é mais íngreme que BMg, o imposto (preço) domina: fixar o preço e deixar a quantidade flutuar gera menor perda. Quando BMg é mais íngreme (limiares de dano), o cap (quantidade) domina.</w:t>
      </w:r>
    </w:p>
    <w:p>
      <w:pPr>
        <w:pStyle w:val="BlockText"/>
      </w:pPr>
      <w:r>
        <w:rPr>
          <w:b/>
          <w:bCs/>
        </w:rPr>
        <w:t xml:space="preserve">[ATENCAO] Mudanças climáticas e o argumento de Weitzman para quantidades</w:t>
      </w:r>
    </w:p>
    <w:p>
      <w:pPr>
        <w:pStyle w:val="BlockText"/>
      </w:pPr>
      <w:r>
        <w:t xml:space="preserve">O caso das mudanças climáticas apresenta um argumento poderoso para instrumentos de quantidade (cap). Se existem</w:t>
      </w:r>
      <w:r>
        <w:t xml:space="preserve"> </w:t>
      </w:r>
      <w:r>
        <w:rPr>
          <w:b/>
          <w:bCs/>
        </w:rPr>
        <w:t xml:space="preserve">limiares climáticos</w:t>
      </w:r>
      <w:r>
        <w:t xml:space="preserve"> </w:t>
      </w:r>
      <w:r>
        <w:t xml:space="preserve">(</w:t>
      </w:r>
      <w:r>
        <w:rPr>
          <w:i/>
          <w:iCs/>
        </w:rPr>
        <w:t xml:space="preserve">tipping points</w:t>
      </w:r>
      <w:r>
        <w:t xml:space="preserve">) — pontos a partir dos quais o aquecimento desencadeia processos irreversíveis (colapso da calota polar, liberação de metano do permafrost) —, a curva de dano marginal torna-se extremamente inclinada próximo a esses limiares. Nessa situação, a equação Eq. (eq:24.5) se aplica: é preferível garantir o teto de emissões (mesmo com volatilidade de preço) do que fixar o preço e arriscar ultrapassar um limiar catastrófico. Esse argumento foi formalmente desenvolvido por Weitzman (2009) no contexto de</w:t>
      </w:r>
      <w:r>
        <w:t xml:space="preserve"> </w:t>
      </w:r>
      <w:r>
        <w:t xml:space="preserve">“fat tails”</w:t>
      </w:r>
      <w:r>
        <w:t xml:space="preserve"> </w:t>
      </w:r>
      <w:r>
        <w:t xml:space="preserve">(caudas pesadas) na distribuição de danos climáticos.</w:t>
      </w:r>
    </w:p>
    <w:bookmarkEnd w:id="1446"/>
    <w:bookmarkStart w:id="1447" w:name="X93cf0572910d7ba73c73c2adf9b8a5b51dd2078"/>
    <w:p>
      <w:pPr>
        <w:pStyle w:val="Heading4"/>
      </w:pPr>
      <w:r>
        <w:t xml:space="preserve">24.2.4 O duplo dividendo da tributação ambiental</w:t>
      </w:r>
    </w:p>
    <w:p>
      <w:pPr>
        <w:pStyle w:val="FirstParagraph"/>
      </w:pPr>
      <w:r>
        <w:t xml:space="preserve">Um argumento influente a favor de impostos ambientais é o chamado</w:t>
      </w:r>
      <w:r>
        <w:t xml:space="preserve"> </w:t>
      </w:r>
      <w:r>
        <w:rPr>
          <w:b/>
          <w:bCs/>
        </w:rPr>
        <w:t xml:space="preserve">duplo dividendo</w:t>
      </w:r>
      <w:r>
        <w:t xml:space="preserve">:</w:t>
      </w:r>
    </w:p>
    <w:p>
      <w:pPr>
        <w:pStyle w:val="Compact"/>
        <w:numPr>
          <w:ilvl w:val="0"/>
          <w:numId w:val="2300"/>
        </w:numPr>
      </w:pPr>
      <w:r>
        <w:rPr>
          <w:b/>
          <w:bCs/>
        </w:rPr>
        <w:t xml:space="preserve">Primeiro dividendo (ambiental)</w:t>
      </w:r>
      <w:r>
        <w:t xml:space="preserve">: o imposto reduz a poluição, melhorando a qualidade ambiental.</w:t>
      </w:r>
    </w:p>
    <w:p>
      <w:pPr>
        <w:pStyle w:val="Compact"/>
        <w:numPr>
          <w:ilvl w:val="0"/>
          <w:numId w:val="2300"/>
        </w:numPr>
      </w:pPr>
      <w:r>
        <w:rPr>
          <w:b/>
          <w:bCs/>
        </w:rPr>
        <w:t xml:space="preserve">Segundo dividendo (fiscal)</w:t>
      </w:r>
      <w:r>
        <w:t xml:space="preserve">: a receita do imposto ambiental pode ser usada para</w:t>
      </w:r>
      <w:r>
        <w:t xml:space="preserve"> </w:t>
      </w:r>
      <w:r>
        <w:rPr>
          <w:i/>
          <w:iCs/>
        </w:rPr>
        <w:t xml:space="preserve">reduzir</w:t>
      </w:r>
      <w:r>
        <w:t xml:space="preserve"> </w:t>
      </w:r>
      <w:r>
        <w:t xml:space="preserve">outros impostos que distorcem a economia (imposto de renda, contribuições sobre folha de pagamento), gerando ganhos de eficiência adicionais.</w:t>
      </w:r>
    </w:p>
    <w:p>
      <w:pPr>
        <w:pStyle w:val="FirstParagraph"/>
      </w:pPr>
      <w:r>
        <w:t xml:space="preserve">Formalmente, se o sistema tributário existente já gera perdas de eficiência (peso morto), e se a receita do imposto ambiental substitui parte desses impostos distorcivos, o custo líquido da política ambiental pode ser menor do que o custo bruto de abatimento — ou até negativo (a reforma fiscal</w:t>
      </w:r>
      <w:r>
        <w:t xml:space="preserve"> </w:t>
      </w:r>
      <w:r>
        <w:rPr>
          <w:i/>
          <w:iCs/>
        </w:rPr>
        <w:t xml:space="preserve">mais que compensa</w:t>
      </w:r>
      <w:r>
        <w:t xml:space="preserve"> </w:t>
      </w:r>
      <w:r>
        <w:t xml:space="preserve">o custo ambiental).</w:t>
      </w:r>
    </w:p>
    <w:p>
      <w:pPr>
        <w:pStyle w:val="BlockText"/>
      </w:pPr>
      <w:r>
        <w:rPr>
          <w:b/>
          <w:bCs/>
        </w:rPr>
        <w:t xml:space="preserve">[INTUICAO ECONOMICA] Intuição Econômica</w:t>
      </w:r>
    </w:p>
    <w:p>
      <w:pPr>
        <w:pStyle w:val="BlockText"/>
      </w:pPr>
      <w:r>
        <w:rPr>
          <w:b/>
          <w:bCs/>
        </w:rPr>
        <w:t xml:space="preserve">Em uma frase:</w:t>
      </w:r>
      <w:r>
        <w:t xml:space="preserve"> </w:t>
      </w:r>
      <w:r>
        <w:t xml:space="preserve">Impostos ambientais podem gerar um</w:t>
      </w:r>
      <w:r>
        <w:t xml:space="preserve"> </w:t>
      </w:r>
      <w:r>
        <w:t xml:space="preserve">“bônus”</w:t>
      </w:r>
      <w:r>
        <w:t xml:space="preserve"> </w:t>
      </w:r>
      <w:r>
        <w:t xml:space="preserve">fiscal ao substituir impostos distorcivos — reduzindo simultaneamente a poluição e a ineficiência tributária.</w:t>
      </w:r>
    </w:p>
    <w:p>
      <w:pPr>
        <w:pStyle w:val="BlockText"/>
      </w:pPr>
      <w:r>
        <w:rPr>
          <w:b/>
          <w:bCs/>
        </w:rPr>
        <w:t xml:space="preserve">Pense assim:</w:t>
      </w:r>
      <w:r>
        <w:t xml:space="preserve"> </w:t>
      </w:r>
      <w:r>
        <w:t xml:space="preserve">O governo precisa arrecadar R$ 100 bilhões. Pode fazer isso cobrando imposto sobre a renda do trabalho (que desestimula o trabalho) ou sobre emissões de carbono (que desestimula a poluição). Se a receita ambiental substitui parte do imposto sobre o trabalho, o governo arrecada o mesmo, mas agora desestimula algo ruim (poluição) em vez de algo bom (trabalho). É como matar dois coelhos com uma cajadada só.</w:t>
      </w:r>
    </w:p>
    <w:p>
      <w:pPr>
        <w:pStyle w:val="BlockText"/>
      </w:pPr>
      <w:r>
        <w:rPr>
          <w:b/>
          <w:bCs/>
        </w:rPr>
        <w:t xml:space="preserve">Por que isso importa:</w:t>
      </w:r>
      <w:r>
        <w:t xml:space="preserve"> </w:t>
      </w:r>
      <w:r>
        <w:t xml:space="preserve">O argumento do duplo dividendo torna políticas climáticas mais atraentes politicamente, pois permite reduzir outros impostos impopulares. Na prática, a Colúmbia Britânica (Canadá) implementou um imposto de carbono</w:t>
      </w:r>
      <w:r>
        <w:t xml:space="preserve"> </w:t>
      </w:r>
      <w:r>
        <w:t xml:space="preserve">“revenue-neutral”</w:t>
      </w:r>
      <w:r>
        <w:t xml:space="preserve"> </w:t>
      </w:r>
      <w:r>
        <w:t xml:space="preserve">em 2008, devolvendo toda a receita na forma de reduções do imposto de renda e corporativo.</w:t>
      </w:r>
    </w:p>
    <w:bookmarkEnd w:id="1447"/>
    <w:bookmarkStart w:id="1448" w:name="quando-usar-cada-instrumento-uma-síntese"/>
    <w:p>
      <w:pPr>
        <w:pStyle w:val="Heading4"/>
      </w:pPr>
      <w:r>
        <w:t xml:space="preserve">24.2.5 Quando usar cada instrumento? Uma síntese</w:t>
      </w:r>
    </w:p>
    <w:p>
      <w:pPr>
        <w:pStyle w:val="FirstParagraph"/>
      </w:pPr>
      <w:r>
        <w:t xml:space="preserve">A tabela abaixo sintetiza os critérios de escolha:</w:t>
      </w:r>
    </w:p>
    <w:tbl>
      <w:tblPr>
        <w:tblStyle w:val="Table"/>
        <w:tblW w:type="pct" w:w="5000"/>
        <w:tblLayout w:type="fixed"/>
        <w:tblLook w:firstRow="1" w:lastRow="0" w:firstColumn="0" w:lastColumn="0" w:noHBand="0" w:noVBand="0" w:val="0020"/>
      </w:tblPr>
      <w:tblGrid>
        <w:gridCol w:w="1440"/>
        <w:gridCol w:w="2448"/>
        <w:gridCol w:w="4031"/>
      </w:tblGrid>
      <w:tr>
        <w:trPr>
          <w:tblHeader w:val="on"/>
        </w:trPr>
        <w:tc>
          <w:tcPr/>
          <w:p>
            <w:pPr>
              <w:pStyle w:val="Compact"/>
              <w:jc w:val="left"/>
            </w:pPr>
            <w:r>
              <w:t xml:space="preserve">Critério</w:t>
            </w:r>
          </w:p>
        </w:tc>
        <w:tc>
          <w:tcPr/>
          <w:p>
            <w:pPr>
              <w:pStyle w:val="Compact"/>
              <w:jc w:val="left"/>
            </w:pPr>
            <w:r>
              <w:t xml:space="preserve">Imposto (preço)</w:t>
            </w:r>
          </w:p>
        </w:tc>
        <w:tc>
          <w:tcPr/>
          <w:p>
            <w:pPr>
              <w:pStyle w:val="Compact"/>
              <w:jc w:val="left"/>
            </w:pPr>
            <w:r>
              <w:t xml:space="preserve">Cap-and-trade (quantidade)</w:t>
            </w:r>
          </w:p>
        </w:tc>
      </w:tr>
      <w:tr>
        <w:tc>
          <w:tcPr/>
          <w:p>
            <w:pPr>
              <w:pStyle w:val="Compact"/>
              <w:jc w:val="left"/>
            </w:pPr>
            <w:r>
              <w:t xml:space="preserve">Certeza sobre emissões</w:t>
            </w:r>
          </w:p>
        </w:tc>
        <w:tc>
          <w:tcPr/>
          <w:p>
            <w:pPr>
              <w:pStyle w:val="Compact"/>
              <w:jc w:val="left"/>
            </w:pPr>
            <w:r>
              <w:t xml:space="preserve">Não (quantidade incerta)</w:t>
            </w:r>
          </w:p>
        </w:tc>
        <w:tc>
          <w:tcPr/>
          <w:p>
            <w:pPr>
              <w:pStyle w:val="Compact"/>
              <w:jc w:val="left"/>
            </w:pPr>
            <w:r>
              <w:t xml:space="preserve">Sim (cap fixo)</w:t>
            </w:r>
          </w:p>
        </w:tc>
      </w:tr>
      <w:tr>
        <w:tc>
          <w:tcPr/>
          <w:p>
            <w:pPr>
              <w:pStyle w:val="Compact"/>
              <w:jc w:val="left"/>
            </w:pPr>
            <w:r>
              <w:t xml:space="preserve">Certeza sobre custo</w:t>
            </w:r>
          </w:p>
        </w:tc>
        <w:tc>
          <w:tcPr/>
          <w:p>
            <w:pPr>
              <w:pStyle w:val="Compact"/>
              <w:jc w:val="left"/>
            </w:pPr>
            <w:r>
              <w:t xml:space="preserve">Sim (custo = imposto)</w:t>
            </w:r>
          </w:p>
        </w:tc>
        <w:tc>
          <w:tcPr/>
          <w:p>
            <w:pPr>
              <w:pStyle w:val="Compact"/>
              <w:jc w:val="left"/>
            </w:pPr>
            <w:r>
              <w:t xml:space="preserve">Não (preço do mercado flutua)</w:t>
            </w:r>
          </w:p>
        </w:tc>
      </w:tr>
      <w:tr>
        <w:tc>
          <w:tcPr/>
          <w:p>
            <w:pPr>
              <w:pStyle w:val="Compact"/>
              <w:jc w:val="left"/>
            </w:pPr>
            <w:r>
              <w:t xml:space="preserve">Preferível quando…</w:t>
            </w:r>
          </w:p>
        </w:tc>
        <w:tc>
          <w:tcPr/>
          <w:p>
            <w:pPr>
              <w:pStyle w:val="Compact"/>
              <w:jc w:val="left"/>
            </w:pPr>
            <w:r>
              <w:t xml:space="preserve">Dano marginal relativamente constante</w:t>
            </w:r>
          </w:p>
        </w:tc>
        <w:tc>
          <w:tcPr/>
          <w:p>
            <w:pPr>
              <w:pStyle w:val="Compact"/>
              <w:jc w:val="left"/>
            </w:pPr>
            <w:r>
              <w:t xml:space="preserve">Dano marginal cresce rapidamente (limiares)</w:t>
            </w:r>
          </w:p>
        </w:tc>
      </w:tr>
      <w:tr>
        <w:tc>
          <w:tcPr/>
          <w:p>
            <w:pPr>
              <w:pStyle w:val="Compact"/>
              <w:jc w:val="left"/>
            </w:pPr>
            <w:r>
              <w:t xml:space="preserve">Receita fiscal</w:t>
            </w:r>
          </w:p>
        </w:tc>
        <w:tc>
          <w:tcPr/>
          <w:p>
            <w:pPr>
              <w:pStyle w:val="Compact"/>
              <w:jc w:val="left"/>
            </w:pPr>
            <w:r>
              <w:t xml:space="preserve">Direta (arrecadação certa)</w:t>
            </w:r>
          </w:p>
        </w:tc>
        <w:tc>
          <w:tcPr/>
          <w:p>
            <w:pPr>
              <w:pStyle w:val="Compact"/>
              <w:jc w:val="left"/>
            </w:pPr>
            <w:r>
              <w:t xml:space="preserve">Depende: leilão gera receita; grandfathering não</w:t>
            </w:r>
          </w:p>
        </w:tc>
      </w:tr>
      <w:tr>
        <w:tc>
          <w:tcPr/>
          <w:p>
            <w:pPr>
              <w:pStyle w:val="Compact"/>
              <w:jc w:val="left"/>
            </w:pPr>
            <w:r>
              <w:t xml:space="preserve">Incentivo à inovação</w:t>
            </w:r>
          </w:p>
        </w:tc>
        <w:tc>
          <w:tcPr/>
          <w:p>
            <w:pPr>
              <w:pStyle w:val="Compact"/>
              <w:jc w:val="left"/>
            </w:pPr>
            <w:r>
              <w:t xml:space="preserve">Forte (sempre custa emitir)</w:t>
            </w:r>
          </w:p>
        </w:tc>
        <w:tc>
          <w:tcPr/>
          <w:p>
            <w:pPr>
              <w:pStyle w:val="Compact"/>
              <w:jc w:val="left"/>
            </w:pPr>
            <w:r>
              <w:t xml:space="preserve">Moderado (depende do preço futuro da permissão)</w:t>
            </w:r>
          </w:p>
        </w:tc>
      </w:tr>
      <w:tr>
        <w:tc>
          <w:tcPr/>
          <w:p>
            <w:pPr>
              <w:pStyle w:val="Compact"/>
              <w:jc w:val="left"/>
            </w:pPr>
            <w:r>
              <w:t xml:space="preserve">Volatilidade de preço</w:t>
            </w:r>
          </w:p>
        </w:tc>
        <w:tc>
          <w:tcPr/>
          <w:p>
            <w:pPr>
              <w:pStyle w:val="Compact"/>
              <w:jc w:val="left"/>
            </w:pPr>
            <w:r>
              <w:t xml:space="preserve">Nenhuma</w:t>
            </w:r>
          </w:p>
        </w:tc>
        <w:tc>
          <w:tcPr/>
          <w:p>
            <w:pPr>
              <w:pStyle w:val="Compact"/>
              <w:jc w:val="left"/>
            </w:pPr>
            <w:r>
              <w:t xml:space="preserve">Pode ser alta (solução: price floor/ceiling)</w:t>
            </w:r>
          </w:p>
        </w:tc>
      </w:tr>
      <w:tr>
        <w:tc>
          <w:tcPr/>
          <w:p>
            <w:pPr>
              <w:pStyle w:val="Compact"/>
              <w:jc w:val="left"/>
            </w:pPr>
            <w:r>
              <w:t xml:space="preserve">Coordenação internacional</w:t>
            </w:r>
          </w:p>
        </w:tc>
        <w:tc>
          <w:tcPr/>
          <w:p>
            <w:pPr>
              <w:pStyle w:val="Compact"/>
              <w:jc w:val="left"/>
            </w:pPr>
            <w:r>
              <w:t xml:space="preserve">Mais simples (cada país fixa seu imposto)</w:t>
            </w:r>
          </w:p>
        </w:tc>
        <w:tc>
          <w:tcPr/>
          <w:p>
            <w:pPr>
              <w:pStyle w:val="Compact"/>
              <w:jc w:val="left"/>
            </w:pPr>
            <w:r>
              <w:t xml:space="preserve">Mais complexa (linking de mercados)</w:t>
            </w:r>
          </w:p>
        </w:tc>
      </w:tr>
    </w:tbl>
    <w:p>
      <w:pPr>
        <w:pStyle w:val="BodyText"/>
      </w:pPr>
      <w:r>
        <w:t xml:space="preserve">Na prática, sistemas híbridos são comuns: cap-and-trade com piso e teto de preço (</w:t>
      </w:r>
      <w:r>
        <w:rPr>
          <w:i/>
          <w:iCs/>
        </w:rPr>
        <w:t xml:space="preserve">price collar</w:t>
      </w:r>
      <w:r>
        <w:t xml:space="preserve">), combinando a certeza de quantidade do cap com limites à volatilidade de preço.</w:t>
      </w:r>
    </w:p>
    <w:bookmarkEnd w:id="1448"/>
    <w:bookmarkEnd w:id="1449"/>
    <w:bookmarkStart w:id="1458" w:name="Xaf7f9edc0f545f4de769f2e9e763df919915cab"/>
    <w:p>
      <w:pPr>
        <w:pStyle w:val="Heading3"/>
      </w:pPr>
      <w:r>
        <w:t xml:space="preserve">24.3 Economia das Mudanças Climáticas</w:t>
      </w:r>
    </w:p>
    <w:bookmarkStart w:id="1450" w:name="a-maior-externalidade-do-mundo"/>
    <w:p>
      <w:pPr>
        <w:pStyle w:val="Heading4"/>
      </w:pPr>
      <w:r>
        <w:t xml:space="preserve">24.3.1 A maior externalidade do mundo</w:t>
      </w:r>
    </w:p>
    <w:p>
      <w:pPr>
        <w:pStyle w:val="FirstParagraph"/>
      </w:pPr>
      <w:r>
        <w:t xml:space="preserve">Se as externalidades que analisamos até aqui — a fábrica que polui o rio, a chaminé que suja o ar do bairro — são como buracos no telhado de uma casa, as mudanças climáticas são o equivalente a uma rachadura estrutural no planeta inteiro. As mudanças climáticas representam, nas palavras de Nicholas Stern,</w:t>
      </w:r>
      <w:r>
        <w:t xml:space="preserve"> </w:t>
      </w:r>
      <w:r>
        <w:t xml:space="preserve">“o maior fracasso de mercado que o mundo já viu”</w:t>
      </w:r>
      <w:r>
        <w:t xml:space="preserve">. As características econômicas do problema são excepcionais:</w:t>
      </w:r>
    </w:p>
    <w:p>
      <w:pPr>
        <w:numPr>
          <w:ilvl w:val="0"/>
          <w:numId w:val="2301"/>
        </w:numPr>
      </w:pPr>
      <w:r>
        <w:rPr>
          <w:b/>
          <w:bCs/>
        </w:rPr>
        <w:t xml:space="preserve">Externalidade global</w:t>
      </w:r>
      <w:r>
        <w:t xml:space="preserve">: uma tonelada de</w:t>
      </w:r>
      <w:r>
        <w:t xml:space="preserve"> </w:t>
      </w:r>
      <m:oMath>
        <m:sSub>
          <m:e>
            <m:r>
              <m:rPr>
                <m:nor/>
                <m:sty m:val="p"/>
              </m:rPr>
              <m:t>CO</m:t>
            </m:r>
          </m:e>
          <m:sub>
            <m:r>
              <m:t>2</m:t>
            </m:r>
          </m:sub>
        </m:sSub>
      </m:oMath>
      <w:r>
        <w:t xml:space="preserve"> </w:t>
      </w:r>
      <w:r>
        <w:t xml:space="preserve">emitida em Cubatão causa o mesmo dano climático que uma tonelada emitida em Xangai. Não há como</w:t>
      </w:r>
      <w:r>
        <w:t xml:space="preserve"> </w:t>
      </w:r>
      <w:r>
        <w:t xml:space="preserve">“localizar”</w:t>
      </w:r>
      <w:r>
        <w:t xml:space="preserve"> </w:t>
      </w:r>
      <w:r>
        <w:t xml:space="preserve">a poluição — o problema é inerentemente planetário.</w:t>
      </w:r>
    </w:p>
    <w:p>
      <w:pPr>
        <w:numPr>
          <w:ilvl w:val="0"/>
          <w:numId w:val="2301"/>
        </w:numPr>
      </w:pPr>
      <w:r>
        <w:rPr>
          <w:b/>
          <w:bCs/>
        </w:rPr>
        <w:t xml:space="preserve">Horizonte intergeracional</w:t>
      </w:r>
      <w:r>
        <w:t xml:space="preserve">: o</w:t>
      </w:r>
      <w:r>
        <w:t xml:space="preserve"> </w:t>
      </w:r>
      <m:oMath>
        <m:sSub>
          <m:e>
            <m:r>
              <m:rPr>
                <m:nor/>
                <m:sty m:val="p"/>
              </m:rPr>
              <m:t>CO</m:t>
            </m:r>
          </m:e>
          <m:sub>
            <m:r>
              <m:t>2</m:t>
            </m:r>
          </m:sub>
        </m:sSub>
      </m:oMath>
      <w:r>
        <w:t xml:space="preserve"> </w:t>
      </w:r>
      <w:r>
        <w:t xml:space="preserve">persiste na atmosfera por séculos. As emissões de hoje causam danos que se estendem por gerações futuras que não participam das decisões atuais.</w:t>
      </w:r>
    </w:p>
    <w:p>
      <w:pPr>
        <w:numPr>
          <w:ilvl w:val="0"/>
          <w:numId w:val="2301"/>
        </w:numPr>
      </w:pPr>
      <w:r>
        <w:rPr>
          <w:b/>
          <w:bCs/>
        </w:rPr>
        <w:t xml:space="preserve">Incerteza radical</w:t>
      </w:r>
      <w:r>
        <w:t xml:space="preserve">: os modelos climáticos preveem aquecimento de 1,5°C a 4,5°C para uma duplicação da concentração de</w:t>
      </w:r>
      <w:r>
        <w:t xml:space="preserve"> </w:t>
      </w:r>
      <m:oMath>
        <m:sSub>
          <m:e>
            <m:r>
              <m:rPr>
                <m:nor/>
                <m:sty m:val="p"/>
              </m:rPr>
              <m:t>CO</m:t>
            </m:r>
          </m:e>
          <m:sub>
            <m:r>
              <m:t>2</m:t>
            </m:r>
          </m:sub>
        </m:sSub>
      </m:oMath>
      <w:r>
        <w:t xml:space="preserve">, mas eventos de cauda (</w:t>
      </w:r>
      <w:r>
        <w:rPr>
          <w:i/>
          <w:iCs/>
        </w:rPr>
        <w:t xml:space="preserve">tail risks</w:t>
      </w:r>
      <w:r>
        <w:t xml:space="preserve">) — aquecimento de 6°C ou mais — não podem ser descartados.</w:t>
      </w:r>
    </w:p>
    <w:p>
      <w:pPr>
        <w:numPr>
          <w:ilvl w:val="0"/>
          <w:numId w:val="2301"/>
        </w:numPr>
      </w:pPr>
      <w:r>
        <w:rPr>
          <w:b/>
          <w:bCs/>
        </w:rPr>
        <w:t xml:space="preserve">Irreversibilidade</w:t>
      </w:r>
      <w:r>
        <w:t xml:space="preserve">: alguns impactos (extinção de espécies, derretimento de geleiras, elevação do nível do mar) são efetivamente irreversíveis em escalas de tempo humanas.</w:t>
      </w:r>
    </w:p>
    <w:p>
      <w:pPr>
        <w:numPr>
          <w:ilvl w:val="0"/>
          <w:numId w:val="2301"/>
        </w:numPr>
      </w:pPr>
      <w:r>
        <w:rPr>
          <w:b/>
          <w:bCs/>
        </w:rPr>
        <w:t xml:space="preserve">Problema de ação coletiva</w:t>
      </w:r>
      <w:r>
        <w:t xml:space="preserve">: como o clima é um bem público global (Capítulo 20), cada país tem incentivo para ser</w:t>
      </w:r>
      <w:r>
        <w:t xml:space="preserve"> </w:t>
      </w:r>
      <w:r>
        <w:rPr>
          <w:i/>
          <w:iCs/>
        </w:rPr>
        <w:t xml:space="preserve">free rider</w:t>
      </w:r>
      <w:r>
        <w:t xml:space="preserve"> </w:t>
      </w:r>
      <w:r>
        <w:t xml:space="preserve">— beneficiar-se das reduções alheias sem arcar com os custos.</w:t>
      </w:r>
    </w:p>
    <w:p>
      <w:pPr>
        <w:pStyle w:val="FirstParagraph"/>
      </w:pPr>
      <w:r>
        <w:t xml:space="preserve">Essas características fazem das mudanças climáticas um problema de externalidade</w:t>
      </w:r>
      <w:r>
        <w:t xml:space="preserve"> </w:t>
      </w:r>
      <w:r>
        <w:rPr>
          <w:i/>
          <w:iCs/>
        </w:rPr>
        <w:t xml:space="preserve">maximamente difícil</w:t>
      </w:r>
      <w:r>
        <w:t xml:space="preserve">: global (não local), intertemporal (não estático), incerto (não determinístico), irreversível (não reversível) e com incentivos para carona (não cooperativo).</w:t>
      </w:r>
    </w:p>
    <w:bookmarkEnd w:id="1450"/>
    <w:bookmarkStart w:id="1451" w:name="o-custo-social-do-carbono-scc"/>
    <w:p>
      <w:pPr>
        <w:pStyle w:val="Heading4"/>
      </w:pPr>
      <w:r>
        <w:t xml:space="preserve">24.3.2 O custo social do carbono (SCC)</w:t>
      </w:r>
    </w:p>
    <w:p>
      <w:pPr>
        <w:pStyle w:val="FirstParagraph"/>
      </w:pPr>
      <w:r>
        <w:t xml:space="preserve">O</w:t>
      </w:r>
      <w:r>
        <w:t xml:space="preserve"> </w:t>
      </w:r>
      <w:r>
        <w:rPr>
          <w:b/>
          <w:bCs/>
        </w:rPr>
        <w:t xml:space="preserve">custo social do carbono</w:t>
      </w:r>
      <w:r>
        <w:t xml:space="preserve"> </w:t>
      </w:r>
      <w:r>
        <w:t xml:space="preserve">(SCC —</w:t>
      </w:r>
      <w:r>
        <w:t xml:space="preserve"> </w:t>
      </w:r>
      <w:r>
        <w:rPr>
          <w:i/>
          <w:iCs/>
        </w:rPr>
        <w:t xml:space="preserve">social cost of carbon</w:t>
      </w:r>
      <w:r>
        <w:t xml:space="preserve">) é o conceito central da economia climática. Mede o dano econômico total (presente e futuro, em todo o mundo) causado pela emissão de uma tonelada adicional de</w:t>
      </w:r>
      <w:r>
        <w:t xml:space="preserve"> </w:t>
      </w:r>
      <m:oMath>
        <m:sSub>
          <m:e>
            <m:r>
              <m:rPr>
                <m:nor/>
                <m:sty m:val="p"/>
              </m:rPr>
              <m:t>CO</m:t>
            </m:r>
          </m:e>
          <m:sub>
            <m:r>
              <m:t>2</m:t>
            </m:r>
          </m:sub>
        </m:sSub>
      </m:oMath>
      <w:r>
        <w:t xml:space="preserve"> </w:t>
      </w:r>
      <w:r>
        <w:t xml:space="preserve">hoje:</w:t>
      </w:r>
    </w:p>
    <w:p>
      <w:pPr>
        <w:pStyle w:val="BodyText"/>
      </w:pPr>
      <m:oMathPara>
        <m:oMathParaPr>
          <m:jc m:val="center"/>
        </m:oMathParaPr>
        <m:oMath>
          <m:r>
            <m:rPr>
              <m:nor/>
              <m:sty m:val="p"/>
            </m:rPr>
            <m:t>SCC</m:t>
          </m:r>
          <m:r>
            <m:rPr>
              <m:sty m:val="p"/>
            </m:rPr>
            <m:t>=</m:t>
          </m:r>
          <m:nary>
            <m:naryPr>
              <m:chr m:val="∑"/>
              <m:limLoc m:val="undOvr"/>
              <m:subHide m:val="off"/>
              <m:supHide m:val="off"/>
            </m:naryPr>
            <m:sub>
              <m:r>
                <m:t>t</m:t>
              </m:r>
              <m:r>
                <m:rPr>
                  <m:sty m:val="p"/>
                </m:rPr>
                <m:t>=</m:t>
              </m:r>
              <m:r>
                <m:t>0</m:t>
              </m:r>
            </m:sub>
            <m:sup>
              <m:r>
                <m:t>T</m:t>
              </m:r>
            </m:sup>
            <m:e>
              <m:f>
                <m:fPr>
                  <m:type m:val="bar"/>
                </m:fPr>
                <m:num>
                  <m:sSub>
                    <m:e>
                      <m:r>
                        <m:t>D</m:t>
                      </m:r>
                    </m:e>
                    <m:sub>
                      <m:r>
                        <m:t>t</m:t>
                      </m:r>
                    </m:sub>
                  </m:sSub>
                  <m:r>
                    <m:rPr>
                      <m:sty m:val="p"/>
                    </m:rPr>
                    <m:t>(</m:t>
                  </m:r>
                  <m:r>
                    <m:rPr>
                      <m:sty m:val="p"/>
                    </m:rPr>
                    <m:t>Δ</m:t>
                  </m:r>
                  <m:r>
                    <m:t>E</m:t>
                  </m:r>
                  <m:r>
                    <m:rPr>
                      <m:sty m:val="p"/>
                    </m:rPr>
                    <m:t>)</m:t>
                  </m:r>
                </m:num>
                <m:den>
                  <m:r>
                    <m:rPr>
                      <m:sty m:val="p"/>
                    </m:rPr>
                    <m:t>(</m:t>
                  </m:r>
                  <m:r>
                    <m:t>1</m:t>
                  </m:r>
                  <m:r>
                    <m:rPr>
                      <m:sty m:val="p"/>
                    </m:rPr>
                    <m:t>+</m:t>
                  </m:r>
                  <m:r>
                    <m:t>r</m:t>
                  </m:r>
                  <m:sSup>
                    <m:e>
                      <m:r>
                        <m:rPr>
                          <m:sty m:val="p"/>
                        </m:rPr>
                        <m:t>)</m:t>
                      </m:r>
                    </m:e>
                    <m:sup>
                      <m:r>
                        <m:t>t</m:t>
                      </m:r>
                    </m:sup>
                  </m:sSup>
                </m:den>
              </m:f>
            </m:e>
          </m:nary>
        </m:oMath>
      </m:oMathPara>
    </w:p>
    <w:p>
      <w:pPr>
        <w:pStyle w:val="FirstParagraph"/>
      </w:pPr>
      <w:r>
        <w:t xml:space="preserve">onde</w:t>
      </w:r>
      <w:r>
        <w:t xml:space="preserve"> </w:t>
      </w:r>
      <m:oMath>
        <m:sSub>
          <m:e>
            <m:r>
              <m:t>D</m:t>
            </m:r>
          </m:e>
          <m:sub>
            <m:r>
              <m:t>t</m:t>
            </m:r>
          </m:sub>
        </m:sSub>
        <m:r>
          <m:rPr>
            <m:sty m:val="p"/>
          </m:rPr>
          <m:t>(</m:t>
        </m:r>
        <m:r>
          <m:rPr>
            <m:sty m:val="p"/>
          </m:rPr>
          <m:t>Δ</m:t>
        </m:r>
        <m:r>
          <m:t>E</m:t>
        </m:r>
        <m:r>
          <m:rPr>
            <m:sty m:val="p"/>
          </m:rPr>
          <m:t>)</m:t>
        </m:r>
      </m:oMath>
      <w:r>
        <w:t xml:space="preserve"> </w:t>
      </w:r>
      <w:r>
        <w:t xml:space="preserve">é o dano marginal no período</w:t>
      </w:r>
      <w:r>
        <w:t xml:space="preserve"> </w:t>
      </w:r>
      <m:oMath>
        <m:r>
          <m:t>t</m:t>
        </m:r>
      </m:oMath>
      <w:r>
        <w:t xml:space="preserve"> </w:t>
      </w:r>
      <w:r>
        <w:t xml:space="preserve">causado por uma unidade adicional de emissão hoje,</w:t>
      </w:r>
      <w:r>
        <w:t xml:space="preserve"> </w:t>
      </w:r>
      <m:oMath>
        <m:r>
          <m:t>r</m:t>
        </m:r>
      </m:oMath>
      <w:r>
        <w:t xml:space="preserve"> </w:t>
      </w:r>
      <w:r>
        <w:t xml:space="preserve">é a taxa de desconto e</w:t>
      </w:r>
      <w:r>
        <w:t xml:space="preserve"> </w:t>
      </w:r>
      <m:oMath>
        <m:r>
          <m:t>T</m:t>
        </m:r>
      </m:oMath>
      <w:r>
        <w:t xml:space="preserve"> </w:t>
      </w:r>
      <w:r>
        <w:t xml:space="preserve">é o horizonte temporal (tipicamente centenas de anos).</w:t>
      </w:r>
    </w:p>
    <w:p>
      <w:pPr>
        <w:pStyle w:val="BodyText"/>
      </w:pPr>
      <w:r>
        <w:t xml:space="preserve">O SCC é, em essência, o</w:t>
      </w:r>
      <w:r>
        <w:t xml:space="preserve"> </w:t>
      </w:r>
      <w:r>
        <w:rPr>
          <w:b/>
          <w:bCs/>
        </w:rPr>
        <w:t xml:space="preserve">imposto pigouviano ótimo</w:t>
      </w:r>
      <w:r>
        <w:t xml:space="preserve"> </w:t>
      </w:r>
      <w:r>
        <w:t xml:space="preserve">sobre carbono — o valor que, se cobrado por tonelada de</w:t>
      </w:r>
      <w:r>
        <w:t xml:space="preserve"> </w:t>
      </w:r>
      <m:oMath>
        <m:sSub>
          <m:e>
            <m:r>
              <m:rPr>
                <m:nor/>
                <m:sty m:val="p"/>
              </m:rPr>
              <m:t>CO</m:t>
            </m:r>
          </m:e>
          <m:sub>
            <m:r>
              <m:t>2</m:t>
            </m:r>
          </m:sub>
        </m:sSub>
      </m:oMath>
      <w:r>
        <w:t xml:space="preserve">, internalizaria a externalidade climática e levaria a economia ao nível eficiente de emissões. É também a referência para análise de custo-benefício de qualquer política climática: uma regulação que reduz emissões a um custo por tonelada inferior ao SCC gera benefícios líquidos positivos.</w:t>
      </w:r>
    </w:p>
    <w:p>
      <w:pPr>
        <w:pStyle w:val="BodyText"/>
      </w:pPr>
      <w:r>
        <w:t xml:space="preserve">As estimativas do SCC variam enormemente dependendo de três parâmetros cruciais: (i) a sensibilidade climática (quanto o aquecimento responde às emissões); (ii) a função de dano (quanto o aquecimento reduz o PIB); e (iii) a taxa de desconto. A estimativa do governo dos EUA (IWG, 2021) é de aproximadamente</w:t>
      </w:r>
      <w:r>
        <w:t xml:space="preserve"> </w:t>
      </w:r>
      <w:r>
        <w:rPr>
          <w:b/>
          <w:bCs/>
        </w:rPr>
        <w:t xml:space="preserve">US$ 51 por tonelada de</w:t>
      </w:r>
      <w:r>
        <w:rPr>
          <w:b/>
          <w:bCs/>
        </w:rPr>
        <w:t xml:space="preserve"> </w:t>
      </w:r>
      <m:oMath>
        <m:sSub>
          <m:e>
            <m:r>
              <m:rPr>
                <m:nor/>
                <m:sty m:val="p"/>
              </m:rPr>
              <m:t>CO</m:t>
            </m:r>
          </m:e>
          <m:sub>
            <m:r>
              <m:t>2</m:t>
            </m:r>
          </m:sub>
        </m:sSub>
      </m:oMath>
      <w:r>
        <w:t xml:space="preserve"> </w:t>
      </w:r>
      <w:r>
        <w:t xml:space="preserve">(em dólares de 2020, taxa de desconto de 3%). Estimativas com taxas de desconto mais baixas podem ultrapassar US$ 200/tCO₂.</w:t>
      </w:r>
    </w:p>
    <w:p>
      <w:pPr>
        <w:pStyle w:val="BodyText"/>
      </w:pPr>
      <w:r>
        <w:t xml:space="preserve">No gráfico interativo abaixo, ajuste a taxa de desconto para ver como o SCC varia dramaticamente — o coração do debate Nordhaus vs. Stern. A mesma ciência climática produz prescrições de política radicalmente diferentes dependendo de quanto pesamos o futuro.</w:t>
      </w:r>
    </w:p>
    <w:p>
      <w:pPr>
        <w:pStyle w:val="BodyText"/>
      </w:pPr>
      <w:r>
        <w:t xml:space="preserve">[FIGURA INTERATIVA: /micro-book/graficos/cap24/sccc-desconto.html — versao interativa disponivel online]</w:t>
      </w:r>
    </w:p>
    <w:p>
      <w:pPr>
        <w:pStyle w:val="BodyText"/>
      </w:pPr>
      <w:r>
        <w:rPr>
          <w:b/>
          <w:bCs/>
        </w:rPr>
        <w:t xml:space="preserve">Figura 24.3 — O SCC como Função da Taxa de Desconto.</w:t>
      </w:r>
      <w:r>
        <w:t xml:space="preserve"> </w:t>
      </w:r>
      <w:r>
        <w:t xml:space="preserve">A curva cai dramaticamente com</w:t>
      </w:r>
      <w:r>
        <w:t xml:space="preserve"> </w:t>
      </w:r>
      <m:oMath>
        <m:r>
          <m:t>r</m:t>
        </m:r>
      </m:oMath>
      <w:r>
        <w:t xml:space="preserve">: Stern (</w:t>
      </w:r>
      <m:oMath>
        <m:r>
          <m:t>r</m:t>
        </m:r>
        <m:r>
          <m:rPr>
            <m:sty m:val="p"/>
          </m:rPr>
          <m:t>≈</m:t>
        </m:r>
        <m:r>
          <m:t>1</m:t>
        </m:r>
        <m:r>
          <m:rPr>
            <m:sty m:val="p"/>
          </m:rPr>
          <m:t>,</m:t>
        </m:r>
        <m:r>
          <m:t>4</m:t>
        </m:r>
        <m:r>
          <m:rPr>
            <m:sty m:val="p"/>
          </m:rPr>
          <m:t>%</m:t>
        </m:r>
      </m:oMath>
      <w:r>
        <w:t xml:space="preserve">) obtém SCC várias vezes maior que Nordhaus (</w:t>
      </w:r>
      <m:oMath>
        <m:r>
          <m:t>r</m:t>
        </m:r>
        <m:r>
          <m:rPr>
            <m:sty m:val="p"/>
          </m:rPr>
          <m:t>≈</m:t>
        </m:r>
        <m:r>
          <m:t>3</m:t>
        </m:r>
        <m:r>
          <m:rPr>
            <m:sty m:val="p"/>
          </m:rPr>
          <m:t>%</m:t>
        </m:r>
      </m:oMath>
      <w:r>
        <w:t xml:space="preserve">). O debate sobre a taxa de desconto é, na essência, um debate ético sobre quanto pesamos o bem-estar de gerações futuras.</w:t>
      </w:r>
    </w:p>
    <w:p>
      <w:pPr>
        <w:pStyle w:val="BlockText"/>
      </w:pPr>
      <w:r>
        <w:rPr>
          <w:b/>
          <w:bCs/>
        </w:rPr>
        <w:t xml:space="preserve">[DEFINICAO] Custo social do carbono (SCC)</w:t>
      </w:r>
    </w:p>
    <w:p>
      <w:pPr>
        <w:pStyle w:val="BlockText"/>
      </w:pPr>
      <w:r>
        <w:t xml:space="preserve">O</w:t>
      </w:r>
      <w:r>
        <w:t xml:space="preserve"> </w:t>
      </w:r>
      <w:r>
        <w:rPr>
          <w:b/>
          <w:bCs/>
        </w:rPr>
        <w:t xml:space="preserve">custo social do carbono</w:t>
      </w:r>
      <w:r>
        <w:t xml:space="preserve"> </w:t>
      </w:r>
      <w:r>
        <w:t xml:space="preserve">é o valor presente dos danos econômicos futuros causados pela emissão de uma tonelada adicional de</w:t>
      </w:r>
      <w:r>
        <w:t xml:space="preserve"> </w:t>
      </w:r>
      <m:oMath>
        <m:sSub>
          <m:e>
            <m:r>
              <m:rPr>
                <m:nor/>
                <m:sty m:val="p"/>
              </m:rPr>
              <m:t>CO</m:t>
            </m:r>
          </m:e>
          <m:sub>
            <m:r>
              <m:t>2</m:t>
            </m:r>
          </m:sub>
        </m:sSub>
      </m:oMath>
      <w:r>
        <w:t xml:space="preserve">. Equivale ao imposto pigouviano ótimo sobre carbono. A estimação do SCC requer um</w:t>
      </w:r>
      <w:r>
        <w:t xml:space="preserve"> </w:t>
      </w:r>
      <w:r>
        <w:rPr>
          <w:b/>
          <w:bCs/>
        </w:rPr>
        <w:t xml:space="preserve">modelo de avaliação integrada</w:t>
      </w:r>
      <w:r>
        <w:t xml:space="preserve"> </w:t>
      </w:r>
      <w:r>
        <w:t xml:space="preserve">(IAM) que combine modelos climáticos (relação emissões → aquecimento) com modelos econômicos (relação aquecimento → danos). As estimativas são extremamente sensíveis à taxa de desconto, à sensibilidade climática e à especificação da função de dano.</w:t>
      </w:r>
    </w:p>
    <w:bookmarkEnd w:id="1451"/>
    <w:bookmarkStart w:id="1452" w:name="o-modelo-dice-de-nordhaus"/>
    <w:p>
      <w:pPr>
        <w:pStyle w:val="Heading4"/>
      </w:pPr>
      <w:r>
        <w:t xml:space="preserve">24.3.3 O modelo DICE de Nordhaus</w:t>
      </w:r>
    </w:p>
    <w:p>
      <w:pPr>
        <w:pStyle w:val="FirstParagraph"/>
      </w:pPr>
      <w:r>
        <w:t xml:space="preserve">William Nordhaus, Prêmio Nobel de 2018, desenvolveu o primeiro e mais influente modelo de avaliação integrada: o</w:t>
      </w:r>
      <w:r>
        <w:t xml:space="preserve"> </w:t>
      </w:r>
      <w:r>
        <w:rPr>
          <w:b/>
          <w:bCs/>
        </w:rPr>
        <w:t xml:space="preserve">DICE</w:t>
      </w:r>
      <w:r>
        <w:t xml:space="preserve"> </w:t>
      </w:r>
      <w:r>
        <w:t xml:space="preserve">(</w:t>
      </w:r>
      <w:r>
        <w:rPr>
          <w:i/>
          <w:iCs/>
        </w:rPr>
        <w:t xml:space="preserve">Dynamic Integrated model of Climate and the Economy</w:t>
      </w:r>
      <w:r>
        <w:t xml:space="preserve">). O DICE conecta quatro módulos:</w:t>
      </w:r>
    </w:p>
    <w:p>
      <w:pPr>
        <w:numPr>
          <w:ilvl w:val="0"/>
          <w:numId w:val="2302"/>
        </w:numPr>
      </w:pPr>
      <w:r>
        <w:rPr>
          <w:b/>
          <w:bCs/>
        </w:rPr>
        <w:t xml:space="preserve">Módulo econômico</w:t>
      </w:r>
      <w:r>
        <w:t xml:space="preserve">: um modelo de crescimento de Ramsey (Capítulo 18) que determina consumo, investimento e produção global como função do capital, trabalho e tecnologia.</w:t>
      </w:r>
    </w:p>
    <w:p>
      <w:pPr>
        <w:numPr>
          <w:ilvl w:val="0"/>
          <w:numId w:val="2302"/>
        </w:numPr>
      </w:pPr>
      <w:r>
        <w:rPr>
          <w:b/>
          <w:bCs/>
        </w:rPr>
        <w:t xml:space="preserve">Módulo de emissões</w:t>
      </w:r>
      <w:r>
        <w:t xml:space="preserve">: as emissões de</w:t>
      </w:r>
      <w:r>
        <w:t xml:space="preserve"> </w:t>
      </w:r>
      <m:oMath>
        <m:sSub>
          <m:e>
            <m:r>
              <m:rPr>
                <m:nor/>
                <m:sty m:val="p"/>
              </m:rPr>
              <m:t>CO</m:t>
            </m:r>
          </m:e>
          <m:sub>
            <m:r>
              <m:t>2</m:t>
            </m:r>
          </m:sub>
        </m:sSub>
      </m:oMath>
      <w:r>
        <w:t xml:space="preserve"> </w:t>
      </w:r>
      <w:r>
        <w:t xml:space="preserve">são proporcionais à produção, reduzidas pela intensidade de carbono da economia e por investimentos em abatimento.</w:t>
      </w:r>
    </w:p>
    <w:p>
      <w:pPr>
        <w:numPr>
          <w:ilvl w:val="0"/>
          <w:numId w:val="2302"/>
        </w:numPr>
      </w:pPr>
      <w:r>
        <w:rPr>
          <w:b/>
          <w:bCs/>
        </w:rPr>
        <w:t xml:space="preserve">Módulo climático</w:t>
      </w:r>
      <w:r>
        <w:t xml:space="preserve">: converte emissões acumuladas em concentração atmosférica de</w:t>
      </w:r>
      <w:r>
        <w:t xml:space="preserve"> </w:t>
      </w:r>
      <m:oMath>
        <m:sSub>
          <m:e>
            <m:r>
              <m:rPr>
                <m:nor/>
                <m:sty m:val="p"/>
              </m:rPr>
              <m:t>CO</m:t>
            </m:r>
          </m:e>
          <m:sub>
            <m:r>
              <m:t>2</m:t>
            </m:r>
          </m:sub>
        </m:sSub>
      </m:oMath>
      <w:r>
        <w:t xml:space="preserve"> </w:t>
      </w:r>
      <w:r>
        <w:t xml:space="preserve">e em aumento de temperatura, com base em modelos geofísicos simplificados.</w:t>
      </w:r>
    </w:p>
    <w:p>
      <w:pPr>
        <w:numPr>
          <w:ilvl w:val="0"/>
          <w:numId w:val="2302"/>
        </w:numPr>
      </w:pPr>
      <w:r>
        <w:rPr>
          <w:b/>
          <w:bCs/>
        </w:rPr>
        <w:t xml:space="preserve">Módulo de danos</w:t>
      </w:r>
      <w:r>
        <w:t xml:space="preserve">: traduz o aumento de temperatura em perda de PIB, via uma função de dano quadrática:</w:t>
      </w:r>
    </w:p>
    <w:p>
      <w:pPr>
        <w:pStyle w:val="FirstParagraph"/>
      </w:pPr>
      <m:oMathPara>
        <m:oMathParaPr>
          <m:jc m:val="center"/>
        </m:oMathParaPr>
        <m:oMath>
          <m:r>
            <m:rPr>
              <m:sty m:val="p"/>
            </m:rPr>
            <m:t>Ω</m:t>
          </m:r>
          <m:r>
            <m:rPr>
              <m:sty m:val="p"/>
            </m:rPr>
            <m:t>(</m:t>
          </m:r>
          <m:r>
            <m:t>T</m:t>
          </m:r>
          <m:r>
            <m:rPr>
              <m:sty m:val="p"/>
            </m:rPr>
            <m:t>)</m:t>
          </m:r>
          <m:r>
            <m:rPr>
              <m:sty m:val="p"/>
            </m:rPr>
            <m:t>=</m:t>
          </m:r>
          <m:f>
            <m:fPr>
              <m:type m:val="bar"/>
            </m:fPr>
            <m:num>
              <m:r>
                <m:t>1</m:t>
              </m:r>
            </m:num>
            <m:den>
              <m:r>
                <m:t>1</m:t>
              </m:r>
              <m:r>
                <m:rPr>
                  <m:sty m:val="p"/>
                </m:rPr>
                <m:t>+</m:t>
              </m:r>
              <m:sSub>
                <m:e>
                  <m:r>
                    <m:t>π</m:t>
                  </m:r>
                </m:e>
                <m:sub>
                  <m:r>
                    <m:t>1</m:t>
                  </m:r>
                </m:sub>
              </m:sSub>
              <m:r>
                <m:t>T</m:t>
              </m:r>
              <m:r>
                <m:rPr>
                  <m:sty m:val="p"/>
                </m:rPr>
                <m:t>+</m:t>
              </m:r>
              <m:sSub>
                <m:e>
                  <m:r>
                    <m:t>π</m:t>
                  </m:r>
                </m:e>
                <m:sub>
                  <m:r>
                    <m:t>2</m:t>
                  </m:r>
                </m:sub>
              </m:sSub>
              <m:sSup>
                <m:e>
                  <m:r>
                    <m:t>T</m:t>
                  </m:r>
                </m:e>
                <m:sup>
                  <m:r>
                    <m:t>2</m:t>
                  </m:r>
                </m:sup>
              </m:sSup>
            </m:den>
          </m:f>
        </m:oMath>
      </m:oMathPara>
    </w:p>
    <w:p>
      <w:pPr>
        <w:pStyle w:val="FirstParagraph"/>
      </w:pPr>
      <w:r>
        <w:t xml:space="preserve">onde</w:t>
      </w:r>
      <w:r>
        <w:t xml:space="preserve"> </w:t>
      </w:r>
      <m:oMath>
        <m:r>
          <m:t>T</m:t>
        </m:r>
      </m:oMath>
      <w:r>
        <w:t xml:space="preserve"> </w:t>
      </w:r>
      <w:r>
        <w:t xml:space="preserve">é o aumento de temperatura em relação ao nível pré-industrial e</w:t>
      </w:r>
      <w:r>
        <w:t xml:space="preserve"> </w:t>
      </w:r>
      <m:oMath>
        <m:sSub>
          <m:e>
            <m:r>
              <m:t>π</m:t>
            </m:r>
          </m:e>
          <m:sub>
            <m:r>
              <m:t>1</m:t>
            </m:r>
          </m:sub>
        </m:sSub>
        <m:r>
          <m:rPr>
            <m:sty m:val="p"/>
          </m:rPr>
          <m:t>,</m:t>
        </m:r>
        <m:sSub>
          <m:e>
            <m:r>
              <m:t>π</m:t>
            </m:r>
          </m:e>
          <m:sub>
            <m:r>
              <m:t>2</m:t>
            </m:r>
          </m:sub>
        </m:sSub>
        <m:r>
          <m:rPr>
            <m:sty m:val="p"/>
          </m:rPr>
          <m:t>&gt;</m:t>
        </m:r>
        <m:r>
          <m:t>0</m:t>
        </m:r>
      </m:oMath>
      <w:r>
        <w:t xml:space="preserve"> </w:t>
      </w:r>
      <w:r>
        <w:t xml:space="preserve">são parâmetros calibrados. A fração do PIB perdida cresce mais que proporcionalmente com a temperatura.</w:t>
      </w:r>
    </w:p>
    <w:p>
      <w:pPr>
        <w:pStyle w:val="BodyText"/>
      </w:pPr>
      <w:r>
        <w:t xml:space="preserve">O planejador social no modelo DICE maximiza o bem-estar intertemporal:</w:t>
      </w:r>
    </w:p>
    <w:p>
      <w:pPr>
        <w:pStyle w:val="BodyText"/>
      </w:pPr>
      <m:oMathPara>
        <m:oMathParaPr>
          <m:jc m:val="center"/>
        </m:oMathParaPr>
        <m:oMath>
          <m:r>
            <m:t>W</m:t>
          </m:r>
          <m:r>
            <m:rPr>
              <m:sty m:val="p"/>
            </m:rPr>
            <m:t>=</m:t>
          </m:r>
          <m:nary>
            <m:naryPr>
              <m:chr m:val="∑"/>
              <m:limLoc m:val="undOvr"/>
              <m:subHide m:val="off"/>
              <m:supHide m:val="off"/>
            </m:naryPr>
            <m:sub>
              <m:r>
                <m:t>t</m:t>
              </m:r>
              <m:r>
                <m:rPr>
                  <m:sty m:val="p"/>
                </m:rPr>
                <m:t>=</m:t>
              </m:r>
              <m:r>
                <m:t>0</m:t>
              </m:r>
            </m:sub>
            <m:sup>
              <m:r>
                <m:t>T</m:t>
              </m:r>
            </m:sup>
            <m:e>
              <m:f>
                <m:fPr>
                  <m:type m:val="bar"/>
                </m:fPr>
                <m:num>
                  <m:r>
                    <m:t>L</m:t>
                  </m:r>
                  <m:r>
                    <m:rPr>
                      <m:sty m:val="p"/>
                    </m:rPr>
                    <m:t>(</m:t>
                  </m:r>
                  <m:r>
                    <m:t>t</m:t>
                  </m:r>
                  <m:r>
                    <m:rPr>
                      <m:sty m:val="p"/>
                    </m:rPr>
                    <m:t>)</m:t>
                  </m:r>
                  <m:r>
                    <m:rPr>
                      <m:sty m:val="p"/>
                    </m:rPr>
                    <m:t>⋅</m:t>
                  </m:r>
                  <m:r>
                    <m:t>u</m:t>
                  </m:r>
                  <m:r>
                    <m:rPr>
                      <m:sty m:val="p"/>
                    </m:rPr>
                    <m:t>(</m:t>
                  </m:r>
                  <m:r>
                    <m:t>c</m:t>
                  </m:r>
                  <m:r>
                    <m:rPr>
                      <m:sty m:val="p"/>
                    </m:rPr>
                    <m:t>(</m:t>
                  </m:r>
                  <m:r>
                    <m:t>t</m:t>
                  </m:r>
                  <m:r>
                    <m:rPr>
                      <m:sty m:val="p"/>
                    </m:rPr>
                    <m:t>)</m:t>
                  </m:r>
                  <m:r>
                    <m:rPr>
                      <m:sty m:val="p"/>
                    </m:rPr>
                    <m:t>)</m:t>
                  </m:r>
                </m:num>
                <m:den>
                  <m:r>
                    <m:rPr>
                      <m:sty m:val="p"/>
                    </m:rPr>
                    <m:t>(</m:t>
                  </m:r>
                  <m:r>
                    <m:t>1</m:t>
                  </m:r>
                  <m:r>
                    <m:rPr>
                      <m:sty m:val="p"/>
                    </m:rPr>
                    <m:t>+</m:t>
                  </m:r>
                  <m:r>
                    <m:t>ρ</m:t>
                  </m:r>
                  <m:sSup>
                    <m:e>
                      <m:r>
                        <m:rPr>
                          <m:sty m:val="p"/>
                        </m:rPr>
                        <m:t>)</m:t>
                      </m:r>
                    </m:e>
                    <m:sup>
                      <m:r>
                        <m:t>t</m:t>
                      </m:r>
                    </m:sup>
                  </m:sSup>
                </m:den>
              </m:f>
            </m:e>
          </m:nary>
        </m:oMath>
      </m:oMathPara>
    </w:p>
    <w:p>
      <w:pPr>
        <w:pStyle w:val="FirstParagraph"/>
      </w:pPr>
      <w:r>
        <w:t xml:space="preserve">onde</w:t>
      </w:r>
      <w:r>
        <w:t xml:space="preserve"> </w:t>
      </w:r>
      <m:oMath>
        <m:r>
          <m:t>L</m:t>
        </m:r>
        <m:r>
          <m:rPr>
            <m:sty m:val="p"/>
          </m:rPr>
          <m:t>(</m:t>
        </m:r>
        <m:r>
          <m:t>t</m:t>
        </m:r>
        <m:r>
          <m:rPr>
            <m:sty m:val="p"/>
          </m:rPr>
          <m:t>)</m:t>
        </m:r>
      </m:oMath>
      <w:r>
        <w:t xml:space="preserve"> </w:t>
      </w:r>
      <w:r>
        <w:t xml:space="preserve">é a população,</w:t>
      </w:r>
      <w:r>
        <w:t xml:space="preserve"> </w:t>
      </w:r>
      <m:oMath>
        <m:r>
          <m:t>c</m:t>
        </m:r>
        <m:r>
          <m:rPr>
            <m:sty m:val="p"/>
          </m:rPr>
          <m:t>(</m:t>
        </m:r>
        <m:r>
          <m:t>t</m:t>
        </m:r>
        <m:r>
          <m:rPr>
            <m:sty m:val="p"/>
          </m:rPr>
          <m:t>)</m:t>
        </m:r>
      </m:oMath>
      <w:r>
        <w:t xml:space="preserve"> </w:t>
      </w:r>
      <w:r>
        <w:t xml:space="preserve">é o consumo per capita,</w:t>
      </w:r>
      <w:r>
        <w:t xml:space="preserve"> </w:t>
      </w:r>
      <m:oMath>
        <m:r>
          <m:t>u</m:t>
        </m:r>
        <m:r>
          <m:rPr>
            <m:sty m:val="p"/>
          </m:rPr>
          <m:t>(</m:t>
        </m:r>
        <m:r>
          <m:rPr>
            <m:sty m:val="p"/>
          </m:rPr>
          <m:t>⋅</m:t>
        </m:r>
        <m:r>
          <m:rPr>
            <m:sty m:val="p"/>
          </m:rPr>
          <m:t>)</m:t>
        </m:r>
      </m:oMath>
      <w:r>
        <w:t xml:space="preserve"> </w:t>
      </w:r>
      <w:r>
        <w:t xml:space="preserve">é a utilidade (com aversão ao risco</w:t>
      </w:r>
      <w:r>
        <w:t xml:space="preserve"> </w:t>
      </w:r>
      <m:oMath>
        <m:r>
          <m:t>η</m:t>
        </m:r>
      </m:oMath>
      <w:r>
        <w:t xml:space="preserve"> </w:t>
      </w:r>
      <w:r>
        <w:t xml:space="preserve">na função CRRA:</w:t>
      </w:r>
      <w:r>
        <w:t xml:space="preserve"> </w:t>
      </w:r>
      <m:oMath>
        <m:r>
          <m:t>u</m:t>
        </m:r>
        <m:r>
          <m:rPr>
            <m:sty m:val="p"/>
          </m:rPr>
          <m:t>(</m:t>
        </m:r>
        <m:r>
          <m:t>c</m:t>
        </m:r>
        <m:r>
          <m:rPr>
            <m:sty m:val="p"/>
          </m:rPr>
          <m:t>)</m:t>
        </m:r>
        <m:r>
          <m:rPr>
            <m:sty m:val="p"/>
          </m:rPr>
          <m:t>=</m:t>
        </m:r>
        <m:sSup>
          <m:e>
            <m:r>
              <m:t>c</m:t>
            </m:r>
          </m:e>
          <m:sup>
            <m:r>
              <m:t>1</m:t>
            </m:r>
            <m:r>
              <m:rPr>
                <m:sty m:val="p"/>
              </m:rPr>
              <m:t>−</m:t>
            </m:r>
            <m:r>
              <m:t>η</m:t>
            </m:r>
          </m:sup>
        </m:sSup>
        <m:r>
          <m:rPr>
            <m:sty m:val="p"/>
          </m:rPr>
          <m:t>/</m:t>
        </m:r>
        <m:r>
          <m:rPr>
            <m:sty m:val="p"/>
          </m:rPr>
          <m:t>(</m:t>
        </m:r>
        <m:r>
          <m:t>1</m:t>
        </m:r>
        <m:r>
          <m:rPr>
            <m:sty m:val="p"/>
          </m:rPr>
          <m:t>−</m:t>
        </m:r>
        <m:r>
          <m:t>η</m:t>
        </m:r>
        <m:r>
          <m:rPr>
            <m:sty m:val="p"/>
          </m:rPr>
          <m:t>)</m:t>
        </m:r>
      </m:oMath>
      <w:r>
        <w:t xml:space="preserve">), e</w:t>
      </w:r>
      <w:r>
        <w:t xml:space="preserve"> </w:t>
      </w:r>
      <m:oMath>
        <m:r>
          <m:t>ρ</m:t>
        </m:r>
      </m:oMath>
      <w:r>
        <w:t xml:space="preserve"> </w:t>
      </w:r>
      <w:r>
        <w:t xml:space="preserve">é a taxa pura de preferência temporal.</w:t>
      </w:r>
    </w:p>
    <w:p>
      <w:pPr>
        <w:pStyle w:val="BodyText"/>
      </w:pPr>
      <w:r>
        <w:t xml:space="preserve">A trajetória ótima de abatimento no modelo DICE de Nordhaus (2017) sugere uma</w:t>
      </w:r>
      <w:r>
        <w:t xml:space="preserve"> </w:t>
      </w:r>
      <w:r>
        <w:rPr>
          <w:b/>
          <w:bCs/>
        </w:rPr>
        <w:t xml:space="preserve">redução gradual</w:t>
      </w:r>
      <w:r>
        <w:t xml:space="preserve"> </w:t>
      </w:r>
      <w:r>
        <w:t xml:space="preserve">das emissões, começando com um imposto de carbono modesto (cerca de US$ 35/tCO₂ em 2020) que cresce ao longo do tempo, atingindo aproximadamente US$ 100/tCO₂ em 2050. A meta de temperatura ótima resultante é de cerca de 3,5°C de aquecimento até 2100 — bem acima da meta de 2°C do Acordo de Paris.</w:t>
      </w:r>
    </w:p>
    <w:bookmarkEnd w:id="1452"/>
    <w:bookmarkStart w:id="1453" w:name="Xd59b780a769daf3158d0d569ac9d45bce168a32"/>
    <w:p>
      <w:pPr>
        <w:pStyle w:val="Heading4"/>
      </w:pPr>
      <w:r>
        <w:t xml:space="preserve">24.3.4 Stern vs. Nordhaus: o debate da taxa de desconto</w:t>
      </w:r>
    </w:p>
    <w:p>
      <w:pPr>
        <w:pStyle w:val="FirstParagraph"/>
      </w:pPr>
      <w:r>
        <w:t xml:space="preserve">O</w:t>
      </w:r>
      <w:r>
        <w:t xml:space="preserve"> </w:t>
      </w:r>
      <w:r>
        <w:rPr>
          <w:b/>
          <w:bCs/>
        </w:rPr>
        <w:t xml:space="preserve">Stern Review</w:t>
      </w:r>
      <w:r>
        <w:t xml:space="preserve"> </w:t>
      </w:r>
      <w:r>
        <w:t xml:space="preserve">(2007), encomendado pelo governo britânico, chegou a conclusões radicalmente diferentes: recomendou ação imediata e agressiva para limitar o aquecimento a 2°C, com investimento de 1–2% do PIB global em mitigação — muito mais do que o modelo DICE sugere. A diferença fundamental está na</w:t>
      </w:r>
      <w:r>
        <w:t xml:space="preserve"> </w:t>
      </w:r>
      <w:r>
        <w:rPr>
          <w:b/>
          <w:bCs/>
        </w:rPr>
        <w:t xml:space="preserve">taxa de desconto</w:t>
      </w:r>
      <w:r>
        <w:t xml:space="preserve">.</w:t>
      </w:r>
    </w:p>
    <w:p>
      <w:pPr>
        <w:pStyle w:val="BodyText"/>
      </w:pPr>
      <w:r>
        <w:t xml:space="preserve">Recorde do Capítulo 18 a equação de Ramsey para a taxa de desconto social:</w:t>
      </w:r>
    </w:p>
    <w:p>
      <w:pPr>
        <w:pStyle w:val="BodyText"/>
      </w:pPr>
      <w:r>
        <w:t xml:space="preserve">$$
    r = \rho + \eta \cdot g \label{eq:24.9} \tag{24.9}
    $$</w:t>
      </w:r>
    </w:p>
    <w:p>
      <w:pPr>
        <w:pStyle w:val="FirstParagraph"/>
      </w:pPr>
      <w:r>
        <w:t xml:space="preserve">onde</w:t>
      </w:r>
      <w:r>
        <w:t xml:space="preserve"> </w:t>
      </w:r>
      <m:oMath>
        <m:r>
          <m:t>ρ</m:t>
        </m:r>
      </m:oMath>
      <w:r>
        <w:t xml:space="preserve"> </w:t>
      </w:r>
      <w:r>
        <w:t xml:space="preserve">é a taxa pura de preferência temporal (quanto</w:t>
      </w:r>
      <w:r>
        <w:t xml:space="preserve"> </w:t>
      </w:r>
      <w:r>
        <w:t xml:space="preserve">“descontamos”</w:t>
      </w:r>
      <w:r>
        <w:t xml:space="preserve"> </w:t>
      </w:r>
      <w:r>
        <w:t xml:space="preserve">o futuro simplesmente por ser futuro),</w:t>
      </w:r>
      <w:r>
        <w:t xml:space="preserve"> </w:t>
      </w:r>
      <m:oMath>
        <m:r>
          <m:t>η</m:t>
        </m:r>
      </m:oMath>
      <w:r>
        <w:t xml:space="preserve"> </w:t>
      </w:r>
      <w:r>
        <w:t xml:space="preserve">é a elasticidade marginal da utilidade do consumo (medida de aversão à desigualdade intergeracional), e</w:t>
      </w:r>
      <w:r>
        <w:t xml:space="preserve"> </w:t>
      </w:r>
      <m:oMath>
        <m:r>
          <m:t>g</m:t>
        </m:r>
      </m:oMath>
      <w:r>
        <w:t xml:space="preserve"> </w:t>
      </w:r>
      <w:r>
        <w:t xml:space="preserve">é a taxa de crescimento do consumo per capita.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Parâmetro</w:t>
            </w:r>
          </w:p>
        </w:tc>
        <w:tc>
          <w:tcPr/>
          <w:p>
            <w:pPr>
              <w:pStyle w:val="Compact"/>
              <w:jc w:val="left"/>
            </w:pPr>
            <w:r>
              <w:t xml:space="preserve">Nordhaus</w:t>
            </w:r>
          </w:p>
        </w:tc>
        <w:tc>
          <w:tcPr/>
          <w:p>
            <w:pPr>
              <w:pStyle w:val="Compact"/>
              <w:jc w:val="left"/>
            </w:pPr>
            <w:r>
              <w:t xml:space="preserve">Stern</w:t>
            </w:r>
          </w:p>
        </w:tc>
      </w:tr>
      <w:tr>
        <w:tc>
          <w:tcPr/>
          <w:p>
            <w:pPr>
              <w:pStyle w:val="Compact"/>
              <w:jc w:val="left"/>
            </w:pPr>
            <m:oMath>
              <m:r>
                <m:t>ρ</m:t>
              </m:r>
            </m:oMath>
            <w:r>
              <w:t xml:space="preserve"> </w:t>
            </w:r>
            <w:r>
              <w:t xml:space="preserve">(preferência temporal)</w:t>
            </w:r>
          </w:p>
        </w:tc>
        <w:tc>
          <w:tcPr/>
          <w:p>
            <w:pPr>
              <w:pStyle w:val="Compact"/>
              <w:jc w:val="left"/>
            </w:pPr>
            <w:r>
              <w:t xml:space="preserve">1,5%</w:t>
            </w:r>
          </w:p>
        </w:tc>
        <w:tc>
          <w:tcPr/>
          <w:p>
            <w:pPr>
              <w:pStyle w:val="Compact"/>
              <w:jc w:val="left"/>
            </w:pPr>
            <w:r>
              <w:t xml:space="preserve">0,1%</w:t>
            </w:r>
          </w:p>
        </w:tc>
      </w:tr>
      <w:tr>
        <w:tc>
          <w:tcPr/>
          <w:p>
            <w:pPr>
              <w:pStyle w:val="Compact"/>
              <w:jc w:val="left"/>
            </w:pPr>
            <m:oMath>
              <m:r>
                <m:t>η</m:t>
              </m:r>
            </m:oMath>
            <w:r>
              <w:t xml:space="preserve"> </w:t>
            </w:r>
            <w:r>
              <w:t xml:space="preserve">(aversão à desigualdade)</w:t>
            </w:r>
          </w:p>
        </w:tc>
        <w:tc>
          <w:tcPr/>
          <w:p>
            <w:pPr>
              <w:pStyle w:val="Compact"/>
              <w:jc w:val="left"/>
            </w:pPr>
            <w:r>
              <w:t xml:space="preserve">2</w:t>
            </w:r>
          </w:p>
        </w:tc>
        <w:tc>
          <w:tcPr/>
          <w:p>
            <w:pPr>
              <w:pStyle w:val="Compact"/>
              <w:jc w:val="left"/>
            </w:pPr>
            <w:r>
              <w:t xml:space="preserve">1</w:t>
            </w:r>
          </w:p>
        </w:tc>
      </w:tr>
      <w:tr>
        <w:tc>
          <w:tcPr/>
          <w:p>
            <w:pPr>
              <w:pStyle w:val="Compact"/>
              <w:jc w:val="left"/>
            </w:pPr>
            <m:oMath>
              <m:r>
                <m:t>g</m:t>
              </m:r>
            </m:oMath>
            <w:r>
              <w:t xml:space="preserve"> </w:t>
            </w:r>
            <w:r>
              <w:t xml:space="preserve">(crescimento)</w:t>
            </w:r>
          </w:p>
        </w:tc>
        <w:tc>
          <w:tcPr/>
          <w:p>
            <w:pPr>
              <w:pStyle w:val="Compact"/>
              <w:jc w:val="left"/>
            </w:pPr>
            <w:r>
              <w:t xml:space="preserve">~2%</w:t>
            </w:r>
          </w:p>
        </w:tc>
        <w:tc>
          <w:tcPr/>
          <w:p>
            <w:pPr>
              <w:pStyle w:val="Compact"/>
              <w:jc w:val="left"/>
            </w:pPr>
            <w:r>
              <w:t xml:space="preserve">~1,3%</w:t>
            </w:r>
          </w:p>
        </w:tc>
      </w:tr>
      <w:tr>
        <w:tc>
          <w:tcPr/>
          <w:p>
            <w:pPr>
              <w:pStyle w:val="Compact"/>
              <w:jc w:val="left"/>
            </w:pPr>
            <m:oMath>
              <m:r>
                <m:t>r</m:t>
              </m:r>
            </m:oMath>
            <w:r>
              <w:rPr>
                <w:b/>
                <w:bCs/>
              </w:rPr>
              <w:t xml:space="preserve"> </w:t>
            </w:r>
            <w:r>
              <w:rPr>
                <w:b/>
                <w:bCs/>
              </w:rPr>
              <w:t xml:space="preserve">(taxa de desconto)</w:t>
            </w:r>
          </w:p>
        </w:tc>
        <w:tc>
          <w:tcPr/>
          <w:p>
            <w:pPr>
              <w:pStyle w:val="Compact"/>
              <w:jc w:val="left"/>
            </w:pPr>
            <w:r>
              <w:rPr>
                <w:b/>
                <w:bCs/>
              </w:rPr>
              <w:t xml:space="preserve">~5,5%</w:t>
            </w:r>
          </w:p>
        </w:tc>
        <w:tc>
          <w:tcPr/>
          <w:p>
            <w:pPr>
              <w:pStyle w:val="Compact"/>
              <w:jc w:val="left"/>
            </w:pPr>
            <w:r>
              <w:rPr>
                <w:b/>
                <w:bCs/>
              </w:rPr>
              <w:t xml:space="preserve">~1,4%</w:t>
            </w:r>
          </w:p>
        </w:tc>
      </w:tr>
    </w:tbl>
    <w:p>
      <w:pPr>
        <w:pStyle w:val="BodyText"/>
      </w:pPr>
      <w:r>
        <w:t xml:space="preserve">Com</w:t>
      </w:r>
      <w:r>
        <w:t xml:space="preserve"> </w:t>
      </w:r>
      <m:oMath>
        <m:r>
          <m:t>r</m:t>
        </m:r>
        <m:r>
          <m:rPr>
            <m:sty m:val="p"/>
          </m:rPr>
          <m:t>=</m:t>
        </m:r>
        <m:r>
          <m:t>5</m:t>
        </m:r>
        <m:r>
          <m:rPr>
            <m:sty m:val="p"/>
          </m:rPr>
          <m:t>,</m:t>
        </m:r>
        <m:r>
          <m:t>5</m:t>
        </m:r>
        <m:r>
          <m:rPr>
            <m:sty m:val="p"/>
          </m:rPr>
          <m:t>%</m:t>
        </m:r>
      </m:oMath>
      <w:r>
        <w:t xml:space="preserve">, danos daqui a 100 anos têm valor presente de apenas 0,5% do valor nominal. Com</w:t>
      </w:r>
      <w:r>
        <w:t xml:space="preserve"> </w:t>
      </w:r>
      <m:oMath>
        <m:r>
          <m:t>r</m:t>
        </m:r>
        <m:r>
          <m:rPr>
            <m:sty m:val="p"/>
          </m:rPr>
          <m:t>=</m:t>
        </m:r>
        <m:r>
          <m:t>1</m:t>
        </m:r>
        <m:r>
          <m:rPr>
            <m:sty m:val="p"/>
          </m:rPr>
          <m:t>,</m:t>
        </m:r>
        <m:r>
          <m:t>4</m:t>
        </m:r>
        <m:r>
          <m:rPr>
            <m:sty m:val="p"/>
          </m:rPr>
          <m:t>%</m:t>
        </m:r>
      </m:oMath>
      <w:r>
        <w:t xml:space="preserve">, o valor presente é 25% — 50 vezes maior. Essa diferença explica quase toda a divergência nas recomendações de política.</w:t>
      </w:r>
    </w:p>
    <w:p>
      <w:pPr>
        <w:pStyle w:val="BlockText"/>
      </w:pPr>
      <w:r>
        <w:rPr>
          <w:b/>
          <w:bCs/>
        </w:rPr>
        <w:t xml:space="preserve">[INTUICAO ECONOMICA] Intuição Econômica</w:t>
      </w:r>
    </w:p>
    <w:p>
      <w:pPr>
        <w:pStyle w:val="BlockText"/>
      </w:pPr>
      <w:r>
        <w:rPr>
          <w:b/>
          <w:bCs/>
        </w:rPr>
        <w:t xml:space="preserve">Em uma frase:</w:t>
      </w:r>
      <w:r>
        <w:t xml:space="preserve"> </w:t>
      </w:r>
      <w:r>
        <w:t xml:space="preserve">A taxa de desconto determina quanto valorizamos o futuro — e pequenas diferenças nesse parâmetro geram enormes divergências nas recomendações de política climática.</w:t>
      </w:r>
    </w:p>
    <w:p>
      <w:pPr>
        <w:pStyle w:val="BlockText"/>
      </w:pPr>
      <w:r>
        <w:rPr>
          <w:b/>
          <w:bCs/>
        </w:rPr>
        <w:t xml:space="preserve">Pense assim:</w:t>
      </w:r>
      <w:r>
        <w:t xml:space="preserve"> </w:t>
      </w:r>
      <w:r>
        <w:t xml:space="preserve">Imagine que uma catástrofe climática causará um dano de R$ 100 trilhões daqui a 100 anos. Quanto vale investir hoje para evitá-la? Com taxa de desconto de 5%, o valor presente é R$ 760 bilhões — significativo, mas gerenciável. Com taxa de 1,4%, o valor presente é R$ 25 trilhões — uma emergência planetária que justifica ação imediata e maciça. O dano futuro é o mesmo; o que muda é quanto nos importamos com as gerações futuras.</w:t>
      </w:r>
    </w:p>
    <w:p>
      <w:pPr>
        <w:pStyle w:val="BlockText"/>
      </w:pPr>
      <w:r>
        <w:rPr>
          <w:b/>
          <w:bCs/>
        </w:rPr>
        <w:t xml:space="preserve">Por que isso importa:</w:t>
      </w:r>
      <w:r>
        <w:t xml:space="preserve"> </w:t>
      </w:r>
      <w:r>
        <w:t xml:space="preserve">O debate Nordhaus–Stern não é técnico — é fundamentalmente ético. Nordhaus adota uma abordagem</w:t>
      </w:r>
      <w:r>
        <w:t xml:space="preserve"> </w:t>
      </w:r>
      <w:r>
        <w:t xml:space="preserve">“descritiva”</w:t>
      </w:r>
      <w:r>
        <w:t xml:space="preserve"> </w:t>
      </w:r>
      <w:r>
        <w:t xml:space="preserve">(a taxa de desconto reflete o comportamento observado dos mercados financeiros). Stern adota uma abordagem</w:t>
      </w:r>
      <w:r>
        <w:t xml:space="preserve"> </w:t>
      </w:r>
      <w:r>
        <w:t xml:space="preserve">“prescritiva”</w:t>
      </w:r>
      <w:r>
        <w:t xml:space="preserve"> </w:t>
      </w:r>
      <w:r>
        <w:t xml:space="preserve">(é eticamente injustificável descontar o bem-estar de gerações futuras). Ambos estão certos dentro de suas premissas — e a escolha entre eles depende de valores, não de ciência.</w:t>
      </w:r>
    </w:p>
    <w:bookmarkEnd w:id="1453"/>
    <w:bookmarkStart w:id="1455" w:name="Xa7ac04de6a223e37a95668da8d811044a9943de"/>
    <w:p>
      <w:pPr>
        <w:pStyle w:val="Heading4"/>
      </w:pPr>
      <w:r>
        <w:t xml:space="preserve">24.3.4b A crítica de Weitzman: caudas grossas e precaução</w:t>
      </w:r>
    </w:p>
    <w:p>
      <w:pPr>
        <w:pStyle w:val="FirstParagraph"/>
      </w:pPr>
      <w:r>
        <w:t xml:space="preserve">Martin Weitzman (2009) introduziu um argumento que muda fundamentalmente os termos do debate. Mesmo que adotemos a taxa de desconto alta de Nordhaus, se a distribuição de danos climáticos tiver</w:t>
      </w:r>
      <w:r>
        <w:t xml:space="preserve"> </w:t>
      </w:r>
      <w:r>
        <w:rPr>
          <w:b/>
          <w:bCs/>
        </w:rPr>
        <w:t xml:space="preserve">caudas grossas</w:t>
      </w:r>
      <w:r>
        <w:t xml:space="preserve"> </w:t>
      </w:r>
      <w:r>
        <w:t xml:space="preserve">(</w:t>
      </w:r>
      <w:r>
        <w:rPr>
          <w:i/>
          <w:iCs/>
        </w:rPr>
        <w:t xml:space="preserve">fat tails</w:t>
      </w:r>
      <w:r>
        <w:t xml:space="preserve">) — isto é, probabilidade não-desprezível de catástrofes extremas — a análise custo-benefício convencional colapsa.</w:t>
      </w:r>
    </w:p>
    <w:p>
      <w:pPr>
        <w:pStyle w:val="BodyText"/>
      </w:pPr>
      <w:r>
        <w:t xml:space="preserve">O argumento formal: seja</w:t>
      </w:r>
      <w:r>
        <w:t xml:space="preserve"> </w:t>
      </w:r>
      <m:oMath>
        <m:r>
          <m:t>D</m:t>
        </m:r>
        <m:r>
          <m:rPr>
            <m:sty m:val="p"/>
          </m:rPr>
          <m:t>(</m:t>
        </m:r>
        <m:r>
          <m:t>T</m:t>
        </m:r>
        <m:r>
          <m:rPr>
            <m:sty m:val="p"/>
          </m:rPr>
          <m:t>)</m:t>
        </m:r>
      </m:oMath>
      <w:r>
        <w:t xml:space="preserve"> </w:t>
      </w:r>
      <w:r>
        <w:t xml:space="preserve">o dano como fração do PIB, onde</w:t>
      </w:r>
      <w:r>
        <w:t xml:space="preserve"> </w:t>
      </w:r>
      <m:oMath>
        <m:r>
          <m:t>T</m:t>
        </m:r>
      </m:oMath>
      <w:r>
        <w:t xml:space="preserve"> </w:t>
      </w:r>
      <w:r>
        <w:t xml:space="preserve">é o aquecimento. Se a distribuição de</w:t>
      </w:r>
      <w:r>
        <w:t xml:space="preserve"> </w:t>
      </w:r>
      <m:oMath>
        <m:r>
          <m:t>T</m:t>
        </m:r>
      </m:oMath>
      <w:r>
        <w:t xml:space="preserve"> </w:t>
      </w:r>
      <w:r>
        <w:t xml:space="preserve">tem cauda pesada (e.g., probabilidade de 5% de</w:t>
      </w:r>
      <w:r>
        <w:t xml:space="preserve"> </w:t>
      </w:r>
      <m:oMath>
        <m:r>
          <m:t>T</m:t>
        </m:r>
        <m:r>
          <m:rPr>
            <m:sty m:val="p"/>
          </m:rPr>
          <m:t>&gt;</m:t>
        </m:r>
        <m:r>
          <m:t>6</m:t>
        </m:r>
        <m:r>
          <m:rPr>
            <m:sty m:val="p"/>
          </m:rPr>
          <m:t>°</m:t>
        </m:r>
        <m:r>
          <m:t>C</m:t>
        </m:r>
      </m:oMath>
      <w:r>
        <w:t xml:space="preserve">) e a função de dano é convexa (</w:t>
      </w:r>
      <m:oMath>
        <m:sSup>
          <m:e>
            <m:r>
              <m:t>D</m:t>
            </m:r>
          </m:e>
          <m:sup>
            <m:r>
              <m:rPr>
                <m:sty m:val="p"/>
              </m:rPr>
              <m:t>″</m:t>
            </m:r>
          </m:sup>
        </m:sSup>
        <m:r>
          <m:rPr>
            <m:sty m:val="p"/>
          </m:rPr>
          <m:t>&gt;</m:t>
        </m:r>
        <m:r>
          <m:t>0</m:t>
        </m:r>
      </m:oMath>
      <w:r>
        <w:t xml:space="preserve">), então:</w:t>
      </w:r>
    </w:p>
    <w:p>
      <w:pPr>
        <w:pStyle w:val="BodyText"/>
      </w:pPr>
      <m:oMathPara>
        <m:oMathParaPr>
          <m:jc m:val="center"/>
        </m:oMathParaPr>
        <m:oMath>
          <m:r>
            <m:t>E</m:t>
          </m:r>
          <m:r>
            <m:rPr>
              <m:sty m:val="p"/>
            </m:rPr>
            <m:t>[</m:t>
          </m:r>
          <m:r>
            <m:t>D</m:t>
          </m:r>
          <m:r>
            <m:rPr>
              <m:sty m:val="p"/>
            </m:rPr>
            <m:t>(</m:t>
          </m:r>
          <m:r>
            <m:t>T</m:t>
          </m:r>
          <m:r>
            <m:rPr>
              <m:sty m:val="p"/>
            </m:rPr>
            <m:t>)</m:t>
          </m:r>
          <m:r>
            <m:rPr>
              <m:sty m:val="p"/>
            </m:rPr>
            <m:t>]</m:t>
          </m:r>
          <m:r>
            <m:rPr>
              <m:sty m:val="p"/>
            </m:rPr>
            <m:t>≫</m:t>
          </m:r>
          <m:r>
            <m:t>D</m:t>
          </m:r>
          <m:r>
            <m:rPr>
              <m:sty m:val="p"/>
            </m:rPr>
            <m:t>(</m:t>
          </m:r>
          <m:r>
            <m:t>E</m:t>
          </m:r>
          <m:r>
            <m:rPr>
              <m:sty m:val="p"/>
            </m:rPr>
            <m:t>[</m:t>
          </m:r>
          <m:r>
            <m:t>T</m:t>
          </m:r>
          <m:r>
            <m:rPr>
              <m:sty m:val="p"/>
            </m:rPr>
            <m:t>]</m:t>
          </m:r>
          <m:r>
            <m:rPr>
              <m:sty m:val="p"/>
            </m:rPr>
            <m:t>)</m:t>
          </m:r>
        </m:oMath>
      </m:oMathPara>
    </w:p>
    <w:p>
      <w:pPr>
        <w:pStyle w:val="FirstParagraph"/>
      </w:pPr>
      <w:r>
        <w:t xml:space="preserve">O dano esperado é dominado pelos cenários catastróficos de baixa probabilidade, não pelo cenário mediano. Isso é a</w:t>
      </w:r>
      <w:r>
        <w:t xml:space="preserve"> </w:t>
      </w:r>
      <w:r>
        <w:rPr>
          <w:b/>
          <w:bCs/>
        </w:rPr>
        <w:t xml:space="preserve">desigualdade de Jensen</w:t>
      </w:r>
      <w:r>
        <w:t xml:space="preserve"> </w:t>
      </w:r>
      <w:r>
        <w:t xml:space="preserve">(Capítulo 2) aplicada à política climática: quando a função de dano é convexa e a incerteza é grande, a média dos danos excede o dano na média.</w:t>
      </w:r>
    </w:p>
    <w:p>
      <w:pPr>
        <w:pStyle w:val="BlockText"/>
      </w:pPr>
      <w:r>
        <w:rPr>
          <w:b/>
          <w:bCs/>
        </w:rPr>
        <w:t xml:space="preserve">[DEFINICAO] Taxa de desconto social</w:t>
      </w:r>
    </w:p>
    <w:p>
      <w:pPr>
        <w:pStyle w:val="BlockText"/>
      </w:pPr>
      <w:r>
        <w:t xml:space="preserve">A</w:t>
      </w:r>
      <w:r>
        <w:t xml:space="preserve"> </w:t>
      </w:r>
      <w:r>
        <w:rPr>
          <w:b/>
          <w:bCs/>
        </w:rPr>
        <w:t xml:space="preserve">taxa de desconto social</w:t>
      </w:r>
      <w:r>
        <w:t xml:space="preserve"> </w:t>
      </w:r>
      <w:r>
        <w:t xml:space="preserve">(</w:t>
      </w:r>
      <m:oMath>
        <m:r>
          <m:t>r</m:t>
        </m:r>
      </m:oMath>
      <w:r>
        <w:t xml:space="preserve">) determina o peso relativo dado ao bem-estar de gerações futuras em relação ao presente. Pela equação de Ramsey:</w:t>
      </w:r>
      <w:r>
        <w:t xml:space="preserve"> </w:t>
      </w:r>
      <m:oMath>
        <m:r>
          <m:t>r</m:t>
        </m:r>
        <m:r>
          <m:rPr>
            <m:sty m:val="p"/>
          </m:rPr>
          <m:t>=</m:t>
        </m:r>
        <m:r>
          <m:t>ρ</m:t>
        </m:r>
        <m:r>
          <m:rPr>
            <m:sty m:val="p"/>
          </m:rPr>
          <m:t>+</m:t>
        </m:r>
        <m:r>
          <m:t>η</m:t>
        </m:r>
        <m:r>
          <m:rPr>
            <m:sty m:val="p"/>
          </m:rPr>
          <m:t>⋅</m:t>
        </m:r>
        <m:r>
          <m:t>g</m:t>
        </m:r>
      </m:oMath>
      <w:r>
        <w:t xml:space="preserve">, onde</w:t>
      </w:r>
      <w:r>
        <w:t xml:space="preserve"> </w:t>
      </w:r>
      <m:oMath>
        <m:r>
          <m:t>ρ</m:t>
        </m:r>
      </m:oMath>
      <w:r>
        <w:t xml:space="preserve"> </w:t>
      </w:r>
      <w:r>
        <w:t xml:space="preserve">é a taxa pura de preferência temporal (desconto</w:t>
      </w:r>
      <w:r>
        <w:t xml:space="preserve"> </w:t>
      </w:r>
      <w:r>
        <w:t xml:space="preserve">“por ser futuro”</w:t>
      </w:r>
      <w:r>
        <w:t xml:space="preserve">),</w:t>
      </w:r>
      <w:r>
        <w:t xml:space="preserve"> </w:t>
      </w:r>
      <m:oMath>
        <m:r>
          <m:t>η</m:t>
        </m:r>
      </m:oMath>
      <w:r>
        <w:t xml:space="preserve"> </w:t>
      </w:r>
      <w:r>
        <w:t xml:space="preserve">é a elasticidade marginal da utilidade (aversão à desigualdade entre gerações) e</w:t>
      </w:r>
      <w:r>
        <w:t xml:space="preserve"> </w:t>
      </w:r>
      <m:oMath>
        <m:r>
          <m:t>g</m:t>
        </m:r>
      </m:oMath>
      <w:r>
        <w:t xml:space="preserve"> </w:t>
      </w:r>
      <w:r>
        <w:t xml:space="preserve">é a taxa de crescimento do consumo per capita. Taxas altas (</w:t>
      </w:r>
      <m:oMath>
        <m:r>
          <m:t>r</m:t>
        </m:r>
        <m:r>
          <m:rPr>
            <m:sty m:val="p"/>
          </m:rPr>
          <m:t>&gt;</m:t>
        </m:r>
        <m:r>
          <m:t>5</m:t>
        </m:r>
        <m:r>
          <m:rPr>
            <m:sty m:val="p"/>
          </m:rPr>
          <m:t>%</m:t>
        </m:r>
      </m:oMath>
      <w:r>
        <w:t xml:space="preserve">) tornam danos futuros quase irrelevantes; taxas baixas (</w:t>
      </w:r>
      <m:oMath>
        <m:r>
          <m:t>r</m:t>
        </m:r>
        <m:r>
          <m:rPr>
            <m:sty m:val="p"/>
          </m:rPr>
          <m:t>&lt;</m:t>
        </m:r>
        <m:r>
          <m:t>2</m:t>
        </m:r>
        <m:r>
          <m:rPr>
            <m:sty m:val="p"/>
          </m:rPr>
          <m:t>%</m:t>
        </m:r>
      </m:oMath>
      <w:r>
        <w:t xml:space="preserve">) justificam investimentos massivos em mitigação hoje. A escolha de</w:t>
      </w:r>
      <w:r>
        <w:t xml:space="preserve"> </w:t>
      </w:r>
      <m:oMath>
        <m:r>
          <m:t>r</m:t>
        </m:r>
      </m:oMath>
      <w:r>
        <w:t xml:space="preserve"> </w:t>
      </w:r>
      <w:r>
        <w:t xml:space="preserve">é o parâmetro mais consequente — e mais disputado — da economia climática.</w:t>
      </w:r>
    </w:p>
    <w:p>
      <w:pPr>
        <w:pStyle w:val="BlockText"/>
      </w:pPr>
      <w:r>
        <w:rPr>
          <w:b/>
          <w:bCs/>
        </w:rPr>
        <w:t xml:space="preserve">[EXEMPLO] Exercício Resolvido 24.1 — Custo social do carbono: Nordhaus vs. Stern vs. EPA</w:t>
      </w:r>
    </w:p>
    <w:p>
      <w:pPr>
        <w:pStyle w:val="BlockText"/>
      </w:pPr>
      <w:r>
        <w:rPr>
          <w:b/>
          <w:bCs/>
        </w:rPr>
        <w:t xml:space="preserve">Enunciado.</w:t>
      </w:r>
      <w:r>
        <w:t xml:space="preserve"> </w:t>
      </w:r>
      <w:r>
        <w:t xml:space="preserve">Três estimativas do custo social do carbono (SCC):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Fonte</w:t>
            </w:r>
          </w:p>
        </w:tc>
        <w:tc>
          <w:tcPr/>
          <w:p>
            <w:pPr>
              <w:pStyle w:val="Compact"/>
              <w:jc w:val="center"/>
            </w:pPr>
            <w:r>
              <w:t xml:space="preserve">SCC (US$/tCO₂)</w:t>
            </w:r>
          </w:p>
        </w:tc>
        <w:tc>
          <w:tcPr/>
          <w:p>
            <w:pPr>
              <w:pStyle w:val="Compact"/>
              <w:jc w:val="center"/>
            </w:pPr>
            <w:r>
              <w:t xml:space="preserve">Taxa de desconto</w:t>
            </w:r>
          </w:p>
        </w:tc>
      </w:tr>
      <w:tr>
        <w:tc>
          <w:tcPr/>
          <w:p>
            <w:pPr>
              <w:pStyle w:val="Compact"/>
              <w:jc w:val="left"/>
            </w:pPr>
            <w:r>
              <w:t xml:space="preserve">Nordhaus (2017)</w:t>
            </w:r>
          </w:p>
        </w:tc>
        <w:tc>
          <w:tcPr/>
          <w:p>
            <w:pPr>
              <w:pStyle w:val="Compact"/>
              <w:jc w:val="center"/>
            </w:pPr>
            <w:r>
              <w:t xml:space="preserve">31</w:t>
            </w:r>
          </w:p>
        </w:tc>
        <w:tc>
          <w:tcPr/>
          <w:p>
            <w:pPr>
              <w:pStyle w:val="Compact"/>
              <w:jc w:val="center"/>
            </w:pPr>
            <w:r>
              <w:t xml:space="preserve">4,25%</w:t>
            </w:r>
          </w:p>
        </w:tc>
      </w:tr>
      <w:tr>
        <w:tc>
          <w:tcPr/>
          <w:p>
            <w:pPr>
              <w:pStyle w:val="Compact"/>
              <w:jc w:val="left"/>
            </w:pPr>
            <w:r>
              <w:t xml:space="preserve">Stern (2007)</w:t>
            </w:r>
          </w:p>
        </w:tc>
        <w:tc>
          <w:tcPr/>
          <w:p>
            <w:pPr>
              <w:pStyle w:val="Compact"/>
              <w:jc w:val="center"/>
            </w:pPr>
            <w:r>
              <w:t xml:space="preserve">85</w:t>
            </w:r>
          </w:p>
        </w:tc>
        <w:tc>
          <w:tcPr/>
          <w:p>
            <w:pPr>
              <w:pStyle w:val="Compact"/>
              <w:jc w:val="center"/>
            </w:pPr>
            <w:r>
              <w:t xml:space="preserve">1,4%</w:t>
            </w:r>
          </w:p>
        </w:tc>
      </w:tr>
      <w:tr>
        <w:tc>
          <w:tcPr/>
          <w:p>
            <w:pPr>
              <w:pStyle w:val="Compact"/>
              <w:jc w:val="left"/>
            </w:pPr>
            <w:r>
              <w:t xml:space="preserve">EPA/IWG (2021)</w:t>
            </w:r>
          </w:p>
        </w:tc>
        <w:tc>
          <w:tcPr/>
          <w:p>
            <w:pPr>
              <w:pStyle w:val="Compact"/>
              <w:jc w:val="center"/>
            </w:pPr>
            <w:r>
              <w:t xml:space="preserve">51</w:t>
            </w:r>
          </w:p>
        </w:tc>
        <w:tc>
          <w:tcPr/>
          <w:p>
            <w:pPr>
              <w:pStyle w:val="Compact"/>
              <w:jc w:val="center"/>
            </w:pPr>
            <w:r>
              <w:t xml:space="preserve">3,0%</w:t>
            </w:r>
          </w:p>
        </w:tc>
      </w:tr>
    </w:tbl>
    <w:p>
      <w:pPr>
        <w:pStyle w:val="BlockText"/>
        <w:numPr>
          <w:ilvl w:val="0"/>
          <w:numId w:val="2303"/>
        </w:numPr>
      </w:pPr>
      <w:r>
        <w:t xml:space="preserve">Se o Brasil emite ~2,2 bilhões de tCO₂e/ano (incluindo desmatamento), calcule o</w:t>
      </w:r>
      <w:r>
        <w:t xml:space="preserve"> </w:t>
      </w:r>
      <w:r>
        <w:t xml:space="preserve">“dano social”</w:t>
      </w:r>
      <w:r>
        <w:t xml:space="preserve"> </w:t>
      </w:r>
      <w:r>
        <w:t xml:space="preserve">anual das emissões brasileiras segundo cada estimativa.</w:t>
      </w:r>
    </w:p>
    <w:p>
      <w:pPr>
        <w:pStyle w:val="BlockText"/>
        <w:numPr>
          <w:ilvl w:val="0"/>
          <w:numId w:val="2303"/>
        </w:numPr>
      </w:pPr>
      <w:r>
        <w:t xml:space="preserve">Se o Brasil implementasse um imposto pigouviano igual ao SCC médio dessas estimativas, qual seria a receita anual? Compare com o PIB brasileiro (~US$ 2 trilhões).</w:t>
      </w:r>
    </w:p>
    <w:p>
      <w:pPr>
        <w:pStyle w:val="BlockText"/>
        <w:numPr>
          <w:ilvl w:val="0"/>
          <w:numId w:val="2303"/>
        </w:numPr>
      </w:pPr>
      <w:r>
        <w:t xml:space="preserve">Weitzman argumenta que o SCC pode ser</w:t>
      </w:r>
      <w:r>
        <w:t xml:space="preserve"> </w:t>
      </w:r>
      <w:r>
        <w:t xml:space="preserve">“infinito”</w:t>
      </w:r>
      <w:r>
        <w:t xml:space="preserve"> </w:t>
      </w:r>
      <w:r>
        <w:t xml:space="preserve">sob caudas grossas. Explique por que a análise custo-benefício convencional falha nesse caso.</w:t>
      </w:r>
    </w:p>
    <w:p>
      <w:pPr>
        <w:pStyle w:val="BlockText"/>
      </w:pPr>
      <w:r>
        <w:rPr>
          <w:b/>
          <w:bCs/>
        </w:rPr>
        <w:t xml:space="preserve">Solução.</w:t>
      </w:r>
    </w:p>
    <w:p>
      <w:pPr>
        <w:pStyle w:val="BlockText"/>
      </w:pPr>
      <w:r>
        <w:rPr>
          <w:b/>
          <w:bCs/>
        </w:rPr>
        <w:t xml:space="preserve">(a)</w:t>
      </w:r>
      <w:r>
        <w:t xml:space="preserve"> </w:t>
      </w:r>
      <w:r>
        <w:t xml:space="preserve">Dano social anual = SCC × emissões:</w:t>
      </w:r>
    </w:p>
    <w:p>
      <w:pPr>
        <w:pStyle w:val="Compact"/>
        <w:numPr>
          <w:ilvl w:val="0"/>
          <w:numId w:val="2304"/>
        </w:numPr>
      </w:pPr>
      <w:r>
        <w:t xml:space="preserve">Nordhaus: $31</w:t>
      </w:r>
      <w:r>
        <w:t xml:space="preserve"> </w:t>
      </w:r>
      <w:r>
        <w:t xml:space="preserve">2</w:t>
      </w:r>
      <w:r>
        <w:t xml:space="preserve"> </w:t>
      </w:r>
      <w:r>
        <w:t xml:space="preserve">^9 = $ US$ 68,2 bilhões</w:t>
      </w:r>
    </w:p>
    <w:p>
      <w:pPr>
        <w:pStyle w:val="Compact"/>
        <w:numPr>
          <w:ilvl w:val="0"/>
          <w:numId w:val="2304"/>
        </w:numPr>
      </w:pPr>
      <w:r>
        <w:t xml:space="preserve">Stern: $85</w:t>
      </w:r>
      <w:r>
        <w:t xml:space="preserve"> </w:t>
      </w:r>
      <w:r>
        <w:t xml:space="preserve">2</w:t>
      </w:r>
      <w:r>
        <w:t xml:space="preserve"> </w:t>
      </w:r>
      <w:r>
        <w:t xml:space="preserve">^9 = $ US$ 187 bilhões</w:t>
      </w:r>
    </w:p>
    <w:p>
      <w:pPr>
        <w:pStyle w:val="Compact"/>
        <w:numPr>
          <w:ilvl w:val="0"/>
          <w:numId w:val="2304"/>
        </w:numPr>
      </w:pPr>
      <w:r>
        <w:t xml:space="preserve">EPA: $51</w:t>
      </w:r>
      <w:r>
        <w:t xml:space="preserve"> </w:t>
      </w:r>
      <w:r>
        <w:t xml:space="preserve">2</w:t>
      </w:r>
      <w:r>
        <w:t xml:space="preserve"> </w:t>
      </w:r>
      <w:r>
        <w:t xml:space="preserve">^9 = $ US$ 112,2 bilhões</w:t>
      </w:r>
    </w:p>
    <w:p>
      <w:pPr>
        <w:pStyle w:val="BlockText"/>
      </w:pPr>
      <w:r>
        <w:t xml:space="preserve">A faixa vai de US$ 68 a US$ 187 bilhões — entre 3,4% e 9,4% do PIB brasileiro.</w:t>
      </w:r>
    </w:p>
    <w:p>
      <w:pPr>
        <w:pStyle w:val="BlockText"/>
      </w:pPr>
      <w:r>
        <w:rPr>
          <w:b/>
          <w:bCs/>
        </w:rPr>
        <w:t xml:space="preserve">(b)</w:t>
      </w:r>
      <w:r>
        <w:t xml:space="preserve"> </w:t>
      </w:r>
      <w:r>
        <w:t xml:space="preserve">SCC médio: $(31 + 85 + 51)/3</w:t>
      </w:r>
      <w:r>
        <w:t xml:space="preserve"> </w:t>
      </w:r>
      <w:r>
        <w:t xml:space="preserve">$ US$ 56/tCO₂e. Receita: $56</w:t>
      </w:r>
      <w:r>
        <w:t xml:space="preserve"> </w:t>
      </w:r>
      <w:r>
        <w:t xml:space="preserve">2</w:t>
      </w:r>
      <w:r>
        <w:t xml:space="preserve"> </w:t>
      </w:r>
      <w:r>
        <w:t xml:space="preserve">^9 = $ US$ 123 bilhões = ~6,2% do PIB. Para comparação, a receita tributária total do governo federal é ~22% do PIB. Um imposto de carbono a US$ 56/tCO₂ seria o segundo maior imposto do país.</w:t>
      </w:r>
    </w:p>
    <w:p>
      <w:pPr>
        <w:pStyle w:val="BlockText"/>
      </w:pPr>
      <w:r>
        <w:rPr>
          <w:b/>
          <w:bCs/>
        </w:rPr>
        <w:t xml:space="preserve">(c)</w:t>
      </w:r>
      <w:r>
        <w:t xml:space="preserve"> </w:t>
      </w:r>
      <w:r>
        <w:t xml:space="preserve">Se a distribuição de danos tem caudas grossas, o valor esperado do SCC pode ser infinito (ou indefinido):</w:t>
      </w:r>
      <w:r>
        <w:t xml:space="preserve"> </w:t>
      </w:r>
      <m:oMath>
        <m:r>
          <m:t>E</m:t>
        </m:r>
        <m:r>
          <m:rPr>
            <m:sty m:val="p"/>
          </m:rPr>
          <m:t>[</m:t>
        </m:r>
        <m:r>
          <m:rPr>
            <m:nor/>
            <m:sty m:val="p"/>
          </m:rPr>
          <m:t>SCC</m:t>
        </m:r>
        <m:r>
          <m:rPr>
            <m:sty m:val="p"/>
          </m:rPr>
          <m:t>]</m:t>
        </m:r>
        <m:r>
          <m:rPr>
            <m:sty m:val="p"/>
          </m:rPr>
          <m:t>=</m:t>
        </m:r>
        <m:nary>
          <m:naryPr>
            <m:chr m:val="∫"/>
            <m:limLoc m:val="subSup"/>
            <m:subHide m:val="off"/>
            <m:supHide m:val="off"/>
          </m:naryPr>
          <m:sub>
            <m:r>
              <m:t>0</m:t>
            </m:r>
          </m:sub>
          <m:sup>
            <m:r>
              <m:rPr>
                <m:sty m:val="p"/>
              </m:rPr>
              <m:t>∞</m:t>
            </m:r>
          </m:sup>
          <m:e>
            <m:r>
              <m:t>D</m:t>
            </m:r>
          </m:e>
        </m:nary>
        <m:r>
          <m:rPr>
            <m:sty m:val="p"/>
          </m:rPr>
          <m:t>(</m:t>
        </m:r>
        <m:r>
          <m:t>T</m:t>
        </m:r>
        <m:r>
          <m:rPr>
            <m:sty m:val="p"/>
          </m:rPr>
          <m:t>)</m:t>
        </m:r>
        <m:r>
          <m:rPr>
            <m:sty m:val="p"/>
          </m:rPr>
          <m:t>⋅</m:t>
        </m:r>
        <m:r>
          <m:t>f</m:t>
        </m:r>
        <m:r>
          <m:rPr>
            <m:sty m:val="p"/>
          </m:rPr>
          <m:t>(</m:t>
        </m:r>
        <m:r>
          <m:t>T</m:t>
        </m:r>
        <m:r>
          <m:rPr>
            <m:sty m:val="p"/>
          </m:rPr>
          <m:t>)</m:t>
        </m:r>
        <m:r>
          <m:t> </m:t>
        </m:r>
        <m:r>
          <m:t>d</m:t>
        </m:r>
        <m:r>
          <m:t>T</m:t>
        </m:r>
        <m:r>
          <m:rPr>
            <m:sty m:val="p"/>
          </m:rPr>
          <m:t>→</m:t>
        </m:r>
        <m:r>
          <m:rPr>
            <m:sty m:val="p"/>
          </m:rPr>
          <m:t>∞</m:t>
        </m:r>
      </m:oMath>
      <w:r>
        <w:t xml:space="preserve"> </w:t>
      </w:r>
      <w:r>
        <w:t xml:space="preserve">quando</w:t>
      </w:r>
      <w:r>
        <w:t xml:space="preserve"> </w:t>
      </w:r>
      <m:oMath>
        <m:r>
          <m:t>D</m:t>
        </m:r>
        <m:r>
          <m:rPr>
            <m:sty m:val="p"/>
          </m:rPr>
          <m:t>(</m:t>
        </m:r>
        <m:r>
          <m:t>T</m:t>
        </m:r>
        <m:r>
          <m:rPr>
            <m:sty m:val="p"/>
          </m:rPr>
          <m:t>)</m:t>
        </m:r>
      </m:oMath>
      <w:r>
        <w:t xml:space="preserve"> </w:t>
      </w:r>
      <w:r>
        <w:t xml:space="preserve">cresce mais rápido que</w:t>
      </w:r>
      <w:r>
        <w:t xml:space="preserve"> </w:t>
      </w:r>
      <m:oMath>
        <m:r>
          <m:t>f</m:t>
        </m:r>
        <m:r>
          <m:rPr>
            <m:sty m:val="p"/>
          </m:rPr>
          <m:t>(</m:t>
        </m:r>
        <m:r>
          <m:t>T</m:t>
        </m:r>
        <m:r>
          <m:rPr>
            <m:sty m:val="p"/>
          </m:rPr>
          <m:t>)</m:t>
        </m:r>
      </m:oMath>
      <w:r>
        <w:t xml:space="preserve"> </w:t>
      </w:r>
      <w:r>
        <w:t xml:space="preserve">decai. Nesse caso, nenhuma taxa de desconto finita resolve o problema — a análise custo-benefício retorna</w:t>
      </w:r>
      <w:r>
        <w:t xml:space="preserve"> </w:t>
      </w:r>
      <w:r>
        <w:t xml:space="preserve">“invista tudo em mitigação”</w:t>
      </w:r>
      <w:r>
        <w:t xml:space="preserve">, o que é obviamente impossível. A resposta de Weitzman: em vez de custo-benefício, use o</w:t>
      </w:r>
      <w:r>
        <w:t xml:space="preserve"> </w:t>
      </w:r>
      <w:r>
        <w:rPr>
          <w:b/>
          <w:bCs/>
        </w:rPr>
        <w:t xml:space="preserve">princípio de precaução</w:t>
      </w:r>
      <w:r>
        <w:t xml:space="preserve"> </w:t>
      </w:r>
      <w:r>
        <w:t xml:space="preserve">— trate a política climática como um seguro contra catástrofe, não como otimização marginal.</w:t>
      </w:r>
    </w:p>
    <w:p>
      <w:pPr>
        <w:pStyle w:val="BlockText"/>
      </w:pPr>
      <w:r>
        <w:rPr>
          <w:b/>
          <w:bCs/>
        </w:rPr>
        <w:t xml:space="preserve">[EXEMPLO] Exercício Resolvido 24.2 — EU ETS vs. CBIO brasileiro: comparação de mercados de carbono</w:t>
      </w:r>
    </w:p>
    <w:p>
      <w:pPr>
        <w:pStyle w:val="BlockText"/>
      </w:pPr>
      <w:r>
        <w:rPr>
          <w:b/>
          <w:bCs/>
        </w:rPr>
        <w:t xml:space="preserve">Enunciado.</w:t>
      </w:r>
      <w:r>
        <w:t xml:space="preserve"> </w:t>
      </w:r>
      <w:r>
        <w:t xml:space="preserve">Compare os dois mercados de carbono: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Característica</w:t>
            </w:r>
          </w:p>
        </w:tc>
        <w:tc>
          <w:tcPr/>
          <w:p>
            <w:pPr>
              <w:pStyle w:val="Compact"/>
              <w:jc w:val="left"/>
            </w:pPr>
            <w:r>
              <w:t xml:space="preserve">EU ETS</w:t>
            </w:r>
          </w:p>
        </w:tc>
        <w:tc>
          <w:tcPr/>
          <w:p>
            <w:pPr>
              <w:pStyle w:val="Compact"/>
              <w:jc w:val="left"/>
            </w:pPr>
            <w:r>
              <w:t xml:space="preserve">RenovaBio (CBIOs)</w:t>
            </w:r>
          </w:p>
        </w:tc>
      </w:tr>
      <w:tr>
        <w:tc>
          <w:tcPr/>
          <w:p>
            <w:pPr>
              <w:pStyle w:val="Compact"/>
              <w:jc w:val="left"/>
            </w:pPr>
            <w:r>
              <w:t xml:space="preserve">Preço médio (2023)</w:t>
            </w:r>
          </w:p>
        </w:tc>
        <w:tc>
          <w:tcPr/>
          <w:p>
            <w:pPr>
              <w:pStyle w:val="Compact"/>
              <w:jc w:val="left"/>
            </w:pPr>
            <w:r>
              <w:t xml:space="preserve">€70/tCO₂ (~US$ 77)</w:t>
            </w:r>
          </w:p>
        </w:tc>
        <w:tc>
          <w:tcPr/>
          <w:p>
            <w:pPr>
              <w:pStyle w:val="Compact"/>
              <w:jc w:val="left"/>
            </w:pPr>
            <w:r>
              <w:t xml:space="preserve">R$ 90/CBIO (~US$ 18)</w:t>
            </w:r>
          </w:p>
        </w:tc>
      </w:tr>
      <w:tr>
        <w:tc>
          <w:tcPr/>
          <w:p>
            <w:pPr>
              <w:pStyle w:val="Compact"/>
              <w:jc w:val="left"/>
            </w:pPr>
            <w:r>
              <w:t xml:space="preserve">Emissões cobertas</w:t>
            </w:r>
          </w:p>
        </w:tc>
        <w:tc>
          <w:tcPr/>
          <w:p>
            <w:pPr>
              <w:pStyle w:val="Compact"/>
              <w:jc w:val="left"/>
            </w:pPr>
            <w:r>
              <w:t xml:space="preserve">~1,4 GtCO₂/ano</w:t>
            </w:r>
          </w:p>
        </w:tc>
        <w:tc>
          <w:tcPr/>
          <w:p>
            <w:pPr>
              <w:pStyle w:val="Compact"/>
              <w:jc w:val="left"/>
            </w:pPr>
            <w:r>
              <w:t xml:space="preserve">~0,7 GtCO₂e/ano</w:t>
            </w:r>
          </w:p>
        </w:tc>
      </w:tr>
      <w:tr>
        <w:tc>
          <w:tcPr/>
          <w:p>
            <w:pPr>
              <w:pStyle w:val="Compact"/>
              <w:jc w:val="left"/>
            </w:pPr>
            <w:r>
              <w:t xml:space="preserve">Setores</w:t>
            </w:r>
          </w:p>
        </w:tc>
        <w:tc>
          <w:tcPr/>
          <w:p>
            <w:pPr>
              <w:pStyle w:val="Compact"/>
              <w:jc w:val="left"/>
            </w:pPr>
            <w:r>
              <w:t xml:space="preserve">Energia, indústria, aviação</w:t>
            </w:r>
          </w:p>
        </w:tc>
        <w:tc>
          <w:tcPr/>
          <w:p>
            <w:pPr>
              <w:pStyle w:val="Compact"/>
              <w:jc w:val="left"/>
            </w:pPr>
            <w:r>
              <w:t xml:space="preserve">Biocombustíveis</w:t>
            </w:r>
          </w:p>
        </w:tc>
      </w:tr>
      <w:tr>
        <w:tc>
          <w:tcPr/>
          <w:p>
            <w:pPr>
              <w:pStyle w:val="Compact"/>
              <w:jc w:val="left"/>
            </w:pPr>
            <w:r>
              <w:t xml:space="preserve">Alocação</w:t>
            </w:r>
          </w:p>
        </w:tc>
        <w:tc>
          <w:tcPr/>
          <w:p>
            <w:pPr>
              <w:pStyle w:val="Compact"/>
              <w:jc w:val="left"/>
            </w:pPr>
            <w:r>
              <w:t xml:space="preserve">Leilão (maioria)</w:t>
            </w:r>
          </w:p>
        </w:tc>
        <w:tc>
          <w:tcPr/>
          <w:p>
            <w:pPr>
              <w:pStyle w:val="Compact"/>
              <w:jc w:val="left"/>
            </w:pPr>
            <w:r>
              <w:t xml:space="preserve">Emissão por produtores</w:t>
            </w:r>
          </w:p>
        </w:tc>
      </w:tr>
    </w:tbl>
    <w:p>
      <w:pPr>
        <w:pStyle w:val="BlockText"/>
        <w:numPr>
          <w:ilvl w:val="0"/>
          <w:numId w:val="2305"/>
        </w:numPr>
      </w:pPr>
      <w:r>
        <w:t xml:space="preserve">Por que o preço do EU ETS é ~4× maior que o dos CBIOs?</w:t>
      </w:r>
    </w:p>
    <w:p>
      <w:pPr>
        <w:pStyle w:val="BlockText"/>
        <w:numPr>
          <w:ilvl w:val="0"/>
          <w:numId w:val="2305"/>
        </w:numPr>
      </w:pPr>
      <w:r>
        <w:t xml:space="preserve">Se o preço do EU ETS subisse para €100, qual seria o impacto esperado sobre as exportações brasileiras de aço para a UE (via CBAM)?</w:t>
      </w:r>
    </w:p>
    <w:p>
      <w:pPr>
        <w:pStyle w:val="BlockText"/>
        <w:numPr>
          <w:ilvl w:val="0"/>
          <w:numId w:val="2305"/>
        </w:numPr>
      </w:pPr>
      <w:r>
        <w:t xml:space="preserve">O Brasil deveria alinhar o preço dos CBIOs ao preço internacional? Argumente prós e contras.</w:t>
      </w:r>
    </w:p>
    <w:p>
      <w:pPr>
        <w:pStyle w:val="BlockText"/>
      </w:pPr>
      <w:r>
        <w:rPr>
          <w:b/>
          <w:bCs/>
        </w:rPr>
        <w:t xml:space="preserve">Solução.</w:t>
      </w:r>
    </w:p>
    <w:p>
      <w:pPr>
        <w:pStyle w:val="BlockText"/>
      </w:pPr>
      <w:r>
        <w:rPr>
          <w:b/>
          <w:bCs/>
        </w:rPr>
        <w:t xml:space="preserve">(a)</w:t>
      </w:r>
      <w:r>
        <w:t xml:space="preserve"> </w:t>
      </w:r>
      <w:r>
        <w:t xml:space="preserve">Três fatores: (i)</w:t>
      </w:r>
      <w:r>
        <w:t xml:space="preserve"> </w:t>
      </w:r>
      <w:r>
        <w:rPr>
          <w:b/>
          <w:bCs/>
        </w:rPr>
        <w:t xml:space="preserve">oferta mais restritiva</w:t>
      </w:r>
      <w:r>
        <w:t xml:space="preserve"> </w:t>
      </w:r>
      <w:r>
        <w:t xml:space="preserve">— o cap do EU ETS foi progressivamente apertado, enquanto a meta do RenovaBio é menos ambiciosa; (ii)</w:t>
      </w:r>
      <w:r>
        <w:t xml:space="preserve"> </w:t>
      </w:r>
      <w:r>
        <w:rPr>
          <w:b/>
          <w:bCs/>
        </w:rPr>
        <w:t xml:space="preserve">custos de abatimento mais altos</w:t>
      </w:r>
      <w:r>
        <w:t xml:space="preserve"> </w:t>
      </w:r>
      <w:r>
        <w:t xml:space="preserve">na Europa — a margem de descarbonização</w:t>
      </w:r>
      <w:r>
        <w:t xml:space="preserve"> </w:t>
      </w:r>
      <w:r>
        <w:t xml:space="preserve">“barata”</w:t>
      </w:r>
      <w:r>
        <w:t xml:space="preserve"> </w:t>
      </w:r>
      <w:r>
        <w:t xml:space="preserve">(troca carvão→gás) já foi explorada; (iii)</w:t>
      </w:r>
      <w:r>
        <w:t xml:space="preserve"> </w:t>
      </w:r>
      <w:r>
        <w:rPr>
          <w:b/>
          <w:bCs/>
        </w:rPr>
        <w:t xml:space="preserve">maior demanda institucional</w:t>
      </w:r>
      <w:r>
        <w:t xml:space="preserve"> </w:t>
      </w:r>
      <w:r>
        <w:t xml:space="preserve">— empresas europeias enfrentam metas vinculantes com penalidades por descumprimento.</w:t>
      </w:r>
    </w:p>
    <w:p>
      <w:pPr>
        <w:pStyle w:val="BlockText"/>
      </w:pPr>
      <w:r>
        <w:rPr>
          <w:b/>
          <w:bCs/>
        </w:rPr>
        <w:t xml:space="preserve">(b)</w:t>
      </w:r>
      <w:r>
        <w:t xml:space="preserve"> </w:t>
      </w:r>
      <w:r>
        <w:t xml:space="preserve">Com CBAM, exportadores brasileiros de aço pagariam ~€100 × (emissões por tonelada de aço). O aço brasileiro emite ~1,5–2,0 tCO₂/tonelada. Custo adicional: €150–200/ton de aço. Com preço FOB de ~€600/ton, isso representa 25–33% do preço — potencialmente inviabilizando exportações menos eficientes. Siderúrgicas a carvão seriam mais afetadas que as a gás natural ou a carvão vegetal (que pode ser carbono-neutro).</w:t>
      </w:r>
    </w:p>
    <w:p>
      <w:pPr>
        <w:pStyle w:val="BlockText"/>
      </w:pPr>
      <w:r>
        <w:rPr>
          <w:b/>
          <w:bCs/>
        </w:rPr>
        <w:t xml:space="preserve">(c)</w:t>
      </w:r>
      <w:r>
        <w:t xml:space="preserve"> </w:t>
      </w:r>
      <w:r>
        <w:rPr>
          <w:b/>
          <w:bCs/>
        </w:rPr>
        <w:t xml:space="preserve">Prós:</w:t>
      </w:r>
      <w:r>
        <w:t xml:space="preserve"> </w:t>
      </w:r>
      <w:r>
        <w:t xml:space="preserve">Alinhamento cria</w:t>
      </w:r>
      <w:r>
        <w:t xml:space="preserve"> </w:t>
      </w:r>
      <w:r>
        <w:t xml:space="preserve">“crédito”</w:t>
      </w:r>
      <w:r>
        <w:t xml:space="preserve"> </w:t>
      </w:r>
      <w:r>
        <w:t xml:space="preserve">no CBAM (emissões já precificadas domesticamente são descontadas na fronteira europeia), protege competitividade exportadora, gera receita fiscal.</w:t>
      </w:r>
      <w:r>
        <w:t xml:space="preserve"> </w:t>
      </w:r>
      <w:r>
        <w:rPr>
          <w:b/>
          <w:bCs/>
        </w:rPr>
        <w:t xml:space="preserve">Contras:</w:t>
      </w:r>
      <w:r>
        <w:t xml:space="preserve"> </w:t>
      </w:r>
      <w:r>
        <w:t xml:space="preserve">Preço alto (€70+) teria impacto regressivo (energia e transporte ficam mais caros), indústria brasileira tem menos capacidade de ajuste rápido, e o custo marginal de abatimento no Brasil é menor que na Europa — portanto o preço ótimo brasileiro é menor.</w:t>
      </w:r>
    </w:p>
    <w:p>
      <w:pPr>
        <w:pStyle w:val="BlockText"/>
      </w:pPr>
      <w:r>
        <w:rPr>
          <w:b/>
          <w:bCs/>
        </w:rPr>
        <w:t xml:space="preserve">[BOX BRASIL] Brasil na Prática — Fundo Amazônia e pagamento por serviços ambientais</w:t>
      </w:r>
    </w:p>
    <w:p>
      <w:pPr>
        <w:pStyle w:val="BlockText"/>
      </w:pPr>
      <w:r>
        <w:rPr>
          <w:b/>
          <w:bCs/>
        </w:rPr>
        <w:t xml:space="preserve">O modelo.</w:t>
      </w:r>
      <w:r>
        <w:t xml:space="preserve"> </w:t>
      </w:r>
      <w:r>
        <w:t xml:space="preserve">O Fundo Amazônia, criado em 2008, é o maior mecanismo de pagamento por resultados de redução de desmatamento (REDD+) do mundo. A lógica econômica é elegante: países doadores (principalmente Noruega e Alemanha) pagam ao Brasil por tonelada de CO₂ evitada pela redução do desmatamento — transformando uma externalidade positiva (floresta em pé) em receita.</w:t>
      </w:r>
    </w:p>
    <w:p>
      <w:pPr>
        <w:pStyle w:val="BlockText"/>
      </w:pPr>
      <w:r>
        <w:rPr>
          <w:b/>
          <w:bCs/>
        </w:rPr>
        <w:t xml:space="preserve">Dados.</w:t>
      </w:r>
      <w:r>
        <w:t xml:space="preserve"> </w:t>
      </w:r>
      <w:r>
        <w:t xml:space="preserve">Entre 2008 e 2023, o Fundo recebeu ~R$ 3,4 bilhões em doações e apoiou ~100 projetos de combate ao desmatamento, monitoramento ambiental e desenvolvimento sustentável. A Noruega contribuiu com ~93% dos recursos. O fundo foi suspenso em 2019 e reativado em 2023.</w:t>
      </w:r>
    </w:p>
    <w:p>
      <w:pPr>
        <w:pStyle w:val="BlockText"/>
      </w:pPr>
      <w:r>
        <w:rPr>
          <w:b/>
          <w:bCs/>
        </w:rPr>
        <w:t xml:space="preserve">Análise custo-efetividade.</w:t>
      </w:r>
      <w:r>
        <w:t xml:space="preserve"> </w:t>
      </w:r>
      <w:r>
        <w:t xml:space="preserve">O custo implícito por tCO₂ evitada via Fundo Amazônia é estimado em US$ 5–10/tCO₂ — muito abaixo do SCC (~US$ 51) e do preço do EU ETS (~US$ 77). Isso significa que reduzir desmatamento na Amazônia é uma das formas mais custo-efetivas de mitigar emissões no planeta. O</w:t>
      </w:r>
      <w:r>
        <w:t xml:space="preserve"> </w:t>
      </w:r>
      <w:r>
        <w:t xml:space="preserve">“retorno”</w:t>
      </w:r>
      <w:r>
        <w:t xml:space="preserve"> </w:t>
      </w:r>
      <w:r>
        <w:t xml:space="preserve">para a Noruega: a um custo de ~US$ 1 bilhão, ajudou a evitar emissões equivalentes a ~3,5 bilhões de tCO₂ (associadas à redução do desmatamento de 2004 a 2012) — um ICER de ~US$ 0,30/tCO₂.</w:t>
      </w:r>
    </w:p>
    <w:p>
      <w:pPr>
        <w:pStyle w:val="BlockText"/>
      </w:pPr>
      <w:r>
        <w:rPr>
          <w:b/>
          <w:bCs/>
        </w:rPr>
        <w:t xml:space="preserve">Fonte:</w:t>
      </w:r>
      <w:r>
        <w:t xml:space="preserve"> </w:t>
      </w:r>
      <w:r>
        <w:t xml:space="preserve">Fundo Amazônia,</w:t>
      </w:r>
      <w:r>
        <w:t xml:space="preserve"> </w:t>
      </w:r>
      <w:r>
        <w:rPr>
          <w:i/>
          <w:iCs/>
        </w:rPr>
        <w:t xml:space="preserve">Relatório de Atividades 2023</w:t>
      </w:r>
      <w:r>
        <w:t xml:space="preserve">. Disponível em</w:t>
      </w:r>
      <w:r>
        <w:t xml:space="preserve"> </w:t>
      </w:r>
      <w:hyperlink r:id="rId1454">
        <w:r>
          <w:rPr>
            <w:rStyle w:val="Hyperlink"/>
          </w:rPr>
          <w:t xml:space="preserve">fundoamazonia.gov.br</w:t>
        </w:r>
      </w:hyperlink>
      <w:r>
        <w:t xml:space="preserve">.</w:t>
      </w:r>
    </w:p>
    <w:p>
      <w:pPr>
        <w:pStyle w:val="BlockText"/>
      </w:pPr>
      <w:r>
        <w:rPr>
          <w:b/>
          <w:bCs/>
        </w:rPr>
        <w:t xml:space="preserve">[R-INTERACTIVE] R Interativo — Modelo DICE Simplificado: Taxa de Desconto e Trajetória Ótima</w:t>
      </w:r>
    </w:p>
    <w:p>
      <w:pPr>
        <w:pStyle w:val="SourceCode"/>
      </w:pPr>
      <w:r>
        <w:rPr>
          <w:rStyle w:val="CommentTok"/>
        </w:rPr>
        <w:t xml:space="preserve"># Modelo DICE ultra-simplificado</w:t>
      </w:r>
      <w:r>
        <w:br/>
      </w:r>
      <w:r>
        <w:rPr>
          <w:rStyle w:val="CommentTok"/>
        </w:rPr>
        <w:t xml:space="preserve"># Demonstra: impacto da taxa de desconto sobre política ótima de mitigação</w:t>
      </w:r>
      <w:r>
        <w:br/>
      </w:r>
      <w:r>
        <w:br/>
      </w:r>
      <w:r>
        <w:rPr>
          <w:rStyle w:val="CommentTok"/>
        </w:rPr>
        <w:t xml:space="preserve"># Parâmetros (altere para explorar!)</w:t>
      </w:r>
      <w:r>
        <w:br/>
      </w:r>
      <w:r>
        <w:rPr>
          <w:rStyle w:val="NormalTok"/>
        </w:rPr>
        <w:t xml:space="preserve">rho   </w:t>
      </w:r>
      <w:r>
        <w:rPr>
          <w:rStyle w:val="OtherTok"/>
        </w:rPr>
        <w:t xml:space="preserve">&lt;-</w:t>
      </w:r>
      <w:r>
        <w:rPr>
          <w:rStyle w:val="NormalTok"/>
        </w:rPr>
        <w:t xml:space="preserve"> </w:t>
      </w:r>
      <w:r>
        <w:rPr>
          <w:rStyle w:val="FloatTok"/>
        </w:rPr>
        <w:t xml:space="preserve">0.015</w:t>
      </w:r>
      <w:r>
        <w:rPr>
          <w:rStyle w:val="NormalTok"/>
        </w:rPr>
        <w:t xml:space="preserve">   </w:t>
      </w:r>
      <w:r>
        <w:rPr>
          <w:rStyle w:val="CommentTok"/>
        </w:rPr>
        <w:t xml:space="preserve"># taxa pura de preferência temporal (Stern: 0.001; Nordhaus: 0.015)</w:t>
      </w:r>
      <w:r>
        <w:br/>
      </w:r>
      <w:r>
        <w:rPr>
          <w:rStyle w:val="NormalTok"/>
        </w:rPr>
        <w:t xml:space="preserve">eta   </w:t>
      </w:r>
      <w:r>
        <w:rPr>
          <w:rStyle w:val="OtherTok"/>
        </w:rPr>
        <w:t xml:space="preserve">&lt;-</w:t>
      </w:r>
      <w:r>
        <w:rPr>
          <w:rStyle w:val="NormalTok"/>
        </w:rPr>
        <w:t xml:space="preserve"> </w:t>
      </w:r>
      <w:r>
        <w:rPr>
          <w:rStyle w:val="FloatTok"/>
        </w:rPr>
        <w:t xml:space="preserve">2.0</w:t>
      </w:r>
      <w:r>
        <w:rPr>
          <w:rStyle w:val="NormalTok"/>
        </w:rPr>
        <w:t xml:space="preserve">     </w:t>
      </w:r>
      <w:r>
        <w:rPr>
          <w:rStyle w:val="CommentTok"/>
        </w:rPr>
        <w:t xml:space="preserve"># elasticidade marginal da utilidade (aversão à desigualdade)</w:t>
      </w:r>
      <w:r>
        <w:br/>
      </w:r>
      <w:r>
        <w:rPr>
          <w:rStyle w:val="NormalTok"/>
        </w:rPr>
        <w:t xml:space="preserve">g     </w:t>
      </w:r>
      <w:r>
        <w:rPr>
          <w:rStyle w:val="OtherTok"/>
        </w:rPr>
        <w:t xml:space="preserve">&lt;-</w:t>
      </w:r>
      <w:r>
        <w:rPr>
          <w:rStyle w:val="NormalTok"/>
        </w:rPr>
        <w:t xml:space="preserve"> </w:t>
      </w:r>
      <w:r>
        <w:rPr>
          <w:rStyle w:val="FloatTok"/>
        </w:rPr>
        <w:t xml:space="preserve">0.02</w:t>
      </w:r>
      <w:r>
        <w:rPr>
          <w:rStyle w:val="NormalTok"/>
        </w:rPr>
        <w:t xml:space="preserve">    </w:t>
      </w:r>
      <w:r>
        <w:rPr>
          <w:rStyle w:val="CommentTok"/>
        </w:rPr>
        <w:t xml:space="preserve"># crescimento do consumo per capita</w:t>
      </w:r>
      <w:r>
        <w:br/>
      </w:r>
      <w:r>
        <w:rPr>
          <w:rStyle w:val="NormalTok"/>
        </w:rPr>
        <w:t xml:space="preserve">T_max </w:t>
      </w:r>
      <w:r>
        <w:rPr>
          <w:rStyle w:val="OtherTok"/>
        </w:rPr>
        <w:t xml:space="preserve">&lt;-</w:t>
      </w:r>
      <w:r>
        <w:rPr>
          <w:rStyle w:val="NormalTok"/>
        </w:rPr>
        <w:t xml:space="preserve"> </w:t>
      </w:r>
      <w:r>
        <w:rPr>
          <w:rStyle w:val="DecValTok"/>
        </w:rPr>
        <w:t xml:space="preserve">200</w:t>
      </w:r>
      <w:r>
        <w:rPr>
          <w:rStyle w:val="NormalTok"/>
        </w:rPr>
        <w:t xml:space="preserve">     </w:t>
      </w:r>
      <w:r>
        <w:rPr>
          <w:rStyle w:val="CommentTok"/>
        </w:rPr>
        <w:t xml:space="preserve"># horizonte em anos</w:t>
      </w:r>
      <w:r>
        <w:br/>
      </w:r>
      <w:r>
        <w:rPr>
          <w:rStyle w:val="NormalTok"/>
        </w:rPr>
        <w:t xml:space="preserve">Y0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PIB base (trilhões US$)</w:t>
      </w:r>
      <w:r>
        <w:br/>
      </w:r>
      <w:r>
        <w:rPr>
          <w:rStyle w:val="NormalTok"/>
        </w:rPr>
        <w:t xml:space="preserve">E0    </w:t>
      </w:r>
      <w:r>
        <w:rPr>
          <w:rStyle w:val="OtherTok"/>
        </w:rPr>
        <w:t xml:space="preserve">&lt;-</w:t>
      </w:r>
      <w:r>
        <w:rPr>
          <w:rStyle w:val="NormalTok"/>
        </w:rPr>
        <w:t xml:space="preserve"> </w:t>
      </w:r>
      <w:r>
        <w:rPr>
          <w:rStyle w:val="DecValTok"/>
        </w:rPr>
        <w:t xml:space="preserve">40</w:t>
      </w:r>
      <w:r>
        <w:rPr>
          <w:rStyle w:val="NormalTok"/>
        </w:rPr>
        <w:t xml:space="preserve">      </w:t>
      </w:r>
      <w:r>
        <w:rPr>
          <w:rStyle w:val="CommentTok"/>
        </w:rPr>
        <w:t xml:space="preserve"># emissões iniciais (GtCO2/ano)</w:t>
      </w:r>
      <w:r>
        <w:br/>
      </w:r>
      <w:r>
        <w:rPr>
          <w:rStyle w:val="NormalTok"/>
        </w:rPr>
        <w:t xml:space="preserve">pi2   </w:t>
      </w:r>
      <w:r>
        <w:rPr>
          <w:rStyle w:val="OtherTok"/>
        </w:rPr>
        <w:t xml:space="preserve">&lt;-</w:t>
      </w:r>
      <w:r>
        <w:rPr>
          <w:rStyle w:val="NormalTok"/>
        </w:rPr>
        <w:t xml:space="preserve"> </w:t>
      </w:r>
      <w:r>
        <w:rPr>
          <w:rStyle w:val="FloatTok"/>
        </w:rPr>
        <w:t xml:space="preserve">0.00236</w:t>
      </w:r>
      <w:r>
        <w:rPr>
          <w:rStyle w:val="NormalTok"/>
        </w:rPr>
        <w:t xml:space="preserve"> </w:t>
      </w:r>
      <w:r>
        <w:rPr>
          <w:rStyle w:val="CommentTok"/>
        </w:rPr>
        <w:t xml:space="preserve"># parâmetro da função de dano (Nordhaus 2017)</w:t>
      </w:r>
      <w:r>
        <w:br/>
      </w:r>
      <w:r>
        <w:rPr>
          <w:rStyle w:val="NormalTok"/>
        </w:rPr>
        <w:t xml:space="preserve">sens  </w:t>
      </w:r>
      <w:r>
        <w:rPr>
          <w:rStyle w:val="OtherTok"/>
        </w:rPr>
        <w:t xml:space="preserve">&lt;-</w:t>
      </w:r>
      <w:r>
        <w:rPr>
          <w:rStyle w:val="NormalTok"/>
        </w:rPr>
        <w:t xml:space="preserve"> </w:t>
      </w:r>
      <w:r>
        <w:rPr>
          <w:rStyle w:val="FloatTok"/>
        </w:rPr>
        <w:t xml:space="preserve">3.0</w:t>
      </w:r>
      <w:r>
        <w:rPr>
          <w:rStyle w:val="NormalTok"/>
        </w:rPr>
        <w:t xml:space="preserve">     </w:t>
      </w:r>
      <w:r>
        <w:rPr>
          <w:rStyle w:val="CommentTok"/>
        </w:rPr>
        <w:t xml:space="preserve"># sensibilidade climática (°C por duplicação CO2)</w:t>
      </w:r>
      <w:r>
        <w:br/>
      </w:r>
      <w:r>
        <w:br/>
      </w:r>
      <w:r>
        <w:rPr>
          <w:rStyle w:val="CommentTok"/>
        </w:rPr>
        <w:t xml:space="preserve"># Taxa de desconto de Ramsey</w:t>
      </w:r>
      <w:r>
        <w:br/>
      </w:r>
      <w:r>
        <w:rPr>
          <w:rStyle w:val="NormalTok"/>
        </w:rPr>
        <w:t xml:space="preserve">r </w:t>
      </w:r>
      <w:r>
        <w:rPr>
          <w:rStyle w:val="OtherTok"/>
        </w:rPr>
        <w:t xml:space="preserve">&lt;-</w:t>
      </w:r>
      <w:r>
        <w:rPr>
          <w:rStyle w:val="NormalTok"/>
        </w:rPr>
        <w:t xml:space="preserve"> rho </w:t>
      </w:r>
      <w:r>
        <w:rPr>
          <w:rStyle w:val="SpecialCharTok"/>
        </w:rPr>
        <w:t xml:space="preserve">+</w:t>
      </w:r>
      <w:r>
        <w:rPr>
          <w:rStyle w:val="NormalTok"/>
        </w:rPr>
        <w:t xml:space="preserve"> eta </w:t>
      </w:r>
      <w:r>
        <w:rPr>
          <w:rStyle w:val="SpecialCharTok"/>
        </w:rPr>
        <w:t xml:space="preserve">*</w:t>
      </w:r>
      <w:r>
        <w:rPr>
          <w:rStyle w:val="NormalTok"/>
        </w:rPr>
        <w:t xml:space="preserve"> g</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"Taxa de desconto social (Ramsey): r = %.1f%% + %.1f × %.1f%% = %.2f%%</w:t>
      </w:r>
      <w:r>
        <w:rPr>
          <w:rStyle w:val="SpecialCharTok"/>
        </w:rPr>
        <w:t xml:space="preserve">\n</w:t>
      </w:r>
      <w:r>
        <w:rPr>
          <w:rStyle w:val="StringTok"/>
        </w:rPr>
        <w:t xml:space="preserve">"</w:t>
      </w:r>
      <w:r>
        <w:rPr>
          <w:rStyle w:val="NormalTok"/>
        </w:rPr>
        <w:t xml:space="preserve">,</w:t>
      </w:r>
      <w:r>
        <w:br/>
      </w:r>
      <w:r>
        <w:rPr>
          <w:rStyle w:val="NormalTok"/>
        </w:rPr>
        <w:t xml:space="preserve">            rho</w:t>
      </w:r>
      <w:r>
        <w:rPr>
          <w:rStyle w:val="SpecialCharTok"/>
        </w:rPr>
        <w:t xml:space="preserve">*</w:t>
      </w:r>
      <w:r>
        <w:rPr>
          <w:rStyle w:val="DecValTok"/>
        </w:rPr>
        <w:t xml:space="preserve">100</w:t>
      </w:r>
      <w:r>
        <w:rPr>
          <w:rStyle w:val="NormalTok"/>
        </w:rPr>
        <w:t xml:space="preserve">, eta, g</w:t>
      </w:r>
      <w:r>
        <w:rPr>
          <w:rStyle w:val="SpecialCharTok"/>
        </w:rPr>
        <w:t xml:space="preserve">*</w:t>
      </w:r>
      <w:r>
        <w:rPr>
          <w:rStyle w:val="DecValTok"/>
        </w:rPr>
        <w:t xml:space="preserve">100</w:t>
      </w:r>
      <w:r>
        <w:rPr>
          <w:rStyle w:val="NormalTok"/>
        </w:rPr>
        <w:t xml:space="preserve">, r</w:t>
      </w:r>
      <w:r>
        <w:rPr>
          <w:rStyle w:val="SpecialCharTok"/>
        </w:rPr>
        <w:t xml:space="preserve">*</w:t>
      </w:r>
      <w:r>
        <w:rPr>
          <w:rStyle w:val="DecValTok"/>
        </w:rPr>
        <w:t xml:space="preserve">100</w:t>
      </w:r>
      <w:r>
        <w:rPr>
          <w:rStyle w:val="NormalTok"/>
        </w:rPr>
        <w:t xml:space="preserve">))</w:t>
      </w:r>
      <w:r>
        <w:br/>
      </w:r>
      <w:r>
        <w:br/>
      </w:r>
      <w:r>
        <w:rPr>
          <w:rStyle w:val="CommentTok"/>
        </w:rPr>
        <w:t xml:space="preserve"># Simulação simplificada</w:t>
      </w:r>
      <w:r>
        <w:br/>
      </w:r>
      <w:r>
        <w:rPr>
          <w:rStyle w:val="NormalTok"/>
        </w:rPr>
        <w:t xml:space="preserve">anos </w:t>
      </w:r>
      <w:r>
        <w:rPr>
          <w:rStyle w:val="OtherTok"/>
        </w:rPr>
        <w:t xml:space="preserve">&lt;-</w:t>
      </w:r>
      <w:r>
        <w:rPr>
          <w:rStyle w:val="NormalTok"/>
        </w:rPr>
        <w:t xml:space="preserve"> </w:t>
      </w:r>
      <w:r>
        <w:rPr>
          <w:rStyle w:val="DecValTok"/>
        </w:rPr>
        <w:t xml:space="preserve">0</w:t>
      </w:r>
      <w:r>
        <w:rPr>
          <w:rStyle w:val="SpecialCharTok"/>
        </w:rPr>
        <w:t xml:space="preserve">:</w:t>
      </w:r>
      <w:r>
        <w:rPr>
          <w:rStyle w:val="NormalTok"/>
        </w:rPr>
        <w:t xml:space="preserve">T_max</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(anos)</w:t>
      </w:r>
      <w:r>
        <w:br/>
      </w:r>
      <w:r>
        <w:br/>
      </w:r>
      <w:r>
        <w:rPr>
          <w:rStyle w:val="CommentTok"/>
        </w:rPr>
        <w:t xml:space="preserve"># Cenário 1: Business as usual (sem mitigação)</w:t>
      </w:r>
      <w:r>
        <w:br/>
      </w:r>
      <w:r>
        <w:rPr>
          <w:rStyle w:val="NormalTok"/>
        </w:rPr>
        <w:t xml:space="preserve">T_bau </w:t>
      </w:r>
      <w:r>
        <w:rPr>
          <w:rStyle w:val="OtherTok"/>
        </w:rPr>
        <w:t xml:space="preserve">&lt;-</w:t>
      </w:r>
      <w:r>
        <w:rPr>
          <w:rStyle w:val="NormalTok"/>
        </w:rPr>
        <w:t xml:space="preserve"> sens </w:t>
      </w:r>
      <w:r>
        <w:rPr>
          <w:rStyle w:val="SpecialCharTok"/>
        </w:rPr>
        <w:t xml:space="preserve">*</w:t>
      </w:r>
      <w:r>
        <w:rPr>
          <w:rStyle w:val="NormalTok"/>
        </w:rPr>
        <w:t xml:space="preserve"> </w:t>
      </w:r>
      <w:r>
        <w:rPr>
          <w:rStyle w:val="FunctionTok"/>
        </w:rPr>
        <w:t xml:space="preserve">log2</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0.005</w:t>
      </w:r>
      <w:r>
        <w:rPr>
          <w:rStyle w:val="NormalTok"/>
        </w:rPr>
        <w:t xml:space="preserve"> </w:t>
      </w:r>
      <w:r>
        <w:rPr>
          <w:rStyle w:val="SpecialCharTok"/>
        </w:rPr>
        <w:t xml:space="preserve">*</w:t>
      </w:r>
      <w:r>
        <w:rPr>
          <w:rStyle w:val="NormalTok"/>
        </w:rPr>
        <w:t xml:space="preserve"> anos)  </w:t>
      </w:r>
      <w:r>
        <w:rPr>
          <w:rStyle w:val="CommentTok"/>
        </w:rPr>
        <w:t xml:space="preserve"># aquecimento aproximado</w:t>
      </w:r>
      <w:r>
        <w:br/>
      </w:r>
      <w:r>
        <w:rPr>
          <w:rStyle w:val="NormalTok"/>
        </w:rPr>
        <w:t xml:space="preserve">dano_bau </w:t>
      </w:r>
      <w:r>
        <w:rPr>
          <w:rStyle w:val="OtherTok"/>
        </w:rPr>
        <w:t xml:space="preserve">&lt;-</w:t>
      </w:r>
      <w:r>
        <w:rPr>
          <w:rStyle w:val="NormalTok"/>
        </w:rPr>
        <w:t xml:space="preserve"> pi2 </w:t>
      </w:r>
      <w:r>
        <w:rPr>
          <w:rStyle w:val="SpecialCharTok"/>
        </w:rPr>
        <w:t xml:space="preserve">*</w:t>
      </w:r>
      <w:r>
        <w:rPr>
          <w:rStyle w:val="NormalTok"/>
        </w:rPr>
        <w:t xml:space="preserve"> T_bau</w:t>
      </w:r>
      <w:r>
        <w:rPr>
          <w:rStyle w:val="SpecialCharTok"/>
        </w:rPr>
        <w:t xml:space="preserve">^</w:t>
      </w:r>
      <w:r>
        <w:rPr>
          <w:rStyle w:val="DecValTok"/>
        </w:rPr>
        <w:t xml:space="preserve">2</w:t>
      </w:r>
      <w:r>
        <w:rPr>
          <w:rStyle w:val="NormalTok"/>
        </w:rPr>
        <w:t xml:space="preserve">               </w:t>
      </w:r>
      <w:r>
        <w:rPr>
          <w:rStyle w:val="CommentTok"/>
        </w:rPr>
        <w:t xml:space="preserve"># fração do PIB perdida</w:t>
      </w:r>
      <w:r>
        <w:br/>
      </w:r>
      <w:r>
        <w:rPr>
          <w:rStyle w:val="NormalTok"/>
        </w:rPr>
        <w:t xml:space="preserve">Y_bau </w:t>
      </w:r>
      <w:r>
        <w:rPr>
          <w:rStyle w:val="OtherTok"/>
        </w:rPr>
        <w:t xml:space="preserve">&lt;-</w:t>
      </w:r>
      <w:r>
        <w:rPr>
          <w:rStyle w:val="NormalTok"/>
        </w:rPr>
        <w:t xml:space="preserve"> Y0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g)</w:t>
      </w:r>
      <w:r>
        <w:rPr>
          <w:rStyle w:val="SpecialCharTok"/>
        </w:rPr>
        <w:t xml:space="preserve">^</w:t>
      </w:r>
      <w:r>
        <w:rPr>
          <w:rStyle w:val="NormalTok"/>
        </w:rPr>
        <w:t xml:space="preserve">anos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dano_bau)</w:t>
      </w:r>
      <w:r>
        <w:br/>
      </w:r>
      <w:r>
        <w:br/>
      </w:r>
      <w:r>
        <w:rPr>
          <w:rStyle w:val="CommentTok"/>
        </w:rPr>
        <w:t xml:space="preserve"># Cenário 2: Mitigação ótima (redução gradual de emissões)</w:t>
      </w:r>
      <w:r>
        <w:br/>
      </w:r>
      <w:r>
        <w:rPr>
          <w:rStyle w:val="NormalTok"/>
        </w:rPr>
        <w:t xml:space="preserve">abate </w:t>
      </w:r>
      <w:r>
        <w:rPr>
          <w:rStyle w:val="OtherTok"/>
        </w:rPr>
        <w:t xml:space="preserve">&lt;-</w:t>
      </w:r>
      <w:r>
        <w:rPr>
          <w:rStyle w:val="NormalTok"/>
        </w:rPr>
        <w:t xml:space="preserve"> </w:t>
      </w:r>
      <w:r>
        <w:rPr>
          <w:rStyle w:val="FunctionTok"/>
        </w:rPr>
        <w:t xml:space="preserve">pmin</w:t>
      </w:r>
      <w:r>
        <w:rPr>
          <w:rStyle w:val="NormalTok"/>
        </w:rPr>
        <w:t xml:space="preserve">(</w:t>
      </w:r>
      <w:r>
        <w:rPr>
          <w:rStyle w:val="DecValTok"/>
        </w:rPr>
        <w:t xml:space="preserve">1</w:t>
      </w:r>
      <w:r>
        <w:rPr>
          <w:rStyle w:val="NormalTok"/>
        </w:rPr>
        <w:t xml:space="preserve">, </w:t>
      </w:r>
      <w:r>
        <w:rPr>
          <w:rStyle w:val="FloatTok"/>
        </w:rPr>
        <w:t xml:space="preserve">0.01</w:t>
      </w:r>
      <w:r>
        <w:rPr>
          <w:rStyle w:val="NormalTok"/>
        </w:rPr>
        <w:t xml:space="preserve"> </w:t>
      </w:r>
      <w:r>
        <w:rPr>
          <w:rStyle w:val="SpecialCharTok"/>
        </w:rPr>
        <w:t xml:space="preserve">*</w:t>
      </w:r>
      <w:r>
        <w:rPr>
          <w:rStyle w:val="NormalTok"/>
        </w:rPr>
        <w:t xml:space="preserve"> anos)            </w:t>
      </w:r>
      <w:r>
        <w:rPr>
          <w:rStyle w:val="CommentTok"/>
        </w:rPr>
        <w:t xml:space="preserve"># fração abatida (0 a 100% em 100 anos)</w:t>
      </w:r>
      <w:r>
        <w:br/>
      </w:r>
      <w:r>
        <w:rPr>
          <w:rStyle w:val="NormalTok"/>
        </w:rPr>
        <w:t xml:space="preserve">T_mit </w:t>
      </w:r>
      <w:r>
        <w:rPr>
          <w:rStyle w:val="OtherTok"/>
        </w:rPr>
        <w:t xml:space="preserve">&lt;-</w:t>
      </w:r>
      <w:r>
        <w:rPr>
          <w:rStyle w:val="NormalTok"/>
        </w:rPr>
        <w:t xml:space="preserve"> sens </w:t>
      </w:r>
      <w:r>
        <w:rPr>
          <w:rStyle w:val="SpecialCharTok"/>
        </w:rPr>
        <w:t xml:space="preserve">*</w:t>
      </w:r>
      <w:r>
        <w:rPr>
          <w:rStyle w:val="NormalTok"/>
        </w:rPr>
        <w:t xml:space="preserve"> </w:t>
      </w:r>
      <w:r>
        <w:rPr>
          <w:rStyle w:val="FunctionTok"/>
        </w:rPr>
        <w:t xml:space="preserve">log2</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0.005</w:t>
      </w:r>
      <w:r>
        <w:rPr>
          <w:rStyle w:val="NormalTok"/>
        </w:rPr>
        <w:t xml:space="preserve"> </w:t>
      </w:r>
      <w:r>
        <w:rPr>
          <w:rStyle w:val="SpecialCharTok"/>
        </w:rPr>
        <w:t xml:space="preserve">*</w:t>
      </w:r>
      <w:r>
        <w:rPr>
          <w:rStyle w:val="NormalTok"/>
        </w:rPr>
        <w:t xml:space="preserve"> anos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abate))</w:t>
      </w:r>
      <w:r>
        <w:br/>
      </w:r>
      <w:r>
        <w:rPr>
          <w:rStyle w:val="NormalTok"/>
        </w:rPr>
        <w:t xml:space="preserve">dano_mit </w:t>
      </w:r>
      <w:r>
        <w:rPr>
          <w:rStyle w:val="OtherTok"/>
        </w:rPr>
        <w:t xml:space="preserve">&lt;-</w:t>
      </w:r>
      <w:r>
        <w:rPr>
          <w:rStyle w:val="NormalTok"/>
        </w:rPr>
        <w:t xml:space="preserve"> pi2 </w:t>
      </w:r>
      <w:r>
        <w:rPr>
          <w:rStyle w:val="SpecialCharTok"/>
        </w:rPr>
        <w:t xml:space="preserve">*</w:t>
      </w:r>
      <w:r>
        <w:rPr>
          <w:rStyle w:val="NormalTok"/>
        </w:rPr>
        <w:t xml:space="preserve"> T_mit</w:t>
      </w:r>
      <w:r>
        <w:rPr>
          <w:rStyle w:val="SpecialCharTok"/>
        </w:rPr>
        <w:t xml:space="preserve">^</w:t>
      </w:r>
      <w:r>
        <w:rPr>
          <w:rStyle w:val="DecValTok"/>
        </w:rPr>
        <w:t xml:space="preserve">2</w:t>
      </w:r>
      <w:r>
        <w:br/>
      </w:r>
      <w:r>
        <w:rPr>
          <w:rStyle w:val="NormalTok"/>
        </w:rPr>
        <w:t xml:space="preserve">custo_abate </w:t>
      </w:r>
      <w:r>
        <w:rPr>
          <w:rStyle w:val="OtherTok"/>
        </w:rPr>
        <w:t xml:space="preserve">&lt;-</w:t>
      </w:r>
      <w:r>
        <w:rPr>
          <w:rStyle w:val="NormalTok"/>
        </w:rPr>
        <w:t xml:space="preserve"> </w:t>
      </w:r>
      <w:r>
        <w:rPr>
          <w:rStyle w:val="FloatTok"/>
        </w:rPr>
        <w:t xml:space="preserve">0.01</w:t>
      </w:r>
      <w:r>
        <w:rPr>
          <w:rStyle w:val="NormalTok"/>
        </w:rPr>
        <w:t xml:space="preserve"> </w:t>
      </w:r>
      <w:r>
        <w:rPr>
          <w:rStyle w:val="SpecialCharTok"/>
        </w:rPr>
        <w:t xml:space="preserve">*</w:t>
      </w:r>
      <w:r>
        <w:rPr>
          <w:rStyle w:val="NormalTok"/>
        </w:rPr>
        <w:t xml:space="preserve"> abate</w:t>
      </w:r>
      <w:r>
        <w:rPr>
          <w:rStyle w:val="SpecialCharTok"/>
        </w:rPr>
        <w:t xml:space="preserve">^</w:t>
      </w:r>
      <w:r>
        <w:rPr>
          <w:rStyle w:val="DecValTok"/>
        </w:rPr>
        <w:t xml:space="preserve">2</w:t>
      </w:r>
      <w:r>
        <w:rPr>
          <w:rStyle w:val="NormalTok"/>
        </w:rPr>
        <w:t xml:space="preserve">            </w:t>
      </w:r>
      <w:r>
        <w:rPr>
          <w:rStyle w:val="CommentTok"/>
        </w:rPr>
        <w:t xml:space="preserve"># custo de abatimento (convexo)</w:t>
      </w:r>
      <w:r>
        <w:br/>
      </w:r>
      <w:r>
        <w:rPr>
          <w:rStyle w:val="NormalTok"/>
        </w:rPr>
        <w:t xml:space="preserve">Y_mit </w:t>
      </w:r>
      <w:r>
        <w:rPr>
          <w:rStyle w:val="OtherTok"/>
        </w:rPr>
        <w:t xml:space="preserve">&lt;-</w:t>
      </w:r>
      <w:r>
        <w:rPr>
          <w:rStyle w:val="NormalTok"/>
        </w:rPr>
        <w:t xml:space="preserve"> Y0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g)</w:t>
      </w:r>
      <w:r>
        <w:rPr>
          <w:rStyle w:val="SpecialCharTok"/>
        </w:rPr>
        <w:t xml:space="preserve">^</w:t>
      </w:r>
      <w:r>
        <w:rPr>
          <w:rStyle w:val="NormalTok"/>
        </w:rPr>
        <w:t xml:space="preserve">anos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dano_mit </w:t>
      </w:r>
      <w:r>
        <w:rPr>
          <w:rStyle w:val="SpecialCharTok"/>
        </w:rPr>
        <w:t xml:space="preserve">-</w:t>
      </w:r>
      <w:r>
        <w:rPr>
          <w:rStyle w:val="NormalTok"/>
        </w:rPr>
        <w:t xml:space="preserve"> custo_abate)</w:t>
      </w:r>
      <w:r>
        <w:br/>
      </w:r>
      <w:r>
        <w:br/>
      </w:r>
      <w:r>
        <w:rPr>
          <w:rStyle w:val="CommentTok"/>
        </w:rPr>
        <w:t xml:space="preserve"># Valor presente dos danos</w:t>
      </w:r>
      <w:r>
        <w:br/>
      </w:r>
      <w:r>
        <w:rPr>
          <w:rStyle w:val="NormalTok"/>
        </w:rPr>
        <w:t xml:space="preserve">desconto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w:t>
      </w:r>
      <w:r>
        <w:rPr>
          <w:rStyle w:val="SpecialCharTok"/>
        </w:rPr>
        <w:t xml:space="preserve">^</w:t>
      </w:r>
      <w:r>
        <w:rPr>
          <w:rStyle w:val="NormalTok"/>
        </w:rPr>
        <w:t xml:space="preserve">anos</w:t>
      </w:r>
      <w:r>
        <w:br/>
      </w:r>
      <w:r>
        <w:rPr>
          <w:rStyle w:val="NormalTok"/>
        </w:rPr>
        <w:t xml:space="preserve">VP_dano_bau </w:t>
      </w:r>
      <w:r>
        <w:rPr>
          <w:rStyle w:val="OtherTok"/>
        </w:rPr>
        <w:t xml:space="preserve">&lt;-</w:t>
      </w:r>
      <w:r>
        <w:rPr>
          <w:rStyle w:val="NormalTok"/>
        </w:rPr>
        <w:t xml:space="preserve"> </w:t>
      </w:r>
      <w:r>
        <w:rPr>
          <w:rStyle w:val="FunctionTok"/>
        </w:rPr>
        <w:t xml:space="preserve">sum</w:t>
      </w:r>
      <w:r>
        <w:rPr>
          <w:rStyle w:val="NormalTok"/>
        </w:rPr>
        <w:t xml:space="preserve">(dano_bau </w:t>
      </w:r>
      <w:r>
        <w:rPr>
          <w:rStyle w:val="SpecialCharTok"/>
        </w:rPr>
        <w:t xml:space="preserve">*</w:t>
      </w:r>
      <w:r>
        <w:rPr>
          <w:rStyle w:val="NormalTok"/>
        </w:rPr>
        <w:t xml:space="preserve"> Y0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g)</w:t>
      </w:r>
      <w:r>
        <w:rPr>
          <w:rStyle w:val="SpecialCharTok"/>
        </w:rPr>
        <w:t xml:space="preserve">^</w:t>
      </w:r>
      <w:r>
        <w:rPr>
          <w:rStyle w:val="NormalTok"/>
        </w:rPr>
        <w:t xml:space="preserve">anos </w:t>
      </w:r>
      <w:r>
        <w:rPr>
          <w:rStyle w:val="SpecialCharTok"/>
        </w:rPr>
        <w:t xml:space="preserve">*</w:t>
      </w:r>
      <w:r>
        <w:rPr>
          <w:rStyle w:val="NormalTok"/>
        </w:rPr>
        <w:t xml:space="preserve"> desconto,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VP_dano_mit </w:t>
      </w:r>
      <w:r>
        <w:rPr>
          <w:rStyle w:val="OtherTok"/>
        </w:rPr>
        <w:t xml:space="preserve">&lt;-</w:t>
      </w:r>
      <w:r>
        <w:rPr>
          <w:rStyle w:val="NormalTok"/>
        </w:rPr>
        <w:t xml:space="preserve"> </w:t>
      </w:r>
      <w:r>
        <w:rPr>
          <w:rStyle w:val="FunctionTok"/>
        </w:rPr>
        <w:t xml:space="preserve">sum</w:t>
      </w:r>
      <w:r>
        <w:rPr>
          <w:rStyle w:val="NormalTok"/>
        </w:rPr>
        <w:t xml:space="preserve">((dano_mit </w:t>
      </w:r>
      <w:r>
        <w:rPr>
          <w:rStyle w:val="SpecialCharTok"/>
        </w:rPr>
        <w:t xml:space="preserve">+</w:t>
      </w:r>
      <w:r>
        <w:rPr>
          <w:rStyle w:val="NormalTok"/>
        </w:rPr>
        <w:t xml:space="preserve"> custo_abate) </w:t>
      </w:r>
      <w:r>
        <w:rPr>
          <w:rStyle w:val="SpecialCharTok"/>
        </w:rPr>
        <w:t xml:space="preserve">*</w:t>
      </w:r>
      <w:r>
        <w:rPr>
          <w:rStyle w:val="NormalTok"/>
        </w:rPr>
        <w:t xml:space="preserve"> Y0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g)</w:t>
      </w:r>
      <w:r>
        <w:rPr>
          <w:rStyle w:val="SpecialCharTok"/>
        </w:rPr>
        <w:t xml:space="preserve">^</w:t>
      </w:r>
      <w:r>
        <w:rPr>
          <w:rStyle w:val="NormalTok"/>
        </w:rPr>
        <w:t xml:space="preserve">anos </w:t>
      </w:r>
      <w:r>
        <w:rPr>
          <w:rStyle w:val="SpecialCharTok"/>
        </w:rPr>
        <w:t xml:space="preserve">*</w:t>
      </w:r>
      <w:r>
        <w:rPr>
          <w:rStyle w:val="NormalTok"/>
        </w:rPr>
        <w:t xml:space="preserve"> desconto,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beneficio_liquido </w:t>
      </w:r>
      <w:r>
        <w:rPr>
          <w:rStyle w:val="OtherTok"/>
        </w:rPr>
        <w:t xml:space="preserve">&lt;-</w:t>
      </w:r>
      <w:r>
        <w:rPr>
          <w:rStyle w:val="NormalTok"/>
        </w:rPr>
        <w:t xml:space="preserve"> VP_dano_bau </w:t>
      </w:r>
      <w:r>
        <w:rPr>
          <w:rStyle w:val="SpecialCharTok"/>
        </w:rPr>
        <w:t xml:space="preserve">-</w:t>
      </w:r>
      <w:r>
        <w:rPr>
          <w:rStyle w:val="NormalTok"/>
        </w:rPr>
        <w:t xml:space="preserve"> VP_dano_mit</w:t>
      </w:r>
      <w:r>
        <w:br/>
      </w:r>
      <w:r>
        <w:br/>
      </w:r>
      <w:r>
        <w:rPr>
          <w:rStyle w:val="CommentTok"/>
        </w:rPr>
        <w:t xml:space="preserve"># SCC aproximado</w:t>
      </w:r>
      <w:r>
        <w:br/>
      </w:r>
      <w:r>
        <w:rPr>
          <w:rStyle w:val="NormalTok"/>
        </w:rPr>
        <w:t xml:space="preserve">SCC_aprox </w:t>
      </w:r>
      <w:r>
        <w:rPr>
          <w:rStyle w:val="OtherTok"/>
        </w:rPr>
        <w:t xml:space="preserve">&lt;-</w:t>
      </w:r>
      <w:r>
        <w:rPr>
          <w:rStyle w:val="NormalTok"/>
        </w:rPr>
        <w:t xml:space="preserve"> VP_dano_bau </w:t>
      </w:r>
      <w:r>
        <w:rPr>
          <w:rStyle w:val="SpecialCharTok"/>
        </w:rPr>
        <w:t xml:space="preserve">/</w:t>
      </w:r>
      <w:r>
        <w:rPr>
          <w:rStyle w:val="NormalTok"/>
        </w:rPr>
        <w:t xml:space="preserve"> </w:t>
      </w:r>
      <w:r>
        <w:rPr>
          <w:rStyle w:val="FunctionTok"/>
        </w:rPr>
        <w:t xml:space="preserve">sum</w:t>
      </w:r>
      <w:r>
        <w:rPr>
          <w:rStyle w:val="NormalTok"/>
        </w:rPr>
        <w:t xml:space="preserve">(E0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abate) </w:t>
      </w:r>
      <w:r>
        <w:rPr>
          <w:rStyle w:val="SpecialCharTok"/>
        </w:rPr>
        <w:t xml:space="preserve">*</w:t>
      </w:r>
      <w:r>
        <w:rPr>
          <w:rStyle w:val="NormalTok"/>
        </w:rPr>
        <w:t xml:space="preserve"> desconto,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loatTok"/>
        </w:rPr>
        <w:t xml:space="preserve">1e3</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 RESULTADOS ═══</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"VP dano (BAU):       US$ %.0f trilhões</w:t>
      </w:r>
      <w:r>
        <w:rPr>
          <w:rStyle w:val="SpecialCharTok"/>
        </w:rPr>
        <w:t xml:space="preserve">\n</w:t>
      </w:r>
      <w:r>
        <w:rPr>
          <w:rStyle w:val="StringTok"/>
        </w:rPr>
        <w:t xml:space="preserve">"</w:t>
      </w:r>
      <w:r>
        <w:rPr>
          <w:rStyle w:val="NormalTok"/>
        </w:rPr>
        <w:t xml:space="preserve">, VP_dano_bau </w:t>
      </w:r>
      <w:r>
        <w:rPr>
          <w:rStyle w:val="SpecialCharTok"/>
        </w:rPr>
        <w:t xml:space="preserve">/</w:t>
      </w:r>
      <w:r>
        <w:rPr>
          <w:rStyle w:val="NormalTok"/>
        </w:rPr>
        <w:t xml:space="preserve"> </w:t>
      </w:r>
      <w:r>
        <w:rPr>
          <w:rStyle w:val="FloatTok"/>
        </w:rPr>
        <w:t xml:space="preserve">1e3</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"VP custo (mitigação): US$ %.0f trilhões</w:t>
      </w:r>
      <w:r>
        <w:rPr>
          <w:rStyle w:val="SpecialCharTok"/>
        </w:rPr>
        <w:t xml:space="preserve">\n</w:t>
      </w:r>
      <w:r>
        <w:rPr>
          <w:rStyle w:val="StringTok"/>
        </w:rPr>
        <w:t xml:space="preserve">"</w:t>
      </w:r>
      <w:r>
        <w:rPr>
          <w:rStyle w:val="NormalTok"/>
        </w:rPr>
        <w:t xml:space="preserve">, VP_dano_mit </w:t>
      </w:r>
      <w:r>
        <w:rPr>
          <w:rStyle w:val="SpecialCharTok"/>
        </w:rPr>
        <w:t xml:space="preserve">/</w:t>
      </w:r>
      <w:r>
        <w:rPr>
          <w:rStyle w:val="NormalTok"/>
        </w:rPr>
        <w:t xml:space="preserve"> </w:t>
      </w:r>
      <w:r>
        <w:rPr>
          <w:rStyle w:val="FloatTok"/>
        </w:rPr>
        <w:t xml:space="preserve">1e3</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"Benefício líquido:    US$ %.0f trilhões</w:t>
      </w:r>
      <w:r>
        <w:rPr>
          <w:rStyle w:val="SpecialCharTok"/>
        </w:rPr>
        <w:t xml:space="preserve">\n</w:t>
      </w:r>
      <w:r>
        <w:rPr>
          <w:rStyle w:val="StringTok"/>
        </w:rPr>
        <w:t xml:space="preserve">"</w:t>
      </w:r>
      <w:r>
        <w:rPr>
          <w:rStyle w:val="NormalTok"/>
        </w:rPr>
        <w:t xml:space="preserve">, beneficio_liquido </w:t>
      </w:r>
      <w:r>
        <w:rPr>
          <w:rStyle w:val="SpecialCharTok"/>
        </w:rPr>
        <w:t xml:space="preserve">/</w:t>
      </w:r>
      <w:r>
        <w:rPr>
          <w:rStyle w:val="NormalTok"/>
        </w:rPr>
        <w:t xml:space="preserve"> </w:t>
      </w:r>
      <w:r>
        <w:rPr>
          <w:rStyle w:val="FloatTok"/>
        </w:rPr>
        <w:t xml:space="preserve">1e3</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"SCC aproximado:       US$ %.0f/tCO2</w:t>
      </w:r>
      <w:r>
        <w:rPr>
          <w:rStyle w:val="SpecialCharTok"/>
        </w:rPr>
        <w:t xml:space="preserve">\n</w:t>
      </w:r>
      <w:r>
        <w:rPr>
          <w:rStyle w:val="StringTok"/>
        </w:rPr>
        <w:t xml:space="preserve">"</w:t>
      </w:r>
      <w:r>
        <w:rPr>
          <w:rStyle w:val="NormalTok"/>
        </w:rPr>
        <w:t xml:space="preserve">, SCC_aprox))</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"Aquecimento BAU em 2100: %.1f°C</w:t>
      </w:r>
      <w:r>
        <w:rPr>
          <w:rStyle w:val="SpecialCharTok"/>
        </w:rPr>
        <w:t xml:space="preserve">\n</w:t>
      </w:r>
      <w:r>
        <w:rPr>
          <w:rStyle w:val="StringTok"/>
        </w:rPr>
        <w:t xml:space="preserve">"</w:t>
      </w:r>
      <w:r>
        <w:rPr>
          <w:rStyle w:val="NormalTok"/>
        </w:rPr>
        <w:t xml:space="preserve">, T_bau[</w:t>
      </w:r>
      <w:r>
        <w:rPr>
          <w:rStyle w:val="DecValTok"/>
        </w:rPr>
        <w:t xml:space="preserve">101</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"Aquecimento mitigado em 2100: %.1f°C</w:t>
      </w:r>
      <w:r>
        <w:rPr>
          <w:rStyle w:val="SpecialCharTok"/>
        </w:rPr>
        <w:t xml:space="preserve">\n</w:t>
      </w:r>
      <w:r>
        <w:rPr>
          <w:rStyle w:val="StringTok"/>
        </w:rPr>
        <w:t xml:space="preserve">"</w:t>
      </w:r>
      <w:r>
        <w:rPr>
          <w:rStyle w:val="NormalTok"/>
        </w:rPr>
        <w:t xml:space="preserve">, T_mit[</w:t>
      </w:r>
      <w:r>
        <w:rPr>
          <w:rStyle w:val="DecValTok"/>
        </w:rPr>
        <w:t xml:space="preserve">101</w:t>
      </w:r>
      <w:r>
        <w:rPr>
          <w:rStyle w:val="NormalTok"/>
        </w:rPr>
        <w:t xml:space="preserve">]))</w:t>
      </w:r>
      <w:r>
        <w:br/>
      </w:r>
      <w:r>
        <w:br/>
      </w:r>
      <w:r>
        <w:rPr>
          <w:rStyle w:val="CommentTok"/>
        </w:rPr>
        <w:t xml:space="preserve"># Gráficos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CommentTok"/>
        </w:rPr>
        <w:t xml:space="preserve"># 1. Temperatura</w:t>
      </w:r>
      <w:r>
        <w:br/>
      </w:r>
      <w:r>
        <w:rPr>
          <w:rStyle w:val="FunctionTok"/>
        </w:rPr>
        <w:t xml:space="preserve">plot</w:t>
      </w:r>
      <w:r>
        <w:rPr>
          <w:rStyle w:val="NormalTok"/>
        </w:rPr>
        <w:t xml:space="preserve">(</w:t>
      </w:r>
      <w:r>
        <w:rPr>
          <w:rStyle w:val="DecValTok"/>
        </w:rPr>
        <w:t xml:space="preserve">2024</w:t>
      </w:r>
      <w:r>
        <w:rPr>
          <w:rStyle w:val="NormalTok"/>
        </w:rPr>
        <w:t xml:space="preserve"> </w:t>
      </w:r>
      <w:r>
        <w:rPr>
          <w:rStyle w:val="SpecialCharTok"/>
        </w:rPr>
        <w:t xml:space="preserve">+</w:t>
      </w:r>
      <w:r>
        <w:rPr>
          <w:rStyle w:val="NormalTok"/>
        </w:rPr>
        <w:t xml:space="preserve"> anos, T_bau,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"#F44336"</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"Ano"</w:t>
      </w:r>
      <w:r>
        <w:rPr>
          <w:rStyle w:val="NormalTok"/>
        </w:rPr>
        <w:t xml:space="preserve">, </w:t>
      </w:r>
      <w:r>
        <w:rPr>
          <w:rStyle w:val="AttributeTok"/>
        </w:rPr>
        <w:t xml:space="preserve">ylab =</w:t>
      </w:r>
      <w:r>
        <w:rPr>
          <w:rStyle w:val="NormalTok"/>
        </w:rPr>
        <w:t xml:space="preserve"> </w:t>
      </w:r>
      <w:r>
        <w:rPr>
          <w:rStyle w:val="StringTok"/>
        </w:rPr>
        <w:t xml:space="preserve">"Aquecimento (°C)"</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"Trajetória de Temperatura"</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(T_bau) </w:t>
      </w:r>
      <w:r>
        <w:rPr>
          <w:rStyle w:val="SpecialCharTok"/>
        </w:rPr>
        <w:t xml:space="preserve">*</w:t>
      </w:r>
      <w:r>
        <w:rPr>
          <w:rStyle w:val="NormalTok"/>
        </w:rPr>
        <w:t xml:space="preserve"> </w:t>
      </w:r>
      <w:r>
        <w:rPr>
          <w:rStyle w:val="FloatTok"/>
        </w:rPr>
        <w:t xml:space="preserve">1.1</w:t>
      </w:r>
      <w:r>
        <w:rPr>
          <w:rStyle w:val="NormalTok"/>
        </w:rPr>
        <w:t xml:space="preserve">))</w:t>
      </w:r>
      <w:r>
        <w:br/>
      </w:r>
      <w:r>
        <w:rPr>
          <w:rStyle w:val="FunctionTok"/>
        </w:rPr>
        <w:t xml:space="preserve">lines</w:t>
      </w:r>
      <w:r>
        <w:rPr>
          <w:rStyle w:val="NormalTok"/>
        </w:rPr>
        <w:t xml:space="preserve">(</w:t>
      </w:r>
      <w:r>
        <w:rPr>
          <w:rStyle w:val="DecValTok"/>
        </w:rPr>
        <w:t xml:space="preserve">2024</w:t>
      </w:r>
      <w:r>
        <w:rPr>
          <w:rStyle w:val="NormalTok"/>
        </w:rPr>
        <w:t xml:space="preserve"> </w:t>
      </w:r>
      <w:r>
        <w:rPr>
          <w:rStyle w:val="SpecialCharTok"/>
        </w:rPr>
        <w:t xml:space="preserve">+</w:t>
      </w:r>
      <w:r>
        <w:rPr>
          <w:rStyle w:val="NormalTok"/>
        </w:rPr>
        <w:t xml:space="preserve"> anos, T_mit,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"#4CAF50"</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"BAU"</w:t>
      </w:r>
      <w:r>
        <w:rPr>
          <w:rStyle w:val="NormalTok"/>
        </w:rPr>
        <w:t xml:space="preserve">, </w:t>
      </w:r>
      <w:r>
        <w:rPr>
          <w:rStyle w:val="StringTok"/>
        </w:rPr>
        <w:t xml:space="preserve">"Mitigação"</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"#F44336"</w:t>
      </w:r>
      <w:r>
        <w:rPr>
          <w:rStyle w:val="NormalTok"/>
        </w:rPr>
        <w:t xml:space="preserve">, </w:t>
      </w:r>
      <w:r>
        <w:rPr>
          <w:rStyle w:val="StringTok"/>
        </w:rPr>
        <w:t xml:space="preserve">"#4CAF50"</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loatTok"/>
        </w:rPr>
        <w:t xml:space="preserve">2.0</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"gray50"</w:t>
      </w:r>
      <w:r>
        <w:rPr>
          <w:rStyle w:val="NormalTok"/>
        </w:rPr>
        <w:t xml:space="preserve">)</w:t>
      </w:r>
      <w:r>
        <w:br/>
      </w:r>
      <w:r>
        <w:rPr>
          <w:rStyle w:val="FunctionTok"/>
        </w:rPr>
        <w:t xml:space="preserve">text</w:t>
      </w:r>
      <w:r>
        <w:rPr>
          <w:rStyle w:val="NormalTok"/>
        </w:rPr>
        <w:t xml:space="preserve">(</w:t>
      </w:r>
      <w:r>
        <w:rPr>
          <w:rStyle w:val="DecValTok"/>
        </w:rPr>
        <w:t xml:space="preserve">2050</w:t>
      </w:r>
      <w:r>
        <w:rPr>
          <w:rStyle w:val="NormalTok"/>
        </w:rPr>
        <w:t xml:space="preserve">, </w:t>
      </w:r>
      <w:r>
        <w:rPr>
          <w:rStyle w:val="FloatTok"/>
        </w:rPr>
        <w:t xml:space="preserve">2.2</w:t>
      </w:r>
      <w:r>
        <w:rPr>
          <w:rStyle w:val="NormalTok"/>
        </w:rPr>
        <w:t xml:space="preserve">, </w:t>
      </w:r>
      <w:r>
        <w:rPr>
          <w:rStyle w:val="StringTok"/>
        </w:rPr>
        <w:t xml:space="preserve">"Meta Paris (2°C)"</w:t>
      </w:r>
      <w:r>
        <w:rPr>
          <w:rStyle w:val="NormalTok"/>
        </w:rPr>
        <w:t xml:space="preserve">, </w:t>
      </w:r>
      <w:r>
        <w:rPr>
          <w:rStyle w:val="AttributeTok"/>
        </w:rPr>
        <w:t xml:space="preserve">cex =</w:t>
      </w:r>
      <w:r>
        <w:rPr>
          <w:rStyle w:val="NormalTok"/>
        </w:rPr>
        <w:t xml:space="preserve"> </w:t>
      </w:r>
      <w:r>
        <w:rPr>
          <w:rStyle w:val="FloatTok"/>
        </w:rPr>
        <w:t xml:space="preserve">0.7</w:t>
      </w:r>
      <w:r>
        <w:rPr>
          <w:rStyle w:val="NormalTok"/>
        </w:rPr>
        <w:t xml:space="preserve">, </w:t>
      </w:r>
      <w:r>
        <w:rPr>
          <w:rStyle w:val="AttributeTok"/>
        </w:rPr>
        <w:t xml:space="preserve">col =</w:t>
      </w:r>
      <w:r>
        <w:rPr>
          <w:rStyle w:val="NormalTok"/>
        </w:rPr>
        <w:t xml:space="preserve"> </w:t>
      </w:r>
      <w:r>
        <w:rPr>
          <w:rStyle w:val="StringTok"/>
        </w:rPr>
        <w:t xml:space="preserve">"gray50"</w:t>
      </w:r>
      <w:r>
        <w:rPr>
          <w:rStyle w:val="NormalTok"/>
        </w:rPr>
        <w:t xml:space="preserve">)</w:t>
      </w:r>
      <w:r>
        <w:br/>
      </w:r>
      <w:r>
        <w:rPr>
          <w:rStyle w:val="FunctionTok"/>
        </w:rPr>
        <w:t xml:space="preserve">grid</w:t>
      </w:r>
      <w:r>
        <w:rPr>
          <w:rStyle w:val="NormalTok"/>
        </w:rPr>
        <w:t xml:space="preserve">(</w:t>
      </w:r>
      <w:r>
        <w:rPr>
          <w:rStyle w:val="AttributeTok"/>
        </w:rPr>
        <w:t xml:space="preserve">col =</w:t>
      </w:r>
      <w:r>
        <w:rPr>
          <w:rStyle w:val="NormalTok"/>
        </w:rPr>
        <w:t xml:space="preserve"> </w:t>
      </w:r>
      <w:r>
        <w:rPr>
          <w:rStyle w:val="StringTok"/>
        </w:rPr>
        <w:t xml:space="preserve">"gray90"</w:t>
      </w:r>
      <w:r>
        <w:rPr>
          <w:rStyle w:val="NormalTok"/>
        </w:rPr>
        <w:t xml:space="preserve">)</w:t>
      </w:r>
      <w:r>
        <w:br/>
      </w:r>
      <w:r>
        <w:br/>
      </w:r>
      <w:r>
        <w:rPr>
          <w:rStyle w:val="CommentTok"/>
        </w:rPr>
        <w:t xml:space="preserve"># 2. PIB</w:t>
      </w:r>
      <w:r>
        <w:br/>
      </w:r>
      <w:r>
        <w:rPr>
          <w:rStyle w:val="FunctionTok"/>
        </w:rPr>
        <w:t xml:space="preserve">plot</w:t>
      </w:r>
      <w:r>
        <w:rPr>
          <w:rStyle w:val="NormalTok"/>
        </w:rPr>
        <w:t xml:space="preserve">(</w:t>
      </w:r>
      <w:r>
        <w:rPr>
          <w:rStyle w:val="DecValTok"/>
        </w:rPr>
        <w:t xml:space="preserve">2024</w:t>
      </w:r>
      <w:r>
        <w:rPr>
          <w:rStyle w:val="NormalTok"/>
        </w:rPr>
        <w:t xml:space="preserve"> </w:t>
      </w:r>
      <w:r>
        <w:rPr>
          <w:rStyle w:val="SpecialCharTok"/>
        </w:rPr>
        <w:t xml:space="preserve">+</w:t>
      </w:r>
      <w:r>
        <w:rPr>
          <w:rStyle w:val="NormalTok"/>
        </w:rPr>
        <w:t xml:space="preserve"> anos[</w:t>
      </w:r>
      <w:r>
        <w:rPr>
          <w:rStyle w:val="DecValTok"/>
        </w:rPr>
        <w:t xml:space="preserve">1</w:t>
      </w:r>
      <w:r>
        <w:rPr>
          <w:rStyle w:val="SpecialCharTok"/>
        </w:rPr>
        <w:t xml:space="preserve">:</w:t>
      </w:r>
      <w:r>
        <w:rPr>
          <w:rStyle w:val="DecValTok"/>
        </w:rPr>
        <w:t xml:space="preserve">150</w:t>
      </w:r>
      <w:r>
        <w:rPr>
          <w:rStyle w:val="NormalTok"/>
        </w:rPr>
        <w:t xml:space="preserve">], Y_bau[</w:t>
      </w:r>
      <w:r>
        <w:rPr>
          <w:rStyle w:val="DecValTok"/>
        </w:rPr>
        <w:t xml:space="preserve">1</w:t>
      </w:r>
      <w:r>
        <w:rPr>
          <w:rStyle w:val="SpecialCharTok"/>
        </w:rPr>
        <w:t xml:space="preserve">:</w:t>
      </w:r>
      <w:r>
        <w:rPr>
          <w:rStyle w:val="DecValTok"/>
        </w:rPr>
        <w:t xml:space="preserve">150</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"#F44336"</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"Ano"</w:t>
      </w:r>
      <w:r>
        <w:rPr>
          <w:rStyle w:val="NormalTok"/>
        </w:rPr>
        <w:t xml:space="preserve">, </w:t>
      </w:r>
      <w:r>
        <w:rPr>
          <w:rStyle w:val="AttributeTok"/>
        </w:rPr>
        <w:t xml:space="preserve">ylab =</w:t>
      </w:r>
      <w:r>
        <w:rPr>
          <w:rStyle w:val="NormalTok"/>
        </w:rPr>
        <w:t xml:space="preserve"> </w:t>
      </w:r>
      <w:r>
        <w:rPr>
          <w:rStyle w:val="StringTok"/>
        </w:rPr>
        <w:t xml:space="preserve">"PIB (trilhões US$)"</w:t>
      </w:r>
      <w:r>
        <w:rPr>
          <w:rStyle w:val="NormalTok"/>
        </w:rPr>
        <w:t xml:space="preserve">, </w:t>
      </w:r>
      <w:r>
        <w:rPr>
          <w:rStyle w:val="AttributeTok"/>
        </w:rPr>
        <w:t xml:space="preserve">main =</w:t>
      </w:r>
      <w:r>
        <w:rPr>
          <w:rStyle w:val="NormalTok"/>
        </w:rPr>
        <w:t xml:space="preserve"> </w:t>
      </w:r>
      <w:r>
        <w:rPr>
          <w:rStyle w:val="StringTok"/>
        </w:rPr>
        <w:t xml:space="preserve">"Trajetória do PIB"</w:t>
      </w:r>
      <w:r>
        <w:rPr>
          <w:rStyle w:val="NormalTok"/>
        </w:rPr>
        <w:t xml:space="preserve">)</w:t>
      </w:r>
      <w:r>
        <w:br/>
      </w:r>
      <w:r>
        <w:rPr>
          <w:rStyle w:val="FunctionTok"/>
        </w:rPr>
        <w:t xml:space="preserve">lines</w:t>
      </w:r>
      <w:r>
        <w:rPr>
          <w:rStyle w:val="NormalTok"/>
        </w:rPr>
        <w:t xml:space="preserve">(</w:t>
      </w:r>
      <w:r>
        <w:rPr>
          <w:rStyle w:val="DecValTok"/>
        </w:rPr>
        <w:t xml:space="preserve">2024</w:t>
      </w:r>
      <w:r>
        <w:rPr>
          <w:rStyle w:val="NormalTok"/>
        </w:rPr>
        <w:t xml:space="preserve"> </w:t>
      </w:r>
      <w:r>
        <w:rPr>
          <w:rStyle w:val="SpecialCharTok"/>
        </w:rPr>
        <w:t xml:space="preserve">+</w:t>
      </w:r>
      <w:r>
        <w:rPr>
          <w:rStyle w:val="NormalTok"/>
        </w:rPr>
        <w:t xml:space="preserve"> anos[</w:t>
      </w:r>
      <w:r>
        <w:rPr>
          <w:rStyle w:val="DecValTok"/>
        </w:rPr>
        <w:t xml:space="preserve">1</w:t>
      </w:r>
      <w:r>
        <w:rPr>
          <w:rStyle w:val="SpecialCharTok"/>
        </w:rPr>
        <w:t xml:space="preserve">:</w:t>
      </w:r>
      <w:r>
        <w:rPr>
          <w:rStyle w:val="DecValTok"/>
        </w:rPr>
        <w:t xml:space="preserve">150</w:t>
      </w:r>
      <w:r>
        <w:rPr>
          <w:rStyle w:val="NormalTok"/>
        </w:rPr>
        <w:t xml:space="preserve">], Y_mit[</w:t>
      </w:r>
      <w:r>
        <w:rPr>
          <w:rStyle w:val="DecValTok"/>
        </w:rPr>
        <w:t xml:space="preserve">1</w:t>
      </w:r>
      <w:r>
        <w:rPr>
          <w:rStyle w:val="SpecialCharTok"/>
        </w:rPr>
        <w:t xml:space="preserve">:</w:t>
      </w:r>
      <w:r>
        <w:rPr>
          <w:rStyle w:val="DecValTok"/>
        </w:rPr>
        <w:t xml:space="preserve">150</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"#4CAF50"</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"BAU"</w:t>
      </w:r>
      <w:r>
        <w:rPr>
          <w:rStyle w:val="NormalTok"/>
        </w:rPr>
        <w:t xml:space="preserve">, </w:t>
      </w:r>
      <w:r>
        <w:rPr>
          <w:rStyle w:val="StringTok"/>
        </w:rPr>
        <w:t xml:space="preserve">"Mitigação"</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"#F44336"</w:t>
      </w:r>
      <w:r>
        <w:rPr>
          <w:rStyle w:val="NormalTok"/>
        </w:rPr>
        <w:t xml:space="preserve">, </w:t>
      </w:r>
      <w:r>
        <w:rPr>
          <w:rStyle w:val="StringTok"/>
        </w:rPr>
        <w:t xml:space="preserve">"#4CAF50"</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grid</w:t>
      </w:r>
      <w:r>
        <w:rPr>
          <w:rStyle w:val="NormalTok"/>
        </w:rPr>
        <w:t xml:space="preserve">(</w:t>
      </w:r>
      <w:r>
        <w:rPr>
          <w:rStyle w:val="AttributeTok"/>
        </w:rPr>
        <w:t xml:space="preserve">col =</w:t>
      </w:r>
      <w:r>
        <w:rPr>
          <w:rStyle w:val="NormalTok"/>
        </w:rPr>
        <w:t xml:space="preserve"> </w:t>
      </w:r>
      <w:r>
        <w:rPr>
          <w:rStyle w:val="StringTok"/>
        </w:rPr>
        <w:t xml:space="preserve">"gray90"</w:t>
      </w:r>
      <w:r>
        <w:rPr>
          <w:rStyle w:val="NormalTok"/>
        </w:rPr>
        <w:t xml:space="preserve">)</w:t>
      </w:r>
      <w:r>
        <w:br/>
      </w:r>
      <w:r>
        <w:br/>
      </w:r>
      <w:r>
        <w:rPr>
          <w:rStyle w:val="CommentTok"/>
        </w:rPr>
        <w:t xml:space="preserve"># 3. Fração de dano</w:t>
      </w:r>
      <w:r>
        <w:br/>
      </w:r>
      <w:r>
        <w:rPr>
          <w:rStyle w:val="FunctionTok"/>
        </w:rPr>
        <w:t xml:space="preserve">plot</w:t>
      </w:r>
      <w:r>
        <w:rPr>
          <w:rStyle w:val="NormalTok"/>
        </w:rPr>
        <w:t xml:space="preserve">(</w:t>
      </w:r>
      <w:r>
        <w:rPr>
          <w:rStyle w:val="DecValTok"/>
        </w:rPr>
        <w:t xml:space="preserve">2024</w:t>
      </w:r>
      <w:r>
        <w:rPr>
          <w:rStyle w:val="NormalTok"/>
        </w:rPr>
        <w:t xml:space="preserve"> </w:t>
      </w:r>
      <w:r>
        <w:rPr>
          <w:rStyle w:val="SpecialCharTok"/>
        </w:rPr>
        <w:t xml:space="preserve">+</w:t>
      </w:r>
      <w:r>
        <w:rPr>
          <w:rStyle w:val="NormalTok"/>
        </w:rPr>
        <w:t xml:space="preserve"> anos[</w:t>
      </w:r>
      <w:r>
        <w:rPr>
          <w:rStyle w:val="DecValTok"/>
        </w:rPr>
        <w:t xml:space="preserve">1</w:t>
      </w:r>
      <w:r>
        <w:rPr>
          <w:rStyle w:val="SpecialCharTok"/>
        </w:rPr>
        <w:t xml:space="preserve">:</w:t>
      </w:r>
      <w:r>
        <w:rPr>
          <w:rStyle w:val="DecValTok"/>
        </w:rPr>
        <w:t xml:space="preserve">150</w:t>
      </w:r>
      <w:r>
        <w:rPr>
          <w:rStyle w:val="NormalTok"/>
        </w:rPr>
        <w:t xml:space="preserve">], dano_bau[</w:t>
      </w:r>
      <w:r>
        <w:rPr>
          <w:rStyle w:val="DecValTok"/>
        </w:rPr>
        <w:t xml:space="preserve">1</w:t>
      </w:r>
      <w:r>
        <w:rPr>
          <w:rStyle w:val="SpecialCharTok"/>
        </w:rPr>
        <w:t xml:space="preserve">:</w:t>
      </w:r>
      <w:r>
        <w:rPr>
          <w:rStyle w:val="DecValTok"/>
        </w:rPr>
        <w:t xml:space="preserve">150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"#F44336"</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"Ano"</w:t>
      </w:r>
      <w:r>
        <w:rPr>
          <w:rStyle w:val="NormalTok"/>
        </w:rPr>
        <w:t xml:space="preserve">, </w:t>
      </w:r>
      <w:r>
        <w:rPr>
          <w:rStyle w:val="AttributeTok"/>
        </w:rPr>
        <w:t xml:space="preserve">ylab =</w:t>
      </w:r>
      <w:r>
        <w:rPr>
          <w:rStyle w:val="NormalTok"/>
        </w:rPr>
        <w:t xml:space="preserve"> </w:t>
      </w:r>
      <w:r>
        <w:rPr>
          <w:rStyle w:val="StringTok"/>
        </w:rPr>
        <w:t xml:space="preserve">"Perda de PIB (%)"</w:t>
      </w:r>
      <w:r>
        <w:rPr>
          <w:rStyle w:val="NormalTok"/>
        </w:rPr>
        <w:t xml:space="preserve">, </w:t>
      </w:r>
      <w:r>
        <w:rPr>
          <w:rStyle w:val="AttributeTok"/>
        </w:rPr>
        <w:t xml:space="preserve">main =</w:t>
      </w:r>
      <w:r>
        <w:rPr>
          <w:rStyle w:val="NormalTok"/>
        </w:rPr>
        <w:t xml:space="preserve"> </w:t>
      </w:r>
      <w:r>
        <w:rPr>
          <w:rStyle w:val="StringTok"/>
        </w:rPr>
        <w:t xml:space="preserve">"Danos Climáticos"</w:t>
      </w:r>
      <w:r>
        <w:rPr>
          <w:rStyle w:val="NormalTok"/>
        </w:rPr>
        <w:t xml:space="preserve">)</w:t>
      </w:r>
      <w:r>
        <w:br/>
      </w:r>
      <w:r>
        <w:rPr>
          <w:rStyle w:val="FunctionTok"/>
        </w:rPr>
        <w:t xml:space="preserve">lines</w:t>
      </w:r>
      <w:r>
        <w:rPr>
          <w:rStyle w:val="NormalTok"/>
        </w:rPr>
        <w:t xml:space="preserve">(</w:t>
      </w:r>
      <w:r>
        <w:rPr>
          <w:rStyle w:val="DecValTok"/>
        </w:rPr>
        <w:t xml:space="preserve">2024</w:t>
      </w:r>
      <w:r>
        <w:rPr>
          <w:rStyle w:val="NormalTok"/>
        </w:rPr>
        <w:t xml:space="preserve"> </w:t>
      </w:r>
      <w:r>
        <w:rPr>
          <w:rStyle w:val="SpecialCharTok"/>
        </w:rPr>
        <w:t xml:space="preserve">+</w:t>
      </w:r>
      <w:r>
        <w:rPr>
          <w:rStyle w:val="NormalTok"/>
        </w:rPr>
        <w:t xml:space="preserve"> anos[</w:t>
      </w:r>
      <w:r>
        <w:rPr>
          <w:rStyle w:val="DecValTok"/>
        </w:rPr>
        <w:t xml:space="preserve">1</w:t>
      </w:r>
      <w:r>
        <w:rPr>
          <w:rStyle w:val="SpecialCharTok"/>
        </w:rPr>
        <w:t xml:space="preserve">:</w:t>
      </w:r>
      <w:r>
        <w:rPr>
          <w:rStyle w:val="DecValTok"/>
        </w:rPr>
        <w:t xml:space="preserve">150</w:t>
      </w:r>
      <w:r>
        <w:rPr>
          <w:rStyle w:val="NormalTok"/>
        </w:rPr>
        <w:t xml:space="preserve">], dano_mit[</w:t>
      </w:r>
      <w:r>
        <w:rPr>
          <w:rStyle w:val="DecValTok"/>
        </w:rPr>
        <w:t xml:space="preserve">1</w:t>
      </w:r>
      <w:r>
        <w:rPr>
          <w:rStyle w:val="SpecialCharTok"/>
        </w:rPr>
        <w:t xml:space="preserve">:</w:t>
      </w:r>
      <w:r>
        <w:rPr>
          <w:rStyle w:val="DecValTok"/>
        </w:rPr>
        <w:t xml:space="preserve">150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"#4CAF50"</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"BAU"</w:t>
      </w:r>
      <w:r>
        <w:rPr>
          <w:rStyle w:val="NormalTok"/>
        </w:rPr>
        <w:t xml:space="preserve">, </w:t>
      </w:r>
      <w:r>
        <w:rPr>
          <w:rStyle w:val="StringTok"/>
        </w:rPr>
        <w:t xml:space="preserve">"Mitigação"</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"#F44336"</w:t>
      </w:r>
      <w:r>
        <w:rPr>
          <w:rStyle w:val="NormalTok"/>
        </w:rPr>
        <w:t xml:space="preserve">, </w:t>
      </w:r>
      <w:r>
        <w:rPr>
          <w:rStyle w:val="StringTok"/>
        </w:rPr>
        <w:t xml:space="preserve">"#4CAF50"</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grid</w:t>
      </w:r>
      <w:r>
        <w:rPr>
          <w:rStyle w:val="NormalTok"/>
        </w:rPr>
        <w:t xml:space="preserve">(</w:t>
      </w:r>
      <w:r>
        <w:rPr>
          <w:rStyle w:val="AttributeTok"/>
        </w:rPr>
        <w:t xml:space="preserve">col =</w:t>
      </w:r>
      <w:r>
        <w:rPr>
          <w:rStyle w:val="NormalTok"/>
        </w:rPr>
        <w:t xml:space="preserve"> </w:t>
      </w:r>
      <w:r>
        <w:rPr>
          <w:rStyle w:val="StringTok"/>
        </w:rPr>
        <w:t xml:space="preserve">"gray90"</w:t>
      </w:r>
      <w:r>
        <w:rPr>
          <w:rStyle w:val="NormalTok"/>
        </w:rPr>
        <w:t xml:space="preserve">)</w:t>
      </w:r>
      <w:r>
        <w:br/>
      </w:r>
      <w:r>
        <w:br/>
      </w:r>
      <w:r>
        <w:rPr>
          <w:rStyle w:val="CommentTok"/>
        </w:rPr>
        <w:t xml:space="preserve"># 4. Fatores de desconto</w:t>
      </w:r>
      <w:r>
        <w:br/>
      </w:r>
      <w:r>
        <w:rPr>
          <w:rStyle w:val="FunctionTok"/>
        </w:rPr>
        <w:t xml:space="preserve">plot</w:t>
      </w:r>
      <w:r>
        <w:rPr>
          <w:rStyle w:val="NormalTok"/>
        </w:rPr>
        <w:t xml:space="preserve">(</w:t>
      </w:r>
      <w:r>
        <w:rPr>
          <w:rStyle w:val="DecValTok"/>
        </w:rPr>
        <w:t xml:space="preserve">2024</w:t>
      </w:r>
      <w:r>
        <w:rPr>
          <w:rStyle w:val="NormalTok"/>
        </w:rPr>
        <w:t xml:space="preserve"> </w:t>
      </w:r>
      <w:r>
        <w:rPr>
          <w:rStyle w:val="SpecialCharTok"/>
        </w:rPr>
        <w:t xml:space="preserve">+</w:t>
      </w:r>
      <w:r>
        <w:rPr>
          <w:rStyle w:val="NormalTok"/>
        </w:rPr>
        <w:t xml:space="preserve"> anos[</w:t>
      </w:r>
      <w:r>
        <w:rPr>
          <w:rStyle w:val="DecValTok"/>
        </w:rPr>
        <w:t xml:space="preserve">1</w:t>
      </w:r>
      <w:r>
        <w:rPr>
          <w:rStyle w:val="SpecialCharTok"/>
        </w:rPr>
        <w:t xml:space="preserve">:</w:t>
      </w:r>
      <w:r>
        <w:rPr>
          <w:rStyle w:val="DecValTok"/>
        </w:rPr>
        <w:t xml:space="preserve">150</w:t>
      </w:r>
      <w:r>
        <w:rPr>
          <w:rStyle w:val="NormalTok"/>
        </w:rPr>
        <w:t xml:space="preserve">], desconto[</w:t>
      </w:r>
      <w:r>
        <w:rPr>
          <w:rStyle w:val="DecValTok"/>
        </w:rPr>
        <w:t xml:space="preserve">1</w:t>
      </w:r>
      <w:r>
        <w:rPr>
          <w:rStyle w:val="SpecialCharTok"/>
        </w:rPr>
        <w:t xml:space="preserve">:</w:t>
      </w:r>
      <w:r>
        <w:rPr>
          <w:rStyle w:val="DecValTok"/>
        </w:rPr>
        <w:t xml:space="preserve">150</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"#2196F3"</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"Ano"</w:t>
      </w:r>
      <w:r>
        <w:rPr>
          <w:rStyle w:val="NormalTok"/>
        </w:rPr>
        <w:t xml:space="preserve">, </w:t>
      </w:r>
      <w:r>
        <w:rPr>
          <w:rStyle w:val="AttributeTok"/>
        </w:rPr>
        <w:t xml:space="preserve">ylab =</w:t>
      </w:r>
      <w:r>
        <w:rPr>
          <w:rStyle w:val="NormalTok"/>
        </w:rPr>
        <w:t xml:space="preserve"> </w:t>
      </w:r>
      <w:r>
        <w:rPr>
          <w:rStyle w:val="StringTok"/>
        </w:rPr>
        <w:t xml:space="preserve">"Fator de desconto"</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"Desconto (r = "</w:t>
      </w:r>
      <w:r>
        <w:rPr>
          <w:rStyle w:val="NormalTok"/>
        </w:rPr>
        <w:t xml:space="preserve">, </w:t>
      </w:r>
      <w:r>
        <w:rPr>
          <w:rStyle w:val="FunctionTok"/>
        </w:rPr>
        <w:t xml:space="preserve">round</w:t>
      </w:r>
      <w:r>
        <w:rPr>
          <w:rStyle w:val="NormalTok"/>
        </w:rPr>
        <w:t xml:space="preserve">(r</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FunctionTok"/>
        </w:rPr>
        <w:t xml:space="preserve">grid</w:t>
      </w:r>
      <w:r>
        <w:rPr>
          <w:rStyle w:val="NormalTok"/>
        </w:rPr>
        <w:t xml:space="preserve">(</w:t>
      </w:r>
      <w:r>
        <w:rPr>
          <w:rStyle w:val="AttributeTok"/>
        </w:rPr>
        <w:t xml:space="preserve">col =</w:t>
      </w:r>
      <w:r>
        <w:rPr>
          <w:rStyle w:val="NormalTok"/>
        </w:rPr>
        <w:t xml:space="preserve"> </w:t>
      </w:r>
      <w:r>
        <w:rPr>
          <w:rStyle w:val="StringTok"/>
        </w:rPr>
        <w:t xml:space="preserve">"gray90"</w:t>
      </w:r>
      <w:r>
        <w:rPr>
          <w:rStyle w:val="NormalTok"/>
        </w:rPr>
        <w:t xml:space="preserve">)</w:t>
      </w:r>
    </w:p>
    <w:p>
      <w:pPr>
        <w:pStyle w:val="BlockText"/>
      </w:pPr>
      <w:r>
        <w:rPr>
          <w:b/>
          <w:bCs/>
        </w:rPr>
        <w:t xml:space="preserve">Experimente:</w:t>
      </w:r>
      <w:r>
        <w:t xml:space="preserve"> </w:t>
      </w:r>
      <w:r>
        <w:t xml:space="preserve">Mude</w:t>
      </w:r>
      <w:r>
        <w:t xml:space="preserve"> </w:t>
      </w:r>
      <w:r>
        <w:rPr>
          <w:rStyle w:val="VerbatimChar"/>
        </w:rPr>
        <w:t xml:space="preserve">rho</w:t>
      </w:r>
      <w:r>
        <w:t xml:space="preserve"> </w:t>
      </w:r>
      <w:r>
        <w:t xml:space="preserve">para 0.001 (Stern) e observe o SCC saltar — com desconto baixo, os danos futuros pesam muito mais. Aumente</w:t>
      </w:r>
      <w:r>
        <w:t xml:space="preserve"> </w:t>
      </w:r>
      <w:r>
        <w:rPr>
          <w:rStyle w:val="VerbatimChar"/>
        </w:rPr>
        <w:t xml:space="preserve">sens</w:t>
      </w:r>
      <w:r>
        <w:t xml:space="preserve"> </w:t>
      </w:r>
      <w:r>
        <w:t xml:space="preserve">para 4.5 (cenário pessimista) e veja os danos explodirem. Mude</w:t>
      </w:r>
      <w:r>
        <w:t xml:space="preserve"> </w:t>
      </w:r>
      <w:r>
        <w:rPr>
          <w:rStyle w:val="VerbatimChar"/>
        </w:rPr>
        <w:t xml:space="preserve">eta</w:t>
      </w:r>
      <w:r>
        <w:t xml:space="preserve"> </w:t>
      </w:r>
      <w:r>
        <w:t xml:space="preserve">para 1 (menos aversão à desigualdade) e o desconto cai, justificando mais mitigação.</w:t>
      </w:r>
    </w:p>
    <w:bookmarkEnd w:id="1455"/>
    <w:bookmarkStart w:id="1457" w:name="o-acordo-de-paris-e-as-ndcs"/>
    <w:p>
      <w:pPr>
        <w:pStyle w:val="Heading4"/>
      </w:pPr>
      <w:r>
        <w:t xml:space="preserve">24.3.5 O Acordo de Paris e as NDCs</w:t>
      </w:r>
    </w:p>
    <w:p>
      <w:pPr>
        <w:pStyle w:val="FirstParagraph"/>
      </w:pPr>
      <w:r>
        <w:t xml:space="preserve">O</w:t>
      </w:r>
      <w:r>
        <w:t xml:space="preserve"> </w:t>
      </w:r>
      <w:r>
        <w:rPr>
          <w:b/>
          <w:bCs/>
        </w:rPr>
        <w:t xml:space="preserve">Acordo de Paris</w:t>
      </w:r>
      <w:r>
        <w:t xml:space="preserve"> </w:t>
      </w:r>
      <w:r>
        <w:t xml:space="preserve">(2015) estabeleceu o framework internacional para ação climática:</w:t>
      </w:r>
    </w:p>
    <w:p>
      <w:pPr>
        <w:pStyle w:val="Compact"/>
        <w:numPr>
          <w:ilvl w:val="0"/>
          <w:numId w:val="2306"/>
        </w:numPr>
      </w:pPr>
      <w:r>
        <w:rPr>
          <w:b/>
          <w:bCs/>
        </w:rPr>
        <w:t xml:space="preserve">Meta</w:t>
      </w:r>
      <w:r>
        <w:t xml:space="preserve">: limitar o aquecimento global a</w:t>
      </w:r>
      <w:r>
        <w:t xml:space="preserve"> </w:t>
      </w:r>
      <w:r>
        <w:t xml:space="preserve">“bem abaixo de 2°C”</w:t>
      </w:r>
      <w:r>
        <w:t xml:space="preserve"> </w:t>
      </w:r>
      <w:r>
        <w:t xml:space="preserve">em relação ao nível pré-industrial, com esforços para limitá-lo a 1,5°C.</w:t>
      </w:r>
    </w:p>
    <w:p>
      <w:pPr>
        <w:pStyle w:val="Compact"/>
        <w:numPr>
          <w:ilvl w:val="0"/>
          <w:numId w:val="2306"/>
        </w:numPr>
      </w:pPr>
      <w:r>
        <w:rPr>
          <w:b/>
          <w:bCs/>
        </w:rPr>
        <w:t xml:space="preserve">NDCs</w:t>
      </w:r>
      <w:r>
        <w:t xml:space="preserve"> </w:t>
      </w:r>
      <w:r>
        <w:t xml:space="preserve">(</w:t>
      </w:r>
      <w:r>
        <w:rPr>
          <w:i/>
          <w:iCs/>
        </w:rPr>
        <w:t xml:space="preserve">Nationally Determined Contributions</w:t>
      </w:r>
      <w:r>
        <w:t xml:space="preserve">): cada país define voluntariamente suas metas de redução de emissões. Não há mecanismo coercitivo — o acordo depende de pressão dos pares e revisão periódica.</w:t>
      </w:r>
    </w:p>
    <w:p>
      <w:pPr>
        <w:pStyle w:val="Compact"/>
        <w:numPr>
          <w:ilvl w:val="0"/>
          <w:numId w:val="2306"/>
        </w:numPr>
      </w:pPr>
      <w:r>
        <w:rPr>
          <w:b/>
          <w:bCs/>
        </w:rPr>
        <w:t xml:space="preserve">Revisão quinquenal</w:t>
      </w:r>
      <w:r>
        <w:t xml:space="preserve">: as NDCs são revisadas a cada 5 anos, com expectativa de</w:t>
      </w:r>
      <w:r>
        <w:t xml:space="preserve"> </w:t>
      </w:r>
      <w:r>
        <w:t xml:space="preserve">“ambição crescente”</w:t>
      </w:r>
      <w:r>
        <w:t xml:space="preserve"> </w:t>
      </w:r>
      <w:r>
        <w:t xml:space="preserve">(</w:t>
      </w:r>
      <w:r>
        <w:rPr>
          <w:i/>
          <w:iCs/>
        </w:rPr>
        <w:t xml:space="preserve">ratchet mechanism</w:t>
      </w:r>
      <w:r>
        <w:t xml:space="preserve">).</w:t>
      </w:r>
    </w:p>
    <w:p>
      <w:pPr>
        <w:pStyle w:val="FirstParagraph"/>
      </w:pPr>
      <w:r>
        <w:t xml:space="preserve">Do ponto de vista da teoria econômica, o Acordo de Paris é uma tentativa de resolver o problema de ação coletiva (Capítulo 20) através de um mecanismo de compromisso voluntário. A ausência de enforcement é sua maior fraqueza: as NDCs atuais, mesmo se plenamente cumpridas, levariam a um aquecimento de aproximadamente 2,5–2,8°C até 2100 — muito acima da meta declarada.</w:t>
      </w:r>
    </w:p>
    <w:p>
      <w:pPr>
        <w:pStyle w:val="BlockText"/>
      </w:pPr>
      <w:r>
        <w:rPr>
          <w:b/>
          <w:bCs/>
        </w:rPr>
        <w:t xml:space="preserve">[BOX MUNDO] Box Mundo 24.1 — O Acordo de Paris como jogo de bens públicos</w:t>
      </w:r>
    </w:p>
    <w:p>
      <w:pPr>
        <w:pStyle w:val="BlockText"/>
      </w:pPr>
      <w:r>
        <w:rPr>
          <w:b/>
          <w:bCs/>
        </w:rPr>
        <w:t xml:space="preserve">Contexto:</w:t>
      </w:r>
      <w:r>
        <w:t xml:space="preserve"> </w:t>
      </w:r>
      <w:r>
        <w:t xml:space="preserve">O Acordo de Paris (2015) é o principal instrumento internacional de combate às mudanças climáticas. Assinado por 196 países na COP21, estabelece a meta de limitar o aquecimento global a</w:t>
      </w:r>
      <w:r>
        <w:t xml:space="preserve"> </w:t>
      </w:r>
      <w:r>
        <w:t xml:space="preserve">“bem abaixo de 2°C”</w:t>
      </w:r>
      <w:r>
        <w:t xml:space="preserve"> </w:t>
      </w:r>
      <w:r>
        <w:t xml:space="preserve">(idealmente 1,5°C) em relação ao nível pré-industrial.</w:t>
      </w:r>
    </w:p>
    <w:p>
      <w:pPr>
        <w:pStyle w:val="BlockText"/>
      </w:pPr>
      <w:r>
        <w:rPr>
          <w:b/>
          <w:bCs/>
        </w:rPr>
        <w:t xml:space="preserve">Dados:</w:t>
      </w:r>
      <w:r>
        <w:t xml:space="preserve"> </w:t>
      </w:r>
      <w:r>
        <w:t xml:space="preserve">As NDCs apresentadas pelos países antes da COP28 (2023) implicavam emissões globais de ~52 GtCO₂e em 2030 — quando o necessário para a meta de 1,5°C seria ~22 GtCO₂e. O</w:t>
      </w:r>
      <w:r>
        <w:t xml:space="preserve"> </w:t>
      </w:r>
      <w:r>
        <w:t xml:space="preserve">“gap de emissões”</w:t>
      </w:r>
      <w:r>
        <w:t xml:space="preserve"> </w:t>
      </w:r>
      <w:r>
        <w:t xml:space="preserve">(diferença entre NDCs e meta) permanece enorme. Os 10 maiores emissores (China, EUA, Índia, UE, Rússia, Japão, Brasil, Indonésia, Irã, Canadá) respondem por ~70% das emissões globais.</w:t>
      </w:r>
    </w:p>
    <w:p>
      <w:pPr>
        <w:pStyle w:val="BlockText"/>
      </w:pPr>
      <w:r>
        <w:rPr>
          <w:b/>
          <w:bCs/>
        </w:rPr>
        <w:t xml:space="preserve">Análise:</w:t>
      </w:r>
      <w:r>
        <w:t xml:space="preserve"> </w:t>
      </w:r>
      <w:r>
        <w:t xml:space="preserve">Formalmente, a mitigação climática é um jogo de bens públicos com</w:t>
      </w:r>
      <w:r>
        <w:t xml:space="preserve"> </w:t>
      </w:r>
      <m:oMath>
        <m:r>
          <m:t>N</m:t>
        </m:r>
        <m:r>
          <m:rPr>
            <m:sty m:val="p"/>
          </m:rPr>
          <m:t>≈</m:t>
        </m:r>
        <m:r>
          <m:t>200</m:t>
        </m:r>
      </m:oMath>
      <w:r>
        <w:t xml:space="preserve"> </w:t>
      </w:r>
      <w:r>
        <w:t xml:space="preserve">jogadores (países). Como vimos no Capítulo 20, o equilíbrio de Nash de um jogo de contribuição voluntária prevê subprovisão — cada país contribui menos do que o ótimo coletivo porque internaliza apenas sua fração</w:t>
      </w:r>
      <w:r>
        <w:t xml:space="preserve"> </w:t>
      </w:r>
      <m:oMath>
        <m:r>
          <m:t>1</m:t>
        </m:r>
        <m:r>
          <m:rPr>
            <m:sty m:val="p"/>
          </m:rPr>
          <m:t>/</m:t>
        </m:r>
        <m:r>
          <m:t>N</m:t>
        </m:r>
      </m:oMath>
      <w:r>
        <w:t xml:space="preserve"> </w:t>
      </w:r>
      <w:r>
        <w:t xml:space="preserve">do benefício global. O Acordo de Paris tenta superar esse equilíbrio ineficiente por meio de transparência (cada país publica suas NDCs), revisão periódica (pressão por ambição crescente) e normas sociais internacionais. Mas sem mecanismo coercitivo, os incentivos para</w:t>
      </w:r>
      <w:r>
        <w:t xml:space="preserve"> </w:t>
      </w:r>
      <w:r>
        <w:rPr>
          <w:i/>
          <w:iCs/>
        </w:rPr>
        <w:t xml:space="preserve">free riding</w:t>
      </w:r>
      <w:r>
        <w:t xml:space="preserve"> </w:t>
      </w:r>
      <w:r>
        <w:t xml:space="preserve">persistem — como evidenciado pelo gap crescente entre metas e ações.</w:t>
      </w:r>
    </w:p>
    <w:p>
      <w:pPr>
        <w:pStyle w:val="BlockText"/>
      </w:pPr>
      <w:r>
        <w:rPr>
          <w:b/>
          <w:bCs/>
        </w:rPr>
        <w:t xml:space="preserve">Fonte:</w:t>
      </w:r>
      <w:r>
        <w:t xml:space="preserve"> </w:t>
      </w:r>
      <w:r>
        <w:t xml:space="preserve">UNEP. 2023.</w:t>
      </w:r>
      <w:r>
        <w:t xml:space="preserve"> </w:t>
      </w:r>
      <w:hyperlink r:id="rId1456">
        <w:r>
          <w:rPr>
            <w:rStyle w:val="Hyperlink"/>
            <w:i/>
            <w:iCs/>
          </w:rPr>
          <w:t xml:space="preserve">Emissions Gap Report 2023</w:t>
        </w:r>
      </w:hyperlink>
      <w:r>
        <w:t xml:space="preserve">. Nairobi: United Nations Environment Programme.</w:t>
      </w:r>
    </w:p>
    <w:p>
      <w:r>
        <w:pict>
          <v:rect style="width:0;height:1.5pt" o:hralign="center" o:hrstd="t" o:hr="t"/>
        </w:pict>
      </w:r>
    </w:p>
    <w:bookmarkEnd w:id="1457"/>
    <w:bookmarkEnd w:id="1458"/>
    <w:bookmarkStart w:id="1464" w:name="X1592d51db5afd0165cb73baca5c0b340c4889f1"/>
    <w:p>
      <w:pPr>
        <w:pStyle w:val="Heading3"/>
      </w:pPr>
      <w:r>
        <w:t xml:space="preserve">24.4 Mercados de Carbono</w:t>
      </w:r>
    </w:p>
    <w:bookmarkStart w:id="1459" w:name="Xc6073aa878e330049e67e3e5b56ca1c3a40f251"/>
    <w:p>
      <w:pPr>
        <w:pStyle w:val="Heading4"/>
      </w:pPr>
      <w:r>
        <w:t xml:space="preserve">24.4.1 O EU ETS: o maior mercado de carbono do mundo</w:t>
      </w:r>
    </w:p>
    <w:p>
      <w:pPr>
        <w:pStyle w:val="FirstParagraph"/>
      </w:pPr>
      <w:r>
        <w:t xml:space="preserve">A teoria é bonita no quadro-negro — mas funciona na prática? A Europa decidiu descobrir. O</w:t>
      </w:r>
      <w:r>
        <w:t xml:space="preserve"> </w:t>
      </w:r>
      <w:r>
        <w:rPr>
          <w:b/>
          <w:bCs/>
        </w:rPr>
        <w:t xml:space="preserve">European Union Emissions Trading System</w:t>
      </w:r>
      <w:r>
        <w:t xml:space="preserve"> </w:t>
      </w:r>
      <w:r>
        <w:t xml:space="preserve">(EU ETS), lançado em 2005, é o maior e mais antigo mercado de carbono obrigatório do mundo. Cobre cerca de 40% das emissões de gases de efeito estufa da UE, incluindo setores de energia, indústria pesada e, desde 2012, aviação intra-europeia.</w:t>
      </w:r>
    </w:p>
    <w:p>
      <w:pPr>
        <w:pStyle w:val="BodyText"/>
      </w:pPr>
      <w:r>
        <w:rPr>
          <w:b/>
          <w:bCs/>
        </w:rPr>
        <w:t xml:space="preserve">Fases do EU ETS:</w:t>
      </w:r>
    </w:p>
    <w:p>
      <w:pPr>
        <w:pStyle w:val="Compact"/>
        <w:numPr>
          <w:ilvl w:val="0"/>
          <w:numId w:val="2307"/>
        </w:numPr>
      </w:pPr>
      <w:r>
        <w:rPr>
          <w:b/>
          <w:bCs/>
        </w:rPr>
        <w:t xml:space="preserve">Fase I (2005–2007)</w:t>
      </w:r>
      <w:r>
        <w:t xml:space="preserve">:</w:t>
      </w:r>
      <w:r>
        <w:t xml:space="preserve"> </w:t>
      </w:r>
      <w:r>
        <w:t xml:space="preserve">“aprendizado”</w:t>
      </w:r>
      <w:r>
        <w:t xml:space="preserve">. Alocação excessiva de permissões → preço colapsou para zero em 2007. Lição: o cap precisa ser restritivo.</w:t>
      </w:r>
    </w:p>
    <w:p>
      <w:pPr>
        <w:pStyle w:val="Compact"/>
        <w:numPr>
          <w:ilvl w:val="0"/>
          <w:numId w:val="2307"/>
        </w:numPr>
      </w:pPr>
      <w:r>
        <w:rPr>
          <w:b/>
          <w:bCs/>
        </w:rPr>
        <w:t xml:space="preserve">Fase II (2008–2012)</w:t>
      </w:r>
      <w:r>
        <w:t xml:space="preserve">: coincidiu com a crise financeira → queda na atividade industrial → excesso de permissões → preço caiu para ~€3/tCO₂.</w:t>
      </w:r>
    </w:p>
    <w:p>
      <w:pPr>
        <w:pStyle w:val="Compact"/>
        <w:numPr>
          <w:ilvl w:val="0"/>
          <w:numId w:val="2307"/>
        </w:numPr>
      </w:pPr>
      <w:r>
        <w:rPr>
          <w:b/>
          <w:bCs/>
        </w:rPr>
        <w:t xml:space="preserve">Fase III (2013–2020)</w:t>
      </w:r>
      <w:r>
        <w:t xml:space="preserve">: introdução de leilão como método primário de alocação; Reserva de Estabilidade de Mercado (MSR) para absorver excesso de permissões.</w:t>
      </w:r>
    </w:p>
    <w:p>
      <w:pPr>
        <w:pStyle w:val="Compact"/>
        <w:numPr>
          <w:ilvl w:val="0"/>
          <w:numId w:val="2307"/>
        </w:numPr>
      </w:pPr>
      <w:r>
        <w:rPr>
          <w:b/>
          <w:bCs/>
        </w:rPr>
        <w:t xml:space="preserve">Fase IV (2021–2030)</w:t>
      </w:r>
      <w:r>
        <w:t xml:space="preserve">: meta de redução de 62% nas emissões cobertas (em relação a 2005); preço atingiu ~€90/tCO₂ em 2023; extensão gradual a setores de transporte e edificações.</w:t>
      </w:r>
    </w:p>
    <w:p>
      <w:pPr>
        <w:pStyle w:val="FirstParagraph"/>
      </w:pPr>
      <w:r>
        <w:t xml:space="preserve">A história do preço do EU ETS é instrutiva: de ~€30 em 2005, colapsou para €0 em 2007, flutuou entre €3 e €30 de 2008 a 2018, e disparou para €50–100 entre 2021 e 2023. Essa volatilidade ilustra o argumento de Weitzman: instrumentos de quantidade geram incerteza de preço, o que dificulta o planejamento de investimentos de longo prazo em descarbonização.</w:t>
      </w:r>
    </w:p>
    <w:p>
      <w:pPr>
        <w:pStyle w:val="BlockText"/>
      </w:pPr>
      <w:r>
        <w:rPr>
          <w:b/>
          <w:bCs/>
        </w:rPr>
        <w:t xml:space="preserve">[BOX MUNDO] Box Mundo 24.2 — O EU ETS: lições de três décadas de mercado de carbono</w:t>
      </w:r>
    </w:p>
    <w:p>
      <w:pPr>
        <w:pStyle w:val="BlockText"/>
      </w:pPr>
      <w:r>
        <w:rPr>
          <w:b/>
          <w:bCs/>
        </w:rPr>
        <w:t xml:space="preserve">Contexto:</w:t>
      </w:r>
      <w:r>
        <w:t xml:space="preserve"> </w:t>
      </w:r>
      <w:r>
        <w:t xml:space="preserve">O EU ETS cobre mais de 10.000 instalações industriais e de energia em 30 países (UE + EEE), responsáveis por cerca de 1,4 bilhão de toneladas de CO₂ por ano — aproximadamente 36% das emissões da UE.</w:t>
      </w:r>
    </w:p>
    <w:p>
      <w:pPr>
        <w:pStyle w:val="BlockText"/>
      </w:pPr>
      <w:r>
        <w:rPr>
          <w:b/>
          <w:bCs/>
        </w:rPr>
        <w:t xml:space="preserve">Dados:</w:t>
      </w:r>
      <w:r>
        <w:t xml:space="preserve"> </w:t>
      </w:r>
      <w:r>
        <w:t xml:space="preserve">O preço das permissões (EUA — European Union Allowance) evoluiu: €22 (2005), €0,03 (2007), €3–8 (2012–2017), €25 (2019), €50 (2021), €90 (fev. 2023), €55–70 (2024). A receita acumulada de leilões desde 2013 ultrapassa €175 bilhões. As emissões cobertas pelo EU ETS caíram ~37% entre 2005 e 2023 — embora parte dessa redução se deva à crise financeira e à pandemia, análises econométricas (Bayer e Aklin, 2020) atribuem ~25–35% da redução ao próprio EU ETS.</w:t>
      </w:r>
    </w:p>
    <w:p>
      <w:pPr>
        <w:pStyle w:val="BlockText"/>
      </w:pPr>
      <w:r>
        <w:rPr>
          <w:b/>
          <w:bCs/>
        </w:rPr>
        <w:t xml:space="preserve">Análise:</w:t>
      </w:r>
      <w:r>
        <w:t xml:space="preserve"> </w:t>
      </w:r>
      <w:r>
        <w:t xml:space="preserve">O EU ETS ilustra simultaneamente as virtudes e os desafios dos mercados de carbono. A virtude: quando o preço subiu para €50–100 (Fase IV), empresas aceleraram investimentos em energia renovável e eficiência energética — confirmando que o sinal de preço funciona. O desafio: a volatilidade extrema (de €0 a €90 em menos de duas décadas) mina a previsibilidade necessária para investimentos de descarbonização de longo prazo. A solução institucional — a Reserva de Estabilidade de Mercado (MSR), que automaticamente retira permissões excedentes do mercado — é um exemplo de design de mecanismo (Capítulo 9d) aplicado à política climática.</w:t>
      </w:r>
    </w:p>
    <w:p>
      <w:pPr>
        <w:pStyle w:val="BlockText"/>
      </w:pPr>
      <w:r>
        <w:rPr>
          <w:b/>
          <w:bCs/>
        </w:rPr>
        <w:t xml:space="preserve">Fonte:</w:t>
      </w:r>
      <w:r>
        <w:t xml:space="preserve"> </w:t>
      </w:r>
      <w:r>
        <w:t xml:space="preserve">European Commission. 2024.</w:t>
      </w:r>
      <w:r>
        <w:t xml:space="preserve"> </w:t>
      </w:r>
      <w:r>
        <w:rPr>
          <w:i/>
          <w:iCs/>
        </w:rPr>
        <w:t xml:space="preserve">EU Emissions Trading System (EU ETS) data viewer</w:t>
      </w:r>
      <w:r>
        <w:t xml:space="preserve">. European Environment Agency.</w:t>
      </w:r>
    </w:p>
    <w:bookmarkEnd w:id="1459"/>
    <w:bookmarkStart w:id="1460" w:name="rggi-e-outros-mercados-regionais"/>
    <w:p>
      <w:pPr>
        <w:pStyle w:val="Heading4"/>
      </w:pPr>
      <w:r>
        <w:t xml:space="preserve">24.4.2 RGGI e outros mercados regionais</w:t>
      </w:r>
    </w:p>
    <w:p>
      <w:pPr>
        <w:pStyle w:val="FirstParagraph"/>
      </w:pPr>
      <w:r>
        <w:t xml:space="preserve">O</w:t>
      </w:r>
      <w:r>
        <w:t xml:space="preserve"> </w:t>
      </w:r>
      <w:r>
        <w:rPr>
          <w:b/>
          <w:bCs/>
        </w:rPr>
        <w:t xml:space="preserve">Regional Greenhouse Gas Initiative</w:t>
      </w:r>
      <w:r>
        <w:t xml:space="preserve"> </w:t>
      </w:r>
      <w:r>
        <w:t xml:space="preserve">(RGGI), lançado em 2009, foi o primeiro mercado de carbono obrigatório dos Estados Unidos. Cobre emissões do setor elétrico em 12 estados do nordeste americano (Connecticut, Delaware, Maine, Maryland, Massachusetts, New Hampshire, New Jersey, New York, Pennsylvania, Rhode Island, Vermont e Virginia).</w:t>
      </w:r>
    </w:p>
    <w:p>
      <w:pPr>
        <w:pStyle w:val="BodyText"/>
      </w:pPr>
      <w:r>
        <w:t xml:space="preserve">Características distintivas do RGGI:</w:t>
      </w:r>
    </w:p>
    <w:p>
      <w:pPr>
        <w:pStyle w:val="Compact"/>
        <w:numPr>
          <w:ilvl w:val="0"/>
          <w:numId w:val="2308"/>
        </w:numPr>
      </w:pPr>
      <w:r>
        <w:rPr>
          <w:b/>
          <w:bCs/>
        </w:rPr>
        <w:t xml:space="preserve">Foco estreito</w:t>
      </w:r>
      <w:r>
        <w:t xml:space="preserve">: cobre apenas usinas termelétricas (&gt;25 MW), diferentemente do EU ETS que abrange múltiplos setores industriais.</w:t>
      </w:r>
    </w:p>
    <w:p>
      <w:pPr>
        <w:pStyle w:val="Compact"/>
        <w:numPr>
          <w:ilvl w:val="0"/>
          <w:numId w:val="2308"/>
        </w:numPr>
      </w:pPr>
      <w:r>
        <w:rPr>
          <w:b/>
          <w:bCs/>
        </w:rPr>
        <w:t xml:space="preserve">100% leilão</w:t>
      </w:r>
      <w:r>
        <w:t xml:space="preserve">: todas as permissões são leiloadas (não distribuídas gratuitamente), gerando mais de US$ 6,5 bilhões em receita acumulada (2009–2023).</w:t>
      </w:r>
    </w:p>
    <w:p>
      <w:pPr>
        <w:pStyle w:val="Compact"/>
        <w:numPr>
          <w:ilvl w:val="0"/>
          <w:numId w:val="2308"/>
        </w:numPr>
      </w:pPr>
      <w:r>
        <w:rPr>
          <w:b/>
          <w:bCs/>
        </w:rPr>
        <w:t xml:space="preserve">Preço moderado</w:t>
      </w:r>
      <w:r>
        <w:t xml:space="preserve">: o preço das permissões flutuou entre US$ 2 e US$ 15/tCO₂ — muito abaixo do EU ETS, mas com piso de preço (</w:t>
      </w:r>
      <w:r>
        <w:rPr>
          <w:i/>
          <w:iCs/>
        </w:rPr>
        <w:t xml:space="preserve">price floor</w:t>
      </w:r>
      <w:r>
        <w:t xml:space="preserve">) que evita o colapso.</w:t>
      </w:r>
    </w:p>
    <w:p>
      <w:pPr>
        <w:pStyle w:val="Compact"/>
        <w:numPr>
          <w:ilvl w:val="0"/>
          <w:numId w:val="2308"/>
        </w:numPr>
      </w:pPr>
      <w:r>
        <w:rPr>
          <w:b/>
          <w:bCs/>
        </w:rPr>
        <w:t xml:space="preserve">Receita reciclada</w:t>
      </w:r>
      <w:r>
        <w:t xml:space="preserve">: os estados investem a receita dos leilões em eficiência energética, energia renovável e assistência a consumidores de baixa renda.</w:t>
      </w:r>
    </w:p>
    <w:p>
      <w:pPr>
        <w:pStyle w:val="FirstParagraph"/>
      </w:pPr>
      <w:r>
        <w:t xml:space="preserve">Outros mercados regionais relevantes incluem o sistema da</w:t>
      </w:r>
      <w:r>
        <w:t xml:space="preserve"> </w:t>
      </w:r>
      <w:r>
        <w:rPr>
          <w:b/>
          <w:bCs/>
        </w:rPr>
        <w:t xml:space="preserve">Califórnia</w:t>
      </w:r>
      <w:r>
        <w:t xml:space="preserve"> </w:t>
      </w:r>
      <w:r>
        <w:t xml:space="preserve">(vinculado ao Quebec, Canadá), o</w:t>
      </w:r>
      <w:r>
        <w:t xml:space="preserve"> </w:t>
      </w:r>
      <w:r>
        <w:rPr>
          <w:b/>
          <w:bCs/>
        </w:rPr>
        <w:t xml:space="preserve">mercado nacional chinês</w:t>
      </w:r>
      <w:r>
        <w:t xml:space="preserve"> </w:t>
      </w:r>
      <w:r>
        <w:t xml:space="preserve">(lançado em 2021, o maior do mundo em cobertura de emissões), e o</w:t>
      </w:r>
      <w:r>
        <w:t xml:space="preserve"> </w:t>
      </w:r>
      <w:r>
        <w:rPr>
          <w:b/>
          <w:bCs/>
        </w:rPr>
        <w:t xml:space="preserve">Sistema de Comércio de Emissões da Coreia do Sul</w:t>
      </w:r>
      <w:r>
        <w:t xml:space="preserve"> </w:t>
      </w:r>
      <w:r>
        <w:t xml:space="preserve">(KETS).</w:t>
      </w:r>
    </w:p>
    <w:p>
      <w:pPr>
        <w:pStyle w:val="BodyText"/>
      </w:pPr>
      <w:r>
        <w:t xml:space="preserve">No gráfico interativo abaixo, simule um mercado de carbono com múltiplas firmas. Ajuste o cap e observe como o mercado de permissões aloca o abatimento de forma custo-efetiva, comparado com regulação uniforme.</w:t>
      </w:r>
    </w:p>
    <w:p>
      <w:pPr>
        <w:pStyle w:val="BodyText"/>
      </w:pPr>
      <w:r>
        <w:t xml:space="preserve">[FIGURA INTERATIVA: /micro-book/graficos/cap24/mercado-carbono.html — versao interativa disponivel online]</w:t>
      </w:r>
    </w:p>
    <w:p>
      <w:pPr>
        <w:pStyle w:val="BodyText"/>
      </w:pPr>
      <w:r>
        <w:rPr>
          <w:b/>
          <w:bCs/>
        </w:rPr>
        <w:t xml:space="preserve">Figura 24.2 — Equilíbrio no Mercado de Carbono.</w:t>
      </w:r>
      <w:r>
        <w:t xml:space="preserve"> </w:t>
      </w:r>
      <w:r>
        <w:t xml:space="preserve">Firmas com custos marginais de abatimento diferentes negociam permissões. A firma mais barata abate mais e vende permissões; a mais cara abate menos e compra. O resultado: mesmo nível de abatimento total, mas a custo menor que regulação uniforme.</w:t>
      </w:r>
    </w:p>
    <w:bookmarkEnd w:id="1460"/>
    <w:bookmarkStart w:id="1461" w:name="X38fca21892cb59cbef01e317a3664eec9bd3261"/>
    <w:p>
      <w:pPr>
        <w:pStyle w:val="Heading4"/>
      </w:pPr>
      <w:r>
        <w:t xml:space="preserve">24.4.3 O mercado de carbono brasileiro: RenovaBio e CBIOs</w:t>
      </w:r>
    </w:p>
    <w:p>
      <w:pPr>
        <w:pStyle w:val="FirstParagraph"/>
      </w:pPr>
      <w:r>
        <w:t xml:space="preserve">O Brasil possui um instrumento de precificação de carbono singular: o</w:t>
      </w:r>
      <w:r>
        <w:t xml:space="preserve"> </w:t>
      </w:r>
      <w:r>
        <w:rPr>
          <w:b/>
          <w:bCs/>
        </w:rPr>
        <w:t xml:space="preserve">RenovaBio</w:t>
      </w:r>
      <w:r>
        <w:t xml:space="preserve">, política nacional de biocombustíveis criada pela Lei nº 13.576/2017. O programa opera por meio de Créditos de Descarbonização (CBIOs):</w:t>
      </w:r>
    </w:p>
    <w:p>
      <w:pPr>
        <w:pStyle w:val="Compact"/>
        <w:numPr>
          <w:ilvl w:val="0"/>
          <w:numId w:val="2309"/>
        </w:numPr>
      </w:pPr>
      <w:r>
        <w:rPr>
          <w:b/>
          <w:bCs/>
        </w:rPr>
        <w:t xml:space="preserve">Emissão</w:t>
      </w:r>
      <w:r>
        <w:t xml:space="preserve">: produtores de biocombustíveis (etanol, biodiesel, biometano) recebem CBIOs proporcionais ao volume de carbono evitado em relação ao combustível fóssil equivalente.</w:t>
      </w:r>
    </w:p>
    <w:p>
      <w:pPr>
        <w:pStyle w:val="Compact"/>
        <w:numPr>
          <w:ilvl w:val="0"/>
          <w:numId w:val="2309"/>
        </w:numPr>
      </w:pPr>
      <w:r>
        <w:rPr>
          <w:b/>
          <w:bCs/>
        </w:rPr>
        <w:t xml:space="preserve">Demanda</w:t>
      </w:r>
      <w:r>
        <w:t xml:space="preserve">: distribuidoras de combustíveis fósseis são obrigadas a adquirir CBIOs em quantidade proporcional ao volume de gasolina e diesel vendido — cada CBIO representa uma tonelada de</w:t>
      </w:r>
      <w:r>
        <w:t xml:space="preserve"> </w:t>
      </w:r>
      <m:oMath>
        <m:sSub>
          <m:e>
            <m:r>
              <m:rPr>
                <m:nor/>
                <m:sty m:val="p"/>
              </m:rPr>
              <m:t>CO</m:t>
            </m:r>
          </m:e>
          <m:sub>
            <m:r>
              <m:t>2</m:t>
            </m:r>
          </m:sub>
        </m:sSub>
      </m:oMath>
      <w:r>
        <w:t xml:space="preserve"> </w:t>
      </w:r>
      <w:r>
        <w:t xml:space="preserve">equivalente evitada.</w:t>
      </w:r>
    </w:p>
    <w:p>
      <w:pPr>
        <w:pStyle w:val="Compact"/>
        <w:numPr>
          <w:ilvl w:val="0"/>
          <w:numId w:val="2309"/>
        </w:numPr>
      </w:pPr>
      <w:r>
        <w:rPr>
          <w:b/>
          <w:bCs/>
        </w:rPr>
        <w:t xml:space="preserve">Mercado</w:t>
      </w:r>
      <w:r>
        <w:t xml:space="preserve">: CBIOs são negociados na B3 (bolsa de valores brasileira), com preço determinado pela oferta e demanda.</w:t>
      </w:r>
    </w:p>
    <w:p>
      <w:pPr>
        <w:pStyle w:val="BlockText"/>
      </w:pPr>
      <w:r>
        <w:rPr>
          <w:b/>
          <w:bCs/>
        </w:rPr>
        <w:t xml:space="preserve">[BOX BRASIL] Box Brasil 24.1 — RenovaBio e o mercado de CBIOs</w:t>
      </w:r>
    </w:p>
    <w:p>
      <w:pPr>
        <w:pStyle w:val="BlockText"/>
      </w:pPr>
      <w:r>
        <w:rPr>
          <w:b/>
          <w:bCs/>
        </w:rPr>
        <w:t xml:space="preserve">Contexto:</w:t>
      </w:r>
      <w:r>
        <w:t xml:space="preserve"> </w:t>
      </w:r>
      <w:r>
        <w:t xml:space="preserve">O RenovaBio é a principal política de precificação de carbono do Brasil, focada no setor de combustíveis. Lançado operacionalmente em 2020, estabelece metas anuais de descarbonização para distribuidoras de combustíveis fósseis, que devem adquirir CBIOs no mercado para cumpri-las.</w:t>
      </w:r>
    </w:p>
    <w:p>
      <w:pPr>
        <w:pStyle w:val="BlockText"/>
      </w:pPr>
      <w:r>
        <w:rPr>
          <w:b/>
          <w:bCs/>
        </w:rPr>
        <w:t xml:space="preserve">Dados:</w:t>
      </w:r>
      <w:r>
        <w:t xml:space="preserve"> </w:t>
      </w:r>
      <w:r>
        <w:t xml:space="preserve">Em 2023, foram emitidos ~39 milhões de CBIOs e aposentados ~36 milhões, a um preço médio de ~R$ 90/CBIO (~US$ 18/tCO₂e). A meta para 2024 era de ~39,6 milhões de CBIOs. Desde o início do programa, mais de 100 milhões de CBIOs foram emitidos. O Brasil também avança na regulamentação de um mercado regulado de carbono mais amplo (PL 412/2022, aprovado no Senado em 2023), que cobriria emissões industriais e de energia acima de 25.000 tCO₂/ano.</w:t>
      </w:r>
    </w:p>
    <w:p>
      <w:pPr>
        <w:pStyle w:val="BlockText"/>
      </w:pPr>
      <w:r>
        <w:rPr>
          <w:b/>
          <w:bCs/>
        </w:rPr>
        <w:t xml:space="preserve">Análise:</w:t>
      </w:r>
      <w:r>
        <w:t xml:space="preserve"> </w:t>
      </w:r>
      <w:r>
        <w:t xml:space="preserve">O RenovaBio é um caso interessante de cap-and-trade setorial: o</w:t>
      </w:r>
      <w:r>
        <w:t xml:space="preserve"> </w:t>
      </w:r>
      <w:r>
        <w:t xml:space="preserve">“cap”</w:t>
      </w:r>
      <w:r>
        <w:t xml:space="preserve"> </w:t>
      </w:r>
      <w:r>
        <w:t xml:space="preserve">é a meta de descarbonização, e o</w:t>
      </w:r>
      <w:r>
        <w:t xml:space="preserve"> </w:t>
      </w:r>
      <w:r>
        <w:t xml:space="preserve">“trade”</w:t>
      </w:r>
      <w:r>
        <w:t xml:space="preserve"> </w:t>
      </w:r>
      <w:r>
        <w:t xml:space="preserve">ocorre via CBIOs negociados em bolsa. O preço relativamente baixo dos CBIOs (comparado ao EU ETS) reflete tanto a abundância de biocombustíveis no Brasil quanto a meta ainda modesta. O PL do mercado regulado de carbono, se implementado, criaria um sistema mais abrangente — mas enfrenta resistências da indústria e desafios de monitoramento, reportagem e verificação (MRV), especialmente para emissões do setor agropecuário.</w:t>
      </w:r>
    </w:p>
    <w:p>
      <w:pPr>
        <w:pStyle w:val="BlockText"/>
      </w:pPr>
      <w:r>
        <w:rPr>
          <w:b/>
          <w:bCs/>
        </w:rPr>
        <w:t xml:space="preserve">Fonte:</w:t>
      </w:r>
      <w:r>
        <w:t xml:space="preserve"> </w:t>
      </w:r>
      <w:r>
        <w:t xml:space="preserve">ANP. 2024.</w:t>
      </w:r>
      <w:r>
        <w:t xml:space="preserve"> </w:t>
      </w:r>
      <w:r>
        <w:rPr>
          <w:i/>
          <w:iCs/>
        </w:rPr>
        <w:t xml:space="preserve">RenovaBio — Relatório anual</w:t>
      </w:r>
      <w:r>
        <w:t xml:space="preserve">. Agência Nacional do Petróleo, Gás Natural e Biocombustíveis.</w:t>
      </w:r>
    </w:p>
    <w:bookmarkEnd w:id="1461"/>
    <w:bookmarkStart w:id="1462" w:name="X90c8b1b2082904adb7cd37683a614eae2751244"/>
    <w:p>
      <w:pPr>
        <w:pStyle w:val="Heading4"/>
      </w:pPr>
      <w:r>
        <w:t xml:space="preserve">24.4.4 CBAM: mecanismo de ajuste de carbono na fronteira</w:t>
      </w:r>
    </w:p>
    <w:p>
      <w:pPr>
        <w:pStyle w:val="FirstParagraph"/>
      </w:pPr>
      <w:r>
        <w:t xml:space="preserve">O</w:t>
      </w:r>
      <w:r>
        <w:t xml:space="preserve"> </w:t>
      </w:r>
      <w:r>
        <w:rPr>
          <w:b/>
          <w:bCs/>
        </w:rPr>
        <w:t xml:space="preserve">Carbon Border Adjustment Mechanism</w:t>
      </w:r>
      <w:r>
        <w:t xml:space="preserve"> </w:t>
      </w:r>
      <w:r>
        <w:t xml:space="preserve">(CBAM) da União Europeia, que entrou em fase de transição em 2023, é uma inovação regulatória que conecta política climática e política comercial.</w:t>
      </w:r>
    </w:p>
    <w:p>
      <w:pPr>
        <w:pStyle w:val="BodyText"/>
      </w:pPr>
      <w:r>
        <w:t xml:space="preserve">O problema que o CBAM resolve é o</w:t>
      </w:r>
      <w:r>
        <w:t xml:space="preserve"> </w:t>
      </w:r>
      <w:r>
        <w:rPr>
          <w:b/>
          <w:bCs/>
        </w:rPr>
        <w:t xml:space="preserve">vazamento de carbono</w:t>
      </w:r>
      <w:r>
        <w:t xml:space="preserve"> </w:t>
      </w:r>
      <w:r>
        <w:t xml:space="preserve">(</w:t>
      </w:r>
      <w:r>
        <w:rPr>
          <w:i/>
          <w:iCs/>
        </w:rPr>
        <w:t xml:space="preserve">carbon leakage</w:t>
      </w:r>
      <w:r>
        <w:t xml:space="preserve">): quando um país (ou bloco) impõe um preço de carbono ambicioso, suas indústrias ficam em desvantagem competitiva em relação a concorrentes em países sem precificação — criando incentivos para relocação de produção para jurisdições com regulação mais frouxa. O resultado paradoxal é que o preço de carbono não reduz emissões globais, apenas as desloca.</w:t>
      </w:r>
    </w:p>
    <w:p>
      <w:pPr>
        <w:pStyle w:val="BodyText"/>
      </w:pPr>
      <w:r>
        <w:t xml:space="preserve">O CBAM funciona como uma</w:t>
      </w:r>
      <w:r>
        <w:t xml:space="preserve"> </w:t>
      </w:r>
      <w:r>
        <w:rPr>
          <w:b/>
          <w:bCs/>
        </w:rPr>
        <w:t xml:space="preserve">tarifa ambiental</w:t>
      </w:r>
      <w:r>
        <w:t xml:space="preserve">: importadores de produtos cobertos (aço, alumínio, cimento, fertilizantes, eletricidade, hidrogênio) devem adquirir certificados CBAM proporcionais às emissões embutidas nos produtos importados. O preço do certificado é vinculado ao preço do EU ETS. Assim, o produto importado enfrenta o mesmo preço de carbono que o produto fabricado na UE.</w:t>
      </w:r>
    </w:p>
    <w:p>
      <w:pPr>
        <w:pStyle w:val="BlockText"/>
      </w:pPr>
      <w:r>
        <w:rPr>
          <w:b/>
          <w:bCs/>
        </w:rPr>
        <w:t xml:space="preserve">[BOX MUNDO] Box Mundo 24.3 — CBAM: a tarifa climática da Europa</w:t>
      </w:r>
    </w:p>
    <w:p>
      <w:pPr>
        <w:pStyle w:val="BlockText"/>
      </w:pPr>
      <w:r>
        <w:rPr>
          <w:b/>
          <w:bCs/>
        </w:rPr>
        <w:t xml:space="preserve">Contexto:</w:t>
      </w:r>
      <w:r>
        <w:t xml:space="preserve"> </w:t>
      </w:r>
      <w:r>
        <w:t xml:space="preserve">O Carbon Border Adjustment Mechanism (CBAM) da UE entrou em fase de transição em outubro de 2023, com aplicação plena prevista para 2026. Cobre importações de produtos intensivos em carbono: ferro e aço, alumínio, cimento, fertilizantes, eletricidade e hidrogênio.</w:t>
      </w:r>
    </w:p>
    <w:p>
      <w:pPr>
        <w:pStyle w:val="BlockText"/>
      </w:pPr>
      <w:r>
        <w:rPr>
          <w:b/>
          <w:bCs/>
        </w:rPr>
        <w:t xml:space="preserve">Dados:</w:t>
      </w:r>
      <w:r>
        <w:t xml:space="preserve"> </w:t>
      </w:r>
      <w:r>
        <w:t xml:space="preserve">As importações cobertas pelo CBAM representam ~3,5% do valor total das importações da UE. O impacto estimado sobre países exportadores depende da intensidade de carbono de suas exportações. Para o Brasil, os setores mais afetados são ferro e aço (US$ 3,2 bilhões em exportações para a UE em 2022), alumínio (US$ 600 milhões) e fertilizantes (US$ 200 milhões). Se o preço do EU ETS estiver em €70/tCO₂, o custo adicional para exportadores brasileiros de aço pode chegar a 5–8% do valor FOB — dependendo da intensidade de carbono da produção.</w:t>
      </w:r>
    </w:p>
    <w:p>
      <w:pPr>
        <w:pStyle w:val="BlockText"/>
      </w:pPr>
      <w:r>
        <w:rPr>
          <w:b/>
          <w:bCs/>
        </w:rPr>
        <w:t xml:space="preserve">Análise:</w:t>
      </w:r>
      <w:r>
        <w:t xml:space="preserve"> </w:t>
      </w:r>
      <w:r>
        <w:t xml:space="preserve">O CBAM pode ser interpretado como uma internalização da externalidade de carbono na fronteira — impedindo que a diferença de preços de carbono entre jurisdições distorça o comércio internacional. Críticos argumentam que viola princípios da OMC (discriminação entre produtos baseada em processos de produção) e funciona como protecionismo disfarçado. Defensores respondem que, sem o CBAM, o preço de carbono europeu simplesmente desloca emissões para países sem precificação — piorando o problema climático global. Para o Brasil, o CBAM cria incentivos para implementar precificação doméstica de carbono: emissões já</w:t>
      </w:r>
      <w:r>
        <w:t xml:space="preserve"> </w:t>
      </w:r>
      <w:r>
        <w:t xml:space="preserve">“precificadas”</w:t>
      </w:r>
      <w:r>
        <w:t xml:space="preserve"> </w:t>
      </w:r>
      <w:r>
        <w:t xml:space="preserve">no país de origem podem ser descontadas do CBAM.</w:t>
      </w:r>
    </w:p>
    <w:p>
      <w:pPr>
        <w:pStyle w:val="BlockText"/>
      </w:pPr>
      <w:r>
        <w:rPr>
          <w:b/>
          <w:bCs/>
        </w:rPr>
        <w:t xml:space="preserve">Fonte:</w:t>
      </w:r>
      <w:r>
        <w:t xml:space="preserve"> </w:t>
      </w:r>
      <w:r>
        <w:t xml:space="preserve">European Commission. 2023.</w:t>
      </w:r>
      <w:r>
        <w:t xml:space="preserve"> </w:t>
      </w:r>
      <w:r>
        <w:rPr>
          <w:i/>
          <w:iCs/>
        </w:rPr>
        <w:t xml:space="preserve">Carbon Border Adjustment Mechanism — Factsheet</w:t>
      </w:r>
      <w:r>
        <w:t xml:space="preserve">. Brussels: European Commission.</w:t>
      </w:r>
    </w:p>
    <w:bookmarkEnd w:id="1462"/>
    <w:bookmarkStart w:id="1463" w:name="Xb6c47109d441db648340d2f51eb5db862d5d055"/>
    <w:p>
      <w:pPr>
        <w:pStyle w:val="Heading4"/>
      </w:pPr>
      <w:r>
        <w:t xml:space="preserve">24.4.5 Mercado voluntário de carbono e greenwashing: quando a sinalização falha</w:t>
      </w:r>
    </w:p>
    <w:p>
      <w:pPr>
        <w:pStyle w:val="FirstParagraph"/>
      </w:pPr>
      <w:r>
        <w:t xml:space="preserve">Além dos mercados regulados (EU ETS, RGGI, RenovaBio), existe um mercado</w:t>
      </w:r>
      <w:r>
        <w:t xml:space="preserve"> </w:t>
      </w:r>
      <w:r>
        <w:rPr>
          <w:b/>
          <w:bCs/>
        </w:rPr>
        <w:t xml:space="preserve">voluntário</w:t>
      </w:r>
      <w:r>
        <w:t xml:space="preserve"> </w:t>
      </w:r>
      <w:r>
        <w:t xml:space="preserve">de créditos de carbono, no qual empresas compram créditos para compensar suas emissões e reivindicar o rótulo</w:t>
      </w:r>
      <w:r>
        <w:t xml:space="preserve"> </w:t>
      </w:r>
      <w:r>
        <w:t xml:space="preserve">“carbono neutro”</w:t>
      </w:r>
      <w:r>
        <w:t xml:space="preserve"> </w:t>
      </w:r>
      <w:r>
        <w:t xml:space="preserve">ou</w:t>
      </w:r>
      <w:r>
        <w:t xml:space="preserve"> </w:t>
      </w:r>
      <w:r>
        <w:t xml:space="preserve">“net zero”</w:t>
      </w:r>
      <w:r>
        <w:t xml:space="preserve">. Esse mercado movimentou aproximadamente US$ 2 bilhões em 2023 (Ecosystem Marketplace, 2024) e é especialmente relevante para o Brasil, que concentra grande parte da oferta global de créditos de conservação florestal (REDD+).</w:t>
      </w:r>
    </w:p>
    <w:p>
      <w:pPr>
        <w:pStyle w:val="BodyText"/>
      </w:pPr>
      <w:r>
        <w:t xml:space="preserve">O problema econômico é clássico — e conecta este capítulo diretamente ao Capítulo 19 (informação assimétrica). Um crédito de carbono é um</w:t>
      </w:r>
      <w:r>
        <w:t xml:space="preserve"> </w:t>
      </w:r>
      <w:r>
        <w:rPr>
          <w:b/>
          <w:bCs/>
        </w:rPr>
        <w:t xml:space="preserve">bem de crença</w:t>
      </w:r>
      <w:r>
        <w:t xml:space="preserve"> </w:t>
      </w:r>
      <w:r>
        <w:t xml:space="preserve">(</w:t>
      </w:r>
      <w:r>
        <w:rPr>
          <w:i/>
          <w:iCs/>
        </w:rPr>
        <w:t xml:space="preserve">credence good</w:t>
      </w:r>
      <w:r>
        <w:t xml:space="preserve">): o comprador não pode verificar diretamente se o crédito representa uma redução real de emissões. Isso cria um mercado de</w:t>
      </w:r>
      <w:r>
        <w:t xml:space="preserve"> </w:t>
      </w:r>
      <w:r>
        <w:rPr>
          <w:i/>
          <w:iCs/>
        </w:rPr>
        <w:t xml:space="preserve">limões</w:t>
      </w:r>
      <w:r>
        <w:t xml:space="preserve"> </w:t>
      </w:r>
      <w:r>
        <w:t xml:space="preserve">à la Akerlof:</w:t>
      </w:r>
    </w:p>
    <w:p>
      <w:pPr>
        <w:pStyle w:val="Compact"/>
        <w:numPr>
          <w:ilvl w:val="0"/>
          <w:numId w:val="2310"/>
        </w:numPr>
      </w:pPr>
      <w:r>
        <w:rPr>
          <w:b/>
          <w:bCs/>
        </w:rPr>
        <w:t xml:space="preserve">Assimetria de informação:</w:t>
      </w:r>
      <w:r>
        <w:t xml:space="preserve"> </w:t>
      </w:r>
      <w:r>
        <w:t xml:space="preserve">O vendedor do crédito sabe se o projeto florestal é real, adicional e permanente. O comprador — tipicamente uma empresa que quer marketing verde — frequentemente não sabe.</w:t>
      </w:r>
    </w:p>
    <w:p>
      <w:pPr>
        <w:pStyle w:val="Compact"/>
        <w:numPr>
          <w:ilvl w:val="0"/>
          <w:numId w:val="2310"/>
        </w:numPr>
      </w:pPr>
      <w:r>
        <w:rPr>
          <w:b/>
          <w:bCs/>
        </w:rPr>
        <w:t xml:space="preserve">Seleção adversa:</w:t>
      </w:r>
      <w:r>
        <w:t xml:space="preserve"> </w:t>
      </w:r>
      <w:r>
        <w:t xml:space="preserve">Créditos de baixa qualidade (projetos que existiriam de qualquer forma, ou florestas que não estavam realmente ameaçadas) são mais baratos de produzir. Se compradores não distinguem qualidade, os créditos baratos e ruins expulsam os caros e bons — o mecanismo clássico de Akerlof.</w:t>
      </w:r>
    </w:p>
    <w:p>
      <w:pPr>
        <w:pStyle w:val="Compact"/>
        <w:numPr>
          <w:ilvl w:val="0"/>
          <w:numId w:val="2310"/>
        </w:numPr>
      </w:pPr>
      <w:r>
        <w:rPr>
          <w:b/>
          <w:bCs/>
        </w:rPr>
        <w:t xml:space="preserve">Greenwashing como sinalização falsa:</w:t>
      </w:r>
      <w:r>
        <w:t xml:space="preserve"> </w:t>
      </w:r>
      <w:r>
        <w:t xml:space="preserve">Empresas usam créditos baratos para</w:t>
      </w:r>
      <w:r>
        <w:t xml:space="preserve"> </w:t>
      </w:r>
      <w:r>
        <w:rPr>
          <w:i/>
          <w:iCs/>
        </w:rPr>
        <w:t xml:space="preserve">sinalizar</w:t>
      </w:r>
      <w:r>
        <w:t xml:space="preserve"> </w:t>
      </w:r>
      <w:r>
        <w:t xml:space="preserve">responsabilidade ambiental sem reduzir emissões reais. Isso é o oposto da sinalização de Spence (Cap. 9d): em vez de um sinal custoso que revela qualidade, é um sinal barato que</w:t>
      </w:r>
      <w:r>
        <w:t xml:space="preserve"> </w:t>
      </w:r>
      <w:r>
        <w:rPr>
          <w:i/>
          <w:iCs/>
        </w:rPr>
        <w:t xml:space="preserve">oculta</w:t>
      </w:r>
      <w:r>
        <w:t xml:space="preserve"> </w:t>
      </w:r>
      <w:r>
        <w:t xml:space="preserve">a falta de qualidade.</w:t>
      </w:r>
    </w:p>
    <w:p>
      <w:pPr>
        <w:pStyle w:val="BlockText"/>
      </w:pPr>
      <w:r>
        <w:rPr>
          <w:b/>
          <w:bCs/>
        </w:rPr>
        <w:t xml:space="preserve">[INTUICAO ECONOMICA] Intuição Econômica</w:t>
      </w:r>
    </w:p>
    <w:p>
      <w:pPr>
        <w:pStyle w:val="BlockText"/>
      </w:pPr>
      <w:r>
        <w:rPr>
          <w:b/>
          <w:bCs/>
        </w:rPr>
        <w:t xml:space="preserve">Em uma frase:</w:t>
      </w:r>
      <w:r>
        <w:t xml:space="preserve"> </w:t>
      </w:r>
      <w:r>
        <w:t xml:space="preserve">O mercado voluntário de carbono sofre de seleção adversa porque créditos ruins são indistinguíveis de créditos bons — e mais baratos de produzir.</w:t>
      </w:r>
    </w:p>
    <w:p>
      <w:pPr>
        <w:pStyle w:val="BlockText"/>
      </w:pPr>
      <w:r>
        <w:rPr>
          <w:b/>
          <w:bCs/>
        </w:rPr>
        <w:t xml:space="preserve">Pense assim:</w:t>
      </w:r>
      <w:r>
        <w:t xml:space="preserve"> </w:t>
      </w:r>
      <w:r>
        <w:t xml:space="preserve">Imagine que</w:t>
      </w:r>
      <w:r>
        <w:t xml:space="preserve"> </w:t>
      </w:r>
      <w:r>
        <w:t xml:space="preserve">“compensar carbono”</w:t>
      </w:r>
      <w:r>
        <w:t xml:space="preserve"> </w:t>
      </w:r>
      <w:r>
        <w:t xml:space="preserve">fosse como comprar um carro usado. Alguns créditos são Corollas impecáveis (projetos rigorosos com adicionalidade verificada). Outros são limões (projetos que existiriam de qualquer forma, contabilidades infladas). Se o comprador não distingue, paga preço médio — e os Corollas saem do mercado.</w:t>
      </w:r>
    </w:p>
    <w:p>
      <w:pPr>
        <w:pStyle w:val="BlockText"/>
      </w:pPr>
      <w:r>
        <w:rPr>
          <w:b/>
          <w:bCs/>
        </w:rPr>
        <w:t xml:space="preserve">Por que isso importa:</w:t>
      </w:r>
      <w:r>
        <w:t xml:space="preserve"> </w:t>
      </w:r>
      <w:r>
        <w:t xml:space="preserve">Sem mecanismos de certificação crível (Verra, Gold Standard) e regulação transparente, o mercado voluntário pode ser contraproducente: permite que empresas substituam reduções reais de emissões por compras baratas de créditos duvidosos, retardando a descarbonização efetiva.</w:t>
      </w:r>
    </w:p>
    <w:p>
      <w:pPr>
        <w:pStyle w:val="BlockText"/>
      </w:pPr>
      <w:r>
        <w:rPr>
          <w:b/>
          <w:bCs/>
        </w:rPr>
        <w:t xml:space="preserve">[BOX BRASIL] Box Brasil 24.2 — O Brasil no mercado voluntário de carbono: oportunidade e risco</w:t>
      </w:r>
    </w:p>
    <w:p>
      <w:pPr>
        <w:pStyle w:val="BlockText"/>
      </w:pPr>
      <w:r>
        <w:t xml:space="preserve">O Brasil é um dos maiores ofertantes potenciais de créditos de carbono do mundo, graças à sua cobertura florestal (~60% do território) e ao potencial de projetos REDD+ na Amazônia. Em 2023, o país respondeu por ~15% dos créditos florestais emitidos globalmente no mercado voluntário (Ecosystem Marketplace).</w:t>
      </w:r>
    </w:p>
    <w:p>
      <w:pPr>
        <w:pStyle w:val="BlockText"/>
      </w:pPr>
      <w:r>
        <w:rPr>
          <w:b/>
          <w:bCs/>
        </w:rPr>
        <w:t xml:space="preserve">Oportunidades:</w:t>
      </w:r>
      <w:r>
        <w:t xml:space="preserve"> </w:t>
      </w:r>
      <w:r>
        <w:t xml:space="preserve">O Artigo 6 do Acordo de Paris abre espaço para o comércio internacional de créditos de carbono. Com o avanço do SBCE (Sistema Brasileiro de Comércio de Emissões, PL 182/2024), o Brasil pode se posicionar como grande exportador de créditos florestais de alta qualidade — a preços significativamente acima dos R$ 90/CBIO do RenovaBio.</w:t>
      </w:r>
    </w:p>
    <w:p>
      <w:pPr>
        <w:pStyle w:val="BlockText"/>
      </w:pPr>
      <w:r>
        <w:rPr>
          <w:b/>
          <w:bCs/>
        </w:rPr>
        <w:t xml:space="preserve">Riscos:</w:t>
      </w:r>
      <w:r>
        <w:t xml:space="preserve"> </w:t>
      </w:r>
      <w:r>
        <w:t xml:space="preserve">Investigações jornalísticas e acadêmicas (West et al., 2023,</w:t>
      </w:r>
      <w:r>
        <w:t xml:space="preserve"> </w:t>
      </w:r>
      <w:r>
        <w:rPr>
          <w:i/>
          <w:iCs/>
        </w:rPr>
        <w:t xml:space="preserve">Science</w:t>
      </w:r>
      <w:r>
        <w:t xml:space="preserve">) revelaram que até 94% dos créditos de conservação florestal certificados pela Verra não representaram reduções reais de emissões. Isso mina a credibilidade do mercado inteiro e pode transformar o</w:t>
      </w:r>
      <w:r>
        <w:t xml:space="preserve"> </w:t>
      </w:r>
      <w:r>
        <w:t xml:space="preserve">“ativo verde”</w:t>
      </w:r>
      <w:r>
        <w:t xml:space="preserve"> </w:t>
      </w:r>
      <w:r>
        <w:t xml:space="preserve">brasileiro em um passivo reputacional.</w:t>
      </w:r>
    </w:p>
    <w:p>
      <w:pPr>
        <w:pStyle w:val="BlockText"/>
      </w:pPr>
      <w:r>
        <w:rPr>
          <w:b/>
          <w:bCs/>
        </w:rPr>
        <w:t xml:space="preserve">Conexão com a teoria:</w:t>
      </w:r>
      <w:r>
        <w:t xml:space="preserve"> </w:t>
      </w:r>
      <w:r>
        <w:t xml:space="preserve">O caso é uma aplicação direta de seleção adversa (Cap. 19): sem informação verificável sobre adicionalidade, o mercado colapsa em direção à baixa qualidade. A solução passa por mecanismos de</w:t>
      </w:r>
      <w:r>
        <w:t xml:space="preserve"> </w:t>
      </w:r>
      <w:r>
        <w:rPr>
          <w:i/>
          <w:iCs/>
        </w:rPr>
        <w:t xml:space="preserve">screening</w:t>
      </w:r>
      <w:r>
        <w:t xml:space="preserve"> </w:t>
      </w:r>
      <w:r>
        <w:t xml:space="preserve">(certificação independente, monitoramento por satélite, registro blockchain) e regulação que imponha padrões mínimos — exatamente os mecanismos que Rothschild e Stiglitz (1976) preveem como resposta à assimetria informacional.</w:t>
      </w:r>
    </w:p>
    <w:p>
      <w:pPr>
        <w:pStyle w:val="BlockText"/>
      </w:pPr>
      <w:r>
        <w:rPr>
          <w:b/>
          <w:bCs/>
        </w:rPr>
        <w:t xml:space="preserve">Fonte:</w:t>
      </w:r>
      <w:r>
        <w:t xml:space="preserve"> </w:t>
      </w:r>
      <w:r>
        <w:t xml:space="preserve">West, T.A.P. et al. (2023).</w:t>
      </w:r>
      <w:r>
        <w:t xml:space="preserve"> </w:t>
      </w:r>
      <w:r>
        <w:t xml:space="preserve">“Action needed to make carbon offsets from tropical forest conservation work for climate change mitigation.”</w:t>
      </w:r>
      <w:r>
        <w:t xml:space="preserve"> </w:t>
      </w:r>
      <w:r>
        <w:rPr>
          <w:i/>
          <w:iCs/>
        </w:rPr>
        <w:t xml:space="preserve">Science</w:t>
      </w:r>
      <w:r>
        <w:t xml:space="preserve">, 381(6660), 873–877. Ecosystem Marketplace (2024).</w:t>
      </w:r>
      <w:r>
        <w:t xml:space="preserve"> </w:t>
      </w:r>
      <w:r>
        <w:rPr>
          <w:i/>
          <w:iCs/>
        </w:rPr>
        <w:t xml:space="preserve">State of the Voluntary Carbon Market</w:t>
      </w:r>
      <w:r>
        <w:t xml:space="preserve">.</w:t>
      </w:r>
    </w:p>
    <w:bookmarkEnd w:id="1463"/>
    <w:bookmarkEnd w:id="1464"/>
    <w:bookmarkStart w:id="1468" w:name="Xaed9b0313f9226111de8aeabaedccf8db07d428"/>
    <w:p>
      <w:pPr>
        <w:pStyle w:val="Heading3"/>
      </w:pPr>
      <w:r>
        <w:t xml:space="preserve">24.5 Valoração Ambiental</w:t>
      </w:r>
    </w:p>
    <w:bookmarkStart w:id="1465" w:name="o-valor-econômico-total"/>
    <w:p>
      <w:pPr>
        <w:pStyle w:val="Heading4"/>
      </w:pPr>
      <w:r>
        <w:t xml:space="preserve">24.5.1 O valor econômico total</w:t>
      </w:r>
    </w:p>
    <w:p>
      <w:pPr>
        <w:pStyle w:val="FirstParagraph"/>
      </w:pPr>
      <w:r>
        <w:t xml:space="preserve">Quanto vale um pôr do sol? A pergunta soa absurda — e é exatamente esse desconforto que torna a valoração ambiental tão fascinante e tão necessária. Se não conseguimos expressar em reais (ou dólares) o valor de ar limpo, biodiversidade e paisagem natural, como justificar politicamente os custos de protegê-los? Essa questão é central para a economia ambiental, pois sem mensuração do valor, não é possível comparar custos e benefícios de políticas de conservação.</w:t>
      </w:r>
    </w:p>
    <w:p>
      <w:pPr>
        <w:pStyle w:val="BodyText"/>
      </w:pPr>
      <w:r>
        <w:t xml:space="preserve">A abordagem padrão decompõe o</w:t>
      </w:r>
      <w:r>
        <w:t xml:space="preserve"> </w:t>
      </w:r>
      <w:r>
        <w:rPr>
          <w:b/>
          <w:bCs/>
        </w:rPr>
        <w:t xml:space="preserve">valor econômico total</w:t>
      </w:r>
      <w:r>
        <w:t xml:space="preserve"> </w:t>
      </w:r>
      <w:r>
        <w:t xml:space="preserve">(VET) de um recurso ambiental em componentes:</w:t>
      </w:r>
    </w:p>
    <w:p>
      <w:pPr>
        <w:pStyle w:val="BodyText"/>
      </w:pPr>
      <m:oMathPara>
        <m:oMathParaPr>
          <m:jc m:val="center"/>
        </m:oMathParaPr>
        <m:oMath>
          <m:r>
            <m:rPr>
              <m:nor/>
              <m:sty m:val="p"/>
            </m:rPr>
            <m:t>VET</m:t>
          </m:r>
          <m:r>
            <m:rPr>
              <m:sty m:val="p"/>
            </m:rPr>
            <m:t>=</m:t>
          </m:r>
          <m:limLow>
            <m:e>
              <m:limLow>
                <m:e>
                  <m:r>
                    <m:rPr>
                      <m:nor/>
                      <m:sty m:val="p"/>
                    </m:rPr>
                    <m:t>VU</m:t>
                  </m:r>
                </m:e>
                <m:lim>
                  <m:r>
                    <m:rPr>
                      <m:sty m:val="p"/>
                    </m:rPr>
                    <m:t>⏟</m:t>
                  </m:r>
                </m:lim>
              </m:limLow>
            </m:e>
            <m:lim>
              <m:r>
                <m:rPr>
                  <m:nor/>
                  <m:sty m:val="p"/>
                </m:rPr>
                <m:t>Valor de uso</m:t>
              </m:r>
            </m:lim>
          </m:limLow>
          <m:r>
            <m:rPr>
              <m:sty m:val="p"/>
            </m:rPr>
            <m:t>+</m:t>
          </m:r>
          <m:limLow>
            <m:e>
              <m:limLow>
                <m:e>
                  <m:r>
                    <m:rPr>
                      <m:nor/>
                      <m:sty m:val="p"/>
                    </m:rPr>
                    <m:t>VNU</m:t>
                  </m:r>
                </m:e>
                <m:lim>
                  <m:r>
                    <m:rPr>
                      <m:sty m:val="p"/>
                    </m:rPr>
                    <m:t>⏟</m:t>
                  </m:r>
                </m:lim>
              </m:limLow>
            </m:e>
            <m:lim>
              <m:r>
                <m:rPr>
                  <m:nor/>
                  <m:sty m:val="p"/>
                </m:rPr>
                <m:t>Valor de não-uso</m:t>
              </m:r>
            </m:lim>
          </m:limLow>
        </m:oMath>
      </m:oMathPara>
    </w:p>
    <w:p>
      <w:pPr>
        <w:pStyle w:val="FirstParagraph"/>
      </w:pPr>
      <w:r>
        <w:t xml:space="preserve">O</w:t>
      </w:r>
      <w:r>
        <w:t xml:space="preserve"> </w:t>
      </w:r>
      <w:r>
        <w:rPr>
          <w:b/>
          <w:bCs/>
        </w:rPr>
        <w:t xml:space="preserve">valor de uso</w:t>
      </w:r>
      <w:r>
        <w:t xml:space="preserve"> </w:t>
      </w:r>
      <w:r>
        <w:t xml:space="preserve">compreende:</w:t>
      </w:r>
    </w:p>
    <w:p>
      <w:pPr>
        <w:pStyle w:val="Compact"/>
        <w:numPr>
          <w:ilvl w:val="0"/>
          <w:numId w:val="2311"/>
        </w:numPr>
      </w:pPr>
      <w:r>
        <w:rPr>
          <w:b/>
          <w:bCs/>
        </w:rPr>
        <w:t xml:space="preserve">Uso direto</w:t>
      </w:r>
      <w:r>
        <w:t xml:space="preserve">: benefícios do uso efetivo do recurso (madeira da floresta, peixes do rio, recreação no parque).</w:t>
      </w:r>
    </w:p>
    <w:p>
      <w:pPr>
        <w:pStyle w:val="Compact"/>
        <w:numPr>
          <w:ilvl w:val="0"/>
          <w:numId w:val="2311"/>
        </w:numPr>
      </w:pPr>
      <w:r>
        <w:rPr>
          <w:b/>
          <w:bCs/>
        </w:rPr>
        <w:t xml:space="preserve">Uso indireto</w:t>
      </w:r>
      <w:r>
        <w:t xml:space="preserve">: benefícios dos serviços ecossistêmicos (regulação climática pela floresta, purificação de água, polinização).</w:t>
      </w:r>
    </w:p>
    <w:p>
      <w:pPr>
        <w:pStyle w:val="Compact"/>
        <w:numPr>
          <w:ilvl w:val="0"/>
          <w:numId w:val="2311"/>
        </w:numPr>
      </w:pPr>
      <w:r>
        <w:rPr>
          <w:b/>
          <w:bCs/>
        </w:rPr>
        <w:t xml:space="preserve">Valor de opção</w:t>
      </w:r>
      <w:r>
        <w:t xml:space="preserve">: disposição a pagar pela</w:t>
      </w:r>
      <w:r>
        <w:t xml:space="preserve"> </w:t>
      </w:r>
      <w:r>
        <w:rPr>
          <w:i/>
          <w:iCs/>
        </w:rPr>
        <w:t xml:space="preserve">possibilidade</w:t>
      </w:r>
      <w:r>
        <w:t xml:space="preserve"> </w:t>
      </w:r>
      <w:r>
        <w:t xml:space="preserve">de usar o recurso no futuro, mesmo que não se use hoje (análogo ao valor de uma opção financeira — Capítulo 18).</w:t>
      </w:r>
    </w:p>
    <w:p>
      <w:pPr>
        <w:pStyle w:val="FirstParagraph"/>
      </w:pPr>
      <w:r>
        <w:t xml:space="preserve">O</w:t>
      </w:r>
      <w:r>
        <w:t xml:space="preserve"> </w:t>
      </w:r>
      <w:r>
        <w:rPr>
          <w:b/>
          <w:bCs/>
        </w:rPr>
        <w:t xml:space="preserve">valor de não-uso</w:t>
      </w:r>
      <w:r>
        <w:t xml:space="preserve"> </w:t>
      </w:r>
      <w:r>
        <w:t xml:space="preserve">compreende:</w:t>
      </w:r>
    </w:p>
    <w:p>
      <w:pPr>
        <w:pStyle w:val="Compact"/>
        <w:numPr>
          <w:ilvl w:val="0"/>
          <w:numId w:val="2312"/>
        </w:numPr>
      </w:pPr>
      <w:r>
        <w:rPr>
          <w:b/>
          <w:bCs/>
        </w:rPr>
        <w:t xml:space="preserve">Valor de existência</w:t>
      </w:r>
      <w:r>
        <w:t xml:space="preserve">: disposição a pagar pela mera existência do recurso, mesmo sem qualquer uso presente ou futuro. Exemplos: preservação de baleias, proteção da floresta amazônica por pessoas que nunca a visitarão.</w:t>
      </w:r>
    </w:p>
    <w:p>
      <w:pPr>
        <w:pStyle w:val="Compact"/>
        <w:numPr>
          <w:ilvl w:val="0"/>
          <w:numId w:val="2312"/>
        </w:numPr>
      </w:pPr>
      <w:r>
        <w:rPr>
          <w:b/>
          <w:bCs/>
        </w:rPr>
        <w:t xml:space="preserve">Valor de legado</w:t>
      </w:r>
      <w:r>
        <w:t xml:space="preserve">: disposição a pagar para que gerações futuras possam usufruir do recurso.</w:t>
      </w:r>
    </w:p>
    <w:p>
      <w:pPr>
        <w:pStyle w:val="BlockText"/>
      </w:pPr>
      <w:r>
        <w:rPr>
          <w:b/>
          <w:bCs/>
        </w:rPr>
        <w:t xml:space="preserve">[INTUICAO ECONOMICA] Intuição Econômica</w:t>
      </w:r>
    </w:p>
    <w:p>
      <w:pPr>
        <w:pStyle w:val="BlockText"/>
      </w:pPr>
      <w:r>
        <w:rPr>
          <w:b/>
          <w:bCs/>
        </w:rPr>
        <w:t xml:space="preserve">Em uma frase:</w:t>
      </w:r>
      <w:r>
        <w:t xml:space="preserve"> </w:t>
      </w:r>
      <w:r>
        <w:t xml:space="preserve">Bens ambientais têm valor mesmo quando não são</w:t>
      </w:r>
      <w:r>
        <w:t xml:space="preserve"> </w:t>
      </w:r>
      <w:r>
        <w:t xml:space="preserve">“usados”</w:t>
      </w:r>
      <w:r>
        <w:t xml:space="preserve"> </w:t>
      </w:r>
      <w:r>
        <w:t xml:space="preserve">— e ignorar esse valor leva a decisões que subestimam os custos da degradação ambiental.</w:t>
      </w:r>
    </w:p>
    <w:p>
      <w:pPr>
        <w:pStyle w:val="BlockText"/>
      </w:pPr>
      <w:r>
        <w:rPr>
          <w:b/>
          <w:bCs/>
        </w:rPr>
        <w:t xml:space="preserve">Pense assim:</w:t>
      </w:r>
      <w:r>
        <w:t xml:space="preserve"> </w:t>
      </w:r>
      <w:r>
        <w:t xml:space="preserve">Quanto vale a Floresta Amazônica? O valor da madeira e dos produtos extrativistas (uso direto) é uma fração minúscula do valor total. Os serviços ecossistêmicos — regulação do clima, ciclo de chuvas, biodiversidade (uso indireto) — valem muito mais. E a disposição de milhões de pessoas ao redor do mundo a pagar pela simples</w:t>
      </w:r>
      <w:r>
        <w:t xml:space="preserve"> </w:t>
      </w:r>
      <w:r>
        <w:rPr>
          <w:i/>
          <w:iCs/>
        </w:rPr>
        <w:t xml:space="preserve">existência</w:t>
      </w:r>
      <w:r>
        <w:t xml:space="preserve"> </w:t>
      </w:r>
      <w:r>
        <w:t xml:space="preserve">da floresta (valor de não-uso) pode ser o componente mais significativo. Ignorar os valores de uso indireto e de não-uso é como avaliar um hospital apenas pelo preço dos tijolos.</w:t>
      </w:r>
    </w:p>
    <w:p>
      <w:pPr>
        <w:pStyle w:val="BlockText"/>
      </w:pPr>
      <w:r>
        <w:rPr>
          <w:b/>
          <w:bCs/>
        </w:rPr>
        <w:t xml:space="preserve">Por que isso importa:</w:t>
      </w:r>
      <w:r>
        <w:t xml:space="preserve"> </w:t>
      </w:r>
      <w:r>
        <w:t xml:space="preserve">A análise de custo-benefício de projetos que envolvem destruição ambiental (desmatamento para agropecuária, hidrelétrica em rio amazônico) precisa incluir</w:t>
      </w:r>
      <w:r>
        <w:t xml:space="preserve"> </w:t>
      </w:r>
      <w:r>
        <w:rPr>
          <w:i/>
          <w:iCs/>
        </w:rPr>
        <w:t xml:space="preserve">todos</w:t>
      </w:r>
      <w:r>
        <w:t xml:space="preserve"> </w:t>
      </w:r>
      <w:r>
        <w:t xml:space="preserve">os componentes do valor econômico total — não apenas os que têm preço de mercado. Subestimar o valor ambiental é a raiz econômica de muitas decisões ambientalmente destrutivas.</w:t>
      </w:r>
    </w:p>
    <w:bookmarkEnd w:id="1465"/>
    <w:bookmarkStart w:id="1466" w:name="métodos-de-preferência-revelada"/>
    <w:p>
      <w:pPr>
        <w:pStyle w:val="Heading4"/>
      </w:pPr>
      <w:r>
        <w:t xml:space="preserve">24.5.2 Métodos de preferência revelada</w:t>
      </w:r>
    </w:p>
    <w:p>
      <w:pPr>
        <w:pStyle w:val="FirstParagraph"/>
      </w:pPr>
      <w:r>
        <w:t xml:space="preserve">Os métodos de</w:t>
      </w:r>
      <w:r>
        <w:t xml:space="preserve"> </w:t>
      </w:r>
      <w:r>
        <w:rPr>
          <w:b/>
          <w:bCs/>
        </w:rPr>
        <w:t xml:space="preserve">preferência revelada</w:t>
      </w:r>
      <w:r>
        <w:t xml:space="preserve"> </w:t>
      </w:r>
      <w:r>
        <w:t xml:space="preserve">inferem o valor ambiental a partir de comportamentos observados em mercados reais — conectando diretamente com o Capítulo 4 (Preferência Revelada).</w:t>
      </w:r>
    </w:p>
    <w:p>
      <w:pPr>
        <w:pStyle w:val="BodyText"/>
      </w:pPr>
      <w:r>
        <w:rPr>
          <w:b/>
          <w:bCs/>
        </w:rPr>
        <w:t xml:space="preserve">Preços hedônicos</w:t>
      </w:r>
      <w:r>
        <w:t xml:space="preserve"> </w:t>
      </w:r>
      <w:r>
        <w:t xml:space="preserve">(</w:t>
      </w:r>
      <w:r>
        <w:rPr>
          <w:i/>
          <w:iCs/>
        </w:rPr>
        <w:t xml:space="preserve">hedonic pricing</w:t>
      </w:r>
      <w:r>
        <w:t xml:space="preserve">). A ideia: bens diferenciados (como imóveis) são</w:t>
      </w:r>
      <w:r>
        <w:t xml:space="preserve"> </w:t>
      </w:r>
      <w:r>
        <w:t xml:space="preserve">“pacotes”</w:t>
      </w:r>
      <w:r>
        <w:t xml:space="preserve"> </w:t>
      </w:r>
      <w:r>
        <w:t xml:space="preserve">de atributos, e o preço de mercado reflete implicitamente o valor de cada atributo. Se casas perto de um parque valem mais do que casas idênticas longe do parque, a diferença de preço revela a disposição a pagar pela amenidade ambiental.</w:t>
      </w:r>
    </w:p>
    <w:p>
      <w:pPr>
        <w:pStyle w:val="BodyText"/>
      </w:pPr>
      <w:r>
        <w:t xml:space="preserve">Formalmente, o preço de um imóvel é uma função dos seus atributos:</w:t>
      </w:r>
    </w:p>
    <w:p>
      <w:pPr>
        <w:pStyle w:val="BodyText"/>
      </w:pPr>
      <m:oMathPara>
        <m:oMathParaPr>
          <m:jc m:val="center"/>
        </m:oMathParaPr>
        <m:oMath>
          <m:r>
            <m:t>P</m:t>
          </m:r>
          <m:r>
            <m:rPr>
              <m:sty m:val="p"/>
            </m:rPr>
            <m:t>=</m:t>
          </m:r>
          <m:r>
            <m:t>P</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k</m:t>
              </m:r>
            </m:sub>
          </m:sSub>
          <m:r>
            <m:rPr>
              <m:sty m:val="p"/>
            </m:rPr>
            <m:t>,</m:t>
          </m:r>
          <m:r>
            <m:t>Q</m:t>
          </m:r>
          <m:r>
            <m:rPr>
              <m:sty m:val="p"/>
            </m:rPr>
            <m:t>)</m:t>
          </m:r>
        </m:oMath>
      </m:oMathPara>
    </w:p>
    <w:p>
      <w:pPr>
        <w:pStyle w:val="FirstParagraph"/>
      </w:pPr>
      <w:r>
        <w:t xml:space="preserve">onde</w:t>
      </w:r>
      <w:r>
        <w:t xml:space="preserve"> </w:t>
      </w:r>
      <m:oMath>
        <m:sSub>
          <m:e>
            <m:r>
              <m:t>S</m:t>
            </m:r>
          </m:e>
          <m:sub>
            <m:r>
              <m:t>1</m:t>
            </m:r>
          </m:sub>
        </m:sSub>
        <m:r>
          <m:rPr>
            <m:sty m:val="p"/>
          </m:rPr>
          <m:t>,</m:t>
        </m:r>
        <m:r>
          <m:rPr>
            <m:sty m:val="p"/>
          </m:rPr>
          <m:t>…</m:t>
        </m:r>
        <m:r>
          <m:rPr>
            <m:sty m:val="p"/>
          </m:rPr>
          <m:t>,</m:t>
        </m:r>
        <m:sSub>
          <m:e>
            <m:r>
              <m:t>S</m:t>
            </m:r>
          </m:e>
          <m:sub>
            <m:r>
              <m:t>k</m:t>
            </m:r>
          </m:sub>
        </m:sSub>
      </m:oMath>
      <w:r>
        <w:t xml:space="preserve"> </w:t>
      </w:r>
      <w:r>
        <w:t xml:space="preserve">são características estruturais (área, quartos, idade) e</w:t>
      </w:r>
      <w:r>
        <w:t xml:space="preserve"> </w:t>
      </w:r>
      <m:oMath>
        <m:r>
          <m:t>Q</m:t>
        </m:r>
      </m:oMath>
      <w:r>
        <w:t xml:space="preserve"> </w:t>
      </w:r>
      <w:r>
        <w:t xml:space="preserve">é a qualidade ambiental (qualidade do ar, proximidade a parque, nível de ruído). O preço implícito da qualidade ambiental é:</w:t>
      </w:r>
    </w:p>
    <w:p>
      <w:pPr>
        <w:pStyle w:val="BodyText"/>
      </w:pPr>
      <w:r>
        <w:t xml:space="preserve">$$
    \frac{\partial P}{\partial Q} = p_Q \label{eq:24.12} \tag{24.12}
    $$</w:t>
      </w:r>
    </w:p>
    <w:p>
      <w:pPr>
        <w:pStyle w:val="FirstParagraph"/>
      </w:pPr>
      <w:r>
        <w:t xml:space="preserve">que mede a disposição marginal a pagar por uma unidade adicional de qualidade ambiental.</w:t>
      </w:r>
    </w:p>
    <w:p>
      <w:pPr>
        <w:pStyle w:val="BodyText"/>
      </w:pPr>
      <w:r>
        <w:rPr>
          <w:b/>
          <w:bCs/>
        </w:rPr>
        <w:t xml:space="preserve">Custo de viagem</w:t>
      </w:r>
      <w:r>
        <w:t xml:space="preserve"> </w:t>
      </w:r>
      <w:r>
        <w:t xml:space="preserve">(</w:t>
      </w:r>
      <w:r>
        <w:rPr>
          <w:i/>
          <w:iCs/>
        </w:rPr>
        <w:t xml:space="preserve">travel cost method</w:t>
      </w:r>
      <w:r>
        <w:t xml:space="preserve">). Aplica-se a áreas de recreação (parques, praias, reservas naturais). A ideia: o custo que uma pessoa incorre para visitar um sítio recreativo (transporte, tempo, entrada) funciona como um</w:t>
      </w:r>
      <w:r>
        <w:t xml:space="preserve"> </w:t>
      </w:r>
      <w:r>
        <w:t xml:space="preserve">“preço”</w:t>
      </w:r>
      <w:r>
        <w:t xml:space="preserve"> </w:t>
      </w:r>
      <w:r>
        <w:t xml:space="preserve">implícito. Observando como a frequência de visitas varia com a distância (e portanto com o custo), pode-se estimar uma curva de demanda por recreação e calcular o excedente do consumidor (Capítulo 5).</w:t>
      </w:r>
    </w:p>
    <w:bookmarkEnd w:id="1466"/>
    <w:bookmarkStart w:id="1467" w:name="métodos-de-preferência-declarada"/>
    <w:p>
      <w:pPr>
        <w:pStyle w:val="Heading4"/>
      </w:pPr>
      <w:r>
        <w:t xml:space="preserve">24.5.3 Métodos de preferência declarada</w:t>
      </w:r>
    </w:p>
    <w:p>
      <w:pPr>
        <w:pStyle w:val="FirstParagraph"/>
      </w:pPr>
      <w:r>
        <w:t xml:space="preserve">Quando não há mercado real que revele preferências (caso de valores de não-uso), recorre-se a métodos de</w:t>
      </w:r>
      <w:r>
        <w:t xml:space="preserve"> </w:t>
      </w:r>
      <w:r>
        <w:rPr>
          <w:b/>
          <w:bCs/>
        </w:rPr>
        <w:t xml:space="preserve">preferência declarada</w:t>
      </w:r>
      <w:r>
        <w:t xml:space="preserve"> </w:t>
      </w:r>
      <w:r>
        <w:t xml:space="preserve">— pesquisas que perguntam diretamente às pessoas quanto estão dispostas a pagar.</w:t>
      </w:r>
    </w:p>
    <w:p>
      <w:pPr>
        <w:pStyle w:val="BodyText"/>
      </w:pPr>
      <w:r>
        <w:rPr>
          <w:b/>
          <w:bCs/>
        </w:rPr>
        <w:t xml:space="preserve">Valoração contingente</w:t>
      </w:r>
      <w:r>
        <w:t xml:space="preserve"> </w:t>
      </w:r>
      <w:r>
        <w:t xml:space="preserve">(</w:t>
      </w:r>
      <w:r>
        <w:rPr>
          <w:i/>
          <w:iCs/>
        </w:rPr>
        <w:t xml:space="preserve">contingent valuation</w:t>
      </w:r>
      <w:r>
        <w:t xml:space="preserve">). Apresenta-se um cenário hipotético (</w:t>
      </w:r>
      <w:r>
        <w:t xml:space="preserve">“O governo propõe criar uma reserva natural para proteger a onça-pintada. Quanto você estaria disposto a pagar, por mês, em sua conta de luz, para financiar essa reserva?”</w:t>
      </w:r>
      <w:r>
        <w:t xml:space="preserve">) e estima-se a disposição a pagar (DAP) a partir das respostas. O método ganhou legitimidade acadêmica com o painel da NOAA (1993), liderado por Kenneth Arrow e Robert Solow, que estabeleceu diretrizes para garantir a confiabilidade dos resultados.</w:t>
      </w:r>
    </w:p>
    <w:p>
      <w:pPr>
        <w:pStyle w:val="BodyText"/>
      </w:pPr>
      <w:r>
        <w:rPr>
          <w:b/>
          <w:bCs/>
        </w:rPr>
        <w:t xml:space="preserve">Experimentos de escolha</w:t>
      </w:r>
      <w:r>
        <w:t xml:space="preserve"> </w:t>
      </w:r>
      <w:r>
        <w:t xml:space="preserve">(</w:t>
      </w:r>
      <w:r>
        <w:rPr>
          <w:i/>
          <w:iCs/>
        </w:rPr>
        <w:t xml:space="preserve">choice experiments</w:t>
      </w:r>
      <w:r>
        <w:t xml:space="preserve">). Em vez de perguntar diretamente</w:t>
      </w:r>
      <w:r>
        <w:t xml:space="preserve"> </w:t>
      </w:r>
      <w:r>
        <w:t xml:space="preserve">“quanto você pagaria?”</w:t>
      </w:r>
      <w:r>
        <w:t xml:space="preserve">, apresentam-se conjuntos de opções que variam em múltiplos atributos (qualidade da água, biodiversidade, custo) e pede-se ao respondente que escolha a opção preferida. A partir das escolhas, estima-se a disposição a pagar por cada atributo — uma aplicação direta da teoria da utilidade aleatória (conectando com o Capítulo 3).</w:t>
      </w:r>
    </w:p>
    <w:p>
      <w:pPr>
        <w:pStyle w:val="BlockText"/>
      </w:pPr>
      <w:r>
        <w:rPr>
          <w:b/>
          <w:bCs/>
        </w:rPr>
        <w:t xml:space="preserve">[EXEMPLO] Exercício Resolvido 24.3 — Valoração contingente do Parque Nacional da Tijuca</w:t>
      </w:r>
    </w:p>
    <w:p>
      <w:pPr>
        <w:pStyle w:val="BlockText"/>
      </w:pPr>
      <w:r>
        <w:rPr>
          <w:b/>
          <w:bCs/>
        </w:rPr>
        <w:t xml:space="preserve">Enunciado.</w:t>
      </w:r>
      <w:r>
        <w:t xml:space="preserve"> </w:t>
      </w:r>
      <w:r>
        <w:t xml:space="preserve">Um pesquisador realiza uma pesquisa de valoração contingente com 500 moradores do Rio de Janeiro para estimar a disposição a pagar (DAP) pela preservação do Parque Nacional da Tijuca. A pergunta:</w:t>
      </w:r>
      <w:r>
        <w:t xml:space="preserve"> </w:t>
      </w:r>
      <w:r>
        <w:t xml:space="preserve">“Quanto você estaria disposto a pagar por mês, na sua conta de luz, para garantir a manutenção e ampliação do Parque Nacional da Tijuca?”</w:t>
      </w:r>
      <w:r>
        <w:t xml:space="preserve"> </w:t>
      </w:r>
      <w:r>
        <w:t xml:space="preserve">Resultados: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DAP mensal (R$)</w:t>
            </w:r>
          </w:p>
        </w:tc>
        <w:tc>
          <w:tcPr/>
          <w:p>
            <w:pPr>
              <w:pStyle w:val="Compact"/>
              <w:jc w:val="center"/>
            </w:pPr>
            <w:r>
              <w:t xml:space="preserve">Proporção que aceita</w:t>
            </w:r>
          </w:p>
        </w:tc>
      </w:tr>
      <w:tr>
        <w:tc>
          <w:tcPr/>
          <w:p>
            <w:pPr>
              <w:pStyle w:val="Compact"/>
              <w:jc w:val="center"/>
            </w:pPr>
            <w:r>
              <w:t xml:space="preserve">5</w:t>
            </w:r>
          </w:p>
        </w:tc>
        <w:tc>
          <w:tcPr/>
          <w:p>
            <w:pPr>
              <w:pStyle w:val="Compact"/>
              <w:jc w:val="center"/>
            </w:pPr>
            <w:r>
              <w:t xml:space="preserve">85%</w:t>
            </w:r>
          </w:p>
        </w:tc>
      </w:tr>
      <w:tr>
        <w:tc>
          <w:tcPr/>
          <w:p>
            <w:pPr>
              <w:pStyle w:val="Compact"/>
              <w:jc w:val="center"/>
            </w:pPr>
            <w:r>
              <w:t xml:space="preserve">10</w:t>
            </w:r>
          </w:p>
        </w:tc>
        <w:tc>
          <w:tcPr/>
          <w:p>
            <w:pPr>
              <w:pStyle w:val="Compact"/>
              <w:jc w:val="center"/>
            </w:pPr>
            <w:r>
              <w:t xml:space="preserve">68%</w:t>
            </w:r>
          </w:p>
        </w:tc>
      </w:tr>
      <w:tr>
        <w:tc>
          <w:tcPr/>
          <w:p>
            <w:pPr>
              <w:pStyle w:val="Compact"/>
              <w:jc w:val="center"/>
            </w:pPr>
            <w:r>
              <w:t xml:space="preserve">20</w:t>
            </w:r>
          </w:p>
        </w:tc>
        <w:tc>
          <w:tcPr/>
          <w:p>
            <w:pPr>
              <w:pStyle w:val="Compact"/>
              <w:jc w:val="center"/>
            </w:pPr>
            <w:r>
              <w:t xml:space="preserve">42%</w:t>
            </w:r>
          </w:p>
        </w:tc>
      </w:tr>
      <w:tr>
        <w:tc>
          <w:tcPr/>
          <w:p>
            <w:pPr>
              <w:pStyle w:val="Compact"/>
              <w:jc w:val="center"/>
            </w:pPr>
            <w:r>
              <w:t xml:space="preserve">50</w:t>
            </w:r>
          </w:p>
        </w:tc>
        <w:tc>
          <w:tcPr/>
          <w:p>
            <w:pPr>
              <w:pStyle w:val="Compact"/>
              <w:jc w:val="center"/>
            </w:pPr>
            <w:r>
              <w:t xml:space="preserve">15%</w:t>
            </w:r>
          </w:p>
        </w:tc>
      </w:tr>
      <w:tr>
        <w:tc>
          <w:tcPr/>
          <w:p>
            <w:pPr>
              <w:pStyle w:val="Compact"/>
              <w:jc w:val="center"/>
            </w:pPr>
            <w:r>
              <w:t xml:space="preserve">100</w:t>
            </w:r>
          </w:p>
        </w:tc>
        <w:tc>
          <w:tcPr/>
          <w:p>
            <w:pPr>
              <w:pStyle w:val="Compact"/>
              <w:jc w:val="center"/>
            </w:pPr>
            <w:r>
              <w:t xml:space="preserve">4%</w:t>
            </w:r>
          </w:p>
        </w:tc>
      </w:tr>
    </w:tbl>
    <w:p>
      <w:pPr>
        <w:pStyle w:val="BlockText"/>
        <w:numPr>
          <w:ilvl w:val="0"/>
          <w:numId w:val="2313"/>
        </w:numPr>
      </w:pPr>
      <w:r>
        <w:t xml:space="preserve">Estime a DAP média usando o método de integração da curva de sobrevivência.</w:t>
      </w:r>
    </w:p>
    <w:p>
      <w:pPr>
        <w:pStyle w:val="BlockText"/>
        <w:numPr>
          <w:ilvl w:val="0"/>
          <w:numId w:val="2313"/>
        </w:numPr>
      </w:pPr>
      <w:r>
        <w:t xml:space="preserve">Se o Rio de Janeiro tem ~2,8 milhões de domicílios, estime o valor de preservação anual agregado.</w:t>
      </w:r>
    </w:p>
    <w:p>
      <w:pPr>
        <w:pStyle w:val="BlockText"/>
        <w:numPr>
          <w:ilvl w:val="0"/>
          <w:numId w:val="2313"/>
        </w:numPr>
      </w:pPr>
      <w:r>
        <w:t xml:space="preserve">Compare com o orçamento anual do ICMBio para o Parque (~R$ 15 milhões). A preservação é custo-efetiva?</w:t>
      </w:r>
    </w:p>
    <w:p>
      <w:pPr>
        <w:pStyle w:val="BlockText"/>
      </w:pPr>
      <w:r>
        <w:rPr>
          <w:b/>
          <w:bCs/>
        </w:rPr>
        <w:t xml:space="preserve">Solução.</w:t>
      </w:r>
    </w:p>
    <w:p>
      <w:pPr>
        <w:pStyle w:val="BlockText"/>
      </w:pPr>
      <w:r>
        <w:rPr>
          <w:b/>
          <w:bCs/>
        </w:rPr>
        <w:t xml:space="preserve">(a)</w:t>
      </w:r>
      <w:r>
        <w:t xml:space="preserve"> </w:t>
      </w:r>
      <w:r>
        <w:t xml:space="preserve">A</w:t>
      </w:r>
      <w:r>
        <w:t xml:space="preserve"> </w:t>
      </w:r>
      <w:r>
        <w:t xml:space="preserve">“curva de sobrevivência”</w:t>
      </w:r>
      <w:r>
        <w:t xml:space="preserve"> </w:t>
      </w:r>
      <w:r>
        <w:t xml:space="preserve">mostra a proporção que aceita cada valor. A DAP média é a área sob essa curva. Usando integração por trapézios:</w:t>
      </w:r>
    </w:p>
    <w:p>
      <w:pPr>
        <w:pStyle w:val="BlockText"/>
      </w:pPr>
      <m:oMathPara>
        <m:oMathParaPr>
          <m:jc m:val="center"/>
        </m:oMathParaPr>
        <m:oMath>
          <m:sSub>
            <m:e>
              <m:r>
                <m:rPr>
                  <m:nor/>
                  <m:sty m:val="p"/>
                </m:rPr>
                <m:t>DAP</m:t>
              </m:r>
            </m:e>
            <m:sub>
              <m:r>
                <m:rPr>
                  <m:nor/>
                  <m:sty m:val="p"/>
                </m:rPr>
                <m:t>média</m:t>
              </m:r>
            </m:sub>
          </m:sSub>
          <m:r>
            <m:rPr>
              <m:sty m:val="p"/>
            </m:rPr>
            <m:t>≈</m:t>
          </m:r>
          <m:f>
            <m:fPr>
              <m:type m:val="bar"/>
            </m:fPr>
            <m:num>
              <m:r>
                <m:rPr>
                  <m:sty m:val="p"/>
                </m:rPr>
                <m:t>(</m:t>
              </m:r>
              <m:r>
                <m:t>5</m:t>
              </m:r>
              <m:r>
                <m:rPr>
                  <m:sty m:val="p"/>
                </m:rPr>
                <m:t>−</m:t>
              </m:r>
              <m:r>
                <m:t>0</m:t>
              </m:r>
              <m:r>
                <m:rPr>
                  <m:sty m:val="p"/>
                </m:rPr>
                <m:t>)</m:t>
              </m:r>
              <m:r>
                <m:rPr>
                  <m:sty m:val="p"/>
                </m:rPr>
                <m:t>(</m:t>
              </m:r>
              <m:r>
                <m:t>1</m:t>
              </m:r>
              <m:r>
                <m:rPr>
                  <m:sty m:val="p"/>
                </m:rPr>
                <m:t>+</m:t>
              </m:r>
              <m:r>
                <m:t>0</m:t>
              </m:r>
              <m:r>
                <m:rPr>
                  <m:sty m:val="p"/>
                </m:rPr>
                <m:t>,</m:t>
              </m:r>
              <m:r>
                <m:t>85</m:t>
              </m:r>
              <m:r>
                <m:rPr>
                  <m:sty m:val="p"/>
                </m:rPr>
                <m:t>)</m:t>
              </m:r>
            </m:num>
            <m:den>
              <m:r>
                <m:t>2</m:t>
              </m:r>
            </m:den>
          </m:f>
          <m:r>
            <m:rPr>
              <m:sty m:val="p"/>
            </m:rPr>
            <m:t>+</m:t>
          </m:r>
          <m:f>
            <m:fPr>
              <m:type m:val="bar"/>
            </m:fPr>
            <m:num>
              <m:r>
                <m:rPr>
                  <m:sty m:val="p"/>
                </m:rPr>
                <m:t>(</m:t>
              </m:r>
              <m:r>
                <m:t>10</m:t>
              </m:r>
              <m:r>
                <m:rPr>
                  <m:sty m:val="p"/>
                </m:rPr>
                <m:t>−</m:t>
              </m:r>
              <m:r>
                <m:t>5</m:t>
              </m:r>
              <m:r>
                <m:rPr>
                  <m:sty m:val="p"/>
                </m:rPr>
                <m:t>)</m:t>
              </m:r>
              <m:r>
                <m:rPr>
                  <m:sty m:val="p"/>
                </m:rPr>
                <m:t>(</m:t>
              </m:r>
              <m:r>
                <m:t>0</m:t>
              </m:r>
              <m:r>
                <m:rPr>
                  <m:sty m:val="p"/>
                </m:rPr>
                <m:t>,</m:t>
              </m:r>
              <m:r>
                <m:t>85</m:t>
              </m:r>
              <m:r>
                <m:rPr>
                  <m:sty m:val="p"/>
                </m:rPr>
                <m:t>+</m:t>
              </m:r>
              <m:r>
                <m:t>0</m:t>
              </m:r>
              <m:r>
                <m:rPr>
                  <m:sty m:val="p"/>
                </m:rPr>
                <m:t>,</m:t>
              </m:r>
              <m:r>
                <m:t>68</m:t>
              </m:r>
              <m:r>
                <m:rPr>
                  <m:sty m:val="p"/>
                </m:rPr>
                <m:t>)</m:t>
              </m:r>
            </m:num>
            <m:den>
              <m:r>
                <m:t>2</m:t>
              </m:r>
            </m:den>
          </m:f>
          <m:r>
            <m:rPr>
              <m:sty m:val="p"/>
            </m:rPr>
            <m:t>+</m:t>
          </m:r>
          <m:f>
            <m:fPr>
              <m:type m:val="bar"/>
            </m:fPr>
            <m:num>
              <m:r>
                <m:rPr>
                  <m:sty m:val="p"/>
                </m:rPr>
                <m:t>(</m:t>
              </m:r>
              <m:r>
                <m:t>20</m:t>
              </m:r>
              <m:r>
                <m:rPr>
                  <m:sty m:val="p"/>
                </m:rPr>
                <m:t>−</m:t>
              </m:r>
              <m:r>
                <m:t>10</m:t>
              </m:r>
              <m:r>
                <m:rPr>
                  <m:sty m:val="p"/>
                </m:rPr>
                <m:t>)</m:t>
              </m:r>
              <m:r>
                <m:rPr>
                  <m:sty m:val="p"/>
                </m:rPr>
                <m:t>(</m:t>
              </m:r>
              <m:r>
                <m:t>0</m:t>
              </m:r>
              <m:r>
                <m:rPr>
                  <m:sty m:val="p"/>
                </m:rPr>
                <m:t>,</m:t>
              </m:r>
              <m:r>
                <m:t>68</m:t>
              </m:r>
              <m:r>
                <m:rPr>
                  <m:sty m:val="p"/>
                </m:rPr>
                <m:t>+</m:t>
              </m:r>
              <m:r>
                <m:t>0</m:t>
              </m:r>
              <m:r>
                <m:rPr>
                  <m:sty m:val="p"/>
                </m:rPr>
                <m:t>,</m:t>
              </m:r>
              <m:r>
                <m:t>42</m:t>
              </m:r>
              <m:r>
                <m:rPr>
                  <m:sty m:val="p"/>
                </m:rPr>
                <m:t>)</m:t>
              </m:r>
            </m:num>
            <m:den>
              <m:r>
                <m:t>2</m:t>
              </m:r>
            </m:den>
          </m:f>
          <m:r>
            <m:rPr>
              <m:sty m:val="p"/>
            </m:rPr>
            <m:t>+</m:t>
          </m:r>
          <m:f>
            <m:fPr>
              <m:type m:val="bar"/>
            </m:fPr>
            <m:num>
              <m:r>
                <m:rPr>
                  <m:sty m:val="p"/>
                </m:rPr>
                <m:t>(</m:t>
              </m:r>
              <m:r>
                <m:t>50</m:t>
              </m:r>
              <m:r>
                <m:rPr>
                  <m:sty m:val="p"/>
                </m:rPr>
                <m:t>−</m:t>
              </m:r>
              <m:r>
                <m:t>20</m:t>
              </m:r>
              <m:r>
                <m:rPr>
                  <m:sty m:val="p"/>
                </m:rPr>
                <m:t>)</m:t>
              </m:r>
              <m:r>
                <m:rPr>
                  <m:sty m:val="p"/>
                </m:rPr>
                <m:t>(</m:t>
              </m:r>
              <m:r>
                <m:t>0</m:t>
              </m:r>
              <m:r>
                <m:rPr>
                  <m:sty m:val="p"/>
                </m:rPr>
                <m:t>,</m:t>
              </m:r>
              <m:r>
                <m:t>42</m:t>
              </m:r>
              <m:r>
                <m:rPr>
                  <m:sty m:val="p"/>
                </m:rPr>
                <m:t>+</m:t>
              </m:r>
              <m:r>
                <m:t>0</m:t>
              </m:r>
              <m:r>
                <m:rPr>
                  <m:sty m:val="p"/>
                </m:rPr>
                <m:t>,</m:t>
              </m:r>
              <m:r>
                <m:t>15</m:t>
              </m:r>
              <m:r>
                <m:rPr>
                  <m:sty m:val="p"/>
                </m:rPr>
                <m:t>)</m:t>
              </m:r>
            </m:num>
            <m:den>
              <m:r>
                <m:t>2</m:t>
              </m:r>
            </m:den>
          </m:f>
          <m:r>
            <m:rPr>
              <m:sty m:val="p"/>
            </m:rPr>
            <m:t>+</m:t>
          </m:r>
          <m:f>
            <m:fPr>
              <m:type m:val="bar"/>
            </m:fPr>
            <m:num>
              <m:r>
                <m:rPr>
                  <m:sty m:val="p"/>
                </m:rPr>
                <m:t>(</m:t>
              </m:r>
              <m:r>
                <m:t>100</m:t>
              </m:r>
              <m:r>
                <m:rPr>
                  <m:sty m:val="p"/>
                </m:rPr>
                <m:t>−</m:t>
              </m:r>
              <m:r>
                <m:t>50</m:t>
              </m:r>
              <m:r>
                <m:rPr>
                  <m:sty m:val="p"/>
                </m:rPr>
                <m:t>)</m:t>
              </m:r>
              <m:r>
                <m:rPr>
                  <m:sty m:val="p"/>
                </m:rPr>
                <m:t>(</m:t>
              </m:r>
              <m:r>
                <m:t>0</m:t>
              </m:r>
              <m:r>
                <m:rPr>
                  <m:sty m:val="p"/>
                </m:rPr>
                <m:t>,</m:t>
              </m:r>
              <m:r>
                <m:t>15</m:t>
              </m:r>
              <m:r>
                <m:rPr>
                  <m:sty m:val="p"/>
                </m:rPr>
                <m:t>+</m:t>
              </m:r>
              <m:r>
                <m:t>0</m:t>
              </m:r>
              <m:r>
                <m:rPr>
                  <m:sty m:val="p"/>
                </m:rPr>
                <m:t>,</m:t>
              </m:r>
              <m:r>
                <m:t>04</m:t>
              </m:r>
              <m:r>
                <m:rPr>
                  <m:sty m:val="p"/>
                </m:rPr>
                <m:t>)</m:t>
              </m:r>
            </m:num>
            <m:den>
              <m:r>
                <m:t>2</m:t>
              </m:r>
            </m:den>
          </m:f>
        </m:oMath>
      </m:oMathPara>
    </w:p>
    <w:p>
      <w:pPr>
        <w:pStyle w:val="BlockText"/>
      </w:pPr>
      <m:oMathPara>
        <m:oMathParaPr>
          <m:jc m:val="center"/>
        </m:oMathParaPr>
        <m:oMath>
          <m:r>
            <m:rPr>
              <m:sty m:val="p"/>
            </m:rPr>
            <m:t>=</m:t>
          </m:r>
          <m:r>
            <m:t>4</m:t>
          </m:r>
          <m:r>
            <m:rPr>
              <m:sty m:val="p"/>
            </m:rPr>
            <m:t>,</m:t>
          </m:r>
          <m:r>
            <m:t>63</m:t>
          </m:r>
          <m:r>
            <m:rPr>
              <m:sty m:val="p"/>
            </m:rPr>
            <m:t>+</m:t>
          </m:r>
          <m:r>
            <m:t>3</m:t>
          </m:r>
          <m:r>
            <m:rPr>
              <m:sty m:val="p"/>
            </m:rPr>
            <m:t>,</m:t>
          </m:r>
          <m:r>
            <m:t>83</m:t>
          </m:r>
          <m:r>
            <m:rPr>
              <m:sty m:val="p"/>
            </m:rPr>
            <m:t>+</m:t>
          </m:r>
          <m:r>
            <m:t>5</m:t>
          </m:r>
          <m:r>
            <m:rPr>
              <m:sty m:val="p"/>
            </m:rPr>
            <m:t>,</m:t>
          </m:r>
          <m:r>
            <m:t>50</m:t>
          </m:r>
          <m:r>
            <m:rPr>
              <m:sty m:val="p"/>
            </m:rPr>
            <m:t>+</m:t>
          </m:r>
          <m:r>
            <m:t>8</m:t>
          </m:r>
          <m:r>
            <m:rPr>
              <m:sty m:val="p"/>
            </m:rPr>
            <m:t>,</m:t>
          </m:r>
          <m:r>
            <m:t>55</m:t>
          </m:r>
          <m:r>
            <m:rPr>
              <m:sty m:val="p"/>
            </m:rPr>
            <m:t>+</m:t>
          </m:r>
          <m:r>
            <m:t>4</m:t>
          </m:r>
          <m:r>
            <m:rPr>
              <m:sty m:val="p"/>
            </m:rPr>
            <m:t>,</m:t>
          </m:r>
          <m:r>
            <m:t>75</m:t>
          </m:r>
          <m:r>
            <m:rPr>
              <m:sty m:val="p"/>
            </m:rPr>
            <m:t>=</m:t>
          </m:r>
          <m:r>
            <m:rPr>
              <m:nor/>
              <m:sty m:val="p"/>
            </m:rPr>
            <m:t>R$</m:t>
          </m:r>
          <m:r>
            <m:t> </m:t>
          </m:r>
          <m:r>
            <m:t>27</m:t>
          </m:r>
          <m:r>
            <m:rPr>
              <m:sty m:val="p"/>
            </m:rPr>
            <m:t>,</m:t>
          </m:r>
          <m:r>
            <m:t>25</m:t>
          </m:r>
          <m:r>
            <m:rPr>
              <m:nor/>
              <m:sty m:val="p"/>
            </m:rPr>
            <m:t>/mês</m:t>
          </m:r>
        </m:oMath>
      </m:oMathPara>
    </w:p>
    <w:p>
      <w:pPr>
        <w:pStyle w:val="BlockText"/>
      </w:pPr>
      <w:r>
        <w:rPr>
          <w:b/>
          <w:bCs/>
        </w:rPr>
        <w:t xml:space="preserve">(b)</w:t>
      </w:r>
      <w:r>
        <w:t xml:space="preserve"> </w:t>
      </w:r>
      <w:r>
        <w:t xml:space="preserve">Valor anual agregado: $27{,}25</w:t>
      </w:r>
      <w:r>
        <w:t xml:space="preserve"> </w:t>
      </w:r>
      <w:r>
        <w:t xml:space="preserve"> </w:t>
      </w:r>
      <w:r>
        <w:t xml:space="preserve">.000 = $ R$ 915,6 milhões/ano.</w:t>
      </w:r>
    </w:p>
    <w:p>
      <w:pPr>
        <w:pStyle w:val="BlockText"/>
      </w:pPr>
      <w:r>
        <w:rPr>
          <w:b/>
          <w:bCs/>
        </w:rPr>
        <w:t xml:space="preserve">(c)</w:t>
      </w:r>
      <w:r>
        <w:t xml:space="preserve"> </w:t>
      </w:r>
      <w:r>
        <w:t xml:space="preserve">O benefício estimado (R$ 916 milhões) é ~61× o orçamento de manutenção (R$ 15 milhões). A preservação é enormemente custo-efetiva — cada R$ 1 gasto gera R$ 61 em benefícios declarados. Caveat: a DAP declarada tipicamente superestima a DAP real (viés hipotético) — um fator de correção de 0,3–0,5 ainda resultaria em benefício/custo de 18–30:1.</w:t>
      </w:r>
    </w:p>
    <w:p>
      <w:pPr>
        <w:pStyle w:val="BlockText"/>
      </w:pPr>
      <w:r>
        <w:rPr>
          <w:b/>
          <w:bCs/>
        </w:rPr>
        <w:t xml:space="preserve">[INTUICAO ECONOMICA] Intuição Econômica</w:t>
      </w:r>
    </w:p>
    <w:p>
      <w:pPr>
        <w:pStyle w:val="BlockText"/>
      </w:pPr>
      <w:r>
        <w:rPr>
          <w:b/>
          <w:bCs/>
        </w:rPr>
        <w:t xml:space="preserve">Em uma frase:</w:t>
      </w:r>
      <w:r>
        <w:t xml:space="preserve"> </w:t>
      </w:r>
      <w:r>
        <w:t xml:space="preserve">Valoração contingente pergunta às pessoas quanto pagariam por algo que não tem preço — e, apesar de todas as limitações, é a única forma de capturar o valor de existência de bens ambientais.</w:t>
      </w:r>
    </w:p>
    <w:p>
      <w:pPr>
        <w:pStyle w:val="BlockText"/>
      </w:pPr>
      <w:r>
        <w:rPr>
          <w:b/>
          <w:bCs/>
        </w:rPr>
        <w:t xml:space="preserve">Pense assim:</w:t>
      </w:r>
      <w:r>
        <w:t xml:space="preserve"> </w:t>
      </w:r>
      <w:r>
        <w:t xml:space="preserve">Você nunca vai à Amazônia. Nunca verá uma onça-pintada ao vivo. Mas se alguém perguntasse</w:t>
      </w:r>
      <w:r>
        <w:t xml:space="preserve"> </w:t>
      </w:r>
      <w:r>
        <w:t xml:space="preserve">“quanto você pagaria por mês para garantir que a Amazônia e a onça continuem existindo?”</w:t>
      </w:r>
      <w:r>
        <w:t xml:space="preserve">, sua resposta provavelmente não seria zero. Esse é o valor de existência — e ele não aparece em nenhum preço de mercado, em nenhuma transação, em nenhum PIB. A valoração contingente é a ferramenta que permite transformar essa preferência silenciosa em número.</w:t>
      </w:r>
    </w:p>
    <w:p>
      <w:pPr>
        <w:pStyle w:val="BlockText"/>
      </w:pPr>
      <w:r>
        <w:rPr>
          <w:b/>
          <w:bCs/>
        </w:rPr>
        <w:t xml:space="preserve">Por que isso importa:</w:t>
      </w:r>
      <w:r>
        <w:t xml:space="preserve"> </w:t>
      </w:r>
      <w:r>
        <w:t xml:space="preserve">No julgamento do caso Exxon Valdez (derramamento de petróleo no Alasca, 1989), a Exxon argumentou que o dano ambiental era apenas o custo de limpeza. Os economistas contratados pelo governo usaram valoração contingente para mostrar que a disposição a pagar dos americanos pela preservação do ecossistema do Alasca excedia em muito o custo de limpeza. O júri concordou. A ferramenta é imperfeita — mas a alternativa (valor zero para bens sem preço de mercado) é muito pior.</w:t>
      </w:r>
    </w:p>
    <w:p>
      <w:pPr>
        <w:pStyle w:val="BlockText"/>
      </w:pPr>
      <w:r>
        <w:rPr>
          <w:b/>
          <w:bCs/>
        </w:rPr>
        <w:t xml:space="preserve">[R-INTERACTIVE] R Interativo — Valoração Contingente: Estimando a Disposição a Pagar</w:t>
      </w:r>
    </w:p>
    <w:p>
      <w:pPr>
        <w:pStyle w:val="SourceCode"/>
      </w:pPr>
      <w:r>
        <w:rPr>
          <w:rStyle w:val="CommentTok"/>
        </w:rPr>
        <w:t xml:space="preserve"># Simulação de pesquisa de valoração contingente</w:t>
      </w:r>
      <w:r>
        <w:br/>
      </w:r>
      <w:r>
        <w:rPr>
          <w:rStyle w:val="CommentTok"/>
        </w:rPr>
        <w:t xml:space="preserve"># Estima DAP com distribuição log-normal</w:t>
      </w:r>
      <w:r>
        <w:br/>
      </w:r>
      <w:r>
        <w:br/>
      </w: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Parâmetros (altere para explorar!)</w:t>
      </w:r>
      <w:r>
        <w:br/>
      </w:r>
      <w:r>
        <w:rPr>
          <w:rStyle w:val="NormalTok"/>
        </w:rPr>
        <w:t xml:space="preserve">n_respondentes </w:t>
      </w:r>
      <w:r>
        <w:rPr>
          <w:rStyle w:val="OtherTok"/>
        </w:rPr>
        <w:t xml:space="preserve">&lt;-</w:t>
      </w:r>
      <w:r>
        <w:rPr>
          <w:rStyle w:val="NormalTok"/>
        </w:rPr>
        <w:t xml:space="preserve"> </w:t>
      </w:r>
      <w:r>
        <w:rPr>
          <w:rStyle w:val="DecValTok"/>
        </w:rPr>
        <w:t xml:space="preserve">500</w:t>
      </w:r>
      <w:r>
        <w:br/>
      </w:r>
      <w:r>
        <w:rPr>
          <w:rStyle w:val="NormalTok"/>
        </w:rPr>
        <w:t xml:space="preserve">mu_log         </w:t>
      </w:r>
      <w:r>
        <w:rPr>
          <w:rStyle w:val="OtherTok"/>
        </w:rPr>
        <w:t xml:space="preserve">&lt;-</w:t>
      </w:r>
      <w:r>
        <w:rPr>
          <w:rStyle w:val="NormalTok"/>
        </w:rPr>
        <w:t xml:space="preserve"> </w:t>
      </w:r>
      <w:r>
        <w:rPr>
          <w:rStyle w:val="FloatTok"/>
        </w:rPr>
        <w:t xml:space="preserve">2.5</w:t>
      </w:r>
      <w:r>
        <w:rPr>
          <w:rStyle w:val="NormalTok"/>
        </w:rPr>
        <w:t xml:space="preserve">    </w:t>
      </w:r>
      <w:r>
        <w:rPr>
          <w:rStyle w:val="CommentTok"/>
        </w:rPr>
        <w:t xml:space="preserve"># média do log da DAP (exp(2.5) ~ R$ 12)</w:t>
      </w:r>
      <w:r>
        <w:br/>
      </w:r>
      <w:r>
        <w:rPr>
          <w:rStyle w:val="NormalTok"/>
        </w:rPr>
        <w:t xml:space="preserve">sigma_log      </w:t>
      </w:r>
      <w:r>
        <w:rPr>
          <w:rStyle w:val="OtherTok"/>
        </w:rPr>
        <w:t xml:space="preserve">&lt;-</w:t>
      </w:r>
      <w:r>
        <w:rPr>
          <w:rStyle w:val="NormalTok"/>
        </w:rPr>
        <w:t xml:space="preserve"> </w:t>
      </w:r>
      <w:r>
        <w:rPr>
          <w:rStyle w:val="FloatTok"/>
        </w:rPr>
        <w:t xml:space="preserve">1.0</w:t>
      </w:r>
      <w:r>
        <w:rPr>
          <w:rStyle w:val="NormalTok"/>
        </w:rPr>
        <w:t xml:space="preserve">    </w:t>
      </w:r>
      <w:r>
        <w:rPr>
          <w:rStyle w:val="CommentTok"/>
        </w:rPr>
        <w:t xml:space="preserve"># dispersão (heterogeneidade)</w:t>
      </w:r>
      <w:r>
        <w:br/>
      </w:r>
      <w:r>
        <w:rPr>
          <w:rStyle w:val="NormalTok"/>
        </w:rPr>
        <w:t xml:space="preserve">valores_oferta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CommentTok"/>
        </w:rPr>
        <w:t xml:space="preserve"># valores oferecidos</w:t>
      </w:r>
      <w:r>
        <w:br/>
      </w:r>
      <w:r>
        <w:br/>
      </w:r>
      <w:r>
        <w:rPr>
          <w:rStyle w:val="CommentTok"/>
        </w:rPr>
        <w:t xml:space="preserve"># Gerar DAP verdadeira (log-normal)</w:t>
      </w:r>
      <w:r>
        <w:br/>
      </w:r>
      <w:r>
        <w:rPr>
          <w:rStyle w:val="NormalTok"/>
        </w:rPr>
        <w:t xml:space="preserve">dap_verdadeira </w:t>
      </w:r>
      <w:r>
        <w:rPr>
          <w:rStyle w:val="OtherTok"/>
        </w:rPr>
        <w:t xml:space="preserve">&lt;-</w:t>
      </w:r>
      <w:r>
        <w:rPr>
          <w:rStyle w:val="NormalTok"/>
        </w:rPr>
        <w:t xml:space="preserve"> </w:t>
      </w:r>
      <w:r>
        <w:rPr>
          <w:rStyle w:val="FunctionTok"/>
        </w:rPr>
        <w:t xml:space="preserve">rlnorm</w:t>
      </w:r>
      <w:r>
        <w:rPr>
          <w:rStyle w:val="NormalTok"/>
        </w:rPr>
        <w:t xml:space="preserve">(n_respondentes, </w:t>
      </w:r>
      <w:r>
        <w:rPr>
          <w:rStyle w:val="AttributeTok"/>
        </w:rPr>
        <w:t xml:space="preserve">meanlog =</w:t>
      </w:r>
      <w:r>
        <w:rPr>
          <w:rStyle w:val="NormalTok"/>
        </w:rPr>
        <w:t xml:space="preserve"> mu_log, </w:t>
      </w:r>
      <w:r>
        <w:rPr>
          <w:rStyle w:val="AttributeTok"/>
        </w:rPr>
        <w:t xml:space="preserve">sdlog =</w:t>
      </w:r>
      <w:r>
        <w:rPr>
          <w:rStyle w:val="NormalTok"/>
        </w:rPr>
        <w:t xml:space="preserve"> sigma_log)</w:t>
      </w:r>
      <w:r>
        <w:br/>
      </w:r>
      <w:r>
        <w:br/>
      </w:r>
      <w:r>
        <w:rPr>
          <w:rStyle w:val="CommentTok"/>
        </w:rPr>
        <w:t xml:space="preserve"># Simular respostas dicotômicas ("sim/não" para cada valor)</w:t>
      </w:r>
      <w:r>
        <w:br/>
      </w:r>
      <w:r>
        <w:rPr>
          <w:rStyle w:val="NormalTok"/>
        </w:rPr>
        <w:t xml:space="preserve">resultados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valor =</w:t>
      </w:r>
      <w:r>
        <w:rPr>
          <w:rStyle w:val="NormalTok"/>
        </w:rPr>
        <w:t xml:space="preserve"> valores_oferta)</w:t>
      </w:r>
      <w:r>
        <w:br/>
      </w:r>
      <w:r>
        <w:rPr>
          <w:rStyle w:val="NormalTok"/>
        </w:rPr>
        <w:t xml:space="preserve">resultados</w:t>
      </w:r>
      <w:r>
        <w:rPr>
          <w:rStyle w:val="SpecialCharTok"/>
        </w:rPr>
        <w:t xml:space="preserve">$</w:t>
      </w:r>
      <w:r>
        <w:rPr>
          <w:rStyle w:val="NormalTok"/>
        </w:rPr>
        <w:t xml:space="preserve">prop_sim </w:t>
      </w:r>
      <w:r>
        <w:rPr>
          <w:rStyle w:val="OtherTok"/>
        </w:rPr>
        <w:t xml:space="preserve">&lt;-</w:t>
      </w:r>
      <w:r>
        <w:rPr>
          <w:rStyle w:val="NormalTok"/>
        </w:rPr>
        <w:t xml:space="preserve"> </w:t>
      </w:r>
      <w:r>
        <w:rPr>
          <w:rStyle w:val="FunctionTok"/>
        </w:rPr>
        <w:t xml:space="preserve">sapply</w:t>
      </w:r>
      <w:r>
        <w:rPr>
          <w:rStyle w:val="NormalTok"/>
        </w:rPr>
        <w:t xml:space="preserve">(valores_oferta, </w:t>
      </w:r>
      <w:r>
        <w:rPr>
          <w:rStyle w:val="ControlFlowTok"/>
        </w:rPr>
        <w:t xml:space="preserve">function</w:t>
      </w:r>
      <w:r>
        <w:rPr>
          <w:rStyle w:val="NormalTok"/>
        </w:rPr>
        <w:t xml:space="preserve">(v) {</w:t>
      </w:r>
      <w:r>
        <w:br/>
      </w:r>
      <w:r>
        <w:rPr>
          <w:rStyle w:val="NormalTok"/>
        </w:rPr>
        <w:t xml:space="preserve">  </w:t>
      </w:r>
      <w:r>
        <w:rPr>
          <w:rStyle w:val="FunctionTok"/>
        </w:rPr>
        <w:t xml:space="preserve">mean</w:t>
      </w:r>
      <w:r>
        <w:rPr>
          <w:rStyle w:val="NormalTok"/>
        </w:rPr>
        <w:t xml:space="preserve">(dap_verdadeira </w:t>
      </w:r>
      <w:r>
        <w:rPr>
          <w:rStyle w:val="SpecialCharTok"/>
        </w:rPr>
        <w:t xml:space="preserve">&gt;=</w:t>
      </w:r>
      <w:r>
        <w:rPr>
          <w:rStyle w:val="NormalTok"/>
        </w:rPr>
        <w:t xml:space="preserve"> v)</w:t>
      </w:r>
      <w:r>
        <w:br/>
      </w:r>
      <w:r>
        <w:rPr>
          <w:rStyle w:val="NormalTok"/>
        </w:rPr>
        <w:t xml:space="preserve">})</w:t>
      </w:r>
      <w:r>
        <w:br/>
      </w:r>
      <w:r>
        <w:br/>
      </w:r>
      <w:r>
        <w:rPr>
          <w:rStyle w:val="CommentTok"/>
        </w:rPr>
        <w:t xml:space="preserve"># DAP média por integração (trapézios)</w:t>
      </w:r>
      <w:r>
        <w:br/>
      </w:r>
      <w:r>
        <w:rPr>
          <w:rStyle w:val="CommentTok"/>
        </w:rPr>
        <w:t xml:space="preserve"># Adicionar pontos extremos</w:t>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valores_oferta, </w:t>
      </w:r>
      <w:r>
        <w:rPr>
          <w:rStyle w:val="FunctionTok"/>
        </w:rPr>
        <w:t xml:space="preserve">max</w:t>
      </w:r>
      <w:r>
        <w:rPr>
          <w:rStyle w:val="NormalTok"/>
        </w:rPr>
        <w:t xml:space="preserve">(valores_oferta)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resultados</w:t>
      </w:r>
      <w:r>
        <w:rPr>
          <w:rStyle w:val="SpecialCharTok"/>
        </w:rPr>
        <w:t xml:space="preserve">$</w:t>
      </w:r>
      <w:r>
        <w:rPr>
          <w:rStyle w:val="NormalTok"/>
        </w:rPr>
        <w:t xml:space="preserve">prop_sim, </w:t>
      </w:r>
      <w:r>
        <w:rPr>
          <w:rStyle w:val="DecValTok"/>
        </w:rPr>
        <w:t xml:space="preserve">0</w:t>
      </w:r>
      <w:r>
        <w:rPr>
          <w:rStyle w:val="NormalTok"/>
        </w:rPr>
        <w:t xml:space="preserve">)</w:t>
      </w:r>
      <w:r>
        <w:br/>
      </w:r>
      <w:r>
        <w:rPr>
          <w:rStyle w:val="NormalTok"/>
        </w:rPr>
        <w:t xml:space="preserve">dap_media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diff</w:t>
      </w:r>
      <w:r>
        <w:rPr>
          <w:rStyle w:val="NormalTok"/>
        </w:rPr>
        <w:t xml:space="preserve">(x) </w:t>
      </w:r>
      <w:r>
        <w:rPr>
          <w:rStyle w:val="SpecialCharTok"/>
        </w:rPr>
        <w:t xml:space="preserve">*</w:t>
      </w:r>
      <w:r>
        <w:rPr>
          <w:rStyle w:val="NormalTok"/>
        </w:rPr>
        <w:t xml:space="preserve"> (y[</w:t>
      </w:r>
      <w:r>
        <w:rPr>
          <w:rStyle w:val="SpecialCharTok"/>
        </w:rPr>
        <w:t xml:space="preserve">-</w:t>
      </w:r>
      <w:r>
        <w:rPr>
          <w:rStyle w:val="FunctionTok"/>
        </w:rPr>
        <w:t xml:space="preserve">length</w:t>
      </w:r>
      <w:r>
        <w:rPr>
          <w:rStyle w:val="NormalTok"/>
        </w:rPr>
        <w:t xml:space="preserve">(y)] </w:t>
      </w:r>
      <w:r>
        <w:rPr>
          <w:rStyle w:val="SpecialCharTok"/>
        </w:rPr>
        <w:t xml:space="preserve">+</w:t>
      </w:r>
      <w:r>
        <w:rPr>
          <w:rStyle w:val="NormalTok"/>
        </w:rPr>
        <w:t xml:space="preserve"> y[</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r>
        <w:br/>
      </w:r>
      <w:r>
        <w:br/>
      </w:r>
      <w:r>
        <w:rPr>
          <w:rStyle w:val="CommentTok"/>
        </w:rPr>
        <w:t xml:space="preserve"># DAP verdadeira (da distribuição)</w:t>
      </w:r>
      <w:r>
        <w:br/>
      </w:r>
      <w:r>
        <w:rPr>
          <w:rStyle w:val="NormalTok"/>
        </w:rPr>
        <w:t xml:space="preserve">dap_real </w:t>
      </w:r>
      <w:r>
        <w:rPr>
          <w:rStyle w:val="OtherTok"/>
        </w:rPr>
        <w:t xml:space="preserve">&lt;-</w:t>
      </w:r>
      <w:r>
        <w:rPr>
          <w:rStyle w:val="NormalTok"/>
        </w:rPr>
        <w:t xml:space="preserve"> </w:t>
      </w:r>
      <w:r>
        <w:rPr>
          <w:rStyle w:val="FunctionTok"/>
        </w:rPr>
        <w:t xml:space="preserve">mean</w:t>
      </w:r>
      <w:r>
        <w:rPr>
          <w:rStyle w:val="NormalTok"/>
        </w:rPr>
        <w:t xml:space="preserve">(dap_verdadeira)</w:t>
      </w:r>
      <w:r>
        <w:br/>
      </w:r>
      <w:r>
        <w:br/>
      </w:r>
      <w:r>
        <w:rPr>
          <w:rStyle w:val="FunctionTok"/>
        </w:rPr>
        <w:t xml:space="preserve">cat</w:t>
      </w:r>
      <w:r>
        <w:rPr>
          <w:rStyle w:val="NormalTok"/>
        </w:rPr>
        <w:t xml:space="preserve">(</w:t>
      </w:r>
      <w:r>
        <w:rPr>
          <w:rStyle w:val="StringTok"/>
        </w:rPr>
        <w:t xml:space="preserve">"═══ RESULTADOS DA PESQUISA ═══</w:t>
      </w:r>
      <w:r>
        <w:rPr>
          <w:rStyle w:val="SpecialCharTok"/>
        </w:rPr>
        <w:t xml:space="preserve">\n\n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  Valor (R$) | Aceitam (%)</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  -----------|----------</w:t>
      </w:r>
      <w:r>
        <w:rPr>
          <w:rStyle w:val="SpecialCharTok"/>
        </w:rPr>
        <w:t xml:space="preserve">\n</w:t>
      </w:r>
      <w:r>
        <w:rPr>
          <w:rStyle w:val="StringTok"/>
        </w:rPr>
        <w:t xml:space="preserve">"</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(resultados))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%10.0f | %6.1f%%</w:t>
      </w:r>
      <w:r>
        <w:rPr>
          <w:rStyle w:val="SpecialCharTok"/>
        </w:rPr>
        <w:t xml:space="preserve">\n</w:t>
      </w:r>
      <w:r>
        <w:rPr>
          <w:rStyle w:val="StringTok"/>
        </w:rPr>
        <w:t xml:space="preserve">"</w:t>
      </w:r>
      <w:r>
        <w:rPr>
          <w:rStyle w:val="NormalTok"/>
        </w:rPr>
        <w:t xml:space="preserve">, resultados</w:t>
      </w:r>
      <w:r>
        <w:rPr>
          <w:rStyle w:val="SpecialCharTok"/>
        </w:rPr>
        <w:t xml:space="preserve">$</w:t>
      </w:r>
      <w:r>
        <w:rPr>
          <w:rStyle w:val="NormalTok"/>
        </w:rPr>
        <w:t xml:space="preserve">valor[i], resultados</w:t>
      </w:r>
      <w:r>
        <w:rPr>
          <w:rStyle w:val="SpecialCharTok"/>
        </w:rPr>
        <w:t xml:space="preserve">$</w:t>
      </w:r>
      <w:r>
        <w:rPr>
          <w:rStyle w:val="NormalTok"/>
        </w:rPr>
        <w:t xml:space="preserve">prop_sim[i]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  DAP média (trapézios): R$ %.2f/mês</w:t>
      </w:r>
      <w:r>
        <w:rPr>
          <w:rStyle w:val="SpecialCharTok"/>
        </w:rPr>
        <w:t xml:space="preserve">\n</w:t>
      </w:r>
      <w:r>
        <w:rPr>
          <w:rStyle w:val="StringTok"/>
        </w:rPr>
        <w:t xml:space="preserve">"</w:t>
      </w:r>
      <w:r>
        <w:rPr>
          <w:rStyle w:val="NormalTok"/>
        </w:rPr>
        <w:t xml:space="preserve">, dap_media))</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DAP média (verdadeira): R$ %.2f/mês</w:t>
      </w:r>
      <w:r>
        <w:rPr>
          <w:rStyle w:val="SpecialCharTok"/>
        </w:rPr>
        <w:t xml:space="preserve">\n</w:t>
      </w:r>
      <w:r>
        <w:rPr>
          <w:rStyle w:val="StringTok"/>
        </w:rPr>
        <w:t xml:space="preserve">"</w:t>
      </w:r>
      <w:r>
        <w:rPr>
          <w:rStyle w:val="NormalTok"/>
        </w:rPr>
        <w:t xml:space="preserve">, dap_real))</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Viés da estimativa: %.1f%%</w:t>
      </w:r>
      <w:r>
        <w:rPr>
          <w:rStyle w:val="SpecialCharTok"/>
        </w:rPr>
        <w:t xml:space="preserve">\n</w:t>
      </w:r>
      <w:r>
        <w:rPr>
          <w:rStyle w:val="StringTok"/>
        </w:rPr>
        <w:t xml:space="preserve">"</w:t>
      </w:r>
      <w:r>
        <w:rPr>
          <w:rStyle w:val="NormalTok"/>
        </w:rPr>
        <w:t xml:space="preserve">, (dap_media </w:t>
      </w:r>
      <w:r>
        <w:rPr>
          <w:rStyle w:val="SpecialCharTok"/>
        </w:rPr>
        <w:t xml:space="preserve">/</w:t>
      </w:r>
      <w:r>
        <w:rPr>
          <w:rStyle w:val="NormalTok"/>
        </w:rPr>
        <w:t xml:space="preserve"> dap_real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CommentTok"/>
        </w:rPr>
        <w:t xml:space="preserve"># Gráficos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1. Curva de sobrevivência</w:t>
      </w:r>
      <w:r>
        <w:br/>
      </w:r>
      <w:r>
        <w:rPr>
          <w:rStyle w:val="FunctionTok"/>
        </w:rPr>
        <w:t xml:space="preserve">plot</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valores_oferta, </w:t>
      </w:r>
      <w:r>
        <w:rPr>
          <w:rStyle w:val="FunctionTok"/>
        </w:rPr>
        <w:t xml:space="preserve">max</w:t>
      </w:r>
      <w:r>
        <w:rPr>
          <w:rStyle w:val="NormalTok"/>
        </w:rPr>
        <w:t xml:space="preserve">(valores_oferta) </w:t>
      </w:r>
      <w:r>
        <w:rPr>
          <w:rStyle w:val="SpecialCha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resultados</w:t>
      </w:r>
      <w:r>
        <w:rPr>
          <w:rStyle w:val="SpecialCharTok"/>
        </w:rPr>
        <w:t xml:space="preserve">$</w:t>
      </w:r>
      <w:r>
        <w:rPr>
          <w:rStyle w:val="NormalTok"/>
        </w:rPr>
        <w:t xml:space="preserve">prop_sim, </w:t>
      </w:r>
      <w:r>
        <w:rPr>
          <w:rStyle w:val="DecValTok"/>
        </w:rPr>
        <w:t xml:space="preserve">0</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"#2196F3"</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"Valor oferecido (R$/mês)"</w:t>
      </w:r>
      <w:r>
        <w:rPr>
          <w:rStyle w:val="NormalTok"/>
        </w:rPr>
        <w:t xml:space="preserve">, </w:t>
      </w:r>
      <w:r>
        <w:rPr>
          <w:rStyle w:val="AttributeTok"/>
        </w:rPr>
        <w:t xml:space="preserve">ylab =</w:t>
      </w:r>
      <w:r>
        <w:rPr>
          <w:rStyle w:val="NormalTok"/>
        </w:rPr>
        <w:t xml:space="preserve"> </w:t>
      </w:r>
      <w:r>
        <w:rPr>
          <w:rStyle w:val="StringTok"/>
        </w:rPr>
        <w:t xml:space="preserve">"Proporção que aceita"</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"Curva de Sobrevivência da DAP"</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(x, </w:t>
      </w:r>
      <w:r>
        <w:rPr>
          <w:rStyle w:val="FunctionTok"/>
        </w:rPr>
        <w:t xml:space="preserve">rev</w:t>
      </w:r>
      <w:r>
        <w:rPr>
          <w:rStyle w:val="NormalTok"/>
        </w:rPr>
        <w:t xml:space="preserve">(x)), </w:t>
      </w:r>
      <w:r>
        <w:rPr>
          <w:rStyle w:val="FunctionTok"/>
        </w:rPr>
        <w:t xml:space="preserve">c</w:t>
      </w:r>
      <w:r>
        <w:rPr>
          <w:rStyle w:val="NormalTok"/>
        </w:rPr>
        <w:t xml:space="preserve">(y,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length</w:t>
      </w:r>
      <w:r>
        <w:rPr>
          <w:rStyle w:val="NormalTok"/>
        </w:rPr>
        <w:t xml:space="preserve">(y))),</w:t>
      </w:r>
      <w:r>
        <w:br/>
      </w:r>
      <w:r>
        <w:rPr>
          <w:rStyle w:val="NormalTok"/>
        </w:rPr>
        <w:t xml:space="preserve">        </w:t>
      </w:r>
      <w:r>
        <w:rPr>
          <w:rStyle w:val="AttributeTok"/>
        </w:rPr>
        <w:t xml:space="preserve">col =</w:t>
      </w:r>
      <w:r>
        <w:rPr>
          <w:rStyle w:val="NormalTok"/>
        </w:rPr>
        <w:t xml:space="preserve"> </w:t>
      </w:r>
      <w:r>
        <w:rPr>
          <w:rStyle w:val="FunctionTok"/>
        </w:rPr>
        <w:t xml:space="preserve">rgb</w:t>
      </w:r>
      <w:r>
        <w:rPr>
          <w:rStyle w:val="NormalTok"/>
        </w:rPr>
        <w:t xml:space="preserve">(</w:t>
      </w:r>
      <w:r>
        <w:rPr>
          <w:rStyle w:val="FloatTok"/>
        </w:rPr>
        <w:t xml:space="preserve">0.13</w:t>
      </w:r>
      <w:r>
        <w:rPr>
          <w:rStyle w:val="NormalTok"/>
        </w:rPr>
        <w:t xml:space="preserve">, </w:t>
      </w:r>
      <w:r>
        <w:rPr>
          <w:rStyle w:val="FloatTok"/>
        </w:rPr>
        <w:t xml:space="preserve">0.59</w:t>
      </w:r>
      <w:r>
        <w:rPr>
          <w:rStyle w:val="NormalTok"/>
        </w:rPr>
        <w:t xml:space="preserve">, </w:t>
      </w:r>
      <w:r>
        <w:rPr>
          <w:rStyle w:val="FloatTok"/>
        </w:rPr>
        <w:t xml:space="preserve">0.95</w:t>
      </w:r>
      <w:r>
        <w:rPr>
          <w:rStyle w:val="NormalTok"/>
        </w:rPr>
        <w:t xml:space="preserve">, </w:t>
      </w:r>
      <w:r>
        <w:rPr>
          <w:rStyle w:val="FloatTok"/>
        </w:rPr>
        <w:t xml:space="preserve">0.2</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FunctionTok"/>
        </w:rPr>
        <w:t xml:space="preserve">text</w:t>
      </w:r>
      <w:r>
        <w:rPr>
          <w:rStyle w:val="NormalTok"/>
        </w:rPr>
        <w:t xml:space="preserve">(</w:t>
      </w:r>
      <w:r>
        <w:rPr>
          <w:rStyle w:val="DecValTok"/>
        </w:rPr>
        <w:t xml:space="preserve">30</w:t>
      </w:r>
      <w:r>
        <w:rPr>
          <w:rStyle w:val="NormalTok"/>
        </w:rPr>
        <w:t xml:space="preserve">, </w:t>
      </w:r>
      <w:r>
        <w:rPr>
          <w:rStyle w:val="FloatTok"/>
        </w:rPr>
        <w:t xml:space="preserve">0.6</w:t>
      </w:r>
      <w:r>
        <w:rPr>
          <w:rStyle w:val="NormalTok"/>
        </w:rPr>
        <w:t xml:space="preserve">, </w:t>
      </w:r>
      <w:r>
        <w:rPr>
          <w:rStyle w:val="FunctionTok"/>
        </w:rPr>
        <w:t xml:space="preserve">paste0</w:t>
      </w:r>
      <w:r>
        <w:rPr>
          <w:rStyle w:val="NormalTok"/>
        </w:rPr>
        <w:t xml:space="preserve">(</w:t>
      </w:r>
      <w:r>
        <w:rPr>
          <w:rStyle w:val="StringTok"/>
        </w:rPr>
        <w:t xml:space="preserve">"DAP média</w:t>
      </w:r>
      <w:r>
        <w:rPr>
          <w:rStyle w:val="SpecialCharTok"/>
        </w:rPr>
        <w:t xml:space="preserve">\n</w:t>
      </w:r>
      <w:r>
        <w:rPr>
          <w:rStyle w:val="StringTok"/>
        </w:rPr>
        <w:t xml:space="preserve">≈ R$ "</w:t>
      </w:r>
      <w:r>
        <w:rPr>
          <w:rStyle w:val="NormalTok"/>
        </w:rPr>
        <w:t xml:space="preserve">, </w:t>
      </w:r>
      <w:r>
        <w:rPr>
          <w:rStyle w:val="FunctionTok"/>
        </w:rPr>
        <w:t xml:space="preserve">round</w:t>
      </w:r>
      <w:r>
        <w:rPr>
          <w:rStyle w:val="NormalTok"/>
        </w:rPr>
        <w:t xml:space="preserve">(dap_media, </w:t>
      </w:r>
      <w:r>
        <w:rPr>
          <w:rStyle w:val="DecValTok"/>
        </w:rPr>
        <w:t xml:space="preserve">1</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"#2196F3"</w:t>
      </w:r>
      <w:r>
        <w:rPr>
          <w:rStyle w:val="NormalTok"/>
        </w:rPr>
        <w:t xml:space="preserve">, </w:t>
      </w:r>
      <w:r>
        <w:rPr>
          <w:rStyle w:val="AttributeTok"/>
        </w:rPr>
        <w:t xml:space="preserve">font =</w:t>
      </w:r>
      <w:r>
        <w:rPr>
          <w:rStyle w:val="NormalTok"/>
        </w:rPr>
        <w:t xml:space="preserve"> </w:t>
      </w:r>
      <w:r>
        <w:rPr>
          <w:rStyle w:val="DecValTok"/>
        </w:rPr>
        <w:t xml:space="preserve">2</w:t>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w:t>
      </w:r>
      <w:r>
        <w:br/>
      </w:r>
      <w:r>
        <w:rPr>
          <w:rStyle w:val="FunctionTok"/>
        </w:rPr>
        <w:t xml:space="preserve">grid</w:t>
      </w:r>
      <w:r>
        <w:rPr>
          <w:rStyle w:val="NormalTok"/>
        </w:rPr>
        <w:t xml:space="preserve">(</w:t>
      </w:r>
      <w:r>
        <w:rPr>
          <w:rStyle w:val="AttributeTok"/>
        </w:rPr>
        <w:t xml:space="preserve">col =</w:t>
      </w:r>
      <w:r>
        <w:rPr>
          <w:rStyle w:val="NormalTok"/>
        </w:rPr>
        <w:t xml:space="preserve"> </w:t>
      </w:r>
      <w:r>
        <w:rPr>
          <w:rStyle w:val="StringTok"/>
        </w:rPr>
        <w:t xml:space="preserve">"gray90"</w:t>
      </w:r>
      <w:r>
        <w:rPr>
          <w:rStyle w:val="NormalTok"/>
        </w:rPr>
        <w:t xml:space="preserve">)</w:t>
      </w:r>
      <w:r>
        <w:br/>
      </w:r>
      <w:r>
        <w:br/>
      </w:r>
      <w:r>
        <w:rPr>
          <w:rStyle w:val="CommentTok"/>
        </w:rPr>
        <w:t xml:space="preserve"># 2. Distribuição da DAP verdadeira</w:t>
      </w:r>
      <w:r>
        <w:br/>
      </w:r>
      <w:r>
        <w:rPr>
          <w:rStyle w:val="FunctionTok"/>
        </w:rPr>
        <w:t xml:space="preserve">hist</w:t>
      </w:r>
      <w:r>
        <w:rPr>
          <w:rStyle w:val="NormalTok"/>
        </w:rPr>
        <w:t xml:space="preserve">(dap_verdadeira[dap_verdadeira </w:t>
      </w:r>
      <w:r>
        <w:rPr>
          <w:rStyle w:val="SpecialCharTok"/>
        </w:rPr>
        <w:t xml:space="preserve">&lt;</w:t>
      </w:r>
      <w:r>
        <w:rPr>
          <w:rStyle w:val="NormalTok"/>
        </w:rPr>
        <w:t xml:space="preserve"> </w:t>
      </w:r>
      <w:r>
        <w:rPr>
          <w:rStyle w:val="DecValTok"/>
        </w:rPr>
        <w:t xml:space="preserve">200</w:t>
      </w:r>
      <w:r>
        <w:rPr>
          <w:rStyle w:val="NormalTok"/>
        </w:rPr>
        <w:t xml:space="preserve">], </w:t>
      </w:r>
      <w:r>
        <w:rPr>
          <w:rStyle w:val="AttributeTok"/>
        </w:rPr>
        <w:t xml:space="preserve">breaks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rgb</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"Distribuição da DAP (log-normal)"</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"DAP (R$/mês)"</w:t>
      </w:r>
      <w:r>
        <w:rPr>
          <w:rStyle w:val="NormalTok"/>
        </w:rPr>
        <w:t xml:space="preserve">, </w:t>
      </w:r>
      <w:r>
        <w:rPr>
          <w:rStyle w:val="AttributeTok"/>
        </w:rPr>
        <w:t xml:space="preserve">ylab =</w:t>
      </w:r>
      <w:r>
        <w:rPr>
          <w:rStyle w:val="NormalTok"/>
        </w:rPr>
        <w:t xml:space="preserve"> </w:t>
      </w:r>
      <w:r>
        <w:rPr>
          <w:rStyle w:val="StringTok"/>
        </w:rPr>
        <w:t xml:space="preserve">"Frequência"</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dap_real, </w:t>
      </w:r>
      <w:r>
        <w:rPr>
          <w:rStyle w:val="AttributeTok"/>
        </w:rPr>
        <w:t xml:space="preserve">col =</w:t>
      </w:r>
      <w:r>
        <w:rPr>
          <w:rStyle w:val="NormalTok"/>
        </w:rPr>
        <w:t xml:space="preserve"> </w:t>
      </w:r>
      <w:r>
        <w:rPr>
          <w:rStyle w:val="StringTok"/>
        </w:rPr>
        <w:t xml:space="preserve">"#F44336"</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(dap_real </w:t>
      </w:r>
      <w:r>
        <w:rPr>
          <w:rStyle w:val="SpecialCharTok"/>
        </w:rPr>
        <w:t xml:space="preserve">+</w:t>
      </w:r>
      <w:r>
        <w:rPr>
          <w:rStyle w:val="NormalTok"/>
        </w:rPr>
        <w:t xml:space="preserve"> </w:t>
      </w:r>
      <w:r>
        <w:rPr>
          <w:rStyle w:val="DecValTok"/>
        </w:rPr>
        <w:t xml:space="preserve">10</w:t>
      </w:r>
      <w:r>
        <w:rPr>
          <w:rStyle w:val="NormalTok"/>
        </w:rPr>
        <w:t xml:space="preserve">, n_respondentes </w:t>
      </w:r>
      <w:r>
        <w:rPr>
          <w:rStyle w:val="SpecialCha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"Média = R$ "</w:t>
      </w:r>
      <w:r>
        <w:rPr>
          <w:rStyle w:val="NormalTok"/>
        </w:rPr>
        <w:t xml:space="preserve">, </w:t>
      </w:r>
      <w:r>
        <w:rPr>
          <w:rStyle w:val="FunctionTok"/>
        </w:rPr>
        <w:t xml:space="preserve">round</w:t>
      </w:r>
      <w:r>
        <w:rPr>
          <w:rStyle w:val="NormalTok"/>
        </w:rPr>
        <w:t xml:space="preserve">(dap_real, </w:t>
      </w:r>
      <w:r>
        <w:rPr>
          <w:rStyle w:val="DecValTok"/>
        </w:rPr>
        <w:t xml:space="preserve">1</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"#F44336"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FunctionTok"/>
        </w:rPr>
        <w:t xml:space="preserve">grid</w:t>
      </w:r>
      <w:r>
        <w:rPr>
          <w:rStyle w:val="NormalTok"/>
        </w:rPr>
        <w:t xml:space="preserve">(</w:t>
      </w:r>
      <w:r>
        <w:rPr>
          <w:rStyle w:val="AttributeTok"/>
        </w:rPr>
        <w:t xml:space="preserve">col =</w:t>
      </w:r>
      <w:r>
        <w:rPr>
          <w:rStyle w:val="NormalTok"/>
        </w:rPr>
        <w:t xml:space="preserve"> </w:t>
      </w:r>
      <w:r>
        <w:rPr>
          <w:rStyle w:val="StringTok"/>
        </w:rPr>
        <w:t xml:space="preserve">"gray90"</w:t>
      </w:r>
      <w:r>
        <w:rPr>
          <w:rStyle w:val="NormalTok"/>
        </w:rPr>
        <w:t xml:space="preserve">)</w:t>
      </w:r>
    </w:p>
    <w:p>
      <w:pPr>
        <w:pStyle w:val="BlockText"/>
      </w:pPr>
      <w:r>
        <w:rPr>
          <w:b/>
          <w:bCs/>
        </w:rPr>
        <w:t xml:space="preserve">Experimente:</w:t>
      </w:r>
      <w:r>
        <w:t xml:space="preserve"> </w:t>
      </w:r>
      <w:r>
        <w:t xml:space="preserve">Aumente</w:t>
      </w:r>
      <w:r>
        <w:t xml:space="preserve"> </w:t>
      </w:r>
      <w:r>
        <w:rPr>
          <w:rStyle w:val="VerbatimChar"/>
        </w:rPr>
        <w:t xml:space="preserve">sigma_log</w:t>
      </w:r>
      <w:r>
        <w:t xml:space="preserve"> </w:t>
      </w:r>
      <w:r>
        <w:t xml:space="preserve">para 1.5 (população mais heterogênea) e observe a cauda direita se estender — poucos ricos com DAP muito alta puxam a média para cima. Reduza</w:t>
      </w:r>
      <w:r>
        <w:t xml:space="preserve"> </w:t>
      </w:r>
      <w:r>
        <w:rPr>
          <w:rStyle w:val="VerbatimChar"/>
        </w:rPr>
        <w:t xml:space="preserve">n_respondentes</w:t>
      </w:r>
      <w:r>
        <w:t xml:space="preserve"> </w:t>
      </w:r>
      <w:r>
        <w:t xml:space="preserve">para 50 e veja a curva ficar ruidosa — pesquisas pequenas são imprecisas. Mude</w:t>
      </w:r>
      <w:r>
        <w:t xml:space="preserve"> </w:t>
      </w:r>
      <w:r>
        <w:rPr>
          <w:rStyle w:val="VerbatimChar"/>
        </w:rPr>
        <w:t xml:space="preserve">mu_log</w:t>
      </w:r>
      <w:r>
        <w:t xml:space="preserve"> </w:t>
      </w:r>
      <w:r>
        <w:t xml:space="preserve">para 3.5 (população mais rica) e veja a DAP média dobrar.</w:t>
      </w:r>
    </w:p>
    <w:p>
      <w:pPr>
        <w:pStyle w:val="BlockText"/>
      </w:pPr>
      <w:r>
        <w:rPr>
          <w:b/>
          <w:bCs/>
        </w:rPr>
        <w:t xml:space="preserve">[NOTA] Limitações dos métodos de preferência declarada</w:t>
      </w:r>
    </w:p>
    <w:p>
      <w:pPr>
        <w:pStyle w:val="BlockText"/>
      </w:pPr>
      <w:r>
        <w:t xml:space="preserve">Métodos de preferência declarada sofrem de vieses conhecidos: (i)</w:t>
      </w:r>
      <w:r>
        <w:t xml:space="preserve"> </w:t>
      </w:r>
      <w:r>
        <w:rPr>
          <w:b/>
          <w:bCs/>
        </w:rPr>
        <w:t xml:space="preserve">viés de protesto</w:t>
      </w:r>
      <w:r>
        <w:t xml:space="preserve"> </w:t>
      </w:r>
      <w:r>
        <w:t xml:space="preserve">— respondentes que se recusam a</w:t>
      </w:r>
      <w:r>
        <w:t xml:space="preserve"> </w:t>
      </w:r>
      <w:r>
        <w:t xml:space="preserve">“precificar”</w:t>
      </w:r>
      <w:r>
        <w:t xml:space="preserve"> </w:t>
      </w:r>
      <w:r>
        <w:t xml:space="preserve">a natureza por razões morais; (ii)</w:t>
      </w:r>
      <w:r>
        <w:t xml:space="preserve"> </w:t>
      </w:r>
      <w:r>
        <w:rPr>
          <w:b/>
          <w:bCs/>
        </w:rPr>
        <w:t xml:space="preserve">viés hipotético</w:t>
      </w:r>
      <w:r>
        <w:t xml:space="preserve"> </w:t>
      </w:r>
      <w:r>
        <w:t xml:space="preserve">— a diferença entre o que as pessoas</w:t>
      </w:r>
      <w:r>
        <w:t xml:space="preserve"> </w:t>
      </w:r>
      <w:r>
        <w:rPr>
          <w:i/>
          <w:iCs/>
        </w:rPr>
        <w:t xml:space="preserve">dizem</w:t>
      </w:r>
      <w:r>
        <w:t xml:space="preserve"> </w:t>
      </w:r>
      <w:r>
        <w:t xml:space="preserve">que pagariam e o que</w:t>
      </w:r>
      <w:r>
        <w:t xml:space="preserve"> </w:t>
      </w:r>
      <w:r>
        <w:rPr>
          <w:i/>
          <w:iCs/>
        </w:rPr>
        <w:t xml:space="preserve">de fato</w:t>
      </w:r>
      <w:r>
        <w:t xml:space="preserve"> </w:t>
      </w:r>
      <w:r>
        <w:t xml:space="preserve">pagariam (conectando com o Capítulo 8, economia comportamental); (iii)</w:t>
      </w:r>
      <w:r>
        <w:t xml:space="preserve"> </w:t>
      </w:r>
      <w:r>
        <w:rPr>
          <w:b/>
          <w:bCs/>
        </w:rPr>
        <w:t xml:space="preserve">insensibilidade ao escopo</w:t>
      </w:r>
      <w:r>
        <w:t xml:space="preserve"> </w:t>
      </w:r>
      <w:r>
        <w:t xml:space="preserve">— a DAP não varia proporcionalmente com a escala do bem avaliado (proteger 1.000 vs. 100.000 hectares). Apesar dessas limitações, a valoração contingente foi aceita como evidência em tribunais americanos (caso Exxon Valdez, 1989) e permanece o único método capaz de capturar valores de não-uso.</w:t>
      </w:r>
    </w:p>
    <w:p>
      <w:pPr>
        <w:pStyle w:val="BlockText"/>
      </w:pPr>
      <w:r>
        <w:rPr>
          <w:b/>
          <w:bCs/>
        </w:rPr>
        <w:t xml:space="preserve">[BOX BRASIL] Brasil na Prática — Valoração Contingente: Quanto Você Pagaria por Ar Limpo em São Paulo?</w:t>
      </w:r>
    </w:p>
    <w:p>
      <w:pPr>
        <w:pStyle w:val="BlockText"/>
      </w:pPr>
      <w:r>
        <w:t xml:space="preserve">Estudos de valoração contingente (VC) no Brasil revelam disposição a pagar (DAP) significativa por melhorias ambientais:</w:t>
      </w:r>
    </w:p>
    <w:p>
      <w:pPr>
        <w:pStyle w:val="Compact"/>
        <w:numPr>
          <w:ilvl w:val="0"/>
          <w:numId w:val="2314"/>
        </w:numPr>
      </w:pPr>
      <w:r>
        <w:rPr>
          <w:b/>
          <w:bCs/>
        </w:rPr>
        <w:t xml:space="preserve">Qualidade do ar em São Paulo:</w:t>
      </w:r>
      <w:r>
        <w:t xml:space="preserve"> </w:t>
      </w:r>
      <w:r>
        <w:t xml:space="preserve">Estudos estimam DAP média de R$ 15–40/mês por família para redução de 30% na concentração de material particulado (PM₂.₅). Com ~4 milhões de domicílios na RMSP, isso implica um benefício agregado de R$ 720 milhões–1,9 bilhão/ano</w:t>
      </w:r>
    </w:p>
    <w:p>
      <w:pPr>
        <w:pStyle w:val="Compact"/>
        <w:numPr>
          <w:ilvl w:val="0"/>
          <w:numId w:val="2314"/>
        </w:numPr>
      </w:pPr>
      <w:r>
        <w:rPr>
          <w:b/>
          <w:bCs/>
        </w:rPr>
        <w:t xml:space="preserve">Parque Nacional da Tijuca (RJ):</w:t>
      </w:r>
      <w:r>
        <w:t xml:space="preserve"> </w:t>
      </w:r>
      <w:r>
        <w:t xml:space="preserve">Valor recreativo estimado pelo método de custo de viagem: R$ 180–350/visita. Com ~3 milhões de visitantes/ano, o valor recreativo total é R$ 540 milhões–1 bilhão/ano — mais que o orçamento anual do ICMBio inteiro</w:t>
      </w:r>
    </w:p>
    <w:p>
      <w:pPr>
        <w:pStyle w:val="Compact"/>
        <w:numPr>
          <w:ilvl w:val="0"/>
          <w:numId w:val="2314"/>
        </w:numPr>
      </w:pPr>
      <w:r>
        <w:rPr>
          <w:b/>
          <w:bCs/>
        </w:rPr>
        <w:t xml:space="preserve">Saneamento básico:</w:t>
      </w:r>
      <w:r>
        <w:t xml:space="preserve"> </w:t>
      </w:r>
      <w:r>
        <w:t xml:space="preserve">DAP para acesso a esgoto tratado em municípios nordestinos: R$ 25–60/mês por família. O valor é compatível com as tarifas praticadas por concessionárias, mas a cobertura é de apenas ~28% no Nordeste</w:t>
      </w:r>
    </w:p>
    <w:p>
      <w:pPr>
        <w:pStyle w:val="BlockText"/>
      </w:pPr>
      <w:r>
        <w:rPr>
          <w:b/>
          <w:bCs/>
        </w:rPr>
        <w:t xml:space="preserve">Limitações da VC no Brasil:</w:t>
      </w:r>
      <w:r>
        <w:t xml:space="preserve"> </w:t>
      </w:r>
      <w:r>
        <w:t xml:space="preserve">viés hipotético (declarar é fácil, pagar é outra história), viés estratégico (super ou subdeclarar para influenciar política) e o</w:t>
      </w:r>
      <w:r>
        <w:t xml:space="preserve"> </w:t>
      </w:r>
      <w:r>
        <w:t xml:space="preserve">“problema do</w:t>
      </w:r>
      <w:r>
        <w:t xml:space="preserve"> </w:t>
      </w:r>
      <w:r>
        <w:rPr>
          <w:i/>
          <w:iCs/>
        </w:rPr>
        <w:t xml:space="preserve">embedding</w:t>
      </w:r>
      <w:r>
        <w:t xml:space="preserve">”</w:t>
      </w:r>
      <w:r>
        <w:t xml:space="preserve"> </w:t>
      </w:r>
      <w:r>
        <w:t xml:space="preserve">(a DAP para</w:t>
      </w:r>
      <w:r>
        <w:t xml:space="preserve"> </w:t>
      </w:r>
      <w:r>
        <w:t xml:space="preserve">“salvar a Amazônia”</w:t>
      </w:r>
      <w:r>
        <w:t xml:space="preserve"> </w:t>
      </w:r>
      <w:r>
        <w:t xml:space="preserve">não é muito diferente da DAP para</w:t>
      </w:r>
      <w:r>
        <w:t xml:space="preserve"> </w:t>
      </w:r>
      <w:r>
        <w:t xml:space="preserve">“salvar o Pantanal”</w:t>
      </w:r>
      <w:r>
        <w:t xml:space="preserve"> </w:t>
      </w:r>
      <w:r>
        <w:t xml:space="preserve">— os respondentes não processam escala).</w:t>
      </w:r>
    </w:p>
    <w:p>
      <w:pPr>
        <w:pStyle w:val="BlockText"/>
      </w:pPr>
      <w:r>
        <w:rPr>
          <w:b/>
          <w:bCs/>
        </w:rPr>
        <w:t xml:space="preserve">Conexão com a teoria:</w:t>
      </w:r>
      <w:r>
        <w:t xml:space="preserve"> </w:t>
      </w:r>
      <w:r>
        <w:t xml:space="preserve">A VC é uma tentativa de revelar preferências para bens sem mercado — exatamente o que o mecanismo de Vickrey-Clarke-Groves (Seção 20.10) faz em teoria, mas com questionários em vez de leilões.</w:t>
      </w:r>
    </w:p>
    <w:p>
      <w:pPr>
        <w:pStyle w:val="BlockText"/>
      </w:pPr>
      <w:r>
        <w:rPr>
          <w:b/>
          <w:bCs/>
        </w:rPr>
        <w:t xml:space="preserve">Fonte:</w:t>
      </w:r>
      <w:r>
        <w:t xml:space="preserve"> </w:t>
      </w:r>
      <w:r>
        <w:t xml:space="preserve">Seroa da Motta, R. (2006).</w:t>
      </w:r>
      <w:r>
        <w:t xml:space="preserve"> </w:t>
      </w:r>
      <w:r>
        <w:rPr>
          <w:i/>
          <w:iCs/>
        </w:rPr>
        <w:t xml:space="preserve">Economia Ambiental</w:t>
      </w:r>
      <w:r>
        <w:t xml:space="preserve">. Rio de Janeiro: FGV Editora. Valores aproximados para fins didáticos; estimativas precisas variam conforme especificação, região e período.</w:t>
      </w:r>
    </w:p>
    <w:p>
      <w:r>
        <w:pict>
          <v:rect style="width:0;height:1.5pt" o:hralign="center" o:hrstd="t" o:hr="t"/>
        </w:pict>
      </w:r>
    </w:p>
    <w:bookmarkEnd w:id="1467"/>
    <w:bookmarkEnd w:id="1468"/>
    <w:bookmarkStart w:id="1477" w:name="X464dc11507c600bbff7daec3d6fb71402063a5f"/>
    <w:p>
      <w:pPr>
        <w:pStyle w:val="Heading3"/>
      </w:pPr>
      <w:r>
        <w:t xml:space="preserve">24.6 Recursos Naturais e Sustentabilidade</w:t>
      </w:r>
    </w:p>
    <w:bookmarkStart w:id="1469" w:name="a-regra-de-hotelling-revisitada"/>
    <w:p>
      <w:pPr>
        <w:pStyle w:val="Heading4"/>
      </w:pPr>
      <w:r>
        <w:t xml:space="preserve">24.6.1 A regra de Hotelling revisitada</w:t>
      </w:r>
    </w:p>
    <w:p>
      <w:pPr>
        <w:pStyle w:val="FirstParagraph"/>
      </w:pPr>
      <w:r>
        <w:t xml:space="preserve">Petróleo, minério de ferro, gás natural — são como uma herança que a Terra nos deixou, mas sem manual de instrução sobre o ritmo ideal de gastar. Extrair rápido demais esgota o recurso cedo; extrair devagar demais significa deixar riqueza parada no subsolo enquanto gente passa necessidade na superfície. A regra de Hotelling, que já encontramos no Capítulo 18, é a tentativa do economista de resolver esse dilema: o preço líquido (preço menos custo de extração) de um recurso exaurível deve crescer à taxa de juros no equilíbrio:</w:t>
      </w:r>
    </w:p>
    <w:p>
      <w:pPr>
        <w:pStyle w:val="BodyText"/>
      </w:pPr>
      <w:r>
        <w:t xml:space="preserve">$$
    \frac{\dot{p}_n}{p_n} = r \label{eq:24.13} \tag{24.13}
    $$</w:t>
      </w:r>
    </w:p>
    <w:p>
      <w:pPr>
        <w:pStyle w:val="FirstParagraph"/>
      </w:pPr>
      <w:r>
        <w:t xml:space="preserve">onde</w:t>
      </w:r>
      <w:r>
        <w:t xml:space="preserve"> </w:t>
      </w:r>
      <m:oMath>
        <m:sSub>
          <m:e>
            <m:r>
              <m:t>p</m:t>
            </m:r>
          </m:e>
          <m:sub>
            <m:r>
              <m:t>n</m:t>
            </m:r>
          </m:sub>
        </m:sSub>
        <m:r>
          <m:rPr>
            <m:sty m:val="p"/>
          </m:rPr>
          <m:t>=</m:t>
        </m:r>
        <m:r>
          <m:t>p</m:t>
        </m:r>
        <m:r>
          <m:rPr>
            <m:sty m:val="p"/>
          </m:rPr>
          <m:t>−</m:t>
        </m:r>
        <m:r>
          <m:t>c</m:t>
        </m:r>
      </m:oMath>
      <w:r>
        <w:t xml:space="preserve"> </w:t>
      </w:r>
      <w:r>
        <w:t xml:space="preserve">é o preço líquido (ou</w:t>
      </w:r>
      <w:r>
        <w:t xml:space="preserve"> </w:t>
      </w:r>
      <w:r>
        <w:rPr>
          <w:b/>
          <w:bCs/>
        </w:rPr>
        <w:t xml:space="preserve">renda de escassez</w:t>
      </w:r>
      <w:r>
        <w:t xml:space="preserve">) e</w:t>
      </w:r>
      <w:r>
        <w:t xml:space="preserve"> </w:t>
      </w:r>
      <m:oMath>
        <m:r>
          <m:t>r</m:t>
        </m:r>
      </m:oMath>
      <w:r>
        <w:t xml:space="preserve"> </w:t>
      </w:r>
      <w:r>
        <w:t xml:space="preserve">é a taxa de juros. A intuição é que o proprietário do recurso deve ser indiferente entre extrair hoje (e investir a receita à taxa</w:t>
      </w:r>
      <w:r>
        <w:t xml:space="preserve"> </w:t>
      </w:r>
      <m:oMath>
        <m:r>
          <m:t>r</m:t>
        </m:r>
      </m:oMath>
      <w:r>
        <w:t xml:space="preserve">) e extrair amanhã (e obter um preço mais alto). Se o preço líquido crescesse mais devagar que</w:t>
      </w:r>
      <w:r>
        <w:t xml:space="preserve"> </w:t>
      </w:r>
      <m:oMath>
        <m:r>
          <m:t>r</m:t>
        </m:r>
      </m:oMath>
      <w:r>
        <w:t xml:space="preserve">, seria melhor extrair tudo hoje; se crescesse mais rápido, seria melhor esperar.</w:t>
      </w:r>
    </w:p>
    <w:p>
      <w:pPr>
        <w:pStyle w:val="BodyText"/>
      </w:pPr>
      <w:r>
        <w:t xml:space="preserve">A regra de Hotelling tem implicações profundas para a sustentabilidade:</w:t>
      </w:r>
    </w:p>
    <w:p>
      <w:pPr>
        <w:pStyle w:val="Compact"/>
        <w:numPr>
          <w:ilvl w:val="0"/>
          <w:numId w:val="2315"/>
        </w:numPr>
      </w:pPr>
      <w:r>
        <w:t xml:space="preserve">Para recursos</w:t>
      </w:r>
      <w:r>
        <w:t xml:space="preserve"> </w:t>
      </w:r>
      <w:r>
        <w:rPr>
          <w:b/>
          <w:bCs/>
        </w:rPr>
        <w:t xml:space="preserve">não renováveis</w:t>
      </w:r>
      <w:r>
        <w:t xml:space="preserve"> </w:t>
      </w:r>
      <w:r>
        <w:t xml:space="preserve">(petróleo, minérios), a renda de escassez é positiva e crescente — refletindo o fato de que cada unidade extraída reduz o estoque disponível para o futuro.</w:t>
      </w:r>
    </w:p>
    <w:p>
      <w:pPr>
        <w:pStyle w:val="Compact"/>
        <w:numPr>
          <w:ilvl w:val="0"/>
          <w:numId w:val="2315"/>
        </w:numPr>
      </w:pPr>
      <w:r>
        <w:t xml:space="preserve">Para recursos</w:t>
      </w:r>
      <w:r>
        <w:t xml:space="preserve"> </w:t>
      </w:r>
      <w:r>
        <w:rPr>
          <w:b/>
          <w:bCs/>
        </w:rPr>
        <w:t xml:space="preserve">renováveis</w:t>
      </w:r>
      <w:r>
        <w:t xml:space="preserve"> </w:t>
      </w:r>
      <w:r>
        <w:t xml:space="preserve">(florestas, peixes), a análise é mais complexa: o recurso se regenera naturalmente a uma taxa que depende do estoque. A extração sustentável é aquela que não excede a taxa de regeneração.</w:t>
      </w:r>
    </w:p>
    <w:bookmarkEnd w:id="1469"/>
    <w:bookmarkStart w:id="1470" w:name="X9b5f6ba18268ca85f212113c9aad25d8167ca40"/>
    <w:p>
      <w:pPr>
        <w:pStyle w:val="Heading4"/>
      </w:pPr>
      <w:r>
        <w:t xml:space="preserve">24.6.2 Recursos renováveis: taxa de extração ótima</w:t>
      </w:r>
    </w:p>
    <w:p>
      <w:pPr>
        <w:pStyle w:val="FirstParagraph"/>
      </w:pPr>
      <w:r>
        <w:t xml:space="preserve">Para um recurso renovável com estoque</w:t>
      </w:r>
      <w:r>
        <w:t xml:space="preserve"> </w:t>
      </w:r>
      <m:oMath>
        <m:r>
          <m:t>S</m:t>
        </m:r>
        <m:r>
          <m:rPr>
            <m:sty m:val="p"/>
          </m:rPr>
          <m:t>(</m:t>
        </m:r>
        <m:r>
          <m:t>t</m:t>
        </m:r>
        <m:r>
          <m:rPr>
            <m:sty m:val="p"/>
          </m:rPr>
          <m:t>)</m:t>
        </m:r>
      </m:oMath>
      <w:r>
        <w:t xml:space="preserve"> </w:t>
      </w:r>
      <w:r>
        <w:t xml:space="preserve">e taxa de crescimento natural</w:t>
      </w:r>
      <w:r>
        <w:t xml:space="preserve"> </w:t>
      </w:r>
      <m:oMath>
        <m:r>
          <m:t>G</m:t>
        </m:r>
        <m:r>
          <m:rPr>
            <m:sty m:val="p"/>
          </m:rPr>
          <m:t>(</m:t>
        </m:r>
        <m:r>
          <m:t>S</m:t>
        </m:r>
        <m:r>
          <m:rPr>
            <m:sty m:val="p"/>
          </m:rPr>
          <m:t>)</m:t>
        </m:r>
      </m:oMath>
      <w:r>
        <w:t xml:space="preserve"> </w:t>
      </w:r>
      <w:r>
        <w:t xml:space="preserve">(tipicamente uma função logística), a dinâmica é:</w:t>
      </w:r>
    </w:p>
    <w:p>
      <w:pPr>
        <w:pStyle w:val="BodyText"/>
      </w:pPr>
      <w:r>
        <w:t xml:space="preserve">$$
    \dot{S} = G(S) - h \label{eq:24.14} \tag{24.14}
    $$</w:t>
      </w:r>
    </w:p>
    <w:p>
      <w:pPr>
        <w:pStyle w:val="FirstParagraph"/>
      </w:pPr>
      <w:r>
        <w:t xml:space="preserve">onde</w:t>
      </w:r>
      <w:r>
        <w:t xml:space="preserve"> </w:t>
      </w:r>
      <m:oMath>
        <m:r>
          <m:t>h</m:t>
        </m:r>
      </m:oMath>
      <w:r>
        <w:t xml:space="preserve"> </w:t>
      </w:r>
      <w:r>
        <w:t xml:space="preserve">é a taxa de colheita (</w:t>
      </w:r>
      <w:r>
        <w:rPr>
          <w:i/>
          <w:iCs/>
        </w:rPr>
        <w:t xml:space="preserve">harvest</w:t>
      </w:r>
      <w:r>
        <w:t xml:space="preserve">). O</w:t>
      </w:r>
      <w:r>
        <w:t xml:space="preserve"> </w:t>
      </w:r>
      <w:r>
        <w:rPr>
          <w:b/>
          <w:bCs/>
        </w:rPr>
        <w:t xml:space="preserve">rendimento máximo sustentável</w:t>
      </w:r>
      <w:r>
        <w:t xml:space="preserve"> </w:t>
      </w:r>
      <w:r>
        <w:t xml:space="preserve">(RMS) é o nível de colheita que maximiza</w:t>
      </w:r>
      <w:r>
        <w:t xml:space="preserve"> </w:t>
      </w:r>
      <m:oMath>
        <m:r>
          <m:t>G</m:t>
        </m:r>
        <m:r>
          <m:rPr>
            <m:sty m:val="p"/>
          </m:rPr>
          <m:t>(</m:t>
        </m:r>
        <m:r>
          <m:t>S</m:t>
        </m:r>
        <m:r>
          <m:rPr>
            <m:sty m:val="p"/>
          </m:rPr>
          <m:t>)</m:t>
        </m:r>
      </m:oMath>
      <w:r>
        <w:t xml:space="preserve">:</w:t>
      </w:r>
    </w:p>
    <w:p>
      <w:pPr>
        <w:pStyle w:val="BodyText"/>
      </w:pPr>
      <m:oMathPara>
        <m:oMathParaPr>
          <m:jc m:val="center"/>
        </m:oMathParaPr>
        <m:oMath>
          <m:sSup>
            <m:e>
              <m:r>
                <m:t>h</m:t>
              </m:r>
            </m:e>
            <m:sup>
              <m:r>
                <m:rPr>
                  <m:nor/>
                  <m:sty m:val="p"/>
                </m:rPr>
                <m:t>RMS</m:t>
              </m:r>
            </m:sup>
          </m:sSup>
          <m:r>
            <m:rPr>
              <m:sty m:val="p"/>
            </m:rPr>
            <m:t>=</m:t>
          </m:r>
          <m:limLow>
            <m:e>
              <m:r>
                <m:rPr>
                  <m:sty m:val="p"/>
                </m:rPr>
                <m:t>max</m:t>
              </m:r>
            </m:e>
            <m:lim>
              <m:r>
                <m:t>S</m:t>
              </m:r>
            </m:lim>
          </m:limLow>
          <m:r>
            <m:t>G</m:t>
          </m:r>
          <m:r>
            <m:rPr>
              <m:sty m:val="p"/>
            </m:rPr>
            <m:t>(</m:t>
          </m:r>
          <m:r>
            <m:t>S</m:t>
          </m:r>
          <m:r>
            <m:rPr>
              <m:sty m:val="p"/>
            </m:rPr>
            <m:t>)</m:t>
          </m:r>
        </m:oMath>
      </m:oMathPara>
    </w:p>
    <w:p>
      <w:pPr>
        <w:pStyle w:val="FirstParagraph"/>
      </w:pPr>
      <w:r>
        <w:t xml:space="preserve">No entanto, o RMS não é necessariamente o ótimo econômico. O ótimo econômico iguala o benefício marginal da extração ao custo marginal, incluindo o</w:t>
      </w:r>
      <w:r>
        <w:t xml:space="preserve"> </w:t>
      </w:r>
      <w:r>
        <w:rPr>
          <w:b/>
          <w:bCs/>
        </w:rPr>
        <w:t xml:space="preserve">custo de uso</w:t>
      </w:r>
      <w:r>
        <w:t xml:space="preserve"> </w:t>
      </w:r>
      <w:r>
        <w:t xml:space="preserve">— o valor presente da redução futura do estoque:</w:t>
      </w:r>
    </w:p>
    <w:p>
      <w:pPr>
        <w:pStyle w:val="BodyText"/>
      </w:pPr>
      <m:oMathPara>
        <m:oMathParaPr>
          <m:jc m:val="center"/>
        </m:oMathParaPr>
        <m:oMath>
          <m:f>
            <m:fPr>
              <m:type m:val="bar"/>
            </m:fPr>
            <m:num>
              <m:r>
                <m:rPr>
                  <m:sty m:val="p"/>
                </m:rPr>
                <m:t>∂</m:t>
              </m:r>
              <m:r>
                <m:t>π</m:t>
              </m:r>
            </m:num>
            <m:den>
              <m:r>
                <m:rPr>
                  <m:sty m:val="p"/>
                </m:rPr>
                <m:t>∂</m:t>
              </m:r>
              <m:r>
                <m:t>h</m:t>
              </m:r>
            </m:den>
          </m:f>
          <m:r>
            <m:rPr>
              <m:sty m:val="p"/>
            </m:rPr>
            <m:t>=</m:t>
          </m:r>
          <m:f>
            <m:fPr>
              <m:type m:val="bar"/>
            </m:fPr>
            <m:num>
              <m:r>
                <m:rPr>
                  <m:sty m:val="p"/>
                </m:rPr>
                <m:t>∂</m:t>
              </m:r>
              <m:r>
                <m:t>G</m:t>
              </m:r>
            </m:num>
            <m:den>
              <m:r>
                <m:rPr>
                  <m:sty m:val="p"/>
                </m:rPr>
                <m:t>∂</m:t>
              </m:r>
              <m:r>
                <m:t>S</m:t>
              </m:r>
            </m:den>
          </m:f>
          <m:r>
            <m:rPr>
              <m:sty m:val="p"/>
            </m:rPr>
            <m:t>⋅</m:t>
          </m:r>
          <m:r>
            <m:t>λ</m:t>
          </m:r>
        </m:oMath>
      </m:oMathPara>
    </w:p>
    <w:p>
      <w:pPr>
        <w:pStyle w:val="FirstParagraph"/>
      </w:pPr>
      <w:r>
        <w:t xml:space="preserve">onde</w:t>
      </w:r>
      <w:r>
        <w:t xml:space="preserve"> </w:t>
      </w:r>
      <m:oMath>
        <m:r>
          <m:t>λ</m:t>
        </m:r>
      </m:oMath>
      <w:r>
        <w:t xml:space="preserve"> </w:t>
      </w:r>
      <w:r>
        <w:t xml:space="preserve">é o preço-sombra do recurso (seu valor in situ). Em estado estacionário, a condição de otimalidade dinâmica é a</w:t>
      </w:r>
      <w:r>
        <w:t xml:space="preserve"> </w:t>
      </w:r>
      <w:r>
        <w:rPr>
          <w:b/>
          <w:bCs/>
        </w:rPr>
        <w:t xml:space="preserve">regra de Hotelling modificada</w:t>
      </w:r>
      <w:r>
        <w:t xml:space="preserve"> </w:t>
      </w:r>
      <w:r>
        <w:t xml:space="preserve">para recursos renováveis:</w:t>
      </w:r>
    </w:p>
    <w:p>
      <w:pPr>
        <w:pStyle w:val="BodyText"/>
      </w:pPr>
      <m:oMathPara>
        <m:oMathParaPr>
          <m:jc m:val="center"/>
        </m:oMathParaPr>
        <m:oMath>
          <m:r>
            <m:t>r</m:t>
          </m:r>
          <m:r>
            <m:rPr>
              <m:sty m:val="p"/>
            </m:rPr>
            <m:t>=</m:t>
          </m:r>
          <m:f>
            <m:fPr>
              <m:type m:val="bar"/>
            </m:fPr>
            <m:num>
              <m:r>
                <m:rPr>
                  <m:sty m:val="p"/>
                </m:rPr>
                <m:t>∂</m:t>
              </m:r>
              <m:r>
                <m:t>G</m:t>
              </m:r>
            </m:num>
            <m:den>
              <m:r>
                <m:rPr>
                  <m:sty m:val="p"/>
                </m:rPr>
                <m:t>∂</m:t>
              </m:r>
              <m:r>
                <m:t>S</m:t>
              </m:r>
            </m:den>
          </m:f>
          <m:r>
            <m:rPr>
              <m:sty m:val="p"/>
            </m:rPr>
            <m:t>+</m:t>
          </m:r>
          <m:f>
            <m:fPr>
              <m:type m:val="bar"/>
            </m:fPr>
            <m:num>
              <m:r>
                <m:rPr>
                  <m:sty m:val="p"/>
                </m:rPr>
                <m:t>∂</m:t>
              </m:r>
              <m:r>
                <m:t>π</m:t>
              </m:r>
              <m:r>
                <m:rPr>
                  <m:sty m:val="p"/>
                </m:rPr>
                <m:t>/</m:t>
              </m:r>
              <m:r>
                <m:rPr>
                  <m:sty m:val="p"/>
                </m:rPr>
                <m:t>∂</m:t>
              </m:r>
              <m:r>
                <m:t>S</m:t>
              </m:r>
            </m:num>
            <m:den>
              <m:r>
                <m:t>λ</m:t>
              </m:r>
            </m:den>
          </m:f>
        </m:oMath>
      </m:oMathPara>
    </w:p>
    <w:p>
      <w:pPr>
        <w:pStyle w:val="FirstParagraph"/>
      </w:pPr>
      <w:r>
        <w:t xml:space="preserve">O primeiro termo,</w:t>
      </w:r>
      <w:r>
        <w:t xml:space="preserve"> </w:t>
      </w:r>
      <m:oMath>
        <m:r>
          <m:rPr>
            <m:sty m:val="p"/>
          </m:rPr>
          <m:t>∂</m:t>
        </m:r>
        <m:r>
          <m:t>G</m:t>
        </m:r>
        <m:r>
          <m:rPr>
            <m:sty m:val="p"/>
          </m:rPr>
          <m:t>/</m:t>
        </m:r>
        <m:r>
          <m:rPr>
            <m:sty m:val="p"/>
          </m:rPr>
          <m:t>∂</m:t>
        </m:r>
        <m:r>
          <m:t>S</m:t>
        </m:r>
      </m:oMath>
      <w:r>
        <w:t xml:space="preserve">, é a taxa marginal de crescimento do recurso — o</w:t>
      </w:r>
      <w:r>
        <w:t xml:space="preserve"> </w:t>
      </w:r>
      <w:r>
        <w:t xml:space="preserve">“juro biológico”</w:t>
      </w:r>
      <w:r>
        <w:t xml:space="preserve">. O segundo termo captura o efeito do estoque sobre os custos de extração. Se o estoque é grande e a taxa de crescimento biológico supera a taxa de juros de mercado, o ótimo econômico pode ser</w:t>
      </w:r>
      <w:r>
        <w:t xml:space="preserve"> </w:t>
      </w:r>
      <w:r>
        <w:rPr>
          <w:i/>
          <w:iCs/>
        </w:rPr>
        <w:t xml:space="preserve">mais conservador</w:t>
      </w:r>
      <w:r>
        <w:t xml:space="preserve"> </w:t>
      </w:r>
      <w:r>
        <w:t xml:space="preserve">que o RMS.</w:t>
      </w:r>
    </w:p>
    <w:bookmarkEnd w:id="1470"/>
    <w:bookmarkStart w:id="1471" w:name="X1214754fcb89af9b9e2d2d363c7f3a643f5f13e"/>
    <w:p>
      <w:pPr>
        <w:pStyle w:val="Heading4"/>
      </w:pPr>
      <w:r>
        <w:t xml:space="preserve">24.6.3 A regra de Hartwick: sustentabilidade e capital reprodutível</w:t>
      </w:r>
    </w:p>
    <w:p>
      <w:pPr>
        <w:pStyle w:val="FirstParagraph"/>
      </w:pPr>
      <w:r>
        <w:t xml:space="preserve">John Hartwick (1977) propôs uma regra elegante para economias dependentes de recursos exauríveis: se toda a</w:t>
      </w:r>
      <w:r>
        <w:t xml:space="preserve"> </w:t>
      </w:r>
      <w:r>
        <w:rPr>
          <w:b/>
          <w:bCs/>
        </w:rPr>
        <w:t xml:space="preserve">renda de escassez</w:t>
      </w:r>
      <w:r>
        <w:t xml:space="preserve"> </w:t>
      </w:r>
      <w:r>
        <w:t xml:space="preserve">(royalties) da extração de recursos naturais for investida em</w:t>
      </w:r>
      <w:r>
        <w:t xml:space="preserve"> </w:t>
      </w:r>
      <w:r>
        <w:rPr>
          <w:b/>
          <w:bCs/>
        </w:rPr>
        <w:t xml:space="preserve">capital reprodutível</w:t>
      </w:r>
      <w:r>
        <w:t xml:space="preserve"> </w:t>
      </w:r>
      <w:r>
        <w:t xml:space="preserve">(máquinas, infraestrutura, capital humano), o consumo per capita pode ser mantido constante indefinidamente.</w:t>
      </w:r>
    </w:p>
    <w:p>
      <w:pPr>
        <w:pStyle w:val="BodyText"/>
      </w:pPr>
      <w:r>
        <w:t xml:space="preserve">Formalmente, a</w:t>
      </w:r>
      <w:r>
        <w:t xml:space="preserve"> </w:t>
      </w:r>
      <w:r>
        <w:rPr>
          <w:b/>
          <w:bCs/>
        </w:rPr>
        <w:t xml:space="preserve">regra de Hartwick</w:t>
      </w:r>
      <w:r>
        <w:t xml:space="preserve"> </w:t>
      </w:r>
      <w:r>
        <w:t xml:space="preserve">estabelece:</w:t>
      </w:r>
    </w:p>
    <w:p>
      <w:pPr>
        <w:pStyle w:val="BodyText"/>
      </w:pPr>
      <m:oMathPara>
        <m:oMathParaPr>
          <m:jc m:val="center"/>
        </m:oMathParaPr>
        <m:oMath>
          <m:sSub>
            <m:e>
              <m:r>
                <m:t>I</m:t>
              </m:r>
            </m:e>
            <m:sub>
              <m:r>
                <m:t>K</m:t>
              </m:r>
            </m:sub>
          </m:sSub>
          <m:r>
            <m:rPr>
              <m:sty m:val="p"/>
            </m:rPr>
            <m:t>(</m:t>
          </m:r>
          <m:r>
            <m:t>t</m:t>
          </m:r>
          <m:r>
            <m:rPr>
              <m:sty m:val="p"/>
            </m:rPr>
            <m:t>)</m:t>
          </m:r>
          <m:r>
            <m:rPr>
              <m:sty m:val="p"/>
            </m:rPr>
            <m:t>=</m:t>
          </m:r>
          <m:sSub>
            <m:e>
              <m:r>
                <m:t>p</m:t>
              </m:r>
            </m:e>
            <m:sub>
              <m:r>
                <m:t>n</m:t>
              </m:r>
            </m:sub>
          </m:sSub>
          <m:r>
            <m:rPr>
              <m:sty m:val="p"/>
            </m:rPr>
            <m:t>(</m:t>
          </m:r>
          <m:r>
            <m:t>t</m:t>
          </m:r>
          <m:r>
            <m:rPr>
              <m:sty m:val="p"/>
            </m:rPr>
            <m:t>)</m:t>
          </m:r>
          <m:r>
            <m:rPr>
              <m:sty m:val="p"/>
            </m:rPr>
            <m:t>⋅</m:t>
          </m:r>
          <m:r>
            <m:t>h</m:t>
          </m:r>
          <m:r>
            <m:rPr>
              <m:sty m:val="p"/>
            </m:rPr>
            <m:t>(</m:t>
          </m:r>
          <m:r>
            <m:t>t</m:t>
          </m:r>
          <m:r>
            <m:rPr>
              <m:sty m:val="p"/>
            </m:rPr>
            <m:t>)</m:t>
          </m:r>
        </m:oMath>
      </m:oMathPara>
    </w:p>
    <w:p>
      <w:pPr>
        <w:pStyle w:val="FirstParagraph"/>
      </w:pPr>
      <w:r>
        <w:t xml:space="preserve">onde</w:t>
      </w:r>
      <w:r>
        <w:t xml:space="preserve"> </w:t>
      </w:r>
      <m:oMath>
        <m:sSub>
          <m:e>
            <m:r>
              <m:t>I</m:t>
            </m:r>
          </m:e>
          <m:sub>
            <m:r>
              <m:t>K</m:t>
            </m:r>
          </m:sub>
        </m:sSub>
      </m:oMath>
      <w:r>
        <w:t xml:space="preserve"> </w:t>
      </w:r>
      <w:r>
        <w:t xml:space="preserve">é o investimento líquido em capital reprodutível,</w:t>
      </w:r>
      <w:r>
        <w:t xml:space="preserve"> </w:t>
      </w:r>
      <m:oMath>
        <m:sSub>
          <m:e>
            <m:r>
              <m:t>p</m:t>
            </m:r>
          </m:e>
          <m:sub>
            <m:r>
              <m:t>n</m:t>
            </m:r>
          </m:sub>
        </m:sSub>
      </m:oMath>
      <w:r>
        <w:t xml:space="preserve"> </w:t>
      </w:r>
      <w:r>
        <w:t xml:space="preserve">é a renda de escassez (preço líquido) do recurso e</w:t>
      </w:r>
      <w:r>
        <w:t xml:space="preserve"> </w:t>
      </w:r>
      <m:oMath>
        <m:r>
          <m:t>h</m:t>
        </m:r>
      </m:oMath>
      <w:r>
        <w:t xml:space="preserve"> </w:t>
      </w:r>
      <w:r>
        <w:t xml:space="preserve">é a taxa de extração.</w:t>
      </w:r>
    </w:p>
    <w:p>
      <w:pPr>
        <w:pStyle w:val="BodyText"/>
      </w:pPr>
      <w:r>
        <w:t xml:space="preserve">A intuição é que o recurso natural é uma forma de</w:t>
      </w:r>
      <w:r>
        <w:t xml:space="preserve"> </w:t>
      </w:r>
      <w:r>
        <w:t xml:space="preserve">“capital natural”</w:t>
      </w:r>
      <w:r>
        <w:t xml:space="preserve">. Quando o extraímos, estamos</w:t>
      </w:r>
      <w:r>
        <w:t xml:space="preserve"> </w:t>
      </w:r>
      <w:r>
        <w:rPr>
          <w:i/>
          <w:iCs/>
        </w:rPr>
        <w:t xml:space="preserve">desinvestindo</w:t>
      </w:r>
      <w:r>
        <w:t xml:space="preserve"> </w:t>
      </w:r>
      <w:r>
        <w:t xml:space="preserve">em capital natural. Para manter a capacidade produtiva total da economia, esse desinvestimento precisa ser compensado por investimento equivalente em capital produzido pelo homem. É a ideia de</w:t>
      </w:r>
      <w:r>
        <w:t xml:space="preserve"> </w:t>
      </w:r>
      <w:r>
        <w:rPr>
          <w:b/>
          <w:bCs/>
        </w:rPr>
        <w:t xml:space="preserve">sustentabilidade fraca</w:t>
      </w:r>
      <w:r>
        <w:t xml:space="preserve">: manter o estoque</w:t>
      </w:r>
      <w:r>
        <w:t xml:space="preserve"> </w:t>
      </w:r>
      <w:r>
        <w:rPr>
          <w:i/>
          <w:iCs/>
        </w:rPr>
        <w:t xml:space="preserve">total</w:t>
      </w:r>
      <w:r>
        <w:t xml:space="preserve"> </w:t>
      </w:r>
      <w:r>
        <w:t xml:space="preserve">de capital (natural + produzido), permitindo substituição entre os dois.</w:t>
      </w:r>
    </w:p>
    <w:p>
      <w:pPr>
        <w:pStyle w:val="BlockText"/>
      </w:pPr>
      <w:r>
        <w:rPr>
          <w:b/>
          <w:bCs/>
        </w:rPr>
        <w:t xml:space="preserve">[DEFINICAO] Sustentabilidade fraca vs. forte</w:t>
      </w:r>
    </w:p>
    <w:p>
      <w:pPr>
        <w:pStyle w:val="BlockText"/>
      </w:pPr>
      <w:r>
        <w:rPr>
          <w:b/>
          <w:bCs/>
        </w:rPr>
        <w:t xml:space="preserve">Sustentabilidade fraca</w:t>
      </w:r>
      <w:r>
        <w:t xml:space="preserve">: o bem-estar pode ser mantido desde que o estoque</w:t>
      </w:r>
      <w:r>
        <w:t xml:space="preserve"> </w:t>
      </w:r>
      <w:r>
        <w:rPr>
          <w:i/>
          <w:iCs/>
        </w:rPr>
        <w:t xml:space="preserve">total</w:t>
      </w:r>
      <w:r>
        <w:t xml:space="preserve"> </w:t>
      </w:r>
      <w:r>
        <w:t xml:space="preserve">de capital (natural + produzido + humano) não decline. Permite substituição entre capital natural e produzido — devastar uma floresta é aceitável se a receita for investida em educação ou infraestrutura. Métrica: poupança genuína (ver 24.6.4).</w:t>
      </w:r>
    </w:p>
    <w:p>
      <w:pPr>
        <w:pStyle w:val="BlockText"/>
      </w:pPr>
      <w:r>
        <w:rPr>
          <w:b/>
          <w:bCs/>
        </w:rPr>
        <w:t xml:space="preserve">Sustentabilidade forte</w:t>
      </w:r>
      <w:r>
        <w:t xml:space="preserve">: requer a manutenção de um estoque</w:t>
      </w:r>
      <w:r>
        <w:t xml:space="preserve"> </w:t>
      </w:r>
      <w:r>
        <w:rPr>
          <w:i/>
          <w:iCs/>
        </w:rPr>
        <w:t xml:space="preserve">mínimo</w:t>
      </w:r>
      <w:r>
        <w:t xml:space="preserve"> </w:t>
      </w:r>
      <w:r>
        <w:t xml:space="preserve">de capital natural, reconhecendo que certas funções ecossistêmicas são</w:t>
      </w:r>
      <w:r>
        <w:t xml:space="preserve"> </w:t>
      </w:r>
      <w:r>
        <w:rPr>
          <w:b/>
          <w:bCs/>
        </w:rPr>
        <w:t xml:space="preserve">insubstituíveis</w:t>
      </w:r>
      <w:r>
        <w:t xml:space="preserve"> </w:t>
      </w:r>
      <w:r>
        <w:t xml:space="preserve">(camada de ozônio, biodiversidade genética, ciclo hidrológico). Mesmo investimentos maciços em capital produzido não podem substituir a perda de funções ecológicas críticas.</w:t>
      </w:r>
    </w:p>
    <w:bookmarkEnd w:id="1471"/>
    <w:bookmarkStart w:id="1473" w:name="contabilidade-verde-poupança-genuína"/>
    <w:p>
      <w:pPr>
        <w:pStyle w:val="Heading4"/>
      </w:pPr>
      <w:r>
        <w:t xml:space="preserve">24.6.4 Contabilidade verde: poupança genuína</w:t>
      </w:r>
    </w:p>
    <w:p>
      <w:pPr>
        <w:pStyle w:val="FirstParagraph"/>
      </w:pPr>
      <w:r>
        <w:t xml:space="preserve">O PIB convencional ignora a depleção de recursos naturais e a degradação ambiental. Uma economia que cresce devastando suas florestas e exaurindo seus aquíferos pode apresentar PIB crescente enquanto destrói sua base de capital natural — uma ilusão de prosperidade.</w:t>
      </w:r>
    </w:p>
    <w:p>
      <w:pPr>
        <w:pStyle w:val="BodyText"/>
      </w:pPr>
      <w:r>
        <w:t xml:space="preserve">O Banco Mundial desenvolveu o conceito de</w:t>
      </w:r>
      <w:r>
        <w:t xml:space="preserve"> </w:t>
      </w:r>
      <w:r>
        <w:rPr>
          <w:b/>
          <w:bCs/>
        </w:rPr>
        <w:t xml:space="preserve">poupança líquida ajustada</w:t>
      </w:r>
      <w:r>
        <w:t xml:space="preserve"> </w:t>
      </w:r>
      <w:r>
        <w:t xml:space="preserve">(</w:t>
      </w:r>
      <w:r>
        <w:rPr>
          <w:i/>
          <w:iCs/>
        </w:rPr>
        <w:t xml:space="preserve">adjusted net savings</w:t>
      </w:r>
      <w:r>
        <w:t xml:space="preserve"> </w:t>
      </w:r>
      <w:r>
        <w:t xml:space="preserve">ou</w:t>
      </w:r>
      <w:r>
        <w:t xml:space="preserve"> </w:t>
      </w:r>
      <w:r>
        <w:t xml:space="preserve">“poupança genuína”</w:t>
      </w:r>
      <w:r>
        <w:t xml:space="preserve">):</w:t>
      </w:r>
    </w:p>
    <w:p>
      <w:pPr>
        <w:pStyle w:val="BodyText"/>
      </w:pPr>
      <w:r>
        <w:t xml:space="preserve">$$
    S^* = S_{\text{bruta}} - D_K - D_N + E - P \label{eq:24.19} \tag{24.19}
    $$</w:t>
      </w:r>
    </w:p>
    <w:p>
      <w:pPr>
        <w:pStyle w:val="FirstParagraph"/>
      </w:pPr>
      <w:r>
        <w:t xml:space="preserve">onde:</w:t>
      </w:r>
    </w:p>
    <w:p>
      <w:pPr>
        <w:pStyle w:val="Compact"/>
        <w:numPr>
          <w:ilvl w:val="0"/>
          <w:numId w:val="2316"/>
        </w:numPr>
      </w:pPr>
      <m:oMath>
        <m:sSub>
          <m:e>
            <m:r>
              <m:t>S</m:t>
            </m:r>
          </m:e>
          <m:sub>
            <m:r>
              <m:rPr>
                <m:nor/>
                <m:sty m:val="p"/>
              </m:rPr>
              <m:t>bruta</m:t>
            </m:r>
          </m:sub>
        </m:sSub>
      </m:oMath>
      <w:r>
        <w:t xml:space="preserve"> </w:t>
      </w:r>
      <w:r>
        <w:t xml:space="preserve">é a poupança nacional bruta;</w:t>
      </w:r>
    </w:p>
    <w:p>
      <w:pPr>
        <w:pStyle w:val="Compact"/>
        <w:numPr>
          <w:ilvl w:val="0"/>
          <w:numId w:val="2316"/>
        </w:numPr>
      </w:pPr>
      <m:oMath>
        <m:sSub>
          <m:e>
            <m:r>
              <m:t>D</m:t>
            </m:r>
          </m:e>
          <m:sub>
            <m:r>
              <m:t>K</m:t>
            </m:r>
          </m:sub>
        </m:sSub>
      </m:oMath>
      <w:r>
        <w:t xml:space="preserve"> </w:t>
      </w:r>
      <w:r>
        <w:t xml:space="preserve">é a depreciação do capital produzido;</w:t>
      </w:r>
    </w:p>
    <w:p>
      <w:pPr>
        <w:pStyle w:val="Compact"/>
        <w:numPr>
          <w:ilvl w:val="0"/>
          <w:numId w:val="2316"/>
        </w:numPr>
      </w:pPr>
      <m:oMath>
        <m:sSub>
          <m:e>
            <m:r>
              <m:t>D</m:t>
            </m:r>
          </m:e>
          <m:sub>
            <m:r>
              <m:t>N</m:t>
            </m:r>
          </m:sub>
        </m:sSub>
      </m:oMath>
      <w:r>
        <w:t xml:space="preserve"> </w:t>
      </w:r>
      <w:r>
        <w:t xml:space="preserve">é a depleção de recursos naturais (energia, minerais, florestas);</w:t>
      </w:r>
    </w:p>
    <w:p>
      <w:pPr>
        <w:pStyle w:val="Compact"/>
        <w:numPr>
          <w:ilvl w:val="0"/>
          <w:numId w:val="2316"/>
        </w:numPr>
      </w:pPr>
      <m:oMath>
        <m:r>
          <m:t>E</m:t>
        </m:r>
      </m:oMath>
      <w:r>
        <w:t xml:space="preserve"> </w:t>
      </w:r>
      <w:r>
        <w:t xml:space="preserve">é o investimento em educação (formação de capital humano);</w:t>
      </w:r>
    </w:p>
    <w:p>
      <w:pPr>
        <w:pStyle w:val="Compact"/>
        <w:numPr>
          <w:ilvl w:val="0"/>
          <w:numId w:val="2316"/>
        </w:numPr>
      </w:pPr>
      <m:oMath>
        <m:r>
          <m:t>P</m:t>
        </m:r>
      </m:oMath>
      <w:r>
        <w:t xml:space="preserve"> </w:t>
      </w:r>
      <w:r>
        <w:t xml:space="preserve">é o dano por emissões de</w:t>
      </w:r>
      <w:r>
        <w:t xml:space="preserve"> </w:t>
      </w:r>
      <m:oMath>
        <m:sSub>
          <m:e>
            <m:r>
              <m:rPr>
                <m:nor/>
                <m:sty m:val="p"/>
              </m:rPr>
              <m:t>CO</m:t>
            </m:r>
          </m:e>
          <m:sub>
            <m:r>
              <m:t>2</m:t>
            </m:r>
          </m:sub>
        </m:sSub>
      </m:oMath>
      <w:r>
        <w:t xml:space="preserve"> </w:t>
      </w:r>
      <w:r>
        <w:t xml:space="preserve">e material particulado.</w:t>
      </w:r>
    </w:p>
    <w:p>
      <w:pPr>
        <w:pStyle w:val="FirstParagraph"/>
      </w:pPr>
      <w:r>
        <w:t xml:space="preserve">Se</w:t>
      </w:r>
      <w:r>
        <w:t xml:space="preserve"> </w:t>
      </w:r>
      <m:oMath>
        <m:sSup>
          <m:e>
            <m:r>
              <m:t>S</m:t>
            </m:r>
          </m:e>
          <m:sup>
            <m:r>
              <m:rPr>
                <m:sty m:val="p"/>
              </m:rPr>
              <m:t>*</m:t>
            </m:r>
          </m:sup>
        </m:sSup>
        <m:r>
          <m:rPr>
            <m:sty m:val="p"/>
          </m:rPr>
          <m:t>&lt;</m:t>
        </m:r>
        <m:r>
          <m:t>0</m:t>
        </m:r>
      </m:oMath>
      <w:r>
        <w:t xml:space="preserve">, a economia está efetivamente</w:t>
      </w:r>
      <w:r>
        <w:t xml:space="preserve"> </w:t>
      </w:r>
      <w:r>
        <w:rPr>
          <w:i/>
          <w:iCs/>
        </w:rPr>
        <w:t xml:space="preserve">consumindo</w:t>
      </w:r>
      <w:r>
        <w:t xml:space="preserve"> </w:t>
      </w:r>
      <w:r>
        <w:t xml:space="preserve">seu capital total — crescendo de forma insustentável.</w:t>
      </w:r>
    </w:p>
    <w:p>
      <w:pPr>
        <w:pStyle w:val="BlockText"/>
      </w:pPr>
      <w:r>
        <w:rPr>
          <w:b/>
          <w:bCs/>
        </w:rPr>
        <w:t xml:space="preserve">[BOX BRASIL] Box Brasil 24.2 — Amazônia, desmatamento e o custo econômico da destruição florestal</w:t>
      </w:r>
    </w:p>
    <w:p>
      <w:pPr>
        <w:pStyle w:val="BlockText"/>
      </w:pPr>
      <w:r>
        <w:rPr>
          <w:b/>
          <w:bCs/>
        </w:rPr>
        <w:t xml:space="preserve">Contexto:</w:t>
      </w:r>
      <w:r>
        <w:t xml:space="preserve"> </w:t>
      </w:r>
      <w:r>
        <w:t xml:space="preserve">A Amazônia brasileira, com ~5,5 milhões de km², abriga ~10% de todas as espécies do planeta e armazena ~150–200 bilhões de toneladas de carbono em sua biomassa. O desmatamento acumulado já eliminou ~20% da cobertura original.</w:t>
      </w:r>
    </w:p>
    <w:p>
      <w:pPr>
        <w:pStyle w:val="BlockText"/>
      </w:pPr>
      <w:r>
        <w:rPr>
          <w:b/>
          <w:bCs/>
        </w:rPr>
        <w:t xml:space="preserve">Dados:</w:t>
      </w:r>
      <w:r>
        <w:t xml:space="preserve"> </w:t>
      </w:r>
      <w:r>
        <w:t xml:space="preserve">O desmatamento na Amazônia Legal variou dramaticamente: ~27.772 km²/ano em 2004 (pico), ~4.571 km²/ano em 2012 (mínimo), ~13.235 km²/ano em 2021, caindo para ~9.001 km² em 2023 (dados PRODES/INPE). O custo social do carbono liberado pelo desmatamento é estimado em US$ 5–15 bilhões/ano (dependendo do SCC utilizado). Os serviços ecossistêmicos da Amazônia — regulação do ciclo de chuvas para o agronegócio do Centro-Sul, biodiversidade, regulação climática — são estimados em US$ 30–50 bilhões/ano por alguns estudos, embora essas estimativas sejam cercadas de incerteza.</w:t>
      </w:r>
    </w:p>
    <w:p>
      <w:pPr>
        <w:pStyle w:val="BlockText"/>
      </w:pPr>
      <w:r>
        <w:rPr>
          <w:b/>
          <w:bCs/>
        </w:rPr>
        <w:t xml:space="preserve">Análise:</w:t>
      </w:r>
      <w:r>
        <w:t xml:space="preserve"> </w:t>
      </w:r>
      <w:r>
        <w:t xml:space="preserve">Do ponto de vista da economia ambiental, o desmatamento da Amazônia é um caso extremo de divergência entre retorno privado e custo social. O retorno privado (pecuária extensiva, soja, grilagem de terras) é positivo para o desmatador — mas os custos sociais (perda de carbono, redução de chuvas, extinção de espécies, danos à saúde por queimadas) recaem sobre toda a sociedade brasileira e sobre o planeta. O Código Florestal (Lei 12.651/2012) exige que proprietários na Amazônia mantenham 80% de reserva legal, mas a fiscalização é insuficiente e a grilagem em terras públicas permanece generalizada. A economia ambiental sugere que a solução eficiente combina enforcement da legislação existente (punição ao desmatamento ilegal) com instrumentos econômicos que remunerem os serviços ecossistêmicos da floresta em pé — pagamentos por serviços ambientais (PSA), créditos de carbono por desmatamento evitado (REDD+) e acesso preferencial a mercados para produtos de desmatamento zero.</w:t>
      </w:r>
    </w:p>
    <w:p>
      <w:pPr>
        <w:pStyle w:val="BlockText"/>
      </w:pPr>
      <w:r>
        <w:rPr>
          <w:b/>
          <w:bCs/>
        </w:rPr>
        <w:t xml:space="preserve">Fonte:</w:t>
      </w:r>
      <w:r>
        <w:t xml:space="preserve"> </w:t>
      </w:r>
      <w:r>
        <w:t xml:space="preserve">INPE. 2024.</w:t>
      </w:r>
      <w:r>
        <w:t xml:space="preserve"> </w:t>
      </w:r>
      <w:hyperlink r:id="rId1472">
        <w:r>
          <w:rPr>
            <w:rStyle w:val="Hyperlink"/>
            <w:i/>
            <w:iCs/>
          </w:rPr>
          <w:t xml:space="preserve">PRODES — Monitoramento do desmatamento da Amazônia</w:t>
        </w:r>
      </w:hyperlink>
      <w:r>
        <w:t xml:space="preserve">. São José dos Campos: Instituto Nacional de Pesquisas Espaciais.</w:t>
      </w:r>
    </w:p>
    <w:p>
      <w:pPr>
        <w:pStyle w:val="BlockText"/>
      </w:pPr>
      <w:r>
        <w:rPr>
          <w:b/>
          <w:bCs/>
        </w:rPr>
        <w:t xml:space="preserve">[BOX BRASIL] Brasil na Prática — Quanto Vale a Amazônia em Pé?</w:t>
      </w:r>
    </w:p>
    <w:p>
      <w:pPr>
        <w:pStyle w:val="BlockText"/>
      </w:pPr>
      <w:r>
        <w:t xml:space="preserve">A pergunta soa absurda, mas é exatamente o tipo de questão que a economia ambiental precisa responder para orientar política pública. Estimativas variam enormemente conforme o método:</w:t>
      </w:r>
    </w:p>
    <w:p>
      <w:pPr>
        <w:pStyle w:val="BlockText"/>
      </w:pPr>
      <w:r>
        <w:rPr>
          <w:b/>
          <w:bCs/>
        </w:rPr>
        <w:t xml:space="preserve">Serviços ecossistêmicos (fluxo anual):</w:t>
      </w:r>
    </w:p>
    <w:p>
      <w:pPr>
        <w:pStyle w:val="Compact"/>
        <w:numPr>
          <w:ilvl w:val="0"/>
          <w:numId w:val="2317"/>
        </w:numPr>
      </w:pPr>
      <w:r>
        <w:rPr>
          <w:i/>
          <w:iCs/>
        </w:rPr>
        <w:t xml:space="preserve">Regulação climática</w:t>
      </w:r>
      <w:r>
        <w:t xml:space="preserve"> </w:t>
      </w:r>
      <w:r>
        <w:t xml:space="preserve">(sequestro de carbono): ~150–200 GtC armazenadas × SCC de US$ 50–190/tCO₂e. O valor do</w:t>
      </w:r>
      <w:r>
        <w:t xml:space="preserve"> </w:t>
      </w:r>
      <w:r>
        <w:rPr>
          <w:i/>
          <w:iCs/>
        </w:rPr>
        <w:t xml:space="preserve">estoque</w:t>
      </w:r>
      <w:r>
        <w:t xml:space="preserve"> </w:t>
      </w:r>
      <w:r>
        <w:t xml:space="preserve">de carbono amazônico situa-se entre US$ 27 e US$ 139 trilhões — faixa enorme que reflete a incerteza sobre o custo social do carbono (Seção 24.3.4)</w:t>
      </w:r>
    </w:p>
    <w:p>
      <w:pPr>
        <w:pStyle w:val="Compact"/>
        <w:numPr>
          <w:ilvl w:val="0"/>
          <w:numId w:val="2317"/>
        </w:numPr>
      </w:pPr>
      <w:r>
        <w:rPr>
          <w:i/>
          <w:iCs/>
        </w:rPr>
        <w:t xml:space="preserve">Regulação hídrica</w:t>
      </w:r>
      <w:r>
        <w:t xml:space="preserve"> </w:t>
      </w:r>
      <w:r>
        <w:t xml:space="preserve">(</w:t>
      </w:r>
      <w:r>
        <w:t xml:space="preserve">“rios voadores”</w:t>
      </w:r>
      <w:r>
        <w:t xml:space="preserve">): a evapotranspiração amazônica exporta ~20 bilhões de toneladas de vapor d’água por dia, sustentando as chuvas do Centro-Oeste. Sem estimativa consolidada de valor, mas o agronegócio da região fatura ~R$ 800 bilhões/ano — uma fração significativa depende diretamente dessa umidade</w:t>
      </w:r>
    </w:p>
    <w:p>
      <w:pPr>
        <w:pStyle w:val="Compact"/>
        <w:numPr>
          <w:ilvl w:val="0"/>
          <w:numId w:val="2317"/>
        </w:numPr>
      </w:pPr>
      <w:r>
        <w:rPr>
          <w:i/>
          <w:iCs/>
        </w:rPr>
        <w:t xml:space="preserve">Biodiversidade</w:t>
      </w:r>
      <w:r>
        <w:t xml:space="preserve"> </w:t>
      </w:r>
      <w:r>
        <w:t xml:space="preserve">(bioprospecção e valor de opção): estimativas sugerem US$ 0,3–3 bilhões/ano em valor potencial de bioprospecção, mas o</w:t>
      </w:r>
      <w:r>
        <w:t xml:space="preserve"> </w:t>
      </w:r>
      <w:r>
        <w:t xml:space="preserve">“valor de opção”</w:t>
      </w:r>
      <w:r>
        <w:t xml:space="preserve"> </w:t>
      </w:r>
      <w:r>
        <w:t xml:space="preserve">— usos futuros ainda desconhecidos — é, por definição, imenso e não quantificável</w:t>
      </w:r>
    </w:p>
    <w:p>
      <w:pPr>
        <w:pStyle w:val="BlockText"/>
      </w:pPr>
      <w:r>
        <w:rPr>
          <w:b/>
          <w:bCs/>
        </w:rPr>
        <w:t xml:space="preserve">O paradoxo:</w:t>
      </w:r>
      <w:r>
        <w:t xml:space="preserve"> </w:t>
      </w:r>
      <w:r>
        <w:t xml:space="preserve">O PIB do estado do Amazonas é ~R$ 130 bilhões/ano (2023). A floresta em pé gera serviços ecossistêmicos ordens de magnitude maiores — mas esses serviços não têm preço de mercado. É o maior caso de externalidade positiva não precificada do planeta.</w:t>
      </w:r>
    </w:p>
    <w:p>
      <w:pPr>
        <w:pStyle w:val="BlockText"/>
      </w:pPr>
      <w:r>
        <w:rPr>
          <w:b/>
          <w:bCs/>
        </w:rPr>
        <w:t xml:space="preserve">Conexão teórica:</w:t>
      </w:r>
      <w:r>
        <w:t xml:space="preserve"> </w:t>
      </w:r>
      <w:r>
        <w:t xml:space="preserve">Este é o problema clássico do Cap 20 (bens públicos) combinado com o Cap 24 (valoração): a Amazônia é um bem público global com externalidades positivas que nenhum país individualmente tem incentivo para proteger na escala ótima. A solução passa por pagamentos internacionais por serviços ambientais — exatamente o mecanismo do Fundo Amazônia (ver box anterior).</w:t>
      </w:r>
    </w:p>
    <w:p>
      <w:pPr>
        <w:pStyle w:val="BlockText"/>
      </w:pPr>
      <w:r>
        <w:rPr>
          <w:b/>
          <w:bCs/>
        </w:rPr>
        <w:t xml:space="preserve">Fonte:</w:t>
      </w:r>
      <w:r>
        <w:t xml:space="preserve"> </w:t>
      </w:r>
      <w:r>
        <w:t xml:space="preserve">Costanza, R. et al. (2014). Changes in the global value of ecosystem services.</w:t>
      </w:r>
      <w:r>
        <w:t xml:space="preserve"> </w:t>
      </w:r>
      <w:r>
        <w:rPr>
          <w:i/>
          <w:iCs/>
        </w:rPr>
        <w:t xml:space="preserve">Global Environmental Change</w:t>
      </w:r>
      <w:r>
        <w:t xml:space="preserve">, 26, 152–158. Nobre, C.A. et al. (2016). Land-use and climate change risks in the Amazon.</w:t>
      </w:r>
      <w:r>
        <w:t xml:space="preserve"> </w:t>
      </w:r>
      <w:r>
        <w:rPr>
          <w:i/>
          <w:iCs/>
        </w:rPr>
        <w:t xml:space="preserve">PNAS</w:t>
      </w:r>
      <w:r>
        <w:t xml:space="preserve">, 113(39), 10759–10768.</w:t>
      </w:r>
    </w:p>
    <w:bookmarkEnd w:id="1473"/>
    <w:bookmarkStart w:id="1476" w:name="X25895a64a35a3e8b701f5148c5d911b197a97dd"/>
    <w:p>
      <w:pPr>
        <w:pStyle w:val="Heading4"/>
      </w:pPr>
      <w:r>
        <w:t xml:space="preserve">24.6.5 Tragédia dos comuns revisitada: pescarias e florestas</w:t>
      </w:r>
    </w:p>
    <w:p>
      <w:pPr>
        <w:pStyle w:val="FirstParagraph"/>
      </w:pPr>
      <w:r>
        <w:t xml:space="preserve">Garrett Hardin (1968) cunhou a expressão</w:t>
      </w:r>
      <w:r>
        <w:t xml:space="preserve"> </w:t>
      </w:r>
      <w:r>
        <w:t xml:space="preserve">“tragédia dos comuns”</w:t>
      </w:r>
      <w:r>
        <w:t xml:space="preserve"> </w:t>
      </w:r>
      <w:r>
        <w:t xml:space="preserve">para descrever a sobreexploração de recursos de acesso livre. No Capítulo 20, formalizamos o problema: sem direitos de propriedade ou regulação, cada usuário ignora o custo que sua extração impõe aos demais, levando à depleção do recurso.</w:t>
      </w:r>
    </w:p>
    <w:p>
      <w:pPr>
        <w:pStyle w:val="BodyText"/>
      </w:pPr>
      <w:r>
        <w:t xml:space="preserve">O caso das</w:t>
      </w:r>
      <w:r>
        <w:t xml:space="preserve"> </w:t>
      </w:r>
      <w:r>
        <w:rPr>
          <w:b/>
          <w:bCs/>
        </w:rPr>
        <w:t xml:space="preserve">pescarias</w:t>
      </w:r>
      <w:r>
        <w:t xml:space="preserve"> </w:t>
      </w:r>
      <w:r>
        <w:t xml:space="preserve">é emblemático. A FAO estima que ~35% dos estoques pesqueiros mundiais estão sobre-explorados (2022). O modelo bioeconômico padrão — desenvolvido por Gordon (1954) e Schaefer (1957) — mostra que o acesso livre leva à dissipação total da renda econômica do recurso: a pesca continua até que a receita média iguale o custo — o ponto em que o lucro econômico é zero, mas o estoque de peixes é subótimo.</w:t>
      </w:r>
    </w:p>
    <w:p>
      <w:pPr>
        <w:pStyle w:val="BodyText"/>
      </w:pPr>
      <w:r>
        <w:t xml:space="preserve">A solução econômica eficiente para pescarias envolve restringir o acesso ao recurso, e os instrumentos são análogos aos da política de poluição:</w:t>
      </w:r>
    </w:p>
    <w:p>
      <w:pPr>
        <w:pStyle w:val="Compact"/>
        <w:numPr>
          <w:ilvl w:val="0"/>
          <w:numId w:val="2318"/>
        </w:numPr>
      </w:pPr>
      <w:r>
        <w:rPr>
          <w:b/>
          <w:bCs/>
        </w:rPr>
        <w:t xml:space="preserve">Comando e controle</w:t>
      </w:r>
      <w:r>
        <w:t xml:space="preserve">: quotas de captura, fechamento de estações, restrições de equipamento.</w:t>
      </w:r>
    </w:p>
    <w:p>
      <w:pPr>
        <w:pStyle w:val="Compact"/>
        <w:numPr>
          <w:ilvl w:val="0"/>
          <w:numId w:val="2318"/>
        </w:numPr>
      </w:pPr>
      <w:r>
        <w:rPr>
          <w:b/>
          <w:bCs/>
        </w:rPr>
        <w:t xml:space="preserve">Instrumentos de mercado</w:t>
      </w:r>
      <w:r>
        <w:t xml:space="preserve">:</w:t>
      </w:r>
      <w:r>
        <w:t xml:space="preserve"> </w:t>
      </w:r>
      <w:r>
        <w:rPr>
          <w:b/>
          <w:bCs/>
        </w:rPr>
        <w:t xml:space="preserve">quotas individuais transferíveis</w:t>
      </w:r>
      <w:r>
        <w:t xml:space="preserve"> </w:t>
      </w:r>
      <w:r>
        <w:t xml:space="preserve">(ITQs —</w:t>
      </w:r>
      <w:r>
        <w:t xml:space="preserve"> </w:t>
      </w:r>
      <w:r>
        <w:rPr>
          <w:i/>
          <w:iCs/>
        </w:rPr>
        <w:t xml:space="preserve">Individual Transferable Quotas</w:t>
      </w:r>
      <w:r>
        <w:t xml:space="preserve">) — cada pescador recebe uma quota que pode vender ou comprar. O mercado de quotas funciona como um cap-and-trade para peixes, equalizando custos marginais de pesca e gerando eficiência.</w:t>
      </w:r>
    </w:p>
    <w:p>
      <w:pPr>
        <w:pStyle w:val="FirstParagraph"/>
      </w:pPr>
      <w:r>
        <w:t xml:space="preserve">A Nova Zelândia foi pioneira na implementação de ITQs em 1986, com resultados positivos: estoques pesqueiros se recuperaram e a renda econômica da pesca aumentou significativamente. A Islândia, Austrália e partes dos EUA seguiram com sistemas similares.</w:t>
      </w:r>
    </w:p>
    <w:p>
      <w:pPr>
        <w:pStyle w:val="BodyText"/>
      </w:pPr>
      <w:r>
        <w:t xml:space="preserve">Por que a temperatura do planeta subiu mais de 1,1°C? Por que empresas poluem demais? Por que é tão difícil proteger florestas? Começamos este capítulo com essas perguntas — e agora você tem as ferramentas para respondê-las: externalidades não precificadas, bens públicos globais, taxas de desconto que determinam o peso do futuro, e mercados de carbono que tentam colocar preço no invisível. A microeconomia não resolve sozinha a crise climática, mas sem ela, nem sabemos por onde começar.</w:t>
      </w:r>
    </w:p>
    <w:p>
      <w:pPr>
        <w:pStyle w:val="BodyText"/>
      </w:pPr>
      <w:r>
        <w:rPr>
          <w:i/>
          <w:iCs/>
        </w:rPr>
        <w:t xml:space="preserve">Mudanças climáticas, mercados de carbono, valoração ambiental — a microeconomia encontra seus limites e suas maiores responsabilidades. O resto é com você.</w:t>
      </w:r>
    </w:p>
    <w:p>
      <w:pPr>
        <w:pStyle w:val="BlockText"/>
      </w:pPr>
      <w:r>
        <w:rPr>
          <w:b/>
          <w:bCs/>
        </w:rPr>
        <w:t xml:space="preserve">[DICA] Dados para exercícios empíricos</w:t>
      </w:r>
    </w:p>
    <w:p>
      <w:pPr>
        <w:pStyle w:val="Compact"/>
        <w:numPr>
          <w:ilvl w:val="0"/>
          <w:numId w:val="2319"/>
        </w:numPr>
      </w:pPr>
      <w:r>
        <w:rPr>
          <w:b/>
          <w:bCs/>
        </w:rPr>
        <w:t xml:space="preserve">INPE/PRODES (desmatamento na Amazônia):</w:t>
      </w:r>
      <w:r>
        <w:t xml:space="preserve"> </w:t>
      </w:r>
      <w:hyperlink r:id="rId1474">
        <w:r>
          <w:rPr>
            <w:rStyle w:val="Hyperlink"/>
          </w:rPr>
          <w:t xml:space="preserve">terrabrasilis.dpi.inpe.br</w:t>
        </w:r>
      </w:hyperlink>
    </w:p>
    <w:p>
      <w:pPr>
        <w:pStyle w:val="Compact"/>
        <w:numPr>
          <w:ilvl w:val="0"/>
          <w:numId w:val="2319"/>
        </w:numPr>
      </w:pPr>
      <w:r>
        <w:rPr>
          <w:b/>
          <w:bCs/>
        </w:rPr>
        <w:t xml:space="preserve">SEEG (emissões de GEE do Brasil):</w:t>
      </w:r>
      <w:r>
        <w:t xml:space="preserve"> </w:t>
      </w:r>
      <w:hyperlink r:id="rId1475">
        <w:r>
          <w:rPr>
            <w:rStyle w:val="Hyperlink"/>
          </w:rPr>
          <w:t xml:space="preserve">seeg.eco.br</w:t>
        </w:r>
      </w:hyperlink>
    </w:p>
    <w:p>
      <w:pPr>
        <w:pStyle w:val="Compact"/>
        <w:numPr>
          <w:ilvl w:val="0"/>
          <w:numId w:val="2319"/>
        </w:numPr>
      </w:pPr>
      <w:r>
        <w:rPr>
          <w:b/>
          <w:bCs/>
        </w:rPr>
        <w:t xml:space="preserve">SIDRA/IBGE (contas ambientais):</w:t>
      </w:r>
      <w:r>
        <w:t xml:space="preserve"> </w:t>
      </w:r>
      <w:hyperlink r:id="rId168">
        <w:r>
          <w:rPr>
            <w:rStyle w:val="Hyperlink"/>
          </w:rPr>
          <w:t xml:space="preserve">sidra.ibge.gov.br</w:t>
        </w:r>
      </w:hyperlink>
    </w:p>
    <w:p>
      <w:pPr>
        <w:pStyle w:val="Compact"/>
        <w:numPr>
          <w:ilvl w:val="0"/>
          <w:numId w:val="2319"/>
        </w:numPr>
      </w:pPr>
      <w:r>
        <w:rPr>
          <w:b/>
          <w:bCs/>
        </w:rPr>
        <w:t xml:space="preserve">IPEADATA (indicadores ambientais):</w:t>
      </w:r>
      <w:r>
        <w:t xml:space="preserve"> </w:t>
      </w:r>
      <w:hyperlink r:id="rId270">
        <w:r>
          <w:rPr>
            <w:rStyle w:val="Hyperlink"/>
          </w:rPr>
          <w:t xml:space="preserve">ipeadata.gov.br</w:t>
        </w:r>
      </w:hyperlink>
    </w:p>
    <w:bookmarkEnd w:id="1476"/>
    <w:bookmarkEnd w:id="1477"/>
    <w:bookmarkStart w:id="1478" w:name="revisão-rápida-23"/>
    <w:p>
      <w:pPr>
        <w:pStyle w:val="Heading3"/>
      </w:pPr>
      <w:r>
        <w:t xml:space="preserve">Revisão rápida</w:t>
      </w:r>
    </w:p>
    <w:p>
      <w:pPr>
        <w:pStyle w:val="BlockText"/>
      </w:pPr>
      <w:r>
        <w:rPr>
          <w:b/>
          <w:bCs/>
        </w:rPr>
        <w:t xml:space="preserve">[QUESTAO] 1. A principal vantagem de instrumentos de mercado (imposto/cap-and-trade) sobre regulação de comando e controle é:</w:t>
      </w:r>
    </w:p>
    <w:p>
      <w:pPr>
        <w:pStyle w:val="Compact"/>
        <w:numPr>
          <w:ilvl w:val="0"/>
          <w:numId w:val="2320"/>
        </w:numPr>
      </w:pPr>
    </w:p>
    <w:p>
      <w:pPr>
        <w:pStyle w:val="Compact"/>
        <w:numPr>
          <w:ilvl w:val="1"/>
          <w:numId w:val="2321"/>
        </w:numPr>
      </w:pPr>
      <w:r>
        <w:t xml:space="preserve">Instrumentos de mercado eliminam completamente a poluição</w:t>
      </w:r>
    </w:p>
    <w:p>
      <w:pPr>
        <w:pStyle w:val="Compact"/>
        <w:numPr>
          <w:ilvl w:val="0"/>
          <w:numId w:val="2320"/>
        </w:numPr>
      </w:pPr>
    </w:p>
    <w:p>
      <w:pPr>
        <w:pStyle w:val="Compact"/>
        <w:numPr>
          <w:ilvl w:val="1"/>
          <w:numId w:val="2322"/>
        </w:numPr>
      </w:pPr>
      <w:r>
        <w:t xml:space="preserve">Instrumentos de mercado atingem a meta de redução ao menor custo total, igualando custos marginais de abatimento entre firmas</w:t>
      </w:r>
    </w:p>
    <w:p>
      <w:pPr>
        <w:pStyle w:val="Compact"/>
        <w:numPr>
          <w:ilvl w:val="0"/>
          <w:numId w:val="2320"/>
        </w:numPr>
      </w:pPr>
    </w:p>
    <w:p>
      <w:pPr>
        <w:pStyle w:val="Compact"/>
        <w:numPr>
          <w:ilvl w:val="1"/>
          <w:numId w:val="2323"/>
        </w:numPr>
      </w:pPr>
      <w:r>
        <w:t xml:space="preserve">Instrumentos de mercado não requerem monitoramento das emissões</w:t>
      </w:r>
    </w:p>
    <w:p>
      <w:pPr>
        <w:pStyle w:val="Compact"/>
        <w:numPr>
          <w:ilvl w:val="0"/>
          <w:numId w:val="2320"/>
        </w:numPr>
      </w:pPr>
    </w:p>
    <w:p>
      <w:pPr>
        <w:pStyle w:val="Compact"/>
        <w:numPr>
          <w:ilvl w:val="1"/>
          <w:numId w:val="2324"/>
        </w:numPr>
      </w:pPr>
      <w:r>
        <w:t xml:space="preserve">Instrumentos de mercado são mais fáceis de implementar politicamente</w:t>
      </w:r>
    </w:p>
    <w:p>
      <w:pPr>
        <w:pStyle w:val="BlockText"/>
      </w:pPr>
      <w:r>
        <w:t xml:space="preserve">??? success</w:t>
      </w:r>
      <w:r>
        <w:t xml:space="preserve"> </w:t>
      </w:r>
      <w:r>
        <w:t xml:space="preserve">“Resposta”</w:t>
      </w:r>
      <w:r>
        <w:t xml:space="preserve"> </w:t>
      </w:r>
      <w:r>
        <w:rPr>
          <w:b/>
          <w:bCs/>
        </w:rPr>
        <w:t xml:space="preserve">(b)</w:t>
      </w:r>
      <w:r>
        <w:t xml:space="preserve"> </w:t>
      </w:r>
      <w:r>
        <w:t xml:space="preserve">A eficiência de custos é a vantagem central: ao criar um preço uniforme para as emissões, instrumentos de mercado permitem que firmas com custos de abatimento mais baixos façam mais redução — minimizando o custo total para a sociedade. A alternativa (a) é falsa — ambos reduzem, não eliminam; (c) é falsa — ambos requerem monitoramento; (d) é discutível e não é a principal vantagem teórica.</w:t>
      </w:r>
    </w:p>
    <w:p>
      <w:pPr>
        <w:pStyle w:val="BlockText"/>
      </w:pPr>
      <w:r>
        <w:rPr>
          <w:b/>
          <w:bCs/>
        </w:rPr>
        <w:t xml:space="preserve">[QUESTAO] 2. Segundo Weitzman (1974), o regulador deve preferir instrumentos de quantidade (cap) a instrumentos de preço (imposto) quando:</w:t>
      </w:r>
    </w:p>
    <w:p>
      <w:pPr>
        <w:pStyle w:val="Compact"/>
        <w:numPr>
          <w:ilvl w:val="0"/>
          <w:numId w:val="2325"/>
        </w:numPr>
      </w:pPr>
    </w:p>
    <w:p>
      <w:pPr>
        <w:pStyle w:val="Compact"/>
        <w:numPr>
          <w:ilvl w:val="1"/>
          <w:numId w:val="2326"/>
        </w:numPr>
      </w:pPr>
      <w:r>
        <w:t xml:space="preserve">Os custos de abatimento das firmas são desconhecidos</w:t>
      </w:r>
    </w:p>
    <w:p>
      <w:pPr>
        <w:pStyle w:val="Compact"/>
        <w:numPr>
          <w:ilvl w:val="0"/>
          <w:numId w:val="2325"/>
        </w:numPr>
      </w:pPr>
    </w:p>
    <w:p>
      <w:pPr>
        <w:pStyle w:val="Compact"/>
        <w:numPr>
          <w:ilvl w:val="1"/>
          <w:numId w:val="2327"/>
        </w:numPr>
      </w:pPr>
      <w:r>
        <w:t xml:space="preserve">A curva de dano marginal é relativamente plana</w:t>
      </w:r>
    </w:p>
    <w:p>
      <w:pPr>
        <w:pStyle w:val="Compact"/>
        <w:numPr>
          <w:ilvl w:val="0"/>
          <w:numId w:val="2325"/>
        </w:numPr>
      </w:pPr>
    </w:p>
    <w:p>
      <w:pPr>
        <w:pStyle w:val="Compact"/>
        <w:numPr>
          <w:ilvl w:val="1"/>
          <w:numId w:val="2328"/>
        </w:numPr>
      </w:pPr>
      <w:r>
        <w:t xml:space="preserve">A curva de dano marginal é muito inclinada (existem limiares catastróficos)</w:t>
      </w:r>
    </w:p>
    <w:p>
      <w:pPr>
        <w:pStyle w:val="Compact"/>
        <w:numPr>
          <w:ilvl w:val="0"/>
          <w:numId w:val="2325"/>
        </w:numPr>
      </w:pPr>
    </w:p>
    <w:p>
      <w:pPr>
        <w:pStyle w:val="Compact"/>
        <w:numPr>
          <w:ilvl w:val="1"/>
          <w:numId w:val="2329"/>
        </w:numPr>
      </w:pPr>
      <w:r>
        <w:t xml:space="preserve">As firmas são homogêneas</w:t>
      </w:r>
    </w:p>
    <w:p>
      <w:pPr>
        <w:pStyle w:val="BlockText"/>
      </w:pPr>
      <w:r>
        <w:t xml:space="preserve">??? success</w:t>
      </w:r>
      <w:r>
        <w:t xml:space="preserve"> </w:t>
      </w:r>
      <w:r>
        <w:t xml:space="preserve">“Resposta”</w:t>
      </w:r>
      <w:r>
        <w:t xml:space="preserve"> </w:t>
      </w:r>
      <w:r>
        <w:rPr>
          <w:b/>
          <w:bCs/>
        </w:rPr>
        <w:t xml:space="preserve">(c)</w:t>
      </w:r>
      <w:r>
        <w:t xml:space="preserve"> </w:t>
      </w:r>
      <w:r>
        <w:t xml:space="preserve">Quando a curva de dano marginal é muito inclinada (grande variação no dano para pequenas variações na quantidade de emissões), errar na quantidade é muito custoso — portanto é preferível fixar a quantidade (cap) e aceitar volatilidade no preço. A alternativa (b) é o caso em que o imposto (preço) é preferível.</w:t>
      </w:r>
    </w:p>
    <w:p>
      <w:pPr>
        <w:pStyle w:val="BlockText"/>
      </w:pPr>
      <w:r>
        <w:rPr>
          <w:b/>
          <w:bCs/>
        </w:rPr>
        <w:t xml:space="preserve">[QUESTAO] 3. O custo social do carbono (SCC) é:</w:t>
      </w:r>
    </w:p>
    <w:p>
      <w:pPr>
        <w:pStyle w:val="Compact"/>
        <w:numPr>
          <w:ilvl w:val="0"/>
          <w:numId w:val="2330"/>
        </w:numPr>
      </w:pPr>
    </w:p>
    <w:p>
      <w:pPr>
        <w:pStyle w:val="Compact"/>
        <w:numPr>
          <w:ilvl w:val="1"/>
          <w:numId w:val="2331"/>
        </w:numPr>
      </w:pPr>
      <w:r>
        <w:t xml:space="preserve">O custo de produção de uma tonelada de CO₂</w:t>
      </w:r>
    </w:p>
    <w:p>
      <w:pPr>
        <w:pStyle w:val="Compact"/>
        <w:numPr>
          <w:ilvl w:val="0"/>
          <w:numId w:val="2330"/>
        </w:numPr>
      </w:pPr>
    </w:p>
    <w:p>
      <w:pPr>
        <w:pStyle w:val="Compact"/>
        <w:numPr>
          <w:ilvl w:val="1"/>
          <w:numId w:val="2332"/>
        </w:numPr>
      </w:pPr>
      <w:r>
        <w:t xml:space="preserve">O preço de mercado do CO₂ no EU ETS</w:t>
      </w:r>
    </w:p>
    <w:p>
      <w:pPr>
        <w:pStyle w:val="Compact"/>
        <w:numPr>
          <w:ilvl w:val="0"/>
          <w:numId w:val="2330"/>
        </w:numPr>
      </w:pPr>
    </w:p>
    <w:p>
      <w:pPr>
        <w:pStyle w:val="Compact"/>
        <w:numPr>
          <w:ilvl w:val="1"/>
          <w:numId w:val="2333"/>
        </w:numPr>
      </w:pPr>
      <w:r>
        <w:t xml:space="preserve">O valor presente dos danos futuros causados pela emissão de uma tonelada adicional de CO₂</w:t>
      </w:r>
    </w:p>
    <w:p>
      <w:pPr>
        <w:pStyle w:val="Compact"/>
        <w:numPr>
          <w:ilvl w:val="0"/>
          <w:numId w:val="2330"/>
        </w:numPr>
      </w:pPr>
    </w:p>
    <w:p>
      <w:pPr>
        <w:pStyle w:val="Compact"/>
        <w:numPr>
          <w:ilvl w:val="1"/>
          <w:numId w:val="2334"/>
        </w:numPr>
      </w:pPr>
      <w:r>
        <w:t xml:space="preserve">O custo de capturar e armazenar uma tonelada de CO₂</w:t>
      </w:r>
    </w:p>
    <w:p>
      <w:pPr>
        <w:pStyle w:val="BlockText"/>
      </w:pPr>
      <w:r>
        <w:t xml:space="preserve">??? success</w:t>
      </w:r>
      <w:r>
        <w:t xml:space="preserve"> </w:t>
      </w:r>
      <w:r>
        <w:t xml:space="preserve">“Resposta”</w:t>
      </w:r>
      <w:r>
        <w:t xml:space="preserve"> </w:t>
      </w:r>
      <w:r>
        <w:rPr>
          <w:b/>
          <w:bCs/>
        </w:rPr>
        <w:t xml:space="preserve">(c)</w:t>
      </w:r>
      <w:r>
        <w:t xml:space="preserve"> </w:t>
      </w:r>
      <w:r>
        <w:t xml:space="preserve">O SCC é o dano total (presente e futuro, global) de uma tonelada adicional de emissão, descontado a valor presente. Equivale ao imposto pigouviano ótimo sobre carbono. A alternativa (b) é o preço de mercado, que pode ou não se aproximar do SCC; (d) é o custo de abatimento via CCS, que é diferente do custo do dano.</w:t>
      </w:r>
    </w:p>
    <w:p>
      <w:pPr>
        <w:pStyle w:val="BlockText"/>
      </w:pPr>
      <w:r>
        <w:rPr>
          <w:b/>
          <w:bCs/>
        </w:rPr>
        <w:t xml:space="preserve">[QUESTAO] 4. A regra de Hartwick estabelece que uma economia dependente de recursos exauríveis pode manter o consumo constante se:</w:t>
      </w:r>
    </w:p>
    <w:p>
      <w:pPr>
        <w:pStyle w:val="Compact"/>
        <w:numPr>
          <w:ilvl w:val="0"/>
          <w:numId w:val="2335"/>
        </w:numPr>
      </w:pPr>
    </w:p>
    <w:p>
      <w:pPr>
        <w:pStyle w:val="Compact"/>
        <w:numPr>
          <w:ilvl w:val="1"/>
          <w:numId w:val="2336"/>
        </w:numPr>
      </w:pPr>
      <w:r>
        <w:t xml:space="preserve">Reduzir a taxa de extração a zero</w:t>
      </w:r>
    </w:p>
    <w:p>
      <w:pPr>
        <w:pStyle w:val="Compact"/>
        <w:numPr>
          <w:ilvl w:val="0"/>
          <w:numId w:val="2335"/>
        </w:numPr>
      </w:pPr>
    </w:p>
    <w:p>
      <w:pPr>
        <w:pStyle w:val="Compact"/>
        <w:numPr>
          <w:ilvl w:val="1"/>
          <w:numId w:val="2337"/>
        </w:numPr>
      </w:pPr>
      <w:r>
        <w:t xml:space="preserve">Investir toda a renda de escassez (royalties) dos recursos naturais em capital reprodutível</w:t>
      </w:r>
    </w:p>
    <w:p>
      <w:pPr>
        <w:pStyle w:val="Compact"/>
        <w:numPr>
          <w:ilvl w:val="0"/>
          <w:numId w:val="2335"/>
        </w:numPr>
      </w:pPr>
    </w:p>
    <w:p>
      <w:pPr>
        <w:pStyle w:val="Compact"/>
        <w:numPr>
          <w:ilvl w:val="1"/>
          <w:numId w:val="2338"/>
        </w:numPr>
      </w:pPr>
      <w:r>
        <w:t xml:space="preserve">Substituir recursos não renováveis por renováveis</w:t>
      </w:r>
    </w:p>
    <w:p>
      <w:pPr>
        <w:pStyle w:val="Compact"/>
        <w:numPr>
          <w:ilvl w:val="0"/>
          <w:numId w:val="2335"/>
        </w:numPr>
      </w:pPr>
    </w:p>
    <w:p>
      <w:pPr>
        <w:pStyle w:val="Compact"/>
        <w:numPr>
          <w:ilvl w:val="1"/>
          <w:numId w:val="2339"/>
        </w:numPr>
      </w:pPr>
      <w:r>
        <w:t xml:space="preserve">Manter o estoque de recursos naturais constante</w:t>
      </w:r>
    </w:p>
    <w:p>
      <w:pPr>
        <w:pStyle w:val="BlockText"/>
      </w:pPr>
      <w:r>
        <w:t xml:space="preserve">??? success</w:t>
      </w:r>
      <w:r>
        <w:t xml:space="preserve"> </w:t>
      </w:r>
      <w:r>
        <w:t xml:space="preserve">“Resposta”</w:t>
      </w:r>
      <w:r>
        <w:t xml:space="preserve"> </w:t>
      </w:r>
      <w:r>
        <w:rPr>
          <w:b/>
          <w:bCs/>
        </w:rPr>
        <w:t xml:space="preserve">(b)</w:t>
      </w:r>
      <w:r>
        <w:t xml:space="preserve"> </w:t>
      </w:r>
      <w:r>
        <w:t xml:space="preserve">A regra de Hartwick requer que o desinvestimento em capital natural (extração) seja compensado por investimento equivalente em capital produzido (máquinas, infraestrutura, capital humano) — é o critério de sustentabilidade fraca. A alternativa (d) é impossível para recursos não renováveis; (a) eliminaria a renda do recurso.</w:t>
      </w:r>
    </w:p>
    <w:p>
      <w:pPr>
        <w:pStyle w:val="BlockText"/>
      </w:pPr>
      <w:r>
        <w:rPr>
          <w:b/>
          <w:bCs/>
        </w:rPr>
        <w:t xml:space="preserve">[QUESTAO] 5. O CBAM (Carbon Border Adjustment Mechanism) da UE visa resolver o problema de:</w:t>
      </w:r>
    </w:p>
    <w:p>
      <w:pPr>
        <w:pStyle w:val="Compact"/>
        <w:numPr>
          <w:ilvl w:val="0"/>
          <w:numId w:val="2340"/>
        </w:numPr>
      </w:pPr>
    </w:p>
    <w:p>
      <w:pPr>
        <w:pStyle w:val="Compact"/>
        <w:numPr>
          <w:ilvl w:val="1"/>
          <w:numId w:val="2341"/>
        </w:numPr>
      </w:pPr>
      <w:r>
        <w:t xml:space="preserve">Reduzir emissões de transporte internacional</w:t>
      </w:r>
    </w:p>
    <w:p>
      <w:pPr>
        <w:pStyle w:val="Compact"/>
        <w:numPr>
          <w:ilvl w:val="0"/>
          <w:numId w:val="2340"/>
        </w:numPr>
      </w:pPr>
    </w:p>
    <w:p>
      <w:pPr>
        <w:pStyle w:val="Compact"/>
        <w:numPr>
          <w:ilvl w:val="1"/>
          <w:numId w:val="2342"/>
        </w:numPr>
      </w:pPr>
      <w:r>
        <w:t xml:space="preserve">Vazamento de carbono — a relocação de produção para países sem precificação de carbono</w:t>
      </w:r>
    </w:p>
    <w:p>
      <w:pPr>
        <w:pStyle w:val="Compact"/>
        <w:numPr>
          <w:ilvl w:val="0"/>
          <w:numId w:val="2340"/>
        </w:numPr>
      </w:pPr>
    </w:p>
    <w:p>
      <w:pPr>
        <w:pStyle w:val="Compact"/>
        <w:numPr>
          <w:ilvl w:val="1"/>
          <w:numId w:val="2343"/>
        </w:numPr>
      </w:pPr>
      <w:r>
        <w:t xml:space="preserve">Financiar projetos de adaptação climática em países em desenvolvimento</w:t>
      </w:r>
    </w:p>
    <w:p>
      <w:pPr>
        <w:pStyle w:val="Compact"/>
        <w:numPr>
          <w:ilvl w:val="0"/>
          <w:numId w:val="2340"/>
        </w:numPr>
      </w:pPr>
    </w:p>
    <w:p>
      <w:pPr>
        <w:pStyle w:val="Compact"/>
        <w:numPr>
          <w:ilvl w:val="1"/>
          <w:numId w:val="2344"/>
        </w:numPr>
      </w:pPr>
      <w:r>
        <w:t xml:space="preserve">Substituir o EU ETS por tarifas de importação</w:t>
      </w:r>
    </w:p>
    <w:p>
      <w:pPr>
        <w:pStyle w:val="BlockText"/>
      </w:pPr>
      <w:r>
        <w:t xml:space="preserve">??? success</w:t>
      </w:r>
      <w:r>
        <w:t xml:space="preserve"> </w:t>
      </w:r>
      <w:r>
        <w:t xml:space="preserve">“Resposta”</w:t>
      </w:r>
      <w:r>
        <w:t xml:space="preserve"> </w:t>
      </w:r>
      <w:r>
        <w:rPr>
          <w:b/>
          <w:bCs/>
        </w:rPr>
        <w:t xml:space="preserve">(b)</w:t>
      </w:r>
      <w:r>
        <w:t xml:space="preserve"> </w:t>
      </w:r>
      <w:r>
        <w:t xml:space="preserve">O CBAM é uma tarifa ambiental que iguala o preço de carbono enfrentado por produtores domésticos (sujeitos ao EU ETS) e importadores de países sem precificação de carbono. Sem o CBAM, o preço de carbono europeu poderia simplesmente deslocar a produção para países com regulação mais branda, sem reduzir emissões globais. A alternativa (d) é falsa — o CBAM complementa, não substitui, o EU ETS.</w:t>
      </w:r>
    </w:p>
    <w:p>
      <w:r>
        <w:pict>
          <v:rect style="width:0;height:1.5pt" o:hralign="center" o:hrstd="t" o:hr="t"/>
        </w:pict>
      </w:r>
    </w:p>
    <w:bookmarkEnd w:id="1478"/>
    <w:bookmarkStart w:id="1479" w:name="resumo-do-capítulo-25"/>
    <w:p>
      <w:pPr>
        <w:pStyle w:val="Heading3"/>
      </w:pPr>
      <w:r>
        <w:t xml:space="preserve">Resumo do Capítulo</w:t>
      </w:r>
    </w:p>
    <w:p>
      <w:pPr>
        <w:numPr>
          <w:ilvl w:val="0"/>
          <w:numId w:val="2345"/>
        </w:numPr>
      </w:pPr>
      <w:r>
        <w:rPr>
          <w:b/>
          <w:bCs/>
        </w:rPr>
        <w:t xml:space="preserve">Instrumentos de mercado</w:t>
      </w:r>
      <w:r>
        <w:t xml:space="preserve"> </w:t>
      </w:r>
      <w:r>
        <w:t xml:space="preserve">(impostos pigouvianos e cap-and-trade) são mais eficientes que regulação de comando e controle porque igualam custos marginais de abatimento entre firmas, atingindo a meta ambiental ao menor custo total. Ambos geram eficiência de custos, mas diferem no que é fixo (preço vs. quantidade) e no que é incerto.</w:t>
      </w:r>
    </w:p>
    <w:p>
      <w:pPr>
        <w:numPr>
          <w:ilvl w:val="0"/>
          <w:numId w:val="2345"/>
        </w:numPr>
      </w:pPr>
      <w:r>
        <w:rPr>
          <w:b/>
          <w:bCs/>
        </w:rPr>
        <w:t xml:space="preserve">Weitzman (1974)</w:t>
      </w:r>
      <w:r>
        <w:t xml:space="preserve"> </w:t>
      </w:r>
      <w:r>
        <w:t xml:space="preserve">demonstrou que a equivalência entre imposto e cap-and-trade se rompe sob incerteza. Se a curva de dano marginal é mais inclinada que a de custo de abatimento, instrumentos de quantidade (cap) são preferíveis — argumento particularmente relevante para mudanças climáticas, onde limiares catastróficos tornam o controle de quantidade prioritário.</w:t>
      </w:r>
    </w:p>
    <w:p>
      <w:pPr>
        <w:numPr>
          <w:ilvl w:val="0"/>
          <w:numId w:val="2345"/>
        </w:numPr>
      </w:pPr>
      <w:r>
        <w:t xml:space="preserve">O</w:t>
      </w:r>
      <w:r>
        <w:t xml:space="preserve"> </w:t>
      </w:r>
      <w:r>
        <w:rPr>
          <w:b/>
          <w:bCs/>
        </w:rPr>
        <w:t xml:space="preserve">custo social do carbono</w:t>
      </w:r>
      <w:r>
        <w:t xml:space="preserve"> </w:t>
      </w:r>
      <w:r>
        <w:t xml:space="preserve">(SCC) é o dano total causado por uma tonelada adicional de CO₂ e equivale ao imposto pigouviano ótimo. Estimativas variam enormemente (US$ 20 a US$ 200+/tCO₂) dependendo da taxa de desconto — o parâmetro mais influente e mais controverso da economia climática.</w:t>
      </w:r>
    </w:p>
    <w:p>
      <w:pPr>
        <w:numPr>
          <w:ilvl w:val="0"/>
          <w:numId w:val="2345"/>
        </w:numPr>
      </w:pPr>
      <w:r>
        <w:t xml:space="preserve">O</w:t>
      </w:r>
      <w:r>
        <w:t xml:space="preserve"> </w:t>
      </w:r>
      <w:r>
        <w:rPr>
          <w:b/>
          <w:bCs/>
        </w:rPr>
        <w:t xml:space="preserve">debate Nordhaus–Stern</w:t>
      </w:r>
      <w:r>
        <w:t xml:space="preserve"> </w:t>
      </w:r>
      <w:r>
        <w:t xml:space="preserve">reflete uma divergência ética fundamental sobre a taxa de desconto: Nordhaus (abordagem descritiva, r ≈ 5,5%) recomenda ação gradual; Stern (abordagem prescritiva, r ≈ 1,4%) recomenda ação imediata e agressiva. A escolha entre ambos é, em última análise, uma questão de valores morais sobre obrigações com gerações futuras.</w:t>
      </w:r>
    </w:p>
    <w:p>
      <w:pPr>
        <w:numPr>
          <w:ilvl w:val="0"/>
          <w:numId w:val="2345"/>
        </w:numPr>
      </w:pPr>
      <w:r>
        <w:rPr>
          <w:b/>
          <w:bCs/>
        </w:rPr>
        <w:t xml:space="preserve">Mercados de carbono</w:t>
      </w:r>
      <w:r>
        <w:t xml:space="preserve"> </w:t>
      </w:r>
      <w:r>
        <w:t xml:space="preserve">(EU ETS, RGGI, RenovaBio) implementam o princípio do cap-and-trade na prática, com lições importantes: o cap precisa ser restritivo, a volatilidade de preço requer mecanismos de estabilização (MSR, price collar), e a alocação inicial de permissões tem implicações distributivas significativas.</w:t>
      </w:r>
    </w:p>
    <w:p>
      <w:pPr>
        <w:numPr>
          <w:ilvl w:val="0"/>
          <w:numId w:val="2345"/>
        </w:numPr>
      </w:pPr>
      <w:r>
        <w:rPr>
          <w:b/>
          <w:bCs/>
        </w:rPr>
        <w:t xml:space="preserve">Valoração ambiental</w:t>
      </w:r>
      <w:r>
        <w:t xml:space="preserve"> </w:t>
      </w:r>
      <w:r>
        <w:t xml:space="preserve">decompõe o valor econômico total em uso direto, uso indireto, opção, existência e legado. Métodos de preferência revelada (preços hedônicos, custo de viagem) e declarada (valoração contingente, choice experiments) permitem estimar esses valores — essenciais para análise de custo-benefício ambiental.</w:t>
      </w:r>
    </w:p>
    <w:p>
      <w:pPr>
        <w:numPr>
          <w:ilvl w:val="0"/>
          <w:numId w:val="2345"/>
        </w:numPr>
      </w:pPr>
      <w:r>
        <w:t xml:space="preserve">A</w:t>
      </w:r>
      <w:r>
        <w:t xml:space="preserve"> </w:t>
      </w:r>
      <w:r>
        <w:rPr>
          <w:b/>
          <w:bCs/>
        </w:rPr>
        <w:t xml:space="preserve">regra de Hotelling</w:t>
      </w:r>
      <w:r>
        <w:t xml:space="preserve"> </w:t>
      </w:r>
      <w:r>
        <w:t xml:space="preserve">governa a extração ótima de recursos exauríveis; a</w:t>
      </w:r>
      <w:r>
        <w:t xml:space="preserve"> </w:t>
      </w:r>
      <w:r>
        <w:rPr>
          <w:b/>
          <w:bCs/>
        </w:rPr>
        <w:t xml:space="preserve">regra de Hartwick</w:t>
      </w:r>
      <w:r>
        <w:t xml:space="preserve"> </w:t>
      </w:r>
      <w:r>
        <w:t xml:space="preserve">garante sustentabilidade fraca se a renda de escassez é reinvestida; a</w:t>
      </w:r>
      <w:r>
        <w:t xml:space="preserve"> </w:t>
      </w:r>
      <w:r>
        <w:rPr>
          <w:b/>
          <w:bCs/>
        </w:rPr>
        <w:t xml:space="preserve">poupança genuína</w:t>
      </w:r>
      <w:r>
        <w:t xml:space="preserve"> </w:t>
      </w:r>
      <w:r>
        <w:t xml:space="preserve">é a métrica que ajusta o PIB pela depleção de capital natural e investimento em capital humano.</w:t>
      </w:r>
    </w:p>
    <w:bookmarkEnd w:id="1479"/>
    <w:bookmarkStart w:id="1480" w:name="conceitos-chave-24"/>
    <w:p>
      <w:pPr>
        <w:pStyle w:val="Heading3"/>
      </w:pPr>
      <w:r>
        <w:t xml:space="preserve">Conceitos-chave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Conceito</w:t>
            </w:r>
          </w:p>
        </w:tc>
        <w:tc>
          <w:tcPr/>
          <w:p>
            <w:pPr>
              <w:pStyle w:val="Compact"/>
            </w:pPr>
            <w:r>
              <w:t xml:space="preserve">Definição</w:t>
            </w:r>
          </w:p>
        </w:tc>
      </w:tr>
      <w:tr>
        <w:tc>
          <w:tcPr/>
          <w:p>
            <w:pPr>
              <w:pStyle w:val="Compact"/>
            </w:pPr>
            <w:r>
              <w:t xml:space="preserve">Instrumento de mercado</w:t>
            </w:r>
          </w:p>
        </w:tc>
        <w:tc>
          <w:tcPr/>
          <w:p>
            <w:pPr>
              <w:pStyle w:val="Compact"/>
            </w:pPr>
            <w:r>
              <w:t xml:space="preserve">Política ambiental que altera incentivos econômicos (imposto, cap-and-trade), permitindo que o mercado encontre a alocação de menor custo</w:t>
            </w:r>
          </w:p>
        </w:tc>
      </w:tr>
      <w:tr>
        <w:tc>
          <w:tcPr/>
          <w:p>
            <w:pPr>
              <w:pStyle w:val="Compact"/>
            </w:pPr>
            <w:r>
              <w:t xml:space="preserve">Comando e controle</w:t>
            </w:r>
          </w:p>
        </w:tc>
        <w:tc>
          <w:tcPr/>
          <w:p>
            <w:pPr>
              <w:pStyle w:val="Compact"/>
            </w:pPr>
            <w:r>
              <w:t xml:space="preserve">Regulação direta que impõe padrões, limites ou tecnologias específicas a cada firma</w:t>
            </w:r>
          </w:p>
        </w:tc>
      </w:tr>
      <w:tr>
        <w:tc>
          <w:tcPr/>
          <w:p>
            <w:pPr>
              <w:pStyle w:val="Compact"/>
            </w:pPr>
            <w:r>
              <w:t xml:space="preserve">Eficiência de custos</w:t>
            </w:r>
          </w:p>
        </w:tc>
        <w:tc>
          <w:tcPr/>
          <w:p>
            <w:pPr>
              <w:pStyle w:val="Compact"/>
            </w:pPr>
            <w:r>
              <w:t xml:space="preserve">Propriedade de atingir uma meta ambiental ao menor custo total, igualando custos marginais de abatimento entre firmas</w:t>
            </w:r>
          </w:p>
        </w:tc>
      </w:tr>
      <w:tr>
        <w:tc>
          <w:tcPr/>
          <w:p>
            <w:pPr>
              <w:pStyle w:val="Compact"/>
            </w:pPr>
            <w:r>
              <w:t xml:space="preserve">Cap-and-trade</w:t>
            </w:r>
          </w:p>
        </w:tc>
        <w:tc>
          <w:tcPr/>
          <w:p>
            <w:pPr>
              <w:pStyle w:val="Compact"/>
            </w:pPr>
            <w:r>
              <w:t xml:space="preserve">Sistema que fixa a quantidade total de emissões (cap) e permite negociação de permissões entre firmas (trade)</w:t>
            </w:r>
          </w:p>
        </w:tc>
      </w:tr>
      <w:tr>
        <w:tc>
          <w:tcPr/>
          <w:p>
            <w:pPr>
              <w:pStyle w:val="Compact"/>
            </w:pPr>
            <w:r>
              <w:t xml:space="preserve">Custo social do carbono (SCC)</w:t>
            </w:r>
          </w:p>
        </w:tc>
        <w:tc>
          <w:tcPr/>
          <w:p>
            <w:pPr>
              <w:pStyle w:val="Compact"/>
            </w:pPr>
            <w:r>
              <w:t xml:space="preserve">Valor presente dos danos futuros causados pela emissão de uma tonelada adicional de CO₂</w:t>
            </w:r>
          </w:p>
        </w:tc>
      </w:tr>
      <w:tr>
        <w:tc>
          <w:tcPr/>
          <w:p>
            <w:pPr>
              <w:pStyle w:val="Compact"/>
            </w:pPr>
            <w:r>
              <w:t xml:space="preserve">Duplo dividendo</w:t>
            </w:r>
          </w:p>
        </w:tc>
        <w:tc>
          <w:tcPr/>
          <w:p>
            <w:pPr>
              <w:pStyle w:val="Compact"/>
            </w:pPr>
            <w:r>
              <w:t xml:space="preserve">Ganho duplo da tributação ambiental: redução de poluição + redução de outros impostos distorcivos</w:t>
            </w:r>
          </w:p>
        </w:tc>
      </w:tr>
      <w:tr>
        <w:tc>
          <w:tcPr/>
          <w:p>
            <w:pPr>
              <w:pStyle w:val="Compact"/>
            </w:pPr>
            <w:r>
              <w:t xml:space="preserve">Vazamento de carbono</w:t>
            </w:r>
          </w:p>
        </w:tc>
        <w:tc>
          <w:tcPr/>
          <w:p>
            <w:pPr>
              <w:pStyle w:val="Compact"/>
            </w:pPr>
            <w:r>
              <w:t xml:space="preserve">Relocação de emissões para jurisdições sem precificação de carbono, anulando o efeito da política climática</w:t>
            </w:r>
          </w:p>
        </w:tc>
      </w:tr>
      <w:tr>
        <w:tc>
          <w:tcPr/>
          <w:p>
            <w:pPr>
              <w:pStyle w:val="Compact"/>
            </w:pPr>
            <w:r>
              <w:t xml:space="preserve">CBAM</w:t>
            </w:r>
          </w:p>
        </w:tc>
        <w:tc>
          <w:tcPr/>
          <w:p>
            <w:pPr>
              <w:pStyle w:val="Compact"/>
            </w:pPr>
            <w:r>
              <w:t xml:space="preserve">Mecanismo de ajuste de carbono na fronteira — tarifa ambiental sobre importações intensivas em carbono</w:t>
            </w:r>
          </w:p>
        </w:tc>
      </w:tr>
      <w:tr>
        <w:tc>
          <w:tcPr/>
          <w:p>
            <w:pPr>
              <w:pStyle w:val="Compact"/>
            </w:pPr>
            <w:r>
              <w:t xml:space="preserve">Valor econômico total (VET)</w:t>
            </w:r>
          </w:p>
        </w:tc>
        <w:tc>
          <w:tcPr/>
          <w:p>
            <w:pPr>
              <w:pStyle w:val="Compact"/>
            </w:pPr>
            <w:r>
              <w:t xml:space="preserve">Soma dos valores de uso (direto, indireto, opção) e não-uso (existência, legado) de um recurso ambiental</w:t>
            </w:r>
          </w:p>
        </w:tc>
      </w:tr>
      <w:tr>
        <w:tc>
          <w:tcPr/>
          <w:p>
            <w:pPr>
              <w:pStyle w:val="Compact"/>
            </w:pPr>
            <w:r>
              <w:t xml:space="preserve">Preços hedônicos</w:t>
            </w:r>
          </w:p>
        </w:tc>
        <w:tc>
          <w:tcPr/>
          <w:p>
            <w:pPr>
              <w:pStyle w:val="Compact"/>
            </w:pPr>
            <w:r>
              <w:t xml:space="preserve">Método que infere o valor de atributos ambientais a partir de diferenças de preço em mercados de bens diferenciados (ex.: imóveis)</w:t>
            </w:r>
          </w:p>
        </w:tc>
      </w:tr>
      <w:tr>
        <w:tc>
          <w:tcPr/>
          <w:p>
            <w:pPr>
              <w:pStyle w:val="Compact"/>
            </w:pPr>
            <w:r>
              <w:t xml:space="preserve">Valoração contingente</w:t>
            </w:r>
          </w:p>
        </w:tc>
        <w:tc>
          <w:tcPr/>
          <w:p>
            <w:pPr>
              <w:pStyle w:val="Compact"/>
            </w:pPr>
            <w:r>
              <w:t xml:space="preserve">Método de pesquisa que estima a disposição a pagar por bens ambientais via cenários hipotéticos</w:t>
            </w:r>
          </w:p>
        </w:tc>
      </w:tr>
      <w:tr>
        <w:tc>
          <w:tcPr/>
          <w:p>
            <w:pPr>
              <w:pStyle w:val="Compact"/>
            </w:pPr>
            <w:r>
              <w:t xml:space="preserve">Regra de Hotelling</w:t>
            </w:r>
          </w:p>
        </w:tc>
        <w:tc>
          <w:tcPr/>
          <w:p>
            <w:pPr>
              <w:pStyle w:val="Compact"/>
            </w:pPr>
            <w:r>
              <w:t xml:space="preserve">O preço líquido de um recurso exaurível cresce à taxa de juros no equilíbrio</w:t>
            </w:r>
          </w:p>
        </w:tc>
      </w:tr>
      <w:tr>
        <w:tc>
          <w:tcPr/>
          <w:p>
            <w:pPr>
              <w:pStyle w:val="Compact"/>
            </w:pPr>
            <w:r>
              <w:t xml:space="preserve">Regra de Hartwick</w:t>
            </w:r>
          </w:p>
        </w:tc>
        <w:tc>
          <w:tcPr/>
          <w:p>
            <w:pPr>
              <w:pStyle w:val="Compact"/>
            </w:pPr>
            <w:r>
              <w:t xml:space="preserve">Investir toda a renda de escassez em capital reprodutível garante consumo constante (sustentabilidade fraca)</w:t>
            </w:r>
          </w:p>
        </w:tc>
      </w:tr>
      <w:tr>
        <w:tc>
          <w:tcPr/>
          <w:p>
            <w:pPr>
              <w:pStyle w:val="Compact"/>
            </w:pPr>
            <w:r>
              <w:t xml:space="preserve">Poupança genuína</w:t>
            </w:r>
          </w:p>
        </w:tc>
        <w:tc>
          <w:tcPr/>
          <w:p>
            <w:pPr>
              <w:pStyle w:val="Compact"/>
            </w:pPr>
            <w:r>
              <w:t xml:space="preserve">Poupança nacional ajustada pela depleção de recursos naturais e investimento em capital humano</w:t>
            </w:r>
          </w:p>
        </w:tc>
      </w:tr>
    </w:tbl>
    <w:p>
      <w:pPr>
        <w:pStyle w:val="BodyText"/>
      </w:pPr>
      <w:r>
        <w:rPr>
          <w:b/>
          <w:bCs/>
        </w:rPr>
        <w:t xml:space="preserve">Tabela 24.1 — Conceitos-chave.</w:t>
      </w:r>
    </w:p>
    <w:p>
      <w:r>
        <w:pict>
          <v:rect style="width:0;height:1.5pt" o:hralign="center" o:hrstd="t" o:hr="t"/>
        </w:pict>
      </w:r>
    </w:p>
    <w:bookmarkEnd w:id="1480"/>
    <w:bookmarkStart w:id="1481" w:name="exercícios-29"/>
    <w:p>
      <w:pPr>
        <w:pStyle w:val="Heading3"/>
      </w:pPr>
      <w:r>
        <w:t xml:space="preserve">Exercícios</w:t>
      </w:r>
    </w:p>
    <w:p>
      <w:pPr>
        <w:pStyle w:val="FirstParagraph"/>
      </w:pPr>
      <w:r>
        <w:rPr>
          <w:b/>
          <w:bCs/>
        </w:rPr>
        <w:t xml:space="preserve">Exercício 24.1.</w:t>
      </w:r>
      <w:r>
        <w:t xml:space="preserve"> </w:t>
      </w:r>
      <w:r>
        <w:t xml:space="preserve">Duas fábricas emitem cada uma 80 toneladas de SO₂ por ano. O custo marginal de abatimento é</w:t>
      </w:r>
      <w:r>
        <w:t xml:space="preserve"> </w:t>
      </w:r>
      <m:oMath>
        <m:sSub>
          <m:e>
            <m:r>
              <m:rPr>
                <m:nor/>
                <m:sty m:val="p"/>
              </m:rPr>
              <m:t>CMgA</m:t>
            </m:r>
          </m:e>
          <m:sub>
            <m:r>
              <m:t>A</m:t>
            </m:r>
          </m:sub>
        </m:sSub>
        <m:r>
          <m:rPr>
            <m:sty m:val="p"/>
          </m:rPr>
          <m:t>=</m:t>
        </m:r>
        <m:r>
          <m:t>3</m:t>
        </m:r>
        <m:sSub>
          <m:e>
            <m:r>
              <m:t>e</m:t>
            </m:r>
          </m:e>
          <m:sub>
            <m:r>
              <m:t>A</m:t>
            </m:r>
          </m:sub>
        </m:sSub>
      </m:oMath>
      <w:r>
        <w:t xml:space="preserve"> </w:t>
      </w:r>
      <w:r>
        <w:t xml:space="preserve">para a Fábrica A e</w:t>
      </w:r>
      <w:r>
        <w:t xml:space="preserve"> </w:t>
      </w:r>
      <m:oMath>
        <m:sSub>
          <m:e>
            <m:r>
              <m:rPr>
                <m:nor/>
                <m:sty m:val="p"/>
              </m:rPr>
              <m:t>CMgA</m:t>
            </m:r>
          </m:e>
          <m:sub>
            <m:r>
              <m:t>B</m:t>
            </m:r>
          </m:sub>
        </m:sSub>
        <m:r>
          <m:rPr>
            <m:sty m:val="p"/>
          </m:rPr>
          <m:t>=</m:t>
        </m:r>
        <m:r>
          <m:t>6</m:t>
        </m:r>
        <m:sSub>
          <m:e>
            <m:r>
              <m:t>e</m:t>
            </m:r>
          </m:e>
          <m:sub>
            <m:r>
              <m:t>B</m:t>
            </m:r>
          </m:sub>
        </m:sSub>
      </m:oMath>
      <w:r>
        <w:t xml:space="preserve"> </w:t>
      </w:r>
      <w:r>
        <w:t xml:space="preserve">para a Fábrica B, onde</w:t>
      </w:r>
      <w:r>
        <w:t xml:space="preserve"> </w:t>
      </w:r>
      <m:oMath>
        <m:sSub>
          <m:e>
            <m:r>
              <m:t>e</m:t>
            </m:r>
          </m:e>
          <m:sub>
            <m:r>
              <m:t>i</m:t>
            </m:r>
          </m:sub>
        </m:sSub>
      </m:oMath>
      <w:r>
        <w:t xml:space="preserve"> </w:t>
      </w:r>
      <w:r>
        <w:t xml:space="preserve">é a redução de emissões (toneladas).</w:t>
      </w:r>
    </w:p>
    <w:p>
      <w:pPr>
        <w:pStyle w:val="Compact"/>
        <w:numPr>
          <w:ilvl w:val="0"/>
          <w:numId w:val="2346"/>
        </w:numPr>
      </w:pPr>
      <w:r>
        <w:t xml:space="preserve">Se o regulador impõe redução uniforme de 40 toneladas para cada fábrica (comando e controle), calcule o custo total de abatimento.</w:t>
      </w:r>
    </w:p>
    <w:p>
      <w:pPr>
        <w:pStyle w:val="Compact"/>
        <w:numPr>
          <w:ilvl w:val="0"/>
          <w:numId w:val="2346"/>
        </w:numPr>
      </w:pPr>
      <w:r>
        <w:t xml:space="preserve">Encontre a alocação eficiente (que minimiza o custo total) para uma redução total de 80 toneladas. Qual é o custo total?</w:t>
      </w:r>
    </w:p>
    <w:p>
      <w:pPr>
        <w:pStyle w:val="Compact"/>
        <w:numPr>
          <w:ilvl w:val="0"/>
          <w:numId w:val="2346"/>
        </w:numPr>
      </w:pPr>
      <w:r>
        <w:t xml:space="preserve">Qual imposto pigouviano</w:t>
      </w:r>
      <w:r>
        <w:t xml:space="preserve"> </w:t>
      </w:r>
      <m:oMath>
        <m:r>
          <m:t>t</m:t>
        </m:r>
      </m:oMath>
      <w:r>
        <w:t xml:space="preserve"> </w:t>
      </w:r>
      <w:r>
        <w:t xml:space="preserve">(por tonelada) induziria a alocação eficiente?</w:t>
      </w:r>
    </w:p>
    <w:p>
      <w:pPr>
        <w:pStyle w:val="Compact"/>
        <w:numPr>
          <w:ilvl w:val="0"/>
          <w:numId w:val="2346"/>
        </w:numPr>
      </w:pPr>
      <w:r>
        <w:t xml:space="preserve">Se um sistema cap-and-trade é implementado com 80 permissões (cada fábrica recebe 40 inicialmente), qual será o preço de equilíbrio da permissão? Quem vende e quem compra?</w:t>
      </w:r>
    </w:p>
    <w:p>
      <w:pPr>
        <w:pStyle w:val="FirstParagraph"/>
      </w:pPr>
      <w:r>
        <w:t xml:space="preserve">Ver solução (Cap. 24)</w:t>
      </w:r>
    </w:p>
    <w:p>
      <w:pPr>
        <w:pStyle w:val="BodyText"/>
      </w:pPr>
      <w:r>
        <w:rPr>
          <w:b/>
          <w:bCs/>
        </w:rPr>
        <w:t xml:space="preserve">Exercício 24.2.</w:t>
      </w:r>
      <w:r>
        <w:t xml:space="preserve"> </w:t>
      </w:r>
      <w:r>
        <w:rPr>
          <w:i/>
          <w:iCs/>
        </w:rPr>
        <w:t xml:space="preserve">(Exercício resolvido)</w:t>
      </w:r>
      <w:r>
        <w:t xml:space="preserve"> </w:t>
      </w:r>
      <w:r>
        <w:t xml:space="preserve">O custo social do carbono e a taxa de desconto.</w:t>
      </w:r>
    </w:p>
    <w:p>
      <w:pPr>
        <w:pStyle w:val="BodyText"/>
      </w:pPr>
      <w:r>
        <w:t xml:space="preserve">Suponha que a emissão de 1 tCO₂ hoje cause danos de US$ 10/ano perpetuamente, começando em</w:t>
      </w:r>
      <w:r>
        <w:t xml:space="preserve"> </w:t>
      </w:r>
      <m:oMath>
        <m:r>
          <m:t>t</m:t>
        </m:r>
        <m:r>
          <m:rPr>
            <m:sty m:val="p"/>
          </m:rPr>
          <m:t>=</m:t>
        </m:r>
        <m:r>
          <m:t>1</m:t>
        </m:r>
      </m:oMath>
      <w:r>
        <w:t xml:space="preserve">.</w:t>
      </w:r>
    </w:p>
    <w:p>
      <w:pPr>
        <w:pStyle w:val="Compact"/>
        <w:numPr>
          <w:ilvl w:val="0"/>
          <w:numId w:val="2347"/>
        </w:numPr>
      </w:pPr>
      <w:r>
        <w:t xml:space="preserve">Calcule o SCC para taxas de desconto de</w:t>
      </w:r>
      <w:r>
        <w:t xml:space="preserve"> </w:t>
      </w:r>
      <m:oMath>
        <m:r>
          <m:t>r</m:t>
        </m:r>
        <m:r>
          <m:rPr>
            <m:sty m:val="p"/>
          </m:rPr>
          <m:t>=</m:t>
        </m:r>
        <m:r>
          <m:t>1</m:t>
        </m:r>
        <m:r>
          <m:rPr>
            <m:sty m:val="p"/>
          </m:rPr>
          <m:t>%</m:t>
        </m:r>
      </m:oMath>
      <w:r>
        <w:t xml:space="preserve">,</w:t>
      </w:r>
      <w:r>
        <w:t xml:space="preserve"> </w:t>
      </w:r>
      <m:oMath>
        <m:r>
          <m:t>r</m:t>
        </m:r>
        <m:r>
          <m:rPr>
            <m:sty m:val="p"/>
          </m:rPr>
          <m:t>=</m:t>
        </m:r>
        <m:r>
          <m:t>3</m:t>
        </m:r>
        <m:r>
          <m:rPr>
            <m:sty m:val="p"/>
          </m:rPr>
          <m:t>%</m:t>
        </m:r>
      </m:oMath>
      <w:r>
        <w:t xml:space="preserve"> </w:t>
      </w:r>
      <w:r>
        <w:t xml:space="preserve">e</w:t>
      </w:r>
      <w:r>
        <w:t xml:space="preserve"> </w:t>
      </w:r>
      <m:oMath>
        <m:r>
          <m:t>r</m:t>
        </m:r>
        <m:r>
          <m:rPr>
            <m:sty m:val="p"/>
          </m:rPr>
          <m:t>=</m:t>
        </m:r>
        <m:r>
          <m:t>5</m:t>
        </m:r>
        <m:r>
          <m:rPr>
            <m:sty m:val="p"/>
          </m:rPr>
          <m:t>%</m:t>
        </m:r>
      </m:oMath>
      <w:r>
        <w:t xml:space="preserve">.</w:t>
      </w:r>
    </w:p>
    <w:p>
      <w:pPr>
        <w:pStyle w:val="Compact"/>
        <w:numPr>
          <w:ilvl w:val="0"/>
          <w:numId w:val="2347"/>
        </w:numPr>
      </w:pPr>
      <w:r>
        <w:t xml:space="preserve">Mostre que a razão entre os SCCs calculados em (a) depende apenas da razão entre as taxas de desconto.</w:t>
      </w:r>
    </w:p>
    <w:p>
      <w:pPr>
        <w:pStyle w:val="Compact"/>
        <w:numPr>
          <w:ilvl w:val="0"/>
          <w:numId w:val="2347"/>
        </w:numPr>
      </w:pPr>
      <w:r>
        <w:t xml:space="preserve">Se o governo dos EUA usa</w:t>
      </w:r>
      <w:r>
        <w:t xml:space="preserve"> </w:t>
      </w:r>
      <m:oMath>
        <m:r>
          <m:t>r</m:t>
        </m:r>
        <m:r>
          <m:rPr>
            <m:sty m:val="p"/>
          </m:rPr>
          <m:t>=</m:t>
        </m:r>
        <m:r>
          <m:t>3</m:t>
        </m:r>
        <m:r>
          <m:rPr>
            <m:sty m:val="p"/>
          </m:rPr>
          <m:t>%</m:t>
        </m:r>
      </m:oMath>
      <w:r>
        <w:t xml:space="preserve"> </w:t>
      </w:r>
      <w:r>
        <w:t xml:space="preserve">e estima SCC = US$ 51/tCO₂, qual seria a estimativa com</w:t>
      </w:r>
      <w:r>
        <w:t xml:space="preserve"> </w:t>
      </w:r>
      <m:oMath>
        <m:r>
          <m:t>r</m:t>
        </m:r>
        <m:r>
          <m:rPr>
            <m:sty m:val="p"/>
          </m:rPr>
          <m:t>=</m:t>
        </m:r>
        <m:r>
          <m:t>1</m:t>
        </m:r>
        <m:r>
          <m:rPr>
            <m:sty m:val="p"/>
          </m:rPr>
          <m:t>,</m:t>
        </m:r>
        <m:r>
          <m:t>4</m:t>
        </m:r>
        <m:r>
          <m:rPr>
            <m:sty m:val="p"/>
          </m:rPr>
          <m:t>%</m:t>
        </m:r>
      </m:oMath>
      <w:r>
        <w:t xml:space="preserve"> </w:t>
      </w:r>
      <w:r>
        <w:t xml:space="preserve">(taxa de Stern)?</w:t>
      </w:r>
    </w:p>
    <w:p>
      <w:pPr>
        <w:pStyle w:val="BlockText"/>
      </w:pPr>
      <w:r>
        <w:rPr>
          <w:b/>
          <w:bCs/>
        </w:rPr>
        <w:t xml:space="preserve">[EXERCICIO RESOLVIDO] Solução</w:t>
      </w:r>
    </w:p>
    <w:p>
      <w:pPr>
        <w:pStyle w:val="BlockText"/>
      </w:pPr>
      <w:r>
        <w:rPr>
          <w:b/>
          <w:bCs/>
        </w:rPr>
        <w:t xml:space="preserve">(a)</w:t>
      </w:r>
      <w:r>
        <w:t xml:space="preserve"> </w:t>
      </w:r>
      <w:r>
        <w:t xml:space="preserve">O SCC é o valor presente de uma perpetuidade de US$ 10/ano:</w:t>
      </w:r>
    </w:p>
    <w:p>
      <w:pPr>
        <w:pStyle w:val="BlockText"/>
      </w:pPr>
      <w:r>
        <w:t xml:space="preserve">$$</w:t>
      </w:r>
    </w:p>
    <w:p>
      <w:pPr>
        <w:pStyle w:val="BlockText"/>
      </w:pPr>
      <w:r>
        <w:t xml:space="preserve"> </w:t>
      </w:r>
      <w:r>
        <w:t xml:space="preserve">=</w:t>
      </w:r>
      <w:r>
        <w:t xml:space="preserve"> </w:t>
      </w:r>
      <w:r>
        <w:t xml:space="preserve"> </w:t>
      </w:r>
      <w:r>
        <w:t xml:space="preserve">=</w:t>
      </w:r>
      <w:r>
        <w:t xml:space="preserve"> </w:t>
      </w:r>
    </w:p>
    <w:p>
      <w:pPr>
        <w:pStyle w:val="BlockText"/>
      </w:pPr>
      <w:r>
        <w:t xml:space="preserve">$$</w:t>
      </w:r>
    </w:p>
    <w:p>
      <w:pPr>
        <w:pStyle w:val="Compact"/>
        <w:numPr>
          <w:ilvl w:val="0"/>
          <w:numId w:val="2348"/>
        </w:numPr>
      </w:pPr>
      <m:oMath>
        <m:r>
          <m:t>r</m:t>
        </m:r>
        <m:r>
          <m:rPr>
            <m:sty m:val="p"/>
          </m:rPr>
          <m:t>=</m:t>
        </m:r>
        <m:r>
          <m:t>1</m:t>
        </m:r>
        <m:r>
          <m:rPr>
            <m:sty m:val="p"/>
          </m:rPr>
          <m:t>%</m:t>
        </m:r>
      </m:oMath>
      <w:r>
        <w:t xml:space="preserve">:</w:t>
      </w:r>
      <w:r>
        <w:t xml:space="preserve"> </w:t>
      </w:r>
      <m:oMath>
        <m:r>
          <m:rPr>
            <m:nor/>
            <m:sty m:val="p"/>
          </m:rPr>
          <m:t>SCC</m:t>
        </m:r>
        <m:r>
          <m:rPr>
            <m:sty m:val="p"/>
          </m:rPr>
          <m:t>=</m:t>
        </m:r>
        <m:r>
          <m:t>10</m:t>
        </m:r>
        <m:r>
          <m:rPr>
            <m:sty m:val="p"/>
          </m:rPr>
          <m:t>/</m:t>
        </m:r>
        <m:r>
          <m:t>0</m:t>
        </m:r>
        <m:r>
          <m:rPr>
            <m:sty m:val="p"/>
          </m:rPr>
          <m:t>,</m:t>
        </m:r>
        <m:r>
          <m:t>01</m:t>
        </m:r>
        <m:r>
          <m:rPr>
            <m:sty m:val="p"/>
          </m:rPr>
          <m:t>=</m:t>
        </m:r>
        <m:r>
          <m:rPr>
            <m:nor/>
            <m:sty m:val="p"/>
          </m:rPr>
          <m:t>US$</m:t>
        </m:r>
        <m:r>
          <m:t> </m:t>
        </m:r>
        <m:r>
          <m:t>1.000</m:t>
        </m:r>
      </m:oMath>
    </w:p>
    <w:p>
      <w:pPr>
        <w:pStyle w:val="Compact"/>
        <w:numPr>
          <w:ilvl w:val="0"/>
          <w:numId w:val="2348"/>
        </w:numPr>
      </w:pPr>
      <m:oMath>
        <m:r>
          <m:t>r</m:t>
        </m:r>
        <m:r>
          <m:rPr>
            <m:sty m:val="p"/>
          </m:rPr>
          <m:t>=</m:t>
        </m:r>
        <m:r>
          <m:t>3</m:t>
        </m:r>
        <m:r>
          <m:rPr>
            <m:sty m:val="p"/>
          </m:rPr>
          <m:t>%</m:t>
        </m:r>
      </m:oMath>
      <w:r>
        <w:t xml:space="preserve">:</w:t>
      </w:r>
      <w:r>
        <w:t xml:space="preserve"> </w:t>
      </w:r>
      <m:oMath>
        <m:r>
          <m:rPr>
            <m:nor/>
            <m:sty m:val="p"/>
          </m:rPr>
          <m:t>SCC</m:t>
        </m:r>
        <m:r>
          <m:rPr>
            <m:sty m:val="p"/>
          </m:rPr>
          <m:t>=</m:t>
        </m:r>
        <m:r>
          <m:t>10</m:t>
        </m:r>
        <m:r>
          <m:rPr>
            <m:sty m:val="p"/>
          </m:rPr>
          <m:t>/</m:t>
        </m:r>
        <m:r>
          <m:t>0</m:t>
        </m:r>
        <m:r>
          <m:rPr>
            <m:sty m:val="p"/>
          </m:rPr>
          <m:t>,</m:t>
        </m:r>
        <m:r>
          <m:t>03</m:t>
        </m:r>
        <m:r>
          <m:rPr>
            <m:sty m:val="p"/>
          </m:rPr>
          <m:t>≈</m:t>
        </m:r>
        <m:r>
          <m:rPr>
            <m:nor/>
            <m:sty m:val="p"/>
          </m:rPr>
          <m:t>US$</m:t>
        </m:r>
        <m:r>
          <m:t> </m:t>
        </m:r>
        <m:r>
          <m:t>333</m:t>
        </m:r>
      </m:oMath>
    </w:p>
    <w:p>
      <w:pPr>
        <w:pStyle w:val="Compact"/>
        <w:numPr>
          <w:ilvl w:val="0"/>
          <w:numId w:val="2348"/>
        </w:numPr>
      </w:pPr>
      <m:oMath>
        <m:r>
          <m:t>r</m:t>
        </m:r>
        <m:r>
          <m:rPr>
            <m:sty m:val="p"/>
          </m:rPr>
          <m:t>=</m:t>
        </m:r>
        <m:r>
          <m:t>5</m:t>
        </m:r>
        <m:r>
          <m:rPr>
            <m:sty m:val="p"/>
          </m:rPr>
          <m:t>%</m:t>
        </m:r>
      </m:oMath>
      <w:r>
        <w:t xml:space="preserve">:</w:t>
      </w:r>
      <w:r>
        <w:t xml:space="preserve"> </w:t>
      </w:r>
      <m:oMath>
        <m:r>
          <m:rPr>
            <m:nor/>
            <m:sty m:val="p"/>
          </m:rPr>
          <m:t>SCC</m:t>
        </m:r>
        <m:r>
          <m:rPr>
            <m:sty m:val="p"/>
          </m:rPr>
          <m:t>=</m:t>
        </m:r>
        <m:r>
          <m:t>10</m:t>
        </m:r>
        <m:r>
          <m:rPr>
            <m:sty m:val="p"/>
          </m:rPr>
          <m:t>/</m:t>
        </m:r>
        <m:r>
          <m:t>0</m:t>
        </m:r>
        <m:r>
          <m:rPr>
            <m:sty m:val="p"/>
          </m:rPr>
          <m:t>,</m:t>
        </m:r>
        <m:r>
          <m:t>05</m:t>
        </m:r>
        <m:r>
          <m:rPr>
            <m:sty m:val="p"/>
          </m:rPr>
          <m:t>=</m:t>
        </m:r>
        <m:r>
          <m:rPr>
            <m:nor/>
            <m:sty m:val="p"/>
          </m:rPr>
          <m:t>US$</m:t>
        </m:r>
        <m:r>
          <m:t> </m:t>
        </m:r>
        <m:r>
          <m:t>200</m:t>
        </m:r>
      </m:oMath>
    </w:p>
    <w:p>
      <w:pPr>
        <w:pStyle w:val="BlockText"/>
      </w:pPr>
      <w:r>
        <w:t xml:space="preserve">A diferença é dramática: o SCC com</w:t>
      </w:r>
      <w:r>
        <w:t xml:space="preserve"> </w:t>
      </w:r>
      <m:oMath>
        <m:r>
          <m:t>r</m:t>
        </m:r>
        <m:r>
          <m:rPr>
            <m:sty m:val="p"/>
          </m:rPr>
          <m:t>=</m:t>
        </m:r>
        <m:r>
          <m:t>1</m:t>
        </m:r>
        <m:r>
          <m:rPr>
            <m:sty m:val="p"/>
          </m:rPr>
          <m:t>%</m:t>
        </m:r>
      </m:oMath>
      <w:r>
        <w:t xml:space="preserve"> </w:t>
      </w:r>
      <w:r>
        <w:t xml:space="preserve">é 5 vezes maior que com</w:t>
      </w:r>
      <w:r>
        <w:t xml:space="preserve"> </w:t>
      </w:r>
      <m:oMath>
        <m:r>
          <m:t>r</m:t>
        </m:r>
        <m:r>
          <m:rPr>
            <m:sty m:val="p"/>
          </m:rPr>
          <m:t>=</m:t>
        </m:r>
        <m:r>
          <m:t>5</m:t>
        </m:r>
        <m:r>
          <m:rPr>
            <m:sty m:val="p"/>
          </m:rPr>
          <m:t>%</m:t>
        </m:r>
      </m:oMath>
      <w:r>
        <w:t xml:space="preserve">.</w:t>
      </w:r>
    </w:p>
    <w:p>
      <w:pPr>
        <w:pStyle w:val="BlockText"/>
      </w:pPr>
      <w:r>
        <w:rPr>
          <w:b/>
          <w:bCs/>
        </w:rPr>
        <w:t xml:space="preserve">(b)</w:t>
      </w:r>
      <w:r>
        <w:t xml:space="preserve"> </w:t>
      </w:r>
      <w:r>
        <w:t xml:space="preserve">A razão entre SCCs:</w:t>
      </w:r>
    </w:p>
    <w:p>
      <w:pPr>
        <w:pStyle w:val="BlockText"/>
      </w:pPr>
      <w:r>
        <w:t xml:space="preserve">$$</w:t>
      </w:r>
    </w:p>
    <w:p>
      <w:pPr>
        <w:pStyle w:val="BlockText"/>
      </w:pPr>
      <w:r>
        <w:t xml:space="preserve"> </w:t>
      </w:r>
      <w:r>
        <w:t xml:space="preserve">=</w:t>
      </w:r>
      <w:r>
        <w:t xml:space="preserve"> </w:t>
      </w:r>
      <w:r>
        <w:t xml:space="preserve"> </w:t>
      </w:r>
      <w:r>
        <w:t xml:space="preserve">=</w:t>
      </w:r>
      <w:r>
        <w:t xml:space="preserve"> </w:t>
      </w:r>
    </w:p>
    <w:p>
      <w:pPr>
        <w:pStyle w:val="BlockText"/>
      </w:pPr>
      <w:r>
        <w:t xml:space="preserve">$$</w:t>
      </w:r>
    </w:p>
    <w:p>
      <w:pPr>
        <w:pStyle w:val="BlockText"/>
      </w:pPr>
      <w:r>
        <w:t xml:space="preserve">Depende apenas da razão entre as taxas, não do dano</w:t>
      </w:r>
      <w:r>
        <w:t xml:space="preserve"> </w:t>
      </w:r>
      <m:oMath>
        <m:r>
          <m:t>D</m:t>
        </m:r>
      </m:oMath>
      <w:r>
        <w:t xml:space="preserve">. Isso demonstra a extrema sensibilidade do SCC à taxa de desconto.</w:t>
      </w:r>
    </w:p>
    <w:p>
      <w:pPr>
        <w:pStyle w:val="BlockText"/>
      </w:pPr>
      <w:r>
        <w:rPr>
          <w:b/>
          <w:bCs/>
        </w:rPr>
        <w:t xml:space="preserve">(c)</w:t>
      </w:r>
      <w:r>
        <w:t xml:space="preserve"> </w:t>
      </w:r>
      <w:r>
        <w:t xml:space="preserve">Usando a proporcionalidade:</w:t>
      </w:r>
    </w:p>
    <w:p>
      <w:pPr>
        <w:pStyle w:val="BlockText"/>
      </w:pPr>
      <w:r>
        <w:t xml:space="preserve">$$</w:t>
      </w:r>
    </w:p>
    <w:p>
      <w:pPr>
        <w:pStyle w:val="BlockText"/>
      </w:pPr>
      <w:r>
        <w:t xml:space="preserve">(1{,}4%) = 51</w:t>
      </w:r>
      <w:r>
        <w:t xml:space="preserve"> </w:t>
      </w:r>
      <w:r>
        <w:t xml:space="preserve"> </w:t>
      </w:r>
      <w:r>
        <w:t xml:space="preserve">= 51</w:t>
      </w:r>
      <w:r>
        <w:t xml:space="preserve"> </w:t>
      </w:r>
      <w:r>
        <w:t xml:space="preserve">14</w:t>
      </w:r>
      <w:r>
        <w:t xml:space="preserve"> </w:t>
      </w:r>
      <w:r>
        <w:t xml:space="preserve"> </w:t>
      </w:r>
      <w:r>
        <w:t xml:space="preserve">; 109</w:t>
      </w:r>
    </w:p>
    <w:p>
      <w:pPr>
        <w:pStyle w:val="BlockText"/>
      </w:pPr>
      <w:r>
        <w:t xml:space="preserve">$$</w:t>
      </w:r>
    </w:p>
    <w:p>
      <w:pPr>
        <w:pStyle w:val="BlockText"/>
      </w:pPr>
      <w:r>
        <w:t xml:space="preserve">A taxa de Stern mais que duplica o SCC estimado — e com ela, o imposto ótimo sobre carbono.</w:t>
      </w:r>
    </w:p>
    <w:p>
      <w:pPr>
        <w:pStyle w:val="FirstParagraph"/>
      </w:pPr>
      <w:r>
        <w:rPr>
          <w:b/>
          <w:bCs/>
        </w:rPr>
        <w:t xml:space="preserve">Exercício 24.3.</w:t>
      </w:r>
      <w:r>
        <w:t xml:space="preserve"> </w:t>
      </w:r>
      <w:r>
        <w:rPr>
          <w:i/>
          <w:iCs/>
        </w:rPr>
        <w:t xml:space="preserve">(Exercício resolvido)</w:t>
      </w:r>
      <w:r>
        <w:t xml:space="preserve"> </w:t>
      </w:r>
      <w:r>
        <w:t xml:space="preserve">Weitzman: preços vs. quantidades.</w:t>
      </w:r>
    </w:p>
    <w:p>
      <w:pPr>
        <w:pStyle w:val="BodyText"/>
      </w:pPr>
      <w:r>
        <w:t xml:space="preserve">Um regulador quer reduzir emissões de um poluente. O benefício marginal da redução é</w:t>
      </w:r>
      <w:r>
        <w:t xml:space="preserve"> </w:t>
      </w:r>
      <m:oMath>
        <m:r>
          <m:t>B</m:t>
        </m:r>
        <m:r>
          <m:t>M</m:t>
        </m:r>
        <m:r>
          <m:t>g</m:t>
        </m:r>
        <m:r>
          <m:rPr>
            <m:sty m:val="p"/>
          </m:rPr>
          <m:t>=</m:t>
        </m:r>
        <m:r>
          <m:t>100</m:t>
        </m:r>
        <m:r>
          <m:rPr>
            <m:sty m:val="p"/>
          </m:rPr>
          <m:t>−</m:t>
        </m:r>
        <m:r>
          <m:t>2</m:t>
        </m:r>
        <m:r>
          <m:t>e</m:t>
        </m:r>
      </m:oMath>
      <w:r>
        <w:t xml:space="preserve"> </w:t>
      </w:r>
      <w:r>
        <w:t xml:space="preserve">e o custo marginal de abatimento é</w:t>
      </w:r>
      <w:r>
        <w:t xml:space="preserve"> </w:t>
      </w:r>
      <m:oMath>
        <m:r>
          <m:t>C</m:t>
        </m:r>
        <m:r>
          <m:t>M</m:t>
        </m:r>
        <m:r>
          <m:t>g</m:t>
        </m:r>
        <m:r>
          <m:t>A</m:t>
        </m:r>
        <m:r>
          <m:rPr>
            <m:sty m:val="p"/>
          </m:rPr>
          <m:t>=</m:t>
        </m:r>
        <m:r>
          <m:t>20</m:t>
        </m:r>
        <m:r>
          <m:rPr>
            <m:sty m:val="p"/>
          </m:rPr>
          <m:t>+</m:t>
        </m:r>
        <m:r>
          <m:t>e</m:t>
        </m:r>
        <m:r>
          <m:rPr>
            <m:sty m:val="p"/>
          </m:rPr>
          <m:t>+</m:t>
        </m:r>
        <m:r>
          <m:t>ε</m:t>
        </m:r>
      </m:oMath>
      <w:r>
        <w:t xml:space="preserve">, onde</w:t>
      </w:r>
      <w:r>
        <w:t xml:space="preserve"> </w:t>
      </w:r>
      <m:oMath>
        <m:r>
          <m:t>ε</m:t>
        </m:r>
      </m:oMath>
      <w:r>
        <w:t xml:space="preserve"> </w:t>
      </w:r>
      <w:r>
        <w:t xml:space="preserve">é um choque aleatório com</w:t>
      </w:r>
      <w:r>
        <w:t xml:space="preserve"> </w:t>
      </w:r>
      <m:oMath>
        <m:r>
          <m:t>E</m:t>
        </m:r>
        <m:r>
          <m:rPr>
            <m:sty m:val="p"/>
          </m:rPr>
          <m:t>[</m:t>
        </m:r>
        <m:r>
          <m:t>ε</m:t>
        </m:r>
        <m:r>
          <m:rPr>
            <m:sty m:val="p"/>
          </m:rPr>
          <m:t>]</m:t>
        </m:r>
        <m:r>
          <m:rPr>
            <m:sty m:val="p"/>
          </m:rPr>
          <m:t>=</m:t>
        </m:r>
        <m:r>
          <m:t>0</m:t>
        </m:r>
      </m:oMath>
      <w:r>
        <w:t xml:space="preserve"> </w:t>
      </w:r>
      <w:r>
        <w:t xml:space="preserve">e</w:t>
      </w:r>
      <w:r>
        <w:t xml:space="preserve"> </w:t>
      </w:r>
      <m:oMath>
        <m:r>
          <m:rPr>
            <m:nor/>
            <m:sty m:val="p"/>
          </m:rPr>
          <m:t>Var</m:t>
        </m:r>
        <m:r>
          <m:rPr>
            <m:sty m:val="p"/>
          </m:rPr>
          <m:t>(</m:t>
        </m:r>
        <m:r>
          <m:t>ε</m:t>
        </m:r>
        <m:r>
          <m:rPr>
            <m:sty m:val="p"/>
          </m:rPr>
          <m:t>)</m:t>
        </m:r>
        <m:r>
          <m:rPr>
            <m:sty m:val="p"/>
          </m:rPr>
          <m:t>=</m:t>
        </m:r>
        <m:sSup>
          <m:e>
            <m:r>
              <m:t>σ</m:t>
            </m:r>
          </m:e>
          <m:sup>
            <m:r>
              <m:t>2</m:t>
            </m:r>
          </m:sup>
        </m:sSup>
      </m:oMath>
      <w:r>
        <w:t xml:space="preserve">.</w:t>
      </w:r>
    </w:p>
    <w:p>
      <w:pPr>
        <w:pStyle w:val="Compact"/>
        <w:numPr>
          <w:ilvl w:val="0"/>
          <w:numId w:val="2349"/>
        </w:numPr>
      </w:pPr>
      <w:r>
        <w:t xml:space="preserve">Calcule o nível ótimo de abatimento esperado</w:t>
      </w:r>
      <w:r>
        <w:t xml:space="preserve"> </w:t>
      </w:r>
      <m:oMath>
        <m:sSup>
          <m:e>
            <m:r>
              <m:t>e</m:t>
            </m:r>
          </m:e>
          <m:sup>
            <m:r>
              <m:rPr>
                <m:sty m:val="p"/>
              </m:rPr>
              <m:t>*</m:t>
            </m:r>
          </m:sup>
        </m:sSup>
      </m:oMath>
      <w:r>
        <w:t xml:space="preserve"> </w:t>
      </w:r>
      <w:r>
        <w:t xml:space="preserve">e o imposto/preço da permissão ótimos</w:t>
      </w:r>
      <w:r>
        <w:t xml:space="preserve"> </w:t>
      </w:r>
      <m:oMath>
        <m:sSup>
          <m:e>
            <m:r>
              <m:t>t</m:t>
            </m:r>
          </m:e>
          <m:sup>
            <m:r>
              <m:rPr>
                <m:sty m:val="p"/>
              </m:rPr>
              <m:t>*</m:t>
            </m:r>
          </m:sup>
        </m:sSup>
      </m:oMath>
      <w:r>
        <w:t xml:space="preserve">.</w:t>
      </w:r>
    </w:p>
    <w:p>
      <w:pPr>
        <w:pStyle w:val="Compact"/>
        <w:numPr>
          <w:ilvl w:val="0"/>
          <w:numId w:val="2349"/>
        </w:numPr>
      </w:pPr>
      <w:r>
        <w:t xml:space="preserve">Se o regulador fixa o imposto em</w:t>
      </w:r>
      <w:r>
        <w:t xml:space="preserve"> </w:t>
      </w:r>
      <m:oMath>
        <m:sSup>
          <m:e>
            <m:r>
              <m:t>t</m:t>
            </m:r>
          </m:e>
          <m:sup>
            <m:r>
              <m:rPr>
                <m:sty m:val="p"/>
              </m:rPr>
              <m:t>*</m:t>
            </m:r>
          </m:sup>
        </m:sSup>
      </m:oMath>
      <w:r>
        <w:t xml:space="preserve">, qual é a perda esperada de bem-estar em relação ao ótimo (que depende da realização de</w:t>
      </w:r>
      <w:r>
        <w:t xml:space="preserve"> </w:t>
      </w:r>
      <m:oMath>
        <m:r>
          <m:t>ε</m:t>
        </m:r>
      </m:oMath>
      <w:r>
        <w:t xml:space="preserve">)?</w:t>
      </w:r>
    </w:p>
    <w:p>
      <w:pPr>
        <w:pStyle w:val="Compact"/>
        <w:numPr>
          <w:ilvl w:val="0"/>
          <w:numId w:val="2349"/>
        </w:numPr>
      </w:pPr>
      <w:r>
        <w:t xml:space="preserve">Se o regulador fixa a quantidade em</w:t>
      </w:r>
      <w:r>
        <w:t xml:space="preserve"> </w:t>
      </w:r>
      <m:oMath>
        <m:sSup>
          <m:e>
            <m:r>
              <m:t>e</m:t>
            </m:r>
          </m:e>
          <m:sup>
            <m:r>
              <m:rPr>
                <m:sty m:val="p"/>
              </m:rPr>
              <m:t>*</m:t>
            </m:r>
          </m:sup>
        </m:sSup>
      </m:oMath>
      <w:r>
        <w:t xml:space="preserve">, qual é a perda esperada de bem-estar?</w:t>
      </w:r>
    </w:p>
    <w:p>
      <w:pPr>
        <w:pStyle w:val="Compact"/>
        <w:numPr>
          <w:ilvl w:val="0"/>
          <w:numId w:val="2349"/>
        </w:numPr>
      </w:pPr>
      <w:r>
        <w:t xml:space="preserve">Quando o imposto é preferível ao cap? Interprete em termos das inclinações de BMg e CMgA.</w:t>
      </w:r>
    </w:p>
    <w:p>
      <w:pPr>
        <w:pStyle w:val="BlockText"/>
      </w:pPr>
      <w:r>
        <w:rPr>
          <w:b/>
          <w:bCs/>
        </w:rPr>
        <w:t xml:space="preserve">[EXERCICIO RESOLVIDO] Solução</w:t>
      </w:r>
    </w:p>
    <w:p>
      <w:pPr>
        <w:pStyle w:val="BlockText"/>
      </w:pPr>
      <w:r>
        <w:rPr>
          <w:b/>
          <w:bCs/>
        </w:rPr>
        <w:t xml:space="preserve">(a)</w:t>
      </w:r>
      <w:r>
        <w:t xml:space="preserve"> </w:t>
      </w:r>
      <w:r>
        <w:t xml:space="preserve">No ótimo esperado (</w:t>
      </w:r>
      <m:oMath>
        <m:r>
          <m:t>ε</m:t>
        </m:r>
        <m:r>
          <m:rPr>
            <m:sty m:val="p"/>
          </m:rPr>
          <m:t>=</m:t>
        </m:r>
        <m:r>
          <m:t>0</m:t>
        </m:r>
      </m:oMath>
      <w:r>
        <w:t xml:space="preserve">):</w:t>
      </w:r>
      <w:r>
        <w:t xml:space="preserve"> </w:t>
      </w:r>
      <m:oMath>
        <m:r>
          <m:t>B</m:t>
        </m:r>
        <m:r>
          <m:t>M</m:t>
        </m:r>
        <m:r>
          <m:t>g</m:t>
        </m:r>
        <m:r>
          <m:rPr>
            <m:sty m:val="p"/>
          </m:rPr>
          <m:t>=</m:t>
        </m:r>
        <m:r>
          <m:t>C</m:t>
        </m:r>
        <m:r>
          <m:t>M</m:t>
        </m:r>
        <m:r>
          <m:t>g</m:t>
        </m:r>
        <m:r>
          <m:t>A</m:t>
        </m:r>
      </m:oMath>
    </w:p>
    <w:p>
      <w:pPr>
        <w:pStyle w:val="BlockText"/>
      </w:pPr>
      <w:r>
        <w:t xml:space="preserve">$$</w:t>
      </w:r>
    </w:p>
    <w:p>
      <w:pPr>
        <w:pStyle w:val="BlockText"/>
      </w:pPr>
      <w:r>
        <w:t xml:space="preserve">100 - 2e = 20 + e</w:t>
      </w:r>
      <w:r>
        <w:t xml:space="preserve"> </w:t>
      </w:r>
      <w:r>
        <w:t xml:space="preserve">3e = 80</w:t>
      </w:r>
      <w:r>
        <w:t xml:space="preserve"> </w:t>
      </w:r>
      <w:r>
        <w:t xml:space="preserve">e^* = 26{,}7</w:t>
      </w:r>
      <w:r>
        <w:t xml:space="preserve"> </w:t>
      </w:r>
    </w:p>
    <w:p>
      <w:pPr>
        <w:pStyle w:val="BlockText"/>
      </w:pPr>
      <w:r>
        <w:t xml:space="preserve">$$</w:t>
      </w:r>
    </w:p>
    <w:p>
      <w:pPr>
        <w:pStyle w:val="BlockText"/>
      </w:pPr>
      <w:r>
        <w:t xml:space="preserve">$$</w:t>
      </w:r>
    </w:p>
    <w:p>
      <w:pPr>
        <w:pStyle w:val="BlockText"/>
      </w:pPr>
      <w:r>
        <w:t xml:space="preserve">t^* = BMg(e^*) = 100 - 2(26{,}7) = 46{,}7</w:t>
      </w:r>
    </w:p>
    <w:p>
      <w:pPr>
        <w:pStyle w:val="BlockText"/>
      </w:pPr>
      <w:r>
        <w:t xml:space="preserve">$$</w:t>
      </w:r>
    </w:p>
    <w:p>
      <w:pPr>
        <w:pStyle w:val="BlockText"/>
      </w:pPr>
      <w:r>
        <w:rPr>
          <w:b/>
          <w:bCs/>
        </w:rPr>
        <w:t xml:space="preserve">(b)</w:t>
      </w:r>
      <w:r>
        <w:t xml:space="preserve"> </w:t>
      </w:r>
      <w:r>
        <w:t xml:space="preserve">Com imposto fixo</w:t>
      </w:r>
      <w:r>
        <w:t xml:space="preserve"> </w:t>
      </w:r>
      <m:oMath>
        <m:sSup>
          <m:e>
            <m:r>
              <m:t>t</m:t>
            </m:r>
          </m:e>
          <m:sup>
            <m:r>
              <m:rPr>
                <m:sty m:val="p"/>
              </m:rPr>
              <m:t>*</m:t>
            </m:r>
          </m:sup>
        </m:sSup>
      </m:oMath>
      <w:r>
        <w:t xml:space="preserve">, a firma escolhe</w:t>
      </w:r>
      <w:r>
        <w:t xml:space="preserve"> </w:t>
      </w:r>
      <m:oMath>
        <m:r>
          <m:t>e</m:t>
        </m:r>
      </m:oMath>
      <w:r>
        <w:t xml:space="preserve"> </w:t>
      </w:r>
      <w:r>
        <w:t xml:space="preserve">tal que</w:t>
      </w:r>
      <w:r>
        <w:t xml:space="preserve"> </w:t>
      </w:r>
      <m:oMath>
        <m:r>
          <m:t>C</m:t>
        </m:r>
        <m:r>
          <m:t>M</m:t>
        </m:r>
        <m:r>
          <m:t>g</m:t>
        </m:r>
        <m:r>
          <m:t>A</m:t>
        </m:r>
        <m:r>
          <m:rPr>
            <m:sty m:val="p"/>
          </m:rPr>
          <m:t>=</m:t>
        </m:r>
        <m:sSup>
          <m:e>
            <m:r>
              <m:t>t</m:t>
            </m:r>
          </m:e>
          <m:sup>
            <m:r>
              <m:rPr>
                <m:sty m:val="p"/>
              </m:rPr>
              <m:t>*</m:t>
            </m:r>
          </m:sup>
        </m:sSup>
      </m:oMath>
      <w:r>
        <w:t xml:space="preserve">:</w:t>
      </w:r>
    </w:p>
    <w:p>
      <w:pPr>
        <w:pStyle w:val="BlockText"/>
      </w:pPr>
      <w:r>
        <w:t xml:space="preserve">$$</w:t>
      </w:r>
    </w:p>
    <w:p>
      <w:pPr>
        <w:pStyle w:val="BlockText"/>
      </w:pPr>
      <w:r>
        <w:t xml:space="preserve">20 + e +</w:t>
      </w:r>
      <w:r>
        <w:t xml:space="preserve"> </w:t>
      </w:r>
      <w:r>
        <w:t xml:space="preserve">= 46{,}7</w:t>
      </w:r>
      <w:r>
        <w:t xml:space="preserve"> </w:t>
      </w:r>
      <w:r>
        <w:t xml:space="preserve">e = 26{,}7 -</w:t>
      </w:r>
      <w:r>
        <w:t xml:space="preserve"> </w:t>
      </w:r>
    </w:p>
    <w:p>
      <w:pPr>
        <w:pStyle w:val="BlockText"/>
      </w:pPr>
      <w:r>
        <w:t xml:space="preserve">$$</w:t>
      </w:r>
    </w:p>
    <w:p>
      <w:pPr>
        <w:pStyle w:val="BlockText"/>
      </w:pPr>
      <w:r>
        <w:t xml:space="preserve">O abatimento desvia de</w:t>
      </w:r>
      <w:r>
        <w:t xml:space="preserve"> </w:t>
      </w:r>
      <m:oMath>
        <m:sSup>
          <m:e>
            <m:r>
              <m:t>e</m:t>
            </m:r>
          </m:e>
          <m:sup>
            <m:r>
              <m:rPr>
                <m:sty m:val="p"/>
              </m:rPr>
              <m:t>*</m:t>
            </m:r>
          </m:sup>
        </m:sSup>
      </m:oMath>
      <w:r>
        <w:t xml:space="preserve"> </w:t>
      </w:r>
      <w:r>
        <w:t xml:space="preserve">por</w:t>
      </w:r>
      <w:r>
        <w:t xml:space="preserve"> </w:t>
      </w:r>
      <m:oMath>
        <m:r>
          <m:rPr>
            <m:sty m:val="p"/>
          </m:rPr>
          <m:t>−</m:t>
        </m:r>
        <m:r>
          <m:t>ε</m:t>
        </m:r>
      </m:oMath>
      <w:r>
        <w:t xml:space="preserve">. A perda de bem-estar (triângulo de Harberger) é:</w:t>
      </w:r>
    </w:p>
    <w:p>
      <w:pPr>
        <w:pStyle w:val="BlockText"/>
      </w:pPr>
      <w:r>
        <w:t xml:space="preserve">$$</w:t>
      </w:r>
    </w:p>
    <w:p>
      <w:pPr>
        <w:pStyle w:val="BlockText"/>
      </w:pPr>
      <w:r>
        <w:t xml:space="preserve">L_P =</w:t>
      </w:r>
      <w:r>
        <w:t xml:space="preserve"> </w:t>
      </w:r>
      <w:r>
        <w:t xml:space="preserve"> </w:t>
      </w:r>
      <w:r>
        <w:t xml:space="preserve">|BMg’ + CMgA’|</w:t>
      </w:r>
      <w:r>
        <w:t xml:space="preserve"> </w:t>
      </w:r>
      <w:r>
        <w:t xml:space="preserve">^2</w:t>
      </w:r>
      <w:r>
        <w:t xml:space="preserve"> </w:t>
      </w:r>
      <w:r>
        <w:t xml:space="preserve"> </w:t>
      </w:r>
      <w:r>
        <w:t xml:space="preserve">|BMg’|</w:t>
      </w:r>
    </w:p>
    <w:p>
      <w:pPr>
        <w:pStyle w:val="BlockText"/>
      </w:pPr>
      <w:r>
        <w:t xml:space="preserve">$$</w:t>
      </w:r>
    </w:p>
    <w:p>
      <w:pPr>
        <w:pStyle w:val="BlockText"/>
      </w:pPr>
      <w:r>
        <w:t xml:space="preserve">Simplificando com</w:t>
      </w:r>
      <w:r>
        <w:t xml:space="preserve"> </w:t>
      </w:r>
      <m:oMath>
        <m:r>
          <m:rPr>
            <m:sty m:val="p"/>
          </m:rPr>
          <m:t>|</m:t>
        </m:r>
        <m:r>
          <m:t>B</m:t>
        </m:r>
        <m:r>
          <m:t>M</m:t>
        </m:r>
        <m:sSup>
          <m:e>
            <m:r>
              <m:t>g</m:t>
            </m:r>
          </m:e>
          <m:sup>
            <m:r>
              <m:rPr>
                <m:sty m:val="p"/>
              </m:rPr>
              <m:t>′</m:t>
            </m:r>
          </m:sup>
        </m:sSup>
        <m:r>
          <m:rPr>
            <m:sty m:val="p"/>
          </m:rPr>
          <m:t>|</m:t>
        </m:r>
        <m:r>
          <m:rPr>
            <m:sty m:val="p"/>
          </m:rPr>
          <m:t>=</m:t>
        </m:r>
        <m:r>
          <m:t>2</m:t>
        </m:r>
      </m:oMath>
      <w:r>
        <w:t xml:space="preserve"> </w:t>
      </w:r>
      <w:r>
        <w:t xml:space="preserve">e</w:t>
      </w:r>
      <w:r>
        <w:t xml:space="preserve"> </w:t>
      </w:r>
      <m:oMath>
        <m:r>
          <m:rPr>
            <m:sty m:val="p"/>
          </m:rPr>
          <m:t>|</m:t>
        </m:r>
        <m:r>
          <m:t>C</m:t>
        </m:r>
        <m:r>
          <m:t>M</m:t>
        </m:r>
        <m:r>
          <m:t>g</m:t>
        </m:r>
        <m:sSup>
          <m:e>
            <m:r>
              <m:t>A</m:t>
            </m:r>
          </m:e>
          <m:sup>
            <m:r>
              <m:rPr>
                <m:sty m:val="p"/>
              </m:rPr>
              <m:t>′</m:t>
            </m:r>
          </m:sup>
        </m:sSup>
        <m:r>
          <m:rPr>
            <m:sty m:val="p"/>
          </m:rPr>
          <m:t>|</m:t>
        </m:r>
        <m:r>
          <m:rPr>
            <m:sty m:val="p"/>
          </m:rPr>
          <m:t>=</m:t>
        </m:r>
        <m:r>
          <m:t>1</m:t>
        </m:r>
      </m:oMath>
      <w:r>
        <w:t xml:space="preserve">:</w:t>
      </w:r>
    </w:p>
    <w:p>
      <w:pPr>
        <w:pStyle w:val="BlockText"/>
      </w:pPr>
      <w:r>
        <w:t xml:space="preserve">$$</w:t>
      </w:r>
    </w:p>
    <w:p>
      <w:pPr>
        <w:pStyle w:val="BlockText"/>
      </w:pPr>
      <w:r>
        <w:t xml:space="preserve">L_P =</w:t>
      </w:r>
      <w:r>
        <w:t xml:space="preserve"> </w:t>
      </w:r>
      <w:r>
        <w:t xml:space="preserve"> </w:t>
      </w:r>
      <w:r>
        <w:t xml:space="preserve"> </w:t>
      </w:r>
      <w:r>
        <w:t xml:space="preserve">^2 =</w:t>
      </w:r>
      <w:r>
        <w:t xml:space="preserve"> </w:t>
      </w:r>
      <w:r>
        <w:t xml:space="preserve"> </w:t>
      </w:r>
      <w:r>
        <w:t xml:space="preserve"> </w:t>
      </w:r>
      <w:r>
        <w:t xml:space="preserve">^2 =</w:t>
      </w:r>
      <w:r>
        <w:t xml:space="preserve"> </w:t>
      </w:r>
      <w:r>
        <w:t xml:space="preserve">^2</w:t>
      </w:r>
    </w:p>
    <w:p>
      <w:pPr>
        <w:pStyle w:val="BlockText"/>
      </w:pPr>
      <w:r>
        <w:t xml:space="preserve">$$</w:t>
      </w:r>
    </w:p>
    <w:p>
      <w:pPr>
        <w:pStyle w:val="BlockText"/>
      </w:pPr>
      <w:r>
        <w:rPr>
          <w:b/>
          <w:bCs/>
        </w:rPr>
        <w:t xml:space="preserve">(c)</w:t>
      </w:r>
      <w:r>
        <w:t xml:space="preserve"> </w:t>
      </w:r>
      <w:r>
        <w:t xml:space="preserve">Com quantidade fixa</w:t>
      </w:r>
      <w:r>
        <w:t xml:space="preserve"> </w:t>
      </w:r>
      <m:oMath>
        <m:sSup>
          <m:e>
            <m:r>
              <m:t>e</m:t>
            </m:r>
          </m:e>
          <m:sup>
            <m:r>
              <m:rPr>
                <m:sty m:val="p"/>
              </m:rPr>
              <m:t>*</m:t>
            </m:r>
          </m:sup>
        </m:sSup>
      </m:oMath>
      <w:r>
        <w:t xml:space="preserve">, o custo marginal realizado difere do benefício marginal. A perda:</w:t>
      </w:r>
    </w:p>
    <w:p>
      <w:pPr>
        <w:pStyle w:val="BlockText"/>
      </w:pPr>
      <w:r>
        <w:t xml:space="preserve">$$</w:t>
      </w:r>
    </w:p>
    <w:p>
      <w:pPr>
        <w:pStyle w:val="BlockText"/>
      </w:pPr>
      <w:r>
        <w:t xml:space="preserve">L_Q =</w:t>
      </w:r>
      <w:r>
        <w:t xml:space="preserve"> </w:t>
      </w:r>
      <w:r>
        <w:t xml:space="preserve"> </w:t>
      </w:r>
      <w:r>
        <w:t xml:space="preserve"> </w:t>
      </w:r>
      <w:r>
        <w:t xml:space="preserve">^2</w:t>
      </w:r>
      <w:r>
        <w:t xml:space="preserve"> </w:t>
      </w:r>
      <w:r>
        <w:t xml:space="preserve">|BMg’| =</w:t>
      </w:r>
      <w:r>
        <w:t xml:space="preserve"> </w:t>
      </w:r>
      <w:r>
        <w:t xml:space="preserve"> </w:t>
      </w:r>
      <w:r>
        <w:t xml:space="preserve"> </w:t>
      </w:r>
      <w:r>
        <w:t xml:space="preserve">^2</w:t>
      </w:r>
      <w:r>
        <w:t xml:space="preserve"> </w:t>
      </w:r>
      <w:r>
        <w:t xml:space="preserve"> </w:t>
      </w:r>
      <w:r>
        <w:t xml:space="preserve">=</w:t>
      </w:r>
      <w:r>
        <w:t xml:space="preserve"> </w:t>
      </w:r>
    </w:p>
    <w:p>
      <w:pPr>
        <w:pStyle w:val="BlockText"/>
      </w:pPr>
      <w:r>
        <w:t xml:space="preserve">$$</w:t>
      </w:r>
    </w:p>
    <w:p>
      <w:pPr>
        <w:pStyle w:val="BlockText"/>
      </w:pPr>
      <w:r>
        <w:t xml:space="preserve">Usando a fórmula de Weitzman:</w:t>
      </w:r>
    </w:p>
    <w:p>
      <w:pPr>
        <w:pStyle w:val="BlockText"/>
      </w:pPr>
      <w:r>
        <w:t xml:space="preserve">$$</w:t>
      </w:r>
    </w:p>
    <w:p>
      <w:pPr>
        <w:pStyle w:val="BlockText"/>
      </w:pPr>
      <w:r>
        <w:t xml:space="preserve">L_P - L_Q =</w:t>
      </w:r>
      <w:r>
        <w:t xml:space="preserve"> </w:t>
      </w:r>
      <w:r>
        <w:t xml:space="preserve"> </w:t>
      </w:r>
      <w:r>
        <w:t xml:space="preserve"> </w:t>
      </w:r>
      <w:r>
        <w:t xml:space="preserve">=</w:t>
      </w:r>
      <w:r>
        <w:t xml:space="preserve"> </w:t>
      </w:r>
      <w:r>
        <w:t xml:space="preserve"> </w:t>
      </w:r>
      <w:r>
        <w:t xml:space="preserve"> </w:t>
      </w:r>
      <w:r>
        <w:t xml:space="preserve">=</w:t>
      </w:r>
      <w:r>
        <w:t xml:space="preserve"> </w:t>
      </w:r>
      <w:r>
        <w:t xml:space="preserve"> </w:t>
      </w:r>
      <w:r>
        <w:t xml:space="preserve">&gt; 0</w:t>
      </w:r>
    </w:p>
    <w:p>
      <w:pPr>
        <w:pStyle w:val="BlockText"/>
      </w:pPr>
      <w:r>
        <w:t xml:space="preserve">$$</w:t>
      </w:r>
    </w:p>
    <w:p>
      <w:pPr>
        <w:pStyle w:val="BlockText"/>
      </w:pPr>
      <w:r>
        <w:rPr>
          <w:b/>
          <w:bCs/>
        </w:rPr>
        <w:t xml:space="preserve">(d)</w:t>
      </w:r>
      <w:r>
        <w:t xml:space="preserve"> </w:t>
      </w:r>
      <w:r>
        <w:t xml:space="preserve">O imposto gera perda esperada</w:t>
      </w:r>
      <w:r>
        <w:t xml:space="preserve"> </w:t>
      </w:r>
      <w:r>
        <w:rPr>
          <w:i/>
          <w:iCs/>
        </w:rPr>
        <w:t xml:space="preserve">maior</w:t>
      </w:r>
      <w:r>
        <w:t xml:space="preserve"> </w:t>
      </w:r>
      <w:r>
        <w:t xml:space="preserve">que o cap (</w:t>
      </w:r>
      <m:oMath>
        <m:sSub>
          <m:e>
            <m:r>
              <m:t>L</m:t>
            </m:r>
          </m:e>
          <m:sub>
            <m:r>
              <m:t>P</m:t>
            </m:r>
          </m:sub>
        </m:sSub>
        <m:r>
          <m:rPr>
            <m:sty m:val="p"/>
          </m:rPr>
          <m:t>&gt;</m:t>
        </m:r>
        <m:sSub>
          <m:e>
            <m:r>
              <m:t>L</m:t>
            </m:r>
          </m:e>
          <m:sub>
            <m:r>
              <m:t>Q</m:t>
            </m:r>
          </m:sub>
        </m:sSub>
      </m:oMath>
      <w:r>
        <w:t xml:space="preserve">) porque</w:t>
      </w:r>
      <w:r>
        <w:t xml:space="preserve"> </w:t>
      </w:r>
      <m:oMath>
        <m:r>
          <m:rPr>
            <m:sty m:val="p"/>
          </m:rPr>
          <m:t>|</m:t>
        </m:r>
        <m:r>
          <m:t>B</m:t>
        </m:r>
        <m:r>
          <m:t>M</m:t>
        </m:r>
        <m:sSup>
          <m:e>
            <m:r>
              <m:t>g</m:t>
            </m:r>
          </m:e>
          <m:sup>
            <m:r>
              <m:rPr>
                <m:sty m:val="p"/>
              </m:rPr>
              <m:t>′</m:t>
            </m:r>
          </m:sup>
        </m:sSup>
        <m:r>
          <m:rPr>
            <m:sty m:val="p"/>
          </m:rPr>
          <m:t>|</m:t>
        </m:r>
        <m:r>
          <m:rPr>
            <m:sty m:val="p"/>
          </m:rPr>
          <m:t>=</m:t>
        </m:r>
        <m:r>
          <m:t>2</m:t>
        </m:r>
        <m:r>
          <m:rPr>
            <m:sty m:val="p"/>
          </m:rPr>
          <m:t>&gt;</m:t>
        </m:r>
        <m:r>
          <m:rPr>
            <m:sty m:val="p"/>
          </m:rPr>
          <m:t>|</m:t>
        </m:r>
        <m:r>
          <m:t>C</m:t>
        </m:r>
        <m:r>
          <m:t>M</m:t>
        </m:r>
        <m:r>
          <m:t>g</m:t>
        </m:r>
        <m:sSup>
          <m:e>
            <m:r>
              <m:t>A</m:t>
            </m:r>
          </m:e>
          <m:sup>
            <m:r>
              <m:rPr>
                <m:sty m:val="p"/>
              </m:rPr>
              <m:t>′</m:t>
            </m:r>
          </m:sup>
        </m:sSup>
        <m:r>
          <m:rPr>
            <m:sty m:val="p"/>
          </m:rPr>
          <m:t>|</m:t>
        </m:r>
        <m:r>
          <m:rPr>
            <m:sty m:val="p"/>
          </m:rPr>
          <m:t>=</m:t>
        </m:r>
        <m:r>
          <m:t>1</m:t>
        </m:r>
      </m:oMath>
      <w:r>
        <w:t xml:space="preserve"> </w:t>
      </w:r>
      <w:r>
        <w:t xml:space="preserve">— a curva de benefício marginal é mais inclinada. Neste caso,</w:t>
      </w:r>
      <w:r>
        <w:t xml:space="preserve"> </w:t>
      </w:r>
      <w:r>
        <w:rPr>
          <w:b/>
          <w:bCs/>
        </w:rPr>
        <w:t xml:space="preserve">o cap é preferível</w:t>
      </w:r>
      <w:r>
        <w:t xml:space="preserve"> </w:t>
      </w:r>
      <w:r>
        <w:t xml:space="preserve">(equação Eq. (eq:24.5)). O imposto seria preferível se a curva de custo de abatimento fosse mais inclinada que a de benefício marginal.</w:t>
      </w:r>
    </w:p>
    <w:p>
      <w:pPr>
        <w:pStyle w:val="FirstParagraph"/>
      </w:pPr>
      <w:r>
        <w:rPr>
          <w:b/>
          <w:bCs/>
        </w:rPr>
        <w:t xml:space="preserve">Exercício 24.4.</w:t>
      </w:r>
      <w:r>
        <w:t xml:space="preserve"> </w:t>
      </w:r>
      <w:r>
        <w:rPr>
          <w:i/>
          <w:iCs/>
        </w:rPr>
        <w:t xml:space="preserve">(Exercício resolvido)</w:t>
      </w:r>
      <w:r>
        <w:t xml:space="preserve"> </w:t>
      </w:r>
      <w:r>
        <w:t xml:space="preserve">Regra de Hotelling.</w:t>
      </w:r>
    </w:p>
    <w:p>
      <w:pPr>
        <w:pStyle w:val="BodyText"/>
      </w:pPr>
      <w:r>
        <w:t xml:space="preserve">Um depósito contém</w:t>
      </w:r>
      <w:r>
        <w:t xml:space="preserve"> </w:t>
      </w:r>
      <m:oMath>
        <m:sSub>
          <m:e>
            <m:r>
              <m:t>S</m:t>
            </m:r>
          </m:e>
          <m:sub>
            <m:r>
              <m:t>0</m:t>
            </m:r>
          </m:sub>
        </m:sSub>
        <m:r>
          <m:rPr>
            <m:sty m:val="p"/>
          </m:rPr>
          <m:t>=</m:t>
        </m:r>
        <m:r>
          <m:t>100</m:t>
        </m:r>
      </m:oMath>
      <w:r>
        <w:t xml:space="preserve"> </w:t>
      </w:r>
      <w:r>
        <w:t xml:space="preserve">unidades de um recurso não renovável. O custo de extração é zero. A demanda inversa é</w:t>
      </w:r>
      <w:r>
        <w:t xml:space="preserve"> </w:t>
      </w:r>
      <m:oMath>
        <m:r>
          <m:t>p</m:t>
        </m:r>
        <m:r>
          <m:rPr>
            <m:sty m:val="p"/>
          </m:rPr>
          <m:t>(</m:t>
        </m:r>
        <m:r>
          <m:t>q</m:t>
        </m:r>
        <m:r>
          <m:rPr>
            <m:sty m:val="p"/>
          </m:rPr>
          <m:t>)</m:t>
        </m:r>
        <m:r>
          <m:rPr>
            <m:sty m:val="p"/>
          </m:rPr>
          <m:t>=</m:t>
        </m:r>
        <m:r>
          <m:t>200</m:t>
        </m:r>
        <m:r>
          <m:rPr>
            <m:sty m:val="p"/>
          </m:rPr>
          <m:t>−</m:t>
        </m:r>
        <m:r>
          <m:t>2</m:t>
        </m:r>
        <m:r>
          <m:t>q</m:t>
        </m:r>
      </m:oMath>
      <w:r>
        <w:t xml:space="preserve">. A taxa de juros é</w:t>
      </w:r>
      <w:r>
        <w:t xml:space="preserve"> </w:t>
      </w:r>
      <m:oMath>
        <m:r>
          <m:t>r</m:t>
        </m:r>
        <m:r>
          <m:rPr>
            <m:sty m:val="p"/>
          </m:rPr>
          <m:t>=</m:t>
        </m:r>
        <m:r>
          <m:t>10</m:t>
        </m:r>
        <m:r>
          <m:rPr>
            <m:sty m:val="p"/>
          </m:rPr>
          <m:t>%</m:t>
        </m:r>
      </m:oMath>
      <w:r>
        <w:t xml:space="preserve">. A extração ocorre em dois períodos.</w:t>
      </w:r>
    </w:p>
    <w:p>
      <w:pPr>
        <w:pStyle w:val="Compact"/>
        <w:numPr>
          <w:ilvl w:val="0"/>
          <w:numId w:val="2350"/>
        </w:numPr>
      </w:pPr>
      <w:r>
        <w:t xml:space="preserve">Escreva a condição de Hotelling para o preço líquido entre os dois períodos.</w:t>
      </w:r>
    </w:p>
    <w:p>
      <w:pPr>
        <w:pStyle w:val="Compact"/>
        <w:numPr>
          <w:ilvl w:val="0"/>
          <w:numId w:val="2350"/>
        </w:numPr>
      </w:pPr>
      <w:r>
        <w:t xml:space="preserve">Use a condição de Hotelling e a restrição de estoque (</w:t>
      </w:r>
      <m:oMath>
        <m:sSub>
          <m:e>
            <m:r>
              <m:t>q</m:t>
            </m:r>
          </m:e>
          <m:sub>
            <m:r>
              <m:t>1</m:t>
            </m:r>
          </m:sub>
        </m:sSub>
        <m:r>
          <m:rPr>
            <m:sty m:val="p"/>
          </m:rPr>
          <m:t>+</m:t>
        </m:r>
        <m:sSub>
          <m:e>
            <m:r>
              <m:t>q</m:t>
            </m:r>
          </m:e>
          <m:sub>
            <m:r>
              <m:t>2</m:t>
            </m:r>
          </m:sub>
        </m:sSub>
        <m:r>
          <m:rPr>
            <m:sty m:val="p"/>
          </m:rPr>
          <m:t>=</m:t>
        </m:r>
        <m:r>
          <m:t>100</m:t>
        </m:r>
      </m:oMath>
      <w:r>
        <w:t xml:space="preserve">) para encontrar</w:t>
      </w:r>
      <w:r>
        <w:t xml:space="preserve"> </w:t>
      </w:r>
      <m:oMath>
        <m:sSub>
          <m:e>
            <m:r>
              <m:t>q</m:t>
            </m:r>
          </m:e>
          <m:sub>
            <m:r>
              <m:t>1</m:t>
            </m:r>
          </m:sub>
        </m:sSub>
        <m:r>
          <m:rPr>
            <m:sty m:val="p"/>
          </m:rPr>
          <m:t>,</m:t>
        </m:r>
        <m:sSub>
          <m:e>
            <m:r>
              <m:t>q</m:t>
            </m:r>
          </m:e>
          <m:sub>
            <m:r>
              <m:t>2</m:t>
            </m:r>
          </m:sub>
        </m:sSub>
        <m:r>
          <m:rPr>
            <m:sty m:val="p"/>
          </m:rPr>
          <m:t>,</m:t>
        </m:r>
        <m:sSub>
          <m:e>
            <m:r>
              <m:t>p</m:t>
            </m:r>
          </m:e>
          <m:sub>
            <m:r>
              <m:t>1</m:t>
            </m:r>
          </m:sub>
        </m:sSub>
        <m:r>
          <m:rPr>
            <m:sty m:val="p"/>
          </m:rPr>
          <m:t>,</m:t>
        </m:r>
        <m:sSub>
          <m:e>
            <m:r>
              <m:t>p</m:t>
            </m:r>
          </m:e>
          <m:sub>
            <m:r>
              <m:t>2</m:t>
            </m:r>
          </m:sub>
        </m:sSub>
      </m:oMath>
      <w:r>
        <w:t xml:space="preserve">.</w:t>
      </w:r>
    </w:p>
    <w:p>
      <w:pPr>
        <w:pStyle w:val="Compact"/>
        <w:numPr>
          <w:ilvl w:val="0"/>
          <w:numId w:val="2350"/>
        </w:numPr>
      </w:pPr>
      <w:r>
        <w:t xml:space="preserve">Se a taxa de juros sobe para</w:t>
      </w:r>
      <w:r>
        <w:t xml:space="preserve"> </w:t>
      </w:r>
      <m:oMath>
        <m:r>
          <m:t>r</m:t>
        </m:r>
        <m:r>
          <m:rPr>
            <m:sty m:val="p"/>
          </m:rPr>
          <m:t>=</m:t>
        </m:r>
        <m:r>
          <m:t>20</m:t>
        </m:r>
        <m:r>
          <m:rPr>
            <m:sty m:val="p"/>
          </m:rPr>
          <m:t>%</m:t>
        </m:r>
      </m:oMath>
      <w:r>
        <w:t xml:space="preserve">, o que acontece com a extração no período 1? Interprete.</w:t>
      </w:r>
    </w:p>
    <w:p>
      <w:pPr>
        <w:pStyle w:val="BlockText"/>
      </w:pPr>
      <w:r>
        <w:rPr>
          <w:b/>
          <w:bCs/>
        </w:rPr>
        <w:t xml:space="preserve">[EXERCICIO RESOLVIDO] Solução</w:t>
      </w:r>
    </w:p>
    <w:p>
      <w:pPr>
        <w:pStyle w:val="BlockText"/>
      </w:pPr>
      <w:r>
        <w:rPr>
          <w:b/>
          <w:bCs/>
        </w:rPr>
        <w:t xml:space="preserve">(a)</w:t>
      </w:r>
      <w:r>
        <w:t xml:space="preserve"> </w:t>
      </w:r>
      <w:r>
        <w:t xml:space="preserve">Com custo de extração zero, o preço líquido é o próprio preço. A regra de Hotelling:</w:t>
      </w:r>
    </w:p>
    <w:p>
      <w:pPr>
        <w:pStyle w:val="BlockText"/>
      </w:pPr>
      <w:r>
        <w:t xml:space="preserve">$$</w:t>
      </w:r>
    </w:p>
    <w:p>
      <w:pPr>
        <w:pStyle w:val="BlockText"/>
      </w:pPr>
      <w:r>
        <w:t xml:space="preserve">p_2 = (1 + r)</w:t>
      </w:r>
      <w:r>
        <w:t xml:space="preserve"> </w:t>
      </w:r>
      <w:r>
        <w:t xml:space="preserve">p_1 = 1{,}1</w:t>
      </w:r>
      <w:r>
        <w:t xml:space="preserve"> </w:t>
      </w:r>
      <w:r>
        <w:t xml:space="preserve">p_1</w:t>
      </w:r>
    </w:p>
    <w:p>
      <w:pPr>
        <w:pStyle w:val="BlockText"/>
      </w:pPr>
      <w:r>
        <w:t xml:space="preserve">$$</w:t>
      </w:r>
    </w:p>
    <w:p>
      <w:pPr>
        <w:pStyle w:val="BlockText"/>
      </w:pPr>
      <w:r>
        <w:rPr>
          <w:b/>
          <w:bCs/>
        </w:rPr>
        <w:t xml:space="preserve">(b)</w:t>
      </w:r>
      <w:r>
        <w:t xml:space="preserve"> </w:t>
      </w:r>
      <w:r>
        <w:t xml:space="preserve">Da demanda inversa:</w:t>
      </w:r>
      <w:r>
        <w:t xml:space="preserve"> </w:t>
      </w:r>
      <m:oMath>
        <m:sSub>
          <m:e>
            <m:r>
              <m:t>p</m:t>
            </m:r>
          </m:e>
          <m:sub>
            <m:r>
              <m:t>1</m:t>
            </m:r>
          </m:sub>
        </m:sSub>
        <m:r>
          <m:rPr>
            <m:sty m:val="p"/>
          </m:rPr>
          <m:t>=</m:t>
        </m:r>
        <m:r>
          <m:t>200</m:t>
        </m:r>
        <m:r>
          <m:rPr>
            <m:sty m:val="p"/>
          </m:rPr>
          <m:t>−</m:t>
        </m:r>
        <m:r>
          <m:t>2</m:t>
        </m:r>
        <m:sSub>
          <m:e>
            <m:r>
              <m:t>q</m:t>
            </m:r>
          </m:e>
          <m:sub>
            <m:r>
              <m:t>1</m:t>
            </m:r>
          </m:sub>
        </m:sSub>
      </m:oMath>
      <w:r>
        <w:t xml:space="preserve"> </w:t>
      </w:r>
      <w:r>
        <w:t xml:space="preserve">e</w:t>
      </w:r>
      <w:r>
        <w:t xml:space="preserve"> </w:t>
      </w:r>
      <m:oMath>
        <m:sSub>
          <m:e>
            <m:r>
              <m:t>p</m:t>
            </m:r>
          </m:e>
          <m:sub>
            <m:r>
              <m:t>2</m:t>
            </m:r>
          </m:sub>
        </m:sSub>
        <m:r>
          <m:rPr>
            <m:sty m:val="p"/>
          </m:rPr>
          <m:t>=</m:t>
        </m:r>
        <m:r>
          <m:t>200</m:t>
        </m:r>
        <m:r>
          <m:rPr>
            <m:sty m:val="p"/>
          </m:rPr>
          <m:t>−</m:t>
        </m:r>
        <m:r>
          <m:t>2</m:t>
        </m:r>
        <m:sSub>
          <m:e>
            <m:r>
              <m:t>q</m:t>
            </m:r>
          </m:e>
          <m:sub>
            <m:r>
              <m:t>2</m:t>
            </m:r>
          </m:sub>
        </m:sSub>
      </m:oMath>
      <w:r>
        <w:t xml:space="preserve">.</w:t>
      </w:r>
    </w:p>
    <w:p>
      <w:pPr>
        <w:pStyle w:val="BlockText"/>
      </w:pPr>
      <w:r>
        <w:t xml:space="preserve">Do estoque:</w:t>
      </w:r>
      <w:r>
        <w:t xml:space="preserve"> </w:t>
      </w:r>
      <m:oMath>
        <m:sSub>
          <m:e>
            <m:r>
              <m:t>q</m:t>
            </m:r>
          </m:e>
          <m:sub>
            <m:r>
              <m:t>2</m:t>
            </m:r>
          </m:sub>
        </m:sSub>
        <m:r>
          <m:rPr>
            <m:sty m:val="p"/>
          </m:rPr>
          <m:t>=</m:t>
        </m:r>
        <m:r>
          <m:t>100</m:t>
        </m:r>
        <m:r>
          <m:rPr>
            <m:sty m:val="p"/>
          </m:rPr>
          <m:t>−</m:t>
        </m:r>
        <m:sSub>
          <m:e>
            <m:r>
              <m:t>q</m:t>
            </m:r>
          </m:e>
          <m:sub>
            <m:r>
              <m:t>1</m:t>
            </m:r>
          </m:sub>
        </m:sSub>
      </m:oMath>
      <w:r>
        <w:t xml:space="preserve">.</w:t>
      </w:r>
    </w:p>
    <w:p>
      <w:pPr>
        <w:pStyle w:val="BlockText"/>
      </w:pPr>
      <w:r>
        <w:t xml:space="preserve">Da condição de Hotelling:</w:t>
      </w:r>
    </w:p>
    <w:p>
      <w:pPr>
        <w:pStyle w:val="BlockText"/>
      </w:pPr>
      <w:r>
        <w:t xml:space="preserve">$$</w:t>
      </w:r>
    </w:p>
    <w:p>
      <w:pPr>
        <w:pStyle w:val="BlockText"/>
      </w:pPr>
      <w:r>
        <w:t xml:space="preserve">200 - 2(100 - q_1) = 1{,}1</w:t>
      </w:r>
      <w:r>
        <w:t xml:space="preserve"> </w:t>
      </w:r>
      <w:r>
        <w:t xml:space="preserve">(200 - 2q_1)</w:t>
      </w:r>
    </w:p>
    <w:p>
      <w:pPr>
        <w:pStyle w:val="BlockText"/>
      </w:pPr>
      <w:r>
        <w:t xml:space="preserve">$$</w:t>
      </w:r>
    </w:p>
    <w:p>
      <w:pPr>
        <w:pStyle w:val="BlockText"/>
      </w:pPr>
      <w:r>
        <w:t xml:space="preserve">$$</w:t>
      </w:r>
    </w:p>
    <w:p>
      <w:pPr>
        <w:pStyle w:val="BlockText"/>
      </w:pPr>
      <w:r>
        <w:t xml:space="preserve">200 - 200 + 2q_1 = 220 - 2{,}2q_1</w:t>
      </w:r>
    </w:p>
    <w:p>
      <w:pPr>
        <w:pStyle w:val="BlockText"/>
      </w:pPr>
      <w:r>
        <w:t xml:space="preserve">$$</w:t>
      </w:r>
    </w:p>
    <w:p>
      <w:pPr>
        <w:pStyle w:val="BlockText"/>
      </w:pPr>
      <w:r>
        <w:t xml:space="preserve">$$</w:t>
      </w:r>
    </w:p>
    <w:p>
      <w:pPr>
        <w:pStyle w:val="BlockText"/>
      </w:pPr>
      <w:r>
        <w:t xml:space="preserve">4{,}2q_1 = 220</w:t>
      </w:r>
      <w:r>
        <w:t xml:space="preserve"> </w:t>
      </w:r>
      <w:r>
        <w:t xml:space="preserve">q_1 = 52{,}4;</w:t>
      </w:r>
      <w:r>
        <w:t xml:space="preserve"> </w:t>
      </w:r>
      <w:r>
        <w:t xml:space="preserve">q_2 = 47{,}6</w:t>
      </w:r>
    </w:p>
    <w:p>
      <w:pPr>
        <w:pStyle w:val="BlockText"/>
      </w:pPr>
      <w:r>
        <w:t xml:space="preserve">$$</w:t>
      </w:r>
    </w:p>
    <w:p>
      <w:pPr>
        <w:pStyle w:val="BlockText"/>
      </w:pPr>
      <w:r>
        <w:t xml:space="preserve">$$</w:t>
      </w:r>
    </w:p>
    <w:p>
      <w:pPr>
        <w:pStyle w:val="BlockText"/>
      </w:pPr>
      <w:r>
        <w:t xml:space="preserve">p_1 = 200 - 2(52{,}4) = 95{,}2;</w:t>
      </w:r>
      <w:r>
        <w:t xml:space="preserve"> </w:t>
      </w:r>
      <w:r>
        <w:t xml:space="preserve">p_2 = 200 - 2(47{,}6) = 104{,}8</w:t>
      </w:r>
    </w:p>
    <w:p>
      <w:pPr>
        <w:pStyle w:val="BlockText"/>
      </w:pPr>
      <w:r>
        <w:t xml:space="preserve">$$</w:t>
      </w:r>
    </w:p>
    <w:p>
      <w:pPr>
        <w:pStyle w:val="BlockText"/>
      </w:pPr>
      <w:r>
        <w:t xml:space="preserve">Verificação:</w:t>
      </w:r>
      <w:r>
        <w:t xml:space="preserve"> </w:t>
      </w:r>
      <m:oMath>
        <m:r>
          <m:t>104</m:t>
        </m:r>
        <m:r>
          <m:rPr>
            <m:sty m:val="p"/>
          </m:rPr>
          <m:t>,</m:t>
        </m:r>
        <m:r>
          <m:t>8</m:t>
        </m:r>
        <m:r>
          <m:rPr>
            <m:sty m:val="p"/>
          </m:rPr>
          <m:t>/</m:t>
        </m:r>
        <m:r>
          <m:t>95</m:t>
        </m:r>
        <m:r>
          <m:rPr>
            <m:sty m:val="p"/>
          </m:rPr>
          <m:t>,</m:t>
        </m:r>
        <m:r>
          <m:t>2</m:t>
        </m:r>
        <m:r>
          <m:rPr>
            <m:sty m:val="p"/>
          </m:rPr>
          <m:t>=</m:t>
        </m:r>
        <m:r>
          <m:t>1</m:t>
        </m:r>
        <m:r>
          <m:rPr>
            <m:sty m:val="p"/>
          </m:rPr>
          <m:t>,</m:t>
        </m:r>
        <m:r>
          <m:t>10</m:t>
        </m:r>
      </m:oMath>
      <w:r>
        <w:t xml:space="preserve">. ✓</w:t>
      </w:r>
    </w:p>
    <w:p>
      <w:pPr>
        <w:pStyle w:val="BlockText"/>
      </w:pPr>
      <w:r>
        <w:rPr>
          <w:b/>
          <w:bCs/>
        </w:rPr>
        <w:t xml:space="preserve">(c)</w:t>
      </w:r>
      <w:r>
        <w:t xml:space="preserve"> </w:t>
      </w:r>
      <w:r>
        <w:t xml:space="preserve">Com</w:t>
      </w:r>
      <w:r>
        <w:t xml:space="preserve"> </w:t>
      </w:r>
      <m:oMath>
        <m:r>
          <m:t>r</m:t>
        </m:r>
        <m:r>
          <m:rPr>
            <m:sty m:val="p"/>
          </m:rPr>
          <m:t>=</m:t>
        </m:r>
        <m:r>
          <m:t>20</m:t>
        </m:r>
        <m:r>
          <m:rPr>
            <m:sty m:val="p"/>
          </m:rPr>
          <m:t>%</m:t>
        </m:r>
      </m:oMath>
      <w:r>
        <w:t xml:space="preserve">:</w:t>
      </w:r>
      <w:r>
        <w:t xml:space="preserve"> </w:t>
      </w:r>
      <m:oMath>
        <m:r>
          <m:t>200</m:t>
        </m:r>
        <m:r>
          <m:rPr>
            <m:sty m:val="p"/>
          </m:rPr>
          <m:t>−</m:t>
        </m:r>
        <m:r>
          <m:t>2</m:t>
        </m:r>
        <m:r>
          <m:rPr>
            <m:sty m:val="p"/>
          </m:rPr>
          <m:t>(</m:t>
        </m:r>
        <m:r>
          <m:t>100</m:t>
        </m:r>
        <m:r>
          <m:rPr>
            <m:sty m:val="p"/>
          </m:rPr>
          <m:t>−</m:t>
        </m:r>
        <m:sSub>
          <m:e>
            <m:r>
              <m:t>q</m:t>
            </m:r>
          </m:e>
          <m:sub>
            <m:r>
              <m:t>1</m:t>
            </m:r>
          </m:sub>
        </m:sSub>
        <m:r>
          <m:rPr>
            <m:sty m:val="p"/>
          </m:rPr>
          <m:t>)</m:t>
        </m:r>
        <m:r>
          <m:rPr>
            <m:sty m:val="p"/>
          </m:rPr>
          <m:t>=</m:t>
        </m:r>
        <m:r>
          <m:t>1</m:t>
        </m:r>
        <m:r>
          <m:rPr>
            <m:sty m:val="p"/>
          </m:rPr>
          <m:t>,</m:t>
        </m:r>
        <m:r>
          <m:t>2</m:t>
        </m:r>
        <m:r>
          <m:rPr>
            <m:sty m:val="p"/>
          </m:rPr>
          <m:t>⋅</m:t>
        </m:r>
        <m:r>
          <m:rPr>
            <m:sty m:val="p"/>
          </m:rPr>
          <m:t>(</m:t>
        </m:r>
        <m:r>
          <m:t>200</m:t>
        </m:r>
        <m:r>
          <m:rPr>
            <m:sty m:val="p"/>
          </m:rPr>
          <m:t>−</m:t>
        </m:r>
        <m:r>
          <m:t>2</m:t>
        </m:r>
        <m:sSub>
          <m:e>
            <m:r>
              <m:t>q</m:t>
            </m:r>
          </m:e>
          <m:sub>
            <m:r>
              <m:t>1</m:t>
            </m:r>
          </m:sub>
        </m:sSub>
        <m:r>
          <m:rPr>
            <m:sty m:val="p"/>
          </m:rPr>
          <m:t>)</m:t>
        </m:r>
      </m:oMath>
    </w:p>
    <w:p>
      <w:pPr>
        <w:pStyle w:val="BlockText"/>
      </w:pPr>
      <w:r>
        <w:t xml:space="preserve">$$</w:t>
      </w:r>
    </w:p>
    <w:p>
      <w:pPr>
        <w:pStyle w:val="BlockText"/>
      </w:pPr>
      <w:r>
        <w:t xml:space="preserve">2q_1 = 240 - 2{,}4q_1</w:t>
      </w:r>
      <w:r>
        <w:t xml:space="preserve"> </w:t>
      </w:r>
      <w:r>
        <w:t xml:space="preserve">4q_1 = 240</w:t>
      </w:r>
      <w:r>
        <w:t xml:space="preserve"> </w:t>
      </w:r>
      <w:r>
        <w:t xml:space="preserve">q_1 = 54{,}5</w:t>
      </w:r>
    </w:p>
    <w:p>
      <w:pPr>
        <w:pStyle w:val="BlockText"/>
      </w:pPr>
      <w:r>
        <w:t xml:space="preserve">$$</w:t>
      </w:r>
    </w:p>
    <w:p>
      <w:pPr>
        <w:pStyle w:val="BlockText"/>
      </w:pPr>
      <w:r>
        <w:t xml:space="preserve">A extração no período 1</w:t>
      </w:r>
      <w:r>
        <w:t xml:space="preserve"> </w:t>
      </w:r>
      <w:r>
        <w:rPr>
          <w:i/>
          <w:iCs/>
        </w:rPr>
        <w:t xml:space="preserve">aumenta</w:t>
      </w:r>
      <w:r>
        <w:t xml:space="preserve"> </w:t>
      </w:r>
      <w:r>
        <w:t xml:space="preserve">(de 52,4 para 54,5). Intuição: com taxa de juros maior, o custo de oportunidade de deixar o recurso no solo é maior — é mais atraente extrair hoje e investir a receita. A regra de Hotelling implica que juros altos favorecem extração presente e elevam o preço futuro mais rapidamente.</w:t>
      </w:r>
    </w:p>
    <w:p>
      <w:pPr>
        <w:pStyle w:val="FirstParagraph"/>
      </w:pPr>
      <w:r>
        <w:rPr>
          <w:b/>
          <w:bCs/>
        </w:rPr>
        <w:t xml:space="preserve">Exercício 24.5.</w:t>
      </w:r>
      <w:r>
        <w:t xml:space="preserve"> </w:t>
      </w:r>
      <w:r>
        <w:t xml:space="preserve">Em um estudo de valoração contingente, 500 moradores de Curitiba foram perguntados:</w:t>
      </w:r>
      <w:r>
        <w:t xml:space="preserve"> </w:t>
      </w:r>
      <w:r>
        <w:t xml:space="preserve">“Qual a máxima quantia mensal que você pagaria para manter o Parque Barigui?”</w:t>
      </w:r>
      <w:r>
        <w:t xml:space="preserve"> </w:t>
      </w:r>
      <w:r>
        <w:t xml:space="preserve">Os resultados foram: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DAP (R$/mês)</w:t>
            </w:r>
          </w:p>
        </w:tc>
        <w:tc>
          <w:tcPr/>
          <w:p>
            <w:pPr>
              <w:pStyle w:val="Compact"/>
              <w:jc w:val="left"/>
            </w:pPr>
            <w:r>
              <w:t xml:space="preserve">Frequência</w:t>
            </w:r>
          </w:p>
        </w:tc>
      </w:tr>
      <w:tr>
        <w:tc>
          <w:tcPr/>
          <w:p>
            <w:pPr>
              <w:pStyle w:val="Compact"/>
              <w:jc w:val="left"/>
            </w:pPr>
            <w:r>
              <w:t xml:space="preserve">0</w:t>
            </w:r>
          </w:p>
        </w:tc>
        <w:tc>
          <w:tcPr/>
          <w:p>
            <w:pPr>
              <w:pStyle w:val="Compact"/>
              <w:jc w:val="left"/>
            </w:pPr>
            <w:r>
              <w:t xml:space="preserve">50</w:t>
            </w:r>
          </w:p>
        </w:tc>
      </w:tr>
      <w:tr>
        <w:tc>
          <w:tcPr/>
          <w:p>
            <w:pPr>
              <w:pStyle w:val="Compact"/>
              <w:jc w:val="left"/>
            </w:pPr>
            <w:r>
              <w:t xml:space="preserve">5</w:t>
            </w:r>
          </w:p>
        </w:tc>
        <w:tc>
          <w:tcPr/>
          <w:p>
            <w:pPr>
              <w:pStyle w:val="Compact"/>
              <w:jc w:val="left"/>
            </w:pPr>
            <w:r>
              <w:t xml:space="preserve">120</w:t>
            </w:r>
          </w:p>
        </w:tc>
      </w:tr>
      <w:tr>
        <w:tc>
          <w:tcPr/>
          <w:p>
            <w:pPr>
              <w:pStyle w:val="Compact"/>
              <w:jc w:val="left"/>
            </w:pPr>
            <w:r>
              <w:t xml:space="preserve">10</w:t>
            </w:r>
          </w:p>
        </w:tc>
        <w:tc>
          <w:tcPr/>
          <w:p>
            <w:pPr>
              <w:pStyle w:val="Compact"/>
              <w:jc w:val="left"/>
            </w:pPr>
            <w:r>
              <w:t xml:space="preserve">180</w:t>
            </w:r>
          </w:p>
        </w:tc>
      </w:tr>
      <w:tr>
        <w:tc>
          <w:tcPr/>
          <w:p>
            <w:pPr>
              <w:pStyle w:val="Compact"/>
              <w:jc w:val="left"/>
            </w:pPr>
            <w:r>
              <w:t xml:space="preserve">20</w:t>
            </w:r>
          </w:p>
        </w:tc>
        <w:tc>
          <w:tcPr/>
          <w:p>
            <w:pPr>
              <w:pStyle w:val="Compact"/>
              <w:jc w:val="left"/>
            </w:pPr>
            <w:r>
              <w:t xml:space="preserve">100</w:t>
            </w:r>
          </w:p>
        </w:tc>
      </w:tr>
      <w:tr>
        <w:tc>
          <w:tcPr/>
          <w:p>
            <w:pPr>
              <w:pStyle w:val="Compact"/>
              <w:jc w:val="left"/>
            </w:pPr>
            <w:r>
              <w:t xml:space="preserve">50</w:t>
            </w:r>
          </w:p>
        </w:tc>
        <w:tc>
          <w:tcPr/>
          <w:p>
            <w:pPr>
              <w:pStyle w:val="Compact"/>
              <w:jc w:val="left"/>
            </w:pPr>
            <w:r>
              <w:t xml:space="preserve">40</w:t>
            </w:r>
          </w:p>
        </w:tc>
      </w:tr>
      <w:tr>
        <w:tc>
          <w:tcPr/>
          <w:p>
            <w:pPr>
              <w:pStyle w:val="Compact"/>
              <w:jc w:val="left"/>
            </w:pPr>
            <w:r>
              <w:t xml:space="preserve">100</w:t>
            </w:r>
          </w:p>
        </w:tc>
        <w:tc>
          <w:tcPr/>
          <w:p>
            <w:pPr>
              <w:pStyle w:val="Compact"/>
              <w:jc w:val="left"/>
            </w:pPr>
            <w:r>
              <w:t xml:space="preserve">10</w:t>
            </w:r>
          </w:p>
        </w:tc>
      </w:tr>
    </w:tbl>
    <w:p>
      <w:pPr>
        <w:pStyle w:val="Compact"/>
        <w:numPr>
          <w:ilvl w:val="0"/>
          <w:numId w:val="2351"/>
        </w:numPr>
      </w:pPr>
      <w:r>
        <w:t xml:space="preserve">Calcule a DAP média e a DAP mediana.</w:t>
      </w:r>
    </w:p>
    <w:p>
      <w:pPr>
        <w:pStyle w:val="Compact"/>
        <w:numPr>
          <w:ilvl w:val="0"/>
          <w:numId w:val="2351"/>
        </w:numPr>
      </w:pPr>
      <w:r>
        <w:t xml:space="preserve">Estime o valor anual do parque para a população de Curitiba (2 milhões de habitantes), usando a DAP média.</w:t>
      </w:r>
    </w:p>
    <w:p>
      <w:pPr>
        <w:pStyle w:val="Compact"/>
        <w:numPr>
          <w:ilvl w:val="0"/>
          <w:numId w:val="2351"/>
        </w:numPr>
      </w:pPr>
      <w:r>
        <w:t xml:space="preserve">Discuta por que a DAP mediana pode ser uma estimativa mais confiável que a média neste contexto.</w:t>
      </w:r>
    </w:p>
    <w:p>
      <w:pPr>
        <w:pStyle w:val="Compact"/>
        <w:numPr>
          <w:ilvl w:val="0"/>
          <w:numId w:val="2351"/>
        </w:numPr>
      </w:pPr>
      <w:r>
        <w:t xml:space="preserve">Identifique dois vieses potenciais nesta pesquisa e sugira como mitigá-los.</w:t>
      </w:r>
    </w:p>
    <w:p>
      <w:pPr>
        <w:pStyle w:val="FirstParagraph"/>
      </w:pPr>
      <w:r>
        <w:t xml:space="preserve">Ver solução (Cap. 24)</w:t>
      </w:r>
    </w:p>
    <w:p>
      <w:pPr>
        <w:pStyle w:val="BodyText"/>
      </w:pPr>
      <w:r>
        <w:rPr>
          <w:b/>
          <w:bCs/>
        </w:rPr>
        <w:t xml:space="preserve">Exercício 24.6.</w:t>
      </w:r>
      <w:r>
        <w:t xml:space="preserve"> </w:t>
      </w:r>
      <w:r>
        <w:t xml:space="preserve">Considere um recurso pesqueiro com crescimento logístico</w:t>
      </w:r>
      <w:r>
        <w:t xml:space="preserve"> </w:t>
      </w:r>
      <m:oMath>
        <m:r>
          <m:t>G</m:t>
        </m:r>
        <m:r>
          <m:rPr>
            <m:sty m:val="p"/>
          </m:rPr>
          <m:t>(</m:t>
        </m:r>
        <m:r>
          <m:t>S</m:t>
        </m:r>
        <m:r>
          <m:rPr>
            <m:sty m:val="p"/>
          </m:rPr>
          <m:t>)</m:t>
        </m:r>
        <m:r>
          <m:rPr>
            <m:sty m:val="p"/>
          </m:rPr>
          <m:t>=</m:t>
        </m:r>
        <m:r>
          <m:t>r</m:t>
        </m:r>
        <m:r>
          <m:t>S</m:t>
        </m:r>
        <m:r>
          <m:rPr>
            <m:sty m:val="p"/>
          </m:rPr>
          <m:t>(</m:t>
        </m:r>
        <m:r>
          <m:t>1</m:t>
        </m:r>
        <m:r>
          <m:rPr>
            <m:sty m:val="p"/>
          </m:rPr>
          <m:t>−</m:t>
        </m:r>
        <m:r>
          <m:t>S</m:t>
        </m:r>
        <m:r>
          <m:rPr>
            <m:sty m:val="p"/>
          </m:rPr>
          <m:t>/</m:t>
        </m:r>
        <m:r>
          <m:t>K</m:t>
        </m:r>
        <m:r>
          <m:rPr>
            <m:sty m:val="p"/>
          </m:rPr>
          <m:t>)</m:t>
        </m:r>
      </m:oMath>
      <w:r>
        <w:t xml:space="preserve">, onde</w:t>
      </w:r>
      <w:r>
        <w:t xml:space="preserve"> </w:t>
      </w:r>
      <m:oMath>
        <m:r>
          <m:t>r</m:t>
        </m:r>
        <m:r>
          <m:rPr>
            <m:sty m:val="p"/>
          </m:rPr>
          <m:t>=</m:t>
        </m:r>
        <m:r>
          <m:t>0</m:t>
        </m:r>
        <m:r>
          <m:rPr>
            <m:sty m:val="p"/>
          </m:rPr>
          <m:t>,</m:t>
        </m:r>
        <m:r>
          <m:t>5</m:t>
        </m:r>
      </m:oMath>
      <w:r>
        <w:t xml:space="preserve"> </w:t>
      </w:r>
      <w:r>
        <w:t xml:space="preserve">(taxa intrínseca de crescimento),</w:t>
      </w:r>
      <w:r>
        <w:t xml:space="preserve"> </w:t>
      </w:r>
      <m:oMath>
        <m:r>
          <m:t>K</m:t>
        </m:r>
        <m:r>
          <m:rPr>
            <m:sty m:val="p"/>
          </m:rPr>
          <m:t>=</m:t>
        </m:r>
        <m:r>
          <m:t>1.000</m:t>
        </m:r>
      </m:oMath>
      <w:r>
        <w:t xml:space="preserve"> </w:t>
      </w:r>
      <w:r>
        <w:t xml:space="preserve">(capacidade de suporte) e</w:t>
      </w:r>
      <w:r>
        <w:t xml:space="preserve"> </w:t>
      </w:r>
      <m:oMath>
        <m:r>
          <m:t>S</m:t>
        </m:r>
      </m:oMath>
      <w:r>
        <w:t xml:space="preserve"> </w:t>
      </w:r>
      <w:r>
        <w:t xml:space="preserve">é o estoque de peixes em toneladas.</w:t>
      </w:r>
    </w:p>
    <w:p>
      <w:pPr>
        <w:pStyle w:val="Compact"/>
        <w:numPr>
          <w:ilvl w:val="0"/>
          <w:numId w:val="2352"/>
        </w:numPr>
      </w:pPr>
      <w:r>
        <w:t xml:space="preserve">Encontre o estoque que maximiza o crescimento (rendimento máximo sustentável — RMS) e calcule o RMS.</w:t>
      </w:r>
    </w:p>
    <w:p>
      <w:pPr>
        <w:pStyle w:val="Compact"/>
        <w:numPr>
          <w:ilvl w:val="0"/>
          <w:numId w:val="2352"/>
        </w:numPr>
      </w:pPr>
      <w:r>
        <w:t xml:space="preserve">Se o custo de pescar uma tonelada é</w:t>
      </w:r>
      <w:r>
        <w:t xml:space="preserve"> </w:t>
      </w:r>
      <m:oMath>
        <m:r>
          <m:t>c</m:t>
        </m:r>
        <m:r>
          <m:rPr>
            <m:sty m:val="p"/>
          </m:rPr>
          <m:t>=</m:t>
        </m:r>
        <m:r>
          <m:t>50</m:t>
        </m:r>
        <m:r>
          <m:rPr>
            <m:sty m:val="p"/>
          </m:rPr>
          <m:t>/</m:t>
        </m:r>
        <m:r>
          <m:t>S</m:t>
        </m:r>
      </m:oMath>
      <w:r>
        <w:t xml:space="preserve"> </w:t>
      </w:r>
      <w:r>
        <w:t xml:space="preserve">(custo unitário decrescente no estoque) e o preço do peixe é</w:t>
      </w:r>
      <w:r>
        <w:t xml:space="preserve"> </w:t>
      </w:r>
      <m:oMath>
        <m:r>
          <m:t>p</m:t>
        </m:r>
        <m:r>
          <m:rPr>
            <m:sty m:val="p"/>
          </m:rPr>
          <m:t>=</m:t>
        </m:r>
        <m:r>
          <m:t>1</m:t>
        </m:r>
      </m:oMath>
      <w:r>
        <w:t xml:space="preserve">, encontre o estoque de equilíbrio de acesso livre (onde lucro econômico = 0).</w:t>
      </w:r>
    </w:p>
    <w:p>
      <w:pPr>
        <w:pStyle w:val="Compact"/>
        <w:numPr>
          <w:ilvl w:val="0"/>
          <w:numId w:val="2352"/>
        </w:numPr>
      </w:pPr>
      <w:r>
        <w:t xml:space="preserve">Compare o estoque de acesso livre com o estoque do RMS. Há sobreexploração?</w:t>
      </w:r>
    </w:p>
    <w:p>
      <w:pPr>
        <w:pStyle w:val="Compact"/>
        <w:numPr>
          <w:ilvl w:val="0"/>
          <w:numId w:val="2352"/>
        </w:numPr>
      </w:pPr>
      <w:r>
        <w:t xml:space="preserve">Que quota de captura restabeleceria o equilíbrio sustentável no nível do RMS?</w:t>
      </w:r>
    </w:p>
    <w:p>
      <w:pPr>
        <w:pStyle w:val="FirstParagraph"/>
      </w:pPr>
      <w:r>
        <w:t xml:space="preserve">Ver solução (Cap. 24)</w:t>
      </w:r>
    </w:p>
    <w:p>
      <w:pPr>
        <w:pStyle w:val="BodyText"/>
      </w:pPr>
      <w:r>
        <w:rPr>
          <w:b/>
          <w:bCs/>
        </w:rPr>
        <w:t xml:space="preserve">Exercício 24.7.</w:t>
      </w:r>
      <w:r>
        <w:t xml:space="preserve"> </w:t>
      </w:r>
      <w:r>
        <w:t xml:space="preserve">Uma economia produz PIB = 1.000, com poupança bruta = 200, depreciação do capital produzido = 80, depleção de recursos minerais = 30, dano por CO₂ = 15, e investimento em educação = 25.</w:t>
      </w:r>
    </w:p>
    <w:p>
      <w:pPr>
        <w:pStyle w:val="Compact"/>
        <w:numPr>
          <w:ilvl w:val="0"/>
          <w:numId w:val="2353"/>
        </w:numPr>
      </w:pPr>
      <w:r>
        <w:t xml:space="preserve">Calcule a poupança genuína (poupança líquida ajustada).</w:t>
      </w:r>
    </w:p>
    <w:p>
      <w:pPr>
        <w:pStyle w:val="Compact"/>
        <w:numPr>
          <w:ilvl w:val="0"/>
          <w:numId w:val="2353"/>
        </w:numPr>
      </w:pPr>
      <w:r>
        <w:t xml:space="preserve">A economia está em trajetória sustentável (no sentido de sustentabilidade fraca)? Justifique.</w:t>
      </w:r>
    </w:p>
    <w:p>
      <w:pPr>
        <w:pStyle w:val="Compact"/>
        <w:numPr>
          <w:ilvl w:val="0"/>
          <w:numId w:val="2353"/>
        </w:numPr>
      </w:pPr>
      <w:r>
        <w:t xml:space="preserve">Se o preço do mineral extraído dobra (mantendo a quantidade), o que acontece com a poupança genuína? Interprete.</w:t>
      </w:r>
    </w:p>
    <w:p>
      <w:pPr>
        <w:pStyle w:val="FirstParagraph"/>
      </w:pPr>
      <w:r>
        <w:t xml:space="preserve">Ver solução (Cap. 24)</w:t>
      </w:r>
    </w:p>
    <w:p>
      <w:pPr>
        <w:pStyle w:val="BodyText"/>
      </w:pPr>
      <w:r>
        <w:rPr>
          <w:b/>
          <w:bCs/>
        </w:rPr>
        <w:t xml:space="preserve">Exercício 24.8.</w:t>
      </w:r>
      <w:r>
        <w:t xml:space="preserve"> </w:t>
      </w:r>
      <w:r>
        <w:t xml:space="preserve">O EU ETS distribui 100 permissões de emissão. A demanda agregada por permissões é</w:t>
      </w:r>
      <w:r>
        <w:t xml:space="preserve"> </w:t>
      </w:r>
      <m:oMath>
        <m:sSub>
          <m:e>
            <m:r>
              <m:t>Q</m:t>
            </m:r>
          </m:e>
          <m:sub>
            <m:r>
              <m:t>d</m:t>
            </m:r>
          </m:sub>
        </m:sSub>
        <m:r>
          <m:rPr>
            <m:sty m:val="p"/>
          </m:rPr>
          <m:t>=</m:t>
        </m:r>
        <m:r>
          <m:t>150</m:t>
        </m:r>
        <m:r>
          <m:rPr>
            <m:sty m:val="p"/>
          </m:rPr>
          <m:t>−</m:t>
        </m:r>
        <m:r>
          <m:t>2</m:t>
        </m:r>
        <m:r>
          <m:t>p</m:t>
        </m:r>
      </m:oMath>
      <w:r>
        <w:t xml:space="preserve"> </w:t>
      </w:r>
      <w:r>
        <w:t xml:space="preserve">(em toneladas).</w:t>
      </w:r>
    </w:p>
    <w:p>
      <w:pPr>
        <w:pStyle w:val="Compact"/>
        <w:numPr>
          <w:ilvl w:val="0"/>
          <w:numId w:val="2354"/>
        </w:numPr>
      </w:pPr>
      <w:r>
        <w:t xml:space="preserve">Encontre o preço de equilíbrio da permissão e a receita total se as permissões são leiloadas.</w:t>
      </w:r>
    </w:p>
    <w:p>
      <w:pPr>
        <w:pStyle w:val="Compact"/>
        <w:numPr>
          <w:ilvl w:val="0"/>
          <w:numId w:val="2354"/>
        </w:numPr>
      </w:pPr>
      <w:r>
        <w:t xml:space="preserve">Se o regulador introduz um preço mínimo (</w:t>
      </w:r>
      <w:r>
        <w:rPr>
          <w:i/>
          <w:iCs/>
        </w:rPr>
        <w:t xml:space="preserve">price floor</w:t>
      </w:r>
      <w:r>
        <w:t xml:space="preserve">) de €30, qual é o efeito sobre o mercado? Há excesso de oferta?</w:t>
      </w:r>
    </w:p>
    <w:p>
      <w:pPr>
        <w:pStyle w:val="Compact"/>
        <w:numPr>
          <w:ilvl w:val="0"/>
          <w:numId w:val="2354"/>
        </w:numPr>
      </w:pPr>
      <w:r>
        <w:t xml:space="preserve">Se a recessão reduz a demanda para</w:t>
      </w:r>
      <w:r>
        <w:t xml:space="preserve"> </w:t>
      </w:r>
      <m:oMath>
        <m:sSubSup>
          <m:e>
            <m:r>
              <m:t>Q</m:t>
            </m:r>
          </m:e>
          <m:sub>
            <m:r>
              <m:t>d</m:t>
            </m:r>
          </m:sub>
          <m:sup>
            <m:r>
              <m:rPr>
                <m:sty m:val="p"/>
              </m:rPr>
              <m:t>′</m:t>
            </m:r>
          </m:sup>
        </m:sSubSup>
        <m:r>
          <m:rPr>
            <m:sty m:val="p"/>
          </m:rPr>
          <m:t>=</m:t>
        </m:r>
        <m:r>
          <m:t>120</m:t>
        </m:r>
        <m:r>
          <m:rPr>
            <m:sty m:val="p"/>
          </m:rPr>
          <m:t>−</m:t>
        </m:r>
        <m:r>
          <m:t>2</m:t>
        </m:r>
        <m:r>
          <m:t>p</m:t>
        </m:r>
      </m:oMath>
      <w:r>
        <w:t xml:space="preserve">, qual é o novo preço de equilíbrio? Compare com o item (a).</w:t>
      </w:r>
    </w:p>
    <w:p>
      <w:pPr>
        <w:pStyle w:val="Compact"/>
        <w:numPr>
          <w:ilvl w:val="0"/>
          <w:numId w:val="2354"/>
        </w:numPr>
      </w:pPr>
      <w:r>
        <w:t xml:space="preserve">Explique por que a Reserva de Estabilidade de Mercado (MSR) é uma resposta ao problema ilustrado em (c).</w:t>
      </w:r>
    </w:p>
    <w:p>
      <w:pPr>
        <w:pStyle w:val="FirstParagraph"/>
      </w:pPr>
      <w:r>
        <w:t xml:space="preserve">Ver solução (Cap. 24)</w:t>
      </w:r>
    </w:p>
    <w:p>
      <w:pPr>
        <w:pStyle w:val="BodyText"/>
      </w:pPr>
      <w:r>
        <w:rPr>
          <w:b/>
          <w:bCs/>
        </w:rPr>
        <w:t xml:space="preserve">Exercício 24.9.</w:t>
      </w:r>
      <w:r>
        <w:t xml:space="preserve"> </w:t>
      </w:r>
      <w:r>
        <w:t xml:space="preserve">Um estudo de preços hedônicos em São Paulo estimou a seguinte regressão:</w:t>
      </w:r>
    </w:p>
    <w:p>
      <w:pPr>
        <w:pStyle w:val="BodyText"/>
      </w:pPr>
      <m:oMathPara>
        <m:oMathParaPr>
          <m:jc m:val="center"/>
        </m:oMathParaPr>
        <m:oMath>
          <m:r>
            <m:rPr>
              <m:sty m:val="p"/>
            </m:rPr>
            <m:t>ln</m:t>
          </m:r>
          <m:r>
            <m:rPr>
              <m:sty m:val="p"/>
            </m:rPr>
            <m:t>(</m:t>
          </m:r>
          <m:sSub>
            <m:e>
              <m:r>
                <m:t>P</m:t>
              </m:r>
            </m:e>
            <m:sub>
              <m:r>
                <m:t>i</m:t>
              </m:r>
            </m:sub>
          </m:sSub>
          <m:r>
            <m:rPr>
              <m:sty m:val="p"/>
            </m:rPr>
            <m:t>)</m:t>
          </m:r>
          <m:r>
            <m:rPr>
              <m:sty m:val="p"/>
            </m:rPr>
            <m:t>=</m:t>
          </m:r>
          <m:r>
            <m:t>10</m:t>
          </m:r>
          <m:r>
            <m:rPr>
              <m:sty m:val="p"/>
            </m:rPr>
            <m:t>,</m:t>
          </m:r>
          <m:r>
            <m:t>5</m:t>
          </m:r>
          <m:r>
            <m:rPr>
              <m:sty m:val="p"/>
            </m:rPr>
            <m:t>+</m:t>
          </m:r>
          <m:r>
            <m:t>0</m:t>
          </m:r>
          <m:r>
            <m:rPr>
              <m:sty m:val="p"/>
            </m:rPr>
            <m:t>,</m:t>
          </m:r>
          <m:r>
            <m:t>05</m:t>
          </m:r>
          <m:r>
            <m:rPr>
              <m:sty m:val="p"/>
            </m:rPr>
            <m:t>⋅</m:t>
          </m:r>
          <m:sSub>
            <m:e>
              <m:r>
                <m:rPr>
                  <m:nor/>
                  <m:sty m:val="p"/>
                </m:rPr>
                <m:t>Quartos</m:t>
              </m:r>
            </m:e>
            <m:sub>
              <m:r>
                <m:t>i</m:t>
              </m:r>
            </m:sub>
          </m:sSub>
          <m:r>
            <m:rPr>
              <m:sty m:val="p"/>
            </m:rPr>
            <m:t>+</m:t>
          </m:r>
          <m:r>
            <m:t>0</m:t>
          </m:r>
          <m:r>
            <m:rPr>
              <m:sty m:val="p"/>
            </m:rPr>
            <m:t>,</m:t>
          </m:r>
          <m:r>
            <m:t>03</m:t>
          </m:r>
          <m:r>
            <m:rPr>
              <m:sty m:val="p"/>
            </m:rPr>
            <m:t>⋅</m:t>
          </m:r>
          <m:sSub>
            <m:e>
              <m:r>
                <m:rPr>
                  <m:nor/>
                  <m:sty m:val="p"/>
                </m:rPr>
                <m:t>Área</m:t>
              </m:r>
            </m:e>
            <m:sub>
              <m:r>
                <m:t>i</m:t>
              </m:r>
            </m:sub>
          </m:sSub>
          <m:r>
            <m:rPr>
              <m:sty m:val="p"/>
            </m:rPr>
            <m:t>−</m:t>
          </m:r>
          <m:r>
            <m:t>0</m:t>
          </m:r>
          <m:r>
            <m:rPr>
              <m:sty m:val="p"/>
            </m:rPr>
            <m:t>,</m:t>
          </m:r>
          <m:r>
            <m:t>08</m:t>
          </m:r>
          <m:r>
            <m:rPr>
              <m:sty m:val="p"/>
            </m:rPr>
            <m:t>⋅</m:t>
          </m:r>
          <m:sSub>
            <m:e>
              <m:r>
                <m:rPr>
                  <m:nor/>
                  <m:sty m:val="p"/>
                </m:rPr>
                <m:t>PM</m:t>
              </m:r>
            </m:e>
            <m:sub>
              <m:r>
                <m:t>2</m:t>
              </m:r>
              <m:r>
                <m:rPr>
                  <m:sty m:val="p"/>
                </m:rPr>
                <m:t>,</m:t>
              </m:r>
              <m:r>
                <m:t>5</m:t>
              </m:r>
            </m:sub>
          </m:sSub>
          <m:r>
            <m:rPr>
              <m:sty m:val="p"/>
            </m:rPr>
            <m:t>+</m:t>
          </m:r>
          <m:r>
            <m:t>0</m:t>
          </m:r>
          <m:r>
            <m:rPr>
              <m:sty m:val="p"/>
            </m:rPr>
            <m:t>,</m:t>
          </m:r>
          <m:r>
            <m:t>12</m:t>
          </m:r>
          <m:r>
            <m:rPr>
              <m:sty m:val="p"/>
            </m:rPr>
            <m:t>⋅</m:t>
          </m:r>
          <m:sSub>
            <m:e>
              <m:r>
                <m:rPr>
                  <m:nor/>
                  <m:sty m:val="p"/>
                </m:rPr>
                <m:t>Parque</m:t>
              </m:r>
            </m:e>
            <m:sub>
              <m:r>
                <m:t>i</m:t>
              </m:r>
            </m:sub>
          </m:sSub>
        </m:oMath>
      </m:oMathPara>
    </w:p>
    <w:p>
      <w:pPr>
        <w:pStyle w:val="FirstParagraph"/>
      </w:pPr>
      <w:r>
        <w:t xml:space="preserve">onde</w:t>
      </w:r>
      <w:r>
        <w:t xml:space="preserve"> </w:t>
      </w:r>
      <m:oMath>
        <m:sSub>
          <m:e>
            <m:r>
              <m:t>P</m:t>
            </m:r>
          </m:e>
          <m:sub>
            <m:r>
              <m:t>i</m:t>
            </m:r>
          </m:sub>
        </m:sSub>
      </m:oMath>
      <w:r>
        <w:t xml:space="preserve"> </w:t>
      </w:r>
      <w:r>
        <w:t xml:space="preserve">é o preço do imóvel (em R$), PM</w:t>
      </w:r>
      <m:oMath>
        <m:sSub>
          <m:e>
            <m:r>
              <m:t>​</m:t>
            </m:r>
          </m:e>
          <m:sub>
            <m:r>
              <m:t>2</m:t>
            </m:r>
            <m:r>
              <m:rPr>
                <m:sty m:val="p"/>
              </m:rPr>
              <m:t>,</m:t>
            </m:r>
            <m:r>
              <m:t>5</m:t>
            </m:r>
          </m:sub>
        </m:sSub>
      </m:oMath>
      <w:r>
        <w:t xml:space="preserve"> </w:t>
      </w:r>
      <w:r>
        <w:t xml:space="preserve">é a concentração média de material particulado (μg/m³) e Parque é uma dummy para imóvel a até 500m de um parque.</w:t>
      </w:r>
    </w:p>
    <w:p>
      <w:pPr>
        <w:pStyle w:val="Compact"/>
        <w:numPr>
          <w:ilvl w:val="0"/>
          <w:numId w:val="2355"/>
        </w:numPr>
      </w:pPr>
      <w:r>
        <w:t xml:space="preserve">Interprete o coeficiente de PM</w:t>
      </w:r>
      <m:oMath>
        <m:sSub>
          <m:e>
            <m:r>
              <m:t>​</m:t>
            </m:r>
          </m:e>
          <m:sub>
            <m:r>
              <m:t>2</m:t>
            </m:r>
            <m:r>
              <m:rPr>
                <m:sty m:val="p"/>
              </m:rPr>
              <m:t>,</m:t>
            </m:r>
            <m:r>
              <m:t>5</m:t>
            </m:r>
          </m:sub>
        </m:sSub>
      </m:oMath>
      <w:r>
        <w:t xml:space="preserve">. Uma redução de 10 μg/m³ na poluição aumenta o preço do imóvel em quanto (aproximadamente)?</w:t>
      </w:r>
    </w:p>
    <w:p>
      <w:pPr>
        <w:pStyle w:val="Compact"/>
        <w:numPr>
          <w:ilvl w:val="0"/>
          <w:numId w:val="2355"/>
        </w:numPr>
      </w:pPr>
      <w:r>
        <w:t xml:space="preserve">Interprete o coeficiente de Parque. Qual é o prêmio percentual por proximidade ao parque?</w:t>
      </w:r>
    </w:p>
    <w:p>
      <w:pPr>
        <w:pStyle w:val="Compact"/>
        <w:numPr>
          <w:ilvl w:val="0"/>
          <w:numId w:val="2355"/>
        </w:numPr>
      </w:pPr>
      <w:r>
        <w:t xml:space="preserve">Se o preço médio de um imóvel no bairro é R$ 500.000, qual é o valor implícito (em R$) da proximidade ao parque?</w:t>
      </w:r>
    </w:p>
    <w:p>
      <w:pPr>
        <w:pStyle w:val="Compact"/>
        <w:numPr>
          <w:ilvl w:val="0"/>
          <w:numId w:val="2355"/>
        </w:numPr>
      </w:pPr>
      <w:r>
        <w:t xml:space="preserve">Discuta uma limitação do método de preços hedônicos para estimar o valor total da qualidade ambiental.</w:t>
      </w:r>
    </w:p>
    <w:p>
      <w:pPr>
        <w:pStyle w:val="FirstParagraph"/>
      </w:pPr>
      <w:r>
        <w:t xml:space="preserve">Ver solução (Cap. 24)</w:t>
      </w:r>
    </w:p>
    <w:p>
      <w:pPr>
        <w:pStyle w:val="BodyText"/>
      </w:pPr>
      <w:r>
        <w:rPr>
          <w:b/>
          <w:bCs/>
        </w:rPr>
        <w:t xml:space="preserve">Exercício 24.10.</w:t>
      </w:r>
      <w:r>
        <w:t xml:space="preserve"> </w:t>
      </w:r>
      <w:r>
        <w:t xml:space="preserve">O modelo DICE simplificado: considere uma economia em dois períodos. No período 1, a produção é</w:t>
      </w:r>
      <w:r>
        <w:t xml:space="preserve"> </w:t>
      </w:r>
      <m:oMath>
        <m:sSub>
          <m:e>
            <m:r>
              <m:t>Y</m:t>
            </m:r>
          </m:e>
          <m:sub>
            <m:r>
              <m:t>1</m:t>
            </m:r>
          </m:sub>
        </m:sSub>
        <m:r>
          <m:rPr>
            <m:sty m:val="p"/>
          </m:rPr>
          <m:t>=</m:t>
        </m:r>
        <m:r>
          <m:t>100</m:t>
        </m:r>
      </m:oMath>
      <w:r>
        <w:t xml:space="preserve"> </w:t>
      </w:r>
      <w:r>
        <w:t xml:space="preserve">e as emissões são proporcionais à produção:</w:t>
      </w:r>
      <w:r>
        <w:t xml:space="preserve"> </w:t>
      </w:r>
      <m:oMath>
        <m:sSub>
          <m:e>
            <m:r>
              <m:t>E</m:t>
            </m:r>
          </m:e>
          <m:sub>
            <m:r>
              <m:t>1</m:t>
            </m:r>
          </m:sub>
        </m:sSub>
        <m:r>
          <m:rPr>
            <m:sty m:val="p"/>
          </m:rPr>
          <m:t>=</m:t>
        </m:r>
        <m:r>
          <m:t>σ</m:t>
        </m:r>
        <m:sSub>
          <m:e>
            <m:r>
              <m:t>Y</m:t>
            </m:r>
          </m:e>
          <m:sub>
            <m:r>
              <m:t>1</m:t>
            </m:r>
          </m:sub>
        </m:sSub>
        <m:r>
          <m:rPr>
            <m:sty m:val="p"/>
          </m:rPr>
          <m:t>(</m:t>
        </m:r>
        <m:r>
          <m:t>1</m:t>
        </m:r>
        <m:r>
          <m:rPr>
            <m:sty m:val="p"/>
          </m:rPr>
          <m:t>−</m:t>
        </m:r>
        <m:sSub>
          <m:e>
            <m:r>
              <m:t>μ</m:t>
            </m:r>
          </m:e>
          <m:sub>
            <m:r>
              <m:t>1</m:t>
            </m:r>
          </m:sub>
        </m:sSub>
        <m:r>
          <m:rPr>
            <m:sty m:val="p"/>
          </m:rPr>
          <m:t>)</m:t>
        </m:r>
      </m:oMath>
      <w:r>
        <w:t xml:space="preserve">, onde</w:t>
      </w:r>
      <w:r>
        <w:t xml:space="preserve"> </w:t>
      </w:r>
      <m:oMath>
        <m:r>
          <m:t>σ</m:t>
        </m:r>
        <m:r>
          <m:rPr>
            <m:sty m:val="p"/>
          </m:rPr>
          <m:t>=</m:t>
        </m:r>
        <m:r>
          <m:t>0</m:t>
        </m:r>
        <m:r>
          <m:rPr>
            <m:sty m:val="p"/>
          </m:rPr>
          <m:t>,</m:t>
        </m:r>
        <m:r>
          <m:t>5</m:t>
        </m:r>
      </m:oMath>
      <w:r>
        <w:t xml:space="preserve"> </w:t>
      </w:r>
      <w:r>
        <w:t xml:space="preserve">é a intensidade de carbono e</w:t>
      </w:r>
      <w:r>
        <w:t xml:space="preserve"> </w:t>
      </w:r>
      <m:oMath>
        <m:sSub>
          <m:e>
            <m:r>
              <m:t>μ</m:t>
            </m:r>
          </m:e>
          <m:sub>
            <m:r>
              <m:t>1</m:t>
            </m:r>
          </m:sub>
        </m:sSub>
        <m:r>
          <m:rPr>
            <m:sty m:val="p"/>
          </m:rPr>
          <m:t>∈</m:t>
        </m:r>
        <m:r>
          <m:rPr>
            <m:sty m:val="p"/>
          </m:rPr>
          <m:t>[</m:t>
        </m:r>
        <m:r>
          <m:t>0</m:t>
        </m:r>
        <m:r>
          <m:rPr>
            <m:sty m:val="p"/>
          </m:rPr>
          <m:t>,</m:t>
        </m:r>
        <m:r>
          <m:t>1</m:t>
        </m:r>
        <m:r>
          <m:rPr>
            <m:sty m:val="p"/>
          </m:rPr>
          <m:t>]</m:t>
        </m:r>
      </m:oMath>
      <w:r>
        <w:t xml:space="preserve"> </w:t>
      </w:r>
      <w:r>
        <w:t xml:space="preserve">é a taxa de abatimento. O custo de abatimento é</w:t>
      </w:r>
      <w:r>
        <w:t xml:space="preserve"> </w:t>
      </w:r>
      <m:oMath>
        <m:r>
          <m:rPr>
            <m:sty m:val="p"/>
          </m:rPr>
          <m:t>Θ</m:t>
        </m:r>
        <m:r>
          <m:rPr>
            <m:sty m:val="p"/>
          </m:rPr>
          <m:t>(</m:t>
        </m:r>
        <m:r>
          <m:t>μ</m:t>
        </m:r>
        <m:r>
          <m:rPr>
            <m:sty m:val="p"/>
          </m:rPr>
          <m:t>)</m:t>
        </m:r>
        <m:r>
          <m:rPr>
            <m:sty m:val="p"/>
          </m:rPr>
          <m:t>=</m:t>
        </m:r>
        <m:sSub>
          <m:e>
            <m:r>
              <m:t>θ</m:t>
            </m:r>
          </m:e>
          <m:sub>
            <m:r>
              <m:t>1</m:t>
            </m:r>
          </m:sub>
        </m:sSub>
        <m:sSup>
          <m:e>
            <m:r>
              <m:t>μ</m:t>
            </m:r>
          </m:e>
          <m:sup>
            <m:r>
              <m:t>2</m:t>
            </m:r>
          </m:sup>
        </m:sSup>
        <m:r>
          <m:t>Y</m:t>
        </m:r>
      </m:oMath>
      <w:r>
        <w:t xml:space="preserve">, com</w:t>
      </w:r>
      <w:r>
        <w:t xml:space="preserve"> </w:t>
      </w:r>
      <m:oMath>
        <m:sSub>
          <m:e>
            <m:r>
              <m:t>θ</m:t>
            </m:r>
          </m:e>
          <m:sub>
            <m:r>
              <m:t>1</m:t>
            </m:r>
          </m:sub>
        </m:sSub>
        <m:r>
          <m:rPr>
            <m:sty m:val="p"/>
          </m:rPr>
          <m:t>=</m:t>
        </m:r>
        <m:r>
          <m:t>0</m:t>
        </m:r>
        <m:r>
          <m:rPr>
            <m:sty m:val="p"/>
          </m:rPr>
          <m:t>,</m:t>
        </m:r>
        <m:r>
          <m:t>1</m:t>
        </m:r>
      </m:oMath>
      <w:r>
        <w:t xml:space="preserve">. No período 2, o dano climático é</w:t>
      </w:r>
      <w:r>
        <w:t xml:space="preserve"> </w:t>
      </w:r>
      <m:oMath>
        <m:sSub>
          <m:e>
            <m:r>
              <m:t>D</m:t>
            </m:r>
          </m:e>
          <m:sub>
            <m:r>
              <m:t>2</m:t>
            </m:r>
          </m:sub>
        </m:sSub>
        <m:r>
          <m:rPr>
            <m:sty m:val="p"/>
          </m:rPr>
          <m:t>=</m:t>
        </m:r>
        <m:r>
          <m:t>δ</m:t>
        </m:r>
        <m:sSubSup>
          <m:e>
            <m:r>
              <m:t>E</m:t>
            </m:r>
          </m:e>
          <m:sub>
            <m:r>
              <m:t>1</m:t>
            </m:r>
          </m:sub>
          <m:sup>
            <m:r>
              <m:t>2</m:t>
            </m:r>
          </m:sup>
        </m:sSubSup>
      </m:oMath>
      <w:r>
        <w:t xml:space="preserve">, com</w:t>
      </w:r>
      <w:r>
        <w:t xml:space="preserve"> </w:t>
      </w:r>
      <m:oMath>
        <m:r>
          <m:t>δ</m:t>
        </m:r>
        <m:r>
          <m:rPr>
            <m:sty m:val="p"/>
          </m:rPr>
          <m:t>=</m:t>
        </m:r>
        <m:r>
          <m:t>0</m:t>
        </m:r>
        <m:r>
          <m:rPr>
            <m:sty m:val="p"/>
          </m:rPr>
          <m:t>,</m:t>
        </m:r>
        <m:r>
          <m:t>01</m:t>
        </m:r>
      </m:oMath>
      <w:r>
        <w:t xml:space="preserve">.</w:t>
      </w:r>
    </w:p>
    <w:p>
      <w:pPr>
        <w:pStyle w:val="Compact"/>
        <w:numPr>
          <w:ilvl w:val="0"/>
          <w:numId w:val="2356"/>
        </w:numPr>
      </w:pPr>
      <w:r>
        <w:t xml:space="preserve">Escreva o bem-estar social</w:t>
      </w:r>
      <w:r>
        <w:t xml:space="preserve"> </w:t>
      </w:r>
      <m:oMath>
        <m:r>
          <m:t>W</m:t>
        </m:r>
        <m:r>
          <m:rPr>
            <m:sty m:val="p"/>
          </m:rPr>
          <m:t>=</m:t>
        </m:r>
        <m:r>
          <m:rPr>
            <m:sty m:val="p"/>
          </m:rPr>
          <m:t>(</m:t>
        </m:r>
        <m:sSub>
          <m:e>
            <m:r>
              <m:t>Y</m:t>
            </m:r>
          </m:e>
          <m:sub>
            <m:r>
              <m:t>1</m:t>
            </m:r>
          </m:sub>
        </m:sSub>
        <m:r>
          <m:rPr>
            <m:sty m:val="p"/>
          </m:rPr>
          <m:t>−</m:t>
        </m:r>
        <m:sSub>
          <m:e>
            <m:r>
              <m:rPr>
                <m:sty m:val="p"/>
              </m:rPr>
              <m:t>Θ</m:t>
            </m:r>
          </m:e>
          <m:sub>
            <m:r>
              <m:t>1</m:t>
            </m:r>
          </m:sub>
        </m:sSub>
        <m:r>
          <m:rPr>
            <m:sty m:val="p"/>
          </m:rPr>
          <m:t>)</m:t>
        </m:r>
        <m:r>
          <m:rPr>
            <m:sty m:val="p"/>
          </m:rPr>
          <m:t>+</m:t>
        </m:r>
        <m:f>
          <m:fPr>
            <m:type m:val="bar"/>
          </m:fPr>
          <m:num>
            <m:sSub>
              <m:e>
                <m:r>
                  <m:t>Y</m:t>
                </m:r>
              </m:e>
              <m:sub>
                <m:r>
                  <m:t>2</m:t>
                </m:r>
              </m:sub>
            </m:sSub>
            <m:r>
              <m:rPr>
                <m:sty m:val="p"/>
              </m:rPr>
              <m:t>−</m:t>
            </m:r>
            <m:sSub>
              <m:e>
                <m:r>
                  <m:t>D</m:t>
                </m:r>
              </m:e>
              <m:sub>
                <m:r>
                  <m:t>2</m:t>
                </m:r>
              </m:sub>
            </m:sSub>
          </m:num>
          <m:den>
            <m:r>
              <m:t>1</m:t>
            </m:r>
            <m:r>
              <m:rPr>
                <m:sty m:val="p"/>
              </m:rPr>
              <m:t>+</m:t>
            </m:r>
            <m:r>
              <m:t>r</m:t>
            </m:r>
          </m:den>
        </m:f>
      </m:oMath>
      <w:r>
        <w:t xml:space="preserve">, supondo</w:t>
      </w:r>
      <w:r>
        <w:t xml:space="preserve"> </w:t>
      </w:r>
      <m:oMath>
        <m:sSub>
          <m:e>
            <m:r>
              <m:t>Y</m:t>
            </m:r>
          </m:e>
          <m:sub>
            <m:r>
              <m:t>2</m:t>
            </m:r>
          </m:sub>
        </m:sSub>
        <m:r>
          <m:rPr>
            <m:sty m:val="p"/>
          </m:rPr>
          <m:t>=</m:t>
        </m:r>
        <m:r>
          <m:t>100</m:t>
        </m:r>
      </m:oMath>
      <w:r>
        <w:t xml:space="preserve"> </w:t>
      </w:r>
      <w:r>
        <w:t xml:space="preserve">e</w:t>
      </w:r>
      <w:r>
        <w:t xml:space="preserve"> </w:t>
      </w:r>
      <m:oMath>
        <m:r>
          <m:t>r</m:t>
        </m:r>
        <m:r>
          <m:rPr>
            <m:sty m:val="p"/>
          </m:rPr>
          <m:t>=</m:t>
        </m:r>
        <m:r>
          <m:t>5</m:t>
        </m:r>
        <m:r>
          <m:rPr>
            <m:sty m:val="p"/>
          </m:rPr>
          <m:t>%</m:t>
        </m:r>
      </m:oMath>
      <w:r>
        <w:t xml:space="preserve">.</w:t>
      </w:r>
    </w:p>
    <w:p>
      <w:pPr>
        <w:pStyle w:val="Compact"/>
        <w:numPr>
          <w:ilvl w:val="0"/>
          <w:numId w:val="2356"/>
        </w:numPr>
      </w:pPr>
      <w:r>
        <w:t xml:space="preserve">Encontre a taxa de abatimento ótima</w:t>
      </w:r>
      <w:r>
        <w:t xml:space="preserve"> </w:t>
      </w:r>
      <m:oMath>
        <m:sSubSup>
          <m:e>
            <m:r>
              <m:t>μ</m:t>
            </m:r>
          </m:e>
          <m:sub>
            <m:r>
              <m:t>1</m:t>
            </m:r>
          </m:sub>
          <m:sup>
            <m:r>
              <m:rPr>
                <m:sty m:val="p"/>
              </m:rPr>
              <m:t>*</m:t>
            </m:r>
          </m:sup>
        </m:sSubSup>
      </m:oMath>
      <w:r>
        <w:t xml:space="preserve"> </w:t>
      </w:r>
      <w:r>
        <w:t xml:space="preserve">que maximiza</w:t>
      </w:r>
      <w:r>
        <w:t xml:space="preserve"> </w:t>
      </w:r>
      <m:oMath>
        <m:r>
          <m:t>W</m:t>
        </m:r>
      </m:oMath>
      <w:r>
        <w:t xml:space="preserve">.</w:t>
      </w:r>
    </w:p>
    <w:p>
      <w:pPr>
        <w:pStyle w:val="Compact"/>
        <w:numPr>
          <w:ilvl w:val="0"/>
          <w:numId w:val="2356"/>
        </w:numPr>
      </w:pPr>
      <w:r>
        <w:t xml:space="preserve">Calcule o SCC implícito (custo marginal do dano por tonelada de CO₂ no ótimo).</w:t>
      </w:r>
    </w:p>
    <w:p>
      <w:pPr>
        <w:pStyle w:val="Compact"/>
        <w:numPr>
          <w:ilvl w:val="0"/>
          <w:numId w:val="2356"/>
        </w:numPr>
      </w:pPr>
      <w:r>
        <w:t xml:space="preserve">Se a taxa de desconto cai para</w:t>
      </w:r>
      <w:r>
        <w:t xml:space="preserve"> </w:t>
      </w:r>
      <m:oMath>
        <m:r>
          <m:t>r</m:t>
        </m:r>
        <m:r>
          <m:rPr>
            <m:sty m:val="p"/>
          </m:rPr>
          <m:t>=</m:t>
        </m:r>
        <m:r>
          <m:t>1</m:t>
        </m:r>
        <m:r>
          <m:rPr>
            <m:sty m:val="p"/>
          </m:rPr>
          <m:t>%</m:t>
        </m:r>
      </m:oMath>
      <w:r>
        <w:t xml:space="preserve">, como muda</w:t>
      </w:r>
      <w:r>
        <w:t xml:space="preserve"> </w:t>
      </w:r>
      <m:oMath>
        <m:sSubSup>
          <m:e>
            <m:r>
              <m:t>μ</m:t>
            </m:r>
          </m:e>
          <m:sub>
            <m:r>
              <m:t>1</m:t>
            </m:r>
          </m:sub>
          <m:sup>
            <m:r>
              <m:rPr>
                <m:sty m:val="p"/>
              </m:rPr>
              <m:t>*</m:t>
            </m:r>
          </m:sup>
        </m:sSubSup>
      </m:oMath>
      <w:r>
        <w:t xml:space="preserve">? Interprete.</w:t>
      </w:r>
    </w:p>
    <w:p>
      <w:pPr>
        <w:pStyle w:val="FirstParagraph"/>
      </w:pPr>
      <w:r>
        <w:t xml:space="preserve">Ver solução (Cap. 24)</w:t>
      </w:r>
    </w:p>
    <w:p>
      <w:r>
        <w:pict>
          <v:rect style="width:0;height:1.5pt" o:hralign="center" o:hrstd="t" o:hr="t"/>
        </w:pict>
      </w:r>
    </w:p>
    <w:bookmarkEnd w:id="1481"/>
    <w:bookmarkStart w:id="1482" w:name="questões-estilo-anpec-3"/>
    <w:p>
      <w:pPr>
        <w:pStyle w:val="Heading3"/>
      </w:pPr>
      <w:r>
        <w:t xml:space="preserve">Questões estilo ANPEC</w:t>
      </w:r>
    </w:p>
    <w:p>
      <w:pPr>
        <w:pStyle w:val="BlockText"/>
      </w:pPr>
      <w:r>
        <w:rPr>
          <w:b/>
          <w:bCs/>
        </w:rPr>
        <w:t xml:space="preserve">[QUESTAO] Questão ANPEC 24.1 — Instrumentos de Política Ambiental</w:t>
      </w:r>
    </w:p>
    <w:p>
      <w:pPr>
        <w:pStyle w:val="BlockText"/>
      </w:pPr>
      <w:r>
        <w:t xml:space="preserve">Com relação aos instrumentos de política ambiental e à economia das mudanças climáticas, julgue os itens:</w:t>
      </w:r>
    </w:p>
    <w:p>
      <w:pPr>
        <w:pStyle w:val="BlockText"/>
      </w:pPr>
      <w:r>
        <w:rPr>
          <w:b/>
          <w:bCs/>
        </w:rPr>
        <w:t xml:space="preserve">(0)</w:t>
      </w:r>
      <w:r>
        <w:t xml:space="preserve"> </w:t>
      </w:r>
      <w:r>
        <w:t xml:space="preserve">Em um sistema cap-and-trade, a alocação final de emissões entre firmas é eficiente independentemente da distribuição inicial de permissões — desde que os custos de transação sejam baixos e o mercado de permissões funcione competitivamente.</w:t>
      </w:r>
    </w:p>
    <w:p>
      <w:pPr>
        <w:pStyle w:val="BlockText"/>
      </w:pPr>
      <w:r>
        <w:rPr>
          <w:b/>
          <w:bCs/>
        </w:rPr>
        <w:t xml:space="preserve">(1)</w:t>
      </w:r>
      <w:r>
        <w:t xml:space="preserve"> </w:t>
      </w:r>
      <w:r>
        <w:t xml:space="preserve">O resultado de Weitzman (1974) mostra que, sob incerteza sobre os custos de abatimento, o imposto pigouviano é sempre preferível ao cap-and-trade, pois oferece certeza de custo para as firmas.</w:t>
      </w:r>
    </w:p>
    <w:p>
      <w:pPr>
        <w:pStyle w:val="BlockText"/>
      </w:pPr>
      <w:r>
        <w:rPr>
          <w:b/>
          <w:bCs/>
        </w:rPr>
        <w:t xml:space="preserve">(2)</w:t>
      </w:r>
      <w:r>
        <w:t xml:space="preserve"> </w:t>
      </w:r>
      <w:r>
        <w:t xml:space="preserve">O custo social do carbono (SCC) é extremamente sensível à taxa de desconto: uma redução da taxa de 5% para 1,4% pode mais que triplicar o valor estimado do SCC.</w:t>
      </w:r>
    </w:p>
    <w:p>
      <w:pPr>
        <w:pStyle w:val="BlockText"/>
      </w:pPr>
      <w:r>
        <w:rPr>
          <w:b/>
          <w:bCs/>
        </w:rPr>
        <w:t xml:space="preserve">(3)</w:t>
      </w:r>
      <w:r>
        <w:t xml:space="preserve"> </w:t>
      </w:r>
      <w:r>
        <w:t xml:space="preserve">O duplo dividendo da tributação ambiental refere-se ao fato de que impostos ambientais geram simultaneamente redução da poluição e receita fiscal que pode substituir impostos distorcivos — gerando potencialmente ganhos de eficiência adicionais.</w:t>
      </w:r>
    </w:p>
    <w:p>
      <w:pPr>
        <w:pStyle w:val="BlockText"/>
      </w:pPr>
      <w:r>
        <w:rPr>
          <w:b/>
          <w:bCs/>
        </w:rPr>
        <w:t xml:space="preserve">(4)</w:t>
      </w:r>
      <w:r>
        <w:t xml:space="preserve"> </w:t>
      </w:r>
      <w:r>
        <w:t xml:space="preserve">A regra de Hotelling prevê que o preço de mercado de recursos não renováveis cresce à taxa de juros, o que implica que recursos mais escassos sempre têm preços mais altos.</w:t>
      </w:r>
    </w:p>
    <w:p>
      <w:pPr>
        <w:pStyle w:val="BlockText"/>
      </w:pPr>
      <w:r>
        <w:t xml:space="preserve">??? success</w:t>
      </w:r>
      <w:r>
        <w:t xml:space="preserve"> </w:t>
      </w:r>
      <w:r>
        <w:t xml:space="preserve">“Gabarito”</w:t>
      </w:r>
      <w:r>
        <w:t xml:space="preserve"> </w:t>
      </w:r>
      <w:r>
        <w:rPr>
          <w:b/>
          <w:bCs/>
        </w:rPr>
        <w:t xml:space="preserve">Respostas: V-F-V-V-F</w:t>
      </w:r>
    </w:p>
    <w:p>
      <w:pPr>
        <w:pStyle w:val="SourceCode"/>
      </w:pPr>
      <w:r>
        <w:rPr>
          <w:rStyle w:val="VerbatimChar"/>
        </w:rPr>
        <w:t xml:space="preserve">- **Item 0 — V:** Resultado análogo ao Teorema de Coase aplicado ao mercado de permissões. A distribuição inicial afeta a renda das firmas, mas não a alocação final de emissões.</w:t>
      </w:r>
      <w:r>
        <w:br/>
      </w:r>
      <w:r>
        <w:rPr>
          <w:rStyle w:val="VerbatimChar"/>
        </w:rPr>
        <w:t xml:space="preserve">- **Item 1 — F:** Weitzman mostrou que a preferência depende das inclinações relativas das curvas de dano e custo. Não há superioridade universal de nenhum instrumento.</w:t>
      </w:r>
      <w:r>
        <w:br/>
      </w:r>
      <w:r>
        <w:rPr>
          <w:rStyle w:val="VerbatimChar"/>
        </w:rPr>
        <w:t xml:space="preserve">- **Item 2 — V:** Para uma perpetuidade de danos, $\text{SCC} = D/r$. A razão $5\%/1{,}4\% = 3{,}57$, logo o SCC com taxa de Stern seria ~3,6 vezes o de Nordhaus.</w:t>
      </w:r>
      <w:r>
        <w:br/>
      </w:r>
      <w:r>
        <w:rPr>
          <w:rStyle w:val="VerbatimChar"/>
        </w:rPr>
        <w:t xml:space="preserve">- **Item 3 — V:** O primeiro dividendo é ambiental; o segundo é fiscal.</w:t>
      </w:r>
      <w:r>
        <w:br/>
      </w:r>
      <w:r>
        <w:rPr>
          <w:rStyle w:val="VerbatimChar"/>
        </w:rPr>
        <w:t xml:space="preserve">- **Item 4 — F:** A regra de Hotelling diz que o *preço líquido* (preço menos custo de extração) cresce à taxa de juros, não o preço de mercado.</w:t>
      </w:r>
    </w:p>
    <w:p>
      <w:pPr>
        <w:pStyle w:val="BlockText"/>
      </w:pPr>
      <w:r>
        <w:rPr>
          <w:b/>
          <w:bCs/>
        </w:rPr>
        <w:t xml:space="preserve">[QUESTAO] Questão ANPEC 24.2 — Valoração Ambiental e Recursos Naturais</w:t>
      </w:r>
    </w:p>
    <w:p>
      <w:pPr>
        <w:pStyle w:val="BlockText"/>
      </w:pPr>
      <w:r>
        <w:t xml:space="preserve">Sobre valoração ambiental, recursos naturais e sustentabilidade, julgue os itens:</w:t>
      </w:r>
    </w:p>
    <w:p>
      <w:pPr>
        <w:pStyle w:val="BlockText"/>
      </w:pPr>
      <w:r>
        <w:rPr>
          <w:b/>
          <w:bCs/>
        </w:rPr>
        <w:t xml:space="preserve">(0)</w:t>
      </w:r>
      <w:r>
        <w:t xml:space="preserve"> </w:t>
      </w:r>
      <w:r>
        <w:t xml:space="preserve">O valor econômico total de um recurso ambiental inclui apenas os valores de uso direto e indireto — os chamados</w:t>
      </w:r>
      <w:r>
        <w:t xml:space="preserve"> </w:t>
      </w:r>
      <w:r>
        <w:t xml:space="preserve">“valores de não-uso”</w:t>
      </w:r>
      <w:r>
        <w:t xml:space="preserve"> </w:t>
      </w:r>
      <w:r>
        <w:t xml:space="preserve">(existência e legado) não são reconhecidos pela teoria econômica por serem subjetivos.</w:t>
      </w:r>
    </w:p>
    <w:p>
      <w:pPr>
        <w:pStyle w:val="BlockText"/>
      </w:pPr>
      <w:r>
        <w:rPr>
          <w:b/>
          <w:bCs/>
        </w:rPr>
        <w:t xml:space="preserve">(1)</w:t>
      </w:r>
      <w:r>
        <w:t xml:space="preserve"> </w:t>
      </w:r>
      <w:r>
        <w:t xml:space="preserve">O método de preços hedônicos estima o valor de atributos ambientais a partir de diferenças de preço em mercados de bens diferenciados, como imóveis — sendo uma aplicação de preferência revelada.</w:t>
      </w:r>
    </w:p>
    <w:p>
      <w:pPr>
        <w:pStyle w:val="BlockText"/>
      </w:pPr>
      <w:r>
        <w:rPr>
          <w:b/>
          <w:bCs/>
        </w:rPr>
        <w:t xml:space="preserve">(2)</w:t>
      </w:r>
      <w:r>
        <w:t xml:space="preserve"> </w:t>
      </w:r>
      <w:r>
        <w:t xml:space="preserve">A regra de Hartwick estabelece que uma economia dependente de recursos exauríveis pode manter o consumo per capita constante se investir toda a renda de escassez dos recursos naturais em capital reprodutível.</w:t>
      </w:r>
    </w:p>
    <w:p>
      <w:pPr>
        <w:pStyle w:val="BlockText"/>
      </w:pPr>
      <w:r>
        <w:rPr>
          <w:b/>
          <w:bCs/>
        </w:rPr>
        <w:t xml:space="preserve">(3)</w:t>
      </w:r>
      <w:r>
        <w:t xml:space="preserve"> </w:t>
      </w:r>
      <w:r>
        <w:t xml:space="preserve">A poupança genuína (poupança líquida ajustada) de uma economia pode ser negativa mesmo quando o PIB está crescendo — indicando que o crescimento é insustentável no sentido fraco.</w:t>
      </w:r>
    </w:p>
    <w:p>
      <w:pPr>
        <w:pStyle w:val="BlockText"/>
      </w:pPr>
      <w:r>
        <w:rPr>
          <w:b/>
          <w:bCs/>
        </w:rPr>
        <w:t xml:space="preserve">(4)</w:t>
      </w:r>
      <w:r>
        <w:t xml:space="preserve"> </w:t>
      </w:r>
      <w:r>
        <w:t xml:space="preserve">Em um recurso pesqueiro de acesso livre, o equilíbrio de livre entrada dissipa toda a renda econômica do recurso, resultando em estoque de peixes acima do nível que maximiza o rendimento sustentável.</w:t>
      </w:r>
    </w:p>
    <w:p>
      <w:pPr>
        <w:pStyle w:val="BlockText"/>
      </w:pPr>
      <w:r>
        <w:t xml:space="preserve">??? success</w:t>
      </w:r>
      <w:r>
        <w:t xml:space="preserve"> </w:t>
      </w:r>
      <w:r>
        <w:t xml:space="preserve">“Gabarito”</w:t>
      </w:r>
      <w:r>
        <w:t xml:space="preserve"> </w:t>
      </w:r>
      <w:r>
        <w:rPr>
          <w:b/>
          <w:bCs/>
        </w:rPr>
        <w:t xml:space="preserve">Respostas: F-V-V-V-F</w:t>
      </w:r>
    </w:p>
    <w:p>
      <w:pPr>
        <w:pStyle w:val="SourceCode"/>
      </w:pPr>
      <w:r>
        <w:rPr>
          <w:rStyle w:val="VerbatimChar"/>
        </w:rPr>
        <w:t xml:space="preserve">- **Item 0 — F:** A teoria econômica reconhece explicitamente valores de não-uso como componentes legítimos do VET.</w:t>
      </w:r>
      <w:r>
        <w:br/>
      </w:r>
      <w:r>
        <w:rPr>
          <w:rStyle w:val="VerbatimChar"/>
        </w:rPr>
        <w:t xml:space="preserve">- **Item 1 — V:** Preços hedônicos observam como preços variam com atributos ambientais — lógica de preferência revelada.</w:t>
      </w:r>
      <w:r>
        <w:br/>
      </w:r>
      <w:r>
        <w:rPr>
          <w:rStyle w:val="VerbatimChar"/>
        </w:rPr>
        <w:t xml:space="preserve">- **Item 2 — V:** A regra de Hartwick: $I_K = p_n \cdot h$.</w:t>
      </w:r>
      <w:r>
        <w:br/>
      </w:r>
      <w:r>
        <w:rPr>
          <w:rStyle w:val="VerbatimChar"/>
        </w:rPr>
        <w:t xml:space="preserve">- **Item 3 — V:** Poupança genuína pode ser negativa com PIB crescente se a depleção de recursos superar a poupança.</w:t>
      </w:r>
      <w:r>
        <w:br/>
      </w:r>
      <w:r>
        <w:rPr>
          <w:rStyle w:val="VerbatimChar"/>
        </w:rPr>
        <w:t xml:space="preserve">- **Item 4 — F:** O acesso livre resulta em estoque *abaixo* (não acima) do nível do RMS — sobreexploração.</w:t>
      </w:r>
    </w:p>
    <w:p>
      <w:pPr>
        <w:pStyle w:val="BlockText"/>
      </w:pPr>
      <w:r>
        <w:rPr>
          <w:b/>
          <w:bCs/>
        </w:rPr>
        <w:t xml:space="preserve">[QUESTAO] Questão ANPEC 24.3 — Teorema de Coase e Externalidades</w:t>
      </w:r>
    </w:p>
    <w:p>
      <w:pPr>
        <w:pStyle w:val="BlockText"/>
      </w:pPr>
      <w:r>
        <w:t xml:space="preserve">Sobre o Teorema de Coase e soluções para externalidades, julgue os itens:</w:t>
      </w:r>
    </w:p>
    <w:p>
      <w:pPr>
        <w:pStyle w:val="BlockText"/>
      </w:pPr>
      <w:r>
        <w:rPr>
          <w:b/>
          <w:bCs/>
        </w:rPr>
        <w:t xml:space="preserve">(0)</w:t>
      </w:r>
      <w:r>
        <w:t xml:space="preserve"> </w:t>
      </w:r>
      <w:r>
        <w:t xml:space="preserve">O Teorema de Coase afirma que, na ausência de custos de transação, a alocação eficiente dos recursos é alcançada independentemente da distribuição inicial dos direitos de propriedade — embora a distribuição de renda entre as partes dependa dessa atribuição.</w:t>
      </w:r>
    </w:p>
    <w:p>
      <w:pPr>
        <w:pStyle w:val="BlockText"/>
      </w:pPr>
      <w:r>
        <w:rPr>
          <w:b/>
          <w:bCs/>
        </w:rPr>
        <w:t xml:space="preserve">(1)</w:t>
      </w:r>
      <w:r>
        <w:t xml:space="preserve"> </w:t>
      </w:r>
      <w:r>
        <w:t xml:space="preserve">Uma implicação do Teorema de Coase é que a intervenção governamental via imposto pigouviano é sempre desnecessária para corrigir externalidades, bastando que os direitos de propriedade estejam bem definidos.</w:t>
      </w:r>
    </w:p>
    <w:p>
      <w:pPr>
        <w:pStyle w:val="BlockText"/>
      </w:pPr>
      <w:r>
        <w:rPr>
          <w:b/>
          <w:bCs/>
        </w:rPr>
        <w:t xml:space="preserve">(2)</w:t>
      </w:r>
      <w:r>
        <w:t xml:space="preserve"> </w:t>
      </w:r>
      <w:r>
        <w:t xml:space="preserve">O Teorema de Coase é particularmente difícil de aplicar em externalidades que afetam muitos agentes (como poluição do ar), porque os custos de transação de negociação coletiva crescem com o número de partes envolvidas.</w:t>
      </w:r>
    </w:p>
    <w:p>
      <w:pPr>
        <w:pStyle w:val="BlockText"/>
      </w:pPr>
      <w:r>
        <w:rPr>
          <w:b/>
          <w:bCs/>
        </w:rPr>
        <w:t xml:space="preserve">(3)</w:t>
      </w:r>
      <w:r>
        <w:t xml:space="preserve"> </w:t>
      </w:r>
      <w:r>
        <w:t xml:space="preserve">A diferença entre um imposto pigouviano e um sistema cap-and-trade reside exclusivamente na distribuição de renda: ambos geram a mesma quantidade de abatimento e o mesmo preço de equilíbrio para as emissões, sob certeza plena.</w:t>
      </w:r>
    </w:p>
    <w:p>
      <w:pPr>
        <w:pStyle w:val="BlockText"/>
      </w:pPr>
      <w:r>
        <w:rPr>
          <w:b/>
          <w:bCs/>
        </w:rPr>
        <w:t xml:space="preserve">(4)</w:t>
      </w:r>
      <w:r>
        <w:t xml:space="preserve"> </w:t>
      </w:r>
      <w:r>
        <w:t xml:space="preserve">O vazamento de carbono (</w:t>
      </w:r>
      <w:r>
        <w:rPr>
          <w:i/>
          <w:iCs/>
        </w:rPr>
        <w:t xml:space="preserve">carbon leakage</w:t>
      </w:r>
      <w:r>
        <w:t xml:space="preserve">) ocorre quando a regulação ambiental em um país reduz as emissões domésticas mas aumenta as emissões em países sem regulação, devido à relocação da produção — podendo resultar em aumento líquido das emissões globais.</w:t>
      </w:r>
    </w:p>
    <w:p>
      <w:pPr>
        <w:pStyle w:val="BlockText"/>
      </w:pPr>
      <w:r>
        <w:t xml:space="preserve">??? success</w:t>
      </w:r>
      <w:r>
        <w:t xml:space="preserve"> </w:t>
      </w:r>
      <w:r>
        <w:t xml:space="preserve">“Gabarito”</w:t>
      </w:r>
      <w:r>
        <w:t xml:space="preserve"> </w:t>
      </w:r>
      <w:r>
        <w:rPr>
          <w:b/>
          <w:bCs/>
        </w:rPr>
        <w:t xml:space="preserve">Respostas: V-F-V-V-V</w:t>
      </w:r>
    </w:p>
    <w:p>
      <w:pPr>
        <w:pStyle w:val="SourceCode"/>
      </w:pPr>
      <w:r>
        <w:rPr>
          <w:rStyle w:val="VerbatimChar"/>
        </w:rPr>
        <w:t xml:space="preserve">- **Item 0 — V:** Resultado central de Coase (1960). A eficiência é invariante à atribuição de direitos; a distribuição não é.</w:t>
      </w:r>
      <w:r>
        <w:br/>
      </w:r>
      <w:r>
        <w:rPr>
          <w:rStyle w:val="VerbatimChar"/>
        </w:rPr>
        <w:t xml:space="preserve">- **Item 1 — F:** O Teorema assume custos de transação zero — hipótese violada na maioria dos casos reais (especialmente com muitos agentes, como poluição). Em presença de custos de transação, a intervenção pode ser necessária.</w:t>
      </w:r>
      <w:r>
        <w:br/>
      </w:r>
      <w:r>
        <w:rPr>
          <w:rStyle w:val="VerbatimChar"/>
        </w:rPr>
        <w:t xml:space="preserve">- **Item 2 — V:** Com $N$ partes, os custos de coordenação, barganha e enforcement crescem, tornando a solução coaseana impraticável para externalidades difusas.</w:t>
      </w:r>
      <w:r>
        <w:br/>
      </w:r>
      <w:r>
        <w:rPr>
          <w:rStyle w:val="VerbatimChar"/>
        </w:rPr>
        <w:t xml:space="preserve">- **Item 3 — V:** Sob certeza, imposto e cap são equivalentes: o imposto fixa o preço e o cap fixa a quantidade, mas ambos convergem para o mesmo equilíbrio. A equivalência se rompe sob incerteza (Weitzman, 1974).</w:t>
      </w:r>
      <w:r>
        <w:br/>
      </w:r>
      <w:r>
        <w:rPr>
          <w:rStyle w:val="VerbatimChar"/>
        </w:rPr>
        <w:t xml:space="preserve">- **Item 4 — V:** O vazamento de carbono é o principal argumento para mecanismos de ajuste de fronteira como o CBAM europeu.</w:t>
      </w:r>
    </w:p>
    <w:p>
      <w:pPr>
        <w:pStyle w:val="BlockText"/>
      </w:pPr>
      <w:r>
        <w:rPr>
          <w:b/>
          <w:bCs/>
        </w:rPr>
        <w:t xml:space="preserve">[QUESTAO] Questão ANPEC 24.4 — Valoração Contingente e Métodos de Preferência Declarada</w:t>
      </w:r>
    </w:p>
    <w:p>
      <w:pPr>
        <w:pStyle w:val="BlockText"/>
      </w:pPr>
      <w:r>
        <w:t xml:space="preserve">Sobre métodos de valoração ambiental, julgue os itens:</w:t>
      </w:r>
    </w:p>
    <w:p>
      <w:pPr>
        <w:pStyle w:val="BlockText"/>
      </w:pPr>
      <w:r>
        <w:rPr>
          <w:b/>
          <w:bCs/>
        </w:rPr>
        <w:t xml:space="preserve">(0)</w:t>
      </w:r>
      <w:r>
        <w:t xml:space="preserve"> </w:t>
      </w:r>
      <w:r>
        <w:t xml:space="preserve">O método de valoração contingente estima a disposição a pagar (DAP) por bens ambientais através de cenários hipotéticos, sendo classificado como método de preferência declarada — em contraste com preços hedônicos e custo de viagem, que são métodos de preferência revelada.</w:t>
      </w:r>
    </w:p>
    <w:p>
      <w:pPr>
        <w:pStyle w:val="BlockText"/>
      </w:pPr>
      <w:r>
        <w:rPr>
          <w:b/>
          <w:bCs/>
        </w:rPr>
        <w:t xml:space="preserve">(1)</w:t>
      </w:r>
      <w:r>
        <w:t xml:space="preserve"> </w:t>
      </w:r>
      <w:r>
        <w:t xml:space="preserve">O viés hipotético (</w:t>
      </w:r>
      <w:r>
        <w:rPr>
          <w:i/>
          <w:iCs/>
        </w:rPr>
        <w:t xml:space="preserve">hypothetical bias</w:t>
      </w:r>
      <w:r>
        <w:t xml:space="preserve">) na valoração contingente refere-se à tendência dos respondentes de declarar uma DAP superior à que efetivamente pagariam, pois a pesquisa não envolve transação real.</w:t>
      </w:r>
    </w:p>
    <w:p>
      <w:pPr>
        <w:pStyle w:val="BlockText"/>
      </w:pPr>
      <w:r>
        <w:rPr>
          <w:b/>
          <w:bCs/>
        </w:rPr>
        <w:t xml:space="preserve">(2)</w:t>
      </w:r>
      <w:r>
        <w:t xml:space="preserve"> </w:t>
      </w:r>
      <w:r>
        <w:t xml:space="preserve">O método de custo de viagem estima o valor recreativo de um sítio natural a partir dos gastos que os visitantes incorrem para acessá-lo, tratando o custo de deslocamento como um</w:t>
      </w:r>
      <w:r>
        <w:t xml:space="preserve"> </w:t>
      </w:r>
      <w:r>
        <w:t xml:space="preserve">“preço”</w:t>
      </w:r>
      <w:r>
        <w:t xml:space="preserve"> </w:t>
      </w:r>
      <w:r>
        <w:t xml:space="preserve">implícito que varia entre os visitantes conforme sua localização.</w:t>
      </w:r>
    </w:p>
    <w:p>
      <w:pPr>
        <w:pStyle w:val="BlockText"/>
      </w:pPr>
      <w:r>
        <w:rPr>
          <w:b/>
          <w:bCs/>
        </w:rPr>
        <w:t xml:space="preserve">(3)</w:t>
      </w:r>
      <w:r>
        <w:t xml:space="preserve"> </w:t>
      </w:r>
      <w:r>
        <w:t xml:space="preserve">A poupança genuína de um país pode ser negativa mesmo com poupança bruta positiva, desde que a soma da depreciação do capital produzido e da depleção de recursos naturais exceda a poupança bruta.</w:t>
      </w:r>
    </w:p>
    <w:p>
      <w:pPr>
        <w:pStyle w:val="BlockText"/>
      </w:pPr>
      <w:r>
        <w:rPr>
          <w:b/>
          <w:bCs/>
        </w:rPr>
        <w:t xml:space="preserve">(4)</w:t>
      </w:r>
      <w:r>
        <w:t xml:space="preserve"> </w:t>
      </w:r>
      <w:r>
        <w:t xml:space="preserve">O Protocolo de Nagoya (2010) estabeleceu metas quantitativas de redução de emissões de gases de efeito estufa para países em desenvolvimento, substituindo o Protocolo de Kyoto.</w:t>
      </w:r>
    </w:p>
    <w:p>
      <w:pPr>
        <w:pStyle w:val="BlockText"/>
      </w:pPr>
      <w:r>
        <w:t xml:space="preserve">??? success</w:t>
      </w:r>
      <w:r>
        <w:t xml:space="preserve"> </w:t>
      </w:r>
      <w:r>
        <w:t xml:space="preserve">“Gabarito”</w:t>
      </w:r>
      <w:r>
        <w:t xml:space="preserve"> </w:t>
      </w:r>
      <w:r>
        <w:rPr>
          <w:b/>
          <w:bCs/>
        </w:rPr>
        <w:t xml:space="preserve">Respostas: V-V-V-V-F</w:t>
      </w:r>
    </w:p>
    <w:p>
      <w:pPr>
        <w:pStyle w:val="SourceCode"/>
      </w:pPr>
      <w:r>
        <w:rPr>
          <w:rStyle w:val="VerbatimChar"/>
        </w:rPr>
        <w:t xml:space="preserve">- **Item 0 — V:** Classificação padrão dos métodos de valoração ambiental.</w:t>
      </w:r>
      <w:r>
        <w:br/>
      </w:r>
      <w:r>
        <w:rPr>
          <w:rStyle w:val="VerbatimChar"/>
        </w:rPr>
        <w:t xml:space="preserve">- **Item 1 — V:** O viés hipotético é a principal crítica à valoração contingente. Soluções incluem *cheap talk scripts*, formato referendo e calibração ex post.</w:t>
      </w:r>
      <w:r>
        <w:br/>
      </w:r>
      <w:r>
        <w:rPr>
          <w:rStyle w:val="VerbatimChar"/>
        </w:rPr>
        <w:t xml:space="preserve">- **Item 2 — V:** O custo de viagem (Clawson, 1959; Knetsch, 1963) usa a variação espacial nos custos de acesso como variação de preço para estimar a curva de demanda pelo sítio.</w:t>
      </w:r>
      <w:r>
        <w:br/>
      </w:r>
      <w:r>
        <w:rPr>
          <w:rStyle w:val="VerbatimChar"/>
        </w:rPr>
        <w:t xml:space="preserve">- **Item 3 — V:** Poupança genuína = Poupança bruta − Depreciação capital − Depleção recursos − Dano poluição + Investimento educação. Se os termos negativos dominam, a poupança genuína é negativa (trajetória insustentável).</w:t>
      </w:r>
      <w:r>
        <w:br/>
      </w:r>
      <w:r>
        <w:rPr>
          <w:rStyle w:val="VerbatimChar"/>
        </w:rPr>
        <w:t xml:space="preserve">- **Item 4 — F:** O Protocolo de Nagoya (2010) trata de biodiversidade e acesso a recursos genéticos, não de emissões. As metas de emissões foram definidas pelo Protocolo de Kyoto (1997) e pelo Acordo de Paris (2015).</w:t>
      </w:r>
    </w:p>
    <w:bookmarkEnd w:id="1482"/>
    <w:bookmarkStart w:id="1488" w:name="pesquisa-em-ação-25"/>
    <w:p>
      <w:pPr>
        <w:pStyle w:val="Heading3"/>
      </w:pPr>
      <w:r>
        <w:t xml:space="preserve">Pesquisa em Ação</w:t>
      </w:r>
    </w:p>
    <w:p>
      <w:pPr>
        <w:pStyle w:val="BlockText"/>
      </w:pPr>
      <w:r>
        <w:rPr>
          <w:b/>
          <w:bCs/>
        </w:rPr>
        <w:t xml:space="preserve">[PESQUISA EM ACAO]</w:t>
      </w:r>
      <w:r>
        <w:rPr>
          <w:b/>
          <w:bCs/>
        </w:rPr>
        <w:t xml:space="preserve"> </w:t>
      </w:r>
      <w:hyperlink r:id="rId1483">
        <w:r>
          <w:rPr>
            <w:rStyle w:val="Hyperlink"/>
            <w:b/>
            <w:bCs/>
          </w:rPr>
          <w:t xml:space="preserve">Nordhaus, W. D. (2017). Revisiting the Social Cost of Carbon.</w:t>
        </w:r>
        <w:r>
          <w:rPr>
            <w:rStyle w:val="Hyperlink"/>
            <w:b/>
            <w:bCs/>
          </w:rPr>
          <w:t xml:space="preserve"> </w:t>
        </w:r>
        <w:r>
          <w:rPr>
            <w:rStyle w:val="Hyperlink"/>
            <w:b/>
            <w:bCs/>
            <w:i/>
            <w:iCs/>
          </w:rPr>
          <w:t xml:space="preserve">Proceedings of the National Academy of Sciences</w:t>
        </w:r>
        <w:r>
          <w:rPr>
            <w:rStyle w:val="Hyperlink"/>
            <w:b/>
            <w:bCs/>
          </w:rPr>
          <w:t xml:space="preserve">, 114(7), 1518–1523.</w:t>
        </w:r>
      </w:hyperlink>
    </w:p>
    <w:p>
      <w:pPr>
        <w:pStyle w:val="BlockText"/>
      </w:pPr>
      <w:r>
        <w:rPr>
          <w:b/>
          <w:bCs/>
        </w:rPr>
        <w:t xml:space="preserve">Pergunta central:</w:t>
      </w:r>
      <w:r>
        <w:t xml:space="preserve"> </w:t>
      </w:r>
      <w:r>
        <w:t xml:space="preserve">Qual é o custo social do carbono atualizado, e como ele depende da taxa de desconto, da sensibilidade climática e da trajetória de emissões?</w:t>
      </w:r>
    </w:p>
    <w:p>
      <w:pPr>
        <w:pStyle w:val="BlockText"/>
      </w:pPr>
      <w:r>
        <w:rPr>
          <w:b/>
          <w:bCs/>
        </w:rPr>
        <w:t xml:space="preserve">Método:</w:t>
      </w:r>
      <w:r>
        <w:t xml:space="preserve"> </w:t>
      </w:r>
      <w:r>
        <w:t xml:space="preserve">Nordhaus utiliza a versão DICE-2016R do seu modelo de avaliação integrada — que conecta um modelo de crescimento econômico neoclássico a um modelo climático geofísico e a uma função de dano que traduz aquecimento em perda de PIB. O SCC é calculado como o preço-sombra das emissões de CO₂ na trajetória ótima.</w:t>
      </w:r>
    </w:p>
    <w:p>
      <w:pPr>
        <w:pStyle w:val="BlockText"/>
      </w:pPr>
      <w:r>
        <w:rPr>
          <w:b/>
          <w:bCs/>
        </w:rPr>
        <w:t xml:space="preserve">Resultado principal:</w:t>
      </w:r>
      <w:r>
        <w:t xml:space="preserve"> </w:t>
      </w:r>
      <w:r>
        <w:t xml:space="preserve">O SCC estimado é de US$ 31/tCO₂ (em dólares de 2010), com taxa de desconto de ~4,25%. A trajetória ótima implica um imposto de carbono crescente ao longo do tempo. Nordhaus mostra que o SCC é altamente sensível à taxa de desconto: com desconto de 3%, o SCC sobe para ~US$ 50; com 1,5%, ultrapassa US$ 100. O artigo enfatiza que o SCC é uma ferramenta de análise de custo-benefício, não um número único e definitivo.</w:t>
      </w:r>
    </w:p>
    <w:p>
      <w:pPr>
        <w:pStyle w:val="BlockText"/>
      </w:pPr>
      <w:r>
        <w:rPr>
          <w:b/>
          <w:bCs/>
        </w:rPr>
        <w:t xml:space="preserve">Relevância para o capítulo:</w:t>
      </w:r>
      <w:r>
        <w:t xml:space="preserve"> </w:t>
      </w:r>
      <w:r>
        <w:t xml:space="preserve">Este é o artigo de referência para o modelo DICE e o SCC, discutido na Seção 24.3. Nordhaus recebeu o Nobel de 2018 por</w:t>
      </w:r>
      <w:r>
        <w:t xml:space="preserve"> </w:t>
      </w:r>
      <w:r>
        <w:t xml:space="preserve">“integrar a mudança climática na análise macroeconômica de longo prazo”</w:t>
      </w:r>
      <w:r>
        <w:t xml:space="preserve">. O artigo conecta diretamente com o debate sobre taxa de desconto (Seção 24.3.4) e com os fundamentos de escolha intertemporal do Capítulo 18.</w:t>
      </w:r>
    </w:p>
    <w:p>
      <w:pPr>
        <w:pStyle w:val="BlockText"/>
      </w:pPr>
      <w:r>
        <w:rPr>
          <w:b/>
          <w:bCs/>
        </w:rPr>
        <w:t xml:space="preserve">[PESQUISA EM ACAO]</w:t>
      </w:r>
      <w:r>
        <w:rPr>
          <w:b/>
          <w:bCs/>
        </w:rPr>
        <w:t xml:space="preserve"> </w:t>
      </w:r>
      <w:hyperlink r:id="rId1288">
        <w:r>
          <w:rPr>
            <w:rStyle w:val="Hyperlink"/>
            <w:b/>
            <w:bCs/>
          </w:rPr>
          <w:t xml:space="preserve">Weitzman, M. L. (1974). Prices vs. Quantities.</w:t>
        </w:r>
        <w:r>
          <w:rPr>
            <w:rStyle w:val="Hyperlink"/>
            <w:b/>
            <w:bCs/>
          </w:rPr>
          <w:t xml:space="preserve"> </w:t>
        </w:r>
        <w:r>
          <w:rPr>
            <w:rStyle w:val="Hyperlink"/>
            <w:b/>
            <w:bCs/>
            <w:i/>
            <w:iCs/>
          </w:rPr>
          <w:t xml:space="preserve">Review of Economic Studies</w:t>
        </w:r>
        <w:r>
          <w:rPr>
            <w:rStyle w:val="Hyperlink"/>
            <w:b/>
            <w:bCs/>
          </w:rPr>
          <w:t xml:space="preserve">, 41(4), 477–491.</w:t>
        </w:r>
      </w:hyperlink>
    </w:p>
    <w:p>
      <w:pPr>
        <w:pStyle w:val="BlockText"/>
      </w:pPr>
      <w:r>
        <w:rPr>
          <w:b/>
          <w:bCs/>
        </w:rPr>
        <w:t xml:space="preserve">Pergunta central:</w:t>
      </w:r>
      <w:r>
        <w:t xml:space="preserve"> </w:t>
      </w:r>
      <w:r>
        <w:t xml:space="preserve">Sob incerteza sobre os custos de abatimento, o regulador deve usar um instrumento de preço (imposto) ou de quantidade (quota/cap)?</w:t>
      </w:r>
    </w:p>
    <w:p>
      <w:pPr>
        <w:pStyle w:val="BlockText"/>
      </w:pPr>
      <w:r>
        <w:rPr>
          <w:b/>
          <w:bCs/>
        </w:rPr>
        <w:t xml:space="preserve">Método:</w:t>
      </w:r>
      <w:r>
        <w:t xml:space="preserve"> </w:t>
      </w:r>
      <w:r>
        <w:t xml:space="preserve">Weitzman desenvolve um modelo teórico em que o regulador não conhece os custos de abatimento das firmas. Compara a perda esperada de bem-estar (desvio em relação ao ótimo com informação perfeita) de dois instrumentos: um imposto fixo e uma quota fixa. A comparação depende das inclinações das curvas de benefício marginal e custo marginal de abatimento.</w:t>
      </w:r>
    </w:p>
    <w:p>
      <w:pPr>
        <w:pStyle w:val="BlockText"/>
      </w:pPr>
      <w:r>
        <w:rPr>
          <w:b/>
          <w:bCs/>
        </w:rPr>
        <w:t xml:space="preserve">Resultado principal:</w:t>
      </w:r>
      <w:r>
        <w:t xml:space="preserve"> </w:t>
      </w:r>
      <w:r>
        <w:t xml:space="preserve">O imposto é preferível quando a curva de custo marginal de abatimento é mais inclinada que a de benefício marginal; a quota é preferível no caso oposto. A intuição: com imposto, a quantidade flutua com os custos (desconhecidos) — e a perda é proporcional à inclinação do benefício marginal. Com quota, o preço flutua — e a perda é proporcional à inclinação do custo marginal. A vantagem comparativa de cada instrumento depende de</w:t>
      </w:r>
      <w:r>
        <w:t xml:space="preserve"> </w:t>
      </w:r>
      <w:r>
        <w:rPr>
          <w:i/>
          <w:iCs/>
        </w:rPr>
        <w:t xml:space="preserve">qual</w:t>
      </w:r>
      <w:r>
        <w:t xml:space="preserve"> </w:t>
      </w:r>
      <w:r>
        <w:t xml:space="preserve">flutuação é menos custosa.</w:t>
      </w:r>
    </w:p>
    <w:p>
      <w:pPr>
        <w:pStyle w:val="BlockText"/>
      </w:pPr>
      <w:r>
        <w:rPr>
          <w:b/>
          <w:bCs/>
        </w:rPr>
        <w:t xml:space="preserve">Relevância para o capítulo:</w:t>
      </w:r>
      <w:r>
        <w:t xml:space="preserve"> </w:t>
      </w:r>
      <w:r>
        <w:t xml:space="preserve">Este é um dos artigos mais citados em economia ambiental e fundamenta a análise da Seção 24.2.3. A contribuição de Weitzman vai além do resultado formal: seu framework é a base para o debate sobre se o preço do carbono deve ser fixado por imposto ou por cap-and-trade — uma questão central da política climática contemporânea.</w:t>
      </w:r>
    </w:p>
    <w:p>
      <w:pPr>
        <w:pStyle w:val="BlockText"/>
      </w:pPr>
      <w:r>
        <w:rPr>
          <w:b/>
          <w:bCs/>
        </w:rPr>
        <w:t xml:space="preserve">[PESQUISA EM ACAO]</w:t>
      </w:r>
      <w:r>
        <w:rPr>
          <w:b/>
          <w:bCs/>
        </w:rPr>
        <w:t xml:space="preserve"> </w:t>
      </w:r>
      <w:hyperlink r:id="rId1484">
        <w:r>
          <w:rPr>
            <w:rStyle w:val="Hyperlink"/>
            <w:b/>
            <w:bCs/>
          </w:rPr>
          <w:t xml:space="preserve">Stavins, R. N. (1998). What Can We Learn from the Grand Policy Experiment? Lessons from SO₂ Allowance Trading.</w:t>
        </w:r>
        <w:r>
          <w:rPr>
            <w:rStyle w:val="Hyperlink"/>
            <w:b/>
            <w:bCs/>
          </w:rPr>
          <w:t xml:space="preserve"> </w:t>
        </w:r>
        <w:r>
          <w:rPr>
            <w:rStyle w:val="Hyperlink"/>
            <w:b/>
            <w:bCs/>
            <w:i/>
            <w:iCs/>
          </w:rPr>
          <w:t xml:space="preserve">Journal of Economic Perspectives</w:t>
        </w:r>
        <w:r>
          <w:rPr>
            <w:rStyle w:val="Hyperlink"/>
            <w:b/>
            <w:bCs/>
          </w:rPr>
          <w:t xml:space="preserve">, 12(3), 69–88.</w:t>
        </w:r>
      </w:hyperlink>
    </w:p>
    <w:p>
      <w:pPr>
        <w:pStyle w:val="BlockText"/>
      </w:pPr>
      <w:r>
        <w:rPr>
          <w:b/>
          <w:bCs/>
        </w:rPr>
        <w:t xml:space="preserve">Pergunta central:</w:t>
      </w:r>
      <w:r>
        <w:t xml:space="preserve"> </w:t>
      </w:r>
      <w:r>
        <w:t xml:space="preserve">O programa americano de comércio de permissões de SO₂ (dióxido de enxofre), criado pelo Clean Air Act de 1990, confirmou as previsões teóricas sobre a eficiência de instrumentos de mercado?</w:t>
      </w:r>
    </w:p>
    <w:p>
      <w:pPr>
        <w:pStyle w:val="BlockText"/>
      </w:pPr>
      <w:r>
        <w:rPr>
          <w:b/>
          <w:bCs/>
        </w:rPr>
        <w:t xml:space="preserve">Método:</w:t>
      </w:r>
      <w:r>
        <w:t xml:space="preserve"> </w:t>
      </w:r>
      <w:r>
        <w:t xml:space="preserve">Stavins analisa os primeiros anos de implementação do programa de cap-and-trade para SO₂, comparando custos realizados com estimativas prévias do custo de abordagens de comando e controle. Examina também o funcionamento do mercado de permissões, a distribuição dos esforços de abatimento entre firmas e as inovações tecnológicas induzidas.</w:t>
      </w:r>
    </w:p>
    <w:p>
      <w:pPr>
        <w:pStyle w:val="BlockText"/>
      </w:pPr>
      <w:r>
        <w:rPr>
          <w:b/>
          <w:bCs/>
        </w:rPr>
        <w:t xml:space="preserve">Resultado principal:</w:t>
      </w:r>
      <w:r>
        <w:t xml:space="preserve"> </w:t>
      </w:r>
      <w:r>
        <w:t xml:space="preserve">O programa reduziu as emissões de SO₂ em ~50% entre 1990 e 1997, a um custo estimado em US$ 1 bilhão/ano — significativamente menos que os US$ 2,5–5 bilhões/ano estimados para uma abordagem de comando e controle equivalente. O mercado de permissões funcionou: o preço convergiu e as firmas com menor custo de abatimento venderam permissões para as de maior custo, equalizando custos marginais como prevê a teoria.</w:t>
      </w:r>
    </w:p>
    <w:p>
      <w:pPr>
        <w:pStyle w:val="BlockText"/>
      </w:pPr>
      <w:r>
        <w:rPr>
          <w:b/>
          <w:bCs/>
        </w:rPr>
        <w:t xml:space="preserve">Relevância para o capítulo:</w:t>
      </w:r>
      <w:r>
        <w:t xml:space="preserve"> </w:t>
      </w:r>
      <w:r>
        <w:t xml:space="preserve">O SO₂ Allowance Trading Program é o</w:t>
      </w:r>
      <w:r>
        <w:t xml:space="preserve"> </w:t>
      </w:r>
      <w:r>
        <w:t xml:space="preserve">“experimento natural”</w:t>
      </w:r>
      <w:r>
        <w:t xml:space="preserve"> </w:t>
      </w:r>
      <w:r>
        <w:t xml:space="preserve">fundador dos mercados de carbono. Seus resultados validaram empiricamente a superioridade de instrumentos de mercado e serviram de modelo para o EU ETS e outros sistemas cap-and-trade. O artigo conecta com a análise da Seção 24.2 e com os mercados de carbono da Seção 24.4.</w:t>
      </w:r>
    </w:p>
    <w:p>
      <w:pPr>
        <w:pStyle w:val="BlockText"/>
      </w:pPr>
      <w:r>
        <w:rPr>
          <w:b/>
          <w:bCs/>
        </w:rPr>
        <w:t xml:space="preserve">[PESQUISA EM ACAO]</w:t>
      </w:r>
      <w:r>
        <w:rPr>
          <w:b/>
          <w:bCs/>
        </w:rPr>
        <w:t xml:space="preserve"> </w:t>
      </w:r>
      <w:hyperlink r:id="rId1485">
        <w:r>
          <w:rPr>
            <w:rStyle w:val="Hyperlink"/>
            <w:b/>
            <w:bCs/>
          </w:rPr>
          <w:t xml:space="preserve">Stern, N. (2007).</w:t>
        </w:r>
        <w:r>
          <w:rPr>
            <w:rStyle w:val="Hyperlink"/>
            <w:b/>
            <w:bCs/>
          </w:rPr>
          <w:t xml:space="preserve"> </w:t>
        </w:r>
        <w:r>
          <w:rPr>
            <w:rStyle w:val="Hyperlink"/>
            <w:b/>
            <w:bCs/>
            <w:i/>
            <w:iCs/>
          </w:rPr>
          <w:t xml:space="preserve">The Economics of Climate Change: The Stern Review</w:t>
        </w:r>
        <w:r>
          <w:rPr>
            <w:rStyle w:val="Hyperlink"/>
            <w:b/>
            <w:bCs/>
          </w:rPr>
          <w:t xml:space="preserve">. Cambridge: Cambridge University Press.</w:t>
        </w:r>
      </w:hyperlink>
    </w:p>
    <w:p>
      <w:pPr>
        <w:pStyle w:val="BlockText"/>
      </w:pPr>
      <w:r>
        <w:rPr>
          <w:b/>
          <w:bCs/>
        </w:rPr>
        <w:t xml:space="preserve">Pergunta central:</w:t>
      </w:r>
      <w:r>
        <w:t xml:space="preserve"> </w:t>
      </w:r>
      <w:r>
        <w:t xml:space="preserve">Quais são os custos econômicos das mudanças climáticas e da inação, e qual é o nível ótimo de investimento em mitigação?</w:t>
      </w:r>
    </w:p>
    <w:p>
      <w:pPr>
        <w:pStyle w:val="BlockText"/>
      </w:pPr>
      <w:r>
        <w:rPr>
          <w:b/>
          <w:bCs/>
        </w:rPr>
        <w:t xml:space="preserve">Método:</w:t>
      </w:r>
      <w:r>
        <w:t xml:space="preserve"> </w:t>
      </w:r>
      <w:r>
        <w:t xml:space="preserve">O Stern Review é uma avaliação abrangente encomendada pelo governo britânico. Utiliza modelos de avaliação integrada (PAGE model) com taxa de desconto de ~1,4% (taxa pura de preferência temporal de 0,1%, refletindo o princípio ético de que gerações futuras merecem peso quase igual às atuais).</w:t>
      </w:r>
    </w:p>
    <w:p>
      <w:pPr>
        <w:pStyle w:val="BlockText"/>
      </w:pPr>
      <w:r>
        <w:rPr>
          <w:b/>
          <w:bCs/>
        </w:rPr>
        <w:t xml:space="preserve">Resultado principal:</w:t>
      </w:r>
      <w:r>
        <w:t xml:space="preserve"> </w:t>
      </w:r>
      <w:r>
        <w:t xml:space="preserve">Sem mitigação, os custos das mudanças climáticas equivaleriam a uma perda permanente de 5–20% do PIB global. O custo de mitigação suficiente para limitar o aquecimento a 2°C seria de ~1% do PIB global/ano — muito menor que o custo da inação. Stern conclui que</w:t>
      </w:r>
      <w:r>
        <w:t xml:space="preserve"> </w:t>
      </w:r>
      <w:r>
        <w:t xml:space="preserve">“os benefícios da ação forte e antecipada superam amplamente os custos da inação”</w:t>
      </w:r>
      <w:r>
        <w:t xml:space="preserve">.</w:t>
      </w:r>
    </w:p>
    <w:p>
      <w:pPr>
        <w:pStyle w:val="BlockText"/>
      </w:pPr>
      <w:r>
        <w:rPr>
          <w:b/>
          <w:bCs/>
        </w:rPr>
        <w:t xml:space="preserve">Relevância para o capítulo:</w:t>
      </w:r>
      <w:r>
        <w:t xml:space="preserve"> </w:t>
      </w:r>
      <w:r>
        <w:t xml:space="preserve">O Stern Review é o contraponto a Nordhaus no debate sobre taxa de desconto (Seção 24.3.4). Sua conclusão de que ação imediata e agressiva é justificada decorre fundamentalmente da escolha de taxa de desconto baixa — uma decisão ética, não técnica. O debate Nordhaus–Stern permanece central para a formulação de política climática.</w:t>
      </w:r>
    </w:p>
    <w:p>
      <w:pPr>
        <w:pStyle w:val="BlockText"/>
      </w:pPr>
      <w:r>
        <w:rPr>
          <w:b/>
          <w:bCs/>
        </w:rPr>
        <w:t xml:space="preserve">[PESQUISA EM ACAO]</w:t>
      </w:r>
      <w:r>
        <w:rPr>
          <w:b/>
          <w:bCs/>
        </w:rPr>
        <w:t xml:space="preserve"> </w:t>
      </w:r>
      <w:hyperlink r:id="rId1486">
        <w:r>
          <w:rPr>
            <w:rStyle w:val="Hyperlink"/>
            <w:b/>
            <w:bCs/>
          </w:rPr>
          <w:t xml:space="preserve">Greenstone, M.; Kopits, E.; Wolverton, A. (2013). Developing a Social Cost of Carbon for US Regulatory Analysis: A Methodology and Interpretation.</w:t>
        </w:r>
        <w:r>
          <w:rPr>
            <w:rStyle w:val="Hyperlink"/>
            <w:b/>
            <w:bCs/>
          </w:rPr>
          <w:t xml:space="preserve"> </w:t>
        </w:r>
        <w:r>
          <w:rPr>
            <w:rStyle w:val="Hyperlink"/>
            <w:b/>
            <w:bCs/>
            <w:i/>
            <w:iCs/>
          </w:rPr>
          <w:t xml:space="preserve">Review of Environmental Economics and Policy</w:t>
        </w:r>
        <w:r>
          <w:rPr>
            <w:rStyle w:val="Hyperlink"/>
            <w:b/>
            <w:bCs/>
          </w:rPr>
          <w:t xml:space="preserve">, 7(1), 23–46.</w:t>
        </w:r>
      </w:hyperlink>
    </w:p>
    <w:p>
      <w:pPr>
        <w:pStyle w:val="BlockText"/>
      </w:pPr>
      <w:r>
        <w:rPr>
          <w:b/>
          <w:bCs/>
        </w:rPr>
        <w:t xml:space="preserve">Pergunta central:</w:t>
      </w:r>
      <w:r>
        <w:t xml:space="preserve"> </w:t>
      </w:r>
      <w:r>
        <w:t xml:space="preserve">Como o governo dos EUA deve estimar o custo social do carbono para uso na análise regulatória?</w:t>
      </w:r>
    </w:p>
    <w:p>
      <w:pPr>
        <w:pStyle w:val="BlockText"/>
      </w:pPr>
      <w:r>
        <w:rPr>
          <w:b/>
          <w:bCs/>
        </w:rPr>
        <w:t xml:space="preserve">Método:</w:t>
      </w:r>
      <w:r>
        <w:t xml:space="preserve"> </w:t>
      </w:r>
      <w:r>
        <w:t xml:space="preserve">Os autores descrevem a metodologia do Interagency Working Group (IWG) para estimar o SCC. O IWG combina três modelos de avaliação integrada (DICE, PAGE, FUND) com distribuições de parâmetros-chave (sensibilidade climática, taxa de desconto, crescimento econômico), gerando uma distribuição de estimativas do SCC.</w:t>
      </w:r>
    </w:p>
    <w:p>
      <w:pPr>
        <w:pStyle w:val="BlockText"/>
      </w:pPr>
      <w:r>
        <w:rPr>
          <w:b/>
          <w:bCs/>
        </w:rPr>
        <w:t xml:space="preserve">Resultado principal:</w:t>
      </w:r>
      <w:r>
        <w:t xml:space="preserve"> </w:t>
      </w:r>
      <w:r>
        <w:t xml:space="preserve">A estimativa central do IWG (taxa de desconto de 3%) é de US$ 36/tCO₂ (em dólares de 2007). Com taxa de 5%, cai para US$ 11; com 2,5%, sobe para US$ 56. O percentil 95 (risco catastrófico, taxa de 3%) é de US$ 105. Os autores enfatizam que o SCC deve ser tratado como uma distribuição de estimativas, não como um número único.</w:t>
      </w:r>
    </w:p>
    <w:p>
      <w:pPr>
        <w:pStyle w:val="BlockText"/>
      </w:pPr>
      <w:r>
        <w:rPr>
          <w:b/>
          <w:bCs/>
        </w:rPr>
        <w:t xml:space="preserve">Relevância para o capítulo:</w:t>
      </w:r>
      <w:r>
        <w:t xml:space="preserve"> </w:t>
      </w:r>
      <w:r>
        <w:t xml:space="preserve">O artigo documenta como o SCC passou de conceito acadêmico a ferramenta operacional de política pública. A metodologia do IWG foi usada em centenas de regulações federais dos EUA. A discussão sobre a escolha da taxa de desconto conecta diretamente com a Seção 24.3.4 e com o Capítulo 18.</w:t>
      </w:r>
    </w:p>
    <w:p>
      <w:pPr>
        <w:pStyle w:val="BlockText"/>
      </w:pPr>
      <w:r>
        <w:rPr>
          <w:b/>
          <w:bCs/>
        </w:rPr>
        <w:t xml:space="preserve">[PESQUISA EM ACAO]</w:t>
      </w:r>
      <w:r>
        <w:rPr>
          <w:b/>
          <w:bCs/>
        </w:rPr>
        <w:t xml:space="preserve"> </w:t>
      </w:r>
      <w:hyperlink r:id="rId1487">
        <w:r>
          <w:rPr>
            <w:rStyle w:val="Hyperlink"/>
            <w:b/>
            <w:bCs/>
          </w:rPr>
          <w:t xml:space="preserve">Carleton, T.; Greenstone, M. (2022). A Guide to Updating the US Government’s Social Cost of Carbon.</w:t>
        </w:r>
        <w:r>
          <w:rPr>
            <w:rStyle w:val="Hyperlink"/>
            <w:b/>
            <w:bCs/>
          </w:rPr>
          <w:t xml:space="preserve"> </w:t>
        </w:r>
        <w:r>
          <w:rPr>
            <w:rStyle w:val="Hyperlink"/>
            <w:b/>
            <w:bCs/>
            <w:i/>
            <w:iCs/>
          </w:rPr>
          <w:t xml:space="preserve">Review of Environmental Economics and Policy</w:t>
        </w:r>
        <w:r>
          <w:rPr>
            <w:rStyle w:val="Hyperlink"/>
            <w:b/>
            <w:bCs/>
          </w:rPr>
          <w:t xml:space="preserve">, 16(2), 196–218.</w:t>
        </w:r>
      </w:hyperlink>
    </w:p>
    <w:p>
      <w:pPr>
        <w:pStyle w:val="BlockText"/>
      </w:pPr>
      <w:r>
        <w:rPr>
          <w:b/>
          <w:bCs/>
        </w:rPr>
        <w:t xml:space="preserve">Pergunta central:</w:t>
      </w:r>
      <w:r>
        <w:t xml:space="preserve"> </w:t>
      </w:r>
      <w:r>
        <w:t xml:space="preserve">Como atualizar o Custo Social do Carbono (SCC) oficial dos EUA para refletir os avanços em ciência climática e economia dos últimos 10 anos?</w:t>
      </w:r>
    </w:p>
    <w:p>
      <w:pPr>
        <w:pStyle w:val="BlockText"/>
      </w:pPr>
      <w:r>
        <w:rPr>
          <w:b/>
          <w:bCs/>
        </w:rPr>
        <w:t xml:space="preserve">Método:</w:t>
      </w:r>
      <w:r>
        <w:t xml:space="preserve"> </w:t>
      </w:r>
      <w:r>
        <w:t xml:space="preserve">Os autores propõem um processo em duas etapas: (i) aplicar imediatamente o framework do Interagency Working Group (IWG) original com taxa de desconto de 2% (em vez dos 3% usados anteriormente), e (ii) em paralelo, incorporar os avanços recentes em modelagem de danos climáticos — incluindo danos desagregados por setor e região, efeitos de adaptação, e fat tails na distribuição de sensibilidade climática. A contribuição central é mapear sistematicamente</w:t>
      </w:r>
      <w:r>
        <w:t xml:space="preserve"> </w:t>
      </w:r>
      <w:r>
        <w:rPr>
          <w:i/>
          <w:iCs/>
        </w:rPr>
        <w:t xml:space="preserve">quais</w:t>
      </w:r>
      <w:r>
        <w:t xml:space="preserve"> </w:t>
      </w:r>
      <w:r>
        <w:t xml:space="preserve">avanços científicos mais importam para o SCC.</w:t>
      </w:r>
    </w:p>
    <w:p>
      <w:pPr>
        <w:pStyle w:val="BlockText"/>
      </w:pPr>
      <w:r>
        <w:rPr>
          <w:b/>
          <w:bCs/>
        </w:rPr>
        <w:t xml:space="preserve">Resultado principal:</w:t>
      </w:r>
      <w:r>
        <w:t xml:space="preserve"> </w:t>
      </w:r>
      <w:r>
        <w:t xml:space="preserve">Com taxa de desconto de 2% e o framework IWG existente, o SCC sobe para ~US$ 125/tCO₂ (preços de 2020) — mais que o dobro da estimativa anterior de US$ 51 (a 3%). Os autores argumentam que mesmo essa estimativa é conservadora: a incorporação de danos setoriais recentemente quantificados (mortalidade por calor, produtividade agrícola, danos a infraestrutura costeira) sugere um SCC ainda mais alto. O artigo destaca que a</w:t>
      </w:r>
      <w:r>
        <w:t xml:space="preserve"> </w:t>
      </w:r>
      <w:r>
        <w:rPr>
          <w:i/>
          <w:iCs/>
        </w:rPr>
        <w:t xml:space="preserve">escolha</w:t>
      </w:r>
      <w:r>
        <w:t xml:space="preserve"> </w:t>
      </w:r>
      <w:r>
        <w:t xml:space="preserve">da taxa de desconto continua sendo o fator mais influente — exatamente como no debate Nordhaus-Stern.</w:t>
      </w:r>
    </w:p>
    <w:p>
      <w:pPr>
        <w:pStyle w:val="BlockText"/>
      </w:pPr>
      <w:r>
        <w:rPr>
          <w:b/>
          <w:bCs/>
        </w:rPr>
        <w:t xml:space="preserve">Relevância para o capítulo.</w:t>
      </w:r>
      <w:r>
        <w:t xml:space="preserve"> </w:t>
      </w:r>
      <w:r>
        <w:t xml:space="preserve">Atualiza diretamente a discussão da Seção 24.3.4 sobre o debate Nordhaus-Stern e as estimativas do SCC. O artigo demonstra que o SCC é uma variável em constante revisão — e que a direção das revisões tem sido consistentemente para cima, à medida que a ciência climática quantifica mais danos do que os modelos antigos capturavam.</w:t>
      </w:r>
    </w:p>
    <w:p>
      <w:r>
        <w:pict>
          <v:rect style="width:0;height:1.5pt" o:hralign="center" o:hrstd="t" o:hr="t"/>
        </w:pict>
      </w:r>
    </w:p>
    <w:p>
      <w:pPr>
        <w:pStyle w:val="BlockText"/>
      </w:pPr>
      <w:r>
        <w:rPr>
          <w:b/>
          <w:bCs/>
        </w:rPr>
        <w:t xml:space="preserve">[DICA] Exercício com IA</w:t>
      </w:r>
    </w:p>
    <w:p>
      <w:pPr>
        <w:pStyle w:val="BlockText"/>
      </w:pPr>
      <w:r>
        <w:rPr>
          <w:b/>
          <w:bCs/>
        </w:rPr>
        <w:t xml:space="preserve">IA.11 — Simulando um mercado de carbono</w:t>
      </w:r>
    </w:p>
    <w:p>
      <w:pPr>
        <w:pStyle w:val="BlockText"/>
      </w:pPr>
      <w:r>
        <w:t xml:space="preserve">Peça à IA para simular um mercado de carbono com 10 firmas, cada uma com curva de custo marginal de abatimento linear</w:t>
      </w:r>
      <w:r>
        <w:t xml:space="preserve"> </w:t>
      </w:r>
      <m:oMath>
        <m:sSub>
          <m:e>
            <m:r>
              <m:rPr>
                <m:nor/>
                <m:sty m:val="p"/>
              </m:rPr>
              <m:t>CMgA</m:t>
            </m:r>
          </m:e>
          <m:sub>
            <m:r>
              <m:t>i</m:t>
            </m:r>
          </m:sub>
        </m:sSub>
        <m:r>
          <m:rPr>
            <m:sty m:val="p"/>
          </m:rPr>
          <m:t>=</m:t>
        </m:r>
        <m:sSub>
          <m:e>
            <m:r>
              <m:t>a</m:t>
            </m:r>
          </m:e>
          <m:sub>
            <m:r>
              <m:t>i</m:t>
            </m:r>
          </m:sub>
        </m:sSub>
        <m:r>
          <m:rPr>
            <m:sty m:val="p"/>
          </m:rPr>
          <m:t>+</m:t>
        </m:r>
        <m:sSub>
          <m:e>
            <m:r>
              <m:t>b</m:t>
            </m:r>
          </m:e>
          <m:sub>
            <m:r>
              <m:t>i</m:t>
            </m:r>
          </m:sub>
        </m:sSub>
        <m:r>
          <m:rPr>
            <m:sty m:val="p"/>
          </m:rPr>
          <m:t>⋅</m:t>
        </m:r>
        <m:sSub>
          <m:e>
            <m:r>
              <m:t>e</m:t>
            </m:r>
          </m:e>
          <m:sub>
            <m:r>
              <m:t>i</m:t>
            </m:r>
          </m:sub>
        </m:sSub>
      </m:oMath>
      <w:r>
        <w:t xml:space="preserve">, onde os parâmetros</w:t>
      </w:r>
      <w:r>
        <w:t xml:space="preserve"> </w:t>
      </w:r>
      <m:oMath>
        <m:sSub>
          <m:e>
            <m:r>
              <m:t>a</m:t>
            </m:r>
          </m:e>
          <m:sub>
            <m:r>
              <m:t>i</m:t>
            </m:r>
          </m:sub>
        </m:sSub>
      </m:oMath>
      <w:r>
        <w:t xml:space="preserve"> </w:t>
      </w:r>
      <w:r>
        <w:t xml:space="preserve">e</w:t>
      </w:r>
      <w:r>
        <w:t xml:space="preserve"> </w:t>
      </w:r>
      <m:oMath>
        <m:sSub>
          <m:e>
            <m:r>
              <m:t>b</m:t>
            </m:r>
          </m:e>
          <m:sub>
            <m:r>
              <m:t>i</m:t>
            </m:r>
          </m:sub>
        </m:sSub>
      </m:oMath>
      <w:r>
        <w:t xml:space="preserve"> </w:t>
      </w:r>
      <w:r>
        <w:t xml:space="preserve">variam entre firmas. Peça para ela: (1) encontrar a alocação eficiente para um cap de 500 toneladas; (2) calcular o preço de equilíbrio da permissão; (3) comparar o custo total com uma regulação uniforme; (4) plotar as curvas de custo marginal de cada firma e o preço de equilíbrio. Compare a economia de custos com o Exemplo 24.1.</w:t>
      </w:r>
    </w:p>
    <w:p>
      <w:pPr>
        <w:pStyle w:val="BlockText"/>
      </w:pPr>
      <w:r>
        <w:t xml:space="preserve">Ver exercício completo</w:t>
      </w:r>
    </w:p>
    <w:p>
      <w:r>
        <w:pict>
          <v:rect style="width:0;height:1.5pt" o:hralign="center" o:hrstd="t" o:hr="t"/>
        </w:pict>
      </w:r>
    </w:p>
    <w:bookmarkEnd w:id="1488"/>
    <w:bookmarkStart w:id="1495" w:name="referências-6"/>
    <w:p>
      <w:pPr>
        <w:pStyle w:val="Heading3"/>
      </w:pPr>
      <w:r>
        <w:t xml:space="preserve">Referências</w:t>
      </w:r>
    </w:p>
    <w:p>
      <w:pPr>
        <w:pStyle w:val="Compact"/>
        <w:numPr>
          <w:ilvl w:val="0"/>
          <w:numId w:val="2357"/>
        </w:numPr>
      </w:pPr>
      <w:r>
        <w:t xml:space="preserve">Bayer, P.; Aklin, M. 2020. The European Union Emissions Trading System Reduced CO₂ Emissions Despite Low Prices.</w:t>
      </w:r>
      <w:r>
        <w:t xml:space="preserve"> </w:t>
      </w:r>
      <w:r>
        <w:rPr>
          <w:i/>
          <w:iCs/>
        </w:rPr>
        <w:t xml:space="preserve">Proceedings of the National Academy of Sciences</w:t>
      </w:r>
      <w:r>
        <w:t xml:space="preserve">, 117(16), 8804–8812.</w:t>
      </w:r>
    </w:p>
    <w:p>
      <w:pPr>
        <w:pStyle w:val="Compact"/>
        <w:numPr>
          <w:ilvl w:val="0"/>
          <w:numId w:val="2357"/>
        </w:numPr>
      </w:pPr>
      <w:r>
        <w:t xml:space="preserve">Carleton, T.; Greenstone, M. 2022. A Guide to Updating the US Government’s Social Cost of Carbon.</w:t>
      </w:r>
      <w:r>
        <w:t xml:space="preserve"> </w:t>
      </w:r>
      <w:r>
        <w:rPr>
          <w:i/>
          <w:iCs/>
        </w:rPr>
        <w:t xml:space="preserve">Review of Environmental Economics and Policy</w:t>
      </w:r>
      <w:r>
        <w:t xml:space="preserve">, 16(2), 196–218.</w:t>
      </w:r>
    </w:p>
    <w:p>
      <w:pPr>
        <w:pStyle w:val="Compact"/>
        <w:numPr>
          <w:ilvl w:val="0"/>
          <w:numId w:val="2357"/>
        </w:numPr>
      </w:pPr>
      <w:r>
        <w:t xml:space="preserve">Coase, R. H. 1960. The Problem of Social Cost.</w:t>
      </w:r>
      <w:r>
        <w:t xml:space="preserve"> </w:t>
      </w:r>
      <w:r>
        <w:rPr>
          <w:i/>
          <w:iCs/>
        </w:rPr>
        <w:t xml:space="preserve">Journal of Law and Economics</w:t>
      </w:r>
      <w:r>
        <w:t xml:space="preserve">, 3, 1–44.</w:t>
      </w:r>
    </w:p>
    <w:p>
      <w:pPr>
        <w:pStyle w:val="Compact"/>
        <w:numPr>
          <w:ilvl w:val="0"/>
          <w:numId w:val="2357"/>
        </w:numPr>
      </w:pPr>
      <w:r>
        <w:t xml:space="preserve">Costanza, R.; d’Arge, R.; de Groot, R.; et al. 1997. The Value of the World’s Ecosystem Services and Natural Capital.</w:t>
      </w:r>
      <w:r>
        <w:t xml:space="preserve"> </w:t>
      </w:r>
      <w:r>
        <w:rPr>
          <w:i/>
          <w:iCs/>
        </w:rPr>
        <w:t xml:space="preserve">Nature</w:t>
      </w:r>
      <w:r>
        <w:t xml:space="preserve">, 387, 253–260.</w:t>
      </w:r>
    </w:p>
    <w:p>
      <w:pPr>
        <w:pStyle w:val="Compact"/>
        <w:numPr>
          <w:ilvl w:val="0"/>
          <w:numId w:val="2357"/>
        </w:numPr>
      </w:pPr>
      <w:r>
        <w:t xml:space="preserve">European Commission. 2024.</w:t>
      </w:r>
      <w:r>
        <w:t xml:space="preserve"> </w:t>
      </w:r>
      <w:r>
        <w:rPr>
          <w:i/>
          <w:iCs/>
        </w:rPr>
        <w:t xml:space="preserve">EU Emissions Trading System (EU ETS) data viewer</w:t>
      </w:r>
      <w:r>
        <w:t xml:space="preserve">. European Environment Agency.</w:t>
      </w:r>
    </w:p>
    <w:p>
      <w:pPr>
        <w:pStyle w:val="Compact"/>
        <w:numPr>
          <w:ilvl w:val="0"/>
          <w:numId w:val="2357"/>
        </w:numPr>
      </w:pPr>
      <w:r>
        <w:t xml:space="preserve">Gordon, H. S. 1954. The Economic Theory of a Common-Property Resource: The Fishery.</w:t>
      </w:r>
      <w:r>
        <w:t xml:space="preserve"> </w:t>
      </w:r>
      <w:r>
        <w:rPr>
          <w:i/>
          <w:iCs/>
        </w:rPr>
        <w:t xml:space="preserve">Journal of Political Economy</w:t>
      </w:r>
      <w:r>
        <w:t xml:space="preserve">, 62(2), 124–142.</w:t>
      </w:r>
    </w:p>
    <w:p>
      <w:pPr>
        <w:pStyle w:val="Compact"/>
        <w:numPr>
          <w:ilvl w:val="0"/>
          <w:numId w:val="2357"/>
        </w:numPr>
      </w:pPr>
      <w:r>
        <w:t xml:space="preserve">Greenstone, M.; Kopits, E.; Wolverton, A. 2013. Developing a Social Cost of Carbon for US Regulatory Analysis.</w:t>
      </w:r>
      <w:r>
        <w:t xml:space="preserve"> </w:t>
      </w:r>
      <w:r>
        <w:rPr>
          <w:i/>
          <w:iCs/>
        </w:rPr>
        <w:t xml:space="preserve">Review of Environmental Economics and Policy</w:t>
      </w:r>
      <w:r>
        <w:t xml:space="preserve">, 7(1), 23–46.</w:t>
      </w:r>
    </w:p>
    <w:p>
      <w:pPr>
        <w:pStyle w:val="Compact"/>
        <w:numPr>
          <w:ilvl w:val="0"/>
          <w:numId w:val="2357"/>
        </w:numPr>
      </w:pPr>
      <w:r>
        <w:t xml:space="preserve">Hardin, G. 1968. The Tragedy of the Commons.</w:t>
      </w:r>
      <w:r>
        <w:t xml:space="preserve"> </w:t>
      </w:r>
      <w:r>
        <w:rPr>
          <w:i/>
          <w:iCs/>
        </w:rPr>
        <w:t xml:space="preserve">Science</w:t>
      </w:r>
      <w:r>
        <w:t xml:space="preserve">, 162(3859), 1243–1248.</w:t>
      </w:r>
    </w:p>
    <w:p>
      <w:pPr>
        <w:pStyle w:val="Compact"/>
        <w:numPr>
          <w:ilvl w:val="0"/>
          <w:numId w:val="2357"/>
        </w:numPr>
      </w:pPr>
      <w:r>
        <w:t xml:space="preserve">Hartwick, J. M. 1977. Intergenerational Equity and the Investing of Rents from Exhaustible Resources.</w:t>
      </w:r>
      <w:r>
        <w:t xml:space="preserve"> </w:t>
      </w:r>
      <w:r>
        <w:rPr>
          <w:i/>
          <w:iCs/>
        </w:rPr>
        <w:t xml:space="preserve">American Economic Review</w:t>
      </w:r>
      <w:r>
        <w:t xml:space="preserve">, 67(5), 972–974.</w:t>
      </w:r>
    </w:p>
    <w:p>
      <w:pPr>
        <w:pStyle w:val="Compact"/>
        <w:numPr>
          <w:ilvl w:val="0"/>
          <w:numId w:val="2357"/>
        </w:numPr>
      </w:pPr>
      <w:r>
        <w:t xml:space="preserve">Hotelling, H. 1931. The Economics of Exhaustible Resources.</w:t>
      </w:r>
      <w:r>
        <w:t xml:space="preserve"> </w:t>
      </w:r>
      <w:r>
        <w:rPr>
          <w:i/>
          <w:iCs/>
        </w:rPr>
        <w:t xml:space="preserve">Journal of Political Economy</w:t>
      </w:r>
      <w:r>
        <w:t xml:space="preserve">, 39(2), 137–175.</w:t>
      </w:r>
    </w:p>
    <w:p>
      <w:pPr>
        <w:pStyle w:val="Compact"/>
        <w:numPr>
          <w:ilvl w:val="0"/>
          <w:numId w:val="2357"/>
        </w:numPr>
      </w:pPr>
      <w:r>
        <w:t xml:space="preserve">INPE. 2024.</w:t>
      </w:r>
      <w:r>
        <w:t xml:space="preserve"> </w:t>
      </w:r>
      <w:hyperlink r:id="rId1472">
        <w:r>
          <w:rPr>
            <w:rStyle w:val="Hyperlink"/>
            <w:i/>
            <w:iCs/>
          </w:rPr>
          <w:t xml:space="preserve">PRODES — Monitoramento do desmatamento da Amazônia</w:t>
        </w:r>
      </w:hyperlink>
      <w:r>
        <w:t xml:space="preserve">. São José dos Campos: Instituto Nacional de Pesquisas Espaciais.</w:t>
      </w:r>
    </w:p>
    <w:p>
      <w:pPr>
        <w:pStyle w:val="Compact"/>
        <w:numPr>
          <w:ilvl w:val="0"/>
          <w:numId w:val="2357"/>
        </w:numPr>
      </w:pPr>
      <w:r>
        <w:t xml:space="preserve">Kolstad, C. D. 2011.</w:t>
      </w:r>
      <w:r>
        <w:t xml:space="preserve"> </w:t>
      </w:r>
      <w:hyperlink r:id="rId1489">
        <w:r>
          <w:rPr>
            <w:rStyle w:val="Hyperlink"/>
            <w:i/>
            <w:iCs/>
          </w:rPr>
          <w:t xml:space="preserve">Environmental Economics</w:t>
        </w:r>
      </w:hyperlink>
      <w:r>
        <w:t xml:space="preserve">. 2nd ed. New York: Oxford University Press.</w:t>
      </w:r>
    </w:p>
    <w:p>
      <w:pPr>
        <w:pStyle w:val="Compact"/>
        <w:numPr>
          <w:ilvl w:val="0"/>
          <w:numId w:val="2357"/>
        </w:numPr>
      </w:pPr>
      <w:r>
        <w:t xml:space="preserve">Nordhaus, W. D. 2017. Revisiting the Social Cost of Carbon.</w:t>
      </w:r>
      <w:r>
        <w:t xml:space="preserve"> </w:t>
      </w:r>
      <w:r>
        <w:rPr>
          <w:i/>
          <w:iCs/>
        </w:rPr>
        <w:t xml:space="preserve">Proceedings of the National Academy of Sciences</w:t>
      </w:r>
      <w:r>
        <w:t xml:space="preserve">, 114(7), 1518–1523.</w:t>
      </w:r>
    </w:p>
    <w:p>
      <w:pPr>
        <w:pStyle w:val="Compact"/>
        <w:numPr>
          <w:ilvl w:val="0"/>
          <w:numId w:val="2357"/>
        </w:numPr>
      </w:pPr>
      <w:r>
        <w:t xml:space="preserve">Nordhaus, W. D. 2018.</w:t>
      </w:r>
      <w:r>
        <w:t xml:space="preserve"> </w:t>
      </w:r>
      <w:hyperlink r:id="rId1490">
        <w:r>
          <w:rPr>
            <w:rStyle w:val="Hyperlink"/>
            <w:i/>
            <w:iCs/>
          </w:rPr>
          <w:t xml:space="preserve">Nobel Prize Lecture: Climate Change: The Ultimate Challenge for Economics</w:t>
        </w:r>
      </w:hyperlink>
      <w:r>
        <w:t xml:space="preserve">. Stockholm: Nobel Foundation.</w:t>
      </w:r>
    </w:p>
    <w:p>
      <w:pPr>
        <w:pStyle w:val="Compact"/>
        <w:numPr>
          <w:ilvl w:val="0"/>
          <w:numId w:val="2357"/>
        </w:numPr>
      </w:pPr>
      <w:r>
        <w:t xml:space="preserve">Perman, R.; Ma, Y.; Common, M.; Maddison, D.; McGilvray, J. 2011.</w:t>
      </w:r>
      <w:r>
        <w:t xml:space="preserve"> </w:t>
      </w:r>
      <w:hyperlink r:id="rId1491">
        <w:r>
          <w:rPr>
            <w:rStyle w:val="Hyperlink"/>
            <w:i/>
            <w:iCs/>
          </w:rPr>
          <w:t xml:space="preserve">Natural Resource and Environmental Economics</w:t>
        </w:r>
      </w:hyperlink>
      <w:r>
        <w:t xml:space="preserve">. 4th ed. Harlow: Pearson.</w:t>
      </w:r>
    </w:p>
    <w:p>
      <w:pPr>
        <w:pStyle w:val="Compact"/>
        <w:numPr>
          <w:ilvl w:val="0"/>
          <w:numId w:val="2357"/>
        </w:numPr>
      </w:pPr>
      <w:r>
        <w:t xml:space="preserve">Pigou, A. C. 1920.</w:t>
      </w:r>
      <w:r>
        <w:t xml:space="preserve"> </w:t>
      </w:r>
      <w:hyperlink r:id="rId1492">
        <w:r>
          <w:rPr>
            <w:rStyle w:val="Hyperlink"/>
            <w:i/>
            <w:iCs/>
          </w:rPr>
          <w:t xml:space="preserve">The Economics of Welfare</w:t>
        </w:r>
      </w:hyperlink>
      <w:r>
        <w:t xml:space="preserve">. London: Macmillan.</w:t>
      </w:r>
    </w:p>
    <w:p>
      <w:pPr>
        <w:pStyle w:val="Compact"/>
        <w:numPr>
          <w:ilvl w:val="0"/>
          <w:numId w:val="2357"/>
        </w:numPr>
      </w:pPr>
      <w:r>
        <w:t xml:space="preserve">Stavins, R. N. 1998. What Can We Learn from the Grand Policy Experiment? Lessons from SO₂ Allowance Trading.</w:t>
      </w:r>
      <w:r>
        <w:t xml:space="preserve"> </w:t>
      </w:r>
      <w:r>
        <w:rPr>
          <w:i/>
          <w:iCs/>
        </w:rPr>
        <w:t xml:space="preserve">Journal of Economic Perspectives</w:t>
      </w:r>
      <w:r>
        <w:t xml:space="preserve">, 12(3), 69–88.</w:t>
      </w:r>
    </w:p>
    <w:p>
      <w:pPr>
        <w:pStyle w:val="Compact"/>
        <w:numPr>
          <w:ilvl w:val="0"/>
          <w:numId w:val="2357"/>
        </w:numPr>
      </w:pPr>
      <w:r>
        <w:t xml:space="preserve">Stern, N. 2007.</w:t>
      </w:r>
      <w:r>
        <w:t xml:space="preserve"> </w:t>
      </w:r>
      <w:hyperlink r:id="rId1485">
        <w:r>
          <w:rPr>
            <w:rStyle w:val="Hyperlink"/>
            <w:i/>
            <w:iCs/>
          </w:rPr>
          <w:t xml:space="preserve">The Economics of Climate Change: The Stern Review</w:t>
        </w:r>
      </w:hyperlink>
      <w:r>
        <w:t xml:space="preserve">. Cambridge: Cambridge University Press.</w:t>
      </w:r>
    </w:p>
    <w:p>
      <w:pPr>
        <w:pStyle w:val="Compact"/>
        <w:numPr>
          <w:ilvl w:val="0"/>
          <w:numId w:val="2357"/>
        </w:numPr>
      </w:pPr>
      <w:r>
        <w:t xml:space="preserve">Tietenberg, T.; Lewis, L. 2018.</w:t>
      </w:r>
      <w:r>
        <w:t xml:space="preserve"> </w:t>
      </w:r>
      <w:hyperlink r:id="rId1493">
        <w:r>
          <w:rPr>
            <w:rStyle w:val="Hyperlink"/>
            <w:i/>
            <w:iCs/>
          </w:rPr>
          <w:t xml:space="preserve">Environmental and Natural Resource Economics</w:t>
        </w:r>
      </w:hyperlink>
      <w:r>
        <w:t xml:space="preserve">. 11th ed. New York: Routledge.</w:t>
      </w:r>
    </w:p>
    <w:p>
      <w:pPr>
        <w:pStyle w:val="Compact"/>
        <w:numPr>
          <w:ilvl w:val="0"/>
          <w:numId w:val="2357"/>
        </w:numPr>
      </w:pPr>
      <w:r>
        <w:t xml:space="preserve">UNEP. 2023.</w:t>
      </w:r>
      <w:r>
        <w:t xml:space="preserve"> </w:t>
      </w:r>
      <w:hyperlink r:id="rId1456">
        <w:r>
          <w:rPr>
            <w:rStyle w:val="Hyperlink"/>
            <w:i/>
            <w:iCs/>
          </w:rPr>
          <w:t xml:space="preserve">Emissions Gap Report 2023</w:t>
        </w:r>
      </w:hyperlink>
      <w:r>
        <w:t xml:space="preserve">. Nairobi: United Nations Environment Programme.</w:t>
      </w:r>
    </w:p>
    <w:p>
      <w:pPr>
        <w:pStyle w:val="Compact"/>
        <w:numPr>
          <w:ilvl w:val="0"/>
          <w:numId w:val="2357"/>
        </w:numPr>
      </w:pPr>
      <w:r>
        <w:t xml:space="preserve">Weitzman, M. L. 1974. Prices vs. Quantities.</w:t>
      </w:r>
      <w:r>
        <w:t xml:space="preserve"> </w:t>
      </w:r>
      <w:r>
        <w:rPr>
          <w:i/>
          <w:iCs/>
        </w:rPr>
        <w:t xml:space="preserve">Review of Economic Studies</w:t>
      </w:r>
      <w:r>
        <w:t xml:space="preserve">, 41(4), 477–491.</w:t>
      </w:r>
    </w:p>
    <w:p>
      <w:pPr>
        <w:pStyle w:val="Compact"/>
        <w:numPr>
          <w:ilvl w:val="0"/>
          <w:numId w:val="2357"/>
        </w:numPr>
      </w:pPr>
      <w:r>
        <w:t xml:space="preserve">Weitzman, M. L. 2009. On Modeling and Interpreting the Economics of Catastrophic Climate Change.</w:t>
      </w:r>
      <w:r>
        <w:t xml:space="preserve"> </w:t>
      </w:r>
      <w:r>
        <w:rPr>
          <w:i/>
          <w:iCs/>
        </w:rPr>
        <w:t xml:space="preserve">Review of Economics and Statistics</w:t>
      </w:r>
      <w:r>
        <w:t xml:space="preserve">, 91(1), 1–19.</w:t>
      </w:r>
    </w:p>
    <w:p>
      <w:pPr>
        <w:pStyle w:val="Compact"/>
        <w:numPr>
          <w:ilvl w:val="0"/>
          <w:numId w:val="2357"/>
        </w:numPr>
      </w:pPr>
      <w:r>
        <w:t xml:space="preserve">World Bank. 2024.</w:t>
      </w:r>
      <w:r>
        <w:t xml:space="preserve"> </w:t>
      </w:r>
      <w:hyperlink r:id="rId1494">
        <w:r>
          <w:rPr>
            <w:rStyle w:val="Hyperlink"/>
            <w:i/>
            <w:iCs/>
          </w:rPr>
          <w:t xml:space="preserve">Adjusted Net Savings Database</w:t>
        </w:r>
      </w:hyperlink>
      <w:r>
        <w:t xml:space="preserve">. Washington, DC: World Bank Group.</w:t>
      </w:r>
    </w:p>
    <w:bookmarkEnd w:id="1495"/>
    <w:bookmarkEnd w:id="1496"/>
    <w:bookmarkEnd w:id="1497"/>
    <w:bookmarkEnd w:id="1498"/>
    <w:bookmarkEnd w:id="14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Duflo, Esther. 2017.</w:t>
      </w:r>
      <w:r>
        <w:t xml:space="preserve"> </w:t>
      </w:r>
      <w:r>
        <w:t xml:space="preserve">“The Economist as Plumber.”</w:t>
      </w:r>
      <w:r>
        <w:t xml:space="preserve"> </w:t>
      </w:r>
      <w:r>
        <w:rPr>
          <w:i/>
          <w:iCs/>
        </w:rPr>
        <w:t xml:space="preserve">American Economic Review</w:t>
      </w:r>
      <w:r>
        <w:t xml:space="preserve"> </w:t>
      </w:r>
      <w:r>
        <w:t xml:space="preserve">107 (5): 1–26. Se você ler um único artigo fora do programa da disciplina, que seja este.</w:t>
      </w:r>
    </w:p>
  </w:footnote>
  <w:footnote w:id="17">
    <w:p>
      <w:pPr>
        <w:pStyle w:val="FootnoteText"/>
      </w:pPr>
      <w:r>
        <w:rPr>
          <w:rStyle w:val="FootnoteReference"/>
        </w:rPr>
        <w:footnoteRef/>
      </w:r>
      <w:r>
        <w:t xml:space="preserve"> </w:t>
      </w:r>
      <w:r>
        <w:t xml:space="preserve">Se você já abriu um livro de microeconomia avançada e encontrou um</w:t>
      </w:r>
      <w:r>
        <w:t xml:space="preserve"> </w:t>
      </w:r>
      <w:r>
        <w:t xml:space="preserve">“trivially follows”</w:t>
      </w:r>
      <w:r>
        <w:t xml:space="preserve"> </w:t>
      </w:r>
      <w:r>
        <w:t xml:space="preserve">que exigiu três horas de trabalho, sabe do que estou falando. Este livro promete não fazer isso com você. Ou, pelo menos, quando fizer, será com a decência de admitir que não é trivial.</w:t>
      </w:r>
    </w:p>
  </w:footnote>
  <w:footnote w:id="29">
    <w:p>
      <w:pPr>
        <w:pStyle w:val="FootnoteText"/>
      </w:pPr>
      <w:r>
        <w:rPr>
          <w:rStyle w:val="FootnoteReference"/>
        </w:rPr>
        <w:footnoteRef/>
      </w:r>
      <w:r>
        <w:t xml:space="preserve"> </w:t>
      </w:r>
      <w:r>
        <w:t xml:space="preserve">A exposição segue Nicholson e Snyder (2017, Cap. 1), complementada por Mas-Colell, Whinston e Green (1995, Cap. 1) e Varian (2015, Cap. 1). Para uma discussão acessível e rica em aplicações, ver Pindyck e Rubinfeld (2013, Caps. 1–2).</w:t>
      </w:r>
    </w:p>
  </w:footnote>
  <w:footnote w:id="54">
    <w:p>
      <w:pPr>
        <w:pStyle w:val="FootnoteText"/>
      </w:pPr>
      <w:r>
        <w:rPr>
          <w:rStyle w:val="FootnoteReference"/>
        </w:rPr>
        <w:footnoteRef/>
      </w:r>
      <w:r>
        <w:t xml:space="preserve"> </w:t>
      </w:r>
      <w:r>
        <w:t xml:space="preserve">Em economia comportamental, a tendência a considerar custos irrecuperáveis nas decisões é chamada de</w:t>
      </w:r>
      <w:r>
        <w:t xml:space="preserve"> </w:t>
      </w:r>
      <w:r>
        <w:rPr>
          <w:i/>
          <w:iCs/>
        </w:rPr>
        <w:t xml:space="preserve">sunk cost fallacy</w:t>
      </w:r>
      <w:r>
        <w:t xml:space="preserve">. Veremos isso em detalhe no Capítulo 8. O Black Knight, infelizmente, não cursou microeconomia.</w:t>
      </w:r>
    </w:p>
  </w:footnote>
  <w:footnote w:id="78">
    <w:p>
      <w:pPr>
        <w:pStyle w:val="FootnoteText"/>
      </w:pPr>
      <w:r>
        <w:rPr>
          <w:rStyle w:val="FootnoteReference"/>
        </w:rPr>
        <w:footnoteRef/>
      </w:r>
      <w:r>
        <w:t xml:space="preserve"> </w:t>
      </w:r>
      <w:r>
        <w:rPr>
          <w:i/>
          <w:iCs/>
        </w:rPr>
        <w:t xml:space="preserve">“First shalt thou take out the Holy Pin. Then shalt thou count to three. No more. No less.”</w:t>
      </w:r>
      <w:r>
        <w:t xml:space="preserve"> </w:t>
      </w:r>
      <w:r>
        <w:t xml:space="preserve">As instruções para a Holy Hand Grenade of Antioch em</w:t>
      </w:r>
      <w:r>
        <w:t xml:space="preserve"> </w:t>
      </w:r>
      <w:r>
        <w:rPr>
          <w:i/>
          <w:iCs/>
        </w:rPr>
        <w:t xml:space="preserve">Monty Python and the Holy Grail</w:t>
      </w:r>
      <w:r>
        <w:t xml:space="preserve"> </w:t>
      </w:r>
      <w:r>
        <w:t xml:space="preserve">são o protocolo mais preciso da história do cinema — e soam suspeitamente parecidas com um algoritmo de otimização. De fato, boa parte deste capítulo se resume a: (1) derive; (2) iguale a zero; (3) verifique a segunda ordem. No mais, no menos. Sir Lancelot não seguiu o protocolo e quase explodiu a si mesmo. Alunos que pulam a CSO costumam ter resultado semelhante.</w:t>
      </w:r>
    </w:p>
  </w:footnote>
  <w:footnote w:id="79">
    <w:p>
      <w:pPr>
        <w:pStyle w:val="FootnoteText"/>
      </w:pPr>
      <w:r>
        <w:rPr>
          <w:rStyle w:val="FootnoteReference"/>
        </w:rPr>
        <w:footnoteRef/>
      </w:r>
      <w:r>
        <w:t xml:space="preserve"> </w:t>
      </w:r>
      <w:r>
        <w:t xml:space="preserve">O papagaio do</w:t>
      </w:r>
      <w:r>
        <w:t xml:space="preserve"> </w:t>
      </w:r>
      <w:r>
        <w:rPr>
          <w:i/>
          <w:iCs/>
        </w:rPr>
        <w:t xml:space="preserve">Dead Parrot sketch</w:t>
      </w:r>
      <w:r>
        <w:t xml:space="preserve"> </w:t>
      </w:r>
      <w:r>
        <w:t xml:space="preserve">atingiu seu ponto estacionário de forma definitiva e irreversível. O vendedor insiste que ele está</w:t>
      </w:r>
      <w:r>
        <w:t xml:space="preserve"> </w:t>
      </w:r>
      <w:r>
        <w:t xml:space="preserve">“descansando”</w:t>
      </w:r>
      <w:r>
        <w:t xml:space="preserve"> </w:t>
      </w:r>
      <w:r>
        <w:t xml:space="preserve">— mas a derivada do papagaio em relação ao tempo é zero, a segunda derivada também, e o papagaio claramente atingiu um mínimo global de atividade vital. CPO e CSO satisfeitas.</w:t>
      </w:r>
    </w:p>
  </w:footnote>
  <w:footnote w:id="94">
    <w:p>
      <w:pPr>
        <w:pStyle w:val="FootnoteText"/>
      </w:pPr>
      <w:r>
        <w:rPr>
          <w:rStyle w:val="FootnoteReference"/>
        </w:rPr>
        <w:footnoteRef/>
      </w:r>
      <w:r>
        <w:t xml:space="preserve"> </w:t>
      </w:r>
      <w:r>
        <w:t xml:space="preserve">O Método de Lagrange é a Holy Hand Grenade da microeconomia: um protocolo infalível, desde que você siga os passos exatamente.</w:t>
      </w:r>
      <w:r>
        <w:t xml:space="preserve"> </w:t>
      </w:r>
      <w:r>
        <w:rPr>
          <w:i/>
          <w:iCs/>
        </w:rPr>
        <w:t xml:space="preserve">“First shalt thou take the derivative of the Lagrangean. Then shalt thou set it to zero. No more. No less. Three shall be the number of CPOs and the number of CPOs shall be three.”</w:t>
      </w:r>
      <w:r>
        <w:t xml:space="preserve"> </w:t>
      </w:r>
      <w:r>
        <w:t xml:space="preserve">(adaptado livremente de</w:t>
      </w:r>
      <w:r>
        <w:t xml:space="preserve"> </w:t>
      </w:r>
      <w:r>
        <w:rPr>
          <w:i/>
          <w:iCs/>
        </w:rPr>
        <w:t xml:space="preserve">Monty Python and the Holy Grail</w:t>
      </w:r>
      <w:r>
        <w:t xml:space="preserve">). Sir Lancelot que pula a condição de complementaridade acaba explodindo a si mesmo — e à nota da prova.</w:t>
      </w:r>
    </w:p>
  </w:footnote>
  <w:footnote w:id="104">
    <w:p>
      <w:pPr>
        <w:pStyle w:val="FootnoteText"/>
      </w:pPr>
      <w:r>
        <w:rPr>
          <w:rStyle w:val="FootnoteReference"/>
        </w:rPr>
        <w:footnoteRef/>
      </w:r>
      <w:r>
        <w:t xml:space="preserve"> </w:t>
      </w:r>
      <w:r>
        <w:rPr>
          <w:i/>
          <w:iCs/>
        </w:rPr>
        <w:t xml:space="preserve">“We are the Knights Who Say</w:t>
      </w:r>
      <w:r>
        <w:rPr>
          <w:i/>
          <w:iCs/>
        </w:rPr>
        <w:t xml:space="preserve"> </w:t>
      </w:r>
      <w:r>
        <w:rPr>
          <w:i/>
          <w:iCs/>
        </w:rPr>
        <w:t xml:space="preserve">‘Ni!’</w:t>
      </w:r>
      <w:r>
        <w:rPr>
          <w:i/>
          <w:iCs/>
        </w:rPr>
        <w:t xml:space="preserve">”</w:t>
      </w:r>
      <w:r>
        <w:t xml:space="preserve"> </w:t>
      </w:r>
      <w:r>
        <w:t xml:space="preserve">Os cavaleiros exigem condições absurdas para permitir a passagem — e se qualquer condição não for satisfeita, o deal é cancelado. As condições KKT funcionam de maneira semelhante: são um conjunto de exigências simultâneas (CPO, factibilidade, não-negatividade do multiplicador,</w:t>
      </w:r>
      <w:r>
        <w:t xml:space="preserve"> </w:t>
      </w:r>
      <w:r>
        <w:rPr>
          <w:i/>
          <w:iCs/>
        </w:rPr>
        <w:t xml:space="preserve">complementary slackness</w:t>
      </w:r>
      <w:r>
        <w:t xml:space="preserve">) que</w:t>
      </w:r>
      <w:r>
        <w:t xml:space="preserve"> </w:t>
      </w:r>
      <w:r>
        <w:rPr>
          <w:i/>
          <w:iCs/>
        </w:rPr>
        <w:t xml:space="preserve">todas</w:t>
      </w:r>
      <w:r>
        <w:t xml:space="preserve"> </w:t>
      </w:r>
      <w:r>
        <w:t xml:space="preserve">devem ser satisfeitas para caracterizar o ótimo. Esqueça uma e o equilíbrio desmorona — como Arthur e seus cavaleiros descobriram ao tentar dizer</w:t>
      </w:r>
      <w:r>
        <w:t xml:space="preserve"> </w:t>
      </w:r>
      <w:r>
        <w:t xml:space="preserve">“Ni”</w:t>
      </w:r>
      <w:r>
        <w:t xml:space="preserve"> </w:t>
      </w:r>
      <w:r>
        <w:t xml:space="preserve">sem a licença.</w:t>
      </w:r>
    </w:p>
  </w:footnote>
  <w:footnote w:id="111">
    <w:p>
      <w:pPr>
        <w:pStyle w:val="FootnoteText"/>
      </w:pPr>
      <w:r>
        <w:rPr>
          <w:rStyle w:val="FootnoteReference"/>
        </w:rPr>
        <w:footnoteRef/>
      </w:r>
      <w:r>
        <w:t xml:space="preserve"> </w:t>
      </w:r>
      <w:r>
        <w:t xml:space="preserve">Quando perguntaram a Paul Samuelson qual era seu resultado favorito em economia, ele respondeu:</w:t>
      </w:r>
      <w:r>
        <w:t xml:space="preserve"> </w:t>
      </w:r>
      <w:r>
        <w:t xml:space="preserve">“o princípio de Le Chatelier”</w:t>
      </w:r>
      <w:r>
        <w:t xml:space="preserve">. Que é, essencialmente, o Teorema do Envelope em roupas de termodinâmica. Os físicos chegaram primeiro; os economistas chegaram com mais estilo.</w:t>
      </w:r>
    </w:p>
  </w:footnote>
  <w:footnote w:id="129">
    <w:p>
      <w:pPr>
        <w:pStyle w:val="FootnoteText"/>
      </w:pPr>
      <w:r>
        <w:rPr>
          <w:rStyle w:val="FootnoteReference"/>
        </w:rPr>
        <w:footnoteRef/>
      </w:r>
      <w:r>
        <w:t xml:space="preserve"> </w:t>
      </w:r>
      <w:r>
        <w:t xml:space="preserve">A ideia de ponto fixo pode parecer abstrata, mas é surpreendentemente cotidiana. Quando você ajusta o termostato do ar-condicionado para 22°C, o sistema converge para uma temperatura onde a taxa de resfriamento iguala a taxa de aquecimento externo — um ponto fixo. Quando o mapa de um shopping exibe</w:t>
      </w:r>
      <w:r>
        <w:t xml:space="preserve"> </w:t>
      </w:r>
      <w:r>
        <w:t xml:space="preserve">“Você está aqui”</w:t>
      </w:r>
      <w:r>
        <w:t xml:space="preserve"> </w:t>
      </w:r>
      <w:r>
        <w:t xml:space="preserve">com uma seta, o ponto indicado é, por definição, um ponto fixo do mapa: o lugar que se mapeia para si mesmo. Brouwer provou que, sob condições suaves, tais pontos</w:t>
      </w:r>
      <w:r>
        <w:t xml:space="preserve"> </w:t>
      </w:r>
      <w:r>
        <w:rPr>
          <w:i/>
          <w:iCs/>
        </w:rPr>
        <w:t xml:space="preserve">sempre</w:t>
      </w:r>
      <w:r>
        <w:t xml:space="preserve"> </w:t>
      </w:r>
      <w:r>
        <w:t xml:space="preserve">existem.</w:t>
      </w:r>
    </w:p>
  </w:footnote>
  <w:footnote w:id="150">
    <w:p>
      <w:pPr>
        <w:pStyle w:val="FootnoteText"/>
      </w:pPr>
      <w:r>
        <w:rPr>
          <w:rStyle w:val="FootnoteReference"/>
        </w:rPr>
        <w:footnoteRef/>
      </w:r>
      <w:r>
        <w:t xml:space="preserve"> </w:t>
      </w:r>
      <w:r>
        <w:t xml:space="preserve">No sketch</w:t>
      </w:r>
      <w:r>
        <w:t xml:space="preserve"> </w:t>
      </w:r>
      <w:r>
        <w:rPr>
          <w:i/>
          <w:iCs/>
        </w:rPr>
        <w:t xml:space="preserve">Dead Parrot</w:t>
      </w:r>
      <w:r>
        <w:t xml:space="preserve"> </w:t>
      </w:r>
      <w:r>
        <w:t xml:space="preserve">de Monty Python, o cliente e o vendedor discordam se o papagaio está morto ou</w:t>
      </w:r>
      <w:r>
        <w:t xml:space="preserve"> </w:t>
      </w:r>
      <w:r>
        <w:t xml:space="preserve">“descansando”</w:t>
      </w:r>
      <w:r>
        <w:t xml:space="preserve">. O cliente insiste:</w:t>
      </w:r>
      <w:r>
        <w:t xml:space="preserve"> </w:t>
      </w:r>
      <w:r>
        <w:t xml:space="preserve">“This parrot is no more! It has ceased to be!”</w:t>
      </w:r>
      <w:r>
        <w:t xml:space="preserve"> </w:t>
      </w:r>
      <w:r>
        <w:t xml:space="preserve">O vendedor:</w:t>
      </w:r>
      <w:r>
        <w:t xml:space="preserve"> </w:t>
      </w:r>
      <w:r>
        <w:t xml:space="preserve">“No, no, he’s resting!”</w:t>
      </w:r>
      <w:r>
        <w:t xml:space="preserve"> </w:t>
      </w:r>
      <w:r>
        <w:t xml:space="preserve">O axioma da completude exige que ambos</w:t>
      </w:r>
      <w:r>
        <w:t xml:space="preserve"> </w:t>
      </w:r>
      <w:r>
        <w:rPr>
          <w:i/>
          <w:iCs/>
        </w:rPr>
        <w:t xml:space="preserve">consigam</w:t>
      </w:r>
      <w:r>
        <w:t xml:space="preserve"> </w:t>
      </w:r>
      <w:r>
        <w:t xml:space="preserve">comparar as cestas</w:t>
      </w:r>
      <w:r>
        <w:t xml:space="preserve"> </w:t>
      </w:r>
      <w:r>
        <w:t xml:space="preserve">“papagaio vivo”</w:t>
      </w:r>
      <w:r>
        <w:t xml:space="preserve"> </w:t>
      </w:r>
      <w:r>
        <w:t xml:space="preserve">e</w:t>
      </w:r>
      <w:r>
        <w:t xml:space="preserve"> </w:t>
      </w:r>
      <w:r>
        <w:t xml:space="preserve">“papagaio morto”</w:t>
      </w:r>
      <w:r>
        <w:t xml:space="preserve"> </w:t>
      </w:r>
      <w:r>
        <w:t xml:space="preserve">— o que claramente fazem. O problema é que discordam. A boa notícia: a teoria do consumidor não exige que todos concordem sobre o ranking; exige apenas que</w:t>
      </w:r>
      <w:r>
        <w:t xml:space="preserve"> </w:t>
      </w:r>
      <w:r>
        <w:rPr>
          <w:i/>
          <w:iCs/>
        </w:rPr>
        <w:t xml:space="preserve">cada</w:t>
      </w:r>
      <w:r>
        <w:t xml:space="preserve"> </w:t>
      </w:r>
      <w:r>
        <w:t xml:space="preserve">consumidor seja coerente consigo mesmo. Essas exigências mínimas de bom senso são formalizadas como</w:t>
      </w:r>
      <w:r>
        <w:t xml:space="preserve"> </w:t>
      </w:r>
      <w:r>
        <w:rPr>
          <w:b/>
          <w:bCs/>
        </w:rPr>
        <w:t xml:space="preserve">axiomas</w:t>
      </w:r>
      <w:r>
        <w:t xml:space="preserve"> </w:t>
      </w:r>
      <w:r>
        <w:t xml:space="preserve">das preferências. A beleza da coisa: desse ponto de partida modesto, toda a teoria do consumidor pode ser construída. É como erguer um arranha-céu a partir de quatro tijolos bem colocados.</w:t>
      </w:r>
    </w:p>
  </w:footnote>
  <w:footnote w:id="160">
    <w:p>
      <w:pPr>
        <w:pStyle w:val="FootnoteText"/>
      </w:pPr>
      <w:r>
        <w:rPr>
          <w:rStyle w:val="FootnoteReference"/>
        </w:rPr>
        <w:footnoteRef/>
      </w:r>
      <w:r>
        <w:t xml:space="preserve"> </w:t>
      </w:r>
      <w:r>
        <w:rPr>
          <w:i/>
          <w:iCs/>
        </w:rPr>
        <w:t xml:space="preserve">“We want… a shrubbery!”</w:t>
      </w:r>
      <w:r>
        <w:t xml:space="preserve"> </w:t>
      </w:r>
      <w:r>
        <w:t xml:space="preserve">No</w:t>
      </w:r>
      <w:r>
        <w:t xml:space="preserve"> </w:t>
      </w:r>
      <w:r>
        <w:rPr>
          <w:i/>
          <w:iCs/>
        </w:rPr>
        <w:t xml:space="preserve">Monty Python and the Holy Grail</w:t>
      </w:r>
      <w:r>
        <w:t xml:space="preserve">, os Cavaleiros que Dizem Ni exigem um arbusto como tributo — uma demanda perfeitamente inelástica, sem substituto e sem outside option. Arthur não pode negociar; só pode obedecer. A cena é uma demonstração involuntária de poder de monopsônio em mercados de bens ambientais: quando o</w:t>
      </w:r>
      <w:r>
        <w:t xml:space="preserve"> </w:t>
      </w:r>
      <w:r>
        <w:t xml:space="preserve">“comprador”</w:t>
      </w:r>
      <w:r>
        <w:t xml:space="preserve"> </w:t>
      </w:r>
      <w:r>
        <w:t xml:space="preserve">(natureza) exige algo específico (biodiversidade, ciclo de chuvas, camada de ozônio), não há substituto sintético que sirva. Os economistas ambientais passam a carreira inteira tentando precificar shrubberies — e a piada é que os Cavaleiros que Dizem Ni provavelmente aceitariam um pagamento por serviços ambientais.</w:t>
      </w:r>
    </w:p>
  </w:footnote>
  <w:footnote w:id="197">
    <w:p>
      <w:pPr>
        <w:pStyle w:val="FootnoteText"/>
      </w:pPr>
      <w:r>
        <w:rPr>
          <w:rStyle w:val="FootnoteReference"/>
        </w:rPr>
        <w:footnoteRef/>
      </w:r>
      <w:r>
        <w:t xml:space="preserve"> </w:t>
      </w:r>
      <w:r>
        <w:t xml:space="preserve">O governo, neste problema, se comporta como os Cavaleiros que Dizem</w:t>
      </w:r>
      <w:r>
        <w:t xml:space="preserve"> </w:t>
      </w:r>
      <w:r>
        <w:t xml:space="preserve">“Ni!”</w:t>
      </w:r>
      <w:r>
        <w:t xml:space="preserve"> </w:t>
      </w:r>
      <w:r>
        <w:t xml:space="preserve">em</w:t>
      </w:r>
      <w:r>
        <w:t xml:space="preserve"> </w:t>
      </w:r>
      <w:r>
        <w:rPr>
          <w:i/>
          <w:iCs/>
        </w:rPr>
        <w:t xml:space="preserve">Monty Python and the Holy Grail</w:t>
      </w:r>
      <w:r>
        <w:t xml:space="preserve">: exige uma receita fixa (</w:t>
      </w:r>
      <w:r>
        <w:t xml:space="preserve">“</w:t>
      </w:r>
      <w:r>
        <w:rPr>
          <w:i/>
          <w:iCs/>
        </w:rPr>
        <w:t xml:space="preserve">Bring me a shrubbery!</w:t>
      </w:r>
      <w:r>
        <w:t xml:space="preserve">”</w:t>
      </w:r>
      <w:r>
        <w:t xml:space="preserve">) e não negocia o valor. A questão é</w:t>
      </w:r>
      <w:r>
        <w:t xml:space="preserve"> </w:t>
      </w:r>
      <w:r>
        <w:rPr>
          <w:i/>
          <w:iCs/>
        </w:rPr>
        <w:t xml:space="preserve">como</w:t>
      </w:r>
      <w:r>
        <w:t xml:space="preserve"> </w:t>
      </w:r>
      <w:r>
        <w:t xml:space="preserve">o consumidor prefere entregar essa receita — com distorção de preços (imposto específico) ou sem (lump sum). A demanda do governo por receita é perfeitamente inelástica; a do consumidor por bem-estar, não.</w:t>
      </w:r>
    </w:p>
  </w:footnote>
  <w:footnote w:id="204">
    <w:p>
      <w:pPr>
        <w:pStyle w:val="FootnoteText"/>
      </w:pPr>
      <w:r>
        <w:rPr>
          <w:rStyle w:val="FootnoteReference"/>
        </w:rPr>
        <w:footnoteRef/>
      </w:r>
      <w:r>
        <w:t xml:space="preserve"> </w:t>
      </w:r>
      <w:r>
        <w:t xml:space="preserve">A dualidade entre</w:t>
      </w:r>
      <w:r>
        <w:t xml:space="preserve"> </w:t>
      </w:r>
      <m:oMath>
        <m:r>
          <m:t>V</m:t>
        </m:r>
      </m:oMath>
      <w:r>
        <w:t xml:space="preserve"> </w:t>
      </w:r>
      <w:r>
        <w:t xml:space="preserve">e</w:t>
      </w:r>
      <w:r>
        <w:t xml:space="preserve"> </w:t>
      </w:r>
      <m:oMath>
        <m:r>
          <m:t>E</m:t>
        </m:r>
      </m:oMath>
      <w:r>
        <w:t xml:space="preserve"> </w:t>
      </w:r>
      <w:r>
        <w:t xml:space="preserve">lembra o</w:t>
      </w:r>
      <w:r>
        <w:t xml:space="preserve"> </w:t>
      </w:r>
      <w:r>
        <w:rPr>
          <w:i/>
          <w:iCs/>
        </w:rPr>
        <w:t xml:space="preserve">Dead Parrot sketch</w:t>
      </w:r>
      <w:r>
        <w:t xml:space="preserve"> </w:t>
      </w:r>
      <w:r>
        <w:t xml:space="preserve">de Monty Python — mas ao contrário. No sketch, o vendedor insiste que o papagaio morto está apenas</w:t>
      </w:r>
      <w:r>
        <w:t xml:space="preserve"> </w:t>
      </w:r>
      <w:r>
        <w:t xml:space="preserve">“descansando”</w:t>
      </w:r>
      <w:r>
        <w:t xml:space="preserve"> </w:t>
      </w:r>
      <w:r>
        <w:t xml:space="preserve">(mesma coisa descrita de formas diferentes, mas uma delas é</w:t>
      </w:r>
      <w:r>
        <w:t xml:space="preserve"> </w:t>
      </w:r>
      <w:r>
        <w:rPr>
          <w:i/>
          <w:iCs/>
        </w:rPr>
        <w:t xml:space="preserve">mentira</w:t>
      </w:r>
      <w:r>
        <w:t xml:space="preserve">). Na dualidade, primal e dual descrevem a mesma cesta ótima de formas genuinamente diferentes — e ambas estão</w:t>
      </w:r>
      <w:r>
        <w:t xml:space="preserve"> </w:t>
      </w:r>
      <w:r>
        <w:rPr>
          <w:i/>
          <w:iCs/>
        </w:rPr>
        <w:t xml:space="preserve">certas</w:t>
      </w:r>
      <w:r>
        <w:t xml:space="preserve">. É o Dead Parrot honesto da microeconomia.</w:t>
      </w:r>
    </w:p>
  </w:footnote>
  <w:footnote w:id="246">
    <w:p>
      <w:pPr>
        <w:pStyle w:val="FootnoteText"/>
      </w:pPr>
      <w:r>
        <w:rPr>
          <w:rStyle w:val="FootnoteReference"/>
        </w:rPr>
        <w:footnoteRef/>
      </w:r>
      <w:r>
        <w:t xml:space="preserve"> </w:t>
      </w:r>
      <w:r>
        <w:t xml:space="preserve">O bem de Giffen é o Black Knight da microeconomia: o preço sobe (perde um braço), e o consumidor compra</w:t>
      </w:r>
      <w:r>
        <w:t xml:space="preserve"> </w:t>
      </w:r>
      <w:r>
        <w:rPr>
          <w:i/>
          <w:iCs/>
        </w:rPr>
        <w:t xml:space="preserve">mais</w:t>
      </w:r>
      <w:r>
        <w:t xml:space="preserve"> </w:t>
      </w:r>
      <w:r>
        <w:t xml:space="preserve">(</w:t>
      </w:r>
      <w:r>
        <w:t xml:space="preserve">“’Tis but a scratch!”</w:t>
      </w:r>
      <w:r>
        <w:t xml:space="preserve">). O preço sobe de novo (perde outro braço), e ele insiste (</w:t>
      </w:r>
      <w:r>
        <w:t xml:space="preserve">“Just a flesh wound!”</w:t>
      </w:r>
      <w:r>
        <w:t xml:space="preserve">). A analogia falha, porém, num ponto crucial: o Black Knight é irracional; o consumidor de Giffen é perfeitamente racional — ele compra mais porque ficou tão mais pobre que não pode se dar ao luxo de</w:t>
      </w:r>
      <w:r>
        <w:t xml:space="preserve"> </w:t>
      </w:r>
      <w:r>
        <w:rPr>
          <w:i/>
          <w:iCs/>
        </w:rPr>
        <w:t xml:space="preserve">não</w:t>
      </w:r>
      <w:r>
        <w:t xml:space="preserve"> </w:t>
      </w:r>
      <w:r>
        <w:t xml:space="preserve">comprar o bem básico.</w:t>
      </w:r>
    </w:p>
  </w:footnote>
  <w:footnote w:id="267">
    <w:p>
      <w:pPr>
        <w:pStyle w:val="FootnoteText"/>
      </w:pPr>
      <w:r>
        <w:rPr>
          <w:rStyle w:val="FootnoteReference"/>
        </w:rPr>
        <w:footnoteRef/>
      </w:r>
      <w:r>
        <w:t xml:space="preserve"> </w:t>
      </w:r>
      <w:r>
        <w:rPr>
          <w:i/>
          <w:iCs/>
        </w:rPr>
        <w:t xml:space="preserve">Nobody expects the Spanish Inquisition!</w:t>
      </w:r>
      <w:r>
        <w:t xml:space="preserve"> </w:t>
      </w:r>
      <w:r>
        <w:t xml:space="preserve">— e ninguém esperava que fosse possível derivar a Lei da Demanda sem postular uma função de utilidade. A preferência revelada é a Inquisição Espanhola da microeconomia: chega sem aviso, armada apenas com dados observáveis, e extrai confissões (preferências) que nenhuma outra abordagem conseguia.</w:t>
      </w:r>
    </w:p>
  </w:footnote>
  <w:footnote w:id="286">
    <w:p>
      <w:pPr>
        <w:pStyle w:val="FootnoteText"/>
      </w:pPr>
      <w:r>
        <w:rPr>
          <w:rStyle w:val="FootnoteReference"/>
        </w:rPr>
        <w:footnoteRef/>
      </w:r>
      <w:r>
        <w:t xml:space="preserve"> </w:t>
      </w:r>
      <w:r>
        <w:t xml:space="preserve">O caso é mais do que uma hipótese. Em 2018, a Índia proibiu a cobrança acima do MRP (</w:t>
      </w:r>
      <w:r>
        <w:rPr>
          <w:i/>
          <w:iCs/>
        </w:rPr>
        <w:t xml:space="preserve">Maximum Retail Price</w:t>
      </w:r>
      <w:r>
        <w:t xml:space="preserve">) para água engarrafada em aeroportos — uma prática de</w:t>
      </w:r>
      <w:r>
        <w:t xml:space="preserve"> </w:t>
      </w:r>
      <w:r>
        <w:rPr>
          <w:i/>
          <w:iCs/>
        </w:rPr>
        <w:t xml:space="preserve">dual pricing</w:t>
      </w:r>
      <w:r>
        <w:t xml:space="preserve"> </w:t>
      </w:r>
      <w:r>
        <w:t xml:space="preserve">que inflava preços em até 3x dentro dos terminais. O efeito cascata sobre as bebidas ao lado ilustra como a disponibilidade de substitutos a preço controlado disciplina mercados adjacentes. No Brasil, a ANAC recebe reclamações recorrentes sobre preços em concessões aeroportuárias, mas sem regulação de preços máximos até o momento.</w:t>
      </w:r>
    </w:p>
  </w:footnote>
  <w:footnote w:id="294">
    <w:p>
      <w:pPr>
        <w:pStyle w:val="FootnoteText"/>
      </w:pPr>
      <w:r>
        <w:rPr>
          <w:rStyle w:val="FootnoteReference"/>
        </w:rPr>
        <w:footnoteRef/>
      </w:r>
      <w:r>
        <w:t xml:space="preserve"> </w:t>
      </w:r>
      <w:r>
        <w:rPr>
          <w:i/>
          <w:iCs/>
        </w:rPr>
        <w:t xml:space="preserve">“Do you have any Stilton?”</w:t>
      </w:r>
      <w:r>
        <w:rPr>
          <w:i/>
          <w:iCs/>
        </w:rPr>
        <w:t xml:space="preserve"> </w:t>
      </w:r>
      <w:r>
        <w:rPr>
          <w:i/>
          <w:iCs/>
        </w:rPr>
        <w:t xml:space="preserve">“No.”</w:t>
      </w:r>
      <w:r>
        <w:rPr>
          <w:i/>
          <w:iCs/>
        </w:rPr>
        <w:t xml:space="preserve"> </w:t>
      </w:r>
      <w:r>
        <w:rPr>
          <w:i/>
          <w:iCs/>
        </w:rPr>
        <w:t xml:space="preserve">“Gruyère?”</w:t>
      </w:r>
      <w:r>
        <w:rPr>
          <w:i/>
          <w:iCs/>
        </w:rPr>
        <w:t xml:space="preserve"> </w:t>
      </w:r>
      <w:r>
        <w:rPr>
          <w:i/>
          <w:iCs/>
        </w:rPr>
        <w:t xml:space="preserve">“No.”</w:t>
      </w:r>
      <w:r>
        <w:rPr>
          <w:i/>
          <w:iCs/>
        </w:rPr>
        <w:t xml:space="preserve"> </w:t>
      </w:r>
      <w:r>
        <w:rPr>
          <w:i/>
          <w:iCs/>
        </w:rPr>
        <w:t xml:space="preserve">“Emmental?”</w:t>
      </w:r>
      <w:r>
        <w:rPr>
          <w:i/>
          <w:iCs/>
        </w:rPr>
        <w:t xml:space="preserve"> </w:t>
      </w:r>
      <w:r>
        <w:rPr>
          <w:i/>
          <w:iCs/>
        </w:rPr>
        <w:t xml:space="preserve">“No.”</w:t>
      </w:r>
      <w:r>
        <w:t xml:space="preserve"> </w:t>
      </w:r>
      <w:r>
        <w:t xml:space="preserve">No sketch</w:t>
      </w:r>
      <w:r>
        <w:t xml:space="preserve"> </w:t>
      </w:r>
      <w:r>
        <w:rPr>
          <w:i/>
          <w:iCs/>
        </w:rPr>
        <w:t xml:space="preserve">Cheese Shop</w:t>
      </w:r>
      <w:r>
        <w:t xml:space="preserve"> </w:t>
      </w:r>
      <w:r>
        <w:t xml:space="preserve">de Monty Python, John Cleese entra em uma loja de queijos com catálogo infinito mas estoque zero. O vendedor lista dezenas de queijos — nenhum disponível. É a melhor demonstração cômica de um mercado com oferta zero e custo marginal zero de</w:t>
      </w:r>
      <w:r>
        <w:t xml:space="preserve"> </w:t>
      </w:r>
      <w:r>
        <w:rPr>
          <w:i/>
          <w:iCs/>
        </w:rPr>
        <w:t xml:space="preserve">listing</w:t>
      </w:r>
      <w:r>
        <w:t xml:space="preserve">. Soa familiar? É exatamente o modelo de uma plataforma digital: o Mercado Livre não fabrica nada; lista milhões de produtos que não tem. O iFood não cozinha; conecta famintos a restaurantes. A</w:t>
      </w:r>
      <w:r>
        <w:t xml:space="preserve"> </w:t>
      </w:r>
      <w:r>
        <w:t xml:space="preserve">“loja”</w:t>
      </w:r>
      <w:r>
        <w:t xml:space="preserve"> </w:t>
      </w:r>
      <w:r>
        <w:t xml:space="preserve">é o catálogo, não o estoque. O valor não está no bem — está na plataforma que conecta oferta e demanda. O dono do Cheese Shop seria um empreendedor de plataforma genial — se ao menos tivesse queijo. Ou internet.</w:t>
      </w:r>
    </w:p>
  </w:footnote>
  <w:footnote w:id="302">
    <w:p>
      <w:pPr>
        <w:pStyle w:val="FootnoteText"/>
      </w:pPr>
      <w:r>
        <w:rPr>
          <w:rStyle w:val="FootnoteReference"/>
        </w:rPr>
        <w:footnoteRef/>
      </w:r>
      <w:r>
        <w:t xml:space="preserve"> </w:t>
      </w:r>
      <w:r>
        <w:t xml:space="preserve">A condição de Gorman exige que</w:t>
      </w:r>
      <w:r>
        <w:t xml:space="preserve"> </w:t>
      </w:r>
      <w:r>
        <w:rPr>
          <w:i/>
          <w:iCs/>
        </w:rPr>
        <w:t xml:space="preserve">todos</w:t>
      </w:r>
      <w:r>
        <w:t xml:space="preserve"> </w:t>
      </w:r>
      <w:r>
        <w:t xml:space="preserve">os consumidores tenham curvas de Engel lineares e paralelas — uma exigência tão burocrática quanto o</w:t>
      </w:r>
      <w:r>
        <w:t xml:space="preserve"> </w:t>
      </w:r>
      <w:r>
        <w:rPr>
          <w:i/>
          <w:iCs/>
        </w:rPr>
        <w:t xml:space="preserve">Ministry of Silly Walks</w:t>
      </w:r>
      <w:r>
        <w:t xml:space="preserve"> </w:t>
      </w:r>
      <w:r>
        <w:t xml:space="preserve">de Monty Python, que demandava formulários em triplicata para financiar andares excêntricos. Na prática, a condição quase nunca é satisfeita, mas isso não impediu gerações de macroeconomistas de fingir que sim — como funcionários obedientes do Ministério.</w:t>
      </w:r>
    </w:p>
  </w:footnote>
  <w:footnote w:id="306">
    <w:p>
      <w:pPr>
        <w:pStyle w:val="FootnoteText"/>
      </w:pPr>
      <w:r>
        <w:rPr>
          <w:rStyle w:val="FootnoteReference"/>
        </w:rPr>
        <w:footnoteRef/>
      </w:r>
      <w:r>
        <w:t xml:space="preserve"> </w:t>
      </w:r>
      <w:r>
        <w:t xml:space="preserve">Frase imortalizada pelo narrador de</w:t>
      </w:r>
      <w:r>
        <w:t xml:space="preserve"> </w:t>
      </w:r>
      <w:r>
        <w:rPr>
          <w:i/>
          <w:iCs/>
        </w:rPr>
        <w:t xml:space="preserve">Monty Python’s Flying Circus</w:t>
      </w:r>
      <w:r>
        <w:t xml:space="preserve">, usada para transições abruptas entre sketches. Na microeconomia, a transição da teoria abstrata (Seções 6.1–6.7) para a aplicação empírica é igualmente abrupta — mas necessária.</w:t>
      </w:r>
    </w:p>
  </w:footnote>
  <w:footnote w:id="326">
    <w:p>
      <w:pPr>
        <w:pStyle w:val="FootnoteText"/>
      </w:pPr>
      <w:r>
        <w:rPr>
          <w:rStyle w:val="FootnoteReference"/>
        </w:rPr>
        <w:footnoteRef/>
      </w:r>
      <w:r>
        <w:t xml:space="preserve"> </w:t>
      </w:r>
      <w:r>
        <w:t xml:space="preserve">“Nobody expects the Spanish Inquisition!”</w:t>
      </w:r>
      <w:r>
        <w:t xml:space="preserve"> </w:t>
      </w:r>
      <w:r>
        <w:t xml:space="preserve">— e ninguém espera que o axioma da independência falhe. Mas ele falha, sistematicamente, como Allais demonstrou em 1953. O efeito certeza é a Inquisição Espanhola da teoria VNM: aparece quando menos se espera e derruba hipóteses que pareciam sólidas.</w:t>
      </w:r>
    </w:p>
  </w:footnote>
  <w:footnote w:id="340">
    <w:p>
      <w:pPr>
        <w:pStyle w:val="FootnoteText"/>
      </w:pPr>
      <w:r>
        <w:rPr>
          <w:rStyle w:val="FootnoteReference"/>
        </w:rPr>
        <w:footnoteRef/>
      </w:r>
      <w:r>
        <w:t xml:space="preserve"> </w:t>
      </w:r>
      <w:r>
        <w:t xml:space="preserve">Frase imortalizada pelo narrador de</w:t>
      </w:r>
      <w:r>
        <w:t xml:space="preserve"> </w:t>
      </w:r>
      <w:r>
        <w:rPr>
          <w:i/>
          <w:iCs/>
        </w:rPr>
        <w:t xml:space="preserve">Monty Python’s Flying Circus</w:t>
      </w:r>
      <w:r>
        <w:t xml:space="preserve">. A transição aqui é deliberada: depois de seis seções pensando em loterias e probabilidades, vamos reformular tudo como um problema do consumidor — com curvas de indiferença, restrição orçamentária e tudo mais. É</w:t>
      </w:r>
      <w:r>
        <w:t xml:space="preserve"> </w:t>
      </w:r>
      <w:r>
        <w:rPr>
          <w:i/>
          <w:iCs/>
        </w:rPr>
        <w:t xml:space="preserve">completely different</w:t>
      </w:r>
      <w:r>
        <w:t xml:space="preserve">, mas estranhamente familiar.</w:t>
      </w:r>
    </w:p>
  </w:footnote>
  <w:footnote w:id="342">
    <w:p>
      <w:pPr>
        <w:pStyle w:val="FootnoteText"/>
      </w:pPr>
      <w:r>
        <w:rPr>
          <w:rStyle w:val="FootnoteReference"/>
        </w:rPr>
        <w:footnoteRef/>
      </w:r>
      <w:r>
        <w:t xml:space="preserve"> </w:t>
      </w:r>
      <w:r>
        <w:t xml:space="preserve">No sketch</w:t>
      </w:r>
      <w:r>
        <w:t xml:space="preserve"> </w:t>
      </w:r>
      <w:r>
        <w:rPr>
          <w:i/>
          <w:iCs/>
        </w:rPr>
        <w:t xml:space="preserve">Dead Parrot</w:t>
      </w:r>
      <w:r>
        <w:t xml:space="preserve"> </w:t>
      </w:r>
      <w:r>
        <w:t xml:space="preserve">de Monty Python, o vendedor insiste que o papagaio morto está</w:t>
      </w:r>
      <w:r>
        <w:t xml:space="preserve"> </w:t>
      </w:r>
      <w:r>
        <w:t xml:space="preserve">“descansando”</w:t>
      </w:r>
      <w:r>
        <w:t xml:space="preserve"> </w:t>
      </w:r>
      <w:r>
        <w:t xml:space="preserve">— um caso perfeito de assimetria de informação em que o vendedor sabe perfeitamente o estado do produto e engana o comprador com</w:t>
      </w:r>
      <w:r>
        <w:t xml:space="preserve"> </w:t>
      </w:r>
      <w:r>
        <w:rPr>
          <w:i/>
          <w:iCs/>
        </w:rPr>
        <w:t xml:space="preserve">cheap talk</w:t>
      </w:r>
      <w:r>
        <w:t xml:space="preserve">. Akerlof (1970) formalizou exatamente essa situação: quando o vendedor sabe mais do que o comprador, o mercado pode colapsar.</w:t>
      </w:r>
    </w:p>
  </w:footnote>
  <w:footnote w:id="377">
    <w:p>
      <w:pPr>
        <w:pStyle w:val="FootnoteText"/>
      </w:pPr>
      <w:r>
        <w:rPr>
          <w:rStyle w:val="FootnoteReference"/>
        </w:rPr>
        <w:footnoteRef/>
      </w:r>
      <w:r>
        <w:t xml:space="preserve"> </w:t>
      </w:r>
      <w:r>
        <w:rPr>
          <w:i/>
          <w:iCs/>
        </w:rPr>
        <w:t xml:space="preserve">Nobody expects the independence axiom to fail!</w:t>
      </w:r>
      <w:r>
        <w:t xml:space="preserve"> </w:t>
      </w:r>
      <w:r>
        <w:t xml:space="preserve">O sketch</w:t>
      </w:r>
      <w:r>
        <w:t xml:space="preserve"> </w:t>
      </w:r>
      <w:r>
        <w:rPr>
          <w:i/>
          <w:iCs/>
        </w:rPr>
        <w:t xml:space="preserve">Spanish Inquisition</w:t>
      </w:r>
      <w:r>
        <w:t xml:space="preserve"> </w:t>
      </w:r>
      <w:r>
        <w:t xml:space="preserve">de Monty Python captura perfeitamente o momento Allais: assim como ninguém espera a Inquisição Espanhola, Savage não esperava violar seu próprio axioma — até que as perguntas mudaram e a intuição do Sistema 1 traiu a lógica do Sistema 2. Em economia, como no sketch, as hipóteses</w:t>
      </w:r>
      <w:r>
        <w:t xml:space="preserve"> </w:t>
      </w:r>
      <w:r>
        <w:t xml:space="preserve">“inesperadas”</w:t>
      </w:r>
      <w:r>
        <w:t xml:space="preserve"> </w:t>
      </w:r>
      <w:r>
        <w:t xml:space="preserve">mudam tudo.</w:t>
      </w:r>
    </w:p>
  </w:footnote>
  <w:footnote w:id="379">
    <w:p>
      <w:pPr>
        <w:pStyle w:val="FootnoteText"/>
      </w:pPr>
      <w:r>
        <w:rPr>
          <w:rStyle w:val="FootnoteReference"/>
        </w:rPr>
        <w:footnoteRef/>
      </w:r>
      <w:r>
        <w:t xml:space="preserve"> </w:t>
      </w:r>
      <w:r>
        <w:t xml:space="preserve">O investidor que segura uma ação em queda livre lembra o Cavaleiro Negro de Monty Python, que perde os braços e insiste:</w:t>
      </w:r>
      <w:r>
        <w:t xml:space="preserve"> </w:t>
      </w:r>
      <w:r>
        <w:rPr>
          <w:i/>
          <w:iCs/>
        </w:rPr>
        <w:t xml:space="preserve">“’Tis but a scratch!”</w:t>
      </w:r>
      <w:r>
        <w:t xml:space="preserve"> </w:t>
      </w:r>
      <w:r>
        <w:t xml:space="preserve">A aversão à perda transforma prejuízos reais em meros</w:t>
      </w:r>
      <w:r>
        <w:t xml:space="preserve"> </w:t>
      </w:r>
      <w:r>
        <w:t xml:space="preserve">“arranhões”</w:t>
      </w:r>
      <w:r>
        <w:t xml:space="preserve"> </w:t>
      </w:r>
      <w:r>
        <w:t xml:space="preserve">cognitivos — e o agente continua na luta muito depois de o momento racional de parar ter passado. O Cavaleiro Negro é a personificação perfeita da falácia do custo afundado turbinada por</w:t>
      </w:r>
      <w:r>
        <w:t xml:space="preserve"> </w:t>
      </w:r>
      <m:oMath>
        <m:r>
          <m:t>λ</m:t>
        </m:r>
        <m:r>
          <m:rPr>
            <m:sty m:val="p"/>
          </m:rPr>
          <m:t>&gt;</m:t>
        </m:r>
        <m:r>
          <m:t>1</m:t>
        </m:r>
      </m:oMath>
      <w:r>
        <w:t xml:space="preserve">.</w:t>
      </w:r>
    </w:p>
  </w:footnote>
  <w:footnote w:id="392">
    <w:p>
      <w:pPr>
        <w:pStyle w:val="FootnoteText"/>
      </w:pPr>
      <w:r>
        <w:rPr>
          <w:rStyle w:val="FootnoteReference"/>
        </w:rPr>
        <w:footnoteRef/>
      </w:r>
      <w:r>
        <w:t xml:space="preserve"> </w:t>
      </w:r>
      <w:r>
        <w:t xml:space="preserve">O desenho de um nudge eficaz exige a precisão da Santa Granada de Mão de Antioquia em</w:t>
      </w:r>
      <w:r>
        <w:t xml:space="preserve"> </w:t>
      </w:r>
      <w:r>
        <w:rPr>
          <w:i/>
          <w:iCs/>
        </w:rPr>
        <w:t xml:space="preserve">Monty Python and the Holy Grail</w:t>
      </w:r>
      <w:r>
        <w:t xml:space="preserve">:</w:t>
      </w:r>
      <w:r>
        <w:t xml:space="preserve"> </w:t>
      </w:r>
      <w:r>
        <w:t xml:space="preserve">“Primeiro, retirarás o pino sagrado. Então, contarás até três — nem mais, nem menos.”</w:t>
      </w:r>
      <w:r>
        <w:t xml:space="preserve"> </w:t>
      </w:r>
      <w:r>
        <w:t xml:space="preserve">Trocar</w:t>
      </w:r>
      <w:r>
        <w:t xml:space="preserve"> </w:t>
      </w:r>
      <w:r>
        <w:t xml:space="preserve">“pino”</w:t>
      </w:r>
      <w:r>
        <w:t xml:space="preserve"> </w:t>
      </w:r>
      <w:r>
        <w:t xml:space="preserve">por</w:t>
      </w:r>
      <w:r>
        <w:t xml:space="preserve"> </w:t>
      </w:r>
      <w:r>
        <w:t xml:space="preserve">“default”</w:t>
      </w:r>
      <w:r>
        <w:t xml:space="preserve">,</w:t>
      </w:r>
      <w:r>
        <w:t xml:space="preserve"> </w:t>
      </w:r>
      <w:r>
        <w:t xml:space="preserve">“três”</w:t>
      </w:r>
      <w:r>
        <w:t xml:space="preserve"> </w:t>
      </w:r>
      <w:r>
        <w:t xml:space="preserve">por</w:t>
      </w:r>
      <w:r>
        <w:t xml:space="preserve"> </w:t>
      </w:r>
      <w:r>
        <w:t xml:space="preserve">“opt-out simples”</w:t>
      </w:r>
      <w:r>
        <w:t xml:space="preserve"> </w:t>
      </w:r>
      <w:r>
        <w:t xml:space="preserve">e</w:t>
      </w:r>
      <w:r>
        <w:t xml:space="preserve"> </w:t>
      </w:r>
      <w:r>
        <w:t xml:space="preserve">“granada”</w:t>
      </w:r>
      <w:r>
        <w:t xml:space="preserve"> </w:t>
      </w:r>
      <w:r>
        <w:t xml:space="preserve">por</w:t>
      </w:r>
      <w:r>
        <w:t xml:space="preserve"> </w:t>
      </w:r>
      <w:r>
        <w:t xml:space="preserve">“formulário de adesão”</w:t>
      </w:r>
      <w:r>
        <w:t xml:space="preserve">, e temos o protocolo de um arquiteto de escolhas competente. Pular etapas — como o Sir Lancelot, que contou até cinco — transforma nudge em sludge.</w:t>
      </w:r>
    </w:p>
  </w:footnote>
  <w:footnote w:id="472">
    <w:p>
      <w:pPr>
        <w:pStyle w:val="FootnoteText"/>
      </w:pPr>
      <w:r>
        <w:rPr>
          <w:rStyle w:val="FootnoteReference"/>
        </w:rPr>
        <w:footnoteRef/>
      </w:r>
      <w:r>
        <w:t xml:space="preserve"> </w:t>
      </w:r>
      <w:r>
        <w:t xml:space="preserve">A tese de Nash,</w:t>
      </w:r>
      <w:r>
        <w:t xml:space="preserve"> </w:t>
      </w:r>
      <w:r>
        <w:rPr>
          <w:i/>
          <w:iCs/>
        </w:rPr>
        <w:t xml:space="preserve">Non-Cooperative Games</w:t>
      </w:r>
      <w:r>
        <w:t xml:space="preserve"> </w:t>
      </w:r>
      <w:r>
        <w:t xml:space="preserve">(1950), é possivelmente o documento mais conciso e impactante da história da ciência econômica — 28 páginas que revolucionaram três campos simultaneamente (economia, matemática e ciência política). Para comparação, a tese média de doutorado em economia tem cerca de 150 páginas. Nash estava, aparentemente, demasiado ocupado sendo genial para ser prolixo.</w:t>
      </w:r>
    </w:p>
  </w:footnote>
  <w:footnote w:id="478">
    <w:p>
      <w:pPr>
        <w:pStyle w:val="FootnoteText"/>
      </w:pPr>
      <w:r>
        <w:rPr>
          <w:rStyle w:val="FootnoteReference"/>
        </w:rPr>
        <w:footnoteRef/>
      </w:r>
      <w:r>
        <w:t xml:space="preserve"> </w:t>
      </w:r>
      <w:r>
        <w:t xml:space="preserve">A demonstração usa o Teorema do Ponto Fixo de Kakutani — o que pode intimidar o leitor na primeira leitura. Uma confissão: a maioria dos economistas aplicados nunca precisou refazer essa prova depois da pós-graduação. O que importa é a</w:t>
      </w:r>
      <w:r>
        <w:t xml:space="preserve"> </w:t>
      </w:r>
      <w:r>
        <w:rPr>
          <w:i/>
          <w:iCs/>
        </w:rPr>
        <w:t xml:space="preserve">implicação</w:t>
      </w:r>
      <w:r>
        <w:t xml:space="preserve">: todo jogo finito tem solução. Se você está procurando o equilíbrio de um jogo e não encontra em estratégias puras, não desista — ele está escondido nas mistas. Kakutani garante.</w:t>
      </w:r>
    </w:p>
  </w:footnote>
  <w:footnote w:id="516">
    <w:p>
      <w:pPr>
        <w:pStyle w:val="FootnoteText"/>
      </w:pPr>
      <w:r>
        <w:rPr>
          <w:rStyle w:val="FootnoteReference"/>
        </w:rPr>
        <w:footnoteRef/>
      </w:r>
      <w:r>
        <w:t xml:space="preserve"> </w:t>
      </w:r>
      <w:r>
        <w:rPr>
          <w:i/>
          <w:iCs/>
        </w:rPr>
        <w:t xml:space="preserve">“’Tis but a scratch!”</w:t>
      </w:r>
      <w:r>
        <w:t xml:space="preserve"> </w:t>
      </w:r>
      <w:r>
        <w:t xml:space="preserve">— O Cavaleiro Negro de Monty Python é o exemplo perfeito de ameaça não crível levada ao absurdo. Depois de perder os dois braços, ele ainda ameaça lutar. A indução retroativa diria: no subjogo</w:t>
      </w:r>
      <w:r>
        <w:t xml:space="preserve"> </w:t>
      </w:r>
      <w:r>
        <w:t xml:space="preserve">“cavaleiro sem braços vs. Rei Arthur”</w:t>
      </w:r>
      <w:r>
        <w:t xml:space="preserve">, a ameaça de luta não é ótima para o cavaleiro. O EPS é: Arthur passa, cavaleiro fica gritando insultos.</w:t>
      </w:r>
    </w:p>
  </w:footnote>
  <w:footnote w:id="518">
    <w:p>
      <w:pPr>
        <w:pStyle w:val="FootnoteText"/>
      </w:pPr>
      <w:r>
        <w:rPr>
          <w:rStyle w:val="FootnoteReference"/>
        </w:rPr>
        <w:footnoteRef/>
      </w:r>
      <w:r>
        <w:t xml:space="preserve"> </w:t>
      </w:r>
      <w:r>
        <w:rPr>
          <w:i/>
          <w:iCs/>
        </w:rPr>
        <w:t xml:space="preserve">“Nobody expects the Spanish Inquisition!”</w:t>
      </w:r>
      <w:r>
        <w:t xml:space="preserve"> </w:t>
      </w:r>
      <w:r>
        <w:t xml:space="preserve">— Os fãs de Monty Python reconhecerão a analogia: no famoso sketch, os cardeais aparecem</w:t>
      </w:r>
      <w:r>
        <w:t xml:space="preserve"> </w:t>
      </w:r>
      <w:r>
        <w:rPr>
          <w:i/>
          <w:iCs/>
        </w:rPr>
        <w:t xml:space="preserve">depois</w:t>
      </w:r>
      <w:r>
        <w:t xml:space="preserve"> </w:t>
      </w:r>
      <w:r>
        <w:t xml:space="preserve">que alguém os menciona, repetidamente, cada vez com um conjunto diferente de</w:t>
      </w:r>
      <w:r>
        <w:t xml:space="preserve"> </w:t>
      </w:r>
      <w:r>
        <w:t xml:space="preserve">“armas”</w:t>
      </w:r>
      <w:r>
        <w:t xml:space="preserve"> </w:t>
      </w:r>
      <w:r>
        <w:t xml:space="preserve">(</w:t>
      </w:r>
      <w:r>
        <w:t xml:space="preserve">“fear, surprise, and a ruthless efficiency…”</w:t>
      </w:r>
      <w:r>
        <w:t xml:space="preserve">). A indução retroativa funciona ao contrário: você</w:t>
      </w:r>
      <w:r>
        <w:t xml:space="preserve"> </w:t>
      </w:r>
      <w:r>
        <w:rPr>
          <w:i/>
          <w:iCs/>
        </w:rPr>
        <w:t xml:space="preserve">antecipa</w:t>
      </w:r>
      <w:r>
        <w:t xml:space="preserve"> </w:t>
      </w:r>
      <w:r>
        <w:t xml:space="preserve">o que vai acontecer em cada nó futuro — inclusive nos que ninguém espera alcançar — e usa essa antecipação para decidir o que fazer agora. Nobody expects backward induction, mas ela funciona.</w:t>
      </w:r>
    </w:p>
  </w:footnote>
  <w:footnote w:id="576">
    <w:p>
      <w:pPr>
        <w:pStyle w:val="FootnoteText"/>
      </w:pPr>
      <w:r>
        <w:rPr>
          <w:rStyle w:val="FootnoteReference"/>
        </w:rPr>
        <w:footnoteRef/>
      </w:r>
      <w:r>
        <w:t xml:space="preserve"> </w:t>
      </w:r>
      <w:r>
        <w:rPr>
          <w:i/>
          <w:iCs/>
        </w:rPr>
        <w:t xml:space="preserve">Monty Python and the Holy Grail</w:t>
      </w:r>
      <w:r>
        <w:t xml:space="preserve"> </w:t>
      </w:r>
      <w:r>
        <w:t xml:space="preserve">(1975). A cena da Holy Hand Grenade of Antioch é, inadvertidamente, a melhor metáfora para desenho de mecanismos já filmada. O protocolo (tirar o pino, contar até três, lançar) é a</w:t>
      </w:r>
      <w:r>
        <w:t xml:space="preserve"> </w:t>
      </w:r>
      <w:r>
        <w:t xml:space="preserve">“função de resultado”</w:t>
      </w:r>
      <w:r>
        <w:t xml:space="preserve"> </w:t>
      </w:r>
      <m:oMath>
        <m:r>
          <m:t>g</m:t>
        </m:r>
      </m:oMath>
      <w:r>
        <w:t xml:space="preserve">; o erro de contagem do Rei Arthur (</w:t>
      </w:r>
      <w:r>
        <w:t xml:space="preserve">“Three, sir!”</w:t>
      </w:r>
      <w:r>
        <w:t xml:space="preserve">) é a implementação imperfeita; e o resultado (explosão do Coelho Assassino) é a alocação eficiente — mas</w:t>
      </w:r>
      <w:r>
        <w:t xml:space="preserve"> </w:t>
      </w:r>
      <w:r>
        <w:rPr>
          <w:i/>
          <w:iCs/>
        </w:rPr>
        <w:t xml:space="preserve">somente</w:t>
      </w:r>
      <w:r>
        <w:t xml:space="preserve"> </w:t>
      </w:r>
      <w:r>
        <w:t xml:space="preserve">se o protocolo for seguido corretamente.</w:t>
      </w:r>
    </w:p>
  </w:footnote>
  <w:footnote w:id="598">
    <w:p>
      <w:pPr>
        <w:pStyle w:val="FootnoteText"/>
      </w:pPr>
      <w:r>
        <w:rPr>
          <w:rStyle w:val="FootnoteReference"/>
        </w:rPr>
        <w:footnoteRef/>
      </w:r>
      <w:r>
        <w:t xml:space="preserve"> </w:t>
      </w:r>
      <w:r>
        <w:t xml:space="preserve">A saga de rejeições do paper dos limões é uma das melhores anedotas da profissão. A</w:t>
      </w:r>
      <w:r>
        <w:t xml:space="preserve"> </w:t>
      </w:r>
      <w:r>
        <w:rPr>
          <w:i/>
          <w:iCs/>
        </w:rPr>
        <w:t xml:space="preserve">American Economic Review</w:t>
      </w:r>
      <w:r>
        <w:t xml:space="preserve"> </w:t>
      </w:r>
      <w:r>
        <w:t xml:space="preserve">rejeitou-o por ser</w:t>
      </w:r>
      <w:r>
        <w:t xml:space="preserve"> </w:t>
      </w:r>
      <w:r>
        <w:t xml:space="preserve">“trivial”</w:t>
      </w:r>
      <w:r>
        <w:t xml:space="preserve">; o</w:t>
      </w:r>
      <w:r>
        <w:t xml:space="preserve"> </w:t>
      </w:r>
      <w:r>
        <w:rPr>
          <w:i/>
          <w:iCs/>
        </w:rPr>
        <w:t xml:space="preserve">Journal of Political Economy</w:t>
      </w:r>
      <w:r>
        <w:t xml:space="preserve"> </w:t>
      </w:r>
      <w:r>
        <w:t xml:space="preserve">rejeitou-o por ser</w:t>
      </w:r>
      <w:r>
        <w:t xml:space="preserve"> </w:t>
      </w:r>
      <w:r>
        <w:t xml:space="preserve">“incorreto”</w:t>
      </w:r>
      <w:r>
        <w:t xml:space="preserve"> </w:t>
      </w:r>
      <w:r>
        <w:t xml:space="preserve">(o mercado não pode colapsar se os agentes forem racionais!); a</w:t>
      </w:r>
      <w:r>
        <w:t xml:space="preserve"> </w:t>
      </w:r>
      <w:r>
        <w:rPr>
          <w:i/>
          <w:iCs/>
        </w:rPr>
        <w:t xml:space="preserve">Review of Economic Studies</w:t>
      </w:r>
      <w:r>
        <w:t xml:space="preserve"> </w:t>
      </w:r>
      <w:r>
        <w:t xml:space="preserve">simplesmente não se interessou. Três décadas depois, o paper rendeu o Nobel. Se isso não é evidência de seleção adversa no mercado editorial — onde os referees não observam a qualidade do artigo com precisão e frequentemente rejeitam</w:t>
      </w:r>
      <w:r>
        <w:t xml:space="preserve"> </w:t>
      </w:r>
      <w:r>
        <w:t xml:space="preserve">“pêssegos”</w:t>
      </w:r>
      <w:r>
        <w:t xml:space="preserve"> </w:t>
      </w:r>
      <w:r>
        <w:t xml:space="preserve">— nada é. Akerlof provavelmente apreciou a ironia.</w:t>
      </w:r>
    </w:p>
  </w:footnote>
  <w:footnote w:id="599">
    <w:p>
      <w:pPr>
        <w:pStyle w:val="FootnoteText"/>
      </w:pPr>
      <w:r>
        <w:rPr>
          <w:rStyle w:val="FootnoteReference"/>
        </w:rPr>
        <w:footnoteRef/>
      </w:r>
      <w:r>
        <w:t xml:space="preserve"> </w:t>
      </w:r>
      <w:r>
        <w:rPr>
          <w:i/>
          <w:iCs/>
        </w:rPr>
        <w:t xml:space="preserve">“Do you have any Stilton?”</w:t>
      </w:r>
      <w:r>
        <w:rPr>
          <w:i/>
          <w:iCs/>
        </w:rPr>
        <w:t xml:space="preserve"> </w:t>
      </w:r>
      <w:r>
        <w:rPr>
          <w:i/>
          <w:iCs/>
        </w:rPr>
        <w:t xml:space="preserve">“No.”</w:t>
      </w:r>
      <w:r>
        <w:rPr>
          <w:i/>
          <w:iCs/>
        </w:rPr>
        <w:t xml:space="preserve"> </w:t>
      </w:r>
      <w:r>
        <w:rPr>
          <w:i/>
          <w:iCs/>
        </w:rPr>
        <w:t xml:space="preserve">“Gruyère?”</w:t>
      </w:r>
      <w:r>
        <w:rPr>
          <w:i/>
          <w:iCs/>
        </w:rPr>
        <w:t xml:space="preserve"> </w:t>
      </w:r>
      <w:r>
        <w:rPr>
          <w:i/>
          <w:iCs/>
        </w:rPr>
        <w:t xml:space="preserve">“No.”</w:t>
      </w:r>
      <w:r>
        <w:rPr>
          <w:i/>
          <w:iCs/>
        </w:rPr>
        <w:t xml:space="preserve"> </w:t>
      </w:r>
      <w:r>
        <w:rPr>
          <w:i/>
          <w:iCs/>
        </w:rPr>
        <w:t xml:space="preserve">“Emmental?”</w:t>
      </w:r>
      <w:r>
        <w:rPr>
          <w:i/>
          <w:iCs/>
        </w:rPr>
        <w:t xml:space="preserve"> </w:t>
      </w:r>
      <w:r>
        <w:rPr>
          <w:i/>
          <w:iCs/>
        </w:rPr>
        <w:t xml:space="preserve">“No.”</w:t>
      </w:r>
      <w:r>
        <w:t xml:space="preserve"> </w:t>
      </w:r>
      <w:r>
        <w:t xml:space="preserve">No sketch</w:t>
      </w:r>
      <w:r>
        <w:t xml:space="preserve"> </w:t>
      </w:r>
      <w:r>
        <w:rPr>
          <w:i/>
          <w:iCs/>
        </w:rPr>
        <w:t xml:space="preserve">Cheese Shop</w:t>
      </w:r>
      <w:r>
        <w:t xml:space="preserve"> </w:t>
      </w:r>
      <w:r>
        <w:t xml:space="preserve">de Monty Python, John Cleese entra em uma loja de queijos com catálogo infinito mas estoque zero. O vendedor lista dezenas de queijos — nenhum disponível. É a melhor demonstração cômica de um mercado com oferta zero e custo marginal zero de</w:t>
      </w:r>
      <w:r>
        <w:t xml:space="preserve"> </w:t>
      </w:r>
      <w:r>
        <w:rPr>
          <w:i/>
          <w:iCs/>
        </w:rPr>
        <w:t xml:space="preserve">listing</w:t>
      </w:r>
      <w:r>
        <w:t xml:space="preserve">. Soa familiar? É exatamente o modelo de uma plataforma digital: o Mercado Livre não fabrica nada; lista milhões de produtos que não tem. O iFood não cozinha; conecta famintos a restaurantes. A</w:t>
      </w:r>
      <w:r>
        <w:t xml:space="preserve"> </w:t>
      </w:r>
      <w:r>
        <w:t xml:space="preserve">“loja”</w:t>
      </w:r>
      <w:r>
        <w:t xml:space="preserve"> </w:t>
      </w:r>
      <w:r>
        <w:t xml:space="preserve">é o catálogo, não o estoque. O valor não está no bem — está na plataforma que conecta oferta e demanda. O dono do Cheese Shop seria um empreendedor de plataforma genial — se ao menos tivesse queijo. Ou internet.</w:t>
      </w:r>
    </w:p>
  </w:footnote>
  <w:footnote w:id="617">
    <w:p>
      <w:pPr>
        <w:pStyle w:val="FootnoteText"/>
      </w:pPr>
      <w:r>
        <w:rPr>
          <w:rStyle w:val="FootnoteReference"/>
        </w:rPr>
        <w:footnoteRef/>
      </w:r>
      <w:r>
        <w:t xml:space="preserve"> </w:t>
      </w:r>
      <w:r>
        <w:t xml:space="preserve">Se você assistiu ao sketch do</w:t>
      </w:r>
      <w:r>
        <w:t xml:space="preserve"> </w:t>
      </w:r>
      <w:r>
        <w:rPr>
          <w:i/>
          <w:iCs/>
        </w:rPr>
        <w:t xml:space="preserve">Dead Parrot</w:t>
      </w:r>
      <w:r>
        <w:t xml:space="preserve"> </w:t>
      </w:r>
      <w:r>
        <w:t xml:space="preserve">de Monty Python, já testemunhou a forma mais pura de informação assimétrica: o lojista</w:t>
      </w:r>
      <w:r>
        <w:t xml:space="preserve"> </w:t>
      </w:r>
      <w:r>
        <w:rPr>
          <w:i/>
          <w:iCs/>
        </w:rPr>
        <w:t xml:space="preserve">sabe</w:t>
      </w:r>
      <w:r>
        <w:t xml:space="preserve"> </w:t>
      </w:r>
      <w:r>
        <w:t xml:space="preserve">que o papagaio está morto, mas insiste que ele está</w:t>
      </w:r>
      <w:r>
        <w:t xml:space="preserve"> </w:t>
      </w:r>
      <w:r>
        <w:t xml:space="preserve">“descansando”</w:t>
      </w:r>
      <w:r>
        <w:t xml:space="preserve"> </w:t>
      </w:r>
      <w:r>
        <w:t xml:space="preserve">(</w:t>
      </w:r>
      <w:r>
        <w:rPr>
          <w:i/>
          <w:iCs/>
        </w:rPr>
        <w:t xml:space="preserve">“He’s resting!”</w:t>
      </w:r>
      <w:r>
        <w:t xml:space="preserve">). O comprador — John Cleese — argumenta com evidências crescentes (</w:t>
      </w:r>
      <w:r>
        <w:rPr>
          <w:i/>
          <w:iCs/>
        </w:rPr>
        <w:t xml:space="preserve">“This parrot is no more! He has ceased to be!”</w:t>
      </w:r>
      <w:r>
        <w:t xml:space="preserve">), e mesmo assim o vendedor sustenta o</w:t>
      </w:r>
      <w:r>
        <w:t xml:space="preserve"> </w:t>
      </w:r>
      <w:r>
        <w:rPr>
          <w:i/>
          <w:iCs/>
        </w:rPr>
        <w:t xml:space="preserve">cheap talk</w:t>
      </w:r>
      <w:r>
        <w:t xml:space="preserve">. Akerlof escreveu</w:t>
      </w:r>
      <w:r>
        <w:t xml:space="preserve"> </w:t>
      </w:r>
      <w:r>
        <w:t xml:space="preserve">“The Market for Lemons”</w:t>
      </w:r>
      <w:r>
        <w:t xml:space="preserve"> </w:t>
      </w:r>
      <w:r>
        <w:t xml:space="preserve">em 1970; os Pythons encenaram a mesma lição em 1969. Coincidência? Talvez. Mas quem veio primeiro — o economista ou o comediante — é, em si, um problema de informação assimétrica.</w:t>
      </w:r>
    </w:p>
  </w:footnote>
  <w:footnote w:id="639">
    <w:p>
      <w:pPr>
        <w:pStyle w:val="FootnoteText"/>
      </w:pPr>
      <w:r>
        <w:rPr>
          <w:rStyle w:val="FootnoteReference"/>
        </w:rPr>
        <w:footnoteRef/>
      </w:r>
      <w:r>
        <w:t xml:space="preserve"> </w:t>
      </w:r>
      <w:r>
        <w:t xml:space="preserve">Pense numa cozinha com um único forno. O primeiro padeiro produz 80 pães/hora. O segundo, dividindo o forno, adiciona 60. O terceiro, esbarrando nos outros dois e esperando o forno liberar, adiciona 30. O quarto fica basicamente olhando a massa crescer. Isso é rendimento marginal decrescente — e você vai encontrá-lo em toda firma, toda fábrica e toda startup que contratou</w:t>
      </w:r>
      <w:r>
        <w:t xml:space="preserve"> </w:t>
      </w:r>
      <w:r>
        <w:t xml:space="preserve">“só mais um estagiário”</w:t>
      </w:r>
      <w:r>
        <w:t xml:space="preserve">.</w:t>
      </w:r>
    </w:p>
  </w:footnote>
  <w:footnote w:id="649">
    <w:p>
      <w:pPr>
        <w:pStyle w:val="FootnoteText"/>
      </w:pPr>
      <w:r>
        <w:rPr>
          <w:rStyle w:val="FootnoteReference"/>
        </w:rPr>
        <w:footnoteRef/>
      </w:r>
      <w:r>
        <w:t xml:space="preserve"> </w:t>
      </w:r>
      <w:r>
        <w:t xml:space="preserve">O Black Knight de Monty Python é o caso extremo de rendimentos marginais decrescentes do trabalho sob ataque tecnológico. A cada braço cortado pelo Rei Arthur (automação), sua capacidade produtiva de luta cai drasticamente. Mas ele insiste:</w:t>
      </w:r>
      <w:r>
        <w:t xml:space="preserve"> </w:t>
      </w:r>
      <w:r>
        <w:t xml:space="preserve">“’Tis but a scratch!”</w:t>
      </w:r>
      <w:r>
        <w:t xml:space="preserve"> </w:t>
      </w:r>
      <w:r>
        <w:t xml:space="preserve">— exatamente como o gerente que acredita que mais um funcionário numa fábrica já automatizada vai fazer diferença. O Black Knight é, essencialmente, um trabalhador com</w:t>
      </w:r>
      <w:r>
        <w:t xml:space="preserve"> </w:t>
      </w:r>
      <m:oMath>
        <m:r>
          <m:t>σ</m:t>
        </m:r>
        <m:r>
          <m:rPr>
            <m:sty m:val="p"/>
          </m:rPr>
          <m:t>≈</m:t>
        </m:r>
        <m:r>
          <m:t>0</m:t>
        </m:r>
      </m:oMath>
      <w:r>
        <w:t xml:space="preserve">: não há substituição possível entre braços e determinação.</w:t>
      </w:r>
    </w:p>
  </w:footnote>
  <w:footnote w:id="658">
    <w:p>
      <w:pPr>
        <w:pStyle w:val="FootnoteText"/>
      </w:pPr>
      <w:r>
        <w:rPr>
          <w:rStyle w:val="FootnoteReference"/>
        </w:rPr>
        <w:footnoteRef/>
      </w:r>
      <w:r>
        <w:t xml:space="preserve"> </w:t>
      </w:r>
      <w:r>
        <w:t xml:space="preserve">Moses Abramovitz chamou o resíduo de Solow de</w:t>
      </w:r>
      <w:r>
        <w:t xml:space="preserve"> </w:t>
      </w:r>
      <w:r>
        <w:t xml:space="preserve">“a medida da nossa ignorância”</w:t>
      </w:r>
      <w:r>
        <w:t xml:space="preserve"> </w:t>
      </w:r>
      <w:r>
        <w:t xml:space="preserve">— e não estava sendo modesto. Tudo o que não sabemos medir nos insumos acaba no resíduo: qualidade do trabalho, inovação organizacional, infraestrutura, clima institucional, estabilidade macroeconômica. É como atribuir a melhora de um prato a</w:t>
      </w:r>
      <w:r>
        <w:t xml:space="preserve"> </w:t>
      </w:r>
      <w:r>
        <w:t xml:space="preserve">“tempero”</w:t>
      </w:r>
      <w:r>
        <w:t xml:space="preserve"> </w:t>
      </w:r>
      <w:r>
        <w:t xml:space="preserve">— quando</w:t>
      </w:r>
      <w:r>
        <w:t xml:space="preserve"> </w:t>
      </w:r>
      <w:r>
        <w:t xml:space="preserve">“tempero”</w:t>
      </w:r>
      <w:r>
        <w:t xml:space="preserve"> </w:t>
      </w:r>
      <w:r>
        <w:t xml:space="preserve">inclui desde sal até o humor do chef. A história da contabilidade do crescimento, de Solow (1957) a Hsieh e Klenow (2009), é em grande parte uma tentativa de reduzir essa ignorância, decompondo o resíduo em componentes identificáveis. No caso brasileiro, a queda da PTF nos anos 1980 (Bonelli e Fonseca, 1998; Gomes, Pessôa e Veloso, 2003) provavelmente reflete menos uma</w:t>
      </w:r>
      <w:r>
        <w:t xml:space="preserve"> </w:t>
      </w:r>
      <w:r>
        <w:t xml:space="preserve">“piora tecnológica”</w:t>
      </w:r>
      <w:r>
        <w:t xml:space="preserve"> </w:t>
      </w:r>
      <w:r>
        <w:t xml:space="preserve">e mais a desorganização alocativa causada pela hiperinflação — uma forma particularmente destrutiva de</w:t>
      </w:r>
      <w:r>
        <w:t xml:space="preserve"> </w:t>
      </w:r>
      <w:r>
        <w:t xml:space="preserve">“tempero ruim”</w:t>
      </w:r>
      <w:r>
        <w:t xml:space="preserve">.</w:t>
      </w:r>
    </w:p>
  </w:footnote>
  <w:footnote w:id="662">
    <w:p>
      <w:pPr>
        <w:pStyle w:val="FootnoteText"/>
      </w:pPr>
      <w:r>
        <w:rPr>
          <w:rStyle w:val="FootnoteReference"/>
        </w:rPr>
        <w:footnoteRef/>
      </w:r>
      <w:r>
        <w:t xml:space="preserve"> </w:t>
      </w:r>
      <w:r>
        <w:t xml:space="preserve">Tecnicamente,</w:t>
      </w:r>
      <w:r>
        <w:t xml:space="preserve"> </w:t>
      </w:r>
      <w:r>
        <w:t xml:space="preserve">“dar zoom”</w:t>
      </w:r>
      <w:r>
        <w:t xml:space="preserve"> </w:t>
      </w:r>
      <w:r>
        <w:t xml:space="preserve">na combinação de insumos é exatamente o que o caminho de expansão linear faz: a firma segue um raio a partir da origem no espaço</w:t>
      </w:r>
      <w:r>
        <w:t xml:space="preserve"> </w:t>
      </w:r>
      <m:oMath>
        <m:r>
          <m:rPr>
            <m:sty m:val="p"/>
          </m:rPr>
          <m:t>(</m:t>
        </m:r>
        <m:r>
          <m:t>K</m:t>
        </m:r>
        <m:r>
          <m:rPr>
            <m:sty m:val="p"/>
          </m:rPr>
          <m:t>,</m:t>
        </m:r>
        <m:r>
          <m:t>L</m:t>
        </m:r>
        <m:r>
          <m:rPr>
            <m:sty m:val="p"/>
          </m:rPr>
          <m:t>)</m:t>
        </m:r>
      </m:oMath>
      <w:r>
        <w:t xml:space="preserve">, mantendo</w:t>
      </w:r>
      <w:r>
        <w:t xml:space="preserve"> </w:t>
      </w:r>
      <m:oMath>
        <m:r>
          <m:t>K</m:t>
        </m:r>
        <m:r>
          <m:rPr>
            <m:sty m:val="p"/>
          </m:rPr>
          <m:t>/</m:t>
        </m:r>
        <m:r>
          <m:t>L</m:t>
        </m:r>
      </m:oMath>
      <w:r>
        <w:t xml:space="preserve"> </w:t>
      </w:r>
      <w:r>
        <w:t xml:space="preserve">constante. Se isso lembra uma homotetia da geometria euclidiana — transformação que preserva ângulos e multiplica distâncias por um fator constante — não é coincidência: é literalmente de onde vem o nome.</w:t>
      </w:r>
    </w:p>
  </w:footnote>
  <w:footnote w:id="691">
    <w:p>
      <w:pPr>
        <w:pStyle w:val="FootnoteText"/>
      </w:pPr>
      <w:r>
        <w:rPr>
          <w:rStyle w:val="FootnoteReference"/>
        </w:rPr>
        <w:footnoteRef/>
      </w:r>
      <w:r>
        <w:t xml:space="preserve"> </w:t>
      </w:r>
      <w:r>
        <w:t xml:space="preserve">Fãs de Monty Python reconhecerão aqui a tragédia do</w:t>
      </w:r>
      <w:r>
        <w:t xml:space="preserve"> </w:t>
      </w:r>
      <w:r>
        <w:rPr>
          <w:i/>
          <w:iCs/>
        </w:rPr>
        <w:t xml:space="preserve">Cheese Shop</w:t>
      </w:r>
      <w:r>
        <w:t xml:space="preserve"> </w:t>
      </w:r>
      <w:r>
        <w:t xml:space="preserve">sketch: o cliente entra na loja pedindo queijo após queijo — Camembert, Gouda, Stilton, Emmental — e a resposta é sempre</w:t>
      </w:r>
      <w:r>
        <w:t xml:space="preserve"> </w:t>
      </w:r>
      <w:r>
        <w:t xml:space="preserve">“I’m afraid we’re fresh out of that, sir.”</w:t>
      </w:r>
      <w:r>
        <w:t xml:space="preserve"> </w:t>
      </w:r>
      <w:r>
        <w:t xml:space="preserve">A loja existe, o produto</w:t>
      </w:r>
      <w:r>
        <w:t xml:space="preserve"> </w:t>
      </w:r>
      <w:r>
        <w:rPr>
          <w:i/>
          <w:iCs/>
        </w:rPr>
        <w:t xml:space="preserve">deveria</w:t>
      </w:r>
      <w:r>
        <w:t xml:space="preserve"> </w:t>
      </w:r>
      <w:r>
        <w:t xml:space="preserve">existir, mas a oferta é zero. Por quê? Porque os custos — de refrigeração, importação, estoque — tornaram inviável manter qualquer queijo real na prateleira. É uma demonstração involuntária e hilária do shutdown condition: quando o preço não cobre nem o custo variável médio, a firma fecha. Ou, neste caso, finge que está aberta mas não vende nada. O vendedor é um monopolista de otimismo num mercado com oferta zero.</w:t>
      </w:r>
    </w:p>
  </w:footnote>
  <w:footnote w:id="692">
    <w:p>
      <w:pPr>
        <w:pStyle w:val="FootnoteText"/>
      </w:pPr>
      <w:r>
        <w:rPr>
          <w:rStyle w:val="FootnoteReference"/>
        </w:rPr>
        <w:footnoteRef/>
      </w:r>
      <w:r>
        <w:t xml:space="preserve"> </w:t>
      </w:r>
      <w:r>
        <w:t xml:space="preserve">Confissão de editor: quando percebi pela primeira vez que a demanda hicksiana do consumidor e a demanda condicional por insumos são</w:t>
      </w:r>
      <w:r>
        <w:t xml:space="preserve"> </w:t>
      </w:r>
      <w:r>
        <w:rPr>
          <w:i/>
          <w:iCs/>
        </w:rPr>
        <w:t xml:space="preserve">o mesmo objeto matemático com nomes diferentes</w:t>
      </w:r>
      <w:r>
        <w:t xml:space="preserve">, achei que tinha cometido um erro. Não tinha. A microeconomia tem esse hábito desconcertante de reinventar a roda com novos nomes — como um programa de TV que muda de elenco mas mantém o roteiro. Mas a elegância está justamente na universalidade: o Lagrangeano não se importa se você está comprando arroz ou contratando trabalhadores.</w:t>
      </w:r>
    </w:p>
  </w:footnote>
  <w:footnote w:id="695">
    <w:p>
      <w:pPr>
        <w:pStyle w:val="FootnoteText"/>
      </w:pPr>
      <w:r>
        <w:rPr>
          <w:rStyle w:val="FootnoteReference"/>
        </w:rPr>
        <w:footnoteRef/>
      </w:r>
      <w:r>
        <w:t xml:space="preserve"> </w:t>
      </w:r>
      <w:r>
        <w:t xml:space="preserve">O Black Knight de Monty Python é o santo padroeiro dos sunk costs. Ele perde um braço e grita</w:t>
      </w:r>
      <w:r>
        <w:t xml:space="preserve"> </w:t>
      </w:r>
      <w:r>
        <w:t xml:space="preserve">“’Tis but a scratch!”</w:t>
      </w:r>
      <w:r>
        <w:t xml:space="preserve"> </w:t>
      </w:r>
      <w:r>
        <w:t xml:space="preserve">Perde o outro:</w:t>
      </w:r>
      <w:r>
        <w:t xml:space="preserve"> </w:t>
      </w:r>
      <w:r>
        <w:t xml:space="preserve">“It’s just a flesh wound!”</w:t>
      </w:r>
      <w:r>
        <w:t xml:space="preserve"> </w:t>
      </w:r>
      <w:r>
        <w:t xml:space="preserve">Continua lutando sem pernas porque</w:t>
      </w:r>
      <w:r>
        <w:t xml:space="preserve"> </w:t>
      </w:r>
      <w:r>
        <w:rPr>
          <w:i/>
          <w:iCs/>
        </w:rPr>
        <w:t xml:space="preserve">já investiu demais na luta</w:t>
      </w:r>
      <w:r>
        <w:t xml:space="preserve"> </w:t>
      </w:r>
      <w:r>
        <w:t xml:space="preserve">— não porque faz sentido. É o gerente de projeto que diz</w:t>
      </w:r>
      <w:r>
        <w:t xml:space="preserve"> </w:t>
      </w:r>
      <w:r>
        <w:t xml:space="preserve">“já gastamos R$ 50 milhões, não podemos parar agora”</w:t>
      </w:r>
      <w:r>
        <w:t xml:space="preserve">, quando a resposta racional é:</w:t>
      </w:r>
      <w:r>
        <w:t xml:space="preserve"> </w:t>
      </w:r>
      <w:r>
        <w:t xml:space="preserve">“os R$ 50 milhões se foram independentemente do que fizermos; a única pergunta é se gastar</w:t>
      </w:r>
      <w:r>
        <w:t xml:space="preserve"> </w:t>
      </w:r>
      <w:r>
        <w:rPr>
          <w:i/>
          <w:iCs/>
        </w:rPr>
        <w:t xml:space="preserve">mais</w:t>
      </w:r>
      <w:r>
        <w:t xml:space="preserve"> </w:t>
      </w:r>
      <w:r>
        <w:t xml:space="preserve">R$ 10 milhões vale a pena</w:t>
      </w:r>
      <w:r>
        <w:t xml:space="preserve"> </w:t>
      </w:r>
      <w:r>
        <w:rPr>
          <w:i/>
          <w:iCs/>
        </w:rPr>
        <w:t xml:space="preserve">agora</w:t>
      </w:r>
      <w:r>
        <w:t xml:space="preserve">.”</w:t>
      </w:r>
      <w:r>
        <w:t xml:space="preserve"> </w:t>
      </w:r>
      <w:r>
        <w:t xml:space="preserve">O Black Knight, convenhamos, não era muito bom em análise marginal.</w:t>
      </w:r>
    </w:p>
  </w:footnote>
  <w:footnote w:id="698">
    <w:p>
      <w:pPr>
        <w:pStyle w:val="FootnoteText"/>
      </w:pPr>
      <w:r>
        <w:rPr>
          <w:rStyle w:val="FootnoteReference"/>
        </w:rPr>
        <w:footnoteRef/>
      </w:r>
      <w:r>
        <w:t xml:space="preserve"> </w:t>
      </w:r>
      <w:r>
        <w:t xml:space="preserve">“Nobody expects the Spanish Inquisition!”</w:t>
      </w:r>
      <w:r>
        <w:t xml:space="preserve"> </w:t>
      </w:r>
      <w:r>
        <w:t xml:space="preserve">— tampouco ninguém espera que minimizar custo</w:t>
      </w:r>
      <w:r>
        <w:t xml:space="preserve"> </w:t>
      </w:r>
      <w:r>
        <w:rPr>
          <w:i/>
          <w:iCs/>
        </w:rPr>
        <w:t xml:space="preserve">não</w:t>
      </w:r>
      <w:r>
        <w:t xml:space="preserve"> </w:t>
      </w:r>
      <w:r>
        <w:t xml:space="preserve">seja equivalente a maximizar lucro. Mas eis que a hipótese falha: minimizar custo é necessário, mas não suficiente. Você pode ser o chef mais eficiente do restaurante e ainda assim quebrar porque escolheu produzir o prato errado. A Inquisição Espanhola dos Monty Python chega sempre sem aviso; o nível ótimo de produção também não cai do céu — exige uma etapa adicional de otimização.</w:t>
      </w:r>
    </w:p>
  </w:footnote>
  <w:footnote w:id="705">
    <w:p>
      <w:pPr>
        <w:pStyle w:val="FootnoteText"/>
      </w:pPr>
      <w:r>
        <w:rPr>
          <w:rStyle w:val="FootnoteReference"/>
        </w:rPr>
        <w:footnoteRef/>
      </w:r>
      <w:r>
        <w:t xml:space="preserve"> </w:t>
      </w:r>
      <w:r>
        <w:t xml:space="preserve">O Lema de Shephard é como a Holy Hand Grenade of Antioch: um instrumento de precisão que requer protocolo exato.</w:t>
      </w:r>
      <w:r>
        <w:t xml:space="preserve"> </w:t>
      </w:r>
      <w:r>
        <w:t xml:space="preserve">“First shalt thou take the derivative with respect to</w:t>
      </w:r>
      <w:r>
        <w:t xml:space="preserve"> </w:t>
      </w:r>
      <m:oMath>
        <m:r>
          <m:t>w</m:t>
        </m:r>
      </m:oMath>
      <w:r>
        <w:t xml:space="preserve">. Then shalt thou obtain</w:t>
      </w:r>
      <w:r>
        <w:t xml:space="preserve"> </w:t>
      </w:r>
      <m:oMath>
        <m:sSup>
          <m:e>
            <m:r>
              <m:t>L</m:t>
            </m:r>
          </m:e>
          <m:sup>
            <m:r>
              <m:t>c</m:t>
            </m:r>
          </m:sup>
        </m:sSup>
      </m:oMath>
      <w:r>
        <w:t xml:space="preserve">, no more, no less.</w:t>
      </w:r>
      <w:r>
        <w:t xml:space="preserve"> </w:t>
      </w:r>
      <m:oMath>
        <m:sSup>
          <m:e>
            <m:r>
              <m:t>L</m:t>
            </m:r>
          </m:e>
          <m:sup>
            <m:r>
              <m:t>c</m:t>
            </m:r>
          </m:sup>
        </m:sSup>
      </m:oMath>
      <w:r>
        <w:t xml:space="preserve"> </w:t>
      </w:r>
      <w:r>
        <w:t xml:space="preserve">shall be the number thou shalt obtain.”</w:t>
      </w:r>
      <w:r>
        <w:t xml:space="preserve"> </w:t>
      </w:r>
      <w:r>
        <w:t xml:space="preserve">Pular etapas ou derivar em relação à variável errada é como contar até cinco em vez de três — o resultado explode na sua cara. Mas se você seguir o protocolo, o lema funciona com elegância devastadora.</w:t>
      </w:r>
    </w:p>
  </w:footnote>
  <w:footnote w:id="719">
    <w:p>
      <w:pPr>
        <w:pStyle w:val="FootnoteText"/>
      </w:pPr>
      <w:r>
        <w:rPr>
          <w:rStyle w:val="FootnoteReference"/>
        </w:rPr>
        <w:footnoteRef/>
      </w:r>
      <w:r>
        <w:t xml:space="preserve"> </w:t>
      </w:r>
      <w:r>
        <w:t xml:space="preserve">O Ministry of Silly Walks de Monty Python é a melhor metáfora já inventada para custos fixos burocráticos. O ministério inteiro existe para subsidiar formas absurdas de caminhar — e o solicitante precisa preencher formulários, aguardar aprovação e seguir protocolos kafkianos para receber financiamento. É custo de transação puro à la Williamson: recursos desviados da produção para cumprir requisitos institucionais. No Brasil, o</w:t>
      </w:r>
      <w:r>
        <w:t xml:space="preserve"> </w:t>
      </w:r>
      <w:r>
        <w:t xml:space="preserve">“custo de compliance tributária”</w:t>
      </w:r>
      <w:r>
        <w:t xml:space="preserve"> </w:t>
      </w:r>
      <w:r>
        <w:t xml:space="preserve">(1.501 horas/ano segundo o Banco Mundial) seria um departamento inteiro no Ministry of Silly Walks.</w:t>
      </w:r>
    </w:p>
  </w:footnote>
  <w:footnote w:id="744">
    <w:p>
      <w:pPr>
        <w:pStyle w:val="FootnoteText"/>
      </w:pPr>
      <w:r>
        <w:rPr>
          <w:rStyle w:val="FootnoteReference"/>
        </w:rPr>
        <w:footnoteRef/>
      </w:r>
      <w:r>
        <w:t xml:space="preserve"> </w:t>
      </w:r>
      <w:r>
        <w:t xml:space="preserve">O sketch do Dead Parrot dos Monty Python é, sem querer, uma masterclass sobre a teoria da firma. O dono da pet shop insiste que o papagaio morto está</w:t>
      </w:r>
      <w:r>
        <w:t xml:space="preserve"> </w:t>
      </w:r>
      <w:r>
        <w:t xml:space="preserve">“descansando”</w:t>
      </w:r>
      <w:r>
        <w:t xml:space="preserve"> </w:t>
      </w:r>
      <w:r>
        <w:t xml:space="preserve">— uma assimetria de informação pura entre vendedor e comprador. Mas o que torna o sketch genial do ponto de vista econômico é que o comprador volta à</w:t>
      </w:r>
      <w:r>
        <w:t xml:space="preserve"> </w:t>
      </w:r>
      <w:r>
        <w:rPr>
          <w:i/>
          <w:iCs/>
        </w:rPr>
        <w:t xml:space="preserve">mesma loja</w:t>
      </w:r>
      <w:r>
        <w:t xml:space="preserve">: os custos de transação de encontrar outra pet shop são altos o suficiente para justificar a reclamação em vez da busca. Coase ficaria orgulhoso. (</w:t>
      </w:r>
      <w:r>
        <w:t xml:space="preserve">“This parrot is no more! It has ceased to be! It’s expired and gone to meet its maker!”</w:t>
      </w:r>
      <w:r>
        <w:t xml:space="preserve">)</w:t>
      </w:r>
    </w:p>
  </w:footnote>
  <w:footnote w:id="745">
    <w:p>
      <w:pPr>
        <w:pStyle w:val="FootnoteText"/>
      </w:pPr>
      <w:r>
        <w:rPr>
          <w:rStyle w:val="FootnoteReference"/>
        </w:rPr>
        <w:footnoteRef/>
      </w:r>
      <w:r>
        <w:t xml:space="preserve"> </w:t>
      </w:r>
      <w:r>
        <w:t xml:space="preserve">Hotelling e Shephard são os Penn &amp; Teller da microeconomia: o truque parece mágica, mas é só cálculo. A diferença é que Penn &amp; Teller revelam o truque no final — e Hotelling também, desde que você saiba derivar.</w:t>
      </w:r>
    </w:p>
  </w:footnote>
  <w:footnote w:id="750">
    <w:p>
      <w:pPr>
        <w:pStyle w:val="FootnoteText"/>
      </w:pPr>
      <w:r>
        <w:rPr>
          <w:rStyle w:val="FootnoteReference"/>
        </w:rPr>
        <w:footnoteRef/>
      </w:r>
      <w:r>
        <w:t xml:space="preserve"> </w:t>
      </w:r>
      <w:r>
        <w:t xml:space="preserve">Confissão de autor: na primeira vez que resolvi RMg = CMg numa prova, encontrei um</w:t>
      </w:r>
      <w:r>
        <w:t xml:space="preserve"> </w:t>
      </w:r>
      <w:r>
        <w:rPr>
          <w:i/>
          <w:iCs/>
        </w:rPr>
        <w:t xml:space="preserve">mínimo</w:t>
      </w:r>
      <w:r>
        <w:t xml:space="preserve"> </w:t>
      </w:r>
      <w:r>
        <w:t xml:space="preserve">de lucro e perdi meio ponto. A CSO existe por um motivo — e esse motivo sou eu, em 2003, achando que bastava igualar derivadas. Não basta. Verifique</w:t>
      </w:r>
      <w:r>
        <w:t xml:space="preserve"> </w:t>
      </w:r>
      <w:r>
        <w:rPr>
          <w:i/>
          <w:iCs/>
        </w:rPr>
        <w:t xml:space="preserve">sempre</w:t>
      </w:r>
      <w:r>
        <w:t xml:space="preserve"> </w:t>
      </w:r>
      <w:r>
        <w:t xml:space="preserve">que o CMg cruza o RMg de baixo para cima.</w:t>
      </w:r>
    </w:p>
  </w:footnote>
  <w:footnote w:id="759">
    <w:p>
      <w:pPr>
        <w:pStyle w:val="FootnoteText"/>
      </w:pPr>
      <w:r>
        <w:rPr>
          <w:rStyle w:val="FootnoteReference"/>
        </w:rPr>
        <w:footnoteRef/>
      </w:r>
      <w:r>
        <w:t xml:space="preserve"> </w:t>
      </w:r>
      <w:r>
        <w:t xml:space="preserve">O Black Knight dos Monty Python é o patrono espiritual de toda firma que insiste em operar com prejuízo. Depois de perder os dois braços, ele grita</w:t>
      </w:r>
      <w:r>
        <w:t xml:space="preserve"> </w:t>
      </w:r>
      <w:r>
        <w:t xml:space="preserve">“’Tis but a scratch!”</w:t>
      </w:r>
      <w:r>
        <w:t xml:space="preserve"> </w:t>
      </w:r>
      <w:r>
        <w:t xml:space="preserve">e continua lutando. É a sunk cost fallacy em sua forma mais pura: os braços já foram (custo irrecuperável), mas ele avalia a situação pelo investimento passado, não pelo retorno futuro. A firma racional, diferentemente do Black Knight, fecha as portas quando</w:t>
      </w:r>
      <w:r>
        <w:t xml:space="preserve"> </w:t>
      </w:r>
      <m:oMath>
        <m:r>
          <m:t>p</m:t>
        </m:r>
        <m:r>
          <m:rPr>
            <m:sty m:val="p"/>
          </m:rPr>
          <m:t>&lt;</m:t>
        </m:r>
        <m:sSub>
          <m:e>
            <m:r>
              <m:rPr>
                <m:sty m:val="p"/>
              </m:rPr>
              <m:t>C</m:t>
            </m:r>
            <m:r>
              <m:rPr>
                <m:sty m:val="p"/>
              </m:rPr>
              <m:t>V</m:t>
            </m:r>
            <m:r>
              <m:rPr>
                <m:sty m:val="p"/>
              </m:rPr>
              <m:t>M</m:t>
            </m:r>
            <m:r>
              <m:rPr>
                <m:sty m:val="p"/>
              </m:rPr>
              <m:t>e</m:t>
            </m:r>
          </m:e>
          <m:sub>
            <m:r>
              <m:rPr>
                <m:sty m:val="p"/>
              </m:rPr>
              <m:t>min</m:t>
            </m:r>
          </m:sub>
        </m:sSub>
      </m:oMath>
      <w:r>
        <w:t xml:space="preserve"> </w:t>
      </w:r>
      <w:r>
        <w:t xml:space="preserve">— porque os braços que restam (custos variáveis) custam mais do que a luta rende.</w:t>
      </w:r>
    </w:p>
  </w:footnote>
  <w:footnote w:id="766">
    <w:p>
      <w:pPr>
        <w:pStyle w:val="FootnoteText"/>
      </w:pPr>
      <w:r>
        <w:rPr>
          <w:rStyle w:val="FootnoteReference"/>
        </w:rPr>
        <w:footnoteRef/>
      </w:r>
      <w:r>
        <w:t xml:space="preserve"> </w:t>
      </w:r>
      <w:r>
        <w:t xml:space="preserve">“Bring me a shrubbery!”</w:t>
      </w:r>
      <w:r>
        <w:t xml:space="preserve"> </w:t>
      </w:r>
      <w:r>
        <w:t xml:space="preserve">— o cavaleiro que diz</w:t>
      </w:r>
      <w:r>
        <w:t xml:space="preserve"> </w:t>
      </w:r>
      <w:r>
        <w:t xml:space="preserve">“Ni!”</w:t>
      </w:r>
      <w:r>
        <w:t xml:space="preserve"> </w:t>
      </w:r>
      <w:r>
        <w:t xml:space="preserve">no</w:t>
      </w:r>
      <w:r>
        <w:t xml:space="preserve"> </w:t>
      </w:r>
      <w:r>
        <w:rPr>
          <w:i/>
          <w:iCs/>
        </w:rPr>
        <w:t xml:space="preserve">Holy Grail</w:t>
      </w:r>
      <w:r>
        <w:t xml:space="preserve"> </w:t>
      </w:r>
      <w:r>
        <w:t xml:space="preserve">dos Monty Python tem uma demanda perfeitamente inelástica por arbustos. Não importa o preço, não importa a dificuldade: ele quer um arbusto e ponto. Na teoria da firma, a demanda por insumos nunca é assim — ela sempre responde ao preço, porque tanto o efeito substituição quanto o efeito produto empurram na mesma direção. Os cavaleiros que dizem</w:t>
      </w:r>
      <w:r>
        <w:t xml:space="preserve"> </w:t>
      </w:r>
      <w:r>
        <w:t xml:space="preserve">“Ni!”</w:t>
      </w:r>
      <w:r>
        <w:t xml:space="preserve"> </w:t>
      </w:r>
      <w:r>
        <w:t xml:space="preserve">seriam péssimos empresários.</w:t>
      </w:r>
    </w:p>
  </w:footnote>
  <w:footnote w:id="792">
    <w:p>
      <w:pPr>
        <w:pStyle w:val="FootnoteText"/>
      </w:pPr>
      <w:r>
        <w:rPr>
          <w:rStyle w:val="FootnoteReference"/>
        </w:rPr>
        <w:footnoteRef/>
      </w:r>
      <w:r>
        <w:t xml:space="preserve"> </w:t>
      </w:r>
      <w:r>
        <w:t xml:space="preserve">O leiloeiro walrasiano é o fantasma mais útil da economia. Ninguém jamais o viu, nenhum mercado emprega um, mas todo modelo de equilíbrio geral precisa dele para fechar as contas. É como o monstro do Lago Ness, mas com propriedades matemáticas melhores.</w:t>
      </w:r>
    </w:p>
  </w:footnote>
  <w:footnote w:id="793">
    <w:p>
      <w:pPr>
        <w:pStyle w:val="FootnoteText"/>
      </w:pPr>
      <w:r>
        <w:rPr>
          <w:rStyle w:val="FootnoteReference"/>
        </w:rPr>
        <w:footnoteRef/>
      </w:r>
      <w:r>
        <w:t xml:space="preserve"> </w:t>
      </w:r>
      <w:r>
        <w:t xml:space="preserve">“Nobody expects the Spanish Inquisition!”</w:t>
      </w:r>
      <w:r>
        <w:t xml:space="preserve"> </w:t>
      </w:r>
      <w:r>
        <w:t xml:space="preserve">— e ninguém espera que um equilíbrio de mercado possa ser eficiente sem que ninguém planeje isso. A mão invisível de Adam Smith é, em certo sentido, tão inesperada quanto a Inquisição Espanhola dos Monty Python: aparece quando ninguém chamou, impõe ordem onde se esperava caos, e ninguém sabe exatamente como funciona. A diferença é que a mão invisível, ao contrário do Cardeal Ximinez, realmente produz resultados socialmente desejáveis — pelo menos quando as hipóteses do Primeiro Teorema do Bem-Estar são satisfeitas.</w:t>
      </w:r>
    </w:p>
  </w:footnote>
  <w:footnote w:id="805">
    <w:p>
      <w:pPr>
        <w:pStyle w:val="FootnoteText"/>
      </w:pPr>
      <w:r>
        <w:rPr>
          <w:rStyle w:val="FootnoteReference"/>
        </w:rPr>
        <w:footnoteRef/>
      </w:r>
      <w:r>
        <w:t xml:space="preserve"> </w:t>
      </w:r>
      <w:r>
        <w:t xml:space="preserve">O longo prazo competitivo é o oposto do Cheese Shop dos Monty Python. No sketch, o cliente pede dezenas de tipos de queijo e o vendedor não tem nenhum — oferta zero, preço indefinido, equilíbrio inexistente. No longo prazo competitivo, a entrada livre garante que a oferta se ajusta à demanda. Se há lucro vendendo queijo, novos vendedores aparecem até que o mercado esteja abastecido e o lucro se evapore. O Cheese Shop só sobrevive porque, aparentemente, não há livre entrada no mercado de queijos britânicos.</w:t>
      </w:r>
    </w:p>
  </w:footnote>
  <w:footnote w:id="821">
    <w:p>
      <w:pPr>
        <w:pStyle w:val="FootnoteText"/>
      </w:pPr>
      <w:r>
        <w:rPr>
          <w:rStyle w:val="FootnoteReference"/>
        </w:rPr>
        <w:footnoteRef/>
      </w:r>
      <w:r>
        <w:t xml:space="preserve"> </w:t>
      </w:r>
      <w:r>
        <w:t xml:space="preserve">“What have the Romans ever done for us?”</w:t>
      </w:r>
      <w:r>
        <w:t xml:space="preserve"> </w:t>
      </w:r>
      <w:r>
        <w:t xml:space="preserve">— na cena clássica de</w:t>
      </w:r>
      <w:r>
        <w:t xml:space="preserve"> </w:t>
      </w:r>
      <w:r>
        <w:rPr>
          <w:i/>
          <w:iCs/>
        </w:rPr>
        <w:t xml:space="preserve">Life of Brian</w:t>
      </w:r>
      <w:r>
        <w:t xml:space="preserve">, os revolucionários judeus listam involuntariamente os bens públicos que Roma proveu: aquedutos, estradas, saneamento, irrigação, saúde pública, ordem, educação, vinho… A análise de controles de preços tem a mesma estrutura: começamos criticando a intervenção, mas a lista de exceções legítimas (falhas de mercado, externalidades, bens públicos) pode ser longa. O truque é distinguir quando o governo é Roma — provendo infraestrutura essencial — e quando é a Frente Popular da Judeia — reunindo-se interminavelmente sem produzir nada.</w:t>
      </w:r>
    </w:p>
  </w:footnote>
  <w:footnote w:id="853">
    <w:p>
      <w:pPr>
        <w:pStyle w:val="FootnoteText"/>
      </w:pPr>
      <w:r>
        <w:rPr>
          <w:rStyle w:val="FootnoteReference"/>
        </w:rPr>
        <w:footnoteRef/>
      </w:r>
      <w:r>
        <w:t xml:space="preserve"> </w:t>
      </w:r>
      <w:r>
        <w:t xml:space="preserve">A busca pelo equilíbrio geral walrasiano tem algo do</w:t>
      </w:r>
      <w:r>
        <w:t xml:space="preserve"> </w:t>
      </w:r>
      <w:r>
        <w:rPr>
          <w:i/>
          <w:iCs/>
        </w:rPr>
        <w:t xml:space="preserve">Quest for the Holy Grail</w:t>
      </w:r>
      <w:r>
        <w:t xml:space="preserve"> </w:t>
      </w:r>
      <w:r>
        <w:t xml:space="preserve">dos Monty Python. Walras sabia que o Graal existia (o sistema de equações parecia fechar), mas não conseguiu provar. Oitenta anos e muitas aventuras matemáticas depois, Arrow e Debreu finalmente encontraram o cálice — usando não uma espada, mas o Teorema do Ponto Fixo de Brouwer. E, como no filme, a jornada foi mais instrutiva que o destino.</w:t>
      </w:r>
    </w:p>
  </w:footnote>
  <w:footnote w:id="854">
    <w:p>
      <w:pPr>
        <w:pStyle w:val="FootnoteText"/>
      </w:pPr>
      <w:r>
        <w:rPr>
          <w:rStyle w:val="FootnoteReference"/>
        </w:rPr>
        <w:footnoteRef/>
      </w:r>
      <w:r>
        <w:t xml:space="preserve"> </w:t>
      </w:r>
      <w:r>
        <w:t xml:space="preserve">Os modelos CGE são a haute couture da economia aplicada: cada modelo tem sua própria especificação funcional, regra de fechamento e calibração, nenhum é exatamente igual ao outro, mas todos tentam vestir a mesma teoria. A diferença é que, ao contrário da haute couture, os CGEs produzem resultados que ministros da Fazenda realmente usam para tomar decisões.</w:t>
      </w:r>
    </w:p>
  </w:footnote>
  <w:footnote w:id="877">
    <w:p>
      <w:pPr>
        <w:pStyle w:val="FootnoteText"/>
      </w:pPr>
      <w:r>
        <w:rPr>
          <w:rStyle w:val="FootnoteReference"/>
        </w:rPr>
        <w:footnoteRef/>
      </w:r>
      <w:r>
        <w:t xml:space="preserve"> </w:t>
      </w:r>
      <w:r>
        <w:t xml:space="preserve">A história da prova de existência tem algo do sketch do Dead Parrot: durante oitenta anos, os economistas insistiam que o equilíbrio</w:t>
      </w:r>
      <w:r>
        <w:t xml:space="preserve"> </w:t>
      </w:r>
      <w:r>
        <w:t xml:space="preserve">“estava apenas descansando”</w:t>
      </w:r>
      <w:r>
        <w:t xml:space="preserve"> </w:t>
      </w:r>
      <w:r>
        <w:t xml:space="preserve">— até que Arrow e Debreu finalmente provaram que o papagaio estava, de fato, vivo. Ou mais precisamente: provaram que, sob certas condições,</w:t>
      </w:r>
      <w:r>
        <w:t xml:space="preserve"> </w:t>
      </w:r>
      <w:r>
        <w:rPr>
          <w:i/>
          <w:iCs/>
        </w:rPr>
        <w:t xml:space="preserve">existe</w:t>
      </w:r>
      <w:r>
        <w:t xml:space="preserve"> </w:t>
      </w:r>
      <w:r>
        <w:t xml:space="preserve">um papagaio vivo. Se ele fala, canta ou está pregado ao poleiro é outra questão (unicidade e estabilidade são problemas em aberto).</w:t>
      </w:r>
    </w:p>
  </w:footnote>
  <w:footnote w:id="888">
    <w:p>
      <w:pPr>
        <w:pStyle w:val="FootnoteText"/>
      </w:pPr>
      <w:r>
        <w:rPr>
          <w:rStyle w:val="FootnoteReference"/>
        </w:rPr>
        <w:footnoteRef/>
      </w:r>
      <w:r>
        <w:t xml:space="preserve"> </w:t>
      </w:r>
      <w:r>
        <w:t xml:space="preserve">Cada modelo CGE tem suas idiossincrasias — funções de produção aninhadas com quatro níveis de CES, regras de fechamento que dariam inveja a um regulamento fiscal, calibrações que dependem de SAMs com idade legal para votar. Mas os resultados são surpreendentemente úteis quando interpretados com o devido ceticismo: o ponto é o sinal e a magnitude, não a terceira casa decimal.</w:t>
      </w:r>
    </w:p>
  </w:footnote>
  <w:footnote w:id="912">
    <w:p>
      <w:pPr>
        <w:pStyle w:val="FootnoteText"/>
      </w:pPr>
      <w:r>
        <w:rPr>
          <w:rStyle w:val="FootnoteReference"/>
        </w:rPr>
        <w:footnoteRef/>
      </w:r>
      <w:r>
        <w:t xml:space="preserve"> </w:t>
      </w:r>
      <w:r>
        <w:t xml:space="preserve">O monopolista é como o Black Knight de</w:t>
      </w:r>
      <w:r>
        <w:t xml:space="preserve"> </w:t>
      </w:r>
      <w:r>
        <w:rPr>
          <w:i/>
          <w:iCs/>
        </w:rPr>
        <w:t xml:space="preserve">Monty Python and the Holy Grail</w:t>
      </w:r>
      <w:r>
        <w:t xml:space="preserve">:</w:t>
      </w:r>
      <w:r>
        <w:t xml:space="preserve"> </w:t>
      </w:r>
      <w:r>
        <w:t xml:space="preserve">“’Tis but a scratch!”</w:t>
      </w:r>
      <w:r>
        <w:t xml:space="preserve"> </w:t>
      </w:r>
      <w:r>
        <w:t xml:space="preserve">— ele insiste que está tudo bem enquanto o CADE corta suas margens. A diferença é que, no caso do monopólio, o cavaleiro negro realmente tem uma espada grande o suficiente para fazer estrago. E ao contrário do sketch, ele não perde os braços: a barreira à entrada os protege.</w:t>
      </w:r>
    </w:p>
  </w:footnote>
  <w:footnote w:id="913">
    <w:p>
      <w:pPr>
        <w:pStyle w:val="FootnoteText"/>
      </w:pPr>
      <w:r>
        <w:rPr>
          <w:rStyle w:val="FootnoteReference"/>
        </w:rPr>
        <w:footnoteRef/>
      </w:r>
      <w:r>
        <w:t xml:space="preserve"> </w:t>
      </w:r>
      <w:r>
        <w:t xml:space="preserve">“Nobody expects the Spanish Inquisition!”</w:t>
      </w:r>
      <w:r>
        <w:t xml:space="preserve"> </w:t>
      </w:r>
      <w:r>
        <w:t xml:space="preserve">— e ninguém espera que o resultado de equilíbrio mude tão drasticamente ao trocar preço por quantidade como variável de decisão. A Inquisição Espanhola de Monty Python aparecia sempre quando menos se esperava, com armas inesperadas (</w:t>
      </w:r>
      <w:r>
        <w:t xml:space="preserve">“Our</w:t>
      </w:r>
      <w:r>
        <w:t xml:space="preserve"> </w:t>
      </w:r>
      <w:r>
        <w:rPr>
          <w:i/>
          <w:iCs/>
        </w:rPr>
        <w:t xml:space="preserve">chief</w:t>
      </w:r>
      <w:r>
        <w:t xml:space="preserve"> </w:t>
      </w:r>
      <w:r>
        <w:t xml:space="preserve">weapon is surprise… surprise and fear… fear and surprise…”</w:t>
      </w:r>
      <w:r>
        <w:t xml:space="preserve">). No oligopólio, a</w:t>
      </w:r>
      <w:r>
        <w:t xml:space="preserve"> </w:t>
      </w:r>
      <w:r>
        <w:t xml:space="preserve">“arma”</w:t>
      </w:r>
      <w:r>
        <w:t xml:space="preserve"> </w:t>
      </w:r>
      <w:r>
        <w:t xml:space="preserve">do modelo muda tudo: Bertrand gera competição perfeita com duas firmas; Cournot gera lucros positivos com as mesmas duas firmas. A hipótese que</w:t>
      </w:r>
      <w:r>
        <w:t xml:space="preserve"> </w:t>
      </w:r>
      <w:r>
        <w:t xml:space="preserve">“ninguém espera”</w:t>
      </w:r>
      <w:r>
        <w:t xml:space="preserve"> </w:t>
      </w:r>
      <w:r>
        <w:t xml:space="preserve">— a variável de decisão — é a que mais importa.</w:t>
      </w:r>
    </w:p>
  </w:footnote>
  <w:footnote w:id="978">
    <w:p>
      <w:pPr>
        <w:pStyle w:val="FootnoteText"/>
      </w:pPr>
      <w:r>
        <w:rPr>
          <w:rStyle w:val="FootnoteReference"/>
        </w:rPr>
        <w:footnoteRef/>
      </w:r>
      <w:r>
        <w:t xml:space="preserve"> </w:t>
      </w:r>
      <w:r>
        <w:t xml:space="preserve">“Nobody expects the Spanish Inquisition!”</w:t>
      </w:r>
      <w:r>
        <w:t xml:space="preserve"> </w:t>
      </w:r>
      <w:r>
        <w:t xml:space="preserve">— e ninguém espera que o resultado de equilíbrio mude tão drasticamente ao trocar preço por quantidade como variável de decisão. A Inquisição Espanhola de Monty Python aparecia sempre quando menos se esperava, com armas inesperadas (</w:t>
      </w:r>
      <w:r>
        <w:t xml:space="preserve">“Our</w:t>
      </w:r>
      <w:r>
        <w:t xml:space="preserve"> </w:t>
      </w:r>
      <w:r>
        <w:rPr>
          <w:i/>
          <w:iCs/>
        </w:rPr>
        <w:t xml:space="preserve">chief</w:t>
      </w:r>
      <w:r>
        <w:t xml:space="preserve"> </w:t>
      </w:r>
      <w:r>
        <w:t xml:space="preserve">weapon is surprise… surprise and fear… fear and surprise…”</w:t>
      </w:r>
      <w:r>
        <w:t xml:space="preserve">). No oligopólio, a</w:t>
      </w:r>
      <w:r>
        <w:t xml:space="preserve"> </w:t>
      </w:r>
      <w:r>
        <w:t xml:space="preserve">“arma”</w:t>
      </w:r>
      <w:r>
        <w:t xml:space="preserve"> </w:t>
      </w:r>
      <w:r>
        <w:t xml:space="preserve">do modelo muda tudo: Bertrand gera competição perfeita com duas firmas; Cournot gera lucros positivos com as mesmas duas firmas. A hipótese que</w:t>
      </w:r>
      <w:r>
        <w:t xml:space="preserve"> </w:t>
      </w:r>
      <w:r>
        <w:t xml:space="preserve">“ninguém espera”</w:t>
      </w:r>
      <w:r>
        <w:t xml:space="preserve"> </w:t>
      </w:r>
      <w:r>
        <w:t xml:space="preserve">— a variável de decisão — é a que mais importa.</w:t>
      </w:r>
    </w:p>
  </w:footnote>
  <w:footnote w:id="1012">
    <w:p>
      <w:pPr>
        <w:pStyle w:val="FootnoteText"/>
      </w:pPr>
      <w:r>
        <w:rPr>
          <w:rStyle w:val="FootnoteReference"/>
        </w:rPr>
        <w:footnoteRef/>
      </w:r>
      <w:r>
        <w:t xml:space="preserve"> </w:t>
      </w:r>
      <w:r>
        <w:t xml:space="preserve">“We want… a shrubbery!”</w:t>
      </w:r>
      <w:r>
        <w:t xml:space="preserve"> </w:t>
      </w:r>
      <w:r>
        <w:t xml:space="preserve">Os Cavaleiros que Dizem</w:t>
      </w:r>
      <w:r>
        <w:t xml:space="preserve"> </w:t>
      </w:r>
      <w:r>
        <w:t xml:space="preserve">“Ni”</w:t>
      </w:r>
      <w:r>
        <w:t xml:space="preserve"> </w:t>
      </w:r>
      <w:r>
        <w:t xml:space="preserve">exigiam um arbusto de especificações absurdamente precisas —</w:t>
      </w:r>
      <w:r>
        <w:t xml:space="preserve"> </w:t>
      </w:r>
      <w:r>
        <w:t xml:space="preserve">“one that looks nice, and not too expensive.”</w:t>
      </w:r>
      <w:r>
        <w:t xml:space="preserve"> </w:t>
      </w:r>
      <w:r>
        <w:t xml:space="preserve">O CADE opera com lógica semelhante ao definir</w:t>
      </w:r>
      <w:r>
        <w:t xml:space="preserve"> </w:t>
      </w:r>
      <w:r>
        <w:t xml:space="preserve">“mercado relevante”</w:t>
      </w:r>
      <w:r>
        <w:t xml:space="preserve">: a delimitação precisa (produto + geográfico) determina se uma fusão é aprovada ou bloqueada, e diferentes definições podem gerar conclusões opostas. O mercado relevante é o arbusto do antitruste: parece simples, mas a especificação muda tudo.</w:t>
      </w:r>
    </w:p>
  </w:footnote>
  <w:footnote w:id="1014">
    <w:p>
      <w:pPr>
        <w:pStyle w:val="FootnoteText"/>
      </w:pPr>
      <w:r>
        <w:rPr>
          <w:rStyle w:val="FootnoteReference"/>
        </w:rPr>
        <w:footnoteRef/>
      </w:r>
      <w:r>
        <w:t xml:space="preserve"> </w:t>
      </w:r>
      <w:r>
        <w:t xml:space="preserve">O sketch da</w:t>
      </w:r>
      <w:r>
        <w:t xml:space="preserve"> </w:t>
      </w:r>
      <w:r>
        <w:rPr>
          <w:i/>
          <w:iCs/>
        </w:rPr>
        <w:t xml:space="preserve">Cheese Shop</w:t>
      </w:r>
      <w:r>
        <w:t xml:space="preserve"> </w:t>
      </w:r>
      <w:r>
        <w:t xml:space="preserve">de Monty Python é uma demonstração involuntária do que acontece quando um cartel colapsa. O cliente pede queijo após queijo e a loja não tem</w:t>
      </w:r>
      <w:r>
        <w:t xml:space="preserve"> </w:t>
      </w:r>
      <w:r>
        <w:rPr>
          <w:i/>
          <w:iCs/>
        </w:rPr>
        <w:t xml:space="preserve">nenhum</w:t>
      </w:r>
      <w:r>
        <w:t xml:space="preserve">.</w:t>
      </w:r>
      <w:r>
        <w:t xml:space="preserve"> </w:t>
      </w:r>
      <w:r>
        <w:t xml:space="preserve">“Venezuelan Beaver Cheese?”</w:t>
      </w:r>
      <w:r>
        <w:t xml:space="preserve"> </w:t>
      </w:r>
      <w:r>
        <w:t xml:space="preserve">—</w:t>
      </w:r>
      <w:r>
        <w:t xml:space="preserve"> </w:t>
      </w:r>
      <w:r>
        <w:t xml:space="preserve">“Not today, sir, no.”</w:t>
      </w:r>
      <w:r>
        <w:t xml:space="preserve"> </w:t>
      </w:r>
      <w:r>
        <w:t xml:space="preserve">O cartel funciona assim: todos prometem manter os preços altos, mas quando você chega para comprar pelo preço combinado…</w:t>
      </w:r>
      <w:r>
        <w:t xml:space="preserve"> </w:t>
      </w:r>
      <w:r>
        <w:rPr>
          <w:i/>
          <w:iCs/>
        </w:rPr>
        <w:t xml:space="preserve">ninguém</w:t>
      </w:r>
      <w:r>
        <w:t xml:space="preserve"> </w:t>
      </w:r>
      <w:r>
        <w:t xml:space="preserve">está de fato cumprindo o acordo. A loja está vazia de queijos exatamente como o cartel está vazio de cooperação real.</w:t>
      </w:r>
      <w:r>
        <w:t xml:space="preserve"> </w:t>
      </w:r>
      <w:r>
        <w:t xml:space="preserve">“It’s certainly uncontaminated by cheese”</w:t>
      </w:r>
      <w:r>
        <w:t xml:space="preserve"> </w:t>
      </w:r>
      <w:r>
        <w:t xml:space="preserve">— como um cartel não contaminado por cooperação.</w:t>
      </w:r>
    </w:p>
  </w:footnote>
  <w:footnote w:id="1056">
    <w:p>
      <w:pPr>
        <w:pStyle w:val="FootnoteText"/>
      </w:pPr>
      <w:r>
        <w:rPr>
          <w:rStyle w:val="FootnoteReference"/>
        </w:rPr>
        <w:footnoteRef/>
      </w:r>
      <w:r>
        <w:t xml:space="preserve"> </w:t>
      </w:r>
      <w:r>
        <w:t xml:space="preserve">O Cavaleiro Negro de Monty Python continua lutando mesmo depois de perder os dois braços —</w:t>
      </w:r>
      <w:r>
        <w:t xml:space="preserve"> </w:t>
      </w:r>
      <w:r>
        <w:t xml:space="preserve">“’Tis but a scratch!”</w:t>
      </w:r>
      <w:r>
        <w:t xml:space="preserve"> </w:t>
      </w:r>
      <w:r>
        <w:t xml:space="preserve">A curva backward-bending tem uma lógica semelhante, mas invertida: a partir de certo salário, o trabalhador</w:t>
      </w:r>
      <w:r>
        <w:t xml:space="preserve"> </w:t>
      </w:r>
      <w:r>
        <w:rPr>
          <w:i/>
          <w:iCs/>
        </w:rPr>
        <w:t xml:space="preserve">para</w:t>
      </w:r>
      <w:r>
        <w:t xml:space="preserve"> </w:t>
      </w:r>
      <w:r>
        <w:t xml:space="preserve">de aumentar as horas mesmo podendo ganhar mais. O Cavaleiro Negro ignora sunk costs (os braços perdidos); o trabalhador de alta renda reconhece que o custo marginal de mais uma hora de trabalho (lazer perdido) supera o benefício marginal (mais dinheiro). Um é irracional, o outro é perfeitamente racional. Mas ambos surpreendem quem espera uma resposta</w:t>
      </w:r>
      <w:r>
        <w:t xml:space="preserve"> </w:t>
      </w:r>
      <w:r>
        <w:t xml:space="preserve">“normal”</w:t>
      </w:r>
      <w:r>
        <w:t xml:space="preserve">.</w:t>
      </w:r>
    </w:p>
  </w:footnote>
  <w:footnote w:id="1128">
    <w:p>
      <w:pPr>
        <w:pStyle w:val="FootnoteText"/>
      </w:pPr>
      <w:r>
        <w:rPr>
          <w:rStyle w:val="FootnoteReference"/>
        </w:rPr>
        <w:footnoteRef/>
      </w:r>
      <w:r>
        <w:t xml:space="preserve"> </w:t>
      </w:r>
      <w:r>
        <w:t xml:space="preserve">A Santa Granada de Mão de Antioquia, em</w:t>
      </w:r>
      <w:r>
        <w:t xml:space="preserve"> </w:t>
      </w:r>
      <w:r>
        <w:rPr>
          <w:i/>
          <w:iCs/>
        </w:rPr>
        <w:t xml:space="preserve">Monty Python e o Santo Graal</w:t>
      </w:r>
      <w:r>
        <w:t xml:space="preserve">, vem com instruções precisas:</w:t>
      </w:r>
      <w:r>
        <w:t xml:space="preserve"> </w:t>
      </w:r>
      <w:r>
        <w:t xml:space="preserve">“Primeiro, tirarás o pino sagrado. Então, contarás até três. Nem mais, nem menos. Três será o número que contarás, e o número da contagem será três.”</w:t>
      </w:r>
      <w:r>
        <w:t xml:space="preserve"> </w:t>
      </w:r>
      <w:r>
        <w:t xml:space="preserve">A regra do VPL tem uma precisão semelhante: primeiro, identifica os fluxos de caixa. Então, desconta à taxa apropriada. Nem taxa nominal quando deveria ser real, nem taxa real quando deveria ser nominal. A taxa será a correta, e a taxa correta será a taxa. Confundir as duas — como confundir três com cinco — pode fazer o projeto explodir na sua cara.</w:t>
      </w:r>
    </w:p>
  </w:footnote>
  <w:footnote w:id="1184">
    <w:p>
      <w:pPr>
        <w:pStyle w:val="FootnoteText"/>
      </w:pPr>
      <w:r>
        <w:rPr>
          <w:rStyle w:val="FootnoteReference"/>
        </w:rPr>
        <w:footnoteRef/>
      </w:r>
      <w:r>
        <w:t xml:space="preserve"> </w:t>
      </w:r>
      <w:r>
        <w:t xml:space="preserve">Se você assistiu ao sketch do</w:t>
      </w:r>
      <w:r>
        <w:t xml:space="preserve"> </w:t>
      </w:r>
      <w:r>
        <w:rPr>
          <w:i/>
          <w:iCs/>
        </w:rPr>
        <w:t xml:space="preserve">Dead Parrot</w:t>
      </w:r>
      <w:r>
        <w:t xml:space="preserve"> </w:t>
      </w:r>
      <w:r>
        <w:t xml:space="preserve">de Monty Python, já testemunhou a forma mais pura de informação assimétrica: o lojista</w:t>
      </w:r>
      <w:r>
        <w:t xml:space="preserve"> </w:t>
      </w:r>
      <w:r>
        <w:rPr>
          <w:i/>
          <w:iCs/>
        </w:rPr>
        <w:t xml:space="preserve">sabe</w:t>
      </w:r>
      <w:r>
        <w:t xml:space="preserve"> </w:t>
      </w:r>
      <w:r>
        <w:t xml:space="preserve">que o papagaio está morto, mas insiste que ele está</w:t>
      </w:r>
      <w:r>
        <w:t xml:space="preserve"> </w:t>
      </w:r>
      <w:r>
        <w:t xml:space="preserve">“descansando”</w:t>
      </w:r>
      <w:r>
        <w:t xml:space="preserve"> </w:t>
      </w:r>
      <w:r>
        <w:t xml:space="preserve">(</w:t>
      </w:r>
      <w:r>
        <w:rPr>
          <w:i/>
          <w:iCs/>
        </w:rPr>
        <w:t xml:space="preserve">“He’s resting!”</w:t>
      </w:r>
      <w:r>
        <w:t xml:space="preserve">). O comprador — John Cleese — argumenta com evidências crescentes (</w:t>
      </w:r>
      <w:r>
        <w:rPr>
          <w:i/>
          <w:iCs/>
        </w:rPr>
        <w:t xml:space="preserve">“This parrot is no more! He has ceased to be!”</w:t>
      </w:r>
      <w:r>
        <w:t xml:space="preserve">), e mesmo assim o vendedor sustenta o</w:t>
      </w:r>
      <w:r>
        <w:t xml:space="preserve"> </w:t>
      </w:r>
      <w:r>
        <w:rPr>
          <w:i/>
          <w:iCs/>
        </w:rPr>
        <w:t xml:space="preserve">cheap talk</w:t>
      </w:r>
      <w:r>
        <w:t xml:space="preserve">. Akerlof escreveu</w:t>
      </w:r>
      <w:r>
        <w:t xml:space="preserve"> </w:t>
      </w:r>
      <w:r>
        <w:t xml:space="preserve">“The Market for Lemons”</w:t>
      </w:r>
      <w:r>
        <w:t xml:space="preserve"> </w:t>
      </w:r>
      <w:r>
        <w:t xml:space="preserve">em 1970; os Pythons encenaram a mesma lição em 1969. Coincidência? Talvez. Mas quem veio primeiro — o economista ou o comediante — é, em si, um problema de informação assimétrica.</w:t>
      </w:r>
    </w:p>
  </w:footnote>
  <w:footnote w:id="1239">
    <w:p>
      <w:pPr>
        <w:pStyle w:val="FootnoteText"/>
      </w:pPr>
      <w:r>
        <w:rPr>
          <w:rStyle w:val="FootnoteReference"/>
        </w:rPr>
        <w:footnoteRef/>
      </w:r>
      <w:r>
        <w:t xml:space="preserve"> </w:t>
      </w:r>
      <w:r>
        <w:rPr>
          <w:i/>
          <w:iCs/>
        </w:rPr>
        <w:t xml:space="preserve">“What have the Romans ever done for us?”</w:t>
      </w:r>
      <w:r>
        <w:t xml:space="preserve"> </w:t>
      </w:r>
      <w:r>
        <w:t xml:space="preserve">Em</w:t>
      </w:r>
      <w:r>
        <w:t xml:space="preserve"> </w:t>
      </w:r>
      <w:r>
        <w:rPr>
          <w:i/>
          <w:iCs/>
        </w:rPr>
        <w:t xml:space="preserve">A Vida de Brian</w:t>
      </w:r>
      <w:r>
        <w:t xml:space="preserve">, os rebeldes tentam enumerar motivos para odiar os romanos — mas só conseguem listar bens públicos: aquedutos, estradas, saneamento, irrigação, saúde pública, educação, vinho, ordem pública e a paz. A cena é a melhor análise custo-benefício de bens públicos já filmada. O líder do grupo, frustrado, repete a pergunta — e a cada repetição alguém lembra de mais um benefício. É a condição de Samuelson em ação: a soma dos benefícios marginais (aqueduto + estrada + saneamento + …) excede claramente o custo marginal (a ocupação romana). Até os rebeldes, relutantemente, concordam.</w:t>
      </w:r>
      <w:r>
        <w:t xml:space="preserve"> </w:t>
      </w:r>
      <w:r>
        <w:rPr>
          <w:i/>
          <w:iCs/>
        </w:rPr>
        <w:t xml:space="preserve">“All right, but apart from the sanitation, the medicine, education, wine, public order, irrigation, roads, a fresh water system, and public health, what have the Romans ever done for us?”</w:t>
      </w:r>
    </w:p>
  </w:footnote>
  <w:footnote w:id="1292">
    <w:p>
      <w:pPr>
        <w:pStyle w:val="FootnoteText"/>
      </w:pPr>
      <w:r>
        <w:rPr>
          <w:rStyle w:val="FootnoteReference"/>
        </w:rPr>
        <w:footnoteRef/>
      </w:r>
      <w:r>
        <w:t xml:space="preserve"> </w:t>
      </w:r>
      <w:r>
        <w:rPr>
          <w:i/>
          <w:iCs/>
        </w:rPr>
        <w:t xml:space="preserve">“Do you have any Stilton?”</w:t>
      </w:r>
      <w:r>
        <w:rPr>
          <w:i/>
          <w:iCs/>
        </w:rPr>
        <w:t xml:space="preserve"> </w:t>
      </w:r>
      <w:r>
        <w:rPr>
          <w:i/>
          <w:iCs/>
        </w:rPr>
        <w:t xml:space="preserve">“No.”</w:t>
      </w:r>
      <w:r>
        <w:rPr>
          <w:i/>
          <w:iCs/>
        </w:rPr>
        <w:t xml:space="preserve"> </w:t>
      </w:r>
      <w:r>
        <w:rPr>
          <w:i/>
          <w:iCs/>
        </w:rPr>
        <w:t xml:space="preserve">“Gruyère?”</w:t>
      </w:r>
      <w:r>
        <w:rPr>
          <w:i/>
          <w:iCs/>
        </w:rPr>
        <w:t xml:space="preserve"> </w:t>
      </w:r>
      <w:r>
        <w:rPr>
          <w:i/>
          <w:iCs/>
        </w:rPr>
        <w:t xml:space="preserve">“No.”</w:t>
      </w:r>
      <w:r>
        <w:rPr>
          <w:i/>
          <w:iCs/>
        </w:rPr>
        <w:t xml:space="preserve"> </w:t>
      </w:r>
      <w:r>
        <w:rPr>
          <w:i/>
          <w:iCs/>
        </w:rPr>
        <w:t xml:space="preserve">“Emmental?”</w:t>
      </w:r>
      <w:r>
        <w:rPr>
          <w:i/>
          <w:iCs/>
        </w:rPr>
        <w:t xml:space="preserve"> </w:t>
      </w:r>
      <w:r>
        <w:rPr>
          <w:i/>
          <w:iCs/>
        </w:rPr>
        <w:t xml:space="preserve">“No.”</w:t>
      </w:r>
      <w:r>
        <w:t xml:space="preserve"> </w:t>
      </w:r>
      <w:r>
        <w:t xml:space="preserve">No sketch</w:t>
      </w:r>
      <w:r>
        <w:t xml:space="preserve"> </w:t>
      </w:r>
      <w:r>
        <w:rPr>
          <w:i/>
          <w:iCs/>
        </w:rPr>
        <w:t xml:space="preserve">Cheese Shop</w:t>
      </w:r>
      <w:r>
        <w:t xml:space="preserve"> </w:t>
      </w:r>
      <w:r>
        <w:t xml:space="preserve">de Monty Python, John Cleese entra em uma loja de queijos com catálogo infinito mas estoque zero. O vendedor lista dezenas de queijos — nenhum disponível. É a melhor demonstração cômica de um mercado com oferta zero e custo marginal zero de</w:t>
      </w:r>
      <w:r>
        <w:t xml:space="preserve"> </w:t>
      </w:r>
      <w:r>
        <w:rPr>
          <w:i/>
          <w:iCs/>
        </w:rPr>
        <w:t xml:space="preserve">listing</w:t>
      </w:r>
      <w:r>
        <w:t xml:space="preserve">. Soa familiar? É exatamente o modelo de uma plataforma digital: o Mercado Livre não fabrica nada; lista milhões de produtos que não tem. O iFood não cozinha; conecta famintos a restaurantes. A</w:t>
      </w:r>
      <w:r>
        <w:t xml:space="preserve"> </w:t>
      </w:r>
      <w:r>
        <w:t xml:space="preserve">“loja”</w:t>
      </w:r>
      <w:r>
        <w:t xml:space="preserve"> </w:t>
      </w:r>
      <w:r>
        <w:t xml:space="preserve">é o catálogo, não o estoque. O valor não está no bem — está na plataforma que conecta oferta e demanda. O dono do Cheese Shop seria um empreendedor de plataforma genial — se ao menos tivesse queijo. Ou internet.</w:t>
      </w:r>
    </w:p>
  </w:footnote>
  <w:footnote w:id="1349">
    <w:p>
      <w:pPr>
        <w:pStyle w:val="FootnoteText"/>
      </w:pPr>
      <w:r>
        <w:rPr>
          <w:rStyle w:val="FootnoteReference"/>
        </w:rPr>
        <w:footnoteRef/>
      </w:r>
      <w:r>
        <w:t xml:space="preserve"> </w:t>
      </w:r>
      <w:r>
        <w:rPr>
          <w:i/>
          <w:iCs/>
        </w:rPr>
        <w:t xml:space="preserve">“Nobody expects the Spanish Inquisition!”</w:t>
      </w:r>
      <w:r>
        <w:t xml:space="preserve"> </w:t>
      </w:r>
      <w:r>
        <w:t xml:space="preserve">No célebre sketch de Monty Python, toda vez que alguém faz uma pergunta difícil, os inquisidores irrompem pela porta com uma lista de</w:t>
      </w:r>
      <w:r>
        <w:t xml:space="preserve"> </w:t>
      </w:r>
      <w:r>
        <w:t xml:space="preserve">“armas”</w:t>
      </w:r>
      <w:r>
        <w:t xml:space="preserve"> </w:t>
      </w:r>
      <w:r>
        <w:t xml:space="preserve">que muda a cada aparição — surpresa, medo, eficiência implacável… e</w:t>
      </w:r>
      <w:r>
        <w:t xml:space="preserve"> </w:t>
      </w:r>
      <w:r>
        <w:t xml:space="preserve">“an almost fanatical devotion to the Pope”</w:t>
      </w:r>
      <w:r>
        <w:t xml:space="preserve">. A economia experimental opera sob lógica semelhante: toda vez que um economista assume que uma hipótese-chave é satisfeita (</w:t>
      </w:r>
      <w:r>
        <w:t xml:space="preserve">“exogeneidade!”</w:t>
      </w:r>
      <w:r>
        <w:t xml:space="preserve">,</w:t>
      </w:r>
      <w:r>
        <w:t xml:space="preserve"> </w:t>
      </w:r>
      <w:r>
        <w:t xml:space="preserve">“preferências estáveis!”</w:t>
      </w:r>
      <w:r>
        <w:t xml:space="preserve">,</w:t>
      </w:r>
      <w:r>
        <w:t xml:space="preserve"> </w:t>
      </w:r>
      <w:r>
        <w:t xml:space="preserve">“informação perfeita!”</w:t>
      </w:r>
      <w:r>
        <w:t xml:space="preserve">), um experimentalista irrompe pela porta com dados mostrando que a hipótese falha.</w:t>
      </w:r>
      <w:r>
        <w:t xml:space="preserve"> </w:t>
      </w:r>
      <w:r>
        <w:rPr>
          <w:i/>
          <w:iCs/>
        </w:rPr>
        <w:t xml:space="preserve">Nobody expects the exogeneity assumption to hold!</w:t>
      </w:r>
      <w:r>
        <w:t xml:space="preserve"> </w:t>
      </w:r>
      <w:r>
        <w:t xml:space="preserve">— e a lista de armas do experimentalista (RCTs, diff-in-diff, RDD, IV) também muda conforme a situação.</w:t>
      </w:r>
    </w:p>
  </w:footnote>
  <w:footnote w:id="1396">
    <w:p>
      <w:pPr>
        <w:pStyle w:val="FootnoteText"/>
      </w:pPr>
      <w:r>
        <w:rPr>
          <w:rStyle w:val="FootnoteReference"/>
        </w:rPr>
        <w:footnoteRef/>
      </w:r>
      <w:r>
        <w:t xml:space="preserve"> </w:t>
      </w:r>
      <w:r>
        <w:rPr>
          <w:i/>
          <w:iCs/>
        </w:rPr>
        <w:t xml:space="preserve">“Bring out your dead!”</w:t>
      </w:r>
      <w:r>
        <w:t xml:space="preserve"> </w:t>
      </w:r>
      <w:r>
        <w:t xml:space="preserve">Na célebre cena de</w:t>
      </w:r>
      <w:r>
        <w:t xml:space="preserve"> </w:t>
      </w:r>
      <w:r>
        <w:rPr>
          <w:i/>
          <w:iCs/>
        </w:rPr>
        <w:t xml:space="preserve">Monty Python and the Holy Grail</w:t>
      </w:r>
      <w:r>
        <w:t xml:space="preserve">, o coletor de cadáveres percorre uma cidade dizimada pela peste enquanto moradores empilham seus mortos. Um homem tenta entregar alguém que protesta:</w:t>
      </w:r>
      <w:r>
        <w:t xml:space="preserve"> </w:t>
      </w:r>
      <w:r>
        <w:rPr>
          <w:i/>
          <w:iCs/>
        </w:rPr>
        <w:t xml:space="preserve">“I’m not dead yet!”</w:t>
      </w:r>
      <w:r>
        <w:t xml:space="preserve"> </w:t>
      </w:r>
      <w:r>
        <w:t xml:space="preserve">O coletor hesita, o carregador insiste, e o</w:t>
      </w:r>
      <w:r>
        <w:t xml:space="preserve"> </w:t>
      </w:r>
      <w:r>
        <w:t xml:space="preserve">“morto”</w:t>
      </w:r>
      <w:r>
        <w:t xml:space="preserve"> </w:t>
      </w:r>
      <w:r>
        <w:t xml:space="preserve">é nocauteado com uma tacada para resolver o impasse. A cena é uma aula involuntária de economia da saúde: o paciente tem informação privada sobre seu estado (</w:t>
      </w:r>
      <w:r>
        <w:rPr>
          <w:i/>
          <w:iCs/>
        </w:rPr>
        <w:t xml:space="preserve">“I’m not dead!”</w:t>
      </w:r>
      <w:r>
        <w:t xml:space="preserve">), mas o sistema ignora — assimetria de informação em sua forma mais brutal. O coletor opera sem diagnóstico diferencial. E a</w:t>
      </w:r>
      <w:r>
        <w:t xml:space="preserve"> </w:t>
      </w:r>
      <w:r>
        <w:t xml:space="preserve">“solução”</w:t>
      </w:r>
      <w:r>
        <w:t xml:space="preserve"> </w:t>
      </w:r>
      <w:r>
        <w:t xml:space="preserve">— uma paulada na cabeça — é o que acontece quando mecanismos de alocação ignoram as preferências dos agentes. Arrow ficaria horrorizado. Ou talvez não — ele certamente reconheceria a falha de mercado.</w:t>
      </w:r>
    </w:p>
  </w:footnote>
  <w:footnote w:id="1439">
    <w:p>
      <w:pPr>
        <w:pStyle w:val="FootnoteText"/>
      </w:pPr>
      <w:r>
        <w:rPr>
          <w:rStyle w:val="FootnoteReference"/>
        </w:rPr>
        <w:footnoteRef/>
      </w:r>
      <w:r>
        <w:t xml:space="preserve"> </w:t>
      </w:r>
      <w:r>
        <w:rPr>
          <w:i/>
          <w:iCs/>
        </w:rPr>
        <w:t xml:space="preserve">“We want… a shrubbery!”</w:t>
      </w:r>
      <w:r>
        <w:t xml:space="preserve"> </w:t>
      </w:r>
      <w:r>
        <w:t xml:space="preserve">No</w:t>
      </w:r>
      <w:r>
        <w:t xml:space="preserve"> </w:t>
      </w:r>
      <w:r>
        <w:rPr>
          <w:i/>
          <w:iCs/>
        </w:rPr>
        <w:t xml:space="preserve">Monty Python and the Holy Grail</w:t>
      </w:r>
      <w:r>
        <w:t xml:space="preserve">, os Cavaleiros que Dizem Ni exigem um arbusto como tributo — uma demanda perfeitamente inelástica, sem substituto e sem outside option. Arthur não pode negociar; só pode obedecer. A cena é uma demonstração involuntária de poder de monopsônio em mercados de bens ambientais: quando o</w:t>
      </w:r>
      <w:r>
        <w:t xml:space="preserve"> </w:t>
      </w:r>
      <w:r>
        <w:t xml:space="preserve">“comprador”</w:t>
      </w:r>
      <w:r>
        <w:t xml:space="preserve"> </w:t>
      </w:r>
      <w:r>
        <w:t xml:space="preserve">(natureza) exige algo específico (biodiversidade, ciclo de chuvas, camada de ozônio), não há substituto sintético que sirva. Os economistas ambientais passam a carreira inteira tentando precificar shrubberies — e a piada é que os Cavaleiros que Dizem Ni provavelmente aceitariam um pagamento por serviços ambientais.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0">
    <w:nsid w:val="00A9943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1"/>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1"/>
  </w:num>
  <w:num w:numId="10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1"/>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1"/>
  </w:num>
  <w:num w:numId="10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3">
    <w:abstractNumId w:val="991"/>
  </w:num>
  <w:num w:numId="11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1"/>
  </w:num>
  <w:num w:numId="11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3">
    <w:abstractNumId w:val="991"/>
  </w:num>
  <w:num w:numId="11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8">
    <w:abstractNumId w:val="991"/>
  </w:num>
  <w:num w:numId="11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1"/>
  </w:num>
  <w:num w:numId="1130">
    <w:abstractNumId w:val="991"/>
  </w:num>
  <w:num w:numId="11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3">
    <w:abstractNumId w:val="991"/>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8">
    <w:abstractNumId w:val="991"/>
  </w:num>
  <w:num w:numId="11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1"/>
  </w:num>
  <w:num w:numId="11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8">
    <w:abstractNumId w:val="991"/>
  </w:num>
  <w:num w:numId="11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1"/>
  </w:num>
  <w:num w:numId="11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6">
    <w:abstractNumId w:val="991"/>
  </w:num>
  <w:num w:numId="12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1">
    <w:abstractNumId w:val="991"/>
  </w:num>
  <w:num w:numId="12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6">
    <w:abstractNumId w:val="991"/>
  </w:num>
  <w:num w:numId="12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1">
    <w:abstractNumId w:val="991"/>
  </w:num>
  <w:num w:numId="12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6">
    <w:abstractNumId w:val="991"/>
  </w:num>
  <w:num w:numId="12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1">
    <w:abstractNumId w:val="991"/>
  </w:num>
  <w:num w:numId="12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7">
    <w:abstractNumId w:val="991"/>
  </w:num>
  <w:num w:numId="12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2">
    <w:abstractNumId w:val="991"/>
  </w:num>
  <w:num w:numId="12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7">
    <w:abstractNumId w:val="991"/>
  </w:num>
  <w:num w:numId="12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2">
    <w:abstractNumId w:val="991"/>
  </w:num>
  <w:num w:numId="13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7">
    <w:abstractNumId w:val="991"/>
  </w:num>
  <w:num w:numId="13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2">
    <w:abstractNumId w:val="991"/>
  </w:num>
  <w:num w:numId="13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0">
    <w:abstractNumId w:val="991"/>
  </w:num>
  <w:num w:numId="13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5">
    <w:abstractNumId w:val="991"/>
  </w:num>
  <w:num w:numId="13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0">
    <w:abstractNumId w:val="991"/>
  </w:num>
  <w:num w:numId="13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5">
    <w:abstractNumId w:val="991"/>
  </w:num>
  <w:num w:numId="13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0">
    <w:abstractNumId w:val="991"/>
  </w:num>
  <w:num w:numId="13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5">
    <w:abstractNumId w:val="991"/>
  </w:num>
  <w:num w:numId="13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1"/>
  </w:num>
  <w:num w:numId="1386">
    <w:abstractNumId w:val="991"/>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1"/>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1"/>
  </w:num>
  <w:num w:numId="1398">
    <w:abstractNumId w:val="991"/>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4">
    <w:abstractNumId w:val="991"/>
  </w:num>
  <w:num w:numId="14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9">
    <w:abstractNumId w:val="991"/>
  </w:num>
  <w:num w:numId="14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4">
    <w:abstractNumId w:val="991"/>
  </w:num>
  <w:num w:numId="14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1"/>
  </w:num>
  <w:num w:numId="1448">
    <w:abstractNumId w:val="991"/>
  </w:num>
  <w:num w:numId="14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3">
    <w:abstractNumId w:val="991"/>
  </w:num>
  <w:num w:numId="14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8">
    <w:abstractNumId w:val="991"/>
  </w:num>
  <w:num w:numId="14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1"/>
  </w:num>
  <w:num w:numId="14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8">
    <w:abstractNumId w:val="991"/>
  </w:num>
  <w:num w:numId="14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3">
    <w:abstractNumId w:val="991"/>
  </w:num>
  <w:num w:numId="1474">
    <w:abstractNumId w:val="991"/>
  </w:num>
  <w:num w:numId="14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1"/>
  </w:num>
  <w:num w:numId="1491">
    <w:abstractNumId w:val="991"/>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3">
    <w:abstractNumId w:val="991"/>
  </w:num>
  <w:num w:numId="15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8">
    <w:abstractNumId w:val="991"/>
  </w:num>
  <w:num w:numId="15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3">
    <w:abstractNumId w:val="991"/>
  </w:num>
  <w:num w:numId="15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8">
    <w:abstractNumId w:val="991"/>
  </w:num>
  <w:num w:numId="15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23">
    <w:abstractNumId w:val="991"/>
  </w:num>
  <w:num w:numId="15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1"/>
  </w:num>
  <w:num w:numId="1536">
    <w:abstractNumId w:val="991"/>
  </w:num>
  <w:num w:numId="1537">
    <w:abstractNumId w:val="991"/>
  </w:num>
  <w:num w:numId="1538">
    <w:abstractNumId w:val="991"/>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1"/>
  </w:num>
  <w:num w:numId="15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51">
    <w:abstractNumId w:val="991"/>
  </w:num>
  <w:num w:numId="15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5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56">
    <w:abstractNumId w:val="991"/>
  </w:num>
  <w:num w:numId="15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6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61">
    <w:abstractNumId w:val="991"/>
  </w:num>
  <w:num w:numId="15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6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66">
    <w:abstractNumId w:val="991"/>
  </w:num>
  <w:num w:numId="15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7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71">
    <w:abstractNumId w:val="991"/>
  </w:num>
  <w:num w:numId="1572">
    <w:abstractNumId w:val="991"/>
  </w:num>
  <w:num w:numId="1573">
    <w:abstractNumId w:val="991"/>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1"/>
  </w:num>
  <w:num w:numId="1584">
    <w:abstractNumId w:val="991"/>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1"/>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1"/>
  </w:num>
  <w:num w:numId="1589">
    <w:abstractNumId w:val="991"/>
  </w:num>
  <w:num w:numId="15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9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94">
    <w:abstractNumId w:val="991"/>
  </w:num>
  <w:num w:numId="15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9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99">
    <w:abstractNumId w:val="991"/>
  </w:num>
  <w:num w:numId="16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04">
    <w:abstractNumId w:val="991"/>
  </w:num>
  <w:num w:numId="16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09">
    <w:abstractNumId w:val="991"/>
  </w:num>
  <w:num w:numId="16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14">
    <w:abstractNumId w:val="991"/>
  </w:num>
  <w:num w:numId="16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1"/>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1"/>
  </w:num>
  <w:num w:numId="1628">
    <w:abstractNumId w:val="991"/>
  </w:num>
  <w:num w:numId="1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1"/>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1"/>
  </w:num>
  <w:num w:numId="1635">
    <w:abstractNumId w:val="991"/>
  </w:num>
  <w:num w:numId="16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3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40">
    <w:abstractNumId w:val="991"/>
  </w:num>
  <w:num w:numId="16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4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45">
    <w:abstractNumId w:val="991"/>
  </w:num>
  <w:num w:numId="16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4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50">
    <w:abstractNumId w:val="991"/>
  </w:num>
  <w:num w:numId="16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5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55">
    <w:abstractNumId w:val="991"/>
  </w:num>
  <w:num w:numId="16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5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60">
    <w:abstractNumId w:val="991"/>
  </w:num>
  <w:num w:numId="16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1"/>
  </w:num>
  <w:num w:numId="16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1"/>
  </w:num>
  <w:num w:numId="1680">
    <w:abstractNumId w:val="991"/>
  </w:num>
  <w:num w:numId="16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1"/>
  </w:num>
  <w:num w:numId="1686">
    <w:abstractNumId w:val="991"/>
  </w:num>
  <w:num w:numId="16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8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9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91">
    <w:abstractNumId w:val="991"/>
  </w:num>
  <w:num w:numId="16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9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9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96">
    <w:abstractNumId w:val="991"/>
  </w:num>
  <w:num w:numId="16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9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0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01">
    <w:abstractNumId w:val="991"/>
  </w:num>
  <w:num w:numId="17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06">
    <w:abstractNumId w:val="991"/>
  </w:num>
  <w:num w:numId="17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11">
    <w:abstractNumId w:val="991"/>
  </w:num>
  <w:num w:numId="17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3">
    <w:abstractNumId w:val="991"/>
  </w:num>
  <w:num w:numId="1724">
    <w:abstractNumId w:val="991"/>
  </w:num>
  <w:num w:numId="17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1"/>
  </w:num>
  <w:num w:numId="1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1"/>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1"/>
  </w:num>
  <w:num w:numId="1739">
    <w:abstractNumId w:val="991"/>
  </w:num>
  <w:num w:numId="17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4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44">
    <w:abstractNumId w:val="991"/>
  </w:num>
  <w:num w:numId="17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4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49">
    <w:abstractNumId w:val="991"/>
  </w:num>
  <w:num w:numId="17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5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54">
    <w:abstractNumId w:val="991"/>
  </w:num>
  <w:num w:numId="17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5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5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59">
    <w:abstractNumId w:val="991"/>
  </w:num>
  <w:num w:numId="17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6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64">
    <w:abstractNumId w:val="991"/>
  </w:num>
  <w:num w:numId="17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1"/>
  </w:num>
  <w:num w:numId="17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1"/>
  </w:num>
  <w:num w:numId="1785">
    <w:abstractNumId w:val="991"/>
  </w:num>
  <w:num w:numId="1786">
    <w:abstractNumId w:val="991"/>
  </w:num>
  <w:num w:numId="1787">
    <w:abstractNumId w:val="991"/>
  </w:num>
  <w:num w:numId="1788">
    <w:abstractNumId w:val="991"/>
  </w:num>
  <w:num w:numId="17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991"/>
  </w:num>
  <w:num w:numId="17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1"/>
  </w:num>
  <w:num w:numId="17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1"/>
  </w:num>
  <w:num w:numId="18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4">
    <w:abstractNumId w:val="991"/>
  </w:num>
  <w:num w:numId="1805">
    <w:abstractNumId w:val="991"/>
  </w:num>
  <w:num w:numId="1806">
    <w:abstractNumId w:val="991"/>
  </w:num>
  <w:num w:numId="18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1"/>
  </w:num>
  <w:num w:numId="1811">
    <w:abstractNumId w:val="991"/>
  </w:num>
  <w:num w:numId="1812">
    <w:abstractNumId w:val="991"/>
  </w:num>
  <w:num w:numId="18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1"/>
  </w:num>
  <w:num w:numId="18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9">
    <w:abstractNumId w:val="991"/>
  </w:num>
  <w:num w:numId="18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1"/>
  </w:num>
  <w:num w:numId="1832">
    <w:abstractNumId w:val="991"/>
  </w:num>
  <w:num w:numId="1833">
    <w:abstractNumId w:val="991"/>
  </w:num>
  <w:num w:numId="1834">
    <w:abstractNumId w:val="991"/>
  </w:num>
  <w:num w:numId="18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39">
    <w:abstractNumId w:val="991"/>
  </w:num>
  <w:num w:numId="18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4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44">
    <w:abstractNumId w:val="991"/>
  </w:num>
  <w:num w:numId="18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4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49">
    <w:abstractNumId w:val="991"/>
  </w:num>
  <w:num w:numId="18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5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54">
    <w:abstractNumId w:val="991"/>
  </w:num>
  <w:num w:numId="18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5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5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59">
    <w:abstractNumId w:val="991"/>
  </w:num>
  <w:num w:numId="18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0">
    <w:abstractNumId w:val="991"/>
  </w:num>
  <w:num w:numId="1871">
    <w:abstractNumId w:val="991"/>
  </w:num>
  <w:num w:numId="1872">
    <w:abstractNumId w:val="991"/>
  </w:num>
  <w:num w:numId="1873">
    <w:abstractNumId w:val="991"/>
  </w:num>
  <w:num w:numId="18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5">
    <w:abstractNumId w:val="991"/>
  </w:num>
  <w:num w:numId="1876">
    <w:abstractNumId w:val="991"/>
  </w:num>
  <w:num w:numId="18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1"/>
  </w:num>
  <w:num w:numId="18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8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8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84">
    <w:abstractNumId w:val="991"/>
  </w:num>
  <w:num w:numId="18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8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89">
    <w:abstractNumId w:val="991"/>
  </w:num>
  <w:num w:numId="18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9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94">
    <w:abstractNumId w:val="991"/>
  </w:num>
  <w:num w:numId="18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12">
    <w:abstractNumId w:val="991"/>
  </w:num>
  <w:num w:numId="19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17">
    <w:abstractNumId w:val="991"/>
  </w:num>
  <w:num w:numId="19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abstractNumId w:val="991"/>
  </w:num>
  <w:num w:numId="1930">
    <w:abstractNumId w:val="991"/>
  </w:num>
  <w:num w:numId="1931">
    <w:abstractNumId w:val="991"/>
  </w:num>
  <w:num w:numId="19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4">
    <w:abstractNumId w:val="991"/>
  </w:num>
  <w:num w:numId="19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6">
    <w:abstractNumId w:val="991"/>
  </w:num>
  <w:num w:numId="1937">
    <w:abstractNumId w:val="991"/>
  </w:num>
  <w:num w:numId="1938">
    <w:abstractNumId w:val="991"/>
  </w:num>
  <w:num w:numId="1939">
    <w:abstractNumId w:val="991"/>
  </w:num>
  <w:num w:numId="19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53">
    <w:abstractNumId w:val="991"/>
  </w:num>
  <w:num w:numId="19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58">
    <w:abstractNumId w:val="991"/>
  </w:num>
  <w:num w:numId="19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6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63">
    <w:abstractNumId w:val="991"/>
  </w:num>
  <w:num w:numId="19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68">
    <w:abstractNumId w:val="991"/>
  </w:num>
  <w:num w:numId="19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7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73">
    <w:abstractNumId w:val="991"/>
  </w:num>
  <w:num w:numId="19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1"/>
  </w:num>
  <w:num w:numId="2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11">
    <w:abstractNumId w:val="991"/>
  </w:num>
  <w:num w:numId="2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1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16">
    <w:abstractNumId w:val="991"/>
  </w:num>
  <w:num w:numId="2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21">
    <w:abstractNumId w:val="991"/>
  </w:num>
  <w:num w:numId="2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26">
    <w:abstractNumId w:val="991"/>
  </w:num>
  <w:num w:numId="2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31">
    <w:abstractNumId w:val="991"/>
  </w:num>
  <w:num w:numId="2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1"/>
  </w:num>
  <w:num w:numId="2045">
    <w:abstractNumId w:val="991"/>
  </w:num>
  <w:num w:numId="2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1"/>
  </w:num>
  <w:num w:numId="2048">
    <w:abstractNumId w:val="991"/>
  </w:num>
  <w:num w:numId="2049">
    <w:abstractNumId w:val="991"/>
  </w:num>
  <w:num w:numId="2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1"/>
  </w:num>
  <w:num w:numId="2052">
    <w:abstractNumId w:val="991"/>
  </w:num>
  <w:num w:numId="2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1"/>
  </w:num>
  <w:num w:numId="2057">
    <w:abstractNumId w:val="991"/>
  </w:num>
  <w:num w:numId="2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1">
    <w:abstractNumId w:val="991"/>
  </w:num>
  <w:num w:numId="2062">
    <w:abstractNumId w:val="991"/>
  </w:num>
  <w:num w:numId="2063">
    <w:abstractNumId w:val="991"/>
  </w:num>
  <w:num w:numId="2064">
    <w:abstractNumId w:val="991"/>
  </w:num>
  <w:num w:numId="2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6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6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69">
    <w:abstractNumId w:val="991"/>
  </w:num>
  <w:num w:numId="2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7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74">
    <w:abstractNumId w:val="991"/>
  </w:num>
  <w:num w:numId="2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7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79">
    <w:abstractNumId w:val="991"/>
  </w:num>
  <w:num w:numId="2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8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8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84">
    <w:abstractNumId w:val="991"/>
  </w:num>
  <w:num w:numId="2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8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89">
    <w:abstractNumId w:val="991"/>
  </w:num>
  <w:num w:numId="2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1"/>
  </w:num>
  <w:num w:numId="2101">
    <w:abstractNumId w:val="991"/>
  </w:num>
  <w:num w:numId="2102">
    <w:abstractNumId w:val="991"/>
  </w:num>
  <w:num w:numId="2103">
    <w:abstractNumId w:val="991"/>
  </w:num>
  <w:num w:numId="2104">
    <w:abstractNumId w:val="991"/>
  </w:num>
  <w:num w:numId="2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1"/>
  </w:num>
  <w:num w:numId="2107">
    <w:abstractNumId w:val="991"/>
  </w:num>
  <w:num w:numId="2108">
    <w:abstractNumId w:val="991"/>
  </w:num>
  <w:num w:numId="2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991"/>
  </w:num>
  <w:num w:numId="2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2">
    <w:abstractNumId w:val="991"/>
  </w:num>
  <w:num w:numId="2113">
    <w:abstractNumId w:val="991"/>
  </w:num>
  <w:num w:numId="2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6">
    <w:abstractNumId w:val="991"/>
  </w:num>
  <w:num w:numId="2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43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129">
    <w:abstractNumId w:val="9943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130">
    <w:abstractNumId w:val="9943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131">
    <w:abstractNumId w:val="991"/>
  </w:num>
  <w:num w:numId="2132">
    <w:abstractNumId w:val="991"/>
  </w:num>
  <w:num w:numId="2133">
    <w:abstractNumId w:val="991"/>
  </w:num>
  <w:num w:numId="2134">
    <w:abstractNumId w:val="991"/>
  </w:num>
  <w:num w:numId="2135">
    <w:abstractNumId w:val="991"/>
  </w:num>
  <w:num w:numId="2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7">
    <w:abstractNumId w:val="991"/>
  </w:num>
  <w:num w:numId="2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991"/>
  </w:num>
  <w:num w:numId="2140">
    <w:abstractNumId w:val="991"/>
  </w:num>
  <w:num w:numId="2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2">
    <w:abstractNumId w:val="991"/>
  </w:num>
  <w:num w:numId="21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7">
    <w:abstractNumId w:val="991"/>
  </w:num>
  <w:num w:numId="2148">
    <w:abstractNumId w:val="991"/>
  </w:num>
  <w:num w:numId="2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0">
    <w:abstractNumId w:val="991"/>
  </w:num>
  <w:num w:numId="2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8">
    <w:abstractNumId w:val="991"/>
  </w:num>
  <w:num w:numId="21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0">
    <w:abstractNumId w:val="991"/>
  </w:num>
  <w:num w:numId="2161">
    <w:abstractNumId w:val="991"/>
  </w:num>
  <w:num w:numId="2162">
    <w:abstractNumId w:val="991"/>
  </w:num>
  <w:num w:numId="2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3">
    <w:abstractNumId w:val="991"/>
  </w:num>
  <w:num w:numId="2174">
    <w:abstractNumId w:val="991"/>
  </w:num>
  <w:num w:numId="2175">
    <w:abstractNumId w:val="991"/>
  </w:num>
  <w:num w:numId="2176">
    <w:abstractNumId w:val="991"/>
  </w:num>
  <w:num w:numId="2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9">
    <w:abstractNumId w:val="991"/>
  </w:num>
  <w:num w:numId="2180">
    <w:abstractNumId w:val="991"/>
  </w:num>
  <w:num w:numId="2181">
    <w:abstractNumId w:val="991"/>
  </w:num>
  <w:num w:numId="21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3">
    <w:abstractNumId w:val="991"/>
  </w:num>
  <w:num w:numId="2184">
    <w:abstractNumId w:val="991"/>
  </w:num>
  <w:num w:numId="21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6">
    <w:abstractNumId w:val="991"/>
  </w:num>
  <w:num w:numId="2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8">
    <w:abstractNumId w:val="991"/>
  </w:num>
  <w:num w:numId="2189">
    <w:abstractNumId w:val="991"/>
  </w:num>
  <w:num w:numId="21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991"/>
  </w:num>
  <w:num w:numId="21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9">
    <w:abstractNumId w:val="991"/>
  </w:num>
  <w:num w:numId="2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1">
    <w:abstractNumId w:val="991"/>
  </w:num>
  <w:num w:numId="2202">
    <w:abstractNumId w:val="991"/>
  </w:num>
  <w:num w:numId="22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07">
    <w:abstractNumId w:val="991"/>
  </w:num>
  <w:num w:numId="22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12">
    <w:abstractNumId w:val="991"/>
  </w:num>
  <w:num w:numId="2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17">
    <w:abstractNumId w:val="991"/>
  </w:num>
  <w:num w:numId="22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22">
    <w:abstractNumId w:val="991"/>
  </w:num>
  <w:num w:numId="22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27">
    <w:abstractNumId w:val="991"/>
  </w:num>
  <w:num w:numId="22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43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239">
    <w:abstractNumId w:val="9943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240">
    <w:abstractNumId w:val="9943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241">
    <w:abstractNumId w:val="9943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242">
    <w:abstractNumId w:val="991"/>
  </w:num>
  <w:num w:numId="2243">
    <w:abstractNumId w:val="991"/>
  </w:num>
  <w:num w:numId="2244">
    <w:abstractNumId w:val="991"/>
  </w:num>
  <w:num w:numId="2245">
    <w:abstractNumId w:val="991"/>
  </w:num>
  <w:num w:numId="2246">
    <w:abstractNumId w:val="991"/>
  </w:num>
  <w:num w:numId="2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8">
    <w:abstractNumId w:val="991"/>
  </w:num>
  <w:num w:numId="2259">
    <w:abstractNumId w:val="991"/>
  </w:num>
  <w:num w:numId="2260">
    <w:abstractNumId w:val="991"/>
  </w:num>
  <w:num w:numId="2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2">
    <w:abstractNumId w:val="991"/>
  </w:num>
  <w:num w:numId="22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991"/>
  </w:num>
  <w:num w:numId="2265">
    <w:abstractNumId w:val="991"/>
  </w:num>
  <w:num w:numId="2266">
    <w:abstractNumId w:val="991"/>
  </w:num>
  <w:num w:numId="2267">
    <w:abstractNumId w:val="991"/>
  </w:num>
  <w:num w:numId="22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9">
    <w:abstractNumId w:val="991"/>
  </w:num>
  <w:num w:numId="22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2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2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2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288">
    <w:abstractNumId w:val="991"/>
  </w:num>
  <w:num w:numId="2289">
    <w:abstractNumId w:val="991"/>
  </w:num>
  <w:num w:numId="2290">
    <w:abstractNumId w:val="991"/>
  </w:num>
  <w:num w:numId="2291">
    <w:abstractNumId w:val="991"/>
  </w:num>
  <w:num w:numId="2292">
    <w:abstractNumId w:val="991"/>
  </w:num>
  <w:num w:numId="2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5">
    <w:abstractNumId w:val="991"/>
  </w:num>
  <w:num w:numId="2296">
    <w:abstractNumId w:val="991"/>
  </w:num>
  <w:num w:numId="2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8">
    <w:abstractNumId w:val="991"/>
  </w:num>
  <w:num w:numId="2299">
    <w:abstractNumId w:val="991"/>
  </w:num>
  <w:num w:numId="2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4">
    <w:abstractNumId w:val="991"/>
  </w:num>
  <w:num w:numId="23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991"/>
  </w:num>
  <w:num w:numId="2307">
    <w:abstractNumId w:val="991"/>
  </w:num>
  <w:num w:numId="2308">
    <w:abstractNumId w:val="991"/>
  </w:num>
  <w:num w:numId="2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0">
    <w:abstractNumId w:val="991"/>
  </w:num>
  <w:num w:numId="2311">
    <w:abstractNumId w:val="991"/>
  </w:num>
  <w:num w:numId="2312">
    <w:abstractNumId w:val="991"/>
  </w:num>
  <w:num w:numId="23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25">
    <w:abstractNumId w:val="991"/>
  </w:num>
  <w:num w:numId="23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30">
    <w:abstractNumId w:val="991"/>
  </w:num>
  <w:num w:numId="23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35">
    <w:abstractNumId w:val="991"/>
  </w:num>
  <w:num w:numId="23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3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40">
    <w:abstractNumId w:val="991"/>
  </w:num>
  <w:num w:numId="23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4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45">
    <w:abstractNumId w:val="991"/>
  </w:num>
  <w:num w:numId="23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8">
    <w:abstractNumId w:val="991"/>
  </w:num>
  <w:num w:numId="23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hAnsi="Times New Roman"/>
      <w:color w:val="333333"/>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line="288" w:lineRule="auto"/>
      <w:outlineLvl w:val="0"/>
    </w:pPr>
    <w:rPr>
      <w:rFonts w:ascii="Arial" w:asciiTheme="majorHAnsi" w:cstheme="majorBidi" w:eastAsiaTheme="majorEastAsia" w:hAnsi="Arial" w:hAnsiTheme="majorHAnsi"/>
      <w:b/>
      <w:color w:val="C8102E"/>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360" w:line="288" w:lineRule="auto"/>
      <w:outlineLvl w:val="1"/>
    </w:pPr>
    <w:rPr>
      <w:rFonts w:ascii="Arial" w:asciiTheme="majorHAnsi" w:cstheme="majorBidi" w:eastAsiaTheme="majorEastAsia" w:hAnsi="Arial" w:hAnsiTheme="majorHAnsi"/>
      <w:b/>
      <w:color w:val="C8102E"/>
      <w:sz w:val="36"/>
      <w:szCs w:val="32"/>
    </w:rPr>
  </w:style>
  <w:style w:styleId="Heading3" w:type="paragraph">
    <w:name w:val="heading 3"/>
    <w:basedOn w:val="Normal"/>
    <w:next w:val="BodyText"/>
    <w:link w:val="Heading3Char"/>
    <w:uiPriority w:val="9"/>
    <w:semiHidden/>
    <w:unhideWhenUsed/>
    <w:qFormat/>
    <w:rsid w:val="00A10FD9"/>
    <w:pPr>
      <w:keepNext/>
      <w:keepLines/>
      <w:spacing w:after="160" w:before="360" w:line="288" w:lineRule="auto"/>
      <w:outlineLvl w:val="2"/>
    </w:pPr>
    <w:rPr>
      <w:rFonts w:ascii="Arial" w:cstheme="majorBidi" w:eastAsiaTheme="majorEastAsia" w:hAnsi="Arial"/>
      <w:b/>
      <w:color w:val="C8102E"/>
      <w:sz w:val="28"/>
      <w:szCs w:val="28"/>
    </w:rPr>
  </w:style>
  <w:style w:styleId="Heading4" w:type="paragraph">
    <w:name w:val="heading 4"/>
    <w:basedOn w:val="Normal"/>
    <w:next w:val="BodyText"/>
    <w:link w:val="Heading4Char"/>
    <w:uiPriority w:val="9"/>
    <w:semiHidden/>
    <w:unhideWhenUsed/>
    <w:qFormat/>
    <w:rsid w:val="00A10FD9"/>
    <w:pPr>
      <w:keepNext/>
      <w:keepLines/>
      <w:spacing w:after="160" w:before="360" w:line="288" w:lineRule="auto"/>
      <w:outlineLvl w:val="3"/>
    </w:pPr>
    <w:rPr>
      <w:rFonts w:ascii="Arial" w:cstheme="majorBidi" w:eastAsiaTheme="majorEastAsia" w:hAnsi="Arial"/>
      <w:b/>
      <w:i/>
      <w:iCs/>
      <w:color w:val="C8102E"/>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ind w:firstLine="0" w:left="567" w:right="480"/>
    </w:pPr>
    <w:rPr>
      <w:rFonts w:ascii="Times New Roman"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6" Type="http://schemas.openxmlformats.org/officeDocument/2006/relationships/hyperlink" Target="http://antigo.cade.gov.br/noticias/cade-multa-em-r-3-1-bilhoes-o-cartel-do-cimento" TargetMode="External"/><Relationship Id="rId832" Type="http://schemas.openxmlformats.org/officeDocument/2006/relationships/hyperlink" Target="http://comexstat.mdic.gov.br" TargetMode="External"/><Relationship Id="rId1474" Type="http://schemas.openxmlformats.org/officeDocument/2006/relationships/hyperlink" Target="http://terrabrasilis.dpi.inpe.br" TargetMode="External"/><Relationship Id="rId1271" Type="http://schemas.openxmlformats.org/officeDocument/2006/relationships/hyperlink" Target="http://terrabrasilis.dpi.inpe.br/" TargetMode="External"/><Relationship Id="rId1454" Type="http://schemas.openxmlformats.org/officeDocument/2006/relationships/hyperlink" Target="http://www.fundoamazonia.gov.br" TargetMode="External"/><Relationship Id="rId1472" Type="http://schemas.openxmlformats.org/officeDocument/2006/relationships/hyperlink" Target="http://www.obt.inpe.br/OBT/assuntos/programas/amazonia/prodes" TargetMode="External"/><Relationship Id="rId69" Type="http://schemas.openxmlformats.org/officeDocument/2006/relationships/hyperlink" Target="https://archive.org/details/scopeandmethodo00telerich" TargetMode="External"/><Relationship Id="rId1080" Type="http://schemas.openxmlformats.org/officeDocument/2006/relationships/hyperlink" Target="https://bi.mte.gov.br/bgcaged/" TargetMode="External"/><Relationship Id="rId679" Type="http://schemas.openxmlformats.org/officeDocument/2006/relationships/hyperlink" Target="https://bibliotecadigital.fgv.br/dspace/handle/10438/916" TargetMode="External"/><Relationship Id="rId1117" Type="http://schemas.openxmlformats.org/officeDocument/2006/relationships/hyperlink" Target="https://books.google.com.br/books?id=9t69iICmrZ0C" TargetMode="External"/><Relationship Id="rId440" Type="http://schemas.openxmlformats.org/officeDocument/2006/relationships/hyperlink" Target="https://books.google.com.br/books?id=AcBLAAAAMAAJ" TargetMode="External"/><Relationship Id="rId183" Type="http://schemas.openxmlformats.org/officeDocument/2006/relationships/hyperlink" Target="https://books.google.com.br/books?id=BeoengEACAAJ" TargetMode="External"/><Relationship Id="rId186" Type="http://schemas.openxmlformats.org/officeDocument/2006/relationships/hyperlink" Target="https://books.google.com.br/books?id=LSb8oAEACAAJ" TargetMode="External"/><Relationship Id="rId1491" Type="http://schemas.openxmlformats.org/officeDocument/2006/relationships/hyperlink" Target="https://books.google.com.br/books?id=TN4VCgAAQBAJ" TargetMode="External"/><Relationship Id="rId970" Type="http://schemas.openxmlformats.org/officeDocument/2006/relationships/hyperlink" Target="https://books.google.com.br/books?id=Xqf-jwEACAAJ" TargetMode="External"/><Relationship Id="rId436" Type="http://schemas.openxmlformats.org/officeDocument/2006/relationships/hyperlink" Target="https://books.google.com.br/books?id=ZuKTvERuPG8C" TargetMode="External"/><Relationship Id="rId454" Type="http://schemas.openxmlformats.org/officeDocument/2006/relationships/hyperlink" Target="https://books.google.com.br/books?id=dSJQn8egXvUC" TargetMode="External"/><Relationship Id="rId1493" Type="http://schemas.openxmlformats.org/officeDocument/2006/relationships/hyperlink" Target="https://books.google.com.br/books?id=e-J9DwAAQBAJ" TargetMode="External"/><Relationship Id="rId230" Type="http://schemas.openxmlformats.org/officeDocument/2006/relationships/hyperlink" Target="https://books.google.com.br/books?id=jGs4EAAAQBAJ" TargetMode="External"/><Relationship Id="rId787" Type="http://schemas.openxmlformats.org/officeDocument/2006/relationships/hyperlink" Target="https://books.google.com.br/books?id=pg-wAAAAIAAJ" TargetMode="External"/><Relationship Id="rId1489" Type="http://schemas.openxmlformats.org/officeDocument/2006/relationships/hyperlink" Target="https://books.google.com.br/books?id=t6T4jgEACAAJ" TargetMode="External"/><Relationship Id="rId511" Type="http://schemas.openxmlformats.org/officeDocument/2006/relationships/hyperlink" Target="https://books.google.com/books/about/A_Course_in_Game_Theory.html?id=k-WLoAEACAAJ" TargetMode="External"/><Relationship Id="rId967" Type="http://schemas.openxmlformats.org/officeDocument/2006/relationships/hyperlink" Target="https://books.google.com/books/about/Barriers_to_New_Competition.html?id=KyFCAAAAIAAJ" TargetMode="External"/><Relationship Id="rId968" Type="http://schemas.openxmlformats.org/officeDocument/2006/relationships/hyperlink" Target="https://books.google.com/books/about/Contestable_Markets_and_the_Theory_of_In.html?id=N2c6AAAAIAAJ" TargetMode="External"/><Relationship Id="rId320" Type="http://schemas.openxmlformats.org/officeDocument/2006/relationships/hyperlink" Target="https://books.google.com/books/about/Economics_and_Consumer_Behavior.html?id=B81RYQsx2l0C" TargetMode="External"/><Relationship Id="rId73" Type="http://schemas.openxmlformats.org/officeDocument/2006/relationships/hyperlink" Target="https://books.google.com/books/about/Foundations_of_Economic_Analysis.html?id=lWV7HwolSeoC" TargetMode="External"/><Relationship Id="rId504" Type="http://schemas.openxmlformats.org/officeDocument/2006/relationships/hyperlink" Target="https://books.google.com/books/about/Game_Theory.html?id=pFPHKwXro3QC" TargetMode="External"/><Relationship Id="rId74" Type="http://schemas.openxmlformats.org/officeDocument/2006/relationships/hyperlink" Target="https://books.google.com/books/about/Intermediate_Microeconomics_with_Calculu.html?id=9mabDwAAQBAJ" TargetMode="External"/><Relationship Id="rId686" Type="http://schemas.openxmlformats.org/officeDocument/2006/relationships/hyperlink" Target="https://books.google.com/books/about/Microeconomic_Analysis.html?id=m20iQAAACAAJ" TargetMode="External"/><Relationship Id="rId70" Type="http://schemas.openxmlformats.org/officeDocument/2006/relationships/hyperlink" Target="https://books.google.com/books/about/Microeconomic_Theory.html?id=KGtegVXqD8wC" TargetMode="External"/><Relationship Id="rId71" Type="http://schemas.openxmlformats.org/officeDocument/2006/relationships/hyperlink" Target="https://books.google.com/books/about/Microeconomic_Theory_Basic_Principles_an.html?id=YdkhCwAAQBAJ" TargetMode="External"/><Relationship Id="rId72" Type="http://schemas.openxmlformats.org/officeDocument/2006/relationships/hyperlink" Target="https://books.google.com/books/about/Microeconomics.html?id=h6e7AAAAIAAJ" TargetMode="External"/><Relationship Id="rId1234" Type="http://schemas.openxmlformats.org/officeDocument/2006/relationships/hyperlink" Target="https://books.google.com/books/about/Putting_Auction_Theory_to_Work.html?id=kSiJnHbcfk8C" TargetMode="External"/><Relationship Id="rId1284" Type="http://schemas.openxmlformats.org/officeDocument/2006/relationships/hyperlink" Target="https://books.google.com/books/about/Social_Choice_and_Individual_Values.html?id=1W0PAQAAMAAJ" TargetMode="External"/><Relationship Id="rId974" Type="http://schemas.openxmlformats.org/officeDocument/2006/relationships/hyperlink" Target="https://books.google.com/books/about/The_Theory_of_Industrial_Organization.html?id=HIjsF0XONF8C" TargetMode="External"/><Relationship Id="rId1116" Type="http://schemas.openxmlformats.org/officeDocument/2006/relationships/hyperlink" Target="https://books.google.com/books?id=50qHcSNVVEMC" TargetMode="External"/><Relationship Id="rId68" Type="http://schemas.openxmlformats.org/officeDocument/2006/relationships/hyperlink" Target="https://books.google.com/books?id=6Uhev5fmBgUC" TargetMode="External"/><Relationship Id="rId512" Type="http://schemas.openxmlformats.org/officeDocument/2006/relationships/hyperlink" Target="https://books.google.com/books?id=7RkL4Z8Yg5AC" TargetMode="External"/><Relationship Id="rId505" Type="http://schemas.openxmlformats.org/officeDocument/2006/relationships/hyperlink" Target="https://books.google.com/books?id=8ygxf2WunAIC" TargetMode="External"/><Relationship Id="rId633" Type="http://schemas.openxmlformats.org/officeDocument/2006/relationships/hyperlink" Target="https://books.google.com/books?id=9t69iICmrZ0C" TargetMode="External"/><Relationship Id="rId426" Type="http://schemas.openxmlformats.org/officeDocument/2006/relationships/hyperlink" Target="https://books.google.com/books?id=AMBjDQAAQBAJ" TargetMode="External"/><Relationship Id="rId592" Type="http://schemas.openxmlformats.org/officeDocument/2006/relationships/hyperlink" Target="https://books.google.com/books?id=AkeHTU7XW4kC" TargetMode="External"/><Relationship Id="rId1052" Type="http://schemas.openxmlformats.org/officeDocument/2006/relationships/hyperlink" Target="https://books.google.com/books?id=J3xZnDSlfC8C" TargetMode="External"/><Relationship Id="rId503" Type="http://schemas.openxmlformats.org/officeDocument/2006/relationships/hyperlink" Target="https://books.google.com/books?id=NJZBCGbNs98C" TargetMode="External"/><Relationship Id="rId591" Type="http://schemas.openxmlformats.org/officeDocument/2006/relationships/hyperlink" Target="https://books.google.com/books?id=QDnmDVfSyhUC" TargetMode="External"/><Relationship Id="rId1007" Type="http://schemas.openxmlformats.org/officeDocument/2006/relationships/hyperlink" Target="https://books.google.com/books?id=fdsLAQAAQBAJ" TargetMode="External"/><Relationship Id="rId367" Type="http://schemas.openxmlformats.org/officeDocument/2006/relationships/hyperlink" Target="https://books.google.com/books?id=jCN5aNJ-n-0C" TargetMode="External"/><Relationship Id="rId788" Type="http://schemas.openxmlformats.org/officeDocument/2006/relationships/hyperlink" Target="https://books.google.com/books?id=ma62AAAAIAAJ" TargetMode="External"/><Relationship Id="rId849" Type="http://schemas.openxmlformats.org/officeDocument/2006/relationships/hyperlink" Target="https://books.google.com/books?id=pqQGAAAAMAAJ" TargetMode="External"/><Relationship Id="rId459" Type="http://schemas.openxmlformats.org/officeDocument/2006/relationships/hyperlink" Target="https://books.google.com/books?id=qxtHEAAAQBAJ" TargetMode="External"/><Relationship Id="rId1008" Type="http://schemas.openxmlformats.org/officeDocument/2006/relationships/hyperlink" Target="https://books.google.com/books?id=tr4CjJ5LlRcC" TargetMode="External"/><Relationship Id="rId952" Type="http://schemas.openxmlformats.org/officeDocument/2006/relationships/hyperlink" Target="https://dados.gov.br/dados/organizacoes/visualizar/agencia-nacional-de-saude-suplementar-ans" TargetMode="External"/><Relationship Id="rId1494" Type="http://schemas.openxmlformats.org/officeDocument/2006/relationships/hyperlink" Target="https://data.worldbank.org/indicator/NY.ADJ.SVNX.GN.ZS" TargetMode="External"/><Relationship Id="rId1408" Type="http://schemas.openxmlformats.org/officeDocument/2006/relationships/hyperlink" Target="https://datasus.saude.gov.br/" TargetMode="External"/><Relationship Id="rId451" Type="http://schemas.openxmlformats.org/officeDocument/2006/relationships/hyperlink" Target="https://doi.org/10.1002/(SICI)1099-0771(199912)12:4%3C183::AID-BDM318%3E3.0.CO;2-F" TargetMode="External"/><Relationship Id="rId429" Type="http://schemas.openxmlformats.org/officeDocument/2006/relationships/hyperlink" Target="https://doi.org/10.1006/game.1994.1021" TargetMode="External"/><Relationship Id="rId434" Type="http://schemas.openxmlformats.org/officeDocument/2006/relationships/hyperlink" Target="https://doi.org/10.1006/game.1994.1056" TargetMode="External"/><Relationship Id="rId422" Type="http://schemas.openxmlformats.org/officeDocument/2006/relationships/hyperlink" Target="https://doi.org/10.1006/game.1995.1027" TargetMode="External"/><Relationship Id="rId448" Type="http://schemas.openxmlformats.org/officeDocument/2006/relationships/hyperlink" Target="https://doi.org/10.1007/BF00055564" TargetMode="External"/><Relationship Id="rId457" Type="http://schemas.openxmlformats.org/officeDocument/2006/relationships/hyperlink" Target="https://doi.org/10.1007/BF00122574" TargetMode="External"/><Relationship Id="rId546" Type="http://schemas.openxmlformats.org/officeDocument/2006/relationships/hyperlink" Target="https://doi.org/10.1007/BF01299206" TargetMode="External"/><Relationship Id="rId424" Type="http://schemas.openxmlformats.org/officeDocument/2006/relationships/hyperlink" Target="https://doi.org/10.1007/bf01065371" TargetMode="External"/><Relationship Id="rId423" Type="http://schemas.openxmlformats.org/officeDocument/2006/relationships/hyperlink" Target="https://doi.org/10.1007/s11238-009-9144-4" TargetMode="External"/><Relationship Id="rId557" Type="http://schemas.openxmlformats.org/officeDocument/2006/relationships/hyperlink" Target="https://doi.org/10.1016/0022-0531(82)90029-1" TargetMode="External"/><Relationship Id="rId446" Type="http://schemas.openxmlformats.org/officeDocument/2006/relationships/hyperlink" Target="https://doi.org/10.1016/0167-2681(82)90008-7" TargetMode="External"/><Relationship Id="rId432" Type="http://schemas.openxmlformats.org/officeDocument/2006/relationships/hyperlink" Target="https://doi.org/10.1016/0167-2681(82)90011-7" TargetMode="External"/><Relationship Id="rId358" Type="http://schemas.openxmlformats.org/officeDocument/2006/relationships/hyperlink" Target="https://doi.org/10.1016/0304-3932(85)90061-3" TargetMode="External"/><Relationship Id="rId431" Type="http://schemas.openxmlformats.org/officeDocument/2006/relationships/hyperlink" Target="https://doi.org/10.1016/0304-4068(89)90018-9" TargetMode="External"/><Relationship Id="rId442" Type="http://schemas.openxmlformats.org/officeDocument/2006/relationships/hyperlink" Target="https://doi.org/10.1016/0749-5978(87)90046-X" TargetMode="External"/><Relationship Id="rId550" Type="http://schemas.openxmlformats.org/officeDocument/2006/relationships/hyperlink" Target="https://doi.org/10.1016/0899-8256(89)90024-3" TargetMode="External"/><Relationship Id="rId553" Type="http://schemas.openxmlformats.org/officeDocument/2006/relationships/hyperlink" Target="https://doi.org/10.1016/0899-8256(89)90025-5" TargetMode="External"/><Relationship Id="rId1179" Type="http://schemas.openxmlformats.org/officeDocument/2006/relationships/hyperlink" Target="https://doi.org/10.1016/S0014-2921(01)00125-8" TargetMode="External"/><Relationship Id="rId1050" Type="http://schemas.openxmlformats.org/officeDocument/2006/relationships/hyperlink" Target="https://doi.org/10.1016/S0169-7218(06)02032-9" TargetMode="External"/><Relationship Id="rId585" Type="http://schemas.openxmlformats.org/officeDocument/2006/relationships/hyperlink" Target="https://doi.org/10.1016/S1573-4412(07)06060-6" TargetMode="External"/><Relationship Id="rId449" Type="http://schemas.openxmlformats.org/officeDocument/2006/relationships/hyperlink" Target="https://doi.org/10.1016/j.ejor.2005.04.006" TargetMode="External"/><Relationship Id="rId1228" Type="http://schemas.openxmlformats.org/officeDocument/2006/relationships/hyperlink" Target="https://doi.org/10.1016/j.ijindorg.2014.02.006" TargetMode="External"/><Relationship Id="rId1173" Type="http://schemas.openxmlformats.org/officeDocument/2006/relationships/hyperlink" Target="https://doi.org/10.1016/j.jcorpfin.2012.09.009" TargetMode="External"/><Relationship Id="rId1174" Type="http://schemas.openxmlformats.org/officeDocument/2006/relationships/hyperlink" Target="https://doi.org/10.1016/j.jdeveco.2014.04.005" TargetMode="External"/><Relationship Id="rId1392" Type="http://schemas.openxmlformats.org/officeDocument/2006/relationships/hyperlink" Target="https://doi.org/10.1016/j.jeconom.2020.10.012" TargetMode="External"/><Relationship Id="rId782" Type="http://schemas.openxmlformats.org/officeDocument/2006/relationships/hyperlink" Target="https://doi.org/10.1016/j.jinteco.2003.08.004" TargetMode="External"/><Relationship Id="rId677" Type="http://schemas.openxmlformats.org/officeDocument/2006/relationships/hyperlink" Target="https://doi.org/10.1016/j.jmacro.2007.10.010" TargetMode="External"/><Relationship Id="rId1049" Type="http://schemas.openxmlformats.org/officeDocument/2006/relationships/hyperlink" Target="https://doi.org/10.1016/j.jpubeco.2017.09.004" TargetMode="External"/><Relationship Id="rId1120" Type="http://schemas.openxmlformats.org/officeDocument/2006/relationships/hyperlink" Target="https://doi.org/10.1016/j.labeco.2008.07.002" TargetMode="External"/><Relationship Id="rId1279" Type="http://schemas.openxmlformats.org/officeDocument/2006/relationships/hyperlink" Target="https://doi.org/10.1016/j.tra.2008.09.007" TargetMode="External"/><Relationship Id="rId1281" Type="http://schemas.openxmlformats.org/officeDocument/2006/relationships/hyperlink" Target="https://doi.org/10.1017/CBO9780511807763" TargetMode="External"/><Relationship Id="rId1485" Type="http://schemas.openxmlformats.org/officeDocument/2006/relationships/hyperlink" Target="https://doi.org/10.1017/CBO9780511817434" TargetMode="External"/><Relationship Id="rId441" Type="http://schemas.openxmlformats.org/officeDocument/2006/relationships/hyperlink" Target="https://doi.org/10.1023/a:1009989907258" TargetMode="External"/><Relationship Id="rId428" Type="http://schemas.openxmlformats.org/officeDocument/2006/relationships/hyperlink" Target="https://doi.org/10.1037/0096-1523.1.3.288" TargetMode="External"/><Relationship Id="rId508" Type="http://schemas.openxmlformats.org/officeDocument/2006/relationships/hyperlink" Target="https://doi.org/10.1038/246015a0" TargetMode="External"/><Relationship Id="rId1483" Type="http://schemas.openxmlformats.org/officeDocument/2006/relationships/hyperlink" Target="https://doi.org/10.1073/pnas.1609244114" TargetMode="External"/><Relationship Id="rId509" Type="http://schemas.openxmlformats.org/officeDocument/2006/relationships/hyperlink" Target="https://doi.org/10.1073/pnas.36.1.48" TargetMode="External"/><Relationship Id="rId506" Type="http://schemas.openxmlformats.org/officeDocument/2006/relationships/hyperlink" Target="https://doi.org/10.1080/10691898.2004.11910738" TargetMode="External"/><Relationship Id="rId458" Type="http://schemas.openxmlformats.org/officeDocument/2006/relationships/hyperlink" Target="https://doi.org/10.1080/17470216008416717" TargetMode="External"/><Relationship Id="rId1177" Type="http://schemas.openxmlformats.org/officeDocument/2006/relationships/hyperlink" Target="https://doi.org/10.1086/254195" TargetMode="External"/><Relationship Id="rId785" Type="http://schemas.openxmlformats.org/officeDocument/2006/relationships/hyperlink" Target="https://doi.org/10.1086/254387" TargetMode="External"/><Relationship Id="rId365" Type="http://schemas.openxmlformats.org/officeDocument/2006/relationships/hyperlink" Target="https://doi.org/10.1086/256692" TargetMode="External"/><Relationship Id="rId1388" Type="http://schemas.openxmlformats.org/officeDocument/2006/relationships/hyperlink" Target="https://doi.org/10.1086/258609" TargetMode="External"/><Relationship Id="rId681" Type="http://schemas.openxmlformats.org/officeDocument/2006/relationships/hyperlink" Target="https://doi.org/10.1086/258782" TargetMode="External"/><Relationship Id="rId317" Type="http://schemas.openxmlformats.org/officeDocument/2006/relationships/hyperlink" Target="https://doi.org/10.1086/260169" TargetMode="External"/><Relationship Id="rId961" Type="http://schemas.openxmlformats.org/officeDocument/2006/relationships/hyperlink" Target="https://doi.org/10.1086/260357" TargetMode="External"/><Relationship Id="rId737" Type="http://schemas.openxmlformats.org/officeDocument/2006/relationships/hyperlink" Target="https://doi.org/10.1086/260470" TargetMode="External"/><Relationship Id="rId453" Type="http://schemas.openxmlformats.org/officeDocument/2006/relationships/hyperlink" Target="https://doi.org/10.1086/260971" TargetMode="External"/><Relationship Id="rId784" Type="http://schemas.openxmlformats.org/officeDocument/2006/relationships/hyperlink" Target="https://doi.org/10.1086/261729" TargetMode="External"/><Relationship Id="rId437" Type="http://schemas.openxmlformats.org/officeDocument/2006/relationships/hyperlink" Target="https://doi.org/10.1086/261737" TargetMode="External"/><Relationship Id="rId496" Type="http://schemas.openxmlformats.org/officeDocument/2006/relationships/hyperlink" Target="https://doi.org/10.1086/261786" TargetMode="External"/><Relationship Id="rId962" Type="http://schemas.openxmlformats.org/officeDocument/2006/relationships/hyperlink" Target="https://doi.org/10.1086/261950" TargetMode="External"/><Relationship Id="rId357" Type="http://schemas.openxmlformats.org/officeDocument/2006/relationships/hyperlink" Target="https://doi.org/10.1086/262111" TargetMode="External"/><Relationship Id="rId364" Type="http://schemas.openxmlformats.org/officeDocument/2006/relationships/hyperlink" Target="https://doi.org/10.1086/317671" TargetMode="External"/><Relationship Id="rId452" Type="http://schemas.openxmlformats.org/officeDocument/2006/relationships/hyperlink" Target="https://doi.org/10.1086/380085" TargetMode="External"/><Relationship Id="rId1285" Type="http://schemas.openxmlformats.org/officeDocument/2006/relationships/hyperlink" Target="https://doi.org/10.1086/466560" TargetMode="External"/><Relationship Id="rId559" Type="http://schemas.openxmlformats.org/officeDocument/2006/relationships/hyperlink" Target="https://doi.org/10.1086/649801" TargetMode="External"/><Relationship Id="rId1113" Type="http://schemas.openxmlformats.org/officeDocument/2006/relationships/hyperlink" Target="https://doi.org/10.1086/717899" TargetMode="External"/><Relationship Id="rId1487" Type="http://schemas.openxmlformats.org/officeDocument/2006/relationships/hyperlink" Target="https://doi.org/10.1086/720988" TargetMode="External"/><Relationship Id="rId1018" Type="http://schemas.openxmlformats.org/officeDocument/2006/relationships/hyperlink" Target="https://doi.org/10.1086/726906" TargetMode="External"/><Relationship Id="rId965" Type="http://schemas.openxmlformats.org/officeDocument/2006/relationships/hyperlink" Target="https://doi.org/10.1093/qje/120.2.701" TargetMode="External"/><Relationship Id="rId1119" Type="http://schemas.openxmlformats.org/officeDocument/2006/relationships/hyperlink" Target="https://doi.org/10.1093/qje/qjab012" TargetMode="External"/><Relationship Id="rId683" Type="http://schemas.openxmlformats.org/officeDocument/2006/relationships/hyperlink" Target="https://doi.org/10.1093/qje/qjt032" TargetMode="External"/><Relationship Id="rId420" Type="http://schemas.openxmlformats.org/officeDocument/2006/relationships/hyperlink" Target="https://doi.org/10.1093/qje/qjv020" TargetMode="External"/><Relationship Id="rId176" Type="http://schemas.openxmlformats.org/officeDocument/2006/relationships/hyperlink" Target="https://doi.org/10.1093/qje/qjy013" TargetMode="External"/><Relationship Id="rId959" Type="http://schemas.openxmlformats.org/officeDocument/2006/relationships/hyperlink" Target="https://doi.org/10.1093/qje/qjz041" TargetMode="External"/><Relationship Id="rId1486" Type="http://schemas.openxmlformats.org/officeDocument/2006/relationships/hyperlink" Target="https://doi.org/10.1093/reep/res015" TargetMode="External"/><Relationship Id="rId500" Type="http://schemas.openxmlformats.org/officeDocument/2006/relationships/hyperlink" Target="https://doi.org/10.1111/1468-0262.00054" TargetMode="External"/><Relationship Id="rId360" Type="http://schemas.openxmlformats.org/officeDocument/2006/relationships/hyperlink" Target="https://doi.org/10.1111/1468-0262.00158" TargetMode="External"/><Relationship Id="rId1005" Type="http://schemas.openxmlformats.org/officeDocument/2006/relationships/hyperlink" Target="https://doi.org/10.1111/1468-0262.00194" TargetMode="External"/><Relationship Id="rId66" Type="http://schemas.openxmlformats.org/officeDocument/2006/relationships/hyperlink" Target="https://doi.org/10.1111/1468-0262.00335" TargetMode="External"/><Relationship Id="rId228" Type="http://schemas.openxmlformats.org/officeDocument/2006/relationships/hyperlink" Target="https://doi.org/10.1111/1468-0262.00394" TargetMode="External"/><Relationship Id="rId740" Type="http://schemas.openxmlformats.org/officeDocument/2006/relationships/hyperlink" Target="https://doi.org/10.1111/1468-2354.t01-1-00101" TargetMode="External"/><Relationship Id="rId963" Type="http://schemas.openxmlformats.org/officeDocument/2006/relationships/hyperlink" Target="https://doi.org/10.1111/1468-2354.t01-1-00106" TargetMode="External"/><Relationship Id="rId439" Type="http://schemas.openxmlformats.org/officeDocument/2006/relationships/hyperlink" Target="https://doi.org/10.1111/j.1468-0262.2005.00640.x" TargetMode="External"/><Relationship Id="rId499" Type="http://schemas.openxmlformats.org/officeDocument/2006/relationships/hyperlink" Target="https://doi.org/10.1111/j.1468-0262.2007.00796.x" TargetMode="External"/><Relationship Id="rId225" Type="http://schemas.openxmlformats.org/officeDocument/2006/relationships/hyperlink" Target="https://doi.org/10.1111/j.1468-0297.2011.02473.x" TargetMode="External"/><Relationship Id="rId783" Type="http://schemas.openxmlformats.org/officeDocument/2006/relationships/hyperlink" Target="https://doi.org/10.1111/j.1468-0335.1937.tb00002.x" TargetMode="External"/><Relationship Id="rId593" Type="http://schemas.openxmlformats.org/officeDocument/2006/relationships/hyperlink" Target="https://doi.org/10.1111/j.1540-6261.1961.tb02789.x" TargetMode="External"/><Relationship Id="rId1180" Type="http://schemas.openxmlformats.org/officeDocument/2006/relationships/hyperlink" Target="https://doi.org/10.1111/j.1540-6261.1964.tb02865.x" TargetMode="External"/><Relationship Id="rId435" Type="http://schemas.openxmlformats.org/officeDocument/2006/relationships/hyperlink" Target="https://doi.org/10.1126/science.1091721" TargetMode="External"/><Relationship Id="rId455" Type="http://schemas.openxmlformats.org/officeDocument/2006/relationships/hyperlink" Target="https://doi.org/10.1126/science.185.4157.1124" TargetMode="External"/><Relationship Id="rId456" Type="http://schemas.openxmlformats.org/officeDocument/2006/relationships/hyperlink" Target="https://doi.org/10.1126/science.7455683" TargetMode="External"/><Relationship Id="rId1391" Type="http://schemas.openxmlformats.org/officeDocument/2006/relationships/hyperlink" Target="https://doi.org/10.1126/science.aaf0918" TargetMode="External"/><Relationship Id="rId1390" Type="http://schemas.openxmlformats.org/officeDocument/2006/relationships/hyperlink" Target="https://doi.org/10.1136/bmj.c2220" TargetMode="External"/><Relationship Id="rId1230" Type="http://schemas.openxmlformats.org/officeDocument/2006/relationships/hyperlink" Target="https://doi.org/10.1162/003355300554926" TargetMode="External"/><Relationship Id="rId421" Type="http://schemas.openxmlformats.org/officeDocument/2006/relationships/hyperlink" Target="https://doi.org/10.1162/003355301556400" TargetMode="External"/><Relationship Id="rId412" Type="http://schemas.openxmlformats.org/officeDocument/2006/relationships/hyperlink" Target="https://doi.org/10.1162/003355301753265543" TargetMode="External"/><Relationship Id="rId413" Type="http://schemas.openxmlformats.org/officeDocument/2006/relationships/hyperlink" Target="https://doi.org/10.1162/003355397555253" TargetMode="External"/><Relationship Id="rId411" Type="http://schemas.openxmlformats.org/officeDocument/2006/relationships/hyperlink" Target="https://doi.org/10.1162/003355399556151" TargetMode="External"/><Relationship Id="rId229" Type="http://schemas.openxmlformats.org/officeDocument/2006/relationships/hyperlink" Target="https://doi.org/10.1162/003465397557015" TargetMode="External"/><Relationship Id="rId1343" Type="http://schemas.openxmlformats.org/officeDocument/2006/relationships/hyperlink" Target="https://doi.org/10.1162/154247603322493212" TargetMode="External"/><Relationship Id="rId280" Type="http://schemas.openxmlformats.org/officeDocument/2006/relationships/hyperlink" Target="https://doi.org/10.1162/REST_a_00327" TargetMode="External"/><Relationship Id="rId1229" Type="http://schemas.openxmlformats.org/officeDocument/2006/relationships/hyperlink" Target="https://doi.org/10.1162/qjec.2010.125.3.877" TargetMode="External"/><Relationship Id="rId507" Type="http://schemas.openxmlformats.org/officeDocument/2006/relationships/hyperlink" Target="https://doi.org/10.1162/rest.88.3.463" TargetMode="External"/><Relationship Id="rId502" Type="http://schemas.openxmlformats.org/officeDocument/2006/relationships/hyperlink" Target="https://doi.org/10.1201/b23262" TargetMode="External"/><Relationship Id="rId682" Type="http://schemas.openxmlformats.org/officeDocument/2006/relationships/hyperlink" Target="https://doi.org/10.1257/00028280260136372" TargetMode="External"/><Relationship Id="rId497" Type="http://schemas.openxmlformats.org/officeDocument/2006/relationships/hyperlink" Target="https://doi.org/10.1257/00028280260344678" TargetMode="External"/><Relationship Id="rId415" Type="http://schemas.openxmlformats.org/officeDocument/2006/relationships/hyperlink" Target="https://doi.org/10.1257/000282803321947001" TargetMode="External"/><Relationship Id="rId430" Type="http://schemas.openxmlformats.org/officeDocument/2006/relationships/hyperlink" Target="https://doi.org/10.1257/002205102320161311" TargetMode="External"/><Relationship Id="rId1389" Type="http://schemas.openxmlformats.org/officeDocument/2006/relationships/hyperlink" Target="https://doi.org/10.1257/0022051043004577" TargetMode="External"/><Relationship Id="rId549" Type="http://schemas.openxmlformats.org/officeDocument/2006/relationships/hyperlink" Target="https://doi.org/10.1257/aer.101.7.3427" TargetMode="External"/><Relationship Id="rId781" Type="http://schemas.openxmlformats.org/officeDocument/2006/relationships/hyperlink" Target="https://doi.org/10.1257/aer.102.6.2437" TargetMode="External"/><Relationship Id="rId178" Type="http://schemas.openxmlformats.org/officeDocument/2006/relationships/hyperlink" Target="https://doi.org/10.1257/aer.103.5.1629" TargetMode="External"/><Relationship Id="rId838" Type="http://schemas.openxmlformats.org/officeDocument/2006/relationships/hyperlink" Target="https://doi.org/10.1257/aer.103.6.2265" TargetMode="External"/><Relationship Id="rId319" Type="http://schemas.openxmlformats.org/officeDocument/2006/relationships/hyperlink" Target="https://doi.org/10.1257/aer.104.3.832" TargetMode="External"/><Relationship Id="rId177" Type="http://schemas.openxmlformats.org/officeDocument/2006/relationships/hyperlink" Target="https://doi.org/10.1257/aer.104.6.1518" TargetMode="External"/><Relationship Id="rId64" Type="http://schemas.openxmlformats.org/officeDocument/2006/relationships/hyperlink" Target="https://doi.org/10.1257/aer.106.7.1577" TargetMode="External"/><Relationship Id="rId179" Type="http://schemas.openxmlformats.org/officeDocument/2006/relationships/hyperlink" Target="https://doi.org/10.1257/aer.20120599" TargetMode="External"/><Relationship Id="rId1111" Type="http://schemas.openxmlformats.org/officeDocument/2006/relationships/hyperlink" Target="https://doi.org/10.1257/aer.20121110" TargetMode="External"/><Relationship Id="rId960" Type="http://schemas.openxmlformats.org/officeDocument/2006/relationships/hyperlink" Target="https://doi.org/10.1257/aer.20130848" TargetMode="External"/><Relationship Id="rId673" Type="http://schemas.openxmlformats.org/officeDocument/2006/relationships/hyperlink" Target="https://doi.org/10.1257/aer.20131061" TargetMode="External"/><Relationship Id="rId778" Type="http://schemas.openxmlformats.org/officeDocument/2006/relationships/hyperlink" Target="https://doi.org/10.1257/aer.20141745" TargetMode="External"/><Relationship Id="rId67" Type="http://schemas.openxmlformats.org/officeDocument/2006/relationships/hyperlink" Target="https://doi.org/10.1257/aer.20160658" TargetMode="External"/><Relationship Id="rId779" Type="http://schemas.openxmlformats.org/officeDocument/2006/relationships/hyperlink" Target="https://doi.org/10.1257/aer.20161214" TargetMode="External"/><Relationship Id="rId1433" Type="http://schemas.openxmlformats.org/officeDocument/2006/relationships/hyperlink" Target="https://doi.org/10.1257/aer.20171455" TargetMode="External"/><Relationship Id="rId840" Type="http://schemas.openxmlformats.org/officeDocument/2006/relationships/hyperlink" Target="https://doi.org/10.1257/aer.20181289" TargetMode="External"/><Relationship Id="rId1095" Type="http://schemas.openxmlformats.org/officeDocument/2006/relationships/hyperlink" Target="https://doi.org/10.1257/aer.20181506" TargetMode="External"/><Relationship Id="rId1017" Type="http://schemas.openxmlformats.org/officeDocument/2006/relationships/hyperlink" Target="https://doi.org/10.1257/aer.20190623" TargetMode="External"/><Relationship Id="rId1123" Type="http://schemas.openxmlformats.org/officeDocument/2006/relationships/hyperlink" Target="https://doi.org/10.1257/aer.62.4.659" TargetMode="External"/><Relationship Id="rId227" Type="http://schemas.openxmlformats.org/officeDocument/2006/relationships/hyperlink" Target="https://doi.org/10.1257/aer.71.4.662" TargetMode="External"/><Relationship Id="rId443" Type="http://schemas.openxmlformats.org/officeDocument/2006/relationships/hyperlink" Target="https://doi.org/10.1257/aer.89.1.103" TargetMode="External"/><Relationship Id="rId739" Type="http://schemas.openxmlformats.org/officeDocument/2006/relationships/hyperlink" Target="https://doi.org/10.1257/aer.90.4.1034" TargetMode="External"/><Relationship Id="rId427" Type="http://schemas.openxmlformats.org/officeDocument/2006/relationships/hyperlink" Target="https://doi.org/10.1257/aer.90.4.980" TargetMode="External"/><Relationship Id="rId433" Type="http://schemas.openxmlformats.org/officeDocument/2006/relationships/hyperlink" Target="https://doi.org/10.1257/aer.91.2.73" TargetMode="External"/><Relationship Id="rId425" Type="http://schemas.openxmlformats.org/officeDocument/2006/relationships/hyperlink" Target="https://doi.org/10.1257/aer.96.3.694" TargetMode="External"/><Relationship Id="rId588" Type="http://schemas.openxmlformats.org/officeDocument/2006/relationships/hyperlink" Target="https://doi.org/10.1257/aer.97.1.242" TargetMode="External"/><Relationship Id="rId247" Type="http://schemas.openxmlformats.org/officeDocument/2006/relationships/hyperlink" Target="https://doi.org/10.1257/aer.98.4.1553" TargetMode="External"/><Relationship Id="rId839" Type="http://schemas.openxmlformats.org/officeDocument/2006/relationships/hyperlink" Target="https://doi.org/10.1257/aer.99.4.1145" TargetMode="External"/><Relationship Id="rId1231" Type="http://schemas.openxmlformats.org/officeDocument/2006/relationships/hyperlink" Target="https://doi.org/10.1257/app.20130533" TargetMode="External"/><Relationship Id="rId1178" Type="http://schemas.openxmlformats.org/officeDocument/2006/relationships/hyperlink" Target="https://doi.org/10.1257/jel.45.3.686" TargetMode="External"/><Relationship Id="rId416" Type="http://schemas.openxmlformats.org/officeDocument/2006/relationships/hyperlink" Target="https://doi.org/10.1257/jel.47.2.315" TargetMode="External"/><Relationship Id="rId738" Type="http://schemas.openxmlformats.org/officeDocument/2006/relationships/hyperlink" Target="https://doi.org/10.1257/jel.49.2.326" TargetMode="External"/><Relationship Id="rId1282" Type="http://schemas.openxmlformats.org/officeDocument/2006/relationships/hyperlink" Target="https://doi.org/10.1257/jel.53.1.5" TargetMode="External"/><Relationship Id="rId1345" Type="http://schemas.openxmlformats.org/officeDocument/2006/relationships/hyperlink" Target="https://doi.org/10.1257/jel.54.2.442" TargetMode="External"/><Relationship Id="rId1484" Type="http://schemas.openxmlformats.org/officeDocument/2006/relationships/hyperlink" Target="https://doi.org/10.1257/jep.12.3.69" TargetMode="External"/><Relationship Id="rId419" Type="http://schemas.openxmlformats.org/officeDocument/2006/relationships/hyperlink" Target="https://doi.org/10.1257/jep.15.3.47" TargetMode="External"/><Relationship Id="rId63" Type="http://schemas.openxmlformats.org/officeDocument/2006/relationships/hyperlink" Target="https://doi.org/10.1257/jep.24.2.3" TargetMode="External"/><Relationship Id="rId1280" Type="http://schemas.openxmlformats.org/officeDocument/2006/relationships/hyperlink" Target="https://doi.org/10.1257/jep.27.1.103" TargetMode="External"/><Relationship Id="rId279" Type="http://schemas.openxmlformats.org/officeDocument/2006/relationships/hyperlink" Target="https://doi.org/10.1257/jep.30.2.3" TargetMode="External"/><Relationship Id="rId558" Type="http://schemas.openxmlformats.org/officeDocument/2006/relationships/hyperlink" Target="https://doi.org/10.1257/jep.31.4.163" TargetMode="External"/><Relationship Id="rId674" Type="http://schemas.openxmlformats.org/officeDocument/2006/relationships/hyperlink" Target="https://doi.org/10.1257/jep.33.2.3" TargetMode="External"/><Relationship Id="rId843" Type="http://schemas.openxmlformats.org/officeDocument/2006/relationships/hyperlink" Target="https://doi.org/10.1257/jep.9.1.99" TargetMode="External"/><Relationship Id="rId445" Type="http://schemas.openxmlformats.org/officeDocument/2006/relationships/hyperlink" Target="https://doi.org/10.1287/mksc.17.1.4" TargetMode="External"/><Relationship Id="rId450" Type="http://schemas.openxmlformats.org/officeDocument/2006/relationships/hyperlink" Target="https://doi.org/10.1287/mksc.4.3.199" TargetMode="External"/><Relationship Id="rId1344" Type="http://schemas.openxmlformats.org/officeDocument/2006/relationships/hyperlink" Target="https://doi.org/10.1287/mnsc.1050.0400" TargetMode="External"/><Relationship Id="rId460" Type="http://schemas.openxmlformats.org/officeDocument/2006/relationships/hyperlink" Target="https://doi.org/10.1287/mnsc.42.12.1676" TargetMode="External"/><Relationship Id="rId417" Type="http://schemas.openxmlformats.org/officeDocument/2006/relationships/hyperlink" Target="https://doi.org/10.1287/mnsc.46.11.1497.12080" TargetMode="External"/><Relationship Id="rId586" Type="http://schemas.openxmlformats.org/officeDocument/2006/relationships/hyperlink" Target="https://doi.org/10.1287/moor.6.1.58" TargetMode="External"/><Relationship Id="rId846" Type="http://schemas.openxmlformats.org/officeDocument/2006/relationships/hyperlink" Target="https://doi.org/10.1515/9781400863716" TargetMode="External"/><Relationship Id="rId281" Type="http://schemas.openxmlformats.org/officeDocument/2006/relationships/hyperlink" Target="https://doi.org/10.1590/0101-416146128aaa" TargetMode="External"/><Relationship Id="rId1175" Type="http://schemas.openxmlformats.org/officeDocument/2006/relationships/hyperlink" Target="https://doi.org/10.1590/S0034-71402002000400002" TargetMode="External"/><Relationship Id="rId231" Type="http://schemas.openxmlformats.org/officeDocument/2006/relationships/hyperlink" Target="https://doi.org/10.1590/S0101-41612008000200002" TargetMode="External"/><Relationship Id="rId1114" Type="http://schemas.openxmlformats.org/officeDocument/2006/relationships/hyperlink" Target="https://doi.org/10.1596/1813-9450-7020" TargetMode="External"/><Relationship Id="rId1118" Type="http://schemas.openxmlformats.org/officeDocument/2006/relationships/hyperlink" Target="https://doi.org/10.2307/144855" TargetMode="External"/><Relationship Id="rId180" Type="http://schemas.openxmlformats.org/officeDocument/2006/relationships/hyperlink" Target="https://doi.org/10.2307/145920" TargetMode="External"/><Relationship Id="rId966" Type="http://schemas.openxmlformats.org/officeDocument/2006/relationships/hyperlink" Target="https://doi.org/10.2307/1812181" TargetMode="External"/><Relationship Id="rId972" Type="http://schemas.openxmlformats.org/officeDocument/2006/relationships/hyperlink" Target="https://doi.org/10.2307/1823775" TargetMode="External"/><Relationship Id="rId589" Type="http://schemas.openxmlformats.org/officeDocument/2006/relationships/hyperlink" Target="https://doi.org/10.2307/1831115" TargetMode="External"/><Relationship Id="rId362" Type="http://schemas.openxmlformats.org/officeDocument/2006/relationships/hyperlink" Target="https://doi.org/10.2307/1879431" TargetMode="External"/><Relationship Id="rId845" Type="http://schemas.openxmlformats.org/officeDocument/2006/relationships/hyperlink" Target="https://doi.org/10.2307/1881734" TargetMode="External"/><Relationship Id="rId630" Type="http://schemas.openxmlformats.org/officeDocument/2006/relationships/hyperlink" Target="https://doi.org/10.2307/1882010" TargetMode="External"/><Relationship Id="rId414" Type="http://schemas.openxmlformats.org/officeDocument/2006/relationships/hyperlink" Target="https://doi.org/10.2307/1884324" TargetMode="External"/><Relationship Id="rId634" Type="http://schemas.openxmlformats.org/officeDocument/2006/relationships/hyperlink" Target="https://doi.org/10.2307/1885060" TargetMode="External"/><Relationship Id="rId631" Type="http://schemas.openxmlformats.org/officeDocument/2006/relationships/hyperlink" Target="https://doi.org/10.2307/1885326" TargetMode="External"/><Relationship Id="rId418" Type="http://schemas.openxmlformats.org/officeDocument/2006/relationships/hyperlink" Target="https://doi.org/10.2307/1907921" TargetMode="External"/><Relationship Id="rId844" Type="http://schemas.openxmlformats.org/officeDocument/2006/relationships/hyperlink" Target="https://doi.org/10.2307/1910538" TargetMode="External"/><Relationship Id="rId555" Type="http://schemas.openxmlformats.org/officeDocument/2006/relationships/hyperlink" Target="https://doi.org/10.2307/1911307" TargetMode="External"/><Relationship Id="rId556" Type="http://schemas.openxmlformats.org/officeDocument/2006/relationships/hyperlink" Target="https://doi.org/10.2307/1911462" TargetMode="External"/><Relationship Id="rId587" Type="http://schemas.openxmlformats.org/officeDocument/2006/relationships/hyperlink" Target="https://doi.org/10.2307/1911865" TargetMode="External"/><Relationship Id="rId545" Type="http://schemas.openxmlformats.org/officeDocument/2006/relationships/hyperlink" Target="https://doi.org/10.2307/1912531" TargetMode="External"/><Relationship Id="rId551" Type="http://schemas.openxmlformats.org/officeDocument/2006/relationships/hyperlink" Target="https://doi.org/10.2307/1912660" TargetMode="External"/><Relationship Id="rId635" Type="http://schemas.openxmlformats.org/officeDocument/2006/relationships/hyperlink" Target="https://doi.org/10.2307/1913390" TargetMode="External"/><Relationship Id="rId366" Type="http://schemas.openxmlformats.org/officeDocument/2006/relationships/hyperlink" Target="https://doi.org/10.2307/1913738" TargetMode="External"/><Relationship Id="rId359" Type="http://schemas.openxmlformats.org/officeDocument/2006/relationships/hyperlink" Target="https://doi.org/10.2307/1914185" TargetMode="External"/><Relationship Id="rId971" Type="http://schemas.openxmlformats.org/officeDocument/2006/relationships/hyperlink" Target="https://doi.org/10.2307/1923808" TargetMode="External"/><Relationship Id="rId1287" Type="http://schemas.openxmlformats.org/officeDocument/2006/relationships/hyperlink" Target="https://doi.org/10.2307/1925895" TargetMode="External"/><Relationship Id="rId685" Type="http://schemas.openxmlformats.org/officeDocument/2006/relationships/hyperlink" Target="https://doi.org/10.2307/1926047" TargetMode="External"/><Relationship Id="rId675" Type="http://schemas.openxmlformats.org/officeDocument/2006/relationships/hyperlink" Target="https://doi.org/10.2307/1926559" TargetMode="External"/><Relationship Id="rId181" Type="http://schemas.openxmlformats.org/officeDocument/2006/relationships/hyperlink" Target="https://doi.org/10.2307/1927286" TargetMode="External"/><Relationship Id="rId510" Type="http://schemas.openxmlformats.org/officeDocument/2006/relationships/hyperlink" Target="https://doi.org/10.2307/1969529" TargetMode="External"/><Relationship Id="rId65" Type="http://schemas.openxmlformats.org/officeDocument/2006/relationships/hyperlink" Target="https://doi.org/10.2307/2118030" TargetMode="External"/><Relationship Id="rId315" Type="http://schemas.openxmlformats.org/officeDocument/2006/relationships/hyperlink" Target="https://doi.org/10.2307/2171802" TargetMode="External"/><Relationship Id="rId780" Type="http://schemas.openxmlformats.org/officeDocument/2006/relationships/hyperlink" Target="https://doi.org/10.2307/2171831" TargetMode="External"/><Relationship Id="rId848" Type="http://schemas.openxmlformats.org/officeDocument/2006/relationships/hyperlink" Target="https://doi.org/10.2307/2222721" TargetMode="External"/><Relationship Id="rId547" Type="http://schemas.openxmlformats.org/officeDocument/2006/relationships/hyperlink" Target="https://doi.org/10.2307/2231658" TargetMode="External"/><Relationship Id="rId969" Type="http://schemas.openxmlformats.org/officeDocument/2006/relationships/hyperlink" Target="https://doi.org/10.2307/2231972" TargetMode="External"/><Relationship Id="rId361" Type="http://schemas.openxmlformats.org/officeDocument/2006/relationships/hyperlink" Target="https://doi.org/10.2307/2234337" TargetMode="External"/><Relationship Id="rId363" Type="http://schemas.openxmlformats.org/officeDocument/2006/relationships/hyperlink" Target="https://doi.org/10.2307/2296612" TargetMode="External"/><Relationship Id="rId554" Type="http://schemas.openxmlformats.org/officeDocument/2006/relationships/hyperlink" Target="https://doi.org/10.2307/2296617" TargetMode="External"/><Relationship Id="rId1288" Type="http://schemas.openxmlformats.org/officeDocument/2006/relationships/hyperlink" Target="https://doi.org/10.2307/2296698" TargetMode="External"/><Relationship Id="rId1235" Type="http://schemas.openxmlformats.org/officeDocument/2006/relationships/hyperlink" Target="https://doi.org/10.2307/2296779" TargetMode="External"/><Relationship Id="rId1122" Type="http://schemas.openxmlformats.org/officeDocument/2006/relationships/hyperlink" Target="https://doi.org/10.2307/2525981" TargetMode="External"/><Relationship Id="rId552" Type="http://schemas.openxmlformats.org/officeDocument/2006/relationships/hyperlink" Target="https://doi.org/10.2307/2937866" TargetMode="External"/><Relationship Id="rId687" Type="http://schemas.openxmlformats.org/officeDocument/2006/relationships/hyperlink" Target="https://doi.org/10.2307/2946695" TargetMode="External"/><Relationship Id="rId447" Type="http://schemas.openxmlformats.org/officeDocument/2006/relationships/hyperlink" Target="https://doi.org/10.2307/2967612" TargetMode="External"/><Relationship Id="rId444" Type="http://schemas.openxmlformats.org/officeDocument/2006/relationships/hyperlink" Target="https://doi.org/10.2307/2998573" TargetMode="External"/><Relationship Id="rId973" Type="http://schemas.openxmlformats.org/officeDocument/2006/relationships/hyperlink" Target="https://doi.org/10.2307/3003237" TargetMode="External"/><Relationship Id="rId1233" Type="http://schemas.openxmlformats.org/officeDocument/2006/relationships/hyperlink" Target="https://doi.org/10.2307/3003320" TargetMode="External"/><Relationship Id="rId544" Type="http://schemas.openxmlformats.org/officeDocument/2006/relationships/hyperlink" Target="https://doi.org/10.2307/3003634" TargetMode="External"/><Relationship Id="rId498" Type="http://schemas.openxmlformats.org/officeDocument/2006/relationships/hyperlink" Target="https://doi.org/10.2307/3003636" TargetMode="External"/><Relationship Id="rId841" Type="http://schemas.openxmlformats.org/officeDocument/2006/relationships/hyperlink" Target="https://doi.org/10.3386/w21439" TargetMode="External"/><Relationship Id="rId672" Type="http://schemas.openxmlformats.org/officeDocument/2006/relationships/hyperlink" Target="https://doi.org/10.3982/ECTA12807" TargetMode="External"/><Relationship Id="rId842" Type="http://schemas.openxmlformats.org/officeDocument/2006/relationships/hyperlink" Target="https://doi.org/10.3982/ECTA3959" TargetMode="External"/><Relationship Id="rId1094" Type="http://schemas.openxmlformats.org/officeDocument/2006/relationships/hyperlink" Target="https://ilostat.ilo.org" TargetMode="External"/><Relationship Id="rId349" Type="http://schemas.openxmlformats.org/officeDocument/2006/relationships/hyperlink" Target="https://loterias.caixa.gov.br/Paginas/Mega-Sena.aspx" TargetMode="External"/><Relationship Id="rId847" Type="http://schemas.openxmlformats.org/officeDocument/2006/relationships/hyperlink" Target="https://oll.libertyfund.org/title/marshall-principles-of-economics-8th-ed" TargetMode="External"/><Relationship Id="rId1492" Type="http://schemas.openxmlformats.org/officeDocument/2006/relationships/hyperlink" Target="https://oll.libertyfund.org/title/pigou-the-economics-of-welfare" TargetMode="External"/><Relationship Id="rId438" Type="http://schemas.openxmlformats.org/officeDocument/2006/relationships/hyperlink" Target="https://repositorio.fgv.br/items/1256bbfa-2e9a-4a58-8787-eed63f10d1cb" TargetMode="External"/><Relationship Id="rId671" Type="http://schemas.openxmlformats.org/officeDocument/2006/relationships/hyperlink" Target="https://repositorio.ipea.gov.br" TargetMode="External"/><Relationship Id="rId676" Type="http://schemas.openxmlformats.org/officeDocument/2006/relationships/hyperlink" Target="https://repositorio.ipea.gov.br/entities/publication/c9dd506b-0768-4cac-9b67-aaa1fdbb159a" TargetMode="External"/><Relationship Id="rId232" Type="http://schemas.openxmlformats.org/officeDocument/2006/relationships/hyperlink" Target="https://repositorio.ipea.gov.br/handle/11058/1482" TargetMode="External"/><Relationship Id="rId182" Type="http://schemas.openxmlformats.org/officeDocument/2006/relationships/hyperlink" Target="https://repositorio.ipea.gov.br/handle/11058/3249" TargetMode="External"/><Relationship Id="rId1475" Type="http://schemas.openxmlformats.org/officeDocument/2006/relationships/hyperlink" Target="https://seeg.eco.br" TargetMode="External"/><Relationship Id="rId1270" Type="http://schemas.openxmlformats.org/officeDocument/2006/relationships/hyperlink" Target="https://seeg.eco.br/" TargetMode="External"/><Relationship Id="rId168" Type="http://schemas.openxmlformats.org/officeDocument/2006/relationships/hyperlink" Target="https://sidra.ibge.gov.br" TargetMode="External"/><Relationship Id="rId1093" Type="http://schemas.openxmlformats.org/officeDocument/2006/relationships/hyperlink" Target="https://stats.oecd.org" TargetMode="External"/><Relationship Id="rId1336" Type="http://schemas.openxmlformats.org/officeDocument/2006/relationships/hyperlink" Target="https://trends.google.com.br/" TargetMode="External"/><Relationship Id="rId484" Type="http://schemas.openxmlformats.org/officeDocument/2006/relationships/hyperlink" Target="https://www.anac.gov.br" TargetMode="External"/><Relationship Id="rId473" Type="http://schemas.openxmlformats.org/officeDocument/2006/relationships/hyperlink" Target="https://www.anatel.gov.br" TargetMode="External"/><Relationship Id="rId1335" Type="http://schemas.openxmlformats.org/officeDocument/2006/relationships/hyperlink" Target="https://www.anatel.gov.br/dados/" TargetMode="External"/><Relationship Id="rId243" Type="http://schemas.openxmlformats.org/officeDocument/2006/relationships/hyperlink" Target="https://www.aneel.gov.br" TargetMode="External"/><Relationship Id="rId730" Type="http://schemas.openxmlformats.org/officeDocument/2006/relationships/hyperlink" Target="https://www.aneel.gov.br/dados-abertos" TargetMode="External"/><Relationship Id="rId350" Type="http://schemas.openxmlformats.org/officeDocument/2006/relationships/hyperlink" Target="https://www.b3.com.br/pt_br/market-data-e-indices/" TargetMode="External"/><Relationship Id="rId215" Type="http://schemas.openxmlformats.org/officeDocument/2006/relationships/hyperlink" Target="https://www.bcb.gov.br" TargetMode="External"/><Relationship Id="rId1163" Type="http://schemas.openxmlformats.org/officeDocument/2006/relationships/hyperlink" Target="https://www.bcb.gov.br/estatisticas" TargetMode="External"/><Relationship Id="rId1157" Type="http://schemas.openxmlformats.org/officeDocument/2006/relationships/hyperlink" Target="https://www.bndes.gov.br" TargetMode="External"/><Relationship Id="rId184" Type="http://schemas.openxmlformats.org/officeDocument/2006/relationships/hyperlink" Target="https://www.cambridge.org/core/books/abs/mathematical-economics/representation-of-a-preference-ordering-by-a-numerical-function/009AEFFF2E07235C5BBFFEF226353FE8" TargetMode="External"/><Relationship Id="rId288" Type="http://schemas.openxmlformats.org/officeDocument/2006/relationships/hyperlink" Target="https://www.cepea.esalq.usp.br" TargetMode="External"/><Relationship Id="rId659" Type="http://schemas.openxmlformats.org/officeDocument/2006/relationships/hyperlink" Target="https://www.conab.gov.br" TargetMode="External"/><Relationship Id="rId1286" Type="http://schemas.openxmlformats.org/officeDocument/2006/relationships/hyperlink" Target="https://www.econlib.org/library/NPDBooks/Pigou/pgEW.html" TargetMode="External"/><Relationship Id="rId345" Type="http://schemas.openxmlformats.org/officeDocument/2006/relationships/hyperlink" Target="https://www.embrapa.br" TargetMode="External"/><Relationship Id="rId916" Type="http://schemas.openxmlformats.org/officeDocument/2006/relationships/hyperlink" Target="https://www.gov.br/ana" TargetMode="External"/><Relationship Id="rId1209" Type="http://schemas.openxmlformats.org/officeDocument/2006/relationships/hyperlink" Target="https://www.gov.br/anatel" TargetMode="External"/><Relationship Id="rId190" Type="http://schemas.openxmlformats.org/officeDocument/2006/relationships/hyperlink" Target="https://www.gov.br/anp" TargetMode="External"/><Relationship Id="rId1164" Type="http://schemas.openxmlformats.org/officeDocument/2006/relationships/hyperlink" Target="https://www.gov.br/anp/pt-br/centrais-de-conteudo/dados-abertos" TargetMode="External"/><Relationship Id="rId1198" Type="http://schemas.openxmlformats.org/officeDocument/2006/relationships/hyperlink" Target="https://www.gov.br/ans" TargetMode="External"/><Relationship Id="rId316" Type="http://schemas.openxmlformats.org/officeDocument/2006/relationships/hyperlink" Target="https://www.gov.br/cade" TargetMode="External"/><Relationship Id="rId951" Type="http://schemas.openxmlformats.org/officeDocument/2006/relationships/hyperlink" Target="https://www.gov.br/cade/pt-br" TargetMode="External"/><Relationship Id="rId1016" Type="http://schemas.openxmlformats.org/officeDocument/2006/relationships/hyperlink" Target="https://www.gov.br/cade/pt-br/assuntos/noticias/cade-multa-em-r-535-1-milhoes-cartel-de-trens-e-metros" TargetMode="External"/><Relationship Id="rId693" Type="http://schemas.openxmlformats.org/officeDocument/2006/relationships/hyperlink" Target="https://www.gov.br/empresas-e-negocios/pt-br/empreendedor" TargetMode="External"/><Relationship Id="rId198" Type="http://schemas.openxmlformats.org/officeDocument/2006/relationships/hyperlink" Target="https://www.gov.br/mds" TargetMode="External"/><Relationship Id="rId404" Type="http://schemas.openxmlformats.org/officeDocument/2006/relationships/hyperlink" Target="https://www.gov.br/previc/pt-br" TargetMode="External"/><Relationship Id="rId1424" Type="http://schemas.openxmlformats.org/officeDocument/2006/relationships/hyperlink" Target="https://www.gov.br/saude/pt-br/composicao/sectics/farmacia-popular" TargetMode="External"/><Relationship Id="rId1221" Type="http://schemas.openxmlformats.org/officeDocument/2006/relationships/hyperlink" Target="https://www.gov.br/susep/pt-br/acesso-a-informacao/dados-abertos" TargetMode="External"/><Relationship Id="rId1082" Type="http://schemas.openxmlformats.org/officeDocument/2006/relationships/hyperlink" Target="https://www.gov.br/trabalho" TargetMode="External"/><Relationship Id="rId35" Type="http://schemas.openxmlformats.org/officeDocument/2006/relationships/hyperlink" Target="https://www.ibge.gov.br" TargetMode="External"/><Relationship Id="rId185" Type="http://schemas.openxmlformats.org/officeDocument/2006/relationships/hyperlink" Target="https://www.ibge.gov.br/estatisticas/sociais/rendimento-despesa-e-consumo/9050-pesquisa-de-orcamentos-familiares.html" TargetMode="External"/><Relationship Id="rId34" Type="http://schemas.openxmlformats.org/officeDocument/2006/relationships/hyperlink" Target="https://www.ibge.gov.br/estatisticas/sociais/trabalho/17270-pnad-continua.html" TargetMode="External"/><Relationship Id="rId169" Type="http://schemas.openxmlformats.org/officeDocument/2006/relationships/hyperlink" Target="https://www.ibge.gov.br/estatisticas/sociais/trabalho/9171-pesquisa-nacional-por-amostra-de-domicilios-continua-mensal.html" TargetMode="External"/><Relationship Id="rId684" Type="http://schemas.openxmlformats.org/officeDocument/2006/relationships/hyperlink" Target="https://www.intrinseca.com.br/livro/o-capital-no-seculo-xxi/" TargetMode="External"/><Relationship Id="rId214" Type="http://schemas.openxmlformats.org/officeDocument/2006/relationships/hyperlink" Target="https://www.ipea.gov.br" TargetMode="External"/><Relationship Id="rId270" Type="http://schemas.openxmlformats.org/officeDocument/2006/relationships/hyperlink" Target="https://www.ipeadata.gov.br" TargetMode="External"/><Relationship Id="rId1121" Type="http://schemas.openxmlformats.org/officeDocument/2006/relationships/hyperlink" Target="https://www.jstor.org/stable/1803906" TargetMode="External"/><Relationship Id="rId226" Type="http://schemas.openxmlformats.org/officeDocument/2006/relationships/hyperlink" Target="https://www.jstor.org/stable/1805222" TargetMode="External"/><Relationship Id="rId277" Type="http://schemas.openxmlformats.org/officeDocument/2006/relationships/hyperlink" Target="https://www.jstor.org/stable/1805921" TargetMode="External"/><Relationship Id="rId282" Type="http://schemas.openxmlformats.org/officeDocument/2006/relationships/hyperlink" Target="https://www.jstor.org/stable/1806997" TargetMode="External"/><Relationship Id="rId678" Type="http://schemas.openxmlformats.org/officeDocument/2006/relationships/hyperlink" Target="https://www.jstor.org/stable/1811556" TargetMode="External"/><Relationship Id="rId278" Type="http://schemas.openxmlformats.org/officeDocument/2006/relationships/hyperlink" Target="https://www.jstor.org/stable/1816031" TargetMode="External"/><Relationship Id="rId1124" Type="http://schemas.openxmlformats.org/officeDocument/2006/relationships/hyperlink" Target="https://www.jstor.org/stable/1818907" TargetMode="External"/><Relationship Id="rId1112" Type="http://schemas.openxmlformats.org/officeDocument/2006/relationships/hyperlink" Target="https://www.jstor.org/stable/2118030" TargetMode="External"/><Relationship Id="rId318" Type="http://schemas.openxmlformats.org/officeDocument/2006/relationships/hyperlink" Target="https://www.jstor.org/stable/2118240" TargetMode="External"/><Relationship Id="rId680" Type="http://schemas.openxmlformats.org/officeDocument/2006/relationships/hyperlink" Target="https://www.macmillanlearning.com/college/us/product/Microeconomics/p/1319245420" TargetMode="External"/><Relationship Id="rId1490" Type="http://schemas.openxmlformats.org/officeDocument/2006/relationships/hyperlink" Target="https://www.nobelprize.org/prizes/economic-sciences/2018/nordhaus/lecture/" TargetMode="External"/><Relationship Id="rId216" Type="http://schemas.openxmlformats.org/officeDocument/2006/relationships/hyperlink" Target="https://www.portaldocomercio.org.br" TargetMode="External"/><Relationship Id="rId1351" Type="http://schemas.openxmlformats.org/officeDocument/2006/relationships/hyperlink" Target="https://www.povertyactionlab.org/about-j-pal" TargetMode="External"/><Relationship Id="rId786" Type="http://schemas.openxmlformats.org/officeDocument/2006/relationships/hyperlink" Target="https://www.sebrae.com.br" TargetMode="External"/><Relationship Id="rId1272" Type="http://schemas.openxmlformats.org/officeDocument/2006/relationships/hyperlink" Target="https://www.snirh.gov.br/" TargetMode="External"/><Relationship Id="rId344" Type="http://schemas.openxmlformats.org/officeDocument/2006/relationships/hyperlink" Target="https://www.susep.gov.br" TargetMode="External"/><Relationship Id="rId1156" Type="http://schemas.openxmlformats.org/officeDocument/2006/relationships/hyperlink" Target="https://www.tesouronacional.fazenda.gov.br" TargetMode="External"/><Relationship Id="rId1456" Type="http://schemas.openxmlformats.org/officeDocument/2006/relationships/hyperlink" Target="https://www.unep.org/resources/emissions-gap-report-2023" TargetMode="External"/></Relationships>
</file>

<file path=word/_rels/footnotes.xml.rels><?xml version='1.0' encoding='UTF-8' standalone='yes'?>
<Relationships xmlns="http://schemas.openxmlformats.org/package/2006/relationships"><Relationship Id="rId526" Type="http://schemas.openxmlformats.org/officeDocument/2006/relationships/hyperlink" Target="http://antigo.cade.gov.br/noticias/cade-multa-em-r-3-1-bilhoes-o-cartel-do-cimento" TargetMode="External"/><Relationship Id="rId832" Type="http://schemas.openxmlformats.org/officeDocument/2006/relationships/hyperlink" Target="http://comexstat.mdic.gov.br" TargetMode="External"/><Relationship Id="rId1474" Type="http://schemas.openxmlformats.org/officeDocument/2006/relationships/hyperlink" Target="http://terrabrasilis.dpi.inpe.br" TargetMode="External"/><Relationship Id="rId1271" Type="http://schemas.openxmlformats.org/officeDocument/2006/relationships/hyperlink" Target="http://terrabrasilis.dpi.inpe.br/" TargetMode="External"/><Relationship Id="rId1454" Type="http://schemas.openxmlformats.org/officeDocument/2006/relationships/hyperlink" Target="http://www.fundoamazonia.gov.br" TargetMode="External"/><Relationship Id="rId1472" Type="http://schemas.openxmlformats.org/officeDocument/2006/relationships/hyperlink" Target="http://www.obt.inpe.br/OBT/assuntos/programas/amazonia/prodes" TargetMode="External"/><Relationship Id="rId69" Type="http://schemas.openxmlformats.org/officeDocument/2006/relationships/hyperlink" Target="https://archive.org/details/scopeandmethodo00telerich" TargetMode="External"/><Relationship Id="rId1080" Type="http://schemas.openxmlformats.org/officeDocument/2006/relationships/hyperlink" Target="https://bi.mte.gov.br/bgcaged/" TargetMode="External"/><Relationship Id="rId679" Type="http://schemas.openxmlformats.org/officeDocument/2006/relationships/hyperlink" Target="https://bibliotecadigital.fgv.br/dspace/handle/10438/916" TargetMode="External"/><Relationship Id="rId1117" Type="http://schemas.openxmlformats.org/officeDocument/2006/relationships/hyperlink" Target="https://books.google.com.br/books?id=9t69iICmrZ0C" TargetMode="External"/><Relationship Id="rId440" Type="http://schemas.openxmlformats.org/officeDocument/2006/relationships/hyperlink" Target="https://books.google.com.br/books?id=AcBLAAAAMAAJ" TargetMode="External"/><Relationship Id="rId183" Type="http://schemas.openxmlformats.org/officeDocument/2006/relationships/hyperlink" Target="https://books.google.com.br/books?id=BeoengEACAAJ" TargetMode="External"/><Relationship Id="rId186" Type="http://schemas.openxmlformats.org/officeDocument/2006/relationships/hyperlink" Target="https://books.google.com.br/books?id=LSb8oAEACAAJ" TargetMode="External"/><Relationship Id="rId1491" Type="http://schemas.openxmlformats.org/officeDocument/2006/relationships/hyperlink" Target="https://books.google.com.br/books?id=TN4VCgAAQBAJ" TargetMode="External"/><Relationship Id="rId970" Type="http://schemas.openxmlformats.org/officeDocument/2006/relationships/hyperlink" Target="https://books.google.com.br/books?id=Xqf-jwEACAAJ" TargetMode="External"/><Relationship Id="rId436" Type="http://schemas.openxmlformats.org/officeDocument/2006/relationships/hyperlink" Target="https://books.google.com.br/books?id=ZuKTvERuPG8C" TargetMode="External"/><Relationship Id="rId454" Type="http://schemas.openxmlformats.org/officeDocument/2006/relationships/hyperlink" Target="https://books.google.com.br/books?id=dSJQn8egXvUC" TargetMode="External"/><Relationship Id="rId1493" Type="http://schemas.openxmlformats.org/officeDocument/2006/relationships/hyperlink" Target="https://books.google.com.br/books?id=e-J9DwAAQBAJ" TargetMode="External"/><Relationship Id="rId230" Type="http://schemas.openxmlformats.org/officeDocument/2006/relationships/hyperlink" Target="https://books.google.com.br/books?id=jGs4EAAAQBAJ" TargetMode="External"/><Relationship Id="rId787" Type="http://schemas.openxmlformats.org/officeDocument/2006/relationships/hyperlink" Target="https://books.google.com.br/books?id=pg-wAAAAIAAJ" TargetMode="External"/><Relationship Id="rId1489" Type="http://schemas.openxmlformats.org/officeDocument/2006/relationships/hyperlink" Target="https://books.google.com.br/books?id=t6T4jgEACAAJ" TargetMode="External"/><Relationship Id="rId511" Type="http://schemas.openxmlformats.org/officeDocument/2006/relationships/hyperlink" Target="https://books.google.com/books/about/A_Course_in_Game_Theory.html?id=k-WLoAEACAAJ" TargetMode="External"/><Relationship Id="rId967" Type="http://schemas.openxmlformats.org/officeDocument/2006/relationships/hyperlink" Target="https://books.google.com/books/about/Barriers_to_New_Competition.html?id=KyFCAAAAIAAJ" TargetMode="External"/><Relationship Id="rId968" Type="http://schemas.openxmlformats.org/officeDocument/2006/relationships/hyperlink" Target="https://books.google.com/books/about/Contestable_Markets_and_the_Theory_of_In.html?id=N2c6AAAAIAAJ" TargetMode="External"/><Relationship Id="rId320" Type="http://schemas.openxmlformats.org/officeDocument/2006/relationships/hyperlink" Target="https://books.google.com/books/about/Economics_and_Consumer_Behavior.html?id=B81RYQsx2l0C" TargetMode="External"/><Relationship Id="rId73" Type="http://schemas.openxmlformats.org/officeDocument/2006/relationships/hyperlink" Target="https://books.google.com/books/about/Foundations_of_Economic_Analysis.html?id=lWV7HwolSeoC" TargetMode="External"/><Relationship Id="rId504" Type="http://schemas.openxmlformats.org/officeDocument/2006/relationships/hyperlink" Target="https://books.google.com/books/about/Game_Theory.html?id=pFPHKwXro3QC" TargetMode="External"/><Relationship Id="rId74" Type="http://schemas.openxmlformats.org/officeDocument/2006/relationships/hyperlink" Target="https://books.google.com/books/about/Intermediate_Microeconomics_with_Calculu.html?id=9mabDwAAQBAJ" TargetMode="External"/><Relationship Id="rId686" Type="http://schemas.openxmlformats.org/officeDocument/2006/relationships/hyperlink" Target="https://books.google.com/books/about/Microeconomic_Analysis.html?id=m20iQAAACAAJ" TargetMode="External"/><Relationship Id="rId70" Type="http://schemas.openxmlformats.org/officeDocument/2006/relationships/hyperlink" Target="https://books.google.com/books/about/Microeconomic_Theory.html?id=KGtegVXqD8wC" TargetMode="External"/><Relationship Id="rId71" Type="http://schemas.openxmlformats.org/officeDocument/2006/relationships/hyperlink" Target="https://books.google.com/books/about/Microeconomic_Theory_Basic_Principles_an.html?id=YdkhCwAAQBAJ" TargetMode="External"/><Relationship Id="rId72" Type="http://schemas.openxmlformats.org/officeDocument/2006/relationships/hyperlink" Target="https://books.google.com/books/about/Microeconomics.html?id=h6e7AAAAIAAJ" TargetMode="External"/><Relationship Id="rId1234" Type="http://schemas.openxmlformats.org/officeDocument/2006/relationships/hyperlink" Target="https://books.google.com/books/about/Putting_Auction_Theory_to_Work.html?id=kSiJnHbcfk8C" TargetMode="External"/><Relationship Id="rId1284" Type="http://schemas.openxmlformats.org/officeDocument/2006/relationships/hyperlink" Target="https://books.google.com/books/about/Social_Choice_and_Individual_Values.html?id=1W0PAQAAMAAJ" TargetMode="External"/><Relationship Id="rId974" Type="http://schemas.openxmlformats.org/officeDocument/2006/relationships/hyperlink" Target="https://books.google.com/books/about/The_Theory_of_Industrial_Organization.html?id=HIjsF0XONF8C" TargetMode="External"/><Relationship Id="rId1116" Type="http://schemas.openxmlformats.org/officeDocument/2006/relationships/hyperlink" Target="https://books.google.com/books?id=50qHcSNVVEMC" TargetMode="External"/><Relationship Id="rId68" Type="http://schemas.openxmlformats.org/officeDocument/2006/relationships/hyperlink" Target="https://books.google.com/books?id=6Uhev5fmBgUC" TargetMode="External"/><Relationship Id="rId512" Type="http://schemas.openxmlformats.org/officeDocument/2006/relationships/hyperlink" Target="https://books.google.com/books?id=7RkL4Z8Yg5AC" TargetMode="External"/><Relationship Id="rId505" Type="http://schemas.openxmlformats.org/officeDocument/2006/relationships/hyperlink" Target="https://books.google.com/books?id=8ygxf2WunAIC" TargetMode="External"/><Relationship Id="rId633" Type="http://schemas.openxmlformats.org/officeDocument/2006/relationships/hyperlink" Target="https://books.google.com/books?id=9t69iICmrZ0C" TargetMode="External"/><Relationship Id="rId426" Type="http://schemas.openxmlformats.org/officeDocument/2006/relationships/hyperlink" Target="https://books.google.com/books?id=AMBjDQAAQBAJ" TargetMode="External"/><Relationship Id="rId592" Type="http://schemas.openxmlformats.org/officeDocument/2006/relationships/hyperlink" Target="https://books.google.com/books?id=AkeHTU7XW4kC" TargetMode="External"/><Relationship Id="rId1052" Type="http://schemas.openxmlformats.org/officeDocument/2006/relationships/hyperlink" Target="https://books.google.com/books?id=J3xZnDSlfC8C" TargetMode="External"/><Relationship Id="rId503" Type="http://schemas.openxmlformats.org/officeDocument/2006/relationships/hyperlink" Target="https://books.google.com/books?id=NJZBCGbNs98C" TargetMode="External"/><Relationship Id="rId591" Type="http://schemas.openxmlformats.org/officeDocument/2006/relationships/hyperlink" Target="https://books.google.com/books?id=QDnmDVfSyhUC" TargetMode="External"/><Relationship Id="rId1007" Type="http://schemas.openxmlformats.org/officeDocument/2006/relationships/hyperlink" Target="https://books.google.com/books?id=fdsLAQAAQBAJ" TargetMode="External"/><Relationship Id="rId367" Type="http://schemas.openxmlformats.org/officeDocument/2006/relationships/hyperlink" Target="https://books.google.com/books?id=jCN5aNJ-n-0C" TargetMode="External"/><Relationship Id="rId788" Type="http://schemas.openxmlformats.org/officeDocument/2006/relationships/hyperlink" Target="https://books.google.com/books?id=ma62AAAAIAAJ" TargetMode="External"/><Relationship Id="rId849" Type="http://schemas.openxmlformats.org/officeDocument/2006/relationships/hyperlink" Target="https://books.google.com/books?id=pqQGAAAAMAAJ" TargetMode="External"/><Relationship Id="rId459" Type="http://schemas.openxmlformats.org/officeDocument/2006/relationships/hyperlink" Target="https://books.google.com/books?id=qxtHEAAAQBAJ" TargetMode="External"/><Relationship Id="rId1008" Type="http://schemas.openxmlformats.org/officeDocument/2006/relationships/hyperlink" Target="https://books.google.com/books?id=tr4CjJ5LlRcC" TargetMode="External"/><Relationship Id="rId952" Type="http://schemas.openxmlformats.org/officeDocument/2006/relationships/hyperlink" Target="https://dados.gov.br/dados/organizacoes/visualizar/agencia-nacional-de-saude-suplementar-ans" TargetMode="External"/><Relationship Id="rId1494" Type="http://schemas.openxmlformats.org/officeDocument/2006/relationships/hyperlink" Target="https://data.worldbank.org/indicator/NY.ADJ.SVNX.GN.ZS" TargetMode="External"/><Relationship Id="rId1408" Type="http://schemas.openxmlformats.org/officeDocument/2006/relationships/hyperlink" Target="https://datasus.saude.gov.br/" TargetMode="External"/><Relationship Id="rId451" Type="http://schemas.openxmlformats.org/officeDocument/2006/relationships/hyperlink" Target="https://doi.org/10.1002/(SICI)1099-0771(199912)12:4%3C183::AID-BDM318%3E3.0.CO;2-F" TargetMode="External"/><Relationship Id="rId429" Type="http://schemas.openxmlformats.org/officeDocument/2006/relationships/hyperlink" Target="https://doi.org/10.1006/game.1994.1021" TargetMode="External"/><Relationship Id="rId434" Type="http://schemas.openxmlformats.org/officeDocument/2006/relationships/hyperlink" Target="https://doi.org/10.1006/game.1994.1056" TargetMode="External"/><Relationship Id="rId422" Type="http://schemas.openxmlformats.org/officeDocument/2006/relationships/hyperlink" Target="https://doi.org/10.1006/game.1995.1027" TargetMode="External"/><Relationship Id="rId448" Type="http://schemas.openxmlformats.org/officeDocument/2006/relationships/hyperlink" Target="https://doi.org/10.1007/BF00055564" TargetMode="External"/><Relationship Id="rId457" Type="http://schemas.openxmlformats.org/officeDocument/2006/relationships/hyperlink" Target="https://doi.org/10.1007/BF00122574" TargetMode="External"/><Relationship Id="rId546" Type="http://schemas.openxmlformats.org/officeDocument/2006/relationships/hyperlink" Target="https://doi.org/10.1007/BF01299206" TargetMode="External"/><Relationship Id="rId424" Type="http://schemas.openxmlformats.org/officeDocument/2006/relationships/hyperlink" Target="https://doi.org/10.1007/bf01065371" TargetMode="External"/><Relationship Id="rId423" Type="http://schemas.openxmlformats.org/officeDocument/2006/relationships/hyperlink" Target="https://doi.org/10.1007/s11238-009-9144-4" TargetMode="External"/><Relationship Id="rId557" Type="http://schemas.openxmlformats.org/officeDocument/2006/relationships/hyperlink" Target="https://doi.org/10.1016/0022-0531(82)90029-1" TargetMode="External"/><Relationship Id="rId446" Type="http://schemas.openxmlformats.org/officeDocument/2006/relationships/hyperlink" Target="https://doi.org/10.1016/0167-2681(82)90008-7" TargetMode="External"/><Relationship Id="rId432" Type="http://schemas.openxmlformats.org/officeDocument/2006/relationships/hyperlink" Target="https://doi.org/10.1016/0167-2681(82)90011-7" TargetMode="External"/><Relationship Id="rId358" Type="http://schemas.openxmlformats.org/officeDocument/2006/relationships/hyperlink" Target="https://doi.org/10.1016/0304-3932(85)90061-3" TargetMode="External"/><Relationship Id="rId431" Type="http://schemas.openxmlformats.org/officeDocument/2006/relationships/hyperlink" Target="https://doi.org/10.1016/0304-4068(89)90018-9" TargetMode="External"/><Relationship Id="rId442" Type="http://schemas.openxmlformats.org/officeDocument/2006/relationships/hyperlink" Target="https://doi.org/10.1016/0749-5978(87)90046-X" TargetMode="External"/><Relationship Id="rId550" Type="http://schemas.openxmlformats.org/officeDocument/2006/relationships/hyperlink" Target="https://doi.org/10.1016/0899-8256(89)90024-3" TargetMode="External"/><Relationship Id="rId553" Type="http://schemas.openxmlformats.org/officeDocument/2006/relationships/hyperlink" Target="https://doi.org/10.1016/0899-8256(89)90025-5" TargetMode="External"/><Relationship Id="rId1179" Type="http://schemas.openxmlformats.org/officeDocument/2006/relationships/hyperlink" Target="https://doi.org/10.1016/S0014-2921(01)00125-8" TargetMode="External"/><Relationship Id="rId1050" Type="http://schemas.openxmlformats.org/officeDocument/2006/relationships/hyperlink" Target="https://doi.org/10.1016/S0169-7218(06)02032-9" TargetMode="External"/><Relationship Id="rId585" Type="http://schemas.openxmlformats.org/officeDocument/2006/relationships/hyperlink" Target="https://doi.org/10.1016/S1573-4412(07)06060-6" TargetMode="External"/><Relationship Id="rId449" Type="http://schemas.openxmlformats.org/officeDocument/2006/relationships/hyperlink" Target="https://doi.org/10.1016/j.ejor.2005.04.006" TargetMode="External"/><Relationship Id="rId1228" Type="http://schemas.openxmlformats.org/officeDocument/2006/relationships/hyperlink" Target="https://doi.org/10.1016/j.ijindorg.2014.02.006" TargetMode="External"/><Relationship Id="rId1173" Type="http://schemas.openxmlformats.org/officeDocument/2006/relationships/hyperlink" Target="https://doi.org/10.1016/j.jcorpfin.2012.09.009" TargetMode="External"/><Relationship Id="rId1174" Type="http://schemas.openxmlformats.org/officeDocument/2006/relationships/hyperlink" Target="https://doi.org/10.1016/j.jdeveco.2014.04.005" TargetMode="External"/><Relationship Id="rId1392" Type="http://schemas.openxmlformats.org/officeDocument/2006/relationships/hyperlink" Target="https://doi.org/10.1016/j.jeconom.2020.10.012" TargetMode="External"/><Relationship Id="rId782" Type="http://schemas.openxmlformats.org/officeDocument/2006/relationships/hyperlink" Target="https://doi.org/10.1016/j.jinteco.2003.08.004" TargetMode="External"/><Relationship Id="rId677" Type="http://schemas.openxmlformats.org/officeDocument/2006/relationships/hyperlink" Target="https://doi.org/10.1016/j.jmacro.2007.10.010" TargetMode="External"/><Relationship Id="rId1049" Type="http://schemas.openxmlformats.org/officeDocument/2006/relationships/hyperlink" Target="https://doi.org/10.1016/j.jpubeco.2017.09.004" TargetMode="External"/><Relationship Id="rId1120" Type="http://schemas.openxmlformats.org/officeDocument/2006/relationships/hyperlink" Target="https://doi.org/10.1016/j.labeco.2008.07.002" TargetMode="External"/><Relationship Id="rId1279" Type="http://schemas.openxmlformats.org/officeDocument/2006/relationships/hyperlink" Target="https://doi.org/10.1016/j.tra.2008.09.007" TargetMode="External"/><Relationship Id="rId1281" Type="http://schemas.openxmlformats.org/officeDocument/2006/relationships/hyperlink" Target="https://doi.org/10.1017/CBO9780511807763" TargetMode="External"/><Relationship Id="rId1485" Type="http://schemas.openxmlformats.org/officeDocument/2006/relationships/hyperlink" Target="https://doi.org/10.1017/CBO9780511817434" TargetMode="External"/><Relationship Id="rId441" Type="http://schemas.openxmlformats.org/officeDocument/2006/relationships/hyperlink" Target="https://doi.org/10.1023/a:1009989907258" TargetMode="External"/><Relationship Id="rId428" Type="http://schemas.openxmlformats.org/officeDocument/2006/relationships/hyperlink" Target="https://doi.org/10.1037/0096-1523.1.3.288" TargetMode="External"/><Relationship Id="rId508" Type="http://schemas.openxmlformats.org/officeDocument/2006/relationships/hyperlink" Target="https://doi.org/10.1038/246015a0" TargetMode="External"/><Relationship Id="rId1483" Type="http://schemas.openxmlformats.org/officeDocument/2006/relationships/hyperlink" Target="https://doi.org/10.1073/pnas.1609244114" TargetMode="External"/><Relationship Id="rId509" Type="http://schemas.openxmlformats.org/officeDocument/2006/relationships/hyperlink" Target="https://doi.org/10.1073/pnas.36.1.48" TargetMode="External"/><Relationship Id="rId506" Type="http://schemas.openxmlformats.org/officeDocument/2006/relationships/hyperlink" Target="https://doi.org/10.1080/10691898.2004.11910738" TargetMode="External"/><Relationship Id="rId458" Type="http://schemas.openxmlformats.org/officeDocument/2006/relationships/hyperlink" Target="https://doi.org/10.1080/17470216008416717" TargetMode="External"/><Relationship Id="rId1177" Type="http://schemas.openxmlformats.org/officeDocument/2006/relationships/hyperlink" Target="https://doi.org/10.1086/254195" TargetMode="External"/><Relationship Id="rId785" Type="http://schemas.openxmlformats.org/officeDocument/2006/relationships/hyperlink" Target="https://doi.org/10.1086/254387" TargetMode="External"/><Relationship Id="rId365" Type="http://schemas.openxmlformats.org/officeDocument/2006/relationships/hyperlink" Target="https://doi.org/10.1086/256692" TargetMode="External"/><Relationship Id="rId1388" Type="http://schemas.openxmlformats.org/officeDocument/2006/relationships/hyperlink" Target="https://doi.org/10.1086/258609" TargetMode="External"/><Relationship Id="rId681" Type="http://schemas.openxmlformats.org/officeDocument/2006/relationships/hyperlink" Target="https://doi.org/10.1086/258782" TargetMode="External"/><Relationship Id="rId317" Type="http://schemas.openxmlformats.org/officeDocument/2006/relationships/hyperlink" Target="https://doi.org/10.1086/260169" TargetMode="External"/><Relationship Id="rId961" Type="http://schemas.openxmlformats.org/officeDocument/2006/relationships/hyperlink" Target="https://doi.org/10.1086/260357" TargetMode="External"/><Relationship Id="rId737" Type="http://schemas.openxmlformats.org/officeDocument/2006/relationships/hyperlink" Target="https://doi.org/10.1086/260470" TargetMode="External"/><Relationship Id="rId453" Type="http://schemas.openxmlformats.org/officeDocument/2006/relationships/hyperlink" Target="https://doi.org/10.1086/260971" TargetMode="External"/><Relationship Id="rId784" Type="http://schemas.openxmlformats.org/officeDocument/2006/relationships/hyperlink" Target="https://doi.org/10.1086/261729" TargetMode="External"/><Relationship Id="rId437" Type="http://schemas.openxmlformats.org/officeDocument/2006/relationships/hyperlink" Target="https://doi.org/10.1086/261737" TargetMode="External"/><Relationship Id="rId496" Type="http://schemas.openxmlformats.org/officeDocument/2006/relationships/hyperlink" Target="https://doi.org/10.1086/261786" TargetMode="External"/><Relationship Id="rId962" Type="http://schemas.openxmlformats.org/officeDocument/2006/relationships/hyperlink" Target="https://doi.org/10.1086/261950" TargetMode="External"/><Relationship Id="rId357" Type="http://schemas.openxmlformats.org/officeDocument/2006/relationships/hyperlink" Target="https://doi.org/10.1086/262111" TargetMode="External"/><Relationship Id="rId364" Type="http://schemas.openxmlformats.org/officeDocument/2006/relationships/hyperlink" Target="https://doi.org/10.1086/317671" TargetMode="External"/><Relationship Id="rId452" Type="http://schemas.openxmlformats.org/officeDocument/2006/relationships/hyperlink" Target="https://doi.org/10.1086/380085" TargetMode="External"/><Relationship Id="rId1285" Type="http://schemas.openxmlformats.org/officeDocument/2006/relationships/hyperlink" Target="https://doi.org/10.1086/466560" TargetMode="External"/><Relationship Id="rId559" Type="http://schemas.openxmlformats.org/officeDocument/2006/relationships/hyperlink" Target="https://doi.org/10.1086/649801" TargetMode="External"/><Relationship Id="rId1113" Type="http://schemas.openxmlformats.org/officeDocument/2006/relationships/hyperlink" Target="https://doi.org/10.1086/717899" TargetMode="External"/><Relationship Id="rId1487" Type="http://schemas.openxmlformats.org/officeDocument/2006/relationships/hyperlink" Target="https://doi.org/10.1086/720988" TargetMode="External"/><Relationship Id="rId1018" Type="http://schemas.openxmlformats.org/officeDocument/2006/relationships/hyperlink" Target="https://doi.org/10.1086/726906" TargetMode="External"/><Relationship Id="rId965" Type="http://schemas.openxmlformats.org/officeDocument/2006/relationships/hyperlink" Target="https://doi.org/10.1093/qje/120.2.701" TargetMode="External"/><Relationship Id="rId1119" Type="http://schemas.openxmlformats.org/officeDocument/2006/relationships/hyperlink" Target="https://doi.org/10.1093/qje/qjab012" TargetMode="External"/><Relationship Id="rId683" Type="http://schemas.openxmlformats.org/officeDocument/2006/relationships/hyperlink" Target="https://doi.org/10.1093/qje/qjt032" TargetMode="External"/><Relationship Id="rId420" Type="http://schemas.openxmlformats.org/officeDocument/2006/relationships/hyperlink" Target="https://doi.org/10.1093/qje/qjv020" TargetMode="External"/><Relationship Id="rId176" Type="http://schemas.openxmlformats.org/officeDocument/2006/relationships/hyperlink" Target="https://doi.org/10.1093/qje/qjy013" TargetMode="External"/><Relationship Id="rId959" Type="http://schemas.openxmlformats.org/officeDocument/2006/relationships/hyperlink" Target="https://doi.org/10.1093/qje/qjz041" TargetMode="External"/><Relationship Id="rId1486" Type="http://schemas.openxmlformats.org/officeDocument/2006/relationships/hyperlink" Target="https://doi.org/10.1093/reep/res015" TargetMode="External"/><Relationship Id="rId500" Type="http://schemas.openxmlformats.org/officeDocument/2006/relationships/hyperlink" Target="https://doi.org/10.1111/1468-0262.00054" TargetMode="External"/><Relationship Id="rId360" Type="http://schemas.openxmlformats.org/officeDocument/2006/relationships/hyperlink" Target="https://doi.org/10.1111/1468-0262.00158" TargetMode="External"/><Relationship Id="rId1005" Type="http://schemas.openxmlformats.org/officeDocument/2006/relationships/hyperlink" Target="https://doi.org/10.1111/1468-0262.00194" TargetMode="External"/><Relationship Id="rId66" Type="http://schemas.openxmlformats.org/officeDocument/2006/relationships/hyperlink" Target="https://doi.org/10.1111/1468-0262.00335" TargetMode="External"/><Relationship Id="rId228" Type="http://schemas.openxmlformats.org/officeDocument/2006/relationships/hyperlink" Target="https://doi.org/10.1111/1468-0262.00394" TargetMode="External"/><Relationship Id="rId740" Type="http://schemas.openxmlformats.org/officeDocument/2006/relationships/hyperlink" Target="https://doi.org/10.1111/1468-2354.t01-1-00101" TargetMode="External"/><Relationship Id="rId963" Type="http://schemas.openxmlformats.org/officeDocument/2006/relationships/hyperlink" Target="https://doi.org/10.1111/1468-2354.t01-1-00106" TargetMode="External"/><Relationship Id="rId439" Type="http://schemas.openxmlformats.org/officeDocument/2006/relationships/hyperlink" Target="https://doi.org/10.1111/j.1468-0262.2005.00640.x" TargetMode="External"/><Relationship Id="rId499" Type="http://schemas.openxmlformats.org/officeDocument/2006/relationships/hyperlink" Target="https://doi.org/10.1111/j.1468-0262.2007.00796.x" TargetMode="External"/><Relationship Id="rId225" Type="http://schemas.openxmlformats.org/officeDocument/2006/relationships/hyperlink" Target="https://doi.org/10.1111/j.1468-0297.2011.02473.x" TargetMode="External"/><Relationship Id="rId783" Type="http://schemas.openxmlformats.org/officeDocument/2006/relationships/hyperlink" Target="https://doi.org/10.1111/j.1468-0335.1937.tb00002.x" TargetMode="External"/><Relationship Id="rId593" Type="http://schemas.openxmlformats.org/officeDocument/2006/relationships/hyperlink" Target="https://doi.org/10.1111/j.1540-6261.1961.tb02789.x" TargetMode="External"/><Relationship Id="rId1180" Type="http://schemas.openxmlformats.org/officeDocument/2006/relationships/hyperlink" Target="https://doi.org/10.1111/j.1540-6261.1964.tb02865.x" TargetMode="External"/><Relationship Id="rId435" Type="http://schemas.openxmlformats.org/officeDocument/2006/relationships/hyperlink" Target="https://doi.org/10.1126/science.1091721" TargetMode="External"/><Relationship Id="rId455" Type="http://schemas.openxmlformats.org/officeDocument/2006/relationships/hyperlink" Target="https://doi.org/10.1126/science.185.4157.1124" TargetMode="External"/><Relationship Id="rId456" Type="http://schemas.openxmlformats.org/officeDocument/2006/relationships/hyperlink" Target="https://doi.org/10.1126/science.7455683" TargetMode="External"/><Relationship Id="rId1391" Type="http://schemas.openxmlformats.org/officeDocument/2006/relationships/hyperlink" Target="https://doi.org/10.1126/science.aaf0918" TargetMode="External"/><Relationship Id="rId1390" Type="http://schemas.openxmlformats.org/officeDocument/2006/relationships/hyperlink" Target="https://doi.org/10.1136/bmj.c2220" TargetMode="External"/><Relationship Id="rId1230" Type="http://schemas.openxmlformats.org/officeDocument/2006/relationships/hyperlink" Target="https://doi.org/10.1162/003355300554926" TargetMode="External"/><Relationship Id="rId421" Type="http://schemas.openxmlformats.org/officeDocument/2006/relationships/hyperlink" Target="https://doi.org/10.1162/003355301556400" TargetMode="External"/><Relationship Id="rId412" Type="http://schemas.openxmlformats.org/officeDocument/2006/relationships/hyperlink" Target="https://doi.org/10.1162/003355301753265543" TargetMode="External"/><Relationship Id="rId413" Type="http://schemas.openxmlformats.org/officeDocument/2006/relationships/hyperlink" Target="https://doi.org/10.1162/003355397555253" TargetMode="External"/><Relationship Id="rId411" Type="http://schemas.openxmlformats.org/officeDocument/2006/relationships/hyperlink" Target="https://doi.org/10.1162/003355399556151" TargetMode="External"/><Relationship Id="rId229" Type="http://schemas.openxmlformats.org/officeDocument/2006/relationships/hyperlink" Target="https://doi.org/10.1162/003465397557015" TargetMode="External"/><Relationship Id="rId1343" Type="http://schemas.openxmlformats.org/officeDocument/2006/relationships/hyperlink" Target="https://doi.org/10.1162/154247603322493212" TargetMode="External"/><Relationship Id="rId280" Type="http://schemas.openxmlformats.org/officeDocument/2006/relationships/hyperlink" Target="https://doi.org/10.1162/REST_a_00327" TargetMode="External"/><Relationship Id="rId1229" Type="http://schemas.openxmlformats.org/officeDocument/2006/relationships/hyperlink" Target="https://doi.org/10.1162/qjec.2010.125.3.877" TargetMode="External"/><Relationship Id="rId507" Type="http://schemas.openxmlformats.org/officeDocument/2006/relationships/hyperlink" Target="https://doi.org/10.1162/rest.88.3.463" TargetMode="External"/><Relationship Id="rId502" Type="http://schemas.openxmlformats.org/officeDocument/2006/relationships/hyperlink" Target="https://doi.org/10.1201/b23262" TargetMode="External"/><Relationship Id="rId682" Type="http://schemas.openxmlformats.org/officeDocument/2006/relationships/hyperlink" Target="https://doi.org/10.1257/00028280260136372" TargetMode="External"/><Relationship Id="rId497" Type="http://schemas.openxmlformats.org/officeDocument/2006/relationships/hyperlink" Target="https://doi.org/10.1257/00028280260344678" TargetMode="External"/><Relationship Id="rId415" Type="http://schemas.openxmlformats.org/officeDocument/2006/relationships/hyperlink" Target="https://doi.org/10.1257/000282803321947001" TargetMode="External"/><Relationship Id="rId430" Type="http://schemas.openxmlformats.org/officeDocument/2006/relationships/hyperlink" Target="https://doi.org/10.1257/002205102320161311" TargetMode="External"/><Relationship Id="rId1389" Type="http://schemas.openxmlformats.org/officeDocument/2006/relationships/hyperlink" Target="https://doi.org/10.1257/0022051043004577" TargetMode="External"/><Relationship Id="rId549" Type="http://schemas.openxmlformats.org/officeDocument/2006/relationships/hyperlink" Target="https://doi.org/10.1257/aer.101.7.3427" TargetMode="External"/><Relationship Id="rId781" Type="http://schemas.openxmlformats.org/officeDocument/2006/relationships/hyperlink" Target="https://doi.org/10.1257/aer.102.6.2437" TargetMode="External"/><Relationship Id="rId178" Type="http://schemas.openxmlformats.org/officeDocument/2006/relationships/hyperlink" Target="https://doi.org/10.1257/aer.103.5.1629" TargetMode="External"/><Relationship Id="rId838" Type="http://schemas.openxmlformats.org/officeDocument/2006/relationships/hyperlink" Target="https://doi.org/10.1257/aer.103.6.2265" TargetMode="External"/><Relationship Id="rId319" Type="http://schemas.openxmlformats.org/officeDocument/2006/relationships/hyperlink" Target="https://doi.org/10.1257/aer.104.3.832" TargetMode="External"/><Relationship Id="rId177" Type="http://schemas.openxmlformats.org/officeDocument/2006/relationships/hyperlink" Target="https://doi.org/10.1257/aer.104.6.1518" TargetMode="External"/><Relationship Id="rId64" Type="http://schemas.openxmlformats.org/officeDocument/2006/relationships/hyperlink" Target="https://doi.org/10.1257/aer.106.7.1577" TargetMode="External"/><Relationship Id="rId179" Type="http://schemas.openxmlformats.org/officeDocument/2006/relationships/hyperlink" Target="https://doi.org/10.1257/aer.20120599" TargetMode="External"/><Relationship Id="rId1111" Type="http://schemas.openxmlformats.org/officeDocument/2006/relationships/hyperlink" Target="https://doi.org/10.1257/aer.20121110" TargetMode="External"/><Relationship Id="rId960" Type="http://schemas.openxmlformats.org/officeDocument/2006/relationships/hyperlink" Target="https://doi.org/10.1257/aer.20130848" TargetMode="External"/><Relationship Id="rId673" Type="http://schemas.openxmlformats.org/officeDocument/2006/relationships/hyperlink" Target="https://doi.org/10.1257/aer.20131061" TargetMode="External"/><Relationship Id="rId778" Type="http://schemas.openxmlformats.org/officeDocument/2006/relationships/hyperlink" Target="https://doi.org/10.1257/aer.20141745" TargetMode="External"/><Relationship Id="rId67" Type="http://schemas.openxmlformats.org/officeDocument/2006/relationships/hyperlink" Target="https://doi.org/10.1257/aer.20160658" TargetMode="External"/><Relationship Id="rId779" Type="http://schemas.openxmlformats.org/officeDocument/2006/relationships/hyperlink" Target="https://doi.org/10.1257/aer.20161214" TargetMode="External"/><Relationship Id="rId1433" Type="http://schemas.openxmlformats.org/officeDocument/2006/relationships/hyperlink" Target="https://doi.org/10.1257/aer.20171455" TargetMode="External"/><Relationship Id="rId840" Type="http://schemas.openxmlformats.org/officeDocument/2006/relationships/hyperlink" Target="https://doi.org/10.1257/aer.20181289" TargetMode="External"/><Relationship Id="rId1095" Type="http://schemas.openxmlformats.org/officeDocument/2006/relationships/hyperlink" Target="https://doi.org/10.1257/aer.20181506" TargetMode="External"/><Relationship Id="rId1017" Type="http://schemas.openxmlformats.org/officeDocument/2006/relationships/hyperlink" Target="https://doi.org/10.1257/aer.20190623" TargetMode="External"/><Relationship Id="rId1123" Type="http://schemas.openxmlformats.org/officeDocument/2006/relationships/hyperlink" Target="https://doi.org/10.1257/aer.62.4.659" TargetMode="External"/><Relationship Id="rId227" Type="http://schemas.openxmlformats.org/officeDocument/2006/relationships/hyperlink" Target="https://doi.org/10.1257/aer.71.4.662" TargetMode="External"/><Relationship Id="rId443" Type="http://schemas.openxmlformats.org/officeDocument/2006/relationships/hyperlink" Target="https://doi.org/10.1257/aer.89.1.103" TargetMode="External"/><Relationship Id="rId739" Type="http://schemas.openxmlformats.org/officeDocument/2006/relationships/hyperlink" Target="https://doi.org/10.1257/aer.90.4.1034" TargetMode="External"/><Relationship Id="rId427" Type="http://schemas.openxmlformats.org/officeDocument/2006/relationships/hyperlink" Target="https://doi.org/10.1257/aer.90.4.980" TargetMode="External"/><Relationship Id="rId433" Type="http://schemas.openxmlformats.org/officeDocument/2006/relationships/hyperlink" Target="https://doi.org/10.1257/aer.91.2.73" TargetMode="External"/><Relationship Id="rId425" Type="http://schemas.openxmlformats.org/officeDocument/2006/relationships/hyperlink" Target="https://doi.org/10.1257/aer.96.3.694" TargetMode="External"/><Relationship Id="rId588" Type="http://schemas.openxmlformats.org/officeDocument/2006/relationships/hyperlink" Target="https://doi.org/10.1257/aer.97.1.242" TargetMode="External"/><Relationship Id="rId247" Type="http://schemas.openxmlformats.org/officeDocument/2006/relationships/hyperlink" Target="https://doi.org/10.1257/aer.98.4.1553" TargetMode="External"/><Relationship Id="rId839" Type="http://schemas.openxmlformats.org/officeDocument/2006/relationships/hyperlink" Target="https://doi.org/10.1257/aer.99.4.1145" TargetMode="External"/><Relationship Id="rId1231" Type="http://schemas.openxmlformats.org/officeDocument/2006/relationships/hyperlink" Target="https://doi.org/10.1257/app.20130533" TargetMode="External"/><Relationship Id="rId1178" Type="http://schemas.openxmlformats.org/officeDocument/2006/relationships/hyperlink" Target="https://doi.org/10.1257/jel.45.3.686" TargetMode="External"/><Relationship Id="rId416" Type="http://schemas.openxmlformats.org/officeDocument/2006/relationships/hyperlink" Target="https://doi.org/10.1257/jel.47.2.315" TargetMode="External"/><Relationship Id="rId738" Type="http://schemas.openxmlformats.org/officeDocument/2006/relationships/hyperlink" Target="https://doi.org/10.1257/jel.49.2.326" TargetMode="External"/><Relationship Id="rId1282" Type="http://schemas.openxmlformats.org/officeDocument/2006/relationships/hyperlink" Target="https://doi.org/10.1257/jel.53.1.5" TargetMode="External"/><Relationship Id="rId1345" Type="http://schemas.openxmlformats.org/officeDocument/2006/relationships/hyperlink" Target="https://doi.org/10.1257/jel.54.2.442" TargetMode="External"/><Relationship Id="rId1484" Type="http://schemas.openxmlformats.org/officeDocument/2006/relationships/hyperlink" Target="https://doi.org/10.1257/jep.12.3.69" TargetMode="External"/><Relationship Id="rId419" Type="http://schemas.openxmlformats.org/officeDocument/2006/relationships/hyperlink" Target="https://doi.org/10.1257/jep.15.3.47" TargetMode="External"/><Relationship Id="rId63" Type="http://schemas.openxmlformats.org/officeDocument/2006/relationships/hyperlink" Target="https://doi.org/10.1257/jep.24.2.3" TargetMode="External"/><Relationship Id="rId1280" Type="http://schemas.openxmlformats.org/officeDocument/2006/relationships/hyperlink" Target="https://doi.org/10.1257/jep.27.1.103" TargetMode="External"/><Relationship Id="rId279" Type="http://schemas.openxmlformats.org/officeDocument/2006/relationships/hyperlink" Target="https://doi.org/10.1257/jep.30.2.3" TargetMode="External"/><Relationship Id="rId558" Type="http://schemas.openxmlformats.org/officeDocument/2006/relationships/hyperlink" Target="https://doi.org/10.1257/jep.31.4.163" TargetMode="External"/><Relationship Id="rId674" Type="http://schemas.openxmlformats.org/officeDocument/2006/relationships/hyperlink" Target="https://doi.org/10.1257/jep.33.2.3" TargetMode="External"/><Relationship Id="rId843" Type="http://schemas.openxmlformats.org/officeDocument/2006/relationships/hyperlink" Target="https://doi.org/10.1257/jep.9.1.99" TargetMode="External"/><Relationship Id="rId445" Type="http://schemas.openxmlformats.org/officeDocument/2006/relationships/hyperlink" Target="https://doi.org/10.1287/mksc.17.1.4" TargetMode="External"/><Relationship Id="rId450" Type="http://schemas.openxmlformats.org/officeDocument/2006/relationships/hyperlink" Target="https://doi.org/10.1287/mksc.4.3.199" TargetMode="External"/><Relationship Id="rId1344" Type="http://schemas.openxmlformats.org/officeDocument/2006/relationships/hyperlink" Target="https://doi.org/10.1287/mnsc.1050.0400" TargetMode="External"/><Relationship Id="rId460" Type="http://schemas.openxmlformats.org/officeDocument/2006/relationships/hyperlink" Target="https://doi.org/10.1287/mnsc.42.12.1676" TargetMode="External"/><Relationship Id="rId417" Type="http://schemas.openxmlformats.org/officeDocument/2006/relationships/hyperlink" Target="https://doi.org/10.1287/mnsc.46.11.1497.12080" TargetMode="External"/><Relationship Id="rId586" Type="http://schemas.openxmlformats.org/officeDocument/2006/relationships/hyperlink" Target="https://doi.org/10.1287/moor.6.1.58" TargetMode="External"/><Relationship Id="rId846" Type="http://schemas.openxmlformats.org/officeDocument/2006/relationships/hyperlink" Target="https://doi.org/10.1515/9781400863716" TargetMode="External"/><Relationship Id="rId281" Type="http://schemas.openxmlformats.org/officeDocument/2006/relationships/hyperlink" Target="https://doi.org/10.1590/0101-416146128aaa" TargetMode="External"/><Relationship Id="rId1175" Type="http://schemas.openxmlformats.org/officeDocument/2006/relationships/hyperlink" Target="https://doi.org/10.1590/S0034-71402002000400002" TargetMode="External"/><Relationship Id="rId231" Type="http://schemas.openxmlformats.org/officeDocument/2006/relationships/hyperlink" Target="https://doi.org/10.1590/S0101-41612008000200002" TargetMode="External"/><Relationship Id="rId1114" Type="http://schemas.openxmlformats.org/officeDocument/2006/relationships/hyperlink" Target="https://doi.org/10.1596/1813-9450-7020" TargetMode="External"/><Relationship Id="rId1118" Type="http://schemas.openxmlformats.org/officeDocument/2006/relationships/hyperlink" Target="https://doi.org/10.2307/144855" TargetMode="External"/><Relationship Id="rId180" Type="http://schemas.openxmlformats.org/officeDocument/2006/relationships/hyperlink" Target="https://doi.org/10.2307/145920" TargetMode="External"/><Relationship Id="rId966" Type="http://schemas.openxmlformats.org/officeDocument/2006/relationships/hyperlink" Target="https://doi.org/10.2307/1812181" TargetMode="External"/><Relationship Id="rId972" Type="http://schemas.openxmlformats.org/officeDocument/2006/relationships/hyperlink" Target="https://doi.org/10.2307/1823775" TargetMode="External"/><Relationship Id="rId589" Type="http://schemas.openxmlformats.org/officeDocument/2006/relationships/hyperlink" Target="https://doi.org/10.2307/1831115" TargetMode="External"/><Relationship Id="rId362" Type="http://schemas.openxmlformats.org/officeDocument/2006/relationships/hyperlink" Target="https://doi.org/10.2307/1879431" TargetMode="External"/><Relationship Id="rId845" Type="http://schemas.openxmlformats.org/officeDocument/2006/relationships/hyperlink" Target="https://doi.org/10.2307/1881734" TargetMode="External"/><Relationship Id="rId630" Type="http://schemas.openxmlformats.org/officeDocument/2006/relationships/hyperlink" Target="https://doi.org/10.2307/1882010" TargetMode="External"/><Relationship Id="rId414" Type="http://schemas.openxmlformats.org/officeDocument/2006/relationships/hyperlink" Target="https://doi.org/10.2307/1884324" TargetMode="External"/><Relationship Id="rId634" Type="http://schemas.openxmlformats.org/officeDocument/2006/relationships/hyperlink" Target="https://doi.org/10.2307/1885060" TargetMode="External"/><Relationship Id="rId631" Type="http://schemas.openxmlformats.org/officeDocument/2006/relationships/hyperlink" Target="https://doi.org/10.2307/1885326" TargetMode="External"/><Relationship Id="rId418" Type="http://schemas.openxmlformats.org/officeDocument/2006/relationships/hyperlink" Target="https://doi.org/10.2307/1907921" TargetMode="External"/><Relationship Id="rId844" Type="http://schemas.openxmlformats.org/officeDocument/2006/relationships/hyperlink" Target="https://doi.org/10.2307/1910538" TargetMode="External"/><Relationship Id="rId555" Type="http://schemas.openxmlformats.org/officeDocument/2006/relationships/hyperlink" Target="https://doi.org/10.2307/1911307" TargetMode="External"/><Relationship Id="rId556" Type="http://schemas.openxmlformats.org/officeDocument/2006/relationships/hyperlink" Target="https://doi.org/10.2307/1911462" TargetMode="External"/><Relationship Id="rId587" Type="http://schemas.openxmlformats.org/officeDocument/2006/relationships/hyperlink" Target="https://doi.org/10.2307/1911865" TargetMode="External"/><Relationship Id="rId545" Type="http://schemas.openxmlformats.org/officeDocument/2006/relationships/hyperlink" Target="https://doi.org/10.2307/1912531" TargetMode="External"/><Relationship Id="rId551" Type="http://schemas.openxmlformats.org/officeDocument/2006/relationships/hyperlink" Target="https://doi.org/10.2307/1912660" TargetMode="External"/><Relationship Id="rId635" Type="http://schemas.openxmlformats.org/officeDocument/2006/relationships/hyperlink" Target="https://doi.org/10.2307/1913390" TargetMode="External"/><Relationship Id="rId366" Type="http://schemas.openxmlformats.org/officeDocument/2006/relationships/hyperlink" Target="https://doi.org/10.2307/1913738" TargetMode="External"/><Relationship Id="rId359" Type="http://schemas.openxmlformats.org/officeDocument/2006/relationships/hyperlink" Target="https://doi.org/10.2307/1914185" TargetMode="External"/><Relationship Id="rId971" Type="http://schemas.openxmlformats.org/officeDocument/2006/relationships/hyperlink" Target="https://doi.org/10.2307/1923808" TargetMode="External"/><Relationship Id="rId1287" Type="http://schemas.openxmlformats.org/officeDocument/2006/relationships/hyperlink" Target="https://doi.org/10.2307/1925895" TargetMode="External"/><Relationship Id="rId685" Type="http://schemas.openxmlformats.org/officeDocument/2006/relationships/hyperlink" Target="https://doi.org/10.2307/1926047" TargetMode="External"/><Relationship Id="rId675" Type="http://schemas.openxmlformats.org/officeDocument/2006/relationships/hyperlink" Target="https://doi.org/10.2307/1926559" TargetMode="External"/><Relationship Id="rId181" Type="http://schemas.openxmlformats.org/officeDocument/2006/relationships/hyperlink" Target="https://doi.org/10.2307/1927286" TargetMode="External"/><Relationship Id="rId510" Type="http://schemas.openxmlformats.org/officeDocument/2006/relationships/hyperlink" Target="https://doi.org/10.2307/1969529" TargetMode="External"/><Relationship Id="rId65" Type="http://schemas.openxmlformats.org/officeDocument/2006/relationships/hyperlink" Target="https://doi.org/10.2307/2118030" TargetMode="External"/><Relationship Id="rId315" Type="http://schemas.openxmlformats.org/officeDocument/2006/relationships/hyperlink" Target="https://doi.org/10.2307/2171802" TargetMode="External"/><Relationship Id="rId780" Type="http://schemas.openxmlformats.org/officeDocument/2006/relationships/hyperlink" Target="https://doi.org/10.2307/2171831" TargetMode="External"/><Relationship Id="rId848" Type="http://schemas.openxmlformats.org/officeDocument/2006/relationships/hyperlink" Target="https://doi.org/10.2307/2222721" TargetMode="External"/><Relationship Id="rId547" Type="http://schemas.openxmlformats.org/officeDocument/2006/relationships/hyperlink" Target="https://doi.org/10.2307/2231658" TargetMode="External"/><Relationship Id="rId969" Type="http://schemas.openxmlformats.org/officeDocument/2006/relationships/hyperlink" Target="https://doi.org/10.2307/2231972" TargetMode="External"/><Relationship Id="rId361" Type="http://schemas.openxmlformats.org/officeDocument/2006/relationships/hyperlink" Target="https://doi.org/10.2307/2234337" TargetMode="External"/><Relationship Id="rId363" Type="http://schemas.openxmlformats.org/officeDocument/2006/relationships/hyperlink" Target="https://doi.org/10.2307/2296612" TargetMode="External"/><Relationship Id="rId554" Type="http://schemas.openxmlformats.org/officeDocument/2006/relationships/hyperlink" Target="https://doi.org/10.2307/2296617" TargetMode="External"/><Relationship Id="rId1288" Type="http://schemas.openxmlformats.org/officeDocument/2006/relationships/hyperlink" Target="https://doi.org/10.2307/2296698" TargetMode="External"/><Relationship Id="rId1235" Type="http://schemas.openxmlformats.org/officeDocument/2006/relationships/hyperlink" Target="https://doi.org/10.2307/2296779" TargetMode="External"/><Relationship Id="rId1122" Type="http://schemas.openxmlformats.org/officeDocument/2006/relationships/hyperlink" Target="https://doi.org/10.2307/2525981" TargetMode="External"/><Relationship Id="rId552" Type="http://schemas.openxmlformats.org/officeDocument/2006/relationships/hyperlink" Target="https://doi.org/10.2307/2937866" TargetMode="External"/><Relationship Id="rId687" Type="http://schemas.openxmlformats.org/officeDocument/2006/relationships/hyperlink" Target="https://doi.org/10.2307/2946695" TargetMode="External"/><Relationship Id="rId447" Type="http://schemas.openxmlformats.org/officeDocument/2006/relationships/hyperlink" Target="https://doi.org/10.2307/2967612" TargetMode="External"/><Relationship Id="rId444" Type="http://schemas.openxmlformats.org/officeDocument/2006/relationships/hyperlink" Target="https://doi.org/10.2307/2998573" TargetMode="External"/><Relationship Id="rId973" Type="http://schemas.openxmlformats.org/officeDocument/2006/relationships/hyperlink" Target="https://doi.org/10.2307/3003237" TargetMode="External"/><Relationship Id="rId1233" Type="http://schemas.openxmlformats.org/officeDocument/2006/relationships/hyperlink" Target="https://doi.org/10.2307/3003320" TargetMode="External"/><Relationship Id="rId544" Type="http://schemas.openxmlformats.org/officeDocument/2006/relationships/hyperlink" Target="https://doi.org/10.2307/3003634" TargetMode="External"/><Relationship Id="rId498" Type="http://schemas.openxmlformats.org/officeDocument/2006/relationships/hyperlink" Target="https://doi.org/10.2307/3003636" TargetMode="External"/><Relationship Id="rId841" Type="http://schemas.openxmlformats.org/officeDocument/2006/relationships/hyperlink" Target="https://doi.org/10.3386/w21439" TargetMode="External"/><Relationship Id="rId672" Type="http://schemas.openxmlformats.org/officeDocument/2006/relationships/hyperlink" Target="https://doi.org/10.3982/ECTA12807" TargetMode="External"/><Relationship Id="rId842" Type="http://schemas.openxmlformats.org/officeDocument/2006/relationships/hyperlink" Target="https://doi.org/10.3982/ECTA3959" TargetMode="External"/><Relationship Id="rId1094" Type="http://schemas.openxmlformats.org/officeDocument/2006/relationships/hyperlink" Target="https://ilostat.ilo.org" TargetMode="External"/><Relationship Id="rId349" Type="http://schemas.openxmlformats.org/officeDocument/2006/relationships/hyperlink" Target="https://loterias.caixa.gov.br/Paginas/Mega-Sena.aspx" TargetMode="External"/><Relationship Id="rId847" Type="http://schemas.openxmlformats.org/officeDocument/2006/relationships/hyperlink" Target="https://oll.libertyfund.org/title/marshall-principles-of-economics-8th-ed" TargetMode="External"/><Relationship Id="rId1492" Type="http://schemas.openxmlformats.org/officeDocument/2006/relationships/hyperlink" Target="https://oll.libertyfund.org/title/pigou-the-economics-of-welfare" TargetMode="External"/><Relationship Id="rId438" Type="http://schemas.openxmlformats.org/officeDocument/2006/relationships/hyperlink" Target="https://repositorio.fgv.br/items/1256bbfa-2e9a-4a58-8787-eed63f10d1cb" TargetMode="External"/><Relationship Id="rId671" Type="http://schemas.openxmlformats.org/officeDocument/2006/relationships/hyperlink" Target="https://repositorio.ipea.gov.br" TargetMode="External"/><Relationship Id="rId676" Type="http://schemas.openxmlformats.org/officeDocument/2006/relationships/hyperlink" Target="https://repositorio.ipea.gov.br/entities/publication/c9dd506b-0768-4cac-9b67-aaa1fdbb159a" TargetMode="External"/><Relationship Id="rId232" Type="http://schemas.openxmlformats.org/officeDocument/2006/relationships/hyperlink" Target="https://repositorio.ipea.gov.br/handle/11058/1482" TargetMode="External"/><Relationship Id="rId182" Type="http://schemas.openxmlformats.org/officeDocument/2006/relationships/hyperlink" Target="https://repositorio.ipea.gov.br/handle/11058/3249" TargetMode="External"/><Relationship Id="rId1475" Type="http://schemas.openxmlformats.org/officeDocument/2006/relationships/hyperlink" Target="https://seeg.eco.br" TargetMode="External"/><Relationship Id="rId1270" Type="http://schemas.openxmlformats.org/officeDocument/2006/relationships/hyperlink" Target="https://seeg.eco.br/" TargetMode="External"/><Relationship Id="rId168" Type="http://schemas.openxmlformats.org/officeDocument/2006/relationships/hyperlink" Target="https://sidra.ibge.gov.br" TargetMode="External"/><Relationship Id="rId1093" Type="http://schemas.openxmlformats.org/officeDocument/2006/relationships/hyperlink" Target="https://stats.oecd.org" TargetMode="External"/><Relationship Id="rId1336" Type="http://schemas.openxmlformats.org/officeDocument/2006/relationships/hyperlink" Target="https://trends.google.com.br/" TargetMode="External"/><Relationship Id="rId484" Type="http://schemas.openxmlformats.org/officeDocument/2006/relationships/hyperlink" Target="https://www.anac.gov.br" TargetMode="External"/><Relationship Id="rId473" Type="http://schemas.openxmlformats.org/officeDocument/2006/relationships/hyperlink" Target="https://www.anatel.gov.br" TargetMode="External"/><Relationship Id="rId1335" Type="http://schemas.openxmlformats.org/officeDocument/2006/relationships/hyperlink" Target="https://www.anatel.gov.br/dados/" TargetMode="External"/><Relationship Id="rId243" Type="http://schemas.openxmlformats.org/officeDocument/2006/relationships/hyperlink" Target="https://www.aneel.gov.br" TargetMode="External"/><Relationship Id="rId730" Type="http://schemas.openxmlformats.org/officeDocument/2006/relationships/hyperlink" Target="https://www.aneel.gov.br/dados-abertos" TargetMode="External"/><Relationship Id="rId350" Type="http://schemas.openxmlformats.org/officeDocument/2006/relationships/hyperlink" Target="https://www.b3.com.br/pt_br/market-data-e-indices/" TargetMode="External"/><Relationship Id="rId215" Type="http://schemas.openxmlformats.org/officeDocument/2006/relationships/hyperlink" Target="https://www.bcb.gov.br" TargetMode="External"/><Relationship Id="rId1163" Type="http://schemas.openxmlformats.org/officeDocument/2006/relationships/hyperlink" Target="https://www.bcb.gov.br/estatisticas" TargetMode="External"/><Relationship Id="rId1157" Type="http://schemas.openxmlformats.org/officeDocument/2006/relationships/hyperlink" Target="https://www.bndes.gov.br" TargetMode="External"/><Relationship Id="rId184" Type="http://schemas.openxmlformats.org/officeDocument/2006/relationships/hyperlink" Target="https://www.cambridge.org/core/books/abs/mathematical-economics/representation-of-a-preference-ordering-by-a-numerical-function/009AEFFF2E07235C5BBFFEF226353FE8" TargetMode="External"/><Relationship Id="rId288" Type="http://schemas.openxmlformats.org/officeDocument/2006/relationships/hyperlink" Target="https://www.cepea.esalq.usp.br" TargetMode="External"/><Relationship Id="rId659" Type="http://schemas.openxmlformats.org/officeDocument/2006/relationships/hyperlink" Target="https://www.conab.gov.br" TargetMode="External"/><Relationship Id="rId1286" Type="http://schemas.openxmlformats.org/officeDocument/2006/relationships/hyperlink" Target="https://www.econlib.org/library/NPDBooks/Pigou/pgEW.html" TargetMode="External"/><Relationship Id="rId345" Type="http://schemas.openxmlformats.org/officeDocument/2006/relationships/hyperlink" Target="https://www.embrapa.br" TargetMode="External"/><Relationship Id="rId916" Type="http://schemas.openxmlformats.org/officeDocument/2006/relationships/hyperlink" Target="https://www.gov.br/ana" TargetMode="External"/><Relationship Id="rId1209" Type="http://schemas.openxmlformats.org/officeDocument/2006/relationships/hyperlink" Target="https://www.gov.br/anatel" TargetMode="External"/><Relationship Id="rId190" Type="http://schemas.openxmlformats.org/officeDocument/2006/relationships/hyperlink" Target="https://www.gov.br/anp" TargetMode="External"/><Relationship Id="rId1164" Type="http://schemas.openxmlformats.org/officeDocument/2006/relationships/hyperlink" Target="https://www.gov.br/anp/pt-br/centrais-de-conteudo/dados-abertos" TargetMode="External"/><Relationship Id="rId1198" Type="http://schemas.openxmlformats.org/officeDocument/2006/relationships/hyperlink" Target="https://www.gov.br/ans" TargetMode="External"/><Relationship Id="rId316" Type="http://schemas.openxmlformats.org/officeDocument/2006/relationships/hyperlink" Target="https://www.gov.br/cade" TargetMode="External"/><Relationship Id="rId951" Type="http://schemas.openxmlformats.org/officeDocument/2006/relationships/hyperlink" Target="https://www.gov.br/cade/pt-br" TargetMode="External"/><Relationship Id="rId1016" Type="http://schemas.openxmlformats.org/officeDocument/2006/relationships/hyperlink" Target="https://www.gov.br/cade/pt-br/assuntos/noticias/cade-multa-em-r-535-1-milhoes-cartel-de-trens-e-metros" TargetMode="External"/><Relationship Id="rId693" Type="http://schemas.openxmlformats.org/officeDocument/2006/relationships/hyperlink" Target="https://www.gov.br/empresas-e-negocios/pt-br/empreendedor" TargetMode="External"/><Relationship Id="rId198" Type="http://schemas.openxmlformats.org/officeDocument/2006/relationships/hyperlink" Target="https://www.gov.br/mds" TargetMode="External"/><Relationship Id="rId404" Type="http://schemas.openxmlformats.org/officeDocument/2006/relationships/hyperlink" Target="https://www.gov.br/previc/pt-br" TargetMode="External"/><Relationship Id="rId1424" Type="http://schemas.openxmlformats.org/officeDocument/2006/relationships/hyperlink" Target="https://www.gov.br/saude/pt-br/composicao/sectics/farmacia-popular" TargetMode="External"/><Relationship Id="rId1221" Type="http://schemas.openxmlformats.org/officeDocument/2006/relationships/hyperlink" Target="https://www.gov.br/susep/pt-br/acesso-a-informacao/dados-abertos" TargetMode="External"/><Relationship Id="rId1082" Type="http://schemas.openxmlformats.org/officeDocument/2006/relationships/hyperlink" Target="https://www.gov.br/trabalho" TargetMode="External"/><Relationship Id="rId35" Type="http://schemas.openxmlformats.org/officeDocument/2006/relationships/hyperlink" Target="https://www.ibge.gov.br" TargetMode="External"/><Relationship Id="rId185" Type="http://schemas.openxmlformats.org/officeDocument/2006/relationships/hyperlink" Target="https://www.ibge.gov.br/estatisticas/sociais/rendimento-despesa-e-consumo/9050-pesquisa-de-orcamentos-familiares.html" TargetMode="External"/><Relationship Id="rId34" Type="http://schemas.openxmlformats.org/officeDocument/2006/relationships/hyperlink" Target="https://www.ibge.gov.br/estatisticas/sociais/trabalho/17270-pnad-continua.html" TargetMode="External"/><Relationship Id="rId169" Type="http://schemas.openxmlformats.org/officeDocument/2006/relationships/hyperlink" Target="https://www.ibge.gov.br/estatisticas/sociais/trabalho/9171-pesquisa-nacional-por-amostra-de-domicilios-continua-mensal.html" TargetMode="External"/><Relationship Id="rId684" Type="http://schemas.openxmlformats.org/officeDocument/2006/relationships/hyperlink" Target="https://www.intrinseca.com.br/livro/o-capital-no-seculo-xxi/" TargetMode="External"/><Relationship Id="rId214" Type="http://schemas.openxmlformats.org/officeDocument/2006/relationships/hyperlink" Target="https://www.ipea.gov.br" TargetMode="External"/><Relationship Id="rId270" Type="http://schemas.openxmlformats.org/officeDocument/2006/relationships/hyperlink" Target="https://www.ipeadata.gov.br" TargetMode="External"/><Relationship Id="rId1121" Type="http://schemas.openxmlformats.org/officeDocument/2006/relationships/hyperlink" Target="https://www.jstor.org/stable/1803906" TargetMode="External"/><Relationship Id="rId226" Type="http://schemas.openxmlformats.org/officeDocument/2006/relationships/hyperlink" Target="https://www.jstor.org/stable/1805222" TargetMode="External"/><Relationship Id="rId277" Type="http://schemas.openxmlformats.org/officeDocument/2006/relationships/hyperlink" Target="https://www.jstor.org/stable/1805921" TargetMode="External"/><Relationship Id="rId282" Type="http://schemas.openxmlformats.org/officeDocument/2006/relationships/hyperlink" Target="https://www.jstor.org/stable/1806997" TargetMode="External"/><Relationship Id="rId678" Type="http://schemas.openxmlformats.org/officeDocument/2006/relationships/hyperlink" Target="https://www.jstor.org/stable/1811556" TargetMode="External"/><Relationship Id="rId278" Type="http://schemas.openxmlformats.org/officeDocument/2006/relationships/hyperlink" Target="https://www.jstor.org/stable/1816031" TargetMode="External"/><Relationship Id="rId1124" Type="http://schemas.openxmlformats.org/officeDocument/2006/relationships/hyperlink" Target="https://www.jstor.org/stable/1818907" TargetMode="External"/><Relationship Id="rId1112" Type="http://schemas.openxmlformats.org/officeDocument/2006/relationships/hyperlink" Target="https://www.jstor.org/stable/2118030" TargetMode="External"/><Relationship Id="rId318" Type="http://schemas.openxmlformats.org/officeDocument/2006/relationships/hyperlink" Target="https://www.jstor.org/stable/2118240" TargetMode="External"/><Relationship Id="rId680" Type="http://schemas.openxmlformats.org/officeDocument/2006/relationships/hyperlink" Target="https://www.macmillanlearning.com/college/us/product/Microeconomics/p/1319245420" TargetMode="External"/><Relationship Id="rId1490" Type="http://schemas.openxmlformats.org/officeDocument/2006/relationships/hyperlink" Target="https://www.nobelprize.org/prizes/economic-sciences/2018/nordhaus/lecture/" TargetMode="External"/><Relationship Id="rId216" Type="http://schemas.openxmlformats.org/officeDocument/2006/relationships/hyperlink" Target="https://www.portaldocomercio.org.br" TargetMode="External"/><Relationship Id="rId1351" Type="http://schemas.openxmlformats.org/officeDocument/2006/relationships/hyperlink" Target="https://www.povertyactionlab.org/about-j-pal" TargetMode="External"/><Relationship Id="rId786" Type="http://schemas.openxmlformats.org/officeDocument/2006/relationships/hyperlink" Target="https://www.sebrae.com.br" TargetMode="External"/><Relationship Id="rId1272" Type="http://schemas.openxmlformats.org/officeDocument/2006/relationships/hyperlink" Target="https://www.snirh.gov.br/" TargetMode="External"/><Relationship Id="rId344" Type="http://schemas.openxmlformats.org/officeDocument/2006/relationships/hyperlink" Target="https://www.susep.gov.br" TargetMode="External"/><Relationship Id="rId1156" Type="http://schemas.openxmlformats.org/officeDocument/2006/relationships/hyperlink" Target="https://www.tesouronacional.fazenda.gov.br" TargetMode="External"/><Relationship Id="rId1456" Type="http://schemas.openxmlformats.org/officeDocument/2006/relationships/hyperlink" Target="https://www.unep.org/resources/emissions-gap-report-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Microeconomia: Do Zero ao Equilíbrio (e Além)</dc:title>
  <dc:creator>Darcio Genicolo Martins</dc:creator>
  <dc:language>pt-BR</dc:language>
  <cp:keywords/>
  <dcterms:created xsi:type="dcterms:W3CDTF">2026-03-30T17:01:09Z</dcterms:created>
  <dcterms:modified xsi:type="dcterms:W3CDTF">2026-03-30T17:01:09Z</dcterms:modified>
  <dc:subject>Livro-texto de Microeconomia — Versão para Revisão Editorial</dc:subject>
  <cp:category>Livro-texto acadêmico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Marco 2026</vt:lpwstr>
  </property>
</Properties>
</file>